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5694D" w14:textId="1E634AF1" w:rsidR="00141B97" w:rsidRDefault="00911D63">
      <w:pPr>
        <w:pStyle w:val="BodyText"/>
        <w:rPr>
          <w:rFonts w:ascii="Times New Roman"/>
          <w:sz w:val="20"/>
        </w:rPr>
      </w:pPr>
      <w:r>
        <w:rPr>
          <w:noProof/>
        </w:rPr>
        <mc:AlternateContent>
          <mc:Choice Requires="wpg">
            <w:drawing>
              <wp:anchor distT="0" distB="0" distL="114300" distR="114300" simplePos="0" relativeHeight="471426048" behindDoc="1" locked="0" layoutInCell="1" allowOverlap="1" wp14:anchorId="2484C612" wp14:editId="16C4FE7A">
                <wp:simplePos x="0" y="0"/>
                <wp:positionH relativeFrom="page">
                  <wp:posOffset>0</wp:posOffset>
                </wp:positionH>
                <wp:positionV relativeFrom="page">
                  <wp:posOffset>0</wp:posOffset>
                </wp:positionV>
                <wp:extent cx="7564120" cy="8978900"/>
                <wp:effectExtent l="0" t="0" r="0" b="0"/>
                <wp:wrapNone/>
                <wp:docPr id="42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978900"/>
                          <a:chOff x="0" y="0"/>
                          <a:chExt cx="11912" cy="14140"/>
                        </a:xfrm>
                      </wpg:grpSpPr>
                      <pic:pic xmlns:pic="http://schemas.openxmlformats.org/drawingml/2006/picture">
                        <pic:nvPicPr>
                          <pic:cNvPr id="424" name="docshap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5" cy="1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Line 355"/>
                        <wps:cNvCnPr>
                          <a:cxnSpLocks noChangeShapeType="1"/>
                        </wps:cNvCnPr>
                        <wps:spPr bwMode="auto">
                          <a:xfrm>
                            <a:off x="11895" y="1125"/>
                            <a:ext cx="0" cy="0"/>
                          </a:xfrm>
                          <a:prstGeom prst="line">
                            <a:avLst/>
                          </a:prstGeom>
                          <a:noFill/>
                          <a:ln w="213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596C7" id="docshapegroup1" o:spid="_x0000_s1026" style="position:absolute;margin-left:0;margin-top:0;width:595.6pt;height:707pt;z-index:-31890432;mso-position-horizontal-relative:page;mso-position-vertical-relative:page" coordsize="11912,14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5;height:1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">
                  <v:imagedata r:id="rId11" o:title=""/>
                </v:shape>
                <v:line id="Line 355" o:spid="_x0000_s1028" style="position:absolute;visibility:visible;mso-wrap-style:square" from="11895,1125" to="11895,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" strokeweight=".59364mm"/>
                <w10:wrap anchorx="page" anchory="page"/>
              </v:group>
            </w:pict>
          </mc:Fallback>
        </mc:AlternateContent>
      </w:r>
    </w:p>
    <w:p w14:paraId="72B574CE" w14:textId="77777777" w:rsidR="00141B97" w:rsidRDefault="00141B97">
      <w:pPr>
        <w:pStyle w:val="BodyText"/>
        <w:rPr>
          <w:rFonts w:ascii="Times New Roman"/>
          <w:sz w:val="20"/>
        </w:rPr>
      </w:pPr>
    </w:p>
    <w:p w14:paraId="364EE7C4" w14:textId="77777777" w:rsidR="00141B97" w:rsidRDefault="00141B97">
      <w:pPr>
        <w:pStyle w:val="BodyText"/>
        <w:spacing w:before="1"/>
        <w:rPr>
          <w:rFonts w:ascii="Times New Roman"/>
          <w:sz w:val="21"/>
        </w:rPr>
      </w:pPr>
    </w:p>
    <w:p w14:paraId="0C1E1775" w14:textId="77777777" w:rsidR="00141B97" w:rsidRDefault="00911D63">
      <w:pPr>
        <w:spacing w:line="1323" w:lineRule="exact"/>
        <w:ind w:left="103"/>
        <w:rPr>
          <w:rFonts w:ascii="Calibri" w:hAnsi="Calibri"/>
          <w:b/>
          <w:sz w:val="120"/>
        </w:rPr>
      </w:pPr>
      <w:r>
        <w:rPr>
          <w:rFonts w:ascii="Calibri" w:hAnsi="Calibri"/>
          <w:b/>
          <w:color w:val="F1F1F1"/>
          <w:spacing w:val="-2"/>
          <w:sz w:val="120"/>
        </w:rPr>
        <w:t>2023‐2028</w:t>
      </w:r>
    </w:p>
    <w:p w14:paraId="7976A164" w14:textId="77777777" w:rsidR="00141B97" w:rsidRDefault="00911D63">
      <w:pPr>
        <w:ind w:left="103" w:right="2403"/>
        <w:rPr>
          <w:rFonts w:ascii="Calibri"/>
          <w:b/>
          <w:sz w:val="120"/>
        </w:rPr>
      </w:pPr>
      <w:r>
        <w:rPr>
          <w:rFonts w:ascii="Calibri"/>
          <w:b/>
          <w:color w:val="F1F1F1"/>
          <w:spacing w:val="-2"/>
          <w:sz w:val="120"/>
        </w:rPr>
        <w:t>Price Submission</w:t>
      </w:r>
    </w:p>
    <w:p w14:paraId="571A7AE1" w14:textId="77777777" w:rsidR="00141B97" w:rsidRDefault="00141B97">
      <w:pPr>
        <w:pStyle w:val="BodyText"/>
        <w:rPr>
          <w:rFonts w:ascii="Calibri"/>
          <w:b/>
          <w:sz w:val="20"/>
        </w:rPr>
      </w:pPr>
    </w:p>
    <w:p w14:paraId="2DE8E5D4" w14:textId="77777777" w:rsidR="00141B97" w:rsidRDefault="00141B97">
      <w:pPr>
        <w:pStyle w:val="BodyText"/>
        <w:rPr>
          <w:rFonts w:ascii="Calibri"/>
          <w:b/>
          <w:sz w:val="20"/>
        </w:rPr>
      </w:pPr>
    </w:p>
    <w:p w14:paraId="5AC5B28E" w14:textId="77777777" w:rsidR="00141B97" w:rsidRDefault="00141B97">
      <w:pPr>
        <w:pStyle w:val="BodyText"/>
        <w:rPr>
          <w:rFonts w:ascii="Calibri"/>
          <w:b/>
          <w:sz w:val="20"/>
        </w:rPr>
      </w:pPr>
    </w:p>
    <w:p w14:paraId="6D5FE8CB" w14:textId="77777777" w:rsidR="00141B97" w:rsidRDefault="00141B97">
      <w:pPr>
        <w:pStyle w:val="BodyText"/>
        <w:rPr>
          <w:rFonts w:ascii="Calibri"/>
          <w:b/>
          <w:sz w:val="20"/>
        </w:rPr>
      </w:pPr>
    </w:p>
    <w:p w14:paraId="1372B394" w14:textId="77777777" w:rsidR="00141B97" w:rsidRDefault="00141B97">
      <w:pPr>
        <w:pStyle w:val="BodyText"/>
        <w:rPr>
          <w:rFonts w:ascii="Calibri"/>
          <w:b/>
          <w:sz w:val="20"/>
        </w:rPr>
      </w:pPr>
    </w:p>
    <w:p w14:paraId="325FE3BF" w14:textId="77777777" w:rsidR="00141B97" w:rsidRDefault="00141B97">
      <w:pPr>
        <w:pStyle w:val="BodyText"/>
        <w:rPr>
          <w:rFonts w:ascii="Calibri"/>
          <w:b/>
          <w:sz w:val="20"/>
        </w:rPr>
      </w:pPr>
    </w:p>
    <w:p w14:paraId="23B0EBF5" w14:textId="77777777" w:rsidR="00141B97" w:rsidRDefault="00141B97">
      <w:pPr>
        <w:pStyle w:val="BodyText"/>
        <w:rPr>
          <w:rFonts w:ascii="Calibri"/>
          <w:b/>
          <w:sz w:val="20"/>
        </w:rPr>
      </w:pPr>
    </w:p>
    <w:p w14:paraId="5558DA1D" w14:textId="77777777" w:rsidR="00141B97" w:rsidRDefault="00141B97">
      <w:pPr>
        <w:pStyle w:val="BodyText"/>
        <w:rPr>
          <w:rFonts w:ascii="Calibri"/>
          <w:b/>
          <w:sz w:val="20"/>
        </w:rPr>
      </w:pPr>
    </w:p>
    <w:p w14:paraId="4CB468A5" w14:textId="77777777" w:rsidR="00141B97" w:rsidRDefault="00141B97">
      <w:pPr>
        <w:pStyle w:val="BodyText"/>
        <w:rPr>
          <w:rFonts w:ascii="Calibri"/>
          <w:b/>
          <w:sz w:val="20"/>
        </w:rPr>
      </w:pPr>
    </w:p>
    <w:p w14:paraId="401F612D" w14:textId="77777777" w:rsidR="00141B97" w:rsidRDefault="00141B97">
      <w:pPr>
        <w:pStyle w:val="BodyText"/>
        <w:rPr>
          <w:rFonts w:ascii="Calibri"/>
          <w:b/>
          <w:sz w:val="20"/>
        </w:rPr>
      </w:pPr>
    </w:p>
    <w:p w14:paraId="0EDFD005" w14:textId="77777777" w:rsidR="00141B97" w:rsidRDefault="00141B97">
      <w:pPr>
        <w:pStyle w:val="BodyText"/>
        <w:rPr>
          <w:rFonts w:ascii="Calibri"/>
          <w:b/>
          <w:sz w:val="20"/>
        </w:rPr>
      </w:pPr>
    </w:p>
    <w:p w14:paraId="3B3C0D09" w14:textId="77777777" w:rsidR="00141B97" w:rsidRDefault="00141B97">
      <w:pPr>
        <w:pStyle w:val="BodyText"/>
        <w:rPr>
          <w:rFonts w:ascii="Calibri"/>
          <w:b/>
          <w:sz w:val="20"/>
        </w:rPr>
      </w:pPr>
    </w:p>
    <w:p w14:paraId="09CCD51C" w14:textId="77777777" w:rsidR="00141B97" w:rsidRDefault="00141B97">
      <w:pPr>
        <w:pStyle w:val="BodyText"/>
        <w:rPr>
          <w:rFonts w:ascii="Calibri"/>
          <w:b/>
          <w:sz w:val="20"/>
        </w:rPr>
      </w:pPr>
    </w:p>
    <w:p w14:paraId="1218478D" w14:textId="77777777" w:rsidR="00141B97" w:rsidRDefault="00141B97">
      <w:pPr>
        <w:pStyle w:val="BodyText"/>
        <w:rPr>
          <w:rFonts w:ascii="Calibri"/>
          <w:b/>
          <w:sz w:val="20"/>
        </w:rPr>
      </w:pPr>
    </w:p>
    <w:p w14:paraId="487D9E6D" w14:textId="77777777" w:rsidR="00141B97" w:rsidRDefault="00141B97">
      <w:pPr>
        <w:pStyle w:val="BodyText"/>
        <w:rPr>
          <w:rFonts w:ascii="Calibri"/>
          <w:b/>
          <w:sz w:val="20"/>
        </w:rPr>
      </w:pPr>
    </w:p>
    <w:p w14:paraId="163389E7" w14:textId="77777777" w:rsidR="00141B97" w:rsidRDefault="00141B97">
      <w:pPr>
        <w:pStyle w:val="BodyText"/>
        <w:rPr>
          <w:rFonts w:ascii="Calibri"/>
          <w:b/>
          <w:sz w:val="20"/>
        </w:rPr>
      </w:pPr>
    </w:p>
    <w:p w14:paraId="523E0F46" w14:textId="77777777" w:rsidR="00141B97" w:rsidRDefault="00141B97">
      <w:pPr>
        <w:pStyle w:val="BodyText"/>
        <w:rPr>
          <w:rFonts w:ascii="Calibri"/>
          <w:b/>
          <w:sz w:val="20"/>
        </w:rPr>
      </w:pPr>
    </w:p>
    <w:p w14:paraId="31DCDEA7" w14:textId="77777777" w:rsidR="00141B97" w:rsidRDefault="00141B97">
      <w:pPr>
        <w:pStyle w:val="BodyText"/>
        <w:rPr>
          <w:rFonts w:ascii="Calibri"/>
          <w:b/>
          <w:sz w:val="20"/>
        </w:rPr>
      </w:pPr>
    </w:p>
    <w:p w14:paraId="01566791" w14:textId="77777777" w:rsidR="00141B97" w:rsidRDefault="00141B97">
      <w:pPr>
        <w:pStyle w:val="BodyText"/>
        <w:rPr>
          <w:rFonts w:ascii="Calibri"/>
          <w:b/>
          <w:sz w:val="20"/>
        </w:rPr>
      </w:pPr>
    </w:p>
    <w:p w14:paraId="6ACFD04F" w14:textId="77777777" w:rsidR="00141B97" w:rsidRDefault="00141B97">
      <w:pPr>
        <w:pStyle w:val="BodyText"/>
        <w:rPr>
          <w:rFonts w:ascii="Calibri"/>
          <w:b/>
          <w:sz w:val="20"/>
        </w:rPr>
      </w:pPr>
    </w:p>
    <w:p w14:paraId="41774E1A" w14:textId="77777777" w:rsidR="00141B97" w:rsidRDefault="00141B97">
      <w:pPr>
        <w:pStyle w:val="BodyText"/>
        <w:rPr>
          <w:rFonts w:ascii="Calibri"/>
          <w:b/>
          <w:sz w:val="20"/>
        </w:rPr>
      </w:pPr>
    </w:p>
    <w:p w14:paraId="18FC13F0" w14:textId="77777777" w:rsidR="00141B97" w:rsidRDefault="00141B97">
      <w:pPr>
        <w:pStyle w:val="BodyText"/>
        <w:rPr>
          <w:rFonts w:ascii="Calibri"/>
          <w:b/>
          <w:sz w:val="20"/>
        </w:rPr>
      </w:pPr>
    </w:p>
    <w:p w14:paraId="1995A586" w14:textId="77777777" w:rsidR="00141B97" w:rsidRDefault="00141B97">
      <w:pPr>
        <w:pStyle w:val="BodyText"/>
        <w:rPr>
          <w:rFonts w:ascii="Calibri"/>
          <w:b/>
          <w:sz w:val="20"/>
        </w:rPr>
      </w:pPr>
    </w:p>
    <w:p w14:paraId="1CFBB629" w14:textId="77777777" w:rsidR="00141B97" w:rsidRDefault="00141B97">
      <w:pPr>
        <w:pStyle w:val="BodyText"/>
        <w:rPr>
          <w:rFonts w:ascii="Calibri"/>
          <w:b/>
          <w:sz w:val="20"/>
        </w:rPr>
      </w:pPr>
    </w:p>
    <w:p w14:paraId="7F880A5F" w14:textId="77777777" w:rsidR="00141B97" w:rsidRDefault="00141B97">
      <w:pPr>
        <w:pStyle w:val="BodyText"/>
        <w:rPr>
          <w:rFonts w:ascii="Calibri"/>
          <w:b/>
          <w:sz w:val="20"/>
        </w:rPr>
      </w:pPr>
    </w:p>
    <w:p w14:paraId="2102E9A8" w14:textId="77777777" w:rsidR="00141B97" w:rsidRDefault="00141B97">
      <w:pPr>
        <w:pStyle w:val="BodyText"/>
        <w:rPr>
          <w:rFonts w:ascii="Calibri"/>
          <w:b/>
          <w:sz w:val="20"/>
        </w:rPr>
      </w:pPr>
    </w:p>
    <w:p w14:paraId="07CA9159" w14:textId="77777777" w:rsidR="00141B97" w:rsidRDefault="00141B97">
      <w:pPr>
        <w:pStyle w:val="BodyText"/>
        <w:rPr>
          <w:rFonts w:ascii="Calibri"/>
          <w:b/>
          <w:sz w:val="20"/>
        </w:rPr>
      </w:pPr>
    </w:p>
    <w:p w14:paraId="0136C978" w14:textId="77777777" w:rsidR="00141B97" w:rsidRDefault="00141B97">
      <w:pPr>
        <w:pStyle w:val="BodyText"/>
        <w:rPr>
          <w:rFonts w:ascii="Calibri"/>
          <w:b/>
          <w:sz w:val="20"/>
        </w:rPr>
      </w:pPr>
    </w:p>
    <w:p w14:paraId="2DDBB4AC" w14:textId="77777777" w:rsidR="00141B97" w:rsidRDefault="00141B97">
      <w:pPr>
        <w:pStyle w:val="BodyText"/>
        <w:rPr>
          <w:rFonts w:ascii="Calibri"/>
          <w:b/>
          <w:sz w:val="20"/>
        </w:rPr>
      </w:pPr>
    </w:p>
    <w:p w14:paraId="60AEE72D" w14:textId="77777777" w:rsidR="00141B97" w:rsidRDefault="00141B97">
      <w:pPr>
        <w:pStyle w:val="BodyText"/>
        <w:rPr>
          <w:rFonts w:ascii="Calibri"/>
          <w:b/>
          <w:sz w:val="20"/>
        </w:rPr>
      </w:pPr>
    </w:p>
    <w:p w14:paraId="30E793A2" w14:textId="77777777" w:rsidR="00141B97" w:rsidRDefault="00141B97">
      <w:pPr>
        <w:pStyle w:val="BodyText"/>
        <w:rPr>
          <w:rFonts w:ascii="Calibri"/>
          <w:b/>
          <w:sz w:val="20"/>
        </w:rPr>
      </w:pPr>
    </w:p>
    <w:p w14:paraId="3F178DC3" w14:textId="77777777" w:rsidR="00141B97" w:rsidRDefault="00141B97">
      <w:pPr>
        <w:pStyle w:val="BodyText"/>
        <w:rPr>
          <w:rFonts w:ascii="Calibri"/>
          <w:b/>
          <w:sz w:val="20"/>
        </w:rPr>
      </w:pPr>
    </w:p>
    <w:p w14:paraId="05A63880" w14:textId="77777777" w:rsidR="00141B97" w:rsidRDefault="00141B97">
      <w:pPr>
        <w:pStyle w:val="BodyText"/>
        <w:rPr>
          <w:rFonts w:ascii="Calibri"/>
          <w:b/>
          <w:sz w:val="20"/>
        </w:rPr>
      </w:pPr>
    </w:p>
    <w:p w14:paraId="54D244FD" w14:textId="77777777" w:rsidR="00141B97" w:rsidRDefault="00911D63">
      <w:pPr>
        <w:pStyle w:val="BodyText"/>
        <w:spacing w:before="6"/>
        <w:rPr>
          <w:rFonts w:ascii="Calibri"/>
          <w:b/>
          <w:sz w:val="12"/>
        </w:rPr>
      </w:pPr>
      <w:r>
        <w:rPr>
          <w:noProof/>
        </w:rPr>
        <w:drawing>
          <wp:anchor distT="0" distB="0" distL="0" distR="0" simplePos="0" relativeHeight="251659264" behindDoc="0" locked="0" layoutInCell="1" allowOverlap="1" wp14:anchorId="14AF5571" wp14:editId="256D8CAB">
            <wp:simplePos x="0" y="0"/>
            <wp:positionH relativeFrom="page">
              <wp:posOffset>5837371</wp:posOffset>
            </wp:positionH>
            <wp:positionV relativeFrom="paragraph">
              <wp:posOffset>112585</wp:posOffset>
            </wp:positionV>
            <wp:extent cx="1048942" cy="22555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email">
                      <a:extLst>
                        <a:ext uri="{28A0092B-C50C-407E-A947-70E740481C1C}">
                          <a14:useLocalDpi xmlns:a14="http://schemas.microsoft.com/office/drawing/2010/main"/>
                        </a:ext>
                      </a:extLst>
                    </a:blip>
                    <a:stretch>
                      <a:fillRect/>
                    </a:stretch>
                  </pic:blipFill>
                  <pic:spPr>
                    <a:xfrm>
                      <a:off x="0" y="0"/>
                      <a:ext cx="1048942" cy="225552"/>
                    </a:xfrm>
                    <a:prstGeom prst="rect">
                      <a:avLst/>
                    </a:prstGeom>
                  </pic:spPr>
                </pic:pic>
              </a:graphicData>
            </a:graphic>
          </wp:anchor>
        </w:drawing>
      </w:r>
    </w:p>
    <w:p w14:paraId="21AD8A7C" w14:textId="77777777" w:rsidR="00141B97" w:rsidRDefault="00911D63">
      <w:pPr>
        <w:pStyle w:val="Heading3"/>
        <w:spacing w:before="130" w:line="235" w:lineRule="auto"/>
        <w:ind w:left="8774" w:hanging="573"/>
        <w:rPr>
          <w:rFonts w:ascii="Arial"/>
        </w:rPr>
      </w:pPr>
      <w:r>
        <w:rPr>
          <w:rFonts w:ascii="Arial"/>
        </w:rPr>
        <w:t xml:space="preserve">LOWER MURRAY </w:t>
      </w:r>
      <w:r>
        <w:rPr>
          <w:rFonts w:ascii="Arial"/>
          <w:spacing w:val="-2"/>
        </w:rPr>
        <w:t>WATER</w:t>
      </w:r>
    </w:p>
    <w:p w14:paraId="19A67218" w14:textId="77777777" w:rsidR="00141B97" w:rsidRDefault="00141B97">
      <w:pPr>
        <w:spacing w:line="235" w:lineRule="auto"/>
        <w:rPr>
          <w:rFonts w:ascii="Arial"/>
        </w:rPr>
        <w:sectPr w:rsidR="00141B97">
          <w:type w:val="continuous"/>
          <w:pgSz w:w="11910" w:h="16840"/>
          <w:pgMar w:top="1940" w:right="520" w:bottom="280" w:left="800" w:header="720" w:footer="720" w:gutter="0"/>
          <w:cols w:space="720"/>
        </w:sectPr>
      </w:pPr>
    </w:p>
    <w:p w14:paraId="2173BB4B" w14:textId="77777777" w:rsidR="00141B97" w:rsidRDefault="00141B97">
      <w:pPr>
        <w:pStyle w:val="BodyText"/>
        <w:rPr>
          <w:rFonts w:ascii="Arial"/>
          <w:sz w:val="20"/>
        </w:rPr>
      </w:pPr>
    </w:p>
    <w:p w14:paraId="6FE4E50A" w14:textId="77777777" w:rsidR="00141B97" w:rsidRDefault="00141B97">
      <w:pPr>
        <w:pStyle w:val="BodyText"/>
        <w:rPr>
          <w:rFonts w:ascii="Arial"/>
          <w:sz w:val="20"/>
        </w:rPr>
      </w:pPr>
    </w:p>
    <w:p w14:paraId="3B33A4B3" w14:textId="77777777" w:rsidR="00141B97" w:rsidRDefault="00141B97">
      <w:pPr>
        <w:pStyle w:val="BodyText"/>
        <w:rPr>
          <w:rFonts w:ascii="Arial"/>
          <w:sz w:val="20"/>
        </w:rPr>
      </w:pPr>
    </w:p>
    <w:p w14:paraId="47422871" w14:textId="77777777" w:rsidR="00141B97" w:rsidRDefault="00141B97">
      <w:pPr>
        <w:pStyle w:val="BodyText"/>
        <w:rPr>
          <w:rFonts w:ascii="Arial"/>
          <w:sz w:val="20"/>
        </w:rPr>
      </w:pPr>
    </w:p>
    <w:p w14:paraId="5016407B" w14:textId="77777777" w:rsidR="00141B97" w:rsidRDefault="00141B97">
      <w:pPr>
        <w:pStyle w:val="BodyText"/>
        <w:rPr>
          <w:rFonts w:ascii="Arial"/>
          <w:sz w:val="20"/>
        </w:rPr>
      </w:pPr>
    </w:p>
    <w:p w14:paraId="00B488D4" w14:textId="77777777" w:rsidR="00141B97" w:rsidRDefault="00141B97">
      <w:pPr>
        <w:pStyle w:val="BodyText"/>
        <w:rPr>
          <w:rFonts w:ascii="Arial"/>
          <w:sz w:val="20"/>
        </w:rPr>
      </w:pPr>
    </w:p>
    <w:p w14:paraId="28F1CDD6" w14:textId="77777777" w:rsidR="00141B97" w:rsidRDefault="00141B97">
      <w:pPr>
        <w:pStyle w:val="BodyText"/>
        <w:rPr>
          <w:rFonts w:ascii="Arial"/>
          <w:sz w:val="20"/>
        </w:rPr>
      </w:pPr>
    </w:p>
    <w:p w14:paraId="5F7253A6" w14:textId="77777777" w:rsidR="00141B97" w:rsidRDefault="00141B97">
      <w:pPr>
        <w:pStyle w:val="BodyText"/>
        <w:rPr>
          <w:rFonts w:ascii="Arial"/>
          <w:sz w:val="20"/>
        </w:rPr>
      </w:pPr>
    </w:p>
    <w:p w14:paraId="3FFFE288" w14:textId="77777777" w:rsidR="00141B97" w:rsidRDefault="00141B97">
      <w:pPr>
        <w:pStyle w:val="BodyText"/>
        <w:rPr>
          <w:rFonts w:ascii="Arial"/>
          <w:sz w:val="20"/>
        </w:rPr>
      </w:pPr>
    </w:p>
    <w:p w14:paraId="56A247AF" w14:textId="77777777" w:rsidR="00141B97" w:rsidRDefault="00141B97">
      <w:pPr>
        <w:pStyle w:val="BodyText"/>
        <w:rPr>
          <w:rFonts w:ascii="Arial"/>
          <w:sz w:val="20"/>
        </w:rPr>
      </w:pPr>
    </w:p>
    <w:p w14:paraId="2AA4DAF8" w14:textId="77777777" w:rsidR="00141B97" w:rsidRDefault="00141B97">
      <w:pPr>
        <w:pStyle w:val="BodyText"/>
        <w:rPr>
          <w:rFonts w:ascii="Arial"/>
          <w:sz w:val="20"/>
        </w:rPr>
      </w:pPr>
    </w:p>
    <w:p w14:paraId="11712022" w14:textId="77777777" w:rsidR="00141B97" w:rsidRDefault="00141B97">
      <w:pPr>
        <w:pStyle w:val="BodyText"/>
        <w:rPr>
          <w:rFonts w:ascii="Arial"/>
          <w:sz w:val="20"/>
        </w:rPr>
      </w:pPr>
    </w:p>
    <w:p w14:paraId="3BEA6921" w14:textId="77777777" w:rsidR="00141B97" w:rsidRDefault="00141B97">
      <w:pPr>
        <w:pStyle w:val="BodyText"/>
        <w:rPr>
          <w:rFonts w:ascii="Arial"/>
          <w:sz w:val="20"/>
        </w:rPr>
      </w:pPr>
    </w:p>
    <w:p w14:paraId="2ACFFA58" w14:textId="77777777" w:rsidR="00141B97" w:rsidRDefault="00141B97">
      <w:pPr>
        <w:pStyle w:val="BodyText"/>
        <w:rPr>
          <w:rFonts w:ascii="Arial"/>
          <w:sz w:val="20"/>
        </w:rPr>
      </w:pPr>
    </w:p>
    <w:p w14:paraId="07C3D644" w14:textId="77777777" w:rsidR="00141B97" w:rsidRDefault="00141B97">
      <w:pPr>
        <w:pStyle w:val="BodyText"/>
        <w:rPr>
          <w:rFonts w:ascii="Arial"/>
          <w:sz w:val="20"/>
        </w:rPr>
      </w:pPr>
    </w:p>
    <w:p w14:paraId="7EFFAF70" w14:textId="77777777" w:rsidR="00141B97" w:rsidRDefault="00141B97">
      <w:pPr>
        <w:pStyle w:val="BodyText"/>
        <w:rPr>
          <w:rFonts w:ascii="Arial"/>
          <w:sz w:val="20"/>
        </w:rPr>
      </w:pPr>
    </w:p>
    <w:p w14:paraId="31FA597E" w14:textId="77777777" w:rsidR="00141B97" w:rsidRDefault="00141B97">
      <w:pPr>
        <w:pStyle w:val="BodyText"/>
        <w:rPr>
          <w:rFonts w:ascii="Arial"/>
          <w:sz w:val="20"/>
        </w:rPr>
      </w:pPr>
    </w:p>
    <w:p w14:paraId="6C480FB6" w14:textId="77777777" w:rsidR="00141B97" w:rsidRDefault="00141B97">
      <w:pPr>
        <w:pStyle w:val="BodyText"/>
        <w:rPr>
          <w:rFonts w:ascii="Arial"/>
          <w:sz w:val="20"/>
        </w:rPr>
      </w:pPr>
    </w:p>
    <w:p w14:paraId="238FAA43" w14:textId="77777777" w:rsidR="00141B97" w:rsidRDefault="00141B97">
      <w:pPr>
        <w:pStyle w:val="BodyText"/>
        <w:rPr>
          <w:rFonts w:ascii="Arial"/>
          <w:sz w:val="20"/>
        </w:rPr>
      </w:pPr>
    </w:p>
    <w:p w14:paraId="59838A9B" w14:textId="77777777" w:rsidR="00141B97" w:rsidRDefault="00141B97">
      <w:pPr>
        <w:pStyle w:val="BodyText"/>
        <w:rPr>
          <w:rFonts w:ascii="Arial"/>
          <w:sz w:val="20"/>
        </w:rPr>
      </w:pPr>
    </w:p>
    <w:p w14:paraId="266933FA" w14:textId="77777777" w:rsidR="00141B97" w:rsidRDefault="00141B97">
      <w:pPr>
        <w:pStyle w:val="BodyText"/>
        <w:rPr>
          <w:rFonts w:ascii="Arial"/>
          <w:sz w:val="20"/>
        </w:rPr>
      </w:pPr>
    </w:p>
    <w:p w14:paraId="2CFBC53A" w14:textId="77777777" w:rsidR="00141B97" w:rsidRDefault="00141B97">
      <w:pPr>
        <w:pStyle w:val="BodyText"/>
        <w:rPr>
          <w:rFonts w:ascii="Arial"/>
          <w:sz w:val="20"/>
        </w:rPr>
      </w:pPr>
    </w:p>
    <w:p w14:paraId="51CA1FE1" w14:textId="77777777" w:rsidR="00141B97" w:rsidRDefault="00141B97">
      <w:pPr>
        <w:pStyle w:val="BodyText"/>
        <w:rPr>
          <w:rFonts w:ascii="Arial"/>
          <w:sz w:val="20"/>
        </w:rPr>
      </w:pPr>
    </w:p>
    <w:p w14:paraId="5235E476" w14:textId="77777777" w:rsidR="00141B97" w:rsidRDefault="00141B97">
      <w:pPr>
        <w:pStyle w:val="BodyText"/>
        <w:rPr>
          <w:rFonts w:ascii="Arial"/>
          <w:sz w:val="20"/>
        </w:rPr>
      </w:pPr>
    </w:p>
    <w:p w14:paraId="788A6804" w14:textId="77777777" w:rsidR="00141B97" w:rsidRDefault="00141B97">
      <w:pPr>
        <w:pStyle w:val="BodyText"/>
        <w:rPr>
          <w:rFonts w:ascii="Arial"/>
          <w:sz w:val="20"/>
        </w:rPr>
      </w:pPr>
    </w:p>
    <w:p w14:paraId="70C569E5" w14:textId="77777777" w:rsidR="00141B97" w:rsidRDefault="00141B97">
      <w:pPr>
        <w:pStyle w:val="BodyText"/>
        <w:rPr>
          <w:rFonts w:ascii="Arial"/>
          <w:sz w:val="20"/>
        </w:rPr>
      </w:pPr>
    </w:p>
    <w:p w14:paraId="607C6D8D" w14:textId="77777777" w:rsidR="00141B97" w:rsidRDefault="00141B97">
      <w:pPr>
        <w:pStyle w:val="BodyText"/>
        <w:rPr>
          <w:rFonts w:ascii="Arial"/>
          <w:sz w:val="20"/>
        </w:rPr>
      </w:pPr>
    </w:p>
    <w:p w14:paraId="2083A1B3" w14:textId="77777777" w:rsidR="00141B97" w:rsidRDefault="00141B97">
      <w:pPr>
        <w:pStyle w:val="BodyText"/>
        <w:rPr>
          <w:rFonts w:ascii="Arial"/>
          <w:sz w:val="20"/>
        </w:rPr>
      </w:pPr>
    </w:p>
    <w:p w14:paraId="74DF23F2" w14:textId="77777777" w:rsidR="00141B97" w:rsidRDefault="00141B97">
      <w:pPr>
        <w:pStyle w:val="BodyText"/>
        <w:rPr>
          <w:rFonts w:ascii="Arial"/>
          <w:sz w:val="20"/>
        </w:rPr>
      </w:pPr>
    </w:p>
    <w:p w14:paraId="2F72E58A" w14:textId="77777777" w:rsidR="00141B97" w:rsidRDefault="00141B97">
      <w:pPr>
        <w:pStyle w:val="BodyText"/>
        <w:rPr>
          <w:rFonts w:ascii="Arial"/>
          <w:sz w:val="20"/>
        </w:rPr>
      </w:pPr>
    </w:p>
    <w:p w14:paraId="65DCA4E4" w14:textId="77777777" w:rsidR="00141B97" w:rsidRDefault="00141B97">
      <w:pPr>
        <w:pStyle w:val="BodyText"/>
        <w:rPr>
          <w:rFonts w:ascii="Arial"/>
          <w:sz w:val="20"/>
        </w:rPr>
      </w:pPr>
    </w:p>
    <w:p w14:paraId="5CAE9CC9" w14:textId="77777777" w:rsidR="00141B97" w:rsidRDefault="00141B97">
      <w:pPr>
        <w:pStyle w:val="BodyText"/>
        <w:rPr>
          <w:rFonts w:ascii="Arial"/>
          <w:sz w:val="20"/>
        </w:rPr>
      </w:pPr>
    </w:p>
    <w:p w14:paraId="31C1C2AE" w14:textId="77777777" w:rsidR="00141B97" w:rsidRDefault="00141B97">
      <w:pPr>
        <w:pStyle w:val="BodyText"/>
        <w:spacing w:before="9"/>
        <w:rPr>
          <w:rFonts w:ascii="Arial"/>
          <w:sz w:val="18"/>
        </w:rPr>
      </w:pPr>
    </w:p>
    <w:p w14:paraId="71566A1F" w14:textId="77777777" w:rsidR="00141B97" w:rsidRDefault="00911D63">
      <w:pPr>
        <w:spacing w:before="3"/>
        <w:ind w:left="253" w:right="5448"/>
        <w:rPr>
          <w:sz w:val="48"/>
        </w:rPr>
      </w:pPr>
      <w:r>
        <w:rPr>
          <w:color w:val="FFFFFF"/>
          <w:spacing w:val="8"/>
          <w:sz w:val="48"/>
        </w:rPr>
        <w:t xml:space="preserve">ACKNOWLEDGEMENT </w:t>
      </w:r>
      <w:r>
        <w:rPr>
          <w:color w:val="FFFFFF"/>
          <w:sz w:val="48"/>
        </w:rPr>
        <w:t xml:space="preserve">OF </w:t>
      </w:r>
      <w:r>
        <w:rPr>
          <w:color w:val="FFFFFF"/>
          <w:spacing w:val="12"/>
          <w:sz w:val="48"/>
        </w:rPr>
        <w:t>COUNTRY</w:t>
      </w:r>
    </w:p>
    <w:p w14:paraId="1B320A18" w14:textId="77777777" w:rsidR="00141B97" w:rsidRDefault="00141B97">
      <w:pPr>
        <w:pStyle w:val="BodyText"/>
        <w:rPr>
          <w:sz w:val="20"/>
        </w:rPr>
      </w:pPr>
    </w:p>
    <w:p w14:paraId="69BA04AC" w14:textId="77777777" w:rsidR="00141B97" w:rsidRDefault="00141B97">
      <w:pPr>
        <w:pStyle w:val="BodyText"/>
        <w:spacing w:before="6"/>
      </w:pPr>
    </w:p>
    <w:p w14:paraId="20521F0A" w14:textId="77777777" w:rsidR="00141B97" w:rsidRDefault="00911D63">
      <w:pPr>
        <w:spacing w:before="75" w:line="228" w:lineRule="auto"/>
        <w:ind w:left="5431" w:hanging="1"/>
        <w:rPr>
          <w:sz w:val="16"/>
        </w:rPr>
      </w:pPr>
      <w:r>
        <w:rPr>
          <w:color w:val="221E1F"/>
          <w:sz w:val="16"/>
        </w:rPr>
        <w:t>This</w:t>
      </w:r>
      <w:r>
        <w:rPr>
          <w:color w:val="221E1F"/>
          <w:spacing w:val="-8"/>
          <w:sz w:val="16"/>
        </w:rPr>
        <w:t xml:space="preserve"> </w:t>
      </w:r>
      <w:r>
        <w:rPr>
          <w:color w:val="221E1F"/>
          <w:sz w:val="16"/>
        </w:rPr>
        <w:t>artwork</w:t>
      </w:r>
      <w:r>
        <w:rPr>
          <w:color w:val="221E1F"/>
          <w:spacing w:val="-7"/>
          <w:sz w:val="16"/>
        </w:rPr>
        <w:t xml:space="preserve"> </w:t>
      </w:r>
      <w:r>
        <w:rPr>
          <w:color w:val="221E1F"/>
          <w:sz w:val="16"/>
        </w:rPr>
        <w:t>has</w:t>
      </w:r>
      <w:r>
        <w:rPr>
          <w:color w:val="221E1F"/>
          <w:spacing w:val="-8"/>
          <w:sz w:val="16"/>
        </w:rPr>
        <w:t xml:space="preserve"> </w:t>
      </w:r>
      <w:r>
        <w:rPr>
          <w:color w:val="221E1F"/>
          <w:sz w:val="16"/>
        </w:rPr>
        <w:t>been</w:t>
      </w:r>
      <w:r>
        <w:rPr>
          <w:color w:val="221E1F"/>
          <w:spacing w:val="-7"/>
          <w:sz w:val="16"/>
        </w:rPr>
        <w:t xml:space="preserve"> </w:t>
      </w:r>
      <w:r>
        <w:rPr>
          <w:color w:val="221E1F"/>
          <w:sz w:val="16"/>
        </w:rPr>
        <w:t>provided</w:t>
      </w:r>
      <w:r>
        <w:rPr>
          <w:color w:val="221E1F"/>
          <w:spacing w:val="-8"/>
          <w:sz w:val="16"/>
        </w:rPr>
        <w:t xml:space="preserve"> </w:t>
      </w:r>
      <w:r>
        <w:rPr>
          <w:color w:val="221E1F"/>
          <w:sz w:val="16"/>
        </w:rPr>
        <w:t>by</w:t>
      </w:r>
      <w:r>
        <w:rPr>
          <w:color w:val="221E1F"/>
          <w:spacing w:val="-7"/>
          <w:sz w:val="16"/>
        </w:rPr>
        <w:t xml:space="preserve"> </w:t>
      </w:r>
      <w:r>
        <w:rPr>
          <w:color w:val="221E1F"/>
          <w:sz w:val="16"/>
        </w:rPr>
        <w:t>local</w:t>
      </w:r>
      <w:r>
        <w:rPr>
          <w:color w:val="221E1F"/>
          <w:spacing w:val="-8"/>
          <w:sz w:val="16"/>
        </w:rPr>
        <w:t xml:space="preserve"> </w:t>
      </w:r>
      <w:r>
        <w:rPr>
          <w:color w:val="221E1F"/>
          <w:sz w:val="16"/>
        </w:rPr>
        <w:t>artist</w:t>
      </w:r>
      <w:r>
        <w:rPr>
          <w:color w:val="221E1F"/>
          <w:spacing w:val="-7"/>
          <w:sz w:val="16"/>
        </w:rPr>
        <w:t xml:space="preserve"> </w:t>
      </w:r>
      <w:r>
        <w:rPr>
          <w:color w:val="221E1F"/>
          <w:sz w:val="16"/>
        </w:rPr>
        <w:t>Bella</w:t>
      </w:r>
      <w:r>
        <w:rPr>
          <w:color w:val="221E1F"/>
          <w:spacing w:val="-6"/>
          <w:sz w:val="16"/>
        </w:rPr>
        <w:t xml:space="preserve"> </w:t>
      </w:r>
      <w:r>
        <w:rPr>
          <w:color w:val="221E1F"/>
          <w:sz w:val="16"/>
        </w:rPr>
        <w:t>Sloane</w:t>
      </w:r>
      <w:r>
        <w:rPr>
          <w:color w:val="221E1F"/>
          <w:spacing w:val="-7"/>
          <w:sz w:val="16"/>
        </w:rPr>
        <w:t xml:space="preserve"> </w:t>
      </w:r>
      <w:r>
        <w:rPr>
          <w:color w:val="221E1F"/>
          <w:sz w:val="16"/>
        </w:rPr>
        <w:t>from</w:t>
      </w:r>
      <w:r>
        <w:rPr>
          <w:color w:val="221E1F"/>
          <w:spacing w:val="-7"/>
          <w:sz w:val="16"/>
        </w:rPr>
        <w:t xml:space="preserve"> </w:t>
      </w:r>
      <w:r>
        <w:rPr>
          <w:color w:val="221E1F"/>
          <w:sz w:val="16"/>
        </w:rPr>
        <w:t>the</w:t>
      </w:r>
      <w:r>
        <w:rPr>
          <w:color w:val="221E1F"/>
          <w:spacing w:val="-7"/>
          <w:sz w:val="16"/>
        </w:rPr>
        <w:t xml:space="preserve"> </w:t>
      </w:r>
      <w:r>
        <w:rPr>
          <w:color w:val="221E1F"/>
          <w:sz w:val="16"/>
        </w:rPr>
        <w:t>Ngiyampaa</w:t>
      </w:r>
      <w:r>
        <w:rPr>
          <w:color w:val="221E1F"/>
          <w:spacing w:val="40"/>
          <w:sz w:val="16"/>
        </w:rPr>
        <w:t xml:space="preserve"> </w:t>
      </w:r>
      <w:r>
        <w:rPr>
          <w:color w:val="221E1F"/>
          <w:sz w:val="16"/>
        </w:rPr>
        <w:t>tribe.</w:t>
      </w:r>
      <w:r>
        <w:rPr>
          <w:color w:val="221E1F"/>
          <w:spacing w:val="40"/>
          <w:sz w:val="16"/>
        </w:rPr>
        <w:t xml:space="preserve"> </w:t>
      </w:r>
      <w:r>
        <w:rPr>
          <w:color w:val="221E1F"/>
          <w:sz w:val="16"/>
        </w:rPr>
        <w:t>Her painting represents family titled, ‘The Connection to Family’.</w:t>
      </w:r>
    </w:p>
    <w:p w14:paraId="097D9356" w14:textId="77777777" w:rsidR="00141B97" w:rsidRDefault="00141B97">
      <w:pPr>
        <w:pStyle w:val="BodyText"/>
        <w:rPr>
          <w:sz w:val="20"/>
        </w:rPr>
      </w:pPr>
    </w:p>
    <w:p w14:paraId="3189EF68" w14:textId="77777777" w:rsidR="00141B97" w:rsidRDefault="00141B97">
      <w:pPr>
        <w:pStyle w:val="BodyText"/>
        <w:spacing w:before="2"/>
        <w:rPr>
          <w:sz w:val="15"/>
        </w:rPr>
      </w:pPr>
    </w:p>
    <w:p w14:paraId="13B24638" w14:textId="77777777" w:rsidR="00141B97" w:rsidRDefault="00141B97">
      <w:pPr>
        <w:rPr>
          <w:sz w:val="15"/>
        </w:rPr>
        <w:sectPr w:rsidR="00141B97">
          <w:pgSz w:w="11910" w:h="16840"/>
          <w:pgMar w:top="200" w:right="520" w:bottom="280" w:left="800" w:header="720" w:footer="720" w:gutter="0"/>
          <w:cols w:space="720"/>
        </w:sectPr>
      </w:pPr>
    </w:p>
    <w:p w14:paraId="393C993A" w14:textId="469CC815" w:rsidR="00141B97" w:rsidRDefault="00911D63">
      <w:pPr>
        <w:spacing w:before="60" w:line="266" w:lineRule="auto"/>
        <w:ind w:left="210" w:right="152" w:hanging="1"/>
        <w:jc w:val="both"/>
        <w:rPr>
          <w:sz w:val="20"/>
        </w:rPr>
      </w:pPr>
      <w:r>
        <w:rPr>
          <w:noProof/>
        </w:rPr>
        <mc:AlternateContent>
          <mc:Choice Requires="wpg">
            <w:drawing>
              <wp:anchor distT="0" distB="0" distL="114300" distR="114300" simplePos="0" relativeHeight="471426560" behindDoc="1" locked="0" layoutInCell="1" allowOverlap="1" wp14:anchorId="76BA53EF" wp14:editId="6BC02D75">
                <wp:simplePos x="0" y="0"/>
                <wp:positionH relativeFrom="page">
                  <wp:posOffset>0</wp:posOffset>
                </wp:positionH>
                <wp:positionV relativeFrom="page">
                  <wp:posOffset>130810</wp:posOffset>
                </wp:positionV>
                <wp:extent cx="7557135" cy="5843270"/>
                <wp:effectExtent l="0" t="0" r="0" b="0"/>
                <wp:wrapNone/>
                <wp:docPr id="41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5843270"/>
                          <a:chOff x="0" y="206"/>
                          <a:chExt cx="11901" cy="9202"/>
                        </a:xfrm>
                      </wpg:grpSpPr>
                      <pic:pic xmlns:pic="http://schemas.openxmlformats.org/drawingml/2006/picture">
                        <pic:nvPicPr>
                          <pic:cNvPr id="420"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06"/>
                            <a:ext cx="11901" cy="9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7497"/>
                            <a:ext cx="6130"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Line 351"/>
                        <wps:cNvCnPr>
                          <a:cxnSpLocks noChangeShapeType="1"/>
                        </wps:cNvCnPr>
                        <wps:spPr bwMode="auto">
                          <a:xfrm>
                            <a:off x="1055" y="9088"/>
                            <a:ext cx="583"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39768C" id="docshapegroup3" o:spid="_x0000_s1026" style="position:absolute;margin-left:0;margin-top:10.3pt;width:595.05pt;height:460.1pt;z-index:-31889920;mso-position-horizontal-relative:page;mso-position-vertical-relative:page" coordorigin=",206" coordsize="11901,9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">
                <v:shape id="docshape4" o:spid="_x0000_s1027" type="#_x0000_t75" style="position:absolute;top:206;width:11901;height: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">
                  <v:imagedata r:id="rId15" o:title=""/>
                </v:shape>
                <v:shape id="docshape5" o:spid="_x0000_s1028" type="#_x0000_t75" style="position:absolute;top:7497;width:6130;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">
                  <v:imagedata r:id="rId16" o:title=""/>
                </v:shape>
                <v:line id="Line 351" o:spid="_x0000_s1029" style="position:absolute;visibility:visible;mso-wrap-style:square" from="1055,9088" to="1638,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" strokecolor="white" strokeweight="2pt"/>
                <w10:wrap anchorx="page" anchory="page"/>
              </v:group>
            </w:pict>
          </mc:Fallback>
        </mc:AlternateContent>
      </w:r>
      <w:r>
        <w:rPr>
          <w:color w:val="221E1F"/>
          <w:sz w:val="20"/>
        </w:rPr>
        <w:t>Lower Murray Water acknowledges the Traditional Owners</w:t>
      </w:r>
      <w:r>
        <w:rPr>
          <w:color w:val="221E1F"/>
          <w:spacing w:val="40"/>
          <w:sz w:val="20"/>
        </w:rPr>
        <w:t xml:space="preserve"> </w:t>
      </w:r>
      <w:r>
        <w:rPr>
          <w:color w:val="221E1F"/>
          <w:sz w:val="20"/>
        </w:rPr>
        <w:t>of the land on which we work and reside. We recognise their continuing connection to land, waterways, and community.</w:t>
      </w:r>
      <w:r>
        <w:rPr>
          <w:color w:val="221E1F"/>
          <w:spacing w:val="40"/>
          <w:sz w:val="20"/>
        </w:rPr>
        <w:t xml:space="preserve"> </w:t>
      </w:r>
      <w:r>
        <w:rPr>
          <w:color w:val="221E1F"/>
          <w:sz w:val="20"/>
        </w:rPr>
        <w:t>We pay our respects to Elders past, present and future.</w:t>
      </w:r>
    </w:p>
    <w:p w14:paraId="64CF1977" w14:textId="77777777" w:rsidR="00141B97" w:rsidRDefault="00911D63">
      <w:pPr>
        <w:spacing w:before="165" w:line="266" w:lineRule="auto"/>
        <w:ind w:left="210" w:right="38"/>
        <w:jc w:val="both"/>
        <w:rPr>
          <w:sz w:val="20"/>
        </w:rPr>
      </w:pPr>
      <w:r>
        <w:rPr>
          <w:color w:val="221E1F"/>
          <w:sz w:val="20"/>
        </w:rPr>
        <w:t>The Traditional Owner groups within Lower Murray Water’s</w:t>
      </w:r>
      <w:r>
        <w:rPr>
          <w:color w:val="221E1F"/>
          <w:spacing w:val="40"/>
          <w:sz w:val="20"/>
        </w:rPr>
        <w:t xml:space="preserve"> </w:t>
      </w:r>
      <w:r>
        <w:rPr>
          <w:color w:val="221E1F"/>
          <w:sz w:val="20"/>
        </w:rPr>
        <w:t>service region lie within the traditional lands of First Nations</w:t>
      </w:r>
      <w:r>
        <w:rPr>
          <w:color w:val="221E1F"/>
          <w:spacing w:val="40"/>
          <w:sz w:val="20"/>
        </w:rPr>
        <w:t xml:space="preserve"> </w:t>
      </w:r>
      <w:r>
        <w:rPr>
          <w:color w:val="221E1F"/>
          <w:sz w:val="20"/>
        </w:rPr>
        <w:t>Peoples, from upstream at Koondrook moving</w:t>
      </w:r>
      <w:r>
        <w:rPr>
          <w:color w:val="221E1F"/>
          <w:spacing w:val="-7"/>
          <w:sz w:val="20"/>
        </w:rPr>
        <w:t xml:space="preserve"> </w:t>
      </w:r>
      <w:r>
        <w:rPr>
          <w:color w:val="221E1F"/>
          <w:sz w:val="20"/>
        </w:rPr>
        <w:t>downstream</w:t>
      </w:r>
      <w:r>
        <w:rPr>
          <w:color w:val="221E1F"/>
          <w:spacing w:val="26"/>
          <w:sz w:val="20"/>
        </w:rPr>
        <w:t xml:space="preserve"> </w:t>
      </w:r>
      <w:r>
        <w:rPr>
          <w:color w:val="221E1F"/>
          <w:sz w:val="20"/>
        </w:rPr>
        <w:t>along</w:t>
      </w:r>
      <w:r>
        <w:rPr>
          <w:color w:val="221E1F"/>
          <w:spacing w:val="-7"/>
          <w:sz w:val="20"/>
        </w:rPr>
        <w:t xml:space="preserve"> </w:t>
      </w:r>
      <w:r>
        <w:rPr>
          <w:color w:val="221E1F"/>
          <w:sz w:val="20"/>
        </w:rPr>
        <w:t>the</w:t>
      </w:r>
      <w:r>
        <w:rPr>
          <w:color w:val="221E1F"/>
          <w:spacing w:val="-6"/>
          <w:sz w:val="20"/>
        </w:rPr>
        <w:t xml:space="preserve"> </w:t>
      </w:r>
      <w:r>
        <w:rPr>
          <w:color w:val="221E1F"/>
          <w:sz w:val="20"/>
        </w:rPr>
        <w:t>Murray</w:t>
      </w:r>
      <w:r>
        <w:rPr>
          <w:color w:val="221E1F"/>
          <w:spacing w:val="-6"/>
          <w:sz w:val="20"/>
        </w:rPr>
        <w:t xml:space="preserve"> </w:t>
      </w:r>
      <w:r>
        <w:rPr>
          <w:color w:val="221E1F"/>
          <w:sz w:val="20"/>
        </w:rPr>
        <w:t>River</w:t>
      </w:r>
      <w:r>
        <w:rPr>
          <w:color w:val="221E1F"/>
          <w:spacing w:val="-8"/>
          <w:sz w:val="20"/>
        </w:rPr>
        <w:t xml:space="preserve"> </w:t>
      </w:r>
      <w:r>
        <w:rPr>
          <w:color w:val="221E1F"/>
          <w:sz w:val="20"/>
        </w:rPr>
        <w:t>(Mil)</w:t>
      </w:r>
      <w:r>
        <w:rPr>
          <w:color w:val="221E1F"/>
          <w:spacing w:val="-8"/>
          <w:sz w:val="20"/>
        </w:rPr>
        <w:t xml:space="preserve"> </w:t>
      </w:r>
      <w:r>
        <w:rPr>
          <w:color w:val="221E1F"/>
          <w:sz w:val="20"/>
        </w:rPr>
        <w:t>through to the western edge of</w:t>
      </w:r>
      <w:r>
        <w:rPr>
          <w:color w:val="221E1F"/>
          <w:spacing w:val="40"/>
          <w:sz w:val="20"/>
        </w:rPr>
        <w:t xml:space="preserve"> </w:t>
      </w:r>
      <w:r>
        <w:rPr>
          <w:color w:val="221E1F"/>
          <w:sz w:val="20"/>
        </w:rPr>
        <w:t>our</w:t>
      </w:r>
      <w:r>
        <w:rPr>
          <w:color w:val="221E1F"/>
          <w:spacing w:val="-4"/>
          <w:sz w:val="20"/>
        </w:rPr>
        <w:t xml:space="preserve"> </w:t>
      </w:r>
      <w:r>
        <w:rPr>
          <w:color w:val="221E1F"/>
          <w:sz w:val="20"/>
        </w:rPr>
        <w:t>region</w:t>
      </w:r>
      <w:r>
        <w:rPr>
          <w:color w:val="221E1F"/>
          <w:spacing w:val="-5"/>
          <w:sz w:val="20"/>
        </w:rPr>
        <w:t xml:space="preserve"> </w:t>
      </w:r>
      <w:r>
        <w:rPr>
          <w:color w:val="221E1F"/>
          <w:sz w:val="20"/>
        </w:rPr>
        <w:t>at</w:t>
      </w:r>
      <w:r>
        <w:rPr>
          <w:color w:val="221E1F"/>
          <w:spacing w:val="-4"/>
          <w:sz w:val="20"/>
        </w:rPr>
        <w:t xml:space="preserve"> </w:t>
      </w:r>
      <w:r>
        <w:rPr>
          <w:color w:val="221E1F"/>
          <w:sz w:val="20"/>
        </w:rPr>
        <w:t>the</w:t>
      </w:r>
      <w:r>
        <w:rPr>
          <w:color w:val="221E1F"/>
          <w:spacing w:val="-4"/>
          <w:sz w:val="20"/>
        </w:rPr>
        <w:t xml:space="preserve"> </w:t>
      </w:r>
      <w:r>
        <w:rPr>
          <w:color w:val="221E1F"/>
          <w:sz w:val="20"/>
        </w:rPr>
        <w:t>South</w:t>
      </w:r>
      <w:r>
        <w:rPr>
          <w:color w:val="221E1F"/>
          <w:spacing w:val="-4"/>
          <w:sz w:val="20"/>
        </w:rPr>
        <w:t xml:space="preserve"> </w:t>
      </w:r>
      <w:r>
        <w:rPr>
          <w:color w:val="221E1F"/>
          <w:sz w:val="20"/>
        </w:rPr>
        <w:t>Australian border. They are the Barapa</w:t>
      </w:r>
      <w:r>
        <w:rPr>
          <w:color w:val="221E1F"/>
          <w:spacing w:val="40"/>
          <w:sz w:val="20"/>
        </w:rPr>
        <w:t xml:space="preserve"> </w:t>
      </w:r>
      <w:r>
        <w:rPr>
          <w:color w:val="221E1F"/>
          <w:sz w:val="20"/>
        </w:rPr>
        <w:t>Barapa Peoples, Wamba Wemba Peoples, Wadi Wadi Peoples,</w:t>
      </w:r>
      <w:r>
        <w:rPr>
          <w:color w:val="221E1F"/>
          <w:spacing w:val="40"/>
          <w:sz w:val="20"/>
        </w:rPr>
        <w:t xml:space="preserve"> </w:t>
      </w:r>
      <w:r>
        <w:rPr>
          <w:color w:val="221E1F"/>
          <w:sz w:val="20"/>
        </w:rPr>
        <w:t>Tatti Tatti Peoples, Latji Latji Peoples, Nyeri Nyeri Peoples,</w:t>
      </w:r>
      <w:r>
        <w:rPr>
          <w:color w:val="221E1F"/>
          <w:spacing w:val="40"/>
          <w:sz w:val="20"/>
        </w:rPr>
        <w:t xml:space="preserve"> </w:t>
      </w:r>
      <w:r>
        <w:rPr>
          <w:color w:val="221E1F"/>
          <w:sz w:val="20"/>
        </w:rPr>
        <w:t>Ngintait Peoples and the Wergaia Peoples.</w:t>
      </w:r>
    </w:p>
    <w:p w14:paraId="7810CA6F" w14:textId="77777777" w:rsidR="00141B97" w:rsidRDefault="00911D63">
      <w:pPr>
        <w:spacing w:before="163" w:line="266" w:lineRule="auto"/>
        <w:ind w:left="309" w:right="411"/>
        <w:jc w:val="both"/>
        <w:rPr>
          <w:sz w:val="20"/>
        </w:rPr>
      </w:pPr>
      <w:r>
        <w:br w:type="column"/>
      </w:r>
      <w:r>
        <w:rPr>
          <w:color w:val="221E1F"/>
          <w:sz w:val="20"/>
        </w:rPr>
        <w:t>The First Nation Peoples’ connection to land and water is the</w:t>
      </w:r>
      <w:r>
        <w:rPr>
          <w:color w:val="221E1F"/>
          <w:spacing w:val="40"/>
          <w:sz w:val="20"/>
        </w:rPr>
        <w:t xml:space="preserve"> </w:t>
      </w:r>
      <w:r>
        <w:rPr>
          <w:color w:val="221E1F"/>
          <w:sz w:val="20"/>
        </w:rPr>
        <w:t>living cultural knowledge that is passed down from generation</w:t>
      </w:r>
      <w:r>
        <w:rPr>
          <w:color w:val="221E1F"/>
          <w:spacing w:val="40"/>
          <w:sz w:val="20"/>
        </w:rPr>
        <w:t xml:space="preserve"> </w:t>
      </w:r>
      <w:r>
        <w:rPr>
          <w:color w:val="221E1F"/>
          <w:sz w:val="20"/>
        </w:rPr>
        <w:t>to generation. The stories that connected the ancestors</w:t>
      </w:r>
      <w:r>
        <w:rPr>
          <w:color w:val="221E1F"/>
          <w:spacing w:val="-11"/>
          <w:sz w:val="20"/>
        </w:rPr>
        <w:t xml:space="preserve"> </w:t>
      </w:r>
      <w:r>
        <w:rPr>
          <w:color w:val="221E1F"/>
          <w:sz w:val="20"/>
        </w:rPr>
        <w:t>to</w:t>
      </w:r>
      <w:r>
        <w:rPr>
          <w:color w:val="221E1F"/>
          <w:spacing w:val="-12"/>
          <w:sz w:val="20"/>
        </w:rPr>
        <w:t xml:space="preserve"> </w:t>
      </w:r>
      <w:r>
        <w:rPr>
          <w:color w:val="221E1F"/>
          <w:sz w:val="20"/>
        </w:rPr>
        <w:t>their</w:t>
      </w:r>
      <w:r>
        <w:rPr>
          <w:color w:val="221E1F"/>
          <w:spacing w:val="30"/>
          <w:sz w:val="20"/>
        </w:rPr>
        <w:t xml:space="preserve"> </w:t>
      </w:r>
      <w:r>
        <w:rPr>
          <w:color w:val="221E1F"/>
          <w:sz w:val="20"/>
        </w:rPr>
        <w:t>culture</w:t>
      </w:r>
      <w:r>
        <w:rPr>
          <w:color w:val="221E1F"/>
          <w:spacing w:val="-6"/>
          <w:sz w:val="20"/>
        </w:rPr>
        <w:t xml:space="preserve"> </w:t>
      </w:r>
      <w:r>
        <w:rPr>
          <w:color w:val="221E1F"/>
          <w:sz w:val="20"/>
        </w:rPr>
        <w:t>still</w:t>
      </w:r>
      <w:r>
        <w:rPr>
          <w:color w:val="221E1F"/>
          <w:spacing w:val="-7"/>
          <w:sz w:val="20"/>
        </w:rPr>
        <w:t xml:space="preserve"> </w:t>
      </w:r>
      <w:r>
        <w:rPr>
          <w:color w:val="221E1F"/>
          <w:sz w:val="20"/>
        </w:rPr>
        <w:t>live</w:t>
      </w:r>
      <w:r>
        <w:rPr>
          <w:color w:val="221E1F"/>
          <w:spacing w:val="-5"/>
          <w:sz w:val="20"/>
        </w:rPr>
        <w:t xml:space="preserve"> </w:t>
      </w:r>
      <w:r>
        <w:rPr>
          <w:color w:val="221E1F"/>
          <w:sz w:val="20"/>
        </w:rPr>
        <w:t>through</w:t>
      </w:r>
      <w:r>
        <w:rPr>
          <w:color w:val="221E1F"/>
          <w:spacing w:val="-7"/>
          <w:sz w:val="20"/>
        </w:rPr>
        <w:t xml:space="preserve"> </w:t>
      </w:r>
      <w:r>
        <w:rPr>
          <w:color w:val="221E1F"/>
          <w:sz w:val="20"/>
        </w:rPr>
        <w:t>the</w:t>
      </w:r>
      <w:r>
        <w:rPr>
          <w:color w:val="221E1F"/>
          <w:spacing w:val="-5"/>
          <w:sz w:val="20"/>
        </w:rPr>
        <w:t xml:space="preserve"> </w:t>
      </w:r>
      <w:r>
        <w:rPr>
          <w:color w:val="221E1F"/>
          <w:sz w:val="20"/>
        </w:rPr>
        <w:t>First</w:t>
      </w:r>
      <w:r>
        <w:rPr>
          <w:color w:val="221E1F"/>
          <w:spacing w:val="-7"/>
          <w:sz w:val="20"/>
        </w:rPr>
        <w:t xml:space="preserve"> </w:t>
      </w:r>
      <w:r>
        <w:rPr>
          <w:color w:val="221E1F"/>
          <w:sz w:val="20"/>
        </w:rPr>
        <w:t>Nations Peoples of today.</w:t>
      </w:r>
    </w:p>
    <w:p w14:paraId="37330D38" w14:textId="77777777" w:rsidR="00141B97" w:rsidRDefault="00911D63">
      <w:pPr>
        <w:spacing w:before="51"/>
        <w:ind w:left="309"/>
        <w:jc w:val="both"/>
        <w:rPr>
          <w:sz w:val="20"/>
        </w:rPr>
      </w:pPr>
      <w:r>
        <w:rPr>
          <w:color w:val="221E1F"/>
          <w:sz w:val="20"/>
        </w:rPr>
        <w:t>‐</w:t>
      </w:r>
      <w:r>
        <w:rPr>
          <w:color w:val="221E1F"/>
          <w:spacing w:val="-5"/>
          <w:sz w:val="20"/>
        </w:rPr>
        <w:t xml:space="preserve"> </w:t>
      </w:r>
      <w:r>
        <w:rPr>
          <w:color w:val="221E1F"/>
          <w:sz w:val="20"/>
        </w:rPr>
        <w:t>Acknowledgement</w:t>
      </w:r>
      <w:r>
        <w:rPr>
          <w:color w:val="221E1F"/>
          <w:spacing w:val="-2"/>
          <w:sz w:val="20"/>
        </w:rPr>
        <w:t xml:space="preserve"> </w:t>
      </w:r>
      <w:r>
        <w:rPr>
          <w:color w:val="221E1F"/>
          <w:sz w:val="20"/>
        </w:rPr>
        <w:t>of</w:t>
      </w:r>
      <w:r>
        <w:rPr>
          <w:color w:val="221E1F"/>
          <w:spacing w:val="-3"/>
          <w:sz w:val="20"/>
        </w:rPr>
        <w:t xml:space="preserve"> </w:t>
      </w:r>
      <w:r>
        <w:rPr>
          <w:color w:val="221E1F"/>
          <w:sz w:val="20"/>
        </w:rPr>
        <w:t>Country</w:t>
      </w:r>
      <w:r>
        <w:rPr>
          <w:color w:val="221E1F"/>
          <w:spacing w:val="-3"/>
          <w:sz w:val="20"/>
        </w:rPr>
        <w:t xml:space="preserve"> </w:t>
      </w:r>
      <w:r>
        <w:rPr>
          <w:color w:val="221E1F"/>
          <w:sz w:val="20"/>
        </w:rPr>
        <w:t>written</w:t>
      </w:r>
      <w:r>
        <w:rPr>
          <w:color w:val="221E1F"/>
          <w:spacing w:val="-4"/>
          <w:sz w:val="20"/>
        </w:rPr>
        <w:t xml:space="preserve"> </w:t>
      </w:r>
      <w:r>
        <w:rPr>
          <w:color w:val="221E1F"/>
          <w:sz w:val="20"/>
        </w:rPr>
        <w:t>by</w:t>
      </w:r>
      <w:r>
        <w:rPr>
          <w:color w:val="221E1F"/>
          <w:spacing w:val="-4"/>
          <w:sz w:val="20"/>
        </w:rPr>
        <w:t xml:space="preserve"> </w:t>
      </w:r>
      <w:r>
        <w:rPr>
          <w:color w:val="221E1F"/>
          <w:sz w:val="20"/>
        </w:rPr>
        <w:t>Stephanie</w:t>
      </w:r>
      <w:r>
        <w:rPr>
          <w:color w:val="221E1F"/>
          <w:spacing w:val="-1"/>
          <w:sz w:val="20"/>
        </w:rPr>
        <w:t xml:space="preserve"> </w:t>
      </w:r>
      <w:r>
        <w:rPr>
          <w:color w:val="221E1F"/>
          <w:spacing w:val="-2"/>
          <w:sz w:val="20"/>
        </w:rPr>
        <w:t>Sloane.</w:t>
      </w:r>
    </w:p>
    <w:p w14:paraId="3C8EF1CA" w14:textId="77777777" w:rsidR="00141B97" w:rsidRDefault="00141B97">
      <w:pPr>
        <w:pStyle w:val="BodyText"/>
        <w:rPr>
          <w:sz w:val="20"/>
        </w:rPr>
      </w:pPr>
    </w:p>
    <w:p w14:paraId="52DEA10F" w14:textId="77777777" w:rsidR="00141B97" w:rsidRDefault="00141B97">
      <w:pPr>
        <w:pStyle w:val="BodyText"/>
        <w:spacing w:before="11"/>
        <w:rPr>
          <w:sz w:val="16"/>
        </w:rPr>
      </w:pPr>
    </w:p>
    <w:p w14:paraId="41D58BA6" w14:textId="77777777" w:rsidR="00141B97" w:rsidRDefault="00911D63">
      <w:pPr>
        <w:spacing w:before="1" w:line="266" w:lineRule="auto"/>
        <w:ind w:left="213" w:right="147"/>
        <w:jc w:val="center"/>
        <w:rPr>
          <w:i/>
          <w:sz w:val="20"/>
        </w:rPr>
      </w:pPr>
      <w:r>
        <w:rPr>
          <w:i/>
          <w:color w:val="4371C4"/>
          <w:sz w:val="20"/>
        </w:rPr>
        <w:t>Stephanie</w:t>
      </w:r>
      <w:r>
        <w:rPr>
          <w:i/>
          <w:color w:val="4371C4"/>
          <w:spacing w:val="-7"/>
          <w:sz w:val="20"/>
        </w:rPr>
        <w:t xml:space="preserve"> </w:t>
      </w:r>
      <w:r>
        <w:rPr>
          <w:i/>
          <w:color w:val="4371C4"/>
          <w:sz w:val="20"/>
        </w:rPr>
        <w:t>works</w:t>
      </w:r>
      <w:r>
        <w:rPr>
          <w:i/>
          <w:color w:val="4371C4"/>
          <w:spacing w:val="-6"/>
          <w:sz w:val="20"/>
        </w:rPr>
        <w:t xml:space="preserve"> </w:t>
      </w:r>
      <w:r>
        <w:rPr>
          <w:i/>
          <w:color w:val="4371C4"/>
          <w:sz w:val="20"/>
        </w:rPr>
        <w:t>at</w:t>
      </w:r>
      <w:r>
        <w:rPr>
          <w:i/>
          <w:color w:val="4371C4"/>
          <w:spacing w:val="-7"/>
          <w:sz w:val="20"/>
        </w:rPr>
        <w:t xml:space="preserve"> </w:t>
      </w:r>
      <w:r>
        <w:rPr>
          <w:i/>
          <w:color w:val="4371C4"/>
          <w:sz w:val="20"/>
        </w:rPr>
        <w:t>Lower</w:t>
      </w:r>
      <w:r>
        <w:rPr>
          <w:i/>
          <w:color w:val="4371C4"/>
          <w:spacing w:val="-7"/>
          <w:sz w:val="20"/>
        </w:rPr>
        <w:t xml:space="preserve"> </w:t>
      </w:r>
      <w:r>
        <w:rPr>
          <w:i/>
          <w:color w:val="4371C4"/>
          <w:sz w:val="20"/>
        </w:rPr>
        <w:t>Murray</w:t>
      </w:r>
      <w:r>
        <w:rPr>
          <w:i/>
          <w:color w:val="4371C4"/>
          <w:spacing w:val="-6"/>
          <w:sz w:val="20"/>
        </w:rPr>
        <w:t xml:space="preserve"> </w:t>
      </w:r>
      <w:r>
        <w:rPr>
          <w:i/>
          <w:color w:val="4371C4"/>
          <w:sz w:val="20"/>
        </w:rPr>
        <w:t>Water</w:t>
      </w:r>
      <w:r>
        <w:rPr>
          <w:i/>
          <w:color w:val="4371C4"/>
          <w:spacing w:val="-7"/>
          <w:sz w:val="20"/>
        </w:rPr>
        <w:t xml:space="preserve"> </w:t>
      </w:r>
      <w:r>
        <w:rPr>
          <w:i/>
          <w:color w:val="4371C4"/>
          <w:sz w:val="20"/>
        </w:rPr>
        <w:t>as</w:t>
      </w:r>
      <w:r>
        <w:rPr>
          <w:i/>
          <w:color w:val="4371C4"/>
          <w:spacing w:val="-6"/>
          <w:sz w:val="20"/>
        </w:rPr>
        <w:t xml:space="preserve"> </w:t>
      </w:r>
      <w:r>
        <w:rPr>
          <w:i/>
          <w:color w:val="4371C4"/>
          <w:sz w:val="20"/>
        </w:rPr>
        <w:t>a</w:t>
      </w:r>
      <w:r>
        <w:rPr>
          <w:i/>
          <w:color w:val="4371C4"/>
          <w:spacing w:val="-6"/>
          <w:sz w:val="20"/>
        </w:rPr>
        <w:t xml:space="preserve"> </w:t>
      </w:r>
      <w:r>
        <w:rPr>
          <w:i/>
          <w:color w:val="4371C4"/>
          <w:sz w:val="20"/>
        </w:rPr>
        <w:t>People</w:t>
      </w:r>
      <w:r>
        <w:rPr>
          <w:i/>
          <w:color w:val="4371C4"/>
          <w:spacing w:val="33"/>
          <w:sz w:val="20"/>
        </w:rPr>
        <w:t xml:space="preserve"> </w:t>
      </w:r>
      <w:r>
        <w:rPr>
          <w:i/>
          <w:color w:val="4371C4"/>
          <w:sz w:val="20"/>
        </w:rPr>
        <w:t>and</w:t>
      </w:r>
      <w:r>
        <w:rPr>
          <w:i/>
          <w:color w:val="4371C4"/>
          <w:spacing w:val="-3"/>
          <w:sz w:val="20"/>
        </w:rPr>
        <w:t xml:space="preserve"> </w:t>
      </w:r>
      <w:r>
        <w:rPr>
          <w:i/>
          <w:color w:val="4371C4"/>
          <w:sz w:val="20"/>
        </w:rPr>
        <w:t>Safety Trainee. She is a proud Ngiyampaa</w:t>
      </w:r>
      <w:r>
        <w:rPr>
          <w:i/>
          <w:color w:val="4371C4"/>
          <w:spacing w:val="40"/>
          <w:sz w:val="20"/>
        </w:rPr>
        <w:t xml:space="preserve"> </w:t>
      </w:r>
      <w:r>
        <w:rPr>
          <w:i/>
          <w:color w:val="4371C4"/>
          <w:sz w:val="20"/>
        </w:rPr>
        <w:t>woman and has a strong connection to her culture,</w:t>
      </w:r>
      <w:r>
        <w:rPr>
          <w:i/>
          <w:color w:val="4371C4"/>
          <w:spacing w:val="40"/>
          <w:sz w:val="20"/>
        </w:rPr>
        <w:t xml:space="preserve"> </w:t>
      </w:r>
      <w:r>
        <w:rPr>
          <w:i/>
          <w:color w:val="4371C4"/>
          <w:sz w:val="20"/>
        </w:rPr>
        <w:t>history, and the land. Stephanie has brought not only</w:t>
      </w:r>
      <w:r>
        <w:rPr>
          <w:i/>
          <w:color w:val="4371C4"/>
          <w:spacing w:val="40"/>
          <w:sz w:val="20"/>
        </w:rPr>
        <w:t xml:space="preserve"> </w:t>
      </w:r>
      <w:r>
        <w:rPr>
          <w:i/>
          <w:color w:val="4371C4"/>
          <w:sz w:val="20"/>
        </w:rPr>
        <w:t>her experience and passion for people to this role</w:t>
      </w:r>
      <w:r>
        <w:rPr>
          <w:i/>
          <w:color w:val="4371C4"/>
          <w:spacing w:val="40"/>
          <w:sz w:val="20"/>
        </w:rPr>
        <w:t xml:space="preserve"> </w:t>
      </w:r>
      <w:r>
        <w:rPr>
          <w:i/>
          <w:color w:val="4371C4"/>
          <w:sz w:val="20"/>
        </w:rPr>
        <w:t>but also a commitment to inspire and mentor others wishing to pursue a career at LMW.</w:t>
      </w:r>
    </w:p>
    <w:p w14:paraId="385B38EB" w14:textId="77777777" w:rsidR="00141B97" w:rsidRDefault="00141B97">
      <w:pPr>
        <w:spacing w:line="266" w:lineRule="auto"/>
        <w:jc w:val="center"/>
        <w:rPr>
          <w:sz w:val="20"/>
        </w:rPr>
        <w:sectPr w:rsidR="00141B97">
          <w:type w:val="continuous"/>
          <w:pgSz w:w="11910" w:h="16840"/>
          <w:pgMar w:top="1940" w:right="520" w:bottom="280" w:left="800" w:header="720" w:footer="720" w:gutter="0"/>
          <w:cols w:num="2" w:space="720" w:equalWidth="0">
            <w:col w:w="4927" w:space="196"/>
            <w:col w:w="5467"/>
          </w:cols>
        </w:sectPr>
      </w:pPr>
    </w:p>
    <w:p w14:paraId="1EA37281" w14:textId="77777777" w:rsidR="00141B97" w:rsidRDefault="00911D63">
      <w:pPr>
        <w:pStyle w:val="Heading1"/>
        <w:ind w:left="334"/>
        <w:jc w:val="both"/>
      </w:pPr>
      <w:r>
        <w:rPr>
          <w:color w:val="006CA3"/>
        </w:rPr>
        <w:lastRenderedPageBreak/>
        <w:t>LMW</w:t>
      </w:r>
      <w:r>
        <w:rPr>
          <w:color w:val="006CA3"/>
          <w:spacing w:val="-12"/>
        </w:rPr>
        <w:t xml:space="preserve"> </w:t>
      </w:r>
      <w:r>
        <w:rPr>
          <w:color w:val="006CA3"/>
        </w:rPr>
        <w:t>Statement</w:t>
      </w:r>
      <w:r>
        <w:rPr>
          <w:color w:val="006CA3"/>
          <w:spacing w:val="-13"/>
        </w:rPr>
        <w:t xml:space="preserve"> </w:t>
      </w:r>
      <w:r>
        <w:rPr>
          <w:color w:val="006CA3"/>
        </w:rPr>
        <w:t>of</w:t>
      </w:r>
      <w:r>
        <w:rPr>
          <w:color w:val="006CA3"/>
          <w:spacing w:val="-12"/>
        </w:rPr>
        <w:t xml:space="preserve"> </w:t>
      </w:r>
      <w:r>
        <w:rPr>
          <w:color w:val="006CA3"/>
          <w:spacing w:val="-2"/>
        </w:rPr>
        <w:t>Promise</w:t>
      </w:r>
    </w:p>
    <w:p w14:paraId="7F6C7E40" w14:textId="77777777" w:rsidR="00141B97" w:rsidRDefault="00141B97">
      <w:pPr>
        <w:pStyle w:val="BodyText"/>
        <w:spacing w:before="8"/>
        <w:rPr>
          <w:sz w:val="40"/>
        </w:rPr>
      </w:pPr>
    </w:p>
    <w:p w14:paraId="003450B8" w14:textId="77777777" w:rsidR="00141B97" w:rsidRDefault="00911D63">
      <w:pPr>
        <w:pStyle w:val="BodyText"/>
        <w:ind w:left="334" w:right="468" w:hanging="1"/>
        <w:jc w:val="both"/>
      </w:pPr>
      <w:r>
        <w:t>LMW’s</w:t>
      </w:r>
      <w:r>
        <w:rPr>
          <w:spacing w:val="-5"/>
        </w:rPr>
        <w:t xml:space="preserve"> </w:t>
      </w:r>
      <w:r>
        <w:t>commitment</w:t>
      </w:r>
      <w:r>
        <w:rPr>
          <w:spacing w:val="-5"/>
        </w:rPr>
        <w:t xml:space="preserve"> </w:t>
      </w:r>
      <w:r>
        <w:t>to</w:t>
      </w:r>
      <w:r>
        <w:rPr>
          <w:spacing w:val="-5"/>
        </w:rPr>
        <w:t xml:space="preserve"> </w:t>
      </w:r>
      <w:r>
        <w:t>its</w:t>
      </w:r>
      <w:r>
        <w:rPr>
          <w:spacing w:val="-3"/>
        </w:rPr>
        <w:t xml:space="preserve"> </w:t>
      </w:r>
      <w:r>
        <w:t>urban</w:t>
      </w:r>
      <w:r>
        <w:rPr>
          <w:spacing w:val="-5"/>
        </w:rPr>
        <w:t xml:space="preserve"> </w:t>
      </w:r>
      <w:r>
        <w:t>and</w:t>
      </w:r>
      <w:r>
        <w:rPr>
          <w:spacing w:val="-4"/>
        </w:rPr>
        <w:t xml:space="preserve"> </w:t>
      </w:r>
      <w:r>
        <w:t>rural</w:t>
      </w:r>
      <w:r>
        <w:rPr>
          <w:spacing w:val="-6"/>
        </w:rPr>
        <w:t xml:space="preserve"> </w:t>
      </w:r>
      <w:r>
        <w:t>customers</w:t>
      </w:r>
      <w:r>
        <w:rPr>
          <w:spacing w:val="-3"/>
        </w:rPr>
        <w:t xml:space="preserve"> </w:t>
      </w:r>
      <w:r>
        <w:t>is</w:t>
      </w:r>
      <w:r>
        <w:rPr>
          <w:spacing w:val="-5"/>
        </w:rPr>
        <w:t xml:space="preserve"> </w:t>
      </w:r>
      <w:r>
        <w:t>demonstrated</w:t>
      </w:r>
      <w:r>
        <w:rPr>
          <w:spacing w:val="-5"/>
        </w:rPr>
        <w:t xml:space="preserve"> </w:t>
      </w:r>
      <w:r>
        <w:t>through</w:t>
      </w:r>
      <w:r>
        <w:rPr>
          <w:spacing w:val="-5"/>
        </w:rPr>
        <w:t xml:space="preserve"> </w:t>
      </w:r>
      <w:r>
        <w:t>developing</w:t>
      </w:r>
      <w:r>
        <w:rPr>
          <w:spacing w:val="-5"/>
        </w:rPr>
        <w:t xml:space="preserve"> </w:t>
      </w:r>
      <w:r>
        <w:t>a</w:t>
      </w:r>
      <w:r>
        <w:rPr>
          <w:spacing w:val="-6"/>
        </w:rPr>
        <w:t xml:space="preserve"> </w:t>
      </w:r>
      <w:r>
        <w:t>Pricing</w:t>
      </w:r>
      <w:r>
        <w:rPr>
          <w:spacing w:val="-4"/>
        </w:rPr>
        <w:t xml:space="preserve"> </w:t>
      </w:r>
      <w:r>
        <w:t>Submission that</w:t>
      </w:r>
      <w:r>
        <w:rPr>
          <w:spacing w:val="-3"/>
        </w:rPr>
        <w:t xml:space="preserve"> </w:t>
      </w:r>
      <w:r>
        <w:t>is</w:t>
      </w:r>
      <w:r>
        <w:rPr>
          <w:spacing w:val="-4"/>
        </w:rPr>
        <w:t xml:space="preserve"> </w:t>
      </w:r>
      <w:r>
        <w:t>considered</w:t>
      </w:r>
      <w:r>
        <w:rPr>
          <w:spacing w:val="-5"/>
        </w:rPr>
        <w:t xml:space="preserve"> </w:t>
      </w:r>
      <w:r>
        <w:t>and</w:t>
      </w:r>
      <w:r>
        <w:rPr>
          <w:spacing w:val="-4"/>
        </w:rPr>
        <w:t xml:space="preserve"> </w:t>
      </w:r>
      <w:r>
        <w:t>authentic</w:t>
      </w:r>
      <w:r>
        <w:rPr>
          <w:spacing w:val="-5"/>
        </w:rPr>
        <w:t xml:space="preserve"> </w:t>
      </w:r>
      <w:r>
        <w:t>which</w:t>
      </w:r>
      <w:r>
        <w:rPr>
          <w:spacing w:val="-3"/>
        </w:rPr>
        <w:t xml:space="preserve"> </w:t>
      </w:r>
      <w:r>
        <w:t>adopts</w:t>
      </w:r>
      <w:r>
        <w:rPr>
          <w:spacing w:val="-4"/>
        </w:rPr>
        <w:t xml:space="preserve"> </w:t>
      </w:r>
      <w:r>
        <w:t>a</w:t>
      </w:r>
      <w:r>
        <w:rPr>
          <w:spacing w:val="-4"/>
        </w:rPr>
        <w:t xml:space="preserve"> </w:t>
      </w:r>
      <w:r>
        <w:t>prudent</w:t>
      </w:r>
      <w:r>
        <w:rPr>
          <w:spacing w:val="-4"/>
        </w:rPr>
        <w:t xml:space="preserve"> </w:t>
      </w:r>
      <w:r>
        <w:t>and</w:t>
      </w:r>
      <w:r>
        <w:rPr>
          <w:spacing w:val="-3"/>
        </w:rPr>
        <w:t xml:space="preserve"> </w:t>
      </w:r>
      <w:r>
        <w:t>efficient</w:t>
      </w:r>
      <w:r>
        <w:rPr>
          <w:spacing w:val="-3"/>
        </w:rPr>
        <w:t xml:space="preserve"> </w:t>
      </w:r>
      <w:r>
        <w:t>approach</w:t>
      </w:r>
      <w:r>
        <w:rPr>
          <w:spacing w:val="-3"/>
        </w:rPr>
        <w:t xml:space="preserve"> </w:t>
      </w:r>
      <w:r>
        <w:t>to</w:t>
      </w:r>
      <w:r>
        <w:rPr>
          <w:spacing w:val="-5"/>
        </w:rPr>
        <w:t xml:space="preserve"> </w:t>
      </w:r>
      <w:r>
        <w:t>provide</w:t>
      </w:r>
      <w:r>
        <w:rPr>
          <w:spacing w:val="-3"/>
        </w:rPr>
        <w:t xml:space="preserve"> </w:t>
      </w:r>
      <w:r>
        <w:t>enhanced</w:t>
      </w:r>
      <w:r>
        <w:rPr>
          <w:spacing w:val="-5"/>
        </w:rPr>
        <w:t xml:space="preserve"> </w:t>
      </w:r>
      <w:r>
        <w:t>customer value. This</w:t>
      </w:r>
      <w:r>
        <w:rPr>
          <w:spacing w:val="-1"/>
        </w:rPr>
        <w:t xml:space="preserve"> </w:t>
      </w:r>
      <w:r>
        <w:t>commitment</w:t>
      </w:r>
      <w:r>
        <w:rPr>
          <w:spacing w:val="-1"/>
        </w:rPr>
        <w:t xml:space="preserve"> </w:t>
      </w:r>
      <w:r>
        <w:t>continues</w:t>
      </w:r>
      <w:r>
        <w:rPr>
          <w:spacing w:val="-1"/>
        </w:rPr>
        <w:t xml:space="preserve"> </w:t>
      </w:r>
      <w:r>
        <w:t>across</w:t>
      </w:r>
      <w:r>
        <w:rPr>
          <w:spacing w:val="-2"/>
        </w:rPr>
        <w:t xml:space="preserve"> </w:t>
      </w:r>
      <w:r>
        <w:t>the</w:t>
      </w:r>
      <w:r>
        <w:rPr>
          <w:spacing w:val="-1"/>
        </w:rPr>
        <w:t xml:space="preserve"> </w:t>
      </w:r>
      <w:r>
        <w:t>five‐year</w:t>
      </w:r>
      <w:r>
        <w:rPr>
          <w:spacing w:val="-2"/>
        </w:rPr>
        <w:t xml:space="preserve"> </w:t>
      </w:r>
      <w:r>
        <w:t>regulatory</w:t>
      </w:r>
      <w:r>
        <w:rPr>
          <w:spacing w:val="-1"/>
        </w:rPr>
        <w:t xml:space="preserve"> </w:t>
      </w:r>
      <w:r>
        <w:t>period</w:t>
      </w:r>
      <w:r>
        <w:rPr>
          <w:spacing w:val="-1"/>
        </w:rPr>
        <w:t xml:space="preserve"> </w:t>
      </w:r>
      <w:r>
        <w:t>with</w:t>
      </w:r>
      <w:r>
        <w:rPr>
          <w:spacing w:val="-3"/>
        </w:rPr>
        <w:t xml:space="preserve"> </w:t>
      </w:r>
      <w:r>
        <w:t>a</w:t>
      </w:r>
      <w:r>
        <w:rPr>
          <w:spacing w:val="-1"/>
        </w:rPr>
        <w:t xml:space="preserve"> </w:t>
      </w:r>
      <w:r>
        <w:t>promise</w:t>
      </w:r>
      <w:r>
        <w:rPr>
          <w:spacing w:val="-3"/>
        </w:rPr>
        <w:t xml:space="preserve"> </w:t>
      </w:r>
      <w:r>
        <w:t>to</w:t>
      </w:r>
      <w:r>
        <w:rPr>
          <w:spacing w:val="-1"/>
        </w:rPr>
        <w:t xml:space="preserve"> </w:t>
      </w:r>
      <w:r>
        <w:t>deliver</w:t>
      </w:r>
      <w:r>
        <w:rPr>
          <w:spacing w:val="-3"/>
        </w:rPr>
        <w:t xml:space="preserve"> </w:t>
      </w:r>
      <w:r>
        <w:t>this</w:t>
      </w:r>
      <w:r>
        <w:rPr>
          <w:spacing w:val="-2"/>
        </w:rPr>
        <w:t xml:space="preserve"> </w:t>
      </w:r>
      <w:r>
        <w:t>value in the following ways:</w:t>
      </w:r>
    </w:p>
    <w:p w14:paraId="720952DF" w14:textId="77777777" w:rsidR="00141B97" w:rsidRDefault="00911D63">
      <w:pPr>
        <w:pStyle w:val="BodyText"/>
        <w:ind w:left="1053" w:right="468" w:hanging="360"/>
        <w:jc w:val="both"/>
      </w:pPr>
      <w:r>
        <w:rPr>
          <w:rFonts w:ascii="Calibri" w:hAnsi="Calibri"/>
        </w:rPr>
        <w:t>‐</w:t>
      </w:r>
      <w:r>
        <w:rPr>
          <w:rFonts w:ascii="Calibri" w:hAnsi="Calibri"/>
          <w:spacing w:val="80"/>
          <w:w w:val="150"/>
        </w:rPr>
        <w:t xml:space="preserve"> </w:t>
      </w:r>
      <w:r>
        <w:t xml:space="preserve">Delivery of a prudent and efficient investment program that meets agreed customer outcomes and is measured against performance metrics that will be regularly monitored with customers to track </w:t>
      </w:r>
      <w:r>
        <w:rPr>
          <w:spacing w:val="-2"/>
        </w:rPr>
        <w:t>progress.</w:t>
      </w:r>
    </w:p>
    <w:p w14:paraId="6ABD1F69" w14:textId="77777777" w:rsidR="00141B97" w:rsidRDefault="00911D63">
      <w:pPr>
        <w:pStyle w:val="BodyText"/>
        <w:ind w:left="1053" w:right="468" w:hanging="360"/>
        <w:jc w:val="both"/>
      </w:pPr>
      <w:r>
        <w:rPr>
          <w:rFonts w:ascii="Calibri" w:hAnsi="Calibri"/>
        </w:rPr>
        <w:t>‐</w:t>
      </w:r>
      <w:r>
        <w:rPr>
          <w:rFonts w:ascii="Calibri" w:hAnsi="Calibri"/>
          <w:spacing w:val="40"/>
        </w:rPr>
        <w:t xml:space="preserve"> </w:t>
      </w:r>
      <w:r>
        <w:t>Ongoing implementation of LMW’s genuine stakeholder engagement approach that proactively facilitates,</w:t>
      </w:r>
      <w:r>
        <w:rPr>
          <w:spacing w:val="-4"/>
        </w:rPr>
        <w:t xml:space="preserve"> </w:t>
      </w:r>
      <w:r>
        <w:t>distils,</w:t>
      </w:r>
      <w:r>
        <w:rPr>
          <w:spacing w:val="-3"/>
        </w:rPr>
        <w:t xml:space="preserve"> </w:t>
      </w:r>
      <w:r>
        <w:t>and</w:t>
      </w:r>
      <w:r>
        <w:rPr>
          <w:spacing w:val="-3"/>
        </w:rPr>
        <w:t xml:space="preserve"> </w:t>
      </w:r>
      <w:r>
        <w:t>utilises</w:t>
      </w:r>
      <w:r>
        <w:rPr>
          <w:spacing w:val="-4"/>
        </w:rPr>
        <w:t xml:space="preserve"> </w:t>
      </w:r>
      <w:r>
        <w:t>customer</w:t>
      </w:r>
      <w:r>
        <w:rPr>
          <w:spacing w:val="-2"/>
        </w:rPr>
        <w:t xml:space="preserve"> </w:t>
      </w:r>
      <w:r>
        <w:t>insights</w:t>
      </w:r>
      <w:r>
        <w:rPr>
          <w:spacing w:val="-3"/>
        </w:rPr>
        <w:t xml:space="preserve"> </w:t>
      </w:r>
      <w:r>
        <w:t>in</w:t>
      </w:r>
      <w:r>
        <w:rPr>
          <w:spacing w:val="-3"/>
        </w:rPr>
        <w:t xml:space="preserve"> </w:t>
      </w:r>
      <w:r>
        <w:t>the</w:t>
      </w:r>
      <w:r>
        <w:rPr>
          <w:spacing w:val="-4"/>
        </w:rPr>
        <w:t xml:space="preserve"> </w:t>
      </w:r>
      <w:r>
        <w:t>planning</w:t>
      </w:r>
      <w:r>
        <w:rPr>
          <w:spacing w:val="-3"/>
        </w:rPr>
        <w:t xml:space="preserve"> </w:t>
      </w:r>
      <w:r>
        <w:t>and</w:t>
      </w:r>
      <w:r>
        <w:rPr>
          <w:spacing w:val="-2"/>
        </w:rPr>
        <w:t xml:space="preserve"> </w:t>
      </w:r>
      <w:r>
        <w:t>delivery</w:t>
      </w:r>
      <w:r>
        <w:rPr>
          <w:spacing w:val="-3"/>
        </w:rPr>
        <w:t xml:space="preserve"> </w:t>
      </w:r>
      <w:r>
        <w:t>of</w:t>
      </w:r>
      <w:r>
        <w:rPr>
          <w:spacing w:val="-3"/>
        </w:rPr>
        <w:t xml:space="preserve"> </w:t>
      </w:r>
      <w:r>
        <w:t>its</w:t>
      </w:r>
      <w:r>
        <w:rPr>
          <w:spacing w:val="-3"/>
        </w:rPr>
        <w:t xml:space="preserve"> </w:t>
      </w:r>
      <w:r>
        <w:t>services</w:t>
      </w:r>
      <w:r>
        <w:rPr>
          <w:spacing w:val="-4"/>
        </w:rPr>
        <w:t xml:space="preserve"> </w:t>
      </w:r>
      <w:r>
        <w:t>via</w:t>
      </w:r>
      <w:r>
        <w:rPr>
          <w:spacing w:val="-3"/>
        </w:rPr>
        <w:t xml:space="preserve"> </w:t>
      </w:r>
      <w:r>
        <w:t>a</w:t>
      </w:r>
      <w:r>
        <w:rPr>
          <w:spacing w:val="-3"/>
        </w:rPr>
        <w:t xml:space="preserve"> </w:t>
      </w:r>
      <w:r>
        <w:t>process that tests and validates customer assumptions and most importantly, demonstrates that LMW is listening and acting in response.</w:t>
      </w:r>
    </w:p>
    <w:p w14:paraId="746AE4AB" w14:textId="77777777" w:rsidR="00141B97" w:rsidRDefault="00911D63">
      <w:pPr>
        <w:pStyle w:val="BodyText"/>
        <w:ind w:left="1054" w:right="469" w:hanging="361"/>
        <w:jc w:val="both"/>
      </w:pPr>
      <w:r>
        <w:rPr>
          <w:rFonts w:ascii="Calibri" w:hAnsi="Calibri"/>
        </w:rPr>
        <w:t>‐</w:t>
      </w:r>
      <w:r>
        <w:rPr>
          <w:rFonts w:ascii="Calibri" w:hAnsi="Calibri"/>
          <w:spacing w:val="80"/>
        </w:rPr>
        <w:t xml:space="preserve">  </w:t>
      </w:r>
      <w:r>
        <w:t>Balancing</w:t>
      </w:r>
      <w:r>
        <w:rPr>
          <w:spacing w:val="-4"/>
        </w:rPr>
        <w:t xml:space="preserve"> </w:t>
      </w:r>
      <w:r>
        <w:t>key</w:t>
      </w:r>
      <w:r>
        <w:rPr>
          <w:spacing w:val="-4"/>
        </w:rPr>
        <w:t xml:space="preserve"> </w:t>
      </w:r>
      <w:r>
        <w:t>risks</w:t>
      </w:r>
      <w:r>
        <w:rPr>
          <w:spacing w:val="-4"/>
        </w:rPr>
        <w:t xml:space="preserve"> </w:t>
      </w:r>
      <w:r>
        <w:t>across</w:t>
      </w:r>
      <w:r>
        <w:rPr>
          <w:spacing w:val="-4"/>
        </w:rPr>
        <w:t xml:space="preserve"> </w:t>
      </w:r>
      <w:r>
        <w:t>the</w:t>
      </w:r>
      <w:r>
        <w:rPr>
          <w:spacing w:val="-5"/>
        </w:rPr>
        <w:t xml:space="preserve"> </w:t>
      </w:r>
      <w:r>
        <w:t>five‐year</w:t>
      </w:r>
      <w:r>
        <w:rPr>
          <w:spacing w:val="-5"/>
        </w:rPr>
        <w:t xml:space="preserve"> </w:t>
      </w:r>
      <w:r>
        <w:t>period</w:t>
      </w:r>
      <w:r>
        <w:rPr>
          <w:spacing w:val="-3"/>
        </w:rPr>
        <w:t xml:space="preserve"> </w:t>
      </w:r>
      <w:r>
        <w:t>to</w:t>
      </w:r>
      <w:r>
        <w:rPr>
          <w:spacing w:val="-4"/>
        </w:rPr>
        <w:t xml:space="preserve"> </w:t>
      </w:r>
      <w:r>
        <w:t>protect</w:t>
      </w:r>
      <w:r>
        <w:rPr>
          <w:spacing w:val="-5"/>
        </w:rPr>
        <w:t xml:space="preserve"> </w:t>
      </w:r>
      <w:r>
        <w:t>customers</w:t>
      </w:r>
      <w:r>
        <w:rPr>
          <w:spacing w:val="-3"/>
        </w:rPr>
        <w:t xml:space="preserve"> </w:t>
      </w:r>
      <w:r>
        <w:t>from</w:t>
      </w:r>
      <w:r>
        <w:rPr>
          <w:spacing w:val="-4"/>
        </w:rPr>
        <w:t xml:space="preserve"> </w:t>
      </w:r>
      <w:r>
        <w:t>carrying</w:t>
      </w:r>
      <w:r>
        <w:rPr>
          <w:spacing w:val="-4"/>
        </w:rPr>
        <w:t xml:space="preserve"> </w:t>
      </w:r>
      <w:r>
        <w:t>an</w:t>
      </w:r>
      <w:r>
        <w:rPr>
          <w:spacing w:val="-4"/>
        </w:rPr>
        <w:t xml:space="preserve"> </w:t>
      </w:r>
      <w:r>
        <w:t>unfair</w:t>
      </w:r>
      <w:r>
        <w:rPr>
          <w:spacing w:val="-4"/>
        </w:rPr>
        <w:t xml:space="preserve"> </w:t>
      </w:r>
      <w:r>
        <w:t>risk</w:t>
      </w:r>
      <w:r>
        <w:rPr>
          <w:spacing w:val="-4"/>
        </w:rPr>
        <w:t xml:space="preserve"> </w:t>
      </w:r>
      <w:r>
        <w:t>burden for both capex ($148.97m) and opex ($255.41m) programs.</w:t>
      </w:r>
    </w:p>
    <w:p w14:paraId="43D3790B" w14:textId="77777777" w:rsidR="00141B97" w:rsidRDefault="00911D63">
      <w:pPr>
        <w:pStyle w:val="BodyText"/>
        <w:ind w:left="1053" w:right="469" w:hanging="360"/>
        <w:jc w:val="both"/>
      </w:pPr>
      <w:r>
        <w:rPr>
          <w:rFonts w:ascii="Calibri" w:hAnsi="Calibri"/>
        </w:rPr>
        <w:t>‐</w:t>
      </w:r>
      <w:r>
        <w:rPr>
          <w:rFonts w:ascii="Calibri" w:hAnsi="Calibri"/>
          <w:spacing w:val="80"/>
          <w:w w:val="150"/>
        </w:rPr>
        <w:t xml:space="preserve"> </w:t>
      </w:r>
      <w:r>
        <w:t>Securing LMW’s long‐term sustainability through transparent strategic prioritisation and performance excellence built through ongoing continuous improvement that optimises customer value.</w:t>
      </w:r>
    </w:p>
    <w:p w14:paraId="22D77DD4" w14:textId="77777777" w:rsidR="00141B97" w:rsidRDefault="00141B97">
      <w:pPr>
        <w:pStyle w:val="BodyText"/>
        <w:spacing w:before="11"/>
        <w:rPr>
          <w:sz w:val="21"/>
        </w:rPr>
      </w:pPr>
    </w:p>
    <w:p w14:paraId="4002F7E5" w14:textId="77777777" w:rsidR="00141B97" w:rsidRDefault="00911D63">
      <w:pPr>
        <w:pStyle w:val="BodyText"/>
        <w:spacing w:before="1"/>
        <w:ind w:left="333" w:right="469"/>
        <w:jc w:val="both"/>
      </w:pPr>
      <w:r>
        <w:t>An</w:t>
      </w:r>
      <w:r>
        <w:rPr>
          <w:spacing w:val="-13"/>
        </w:rPr>
        <w:t xml:space="preserve"> </w:t>
      </w:r>
      <w:r>
        <w:t>uncertain</w:t>
      </w:r>
      <w:r>
        <w:rPr>
          <w:spacing w:val="-12"/>
        </w:rPr>
        <w:t xml:space="preserve"> </w:t>
      </w:r>
      <w:r>
        <w:t>future</w:t>
      </w:r>
      <w:r>
        <w:rPr>
          <w:spacing w:val="-13"/>
        </w:rPr>
        <w:t xml:space="preserve"> </w:t>
      </w:r>
      <w:r>
        <w:t>following</w:t>
      </w:r>
      <w:r>
        <w:rPr>
          <w:spacing w:val="-12"/>
        </w:rPr>
        <w:t xml:space="preserve"> </w:t>
      </w:r>
      <w:r>
        <w:t>COVID‐19,</w:t>
      </w:r>
      <w:r>
        <w:rPr>
          <w:spacing w:val="-13"/>
        </w:rPr>
        <w:t xml:space="preserve"> </w:t>
      </w:r>
      <w:r>
        <w:t>the</w:t>
      </w:r>
      <w:r>
        <w:rPr>
          <w:spacing w:val="-12"/>
        </w:rPr>
        <w:t xml:space="preserve"> </w:t>
      </w:r>
      <w:r>
        <w:t>impacts</w:t>
      </w:r>
      <w:r>
        <w:rPr>
          <w:spacing w:val="-13"/>
        </w:rPr>
        <w:t xml:space="preserve"> </w:t>
      </w:r>
      <w:r>
        <w:t>of</w:t>
      </w:r>
      <w:r>
        <w:rPr>
          <w:spacing w:val="-12"/>
        </w:rPr>
        <w:t xml:space="preserve"> </w:t>
      </w:r>
      <w:r>
        <w:t>climate</w:t>
      </w:r>
      <w:r>
        <w:rPr>
          <w:spacing w:val="-12"/>
        </w:rPr>
        <w:t xml:space="preserve"> </w:t>
      </w:r>
      <w:r>
        <w:t>change,</w:t>
      </w:r>
      <w:r>
        <w:rPr>
          <w:spacing w:val="-12"/>
        </w:rPr>
        <w:t xml:space="preserve"> </w:t>
      </w:r>
      <w:r>
        <w:t>and</w:t>
      </w:r>
      <w:r>
        <w:rPr>
          <w:spacing w:val="-13"/>
        </w:rPr>
        <w:t xml:space="preserve"> </w:t>
      </w:r>
      <w:r>
        <w:t>growth</w:t>
      </w:r>
      <w:r>
        <w:rPr>
          <w:spacing w:val="-12"/>
        </w:rPr>
        <w:t xml:space="preserve"> </w:t>
      </w:r>
      <w:r>
        <w:t>across</w:t>
      </w:r>
      <w:r>
        <w:rPr>
          <w:spacing w:val="-12"/>
        </w:rPr>
        <w:t xml:space="preserve"> </w:t>
      </w:r>
      <w:r>
        <w:t>LMW’s</w:t>
      </w:r>
      <w:r>
        <w:rPr>
          <w:spacing w:val="-12"/>
        </w:rPr>
        <w:t xml:space="preserve"> </w:t>
      </w:r>
      <w:r>
        <w:t>service</w:t>
      </w:r>
      <w:r>
        <w:rPr>
          <w:spacing w:val="-13"/>
        </w:rPr>
        <w:t xml:space="preserve"> </w:t>
      </w:r>
      <w:r>
        <w:t>region are notable challenges that will be faced in the coming five‐year period. As LMW transforms itself into a more customer‐engaged, and digitally‐enabled business through its business transformation program ($13.02m), it remains</w:t>
      </w:r>
      <w:r>
        <w:rPr>
          <w:spacing w:val="-7"/>
        </w:rPr>
        <w:t xml:space="preserve"> </w:t>
      </w:r>
      <w:r>
        <w:t>proactive</w:t>
      </w:r>
      <w:r>
        <w:rPr>
          <w:spacing w:val="-7"/>
        </w:rPr>
        <w:t xml:space="preserve"> </w:t>
      </w:r>
      <w:r>
        <w:t>and</w:t>
      </w:r>
      <w:r>
        <w:rPr>
          <w:spacing w:val="-7"/>
        </w:rPr>
        <w:t xml:space="preserve"> </w:t>
      </w:r>
      <w:r>
        <w:t>committed</w:t>
      </w:r>
      <w:r>
        <w:rPr>
          <w:spacing w:val="-7"/>
        </w:rPr>
        <w:t xml:space="preserve"> </w:t>
      </w:r>
      <w:r>
        <w:t>to</w:t>
      </w:r>
      <w:r>
        <w:rPr>
          <w:spacing w:val="-6"/>
        </w:rPr>
        <w:t xml:space="preserve"> </w:t>
      </w:r>
      <w:r>
        <w:t>addressing</w:t>
      </w:r>
      <w:r>
        <w:rPr>
          <w:spacing w:val="-7"/>
        </w:rPr>
        <w:t xml:space="preserve"> </w:t>
      </w:r>
      <w:r>
        <w:t>these</w:t>
      </w:r>
      <w:r>
        <w:rPr>
          <w:spacing w:val="-7"/>
        </w:rPr>
        <w:t xml:space="preserve"> </w:t>
      </w:r>
      <w:r>
        <w:t>challenges</w:t>
      </w:r>
      <w:r>
        <w:rPr>
          <w:spacing w:val="-6"/>
        </w:rPr>
        <w:t xml:space="preserve"> </w:t>
      </w:r>
      <w:r>
        <w:t>in</w:t>
      </w:r>
      <w:r>
        <w:rPr>
          <w:spacing w:val="-6"/>
        </w:rPr>
        <w:t xml:space="preserve"> </w:t>
      </w:r>
      <w:r>
        <w:t>a</w:t>
      </w:r>
      <w:r>
        <w:rPr>
          <w:spacing w:val="-8"/>
        </w:rPr>
        <w:t xml:space="preserve"> </w:t>
      </w:r>
      <w:r>
        <w:t>manner</w:t>
      </w:r>
      <w:r>
        <w:rPr>
          <w:spacing w:val="-7"/>
        </w:rPr>
        <w:t xml:space="preserve"> </w:t>
      </w:r>
      <w:r>
        <w:t>that</w:t>
      </w:r>
      <w:r>
        <w:rPr>
          <w:spacing w:val="-8"/>
        </w:rPr>
        <w:t xml:space="preserve"> </w:t>
      </w:r>
      <w:r>
        <w:t>is</w:t>
      </w:r>
      <w:r>
        <w:rPr>
          <w:spacing w:val="-6"/>
        </w:rPr>
        <w:t xml:space="preserve"> </w:t>
      </w:r>
      <w:r>
        <w:t>transparent,</w:t>
      </w:r>
      <w:r>
        <w:rPr>
          <w:spacing w:val="-8"/>
        </w:rPr>
        <w:t xml:space="preserve"> </w:t>
      </w:r>
      <w:r>
        <w:t>collaborative, and relevant to deliver customer outcomes across its two businesses.</w:t>
      </w:r>
    </w:p>
    <w:p w14:paraId="4CECE9C7" w14:textId="77777777" w:rsidR="00141B97" w:rsidRDefault="00141B97">
      <w:pPr>
        <w:pStyle w:val="BodyText"/>
        <w:rPr>
          <w:sz w:val="20"/>
        </w:rPr>
      </w:pPr>
    </w:p>
    <w:p w14:paraId="37D14C1D" w14:textId="7387B5F8" w:rsidR="00141B97" w:rsidRDefault="00141B97">
      <w:pPr>
        <w:pStyle w:val="BodyText"/>
        <w:spacing w:before="8"/>
        <w:rPr>
          <w:sz w:val="18"/>
        </w:rPr>
      </w:pPr>
    </w:p>
    <w:p w14:paraId="7361BFAF" w14:textId="77777777" w:rsidR="00141B97" w:rsidRDefault="00141B97">
      <w:pPr>
        <w:pStyle w:val="BodyText"/>
        <w:spacing w:before="3"/>
        <w:rPr>
          <w:sz w:val="7"/>
        </w:rPr>
      </w:pPr>
    </w:p>
    <w:p w14:paraId="0803A3E6" w14:textId="204CD282" w:rsidR="00141B97" w:rsidRDefault="00911D63">
      <w:pPr>
        <w:tabs>
          <w:tab w:val="left" w:pos="6343"/>
        </w:tabs>
        <w:spacing w:line="20" w:lineRule="exact"/>
        <w:ind w:left="334"/>
        <w:rPr>
          <w:sz w:val="2"/>
        </w:rPr>
      </w:pPr>
      <w:r>
        <w:rPr>
          <w:noProof/>
          <w:sz w:val="2"/>
        </w:rPr>
        <mc:AlternateContent>
          <mc:Choice Requires="wpg">
            <w:drawing>
              <wp:inline distT="0" distB="0" distL="0" distR="0" wp14:anchorId="62BB3337" wp14:editId="6DBDAAC2">
                <wp:extent cx="1908175" cy="12700"/>
                <wp:effectExtent l="0" t="0" r="635" b="0"/>
                <wp:docPr id="41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2700"/>
                          <a:chOff x="0" y="0"/>
                          <a:chExt cx="3005" cy="20"/>
                        </a:xfrm>
                      </wpg:grpSpPr>
                      <wps:wsp>
                        <wps:cNvPr id="418" name="docshape7"/>
                        <wps:cNvSpPr>
                          <a:spLocks noChangeArrowheads="1"/>
                        </wps:cNvSpPr>
                        <wps:spPr bwMode="auto">
                          <a:xfrm>
                            <a:off x="0" y="0"/>
                            <a:ext cx="300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5B6B6F" id="docshapegroup6" o:spid="_x0000_s1026" style="width:150.25pt;height:1pt;mso-position-horizontal-relative:char;mso-position-vertical-relative:line" coordsize="3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">
                <v:rect id="docshape7" o:spid="_x0000_s1027" style="position:absolute;width:30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fillcolor="black" stroked="f"/>
                <w10:anchorlock/>
              </v:group>
            </w:pict>
          </mc:Fallback>
        </mc:AlternateContent>
      </w:r>
      <w:r>
        <w:rPr>
          <w:sz w:val="2"/>
        </w:rPr>
        <w:tab/>
      </w:r>
      <w:r>
        <w:rPr>
          <w:noProof/>
          <w:sz w:val="2"/>
        </w:rPr>
        <mc:AlternateContent>
          <mc:Choice Requires="wpg">
            <w:drawing>
              <wp:inline distT="0" distB="0" distL="0" distR="0" wp14:anchorId="5D17CAF9" wp14:editId="5E6F2AD2">
                <wp:extent cx="1908810" cy="12700"/>
                <wp:effectExtent l="1905" t="0" r="3810" b="0"/>
                <wp:docPr id="41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12700"/>
                          <a:chOff x="0" y="0"/>
                          <a:chExt cx="3006" cy="20"/>
                        </a:xfrm>
                      </wpg:grpSpPr>
                      <wps:wsp>
                        <wps:cNvPr id="416" name="docshape9"/>
                        <wps:cNvSpPr>
                          <a:spLocks noChangeArrowheads="1"/>
                        </wps:cNvSpPr>
                        <wps:spPr bwMode="auto">
                          <a:xfrm>
                            <a:off x="0" y="0"/>
                            <a:ext cx="300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742A4A" id="docshapegroup8" o:spid="_x0000_s1026" style="width:150.3pt;height:1pt;mso-position-horizontal-relative:char;mso-position-vertical-relative:line" coordsize="30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">
                <v:rect id="docshape9" o:spid="_x0000_s1027" style="position:absolute;width:300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w10:anchorlock/>
              </v:group>
            </w:pict>
          </mc:Fallback>
        </mc:AlternateContent>
      </w:r>
    </w:p>
    <w:p w14:paraId="0EB363D5" w14:textId="77777777" w:rsidR="00141B97" w:rsidRDefault="00141B97">
      <w:pPr>
        <w:spacing w:line="20" w:lineRule="exact"/>
        <w:rPr>
          <w:sz w:val="2"/>
        </w:rPr>
        <w:sectPr w:rsidR="00141B97">
          <w:pgSz w:w="11910" w:h="16840"/>
          <w:pgMar w:top="860" w:right="520" w:bottom="280" w:left="800" w:header="720" w:footer="720" w:gutter="0"/>
          <w:cols w:space="720"/>
        </w:sectPr>
      </w:pPr>
    </w:p>
    <w:p w14:paraId="13099B7A" w14:textId="77777777" w:rsidR="00141B97" w:rsidRDefault="00911D63">
      <w:pPr>
        <w:pStyle w:val="BodyText"/>
        <w:spacing w:line="268" w:lineRule="exact"/>
        <w:ind w:left="442"/>
      </w:pPr>
      <w:r>
        <w:t>Sharyon</w:t>
      </w:r>
      <w:r>
        <w:rPr>
          <w:spacing w:val="-8"/>
        </w:rPr>
        <w:t xml:space="preserve"> </w:t>
      </w:r>
      <w:r>
        <w:rPr>
          <w:spacing w:val="-2"/>
        </w:rPr>
        <w:t>Peart</w:t>
      </w:r>
    </w:p>
    <w:p w14:paraId="729E5A87" w14:textId="77777777" w:rsidR="00141B97" w:rsidRDefault="00911D63">
      <w:pPr>
        <w:pStyle w:val="BodyText"/>
        <w:ind w:left="441"/>
      </w:pPr>
      <w:r>
        <w:t>Chair,</w:t>
      </w:r>
      <w:r>
        <w:rPr>
          <w:spacing w:val="-5"/>
        </w:rPr>
        <w:t xml:space="preserve"> </w:t>
      </w:r>
      <w:r>
        <w:t>on</w:t>
      </w:r>
      <w:r>
        <w:rPr>
          <w:spacing w:val="-5"/>
        </w:rPr>
        <w:t xml:space="preserve"> </w:t>
      </w:r>
      <w:r>
        <w:t>behalf</w:t>
      </w:r>
      <w:r>
        <w:rPr>
          <w:spacing w:val="-5"/>
        </w:rPr>
        <w:t xml:space="preserve"> </w:t>
      </w:r>
      <w:r>
        <w:t>of</w:t>
      </w:r>
      <w:r>
        <w:rPr>
          <w:spacing w:val="-6"/>
        </w:rPr>
        <w:t xml:space="preserve"> </w:t>
      </w:r>
      <w:r>
        <w:t>the</w:t>
      </w:r>
      <w:r>
        <w:rPr>
          <w:spacing w:val="-7"/>
        </w:rPr>
        <w:t xml:space="preserve"> </w:t>
      </w:r>
      <w:r>
        <w:rPr>
          <w:spacing w:val="-2"/>
        </w:rPr>
        <w:t>Board</w:t>
      </w:r>
    </w:p>
    <w:p w14:paraId="4003EAA0" w14:textId="77777777" w:rsidR="00141B97" w:rsidRDefault="00911D63">
      <w:pPr>
        <w:pStyle w:val="BodyText"/>
        <w:ind w:left="418" w:right="1595"/>
      </w:pPr>
      <w:r>
        <w:br w:type="column"/>
      </w:r>
      <w:r>
        <w:t>Anthony</w:t>
      </w:r>
      <w:r>
        <w:rPr>
          <w:spacing w:val="-13"/>
        </w:rPr>
        <w:t xml:space="preserve"> </w:t>
      </w:r>
      <w:r>
        <w:t>Couroupis Managing</w:t>
      </w:r>
      <w:r>
        <w:rPr>
          <w:spacing w:val="-9"/>
        </w:rPr>
        <w:t xml:space="preserve"> </w:t>
      </w:r>
      <w:r>
        <w:rPr>
          <w:spacing w:val="-2"/>
        </w:rPr>
        <w:t>Director</w:t>
      </w:r>
    </w:p>
    <w:p w14:paraId="714CC015" w14:textId="77777777" w:rsidR="00141B97" w:rsidRDefault="00141B97">
      <w:pPr>
        <w:sectPr w:rsidR="00141B97">
          <w:type w:val="continuous"/>
          <w:pgSz w:w="11910" w:h="16840"/>
          <w:pgMar w:top="1940" w:right="520" w:bottom="280" w:left="800" w:header="720" w:footer="720" w:gutter="0"/>
          <w:cols w:num="2" w:space="720" w:equalWidth="0">
            <w:col w:w="3391" w:space="2642"/>
            <w:col w:w="4557"/>
          </w:cols>
        </w:sectPr>
      </w:pPr>
    </w:p>
    <w:p w14:paraId="2871DC2B" w14:textId="77777777" w:rsidR="00141B97" w:rsidRDefault="00911D63">
      <w:pPr>
        <w:pStyle w:val="BodyText"/>
        <w:tabs>
          <w:tab w:val="left" w:pos="6451"/>
        </w:tabs>
        <w:ind w:left="442"/>
      </w:pPr>
      <w:r>
        <w:t>27</w:t>
      </w:r>
      <w:r>
        <w:rPr>
          <w:spacing w:val="-8"/>
        </w:rPr>
        <w:t xml:space="preserve"> </w:t>
      </w:r>
      <w:r>
        <w:t>September</w:t>
      </w:r>
      <w:r>
        <w:rPr>
          <w:spacing w:val="-7"/>
        </w:rPr>
        <w:t xml:space="preserve"> </w:t>
      </w:r>
      <w:r>
        <w:rPr>
          <w:spacing w:val="-4"/>
        </w:rPr>
        <w:t>2022</w:t>
      </w:r>
      <w:r>
        <w:tab/>
        <w:t>27</w:t>
      </w:r>
      <w:r>
        <w:rPr>
          <w:spacing w:val="-8"/>
        </w:rPr>
        <w:t xml:space="preserve"> </w:t>
      </w:r>
      <w:r>
        <w:t>September</w:t>
      </w:r>
      <w:r>
        <w:rPr>
          <w:spacing w:val="-7"/>
        </w:rPr>
        <w:t xml:space="preserve"> </w:t>
      </w:r>
      <w:r>
        <w:rPr>
          <w:spacing w:val="-4"/>
        </w:rPr>
        <w:t>2022</w:t>
      </w:r>
    </w:p>
    <w:p w14:paraId="33181EE2" w14:textId="77777777" w:rsidR="00141B97" w:rsidRDefault="00141B97">
      <w:pPr>
        <w:sectPr w:rsidR="00141B97">
          <w:type w:val="continuous"/>
          <w:pgSz w:w="11910" w:h="16840"/>
          <w:pgMar w:top="1940" w:right="520" w:bottom="280" w:left="800" w:header="720" w:footer="720" w:gutter="0"/>
          <w:cols w:space="720"/>
        </w:sectPr>
      </w:pPr>
    </w:p>
    <w:p w14:paraId="3F65A5F5" w14:textId="77777777" w:rsidR="00141B97" w:rsidRDefault="00911D63">
      <w:pPr>
        <w:pStyle w:val="Heading1"/>
        <w:ind w:left="334"/>
        <w:jc w:val="both"/>
      </w:pPr>
      <w:r>
        <w:rPr>
          <w:color w:val="006CA3"/>
        </w:rPr>
        <w:lastRenderedPageBreak/>
        <w:t>Board</w:t>
      </w:r>
      <w:r>
        <w:rPr>
          <w:color w:val="006CA3"/>
          <w:spacing w:val="-16"/>
        </w:rPr>
        <w:t xml:space="preserve"> </w:t>
      </w:r>
      <w:r>
        <w:rPr>
          <w:color w:val="006CA3"/>
        </w:rPr>
        <w:t>Attestation</w:t>
      </w:r>
      <w:r>
        <w:rPr>
          <w:color w:val="006CA3"/>
          <w:spacing w:val="-18"/>
        </w:rPr>
        <w:t xml:space="preserve"> </w:t>
      </w:r>
      <w:r>
        <w:rPr>
          <w:color w:val="006CA3"/>
          <w:spacing w:val="-2"/>
        </w:rPr>
        <w:t>Statement</w:t>
      </w:r>
    </w:p>
    <w:p w14:paraId="399C8A63" w14:textId="77777777" w:rsidR="00141B97" w:rsidRDefault="00141B97">
      <w:pPr>
        <w:pStyle w:val="BodyText"/>
        <w:spacing w:before="8"/>
        <w:rPr>
          <w:sz w:val="40"/>
        </w:rPr>
      </w:pPr>
    </w:p>
    <w:p w14:paraId="4575BE66" w14:textId="77777777" w:rsidR="00141B97" w:rsidRDefault="00911D63">
      <w:pPr>
        <w:pStyle w:val="BodyText"/>
        <w:ind w:left="334" w:right="467"/>
        <w:jc w:val="both"/>
      </w:pPr>
      <w:r>
        <w:t>The directors of Lower Murray Urban and Rural Water Corporation, having made such reasonable inquiries of management as we considered necessary (or having satisfied ourselves that we have no query), attest that, to the best of our knowledge, for the purpose of proposing prices for the Essential Services Commission’s 2023 water price review:</w:t>
      </w:r>
    </w:p>
    <w:p w14:paraId="51161F01" w14:textId="77777777" w:rsidR="00141B97" w:rsidRDefault="00911D63">
      <w:pPr>
        <w:pStyle w:val="ListParagraph"/>
        <w:numPr>
          <w:ilvl w:val="0"/>
          <w:numId w:val="120"/>
        </w:numPr>
        <w:tabs>
          <w:tab w:val="left" w:pos="1054"/>
        </w:tabs>
        <w:ind w:right="469"/>
        <w:jc w:val="both"/>
      </w:pPr>
      <w:r>
        <w:t>information and documentation provided in the price submission and relied upon to support Lower Murray Urban and Rural Water Corporation’s price submission is reasonably based, complete and accurate in all material respects</w:t>
      </w:r>
    </w:p>
    <w:p w14:paraId="58B03BEF" w14:textId="77777777" w:rsidR="00141B97" w:rsidRDefault="00911D63">
      <w:pPr>
        <w:pStyle w:val="ListParagraph"/>
        <w:numPr>
          <w:ilvl w:val="0"/>
          <w:numId w:val="120"/>
        </w:numPr>
        <w:tabs>
          <w:tab w:val="left" w:pos="1054"/>
        </w:tabs>
        <w:ind w:left="1054" w:right="468" w:hanging="361"/>
        <w:jc w:val="both"/>
      </w:pPr>
      <w:r>
        <w:t>financial and demand forecasts are the business’s best estimates, and supporting information is available to justify the assumptions and methodologies used</w:t>
      </w:r>
    </w:p>
    <w:p w14:paraId="7BF8201B" w14:textId="77777777" w:rsidR="00141B97" w:rsidRDefault="00911D63">
      <w:pPr>
        <w:pStyle w:val="ListParagraph"/>
        <w:numPr>
          <w:ilvl w:val="0"/>
          <w:numId w:val="120"/>
        </w:numPr>
        <w:tabs>
          <w:tab w:val="left" w:pos="1054"/>
        </w:tabs>
        <w:ind w:right="467"/>
        <w:jc w:val="both"/>
      </w:pPr>
      <w:r>
        <w:t>the price submission satisfies the requirements of the 2023 water price review guidance paper issued by the Essential Services Commission in all material respects</w:t>
      </w:r>
    </w:p>
    <w:p w14:paraId="78F4954E" w14:textId="77777777" w:rsidR="00141B97" w:rsidRDefault="00141B97">
      <w:pPr>
        <w:pStyle w:val="BodyText"/>
        <w:rPr>
          <w:sz w:val="20"/>
        </w:rPr>
      </w:pPr>
    </w:p>
    <w:p w14:paraId="5A10C7F2" w14:textId="77777777" w:rsidR="00141B97" w:rsidRDefault="00141B97">
      <w:pPr>
        <w:pStyle w:val="BodyText"/>
        <w:rPr>
          <w:sz w:val="20"/>
        </w:rPr>
      </w:pPr>
    </w:p>
    <w:p w14:paraId="50D37D6F" w14:textId="77777777" w:rsidR="00141B97" w:rsidRDefault="00141B97">
      <w:pPr>
        <w:pStyle w:val="BodyText"/>
        <w:rPr>
          <w:sz w:val="20"/>
        </w:rPr>
      </w:pPr>
    </w:p>
    <w:p w14:paraId="5C7FE217" w14:textId="77777777" w:rsidR="00141B97" w:rsidRDefault="00141B97">
      <w:pPr>
        <w:pStyle w:val="BodyText"/>
        <w:rPr>
          <w:sz w:val="20"/>
        </w:rPr>
      </w:pPr>
    </w:p>
    <w:p w14:paraId="3111733C" w14:textId="77777777" w:rsidR="00141B97" w:rsidRDefault="00141B97">
      <w:pPr>
        <w:pStyle w:val="BodyText"/>
        <w:rPr>
          <w:sz w:val="20"/>
        </w:rPr>
      </w:pPr>
    </w:p>
    <w:p w14:paraId="057E8756" w14:textId="77777777" w:rsidR="00141B97" w:rsidRDefault="00141B97">
      <w:pPr>
        <w:pStyle w:val="BodyText"/>
        <w:rPr>
          <w:sz w:val="20"/>
        </w:rPr>
      </w:pPr>
    </w:p>
    <w:p w14:paraId="621AAD1B" w14:textId="77777777" w:rsidR="00141B97" w:rsidRDefault="00141B97">
      <w:pPr>
        <w:pStyle w:val="BodyText"/>
        <w:rPr>
          <w:sz w:val="20"/>
        </w:rPr>
      </w:pPr>
    </w:p>
    <w:p w14:paraId="346FCDDC" w14:textId="77777777" w:rsidR="00141B97" w:rsidRDefault="00141B97">
      <w:pPr>
        <w:pStyle w:val="BodyText"/>
        <w:rPr>
          <w:sz w:val="20"/>
        </w:rPr>
      </w:pPr>
    </w:p>
    <w:p w14:paraId="40393DB9" w14:textId="77777777" w:rsidR="00141B97" w:rsidRDefault="00141B97">
      <w:pPr>
        <w:pStyle w:val="BodyText"/>
        <w:rPr>
          <w:sz w:val="20"/>
        </w:rPr>
      </w:pPr>
    </w:p>
    <w:p w14:paraId="6F01C303" w14:textId="77777777" w:rsidR="00141B97" w:rsidRDefault="00141B97">
      <w:pPr>
        <w:pStyle w:val="BodyText"/>
        <w:rPr>
          <w:sz w:val="20"/>
        </w:rPr>
      </w:pPr>
    </w:p>
    <w:p w14:paraId="31A33E01" w14:textId="77777777" w:rsidR="00141B97" w:rsidRDefault="00141B97">
      <w:pPr>
        <w:pStyle w:val="BodyText"/>
        <w:rPr>
          <w:sz w:val="20"/>
        </w:rPr>
      </w:pPr>
    </w:p>
    <w:p w14:paraId="5E8E8633" w14:textId="77777777" w:rsidR="00141B97" w:rsidRDefault="00141B97">
      <w:pPr>
        <w:pStyle w:val="BodyText"/>
        <w:rPr>
          <w:sz w:val="20"/>
        </w:rPr>
      </w:pPr>
    </w:p>
    <w:p w14:paraId="1CBF4A91" w14:textId="5A591FEF" w:rsidR="00141B97" w:rsidRDefault="00141B97">
      <w:pPr>
        <w:pStyle w:val="BodyText"/>
        <w:spacing w:before="10"/>
        <w:rPr>
          <w:sz w:val="20"/>
        </w:rPr>
      </w:pPr>
    </w:p>
    <w:p w14:paraId="719C4FB3" w14:textId="77777777" w:rsidR="00141B97" w:rsidRDefault="00141B97">
      <w:pPr>
        <w:pStyle w:val="BodyText"/>
        <w:spacing w:before="7"/>
        <w:rPr>
          <w:sz w:val="9"/>
        </w:rPr>
      </w:pPr>
    </w:p>
    <w:p w14:paraId="14AA7A9E" w14:textId="55CD3491" w:rsidR="00141B97" w:rsidRDefault="00911D63">
      <w:pPr>
        <w:tabs>
          <w:tab w:val="left" w:pos="6343"/>
        </w:tabs>
        <w:spacing w:line="20" w:lineRule="exact"/>
        <w:ind w:left="334"/>
        <w:rPr>
          <w:sz w:val="2"/>
        </w:rPr>
      </w:pPr>
      <w:r>
        <w:rPr>
          <w:noProof/>
          <w:sz w:val="2"/>
        </w:rPr>
        <mc:AlternateContent>
          <mc:Choice Requires="wpg">
            <w:drawing>
              <wp:inline distT="0" distB="0" distL="0" distR="0" wp14:anchorId="47E3D30C" wp14:editId="7868568C">
                <wp:extent cx="1908175" cy="12700"/>
                <wp:effectExtent l="0" t="0" r="635" b="0"/>
                <wp:docPr id="41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2700"/>
                          <a:chOff x="0" y="0"/>
                          <a:chExt cx="3005" cy="20"/>
                        </a:xfrm>
                      </wpg:grpSpPr>
                      <wps:wsp>
                        <wps:cNvPr id="414" name="docshape11"/>
                        <wps:cNvSpPr>
                          <a:spLocks noChangeArrowheads="1"/>
                        </wps:cNvSpPr>
                        <wps:spPr bwMode="auto">
                          <a:xfrm>
                            <a:off x="0" y="0"/>
                            <a:ext cx="300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B0C630" id="docshapegroup10" o:spid="_x0000_s1026" style="width:150.25pt;height:1pt;mso-position-horizontal-relative:char;mso-position-vertical-relative:line" coordsize="3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">
                <v:rect id="docshape11" o:spid="_x0000_s1027" style="position:absolute;width:30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" fillcolor="black" stroked="f"/>
                <w10:anchorlock/>
              </v:group>
            </w:pict>
          </mc:Fallback>
        </mc:AlternateContent>
      </w:r>
      <w:r>
        <w:rPr>
          <w:sz w:val="2"/>
        </w:rPr>
        <w:tab/>
      </w:r>
      <w:r>
        <w:rPr>
          <w:noProof/>
          <w:sz w:val="2"/>
        </w:rPr>
        <mc:AlternateContent>
          <mc:Choice Requires="wpg">
            <w:drawing>
              <wp:inline distT="0" distB="0" distL="0" distR="0" wp14:anchorId="2BA186FF" wp14:editId="4271B0F7">
                <wp:extent cx="1908810" cy="12700"/>
                <wp:effectExtent l="0" t="0" r="0" b="0"/>
                <wp:docPr id="411"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12700"/>
                          <a:chOff x="0" y="0"/>
                          <a:chExt cx="3006" cy="20"/>
                        </a:xfrm>
                      </wpg:grpSpPr>
                      <wps:wsp>
                        <wps:cNvPr id="412" name="docshape13"/>
                        <wps:cNvSpPr>
                          <a:spLocks noChangeArrowheads="1"/>
                        </wps:cNvSpPr>
                        <wps:spPr bwMode="auto">
                          <a:xfrm>
                            <a:off x="0" y="0"/>
                            <a:ext cx="300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C14758" id="docshapegroup12" o:spid="_x0000_s1026" style="width:150.3pt;height:1pt;mso-position-horizontal-relative:char;mso-position-vertical-relative:line" coordsize="30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">
                <v:rect id="docshape13" o:spid="_x0000_s1027" style="position:absolute;width:300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" fillcolor="black" stroked="f"/>
                <w10:anchorlock/>
              </v:group>
            </w:pict>
          </mc:Fallback>
        </mc:AlternateContent>
      </w:r>
    </w:p>
    <w:p w14:paraId="6B2ECB26" w14:textId="77777777" w:rsidR="00141B97" w:rsidRDefault="00141B97">
      <w:pPr>
        <w:spacing w:line="20" w:lineRule="exact"/>
        <w:rPr>
          <w:sz w:val="2"/>
        </w:rPr>
        <w:sectPr w:rsidR="00141B97">
          <w:pgSz w:w="11910" w:h="16840"/>
          <w:pgMar w:top="860" w:right="520" w:bottom="280" w:left="800" w:header="720" w:footer="720" w:gutter="0"/>
          <w:cols w:space="720"/>
        </w:sectPr>
      </w:pPr>
    </w:p>
    <w:p w14:paraId="7D346324" w14:textId="77777777" w:rsidR="00141B97" w:rsidRDefault="00911D63">
      <w:pPr>
        <w:pStyle w:val="BodyText"/>
        <w:spacing w:line="268" w:lineRule="exact"/>
        <w:ind w:left="441"/>
      </w:pPr>
      <w:r>
        <w:t>Sharyon</w:t>
      </w:r>
      <w:r>
        <w:rPr>
          <w:spacing w:val="-8"/>
        </w:rPr>
        <w:t xml:space="preserve"> </w:t>
      </w:r>
      <w:r>
        <w:rPr>
          <w:spacing w:val="-2"/>
        </w:rPr>
        <w:t>Peart</w:t>
      </w:r>
    </w:p>
    <w:p w14:paraId="5DCC6379" w14:textId="77777777" w:rsidR="00141B97" w:rsidRDefault="00911D63">
      <w:pPr>
        <w:pStyle w:val="BodyText"/>
        <w:ind w:left="441"/>
      </w:pPr>
      <w:r>
        <w:t>Chair,</w:t>
      </w:r>
      <w:r>
        <w:rPr>
          <w:spacing w:val="-5"/>
        </w:rPr>
        <w:t xml:space="preserve"> </w:t>
      </w:r>
      <w:r>
        <w:t>on</w:t>
      </w:r>
      <w:r>
        <w:rPr>
          <w:spacing w:val="-5"/>
        </w:rPr>
        <w:t xml:space="preserve"> </w:t>
      </w:r>
      <w:r>
        <w:t>behalf</w:t>
      </w:r>
      <w:r>
        <w:rPr>
          <w:spacing w:val="-5"/>
        </w:rPr>
        <w:t xml:space="preserve"> </w:t>
      </w:r>
      <w:r>
        <w:t>of</w:t>
      </w:r>
      <w:r>
        <w:rPr>
          <w:spacing w:val="-6"/>
        </w:rPr>
        <w:t xml:space="preserve"> </w:t>
      </w:r>
      <w:r>
        <w:t>the</w:t>
      </w:r>
      <w:r>
        <w:rPr>
          <w:spacing w:val="-7"/>
        </w:rPr>
        <w:t xml:space="preserve"> </w:t>
      </w:r>
      <w:r>
        <w:rPr>
          <w:spacing w:val="-2"/>
        </w:rPr>
        <w:t>Board</w:t>
      </w:r>
    </w:p>
    <w:p w14:paraId="0510FB7E" w14:textId="77777777" w:rsidR="00141B97" w:rsidRDefault="00911D63">
      <w:pPr>
        <w:pStyle w:val="BodyText"/>
        <w:ind w:left="386" w:right="1594"/>
      </w:pPr>
      <w:r>
        <w:br w:type="column"/>
      </w:r>
      <w:r>
        <w:t>Anthony</w:t>
      </w:r>
      <w:r>
        <w:rPr>
          <w:spacing w:val="-13"/>
        </w:rPr>
        <w:t xml:space="preserve"> </w:t>
      </w:r>
      <w:r>
        <w:t>Couroupis Managing</w:t>
      </w:r>
      <w:r>
        <w:rPr>
          <w:spacing w:val="-9"/>
        </w:rPr>
        <w:t xml:space="preserve"> </w:t>
      </w:r>
      <w:r>
        <w:rPr>
          <w:spacing w:val="-2"/>
        </w:rPr>
        <w:t>Director</w:t>
      </w:r>
    </w:p>
    <w:p w14:paraId="778CBEC7" w14:textId="77777777" w:rsidR="00141B97" w:rsidRDefault="00141B97">
      <w:pPr>
        <w:sectPr w:rsidR="00141B97">
          <w:type w:val="continuous"/>
          <w:pgSz w:w="11910" w:h="16840"/>
          <w:pgMar w:top="1940" w:right="520" w:bottom="280" w:left="800" w:header="720" w:footer="720" w:gutter="0"/>
          <w:cols w:num="2" w:space="720" w:equalWidth="0">
            <w:col w:w="3361" w:space="2705"/>
            <w:col w:w="4524"/>
          </w:cols>
        </w:sectPr>
      </w:pPr>
    </w:p>
    <w:p w14:paraId="6D7FC65C" w14:textId="77777777" w:rsidR="00141B97" w:rsidRDefault="00911D63">
      <w:pPr>
        <w:pStyle w:val="BodyText"/>
        <w:tabs>
          <w:tab w:val="left" w:pos="6451"/>
        </w:tabs>
        <w:ind w:left="442"/>
      </w:pPr>
      <w:r>
        <w:t>27</w:t>
      </w:r>
      <w:r>
        <w:rPr>
          <w:spacing w:val="-8"/>
        </w:rPr>
        <w:t xml:space="preserve"> </w:t>
      </w:r>
      <w:r>
        <w:t>September</w:t>
      </w:r>
      <w:r>
        <w:rPr>
          <w:spacing w:val="-7"/>
        </w:rPr>
        <w:t xml:space="preserve"> </w:t>
      </w:r>
      <w:r>
        <w:rPr>
          <w:spacing w:val="-4"/>
        </w:rPr>
        <w:t>2022</w:t>
      </w:r>
      <w:r>
        <w:tab/>
        <w:t>27</w:t>
      </w:r>
      <w:r>
        <w:rPr>
          <w:spacing w:val="-8"/>
        </w:rPr>
        <w:t xml:space="preserve"> </w:t>
      </w:r>
      <w:r>
        <w:t>September</w:t>
      </w:r>
      <w:r>
        <w:rPr>
          <w:spacing w:val="-7"/>
        </w:rPr>
        <w:t xml:space="preserve"> </w:t>
      </w:r>
      <w:r>
        <w:rPr>
          <w:spacing w:val="-4"/>
        </w:rPr>
        <w:t>2022</w:t>
      </w:r>
    </w:p>
    <w:p w14:paraId="59E9B12E" w14:textId="77777777" w:rsidR="00141B97" w:rsidRDefault="00141B97">
      <w:pPr>
        <w:sectPr w:rsidR="00141B97">
          <w:type w:val="continuous"/>
          <w:pgSz w:w="11910" w:h="16840"/>
          <w:pgMar w:top="1940" w:right="520" w:bottom="280" w:left="800" w:header="720" w:footer="720" w:gutter="0"/>
          <w:cols w:space="720"/>
        </w:sectPr>
      </w:pPr>
    </w:p>
    <w:p w14:paraId="753F11FE" w14:textId="77777777" w:rsidR="00141B97" w:rsidRDefault="00911D63">
      <w:pPr>
        <w:spacing w:line="577" w:lineRule="exact"/>
        <w:ind w:left="112"/>
        <w:rPr>
          <w:sz w:val="48"/>
        </w:rPr>
      </w:pPr>
      <w:r>
        <w:rPr>
          <w:color w:val="006CA2"/>
          <w:sz w:val="48"/>
        </w:rPr>
        <w:lastRenderedPageBreak/>
        <w:t>Executive</w:t>
      </w:r>
      <w:r>
        <w:rPr>
          <w:color w:val="006CA2"/>
          <w:spacing w:val="-3"/>
          <w:sz w:val="48"/>
        </w:rPr>
        <w:t xml:space="preserve"> </w:t>
      </w:r>
      <w:r>
        <w:rPr>
          <w:color w:val="006CA2"/>
          <w:spacing w:val="-2"/>
          <w:sz w:val="48"/>
        </w:rPr>
        <w:t>Summary</w:t>
      </w:r>
    </w:p>
    <w:p w14:paraId="0FA226C7" w14:textId="77777777" w:rsidR="00141B97" w:rsidRDefault="00911D63">
      <w:pPr>
        <w:pStyle w:val="Heading2"/>
        <w:spacing w:before="269"/>
        <w:ind w:left="112" w:firstLine="0"/>
      </w:pPr>
      <w:r>
        <w:rPr>
          <w:color w:val="009BAC"/>
        </w:rPr>
        <w:t>Introducing</w:t>
      </w:r>
      <w:r>
        <w:rPr>
          <w:color w:val="009BAC"/>
          <w:spacing w:val="-5"/>
        </w:rPr>
        <w:t xml:space="preserve"> </w:t>
      </w:r>
      <w:r>
        <w:rPr>
          <w:color w:val="009BAC"/>
        </w:rPr>
        <w:t>the</w:t>
      </w:r>
      <w:r>
        <w:rPr>
          <w:color w:val="009BAC"/>
          <w:spacing w:val="-4"/>
        </w:rPr>
        <w:t xml:space="preserve"> </w:t>
      </w:r>
      <w:r>
        <w:rPr>
          <w:color w:val="009BAC"/>
        </w:rPr>
        <w:t>Price</w:t>
      </w:r>
      <w:r>
        <w:rPr>
          <w:color w:val="009BAC"/>
          <w:spacing w:val="-4"/>
        </w:rPr>
        <w:t xml:space="preserve"> </w:t>
      </w:r>
      <w:r>
        <w:rPr>
          <w:color w:val="009BAC"/>
          <w:spacing w:val="-2"/>
        </w:rPr>
        <w:t>Submission</w:t>
      </w:r>
    </w:p>
    <w:p w14:paraId="5AB64A2D" w14:textId="77777777" w:rsidR="00141B97" w:rsidRDefault="00911D63">
      <w:pPr>
        <w:pStyle w:val="BodyText"/>
        <w:spacing w:before="159"/>
        <w:ind w:left="112" w:right="106"/>
        <w:jc w:val="both"/>
      </w:pPr>
      <w:r>
        <w:t>Lower</w:t>
      </w:r>
      <w:r>
        <w:rPr>
          <w:spacing w:val="-1"/>
        </w:rPr>
        <w:t xml:space="preserve"> </w:t>
      </w:r>
      <w:r>
        <w:t>Murray</w:t>
      </w:r>
      <w:r>
        <w:rPr>
          <w:spacing w:val="-1"/>
        </w:rPr>
        <w:t xml:space="preserve"> </w:t>
      </w:r>
      <w:r>
        <w:t>Water (LMW) is a</w:t>
      </w:r>
      <w:r>
        <w:rPr>
          <w:spacing w:val="-3"/>
        </w:rPr>
        <w:t xml:space="preserve"> </w:t>
      </w:r>
      <w:r>
        <w:t>unique water</w:t>
      </w:r>
      <w:r>
        <w:rPr>
          <w:spacing w:val="-1"/>
        </w:rPr>
        <w:t xml:space="preserve"> </w:t>
      </w:r>
      <w:r>
        <w:t>corporation consisting of two</w:t>
      </w:r>
      <w:r>
        <w:rPr>
          <w:spacing w:val="-2"/>
        </w:rPr>
        <w:t xml:space="preserve"> </w:t>
      </w:r>
      <w:r>
        <w:t>businesses</w:t>
      </w:r>
      <w:r>
        <w:rPr>
          <w:spacing w:val="-1"/>
        </w:rPr>
        <w:t xml:space="preserve"> </w:t>
      </w:r>
      <w:r>
        <w:t>–</w:t>
      </w:r>
      <w:r>
        <w:rPr>
          <w:spacing w:val="-1"/>
        </w:rPr>
        <w:t xml:space="preserve"> </w:t>
      </w:r>
      <w:r>
        <w:t>Urban and</w:t>
      </w:r>
      <w:r>
        <w:rPr>
          <w:spacing w:val="-1"/>
        </w:rPr>
        <w:t xml:space="preserve"> </w:t>
      </w:r>
      <w:r>
        <w:t>Rural.</w:t>
      </w:r>
      <w:r>
        <w:rPr>
          <w:spacing w:val="-1"/>
        </w:rPr>
        <w:t xml:space="preserve"> </w:t>
      </w:r>
      <w:r>
        <w:t>LMW’s Price</w:t>
      </w:r>
      <w:r>
        <w:rPr>
          <w:spacing w:val="-13"/>
        </w:rPr>
        <w:t xml:space="preserve"> </w:t>
      </w:r>
      <w:r>
        <w:t>Submission</w:t>
      </w:r>
      <w:r>
        <w:rPr>
          <w:spacing w:val="-12"/>
        </w:rPr>
        <w:t xml:space="preserve"> </w:t>
      </w:r>
      <w:r>
        <w:t>2023-28</w:t>
      </w:r>
      <w:r>
        <w:rPr>
          <w:spacing w:val="-13"/>
        </w:rPr>
        <w:t xml:space="preserve"> </w:t>
      </w:r>
      <w:r>
        <w:t>(PS5)</w:t>
      </w:r>
      <w:r>
        <w:rPr>
          <w:spacing w:val="-12"/>
        </w:rPr>
        <w:t xml:space="preserve"> </w:t>
      </w:r>
      <w:r>
        <w:t>is</w:t>
      </w:r>
      <w:r>
        <w:rPr>
          <w:spacing w:val="-13"/>
        </w:rPr>
        <w:t xml:space="preserve"> </w:t>
      </w:r>
      <w:r>
        <w:t>submitted</w:t>
      </w:r>
      <w:r>
        <w:rPr>
          <w:spacing w:val="-12"/>
        </w:rPr>
        <w:t xml:space="preserve"> </w:t>
      </w:r>
      <w:r>
        <w:t>as</w:t>
      </w:r>
      <w:r>
        <w:rPr>
          <w:spacing w:val="-13"/>
        </w:rPr>
        <w:t xml:space="preserve"> </w:t>
      </w:r>
      <w:r>
        <w:t>one</w:t>
      </w:r>
      <w:r>
        <w:rPr>
          <w:spacing w:val="-12"/>
        </w:rPr>
        <w:t xml:space="preserve"> </w:t>
      </w:r>
      <w:r>
        <w:t>document</w:t>
      </w:r>
      <w:r>
        <w:rPr>
          <w:spacing w:val="-11"/>
        </w:rPr>
        <w:t xml:space="preserve"> </w:t>
      </w:r>
      <w:r>
        <w:t>to</w:t>
      </w:r>
      <w:r>
        <w:rPr>
          <w:spacing w:val="-13"/>
        </w:rPr>
        <w:t xml:space="preserve"> </w:t>
      </w:r>
      <w:r>
        <w:t>reflect</w:t>
      </w:r>
      <w:r>
        <w:rPr>
          <w:spacing w:val="-12"/>
        </w:rPr>
        <w:t xml:space="preserve"> </w:t>
      </w:r>
      <w:r>
        <w:t>the</w:t>
      </w:r>
      <w:r>
        <w:rPr>
          <w:spacing w:val="-12"/>
        </w:rPr>
        <w:t xml:space="preserve"> </w:t>
      </w:r>
      <w:r>
        <w:t>integrated</w:t>
      </w:r>
      <w:r>
        <w:rPr>
          <w:spacing w:val="-13"/>
        </w:rPr>
        <w:t xml:space="preserve"> </w:t>
      </w:r>
      <w:r>
        <w:t>business</w:t>
      </w:r>
      <w:r>
        <w:rPr>
          <w:spacing w:val="-9"/>
        </w:rPr>
        <w:t xml:space="preserve"> </w:t>
      </w:r>
      <w:r>
        <w:t>that</w:t>
      </w:r>
      <w:r>
        <w:rPr>
          <w:spacing w:val="-13"/>
        </w:rPr>
        <w:t xml:space="preserve"> </w:t>
      </w:r>
      <w:r>
        <w:t>services</w:t>
      </w:r>
      <w:r>
        <w:rPr>
          <w:spacing w:val="-12"/>
        </w:rPr>
        <w:t xml:space="preserve"> </w:t>
      </w:r>
      <w:r>
        <w:t xml:space="preserve">North- West Victoria. This submission is made up of three parts: Part A – common elements to both the urban and rural businesses, Part B – specific detail regarding the urban business and Part C – specific detail regarding the rural </w:t>
      </w:r>
      <w:r>
        <w:rPr>
          <w:spacing w:val="-2"/>
        </w:rPr>
        <w:t>business.</w:t>
      </w:r>
    </w:p>
    <w:p w14:paraId="1E488ECB" w14:textId="77777777" w:rsidR="00141B97" w:rsidRDefault="00911D63">
      <w:pPr>
        <w:pStyle w:val="BodyText"/>
        <w:spacing w:before="160"/>
        <w:ind w:left="112" w:right="108"/>
        <w:jc w:val="both"/>
      </w:pPr>
      <w:r>
        <w:t>PS5 is submitted after comprehensive customer engagement to determine customer needs and priorities, and an extensive</w:t>
      </w:r>
      <w:r>
        <w:rPr>
          <w:spacing w:val="-11"/>
        </w:rPr>
        <w:t xml:space="preserve"> </w:t>
      </w:r>
      <w:r>
        <w:t>review</w:t>
      </w:r>
      <w:r>
        <w:rPr>
          <w:spacing w:val="-12"/>
        </w:rPr>
        <w:t xml:space="preserve"> </w:t>
      </w:r>
      <w:r>
        <w:t>of</w:t>
      </w:r>
      <w:r>
        <w:rPr>
          <w:spacing w:val="-11"/>
        </w:rPr>
        <w:t xml:space="preserve"> </w:t>
      </w:r>
      <w:r>
        <w:t>past</w:t>
      </w:r>
      <w:r>
        <w:rPr>
          <w:spacing w:val="-11"/>
        </w:rPr>
        <w:t xml:space="preserve"> </w:t>
      </w:r>
      <w:r>
        <w:t>and</w:t>
      </w:r>
      <w:r>
        <w:rPr>
          <w:spacing w:val="-9"/>
        </w:rPr>
        <w:t xml:space="preserve"> </w:t>
      </w:r>
      <w:r>
        <w:t>current</w:t>
      </w:r>
      <w:r>
        <w:rPr>
          <w:spacing w:val="-11"/>
        </w:rPr>
        <w:t xml:space="preserve"> </w:t>
      </w:r>
      <w:r>
        <w:t>performance</w:t>
      </w:r>
      <w:r>
        <w:rPr>
          <w:spacing w:val="-9"/>
        </w:rPr>
        <w:t xml:space="preserve"> </w:t>
      </w:r>
      <w:r>
        <w:t>to</w:t>
      </w:r>
      <w:r>
        <w:rPr>
          <w:spacing w:val="-10"/>
        </w:rPr>
        <w:t xml:space="preserve"> </w:t>
      </w:r>
      <w:r>
        <w:t>inform</w:t>
      </w:r>
      <w:r>
        <w:rPr>
          <w:spacing w:val="-9"/>
        </w:rPr>
        <w:t xml:space="preserve"> </w:t>
      </w:r>
      <w:r>
        <w:t>development</w:t>
      </w:r>
      <w:r>
        <w:rPr>
          <w:spacing w:val="-11"/>
        </w:rPr>
        <w:t xml:space="preserve"> </w:t>
      </w:r>
      <w:r>
        <w:t>of</w:t>
      </w:r>
      <w:r>
        <w:rPr>
          <w:spacing w:val="-11"/>
        </w:rPr>
        <w:t xml:space="preserve"> </w:t>
      </w:r>
      <w:r>
        <w:t>LMW’s</w:t>
      </w:r>
      <w:r>
        <w:rPr>
          <w:spacing w:val="-9"/>
        </w:rPr>
        <w:t xml:space="preserve"> </w:t>
      </w:r>
      <w:r>
        <w:t>strategies,</w:t>
      </w:r>
      <w:r>
        <w:rPr>
          <w:spacing w:val="-9"/>
        </w:rPr>
        <w:t xml:space="preserve"> </w:t>
      </w:r>
      <w:r>
        <w:t>activities,</w:t>
      </w:r>
      <w:r>
        <w:rPr>
          <w:spacing w:val="-11"/>
        </w:rPr>
        <w:t xml:space="preserve"> </w:t>
      </w:r>
      <w:r>
        <w:t xml:space="preserve">programs, and projects and ultimately deliver a proposal for efficient services at acceptable and affordable prices for </w:t>
      </w:r>
      <w:r>
        <w:rPr>
          <w:spacing w:val="-2"/>
        </w:rPr>
        <w:t>customers.</w:t>
      </w:r>
    </w:p>
    <w:p w14:paraId="609AD18B" w14:textId="77777777" w:rsidR="00141B97" w:rsidRDefault="00141B97">
      <w:pPr>
        <w:pStyle w:val="BodyText"/>
        <w:spacing w:before="11"/>
        <w:rPr>
          <w:sz w:val="21"/>
        </w:rPr>
      </w:pPr>
    </w:p>
    <w:p w14:paraId="2E65AC7F" w14:textId="77777777" w:rsidR="00141B97" w:rsidRDefault="00911D63">
      <w:pPr>
        <w:pStyle w:val="Heading2"/>
        <w:ind w:left="112" w:firstLine="0"/>
      </w:pPr>
      <w:r>
        <w:rPr>
          <w:color w:val="009BAC"/>
        </w:rPr>
        <w:t>Management</w:t>
      </w:r>
      <w:r>
        <w:rPr>
          <w:color w:val="009BAC"/>
          <w:spacing w:val="-6"/>
        </w:rPr>
        <w:t xml:space="preserve"> </w:t>
      </w:r>
      <w:r>
        <w:rPr>
          <w:color w:val="009BAC"/>
        </w:rPr>
        <w:t>of</w:t>
      </w:r>
      <w:r>
        <w:rPr>
          <w:color w:val="009BAC"/>
          <w:spacing w:val="-2"/>
        </w:rPr>
        <w:t xml:space="preserve"> </w:t>
      </w:r>
      <w:r>
        <w:rPr>
          <w:color w:val="009BAC"/>
        </w:rPr>
        <w:t>the</w:t>
      </w:r>
      <w:r>
        <w:rPr>
          <w:color w:val="009BAC"/>
          <w:spacing w:val="-4"/>
        </w:rPr>
        <w:t xml:space="preserve"> </w:t>
      </w:r>
      <w:r>
        <w:rPr>
          <w:color w:val="009BAC"/>
        </w:rPr>
        <w:t>Price</w:t>
      </w:r>
      <w:r>
        <w:rPr>
          <w:color w:val="009BAC"/>
          <w:spacing w:val="-3"/>
        </w:rPr>
        <w:t xml:space="preserve"> </w:t>
      </w:r>
      <w:r>
        <w:rPr>
          <w:color w:val="009BAC"/>
          <w:spacing w:val="-2"/>
        </w:rPr>
        <w:t>Submission</w:t>
      </w:r>
    </w:p>
    <w:p w14:paraId="0D97464D" w14:textId="77777777" w:rsidR="00141B97" w:rsidRDefault="00911D63">
      <w:pPr>
        <w:pStyle w:val="BodyText"/>
        <w:spacing w:before="160"/>
        <w:ind w:left="112" w:right="110"/>
        <w:jc w:val="both"/>
      </w:pPr>
      <w:r>
        <w:t>In building PS5, LMW developed a comprehensive Project Plan and program for preparation, review, and verification,</w:t>
      </w:r>
      <w:r>
        <w:rPr>
          <w:spacing w:val="-10"/>
        </w:rPr>
        <w:t xml:space="preserve"> </w:t>
      </w:r>
      <w:r>
        <w:t>which</w:t>
      </w:r>
      <w:r>
        <w:rPr>
          <w:spacing w:val="-12"/>
        </w:rPr>
        <w:t xml:space="preserve"> </w:t>
      </w:r>
      <w:r>
        <w:t>was</w:t>
      </w:r>
      <w:r>
        <w:rPr>
          <w:spacing w:val="-9"/>
        </w:rPr>
        <w:t xml:space="preserve"> </w:t>
      </w:r>
      <w:r>
        <w:t>progressively</w:t>
      </w:r>
      <w:r>
        <w:rPr>
          <w:spacing w:val="-9"/>
        </w:rPr>
        <w:t xml:space="preserve"> </w:t>
      </w:r>
      <w:r>
        <w:t>updated</w:t>
      </w:r>
      <w:r>
        <w:rPr>
          <w:spacing w:val="-9"/>
        </w:rPr>
        <w:t xml:space="preserve"> </w:t>
      </w:r>
      <w:r>
        <w:t>throughout</w:t>
      </w:r>
      <w:r>
        <w:rPr>
          <w:spacing w:val="-10"/>
        </w:rPr>
        <w:t xml:space="preserve"> </w:t>
      </w:r>
      <w:r>
        <w:t>the</w:t>
      </w:r>
      <w:r>
        <w:rPr>
          <w:spacing w:val="-11"/>
        </w:rPr>
        <w:t xml:space="preserve"> </w:t>
      </w:r>
      <w:r>
        <w:t>preparation</w:t>
      </w:r>
      <w:r>
        <w:rPr>
          <w:spacing w:val="-9"/>
        </w:rPr>
        <w:t xml:space="preserve"> </w:t>
      </w:r>
      <w:r>
        <w:t>process.</w:t>
      </w:r>
      <w:r>
        <w:rPr>
          <w:spacing w:val="-13"/>
        </w:rPr>
        <w:t xml:space="preserve"> </w:t>
      </w:r>
      <w:r>
        <w:t>Key</w:t>
      </w:r>
      <w:r>
        <w:rPr>
          <w:spacing w:val="-10"/>
        </w:rPr>
        <w:t xml:space="preserve"> </w:t>
      </w:r>
      <w:r>
        <w:t>parts</w:t>
      </w:r>
      <w:r>
        <w:rPr>
          <w:spacing w:val="-11"/>
        </w:rPr>
        <w:t xml:space="preserve"> </w:t>
      </w:r>
      <w:r>
        <w:t>of</w:t>
      </w:r>
      <w:r>
        <w:rPr>
          <w:spacing w:val="-11"/>
        </w:rPr>
        <w:t xml:space="preserve"> </w:t>
      </w:r>
      <w:r>
        <w:t>the</w:t>
      </w:r>
      <w:r>
        <w:rPr>
          <w:spacing w:val="-9"/>
        </w:rPr>
        <w:t xml:space="preserve"> </w:t>
      </w:r>
      <w:r>
        <w:t>delivery</w:t>
      </w:r>
      <w:r>
        <w:rPr>
          <w:spacing w:val="-9"/>
        </w:rPr>
        <w:t xml:space="preserve"> </w:t>
      </w:r>
      <w:r>
        <w:t xml:space="preserve">process </w:t>
      </w:r>
      <w:r>
        <w:rPr>
          <w:spacing w:val="-2"/>
        </w:rPr>
        <w:t>included:</w:t>
      </w:r>
    </w:p>
    <w:p w14:paraId="7F70BA5B" w14:textId="77777777" w:rsidR="00141B97" w:rsidRDefault="00911D63">
      <w:pPr>
        <w:pStyle w:val="ListParagraph"/>
        <w:numPr>
          <w:ilvl w:val="0"/>
          <w:numId w:val="119"/>
        </w:numPr>
        <w:tabs>
          <w:tab w:val="left" w:pos="834"/>
        </w:tabs>
        <w:spacing w:before="1"/>
        <w:ind w:hanging="362"/>
        <w:jc w:val="both"/>
      </w:pPr>
      <w:r>
        <w:t>A</w:t>
      </w:r>
      <w:r>
        <w:rPr>
          <w:spacing w:val="37"/>
        </w:rPr>
        <w:t xml:space="preserve"> </w:t>
      </w:r>
      <w:r>
        <w:t>diagnostic</w:t>
      </w:r>
      <w:r>
        <w:rPr>
          <w:spacing w:val="36"/>
        </w:rPr>
        <w:t xml:space="preserve"> </w:t>
      </w:r>
      <w:r>
        <w:t>review</w:t>
      </w:r>
      <w:r>
        <w:rPr>
          <w:spacing w:val="38"/>
        </w:rPr>
        <w:t xml:space="preserve"> </w:t>
      </w:r>
      <w:r>
        <w:t>to</w:t>
      </w:r>
      <w:r>
        <w:rPr>
          <w:spacing w:val="38"/>
        </w:rPr>
        <w:t xml:space="preserve"> </w:t>
      </w:r>
      <w:r>
        <w:t>assess</w:t>
      </w:r>
      <w:r>
        <w:rPr>
          <w:spacing w:val="40"/>
        </w:rPr>
        <w:t xml:space="preserve"> </w:t>
      </w:r>
      <w:r>
        <w:t>the</w:t>
      </w:r>
      <w:r>
        <w:rPr>
          <w:spacing w:val="35"/>
        </w:rPr>
        <w:t xml:space="preserve"> </w:t>
      </w:r>
      <w:r>
        <w:t>maturity</w:t>
      </w:r>
      <w:r>
        <w:rPr>
          <w:spacing w:val="37"/>
        </w:rPr>
        <w:t xml:space="preserve"> </w:t>
      </w:r>
      <w:r>
        <w:t>of</w:t>
      </w:r>
      <w:r>
        <w:rPr>
          <w:spacing w:val="38"/>
        </w:rPr>
        <w:t xml:space="preserve"> </w:t>
      </w:r>
      <w:r>
        <w:t>business</w:t>
      </w:r>
      <w:r>
        <w:rPr>
          <w:spacing w:val="37"/>
        </w:rPr>
        <w:t xml:space="preserve"> </w:t>
      </w:r>
      <w:r>
        <w:t>processes</w:t>
      </w:r>
      <w:r>
        <w:rPr>
          <w:spacing w:val="37"/>
        </w:rPr>
        <w:t xml:space="preserve"> </w:t>
      </w:r>
      <w:r>
        <w:t>and</w:t>
      </w:r>
      <w:r>
        <w:rPr>
          <w:spacing w:val="37"/>
        </w:rPr>
        <w:t xml:space="preserve"> </w:t>
      </w:r>
      <w:r>
        <w:t>documentation</w:t>
      </w:r>
      <w:r>
        <w:rPr>
          <w:spacing w:val="37"/>
        </w:rPr>
        <w:t xml:space="preserve"> </w:t>
      </w:r>
      <w:r>
        <w:t>to</w:t>
      </w:r>
      <w:r>
        <w:rPr>
          <w:spacing w:val="36"/>
        </w:rPr>
        <w:t xml:space="preserve"> </w:t>
      </w:r>
      <w:r>
        <w:t>support</w:t>
      </w:r>
      <w:r>
        <w:rPr>
          <w:spacing w:val="37"/>
        </w:rPr>
        <w:t xml:space="preserve"> </w:t>
      </w:r>
      <w:r>
        <w:rPr>
          <w:spacing w:val="-5"/>
        </w:rPr>
        <w:t>PS5</w:t>
      </w:r>
    </w:p>
    <w:p w14:paraId="22AA32B7" w14:textId="77777777" w:rsidR="00141B97" w:rsidRDefault="00911D63">
      <w:pPr>
        <w:pStyle w:val="BodyText"/>
        <w:ind w:left="833"/>
      </w:pPr>
      <w:r>
        <w:rPr>
          <w:spacing w:val="-2"/>
        </w:rPr>
        <w:t>preparation.</w:t>
      </w:r>
    </w:p>
    <w:p w14:paraId="7668617B" w14:textId="77777777" w:rsidR="00141B97" w:rsidRDefault="00911D63">
      <w:pPr>
        <w:pStyle w:val="ListParagraph"/>
        <w:numPr>
          <w:ilvl w:val="0"/>
          <w:numId w:val="119"/>
        </w:numPr>
        <w:tabs>
          <w:tab w:val="left" w:pos="834"/>
        </w:tabs>
        <w:spacing w:line="279" w:lineRule="exact"/>
        <w:ind w:hanging="362"/>
        <w:jc w:val="both"/>
      </w:pPr>
      <w:r>
        <w:t>Accelerated</w:t>
      </w:r>
      <w:r>
        <w:rPr>
          <w:spacing w:val="-7"/>
        </w:rPr>
        <w:t xml:space="preserve"> </w:t>
      </w:r>
      <w:r>
        <w:t>and</w:t>
      </w:r>
      <w:r>
        <w:rPr>
          <w:spacing w:val="-4"/>
        </w:rPr>
        <w:t xml:space="preserve"> </w:t>
      </w:r>
      <w:r>
        <w:t>adaptive</w:t>
      </w:r>
      <w:r>
        <w:rPr>
          <w:spacing w:val="-6"/>
        </w:rPr>
        <w:t xml:space="preserve"> </w:t>
      </w:r>
      <w:r>
        <w:t>customer</w:t>
      </w:r>
      <w:r>
        <w:rPr>
          <w:spacing w:val="-7"/>
        </w:rPr>
        <w:t xml:space="preserve"> </w:t>
      </w:r>
      <w:r>
        <w:t>engagement</w:t>
      </w:r>
      <w:r>
        <w:rPr>
          <w:spacing w:val="-7"/>
        </w:rPr>
        <w:t xml:space="preserve"> </w:t>
      </w:r>
      <w:r>
        <w:t>program</w:t>
      </w:r>
      <w:r>
        <w:rPr>
          <w:spacing w:val="-4"/>
        </w:rPr>
        <w:t xml:space="preserve"> </w:t>
      </w:r>
      <w:r>
        <w:t>delivered</w:t>
      </w:r>
      <w:r>
        <w:rPr>
          <w:spacing w:val="-5"/>
        </w:rPr>
        <w:t xml:space="preserve"> </w:t>
      </w:r>
      <w:r>
        <w:t>through</w:t>
      </w:r>
      <w:r>
        <w:rPr>
          <w:spacing w:val="-4"/>
        </w:rPr>
        <w:t xml:space="preserve"> </w:t>
      </w:r>
      <w:r>
        <w:t>the</w:t>
      </w:r>
      <w:r>
        <w:rPr>
          <w:spacing w:val="-6"/>
        </w:rPr>
        <w:t xml:space="preserve"> </w:t>
      </w:r>
      <w:r>
        <w:t>entire</w:t>
      </w:r>
      <w:r>
        <w:rPr>
          <w:spacing w:val="-6"/>
        </w:rPr>
        <w:t xml:space="preserve"> </w:t>
      </w:r>
      <w:r>
        <w:t>PS5</w:t>
      </w:r>
      <w:r>
        <w:rPr>
          <w:spacing w:val="-5"/>
        </w:rPr>
        <w:t xml:space="preserve"> </w:t>
      </w:r>
      <w:r>
        <w:rPr>
          <w:spacing w:val="-2"/>
        </w:rPr>
        <w:t>preparation.</w:t>
      </w:r>
    </w:p>
    <w:p w14:paraId="1D70A512" w14:textId="77777777" w:rsidR="00141B97" w:rsidRDefault="00911D63">
      <w:pPr>
        <w:pStyle w:val="ListParagraph"/>
        <w:numPr>
          <w:ilvl w:val="0"/>
          <w:numId w:val="119"/>
        </w:numPr>
        <w:tabs>
          <w:tab w:val="left" w:pos="834"/>
        </w:tabs>
        <w:ind w:right="108"/>
        <w:jc w:val="both"/>
      </w:pPr>
      <w:r>
        <w:t>Established</w:t>
      </w:r>
      <w:r>
        <w:rPr>
          <w:spacing w:val="-5"/>
        </w:rPr>
        <w:t xml:space="preserve"> </w:t>
      </w:r>
      <w:r>
        <w:t>governance</w:t>
      </w:r>
      <w:r>
        <w:rPr>
          <w:spacing w:val="-5"/>
        </w:rPr>
        <w:t xml:space="preserve"> </w:t>
      </w:r>
      <w:r>
        <w:t>arrangements</w:t>
      </w:r>
      <w:r>
        <w:rPr>
          <w:spacing w:val="-5"/>
        </w:rPr>
        <w:t xml:space="preserve"> </w:t>
      </w:r>
      <w:r>
        <w:t>involving</w:t>
      </w:r>
      <w:r>
        <w:rPr>
          <w:spacing w:val="-6"/>
        </w:rPr>
        <w:t xml:space="preserve"> </w:t>
      </w:r>
      <w:r>
        <w:t>the</w:t>
      </w:r>
      <w:r>
        <w:rPr>
          <w:spacing w:val="-5"/>
        </w:rPr>
        <w:t xml:space="preserve"> </w:t>
      </w:r>
      <w:r>
        <w:t>Board,</w:t>
      </w:r>
      <w:r>
        <w:rPr>
          <w:spacing w:val="-5"/>
        </w:rPr>
        <w:t xml:space="preserve"> </w:t>
      </w:r>
      <w:r>
        <w:t>Finance</w:t>
      </w:r>
      <w:r>
        <w:rPr>
          <w:spacing w:val="-5"/>
        </w:rPr>
        <w:t xml:space="preserve"> </w:t>
      </w:r>
      <w:r>
        <w:t>and</w:t>
      </w:r>
      <w:r>
        <w:rPr>
          <w:spacing w:val="-7"/>
        </w:rPr>
        <w:t xml:space="preserve"> </w:t>
      </w:r>
      <w:r>
        <w:t>Audit</w:t>
      </w:r>
      <w:r>
        <w:rPr>
          <w:spacing w:val="-6"/>
        </w:rPr>
        <w:t xml:space="preserve"> </w:t>
      </w:r>
      <w:r>
        <w:t>Committee,</w:t>
      </w:r>
      <w:r>
        <w:rPr>
          <w:spacing w:val="-5"/>
        </w:rPr>
        <w:t xml:space="preserve"> </w:t>
      </w:r>
      <w:r>
        <w:t>Risk</w:t>
      </w:r>
      <w:r>
        <w:rPr>
          <w:spacing w:val="-5"/>
        </w:rPr>
        <w:t xml:space="preserve"> </w:t>
      </w:r>
      <w:r>
        <w:t>Committee, Executive Team, and key LMW staff.</w:t>
      </w:r>
    </w:p>
    <w:p w14:paraId="057960E9" w14:textId="77777777" w:rsidR="00141B97" w:rsidRDefault="00911D63">
      <w:pPr>
        <w:pStyle w:val="ListParagraph"/>
        <w:numPr>
          <w:ilvl w:val="0"/>
          <w:numId w:val="119"/>
        </w:numPr>
        <w:tabs>
          <w:tab w:val="left" w:pos="833"/>
        </w:tabs>
        <w:ind w:left="832" w:right="107"/>
        <w:jc w:val="both"/>
      </w:pPr>
      <w:r>
        <w:t>A wide variety of processes were updated and implemented for development, review, and adoption of all material PS5 inputs, along with supporting Executive Verification and Board Attestation processes.</w:t>
      </w:r>
    </w:p>
    <w:p w14:paraId="1C87750E" w14:textId="77777777" w:rsidR="00141B97" w:rsidRDefault="00911D63">
      <w:pPr>
        <w:pStyle w:val="ListParagraph"/>
        <w:numPr>
          <w:ilvl w:val="0"/>
          <w:numId w:val="119"/>
        </w:numPr>
        <w:tabs>
          <w:tab w:val="left" w:pos="833"/>
        </w:tabs>
        <w:spacing w:before="1"/>
        <w:ind w:left="832" w:right="110"/>
        <w:jc w:val="both"/>
      </w:pPr>
      <w:r>
        <w:t>Extensive and sustained reviews and justification of every operating cost element and capital project or program, including assumptions and risk treatment and allocation, were implemented.</w:t>
      </w:r>
    </w:p>
    <w:p w14:paraId="13A26C96" w14:textId="77777777" w:rsidR="00141B97" w:rsidRDefault="00911D63">
      <w:pPr>
        <w:pStyle w:val="ListParagraph"/>
        <w:numPr>
          <w:ilvl w:val="0"/>
          <w:numId w:val="119"/>
        </w:numPr>
        <w:tabs>
          <w:tab w:val="left" w:pos="833"/>
        </w:tabs>
        <w:ind w:left="832" w:right="109"/>
        <w:jc w:val="both"/>
      </w:pPr>
      <w:r>
        <w:t>Various proposals were tested as they arose with the ESC to check the approach or methodology was appropriate and reasonable.</w:t>
      </w:r>
    </w:p>
    <w:p w14:paraId="592C6971" w14:textId="77777777" w:rsidR="00141B97" w:rsidRDefault="00911D63">
      <w:pPr>
        <w:pStyle w:val="ListParagraph"/>
        <w:numPr>
          <w:ilvl w:val="0"/>
          <w:numId w:val="119"/>
        </w:numPr>
        <w:tabs>
          <w:tab w:val="left" w:pos="834"/>
        </w:tabs>
        <w:ind w:right="108"/>
        <w:jc w:val="both"/>
      </w:pPr>
      <w:r>
        <w:t>Progressive</w:t>
      </w:r>
      <w:r>
        <w:rPr>
          <w:spacing w:val="-5"/>
        </w:rPr>
        <w:t xml:space="preserve"> </w:t>
      </w:r>
      <w:r>
        <w:t>papers</w:t>
      </w:r>
      <w:r>
        <w:rPr>
          <w:spacing w:val="-6"/>
        </w:rPr>
        <w:t xml:space="preserve"> </w:t>
      </w:r>
      <w:r>
        <w:t>on</w:t>
      </w:r>
      <w:r>
        <w:rPr>
          <w:spacing w:val="-6"/>
        </w:rPr>
        <w:t xml:space="preserve"> </w:t>
      </w:r>
      <w:r>
        <w:t>each</w:t>
      </w:r>
      <w:r>
        <w:rPr>
          <w:spacing w:val="-6"/>
        </w:rPr>
        <w:t xml:space="preserve"> </w:t>
      </w:r>
      <w:r>
        <w:t>key</w:t>
      </w:r>
      <w:r>
        <w:rPr>
          <w:spacing w:val="-6"/>
        </w:rPr>
        <w:t xml:space="preserve"> </w:t>
      </w:r>
      <w:r>
        <w:t>PS5</w:t>
      </w:r>
      <w:r>
        <w:rPr>
          <w:spacing w:val="-3"/>
        </w:rPr>
        <w:t xml:space="preserve"> </w:t>
      </w:r>
      <w:r>
        <w:t>input</w:t>
      </w:r>
      <w:r>
        <w:rPr>
          <w:spacing w:val="-7"/>
        </w:rPr>
        <w:t xml:space="preserve"> </w:t>
      </w:r>
      <w:r>
        <w:t>and</w:t>
      </w:r>
      <w:r>
        <w:rPr>
          <w:spacing w:val="-6"/>
        </w:rPr>
        <w:t xml:space="preserve"> </w:t>
      </w:r>
      <w:r>
        <w:t>a</w:t>
      </w:r>
      <w:r>
        <w:rPr>
          <w:spacing w:val="-5"/>
        </w:rPr>
        <w:t xml:space="preserve"> </w:t>
      </w:r>
      <w:r>
        <w:t>total</w:t>
      </w:r>
      <w:r>
        <w:rPr>
          <w:spacing w:val="-5"/>
        </w:rPr>
        <w:t xml:space="preserve"> </w:t>
      </w:r>
      <w:r>
        <w:t>of</w:t>
      </w:r>
      <w:r>
        <w:rPr>
          <w:spacing w:val="-5"/>
        </w:rPr>
        <w:t xml:space="preserve"> </w:t>
      </w:r>
      <w:r>
        <w:t>six</w:t>
      </w:r>
      <w:r>
        <w:rPr>
          <w:spacing w:val="-5"/>
        </w:rPr>
        <w:t xml:space="preserve"> </w:t>
      </w:r>
      <w:r>
        <w:t>successive</w:t>
      </w:r>
      <w:r>
        <w:rPr>
          <w:spacing w:val="-5"/>
        </w:rPr>
        <w:t xml:space="preserve"> </w:t>
      </w:r>
      <w:r>
        <w:t>Price</w:t>
      </w:r>
      <w:r>
        <w:rPr>
          <w:spacing w:val="-5"/>
        </w:rPr>
        <w:t xml:space="preserve"> </w:t>
      </w:r>
      <w:r>
        <w:t>Path</w:t>
      </w:r>
      <w:r>
        <w:rPr>
          <w:spacing w:val="-6"/>
        </w:rPr>
        <w:t xml:space="preserve"> </w:t>
      </w:r>
      <w:r>
        <w:t>models</w:t>
      </w:r>
      <w:r>
        <w:rPr>
          <w:spacing w:val="-3"/>
        </w:rPr>
        <w:t xml:space="preserve"> </w:t>
      </w:r>
      <w:r>
        <w:t>were</w:t>
      </w:r>
      <w:r>
        <w:rPr>
          <w:spacing w:val="-5"/>
        </w:rPr>
        <w:t xml:space="preserve"> </w:t>
      </w:r>
      <w:r>
        <w:t>submitted</w:t>
      </w:r>
      <w:r>
        <w:rPr>
          <w:spacing w:val="-4"/>
        </w:rPr>
        <w:t xml:space="preserve"> </w:t>
      </w:r>
      <w:r>
        <w:t>to the Finance and Audit Committee and/or Board as various inputs were analysed and considered, documented,</w:t>
      </w:r>
      <w:r>
        <w:rPr>
          <w:spacing w:val="-6"/>
        </w:rPr>
        <w:t xml:space="preserve"> </w:t>
      </w:r>
      <w:r>
        <w:t>updated,</w:t>
      </w:r>
      <w:r>
        <w:rPr>
          <w:spacing w:val="-6"/>
        </w:rPr>
        <w:t xml:space="preserve"> </w:t>
      </w:r>
      <w:r>
        <w:t>or</w:t>
      </w:r>
      <w:r>
        <w:rPr>
          <w:spacing w:val="-7"/>
        </w:rPr>
        <w:t xml:space="preserve"> </w:t>
      </w:r>
      <w:r>
        <w:t>reviewed,</w:t>
      </w:r>
      <w:r>
        <w:rPr>
          <w:spacing w:val="-6"/>
        </w:rPr>
        <w:t xml:space="preserve"> </w:t>
      </w:r>
      <w:r>
        <w:t>to</w:t>
      </w:r>
      <w:r>
        <w:rPr>
          <w:spacing w:val="-10"/>
        </w:rPr>
        <w:t xml:space="preserve"> </w:t>
      </w:r>
      <w:r>
        <w:t>enable</w:t>
      </w:r>
      <w:r>
        <w:rPr>
          <w:spacing w:val="-6"/>
        </w:rPr>
        <w:t xml:space="preserve"> </w:t>
      </w:r>
      <w:r>
        <w:t>Director</w:t>
      </w:r>
      <w:r>
        <w:rPr>
          <w:spacing w:val="-9"/>
        </w:rPr>
        <w:t xml:space="preserve"> </w:t>
      </w:r>
      <w:r>
        <w:t>feedback</w:t>
      </w:r>
      <w:r>
        <w:rPr>
          <w:spacing w:val="-7"/>
        </w:rPr>
        <w:t xml:space="preserve"> </w:t>
      </w:r>
      <w:r>
        <w:t>and</w:t>
      </w:r>
      <w:r>
        <w:rPr>
          <w:spacing w:val="-7"/>
        </w:rPr>
        <w:t xml:space="preserve"> </w:t>
      </w:r>
      <w:r>
        <w:t>continuous</w:t>
      </w:r>
      <w:r>
        <w:rPr>
          <w:spacing w:val="-7"/>
        </w:rPr>
        <w:t xml:space="preserve"> </w:t>
      </w:r>
      <w:r>
        <w:t>focus</w:t>
      </w:r>
      <w:r>
        <w:rPr>
          <w:spacing w:val="-7"/>
        </w:rPr>
        <w:t xml:space="preserve"> </w:t>
      </w:r>
      <w:r>
        <w:t>on</w:t>
      </w:r>
      <w:r>
        <w:rPr>
          <w:spacing w:val="-7"/>
        </w:rPr>
        <w:t xml:space="preserve"> </w:t>
      </w:r>
      <w:r>
        <w:t>efficient</w:t>
      </w:r>
      <w:r>
        <w:rPr>
          <w:spacing w:val="-8"/>
        </w:rPr>
        <w:t xml:space="preserve"> </w:t>
      </w:r>
      <w:r>
        <w:t>delivery and consequently minimum prices, and</w:t>
      </w:r>
    </w:p>
    <w:p w14:paraId="17D601AC" w14:textId="77777777" w:rsidR="00141B97" w:rsidRDefault="00911D63">
      <w:pPr>
        <w:pStyle w:val="ListParagraph"/>
        <w:numPr>
          <w:ilvl w:val="0"/>
          <w:numId w:val="119"/>
        </w:numPr>
        <w:tabs>
          <w:tab w:val="left" w:pos="834"/>
        </w:tabs>
        <w:spacing w:before="2" w:line="237" w:lineRule="auto"/>
        <w:ind w:right="108"/>
        <w:jc w:val="both"/>
      </w:pPr>
      <w:r>
        <w:t>Automated financial model processes to ensure financial table and figure outputs were directly input into the PS5 documents and ESC templates.</w:t>
      </w:r>
    </w:p>
    <w:p w14:paraId="080AF35D" w14:textId="77777777" w:rsidR="00141B97" w:rsidRDefault="00141B97">
      <w:pPr>
        <w:pStyle w:val="BodyText"/>
        <w:spacing w:before="3"/>
      </w:pPr>
    </w:p>
    <w:p w14:paraId="2726DC07" w14:textId="77777777" w:rsidR="00141B97" w:rsidRDefault="00911D63">
      <w:pPr>
        <w:pStyle w:val="Heading2"/>
        <w:ind w:left="112" w:firstLine="0"/>
      </w:pPr>
      <w:r>
        <w:rPr>
          <w:color w:val="009BAC"/>
        </w:rPr>
        <w:t>Engaging</w:t>
      </w:r>
      <w:r>
        <w:rPr>
          <w:color w:val="009BAC"/>
          <w:spacing w:val="-4"/>
        </w:rPr>
        <w:t xml:space="preserve"> </w:t>
      </w:r>
      <w:r>
        <w:rPr>
          <w:color w:val="009BAC"/>
        </w:rPr>
        <w:t>with</w:t>
      </w:r>
      <w:r>
        <w:rPr>
          <w:color w:val="009BAC"/>
          <w:spacing w:val="-4"/>
        </w:rPr>
        <w:t xml:space="preserve"> </w:t>
      </w:r>
      <w:r>
        <w:rPr>
          <w:color w:val="009BAC"/>
          <w:spacing w:val="-2"/>
        </w:rPr>
        <w:t>Customers</w:t>
      </w:r>
    </w:p>
    <w:p w14:paraId="18D3B696" w14:textId="77777777" w:rsidR="00141B97" w:rsidRDefault="00911D63">
      <w:pPr>
        <w:pStyle w:val="BodyText"/>
        <w:spacing w:before="159"/>
        <w:ind w:left="112" w:right="106"/>
        <w:jc w:val="both"/>
      </w:pPr>
      <w:r>
        <w:t>A new enterprise customer engagement approach to embed authentic customer engagement across the business saw the development of a new Communication and Stakeholder Engagement Framework and Strategy. As an outcome</w:t>
      </w:r>
      <w:r>
        <w:rPr>
          <w:spacing w:val="-13"/>
        </w:rPr>
        <w:t xml:space="preserve"> </w:t>
      </w:r>
      <w:r>
        <w:t>of</w:t>
      </w:r>
      <w:r>
        <w:rPr>
          <w:spacing w:val="-12"/>
        </w:rPr>
        <w:t xml:space="preserve"> </w:t>
      </w:r>
      <w:r>
        <w:t>this</w:t>
      </w:r>
      <w:r>
        <w:rPr>
          <w:spacing w:val="-12"/>
        </w:rPr>
        <w:t xml:space="preserve"> </w:t>
      </w:r>
      <w:r>
        <w:t>Strategy,</w:t>
      </w:r>
      <w:r>
        <w:rPr>
          <w:spacing w:val="-10"/>
        </w:rPr>
        <w:t xml:space="preserve"> </w:t>
      </w:r>
      <w:r>
        <w:t>a</w:t>
      </w:r>
      <w:r>
        <w:rPr>
          <w:spacing w:val="-13"/>
        </w:rPr>
        <w:t xml:space="preserve"> </w:t>
      </w:r>
      <w:r>
        <w:t>deliberative,</w:t>
      </w:r>
      <w:r>
        <w:rPr>
          <w:spacing w:val="-10"/>
        </w:rPr>
        <w:t xml:space="preserve"> </w:t>
      </w:r>
      <w:r>
        <w:t>iterative</w:t>
      </w:r>
      <w:r>
        <w:rPr>
          <w:spacing w:val="-12"/>
        </w:rPr>
        <w:t xml:space="preserve"> </w:t>
      </w:r>
      <w:r>
        <w:t>customer</w:t>
      </w:r>
      <w:r>
        <w:rPr>
          <w:spacing w:val="-13"/>
        </w:rPr>
        <w:t xml:space="preserve"> </w:t>
      </w:r>
      <w:r>
        <w:t>engagement</w:t>
      </w:r>
      <w:r>
        <w:rPr>
          <w:spacing w:val="-12"/>
        </w:rPr>
        <w:t xml:space="preserve"> </w:t>
      </w:r>
      <w:r>
        <w:t>program</w:t>
      </w:r>
      <w:r>
        <w:rPr>
          <w:spacing w:val="-13"/>
        </w:rPr>
        <w:t xml:space="preserve"> </w:t>
      </w:r>
      <w:r>
        <w:t>utilising</w:t>
      </w:r>
      <w:r>
        <w:rPr>
          <w:spacing w:val="-11"/>
        </w:rPr>
        <w:t xml:space="preserve"> </w:t>
      </w:r>
      <w:r>
        <w:t>a</w:t>
      </w:r>
      <w:r>
        <w:rPr>
          <w:spacing w:val="-12"/>
        </w:rPr>
        <w:t xml:space="preserve"> </w:t>
      </w:r>
      <w:r>
        <w:t>range</w:t>
      </w:r>
      <w:r>
        <w:rPr>
          <w:spacing w:val="-13"/>
        </w:rPr>
        <w:t xml:space="preserve"> </w:t>
      </w:r>
      <w:r>
        <w:t>of</w:t>
      </w:r>
      <w:r>
        <w:rPr>
          <w:spacing w:val="-12"/>
        </w:rPr>
        <w:t xml:space="preserve"> </w:t>
      </w:r>
      <w:r>
        <w:t>methods</w:t>
      </w:r>
      <w:r>
        <w:rPr>
          <w:spacing w:val="-13"/>
        </w:rPr>
        <w:t xml:space="preserve"> </w:t>
      </w:r>
      <w:r>
        <w:t>based on</w:t>
      </w:r>
      <w:r>
        <w:rPr>
          <w:spacing w:val="-4"/>
        </w:rPr>
        <w:t xml:space="preserve"> </w:t>
      </w:r>
      <w:r>
        <w:t>IAP2</w:t>
      </w:r>
      <w:r>
        <w:rPr>
          <w:spacing w:val="-4"/>
        </w:rPr>
        <w:t xml:space="preserve"> </w:t>
      </w:r>
      <w:r>
        <w:t>methodology,</w:t>
      </w:r>
      <w:r>
        <w:rPr>
          <w:spacing w:val="-4"/>
        </w:rPr>
        <w:t xml:space="preserve"> </w:t>
      </w:r>
      <w:r>
        <w:t>sought</w:t>
      </w:r>
      <w:r>
        <w:rPr>
          <w:spacing w:val="-3"/>
        </w:rPr>
        <w:t xml:space="preserve"> </w:t>
      </w:r>
      <w:r>
        <w:t>authentic</w:t>
      </w:r>
      <w:r>
        <w:rPr>
          <w:spacing w:val="-5"/>
        </w:rPr>
        <w:t xml:space="preserve"> </w:t>
      </w:r>
      <w:r>
        <w:t>customer</w:t>
      </w:r>
      <w:r>
        <w:rPr>
          <w:spacing w:val="-4"/>
        </w:rPr>
        <w:t xml:space="preserve"> </w:t>
      </w:r>
      <w:r>
        <w:t>feedback</w:t>
      </w:r>
      <w:r>
        <w:rPr>
          <w:spacing w:val="-2"/>
        </w:rPr>
        <w:t xml:space="preserve"> </w:t>
      </w:r>
      <w:r>
        <w:t>and</w:t>
      </w:r>
      <w:r>
        <w:rPr>
          <w:spacing w:val="-4"/>
        </w:rPr>
        <w:t xml:space="preserve"> </w:t>
      </w:r>
      <w:r>
        <w:t>views</w:t>
      </w:r>
      <w:r>
        <w:rPr>
          <w:spacing w:val="-4"/>
        </w:rPr>
        <w:t xml:space="preserve"> </w:t>
      </w:r>
      <w:r>
        <w:t>on</w:t>
      </w:r>
      <w:r>
        <w:rPr>
          <w:spacing w:val="-6"/>
        </w:rPr>
        <w:t xml:space="preserve"> </w:t>
      </w:r>
      <w:r>
        <w:t>LMW’s</w:t>
      </w:r>
      <w:r>
        <w:rPr>
          <w:spacing w:val="-2"/>
        </w:rPr>
        <w:t xml:space="preserve"> </w:t>
      </w:r>
      <w:r>
        <w:t>performance</w:t>
      </w:r>
      <w:r>
        <w:rPr>
          <w:spacing w:val="-2"/>
        </w:rPr>
        <w:t xml:space="preserve"> </w:t>
      </w:r>
      <w:r>
        <w:t>and</w:t>
      </w:r>
      <w:r>
        <w:rPr>
          <w:spacing w:val="-2"/>
        </w:rPr>
        <w:t xml:space="preserve"> </w:t>
      </w:r>
      <w:r>
        <w:t>their</w:t>
      </w:r>
      <w:r>
        <w:rPr>
          <w:spacing w:val="-4"/>
        </w:rPr>
        <w:t xml:space="preserve"> </w:t>
      </w:r>
      <w:r>
        <w:t>needs</w:t>
      </w:r>
      <w:r>
        <w:rPr>
          <w:spacing w:val="-2"/>
        </w:rPr>
        <w:t xml:space="preserve"> </w:t>
      </w:r>
      <w:r>
        <w:t>and priorities to inform strategic planning and capital and operating program development for PS5.</w:t>
      </w:r>
    </w:p>
    <w:p w14:paraId="0D105B42" w14:textId="77777777" w:rsidR="00141B97" w:rsidRDefault="00141B97">
      <w:pPr>
        <w:pStyle w:val="BodyText"/>
        <w:spacing w:before="1"/>
      </w:pPr>
    </w:p>
    <w:p w14:paraId="4789A062" w14:textId="77777777" w:rsidR="00141B97" w:rsidRDefault="00911D63">
      <w:pPr>
        <w:pStyle w:val="BodyText"/>
        <w:ind w:left="112" w:right="107"/>
        <w:jc w:val="both"/>
      </w:pPr>
      <w:r>
        <w:t>The</w:t>
      </w:r>
      <w:r>
        <w:rPr>
          <w:spacing w:val="-5"/>
        </w:rPr>
        <w:t xml:space="preserve"> </w:t>
      </w:r>
      <w:r>
        <w:t>engagement</w:t>
      </w:r>
      <w:r>
        <w:rPr>
          <w:spacing w:val="-7"/>
        </w:rPr>
        <w:t xml:space="preserve"> </w:t>
      </w:r>
      <w:r>
        <w:t>program</w:t>
      </w:r>
      <w:r>
        <w:rPr>
          <w:spacing w:val="-6"/>
        </w:rPr>
        <w:t xml:space="preserve"> </w:t>
      </w:r>
      <w:r>
        <w:t>was</w:t>
      </w:r>
      <w:r>
        <w:rPr>
          <w:spacing w:val="-3"/>
        </w:rPr>
        <w:t xml:space="preserve"> </w:t>
      </w:r>
      <w:r>
        <w:t>structured</w:t>
      </w:r>
      <w:r>
        <w:rPr>
          <w:spacing w:val="-6"/>
        </w:rPr>
        <w:t xml:space="preserve"> </w:t>
      </w:r>
      <w:r>
        <w:t>specifically</w:t>
      </w:r>
      <w:r>
        <w:rPr>
          <w:spacing w:val="-6"/>
        </w:rPr>
        <w:t xml:space="preserve"> </w:t>
      </w:r>
      <w:r>
        <w:t>around</w:t>
      </w:r>
      <w:r>
        <w:rPr>
          <w:spacing w:val="-4"/>
        </w:rPr>
        <w:t xml:space="preserve"> </w:t>
      </w:r>
      <w:r>
        <w:t>the</w:t>
      </w:r>
      <w:r>
        <w:rPr>
          <w:spacing w:val="-3"/>
        </w:rPr>
        <w:t xml:space="preserve"> </w:t>
      </w:r>
      <w:r>
        <w:t>different</w:t>
      </w:r>
      <w:r>
        <w:rPr>
          <w:spacing w:val="-7"/>
        </w:rPr>
        <w:t xml:space="preserve"> </w:t>
      </w:r>
      <w:r>
        <w:t>services</w:t>
      </w:r>
      <w:r>
        <w:rPr>
          <w:spacing w:val="-6"/>
        </w:rPr>
        <w:t xml:space="preserve"> </w:t>
      </w:r>
      <w:r>
        <w:t>provided</w:t>
      </w:r>
      <w:r>
        <w:rPr>
          <w:spacing w:val="-6"/>
        </w:rPr>
        <w:t xml:space="preserve"> </w:t>
      </w:r>
      <w:r>
        <w:t>by</w:t>
      </w:r>
      <w:r>
        <w:rPr>
          <w:spacing w:val="-6"/>
        </w:rPr>
        <w:t xml:space="preserve"> </w:t>
      </w:r>
      <w:r>
        <w:t>the</w:t>
      </w:r>
      <w:r>
        <w:rPr>
          <w:spacing w:val="-3"/>
        </w:rPr>
        <w:t xml:space="preserve"> </w:t>
      </w:r>
      <w:r>
        <w:t>urban</w:t>
      </w:r>
      <w:r>
        <w:rPr>
          <w:spacing w:val="-4"/>
        </w:rPr>
        <w:t xml:space="preserve"> </w:t>
      </w:r>
      <w:r>
        <w:t>and</w:t>
      </w:r>
      <w:r>
        <w:rPr>
          <w:spacing w:val="-4"/>
        </w:rPr>
        <w:t xml:space="preserve"> </w:t>
      </w:r>
      <w:r>
        <w:t>rural business units of LMW and recognised the diversity of customer groups across LMW’s large geographic area. The four-stage</w:t>
      </w:r>
      <w:r>
        <w:rPr>
          <w:spacing w:val="31"/>
        </w:rPr>
        <w:t xml:space="preserve"> </w:t>
      </w:r>
      <w:r>
        <w:t>program</w:t>
      </w:r>
      <w:r>
        <w:rPr>
          <w:spacing w:val="30"/>
        </w:rPr>
        <w:t xml:space="preserve"> </w:t>
      </w:r>
      <w:r>
        <w:t>was</w:t>
      </w:r>
      <w:r>
        <w:rPr>
          <w:spacing w:val="29"/>
        </w:rPr>
        <w:t xml:space="preserve"> </w:t>
      </w:r>
      <w:r>
        <w:t>implemented</w:t>
      </w:r>
      <w:r>
        <w:rPr>
          <w:spacing w:val="30"/>
        </w:rPr>
        <w:t xml:space="preserve"> </w:t>
      </w:r>
      <w:r>
        <w:t>and</w:t>
      </w:r>
      <w:r>
        <w:rPr>
          <w:spacing w:val="30"/>
        </w:rPr>
        <w:t xml:space="preserve"> </w:t>
      </w:r>
      <w:r>
        <w:t>culminated</w:t>
      </w:r>
      <w:r>
        <w:rPr>
          <w:spacing w:val="30"/>
        </w:rPr>
        <w:t xml:space="preserve"> </w:t>
      </w:r>
      <w:r>
        <w:t>in</w:t>
      </w:r>
      <w:r>
        <w:rPr>
          <w:spacing w:val="30"/>
        </w:rPr>
        <w:t xml:space="preserve"> </w:t>
      </w:r>
      <w:r>
        <w:t>agreed</w:t>
      </w:r>
      <w:r>
        <w:rPr>
          <w:spacing w:val="30"/>
        </w:rPr>
        <w:t xml:space="preserve"> </w:t>
      </w:r>
      <w:r>
        <w:t>customer</w:t>
      </w:r>
      <w:r>
        <w:rPr>
          <w:spacing w:val="28"/>
        </w:rPr>
        <w:t xml:space="preserve"> </w:t>
      </w:r>
      <w:r>
        <w:t>outcomes</w:t>
      </w:r>
      <w:r>
        <w:rPr>
          <w:spacing w:val="31"/>
        </w:rPr>
        <w:t xml:space="preserve"> </w:t>
      </w:r>
      <w:r>
        <w:t>and</w:t>
      </w:r>
      <w:r>
        <w:rPr>
          <w:spacing w:val="28"/>
        </w:rPr>
        <w:t xml:space="preserve"> </w:t>
      </w:r>
      <w:r>
        <w:t>service</w:t>
      </w:r>
      <w:r>
        <w:rPr>
          <w:spacing w:val="29"/>
        </w:rPr>
        <w:t xml:space="preserve"> </w:t>
      </w:r>
      <w:r>
        <w:t>performance</w:t>
      </w:r>
    </w:p>
    <w:p w14:paraId="05DAAC4B" w14:textId="77777777" w:rsidR="00141B97" w:rsidRDefault="00141B97">
      <w:pPr>
        <w:jc w:val="both"/>
        <w:sectPr w:rsidR="00141B97">
          <w:footerReference w:type="default" r:id="rId17"/>
          <w:pgSz w:w="12240" w:h="15840"/>
          <w:pgMar w:top="860" w:right="880" w:bottom="1200" w:left="1020" w:header="0" w:footer="1014" w:gutter="0"/>
          <w:pgNumType w:start="1"/>
          <w:cols w:space="720"/>
        </w:sectPr>
      </w:pPr>
    </w:p>
    <w:p w14:paraId="311060CF" w14:textId="77777777" w:rsidR="00141B97" w:rsidRDefault="00911D63">
      <w:pPr>
        <w:pStyle w:val="BodyText"/>
        <w:spacing w:before="29"/>
        <w:ind w:left="112" w:right="111"/>
        <w:jc w:val="both"/>
      </w:pPr>
      <w:r>
        <w:lastRenderedPageBreak/>
        <w:t>targets,</w:t>
      </w:r>
      <w:r>
        <w:rPr>
          <w:spacing w:val="-2"/>
        </w:rPr>
        <w:t xml:space="preserve"> </w:t>
      </w:r>
      <w:r>
        <w:t>endorsement</w:t>
      </w:r>
      <w:r>
        <w:rPr>
          <w:spacing w:val="-1"/>
        </w:rPr>
        <w:t xml:space="preserve"> </w:t>
      </w:r>
      <w:r>
        <w:t>of</w:t>
      </w:r>
      <w:r>
        <w:rPr>
          <w:spacing w:val="-2"/>
        </w:rPr>
        <w:t xml:space="preserve"> </w:t>
      </w:r>
      <w:r>
        <w:t>major capital</w:t>
      </w:r>
      <w:r>
        <w:rPr>
          <w:spacing w:val="-1"/>
        </w:rPr>
        <w:t xml:space="preserve"> </w:t>
      </w:r>
      <w:r>
        <w:t>investments</w:t>
      </w:r>
      <w:r>
        <w:rPr>
          <w:spacing w:val="-2"/>
        </w:rPr>
        <w:t xml:space="preserve"> </w:t>
      </w:r>
      <w:r>
        <w:t>and operational</w:t>
      </w:r>
      <w:r>
        <w:rPr>
          <w:spacing w:val="-4"/>
        </w:rPr>
        <w:t xml:space="preserve"> </w:t>
      </w:r>
      <w:r>
        <w:t>programs, and the acceptance of the</w:t>
      </w:r>
      <w:r>
        <w:rPr>
          <w:spacing w:val="-2"/>
        </w:rPr>
        <w:t xml:space="preserve"> </w:t>
      </w:r>
      <w:r>
        <w:t>resultant customer prices as fair and reasonable.</w:t>
      </w:r>
    </w:p>
    <w:p w14:paraId="5C5EBB71" w14:textId="77777777" w:rsidR="00141B97" w:rsidRDefault="00141B97">
      <w:pPr>
        <w:pStyle w:val="BodyText"/>
      </w:pPr>
    </w:p>
    <w:p w14:paraId="3949BA83" w14:textId="77777777" w:rsidR="00141B97" w:rsidRDefault="00911D63">
      <w:pPr>
        <w:pStyle w:val="BodyText"/>
        <w:ind w:left="112" w:right="107"/>
        <w:jc w:val="both"/>
      </w:pPr>
      <w:r>
        <w:t>Implementation of engagement activity across such a disparate geographical area combined with the impact of doing so during a pandemic certainly presented challenges to the PS5 engagement program. The iterative nature of the four-stage approach utilised however, enabled LMW to build upon the feedback and insights gained from baseline survey information obtained in mid-2021, and test the thoughts, ideas, and outcomes with customers through engagement activity undertaken throughout the year until September 2022, utilising both qualitative and quantitative methods. This approach allowed for a rolling review of feedback to identify and assess implications during</w:t>
      </w:r>
      <w:r>
        <w:rPr>
          <w:spacing w:val="-7"/>
        </w:rPr>
        <w:t xml:space="preserve"> </w:t>
      </w:r>
      <w:r>
        <w:t>the</w:t>
      </w:r>
      <w:r>
        <w:rPr>
          <w:spacing w:val="-5"/>
        </w:rPr>
        <w:t xml:space="preserve"> </w:t>
      </w:r>
      <w:r>
        <w:t>development</w:t>
      </w:r>
      <w:r>
        <w:rPr>
          <w:spacing w:val="-7"/>
        </w:rPr>
        <w:t xml:space="preserve"> </w:t>
      </w:r>
      <w:r>
        <w:t>of</w:t>
      </w:r>
      <w:r>
        <w:rPr>
          <w:spacing w:val="-8"/>
        </w:rPr>
        <w:t xml:space="preserve"> </w:t>
      </w:r>
      <w:r>
        <w:t>key</w:t>
      </w:r>
      <w:r>
        <w:rPr>
          <w:spacing w:val="-6"/>
        </w:rPr>
        <w:t xml:space="preserve"> </w:t>
      </w:r>
      <w:r>
        <w:t>planning</w:t>
      </w:r>
      <w:r>
        <w:rPr>
          <w:spacing w:val="-7"/>
        </w:rPr>
        <w:t xml:space="preserve"> </w:t>
      </w:r>
      <w:r>
        <w:t>documents</w:t>
      </w:r>
      <w:r>
        <w:rPr>
          <w:spacing w:val="-8"/>
        </w:rPr>
        <w:t xml:space="preserve"> </w:t>
      </w:r>
      <w:r>
        <w:t>such</w:t>
      </w:r>
      <w:r>
        <w:rPr>
          <w:spacing w:val="-6"/>
        </w:rPr>
        <w:t xml:space="preserve"> </w:t>
      </w:r>
      <w:r>
        <w:t>as</w:t>
      </w:r>
      <w:r>
        <w:rPr>
          <w:spacing w:val="-6"/>
        </w:rPr>
        <w:t xml:space="preserve"> </w:t>
      </w:r>
      <w:r>
        <w:t>the</w:t>
      </w:r>
      <w:r>
        <w:rPr>
          <w:spacing w:val="-5"/>
        </w:rPr>
        <w:t xml:space="preserve"> </w:t>
      </w:r>
      <w:r>
        <w:t>strategies</w:t>
      </w:r>
      <w:r>
        <w:rPr>
          <w:spacing w:val="-6"/>
        </w:rPr>
        <w:t xml:space="preserve"> </w:t>
      </w:r>
      <w:r>
        <w:t>and</w:t>
      </w:r>
      <w:r>
        <w:rPr>
          <w:spacing w:val="-6"/>
        </w:rPr>
        <w:t xml:space="preserve"> </w:t>
      </w:r>
      <w:r>
        <w:t>plans,</w:t>
      </w:r>
      <w:r>
        <w:rPr>
          <w:spacing w:val="-5"/>
        </w:rPr>
        <w:t xml:space="preserve"> </w:t>
      </w:r>
      <w:r>
        <w:t>as</w:t>
      </w:r>
      <w:r>
        <w:rPr>
          <w:spacing w:val="-6"/>
        </w:rPr>
        <w:t xml:space="preserve"> </w:t>
      </w:r>
      <w:r>
        <w:t>well</w:t>
      </w:r>
      <w:r>
        <w:rPr>
          <w:spacing w:val="-7"/>
        </w:rPr>
        <w:t xml:space="preserve"> </w:t>
      </w:r>
      <w:r>
        <w:t>as</w:t>
      </w:r>
      <w:r>
        <w:rPr>
          <w:spacing w:val="-6"/>
        </w:rPr>
        <w:t xml:space="preserve"> </w:t>
      </w:r>
      <w:r>
        <w:t>the</w:t>
      </w:r>
      <w:r>
        <w:rPr>
          <w:spacing w:val="-5"/>
        </w:rPr>
        <w:t xml:space="preserve"> </w:t>
      </w:r>
      <w:r>
        <w:t>creation</w:t>
      </w:r>
      <w:r>
        <w:rPr>
          <w:spacing w:val="-6"/>
        </w:rPr>
        <w:t xml:space="preserve"> </w:t>
      </w:r>
      <w:r>
        <w:t>of</w:t>
      </w:r>
      <w:r>
        <w:rPr>
          <w:spacing w:val="-5"/>
        </w:rPr>
        <w:t xml:space="preserve"> </w:t>
      </w:r>
      <w:r>
        <w:t>both urban and rural customer outcomes and correlating targets.</w:t>
      </w:r>
    </w:p>
    <w:p w14:paraId="5C8512F9" w14:textId="77777777" w:rsidR="00141B97" w:rsidRDefault="00141B97">
      <w:pPr>
        <w:pStyle w:val="BodyText"/>
      </w:pPr>
    </w:p>
    <w:p w14:paraId="7835BD0F" w14:textId="77777777" w:rsidR="00141B97" w:rsidRDefault="00911D63">
      <w:pPr>
        <w:pStyle w:val="Heading2"/>
        <w:spacing w:before="1"/>
        <w:ind w:left="112" w:firstLine="0"/>
        <w:jc w:val="both"/>
      </w:pPr>
      <w:r>
        <w:rPr>
          <w:color w:val="009BAC"/>
        </w:rPr>
        <w:t>Regulatory</w:t>
      </w:r>
      <w:r>
        <w:rPr>
          <w:color w:val="009BAC"/>
          <w:spacing w:val="-6"/>
        </w:rPr>
        <w:t xml:space="preserve"> </w:t>
      </w:r>
      <w:r>
        <w:rPr>
          <w:color w:val="009BAC"/>
          <w:spacing w:val="-2"/>
        </w:rPr>
        <w:t>Obligations</w:t>
      </w:r>
    </w:p>
    <w:p w14:paraId="40A2EA26" w14:textId="77777777" w:rsidR="00141B97" w:rsidRDefault="00911D63">
      <w:pPr>
        <w:pStyle w:val="BodyText"/>
        <w:spacing w:before="159"/>
        <w:ind w:left="112" w:right="108"/>
        <w:jc w:val="both"/>
      </w:pPr>
      <w:r>
        <w:t>New and</w:t>
      </w:r>
      <w:r>
        <w:rPr>
          <w:spacing w:val="-1"/>
        </w:rPr>
        <w:t xml:space="preserve"> </w:t>
      </w:r>
      <w:r>
        <w:t>more rigorous government obligations</w:t>
      </w:r>
      <w:r>
        <w:rPr>
          <w:spacing w:val="-1"/>
        </w:rPr>
        <w:t xml:space="preserve"> </w:t>
      </w:r>
      <w:r>
        <w:t>will apply throughout the</w:t>
      </w:r>
      <w:r>
        <w:rPr>
          <w:spacing w:val="-1"/>
        </w:rPr>
        <w:t xml:space="preserve"> </w:t>
      </w:r>
      <w:r>
        <w:t>PS5</w:t>
      </w:r>
      <w:r>
        <w:rPr>
          <w:spacing w:val="-1"/>
        </w:rPr>
        <w:t xml:space="preserve"> </w:t>
      </w:r>
      <w:r>
        <w:t>period,</w:t>
      </w:r>
      <w:r>
        <w:rPr>
          <w:spacing w:val="-1"/>
        </w:rPr>
        <w:t xml:space="preserve"> </w:t>
      </w:r>
      <w:r>
        <w:t>particularly</w:t>
      </w:r>
      <w:r>
        <w:rPr>
          <w:spacing w:val="-1"/>
        </w:rPr>
        <w:t xml:space="preserve"> </w:t>
      </w:r>
      <w:r>
        <w:t>arising</w:t>
      </w:r>
      <w:r>
        <w:rPr>
          <w:spacing w:val="-2"/>
        </w:rPr>
        <w:t xml:space="preserve"> </w:t>
      </w:r>
      <w:r>
        <w:t>from the Minister’s Letter of Expectations (LoE) which detailed nine priority areas for attention, as well as a focus on economic</w:t>
      </w:r>
      <w:r>
        <w:rPr>
          <w:spacing w:val="-1"/>
        </w:rPr>
        <w:t xml:space="preserve"> </w:t>
      </w:r>
      <w:r>
        <w:t>recovery</w:t>
      </w:r>
      <w:r>
        <w:rPr>
          <w:spacing w:val="-2"/>
        </w:rPr>
        <w:t xml:space="preserve"> </w:t>
      </w:r>
      <w:r>
        <w:t>post-COVID, customer</w:t>
      </w:r>
      <w:r>
        <w:rPr>
          <w:spacing w:val="-2"/>
        </w:rPr>
        <w:t xml:space="preserve"> </w:t>
      </w:r>
      <w:r>
        <w:t>hardship, and working</w:t>
      </w:r>
      <w:r>
        <w:rPr>
          <w:spacing w:val="-1"/>
        </w:rPr>
        <w:t xml:space="preserve"> </w:t>
      </w:r>
      <w:r>
        <w:t>with other agencies on government</w:t>
      </w:r>
      <w:r>
        <w:rPr>
          <w:spacing w:val="-1"/>
        </w:rPr>
        <w:t xml:space="preserve"> </w:t>
      </w:r>
      <w:r>
        <w:t>water</w:t>
      </w:r>
      <w:r>
        <w:rPr>
          <w:spacing w:val="-2"/>
        </w:rPr>
        <w:t xml:space="preserve"> </w:t>
      </w:r>
      <w:r>
        <w:t>sector reforms. In addition, increased regulatory expectations have arisen for water quality, and meeting the General Environmental Duty (GED) requirements.</w:t>
      </w:r>
    </w:p>
    <w:p w14:paraId="44FD9DD4" w14:textId="77777777" w:rsidR="00141B97" w:rsidRDefault="00141B97">
      <w:pPr>
        <w:pStyle w:val="BodyText"/>
        <w:spacing w:before="2"/>
      </w:pPr>
    </w:p>
    <w:p w14:paraId="509CA8AE" w14:textId="77777777" w:rsidR="00141B97" w:rsidRDefault="00911D63">
      <w:pPr>
        <w:pStyle w:val="Heading2"/>
        <w:ind w:left="112" w:firstLine="0"/>
        <w:jc w:val="both"/>
      </w:pPr>
      <w:r>
        <w:rPr>
          <w:color w:val="009BAC"/>
        </w:rPr>
        <w:t>LMW’s</w:t>
      </w:r>
      <w:r>
        <w:rPr>
          <w:color w:val="009BAC"/>
          <w:spacing w:val="-6"/>
        </w:rPr>
        <w:t xml:space="preserve"> </w:t>
      </w:r>
      <w:r>
        <w:rPr>
          <w:color w:val="009BAC"/>
        </w:rPr>
        <w:t>Strategic</w:t>
      </w:r>
      <w:r>
        <w:rPr>
          <w:color w:val="009BAC"/>
          <w:spacing w:val="-4"/>
        </w:rPr>
        <w:t xml:space="preserve"> </w:t>
      </w:r>
      <w:r>
        <w:rPr>
          <w:color w:val="009BAC"/>
          <w:spacing w:val="-2"/>
        </w:rPr>
        <w:t>Response</w:t>
      </w:r>
    </w:p>
    <w:p w14:paraId="24FFECCF" w14:textId="77777777" w:rsidR="00141B97" w:rsidRDefault="00911D63">
      <w:pPr>
        <w:pStyle w:val="BodyText"/>
        <w:spacing w:before="159"/>
        <w:ind w:left="112" w:right="107"/>
        <w:jc w:val="both"/>
      </w:pPr>
      <w:r>
        <w:t xml:space="preserve">LMW’s directions were reset with the </w:t>
      </w:r>
      <w:r>
        <w:rPr>
          <w:i/>
        </w:rPr>
        <w:t xml:space="preserve">LMW 2021-2025 Strategic Plan, </w:t>
      </w:r>
      <w:r>
        <w:t xml:space="preserve">which is based on six strategic pillars, made up of three Strategic Priority areas and three Strategic Foundation areas to meet both customer and government/regulatory requirements. LMW’s strategy targets the building of a healthy and sustainable future through </w:t>
      </w:r>
      <w:r>
        <w:rPr>
          <w:i/>
        </w:rPr>
        <w:t>strategic priorities</w:t>
      </w:r>
      <w:r>
        <w:t>:</w:t>
      </w:r>
    </w:p>
    <w:p w14:paraId="092C93A0" w14:textId="77777777" w:rsidR="00141B97" w:rsidRDefault="00911D63">
      <w:pPr>
        <w:pStyle w:val="BodyText"/>
        <w:rPr>
          <w:sz w:val="25"/>
        </w:rPr>
      </w:pPr>
      <w:r>
        <w:rPr>
          <w:noProof/>
        </w:rPr>
        <w:drawing>
          <wp:anchor distT="0" distB="0" distL="0" distR="0" simplePos="0" relativeHeight="11" behindDoc="0" locked="0" layoutInCell="1" allowOverlap="1" wp14:anchorId="0B61F04A" wp14:editId="474C0E70">
            <wp:simplePos x="0" y="0"/>
            <wp:positionH relativeFrom="page">
              <wp:posOffset>739304</wp:posOffset>
            </wp:positionH>
            <wp:positionV relativeFrom="paragraph">
              <wp:posOffset>209584</wp:posOffset>
            </wp:positionV>
            <wp:extent cx="5312678" cy="1971675"/>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email">
                      <a:extLst>
                        <a:ext uri="{28A0092B-C50C-407E-A947-70E740481C1C}">
                          <a14:useLocalDpi xmlns:a14="http://schemas.microsoft.com/office/drawing/2010/main"/>
                        </a:ext>
                      </a:extLst>
                    </a:blip>
                    <a:stretch>
                      <a:fillRect/>
                    </a:stretch>
                  </pic:blipFill>
                  <pic:spPr>
                    <a:xfrm>
                      <a:off x="0" y="0"/>
                      <a:ext cx="5312678" cy="1971675"/>
                    </a:xfrm>
                    <a:prstGeom prst="rect">
                      <a:avLst/>
                    </a:prstGeom>
                  </pic:spPr>
                </pic:pic>
              </a:graphicData>
            </a:graphic>
          </wp:anchor>
        </w:drawing>
      </w:r>
    </w:p>
    <w:p w14:paraId="0E280D1C" w14:textId="77777777" w:rsidR="00141B97" w:rsidRDefault="00911D63">
      <w:pPr>
        <w:spacing w:before="77"/>
        <w:ind w:left="112"/>
        <w:jc w:val="both"/>
        <w:rPr>
          <w:sz w:val="16"/>
        </w:rPr>
      </w:pPr>
      <w:r>
        <w:rPr>
          <w:sz w:val="16"/>
        </w:rPr>
        <w:t>Figure</w:t>
      </w:r>
      <w:r>
        <w:rPr>
          <w:spacing w:val="-5"/>
          <w:sz w:val="16"/>
        </w:rPr>
        <w:t xml:space="preserve"> </w:t>
      </w:r>
      <w:r>
        <w:rPr>
          <w:sz w:val="16"/>
        </w:rPr>
        <w:t>ES1:</w:t>
      </w:r>
      <w:r>
        <w:rPr>
          <w:spacing w:val="-3"/>
          <w:sz w:val="16"/>
        </w:rPr>
        <w:t xml:space="preserve"> </w:t>
      </w:r>
      <w:r>
        <w:rPr>
          <w:sz w:val="16"/>
        </w:rPr>
        <w:t>LMW</w:t>
      </w:r>
      <w:r>
        <w:rPr>
          <w:spacing w:val="-5"/>
          <w:sz w:val="16"/>
        </w:rPr>
        <w:t xml:space="preserve"> </w:t>
      </w:r>
      <w:r>
        <w:rPr>
          <w:sz w:val="16"/>
        </w:rPr>
        <w:t>Strategic</w:t>
      </w:r>
      <w:r>
        <w:rPr>
          <w:spacing w:val="-2"/>
          <w:sz w:val="16"/>
        </w:rPr>
        <w:t xml:space="preserve"> Priorities</w:t>
      </w:r>
    </w:p>
    <w:p w14:paraId="318BB68D" w14:textId="77777777" w:rsidR="00141B97" w:rsidRDefault="00141B97">
      <w:pPr>
        <w:jc w:val="both"/>
        <w:rPr>
          <w:sz w:val="16"/>
        </w:rPr>
        <w:sectPr w:rsidR="00141B97">
          <w:pgSz w:w="12240" w:h="15840"/>
          <w:pgMar w:top="820" w:right="880" w:bottom="1200" w:left="1020" w:header="0" w:footer="1014" w:gutter="0"/>
          <w:cols w:space="720"/>
        </w:sectPr>
      </w:pPr>
    </w:p>
    <w:p w14:paraId="57E70EB8" w14:textId="77777777" w:rsidR="00141B97" w:rsidRDefault="00911D63">
      <w:pPr>
        <w:pStyle w:val="BodyText"/>
        <w:spacing w:before="29"/>
        <w:ind w:left="112"/>
        <w:jc w:val="both"/>
      </w:pPr>
      <w:r>
        <w:rPr>
          <w:noProof/>
        </w:rPr>
        <w:lastRenderedPageBreak/>
        <w:drawing>
          <wp:anchor distT="0" distB="0" distL="0" distR="0" simplePos="0" relativeHeight="12" behindDoc="0" locked="0" layoutInCell="1" allowOverlap="1" wp14:anchorId="4BD2CA6F" wp14:editId="70ACE5CE">
            <wp:simplePos x="0" y="0"/>
            <wp:positionH relativeFrom="page">
              <wp:posOffset>743915</wp:posOffset>
            </wp:positionH>
            <wp:positionV relativeFrom="paragraph">
              <wp:posOffset>223662</wp:posOffset>
            </wp:positionV>
            <wp:extent cx="5354532" cy="2681287"/>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email">
                      <a:extLst>
                        <a:ext uri="{28A0092B-C50C-407E-A947-70E740481C1C}">
                          <a14:useLocalDpi xmlns:a14="http://schemas.microsoft.com/office/drawing/2010/main"/>
                        </a:ext>
                      </a:extLst>
                    </a:blip>
                    <a:stretch>
                      <a:fillRect/>
                    </a:stretch>
                  </pic:blipFill>
                  <pic:spPr>
                    <a:xfrm>
                      <a:off x="0" y="0"/>
                      <a:ext cx="5354532" cy="2681287"/>
                    </a:xfrm>
                    <a:prstGeom prst="rect">
                      <a:avLst/>
                    </a:prstGeom>
                  </pic:spPr>
                </pic:pic>
              </a:graphicData>
            </a:graphic>
          </wp:anchor>
        </w:drawing>
      </w:r>
      <w:r>
        <w:t>To</w:t>
      </w:r>
      <w:r>
        <w:rPr>
          <w:spacing w:val="-8"/>
        </w:rPr>
        <w:t xml:space="preserve"> </w:t>
      </w:r>
      <w:r>
        <w:t>do</w:t>
      </w:r>
      <w:r>
        <w:rPr>
          <w:spacing w:val="-3"/>
        </w:rPr>
        <w:t xml:space="preserve"> </w:t>
      </w:r>
      <w:r>
        <w:t>this,</w:t>
      </w:r>
      <w:r>
        <w:rPr>
          <w:spacing w:val="-4"/>
        </w:rPr>
        <w:t xml:space="preserve"> </w:t>
      </w:r>
      <w:r>
        <w:t>LMW</w:t>
      </w:r>
      <w:r>
        <w:rPr>
          <w:spacing w:val="-4"/>
        </w:rPr>
        <w:t xml:space="preserve"> </w:t>
      </w:r>
      <w:r>
        <w:t>is</w:t>
      </w:r>
      <w:r>
        <w:rPr>
          <w:spacing w:val="-4"/>
        </w:rPr>
        <w:t xml:space="preserve"> </w:t>
      </w:r>
      <w:r>
        <w:t>building</w:t>
      </w:r>
      <w:r>
        <w:rPr>
          <w:spacing w:val="-8"/>
        </w:rPr>
        <w:t xml:space="preserve"> </w:t>
      </w:r>
      <w:r>
        <w:t>a</w:t>
      </w:r>
      <w:r>
        <w:rPr>
          <w:spacing w:val="-5"/>
        </w:rPr>
        <w:t xml:space="preserve"> </w:t>
      </w:r>
      <w:r>
        <w:t>dynamic</w:t>
      </w:r>
      <w:r>
        <w:rPr>
          <w:spacing w:val="-3"/>
        </w:rPr>
        <w:t xml:space="preserve"> </w:t>
      </w:r>
      <w:r>
        <w:t>culture</w:t>
      </w:r>
      <w:r>
        <w:rPr>
          <w:spacing w:val="-4"/>
        </w:rPr>
        <w:t xml:space="preserve"> </w:t>
      </w:r>
      <w:r>
        <w:t>of</w:t>
      </w:r>
      <w:r>
        <w:rPr>
          <w:spacing w:val="-5"/>
        </w:rPr>
        <w:t xml:space="preserve"> </w:t>
      </w:r>
      <w:r>
        <w:t>performance</w:t>
      </w:r>
      <w:r>
        <w:rPr>
          <w:spacing w:val="-4"/>
        </w:rPr>
        <w:t xml:space="preserve"> </w:t>
      </w:r>
      <w:r>
        <w:t>excellence</w:t>
      </w:r>
      <w:r>
        <w:rPr>
          <w:spacing w:val="-2"/>
        </w:rPr>
        <w:t xml:space="preserve"> </w:t>
      </w:r>
      <w:r>
        <w:t>through</w:t>
      </w:r>
      <w:r>
        <w:rPr>
          <w:spacing w:val="-3"/>
        </w:rPr>
        <w:t xml:space="preserve"> </w:t>
      </w:r>
      <w:r>
        <w:t>its</w:t>
      </w:r>
      <w:r>
        <w:rPr>
          <w:spacing w:val="-3"/>
        </w:rPr>
        <w:t xml:space="preserve"> </w:t>
      </w:r>
      <w:r>
        <w:rPr>
          <w:i/>
        </w:rPr>
        <w:t>strategic</w:t>
      </w:r>
      <w:r>
        <w:rPr>
          <w:i/>
          <w:spacing w:val="-4"/>
        </w:rPr>
        <w:t xml:space="preserve"> </w:t>
      </w:r>
      <w:r>
        <w:rPr>
          <w:i/>
          <w:spacing w:val="-2"/>
        </w:rPr>
        <w:t>foundations</w:t>
      </w:r>
      <w:r>
        <w:rPr>
          <w:spacing w:val="-2"/>
        </w:rPr>
        <w:t>:</w:t>
      </w:r>
    </w:p>
    <w:p w14:paraId="562C9E55" w14:textId="77777777" w:rsidR="00141B97" w:rsidRDefault="00911D63">
      <w:pPr>
        <w:spacing w:before="45"/>
        <w:ind w:left="112"/>
        <w:jc w:val="both"/>
        <w:rPr>
          <w:sz w:val="16"/>
        </w:rPr>
      </w:pPr>
      <w:r>
        <w:rPr>
          <w:sz w:val="16"/>
        </w:rPr>
        <w:t>Figure</w:t>
      </w:r>
      <w:r>
        <w:rPr>
          <w:spacing w:val="-5"/>
          <w:sz w:val="16"/>
        </w:rPr>
        <w:t xml:space="preserve"> </w:t>
      </w:r>
      <w:r>
        <w:rPr>
          <w:sz w:val="16"/>
        </w:rPr>
        <w:t>ES2:</w:t>
      </w:r>
      <w:r>
        <w:rPr>
          <w:spacing w:val="-3"/>
          <w:sz w:val="16"/>
        </w:rPr>
        <w:t xml:space="preserve"> </w:t>
      </w:r>
      <w:r>
        <w:rPr>
          <w:sz w:val="16"/>
        </w:rPr>
        <w:t>LMW</w:t>
      </w:r>
      <w:r>
        <w:rPr>
          <w:spacing w:val="-5"/>
          <w:sz w:val="16"/>
        </w:rPr>
        <w:t xml:space="preserve"> </w:t>
      </w:r>
      <w:r>
        <w:rPr>
          <w:sz w:val="16"/>
        </w:rPr>
        <w:t>Strategic</w:t>
      </w:r>
      <w:r>
        <w:rPr>
          <w:spacing w:val="-3"/>
          <w:sz w:val="16"/>
        </w:rPr>
        <w:t xml:space="preserve"> </w:t>
      </w:r>
      <w:r>
        <w:rPr>
          <w:spacing w:val="-2"/>
          <w:sz w:val="16"/>
        </w:rPr>
        <w:t>Foundations</w:t>
      </w:r>
    </w:p>
    <w:p w14:paraId="08C2F587" w14:textId="77777777" w:rsidR="00141B97" w:rsidRDefault="00141B97">
      <w:pPr>
        <w:pStyle w:val="BodyText"/>
        <w:spacing w:before="2"/>
      </w:pPr>
    </w:p>
    <w:p w14:paraId="3A51FCEE" w14:textId="77777777" w:rsidR="00141B97" w:rsidRDefault="00911D63">
      <w:pPr>
        <w:pStyle w:val="Heading2"/>
        <w:ind w:left="112" w:firstLine="0"/>
        <w:jc w:val="both"/>
      </w:pPr>
      <w:r>
        <w:rPr>
          <w:color w:val="009BAC"/>
        </w:rPr>
        <w:t>Managing</w:t>
      </w:r>
      <w:r>
        <w:rPr>
          <w:color w:val="009BAC"/>
          <w:spacing w:val="-5"/>
        </w:rPr>
        <w:t xml:space="preserve"> </w:t>
      </w:r>
      <w:r>
        <w:rPr>
          <w:color w:val="009BAC"/>
        </w:rPr>
        <w:t>and</w:t>
      </w:r>
      <w:r>
        <w:rPr>
          <w:color w:val="009BAC"/>
          <w:spacing w:val="-5"/>
        </w:rPr>
        <w:t xml:space="preserve"> </w:t>
      </w:r>
      <w:r>
        <w:rPr>
          <w:color w:val="009BAC"/>
        </w:rPr>
        <w:t>Allocating</w:t>
      </w:r>
      <w:r>
        <w:rPr>
          <w:color w:val="009BAC"/>
          <w:spacing w:val="-4"/>
        </w:rPr>
        <w:t xml:space="preserve"> Risk</w:t>
      </w:r>
    </w:p>
    <w:p w14:paraId="76611BD6" w14:textId="77777777" w:rsidR="00141B97" w:rsidRDefault="00911D63">
      <w:pPr>
        <w:pStyle w:val="BodyText"/>
        <w:spacing w:before="160"/>
        <w:ind w:left="112" w:right="105"/>
        <w:jc w:val="both"/>
      </w:pPr>
      <w:r>
        <w:t>All material assumptions were challenged, reviewed, and updated as necessary utilising the Risk, and Finance and Audit Committees to test and validate final assumptions. This work included the corporate cost allocation framework as well as the risk management and allocation framework. Significant risks and their management strategies were identified, documented, and allocated between LMW and its customers according to who is best placed</w:t>
      </w:r>
      <w:r>
        <w:rPr>
          <w:spacing w:val="-6"/>
        </w:rPr>
        <w:t xml:space="preserve"> </w:t>
      </w:r>
      <w:r>
        <w:t>to</w:t>
      </w:r>
      <w:r>
        <w:rPr>
          <w:spacing w:val="-6"/>
        </w:rPr>
        <w:t xml:space="preserve"> </w:t>
      </w:r>
      <w:r>
        <w:t>manage</w:t>
      </w:r>
      <w:r>
        <w:rPr>
          <w:spacing w:val="-3"/>
        </w:rPr>
        <w:t xml:space="preserve"> </w:t>
      </w:r>
      <w:r>
        <w:t>them.</w:t>
      </w:r>
      <w:r>
        <w:rPr>
          <w:spacing w:val="-8"/>
        </w:rPr>
        <w:t xml:space="preserve"> </w:t>
      </w:r>
      <w:r>
        <w:t>LMW</w:t>
      </w:r>
      <w:r>
        <w:rPr>
          <w:spacing w:val="-7"/>
        </w:rPr>
        <w:t xml:space="preserve"> </w:t>
      </w:r>
      <w:r>
        <w:t>has</w:t>
      </w:r>
      <w:r>
        <w:rPr>
          <w:spacing w:val="-6"/>
        </w:rPr>
        <w:t xml:space="preserve"> </w:t>
      </w:r>
      <w:r>
        <w:t>taken</w:t>
      </w:r>
      <w:r>
        <w:rPr>
          <w:spacing w:val="-6"/>
        </w:rPr>
        <w:t xml:space="preserve"> </w:t>
      </w:r>
      <w:r>
        <w:t>on</w:t>
      </w:r>
      <w:r>
        <w:rPr>
          <w:spacing w:val="-6"/>
        </w:rPr>
        <w:t xml:space="preserve"> </w:t>
      </w:r>
      <w:r>
        <w:t>considerable</w:t>
      </w:r>
      <w:r>
        <w:rPr>
          <w:spacing w:val="-5"/>
        </w:rPr>
        <w:t xml:space="preserve"> </w:t>
      </w:r>
      <w:r>
        <w:t>risk</w:t>
      </w:r>
      <w:r>
        <w:rPr>
          <w:spacing w:val="-6"/>
        </w:rPr>
        <w:t xml:space="preserve"> </w:t>
      </w:r>
      <w:r>
        <w:t>on</w:t>
      </w:r>
      <w:r>
        <w:rPr>
          <w:spacing w:val="-6"/>
        </w:rPr>
        <w:t xml:space="preserve"> </w:t>
      </w:r>
      <w:r>
        <w:t>behalf</w:t>
      </w:r>
      <w:r>
        <w:rPr>
          <w:spacing w:val="-5"/>
        </w:rPr>
        <w:t xml:space="preserve"> </w:t>
      </w:r>
      <w:r>
        <w:t>of</w:t>
      </w:r>
      <w:r>
        <w:rPr>
          <w:spacing w:val="-3"/>
        </w:rPr>
        <w:t xml:space="preserve"> </w:t>
      </w:r>
      <w:r>
        <w:t>its</w:t>
      </w:r>
      <w:r>
        <w:rPr>
          <w:spacing w:val="-3"/>
        </w:rPr>
        <w:t xml:space="preserve"> </w:t>
      </w:r>
      <w:r>
        <w:t>customers</w:t>
      </w:r>
      <w:r>
        <w:rPr>
          <w:spacing w:val="-6"/>
        </w:rPr>
        <w:t xml:space="preserve"> </w:t>
      </w:r>
      <w:r>
        <w:t>by</w:t>
      </w:r>
      <w:r>
        <w:rPr>
          <w:spacing w:val="-6"/>
        </w:rPr>
        <w:t xml:space="preserve"> </w:t>
      </w:r>
      <w:r>
        <w:t>its</w:t>
      </w:r>
      <w:r>
        <w:rPr>
          <w:spacing w:val="-6"/>
        </w:rPr>
        <w:t xml:space="preserve"> </w:t>
      </w:r>
      <w:r>
        <w:t>rigorous</w:t>
      </w:r>
      <w:r>
        <w:rPr>
          <w:spacing w:val="-6"/>
        </w:rPr>
        <w:t xml:space="preserve"> </w:t>
      </w:r>
      <w:r>
        <w:t>processes</w:t>
      </w:r>
      <w:r>
        <w:rPr>
          <w:spacing w:val="-6"/>
        </w:rPr>
        <w:t xml:space="preserve"> </w:t>
      </w:r>
      <w:r>
        <w:t>of review</w:t>
      </w:r>
      <w:r>
        <w:rPr>
          <w:spacing w:val="-7"/>
        </w:rPr>
        <w:t xml:space="preserve"> </w:t>
      </w:r>
      <w:r>
        <w:t>of</w:t>
      </w:r>
      <w:r>
        <w:rPr>
          <w:spacing w:val="-8"/>
        </w:rPr>
        <w:t xml:space="preserve"> </w:t>
      </w:r>
      <w:r>
        <w:t>each</w:t>
      </w:r>
      <w:r>
        <w:rPr>
          <w:spacing w:val="-4"/>
        </w:rPr>
        <w:t xml:space="preserve"> </w:t>
      </w:r>
      <w:r>
        <w:t>activity</w:t>
      </w:r>
      <w:r>
        <w:rPr>
          <w:spacing w:val="-3"/>
        </w:rPr>
        <w:t xml:space="preserve"> </w:t>
      </w:r>
      <w:r>
        <w:t>and</w:t>
      </w:r>
      <w:r>
        <w:rPr>
          <w:spacing w:val="-6"/>
        </w:rPr>
        <w:t xml:space="preserve"> </w:t>
      </w:r>
      <w:r>
        <w:t>project,</w:t>
      </w:r>
      <w:r>
        <w:rPr>
          <w:spacing w:val="-6"/>
        </w:rPr>
        <w:t xml:space="preserve"> </w:t>
      </w:r>
      <w:r>
        <w:t>and</w:t>
      </w:r>
      <w:r>
        <w:rPr>
          <w:spacing w:val="-6"/>
        </w:rPr>
        <w:t xml:space="preserve"> </w:t>
      </w:r>
      <w:r>
        <w:t>the</w:t>
      </w:r>
      <w:r>
        <w:rPr>
          <w:spacing w:val="-3"/>
        </w:rPr>
        <w:t xml:space="preserve"> </w:t>
      </w:r>
      <w:r>
        <w:t>resulting</w:t>
      </w:r>
      <w:r>
        <w:rPr>
          <w:spacing w:val="-5"/>
        </w:rPr>
        <w:t xml:space="preserve"> </w:t>
      </w:r>
      <w:r>
        <w:t>costs,</w:t>
      </w:r>
      <w:r>
        <w:rPr>
          <w:spacing w:val="-3"/>
        </w:rPr>
        <w:t xml:space="preserve"> </w:t>
      </w:r>
      <w:r>
        <w:t>including</w:t>
      </w:r>
      <w:r>
        <w:rPr>
          <w:spacing w:val="-7"/>
        </w:rPr>
        <w:t xml:space="preserve"> </w:t>
      </w:r>
      <w:r>
        <w:t>risks</w:t>
      </w:r>
      <w:r>
        <w:rPr>
          <w:spacing w:val="-6"/>
        </w:rPr>
        <w:t xml:space="preserve"> </w:t>
      </w:r>
      <w:r>
        <w:t>associated</w:t>
      </w:r>
      <w:r>
        <w:rPr>
          <w:spacing w:val="-6"/>
        </w:rPr>
        <w:t xml:space="preserve"> </w:t>
      </w:r>
      <w:r>
        <w:t>with</w:t>
      </w:r>
      <w:r>
        <w:rPr>
          <w:spacing w:val="-4"/>
        </w:rPr>
        <w:t xml:space="preserve"> </w:t>
      </w:r>
      <w:r>
        <w:t>construction</w:t>
      </w:r>
      <w:r>
        <w:rPr>
          <w:spacing w:val="-6"/>
        </w:rPr>
        <w:t xml:space="preserve"> </w:t>
      </w:r>
      <w:r>
        <w:t>market</w:t>
      </w:r>
      <w:r>
        <w:rPr>
          <w:spacing w:val="-5"/>
        </w:rPr>
        <w:t xml:space="preserve"> </w:t>
      </w:r>
      <w:r>
        <w:t>cost increases</w:t>
      </w:r>
      <w:r>
        <w:rPr>
          <w:spacing w:val="-9"/>
        </w:rPr>
        <w:t xml:space="preserve"> </w:t>
      </w:r>
      <w:r>
        <w:t>beyond</w:t>
      </w:r>
      <w:r>
        <w:rPr>
          <w:spacing w:val="-10"/>
        </w:rPr>
        <w:t xml:space="preserve"> </w:t>
      </w:r>
      <w:r>
        <w:t>CPI.</w:t>
      </w:r>
      <w:r>
        <w:rPr>
          <w:spacing w:val="-9"/>
        </w:rPr>
        <w:t xml:space="preserve"> </w:t>
      </w:r>
      <w:r>
        <w:t>As</w:t>
      </w:r>
      <w:r>
        <w:rPr>
          <w:spacing w:val="-9"/>
        </w:rPr>
        <w:t xml:space="preserve"> </w:t>
      </w:r>
      <w:r>
        <w:t>LMW</w:t>
      </w:r>
      <w:r>
        <w:rPr>
          <w:spacing w:val="-8"/>
        </w:rPr>
        <w:t xml:space="preserve"> </w:t>
      </w:r>
      <w:r>
        <w:t>transforms</w:t>
      </w:r>
      <w:r>
        <w:rPr>
          <w:spacing w:val="-7"/>
        </w:rPr>
        <w:t xml:space="preserve"> </w:t>
      </w:r>
      <w:r>
        <w:t>itself</w:t>
      </w:r>
      <w:r>
        <w:rPr>
          <w:spacing w:val="-9"/>
        </w:rPr>
        <w:t xml:space="preserve"> </w:t>
      </w:r>
      <w:r>
        <w:t>into</w:t>
      </w:r>
      <w:r>
        <w:rPr>
          <w:spacing w:val="-10"/>
        </w:rPr>
        <w:t xml:space="preserve"> </w:t>
      </w:r>
      <w:r>
        <w:t>a</w:t>
      </w:r>
      <w:r>
        <w:rPr>
          <w:spacing w:val="-11"/>
        </w:rPr>
        <w:t xml:space="preserve"> </w:t>
      </w:r>
      <w:r>
        <w:t>more</w:t>
      </w:r>
      <w:r>
        <w:rPr>
          <w:spacing w:val="-6"/>
        </w:rPr>
        <w:t xml:space="preserve"> </w:t>
      </w:r>
      <w:r>
        <w:t>customer-engaged</w:t>
      </w:r>
      <w:r>
        <w:rPr>
          <w:spacing w:val="-7"/>
        </w:rPr>
        <w:t xml:space="preserve"> </w:t>
      </w:r>
      <w:r>
        <w:t>and</w:t>
      </w:r>
      <w:r>
        <w:rPr>
          <w:spacing w:val="-7"/>
        </w:rPr>
        <w:t xml:space="preserve"> </w:t>
      </w:r>
      <w:r>
        <w:t>digitally-enabled</w:t>
      </w:r>
      <w:r>
        <w:rPr>
          <w:spacing w:val="-9"/>
        </w:rPr>
        <w:t xml:space="preserve"> </w:t>
      </w:r>
      <w:r>
        <w:t>business</w:t>
      </w:r>
      <w:r>
        <w:rPr>
          <w:spacing w:val="-9"/>
        </w:rPr>
        <w:t xml:space="preserve"> </w:t>
      </w:r>
      <w:r>
        <w:t>(with increasing governance and compliance requirements), costs are shifting more towards the urban business which continues to see growth, whereas the rural business remains static. As a result, the corporate cost allocation framework has been amended to reflect this.</w:t>
      </w:r>
    </w:p>
    <w:p w14:paraId="0675D7BB" w14:textId="77777777" w:rsidR="00141B97" w:rsidRDefault="00141B97">
      <w:pPr>
        <w:pStyle w:val="BodyText"/>
      </w:pPr>
    </w:p>
    <w:p w14:paraId="71E1E57E" w14:textId="77777777" w:rsidR="00141B97" w:rsidRDefault="00911D63">
      <w:pPr>
        <w:pStyle w:val="Heading2"/>
        <w:spacing w:before="1"/>
        <w:ind w:left="112" w:firstLine="0"/>
        <w:jc w:val="both"/>
      </w:pPr>
      <w:r>
        <w:rPr>
          <w:color w:val="009BAC"/>
        </w:rPr>
        <w:t>Proposed</w:t>
      </w:r>
      <w:r>
        <w:rPr>
          <w:color w:val="009BAC"/>
          <w:spacing w:val="-5"/>
        </w:rPr>
        <w:t xml:space="preserve"> </w:t>
      </w:r>
      <w:r>
        <w:rPr>
          <w:color w:val="009BAC"/>
        </w:rPr>
        <w:t>PREMO</w:t>
      </w:r>
      <w:r>
        <w:rPr>
          <w:color w:val="009BAC"/>
          <w:spacing w:val="-3"/>
        </w:rPr>
        <w:t xml:space="preserve"> </w:t>
      </w:r>
      <w:r>
        <w:rPr>
          <w:color w:val="009BAC"/>
          <w:spacing w:val="-2"/>
        </w:rPr>
        <w:t>Rating</w:t>
      </w:r>
    </w:p>
    <w:p w14:paraId="022DF456" w14:textId="75755607" w:rsidR="00141B97" w:rsidRDefault="00911D63">
      <w:pPr>
        <w:pStyle w:val="BodyText"/>
        <w:spacing w:before="159"/>
        <w:ind w:left="112" w:right="108"/>
        <w:jc w:val="both"/>
      </w:pPr>
      <w:r>
        <w:rPr>
          <w:noProof/>
        </w:rPr>
        <mc:AlternateContent>
          <mc:Choice Requires="wpg">
            <w:drawing>
              <wp:anchor distT="0" distB="0" distL="114300" distR="114300" simplePos="0" relativeHeight="15735296" behindDoc="0" locked="0" layoutInCell="1" allowOverlap="1" wp14:anchorId="33F8F5BD" wp14:editId="583E9F62">
                <wp:simplePos x="0" y="0"/>
                <wp:positionH relativeFrom="page">
                  <wp:posOffset>4161790</wp:posOffset>
                </wp:positionH>
                <wp:positionV relativeFrom="paragraph">
                  <wp:posOffset>1186180</wp:posOffset>
                </wp:positionV>
                <wp:extent cx="356870" cy="344805"/>
                <wp:effectExtent l="0" t="0" r="0" b="0"/>
                <wp:wrapNone/>
                <wp:docPr id="40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44805"/>
                          <a:chOff x="6554" y="1868"/>
                          <a:chExt cx="562" cy="543"/>
                        </a:xfrm>
                      </wpg:grpSpPr>
                      <wps:wsp>
                        <wps:cNvPr id="409" name="docshape16"/>
                        <wps:cNvSpPr>
                          <a:spLocks/>
                        </wps:cNvSpPr>
                        <wps:spPr bwMode="auto">
                          <a:xfrm>
                            <a:off x="6564" y="1877"/>
                            <a:ext cx="542" cy="523"/>
                          </a:xfrm>
                          <a:custGeom>
                            <a:avLst/>
                            <a:gdLst>
                              <a:gd name="T0" fmla="+- 0 6835 6564"/>
                              <a:gd name="T1" fmla="*/ T0 w 542"/>
                              <a:gd name="T2" fmla="+- 0 1878 1878"/>
                              <a:gd name="T3" fmla="*/ 1878 h 523"/>
                              <a:gd name="T4" fmla="+- 0 6771 6564"/>
                              <a:gd name="T5" fmla="*/ T4 w 542"/>
                              <a:gd name="T6" fmla="+- 0 2077 1878"/>
                              <a:gd name="T7" fmla="*/ 2077 h 523"/>
                              <a:gd name="T8" fmla="+- 0 6564 6564"/>
                              <a:gd name="T9" fmla="*/ T8 w 542"/>
                              <a:gd name="T10" fmla="+- 0 2077 1878"/>
                              <a:gd name="T11" fmla="*/ 2077 h 523"/>
                              <a:gd name="T12" fmla="+- 0 6731 6564"/>
                              <a:gd name="T13" fmla="*/ T12 w 542"/>
                              <a:gd name="T14" fmla="+- 0 2201 1878"/>
                              <a:gd name="T15" fmla="*/ 2201 h 523"/>
                              <a:gd name="T16" fmla="+- 0 6668 6564"/>
                              <a:gd name="T17" fmla="*/ T16 w 542"/>
                              <a:gd name="T18" fmla="+- 0 2401 1878"/>
                              <a:gd name="T19" fmla="*/ 2401 h 523"/>
                              <a:gd name="T20" fmla="+- 0 6835 6564"/>
                              <a:gd name="T21" fmla="*/ T20 w 542"/>
                              <a:gd name="T22" fmla="+- 0 2277 1878"/>
                              <a:gd name="T23" fmla="*/ 2277 h 523"/>
                              <a:gd name="T24" fmla="+- 0 7002 6564"/>
                              <a:gd name="T25" fmla="*/ T24 w 542"/>
                              <a:gd name="T26" fmla="+- 0 2401 1878"/>
                              <a:gd name="T27" fmla="*/ 2401 h 523"/>
                              <a:gd name="T28" fmla="+- 0 6939 6564"/>
                              <a:gd name="T29" fmla="*/ T28 w 542"/>
                              <a:gd name="T30" fmla="+- 0 2201 1878"/>
                              <a:gd name="T31" fmla="*/ 2201 h 523"/>
                              <a:gd name="T32" fmla="+- 0 7106 6564"/>
                              <a:gd name="T33" fmla="*/ T32 w 542"/>
                              <a:gd name="T34" fmla="+- 0 2077 1878"/>
                              <a:gd name="T35" fmla="*/ 2077 h 523"/>
                              <a:gd name="T36" fmla="+- 0 6899 6564"/>
                              <a:gd name="T37" fmla="*/ T36 w 542"/>
                              <a:gd name="T38" fmla="+- 0 2077 1878"/>
                              <a:gd name="T39" fmla="*/ 2077 h 523"/>
                              <a:gd name="T40" fmla="+- 0 6835 6564"/>
                              <a:gd name="T41" fmla="*/ T40 w 542"/>
                              <a:gd name="T42" fmla="+- 0 1878 1878"/>
                              <a:gd name="T43" fmla="*/ 1878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2" h="523">
                                <a:moveTo>
                                  <a:pt x="271" y="0"/>
                                </a:moveTo>
                                <a:lnTo>
                                  <a:pt x="207" y="199"/>
                                </a:lnTo>
                                <a:lnTo>
                                  <a:pt x="0" y="199"/>
                                </a:lnTo>
                                <a:lnTo>
                                  <a:pt x="167" y="323"/>
                                </a:lnTo>
                                <a:lnTo>
                                  <a:pt x="104" y="523"/>
                                </a:lnTo>
                                <a:lnTo>
                                  <a:pt x="271" y="399"/>
                                </a:lnTo>
                                <a:lnTo>
                                  <a:pt x="438" y="523"/>
                                </a:lnTo>
                                <a:lnTo>
                                  <a:pt x="375" y="323"/>
                                </a:lnTo>
                                <a:lnTo>
                                  <a:pt x="542" y="199"/>
                                </a:lnTo>
                                <a:lnTo>
                                  <a:pt x="335" y="199"/>
                                </a:lnTo>
                                <a:lnTo>
                                  <a:pt x="2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docshape17"/>
                        <wps:cNvSpPr>
                          <a:spLocks/>
                        </wps:cNvSpPr>
                        <wps:spPr bwMode="auto">
                          <a:xfrm>
                            <a:off x="6564" y="1877"/>
                            <a:ext cx="542" cy="523"/>
                          </a:xfrm>
                          <a:custGeom>
                            <a:avLst/>
                            <a:gdLst>
                              <a:gd name="T0" fmla="+- 0 6564 6564"/>
                              <a:gd name="T1" fmla="*/ T0 w 542"/>
                              <a:gd name="T2" fmla="+- 0 2077 1878"/>
                              <a:gd name="T3" fmla="*/ 2077 h 523"/>
                              <a:gd name="T4" fmla="+- 0 6771 6564"/>
                              <a:gd name="T5" fmla="*/ T4 w 542"/>
                              <a:gd name="T6" fmla="+- 0 2077 1878"/>
                              <a:gd name="T7" fmla="*/ 2077 h 523"/>
                              <a:gd name="T8" fmla="+- 0 6835 6564"/>
                              <a:gd name="T9" fmla="*/ T8 w 542"/>
                              <a:gd name="T10" fmla="+- 0 1878 1878"/>
                              <a:gd name="T11" fmla="*/ 1878 h 523"/>
                              <a:gd name="T12" fmla="+- 0 6899 6564"/>
                              <a:gd name="T13" fmla="*/ T12 w 542"/>
                              <a:gd name="T14" fmla="+- 0 2077 1878"/>
                              <a:gd name="T15" fmla="*/ 2077 h 523"/>
                              <a:gd name="T16" fmla="+- 0 7106 6564"/>
                              <a:gd name="T17" fmla="*/ T16 w 542"/>
                              <a:gd name="T18" fmla="+- 0 2077 1878"/>
                              <a:gd name="T19" fmla="*/ 2077 h 523"/>
                              <a:gd name="T20" fmla="+- 0 6939 6564"/>
                              <a:gd name="T21" fmla="*/ T20 w 542"/>
                              <a:gd name="T22" fmla="+- 0 2201 1878"/>
                              <a:gd name="T23" fmla="*/ 2201 h 523"/>
                              <a:gd name="T24" fmla="+- 0 7002 6564"/>
                              <a:gd name="T25" fmla="*/ T24 w 542"/>
                              <a:gd name="T26" fmla="+- 0 2401 1878"/>
                              <a:gd name="T27" fmla="*/ 2401 h 523"/>
                              <a:gd name="T28" fmla="+- 0 6835 6564"/>
                              <a:gd name="T29" fmla="*/ T28 w 542"/>
                              <a:gd name="T30" fmla="+- 0 2277 1878"/>
                              <a:gd name="T31" fmla="*/ 2277 h 523"/>
                              <a:gd name="T32" fmla="+- 0 6668 6564"/>
                              <a:gd name="T33" fmla="*/ T32 w 542"/>
                              <a:gd name="T34" fmla="+- 0 2401 1878"/>
                              <a:gd name="T35" fmla="*/ 2401 h 523"/>
                              <a:gd name="T36" fmla="+- 0 6731 6564"/>
                              <a:gd name="T37" fmla="*/ T36 w 542"/>
                              <a:gd name="T38" fmla="+- 0 2201 1878"/>
                              <a:gd name="T39" fmla="*/ 2201 h 523"/>
                              <a:gd name="T40" fmla="+- 0 6564 6564"/>
                              <a:gd name="T41" fmla="*/ T40 w 542"/>
                              <a:gd name="T42" fmla="+- 0 2077 1878"/>
                              <a:gd name="T43" fmla="*/ 2077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2" h="523">
                                <a:moveTo>
                                  <a:pt x="0" y="199"/>
                                </a:moveTo>
                                <a:lnTo>
                                  <a:pt x="207" y="199"/>
                                </a:lnTo>
                                <a:lnTo>
                                  <a:pt x="271" y="0"/>
                                </a:lnTo>
                                <a:lnTo>
                                  <a:pt x="335" y="199"/>
                                </a:lnTo>
                                <a:lnTo>
                                  <a:pt x="542" y="199"/>
                                </a:lnTo>
                                <a:lnTo>
                                  <a:pt x="375" y="323"/>
                                </a:lnTo>
                                <a:lnTo>
                                  <a:pt x="438" y="523"/>
                                </a:lnTo>
                                <a:lnTo>
                                  <a:pt x="271" y="399"/>
                                </a:lnTo>
                                <a:lnTo>
                                  <a:pt x="104" y="523"/>
                                </a:lnTo>
                                <a:lnTo>
                                  <a:pt x="167" y="323"/>
                                </a:lnTo>
                                <a:lnTo>
                                  <a:pt x="0" y="199"/>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EAF72" id="docshapegroup15" o:spid="_x0000_s1026" style="position:absolute;margin-left:327.7pt;margin-top:93.4pt;width:28.1pt;height:27.15pt;z-index:15735296;mso-position-horizontal-relative:page" coordorigin="6554,1868" coordsize="56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">
                <v:shape id="docshape16" o:spid="_x0000_s1027" style="position:absolute;left:6564;top:1877;width:542;height:523;visibility:visible;mso-wrap-style:square;v-text-anchor:top" coordsize="54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" path="m271,l207,199,,199,167,323,104,523,271,399,438,523,375,323,542,199r-207,l271,xe" fillcolor="red" stroked="f">
                  <v:path arrowok="t" o:connecttype="custom" o:connectlocs="271,1878;207,2077;0,2077;167,2201;104,2401;271,2277;438,2401;375,2201;542,2077;335,2077;271,1878" o:connectangles="0,0,0,0,0,0,0,0,0,0,0"/>
                </v:shape>
                <v:shape id="docshape17" o:spid="_x0000_s1028" style="position:absolute;left:6564;top:1877;width:542;height:523;visibility:visible;mso-wrap-style:square;v-text-anchor:top" coordsize="54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" path="m,199r207,l271,r64,199l542,199,375,323r63,200l271,399,104,523,167,323,,199xe" filled="f" strokecolor="#2e528f" strokeweight="1pt">
                  <v:path arrowok="t" o:connecttype="custom" o:connectlocs="0,2077;207,2077;271,1878;335,2077;542,2077;375,2201;438,2401;271,2277;104,2401;167,2201;0,2077" o:connectangles="0,0,0,0,0,0,0,0,0,0,0"/>
                </v:shape>
                <w10:wrap anchorx="page"/>
              </v:group>
            </w:pict>
          </mc:Fallback>
        </mc:AlternateContent>
      </w:r>
      <w:r>
        <w:t>The proposed business wide PREMO rating has been self-assessed by LMW as Standard. The self-assessment excludes a formal assessment of the P-element for the rural business, as this is the first period in which the rural business</w:t>
      </w:r>
      <w:r>
        <w:rPr>
          <w:spacing w:val="-12"/>
        </w:rPr>
        <w:t xml:space="preserve"> </w:t>
      </w:r>
      <w:r>
        <w:t>is</w:t>
      </w:r>
      <w:r>
        <w:rPr>
          <w:spacing w:val="-10"/>
        </w:rPr>
        <w:t xml:space="preserve"> </w:t>
      </w:r>
      <w:r>
        <w:t>included</w:t>
      </w:r>
      <w:r>
        <w:rPr>
          <w:spacing w:val="-11"/>
        </w:rPr>
        <w:t xml:space="preserve"> </w:t>
      </w:r>
      <w:r>
        <w:t>under</w:t>
      </w:r>
      <w:r>
        <w:rPr>
          <w:spacing w:val="-11"/>
        </w:rPr>
        <w:t xml:space="preserve"> </w:t>
      </w:r>
      <w:r>
        <w:t>the</w:t>
      </w:r>
      <w:r>
        <w:rPr>
          <w:spacing w:val="-10"/>
        </w:rPr>
        <w:t xml:space="preserve"> </w:t>
      </w:r>
      <w:r>
        <w:t>ESC’s</w:t>
      </w:r>
      <w:r>
        <w:rPr>
          <w:spacing w:val="-10"/>
        </w:rPr>
        <w:t xml:space="preserve"> </w:t>
      </w:r>
      <w:r>
        <w:t>PREMO</w:t>
      </w:r>
      <w:r>
        <w:rPr>
          <w:spacing w:val="-13"/>
        </w:rPr>
        <w:t xml:space="preserve"> </w:t>
      </w:r>
      <w:r>
        <w:t>framework.</w:t>
      </w:r>
      <w:r>
        <w:rPr>
          <w:spacing w:val="-9"/>
        </w:rPr>
        <w:t xml:space="preserve"> </w:t>
      </w:r>
      <w:r>
        <w:t>LMW</w:t>
      </w:r>
      <w:r>
        <w:rPr>
          <w:spacing w:val="-13"/>
        </w:rPr>
        <w:t xml:space="preserve"> </w:t>
      </w:r>
      <w:r>
        <w:t>initiated</w:t>
      </w:r>
      <w:r>
        <w:rPr>
          <w:spacing w:val="-10"/>
        </w:rPr>
        <w:t xml:space="preserve"> </w:t>
      </w:r>
      <w:r>
        <w:t>an</w:t>
      </w:r>
      <w:r>
        <w:rPr>
          <w:spacing w:val="-13"/>
        </w:rPr>
        <w:t xml:space="preserve"> </w:t>
      </w:r>
      <w:r>
        <w:t>external</w:t>
      </w:r>
      <w:r>
        <w:rPr>
          <w:spacing w:val="-11"/>
        </w:rPr>
        <w:t xml:space="preserve"> </w:t>
      </w:r>
      <w:r>
        <w:t>assessment</w:t>
      </w:r>
      <w:r>
        <w:rPr>
          <w:spacing w:val="-12"/>
        </w:rPr>
        <w:t xml:space="preserve"> </w:t>
      </w:r>
      <w:r>
        <w:t>by</w:t>
      </w:r>
      <w:r>
        <w:rPr>
          <w:spacing w:val="-10"/>
        </w:rPr>
        <w:t xml:space="preserve"> </w:t>
      </w:r>
      <w:r>
        <w:t>KPMG</w:t>
      </w:r>
      <w:r>
        <w:rPr>
          <w:spacing w:val="-11"/>
        </w:rPr>
        <w:t xml:space="preserve"> </w:t>
      </w:r>
      <w:r>
        <w:t>as</w:t>
      </w:r>
      <w:r>
        <w:rPr>
          <w:spacing w:val="-10"/>
        </w:rPr>
        <w:t xml:space="preserve"> </w:t>
      </w:r>
      <w:r>
        <w:t>an</w:t>
      </w:r>
      <w:r>
        <w:rPr>
          <w:spacing w:val="-11"/>
        </w:rPr>
        <w:t xml:space="preserve"> </w:t>
      </w:r>
      <w:r>
        <w:t>input into its self-assessment process.</w:t>
      </w:r>
    </w:p>
    <w:p w14:paraId="38032789" w14:textId="77777777" w:rsidR="00141B97" w:rsidRDefault="00141B97">
      <w:pPr>
        <w:pStyle w:val="BodyText"/>
        <w:spacing w:before="6"/>
        <w:rPr>
          <w:sz w:val="23"/>
        </w:rPr>
      </w:pPr>
    </w:p>
    <w:tbl>
      <w:tblPr>
        <w:tblW w:w="0" w:type="auto"/>
        <w:tblInd w:w="1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16"/>
        <w:gridCol w:w="2228"/>
        <w:gridCol w:w="2227"/>
        <w:gridCol w:w="2217"/>
      </w:tblGrid>
      <w:tr w:rsidR="00141B97" w14:paraId="46C9B78C" w14:textId="77777777">
        <w:trPr>
          <w:trHeight w:val="959"/>
        </w:trPr>
        <w:tc>
          <w:tcPr>
            <w:tcW w:w="2216" w:type="dxa"/>
            <w:tcBorders>
              <w:top w:val="nil"/>
              <w:left w:val="nil"/>
              <w:right w:val="single" w:sz="12" w:space="0" w:color="FFFFFF"/>
            </w:tcBorders>
            <w:shd w:val="clear" w:color="auto" w:fill="8EAADB"/>
          </w:tcPr>
          <w:p w14:paraId="6C10979F" w14:textId="77777777" w:rsidR="00141B97" w:rsidRDefault="00911D63">
            <w:pPr>
              <w:pStyle w:val="TableParagraph"/>
              <w:spacing w:line="268" w:lineRule="exact"/>
              <w:ind w:right="749"/>
              <w:jc w:val="right"/>
            </w:pPr>
            <w:r>
              <w:rPr>
                <w:spacing w:val="-2"/>
              </w:rPr>
              <w:t>Leading</w:t>
            </w:r>
          </w:p>
        </w:tc>
        <w:tc>
          <w:tcPr>
            <w:tcW w:w="2228" w:type="dxa"/>
            <w:tcBorders>
              <w:top w:val="nil"/>
              <w:left w:val="single" w:sz="12" w:space="0" w:color="FFFFFF"/>
            </w:tcBorders>
            <w:shd w:val="clear" w:color="auto" w:fill="A8D08D"/>
          </w:tcPr>
          <w:p w14:paraId="5395B256" w14:textId="77777777" w:rsidR="00141B97" w:rsidRDefault="00911D63">
            <w:pPr>
              <w:pStyle w:val="TableParagraph"/>
              <w:spacing w:line="268" w:lineRule="exact"/>
              <w:ind w:left="655" w:right="654"/>
              <w:jc w:val="center"/>
            </w:pPr>
            <w:r>
              <w:rPr>
                <w:spacing w:val="-2"/>
              </w:rPr>
              <w:t>Advanced</w:t>
            </w:r>
          </w:p>
        </w:tc>
        <w:tc>
          <w:tcPr>
            <w:tcW w:w="2227" w:type="dxa"/>
            <w:tcBorders>
              <w:top w:val="nil"/>
            </w:tcBorders>
            <w:shd w:val="clear" w:color="auto" w:fill="FFFF00"/>
          </w:tcPr>
          <w:p w14:paraId="30E76595" w14:textId="77777777" w:rsidR="00141B97" w:rsidRDefault="00911D63">
            <w:pPr>
              <w:pStyle w:val="TableParagraph"/>
              <w:spacing w:line="268" w:lineRule="exact"/>
              <w:ind w:left="693" w:right="692"/>
              <w:jc w:val="center"/>
            </w:pPr>
            <w:r>
              <w:rPr>
                <w:spacing w:val="-2"/>
              </w:rPr>
              <w:t>Standard</w:t>
            </w:r>
          </w:p>
        </w:tc>
        <w:tc>
          <w:tcPr>
            <w:tcW w:w="2217" w:type="dxa"/>
            <w:tcBorders>
              <w:top w:val="nil"/>
              <w:right w:val="nil"/>
            </w:tcBorders>
            <w:shd w:val="clear" w:color="auto" w:fill="FFC000"/>
          </w:tcPr>
          <w:p w14:paraId="3830E4E3" w14:textId="77777777" w:rsidR="00141B97" w:rsidRDefault="00911D63">
            <w:pPr>
              <w:pStyle w:val="TableParagraph"/>
              <w:spacing w:line="268" w:lineRule="exact"/>
              <w:ind w:left="693" w:right="683"/>
              <w:jc w:val="center"/>
            </w:pPr>
            <w:r>
              <w:rPr>
                <w:spacing w:val="-2"/>
              </w:rPr>
              <w:t>Basic</w:t>
            </w:r>
          </w:p>
        </w:tc>
      </w:tr>
      <w:tr w:rsidR="00141B97" w14:paraId="50019AAA" w14:textId="77777777">
        <w:trPr>
          <w:trHeight w:val="290"/>
        </w:trPr>
        <w:tc>
          <w:tcPr>
            <w:tcW w:w="2216" w:type="dxa"/>
            <w:tcBorders>
              <w:left w:val="nil"/>
              <w:bottom w:val="nil"/>
              <w:right w:val="single" w:sz="12" w:space="0" w:color="FFFFFF"/>
            </w:tcBorders>
            <w:shd w:val="clear" w:color="auto" w:fill="8EAADB"/>
          </w:tcPr>
          <w:p w14:paraId="439362F4" w14:textId="77777777" w:rsidR="00141B97" w:rsidRDefault="00911D63">
            <w:pPr>
              <w:pStyle w:val="TableParagraph"/>
              <w:spacing w:line="267" w:lineRule="exact"/>
              <w:ind w:right="728"/>
              <w:jc w:val="right"/>
            </w:pPr>
            <w:r>
              <w:t>19 to</w:t>
            </w:r>
            <w:r>
              <w:rPr>
                <w:spacing w:val="-2"/>
              </w:rPr>
              <w:t xml:space="preserve"> </w:t>
            </w:r>
            <w:r>
              <w:rPr>
                <w:spacing w:val="-5"/>
              </w:rPr>
              <w:t>20</w:t>
            </w:r>
          </w:p>
        </w:tc>
        <w:tc>
          <w:tcPr>
            <w:tcW w:w="2228" w:type="dxa"/>
            <w:tcBorders>
              <w:left w:val="single" w:sz="12" w:space="0" w:color="FFFFFF"/>
              <w:bottom w:val="nil"/>
            </w:tcBorders>
            <w:shd w:val="clear" w:color="auto" w:fill="A8D08D"/>
          </w:tcPr>
          <w:p w14:paraId="08481677" w14:textId="77777777" w:rsidR="00141B97" w:rsidRDefault="00911D63">
            <w:pPr>
              <w:pStyle w:val="TableParagraph"/>
              <w:spacing w:line="267" w:lineRule="exact"/>
              <w:ind w:left="512"/>
            </w:pPr>
            <w:r>
              <w:t>14.5</w:t>
            </w:r>
            <w:r>
              <w:rPr>
                <w:spacing w:val="-2"/>
              </w:rPr>
              <w:t xml:space="preserve"> </w:t>
            </w:r>
            <w:r>
              <w:t>to</w:t>
            </w:r>
            <w:r>
              <w:rPr>
                <w:spacing w:val="-1"/>
              </w:rPr>
              <w:t xml:space="preserve"> </w:t>
            </w:r>
            <w:r>
              <w:rPr>
                <w:spacing w:val="-2"/>
              </w:rPr>
              <w:t>18.75</w:t>
            </w:r>
          </w:p>
        </w:tc>
        <w:tc>
          <w:tcPr>
            <w:tcW w:w="2227" w:type="dxa"/>
            <w:tcBorders>
              <w:bottom w:val="nil"/>
            </w:tcBorders>
            <w:shd w:val="clear" w:color="auto" w:fill="FFFF00"/>
          </w:tcPr>
          <w:p w14:paraId="50929551" w14:textId="77777777" w:rsidR="00141B97" w:rsidRDefault="00911D63">
            <w:pPr>
              <w:pStyle w:val="TableParagraph"/>
              <w:spacing w:line="267" w:lineRule="exact"/>
              <w:ind w:left="571"/>
            </w:pPr>
            <w:r>
              <w:t>9.5</w:t>
            </w:r>
            <w:r>
              <w:rPr>
                <w:spacing w:val="-3"/>
              </w:rPr>
              <w:t xml:space="preserve"> </w:t>
            </w:r>
            <w:r>
              <w:t>to</w:t>
            </w:r>
            <w:r>
              <w:rPr>
                <w:spacing w:val="-3"/>
              </w:rPr>
              <w:t xml:space="preserve"> </w:t>
            </w:r>
            <w:r>
              <w:rPr>
                <w:spacing w:val="-2"/>
              </w:rPr>
              <w:t>13.25</w:t>
            </w:r>
          </w:p>
        </w:tc>
        <w:tc>
          <w:tcPr>
            <w:tcW w:w="2217" w:type="dxa"/>
            <w:tcBorders>
              <w:bottom w:val="nil"/>
              <w:right w:val="nil"/>
            </w:tcBorders>
            <w:shd w:val="clear" w:color="auto" w:fill="FFC000"/>
          </w:tcPr>
          <w:p w14:paraId="22772636" w14:textId="77777777" w:rsidR="00141B97" w:rsidRDefault="00911D63">
            <w:pPr>
              <w:pStyle w:val="TableParagraph"/>
              <w:spacing w:line="267" w:lineRule="exact"/>
              <w:ind w:left="693" w:right="679"/>
              <w:jc w:val="center"/>
            </w:pPr>
            <w:r>
              <w:t>5 to</w:t>
            </w:r>
            <w:r>
              <w:rPr>
                <w:spacing w:val="-2"/>
              </w:rPr>
              <w:t xml:space="preserve"> </w:t>
            </w:r>
            <w:r>
              <w:rPr>
                <w:spacing w:val="-4"/>
              </w:rPr>
              <w:t>9.25</w:t>
            </w:r>
          </w:p>
        </w:tc>
      </w:tr>
      <w:tr w:rsidR="00141B97" w14:paraId="106C9E0B" w14:textId="77777777">
        <w:trPr>
          <w:trHeight w:val="290"/>
        </w:trPr>
        <w:tc>
          <w:tcPr>
            <w:tcW w:w="4444" w:type="dxa"/>
            <w:gridSpan w:val="2"/>
            <w:tcBorders>
              <w:top w:val="nil"/>
              <w:left w:val="nil"/>
              <w:bottom w:val="nil"/>
            </w:tcBorders>
          </w:tcPr>
          <w:p w14:paraId="68975CAC" w14:textId="77777777" w:rsidR="00141B97" w:rsidRDefault="00911D63">
            <w:pPr>
              <w:pStyle w:val="TableParagraph"/>
              <w:spacing w:before="18"/>
              <w:ind w:left="-32"/>
              <w:rPr>
                <w:sz w:val="16"/>
              </w:rPr>
            </w:pPr>
            <w:r>
              <w:rPr>
                <w:sz w:val="16"/>
              </w:rPr>
              <w:t>Figure</w:t>
            </w:r>
            <w:r>
              <w:rPr>
                <w:spacing w:val="-6"/>
                <w:sz w:val="16"/>
              </w:rPr>
              <w:t xml:space="preserve"> </w:t>
            </w:r>
            <w:r>
              <w:rPr>
                <w:sz w:val="16"/>
              </w:rPr>
              <w:t>ES3:</w:t>
            </w:r>
            <w:r>
              <w:rPr>
                <w:spacing w:val="-6"/>
                <w:sz w:val="16"/>
              </w:rPr>
              <w:t xml:space="preserve"> </w:t>
            </w:r>
            <w:r>
              <w:rPr>
                <w:sz w:val="16"/>
              </w:rPr>
              <w:t>Overall</w:t>
            </w:r>
            <w:r>
              <w:rPr>
                <w:spacing w:val="-5"/>
                <w:sz w:val="16"/>
              </w:rPr>
              <w:t xml:space="preserve"> </w:t>
            </w:r>
            <w:r>
              <w:rPr>
                <w:sz w:val="16"/>
              </w:rPr>
              <w:t>PREMO</w:t>
            </w:r>
            <w:r>
              <w:rPr>
                <w:spacing w:val="-4"/>
                <w:sz w:val="16"/>
              </w:rPr>
              <w:t xml:space="preserve"> </w:t>
            </w:r>
            <w:r>
              <w:rPr>
                <w:sz w:val="16"/>
              </w:rPr>
              <w:t>Self-Assessment</w:t>
            </w:r>
            <w:r>
              <w:rPr>
                <w:spacing w:val="-5"/>
                <w:sz w:val="16"/>
              </w:rPr>
              <w:t xml:space="preserve"> </w:t>
            </w:r>
            <w:r>
              <w:rPr>
                <w:spacing w:val="-2"/>
                <w:sz w:val="16"/>
              </w:rPr>
              <w:t>Rating</w:t>
            </w:r>
          </w:p>
        </w:tc>
        <w:tc>
          <w:tcPr>
            <w:tcW w:w="2227" w:type="dxa"/>
            <w:tcBorders>
              <w:top w:val="nil"/>
              <w:bottom w:val="nil"/>
            </w:tcBorders>
          </w:tcPr>
          <w:p w14:paraId="11CB286D" w14:textId="77777777" w:rsidR="00141B97" w:rsidRDefault="00141B97">
            <w:pPr>
              <w:pStyle w:val="TableParagraph"/>
              <w:rPr>
                <w:rFonts w:ascii="Times New Roman"/>
                <w:sz w:val="20"/>
              </w:rPr>
            </w:pPr>
          </w:p>
        </w:tc>
        <w:tc>
          <w:tcPr>
            <w:tcW w:w="2217" w:type="dxa"/>
            <w:tcBorders>
              <w:top w:val="nil"/>
              <w:bottom w:val="nil"/>
              <w:right w:val="nil"/>
            </w:tcBorders>
          </w:tcPr>
          <w:p w14:paraId="39DA8D54" w14:textId="77777777" w:rsidR="00141B97" w:rsidRDefault="00141B97">
            <w:pPr>
              <w:pStyle w:val="TableParagraph"/>
              <w:rPr>
                <w:rFonts w:ascii="Times New Roman"/>
                <w:sz w:val="20"/>
              </w:rPr>
            </w:pPr>
          </w:p>
        </w:tc>
      </w:tr>
    </w:tbl>
    <w:p w14:paraId="31F7CD43" w14:textId="77777777" w:rsidR="00141B97" w:rsidRDefault="00141B97">
      <w:pPr>
        <w:rPr>
          <w:rFonts w:ascii="Times New Roman"/>
          <w:sz w:val="20"/>
        </w:rPr>
        <w:sectPr w:rsidR="00141B97">
          <w:pgSz w:w="12240" w:h="15840"/>
          <w:pgMar w:top="820" w:right="880" w:bottom="1200" w:left="1020" w:header="0" w:footer="1014" w:gutter="0"/>
          <w:cols w:space="720"/>
        </w:sectPr>
      </w:pPr>
    </w:p>
    <w:p w14:paraId="0A8A3ED6" w14:textId="77777777" w:rsidR="00141B97" w:rsidRDefault="00911D63">
      <w:pPr>
        <w:pStyle w:val="Heading2"/>
        <w:spacing w:before="31"/>
        <w:ind w:left="112" w:firstLine="0"/>
      </w:pPr>
      <w:r>
        <w:rPr>
          <w:color w:val="009BAC"/>
        </w:rPr>
        <w:lastRenderedPageBreak/>
        <w:t>Current</w:t>
      </w:r>
      <w:r>
        <w:rPr>
          <w:color w:val="009BAC"/>
          <w:spacing w:val="-6"/>
        </w:rPr>
        <w:t xml:space="preserve"> </w:t>
      </w:r>
      <w:r>
        <w:rPr>
          <w:color w:val="009BAC"/>
        </w:rPr>
        <w:t>Period</w:t>
      </w:r>
      <w:r>
        <w:rPr>
          <w:color w:val="009BAC"/>
          <w:spacing w:val="-3"/>
        </w:rPr>
        <w:t xml:space="preserve"> </w:t>
      </w:r>
      <w:r>
        <w:rPr>
          <w:color w:val="009BAC"/>
          <w:spacing w:val="-2"/>
        </w:rPr>
        <w:t>Performance</w:t>
      </w:r>
    </w:p>
    <w:p w14:paraId="749953C2" w14:textId="77777777" w:rsidR="00141B97" w:rsidRDefault="00911D63">
      <w:pPr>
        <w:pStyle w:val="BodyText"/>
        <w:spacing w:before="160" w:line="267" w:lineRule="exact"/>
        <w:ind w:left="112"/>
      </w:pPr>
      <w:r>
        <w:rPr>
          <w:spacing w:val="-4"/>
        </w:rPr>
        <w:t>Urban</w:t>
      </w:r>
    </w:p>
    <w:p w14:paraId="392F2646" w14:textId="77777777" w:rsidR="00141B97" w:rsidRDefault="00911D63">
      <w:pPr>
        <w:pStyle w:val="BodyText"/>
        <w:ind w:left="112" w:right="110"/>
        <w:jc w:val="both"/>
      </w:pPr>
      <w:r>
        <w:t xml:space="preserve">Over the current price period 2018 to 2023 (PS4), LMW’s urban business has so far met its commitments to customers across the four dimensions of customer outcomes, prices, operating expenditure, and capital </w:t>
      </w:r>
      <w:r>
        <w:rPr>
          <w:spacing w:val="-2"/>
        </w:rPr>
        <w:t>expenditure:</w:t>
      </w:r>
    </w:p>
    <w:p w14:paraId="60DC1B60" w14:textId="77777777" w:rsidR="00141B97" w:rsidRDefault="00911D63">
      <w:pPr>
        <w:pStyle w:val="ListParagraph"/>
        <w:numPr>
          <w:ilvl w:val="0"/>
          <w:numId w:val="119"/>
        </w:numPr>
        <w:tabs>
          <w:tab w:val="left" w:pos="833"/>
        </w:tabs>
        <w:ind w:left="832" w:right="109" w:hanging="360"/>
        <w:jc w:val="both"/>
      </w:pPr>
      <w:r>
        <w:t>Customer outcomes commitments were largely met, especially for the critical customer aspects of containment of tariff increases, safety and reliability of services, and customer engagement. Some excursions</w:t>
      </w:r>
      <w:r>
        <w:rPr>
          <w:spacing w:val="-4"/>
        </w:rPr>
        <w:t xml:space="preserve"> </w:t>
      </w:r>
      <w:r>
        <w:t>from</w:t>
      </w:r>
      <w:r>
        <w:rPr>
          <w:spacing w:val="-5"/>
        </w:rPr>
        <w:t xml:space="preserve"> </w:t>
      </w:r>
      <w:r>
        <w:t>planned</w:t>
      </w:r>
      <w:r>
        <w:rPr>
          <w:spacing w:val="-5"/>
        </w:rPr>
        <w:t xml:space="preserve"> </w:t>
      </w:r>
      <w:r>
        <w:t>outcomes</w:t>
      </w:r>
      <w:r>
        <w:rPr>
          <w:spacing w:val="-4"/>
        </w:rPr>
        <w:t xml:space="preserve"> </w:t>
      </w:r>
      <w:r>
        <w:t>were</w:t>
      </w:r>
      <w:r>
        <w:rPr>
          <w:spacing w:val="-4"/>
        </w:rPr>
        <w:t xml:space="preserve"> </w:t>
      </w:r>
      <w:r>
        <w:t>due</w:t>
      </w:r>
      <w:r>
        <w:rPr>
          <w:spacing w:val="-4"/>
        </w:rPr>
        <w:t xml:space="preserve"> </w:t>
      </w:r>
      <w:r>
        <w:t>to</w:t>
      </w:r>
      <w:r>
        <w:rPr>
          <w:spacing w:val="-5"/>
        </w:rPr>
        <w:t xml:space="preserve"> </w:t>
      </w:r>
      <w:r>
        <w:t>external</w:t>
      </w:r>
      <w:r>
        <w:rPr>
          <w:spacing w:val="-4"/>
        </w:rPr>
        <w:t xml:space="preserve"> </w:t>
      </w:r>
      <w:r>
        <w:t>factors</w:t>
      </w:r>
      <w:r>
        <w:rPr>
          <w:spacing w:val="-4"/>
        </w:rPr>
        <w:t xml:space="preserve"> </w:t>
      </w:r>
      <w:r>
        <w:t>such</w:t>
      </w:r>
      <w:r>
        <w:rPr>
          <w:spacing w:val="-2"/>
        </w:rPr>
        <w:t xml:space="preserve"> </w:t>
      </w:r>
      <w:r>
        <w:t>as</w:t>
      </w:r>
      <w:r>
        <w:rPr>
          <w:spacing w:val="-2"/>
        </w:rPr>
        <w:t xml:space="preserve"> </w:t>
      </w:r>
      <w:r>
        <w:t>the</w:t>
      </w:r>
      <w:r>
        <w:rPr>
          <w:spacing w:val="-4"/>
        </w:rPr>
        <w:t xml:space="preserve"> </w:t>
      </w:r>
      <w:r>
        <w:t>pandemic</w:t>
      </w:r>
      <w:r>
        <w:rPr>
          <w:spacing w:val="-3"/>
        </w:rPr>
        <w:t xml:space="preserve"> </w:t>
      </w:r>
      <w:r>
        <w:t>and</w:t>
      </w:r>
      <w:r>
        <w:rPr>
          <w:spacing w:val="-5"/>
        </w:rPr>
        <w:t xml:space="preserve"> </w:t>
      </w:r>
      <w:r>
        <w:t>climate-related raw water quality events, but nevertheless within an overall improving trend.</w:t>
      </w:r>
    </w:p>
    <w:p w14:paraId="77132ACE" w14:textId="77777777" w:rsidR="00141B97" w:rsidRDefault="00141B97">
      <w:pPr>
        <w:pStyle w:val="BodyText"/>
        <w:spacing w:before="11"/>
      </w:pPr>
    </w:p>
    <w:tbl>
      <w:tblPr>
        <w:tblW w:w="0" w:type="auto"/>
        <w:tblInd w:w="1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934"/>
        <w:gridCol w:w="684"/>
        <w:gridCol w:w="684"/>
        <w:gridCol w:w="684"/>
        <w:gridCol w:w="685"/>
        <w:gridCol w:w="677"/>
      </w:tblGrid>
      <w:tr w:rsidR="00141B97" w14:paraId="206D326A" w14:textId="77777777">
        <w:trPr>
          <w:trHeight w:val="263"/>
        </w:trPr>
        <w:tc>
          <w:tcPr>
            <w:tcW w:w="5934" w:type="dxa"/>
            <w:tcBorders>
              <w:top w:val="nil"/>
              <w:left w:val="nil"/>
              <w:right w:val="single" w:sz="6" w:space="0" w:color="FFFFFF"/>
            </w:tcBorders>
            <w:shd w:val="clear" w:color="auto" w:fill="48859F"/>
          </w:tcPr>
          <w:p w14:paraId="355E277C" w14:textId="77777777" w:rsidR="00141B97" w:rsidRDefault="00911D63">
            <w:pPr>
              <w:pStyle w:val="TableParagraph"/>
              <w:spacing w:before="1" w:line="242" w:lineRule="exact"/>
              <w:ind w:left="124"/>
              <w:rPr>
                <w:sz w:val="20"/>
              </w:rPr>
            </w:pPr>
            <w:r>
              <w:rPr>
                <w:color w:val="FFFFFF"/>
                <w:spacing w:val="-2"/>
                <w:sz w:val="20"/>
              </w:rPr>
              <w:t>Outcome</w:t>
            </w:r>
          </w:p>
        </w:tc>
        <w:tc>
          <w:tcPr>
            <w:tcW w:w="684" w:type="dxa"/>
            <w:tcBorders>
              <w:top w:val="nil"/>
              <w:left w:val="single" w:sz="6" w:space="0" w:color="FFFFFF"/>
              <w:right w:val="nil"/>
            </w:tcBorders>
            <w:shd w:val="clear" w:color="auto" w:fill="48859F"/>
          </w:tcPr>
          <w:p w14:paraId="781D8341" w14:textId="77777777" w:rsidR="00141B97" w:rsidRDefault="00911D63">
            <w:pPr>
              <w:pStyle w:val="TableParagraph"/>
              <w:spacing w:before="1" w:line="242" w:lineRule="exact"/>
              <w:ind w:left="101"/>
              <w:rPr>
                <w:sz w:val="20"/>
              </w:rPr>
            </w:pPr>
            <w:r>
              <w:rPr>
                <w:color w:val="FFFFFF"/>
                <w:w w:val="95"/>
                <w:sz w:val="20"/>
              </w:rPr>
              <w:t>18-</w:t>
            </w:r>
            <w:r>
              <w:rPr>
                <w:color w:val="FFFFFF"/>
                <w:spacing w:val="-5"/>
                <w:sz w:val="20"/>
              </w:rPr>
              <w:t>19</w:t>
            </w:r>
          </w:p>
        </w:tc>
        <w:tc>
          <w:tcPr>
            <w:tcW w:w="684" w:type="dxa"/>
            <w:tcBorders>
              <w:top w:val="nil"/>
              <w:left w:val="nil"/>
              <w:right w:val="nil"/>
            </w:tcBorders>
            <w:shd w:val="clear" w:color="auto" w:fill="48859F"/>
          </w:tcPr>
          <w:p w14:paraId="1F415232" w14:textId="77777777" w:rsidR="00141B97" w:rsidRDefault="00911D63">
            <w:pPr>
              <w:pStyle w:val="TableParagraph"/>
              <w:spacing w:before="1" w:line="242" w:lineRule="exact"/>
              <w:ind w:left="109"/>
              <w:rPr>
                <w:sz w:val="20"/>
              </w:rPr>
            </w:pPr>
            <w:r>
              <w:rPr>
                <w:color w:val="FFFFFF"/>
                <w:w w:val="95"/>
                <w:sz w:val="20"/>
              </w:rPr>
              <w:t>19-</w:t>
            </w:r>
            <w:r>
              <w:rPr>
                <w:color w:val="FFFFFF"/>
                <w:spacing w:val="-5"/>
                <w:sz w:val="20"/>
              </w:rPr>
              <w:t>20</w:t>
            </w:r>
          </w:p>
        </w:tc>
        <w:tc>
          <w:tcPr>
            <w:tcW w:w="684" w:type="dxa"/>
            <w:tcBorders>
              <w:top w:val="nil"/>
              <w:left w:val="nil"/>
              <w:right w:val="nil"/>
            </w:tcBorders>
            <w:shd w:val="clear" w:color="auto" w:fill="48859F"/>
          </w:tcPr>
          <w:p w14:paraId="27FB0C20" w14:textId="77777777" w:rsidR="00141B97" w:rsidRDefault="00911D63">
            <w:pPr>
              <w:pStyle w:val="TableParagraph"/>
              <w:spacing w:before="1" w:line="242" w:lineRule="exact"/>
              <w:ind w:left="109"/>
              <w:rPr>
                <w:sz w:val="20"/>
              </w:rPr>
            </w:pPr>
            <w:r>
              <w:rPr>
                <w:color w:val="FFFFFF"/>
                <w:w w:val="95"/>
                <w:sz w:val="20"/>
              </w:rPr>
              <w:t>20-</w:t>
            </w:r>
            <w:r>
              <w:rPr>
                <w:color w:val="FFFFFF"/>
                <w:spacing w:val="-5"/>
                <w:sz w:val="20"/>
              </w:rPr>
              <w:t>21</w:t>
            </w:r>
          </w:p>
        </w:tc>
        <w:tc>
          <w:tcPr>
            <w:tcW w:w="685" w:type="dxa"/>
            <w:tcBorders>
              <w:top w:val="nil"/>
              <w:left w:val="nil"/>
            </w:tcBorders>
            <w:shd w:val="clear" w:color="auto" w:fill="48859F"/>
          </w:tcPr>
          <w:p w14:paraId="650CF7CC" w14:textId="77777777" w:rsidR="00141B97" w:rsidRDefault="00911D63">
            <w:pPr>
              <w:pStyle w:val="TableParagraph"/>
              <w:spacing w:before="1" w:line="242" w:lineRule="exact"/>
              <w:ind w:left="104"/>
              <w:rPr>
                <w:sz w:val="20"/>
              </w:rPr>
            </w:pPr>
            <w:r>
              <w:rPr>
                <w:color w:val="FFFFFF"/>
                <w:w w:val="95"/>
                <w:sz w:val="20"/>
              </w:rPr>
              <w:t>21-</w:t>
            </w:r>
            <w:r>
              <w:rPr>
                <w:color w:val="FFFFFF"/>
                <w:spacing w:val="-5"/>
                <w:sz w:val="20"/>
              </w:rPr>
              <w:t>22</w:t>
            </w:r>
          </w:p>
        </w:tc>
        <w:tc>
          <w:tcPr>
            <w:tcW w:w="677" w:type="dxa"/>
            <w:tcBorders>
              <w:top w:val="nil"/>
              <w:right w:val="nil"/>
            </w:tcBorders>
            <w:shd w:val="clear" w:color="auto" w:fill="48859F"/>
          </w:tcPr>
          <w:p w14:paraId="3D8B3496" w14:textId="77777777" w:rsidR="00141B97" w:rsidRDefault="00911D63">
            <w:pPr>
              <w:pStyle w:val="TableParagraph"/>
              <w:spacing w:before="1" w:line="242" w:lineRule="exact"/>
              <w:ind w:left="103"/>
              <w:rPr>
                <w:sz w:val="20"/>
              </w:rPr>
            </w:pPr>
            <w:r>
              <w:rPr>
                <w:color w:val="FFFFFF"/>
                <w:w w:val="95"/>
                <w:sz w:val="20"/>
              </w:rPr>
              <w:t>22-</w:t>
            </w:r>
            <w:r>
              <w:rPr>
                <w:color w:val="FFFFFF"/>
                <w:spacing w:val="-5"/>
                <w:sz w:val="20"/>
              </w:rPr>
              <w:t>23</w:t>
            </w:r>
          </w:p>
        </w:tc>
      </w:tr>
      <w:tr w:rsidR="00141B97" w14:paraId="54F1AA74" w14:textId="77777777">
        <w:trPr>
          <w:trHeight w:val="353"/>
        </w:trPr>
        <w:tc>
          <w:tcPr>
            <w:tcW w:w="5934" w:type="dxa"/>
            <w:tcBorders>
              <w:left w:val="nil"/>
              <w:bottom w:val="single" w:sz="6" w:space="0" w:color="FFFFFF"/>
              <w:right w:val="single" w:sz="6" w:space="0" w:color="FFFFFF"/>
            </w:tcBorders>
            <w:shd w:val="clear" w:color="auto" w:fill="F1F1F1"/>
          </w:tcPr>
          <w:p w14:paraId="1833D0C5" w14:textId="77777777" w:rsidR="00141B97" w:rsidRDefault="00911D63">
            <w:pPr>
              <w:pStyle w:val="TableParagraph"/>
              <w:spacing w:before="47"/>
              <w:ind w:left="124"/>
              <w:rPr>
                <w:sz w:val="20"/>
              </w:rPr>
            </w:pPr>
            <w:r>
              <w:rPr>
                <w:sz w:val="20"/>
              </w:rPr>
              <w:t>1.</w:t>
            </w:r>
            <w:r>
              <w:rPr>
                <w:spacing w:val="-5"/>
                <w:sz w:val="20"/>
              </w:rPr>
              <w:t xml:space="preserve"> </w:t>
            </w:r>
            <w:r>
              <w:rPr>
                <w:sz w:val="20"/>
              </w:rPr>
              <w:t>Keep</w:t>
            </w:r>
            <w:r>
              <w:rPr>
                <w:spacing w:val="-3"/>
                <w:sz w:val="20"/>
              </w:rPr>
              <w:t xml:space="preserve"> </w:t>
            </w:r>
            <w:r>
              <w:rPr>
                <w:sz w:val="20"/>
              </w:rPr>
              <w:t>my</w:t>
            </w:r>
            <w:r>
              <w:rPr>
                <w:spacing w:val="-2"/>
                <w:sz w:val="20"/>
              </w:rPr>
              <w:t xml:space="preserve"> </w:t>
            </w:r>
            <w:r>
              <w:rPr>
                <w:sz w:val="20"/>
              </w:rPr>
              <w:t>costs</w:t>
            </w:r>
            <w:r>
              <w:rPr>
                <w:spacing w:val="-3"/>
                <w:sz w:val="20"/>
              </w:rPr>
              <w:t xml:space="preserve"> </w:t>
            </w:r>
            <w:r>
              <w:rPr>
                <w:sz w:val="20"/>
              </w:rPr>
              <w:t>to</w:t>
            </w:r>
            <w:r>
              <w:rPr>
                <w:spacing w:val="-4"/>
                <w:sz w:val="20"/>
              </w:rPr>
              <w:t xml:space="preserve"> </w:t>
            </w:r>
            <w:r>
              <w:rPr>
                <w:sz w:val="20"/>
              </w:rPr>
              <w:t>a</w:t>
            </w:r>
            <w:r>
              <w:rPr>
                <w:spacing w:val="-3"/>
                <w:sz w:val="20"/>
              </w:rPr>
              <w:t xml:space="preserve"> </w:t>
            </w:r>
            <w:r>
              <w:rPr>
                <w:spacing w:val="-2"/>
                <w:sz w:val="20"/>
              </w:rPr>
              <w:t>minimum</w:t>
            </w:r>
          </w:p>
        </w:tc>
        <w:tc>
          <w:tcPr>
            <w:tcW w:w="684" w:type="dxa"/>
            <w:tcBorders>
              <w:left w:val="single" w:sz="6" w:space="0" w:color="FFFFFF"/>
              <w:bottom w:val="single" w:sz="6" w:space="0" w:color="FFFFFF"/>
              <w:right w:val="nil"/>
            </w:tcBorders>
            <w:shd w:val="clear" w:color="auto" w:fill="FFC000"/>
          </w:tcPr>
          <w:p w14:paraId="16DCDB41" w14:textId="77777777" w:rsidR="00141B97" w:rsidRDefault="00141B97">
            <w:pPr>
              <w:pStyle w:val="TableParagraph"/>
              <w:rPr>
                <w:rFonts w:ascii="Times New Roman"/>
                <w:sz w:val="20"/>
              </w:rPr>
            </w:pPr>
          </w:p>
        </w:tc>
        <w:tc>
          <w:tcPr>
            <w:tcW w:w="684" w:type="dxa"/>
            <w:tcBorders>
              <w:left w:val="nil"/>
              <w:bottom w:val="single" w:sz="6" w:space="0" w:color="FFFFFF"/>
              <w:right w:val="nil"/>
            </w:tcBorders>
            <w:shd w:val="clear" w:color="auto" w:fill="FF0000"/>
          </w:tcPr>
          <w:p w14:paraId="31D3FD3E" w14:textId="77777777" w:rsidR="00141B97" w:rsidRDefault="00141B97">
            <w:pPr>
              <w:pStyle w:val="TableParagraph"/>
              <w:rPr>
                <w:rFonts w:ascii="Times New Roman"/>
                <w:sz w:val="20"/>
              </w:rPr>
            </w:pPr>
          </w:p>
        </w:tc>
        <w:tc>
          <w:tcPr>
            <w:tcW w:w="684" w:type="dxa"/>
            <w:tcBorders>
              <w:left w:val="nil"/>
              <w:bottom w:val="single" w:sz="6" w:space="0" w:color="FFFFFF"/>
              <w:right w:val="nil"/>
            </w:tcBorders>
            <w:shd w:val="clear" w:color="auto" w:fill="FFC000"/>
          </w:tcPr>
          <w:p w14:paraId="2CA708F1" w14:textId="77777777" w:rsidR="00141B97" w:rsidRDefault="00141B97">
            <w:pPr>
              <w:pStyle w:val="TableParagraph"/>
              <w:rPr>
                <w:rFonts w:ascii="Times New Roman"/>
                <w:sz w:val="20"/>
              </w:rPr>
            </w:pPr>
          </w:p>
        </w:tc>
        <w:tc>
          <w:tcPr>
            <w:tcW w:w="685" w:type="dxa"/>
            <w:tcBorders>
              <w:left w:val="nil"/>
              <w:bottom w:val="single" w:sz="6" w:space="0" w:color="FFFFFF"/>
            </w:tcBorders>
            <w:shd w:val="clear" w:color="auto" w:fill="00AF50"/>
          </w:tcPr>
          <w:p w14:paraId="1F0EE217" w14:textId="77777777" w:rsidR="00141B97" w:rsidRDefault="00141B97">
            <w:pPr>
              <w:pStyle w:val="TableParagraph"/>
              <w:rPr>
                <w:rFonts w:ascii="Times New Roman"/>
                <w:sz w:val="20"/>
              </w:rPr>
            </w:pPr>
          </w:p>
        </w:tc>
        <w:tc>
          <w:tcPr>
            <w:tcW w:w="677" w:type="dxa"/>
            <w:tcBorders>
              <w:bottom w:val="single" w:sz="6" w:space="0" w:color="FFFFFF"/>
              <w:right w:val="nil"/>
            </w:tcBorders>
            <w:shd w:val="clear" w:color="auto" w:fill="F1F1F1"/>
          </w:tcPr>
          <w:p w14:paraId="19044C59" w14:textId="77777777" w:rsidR="00141B97" w:rsidRDefault="00141B97">
            <w:pPr>
              <w:pStyle w:val="TableParagraph"/>
              <w:rPr>
                <w:rFonts w:ascii="Times New Roman"/>
                <w:sz w:val="20"/>
              </w:rPr>
            </w:pPr>
          </w:p>
        </w:tc>
      </w:tr>
      <w:tr w:rsidR="00141B97" w14:paraId="414CADEA" w14:textId="77777777">
        <w:trPr>
          <w:trHeight w:val="352"/>
        </w:trPr>
        <w:tc>
          <w:tcPr>
            <w:tcW w:w="5934" w:type="dxa"/>
            <w:tcBorders>
              <w:top w:val="single" w:sz="6" w:space="0" w:color="FFFFFF"/>
              <w:left w:val="nil"/>
              <w:bottom w:val="single" w:sz="6" w:space="0" w:color="FFFFFF"/>
              <w:right w:val="single" w:sz="6" w:space="0" w:color="FFFFFF"/>
            </w:tcBorders>
            <w:shd w:val="clear" w:color="auto" w:fill="E2E2E3"/>
          </w:tcPr>
          <w:p w14:paraId="5624FFDA" w14:textId="77777777" w:rsidR="00141B97" w:rsidRDefault="00911D63">
            <w:pPr>
              <w:pStyle w:val="TableParagraph"/>
              <w:spacing w:before="45"/>
              <w:ind w:left="124"/>
              <w:rPr>
                <w:sz w:val="20"/>
              </w:rPr>
            </w:pPr>
            <w:r>
              <w:rPr>
                <w:sz w:val="20"/>
              </w:rPr>
              <w:t>2.</w:t>
            </w:r>
            <w:r>
              <w:rPr>
                <w:spacing w:val="-5"/>
                <w:sz w:val="20"/>
              </w:rPr>
              <w:t xml:space="preserve"> </w:t>
            </w:r>
            <w:r>
              <w:rPr>
                <w:sz w:val="20"/>
              </w:rPr>
              <w:t>Be</w:t>
            </w:r>
            <w:r>
              <w:rPr>
                <w:spacing w:val="-3"/>
                <w:sz w:val="20"/>
              </w:rPr>
              <w:t xml:space="preserve"> </w:t>
            </w:r>
            <w:r>
              <w:rPr>
                <w:sz w:val="20"/>
              </w:rPr>
              <w:t>easy</w:t>
            </w:r>
            <w:r>
              <w:rPr>
                <w:spacing w:val="-2"/>
                <w:sz w:val="20"/>
              </w:rPr>
              <w:t xml:space="preserve"> </w:t>
            </w:r>
            <w:r>
              <w:rPr>
                <w:sz w:val="20"/>
              </w:rPr>
              <w:t>to</w:t>
            </w:r>
            <w:r>
              <w:rPr>
                <w:spacing w:val="-4"/>
                <w:sz w:val="20"/>
              </w:rPr>
              <w:t xml:space="preserve"> </w:t>
            </w:r>
            <w:r>
              <w:rPr>
                <w:sz w:val="20"/>
              </w:rPr>
              <w:t>contact</w:t>
            </w:r>
            <w:r>
              <w:rPr>
                <w:spacing w:val="-5"/>
                <w:sz w:val="20"/>
              </w:rPr>
              <w:t xml:space="preserve"> </w:t>
            </w:r>
            <w:r>
              <w:rPr>
                <w:sz w:val="20"/>
              </w:rPr>
              <w:t>and</w:t>
            </w:r>
            <w:r>
              <w:rPr>
                <w:spacing w:val="-3"/>
                <w:sz w:val="20"/>
              </w:rPr>
              <w:t xml:space="preserve"> </w:t>
            </w:r>
            <w:r>
              <w:rPr>
                <w:sz w:val="20"/>
              </w:rPr>
              <w:t>quick</w:t>
            </w:r>
            <w:r>
              <w:rPr>
                <w:spacing w:val="-2"/>
                <w:sz w:val="20"/>
              </w:rPr>
              <w:t xml:space="preserve"> </w:t>
            </w:r>
            <w:r>
              <w:rPr>
                <w:sz w:val="20"/>
              </w:rPr>
              <w:t>to</w:t>
            </w:r>
            <w:r>
              <w:rPr>
                <w:spacing w:val="-4"/>
                <w:sz w:val="20"/>
              </w:rPr>
              <w:t xml:space="preserve"> </w:t>
            </w:r>
            <w:r>
              <w:rPr>
                <w:spacing w:val="-2"/>
                <w:sz w:val="20"/>
              </w:rPr>
              <w:t>respond</w:t>
            </w:r>
          </w:p>
        </w:tc>
        <w:tc>
          <w:tcPr>
            <w:tcW w:w="2052" w:type="dxa"/>
            <w:gridSpan w:val="3"/>
            <w:tcBorders>
              <w:top w:val="single" w:sz="6" w:space="0" w:color="FFFFFF"/>
              <w:left w:val="single" w:sz="6" w:space="0" w:color="FFFFFF"/>
              <w:bottom w:val="single" w:sz="6" w:space="0" w:color="FFFFFF"/>
              <w:right w:val="nil"/>
            </w:tcBorders>
            <w:shd w:val="clear" w:color="auto" w:fill="00AF50"/>
          </w:tcPr>
          <w:p w14:paraId="6478349F" w14:textId="77777777" w:rsidR="00141B97" w:rsidRDefault="00141B97">
            <w:pPr>
              <w:pStyle w:val="TableParagraph"/>
              <w:rPr>
                <w:rFonts w:ascii="Times New Roman"/>
                <w:sz w:val="20"/>
              </w:rPr>
            </w:pPr>
          </w:p>
        </w:tc>
        <w:tc>
          <w:tcPr>
            <w:tcW w:w="685" w:type="dxa"/>
            <w:tcBorders>
              <w:top w:val="single" w:sz="6" w:space="0" w:color="FFFFFF"/>
              <w:left w:val="nil"/>
              <w:bottom w:val="single" w:sz="6" w:space="0" w:color="FFFFFF"/>
            </w:tcBorders>
            <w:shd w:val="clear" w:color="auto" w:fill="FFC000"/>
          </w:tcPr>
          <w:p w14:paraId="72879D36" w14:textId="77777777" w:rsidR="00141B97" w:rsidRDefault="00141B97">
            <w:pPr>
              <w:pStyle w:val="TableParagraph"/>
              <w:rPr>
                <w:rFonts w:ascii="Times New Roman"/>
                <w:sz w:val="20"/>
              </w:rPr>
            </w:pPr>
          </w:p>
        </w:tc>
        <w:tc>
          <w:tcPr>
            <w:tcW w:w="677" w:type="dxa"/>
            <w:tcBorders>
              <w:top w:val="single" w:sz="6" w:space="0" w:color="FFFFFF"/>
              <w:bottom w:val="single" w:sz="6" w:space="0" w:color="FFFFFF"/>
              <w:right w:val="nil"/>
            </w:tcBorders>
            <w:shd w:val="clear" w:color="auto" w:fill="E2E2E3"/>
          </w:tcPr>
          <w:p w14:paraId="57A71E92" w14:textId="77777777" w:rsidR="00141B97" w:rsidRDefault="00141B97">
            <w:pPr>
              <w:pStyle w:val="TableParagraph"/>
              <w:rPr>
                <w:rFonts w:ascii="Times New Roman"/>
                <w:sz w:val="20"/>
              </w:rPr>
            </w:pPr>
          </w:p>
        </w:tc>
      </w:tr>
      <w:tr w:rsidR="00141B97" w14:paraId="5906577B" w14:textId="77777777">
        <w:trPr>
          <w:trHeight w:val="353"/>
        </w:trPr>
        <w:tc>
          <w:tcPr>
            <w:tcW w:w="5934" w:type="dxa"/>
            <w:tcBorders>
              <w:top w:val="single" w:sz="6" w:space="0" w:color="FFFFFF"/>
              <w:left w:val="nil"/>
              <w:right w:val="single" w:sz="6" w:space="0" w:color="FFFFFF"/>
            </w:tcBorders>
            <w:shd w:val="clear" w:color="auto" w:fill="F1F1F1"/>
          </w:tcPr>
          <w:p w14:paraId="35B8D2E9" w14:textId="77777777" w:rsidR="00141B97" w:rsidRDefault="00911D63">
            <w:pPr>
              <w:pStyle w:val="TableParagraph"/>
              <w:spacing w:before="45"/>
              <w:ind w:left="124"/>
              <w:rPr>
                <w:sz w:val="20"/>
              </w:rPr>
            </w:pPr>
            <w:r>
              <w:rPr>
                <w:sz w:val="20"/>
              </w:rPr>
              <w:t>3.</w:t>
            </w:r>
            <w:r>
              <w:rPr>
                <w:spacing w:val="-7"/>
                <w:sz w:val="20"/>
              </w:rPr>
              <w:t xml:space="preserve"> </w:t>
            </w:r>
            <w:r>
              <w:rPr>
                <w:sz w:val="20"/>
              </w:rPr>
              <w:t>Provide</w:t>
            </w:r>
            <w:r>
              <w:rPr>
                <w:spacing w:val="-7"/>
                <w:sz w:val="20"/>
              </w:rPr>
              <w:t xml:space="preserve"> </w:t>
            </w:r>
            <w:r>
              <w:rPr>
                <w:sz w:val="20"/>
              </w:rPr>
              <w:t>me</w:t>
            </w:r>
            <w:r>
              <w:rPr>
                <w:spacing w:val="-6"/>
                <w:sz w:val="20"/>
              </w:rPr>
              <w:t xml:space="preserve"> </w:t>
            </w:r>
            <w:r>
              <w:rPr>
                <w:sz w:val="20"/>
              </w:rPr>
              <w:t>with</w:t>
            </w:r>
            <w:r>
              <w:rPr>
                <w:spacing w:val="-6"/>
                <w:sz w:val="20"/>
              </w:rPr>
              <w:t xml:space="preserve"> </w:t>
            </w:r>
            <w:r>
              <w:rPr>
                <w:sz w:val="20"/>
              </w:rPr>
              <w:t>consistent,</w:t>
            </w:r>
            <w:r>
              <w:rPr>
                <w:spacing w:val="-4"/>
                <w:sz w:val="20"/>
              </w:rPr>
              <w:t xml:space="preserve"> </w:t>
            </w:r>
            <w:r>
              <w:rPr>
                <w:sz w:val="20"/>
              </w:rPr>
              <w:t>safe,</w:t>
            </w:r>
            <w:r>
              <w:rPr>
                <w:spacing w:val="-7"/>
                <w:sz w:val="20"/>
              </w:rPr>
              <w:t xml:space="preserve"> </w:t>
            </w:r>
            <w:r>
              <w:rPr>
                <w:sz w:val="20"/>
              </w:rPr>
              <w:t>clean</w:t>
            </w:r>
            <w:r>
              <w:rPr>
                <w:spacing w:val="-6"/>
                <w:sz w:val="20"/>
              </w:rPr>
              <w:t xml:space="preserve"> </w:t>
            </w:r>
            <w:r>
              <w:rPr>
                <w:sz w:val="20"/>
              </w:rPr>
              <w:t>drinking</w:t>
            </w:r>
            <w:r>
              <w:rPr>
                <w:spacing w:val="-7"/>
                <w:sz w:val="20"/>
              </w:rPr>
              <w:t xml:space="preserve"> </w:t>
            </w:r>
            <w:r>
              <w:rPr>
                <w:spacing w:val="-4"/>
                <w:sz w:val="20"/>
              </w:rPr>
              <w:t>water</w:t>
            </w:r>
          </w:p>
        </w:tc>
        <w:tc>
          <w:tcPr>
            <w:tcW w:w="684" w:type="dxa"/>
            <w:tcBorders>
              <w:top w:val="single" w:sz="6" w:space="0" w:color="FFFFFF"/>
              <w:left w:val="single" w:sz="6" w:space="0" w:color="FFFFFF"/>
              <w:right w:val="nil"/>
            </w:tcBorders>
            <w:shd w:val="clear" w:color="auto" w:fill="00AF50"/>
          </w:tcPr>
          <w:p w14:paraId="0E7FF383" w14:textId="77777777" w:rsidR="00141B97" w:rsidRDefault="00141B97">
            <w:pPr>
              <w:pStyle w:val="TableParagraph"/>
              <w:rPr>
                <w:rFonts w:ascii="Times New Roman"/>
                <w:sz w:val="20"/>
              </w:rPr>
            </w:pPr>
          </w:p>
        </w:tc>
        <w:tc>
          <w:tcPr>
            <w:tcW w:w="684" w:type="dxa"/>
            <w:tcBorders>
              <w:top w:val="single" w:sz="6" w:space="0" w:color="FFFFFF"/>
              <w:left w:val="nil"/>
              <w:right w:val="nil"/>
            </w:tcBorders>
            <w:shd w:val="clear" w:color="auto" w:fill="FFC000"/>
          </w:tcPr>
          <w:p w14:paraId="5DADAB46" w14:textId="77777777" w:rsidR="00141B97" w:rsidRDefault="00141B97">
            <w:pPr>
              <w:pStyle w:val="TableParagraph"/>
              <w:rPr>
                <w:rFonts w:ascii="Times New Roman"/>
                <w:sz w:val="20"/>
              </w:rPr>
            </w:pPr>
          </w:p>
        </w:tc>
        <w:tc>
          <w:tcPr>
            <w:tcW w:w="684" w:type="dxa"/>
            <w:tcBorders>
              <w:top w:val="single" w:sz="6" w:space="0" w:color="FFFFFF"/>
              <w:left w:val="nil"/>
              <w:right w:val="nil"/>
            </w:tcBorders>
            <w:shd w:val="clear" w:color="auto" w:fill="00AF50"/>
          </w:tcPr>
          <w:p w14:paraId="6A908F98" w14:textId="77777777" w:rsidR="00141B97" w:rsidRDefault="00141B97">
            <w:pPr>
              <w:pStyle w:val="TableParagraph"/>
              <w:rPr>
                <w:rFonts w:ascii="Times New Roman"/>
                <w:sz w:val="20"/>
              </w:rPr>
            </w:pPr>
          </w:p>
        </w:tc>
        <w:tc>
          <w:tcPr>
            <w:tcW w:w="685" w:type="dxa"/>
            <w:tcBorders>
              <w:top w:val="single" w:sz="6" w:space="0" w:color="FFFFFF"/>
              <w:left w:val="nil"/>
            </w:tcBorders>
            <w:shd w:val="clear" w:color="auto" w:fill="FFC000"/>
          </w:tcPr>
          <w:p w14:paraId="46E19B07" w14:textId="77777777" w:rsidR="00141B97" w:rsidRDefault="00141B97">
            <w:pPr>
              <w:pStyle w:val="TableParagraph"/>
              <w:rPr>
                <w:rFonts w:ascii="Times New Roman"/>
                <w:sz w:val="20"/>
              </w:rPr>
            </w:pPr>
          </w:p>
        </w:tc>
        <w:tc>
          <w:tcPr>
            <w:tcW w:w="677" w:type="dxa"/>
            <w:tcBorders>
              <w:top w:val="single" w:sz="6" w:space="0" w:color="FFFFFF"/>
              <w:right w:val="nil"/>
            </w:tcBorders>
            <w:shd w:val="clear" w:color="auto" w:fill="F1F1F1"/>
          </w:tcPr>
          <w:p w14:paraId="58052918" w14:textId="77777777" w:rsidR="00141B97" w:rsidRDefault="00141B97">
            <w:pPr>
              <w:pStyle w:val="TableParagraph"/>
              <w:rPr>
                <w:rFonts w:ascii="Times New Roman"/>
                <w:sz w:val="20"/>
              </w:rPr>
            </w:pPr>
          </w:p>
        </w:tc>
      </w:tr>
      <w:tr w:rsidR="00141B97" w14:paraId="767B7C12" w14:textId="77777777">
        <w:trPr>
          <w:trHeight w:val="357"/>
        </w:trPr>
        <w:tc>
          <w:tcPr>
            <w:tcW w:w="5934" w:type="dxa"/>
            <w:tcBorders>
              <w:left w:val="nil"/>
              <w:right w:val="single" w:sz="6" w:space="0" w:color="FFFFFF"/>
            </w:tcBorders>
            <w:shd w:val="clear" w:color="auto" w:fill="E2E2E3"/>
          </w:tcPr>
          <w:p w14:paraId="6356FAC0" w14:textId="77777777" w:rsidR="00141B97" w:rsidRDefault="00911D63">
            <w:pPr>
              <w:pStyle w:val="TableParagraph"/>
              <w:spacing w:before="49"/>
              <w:ind w:left="124"/>
              <w:rPr>
                <w:sz w:val="20"/>
              </w:rPr>
            </w:pPr>
            <w:r>
              <w:rPr>
                <w:sz w:val="20"/>
              </w:rPr>
              <w:t>4.</w:t>
            </w:r>
            <w:r>
              <w:rPr>
                <w:spacing w:val="-6"/>
                <w:sz w:val="20"/>
              </w:rPr>
              <w:t xml:space="preserve"> </w:t>
            </w:r>
            <w:r>
              <w:rPr>
                <w:sz w:val="20"/>
              </w:rPr>
              <w:t>Provide</w:t>
            </w:r>
            <w:r>
              <w:rPr>
                <w:spacing w:val="-5"/>
                <w:sz w:val="20"/>
              </w:rPr>
              <w:t xml:space="preserve"> </w:t>
            </w:r>
            <w:r>
              <w:rPr>
                <w:sz w:val="20"/>
              </w:rPr>
              <w:t>me</w:t>
            </w:r>
            <w:r>
              <w:rPr>
                <w:spacing w:val="-5"/>
                <w:sz w:val="20"/>
              </w:rPr>
              <w:t xml:space="preserve"> </w:t>
            </w:r>
            <w:r>
              <w:rPr>
                <w:sz w:val="20"/>
              </w:rPr>
              <w:t>with</w:t>
            </w:r>
            <w:r>
              <w:rPr>
                <w:spacing w:val="-4"/>
                <w:sz w:val="20"/>
              </w:rPr>
              <w:t xml:space="preserve"> </w:t>
            </w:r>
            <w:r>
              <w:rPr>
                <w:sz w:val="20"/>
              </w:rPr>
              <w:t>reliable</w:t>
            </w:r>
            <w:r>
              <w:rPr>
                <w:spacing w:val="-5"/>
                <w:sz w:val="20"/>
              </w:rPr>
              <w:t xml:space="preserve"> </w:t>
            </w:r>
            <w:r>
              <w:rPr>
                <w:sz w:val="20"/>
              </w:rPr>
              <w:t>sewerage</w:t>
            </w:r>
            <w:r>
              <w:rPr>
                <w:spacing w:val="-5"/>
                <w:sz w:val="20"/>
              </w:rPr>
              <w:t xml:space="preserve"> </w:t>
            </w:r>
            <w:r>
              <w:rPr>
                <w:spacing w:val="-2"/>
                <w:sz w:val="20"/>
              </w:rPr>
              <w:t>services</w:t>
            </w:r>
          </w:p>
        </w:tc>
        <w:tc>
          <w:tcPr>
            <w:tcW w:w="2737" w:type="dxa"/>
            <w:gridSpan w:val="4"/>
            <w:tcBorders>
              <w:left w:val="single" w:sz="6" w:space="0" w:color="FFFFFF"/>
            </w:tcBorders>
            <w:shd w:val="clear" w:color="auto" w:fill="00AF50"/>
          </w:tcPr>
          <w:p w14:paraId="1ADE7543" w14:textId="77777777" w:rsidR="00141B97" w:rsidRDefault="00141B97">
            <w:pPr>
              <w:pStyle w:val="TableParagraph"/>
              <w:rPr>
                <w:rFonts w:ascii="Times New Roman"/>
                <w:sz w:val="20"/>
              </w:rPr>
            </w:pPr>
          </w:p>
        </w:tc>
        <w:tc>
          <w:tcPr>
            <w:tcW w:w="677" w:type="dxa"/>
            <w:tcBorders>
              <w:right w:val="nil"/>
            </w:tcBorders>
            <w:shd w:val="clear" w:color="auto" w:fill="E2E2E3"/>
          </w:tcPr>
          <w:p w14:paraId="63455930" w14:textId="77777777" w:rsidR="00141B97" w:rsidRDefault="00141B97">
            <w:pPr>
              <w:pStyle w:val="TableParagraph"/>
              <w:rPr>
                <w:rFonts w:ascii="Times New Roman"/>
                <w:sz w:val="20"/>
              </w:rPr>
            </w:pPr>
          </w:p>
        </w:tc>
      </w:tr>
      <w:tr w:rsidR="00141B97" w14:paraId="5C8BE165" w14:textId="77777777">
        <w:trPr>
          <w:trHeight w:val="357"/>
        </w:trPr>
        <w:tc>
          <w:tcPr>
            <w:tcW w:w="5934" w:type="dxa"/>
            <w:tcBorders>
              <w:left w:val="nil"/>
              <w:right w:val="single" w:sz="6" w:space="0" w:color="FFFFFF"/>
            </w:tcBorders>
            <w:shd w:val="clear" w:color="auto" w:fill="F1F1F1"/>
          </w:tcPr>
          <w:p w14:paraId="7A53C57B" w14:textId="77777777" w:rsidR="00141B97" w:rsidRDefault="00911D63">
            <w:pPr>
              <w:pStyle w:val="TableParagraph"/>
              <w:spacing w:before="49"/>
              <w:ind w:left="124"/>
              <w:rPr>
                <w:sz w:val="20"/>
              </w:rPr>
            </w:pPr>
            <w:r>
              <w:rPr>
                <w:sz w:val="20"/>
              </w:rPr>
              <w:t>5.</w:t>
            </w:r>
            <w:r>
              <w:rPr>
                <w:spacing w:val="-5"/>
                <w:sz w:val="20"/>
              </w:rPr>
              <w:t xml:space="preserve"> </w:t>
            </w:r>
            <w:r>
              <w:rPr>
                <w:sz w:val="20"/>
              </w:rPr>
              <w:t>Be</w:t>
            </w:r>
            <w:r>
              <w:rPr>
                <w:spacing w:val="-4"/>
                <w:sz w:val="20"/>
              </w:rPr>
              <w:t xml:space="preserve"> </w:t>
            </w:r>
            <w:r>
              <w:rPr>
                <w:sz w:val="20"/>
              </w:rPr>
              <w:t>present</w:t>
            </w:r>
            <w:r>
              <w:rPr>
                <w:spacing w:val="-4"/>
                <w:sz w:val="20"/>
              </w:rPr>
              <w:t xml:space="preserve"> </w:t>
            </w:r>
            <w:r>
              <w:rPr>
                <w:sz w:val="20"/>
              </w:rPr>
              <w:t>and</w:t>
            </w:r>
            <w:r>
              <w:rPr>
                <w:spacing w:val="-4"/>
                <w:sz w:val="20"/>
              </w:rPr>
              <w:t xml:space="preserve"> </w:t>
            </w:r>
            <w:r>
              <w:rPr>
                <w:sz w:val="20"/>
              </w:rPr>
              <w:t>active</w:t>
            </w:r>
            <w:r>
              <w:rPr>
                <w:spacing w:val="-4"/>
                <w:sz w:val="20"/>
              </w:rPr>
              <w:t xml:space="preserve"> </w:t>
            </w:r>
            <w:r>
              <w:rPr>
                <w:sz w:val="20"/>
              </w:rPr>
              <w:t>in</w:t>
            </w:r>
            <w:r>
              <w:rPr>
                <w:spacing w:val="-3"/>
                <w:sz w:val="20"/>
              </w:rPr>
              <w:t xml:space="preserve"> </w:t>
            </w:r>
            <w:r>
              <w:rPr>
                <w:sz w:val="20"/>
              </w:rPr>
              <w:t>the</w:t>
            </w:r>
            <w:r>
              <w:rPr>
                <w:spacing w:val="-2"/>
                <w:sz w:val="20"/>
              </w:rPr>
              <w:t xml:space="preserve"> community</w:t>
            </w:r>
          </w:p>
        </w:tc>
        <w:tc>
          <w:tcPr>
            <w:tcW w:w="2737" w:type="dxa"/>
            <w:gridSpan w:val="4"/>
            <w:tcBorders>
              <w:left w:val="single" w:sz="6" w:space="0" w:color="FFFFFF"/>
            </w:tcBorders>
            <w:shd w:val="clear" w:color="auto" w:fill="00AF50"/>
          </w:tcPr>
          <w:p w14:paraId="7ACC0521" w14:textId="77777777" w:rsidR="00141B97" w:rsidRDefault="00141B97">
            <w:pPr>
              <w:pStyle w:val="TableParagraph"/>
              <w:rPr>
                <w:rFonts w:ascii="Times New Roman"/>
                <w:sz w:val="20"/>
              </w:rPr>
            </w:pPr>
          </w:p>
        </w:tc>
        <w:tc>
          <w:tcPr>
            <w:tcW w:w="677" w:type="dxa"/>
            <w:tcBorders>
              <w:right w:val="nil"/>
            </w:tcBorders>
            <w:shd w:val="clear" w:color="auto" w:fill="E2E2E3"/>
          </w:tcPr>
          <w:p w14:paraId="7FEDB028" w14:textId="77777777" w:rsidR="00141B97" w:rsidRDefault="00141B97">
            <w:pPr>
              <w:pStyle w:val="TableParagraph"/>
              <w:rPr>
                <w:rFonts w:ascii="Times New Roman"/>
                <w:sz w:val="20"/>
              </w:rPr>
            </w:pPr>
          </w:p>
        </w:tc>
      </w:tr>
      <w:tr w:rsidR="00141B97" w14:paraId="7D8B3AF1" w14:textId="77777777">
        <w:trPr>
          <w:trHeight w:val="357"/>
        </w:trPr>
        <w:tc>
          <w:tcPr>
            <w:tcW w:w="5934" w:type="dxa"/>
            <w:tcBorders>
              <w:left w:val="nil"/>
              <w:right w:val="single" w:sz="6" w:space="0" w:color="FFFFFF"/>
            </w:tcBorders>
            <w:shd w:val="clear" w:color="auto" w:fill="E2E2E3"/>
          </w:tcPr>
          <w:p w14:paraId="7D52CB0F" w14:textId="77777777" w:rsidR="00141B97" w:rsidRDefault="00911D63">
            <w:pPr>
              <w:pStyle w:val="TableParagraph"/>
              <w:spacing w:before="49"/>
              <w:ind w:left="124"/>
              <w:rPr>
                <w:sz w:val="20"/>
              </w:rPr>
            </w:pPr>
            <w:r>
              <w:rPr>
                <w:sz w:val="20"/>
              </w:rPr>
              <w:t>6.</w:t>
            </w:r>
            <w:r>
              <w:rPr>
                <w:spacing w:val="-5"/>
                <w:sz w:val="20"/>
              </w:rPr>
              <w:t xml:space="preserve"> </w:t>
            </w:r>
            <w:r>
              <w:rPr>
                <w:sz w:val="20"/>
              </w:rPr>
              <w:t>Be</w:t>
            </w:r>
            <w:r>
              <w:rPr>
                <w:spacing w:val="-4"/>
                <w:sz w:val="20"/>
              </w:rPr>
              <w:t xml:space="preserve"> </w:t>
            </w:r>
            <w:r>
              <w:rPr>
                <w:sz w:val="20"/>
              </w:rPr>
              <w:t>mindful</w:t>
            </w:r>
            <w:r>
              <w:rPr>
                <w:spacing w:val="-4"/>
                <w:sz w:val="20"/>
              </w:rPr>
              <w:t xml:space="preserve"> </w:t>
            </w:r>
            <w:r>
              <w:rPr>
                <w:sz w:val="20"/>
              </w:rPr>
              <w:t>of</w:t>
            </w:r>
            <w:r>
              <w:rPr>
                <w:spacing w:val="-4"/>
                <w:sz w:val="20"/>
              </w:rPr>
              <w:t xml:space="preserve"> </w:t>
            </w:r>
            <w:r>
              <w:rPr>
                <w:sz w:val="20"/>
              </w:rPr>
              <w:t>our</w:t>
            </w:r>
            <w:r>
              <w:rPr>
                <w:spacing w:val="-3"/>
                <w:sz w:val="20"/>
              </w:rPr>
              <w:t xml:space="preserve"> </w:t>
            </w:r>
            <w:r>
              <w:rPr>
                <w:spacing w:val="-2"/>
                <w:sz w:val="20"/>
              </w:rPr>
              <w:t>environment</w:t>
            </w:r>
          </w:p>
        </w:tc>
        <w:tc>
          <w:tcPr>
            <w:tcW w:w="684" w:type="dxa"/>
            <w:tcBorders>
              <w:left w:val="single" w:sz="6" w:space="0" w:color="FFFFFF"/>
              <w:right w:val="nil"/>
            </w:tcBorders>
            <w:shd w:val="clear" w:color="auto" w:fill="FF0000"/>
          </w:tcPr>
          <w:p w14:paraId="6C4509D0" w14:textId="77777777" w:rsidR="00141B97" w:rsidRDefault="00141B97">
            <w:pPr>
              <w:pStyle w:val="TableParagraph"/>
              <w:rPr>
                <w:rFonts w:ascii="Times New Roman"/>
                <w:sz w:val="20"/>
              </w:rPr>
            </w:pPr>
          </w:p>
        </w:tc>
        <w:tc>
          <w:tcPr>
            <w:tcW w:w="2053" w:type="dxa"/>
            <w:gridSpan w:val="3"/>
            <w:tcBorders>
              <w:left w:val="nil"/>
            </w:tcBorders>
            <w:shd w:val="clear" w:color="auto" w:fill="FFC000"/>
          </w:tcPr>
          <w:p w14:paraId="2F966B12" w14:textId="77777777" w:rsidR="00141B97" w:rsidRDefault="00141B97">
            <w:pPr>
              <w:pStyle w:val="TableParagraph"/>
              <w:rPr>
                <w:rFonts w:ascii="Times New Roman"/>
                <w:sz w:val="20"/>
              </w:rPr>
            </w:pPr>
          </w:p>
        </w:tc>
        <w:tc>
          <w:tcPr>
            <w:tcW w:w="677" w:type="dxa"/>
            <w:tcBorders>
              <w:right w:val="nil"/>
            </w:tcBorders>
            <w:shd w:val="clear" w:color="auto" w:fill="E2E2E3"/>
          </w:tcPr>
          <w:p w14:paraId="38966AC8" w14:textId="77777777" w:rsidR="00141B97" w:rsidRDefault="00141B97">
            <w:pPr>
              <w:pStyle w:val="TableParagraph"/>
              <w:rPr>
                <w:rFonts w:ascii="Times New Roman"/>
                <w:sz w:val="20"/>
              </w:rPr>
            </w:pPr>
          </w:p>
        </w:tc>
      </w:tr>
      <w:tr w:rsidR="00141B97" w14:paraId="7F7AEC71" w14:textId="77777777">
        <w:trPr>
          <w:trHeight w:val="357"/>
        </w:trPr>
        <w:tc>
          <w:tcPr>
            <w:tcW w:w="5934" w:type="dxa"/>
            <w:tcBorders>
              <w:left w:val="nil"/>
              <w:right w:val="single" w:sz="6" w:space="0" w:color="FFFFFF"/>
            </w:tcBorders>
            <w:shd w:val="clear" w:color="auto" w:fill="F1F1F1"/>
          </w:tcPr>
          <w:p w14:paraId="616129E8" w14:textId="77777777" w:rsidR="00141B97" w:rsidRDefault="00911D63">
            <w:pPr>
              <w:pStyle w:val="TableParagraph"/>
              <w:spacing w:before="49"/>
              <w:ind w:left="124"/>
              <w:rPr>
                <w:sz w:val="20"/>
              </w:rPr>
            </w:pPr>
            <w:r>
              <w:rPr>
                <w:sz w:val="20"/>
              </w:rPr>
              <w:t>7.</w:t>
            </w:r>
            <w:r>
              <w:rPr>
                <w:spacing w:val="-8"/>
                <w:sz w:val="20"/>
              </w:rPr>
              <w:t xml:space="preserve"> </w:t>
            </w:r>
            <w:r>
              <w:rPr>
                <w:sz w:val="20"/>
              </w:rPr>
              <w:t>Comply</w:t>
            </w:r>
            <w:r>
              <w:rPr>
                <w:spacing w:val="-5"/>
                <w:sz w:val="20"/>
              </w:rPr>
              <w:t xml:space="preserve"> </w:t>
            </w:r>
            <w:r>
              <w:rPr>
                <w:sz w:val="20"/>
              </w:rPr>
              <w:t>with</w:t>
            </w:r>
            <w:r>
              <w:rPr>
                <w:spacing w:val="-6"/>
                <w:sz w:val="20"/>
              </w:rPr>
              <w:t xml:space="preserve"> </w:t>
            </w:r>
            <w:r>
              <w:rPr>
                <w:sz w:val="20"/>
              </w:rPr>
              <w:t>other</w:t>
            </w:r>
            <w:r>
              <w:rPr>
                <w:spacing w:val="-6"/>
                <w:sz w:val="20"/>
              </w:rPr>
              <w:t xml:space="preserve"> </w:t>
            </w:r>
            <w:r>
              <w:rPr>
                <w:sz w:val="20"/>
              </w:rPr>
              <w:t>government</w:t>
            </w:r>
            <w:r>
              <w:rPr>
                <w:spacing w:val="-7"/>
                <w:sz w:val="20"/>
              </w:rPr>
              <w:t xml:space="preserve"> </w:t>
            </w:r>
            <w:r>
              <w:rPr>
                <w:spacing w:val="-2"/>
                <w:sz w:val="20"/>
              </w:rPr>
              <w:t>obligations</w:t>
            </w:r>
          </w:p>
        </w:tc>
        <w:tc>
          <w:tcPr>
            <w:tcW w:w="2737" w:type="dxa"/>
            <w:gridSpan w:val="4"/>
            <w:tcBorders>
              <w:left w:val="single" w:sz="6" w:space="0" w:color="FFFFFF"/>
            </w:tcBorders>
            <w:shd w:val="clear" w:color="auto" w:fill="00AF50"/>
          </w:tcPr>
          <w:p w14:paraId="67919AF2" w14:textId="77777777" w:rsidR="00141B97" w:rsidRDefault="00141B97">
            <w:pPr>
              <w:pStyle w:val="TableParagraph"/>
              <w:rPr>
                <w:rFonts w:ascii="Times New Roman"/>
                <w:sz w:val="20"/>
              </w:rPr>
            </w:pPr>
          </w:p>
        </w:tc>
        <w:tc>
          <w:tcPr>
            <w:tcW w:w="677" w:type="dxa"/>
            <w:tcBorders>
              <w:right w:val="nil"/>
            </w:tcBorders>
            <w:shd w:val="clear" w:color="auto" w:fill="E2E2E3"/>
          </w:tcPr>
          <w:p w14:paraId="57F224CF" w14:textId="77777777" w:rsidR="00141B97" w:rsidRDefault="00141B97">
            <w:pPr>
              <w:pStyle w:val="TableParagraph"/>
              <w:rPr>
                <w:rFonts w:ascii="Times New Roman"/>
                <w:sz w:val="20"/>
              </w:rPr>
            </w:pPr>
          </w:p>
        </w:tc>
      </w:tr>
      <w:tr w:rsidR="00141B97" w14:paraId="7E9E855D" w14:textId="77777777">
        <w:trPr>
          <w:trHeight w:val="357"/>
        </w:trPr>
        <w:tc>
          <w:tcPr>
            <w:tcW w:w="5934" w:type="dxa"/>
            <w:tcBorders>
              <w:left w:val="nil"/>
              <w:bottom w:val="nil"/>
              <w:right w:val="single" w:sz="6" w:space="0" w:color="FFFFFF"/>
            </w:tcBorders>
            <w:shd w:val="clear" w:color="auto" w:fill="BEBEBE"/>
          </w:tcPr>
          <w:p w14:paraId="29CDA3B0" w14:textId="77777777" w:rsidR="00141B97" w:rsidRDefault="00911D63">
            <w:pPr>
              <w:pStyle w:val="TableParagraph"/>
              <w:spacing w:before="49"/>
              <w:ind w:left="124"/>
              <w:rPr>
                <w:sz w:val="20"/>
              </w:rPr>
            </w:pPr>
            <w:r>
              <w:rPr>
                <w:spacing w:val="-2"/>
                <w:sz w:val="20"/>
              </w:rPr>
              <w:t>Overall</w:t>
            </w:r>
          </w:p>
        </w:tc>
        <w:tc>
          <w:tcPr>
            <w:tcW w:w="684" w:type="dxa"/>
            <w:tcBorders>
              <w:left w:val="single" w:sz="6" w:space="0" w:color="FFFFFF"/>
              <w:bottom w:val="nil"/>
              <w:right w:val="nil"/>
            </w:tcBorders>
            <w:shd w:val="clear" w:color="auto" w:fill="00AF50"/>
          </w:tcPr>
          <w:p w14:paraId="510D5B7F" w14:textId="77777777" w:rsidR="00141B97" w:rsidRDefault="00141B97">
            <w:pPr>
              <w:pStyle w:val="TableParagraph"/>
              <w:rPr>
                <w:rFonts w:ascii="Times New Roman"/>
                <w:sz w:val="20"/>
              </w:rPr>
            </w:pPr>
          </w:p>
        </w:tc>
        <w:tc>
          <w:tcPr>
            <w:tcW w:w="684" w:type="dxa"/>
            <w:tcBorders>
              <w:left w:val="nil"/>
              <w:bottom w:val="nil"/>
              <w:right w:val="nil"/>
            </w:tcBorders>
            <w:shd w:val="clear" w:color="auto" w:fill="FFC000"/>
          </w:tcPr>
          <w:p w14:paraId="087BF8B2" w14:textId="77777777" w:rsidR="00141B97" w:rsidRDefault="00141B97">
            <w:pPr>
              <w:pStyle w:val="TableParagraph"/>
              <w:rPr>
                <w:rFonts w:ascii="Times New Roman"/>
                <w:sz w:val="20"/>
              </w:rPr>
            </w:pPr>
          </w:p>
        </w:tc>
        <w:tc>
          <w:tcPr>
            <w:tcW w:w="1369" w:type="dxa"/>
            <w:gridSpan w:val="2"/>
            <w:tcBorders>
              <w:left w:val="nil"/>
              <w:bottom w:val="nil"/>
            </w:tcBorders>
            <w:shd w:val="clear" w:color="auto" w:fill="00AF50"/>
          </w:tcPr>
          <w:p w14:paraId="17008B2D" w14:textId="77777777" w:rsidR="00141B97" w:rsidRDefault="00141B97">
            <w:pPr>
              <w:pStyle w:val="TableParagraph"/>
              <w:rPr>
                <w:rFonts w:ascii="Times New Roman"/>
                <w:sz w:val="20"/>
              </w:rPr>
            </w:pPr>
          </w:p>
        </w:tc>
        <w:tc>
          <w:tcPr>
            <w:tcW w:w="677" w:type="dxa"/>
            <w:tcBorders>
              <w:bottom w:val="nil"/>
              <w:right w:val="nil"/>
            </w:tcBorders>
            <w:shd w:val="clear" w:color="auto" w:fill="BEBEBE"/>
          </w:tcPr>
          <w:p w14:paraId="0AE7EDE8" w14:textId="77777777" w:rsidR="00141B97" w:rsidRDefault="00141B97">
            <w:pPr>
              <w:pStyle w:val="TableParagraph"/>
              <w:rPr>
                <w:rFonts w:ascii="Times New Roman"/>
                <w:sz w:val="20"/>
              </w:rPr>
            </w:pPr>
          </w:p>
        </w:tc>
      </w:tr>
    </w:tbl>
    <w:p w14:paraId="226F47CF" w14:textId="77777777" w:rsidR="00141B97" w:rsidRDefault="00911D63">
      <w:pPr>
        <w:spacing w:before="11"/>
        <w:ind w:left="112"/>
        <w:jc w:val="both"/>
        <w:rPr>
          <w:sz w:val="16"/>
        </w:rPr>
      </w:pPr>
      <w:r>
        <w:rPr>
          <w:sz w:val="16"/>
        </w:rPr>
        <w:t>Table</w:t>
      </w:r>
      <w:r>
        <w:rPr>
          <w:spacing w:val="-5"/>
          <w:sz w:val="16"/>
        </w:rPr>
        <w:t xml:space="preserve"> </w:t>
      </w:r>
      <w:r>
        <w:rPr>
          <w:sz w:val="16"/>
        </w:rPr>
        <w:t>ES1:</w:t>
      </w:r>
      <w:r>
        <w:rPr>
          <w:spacing w:val="-3"/>
          <w:sz w:val="16"/>
        </w:rPr>
        <w:t xml:space="preserve"> </w:t>
      </w:r>
      <w:r>
        <w:rPr>
          <w:sz w:val="16"/>
        </w:rPr>
        <w:t>Urban</w:t>
      </w:r>
      <w:r>
        <w:rPr>
          <w:spacing w:val="-3"/>
          <w:sz w:val="16"/>
        </w:rPr>
        <w:t xml:space="preserve"> </w:t>
      </w:r>
      <w:r>
        <w:rPr>
          <w:sz w:val="16"/>
        </w:rPr>
        <w:t>PS4</w:t>
      </w:r>
      <w:r>
        <w:rPr>
          <w:spacing w:val="-4"/>
          <w:sz w:val="16"/>
        </w:rPr>
        <w:t xml:space="preserve"> </w:t>
      </w:r>
      <w:r>
        <w:rPr>
          <w:sz w:val="16"/>
        </w:rPr>
        <w:t>Performance</w:t>
      </w:r>
      <w:r>
        <w:rPr>
          <w:spacing w:val="-6"/>
          <w:sz w:val="16"/>
        </w:rPr>
        <w:t xml:space="preserve"> </w:t>
      </w:r>
      <w:r>
        <w:rPr>
          <w:spacing w:val="-2"/>
          <w:sz w:val="16"/>
        </w:rPr>
        <w:t>Outcomes</w:t>
      </w:r>
    </w:p>
    <w:p w14:paraId="22228FF7" w14:textId="77777777" w:rsidR="00141B97" w:rsidRDefault="00141B97">
      <w:pPr>
        <w:pStyle w:val="BodyText"/>
      </w:pPr>
    </w:p>
    <w:p w14:paraId="22F9C050" w14:textId="77777777" w:rsidR="00141B97" w:rsidRDefault="00911D63">
      <w:pPr>
        <w:pStyle w:val="ListParagraph"/>
        <w:numPr>
          <w:ilvl w:val="0"/>
          <w:numId w:val="119"/>
        </w:numPr>
        <w:tabs>
          <w:tab w:val="left" w:pos="833"/>
        </w:tabs>
        <w:ind w:left="832" w:right="107" w:hanging="360"/>
        <w:jc w:val="both"/>
      </w:pPr>
      <w:r>
        <w:t>Customer tariffs followed the approved price path for the PS4 period, resulting in an overall annual reduction</w:t>
      </w:r>
      <w:r>
        <w:rPr>
          <w:spacing w:val="-1"/>
        </w:rPr>
        <w:t xml:space="preserve"> </w:t>
      </w:r>
      <w:r>
        <w:t>of</w:t>
      </w:r>
      <w:r>
        <w:rPr>
          <w:spacing w:val="-1"/>
        </w:rPr>
        <w:t xml:space="preserve"> </w:t>
      </w:r>
      <w:r>
        <w:t>0.35%</w:t>
      </w:r>
      <w:r>
        <w:rPr>
          <w:spacing w:val="-2"/>
        </w:rPr>
        <w:t xml:space="preserve"> </w:t>
      </w:r>
      <w:r>
        <w:t>in</w:t>
      </w:r>
      <w:r>
        <w:rPr>
          <w:spacing w:val="-4"/>
        </w:rPr>
        <w:t xml:space="preserve"> </w:t>
      </w:r>
      <w:r>
        <w:t>real</w:t>
      </w:r>
      <w:r>
        <w:rPr>
          <w:spacing w:val="-3"/>
        </w:rPr>
        <w:t xml:space="preserve"> </w:t>
      </w:r>
      <w:r>
        <w:t>terms.</w:t>
      </w:r>
      <w:r>
        <w:rPr>
          <w:spacing w:val="40"/>
        </w:rPr>
        <w:t xml:space="preserve"> </w:t>
      </w:r>
      <w:r>
        <w:t>Based</w:t>
      </w:r>
      <w:r>
        <w:rPr>
          <w:spacing w:val="-1"/>
        </w:rPr>
        <w:t xml:space="preserve"> </w:t>
      </w:r>
      <w:r>
        <w:t>on</w:t>
      </w:r>
      <w:r>
        <w:rPr>
          <w:spacing w:val="-1"/>
        </w:rPr>
        <w:t xml:space="preserve"> </w:t>
      </w:r>
      <w:r>
        <w:t>the</w:t>
      </w:r>
      <w:r>
        <w:rPr>
          <w:spacing w:val="-1"/>
        </w:rPr>
        <w:t xml:space="preserve"> </w:t>
      </w:r>
      <w:r>
        <w:t>ESC’s</w:t>
      </w:r>
      <w:r>
        <w:rPr>
          <w:spacing w:val="-3"/>
        </w:rPr>
        <w:t xml:space="preserve"> </w:t>
      </w:r>
      <w:r>
        <w:t>own</w:t>
      </w:r>
      <w:r>
        <w:rPr>
          <w:spacing w:val="-1"/>
        </w:rPr>
        <w:t xml:space="preserve"> </w:t>
      </w:r>
      <w:r>
        <w:t>household</w:t>
      </w:r>
      <w:r>
        <w:rPr>
          <w:spacing w:val="-1"/>
        </w:rPr>
        <w:t xml:space="preserve"> </w:t>
      </w:r>
      <w:r>
        <w:t>price</w:t>
      </w:r>
      <w:r>
        <w:rPr>
          <w:spacing w:val="-1"/>
        </w:rPr>
        <w:t xml:space="preserve"> </w:t>
      </w:r>
      <w:r>
        <w:t>comparator,</w:t>
      </w:r>
      <w:r>
        <w:rPr>
          <w:spacing w:val="-3"/>
        </w:rPr>
        <w:t xml:space="preserve"> </w:t>
      </w:r>
      <w:r>
        <w:t>LMW</w:t>
      </w:r>
      <w:r>
        <w:rPr>
          <w:spacing w:val="-2"/>
        </w:rPr>
        <w:t xml:space="preserve"> </w:t>
      </w:r>
      <w:r>
        <w:t>remains</w:t>
      </w:r>
      <w:r>
        <w:rPr>
          <w:spacing w:val="-1"/>
        </w:rPr>
        <w:t xml:space="preserve"> </w:t>
      </w:r>
      <w:r>
        <w:t>one of the lowest-priced urban water service providers in Victoria.</w:t>
      </w:r>
      <w:r>
        <w:rPr>
          <w:spacing w:val="-3"/>
        </w:rPr>
        <w:t xml:space="preserve"> </w:t>
      </w:r>
      <w:r>
        <w:t>Moreover, this has been achieved against the backdrop</w:t>
      </w:r>
      <w:r>
        <w:rPr>
          <w:spacing w:val="-1"/>
        </w:rPr>
        <w:t xml:space="preserve"> </w:t>
      </w:r>
      <w:r>
        <w:t>of</w:t>
      </w:r>
      <w:r>
        <w:rPr>
          <w:spacing w:val="-1"/>
        </w:rPr>
        <w:t xml:space="preserve"> </w:t>
      </w:r>
      <w:r>
        <w:t>the COVID-19</w:t>
      </w:r>
      <w:r>
        <w:rPr>
          <w:spacing w:val="-1"/>
        </w:rPr>
        <w:t xml:space="preserve"> </w:t>
      </w:r>
      <w:r>
        <w:t>pandemic</w:t>
      </w:r>
      <w:r>
        <w:rPr>
          <w:spacing w:val="-2"/>
        </w:rPr>
        <w:t xml:space="preserve"> </w:t>
      </w:r>
      <w:r>
        <w:t>and</w:t>
      </w:r>
      <w:r>
        <w:rPr>
          <w:spacing w:val="-1"/>
        </w:rPr>
        <w:t xml:space="preserve"> </w:t>
      </w:r>
      <w:r>
        <w:t>other</w:t>
      </w:r>
      <w:r>
        <w:rPr>
          <w:spacing w:val="-1"/>
        </w:rPr>
        <w:t xml:space="preserve"> </w:t>
      </w:r>
      <w:r>
        <w:t>events</w:t>
      </w:r>
      <w:r>
        <w:rPr>
          <w:spacing w:val="-1"/>
        </w:rPr>
        <w:t xml:space="preserve"> </w:t>
      </w:r>
      <w:r>
        <w:t>and</w:t>
      </w:r>
      <w:r>
        <w:rPr>
          <w:spacing w:val="-1"/>
        </w:rPr>
        <w:t xml:space="preserve"> </w:t>
      </w:r>
      <w:r>
        <w:t>the</w:t>
      </w:r>
      <w:r>
        <w:rPr>
          <w:spacing w:val="-1"/>
        </w:rPr>
        <w:t xml:space="preserve"> </w:t>
      </w:r>
      <w:r>
        <w:t>resultant</w:t>
      </w:r>
      <w:r>
        <w:rPr>
          <w:spacing w:val="-2"/>
        </w:rPr>
        <w:t xml:space="preserve"> </w:t>
      </w:r>
      <w:r>
        <w:t>significant</w:t>
      </w:r>
      <w:r>
        <w:rPr>
          <w:spacing w:val="-2"/>
        </w:rPr>
        <w:t xml:space="preserve"> </w:t>
      </w:r>
      <w:r>
        <w:t>pressure</w:t>
      </w:r>
      <w:r>
        <w:rPr>
          <w:spacing w:val="-1"/>
        </w:rPr>
        <w:t xml:space="preserve"> </w:t>
      </w:r>
      <w:r>
        <w:t>on</w:t>
      </w:r>
      <w:r>
        <w:rPr>
          <w:spacing w:val="-4"/>
        </w:rPr>
        <w:t xml:space="preserve"> </w:t>
      </w:r>
      <w:r>
        <w:t>prices, markets, customer and staff welfare, and economic activity.</w:t>
      </w:r>
    </w:p>
    <w:p w14:paraId="62537EC6" w14:textId="77777777" w:rsidR="00141B97" w:rsidRDefault="00911D63">
      <w:pPr>
        <w:pStyle w:val="ListParagraph"/>
        <w:numPr>
          <w:ilvl w:val="0"/>
          <w:numId w:val="119"/>
        </w:numPr>
        <w:tabs>
          <w:tab w:val="left" w:pos="833"/>
        </w:tabs>
        <w:spacing w:line="279" w:lineRule="exact"/>
        <w:ind w:left="832"/>
        <w:jc w:val="both"/>
      </w:pPr>
      <w:r>
        <w:t>Total</w:t>
      </w:r>
      <w:r>
        <w:rPr>
          <w:spacing w:val="45"/>
        </w:rPr>
        <w:t xml:space="preserve"> </w:t>
      </w:r>
      <w:r>
        <w:t>prescribed</w:t>
      </w:r>
      <w:r>
        <w:rPr>
          <w:spacing w:val="44"/>
        </w:rPr>
        <w:t xml:space="preserve"> </w:t>
      </w:r>
      <w:r>
        <w:t>operating</w:t>
      </w:r>
      <w:r>
        <w:rPr>
          <w:spacing w:val="44"/>
        </w:rPr>
        <w:t xml:space="preserve"> </w:t>
      </w:r>
      <w:r>
        <w:t>expenditure</w:t>
      </w:r>
      <w:r>
        <w:rPr>
          <w:spacing w:val="47"/>
        </w:rPr>
        <w:t xml:space="preserve"> </w:t>
      </w:r>
      <w:r>
        <w:t>(opex)</w:t>
      </w:r>
      <w:r>
        <w:rPr>
          <w:spacing w:val="47"/>
        </w:rPr>
        <w:t xml:space="preserve"> </w:t>
      </w:r>
      <w:r>
        <w:t>at</w:t>
      </w:r>
      <w:r>
        <w:rPr>
          <w:spacing w:val="43"/>
        </w:rPr>
        <w:t xml:space="preserve"> </w:t>
      </w:r>
      <w:r>
        <w:t>$112.3m</w:t>
      </w:r>
      <w:r>
        <w:rPr>
          <w:spacing w:val="46"/>
        </w:rPr>
        <w:t xml:space="preserve"> </w:t>
      </w:r>
      <w:r>
        <w:t>was</w:t>
      </w:r>
      <w:r>
        <w:rPr>
          <w:spacing w:val="44"/>
        </w:rPr>
        <w:t xml:space="preserve"> </w:t>
      </w:r>
      <w:r>
        <w:t>higher</w:t>
      </w:r>
      <w:r>
        <w:rPr>
          <w:spacing w:val="47"/>
        </w:rPr>
        <w:t xml:space="preserve"> </w:t>
      </w:r>
      <w:r>
        <w:t>than</w:t>
      </w:r>
      <w:r>
        <w:rPr>
          <w:spacing w:val="46"/>
        </w:rPr>
        <w:t xml:space="preserve"> </w:t>
      </w:r>
      <w:r>
        <w:t>the</w:t>
      </w:r>
      <w:r>
        <w:rPr>
          <w:spacing w:val="47"/>
        </w:rPr>
        <w:t xml:space="preserve"> </w:t>
      </w:r>
      <w:r>
        <w:t>approved</w:t>
      </w:r>
      <w:r>
        <w:rPr>
          <w:spacing w:val="44"/>
        </w:rPr>
        <w:t xml:space="preserve"> </w:t>
      </w:r>
      <w:r>
        <w:t>budget</w:t>
      </w:r>
      <w:r>
        <w:rPr>
          <w:spacing w:val="43"/>
        </w:rPr>
        <w:t xml:space="preserve"> </w:t>
      </w:r>
      <w:r>
        <w:rPr>
          <w:spacing w:val="-5"/>
        </w:rPr>
        <w:t>of</w:t>
      </w:r>
    </w:p>
    <w:p w14:paraId="3833573C" w14:textId="77777777" w:rsidR="00141B97" w:rsidRDefault="00911D63">
      <w:pPr>
        <w:pStyle w:val="BodyText"/>
        <w:spacing w:before="1"/>
        <w:ind w:left="832" w:right="106"/>
        <w:jc w:val="both"/>
      </w:pPr>
      <w:r>
        <w:t>$104.3m by $8.0m or 8% for the PS4 period to date. This was primarily due to increased costs for labour (necessary to deliver services and meet compliance and pandemic requirements), as well as treatment chemicals (caused by declining raw water quality), contractors/consultants and ICT. Despite the higher labour costs, LMW continues to deliver services as one of the lowest FTE Victorian water utilities, with superior operational efficiency compared to its peers on a range of independent measures.</w:t>
      </w:r>
    </w:p>
    <w:p w14:paraId="24A66274" w14:textId="77777777" w:rsidR="00141B97" w:rsidRDefault="00911D63">
      <w:pPr>
        <w:pStyle w:val="ListParagraph"/>
        <w:numPr>
          <w:ilvl w:val="0"/>
          <w:numId w:val="119"/>
        </w:numPr>
        <w:tabs>
          <w:tab w:val="left" w:pos="834"/>
        </w:tabs>
        <w:spacing w:before="1"/>
        <w:ind w:left="832" w:right="107" w:hanging="360"/>
        <w:jc w:val="both"/>
      </w:pPr>
      <w:r>
        <w:t>The PS4 urban capital expenditure (capex) program delivered period-to-date is 5.0% or $3.4m below budget.</w:t>
      </w:r>
      <w:r>
        <w:rPr>
          <w:spacing w:val="-13"/>
        </w:rPr>
        <w:t xml:space="preserve"> </w:t>
      </w:r>
      <w:r>
        <w:t>This</w:t>
      </w:r>
      <w:r>
        <w:rPr>
          <w:spacing w:val="-12"/>
        </w:rPr>
        <w:t xml:space="preserve"> </w:t>
      </w:r>
      <w:r>
        <w:t>reflects</w:t>
      </w:r>
      <w:r>
        <w:rPr>
          <w:spacing w:val="-13"/>
        </w:rPr>
        <w:t xml:space="preserve"> </w:t>
      </w:r>
      <w:r>
        <w:t>year-on-year</w:t>
      </w:r>
      <w:r>
        <w:rPr>
          <w:spacing w:val="-12"/>
        </w:rPr>
        <w:t xml:space="preserve"> </w:t>
      </w:r>
      <w:r>
        <w:t>improvements</w:t>
      </w:r>
      <w:r>
        <w:rPr>
          <w:spacing w:val="-13"/>
        </w:rPr>
        <w:t xml:space="preserve"> </w:t>
      </w:r>
      <w:r>
        <w:t>to</w:t>
      </w:r>
      <w:r>
        <w:rPr>
          <w:spacing w:val="-12"/>
        </w:rPr>
        <w:t xml:space="preserve"> </w:t>
      </w:r>
      <w:r>
        <w:t>program</w:t>
      </w:r>
      <w:r>
        <w:rPr>
          <w:spacing w:val="-13"/>
        </w:rPr>
        <w:t xml:space="preserve"> </w:t>
      </w:r>
      <w:r>
        <w:t>delivery,</w:t>
      </w:r>
      <w:r>
        <w:rPr>
          <w:spacing w:val="-11"/>
        </w:rPr>
        <w:t xml:space="preserve"> </w:t>
      </w:r>
      <w:r>
        <w:t>despite</w:t>
      </w:r>
      <w:r>
        <w:rPr>
          <w:spacing w:val="-12"/>
        </w:rPr>
        <w:t xml:space="preserve"> </w:t>
      </w:r>
      <w:r>
        <w:t>pandemic</w:t>
      </w:r>
      <w:r>
        <w:rPr>
          <w:spacing w:val="-12"/>
        </w:rPr>
        <w:t xml:space="preserve"> </w:t>
      </w:r>
      <w:r>
        <w:t>related</w:t>
      </w:r>
      <w:r>
        <w:rPr>
          <w:spacing w:val="-13"/>
        </w:rPr>
        <w:t xml:space="preserve"> </w:t>
      </w:r>
      <w:r>
        <w:t>delays.</w:t>
      </w:r>
      <w:r>
        <w:rPr>
          <w:spacing w:val="-12"/>
        </w:rPr>
        <w:t xml:space="preserve"> </w:t>
      </w:r>
      <w:r>
        <w:t>The Top 10 projects and renewals programs were largely delivered on time and budget, along with some new priority projects to maintain or meet regulatory obligations and customer outcomes commitments.</w:t>
      </w:r>
      <w:r>
        <w:rPr>
          <w:spacing w:val="40"/>
        </w:rPr>
        <w:t xml:space="preserve"> </w:t>
      </w:r>
      <w:r>
        <w:t>LMW is confident of delivering the agreed customer outcomes within 1-1.5% of the overall approved PS4 budgeted expenditure.</w:t>
      </w:r>
    </w:p>
    <w:p w14:paraId="1E1BC4D3" w14:textId="77777777" w:rsidR="00141B97" w:rsidRDefault="00141B97">
      <w:pPr>
        <w:pStyle w:val="BodyText"/>
      </w:pPr>
    </w:p>
    <w:p w14:paraId="2A5A8D79" w14:textId="77777777" w:rsidR="00141B97" w:rsidRDefault="00911D63">
      <w:pPr>
        <w:pStyle w:val="BodyText"/>
        <w:ind w:left="112"/>
      </w:pPr>
      <w:r>
        <w:rPr>
          <w:spacing w:val="-2"/>
        </w:rPr>
        <w:t>Rural</w:t>
      </w:r>
    </w:p>
    <w:p w14:paraId="6EF224FC" w14:textId="77777777" w:rsidR="00141B97" w:rsidRDefault="00911D63">
      <w:pPr>
        <w:pStyle w:val="BodyText"/>
        <w:ind w:left="112" w:right="109"/>
        <w:jc w:val="both"/>
      </w:pPr>
      <w:r>
        <w:t>Over the current price period 2018 to 2023 (PS4), LMW’s rural business has so far comprehensively met its commitments to customers across the four dimensions of customer outcomes, prices, operating</w:t>
      </w:r>
      <w:r>
        <w:rPr>
          <w:spacing w:val="-1"/>
        </w:rPr>
        <w:t xml:space="preserve"> </w:t>
      </w:r>
      <w:r>
        <w:t>expenditure, and capital expenditure:</w:t>
      </w:r>
    </w:p>
    <w:p w14:paraId="5A81C311" w14:textId="77777777" w:rsidR="00141B97" w:rsidRDefault="00911D63">
      <w:pPr>
        <w:pStyle w:val="ListParagraph"/>
        <w:numPr>
          <w:ilvl w:val="0"/>
          <w:numId w:val="119"/>
        </w:numPr>
        <w:tabs>
          <w:tab w:val="left" w:pos="833"/>
        </w:tabs>
        <w:spacing w:before="1"/>
        <w:ind w:left="832" w:right="108"/>
        <w:jc w:val="both"/>
      </w:pPr>
      <w:r>
        <w:t>LMW consistently met or bettered its four identified rural customer outcome targets for all but two outcomes for one year each – both rated ‘largely met’.</w:t>
      </w:r>
      <w:r>
        <w:rPr>
          <w:spacing w:val="40"/>
        </w:rPr>
        <w:t xml:space="preserve"> </w:t>
      </w:r>
      <w:r>
        <w:t>Where performance improvements on individual sub-measures have been identified, management action has been taken to address these opportunities.</w:t>
      </w:r>
    </w:p>
    <w:p w14:paraId="3F255631" w14:textId="77777777" w:rsidR="00141B97" w:rsidRDefault="00141B97">
      <w:pPr>
        <w:jc w:val="both"/>
        <w:sectPr w:rsidR="00141B97">
          <w:pgSz w:w="12240" w:h="15840"/>
          <w:pgMar w:top="820" w:right="880" w:bottom="1200" w:left="1020" w:header="0" w:footer="1014" w:gutter="0"/>
          <w:cols w:space="720"/>
        </w:sectPr>
      </w:pPr>
    </w:p>
    <w:tbl>
      <w:tblPr>
        <w:tblW w:w="0" w:type="auto"/>
        <w:tblInd w:w="1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934"/>
        <w:gridCol w:w="684"/>
        <w:gridCol w:w="684"/>
        <w:gridCol w:w="684"/>
        <w:gridCol w:w="685"/>
        <w:gridCol w:w="677"/>
      </w:tblGrid>
      <w:tr w:rsidR="00141B97" w14:paraId="1EABCACA" w14:textId="77777777">
        <w:trPr>
          <w:trHeight w:val="263"/>
        </w:trPr>
        <w:tc>
          <w:tcPr>
            <w:tcW w:w="5934" w:type="dxa"/>
            <w:tcBorders>
              <w:top w:val="nil"/>
              <w:left w:val="nil"/>
              <w:right w:val="single" w:sz="6" w:space="0" w:color="FFFFFF"/>
            </w:tcBorders>
            <w:shd w:val="clear" w:color="auto" w:fill="48859F"/>
          </w:tcPr>
          <w:p w14:paraId="166868AD" w14:textId="77777777" w:rsidR="00141B97" w:rsidRDefault="00911D63">
            <w:pPr>
              <w:pStyle w:val="TableParagraph"/>
              <w:spacing w:before="1" w:line="242" w:lineRule="exact"/>
              <w:ind w:left="134"/>
              <w:rPr>
                <w:sz w:val="20"/>
              </w:rPr>
            </w:pPr>
            <w:r>
              <w:rPr>
                <w:color w:val="FFFFFF"/>
                <w:spacing w:val="-2"/>
                <w:sz w:val="20"/>
              </w:rPr>
              <w:lastRenderedPageBreak/>
              <w:t>Outcome</w:t>
            </w:r>
          </w:p>
        </w:tc>
        <w:tc>
          <w:tcPr>
            <w:tcW w:w="684" w:type="dxa"/>
            <w:tcBorders>
              <w:top w:val="nil"/>
              <w:left w:val="single" w:sz="6" w:space="0" w:color="FFFFFF"/>
              <w:right w:val="nil"/>
            </w:tcBorders>
            <w:shd w:val="clear" w:color="auto" w:fill="48859F"/>
          </w:tcPr>
          <w:p w14:paraId="3E846447" w14:textId="77777777" w:rsidR="00141B97" w:rsidRDefault="00911D63">
            <w:pPr>
              <w:pStyle w:val="TableParagraph"/>
              <w:spacing w:before="1" w:line="242" w:lineRule="exact"/>
              <w:ind w:left="140"/>
              <w:rPr>
                <w:sz w:val="20"/>
              </w:rPr>
            </w:pPr>
            <w:r>
              <w:rPr>
                <w:color w:val="FFFFFF"/>
                <w:w w:val="95"/>
                <w:sz w:val="20"/>
              </w:rPr>
              <w:t>18-</w:t>
            </w:r>
            <w:r>
              <w:rPr>
                <w:color w:val="FFFFFF"/>
                <w:spacing w:val="-5"/>
                <w:sz w:val="20"/>
              </w:rPr>
              <w:t>19</w:t>
            </w:r>
          </w:p>
        </w:tc>
        <w:tc>
          <w:tcPr>
            <w:tcW w:w="684" w:type="dxa"/>
            <w:tcBorders>
              <w:top w:val="nil"/>
              <w:left w:val="nil"/>
              <w:right w:val="nil"/>
            </w:tcBorders>
            <w:shd w:val="clear" w:color="auto" w:fill="48859F"/>
          </w:tcPr>
          <w:p w14:paraId="7807D0CE" w14:textId="77777777" w:rsidR="00141B97" w:rsidRDefault="00911D63">
            <w:pPr>
              <w:pStyle w:val="TableParagraph"/>
              <w:spacing w:before="1" w:line="242" w:lineRule="exact"/>
              <w:ind w:left="147"/>
              <w:rPr>
                <w:sz w:val="20"/>
              </w:rPr>
            </w:pPr>
            <w:r>
              <w:rPr>
                <w:color w:val="FFFFFF"/>
                <w:w w:val="95"/>
                <w:sz w:val="20"/>
              </w:rPr>
              <w:t>19-</w:t>
            </w:r>
            <w:r>
              <w:rPr>
                <w:color w:val="FFFFFF"/>
                <w:spacing w:val="-5"/>
                <w:sz w:val="20"/>
              </w:rPr>
              <w:t>20</w:t>
            </w:r>
          </w:p>
        </w:tc>
        <w:tc>
          <w:tcPr>
            <w:tcW w:w="684" w:type="dxa"/>
            <w:tcBorders>
              <w:top w:val="nil"/>
              <w:left w:val="nil"/>
              <w:right w:val="nil"/>
            </w:tcBorders>
            <w:shd w:val="clear" w:color="auto" w:fill="48859F"/>
          </w:tcPr>
          <w:p w14:paraId="5EE266F2" w14:textId="77777777" w:rsidR="00141B97" w:rsidRDefault="00911D63">
            <w:pPr>
              <w:pStyle w:val="TableParagraph"/>
              <w:spacing w:before="1" w:line="242" w:lineRule="exact"/>
              <w:ind w:left="147"/>
              <w:rPr>
                <w:sz w:val="20"/>
              </w:rPr>
            </w:pPr>
            <w:r>
              <w:rPr>
                <w:color w:val="FFFFFF"/>
                <w:w w:val="95"/>
                <w:sz w:val="20"/>
              </w:rPr>
              <w:t>20-</w:t>
            </w:r>
            <w:r>
              <w:rPr>
                <w:color w:val="FFFFFF"/>
                <w:spacing w:val="-5"/>
                <w:sz w:val="20"/>
              </w:rPr>
              <w:t>21</w:t>
            </w:r>
          </w:p>
        </w:tc>
        <w:tc>
          <w:tcPr>
            <w:tcW w:w="685" w:type="dxa"/>
            <w:tcBorders>
              <w:top w:val="nil"/>
              <w:left w:val="nil"/>
            </w:tcBorders>
            <w:shd w:val="clear" w:color="auto" w:fill="48859F"/>
          </w:tcPr>
          <w:p w14:paraId="2E943259" w14:textId="77777777" w:rsidR="00141B97" w:rsidRDefault="00911D63">
            <w:pPr>
              <w:pStyle w:val="TableParagraph"/>
              <w:spacing w:before="1" w:line="242" w:lineRule="exact"/>
              <w:ind w:left="142"/>
              <w:rPr>
                <w:sz w:val="20"/>
              </w:rPr>
            </w:pPr>
            <w:r>
              <w:rPr>
                <w:color w:val="FFFFFF"/>
                <w:w w:val="95"/>
                <w:sz w:val="20"/>
              </w:rPr>
              <w:t>21-</w:t>
            </w:r>
            <w:r>
              <w:rPr>
                <w:color w:val="FFFFFF"/>
                <w:spacing w:val="-5"/>
                <w:sz w:val="20"/>
              </w:rPr>
              <w:t>22</w:t>
            </w:r>
          </w:p>
        </w:tc>
        <w:tc>
          <w:tcPr>
            <w:tcW w:w="677" w:type="dxa"/>
            <w:tcBorders>
              <w:top w:val="nil"/>
              <w:right w:val="nil"/>
            </w:tcBorders>
            <w:shd w:val="clear" w:color="auto" w:fill="48859F"/>
          </w:tcPr>
          <w:p w14:paraId="065C5169" w14:textId="77777777" w:rsidR="00141B97" w:rsidRDefault="00911D63">
            <w:pPr>
              <w:pStyle w:val="TableParagraph"/>
              <w:spacing w:before="1" w:line="242" w:lineRule="exact"/>
              <w:ind w:left="141"/>
              <w:rPr>
                <w:sz w:val="20"/>
              </w:rPr>
            </w:pPr>
            <w:r>
              <w:rPr>
                <w:color w:val="FFFFFF"/>
                <w:w w:val="95"/>
                <w:sz w:val="20"/>
              </w:rPr>
              <w:t>22-</w:t>
            </w:r>
            <w:r>
              <w:rPr>
                <w:color w:val="FFFFFF"/>
                <w:spacing w:val="-5"/>
                <w:sz w:val="20"/>
              </w:rPr>
              <w:t>23</w:t>
            </w:r>
          </w:p>
        </w:tc>
      </w:tr>
      <w:tr w:rsidR="00141B97" w14:paraId="723F2BD5" w14:textId="77777777">
        <w:trPr>
          <w:trHeight w:val="422"/>
        </w:trPr>
        <w:tc>
          <w:tcPr>
            <w:tcW w:w="5934" w:type="dxa"/>
            <w:tcBorders>
              <w:left w:val="nil"/>
              <w:right w:val="single" w:sz="6" w:space="0" w:color="FFFFFF"/>
            </w:tcBorders>
            <w:shd w:val="clear" w:color="auto" w:fill="F1F1F1"/>
          </w:tcPr>
          <w:p w14:paraId="3F8F7037" w14:textId="77777777" w:rsidR="00141B97" w:rsidRDefault="00911D63">
            <w:pPr>
              <w:pStyle w:val="TableParagraph"/>
              <w:spacing w:before="80"/>
              <w:ind w:left="134"/>
              <w:rPr>
                <w:sz w:val="20"/>
              </w:rPr>
            </w:pPr>
            <w:r>
              <w:rPr>
                <w:sz w:val="20"/>
              </w:rPr>
              <w:t>1.</w:t>
            </w:r>
            <w:r>
              <w:rPr>
                <w:spacing w:val="-6"/>
                <w:sz w:val="20"/>
              </w:rPr>
              <w:t xml:space="preserve"> </w:t>
            </w:r>
            <w:r>
              <w:rPr>
                <w:sz w:val="20"/>
              </w:rPr>
              <w:t>Supply</w:t>
            </w:r>
            <w:r>
              <w:rPr>
                <w:spacing w:val="-3"/>
                <w:sz w:val="20"/>
              </w:rPr>
              <w:t xml:space="preserve"> </w:t>
            </w:r>
            <w:r>
              <w:rPr>
                <w:sz w:val="20"/>
              </w:rPr>
              <w:t>me</w:t>
            </w:r>
            <w:r>
              <w:rPr>
                <w:spacing w:val="-4"/>
                <w:sz w:val="20"/>
              </w:rPr>
              <w:t xml:space="preserve"> </w:t>
            </w:r>
            <w:r>
              <w:rPr>
                <w:sz w:val="20"/>
              </w:rPr>
              <w:t>with</w:t>
            </w:r>
            <w:r>
              <w:rPr>
                <w:spacing w:val="-4"/>
                <w:sz w:val="20"/>
              </w:rPr>
              <w:t xml:space="preserve"> </w:t>
            </w:r>
            <w:r>
              <w:rPr>
                <w:sz w:val="20"/>
              </w:rPr>
              <w:t>water</w:t>
            </w:r>
            <w:r>
              <w:rPr>
                <w:spacing w:val="-3"/>
                <w:sz w:val="20"/>
              </w:rPr>
              <w:t xml:space="preserve"> </w:t>
            </w:r>
            <w:r>
              <w:rPr>
                <w:sz w:val="20"/>
              </w:rPr>
              <w:t>when</w:t>
            </w:r>
            <w:r>
              <w:rPr>
                <w:spacing w:val="-3"/>
                <w:sz w:val="20"/>
              </w:rPr>
              <w:t xml:space="preserve"> </w:t>
            </w:r>
            <w:r>
              <w:rPr>
                <w:sz w:val="20"/>
              </w:rPr>
              <w:t>I</w:t>
            </w:r>
            <w:r>
              <w:rPr>
                <w:spacing w:val="-5"/>
                <w:sz w:val="20"/>
              </w:rPr>
              <w:t xml:space="preserve"> </w:t>
            </w:r>
            <w:r>
              <w:rPr>
                <w:sz w:val="20"/>
              </w:rPr>
              <w:t>need</w:t>
            </w:r>
            <w:r>
              <w:rPr>
                <w:spacing w:val="-4"/>
                <w:sz w:val="20"/>
              </w:rPr>
              <w:t xml:space="preserve"> </w:t>
            </w:r>
            <w:r>
              <w:rPr>
                <w:spacing w:val="-5"/>
                <w:sz w:val="20"/>
              </w:rPr>
              <w:t>it</w:t>
            </w:r>
          </w:p>
        </w:tc>
        <w:tc>
          <w:tcPr>
            <w:tcW w:w="2737" w:type="dxa"/>
            <w:gridSpan w:val="4"/>
            <w:tcBorders>
              <w:left w:val="single" w:sz="6" w:space="0" w:color="FFFFFF"/>
            </w:tcBorders>
            <w:shd w:val="clear" w:color="auto" w:fill="00AF50"/>
          </w:tcPr>
          <w:p w14:paraId="7CD0B6BC" w14:textId="77777777" w:rsidR="00141B97" w:rsidRDefault="00141B97">
            <w:pPr>
              <w:pStyle w:val="TableParagraph"/>
              <w:rPr>
                <w:rFonts w:ascii="Times New Roman"/>
                <w:sz w:val="20"/>
              </w:rPr>
            </w:pPr>
          </w:p>
        </w:tc>
        <w:tc>
          <w:tcPr>
            <w:tcW w:w="677" w:type="dxa"/>
            <w:tcBorders>
              <w:right w:val="nil"/>
            </w:tcBorders>
            <w:shd w:val="clear" w:color="auto" w:fill="F1F1F1"/>
          </w:tcPr>
          <w:p w14:paraId="6DFF3272" w14:textId="77777777" w:rsidR="00141B97" w:rsidRDefault="00141B97">
            <w:pPr>
              <w:pStyle w:val="TableParagraph"/>
              <w:rPr>
                <w:rFonts w:ascii="Times New Roman"/>
                <w:sz w:val="20"/>
              </w:rPr>
            </w:pPr>
          </w:p>
        </w:tc>
      </w:tr>
      <w:tr w:rsidR="00141B97" w14:paraId="0707513E" w14:textId="77777777">
        <w:trPr>
          <w:trHeight w:val="424"/>
        </w:trPr>
        <w:tc>
          <w:tcPr>
            <w:tcW w:w="5934" w:type="dxa"/>
            <w:tcBorders>
              <w:left w:val="nil"/>
              <w:right w:val="single" w:sz="6" w:space="0" w:color="FFFFFF"/>
            </w:tcBorders>
            <w:shd w:val="clear" w:color="auto" w:fill="E2E2E3"/>
          </w:tcPr>
          <w:p w14:paraId="7C818449" w14:textId="77777777" w:rsidR="00141B97" w:rsidRDefault="00911D63">
            <w:pPr>
              <w:pStyle w:val="TableParagraph"/>
              <w:spacing w:before="83"/>
              <w:ind w:left="134"/>
              <w:rPr>
                <w:sz w:val="20"/>
              </w:rPr>
            </w:pPr>
            <w:r>
              <w:rPr>
                <w:sz w:val="20"/>
              </w:rPr>
              <w:t>2.</w:t>
            </w:r>
            <w:r>
              <w:rPr>
                <w:spacing w:val="-5"/>
                <w:sz w:val="20"/>
              </w:rPr>
              <w:t xml:space="preserve"> </w:t>
            </w:r>
            <w:r>
              <w:rPr>
                <w:sz w:val="20"/>
              </w:rPr>
              <w:t>Keep</w:t>
            </w:r>
            <w:r>
              <w:rPr>
                <w:spacing w:val="-3"/>
                <w:sz w:val="20"/>
              </w:rPr>
              <w:t xml:space="preserve"> </w:t>
            </w:r>
            <w:r>
              <w:rPr>
                <w:sz w:val="20"/>
              </w:rPr>
              <w:t>my</w:t>
            </w:r>
            <w:r>
              <w:rPr>
                <w:spacing w:val="-2"/>
                <w:sz w:val="20"/>
              </w:rPr>
              <w:t xml:space="preserve"> </w:t>
            </w:r>
            <w:r>
              <w:rPr>
                <w:sz w:val="20"/>
              </w:rPr>
              <w:t>costs</w:t>
            </w:r>
            <w:r>
              <w:rPr>
                <w:spacing w:val="-3"/>
                <w:sz w:val="20"/>
              </w:rPr>
              <w:t xml:space="preserve"> </w:t>
            </w:r>
            <w:r>
              <w:rPr>
                <w:sz w:val="20"/>
              </w:rPr>
              <w:t>to</w:t>
            </w:r>
            <w:r>
              <w:rPr>
                <w:spacing w:val="-4"/>
                <w:sz w:val="20"/>
              </w:rPr>
              <w:t xml:space="preserve"> </w:t>
            </w:r>
            <w:r>
              <w:rPr>
                <w:sz w:val="20"/>
              </w:rPr>
              <w:t>a</w:t>
            </w:r>
            <w:r>
              <w:rPr>
                <w:spacing w:val="-3"/>
                <w:sz w:val="20"/>
              </w:rPr>
              <w:t xml:space="preserve"> </w:t>
            </w:r>
            <w:r>
              <w:rPr>
                <w:spacing w:val="-2"/>
                <w:sz w:val="20"/>
              </w:rPr>
              <w:t>minimum</w:t>
            </w:r>
          </w:p>
        </w:tc>
        <w:tc>
          <w:tcPr>
            <w:tcW w:w="2737" w:type="dxa"/>
            <w:gridSpan w:val="4"/>
            <w:tcBorders>
              <w:left w:val="single" w:sz="6" w:space="0" w:color="FFFFFF"/>
            </w:tcBorders>
            <w:shd w:val="clear" w:color="auto" w:fill="00AF50"/>
          </w:tcPr>
          <w:p w14:paraId="0FBCD2BE" w14:textId="77777777" w:rsidR="00141B97" w:rsidRDefault="00141B97">
            <w:pPr>
              <w:pStyle w:val="TableParagraph"/>
              <w:rPr>
                <w:rFonts w:ascii="Times New Roman"/>
                <w:sz w:val="20"/>
              </w:rPr>
            </w:pPr>
          </w:p>
        </w:tc>
        <w:tc>
          <w:tcPr>
            <w:tcW w:w="677" w:type="dxa"/>
            <w:tcBorders>
              <w:right w:val="nil"/>
            </w:tcBorders>
            <w:shd w:val="clear" w:color="auto" w:fill="E2E2E3"/>
          </w:tcPr>
          <w:p w14:paraId="59ED7DFE" w14:textId="77777777" w:rsidR="00141B97" w:rsidRDefault="00141B97">
            <w:pPr>
              <w:pStyle w:val="TableParagraph"/>
              <w:rPr>
                <w:rFonts w:ascii="Times New Roman"/>
                <w:sz w:val="20"/>
              </w:rPr>
            </w:pPr>
          </w:p>
        </w:tc>
      </w:tr>
      <w:tr w:rsidR="00141B97" w14:paraId="08E6AA32" w14:textId="77777777">
        <w:trPr>
          <w:trHeight w:val="420"/>
        </w:trPr>
        <w:tc>
          <w:tcPr>
            <w:tcW w:w="5934" w:type="dxa"/>
            <w:tcBorders>
              <w:left w:val="nil"/>
              <w:bottom w:val="single" w:sz="6" w:space="0" w:color="FFFFFF"/>
              <w:right w:val="single" w:sz="6" w:space="0" w:color="FFFFFF"/>
            </w:tcBorders>
            <w:shd w:val="clear" w:color="auto" w:fill="F1F1F1"/>
          </w:tcPr>
          <w:p w14:paraId="3EC47471" w14:textId="77777777" w:rsidR="00141B97" w:rsidRDefault="00911D63">
            <w:pPr>
              <w:pStyle w:val="TableParagraph"/>
              <w:spacing w:before="80"/>
              <w:ind w:left="134"/>
              <w:rPr>
                <w:sz w:val="20"/>
              </w:rPr>
            </w:pPr>
            <w:r>
              <w:rPr>
                <w:sz w:val="20"/>
              </w:rPr>
              <w:t>3.</w:t>
            </w:r>
            <w:r>
              <w:rPr>
                <w:spacing w:val="-5"/>
                <w:sz w:val="20"/>
              </w:rPr>
              <w:t xml:space="preserve"> </w:t>
            </w:r>
            <w:r>
              <w:rPr>
                <w:sz w:val="20"/>
              </w:rPr>
              <w:t>Be</w:t>
            </w:r>
            <w:r>
              <w:rPr>
                <w:spacing w:val="-3"/>
                <w:sz w:val="20"/>
              </w:rPr>
              <w:t xml:space="preserve"> </w:t>
            </w:r>
            <w:r>
              <w:rPr>
                <w:sz w:val="20"/>
              </w:rPr>
              <w:t>easy</w:t>
            </w:r>
            <w:r>
              <w:rPr>
                <w:spacing w:val="-2"/>
                <w:sz w:val="20"/>
              </w:rPr>
              <w:t xml:space="preserve"> </w:t>
            </w:r>
            <w:r>
              <w:rPr>
                <w:sz w:val="20"/>
              </w:rPr>
              <w:t>to</w:t>
            </w:r>
            <w:r>
              <w:rPr>
                <w:spacing w:val="-4"/>
                <w:sz w:val="20"/>
              </w:rPr>
              <w:t xml:space="preserve"> </w:t>
            </w:r>
            <w:r>
              <w:rPr>
                <w:sz w:val="20"/>
              </w:rPr>
              <w:t>contact</w:t>
            </w:r>
            <w:r>
              <w:rPr>
                <w:spacing w:val="-5"/>
                <w:sz w:val="20"/>
              </w:rPr>
              <w:t xml:space="preserve"> </w:t>
            </w:r>
            <w:r>
              <w:rPr>
                <w:sz w:val="20"/>
              </w:rPr>
              <w:t>and</w:t>
            </w:r>
            <w:r>
              <w:rPr>
                <w:spacing w:val="-3"/>
                <w:sz w:val="20"/>
              </w:rPr>
              <w:t xml:space="preserve"> </w:t>
            </w:r>
            <w:r>
              <w:rPr>
                <w:sz w:val="20"/>
              </w:rPr>
              <w:t>quick</w:t>
            </w:r>
            <w:r>
              <w:rPr>
                <w:spacing w:val="-2"/>
                <w:sz w:val="20"/>
              </w:rPr>
              <w:t xml:space="preserve"> </w:t>
            </w:r>
            <w:r>
              <w:rPr>
                <w:sz w:val="20"/>
              </w:rPr>
              <w:t>to</w:t>
            </w:r>
            <w:r>
              <w:rPr>
                <w:spacing w:val="-4"/>
                <w:sz w:val="20"/>
              </w:rPr>
              <w:t xml:space="preserve"> </w:t>
            </w:r>
            <w:r>
              <w:rPr>
                <w:spacing w:val="-2"/>
                <w:sz w:val="20"/>
              </w:rPr>
              <w:t>respond</w:t>
            </w:r>
          </w:p>
        </w:tc>
        <w:tc>
          <w:tcPr>
            <w:tcW w:w="684" w:type="dxa"/>
            <w:tcBorders>
              <w:left w:val="single" w:sz="6" w:space="0" w:color="FFFFFF"/>
              <w:bottom w:val="single" w:sz="6" w:space="0" w:color="FFFFFF"/>
              <w:right w:val="nil"/>
            </w:tcBorders>
            <w:shd w:val="clear" w:color="auto" w:fill="FFC000"/>
          </w:tcPr>
          <w:p w14:paraId="11B3E061" w14:textId="77777777" w:rsidR="00141B97" w:rsidRDefault="00141B97">
            <w:pPr>
              <w:pStyle w:val="TableParagraph"/>
              <w:rPr>
                <w:rFonts w:ascii="Times New Roman"/>
                <w:sz w:val="20"/>
              </w:rPr>
            </w:pPr>
          </w:p>
        </w:tc>
        <w:tc>
          <w:tcPr>
            <w:tcW w:w="2053" w:type="dxa"/>
            <w:gridSpan w:val="3"/>
            <w:tcBorders>
              <w:left w:val="nil"/>
              <w:bottom w:val="single" w:sz="6" w:space="0" w:color="FFFFFF"/>
            </w:tcBorders>
            <w:shd w:val="clear" w:color="auto" w:fill="00AF50"/>
          </w:tcPr>
          <w:p w14:paraId="3CB3AE19" w14:textId="77777777" w:rsidR="00141B97" w:rsidRDefault="00141B97">
            <w:pPr>
              <w:pStyle w:val="TableParagraph"/>
              <w:rPr>
                <w:rFonts w:ascii="Times New Roman"/>
                <w:sz w:val="20"/>
              </w:rPr>
            </w:pPr>
          </w:p>
        </w:tc>
        <w:tc>
          <w:tcPr>
            <w:tcW w:w="677" w:type="dxa"/>
            <w:tcBorders>
              <w:bottom w:val="single" w:sz="6" w:space="0" w:color="FFFFFF"/>
              <w:right w:val="nil"/>
            </w:tcBorders>
            <w:shd w:val="clear" w:color="auto" w:fill="F1F1F1"/>
          </w:tcPr>
          <w:p w14:paraId="542ACC26" w14:textId="77777777" w:rsidR="00141B97" w:rsidRDefault="00141B97">
            <w:pPr>
              <w:pStyle w:val="TableParagraph"/>
              <w:rPr>
                <w:rFonts w:ascii="Times New Roman"/>
                <w:sz w:val="20"/>
              </w:rPr>
            </w:pPr>
          </w:p>
        </w:tc>
      </w:tr>
      <w:tr w:rsidR="00141B97" w14:paraId="6009FC9C" w14:textId="77777777">
        <w:trPr>
          <w:trHeight w:val="420"/>
        </w:trPr>
        <w:tc>
          <w:tcPr>
            <w:tcW w:w="5934" w:type="dxa"/>
            <w:tcBorders>
              <w:top w:val="single" w:sz="6" w:space="0" w:color="FFFFFF"/>
              <w:left w:val="nil"/>
              <w:right w:val="single" w:sz="6" w:space="0" w:color="FFFFFF"/>
            </w:tcBorders>
            <w:shd w:val="clear" w:color="auto" w:fill="E2E2E3"/>
          </w:tcPr>
          <w:p w14:paraId="141BF238" w14:textId="77777777" w:rsidR="00141B97" w:rsidRDefault="00911D63">
            <w:pPr>
              <w:pStyle w:val="TableParagraph"/>
              <w:spacing w:before="79"/>
              <w:ind w:left="134"/>
              <w:rPr>
                <w:sz w:val="20"/>
              </w:rPr>
            </w:pPr>
            <w:r>
              <w:rPr>
                <w:sz w:val="20"/>
              </w:rPr>
              <w:t>4.</w:t>
            </w:r>
            <w:r>
              <w:rPr>
                <w:spacing w:val="-8"/>
                <w:sz w:val="20"/>
              </w:rPr>
              <w:t xml:space="preserve"> </w:t>
            </w:r>
            <w:r>
              <w:rPr>
                <w:sz w:val="20"/>
              </w:rPr>
              <w:t>Comply</w:t>
            </w:r>
            <w:r>
              <w:rPr>
                <w:spacing w:val="-5"/>
                <w:sz w:val="20"/>
              </w:rPr>
              <w:t xml:space="preserve"> </w:t>
            </w:r>
            <w:r>
              <w:rPr>
                <w:sz w:val="20"/>
              </w:rPr>
              <w:t>with</w:t>
            </w:r>
            <w:r>
              <w:rPr>
                <w:spacing w:val="-6"/>
                <w:sz w:val="20"/>
              </w:rPr>
              <w:t xml:space="preserve"> </w:t>
            </w:r>
            <w:r>
              <w:rPr>
                <w:sz w:val="20"/>
              </w:rPr>
              <w:t>other</w:t>
            </w:r>
            <w:r>
              <w:rPr>
                <w:spacing w:val="-6"/>
                <w:sz w:val="20"/>
              </w:rPr>
              <w:t xml:space="preserve"> </w:t>
            </w:r>
            <w:r>
              <w:rPr>
                <w:sz w:val="20"/>
              </w:rPr>
              <w:t>government</w:t>
            </w:r>
            <w:r>
              <w:rPr>
                <w:spacing w:val="-7"/>
                <w:sz w:val="20"/>
              </w:rPr>
              <w:t xml:space="preserve"> </w:t>
            </w:r>
            <w:r>
              <w:rPr>
                <w:spacing w:val="-2"/>
                <w:sz w:val="20"/>
              </w:rPr>
              <w:t>obligations</w:t>
            </w:r>
          </w:p>
        </w:tc>
        <w:tc>
          <w:tcPr>
            <w:tcW w:w="1368" w:type="dxa"/>
            <w:gridSpan w:val="2"/>
            <w:tcBorders>
              <w:top w:val="single" w:sz="6" w:space="0" w:color="FFFFFF"/>
              <w:left w:val="single" w:sz="6" w:space="0" w:color="FFFFFF"/>
              <w:right w:val="nil"/>
            </w:tcBorders>
            <w:shd w:val="clear" w:color="auto" w:fill="00AF50"/>
          </w:tcPr>
          <w:p w14:paraId="0F280EB6" w14:textId="77777777" w:rsidR="00141B97" w:rsidRDefault="00141B97">
            <w:pPr>
              <w:pStyle w:val="TableParagraph"/>
              <w:rPr>
                <w:rFonts w:ascii="Times New Roman"/>
                <w:sz w:val="20"/>
              </w:rPr>
            </w:pPr>
          </w:p>
        </w:tc>
        <w:tc>
          <w:tcPr>
            <w:tcW w:w="684" w:type="dxa"/>
            <w:tcBorders>
              <w:top w:val="single" w:sz="6" w:space="0" w:color="FFFFFF"/>
              <w:left w:val="nil"/>
              <w:right w:val="nil"/>
            </w:tcBorders>
            <w:shd w:val="clear" w:color="auto" w:fill="FFC000"/>
          </w:tcPr>
          <w:p w14:paraId="0EC910B8" w14:textId="77777777" w:rsidR="00141B97" w:rsidRDefault="00141B97">
            <w:pPr>
              <w:pStyle w:val="TableParagraph"/>
              <w:rPr>
                <w:rFonts w:ascii="Times New Roman"/>
                <w:sz w:val="20"/>
              </w:rPr>
            </w:pPr>
          </w:p>
        </w:tc>
        <w:tc>
          <w:tcPr>
            <w:tcW w:w="685" w:type="dxa"/>
            <w:tcBorders>
              <w:top w:val="single" w:sz="6" w:space="0" w:color="FFFFFF"/>
              <w:left w:val="nil"/>
            </w:tcBorders>
            <w:shd w:val="clear" w:color="auto" w:fill="00AF50"/>
          </w:tcPr>
          <w:p w14:paraId="529329F3" w14:textId="77777777" w:rsidR="00141B97" w:rsidRDefault="00141B97">
            <w:pPr>
              <w:pStyle w:val="TableParagraph"/>
              <w:rPr>
                <w:rFonts w:ascii="Times New Roman"/>
                <w:sz w:val="20"/>
              </w:rPr>
            </w:pPr>
          </w:p>
        </w:tc>
        <w:tc>
          <w:tcPr>
            <w:tcW w:w="677" w:type="dxa"/>
            <w:tcBorders>
              <w:top w:val="single" w:sz="6" w:space="0" w:color="FFFFFF"/>
              <w:right w:val="nil"/>
            </w:tcBorders>
            <w:shd w:val="clear" w:color="auto" w:fill="E2E2E3"/>
          </w:tcPr>
          <w:p w14:paraId="72BD3793" w14:textId="77777777" w:rsidR="00141B97" w:rsidRDefault="00141B97">
            <w:pPr>
              <w:pStyle w:val="TableParagraph"/>
              <w:rPr>
                <w:rFonts w:ascii="Times New Roman"/>
                <w:sz w:val="20"/>
              </w:rPr>
            </w:pPr>
          </w:p>
        </w:tc>
      </w:tr>
      <w:tr w:rsidR="00141B97" w14:paraId="297B8EAB" w14:textId="77777777">
        <w:trPr>
          <w:trHeight w:val="424"/>
        </w:trPr>
        <w:tc>
          <w:tcPr>
            <w:tcW w:w="5934" w:type="dxa"/>
            <w:tcBorders>
              <w:left w:val="nil"/>
              <w:bottom w:val="nil"/>
              <w:right w:val="single" w:sz="6" w:space="0" w:color="FFFFFF"/>
            </w:tcBorders>
            <w:shd w:val="clear" w:color="auto" w:fill="BEBEBE"/>
          </w:tcPr>
          <w:p w14:paraId="7A2CD066" w14:textId="77777777" w:rsidR="00141B97" w:rsidRDefault="00911D63">
            <w:pPr>
              <w:pStyle w:val="TableParagraph"/>
              <w:spacing w:before="80"/>
              <w:ind w:left="134"/>
              <w:rPr>
                <w:sz w:val="20"/>
              </w:rPr>
            </w:pPr>
            <w:r>
              <w:rPr>
                <w:spacing w:val="-2"/>
                <w:sz w:val="20"/>
              </w:rPr>
              <w:t>Overall</w:t>
            </w:r>
          </w:p>
        </w:tc>
        <w:tc>
          <w:tcPr>
            <w:tcW w:w="2737" w:type="dxa"/>
            <w:gridSpan w:val="4"/>
            <w:tcBorders>
              <w:left w:val="single" w:sz="6" w:space="0" w:color="FFFFFF"/>
              <w:bottom w:val="nil"/>
            </w:tcBorders>
            <w:shd w:val="clear" w:color="auto" w:fill="00AF50"/>
          </w:tcPr>
          <w:p w14:paraId="2443D031" w14:textId="77777777" w:rsidR="00141B97" w:rsidRDefault="00141B97">
            <w:pPr>
              <w:pStyle w:val="TableParagraph"/>
              <w:rPr>
                <w:rFonts w:ascii="Times New Roman"/>
                <w:sz w:val="20"/>
              </w:rPr>
            </w:pPr>
          </w:p>
        </w:tc>
        <w:tc>
          <w:tcPr>
            <w:tcW w:w="677" w:type="dxa"/>
            <w:tcBorders>
              <w:bottom w:val="nil"/>
              <w:right w:val="nil"/>
            </w:tcBorders>
            <w:shd w:val="clear" w:color="auto" w:fill="BEBEBE"/>
          </w:tcPr>
          <w:p w14:paraId="5896BA72" w14:textId="77777777" w:rsidR="00141B97" w:rsidRDefault="00141B97">
            <w:pPr>
              <w:pStyle w:val="TableParagraph"/>
              <w:rPr>
                <w:rFonts w:ascii="Times New Roman"/>
                <w:sz w:val="20"/>
              </w:rPr>
            </w:pPr>
          </w:p>
        </w:tc>
      </w:tr>
    </w:tbl>
    <w:p w14:paraId="041CF524" w14:textId="77777777" w:rsidR="00141B97" w:rsidRDefault="00911D63">
      <w:pPr>
        <w:spacing w:before="91"/>
        <w:ind w:left="112"/>
        <w:jc w:val="both"/>
        <w:rPr>
          <w:sz w:val="16"/>
        </w:rPr>
      </w:pPr>
      <w:r>
        <w:rPr>
          <w:sz w:val="16"/>
        </w:rPr>
        <w:t>Table</w:t>
      </w:r>
      <w:r>
        <w:rPr>
          <w:spacing w:val="-5"/>
          <w:sz w:val="16"/>
        </w:rPr>
        <w:t xml:space="preserve"> </w:t>
      </w:r>
      <w:r>
        <w:rPr>
          <w:sz w:val="16"/>
        </w:rPr>
        <w:t>ES2:</w:t>
      </w:r>
      <w:r>
        <w:rPr>
          <w:spacing w:val="-3"/>
          <w:sz w:val="16"/>
        </w:rPr>
        <w:t xml:space="preserve"> </w:t>
      </w:r>
      <w:r>
        <w:rPr>
          <w:sz w:val="16"/>
        </w:rPr>
        <w:t>Rural</w:t>
      </w:r>
      <w:r>
        <w:rPr>
          <w:spacing w:val="-3"/>
          <w:sz w:val="16"/>
        </w:rPr>
        <w:t xml:space="preserve"> </w:t>
      </w:r>
      <w:r>
        <w:rPr>
          <w:sz w:val="16"/>
        </w:rPr>
        <w:t>PS4</w:t>
      </w:r>
      <w:r>
        <w:rPr>
          <w:spacing w:val="-4"/>
          <w:sz w:val="16"/>
        </w:rPr>
        <w:t xml:space="preserve"> </w:t>
      </w:r>
      <w:r>
        <w:rPr>
          <w:sz w:val="16"/>
        </w:rPr>
        <w:t>Performance</w:t>
      </w:r>
      <w:r>
        <w:rPr>
          <w:spacing w:val="-4"/>
          <w:sz w:val="16"/>
        </w:rPr>
        <w:t xml:space="preserve"> </w:t>
      </w:r>
      <w:r>
        <w:rPr>
          <w:spacing w:val="-2"/>
          <w:sz w:val="16"/>
        </w:rPr>
        <w:t>Outcomes</w:t>
      </w:r>
    </w:p>
    <w:p w14:paraId="65F51056" w14:textId="77777777" w:rsidR="00141B97" w:rsidRDefault="00141B97">
      <w:pPr>
        <w:pStyle w:val="BodyText"/>
        <w:spacing w:before="2"/>
        <w:rPr>
          <w:sz w:val="23"/>
        </w:rPr>
      </w:pPr>
    </w:p>
    <w:p w14:paraId="05809E2B" w14:textId="77777777" w:rsidR="00141B97" w:rsidRDefault="00911D63">
      <w:pPr>
        <w:pStyle w:val="ListParagraph"/>
        <w:numPr>
          <w:ilvl w:val="0"/>
          <w:numId w:val="119"/>
        </w:numPr>
        <w:tabs>
          <w:tab w:val="left" w:pos="833"/>
        </w:tabs>
        <w:ind w:left="832" w:right="106" w:hanging="360"/>
        <w:jc w:val="both"/>
      </w:pPr>
      <w:r>
        <w:t>Total</w:t>
      </w:r>
      <w:r>
        <w:rPr>
          <w:spacing w:val="-11"/>
        </w:rPr>
        <w:t xml:space="preserve"> </w:t>
      </w:r>
      <w:r>
        <w:t>revenue</w:t>
      </w:r>
      <w:r>
        <w:rPr>
          <w:spacing w:val="-9"/>
        </w:rPr>
        <w:t xml:space="preserve"> </w:t>
      </w:r>
      <w:r>
        <w:t>was</w:t>
      </w:r>
      <w:r>
        <w:rPr>
          <w:spacing w:val="-10"/>
        </w:rPr>
        <w:t xml:space="preserve"> </w:t>
      </w:r>
      <w:r>
        <w:t>very</w:t>
      </w:r>
      <w:r>
        <w:rPr>
          <w:spacing w:val="-9"/>
        </w:rPr>
        <w:t xml:space="preserve"> </w:t>
      </w:r>
      <w:r>
        <w:t>close</w:t>
      </w:r>
      <w:r>
        <w:rPr>
          <w:spacing w:val="-9"/>
        </w:rPr>
        <w:t xml:space="preserve"> </w:t>
      </w:r>
      <w:r>
        <w:t>to</w:t>
      </w:r>
      <w:r>
        <w:rPr>
          <w:spacing w:val="-11"/>
        </w:rPr>
        <w:t xml:space="preserve"> </w:t>
      </w:r>
      <w:r>
        <w:t>the</w:t>
      </w:r>
      <w:r>
        <w:rPr>
          <w:spacing w:val="-11"/>
        </w:rPr>
        <w:t xml:space="preserve"> </w:t>
      </w:r>
      <w:r>
        <w:t>prescribed</w:t>
      </w:r>
      <w:r>
        <w:rPr>
          <w:spacing w:val="-11"/>
        </w:rPr>
        <w:t xml:space="preserve"> </w:t>
      </w:r>
      <w:r>
        <w:t>revenues</w:t>
      </w:r>
      <w:r>
        <w:rPr>
          <w:spacing w:val="-9"/>
        </w:rPr>
        <w:t xml:space="preserve"> </w:t>
      </w:r>
      <w:r>
        <w:t>approved</w:t>
      </w:r>
      <w:r>
        <w:rPr>
          <w:spacing w:val="-11"/>
        </w:rPr>
        <w:t xml:space="preserve"> </w:t>
      </w:r>
      <w:r>
        <w:t>in</w:t>
      </w:r>
      <w:r>
        <w:rPr>
          <w:spacing w:val="-11"/>
        </w:rPr>
        <w:t xml:space="preserve"> </w:t>
      </w:r>
      <w:r>
        <w:t>PS4.</w:t>
      </w:r>
      <w:r>
        <w:rPr>
          <w:spacing w:val="-13"/>
        </w:rPr>
        <w:t xml:space="preserve"> </w:t>
      </w:r>
      <w:r>
        <w:t>This</w:t>
      </w:r>
      <w:r>
        <w:rPr>
          <w:spacing w:val="-10"/>
        </w:rPr>
        <w:t xml:space="preserve"> </w:t>
      </w:r>
      <w:r>
        <w:t>included</w:t>
      </w:r>
      <w:r>
        <w:rPr>
          <w:spacing w:val="-11"/>
        </w:rPr>
        <w:t xml:space="preserve"> </w:t>
      </w:r>
      <w:r>
        <w:t>additional</w:t>
      </w:r>
      <w:r>
        <w:rPr>
          <w:spacing w:val="-10"/>
        </w:rPr>
        <w:t xml:space="preserve"> </w:t>
      </w:r>
      <w:r>
        <w:t>revenues government and proceeds from insurance, offset by reduced irrigation volumetric charges.</w:t>
      </w:r>
      <w:r>
        <w:rPr>
          <w:spacing w:val="-2"/>
        </w:rPr>
        <w:t xml:space="preserve"> </w:t>
      </w:r>
      <w:r>
        <w:t xml:space="preserve">Charges were kept at approved price path levels for all irrigation districts in the first 2 years of the price period, with reductions in charges occurring for most districts in years 2020-21 and 2021-22 due to SMP2 rebates and </w:t>
      </w:r>
      <w:r>
        <w:rPr>
          <w:spacing w:val="-2"/>
        </w:rPr>
        <w:t>adjustments.</w:t>
      </w:r>
    </w:p>
    <w:p w14:paraId="324092D1" w14:textId="77777777" w:rsidR="00141B97" w:rsidRDefault="00911D63">
      <w:pPr>
        <w:pStyle w:val="ListParagraph"/>
        <w:numPr>
          <w:ilvl w:val="0"/>
          <w:numId w:val="119"/>
        </w:numPr>
        <w:tabs>
          <w:tab w:val="left" w:pos="833"/>
        </w:tabs>
        <w:spacing w:before="1"/>
        <w:ind w:left="832" w:right="106" w:hanging="360"/>
        <w:jc w:val="both"/>
      </w:pPr>
      <w:r>
        <w:t>Total prescribed operating expenditure at $94.1m was $5.2m or 5.9% above budget for the PS4 period to date. Increased opex was primarily driven by labour costs required to maintain service delivery and meet compliance</w:t>
      </w:r>
      <w:r>
        <w:rPr>
          <w:spacing w:val="-2"/>
        </w:rPr>
        <w:t xml:space="preserve"> </w:t>
      </w:r>
      <w:r>
        <w:t>requirements,</w:t>
      </w:r>
      <w:r>
        <w:rPr>
          <w:spacing w:val="-2"/>
        </w:rPr>
        <w:t xml:space="preserve"> </w:t>
      </w:r>
      <w:r>
        <w:t>increased</w:t>
      </w:r>
      <w:r>
        <w:rPr>
          <w:spacing w:val="-2"/>
        </w:rPr>
        <w:t xml:space="preserve"> </w:t>
      </w:r>
      <w:r>
        <w:t>software costs</w:t>
      </w:r>
      <w:r>
        <w:rPr>
          <w:spacing w:val="-4"/>
        </w:rPr>
        <w:t xml:space="preserve"> </w:t>
      </w:r>
      <w:r>
        <w:t>from increased</w:t>
      </w:r>
      <w:r>
        <w:rPr>
          <w:spacing w:val="-2"/>
        </w:rPr>
        <w:t xml:space="preserve"> </w:t>
      </w:r>
      <w:r>
        <w:t>digitisation and the</w:t>
      </w:r>
      <w:r>
        <w:rPr>
          <w:spacing w:val="-2"/>
        </w:rPr>
        <w:t xml:space="preserve"> </w:t>
      </w:r>
      <w:r>
        <w:t>move to</w:t>
      </w:r>
      <w:r>
        <w:rPr>
          <w:spacing w:val="-3"/>
        </w:rPr>
        <w:t xml:space="preserve"> </w:t>
      </w:r>
      <w:r>
        <w:t>Software- as-a-Service</w:t>
      </w:r>
      <w:r>
        <w:rPr>
          <w:spacing w:val="-13"/>
        </w:rPr>
        <w:t xml:space="preserve"> </w:t>
      </w:r>
      <w:r>
        <w:t>(SaaS),</w:t>
      </w:r>
      <w:r>
        <w:rPr>
          <w:spacing w:val="-11"/>
        </w:rPr>
        <w:t xml:space="preserve"> </w:t>
      </w:r>
      <w:r>
        <w:t>and</w:t>
      </w:r>
      <w:r>
        <w:rPr>
          <w:spacing w:val="-12"/>
        </w:rPr>
        <w:t xml:space="preserve"> </w:t>
      </w:r>
      <w:r>
        <w:t>pandemic-related</w:t>
      </w:r>
      <w:r>
        <w:rPr>
          <w:spacing w:val="-12"/>
        </w:rPr>
        <w:t xml:space="preserve"> </w:t>
      </w:r>
      <w:r>
        <w:t>impacts</w:t>
      </w:r>
      <w:r>
        <w:rPr>
          <w:spacing w:val="-9"/>
        </w:rPr>
        <w:t xml:space="preserve"> </w:t>
      </w:r>
      <w:r>
        <w:t>and</w:t>
      </w:r>
      <w:r>
        <w:rPr>
          <w:spacing w:val="-13"/>
        </w:rPr>
        <w:t xml:space="preserve"> </w:t>
      </w:r>
      <w:r>
        <w:t>measures.</w:t>
      </w:r>
      <w:r>
        <w:rPr>
          <w:spacing w:val="-11"/>
        </w:rPr>
        <w:t xml:space="preserve"> </w:t>
      </w:r>
      <w:r>
        <w:t>Against</w:t>
      </w:r>
      <w:r>
        <w:rPr>
          <w:spacing w:val="-10"/>
        </w:rPr>
        <w:t xml:space="preserve"> </w:t>
      </w:r>
      <w:r>
        <w:t>this,</w:t>
      </w:r>
      <w:r>
        <w:rPr>
          <w:spacing w:val="-11"/>
        </w:rPr>
        <w:t xml:space="preserve"> </w:t>
      </w:r>
      <w:r>
        <w:t>electricity</w:t>
      </w:r>
      <w:r>
        <w:rPr>
          <w:spacing w:val="-9"/>
        </w:rPr>
        <w:t xml:space="preserve"> </w:t>
      </w:r>
      <w:r>
        <w:t>costs</w:t>
      </w:r>
      <w:r>
        <w:rPr>
          <w:spacing w:val="-11"/>
        </w:rPr>
        <w:t xml:space="preserve"> </w:t>
      </w:r>
      <w:r>
        <w:t>reduced</w:t>
      </w:r>
      <w:r>
        <w:rPr>
          <w:spacing w:val="-12"/>
        </w:rPr>
        <w:t xml:space="preserve"> </w:t>
      </w:r>
      <w:r>
        <w:t>due to reduced energy prices and a decrease in volumetric usage demand for irrigation.</w:t>
      </w:r>
    </w:p>
    <w:p w14:paraId="724D226E" w14:textId="77777777" w:rsidR="00141B97" w:rsidRDefault="00911D63">
      <w:pPr>
        <w:pStyle w:val="ListParagraph"/>
        <w:numPr>
          <w:ilvl w:val="0"/>
          <w:numId w:val="119"/>
        </w:numPr>
        <w:tabs>
          <w:tab w:val="left" w:pos="833"/>
        </w:tabs>
        <w:ind w:left="832" w:right="108"/>
        <w:jc w:val="both"/>
      </w:pPr>
      <w:r>
        <w:t>Delivery of the rural capex program has been achieved to within 2% of budget to date and is on track to achieve</w:t>
      </w:r>
      <w:r>
        <w:rPr>
          <w:spacing w:val="-8"/>
        </w:rPr>
        <w:t xml:space="preserve"> </w:t>
      </w:r>
      <w:r>
        <w:t>delivery</w:t>
      </w:r>
      <w:r>
        <w:rPr>
          <w:spacing w:val="-6"/>
        </w:rPr>
        <w:t xml:space="preserve"> </w:t>
      </w:r>
      <w:r>
        <w:t>within</w:t>
      </w:r>
      <w:r>
        <w:rPr>
          <w:spacing w:val="-9"/>
        </w:rPr>
        <w:t xml:space="preserve"> </w:t>
      </w:r>
      <w:r>
        <w:t>1%</w:t>
      </w:r>
      <w:r>
        <w:rPr>
          <w:spacing w:val="-9"/>
        </w:rPr>
        <w:t xml:space="preserve"> </w:t>
      </w:r>
      <w:r>
        <w:t>of</w:t>
      </w:r>
      <w:r>
        <w:rPr>
          <w:spacing w:val="-5"/>
        </w:rPr>
        <w:t xml:space="preserve"> </w:t>
      </w:r>
      <w:r>
        <w:t>budget</w:t>
      </w:r>
      <w:r>
        <w:rPr>
          <w:spacing w:val="-7"/>
        </w:rPr>
        <w:t xml:space="preserve"> </w:t>
      </w:r>
      <w:r>
        <w:t>by</w:t>
      </w:r>
      <w:r>
        <w:rPr>
          <w:spacing w:val="-6"/>
        </w:rPr>
        <w:t xml:space="preserve"> </w:t>
      </w:r>
      <w:r>
        <w:t>the</w:t>
      </w:r>
      <w:r>
        <w:rPr>
          <w:spacing w:val="-5"/>
        </w:rPr>
        <w:t xml:space="preserve"> </w:t>
      </w:r>
      <w:r>
        <w:t>end</w:t>
      </w:r>
      <w:r>
        <w:rPr>
          <w:spacing w:val="-9"/>
        </w:rPr>
        <w:t xml:space="preserve"> </w:t>
      </w:r>
      <w:r>
        <w:t>of</w:t>
      </w:r>
      <w:r>
        <w:rPr>
          <w:spacing w:val="-5"/>
        </w:rPr>
        <w:t xml:space="preserve"> </w:t>
      </w:r>
      <w:r>
        <w:t>the</w:t>
      </w:r>
      <w:r>
        <w:rPr>
          <w:spacing w:val="-8"/>
        </w:rPr>
        <w:t xml:space="preserve"> </w:t>
      </w:r>
      <w:r>
        <w:t>period.</w:t>
      </w:r>
      <w:r>
        <w:rPr>
          <w:spacing w:val="-8"/>
        </w:rPr>
        <w:t xml:space="preserve"> </w:t>
      </w:r>
      <w:r>
        <w:t>New</w:t>
      </w:r>
      <w:r>
        <w:rPr>
          <w:spacing w:val="-7"/>
        </w:rPr>
        <w:t xml:space="preserve"> </w:t>
      </w:r>
      <w:r>
        <w:t>requirements</w:t>
      </w:r>
      <w:r>
        <w:rPr>
          <w:spacing w:val="-5"/>
        </w:rPr>
        <w:t xml:space="preserve"> </w:t>
      </w:r>
      <w:r>
        <w:t>to</w:t>
      </w:r>
      <w:r>
        <w:rPr>
          <w:spacing w:val="-6"/>
        </w:rPr>
        <w:t xml:space="preserve"> </w:t>
      </w:r>
      <w:r>
        <w:t>install</w:t>
      </w:r>
      <w:r>
        <w:rPr>
          <w:spacing w:val="-7"/>
        </w:rPr>
        <w:t xml:space="preserve"> </w:t>
      </w:r>
      <w:r>
        <w:t>fish</w:t>
      </w:r>
      <w:r>
        <w:rPr>
          <w:spacing w:val="-6"/>
        </w:rPr>
        <w:t xml:space="preserve"> </w:t>
      </w:r>
      <w:r>
        <w:t>screens</w:t>
      </w:r>
      <w:r>
        <w:rPr>
          <w:spacing w:val="-6"/>
        </w:rPr>
        <w:t xml:space="preserve"> </w:t>
      </w:r>
      <w:r>
        <w:t>and NSW government regulatory requirements delayed the replacement of the Murray River Millewa Pump Station to the end of the PS4 period. The project has external funding attached and is forecast to be completed by the end of this period.</w:t>
      </w:r>
    </w:p>
    <w:p w14:paraId="142ED33E" w14:textId="77777777" w:rsidR="00141B97" w:rsidRDefault="00911D63">
      <w:pPr>
        <w:pStyle w:val="ListParagraph"/>
        <w:numPr>
          <w:ilvl w:val="0"/>
          <w:numId w:val="119"/>
        </w:numPr>
        <w:tabs>
          <w:tab w:val="left" w:pos="833"/>
        </w:tabs>
        <w:spacing w:line="279" w:lineRule="exact"/>
        <w:ind w:left="832"/>
        <w:jc w:val="both"/>
      </w:pPr>
      <w:r>
        <w:t>The</w:t>
      </w:r>
      <w:r>
        <w:rPr>
          <w:spacing w:val="-4"/>
        </w:rPr>
        <w:t xml:space="preserve"> </w:t>
      </w:r>
      <w:r>
        <w:t>two</w:t>
      </w:r>
      <w:r>
        <w:rPr>
          <w:spacing w:val="-5"/>
        </w:rPr>
        <w:t xml:space="preserve"> </w:t>
      </w:r>
      <w:r>
        <w:t>major</w:t>
      </w:r>
      <w:r>
        <w:rPr>
          <w:spacing w:val="-5"/>
        </w:rPr>
        <w:t xml:space="preserve"> </w:t>
      </w:r>
      <w:r>
        <w:t>projects</w:t>
      </w:r>
      <w:r>
        <w:rPr>
          <w:spacing w:val="-3"/>
        </w:rPr>
        <w:t xml:space="preserve"> </w:t>
      </w:r>
      <w:r>
        <w:t>have</w:t>
      </w:r>
      <w:r>
        <w:rPr>
          <w:spacing w:val="-2"/>
        </w:rPr>
        <w:t xml:space="preserve"> </w:t>
      </w:r>
      <w:r>
        <w:t>progressed</w:t>
      </w:r>
      <w:r>
        <w:rPr>
          <w:spacing w:val="-5"/>
        </w:rPr>
        <w:t xml:space="preserve"> </w:t>
      </w:r>
      <w:r>
        <w:t>on</w:t>
      </w:r>
      <w:r>
        <w:rPr>
          <w:spacing w:val="-4"/>
        </w:rPr>
        <w:t xml:space="preserve"> </w:t>
      </w:r>
      <w:r>
        <w:t>or</w:t>
      </w:r>
      <w:r>
        <w:rPr>
          <w:spacing w:val="-2"/>
        </w:rPr>
        <w:t xml:space="preserve"> </w:t>
      </w:r>
      <w:r>
        <w:t>close</w:t>
      </w:r>
      <w:r>
        <w:rPr>
          <w:spacing w:val="-4"/>
        </w:rPr>
        <w:t xml:space="preserve"> </w:t>
      </w:r>
      <w:r>
        <w:t>to</w:t>
      </w:r>
      <w:r>
        <w:rPr>
          <w:spacing w:val="-4"/>
        </w:rPr>
        <w:t xml:space="preserve"> </w:t>
      </w:r>
      <w:r>
        <w:rPr>
          <w:spacing w:val="-2"/>
        </w:rPr>
        <w:t>budget:</w:t>
      </w:r>
    </w:p>
    <w:p w14:paraId="636ABFF9" w14:textId="77777777" w:rsidR="00141B97" w:rsidRDefault="00911D63">
      <w:pPr>
        <w:pStyle w:val="ListParagraph"/>
        <w:numPr>
          <w:ilvl w:val="1"/>
          <w:numId w:val="119"/>
        </w:numPr>
        <w:tabs>
          <w:tab w:val="left" w:pos="1553"/>
        </w:tabs>
        <w:spacing w:before="3" w:line="235" w:lineRule="auto"/>
        <w:ind w:right="106"/>
        <w:jc w:val="both"/>
      </w:pPr>
      <w:r>
        <w:t>Irrigation mains replacement and channel lining projects within the rural pumped districts are on track to be achieved slightly below budget.</w:t>
      </w:r>
    </w:p>
    <w:p w14:paraId="1153941E" w14:textId="77777777" w:rsidR="00141B97" w:rsidRDefault="00911D63">
      <w:pPr>
        <w:pStyle w:val="ListParagraph"/>
        <w:numPr>
          <w:ilvl w:val="1"/>
          <w:numId w:val="119"/>
        </w:numPr>
        <w:tabs>
          <w:tab w:val="left" w:pos="1553"/>
        </w:tabs>
        <w:spacing w:before="2" w:line="237" w:lineRule="auto"/>
        <w:ind w:right="106"/>
        <w:jc w:val="both"/>
      </w:pPr>
      <w:r>
        <w:t>Mildura Central Pump Station was delayed to better align with irrigators’ water demand and was delivered</w:t>
      </w:r>
      <w:r>
        <w:rPr>
          <w:spacing w:val="-4"/>
        </w:rPr>
        <w:t xml:space="preserve"> </w:t>
      </w:r>
      <w:r>
        <w:t>slightly above</w:t>
      </w:r>
      <w:r>
        <w:rPr>
          <w:spacing w:val="-1"/>
        </w:rPr>
        <w:t xml:space="preserve"> </w:t>
      </w:r>
      <w:r>
        <w:t>budget</w:t>
      </w:r>
      <w:r>
        <w:rPr>
          <w:spacing w:val="-2"/>
        </w:rPr>
        <w:t xml:space="preserve"> </w:t>
      </w:r>
      <w:r>
        <w:t>due to</w:t>
      </w:r>
      <w:r>
        <w:rPr>
          <w:spacing w:val="-2"/>
        </w:rPr>
        <w:t xml:space="preserve"> </w:t>
      </w:r>
      <w:r>
        <w:t>minor</w:t>
      </w:r>
      <w:r>
        <w:rPr>
          <w:spacing w:val="-1"/>
        </w:rPr>
        <w:t xml:space="preserve"> </w:t>
      </w:r>
      <w:r>
        <w:t>scope changes</w:t>
      </w:r>
      <w:r>
        <w:rPr>
          <w:spacing w:val="-1"/>
        </w:rPr>
        <w:t xml:space="preserve"> </w:t>
      </w:r>
      <w:r>
        <w:t>aimed</w:t>
      </w:r>
      <w:r>
        <w:rPr>
          <w:spacing w:val="-1"/>
        </w:rPr>
        <w:t xml:space="preserve"> </w:t>
      </w:r>
      <w:r>
        <w:t>at</w:t>
      </w:r>
      <w:r>
        <w:rPr>
          <w:spacing w:val="-1"/>
        </w:rPr>
        <w:t xml:space="preserve"> </w:t>
      </w:r>
      <w:r>
        <w:t>delivering</w:t>
      </w:r>
      <w:r>
        <w:rPr>
          <w:spacing w:val="-2"/>
        </w:rPr>
        <w:t xml:space="preserve"> </w:t>
      </w:r>
      <w:r>
        <w:t>more</w:t>
      </w:r>
      <w:r>
        <w:rPr>
          <w:spacing w:val="-1"/>
        </w:rPr>
        <w:t xml:space="preserve"> </w:t>
      </w:r>
      <w:r>
        <w:t>reliable and lower life-cycle cost solution.</w:t>
      </w:r>
    </w:p>
    <w:p w14:paraId="4E660283" w14:textId="77777777" w:rsidR="00141B97" w:rsidRDefault="00141B97">
      <w:pPr>
        <w:pStyle w:val="BodyText"/>
        <w:spacing w:before="1"/>
      </w:pPr>
    </w:p>
    <w:p w14:paraId="3A7B3D99" w14:textId="77777777" w:rsidR="00141B97" w:rsidRDefault="00911D63">
      <w:pPr>
        <w:pStyle w:val="BodyText"/>
        <w:ind w:left="112"/>
        <w:jc w:val="both"/>
      </w:pPr>
      <w:r>
        <w:t>Management</w:t>
      </w:r>
      <w:r>
        <w:rPr>
          <w:spacing w:val="39"/>
        </w:rPr>
        <w:t xml:space="preserve"> </w:t>
      </w:r>
      <w:r>
        <w:t>Response</w:t>
      </w:r>
      <w:r>
        <w:rPr>
          <w:spacing w:val="39"/>
        </w:rPr>
        <w:t xml:space="preserve"> </w:t>
      </w:r>
      <w:r>
        <w:t>During</w:t>
      </w:r>
      <w:r>
        <w:rPr>
          <w:spacing w:val="39"/>
        </w:rPr>
        <w:t xml:space="preserve"> </w:t>
      </w:r>
      <w:r>
        <w:rPr>
          <w:spacing w:val="-5"/>
        </w:rPr>
        <w:t>PS4</w:t>
      </w:r>
    </w:p>
    <w:p w14:paraId="24F6E08A" w14:textId="77777777" w:rsidR="00141B97" w:rsidRDefault="00911D63">
      <w:pPr>
        <w:pStyle w:val="BodyText"/>
        <w:spacing w:before="1"/>
        <w:ind w:left="112" w:right="109"/>
        <w:jc w:val="both"/>
      </w:pPr>
      <w:r>
        <w:t>Management actions were implemented during the PS4 period seeking to address labour cost increases, and subsequently the business was restructured to ensure its long-term capability to efficiently deliver customer services and meet governance and compliance requirements. There was a focus on the following:</w:t>
      </w:r>
    </w:p>
    <w:p w14:paraId="2E10CC53" w14:textId="77777777" w:rsidR="00141B97" w:rsidRDefault="00911D63">
      <w:pPr>
        <w:pStyle w:val="ListParagraph"/>
        <w:numPr>
          <w:ilvl w:val="0"/>
          <w:numId w:val="119"/>
        </w:numPr>
        <w:tabs>
          <w:tab w:val="left" w:pos="833"/>
        </w:tabs>
        <w:ind w:left="832" w:right="111"/>
        <w:jc w:val="both"/>
      </w:pPr>
      <w:r>
        <w:t>LMW’s people, customer and stakeholder functions were reviewed and realigned to strengthen the link between internal and external customers.</w:t>
      </w:r>
    </w:p>
    <w:p w14:paraId="557B5CD9" w14:textId="77777777" w:rsidR="00141B97" w:rsidRDefault="00911D63">
      <w:pPr>
        <w:pStyle w:val="ListParagraph"/>
        <w:numPr>
          <w:ilvl w:val="0"/>
          <w:numId w:val="119"/>
        </w:numPr>
        <w:tabs>
          <w:tab w:val="left" w:pos="833"/>
        </w:tabs>
        <w:ind w:left="832" w:right="110"/>
        <w:jc w:val="both"/>
      </w:pPr>
      <w:r>
        <w:t>Safety remains a focus and, during the pandemic, new challenges to mental health and wellbeing were addressed to support staff.</w:t>
      </w:r>
    </w:p>
    <w:p w14:paraId="78A5E2B8" w14:textId="77777777" w:rsidR="00141B97" w:rsidRDefault="00911D63">
      <w:pPr>
        <w:pStyle w:val="ListParagraph"/>
        <w:numPr>
          <w:ilvl w:val="0"/>
          <w:numId w:val="119"/>
        </w:numPr>
        <w:tabs>
          <w:tab w:val="left" w:pos="833"/>
        </w:tabs>
        <w:ind w:left="832" w:right="108"/>
        <w:jc w:val="both"/>
      </w:pPr>
      <w:r>
        <w:t>The Business Transformation Program was reconfigured to address identified organisational systemic challenges</w:t>
      </w:r>
      <w:r>
        <w:rPr>
          <w:spacing w:val="-6"/>
        </w:rPr>
        <w:t xml:space="preserve"> </w:t>
      </w:r>
      <w:r>
        <w:t>and</w:t>
      </w:r>
      <w:r>
        <w:rPr>
          <w:spacing w:val="-6"/>
        </w:rPr>
        <w:t xml:space="preserve"> </w:t>
      </w:r>
      <w:r>
        <w:t>to</w:t>
      </w:r>
      <w:r>
        <w:rPr>
          <w:spacing w:val="-6"/>
        </w:rPr>
        <w:t xml:space="preserve"> </w:t>
      </w:r>
      <w:r>
        <w:t>bring</w:t>
      </w:r>
      <w:r>
        <w:rPr>
          <w:spacing w:val="-7"/>
        </w:rPr>
        <w:t xml:space="preserve"> </w:t>
      </w:r>
      <w:r>
        <w:t>to</w:t>
      </w:r>
      <w:r>
        <w:rPr>
          <w:spacing w:val="-4"/>
        </w:rPr>
        <w:t xml:space="preserve"> </w:t>
      </w:r>
      <w:r>
        <w:t>life</w:t>
      </w:r>
      <w:r>
        <w:rPr>
          <w:spacing w:val="-5"/>
        </w:rPr>
        <w:t xml:space="preserve"> </w:t>
      </w:r>
      <w:r>
        <w:t>the</w:t>
      </w:r>
      <w:r>
        <w:rPr>
          <w:spacing w:val="-5"/>
        </w:rPr>
        <w:t xml:space="preserve"> </w:t>
      </w:r>
      <w:r>
        <w:t>desire</w:t>
      </w:r>
      <w:r>
        <w:rPr>
          <w:spacing w:val="-5"/>
        </w:rPr>
        <w:t xml:space="preserve"> </w:t>
      </w:r>
      <w:r>
        <w:t>to</w:t>
      </w:r>
      <w:r>
        <w:rPr>
          <w:spacing w:val="-7"/>
        </w:rPr>
        <w:t xml:space="preserve"> </w:t>
      </w:r>
      <w:r>
        <w:t>have</w:t>
      </w:r>
      <w:r>
        <w:rPr>
          <w:spacing w:val="-8"/>
        </w:rPr>
        <w:t xml:space="preserve"> </w:t>
      </w:r>
      <w:r>
        <w:t>LMW’s</w:t>
      </w:r>
      <w:r>
        <w:rPr>
          <w:spacing w:val="-3"/>
        </w:rPr>
        <w:t xml:space="preserve"> </w:t>
      </w:r>
      <w:r>
        <w:t>customers</w:t>
      </w:r>
      <w:r>
        <w:rPr>
          <w:spacing w:val="-8"/>
        </w:rPr>
        <w:t xml:space="preserve"> </w:t>
      </w:r>
      <w:r>
        <w:t>‘at</w:t>
      </w:r>
      <w:r>
        <w:rPr>
          <w:spacing w:val="-5"/>
        </w:rPr>
        <w:t xml:space="preserve"> </w:t>
      </w:r>
      <w:r>
        <w:t>the</w:t>
      </w:r>
      <w:r>
        <w:rPr>
          <w:spacing w:val="-5"/>
        </w:rPr>
        <w:t xml:space="preserve"> </w:t>
      </w:r>
      <w:r>
        <w:t>centre</w:t>
      </w:r>
      <w:r>
        <w:rPr>
          <w:spacing w:val="-5"/>
        </w:rPr>
        <w:t xml:space="preserve"> </w:t>
      </w:r>
      <w:r>
        <w:t>of</w:t>
      </w:r>
      <w:r>
        <w:rPr>
          <w:spacing w:val="-5"/>
        </w:rPr>
        <w:t xml:space="preserve"> </w:t>
      </w:r>
      <w:r>
        <w:t>everything</w:t>
      </w:r>
      <w:r>
        <w:rPr>
          <w:spacing w:val="-7"/>
        </w:rPr>
        <w:t xml:space="preserve"> </w:t>
      </w:r>
      <w:r>
        <w:t>we</w:t>
      </w:r>
      <w:r>
        <w:rPr>
          <w:spacing w:val="-5"/>
        </w:rPr>
        <w:t xml:space="preserve"> </w:t>
      </w:r>
      <w:r>
        <w:t>do’.</w:t>
      </w:r>
      <w:r>
        <w:rPr>
          <w:spacing w:val="-5"/>
        </w:rPr>
        <w:t xml:space="preserve"> </w:t>
      </w:r>
      <w:r>
        <w:t>This included a new customer relationship management and billing engine, which will enable online billing and payment services through an interactive portal by the end of the current period.</w:t>
      </w:r>
    </w:p>
    <w:p w14:paraId="0EF7B0A5" w14:textId="77777777" w:rsidR="00141B97" w:rsidRDefault="00141B97">
      <w:pPr>
        <w:pStyle w:val="BodyText"/>
        <w:spacing w:before="10"/>
        <w:rPr>
          <w:sz w:val="21"/>
        </w:rPr>
      </w:pPr>
    </w:p>
    <w:p w14:paraId="4F4070E6" w14:textId="77777777" w:rsidR="00141B97" w:rsidRDefault="00911D63">
      <w:pPr>
        <w:pStyle w:val="BodyText"/>
        <w:spacing w:before="1"/>
        <w:ind w:left="112" w:right="107"/>
        <w:jc w:val="both"/>
      </w:pPr>
      <w:r>
        <w:t>Collectively,</w:t>
      </w:r>
      <w:r>
        <w:rPr>
          <w:spacing w:val="-1"/>
        </w:rPr>
        <w:t xml:space="preserve"> </w:t>
      </w:r>
      <w:r>
        <w:t>all efforts</w:t>
      </w:r>
      <w:r>
        <w:rPr>
          <w:spacing w:val="-1"/>
        </w:rPr>
        <w:t xml:space="preserve"> </w:t>
      </w:r>
      <w:r>
        <w:t>have</w:t>
      </w:r>
      <w:r>
        <w:rPr>
          <w:spacing w:val="-1"/>
        </w:rPr>
        <w:t xml:space="preserve"> </w:t>
      </w:r>
      <w:r>
        <w:t>been</w:t>
      </w:r>
      <w:r>
        <w:rPr>
          <w:spacing w:val="-1"/>
        </w:rPr>
        <w:t xml:space="preserve"> </w:t>
      </w:r>
      <w:r>
        <w:t>made</w:t>
      </w:r>
      <w:r>
        <w:rPr>
          <w:spacing w:val="-1"/>
        </w:rPr>
        <w:t xml:space="preserve"> </w:t>
      </w:r>
      <w:r>
        <w:t>to</w:t>
      </w:r>
      <w:r>
        <w:rPr>
          <w:spacing w:val="-2"/>
        </w:rPr>
        <w:t xml:space="preserve"> </w:t>
      </w:r>
      <w:r>
        <w:t>ensure that</w:t>
      </w:r>
      <w:r>
        <w:rPr>
          <w:spacing w:val="-2"/>
        </w:rPr>
        <w:t xml:space="preserve"> </w:t>
      </w:r>
      <w:r>
        <w:t>LMW</w:t>
      </w:r>
      <w:r>
        <w:rPr>
          <w:spacing w:val="-2"/>
        </w:rPr>
        <w:t xml:space="preserve"> </w:t>
      </w:r>
      <w:r>
        <w:t>operates</w:t>
      </w:r>
      <w:r>
        <w:rPr>
          <w:spacing w:val="-1"/>
        </w:rPr>
        <w:t xml:space="preserve"> </w:t>
      </w:r>
      <w:r>
        <w:t>as an</w:t>
      </w:r>
      <w:r>
        <w:rPr>
          <w:spacing w:val="-1"/>
        </w:rPr>
        <w:t xml:space="preserve"> </w:t>
      </w:r>
      <w:r>
        <w:t>efficient business.</w:t>
      </w:r>
      <w:r>
        <w:rPr>
          <w:spacing w:val="-1"/>
        </w:rPr>
        <w:t xml:space="preserve"> </w:t>
      </w:r>
      <w:r>
        <w:t>This is confirmed</w:t>
      </w:r>
      <w:r>
        <w:rPr>
          <w:spacing w:val="-2"/>
        </w:rPr>
        <w:t xml:space="preserve"> </w:t>
      </w:r>
      <w:r>
        <w:t>by operational</w:t>
      </w:r>
      <w:r>
        <w:rPr>
          <w:spacing w:val="-3"/>
        </w:rPr>
        <w:t xml:space="preserve"> </w:t>
      </w:r>
      <w:r>
        <w:t>benchmarking</w:t>
      </w:r>
      <w:r>
        <w:rPr>
          <w:spacing w:val="-5"/>
        </w:rPr>
        <w:t xml:space="preserve"> </w:t>
      </w:r>
      <w:r>
        <w:t>work</w:t>
      </w:r>
      <w:r>
        <w:rPr>
          <w:spacing w:val="-1"/>
        </w:rPr>
        <w:t xml:space="preserve"> </w:t>
      </w:r>
      <w:r>
        <w:t>comparing</w:t>
      </w:r>
      <w:r>
        <w:rPr>
          <w:spacing w:val="-5"/>
        </w:rPr>
        <w:t xml:space="preserve"> </w:t>
      </w:r>
      <w:r>
        <w:t>LMW</w:t>
      </w:r>
      <w:r>
        <w:rPr>
          <w:spacing w:val="-4"/>
        </w:rPr>
        <w:t xml:space="preserve"> </w:t>
      </w:r>
      <w:r>
        <w:t>to</w:t>
      </w:r>
      <w:r>
        <w:rPr>
          <w:spacing w:val="-2"/>
        </w:rPr>
        <w:t xml:space="preserve"> </w:t>
      </w:r>
      <w:r>
        <w:t>its</w:t>
      </w:r>
      <w:r>
        <w:rPr>
          <w:spacing w:val="-3"/>
        </w:rPr>
        <w:t xml:space="preserve"> </w:t>
      </w:r>
      <w:r>
        <w:t>peers,</w:t>
      </w:r>
      <w:r>
        <w:rPr>
          <w:spacing w:val="-1"/>
        </w:rPr>
        <w:t xml:space="preserve"> </w:t>
      </w:r>
      <w:r>
        <w:t>demonstrating</w:t>
      </w:r>
      <w:r>
        <w:rPr>
          <w:spacing w:val="-2"/>
        </w:rPr>
        <w:t xml:space="preserve"> </w:t>
      </w:r>
      <w:r>
        <w:t>LMW</w:t>
      </w:r>
      <w:r>
        <w:rPr>
          <w:spacing w:val="-2"/>
        </w:rPr>
        <w:t xml:space="preserve"> </w:t>
      </w:r>
      <w:r>
        <w:t>is</w:t>
      </w:r>
      <w:r>
        <w:rPr>
          <w:spacing w:val="-1"/>
        </w:rPr>
        <w:t xml:space="preserve"> </w:t>
      </w:r>
      <w:r>
        <w:t>one</w:t>
      </w:r>
      <w:r>
        <w:rPr>
          <w:spacing w:val="-3"/>
        </w:rPr>
        <w:t xml:space="preserve"> </w:t>
      </w:r>
      <w:r>
        <w:t>of,</w:t>
      </w:r>
      <w:r>
        <w:rPr>
          <w:spacing w:val="-1"/>
        </w:rPr>
        <w:t xml:space="preserve"> </w:t>
      </w:r>
      <w:r>
        <w:t>if</w:t>
      </w:r>
      <w:r>
        <w:rPr>
          <w:spacing w:val="-1"/>
        </w:rPr>
        <w:t xml:space="preserve"> </w:t>
      </w:r>
      <w:r>
        <w:t>not</w:t>
      </w:r>
      <w:r>
        <w:rPr>
          <w:spacing w:val="-2"/>
        </w:rPr>
        <w:t xml:space="preserve"> </w:t>
      </w:r>
      <w:r>
        <w:t>the,</w:t>
      </w:r>
      <w:r>
        <w:rPr>
          <w:spacing w:val="-1"/>
        </w:rPr>
        <w:t xml:space="preserve"> </w:t>
      </w:r>
      <w:r>
        <w:t>lowest</w:t>
      </w:r>
      <w:r>
        <w:rPr>
          <w:spacing w:val="-2"/>
        </w:rPr>
        <w:t xml:space="preserve"> </w:t>
      </w:r>
      <w:r>
        <w:t>cost urban water service provider in Victoria.</w:t>
      </w:r>
    </w:p>
    <w:p w14:paraId="763801EA" w14:textId="77777777" w:rsidR="00141B97" w:rsidRDefault="00141B97">
      <w:pPr>
        <w:jc w:val="both"/>
        <w:sectPr w:rsidR="00141B97">
          <w:pgSz w:w="12240" w:h="15840"/>
          <w:pgMar w:top="840" w:right="880" w:bottom="1200" w:left="1020" w:header="0" w:footer="1014" w:gutter="0"/>
          <w:cols w:space="720"/>
        </w:sectPr>
      </w:pPr>
    </w:p>
    <w:p w14:paraId="5DAE7075" w14:textId="77777777" w:rsidR="00141B97" w:rsidRDefault="00911D63">
      <w:pPr>
        <w:pStyle w:val="BodyText"/>
        <w:spacing w:before="29"/>
        <w:ind w:left="112" w:right="106"/>
        <w:jc w:val="both"/>
      </w:pPr>
      <w:r>
        <w:lastRenderedPageBreak/>
        <w:t>Service</w:t>
      </w:r>
      <w:r>
        <w:rPr>
          <w:spacing w:val="-2"/>
        </w:rPr>
        <w:t xml:space="preserve"> </w:t>
      </w:r>
      <w:r>
        <w:t>delivery</w:t>
      </w:r>
      <w:r>
        <w:rPr>
          <w:spacing w:val="-2"/>
        </w:rPr>
        <w:t xml:space="preserve"> </w:t>
      </w:r>
      <w:r>
        <w:t>improvements</w:t>
      </w:r>
      <w:r>
        <w:rPr>
          <w:spacing w:val="-2"/>
        </w:rPr>
        <w:t xml:space="preserve"> </w:t>
      </w:r>
      <w:r>
        <w:t>such</w:t>
      </w:r>
      <w:r>
        <w:rPr>
          <w:spacing w:val="-2"/>
        </w:rPr>
        <w:t xml:space="preserve"> </w:t>
      </w:r>
      <w:r>
        <w:t>as</w:t>
      </w:r>
      <w:r>
        <w:rPr>
          <w:spacing w:val="-2"/>
        </w:rPr>
        <w:t xml:space="preserve"> </w:t>
      </w:r>
      <w:r>
        <w:t>summer</w:t>
      </w:r>
      <w:r>
        <w:rPr>
          <w:spacing w:val="-2"/>
        </w:rPr>
        <w:t xml:space="preserve"> </w:t>
      </w:r>
      <w:r>
        <w:t>readiness</w:t>
      </w:r>
      <w:r>
        <w:rPr>
          <w:spacing w:val="-2"/>
        </w:rPr>
        <w:t xml:space="preserve"> </w:t>
      </w:r>
      <w:r>
        <w:t>programs</w:t>
      </w:r>
      <w:r>
        <w:rPr>
          <w:spacing w:val="-2"/>
        </w:rPr>
        <w:t xml:space="preserve"> </w:t>
      </w:r>
      <w:r>
        <w:t>have</w:t>
      </w:r>
      <w:r>
        <w:rPr>
          <w:spacing w:val="-2"/>
        </w:rPr>
        <w:t xml:space="preserve"> </w:t>
      </w:r>
      <w:r>
        <w:t>been</w:t>
      </w:r>
      <w:r>
        <w:rPr>
          <w:spacing w:val="-3"/>
        </w:rPr>
        <w:t xml:space="preserve"> </w:t>
      </w:r>
      <w:r>
        <w:t>implemented</w:t>
      </w:r>
      <w:r>
        <w:rPr>
          <w:spacing w:val="-3"/>
        </w:rPr>
        <w:t xml:space="preserve"> </w:t>
      </w:r>
      <w:r>
        <w:t>to</w:t>
      </w:r>
      <w:r>
        <w:rPr>
          <w:spacing w:val="-3"/>
        </w:rPr>
        <w:t xml:space="preserve"> </w:t>
      </w:r>
      <w:r>
        <w:t>improve</w:t>
      </w:r>
      <w:r>
        <w:rPr>
          <w:spacing w:val="-2"/>
        </w:rPr>
        <w:t xml:space="preserve"> </w:t>
      </w:r>
      <w:r>
        <w:t>resilience and reliability of both urban and rural networks and manage risks associated with raw water quality and asset capability during peak demand periods.</w:t>
      </w:r>
      <w:r>
        <w:rPr>
          <w:spacing w:val="-1"/>
        </w:rPr>
        <w:t xml:space="preserve"> </w:t>
      </w:r>
      <w:r>
        <w:t>For irrigation customers, attention to delivery share capability resulted in increased</w:t>
      </w:r>
      <w:r>
        <w:rPr>
          <w:spacing w:val="-10"/>
        </w:rPr>
        <w:t xml:space="preserve"> </w:t>
      </w:r>
      <w:r>
        <w:t>‘water</w:t>
      </w:r>
      <w:r>
        <w:rPr>
          <w:spacing w:val="-9"/>
        </w:rPr>
        <w:t xml:space="preserve"> </w:t>
      </w:r>
      <w:r>
        <w:t>orders’</w:t>
      </w:r>
      <w:r>
        <w:rPr>
          <w:spacing w:val="-6"/>
        </w:rPr>
        <w:t xml:space="preserve"> </w:t>
      </w:r>
      <w:r>
        <w:t>availability</w:t>
      </w:r>
      <w:r>
        <w:rPr>
          <w:spacing w:val="-6"/>
        </w:rPr>
        <w:t xml:space="preserve"> </w:t>
      </w:r>
      <w:r>
        <w:t>for</w:t>
      </w:r>
      <w:r>
        <w:rPr>
          <w:spacing w:val="-7"/>
        </w:rPr>
        <w:t xml:space="preserve"> </w:t>
      </w:r>
      <w:r>
        <w:t>Red</w:t>
      </w:r>
      <w:r>
        <w:rPr>
          <w:spacing w:val="-10"/>
        </w:rPr>
        <w:t xml:space="preserve"> </w:t>
      </w:r>
      <w:r>
        <w:t>Cliffs</w:t>
      </w:r>
      <w:r>
        <w:rPr>
          <w:spacing w:val="-7"/>
        </w:rPr>
        <w:t xml:space="preserve"> </w:t>
      </w:r>
      <w:r>
        <w:t>customers</w:t>
      </w:r>
      <w:r>
        <w:rPr>
          <w:spacing w:val="-7"/>
        </w:rPr>
        <w:t xml:space="preserve"> </w:t>
      </w:r>
      <w:r>
        <w:t>in</w:t>
      </w:r>
      <w:r>
        <w:rPr>
          <w:spacing w:val="-7"/>
        </w:rPr>
        <w:t xml:space="preserve"> </w:t>
      </w:r>
      <w:r>
        <w:t>response</w:t>
      </w:r>
      <w:r>
        <w:rPr>
          <w:spacing w:val="-6"/>
        </w:rPr>
        <w:t xml:space="preserve"> </w:t>
      </w:r>
      <w:r>
        <w:t>to</w:t>
      </w:r>
      <w:r>
        <w:rPr>
          <w:spacing w:val="-7"/>
        </w:rPr>
        <w:t xml:space="preserve"> </w:t>
      </w:r>
      <w:r>
        <w:t>this</w:t>
      </w:r>
      <w:r>
        <w:rPr>
          <w:spacing w:val="-9"/>
        </w:rPr>
        <w:t xml:space="preserve"> </w:t>
      </w:r>
      <w:r>
        <w:t>district’s</w:t>
      </w:r>
      <w:r>
        <w:rPr>
          <w:spacing w:val="-9"/>
        </w:rPr>
        <w:t xml:space="preserve"> </w:t>
      </w:r>
      <w:r>
        <w:t>on-farm</w:t>
      </w:r>
      <w:r>
        <w:rPr>
          <w:spacing w:val="-9"/>
        </w:rPr>
        <w:t xml:space="preserve"> </w:t>
      </w:r>
      <w:r>
        <w:t>renewal.</w:t>
      </w:r>
      <w:r>
        <w:rPr>
          <w:spacing w:val="-9"/>
        </w:rPr>
        <w:t xml:space="preserve"> </w:t>
      </w:r>
      <w:r>
        <w:t>Similarly, the SMP2 project brought benefits to customers in shared rebates and lower tariffs, and a focus on the Minister’s Zero Tolerance of Water Theft has resulted in approximately 90% reduction in unauthorised use.</w:t>
      </w:r>
    </w:p>
    <w:p w14:paraId="081D1B7D" w14:textId="77777777" w:rsidR="00141B97" w:rsidRDefault="00141B97">
      <w:pPr>
        <w:pStyle w:val="BodyText"/>
        <w:spacing w:before="2"/>
      </w:pPr>
    </w:p>
    <w:p w14:paraId="5FB43BDC" w14:textId="77777777" w:rsidR="00141B97" w:rsidRDefault="00911D63">
      <w:pPr>
        <w:pStyle w:val="Heading2"/>
        <w:ind w:left="112" w:firstLine="0"/>
        <w:jc w:val="both"/>
      </w:pPr>
      <w:r>
        <w:rPr>
          <w:color w:val="009BAC"/>
        </w:rPr>
        <w:t>Customer</w:t>
      </w:r>
      <w:r>
        <w:rPr>
          <w:color w:val="009BAC"/>
          <w:spacing w:val="-5"/>
        </w:rPr>
        <w:t xml:space="preserve"> </w:t>
      </w:r>
      <w:r>
        <w:rPr>
          <w:color w:val="009BAC"/>
        </w:rPr>
        <w:t>Outcomes</w:t>
      </w:r>
      <w:r>
        <w:rPr>
          <w:color w:val="009BAC"/>
          <w:spacing w:val="-7"/>
        </w:rPr>
        <w:t xml:space="preserve"> </w:t>
      </w:r>
      <w:r>
        <w:rPr>
          <w:color w:val="009BAC"/>
        </w:rPr>
        <w:t>and</w:t>
      </w:r>
      <w:r>
        <w:rPr>
          <w:color w:val="009BAC"/>
          <w:spacing w:val="-3"/>
        </w:rPr>
        <w:t xml:space="preserve"> </w:t>
      </w:r>
      <w:r>
        <w:rPr>
          <w:color w:val="009BAC"/>
          <w:spacing w:val="-2"/>
        </w:rPr>
        <w:t>Commitments</w:t>
      </w:r>
    </w:p>
    <w:p w14:paraId="206962A1" w14:textId="77777777" w:rsidR="00141B97" w:rsidRDefault="00911D63">
      <w:pPr>
        <w:pStyle w:val="BodyText"/>
        <w:spacing w:before="159"/>
        <w:ind w:left="112" w:right="108"/>
        <w:jc w:val="both"/>
      </w:pPr>
      <w:r>
        <w:t>The current period customer outcomes and their service performance to date were reported to customers and, with their expressed needs and priorities identified, revised customer outcomes were proposed for customer review.</w:t>
      </w:r>
      <w:r>
        <w:rPr>
          <w:spacing w:val="-4"/>
        </w:rPr>
        <w:t xml:space="preserve"> </w:t>
      </w:r>
      <w:r>
        <w:t>Proposed</w:t>
      </w:r>
      <w:r>
        <w:rPr>
          <w:spacing w:val="-7"/>
        </w:rPr>
        <w:t xml:space="preserve"> </w:t>
      </w:r>
      <w:r>
        <w:t>service</w:t>
      </w:r>
      <w:r>
        <w:rPr>
          <w:spacing w:val="-6"/>
        </w:rPr>
        <w:t xml:space="preserve"> </w:t>
      </w:r>
      <w:r>
        <w:t>performance</w:t>
      </w:r>
      <w:r>
        <w:rPr>
          <w:spacing w:val="-4"/>
        </w:rPr>
        <w:t xml:space="preserve"> </w:t>
      </w:r>
      <w:r>
        <w:t>targets</w:t>
      </w:r>
      <w:r>
        <w:rPr>
          <w:spacing w:val="-4"/>
        </w:rPr>
        <w:t xml:space="preserve"> </w:t>
      </w:r>
      <w:r>
        <w:t>as</w:t>
      </w:r>
      <w:r>
        <w:rPr>
          <w:spacing w:val="-4"/>
        </w:rPr>
        <w:t xml:space="preserve"> </w:t>
      </w:r>
      <w:r>
        <w:t>identified</w:t>
      </w:r>
      <w:r>
        <w:rPr>
          <w:spacing w:val="-5"/>
        </w:rPr>
        <w:t xml:space="preserve"> </w:t>
      </w:r>
      <w:r>
        <w:t>in</w:t>
      </w:r>
      <w:r>
        <w:rPr>
          <w:spacing w:val="-5"/>
        </w:rPr>
        <w:t xml:space="preserve"> </w:t>
      </w:r>
      <w:r>
        <w:t>Tables</w:t>
      </w:r>
      <w:r>
        <w:rPr>
          <w:spacing w:val="-4"/>
        </w:rPr>
        <w:t xml:space="preserve"> </w:t>
      </w:r>
      <w:r>
        <w:t>ES3</w:t>
      </w:r>
      <w:r>
        <w:rPr>
          <w:spacing w:val="-4"/>
        </w:rPr>
        <w:t xml:space="preserve"> </w:t>
      </w:r>
      <w:r>
        <w:t>and</w:t>
      </w:r>
      <w:r>
        <w:rPr>
          <w:spacing w:val="-5"/>
        </w:rPr>
        <w:t xml:space="preserve"> </w:t>
      </w:r>
      <w:r>
        <w:t>ES4</w:t>
      </w:r>
      <w:r>
        <w:rPr>
          <w:spacing w:val="-9"/>
        </w:rPr>
        <w:t xml:space="preserve"> </w:t>
      </w:r>
      <w:r>
        <w:t>overleaf</w:t>
      </w:r>
      <w:r>
        <w:rPr>
          <w:spacing w:val="-4"/>
        </w:rPr>
        <w:t xml:space="preserve"> </w:t>
      </w:r>
      <w:r>
        <w:t>were</w:t>
      </w:r>
      <w:r>
        <w:rPr>
          <w:spacing w:val="-4"/>
        </w:rPr>
        <w:t xml:space="preserve"> </w:t>
      </w:r>
      <w:r>
        <w:t>developed</w:t>
      </w:r>
      <w:r>
        <w:rPr>
          <w:spacing w:val="-5"/>
        </w:rPr>
        <w:t xml:space="preserve"> </w:t>
      </w:r>
      <w:r>
        <w:t>to</w:t>
      </w:r>
      <w:r>
        <w:rPr>
          <w:spacing w:val="-8"/>
        </w:rPr>
        <w:t xml:space="preserve"> </w:t>
      </w:r>
      <w:r>
        <w:t>meet these</w:t>
      </w:r>
      <w:r>
        <w:rPr>
          <w:spacing w:val="-13"/>
        </w:rPr>
        <w:t xml:space="preserve"> </w:t>
      </w:r>
      <w:r>
        <w:t>customer</w:t>
      </w:r>
      <w:r>
        <w:rPr>
          <w:spacing w:val="-12"/>
        </w:rPr>
        <w:t xml:space="preserve"> </w:t>
      </w:r>
      <w:r>
        <w:t>outcomes,</w:t>
      </w:r>
      <w:r>
        <w:rPr>
          <w:spacing w:val="-13"/>
        </w:rPr>
        <w:t xml:space="preserve"> </w:t>
      </w:r>
      <w:r>
        <w:t>along</w:t>
      </w:r>
      <w:r>
        <w:rPr>
          <w:spacing w:val="-12"/>
        </w:rPr>
        <w:t xml:space="preserve"> </w:t>
      </w:r>
      <w:r>
        <w:t>with</w:t>
      </w:r>
      <w:r>
        <w:rPr>
          <w:spacing w:val="-13"/>
        </w:rPr>
        <w:t xml:space="preserve"> </w:t>
      </w:r>
      <w:r>
        <w:t>the</w:t>
      </w:r>
      <w:r>
        <w:rPr>
          <w:spacing w:val="-12"/>
        </w:rPr>
        <w:t xml:space="preserve"> </w:t>
      </w:r>
      <w:r>
        <w:t>major</w:t>
      </w:r>
      <w:r>
        <w:rPr>
          <w:spacing w:val="-13"/>
        </w:rPr>
        <w:t xml:space="preserve"> </w:t>
      </w:r>
      <w:r>
        <w:t>operational</w:t>
      </w:r>
      <w:r>
        <w:rPr>
          <w:spacing w:val="-12"/>
        </w:rPr>
        <w:t xml:space="preserve"> </w:t>
      </w:r>
      <w:r>
        <w:t>programs</w:t>
      </w:r>
      <w:r>
        <w:rPr>
          <w:spacing w:val="-9"/>
        </w:rPr>
        <w:t xml:space="preserve"> </w:t>
      </w:r>
      <w:r>
        <w:t>and</w:t>
      </w:r>
      <w:r>
        <w:rPr>
          <w:spacing w:val="-11"/>
        </w:rPr>
        <w:t xml:space="preserve"> </w:t>
      </w:r>
      <w:r>
        <w:t>capital</w:t>
      </w:r>
      <w:r>
        <w:rPr>
          <w:spacing w:val="-13"/>
        </w:rPr>
        <w:t xml:space="preserve"> </w:t>
      </w:r>
      <w:r>
        <w:t>projects</w:t>
      </w:r>
      <w:r>
        <w:rPr>
          <w:spacing w:val="-12"/>
        </w:rPr>
        <w:t xml:space="preserve"> </w:t>
      </w:r>
      <w:r>
        <w:t>required</w:t>
      </w:r>
      <w:r>
        <w:rPr>
          <w:spacing w:val="-13"/>
        </w:rPr>
        <w:t xml:space="preserve"> </w:t>
      </w:r>
      <w:r>
        <w:t>to</w:t>
      </w:r>
      <w:r>
        <w:rPr>
          <w:spacing w:val="-12"/>
        </w:rPr>
        <w:t xml:space="preserve"> </w:t>
      </w:r>
      <w:r>
        <w:t>deliver</w:t>
      </w:r>
      <w:r>
        <w:rPr>
          <w:spacing w:val="-13"/>
        </w:rPr>
        <w:t xml:space="preserve"> </w:t>
      </w:r>
      <w:r>
        <w:t>them, and were reviewed, updated, and endorsed by customer representatives.</w:t>
      </w:r>
    </w:p>
    <w:p w14:paraId="05F9900F" w14:textId="77777777" w:rsidR="00141B97" w:rsidRDefault="00141B97">
      <w:pPr>
        <w:pStyle w:val="BodyText"/>
        <w:spacing w:before="11"/>
        <w:rPr>
          <w:sz w:val="21"/>
        </w:rPr>
      </w:pPr>
    </w:p>
    <w:p w14:paraId="5218538F" w14:textId="77777777" w:rsidR="00141B97" w:rsidRDefault="00911D63">
      <w:pPr>
        <w:pStyle w:val="BodyText"/>
        <w:spacing w:after="23"/>
        <w:ind w:left="112"/>
      </w:pPr>
      <w:r>
        <w:rPr>
          <w:spacing w:val="-4"/>
        </w:rPr>
        <w:t>Urban</w:t>
      </w:r>
    </w:p>
    <w:tbl>
      <w:tblPr>
        <w:tblW w:w="0" w:type="auto"/>
        <w:tblCellSpacing w:w="9" w:type="dxa"/>
        <w:tblInd w:w="130" w:type="dxa"/>
        <w:tblLayout w:type="fixed"/>
        <w:tblCellMar>
          <w:left w:w="0" w:type="dxa"/>
          <w:right w:w="0" w:type="dxa"/>
        </w:tblCellMar>
        <w:tblLook w:val="01E0" w:firstRow="1" w:lastRow="1" w:firstColumn="1" w:lastColumn="1" w:noHBand="0" w:noVBand="0"/>
      </w:tblPr>
      <w:tblGrid>
        <w:gridCol w:w="5025"/>
        <w:gridCol w:w="838"/>
        <w:gridCol w:w="906"/>
        <w:gridCol w:w="866"/>
        <w:gridCol w:w="865"/>
        <w:gridCol w:w="877"/>
        <w:gridCol w:w="861"/>
      </w:tblGrid>
      <w:tr w:rsidR="00141B97" w14:paraId="43B1C3AE" w14:textId="77777777">
        <w:trPr>
          <w:trHeight w:val="194"/>
          <w:tblCellSpacing w:w="9" w:type="dxa"/>
        </w:trPr>
        <w:tc>
          <w:tcPr>
            <w:tcW w:w="4998" w:type="dxa"/>
            <w:vMerge w:val="restart"/>
            <w:tcBorders>
              <w:top w:val="nil"/>
              <w:left w:val="nil"/>
              <w:right w:val="nil"/>
            </w:tcBorders>
            <w:shd w:val="clear" w:color="auto" w:fill="0064A3"/>
          </w:tcPr>
          <w:p w14:paraId="0A4A7310" w14:textId="77777777" w:rsidR="00141B97" w:rsidRDefault="00141B97">
            <w:pPr>
              <w:pStyle w:val="TableParagraph"/>
              <w:spacing w:before="10"/>
              <w:rPr>
                <w:sz w:val="15"/>
              </w:rPr>
            </w:pPr>
          </w:p>
          <w:p w14:paraId="652CE5AE" w14:textId="77777777" w:rsidR="00141B97" w:rsidRDefault="00911D63">
            <w:pPr>
              <w:pStyle w:val="TableParagraph"/>
              <w:ind w:left="13"/>
              <w:rPr>
                <w:sz w:val="16"/>
              </w:rPr>
            </w:pPr>
            <w:r>
              <w:rPr>
                <w:color w:val="FFFFFF"/>
                <w:sz w:val="16"/>
              </w:rPr>
              <w:t>Performance</w:t>
            </w:r>
            <w:r>
              <w:rPr>
                <w:color w:val="FFFFFF"/>
                <w:spacing w:val="-7"/>
                <w:sz w:val="16"/>
              </w:rPr>
              <w:t xml:space="preserve"> </w:t>
            </w:r>
            <w:r>
              <w:rPr>
                <w:color w:val="FFFFFF"/>
                <w:sz w:val="16"/>
              </w:rPr>
              <w:t>Assessment</w:t>
            </w:r>
            <w:r>
              <w:rPr>
                <w:color w:val="FFFFFF"/>
                <w:spacing w:val="-6"/>
                <w:sz w:val="16"/>
              </w:rPr>
              <w:t xml:space="preserve"> </w:t>
            </w:r>
            <w:r>
              <w:rPr>
                <w:color w:val="FFFFFF"/>
                <w:spacing w:val="-2"/>
                <w:sz w:val="16"/>
              </w:rPr>
              <w:t>Criteria</w:t>
            </w:r>
          </w:p>
        </w:tc>
        <w:tc>
          <w:tcPr>
            <w:tcW w:w="820" w:type="dxa"/>
            <w:vMerge w:val="restart"/>
            <w:tcBorders>
              <w:top w:val="nil"/>
              <w:left w:val="nil"/>
            </w:tcBorders>
            <w:shd w:val="clear" w:color="auto" w:fill="0064A3"/>
          </w:tcPr>
          <w:p w14:paraId="06743F3F" w14:textId="77777777" w:rsidR="00141B97" w:rsidRDefault="00911D63">
            <w:pPr>
              <w:pStyle w:val="TableParagraph"/>
              <w:ind w:left="12"/>
              <w:rPr>
                <w:sz w:val="16"/>
              </w:rPr>
            </w:pPr>
            <w:r>
              <w:rPr>
                <w:color w:val="FFFFFF"/>
                <w:sz w:val="16"/>
              </w:rPr>
              <w:t>Average</w:t>
            </w:r>
            <w:r>
              <w:rPr>
                <w:color w:val="FFFFFF"/>
                <w:spacing w:val="-7"/>
                <w:sz w:val="16"/>
              </w:rPr>
              <w:t xml:space="preserve"> </w:t>
            </w:r>
            <w:r>
              <w:rPr>
                <w:color w:val="FFFFFF"/>
                <w:sz w:val="16"/>
              </w:rPr>
              <w:t>/</w:t>
            </w:r>
            <w:r>
              <w:rPr>
                <w:color w:val="FFFFFF"/>
                <w:spacing w:val="40"/>
                <w:sz w:val="16"/>
              </w:rPr>
              <w:t xml:space="preserve"> </w:t>
            </w:r>
            <w:r>
              <w:rPr>
                <w:color w:val="FFFFFF"/>
                <w:sz w:val="16"/>
              </w:rPr>
              <w:t>Target</w:t>
            </w:r>
            <w:r>
              <w:rPr>
                <w:color w:val="FFFFFF"/>
                <w:spacing w:val="-4"/>
                <w:sz w:val="16"/>
              </w:rPr>
              <w:t xml:space="preserve"> </w:t>
            </w:r>
            <w:r>
              <w:rPr>
                <w:color w:val="FFFFFF"/>
                <w:spacing w:val="-5"/>
                <w:sz w:val="16"/>
              </w:rPr>
              <w:t>for</w:t>
            </w:r>
          </w:p>
          <w:p w14:paraId="34AB111B" w14:textId="77777777" w:rsidR="00141B97" w:rsidRDefault="00911D63">
            <w:pPr>
              <w:pStyle w:val="TableParagraph"/>
              <w:spacing w:line="176" w:lineRule="exact"/>
              <w:ind w:left="12"/>
              <w:rPr>
                <w:sz w:val="16"/>
              </w:rPr>
            </w:pPr>
            <w:r>
              <w:rPr>
                <w:color w:val="FFFFFF"/>
                <w:spacing w:val="-5"/>
                <w:sz w:val="16"/>
              </w:rPr>
              <w:t>PS4</w:t>
            </w:r>
          </w:p>
        </w:tc>
        <w:tc>
          <w:tcPr>
            <w:tcW w:w="4276" w:type="dxa"/>
            <w:gridSpan w:val="5"/>
            <w:tcBorders>
              <w:top w:val="nil"/>
              <w:right w:val="nil"/>
            </w:tcBorders>
            <w:shd w:val="clear" w:color="auto" w:fill="0064A3"/>
          </w:tcPr>
          <w:p w14:paraId="21BBFBA6" w14:textId="77777777" w:rsidR="00141B97" w:rsidRDefault="00911D63">
            <w:pPr>
              <w:pStyle w:val="TableParagraph"/>
              <w:spacing w:line="174" w:lineRule="exact"/>
              <w:ind w:left="853"/>
              <w:rPr>
                <w:sz w:val="16"/>
              </w:rPr>
            </w:pPr>
            <w:r>
              <w:rPr>
                <w:color w:val="FFFFFF"/>
                <w:sz w:val="16"/>
              </w:rPr>
              <w:t>Annual</w:t>
            </w:r>
            <w:r>
              <w:rPr>
                <w:color w:val="FFFFFF"/>
                <w:spacing w:val="-4"/>
                <w:sz w:val="16"/>
              </w:rPr>
              <w:t xml:space="preserve"> </w:t>
            </w:r>
            <w:r>
              <w:rPr>
                <w:color w:val="FFFFFF"/>
                <w:sz w:val="16"/>
              </w:rPr>
              <w:t>target</w:t>
            </w:r>
            <w:r>
              <w:rPr>
                <w:color w:val="FFFFFF"/>
                <w:spacing w:val="-5"/>
                <w:sz w:val="16"/>
              </w:rPr>
              <w:t xml:space="preserve"> </w:t>
            </w:r>
            <w:r>
              <w:rPr>
                <w:color w:val="FFFFFF"/>
                <w:sz w:val="16"/>
              </w:rPr>
              <w:t>for</w:t>
            </w:r>
            <w:r>
              <w:rPr>
                <w:color w:val="FFFFFF"/>
                <w:spacing w:val="-4"/>
                <w:sz w:val="16"/>
              </w:rPr>
              <w:t xml:space="preserve"> </w:t>
            </w:r>
            <w:r>
              <w:rPr>
                <w:color w:val="FFFFFF"/>
                <w:sz w:val="16"/>
              </w:rPr>
              <w:t>fifth</w:t>
            </w:r>
            <w:r>
              <w:rPr>
                <w:color w:val="FFFFFF"/>
                <w:spacing w:val="-4"/>
                <w:sz w:val="16"/>
              </w:rPr>
              <w:t xml:space="preserve"> </w:t>
            </w:r>
            <w:r>
              <w:rPr>
                <w:color w:val="FFFFFF"/>
                <w:sz w:val="16"/>
              </w:rPr>
              <w:t>regulatory</w:t>
            </w:r>
            <w:r>
              <w:rPr>
                <w:color w:val="FFFFFF"/>
                <w:spacing w:val="-3"/>
                <w:sz w:val="16"/>
              </w:rPr>
              <w:t xml:space="preserve"> </w:t>
            </w:r>
            <w:r>
              <w:rPr>
                <w:color w:val="FFFFFF"/>
                <w:spacing w:val="-2"/>
                <w:sz w:val="16"/>
              </w:rPr>
              <w:t>period</w:t>
            </w:r>
          </w:p>
        </w:tc>
      </w:tr>
      <w:tr w:rsidR="00141B97" w14:paraId="1111C9C8" w14:textId="77777777">
        <w:trPr>
          <w:trHeight w:val="371"/>
          <w:tblCellSpacing w:w="9" w:type="dxa"/>
        </w:trPr>
        <w:tc>
          <w:tcPr>
            <w:tcW w:w="4998" w:type="dxa"/>
            <w:vMerge/>
            <w:tcBorders>
              <w:top w:val="nil"/>
              <w:left w:val="nil"/>
              <w:right w:val="nil"/>
            </w:tcBorders>
            <w:shd w:val="clear" w:color="auto" w:fill="0064A3"/>
          </w:tcPr>
          <w:p w14:paraId="15ACC2C7" w14:textId="77777777" w:rsidR="00141B97" w:rsidRDefault="00141B97">
            <w:pPr>
              <w:rPr>
                <w:sz w:val="2"/>
                <w:szCs w:val="2"/>
              </w:rPr>
            </w:pPr>
          </w:p>
        </w:tc>
        <w:tc>
          <w:tcPr>
            <w:tcW w:w="820" w:type="dxa"/>
            <w:vMerge/>
            <w:tcBorders>
              <w:top w:val="nil"/>
              <w:left w:val="nil"/>
            </w:tcBorders>
            <w:shd w:val="clear" w:color="auto" w:fill="0064A3"/>
          </w:tcPr>
          <w:p w14:paraId="1FB91A98" w14:textId="77777777" w:rsidR="00141B97" w:rsidRDefault="00141B97">
            <w:pPr>
              <w:rPr>
                <w:sz w:val="2"/>
                <w:szCs w:val="2"/>
              </w:rPr>
            </w:pPr>
          </w:p>
        </w:tc>
        <w:tc>
          <w:tcPr>
            <w:tcW w:w="888" w:type="dxa"/>
            <w:shd w:val="clear" w:color="auto" w:fill="0064A3"/>
          </w:tcPr>
          <w:p w14:paraId="1B3E0BF1" w14:textId="77777777" w:rsidR="00141B97" w:rsidRDefault="00911D63">
            <w:pPr>
              <w:pStyle w:val="TableParagraph"/>
              <w:spacing w:before="87"/>
              <w:ind w:right="163"/>
              <w:jc w:val="right"/>
              <w:rPr>
                <w:sz w:val="16"/>
              </w:rPr>
            </w:pPr>
            <w:r>
              <w:rPr>
                <w:color w:val="FFFFFF"/>
                <w:sz w:val="16"/>
              </w:rPr>
              <w:t>2023-</w:t>
            </w:r>
            <w:r>
              <w:rPr>
                <w:color w:val="FFFFFF"/>
                <w:spacing w:val="-5"/>
                <w:sz w:val="16"/>
              </w:rPr>
              <w:t>24</w:t>
            </w:r>
          </w:p>
        </w:tc>
        <w:tc>
          <w:tcPr>
            <w:tcW w:w="848" w:type="dxa"/>
            <w:tcBorders>
              <w:right w:val="nil"/>
            </w:tcBorders>
            <w:shd w:val="clear" w:color="auto" w:fill="0064A3"/>
          </w:tcPr>
          <w:p w14:paraId="365CE468" w14:textId="77777777" w:rsidR="00141B97" w:rsidRDefault="00911D63">
            <w:pPr>
              <w:pStyle w:val="TableParagraph"/>
              <w:spacing w:before="87"/>
              <w:ind w:left="111" w:right="113"/>
              <w:jc w:val="center"/>
              <w:rPr>
                <w:sz w:val="16"/>
              </w:rPr>
            </w:pPr>
            <w:r>
              <w:rPr>
                <w:color w:val="FFFFFF"/>
                <w:sz w:val="16"/>
              </w:rPr>
              <w:t>2024-</w:t>
            </w:r>
            <w:r>
              <w:rPr>
                <w:color w:val="FFFFFF"/>
                <w:spacing w:val="-5"/>
                <w:sz w:val="16"/>
              </w:rPr>
              <w:t>25</w:t>
            </w:r>
          </w:p>
        </w:tc>
        <w:tc>
          <w:tcPr>
            <w:tcW w:w="847" w:type="dxa"/>
            <w:tcBorders>
              <w:left w:val="nil"/>
              <w:right w:val="nil"/>
            </w:tcBorders>
            <w:shd w:val="clear" w:color="auto" w:fill="0064A3"/>
          </w:tcPr>
          <w:p w14:paraId="24B34B0A" w14:textId="77777777" w:rsidR="00141B97" w:rsidRDefault="00911D63">
            <w:pPr>
              <w:pStyle w:val="TableParagraph"/>
              <w:spacing w:before="87"/>
              <w:ind w:right="137"/>
              <w:jc w:val="right"/>
              <w:rPr>
                <w:sz w:val="16"/>
              </w:rPr>
            </w:pPr>
            <w:r>
              <w:rPr>
                <w:color w:val="FFFFFF"/>
                <w:sz w:val="16"/>
              </w:rPr>
              <w:t>2025-</w:t>
            </w:r>
            <w:r>
              <w:rPr>
                <w:color w:val="FFFFFF"/>
                <w:spacing w:val="-5"/>
                <w:sz w:val="16"/>
              </w:rPr>
              <w:t>26</w:t>
            </w:r>
          </w:p>
        </w:tc>
        <w:tc>
          <w:tcPr>
            <w:tcW w:w="859" w:type="dxa"/>
            <w:tcBorders>
              <w:left w:val="nil"/>
              <w:right w:val="nil"/>
            </w:tcBorders>
            <w:shd w:val="clear" w:color="auto" w:fill="0064A3"/>
          </w:tcPr>
          <w:p w14:paraId="0D528FA2" w14:textId="77777777" w:rsidR="00141B97" w:rsidRDefault="00911D63">
            <w:pPr>
              <w:pStyle w:val="TableParagraph"/>
              <w:spacing w:before="87"/>
              <w:ind w:right="142"/>
              <w:jc w:val="right"/>
              <w:rPr>
                <w:sz w:val="16"/>
              </w:rPr>
            </w:pPr>
            <w:r>
              <w:rPr>
                <w:color w:val="FFFFFF"/>
                <w:sz w:val="16"/>
              </w:rPr>
              <w:t>2026-</w:t>
            </w:r>
            <w:r>
              <w:rPr>
                <w:color w:val="FFFFFF"/>
                <w:spacing w:val="-5"/>
                <w:sz w:val="16"/>
              </w:rPr>
              <w:t>27</w:t>
            </w:r>
          </w:p>
        </w:tc>
        <w:tc>
          <w:tcPr>
            <w:tcW w:w="834" w:type="dxa"/>
            <w:tcBorders>
              <w:left w:val="nil"/>
              <w:right w:val="nil"/>
            </w:tcBorders>
            <w:shd w:val="clear" w:color="auto" w:fill="0064A3"/>
          </w:tcPr>
          <w:p w14:paraId="335CFAE4" w14:textId="77777777" w:rsidR="00141B97" w:rsidRDefault="00911D63">
            <w:pPr>
              <w:pStyle w:val="TableParagraph"/>
              <w:spacing w:before="87"/>
              <w:ind w:right="124"/>
              <w:jc w:val="right"/>
              <w:rPr>
                <w:sz w:val="16"/>
              </w:rPr>
            </w:pPr>
            <w:r>
              <w:rPr>
                <w:color w:val="FFFFFF"/>
                <w:sz w:val="16"/>
              </w:rPr>
              <w:t>2027-</w:t>
            </w:r>
            <w:r>
              <w:rPr>
                <w:color w:val="FFFFFF"/>
                <w:spacing w:val="-5"/>
                <w:sz w:val="16"/>
              </w:rPr>
              <w:t>28</w:t>
            </w:r>
          </w:p>
        </w:tc>
      </w:tr>
      <w:tr w:rsidR="00141B97" w14:paraId="519832F1" w14:textId="77777777">
        <w:trPr>
          <w:trHeight w:val="244"/>
          <w:tblCellSpacing w:w="9" w:type="dxa"/>
        </w:trPr>
        <w:tc>
          <w:tcPr>
            <w:tcW w:w="10094" w:type="dxa"/>
            <w:gridSpan w:val="7"/>
            <w:tcBorders>
              <w:left w:val="nil"/>
              <w:right w:val="nil"/>
            </w:tcBorders>
            <w:shd w:val="clear" w:color="auto" w:fill="BEBEBE"/>
          </w:tcPr>
          <w:p w14:paraId="7276C609" w14:textId="77777777" w:rsidR="00141B97" w:rsidRDefault="00911D63">
            <w:pPr>
              <w:pStyle w:val="TableParagraph"/>
              <w:spacing w:before="22"/>
              <w:ind w:left="28"/>
              <w:rPr>
                <w:sz w:val="16"/>
              </w:rPr>
            </w:pPr>
            <w:r>
              <w:rPr>
                <w:sz w:val="16"/>
              </w:rPr>
              <w:t>Outcome</w:t>
            </w:r>
            <w:r>
              <w:rPr>
                <w:spacing w:val="-5"/>
                <w:sz w:val="16"/>
              </w:rPr>
              <w:t xml:space="preserve"> </w:t>
            </w:r>
            <w:r>
              <w:rPr>
                <w:sz w:val="16"/>
              </w:rPr>
              <w:t>1:</w:t>
            </w:r>
            <w:r>
              <w:rPr>
                <w:spacing w:val="-4"/>
                <w:sz w:val="16"/>
              </w:rPr>
              <w:t xml:space="preserve"> </w:t>
            </w:r>
            <w:r>
              <w:rPr>
                <w:sz w:val="16"/>
              </w:rPr>
              <w:t>Keep</w:t>
            </w:r>
            <w:r>
              <w:rPr>
                <w:spacing w:val="-2"/>
                <w:sz w:val="16"/>
              </w:rPr>
              <w:t xml:space="preserve"> </w:t>
            </w:r>
            <w:r>
              <w:rPr>
                <w:sz w:val="16"/>
              </w:rPr>
              <w:t>my</w:t>
            </w:r>
            <w:r>
              <w:rPr>
                <w:spacing w:val="-1"/>
                <w:sz w:val="16"/>
              </w:rPr>
              <w:t xml:space="preserve"> </w:t>
            </w:r>
            <w:r>
              <w:rPr>
                <w:sz w:val="16"/>
              </w:rPr>
              <w:t>costs</w:t>
            </w:r>
            <w:r>
              <w:rPr>
                <w:spacing w:val="-2"/>
                <w:sz w:val="16"/>
              </w:rPr>
              <w:t xml:space="preserve"> </w:t>
            </w:r>
            <w:r>
              <w:rPr>
                <w:sz w:val="16"/>
              </w:rPr>
              <w:t>to</w:t>
            </w:r>
            <w:r>
              <w:rPr>
                <w:spacing w:val="-2"/>
                <w:sz w:val="16"/>
              </w:rPr>
              <w:t xml:space="preserve"> </w:t>
            </w:r>
            <w:r>
              <w:rPr>
                <w:sz w:val="16"/>
              </w:rPr>
              <w:t>a</w:t>
            </w:r>
            <w:r>
              <w:rPr>
                <w:spacing w:val="-3"/>
                <w:sz w:val="16"/>
              </w:rPr>
              <w:t xml:space="preserve"> </w:t>
            </w:r>
            <w:r>
              <w:rPr>
                <w:spacing w:val="-2"/>
                <w:sz w:val="16"/>
              </w:rPr>
              <w:t>minimum</w:t>
            </w:r>
          </w:p>
        </w:tc>
      </w:tr>
      <w:tr w:rsidR="00141B97" w14:paraId="13F7019C" w14:textId="77777777">
        <w:trPr>
          <w:trHeight w:val="390"/>
          <w:tblCellSpacing w:w="9" w:type="dxa"/>
        </w:trPr>
        <w:tc>
          <w:tcPr>
            <w:tcW w:w="4998" w:type="dxa"/>
            <w:tcBorders>
              <w:left w:val="nil"/>
              <w:right w:val="nil"/>
            </w:tcBorders>
            <w:shd w:val="clear" w:color="auto" w:fill="CCE1EC"/>
          </w:tcPr>
          <w:p w14:paraId="56E72223" w14:textId="77777777" w:rsidR="00141B97" w:rsidRDefault="00911D63">
            <w:pPr>
              <w:pStyle w:val="TableParagraph"/>
              <w:spacing w:line="193" w:lineRule="exact"/>
              <w:ind w:left="13"/>
              <w:rPr>
                <w:sz w:val="16"/>
              </w:rPr>
            </w:pPr>
            <w:r>
              <w:rPr>
                <w:sz w:val="16"/>
              </w:rPr>
              <w:t>Customer</w:t>
            </w:r>
            <w:r>
              <w:rPr>
                <w:spacing w:val="-6"/>
                <w:sz w:val="16"/>
              </w:rPr>
              <w:t xml:space="preserve"> </w:t>
            </w:r>
            <w:r>
              <w:rPr>
                <w:sz w:val="16"/>
              </w:rPr>
              <w:t>satisfaction</w:t>
            </w:r>
            <w:r>
              <w:rPr>
                <w:spacing w:val="-3"/>
                <w:sz w:val="16"/>
              </w:rPr>
              <w:t xml:space="preserve"> </w:t>
            </w:r>
            <w:r>
              <w:rPr>
                <w:sz w:val="16"/>
              </w:rPr>
              <w:t>for</w:t>
            </w:r>
            <w:r>
              <w:rPr>
                <w:spacing w:val="-6"/>
                <w:sz w:val="16"/>
              </w:rPr>
              <w:t xml:space="preserve"> </w:t>
            </w:r>
            <w:r>
              <w:rPr>
                <w:sz w:val="16"/>
              </w:rPr>
              <w:t>overall</w:t>
            </w:r>
            <w:r>
              <w:rPr>
                <w:spacing w:val="-3"/>
                <w:sz w:val="16"/>
              </w:rPr>
              <w:t xml:space="preserve"> </w:t>
            </w:r>
            <w:r>
              <w:rPr>
                <w:sz w:val="16"/>
              </w:rPr>
              <w:t>services</w:t>
            </w:r>
            <w:r>
              <w:rPr>
                <w:spacing w:val="-6"/>
                <w:sz w:val="16"/>
              </w:rPr>
              <w:t xml:space="preserve"> </w:t>
            </w:r>
            <w:r>
              <w:rPr>
                <w:sz w:val="16"/>
              </w:rPr>
              <w:t>value</w:t>
            </w:r>
            <w:r>
              <w:rPr>
                <w:spacing w:val="-4"/>
                <w:sz w:val="16"/>
              </w:rPr>
              <w:t xml:space="preserve"> </w:t>
            </w:r>
            <w:r>
              <w:rPr>
                <w:sz w:val="16"/>
              </w:rPr>
              <w:t>for</w:t>
            </w:r>
            <w:r>
              <w:rPr>
                <w:spacing w:val="-4"/>
                <w:sz w:val="16"/>
              </w:rPr>
              <w:t xml:space="preserve"> </w:t>
            </w:r>
            <w:r>
              <w:rPr>
                <w:sz w:val="16"/>
              </w:rPr>
              <w:t>money</w:t>
            </w:r>
            <w:r>
              <w:rPr>
                <w:spacing w:val="-2"/>
                <w:sz w:val="16"/>
              </w:rPr>
              <w:t xml:space="preserve"> </w:t>
            </w:r>
            <w:r>
              <w:rPr>
                <w:sz w:val="16"/>
              </w:rPr>
              <w:t>-</w:t>
            </w:r>
            <w:r>
              <w:rPr>
                <w:spacing w:val="-2"/>
                <w:sz w:val="16"/>
              </w:rPr>
              <w:t xml:space="preserve"> </w:t>
            </w:r>
            <w:r>
              <w:rPr>
                <w:sz w:val="16"/>
              </w:rPr>
              <w:t>Target</w:t>
            </w:r>
            <w:r>
              <w:rPr>
                <w:spacing w:val="-4"/>
                <w:sz w:val="16"/>
              </w:rPr>
              <w:t xml:space="preserve"> </w:t>
            </w:r>
            <w:r>
              <w:rPr>
                <w:sz w:val="16"/>
              </w:rPr>
              <w:t>=</w:t>
            </w:r>
            <w:r>
              <w:rPr>
                <w:spacing w:val="-4"/>
                <w:sz w:val="16"/>
              </w:rPr>
              <w:t xml:space="preserve"> </w:t>
            </w:r>
            <w:r>
              <w:rPr>
                <w:spacing w:val="-5"/>
                <w:sz w:val="16"/>
              </w:rPr>
              <w:t>&gt;/=</w:t>
            </w:r>
          </w:p>
          <w:p w14:paraId="7C1589B4" w14:textId="77777777" w:rsidR="00141B97" w:rsidRDefault="00911D63">
            <w:pPr>
              <w:pStyle w:val="TableParagraph"/>
              <w:spacing w:line="177" w:lineRule="exact"/>
              <w:ind w:left="13"/>
              <w:rPr>
                <w:sz w:val="16"/>
              </w:rPr>
            </w:pPr>
            <w:r>
              <w:rPr>
                <w:sz w:val="16"/>
              </w:rPr>
              <w:t>prior</w:t>
            </w:r>
            <w:r>
              <w:rPr>
                <w:spacing w:val="-5"/>
                <w:sz w:val="16"/>
              </w:rPr>
              <w:t xml:space="preserve"> </w:t>
            </w:r>
            <w:r>
              <w:rPr>
                <w:sz w:val="16"/>
              </w:rPr>
              <w:t>year</w:t>
            </w:r>
            <w:r>
              <w:rPr>
                <w:spacing w:val="-4"/>
                <w:sz w:val="16"/>
              </w:rPr>
              <w:t xml:space="preserve"> </w:t>
            </w:r>
            <w:r>
              <w:rPr>
                <w:sz w:val="16"/>
              </w:rPr>
              <w:t>performance</w:t>
            </w:r>
            <w:r>
              <w:rPr>
                <w:spacing w:val="-4"/>
                <w:sz w:val="16"/>
              </w:rPr>
              <w:t xml:space="preserve"> </w:t>
            </w:r>
            <w:r>
              <w:rPr>
                <w:sz w:val="16"/>
              </w:rPr>
              <w:t>of</w:t>
            </w:r>
            <w:r>
              <w:rPr>
                <w:spacing w:val="-7"/>
                <w:sz w:val="16"/>
              </w:rPr>
              <w:t xml:space="preserve"> </w:t>
            </w:r>
            <w:r>
              <w:rPr>
                <w:sz w:val="16"/>
              </w:rPr>
              <w:t>annual</w:t>
            </w:r>
            <w:r>
              <w:rPr>
                <w:spacing w:val="-3"/>
                <w:sz w:val="16"/>
              </w:rPr>
              <w:t xml:space="preserve"> </w:t>
            </w:r>
            <w:r>
              <w:rPr>
                <w:sz w:val="16"/>
              </w:rPr>
              <w:t>survey</w:t>
            </w:r>
            <w:r>
              <w:rPr>
                <w:spacing w:val="-3"/>
                <w:sz w:val="16"/>
              </w:rPr>
              <w:t xml:space="preserve"> </w:t>
            </w:r>
            <w:r>
              <w:rPr>
                <w:spacing w:val="-2"/>
                <w:sz w:val="16"/>
              </w:rPr>
              <w:t>respondents</w:t>
            </w:r>
          </w:p>
        </w:tc>
        <w:tc>
          <w:tcPr>
            <w:tcW w:w="820" w:type="dxa"/>
            <w:tcBorders>
              <w:left w:val="nil"/>
            </w:tcBorders>
            <w:shd w:val="clear" w:color="auto" w:fill="CCE1EC"/>
          </w:tcPr>
          <w:p w14:paraId="6150BB4B" w14:textId="77777777" w:rsidR="00141B97" w:rsidRDefault="00911D63">
            <w:pPr>
              <w:pStyle w:val="TableParagraph"/>
              <w:spacing w:before="97"/>
              <w:ind w:left="12"/>
              <w:rPr>
                <w:sz w:val="16"/>
              </w:rPr>
            </w:pPr>
            <w:r>
              <w:rPr>
                <w:spacing w:val="-5"/>
                <w:sz w:val="16"/>
              </w:rPr>
              <w:t>NA</w:t>
            </w:r>
          </w:p>
        </w:tc>
        <w:tc>
          <w:tcPr>
            <w:tcW w:w="888" w:type="dxa"/>
            <w:shd w:val="clear" w:color="auto" w:fill="CCE1EC"/>
          </w:tcPr>
          <w:p w14:paraId="712E24A7" w14:textId="77777777" w:rsidR="00141B97" w:rsidRDefault="00911D63">
            <w:pPr>
              <w:pStyle w:val="TableParagraph"/>
              <w:spacing w:before="97"/>
              <w:ind w:right="132"/>
              <w:jc w:val="right"/>
              <w:rPr>
                <w:sz w:val="16"/>
              </w:rPr>
            </w:pPr>
            <w:r>
              <w:rPr>
                <w:spacing w:val="-2"/>
                <w:sz w:val="16"/>
              </w:rPr>
              <w:t>=/&gt;22/23</w:t>
            </w:r>
          </w:p>
        </w:tc>
        <w:tc>
          <w:tcPr>
            <w:tcW w:w="848" w:type="dxa"/>
            <w:tcBorders>
              <w:right w:val="nil"/>
            </w:tcBorders>
            <w:shd w:val="clear" w:color="auto" w:fill="CCE1EC"/>
          </w:tcPr>
          <w:p w14:paraId="124116E7" w14:textId="77777777" w:rsidR="00141B97" w:rsidRDefault="00911D63">
            <w:pPr>
              <w:pStyle w:val="TableParagraph"/>
              <w:spacing w:before="97"/>
              <w:ind w:left="111" w:right="113"/>
              <w:jc w:val="center"/>
              <w:rPr>
                <w:sz w:val="16"/>
              </w:rPr>
            </w:pPr>
            <w:r>
              <w:rPr>
                <w:spacing w:val="-2"/>
                <w:sz w:val="16"/>
              </w:rPr>
              <w:t>=/&gt;23/24</w:t>
            </w:r>
          </w:p>
        </w:tc>
        <w:tc>
          <w:tcPr>
            <w:tcW w:w="847" w:type="dxa"/>
            <w:tcBorders>
              <w:left w:val="nil"/>
              <w:right w:val="nil"/>
            </w:tcBorders>
            <w:shd w:val="clear" w:color="auto" w:fill="CCE1EC"/>
          </w:tcPr>
          <w:p w14:paraId="661855B0" w14:textId="77777777" w:rsidR="00141B97" w:rsidRDefault="00911D63">
            <w:pPr>
              <w:pStyle w:val="TableParagraph"/>
              <w:spacing w:before="97"/>
              <w:ind w:right="106"/>
              <w:jc w:val="right"/>
              <w:rPr>
                <w:sz w:val="16"/>
              </w:rPr>
            </w:pPr>
            <w:r>
              <w:rPr>
                <w:spacing w:val="-2"/>
                <w:sz w:val="16"/>
              </w:rPr>
              <w:t>=/&gt;24/25</w:t>
            </w:r>
          </w:p>
        </w:tc>
        <w:tc>
          <w:tcPr>
            <w:tcW w:w="859" w:type="dxa"/>
            <w:tcBorders>
              <w:left w:val="nil"/>
              <w:right w:val="nil"/>
            </w:tcBorders>
            <w:shd w:val="clear" w:color="auto" w:fill="CCE1EC"/>
          </w:tcPr>
          <w:p w14:paraId="4E9C1C80" w14:textId="77777777" w:rsidR="00141B97" w:rsidRDefault="00911D63">
            <w:pPr>
              <w:pStyle w:val="TableParagraph"/>
              <w:spacing w:before="97"/>
              <w:ind w:right="113"/>
              <w:jc w:val="right"/>
              <w:rPr>
                <w:sz w:val="16"/>
              </w:rPr>
            </w:pPr>
            <w:r>
              <w:rPr>
                <w:spacing w:val="-2"/>
                <w:sz w:val="16"/>
              </w:rPr>
              <w:t>=/&gt;25/26</w:t>
            </w:r>
          </w:p>
        </w:tc>
        <w:tc>
          <w:tcPr>
            <w:tcW w:w="834" w:type="dxa"/>
            <w:tcBorders>
              <w:left w:val="nil"/>
              <w:right w:val="nil"/>
            </w:tcBorders>
            <w:shd w:val="clear" w:color="auto" w:fill="CCE1EC"/>
          </w:tcPr>
          <w:p w14:paraId="55FE32FD" w14:textId="77777777" w:rsidR="00141B97" w:rsidRDefault="00911D63">
            <w:pPr>
              <w:pStyle w:val="TableParagraph"/>
              <w:spacing w:before="97"/>
              <w:ind w:right="95"/>
              <w:jc w:val="right"/>
              <w:rPr>
                <w:sz w:val="16"/>
              </w:rPr>
            </w:pPr>
            <w:r>
              <w:rPr>
                <w:spacing w:val="-2"/>
                <w:sz w:val="16"/>
              </w:rPr>
              <w:t>=/&gt;26/27</w:t>
            </w:r>
          </w:p>
        </w:tc>
      </w:tr>
      <w:tr w:rsidR="00141B97" w14:paraId="3B13993B" w14:textId="77777777">
        <w:trPr>
          <w:trHeight w:val="196"/>
          <w:tblCellSpacing w:w="9" w:type="dxa"/>
        </w:trPr>
        <w:tc>
          <w:tcPr>
            <w:tcW w:w="4998" w:type="dxa"/>
            <w:tcBorders>
              <w:left w:val="nil"/>
              <w:right w:val="nil"/>
            </w:tcBorders>
            <w:shd w:val="clear" w:color="auto" w:fill="CCE1EC"/>
          </w:tcPr>
          <w:p w14:paraId="06056E28" w14:textId="77777777" w:rsidR="00141B97" w:rsidRDefault="00911D63">
            <w:pPr>
              <w:pStyle w:val="TableParagraph"/>
              <w:spacing w:line="176" w:lineRule="exact"/>
              <w:ind w:left="13"/>
              <w:rPr>
                <w:sz w:val="16"/>
              </w:rPr>
            </w:pPr>
            <w:r>
              <w:rPr>
                <w:sz w:val="16"/>
              </w:rPr>
              <w:t>Delivery</w:t>
            </w:r>
            <w:r>
              <w:rPr>
                <w:spacing w:val="-3"/>
                <w:sz w:val="16"/>
              </w:rPr>
              <w:t xml:space="preserve"> </w:t>
            </w:r>
            <w:r>
              <w:rPr>
                <w:sz w:val="16"/>
              </w:rPr>
              <w:t>of</w:t>
            </w:r>
            <w:r>
              <w:rPr>
                <w:spacing w:val="-4"/>
                <w:sz w:val="16"/>
              </w:rPr>
              <w:t xml:space="preserve"> </w:t>
            </w:r>
            <w:r>
              <w:rPr>
                <w:sz w:val="16"/>
              </w:rPr>
              <w:t>the</w:t>
            </w:r>
            <w:r>
              <w:rPr>
                <w:spacing w:val="-5"/>
                <w:sz w:val="16"/>
              </w:rPr>
              <w:t xml:space="preserve"> </w:t>
            </w:r>
            <w:r>
              <w:rPr>
                <w:sz w:val="16"/>
              </w:rPr>
              <w:t>approved</w:t>
            </w:r>
            <w:r>
              <w:rPr>
                <w:spacing w:val="-2"/>
                <w:sz w:val="16"/>
              </w:rPr>
              <w:t xml:space="preserve"> </w:t>
            </w:r>
            <w:r>
              <w:rPr>
                <w:sz w:val="16"/>
              </w:rPr>
              <w:t>PS5</w:t>
            </w:r>
            <w:r>
              <w:rPr>
                <w:spacing w:val="-4"/>
                <w:sz w:val="16"/>
              </w:rPr>
              <w:t xml:space="preserve"> </w:t>
            </w:r>
            <w:r>
              <w:rPr>
                <w:sz w:val="16"/>
              </w:rPr>
              <w:t>price</w:t>
            </w:r>
            <w:r>
              <w:rPr>
                <w:spacing w:val="-3"/>
                <w:sz w:val="16"/>
              </w:rPr>
              <w:t xml:space="preserve"> </w:t>
            </w:r>
            <w:r>
              <w:rPr>
                <w:spacing w:val="-2"/>
                <w:sz w:val="16"/>
              </w:rPr>
              <w:t>determination</w:t>
            </w:r>
          </w:p>
        </w:tc>
        <w:tc>
          <w:tcPr>
            <w:tcW w:w="820" w:type="dxa"/>
            <w:tcBorders>
              <w:left w:val="nil"/>
            </w:tcBorders>
            <w:shd w:val="clear" w:color="auto" w:fill="CCE1EC"/>
          </w:tcPr>
          <w:p w14:paraId="195F95A7" w14:textId="77777777" w:rsidR="00141B97" w:rsidRDefault="00911D63">
            <w:pPr>
              <w:pStyle w:val="TableParagraph"/>
              <w:spacing w:line="176" w:lineRule="exact"/>
              <w:ind w:left="12"/>
              <w:rPr>
                <w:sz w:val="16"/>
              </w:rPr>
            </w:pPr>
            <w:r>
              <w:rPr>
                <w:spacing w:val="-4"/>
                <w:sz w:val="16"/>
              </w:rPr>
              <w:t>Pass</w:t>
            </w:r>
          </w:p>
        </w:tc>
        <w:tc>
          <w:tcPr>
            <w:tcW w:w="4276" w:type="dxa"/>
            <w:gridSpan w:val="5"/>
            <w:tcBorders>
              <w:right w:val="nil"/>
            </w:tcBorders>
            <w:shd w:val="clear" w:color="auto" w:fill="CCE1EC"/>
          </w:tcPr>
          <w:p w14:paraId="02FCE616" w14:textId="77777777" w:rsidR="00141B97" w:rsidRDefault="00911D63">
            <w:pPr>
              <w:pStyle w:val="TableParagraph"/>
              <w:spacing w:line="176" w:lineRule="exact"/>
              <w:ind w:left="1863" w:right="1854"/>
              <w:jc w:val="center"/>
              <w:rPr>
                <w:sz w:val="16"/>
              </w:rPr>
            </w:pPr>
            <w:r>
              <w:rPr>
                <w:sz w:val="16"/>
              </w:rPr>
              <w:t>Yes</w:t>
            </w:r>
            <w:r>
              <w:rPr>
                <w:spacing w:val="-2"/>
                <w:sz w:val="16"/>
              </w:rPr>
              <w:t xml:space="preserve"> </w:t>
            </w:r>
            <w:r>
              <w:rPr>
                <w:sz w:val="16"/>
              </w:rPr>
              <w:t>/</w:t>
            </w:r>
            <w:r>
              <w:rPr>
                <w:spacing w:val="-2"/>
                <w:sz w:val="16"/>
              </w:rPr>
              <w:t xml:space="preserve"> </w:t>
            </w:r>
            <w:r>
              <w:rPr>
                <w:spacing w:val="-5"/>
                <w:sz w:val="16"/>
              </w:rPr>
              <w:t>No</w:t>
            </w:r>
          </w:p>
        </w:tc>
      </w:tr>
      <w:tr w:rsidR="00141B97" w14:paraId="1112F0D4" w14:textId="77777777">
        <w:trPr>
          <w:trHeight w:val="390"/>
          <w:tblCellSpacing w:w="9" w:type="dxa"/>
        </w:trPr>
        <w:tc>
          <w:tcPr>
            <w:tcW w:w="4998" w:type="dxa"/>
            <w:tcBorders>
              <w:left w:val="nil"/>
              <w:right w:val="nil"/>
            </w:tcBorders>
            <w:shd w:val="clear" w:color="auto" w:fill="CCE1EC"/>
          </w:tcPr>
          <w:p w14:paraId="79EA51F6" w14:textId="77777777" w:rsidR="00141B97" w:rsidRDefault="00911D63">
            <w:pPr>
              <w:pStyle w:val="TableParagraph"/>
              <w:spacing w:line="193" w:lineRule="exact"/>
              <w:ind w:left="13"/>
              <w:rPr>
                <w:sz w:val="16"/>
              </w:rPr>
            </w:pPr>
            <w:r>
              <w:rPr>
                <w:sz w:val="16"/>
              </w:rPr>
              <w:t>Delivery</w:t>
            </w:r>
            <w:r>
              <w:rPr>
                <w:spacing w:val="-4"/>
                <w:sz w:val="16"/>
              </w:rPr>
              <w:t xml:space="preserve"> </w:t>
            </w:r>
            <w:r>
              <w:rPr>
                <w:sz w:val="16"/>
              </w:rPr>
              <w:t>of</w:t>
            </w:r>
            <w:r>
              <w:rPr>
                <w:spacing w:val="-3"/>
                <w:sz w:val="16"/>
              </w:rPr>
              <w:t xml:space="preserve"> </w:t>
            </w:r>
            <w:r>
              <w:rPr>
                <w:sz w:val="16"/>
              </w:rPr>
              <w:t>top</w:t>
            </w:r>
            <w:r>
              <w:rPr>
                <w:spacing w:val="-4"/>
                <w:sz w:val="16"/>
              </w:rPr>
              <w:t xml:space="preserve"> </w:t>
            </w:r>
            <w:r>
              <w:rPr>
                <w:sz w:val="16"/>
              </w:rPr>
              <w:t>10</w:t>
            </w:r>
            <w:r>
              <w:rPr>
                <w:spacing w:val="-3"/>
                <w:sz w:val="16"/>
              </w:rPr>
              <w:t xml:space="preserve"> </w:t>
            </w:r>
            <w:r>
              <w:rPr>
                <w:sz w:val="16"/>
              </w:rPr>
              <w:t>capital</w:t>
            </w:r>
            <w:r>
              <w:rPr>
                <w:spacing w:val="-4"/>
                <w:sz w:val="16"/>
              </w:rPr>
              <w:t xml:space="preserve"> </w:t>
            </w:r>
            <w:r>
              <w:rPr>
                <w:sz w:val="16"/>
              </w:rPr>
              <w:t>projects</w:t>
            </w:r>
            <w:r>
              <w:rPr>
                <w:spacing w:val="-3"/>
                <w:sz w:val="16"/>
              </w:rPr>
              <w:t xml:space="preserve"> </w:t>
            </w:r>
            <w:r>
              <w:rPr>
                <w:sz w:val="16"/>
              </w:rPr>
              <w:t>on</w:t>
            </w:r>
            <w:r>
              <w:rPr>
                <w:spacing w:val="-3"/>
                <w:sz w:val="16"/>
              </w:rPr>
              <w:t xml:space="preserve"> </w:t>
            </w:r>
            <w:r>
              <w:rPr>
                <w:sz w:val="16"/>
              </w:rPr>
              <w:t>time</w:t>
            </w:r>
            <w:r>
              <w:rPr>
                <w:spacing w:val="-4"/>
                <w:sz w:val="16"/>
              </w:rPr>
              <w:t xml:space="preserve"> </w:t>
            </w:r>
            <w:r>
              <w:rPr>
                <w:sz w:val="16"/>
              </w:rPr>
              <w:t>and</w:t>
            </w:r>
            <w:r>
              <w:rPr>
                <w:spacing w:val="-3"/>
                <w:sz w:val="16"/>
              </w:rPr>
              <w:t xml:space="preserve"> </w:t>
            </w:r>
            <w:r>
              <w:rPr>
                <w:sz w:val="16"/>
              </w:rPr>
              <w:t>budget</w:t>
            </w:r>
            <w:r>
              <w:rPr>
                <w:spacing w:val="-4"/>
                <w:sz w:val="16"/>
              </w:rPr>
              <w:t xml:space="preserve"> </w:t>
            </w:r>
            <w:r>
              <w:rPr>
                <w:sz w:val="16"/>
              </w:rPr>
              <w:t>(budget</w:t>
            </w:r>
            <w:r>
              <w:rPr>
                <w:spacing w:val="-3"/>
                <w:sz w:val="16"/>
              </w:rPr>
              <w:t xml:space="preserve"> </w:t>
            </w:r>
            <w:r>
              <w:rPr>
                <w:sz w:val="16"/>
              </w:rPr>
              <w:t>set</w:t>
            </w:r>
            <w:r>
              <w:rPr>
                <w:spacing w:val="-4"/>
                <w:sz w:val="16"/>
              </w:rPr>
              <w:t xml:space="preserve"> </w:t>
            </w:r>
            <w:r>
              <w:rPr>
                <w:sz w:val="16"/>
              </w:rPr>
              <w:t>by</w:t>
            </w:r>
            <w:r>
              <w:rPr>
                <w:spacing w:val="-3"/>
                <w:sz w:val="16"/>
              </w:rPr>
              <w:t xml:space="preserve"> </w:t>
            </w:r>
            <w:r>
              <w:rPr>
                <w:spacing w:val="-2"/>
                <w:sz w:val="16"/>
              </w:rPr>
              <w:t>annual</w:t>
            </w:r>
          </w:p>
          <w:p w14:paraId="2D573FEE" w14:textId="77777777" w:rsidR="00141B97" w:rsidRDefault="00911D63">
            <w:pPr>
              <w:pStyle w:val="TableParagraph"/>
              <w:spacing w:line="177" w:lineRule="exact"/>
              <w:ind w:left="13"/>
              <w:rPr>
                <w:sz w:val="16"/>
              </w:rPr>
            </w:pPr>
            <w:r>
              <w:rPr>
                <w:sz w:val="16"/>
              </w:rPr>
              <w:t>corporate</w:t>
            </w:r>
            <w:r>
              <w:rPr>
                <w:spacing w:val="-6"/>
                <w:sz w:val="16"/>
              </w:rPr>
              <w:t xml:space="preserve"> </w:t>
            </w:r>
            <w:r>
              <w:rPr>
                <w:sz w:val="16"/>
              </w:rPr>
              <w:t>plan,</w:t>
            </w:r>
            <w:r>
              <w:rPr>
                <w:spacing w:val="-5"/>
                <w:sz w:val="16"/>
              </w:rPr>
              <w:t xml:space="preserve"> </w:t>
            </w:r>
            <w:r>
              <w:rPr>
                <w:sz w:val="16"/>
              </w:rPr>
              <w:t>timing</w:t>
            </w:r>
            <w:r>
              <w:rPr>
                <w:spacing w:val="-4"/>
                <w:sz w:val="16"/>
              </w:rPr>
              <w:t xml:space="preserve"> </w:t>
            </w:r>
            <w:r>
              <w:rPr>
                <w:sz w:val="16"/>
              </w:rPr>
              <w:t>set</w:t>
            </w:r>
            <w:r>
              <w:rPr>
                <w:spacing w:val="-4"/>
                <w:sz w:val="16"/>
              </w:rPr>
              <w:t xml:space="preserve"> </w:t>
            </w:r>
            <w:r>
              <w:rPr>
                <w:sz w:val="16"/>
              </w:rPr>
              <w:t>by</w:t>
            </w:r>
            <w:r>
              <w:rPr>
                <w:spacing w:val="-3"/>
                <w:sz w:val="16"/>
              </w:rPr>
              <w:t xml:space="preserve"> </w:t>
            </w:r>
            <w:r>
              <w:rPr>
                <w:sz w:val="16"/>
              </w:rPr>
              <w:t>pricing</w:t>
            </w:r>
            <w:r>
              <w:rPr>
                <w:spacing w:val="-4"/>
                <w:sz w:val="16"/>
              </w:rPr>
              <w:t xml:space="preserve"> </w:t>
            </w:r>
            <w:r>
              <w:rPr>
                <w:spacing w:val="-2"/>
                <w:sz w:val="16"/>
              </w:rPr>
              <w:t>submission)</w:t>
            </w:r>
          </w:p>
        </w:tc>
        <w:tc>
          <w:tcPr>
            <w:tcW w:w="820" w:type="dxa"/>
            <w:tcBorders>
              <w:left w:val="nil"/>
            </w:tcBorders>
            <w:shd w:val="clear" w:color="auto" w:fill="CCE1EC"/>
          </w:tcPr>
          <w:p w14:paraId="073C6727" w14:textId="77777777" w:rsidR="00141B97" w:rsidRDefault="00911D63">
            <w:pPr>
              <w:pStyle w:val="TableParagraph"/>
              <w:spacing w:before="97"/>
              <w:ind w:left="12"/>
              <w:rPr>
                <w:sz w:val="16"/>
              </w:rPr>
            </w:pPr>
            <w:r>
              <w:rPr>
                <w:spacing w:val="-5"/>
                <w:sz w:val="16"/>
              </w:rPr>
              <w:t>NA</w:t>
            </w:r>
          </w:p>
        </w:tc>
        <w:tc>
          <w:tcPr>
            <w:tcW w:w="3442" w:type="dxa"/>
            <w:gridSpan w:val="4"/>
            <w:tcBorders>
              <w:right w:val="nil"/>
            </w:tcBorders>
            <w:shd w:val="clear" w:color="auto" w:fill="CCE1EC"/>
          </w:tcPr>
          <w:p w14:paraId="334E06E7" w14:textId="77777777" w:rsidR="00141B97" w:rsidRDefault="00911D63">
            <w:pPr>
              <w:pStyle w:val="TableParagraph"/>
              <w:spacing w:before="97"/>
              <w:ind w:left="395"/>
              <w:rPr>
                <w:sz w:val="16"/>
              </w:rPr>
            </w:pPr>
            <w:r>
              <w:rPr>
                <w:sz w:val="16"/>
              </w:rPr>
              <w:t>=/&gt;</w:t>
            </w:r>
            <w:r>
              <w:rPr>
                <w:spacing w:val="-8"/>
                <w:sz w:val="16"/>
              </w:rPr>
              <w:t xml:space="preserve"> </w:t>
            </w:r>
            <w:r>
              <w:rPr>
                <w:sz w:val="16"/>
              </w:rPr>
              <w:t>progress</w:t>
            </w:r>
            <w:r>
              <w:rPr>
                <w:spacing w:val="-3"/>
                <w:sz w:val="16"/>
              </w:rPr>
              <w:t xml:space="preserve"> </w:t>
            </w:r>
            <w:r>
              <w:rPr>
                <w:sz w:val="16"/>
              </w:rPr>
              <w:t>against</w:t>
            </w:r>
            <w:r>
              <w:rPr>
                <w:spacing w:val="-6"/>
                <w:sz w:val="16"/>
              </w:rPr>
              <w:t xml:space="preserve"> </w:t>
            </w:r>
            <w:r>
              <w:rPr>
                <w:sz w:val="16"/>
              </w:rPr>
              <w:t>capital</w:t>
            </w:r>
            <w:r>
              <w:rPr>
                <w:spacing w:val="-4"/>
                <w:sz w:val="16"/>
              </w:rPr>
              <w:t xml:space="preserve"> </w:t>
            </w:r>
            <w:r>
              <w:rPr>
                <w:sz w:val="16"/>
              </w:rPr>
              <w:t>delivery</w:t>
            </w:r>
            <w:r>
              <w:rPr>
                <w:spacing w:val="-3"/>
                <w:sz w:val="16"/>
              </w:rPr>
              <w:t xml:space="preserve"> </w:t>
            </w:r>
            <w:r>
              <w:rPr>
                <w:spacing w:val="-4"/>
                <w:sz w:val="16"/>
              </w:rPr>
              <w:t>plan</w:t>
            </w:r>
          </w:p>
        </w:tc>
        <w:tc>
          <w:tcPr>
            <w:tcW w:w="834" w:type="dxa"/>
            <w:tcBorders>
              <w:left w:val="nil"/>
              <w:right w:val="nil"/>
            </w:tcBorders>
            <w:shd w:val="clear" w:color="auto" w:fill="CCE1EC"/>
          </w:tcPr>
          <w:p w14:paraId="536BAD8C" w14:textId="77777777" w:rsidR="00141B97" w:rsidRDefault="00911D63">
            <w:pPr>
              <w:pStyle w:val="TableParagraph"/>
              <w:spacing w:line="193" w:lineRule="exact"/>
              <w:ind w:left="229"/>
              <w:rPr>
                <w:sz w:val="16"/>
              </w:rPr>
            </w:pPr>
            <w:r>
              <w:rPr>
                <w:spacing w:val="-4"/>
                <w:sz w:val="16"/>
              </w:rPr>
              <w:t>100%</w:t>
            </w:r>
          </w:p>
          <w:p w14:paraId="64EDC7B2" w14:textId="77777777" w:rsidR="00141B97" w:rsidRDefault="00911D63">
            <w:pPr>
              <w:pStyle w:val="TableParagraph"/>
              <w:spacing w:line="177" w:lineRule="exact"/>
              <w:ind w:left="152"/>
              <w:rPr>
                <w:sz w:val="16"/>
              </w:rPr>
            </w:pPr>
            <w:r>
              <w:rPr>
                <w:spacing w:val="-2"/>
                <w:sz w:val="16"/>
              </w:rPr>
              <w:t>delivery</w:t>
            </w:r>
          </w:p>
        </w:tc>
      </w:tr>
      <w:tr w:rsidR="00141B97" w14:paraId="057F2E76" w14:textId="77777777">
        <w:trPr>
          <w:trHeight w:val="271"/>
          <w:tblCellSpacing w:w="9" w:type="dxa"/>
        </w:trPr>
        <w:tc>
          <w:tcPr>
            <w:tcW w:w="10094" w:type="dxa"/>
            <w:gridSpan w:val="7"/>
            <w:tcBorders>
              <w:left w:val="nil"/>
              <w:bottom w:val="nil"/>
              <w:right w:val="nil"/>
            </w:tcBorders>
            <w:shd w:val="clear" w:color="auto" w:fill="BEBEBE"/>
          </w:tcPr>
          <w:p w14:paraId="1EAD9D7B" w14:textId="77777777" w:rsidR="00141B97" w:rsidRDefault="00911D63">
            <w:pPr>
              <w:pStyle w:val="TableParagraph"/>
              <w:spacing w:before="39"/>
              <w:ind w:left="28"/>
              <w:rPr>
                <w:sz w:val="16"/>
              </w:rPr>
            </w:pPr>
            <w:r>
              <w:rPr>
                <w:sz w:val="16"/>
              </w:rPr>
              <w:t>Outcome</w:t>
            </w:r>
            <w:r>
              <w:rPr>
                <w:spacing w:val="-5"/>
                <w:sz w:val="16"/>
              </w:rPr>
              <w:t xml:space="preserve"> </w:t>
            </w:r>
            <w:r>
              <w:rPr>
                <w:sz w:val="16"/>
              </w:rPr>
              <w:t>2:</w:t>
            </w:r>
            <w:r>
              <w:rPr>
                <w:spacing w:val="-4"/>
                <w:sz w:val="16"/>
              </w:rPr>
              <w:t xml:space="preserve"> </w:t>
            </w:r>
            <w:r>
              <w:rPr>
                <w:sz w:val="16"/>
              </w:rPr>
              <w:t>Provide</w:t>
            </w:r>
            <w:r>
              <w:rPr>
                <w:spacing w:val="-4"/>
                <w:sz w:val="16"/>
              </w:rPr>
              <w:t xml:space="preserve"> </w:t>
            </w:r>
            <w:r>
              <w:rPr>
                <w:sz w:val="16"/>
              </w:rPr>
              <w:t>customers</w:t>
            </w:r>
            <w:r>
              <w:rPr>
                <w:spacing w:val="-4"/>
                <w:sz w:val="16"/>
              </w:rPr>
              <w:t xml:space="preserve"> </w:t>
            </w:r>
            <w:r>
              <w:rPr>
                <w:sz w:val="16"/>
              </w:rPr>
              <w:t>reliable</w:t>
            </w:r>
            <w:r>
              <w:rPr>
                <w:spacing w:val="-4"/>
                <w:sz w:val="16"/>
              </w:rPr>
              <w:t xml:space="preserve"> </w:t>
            </w:r>
            <w:r>
              <w:rPr>
                <w:sz w:val="16"/>
              </w:rPr>
              <w:t>and</w:t>
            </w:r>
            <w:r>
              <w:rPr>
                <w:spacing w:val="-4"/>
                <w:sz w:val="16"/>
              </w:rPr>
              <w:t xml:space="preserve"> </w:t>
            </w:r>
            <w:r>
              <w:rPr>
                <w:sz w:val="16"/>
              </w:rPr>
              <w:t>safe</w:t>
            </w:r>
            <w:r>
              <w:rPr>
                <w:spacing w:val="-4"/>
                <w:sz w:val="16"/>
              </w:rPr>
              <w:t xml:space="preserve"> </w:t>
            </w:r>
            <w:r>
              <w:rPr>
                <w:sz w:val="16"/>
              </w:rPr>
              <w:t>drinking</w:t>
            </w:r>
            <w:r>
              <w:rPr>
                <w:spacing w:val="-5"/>
                <w:sz w:val="16"/>
              </w:rPr>
              <w:t xml:space="preserve"> </w:t>
            </w:r>
            <w:r>
              <w:rPr>
                <w:spacing w:val="-2"/>
                <w:sz w:val="16"/>
              </w:rPr>
              <w:t>water</w:t>
            </w:r>
          </w:p>
        </w:tc>
      </w:tr>
      <w:tr w:rsidR="00141B97" w14:paraId="7683CF9A" w14:textId="77777777">
        <w:trPr>
          <w:trHeight w:val="380"/>
          <w:tblCellSpacing w:w="9" w:type="dxa"/>
        </w:trPr>
        <w:tc>
          <w:tcPr>
            <w:tcW w:w="4998" w:type="dxa"/>
            <w:tcBorders>
              <w:top w:val="nil"/>
              <w:left w:val="nil"/>
              <w:bottom w:val="nil"/>
              <w:right w:val="nil"/>
            </w:tcBorders>
            <w:shd w:val="clear" w:color="auto" w:fill="CCE1EC"/>
          </w:tcPr>
          <w:p w14:paraId="7B260FDF" w14:textId="77777777" w:rsidR="00141B97" w:rsidRDefault="00911D63">
            <w:pPr>
              <w:pStyle w:val="TableParagraph"/>
              <w:spacing w:line="190" w:lineRule="exact"/>
              <w:ind w:left="13"/>
              <w:rPr>
                <w:sz w:val="16"/>
              </w:rPr>
            </w:pPr>
            <w:r>
              <w:rPr>
                <w:sz w:val="16"/>
              </w:rPr>
              <w:t>%</w:t>
            </w:r>
            <w:r>
              <w:rPr>
                <w:spacing w:val="-6"/>
                <w:sz w:val="16"/>
              </w:rPr>
              <w:t xml:space="preserve"> </w:t>
            </w:r>
            <w:r>
              <w:rPr>
                <w:sz w:val="16"/>
              </w:rPr>
              <w:t>Compliance</w:t>
            </w:r>
            <w:r>
              <w:rPr>
                <w:spacing w:val="-6"/>
                <w:sz w:val="16"/>
              </w:rPr>
              <w:t xml:space="preserve"> </w:t>
            </w:r>
            <w:r>
              <w:rPr>
                <w:sz w:val="16"/>
              </w:rPr>
              <w:t>with</w:t>
            </w:r>
            <w:r>
              <w:rPr>
                <w:spacing w:val="-4"/>
                <w:sz w:val="16"/>
              </w:rPr>
              <w:t xml:space="preserve"> </w:t>
            </w:r>
            <w:r>
              <w:rPr>
                <w:sz w:val="16"/>
              </w:rPr>
              <w:t>Safe</w:t>
            </w:r>
            <w:r>
              <w:rPr>
                <w:spacing w:val="-5"/>
                <w:sz w:val="16"/>
              </w:rPr>
              <w:t xml:space="preserve"> </w:t>
            </w:r>
            <w:r>
              <w:rPr>
                <w:sz w:val="16"/>
              </w:rPr>
              <w:t>Drinking</w:t>
            </w:r>
            <w:r>
              <w:rPr>
                <w:spacing w:val="-5"/>
                <w:sz w:val="16"/>
              </w:rPr>
              <w:t xml:space="preserve"> </w:t>
            </w:r>
            <w:r>
              <w:rPr>
                <w:sz w:val="16"/>
              </w:rPr>
              <w:t>Water</w:t>
            </w:r>
            <w:r>
              <w:rPr>
                <w:spacing w:val="-5"/>
                <w:sz w:val="16"/>
              </w:rPr>
              <w:t xml:space="preserve"> </w:t>
            </w:r>
            <w:r>
              <w:rPr>
                <w:sz w:val="16"/>
              </w:rPr>
              <w:t>Regulations</w:t>
            </w:r>
            <w:r>
              <w:rPr>
                <w:spacing w:val="-3"/>
                <w:sz w:val="16"/>
              </w:rPr>
              <w:t xml:space="preserve"> </w:t>
            </w:r>
            <w:r>
              <w:rPr>
                <w:spacing w:val="-2"/>
                <w:sz w:val="16"/>
              </w:rPr>
              <w:t>Target</w:t>
            </w:r>
          </w:p>
          <w:p w14:paraId="7E3BE840" w14:textId="77777777" w:rsidR="00141B97" w:rsidRDefault="00911D63">
            <w:pPr>
              <w:pStyle w:val="TableParagraph"/>
              <w:spacing w:line="171" w:lineRule="exact"/>
              <w:ind w:left="13"/>
              <w:rPr>
                <w:sz w:val="16"/>
              </w:rPr>
            </w:pPr>
            <w:r>
              <w:rPr>
                <w:sz w:val="16"/>
              </w:rPr>
              <w:t>(schedule</w:t>
            </w:r>
            <w:r>
              <w:rPr>
                <w:spacing w:val="-6"/>
                <w:sz w:val="16"/>
              </w:rPr>
              <w:t xml:space="preserve"> </w:t>
            </w:r>
            <w:r>
              <w:rPr>
                <w:spacing w:val="-5"/>
                <w:sz w:val="16"/>
              </w:rPr>
              <w:t>2)</w:t>
            </w:r>
          </w:p>
        </w:tc>
        <w:tc>
          <w:tcPr>
            <w:tcW w:w="820" w:type="dxa"/>
            <w:tcBorders>
              <w:top w:val="nil"/>
              <w:left w:val="nil"/>
              <w:bottom w:val="nil"/>
            </w:tcBorders>
            <w:shd w:val="clear" w:color="auto" w:fill="CCE1EC"/>
          </w:tcPr>
          <w:p w14:paraId="5B49E465" w14:textId="77777777" w:rsidR="00141B97" w:rsidRDefault="00911D63">
            <w:pPr>
              <w:pStyle w:val="TableParagraph"/>
              <w:spacing w:before="90"/>
              <w:ind w:left="12"/>
              <w:rPr>
                <w:sz w:val="16"/>
              </w:rPr>
            </w:pPr>
            <w:r>
              <w:rPr>
                <w:spacing w:val="-4"/>
                <w:sz w:val="16"/>
              </w:rPr>
              <w:t>100%</w:t>
            </w:r>
          </w:p>
        </w:tc>
        <w:tc>
          <w:tcPr>
            <w:tcW w:w="4276" w:type="dxa"/>
            <w:gridSpan w:val="5"/>
            <w:tcBorders>
              <w:top w:val="nil"/>
              <w:bottom w:val="nil"/>
              <w:right w:val="nil"/>
            </w:tcBorders>
            <w:shd w:val="clear" w:color="auto" w:fill="CCE1EC"/>
          </w:tcPr>
          <w:p w14:paraId="3CCBEE5A" w14:textId="77777777" w:rsidR="00141B97" w:rsidRDefault="00911D63">
            <w:pPr>
              <w:pStyle w:val="TableParagraph"/>
              <w:spacing w:before="90"/>
              <w:ind w:left="1863" w:right="1851"/>
              <w:jc w:val="center"/>
              <w:rPr>
                <w:sz w:val="16"/>
              </w:rPr>
            </w:pPr>
            <w:r>
              <w:rPr>
                <w:spacing w:val="-4"/>
                <w:sz w:val="16"/>
              </w:rPr>
              <w:t>100%</w:t>
            </w:r>
          </w:p>
        </w:tc>
      </w:tr>
      <w:tr w:rsidR="00141B97" w14:paraId="08D10374" w14:textId="77777777">
        <w:trPr>
          <w:trHeight w:val="386"/>
          <w:tblCellSpacing w:w="9" w:type="dxa"/>
        </w:trPr>
        <w:tc>
          <w:tcPr>
            <w:tcW w:w="4998" w:type="dxa"/>
            <w:tcBorders>
              <w:top w:val="nil"/>
              <w:left w:val="nil"/>
              <w:right w:val="nil"/>
            </w:tcBorders>
            <w:shd w:val="clear" w:color="auto" w:fill="CCE1EC"/>
          </w:tcPr>
          <w:p w14:paraId="39C05024" w14:textId="77777777" w:rsidR="00141B97" w:rsidRDefault="00911D63">
            <w:pPr>
              <w:pStyle w:val="TableParagraph"/>
              <w:spacing w:line="190" w:lineRule="exact"/>
              <w:ind w:left="13"/>
              <w:rPr>
                <w:sz w:val="16"/>
              </w:rPr>
            </w:pPr>
            <w:r>
              <w:rPr>
                <w:sz w:val="16"/>
              </w:rPr>
              <w:t>Customer</w:t>
            </w:r>
            <w:r>
              <w:rPr>
                <w:spacing w:val="-4"/>
                <w:sz w:val="16"/>
              </w:rPr>
              <w:t xml:space="preserve"> </w:t>
            </w:r>
            <w:r>
              <w:rPr>
                <w:sz w:val="16"/>
              </w:rPr>
              <w:t>satisfaction</w:t>
            </w:r>
            <w:r>
              <w:rPr>
                <w:spacing w:val="-3"/>
                <w:sz w:val="16"/>
              </w:rPr>
              <w:t xml:space="preserve"> </w:t>
            </w:r>
            <w:r>
              <w:rPr>
                <w:sz w:val="16"/>
              </w:rPr>
              <w:t>of</w:t>
            </w:r>
            <w:r>
              <w:rPr>
                <w:spacing w:val="-6"/>
                <w:sz w:val="16"/>
              </w:rPr>
              <w:t xml:space="preserve"> </w:t>
            </w:r>
            <w:r>
              <w:rPr>
                <w:sz w:val="16"/>
              </w:rPr>
              <w:t>water</w:t>
            </w:r>
            <w:r>
              <w:rPr>
                <w:spacing w:val="-4"/>
                <w:sz w:val="16"/>
              </w:rPr>
              <w:t xml:space="preserve"> </w:t>
            </w:r>
            <w:r>
              <w:rPr>
                <w:sz w:val="16"/>
              </w:rPr>
              <w:t>services</w:t>
            </w:r>
            <w:r>
              <w:rPr>
                <w:spacing w:val="-2"/>
                <w:sz w:val="16"/>
              </w:rPr>
              <w:t xml:space="preserve"> </w:t>
            </w:r>
            <w:r>
              <w:rPr>
                <w:sz w:val="16"/>
              </w:rPr>
              <w:t>-</w:t>
            </w:r>
            <w:r>
              <w:rPr>
                <w:spacing w:val="-2"/>
                <w:sz w:val="16"/>
              </w:rPr>
              <w:t xml:space="preserve"> </w:t>
            </w:r>
            <w:r>
              <w:rPr>
                <w:sz w:val="16"/>
              </w:rPr>
              <w:t>Target</w:t>
            </w:r>
            <w:r>
              <w:rPr>
                <w:spacing w:val="-4"/>
                <w:sz w:val="16"/>
              </w:rPr>
              <w:t xml:space="preserve"> </w:t>
            </w:r>
            <w:r>
              <w:rPr>
                <w:sz w:val="16"/>
              </w:rPr>
              <w:t>=</w:t>
            </w:r>
            <w:r>
              <w:rPr>
                <w:spacing w:val="-5"/>
                <w:sz w:val="16"/>
              </w:rPr>
              <w:t xml:space="preserve"> </w:t>
            </w:r>
            <w:r>
              <w:rPr>
                <w:sz w:val="16"/>
              </w:rPr>
              <w:t>&gt;/=</w:t>
            </w:r>
            <w:r>
              <w:rPr>
                <w:spacing w:val="-5"/>
                <w:sz w:val="16"/>
              </w:rPr>
              <w:t xml:space="preserve"> </w:t>
            </w:r>
            <w:r>
              <w:rPr>
                <w:sz w:val="16"/>
              </w:rPr>
              <w:t>prior</w:t>
            </w:r>
            <w:r>
              <w:rPr>
                <w:spacing w:val="-3"/>
                <w:sz w:val="16"/>
              </w:rPr>
              <w:t xml:space="preserve"> </w:t>
            </w:r>
            <w:r>
              <w:rPr>
                <w:spacing w:val="-4"/>
                <w:sz w:val="16"/>
              </w:rPr>
              <w:t>year</w:t>
            </w:r>
          </w:p>
          <w:p w14:paraId="21CF3F09" w14:textId="77777777" w:rsidR="00141B97" w:rsidRDefault="00911D63">
            <w:pPr>
              <w:pStyle w:val="TableParagraph"/>
              <w:spacing w:line="177" w:lineRule="exact"/>
              <w:ind w:left="13"/>
              <w:rPr>
                <w:sz w:val="16"/>
              </w:rPr>
            </w:pPr>
            <w:r>
              <w:rPr>
                <w:sz w:val="16"/>
              </w:rPr>
              <w:t>performance</w:t>
            </w:r>
            <w:r>
              <w:rPr>
                <w:spacing w:val="-5"/>
                <w:sz w:val="16"/>
              </w:rPr>
              <w:t xml:space="preserve"> </w:t>
            </w:r>
            <w:r>
              <w:rPr>
                <w:sz w:val="16"/>
              </w:rPr>
              <w:t>of</w:t>
            </w:r>
            <w:r>
              <w:rPr>
                <w:spacing w:val="-5"/>
                <w:sz w:val="16"/>
              </w:rPr>
              <w:t xml:space="preserve"> </w:t>
            </w:r>
            <w:r>
              <w:rPr>
                <w:sz w:val="16"/>
              </w:rPr>
              <w:t>survey</w:t>
            </w:r>
            <w:r>
              <w:rPr>
                <w:spacing w:val="-4"/>
                <w:sz w:val="16"/>
              </w:rPr>
              <w:t xml:space="preserve"> </w:t>
            </w:r>
            <w:r>
              <w:rPr>
                <w:spacing w:val="-2"/>
                <w:sz w:val="16"/>
              </w:rPr>
              <w:t>respondents</w:t>
            </w:r>
          </w:p>
        </w:tc>
        <w:tc>
          <w:tcPr>
            <w:tcW w:w="820" w:type="dxa"/>
            <w:tcBorders>
              <w:top w:val="nil"/>
              <w:left w:val="nil"/>
            </w:tcBorders>
            <w:shd w:val="clear" w:color="auto" w:fill="CCE1EC"/>
          </w:tcPr>
          <w:p w14:paraId="26B1FA76" w14:textId="77777777" w:rsidR="00141B97" w:rsidRDefault="00911D63">
            <w:pPr>
              <w:pStyle w:val="TableParagraph"/>
              <w:spacing w:before="90"/>
              <w:ind w:left="12"/>
              <w:rPr>
                <w:sz w:val="16"/>
              </w:rPr>
            </w:pPr>
            <w:r>
              <w:rPr>
                <w:spacing w:val="-5"/>
                <w:sz w:val="16"/>
              </w:rPr>
              <w:t>NA</w:t>
            </w:r>
          </w:p>
        </w:tc>
        <w:tc>
          <w:tcPr>
            <w:tcW w:w="888" w:type="dxa"/>
            <w:tcBorders>
              <w:top w:val="nil"/>
            </w:tcBorders>
            <w:shd w:val="clear" w:color="auto" w:fill="CCE1EC"/>
          </w:tcPr>
          <w:p w14:paraId="14E25191" w14:textId="77777777" w:rsidR="00141B97" w:rsidRDefault="00911D63">
            <w:pPr>
              <w:pStyle w:val="TableParagraph"/>
              <w:spacing w:before="90"/>
              <w:ind w:left="18"/>
              <w:rPr>
                <w:sz w:val="16"/>
              </w:rPr>
            </w:pPr>
            <w:r>
              <w:rPr>
                <w:spacing w:val="-2"/>
                <w:sz w:val="16"/>
              </w:rPr>
              <w:t>=/&gt;22/23</w:t>
            </w:r>
          </w:p>
        </w:tc>
        <w:tc>
          <w:tcPr>
            <w:tcW w:w="848" w:type="dxa"/>
            <w:tcBorders>
              <w:top w:val="nil"/>
              <w:right w:val="nil"/>
            </w:tcBorders>
            <w:shd w:val="clear" w:color="auto" w:fill="CCE1EC"/>
          </w:tcPr>
          <w:p w14:paraId="495FF334" w14:textId="77777777" w:rsidR="00141B97" w:rsidRDefault="00911D63">
            <w:pPr>
              <w:pStyle w:val="TableParagraph"/>
              <w:spacing w:before="90"/>
              <w:ind w:left="111" w:right="113"/>
              <w:jc w:val="center"/>
              <w:rPr>
                <w:sz w:val="16"/>
              </w:rPr>
            </w:pPr>
            <w:r>
              <w:rPr>
                <w:spacing w:val="-2"/>
                <w:sz w:val="16"/>
              </w:rPr>
              <w:t>=/&gt;23/24</w:t>
            </w:r>
          </w:p>
        </w:tc>
        <w:tc>
          <w:tcPr>
            <w:tcW w:w="847" w:type="dxa"/>
            <w:tcBorders>
              <w:top w:val="nil"/>
              <w:left w:val="nil"/>
              <w:right w:val="nil"/>
            </w:tcBorders>
            <w:shd w:val="clear" w:color="auto" w:fill="CCE1EC"/>
          </w:tcPr>
          <w:p w14:paraId="0101EF55" w14:textId="77777777" w:rsidR="00141B97" w:rsidRDefault="00911D63">
            <w:pPr>
              <w:pStyle w:val="TableParagraph"/>
              <w:spacing w:before="90"/>
              <w:ind w:left="12"/>
              <w:rPr>
                <w:sz w:val="16"/>
              </w:rPr>
            </w:pPr>
            <w:r>
              <w:rPr>
                <w:spacing w:val="-2"/>
                <w:sz w:val="16"/>
              </w:rPr>
              <w:t>=/&gt;24/25</w:t>
            </w:r>
          </w:p>
        </w:tc>
        <w:tc>
          <w:tcPr>
            <w:tcW w:w="859" w:type="dxa"/>
            <w:tcBorders>
              <w:top w:val="nil"/>
              <w:left w:val="nil"/>
              <w:right w:val="nil"/>
            </w:tcBorders>
            <w:shd w:val="clear" w:color="auto" w:fill="CCE1EC"/>
          </w:tcPr>
          <w:p w14:paraId="42473066" w14:textId="77777777" w:rsidR="00141B97" w:rsidRDefault="00911D63">
            <w:pPr>
              <w:pStyle w:val="TableParagraph"/>
              <w:spacing w:before="90"/>
              <w:ind w:left="12"/>
              <w:rPr>
                <w:sz w:val="16"/>
              </w:rPr>
            </w:pPr>
            <w:r>
              <w:rPr>
                <w:spacing w:val="-2"/>
                <w:sz w:val="16"/>
              </w:rPr>
              <w:t>=/&gt;25/26</w:t>
            </w:r>
          </w:p>
        </w:tc>
        <w:tc>
          <w:tcPr>
            <w:tcW w:w="834" w:type="dxa"/>
            <w:tcBorders>
              <w:top w:val="nil"/>
              <w:left w:val="nil"/>
              <w:right w:val="nil"/>
            </w:tcBorders>
            <w:shd w:val="clear" w:color="auto" w:fill="CCE1EC"/>
          </w:tcPr>
          <w:p w14:paraId="40188C74" w14:textId="77777777" w:rsidR="00141B97" w:rsidRDefault="00911D63">
            <w:pPr>
              <w:pStyle w:val="TableParagraph"/>
              <w:spacing w:before="90"/>
              <w:ind w:right="189"/>
              <w:jc w:val="right"/>
              <w:rPr>
                <w:sz w:val="16"/>
              </w:rPr>
            </w:pPr>
            <w:r>
              <w:rPr>
                <w:spacing w:val="-2"/>
                <w:sz w:val="16"/>
              </w:rPr>
              <w:t>=/&gt;26/27</w:t>
            </w:r>
          </w:p>
        </w:tc>
      </w:tr>
      <w:tr w:rsidR="00141B97" w14:paraId="283C380C" w14:textId="77777777">
        <w:trPr>
          <w:trHeight w:val="390"/>
          <w:tblCellSpacing w:w="9" w:type="dxa"/>
        </w:trPr>
        <w:tc>
          <w:tcPr>
            <w:tcW w:w="4998" w:type="dxa"/>
            <w:tcBorders>
              <w:left w:val="nil"/>
              <w:right w:val="nil"/>
            </w:tcBorders>
            <w:shd w:val="clear" w:color="auto" w:fill="CCE1EC"/>
          </w:tcPr>
          <w:p w14:paraId="557E2D4A" w14:textId="77777777" w:rsidR="00141B97" w:rsidRDefault="00911D63">
            <w:pPr>
              <w:pStyle w:val="TableParagraph"/>
              <w:spacing w:line="193" w:lineRule="exact"/>
              <w:ind w:left="13"/>
              <w:rPr>
                <w:sz w:val="16"/>
              </w:rPr>
            </w:pPr>
            <w:r>
              <w:rPr>
                <w:sz w:val="16"/>
              </w:rPr>
              <w:t>Customer</w:t>
            </w:r>
            <w:r>
              <w:rPr>
                <w:spacing w:val="-4"/>
                <w:sz w:val="16"/>
              </w:rPr>
              <w:t xml:space="preserve"> </w:t>
            </w:r>
            <w:r>
              <w:rPr>
                <w:sz w:val="16"/>
              </w:rPr>
              <w:t>satisfaction</w:t>
            </w:r>
            <w:r>
              <w:rPr>
                <w:spacing w:val="-2"/>
                <w:sz w:val="16"/>
              </w:rPr>
              <w:t xml:space="preserve"> </w:t>
            </w:r>
            <w:r>
              <w:rPr>
                <w:sz w:val="16"/>
              </w:rPr>
              <w:t>of</w:t>
            </w:r>
            <w:r>
              <w:rPr>
                <w:spacing w:val="-6"/>
                <w:sz w:val="16"/>
              </w:rPr>
              <w:t xml:space="preserve"> </w:t>
            </w:r>
            <w:r>
              <w:rPr>
                <w:sz w:val="16"/>
              </w:rPr>
              <w:t>water</w:t>
            </w:r>
            <w:r>
              <w:rPr>
                <w:spacing w:val="-3"/>
                <w:sz w:val="16"/>
              </w:rPr>
              <w:t xml:space="preserve"> </w:t>
            </w:r>
            <w:r>
              <w:rPr>
                <w:sz w:val="16"/>
              </w:rPr>
              <w:t>quality</w:t>
            </w:r>
            <w:r>
              <w:rPr>
                <w:spacing w:val="-4"/>
                <w:sz w:val="16"/>
              </w:rPr>
              <w:t xml:space="preserve"> </w:t>
            </w:r>
            <w:r>
              <w:rPr>
                <w:sz w:val="16"/>
              </w:rPr>
              <w:t>-</w:t>
            </w:r>
            <w:r>
              <w:rPr>
                <w:spacing w:val="-2"/>
                <w:sz w:val="16"/>
              </w:rPr>
              <w:t xml:space="preserve"> </w:t>
            </w:r>
            <w:r>
              <w:rPr>
                <w:sz w:val="16"/>
              </w:rPr>
              <w:t>Target</w:t>
            </w:r>
            <w:r>
              <w:rPr>
                <w:spacing w:val="-3"/>
                <w:sz w:val="16"/>
              </w:rPr>
              <w:t xml:space="preserve"> </w:t>
            </w:r>
            <w:r>
              <w:rPr>
                <w:sz w:val="16"/>
              </w:rPr>
              <w:t>=</w:t>
            </w:r>
            <w:r>
              <w:rPr>
                <w:spacing w:val="-4"/>
                <w:sz w:val="16"/>
              </w:rPr>
              <w:t xml:space="preserve"> </w:t>
            </w:r>
            <w:r>
              <w:rPr>
                <w:sz w:val="16"/>
              </w:rPr>
              <w:t>&gt;/=</w:t>
            </w:r>
            <w:r>
              <w:rPr>
                <w:spacing w:val="-5"/>
                <w:sz w:val="16"/>
              </w:rPr>
              <w:t xml:space="preserve"> </w:t>
            </w:r>
            <w:r>
              <w:rPr>
                <w:sz w:val="16"/>
              </w:rPr>
              <w:t>prior</w:t>
            </w:r>
            <w:r>
              <w:rPr>
                <w:spacing w:val="-3"/>
                <w:sz w:val="16"/>
              </w:rPr>
              <w:t xml:space="preserve"> </w:t>
            </w:r>
            <w:r>
              <w:rPr>
                <w:sz w:val="16"/>
              </w:rPr>
              <w:t>year</w:t>
            </w:r>
            <w:r>
              <w:rPr>
                <w:spacing w:val="-3"/>
                <w:sz w:val="16"/>
              </w:rPr>
              <w:t xml:space="preserve"> </w:t>
            </w:r>
            <w:r>
              <w:rPr>
                <w:spacing w:val="-2"/>
                <w:sz w:val="16"/>
              </w:rPr>
              <w:t>performance</w:t>
            </w:r>
          </w:p>
          <w:p w14:paraId="649C59E8" w14:textId="77777777" w:rsidR="00141B97" w:rsidRDefault="00911D63">
            <w:pPr>
              <w:pStyle w:val="TableParagraph"/>
              <w:spacing w:line="177" w:lineRule="exact"/>
              <w:ind w:left="13"/>
              <w:rPr>
                <w:sz w:val="16"/>
              </w:rPr>
            </w:pPr>
            <w:r>
              <w:rPr>
                <w:sz w:val="16"/>
              </w:rPr>
              <w:t>for</w:t>
            </w:r>
            <w:r>
              <w:rPr>
                <w:spacing w:val="-3"/>
                <w:sz w:val="16"/>
              </w:rPr>
              <w:t xml:space="preserve"> </w:t>
            </w:r>
            <w:r>
              <w:rPr>
                <w:sz w:val="16"/>
              </w:rPr>
              <w:t>survey</w:t>
            </w:r>
            <w:r>
              <w:rPr>
                <w:spacing w:val="-2"/>
                <w:sz w:val="16"/>
              </w:rPr>
              <w:t xml:space="preserve"> respondents</w:t>
            </w:r>
          </w:p>
        </w:tc>
        <w:tc>
          <w:tcPr>
            <w:tcW w:w="820" w:type="dxa"/>
            <w:tcBorders>
              <w:left w:val="nil"/>
            </w:tcBorders>
            <w:shd w:val="clear" w:color="auto" w:fill="CCE1EC"/>
          </w:tcPr>
          <w:p w14:paraId="5D31F3F1" w14:textId="77777777" w:rsidR="00141B97" w:rsidRDefault="00911D63">
            <w:pPr>
              <w:pStyle w:val="TableParagraph"/>
              <w:spacing w:before="97"/>
              <w:ind w:left="12"/>
              <w:rPr>
                <w:sz w:val="16"/>
              </w:rPr>
            </w:pPr>
            <w:r>
              <w:rPr>
                <w:spacing w:val="-2"/>
                <w:sz w:val="16"/>
              </w:rPr>
              <w:t>90/94%</w:t>
            </w:r>
          </w:p>
        </w:tc>
        <w:tc>
          <w:tcPr>
            <w:tcW w:w="888" w:type="dxa"/>
            <w:shd w:val="clear" w:color="auto" w:fill="CCE1EC"/>
          </w:tcPr>
          <w:p w14:paraId="60685C82" w14:textId="77777777" w:rsidR="00141B97" w:rsidRDefault="00911D63">
            <w:pPr>
              <w:pStyle w:val="TableParagraph"/>
              <w:spacing w:before="97"/>
              <w:ind w:left="18"/>
              <w:rPr>
                <w:sz w:val="16"/>
              </w:rPr>
            </w:pPr>
            <w:r>
              <w:rPr>
                <w:spacing w:val="-2"/>
                <w:sz w:val="16"/>
              </w:rPr>
              <w:t>=/&gt;22/23</w:t>
            </w:r>
          </w:p>
        </w:tc>
        <w:tc>
          <w:tcPr>
            <w:tcW w:w="848" w:type="dxa"/>
            <w:tcBorders>
              <w:right w:val="nil"/>
            </w:tcBorders>
            <w:shd w:val="clear" w:color="auto" w:fill="CCE1EC"/>
          </w:tcPr>
          <w:p w14:paraId="1EB1E003" w14:textId="77777777" w:rsidR="00141B97" w:rsidRDefault="00911D63">
            <w:pPr>
              <w:pStyle w:val="TableParagraph"/>
              <w:spacing w:before="97"/>
              <w:ind w:left="111" w:right="113"/>
              <w:jc w:val="center"/>
              <w:rPr>
                <w:sz w:val="16"/>
              </w:rPr>
            </w:pPr>
            <w:r>
              <w:rPr>
                <w:spacing w:val="-2"/>
                <w:sz w:val="16"/>
              </w:rPr>
              <w:t>=/&gt;23/24</w:t>
            </w:r>
          </w:p>
        </w:tc>
        <w:tc>
          <w:tcPr>
            <w:tcW w:w="847" w:type="dxa"/>
            <w:tcBorders>
              <w:left w:val="nil"/>
              <w:right w:val="nil"/>
            </w:tcBorders>
            <w:shd w:val="clear" w:color="auto" w:fill="CCE1EC"/>
          </w:tcPr>
          <w:p w14:paraId="28EBA570" w14:textId="77777777" w:rsidR="00141B97" w:rsidRDefault="00911D63">
            <w:pPr>
              <w:pStyle w:val="TableParagraph"/>
              <w:spacing w:before="97"/>
              <w:ind w:left="12"/>
              <w:rPr>
                <w:sz w:val="16"/>
              </w:rPr>
            </w:pPr>
            <w:r>
              <w:rPr>
                <w:spacing w:val="-2"/>
                <w:sz w:val="16"/>
              </w:rPr>
              <w:t>=/&gt;24/25</w:t>
            </w:r>
          </w:p>
        </w:tc>
        <w:tc>
          <w:tcPr>
            <w:tcW w:w="859" w:type="dxa"/>
            <w:tcBorders>
              <w:left w:val="nil"/>
              <w:right w:val="nil"/>
            </w:tcBorders>
            <w:shd w:val="clear" w:color="auto" w:fill="CCE1EC"/>
          </w:tcPr>
          <w:p w14:paraId="73368510" w14:textId="77777777" w:rsidR="00141B97" w:rsidRDefault="00911D63">
            <w:pPr>
              <w:pStyle w:val="TableParagraph"/>
              <w:spacing w:before="97"/>
              <w:ind w:left="12"/>
              <w:rPr>
                <w:sz w:val="16"/>
              </w:rPr>
            </w:pPr>
            <w:r>
              <w:rPr>
                <w:spacing w:val="-2"/>
                <w:sz w:val="16"/>
              </w:rPr>
              <w:t>=/&gt;25/26</w:t>
            </w:r>
          </w:p>
        </w:tc>
        <w:tc>
          <w:tcPr>
            <w:tcW w:w="834" w:type="dxa"/>
            <w:tcBorders>
              <w:left w:val="nil"/>
              <w:right w:val="nil"/>
            </w:tcBorders>
            <w:shd w:val="clear" w:color="auto" w:fill="CCE1EC"/>
          </w:tcPr>
          <w:p w14:paraId="0D9BACAE" w14:textId="77777777" w:rsidR="00141B97" w:rsidRDefault="00911D63">
            <w:pPr>
              <w:pStyle w:val="TableParagraph"/>
              <w:spacing w:before="97"/>
              <w:ind w:right="189"/>
              <w:jc w:val="right"/>
              <w:rPr>
                <w:sz w:val="16"/>
              </w:rPr>
            </w:pPr>
            <w:r>
              <w:rPr>
                <w:spacing w:val="-2"/>
                <w:sz w:val="16"/>
              </w:rPr>
              <w:t>=/&gt;26/27</w:t>
            </w:r>
          </w:p>
        </w:tc>
      </w:tr>
      <w:tr w:rsidR="00141B97" w14:paraId="39241A23" w14:textId="77777777">
        <w:trPr>
          <w:trHeight w:val="189"/>
          <w:tblCellSpacing w:w="9" w:type="dxa"/>
        </w:trPr>
        <w:tc>
          <w:tcPr>
            <w:tcW w:w="4998" w:type="dxa"/>
            <w:tcBorders>
              <w:left w:val="nil"/>
              <w:bottom w:val="nil"/>
              <w:right w:val="nil"/>
            </w:tcBorders>
            <w:shd w:val="clear" w:color="auto" w:fill="CCE1EC"/>
          </w:tcPr>
          <w:p w14:paraId="293EFDFA" w14:textId="77777777" w:rsidR="00141B97" w:rsidRDefault="00911D63">
            <w:pPr>
              <w:pStyle w:val="TableParagraph"/>
              <w:spacing w:line="170" w:lineRule="exact"/>
              <w:ind w:left="13"/>
              <w:rPr>
                <w:sz w:val="16"/>
              </w:rPr>
            </w:pPr>
            <w:r>
              <w:rPr>
                <w:sz w:val="16"/>
              </w:rPr>
              <w:t>Number</w:t>
            </w:r>
            <w:r>
              <w:rPr>
                <w:spacing w:val="-4"/>
                <w:sz w:val="16"/>
              </w:rPr>
              <w:t xml:space="preserve"> </w:t>
            </w:r>
            <w:r>
              <w:rPr>
                <w:sz w:val="16"/>
              </w:rPr>
              <w:t>of</w:t>
            </w:r>
            <w:r>
              <w:rPr>
                <w:spacing w:val="-4"/>
                <w:sz w:val="16"/>
              </w:rPr>
              <w:t xml:space="preserve"> </w:t>
            </w:r>
            <w:r>
              <w:rPr>
                <w:sz w:val="16"/>
              </w:rPr>
              <w:t>taste</w:t>
            </w:r>
            <w:r>
              <w:rPr>
                <w:spacing w:val="-4"/>
                <w:sz w:val="16"/>
              </w:rPr>
              <w:t xml:space="preserve"> </w:t>
            </w:r>
            <w:r>
              <w:rPr>
                <w:sz w:val="16"/>
              </w:rPr>
              <w:t>and</w:t>
            </w:r>
            <w:r>
              <w:rPr>
                <w:spacing w:val="-3"/>
                <w:sz w:val="16"/>
              </w:rPr>
              <w:t xml:space="preserve"> </w:t>
            </w:r>
            <w:r>
              <w:rPr>
                <w:sz w:val="16"/>
              </w:rPr>
              <w:t>odour</w:t>
            </w:r>
            <w:r>
              <w:rPr>
                <w:spacing w:val="-6"/>
                <w:sz w:val="16"/>
              </w:rPr>
              <w:t xml:space="preserve"> </w:t>
            </w:r>
            <w:r>
              <w:rPr>
                <w:sz w:val="16"/>
              </w:rPr>
              <w:t>complaints</w:t>
            </w:r>
            <w:r>
              <w:rPr>
                <w:spacing w:val="-3"/>
                <w:sz w:val="16"/>
              </w:rPr>
              <w:t xml:space="preserve"> </w:t>
            </w:r>
            <w:r>
              <w:rPr>
                <w:sz w:val="16"/>
              </w:rPr>
              <w:t>per</w:t>
            </w:r>
            <w:r>
              <w:rPr>
                <w:spacing w:val="-3"/>
                <w:sz w:val="16"/>
              </w:rPr>
              <w:t xml:space="preserve"> </w:t>
            </w:r>
            <w:r>
              <w:rPr>
                <w:spacing w:val="-4"/>
                <w:sz w:val="16"/>
              </w:rPr>
              <w:t>year.</w:t>
            </w:r>
          </w:p>
        </w:tc>
        <w:tc>
          <w:tcPr>
            <w:tcW w:w="820" w:type="dxa"/>
            <w:tcBorders>
              <w:left w:val="nil"/>
              <w:bottom w:val="nil"/>
            </w:tcBorders>
            <w:shd w:val="clear" w:color="auto" w:fill="CCE1EC"/>
          </w:tcPr>
          <w:p w14:paraId="70A21C96" w14:textId="77777777" w:rsidR="00141B97" w:rsidRDefault="00911D63">
            <w:pPr>
              <w:pStyle w:val="TableParagraph"/>
              <w:spacing w:line="170" w:lineRule="exact"/>
              <w:ind w:left="12"/>
              <w:rPr>
                <w:sz w:val="16"/>
              </w:rPr>
            </w:pPr>
            <w:r>
              <w:rPr>
                <w:spacing w:val="-5"/>
                <w:sz w:val="16"/>
              </w:rPr>
              <w:t>13</w:t>
            </w:r>
          </w:p>
        </w:tc>
        <w:tc>
          <w:tcPr>
            <w:tcW w:w="4276" w:type="dxa"/>
            <w:gridSpan w:val="5"/>
            <w:tcBorders>
              <w:bottom w:val="nil"/>
              <w:right w:val="nil"/>
            </w:tcBorders>
            <w:shd w:val="clear" w:color="auto" w:fill="CCE1EC"/>
          </w:tcPr>
          <w:p w14:paraId="162F8C3F" w14:textId="77777777" w:rsidR="00141B97" w:rsidRDefault="00911D63">
            <w:pPr>
              <w:pStyle w:val="TableParagraph"/>
              <w:spacing w:line="170" w:lineRule="exact"/>
              <w:ind w:left="1863" w:right="1854"/>
              <w:jc w:val="center"/>
              <w:rPr>
                <w:sz w:val="16"/>
              </w:rPr>
            </w:pPr>
            <w:r>
              <w:rPr>
                <w:sz w:val="16"/>
              </w:rPr>
              <w:t>&lt;</w:t>
            </w:r>
            <w:r>
              <w:rPr>
                <w:spacing w:val="-2"/>
                <w:sz w:val="16"/>
              </w:rPr>
              <w:t xml:space="preserve"> </w:t>
            </w:r>
            <w:r>
              <w:rPr>
                <w:spacing w:val="-5"/>
                <w:sz w:val="16"/>
              </w:rPr>
              <w:t>25</w:t>
            </w:r>
          </w:p>
        </w:tc>
      </w:tr>
      <w:tr w:rsidR="00141B97" w14:paraId="1D1F6C90" w14:textId="77777777">
        <w:trPr>
          <w:trHeight w:val="189"/>
          <w:tblCellSpacing w:w="9" w:type="dxa"/>
        </w:trPr>
        <w:tc>
          <w:tcPr>
            <w:tcW w:w="4998" w:type="dxa"/>
            <w:tcBorders>
              <w:top w:val="nil"/>
              <w:left w:val="nil"/>
              <w:right w:val="nil"/>
            </w:tcBorders>
            <w:shd w:val="clear" w:color="auto" w:fill="CCE1EC"/>
          </w:tcPr>
          <w:p w14:paraId="390B94F8" w14:textId="77777777" w:rsidR="00141B97" w:rsidRDefault="00911D63">
            <w:pPr>
              <w:pStyle w:val="TableParagraph"/>
              <w:spacing w:line="170" w:lineRule="exact"/>
              <w:ind w:left="13"/>
              <w:rPr>
                <w:sz w:val="16"/>
              </w:rPr>
            </w:pPr>
            <w:r>
              <w:rPr>
                <w:sz w:val="16"/>
              </w:rPr>
              <w:t>Number</w:t>
            </w:r>
            <w:r>
              <w:rPr>
                <w:spacing w:val="-4"/>
                <w:sz w:val="16"/>
              </w:rPr>
              <w:t xml:space="preserve"> </w:t>
            </w:r>
            <w:r>
              <w:rPr>
                <w:sz w:val="16"/>
              </w:rPr>
              <w:t>of</w:t>
            </w:r>
            <w:r>
              <w:rPr>
                <w:spacing w:val="-4"/>
                <w:sz w:val="16"/>
              </w:rPr>
              <w:t xml:space="preserve"> </w:t>
            </w:r>
            <w:r>
              <w:rPr>
                <w:sz w:val="16"/>
              </w:rPr>
              <w:t>boil</w:t>
            </w:r>
            <w:r>
              <w:rPr>
                <w:spacing w:val="-3"/>
                <w:sz w:val="16"/>
              </w:rPr>
              <w:t xml:space="preserve"> </w:t>
            </w:r>
            <w:r>
              <w:rPr>
                <w:sz w:val="16"/>
              </w:rPr>
              <w:t>water</w:t>
            </w:r>
            <w:r>
              <w:rPr>
                <w:spacing w:val="-4"/>
                <w:sz w:val="16"/>
              </w:rPr>
              <w:t xml:space="preserve"> </w:t>
            </w:r>
            <w:r>
              <w:rPr>
                <w:sz w:val="16"/>
              </w:rPr>
              <w:t>notices</w:t>
            </w:r>
            <w:r>
              <w:rPr>
                <w:spacing w:val="-3"/>
                <w:sz w:val="16"/>
              </w:rPr>
              <w:t xml:space="preserve"> </w:t>
            </w:r>
            <w:r>
              <w:rPr>
                <w:sz w:val="16"/>
              </w:rPr>
              <w:t>per</w:t>
            </w:r>
            <w:r>
              <w:rPr>
                <w:spacing w:val="-5"/>
                <w:sz w:val="16"/>
              </w:rPr>
              <w:t xml:space="preserve"> </w:t>
            </w:r>
            <w:r>
              <w:rPr>
                <w:spacing w:val="-4"/>
                <w:sz w:val="16"/>
              </w:rPr>
              <w:t>year.</w:t>
            </w:r>
          </w:p>
        </w:tc>
        <w:tc>
          <w:tcPr>
            <w:tcW w:w="820" w:type="dxa"/>
            <w:tcBorders>
              <w:top w:val="nil"/>
              <w:left w:val="nil"/>
            </w:tcBorders>
            <w:shd w:val="clear" w:color="auto" w:fill="CCE1EC"/>
          </w:tcPr>
          <w:p w14:paraId="0C5EC949" w14:textId="77777777" w:rsidR="00141B97" w:rsidRDefault="00911D63">
            <w:pPr>
              <w:pStyle w:val="TableParagraph"/>
              <w:spacing w:line="170" w:lineRule="exact"/>
              <w:ind w:left="12"/>
              <w:rPr>
                <w:sz w:val="16"/>
              </w:rPr>
            </w:pPr>
            <w:r>
              <w:rPr>
                <w:sz w:val="16"/>
              </w:rPr>
              <w:t>0</w:t>
            </w:r>
          </w:p>
        </w:tc>
        <w:tc>
          <w:tcPr>
            <w:tcW w:w="4276" w:type="dxa"/>
            <w:gridSpan w:val="5"/>
            <w:tcBorders>
              <w:top w:val="nil"/>
              <w:right w:val="nil"/>
            </w:tcBorders>
            <w:shd w:val="clear" w:color="auto" w:fill="CCE1EC"/>
          </w:tcPr>
          <w:p w14:paraId="2B5CAB2B" w14:textId="77777777" w:rsidR="00141B97" w:rsidRDefault="00911D63">
            <w:pPr>
              <w:pStyle w:val="TableParagraph"/>
              <w:spacing w:line="170" w:lineRule="exact"/>
              <w:ind w:left="9"/>
              <w:jc w:val="center"/>
              <w:rPr>
                <w:sz w:val="16"/>
              </w:rPr>
            </w:pPr>
            <w:r>
              <w:rPr>
                <w:sz w:val="16"/>
              </w:rPr>
              <w:t>0</w:t>
            </w:r>
          </w:p>
        </w:tc>
      </w:tr>
      <w:tr w:rsidR="00141B97" w14:paraId="30D5D676" w14:textId="77777777">
        <w:trPr>
          <w:trHeight w:val="242"/>
          <w:tblCellSpacing w:w="9" w:type="dxa"/>
        </w:trPr>
        <w:tc>
          <w:tcPr>
            <w:tcW w:w="10094" w:type="dxa"/>
            <w:gridSpan w:val="7"/>
            <w:tcBorders>
              <w:left w:val="nil"/>
              <w:bottom w:val="nil"/>
              <w:right w:val="nil"/>
            </w:tcBorders>
            <w:shd w:val="clear" w:color="auto" w:fill="BEBEBE"/>
          </w:tcPr>
          <w:p w14:paraId="59947EEB" w14:textId="77777777" w:rsidR="00141B97" w:rsidRDefault="00911D63">
            <w:pPr>
              <w:pStyle w:val="TableParagraph"/>
              <w:spacing w:before="25"/>
              <w:ind w:left="28"/>
              <w:rPr>
                <w:sz w:val="16"/>
              </w:rPr>
            </w:pPr>
            <w:r>
              <w:rPr>
                <w:sz w:val="16"/>
              </w:rPr>
              <w:t>Outcome</w:t>
            </w:r>
            <w:r>
              <w:rPr>
                <w:spacing w:val="-5"/>
                <w:sz w:val="16"/>
              </w:rPr>
              <w:t xml:space="preserve"> </w:t>
            </w:r>
            <w:r>
              <w:rPr>
                <w:sz w:val="16"/>
              </w:rPr>
              <w:t>3:</w:t>
            </w:r>
            <w:r>
              <w:rPr>
                <w:spacing w:val="-5"/>
                <w:sz w:val="16"/>
              </w:rPr>
              <w:t xml:space="preserve"> </w:t>
            </w:r>
            <w:r>
              <w:rPr>
                <w:sz w:val="16"/>
              </w:rPr>
              <w:t>Provide</w:t>
            </w:r>
            <w:r>
              <w:rPr>
                <w:spacing w:val="-4"/>
                <w:sz w:val="16"/>
              </w:rPr>
              <w:t xml:space="preserve"> </w:t>
            </w:r>
            <w:r>
              <w:rPr>
                <w:sz w:val="16"/>
              </w:rPr>
              <w:t>customers</w:t>
            </w:r>
            <w:r>
              <w:rPr>
                <w:spacing w:val="-5"/>
                <w:sz w:val="16"/>
              </w:rPr>
              <w:t xml:space="preserve"> </w:t>
            </w:r>
            <w:r>
              <w:rPr>
                <w:sz w:val="16"/>
              </w:rPr>
              <w:t>reliable</w:t>
            </w:r>
            <w:r>
              <w:rPr>
                <w:spacing w:val="-5"/>
                <w:sz w:val="16"/>
              </w:rPr>
              <w:t xml:space="preserve"> </w:t>
            </w:r>
            <w:r>
              <w:rPr>
                <w:sz w:val="16"/>
              </w:rPr>
              <w:t>sewerage</w:t>
            </w:r>
            <w:r>
              <w:rPr>
                <w:spacing w:val="-4"/>
                <w:sz w:val="16"/>
              </w:rPr>
              <w:t xml:space="preserve"> </w:t>
            </w:r>
            <w:r>
              <w:rPr>
                <w:spacing w:val="-2"/>
                <w:sz w:val="16"/>
              </w:rPr>
              <w:t>services</w:t>
            </w:r>
          </w:p>
        </w:tc>
      </w:tr>
      <w:tr w:rsidR="00141B97" w14:paraId="57F75218" w14:textId="77777777">
        <w:trPr>
          <w:trHeight w:val="189"/>
          <w:tblCellSpacing w:w="9" w:type="dxa"/>
        </w:trPr>
        <w:tc>
          <w:tcPr>
            <w:tcW w:w="4998" w:type="dxa"/>
            <w:tcBorders>
              <w:top w:val="nil"/>
              <w:left w:val="nil"/>
              <w:right w:val="nil"/>
            </w:tcBorders>
            <w:shd w:val="clear" w:color="auto" w:fill="CCE1EC"/>
          </w:tcPr>
          <w:p w14:paraId="16914596" w14:textId="77777777" w:rsidR="00141B97" w:rsidRDefault="00911D63">
            <w:pPr>
              <w:pStyle w:val="TableParagraph"/>
              <w:spacing w:line="170" w:lineRule="exact"/>
              <w:ind w:left="13"/>
              <w:rPr>
                <w:sz w:val="16"/>
              </w:rPr>
            </w:pPr>
            <w:r>
              <w:rPr>
                <w:sz w:val="16"/>
              </w:rPr>
              <w:t>Unplanned</w:t>
            </w:r>
            <w:r>
              <w:rPr>
                <w:spacing w:val="-8"/>
                <w:sz w:val="16"/>
              </w:rPr>
              <w:t xml:space="preserve"> </w:t>
            </w:r>
            <w:r>
              <w:rPr>
                <w:sz w:val="16"/>
              </w:rPr>
              <w:t>interruptions</w:t>
            </w:r>
            <w:r>
              <w:rPr>
                <w:spacing w:val="-4"/>
                <w:sz w:val="16"/>
              </w:rPr>
              <w:t xml:space="preserve"> </w:t>
            </w:r>
            <w:r>
              <w:rPr>
                <w:sz w:val="16"/>
              </w:rPr>
              <w:t>to</w:t>
            </w:r>
            <w:r>
              <w:rPr>
                <w:spacing w:val="-5"/>
                <w:sz w:val="16"/>
              </w:rPr>
              <w:t xml:space="preserve"> </w:t>
            </w:r>
            <w:r>
              <w:rPr>
                <w:sz w:val="16"/>
              </w:rPr>
              <w:t>sewerage</w:t>
            </w:r>
            <w:r>
              <w:rPr>
                <w:spacing w:val="-5"/>
                <w:sz w:val="16"/>
              </w:rPr>
              <w:t xml:space="preserve"> </w:t>
            </w:r>
            <w:r>
              <w:rPr>
                <w:sz w:val="16"/>
              </w:rPr>
              <w:t>service</w:t>
            </w:r>
            <w:r>
              <w:rPr>
                <w:spacing w:val="-5"/>
                <w:sz w:val="16"/>
              </w:rPr>
              <w:t xml:space="preserve"> </w:t>
            </w:r>
            <w:r>
              <w:rPr>
                <w:sz w:val="16"/>
              </w:rPr>
              <w:t>per</w:t>
            </w:r>
            <w:r>
              <w:rPr>
                <w:spacing w:val="-7"/>
                <w:sz w:val="16"/>
              </w:rPr>
              <w:t xml:space="preserve"> </w:t>
            </w:r>
            <w:r>
              <w:rPr>
                <w:spacing w:val="-2"/>
                <w:sz w:val="16"/>
              </w:rPr>
              <w:t>customer</w:t>
            </w:r>
          </w:p>
        </w:tc>
        <w:tc>
          <w:tcPr>
            <w:tcW w:w="820" w:type="dxa"/>
            <w:tcBorders>
              <w:top w:val="nil"/>
              <w:left w:val="nil"/>
            </w:tcBorders>
            <w:shd w:val="clear" w:color="auto" w:fill="CCE1EC"/>
          </w:tcPr>
          <w:p w14:paraId="5E27415D" w14:textId="77777777" w:rsidR="00141B97" w:rsidRDefault="00911D63">
            <w:pPr>
              <w:pStyle w:val="TableParagraph"/>
              <w:spacing w:line="170" w:lineRule="exact"/>
              <w:ind w:left="12"/>
              <w:rPr>
                <w:sz w:val="16"/>
              </w:rPr>
            </w:pPr>
            <w:r>
              <w:rPr>
                <w:spacing w:val="-5"/>
                <w:sz w:val="16"/>
              </w:rPr>
              <w:t>NA</w:t>
            </w:r>
          </w:p>
        </w:tc>
        <w:tc>
          <w:tcPr>
            <w:tcW w:w="4276" w:type="dxa"/>
            <w:gridSpan w:val="5"/>
            <w:tcBorders>
              <w:top w:val="nil"/>
              <w:right w:val="nil"/>
            </w:tcBorders>
            <w:shd w:val="clear" w:color="auto" w:fill="CCE1EC"/>
          </w:tcPr>
          <w:p w14:paraId="23037DA1" w14:textId="77777777" w:rsidR="00141B97" w:rsidRDefault="00911D63">
            <w:pPr>
              <w:pStyle w:val="TableParagraph"/>
              <w:spacing w:line="170" w:lineRule="exact"/>
              <w:ind w:left="1863" w:right="1854"/>
              <w:jc w:val="center"/>
              <w:rPr>
                <w:sz w:val="16"/>
              </w:rPr>
            </w:pPr>
            <w:r>
              <w:rPr>
                <w:spacing w:val="-4"/>
                <w:sz w:val="16"/>
              </w:rPr>
              <w:t>=/&lt;5</w:t>
            </w:r>
          </w:p>
        </w:tc>
      </w:tr>
      <w:tr w:rsidR="00141B97" w14:paraId="4505FF59" w14:textId="77777777">
        <w:trPr>
          <w:trHeight w:val="390"/>
          <w:tblCellSpacing w:w="9" w:type="dxa"/>
        </w:trPr>
        <w:tc>
          <w:tcPr>
            <w:tcW w:w="4998" w:type="dxa"/>
            <w:tcBorders>
              <w:left w:val="nil"/>
              <w:right w:val="nil"/>
            </w:tcBorders>
            <w:shd w:val="clear" w:color="auto" w:fill="CCE1EC"/>
          </w:tcPr>
          <w:p w14:paraId="46153CEF" w14:textId="77777777" w:rsidR="00141B97" w:rsidRDefault="00911D63">
            <w:pPr>
              <w:pStyle w:val="TableParagraph"/>
              <w:spacing w:line="194" w:lineRule="exact"/>
              <w:ind w:left="13"/>
              <w:rPr>
                <w:sz w:val="16"/>
              </w:rPr>
            </w:pPr>
            <w:r>
              <w:rPr>
                <w:sz w:val="16"/>
              </w:rPr>
              <w:t>Customer</w:t>
            </w:r>
            <w:r>
              <w:rPr>
                <w:spacing w:val="-4"/>
                <w:sz w:val="16"/>
              </w:rPr>
              <w:t xml:space="preserve"> </w:t>
            </w:r>
            <w:r>
              <w:rPr>
                <w:sz w:val="16"/>
              </w:rPr>
              <w:t>satisfaction</w:t>
            </w:r>
            <w:r>
              <w:rPr>
                <w:spacing w:val="-3"/>
                <w:sz w:val="16"/>
              </w:rPr>
              <w:t xml:space="preserve"> </w:t>
            </w:r>
            <w:r>
              <w:rPr>
                <w:sz w:val="16"/>
              </w:rPr>
              <w:t>of</w:t>
            </w:r>
            <w:r>
              <w:rPr>
                <w:spacing w:val="-5"/>
                <w:sz w:val="16"/>
              </w:rPr>
              <w:t xml:space="preserve"> </w:t>
            </w:r>
            <w:r>
              <w:rPr>
                <w:sz w:val="16"/>
              </w:rPr>
              <w:t>sewerage</w:t>
            </w:r>
            <w:r>
              <w:rPr>
                <w:spacing w:val="-4"/>
                <w:sz w:val="16"/>
              </w:rPr>
              <w:t xml:space="preserve"> </w:t>
            </w:r>
            <w:r>
              <w:rPr>
                <w:sz w:val="16"/>
              </w:rPr>
              <w:t>service</w:t>
            </w:r>
            <w:r>
              <w:rPr>
                <w:spacing w:val="-4"/>
                <w:sz w:val="16"/>
              </w:rPr>
              <w:t xml:space="preserve"> </w:t>
            </w:r>
            <w:r>
              <w:rPr>
                <w:sz w:val="16"/>
              </w:rPr>
              <w:t>–</w:t>
            </w:r>
            <w:r>
              <w:rPr>
                <w:spacing w:val="-4"/>
                <w:sz w:val="16"/>
              </w:rPr>
              <w:t xml:space="preserve"> </w:t>
            </w:r>
            <w:r>
              <w:rPr>
                <w:sz w:val="16"/>
              </w:rPr>
              <w:t>Target</w:t>
            </w:r>
            <w:r>
              <w:rPr>
                <w:spacing w:val="-4"/>
                <w:sz w:val="16"/>
              </w:rPr>
              <w:t xml:space="preserve"> </w:t>
            </w:r>
            <w:r>
              <w:rPr>
                <w:sz w:val="16"/>
              </w:rPr>
              <w:t>=</w:t>
            </w:r>
            <w:r>
              <w:rPr>
                <w:spacing w:val="-4"/>
                <w:sz w:val="16"/>
              </w:rPr>
              <w:t xml:space="preserve"> </w:t>
            </w:r>
            <w:r>
              <w:rPr>
                <w:sz w:val="16"/>
              </w:rPr>
              <w:t>&gt;/=</w:t>
            </w:r>
            <w:r>
              <w:rPr>
                <w:spacing w:val="-5"/>
                <w:sz w:val="16"/>
              </w:rPr>
              <w:t xml:space="preserve"> </w:t>
            </w:r>
            <w:r>
              <w:rPr>
                <w:sz w:val="16"/>
              </w:rPr>
              <w:t>prior</w:t>
            </w:r>
            <w:r>
              <w:rPr>
                <w:spacing w:val="-3"/>
                <w:sz w:val="16"/>
              </w:rPr>
              <w:t xml:space="preserve"> </w:t>
            </w:r>
            <w:r>
              <w:rPr>
                <w:spacing w:val="-4"/>
                <w:sz w:val="16"/>
              </w:rPr>
              <w:t>year</w:t>
            </w:r>
          </w:p>
          <w:p w14:paraId="37CF6AFA" w14:textId="77777777" w:rsidR="00141B97" w:rsidRDefault="00911D63">
            <w:pPr>
              <w:pStyle w:val="TableParagraph"/>
              <w:spacing w:before="1" w:line="175" w:lineRule="exact"/>
              <w:ind w:left="13"/>
              <w:rPr>
                <w:sz w:val="16"/>
              </w:rPr>
            </w:pPr>
            <w:r>
              <w:rPr>
                <w:sz w:val="16"/>
              </w:rPr>
              <w:t>performance</w:t>
            </w:r>
            <w:r>
              <w:rPr>
                <w:spacing w:val="-5"/>
                <w:sz w:val="16"/>
              </w:rPr>
              <w:t xml:space="preserve"> </w:t>
            </w:r>
            <w:r>
              <w:rPr>
                <w:sz w:val="16"/>
              </w:rPr>
              <w:t>of</w:t>
            </w:r>
            <w:r>
              <w:rPr>
                <w:spacing w:val="-4"/>
                <w:sz w:val="16"/>
              </w:rPr>
              <w:t xml:space="preserve"> </w:t>
            </w:r>
            <w:r>
              <w:rPr>
                <w:sz w:val="16"/>
              </w:rPr>
              <w:t>annual</w:t>
            </w:r>
            <w:r>
              <w:rPr>
                <w:spacing w:val="-5"/>
                <w:sz w:val="16"/>
              </w:rPr>
              <w:t xml:space="preserve"> </w:t>
            </w:r>
            <w:r>
              <w:rPr>
                <w:sz w:val="16"/>
              </w:rPr>
              <w:t>survey</w:t>
            </w:r>
            <w:r>
              <w:rPr>
                <w:spacing w:val="-3"/>
                <w:sz w:val="16"/>
              </w:rPr>
              <w:t xml:space="preserve"> </w:t>
            </w:r>
            <w:r>
              <w:rPr>
                <w:spacing w:val="-2"/>
                <w:sz w:val="16"/>
              </w:rPr>
              <w:t>respondents</w:t>
            </w:r>
          </w:p>
        </w:tc>
        <w:tc>
          <w:tcPr>
            <w:tcW w:w="820" w:type="dxa"/>
            <w:tcBorders>
              <w:left w:val="nil"/>
            </w:tcBorders>
            <w:shd w:val="clear" w:color="auto" w:fill="CCE1EC"/>
          </w:tcPr>
          <w:p w14:paraId="2B47BD9B" w14:textId="77777777" w:rsidR="00141B97" w:rsidRDefault="00911D63">
            <w:pPr>
              <w:pStyle w:val="TableParagraph"/>
              <w:spacing w:before="97"/>
              <w:ind w:left="12"/>
              <w:rPr>
                <w:sz w:val="16"/>
              </w:rPr>
            </w:pPr>
            <w:r>
              <w:rPr>
                <w:spacing w:val="-2"/>
                <w:sz w:val="16"/>
              </w:rPr>
              <w:t>90%/91%</w:t>
            </w:r>
          </w:p>
        </w:tc>
        <w:tc>
          <w:tcPr>
            <w:tcW w:w="888" w:type="dxa"/>
            <w:shd w:val="clear" w:color="auto" w:fill="CCE1EC"/>
          </w:tcPr>
          <w:p w14:paraId="7A41B367" w14:textId="77777777" w:rsidR="00141B97" w:rsidRDefault="00911D63">
            <w:pPr>
              <w:pStyle w:val="TableParagraph"/>
              <w:spacing w:before="97"/>
              <w:ind w:right="132"/>
              <w:jc w:val="right"/>
              <w:rPr>
                <w:sz w:val="16"/>
              </w:rPr>
            </w:pPr>
            <w:r>
              <w:rPr>
                <w:spacing w:val="-2"/>
                <w:sz w:val="16"/>
              </w:rPr>
              <w:t>=/&gt;22/23</w:t>
            </w:r>
          </w:p>
        </w:tc>
        <w:tc>
          <w:tcPr>
            <w:tcW w:w="848" w:type="dxa"/>
            <w:tcBorders>
              <w:right w:val="nil"/>
            </w:tcBorders>
            <w:shd w:val="clear" w:color="auto" w:fill="CCE1EC"/>
          </w:tcPr>
          <w:p w14:paraId="458C7D4A" w14:textId="77777777" w:rsidR="00141B97" w:rsidRDefault="00911D63">
            <w:pPr>
              <w:pStyle w:val="TableParagraph"/>
              <w:spacing w:before="97"/>
              <w:ind w:left="111" w:right="113"/>
              <w:jc w:val="center"/>
              <w:rPr>
                <w:sz w:val="16"/>
              </w:rPr>
            </w:pPr>
            <w:r>
              <w:rPr>
                <w:spacing w:val="-2"/>
                <w:sz w:val="16"/>
              </w:rPr>
              <w:t>=/&gt;23/24</w:t>
            </w:r>
          </w:p>
        </w:tc>
        <w:tc>
          <w:tcPr>
            <w:tcW w:w="847" w:type="dxa"/>
            <w:tcBorders>
              <w:left w:val="nil"/>
              <w:right w:val="nil"/>
            </w:tcBorders>
            <w:shd w:val="clear" w:color="auto" w:fill="CCE1EC"/>
          </w:tcPr>
          <w:p w14:paraId="39AF57ED" w14:textId="77777777" w:rsidR="00141B97" w:rsidRDefault="00911D63">
            <w:pPr>
              <w:pStyle w:val="TableParagraph"/>
              <w:spacing w:before="97"/>
              <w:ind w:right="106"/>
              <w:jc w:val="right"/>
              <w:rPr>
                <w:sz w:val="16"/>
              </w:rPr>
            </w:pPr>
            <w:r>
              <w:rPr>
                <w:spacing w:val="-2"/>
                <w:sz w:val="16"/>
              </w:rPr>
              <w:t>=/&gt;24/25</w:t>
            </w:r>
          </w:p>
        </w:tc>
        <w:tc>
          <w:tcPr>
            <w:tcW w:w="859" w:type="dxa"/>
            <w:tcBorders>
              <w:left w:val="nil"/>
              <w:right w:val="nil"/>
            </w:tcBorders>
            <w:shd w:val="clear" w:color="auto" w:fill="CCE1EC"/>
          </w:tcPr>
          <w:p w14:paraId="16CCE2FC" w14:textId="77777777" w:rsidR="00141B97" w:rsidRDefault="00911D63">
            <w:pPr>
              <w:pStyle w:val="TableParagraph"/>
              <w:spacing w:before="97"/>
              <w:ind w:right="113"/>
              <w:jc w:val="right"/>
              <w:rPr>
                <w:sz w:val="16"/>
              </w:rPr>
            </w:pPr>
            <w:r>
              <w:rPr>
                <w:spacing w:val="-2"/>
                <w:sz w:val="16"/>
              </w:rPr>
              <w:t>=/&gt;25/26</w:t>
            </w:r>
          </w:p>
        </w:tc>
        <w:tc>
          <w:tcPr>
            <w:tcW w:w="834" w:type="dxa"/>
            <w:tcBorders>
              <w:left w:val="nil"/>
              <w:right w:val="nil"/>
            </w:tcBorders>
            <w:shd w:val="clear" w:color="auto" w:fill="CCE1EC"/>
          </w:tcPr>
          <w:p w14:paraId="4D2CA6C0" w14:textId="77777777" w:rsidR="00141B97" w:rsidRDefault="00911D63">
            <w:pPr>
              <w:pStyle w:val="TableParagraph"/>
              <w:spacing w:before="97"/>
              <w:ind w:right="95"/>
              <w:jc w:val="right"/>
              <w:rPr>
                <w:sz w:val="16"/>
              </w:rPr>
            </w:pPr>
            <w:r>
              <w:rPr>
                <w:spacing w:val="-2"/>
                <w:sz w:val="16"/>
              </w:rPr>
              <w:t>=/&gt;26/27</w:t>
            </w:r>
          </w:p>
        </w:tc>
      </w:tr>
      <w:tr w:rsidR="00141B97" w14:paraId="260A6A6E" w14:textId="77777777">
        <w:trPr>
          <w:trHeight w:val="196"/>
          <w:tblCellSpacing w:w="9" w:type="dxa"/>
        </w:trPr>
        <w:tc>
          <w:tcPr>
            <w:tcW w:w="4998" w:type="dxa"/>
            <w:tcBorders>
              <w:left w:val="nil"/>
              <w:right w:val="nil"/>
            </w:tcBorders>
            <w:shd w:val="clear" w:color="auto" w:fill="CCE1EC"/>
          </w:tcPr>
          <w:p w14:paraId="1221CCE1" w14:textId="77777777" w:rsidR="00141B97" w:rsidRDefault="00911D63">
            <w:pPr>
              <w:pStyle w:val="TableParagraph"/>
              <w:spacing w:line="176" w:lineRule="exact"/>
              <w:ind w:left="13"/>
              <w:rPr>
                <w:sz w:val="16"/>
              </w:rPr>
            </w:pPr>
            <w:r>
              <w:rPr>
                <w:sz w:val="16"/>
              </w:rPr>
              <w:t>Odour</w:t>
            </w:r>
            <w:r>
              <w:rPr>
                <w:spacing w:val="-8"/>
                <w:sz w:val="16"/>
              </w:rPr>
              <w:t xml:space="preserve"> </w:t>
            </w:r>
            <w:r>
              <w:rPr>
                <w:sz w:val="16"/>
              </w:rPr>
              <w:t>complaints</w:t>
            </w:r>
            <w:r>
              <w:rPr>
                <w:spacing w:val="-2"/>
                <w:sz w:val="16"/>
              </w:rPr>
              <w:t xml:space="preserve"> </w:t>
            </w:r>
            <w:r>
              <w:rPr>
                <w:sz w:val="16"/>
              </w:rPr>
              <w:t>per</w:t>
            </w:r>
            <w:r>
              <w:rPr>
                <w:spacing w:val="-5"/>
                <w:sz w:val="16"/>
              </w:rPr>
              <w:t xml:space="preserve"> </w:t>
            </w:r>
            <w:r>
              <w:rPr>
                <w:spacing w:val="-4"/>
                <w:sz w:val="16"/>
              </w:rPr>
              <w:t>year</w:t>
            </w:r>
          </w:p>
        </w:tc>
        <w:tc>
          <w:tcPr>
            <w:tcW w:w="820" w:type="dxa"/>
            <w:tcBorders>
              <w:left w:val="nil"/>
            </w:tcBorders>
            <w:shd w:val="clear" w:color="auto" w:fill="CCE1EC"/>
          </w:tcPr>
          <w:p w14:paraId="35BD9B85" w14:textId="77777777" w:rsidR="00141B97" w:rsidRDefault="00911D63">
            <w:pPr>
              <w:pStyle w:val="TableParagraph"/>
              <w:spacing w:line="176" w:lineRule="exact"/>
              <w:ind w:left="48"/>
              <w:rPr>
                <w:sz w:val="16"/>
              </w:rPr>
            </w:pPr>
            <w:r>
              <w:rPr>
                <w:spacing w:val="-5"/>
                <w:sz w:val="16"/>
              </w:rPr>
              <w:t>&lt;10</w:t>
            </w:r>
          </w:p>
        </w:tc>
        <w:tc>
          <w:tcPr>
            <w:tcW w:w="4276" w:type="dxa"/>
            <w:gridSpan w:val="5"/>
            <w:tcBorders>
              <w:right w:val="nil"/>
            </w:tcBorders>
            <w:shd w:val="clear" w:color="auto" w:fill="CCE1EC"/>
          </w:tcPr>
          <w:p w14:paraId="4604179B" w14:textId="77777777" w:rsidR="00141B97" w:rsidRDefault="00911D63">
            <w:pPr>
              <w:pStyle w:val="TableParagraph"/>
              <w:spacing w:line="176" w:lineRule="exact"/>
              <w:ind w:left="1863" w:right="1854"/>
              <w:jc w:val="center"/>
              <w:rPr>
                <w:sz w:val="16"/>
              </w:rPr>
            </w:pPr>
            <w:r>
              <w:rPr>
                <w:spacing w:val="-4"/>
                <w:sz w:val="16"/>
              </w:rPr>
              <w:t>=&lt;10</w:t>
            </w:r>
          </w:p>
        </w:tc>
      </w:tr>
      <w:tr w:rsidR="00141B97" w14:paraId="47C2164A" w14:textId="77777777">
        <w:trPr>
          <w:trHeight w:val="195"/>
          <w:tblCellSpacing w:w="9" w:type="dxa"/>
        </w:trPr>
        <w:tc>
          <w:tcPr>
            <w:tcW w:w="4998" w:type="dxa"/>
            <w:tcBorders>
              <w:left w:val="nil"/>
              <w:right w:val="nil"/>
            </w:tcBorders>
            <w:shd w:val="clear" w:color="auto" w:fill="CCE1EC"/>
          </w:tcPr>
          <w:p w14:paraId="78A1BE9F" w14:textId="77777777" w:rsidR="00141B97" w:rsidRDefault="00911D63">
            <w:pPr>
              <w:pStyle w:val="TableParagraph"/>
              <w:spacing w:line="176" w:lineRule="exact"/>
              <w:ind w:left="13"/>
              <w:rPr>
                <w:sz w:val="16"/>
              </w:rPr>
            </w:pPr>
            <w:r>
              <w:rPr>
                <w:sz w:val="16"/>
              </w:rPr>
              <w:t>Number</w:t>
            </w:r>
            <w:r>
              <w:rPr>
                <w:spacing w:val="-3"/>
                <w:sz w:val="16"/>
              </w:rPr>
              <w:t xml:space="preserve"> </w:t>
            </w:r>
            <w:r>
              <w:rPr>
                <w:sz w:val="16"/>
              </w:rPr>
              <w:t>of</w:t>
            </w:r>
            <w:r>
              <w:rPr>
                <w:spacing w:val="-3"/>
                <w:sz w:val="16"/>
              </w:rPr>
              <w:t xml:space="preserve"> </w:t>
            </w:r>
            <w:r>
              <w:rPr>
                <w:sz w:val="16"/>
              </w:rPr>
              <w:t>spills</w:t>
            </w:r>
            <w:r>
              <w:rPr>
                <w:spacing w:val="-4"/>
                <w:sz w:val="16"/>
              </w:rPr>
              <w:t xml:space="preserve"> </w:t>
            </w:r>
            <w:r>
              <w:rPr>
                <w:sz w:val="16"/>
              </w:rPr>
              <w:t>in</w:t>
            </w:r>
            <w:r>
              <w:rPr>
                <w:spacing w:val="-2"/>
                <w:sz w:val="16"/>
              </w:rPr>
              <w:t xml:space="preserve"> </w:t>
            </w:r>
            <w:r>
              <w:rPr>
                <w:sz w:val="16"/>
              </w:rPr>
              <w:t>houses</w:t>
            </w:r>
            <w:r>
              <w:rPr>
                <w:spacing w:val="-4"/>
                <w:sz w:val="16"/>
              </w:rPr>
              <w:t xml:space="preserve"> </w:t>
            </w:r>
            <w:r>
              <w:rPr>
                <w:sz w:val="16"/>
              </w:rPr>
              <w:t>caused</w:t>
            </w:r>
            <w:r>
              <w:rPr>
                <w:spacing w:val="-5"/>
                <w:sz w:val="16"/>
              </w:rPr>
              <w:t xml:space="preserve"> </w:t>
            </w:r>
            <w:r>
              <w:rPr>
                <w:sz w:val="16"/>
              </w:rPr>
              <w:t>by</w:t>
            </w:r>
            <w:r>
              <w:rPr>
                <w:spacing w:val="-3"/>
                <w:sz w:val="16"/>
              </w:rPr>
              <w:t xml:space="preserve"> </w:t>
            </w:r>
            <w:r>
              <w:rPr>
                <w:sz w:val="16"/>
              </w:rPr>
              <w:t>LMW</w:t>
            </w:r>
            <w:r>
              <w:rPr>
                <w:spacing w:val="-4"/>
                <w:sz w:val="16"/>
              </w:rPr>
              <w:t xml:space="preserve"> </w:t>
            </w:r>
            <w:r>
              <w:rPr>
                <w:spacing w:val="-2"/>
                <w:sz w:val="16"/>
              </w:rPr>
              <w:t>assets</w:t>
            </w:r>
          </w:p>
        </w:tc>
        <w:tc>
          <w:tcPr>
            <w:tcW w:w="820" w:type="dxa"/>
            <w:tcBorders>
              <w:left w:val="nil"/>
            </w:tcBorders>
            <w:shd w:val="clear" w:color="auto" w:fill="CCE1EC"/>
          </w:tcPr>
          <w:p w14:paraId="701AD098" w14:textId="77777777" w:rsidR="00141B97" w:rsidRDefault="00911D63">
            <w:pPr>
              <w:pStyle w:val="TableParagraph"/>
              <w:spacing w:line="176" w:lineRule="exact"/>
              <w:ind w:left="12"/>
              <w:rPr>
                <w:sz w:val="16"/>
              </w:rPr>
            </w:pPr>
            <w:r>
              <w:rPr>
                <w:spacing w:val="-4"/>
                <w:sz w:val="16"/>
              </w:rPr>
              <w:t>&lt;=/2</w:t>
            </w:r>
          </w:p>
        </w:tc>
        <w:tc>
          <w:tcPr>
            <w:tcW w:w="4276" w:type="dxa"/>
            <w:gridSpan w:val="5"/>
            <w:tcBorders>
              <w:right w:val="nil"/>
            </w:tcBorders>
            <w:shd w:val="clear" w:color="auto" w:fill="CCE1EC"/>
          </w:tcPr>
          <w:p w14:paraId="4FC15AB8" w14:textId="77777777" w:rsidR="00141B97" w:rsidRDefault="00911D63">
            <w:pPr>
              <w:pStyle w:val="TableParagraph"/>
              <w:spacing w:line="176" w:lineRule="exact"/>
              <w:ind w:left="1863" w:right="1852"/>
              <w:jc w:val="center"/>
              <w:rPr>
                <w:sz w:val="16"/>
              </w:rPr>
            </w:pPr>
            <w:r>
              <w:rPr>
                <w:sz w:val="16"/>
              </w:rPr>
              <w:t>&lt;/=</w:t>
            </w:r>
            <w:r>
              <w:rPr>
                <w:spacing w:val="-4"/>
                <w:sz w:val="16"/>
              </w:rPr>
              <w:t xml:space="preserve"> </w:t>
            </w:r>
            <w:r>
              <w:rPr>
                <w:spacing w:val="-10"/>
                <w:sz w:val="16"/>
              </w:rPr>
              <w:t>3</w:t>
            </w:r>
          </w:p>
        </w:tc>
      </w:tr>
      <w:tr w:rsidR="00141B97" w14:paraId="329CC29D" w14:textId="77777777">
        <w:trPr>
          <w:trHeight w:val="493"/>
          <w:tblCellSpacing w:w="9" w:type="dxa"/>
        </w:trPr>
        <w:tc>
          <w:tcPr>
            <w:tcW w:w="4998" w:type="dxa"/>
            <w:tcBorders>
              <w:left w:val="nil"/>
              <w:right w:val="nil"/>
            </w:tcBorders>
            <w:shd w:val="clear" w:color="auto" w:fill="CCE1EC"/>
          </w:tcPr>
          <w:p w14:paraId="7BDDFFBA" w14:textId="77777777" w:rsidR="00141B97" w:rsidRDefault="00141B97">
            <w:pPr>
              <w:pStyle w:val="TableParagraph"/>
              <w:rPr>
                <w:sz w:val="12"/>
              </w:rPr>
            </w:pPr>
          </w:p>
          <w:p w14:paraId="0EA88386" w14:textId="77777777" w:rsidR="00141B97" w:rsidRDefault="00911D63">
            <w:pPr>
              <w:pStyle w:val="TableParagraph"/>
              <w:ind w:left="13"/>
              <w:rPr>
                <w:sz w:val="16"/>
              </w:rPr>
            </w:pPr>
            <w:r>
              <w:rPr>
                <w:sz w:val="16"/>
              </w:rPr>
              <w:t>Number</w:t>
            </w:r>
            <w:r>
              <w:rPr>
                <w:spacing w:val="-4"/>
                <w:sz w:val="16"/>
              </w:rPr>
              <w:t xml:space="preserve"> </w:t>
            </w:r>
            <w:r>
              <w:rPr>
                <w:sz w:val="16"/>
              </w:rPr>
              <w:t>of</w:t>
            </w:r>
            <w:r>
              <w:rPr>
                <w:spacing w:val="-4"/>
                <w:sz w:val="16"/>
              </w:rPr>
              <w:t xml:space="preserve"> </w:t>
            </w:r>
            <w:r>
              <w:rPr>
                <w:sz w:val="16"/>
              </w:rPr>
              <w:t>customers</w:t>
            </w:r>
            <w:r>
              <w:rPr>
                <w:spacing w:val="-2"/>
                <w:sz w:val="16"/>
              </w:rPr>
              <w:t xml:space="preserve"> </w:t>
            </w:r>
            <w:r>
              <w:rPr>
                <w:sz w:val="16"/>
              </w:rPr>
              <w:t>receiving</w:t>
            </w:r>
            <w:r>
              <w:rPr>
                <w:spacing w:val="-5"/>
                <w:sz w:val="16"/>
              </w:rPr>
              <w:t xml:space="preserve"> </w:t>
            </w:r>
            <w:r>
              <w:rPr>
                <w:sz w:val="16"/>
              </w:rPr>
              <w:t>more</w:t>
            </w:r>
            <w:r>
              <w:rPr>
                <w:spacing w:val="-5"/>
                <w:sz w:val="16"/>
              </w:rPr>
              <w:t xml:space="preserve"> </w:t>
            </w:r>
            <w:r>
              <w:rPr>
                <w:sz w:val="16"/>
              </w:rPr>
              <w:t>than</w:t>
            </w:r>
            <w:r>
              <w:rPr>
                <w:spacing w:val="-6"/>
                <w:sz w:val="16"/>
              </w:rPr>
              <w:t xml:space="preserve"> </w:t>
            </w:r>
            <w:r>
              <w:rPr>
                <w:sz w:val="16"/>
              </w:rPr>
              <w:t>3</w:t>
            </w:r>
            <w:r>
              <w:rPr>
                <w:spacing w:val="-3"/>
                <w:sz w:val="16"/>
              </w:rPr>
              <w:t xml:space="preserve"> </w:t>
            </w:r>
            <w:r>
              <w:rPr>
                <w:sz w:val="16"/>
              </w:rPr>
              <w:t>sewer</w:t>
            </w:r>
            <w:r>
              <w:rPr>
                <w:spacing w:val="-6"/>
                <w:sz w:val="16"/>
              </w:rPr>
              <w:t xml:space="preserve"> </w:t>
            </w:r>
            <w:r>
              <w:rPr>
                <w:sz w:val="16"/>
              </w:rPr>
              <w:t>blockages</w:t>
            </w:r>
            <w:r>
              <w:rPr>
                <w:spacing w:val="-2"/>
                <w:sz w:val="16"/>
              </w:rPr>
              <w:t xml:space="preserve"> </w:t>
            </w:r>
            <w:r>
              <w:rPr>
                <w:sz w:val="16"/>
              </w:rPr>
              <w:t>in</w:t>
            </w:r>
            <w:r>
              <w:rPr>
                <w:spacing w:val="-3"/>
                <w:sz w:val="16"/>
              </w:rPr>
              <w:t xml:space="preserve"> </w:t>
            </w:r>
            <w:r>
              <w:rPr>
                <w:sz w:val="16"/>
              </w:rPr>
              <w:t>the</w:t>
            </w:r>
            <w:r>
              <w:rPr>
                <w:spacing w:val="-3"/>
                <w:sz w:val="16"/>
              </w:rPr>
              <w:t xml:space="preserve"> </w:t>
            </w:r>
            <w:r>
              <w:rPr>
                <w:spacing w:val="-4"/>
                <w:sz w:val="16"/>
              </w:rPr>
              <w:t>year.</w:t>
            </w:r>
          </w:p>
        </w:tc>
        <w:tc>
          <w:tcPr>
            <w:tcW w:w="820" w:type="dxa"/>
            <w:tcBorders>
              <w:left w:val="nil"/>
            </w:tcBorders>
            <w:shd w:val="clear" w:color="auto" w:fill="CCE1EC"/>
          </w:tcPr>
          <w:p w14:paraId="71CA7661" w14:textId="77777777" w:rsidR="00141B97" w:rsidRDefault="00141B97">
            <w:pPr>
              <w:pStyle w:val="TableParagraph"/>
              <w:rPr>
                <w:sz w:val="12"/>
              </w:rPr>
            </w:pPr>
          </w:p>
          <w:p w14:paraId="7F2C6B1C" w14:textId="77777777" w:rsidR="00141B97" w:rsidRDefault="00911D63">
            <w:pPr>
              <w:pStyle w:val="TableParagraph"/>
              <w:ind w:left="12"/>
              <w:rPr>
                <w:sz w:val="16"/>
              </w:rPr>
            </w:pPr>
            <w:r>
              <w:rPr>
                <w:sz w:val="16"/>
              </w:rPr>
              <w:t>0</w:t>
            </w:r>
          </w:p>
        </w:tc>
        <w:tc>
          <w:tcPr>
            <w:tcW w:w="4276" w:type="dxa"/>
            <w:gridSpan w:val="5"/>
            <w:tcBorders>
              <w:right w:val="nil"/>
            </w:tcBorders>
            <w:shd w:val="clear" w:color="auto" w:fill="CCE1EC"/>
          </w:tcPr>
          <w:p w14:paraId="66160562" w14:textId="77777777" w:rsidR="00141B97" w:rsidRDefault="00141B97">
            <w:pPr>
              <w:pStyle w:val="TableParagraph"/>
              <w:rPr>
                <w:sz w:val="12"/>
              </w:rPr>
            </w:pPr>
          </w:p>
          <w:p w14:paraId="75D97650" w14:textId="77777777" w:rsidR="00141B97" w:rsidRDefault="00911D63">
            <w:pPr>
              <w:pStyle w:val="TableParagraph"/>
              <w:ind w:left="9"/>
              <w:jc w:val="center"/>
              <w:rPr>
                <w:sz w:val="16"/>
              </w:rPr>
            </w:pPr>
            <w:r>
              <w:rPr>
                <w:sz w:val="16"/>
              </w:rPr>
              <w:t>0</w:t>
            </w:r>
          </w:p>
        </w:tc>
      </w:tr>
      <w:tr w:rsidR="00141B97" w14:paraId="142192FB" w14:textId="77777777">
        <w:trPr>
          <w:trHeight w:val="259"/>
          <w:tblCellSpacing w:w="9" w:type="dxa"/>
        </w:trPr>
        <w:tc>
          <w:tcPr>
            <w:tcW w:w="10094" w:type="dxa"/>
            <w:gridSpan w:val="7"/>
            <w:tcBorders>
              <w:left w:val="nil"/>
              <w:bottom w:val="nil"/>
              <w:right w:val="nil"/>
            </w:tcBorders>
            <w:shd w:val="clear" w:color="auto" w:fill="BEBEBE"/>
          </w:tcPr>
          <w:p w14:paraId="42E2DC13" w14:textId="77777777" w:rsidR="00141B97" w:rsidRDefault="00911D63">
            <w:pPr>
              <w:pStyle w:val="TableParagraph"/>
              <w:spacing w:before="34"/>
              <w:ind w:left="28"/>
              <w:rPr>
                <w:sz w:val="16"/>
              </w:rPr>
            </w:pPr>
            <w:r>
              <w:rPr>
                <w:sz w:val="16"/>
              </w:rPr>
              <w:t>Outcome</w:t>
            </w:r>
            <w:r>
              <w:rPr>
                <w:spacing w:val="-6"/>
                <w:sz w:val="16"/>
              </w:rPr>
              <w:t xml:space="preserve"> </w:t>
            </w:r>
            <w:r>
              <w:rPr>
                <w:sz w:val="16"/>
              </w:rPr>
              <w:t>4:</w:t>
            </w:r>
            <w:r>
              <w:rPr>
                <w:spacing w:val="-3"/>
                <w:sz w:val="16"/>
              </w:rPr>
              <w:t xml:space="preserve"> </w:t>
            </w:r>
            <w:r>
              <w:rPr>
                <w:sz w:val="16"/>
              </w:rPr>
              <w:t>Provide</w:t>
            </w:r>
            <w:r>
              <w:rPr>
                <w:spacing w:val="-4"/>
                <w:sz w:val="16"/>
              </w:rPr>
              <w:t xml:space="preserve"> </w:t>
            </w:r>
            <w:r>
              <w:rPr>
                <w:sz w:val="16"/>
              </w:rPr>
              <w:t>customer</w:t>
            </w:r>
            <w:r>
              <w:rPr>
                <w:spacing w:val="-3"/>
                <w:sz w:val="16"/>
              </w:rPr>
              <w:t xml:space="preserve"> </w:t>
            </w:r>
            <w:r>
              <w:rPr>
                <w:sz w:val="16"/>
              </w:rPr>
              <w:t>service</w:t>
            </w:r>
            <w:r>
              <w:rPr>
                <w:spacing w:val="-6"/>
                <w:sz w:val="16"/>
              </w:rPr>
              <w:t xml:space="preserve"> </w:t>
            </w:r>
            <w:r>
              <w:rPr>
                <w:sz w:val="16"/>
              </w:rPr>
              <w:t>avenues</w:t>
            </w:r>
            <w:r>
              <w:rPr>
                <w:spacing w:val="-3"/>
                <w:sz w:val="16"/>
              </w:rPr>
              <w:t xml:space="preserve"> </w:t>
            </w:r>
            <w:r>
              <w:rPr>
                <w:sz w:val="16"/>
              </w:rPr>
              <w:t>that</w:t>
            </w:r>
            <w:r>
              <w:rPr>
                <w:spacing w:val="-5"/>
                <w:sz w:val="16"/>
              </w:rPr>
              <w:t xml:space="preserve"> </w:t>
            </w:r>
            <w:r>
              <w:rPr>
                <w:sz w:val="16"/>
              </w:rPr>
              <w:t>are</w:t>
            </w:r>
            <w:r>
              <w:rPr>
                <w:spacing w:val="-4"/>
                <w:sz w:val="16"/>
              </w:rPr>
              <w:t xml:space="preserve"> </w:t>
            </w:r>
            <w:r>
              <w:rPr>
                <w:sz w:val="16"/>
              </w:rPr>
              <w:t>responsive</w:t>
            </w:r>
            <w:r>
              <w:rPr>
                <w:spacing w:val="-4"/>
                <w:sz w:val="16"/>
              </w:rPr>
              <w:t xml:space="preserve"> </w:t>
            </w:r>
            <w:r>
              <w:rPr>
                <w:sz w:val="16"/>
              </w:rPr>
              <w:t>to</w:t>
            </w:r>
            <w:r>
              <w:rPr>
                <w:spacing w:val="-2"/>
                <w:sz w:val="16"/>
              </w:rPr>
              <w:t xml:space="preserve"> </w:t>
            </w:r>
            <w:r>
              <w:rPr>
                <w:sz w:val="16"/>
              </w:rPr>
              <w:t>resolve</w:t>
            </w:r>
            <w:r>
              <w:rPr>
                <w:spacing w:val="-4"/>
                <w:sz w:val="16"/>
              </w:rPr>
              <w:t xml:space="preserve"> </w:t>
            </w:r>
            <w:r>
              <w:rPr>
                <w:sz w:val="16"/>
              </w:rPr>
              <w:t>requests</w:t>
            </w:r>
            <w:r>
              <w:rPr>
                <w:spacing w:val="-6"/>
                <w:sz w:val="16"/>
              </w:rPr>
              <w:t xml:space="preserve"> </w:t>
            </w:r>
            <w:r>
              <w:rPr>
                <w:sz w:val="16"/>
              </w:rPr>
              <w:t>and</w:t>
            </w:r>
            <w:r>
              <w:rPr>
                <w:spacing w:val="-2"/>
                <w:sz w:val="16"/>
              </w:rPr>
              <w:t xml:space="preserve"> enquiries</w:t>
            </w:r>
          </w:p>
        </w:tc>
      </w:tr>
      <w:tr w:rsidR="00141B97" w14:paraId="3CD8B2E6" w14:textId="77777777">
        <w:trPr>
          <w:trHeight w:val="481"/>
          <w:tblCellSpacing w:w="9" w:type="dxa"/>
        </w:trPr>
        <w:tc>
          <w:tcPr>
            <w:tcW w:w="4998" w:type="dxa"/>
            <w:tcBorders>
              <w:top w:val="nil"/>
              <w:left w:val="nil"/>
              <w:bottom w:val="nil"/>
              <w:right w:val="nil"/>
            </w:tcBorders>
            <w:shd w:val="clear" w:color="auto" w:fill="CCE1EC"/>
          </w:tcPr>
          <w:p w14:paraId="671064FF" w14:textId="77777777" w:rsidR="00141B97" w:rsidRDefault="00911D63">
            <w:pPr>
              <w:pStyle w:val="TableParagraph"/>
              <w:ind w:left="13"/>
              <w:rPr>
                <w:sz w:val="16"/>
              </w:rPr>
            </w:pPr>
            <w:r>
              <w:rPr>
                <w:sz w:val="16"/>
              </w:rPr>
              <w:t>Resolve</w:t>
            </w:r>
            <w:r>
              <w:rPr>
                <w:spacing w:val="-3"/>
                <w:sz w:val="16"/>
              </w:rPr>
              <w:t xml:space="preserve"> </w:t>
            </w:r>
            <w:r>
              <w:rPr>
                <w:sz w:val="16"/>
              </w:rPr>
              <w:t>customer</w:t>
            </w:r>
            <w:r>
              <w:rPr>
                <w:spacing w:val="-1"/>
                <w:sz w:val="16"/>
              </w:rPr>
              <w:t xml:space="preserve"> </w:t>
            </w:r>
            <w:r>
              <w:rPr>
                <w:sz w:val="16"/>
              </w:rPr>
              <w:t>charter</w:t>
            </w:r>
            <w:r>
              <w:rPr>
                <w:spacing w:val="-1"/>
                <w:sz w:val="16"/>
              </w:rPr>
              <w:t xml:space="preserve"> </w:t>
            </w:r>
            <w:r>
              <w:rPr>
                <w:sz w:val="16"/>
              </w:rPr>
              <w:t>requests /</w:t>
            </w:r>
            <w:r>
              <w:rPr>
                <w:spacing w:val="-1"/>
                <w:sz w:val="16"/>
              </w:rPr>
              <w:t xml:space="preserve"> </w:t>
            </w:r>
            <w:r>
              <w:rPr>
                <w:sz w:val="16"/>
              </w:rPr>
              <w:t>enquiries within the</w:t>
            </w:r>
            <w:r>
              <w:rPr>
                <w:spacing w:val="-1"/>
                <w:sz w:val="16"/>
              </w:rPr>
              <w:t xml:space="preserve"> </w:t>
            </w:r>
            <w:r>
              <w:rPr>
                <w:sz w:val="16"/>
              </w:rPr>
              <w:t>defined response</w:t>
            </w:r>
            <w:r>
              <w:rPr>
                <w:spacing w:val="40"/>
                <w:sz w:val="16"/>
              </w:rPr>
              <w:t xml:space="preserve"> </w:t>
            </w:r>
            <w:r>
              <w:rPr>
                <w:sz w:val="16"/>
              </w:rPr>
              <w:t>time (Mean Time to Resolve) – Target - % =/&gt; per year from 2024/25</w:t>
            </w:r>
          </w:p>
        </w:tc>
        <w:tc>
          <w:tcPr>
            <w:tcW w:w="820" w:type="dxa"/>
            <w:tcBorders>
              <w:top w:val="nil"/>
              <w:left w:val="nil"/>
              <w:bottom w:val="nil"/>
            </w:tcBorders>
            <w:shd w:val="clear" w:color="auto" w:fill="CCE1EC"/>
          </w:tcPr>
          <w:p w14:paraId="7AFF8537" w14:textId="77777777" w:rsidR="00141B97" w:rsidRDefault="00911D63">
            <w:pPr>
              <w:pStyle w:val="TableParagraph"/>
              <w:spacing w:before="141"/>
              <w:ind w:left="12"/>
              <w:rPr>
                <w:sz w:val="16"/>
              </w:rPr>
            </w:pPr>
            <w:r>
              <w:rPr>
                <w:spacing w:val="-5"/>
                <w:sz w:val="16"/>
              </w:rPr>
              <w:t>NA</w:t>
            </w:r>
          </w:p>
        </w:tc>
        <w:tc>
          <w:tcPr>
            <w:tcW w:w="888" w:type="dxa"/>
            <w:tcBorders>
              <w:top w:val="nil"/>
              <w:bottom w:val="nil"/>
            </w:tcBorders>
            <w:shd w:val="clear" w:color="auto" w:fill="CCE1EC"/>
          </w:tcPr>
          <w:p w14:paraId="37A6957A" w14:textId="77777777" w:rsidR="00141B97" w:rsidRDefault="00911D63">
            <w:pPr>
              <w:pStyle w:val="TableParagraph"/>
              <w:spacing w:before="141"/>
              <w:ind w:left="293" w:right="292"/>
              <w:jc w:val="center"/>
              <w:rPr>
                <w:sz w:val="16"/>
              </w:rPr>
            </w:pPr>
            <w:r>
              <w:rPr>
                <w:spacing w:val="-5"/>
                <w:sz w:val="16"/>
              </w:rPr>
              <w:t>NA</w:t>
            </w:r>
          </w:p>
        </w:tc>
        <w:tc>
          <w:tcPr>
            <w:tcW w:w="848" w:type="dxa"/>
            <w:tcBorders>
              <w:top w:val="nil"/>
              <w:bottom w:val="nil"/>
              <w:right w:val="nil"/>
            </w:tcBorders>
            <w:shd w:val="clear" w:color="auto" w:fill="CCE1EC"/>
          </w:tcPr>
          <w:p w14:paraId="0CC144F6" w14:textId="77777777" w:rsidR="00141B97" w:rsidRDefault="00911D63">
            <w:pPr>
              <w:pStyle w:val="TableParagraph"/>
              <w:spacing w:before="141"/>
              <w:ind w:left="110" w:right="113"/>
              <w:jc w:val="center"/>
              <w:rPr>
                <w:sz w:val="16"/>
              </w:rPr>
            </w:pPr>
            <w:r>
              <w:rPr>
                <w:spacing w:val="-2"/>
                <w:sz w:val="16"/>
              </w:rPr>
              <w:t>=/&gt;60%</w:t>
            </w:r>
          </w:p>
        </w:tc>
        <w:tc>
          <w:tcPr>
            <w:tcW w:w="847" w:type="dxa"/>
            <w:tcBorders>
              <w:top w:val="nil"/>
              <w:left w:val="nil"/>
              <w:bottom w:val="nil"/>
              <w:right w:val="nil"/>
            </w:tcBorders>
            <w:shd w:val="clear" w:color="auto" w:fill="CCE1EC"/>
          </w:tcPr>
          <w:p w14:paraId="6D7F4A76" w14:textId="77777777" w:rsidR="00141B97" w:rsidRDefault="00911D63">
            <w:pPr>
              <w:pStyle w:val="TableParagraph"/>
              <w:spacing w:before="141"/>
              <w:ind w:left="161"/>
              <w:rPr>
                <w:sz w:val="16"/>
              </w:rPr>
            </w:pPr>
            <w:r>
              <w:rPr>
                <w:spacing w:val="-2"/>
                <w:sz w:val="16"/>
              </w:rPr>
              <w:t>=/&gt;65%</w:t>
            </w:r>
          </w:p>
        </w:tc>
        <w:tc>
          <w:tcPr>
            <w:tcW w:w="859" w:type="dxa"/>
            <w:tcBorders>
              <w:top w:val="nil"/>
              <w:left w:val="nil"/>
              <w:bottom w:val="nil"/>
              <w:right w:val="nil"/>
            </w:tcBorders>
            <w:shd w:val="clear" w:color="auto" w:fill="CCE1EC"/>
          </w:tcPr>
          <w:p w14:paraId="47587A71" w14:textId="77777777" w:rsidR="00141B97" w:rsidRDefault="00911D63">
            <w:pPr>
              <w:pStyle w:val="TableParagraph"/>
              <w:spacing w:before="141"/>
              <w:ind w:right="165"/>
              <w:jc w:val="right"/>
              <w:rPr>
                <w:sz w:val="16"/>
              </w:rPr>
            </w:pPr>
            <w:r>
              <w:rPr>
                <w:spacing w:val="-2"/>
                <w:sz w:val="16"/>
              </w:rPr>
              <w:t>=/&gt;70%</w:t>
            </w:r>
          </w:p>
        </w:tc>
        <w:tc>
          <w:tcPr>
            <w:tcW w:w="834" w:type="dxa"/>
            <w:tcBorders>
              <w:top w:val="nil"/>
              <w:left w:val="nil"/>
              <w:bottom w:val="nil"/>
              <w:right w:val="nil"/>
            </w:tcBorders>
            <w:shd w:val="clear" w:color="auto" w:fill="CCE1EC"/>
          </w:tcPr>
          <w:p w14:paraId="285E1858" w14:textId="77777777" w:rsidR="00141B97" w:rsidRDefault="00911D63">
            <w:pPr>
              <w:pStyle w:val="TableParagraph"/>
              <w:spacing w:before="141"/>
              <w:ind w:right="147"/>
              <w:jc w:val="right"/>
              <w:rPr>
                <w:sz w:val="16"/>
              </w:rPr>
            </w:pPr>
            <w:r>
              <w:rPr>
                <w:spacing w:val="-2"/>
                <w:sz w:val="16"/>
              </w:rPr>
              <w:t>=/&gt;75%</w:t>
            </w:r>
          </w:p>
        </w:tc>
      </w:tr>
      <w:tr w:rsidR="00141B97" w14:paraId="7D50EC24" w14:textId="77777777">
        <w:trPr>
          <w:trHeight w:val="380"/>
          <w:tblCellSpacing w:w="9" w:type="dxa"/>
        </w:trPr>
        <w:tc>
          <w:tcPr>
            <w:tcW w:w="4998" w:type="dxa"/>
            <w:tcBorders>
              <w:top w:val="nil"/>
              <w:left w:val="nil"/>
              <w:bottom w:val="nil"/>
              <w:right w:val="nil"/>
            </w:tcBorders>
            <w:shd w:val="clear" w:color="auto" w:fill="CCE1EC"/>
          </w:tcPr>
          <w:p w14:paraId="6053ED9B" w14:textId="77777777" w:rsidR="00141B97" w:rsidRDefault="00911D63">
            <w:pPr>
              <w:pStyle w:val="TableParagraph"/>
              <w:spacing w:line="190" w:lineRule="exact"/>
              <w:ind w:left="13"/>
              <w:rPr>
                <w:sz w:val="16"/>
              </w:rPr>
            </w:pPr>
            <w:r>
              <w:rPr>
                <w:sz w:val="16"/>
              </w:rPr>
              <w:t>Resolve</w:t>
            </w:r>
            <w:r>
              <w:rPr>
                <w:spacing w:val="-8"/>
                <w:sz w:val="16"/>
              </w:rPr>
              <w:t xml:space="preserve"> </w:t>
            </w:r>
            <w:r>
              <w:rPr>
                <w:sz w:val="16"/>
              </w:rPr>
              <w:t>customer</w:t>
            </w:r>
            <w:r>
              <w:rPr>
                <w:spacing w:val="-5"/>
                <w:sz w:val="16"/>
              </w:rPr>
              <w:t xml:space="preserve"> </w:t>
            </w:r>
            <w:r>
              <w:rPr>
                <w:sz w:val="16"/>
              </w:rPr>
              <w:t>charter</w:t>
            </w:r>
            <w:r>
              <w:rPr>
                <w:spacing w:val="-4"/>
                <w:sz w:val="16"/>
              </w:rPr>
              <w:t xml:space="preserve"> </w:t>
            </w:r>
            <w:r>
              <w:rPr>
                <w:sz w:val="16"/>
              </w:rPr>
              <w:t>requests</w:t>
            </w:r>
            <w:r>
              <w:rPr>
                <w:spacing w:val="-3"/>
                <w:sz w:val="16"/>
              </w:rPr>
              <w:t xml:space="preserve"> </w:t>
            </w:r>
            <w:r>
              <w:rPr>
                <w:sz w:val="16"/>
              </w:rPr>
              <w:t>/</w:t>
            </w:r>
            <w:r>
              <w:rPr>
                <w:spacing w:val="-4"/>
                <w:sz w:val="16"/>
              </w:rPr>
              <w:t xml:space="preserve"> </w:t>
            </w:r>
            <w:r>
              <w:rPr>
                <w:sz w:val="16"/>
              </w:rPr>
              <w:t>enquiries</w:t>
            </w:r>
            <w:r>
              <w:rPr>
                <w:spacing w:val="-3"/>
                <w:sz w:val="16"/>
              </w:rPr>
              <w:t xml:space="preserve"> </w:t>
            </w:r>
            <w:r>
              <w:rPr>
                <w:sz w:val="16"/>
              </w:rPr>
              <w:t>“First</w:t>
            </w:r>
            <w:r>
              <w:rPr>
                <w:spacing w:val="-4"/>
                <w:sz w:val="16"/>
              </w:rPr>
              <w:t xml:space="preserve"> </w:t>
            </w:r>
            <w:r>
              <w:rPr>
                <w:sz w:val="16"/>
              </w:rPr>
              <w:t>Time</w:t>
            </w:r>
            <w:r>
              <w:rPr>
                <w:spacing w:val="-4"/>
                <w:sz w:val="16"/>
              </w:rPr>
              <w:t xml:space="preserve"> </w:t>
            </w:r>
            <w:r>
              <w:rPr>
                <w:sz w:val="16"/>
              </w:rPr>
              <w:t>Right”</w:t>
            </w:r>
            <w:r>
              <w:rPr>
                <w:spacing w:val="-5"/>
                <w:sz w:val="16"/>
              </w:rPr>
              <w:t xml:space="preserve"> </w:t>
            </w:r>
            <w:r>
              <w:rPr>
                <w:sz w:val="16"/>
              </w:rPr>
              <w:t>–</w:t>
            </w:r>
            <w:r>
              <w:rPr>
                <w:spacing w:val="-5"/>
                <w:sz w:val="16"/>
              </w:rPr>
              <w:t xml:space="preserve"> </w:t>
            </w:r>
            <w:r>
              <w:rPr>
                <w:sz w:val="16"/>
              </w:rPr>
              <w:t>Target</w:t>
            </w:r>
            <w:r>
              <w:rPr>
                <w:spacing w:val="-4"/>
                <w:sz w:val="16"/>
              </w:rPr>
              <w:t xml:space="preserve"> </w:t>
            </w:r>
            <w:r>
              <w:rPr>
                <w:sz w:val="16"/>
              </w:rPr>
              <w:t>-</w:t>
            </w:r>
            <w:r>
              <w:rPr>
                <w:spacing w:val="-5"/>
                <w:sz w:val="16"/>
              </w:rPr>
              <w:t xml:space="preserve"> </w:t>
            </w:r>
            <w:r>
              <w:rPr>
                <w:spacing w:val="-10"/>
                <w:sz w:val="16"/>
              </w:rPr>
              <w:t>%</w:t>
            </w:r>
          </w:p>
          <w:p w14:paraId="0ECF3B2A" w14:textId="77777777" w:rsidR="00141B97" w:rsidRDefault="00911D63">
            <w:pPr>
              <w:pStyle w:val="TableParagraph"/>
              <w:spacing w:line="171" w:lineRule="exact"/>
              <w:ind w:left="13"/>
              <w:rPr>
                <w:sz w:val="16"/>
              </w:rPr>
            </w:pPr>
            <w:r>
              <w:rPr>
                <w:sz w:val="16"/>
              </w:rPr>
              <w:t>=/&gt;</w:t>
            </w:r>
            <w:r>
              <w:rPr>
                <w:spacing w:val="-4"/>
                <w:sz w:val="16"/>
              </w:rPr>
              <w:t xml:space="preserve"> </w:t>
            </w:r>
            <w:r>
              <w:rPr>
                <w:sz w:val="16"/>
              </w:rPr>
              <w:t>per</w:t>
            </w:r>
            <w:r>
              <w:rPr>
                <w:spacing w:val="-3"/>
                <w:sz w:val="16"/>
              </w:rPr>
              <w:t xml:space="preserve"> </w:t>
            </w:r>
            <w:r>
              <w:rPr>
                <w:sz w:val="16"/>
              </w:rPr>
              <w:t>year</w:t>
            </w:r>
            <w:r>
              <w:rPr>
                <w:spacing w:val="-3"/>
                <w:sz w:val="16"/>
              </w:rPr>
              <w:t xml:space="preserve"> </w:t>
            </w:r>
            <w:r>
              <w:rPr>
                <w:sz w:val="16"/>
              </w:rPr>
              <w:t>from</w:t>
            </w:r>
            <w:r>
              <w:rPr>
                <w:spacing w:val="-2"/>
                <w:sz w:val="16"/>
              </w:rPr>
              <w:t xml:space="preserve"> 2024/25</w:t>
            </w:r>
          </w:p>
        </w:tc>
        <w:tc>
          <w:tcPr>
            <w:tcW w:w="820" w:type="dxa"/>
            <w:tcBorders>
              <w:top w:val="nil"/>
              <w:left w:val="nil"/>
              <w:bottom w:val="nil"/>
            </w:tcBorders>
            <w:shd w:val="clear" w:color="auto" w:fill="CCE1EC"/>
          </w:tcPr>
          <w:p w14:paraId="3F1D644B" w14:textId="77777777" w:rsidR="00141B97" w:rsidRDefault="00911D63">
            <w:pPr>
              <w:pStyle w:val="TableParagraph"/>
              <w:spacing w:before="90"/>
              <w:ind w:left="12"/>
              <w:rPr>
                <w:sz w:val="16"/>
              </w:rPr>
            </w:pPr>
            <w:r>
              <w:rPr>
                <w:spacing w:val="-5"/>
                <w:sz w:val="16"/>
              </w:rPr>
              <w:t>NA</w:t>
            </w:r>
          </w:p>
        </w:tc>
        <w:tc>
          <w:tcPr>
            <w:tcW w:w="888" w:type="dxa"/>
            <w:tcBorders>
              <w:top w:val="nil"/>
              <w:bottom w:val="nil"/>
            </w:tcBorders>
            <w:shd w:val="clear" w:color="auto" w:fill="CCE1EC"/>
          </w:tcPr>
          <w:p w14:paraId="659D6743" w14:textId="77777777" w:rsidR="00141B97" w:rsidRDefault="00911D63">
            <w:pPr>
              <w:pStyle w:val="TableParagraph"/>
              <w:spacing w:before="90"/>
              <w:ind w:left="293" w:right="292"/>
              <w:jc w:val="center"/>
              <w:rPr>
                <w:sz w:val="16"/>
              </w:rPr>
            </w:pPr>
            <w:r>
              <w:rPr>
                <w:spacing w:val="-5"/>
                <w:sz w:val="16"/>
              </w:rPr>
              <w:t>NA</w:t>
            </w:r>
          </w:p>
        </w:tc>
        <w:tc>
          <w:tcPr>
            <w:tcW w:w="848" w:type="dxa"/>
            <w:tcBorders>
              <w:top w:val="nil"/>
              <w:bottom w:val="nil"/>
              <w:right w:val="nil"/>
            </w:tcBorders>
            <w:shd w:val="clear" w:color="auto" w:fill="CCE1EC"/>
          </w:tcPr>
          <w:p w14:paraId="628F6342" w14:textId="77777777" w:rsidR="00141B97" w:rsidRDefault="00911D63">
            <w:pPr>
              <w:pStyle w:val="TableParagraph"/>
              <w:spacing w:before="90"/>
              <w:ind w:left="110" w:right="113"/>
              <w:jc w:val="center"/>
              <w:rPr>
                <w:sz w:val="16"/>
              </w:rPr>
            </w:pPr>
            <w:r>
              <w:rPr>
                <w:spacing w:val="-2"/>
                <w:sz w:val="16"/>
              </w:rPr>
              <w:t>=/&gt;60%</w:t>
            </w:r>
          </w:p>
        </w:tc>
        <w:tc>
          <w:tcPr>
            <w:tcW w:w="847" w:type="dxa"/>
            <w:tcBorders>
              <w:top w:val="nil"/>
              <w:left w:val="nil"/>
              <w:bottom w:val="nil"/>
              <w:right w:val="nil"/>
            </w:tcBorders>
            <w:shd w:val="clear" w:color="auto" w:fill="CCE1EC"/>
          </w:tcPr>
          <w:p w14:paraId="31DFC6BA" w14:textId="77777777" w:rsidR="00141B97" w:rsidRDefault="00911D63">
            <w:pPr>
              <w:pStyle w:val="TableParagraph"/>
              <w:spacing w:before="90"/>
              <w:ind w:left="161"/>
              <w:rPr>
                <w:sz w:val="16"/>
              </w:rPr>
            </w:pPr>
            <w:r>
              <w:rPr>
                <w:spacing w:val="-2"/>
                <w:sz w:val="16"/>
              </w:rPr>
              <w:t>=/&gt;65%</w:t>
            </w:r>
          </w:p>
        </w:tc>
        <w:tc>
          <w:tcPr>
            <w:tcW w:w="859" w:type="dxa"/>
            <w:tcBorders>
              <w:top w:val="nil"/>
              <w:left w:val="nil"/>
              <w:bottom w:val="nil"/>
              <w:right w:val="nil"/>
            </w:tcBorders>
            <w:shd w:val="clear" w:color="auto" w:fill="CCE1EC"/>
          </w:tcPr>
          <w:p w14:paraId="70D788B0" w14:textId="77777777" w:rsidR="00141B97" w:rsidRDefault="00911D63">
            <w:pPr>
              <w:pStyle w:val="TableParagraph"/>
              <w:spacing w:before="90"/>
              <w:ind w:right="165"/>
              <w:jc w:val="right"/>
              <w:rPr>
                <w:sz w:val="16"/>
              </w:rPr>
            </w:pPr>
            <w:r>
              <w:rPr>
                <w:spacing w:val="-2"/>
                <w:sz w:val="16"/>
              </w:rPr>
              <w:t>=/&gt;70%</w:t>
            </w:r>
          </w:p>
        </w:tc>
        <w:tc>
          <w:tcPr>
            <w:tcW w:w="834" w:type="dxa"/>
            <w:tcBorders>
              <w:top w:val="nil"/>
              <w:left w:val="nil"/>
              <w:bottom w:val="nil"/>
              <w:right w:val="nil"/>
            </w:tcBorders>
            <w:shd w:val="clear" w:color="auto" w:fill="CCE1EC"/>
          </w:tcPr>
          <w:p w14:paraId="17A3ADD8" w14:textId="77777777" w:rsidR="00141B97" w:rsidRDefault="00911D63">
            <w:pPr>
              <w:pStyle w:val="TableParagraph"/>
              <w:spacing w:before="90"/>
              <w:ind w:right="147"/>
              <w:jc w:val="right"/>
              <w:rPr>
                <w:sz w:val="16"/>
              </w:rPr>
            </w:pPr>
            <w:r>
              <w:rPr>
                <w:spacing w:val="-2"/>
                <w:sz w:val="16"/>
              </w:rPr>
              <w:t>=/&gt;75%</w:t>
            </w:r>
          </w:p>
        </w:tc>
      </w:tr>
      <w:tr w:rsidR="00141B97" w14:paraId="5C29482F" w14:textId="77777777">
        <w:trPr>
          <w:trHeight w:val="380"/>
          <w:tblCellSpacing w:w="9" w:type="dxa"/>
        </w:trPr>
        <w:tc>
          <w:tcPr>
            <w:tcW w:w="4998" w:type="dxa"/>
            <w:tcBorders>
              <w:top w:val="nil"/>
              <w:left w:val="nil"/>
              <w:bottom w:val="nil"/>
              <w:right w:val="nil"/>
            </w:tcBorders>
            <w:shd w:val="clear" w:color="auto" w:fill="CCE1EC"/>
          </w:tcPr>
          <w:p w14:paraId="24801585" w14:textId="77777777" w:rsidR="00141B97" w:rsidRDefault="00911D63">
            <w:pPr>
              <w:pStyle w:val="TableParagraph"/>
              <w:spacing w:line="190" w:lineRule="exact"/>
              <w:ind w:left="13"/>
              <w:rPr>
                <w:sz w:val="16"/>
              </w:rPr>
            </w:pPr>
            <w:r>
              <w:rPr>
                <w:sz w:val="16"/>
              </w:rPr>
              <w:t>Customers</w:t>
            </w:r>
            <w:r>
              <w:rPr>
                <w:spacing w:val="-3"/>
                <w:sz w:val="16"/>
              </w:rPr>
              <w:t xml:space="preserve"> </w:t>
            </w:r>
            <w:r>
              <w:rPr>
                <w:sz w:val="16"/>
              </w:rPr>
              <w:t>registered</w:t>
            </w:r>
            <w:r>
              <w:rPr>
                <w:spacing w:val="-3"/>
                <w:sz w:val="16"/>
              </w:rPr>
              <w:t xml:space="preserve"> </w:t>
            </w:r>
            <w:r>
              <w:rPr>
                <w:sz w:val="16"/>
              </w:rPr>
              <w:t>for</w:t>
            </w:r>
            <w:r>
              <w:rPr>
                <w:spacing w:val="-4"/>
                <w:sz w:val="16"/>
              </w:rPr>
              <w:t xml:space="preserve"> </w:t>
            </w:r>
            <w:r>
              <w:rPr>
                <w:sz w:val="16"/>
              </w:rPr>
              <w:t>self-service</w:t>
            </w:r>
            <w:r>
              <w:rPr>
                <w:spacing w:val="-6"/>
                <w:sz w:val="16"/>
              </w:rPr>
              <w:t xml:space="preserve"> </w:t>
            </w:r>
            <w:r>
              <w:rPr>
                <w:sz w:val="16"/>
              </w:rPr>
              <w:t>portal</w:t>
            </w:r>
            <w:r>
              <w:rPr>
                <w:spacing w:val="-3"/>
                <w:sz w:val="16"/>
              </w:rPr>
              <w:t xml:space="preserve"> </w:t>
            </w:r>
            <w:r>
              <w:rPr>
                <w:sz w:val="16"/>
              </w:rPr>
              <w:t>–</w:t>
            </w:r>
            <w:r>
              <w:rPr>
                <w:spacing w:val="-5"/>
                <w:sz w:val="16"/>
              </w:rPr>
              <w:t xml:space="preserve"> </w:t>
            </w:r>
            <w:r>
              <w:rPr>
                <w:sz w:val="16"/>
              </w:rPr>
              <w:t>Target</w:t>
            </w:r>
            <w:r>
              <w:rPr>
                <w:spacing w:val="-4"/>
                <w:sz w:val="16"/>
              </w:rPr>
              <w:t xml:space="preserve"> </w:t>
            </w:r>
            <w:r>
              <w:rPr>
                <w:sz w:val="16"/>
              </w:rPr>
              <w:t>-</w:t>
            </w:r>
            <w:r>
              <w:rPr>
                <w:spacing w:val="-2"/>
                <w:sz w:val="16"/>
              </w:rPr>
              <w:t xml:space="preserve"> </w:t>
            </w:r>
            <w:r>
              <w:rPr>
                <w:sz w:val="16"/>
              </w:rPr>
              <w:t>20%</w:t>
            </w:r>
            <w:r>
              <w:rPr>
                <w:spacing w:val="-5"/>
                <w:sz w:val="16"/>
              </w:rPr>
              <w:t xml:space="preserve"> </w:t>
            </w:r>
            <w:r>
              <w:rPr>
                <w:sz w:val="16"/>
              </w:rPr>
              <w:t>in</w:t>
            </w:r>
            <w:r>
              <w:rPr>
                <w:spacing w:val="-3"/>
                <w:sz w:val="16"/>
              </w:rPr>
              <w:t xml:space="preserve"> </w:t>
            </w:r>
            <w:r>
              <w:rPr>
                <w:sz w:val="16"/>
              </w:rPr>
              <w:t>first</w:t>
            </w:r>
            <w:r>
              <w:rPr>
                <w:spacing w:val="-6"/>
                <w:sz w:val="16"/>
              </w:rPr>
              <w:t xml:space="preserve"> </w:t>
            </w:r>
            <w:r>
              <w:rPr>
                <w:sz w:val="16"/>
              </w:rPr>
              <w:t>year</w:t>
            </w:r>
            <w:r>
              <w:rPr>
                <w:spacing w:val="-3"/>
                <w:sz w:val="16"/>
              </w:rPr>
              <w:t xml:space="preserve"> </w:t>
            </w:r>
            <w:r>
              <w:rPr>
                <w:spacing w:val="-5"/>
                <w:sz w:val="16"/>
              </w:rPr>
              <w:t>and</w:t>
            </w:r>
          </w:p>
          <w:p w14:paraId="60C64D48" w14:textId="77777777" w:rsidR="00141B97" w:rsidRDefault="00911D63">
            <w:pPr>
              <w:pStyle w:val="TableParagraph"/>
              <w:spacing w:line="171" w:lineRule="exact"/>
              <w:ind w:left="13"/>
              <w:rPr>
                <w:sz w:val="16"/>
              </w:rPr>
            </w:pPr>
            <w:r>
              <w:rPr>
                <w:sz w:val="16"/>
              </w:rPr>
              <w:t>10%</w:t>
            </w:r>
            <w:r>
              <w:rPr>
                <w:spacing w:val="-5"/>
                <w:sz w:val="16"/>
              </w:rPr>
              <w:t xml:space="preserve"> </w:t>
            </w:r>
            <w:r>
              <w:rPr>
                <w:sz w:val="16"/>
              </w:rPr>
              <w:t>increase</w:t>
            </w:r>
            <w:r>
              <w:rPr>
                <w:spacing w:val="-5"/>
                <w:sz w:val="16"/>
              </w:rPr>
              <w:t xml:space="preserve"> </w:t>
            </w:r>
            <w:r>
              <w:rPr>
                <w:sz w:val="16"/>
              </w:rPr>
              <w:t>per</w:t>
            </w:r>
            <w:r>
              <w:rPr>
                <w:spacing w:val="-4"/>
                <w:sz w:val="16"/>
              </w:rPr>
              <w:t xml:space="preserve"> </w:t>
            </w:r>
            <w:r>
              <w:rPr>
                <w:sz w:val="16"/>
              </w:rPr>
              <w:t>year</w:t>
            </w:r>
            <w:r>
              <w:rPr>
                <w:spacing w:val="-4"/>
                <w:sz w:val="16"/>
              </w:rPr>
              <w:t xml:space="preserve"> </w:t>
            </w:r>
            <w:r>
              <w:rPr>
                <w:sz w:val="16"/>
              </w:rPr>
              <w:t>for</w:t>
            </w:r>
            <w:r>
              <w:rPr>
                <w:spacing w:val="-3"/>
                <w:sz w:val="16"/>
              </w:rPr>
              <w:t xml:space="preserve"> </w:t>
            </w:r>
            <w:r>
              <w:rPr>
                <w:sz w:val="16"/>
              </w:rPr>
              <w:t>subsequent</w:t>
            </w:r>
            <w:r>
              <w:rPr>
                <w:spacing w:val="-5"/>
                <w:sz w:val="16"/>
              </w:rPr>
              <w:t xml:space="preserve"> </w:t>
            </w:r>
            <w:r>
              <w:rPr>
                <w:spacing w:val="-4"/>
                <w:sz w:val="16"/>
              </w:rPr>
              <w:t>years</w:t>
            </w:r>
          </w:p>
        </w:tc>
        <w:tc>
          <w:tcPr>
            <w:tcW w:w="820" w:type="dxa"/>
            <w:tcBorders>
              <w:top w:val="nil"/>
              <w:left w:val="nil"/>
              <w:bottom w:val="nil"/>
            </w:tcBorders>
            <w:shd w:val="clear" w:color="auto" w:fill="CCE1EC"/>
          </w:tcPr>
          <w:p w14:paraId="328FA550" w14:textId="77777777" w:rsidR="00141B97" w:rsidRDefault="00911D63">
            <w:pPr>
              <w:pStyle w:val="TableParagraph"/>
              <w:spacing w:before="90"/>
              <w:ind w:left="12"/>
              <w:rPr>
                <w:sz w:val="16"/>
              </w:rPr>
            </w:pPr>
            <w:r>
              <w:rPr>
                <w:spacing w:val="-5"/>
                <w:sz w:val="16"/>
              </w:rPr>
              <w:t>NA</w:t>
            </w:r>
          </w:p>
        </w:tc>
        <w:tc>
          <w:tcPr>
            <w:tcW w:w="888" w:type="dxa"/>
            <w:tcBorders>
              <w:top w:val="nil"/>
              <w:bottom w:val="nil"/>
            </w:tcBorders>
            <w:shd w:val="clear" w:color="auto" w:fill="CCE1EC"/>
          </w:tcPr>
          <w:p w14:paraId="4BC5C5F4" w14:textId="77777777" w:rsidR="00141B97" w:rsidRDefault="00911D63">
            <w:pPr>
              <w:pStyle w:val="TableParagraph"/>
              <w:spacing w:before="90"/>
              <w:ind w:left="293" w:right="293"/>
              <w:jc w:val="center"/>
              <w:rPr>
                <w:sz w:val="16"/>
              </w:rPr>
            </w:pPr>
            <w:r>
              <w:rPr>
                <w:spacing w:val="-5"/>
                <w:sz w:val="16"/>
              </w:rPr>
              <w:t>20%</w:t>
            </w:r>
          </w:p>
        </w:tc>
        <w:tc>
          <w:tcPr>
            <w:tcW w:w="848" w:type="dxa"/>
            <w:tcBorders>
              <w:top w:val="nil"/>
              <w:bottom w:val="nil"/>
              <w:right w:val="nil"/>
            </w:tcBorders>
            <w:shd w:val="clear" w:color="auto" w:fill="CCE1EC"/>
          </w:tcPr>
          <w:p w14:paraId="7D47FDF3" w14:textId="77777777" w:rsidR="00141B97" w:rsidRDefault="00911D63">
            <w:pPr>
              <w:pStyle w:val="TableParagraph"/>
              <w:spacing w:before="90"/>
              <w:ind w:left="110" w:right="113"/>
              <w:jc w:val="center"/>
              <w:rPr>
                <w:sz w:val="16"/>
              </w:rPr>
            </w:pPr>
            <w:r>
              <w:rPr>
                <w:spacing w:val="-5"/>
                <w:sz w:val="16"/>
              </w:rPr>
              <w:t>30%</w:t>
            </w:r>
          </w:p>
        </w:tc>
        <w:tc>
          <w:tcPr>
            <w:tcW w:w="847" w:type="dxa"/>
            <w:tcBorders>
              <w:top w:val="nil"/>
              <w:left w:val="nil"/>
              <w:bottom w:val="nil"/>
              <w:right w:val="nil"/>
            </w:tcBorders>
            <w:shd w:val="clear" w:color="auto" w:fill="CCE1EC"/>
          </w:tcPr>
          <w:p w14:paraId="4DE64B16" w14:textId="77777777" w:rsidR="00141B97" w:rsidRDefault="00911D63">
            <w:pPr>
              <w:pStyle w:val="TableParagraph"/>
              <w:spacing w:before="90"/>
              <w:ind w:left="269"/>
              <w:rPr>
                <w:sz w:val="16"/>
              </w:rPr>
            </w:pPr>
            <w:r>
              <w:rPr>
                <w:spacing w:val="-5"/>
                <w:sz w:val="16"/>
              </w:rPr>
              <w:t>40%</w:t>
            </w:r>
          </w:p>
        </w:tc>
        <w:tc>
          <w:tcPr>
            <w:tcW w:w="859" w:type="dxa"/>
            <w:tcBorders>
              <w:top w:val="nil"/>
              <w:left w:val="nil"/>
              <w:bottom w:val="nil"/>
              <w:right w:val="nil"/>
            </w:tcBorders>
            <w:shd w:val="clear" w:color="auto" w:fill="CCE1EC"/>
          </w:tcPr>
          <w:p w14:paraId="16DB75EB" w14:textId="77777777" w:rsidR="00141B97" w:rsidRDefault="00911D63">
            <w:pPr>
              <w:pStyle w:val="TableParagraph"/>
              <w:spacing w:before="90"/>
              <w:ind w:left="276"/>
              <w:rPr>
                <w:sz w:val="16"/>
              </w:rPr>
            </w:pPr>
            <w:r>
              <w:rPr>
                <w:spacing w:val="-5"/>
                <w:sz w:val="16"/>
              </w:rPr>
              <w:t>50%</w:t>
            </w:r>
          </w:p>
        </w:tc>
        <w:tc>
          <w:tcPr>
            <w:tcW w:w="834" w:type="dxa"/>
            <w:tcBorders>
              <w:top w:val="nil"/>
              <w:left w:val="nil"/>
              <w:bottom w:val="nil"/>
              <w:right w:val="nil"/>
            </w:tcBorders>
            <w:shd w:val="clear" w:color="auto" w:fill="CCE1EC"/>
          </w:tcPr>
          <w:p w14:paraId="7C477390" w14:textId="77777777" w:rsidR="00141B97" w:rsidRDefault="00911D63">
            <w:pPr>
              <w:pStyle w:val="TableParagraph"/>
              <w:spacing w:before="90"/>
              <w:ind w:left="269"/>
              <w:rPr>
                <w:sz w:val="16"/>
              </w:rPr>
            </w:pPr>
            <w:r>
              <w:rPr>
                <w:spacing w:val="-5"/>
                <w:sz w:val="16"/>
              </w:rPr>
              <w:t>60%</w:t>
            </w:r>
          </w:p>
        </w:tc>
      </w:tr>
      <w:tr w:rsidR="00141B97" w14:paraId="3B0BD8E5" w14:textId="77777777">
        <w:trPr>
          <w:trHeight w:val="386"/>
          <w:tblCellSpacing w:w="9" w:type="dxa"/>
        </w:trPr>
        <w:tc>
          <w:tcPr>
            <w:tcW w:w="4998" w:type="dxa"/>
            <w:tcBorders>
              <w:top w:val="nil"/>
              <w:left w:val="nil"/>
              <w:right w:val="nil"/>
            </w:tcBorders>
            <w:shd w:val="clear" w:color="auto" w:fill="CCE1EC"/>
          </w:tcPr>
          <w:p w14:paraId="36C30A11" w14:textId="77777777" w:rsidR="00141B97" w:rsidRDefault="00911D63">
            <w:pPr>
              <w:pStyle w:val="TableParagraph"/>
              <w:spacing w:line="190" w:lineRule="exact"/>
              <w:ind w:left="13"/>
              <w:rPr>
                <w:sz w:val="16"/>
              </w:rPr>
            </w:pPr>
            <w:r>
              <w:rPr>
                <w:sz w:val="16"/>
              </w:rPr>
              <w:t>Customer</w:t>
            </w:r>
            <w:r>
              <w:rPr>
                <w:spacing w:val="-7"/>
                <w:sz w:val="16"/>
              </w:rPr>
              <w:t xml:space="preserve"> </w:t>
            </w:r>
            <w:r>
              <w:rPr>
                <w:sz w:val="16"/>
              </w:rPr>
              <w:t>satisfaction</w:t>
            </w:r>
            <w:r>
              <w:rPr>
                <w:spacing w:val="-4"/>
                <w:sz w:val="16"/>
              </w:rPr>
              <w:t xml:space="preserve"> </w:t>
            </w:r>
            <w:r>
              <w:rPr>
                <w:sz w:val="16"/>
              </w:rPr>
              <w:t>for</w:t>
            </w:r>
            <w:r>
              <w:rPr>
                <w:spacing w:val="-5"/>
                <w:sz w:val="16"/>
              </w:rPr>
              <w:t xml:space="preserve"> </w:t>
            </w:r>
            <w:r>
              <w:rPr>
                <w:sz w:val="16"/>
              </w:rPr>
              <w:t>responsiveness</w:t>
            </w:r>
            <w:r>
              <w:rPr>
                <w:spacing w:val="-4"/>
                <w:sz w:val="16"/>
              </w:rPr>
              <w:t xml:space="preserve"> </w:t>
            </w:r>
            <w:r>
              <w:rPr>
                <w:sz w:val="16"/>
              </w:rPr>
              <w:t>to</w:t>
            </w:r>
            <w:r>
              <w:rPr>
                <w:spacing w:val="-5"/>
                <w:sz w:val="16"/>
              </w:rPr>
              <w:t xml:space="preserve"> </w:t>
            </w:r>
            <w:r>
              <w:rPr>
                <w:sz w:val="16"/>
              </w:rPr>
              <w:t>enquiry</w:t>
            </w:r>
            <w:r>
              <w:rPr>
                <w:spacing w:val="-4"/>
                <w:sz w:val="16"/>
              </w:rPr>
              <w:t xml:space="preserve"> </w:t>
            </w:r>
            <w:r>
              <w:rPr>
                <w:sz w:val="16"/>
              </w:rPr>
              <w:t>or</w:t>
            </w:r>
            <w:r>
              <w:rPr>
                <w:spacing w:val="-5"/>
                <w:sz w:val="16"/>
              </w:rPr>
              <w:t xml:space="preserve"> </w:t>
            </w:r>
            <w:r>
              <w:rPr>
                <w:sz w:val="16"/>
              </w:rPr>
              <w:t>request</w:t>
            </w:r>
            <w:r>
              <w:rPr>
                <w:spacing w:val="-4"/>
                <w:sz w:val="16"/>
              </w:rPr>
              <w:t xml:space="preserve"> </w:t>
            </w:r>
            <w:r>
              <w:rPr>
                <w:sz w:val="16"/>
              </w:rPr>
              <w:t>–</w:t>
            </w:r>
            <w:r>
              <w:rPr>
                <w:spacing w:val="-6"/>
                <w:sz w:val="16"/>
              </w:rPr>
              <w:t xml:space="preserve"> </w:t>
            </w:r>
            <w:r>
              <w:rPr>
                <w:sz w:val="16"/>
              </w:rPr>
              <w:t>Target</w:t>
            </w:r>
            <w:r>
              <w:rPr>
                <w:spacing w:val="-4"/>
                <w:sz w:val="16"/>
              </w:rPr>
              <w:t xml:space="preserve"> </w:t>
            </w:r>
            <w:r>
              <w:rPr>
                <w:spacing w:val="-10"/>
                <w:sz w:val="16"/>
              </w:rPr>
              <w:t>=</w:t>
            </w:r>
          </w:p>
          <w:p w14:paraId="73660397" w14:textId="77777777" w:rsidR="00141B97" w:rsidRDefault="00911D63">
            <w:pPr>
              <w:pStyle w:val="TableParagraph"/>
              <w:spacing w:line="177" w:lineRule="exact"/>
              <w:ind w:left="13"/>
              <w:rPr>
                <w:sz w:val="16"/>
              </w:rPr>
            </w:pPr>
            <w:r>
              <w:rPr>
                <w:sz w:val="16"/>
              </w:rPr>
              <w:t>=/&gt;</w:t>
            </w:r>
            <w:r>
              <w:rPr>
                <w:spacing w:val="-5"/>
                <w:sz w:val="16"/>
              </w:rPr>
              <w:t xml:space="preserve"> </w:t>
            </w:r>
            <w:r>
              <w:rPr>
                <w:sz w:val="16"/>
              </w:rPr>
              <w:t>prior</w:t>
            </w:r>
            <w:r>
              <w:rPr>
                <w:spacing w:val="-4"/>
                <w:sz w:val="16"/>
              </w:rPr>
              <w:t xml:space="preserve"> </w:t>
            </w:r>
            <w:r>
              <w:rPr>
                <w:sz w:val="16"/>
              </w:rPr>
              <w:t>year</w:t>
            </w:r>
            <w:r>
              <w:rPr>
                <w:spacing w:val="-5"/>
                <w:sz w:val="16"/>
              </w:rPr>
              <w:t xml:space="preserve"> </w:t>
            </w:r>
            <w:r>
              <w:rPr>
                <w:sz w:val="16"/>
              </w:rPr>
              <w:t>performance</w:t>
            </w:r>
            <w:r>
              <w:rPr>
                <w:spacing w:val="-3"/>
                <w:sz w:val="16"/>
              </w:rPr>
              <w:t xml:space="preserve"> </w:t>
            </w:r>
            <w:r>
              <w:rPr>
                <w:sz w:val="16"/>
              </w:rPr>
              <w:t>of</w:t>
            </w:r>
            <w:r>
              <w:rPr>
                <w:spacing w:val="-4"/>
                <w:sz w:val="16"/>
              </w:rPr>
              <w:t xml:space="preserve"> </w:t>
            </w:r>
            <w:r>
              <w:rPr>
                <w:sz w:val="16"/>
              </w:rPr>
              <w:t>survey</w:t>
            </w:r>
            <w:r>
              <w:rPr>
                <w:spacing w:val="-4"/>
                <w:sz w:val="16"/>
              </w:rPr>
              <w:t xml:space="preserve"> </w:t>
            </w:r>
            <w:r>
              <w:rPr>
                <w:spacing w:val="-2"/>
                <w:sz w:val="16"/>
              </w:rPr>
              <w:t>respondents</w:t>
            </w:r>
          </w:p>
        </w:tc>
        <w:tc>
          <w:tcPr>
            <w:tcW w:w="820" w:type="dxa"/>
            <w:tcBorders>
              <w:top w:val="nil"/>
              <w:left w:val="nil"/>
            </w:tcBorders>
            <w:shd w:val="clear" w:color="auto" w:fill="CCE1EC"/>
          </w:tcPr>
          <w:p w14:paraId="2BA4BAC2" w14:textId="77777777" w:rsidR="00141B97" w:rsidRDefault="00911D63">
            <w:pPr>
              <w:pStyle w:val="TableParagraph"/>
              <w:spacing w:before="90"/>
              <w:ind w:left="12"/>
              <w:rPr>
                <w:sz w:val="16"/>
              </w:rPr>
            </w:pPr>
            <w:r>
              <w:rPr>
                <w:spacing w:val="-5"/>
                <w:sz w:val="16"/>
              </w:rPr>
              <w:t>NA</w:t>
            </w:r>
          </w:p>
        </w:tc>
        <w:tc>
          <w:tcPr>
            <w:tcW w:w="888" w:type="dxa"/>
            <w:tcBorders>
              <w:top w:val="nil"/>
            </w:tcBorders>
            <w:shd w:val="clear" w:color="auto" w:fill="CCE1EC"/>
          </w:tcPr>
          <w:p w14:paraId="699D648A" w14:textId="77777777" w:rsidR="00141B97" w:rsidRDefault="00911D63">
            <w:pPr>
              <w:pStyle w:val="TableParagraph"/>
              <w:spacing w:line="190" w:lineRule="exact"/>
              <w:ind w:left="160"/>
              <w:rPr>
                <w:sz w:val="16"/>
              </w:rPr>
            </w:pPr>
            <w:r>
              <w:rPr>
                <w:spacing w:val="-2"/>
                <w:sz w:val="16"/>
              </w:rPr>
              <w:t>2022/23</w:t>
            </w:r>
          </w:p>
          <w:p w14:paraId="5626E796" w14:textId="77777777" w:rsidR="00141B97" w:rsidRDefault="00911D63">
            <w:pPr>
              <w:pStyle w:val="TableParagraph"/>
              <w:spacing w:line="177" w:lineRule="exact"/>
              <w:ind w:left="239"/>
              <w:rPr>
                <w:sz w:val="16"/>
              </w:rPr>
            </w:pPr>
            <w:r>
              <w:rPr>
                <w:spacing w:val="-2"/>
                <w:sz w:val="16"/>
              </w:rPr>
              <w:t>actual</w:t>
            </w:r>
          </w:p>
        </w:tc>
        <w:tc>
          <w:tcPr>
            <w:tcW w:w="848" w:type="dxa"/>
            <w:tcBorders>
              <w:top w:val="nil"/>
              <w:right w:val="nil"/>
            </w:tcBorders>
            <w:shd w:val="clear" w:color="auto" w:fill="CCE1EC"/>
          </w:tcPr>
          <w:p w14:paraId="2D8F3D16" w14:textId="77777777" w:rsidR="00141B97" w:rsidRDefault="00911D63">
            <w:pPr>
              <w:pStyle w:val="TableParagraph"/>
              <w:spacing w:before="90"/>
              <w:ind w:left="111" w:right="113"/>
              <w:jc w:val="center"/>
              <w:rPr>
                <w:sz w:val="16"/>
              </w:rPr>
            </w:pPr>
            <w:r>
              <w:rPr>
                <w:spacing w:val="-2"/>
                <w:sz w:val="16"/>
              </w:rPr>
              <w:t>=/&gt;23/24</w:t>
            </w:r>
          </w:p>
        </w:tc>
        <w:tc>
          <w:tcPr>
            <w:tcW w:w="847" w:type="dxa"/>
            <w:tcBorders>
              <w:top w:val="nil"/>
              <w:left w:val="nil"/>
              <w:right w:val="nil"/>
            </w:tcBorders>
            <w:shd w:val="clear" w:color="auto" w:fill="CCE1EC"/>
          </w:tcPr>
          <w:p w14:paraId="6B27356E" w14:textId="77777777" w:rsidR="00141B97" w:rsidRDefault="00911D63">
            <w:pPr>
              <w:pStyle w:val="TableParagraph"/>
              <w:spacing w:before="90"/>
              <w:ind w:right="106"/>
              <w:jc w:val="right"/>
              <w:rPr>
                <w:sz w:val="16"/>
              </w:rPr>
            </w:pPr>
            <w:r>
              <w:rPr>
                <w:spacing w:val="-2"/>
                <w:sz w:val="16"/>
              </w:rPr>
              <w:t>=/&gt;24/25</w:t>
            </w:r>
          </w:p>
        </w:tc>
        <w:tc>
          <w:tcPr>
            <w:tcW w:w="859" w:type="dxa"/>
            <w:tcBorders>
              <w:top w:val="nil"/>
              <w:left w:val="nil"/>
              <w:right w:val="nil"/>
            </w:tcBorders>
            <w:shd w:val="clear" w:color="auto" w:fill="CCE1EC"/>
          </w:tcPr>
          <w:p w14:paraId="5A399EE4" w14:textId="77777777" w:rsidR="00141B97" w:rsidRDefault="00911D63">
            <w:pPr>
              <w:pStyle w:val="TableParagraph"/>
              <w:spacing w:before="90"/>
              <w:ind w:right="113"/>
              <w:jc w:val="right"/>
              <w:rPr>
                <w:sz w:val="16"/>
              </w:rPr>
            </w:pPr>
            <w:r>
              <w:rPr>
                <w:spacing w:val="-2"/>
                <w:sz w:val="16"/>
              </w:rPr>
              <w:t>=/&gt;25/26</w:t>
            </w:r>
          </w:p>
        </w:tc>
        <w:tc>
          <w:tcPr>
            <w:tcW w:w="834" w:type="dxa"/>
            <w:tcBorders>
              <w:top w:val="nil"/>
              <w:left w:val="nil"/>
              <w:right w:val="nil"/>
            </w:tcBorders>
            <w:shd w:val="clear" w:color="auto" w:fill="CCE1EC"/>
          </w:tcPr>
          <w:p w14:paraId="6F917A40" w14:textId="77777777" w:rsidR="00141B97" w:rsidRDefault="00911D63">
            <w:pPr>
              <w:pStyle w:val="TableParagraph"/>
              <w:spacing w:before="90"/>
              <w:ind w:right="95"/>
              <w:jc w:val="right"/>
              <w:rPr>
                <w:sz w:val="16"/>
              </w:rPr>
            </w:pPr>
            <w:r>
              <w:rPr>
                <w:spacing w:val="-2"/>
                <w:sz w:val="16"/>
              </w:rPr>
              <w:t>=/&gt;26/27</w:t>
            </w:r>
          </w:p>
        </w:tc>
      </w:tr>
      <w:tr w:rsidR="00141B97" w14:paraId="3C51D2DB" w14:textId="77777777">
        <w:trPr>
          <w:trHeight w:val="318"/>
          <w:tblCellSpacing w:w="9" w:type="dxa"/>
        </w:trPr>
        <w:tc>
          <w:tcPr>
            <w:tcW w:w="10094" w:type="dxa"/>
            <w:gridSpan w:val="7"/>
            <w:tcBorders>
              <w:left w:val="nil"/>
              <w:right w:val="nil"/>
            </w:tcBorders>
            <w:shd w:val="clear" w:color="auto" w:fill="BEBEBE"/>
          </w:tcPr>
          <w:p w14:paraId="508C958B" w14:textId="77777777" w:rsidR="00141B97" w:rsidRDefault="00911D63">
            <w:pPr>
              <w:pStyle w:val="TableParagraph"/>
              <w:spacing w:before="61"/>
              <w:ind w:left="28"/>
              <w:rPr>
                <w:sz w:val="16"/>
              </w:rPr>
            </w:pPr>
            <w:r>
              <w:rPr>
                <w:sz w:val="16"/>
              </w:rPr>
              <w:t>Outcome</w:t>
            </w:r>
            <w:r>
              <w:rPr>
                <w:spacing w:val="-8"/>
                <w:sz w:val="16"/>
              </w:rPr>
              <w:t xml:space="preserve"> </w:t>
            </w:r>
            <w:r>
              <w:rPr>
                <w:sz w:val="16"/>
              </w:rPr>
              <w:t>5:</w:t>
            </w:r>
            <w:r>
              <w:rPr>
                <w:spacing w:val="-4"/>
                <w:sz w:val="16"/>
              </w:rPr>
              <w:t xml:space="preserve"> </w:t>
            </w:r>
            <w:r>
              <w:rPr>
                <w:sz w:val="16"/>
              </w:rPr>
              <w:t>Service</w:t>
            </w:r>
            <w:r>
              <w:rPr>
                <w:spacing w:val="-5"/>
                <w:sz w:val="16"/>
              </w:rPr>
              <w:t xml:space="preserve"> </w:t>
            </w:r>
            <w:r>
              <w:rPr>
                <w:sz w:val="16"/>
              </w:rPr>
              <w:t>our</w:t>
            </w:r>
            <w:r>
              <w:rPr>
                <w:spacing w:val="-5"/>
                <w:sz w:val="16"/>
              </w:rPr>
              <w:t xml:space="preserve"> </w:t>
            </w:r>
            <w:r>
              <w:rPr>
                <w:sz w:val="16"/>
              </w:rPr>
              <w:t>communities</w:t>
            </w:r>
            <w:r>
              <w:rPr>
                <w:spacing w:val="-4"/>
                <w:sz w:val="16"/>
              </w:rPr>
              <w:t xml:space="preserve"> </w:t>
            </w:r>
            <w:r>
              <w:rPr>
                <w:sz w:val="16"/>
              </w:rPr>
              <w:t>in</w:t>
            </w:r>
            <w:r>
              <w:rPr>
                <w:spacing w:val="-4"/>
                <w:sz w:val="16"/>
              </w:rPr>
              <w:t xml:space="preserve"> </w:t>
            </w:r>
            <w:r>
              <w:rPr>
                <w:sz w:val="16"/>
              </w:rPr>
              <w:t>a</w:t>
            </w:r>
            <w:r>
              <w:rPr>
                <w:spacing w:val="-4"/>
                <w:sz w:val="16"/>
              </w:rPr>
              <w:t xml:space="preserve"> </w:t>
            </w:r>
            <w:r>
              <w:rPr>
                <w:sz w:val="16"/>
              </w:rPr>
              <w:t>socially</w:t>
            </w:r>
            <w:r>
              <w:rPr>
                <w:spacing w:val="-4"/>
                <w:sz w:val="16"/>
              </w:rPr>
              <w:t xml:space="preserve"> </w:t>
            </w:r>
            <w:r>
              <w:rPr>
                <w:sz w:val="16"/>
              </w:rPr>
              <w:t>responsible</w:t>
            </w:r>
            <w:r>
              <w:rPr>
                <w:spacing w:val="-5"/>
                <w:sz w:val="16"/>
              </w:rPr>
              <w:t xml:space="preserve"> </w:t>
            </w:r>
            <w:r>
              <w:rPr>
                <w:sz w:val="16"/>
              </w:rPr>
              <w:t>and</w:t>
            </w:r>
            <w:r>
              <w:rPr>
                <w:spacing w:val="-5"/>
                <w:sz w:val="16"/>
              </w:rPr>
              <w:t xml:space="preserve"> </w:t>
            </w:r>
            <w:r>
              <w:rPr>
                <w:sz w:val="16"/>
              </w:rPr>
              <w:t>environmentally</w:t>
            </w:r>
            <w:r>
              <w:rPr>
                <w:spacing w:val="-4"/>
                <w:sz w:val="16"/>
              </w:rPr>
              <w:t xml:space="preserve"> </w:t>
            </w:r>
            <w:r>
              <w:rPr>
                <w:sz w:val="16"/>
              </w:rPr>
              <w:t>sustainable</w:t>
            </w:r>
            <w:r>
              <w:rPr>
                <w:spacing w:val="-5"/>
                <w:sz w:val="16"/>
              </w:rPr>
              <w:t xml:space="preserve"> </w:t>
            </w:r>
            <w:r>
              <w:rPr>
                <w:spacing w:val="-2"/>
                <w:sz w:val="16"/>
              </w:rPr>
              <w:t>manner</w:t>
            </w:r>
          </w:p>
        </w:tc>
      </w:tr>
      <w:tr w:rsidR="00141B97" w14:paraId="26D1B841" w14:textId="77777777">
        <w:trPr>
          <w:trHeight w:val="189"/>
          <w:tblCellSpacing w:w="9" w:type="dxa"/>
        </w:trPr>
        <w:tc>
          <w:tcPr>
            <w:tcW w:w="4998" w:type="dxa"/>
            <w:tcBorders>
              <w:left w:val="nil"/>
              <w:bottom w:val="nil"/>
              <w:right w:val="nil"/>
            </w:tcBorders>
            <w:shd w:val="clear" w:color="auto" w:fill="CCE1EC"/>
          </w:tcPr>
          <w:p w14:paraId="2A1301D6" w14:textId="77777777" w:rsidR="00141B97" w:rsidRDefault="00911D63">
            <w:pPr>
              <w:pStyle w:val="TableParagraph"/>
              <w:spacing w:line="170" w:lineRule="exact"/>
              <w:ind w:left="13"/>
              <w:rPr>
                <w:sz w:val="16"/>
              </w:rPr>
            </w:pPr>
            <w:r>
              <w:rPr>
                <w:sz w:val="16"/>
              </w:rPr>
              <w:t>Number</w:t>
            </w:r>
            <w:r>
              <w:rPr>
                <w:spacing w:val="-4"/>
                <w:sz w:val="16"/>
              </w:rPr>
              <w:t xml:space="preserve"> </w:t>
            </w:r>
            <w:r>
              <w:rPr>
                <w:sz w:val="16"/>
              </w:rPr>
              <w:t>of</w:t>
            </w:r>
            <w:r>
              <w:rPr>
                <w:spacing w:val="-4"/>
                <w:sz w:val="16"/>
              </w:rPr>
              <w:t xml:space="preserve"> </w:t>
            </w:r>
            <w:r>
              <w:rPr>
                <w:sz w:val="16"/>
              </w:rPr>
              <w:t>EPA</w:t>
            </w:r>
            <w:r>
              <w:rPr>
                <w:spacing w:val="-4"/>
                <w:sz w:val="16"/>
              </w:rPr>
              <w:t xml:space="preserve"> </w:t>
            </w:r>
            <w:r>
              <w:rPr>
                <w:sz w:val="16"/>
              </w:rPr>
              <w:t>reportable</w:t>
            </w:r>
            <w:r>
              <w:rPr>
                <w:spacing w:val="-4"/>
                <w:sz w:val="16"/>
              </w:rPr>
              <w:t xml:space="preserve"> </w:t>
            </w:r>
            <w:r>
              <w:rPr>
                <w:sz w:val="16"/>
              </w:rPr>
              <w:t>sewage</w:t>
            </w:r>
            <w:r>
              <w:rPr>
                <w:spacing w:val="-4"/>
                <w:sz w:val="16"/>
              </w:rPr>
              <w:t xml:space="preserve"> </w:t>
            </w:r>
            <w:r>
              <w:rPr>
                <w:sz w:val="16"/>
              </w:rPr>
              <w:t>spills</w:t>
            </w:r>
            <w:r>
              <w:rPr>
                <w:spacing w:val="-3"/>
                <w:sz w:val="16"/>
              </w:rPr>
              <w:t xml:space="preserve"> </w:t>
            </w:r>
            <w:r>
              <w:rPr>
                <w:sz w:val="16"/>
              </w:rPr>
              <w:t>per</w:t>
            </w:r>
            <w:r>
              <w:rPr>
                <w:spacing w:val="-5"/>
                <w:sz w:val="16"/>
              </w:rPr>
              <w:t xml:space="preserve"> </w:t>
            </w:r>
            <w:r>
              <w:rPr>
                <w:spacing w:val="-4"/>
                <w:sz w:val="16"/>
              </w:rPr>
              <w:t>annum</w:t>
            </w:r>
          </w:p>
        </w:tc>
        <w:tc>
          <w:tcPr>
            <w:tcW w:w="820" w:type="dxa"/>
            <w:tcBorders>
              <w:left w:val="nil"/>
              <w:bottom w:val="nil"/>
            </w:tcBorders>
            <w:shd w:val="clear" w:color="auto" w:fill="CCE1EC"/>
          </w:tcPr>
          <w:p w14:paraId="363A4642" w14:textId="77777777" w:rsidR="00141B97" w:rsidRDefault="00911D63">
            <w:pPr>
              <w:pStyle w:val="TableParagraph"/>
              <w:spacing w:line="170" w:lineRule="exact"/>
              <w:ind w:left="12"/>
              <w:rPr>
                <w:sz w:val="16"/>
              </w:rPr>
            </w:pPr>
            <w:r>
              <w:rPr>
                <w:spacing w:val="-4"/>
                <w:sz w:val="16"/>
              </w:rPr>
              <w:t>&lt;/=2</w:t>
            </w:r>
          </w:p>
        </w:tc>
        <w:tc>
          <w:tcPr>
            <w:tcW w:w="4276" w:type="dxa"/>
            <w:gridSpan w:val="5"/>
            <w:tcBorders>
              <w:bottom w:val="nil"/>
              <w:right w:val="nil"/>
            </w:tcBorders>
            <w:shd w:val="clear" w:color="auto" w:fill="CCE1EC"/>
          </w:tcPr>
          <w:p w14:paraId="74A631CF" w14:textId="77777777" w:rsidR="00141B97" w:rsidRDefault="00911D63">
            <w:pPr>
              <w:pStyle w:val="TableParagraph"/>
              <w:spacing w:line="170" w:lineRule="exact"/>
              <w:ind w:left="1863" w:right="1852"/>
              <w:jc w:val="center"/>
              <w:rPr>
                <w:sz w:val="16"/>
              </w:rPr>
            </w:pPr>
            <w:r>
              <w:rPr>
                <w:sz w:val="16"/>
              </w:rPr>
              <w:t>&lt;/=</w:t>
            </w:r>
            <w:r>
              <w:rPr>
                <w:spacing w:val="-4"/>
                <w:sz w:val="16"/>
              </w:rPr>
              <w:t xml:space="preserve"> </w:t>
            </w:r>
            <w:r>
              <w:rPr>
                <w:spacing w:val="-10"/>
                <w:sz w:val="16"/>
              </w:rPr>
              <w:t>2</w:t>
            </w:r>
          </w:p>
        </w:tc>
      </w:tr>
      <w:tr w:rsidR="00141B97" w14:paraId="62FB8A69" w14:textId="77777777">
        <w:trPr>
          <w:trHeight w:val="186"/>
          <w:tblCellSpacing w:w="9" w:type="dxa"/>
        </w:trPr>
        <w:tc>
          <w:tcPr>
            <w:tcW w:w="4998" w:type="dxa"/>
            <w:tcBorders>
              <w:top w:val="nil"/>
              <w:left w:val="nil"/>
              <w:bottom w:val="nil"/>
              <w:right w:val="nil"/>
            </w:tcBorders>
            <w:shd w:val="clear" w:color="auto" w:fill="CCE1EC"/>
          </w:tcPr>
          <w:p w14:paraId="56965860" w14:textId="77777777" w:rsidR="00141B97" w:rsidRDefault="00911D63">
            <w:pPr>
              <w:pStyle w:val="TableParagraph"/>
              <w:spacing w:line="166" w:lineRule="exact"/>
              <w:ind w:left="13"/>
              <w:rPr>
                <w:sz w:val="16"/>
              </w:rPr>
            </w:pPr>
            <w:r>
              <w:rPr>
                <w:sz w:val="16"/>
              </w:rPr>
              <w:t>%</w:t>
            </w:r>
            <w:r>
              <w:rPr>
                <w:spacing w:val="-5"/>
                <w:sz w:val="16"/>
              </w:rPr>
              <w:t xml:space="preserve"> </w:t>
            </w:r>
            <w:r>
              <w:rPr>
                <w:sz w:val="16"/>
              </w:rPr>
              <w:t>compliance</w:t>
            </w:r>
            <w:r>
              <w:rPr>
                <w:spacing w:val="-3"/>
                <w:sz w:val="16"/>
              </w:rPr>
              <w:t xml:space="preserve"> </w:t>
            </w:r>
            <w:r>
              <w:rPr>
                <w:sz w:val="16"/>
              </w:rPr>
              <w:t>of</w:t>
            </w:r>
            <w:r>
              <w:rPr>
                <w:spacing w:val="-3"/>
                <w:sz w:val="16"/>
              </w:rPr>
              <w:t xml:space="preserve"> </w:t>
            </w:r>
            <w:r>
              <w:rPr>
                <w:sz w:val="16"/>
              </w:rPr>
              <w:t>WWTPs</w:t>
            </w:r>
            <w:r>
              <w:rPr>
                <w:spacing w:val="-5"/>
                <w:sz w:val="16"/>
              </w:rPr>
              <w:t xml:space="preserve"> </w:t>
            </w:r>
            <w:r>
              <w:rPr>
                <w:sz w:val="16"/>
              </w:rPr>
              <w:t>with</w:t>
            </w:r>
            <w:r>
              <w:rPr>
                <w:spacing w:val="-5"/>
                <w:sz w:val="16"/>
              </w:rPr>
              <w:t xml:space="preserve"> </w:t>
            </w:r>
            <w:r>
              <w:rPr>
                <w:sz w:val="16"/>
              </w:rPr>
              <w:t>EPA</w:t>
            </w:r>
            <w:r>
              <w:rPr>
                <w:spacing w:val="-4"/>
                <w:sz w:val="16"/>
              </w:rPr>
              <w:t xml:space="preserve"> </w:t>
            </w:r>
            <w:r>
              <w:rPr>
                <w:sz w:val="16"/>
              </w:rPr>
              <w:t>license</w:t>
            </w:r>
            <w:r>
              <w:rPr>
                <w:spacing w:val="-3"/>
                <w:sz w:val="16"/>
              </w:rPr>
              <w:t xml:space="preserve"> </w:t>
            </w:r>
            <w:r>
              <w:rPr>
                <w:spacing w:val="-2"/>
                <w:sz w:val="16"/>
              </w:rPr>
              <w:t>conditions</w:t>
            </w:r>
          </w:p>
        </w:tc>
        <w:tc>
          <w:tcPr>
            <w:tcW w:w="820" w:type="dxa"/>
            <w:tcBorders>
              <w:top w:val="nil"/>
              <w:left w:val="nil"/>
              <w:bottom w:val="nil"/>
            </w:tcBorders>
            <w:shd w:val="clear" w:color="auto" w:fill="CCE1EC"/>
          </w:tcPr>
          <w:p w14:paraId="60C92EA5" w14:textId="77777777" w:rsidR="00141B97" w:rsidRDefault="00911D63">
            <w:pPr>
              <w:pStyle w:val="TableParagraph"/>
              <w:spacing w:line="166" w:lineRule="exact"/>
              <w:ind w:left="12"/>
              <w:rPr>
                <w:sz w:val="16"/>
              </w:rPr>
            </w:pPr>
            <w:r>
              <w:rPr>
                <w:spacing w:val="-4"/>
                <w:sz w:val="16"/>
              </w:rPr>
              <w:t>100%</w:t>
            </w:r>
          </w:p>
        </w:tc>
        <w:tc>
          <w:tcPr>
            <w:tcW w:w="4276" w:type="dxa"/>
            <w:gridSpan w:val="5"/>
            <w:tcBorders>
              <w:top w:val="nil"/>
              <w:bottom w:val="nil"/>
              <w:right w:val="nil"/>
            </w:tcBorders>
            <w:shd w:val="clear" w:color="auto" w:fill="CCE1EC"/>
          </w:tcPr>
          <w:p w14:paraId="210F4CA1" w14:textId="77777777" w:rsidR="00141B97" w:rsidRDefault="00911D63">
            <w:pPr>
              <w:pStyle w:val="TableParagraph"/>
              <w:spacing w:line="166" w:lineRule="exact"/>
              <w:ind w:left="1863" w:right="1851"/>
              <w:jc w:val="center"/>
              <w:rPr>
                <w:sz w:val="16"/>
              </w:rPr>
            </w:pPr>
            <w:r>
              <w:rPr>
                <w:spacing w:val="-4"/>
                <w:sz w:val="16"/>
              </w:rPr>
              <w:t>100%</w:t>
            </w:r>
          </w:p>
        </w:tc>
      </w:tr>
      <w:tr w:rsidR="00141B97" w14:paraId="4C4042A5" w14:textId="77777777">
        <w:trPr>
          <w:trHeight w:val="189"/>
          <w:tblCellSpacing w:w="9" w:type="dxa"/>
        </w:trPr>
        <w:tc>
          <w:tcPr>
            <w:tcW w:w="4998" w:type="dxa"/>
            <w:tcBorders>
              <w:top w:val="nil"/>
              <w:left w:val="nil"/>
              <w:right w:val="nil"/>
            </w:tcBorders>
            <w:shd w:val="clear" w:color="auto" w:fill="CCE1EC"/>
          </w:tcPr>
          <w:p w14:paraId="66F9DAC0" w14:textId="77777777" w:rsidR="00141B97" w:rsidRDefault="00911D63">
            <w:pPr>
              <w:pStyle w:val="TableParagraph"/>
              <w:spacing w:line="170" w:lineRule="exact"/>
              <w:ind w:left="49"/>
              <w:rPr>
                <w:sz w:val="16"/>
              </w:rPr>
            </w:pPr>
            <w:r>
              <w:rPr>
                <w:sz w:val="16"/>
              </w:rPr>
              <w:t>Percentage</w:t>
            </w:r>
            <w:r>
              <w:rPr>
                <w:spacing w:val="-7"/>
                <w:sz w:val="16"/>
              </w:rPr>
              <w:t xml:space="preserve"> </w:t>
            </w:r>
            <w:r>
              <w:rPr>
                <w:sz w:val="16"/>
              </w:rPr>
              <w:t>of</w:t>
            </w:r>
            <w:r>
              <w:rPr>
                <w:spacing w:val="-5"/>
                <w:sz w:val="16"/>
              </w:rPr>
              <w:t xml:space="preserve"> </w:t>
            </w:r>
            <w:r>
              <w:rPr>
                <w:sz w:val="16"/>
              </w:rPr>
              <w:t>electrical</w:t>
            </w:r>
            <w:r>
              <w:rPr>
                <w:spacing w:val="-4"/>
                <w:sz w:val="16"/>
              </w:rPr>
              <w:t xml:space="preserve"> </w:t>
            </w:r>
            <w:r>
              <w:rPr>
                <w:sz w:val="16"/>
              </w:rPr>
              <w:t>energy</w:t>
            </w:r>
            <w:r>
              <w:rPr>
                <w:spacing w:val="-4"/>
                <w:sz w:val="16"/>
              </w:rPr>
              <w:t xml:space="preserve"> </w:t>
            </w:r>
            <w:r>
              <w:rPr>
                <w:sz w:val="16"/>
              </w:rPr>
              <w:t>from</w:t>
            </w:r>
            <w:r>
              <w:rPr>
                <w:spacing w:val="-6"/>
                <w:sz w:val="16"/>
              </w:rPr>
              <w:t xml:space="preserve"> </w:t>
            </w:r>
            <w:r>
              <w:rPr>
                <w:sz w:val="16"/>
              </w:rPr>
              <w:t>renewable</w:t>
            </w:r>
            <w:r>
              <w:rPr>
                <w:spacing w:val="-5"/>
                <w:sz w:val="16"/>
              </w:rPr>
              <w:t xml:space="preserve"> </w:t>
            </w:r>
            <w:r>
              <w:rPr>
                <w:sz w:val="16"/>
              </w:rPr>
              <w:t>sources</w:t>
            </w:r>
            <w:r>
              <w:rPr>
                <w:spacing w:val="-3"/>
                <w:sz w:val="16"/>
              </w:rPr>
              <w:t xml:space="preserve"> </w:t>
            </w:r>
            <w:r>
              <w:rPr>
                <w:sz w:val="16"/>
              </w:rPr>
              <w:t>–</w:t>
            </w:r>
            <w:r>
              <w:rPr>
                <w:spacing w:val="-5"/>
                <w:sz w:val="16"/>
              </w:rPr>
              <w:t xml:space="preserve"> </w:t>
            </w:r>
            <w:r>
              <w:rPr>
                <w:sz w:val="16"/>
              </w:rPr>
              <w:t>Target</w:t>
            </w:r>
            <w:r>
              <w:rPr>
                <w:spacing w:val="-5"/>
                <w:sz w:val="16"/>
              </w:rPr>
              <w:t xml:space="preserve"> </w:t>
            </w:r>
            <w:r>
              <w:rPr>
                <w:sz w:val="16"/>
              </w:rPr>
              <w:t>=</w:t>
            </w:r>
            <w:r>
              <w:rPr>
                <w:spacing w:val="-5"/>
                <w:sz w:val="16"/>
              </w:rPr>
              <w:t xml:space="preserve"> </w:t>
            </w:r>
            <w:r>
              <w:rPr>
                <w:spacing w:val="-4"/>
                <w:sz w:val="16"/>
              </w:rPr>
              <w:t>100%</w:t>
            </w:r>
          </w:p>
        </w:tc>
        <w:tc>
          <w:tcPr>
            <w:tcW w:w="820" w:type="dxa"/>
            <w:tcBorders>
              <w:top w:val="nil"/>
              <w:left w:val="nil"/>
            </w:tcBorders>
            <w:shd w:val="clear" w:color="auto" w:fill="CCE1EC"/>
          </w:tcPr>
          <w:p w14:paraId="1A49D437" w14:textId="77777777" w:rsidR="00141B97" w:rsidRDefault="00911D63">
            <w:pPr>
              <w:pStyle w:val="TableParagraph"/>
              <w:spacing w:line="170" w:lineRule="exact"/>
              <w:ind w:left="12"/>
              <w:rPr>
                <w:sz w:val="16"/>
              </w:rPr>
            </w:pPr>
            <w:r>
              <w:rPr>
                <w:spacing w:val="-5"/>
                <w:sz w:val="16"/>
              </w:rPr>
              <w:t>NA</w:t>
            </w:r>
          </w:p>
        </w:tc>
        <w:tc>
          <w:tcPr>
            <w:tcW w:w="1736" w:type="dxa"/>
            <w:gridSpan w:val="2"/>
            <w:tcBorders>
              <w:top w:val="nil"/>
              <w:right w:val="nil"/>
            </w:tcBorders>
            <w:shd w:val="clear" w:color="auto" w:fill="CCE1EC"/>
          </w:tcPr>
          <w:p w14:paraId="1D5EFB01" w14:textId="77777777" w:rsidR="00141B97" w:rsidRDefault="00911D63">
            <w:pPr>
              <w:pStyle w:val="TableParagraph"/>
              <w:spacing w:line="170" w:lineRule="exact"/>
              <w:ind w:left="758" w:right="755"/>
              <w:jc w:val="center"/>
              <w:rPr>
                <w:sz w:val="16"/>
              </w:rPr>
            </w:pPr>
            <w:r>
              <w:rPr>
                <w:spacing w:val="-5"/>
                <w:sz w:val="16"/>
              </w:rPr>
              <w:t>NA</w:t>
            </w:r>
          </w:p>
        </w:tc>
        <w:tc>
          <w:tcPr>
            <w:tcW w:w="2540" w:type="dxa"/>
            <w:gridSpan w:val="3"/>
            <w:tcBorders>
              <w:top w:val="nil"/>
              <w:left w:val="nil"/>
              <w:right w:val="nil"/>
            </w:tcBorders>
            <w:shd w:val="clear" w:color="auto" w:fill="CCE1EC"/>
          </w:tcPr>
          <w:p w14:paraId="5FD0119B" w14:textId="77777777" w:rsidR="00141B97" w:rsidRDefault="00911D63">
            <w:pPr>
              <w:pStyle w:val="TableParagraph"/>
              <w:spacing w:line="170" w:lineRule="exact"/>
              <w:ind w:left="1084" w:right="1075"/>
              <w:jc w:val="center"/>
              <w:rPr>
                <w:sz w:val="16"/>
              </w:rPr>
            </w:pPr>
            <w:r>
              <w:rPr>
                <w:spacing w:val="-4"/>
                <w:sz w:val="16"/>
              </w:rPr>
              <w:t>100%</w:t>
            </w:r>
          </w:p>
        </w:tc>
      </w:tr>
      <w:tr w:rsidR="00141B97" w14:paraId="3A816750" w14:textId="77777777">
        <w:trPr>
          <w:trHeight w:val="390"/>
          <w:tblCellSpacing w:w="9" w:type="dxa"/>
        </w:trPr>
        <w:tc>
          <w:tcPr>
            <w:tcW w:w="4998" w:type="dxa"/>
            <w:tcBorders>
              <w:left w:val="nil"/>
              <w:bottom w:val="nil"/>
              <w:right w:val="nil"/>
            </w:tcBorders>
            <w:shd w:val="clear" w:color="auto" w:fill="CCE1EC"/>
          </w:tcPr>
          <w:p w14:paraId="58499DE4" w14:textId="77777777" w:rsidR="00141B97" w:rsidRDefault="00911D63">
            <w:pPr>
              <w:pStyle w:val="TableParagraph"/>
              <w:spacing w:line="194" w:lineRule="exact"/>
              <w:ind w:left="13"/>
              <w:rPr>
                <w:sz w:val="16"/>
              </w:rPr>
            </w:pPr>
            <w:r>
              <w:rPr>
                <w:sz w:val="16"/>
              </w:rPr>
              <w:t>Recycled</w:t>
            </w:r>
            <w:r>
              <w:rPr>
                <w:spacing w:val="-6"/>
                <w:sz w:val="16"/>
              </w:rPr>
              <w:t xml:space="preserve"> </w:t>
            </w:r>
            <w:r>
              <w:rPr>
                <w:sz w:val="16"/>
              </w:rPr>
              <w:t>Water</w:t>
            </w:r>
            <w:r>
              <w:rPr>
                <w:spacing w:val="-6"/>
                <w:sz w:val="16"/>
              </w:rPr>
              <w:t xml:space="preserve"> </w:t>
            </w:r>
            <w:r>
              <w:rPr>
                <w:sz w:val="16"/>
              </w:rPr>
              <w:t>-</w:t>
            </w:r>
            <w:r>
              <w:rPr>
                <w:spacing w:val="-3"/>
                <w:sz w:val="16"/>
              </w:rPr>
              <w:t xml:space="preserve"> </w:t>
            </w:r>
            <w:r>
              <w:rPr>
                <w:sz w:val="16"/>
              </w:rPr>
              <w:t>Percentage</w:t>
            </w:r>
            <w:r>
              <w:rPr>
                <w:spacing w:val="-4"/>
                <w:sz w:val="16"/>
              </w:rPr>
              <w:t xml:space="preserve"> </w:t>
            </w:r>
            <w:r>
              <w:rPr>
                <w:sz w:val="16"/>
              </w:rPr>
              <w:t>of</w:t>
            </w:r>
            <w:r>
              <w:rPr>
                <w:spacing w:val="-5"/>
                <w:sz w:val="16"/>
              </w:rPr>
              <w:t xml:space="preserve"> </w:t>
            </w:r>
            <w:r>
              <w:rPr>
                <w:sz w:val="16"/>
              </w:rPr>
              <w:t>wastewater</w:t>
            </w:r>
            <w:r>
              <w:rPr>
                <w:spacing w:val="-4"/>
                <w:sz w:val="16"/>
              </w:rPr>
              <w:t xml:space="preserve"> </w:t>
            </w:r>
            <w:r>
              <w:rPr>
                <w:sz w:val="16"/>
              </w:rPr>
              <w:t>received</w:t>
            </w:r>
            <w:r>
              <w:rPr>
                <w:spacing w:val="-6"/>
                <w:sz w:val="16"/>
              </w:rPr>
              <w:t xml:space="preserve"> </w:t>
            </w:r>
            <w:r>
              <w:rPr>
                <w:sz w:val="16"/>
              </w:rPr>
              <w:t>by</w:t>
            </w:r>
            <w:r>
              <w:rPr>
                <w:spacing w:val="-4"/>
                <w:sz w:val="16"/>
              </w:rPr>
              <w:t xml:space="preserve"> </w:t>
            </w:r>
            <w:r>
              <w:rPr>
                <w:sz w:val="16"/>
              </w:rPr>
              <w:t>LMW</w:t>
            </w:r>
            <w:r>
              <w:rPr>
                <w:spacing w:val="-4"/>
                <w:sz w:val="16"/>
              </w:rPr>
              <w:t xml:space="preserve"> </w:t>
            </w:r>
            <w:r>
              <w:rPr>
                <w:sz w:val="16"/>
              </w:rPr>
              <w:t>that</w:t>
            </w:r>
            <w:r>
              <w:rPr>
                <w:spacing w:val="-4"/>
                <w:sz w:val="16"/>
              </w:rPr>
              <w:t xml:space="preserve"> </w:t>
            </w:r>
            <w:r>
              <w:rPr>
                <w:spacing w:val="-5"/>
                <w:sz w:val="16"/>
              </w:rPr>
              <w:t>is</w:t>
            </w:r>
          </w:p>
          <w:p w14:paraId="1B3B0787" w14:textId="77777777" w:rsidR="00141B97" w:rsidRDefault="00911D63">
            <w:pPr>
              <w:pStyle w:val="TableParagraph"/>
              <w:spacing w:before="1" w:line="176" w:lineRule="exact"/>
              <w:ind w:left="13"/>
              <w:rPr>
                <w:sz w:val="16"/>
              </w:rPr>
            </w:pPr>
            <w:r>
              <w:rPr>
                <w:spacing w:val="-2"/>
                <w:sz w:val="16"/>
              </w:rPr>
              <w:t>recycled</w:t>
            </w:r>
          </w:p>
        </w:tc>
        <w:tc>
          <w:tcPr>
            <w:tcW w:w="820" w:type="dxa"/>
            <w:tcBorders>
              <w:left w:val="nil"/>
              <w:bottom w:val="nil"/>
            </w:tcBorders>
            <w:shd w:val="clear" w:color="auto" w:fill="CCE1EC"/>
          </w:tcPr>
          <w:p w14:paraId="429C7566" w14:textId="77777777" w:rsidR="00141B97" w:rsidRDefault="00911D63">
            <w:pPr>
              <w:pStyle w:val="TableParagraph"/>
              <w:spacing w:before="97"/>
              <w:ind w:left="12"/>
              <w:rPr>
                <w:sz w:val="16"/>
              </w:rPr>
            </w:pPr>
            <w:r>
              <w:rPr>
                <w:spacing w:val="-5"/>
                <w:sz w:val="16"/>
              </w:rPr>
              <w:t>60%</w:t>
            </w:r>
          </w:p>
        </w:tc>
        <w:tc>
          <w:tcPr>
            <w:tcW w:w="4276" w:type="dxa"/>
            <w:gridSpan w:val="5"/>
            <w:tcBorders>
              <w:bottom w:val="nil"/>
              <w:right w:val="nil"/>
            </w:tcBorders>
            <w:shd w:val="clear" w:color="auto" w:fill="CCE1EC"/>
          </w:tcPr>
          <w:p w14:paraId="07509C1B" w14:textId="77777777" w:rsidR="00141B97" w:rsidRDefault="00911D63">
            <w:pPr>
              <w:pStyle w:val="TableParagraph"/>
              <w:spacing w:before="97"/>
              <w:ind w:left="1863" w:right="1851"/>
              <w:jc w:val="center"/>
              <w:rPr>
                <w:sz w:val="16"/>
              </w:rPr>
            </w:pPr>
            <w:r>
              <w:rPr>
                <w:spacing w:val="-5"/>
                <w:sz w:val="16"/>
              </w:rPr>
              <w:t>60%</w:t>
            </w:r>
          </w:p>
        </w:tc>
      </w:tr>
    </w:tbl>
    <w:p w14:paraId="1165480C" w14:textId="77777777" w:rsidR="00141B97" w:rsidRDefault="00911D63">
      <w:pPr>
        <w:spacing w:before="30"/>
        <w:ind w:left="112"/>
        <w:rPr>
          <w:sz w:val="16"/>
        </w:rPr>
      </w:pPr>
      <w:r>
        <w:rPr>
          <w:sz w:val="16"/>
        </w:rPr>
        <w:t>Table</w:t>
      </w:r>
      <w:r>
        <w:rPr>
          <w:spacing w:val="-4"/>
          <w:sz w:val="16"/>
        </w:rPr>
        <w:t xml:space="preserve"> </w:t>
      </w:r>
      <w:r>
        <w:rPr>
          <w:sz w:val="16"/>
        </w:rPr>
        <w:t>ES3:</w:t>
      </w:r>
      <w:r>
        <w:rPr>
          <w:spacing w:val="-3"/>
          <w:sz w:val="16"/>
        </w:rPr>
        <w:t xml:space="preserve"> </w:t>
      </w:r>
      <w:r>
        <w:rPr>
          <w:sz w:val="16"/>
        </w:rPr>
        <w:t>Urban</w:t>
      </w:r>
      <w:r>
        <w:rPr>
          <w:spacing w:val="-6"/>
          <w:sz w:val="16"/>
        </w:rPr>
        <w:t xml:space="preserve"> </w:t>
      </w:r>
      <w:r>
        <w:rPr>
          <w:sz w:val="16"/>
        </w:rPr>
        <w:t>Customer</w:t>
      </w:r>
      <w:r>
        <w:rPr>
          <w:spacing w:val="-4"/>
          <w:sz w:val="16"/>
        </w:rPr>
        <w:t xml:space="preserve"> </w:t>
      </w:r>
      <w:r>
        <w:rPr>
          <w:sz w:val="16"/>
        </w:rPr>
        <w:t>Outcome</w:t>
      </w:r>
      <w:r>
        <w:rPr>
          <w:spacing w:val="-6"/>
          <w:sz w:val="16"/>
        </w:rPr>
        <w:t xml:space="preserve"> </w:t>
      </w:r>
      <w:r>
        <w:rPr>
          <w:sz w:val="16"/>
        </w:rPr>
        <w:t>Performance</w:t>
      </w:r>
      <w:r>
        <w:rPr>
          <w:spacing w:val="-3"/>
          <w:sz w:val="16"/>
        </w:rPr>
        <w:t xml:space="preserve"> </w:t>
      </w:r>
      <w:r>
        <w:rPr>
          <w:spacing w:val="-2"/>
          <w:sz w:val="16"/>
        </w:rPr>
        <w:t>Targets</w:t>
      </w:r>
    </w:p>
    <w:p w14:paraId="7589C1FB" w14:textId="77777777" w:rsidR="00141B97" w:rsidRDefault="00141B97">
      <w:pPr>
        <w:rPr>
          <w:sz w:val="16"/>
        </w:rPr>
        <w:sectPr w:rsidR="00141B97">
          <w:pgSz w:w="12240" w:h="15840"/>
          <w:pgMar w:top="820" w:right="880" w:bottom="1200" w:left="1020" w:header="0" w:footer="1014" w:gutter="0"/>
          <w:cols w:space="720"/>
        </w:sectPr>
      </w:pPr>
    </w:p>
    <w:p w14:paraId="40E3C148" w14:textId="77777777" w:rsidR="00141B97" w:rsidRDefault="00911D63">
      <w:pPr>
        <w:pStyle w:val="BodyText"/>
        <w:spacing w:before="45" w:after="16"/>
        <w:ind w:left="112"/>
      </w:pPr>
      <w:r>
        <w:rPr>
          <w:spacing w:val="-2"/>
        </w:rPr>
        <w:lastRenderedPageBreak/>
        <w:t>Rural</w:t>
      </w:r>
    </w:p>
    <w:tbl>
      <w:tblPr>
        <w:tblW w:w="0" w:type="auto"/>
        <w:tblCellSpacing w:w="7" w:type="dxa"/>
        <w:tblInd w:w="144" w:type="dxa"/>
        <w:tblLayout w:type="fixed"/>
        <w:tblCellMar>
          <w:left w:w="0" w:type="dxa"/>
          <w:right w:w="0" w:type="dxa"/>
        </w:tblCellMar>
        <w:tblLook w:val="01E0" w:firstRow="1" w:lastRow="1" w:firstColumn="1" w:lastColumn="1" w:noHBand="0" w:noVBand="0"/>
      </w:tblPr>
      <w:tblGrid>
        <w:gridCol w:w="5027"/>
        <w:gridCol w:w="772"/>
        <w:gridCol w:w="959"/>
        <w:gridCol w:w="820"/>
        <w:gridCol w:w="814"/>
        <w:gridCol w:w="820"/>
        <w:gridCol w:w="979"/>
      </w:tblGrid>
      <w:tr w:rsidR="00141B97" w14:paraId="4D639D6F" w14:textId="77777777">
        <w:trPr>
          <w:trHeight w:val="196"/>
          <w:tblCellSpacing w:w="7" w:type="dxa"/>
        </w:trPr>
        <w:tc>
          <w:tcPr>
            <w:tcW w:w="5006" w:type="dxa"/>
            <w:vMerge w:val="restart"/>
            <w:tcBorders>
              <w:bottom w:val="nil"/>
              <w:right w:val="nil"/>
            </w:tcBorders>
            <w:shd w:val="clear" w:color="auto" w:fill="0064A3"/>
          </w:tcPr>
          <w:p w14:paraId="7C7AADCF" w14:textId="77777777" w:rsidR="00141B97" w:rsidRDefault="00141B97">
            <w:pPr>
              <w:pStyle w:val="TableParagraph"/>
              <w:spacing w:before="5"/>
              <w:rPr>
                <w:sz w:val="16"/>
              </w:rPr>
            </w:pPr>
          </w:p>
          <w:p w14:paraId="096AE96B" w14:textId="77777777" w:rsidR="00141B97" w:rsidRDefault="00911D63">
            <w:pPr>
              <w:pStyle w:val="TableParagraph"/>
              <w:ind w:left="11"/>
              <w:rPr>
                <w:sz w:val="16"/>
              </w:rPr>
            </w:pPr>
            <w:r>
              <w:rPr>
                <w:color w:val="FFFFFF"/>
                <w:sz w:val="16"/>
              </w:rPr>
              <w:t>Performance</w:t>
            </w:r>
            <w:r>
              <w:rPr>
                <w:color w:val="FFFFFF"/>
                <w:spacing w:val="-7"/>
                <w:sz w:val="16"/>
              </w:rPr>
              <w:t xml:space="preserve"> </w:t>
            </w:r>
            <w:r>
              <w:rPr>
                <w:color w:val="FFFFFF"/>
                <w:sz w:val="16"/>
              </w:rPr>
              <w:t>Assessment</w:t>
            </w:r>
            <w:r>
              <w:rPr>
                <w:color w:val="FFFFFF"/>
                <w:spacing w:val="-6"/>
                <w:sz w:val="16"/>
              </w:rPr>
              <w:t xml:space="preserve"> </w:t>
            </w:r>
            <w:r>
              <w:rPr>
                <w:color w:val="FFFFFF"/>
                <w:spacing w:val="-2"/>
                <w:sz w:val="16"/>
              </w:rPr>
              <w:t>Criteria</w:t>
            </w:r>
          </w:p>
        </w:tc>
        <w:tc>
          <w:tcPr>
            <w:tcW w:w="758" w:type="dxa"/>
            <w:vMerge w:val="restart"/>
            <w:tcBorders>
              <w:left w:val="nil"/>
              <w:bottom w:val="nil"/>
              <w:right w:val="nil"/>
            </w:tcBorders>
            <w:shd w:val="clear" w:color="auto" w:fill="0064A3"/>
          </w:tcPr>
          <w:p w14:paraId="6589743A" w14:textId="77777777" w:rsidR="00141B97" w:rsidRDefault="00911D63">
            <w:pPr>
              <w:pStyle w:val="TableParagraph"/>
              <w:spacing w:before="3"/>
              <w:ind w:left="19"/>
              <w:rPr>
                <w:sz w:val="16"/>
              </w:rPr>
            </w:pPr>
            <w:r>
              <w:rPr>
                <w:color w:val="FFFFFF"/>
                <w:spacing w:val="-2"/>
                <w:sz w:val="16"/>
              </w:rPr>
              <w:t>Average/</w:t>
            </w:r>
            <w:r>
              <w:rPr>
                <w:color w:val="FFFFFF"/>
                <w:spacing w:val="40"/>
                <w:sz w:val="16"/>
              </w:rPr>
              <w:t xml:space="preserve"> </w:t>
            </w:r>
            <w:r>
              <w:rPr>
                <w:color w:val="FFFFFF"/>
                <w:sz w:val="16"/>
              </w:rPr>
              <w:t>Target</w:t>
            </w:r>
            <w:r>
              <w:rPr>
                <w:color w:val="FFFFFF"/>
                <w:spacing w:val="-4"/>
                <w:sz w:val="16"/>
              </w:rPr>
              <w:t xml:space="preserve"> </w:t>
            </w:r>
            <w:r>
              <w:rPr>
                <w:color w:val="FFFFFF"/>
                <w:spacing w:val="-5"/>
                <w:sz w:val="16"/>
              </w:rPr>
              <w:t>for</w:t>
            </w:r>
          </w:p>
          <w:p w14:paraId="653CC469" w14:textId="77777777" w:rsidR="00141B97" w:rsidRDefault="00911D63">
            <w:pPr>
              <w:pStyle w:val="TableParagraph"/>
              <w:spacing w:before="1" w:line="171" w:lineRule="exact"/>
              <w:ind w:left="19"/>
              <w:rPr>
                <w:sz w:val="16"/>
              </w:rPr>
            </w:pPr>
            <w:r>
              <w:rPr>
                <w:color w:val="FFFFFF"/>
                <w:spacing w:val="-5"/>
                <w:sz w:val="16"/>
              </w:rPr>
              <w:t>PS4</w:t>
            </w:r>
          </w:p>
        </w:tc>
        <w:tc>
          <w:tcPr>
            <w:tcW w:w="4315" w:type="dxa"/>
            <w:gridSpan w:val="5"/>
            <w:tcBorders>
              <w:left w:val="nil"/>
              <w:bottom w:val="nil"/>
            </w:tcBorders>
            <w:shd w:val="clear" w:color="auto" w:fill="0064A3"/>
          </w:tcPr>
          <w:p w14:paraId="6747ED33" w14:textId="77777777" w:rsidR="00141B97" w:rsidRDefault="00911D63">
            <w:pPr>
              <w:pStyle w:val="TableParagraph"/>
              <w:spacing w:before="3" w:line="173" w:lineRule="exact"/>
              <w:ind w:left="871"/>
              <w:rPr>
                <w:sz w:val="16"/>
              </w:rPr>
            </w:pPr>
            <w:r>
              <w:rPr>
                <w:color w:val="FFFFFF"/>
                <w:sz w:val="16"/>
              </w:rPr>
              <w:t>Annual</w:t>
            </w:r>
            <w:r>
              <w:rPr>
                <w:color w:val="FFFFFF"/>
                <w:spacing w:val="-4"/>
                <w:sz w:val="16"/>
              </w:rPr>
              <w:t xml:space="preserve"> </w:t>
            </w:r>
            <w:r>
              <w:rPr>
                <w:color w:val="FFFFFF"/>
                <w:sz w:val="16"/>
              </w:rPr>
              <w:t>target</w:t>
            </w:r>
            <w:r>
              <w:rPr>
                <w:color w:val="FFFFFF"/>
                <w:spacing w:val="-5"/>
                <w:sz w:val="16"/>
              </w:rPr>
              <w:t xml:space="preserve"> </w:t>
            </w:r>
            <w:r>
              <w:rPr>
                <w:color w:val="FFFFFF"/>
                <w:sz w:val="16"/>
              </w:rPr>
              <w:t>for</w:t>
            </w:r>
            <w:r>
              <w:rPr>
                <w:color w:val="FFFFFF"/>
                <w:spacing w:val="-4"/>
                <w:sz w:val="16"/>
              </w:rPr>
              <w:t xml:space="preserve"> </w:t>
            </w:r>
            <w:r>
              <w:rPr>
                <w:color w:val="FFFFFF"/>
                <w:sz w:val="16"/>
              </w:rPr>
              <w:t>fifth</w:t>
            </w:r>
            <w:r>
              <w:rPr>
                <w:color w:val="FFFFFF"/>
                <w:spacing w:val="-4"/>
                <w:sz w:val="16"/>
              </w:rPr>
              <w:t xml:space="preserve"> </w:t>
            </w:r>
            <w:r>
              <w:rPr>
                <w:color w:val="FFFFFF"/>
                <w:sz w:val="16"/>
              </w:rPr>
              <w:t>regulatory</w:t>
            </w:r>
            <w:r>
              <w:rPr>
                <w:color w:val="FFFFFF"/>
                <w:spacing w:val="-3"/>
                <w:sz w:val="16"/>
              </w:rPr>
              <w:t xml:space="preserve"> </w:t>
            </w:r>
            <w:r>
              <w:rPr>
                <w:color w:val="FFFFFF"/>
                <w:spacing w:val="-2"/>
                <w:sz w:val="16"/>
              </w:rPr>
              <w:t>period</w:t>
            </w:r>
          </w:p>
        </w:tc>
      </w:tr>
      <w:tr w:rsidR="00141B97" w14:paraId="4E97B39F" w14:textId="77777777">
        <w:trPr>
          <w:trHeight w:val="360"/>
          <w:tblCellSpacing w:w="7" w:type="dxa"/>
        </w:trPr>
        <w:tc>
          <w:tcPr>
            <w:tcW w:w="5006" w:type="dxa"/>
            <w:vMerge/>
            <w:tcBorders>
              <w:top w:val="nil"/>
              <w:bottom w:val="nil"/>
              <w:right w:val="nil"/>
            </w:tcBorders>
            <w:shd w:val="clear" w:color="auto" w:fill="0064A3"/>
          </w:tcPr>
          <w:p w14:paraId="019B9859" w14:textId="77777777" w:rsidR="00141B97" w:rsidRDefault="00141B97">
            <w:pPr>
              <w:rPr>
                <w:sz w:val="2"/>
                <w:szCs w:val="2"/>
              </w:rPr>
            </w:pPr>
          </w:p>
        </w:tc>
        <w:tc>
          <w:tcPr>
            <w:tcW w:w="758" w:type="dxa"/>
            <w:vMerge/>
            <w:tcBorders>
              <w:top w:val="nil"/>
              <w:left w:val="nil"/>
              <w:bottom w:val="nil"/>
              <w:right w:val="nil"/>
            </w:tcBorders>
            <w:shd w:val="clear" w:color="auto" w:fill="0064A3"/>
          </w:tcPr>
          <w:p w14:paraId="49304CD2" w14:textId="77777777" w:rsidR="00141B97" w:rsidRDefault="00141B97">
            <w:pPr>
              <w:rPr>
                <w:sz w:val="2"/>
                <w:szCs w:val="2"/>
              </w:rPr>
            </w:pPr>
          </w:p>
        </w:tc>
        <w:tc>
          <w:tcPr>
            <w:tcW w:w="945" w:type="dxa"/>
            <w:tcBorders>
              <w:top w:val="nil"/>
              <w:left w:val="nil"/>
              <w:bottom w:val="nil"/>
              <w:right w:val="nil"/>
            </w:tcBorders>
            <w:shd w:val="clear" w:color="auto" w:fill="0064A3"/>
          </w:tcPr>
          <w:p w14:paraId="5D0000DC" w14:textId="77777777" w:rsidR="00141B97" w:rsidRDefault="00911D63">
            <w:pPr>
              <w:pStyle w:val="TableParagraph"/>
              <w:spacing w:before="80"/>
              <w:ind w:right="190"/>
              <w:jc w:val="right"/>
              <w:rPr>
                <w:sz w:val="16"/>
              </w:rPr>
            </w:pPr>
            <w:r>
              <w:rPr>
                <w:color w:val="FFFFFF"/>
                <w:sz w:val="16"/>
              </w:rPr>
              <w:t>2023-</w:t>
            </w:r>
            <w:r>
              <w:rPr>
                <w:color w:val="FFFFFF"/>
                <w:spacing w:val="-5"/>
                <w:sz w:val="16"/>
              </w:rPr>
              <w:t>24</w:t>
            </w:r>
          </w:p>
        </w:tc>
        <w:tc>
          <w:tcPr>
            <w:tcW w:w="806" w:type="dxa"/>
            <w:tcBorders>
              <w:top w:val="nil"/>
              <w:left w:val="nil"/>
              <w:bottom w:val="nil"/>
              <w:right w:val="nil"/>
            </w:tcBorders>
            <w:shd w:val="clear" w:color="auto" w:fill="0064A3"/>
          </w:tcPr>
          <w:p w14:paraId="642DE4CA" w14:textId="77777777" w:rsidR="00141B97" w:rsidRDefault="00911D63">
            <w:pPr>
              <w:pStyle w:val="TableParagraph"/>
              <w:spacing w:before="80"/>
              <w:ind w:right="118"/>
              <w:jc w:val="right"/>
              <w:rPr>
                <w:sz w:val="16"/>
              </w:rPr>
            </w:pPr>
            <w:r>
              <w:rPr>
                <w:color w:val="FFFFFF"/>
                <w:sz w:val="16"/>
              </w:rPr>
              <w:t>2024-</w:t>
            </w:r>
            <w:r>
              <w:rPr>
                <w:color w:val="FFFFFF"/>
                <w:spacing w:val="-5"/>
                <w:sz w:val="16"/>
              </w:rPr>
              <w:t>25</w:t>
            </w:r>
          </w:p>
        </w:tc>
        <w:tc>
          <w:tcPr>
            <w:tcW w:w="800" w:type="dxa"/>
            <w:tcBorders>
              <w:top w:val="nil"/>
              <w:left w:val="nil"/>
              <w:bottom w:val="nil"/>
              <w:right w:val="nil"/>
            </w:tcBorders>
            <w:shd w:val="clear" w:color="auto" w:fill="0064A3"/>
          </w:tcPr>
          <w:p w14:paraId="4FAF16AA" w14:textId="77777777" w:rsidR="00141B97" w:rsidRDefault="00911D63">
            <w:pPr>
              <w:pStyle w:val="TableParagraph"/>
              <w:spacing w:before="80"/>
              <w:ind w:right="114"/>
              <w:jc w:val="right"/>
              <w:rPr>
                <w:sz w:val="16"/>
              </w:rPr>
            </w:pPr>
            <w:r>
              <w:rPr>
                <w:color w:val="FFFFFF"/>
                <w:sz w:val="16"/>
              </w:rPr>
              <w:t>2025-</w:t>
            </w:r>
            <w:r>
              <w:rPr>
                <w:color w:val="FFFFFF"/>
                <w:spacing w:val="-5"/>
                <w:sz w:val="16"/>
              </w:rPr>
              <w:t>26</w:t>
            </w:r>
          </w:p>
        </w:tc>
        <w:tc>
          <w:tcPr>
            <w:tcW w:w="806" w:type="dxa"/>
            <w:tcBorders>
              <w:top w:val="nil"/>
              <w:left w:val="nil"/>
              <w:bottom w:val="nil"/>
              <w:right w:val="nil"/>
            </w:tcBorders>
            <w:shd w:val="clear" w:color="auto" w:fill="0064A3"/>
          </w:tcPr>
          <w:p w14:paraId="0B054636" w14:textId="77777777" w:rsidR="00141B97" w:rsidRDefault="00911D63">
            <w:pPr>
              <w:pStyle w:val="TableParagraph"/>
              <w:spacing w:before="80"/>
              <w:ind w:right="113"/>
              <w:jc w:val="right"/>
              <w:rPr>
                <w:sz w:val="16"/>
              </w:rPr>
            </w:pPr>
            <w:r>
              <w:rPr>
                <w:color w:val="FFFFFF"/>
                <w:sz w:val="16"/>
              </w:rPr>
              <w:t>2026-</w:t>
            </w:r>
            <w:r>
              <w:rPr>
                <w:color w:val="FFFFFF"/>
                <w:spacing w:val="-5"/>
                <w:sz w:val="16"/>
              </w:rPr>
              <w:t>27</w:t>
            </w:r>
          </w:p>
        </w:tc>
        <w:tc>
          <w:tcPr>
            <w:tcW w:w="958" w:type="dxa"/>
            <w:tcBorders>
              <w:top w:val="nil"/>
              <w:left w:val="nil"/>
              <w:bottom w:val="nil"/>
            </w:tcBorders>
            <w:shd w:val="clear" w:color="auto" w:fill="0064A3"/>
          </w:tcPr>
          <w:p w14:paraId="64633FE9" w14:textId="77777777" w:rsidR="00141B97" w:rsidRDefault="00911D63">
            <w:pPr>
              <w:pStyle w:val="TableParagraph"/>
              <w:spacing w:before="80"/>
              <w:ind w:left="202"/>
              <w:rPr>
                <w:sz w:val="16"/>
              </w:rPr>
            </w:pPr>
            <w:r>
              <w:rPr>
                <w:color w:val="FFFFFF"/>
                <w:sz w:val="16"/>
              </w:rPr>
              <w:t>2027-</w:t>
            </w:r>
            <w:r>
              <w:rPr>
                <w:color w:val="FFFFFF"/>
                <w:spacing w:val="-5"/>
                <w:sz w:val="16"/>
              </w:rPr>
              <w:t>28</w:t>
            </w:r>
          </w:p>
        </w:tc>
      </w:tr>
      <w:tr w:rsidR="00141B97" w14:paraId="2BA09B86" w14:textId="77777777">
        <w:trPr>
          <w:trHeight w:val="240"/>
          <w:tblCellSpacing w:w="7" w:type="dxa"/>
        </w:trPr>
        <w:tc>
          <w:tcPr>
            <w:tcW w:w="10079" w:type="dxa"/>
            <w:gridSpan w:val="7"/>
            <w:tcBorders>
              <w:top w:val="nil"/>
            </w:tcBorders>
            <w:shd w:val="clear" w:color="auto" w:fill="BEBEBE"/>
          </w:tcPr>
          <w:p w14:paraId="2CD2BCC5" w14:textId="77777777" w:rsidR="00141B97" w:rsidRDefault="00911D63">
            <w:pPr>
              <w:pStyle w:val="TableParagraph"/>
              <w:spacing w:before="18"/>
              <w:ind w:left="21"/>
              <w:rPr>
                <w:sz w:val="16"/>
              </w:rPr>
            </w:pPr>
            <w:r>
              <w:rPr>
                <w:sz w:val="16"/>
              </w:rPr>
              <w:t>Outcome</w:t>
            </w:r>
            <w:r>
              <w:rPr>
                <w:spacing w:val="-6"/>
                <w:sz w:val="16"/>
              </w:rPr>
              <w:t xml:space="preserve"> </w:t>
            </w:r>
            <w:r>
              <w:rPr>
                <w:sz w:val="16"/>
              </w:rPr>
              <w:t>1:</w:t>
            </w:r>
            <w:r>
              <w:rPr>
                <w:spacing w:val="-3"/>
                <w:sz w:val="16"/>
              </w:rPr>
              <w:t xml:space="preserve"> </w:t>
            </w:r>
            <w:r>
              <w:rPr>
                <w:sz w:val="16"/>
              </w:rPr>
              <w:t>Services</w:t>
            </w:r>
            <w:r>
              <w:rPr>
                <w:spacing w:val="-2"/>
                <w:sz w:val="16"/>
              </w:rPr>
              <w:t xml:space="preserve"> </w:t>
            </w:r>
            <w:r>
              <w:rPr>
                <w:sz w:val="16"/>
              </w:rPr>
              <w:t>provide</w:t>
            </w:r>
            <w:r>
              <w:rPr>
                <w:spacing w:val="-6"/>
                <w:sz w:val="16"/>
              </w:rPr>
              <w:t xml:space="preserve"> </w:t>
            </w:r>
            <w:r>
              <w:rPr>
                <w:sz w:val="16"/>
              </w:rPr>
              <w:t>customer</w:t>
            </w:r>
            <w:r>
              <w:rPr>
                <w:spacing w:val="-3"/>
                <w:sz w:val="16"/>
              </w:rPr>
              <w:t xml:space="preserve"> </w:t>
            </w:r>
            <w:r>
              <w:rPr>
                <w:sz w:val="16"/>
              </w:rPr>
              <w:t>value</w:t>
            </w:r>
            <w:r>
              <w:rPr>
                <w:spacing w:val="-4"/>
                <w:sz w:val="16"/>
              </w:rPr>
              <w:t xml:space="preserve"> </w:t>
            </w:r>
            <w:r>
              <w:rPr>
                <w:sz w:val="16"/>
              </w:rPr>
              <w:t>for</w:t>
            </w:r>
            <w:r>
              <w:rPr>
                <w:spacing w:val="-3"/>
                <w:sz w:val="16"/>
              </w:rPr>
              <w:t xml:space="preserve"> </w:t>
            </w:r>
            <w:r>
              <w:rPr>
                <w:spacing w:val="-2"/>
                <w:sz w:val="16"/>
              </w:rPr>
              <w:t>money</w:t>
            </w:r>
          </w:p>
        </w:tc>
      </w:tr>
      <w:tr w:rsidR="00141B97" w14:paraId="42CA71AC" w14:textId="77777777">
        <w:trPr>
          <w:trHeight w:val="390"/>
          <w:tblCellSpacing w:w="7" w:type="dxa"/>
        </w:trPr>
        <w:tc>
          <w:tcPr>
            <w:tcW w:w="5006" w:type="dxa"/>
            <w:shd w:val="clear" w:color="auto" w:fill="CCE1EC"/>
          </w:tcPr>
          <w:p w14:paraId="4B7B21DF" w14:textId="77777777" w:rsidR="00141B97" w:rsidRDefault="00911D63">
            <w:pPr>
              <w:pStyle w:val="TableParagraph"/>
              <w:spacing w:line="193" w:lineRule="exact"/>
              <w:ind w:left="14"/>
              <w:rPr>
                <w:sz w:val="16"/>
              </w:rPr>
            </w:pPr>
            <w:r>
              <w:rPr>
                <w:sz w:val="16"/>
              </w:rPr>
              <w:t>Customer</w:t>
            </w:r>
            <w:r>
              <w:rPr>
                <w:spacing w:val="-6"/>
                <w:sz w:val="16"/>
              </w:rPr>
              <w:t xml:space="preserve"> </w:t>
            </w:r>
            <w:r>
              <w:rPr>
                <w:sz w:val="16"/>
              </w:rPr>
              <w:t>satisfaction</w:t>
            </w:r>
            <w:r>
              <w:rPr>
                <w:spacing w:val="-3"/>
                <w:sz w:val="16"/>
              </w:rPr>
              <w:t xml:space="preserve"> </w:t>
            </w:r>
            <w:r>
              <w:rPr>
                <w:sz w:val="16"/>
              </w:rPr>
              <w:t>for</w:t>
            </w:r>
            <w:r>
              <w:rPr>
                <w:spacing w:val="-6"/>
                <w:sz w:val="16"/>
              </w:rPr>
              <w:t xml:space="preserve"> </w:t>
            </w:r>
            <w:r>
              <w:rPr>
                <w:sz w:val="16"/>
              </w:rPr>
              <w:t>overall</w:t>
            </w:r>
            <w:r>
              <w:rPr>
                <w:spacing w:val="-3"/>
                <w:sz w:val="16"/>
              </w:rPr>
              <w:t xml:space="preserve"> </w:t>
            </w:r>
            <w:r>
              <w:rPr>
                <w:sz w:val="16"/>
              </w:rPr>
              <w:t>services</w:t>
            </w:r>
            <w:r>
              <w:rPr>
                <w:spacing w:val="-6"/>
                <w:sz w:val="16"/>
              </w:rPr>
              <w:t xml:space="preserve"> </w:t>
            </w:r>
            <w:r>
              <w:rPr>
                <w:sz w:val="16"/>
              </w:rPr>
              <w:t>value</w:t>
            </w:r>
            <w:r>
              <w:rPr>
                <w:spacing w:val="-4"/>
                <w:sz w:val="16"/>
              </w:rPr>
              <w:t xml:space="preserve"> </w:t>
            </w:r>
            <w:r>
              <w:rPr>
                <w:sz w:val="16"/>
              </w:rPr>
              <w:t>for</w:t>
            </w:r>
            <w:r>
              <w:rPr>
                <w:spacing w:val="-4"/>
                <w:sz w:val="16"/>
              </w:rPr>
              <w:t xml:space="preserve"> </w:t>
            </w:r>
            <w:r>
              <w:rPr>
                <w:sz w:val="16"/>
              </w:rPr>
              <w:t>money</w:t>
            </w:r>
            <w:r>
              <w:rPr>
                <w:spacing w:val="-2"/>
                <w:sz w:val="16"/>
              </w:rPr>
              <w:t xml:space="preserve"> </w:t>
            </w:r>
            <w:r>
              <w:rPr>
                <w:sz w:val="16"/>
              </w:rPr>
              <w:t>-</w:t>
            </w:r>
            <w:r>
              <w:rPr>
                <w:spacing w:val="-2"/>
                <w:sz w:val="16"/>
              </w:rPr>
              <w:t xml:space="preserve"> </w:t>
            </w:r>
            <w:r>
              <w:rPr>
                <w:sz w:val="16"/>
              </w:rPr>
              <w:t>Target</w:t>
            </w:r>
            <w:r>
              <w:rPr>
                <w:spacing w:val="-4"/>
                <w:sz w:val="16"/>
              </w:rPr>
              <w:t xml:space="preserve"> </w:t>
            </w:r>
            <w:r>
              <w:rPr>
                <w:sz w:val="16"/>
              </w:rPr>
              <w:t>=</w:t>
            </w:r>
            <w:r>
              <w:rPr>
                <w:spacing w:val="-4"/>
                <w:sz w:val="16"/>
              </w:rPr>
              <w:t xml:space="preserve"> </w:t>
            </w:r>
            <w:r>
              <w:rPr>
                <w:spacing w:val="-5"/>
                <w:sz w:val="16"/>
              </w:rPr>
              <w:t>&gt;/=</w:t>
            </w:r>
          </w:p>
          <w:p w14:paraId="4DCF38B5" w14:textId="77777777" w:rsidR="00141B97" w:rsidRDefault="00911D63">
            <w:pPr>
              <w:pStyle w:val="TableParagraph"/>
              <w:spacing w:line="177" w:lineRule="exact"/>
              <w:ind w:left="14"/>
              <w:rPr>
                <w:sz w:val="16"/>
              </w:rPr>
            </w:pPr>
            <w:r>
              <w:rPr>
                <w:sz w:val="16"/>
              </w:rPr>
              <w:t>prior</w:t>
            </w:r>
            <w:r>
              <w:rPr>
                <w:spacing w:val="-5"/>
                <w:sz w:val="16"/>
              </w:rPr>
              <w:t xml:space="preserve"> </w:t>
            </w:r>
            <w:r>
              <w:rPr>
                <w:sz w:val="16"/>
              </w:rPr>
              <w:t>year</w:t>
            </w:r>
            <w:r>
              <w:rPr>
                <w:spacing w:val="-4"/>
                <w:sz w:val="16"/>
              </w:rPr>
              <w:t xml:space="preserve"> </w:t>
            </w:r>
            <w:r>
              <w:rPr>
                <w:sz w:val="16"/>
              </w:rPr>
              <w:t>performance</w:t>
            </w:r>
            <w:r>
              <w:rPr>
                <w:spacing w:val="-4"/>
                <w:sz w:val="16"/>
              </w:rPr>
              <w:t xml:space="preserve"> </w:t>
            </w:r>
            <w:r>
              <w:rPr>
                <w:sz w:val="16"/>
              </w:rPr>
              <w:t>of</w:t>
            </w:r>
            <w:r>
              <w:rPr>
                <w:spacing w:val="-7"/>
                <w:sz w:val="16"/>
              </w:rPr>
              <w:t xml:space="preserve"> </w:t>
            </w:r>
            <w:r>
              <w:rPr>
                <w:sz w:val="16"/>
              </w:rPr>
              <w:t>annual</w:t>
            </w:r>
            <w:r>
              <w:rPr>
                <w:spacing w:val="-3"/>
                <w:sz w:val="16"/>
              </w:rPr>
              <w:t xml:space="preserve"> </w:t>
            </w:r>
            <w:r>
              <w:rPr>
                <w:sz w:val="16"/>
              </w:rPr>
              <w:t>survey</w:t>
            </w:r>
            <w:r>
              <w:rPr>
                <w:spacing w:val="-3"/>
                <w:sz w:val="16"/>
              </w:rPr>
              <w:t xml:space="preserve"> </w:t>
            </w:r>
            <w:r>
              <w:rPr>
                <w:spacing w:val="-2"/>
                <w:sz w:val="16"/>
              </w:rPr>
              <w:t>respondents</w:t>
            </w:r>
          </w:p>
        </w:tc>
        <w:tc>
          <w:tcPr>
            <w:tcW w:w="758" w:type="dxa"/>
            <w:shd w:val="clear" w:color="auto" w:fill="CCE1EC"/>
          </w:tcPr>
          <w:p w14:paraId="21BF69A6" w14:textId="77777777" w:rsidR="00141B97" w:rsidRDefault="00911D63">
            <w:pPr>
              <w:pStyle w:val="TableParagraph"/>
              <w:spacing w:before="97"/>
              <w:ind w:left="21"/>
              <w:rPr>
                <w:sz w:val="16"/>
              </w:rPr>
            </w:pPr>
            <w:r>
              <w:rPr>
                <w:spacing w:val="-5"/>
                <w:sz w:val="16"/>
              </w:rPr>
              <w:t>N/A</w:t>
            </w:r>
          </w:p>
        </w:tc>
        <w:tc>
          <w:tcPr>
            <w:tcW w:w="945" w:type="dxa"/>
            <w:shd w:val="clear" w:color="auto" w:fill="CCE1EC"/>
          </w:tcPr>
          <w:p w14:paraId="4744BC60" w14:textId="77777777" w:rsidR="00141B97" w:rsidRDefault="00911D63">
            <w:pPr>
              <w:pStyle w:val="TableParagraph"/>
              <w:spacing w:before="97"/>
              <w:ind w:right="162"/>
              <w:jc w:val="right"/>
              <w:rPr>
                <w:sz w:val="16"/>
              </w:rPr>
            </w:pPr>
            <w:r>
              <w:rPr>
                <w:spacing w:val="-2"/>
                <w:sz w:val="16"/>
              </w:rPr>
              <w:t>=/&gt;22/23</w:t>
            </w:r>
          </w:p>
        </w:tc>
        <w:tc>
          <w:tcPr>
            <w:tcW w:w="806" w:type="dxa"/>
            <w:shd w:val="clear" w:color="auto" w:fill="CCE1EC"/>
          </w:tcPr>
          <w:p w14:paraId="32FB9C1F" w14:textId="77777777" w:rsidR="00141B97" w:rsidRDefault="00911D63">
            <w:pPr>
              <w:pStyle w:val="TableParagraph"/>
              <w:spacing w:before="97"/>
              <w:ind w:right="92"/>
              <w:jc w:val="right"/>
              <w:rPr>
                <w:sz w:val="16"/>
              </w:rPr>
            </w:pPr>
            <w:r>
              <w:rPr>
                <w:spacing w:val="-2"/>
                <w:sz w:val="16"/>
              </w:rPr>
              <w:t>=/&gt;23/24</w:t>
            </w:r>
          </w:p>
        </w:tc>
        <w:tc>
          <w:tcPr>
            <w:tcW w:w="800" w:type="dxa"/>
            <w:shd w:val="clear" w:color="auto" w:fill="CCE1EC"/>
          </w:tcPr>
          <w:p w14:paraId="79A124A7" w14:textId="77777777" w:rsidR="00141B97" w:rsidRDefault="00911D63">
            <w:pPr>
              <w:pStyle w:val="TableParagraph"/>
              <w:spacing w:before="97"/>
              <w:ind w:right="88"/>
              <w:jc w:val="right"/>
              <w:rPr>
                <w:sz w:val="16"/>
              </w:rPr>
            </w:pPr>
            <w:r>
              <w:rPr>
                <w:spacing w:val="-2"/>
                <w:sz w:val="16"/>
              </w:rPr>
              <w:t>=/&gt;24/25</w:t>
            </w:r>
          </w:p>
        </w:tc>
        <w:tc>
          <w:tcPr>
            <w:tcW w:w="806" w:type="dxa"/>
            <w:shd w:val="clear" w:color="auto" w:fill="CCE1EC"/>
          </w:tcPr>
          <w:p w14:paraId="3608213D" w14:textId="77777777" w:rsidR="00141B97" w:rsidRDefault="00911D63">
            <w:pPr>
              <w:pStyle w:val="TableParagraph"/>
              <w:spacing w:before="97"/>
              <w:ind w:right="92"/>
              <w:jc w:val="right"/>
              <w:rPr>
                <w:sz w:val="16"/>
              </w:rPr>
            </w:pPr>
            <w:r>
              <w:rPr>
                <w:spacing w:val="-2"/>
                <w:sz w:val="16"/>
              </w:rPr>
              <w:t>=/&gt;25/26</w:t>
            </w:r>
          </w:p>
        </w:tc>
        <w:tc>
          <w:tcPr>
            <w:tcW w:w="958" w:type="dxa"/>
            <w:shd w:val="clear" w:color="auto" w:fill="CCE1EC"/>
          </w:tcPr>
          <w:p w14:paraId="70F003B0" w14:textId="77777777" w:rsidR="00141B97" w:rsidRDefault="00911D63">
            <w:pPr>
              <w:pStyle w:val="TableParagraph"/>
              <w:spacing w:before="97"/>
              <w:ind w:left="176"/>
              <w:rPr>
                <w:sz w:val="16"/>
              </w:rPr>
            </w:pPr>
            <w:r>
              <w:rPr>
                <w:spacing w:val="-2"/>
                <w:sz w:val="16"/>
              </w:rPr>
              <w:t>=/&gt;26/27</w:t>
            </w:r>
          </w:p>
        </w:tc>
      </w:tr>
      <w:tr w:rsidR="00141B97" w14:paraId="16D0054D" w14:textId="77777777">
        <w:trPr>
          <w:trHeight w:val="192"/>
          <w:tblCellSpacing w:w="7" w:type="dxa"/>
        </w:trPr>
        <w:tc>
          <w:tcPr>
            <w:tcW w:w="5006" w:type="dxa"/>
            <w:tcBorders>
              <w:bottom w:val="nil"/>
            </w:tcBorders>
            <w:shd w:val="clear" w:color="auto" w:fill="CCE1EC"/>
          </w:tcPr>
          <w:p w14:paraId="6B779B57" w14:textId="77777777" w:rsidR="00141B97" w:rsidRDefault="00911D63">
            <w:pPr>
              <w:pStyle w:val="TableParagraph"/>
              <w:spacing w:line="173" w:lineRule="exact"/>
              <w:ind w:left="14"/>
              <w:rPr>
                <w:sz w:val="16"/>
              </w:rPr>
            </w:pPr>
            <w:r>
              <w:rPr>
                <w:sz w:val="16"/>
              </w:rPr>
              <w:t>Delivery</w:t>
            </w:r>
            <w:r>
              <w:rPr>
                <w:spacing w:val="-3"/>
                <w:sz w:val="16"/>
              </w:rPr>
              <w:t xml:space="preserve"> </w:t>
            </w:r>
            <w:r>
              <w:rPr>
                <w:sz w:val="16"/>
              </w:rPr>
              <w:t>of</w:t>
            </w:r>
            <w:r>
              <w:rPr>
                <w:spacing w:val="-4"/>
                <w:sz w:val="16"/>
              </w:rPr>
              <w:t xml:space="preserve"> </w:t>
            </w:r>
            <w:r>
              <w:rPr>
                <w:sz w:val="16"/>
              </w:rPr>
              <w:t>the</w:t>
            </w:r>
            <w:r>
              <w:rPr>
                <w:spacing w:val="-5"/>
                <w:sz w:val="16"/>
              </w:rPr>
              <w:t xml:space="preserve"> </w:t>
            </w:r>
            <w:r>
              <w:rPr>
                <w:sz w:val="16"/>
              </w:rPr>
              <w:t>approved</w:t>
            </w:r>
            <w:r>
              <w:rPr>
                <w:spacing w:val="-2"/>
                <w:sz w:val="16"/>
              </w:rPr>
              <w:t xml:space="preserve"> </w:t>
            </w:r>
            <w:r>
              <w:rPr>
                <w:sz w:val="16"/>
              </w:rPr>
              <w:t>PS5</w:t>
            </w:r>
            <w:r>
              <w:rPr>
                <w:spacing w:val="-4"/>
                <w:sz w:val="16"/>
              </w:rPr>
              <w:t xml:space="preserve"> </w:t>
            </w:r>
            <w:r>
              <w:rPr>
                <w:sz w:val="16"/>
              </w:rPr>
              <w:t>price</w:t>
            </w:r>
            <w:r>
              <w:rPr>
                <w:spacing w:val="-3"/>
                <w:sz w:val="16"/>
              </w:rPr>
              <w:t xml:space="preserve"> </w:t>
            </w:r>
            <w:r>
              <w:rPr>
                <w:spacing w:val="-2"/>
                <w:sz w:val="16"/>
              </w:rPr>
              <w:t>determination</w:t>
            </w:r>
          </w:p>
        </w:tc>
        <w:tc>
          <w:tcPr>
            <w:tcW w:w="758" w:type="dxa"/>
            <w:tcBorders>
              <w:bottom w:val="nil"/>
            </w:tcBorders>
            <w:shd w:val="clear" w:color="auto" w:fill="CCE1EC"/>
          </w:tcPr>
          <w:p w14:paraId="668F39DC" w14:textId="77777777" w:rsidR="00141B97" w:rsidRDefault="00911D63">
            <w:pPr>
              <w:pStyle w:val="TableParagraph"/>
              <w:spacing w:line="173" w:lineRule="exact"/>
              <w:ind w:left="21"/>
              <w:rPr>
                <w:sz w:val="16"/>
              </w:rPr>
            </w:pPr>
            <w:r>
              <w:rPr>
                <w:spacing w:val="-4"/>
                <w:sz w:val="16"/>
              </w:rPr>
              <w:t>Pass</w:t>
            </w:r>
          </w:p>
        </w:tc>
        <w:tc>
          <w:tcPr>
            <w:tcW w:w="4315" w:type="dxa"/>
            <w:gridSpan w:val="5"/>
            <w:tcBorders>
              <w:bottom w:val="nil"/>
            </w:tcBorders>
            <w:shd w:val="clear" w:color="auto" w:fill="CCE1EC"/>
          </w:tcPr>
          <w:p w14:paraId="1FABA46F" w14:textId="77777777" w:rsidR="00141B97" w:rsidRDefault="00911D63">
            <w:pPr>
              <w:pStyle w:val="TableParagraph"/>
              <w:spacing w:line="173" w:lineRule="exact"/>
              <w:ind w:left="1884" w:right="1873"/>
              <w:jc w:val="center"/>
              <w:rPr>
                <w:sz w:val="16"/>
              </w:rPr>
            </w:pPr>
            <w:r>
              <w:rPr>
                <w:sz w:val="16"/>
              </w:rPr>
              <w:t>Yes</w:t>
            </w:r>
            <w:r>
              <w:rPr>
                <w:spacing w:val="-2"/>
                <w:sz w:val="16"/>
              </w:rPr>
              <w:t xml:space="preserve"> </w:t>
            </w:r>
            <w:r>
              <w:rPr>
                <w:sz w:val="16"/>
              </w:rPr>
              <w:t>/</w:t>
            </w:r>
            <w:r>
              <w:rPr>
                <w:spacing w:val="-2"/>
                <w:sz w:val="16"/>
              </w:rPr>
              <w:t xml:space="preserve"> </w:t>
            </w:r>
            <w:r>
              <w:rPr>
                <w:spacing w:val="-5"/>
                <w:sz w:val="16"/>
              </w:rPr>
              <w:t>No</w:t>
            </w:r>
          </w:p>
        </w:tc>
      </w:tr>
      <w:tr w:rsidR="00141B97" w14:paraId="1A57E5F4" w14:textId="77777777">
        <w:trPr>
          <w:trHeight w:val="385"/>
          <w:tblCellSpacing w:w="7" w:type="dxa"/>
        </w:trPr>
        <w:tc>
          <w:tcPr>
            <w:tcW w:w="5006" w:type="dxa"/>
            <w:tcBorders>
              <w:top w:val="nil"/>
              <w:bottom w:val="nil"/>
            </w:tcBorders>
            <w:shd w:val="clear" w:color="auto" w:fill="CCE1EC"/>
          </w:tcPr>
          <w:p w14:paraId="45681FAF" w14:textId="77777777" w:rsidR="00141B97" w:rsidRDefault="00911D63">
            <w:pPr>
              <w:pStyle w:val="TableParagraph"/>
              <w:spacing w:line="192" w:lineRule="exact"/>
              <w:ind w:left="14"/>
              <w:rPr>
                <w:sz w:val="16"/>
              </w:rPr>
            </w:pPr>
            <w:r>
              <w:rPr>
                <w:sz w:val="16"/>
              </w:rPr>
              <w:t>Delivery</w:t>
            </w:r>
            <w:r>
              <w:rPr>
                <w:spacing w:val="-4"/>
                <w:sz w:val="16"/>
              </w:rPr>
              <w:t xml:space="preserve"> </w:t>
            </w:r>
            <w:r>
              <w:rPr>
                <w:sz w:val="16"/>
              </w:rPr>
              <w:t>of</w:t>
            </w:r>
            <w:r>
              <w:rPr>
                <w:spacing w:val="-3"/>
                <w:sz w:val="16"/>
              </w:rPr>
              <w:t xml:space="preserve"> </w:t>
            </w:r>
            <w:r>
              <w:rPr>
                <w:sz w:val="16"/>
              </w:rPr>
              <w:t>top</w:t>
            </w:r>
            <w:r>
              <w:rPr>
                <w:spacing w:val="-4"/>
                <w:sz w:val="16"/>
              </w:rPr>
              <w:t xml:space="preserve"> </w:t>
            </w:r>
            <w:r>
              <w:rPr>
                <w:sz w:val="16"/>
              </w:rPr>
              <w:t>10</w:t>
            </w:r>
            <w:r>
              <w:rPr>
                <w:spacing w:val="-3"/>
                <w:sz w:val="16"/>
              </w:rPr>
              <w:t xml:space="preserve"> </w:t>
            </w:r>
            <w:r>
              <w:rPr>
                <w:sz w:val="16"/>
              </w:rPr>
              <w:t>capital</w:t>
            </w:r>
            <w:r>
              <w:rPr>
                <w:spacing w:val="-4"/>
                <w:sz w:val="16"/>
              </w:rPr>
              <w:t xml:space="preserve"> </w:t>
            </w:r>
            <w:r>
              <w:rPr>
                <w:sz w:val="16"/>
              </w:rPr>
              <w:t>projects</w:t>
            </w:r>
            <w:r>
              <w:rPr>
                <w:spacing w:val="-3"/>
                <w:sz w:val="16"/>
              </w:rPr>
              <w:t xml:space="preserve"> </w:t>
            </w:r>
            <w:r>
              <w:rPr>
                <w:sz w:val="16"/>
              </w:rPr>
              <w:t>on</w:t>
            </w:r>
            <w:r>
              <w:rPr>
                <w:spacing w:val="-3"/>
                <w:sz w:val="16"/>
              </w:rPr>
              <w:t xml:space="preserve"> </w:t>
            </w:r>
            <w:r>
              <w:rPr>
                <w:sz w:val="16"/>
              </w:rPr>
              <w:t>time</w:t>
            </w:r>
            <w:r>
              <w:rPr>
                <w:spacing w:val="-4"/>
                <w:sz w:val="16"/>
              </w:rPr>
              <w:t xml:space="preserve"> </w:t>
            </w:r>
            <w:r>
              <w:rPr>
                <w:sz w:val="16"/>
              </w:rPr>
              <w:t>and</w:t>
            </w:r>
            <w:r>
              <w:rPr>
                <w:spacing w:val="-3"/>
                <w:sz w:val="16"/>
              </w:rPr>
              <w:t xml:space="preserve"> </w:t>
            </w:r>
            <w:r>
              <w:rPr>
                <w:sz w:val="16"/>
              </w:rPr>
              <w:t>budget</w:t>
            </w:r>
            <w:r>
              <w:rPr>
                <w:spacing w:val="-4"/>
                <w:sz w:val="16"/>
              </w:rPr>
              <w:t xml:space="preserve"> </w:t>
            </w:r>
            <w:r>
              <w:rPr>
                <w:sz w:val="16"/>
              </w:rPr>
              <w:t>(budget</w:t>
            </w:r>
            <w:r>
              <w:rPr>
                <w:spacing w:val="-3"/>
                <w:sz w:val="16"/>
              </w:rPr>
              <w:t xml:space="preserve"> </w:t>
            </w:r>
            <w:r>
              <w:rPr>
                <w:sz w:val="16"/>
              </w:rPr>
              <w:t>set</w:t>
            </w:r>
            <w:r>
              <w:rPr>
                <w:spacing w:val="-4"/>
                <w:sz w:val="16"/>
              </w:rPr>
              <w:t xml:space="preserve"> </w:t>
            </w:r>
            <w:r>
              <w:rPr>
                <w:sz w:val="16"/>
              </w:rPr>
              <w:t>by</w:t>
            </w:r>
            <w:r>
              <w:rPr>
                <w:spacing w:val="-3"/>
                <w:sz w:val="16"/>
              </w:rPr>
              <w:t xml:space="preserve"> </w:t>
            </w:r>
            <w:r>
              <w:rPr>
                <w:spacing w:val="-2"/>
                <w:sz w:val="16"/>
              </w:rPr>
              <w:t>annual</w:t>
            </w:r>
          </w:p>
          <w:p w14:paraId="469445B4" w14:textId="77777777" w:rsidR="00141B97" w:rsidRDefault="00911D63">
            <w:pPr>
              <w:pStyle w:val="TableParagraph"/>
              <w:spacing w:line="173" w:lineRule="exact"/>
              <w:ind w:left="14"/>
              <w:rPr>
                <w:sz w:val="16"/>
              </w:rPr>
            </w:pPr>
            <w:r>
              <w:rPr>
                <w:sz w:val="16"/>
              </w:rPr>
              <w:t>corporate</w:t>
            </w:r>
            <w:r>
              <w:rPr>
                <w:spacing w:val="-6"/>
                <w:sz w:val="16"/>
              </w:rPr>
              <w:t xml:space="preserve"> </w:t>
            </w:r>
            <w:r>
              <w:rPr>
                <w:sz w:val="16"/>
              </w:rPr>
              <w:t>plan,</w:t>
            </w:r>
            <w:r>
              <w:rPr>
                <w:spacing w:val="-5"/>
                <w:sz w:val="16"/>
              </w:rPr>
              <w:t xml:space="preserve"> </w:t>
            </w:r>
            <w:r>
              <w:rPr>
                <w:sz w:val="16"/>
              </w:rPr>
              <w:t>timing</w:t>
            </w:r>
            <w:r>
              <w:rPr>
                <w:spacing w:val="-4"/>
                <w:sz w:val="16"/>
              </w:rPr>
              <w:t xml:space="preserve"> </w:t>
            </w:r>
            <w:r>
              <w:rPr>
                <w:sz w:val="16"/>
              </w:rPr>
              <w:t>set</w:t>
            </w:r>
            <w:r>
              <w:rPr>
                <w:spacing w:val="-4"/>
                <w:sz w:val="16"/>
              </w:rPr>
              <w:t xml:space="preserve"> </w:t>
            </w:r>
            <w:r>
              <w:rPr>
                <w:sz w:val="16"/>
              </w:rPr>
              <w:t>by</w:t>
            </w:r>
            <w:r>
              <w:rPr>
                <w:spacing w:val="-3"/>
                <w:sz w:val="16"/>
              </w:rPr>
              <w:t xml:space="preserve"> </w:t>
            </w:r>
            <w:r>
              <w:rPr>
                <w:sz w:val="16"/>
              </w:rPr>
              <w:t>pricing</w:t>
            </w:r>
            <w:r>
              <w:rPr>
                <w:spacing w:val="-4"/>
                <w:sz w:val="16"/>
              </w:rPr>
              <w:t xml:space="preserve"> </w:t>
            </w:r>
            <w:r>
              <w:rPr>
                <w:spacing w:val="-2"/>
                <w:sz w:val="16"/>
              </w:rPr>
              <w:t>submission)</w:t>
            </w:r>
          </w:p>
        </w:tc>
        <w:tc>
          <w:tcPr>
            <w:tcW w:w="758" w:type="dxa"/>
            <w:tcBorders>
              <w:top w:val="nil"/>
              <w:bottom w:val="nil"/>
            </w:tcBorders>
            <w:shd w:val="clear" w:color="auto" w:fill="CCE1EC"/>
          </w:tcPr>
          <w:p w14:paraId="4142EF05" w14:textId="77777777" w:rsidR="00141B97" w:rsidRDefault="00911D63">
            <w:pPr>
              <w:pStyle w:val="TableParagraph"/>
              <w:spacing w:before="93"/>
              <w:ind w:left="21"/>
              <w:rPr>
                <w:sz w:val="16"/>
              </w:rPr>
            </w:pPr>
            <w:r>
              <w:rPr>
                <w:spacing w:val="-5"/>
                <w:sz w:val="16"/>
              </w:rPr>
              <w:t>NA</w:t>
            </w:r>
          </w:p>
        </w:tc>
        <w:tc>
          <w:tcPr>
            <w:tcW w:w="3357" w:type="dxa"/>
            <w:gridSpan w:val="4"/>
            <w:tcBorders>
              <w:top w:val="nil"/>
              <w:bottom w:val="nil"/>
            </w:tcBorders>
            <w:shd w:val="clear" w:color="auto" w:fill="CCE1EC"/>
          </w:tcPr>
          <w:p w14:paraId="3FD86A7C" w14:textId="77777777" w:rsidR="00141B97" w:rsidRDefault="00911D63">
            <w:pPr>
              <w:pStyle w:val="TableParagraph"/>
              <w:spacing w:before="93"/>
              <w:ind w:left="360"/>
              <w:rPr>
                <w:sz w:val="16"/>
              </w:rPr>
            </w:pPr>
            <w:r>
              <w:rPr>
                <w:sz w:val="16"/>
              </w:rPr>
              <w:t>=/&gt;</w:t>
            </w:r>
            <w:r>
              <w:rPr>
                <w:spacing w:val="-8"/>
                <w:sz w:val="16"/>
              </w:rPr>
              <w:t xml:space="preserve"> </w:t>
            </w:r>
            <w:r>
              <w:rPr>
                <w:sz w:val="16"/>
              </w:rPr>
              <w:t>progress</w:t>
            </w:r>
            <w:r>
              <w:rPr>
                <w:spacing w:val="-3"/>
                <w:sz w:val="16"/>
              </w:rPr>
              <w:t xml:space="preserve"> </w:t>
            </w:r>
            <w:r>
              <w:rPr>
                <w:sz w:val="16"/>
              </w:rPr>
              <w:t>against</w:t>
            </w:r>
            <w:r>
              <w:rPr>
                <w:spacing w:val="-6"/>
                <w:sz w:val="16"/>
              </w:rPr>
              <w:t xml:space="preserve"> </w:t>
            </w:r>
            <w:r>
              <w:rPr>
                <w:sz w:val="16"/>
              </w:rPr>
              <w:t>capital</w:t>
            </w:r>
            <w:r>
              <w:rPr>
                <w:spacing w:val="-4"/>
                <w:sz w:val="16"/>
              </w:rPr>
              <w:t xml:space="preserve"> </w:t>
            </w:r>
            <w:r>
              <w:rPr>
                <w:sz w:val="16"/>
              </w:rPr>
              <w:t>delivery</w:t>
            </w:r>
            <w:r>
              <w:rPr>
                <w:spacing w:val="-3"/>
                <w:sz w:val="16"/>
              </w:rPr>
              <w:t xml:space="preserve"> </w:t>
            </w:r>
            <w:r>
              <w:rPr>
                <w:spacing w:val="-4"/>
                <w:sz w:val="16"/>
              </w:rPr>
              <w:t>plan</w:t>
            </w:r>
          </w:p>
        </w:tc>
        <w:tc>
          <w:tcPr>
            <w:tcW w:w="958" w:type="dxa"/>
            <w:tcBorders>
              <w:top w:val="nil"/>
              <w:bottom w:val="nil"/>
            </w:tcBorders>
            <w:shd w:val="clear" w:color="auto" w:fill="CCE1EC"/>
          </w:tcPr>
          <w:p w14:paraId="6C79DE73" w14:textId="77777777" w:rsidR="00141B97" w:rsidRDefault="00911D63">
            <w:pPr>
              <w:pStyle w:val="TableParagraph"/>
              <w:spacing w:before="93"/>
              <w:ind w:left="27"/>
              <w:rPr>
                <w:sz w:val="16"/>
              </w:rPr>
            </w:pPr>
            <w:r>
              <w:rPr>
                <w:sz w:val="16"/>
              </w:rPr>
              <w:t>100%</w:t>
            </w:r>
            <w:r>
              <w:rPr>
                <w:spacing w:val="-4"/>
                <w:sz w:val="16"/>
              </w:rPr>
              <w:t xml:space="preserve"> </w:t>
            </w:r>
            <w:r>
              <w:rPr>
                <w:spacing w:val="-2"/>
                <w:sz w:val="16"/>
              </w:rPr>
              <w:t>delivery</w:t>
            </w:r>
          </w:p>
        </w:tc>
      </w:tr>
      <w:tr w:rsidR="00141B97" w14:paraId="3C843627" w14:textId="77777777">
        <w:trPr>
          <w:trHeight w:val="238"/>
          <w:tblCellSpacing w:w="7" w:type="dxa"/>
        </w:trPr>
        <w:tc>
          <w:tcPr>
            <w:tcW w:w="10079" w:type="dxa"/>
            <w:gridSpan w:val="7"/>
            <w:tcBorders>
              <w:top w:val="nil"/>
            </w:tcBorders>
            <w:shd w:val="clear" w:color="auto" w:fill="BEBEBE"/>
          </w:tcPr>
          <w:p w14:paraId="391D8500" w14:textId="77777777" w:rsidR="00141B97" w:rsidRDefault="00911D63">
            <w:pPr>
              <w:pStyle w:val="TableParagraph"/>
              <w:spacing w:before="19"/>
              <w:ind w:left="57"/>
              <w:rPr>
                <w:sz w:val="16"/>
              </w:rPr>
            </w:pPr>
            <w:r>
              <w:rPr>
                <w:sz w:val="16"/>
              </w:rPr>
              <w:t>Outcome</w:t>
            </w:r>
            <w:r>
              <w:rPr>
                <w:spacing w:val="-6"/>
                <w:sz w:val="16"/>
              </w:rPr>
              <w:t xml:space="preserve"> </w:t>
            </w:r>
            <w:r>
              <w:rPr>
                <w:sz w:val="16"/>
              </w:rPr>
              <w:t>2:</w:t>
            </w:r>
            <w:r>
              <w:rPr>
                <w:spacing w:val="-3"/>
                <w:sz w:val="16"/>
              </w:rPr>
              <w:t xml:space="preserve"> </w:t>
            </w:r>
            <w:r>
              <w:rPr>
                <w:sz w:val="16"/>
              </w:rPr>
              <w:t>Provide</w:t>
            </w:r>
            <w:r>
              <w:rPr>
                <w:spacing w:val="-4"/>
                <w:sz w:val="16"/>
              </w:rPr>
              <w:t xml:space="preserve"> </w:t>
            </w:r>
            <w:r>
              <w:rPr>
                <w:sz w:val="16"/>
              </w:rPr>
              <w:t>customers</w:t>
            </w:r>
            <w:r>
              <w:rPr>
                <w:spacing w:val="-6"/>
                <w:sz w:val="16"/>
              </w:rPr>
              <w:t xml:space="preserve"> </w:t>
            </w:r>
            <w:r>
              <w:rPr>
                <w:sz w:val="16"/>
              </w:rPr>
              <w:t>with</w:t>
            </w:r>
            <w:r>
              <w:rPr>
                <w:spacing w:val="-5"/>
                <w:sz w:val="16"/>
              </w:rPr>
              <w:t xml:space="preserve"> </w:t>
            </w:r>
            <w:r>
              <w:rPr>
                <w:sz w:val="16"/>
              </w:rPr>
              <w:t>water</w:t>
            </w:r>
            <w:r>
              <w:rPr>
                <w:spacing w:val="-4"/>
                <w:sz w:val="16"/>
              </w:rPr>
              <w:t xml:space="preserve"> </w:t>
            </w:r>
            <w:r>
              <w:rPr>
                <w:sz w:val="16"/>
              </w:rPr>
              <w:t>when</w:t>
            </w:r>
            <w:r>
              <w:rPr>
                <w:spacing w:val="-3"/>
                <w:sz w:val="16"/>
              </w:rPr>
              <w:t xml:space="preserve"> </w:t>
            </w:r>
            <w:r>
              <w:rPr>
                <w:sz w:val="16"/>
              </w:rPr>
              <w:t>they</w:t>
            </w:r>
            <w:r>
              <w:rPr>
                <w:spacing w:val="-3"/>
                <w:sz w:val="16"/>
              </w:rPr>
              <w:t xml:space="preserve"> </w:t>
            </w:r>
            <w:r>
              <w:rPr>
                <w:sz w:val="16"/>
              </w:rPr>
              <w:t>need</w:t>
            </w:r>
            <w:r>
              <w:rPr>
                <w:spacing w:val="-5"/>
                <w:sz w:val="16"/>
              </w:rPr>
              <w:t xml:space="preserve"> it</w:t>
            </w:r>
          </w:p>
        </w:tc>
      </w:tr>
      <w:tr w:rsidR="00141B97" w14:paraId="0CB6D1F2" w14:textId="77777777">
        <w:trPr>
          <w:trHeight w:val="294"/>
          <w:tblCellSpacing w:w="7" w:type="dxa"/>
        </w:trPr>
        <w:tc>
          <w:tcPr>
            <w:tcW w:w="5006" w:type="dxa"/>
            <w:shd w:val="clear" w:color="auto" w:fill="CCE1EC"/>
          </w:tcPr>
          <w:p w14:paraId="371E5840" w14:textId="77777777" w:rsidR="00141B97" w:rsidRDefault="00911D63">
            <w:pPr>
              <w:pStyle w:val="TableParagraph"/>
              <w:spacing w:line="194" w:lineRule="exact"/>
              <w:ind w:left="14"/>
              <w:rPr>
                <w:sz w:val="16"/>
              </w:rPr>
            </w:pPr>
            <w:r>
              <w:rPr>
                <w:sz w:val="16"/>
              </w:rPr>
              <w:t>Deliver</w:t>
            </w:r>
            <w:r>
              <w:rPr>
                <w:spacing w:val="-5"/>
                <w:sz w:val="16"/>
              </w:rPr>
              <w:t xml:space="preserve"> </w:t>
            </w:r>
            <w:r>
              <w:rPr>
                <w:sz w:val="16"/>
              </w:rPr>
              <w:t>water</w:t>
            </w:r>
            <w:r>
              <w:rPr>
                <w:spacing w:val="-3"/>
                <w:sz w:val="16"/>
              </w:rPr>
              <w:t xml:space="preserve"> </w:t>
            </w:r>
            <w:r>
              <w:rPr>
                <w:sz w:val="16"/>
              </w:rPr>
              <w:t>orders</w:t>
            </w:r>
            <w:r>
              <w:rPr>
                <w:spacing w:val="-2"/>
                <w:sz w:val="16"/>
              </w:rPr>
              <w:t xml:space="preserve"> </w:t>
            </w:r>
            <w:r>
              <w:rPr>
                <w:sz w:val="16"/>
              </w:rPr>
              <w:t>on</w:t>
            </w:r>
            <w:r>
              <w:rPr>
                <w:spacing w:val="-1"/>
                <w:sz w:val="16"/>
              </w:rPr>
              <w:t xml:space="preserve"> </w:t>
            </w:r>
            <w:r>
              <w:rPr>
                <w:sz w:val="16"/>
              </w:rPr>
              <w:t>time</w:t>
            </w:r>
            <w:r>
              <w:rPr>
                <w:spacing w:val="-2"/>
                <w:sz w:val="16"/>
              </w:rPr>
              <w:t xml:space="preserve"> </w:t>
            </w:r>
            <w:r>
              <w:rPr>
                <w:sz w:val="16"/>
              </w:rPr>
              <w:t>–</w:t>
            </w:r>
            <w:r>
              <w:rPr>
                <w:spacing w:val="-4"/>
                <w:sz w:val="16"/>
              </w:rPr>
              <w:t xml:space="preserve"> </w:t>
            </w:r>
            <w:r>
              <w:rPr>
                <w:sz w:val="16"/>
              </w:rPr>
              <w:t>Target</w:t>
            </w:r>
            <w:r>
              <w:rPr>
                <w:spacing w:val="-4"/>
                <w:sz w:val="16"/>
              </w:rPr>
              <w:t xml:space="preserve"> </w:t>
            </w:r>
            <w:r>
              <w:rPr>
                <w:sz w:val="16"/>
              </w:rPr>
              <w:t>=</w:t>
            </w:r>
            <w:r>
              <w:rPr>
                <w:spacing w:val="-4"/>
                <w:sz w:val="16"/>
              </w:rPr>
              <w:t xml:space="preserve"> </w:t>
            </w:r>
            <w:r>
              <w:rPr>
                <w:sz w:val="16"/>
              </w:rPr>
              <w:t>98%</w:t>
            </w:r>
            <w:r>
              <w:rPr>
                <w:spacing w:val="-4"/>
                <w:sz w:val="16"/>
              </w:rPr>
              <w:t xml:space="preserve"> </w:t>
            </w:r>
            <w:r>
              <w:rPr>
                <w:sz w:val="16"/>
              </w:rPr>
              <w:t>or</w:t>
            </w:r>
            <w:r>
              <w:rPr>
                <w:spacing w:val="-2"/>
                <w:sz w:val="16"/>
              </w:rPr>
              <w:t xml:space="preserve"> </w:t>
            </w:r>
            <w:r>
              <w:rPr>
                <w:spacing w:val="-4"/>
                <w:sz w:val="16"/>
              </w:rPr>
              <w:t>more</w:t>
            </w:r>
          </w:p>
        </w:tc>
        <w:tc>
          <w:tcPr>
            <w:tcW w:w="758" w:type="dxa"/>
            <w:shd w:val="clear" w:color="auto" w:fill="CCE1EC"/>
          </w:tcPr>
          <w:p w14:paraId="222C602D" w14:textId="77777777" w:rsidR="00141B97" w:rsidRDefault="00911D63">
            <w:pPr>
              <w:pStyle w:val="TableParagraph"/>
              <w:spacing w:before="49"/>
              <w:ind w:left="21"/>
              <w:rPr>
                <w:sz w:val="16"/>
              </w:rPr>
            </w:pPr>
            <w:r>
              <w:rPr>
                <w:spacing w:val="-2"/>
                <w:sz w:val="16"/>
              </w:rPr>
              <w:t>99.8%</w:t>
            </w:r>
          </w:p>
        </w:tc>
        <w:tc>
          <w:tcPr>
            <w:tcW w:w="4315" w:type="dxa"/>
            <w:gridSpan w:val="5"/>
            <w:shd w:val="clear" w:color="auto" w:fill="CCE1EC"/>
          </w:tcPr>
          <w:p w14:paraId="1B72586B" w14:textId="77777777" w:rsidR="00141B97" w:rsidRDefault="00911D63">
            <w:pPr>
              <w:pStyle w:val="TableParagraph"/>
              <w:spacing w:before="49"/>
              <w:ind w:left="1882" w:right="1873"/>
              <w:jc w:val="center"/>
              <w:rPr>
                <w:sz w:val="16"/>
              </w:rPr>
            </w:pPr>
            <w:r>
              <w:rPr>
                <w:spacing w:val="-2"/>
                <w:sz w:val="16"/>
              </w:rPr>
              <w:t>=/&gt;98%</w:t>
            </w:r>
          </w:p>
        </w:tc>
      </w:tr>
      <w:tr w:rsidR="00141B97" w14:paraId="2664DA8B" w14:textId="77777777">
        <w:trPr>
          <w:trHeight w:val="491"/>
          <w:tblCellSpacing w:w="7" w:type="dxa"/>
        </w:trPr>
        <w:tc>
          <w:tcPr>
            <w:tcW w:w="5006" w:type="dxa"/>
            <w:shd w:val="clear" w:color="auto" w:fill="CCE1EC"/>
          </w:tcPr>
          <w:p w14:paraId="5CA0F8EB" w14:textId="77777777" w:rsidR="00141B97" w:rsidRDefault="00911D63">
            <w:pPr>
              <w:pStyle w:val="TableParagraph"/>
              <w:ind w:left="14" w:right="23"/>
              <w:rPr>
                <w:sz w:val="16"/>
              </w:rPr>
            </w:pPr>
            <w:r>
              <w:rPr>
                <w:sz w:val="16"/>
              </w:rPr>
              <w:t>Provide</w:t>
            </w:r>
            <w:r>
              <w:rPr>
                <w:spacing w:val="-3"/>
                <w:sz w:val="16"/>
              </w:rPr>
              <w:t xml:space="preserve"> </w:t>
            </w:r>
            <w:r>
              <w:rPr>
                <w:sz w:val="16"/>
              </w:rPr>
              <w:t>report</w:t>
            </w:r>
            <w:r>
              <w:rPr>
                <w:spacing w:val="-3"/>
                <w:sz w:val="16"/>
              </w:rPr>
              <w:t xml:space="preserve"> </w:t>
            </w:r>
            <w:r>
              <w:rPr>
                <w:sz w:val="16"/>
              </w:rPr>
              <w:t>to</w:t>
            </w:r>
            <w:r>
              <w:rPr>
                <w:spacing w:val="-2"/>
                <w:sz w:val="16"/>
              </w:rPr>
              <w:t xml:space="preserve"> </w:t>
            </w:r>
            <w:r>
              <w:rPr>
                <w:sz w:val="16"/>
              </w:rPr>
              <w:t>customer</w:t>
            </w:r>
            <w:r>
              <w:rPr>
                <w:spacing w:val="-3"/>
                <w:sz w:val="16"/>
              </w:rPr>
              <w:t xml:space="preserve"> </w:t>
            </w:r>
            <w:r>
              <w:rPr>
                <w:sz w:val="16"/>
              </w:rPr>
              <w:t>committees</w:t>
            </w:r>
            <w:r>
              <w:rPr>
                <w:spacing w:val="-2"/>
                <w:sz w:val="16"/>
              </w:rPr>
              <w:t xml:space="preserve"> </w:t>
            </w:r>
            <w:r>
              <w:rPr>
                <w:sz w:val="16"/>
              </w:rPr>
              <w:t>annually</w:t>
            </w:r>
            <w:r>
              <w:rPr>
                <w:spacing w:val="-2"/>
                <w:sz w:val="16"/>
              </w:rPr>
              <w:t xml:space="preserve"> </w:t>
            </w:r>
            <w:r>
              <w:rPr>
                <w:sz w:val="16"/>
              </w:rPr>
              <w:t>re:</w:t>
            </w:r>
            <w:r>
              <w:rPr>
                <w:spacing w:val="-2"/>
                <w:sz w:val="16"/>
              </w:rPr>
              <w:t xml:space="preserve"> </w:t>
            </w:r>
            <w:r>
              <w:rPr>
                <w:sz w:val="16"/>
              </w:rPr>
              <w:t>service</w:t>
            </w:r>
            <w:r>
              <w:rPr>
                <w:spacing w:val="-3"/>
                <w:sz w:val="16"/>
              </w:rPr>
              <w:t xml:space="preserve"> </w:t>
            </w:r>
            <w:r>
              <w:rPr>
                <w:sz w:val="16"/>
              </w:rPr>
              <w:t>request</w:t>
            </w:r>
            <w:r>
              <w:rPr>
                <w:spacing w:val="-5"/>
                <w:sz w:val="16"/>
              </w:rPr>
              <w:t xml:space="preserve"> </w:t>
            </w:r>
            <w:r>
              <w:rPr>
                <w:sz w:val="16"/>
              </w:rPr>
              <w:t>vs.</w:t>
            </w:r>
            <w:r>
              <w:rPr>
                <w:spacing w:val="40"/>
                <w:sz w:val="16"/>
              </w:rPr>
              <w:t xml:space="preserve"> </w:t>
            </w:r>
            <w:r>
              <w:rPr>
                <w:sz w:val="16"/>
              </w:rPr>
              <w:t>service provision (Water Now) – Target = 1</w:t>
            </w:r>
          </w:p>
        </w:tc>
        <w:tc>
          <w:tcPr>
            <w:tcW w:w="758" w:type="dxa"/>
            <w:shd w:val="clear" w:color="auto" w:fill="CCE1EC"/>
          </w:tcPr>
          <w:p w14:paraId="267A3E91" w14:textId="77777777" w:rsidR="00141B97" w:rsidRDefault="00141B97">
            <w:pPr>
              <w:pStyle w:val="TableParagraph"/>
              <w:rPr>
                <w:sz w:val="12"/>
              </w:rPr>
            </w:pPr>
          </w:p>
          <w:p w14:paraId="3ABF096F" w14:textId="77777777" w:rsidR="00141B97" w:rsidRDefault="00911D63">
            <w:pPr>
              <w:pStyle w:val="TableParagraph"/>
              <w:spacing w:before="1"/>
              <w:ind w:left="21"/>
              <w:rPr>
                <w:sz w:val="16"/>
              </w:rPr>
            </w:pPr>
            <w:r>
              <w:rPr>
                <w:spacing w:val="-5"/>
                <w:sz w:val="16"/>
              </w:rPr>
              <w:t>NA</w:t>
            </w:r>
          </w:p>
        </w:tc>
        <w:tc>
          <w:tcPr>
            <w:tcW w:w="945" w:type="dxa"/>
            <w:shd w:val="clear" w:color="auto" w:fill="CCE1EC"/>
          </w:tcPr>
          <w:p w14:paraId="4DD9A91C" w14:textId="77777777" w:rsidR="00141B97" w:rsidRDefault="00141B97">
            <w:pPr>
              <w:pStyle w:val="TableParagraph"/>
              <w:rPr>
                <w:sz w:val="12"/>
              </w:rPr>
            </w:pPr>
          </w:p>
          <w:p w14:paraId="32398372" w14:textId="77777777" w:rsidR="00141B97" w:rsidRDefault="00911D63">
            <w:pPr>
              <w:pStyle w:val="TableParagraph"/>
              <w:spacing w:before="1"/>
              <w:ind w:left="322" w:right="318"/>
              <w:jc w:val="center"/>
              <w:rPr>
                <w:sz w:val="16"/>
              </w:rPr>
            </w:pPr>
            <w:r>
              <w:rPr>
                <w:spacing w:val="-5"/>
                <w:sz w:val="16"/>
              </w:rPr>
              <w:t>NA</w:t>
            </w:r>
          </w:p>
        </w:tc>
        <w:tc>
          <w:tcPr>
            <w:tcW w:w="3370" w:type="dxa"/>
            <w:gridSpan w:val="4"/>
            <w:shd w:val="clear" w:color="auto" w:fill="CCE1EC"/>
          </w:tcPr>
          <w:p w14:paraId="637471F2" w14:textId="77777777" w:rsidR="00141B97" w:rsidRDefault="00141B97">
            <w:pPr>
              <w:pStyle w:val="TableParagraph"/>
              <w:rPr>
                <w:sz w:val="12"/>
              </w:rPr>
            </w:pPr>
          </w:p>
          <w:p w14:paraId="05444056" w14:textId="77777777" w:rsidR="00141B97" w:rsidRDefault="00911D63">
            <w:pPr>
              <w:pStyle w:val="TableParagraph"/>
              <w:spacing w:before="1"/>
              <w:ind w:left="11"/>
              <w:jc w:val="center"/>
              <w:rPr>
                <w:sz w:val="16"/>
              </w:rPr>
            </w:pPr>
            <w:r>
              <w:rPr>
                <w:sz w:val="16"/>
              </w:rPr>
              <w:t>1</w:t>
            </w:r>
          </w:p>
        </w:tc>
      </w:tr>
      <w:tr w:rsidR="00141B97" w14:paraId="284ABFB2" w14:textId="77777777">
        <w:trPr>
          <w:trHeight w:val="390"/>
          <w:tblCellSpacing w:w="7" w:type="dxa"/>
        </w:trPr>
        <w:tc>
          <w:tcPr>
            <w:tcW w:w="5006" w:type="dxa"/>
            <w:shd w:val="clear" w:color="auto" w:fill="CCE1EC"/>
          </w:tcPr>
          <w:p w14:paraId="0620BBEC" w14:textId="77777777" w:rsidR="00141B97" w:rsidRDefault="00911D63">
            <w:pPr>
              <w:pStyle w:val="TableParagraph"/>
              <w:spacing w:line="193" w:lineRule="exact"/>
              <w:ind w:left="14"/>
              <w:rPr>
                <w:sz w:val="16"/>
              </w:rPr>
            </w:pPr>
            <w:r>
              <w:rPr>
                <w:sz w:val="16"/>
              </w:rPr>
              <w:t>Maintain</w:t>
            </w:r>
            <w:r>
              <w:rPr>
                <w:spacing w:val="-3"/>
                <w:sz w:val="16"/>
              </w:rPr>
              <w:t xml:space="preserve"> </w:t>
            </w:r>
            <w:r>
              <w:rPr>
                <w:sz w:val="16"/>
              </w:rPr>
              <w:t>or</w:t>
            </w:r>
            <w:r>
              <w:rPr>
                <w:spacing w:val="-5"/>
                <w:sz w:val="16"/>
              </w:rPr>
              <w:t xml:space="preserve"> </w:t>
            </w:r>
            <w:r>
              <w:rPr>
                <w:sz w:val="16"/>
              </w:rPr>
              <w:t>improve</w:t>
            </w:r>
            <w:r>
              <w:rPr>
                <w:spacing w:val="-3"/>
                <w:sz w:val="16"/>
              </w:rPr>
              <w:t xml:space="preserve"> </w:t>
            </w:r>
            <w:r>
              <w:rPr>
                <w:sz w:val="16"/>
              </w:rPr>
              <w:t>system</w:t>
            </w:r>
            <w:r>
              <w:rPr>
                <w:spacing w:val="-3"/>
                <w:sz w:val="16"/>
              </w:rPr>
              <w:t xml:space="preserve"> </w:t>
            </w:r>
            <w:r>
              <w:rPr>
                <w:sz w:val="16"/>
              </w:rPr>
              <w:t>reliability</w:t>
            </w:r>
            <w:r>
              <w:rPr>
                <w:spacing w:val="-4"/>
                <w:sz w:val="16"/>
              </w:rPr>
              <w:t xml:space="preserve"> </w:t>
            </w:r>
            <w:r>
              <w:rPr>
                <w:sz w:val="16"/>
              </w:rPr>
              <w:t>–</w:t>
            </w:r>
            <w:r>
              <w:rPr>
                <w:spacing w:val="-4"/>
                <w:sz w:val="16"/>
              </w:rPr>
              <w:t xml:space="preserve"> </w:t>
            </w:r>
            <w:r>
              <w:rPr>
                <w:sz w:val="16"/>
              </w:rPr>
              <w:t>Target</w:t>
            </w:r>
            <w:r>
              <w:rPr>
                <w:spacing w:val="-3"/>
                <w:sz w:val="16"/>
              </w:rPr>
              <w:t xml:space="preserve"> </w:t>
            </w:r>
            <w:r>
              <w:rPr>
                <w:sz w:val="16"/>
              </w:rPr>
              <w:t>=</w:t>
            </w:r>
            <w:r>
              <w:rPr>
                <w:spacing w:val="-4"/>
                <w:sz w:val="16"/>
              </w:rPr>
              <w:t xml:space="preserve"> </w:t>
            </w:r>
            <w:r>
              <w:rPr>
                <w:sz w:val="16"/>
              </w:rPr>
              <w:t>year</w:t>
            </w:r>
            <w:r>
              <w:rPr>
                <w:spacing w:val="-3"/>
                <w:sz w:val="16"/>
              </w:rPr>
              <w:t xml:space="preserve"> </w:t>
            </w:r>
            <w:r>
              <w:rPr>
                <w:sz w:val="16"/>
              </w:rPr>
              <w:t>on</w:t>
            </w:r>
            <w:r>
              <w:rPr>
                <w:spacing w:val="-5"/>
                <w:sz w:val="16"/>
              </w:rPr>
              <w:t xml:space="preserve"> </w:t>
            </w:r>
            <w:r>
              <w:rPr>
                <w:sz w:val="16"/>
              </w:rPr>
              <w:t>year</w:t>
            </w:r>
            <w:r>
              <w:rPr>
                <w:spacing w:val="-3"/>
                <w:sz w:val="16"/>
              </w:rPr>
              <w:t xml:space="preserve"> </w:t>
            </w:r>
            <w:r>
              <w:rPr>
                <w:spacing w:val="-2"/>
                <w:sz w:val="16"/>
              </w:rPr>
              <w:t>unplanned</w:t>
            </w:r>
          </w:p>
          <w:p w14:paraId="30D613C5" w14:textId="77777777" w:rsidR="00141B97" w:rsidRDefault="00911D63">
            <w:pPr>
              <w:pStyle w:val="TableParagraph"/>
              <w:spacing w:line="177" w:lineRule="exact"/>
              <w:ind w:left="14"/>
              <w:rPr>
                <w:sz w:val="16"/>
              </w:rPr>
            </w:pPr>
            <w:r>
              <w:rPr>
                <w:sz w:val="16"/>
              </w:rPr>
              <w:t>outages</w:t>
            </w:r>
            <w:r>
              <w:rPr>
                <w:spacing w:val="-2"/>
                <w:sz w:val="16"/>
              </w:rPr>
              <w:t xml:space="preserve"> </w:t>
            </w:r>
            <w:r>
              <w:rPr>
                <w:sz w:val="16"/>
              </w:rPr>
              <w:t>time</w:t>
            </w:r>
            <w:r>
              <w:rPr>
                <w:spacing w:val="-2"/>
                <w:sz w:val="16"/>
              </w:rPr>
              <w:t xml:space="preserve"> </w:t>
            </w:r>
            <w:r>
              <w:rPr>
                <w:sz w:val="16"/>
              </w:rPr>
              <w:t>=/&lt;</w:t>
            </w:r>
            <w:r>
              <w:rPr>
                <w:spacing w:val="-4"/>
                <w:sz w:val="16"/>
              </w:rPr>
              <w:t xml:space="preserve"> </w:t>
            </w:r>
            <w:r>
              <w:rPr>
                <w:sz w:val="16"/>
              </w:rPr>
              <w:t>prior</w:t>
            </w:r>
            <w:r>
              <w:rPr>
                <w:spacing w:val="-4"/>
                <w:sz w:val="16"/>
              </w:rPr>
              <w:t xml:space="preserve"> </w:t>
            </w:r>
            <w:r>
              <w:rPr>
                <w:sz w:val="16"/>
              </w:rPr>
              <w:t>year</w:t>
            </w:r>
            <w:r>
              <w:rPr>
                <w:spacing w:val="-4"/>
                <w:sz w:val="16"/>
              </w:rPr>
              <w:t xml:space="preserve"> </w:t>
            </w:r>
            <w:r>
              <w:rPr>
                <w:spacing w:val="-2"/>
                <w:sz w:val="16"/>
              </w:rPr>
              <w:t>performance</w:t>
            </w:r>
          </w:p>
        </w:tc>
        <w:tc>
          <w:tcPr>
            <w:tcW w:w="758" w:type="dxa"/>
            <w:shd w:val="clear" w:color="auto" w:fill="CCE1EC"/>
          </w:tcPr>
          <w:p w14:paraId="1FC1278A" w14:textId="77777777" w:rsidR="00141B97" w:rsidRDefault="00911D63">
            <w:pPr>
              <w:pStyle w:val="TableParagraph"/>
              <w:spacing w:line="193" w:lineRule="exact"/>
              <w:ind w:left="21"/>
              <w:rPr>
                <w:sz w:val="16"/>
              </w:rPr>
            </w:pPr>
            <w:r>
              <w:rPr>
                <w:spacing w:val="-2"/>
                <w:sz w:val="16"/>
              </w:rPr>
              <w:t>2022/23</w:t>
            </w:r>
          </w:p>
          <w:p w14:paraId="50168ABC" w14:textId="77777777" w:rsidR="00141B97" w:rsidRDefault="00911D63">
            <w:pPr>
              <w:pStyle w:val="TableParagraph"/>
              <w:spacing w:line="177" w:lineRule="exact"/>
              <w:ind w:left="21"/>
              <w:rPr>
                <w:sz w:val="16"/>
              </w:rPr>
            </w:pPr>
            <w:r>
              <w:rPr>
                <w:spacing w:val="-2"/>
                <w:sz w:val="16"/>
              </w:rPr>
              <w:t>actual</w:t>
            </w:r>
          </w:p>
        </w:tc>
        <w:tc>
          <w:tcPr>
            <w:tcW w:w="945" w:type="dxa"/>
            <w:shd w:val="clear" w:color="auto" w:fill="CCE1EC"/>
          </w:tcPr>
          <w:p w14:paraId="0BD53195" w14:textId="77777777" w:rsidR="00141B97" w:rsidRDefault="00911D63">
            <w:pPr>
              <w:pStyle w:val="TableParagraph"/>
              <w:spacing w:before="97"/>
              <w:ind w:left="22"/>
              <w:rPr>
                <w:sz w:val="16"/>
              </w:rPr>
            </w:pPr>
            <w:r>
              <w:rPr>
                <w:spacing w:val="-2"/>
                <w:sz w:val="16"/>
              </w:rPr>
              <w:t>=/&gt;22/23</w:t>
            </w:r>
          </w:p>
        </w:tc>
        <w:tc>
          <w:tcPr>
            <w:tcW w:w="806" w:type="dxa"/>
            <w:shd w:val="clear" w:color="auto" w:fill="CCE1EC"/>
          </w:tcPr>
          <w:p w14:paraId="0CDBC818" w14:textId="77777777" w:rsidR="00141B97" w:rsidRDefault="00911D63">
            <w:pPr>
              <w:pStyle w:val="TableParagraph"/>
              <w:spacing w:before="97"/>
              <w:ind w:left="22"/>
              <w:rPr>
                <w:sz w:val="16"/>
              </w:rPr>
            </w:pPr>
            <w:r>
              <w:rPr>
                <w:spacing w:val="-2"/>
                <w:sz w:val="16"/>
              </w:rPr>
              <w:t>=/&gt;23/24</w:t>
            </w:r>
          </w:p>
        </w:tc>
        <w:tc>
          <w:tcPr>
            <w:tcW w:w="800" w:type="dxa"/>
            <w:shd w:val="clear" w:color="auto" w:fill="CCE1EC"/>
          </w:tcPr>
          <w:p w14:paraId="66980593" w14:textId="77777777" w:rsidR="00141B97" w:rsidRDefault="00911D63">
            <w:pPr>
              <w:pStyle w:val="TableParagraph"/>
              <w:spacing w:before="97"/>
              <w:ind w:left="23"/>
              <w:rPr>
                <w:sz w:val="16"/>
              </w:rPr>
            </w:pPr>
            <w:r>
              <w:rPr>
                <w:spacing w:val="-2"/>
                <w:sz w:val="16"/>
              </w:rPr>
              <w:t>=/&gt;24/25</w:t>
            </w:r>
          </w:p>
        </w:tc>
        <w:tc>
          <w:tcPr>
            <w:tcW w:w="806" w:type="dxa"/>
            <w:shd w:val="clear" w:color="auto" w:fill="CCE1EC"/>
          </w:tcPr>
          <w:p w14:paraId="711AD5D4" w14:textId="77777777" w:rsidR="00141B97" w:rsidRDefault="00911D63">
            <w:pPr>
              <w:pStyle w:val="TableParagraph"/>
              <w:spacing w:before="97"/>
              <w:ind w:left="22"/>
              <w:rPr>
                <w:sz w:val="16"/>
              </w:rPr>
            </w:pPr>
            <w:r>
              <w:rPr>
                <w:spacing w:val="-2"/>
                <w:sz w:val="16"/>
              </w:rPr>
              <w:t>=/&gt;25/26</w:t>
            </w:r>
          </w:p>
        </w:tc>
        <w:tc>
          <w:tcPr>
            <w:tcW w:w="958" w:type="dxa"/>
            <w:shd w:val="clear" w:color="auto" w:fill="CCE1EC"/>
          </w:tcPr>
          <w:p w14:paraId="2D8A28C4" w14:textId="77777777" w:rsidR="00141B97" w:rsidRDefault="00911D63">
            <w:pPr>
              <w:pStyle w:val="TableParagraph"/>
              <w:spacing w:before="97"/>
              <w:ind w:left="22"/>
              <w:rPr>
                <w:sz w:val="16"/>
              </w:rPr>
            </w:pPr>
            <w:r>
              <w:rPr>
                <w:spacing w:val="-2"/>
                <w:sz w:val="16"/>
              </w:rPr>
              <w:t>=/&gt;26/27</w:t>
            </w:r>
          </w:p>
        </w:tc>
      </w:tr>
      <w:tr w:rsidR="00141B97" w14:paraId="264CCB7B" w14:textId="77777777">
        <w:trPr>
          <w:trHeight w:val="330"/>
          <w:tblCellSpacing w:w="7" w:type="dxa"/>
        </w:trPr>
        <w:tc>
          <w:tcPr>
            <w:tcW w:w="10079" w:type="dxa"/>
            <w:gridSpan w:val="7"/>
            <w:shd w:val="clear" w:color="auto" w:fill="BEBEBE"/>
          </w:tcPr>
          <w:p w14:paraId="56A8D6FF" w14:textId="77777777" w:rsidR="00141B97" w:rsidRDefault="00911D63">
            <w:pPr>
              <w:pStyle w:val="TableParagraph"/>
              <w:spacing w:before="65"/>
              <w:ind w:left="21"/>
              <w:rPr>
                <w:sz w:val="16"/>
              </w:rPr>
            </w:pPr>
            <w:r>
              <w:rPr>
                <w:sz w:val="16"/>
              </w:rPr>
              <w:t>Outcome</w:t>
            </w:r>
            <w:r>
              <w:rPr>
                <w:spacing w:val="-6"/>
                <w:sz w:val="16"/>
              </w:rPr>
              <w:t xml:space="preserve"> </w:t>
            </w:r>
            <w:r>
              <w:rPr>
                <w:sz w:val="16"/>
              </w:rPr>
              <w:t>3:</w:t>
            </w:r>
            <w:r>
              <w:rPr>
                <w:spacing w:val="-3"/>
                <w:sz w:val="16"/>
              </w:rPr>
              <w:t xml:space="preserve"> </w:t>
            </w:r>
            <w:r>
              <w:rPr>
                <w:sz w:val="16"/>
              </w:rPr>
              <w:t>Provide</w:t>
            </w:r>
            <w:r>
              <w:rPr>
                <w:spacing w:val="-4"/>
                <w:sz w:val="16"/>
              </w:rPr>
              <w:t xml:space="preserve"> </w:t>
            </w:r>
            <w:r>
              <w:rPr>
                <w:sz w:val="16"/>
              </w:rPr>
              <w:t>customer</w:t>
            </w:r>
            <w:r>
              <w:rPr>
                <w:spacing w:val="-4"/>
                <w:sz w:val="16"/>
              </w:rPr>
              <w:t xml:space="preserve"> </w:t>
            </w:r>
            <w:r>
              <w:rPr>
                <w:sz w:val="16"/>
              </w:rPr>
              <w:t>service</w:t>
            </w:r>
            <w:r>
              <w:rPr>
                <w:spacing w:val="-6"/>
                <w:sz w:val="16"/>
              </w:rPr>
              <w:t xml:space="preserve"> </w:t>
            </w:r>
            <w:r>
              <w:rPr>
                <w:sz w:val="16"/>
              </w:rPr>
              <w:t>channels</w:t>
            </w:r>
            <w:r>
              <w:rPr>
                <w:spacing w:val="-3"/>
                <w:sz w:val="16"/>
              </w:rPr>
              <w:t xml:space="preserve"> </w:t>
            </w:r>
            <w:r>
              <w:rPr>
                <w:sz w:val="16"/>
              </w:rPr>
              <w:t>that</w:t>
            </w:r>
            <w:r>
              <w:rPr>
                <w:spacing w:val="-3"/>
                <w:sz w:val="16"/>
              </w:rPr>
              <w:t xml:space="preserve"> </w:t>
            </w:r>
            <w:r>
              <w:rPr>
                <w:sz w:val="16"/>
              </w:rPr>
              <w:t>are</w:t>
            </w:r>
            <w:r>
              <w:rPr>
                <w:spacing w:val="-4"/>
                <w:sz w:val="16"/>
              </w:rPr>
              <w:t xml:space="preserve"> </w:t>
            </w:r>
            <w:r>
              <w:rPr>
                <w:sz w:val="16"/>
              </w:rPr>
              <w:t>responsive</w:t>
            </w:r>
            <w:r>
              <w:rPr>
                <w:spacing w:val="-4"/>
                <w:sz w:val="16"/>
              </w:rPr>
              <w:t xml:space="preserve"> </w:t>
            </w:r>
            <w:r>
              <w:rPr>
                <w:sz w:val="16"/>
              </w:rPr>
              <w:t>to</w:t>
            </w:r>
            <w:r>
              <w:rPr>
                <w:spacing w:val="-3"/>
                <w:sz w:val="16"/>
              </w:rPr>
              <w:t xml:space="preserve"> </w:t>
            </w:r>
            <w:r>
              <w:rPr>
                <w:sz w:val="16"/>
              </w:rPr>
              <w:t>resolve</w:t>
            </w:r>
            <w:r>
              <w:rPr>
                <w:spacing w:val="-4"/>
                <w:sz w:val="16"/>
              </w:rPr>
              <w:t xml:space="preserve"> </w:t>
            </w:r>
            <w:r>
              <w:rPr>
                <w:sz w:val="16"/>
              </w:rPr>
              <w:t>requests</w:t>
            </w:r>
            <w:r>
              <w:rPr>
                <w:spacing w:val="-6"/>
                <w:sz w:val="16"/>
              </w:rPr>
              <w:t xml:space="preserve"> </w:t>
            </w:r>
            <w:r>
              <w:rPr>
                <w:sz w:val="16"/>
              </w:rPr>
              <w:t>and</w:t>
            </w:r>
            <w:r>
              <w:rPr>
                <w:spacing w:val="-2"/>
                <w:sz w:val="16"/>
              </w:rPr>
              <w:t xml:space="preserve"> enquiries</w:t>
            </w:r>
          </w:p>
        </w:tc>
      </w:tr>
      <w:tr w:rsidR="00141B97" w14:paraId="41B26362" w14:textId="77777777">
        <w:trPr>
          <w:trHeight w:val="390"/>
          <w:tblCellSpacing w:w="7" w:type="dxa"/>
        </w:trPr>
        <w:tc>
          <w:tcPr>
            <w:tcW w:w="5006" w:type="dxa"/>
            <w:shd w:val="clear" w:color="auto" w:fill="CCE1EC"/>
          </w:tcPr>
          <w:p w14:paraId="6B26F52A" w14:textId="77777777" w:rsidR="00141B97" w:rsidRDefault="00911D63">
            <w:pPr>
              <w:pStyle w:val="TableParagraph"/>
              <w:spacing w:line="194" w:lineRule="exact"/>
              <w:ind w:left="14"/>
              <w:rPr>
                <w:sz w:val="16"/>
              </w:rPr>
            </w:pPr>
            <w:r>
              <w:rPr>
                <w:sz w:val="16"/>
              </w:rPr>
              <w:t>Resolve</w:t>
            </w:r>
            <w:r>
              <w:rPr>
                <w:spacing w:val="-9"/>
                <w:sz w:val="16"/>
              </w:rPr>
              <w:t xml:space="preserve"> </w:t>
            </w:r>
            <w:r>
              <w:rPr>
                <w:sz w:val="16"/>
              </w:rPr>
              <w:t>customer</w:t>
            </w:r>
            <w:r>
              <w:rPr>
                <w:spacing w:val="-5"/>
                <w:sz w:val="16"/>
              </w:rPr>
              <w:t xml:space="preserve"> </w:t>
            </w:r>
            <w:r>
              <w:rPr>
                <w:sz w:val="16"/>
              </w:rPr>
              <w:t>requests</w:t>
            </w:r>
            <w:r>
              <w:rPr>
                <w:spacing w:val="-3"/>
                <w:sz w:val="16"/>
              </w:rPr>
              <w:t xml:space="preserve"> </w:t>
            </w:r>
            <w:r>
              <w:rPr>
                <w:sz w:val="16"/>
              </w:rPr>
              <w:t>/</w:t>
            </w:r>
            <w:r>
              <w:rPr>
                <w:spacing w:val="-5"/>
                <w:sz w:val="16"/>
              </w:rPr>
              <w:t xml:space="preserve"> </w:t>
            </w:r>
            <w:r>
              <w:rPr>
                <w:sz w:val="16"/>
              </w:rPr>
              <w:t>enquiries</w:t>
            </w:r>
            <w:r>
              <w:rPr>
                <w:spacing w:val="-4"/>
                <w:sz w:val="16"/>
              </w:rPr>
              <w:t xml:space="preserve"> </w:t>
            </w:r>
            <w:r>
              <w:rPr>
                <w:sz w:val="16"/>
              </w:rPr>
              <w:t>within</w:t>
            </w:r>
            <w:r>
              <w:rPr>
                <w:spacing w:val="-4"/>
                <w:sz w:val="16"/>
              </w:rPr>
              <w:t xml:space="preserve"> </w:t>
            </w:r>
            <w:r>
              <w:rPr>
                <w:sz w:val="16"/>
              </w:rPr>
              <w:t>the</w:t>
            </w:r>
            <w:r>
              <w:rPr>
                <w:spacing w:val="-6"/>
                <w:sz w:val="16"/>
              </w:rPr>
              <w:t xml:space="preserve"> </w:t>
            </w:r>
            <w:r>
              <w:rPr>
                <w:sz w:val="16"/>
              </w:rPr>
              <w:t>defined</w:t>
            </w:r>
            <w:r>
              <w:rPr>
                <w:spacing w:val="-4"/>
                <w:sz w:val="16"/>
              </w:rPr>
              <w:t xml:space="preserve"> </w:t>
            </w:r>
            <w:r>
              <w:rPr>
                <w:sz w:val="16"/>
              </w:rPr>
              <w:t>response</w:t>
            </w:r>
            <w:r>
              <w:rPr>
                <w:spacing w:val="-4"/>
                <w:sz w:val="16"/>
              </w:rPr>
              <w:t xml:space="preserve"> time</w:t>
            </w:r>
          </w:p>
          <w:p w14:paraId="50983109" w14:textId="77777777" w:rsidR="00141B97" w:rsidRDefault="00911D63">
            <w:pPr>
              <w:pStyle w:val="TableParagraph"/>
              <w:spacing w:before="1" w:line="175" w:lineRule="exact"/>
              <w:ind w:left="14"/>
              <w:rPr>
                <w:sz w:val="16"/>
              </w:rPr>
            </w:pPr>
            <w:r>
              <w:rPr>
                <w:sz w:val="16"/>
              </w:rPr>
              <w:t>(Mean</w:t>
            </w:r>
            <w:r>
              <w:rPr>
                <w:spacing w:val="-2"/>
                <w:sz w:val="16"/>
              </w:rPr>
              <w:t xml:space="preserve"> </w:t>
            </w:r>
            <w:r>
              <w:rPr>
                <w:sz w:val="16"/>
              </w:rPr>
              <w:t>Time</w:t>
            </w:r>
            <w:r>
              <w:rPr>
                <w:spacing w:val="-3"/>
                <w:sz w:val="16"/>
              </w:rPr>
              <w:t xml:space="preserve"> </w:t>
            </w:r>
            <w:r>
              <w:rPr>
                <w:sz w:val="16"/>
              </w:rPr>
              <w:t>to</w:t>
            </w:r>
            <w:r>
              <w:rPr>
                <w:spacing w:val="-4"/>
                <w:sz w:val="16"/>
              </w:rPr>
              <w:t xml:space="preserve"> </w:t>
            </w:r>
            <w:r>
              <w:rPr>
                <w:sz w:val="16"/>
              </w:rPr>
              <w:t>Resolve)</w:t>
            </w:r>
            <w:r>
              <w:rPr>
                <w:spacing w:val="-5"/>
                <w:sz w:val="16"/>
              </w:rPr>
              <w:t xml:space="preserve"> </w:t>
            </w:r>
            <w:r>
              <w:rPr>
                <w:sz w:val="16"/>
              </w:rPr>
              <w:t>- %</w:t>
            </w:r>
            <w:r>
              <w:rPr>
                <w:spacing w:val="-4"/>
                <w:sz w:val="16"/>
              </w:rPr>
              <w:t xml:space="preserve"> </w:t>
            </w:r>
            <w:r>
              <w:rPr>
                <w:sz w:val="16"/>
              </w:rPr>
              <w:t>=/&gt;</w:t>
            </w:r>
            <w:r>
              <w:rPr>
                <w:spacing w:val="-3"/>
                <w:sz w:val="16"/>
              </w:rPr>
              <w:t xml:space="preserve"> </w:t>
            </w:r>
            <w:r>
              <w:rPr>
                <w:sz w:val="16"/>
              </w:rPr>
              <w:t>per</w:t>
            </w:r>
            <w:r>
              <w:rPr>
                <w:spacing w:val="-2"/>
                <w:sz w:val="16"/>
              </w:rPr>
              <w:t xml:space="preserve"> </w:t>
            </w:r>
            <w:r>
              <w:rPr>
                <w:sz w:val="16"/>
              </w:rPr>
              <w:t>year</w:t>
            </w:r>
            <w:r>
              <w:rPr>
                <w:spacing w:val="-3"/>
                <w:sz w:val="16"/>
              </w:rPr>
              <w:t xml:space="preserve"> </w:t>
            </w:r>
            <w:r>
              <w:rPr>
                <w:sz w:val="16"/>
              </w:rPr>
              <w:t>from</w:t>
            </w:r>
            <w:r>
              <w:rPr>
                <w:spacing w:val="-2"/>
                <w:sz w:val="16"/>
              </w:rPr>
              <w:t xml:space="preserve"> 2024/25</w:t>
            </w:r>
          </w:p>
        </w:tc>
        <w:tc>
          <w:tcPr>
            <w:tcW w:w="758" w:type="dxa"/>
            <w:shd w:val="clear" w:color="auto" w:fill="CCE1EC"/>
          </w:tcPr>
          <w:p w14:paraId="799E0BF2" w14:textId="77777777" w:rsidR="00141B97" w:rsidRDefault="00911D63">
            <w:pPr>
              <w:pStyle w:val="TableParagraph"/>
              <w:spacing w:before="97"/>
              <w:ind w:left="21"/>
              <w:rPr>
                <w:sz w:val="16"/>
              </w:rPr>
            </w:pPr>
            <w:r>
              <w:rPr>
                <w:spacing w:val="-5"/>
                <w:sz w:val="16"/>
              </w:rPr>
              <w:t>NA</w:t>
            </w:r>
          </w:p>
        </w:tc>
        <w:tc>
          <w:tcPr>
            <w:tcW w:w="945" w:type="dxa"/>
            <w:shd w:val="clear" w:color="auto" w:fill="CCE1EC"/>
          </w:tcPr>
          <w:p w14:paraId="3F3D2F69" w14:textId="77777777" w:rsidR="00141B97" w:rsidRDefault="00911D63">
            <w:pPr>
              <w:pStyle w:val="TableParagraph"/>
              <w:spacing w:before="97"/>
              <w:ind w:left="322" w:right="318"/>
              <w:jc w:val="center"/>
              <w:rPr>
                <w:sz w:val="16"/>
              </w:rPr>
            </w:pPr>
            <w:r>
              <w:rPr>
                <w:spacing w:val="-5"/>
                <w:sz w:val="16"/>
              </w:rPr>
              <w:t>NA</w:t>
            </w:r>
          </w:p>
        </w:tc>
        <w:tc>
          <w:tcPr>
            <w:tcW w:w="806" w:type="dxa"/>
            <w:shd w:val="clear" w:color="auto" w:fill="CCE1EC"/>
          </w:tcPr>
          <w:p w14:paraId="2950A996" w14:textId="77777777" w:rsidR="00141B97" w:rsidRDefault="00911D63">
            <w:pPr>
              <w:pStyle w:val="TableParagraph"/>
              <w:spacing w:line="194" w:lineRule="exact"/>
              <w:ind w:left="181"/>
              <w:rPr>
                <w:sz w:val="16"/>
              </w:rPr>
            </w:pPr>
            <w:r>
              <w:rPr>
                <w:spacing w:val="-2"/>
                <w:sz w:val="16"/>
              </w:rPr>
              <w:t>=&gt;60%</w:t>
            </w:r>
          </w:p>
        </w:tc>
        <w:tc>
          <w:tcPr>
            <w:tcW w:w="800" w:type="dxa"/>
            <w:shd w:val="clear" w:color="auto" w:fill="CCE1EC"/>
          </w:tcPr>
          <w:p w14:paraId="16869C30" w14:textId="77777777" w:rsidR="00141B97" w:rsidRDefault="00911D63">
            <w:pPr>
              <w:pStyle w:val="TableParagraph"/>
              <w:spacing w:line="194" w:lineRule="exact"/>
              <w:ind w:left="176"/>
              <w:rPr>
                <w:sz w:val="16"/>
              </w:rPr>
            </w:pPr>
            <w:r>
              <w:rPr>
                <w:spacing w:val="-2"/>
                <w:sz w:val="16"/>
              </w:rPr>
              <w:t>=&gt;65%</w:t>
            </w:r>
          </w:p>
        </w:tc>
        <w:tc>
          <w:tcPr>
            <w:tcW w:w="806" w:type="dxa"/>
            <w:shd w:val="clear" w:color="auto" w:fill="CCE1EC"/>
          </w:tcPr>
          <w:p w14:paraId="452295DC" w14:textId="77777777" w:rsidR="00141B97" w:rsidRDefault="00911D63">
            <w:pPr>
              <w:pStyle w:val="TableParagraph"/>
              <w:spacing w:line="194" w:lineRule="exact"/>
              <w:ind w:left="180"/>
              <w:rPr>
                <w:sz w:val="16"/>
              </w:rPr>
            </w:pPr>
            <w:r>
              <w:rPr>
                <w:spacing w:val="-2"/>
                <w:sz w:val="16"/>
              </w:rPr>
              <w:t>=&gt;70%</w:t>
            </w:r>
          </w:p>
        </w:tc>
        <w:tc>
          <w:tcPr>
            <w:tcW w:w="958" w:type="dxa"/>
            <w:shd w:val="clear" w:color="auto" w:fill="CCE1EC"/>
          </w:tcPr>
          <w:p w14:paraId="5ADBEA25" w14:textId="77777777" w:rsidR="00141B97" w:rsidRDefault="00911D63">
            <w:pPr>
              <w:pStyle w:val="TableParagraph"/>
              <w:spacing w:line="194" w:lineRule="exact"/>
              <w:ind w:left="260"/>
              <w:rPr>
                <w:sz w:val="16"/>
              </w:rPr>
            </w:pPr>
            <w:r>
              <w:rPr>
                <w:spacing w:val="-2"/>
                <w:sz w:val="16"/>
              </w:rPr>
              <w:t>=&gt;75%</w:t>
            </w:r>
          </w:p>
        </w:tc>
      </w:tr>
      <w:tr w:rsidR="00141B97" w14:paraId="15A6E687" w14:textId="77777777">
        <w:trPr>
          <w:trHeight w:val="390"/>
          <w:tblCellSpacing w:w="7" w:type="dxa"/>
        </w:trPr>
        <w:tc>
          <w:tcPr>
            <w:tcW w:w="5006" w:type="dxa"/>
            <w:shd w:val="clear" w:color="auto" w:fill="CCE1EC"/>
          </w:tcPr>
          <w:p w14:paraId="739B8D8D" w14:textId="77777777" w:rsidR="00141B97" w:rsidRDefault="00911D63">
            <w:pPr>
              <w:pStyle w:val="TableParagraph"/>
              <w:spacing w:line="194" w:lineRule="exact"/>
              <w:ind w:left="14"/>
              <w:rPr>
                <w:sz w:val="16"/>
              </w:rPr>
            </w:pPr>
            <w:r>
              <w:rPr>
                <w:sz w:val="16"/>
              </w:rPr>
              <w:t>Resolve</w:t>
            </w:r>
            <w:r>
              <w:rPr>
                <w:spacing w:val="-8"/>
                <w:sz w:val="16"/>
              </w:rPr>
              <w:t xml:space="preserve"> </w:t>
            </w:r>
            <w:r>
              <w:rPr>
                <w:sz w:val="16"/>
              </w:rPr>
              <w:t>customer</w:t>
            </w:r>
            <w:r>
              <w:rPr>
                <w:spacing w:val="-3"/>
                <w:sz w:val="16"/>
              </w:rPr>
              <w:t xml:space="preserve"> </w:t>
            </w:r>
            <w:r>
              <w:rPr>
                <w:sz w:val="16"/>
              </w:rPr>
              <w:t>requests</w:t>
            </w:r>
            <w:r>
              <w:rPr>
                <w:spacing w:val="-2"/>
                <w:sz w:val="16"/>
              </w:rPr>
              <w:t xml:space="preserve"> </w:t>
            </w:r>
            <w:r>
              <w:rPr>
                <w:sz w:val="16"/>
              </w:rPr>
              <w:t>/</w:t>
            </w:r>
            <w:r>
              <w:rPr>
                <w:spacing w:val="-4"/>
                <w:sz w:val="16"/>
              </w:rPr>
              <w:t xml:space="preserve"> </w:t>
            </w:r>
            <w:r>
              <w:rPr>
                <w:sz w:val="16"/>
              </w:rPr>
              <w:t>enquiries</w:t>
            </w:r>
            <w:r>
              <w:rPr>
                <w:spacing w:val="-2"/>
                <w:sz w:val="16"/>
              </w:rPr>
              <w:t xml:space="preserve"> </w:t>
            </w:r>
            <w:r>
              <w:rPr>
                <w:sz w:val="16"/>
              </w:rPr>
              <w:t>“First</w:t>
            </w:r>
            <w:r>
              <w:rPr>
                <w:spacing w:val="-3"/>
                <w:sz w:val="16"/>
              </w:rPr>
              <w:t xml:space="preserve"> </w:t>
            </w:r>
            <w:r>
              <w:rPr>
                <w:sz w:val="16"/>
              </w:rPr>
              <w:t>Time</w:t>
            </w:r>
            <w:r>
              <w:rPr>
                <w:spacing w:val="-6"/>
                <w:sz w:val="16"/>
              </w:rPr>
              <w:t xml:space="preserve"> </w:t>
            </w:r>
            <w:r>
              <w:rPr>
                <w:sz w:val="16"/>
              </w:rPr>
              <w:t>Right”</w:t>
            </w:r>
            <w:r>
              <w:rPr>
                <w:spacing w:val="-4"/>
                <w:sz w:val="16"/>
              </w:rPr>
              <w:t xml:space="preserve"> </w:t>
            </w:r>
            <w:r>
              <w:rPr>
                <w:sz w:val="16"/>
              </w:rPr>
              <w:t>–</w:t>
            </w:r>
            <w:r>
              <w:rPr>
                <w:spacing w:val="-4"/>
                <w:sz w:val="16"/>
              </w:rPr>
              <w:t xml:space="preserve"> </w:t>
            </w:r>
            <w:r>
              <w:rPr>
                <w:sz w:val="16"/>
              </w:rPr>
              <w:t>Target</w:t>
            </w:r>
            <w:r>
              <w:rPr>
                <w:spacing w:val="-3"/>
                <w:sz w:val="16"/>
              </w:rPr>
              <w:t xml:space="preserve"> </w:t>
            </w:r>
            <w:r>
              <w:rPr>
                <w:sz w:val="16"/>
              </w:rPr>
              <w:t>-</w:t>
            </w:r>
            <w:r>
              <w:rPr>
                <w:spacing w:val="-2"/>
                <w:sz w:val="16"/>
              </w:rPr>
              <w:t xml:space="preserve"> </w:t>
            </w:r>
            <w:r>
              <w:rPr>
                <w:sz w:val="16"/>
              </w:rPr>
              <w:t>%</w:t>
            </w:r>
            <w:r>
              <w:rPr>
                <w:spacing w:val="-4"/>
                <w:sz w:val="16"/>
              </w:rPr>
              <w:t xml:space="preserve"> </w:t>
            </w:r>
            <w:r>
              <w:rPr>
                <w:sz w:val="16"/>
              </w:rPr>
              <w:t>=/&gt;</w:t>
            </w:r>
            <w:r>
              <w:rPr>
                <w:spacing w:val="-3"/>
                <w:sz w:val="16"/>
              </w:rPr>
              <w:t xml:space="preserve"> </w:t>
            </w:r>
            <w:r>
              <w:rPr>
                <w:spacing w:val="-5"/>
                <w:sz w:val="16"/>
              </w:rPr>
              <w:t>per</w:t>
            </w:r>
          </w:p>
          <w:p w14:paraId="31924A18" w14:textId="77777777" w:rsidR="00141B97" w:rsidRDefault="00911D63">
            <w:pPr>
              <w:pStyle w:val="TableParagraph"/>
              <w:spacing w:before="1" w:line="175" w:lineRule="exact"/>
              <w:ind w:left="14"/>
              <w:rPr>
                <w:sz w:val="16"/>
              </w:rPr>
            </w:pPr>
            <w:r>
              <w:rPr>
                <w:sz w:val="16"/>
              </w:rPr>
              <w:t>year</w:t>
            </w:r>
            <w:r>
              <w:rPr>
                <w:spacing w:val="-5"/>
                <w:sz w:val="16"/>
              </w:rPr>
              <w:t xml:space="preserve"> </w:t>
            </w:r>
            <w:r>
              <w:rPr>
                <w:sz w:val="16"/>
              </w:rPr>
              <w:t>from</w:t>
            </w:r>
            <w:r>
              <w:rPr>
                <w:spacing w:val="-2"/>
                <w:sz w:val="16"/>
              </w:rPr>
              <w:t xml:space="preserve"> 2024/25</w:t>
            </w:r>
          </w:p>
        </w:tc>
        <w:tc>
          <w:tcPr>
            <w:tcW w:w="758" w:type="dxa"/>
            <w:shd w:val="clear" w:color="auto" w:fill="CCE1EC"/>
          </w:tcPr>
          <w:p w14:paraId="54313589" w14:textId="77777777" w:rsidR="00141B97" w:rsidRDefault="00911D63">
            <w:pPr>
              <w:pStyle w:val="TableParagraph"/>
              <w:spacing w:before="97"/>
              <w:ind w:left="21"/>
              <w:rPr>
                <w:sz w:val="16"/>
              </w:rPr>
            </w:pPr>
            <w:r>
              <w:rPr>
                <w:spacing w:val="-5"/>
                <w:sz w:val="16"/>
              </w:rPr>
              <w:t>NA</w:t>
            </w:r>
          </w:p>
        </w:tc>
        <w:tc>
          <w:tcPr>
            <w:tcW w:w="945" w:type="dxa"/>
            <w:shd w:val="clear" w:color="auto" w:fill="CCE1EC"/>
          </w:tcPr>
          <w:p w14:paraId="7EDFB929" w14:textId="77777777" w:rsidR="00141B97" w:rsidRDefault="00911D63">
            <w:pPr>
              <w:pStyle w:val="TableParagraph"/>
              <w:spacing w:before="97"/>
              <w:ind w:left="322" w:right="318"/>
              <w:jc w:val="center"/>
              <w:rPr>
                <w:sz w:val="16"/>
              </w:rPr>
            </w:pPr>
            <w:r>
              <w:rPr>
                <w:spacing w:val="-5"/>
                <w:sz w:val="16"/>
              </w:rPr>
              <w:t>NA</w:t>
            </w:r>
          </w:p>
        </w:tc>
        <w:tc>
          <w:tcPr>
            <w:tcW w:w="3370" w:type="dxa"/>
            <w:gridSpan w:val="4"/>
            <w:shd w:val="clear" w:color="auto" w:fill="CCE1EC"/>
          </w:tcPr>
          <w:p w14:paraId="67CF456A" w14:textId="77777777" w:rsidR="00141B97" w:rsidRDefault="00911D63">
            <w:pPr>
              <w:pStyle w:val="TableParagraph"/>
              <w:spacing w:before="97"/>
              <w:ind w:left="1457" w:right="1447"/>
              <w:jc w:val="center"/>
              <w:rPr>
                <w:sz w:val="16"/>
              </w:rPr>
            </w:pPr>
            <w:r>
              <w:rPr>
                <w:spacing w:val="-2"/>
                <w:sz w:val="16"/>
              </w:rPr>
              <w:t>=&gt;75%</w:t>
            </w:r>
          </w:p>
        </w:tc>
      </w:tr>
      <w:tr w:rsidR="00141B97" w14:paraId="018CD0E0" w14:textId="77777777">
        <w:trPr>
          <w:trHeight w:val="389"/>
          <w:tblCellSpacing w:w="7" w:type="dxa"/>
        </w:trPr>
        <w:tc>
          <w:tcPr>
            <w:tcW w:w="5006" w:type="dxa"/>
            <w:tcBorders>
              <w:bottom w:val="nil"/>
            </w:tcBorders>
            <w:shd w:val="clear" w:color="auto" w:fill="CCE1EC"/>
          </w:tcPr>
          <w:p w14:paraId="3EE6758D" w14:textId="77777777" w:rsidR="00141B97" w:rsidRDefault="00911D63">
            <w:pPr>
              <w:pStyle w:val="TableParagraph"/>
              <w:spacing w:line="194" w:lineRule="exact"/>
              <w:ind w:left="14"/>
              <w:rPr>
                <w:sz w:val="16"/>
              </w:rPr>
            </w:pPr>
            <w:r>
              <w:rPr>
                <w:sz w:val="16"/>
              </w:rPr>
              <w:t>Customers</w:t>
            </w:r>
            <w:r>
              <w:rPr>
                <w:spacing w:val="-3"/>
                <w:sz w:val="16"/>
              </w:rPr>
              <w:t xml:space="preserve"> </w:t>
            </w:r>
            <w:r>
              <w:rPr>
                <w:sz w:val="16"/>
              </w:rPr>
              <w:t>registered</w:t>
            </w:r>
            <w:r>
              <w:rPr>
                <w:spacing w:val="-3"/>
                <w:sz w:val="16"/>
              </w:rPr>
              <w:t xml:space="preserve"> </w:t>
            </w:r>
            <w:r>
              <w:rPr>
                <w:sz w:val="16"/>
              </w:rPr>
              <w:t>for</w:t>
            </w:r>
            <w:r>
              <w:rPr>
                <w:spacing w:val="-4"/>
                <w:sz w:val="16"/>
              </w:rPr>
              <w:t xml:space="preserve"> </w:t>
            </w:r>
            <w:r>
              <w:rPr>
                <w:sz w:val="16"/>
              </w:rPr>
              <w:t>self-service</w:t>
            </w:r>
            <w:r>
              <w:rPr>
                <w:spacing w:val="-6"/>
                <w:sz w:val="16"/>
              </w:rPr>
              <w:t xml:space="preserve"> </w:t>
            </w:r>
            <w:r>
              <w:rPr>
                <w:sz w:val="16"/>
              </w:rPr>
              <w:t>portal</w:t>
            </w:r>
            <w:r>
              <w:rPr>
                <w:spacing w:val="-3"/>
                <w:sz w:val="16"/>
              </w:rPr>
              <w:t xml:space="preserve"> </w:t>
            </w:r>
            <w:r>
              <w:rPr>
                <w:sz w:val="16"/>
              </w:rPr>
              <w:t>–</w:t>
            </w:r>
            <w:r>
              <w:rPr>
                <w:spacing w:val="-5"/>
                <w:sz w:val="16"/>
              </w:rPr>
              <w:t xml:space="preserve"> </w:t>
            </w:r>
            <w:r>
              <w:rPr>
                <w:sz w:val="16"/>
              </w:rPr>
              <w:t>Target</w:t>
            </w:r>
            <w:r>
              <w:rPr>
                <w:spacing w:val="-4"/>
                <w:sz w:val="16"/>
              </w:rPr>
              <w:t xml:space="preserve"> </w:t>
            </w:r>
            <w:r>
              <w:rPr>
                <w:sz w:val="16"/>
              </w:rPr>
              <w:t>-</w:t>
            </w:r>
            <w:r>
              <w:rPr>
                <w:spacing w:val="-2"/>
                <w:sz w:val="16"/>
              </w:rPr>
              <w:t xml:space="preserve"> </w:t>
            </w:r>
            <w:r>
              <w:rPr>
                <w:sz w:val="16"/>
              </w:rPr>
              <w:t>10%</w:t>
            </w:r>
            <w:r>
              <w:rPr>
                <w:spacing w:val="-5"/>
                <w:sz w:val="16"/>
              </w:rPr>
              <w:t xml:space="preserve"> </w:t>
            </w:r>
            <w:r>
              <w:rPr>
                <w:sz w:val="16"/>
              </w:rPr>
              <w:t>in</w:t>
            </w:r>
            <w:r>
              <w:rPr>
                <w:spacing w:val="-3"/>
                <w:sz w:val="16"/>
              </w:rPr>
              <w:t xml:space="preserve"> </w:t>
            </w:r>
            <w:r>
              <w:rPr>
                <w:sz w:val="16"/>
              </w:rPr>
              <w:t>first</w:t>
            </w:r>
            <w:r>
              <w:rPr>
                <w:spacing w:val="-6"/>
                <w:sz w:val="16"/>
              </w:rPr>
              <w:t xml:space="preserve"> </w:t>
            </w:r>
            <w:r>
              <w:rPr>
                <w:sz w:val="16"/>
              </w:rPr>
              <w:t>year</w:t>
            </w:r>
            <w:r>
              <w:rPr>
                <w:spacing w:val="-3"/>
                <w:sz w:val="16"/>
              </w:rPr>
              <w:t xml:space="preserve"> </w:t>
            </w:r>
            <w:r>
              <w:rPr>
                <w:spacing w:val="-5"/>
                <w:sz w:val="16"/>
              </w:rPr>
              <w:t>and</w:t>
            </w:r>
          </w:p>
          <w:p w14:paraId="2A387804" w14:textId="77777777" w:rsidR="00141B97" w:rsidRDefault="00911D63">
            <w:pPr>
              <w:pStyle w:val="TableParagraph"/>
              <w:spacing w:before="1" w:line="174" w:lineRule="exact"/>
              <w:ind w:left="14"/>
              <w:rPr>
                <w:sz w:val="16"/>
              </w:rPr>
            </w:pPr>
            <w:r>
              <w:rPr>
                <w:sz w:val="16"/>
              </w:rPr>
              <w:t>5%</w:t>
            </w:r>
            <w:r>
              <w:rPr>
                <w:spacing w:val="-4"/>
                <w:sz w:val="16"/>
              </w:rPr>
              <w:t xml:space="preserve"> </w:t>
            </w:r>
            <w:r>
              <w:rPr>
                <w:sz w:val="16"/>
              </w:rPr>
              <w:t>increase</w:t>
            </w:r>
            <w:r>
              <w:rPr>
                <w:spacing w:val="-5"/>
                <w:sz w:val="16"/>
              </w:rPr>
              <w:t xml:space="preserve"> </w:t>
            </w:r>
            <w:r>
              <w:rPr>
                <w:sz w:val="16"/>
              </w:rPr>
              <w:t>per</w:t>
            </w:r>
            <w:r>
              <w:rPr>
                <w:spacing w:val="-3"/>
                <w:sz w:val="16"/>
              </w:rPr>
              <w:t xml:space="preserve"> </w:t>
            </w:r>
            <w:r>
              <w:rPr>
                <w:sz w:val="16"/>
              </w:rPr>
              <w:t>year</w:t>
            </w:r>
            <w:r>
              <w:rPr>
                <w:spacing w:val="-4"/>
                <w:sz w:val="16"/>
              </w:rPr>
              <w:t xml:space="preserve"> </w:t>
            </w:r>
            <w:r>
              <w:rPr>
                <w:sz w:val="16"/>
              </w:rPr>
              <w:t>for</w:t>
            </w:r>
            <w:r>
              <w:rPr>
                <w:spacing w:val="-3"/>
                <w:sz w:val="16"/>
              </w:rPr>
              <w:t xml:space="preserve"> </w:t>
            </w:r>
            <w:r>
              <w:rPr>
                <w:sz w:val="16"/>
              </w:rPr>
              <w:t>subsequent</w:t>
            </w:r>
            <w:r>
              <w:rPr>
                <w:spacing w:val="-4"/>
                <w:sz w:val="16"/>
              </w:rPr>
              <w:t xml:space="preserve"> years</w:t>
            </w:r>
          </w:p>
        </w:tc>
        <w:tc>
          <w:tcPr>
            <w:tcW w:w="758" w:type="dxa"/>
            <w:tcBorders>
              <w:bottom w:val="nil"/>
            </w:tcBorders>
            <w:shd w:val="clear" w:color="auto" w:fill="CCE1EC"/>
          </w:tcPr>
          <w:p w14:paraId="53610A78" w14:textId="77777777" w:rsidR="00141B97" w:rsidRDefault="00911D63">
            <w:pPr>
              <w:pStyle w:val="TableParagraph"/>
              <w:spacing w:before="97"/>
              <w:ind w:left="21"/>
              <w:rPr>
                <w:sz w:val="16"/>
              </w:rPr>
            </w:pPr>
            <w:r>
              <w:rPr>
                <w:spacing w:val="-5"/>
                <w:sz w:val="16"/>
              </w:rPr>
              <w:t>NA</w:t>
            </w:r>
          </w:p>
        </w:tc>
        <w:tc>
          <w:tcPr>
            <w:tcW w:w="945" w:type="dxa"/>
            <w:tcBorders>
              <w:bottom w:val="nil"/>
            </w:tcBorders>
            <w:shd w:val="clear" w:color="auto" w:fill="CCE1EC"/>
          </w:tcPr>
          <w:p w14:paraId="4CDB6F57" w14:textId="77777777" w:rsidR="00141B97" w:rsidRDefault="00911D63">
            <w:pPr>
              <w:pStyle w:val="TableParagraph"/>
              <w:spacing w:line="194" w:lineRule="exact"/>
              <w:ind w:left="322" w:right="322"/>
              <w:jc w:val="center"/>
              <w:rPr>
                <w:sz w:val="16"/>
              </w:rPr>
            </w:pPr>
            <w:r>
              <w:rPr>
                <w:spacing w:val="-5"/>
                <w:sz w:val="16"/>
              </w:rPr>
              <w:t>10%</w:t>
            </w:r>
          </w:p>
        </w:tc>
        <w:tc>
          <w:tcPr>
            <w:tcW w:w="806" w:type="dxa"/>
            <w:tcBorders>
              <w:bottom w:val="nil"/>
            </w:tcBorders>
            <w:shd w:val="clear" w:color="auto" w:fill="CCE1EC"/>
          </w:tcPr>
          <w:p w14:paraId="194B3CF7" w14:textId="77777777" w:rsidR="00141B97" w:rsidRDefault="00911D63">
            <w:pPr>
              <w:pStyle w:val="TableParagraph"/>
              <w:spacing w:before="97"/>
              <w:ind w:left="260"/>
              <w:rPr>
                <w:sz w:val="16"/>
              </w:rPr>
            </w:pPr>
            <w:r>
              <w:rPr>
                <w:spacing w:val="-5"/>
                <w:sz w:val="16"/>
              </w:rPr>
              <w:t>15%</w:t>
            </w:r>
          </w:p>
        </w:tc>
        <w:tc>
          <w:tcPr>
            <w:tcW w:w="800" w:type="dxa"/>
            <w:tcBorders>
              <w:bottom w:val="nil"/>
            </w:tcBorders>
            <w:shd w:val="clear" w:color="auto" w:fill="CCE1EC"/>
          </w:tcPr>
          <w:p w14:paraId="766E99D5" w14:textId="77777777" w:rsidR="00141B97" w:rsidRDefault="00911D63">
            <w:pPr>
              <w:pStyle w:val="TableParagraph"/>
              <w:spacing w:before="97"/>
              <w:ind w:left="255"/>
              <w:rPr>
                <w:sz w:val="16"/>
              </w:rPr>
            </w:pPr>
            <w:r>
              <w:rPr>
                <w:spacing w:val="-5"/>
                <w:sz w:val="16"/>
              </w:rPr>
              <w:t>20%</w:t>
            </w:r>
          </w:p>
        </w:tc>
        <w:tc>
          <w:tcPr>
            <w:tcW w:w="806" w:type="dxa"/>
            <w:tcBorders>
              <w:bottom w:val="nil"/>
            </w:tcBorders>
            <w:shd w:val="clear" w:color="auto" w:fill="CCE1EC"/>
          </w:tcPr>
          <w:p w14:paraId="0C1072DF" w14:textId="77777777" w:rsidR="00141B97" w:rsidRDefault="00911D63">
            <w:pPr>
              <w:pStyle w:val="TableParagraph"/>
              <w:spacing w:before="97"/>
              <w:ind w:left="259"/>
              <w:rPr>
                <w:sz w:val="16"/>
              </w:rPr>
            </w:pPr>
            <w:r>
              <w:rPr>
                <w:spacing w:val="-5"/>
                <w:sz w:val="16"/>
              </w:rPr>
              <w:t>25%</w:t>
            </w:r>
          </w:p>
        </w:tc>
        <w:tc>
          <w:tcPr>
            <w:tcW w:w="958" w:type="dxa"/>
            <w:tcBorders>
              <w:bottom w:val="nil"/>
            </w:tcBorders>
            <w:shd w:val="clear" w:color="auto" w:fill="CCE1EC"/>
          </w:tcPr>
          <w:p w14:paraId="6E139D77" w14:textId="77777777" w:rsidR="00141B97" w:rsidRDefault="00911D63">
            <w:pPr>
              <w:pStyle w:val="TableParagraph"/>
              <w:spacing w:before="97"/>
              <w:ind w:left="334" w:right="322"/>
              <w:jc w:val="center"/>
              <w:rPr>
                <w:sz w:val="16"/>
              </w:rPr>
            </w:pPr>
            <w:r>
              <w:rPr>
                <w:spacing w:val="-5"/>
                <w:sz w:val="16"/>
              </w:rPr>
              <w:t>25%</w:t>
            </w:r>
          </w:p>
        </w:tc>
      </w:tr>
      <w:tr w:rsidR="00141B97" w14:paraId="74746B95" w14:textId="77777777">
        <w:trPr>
          <w:trHeight w:val="385"/>
          <w:tblCellSpacing w:w="7" w:type="dxa"/>
        </w:trPr>
        <w:tc>
          <w:tcPr>
            <w:tcW w:w="5006" w:type="dxa"/>
            <w:tcBorders>
              <w:top w:val="nil"/>
              <w:bottom w:val="nil"/>
            </w:tcBorders>
            <w:shd w:val="clear" w:color="auto" w:fill="CCE1EC"/>
          </w:tcPr>
          <w:p w14:paraId="1235D18F" w14:textId="77777777" w:rsidR="00141B97" w:rsidRDefault="00911D63">
            <w:pPr>
              <w:pStyle w:val="TableParagraph"/>
              <w:spacing w:line="192" w:lineRule="exact"/>
              <w:ind w:left="14"/>
              <w:rPr>
                <w:sz w:val="16"/>
              </w:rPr>
            </w:pPr>
            <w:r>
              <w:rPr>
                <w:sz w:val="16"/>
              </w:rPr>
              <w:t>Customer</w:t>
            </w:r>
            <w:r>
              <w:rPr>
                <w:spacing w:val="-7"/>
                <w:sz w:val="16"/>
              </w:rPr>
              <w:t xml:space="preserve"> </w:t>
            </w:r>
            <w:r>
              <w:rPr>
                <w:sz w:val="16"/>
              </w:rPr>
              <w:t>satisfaction</w:t>
            </w:r>
            <w:r>
              <w:rPr>
                <w:spacing w:val="-4"/>
                <w:sz w:val="16"/>
              </w:rPr>
              <w:t xml:space="preserve"> </w:t>
            </w:r>
            <w:r>
              <w:rPr>
                <w:sz w:val="16"/>
              </w:rPr>
              <w:t>for</w:t>
            </w:r>
            <w:r>
              <w:rPr>
                <w:spacing w:val="-5"/>
                <w:sz w:val="16"/>
              </w:rPr>
              <w:t xml:space="preserve"> </w:t>
            </w:r>
            <w:r>
              <w:rPr>
                <w:sz w:val="16"/>
              </w:rPr>
              <w:t>responsiveness</w:t>
            </w:r>
            <w:r>
              <w:rPr>
                <w:spacing w:val="-4"/>
                <w:sz w:val="16"/>
              </w:rPr>
              <w:t xml:space="preserve"> </w:t>
            </w:r>
            <w:r>
              <w:rPr>
                <w:sz w:val="16"/>
              </w:rPr>
              <w:t>to</w:t>
            </w:r>
            <w:r>
              <w:rPr>
                <w:spacing w:val="-5"/>
                <w:sz w:val="16"/>
              </w:rPr>
              <w:t xml:space="preserve"> </w:t>
            </w:r>
            <w:r>
              <w:rPr>
                <w:sz w:val="16"/>
              </w:rPr>
              <w:t>enquiry</w:t>
            </w:r>
            <w:r>
              <w:rPr>
                <w:spacing w:val="-4"/>
                <w:sz w:val="16"/>
              </w:rPr>
              <w:t xml:space="preserve"> </w:t>
            </w:r>
            <w:r>
              <w:rPr>
                <w:sz w:val="16"/>
              </w:rPr>
              <w:t>or</w:t>
            </w:r>
            <w:r>
              <w:rPr>
                <w:spacing w:val="-5"/>
                <w:sz w:val="16"/>
              </w:rPr>
              <w:t xml:space="preserve"> </w:t>
            </w:r>
            <w:r>
              <w:rPr>
                <w:sz w:val="16"/>
              </w:rPr>
              <w:t>request</w:t>
            </w:r>
            <w:r>
              <w:rPr>
                <w:spacing w:val="-4"/>
                <w:sz w:val="16"/>
              </w:rPr>
              <w:t xml:space="preserve"> </w:t>
            </w:r>
            <w:r>
              <w:rPr>
                <w:sz w:val="16"/>
              </w:rPr>
              <w:t>–</w:t>
            </w:r>
            <w:r>
              <w:rPr>
                <w:spacing w:val="-6"/>
                <w:sz w:val="16"/>
              </w:rPr>
              <w:t xml:space="preserve"> </w:t>
            </w:r>
            <w:r>
              <w:rPr>
                <w:sz w:val="16"/>
              </w:rPr>
              <w:t>Target</w:t>
            </w:r>
            <w:r>
              <w:rPr>
                <w:spacing w:val="-4"/>
                <w:sz w:val="16"/>
              </w:rPr>
              <w:t xml:space="preserve"> </w:t>
            </w:r>
            <w:r>
              <w:rPr>
                <w:spacing w:val="-10"/>
                <w:sz w:val="16"/>
              </w:rPr>
              <w:t>=</w:t>
            </w:r>
          </w:p>
          <w:p w14:paraId="35B5068F" w14:textId="77777777" w:rsidR="00141B97" w:rsidRDefault="00911D63">
            <w:pPr>
              <w:pStyle w:val="TableParagraph"/>
              <w:spacing w:line="173" w:lineRule="exact"/>
              <w:ind w:left="14"/>
              <w:rPr>
                <w:sz w:val="16"/>
              </w:rPr>
            </w:pPr>
            <w:r>
              <w:rPr>
                <w:sz w:val="16"/>
              </w:rPr>
              <w:t>=/&gt;</w:t>
            </w:r>
            <w:r>
              <w:rPr>
                <w:spacing w:val="-5"/>
                <w:sz w:val="16"/>
              </w:rPr>
              <w:t xml:space="preserve"> </w:t>
            </w:r>
            <w:r>
              <w:rPr>
                <w:sz w:val="16"/>
              </w:rPr>
              <w:t>prior</w:t>
            </w:r>
            <w:r>
              <w:rPr>
                <w:spacing w:val="-4"/>
                <w:sz w:val="16"/>
              </w:rPr>
              <w:t xml:space="preserve"> </w:t>
            </w:r>
            <w:r>
              <w:rPr>
                <w:sz w:val="16"/>
              </w:rPr>
              <w:t>year</w:t>
            </w:r>
            <w:r>
              <w:rPr>
                <w:spacing w:val="-5"/>
                <w:sz w:val="16"/>
              </w:rPr>
              <w:t xml:space="preserve"> </w:t>
            </w:r>
            <w:r>
              <w:rPr>
                <w:sz w:val="16"/>
              </w:rPr>
              <w:t>performance</w:t>
            </w:r>
            <w:r>
              <w:rPr>
                <w:spacing w:val="-3"/>
                <w:sz w:val="16"/>
              </w:rPr>
              <w:t xml:space="preserve"> </w:t>
            </w:r>
            <w:r>
              <w:rPr>
                <w:sz w:val="16"/>
              </w:rPr>
              <w:t>of</w:t>
            </w:r>
            <w:r>
              <w:rPr>
                <w:spacing w:val="-4"/>
                <w:sz w:val="16"/>
              </w:rPr>
              <w:t xml:space="preserve"> </w:t>
            </w:r>
            <w:r>
              <w:rPr>
                <w:sz w:val="16"/>
              </w:rPr>
              <w:t>survey</w:t>
            </w:r>
            <w:r>
              <w:rPr>
                <w:spacing w:val="-4"/>
                <w:sz w:val="16"/>
              </w:rPr>
              <w:t xml:space="preserve"> </w:t>
            </w:r>
            <w:r>
              <w:rPr>
                <w:spacing w:val="-2"/>
                <w:sz w:val="16"/>
              </w:rPr>
              <w:t>respondents</w:t>
            </w:r>
          </w:p>
        </w:tc>
        <w:tc>
          <w:tcPr>
            <w:tcW w:w="758" w:type="dxa"/>
            <w:tcBorders>
              <w:top w:val="nil"/>
              <w:bottom w:val="nil"/>
            </w:tcBorders>
            <w:shd w:val="clear" w:color="auto" w:fill="CCE1EC"/>
          </w:tcPr>
          <w:p w14:paraId="7CC97659" w14:textId="77777777" w:rsidR="00141B97" w:rsidRDefault="00911D63">
            <w:pPr>
              <w:pStyle w:val="TableParagraph"/>
              <w:spacing w:before="93"/>
              <w:ind w:left="21"/>
              <w:rPr>
                <w:sz w:val="16"/>
              </w:rPr>
            </w:pPr>
            <w:r>
              <w:rPr>
                <w:spacing w:val="-5"/>
                <w:sz w:val="16"/>
              </w:rPr>
              <w:t>NA</w:t>
            </w:r>
          </w:p>
        </w:tc>
        <w:tc>
          <w:tcPr>
            <w:tcW w:w="945" w:type="dxa"/>
            <w:tcBorders>
              <w:top w:val="nil"/>
              <w:bottom w:val="nil"/>
            </w:tcBorders>
            <w:shd w:val="clear" w:color="auto" w:fill="CCE1EC"/>
          </w:tcPr>
          <w:p w14:paraId="57CE271F" w14:textId="77777777" w:rsidR="00141B97" w:rsidRDefault="00911D63">
            <w:pPr>
              <w:pStyle w:val="TableParagraph"/>
              <w:spacing w:before="93"/>
              <w:ind w:right="162"/>
              <w:jc w:val="right"/>
              <w:rPr>
                <w:sz w:val="16"/>
              </w:rPr>
            </w:pPr>
            <w:r>
              <w:rPr>
                <w:spacing w:val="-2"/>
                <w:sz w:val="16"/>
              </w:rPr>
              <w:t>=/&gt;22/23</w:t>
            </w:r>
          </w:p>
        </w:tc>
        <w:tc>
          <w:tcPr>
            <w:tcW w:w="806" w:type="dxa"/>
            <w:tcBorders>
              <w:top w:val="nil"/>
              <w:bottom w:val="nil"/>
            </w:tcBorders>
            <w:shd w:val="clear" w:color="auto" w:fill="CCE1EC"/>
          </w:tcPr>
          <w:p w14:paraId="1ABFB498" w14:textId="77777777" w:rsidR="00141B97" w:rsidRDefault="00911D63">
            <w:pPr>
              <w:pStyle w:val="TableParagraph"/>
              <w:spacing w:before="93"/>
              <w:ind w:right="92"/>
              <w:jc w:val="right"/>
              <w:rPr>
                <w:sz w:val="16"/>
              </w:rPr>
            </w:pPr>
            <w:r>
              <w:rPr>
                <w:spacing w:val="-2"/>
                <w:sz w:val="16"/>
              </w:rPr>
              <w:t>=/&gt;23/24</w:t>
            </w:r>
          </w:p>
        </w:tc>
        <w:tc>
          <w:tcPr>
            <w:tcW w:w="800" w:type="dxa"/>
            <w:tcBorders>
              <w:top w:val="nil"/>
              <w:bottom w:val="nil"/>
            </w:tcBorders>
            <w:shd w:val="clear" w:color="auto" w:fill="CCE1EC"/>
          </w:tcPr>
          <w:p w14:paraId="477FE703" w14:textId="77777777" w:rsidR="00141B97" w:rsidRDefault="00911D63">
            <w:pPr>
              <w:pStyle w:val="TableParagraph"/>
              <w:spacing w:before="93"/>
              <w:ind w:right="88"/>
              <w:jc w:val="right"/>
              <w:rPr>
                <w:sz w:val="16"/>
              </w:rPr>
            </w:pPr>
            <w:r>
              <w:rPr>
                <w:spacing w:val="-2"/>
                <w:sz w:val="16"/>
              </w:rPr>
              <w:t>=/&gt;24/25</w:t>
            </w:r>
          </w:p>
        </w:tc>
        <w:tc>
          <w:tcPr>
            <w:tcW w:w="806" w:type="dxa"/>
            <w:tcBorders>
              <w:top w:val="nil"/>
              <w:bottom w:val="nil"/>
            </w:tcBorders>
            <w:shd w:val="clear" w:color="auto" w:fill="CCE1EC"/>
          </w:tcPr>
          <w:p w14:paraId="10CE35FC" w14:textId="77777777" w:rsidR="00141B97" w:rsidRDefault="00911D63">
            <w:pPr>
              <w:pStyle w:val="TableParagraph"/>
              <w:spacing w:before="93"/>
              <w:ind w:right="92"/>
              <w:jc w:val="right"/>
              <w:rPr>
                <w:sz w:val="16"/>
              </w:rPr>
            </w:pPr>
            <w:r>
              <w:rPr>
                <w:spacing w:val="-2"/>
                <w:sz w:val="16"/>
              </w:rPr>
              <w:t>=/&gt;25/26</w:t>
            </w:r>
          </w:p>
        </w:tc>
        <w:tc>
          <w:tcPr>
            <w:tcW w:w="958" w:type="dxa"/>
            <w:tcBorders>
              <w:top w:val="nil"/>
              <w:bottom w:val="nil"/>
            </w:tcBorders>
            <w:shd w:val="clear" w:color="auto" w:fill="CCE1EC"/>
          </w:tcPr>
          <w:p w14:paraId="51F9BA7F" w14:textId="77777777" w:rsidR="00141B97" w:rsidRDefault="00911D63">
            <w:pPr>
              <w:pStyle w:val="TableParagraph"/>
              <w:spacing w:before="93"/>
              <w:ind w:left="176"/>
              <w:rPr>
                <w:sz w:val="16"/>
              </w:rPr>
            </w:pPr>
            <w:r>
              <w:rPr>
                <w:spacing w:val="-2"/>
                <w:sz w:val="16"/>
              </w:rPr>
              <w:t>=/&gt;26/27</w:t>
            </w:r>
          </w:p>
        </w:tc>
      </w:tr>
      <w:tr w:rsidR="00141B97" w14:paraId="699ADA8E" w14:textId="77777777">
        <w:trPr>
          <w:trHeight w:val="343"/>
          <w:tblCellSpacing w:w="7" w:type="dxa"/>
        </w:trPr>
        <w:tc>
          <w:tcPr>
            <w:tcW w:w="10079" w:type="dxa"/>
            <w:gridSpan w:val="7"/>
            <w:tcBorders>
              <w:top w:val="nil"/>
            </w:tcBorders>
            <w:shd w:val="clear" w:color="auto" w:fill="BEBEBE"/>
          </w:tcPr>
          <w:p w14:paraId="31501DFA" w14:textId="77777777" w:rsidR="00141B97" w:rsidRDefault="00911D63">
            <w:pPr>
              <w:pStyle w:val="TableParagraph"/>
              <w:spacing w:before="71"/>
              <w:ind w:left="21"/>
              <w:rPr>
                <w:sz w:val="16"/>
              </w:rPr>
            </w:pPr>
            <w:r>
              <w:rPr>
                <w:sz w:val="16"/>
              </w:rPr>
              <w:t>Outcome</w:t>
            </w:r>
            <w:r>
              <w:rPr>
                <w:spacing w:val="-8"/>
                <w:sz w:val="16"/>
              </w:rPr>
              <w:t xml:space="preserve"> </w:t>
            </w:r>
            <w:r>
              <w:rPr>
                <w:sz w:val="16"/>
              </w:rPr>
              <w:t>4:</w:t>
            </w:r>
            <w:r>
              <w:rPr>
                <w:spacing w:val="-4"/>
                <w:sz w:val="16"/>
              </w:rPr>
              <w:t xml:space="preserve"> </w:t>
            </w:r>
            <w:r>
              <w:rPr>
                <w:sz w:val="16"/>
              </w:rPr>
              <w:t>Service</w:t>
            </w:r>
            <w:r>
              <w:rPr>
                <w:spacing w:val="-5"/>
                <w:sz w:val="16"/>
              </w:rPr>
              <w:t xml:space="preserve"> </w:t>
            </w:r>
            <w:r>
              <w:rPr>
                <w:sz w:val="16"/>
              </w:rPr>
              <w:t>our</w:t>
            </w:r>
            <w:r>
              <w:rPr>
                <w:spacing w:val="-5"/>
                <w:sz w:val="16"/>
              </w:rPr>
              <w:t xml:space="preserve"> </w:t>
            </w:r>
            <w:r>
              <w:rPr>
                <w:sz w:val="16"/>
              </w:rPr>
              <w:t>communities</w:t>
            </w:r>
            <w:r>
              <w:rPr>
                <w:spacing w:val="-4"/>
                <w:sz w:val="16"/>
              </w:rPr>
              <w:t xml:space="preserve"> </w:t>
            </w:r>
            <w:r>
              <w:rPr>
                <w:sz w:val="16"/>
              </w:rPr>
              <w:t>in</w:t>
            </w:r>
            <w:r>
              <w:rPr>
                <w:spacing w:val="-4"/>
                <w:sz w:val="16"/>
              </w:rPr>
              <w:t xml:space="preserve"> </w:t>
            </w:r>
            <w:r>
              <w:rPr>
                <w:sz w:val="16"/>
              </w:rPr>
              <w:t>a</w:t>
            </w:r>
            <w:r>
              <w:rPr>
                <w:spacing w:val="-4"/>
                <w:sz w:val="16"/>
              </w:rPr>
              <w:t xml:space="preserve"> </w:t>
            </w:r>
            <w:r>
              <w:rPr>
                <w:sz w:val="16"/>
              </w:rPr>
              <w:t>socially</w:t>
            </w:r>
            <w:r>
              <w:rPr>
                <w:spacing w:val="-4"/>
                <w:sz w:val="16"/>
              </w:rPr>
              <w:t xml:space="preserve"> </w:t>
            </w:r>
            <w:r>
              <w:rPr>
                <w:sz w:val="16"/>
              </w:rPr>
              <w:t>responsible</w:t>
            </w:r>
            <w:r>
              <w:rPr>
                <w:spacing w:val="-5"/>
                <w:sz w:val="16"/>
              </w:rPr>
              <w:t xml:space="preserve"> </w:t>
            </w:r>
            <w:r>
              <w:rPr>
                <w:sz w:val="16"/>
              </w:rPr>
              <w:t>and</w:t>
            </w:r>
            <w:r>
              <w:rPr>
                <w:spacing w:val="-4"/>
                <w:sz w:val="16"/>
              </w:rPr>
              <w:t xml:space="preserve"> </w:t>
            </w:r>
            <w:r>
              <w:rPr>
                <w:sz w:val="16"/>
              </w:rPr>
              <w:t>environmentally</w:t>
            </w:r>
            <w:r>
              <w:rPr>
                <w:spacing w:val="-4"/>
                <w:sz w:val="16"/>
              </w:rPr>
              <w:t xml:space="preserve"> </w:t>
            </w:r>
            <w:r>
              <w:rPr>
                <w:sz w:val="16"/>
              </w:rPr>
              <w:t>sustainable</w:t>
            </w:r>
            <w:r>
              <w:rPr>
                <w:spacing w:val="-5"/>
                <w:sz w:val="16"/>
              </w:rPr>
              <w:t xml:space="preserve"> </w:t>
            </w:r>
            <w:r>
              <w:rPr>
                <w:spacing w:val="-2"/>
                <w:sz w:val="16"/>
              </w:rPr>
              <w:t>manner</w:t>
            </w:r>
          </w:p>
        </w:tc>
      </w:tr>
      <w:tr w:rsidR="00141B97" w14:paraId="40F871EB" w14:textId="77777777">
        <w:trPr>
          <w:trHeight w:val="487"/>
          <w:tblCellSpacing w:w="7" w:type="dxa"/>
        </w:trPr>
        <w:tc>
          <w:tcPr>
            <w:tcW w:w="5006" w:type="dxa"/>
            <w:tcBorders>
              <w:bottom w:val="nil"/>
            </w:tcBorders>
            <w:shd w:val="clear" w:color="auto" w:fill="CCE1EC"/>
          </w:tcPr>
          <w:p w14:paraId="74BF7883" w14:textId="77777777" w:rsidR="00141B97" w:rsidRDefault="00911D63">
            <w:pPr>
              <w:pStyle w:val="TableParagraph"/>
              <w:spacing w:line="193" w:lineRule="exact"/>
              <w:ind w:left="14"/>
              <w:rPr>
                <w:sz w:val="16"/>
              </w:rPr>
            </w:pPr>
            <w:r>
              <w:rPr>
                <w:sz w:val="16"/>
              </w:rPr>
              <w:t>Percentage</w:t>
            </w:r>
            <w:r>
              <w:rPr>
                <w:spacing w:val="-8"/>
                <w:sz w:val="16"/>
              </w:rPr>
              <w:t xml:space="preserve"> </w:t>
            </w:r>
            <w:r>
              <w:rPr>
                <w:sz w:val="16"/>
              </w:rPr>
              <w:t>compliance</w:t>
            </w:r>
            <w:r>
              <w:rPr>
                <w:spacing w:val="-7"/>
                <w:sz w:val="16"/>
              </w:rPr>
              <w:t xml:space="preserve"> </w:t>
            </w:r>
            <w:r>
              <w:rPr>
                <w:sz w:val="16"/>
              </w:rPr>
              <w:t>with</w:t>
            </w:r>
            <w:r>
              <w:rPr>
                <w:spacing w:val="-4"/>
                <w:sz w:val="16"/>
              </w:rPr>
              <w:t xml:space="preserve"> </w:t>
            </w:r>
            <w:r>
              <w:rPr>
                <w:sz w:val="16"/>
              </w:rPr>
              <w:t>EPA</w:t>
            </w:r>
            <w:r>
              <w:rPr>
                <w:spacing w:val="-7"/>
                <w:sz w:val="16"/>
              </w:rPr>
              <w:t xml:space="preserve"> </w:t>
            </w:r>
            <w:r>
              <w:rPr>
                <w:sz w:val="16"/>
              </w:rPr>
              <w:t>General</w:t>
            </w:r>
            <w:r>
              <w:rPr>
                <w:spacing w:val="-4"/>
                <w:sz w:val="16"/>
              </w:rPr>
              <w:t xml:space="preserve"> </w:t>
            </w:r>
            <w:r>
              <w:rPr>
                <w:sz w:val="16"/>
              </w:rPr>
              <w:t>Environmental</w:t>
            </w:r>
            <w:r>
              <w:rPr>
                <w:spacing w:val="-4"/>
                <w:sz w:val="16"/>
              </w:rPr>
              <w:t xml:space="preserve"> </w:t>
            </w:r>
            <w:r>
              <w:rPr>
                <w:sz w:val="16"/>
              </w:rPr>
              <w:t>Duty</w:t>
            </w:r>
            <w:r>
              <w:rPr>
                <w:spacing w:val="-5"/>
                <w:sz w:val="16"/>
              </w:rPr>
              <w:t xml:space="preserve"> </w:t>
            </w:r>
            <w:r>
              <w:rPr>
                <w:sz w:val="16"/>
              </w:rPr>
              <w:t>(GED)</w:t>
            </w:r>
            <w:r>
              <w:rPr>
                <w:spacing w:val="-5"/>
                <w:sz w:val="16"/>
              </w:rPr>
              <w:t xml:space="preserve"> </w:t>
            </w:r>
            <w:r>
              <w:rPr>
                <w:sz w:val="16"/>
              </w:rPr>
              <w:t>–</w:t>
            </w:r>
            <w:r>
              <w:rPr>
                <w:spacing w:val="-6"/>
                <w:sz w:val="16"/>
              </w:rPr>
              <w:t xml:space="preserve"> </w:t>
            </w:r>
            <w:r>
              <w:rPr>
                <w:spacing w:val="-2"/>
                <w:sz w:val="16"/>
              </w:rPr>
              <w:t>Target</w:t>
            </w:r>
          </w:p>
          <w:p w14:paraId="707F2E40" w14:textId="77777777" w:rsidR="00141B97" w:rsidRDefault="00911D63">
            <w:pPr>
              <w:pStyle w:val="TableParagraph"/>
              <w:spacing w:line="195" w:lineRule="exact"/>
              <w:ind w:left="14"/>
              <w:rPr>
                <w:sz w:val="16"/>
              </w:rPr>
            </w:pPr>
            <w:r>
              <w:rPr>
                <w:sz w:val="16"/>
              </w:rPr>
              <w:t>-</w:t>
            </w:r>
            <w:r>
              <w:rPr>
                <w:spacing w:val="-3"/>
                <w:sz w:val="16"/>
              </w:rPr>
              <w:t xml:space="preserve"> </w:t>
            </w:r>
            <w:r>
              <w:rPr>
                <w:sz w:val="16"/>
              </w:rPr>
              <w:t>100%</w:t>
            </w:r>
            <w:r>
              <w:rPr>
                <w:spacing w:val="-4"/>
                <w:sz w:val="16"/>
              </w:rPr>
              <w:t xml:space="preserve"> </w:t>
            </w:r>
            <w:r>
              <w:rPr>
                <w:sz w:val="16"/>
              </w:rPr>
              <w:t>(no</w:t>
            </w:r>
            <w:r>
              <w:rPr>
                <w:spacing w:val="-4"/>
                <w:sz w:val="16"/>
              </w:rPr>
              <w:t xml:space="preserve"> </w:t>
            </w:r>
            <w:r>
              <w:rPr>
                <w:sz w:val="16"/>
              </w:rPr>
              <w:t>reportable</w:t>
            </w:r>
            <w:r>
              <w:rPr>
                <w:spacing w:val="-3"/>
                <w:sz w:val="16"/>
              </w:rPr>
              <w:t xml:space="preserve"> </w:t>
            </w:r>
            <w:r>
              <w:rPr>
                <w:spacing w:val="-2"/>
                <w:sz w:val="16"/>
              </w:rPr>
              <w:t>incidents)</w:t>
            </w:r>
          </w:p>
        </w:tc>
        <w:tc>
          <w:tcPr>
            <w:tcW w:w="758" w:type="dxa"/>
            <w:tcBorders>
              <w:bottom w:val="nil"/>
            </w:tcBorders>
            <w:shd w:val="clear" w:color="auto" w:fill="CCE1EC"/>
          </w:tcPr>
          <w:p w14:paraId="5A1E4668" w14:textId="77777777" w:rsidR="00141B97" w:rsidRDefault="00141B97">
            <w:pPr>
              <w:pStyle w:val="TableParagraph"/>
              <w:spacing w:before="10"/>
              <w:rPr>
                <w:sz w:val="11"/>
              </w:rPr>
            </w:pPr>
          </w:p>
          <w:p w14:paraId="567FF90B" w14:textId="77777777" w:rsidR="00141B97" w:rsidRDefault="00911D63">
            <w:pPr>
              <w:pStyle w:val="TableParagraph"/>
              <w:ind w:left="21"/>
              <w:rPr>
                <w:sz w:val="16"/>
              </w:rPr>
            </w:pPr>
            <w:r>
              <w:rPr>
                <w:spacing w:val="-4"/>
                <w:sz w:val="16"/>
              </w:rPr>
              <w:t>100%</w:t>
            </w:r>
          </w:p>
        </w:tc>
        <w:tc>
          <w:tcPr>
            <w:tcW w:w="4315" w:type="dxa"/>
            <w:gridSpan w:val="5"/>
            <w:tcBorders>
              <w:bottom w:val="nil"/>
            </w:tcBorders>
            <w:shd w:val="clear" w:color="auto" w:fill="CCE1EC"/>
          </w:tcPr>
          <w:p w14:paraId="0681FF1B" w14:textId="77777777" w:rsidR="00141B97" w:rsidRDefault="00141B97">
            <w:pPr>
              <w:pStyle w:val="TableParagraph"/>
              <w:spacing w:before="10"/>
              <w:rPr>
                <w:sz w:val="11"/>
              </w:rPr>
            </w:pPr>
          </w:p>
          <w:p w14:paraId="442455B2" w14:textId="77777777" w:rsidR="00141B97" w:rsidRDefault="00911D63">
            <w:pPr>
              <w:pStyle w:val="TableParagraph"/>
              <w:ind w:left="1882" w:right="1873"/>
              <w:jc w:val="center"/>
              <w:rPr>
                <w:sz w:val="16"/>
              </w:rPr>
            </w:pPr>
            <w:r>
              <w:rPr>
                <w:spacing w:val="-4"/>
                <w:sz w:val="16"/>
              </w:rPr>
              <w:t>100%</w:t>
            </w:r>
          </w:p>
        </w:tc>
      </w:tr>
      <w:tr w:rsidR="00141B97" w14:paraId="2CCCCCF4" w14:textId="77777777">
        <w:trPr>
          <w:trHeight w:val="487"/>
          <w:tblCellSpacing w:w="7" w:type="dxa"/>
        </w:trPr>
        <w:tc>
          <w:tcPr>
            <w:tcW w:w="5006" w:type="dxa"/>
            <w:tcBorders>
              <w:top w:val="nil"/>
            </w:tcBorders>
            <w:shd w:val="clear" w:color="auto" w:fill="CCE1EC"/>
          </w:tcPr>
          <w:p w14:paraId="16371F90" w14:textId="77777777" w:rsidR="00141B97" w:rsidRDefault="00911D63">
            <w:pPr>
              <w:pStyle w:val="TableParagraph"/>
              <w:ind w:left="14" w:right="23"/>
              <w:rPr>
                <w:sz w:val="16"/>
              </w:rPr>
            </w:pPr>
            <w:r>
              <w:rPr>
                <w:sz w:val="16"/>
              </w:rPr>
              <w:t>Customer</w:t>
            </w:r>
            <w:r>
              <w:rPr>
                <w:spacing w:val="-2"/>
                <w:sz w:val="16"/>
              </w:rPr>
              <w:t xml:space="preserve"> </w:t>
            </w:r>
            <w:r>
              <w:rPr>
                <w:sz w:val="16"/>
              </w:rPr>
              <w:t>overall</w:t>
            </w:r>
            <w:r>
              <w:rPr>
                <w:spacing w:val="-1"/>
                <w:sz w:val="16"/>
              </w:rPr>
              <w:t xml:space="preserve"> </w:t>
            </w:r>
            <w:r>
              <w:rPr>
                <w:sz w:val="16"/>
              </w:rPr>
              <w:t>satisfaction</w:t>
            </w:r>
            <w:r>
              <w:rPr>
                <w:spacing w:val="-1"/>
                <w:sz w:val="16"/>
              </w:rPr>
              <w:t xml:space="preserve"> </w:t>
            </w:r>
            <w:r>
              <w:rPr>
                <w:sz w:val="16"/>
              </w:rPr>
              <w:t>of</w:t>
            </w:r>
            <w:r>
              <w:rPr>
                <w:spacing w:val="-2"/>
                <w:sz w:val="16"/>
              </w:rPr>
              <w:t xml:space="preserve"> </w:t>
            </w:r>
            <w:r>
              <w:rPr>
                <w:sz w:val="16"/>
              </w:rPr>
              <w:t>LMW</w:t>
            </w:r>
            <w:r>
              <w:rPr>
                <w:spacing w:val="-4"/>
                <w:sz w:val="16"/>
              </w:rPr>
              <w:t xml:space="preserve"> </w:t>
            </w:r>
            <w:r>
              <w:rPr>
                <w:sz w:val="16"/>
              </w:rPr>
              <w:t>–</w:t>
            </w:r>
            <w:r>
              <w:rPr>
                <w:spacing w:val="-3"/>
                <w:sz w:val="16"/>
              </w:rPr>
              <w:t xml:space="preserve"> </w:t>
            </w:r>
            <w:r>
              <w:rPr>
                <w:sz w:val="16"/>
              </w:rPr>
              <w:t>Target</w:t>
            </w:r>
            <w:r>
              <w:rPr>
                <w:spacing w:val="-2"/>
                <w:sz w:val="16"/>
              </w:rPr>
              <w:t xml:space="preserve"> </w:t>
            </w:r>
            <w:r>
              <w:rPr>
                <w:sz w:val="16"/>
              </w:rPr>
              <w:t>=</w:t>
            </w:r>
            <w:r>
              <w:rPr>
                <w:spacing w:val="-3"/>
                <w:sz w:val="16"/>
              </w:rPr>
              <w:t xml:space="preserve"> </w:t>
            </w:r>
            <w:r>
              <w:rPr>
                <w:sz w:val="16"/>
              </w:rPr>
              <w:t>&gt;/=</w:t>
            </w:r>
            <w:r>
              <w:rPr>
                <w:spacing w:val="-3"/>
                <w:sz w:val="16"/>
              </w:rPr>
              <w:t xml:space="preserve"> </w:t>
            </w:r>
            <w:r>
              <w:rPr>
                <w:sz w:val="16"/>
              </w:rPr>
              <w:t>prior</w:t>
            </w:r>
            <w:r>
              <w:rPr>
                <w:spacing w:val="-2"/>
                <w:sz w:val="16"/>
              </w:rPr>
              <w:t xml:space="preserve"> </w:t>
            </w:r>
            <w:r>
              <w:rPr>
                <w:sz w:val="16"/>
              </w:rPr>
              <w:t>year</w:t>
            </w:r>
            <w:r>
              <w:rPr>
                <w:spacing w:val="-2"/>
                <w:sz w:val="16"/>
              </w:rPr>
              <w:t xml:space="preserve"> </w:t>
            </w:r>
            <w:r>
              <w:rPr>
                <w:sz w:val="16"/>
              </w:rPr>
              <w:t>performance</w:t>
            </w:r>
            <w:r>
              <w:rPr>
                <w:spacing w:val="40"/>
                <w:sz w:val="16"/>
              </w:rPr>
              <w:t xml:space="preserve"> </w:t>
            </w:r>
            <w:r>
              <w:rPr>
                <w:sz w:val="16"/>
              </w:rPr>
              <w:t>of survey respondents</w:t>
            </w:r>
          </w:p>
        </w:tc>
        <w:tc>
          <w:tcPr>
            <w:tcW w:w="758" w:type="dxa"/>
            <w:tcBorders>
              <w:top w:val="nil"/>
            </w:tcBorders>
            <w:shd w:val="clear" w:color="auto" w:fill="CCE1EC"/>
          </w:tcPr>
          <w:p w14:paraId="5BC28CF6" w14:textId="77777777" w:rsidR="00141B97" w:rsidRDefault="00911D63">
            <w:pPr>
              <w:pStyle w:val="TableParagraph"/>
              <w:spacing w:before="45"/>
              <w:ind w:left="21"/>
              <w:rPr>
                <w:sz w:val="16"/>
              </w:rPr>
            </w:pPr>
            <w:r>
              <w:rPr>
                <w:spacing w:val="-2"/>
                <w:sz w:val="16"/>
              </w:rPr>
              <w:t>2022/23</w:t>
            </w:r>
          </w:p>
          <w:p w14:paraId="51A6954E" w14:textId="77777777" w:rsidR="00141B97" w:rsidRDefault="00911D63">
            <w:pPr>
              <w:pStyle w:val="TableParagraph"/>
              <w:spacing w:before="1"/>
              <w:ind w:left="21"/>
              <w:rPr>
                <w:sz w:val="16"/>
              </w:rPr>
            </w:pPr>
            <w:r>
              <w:rPr>
                <w:spacing w:val="-2"/>
                <w:sz w:val="16"/>
              </w:rPr>
              <w:t>result</w:t>
            </w:r>
          </w:p>
        </w:tc>
        <w:tc>
          <w:tcPr>
            <w:tcW w:w="945" w:type="dxa"/>
            <w:tcBorders>
              <w:top w:val="nil"/>
            </w:tcBorders>
            <w:shd w:val="clear" w:color="auto" w:fill="CCE1EC"/>
          </w:tcPr>
          <w:p w14:paraId="7EBAA64D" w14:textId="77777777" w:rsidR="00141B97" w:rsidRDefault="00911D63">
            <w:pPr>
              <w:pStyle w:val="TableParagraph"/>
              <w:spacing w:before="143"/>
              <w:ind w:right="162"/>
              <w:jc w:val="right"/>
              <w:rPr>
                <w:sz w:val="16"/>
              </w:rPr>
            </w:pPr>
            <w:r>
              <w:rPr>
                <w:spacing w:val="-2"/>
                <w:sz w:val="16"/>
              </w:rPr>
              <w:t>=/&gt;22/23</w:t>
            </w:r>
          </w:p>
        </w:tc>
        <w:tc>
          <w:tcPr>
            <w:tcW w:w="806" w:type="dxa"/>
            <w:tcBorders>
              <w:top w:val="nil"/>
            </w:tcBorders>
            <w:shd w:val="clear" w:color="auto" w:fill="CCE1EC"/>
          </w:tcPr>
          <w:p w14:paraId="598AD76D" w14:textId="77777777" w:rsidR="00141B97" w:rsidRDefault="00911D63">
            <w:pPr>
              <w:pStyle w:val="TableParagraph"/>
              <w:spacing w:before="143"/>
              <w:ind w:right="92"/>
              <w:jc w:val="right"/>
              <w:rPr>
                <w:sz w:val="16"/>
              </w:rPr>
            </w:pPr>
            <w:r>
              <w:rPr>
                <w:spacing w:val="-2"/>
                <w:sz w:val="16"/>
              </w:rPr>
              <w:t>=/&gt;23/24</w:t>
            </w:r>
          </w:p>
        </w:tc>
        <w:tc>
          <w:tcPr>
            <w:tcW w:w="800" w:type="dxa"/>
            <w:tcBorders>
              <w:top w:val="nil"/>
            </w:tcBorders>
            <w:shd w:val="clear" w:color="auto" w:fill="CCE1EC"/>
          </w:tcPr>
          <w:p w14:paraId="3E774963" w14:textId="77777777" w:rsidR="00141B97" w:rsidRDefault="00911D63">
            <w:pPr>
              <w:pStyle w:val="TableParagraph"/>
              <w:spacing w:before="143"/>
              <w:ind w:right="88"/>
              <w:jc w:val="right"/>
              <w:rPr>
                <w:sz w:val="16"/>
              </w:rPr>
            </w:pPr>
            <w:r>
              <w:rPr>
                <w:spacing w:val="-2"/>
                <w:sz w:val="16"/>
              </w:rPr>
              <w:t>=/&gt;24/25</w:t>
            </w:r>
          </w:p>
        </w:tc>
        <w:tc>
          <w:tcPr>
            <w:tcW w:w="806" w:type="dxa"/>
            <w:tcBorders>
              <w:top w:val="nil"/>
            </w:tcBorders>
            <w:shd w:val="clear" w:color="auto" w:fill="CCE1EC"/>
          </w:tcPr>
          <w:p w14:paraId="01473E2D" w14:textId="77777777" w:rsidR="00141B97" w:rsidRDefault="00911D63">
            <w:pPr>
              <w:pStyle w:val="TableParagraph"/>
              <w:spacing w:before="143"/>
              <w:ind w:right="92"/>
              <w:jc w:val="right"/>
              <w:rPr>
                <w:sz w:val="16"/>
              </w:rPr>
            </w:pPr>
            <w:r>
              <w:rPr>
                <w:spacing w:val="-2"/>
                <w:sz w:val="16"/>
              </w:rPr>
              <w:t>=/&gt;25/26</w:t>
            </w:r>
          </w:p>
        </w:tc>
        <w:tc>
          <w:tcPr>
            <w:tcW w:w="958" w:type="dxa"/>
            <w:tcBorders>
              <w:top w:val="nil"/>
            </w:tcBorders>
            <w:shd w:val="clear" w:color="auto" w:fill="CCE1EC"/>
          </w:tcPr>
          <w:p w14:paraId="2528E458" w14:textId="77777777" w:rsidR="00141B97" w:rsidRDefault="00911D63">
            <w:pPr>
              <w:pStyle w:val="TableParagraph"/>
              <w:spacing w:before="143"/>
              <w:ind w:left="176"/>
              <w:rPr>
                <w:sz w:val="16"/>
              </w:rPr>
            </w:pPr>
            <w:r>
              <w:rPr>
                <w:spacing w:val="-2"/>
                <w:sz w:val="16"/>
              </w:rPr>
              <w:t>=/&gt;26/27</w:t>
            </w:r>
          </w:p>
        </w:tc>
      </w:tr>
      <w:tr w:rsidR="00141B97" w14:paraId="2B060BC0" w14:textId="77777777">
        <w:trPr>
          <w:trHeight w:val="390"/>
          <w:tblCellSpacing w:w="7" w:type="dxa"/>
        </w:trPr>
        <w:tc>
          <w:tcPr>
            <w:tcW w:w="5006" w:type="dxa"/>
            <w:shd w:val="clear" w:color="auto" w:fill="CCE1EC"/>
          </w:tcPr>
          <w:p w14:paraId="47DF6879" w14:textId="77777777" w:rsidR="00141B97" w:rsidRDefault="00911D63">
            <w:pPr>
              <w:pStyle w:val="TableParagraph"/>
              <w:spacing w:line="194" w:lineRule="exact"/>
              <w:ind w:left="14"/>
              <w:rPr>
                <w:sz w:val="16"/>
              </w:rPr>
            </w:pPr>
            <w:r>
              <w:rPr>
                <w:sz w:val="16"/>
              </w:rPr>
              <w:t>Percentage</w:t>
            </w:r>
            <w:r>
              <w:rPr>
                <w:spacing w:val="-7"/>
                <w:sz w:val="16"/>
              </w:rPr>
              <w:t xml:space="preserve"> </w:t>
            </w:r>
            <w:r>
              <w:rPr>
                <w:sz w:val="16"/>
              </w:rPr>
              <w:t>of</w:t>
            </w:r>
            <w:r>
              <w:rPr>
                <w:spacing w:val="-5"/>
                <w:sz w:val="16"/>
              </w:rPr>
              <w:t xml:space="preserve"> </w:t>
            </w:r>
            <w:r>
              <w:rPr>
                <w:sz w:val="16"/>
              </w:rPr>
              <w:t>electrical</w:t>
            </w:r>
            <w:r>
              <w:rPr>
                <w:spacing w:val="-4"/>
                <w:sz w:val="16"/>
              </w:rPr>
              <w:t xml:space="preserve"> </w:t>
            </w:r>
            <w:r>
              <w:rPr>
                <w:sz w:val="16"/>
              </w:rPr>
              <w:t>energy</w:t>
            </w:r>
            <w:r>
              <w:rPr>
                <w:spacing w:val="-5"/>
                <w:sz w:val="16"/>
              </w:rPr>
              <w:t xml:space="preserve"> </w:t>
            </w:r>
            <w:r>
              <w:rPr>
                <w:sz w:val="16"/>
              </w:rPr>
              <w:t>from</w:t>
            </w:r>
            <w:r>
              <w:rPr>
                <w:spacing w:val="-5"/>
                <w:sz w:val="16"/>
              </w:rPr>
              <w:t xml:space="preserve"> </w:t>
            </w:r>
            <w:r>
              <w:rPr>
                <w:sz w:val="16"/>
              </w:rPr>
              <w:t>renewable</w:t>
            </w:r>
            <w:r>
              <w:rPr>
                <w:spacing w:val="-4"/>
                <w:sz w:val="16"/>
              </w:rPr>
              <w:t xml:space="preserve"> </w:t>
            </w:r>
            <w:r>
              <w:rPr>
                <w:sz w:val="16"/>
              </w:rPr>
              <w:t>sources</w:t>
            </w:r>
            <w:r>
              <w:rPr>
                <w:spacing w:val="-5"/>
                <w:sz w:val="16"/>
              </w:rPr>
              <w:t xml:space="preserve"> </w:t>
            </w:r>
            <w:r>
              <w:rPr>
                <w:sz w:val="16"/>
              </w:rPr>
              <w:t>by</w:t>
            </w:r>
            <w:r>
              <w:rPr>
                <w:spacing w:val="-4"/>
                <w:sz w:val="16"/>
              </w:rPr>
              <w:t xml:space="preserve"> </w:t>
            </w:r>
            <w:r>
              <w:rPr>
                <w:sz w:val="16"/>
              </w:rPr>
              <w:t>2025</w:t>
            </w:r>
            <w:r>
              <w:rPr>
                <w:spacing w:val="-4"/>
                <w:sz w:val="16"/>
              </w:rPr>
              <w:t xml:space="preserve"> </w:t>
            </w:r>
            <w:r>
              <w:rPr>
                <w:sz w:val="16"/>
              </w:rPr>
              <w:t>–</w:t>
            </w:r>
            <w:r>
              <w:rPr>
                <w:spacing w:val="-6"/>
                <w:sz w:val="16"/>
              </w:rPr>
              <w:t xml:space="preserve"> </w:t>
            </w:r>
            <w:r>
              <w:rPr>
                <w:sz w:val="16"/>
              </w:rPr>
              <w:t>Target</w:t>
            </w:r>
            <w:r>
              <w:rPr>
                <w:spacing w:val="-4"/>
                <w:sz w:val="16"/>
              </w:rPr>
              <w:t xml:space="preserve"> </w:t>
            </w:r>
            <w:r>
              <w:rPr>
                <w:spacing w:val="-10"/>
                <w:sz w:val="16"/>
              </w:rPr>
              <w:t>=</w:t>
            </w:r>
          </w:p>
          <w:p w14:paraId="60B7B226" w14:textId="77777777" w:rsidR="00141B97" w:rsidRDefault="00911D63">
            <w:pPr>
              <w:pStyle w:val="TableParagraph"/>
              <w:spacing w:before="1" w:line="176" w:lineRule="exact"/>
              <w:ind w:left="14"/>
              <w:rPr>
                <w:sz w:val="16"/>
              </w:rPr>
            </w:pPr>
            <w:r>
              <w:rPr>
                <w:spacing w:val="-4"/>
                <w:sz w:val="16"/>
              </w:rPr>
              <w:t>100%</w:t>
            </w:r>
          </w:p>
        </w:tc>
        <w:tc>
          <w:tcPr>
            <w:tcW w:w="758" w:type="dxa"/>
            <w:shd w:val="clear" w:color="auto" w:fill="CCE1EC"/>
          </w:tcPr>
          <w:p w14:paraId="023A4934" w14:textId="77777777" w:rsidR="00141B97" w:rsidRDefault="00911D63">
            <w:pPr>
              <w:pStyle w:val="TableParagraph"/>
              <w:spacing w:before="97"/>
              <w:ind w:left="57"/>
              <w:rPr>
                <w:sz w:val="16"/>
              </w:rPr>
            </w:pPr>
            <w:r>
              <w:rPr>
                <w:spacing w:val="-5"/>
                <w:sz w:val="16"/>
              </w:rPr>
              <w:t>NA</w:t>
            </w:r>
          </w:p>
        </w:tc>
        <w:tc>
          <w:tcPr>
            <w:tcW w:w="1751" w:type="dxa"/>
            <w:gridSpan w:val="2"/>
            <w:shd w:val="clear" w:color="auto" w:fill="CCE1EC"/>
          </w:tcPr>
          <w:p w14:paraId="11170ADD" w14:textId="77777777" w:rsidR="00141B97" w:rsidRDefault="00911D63">
            <w:pPr>
              <w:pStyle w:val="TableParagraph"/>
              <w:spacing w:before="97"/>
              <w:ind w:left="766" w:right="761"/>
              <w:jc w:val="center"/>
              <w:rPr>
                <w:sz w:val="16"/>
              </w:rPr>
            </w:pPr>
            <w:r>
              <w:rPr>
                <w:spacing w:val="-5"/>
                <w:sz w:val="16"/>
              </w:rPr>
              <w:t>NA</w:t>
            </w:r>
          </w:p>
        </w:tc>
        <w:tc>
          <w:tcPr>
            <w:tcW w:w="2564" w:type="dxa"/>
            <w:gridSpan w:val="3"/>
            <w:shd w:val="clear" w:color="auto" w:fill="CCE1EC"/>
          </w:tcPr>
          <w:p w14:paraId="3C0871E4" w14:textId="77777777" w:rsidR="00141B97" w:rsidRDefault="00911D63">
            <w:pPr>
              <w:pStyle w:val="TableParagraph"/>
              <w:spacing w:before="97"/>
              <w:ind w:left="1096" w:right="1086"/>
              <w:jc w:val="center"/>
              <w:rPr>
                <w:sz w:val="16"/>
              </w:rPr>
            </w:pPr>
            <w:r>
              <w:rPr>
                <w:spacing w:val="-4"/>
                <w:sz w:val="16"/>
              </w:rPr>
              <w:t>100%</w:t>
            </w:r>
          </w:p>
        </w:tc>
      </w:tr>
    </w:tbl>
    <w:p w14:paraId="21FD8903" w14:textId="77777777" w:rsidR="00141B97" w:rsidRDefault="00911D63">
      <w:pPr>
        <w:spacing w:before="23"/>
        <w:ind w:left="112"/>
        <w:rPr>
          <w:sz w:val="16"/>
        </w:rPr>
      </w:pPr>
      <w:r>
        <w:rPr>
          <w:sz w:val="16"/>
        </w:rPr>
        <w:t>Table</w:t>
      </w:r>
      <w:r>
        <w:rPr>
          <w:spacing w:val="-5"/>
          <w:sz w:val="16"/>
        </w:rPr>
        <w:t xml:space="preserve"> </w:t>
      </w:r>
      <w:r>
        <w:rPr>
          <w:sz w:val="16"/>
        </w:rPr>
        <w:t>ES4:</w:t>
      </w:r>
      <w:r>
        <w:rPr>
          <w:spacing w:val="-3"/>
          <w:sz w:val="16"/>
        </w:rPr>
        <w:t xml:space="preserve"> </w:t>
      </w:r>
      <w:r>
        <w:rPr>
          <w:sz w:val="16"/>
        </w:rPr>
        <w:t>Rural</w:t>
      </w:r>
      <w:r>
        <w:rPr>
          <w:spacing w:val="-4"/>
          <w:sz w:val="16"/>
        </w:rPr>
        <w:t xml:space="preserve"> </w:t>
      </w:r>
      <w:r>
        <w:rPr>
          <w:sz w:val="16"/>
        </w:rPr>
        <w:t>Customer</w:t>
      </w:r>
      <w:r>
        <w:rPr>
          <w:spacing w:val="-6"/>
          <w:sz w:val="16"/>
        </w:rPr>
        <w:t xml:space="preserve"> </w:t>
      </w:r>
      <w:r>
        <w:rPr>
          <w:sz w:val="16"/>
        </w:rPr>
        <w:t>Outcome</w:t>
      </w:r>
      <w:r>
        <w:rPr>
          <w:spacing w:val="-4"/>
          <w:sz w:val="16"/>
        </w:rPr>
        <w:t xml:space="preserve"> </w:t>
      </w:r>
      <w:r>
        <w:rPr>
          <w:sz w:val="16"/>
        </w:rPr>
        <w:t>Performance</w:t>
      </w:r>
      <w:r>
        <w:rPr>
          <w:spacing w:val="-4"/>
          <w:sz w:val="16"/>
        </w:rPr>
        <w:t xml:space="preserve"> </w:t>
      </w:r>
      <w:r>
        <w:rPr>
          <w:spacing w:val="-2"/>
          <w:sz w:val="16"/>
        </w:rPr>
        <w:t>Targets</w:t>
      </w:r>
    </w:p>
    <w:p w14:paraId="167DFDC7" w14:textId="77777777" w:rsidR="00141B97" w:rsidRDefault="00141B97">
      <w:pPr>
        <w:rPr>
          <w:sz w:val="16"/>
        </w:rPr>
        <w:sectPr w:rsidR="00141B97">
          <w:pgSz w:w="12240" w:h="15840"/>
          <w:pgMar w:top="1000" w:right="880" w:bottom="1200" w:left="1020" w:header="0" w:footer="1014" w:gutter="0"/>
          <w:cols w:space="720"/>
        </w:sectPr>
      </w:pPr>
    </w:p>
    <w:p w14:paraId="7A7D6BEB" w14:textId="77777777" w:rsidR="00141B97" w:rsidRDefault="00911D63">
      <w:pPr>
        <w:pStyle w:val="Heading2"/>
        <w:spacing w:before="31"/>
        <w:ind w:left="112" w:firstLine="0"/>
      </w:pPr>
      <w:r>
        <w:rPr>
          <w:color w:val="009BAC"/>
        </w:rPr>
        <w:lastRenderedPageBreak/>
        <w:t>Major</w:t>
      </w:r>
      <w:r>
        <w:rPr>
          <w:color w:val="009BAC"/>
          <w:spacing w:val="-4"/>
        </w:rPr>
        <w:t xml:space="preserve"> </w:t>
      </w:r>
      <w:r>
        <w:rPr>
          <w:color w:val="009BAC"/>
        </w:rPr>
        <w:t>Projects</w:t>
      </w:r>
      <w:r>
        <w:rPr>
          <w:color w:val="009BAC"/>
          <w:spacing w:val="-4"/>
        </w:rPr>
        <w:t xml:space="preserve"> </w:t>
      </w:r>
      <w:r>
        <w:rPr>
          <w:color w:val="009BAC"/>
        </w:rPr>
        <w:t>and</w:t>
      </w:r>
      <w:r>
        <w:rPr>
          <w:color w:val="009BAC"/>
          <w:spacing w:val="-3"/>
        </w:rPr>
        <w:t xml:space="preserve"> </w:t>
      </w:r>
      <w:r>
        <w:rPr>
          <w:color w:val="009BAC"/>
          <w:spacing w:val="-2"/>
        </w:rPr>
        <w:t>Programs</w:t>
      </w:r>
    </w:p>
    <w:p w14:paraId="38A21227" w14:textId="77777777" w:rsidR="00141B97" w:rsidRDefault="00141B97">
      <w:pPr>
        <w:pStyle w:val="BodyText"/>
        <w:spacing w:before="11"/>
        <w:rPr>
          <w:sz w:val="21"/>
        </w:rPr>
      </w:pPr>
    </w:p>
    <w:p w14:paraId="3C9F3EB4" w14:textId="77777777" w:rsidR="00141B97" w:rsidRDefault="00911D63">
      <w:pPr>
        <w:pStyle w:val="BodyText"/>
        <w:ind w:left="112"/>
      </w:pPr>
      <w:r>
        <w:t>The</w:t>
      </w:r>
      <w:r>
        <w:rPr>
          <w:spacing w:val="-4"/>
        </w:rPr>
        <w:t xml:space="preserve"> </w:t>
      </w:r>
      <w:r>
        <w:t>Top</w:t>
      </w:r>
      <w:r>
        <w:rPr>
          <w:spacing w:val="-5"/>
        </w:rPr>
        <w:t xml:space="preserve"> </w:t>
      </w:r>
      <w:r>
        <w:t>10</w:t>
      </w:r>
      <w:r>
        <w:rPr>
          <w:spacing w:val="-2"/>
        </w:rPr>
        <w:t xml:space="preserve"> </w:t>
      </w:r>
      <w:r>
        <w:t>Major</w:t>
      </w:r>
      <w:r>
        <w:rPr>
          <w:spacing w:val="-4"/>
        </w:rPr>
        <w:t xml:space="preserve"> </w:t>
      </w:r>
      <w:r>
        <w:t>Projects</w:t>
      </w:r>
      <w:r>
        <w:rPr>
          <w:spacing w:val="-4"/>
        </w:rPr>
        <w:t xml:space="preserve"> </w:t>
      </w:r>
      <w:r>
        <w:t>for</w:t>
      </w:r>
      <w:r>
        <w:rPr>
          <w:spacing w:val="-2"/>
        </w:rPr>
        <w:t xml:space="preserve"> </w:t>
      </w:r>
      <w:r>
        <w:t>the</w:t>
      </w:r>
      <w:r>
        <w:rPr>
          <w:spacing w:val="-2"/>
        </w:rPr>
        <w:t xml:space="preserve"> </w:t>
      </w:r>
      <w:r>
        <w:t>business</w:t>
      </w:r>
      <w:r>
        <w:rPr>
          <w:spacing w:val="-3"/>
        </w:rPr>
        <w:t xml:space="preserve"> </w:t>
      </w:r>
      <w:r>
        <w:t>are</w:t>
      </w:r>
      <w:r>
        <w:rPr>
          <w:spacing w:val="-2"/>
        </w:rPr>
        <w:t xml:space="preserve"> </w:t>
      </w:r>
      <w:r>
        <w:t>set</w:t>
      </w:r>
      <w:r>
        <w:rPr>
          <w:spacing w:val="-4"/>
        </w:rPr>
        <w:t xml:space="preserve"> </w:t>
      </w:r>
      <w:r>
        <w:t>out</w:t>
      </w:r>
      <w:r>
        <w:rPr>
          <w:spacing w:val="-5"/>
        </w:rPr>
        <w:t xml:space="preserve"> </w:t>
      </w:r>
      <w:r>
        <w:rPr>
          <w:spacing w:val="-2"/>
        </w:rPr>
        <w:t>below:</w:t>
      </w:r>
    </w:p>
    <w:p w14:paraId="443565BE" w14:textId="77777777" w:rsidR="00141B97" w:rsidRDefault="00141B97">
      <w:pPr>
        <w:pStyle w:val="BodyText"/>
        <w:spacing w:before="4"/>
        <w:rPr>
          <w:sz w:val="23"/>
        </w:rPr>
      </w:pPr>
    </w:p>
    <w:tbl>
      <w:tblPr>
        <w:tblW w:w="0" w:type="auto"/>
        <w:tblCellSpacing w:w="7" w:type="dxa"/>
        <w:tblInd w:w="139" w:type="dxa"/>
        <w:tblLayout w:type="fixed"/>
        <w:tblCellMar>
          <w:left w:w="0" w:type="dxa"/>
          <w:right w:w="0" w:type="dxa"/>
        </w:tblCellMar>
        <w:tblLook w:val="01E0" w:firstRow="1" w:lastRow="1" w:firstColumn="1" w:lastColumn="1" w:noHBand="0" w:noVBand="0"/>
      </w:tblPr>
      <w:tblGrid>
        <w:gridCol w:w="556"/>
        <w:gridCol w:w="3784"/>
        <w:gridCol w:w="1226"/>
        <w:gridCol w:w="1825"/>
        <w:gridCol w:w="2026"/>
      </w:tblGrid>
      <w:tr w:rsidR="00141B97" w14:paraId="45FF72B1" w14:textId="77777777">
        <w:trPr>
          <w:trHeight w:val="479"/>
          <w:tblCellSpacing w:w="7" w:type="dxa"/>
        </w:trPr>
        <w:tc>
          <w:tcPr>
            <w:tcW w:w="535" w:type="dxa"/>
            <w:shd w:val="clear" w:color="auto" w:fill="006CA2"/>
          </w:tcPr>
          <w:p w14:paraId="4F8D0882" w14:textId="77777777" w:rsidR="00141B97" w:rsidRDefault="00911D63">
            <w:pPr>
              <w:pStyle w:val="TableParagraph"/>
              <w:spacing w:before="131"/>
              <w:ind w:right="152"/>
              <w:jc w:val="right"/>
              <w:rPr>
                <w:sz w:val="18"/>
              </w:rPr>
            </w:pPr>
            <w:r>
              <w:rPr>
                <w:color w:val="FFFFFF"/>
                <w:spacing w:val="-5"/>
                <w:sz w:val="18"/>
              </w:rPr>
              <w:t>No.</w:t>
            </w:r>
          </w:p>
        </w:tc>
        <w:tc>
          <w:tcPr>
            <w:tcW w:w="3770" w:type="dxa"/>
            <w:shd w:val="clear" w:color="auto" w:fill="006CA2"/>
          </w:tcPr>
          <w:p w14:paraId="708C3EF0" w14:textId="77777777" w:rsidR="00141B97" w:rsidRDefault="00911D63">
            <w:pPr>
              <w:pStyle w:val="TableParagraph"/>
              <w:spacing w:before="131"/>
              <w:ind w:left="1355" w:right="1392"/>
              <w:jc w:val="center"/>
              <w:rPr>
                <w:sz w:val="18"/>
              </w:rPr>
            </w:pPr>
            <w:r>
              <w:rPr>
                <w:color w:val="FFFFFF"/>
                <w:sz w:val="18"/>
              </w:rPr>
              <w:t>Business</w:t>
            </w:r>
            <w:r>
              <w:rPr>
                <w:color w:val="FFFFFF"/>
                <w:spacing w:val="-3"/>
                <w:sz w:val="18"/>
              </w:rPr>
              <w:t xml:space="preserve"> </w:t>
            </w:r>
            <w:r>
              <w:rPr>
                <w:color w:val="FFFFFF"/>
                <w:spacing w:val="-4"/>
                <w:sz w:val="18"/>
              </w:rPr>
              <w:t>Case</w:t>
            </w:r>
          </w:p>
        </w:tc>
        <w:tc>
          <w:tcPr>
            <w:tcW w:w="1212" w:type="dxa"/>
            <w:shd w:val="clear" w:color="auto" w:fill="006CA2"/>
          </w:tcPr>
          <w:p w14:paraId="4F57639D" w14:textId="77777777" w:rsidR="00141B97" w:rsidRDefault="00911D63">
            <w:pPr>
              <w:pStyle w:val="TableParagraph"/>
              <w:spacing w:before="20"/>
              <w:ind w:left="228" w:hanging="92"/>
              <w:rPr>
                <w:sz w:val="18"/>
              </w:rPr>
            </w:pPr>
            <w:r>
              <w:rPr>
                <w:color w:val="FFFFFF"/>
                <w:sz w:val="18"/>
              </w:rPr>
              <w:t>Total</w:t>
            </w:r>
            <w:r>
              <w:rPr>
                <w:color w:val="FFFFFF"/>
                <w:spacing w:val="-11"/>
                <w:sz w:val="18"/>
              </w:rPr>
              <w:t xml:space="preserve"> </w:t>
            </w:r>
            <w:r>
              <w:rPr>
                <w:color w:val="FFFFFF"/>
                <w:sz w:val="18"/>
              </w:rPr>
              <w:t>Project Cost ($m)</w:t>
            </w:r>
          </w:p>
        </w:tc>
        <w:tc>
          <w:tcPr>
            <w:tcW w:w="1811" w:type="dxa"/>
            <w:shd w:val="clear" w:color="auto" w:fill="006CA2"/>
          </w:tcPr>
          <w:p w14:paraId="66956390" w14:textId="77777777" w:rsidR="00141B97" w:rsidRDefault="00911D63">
            <w:pPr>
              <w:pStyle w:val="TableParagraph"/>
              <w:spacing w:before="20"/>
              <w:ind w:left="552" w:hanging="15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2005" w:type="dxa"/>
            <w:shd w:val="clear" w:color="auto" w:fill="006CA2"/>
          </w:tcPr>
          <w:p w14:paraId="0C1969E0" w14:textId="77777777" w:rsidR="00141B97" w:rsidRDefault="00911D63">
            <w:pPr>
              <w:pStyle w:val="TableParagraph"/>
              <w:spacing w:before="131"/>
              <w:ind w:left="401" w:right="430"/>
              <w:jc w:val="center"/>
              <w:rPr>
                <w:sz w:val="18"/>
              </w:rPr>
            </w:pPr>
            <w:r>
              <w:rPr>
                <w:color w:val="FFFFFF"/>
                <w:sz w:val="18"/>
              </w:rPr>
              <w:t>ESC</w:t>
            </w:r>
            <w:r>
              <w:rPr>
                <w:color w:val="FFFFFF"/>
                <w:spacing w:val="-4"/>
                <w:sz w:val="18"/>
              </w:rPr>
              <w:t xml:space="preserve"> </w:t>
            </w:r>
            <w:r>
              <w:rPr>
                <w:color w:val="FFFFFF"/>
                <w:sz w:val="18"/>
              </w:rPr>
              <w:t xml:space="preserve">Cost </w:t>
            </w:r>
            <w:r>
              <w:rPr>
                <w:color w:val="FFFFFF"/>
                <w:spacing w:val="-2"/>
                <w:sz w:val="18"/>
              </w:rPr>
              <w:t>Driver</w:t>
            </w:r>
          </w:p>
        </w:tc>
      </w:tr>
      <w:tr w:rsidR="00141B97" w14:paraId="6B2ACADA" w14:textId="77777777">
        <w:trPr>
          <w:trHeight w:val="299"/>
          <w:tblCellSpacing w:w="7" w:type="dxa"/>
        </w:trPr>
        <w:tc>
          <w:tcPr>
            <w:tcW w:w="535" w:type="dxa"/>
            <w:shd w:val="clear" w:color="auto" w:fill="CCE1EC"/>
          </w:tcPr>
          <w:p w14:paraId="73DFD29B" w14:textId="77777777" w:rsidR="00141B97" w:rsidRDefault="00911D63">
            <w:pPr>
              <w:pStyle w:val="TableParagraph"/>
              <w:spacing w:before="39"/>
              <w:ind w:right="213"/>
              <w:jc w:val="right"/>
              <w:rPr>
                <w:sz w:val="18"/>
              </w:rPr>
            </w:pPr>
            <w:r>
              <w:rPr>
                <w:sz w:val="18"/>
              </w:rPr>
              <w:t>1</w:t>
            </w:r>
          </w:p>
        </w:tc>
        <w:tc>
          <w:tcPr>
            <w:tcW w:w="3770" w:type="dxa"/>
            <w:shd w:val="clear" w:color="auto" w:fill="CCE1EC"/>
          </w:tcPr>
          <w:p w14:paraId="6C9F6A22" w14:textId="77777777" w:rsidR="00141B97" w:rsidRDefault="00911D63">
            <w:pPr>
              <w:pStyle w:val="TableParagraph"/>
              <w:spacing w:before="39"/>
              <w:ind w:left="100"/>
              <w:rPr>
                <w:sz w:val="18"/>
              </w:rPr>
            </w:pPr>
            <w:r>
              <w:rPr>
                <w:sz w:val="18"/>
              </w:rPr>
              <w:t>Purchase</w:t>
            </w:r>
            <w:r>
              <w:rPr>
                <w:spacing w:val="-3"/>
                <w:sz w:val="18"/>
              </w:rPr>
              <w:t xml:space="preserve"> </w:t>
            </w:r>
            <w:r>
              <w:rPr>
                <w:sz w:val="18"/>
              </w:rPr>
              <w:t>of</w:t>
            </w:r>
            <w:r>
              <w:rPr>
                <w:spacing w:val="-2"/>
                <w:sz w:val="18"/>
              </w:rPr>
              <w:t xml:space="preserve"> Water</w:t>
            </w:r>
          </w:p>
        </w:tc>
        <w:tc>
          <w:tcPr>
            <w:tcW w:w="1212" w:type="dxa"/>
            <w:shd w:val="clear" w:color="auto" w:fill="CCE1EC"/>
          </w:tcPr>
          <w:p w14:paraId="3AB794DC" w14:textId="77777777" w:rsidR="00141B97" w:rsidRDefault="00911D63">
            <w:pPr>
              <w:pStyle w:val="TableParagraph"/>
              <w:spacing w:before="39"/>
              <w:ind w:left="386" w:right="386"/>
              <w:jc w:val="center"/>
              <w:rPr>
                <w:sz w:val="18"/>
              </w:rPr>
            </w:pPr>
            <w:r>
              <w:rPr>
                <w:spacing w:val="-4"/>
                <w:sz w:val="18"/>
              </w:rPr>
              <w:t>8.09</w:t>
            </w:r>
          </w:p>
        </w:tc>
        <w:tc>
          <w:tcPr>
            <w:tcW w:w="1811" w:type="dxa"/>
            <w:shd w:val="clear" w:color="auto" w:fill="CCE1EC"/>
          </w:tcPr>
          <w:p w14:paraId="2FD6952A" w14:textId="77777777" w:rsidR="00141B97" w:rsidRDefault="00911D63">
            <w:pPr>
              <w:pStyle w:val="TableParagraph"/>
              <w:spacing w:before="39"/>
              <w:ind w:left="297" w:right="297"/>
              <w:jc w:val="center"/>
              <w:rPr>
                <w:sz w:val="18"/>
              </w:rPr>
            </w:pPr>
            <w:r>
              <w:rPr>
                <w:sz w:val="18"/>
              </w:rPr>
              <w:t>Urban</w:t>
            </w:r>
            <w:r>
              <w:rPr>
                <w:spacing w:val="-3"/>
                <w:sz w:val="18"/>
              </w:rPr>
              <w:t xml:space="preserve"> </w:t>
            </w:r>
            <w:r>
              <w:rPr>
                <w:spacing w:val="-2"/>
                <w:sz w:val="18"/>
              </w:rPr>
              <w:t>Water</w:t>
            </w:r>
          </w:p>
        </w:tc>
        <w:tc>
          <w:tcPr>
            <w:tcW w:w="2005" w:type="dxa"/>
            <w:shd w:val="clear" w:color="auto" w:fill="CCE1EC"/>
          </w:tcPr>
          <w:p w14:paraId="56252C8C" w14:textId="77777777" w:rsidR="00141B97" w:rsidRDefault="00911D63">
            <w:pPr>
              <w:pStyle w:val="TableParagraph"/>
              <w:spacing w:before="39"/>
              <w:ind w:left="422" w:right="418"/>
              <w:jc w:val="center"/>
              <w:rPr>
                <w:sz w:val="18"/>
              </w:rPr>
            </w:pPr>
            <w:r>
              <w:rPr>
                <w:spacing w:val="-2"/>
                <w:sz w:val="18"/>
              </w:rPr>
              <w:t>Growth</w:t>
            </w:r>
          </w:p>
        </w:tc>
      </w:tr>
      <w:tr w:rsidR="00141B97" w14:paraId="7D3F4DAD" w14:textId="77777777">
        <w:trPr>
          <w:trHeight w:val="436"/>
          <w:tblCellSpacing w:w="7" w:type="dxa"/>
        </w:trPr>
        <w:tc>
          <w:tcPr>
            <w:tcW w:w="535" w:type="dxa"/>
            <w:shd w:val="clear" w:color="auto" w:fill="CCE1EC"/>
          </w:tcPr>
          <w:p w14:paraId="63B4FEC9" w14:textId="77777777" w:rsidR="00141B97" w:rsidRDefault="00911D63">
            <w:pPr>
              <w:pStyle w:val="TableParagraph"/>
              <w:spacing w:before="109"/>
              <w:ind w:right="213"/>
              <w:jc w:val="right"/>
              <w:rPr>
                <w:sz w:val="18"/>
              </w:rPr>
            </w:pPr>
            <w:r>
              <w:rPr>
                <w:sz w:val="18"/>
              </w:rPr>
              <w:t>2</w:t>
            </w:r>
          </w:p>
        </w:tc>
        <w:tc>
          <w:tcPr>
            <w:tcW w:w="3770" w:type="dxa"/>
            <w:shd w:val="clear" w:color="auto" w:fill="CCE1EC"/>
          </w:tcPr>
          <w:p w14:paraId="319F4CF2" w14:textId="77777777" w:rsidR="00141B97" w:rsidRDefault="00911D63">
            <w:pPr>
              <w:pStyle w:val="TableParagraph"/>
              <w:spacing w:before="109"/>
              <w:ind w:left="100"/>
              <w:rPr>
                <w:sz w:val="18"/>
              </w:rPr>
            </w:pPr>
            <w:r>
              <w:rPr>
                <w:sz w:val="18"/>
              </w:rPr>
              <w:t>Water</w:t>
            </w:r>
            <w:r>
              <w:rPr>
                <w:spacing w:val="-2"/>
                <w:sz w:val="18"/>
              </w:rPr>
              <w:t xml:space="preserve"> </w:t>
            </w:r>
            <w:r>
              <w:rPr>
                <w:sz w:val="18"/>
              </w:rPr>
              <w:t>Mains</w:t>
            </w:r>
            <w:r>
              <w:rPr>
                <w:spacing w:val="-1"/>
                <w:sz w:val="18"/>
              </w:rPr>
              <w:t xml:space="preserve"> </w:t>
            </w:r>
            <w:r>
              <w:rPr>
                <w:sz w:val="18"/>
              </w:rPr>
              <w:t>Upgrade</w:t>
            </w:r>
            <w:r>
              <w:rPr>
                <w:spacing w:val="-1"/>
                <w:sz w:val="18"/>
              </w:rPr>
              <w:t xml:space="preserve"> </w:t>
            </w:r>
            <w:r>
              <w:rPr>
                <w:sz w:val="18"/>
              </w:rPr>
              <w:t>in</w:t>
            </w:r>
            <w:r>
              <w:rPr>
                <w:spacing w:val="-1"/>
                <w:sz w:val="18"/>
              </w:rPr>
              <w:t xml:space="preserve"> </w:t>
            </w:r>
            <w:r>
              <w:rPr>
                <w:spacing w:val="-2"/>
                <w:sz w:val="18"/>
              </w:rPr>
              <w:t>Mildura</w:t>
            </w:r>
          </w:p>
        </w:tc>
        <w:tc>
          <w:tcPr>
            <w:tcW w:w="1212" w:type="dxa"/>
            <w:shd w:val="clear" w:color="auto" w:fill="CCE1EC"/>
          </w:tcPr>
          <w:p w14:paraId="4757B748" w14:textId="77777777" w:rsidR="00141B97" w:rsidRDefault="00911D63">
            <w:pPr>
              <w:pStyle w:val="TableParagraph"/>
              <w:spacing w:before="109"/>
              <w:ind w:left="386" w:right="386"/>
              <w:jc w:val="center"/>
              <w:rPr>
                <w:sz w:val="18"/>
              </w:rPr>
            </w:pPr>
            <w:r>
              <w:rPr>
                <w:spacing w:val="-4"/>
                <w:sz w:val="18"/>
              </w:rPr>
              <w:t>3.83</w:t>
            </w:r>
          </w:p>
        </w:tc>
        <w:tc>
          <w:tcPr>
            <w:tcW w:w="1811" w:type="dxa"/>
            <w:shd w:val="clear" w:color="auto" w:fill="CCE1EC"/>
          </w:tcPr>
          <w:p w14:paraId="0B1F170E" w14:textId="77777777" w:rsidR="00141B97" w:rsidRDefault="00911D63">
            <w:pPr>
              <w:pStyle w:val="TableParagraph"/>
              <w:spacing w:before="109"/>
              <w:ind w:left="296" w:right="297"/>
              <w:jc w:val="center"/>
              <w:rPr>
                <w:sz w:val="18"/>
              </w:rPr>
            </w:pPr>
            <w:r>
              <w:rPr>
                <w:sz w:val="18"/>
              </w:rPr>
              <w:t>Urban</w:t>
            </w:r>
            <w:r>
              <w:rPr>
                <w:spacing w:val="-1"/>
                <w:sz w:val="18"/>
              </w:rPr>
              <w:t xml:space="preserve"> </w:t>
            </w:r>
            <w:r>
              <w:rPr>
                <w:spacing w:val="-2"/>
                <w:sz w:val="18"/>
              </w:rPr>
              <w:t>Water</w:t>
            </w:r>
          </w:p>
        </w:tc>
        <w:tc>
          <w:tcPr>
            <w:tcW w:w="2005" w:type="dxa"/>
            <w:shd w:val="clear" w:color="auto" w:fill="CCE1EC"/>
          </w:tcPr>
          <w:p w14:paraId="42C43C04" w14:textId="77777777" w:rsidR="00141B97" w:rsidRDefault="00911D63">
            <w:pPr>
              <w:pStyle w:val="TableParagraph"/>
              <w:spacing w:before="109"/>
              <w:ind w:left="422" w:right="418"/>
              <w:jc w:val="center"/>
              <w:rPr>
                <w:sz w:val="18"/>
              </w:rPr>
            </w:pPr>
            <w:r>
              <w:rPr>
                <w:spacing w:val="-2"/>
                <w:sz w:val="18"/>
              </w:rPr>
              <w:t>Growth</w:t>
            </w:r>
          </w:p>
        </w:tc>
      </w:tr>
      <w:tr w:rsidR="00141B97" w14:paraId="354B3C3C" w14:textId="77777777">
        <w:trPr>
          <w:trHeight w:val="479"/>
          <w:tblCellSpacing w:w="7" w:type="dxa"/>
        </w:trPr>
        <w:tc>
          <w:tcPr>
            <w:tcW w:w="535" w:type="dxa"/>
            <w:shd w:val="clear" w:color="auto" w:fill="CCE1EC"/>
          </w:tcPr>
          <w:p w14:paraId="0093D917" w14:textId="77777777" w:rsidR="00141B97" w:rsidRDefault="00911D63">
            <w:pPr>
              <w:pStyle w:val="TableParagraph"/>
              <w:spacing w:before="130"/>
              <w:ind w:right="213"/>
              <w:jc w:val="right"/>
              <w:rPr>
                <w:sz w:val="18"/>
              </w:rPr>
            </w:pPr>
            <w:r>
              <w:rPr>
                <w:sz w:val="18"/>
              </w:rPr>
              <w:t>3</w:t>
            </w:r>
          </w:p>
        </w:tc>
        <w:tc>
          <w:tcPr>
            <w:tcW w:w="3770" w:type="dxa"/>
            <w:shd w:val="clear" w:color="auto" w:fill="CCE1EC"/>
          </w:tcPr>
          <w:p w14:paraId="42FC08EB" w14:textId="77777777" w:rsidR="00141B97" w:rsidRDefault="00911D63">
            <w:pPr>
              <w:pStyle w:val="TableParagraph"/>
              <w:spacing w:before="20"/>
              <w:ind w:left="100"/>
              <w:rPr>
                <w:sz w:val="18"/>
              </w:rPr>
            </w:pPr>
            <w:r>
              <w:rPr>
                <w:sz w:val="18"/>
              </w:rPr>
              <w:t>New</w:t>
            </w:r>
            <w:r>
              <w:rPr>
                <w:spacing w:val="-5"/>
                <w:sz w:val="18"/>
              </w:rPr>
              <w:t xml:space="preserve"> </w:t>
            </w:r>
            <w:r>
              <w:rPr>
                <w:sz w:val="18"/>
              </w:rPr>
              <w:t>10ML</w:t>
            </w:r>
            <w:r>
              <w:rPr>
                <w:spacing w:val="-5"/>
                <w:sz w:val="18"/>
              </w:rPr>
              <w:t xml:space="preserve"> </w:t>
            </w:r>
            <w:r>
              <w:rPr>
                <w:sz w:val="18"/>
              </w:rPr>
              <w:t>Treated</w:t>
            </w:r>
            <w:r>
              <w:rPr>
                <w:spacing w:val="-4"/>
                <w:sz w:val="18"/>
              </w:rPr>
              <w:t xml:space="preserve"> </w:t>
            </w:r>
            <w:r>
              <w:rPr>
                <w:sz w:val="18"/>
              </w:rPr>
              <w:t>Water</w:t>
            </w:r>
            <w:r>
              <w:rPr>
                <w:spacing w:val="-4"/>
                <w:sz w:val="18"/>
              </w:rPr>
              <w:t xml:space="preserve"> </w:t>
            </w:r>
            <w:r>
              <w:rPr>
                <w:sz w:val="18"/>
              </w:rPr>
              <w:t>Storage</w:t>
            </w:r>
            <w:r>
              <w:rPr>
                <w:spacing w:val="-5"/>
                <w:sz w:val="18"/>
              </w:rPr>
              <w:t xml:space="preserve"> </w:t>
            </w:r>
            <w:r>
              <w:rPr>
                <w:sz w:val="18"/>
              </w:rPr>
              <w:t>and</w:t>
            </w:r>
            <w:r>
              <w:rPr>
                <w:spacing w:val="-4"/>
                <w:sz w:val="18"/>
              </w:rPr>
              <w:t xml:space="preserve"> </w:t>
            </w:r>
            <w:r>
              <w:rPr>
                <w:sz w:val="18"/>
              </w:rPr>
              <w:t>Pump Station upgrade at 14th St Mildura (Stage 1)</w:t>
            </w:r>
          </w:p>
        </w:tc>
        <w:tc>
          <w:tcPr>
            <w:tcW w:w="1212" w:type="dxa"/>
            <w:shd w:val="clear" w:color="auto" w:fill="CCE1EC"/>
          </w:tcPr>
          <w:p w14:paraId="59EEF6BD" w14:textId="77777777" w:rsidR="00141B97" w:rsidRDefault="00911D63">
            <w:pPr>
              <w:pStyle w:val="TableParagraph"/>
              <w:spacing w:before="130"/>
              <w:ind w:left="386" w:right="386"/>
              <w:jc w:val="center"/>
              <w:rPr>
                <w:sz w:val="18"/>
              </w:rPr>
            </w:pPr>
            <w:r>
              <w:rPr>
                <w:spacing w:val="-4"/>
                <w:sz w:val="18"/>
              </w:rPr>
              <w:t>1.11</w:t>
            </w:r>
          </w:p>
        </w:tc>
        <w:tc>
          <w:tcPr>
            <w:tcW w:w="1811" w:type="dxa"/>
            <w:shd w:val="clear" w:color="auto" w:fill="CCE1EC"/>
          </w:tcPr>
          <w:p w14:paraId="3F7C8E05" w14:textId="77777777" w:rsidR="00141B97" w:rsidRDefault="00911D63">
            <w:pPr>
              <w:pStyle w:val="TableParagraph"/>
              <w:spacing w:before="130"/>
              <w:ind w:left="297" w:right="297"/>
              <w:jc w:val="center"/>
              <w:rPr>
                <w:sz w:val="18"/>
              </w:rPr>
            </w:pPr>
            <w:r>
              <w:rPr>
                <w:sz w:val="18"/>
              </w:rPr>
              <w:t>Urban</w:t>
            </w:r>
            <w:r>
              <w:rPr>
                <w:spacing w:val="-3"/>
                <w:sz w:val="18"/>
              </w:rPr>
              <w:t xml:space="preserve"> </w:t>
            </w:r>
            <w:r>
              <w:rPr>
                <w:spacing w:val="-2"/>
                <w:sz w:val="18"/>
              </w:rPr>
              <w:t>Water</w:t>
            </w:r>
          </w:p>
        </w:tc>
        <w:tc>
          <w:tcPr>
            <w:tcW w:w="2005" w:type="dxa"/>
            <w:shd w:val="clear" w:color="auto" w:fill="CCE1EC"/>
          </w:tcPr>
          <w:p w14:paraId="28613C18" w14:textId="77777777" w:rsidR="00141B97" w:rsidRDefault="00911D63">
            <w:pPr>
              <w:pStyle w:val="TableParagraph"/>
              <w:spacing w:before="130"/>
              <w:ind w:left="422" w:right="418"/>
              <w:jc w:val="center"/>
              <w:rPr>
                <w:sz w:val="18"/>
              </w:rPr>
            </w:pPr>
            <w:r>
              <w:rPr>
                <w:spacing w:val="-2"/>
                <w:sz w:val="18"/>
              </w:rPr>
              <w:t>Renewals</w:t>
            </w:r>
          </w:p>
        </w:tc>
      </w:tr>
      <w:tr w:rsidR="00141B97" w14:paraId="0FC80F6D" w14:textId="77777777">
        <w:trPr>
          <w:trHeight w:val="492"/>
          <w:tblCellSpacing w:w="7" w:type="dxa"/>
        </w:trPr>
        <w:tc>
          <w:tcPr>
            <w:tcW w:w="535" w:type="dxa"/>
            <w:tcBorders>
              <w:bottom w:val="nil"/>
            </w:tcBorders>
            <w:shd w:val="clear" w:color="auto" w:fill="CCE1EC"/>
          </w:tcPr>
          <w:p w14:paraId="2252A9A2" w14:textId="77777777" w:rsidR="00141B97" w:rsidRDefault="00911D63">
            <w:pPr>
              <w:pStyle w:val="TableParagraph"/>
              <w:spacing w:before="138"/>
              <w:ind w:right="213"/>
              <w:jc w:val="right"/>
              <w:rPr>
                <w:sz w:val="18"/>
              </w:rPr>
            </w:pPr>
            <w:r>
              <w:rPr>
                <w:sz w:val="18"/>
              </w:rPr>
              <w:t>4</w:t>
            </w:r>
          </w:p>
        </w:tc>
        <w:tc>
          <w:tcPr>
            <w:tcW w:w="3770" w:type="dxa"/>
            <w:tcBorders>
              <w:bottom w:val="nil"/>
            </w:tcBorders>
            <w:shd w:val="clear" w:color="auto" w:fill="CCE1EC"/>
          </w:tcPr>
          <w:p w14:paraId="58426B8A" w14:textId="77777777" w:rsidR="00141B97" w:rsidRDefault="00911D63">
            <w:pPr>
              <w:pStyle w:val="TableParagraph"/>
              <w:spacing w:before="27"/>
              <w:ind w:left="100"/>
              <w:rPr>
                <w:sz w:val="18"/>
              </w:rPr>
            </w:pPr>
            <w:r>
              <w:rPr>
                <w:sz w:val="18"/>
              </w:rPr>
              <w:t>Improving</w:t>
            </w:r>
            <w:r>
              <w:rPr>
                <w:spacing w:val="-4"/>
                <w:sz w:val="18"/>
              </w:rPr>
              <w:t xml:space="preserve"> </w:t>
            </w:r>
            <w:r>
              <w:rPr>
                <w:sz w:val="18"/>
              </w:rPr>
              <w:t>level</w:t>
            </w:r>
            <w:r>
              <w:rPr>
                <w:spacing w:val="-2"/>
                <w:sz w:val="18"/>
              </w:rPr>
              <w:t xml:space="preserve"> </w:t>
            </w:r>
            <w:r>
              <w:rPr>
                <w:sz w:val="18"/>
              </w:rPr>
              <w:t>of</w:t>
            </w:r>
            <w:r>
              <w:rPr>
                <w:spacing w:val="-4"/>
                <w:sz w:val="18"/>
              </w:rPr>
              <w:t xml:space="preserve"> </w:t>
            </w:r>
            <w:r>
              <w:rPr>
                <w:sz w:val="18"/>
              </w:rPr>
              <w:t>service</w:t>
            </w:r>
            <w:r>
              <w:rPr>
                <w:spacing w:val="-4"/>
                <w:sz w:val="18"/>
              </w:rPr>
              <w:t xml:space="preserve"> </w:t>
            </w:r>
            <w:r>
              <w:rPr>
                <w:sz w:val="18"/>
              </w:rPr>
              <w:t>(Pressure)</w:t>
            </w:r>
            <w:r>
              <w:rPr>
                <w:spacing w:val="-4"/>
                <w:sz w:val="18"/>
              </w:rPr>
              <w:t xml:space="preserve"> </w:t>
            </w:r>
            <w:r>
              <w:rPr>
                <w:sz w:val="18"/>
              </w:rPr>
              <w:t>in</w:t>
            </w:r>
            <w:r>
              <w:rPr>
                <w:spacing w:val="-3"/>
                <w:sz w:val="18"/>
              </w:rPr>
              <w:t xml:space="preserve"> </w:t>
            </w:r>
            <w:r>
              <w:rPr>
                <w:sz w:val="18"/>
              </w:rPr>
              <w:t>Red</w:t>
            </w:r>
            <w:r>
              <w:rPr>
                <w:spacing w:val="-3"/>
                <w:sz w:val="18"/>
              </w:rPr>
              <w:t xml:space="preserve"> </w:t>
            </w:r>
            <w:r>
              <w:rPr>
                <w:sz w:val="18"/>
              </w:rPr>
              <w:t>Cliffs Water Distribution</w:t>
            </w:r>
          </w:p>
        </w:tc>
        <w:tc>
          <w:tcPr>
            <w:tcW w:w="1212" w:type="dxa"/>
            <w:tcBorders>
              <w:bottom w:val="nil"/>
            </w:tcBorders>
            <w:shd w:val="clear" w:color="auto" w:fill="CCE1EC"/>
          </w:tcPr>
          <w:p w14:paraId="0724761C" w14:textId="77777777" w:rsidR="00141B97" w:rsidRDefault="00911D63">
            <w:pPr>
              <w:pStyle w:val="TableParagraph"/>
              <w:spacing w:before="138"/>
              <w:ind w:left="386" w:right="386"/>
              <w:jc w:val="center"/>
              <w:rPr>
                <w:sz w:val="18"/>
              </w:rPr>
            </w:pPr>
            <w:r>
              <w:rPr>
                <w:spacing w:val="-4"/>
                <w:sz w:val="18"/>
              </w:rPr>
              <w:t>9.41</w:t>
            </w:r>
          </w:p>
        </w:tc>
        <w:tc>
          <w:tcPr>
            <w:tcW w:w="1811" w:type="dxa"/>
            <w:tcBorders>
              <w:bottom w:val="nil"/>
            </w:tcBorders>
            <w:shd w:val="clear" w:color="auto" w:fill="CCE1EC"/>
          </w:tcPr>
          <w:p w14:paraId="1CD3D602" w14:textId="77777777" w:rsidR="00141B97" w:rsidRDefault="00911D63">
            <w:pPr>
              <w:pStyle w:val="TableParagraph"/>
              <w:spacing w:before="138"/>
              <w:ind w:left="297" w:right="297"/>
              <w:jc w:val="center"/>
              <w:rPr>
                <w:sz w:val="18"/>
              </w:rPr>
            </w:pPr>
            <w:r>
              <w:rPr>
                <w:sz w:val="18"/>
              </w:rPr>
              <w:t>Urban</w:t>
            </w:r>
            <w:r>
              <w:rPr>
                <w:spacing w:val="-3"/>
                <w:sz w:val="18"/>
              </w:rPr>
              <w:t xml:space="preserve"> </w:t>
            </w:r>
            <w:r>
              <w:rPr>
                <w:spacing w:val="-2"/>
                <w:sz w:val="18"/>
              </w:rPr>
              <w:t>Water</w:t>
            </w:r>
          </w:p>
        </w:tc>
        <w:tc>
          <w:tcPr>
            <w:tcW w:w="2005" w:type="dxa"/>
            <w:tcBorders>
              <w:bottom w:val="nil"/>
            </w:tcBorders>
            <w:shd w:val="clear" w:color="auto" w:fill="CCE1EC"/>
          </w:tcPr>
          <w:p w14:paraId="05C5C94C" w14:textId="77777777" w:rsidR="00141B97" w:rsidRDefault="00911D63">
            <w:pPr>
              <w:pStyle w:val="TableParagraph"/>
              <w:spacing w:before="27"/>
              <w:ind w:left="572" w:hanging="135"/>
              <w:rPr>
                <w:sz w:val="18"/>
              </w:rPr>
            </w:pPr>
            <w:r>
              <w:rPr>
                <w:spacing w:val="-2"/>
                <w:sz w:val="18"/>
              </w:rPr>
              <w:t>Improvements/</w:t>
            </w:r>
            <w:r>
              <w:rPr>
                <w:sz w:val="18"/>
              </w:rPr>
              <w:t xml:space="preserve"> </w:t>
            </w:r>
            <w:r>
              <w:rPr>
                <w:spacing w:val="-2"/>
                <w:sz w:val="18"/>
              </w:rPr>
              <w:t>Compliance</w:t>
            </w:r>
          </w:p>
        </w:tc>
      </w:tr>
      <w:tr w:rsidR="00141B97" w14:paraId="2BF08C09" w14:textId="77777777">
        <w:trPr>
          <w:trHeight w:val="432"/>
          <w:tblCellSpacing w:w="7" w:type="dxa"/>
        </w:trPr>
        <w:tc>
          <w:tcPr>
            <w:tcW w:w="535" w:type="dxa"/>
            <w:tcBorders>
              <w:top w:val="nil"/>
            </w:tcBorders>
            <w:shd w:val="clear" w:color="auto" w:fill="CCE1EC"/>
          </w:tcPr>
          <w:p w14:paraId="09047F86" w14:textId="77777777" w:rsidR="00141B97" w:rsidRDefault="00911D63">
            <w:pPr>
              <w:pStyle w:val="TableParagraph"/>
              <w:spacing w:before="105"/>
              <w:ind w:right="213"/>
              <w:jc w:val="right"/>
              <w:rPr>
                <w:sz w:val="18"/>
              </w:rPr>
            </w:pPr>
            <w:r>
              <w:rPr>
                <w:sz w:val="18"/>
              </w:rPr>
              <w:t>5</w:t>
            </w:r>
          </w:p>
        </w:tc>
        <w:tc>
          <w:tcPr>
            <w:tcW w:w="3770" w:type="dxa"/>
            <w:tcBorders>
              <w:top w:val="nil"/>
            </w:tcBorders>
            <w:shd w:val="clear" w:color="auto" w:fill="CCE1EC"/>
          </w:tcPr>
          <w:p w14:paraId="0C9CF0A1" w14:textId="77777777" w:rsidR="00141B97" w:rsidRDefault="00911D63">
            <w:pPr>
              <w:pStyle w:val="TableParagraph"/>
              <w:spacing w:before="105"/>
              <w:ind w:left="100"/>
              <w:rPr>
                <w:sz w:val="18"/>
              </w:rPr>
            </w:pPr>
            <w:r>
              <w:rPr>
                <w:sz w:val="18"/>
              </w:rPr>
              <w:t>New</w:t>
            </w:r>
            <w:r>
              <w:rPr>
                <w:spacing w:val="-4"/>
                <w:sz w:val="18"/>
              </w:rPr>
              <w:t xml:space="preserve"> </w:t>
            </w:r>
            <w:r>
              <w:rPr>
                <w:sz w:val="18"/>
              </w:rPr>
              <w:t>Swan</w:t>
            </w:r>
            <w:r>
              <w:rPr>
                <w:spacing w:val="-2"/>
                <w:sz w:val="18"/>
              </w:rPr>
              <w:t xml:space="preserve"> </w:t>
            </w:r>
            <w:r>
              <w:rPr>
                <w:sz w:val="18"/>
              </w:rPr>
              <w:t>Hill</w:t>
            </w:r>
            <w:r>
              <w:rPr>
                <w:spacing w:val="-1"/>
                <w:sz w:val="18"/>
              </w:rPr>
              <w:t xml:space="preserve"> </w:t>
            </w:r>
            <w:r>
              <w:rPr>
                <w:sz w:val="18"/>
              </w:rPr>
              <w:t>water</w:t>
            </w:r>
            <w:r>
              <w:rPr>
                <w:spacing w:val="-3"/>
                <w:sz w:val="18"/>
              </w:rPr>
              <w:t xml:space="preserve"> </w:t>
            </w:r>
            <w:r>
              <w:rPr>
                <w:sz w:val="18"/>
              </w:rPr>
              <w:t>treatment</w:t>
            </w:r>
            <w:r>
              <w:rPr>
                <w:spacing w:val="-1"/>
                <w:sz w:val="18"/>
              </w:rPr>
              <w:t xml:space="preserve"> </w:t>
            </w:r>
            <w:r>
              <w:rPr>
                <w:sz w:val="18"/>
              </w:rPr>
              <w:t>plan</w:t>
            </w:r>
            <w:r>
              <w:rPr>
                <w:spacing w:val="-2"/>
                <w:sz w:val="18"/>
              </w:rPr>
              <w:t xml:space="preserve"> </w:t>
            </w:r>
            <w:r>
              <w:rPr>
                <w:sz w:val="18"/>
              </w:rPr>
              <w:t>(Stage</w:t>
            </w:r>
            <w:r>
              <w:rPr>
                <w:spacing w:val="-2"/>
                <w:sz w:val="18"/>
              </w:rPr>
              <w:t xml:space="preserve"> </w:t>
            </w:r>
            <w:r>
              <w:rPr>
                <w:spacing w:val="-5"/>
                <w:sz w:val="18"/>
              </w:rPr>
              <w:t>1)</w:t>
            </w:r>
          </w:p>
        </w:tc>
        <w:tc>
          <w:tcPr>
            <w:tcW w:w="1212" w:type="dxa"/>
            <w:tcBorders>
              <w:top w:val="nil"/>
            </w:tcBorders>
            <w:shd w:val="clear" w:color="auto" w:fill="CCE1EC"/>
          </w:tcPr>
          <w:p w14:paraId="7BC805C2" w14:textId="77777777" w:rsidR="00141B97" w:rsidRDefault="00911D63">
            <w:pPr>
              <w:pStyle w:val="TableParagraph"/>
              <w:spacing w:before="105"/>
              <w:ind w:left="386" w:right="386"/>
              <w:jc w:val="center"/>
              <w:rPr>
                <w:sz w:val="18"/>
              </w:rPr>
            </w:pPr>
            <w:r>
              <w:rPr>
                <w:spacing w:val="-4"/>
                <w:sz w:val="18"/>
              </w:rPr>
              <w:t>1.00</w:t>
            </w:r>
          </w:p>
        </w:tc>
        <w:tc>
          <w:tcPr>
            <w:tcW w:w="1811" w:type="dxa"/>
            <w:tcBorders>
              <w:top w:val="nil"/>
            </w:tcBorders>
            <w:shd w:val="clear" w:color="auto" w:fill="CCE1EC"/>
          </w:tcPr>
          <w:p w14:paraId="4391E94C" w14:textId="77777777" w:rsidR="00141B97" w:rsidRDefault="00911D63">
            <w:pPr>
              <w:pStyle w:val="TableParagraph"/>
              <w:spacing w:before="105"/>
              <w:ind w:left="297" w:right="297"/>
              <w:jc w:val="center"/>
              <w:rPr>
                <w:sz w:val="18"/>
              </w:rPr>
            </w:pPr>
            <w:r>
              <w:rPr>
                <w:sz w:val="18"/>
              </w:rPr>
              <w:t>Urban</w:t>
            </w:r>
            <w:r>
              <w:rPr>
                <w:spacing w:val="-3"/>
                <w:sz w:val="18"/>
              </w:rPr>
              <w:t xml:space="preserve"> </w:t>
            </w:r>
            <w:r>
              <w:rPr>
                <w:spacing w:val="-2"/>
                <w:sz w:val="18"/>
              </w:rPr>
              <w:t>Water</w:t>
            </w:r>
          </w:p>
        </w:tc>
        <w:tc>
          <w:tcPr>
            <w:tcW w:w="2005" w:type="dxa"/>
            <w:tcBorders>
              <w:top w:val="nil"/>
            </w:tcBorders>
            <w:shd w:val="clear" w:color="auto" w:fill="CCE1EC"/>
          </w:tcPr>
          <w:p w14:paraId="4FAFF255" w14:textId="77777777" w:rsidR="00141B97" w:rsidRDefault="00911D63">
            <w:pPr>
              <w:pStyle w:val="TableParagraph"/>
              <w:spacing w:before="105"/>
              <w:ind w:left="422" w:right="418"/>
              <w:jc w:val="center"/>
              <w:rPr>
                <w:sz w:val="18"/>
              </w:rPr>
            </w:pPr>
            <w:r>
              <w:rPr>
                <w:spacing w:val="-2"/>
                <w:sz w:val="18"/>
              </w:rPr>
              <w:t>Growth</w:t>
            </w:r>
          </w:p>
        </w:tc>
      </w:tr>
      <w:tr w:rsidR="00141B97" w14:paraId="77BA7189" w14:textId="77777777">
        <w:trPr>
          <w:trHeight w:val="437"/>
          <w:tblCellSpacing w:w="7" w:type="dxa"/>
        </w:trPr>
        <w:tc>
          <w:tcPr>
            <w:tcW w:w="535" w:type="dxa"/>
            <w:tcBorders>
              <w:bottom w:val="nil"/>
            </w:tcBorders>
            <w:shd w:val="clear" w:color="auto" w:fill="CCE1EC"/>
          </w:tcPr>
          <w:p w14:paraId="4638F0FD" w14:textId="77777777" w:rsidR="00141B97" w:rsidRDefault="00911D63">
            <w:pPr>
              <w:pStyle w:val="TableParagraph"/>
              <w:spacing w:before="111"/>
              <w:ind w:right="213"/>
              <w:jc w:val="right"/>
              <w:rPr>
                <w:sz w:val="18"/>
              </w:rPr>
            </w:pPr>
            <w:r>
              <w:rPr>
                <w:sz w:val="18"/>
              </w:rPr>
              <w:t>6</w:t>
            </w:r>
          </w:p>
        </w:tc>
        <w:tc>
          <w:tcPr>
            <w:tcW w:w="3770" w:type="dxa"/>
            <w:tcBorders>
              <w:bottom w:val="nil"/>
            </w:tcBorders>
            <w:shd w:val="clear" w:color="auto" w:fill="CCE1EC"/>
          </w:tcPr>
          <w:p w14:paraId="1181EAD6" w14:textId="77777777" w:rsidR="00141B97" w:rsidRDefault="00911D63">
            <w:pPr>
              <w:pStyle w:val="TableParagraph"/>
              <w:spacing w:before="111"/>
              <w:ind w:left="100"/>
              <w:rPr>
                <w:sz w:val="18"/>
              </w:rPr>
            </w:pPr>
            <w:r>
              <w:rPr>
                <w:sz w:val="18"/>
              </w:rPr>
              <w:t>Wet</w:t>
            </w:r>
            <w:r>
              <w:rPr>
                <w:spacing w:val="-3"/>
                <w:sz w:val="18"/>
              </w:rPr>
              <w:t xml:space="preserve"> </w:t>
            </w:r>
            <w:r>
              <w:rPr>
                <w:sz w:val="18"/>
              </w:rPr>
              <w:t>Weather</w:t>
            </w:r>
            <w:r>
              <w:rPr>
                <w:spacing w:val="-2"/>
                <w:sz w:val="18"/>
              </w:rPr>
              <w:t xml:space="preserve"> </w:t>
            </w:r>
            <w:r>
              <w:rPr>
                <w:sz w:val="18"/>
              </w:rPr>
              <w:t>Storage</w:t>
            </w:r>
            <w:r>
              <w:rPr>
                <w:spacing w:val="-4"/>
                <w:sz w:val="18"/>
              </w:rPr>
              <w:t xml:space="preserve"> </w:t>
            </w:r>
            <w:r>
              <w:rPr>
                <w:sz w:val="18"/>
              </w:rPr>
              <w:t>for</w:t>
            </w:r>
            <w:r>
              <w:rPr>
                <w:spacing w:val="-2"/>
                <w:sz w:val="18"/>
              </w:rPr>
              <w:t xml:space="preserve"> </w:t>
            </w:r>
            <w:r>
              <w:rPr>
                <w:sz w:val="18"/>
              </w:rPr>
              <w:t>the</w:t>
            </w:r>
            <w:r>
              <w:rPr>
                <w:spacing w:val="-3"/>
                <w:sz w:val="18"/>
              </w:rPr>
              <w:t xml:space="preserve"> </w:t>
            </w:r>
            <w:r>
              <w:rPr>
                <w:sz w:val="18"/>
              </w:rPr>
              <w:t>Koorlong</w:t>
            </w:r>
            <w:r>
              <w:rPr>
                <w:spacing w:val="-3"/>
                <w:sz w:val="18"/>
              </w:rPr>
              <w:t xml:space="preserve"> </w:t>
            </w:r>
            <w:r>
              <w:rPr>
                <w:spacing w:val="-4"/>
                <w:sz w:val="18"/>
              </w:rPr>
              <w:t>WWTP</w:t>
            </w:r>
          </w:p>
        </w:tc>
        <w:tc>
          <w:tcPr>
            <w:tcW w:w="1212" w:type="dxa"/>
            <w:tcBorders>
              <w:bottom w:val="nil"/>
            </w:tcBorders>
            <w:shd w:val="clear" w:color="auto" w:fill="CCE1EC"/>
          </w:tcPr>
          <w:p w14:paraId="401ACDD0" w14:textId="77777777" w:rsidR="00141B97" w:rsidRDefault="00911D63">
            <w:pPr>
              <w:pStyle w:val="TableParagraph"/>
              <w:spacing w:before="111"/>
              <w:ind w:left="386" w:right="386"/>
              <w:jc w:val="center"/>
              <w:rPr>
                <w:sz w:val="18"/>
              </w:rPr>
            </w:pPr>
            <w:r>
              <w:rPr>
                <w:spacing w:val="-4"/>
                <w:sz w:val="18"/>
              </w:rPr>
              <w:t>6.07</w:t>
            </w:r>
          </w:p>
        </w:tc>
        <w:tc>
          <w:tcPr>
            <w:tcW w:w="1811" w:type="dxa"/>
            <w:tcBorders>
              <w:bottom w:val="nil"/>
            </w:tcBorders>
            <w:shd w:val="clear" w:color="auto" w:fill="CCE1EC"/>
          </w:tcPr>
          <w:p w14:paraId="5F5675A2" w14:textId="77777777" w:rsidR="00141B97" w:rsidRDefault="00911D63">
            <w:pPr>
              <w:pStyle w:val="TableParagraph"/>
              <w:spacing w:before="1"/>
              <w:ind w:left="297" w:right="297"/>
              <w:jc w:val="center"/>
              <w:rPr>
                <w:sz w:val="18"/>
              </w:rPr>
            </w:pPr>
            <w:r>
              <w:rPr>
                <w:sz w:val="18"/>
              </w:rPr>
              <w:t>Urban</w:t>
            </w:r>
            <w:r>
              <w:rPr>
                <w:spacing w:val="-3"/>
                <w:sz w:val="18"/>
              </w:rPr>
              <w:t xml:space="preserve"> </w:t>
            </w:r>
            <w:r>
              <w:rPr>
                <w:spacing w:val="-2"/>
                <w:sz w:val="18"/>
              </w:rPr>
              <w:t>Sewerage</w:t>
            </w:r>
          </w:p>
        </w:tc>
        <w:tc>
          <w:tcPr>
            <w:tcW w:w="2005" w:type="dxa"/>
            <w:tcBorders>
              <w:bottom w:val="nil"/>
            </w:tcBorders>
            <w:shd w:val="clear" w:color="auto" w:fill="CCE1EC"/>
          </w:tcPr>
          <w:p w14:paraId="12EBB639" w14:textId="77777777" w:rsidR="00141B97" w:rsidRDefault="00911D63">
            <w:pPr>
              <w:pStyle w:val="TableParagraph"/>
              <w:spacing w:before="111"/>
              <w:ind w:left="422" w:right="418"/>
              <w:jc w:val="center"/>
              <w:rPr>
                <w:sz w:val="18"/>
              </w:rPr>
            </w:pPr>
            <w:r>
              <w:rPr>
                <w:spacing w:val="-2"/>
                <w:sz w:val="18"/>
              </w:rPr>
              <w:t>Growth</w:t>
            </w:r>
          </w:p>
        </w:tc>
      </w:tr>
      <w:tr w:rsidR="00141B97" w14:paraId="2D11FC3A" w14:textId="77777777">
        <w:trPr>
          <w:trHeight w:val="298"/>
          <w:tblCellSpacing w:w="7" w:type="dxa"/>
        </w:trPr>
        <w:tc>
          <w:tcPr>
            <w:tcW w:w="535" w:type="dxa"/>
            <w:tcBorders>
              <w:top w:val="nil"/>
            </w:tcBorders>
            <w:shd w:val="clear" w:color="auto" w:fill="CCE1EC"/>
          </w:tcPr>
          <w:p w14:paraId="46A283E3" w14:textId="77777777" w:rsidR="00141B97" w:rsidRDefault="00911D63">
            <w:pPr>
              <w:pStyle w:val="TableParagraph"/>
              <w:spacing w:before="38"/>
              <w:ind w:right="213"/>
              <w:jc w:val="right"/>
              <w:rPr>
                <w:sz w:val="18"/>
              </w:rPr>
            </w:pPr>
            <w:r>
              <w:rPr>
                <w:sz w:val="18"/>
              </w:rPr>
              <w:t>7</w:t>
            </w:r>
          </w:p>
        </w:tc>
        <w:tc>
          <w:tcPr>
            <w:tcW w:w="3770" w:type="dxa"/>
            <w:tcBorders>
              <w:top w:val="nil"/>
            </w:tcBorders>
            <w:shd w:val="clear" w:color="auto" w:fill="CCE1EC"/>
          </w:tcPr>
          <w:p w14:paraId="63AA83B0" w14:textId="77777777" w:rsidR="00141B97" w:rsidRDefault="00911D63">
            <w:pPr>
              <w:pStyle w:val="TableParagraph"/>
              <w:spacing w:before="38"/>
              <w:ind w:left="100"/>
              <w:rPr>
                <w:sz w:val="18"/>
              </w:rPr>
            </w:pPr>
            <w:r>
              <w:rPr>
                <w:sz w:val="18"/>
              </w:rPr>
              <w:t>Koorlong</w:t>
            </w:r>
            <w:r>
              <w:rPr>
                <w:spacing w:val="-3"/>
                <w:sz w:val="18"/>
              </w:rPr>
              <w:t xml:space="preserve"> </w:t>
            </w:r>
            <w:r>
              <w:rPr>
                <w:sz w:val="18"/>
              </w:rPr>
              <w:t>Sewer</w:t>
            </w:r>
            <w:r>
              <w:rPr>
                <w:spacing w:val="-1"/>
                <w:sz w:val="18"/>
              </w:rPr>
              <w:t xml:space="preserve"> </w:t>
            </w:r>
            <w:r>
              <w:rPr>
                <w:sz w:val="18"/>
              </w:rPr>
              <w:t>Rising</w:t>
            </w:r>
            <w:r>
              <w:rPr>
                <w:spacing w:val="-3"/>
                <w:sz w:val="18"/>
              </w:rPr>
              <w:t xml:space="preserve"> </w:t>
            </w:r>
            <w:r>
              <w:rPr>
                <w:sz w:val="18"/>
              </w:rPr>
              <w:t>Main</w:t>
            </w:r>
            <w:r>
              <w:rPr>
                <w:spacing w:val="-1"/>
                <w:sz w:val="18"/>
              </w:rPr>
              <w:t xml:space="preserve"> </w:t>
            </w:r>
            <w:r>
              <w:rPr>
                <w:spacing w:val="-2"/>
                <w:sz w:val="18"/>
              </w:rPr>
              <w:t>Duplication</w:t>
            </w:r>
          </w:p>
        </w:tc>
        <w:tc>
          <w:tcPr>
            <w:tcW w:w="1212" w:type="dxa"/>
            <w:tcBorders>
              <w:top w:val="nil"/>
            </w:tcBorders>
            <w:shd w:val="clear" w:color="auto" w:fill="CCE1EC"/>
          </w:tcPr>
          <w:p w14:paraId="1F8AEA2E" w14:textId="77777777" w:rsidR="00141B97" w:rsidRDefault="00911D63">
            <w:pPr>
              <w:pStyle w:val="TableParagraph"/>
              <w:spacing w:before="38"/>
              <w:ind w:left="386" w:right="386"/>
              <w:jc w:val="center"/>
              <w:rPr>
                <w:sz w:val="18"/>
              </w:rPr>
            </w:pPr>
            <w:r>
              <w:rPr>
                <w:spacing w:val="-4"/>
                <w:sz w:val="18"/>
              </w:rPr>
              <w:t>1.50</w:t>
            </w:r>
          </w:p>
        </w:tc>
        <w:tc>
          <w:tcPr>
            <w:tcW w:w="1811" w:type="dxa"/>
            <w:tcBorders>
              <w:top w:val="nil"/>
            </w:tcBorders>
            <w:shd w:val="clear" w:color="auto" w:fill="CCE1EC"/>
          </w:tcPr>
          <w:p w14:paraId="2F46A820" w14:textId="77777777" w:rsidR="00141B97" w:rsidRDefault="00911D63">
            <w:pPr>
              <w:pStyle w:val="TableParagraph"/>
              <w:spacing w:before="38"/>
              <w:ind w:left="297" w:right="297"/>
              <w:jc w:val="center"/>
              <w:rPr>
                <w:sz w:val="18"/>
              </w:rPr>
            </w:pPr>
            <w:r>
              <w:rPr>
                <w:sz w:val="18"/>
              </w:rPr>
              <w:t>Urban</w:t>
            </w:r>
            <w:r>
              <w:rPr>
                <w:spacing w:val="-3"/>
                <w:sz w:val="18"/>
              </w:rPr>
              <w:t xml:space="preserve"> </w:t>
            </w:r>
            <w:r>
              <w:rPr>
                <w:spacing w:val="-2"/>
                <w:sz w:val="18"/>
              </w:rPr>
              <w:t>Sewerage</w:t>
            </w:r>
          </w:p>
        </w:tc>
        <w:tc>
          <w:tcPr>
            <w:tcW w:w="2005" w:type="dxa"/>
            <w:tcBorders>
              <w:top w:val="nil"/>
            </w:tcBorders>
            <w:shd w:val="clear" w:color="auto" w:fill="CCE1EC"/>
          </w:tcPr>
          <w:p w14:paraId="44AC9D0E" w14:textId="77777777" w:rsidR="00141B97" w:rsidRDefault="00911D63">
            <w:pPr>
              <w:pStyle w:val="TableParagraph"/>
              <w:spacing w:before="38"/>
              <w:ind w:left="422" w:right="418"/>
              <w:jc w:val="center"/>
              <w:rPr>
                <w:sz w:val="18"/>
              </w:rPr>
            </w:pPr>
            <w:r>
              <w:rPr>
                <w:spacing w:val="-2"/>
                <w:sz w:val="18"/>
              </w:rPr>
              <w:t>Growth</w:t>
            </w:r>
          </w:p>
        </w:tc>
      </w:tr>
      <w:tr w:rsidR="00141B97" w14:paraId="30EC6E48" w14:textId="77777777">
        <w:trPr>
          <w:trHeight w:val="438"/>
          <w:tblCellSpacing w:w="7" w:type="dxa"/>
        </w:trPr>
        <w:tc>
          <w:tcPr>
            <w:tcW w:w="535" w:type="dxa"/>
            <w:shd w:val="clear" w:color="auto" w:fill="CCE1EC"/>
          </w:tcPr>
          <w:p w14:paraId="26060441" w14:textId="77777777" w:rsidR="00141B97" w:rsidRDefault="00911D63">
            <w:pPr>
              <w:pStyle w:val="TableParagraph"/>
              <w:spacing w:before="109"/>
              <w:ind w:right="213"/>
              <w:jc w:val="right"/>
              <w:rPr>
                <w:sz w:val="18"/>
              </w:rPr>
            </w:pPr>
            <w:r>
              <w:rPr>
                <w:sz w:val="18"/>
              </w:rPr>
              <w:t>8</w:t>
            </w:r>
          </w:p>
        </w:tc>
        <w:tc>
          <w:tcPr>
            <w:tcW w:w="3770" w:type="dxa"/>
            <w:shd w:val="clear" w:color="auto" w:fill="CCE1EC"/>
          </w:tcPr>
          <w:p w14:paraId="4FDDFA85" w14:textId="77777777" w:rsidR="00141B97" w:rsidRDefault="00911D63">
            <w:pPr>
              <w:pStyle w:val="TableParagraph"/>
              <w:spacing w:before="109"/>
              <w:ind w:left="100"/>
              <w:rPr>
                <w:sz w:val="18"/>
              </w:rPr>
            </w:pPr>
            <w:r>
              <w:rPr>
                <w:sz w:val="18"/>
              </w:rPr>
              <w:t>Customer</w:t>
            </w:r>
            <w:r>
              <w:rPr>
                <w:spacing w:val="-3"/>
                <w:sz w:val="18"/>
              </w:rPr>
              <w:t xml:space="preserve"> </w:t>
            </w:r>
            <w:r>
              <w:rPr>
                <w:sz w:val="18"/>
              </w:rPr>
              <w:t>CRM,</w:t>
            </w:r>
            <w:r>
              <w:rPr>
                <w:spacing w:val="-3"/>
                <w:sz w:val="18"/>
              </w:rPr>
              <w:t xml:space="preserve"> </w:t>
            </w:r>
            <w:r>
              <w:rPr>
                <w:sz w:val="18"/>
              </w:rPr>
              <w:t>portal</w:t>
            </w:r>
            <w:r>
              <w:rPr>
                <w:spacing w:val="-2"/>
                <w:sz w:val="18"/>
              </w:rPr>
              <w:t xml:space="preserve"> </w:t>
            </w:r>
            <w:r>
              <w:rPr>
                <w:sz w:val="18"/>
              </w:rPr>
              <w:t>Phase</w:t>
            </w:r>
            <w:r>
              <w:rPr>
                <w:spacing w:val="-3"/>
                <w:sz w:val="18"/>
              </w:rPr>
              <w:t xml:space="preserve"> </w:t>
            </w:r>
            <w:r>
              <w:rPr>
                <w:spacing w:val="-10"/>
                <w:sz w:val="18"/>
              </w:rPr>
              <w:t>2</w:t>
            </w:r>
          </w:p>
        </w:tc>
        <w:tc>
          <w:tcPr>
            <w:tcW w:w="1212" w:type="dxa"/>
            <w:shd w:val="clear" w:color="auto" w:fill="CCE1EC"/>
          </w:tcPr>
          <w:p w14:paraId="11E0900B" w14:textId="77777777" w:rsidR="00141B97" w:rsidRDefault="00911D63">
            <w:pPr>
              <w:pStyle w:val="TableParagraph"/>
              <w:spacing w:before="109"/>
              <w:ind w:left="386" w:right="386"/>
              <w:jc w:val="center"/>
              <w:rPr>
                <w:sz w:val="18"/>
              </w:rPr>
            </w:pPr>
            <w:r>
              <w:rPr>
                <w:spacing w:val="-4"/>
                <w:sz w:val="18"/>
              </w:rPr>
              <w:t>2.28</w:t>
            </w:r>
          </w:p>
        </w:tc>
        <w:tc>
          <w:tcPr>
            <w:tcW w:w="1811" w:type="dxa"/>
            <w:shd w:val="clear" w:color="auto" w:fill="CCE1EC"/>
          </w:tcPr>
          <w:p w14:paraId="6F02B3A9" w14:textId="77777777" w:rsidR="00141B97" w:rsidRDefault="00911D63">
            <w:pPr>
              <w:pStyle w:val="TableParagraph"/>
              <w:spacing w:line="218" w:lineRule="exact"/>
              <w:ind w:left="297" w:right="297"/>
              <w:jc w:val="center"/>
              <w:rPr>
                <w:sz w:val="18"/>
              </w:rPr>
            </w:pPr>
            <w:r>
              <w:rPr>
                <w:spacing w:val="-2"/>
                <w:sz w:val="18"/>
              </w:rPr>
              <w:t>Corporate</w:t>
            </w:r>
          </w:p>
        </w:tc>
        <w:tc>
          <w:tcPr>
            <w:tcW w:w="2005" w:type="dxa"/>
            <w:shd w:val="clear" w:color="auto" w:fill="CCE1EC"/>
          </w:tcPr>
          <w:p w14:paraId="55B3470A" w14:textId="77777777" w:rsidR="00141B97" w:rsidRDefault="00911D63">
            <w:pPr>
              <w:pStyle w:val="TableParagraph"/>
              <w:spacing w:line="218" w:lineRule="exact"/>
              <w:ind w:left="422" w:right="415"/>
              <w:jc w:val="center"/>
              <w:rPr>
                <w:sz w:val="18"/>
              </w:rPr>
            </w:pPr>
            <w:r>
              <w:rPr>
                <w:spacing w:val="-2"/>
                <w:sz w:val="18"/>
              </w:rPr>
              <w:t>Improvements/</w:t>
            </w:r>
          </w:p>
          <w:p w14:paraId="59B93328" w14:textId="77777777" w:rsidR="00141B97" w:rsidRDefault="00911D63">
            <w:pPr>
              <w:pStyle w:val="TableParagraph"/>
              <w:spacing w:before="1" w:line="199" w:lineRule="exact"/>
              <w:ind w:left="422" w:right="418"/>
              <w:jc w:val="center"/>
              <w:rPr>
                <w:sz w:val="18"/>
              </w:rPr>
            </w:pPr>
            <w:r>
              <w:rPr>
                <w:spacing w:val="-2"/>
                <w:sz w:val="18"/>
              </w:rPr>
              <w:t>compliance</w:t>
            </w:r>
          </w:p>
        </w:tc>
      </w:tr>
      <w:tr w:rsidR="00141B97" w14:paraId="11BE0D2D" w14:textId="77777777">
        <w:trPr>
          <w:trHeight w:val="437"/>
          <w:tblCellSpacing w:w="7" w:type="dxa"/>
        </w:trPr>
        <w:tc>
          <w:tcPr>
            <w:tcW w:w="535" w:type="dxa"/>
            <w:tcBorders>
              <w:bottom w:val="nil"/>
            </w:tcBorders>
            <w:shd w:val="clear" w:color="auto" w:fill="CCE1EC"/>
          </w:tcPr>
          <w:p w14:paraId="794F9772" w14:textId="77777777" w:rsidR="00141B97" w:rsidRDefault="00911D63">
            <w:pPr>
              <w:pStyle w:val="TableParagraph"/>
              <w:spacing w:before="109"/>
              <w:ind w:right="213"/>
              <w:jc w:val="right"/>
              <w:rPr>
                <w:sz w:val="18"/>
              </w:rPr>
            </w:pPr>
            <w:r>
              <w:rPr>
                <w:sz w:val="18"/>
              </w:rPr>
              <w:t>9</w:t>
            </w:r>
          </w:p>
        </w:tc>
        <w:tc>
          <w:tcPr>
            <w:tcW w:w="3770" w:type="dxa"/>
            <w:tcBorders>
              <w:bottom w:val="nil"/>
            </w:tcBorders>
            <w:shd w:val="clear" w:color="auto" w:fill="CCE1EC"/>
          </w:tcPr>
          <w:p w14:paraId="7D71E1B4" w14:textId="77777777" w:rsidR="00141B97" w:rsidRDefault="00911D63">
            <w:pPr>
              <w:pStyle w:val="TableParagraph"/>
              <w:spacing w:before="109"/>
              <w:ind w:left="100"/>
              <w:rPr>
                <w:sz w:val="18"/>
              </w:rPr>
            </w:pPr>
            <w:r>
              <w:rPr>
                <w:sz w:val="18"/>
              </w:rPr>
              <w:t xml:space="preserve">Robinvale </w:t>
            </w:r>
            <w:r>
              <w:rPr>
                <w:spacing w:val="-2"/>
                <w:sz w:val="18"/>
              </w:rPr>
              <w:t>Decommissioning</w:t>
            </w:r>
          </w:p>
        </w:tc>
        <w:tc>
          <w:tcPr>
            <w:tcW w:w="1212" w:type="dxa"/>
            <w:tcBorders>
              <w:bottom w:val="nil"/>
            </w:tcBorders>
            <w:shd w:val="clear" w:color="auto" w:fill="CCE1EC"/>
          </w:tcPr>
          <w:p w14:paraId="14ECA8CF" w14:textId="77777777" w:rsidR="00141B97" w:rsidRDefault="00911D63">
            <w:pPr>
              <w:pStyle w:val="TableParagraph"/>
              <w:spacing w:before="109"/>
              <w:ind w:left="386" w:right="386"/>
              <w:jc w:val="center"/>
              <w:rPr>
                <w:sz w:val="18"/>
              </w:rPr>
            </w:pPr>
            <w:r>
              <w:rPr>
                <w:spacing w:val="-4"/>
                <w:sz w:val="18"/>
              </w:rPr>
              <w:t>2.15</w:t>
            </w:r>
          </w:p>
        </w:tc>
        <w:tc>
          <w:tcPr>
            <w:tcW w:w="1811" w:type="dxa"/>
            <w:tcBorders>
              <w:bottom w:val="nil"/>
            </w:tcBorders>
            <w:shd w:val="clear" w:color="auto" w:fill="CCE1EC"/>
          </w:tcPr>
          <w:p w14:paraId="5614CEC3" w14:textId="77777777" w:rsidR="00141B97" w:rsidRDefault="00911D63">
            <w:pPr>
              <w:pStyle w:val="TableParagraph"/>
              <w:spacing w:before="109"/>
              <w:ind w:left="297" w:right="295"/>
              <w:jc w:val="center"/>
              <w:rPr>
                <w:sz w:val="18"/>
              </w:rPr>
            </w:pPr>
            <w:r>
              <w:rPr>
                <w:sz w:val="18"/>
              </w:rPr>
              <w:t xml:space="preserve">Rural </w:t>
            </w:r>
            <w:r>
              <w:rPr>
                <w:spacing w:val="-2"/>
                <w:sz w:val="18"/>
              </w:rPr>
              <w:t>Irrigation</w:t>
            </w:r>
          </w:p>
        </w:tc>
        <w:tc>
          <w:tcPr>
            <w:tcW w:w="2005" w:type="dxa"/>
            <w:tcBorders>
              <w:bottom w:val="nil"/>
            </w:tcBorders>
            <w:shd w:val="clear" w:color="auto" w:fill="CCE1EC"/>
          </w:tcPr>
          <w:p w14:paraId="774CE634" w14:textId="77777777" w:rsidR="00141B97" w:rsidRDefault="00911D63">
            <w:pPr>
              <w:pStyle w:val="TableParagraph"/>
              <w:spacing w:before="1" w:line="219" w:lineRule="exact"/>
              <w:ind w:left="422" w:right="415"/>
              <w:jc w:val="center"/>
              <w:rPr>
                <w:sz w:val="18"/>
              </w:rPr>
            </w:pPr>
            <w:r>
              <w:rPr>
                <w:spacing w:val="-2"/>
                <w:sz w:val="18"/>
              </w:rPr>
              <w:t>Improvements/</w:t>
            </w:r>
          </w:p>
          <w:p w14:paraId="5C285126" w14:textId="77777777" w:rsidR="00141B97" w:rsidRDefault="00911D63">
            <w:pPr>
              <w:pStyle w:val="TableParagraph"/>
              <w:spacing w:line="197" w:lineRule="exact"/>
              <w:ind w:left="422" w:right="418"/>
              <w:jc w:val="center"/>
              <w:rPr>
                <w:sz w:val="18"/>
              </w:rPr>
            </w:pPr>
            <w:r>
              <w:rPr>
                <w:spacing w:val="-2"/>
                <w:sz w:val="18"/>
              </w:rPr>
              <w:t>compliance</w:t>
            </w:r>
          </w:p>
        </w:tc>
      </w:tr>
      <w:tr w:rsidR="00141B97" w14:paraId="0487A9E1" w14:textId="77777777">
        <w:trPr>
          <w:trHeight w:val="437"/>
          <w:tblCellSpacing w:w="7" w:type="dxa"/>
        </w:trPr>
        <w:tc>
          <w:tcPr>
            <w:tcW w:w="535" w:type="dxa"/>
            <w:tcBorders>
              <w:top w:val="nil"/>
            </w:tcBorders>
            <w:shd w:val="clear" w:color="auto" w:fill="CCE1EC"/>
          </w:tcPr>
          <w:p w14:paraId="430C402E" w14:textId="77777777" w:rsidR="00141B97" w:rsidRDefault="00911D63">
            <w:pPr>
              <w:pStyle w:val="TableParagraph"/>
              <w:spacing w:before="108"/>
              <w:ind w:right="167"/>
              <w:jc w:val="right"/>
              <w:rPr>
                <w:sz w:val="18"/>
              </w:rPr>
            </w:pPr>
            <w:r>
              <w:rPr>
                <w:spacing w:val="-5"/>
                <w:sz w:val="18"/>
              </w:rPr>
              <w:t>10</w:t>
            </w:r>
          </w:p>
        </w:tc>
        <w:tc>
          <w:tcPr>
            <w:tcW w:w="3770" w:type="dxa"/>
            <w:tcBorders>
              <w:top w:val="nil"/>
            </w:tcBorders>
            <w:shd w:val="clear" w:color="auto" w:fill="CCE1EC"/>
          </w:tcPr>
          <w:p w14:paraId="4806ED77" w14:textId="77777777" w:rsidR="00141B97" w:rsidRDefault="00911D63">
            <w:pPr>
              <w:pStyle w:val="TableParagraph"/>
              <w:spacing w:before="108"/>
              <w:ind w:left="100"/>
              <w:rPr>
                <w:sz w:val="18"/>
              </w:rPr>
            </w:pPr>
            <w:r>
              <w:rPr>
                <w:sz w:val="18"/>
              </w:rPr>
              <w:t>Asset</w:t>
            </w:r>
            <w:r>
              <w:rPr>
                <w:spacing w:val="-4"/>
                <w:sz w:val="18"/>
              </w:rPr>
              <w:t xml:space="preserve"> </w:t>
            </w:r>
            <w:r>
              <w:rPr>
                <w:sz w:val="18"/>
              </w:rPr>
              <w:t>Management</w:t>
            </w:r>
            <w:r>
              <w:rPr>
                <w:spacing w:val="-3"/>
                <w:sz w:val="18"/>
              </w:rPr>
              <w:t xml:space="preserve"> </w:t>
            </w:r>
            <w:r>
              <w:rPr>
                <w:sz w:val="18"/>
              </w:rPr>
              <w:t>Platform</w:t>
            </w:r>
            <w:r>
              <w:rPr>
                <w:spacing w:val="-5"/>
                <w:sz w:val="18"/>
              </w:rPr>
              <w:t xml:space="preserve"> </w:t>
            </w:r>
            <w:r>
              <w:rPr>
                <w:spacing w:val="-2"/>
                <w:sz w:val="18"/>
              </w:rPr>
              <w:t>uplift</w:t>
            </w:r>
          </w:p>
        </w:tc>
        <w:tc>
          <w:tcPr>
            <w:tcW w:w="1212" w:type="dxa"/>
            <w:tcBorders>
              <w:top w:val="nil"/>
            </w:tcBorders>
            <w:shd w:val="clear" w:color="auto" w:fill="CCE1EC"/>
          </w:tcPr>
          <w:p w14:paraId="4CD0D661" w14:textId="77777777" w:rsidR="00141B97" w:rsidRDefault="00911D63">
            <w:pPr>
              <w:pStyle w:val="TableParagraph"/>
              <w:spacing w:before="108"/>
              <w:ind w:left="386" w:right="386"/>
              <w:jc w:val="center"/>
              <w:rPr>
                <w:sz w:val="18"/>
              </w:rPr>
            </w:pPr>
            <w:r>
              <w:rPr>
                <w:spacing w:val="-4"/>
                <w:sz w:val="18"/>
              </w:rPr>
              <w:t>3.48</w:t>
            </w:r>
          </w:p>
        </w:tc>
        <w:tc>
          <w:tcPr>
            <w:tcW w:w="1811" w:type="dxa"/>
            <w:tcBorders>
              <w:top w:val="nil"/>
            </w:tcBorders>
            <w:shd w:val="clear" w:color="auto" w:fill="CCE1EC"/>
          </w:tcPr>
          <w:p w14:paraId="02BD3384" w14:textId="77777777" w:rsidR="00141B97" w:rsidRDefault="00911D63">
            <w:pPr>
              <w:pStyle w:val="TableParagraph"/>
              <w:spacing w:before="108"/>
              <w:ind w:left="297" w:right="297"/>
              <w:jc w:val="center"/>
              <w:rPr>
                <w:sz w:val="18"/>
              </w:rPr>
            </w:pPr>
            <w:r>
              <w:rPr>
                <w:spacing w:val="-2"/>
                <w:sz w:val="18"/>
              </w:rPr>
              <w:t>Corporate</w:t>
            </w:r>
          </w:p>
        </w:tc>
        <w:tc>
          <w:tcPr>
            <w:tcW w:w="2005" w:type="dxa"/>
            <w:tcBorders>
              <w:top w:val="nil"/>
            </w:tcBorders>
            <w:shd w:val="clear" w:color="auto" w:fill="CCE1EC"/>
          </w:tcPr>
          <w:p w14:paraId="2F6DEE20" w14:textId="77777777" w:rsidR="00141B97" w:rsidRDefault="00911D63">
            <w:pPr>
              <w:pStyle w:val="TableParagraph"/>
              <w:spacing w:line="217" w:lineRule="exact"/>
              <w:ind w:left="422" w:right="415"/>
              <w:jc w:val="center"/>
              <w:rPr>
                <w:sz w:val="18"/>
              </w:rPr>
            </w:pPr>
            <w:r>
              <w:rPr>
                <w:spacing w:val="-2"/>
                <w:sz w:val="18"/>
              </w:rPr>
              <w:t>Improvements/</w:t>
            </w:r>
          </w:p>
          <w:p w14:paraId="27550AAF" w14:textId="77777777" w:rsidR="00141B97" w:rsidRDefault="00911D63">
            <w:pPr>
              <w:pStyle w:val="TableParagraph"/>
              <w:spacing w:before="1" w:line="199" w:lineRule="exact"/>
              <w:ind w:left="422" w:right="418"/>
              <w:jc w:val="center"/>
              <w:rPr>
                <w:sz w:val="18"/>
              </w:rPr>
            </w:pPr>
            <w:r>
              <w:rPr>
                <w:spacing w:val="-2"/>
                <w:sz w:val="18"/>
              </w:rPr>
              <w:t>compliance</w:t>
            </w:r>
          </w:p>
        </w:tc>
      </w:tr>
      <w:tr w:rsidR="00141B97" w14:paraId="429B8169" w14:textId="77777777">
        <w:trPr>
          <w:trHeight w:val="359"/>
          <w:tblCellSpacing w:w="7" w:type="dxa"/>
        </w:trPr>
        <w:tc>
          <w:tcPr>
            <w:tcW w:w="4305" w:type="dxa"/>
            <w:gridSpan w:val="2"/>
            <w:shd w:val="clear" w:color="auto" w:fill="BEBEBE"/>
          </w:tcPr>
          <w:p w14:paraId="638CC918" w14:textId="77777777" w:rsidR="00141B97" w:rsidRDefault="00911D63">
            <w:pPr>
              <w:pStyle w:val="TableParagraph"/>
              <w:spacing w:before="70"/>
              <w:ind w:left="179"/>
              <w:rPr>
                <w:sz w:val="18"/>
              </w:rPr>
            </w:pPr>
            <w:r>
              <w:rPr>
                <w:sz w:val="18"/>
              </w:rPr>
              <w:t>Total</w:t>
            </w:r>
            <w:r>
              <w:rPr>
                <w:spacing w:val="-1"/>
                <w:sz w:val="18"/>
              </w:rPr>
              <w:t xml:space="preserve"> </w:t>
            </w:r>
            <w:r>
              <w:rPr>
                <w:sz w:val="18"/>
              </w:rPr>
              <w:t>Major</w:t>
            </w:r>
            <w:r>
              <w:rPr>
                <w:spacing w:val="-2"/>
                <w:sz w:val="18"/>
              </w:rPr>
              <w:t xml:space="preserve"> </w:t>
            </w:r>
            <w:r>
              <w:rPr>
                <w:sz w:val="18"/>
              </w:rPr>
              <w:t>Projects</w:t>
            </w:r>
            <w:r>
              <w:rPr>
                <w:spacing w:val="-1"/>
                <w:sz w:val="18"/>
              </w:rPr>
              <w:t xml:space="preserve"> </w:t>
            </w:r>
            <w:r>
              <w:rPr>
                <w:sz w:val="18"/>
              </w:rPr>
              <w:t>-</w:t>
            </w:r>
            <w:r>
              <w:rPr>
                <w:spacing w:val="-1"/>
                <w:sz w:val="18"/>
              </w:rPr>
              <w:t xml:space="preserve"> </w:t>
            </w:r>
            <w:r>
              <w:rPr>
                <w:spacing w:val="-2"/>
                <w:sz w:val="18"/>
              </w:rPr>
              <w:t>Combined</w:t>
            </w:r>
          </w:p>
        </w:tc>
        <w:tc>
          <w:tcPr>
            <w:tcW w:w="1212" w:type="dxa"/>
            <w:shd w:val="clear" w:color="auto" w:fill="BEBEBE"/>
          </w:tcPr>
          <w:p w14:paraId="2B0B8BF1" w14:textId="77777777" w:rsidR="00141B97" w:rsidRDefault="00911D63">
            <w:pPr>
              <w:pStyle w:val="TableParagraph"/>
              <w:spacing w:before="70"/>
              <w:ind w:left="387" w:right="386"/>
              <w:jc w:val="center"/>
              <w:rPr>
                <w:sz w:val="18"/>
              </w:rPr>
            </w:pPr>
            <w:r>
              <w:rPr>
                <w:spacing w:val="-2"/>
                <w:sz w:val="18"/>
              </w:rPr>
              <w:t>38.92</w:t>
            </w:r>
          </w:p>
        </w:tc>
        <w:tc>
          <w:tcPr>
            <w:tcW w:w="3816" w:type="dxa"/>
            <w:gridSpan w:val="2"/>
            <w:shd w:val="clear" w:color="auto" w:fill="BEBEBE"/>
          </w:tcPr>
          <w:p w14:paraId="75045771" w14:textId="77777777" w:rsidR="00141B97" w:rsidRDefault="00141B97">
            <w:pPr>
              <w:pStyle w:val="TableParagraph"/>
              <w:rPr>
                <w:rFonts w:ascii="Times New Roman"/>
                <w:sz w:val="18"/>
              </w:rPr>
            </w:pPr>
          </w:p>
        </w:tc>
      </w:tr>
    </w:tbl>
    <w:p w14:paraId="62C0809E" w14:textId="77777777" w:rsidR="00141B97" w:rsidRDefault="00911D63">
      <w:pPr>
        <w:spacing w:before="18"/>
        <w:ind w:left="112"/>
        <w:rPr>
          <w:sz w:val="16"/>
        </w:rPr>
      </w:pPr>
      <w:r>
        <w:rPr>
          <w:sz w:val="16"/>
        </w:rPr>
        <w:t>Table</w:t>
      </w:r>
      <w:r>
        <w:rPr>
          <w:spacing w:val="-2"/>
          <w:sz w:val="16"/>
        </w:rPr>
        <w:t xml:space="preserve"> </w:t>
      </w:r>
      <w:r>
        <w:rPr>
          <w:sz w:val="16"/>
        </w:rPr>
        <w:t>ES5:</w:t>
      </w:r>
      <w:r>
        <w:rPr>
          <w:spacing w:val="-2"/>
          <w:sz w:val="16"/>
        </w:rPr>
        <w:t xml:space="preserve"> </w:t>
      </w:r>
      <w:r>
        <w:rPr>
          <w:sz w:val="16"/>
        </w:rPr>
        <w:t>Top</w:t>
      </w:r>
      <w:r>
        <w:rPr>
          <w:spacing w:val="-1"/>
          <w:sz w:val="16"/>
        </w:rPr>
        <w:t xml:space="preserve"> </w:t>
      </w:r>
      <w:r>
        <w:rPr>
          <w:sz w:val="16"/>
        </w:rPr>
        <w:t>10</w:t>
      </w:r>
      <w:r>
        <w:rPr>
          <w:spacing w:val="-3"/>
          <w:sz w:val="16"/>
        </w:rPr>
        <w:t xml:space="preserve"> </w:t>
      </w:r>
      <w:r>
        <w:rPr>
          <w:sz w:val="16"/>
        </w:rPr>
        <w:t>Major</w:t>
      </w:r>
      <w:r>
        <w:rPr>
          <w:spacing w:val="-2"/>
          <w:sz w:val="16"/>
        </w:rPr>
        <w:t xml:space="preserve"> Projects</w:t>
      </w:r>
    </w:p>
    <w:p w14:paraId="0E1327AF" w14:textId="77777777" w:rsidR="00141B97" w:rsidRDefault="00141B97">
      <w:pPr>
        <w:pStyle w:val="BodyText"/>
        <w:spacing w:before="12"/>
        <w:rPr>
          <w:sz w:val="21"/>
        </w:rPr>
      </w:pPr>
    </w:p>
    <w:p w14:paraId="0FE628D6" w14:textId="77777777" w:rsidR="00141B97" w:rsidRDefault="00911D63">
      <w:pPr>
        <w:pStyle w:val="BodyText"/>
        <w:ind w:left="112"/>
      </w:pPr>
      <w:r>
        <w:t>Major</w:t>
      </w:r>
      <w:r>
        <w:rPr>
          <w:spacing w:val="-5"/>
        </w:rPr>
        <w:t xml:space="preserve"> </w:t>
      </w:r>
      <w:r>
        <w:t>Programs</w:t>
      </w:r>
      <w:r>
        <w:rPr>
          <w:spacing w:val="-2"/>
        </w:rPr>
        <w:t xml:space="preserve"> </w:t>
      </w:r>
      <w:r>
        <w:t>for</w:t>
      </w:r>
      <w:r>
        <w:rPr>
          <w:spacing w:val="-2"/>
        </w:rPr>
        <w:t xml:space="preserve"> </w:t>
      </w:r>
      <w:r>
        <w:t>the</w:t>
      </w:r>
      <w:r>
        <w:rPr>
          <w:spacing w:val="-4"/>
        </w:rPr>
        <w:t xml:space="preserve"> </w:t>
      </w:r>
      <w:r>
        <w:t>business</w:t>
      </w:r>
      <w:r>
        <w:rPr>
          <w:spacing w:val="-2"/>
        </w:rPr>
        <w:t xml:space="preserve"> </w:t>
      </w:r>
      <w:r>
        <w:t>are</w:t>
      </w:r>
      <w:r>
        <w:rPr>
          <w:spacing w:val="-4"/>
        </w:rPr>
        <w:t xml:space="preserve"> </w:t>
      </w:r>
      <w:r>
        <w:t>set</w:t>
      </w:r>
      <w:r>
        <w:rPr>
          <w:spacing w:val="-3"/>
        </w:rPr>
        <w:t xml:space="preserve"> </w:t>
      </w:r>
      <w:r>
        <w:t>out</w:t>
      </w:r>
      <w:r>
        <w:rPr>
          <w:spacing w:val="-5"/>
        </w:rPr>
        <w:t xml:space="preserve"> </w:t>
      </w:r>
      <w:r>
        <w:rPr>
          <w:spacing w:val="-2"/>
        </w:rPr>
        <w:t>below:</w:t>
      </w:r>
    </w:p>
    <w:p w14:paraId="0BB95F6E" w14:textId="77777777" w:rsidR="00141B97" w:rsidRDefault="00141B97">
      <w:pPr>
        <w:pStyle w:val="BodyText"/>
        <w:spacing w:before="11"/>
      </w:pPr>
    </w:p>
    <w:tbl>
      <w:tblPr>
        <w:tblW w:w="0" w:type="auto"/>
        <w:tblCellSpacing w:w="4" w:type="dxa"/>
        <w:tblInd w:w="137" w:type="dxa"/>
        <w:tblLayout w:type="fixed"/>
        <w:tblCellMar>
          <w:left w:w="0" w:type="dxa"/>
          <w:right w:w="0" w:type="dxa"/>
        </w:tblCellMar>
        <w:tblLook w:val="01E0" w:firstRow="1" w:lastRow="1" w:firstColumn="1" w:lastColumn="1" w:noHBand="0" w:noVBand="0"/>
      </w:tblPr>
      <w:tblGrid>
        <w:gridCol w:w="4296"/>
        <w:gridCol w:w="1388"/>
        <w:gridCol w:w="1702"/>
        <w:gridCol w:w="1987"/>
      </w:tblGrid>
      <w:tr w:rsidR="00141B97" w14:paraId="39BF141D" w14:textId="77777777">
        <w:trPr>
          <w:trHeight w:val="465"/>
          <w:tblCellSpacing w:w="4" w:type="dxa"/>
        </w:trPr>
        <w:tc>
          <w:tcPr>
            <w:tcW w:w="4284" w:type="dxa"/>
            <w:tcBorders>
              <w:top w:val="nil"/>
              <w:left w:val="nil"/>
            </w:tcBorders>
            <w:shd w:val="clear" w:color="auto" w:fill="006CA2"/>
          </w:tcPr>
          <w:p w14:paraId="618EAF96" w14:textId="77777777" w:rsidR="00141B97" w:rsidRDefault="00911D63">
            <w:pPr>
              <w:pStyle w:val="TableParagraph"/>
              <w:spacing w:before="124"/>
              <w:ind w:left="98"/>
              <w:rPr>
                <w:sz w:val="18"/>
              </w:rPr>
            </w:pPr>
            <w:r>
              <w:rPr>
                <w:color w:val="FFFFFF"/>
                <w:sz w:val="18"/>
              </w:rPr>
              <w:t>Major</w:t>
            </w:r>
            <w:r>
              <w:rPr>
                <w:color w:val="FFFFFF"/>
                <w:spacing w:val="-4"/>
                <w:sz w:val="18"/>
              </w:rPr>
              <w:t xml:space="preserve"> </w:t>
            </w:r>
            <w:r>
              <w:rPr>
                <w:color w:val="FFFFFF"/>
                <w:spacing w:val="-2"/>
                <w:sz w:val="18"/>
              </w:rPr>
              <w:t>Program</w:t>
            </w:r>
          </w:p>
        </w:tc>
        <w:tc>
          <w:tcPr>
            <w:tcW w:w="1380" w:type="dxa"/>
            <w:tcBorders>
              <w:top w:val="nil"/>
            </w:tcBorders>
            <w:shd w:val="clear" w:color="auto" w:fill="006CA2"/>
          </w:tcPr>
          <w:p w14:paraId="39F30946" w14:textId="77777777" w:rsidR="00141B97" w:rsidRDefault="00911D63">
            <w:pPr>
              <w:pStyle w:val="TableParagraph"/>
              <w:spacing w:before="5" w:line="220" w:lineRule="atLeast"/>
              <w:ind w:left="333" w:hanging="164"/>
              <w:rPr>
                <w:sz w:val="18"/>
              </w:rPr>
            </w:pPr>
            <w:r>
              <w:rPr>
                <w:color w:val="FFFFFF"/>
                <w:sz w:val="18"/>
              </w:rPr>
              <w:t>Total</w:t>
            </w:r>
            <w:r>
              <w:rPr>
                <w:color w:val="FFFFFF"/>
                <w:spacing w:val="-11"/>
                <w:sz w:val="18"/>
              </w:rPr>
              <w:t xml:space="preserve"> </w:t>
            </w:r>
            <w:r>
              <w:rPr>
                <w:color w:val="FFFFFF"/>
                <w:sz w:val="18"/>
              </w:rPr>
              <w:t>Program Cost ($m)</w:t>
            </w:r>
          </w:p>
        </w:tc>
        <w:tc>
          <w:tcPr>
            <w:tcW w:w="1694" w:type="dxa"/>
            <w:tcBorders>
              <w:top w:val="nil"/>
            </w:tcBorders>
            <w:shd w:val="clear" w:color="auto" w:fill="006CA2"/>
          </w:tcPr>
          <w:p w14:paraId="3BB79EF7" w14:textId="77777777" w:rsidR="00141B97" w:rsidRDefault="00911D63">
            <w:pPr>
              <w:pStyle w:val="TableParagraph"/>
              <w:spacing w:before="5" w:line="220" w:lineRule="atLeast"/>
              <w:ind w:left="515" w:hanging="171"/>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975" w:type="dxa"/>
            <w:tcBorders>
              <w:top w:val="nil"/>
              <w:right w:val="nil"/>
            </w:tcBorders>
            <w:shd w:val="clear" w:color="auto" w:fill="006CA2"/>
          </w:tcPr>
          <w:p w14:paraId="0E5A5016" w14:textId="77777777" w:rsidR="00141B97" w:rsidRDefault="00911D63">
            <w:pPr>
              <w:pStyle w:val="TableParagraph"/>
              <w:spacing w:before="124"/>
              <w:ind w:left="395" w:right="390"/>
              <w:jc w:val="center"/>
              <w:rPr>
                <w:sz w:val="18"/>
              </w:rPr>
            </w:pPr>
            <w:r>
              <w:rPr>
                <w:color w:val="FFFFFF"/>
                <w:sz w:val="18"/>
              </w:rPr>
              <w:t>ESC</w:t>
            </w:r>
            <w:r>
              <w:rPr>
                <w:color w:val="FFFFFF"/>
                <w:spacing w:val="-4"/>
                <w:sz w:val="18"/>
              </w:rPr>
              <w:t xml:space="preserve"> </w:t>
            </w:r>
            <w:r>
              <w:rPr>
                <w:color w:val="FFFFFF"/>
                <w:sz w:val="18"/>
              </w:rPr>
              <w:t xml:space="preserve">Cost </w:t>
            </w:r>
            <w:r>
              <w:rPr>
                <w:color w:val="FFFFFF"/>
                <w:spacing w:val="-2"/>
                <w:sz w:val="18"/>
              </w:rPr>
              <w:t>Driver</w:t>
            </w:r>
          </w:p>
        </w:tc>
      </w:tr>
      <w:tr w:rsidR="00141B97" w14:paraId="15340531" w14:textId="77777777">
        <w:trPr>
          <w:trHeight w:val="299"/>
          <w:tblCellSpacing w:w="4" w:type="dxa"/>
        </w:trPr>
        <w:tc>
          <w:tcPr>
            <w:tcW w:w="4284" w:type="dxa"/>
            <w:tcBorders>
              <w:left w:val="nil"/>
            </w:tcBorders>
            <w:shd w:val="clear" w:color="auto" w:fill="CCE1EC"/>
          </w:tcPr>
          <w:p w14:paraId="7273783F" w14:textId="77777777" w:rsidR="00141B97" w:rsidRDefault="00911D63">
            <w:pPr>
              <w:pStyle w:val="TableParagraph"/>
              <w:spacing w:before="42"/>
              <w:ind w:left="98"/>
              <w:rPr>
                <w:sz w:val="18"/>
              </w:rPr>
            </w:pPr>
            <w:r>
              <w:rPr>
                <w:sz w:val="18"/>
              </w:rPr>
              <w:t>Urban</w:t>
            </w:r>
            <w:r>
              <w:rPr>
                <w:spacing w:val="-2"/>
                <w:sz w:val="18"/>
              </w:rPr>
              <w:t xml:space="preserve"> </w:t>
            </w:r>
            <w:r>
              <w:rPr>
                <w:sz w:val="18"/>
              </w:rPr>
              <w:t>Water</w:t>
            </w:r>
            <w:r>
              <w:rPr>
                <w:spacing w:val="-2"/>
                <w:sz w:val="18"/>
              </w:rPr>
              <w:t xml:space="preserve"> </w:t>
            </w:r>
            <w:r>
              <w:rPr>
                <w:sz w:val="18"/>
              </w:rPr>
              <w:t>Mains</w:t>
            </w:r>
            <w:r>
              <w:rPr>
                <w:spacing w:val="-1"/>
                <w:sz w:val="18"/>
              </w:rPr>
              <w:t xml:space="preserve"> </w:t>
            </w:r>
            <w:r>
              <w:rPr>
                <w:spacing w:val="-2"/>
                <w:sz w:val="18"/>
              </w:rPr>
              <w:t>Replacement</w:t>
            </w:r>
          </w:p>
        </w:tc>
        <w:tc>
          <w:tcPr>
            <w:tcW w:w="1380" w:type="dxa"/>
            <w:shd w:val="clear" w:color="auto" w:fill="CCE1EC"/>
          </w:tcPr>
          <w:p w14:paraId="52D8EF50" w14:textId="77777777" w:rsidR="00141B97" w:rsidRDefault="00911D63">
            <w:pPr>
              <w:pStyle w:val="TableParagraph"/>
              <w:spacing w:before="42"/>
              <w:ind w:left="470" w:right="470"/>
              <w:jc w:val="center"/>
              <w:rPr>
                <w:sz w:val="18"/>
              </w:rPr>
            </w:pPr>
            <w:r>
              <w:rPr>
                <w:spacing w:val="-4"/>
                <w:sz w:val="18"/>
              </w:rPr>
              <w:t>6.09</w:t>
            </w:r>
          </w:p>
        </w:tc>
        <w:tc>
          <w:tcPr>
            <w:tcW w:w="1694" w:type="dxa"/>
            <w:shd w:val="clear" w:color="auto" w:fill="CCE1EC"/>
          </w:tcPr>
          <w:p w14:paraId="6761B597" w14:textId="77777777" w:rsidR="00141B97" w:rsidRDefault="00911D63">
            <w:pPr>
              <w:pStyle w:val="TableParagraph"/>
              <w:spacing w:before="42"/>
              <w:ind w:left="296" w:right="296"/>
              <w:jc w:val="center"/>
              <w:rPr>
                <w:sz w:val="18"/>
              </w:rPr>
            </w:pPr>
            <w:r>
              <w:rPr>
                <w:sz w:val="18"/>
              </w:rPr>
              <w:t>Urban</w:t>
            </w:r>
            <w:r>
              <w:rPr>
                <w:spacing w:val="-3"/>
                <w:sz w:val="18"/>
              </w:rPr>
              <w:t xml:space="preserve"> </w:t>
            </w:r>
            <w:r>
              <w:rPr>
                <w:spacing w:val="-2"/>
                <w:sz w:val="18"/>
              </w:rPr>
              <w:t>Water</w:t>
            </w:r>
          </w:p>
        </w:tc>
        <w:tc>
          <w:tcPr>
            <w:tcW w:w="1975" w:type="dxa"/>
            <w:tcBorders>
              <w:right w:val="nil"/>
            </w:tcBorders>
            <w:shd w:val="clear" w:color="auto" w:fill="CCE1EC"/>
          </w:tcPr>
          <w:p w14:paraId="2A80406B" w14:textId="77777777" w:rsidR="00141B97" w:rsidRDefault="00911D63">
            <w:pPr>
              <w:pStyle w:val="TableParagraph"/>
              <w:spacing w:before="42"/>
              <w:ind w:left="395" w:right="392"/>
              <w:jc w:val="center"/>
              <w:rPr>
                <w:sz w:val="18"/>
              </w:rPr>
            </w:pPr>
            <w:r>
              <w:rPr>
                <w:spacing w:val="-2"/>
                <w:sz w:val="18"/>
              </w:rPr>
              <w:t>Renewals</w:t>
            </w:r>
          </w:p>
        </w:tc>
      </w:tr>
      <w:tr w:rsidR="00141B97" w14:paraId="286EC65C" w14:textId="77777777">
        <w:trPr>
          <w:trHeight w:val="525"/>
          <w:tblCellSpacing w:w="4" w:type="dxa"/>
        </w:trPr>
        <w:tc>
          <w:tcPr>
            <w:tcW w:w="4284" w:type="dxa"/>
            <w:tcBorders>
              <w:left w:val="nil"/>
            </w:tcBorders>
            <w:shd w:val="clear" w:color="auto" w:fill="CCE1EC"/>
          </w:tcPr>
          <w:p w14:paraId="07B7E4BF" w14:textId="77777777" w:rsidR="00141B97" w:rsidRDefault="00911D63">
            <w:pPr>
              <w:pStyle w:val="TableParagraph"/>
              <w:spacing w:before="44"/>
              <w:ind w:left="98"/>
              <w:rPr>
                <w:sz w:val="18"/>
              </w:rPr>
            </w:pPr>
            <w:r>
              <w:rPr>
                <w:sz w:val="18"/>
              </w:rPr>
              <w:t>Sewer</w:t>
            </w:r>
            <w:r>
              <w:rPr>
                <w:spacing w:val="-7"/>
                <w:sz w:val="18"/>
              </w:rPr>
              <w:t xml:space="preserve"> </w:t>
            </w:r>
            <w:r>
              <w:rPr>
                <w:sz w:val="18"/>
              </w:rPr>
              <w:t>Mains</w:t>
            </w:r>
            <w:r>
              <w:rPr>
                <w:spacing w:val="-7"/>
                <w:sz w:val="18"/>
              </w:rPr>
              <w:t xml:space="preserve"> </w:t>
            </w:r>
            <w:r>
              <w:rPr>
                <w:sz w:val="18"/>
              </w:rPr>
              <w:t>and</w:t>
            </w:r>
            <w:r>
              <w:rPr>
                <w:spacing w:val="-7"/>
                <w:sz w:val="18"/>
              </w:rPr>
              <w:t xml:space="preserve"> </w:t>
            </w:r>
            <w:r>
              <w:rPr>
                <w:sz w:val="18"/>
              </w:rPr>
              <w:t>Maintenance</w:t>
            </w:r>
            <w:r>
              <w:rPr>
                <w:spacing w:val="-7"/>
                <w:sz w:val="18"/>
              </w:rPr>
              <w:t xml:space="preserve"> </w:t>
            </w:r>
            <w:r>
              <w:rPr>
                <w:sz w:val="18"/>
              </w:rPr>
              <w:t xml:space="preserve">Structures </w:t>
            </w:r>
            <w:r>
              <w:rPr>
                <w:spacing w:val="-2"/>
                <w:sz w:val="18"/>
              </w:rPr>
              <w:t>Replacement/Rehab.</w:t>
            </w:r>
          </w:p>
        </w:tc>
        <w:tc>
          <w:tcPr>
            <w:tcW w:w="1380" w:type="dxa"/>
            <w:shd w:val="clear" w:color="auto" w:fill="CCE1EC"/>
          </w:tcPr>
          <w:p w14:paraId="34CF32DA" w14:textId="77777777" w:rsidR="00141B97" w:rsidRDefault="00911D63">
            <w:pPr>
              <w:pStyle w:val="TableParagraph"/>
              <w:spacing w:before="155"/>
              <w:ind w:left="470" w:right="470"/>
              <w:jc w:val="center"/>
              <w:rPr>
                <w:sz w:val="18"/>
              </w:rPr>
            </w:pPr>
            <w:r>
              <w:rPr>
                <w:spacing w:val="-4"/>
                <w:sz w:val="18"/>
              </w:rPr>
              <w:t>6.09</w:t>
            </w:r>
          </w:p>
        </w:tc>
        <w:tc>
          <w:tcPr>
            <w:tcW w:w="1694" w:type="dxa"/>
            <w:shd w:val="clear" w:color="auto" w:fill="CCE1EC"/>
          </w:tcPr>
          <w:p w14:paraId="0BDEA945" w14:textId="77777777" w:rsidR="00141B97" w:rsidRDefault="00911D63">
            <w:pPr>
              <w:pStyle w:val="TableParagraph"/>
              <w:spacing w:before="155"/>
              <w:ind w:left="296" w:right="296"/>
              <w:jc w:val="center"/>
              <w:rPr>
                <w:sz w:val="18"/>
              </w:rPr>
            </w:pPr>
            <w:r>
              <w:rPr>
                <w:spacing w:val="-2"/>
                <w:sz w:val="18"/>
              </w:rPr>
              <w:t>Sewerage</w:t>
            </w:r>
          </w:p>
        </w:tc>
        <w:tc>
          <w:tcPr>
            <w:tcW w:w="1975" w:type="dxa"/>
            <w:tcBorders>
              <w:right w:val="nil"/>
            </w:tcBorders>
            <w:shd w:val="clear" w:color="auto" w:fill="CCE1EC"/>
          </w:tcPr>
          <w:p w14:paraId="781067E5" w14:textId="77777777" w:rsidR="00141B97" w:rsidRDefault="00911D63">
            <w:pPr>
              <w:pStyle w:val="TableParagraph"/>
              <w:spacing w:before="155"/>
              <w:ind w:left="395" w:right="392"/>
              <w:jc w:val="center"/>
              <w:rPr>
                <w:sz w:val="18"/>
              </w:rPr>
            </w:pPr>
            <w:r>
              <w:rPr>
                <w:spacing w:val="-2"/>
                <w:sz w:val="18"/>
              </w:rPr>
              <w:t>Renewals</w:t>
            </w:r>
          </w:p>
        </w:tc>
      </w:tr>
      <w:tr w:rsidR="00141B97" w14:paraId="6D014D10" w14:textId="77777777">
        <w:trPr>
          <w:trHeight w:val="298"/>
          <w:tblCellSpacing w:w="4" w:type="dxa"/>
        </w:trPr>
        <w:tc>
          <w:tcPr>
            <w:tcW w:w="4284" w:type="dxa"/>
            <w:tcBorders>
              <w:left w:val="nil"/>
              <w:bottom w:val="nil"/>
            </w:tcBorders>
            <w:shd w:val="clear" w:color="auto" w:fill="CCE1EC"/>
          </w:tcPr>
          <w:p w14:paraId="3CBC8F2A" w14:textId="77777777" w:rsidR="00141B97" w:rsidRDefault="00911D63">
            <w:pPr>
              <w:pStyle w:val="TableParagraph"/>
              <w:spacing w:before="42"/>
              <w:ind w:left="98"/>
              <w:rPr>
                <w:sz w:val="18"/>
              </w:rPr>
            </w:pPr>
            <w:r>
              <w:rPr>
                <w:sz w:val="18"/>
              </w:rPr>
              <w:t>Irrigation</w:t>
            </w:r>
            <w:r>
              <w:rPr>
                <w:spacing w:val="-3"/>
                <w:sz w:val="18"/>
              </w:rPr>
              <w:t xml:space="preserve"> </w:t>
            </w:r>
            <w:r>
              <w:rPr>
                <w:sz w:val="18"/>
              </w:rPr>
              <w:t>Meter</w:t>
            </w:r>
            <w:r>
              <w:rPr>
                <w:spacing w:val="-2"/>
                <w:sz w:val="18"/>
              </w:rPr>
              <w:t xml:space="preserve"> Replacement</w:t>
            </w:r>
          </w:p>
        </w:tc>
        <w:tc>
          <w:tcPr>
            <w:tcW w:w="1380" w:type="dxa"/>
            <w:tcBorders>
              <w:bottom w:val="nil"/>
            </w:tcBorders>
            <w:shd w:val="clear" w:color="auto" w:fill="CCE1EC"/>
          </w:tcPr>
          <w:p w14:paraId="28CD0CA2" w14:textId="77777777" w:rsidR="00141B97" w:rsidRDefault="00911D63">
            <w:pPr>
              <w:pStyle w:val="TableParagraph"/>
              <w:spacing w:before="42"/>
              <w:ind w:left="470" w:right="470"/>
              <w:jc w:val="center"/>
              <w:rPr>
                <w:sz w:val="18"/>
              </w:rPr>
            </w:pPr>
            <w:r>
              <w:rPr>
                <w:spacing w:val="-4"/>
                <w:sz w:val="18"/>
              </w:rPr>
              <w:t>5.81</w:t>
            </w:r>
          </w:p>
        </w:tc>
        <w:tc>
          <w:tcPr>
            <w:tcW w:w="1694" w:type="dxa"/>
            <w:tcBorders>
              <w:bottom w:val="nil"/>
            </w:tcBorders>
            <w:shd w:val="clear" w:color="auto" w:fill="CCE1EC"/>
          </w:tcPr>
          <w:p w14:paraId="5D6A7C8A" w14:textId="77777777" w:rsidR="00141B97" w:rsidRDefault="00911D63">
            <w:pPr>
              <w:pStyle w:val="TableParagraph"/>
              <w:spacing w:before="42"/>
              <w:ind w:left="298" w:right="296"/>
              <w:jc w:val="center"/>
              <w:rPr>
                <w:sz w:val="18"/>
              </w:rPr>
            </w:pPr>
            <w:r>
              <w:rPr>
                <w:spacing w:val="-2"/>
                <w:sz w:val="18"/>
              </w:rPr>
              <w:t>Irrigation</w:t>
            </w:r>
          </w:p>
        </w:tc>
        <w:tc>
          <w:tcPr>
            <w:tcW w:w="1975" w:type="dxa"/>
            <w:tcBorders>
              <w:bottom w:val="nil"/>
              <w:right w:val="nil"/>
            </w:tcBorders>
            <w:shd w:val="clear" w:color="auto" w:fill="CCE1EC"/>
          </w:tcPr>
          <w:p w14:paraId="5938A43B" w14:textId="77777777" w:rsidR="00141B97" w:rsidRDefault="00911D63">
            <w:pPr>
              <w:pStyle w:val="TableParagraph"/>
              <w:spacing w:before="42"/>
              <w:ind w:left="395" w:right="392"/>
              <w:jc w:val="center"/>
              <w:rPr>
                <w:sz w:val="18"/>
              </w:rPr>
            </w:pPr>
            <w:r>
              <w:rPr>
                <w:spacing w:val="-2"/>
                <w:sz w:val="18"/>
              </w:rPr>
              <w:t>Renewals</w:t>
            </w:r>
          </w:p>
        </w:tc>
      </w:tr>
      <w:tr w:rsidR="00141B97" w14:paraId="02204D7D" w14:textId="77777777">
        <w:trPr>
          <w:trHeight w:val="298"/>
          <w:tblCellSpacing w:w="4" w:type="dxa"/>
        </w:trPr>
        <w:tc>
          <w:tcPr>
            <w:tcW w:w="4284" w:type="dxa"/>
            <w:tcBorders>
              <w:top w:val="nil"/>
              <w:left w:val="nil"/>
            </w:tcBorders>
            <w:shd w:val="clear" w:color="auto" w:fill="CCE1EC"/>
          </w:tcPr>
          <w:p w14:paraId="65F652A6" w14:textId="77777777" w:rsidR="00141B97" w:rsidRDefault="00911D63">
            <w:pPr>
              <w:pStyle w:val="TableParagraph"/>
              <w:spacing w:before="38"/>
              <w:ind w:left="98"/>
              <w:rPr>
                <w:sz w:val="18"/>
              </w:rPr>
            </w:pPr>
            <w:r>
              <w:rPr>
                <w:sz w:val="18"/>
              </w:rPr>
              <w:t>Light</w:t>
            </w:r>
            <w:r>
              <w:rPr>
                <w:spacing w:val="-2"/>
                <w:sz w:val="18"/>
              </w:rPr>
              <w:t xml:space="preserve"> </w:t>
            </w:r>
            <w:r>
              <w:rPr>
                <w:sz w:val="18"/>
              </w:rPr>
              <w:t>Motor</w:t>
            </w:r>
            <w:r>
              <w:rPr>
                <w:spacing w:val="-2"/>
                <w:sz w:val="18"/>
              </w:rPr>
              <w:t xml:space="preserve"> </w:t>
            </w:r>
            <w:r>
              <w:rPr>
                <w:sz w:val="18"/>
              </w:rPr>
              <w:t>Vehicle</w:t>
            </w:r>
            <w:r>
              <w:rPr>
                <w:spacing w:val="-3"/>
                <w:sz w:val="18"/>
              </w:rPr>
              <w:t xml:space="preserve"> </w:t>
            </w:r>
            <w:r>
              <w:rPr>
                <w:sz w:val="18"/>
              </w:rPr>
              <w:t>Fleet</w:t>
            </w:r>
            <w:r>
              <w:rPr>
                <w:spacing w:val="-2"/>
                <w:sz w:val="18"/>
              </w:rPr>
              <w:t xml:space="preserve"> </w:t>
            </w:r>
            <w:r>
              <w:rPr>
                <w:sz w:val="18"/>
              </w:rPr>
              <w:t>-</w:t>
            </w:r>
            <w:r>
              <w:rPr>
                <w:spacing w:val="-2"/>
                <w:sz w:val="18"/>
              </w:rPr>
              <w:t xml:space="preserve"> </w:t>
            </w:r>
            <w:r>
              <w:rPr>
                <w:sz w:val="18"/>
              </w:rPr>
              <w:t>annual</w:t>
            </w:r>
            <w:r>
              <w:rPr>
                <w:spacing w:val="-3"/>
                <w:sz w:val="18"/>
              </w:rPr>
              <w:t xml:space="preserve"> </w:t>
            </w:r>
            <w:r>
              <w:rPr>
                <w:spacing w:val="-2"/>
                <w:sz w:val="18"/>
              </w:rPr>
              <w:t>replacements</w:t>
            </w:r>
          </w:p>
        </w:tc>
        <w:tc>
          <w:tcPr>
            <w:tcW w:w="1380" w:type="dxa"/>
            <w:tcBorders>
              <w:top w:val="nil"/>
            </w:tcBorders>
            <w:shd w:val="clear" w:color="auto" w:fill="CCE1EC"/>
          </w:tcPr>
          <w:p w14:paraId="35CDA39D" w14:textId="77777777" w:rsidR="00141B97" w:rsidRDefault="00911D63">
            <w:pPr>
              <w:pStyle w:val="TableParagraph"/>
              <w:spacing w:before="38"/>
              <w:ind w:left="470" w:right="470"/>
              <w:jc w:val="center"/>
              <w:rPr>
                <w:sz w:val="18"/>
              </w:rPr>
            </w:pPr>
            <w:r>
              <w:rPr>
                <w:spacing w:val="-4"/>
                <w:sz w:val="18"/>
              </w:rPr>
              <w:t>5.73</w:t>
            </w:r>
          </w:p>
        </w:tc>
        <w:tc>
          <w:tcPr>
            <w:tcW w:w="1694" w:type="dxa"/>
            <w:tcBorders>
              <w:top w:val="nil"/>
            </w:tcBorders>
            <w:shd w:val="clear" w:color="auto" w:fill="CCE1EC"/>
          </w:tcPr>
          <w:p w14:paraId="2D0A9ACC" w14:textId="77777777" w:rsidR="00141B97" w:rsidRDefault="00911D63">
            <w:pPr>
              <w:pStyle w:val="TableParagraph"/>
              <w:spacing w:before="38"/>
              <w:ind w:left="296" w:right="296"/>
              <w:jc w:val="center"/>
              <w:rPr>
                <w:sz w:val="18"/>
              </w:rPr>
            </w:pPr>
            <w:r>
              <w:rPr>
                <w:spacing w:val="-2"/>
                <w:sz w:val="18"/>
              </w:rPr>
              <w:t>Corporate</w:t>
            </w:r>
          </w:p>
        </w:tc>
        <w:tc>
          <w:tcPr>
            <w:tcW w:w="1975" w:type="dxa"/>
            <w:tcBorders>
              <w:top w:val="nil"/>
              <w:right w:val="nil"/>
            </w:tcBorders>
            <w:shd w:val="clear" w:color="auto" w:fill="CCE1EC"/>
          </w:tcPr>
          <w:p w14:paraId="0AE15902" w14:textId="77777777" w:rsidR="00141B97" w:rsidRDefault="00911D63">
            <w:pPr>
              <w:pStyle w:val="TableParagraph"/>
              <w:spacing w:before="38"/>
              <w:ind w:left="395" w:right="392"/>
              <w:jc w:val="center"/>
              <w:rPr>
                <w:sz w:val="18"/>
              </w:rPr>
            </w:pPr>
            <w:r>
              <w:rPr>
                <w:spacing w:val="-2"/>
                <w:sz w:val="18"/>
              </w:rPr>
              <w:t>Renewals</w:t>
            </w:r>
          </w:p>
        </w:tc>
      </w:tr>
      <w:tr w:rsidR="00141B97" w14:paraId="4E81174A" w14:textId="77777777">
        <w:trPr>
          <w:trHeight w:val="299"/>
          <w:tblCellSpacing w:w="4" w:type="dxa"/>
        </w:trPr>
        <w:tc>
          <w:tcPr>
            <w:tcW w:w="4284" w:type="dxa"/>
            <w:tcBorders>
              <w:left w:val="nil"/>
            </w:tcBorders>
            <w:shd w:val="clear" w:color="auto" w:fill="CCE1EC"/>
          </w:tcPr>
          <w:p w14:paraId="2C496AE2" w14:textId="77777777" w:rsidR="00141B97" w:rsidRDefault="00911D63">
            <w:pPr>
              <w:pStyle w:val="TableParagraph"/>
              <w:spacing w:before="39"/>
              <w:ind w:left="98"/>
              <w:rPr>
                <w:sz w:val="18"/>
              </w:rPr>
            </w:pPr>
            <w:r>
              <w:rPr>
                <w:sz w:val="18"/>
              </w:rPr>
              <w:t>Irrigation</w:t>
            </w:r>
            <w:r>
              <w:rPr>
                <w:spacing w:val="-2"/>
                <w:sz w:val="18"/>
              </w:rPr>
              <w:t xml:space="preserve"> </w:t>
            </w:r>
            <w:r>
              <w:rPr>
                <w:sz w:val="18"/>
              </w:rPr>
              <w:t>Mains</w:t>
            </w:r>
            <w:r>
              <w:rPr>
                <w:spacing w:val="-1"/>
                <w:sz w:val="18"/>
              </w:rPr>
              <w:t xml:space="preserve"> </w:t>
            </w:r>
            <w:r>
              <w:rPr>
                <w:spacing w:val="-2"/>
                <w:sz w:val="18"/>
              </w:rPr>
              <w:t>Replacement</w:t>
            </w:r>
          </w:p>
        </w:tc>
        <w:tc>
          <w:tcPr>
            <w:tcW w:w="1380" w:type="dxa"/>
            <w:shd w:val="clear" w:color="auto" w:fill="CCE1EC"/>
          </w:tcPr>
          <w:p w14:paraId="17963BF8" w14:textId="77777777" w:rsidR="00141B97" w:rsidRDefault="00911D63">
            <w:pPr>
              <w:pStyle w:val="TableParagraph"/>
              <w:spacing w:before="39"/>
              <w:ind w:left="470" w:right="470"/>
              <w:jc w:val="center"/>
              <w:rPr>
                <w:sz w:val="18"/>
              </w:rPr>
            </w:pPr>
            <w:r>
              <w:rPr>
                <w:spacing w:val="-4"/>
                <w:sz w:val="18"/>
              </w:rPr>
              <w:t>4.03</w:t>
            </w:r>
          </w:p>
        </w:tc>
        <w:tc>
          <w:tcPr>
            <w:tcW w:w="1694" w:type="dxa"/>
            <w:shd w:val="clear" w:color="auto" w:fill="CCE1EC"/>
          </w:tcPr>
          <w:p w14:paraId="798757BB" w14:textId="77777777" w:rsidR="00141B97" w:rsidRDefault="00911D63">
            <w:pPr>
              <w:pStyle w:val="TableParagraph"/>
              <w:spacing w:before="39"/>
              <w:ind w:left="298" w:right="296"/>
              <w:jc w:val="center"/>
              <w:rPr>
                <w:sz w:val="18"/>
              </w:rPr>
            </w:pPr>
            <w:r>
              <w:rPr>
                <w:spacing w:val="-2"/>
                <w:sz w:val="18"/>
              </w:rPr>
              <w:t>Irrigation</w:t>
            </w:r>
          </w:p>
        </w:tc>
        <w:tc>
          <w:tcPr>
            <w:tcW w:w="1975" w:type="dxa"/>
            <w:tcBorders>
              <w:right w:val="nil"/>
            </w:tcBorders>
            <w:shd w:val="clear" w:color="auto" w:fill="CCE1EC"/>
          </w:tcPr>
          <w:p w14:paraId="583D9B71" w14:textId="77777777" w:rsidR="00141B97" w:rsidRDefault="00911D63">
            <w:pPr>
              <w:pStyle w:val="TableParagraph"/>
              <w:spacing w:before="39"/>
              <w:ind w:left="395" w:right="392"/>
              <w:jc w:val="center"/>
              <w:rPr>
                <w:sz w:val="18"/>
              </w:rPr>
            </w:pPr>
            <w:r>
              <w:rPr>
                <w:spacing w:val="-2"/>
                <w:sz w:val="18"/>
              </w:rPr>
              <w:t>Renewals</w:t>
            </w:r>
          </w:p>
        </w:tc>
      </w:tr>
      <w:tr w:rsidR="00141B97" w14:paraId="7AA87C25" w14:textId="77777777">
        <w:trPr>
          <w:trHeight w:val="438"/>
          <w:tblCellSpacing w:w="4" w:type="dxa"/>
        </w:trPr>
        <w:tc>
          <w:tcPr>
            <w:tcW w:w="4284" w:type="dxa"/>
            <w:tcBorders>
              <w:left w:val="nil"/>
            </w:tcBorders>
            <w:shd w:val="clear" w:color="auto" w:fill="CCE1EC"/>
          </w:tcPr>
          <w:p w14:paraId="49675889" w14:textId="77777777" w:rsidR="00141B97" w:rsidRDefault="00911D63">
            <w:pPr>
              <w:pStyle w:val="TableParagraph"/>
              <w:spacing w:before="109"/>
              <w:ind w:left="98"/>
              <w:rPr>
                <w:sz w:val="18"/>
              </w:rPr>
            </w:pPr>
            <w:r>
              <w:rPr>
                <w:sz w:val="18"/>
              </w:rPr>
              <w:t>Minor</w:t>
            </w:r>
            <w:r>
              <w:rPr>
                <w:spacing w:val="-1"/>
                <w:sz w:val="18"/>
              </w:rPr>
              <w:t xml:space="preserve"> </w:t>
            </w:r>
            <w:r>
              <w:rPr>
                <w:sz w:val="18"/>
              </w:rPr>
              <w:t>capex</w:t>
            </w:r>
            <w:r>
              <w:rPr>
                <w:spacing w:val="-2"/>
                <w:sz w:val="18"/>
              </w:rPr>
              <w:t xml:space="preserve"> </w:t>
            </w:r>
            <w:r>
              <w:rPr>
                <w:sz w:val="18"/>
              </w:rPr>
              <w:t>-</w:t>
            </w:r>
            <w:r>
              <w:rPr>
                <w:spacing w:val="-1"/>
                <w:sz w:val="18"/>
              </w:rPr>
              <w:t xml:space="preserve"> </w:t>
            </w:r>
            <w:r>
              <w:rPr>
                <w:spacing w:val="-2"/>
                <w:sz w:val="18"/>
              </w:rPr>
              <w:t>Water</w:t>
            </w:r>
          </w:p>
        </w:tc>
        <w:tc>
          <w:tcPr>
            <w:tcW w:w="1380" w:type="dxa"/>
            <w:shd w:val="clear" w:color="auto" w:fill="CCE1EC"/>
          </w:tcPr>
          <w:p w14:paraId="1CBC53C4" w14:textId="77777777" w:rsidR="00141B97" w:rsidRDefault="00911D63">
            <w:pPr>
              <w:pStyle w:val="TableParagraph"/>
              <w:spacing w:before="109"/>
              <w:ind w:left="470" w:right="470"/>
              <w:jc w:val="center"/>
              <w:rPr>
                <w:sz w:val="18"/>
              </w:rPr>
            </w:pPr>
            <w:r>
              <w:rPr>
                <w:spacing w:val="-4"/>
                <w:sz w:val="18"/>
              </w:rPr>
              <w:t>3.27</w:t>
            </w:r>
          </w:p>
        </w:tc>
        <w:tc>
          <w:tcPr>
            <w:tcW w:w="1694" w:type="dxa"/>
            <w:shd w:val="clear" w:color="auto" w:fill="CCE1EC"/>
          </w:tcPr>
          <w:p w14:paraId="7FE6516D" w14:textId="77777777" w:rsidR="00141B97" w:rsidRDefault="00911D63">
            <w:pPr>
              <w:pStyle w:val="TableParagraph"/>
              <w:spacing w:before="109"/>
              <w:ind w:left="296" w:right="296"/>
              <w:jc w:val="center"/>
              <w:rPr>
                <w:sz w:val="18"/>
              </w:rPr>
            </w:pPr>
            <w:r>
              <w:rPr>
                <w:sz w:val="18"/>
              </w:rPr>
              <w:t>Urban</w:t>
            </w:r>
            <w:r>
              <w:rPr>
                <w:spacing w:val="-3"/>
                <w:sz w:val="18"/>
              </w:rPr>
              <w:t xml:space="preserve"> </w:t>
            </w:r>
            <w:r>
              <w:rPr>
                <w:spacing w:val="-2"/>
                <w:sz w:val="18"/>
              </w:rPr>
              <w:t>Water</w:t>
            </w:r>
          </w:p>
        </w:tc>
        <w:tc>
          <w:tcPr>
            <w:tcW w:w="1975" w:type="dxa"/>
            <w:tcBorders>
              <w:right w:val="nil"/>
            </w:tcBorders>
            <w:shd w:val="clear" w:color="auto" w:fill="CCE1EC"/>
          </w:tcPr>
          <w:p w14:paraId="41CED0E3" w14:textId="77777777" w:rsidR="00141B97" w:rsidRDefault="00911D63">
            <w:pPr>
              <w:pStyle w:val="TableParagraph"/>
              <w:spacing w:line="219" w:lineRule="exact"/>
              <w:ind w:left="561"/>
              <w:rPr>
                <w:sz w:val="18"/>
              </w:rPr>
            </w:pPr>
            <w:r>
              <w:rPr>
                <w:sz w:val="18"/>
              </w:rPr>
              <w:t>Renewals</w:t>
            </w:r>
            <w:r>
              <w:rPr>
                <w:spacing w:val="-5"/>
                <w:sz w:val="18"/>
              </w:rPr>
              <w:t xml:space="preserve"> </w:t>
            </w:r>
            <w:r>
              <w:rPr>
                <w:spacing w:val="-10"/>
                <w:sz w:val="18"/>
              </w:rPr>
              <w:t>&amp;</w:t>
            </w:r>
          </w:p>
          <w:p w14:paraId="36306BE8" w14:textId="77777777" w:rsidR="00141B97" w:rsidRDefault="00911D63">
            <w:pPr>
              <w:pStyle w:val="TableParagraph"/>
              <w:spacing w:before="1" w:line="199" w:lineRule="exact"/>
              <w:ind w:left="489"/>
              <w:rPr>
                <w:sz w:val="18"/>
              </w:rPr>
            </w:pPr>
            <w:r>
              <w:rPr>
                <w:spacing w:val="-2"/>
                <w:sz w:val="18"/>
              </w:rPr>
              <w:t>Improvement</w:t>
            </w:r>
          </w:p>
        </w:tc>
      </w:tr>
      <w:tr w:rsidR="00141B97" w14:paraId="079E85A3" w14:textId="77777777">
        <w:trPr>
          <w:trHeight w:val="438"/>
          <w:tblCellSpacing w:w="4" w:type="dxa"/>
        </w:trPr>
        <w:tc>
          <w:tcPr>
            <w:tcW w:w="4284" w:type="dxa"/>
            <w:tcBorders>
              <w:left w:val="nil"/>
            </w:tcBorders>
            <w:shd w:val="clear" w:color="auto" w:fill="CCE1EC"/>
          </w:tcPr>
          <w:p w14:paraId="2CAF819E" w14:textId="77777777" w:rsidR="00141B97" w:rsidRDefault="00911D63">
            <w:pPr>
              <w:pStyle w:val="TableParagraph"/>
              <w:spacing w:before="109"/>
              <w:ind w:left="98"/>
              <w:rPr>
                <w:sz w:val="18"/>
              </w:rPr>
            </w:pPr>
            <w:r>
              <w:rPr>
                <w:sz w:val="18"/>
              </w:rPr>
              <w:t>Minor</w:t>
            </w:r>
            <w:r>
              <w:rPr>
                <w:spacing w:val="-1"/>
                <w:sz w:val="18"/>
              </w:rPr>
              <w:t xml:space="preserve"> </w:t>
            </w:r>
            <w:r>
              <w:rPr>
                <w:sz w:val="18"/>
              </w:rPr>
              <w:t>capex</w:t>
            </w:r>
            <w:r>
              <w:rPr>
                <w:spacing w:val="-2"/>
                <w:sz w:val="18"/>
              </w:rPr>
              <w:t xml:space="preserve"> </w:t>
            </w:r>
            <w:r>
              <w:rPr>
                <w:sz w:val="18"/>
              </w:rPr>
              <w:t>-</w:t>
            </w:r>
            <w:r>
              <w:rPr>
                <w:spacing w:val="-1"/>
                <w:sz w:val="18"/>
              </w:rPr>
              <w:t xml:space="preserve"> </w:t>
            </w:r>
            <w:r>
              <w:rPr>
                <w:spacing w:val="-2"/>
                <w:sz w:val="18"/>
              </w:rPr>
              <w:t>Sewer</w:t>
            </w:r>
          </w:p>
        </w:tc>
        <w:tc>
          <w:tcPr>
            <w:tcW w:w="1380" w:type="dxa"/>
            <w:shd w:val="clear" w:color="auto" w:fill="CCE1EC"/>
          </w:tcPr>
          <w:p w14:paraId="640C4CB5" w14:textId="77777777" w:rsidR="00141B97" w:rsidRDefault="00911D63">
            <w:pPr>
              <w:pStyle w:val="TableParagraph"/>
              <w:spacing w:before="109"/>
              <w:ind w:left="470" w:right="470"/>
              <w:jc w:val="center"/>
              <w:rPr>
                <w:sz w:val="18"/>
              </w:rPr>
            </w:pPr>
            <w:r>
              <w:rPr>
                <w:spacing w:val="-4"/>
                <w:sz w:val="18"/>
              </w:rPr>
              <w:t>3.80</w:t>
            </w:r>
          </w:p>
        </w:tc>
        <w:tc>
          <w:tcPr>
            <w:tcW w:w="1694" w:type="dxa"/>
            <w:shd w:val="clear" w:color="auto" w:fill="CCE1EC"/>
          </w:tcPr>
          <w:p w14:paraId="46E7B271" w14:textId="77777777" w:rsidR="00141B97" w:rsidRDefault="00911D63">
            <w:pPr>
              <w:pStyle w:val="TableParagraph"/>
              <w:spacing w:before="109"/>
              <w:ind w:left="296" w:right="296"/>
              <w:jc w:val="center"/>
              <w:rPr>
                <w:sz w:val="18"/>
              </w:rPr>
            </w:pPr>
            <w:r>
              <w:rPr>
                <w:spacing w:val="-2"/>
                <w:sz w:val="18"/>
              </w:rPr>
              <w:t>Sewerage</w:t>
            </w:r>
          </w:p>
        </w:tc>
        <w:tc>
          <w:tcPr>
            <w:tcW w:w="1975" w:type="dxa"/>
            <w:tcBorders>
              <w:right w:val="nil"/>
            </w:tcBorders>
            <w:shd w:val="clear" w:color="auto" w:fill="CCE1EC"/>
          </w:tcPr>
          <w:p w14:paraId="41B5681A" w14:textId="77777777" w:rsidR="00141B97" w:rsidRDefault="00911D63">
            <w:pPr>
              <w:pStyle w:val="TableParagraph"/>
              <w:spacing w:before="1" w:line="219" w:lineRule="exact"/>
              <w:ind w:left="561"/>
              <w:rPr>
                <w:sz w:val="18"/>
              </w:rPr>
            </w:pPr>
            <w:r>
              <w:rPr>
                <w:sz w:val="18"/>
              </w:rPr>
              <w:t>Renewals</w:t>
            </w:r>
            <w:r>
              <w:rPr>
                <w:spacing w:val="-5"/>
                <w:sz w:val="18"/>
              </w:rPr>
              <w:t xml:space="preserve"> </w:t>
            </w:r>
            <w:r>
              <w:rPr>
                <w:spacing w:val="-10"/>
                <w:sz w:val="18"/>
              </w:rPr>
              <w:t>&amp;</w:t>
            </w:r>
          </w:p>
          <w:p w14:paraId="6767791F" w14:textId="77777777" w:rsidR="00141B97" w:rsidRDefault="00911D63">
            <w:pPr>
              <w:pStyle w:val="TableParagraph"/>
              <w:spacing w:line="199" w:lineRule="exact"/>
              <w:ind w:left="489"/>
              <w:rPr>
                <w:sz w:val="18"/>
              </w:rPr>
            </w:pPr>
            <w:r>
              <w:rPr>
                <w:spacing w:val="-2"/>
                <w:sz w:val="18"/>
              </w:rPr>
              <w:t>Improvement</w:t>
            </w:r>
          </w:p>
        </w:tc>
      </w:tr>
      <w:tr w:rsidR="00141B97" w14:paraId="7975B12E" w14:textId="77777777">
        <w:trPr>
          <w:trHeight w:val="441"/>
          <w:tblCellSpacing w:w="4" w:type="dxa"/>
        </w:trPr>
        <w:tc>
          <w:tcPr>
            <w:tcW w:w="4284" w:type="dxa"/>
            <w:tcBorders>
              <w:left w:val="nil"/>
            </w:tcBorders>
            <w:shd w:val="clear" w:color="auto" w:fill="CCE1EC"/>
          </w:tcPr>
          <w:p w14:paraId="67797CDA" w14:textId="77777777" w:rsidR="00141B97" w:rsidRDefault="00911D63">
            <w:pPr>
              <w:pStyle w:val="TableParagraph"/>
              <w:spacing w:before="111"/>
              <w:ind w:left="98"/>
              <w:rPr>
                <w:sz w:val="18"/>
              </w:rPr>
            </w:pPr>
            <w:r>
              <w:rPr>
                <w:sz w:val="18"/>
              </w:rPr>
              <w:t>Minor</w:t>
            </w:r>
            <w:r>
              <w:rPr>
                <w:spacing w:val="-1"/>
                <w:sz w:val="18"/>
              </w:rPr>
              <w:t xml:space="preserve"> </w:t>
            </w:r>
            <w:r>
              <w:rPr>
                <w:sz w:val="18"/>
              </w:rPr>
              <w:t>capex</w:t>
            </w:r>
            <w:r>
              <w:rPr>
                <w:spacing w:val="-2"/>
                <w:sz w:val="18"/>
              </w:rPr>
              <w:t xml:space="preserve"> </w:t>
            </w:r>
            <w:r>
              <w:rPr>
                <w:sz w:val="18"/>
              </w:rPr>
              <w:t>-</w:t>
            </w:r>
            <w:r>
              <w:rPr>
                <w:spacing w:val="-1"/>
                <w:sz w:val="18"/>
              </w:rPr>
              <w:t xml:space="preserve"> </w:t>
            </w:r>
            <w:r>
              <w:rPr>
                <w:spacing w:val="-2"/>
                <w:sz w:val="18"/>
              </w:rPr>
              <w:t>Irrigation</w:t>
            </w:r>
          </w:p>
        </w:tc>
        <w:tc>
          <w:tcPr>
            <w:tcW w:w="1380" w:type="dxa"/>
            <w:shd w:val="clear" w:color="auto" w:fill="CCE1EC"/>
          </w:tcPr>
          <w:p w14:paraId="3AB7B1B4" w14:textId="77777777" w:rsidR="00141B97" w:rsidRDefault="00911D63">
            <w:pPr>
              <w:pStyle w:val="TableParagraph"/>
              <w:spacing w:before="111"/>
              <w:ind w:left="470" w:right="470"/>
              <w:jc w:val="center"/>
              <w:rPr>
                <w:sz w:val="18"/>
              </w:rPr>
            </w:pPr>
            <w:r>
              <w:rPr>
                <w:spacing w:val="-4"/>
                <w:sz w:val="18"/>
              </w:rPr>
              <w:t>5.28</w:t>
            </w:r>
          </w:p>
        </w:tc>
        <w:tc>
          <w:tcPr>
            <w:tcW w:w="1694" w:type="dxa"/>
            <w:shd w:val="clear" w:color="auto" w:fill="CCE1EC"/>
          </w:tcPr>
          <w:p w14:paraId="34291F8E" w14:textId="77777777" w:rsidR="00141B97" w:rsidRDefault="00911D63">
            <w:pPr>
              <w:pStyle w:val="TableParagraph"/>
              <w:spacing w:before="111"/>
              <w:ind w:left="298" w:right="296"/>
              <w:jc w:val="center"/>
              <w:rPr>
                <w:sz w:val="18"/>
              </w:rPr>
            </w:pPr>
            <w:r>
              <w:rPr>
                <w:sz w:val="18"/>
              </w:rPr>
              <w:t xml:space="preserve">Rural </w:t>
            </w:r>
            <w:r>
              <w:rPr>
                <w:spacing w:val="-2"/>
                <w:sz w:val="18"/>
              </w:rPr>
              <w:t>Irrigation</w:t>
            </w:r>
          </w:p>
        </w:tc>
        <w:tc>
          <w:tcPr>
            <w:tcW w:w="1975" w:type="dxa"/>
            <w:tcBorders>
              <w:right w:val="nil"/>
            </w:tcBorders>
            <w:shd w:val="clear" w:color="auto" w:fill="CCE1EC"/>
          </w:tcPr>
          <w:p w14:paraId="28AC6A45" w14:textId="77777777" w:rsidR="00141B97" w:rsidRDefault="00911D63">
            <w:pPr>
              <w:pStyle w:val="TableParagraph"/>
              <w:spacing w:line="220" w:lineRule="atLeast"/>
              <w:ind w:left="489" w:firstLine="72"/>
              <w:rPr>
                <w:sz w:val="18"/>
              </w:rPr>
            </w:pPr>
            <w:r>
              <w:rPr>
                <w:sz w:val="18"/>
              </w:rPr>
              <w:t xml:space="preserve">Renewals &amp; </w:t>
            </w:r>
            <w:r>
              <w:rPr>
                <w:spacing w:val="-2"/>
                <w:sz w:val="18"/>
              </w:rPr>
              <w:t>Improvement</w:t>
            </w:r>
          </w:p>
        </w:tc>
      </w:tr>
      <w:tr w:rsidR="00141B97" w14:paraId="42814324" w14:textId="77777777">
        <w:trPr>
          <w:trHeight w:val="299"/>
          <w:tblCellSpacing w:w="4" w:type="dxa"/>
        </w:trPr>
        <w:tc>
          <w:tcPr>
            <w:tcW w:w="4284" w:type="dxa"/>
            <w:tcBorders>
              <w:left w:val="nil"/>
            </w:tcBorders>
            <w:shd w:val="clear" w:color="auto" w:fill="CCE1EC"/>
          </w:tcPr>
          <w:p w14:paraId="331B22EE" w14:textId="77777777" w:rsidR="00141B97" w:rsidRDefault="00911D63">
            <w:pPr>
              <w:pStyle w:val="TableParagraph"/>
              <w:spacing w:before="39"/>
              <w:ind w:left="98"/>
              <w:rPr>
                <w:sz w:val="18"/>
              </w:rPr>
            </w:pPr>
            <w:r>
              <w:rPr>
                <w:sz w:val="18"/>
              </w:rPr>
              <w:t>Total</w:t>
            </w:r>
            <w:r>
              <w:rPr>
                <w:spacing w:val="-2"/>
                <w:sz w:val="18"/>
              </w:rPr>
              <w:t xml:space="preserve"> </w:t>
            </w:r>
            <w:r>
              <w:rPr>
                <w:sz w:val="18"/>
              </w:rPr>
              <w:t>ICT</w:t>
            </w:r>
            <w:r>
              <w:rPr>
                <w:spacing w:val="-3"/>
                <w:sz w:val="18"/>
              </w:rPr>
              <w:t xml:space="preserve"> </w:t>
            </w:r>
            <w:r>
              <w:rPr>
                <w:spacing w:val="-2"/>
                <w:sz w:val="18"/>
              </w:rPr>
              <w:t>equipment</w:t>
            </w:r>
          </w:p>
        </w:tc>
        <w:tc>
          <w:tcPr>
            <w:tcW w:w="1380" w:type="dxa"/>
            <w:shd w:val="clear" w:color="auto" w:fill="CCE1EC"/>
          </w:tcPr>
          <w:p w14:paraId="3317C99F" w14:textId="77777777" w:rsidR="00141B97" w:rsidRDefault="00911D63">
            <w:pPr>
              <w:pStyle w:val="TableParagraph"/>
              <w:spacing w:before="39"/>
              <w:ind w:left="470" w:right="470"/>
              <w:jc w:val="center"/>
              <w:rPr>
                <w:sz w:val="18"/>
              </w:rPr>
            </w:pPr>
            <w:r>
              <w:rPr>
                <w:spacing w:val="-4"/>
                <w:sz w:val="18"/>
              </w:rPr>
              <w:t>2.33</w:t>
            </w:r>
          </w:p>
        </w:tc>
        <w:tc>
          <w:tcPr>
            <w:tcW w:w="1694" w:type="dxa"/>
            <w:shd w:val="clear" w:color="auto" w:fill="CCE1EC"/>
          </w:tcPr>
          <w:p w14:paraId="329EA557" w14:textId="77777777" w:rsidR="00141B97" w:rsidRDefault="00911D63">
            <w:pPr>
              <w:pStyle w:val="TableParagraph"/>
              <w:spacing w:before="39"/>
              <w:ind w:left="296" w:right="296"/>
              <w:jc w:val="center"/>
              <w:rPr>
                <w:sz w:val="18"/>
              </w:rPr>
            </w:pPr>
            <w:r>
              <w:rPr>
                <w:spacing w:val="-2"/>
                <w:sz w:val="18"/>
              </w:rPr>
              <w:t>Corporate</w:t>
            </w:r>
          </w:p>
        </w:tc>
        <w:tc>
          <w:tcPr>
            <w:tcW w:w="1975" w:type="dxa"/>
            <w:tcBorders>
              <w:right w:val="nil"/>
            </w:tcBorders>
            <w:shd w:val="clear" w:color="auto" w:fill="CCE1EC"/>
          </w:tcPr>
          <w:p w14:paraId="0B39C683" w14:textId="77777777" w:rsidR="00141B97" w:rsidRDefault="00911D63">
            <w:pPr>
              <w:pStyle w:val="TableParagraph"/>
              <w:spacing w:before="39"/>
              <w:ind w:left="395" w:right="392"/>
              <w:jc w:val="center"/>
              <w:rPr>
                <w:sz w:val="18"/>
              </w:rPr>
            </w:pPr>
            <w:r>
              <w:rPr>
                <w:spacing w:val="-2"/>
                <w:sz w:val="18"/>
              </w:rPr>
              <w:t>Renewals</w:t>
            </w:r>
          </w:p>
        </w:tc>
      </w:tr>
      <w:tr w:rsidR="00141B97" w14:paraId="67C89E6E" w14:textId="77777777">
        <w:trPr>
          <w:trHeight w:val="327"/>
          <w:tblCellSpacing w:w="4" w:type="dxa"/>
        </w:trPr>
        <w:tc>
          <w:tcPr>
            <w:tcW w:w="4284" w:type="dxa"/>
            <w:tcBorders>
              <w:left w:val="nil"/>
              <w:bottom w:val="nil"/>
            </w:tcBorders>
            <w:shd w:val="clear" w:color="auto" w:fill="CCE1EC"/>
          </w:tcPr>
          <w:p w14:paraId="73F994B7" w14:textId="77777777" w:rsidR="00141B97" w:rsidRDefault="00911D63">
            <w:pPr>
              <w:pStyle w:val="TableParagraph"/>
              <w:spacing w:before="54"/>
              <w:ind w:left="98"/>
              <w:rPr>
                <w:sz w:val="18"/>
              </w:rPr>
            </w:pPr>
            <w:r>
              <w:rPr>
                <w:sz w:val="18"/>
              </w:rPr>
              <w:t>Heavy</w:t>
            </w:r>
            <w:r>
              <w:rPr>
                <w:spacing w:val="-3"/>
                <w:sz w:val="18"/>
              </w:rPr>
              <w:t xml:space="preserve"> </w:t>
            </w:r>
            <w:r>
              <w:rPr>
                <w:sz w:val="18"/>
              </w:rPr>
              <w:t>Motor</w:t>
            </w:r>
            <w:r>
              <w:rPr>
                <w:spacing w:val="-2"/>
                <w:sz w:val="18"/>
              </w:rPr>
              <w:t xml:space="preserve"> </w:t>
            </w:r>
            <w:r>
              <w:rPr>
                <w:sz w:val="18"/>
              </w:rPr>
              <w:t>Vehicle</w:t>
            </w:r>
            <w:r>
              <w:rPr>
                <w:spacing w:val="-3"/>
                <w:sz w:val="18"/>
              </w:rPr>
              <w:t xml:space="preserve"> </w:t>
            </w:r>
            <w:r>
              <w:rPr>
                <w:sz w:val="18"/>
              </w:rPr>
              <w:t>Fleet</w:t>
            </w:r>
            <w:r>
              <w:rPr>
                <w:spacing w:val="-1"/>
                <w:sz w:val="18"/>
              </w:rPr>
              <w:t xml:space="preserve"> </w:t>
            </w:r>
            <w:r>
              <w:rPr>
                <w:sz w:val="18"/>
              </w:rPr>
              <w:t>-</w:t>
            </w:r>
            <w:r>
              <w:rPr>
                <w:spacing w:val="-2"/>
                <w:sz w:val="18"/>
              </w:rPr>
              <w:t xml:space="preserve"> </w:t>
            </w:r>
            <w:r>
              <w:rPr>
                <w:sz w:val="18"/>
              </w:rPr>
              <w:t>annual</w:t>
            </w:r>
            <w:r>
              <w:rPr>
                <w:spacing w:val="-1"/>
                <w:sz w:val="18"/>
              </w:rPr>
              <w:t xml:space="preserve"> </w:t>
            </w:r>
            <w:r>
              <w:rPr>
                <w:spacing w:val="-2"/>
                <w:sz w:val="18"/>
              </w:rPr>
              <w:t>replacements</w:t>
            </w:r>
          </w:p>
        </w:tc>
        <w:tc>
          <w:tcPr>
            <w:tcW w:w="1380" w:type="dxa"/>
            <w:tcBorders>
              <w:bottom w:val="nil"/>
            </w:tcBorders>
            <w:shd w:val="clear" w:color="auto" w:fill="CCE1EC"/>
          </w:tcPr>
          <w:p w14:paraId="48CB2C1D" w14:textId="77777777" w:rsidR="00141B97" w:rsidRDefault="00911D63">
            <w:pPr>
              <w:pStyle w:val="TableParagraph"/>
              <w:spacing w:before="54"/>
              <w:ind w:left="470" w:right="470"/>
              <w:jc w:val="center"/>
              <w:rPr>
                <w:sz w:val="18"/>
              </w:rPr>
            </w:pPr>
            <w:r>
              <w:rPr>
                <w:spacing w:val="-4"/>
                <w:sz w:val="18"/>
              </w:rPr>
              <w:t>2.55</w:t>
            </w:r>
          </w:p>
        </w:tc>
        <w:tc>
          <w:tcPr>
            <w:tcW w:w="1694" w:type="dxa"/>
            <w:tcBorders>
              <w:bottom w:val="nil"/>
            </w:tcBorders>
            <w:shd w:val="clear" w:color="auto" w:fill="CCE1EC"/>
          </w:tcPr>
          <w:p w14:paraId="35682349" w14:textId="77777777" w:rsidR="00141B97" w:rsidRDefault="00911D63">
            <w:pPr>
              <w:pStyle w:val="TableParagraph"/>
              <w:spacing w:before="54"/>
              <w:ind w:left="296" w:right="296"/>
              <w:jc w:val="center"/>
              <w:rPr>
                <w:sz w:val="18"/>
              </w:rPr>
            </w:pPr>
            <w:r>
              <w:rPr>
                <w:spacing w:val="-2"/>
                <w:sz w:val="18"/>
              </w:rPr>
              <w:t>Corporate</w:t>
            </w:r>
          </w:p>
        </w:tc>
        <w:tc>
          <w:tcPr>
            <w:tcW w:w="1975" w:type="dxa"/>
            <w:tcBorders>
              <w:bottom w:val="nil"/>
              <w:right w:val="nil"/>
            </w:tcBorders>
            <w:shd w:val="clear" w:color="auto" w:fill="CCE1EC"/>
          </w:tcPr>
          <w:p w14:paraId="771E7DAF" w14:textId="77777777" w:rsidR="00141B97" w:rsidRDefault="00911D63">
            <w:pPr>
              <w:pStyle w:val="TableParagraph"/>
              <w:spacing w:before="54"/>
              <w:ind w:left="395" w:right="392"/>
              <w:jc w:val="center"/>
              <w:rPr>
                <w:sz w:val="18"/>
              </w:rPr>
            </w:pPr>
            <w:r>
              <w:rPr>
                <w:spacing w:val="-2"/>
                <w:sz w:val="18"/>
              </w:rPr>
              <w:t>Renewals</w:t>
            </w:r>
          </w:p>
        </w:tc>
      </w:tr>
      <w:tr w:rsidR="00141B97" w14:paraId="5DC257B3" w14:textId="77777777">
        <w:trPr>
          <w:trHeight w:val="437"/>
          <w:tblCellSpacing w:w="4" w:type="dxa"/>
        </w:trPr>
        <w:tc>
          <w:tcPr>
            <w:tcW w:w="4284" w:type="dxa"/>
            <w:tcBorders>
              <w:top w:val="nil"/>
              <w:left w:val="nil"/>
            </w:tcBorders>
            <w:shd w:val="clear" w:color="auto" w:fill="CCE1EC"/>
          </w:tcPr>
          <w:p w14:paraId="1672C58B" w14:textId="77777777" w:rsidR="00141B97" w:rsidRDefault="00911D63">
            <w:pPr>
              <w:pStyle w:val="TableParagraph"/>
              <w:spacing w:before="108"/>
              <w:ind w:left="98"/>
              <w:rPr>
                <w:sz w:val="18"/>
              </w:rPr>
            </w:pPr>
            <w:r>
              <w:rPr>
                <w:sz w:val="18"/>
              </w:rPr>
              <w:t>Corporate</w:t>
            </w:r>
            <w:r>
              <w:rPr>
                <w:spacing w:val="-2"/>
                <w:sz w:val="18"/>
              </w:rPr>
              <w:t xml:space="preserve"> </w:t>
            </w:r>
            <w:r>
              <w:rPr>
                <w:sz w:val="18"/>
              </w:rPr>
              <w:t>Facilities</w:t>
            </w:r>
            <w:r>
              <w:rPr>
                <w:spacing w:val="-2"/>
                <w:sz w:val="18"/>
              </w:rPr>
              <w:t xml:space="preserve"> </w:t>
            </w:r>
            <w:r>
              <w:rPr>
                <w:sz w:val="18"/>
              </w:rPr>
              <w:t>and</w:t>
            </w:r>
            <w:r>
              <w:rPr>
                <w:spacing w:val="-1"/>
                <w:sz w:val="18"/>
              </w:rPr>
              <w:t xml:space="preserve"> </w:t>
            </w:r>
            <w:r>
              <w:rPr>
                <w:spacing w:val="-2"/>
                <w:sz w:val="18"/>
              </w:rPr>
              <w:t>Buildings</w:t>
            </w:r>
          </w:p>
        </w:tc>
        <w:tc>
          <w:tcPr>
            <w:tcW w:w="1380" w:type="dxa"/>
            <w:tcBorders>
              <w:top w:val="nil"/>
            </w:tcBorders>
            <w:shd w:val="clear" w:color="auto" w:fill="CCE1EC"/>
          </w:tcPr>
          <w:p w14:paraId="4C112855" w14:textId="77777777" w:rsidR="00141B97" w:rsidRDefault="00911D63">
            <w:pPr>
              <w:pStyle w:val="TableParagraph"/>
              <w:spacing w:before="108"/>
              <w:ind w:left="470" w:right="470"/>
              <w:jc w:val="center"/>
              <w:rPr>
                <w:sz w:val="18"/>
              </w:rPr>
            </w:pPr>
            <w:r>
              <w:rPr>
                <w:spacing w:val="-4"/>
                <w:sz w:val="18"/>
              </w:rPr>
              <w:t>3.25</w:t>
            </w:r>
          </w:p>
        </w:tc>
        <w:tc>
          <w:tcPr>
            <w:tcW w:w="1694" w:type="dxa"/>
            <w:tcBorders>
              <w:top w:val="nil"/>
            </w:tcBorders>
            <w:shd w:val="clear" w:color="auto" w:fill="CCE1EC"/>
          </w:tcPr>
          <w:p w14:paraId="49451F9E" w14:textId="77777777" w:rsidR="00141B97" w:rsidRDefault="00911D63">
            <w:pPr>
              <w:pStyle w:val="TableParagraph"/>
              <w:spacing w:before="108"/>
              <w:ind w:left="296" w:right="296"/>
              <w:jc w:val="center"/>
              <w:rPr>
                <w:sz w:val="18"/>
              </w:rPr>
            </w:pPr>
            <w:r>
              <w:rPr>
                <w:spacing w:val="-2"/>
                <w:sz w:val="18"/>
              </w:rPr>
              <w:t>Corporate</w:t>
            </w:r>
          </w:p>
        </w:tc>
        <w:tc>
          <w:tcPr>
            <w:tcW w:w="1975" w:type="dxa"/>
            <w:tcBorders>
              <w:top w:val="nil"/>
              <w:right w:val="nil"/>
            </w:tcBorders>
            <w:shd w:val="clear" w:color="auto" w:fill="CCE1EC"/>
          </w:tcPr>
          <w:p w14:paraId="7BDAC8F6" w14:textId="77777777" w:rsidR="00141B97" w:rsidRDefault="00911D63">
            <w:pPr>
              <w:pStyle w:val="TableParagraph"/>
              <w:spacing w:line="217" w:lineRule="exact"/>
              <w:ind w:left="395" w:right="392"/>
              <w:jc w:val="center"/>
              <w:rPr>
                <w:sz w:val="18"/>
              </w:rPr>
            </w:pPr>
            <w:r>
              <w:rPr>
                <w:sz w:val="18"/>
              </w:rPr>
              <w:t>Improvements</w:t>
            </w:r>
            <w:r>
              <w:rPr>
                <w:spacing w:val="-7"/>
                <w:sz w:val="18"/>
              </w:rPr>
              <w:t xml:space="preserve"> </w:t>
            </w:r>
            <w:r>
              <w:rPr>
                <w:spacing w:val="-10"/>
                <w:sz w:val="18"/>
              </w:rPr>
              <w:t>/</w:t>
            </w:r>
          </w:p>
          <w:p w14:paraId="135C7A09" w14:textId="77777777" w:rsidR="00141B97" w:rsidRDefault="00911D63">
            <w:pPr>
              <w:pStyle w:val="TableParagraph"/>
              <w:spacing w:before="1" w:line="199" w:lineRule="exact"/>
              <w:ind w:left="395" w:right="392"/>
              <w:jc w:val="center"/>
              <w:rPr>
                <w:sz w:val="18"/>
              </w:rPr>
            </w:pPr>
            <w:r>
              <w:rPr>
                <w:spacing w:val="-2"/>
                <w:sz w:val="18"/>
              </w:rPr>
              <w:t>Compliance</w:t>
            </w:r>
          </w:p>
        </w:tc>
      </w:tr>
      <w:tr w:rsidR="00141B97" w14:paraId="10736CF3" w14:textId="77777777">
        <w:trPr>
          <w:trHeight w:val="434"/>
          <w:tblCellSpacing w:w="4" w:type="dxa"/>
        </w:trPr>
        <w:tc>
          <w:tcPr>
            <w:tcW w:w="4284" w:type="dxa"/>
            <w:tcBorders>
              <w:left w:val="nil"/>
              <w:bottom w:val="nil"/>
            </w:tcBorders>
            <w:shd w:val="clear" w:color="auto" w:fill="BEBEBE"/>
          </w:tcPr>
          <w:p w14:paraId="03AB6338" w14:textId="77777777" w:rsidR="00141B97" w:rsidRDefault="00911D63">
            <w:pPr>
              <w:pStyle w:val="TableParagraph"/>
              <w:spacing w:before="107"/>
              <w:ind w:left="98"/>
              <w:rPr>
                <w:sz w:val="18"/>
              </w:rPr>
            </w:pPr>
            <w:r>
              <w:rPr>
                <w:sz w:val="18"/>
              </w:rPr>
              <w:t>TOTAL</w:t>
            </w:r>
            <w:r>
              <w:rPr>
                <w:spacing w:val="-1"/>
                <w:sz w:val="18"/>
              </w:rPr>
              <w:t xml:space="preserve"> </w:t>
            </w:r>
            <w:r>
              <w:rPr>
                <w:sz w:val="18"/>
              </w:rPr>
              <w:t>Major</w:t>
            </w:r>
            <w:r>
              <w:rPr>
                <w:spacing w:val="-2"/>
                <w:sz w:val="18"/>
              </w:rPr>
              <w:t xml:space="preserve"> </w:t>
            </w:r>
            <w:r>
              <w:rPr>
                <w:sz w:val="18"/>
              </w:rPr>
              <w:t>Programs</w:t>
            </w:r>
            <w:r>
              <w:rPr>
                <w:spacing w:val="-1"/>
                <w:sz w:val="18"/>
              </w:rPr>
              <w:t xml:space="preserve"> </w:t>
            </w:r>
            <w:r>
              <w:rPr>
                <w:sz w:val="18"/>
              </w:rPr>
              <w:t>-</w:t>
            </w:r>
            <w:r>
              <w:rPr>
                <w:spacing w:val="-1"/>
                <w:sz w:val="18"/>
              </w:rPr>
              <w:t xml:space="preserve"> </w:t>
            </w:r>
            <w:r>
              <w:rPr>
                <w:spacing w:val="-2"/>
                <w:sz w:val="18"/>
              </w:rPr>
              <w:t>Combined</w:t>
            </w:r>
          </w:p>
        </w:tc>
        <w:tc>
          <w:tcPr>
            <w:tcW w:w="1380" w:type="dxa"/>
            <w:tcBorders>
              <w:bottom w:val="nil"/>
            </w:tcBorders>
            <w:shd w:val="clear" w:color="auto" w:fill="BEBEBE"/>
          </w:tcPr>
          <w:p w14:paraId="610A121D" w14:textId="77777777" w:rsidR="00141B97" w:rsidRDefault="00911D63">
            <w:pPr>
              <w:pStyle w:val="TableParagraph"/>
              <w:spacing w:before="107"/>
              <w:ind w:left="470" w:right="470"/>
              <w:jc w:val="center"/>
              <w:rPr>
                <w:sz w:val="18"/>
              </w:rPr>
            </w:pPr>
            <w:r>
              <w:rPr>
                <w:spacing w:val="-2"/>
                <w:sz w:val="18"/>
              </w:rPr>
              <w:t>48.23</w:t>
            </w:r>
          </w:p>
        </w:tc>
        <w:tc>
          <w:tcPr>
            <w:tcW w:w="3669" w:type="dxa"/>
            <w:gridSpan w:val="2"/>
            <w:tcBorders>
              <w:bottom w:val="nil"/>
              <w:right w:val="nil"/>
            </w:tcBorders>
            <w:shd w:val="clear" w:color="auto" w:fill="BEBEBE"/>
          </w:tcPr>
          <w:p w14:paraId="5A65DA45" w14:textId="77777777" w:rsidR="00141B97" w:rsidRDefault="00141B97">
            <w:pPr>
              <w:pStyle w:val="TableParagraph"/>
              <w:rPr>
                <w:rFonts w:ascii="Times New Roman"/>
                <w:sz w:val="18"/>
              </w:rPr>
            </w:pPr>
          </w:p>
        </w:tc>
      </w:tr>
    </w:tbl>
    <w:p w14:paraId="37275EA0" w14:textId="77777777" w:rsidR="00141B97" w:rsidRDefault="00911D63">
      <w:pPr>
        <w:spacing w:before="14"/>
        <w:ind w:left="112"/>
        <w:rPr>
          <w:sz w:val="16"/>
        </w:rPr>
      </w:pPr>
      <w:r>
        <w:rPr>
          <w:sz w:val="16"/>
        </w:rPr>
        <w:t>Table</w:t>
      </w:r>
      <w:r>
        <w:rPr>
          <w:spacing w:val="-3"/>
          <w:sz w:val="16"/>
        </w:rPr>
        <w:t xml:space="preserve"> </w:t>
      </w:r>
      <w:r>
        <w:rPr>
          <w:sz w:val="16"/>
        </w:rPr>
        <w:t>ES6:</w:t>
      </w:r>
      <w:r>
        <w:rPr>
          <w:spacing w:val="-3"/>
          <w:sz w:val="16"/>
        </w:rPr>
        <w:t xml:space="preserve"> </w:t>
      </w:r>
      <w:r>
        <w:rPr>
          <w:sz w:val="16"/>
        </w:rPr>
        <w:t>Major</w:t>
      </w:r>
      <w:r>
        <w:rPr>
          <w:spacing w:val="-2"/>
          <w:sz w:val="16"/>
        </w:rPr>
        <w:t xml:space="preserve"> Programs</w:t>
      </w:r>
    </w:p>
    <w:p w14:paraId="7C65EA60" w14:textId="77777777" w:rsidR="00141B97" w:rsidRDefault="00141B97">
      <w:pPr>
        <w:rPr>
          <w:sz w:val="16"/>
        </w:rPr>
        <w:sectPr w:rsidR="00141B97">
          <w:pgSz w:w="12240" w:h="15840"/>
          <w:pgMar w:top="820" w:right="880" w:bottom="1200" w:left="1020" w:header="0" w:footer="1014" w:gutter="0"/>
          <w:cols w:space="720"/>
        </w:sectPr>
      </w:pPr>
    </w:p>
    <w:p w14:paraId="6CDD654D" w14:textId="77777777" w:rsidR="00141B97" w:rsidRDefault="00911D63">
      <w:pPr>
        <w:pStyle w:val="Heading2"/>
        <w:spacing w:before="31"/>
        <w:ind w:left="112" w:firstLine="0"/>
      </w:pPr>
      <w:r>
        <w:rPr>
          <w:color w:val="009BAC"/>
        </w:rPr>
        <w:lastRenderedPageBreak/>
        <w:t>Proposed</w:t>
      </w:r>
      <w:r>
        <w:rPr>
          <w:color w:val="009BAC"/>
          <w:spacing w:val="-4"/>
        </w:rPr>
        <w:t xml:space="preserve"> </w:t>
      </w:r>
      <w:r>
        <w:rPr>
          <w:color w:val="009BAC"/>
          <w:spacing w:val="-2"/>
        </w:rPr>
        <w:t>Prices</w:t>
      </w:r>
    </w:p>
    <w:p w14:paraId="048421B4" w14:textId="77777777" w:rsidR="00141B97" w:rsidRDefault="00911D63">
      <w:pPr>
        <w:pStyle w:val="BodyText"/>
        <w:spacing w:before="160" w:line="267" w:lineRule="exact"/>
        <w:ind w:left="112"/>
      </w:pPr>
      <w:r>
        <w:rPr>
          <w:spacing w:val="-4"/>
        </w:rPr>
        <w:t>Urban</w:t>
      </w:r>
    </w:p>
    <w:p w14:paraId="5C0DAB10" w14:textId="77777777" w:rsidR="00141B97" w:rsidRDefault="00911D63">
      <w:pPr>
        <w:pStyle w:val="BodyText"/>
        <w:ind w:left="112"/>
      </w:pPr>
      <w:r>
        <w:t>Proposed urban prices designed to deliver prudent and efficient investment meeting agreed customer outcomes, results in a 0.30% tariff increase in real terms, summarised in Table ES7:</w:t>
      </w:r>
    </w:p>
    <w:p w14:paraId="13687941" w14:textId="77777777" w:rsidR="00141B97" w:rsidRDefault="00141B97">
      <w:pPr>
        <w:pStyle w:val="BodyText"/>
        <w:spacing w:before="5"/>
        <w:rPr>
          <w:sz w:val="23"/>
        </w:rPr>
      </w:pPr>
    </w:p>
    <w:tbl>
      <w:tblPr>
        <w:tblW w:w="0" w:type="auto"/>
        <w:tblCellSpacing w:w="7" w:type="dxa"/>
        <w:tblInd w:w="144" w:type="dxa"/>
        <w:tblLayout w:type="fixed"/>
        <w:tblCellMar>
          <w:left w:w="0" w:type="dxa"/>
          <w:right w:w="0" w:type="dxa"/>
        </w:tblCellMar>
        <w:tblLook w:val="01E0" w:firstRow="1" w:lastRow="1" w:firstColumn="1" w:lastColumn="1" w:noHBand="0" w:noVBand="0"/>
      </w:tblPr>
      <w:tblGrid>
        <w:gridCol w:w="2599"/>
        <w:gridCol w:w="1249"/>
        <w:gridCol w:w="1431"/>
        <w:gridCol w:w="1231"/>
        <w:gridCol w:w="1231"/>
        <w:gridCol w:w="1229"/>
        <w:gridCol w:w="1226"/>
      </w:tblGrid>
      <w:tr w:rsidR="00141B97" w14:paraId="7F9A88D4" w14:textId="77777777">
        <w:trPr>
          <w:trHeight w:val="539"/>
          <w:tblCellSpacing w:w="7" w:type="dxa"/>
        </w:trPr>
        <w:tc>
          <w:tcPr>
            <w:tcW w:w="2578" w:type="dxa"/>
            <w:shd w:val="clear" w:color="auto" w:fill="4F81BC"/>
          </w:tcPr>
          <w:p w14:paraId="2A00706E" w14:textId="77777777" w:rsidR="00141B97" w:rsidRDefault="00911D63">
            <w:pPr>
              <w:pStyle w:val="TableParagraph"/>
              <w:spacing w:before="49"/>
              <w:ind w:left="42" w:right="931"/>
              <w:rPr>
                <w:sz w:val="18"/>
              </w:rPr>
            </w:pPr>
            <w:r>
              <w:rPr>
                <w:color w:val="FFFFFF"/>
                <w:sz w:val="18"/>
              </w:rPr>
              <w:t xml:space="preserve">Urban Service – Owner </w:t>
            </w:r>
            <w:r>
              <w:rPr>
                <w:color w:val="FFFFFF"/>
                <w:spacing w:val="-2"/>
                <w:sz w:val="18"/>
              </w:rPr>
              <w:t>Occupier</w:t>
            </w:r>
          </w:p>
        </w:tc>
        <w:tc>
          <w:tcPr>
            <w:tcW w:w="1235" w:type="dxa"/>
            <w:shd w:val="clear" w:color="auto" w:fill="FFC000"/>
          </w:tcPr>
          <w:p w14:paraId="6DE6002E" w14:textId="77777777" w:rsidR="00141B97" w:rsidRDefault="00911D63">
            <w:pPr>
              <w:pStyle w:val="TableParagraph"/>
              <w:spacing w:before="49"/>
              <w:ind w:left="308" w:right="306" w:firstLine="168"/>
              <w:rPr>
                <w:sz w:val="18"/>
              </w:rPr>
            </w:pPr>
            <w:r>
              <w:rPr>
                <w:color w:val="FFFFFF"/>
                <w:spacing w:val="-4"/>
                <w:sz w:val="18"/>
              </w:rPr>
              <w:t>PS4</w:t>
            </w:r>
            <w:r>
              <w:rPr>
                <w:color w:val="FFFFFF"/>
                <w:sz w:val="18"/>
              </w:rPr>
              <w:t xml:space="preserve"> </w:t>
            </w:r>
            <w:r>
              <w:rPr>
                <w:color w:val="FFFFFF"/>
                <w:spacing w:val="-2"/>
                <w:sz w:val="18"/>
              </w:rPr>
              <w:t>2022-23</w:t>
            </w:r>
          </w:p>
        </w:tc>
        <w:tc>
          <w:tcPr>
            <w:tcW w:w="1417" w:type="dxa"/>
            <w:shd w:val="clear" w:color="auto" w:fill="4F81BC"/>
          </w:tcPr>
          <w:p w14:paraId="2BA1C4D8" w14:textId="77777777" w:rsidR="00141B97" w:rsidRDefault="00911D63">
            <w:pPr>
              <w:pStyle w:val="TableParagraph"/>
              <w:spacing w:before="160"/>
              <w:ind w:left="398"/>
              <w:rPr>
                <w:sz w:val="18"/>
              </w:rPr>
            </w:pPr>
            <w:r>
              <w:rPr>
                <w:color w:val="FFFFFF"/>
                <w:spacing w:val="-2"/>
                <w:sz w:val="18"/>
              </w:rPr>
              <w:t>2023-</w:t>
            </w:r>
            <w:r>
              <w:rPr>
                <w:color w:val="FFFFFF"/>
                <w:spacing w:val="-5"/>
                <w:sz w:val="18"/>
              </w:rPr>
              <w:t>24</w:t>
            </w:r>
          </w:p>
        </w:tc>
        <w:tc>
          <w:tcPr>
            <w:tcW w:w="1217" w:type="dxa"/>
            <w:shd w:val="clear" w:color="auto" w:fill="4F81BC"/>
          </w:tcPr>
          <w:p w14:paraId="78096E1A" w14:textId="77777777" w:rsidR="00141B97" w:rsidRDefault="00911D63">
            <w:pPr>
              <w:pStyle w:val="TableParagraph"/>
              <w:spacing w:before="160"/>
              <w:ind w:left="299"/>
              <w:rPr>
                <w:sz w:val="18"/>
              </w:rPr>
            </w:pPr>
            <w:r>
              <w:rPr>
                <w:color w:val="FFFFFF"/>
                <w:spacing w:val="-2"/>
                <w:sz w:val="18"/>
              </w:rPr>
              <w:t>2024-</w:t>
            </w:r>
            <w:r>
              <w:rPr>
                <w:color w:val="FFFFFF"/>
                <w:spacing w:val="-5"/>
                <w:sz w:val="18"/>
              </w:rPr>
              <w:t>25</w:t>
            </w:r>
          </w:p>
        </w:tc>
        <w:tc>
          <w:tcPr>
            <w:tcW w:w="1217" w:type="dxa"/>
            <w:shd w:val="clear" w:color="auto" w:fill="4F81BC"/>
          </w:tcPr>
          <w:p w14:paraId="1CD1E145" w14:textId="77777777" w:rsidR="00141B97" w:rsidRDefault="00911D63">
            <w:pPr>
              <w:pStyle w:val="TableParagraph"/>
              <w:spacing w:before="160"/>
              <w:ind w:left="299"/>
              <w:rPr>
                <w:sz w:val="18"/>
              </w:rPr>
            </w:pPr>
            <w:r>
              <w:rPr>
                <w:color w:val="FFFFFF"/>
                <w:spacing w:val="-2"/>
                <w:sz w:val="18"/>
              </w:rPr>
              <w:t>2025-</w:t>
            </w:r>
            <w:r>
              <w:rPr>
                <w:color w:val="FFFFFF"/>
                <w:spacing w:val="-5"/>
                <w:sz w:val="18"/>
              </w:rPr>
              <w:t>26</w:t>
            </w:r>
          </w:p>
        </w:tc>
        <w:tc>
          <w:tcPr>
            <w:tcW w:w="1215" w:type="dxa"/>
            <w:shd w:val="clear" w:color="auto" w:fill="4F81BC"/>
          </w:tcPr>
          <w:p w14:paraId="3ABBD76D" w14:textId="77777777" w:rsidR="00141B97" w:rsidRDefault="00911D63">
            <w:pPr>
              <w:pStyle w:val="TableParagraph"/>
              <w:spacing w:before="160"/>
              <w:ind w:left="296"/>
              <w:rPr>
                <w:sz w:val="18"/>
              </w:rPr>
            </w:pPr>
            <w:r>
              <w:rPr>
                <w:color w:val="FFFFFF"/>
                <w:spacing w:val="-2"/>
                <w:sz w:val="18"/>
              </w:rPr>
              <w:t>2026-</w:t>
            </w:r>
            <w:r>
              <w:rPr>
                <w:color w:val="FFFFFF"/>
                <w:spacing w:val="-5"/>
                <w:sz w:val="18"/>
              </w:rPr>
              <w:t>27</w:t>
            </w:r>
          </w:p>
        </w:tc>
        <w:tc>
          <w:tcPr>
            <w:tcW w:w="1205" w:type="dxa"/>
            <w:shd w:val="clear" w:color="auto" w:fill="4F81BC"/>
          </w:tcPr>
          <w:p w14:paraId="534455C0" w14:textId="77777777" w:rsidR="00141B97" w:rsidRDefault="00911D63">
            <w:pPr>
              <w:pStyle w:val="TableParagraph"/>
              <w:spacing w:before="160"/>
              <w:ind w:left="295"/>
              <w:rPr>
                <w:sz w:val="18"/>
              </w:rPr>
            </w:pPr>
            <w:r>
              <w:rPr>
                <w:color w:val="FFFFFF"/>
                <w:spacing w:val="-2"/>
                <w:sz w:val="18"/>
              </w:rPr>
              <w:t>2027-</w:t>
            </w:r>
            <w:r>
              <w:rPr>
                <w:color w:val="FFFFFF"/>
                <w:spacing w:val="-5"/>
                <w:sz w:val="18"/>
              </w:rPr>
              <w:t>28</w:t>
            </w:r>
          </w:p>
        </w:tc>
      </w:tr>
      <w:tr w:rsidR="00141B97" w14:paraId="001EC928" w14:textId="77777777">
        <w:trPr>
          <w:trHeight w:val="278"/>
          <w:tblCellSpacing w:w="7" w:type="dxa"/>
        </w:trPr>
        <w:tc>
          <w:tcPr>
            <w:tcW w:w="2578" w:type="dxa"/>
            <w:tcBorders>
              <w:bottom w:val="nil"/>
            </w:tcBorders>
            <w:shd w:val="clear" w:color="auto" w:fill="CCE1EC"/>
          </w:tcPr>
          <w:p w14:paraId="6680244D" w14:textId="77777777" w:rsidR="00141B97" w:rsidRDefault="00911D63">
            <w:pPr>
              <w:pStyle w:val="TableParagraph"/>
              <w:spacing w:before="30"/>
              <w:ind w:left="42"/>
              <w:rPr>
                <w:sz w:val="18"/>
              </w:rPr>
            </w:pPr>
            <w:r>
              <w:rPr>
                <w:sz w:val="18"/>
              </w:rPr>
              <w:t>Water</w:t>
            </w:r>
            <w:r>
              <w:rPr>
                <w:spacing w:val="-2"/>
                <w:sz w:val="18"/>
              </w:rPr>
              <w:t xml:space="preserve"> </w:t>
            </w:r>
            <w:r>
              <w:rPr>
                <w:sz w:val="18"/>
              </w:rPr>
              <w:t>Service</w:t>
            </w:r>
            <w:r>
              <w:rPr>
                <w:spacing w:val="-2"/>
                <w:sz w:val="18"/>
              </w:rPr>
              <w:t xml:space="preserve"> Charge</w:t>
            </w:r>
          </w:p>
        </w:tc>
        <w:tc>
          <w:tcPr>
            <w:tcW w:w="1235" w:type="dxa"/>
            <w:tcBorders>
              <w:bottom w:val="nil"/>
            </w:tcBorders>
            <w:shd w:val="clear" w:color="auto" w:fill="CCE1EC"/>
          </w:tcPr>
          <w:p w14:paraId="5CFD7E67" w14:textId="77777777" w:rsidR="00141B97" w:rsidRDefault="00911D63">
            <w:pPr>
              <w:pStyle w:val="TableParagraph"/>
              <w:spacing w:before="30"/>
              <w:ind w:right="47"/>
              <w:jc w:val="right"/>
              <w:rPr>
                <w:sz w:val="18"/>
              </w:rPr>
            </w:pPr>
            <w:r>
              <w:rPr>
                <w:spacing w:val="-2"/>
                <w:sz w:val="18"/>
              </w:rPr>
              <w:t>$215.46</w:t>
            </w:r>
          </w:p>
        </w:tc>
        <w:tc>
          <w:tcPr>
            <w:tcW w:w="1417" w:type="dxa"/>
            <w:tcBorders>
              <w:bottom w:val="nil"/>
            </w:tcBorders>
            <w:shd w:val="clear" w:color="auto" w:fill="CCE1EC"/>
          </w:tcPr>
          <w:p w14:paraId="03E72CDC" w14:textId="77777777" w:rsidR="00141B97" w:rsidRDefault="00911D63">
            <w:pPr>
              <w:pStyle w:val="TableParagraph"/>
              <w:spacing w:before="30"/>
              <w:ind w:right="48"/>
              <w:jc w:val="right"/>
              <w:rPr>
                <w:sz w:val="18"/>
              </w:rPr>
            </w:pPr>
            <w:r>
              <w:rPr>
                <w:spacing w:val="-2"/>
                <w:sz w:val="18"/>
              </w:rPr>
              <w:t>$216.12</w:t>
            </w:r>
          </w:p>
        </w:tc>
        <w:tc>
          <w:tcPr>
            <w:tcW w:w="1217" w:type="dxa"/>
            <w:tcBorders>
              <w:bottom w:val="nil"/>
            </w:tcBorders>
            <w:shd w:val="clear" w:color="auto" w:fill="CCE1EC"/>
          </w:tcPr>
          <w:p w14:paraId="56B09590" w14:textId="77777777" w:rsidR="00141B97" w:rsidRDefault="00911D63">
            <w:pPr>
              <w:pStyle w:val="TableParagraph"/>
              <w:spacing w:before="30"/>
              <w:ind w:right="48"/>
              <w:jc w:val="right"/>
              <w:rPr>
                <w:sz w:val="18"/>
              </w:rPr>
            </w:pPr>
            <w:r>
              <w:rPr>
                <w:spacing w:val="-2"/>
                <w:sz w:val="18"/>
              </w:rPr>
              <w:t>$216.77</w:t>
            </w:r>
          </w:p>
        </w:tc>
        <w:tc>
          <w:tcPr>
            <w:tcW w:w="1217" w:type="dxa"/>
            <w:tcBorders>
              <w:bottom w:val="nil"/>
            </w:tcBorders>
            <w:shd w:val="clear" w:color="auto" w:fill="CCE1EC"/>
          </w:tcPr>
          <w:p w14:paraId="4F66A481" w14:textId="77777777" w:rsidR="00141B97" w:rsidRDefault="00911D63">
            <w:pPr>
              <w:pStyle w:val="TableParagraph"/>
              <w:spacing w:before="30"/>
              <w:ind w:right="48"/>
              <w:jc w:val="right"/>
              <w:rPr>
                <w:sz w:val="18"/>
              </w:rPr>
            </w:pPr>
            <w:r>
              <w:rPr>
                <w:spacing w:val="-2"/>
                <w:sz w:val="18"/>
              </w:rPr>
              <w:t>$217.43</w:t>
            </w:r>
          </w:p>
        </w:tc>
        <w:tc>
          <w:tcPr>
            <w:tcW w:w="1215" w:type="dxa"/>
            <w:tcBorders>
              <w:bottom w:val="nil"/>
            </w:tcBorders>
            <w:shd w:val="clear" w:color="auto" w:fill="CCE1EC"/>
          </w:tcPr>
          <w:p w14:paraId="2FC1D7FC" w14:textId="77777777" w:rsidR="00141B97" w:rsidRDefault="00911D63">
            <w:pPr>
              <w:pStyle w:val="TableParagraph"/>
              <w:spacing w:before="30"/>
              <w:ind w:right="49"/>
              <w:jc w:val="right"/>
              <w:rPr>
                <w:sz w:val="18"/>
              </w:rPr>
            </w:pPr>
            <w:r>
              <w:rPr>
                <w:spacing w:val="-2"/>
                <w:sz w:val="18"/>
              </w:rPr>
              <w:t>$218.09</w:t>
            </w:r>
          </w:p>
        </w:tc>
        <w:tc>
          <w:tcPr>
            <w:tcW w:w="1205" w:type="dxa"/>
            <w:tcBorders>
              <w:bottom w:val="nil"/>
            </w:tcBorders>
            <w:shd w:val="clear" w:color="auto" w:fill="CCE1EC"/>
          </w:tcPr>
          <w:p w14:paraId="3A87A056" w14:textId="77777777" w:rsidR="00141B97" w:rsidRDefault="00911D63">
            <w:pPr>
              <w:pStyle w:val="TableParagraph"/>
              <w:spacing w:before="30"/>
              <w:ind w:right="42"/>
              <w:jc w:val="right"/>
              <w:rPr>
                <w:sz w:val="18"/>
              </w:rPr>
            </w:pPr>
            <w:r>
              <w:rPr>
                <w:spacing w:val="-2"/>
                <w:sz w:val="18"/>
              </w:rPr>
              <w:t>$218.76</w:t>
            </w:r>
          </w:p>
        </w:tc>
      </w:tr>
      <w:tr w:rsidR="00141B97" w14:paraId="7CB79D2E" w14:textId="77777777">
        <w:trPr>
          <w:trHeight w:val="326"/>
          <w:tblCellSpacing w:w="7" w:type="dxa"/>
        </w:trPr>
        <w:tc>
          <w:tcPr>
            <w:tcW w:w="2578" w:type="dxa"/>
            <w:tcBorders>
              <w:top w:val="nil"/>
            </w:tcBorders>
            <w:shd w:val="clear" w:color="auto" w:fill="CCE1EC"/>
          </w:tcPr>
          <w:p w14:paraId="3817A2B4" w14:textId="77777777" w:rsidR="00141B97" w:rsidRDefault="00911D63">
            <w:pPr>
              <w:pStyle w:val="TableParagraph"/>
              <w:spacing w:before="52"/>
              <w:ind w:left="42"/>
              <w:rPr>
                <w:sz w:val="18"/>
              </w:rPr>
            </w:pPr>
            <w:r>
              <w:rPr>
                <w:sz w:val="18"/>
              </w:rPr>
              <w:t>Water</w:t>
            </w:r>
            <w:r>
              <w:rPr>
                <w:spacing w:val="-3"/>
                <w:sz w:val="18"/>
              </w:rPr>
              <w:t xml:space="preserve"> </w:t>
            </w:r>
            <w:r>
              <w:rPr>
                <w:sz w:val="18"/>
              </w:rPr>
              <w:t>Usage</w:t>
            </w:r>
            <w:r>
              <w:rPr>
                <w:spacing w:val="-3"/>
                <w:sz w:val="18"/>
              </w:rPr>
              <w:t xml:space="preserve"> </w:t>
            </w:r>
            <w:r>
              <w:rPr>
                <w:spacing w:val="-2"/>
                <w:sz w:val="18"/>
              </w:rPr>
              <w:t>(480kL)</w:t>
            </w:r>
          </w:p>
        </w:tc>
        <w:tc>
          <w:tcPr>
            <w:tcW w:w="1235" w:type="dxa"/>
            <w:tcBorders>
              <w:top w:val="nil"/>
            </w:tcBorders>
            <w:shd w:val="clear" w:color="auto" w:fill="CCE1EC"/>
          </w:tcPr>
          <w:p w14:paraId="7DC99C72" w14:textId="77777777" w:rsidR="00141B97" w:rsidRDefault="00911D63">
            <w:pPr>
              <w:pStyle w:val="TableParagraph"/>
              <w:spacing w:before="52"/>
              <w:ind w:right="47"/>
              <w:jc w:val="right"/>
              <w:rPr>
                <w:sz w:val="18"/>
              </w:rPr>
            </w:pPr>
            <w:r>
              <w:rPr>
                <w:spacing w:val="-2"/>
                <w:sz w:val="18"/>
              </w:rPr>
              <w:t>$293.61</w:t>
            </w:r>
          </w:p>
        </w:tc>
        <w:tc>
          <w:tcPr>
            <w:tcW w:w="1417" w:type="dxa"/>
            <w:tcBorders>
              <w:top w:val="nil"/>
            </w:tcBorders>
            <w:shd w:val="clear" w:color="auto" w:fill="CCE1EC"/>
          </w:tcPr>
          <w:p w14:paraId="3A83AD76" w14:textId="77777777" w:rsidR="00141B97" w:rsidRDefault="00911D63">
            <w:pPr>
              <w:pStyle w:val="TableParagraph"/>
              <w:spacing w:before="52"/>
              <w:ind w:right="48"/>
              <w:jc w:val="right"/>
              <w:rPr>
                <w:sz w:val="18"/>
              </w:rPr>
            </w:pPr>
            <w:r>
              <w:rPr>
                <w:spacing w:val="-2"/>
                <w:sz w:val="18"/>
              </w:rPr>
              <w:t>$294.50</w:t>
            </w:r>
          </w:p>
        </w:tc>
        <w:tc>
          <w:tcPr>
            <w:tcW w:w="1217" w:type="dxa"/>
            <w:tcBorders>
              <w:top w:val="nil"/>
            </w:tcBorders>
            <w:shd w:val="clear" w:color="auto" w:fill="CCE1EC"/>
          </w:tcPr>
          <w:p w14:paraId="68A25F02" w14:textId="77777777" w:rsidR="00141B97" w:rsidRDefault="00911D63">
            <w:pPr>
              <w:pStyle w:val="TableParagraph"/>
              <w:spacing w:before="52"/>
              <w:ind w:right="48"/>
              <w:jc w:val="right"/>
              <w:rPr>
                <w:sz w:val="18"/>
              </w:rPr>
            </w:pPr>
            <w:r>
              <w:rPr>
                <w:spacing w:val="-2"/>
                <w:sz w:val="18"/>
              </w:rPr>
              <w:t>$295.40</w:t>
            </w:r>
          </w:p>
        </w:tc>
        <w:tc>
          <w:tcPr>
            <w:tcW w:w="1217" w:type="dxa"/>
            <w:tcBorders>
              <w:top w:val="nil"/>
            </w:tcBorders>
            <w:shd w:val="clear" w:color="auto" w:fill="CCE1EC"/>
          </w:tcPr>
          <w:p w14:paraId="3823B315" w14:textId="77777777" w:rsidR="00141B97" w:rsidRDefault="00911D63">
            <w:pPr>
              <w:pStyle w:val="TableParagraph"/>
              <w:spacing w:before="52"/>
              <w:ind w:right="48"/>
              <w:jc w:val="right"/>
              <w:rPr>
                <w:sz w:val="18"/>
              </w:rPr>
            </w:pPr>
            <w:r>
              <w:rPr>
                <w:spacing w:val="-2"/>
                <w:sz w:val="18"/>
              </w:rPr>
              <w:t>$296.30</w:t>
            </w:r>
          </w:p>
        </w:tc>
        <w:tc>
          <w:tcPr>
            <w:tcW w:w="1215" w:type="dxa"/>
            <w:tcBorders>
              <w:top w:val="nil"/>
            </w:tcBorders>
            <w:shd w:val="clear" w:color="auto" w:fill="CCE1EC"/>
          </w:tcPr>
          <w:p w14:paraId="4C9A00EC" w14:textId="77777777" w:rsidR="00141B97" w:rsidRDefault="00911D63">
            <w:pPr>
              <w:pStyle w:val="TableParagraph"/>
              <w:spacing w:before="52"/>
              <w:ind w:right="49"/>
              <w:jc w:val="right"/>
              <w:rPr>
                <w:sz w:val="18"/>
              </w:rPr>
            </w:pPr>
            <w:r>
              <w:rPr>
                <w:spacing w:val="-2"/>
                <w:sz w:val="18"/>
              </w:rPr>
              <w:t>$297.20</w:t>
            </w:r>
          </w:p>
        </w:tc>
        <w:tc>
          <w:tcPr>
            <w:tcW w:w="1205" w:type="dxa"/>
            <w:tcBorders>
              <w:top w:val="nil"/>
            </w:tcBorders>
            <w:shd w:val="clear" w:color="auto" w:fill="CCE1EC"/>
          </w:tcPr>
          <w:p w14:paraId="4B2244D6" w14:textId="77777777" w:rsidR="00141B97" w:rsidRDefault="00911D63">
            <w:pPr>
              <w:pStyle w:val="TableParagraph"/>
              <w:spacing w:before="52"/>
              <w:ind w:right="42"/>
              <w:jc w:val="right"/>
              <w:rPr>
                <w:sz w:val="18"/>
              </w:rPr>
            </w:pPr>
            <w:r>
              <w:rPr>
                <w:spacing w:val="-2"/>
                <w:sz w:val="18"/>
              </w:rPr>
              <w:t>$298.10</w:t>
            </w:r>
          </w:p>
        </w:tc>
      </w:tr>
      <w:tr w:rsidR="00141B97" w14:paraId="310F8DE7" w14:textId="77777777">
        <w:trPr>
          <w:trHeight w:val="346"/>
          <w:tblCellSpacing w:w="7" w:type="dxa"/>
        </w:trPr>
        <w:tc>
          <w:tcPr>
            <w:tcW w:w="2578" w:type="dxa"/>
            <w:tcBorders>
              <w:bottom w:val="nil"/>
            </w:tcBorders>
            <w:shd w:val="clear" w:color="auto" w:fill="CCE1EC"/>
          </w:tcPr>
          <w:p w14:paraId="2B15ECF1" w14:textId="77777777" w:rsidR="00141B97" w:rsidRDefault="00911D63">
            <w:pPr>
              <w:pStyle w:val="TableParagraph"/>
              <w:spacing w:before="66"/>
              <w:ind w:left="42"/>
              <w:rPr>
                <w:sz w:val="18"/>
              </w:rPr>
            </w:pPr>
            <w:r>
              <w:rPr>
                <w:sz w:val="18"/>
              </w:rPr>
              <w:t>Sewerage</w:t>
            </w:r>
            <w:r>
              <w:rPr>
                <w:spacing w:val="-4"/>
                <w:sz w:val="18"/>
              </w:rPr>
              <w:t xml:space="preserve"> </w:t>
            </w:r>
            <w:r>
              <w:rPr>
                <w:sz w:val="18"/>
              </w:rPr>
              <w:t>Service</w:t>
            </w:r>
            <w:r>
              <w:rPr>
                <w:spacing w:val="-4"/>
                <w:sz w:val="18"/>
              </w:rPr>
              <w:t xml:space="preserve"> </w:t>
            </w:r>
            <w:r>
              <w:rPr>
                <w:spacing w:val="-2"/>
                <w:sz w:val="18"/>
              </w:rPr>
              <w:t>Charge</w:t>
            </w:r>
          </w:p>
        </w:tc>
        <w:tc>
          <w:tcPr>
            <w:tcW w:w="1235" w:type="dxa"/>
            <w:tcBorders>
              <w:bottom w:val="nil"/>
            </w:tcBorders>
            <w:shd w:val="clear" w:color="auto" w:fill="CCE1EC"/>
          </w:tcPr>
          <w:p w14:paraId="032F9D84" w14:textId="77777777" w:rsidR="00141B97" w:rsidRDefault="00911D63">
            <w:pPr>
              <w:pStyle w:val="TableParagraph"/>
              <w:spacing w:before="66"/>
              <w:ind w:right="47"/>
              <w:jc w:val="right"/>
              <w:rPr>
                <w:sz w:val="18"/>
              </w:rPr>
            </w:pPr>
            <w:r>
              <w:rPr>
                <w:spacing w:val="-2"/>
                <w:sz w:val="18"/>
              </w:rPr>
              <w:t>$508.64</w:t>
            </w:r>
          </w:p>
        </w:tc>
        <w:tc>
          <w:tcPr>
            <w:tcW w:w="1417" w:type="dxa"/>
            <w:tcBorders>
              <w:bottom w:val="nil"/>
            </w:tcBorders>
            <w:shd w:val="clear" w:color="auto" w:fill="CCE1EC"/>
          </w:tcPr>
          <w:p w14:paraId="54BA7AC3" w14:textId="77777777" w:rsidR="00141B97" w:rsidRDefault="00911D63">
            <w:pPr>
              <w:pStyle w:val="TableParagraph"/>
              <w:spacing w:before="66"/>
              <w:ind w:right="48"/>
              <w:jc w:val="right"/>
              <w:rPr>
                <w:sz w:val="18"/>
              </w:rPr>
            </w:pPr>
            <w:r>
              <w:rPr>
                <w:spacing w:val="-2"/>
                <w:sz w:val="18"/>
              </w:rPr>
              <w:t>$510.19</w:t>
            </w:r>
          </w:p>
        </w:tc>
        <w:tc>
          <w:tcPr>
            <w:tcW w:w="1217" w:type="dxa"/>
            <w:tcBorders>
              <w:bottom w:val="nil"/>
            </w:tcBorders>
            <w:shd w:val="clear" w:color="auto" w:fill="CCE1EC"/>
          </w:tcPr>
          <w:p w14:paraId="11047252" w14:textId="77777777" w:rsidR="00141B97" w:rsidRDefault="00911D63">
            <w:pPr>
              <w:pStyle w:val="TableParagraph"/>
              <w:spacing w:before="66"/>
              <w:ind w:right="48"/>
              <w:jc w:val="right"/>
              <w:rPr>
                <w:sz w:val="18"/>
              </w:rPr>
            </w:pPr>
            <w:r>
              <w:rPr>
                <w:spacing w:val="-2"/>
                <w:sz w:val="18"/>
              </w:rPr>
              <w:t>$511.74</w:t>
            </w:r>
          </w:p>
        </w:tc>
        <w:tc>
          <w:tcPr>
            <w:tcW w:w="1217" w:type="dxa"/>
            <w:tcBorders>
              <w:bottom w:val="nil"/>
            </w:tcBorders>
            <w:shd w:val="clear" w:color="auto" w:fill="CCE1EC"/>
          </w:tcPr>
          <w:p w14:paraId="72A27858" w14:textId="77777777" w:rsidR="00141B97" w:rsidRDefault="00911D63">
            <w:pPr>
              <w:pStyle w:val="TableParagraph"/>
              <w:spacing w:before="66"/>
              <w:ind w:right="48"/>
              <w:jc w:val="right"/>
              <w:rPr>
                <w:sz w:val="18"/>
              </w:rPr>
            </w:pPr>
            <w:r>
              <w:rPr>
                <w:spacing w:val="-2"/>
                <w:sz w:val="18"/>
              </w:rPr>
              <w:t>$513.29</w:t>
            </w:r>
          </w:p>
        </w:tc>
        <w:tc>
          <w:tcPr>
            <w:tcW w:w="1215" w:type="dxa"/>
            <w:tcBorders>
              <w:bottom w:val="nil"/>
            </w:tcBorders>
            <w:shd w:val="clear" w:color="auto" w:fill="CCE1EC"/>
          </w:tcPr>
          <w:p w14:paraId="5DEFCFE3" w14:textId="77777777" w:rsidR="00141B97" w:rsidRDefault="00911D63">
            <w:pPr>
              <w:pStyle w:val="TableParagraph"/>
              <w:spacing w:before="66"/>
              <w:ind w:right="49"/>
              <w:jc w:val="right"/>
              <w:rPr>
                <w:sz w:val="18"/>
              </w:rPr>
            </w:pPr>
            <w:r>
              <w:rPr>
                <w:spacing w:val="-2"/>
                <w:sz w:val="18"/>
              </w:rPr>
              <w:t>$514.86</w:t>
            </w:r>
          </w:p>
        </w:tc>
        <w:tc>
          <w:tcPr>
            <w:tcW w:w="1205" w:type="dxa"/>
            <w:tcBorders>
              <w:bottom w:val="nil"/>
            </w:tcBorders>
            <w:shd w:val="clear" w:color="auto" w:fill="CCE1EC"/>
          </w:tcPr>
          <w:p w14:paraId="5407247C" w14:textId="77777777" w:rsidR="00141B97" w:rsidRDefault="00911D63">
            <w:pPr>
              <w:pStyle w:val="TableParagraph"/>
              <w:spacing w:before="66"/>
              <w:ind w:right="42"/>
              <w:jc w:val="right"/>
              <w:rPr>
                <w:sz w:val="18"/>
              </w:rPr>
            </w:pPr>
            <w:r>
              <w:rPr>
                <w:spacing w:val="-2"/>
                <w:sz w:val="18"/>
              </w:rPr>
              <w:t>$516.42</w:t>
            </w:r>
          </w:p>
        </w:tc>
      </w:tr>
      <w:tr w:rsidR="00141B97" w14:paraId="09CCD789" w14:textId="77777777">
        <w:trPr>
          <w:trHeight w:val="612"/>
          <w:tblCellSpacing w:w="7" w:type="dxa"/>
        </w:trPr>
        <w:tc>
          <w:tcPr>
            <w:tcW w:w="2578" w:type="dxa"/>
            <w:tcBorders>
              <w:top w:val="nil"/>
            </w:tcBorders>
            <w:shd w:val="clear" w:color="auto" w:fill="4F81BC"/>
          </w:tcPr>
          <w:p w14:paraId="3CC39D20" w14:textId="77777777" w:rsidR="00141B97" w:rsidRDefault="00911D63">
            <w:pPr>
              <w:pStyle w:val="TableParagraph"/>
              <w:spacing w:before="86"/>
              <w:ind w:left="42" w:right="70"/>
              <w:rPr>
                <w:sz w:val="18"/>
              </w:rPr>
            </w:pPr>
            <w:r>
              <w:rPr>
                <w:color w:val="FFFFFF"/>
                <w:sz w:val="18"/>
              </w:rPr>
              <w:t>Total</w:t>
            </w:r>
            <w:r>
              <w:rPr>
                <w:color w:val="FFFFFF"/>
                <w:spacing w:val="-4"/>
                <w:sz w:val="18"/>
              </w:rPr>
              <w:t xml:space="preserve"> </w:t>
            </w:r>
            <w:r>
              <w:rPr>
                <w:color w:val="FFFFFF"/>
                <w:sz w:val="18"/>
              </w:rPr>
              <w:t>Reference</w:t>
            </w:r>
            <w:r>
              <w:rPr>
                <w:color w:val="FFFFFF"/>
                <w:spacing w:val="80"/>
                <w:sz w:val="18"/>
              </w:rPr>
              <w:t xml:space="preserve"> </w:t>
            </w:r>
            <w:r>
              <w:rPr>
                <w:color w:val="FFFFFF"/>
                <w:sz w:val="18"/>
              </w:rPr>
              <w:t>Owner Occupier* Customer Bill</w:t>
            </w:r>
          </w:p>
        </w:tc>
        <w:tc>
          <w:tcPr>
            <w:tcW w:w="1235" w:type="dxa"/>
            <w:tcBorders>
              <w:top w:val="nil"/>
            </w:tcBorders>
            <w:shd w:val="clear" w:color="auto" w:fill="006CA2"/>
          </w:tcPr>
          <w:p w14:paraId="376FB608" w14:textId="77777777" w:rsidR="00141B97" w:rsidRDefault="00141B97">
            <w:pPr>
              <w:pStyle w:val="TableParagraph"/>
              <w:spacing w:before="11"/>
              <w:rPr>
                <w:sz w:val="15"/>
              </w:rPr>
            </w:pPr>
          </w:p>
          <w:p w14:paraId="53A72FD7" w14:textId="77777777" w:rsidR="00141B97" w:rsidRDefault="00911D63">
            <w:pPr>
              <w:pStyle w:val="TableParagraph"/>
              <w:ind w:right="47"/>
              <w:jc w:val="right"/>
              <w:rPr>
                <w:sz w:val="18"/>
              </w:rPr>
            </w:pPr>
            <w:r>
              <w:rPr>
                <w:color w:val="FFFFFF"/>
                <w:spacing w:val="-2"/>
                <w:sz w:val="18"/>
              </w:rPr>
              <w:t>$1,017.71</w:t>
            </w:r>
          </w:p>
        </w:tc>
        <w:tc>
          <w:tcPr>
            <w:tcW w:w="1417" w:type="dxa"/>
            <w:tcBorders>
              <w:top w:val="nil"/>
            </w:tcBorders>
            <w:shd w:val="clear" w:color="auto" w:fill="4F81BC"/>
          </w:tcPr>
          <w:p w14:paraId="4FE32A44" w14:textId="77777777" w:rsidR="00141B97" w:rsidRDefault="00141B97">
            <w:pPr>
              <w:pStyle w:val="TableParagraph"/>
              <w:spacing w:before="11"/>
              <w:rPr>
                <w:sz w:val="15"/>
              </w:rPr>
            </w:pPr>
          </w:p>
          <w:p w14:paraId="58D94067" w14:textId="77777777" w:rsidR="00141B97" w:rsidRDefault="00911D63">
            <w:pPr>
              <w:pStyle w:val="TableParagraph"/>
              <w:ind w:right="48"/>
              <w:jc w:val="right"/>
              <w:rPr>
                <w:sz w:val="18"/>
              </w:rPr>
            </w:pPr>
            <w:r>
              <w:rPr>
                <w:color w:val="FFFFFF"/>
                <w:spacing w:val="-2"/>
                <w:sz w:val="18"/>
              </w:rPr>
              <w:t>$1,020.81</w:t>
            </w:r>
          </w:p>
        </w:tc>
        <w:tc>
          <w:tcPr>
            <w:tcW w:w="1217" w:type="dxa"/>
            <w:tcBorders>
              <w:top w:val="nil"/>
            </w:tcBorders>
            <w:shd w:val="clear" w:color="auto" w:fill="4F81BC"/>
          </w:tcPr>
          <w:p w14:paraId="2188971F" w14:textId="77777777" w:rsidR="00141B97" w:rsidRDefault="00141B97">
            <w:pPr>
              <w:pStyle w:val="TableParagraph"/>
              <w:spacing w:before="11"/>
              <w:rPr>
                <w:sz w:val="15"/>
              </w:rPr>
            </w:pPr>
          </w:p>
          <w:p w14:paraId="101A42BA" w14:textId="77777777" w:rsidR="00141B97" w:rsidRDefault="00911D63">
            <w:pPr>
              <w:pStyle w:val="TableParagraph"/>
              <w:ind w:right="48"/>
              <w:jc w:val="right"/>
              <w:rPr>
                <w:sz w:val="18"/>
              </w:rPr>
            </w:pPr>
            <w:r>
              <w:rPr>
                <w:color w:val="FFFFFF"/>
                <w:spacing w:val="-2"/>
                <w:sz w:val="18"/>
              </w:rPr>
              <w:t>$1,023.91</w:t>
            </w:r>
          </w:p>
        </w:tc>
        <w:tc>
          <w:tcPr>
            <w:tcW w:w="1217" w:type="dxa"/>
            <w:tcBorders>
              <w:top w:val="nil"/>
            </w:tcBorders>
            <w:shd w:val="clear" w:color="auto" w:fill="4F81BC"/>
          </w:tcPr>
          <w:p w14:paraId="5A7E9177" w14:textId="77777777" w:rsidR="00141B97" w:rsidRDefault="00141B97">
            <w:pPr>
              <w:pStyle w:val="TableParagraph"/>
              <w:spacing w:before="11"/>
              <w:rPr>
                <w:sz w:val="15"/>
              </w:rPr>
            </w:pPr>
          </w:p>
          <w:p w14:paraId="449F6F67" w14:textId="77777777" w:rsidR="00141B97" w:rsidRDefault="00911D63">
            <w:pPr>
              <w:pStyle w:val="TableParagraph"/>
              <w:ind w:right="48"/>
              <w:jc w:val="right"/>
              <w:rPr>
                <w:sz w:val="18"/>
              </w:rPr>
            </w:pPr>
            <w:r>
              <w:rPr>
                <w:color w:val="FFFFFF"/>
                <w:spacing w:val="-2"/>
                <w:sz w:val="18"/>
              </w:rPr>
              <w:t>$1,027.02</w:t>
            </w:r>
          </w:p>
        </w:tc>
        <w:tc>
          <w:tcPr>
            <w:tcW w:w="1215" w:type="dxa"/>
            <w:tcBorders>
              <w:top w:val="nil"/>
            </w:tcBorders>
            <w:shd w:val="clear" w:color="auto" w:fill="4F81BC"/>
          </w:tcPr>
          <w:p w14:paraId="33818ED9" w14:textId="77777777" w:rsidR="00141B97" w:rsidRDefault="00141B97">
            <w:pPr>
              <w:pStyle w:val="TableParagraph"/>
              <w:spacing w:before="11"/>
              <w:rPr>
                <w:sz w:val="15"/>
              </w:rPr>
            </w:pPr>
          </w:p>
          <w:p w14:paraId="0C51D8CD" w14:textId="77777777" w:rsidR="00141B97" w:rsidRDefault="00911D63">
            <w:pPr>
              <w:pStyle w:val="TableParagraph"/>
              <w:ind w:right="49"/>
              <w:jc w:val="right"/>
              <w:rPr>
                <w:sz w:val="18"/>
              </w:rPr>
            </w:pPr>
            <w:r>
              <w:rPr>
                <w:color w:val="FFFFFF"/>
                <w:spacing w:val="-2"/>
                <w:sz w:val="18"/>
              </w:rPr>
              <w:t>$1,030.15</w:t>
            </w:r>
          </w:p>
        </w:tc>
        <w:tc>
          <w:tcPr>
            <w:tcW w:w="1205" w:type="dxa"/>
            <w:tcBorders>
              <w:top w:val="nil"/>
            </w:tcBorders>
            <w:shd w:val="clear" w:color="auto" w:fill="4F81BC"/>
          </w:tcPr>
          <w:p w14:paraId="3AF6EC44" w14:textId="77777777" w:rsidR="00141B97" w:rsidRDefault="00141B97">
            <w:pPr>
              <w:pStyle w:val="TableParagraph"/>
              <w:spacing w:before="11"/>
              <w:rPr>
                <w:sz w:val="15"/>
              </w:rPr>
            </w:pPr>
          </w:p>
          <w:p w14:paraId="2DD2C498" w14:textId="77777777" w:rsidR="00141B97" w:rsidRDefault="00911D63">
            <w:pPr>
              <w:pStyle w:val="TableParagraph"/>
              <w:ind w:right="42"/>
              <w:jc w:val="right"/>
              <w:rPr>
                <w:sz w:val="18"/>
              </w:rPr>
            </w:pPr>
            <w:r>
              <w:rPr>
                <w:color w:val="FFFFFF"/>
                <w:spacing w:val="-2"/>
                <w:sz w:val="18"/>
              </w:rPr>
              <w:t>$1,033.28</w:t>
            </w:r>
          </w:p>
        </w:tc>
      </w:tr>
      <w:tr w:rsidR="00141B97" w14:paraId="61187413" w14:textId="77777777">
        <w:trPr>
          <w:trHeight w:val="251"/>
          <w:tblCellSpacing w:w="7" w:type="dxa"/>
        </w:trPr>
        <w:tc>
          <w:tcPr>
            <w:tcW w:w="2578" w:type="dxa"/>
            <w:shd w:val="clear" w:color="auto" w:fill="BEBEBE"/>
          </w:tcPr>
          <w:p w14:paraId="12754DDB" w14:textId="77777777" w:rsidR="00141B97" w:rsidRDefault="00911D63">
            <w:pPr>
              <w:pStyle w:val="TableParagraph"/>
              <w:spacing w:before="15" w:line="216" w:lineRule="exact"/>
              <w:ind w:left="42"/>
              <w:rPr>
                <w:sz w:val="18"/>
              </w:rPr>
            </w:pPr>
            <w:r>
              <w:rPr>
                <w:sz w:val="18"/>
              </w:rPr>
              <w:t>Annual</w:t>
            </w:r>
            <w:r>
              <w:rPr>
                <w:spacing w:val="-3"/>
                <w:sz w:val="18"/>
              </w:rPr>
              <w:t xml:space="preserve"> </w:t>
            </w:r>
            <w:r>
              <w:rPr>
                <w:sz w:val="18"/>
              </w:rPr>
              <w:t>Bill</w:t>
            </w:r>
            <w:r>
              <w:rPr>
                <w:spacing w:val="-1"/>
                <w:sz w:val="18"/>
              </w:rPr>
              <w:t xml:space="preserve"> </w:t>
            </w:r>
            <w:r>
              <w:rPr>
                <w:sz w:val="18"/>
              </w:rPr>
              <w:t>Impact</w:t>
            </w:r>
            <w:r>
              <w:rPr>
                <w:spacing w:val="-1"/>
                <w:sz w:val="18"/>
              </w:rPr>
              <w:t xml:space="preserve"> </w:t>
            </w:r>
            <w:r>
              <w:rPr>
                <w:spacing w:val="-10"/>
                <w:sz w:val="18"/>
              </w:rPr>
              <w:t>$</w:t>
            </w:r>
          </w:p>
        </w:tc>
        <w:tc>
          <w:tcPr>
            <w:tcW w:w="1235" w:type="dxa"/>
            <w:shd w:val="clear" w:color="auto" w:fill="BEBEBE"/>
          </w:tcPr>
          <w:p w14:paraId="39388F0B" w14:textId="77777777" w:rsidR="00141B97" w:rsidRDefault="00141B97">
            <w:pPr>
              <w:pStyle w:val="TableParagraph"/>
              <w:rPr>
                <w:rFonts w:ascii="Times New Roman"/>
                <w:sz w:val="18"/>
              </w:rPr>
            </w:pPr>
          </w:p>
        </w:tc>
        <w:tc>
          <w:tcPr>
            <w:tcW w:w="1417" w:type="dxa"/>
            <w:shd w:val="clear" w:color="auto" w:fill="BEBEBE"/>
          </w:tcPr>
          <w:p w14:paraId="49D47396" w14:textId="77777777" w:rsidR="00141B97" w:rsidRDefault="00911D63">
            <w:pPr>
              <w:pStyle w:val="TableParagraph"/>
              <w:spacing w:before="15" w:line="216" w:lineRule="exact"/>
              <w:ind w:right="48"/>
              <w:jc w:val="right"/>
              <w:rPr>
                <w:sz w:val="18"/>
              </w:rPr>
            </w:pPr>
            <w:r>
              <w:rPr>
                <w:spacing w:val="-2"/>
                <w:sz w:val="18"/>
              </w:rPr>
              <w:t>$3.10</w:t>
            </w:r>
          </w:p>
        </w:tc>
        <w:tc>
          <w:tcPr>
            <w:tcW w:w="1217" w:type="dxa"/>
            <w:shd w:val="clear" w:color="auto" w:fill="BEBEBE"/>
          </w:tcPr>
          <w:p w14:paraId="76630C1E" w14:textId="77777777" w:rsidR="00141B97" w:rsidRDefault="00911D63">
            <w:pPr>
              <w:pStyle w:val="TableParagraph"/>
              <w:spacing w:before="15" w:line="216" w:lineRule="exact"/>
              <w:ind w:right="48"/>
              <w:jc w:val="right"/>
              <w:rPr>
                <w:sz w:val="18"/>
              </w:rPr>
            </w:pPr>
            <w:r>
              <w:rPr>
                <w:spacing w:val="-2"/>
                <w:sz w:val="18"/>
              </w:rPr>
              <w:t>$3.10</w:t>
            </w:r>
          </w:p>
        </w:tc>
        <w:tc>
          <w:tcPr>
            <w:tcW w:w="1217" w:type="dxa"/>
            <w:shd w:val="clear" w:color="auto" w:fill="BEBEBE"/>
          </w:tcPr>
          <w:p w14:paraId="50D4D7CE" w14:textId="77777777" w:rsidR="00141B97" w:rsidRDefault="00911D63">
            <w:pPr>
              <w:pStyle w:val="TableParagraph"/>
              <w:spacing w:before="15" w:line="216" w:lineRule="exact"/>
              <w:ind w:right="48"/>
              <w:jc w:val="right"/>
              <w:rPr>
                <w:sz w:val="18"/>
              </w:rPr>
            </w:pPr>
            <w:r>
              <w:rPr>
                <w:spacing w:val="-2"/>
                <w:sz w:val="18"/>
              </w:rPr>
              <w:t>$3.11</w:t>
            </w:r>
          </w:p>
        </w:tc>
        <w:tc>
          <w:tcPr>
            <w:tcW w:w="1215" w:type="dxa"/>
            <w:shd w:val="clear" w:color="auto" w:fill="BEBEBE"/>
          </w:tcPr>
          <w:p w14:paraId="1067CBE3" w14:textId="77777777" w:rsidR="00141B97" w:rsidRDefault="00911D63">
            <w:pPr>
              <w:pStyle w:val="TableParagraph"/>
              <w:spacing w:before="15" w:line="216" w:lineRule="exact"/>
              <w:ind w:right="49"/>
              <w:jc w:val="right"/>
              <w:rPr>
                <w:sz w:val="18"/>
              </w:rPr>
            </w:pPr>
            <w:r>
              <w:rPr>
                <w:spacing w:val="-2"/>
                <w:sz w:val="18"/>
              </w:rPr>
              <w:t>$3.12</w:t>
            </w:r>
          </w:p>
        </w:tc>
        <w:tc>
          <w:tcPr>
            <w:tcW w:w="1205" w:type="dxa"/>
            <w:shd w:val="clear" w:color="auto" w:fill="BEBEBE"/>
          </w:tcPr>
          <w:p w14:paraId="790572F7" w14:textId="77777777" w:rsidR="00141B97" w:rsidRDefault="00911D63">
            <w:pPr>
              <w:pStyle w:val="TableParagraph"/>
              <w:spacing w:before="15" w:line="216" w:lineRule="exact"/>
              <w:ind w:right="42"/>
              <w:jc w:val="right"/>
              <w:rPr>
                <w:sz w:val="18"/>
              </w:rPr>
            </w:pPr>
            <w:r>
              <w:rPr>
                <w:spacing w:val="-2"/>
                <w:sz w:val="18"/>
              </w:rPr>
              <w:t>$3.13</w:t>
            </w:r>
          </w:p>
        </w:tc>
      </w:tr>
      <w:tr w:rsidR="00141B97" w14:paraId="4FF41E5C" w14:textId="77777777">
        <w:trPr>
          <w:trHeight w:val="256"/>
          <w:tblCellSpacing w:w="7" w:type="dxa"/>
        </w:trPr>
        <w:tc>
          <w:tcPr>
            <w:tcW w:w="2578" w:type="dxa"/>
            <w:shd w:val="clear" w:color="auto" w:fill="BEBEBE"/>
          </w:tcPr>
          <w:p w14:paraId="0229F0F8" w14:textId="77777777" w:rsidR="00141B97" w:rsidRDefault="00911D63">
            <w:pPr>
              <w:pStyle w:val="TableParagraph"/>
              <w:spacing w:before="20" w:line="216" w:lineRule="exact"/>
              <w:ind w:left="42"/>
              <w:rPr>
                <w:sz w:val="18"/>
              </w:rPr>
            </w:pPr>
            <w:r>
              <w:rPr>
                <w:sz w:val="18"/>
              </w:rPr>
              <w:t>Annual</w:t>
            </w:r>
            <w:r>
              <w:rPr>
                <w:spacing w:val="-3"/>
                <w:sz w:val="18"/>
              </w:rPr>
              <w:t xml:space="preserve"> </w:t>
            </w:r>
            <w:r>
              <w:rPr>
                <w:sz w:val="18"/>
              </w:rPr>
              <w:t>Bill</w:t>
            </w:r>
            <w:r>
              <w:rPr>
                <w:spacing w:val="-1"/>
                <w:sz w:val="18"/>
              </w:rPr>
              <w:t xml:space="preserve"> </w:t>
            </w:r>
            <w:r>
              <w:rPr>
                <w:sz w:val="18"/>
              </w:rPr>
              <w:t>Impact</w:t>
            </w:r>
            <w:r>
              <w:rPr>
                <w:spacing w:val="-1"/>
                <w:sz w:val="18"/>
              </w:rPr>
              <w:t xml:space="preserve"> </w:t>
            </w:r>
            <w:r>
              <w:rPr>
                <w:spacing w:val="-10"/>
                <w:sz w:val="18"/>
              </w:rPr>
              <w:t>%</w:t>
            </w:r>
          </w:p>
        </w:tc>
        <w:tc>
          <w:tcPr>
            <w:tcW w:w="1235" w:type="dxa"/>
            <w:shd w:val="clear" w:color="auto" w:fill="BEBEBE"/>
          </w:tcPr>
          <w:p w14:paraId="1E0E1B6F" w14:textId="77777777" w:rsidR="00141B97" w:rsidRDefault="00141B97">
            <w:pPr>
              <w:pStyle w:val="TableParagraph"/>
              <w:rPr>
                <w:rFonts w:ascii="Times New Roman"/>
                <w:sz w:val="18"/>
              </w:rPr>
            </w:pPr>
          </w:p>
        </w:tc>
        <w:tc>
          <w:tcPr>
            <w:tcW w:w="1417" w:type="dxa"/>
            <w:shd w:val="clear" w:color="auto" w:fill="BEBEBE"/>
          </w:tcPr>
          <w:p w14:paraId="1E3F33CA" w14:textId="77777777" w:rsidR="00141B97" w:rsidRDefault="00911D63">
            <w:pPr>
              <w:pStyle w:val="TableParagraph"/>
              <w:spacing w:before="20" w:line="216" w:lineRule="exact"/>
              <w:ind w:right="48"/>
              <w:jc w:val="right"/>
              <w:rPr>
                <w:sz w:val="18"/>
              </w:rPr>
            </w:pPr>
            <w:r>
              <w:rPr>
                <w:spacing w:val="-2"/>
                <w:sz w:val="18"/>
              </w:rPr>
              <w:t>0.30%</w:t>
            </w:r>
          </w:p>
        </w:tc>
        <w:tc>
          <w:tcPr>
            <w:tcW w:w="1217" w:type="dxa"/>
            <w:shd w:val="clear" w:color="auto" w:fill="BEBEBE"/>
          </w:tcPr>
          <w:p w14:paraId="79B29B47" w14:textId="77777777" w:rsidR="00141B97" w:rsidRDefault="00911D63">
            <w:pPr>
              <w:pStyle w:val="TableParagraph"/>
              <w:spacing w:before="20" w:line="216" w:lineRule="exact"/>
              <w:ind w:right="48"/>
              <w:jc w:val="right"/>
              <w:rPr>
                <w:sz w:val="18"/>
              </w:rPr>
            </w:pPr>
            <w:r>
              <w:rPr>
                <w:spacing w:val="-2"/>
                <w:sz w:val="18"/>
              </w:rPr>
              <w:t>0.30%</w:t>
            </w:r>
          </w:p>
        </w:tc>
        <w:tc>
          <w:tcPr>
            <w:tcW w:w="1217" w:type="dxa"/>
            <w:shd w:val="clear" w:color="auto" w:fill="BEBEBE"/>
          </w:tcPr>
          <w:p w14:paraId="53FBFD42" w14:textId="77777777" w:rsidR="00141B97" w:rsidRDefault="00911D63">
            <w:pPr>
              <w:pStyle w:val="TableParagraph"/>
              <w:spacing w:before="20" w:line="216" w:lineRule="exact"/>
              <w:ind w:right="48"/>
              <w:jc w:val="right"/>
              <w:rPr>
                <w:sz w:val="18"/>
              </w:rPr>
            </w:pPr>
            <w:r>
              <w:rPr>
                <w:spacing w:val="-2"/>
                <w:sz w:val="18"/>
              </w:rPr>
              <w:t>0.30%</w:t>
            </w:r>
          </w:p>
        </w:tc>
        <w:tc>
          <w:tcPr>
            <w:tcW w:w="1215" w:type="dxa"/>
            <w:shd w:val="clear" w:color="auto" w:fill="BEBEBE"/>
          </w:tcPr>
          <w:p w14:paraId="052FC098" w14:textId="77777777" w:rsidR="00141B97" w:rsidRDefault="00911D63">
            <w:pPr>
              <w:pStyle w:val="TableParagraph"/>
              <w:spacing w:before="20" w:line="216" w:lineRule="exact"/>
              <w:ind w:right="49"/>
              <w:jc w:val="right"/>
              <w:rPr>
                <w:sz w:val="18"/>
              </w:rPr>
            </w:pPr>
            <w:r>
              <w:rPr>
                <w:spacing w:val="-2"/>
                <w:sz w:val="18"/>
              </w:rPr>
              <w:t>0.30%</w:t>
            </w:r>
          </w:p>
        </w:tc>
        <w:tc>
          <w:tcPr>
            <w:tcW w:w="1205" w:type="dxa"/>
            <w:shd w:val="clear" w:color="auto" w:fill="BEBEBE"/>
          </w:tcPr>
          <w:p w14:paraId="13FC451D" w14:textId="77777777" w:rsidR="00141B97" w:rsidRDefault="00911D63">
            <w:pPr>
              <w:pStyle w:val="TableParagraph"/>
              <w:spacing w:before="20" w:line="216" w:lineRule="exact"/>
              <w:ind w:right="42"/>
              <w:jc w:val="right"/>
              <w:rPr>
                <w:sz w:val="18"/>
              </w:rPr>
            </w:pPr>
            <w:r>
              <w:rPr>
                <w:spacing w:val="-2"/>
                <w:sz w:val="18"/>
              </w:rPr>
              <w:t>0.30%</w:t>
            </w:r>
          </w:p>
        </w:tc>
      </w:tr>
    </w:tbl>
    <w:p w14:paraId="633D8B6F" w14:textId="77777777" w:rsidR="00141B97" w:rsidRDefault="00911D63">
      <w:pPr>
        <w:spacing w:before="19"/>
        <w:ind w:left="148"/>
        <w:rPr>
          <w:sz w:val="16"/>
        </w:rPr>
      </w:pPr>
      <w:r>
        <w:rPr>
          <w:sz w:val="16"/>
        </w:rPr>
        <w:t>Table</w:t>
      </w:r>
      <w:r>
        <w:rPr>
          <w:spacing w:val="-4"/>
          <w:sz w:val="16"/>
        </w:rPr>
        <w:t xml:space="preserve"> </w:t>
      </w:r>
      <w:r>
        <w:rPr>
          <w:sz w:val="16"/>
        </w:rPr>
        <w:t>ES7:</w:t>
      </w:r>
      <w:r>
        <w:rPr>
          <w:spacing w:val="-3"/>
          <w:sz w:val="16"/>
        </w:rPr>
        <w:t xml:space="preserve"> </w:t>
      </w:r>
      <w:r>
        <w:rPr>
          <w:sz w:val="16"/>
        </w:rPr>
        <w:t>Proposed</w:t>
      </w:r>
      <w:r>
        <w:rPr>
          <w:spacing w:val="-3"/>
          <w:sz w:val="16"/>
        </w:rPr>
        <w:t xml:space="preserve"> </w:t>
      </w:r>
      <w:r>
        <w:rPr>
          <w:sz w:val="16"/>
        </w:rPr>
        <w:t>Urban</w:t>
      </w:r>
      <w:r>
        <w:rPr>
          <w:spacing w:val="-2"/>
          <w:sz w:val="16"/>
        </w:rPr>
        <w:t xml:space="preserve"> Prices</w:t>
      </w:r>
    </w:p>
    <w:p w14:paraId="4B1AFD43" w14:textId="77777777" w:rsidR="00141B97" w:rsidRDefault="00141B97">
      <w:pPr>
        <w:pStyle w:val="BodyText"/>
      </w:pPr>
    </w:p>
    <w:p w14:paraId="6572C84E" w14:textId="77777777" w:rsidR="00141B97" w:rsidRDefault="00911D63">
      <w:pPr>
        <w:pStyle w:val="BodyText"/>
        <w:ind w:left="112"/>
      </w:pPr>
      <w:r>
        <w:rPr>
          <w:spacing w:val="-2"/>
        </w:rPr>
        <w:t>Rural</w:t>
      </w:r>
    </w:p>
    <w:p w14:paraId="7F7B57C9" w14:textId="77777777" w:rsidR="00141B97" w:rsidRDefault="00911D63">
      <w:pPr>
        <w:pStyle w:val="BodyText"/>
        <w:ind w:left="112" w:right="107"/>
        <w:jc w:val="both"/>
      </w:pPr>
      <w:r>
        <w:t>Proposed rural prices designed to deliver prudent and efficient investment meeting agreed customer outcomes, results in a net reduction in total revenue requirement of $4.64m for the rural business, with prices for irrigation reference customers</w:t>
      </w:r>
      <w:r>
        <w:rPr>
          <w:spacing w:val="-1"/>
        </w:rPr>
        <w:t xml:space="preserve"> </w:t>
      </w:r>
      <w:r>
        <w:t>ranging from</w:t>
      </w:r>
      <w:r>
        <w:rPr>
          <w:spacing w:val="-1"/>
        </w:rPr>
        <w:t xml:space="preserve"> </w:t>
      </w:r>
      <w:r>
        <w:t>CPI</w:t>
      </w:r>
      <w:r>
        <w:rPr>
          <w:spacing w:val="-1"/>
        </w:rPr>
        <w:t xml:space="preserve"> </w:t>
      </w:r>
      <w:r>
        <w:t>-</w:t>
      </w:r>
      <w:r>
        <w:rPr>
          <w:spacing w:val="-2"/>
        </w:rPr>
        <w:t xml:space="preserve"> </w:t>
      </w:r>
      <w:r>
        <w:t>6.42%</w:t>
      </w:r>
      <w:r>
        <w:rPr>
          <w:spacing w:val="-2"/>
        </w:rPr>
        <w:t xml:space="preserve"> </w:t>
      </w:r>
      <w:r>
        <w:t>to</w:t>
      </w:r>
      <w:r>
        <w:rPr>
          <w:spacing w:val="-2"/>
        </w:rPr>
        <w:t xml:space="preserve"> </w:t>
      </w:r>
      <w:r>
        <w:t>CPI</w:t>
      </w:r>
      <w:r>
        <w:rPr>
          <w:spacing w:val="-1"/>
        </w:rPr>
        <w:t xml:space="preserve"> </w:t>
      </w:r>
      <w:r>
        <w:t>+</w:t>
      </w:r>
      <w:r>
        <w:rPr>
          <w:spacing w:val="-1"/>
        </w:rPr>
        <w:t xml:space="preserve"> </w:t>
      </w:r>
      <w:r>
        <w:t>1.27%</w:t>
      </w:r>
      <w:r>
        <w:rPr>
          <w:spacing w:val="-2"/>
        </w:rPr>
        <w:t xml:space="preserve"> </w:t>
      </w:r>
      <w:r>
        <w:t>per</w:t>
      </w:r>
      <w:r>
        <w:rPr>
          <w:spacing w:val="-1"/>
        </w:rPr>
        <w:t xml:space="preserve"> </w:t>
      </w:r>
      <w:r>
        <w:t>annum</w:t>
      </w:r>
      <w:r>
        <w:rPr>
          <w:spacing w:val="-1"/>
        </w:rPr>
        <w:t xml:space="preserve"> </w:t>
      </w:r>
      <w:r>
        <w:t>depending on</w:t>
      </w:r>
      <w:r>
        <w:rPr>
          <w:spacing w:val="-1"/>
        </w:rPr>
        <w:t xml:space="preserve"> </w:t>
      </w:r>
      <w:r>
        <w:t>the district,</w:t>
      </w:r>
      <w:r>
        <w:rPr>
          <w:spacing w:val="-1"/>
        </w:rPr>
        <w:t xml:space="preserve"> </w:t>
      </w:r>
      <w:r>
        <w:t>summarised</w:t>
      </w:r>
      <w:r>
        <w:rPr>
          <w:spacing w:val="-1"/>
        </w:rPr>
        <w:t xml:space="preserve"> </w:t>
      </w:r>
      <w:r>
        <w:t>in Tables ES8 and ES9:</w:t>
      </w:r>
    </w:p>
    <w:p w14:paraId="39E3B919" w14:textId="77777777" w:rsidR="00141B97" w:rsidRDefault="00141B97">
      <w:pPr>
        <w:pStyle w:val="BodyText"/>
        <w:spacing w:before="4"/>
        <w:rPr>
          <w:sz w:val="23"/>
        </w:rPr>
      </w:pPr>
    </w:p>
    <w:tbl>
      <w:tblPr>
        <w:tblW w:w="0" w:type="auto"/>
        <w:tblCellSpacing w:w="7" w:type="dxa"/>
        <w:tblInd w:w="144" w:type="dxa"/>
        <w:tblLayout w:type="fixed"/>
        <w:tblCellMar>
          <w:left w:w="0" w:type="dxa"/>
          <w:right w:w="0" w:type="dxa"/>
        </w:tblCellMar>
        <w:tblLook w:val="01E0" w:firstRow="1" w:lastRow="1" w:firstColumn="1" w:lastColumn="1" w:noHBand="0" w:noVBand="0"/>
      </w:tblPr>
      <w:tblGrid>
        <w:gridCol w:w="2637"/>
        <w:gridCol w:w="1003"/>
        <w:gridCol w:w="1003"/>
        <w:gridCol w:w="1003"/>
        <w:gridCol w:w="1001"/>
        <w:gridCol w:w="1003"/>
        <w:gridCol w:w="1003"/>
        <w:gridCol w:w="1557"/>
      </w:tblGrid>
      <w:tr w:rsidR="00141B97" w14:paraId="5A5BAE3C" w14:textId="77777777">
        <w:trPr>
          <w:trHeight w:val="657"/>
          <w:tblCellSpacing w:w="7" w:type="dxa"/>
        </w:trPr>
        <w:tc>
          <w:tcPr>
            <w:tcW w:w="2616" w:type="dxa"/>
            <w:shd w:val="clear" w:color="auto" w:fill="4F81BC"/>
          </w:tcPr>
          <w:p w14:paraId="7040D051" w14:textId="77777777" w:rsidR="00141B97" w:rsidRDefault="00141B97">
            <w:pPr>
              <w:pStyle w:val="TableParagraph"/>
              <w:rPr>
                <w:sz w:val="18"/>
              </w:rPr>
            </w:pPr>
          </w:p>
          <w:p w14:paraId="0184A446" w14:textId="77777777" w:rsidR="00141B97" w:rsidRDefault="00911D63">
            <w:pPr>
              <w:pStyle w:val="TableParagraph"/>
              <w:ind w:left="93"/>
              <w:rPr>
                <w:sz w:val="18"/>
              </w:rPr>
            </w:pPr>
            <w:r>
              <w:rPr>
                <w:color w:val="FFFFFF"/>
                <w:sz w:val="18"/>
              </w:rPr>
              <w:t>Rural</w:t>
            </w:r>
            <w:r>
              <w:rPr>
                <w:color w:val="FFFFFF"/>
                <w:spacing w:val="-2"/>
                <w:sz w:val="18"/>
              </w:rPr>
              <w:t xml:space="preserve"> District</w:t>
            </w:r>
          </w:p>
        </w:tc>
        <w:tc>
          <w:tcPr>
            <w:tcW w:w="989" w:type="dxa"/>
            <w:shd w:val="clear" w:color="auto" w:fill="FFC000"/>
          </w:tcPr>
          <w:p w14:paraId="589EB3D2" w14:textId="77777777" w:rsidR="00141B97" w:rsidRDefault="00911D63">
            <w:pPr>
              <w:pStyle w:val="TableParagraph"/>
              <w:spacing w:before="109"/>
              <w:ind w:left="184" w:right="184" w:firstLine="170"/>
              <w:rPr>
                <w:sz w:val="18"/>
              </w:rPr>
            </w:pPr>
            <w:r>
              <w:rPr>
                <w:color w:val="FFFFFF"/>
                <w:spacing w:val="-4"/>
                <w:sz w:val="18"/>
              </w:rPr>
              <w:t>PS4</w:t>
            </w:r>
            <w:r>
              <w:rPr>
                <w:color w:val="FFFFFF"/>
                <w:sz w:val="18"/>
              </w:rPr>
              <w:t xml:space="preserve"> </w:t>
            </w:r>
            <w:r>
              <w:rPr>
                <w:color w:val="FFFFFF"/>
                <w:spacing w:val="-2"/>
                <w:sz w:val="18"/>
              </w:rPr>
              <w:t>2022-23</w:t>
            </w:r>
          </w:p>
        </w:tc>
        <w:tc>
          <w:tcPr>
            <w:tcW w:w="989" w:type="dxa"/>
            <w:shd w:val="clear" w:color="auto" w:fill="4F81BC"/>
          </w:tcPr>
          <w:p w14:paraId="5B656770" w14:textId="77777777" w:rsidR="00141B97" w:rsidRDefault="00141B97">
            <w:pPr>
              <w:pStyle w:val="TableParagraph"/>
              <w:rPr>
                <w:sz w:val="18"/>
              </w:rPr>
            </w:pPr>
          </w:p>
          <w:p w14:paraId="5C3E2B6C" w14:textId="77777777" w:rsidR="00141B97" w:rsidRDefault="00911D63">
            <w:pPr>
              <w:pStyle w:val="TableParagraph"/>
              <w:ind w:left="184"/>
              <w:rPr>
                <w:sz w:val="18"/>
              </w:rPr>
            </w:pPr>
            <w:r>
              <w:rPr>
                <w:color w:val="FFFFFF"/>
                <w:spacing w:val="-2"/>
                <w:sz w:val="18"/>
              </w:rPr>
              <w:t>2023-</w:t>
            </w:r>
            <w:r>
              <w:rPr>
                <w:color w:val="FFFFFF"/>
                <w:spacing w:val="-5"/>
                <w:sz w:val="18"/>
              </w:rPr>
              <w:t>24</w:t>
            </w:r>
          </w:p>
        </w:tc>
        <w:tc>
          <w:tcPr>
            <w:tcW w:w="989" w:type="dxa"/>
            <w:shd w:val="clear" w:color="auto" w:fill="4F81BC"/>
          </w:tcPr>
          <w:p w14:paraId="5814B21D" w14:textId="77777777" w:rsidR="00141B97" w:rsidRDefault="00141B97">
            <w:pPr>
              <w:pStyle w:val="TableParagraph"/>
              <w:rPr>
                <w:sz w:val="18"/>
              </w:rPr>
            </w:pPr>
          </w:p>
          <w:p w14:paraId="2D01E13F" w14:textId="77777777" w:rsidR="00141B97" w:rsidRDefault="00911D63">
            <w:pPr>
              <w:pStyle w:val="TableParagraph"/>
              <w:ind w:left="184"/>
              <w:rPr>
                <w:sz w:val="18"/>
              </w:rPr>
            </w:pPr>
            <w:r>
              <w:rPr>
                <w:color w:val="FFFFFF"/>
                <w:spacing w:val="-2"/>
                <w:sz w:val="18"/>
              </w:rPr>
              <w:t>2024-</w:t>
            </w:r>
            <w:r>
              <w:rPr>
                <w:color w:val="FFFFFF"/>
                <w:spacing w:val="-5"/>
                <w:sz w:val="18"/>
              </w:rPr>
              <w:t>25</w:t>
            </w:r>
          </w:p>
        </w:tc>
        <w:tc>
          <w:tcPr>
            <w:tcW w:w="987" w:type="dxa"/>
            <w:shd w:val="clear" w:color="auto" w:fill="4F81BC"/>
          </w:tcPr>
          <w:p w14:paraId="3C2AF824" w14:textId="77777777" w:rsidR="00141B97" w:rsidRDefault="00141B97">
            <w:pPr>
              <w:pStyle w:val="TableParagraph"/>
              <w:rPr>
                <w:sz w:val="18"/>
              </w:rPr>
            </w:pPr>
          </w:p>
          <w:p w14:paraId="577E5724" w14:textId="77777777" w:rsidR="00141B97" w:rsidRDefault="00911D63">
            <w:pPr>
              <w:pStyle w:val="TableParagraph"/>
              <w:ind w:left="183"/>
              <w:rPr>
                <w:sz w:val="18"/>
              </w:rPr>
            </w:pPr>
            <w:r>
              <w:rPr>
                <w:color w:val="FFFFFF"/>
                <w:spacing w:val="-2"/>
                <w:sz w:val="18"/>
              </w:rPr>
              <w:t>2025-</w:t>
            </w:r>
            <w:r>
              <w:rPr>
                <w:color w:val="FFFFFF"/>
                <w:spacing w:val="-5"/>
                <w:sz w:val="18"/>
              </w:rPr>
              <w:t>26</w:t>
            </w:r>
          </w:p>
        </w:tc>
        <w:tc>
          <w:tcPr>
            <w:tcW w:w="989" w:type="dxa"/>
            <w:shd w:val="clear" w:color="auto" w:fill="4F81BC"/>
          </w:tcPr>
          <w:p w14:paraId="24E1E6A8" w14:textId="77777777" w:rsidR="00141B97" w:rsidRDefault="00141B97">
            <w:pPr>
              <w:pStyle w:val="TableParagraph"/>
              <w:rPr>
                <w:sz w:val="18"/>
              </w:rPr>
            </w:pPr>
          </w:p>
          <w:p w14:paraId="095A8810" w14:textId="77777777" w:rsidR="00141B97" w:rsidRDefault="00911D63">
            <w:pPr>
              <w:pStyle w:val="TableParagraph"/>
              <w:ind w:left="183"/>
              <w:rPr>
                <w:sz w:val="18"/>
              </w:rPr>
            </w:pPr>
            <w:r>
              <w:rPr>
                <w:color w:val="FFFFFF"/>
                <w:spacing w:val="-2"/>
                <w:sz w:val="18"/>
              </w:rPr>
              <w:t>2026-</w:t>
            </w:r>
            <w:r>
              <w:rPr>
                <w:color w:val="FFFFFF"/>
                <w:spacing w:val="-5"/>
                <w:sz w:val="18"/>
              </w:rPr>
              <w:t>27</w:t>
            </w:r>
          </w:p>
        </w:tc>
        <w:tc>
          <w:tcPr>
            <w:tcW w:w="989" w:type="dxa"/>
            <w:shd w:val="clear" w:color="auto" w:fill="4F81BC"/>
          </w:tcPr>
          <w:p w14:paraId="712276CC" w14:textId="77777777" w:rsidR="00141B97" w:rsidRDefault="00141B97">
            <w:pPr>
              <w:pStyle w:val="TableParagraph"/>
              <w:rPr>
                <w:sz w:val="18"/>
              </w:rPr>
            </w:pPr>
          </w:p>
          <w:p w14:paraId="523457A9" w14:textId="77777777" w:rsidR="00141B97" w:rsidRDefault="00911D63">
            <w:pPr>
              <w:pStyle w:val="TableParagraph"/>
              <w:ind w:left="183"/>
              <w:rPr>
                <w:sz w:val="18"/>
              </w:rPr>
            </w:pPr>
            <w:r>
              <w:rPr>
                <w:color w:val="FFFFFF"/>
                <w:spacing w:val="-2"/>
                <w:sz w:val="18"/>
              </w:rPr>
              <w:t>2027-</w:t>
            </w:r>
            <w:r>
              <w:rPr>
                <w:color w:val="FFFFFF"/>
                <w:spacing w:val="-5"/>
                <w:sz w:val="18"/>
              </w:rPr>
              <w:t>28</w:t>
            </w:r>
          </w:p>
        </w:tc>
        <w:tc>
          <w:tcPr>
            <w:tcW w:w="1536" w:type="dxa"/>
            <w:shd w:val="clear" w:color="auto" w:fill="4F81BC"/>
          </w:tcPr>
          <w:p w14:paraId="3D13C96F" w14:textId="77777777" w:rsidR="00141B97" w:rsidRDefault="00911D63">
            <w:pPr>
              <w:pStyle w:val="TableParagraph"/>
              <w:ind w:left="118" w:right="109"/>
              <w:jc w:val="center"/>
              <w:rPr>
                <w:sz w:val="18"/>
              </w:rPr>
            </w:pPr>
            <w:r>
              <w:rPr>
                <w:color w:val="FFFFFF"/>
                <w:sz w:val="18"/>
              </w:rPr>
              <w:t>Average</w:t>
            </w:r>
            <w:r>
              <w:rPr>
                <w:color w:val="FFFFFF"/>
                <w:spacing w:val="-10"/>
                <w:sz w:val="18"/>
              </w:rPr>
              <w:t xml:space="preserve"> </w:t>
            </w:r>
            <w:r>
              <w:rPr>
                <w:color w:val="FFFFFF"/>
                <w:sz w:val="18"/>
              </w:rPr>
              <w:t>annual</w:t>
            </w:r>
            <w:r>
              <w:rPr>
                <w:color w:val="FFFFFF"/>
                <w:spacing w:val="-10"/>
                <w:sz w:val="18"/>
              </w:rPr>
              <w:t xml:space="preserve"> </w:t>
            </w:r>
            <w:r>
              <w:rPr>
                <w:color w:val="FFFFFF"/>
                <w:sz w:val="18"/>
              </w:rPr>
              <w:t>% Change P5 from</w:t>
            </w:r>
          </w:p>
          <w:p w14:paraId="3B237566" w14:textId="77777777" w:rsidR="00141B97" w:rsidRDefault="00911D63">
            <w:pPr>
              <w:pStyle w:val="TableParagraph"/>
              <w:spacing w:line="199" w:lineRule="exact"/>
              <w:ind w:left="115" w:right="109"/>
              <w:jc w:val="center"/>
              <w:rPr>
                <w:sz w:val="18"/>
              </w:rPr>
            </w:pPr>
            <w:r>
              <w:rPr>
                <w:color w:val="FFFFFF"/>
                <w:spacing w:val="-5"/>
                <w:sz w:val="18"/>
              </w:rPr>
              <w:t>PS4</w:t>
            </w:r>
          </w:p>
        </w:tc>
      </w:tr>
      <w:tr w:rsidR="00141B97" w14:paraId="7E464CD6" w14:textId="77777777">
        <w:trPr>
          <w:trHeight w:val="270"/>
          <w:tblCellSpacing w:w="7" w:type="dxa"/>
        </w:trPr>
        <w:tc>
          <w:tcPr>
            <w:tcW w:w="2616" w:type="dxa"/>
            <w:shd w:val="clear" w:color="auto" w:fill="CCE1EC"/>
          </w:tcPr>
          <w:p w14:paraId="0A380805" w14:textId="77777777" w:rsidR="00141B97" w:rsidRDefault="00911D63">
            <w:pPr>
              <w:pStyle w:val="TableParagraph"/>
              <w:spacing w:before="25"/>
              <w:ind w:left="93"/>
              <w:rPr>
                <w:sz w:val="18"/>
              </w:rPr>
            </w:pPr>
            <w:r>
              <w:rPr>
                <w:sz w:val="18"/>
              </w:rPr>
              <w:t xml:space="preserve">Mildura </w:t>
            </w:r>
            <w:r>
              <w:rPr>
                <w:spacing w:val="-2"/>
                <w:sz w:val="18"/>
              </w:rPr>
              <w:t>(100ML)</w:t>
            </w:r>
          </w:p>
        </w:tc>
        <w:tc>
          <w:tcPr>
            <w:tcW w:w="989" w:type="dxa"/>
            <w:shd w:val="clear" w:color="auto" w:fill="CCE1EC"/>
          </w:tcPr>
          <w:p w14:paraId="22986197" w14:textId="77777777" w:rsidR="00141B97" w:rsidRDefault="00911D63">
            <w:pPr>
              <w:pStyle w:val="TableParagraph"/>
              <w:spacing w:before="25"/>
              <w:ind w:right="98"/>
              <w:jc w:val="right"/>
              <w:rPr>
                <w:sz w:val="18"/>
              </w:rPr>
            </w:pPr>
            <w:r>
              <w:rPr>
                <w:spacing w:val="-2"/>
                <w:sz w:val="18"/>
              </w:rPr>
              <w:t>$15,456</w:t>
            </w:r>
          </w:p>
        </w:tc>
        <w:tc>
          <w:tcPr>
            <w:tcW w:w="989" w:type="dxa"/>
            <w:shd w:val="clear" w:color="auto" w:fill="CCE1EC"/>
          </w:tcPr>
          <w:p w14:paraId="4AE4930E" w14:textId="77777777" w:rsidR="00141B97" w:rsidRDefault="00911D63">
            <w:pPr>
              <w:pStyle w:val="TableParagraph"/>
              <w:spacing w:before="25"/>
              <w:ind w:right="98"/>
              <w:jc w:val="right"/>
              <w:rPr>
                <w:sz w:val="18"/>
              </w:rPr>
            </w:pPr>
            <w:r>
              <w:rPr>
                <w:spacing w:val="-2"/>
                <w:sz w:val="18"/>
              </w:rPr>
              <w:t>$15,249</w:t>
            </w:r>
          </w:p>
        </w:tc>
        <w:tc>
          <w:tcPr>
            <w:tcW w:w="989" w:type="dxa"/>
            <w:shd w:val="clear" w:color="auto" w:fill="CCE1EC"/>
          </w:tcPr>
          <w:p w14:paraId="3DEA5894" w14:textId="77777777" w:rsidR="00141B97" w:rsidRDefault="00911D63">
            <w:pPr>
              <w:pStyle w:val="TableParagraph"/>
              <w:spacing w:before="25"/>
              <w:ind w:right="98"/>
              <w:jc w:val="right"/>
              <w:rPr>
                <w:sz w:val="18"/>
              </w:rPr>
            </w:pPr>
            <w:r>
              <w:rPr>
                <w:spacing w:val="-2"/>
                <w:sz w:val="18"/>
              </w:rPr>
              <w:t>$15,054</w:t>
            </w:r>
          </w:p>
        </w:tc>
        <w:tc>
          <w:tcPr>
            <w:tcW w:w="987" w:type="dxa"/>
            <w:shd w:val="clear" w:color="auto" w:fill="CCE1EC"/>
          </w:tcPr>
          <w:p w14:paraId="6254ED18" w14:textId="77777777" w:rsidR="00141B97" w:rsidRDefault="00911D63">
            <w:pPr>
              <w:pStyle w:val="TableParagraph"/>
              <w:spacing w:before="25"/>
              <w:ind w:right="96"/>
              <w:jc w:val="right"/>
              <w:rPr>
                <w:sz w:val="18"/>
              </w:rPr>
            </w:pPr>
            <w:r>
              <w:rPr>
                <w:spacing w:val="-2"/>
                <w:sz w:val="18"/>
              </w:rPr>
              <w:t>$14,872</w:t>
            </w:r>
          </w:p>
        </w:tc>
        <w:tc>
          <w:tcPr>
            <w:tcW w:w="989" w:type="dxa"/>
            <w:shd w:val="clear" w:color="auto" w:fill="CCE1EC"/>
          </w:tcPr>
          <w:p w14:paraId="6F18AEEC" w14:textId="77777777" w:rsidR="00141B97" w:rsidRDefault="00911D63">
            <w:pPr>
              <w:pStyle w:val="TableParagraph"/>
              <w:spacing w:before="25"/>
              <w:ind w:right="99"/>
              <w:jc w:val="right"/>
              <w:rPr>
                <w:sz w:val="18"/>
              </w:rPr>
            </w:pPr>
            <w:r>
              <w:rPr>
                <w:spacing w:val="-2"/>
                <w:sz w:val="18"/>
              </w:rPr>
              <w:t>$14,701</w:t>
            </w:r>
          </w:p>
        </w:tc>
        <w:tc>
          <w:tcPr>
            <w:tcW w:w="989" w:type="dxa"/>
            <w:shd w:val="clear" w:color="auto" w:fill="CCE1EC"/>
          </w:tcPr>
          <w:p w14:paraId="20FB8195" w14:textId="77777777" w:rsidR="00141B97" w:rsidRDefault="00911D63">
            <w:pPr>
              <w:pStyle w:val="TableParagraph"/>
              <w:spacing w:before="25"/>
              <w:ind w:right="99"/>
              <w:jc w:val="right"/>
              <w:rPr>
                <w:sz w:val="18"/>
              </w:rPr>
            </w:pPr>
            <w:r>
              <w:rPr>
                <w:spacing w:val="-2"/>
                <w:sz w:val="18"/>
              </w:rPr>
              <w:t>$14,501</w:t>
            </w:r>
          </w:p>
        </w:tc>
        <w:tc>
          <w:tcPr>
            <w:tcW w:w="1536" w:type="dxa"/>
            <w:shd w:val="clear" w:color="auto" w:fill="CCE1EC"/>
          </w:tcPr>
          <w:p w14:paraId="6BA6EFB1" w14:textId="77777777" w:rsidR="00141B97" w:rsidRDefault="00911D63">
            <w:pPr>
              <w:pStyle w:val="TableParagraph"/>
              <w:spacing w:before="25"/>
              <w:ind w:right="90"/>
              <w:jc w:val="right"/>
              <w:rPr>
                <w:sz w:val="18"/>
              </w:rPr>
            </w:pPr>
            <w:r>
              <w:rPr>
                <w:sz w:val="18"/>
              </w:rPr>
              <w:t>-</w:t>
            </w:r>
            <w:r>
              <w:rPr>
                <w:spacing w:val="-2"/>
                <w:sz w:val="18"/>
              </w:rPr>
              <w:t>1.27%</w:t>
            </w:r>
          </w:p>
        </w:tc>
      </w:tr>
      <w:tr w:rsidR="00141B97" w14:paraId="2E63A2A7" w14:textId="77777777">
        <w:trPr>
          <w:trHeight w:val="270"/>
          <w:tblCellSpacing w:w="7" w:type="dxa"/>
        </w:trPr>
        <w:tc>
          <w:tcPr>
            <w:tcW w:w="2616" w:type="dxa"/>
            <w:shd w:val="clear" w:color="auto" w:fill="CCE1EC"/>
          </w:tcPr>
          <w:p w14:paraId="69FEB18A" w14:textId="77777777" w:rsidR="00141B97" w:rsidRDefault="00911D63">
            <w:pPr>
              <w:pStyle w:val="TableParagraph"/>
              <w:spacing w:before="25"/>
              <w:ind w:left="93"/>
              <w:rPr>
                <w:sz w:val="18"/>
              </w:rPr>
            </w:pPr>
            <w:r>
              <w:rPr>
                <w:sz w:val="18"/>
              </w:rPr>
              <w:t>Mildura</w:t>
            </w:r>
            <w:r>
              <w:rPr>
                <w:spacing w:val="-2"/>
                <w:sz w:val="18"/>
              </w:rPr>
              <w:t xml:space="preserve"> </w:t>
            </w:r>
            <w:r>
              <w:rPr>
                <w:sz w:val="18"/>
              </w:rPr>
              <w:t>HP</w:t>
            </w:r>
            <w:r>
              <w:rPr>
                <w:spacing w:val="-1"/>
                <w:sz w:val="18"/>
              </w:rPr>
              <w:t xml:space="preserve"> </w:t>
            </w:r>
            <w:r>
              <w:rPr>
                <w:spacing w:val="-2"/>
                <w:sz w:val="18"/>
              </w:rPr>
              <w:t>(100ML)</w:t>
            </w:r>
          </w:p>
        </w:tc>
        <w:tc>
          <w:tcPr>
            <w:tcW w:w="989" w:type="dxa"/>
            <w:shd w:val="clear" w:color="auto" w:fill="CCE1EC"/>
          </w:tcPr>
          <w:p w14:paraId="6AEDE873" w14:textId="77777777" w:rsidR="00141B97" w:rsidRDefault="00911D63">
            <w:pPr>
              <w:pStyle w:val="TableParagraph"/>
              <w:spacing w:before="25"/>
              <w:ind w:right="98"/>
              <w:jc w:val="right"/>
              <w:rPr>
                <w:sz w:val="18"/>
              </w:rPr>
            </w:pPr>
            <w:r>
              <w:rPr>
                <w:spacing w:val="-2"/>
                <w:sz w:val="18"/>
              </w:rPr>
              <w:t>$23,742</w:t>
            </w:r>
          </w:p>
        </w:tc>
        <w:tc>
          <w:tcPr>
            <w:tcW w:w="989" w:type="dxa"/>
            <w:shd w:val="clear" w:color="auto" w:fill="CCE1EC"/>
          </w:tcPr>
          <w:p w14:paraId="43FB8481" w14:textId="77777777" w:rsidR="00141B97" w:rsidRDefault="00911D63">
            <w:pPr>
              <w:pStyle w:val="TableParagraph"/>
              <w:spacing w:before="25"/>
              <w:ind w:right="98"/>
              <w:jc w:val="right"/>
              <w:rPr>
                <w:sz w:val="18"/>
              </w:rPr>
            </w:pPr>
            <w:r>
              <w:rPr>
                <w:spacing w:val="-2"/>
                <w:sz w:val="18"/>
              </w:rPr>
              <w:t>$22,172</w:t>
            </w:r>
          </w:p>
        </w:tc>
        <w:tc>
          <w:tcPr>
            <w:tcW w:w="989" w:type="dxa"/>
            <w:shd w:val="clear" w:color="auto" w:fill="CCE1EC"/>
          </w:tcPr>
          <w:p w14:paraId="2317251A" w14:textId="77777777" w:rsidR="00141B97" w:rsidRDefault="00911D63">
            <w:pPr>
              <w:pStyle w:val="TableParagraph"/>
              <w:spacing w:before="25"/>
              <w:ind w:right="98"/>
              <w:jc w:val="right"/>
              <w:rPr>
                <w:sz w:val="18"/>
              </w:rPr>
            </w:pPr>
            <w:r>
              <w:rPr>
                <w:spacing w:val="-2"/>
                <w:sz w:val="18"/>
              </w:rPr>
              <w:t>$20,730</w:t>
            </w:r>
          </w:p>
        </w:tc>
        <w:tc>
          <w:tcPr>
            <w:tcW w:w="987" w:type="dxa"/>
            <w:shd w:val="clear" w:color="auto" w:fill="CCE1EC"/>
          </w:tcPr>
          <w:p w14:paraId="49F720EC" w14:textId="77777777" w:rsidR="00141B97" w:rsidRDefault="00911D63">
            <w:pPr>
              <w:pStyle w:val="TableParagraph"/>
              <w:spacing w:before="25"/>
              <w:ind w:right="96"/>
              <w:jc w:val="right"/>
              <w:rPr>
                <w:sz w:val="18"/>
              </w:rPr>
            </w:pPr>
            <w:r>
              <w:rPr>
                <w:spacing w:val="-2"/>
                <w:sz w:val="18"/>
              </w:rPr>
              <w:t>$19,408</w:t>
            </w:r>
          </w:p>
        </w:tc>
        <w:tc>
          <w:tcPr>
            <w:tcW w:w="989" w:type="dxa"/>
            <w:shd w:val="clear" w:color="auto" w:fill="CCE1EC"/>
          </w:tcPr>
          <w:p w14:paraId="28B6ECB4" w14:textId="77777777" w:rsidR="00141B97" w:rsidRDefault="00911D63">
            <w:pPr>
              <w:pStyle w:val="TableParagraph"/>
              <w:spacing w:before="25"/>
              <w:ind w:right="99"/>
              <w:jc w:val="right"/>
              <w:rPr>
                <w:sz w:val="18"/>
              </w:rPr>
            </w:pPr>
            <w:r>
              <w:rPr>
                <w:spacing w:val="-2"/>
                <w:sz w:val="18"/>
              </w:rPr>
              <w:t>$18,193</w:t>
            </w:r>
          </w:p>
        </w:tc>
        <w:tc>
          <w:tcPr>
            <w:tcW w:w="989" w:type="dxa"/>
            <w:shd w:val="clear" w:color="auto" w:fill="CCE1EC"/>
          </w:tcPr>
          <w:p w14:paraId="0CA38F9C" w14:textId="77777777" w:rsidR="00141B97" w:rsidRDefault="00911D63">
            <w:pPr>
              <w:pStyle w:val="TableParagraph"/>
              <w:spacing w:before="25"/>
              <w:ind w:right="99"/>
              <w:jc w:val="right"/>
              <w:rPr>
                <w:sz w:val="18"/>
              </w:rPr>
            </w:pPr>
            <w:r>
              <w:rPr>
                <w:spacing w:val="-2"/>
                <w:sz w:val="18"/>
              </w:rPr>
              <w:t>$17,036</w:t>
            </w:r>
          </w:p>
        </w:tc>
        <w:tc>
          <w:tcPr>
            <w:tcW w:w="1536" w:type="dxa"/>
            <w:shd w:val="clear" w:color="auto" w:fill="CCE1EC"/>
          </w:tcPr>
          <w:p w14:paraId="79C8FB75" w14:textId="77777777" w:rsidR="00141B97" w:rsidRDefault="00911D63">
            <w:pPr>
              <w:pStyle w:val="TableParagraph"/>
              <w:spacing w:before="25"/>
              <w:ind w:right="90"/>
              <w:jc w:val="right"/>
              <w:rPr>
                <w:sz w:val="18"/>
              </w:rPr>
            </w:pPr>
            <w:r>
              <w:rPr>
                <w:sz w:val="18"/>
              </w:rPr>
              <w:t>-</w:t>
            </w:r>
            <w:r>
              <w:rPr>
                <w:spacing w:val="-2"/>
                <w:sz w:val="18"/>
              </w:rPr>
              <w:t>6.42%</w:t>
            </w:r>
          </w:p>
        </w:tc>
      </w:tr>
      <w:tr w:rsidR="00141B97" w14:paraId="0E8C86DC" w14:textId="77777777">
        <w:trPr>
          <w:trHeight w:val="266"/>
          <w:tblCellSpacing w:w="7" w:type="dxa"/>
        </w:trPr>
        <w:tc>
          <w:tcPr>
            <w:tcW w:w="2616" w:type="dxa"/>
            <w:tcBorders>
              <w:bottom w:val="nil"/>
            </w:tcBorders>
            <w:shd w:val="clear" w:color="auto" w:fill="CCE1EC"/>
          </w:tcPr>
          <w:p w14:paraId="3F63B0EB" w14:textId="77777777" w:rsidR="00141B97" w:rsidRDefault="00911D63">
            <w:pPr>
              <w:pStyle w:val="TableParagraph"/>
              <w:spacing w:before="25"/>
              <w:ind w:left="93"/>
              <w:rPr>
                <w:sz w:val="18"/>
              </w:rPr>
            </w:pPr>
            <w:r>
              <w:rPr>
                <w:sz w:val="18"/>
              </w:rPr>
              <w:t>Merbein</w:t>
            </w:r>
            <w:r>
              <w:rPr>
                <w:spacing w:val="-2"/>
                <w:sz w:val="18"/>
              </w:rPr>
              <w:t xml:space="preserve"> (100ML)</w:t>
            </w:r>
          </w:p>
        </w:tc>
        <w:tc>
          <w:tcPr>
            <w:tcW w:w="989" w:type="dxa"/>
            <w:tcBorders>
              <w:bottom w:val="nil"/>
            </w:tcBorders>
            <w:shd w:val="clear" w:color="auto" w:fill="CCE1EC"/>
          </w:tcPr>
          <w:p w14:paraId="6E86EF73" w14:textId="77777777" w:rsidR="00141B97" w:rsidRDefault="00911D63">
            <w:pPr>
              <w:pStyle w:val="TableParagraph"/>
              <w:spacing w:before="25"/>
              <w:ind w:right="98"/>
              <w:jc w:val="right"/>
              <w:rPr>
                <w:sz w:val="18"/>
              </w:rPr>
            </w:pPr>
            <w:r>
              <w:rPr>
                <w:spacing w:val="-2"/>
                <w:sz w:val="18"/>
              </w:rPr>
              <w:t>$11,729</w:t>
            </w:r>
          </w:p>
        </w:tc>
        <w:tc>
          <w:tcPr>
            <w:tcW w:w="989" w:type="dxa"/>
            <w:tcBorders>
              <w:bottom w:val="nil"/>
            </w:tcBorders>
            <w:shd w:val="clear" w:color="auto" w:fill="CCE1EC"/>
          </w:tcPr>
          <w:p w14:paraId="499D04F0" w14:textId="77777777" w:rsidR="00141B97" w:rsidRDefault="00911D63">
            <w:pPr>
              <w:pStyle w:val="TableParagraph"/>
              <w:spacing w:before="25"/>
              <w:ind w:right="98"/>
              <w:jc w:val="right"/>
              <w:rPr>
                <w:sz w:val="18"/>
              </w:rPr>
            </w:pPr>
            <w:r>
              <w:rPr>
                <w:spacing w:val="-2"/>
                <w:sz w:val="18"/>
              </w:rPr>
              <w:t>$11,848</w:t>
            </w:r>
          </w:p>
        </w:tc>
        <w:tc>
          <w:tcPr>
            <w:tcW w:w="989" w:type="dxa"/>
            <w:tcBorders>
              <w:bottom w:val="nil"/>
            </w:tcBorders>
            <w:shd w:val="clear" w:color="auto" w:fill="CCE1EC"/>
          </w:tcPr>
          <w:p w14:paraId="27D35643" w14:textId="77777777" w:rsidR="00141B97" w:rsidRDefault="00911D63">
            <w:pPr>
              <w:pStyle w:val="TableParagraph"/>
              <w:spacing w:before="25"/>
              <w:ind w:right="98"/>
              <w:jc w:val="right"/>
              <w:rPr>
                <w:sz w:val="18"/>
              </w:rPr>
            </w:pPr>
            <w:r>
              <w:rPr>
                <w:spacing w:val="-2"/>
                <w:sz w:val="18"/>
              </w:rPr>
              <w:t>$11,986</w:t>
            </w:r>
          </w:p>
        </w:tc>
        <w:tc>
          <w:tcPr>
            <w:tcW w:w="987" w:type="dxa"/>
            <w:tcBorders>
              <w:bottom w:val="nil"/>
            </w:tcBorders>
            <w:shd w:val="clear" w:color="auto" w:fill="CCE1EC"/>
          </w:tcPr>
          <w:p w14:paraId="71A11178" w14:textId="77777777" w:rsidR="00141B97" w:rsidRDefault="00911D63">
            <w:pPr>
              <w:pStyle w:val="TableParagraph"/>
              <w:spacing w:before="25"/>
              <w:ind w:right="96"/>
              <w:jc w:val="right"/>
              <w:rPr>
                <w:sz w:val="18"/>
              </w:rPr>
            </w:pPr>
            <w:r>
              <w:rPr>
                <w:spacing w:val="-2"/>
                <w:sz w:val="18"/>
              </w:rPr>
              <w:t>$12,145</w:t>
            </w:r>
          </w:p>
        </w:tc>
        <w:tc>
          <w:tcPr>
            <w:tcW w:w="989" w:type="dxa"/>
            <w:tcBorders>
              <w:bottom w:val="nil"/>
            </w:tcBorders>
            <w:shd w:val="clear" w:color="auto" w:fill="CCE1EC"/>
          </w:tcPr>
          <w:p w14:paraId="4B280D39" w14:textId="77777777" w:rsidR="00141B97" w:rsidRDefault="00911D63">
            <w:pPr>
              <w:pStyle w:val="TableParagraph"/>
              <w:spacing w:before="25"/>
              <w:ind w:right="99"/>
              <w:jc w:val="right"/>
              <w:rPr>
                <w:sz w:val="18"/>
              </w:rPr>
            </w:pPr>
            <w:r>
              <w:rPr>
                <w:spacing w:val="-2"/>
                <w:sz w:val="18"/>
              </w:rPr>
              <w:t>$12,327</w:t>
            </w:r>
          </w:p>
        </w:tc>
        <w:tc>
          <w:tcPr>
            <w:tcW w:w="989" w:type="dxa"/>
            <w:tcBorders>
              <w:bottom w:val="nil"/>
            </w:tcBorders>
            <w:shd w:val="clear" w:color="auto" w:fill="CCE1EC"/>
          </w:tcPr>
          <w:p w14:paraId="5A901B72" w14:textId="77777777" w:rsidR="00141B97" w:rsidRDefault="00911D63">
            <w:pPr>
              <w:pStyle w:val="TableParagraph"/>
              <w:spacing w:before="25"/>
              <w:ind w:right="99"/>
              <w:jc w:val="right"/>
              <w:rPr>
                <w:sz w:val="18"/>
              </w:rPr>
            </w:pPr>
            <w:r>
              <w:rPr>
                <w:spacing w:val="-2"/>
                <w:sz w:val="18"/>
              </w:rPr>
              <w:t>$12,491</w:t>
            </w:r>
          </w:p>
        </w:tc>
        <w:tc>
          <w:tcPr>
            <w:tcW w:w="1536" w:type="dxa"/>
            <w:tcBorders>
              <w:bottom w:val="nil"/>
            </w:tcBorders>
            <w:shd w:val="clear" w:color="auto" w:fill="CCE1EC"/>
          </w:tcPr>
          <w:p w14:paraId="6579D926" w14:textId="77777777" w:rsidR="00141B97" w:rsidRDefault="00911D63">
            <w:pPr>
              <w:pStyle w:val="TableParagraph"/>
              <w:spacing w:before="25"/>
              <w:ind w:right="90"/>
              <w:jc w:val="right"/>
              <w:rPr>
                <w:sz w:val="18"/>
              </w:rPr>
            </w:pPr>
            <w:r>
              <w:rPr>
                <w:spacing w:val="-2"/>
                <w:sz w:val="18"/>
              </w:rPr>
              <w:t>1.27%</w:t>
            </w:r>
          </w:p>
        </w:tc>
      </w:tr>
      <w:tr w:rsidR="00141B97" w14:paraId="71C3D7B3" w14:textId="77777777">
        <w:trPr>
          <w:trHeight w:val="266"/>
          <w:tblCellSpacing w:w="7" w:type="dxa"/>
        </w:trPr>
        <w:tc>
          <w:tcPr>
            <w:tcW w:w="2616" w:type="dxa"/>
            <w:tcBorders>
              <w:top w:val="nil"/>
            </w:tcBorders>
            <w:shd w:val="clear" w:color="auto" w:fill="CCE1EC"/>
          </w:tcPr>
          <w:p w14:paraId="401E69A8" w14:textId="77777777" w:rsidR="00141B97" w:rsidRDefault="00911D63">
            <w:pPr>
              <w:pStyle w:val="TableParagraph"/>
              <w:spacing w:before="24"/>
              <w:ind w:left="93"/>
              <w:rPr>
                <w:sz w:val="18"/>
              </w:rPr>
            </w:pPr>
            <w:r>
              <w:rPr>
                <w:sz w:val="18"/>
              </w:rPr>
              <w:t>Red</w:t>
            </w:r>
            <w:r>
              <w:rPr>
                <w:spacing w:val="-3"/>
                <w:sz w:val="18"/>
              </w:rPr>
              <w:t xml:space="preserve"> </w:t>
            </w:r>
            <w:r>
              <w:rPr>
                <w:sz w:val="18"/>
              </w:rPr>
              <w:t>Cliffs</w:t>
            </w:r>
            <w:r>
              <w:rPr>
                <w:spacing w:val="-1"/>
                <w:sz w:val="18"/>
              </w:rPr>
              <w:t xml:space="preserve"> </w:t>
            </w:r>
            <w:r>
              <w:rPr>
                <w:spacing w:val="-2"/>
                <w:sz w:val="18"/>
              </w:rPr>
              <w:t>(100ML)</w:t>
            </w:r>
          </w:p>
        </w:tc>
        <w:tc>
          <w:tcPr>
            <w:tcW w:w="989" w:type="dxa"/>
            <w:tcBorders>
              <w:top w:val="nil"/>
            </w:tcBorders>
            <w:shd w:val="clear" w:color="auto" w:fill="CCE1EC"/>
          </w:tcPr>
          <w:p w14:paraId="69C833A9" w14:textId="77777777" w:rsidR="00141B97" w:rsidRDefault="00911D63">
            <w:pPr>
              <w:pStyle w:val="TableParagraph"/>
              <w:spacing w:before="24"/>
              <w:ind w:right="98"/>
              <w:jc w:val="right"/>
              <w:rPr>
                <w:sz w:val="18"/>
              </w:rPr>
            </w:pPr>
            <w:r>
              <w:rPr>
                <w:spacing w:val="-2"/>
                <w:sz w:val="18"/>
              </w:rPr>
              <w:t>$12,438</w:t>
            </w:r>
          </w:p>
        </w:tc>
        <w:tc>
          <w:tcPr>
            <w:tcW w:w="989" w:type="dxa"/>
            <w:tcBorders>
              <w:top w:val="nil"/>
            </w:tcBorders>
            <w:shd w:val="clear" w:color="auto" w:fill="CCE1EC"/>
          </w:tcPr>
          <w:p w14:paraId="4072CE3C" w14:textId="77777777" w:rsidR="00141B97" w:rsidRDefault="00911D63">
            <w:pPr>
              <w:pStyle w:val="TableParagraph"/>
              <w:spacing w:before="24"/>
              <w:ind w:right="98"/>
              <w:jc w:val="right"/>
              <w:rPr>
                <w:sz w:val="18"/>
              </w:rPr>
            </w:pPr>
            <w:r>
              <w:rPr>
                <w:spacing w:val="-2"/>
                <w:sz w:val="18"/>
              </w:rPr>
              <w:t>$12,326</w:t>
            </w:r>
          </w:p>
        </w:tc>
        <w:tc>
          <w:tcPr>
            <w:tcW w:w="989" w:type="dxa"/>
            <w:tcBorders>
              <w:top w:val="nil"/>
            </w:tcBorders>
            <w:shd w:val="clear" w:color="auto" w:fill="CCE1EC"/>
          </w:tcPr>
          <w:p w14:paraId="0F5EA699" w14:textId="77777777" w:rsidR="00141B97" w:rsidRDefault="00911D63">
            <w:pPr>
              <w:pStyle w:val="TableParagraph"/>
              <w:spacing w:before="24"/>
              <w:ind w:right="98"/>
              <w:jc w:val="right"/>
              <w:rPr>
                <w:sz w:val="18"/>
              </w:rPr>
            </w:pPr>
            <w:r>
              <w:rPr>
                <w:spacing w:val="-2"/>
                <w:sz w:val="18"/>
              </w:rPr>
              <w:t>$12,237</w:t>
            </w:r>
          </w:p>
        </w:tc>
        <w:tc>
          <w:tcPr>
            <w:tcW w:w="987" w:type="dxa"/>
            <w:tcBorders>
              <w:top w:val="nil"/>
            </w:tcBorders>
            <w:shd w:val="clear" w:color="auto" w:fill="CCE1EC"/>
          </w:tcPr>
          <w:p w14:paraId="3D29E40B" w14:textId="77777777" w:rsidR="00141B97" w:rsidRDefault="00911D63">
            <w:pPr>
              <w:pStyle w:val="TableParagraph"/>
              <w:spacing w:before="24"/>
              <w:ind w:right="96"/>
              <w:jc w:val="right"/>
              <w:rPr>
                <w:sz w:val="18"/>
              </w:rPr>
            </w:pPr>
            <w:r>
              <w:rPr>
                <w:spacing w:val="-2"/>
                <w:sz w:val="18"/>
              </w:rPr>
              <w:t>$12,170</w:t>
            </w:r>
          </w:p>
        </w:tc>
        <w:tc>
          <w:tcPr>
            <w:tcW w:w="989" w:type="dxa"/>
            <w:tcBorders>
              <w:top w:val="nil"/>
            </w:tcBorders>
            <w:shd w:val="clear" w:color="auto" w:fill="CCE1EC"/>
          </w:tcPr>
          <w:p w14:paraId="0B1E5723" w14:textId="77777777" w:rsidR="00141B97" w:rsidRDefault="00911D63">
            <w:pPr>
              <w:pStyle w:val="TableParagraph"/>
              <w:spacing w:before="24"/>
              <w:ind w:right="99"/>
              <w:jc w:val="right"/>
              <w:rPr>
                <w:sz w:val="18"/>
              </w:rPr>
            </w:pPr>
            <w:r>
              <w:rPr>
                <w:spacing w:val="-2"/>
                <w:sz w:val="18"/>
              </w:rPr>
              <w:t>$12,126</w:t>
            </w:r>
          </w:p>
        </w:tc>
        <w:tc>
          <w:tcPr>
            <w:tcW w:w="989" w:type="dxa"/>
            <w:tcBorders>
              <w:top w:val="nil"/>
            </w:tcBorders>
            <w:shd w:val="clear" w:color="auto" w:fill="CCE1EC"/>
          </w:tcPr>
          <w:p w14:paraId="260184BA" w14:textId="77777777" w:rsidR="00141B97" w:rsidRDefault="00911D63">
            <w:pPr>
              <w:pStyle w:val="TableParagraph"/>
              <w:spacing w:before="24"/>
              <w:ind w:right="99"/>
              <w:jc w:val="right"/>
              <w:rPr>
                <w:sz w:val="18"/>
              </w:rPr>
            </w:pPr>
            <w:r>
              <w:rPr>
                <w:spacing w:val="-2"/>
                <w:sz w:val="18"/>
              </w:rPr>
              <w:t>$12,063</w:t>
            </w:r>
          </w:p>
        </w:tc>
        <w:tc>
          <w:tcPr>
            <w:tcW w:w="1536" w:type="dxa"/>
            <w:tcBorders>
              <w:top w:val="nil"/>
            </w:tcBorders>
            <w:shd w:val="clear" w:color="auto" w:fill="CCE1EC"/>
          </w:tcPr>
          <w:p w14:paraId="234D9117" w14:textId="77777777" w:rsidR="00141B97" w:rsidRDefault="00911D63">
            <w:pPr>
              <w:pStyle w:val="TableParagraph"/>
              <w:spacing w:before="24"/>
              <w:ind w:right="90"/>
              <w:jc w:val="right"/>
              <w:rPr>
                <w:sz w:val="18"/>
              </w:rPr>
            </w:pPr>
            <w:r>
              <w:rPr>
                <w:sz w:val="18"/>
              </w:rPr>
              <w:t>-</w:t>
            </w:r>
            <w:r>
              <w:rPr>
                <w:spacing w:val="-2"/>
                <w:sz w:val="18"/>
              </w:rPr>
              <w:t>0.61%</w:t>
            </w:r>
          </w:p>
        </w:tc>
      </w:tr>
      <w:tr w:rsidR="00141B97" w14:paraId="2224A997" w14:textId="77777777">
        <w:trPr>
          <w:trHeight w:val="270"/>
          <w:tblCellSpacing w:w="7" w:type="dxa"/>
        </w:trPr>
        <w:tc>
          <w:tcPr>
            <w:tcW w:w="2616" w:type="dxa"/>
            <w:shd w:val="clear" w:color="auto" w:fill="CCE1EC"/>
          </w:tcPr>
          <w:p w14:paraId="0136DEA6" w14:textId="77777777" w:rsidR="00141B97" w:rsidRDefault="00911D63">
            <w:pPr>
              <w:pStyle w:val="TableParagraph"/>
              <w:spacing w:before="25"/>
              <w:ind w:left="93"/>
              <w:rPr>
                <w:sz w:val="18"/>
              </w:rPr>
            </w:pPr>
            <w:r>
              <w:rPr>
                <w:sz w:val="18"/>
              </w:rPr>
              <w:t xml:space="preserve">Robinvale </w:t>
            </w:r>
            <w:r>
              <w:rPr>
                <w:spacing w:val="-2"/>
                <w:sz w:val="18"/>
              </w:rPr>
              <w:t>(100ML)</w:t>
            </w:r>
          </w:p>
        </w:tc>
        <w:tc>
          <w:tcPr>
            <w:tcW w:w="989" w:type="dxa"/>
            <w:shd w:val="clear" w:color="auto" w:fill="CCE1EC"/>
          </w:tcPr>
          <w:p w14:paraId="31083A15" w14:textId="77777777" w:rsidR="00141B97" w:rsidRDefault="00911D63">
            <w:pPr>
              <w:pStyle w:val="TableParagraph"/>
              <w:spacing w:before="25"/>
              <w:ind w:right="98"/>
              <w:jc w:val="right"/>
              <w:rPr>
                <w:sz w:val="18"/>
              </w:rPr>
            </w:pPr>
            <w:r>
              <w:rPr>
                <w:spacing w:val="-2"/>
                <w:sz w:val="18"/>
              </w:rPr>
              <w:t>$23,100</w:t>
            </w:r>
          </w:p>
        </w:tc>
        <w:tc>
          <w:tcPr>
            <w:tcW w:w="989" w:type="dxa"/>
            <w:shd w:val="clear" w:color="auto" w:fill="CCE1EC"/>
          </w:tcPr>
          <w:p w14:paraId="23A8FED0" w14:textId="77777777" w:rsidR="00141B97" w:rsidRDefault="00911D63">
            <w:pPr>
              <w:pStyle w:val="TableParagraph"/>
              <w:spacing w:before="25"/>
              <w:ind w:right="98"/>
              <w:jc w:val="right"/>
              <w:rPr>
                <w:sz w:val="18"/>
              </w:rPr>
            </w:pPr>
            <w:r>
              <w:rPr>
                <w:spacing w:val="-2"/>
                <w:sz w:val="18"/>
              </w:rPr>
              <w:t>$21,804</w:t>
            </w:r>
          </w:p>
        </w:tc>
        <w:tc>
          <w:tcPr>
            <w:tcW w:w="989" w:type="dxa"/>
            <w:shd w:val="clear" w:color="auto" w:fill="CCE1EC"/>
          </w:tcPr>
          <w:p w14:paraId="254445F9" w14:textId="77777777" w:rsidR="00141B97" w:rsidRDefault="00911D63">
            <w:pPr>
              <w:pStyle w:val="TableParagraph"/>
              <w:spacing w:before="25"/>
              <w:ind w:right="98"/>
              <w:jc w:val="right"/>
              <w:rPr>
                <w:sz w:val="18"/>
              </w:rPr>
            </w:pPr>
            <w:r>
              <w:rPr>
                <w:spacing w:val="-2"/>
                <w:sz w:val="18"/>
              </w:rPr>
              <w:t>$20,592</w:t>
            </w:r>
          </w:p>
        </w:tc>
        <w:tc>
          <w:tcPr>
            <w:tcW w:w="987" w:type="dxa"/>
            <w:shd w:val="clear" w:color="auto" w:fill="CCE1EC"/>
          </w:tcPr>
          <w:p w14:paraId="473D1977" w14:textId="77777777" w:rsidR="00141B97" w:rsidRDefault="00911D63">
            <w:pPr>
              <w:pStyle w:val="TableParagraph"/>
              <w:spacing w:before="25"/>
              <w:ind w:right="96"/>
              <w:jc w:val="right"/>
              <w:rPr>
                <w:sz w:val="18"/>
              </w:rPr>
            </w:pPr>
            <w:r>
              <w:rPr>
                <w:spacing w:val="-2"/>
                <w:sz w:val="18"/>
              </w:rPr>
              <w:t>$19,461</w:t>
            </w:r>
          </w:p>
        </w:tc>
        <w:tc>
          <w:tcPr>
            <w:tcW w:w="989" w:type="dxa"/>
            <w:shd w:val="clear" w:color="auto" w:fill="CCE1EC"/>
          </w:tcPr>
          <w:p w14:paraId="0E06CEAD" w14:textId="77777777" w:rsidR="00141B97" w:rsidRDefault="00911D63">
            <w:pPr>
              <w:pStyle w:val="TableParagraph"/>
              <w:spacing w:before="25"/>
              <w:ind w:right="99"/>
              <w:jc w:val="right"/>
              <w:rPr>
                <w:sz w:val="18"/>
              </w:rPr>
            </w:pPr>
            <w:r>
              <w:rPr>
                <w:spacing w:val="-2"/>
                <w:sz w:val="18"/>
              </w:rPr>
              <w:t>$18,402</w:t>
            </w:r>
          </w:p>
        </w:tc>
        <w:tc>
          <w:tcPr>
            <w:tcW w:w="989" w:type="dxa"/>
            <w:shd w:val="clear" w:color="auto" w:fill="CCE1EC"/>
          </w:tcPr>
          <w:p w14:paraId="363375F3" w14:textId="77777777" w:rsidR="00141B97" w:rsidRDefault="00911D63">
            <w:pPr>
              <w:pStyle w:val="TableParagraph"/>
              <w:spacing w:before="25"/>
              <w:ind w:right="99"/>
              <w:jc w:val="right"/>
              <w:rPr>
                <w:sz w:val="18"/>
              </w:rPr>
            </w:pPr>
            <w:r>
              <w:rPr>
                <w:spacing w:val="-2"/>
                <w:sz w:val="18"/>
              </w:rPr>
              <w:t>$17,373</w:t>
            </w:r>
          </w:p>
        </w:tc>
        <w:tc>
          <w:tcPr>
            <w:tcW w:w="1536" w:type="dxa"/>
            <w:shd w:val="clear" w:color="auto" w:fill="CCE1EC"/>
          </w:tcPr>
          <w:p w14:paraId="6F40C078" w14:textId="77777777" w:rsidR="00141B97" w:rsidRDefault="00911D63">
            <w:pPr>
              <w:pStyle w:val="TableParagraph"/>
              <w:spacing w:before="25"/>
              <w:ind w:right="90"/>
              <w:jc w:val="right"/>
              <w:rPr>
                <w:sz w:val="18"/>
              </w:rPr>
            </w:pPr>
            <w:r>
              <w:rPr>
                <w:sz w:val="18"/>
              </w:rPr>
              <w:t>-</w:t>
            </w:r>
            <w:r>
              <w:rPr>
                <w:spacing w:val="-2"/>
                <w:sz w:val="18"/>
              </w:rPr>
              <w:t>5.54%</w:t>
            </w:r>
          </w:p>
        </w:tc>
      </w:tr>
      <w:tr w:rsidR="00141B97" w14:paraId="7D678F02" w14:textId="77777777">
        <w:trPr>
          <w:trHeight w:val="270"/>
          <w:tblCellSpacing w:w="7" w:type="dxa"/>
        </w:trPr>
        <w:tc>
          <w:tcPr>
            <w:tcW w:w="2616" w:type="dxa"/>
            <w:shd w:val="clear" w:color="auto" w:fill="CCE1EC"/>
          </w:tcPr>
          <w:p w14:paraId="738AD234" w14:textId="77777777" w:rsidR="00141B97" w:rsidRDefault="00911D63">
            <w:pPr>
              <w:pStyle w:val="TableParagraph"/>
              <w:spacing w:before="25"/>
              <w:ind w:left="93"/>
              <w:rPr>
                <w:sz w:val="18"/>
              </w:rPr>
            </w:pPr>
            <w:r>
              <w:rPr>
                <w:sz w:val="18"/>
              </w:rPr>
              <w:t>Private</w:t>
            </w:r>
            <w:r>
              <w:rPr>
                <w:spacing w:val="-2"/>
                <w:sz w:val="18"/>
              </w:rPr>
              <w:t xml:space="preserve"> </w:t>
            </w:r>
            <w:r>
              <w:rPr>
                <w:sz w:val="18"/>
              </w:rPr>
              <w:t>Diverters</w:t>
            </w:r>
            <w:r>
              <w:rPr>
                <w:spacing w:val="-1"/>
                <w:sz w:val="18"/>
              </w:rPr>
              <w:t xml:space="preserve"> </w:t>
            </w:r>
            <w:r>
              <w:rPr>
                <w:spacing w:val="-2"/>
                <w:sz w:val="18"/>
              </w:rPr>
              <w:t>(1,000ML)</w:t>
            </w:r>
          </w:p>
        </w:tc>
        <w:tc>
          <w:tcPr>
            <w:tcW w:w="989" w:type="dxa"/>
            <w:shd w:val="clear" w:color="auto" w:fill="CCE1EC"/>
          </w:tcPr>
          <w:p w14:paraId="2FAF189E" w14:textId="77777777" w:rsidR="00141B97" w:rsidRDefault="00911D63">
            <w:pPr>
              <w:pStyle w:val="TableParagraph"/>
              <w:spacing w:before="25"/>
              <w:ind w:right="98"/>
              <w:jc w:val="right"/>
              <w:rPr>
                <w:sz w:val="18"/>
              </w:rPr>
            </w:pPr>
            <w:r>
              <w:rPr>
                <w:spacing w:val="-2"/>
                <w:sz w:val="18"/>
              </w:rPr>
              <w:t>$12,953</w:t>
            </w:r>
          </w:p>
        </w:tc>
        <w:tc>
          <w:tcPr>
            <w:tcW w:w="989" w:type="dxa"/>
            <w:shd w:val="clear" w:color="auto" w:fill="CCE1EC"/>
          </w:tcPr>
          <w:p w14:paraId="6B502576" w14:textId="77777777" w:rsidR="00141B97" w:rsidRDefault="00911D63">
            <w:pPr>
              <w:pStyle w:val="TableParagraph"/>
              <w:spacing w:before="25"/>
              <w:ind w:right="98"/>
              <w:jc w:val="right"/>
              <w:rPr>
                <w:sz w:val="18"/>
              </w:rPr>
            </w:pPr>
            <w:r>
              <w:rPr>
                <w:spacing w:val="-2"/>
                <w:sz w:val="18"/>
              </w:rPr>
              <w:t>$13,153</w:t>
            </w:r>
          </w:p>
        </w:tc>
        <w:tc>
          <w:tcPr>
            <w:tcW w:w="989" w:type="dxa"/>
            <w:shd w:val="clear" w:color="auto" w:fill="CCE1EC"/>
          </w:tcPr>
          <w:p w14:paraId="7CBA0551" w14:textId="77777777" w:rsidR="00141B97" w:rsidRDefault="00911D63">
            <w:pPr>
              <w:pStyle w:val="TableParagraph"/>
              <w:spacing w:before="25"/>
              <w:ind w:right="98"/>
              <w:jc w:val="right"/>
              <w:rPr>
                <w:sz w:val="18"/>
              </w:rPr>
            </w:pPr>
            <w:r>
              <w:rPr>
                <w:spacing w:val="-2"/>
                <w:sz w:val="18"/>
              </w:rPr>
              <w:t>$13,333</w:t>
            </w:r>
          </w:p>
        </w:tc>
        <w:tc>
          <w:tcPr>
            <w:tcW w:w="987" w:type="dxa"/>
            <w:shd w:val="clear" w:color="auto" w:fill="CCE1EC"/>
          </w:tcPr>
          <w:p w14:paraId="076AF289" w14:textId="77777777" w:rsidR="00141B97" w:rsidRDefault="00911D63">
            <w:pPr>
              <w:pStyle w:val="TableParagraph"/>
              <w:spacing w:before="25"/>
              <w:ind w:right="96"/>
              <w:jc w:val="right"/>
              <w:rPr>
                <w:sz w:val="18"/>
              </w:rPr>
            </w:pPr>
            <w:r>
              <w:rPr>
                <w:spacing w:val="-2"/>
                <w:sz w:val="18"/>
              </w:rPr>
              <w:t>$13,511</w:t>
            </w:r>
          </w:p>
        </w:tc>
        <w:tc>
          <w:tcPr>
            <w:tcW w:w="989" w:type="dxa"/>
            <w:shd w:val="clear" w:color="auto" w:fill="CCE1EC"/>
          </w:tcPr>
          <w:p w14:paraId="2CE719DC" w14:textId="77777777" w:rsidR="00141B97" w:rsidRDefault="00911D63">
            <w:pPr>
              <w:pStyle w:val="TableParagraph"/>
              <w:spacing w:before="25"/>
              <w:ind w:right="99"/>
              <w:jc w:val="right"/>
              <w:rPr>
                <w:sz w:val="18"/>
              </w:rPr>
            </w:pPr>
            <w:r>
              <w:rPr>
                <w:spacing w:val="-2"/>
                <w:sz w:val="18"/>
              </w:rPr>
              <w:t>$13,678</w:t>
            </w:r>
          </w:p>
        </w:tc>
        <w:tc>
          <w:tcPr>
            <w:tcW w:w="989" w:type="dxa"/>
            <w:shd w:val="clear" w:color="auto" w:fill="CCE1EC"/>
          </w:tcPr>
          <w:p w14:paraId="38D7C738" w14:textId="77777777" w:rsidR="00141B97" w:rsidRDefault="00911D63">
            <w:pPr>
              <w:pStyle w:val="TableParagraph"/>
              <w:spacing w:before="25"/>
              <w:ind w:right="99"/>
              <w:jc w:val="right"/>
              <w:rPr>
                <w:sz w:val="18"/>
              </w:rPr>
            </w:pPr>
            <w:r>
              <w:rPr>
                <w:spacing w:val="-2"/>
                <w:sz w:val="18"/>
              </w:rPr>
              <w:t>$13,438</w:t>
            </w:r>
          </w:p>
        </w:tc>
        <w:tc>
          <w:tcPr>
            <w:tcW w:w="1536" w:type="dxa"/>
            <w:shd w:val="clear" w:color="auto" w:fill="CCE1EC"/>
          </w:tcPr>
          <w:p w14:paraId="49026EF5" w14:textId="77777777" w:rsidR="00141B97" w:rsidRDefault="00911D63">
            <w:pPr>
              <w:pStyle w:val="TableParagraph"/>
              <w:spacing w:before="25"/>
              <w:ind w:right="90"/>
              <w:jc w:val="right"/>
              <w:rPr>
                <w:sz w:val="18"/>
              </w:rPr>
            </w:pPr>
            <w:r>
              <w:rPr>
                <w:spacing w:val="-2"/>
                <w:sz w:val="18"/>
              </w:rPr>
              <w:t>0.75%</w:t>
            </w:r>
          </w:p>
        </w:tc>
      </w:tr>
      <w:tr w:rsidR="00141B97" w14:paraId="6CD7BF5F" w14:textId="77777777">
        <w:trPr>
          <w:trHeight w:val="266"/>
          <w:tblCellSpacing w:w="7" w:type="dxa"/>
        </w:trPr>
        <w:tc>
          <w:tcPr>
            <w:tcW w:w="2616" w:type="dxa"/>
            <w:tcBorders>
              <w:bottom w:val="nil"/>
            </w:tcBorders>
            <w:shd w:val="clear" w:color="auto" w:fill="BEBEBE"/>
          </w:tcPr>
          <w:p w14:paraId="08E6300C" w14:textId="77777777" w:rsidR="00141B97" w:rsidRDefault="00911D63">
            <w:pPr>
              <w:pStyle w:val="TableParagraph"/>
              <w:spacing w:before="25"/>
              <w:ind w:left="93"/>
              <w:rPr>
                <w:sz w:val="18"/>
              </w:rPr>
            </w:pPr>
            <w:r>
              <w:rPr>
                <w:sz w:val="18"/>
              </w:rPr>
              <w:t>Total</w:t>
            </w:r>
            <w:r>
              <w:rPr>
                <w:spacing w:val="-2"/>
                <w:sz w:val="18"/>
              </w:rPr>
              <w:t xml:space="preserve"> </w:t>
            </w:r>
            <w:r>
              <w:rPr>
                <w:sz w:val="18"/>
              </w:rPr>
              <w:t>Costs</w:t>
            </w:r>
            <w:r>
              <w:rPr>
                <w:spacing w:val="-2"/>
                <w:sz w:val="18"/>
              </w:rPr>
              <w:t xml:space="preserve"> </w:t>
            </w:r>
            <w:r>
              <w:rPr>
                <w:sz w:val="18"/>
              </w:rPr>
              <w:t xml:space="preserve">per </w:t>
            </w:r>
            <w:r>
              <w:rPr>
                <w:spacing w:val="-5"/>
                <w:sz w:val="18"/>
              </w:rPr>
              <w:t>ML</w:t>
            </w:r>
          </w:p>
        </w:tc>
        <w:tc>
          <w:tcPr>
            <w:tcW w:w="989" w:type="dxa"/>
            <w:tcBorders>
              <w:bottom w:val="nil"/>
            </w:tcBorders>
            <w:shd w:val="clear" w:color="auto" w:fill="BEBEBE"/>
          </w:tcPr>
          <w:p w14:paraId="01CDFAA1" w14:textId="77777777" w:rsidR="00141B97" w:rsidRDefault="00911D63">
            <w:pPr>
              <w:pStyle w:val="TableParagraph"/>
              <w:spacing w:before="25"/>
              <w:ind w:right="98"/>
              <w:jc w:val="right"/>
              <w:rPr>
                <w:sz w:val="18"/>
              </w:rPr>
            </w:pPr>
            <w:r>
              <w:rPr>
                <w:spacing w:val="-4"/>
                <w:sz w:val="18"/>
              </w:rPr>
              <w:t>$878</w:t>
            </w:r>
          </w:p>
        </w:tc>
        <w:tc>
          <w:tcPr>
            <w:tcW w:w="989" w:type="dxa"/>
            <w:tcBorders>
              <w:bottom w:val="nil"/>
            </w:tcBorders>
            <w:shd w:val="clear" w:color="auto" w:fill="BEBEBE"/>
          </w:tcPr>
          <w:p w14:paraId="5614A3CA" w14:textId="77777777" w:rsidR="00141B97" w:rsidRDefault="00911D63">
            <w:pPr>
              <w:pStyle w:val="TableParagraph"/>
              <w:spacing w:before="25"/>
              <w:ind w:right="98"/>
              <w:jc w:val="right"/>
              <w:rPr>
                <w:sz w:val="18"/>
              </w:rPr>
            </w:pPr>
            <w:r>
              <w:rPr>
                <w:spacing w:val="-4"/>
                <w:sz w:val="18"/>
              </w:rPr>
              <w:t>$853</w:t>
            </w:r>
          </w:p>
        </w:tc>
        <w:tc>
          <w:tcPr>
            <w:tcW w:w="989" w:type="dxa"/>
            <w:tcBorders>
              <w:bottom w:val="nil"/>
            </w:tcBorders>
            <w:shd w:val="clear" w:color="auto" w:fill="BEBEBE"/>
          </w:tcPr>
          <w:p w14:paraId="70DC6A27" w14:textId="77777777" w:rsidR="00141B97" w:rsidRDefault="00911D63">
            <w:pPr>
              <w:pStyle w:val="TableParagraph"/>
              <w:spacing w:before="25"/>
              <w:ind w:right="98"/>
              <w:jc w:val="right"/>
              <w:rPr>
                <w:sz w:val="18"/>
              </w:rPr>
            </w:pPr>
            <w:r>
              <w:rPr>
                <w:spacing w:val="-4"/>
                <w:sz w:val="18"/>
              </w:rPr>
              <w:t>$825</w:t>
            </w:r>
          </w:p>
        </w:tc>
        <w:tc>
          <w:tcPr>
            <w:tcW w:w="987" w:type="dxa"/>
            <w:tcBorders>
              <w:bottom w:val="nil"/>
            </w:tcBorders>
            <w:shd w:val="clear" w:color="auto" w:fill="BEBEBE"/>
          </w:tcPr>
          <w:p w14:paraId="52E14EFB" w14:textId="77777777" w:rsidR="00141B97" w:rsidRDefault="00911D63">
            <w:pPr>
              <w:pStyle w:val="TableParagraph"/>
              <w:spacing w:before="25"/>
              <w:ind w:right="97"/>
              <w:jc w:val="right"/>
              <w:rPr>
                <w:sz w:val="18"/>
              </w:rPr>
            </w:pPr>
            <w:r>
              <w:rPr>
                <w:spacing w:val="-4"/>
                <w:sz w:val="18"/>
              </w:rPr>
              <w:t>$799</w:t>
            </w:r>
          </w:p>
        </w:tc>
        <w:tc>
          <w:tcPr>
            <w:tcW w:w="989" w:type="dxa"/>
            <w:tcBorders>
              <w:bottom w:val="nil"/>
            </w:tcBorders>
            <w:shd w:val="clear" w:color="auto" w:fill="BEBEBE"/>
          </w:tcPr>
          <w:p w14:paraId="289FD3EB" w14:textId="77777777" w:rsidR="00141B97" w:rsidRDefault="00911D63">
            <w:pPr>
              <w:pStyle w:val="TableParagraph"/>
              <w:spacing w:before="25"/>
              <w:ind w:right="99"/>
              <w:jc w:val="right"/>
              <w:rPr>
                <w:sz w:val="18"/>
              </w:rPr>
            </w:pPr>
            <w:r>
              <w:rPr>
                <w:spacing w:val="-4"/>
                <w:sz w:val="18"/>
              </w:rPr>
              <w:t>$776</w:t>
            </w:r>
          </w:p>
        </w:tc>
        <w:tc>
          <w:tcPr>
            <w:tcW w:w="989" w:type="dxa"/>
            <w:tcBorders>
              <w:bottom w:val="nil"/>
            </w:tcBorders>
            <w:shd w:val="clear" w:color="auto" w:fill="BEBEBE"/>
          </w:tcPr>
          <w:p w14:paraId="1691A4F5" w14:textId="77777777" w:rsidR="00141B97" w:rsidRDefault="00911D63">
            <w:pPr>
              <w:pStyle w:val="TableParagraph"/>
              <w:spacing w:before="25"/>
              <w:ind w:right="99"/>
              <w:jc w:val="right"/>
              <w:rPr>
                <w:sz w:val="18"/>
              </w:rPr>
            </w:pPr>
            <w:r>
              <w:rPr>
                <w:spacing w:val="-4"/>
                <w:sz w:val="18"/>
              </w:rPr>
              <w:t>$753</w:t>
            </w:r>
          </w:p>
        </w:tc>
        <w:tc>
          <w:tcPr>
            <w:tcW w:w="1536" w:type="dxa"/>
            <w:tcBorders>
              <w:bottom w:val="nil"/>
            </w:tcBorders>
            <w:shd w:val="clear" w:color="auto" w:fill="BEBEBE"/>
          </w:tcPr>
          <w:p w14:paraId="6C720286" w14:textId="77777777" w:rsidR="00141B97" w:rsidRDefault="00141B97">
            <w:pPr>
              <w:pStyle w:val="TableParagraph"/>
              <w:rPr>
                <w:rFonts w:ascii="Times New Roman"/>
                <w:sz w:val="18"/>
              </w:rPr>
            </w:pPr>
          </w:p>
        </w:tc>
      </w:tr>
      <w:tr w:rsidR="00141B97" w14:paraId="1A7BCE91" w14:textId="77777777">
        <w:trPr>
          <w:trHeight w:val="266"/>
          <w:tblCellSpacing w:w="7" w:type="dxa"/>
        </w:trPr>
        <w:tc>
          <w:tcPr>
            <w:tcW w:w="2616" w:type="dxa"/>
            <w:tcBorders>
              <w:top w:val="nil"/>
            </w:tcBorders>
            <w:shd w:val="clear" w:color="auto" w:fill="BEBEBE"/>
          </w:tcPr>
          <w:p w14:paraId="2BD5808C" w14:textId="77777777" w:rsidR="00141B97" w:rsidRDefault="00911D63">
            <w:pPr>
              <w:pStyle w:val="TableParagraph"/>
              <w:spacing w:before="24"/>
              <w:ind w:left="93"/>
              <w:rPr>
                <w:sz w:val="18"/>
              </w:rPr>
            </w:pPr>
            <w:r>
              <w:rPr>
                <w:sz w:val="18"/>
              </w:rPr>
              <w:t>ML</w:t>
            </w:r>
            <w:r>
              <w:rPr>
                <w:spacing w:val="-3"/>
                <w:sz w:val="18"/>
              </w:rPr>
              <w:t xml:space="preserve"> </w:t>
            </w:r>
            <w:r>
              <w:rPr>
                <w:sz w:val="18"/>
              </w:rPr>
              <w:t>%</w:t>
            </w:r>
            <w:r>
              <w:rPr>
                <w:spacing w:val="1"/>
                <w:sz w:val="18"/>
              </w:rPr>
              <w:t xml:space="preserve"> </w:t>
            </w:r>
            <w:r>
              <w:rPr>
                <w:spacing w:val="-2"/>
                <w:sz w:val="18"/>
              </w:rPr>
              <w:t>Movement</w:t>
            </w:r>
          </w:p>
        </w:tc>
        <w:tc>
          <w:tcPr>
            <w:tcW w:w="989" w:type="dxa"/>
            <w:tcBorders>
              <w:top w:val="nil"/>
            </w:tcBorders>
            <w:shd w:val="clear" w:color="auto" w:fill="BEBEBE"/>
          </w:tcPr>
          <w:p w14:paraId="38B13707" w14:textId="77777777" w:rsidR="00141B97" w:rsidRDefault="00141B97">
            <w:pPr>
              <w:pStyle w:val="TableParagraph"/>
              <w:rPr>
                <w:rFonts w:ascii="Times New Roman"/>
                <w:sz w:val="18"/>
              </w:rPr>
            </w:pPr>
          </w:p>
        </w:tc>
        <w:tc>
          <w:tcPr>
            <w:tcW w:w="989" w:type="dxa"/>
            <w:tcBorders>
              <w:top w:val="nil"/>
            </w:tcBorders>
            <w:shd w:val="clear" w:color="auto" w:fill="BEBEBE"/>
          </w:tcPr>
          <w:p w14:paraId="0198DBEB" w14:textId="77777777" w:rsidR="00141B97" w:rsidRDefault="00911D63">
            <w:pPr>
              <w:pStyle w:val="TableParagraph"/>
              <w:spacing w:before="24"/>
              <w:ind w:right="98"/>
              <w:jc w:val="right"/>
              <w:rPr>
                <w:sz w:val="18"/>
              </w:rPr>
            </w:pPr>
            <w:r>
              <w:rPr>
                <w:sz w:val="18"/>
              </w:rPr>
              <w:t>-</w:t>
            </w:r>
            <w:r>
              <w:rPr>
                <w:spacing w:val="-2"/>
                <w:sz w:val="18"/>
              </w:rPr>
              <w:t>2.76%</w:t>
            </w:r>
          </w:p>
        </w:tc>
        <w:tc>
          <w:tcPr>
            <w:tcW w:w="989" w:type="dxa"/>
            <w:tcBorders>
              <w:top w:val="nil"/>
            </w:tcBorders>
            <w:shd w:val="clear" w:color="auto" w:fill="BEBEBE"/>
          </w:tcPr>
          <w:p w14:paraId="603967B6" w14:textId="77777777" w:rsidR="00141B97" w:rsidRDefault="00911D63">
            <w:pPr>
              <w:pStyle w:val="TableParagraph"/>
              <w:spacing w:before="24"/>
              <w:ind w:right="98"/>
              <w:jc w:val="right"/>
              <w:rPr>
                <w:sz w:val="18"/>
              </w:rPr>
            </w:pPr>
            <w:r>
              <w:rPr>
                <w:sz w:val="18"/>
              </w:rPr>
              <w:t>-</w:t>
            </w:r>
            <w:r>
              <w:rPr>
                <w:spacing w:val="-2"/>
                <w:sz w:val="18"/>
              </w:rPr>
              <w:t>3.31%</w:t>
            </w:r>
          </w:p>
        </w:tc>
        <w:tc>
          <w:tcPr>
            <w:tcW w:w="987" w:type="dxa"/>
            <w:tcBorders>
              <w:top w:val="nil"/>
            </w:tcBorders>
            <w:shd w:val="clear" w:color="auto" w:fill="BEBEBE"/>
          </w:tcPr>
          <w:p w14:paraId="154CAACE" w14:textId="77777777" w:rsidR="00141B97" w:rsidRDefault="00911D63">
            <w:pPr>
              <w:pStyle w:val="TableParagraph"/>
              <w:spacing w:before="24"/>
              <w:ind w:right="97"/>
              <w:jc w:val="right"/>
              <w:rPr>
                <w:sz w:val="18"/>
              </w:rPr>
            </w:pPr>
            <w:r>
              <w:rPr>
                <w:sz w:val="18"/>
              </w:rPr>
              <w:t>-</w:t>
            </w:r>
            <w:r>
              <w:rPr>
                <w:spacing w:val="-2"/>
                <w:sz w:val="18"/>
              </w:rPr>
              <w:t>3.11%</w:t>
            </w:r>
          </w:p>
        </w:tc>
        <w:tc>
          <w:tcPr>
            <w:tcW w:w="989" w:type="dxa"/>
            <w:tcBorders>
              <w:top w:val="nil"/>
            </w:tcBorders>
            <w:shd w:val="clear" w:color="auto" w:fill="BEBEBE"/>
          </w:tcPr>
          <w:p w14:paraId="39415F2D" w14:textId="77777777" w:rsidR="00141B97" w:rsidRDefault="00911D63">
            <w:pPr>
              <w:pStyle w:val="TableParagraph"/>
              <w:spacing w:before="24"/>
              <w:ind w:right="99"/>
              <w:jc w:val="right"/>
              <w:rPr>
                <w:sz w:val="18"/>
              </w:rPr>
            </w:pPr>
            <w:r>
              <w:rPr>
                <w:sz w:val="18"/>
              </w:rPr>
              <w:t>-</w:t>
            </w:r>
            <w:r>
              <w:rPr>
                <w:spacing w:val="-2"/>
                <w:sz w:val="18"/>
              </w:rPr>
              <w:t>2.92%</w:t>
            </w:r>
          </w:p>
        </w:tc>
        <w:tc>
          <w:tcPr>
            <w:tcW w:w="989" w:type="dxa"/>
            <w:tcBorders>
              <w:top w:val="nil"/>
            </w:tcBorders>
            <w:shd w:val="clear" w:color="auto" w:fill="BEBEBE"/>
          </w:tcPr>
          <w:p w14:paraId="1BED1FFC" w14:textId="77777777" w:rsidR="00141B97" w:rsidRDefault="00911D63">
            <w:pPr>
              <w:pStyle w:val="TableParagraph"/>
              <w:spacing w:before="24"/>
              <w:ind w:right="99"/>
              <w:jc w:val="right"/>
              <w:rPr>
                <w:sz w:val="18"/>
              </w:rPr>
            </w:pPr>
            <w:r>
              <w:rPr>
                <w:sz w:val="18"/>
              </w:rPr>
              <w:t>-</w:t>
            </w:r>
            <w:r>
              <w:rPr>
                <w:spacing w:val="-2"/>
                <w:sz w:val="18"/>
              </w:rPr>
              <w:t>2.97%</w:t>
            </w:r>
          </w:p>
        </w:tc>
        <w:tc>
          <w:tcPr>
            <w:tcW w:w="1536" w:type="dxa"/>
            <w:tcBorders>
              <w:top w:val="nil"/>
            </w:tcBorders>
            <w:shd w:val="clear" w:color="auto" w:fill="BEBEBE"/>
          </w:tcPr>
          <w:p w14:paraId="72F0C9D4" w14:textId="77777777" w:rsidR="00141B97" w:rsidRDefault="00911D63">
            <w:pPr>
              <w:pStyle w:val="TableParagraph"/>
              <w:spacing w:before="24"/>
              <w:ind w:right="90"/>
              <w:jc w:val="right"/>
              <w:rPr>
                <w:sz w:val="18"/>
              </w:rPr>
            </w:pPr>
            <w:r>
              <w:rPr>
                <w:sz w:val="18"/>
              </w:rPr>
              <w:t>-</w:t>
            </w:r>
            <w:r>
              <w:rPr>
                <w:spacing w:val="-2"/>
                <w:sz w:val="18"/>
              </w:rPr>
              <w:t>3.02%</w:t>
            </w:r>
          </w:p>
        </w:tc>
      </w:tr>
      <w:tr w:rsidR="00141B97" w14:paraId="6F98CE4C" w14:textId="77777777">
        <w:trPr>
          <w:trHeight w:val="270"/>
          <w:tblCellSpacing w:w="7" w:type="dxa"/>
        </w:trPr>
        <w:tc>
          <w:tcPr>
            <w:tcW w:w="2616" w:type="dxa"/>
            <w:shd w:val="clear" w:color="auto" w:fill="CCE1EC"/>
          </w:tcPr>
          <w:p w14:paraId="1AB05098" w14:textId="77777777" w:rsidR="00141B97" w:rsidRDefault="00911D63">
            <w:pPr>
              <w:pStyle w:val="TableParagraph"/>
              <w:spacing w:before="25"/>
              <w:ind w:left="93"/>
              <w:rPr>
                <w:sz w:val="18"/>
              </w:rPr>
            </w:pPr>
            <w:r>
              <w:rPr>
                <w:sz w:val="18"/>
              </w:rPr>
              <w:t>Millewa</w:t>
            </w:r>
            <w:r>
              <w:rPr>
                <w:spacing w:val="-2"/>
                <w:sz w:val="18"/>
              </w:rPr>
              <w:t xml:space="preserve"> </w:t>
            </w:r>
            <w:r>
              <w:rPr>
                <w:sz w:val="18"/>
              </w:rPr>
              <w:t>Rural</w:t>
            </w:r>
            <w:r>
              <w:rPr>
                <w:spacing w:val="1"/>
                <w:sz w:val="18"/>
              </w:rPr>
              <w:t xml:space="preserve"> </w:t>
            </w:r>
            <w:r>
              <w:rPr>
                <w:spacing w:val="-2"/>
                <w:sz w:val="18"/>
              </w:rPr>
              <w:t>(4,300kL)</w:t>
            </w:r>
          </w:p>
        </w:tc>
        <w:tc>
          <w:tcPr>
            <w:tcW w:w="989" w:type="dxa"/>
            <w:shd w:val="clear" w:color="auto" w:fill="CCE1EC"/>
          </w:tcPr>
          <w:p w14:paraId="7910885E" w14:textId="77777777" w:rsidR="00141B97" w:rsidRDefault="00911D63">
            <w:pPr>
              <w:pStyle w:val="TableParagraph"/>
              <w:spacing w:before="25"/>
              <w:ind w:right="98"/>
              <w:jc w:val="right"/>
              <w:rPr>
                <w:sz w:val="18"/>
              </w:rPr>
            </w:pPr>
            <w:r>
              <w:rPr>
                <w:spacing w:val="-2"/>
                <w:sz w:val="18"/>
              </w:rPr>
              <w:t>$8,238</w:t>
            </w:r>
          </w:p>
        </w:tc>
        <w:tc>
          <w:tcPr>
            <w:tcW w:w="989" w:type="dxa"/>
            <w:shd w:val="clear" w:color="auto" w:fill="CCE1EC"/>
          </w:tcPr>
          <w:p w14:paraId="0A4C8459" w14:textId="77777777" w:rsidR="00141B97" w:rsidRDefault="00911D63">
            <w:pPr>
              <w:pStyle w:val="TableParagraph"/>
              <w:spacing w:before="25"/>
              <w:ind w:right="98"/>
              <w:jc w:val="right"/>
              <w:rPr>
                <w:sz w:val="18"/>
              </w:rPr>
            </w:pPr>
            <w:r>
              <w:rPr>
                <w:spacing w:val="-2"/>
                <w:sz w:val="18"/>
              </w:rPr>
              <w:t>$8,179</w:t>
            </w:r>
          </w:p>
        </w:tc>
        <w:tc>
          <w:tcPr>
            <w:tcW w:w="989" w:type="dxa"/>
            <w:shd w:val="clear" w:color="auto" w:fill="CCE1EC"/>
          </w:tcPr>
          <w:p w14:paraId="347E0A19" w14:textId="77777777" w:rsidR="00141B97" w:rsidRDefault="00911D63">
            <w:pPr>
              <w:pStyle w:val="TableParagraph"/>
              <w:spacing w:before="25"/>
              <w:ind w:right="98"/>
              <w:jc w:val="right"/>
              <w:rPr>
                <w:sz w:val="18"/>
              </w:rPr>
            </w:pPr>
            <w:r>
              <w:rPr>
                <w:spacing w:val="-2"/>
                <w:sz w:val="18"/>
              </w:rPr>
              <w:t>$8,124</w:t>
            </w:r>
          </w:p>
        </w:tc>
        <w:tc>
          <w:tcPr>
            <w:tcW w:w="987" w:type="dxa"/>
            <w:shd w:val="clear" w:color="auto" w:fill="CCE1EC"/>
          </w:tcPr>
          <w:p w14:paraId="62562AA9" w14:textId="77777777" w:rsidR="00141B97" w:rsidRDefault="00911D63">
            <w:pPr>
              <w:pStyle w:val="TableParagraph"/>
              <w:spacing w:before="25"/>
              <w:ind w:right="96"/>
              <w:jc w:val="right"/>
              <w:rPr>
                <w:sz w:val="18"/>
              </w:rPr>
            </w:pPr>
            <w:r>
              <w:rPr>
                <w:spacing w:val="-2"/>
                <w:sz w:val="18"/>
              </w:rPr>
              <w:t>$8,074</w:t>
            </w:r>
          </w:p>
        </w:tc>
        <w:tc>
          <w:tcPr>
            <w:tcW w:w="989" w:type="dxa"/>
            <w:shd w:val="clear" w:color="auto" w:fill="CCE1EC"/>
          </w:tcPr>
          <w:p w14:paraId="1EAF7D79" w14:textId="77777777" w:rsidR="00141B97" w:rsidRDefault="00911D63">
            <w:pPr>
              <w:pStyle w:val="TableParagraph"/>
              <w:spacing w:before="25"/>
              <w:ind w:right="99"/>
              <w:jc w:val="right"/>
              <w:rPr>
                <w:sz w:val="18"/>
              </w:rPr>
            </w:pPr>
            <w:r>
              <w:rPr>
                <w:spacing w:val="-2"/>
                <w:sz w:val="18"/>
              </w:rPr>
              <w:t>$8,030</w:t>
            </w:r>
          </w:p>
        </w:tc>
        <w:tc>
          <w:tcPr>
            <w:tcW w:w="989" w:type="dxa"/>
            <w:shd w:val="clear" w:color="auto" w:fill="CCE1EC"/>
          </w:tcPr>
          <w:p w14:paraId="4D6D49E5" w14:textId="77777777" w:rsidR="00141B97" w:rsidRDefault="00911D63">
            <w:pPr>
              <w:pStyle w:val="TableParagraph"/>
              <w:spacing w:before="25"/>
              <w:ind w:right="99"/>
              <w:jc w:val="right"/>
              <w:rPr>
                <w:sz w:val="18"/>
              </w:rPr>
            </w:pPr>
            <w:r>
              <w:rPr>
                <w:spacing w:val="-2"/>
                <w:sz w:val="18"/>
              </w:rPr>
              <w:t>$7,991</w:t>
            </w:r>
          </w:p>
        </w:tc>
        <w:tc>
          <w:tcPr>
            <w:tcW w:w="1536" w:type="dxa"/>
            <w:shd w:val="clear" w:color="auto" w:fill="CCE1EC"/>
          </w:tcPr>
          <w:p w14:paraId="74B8C635" w14:textId="77777777" w:rsidR="00141B97" w:rsidRDefault="00911D63">
            <w:pPr>
              <w:pStyle w:val="TableParagraph"/>
              <w:spacing w:before="25"/>
              <w:ind w:right="90"/>
              <w:jc w:val="right"/>
              <w:rPr>
                <w:sz w:val="18"/>
              </w:rPr>
            </w:pPr>
            <w:r>
              <w:rPr>
                <w:sz w:val="18"/>
              </w:rPr>
              <w:t>-</w:t>
            </w:r>
            <w:r>
              <w:rPr>
                <w:spacing w:val="-2"/>
                <w:sz w:val="18"/>
              </w:rPr>
              <w:t>0.61%</w:t>
            </w:r>
          </w:p>
        </w:tc>
      </w:tr>
      <w:tr w:rsidR="00141B97" w14:paraId="17637875" w14:textId="77777777">
        <w:trPr>
          <w:trHeight w:val="270"/>
          <w:tblCellSpacing w:w="7" w:type="dxa"/>
        </w:trPr>
        <w:tc>
          <w:tcPr>
            <w:tcW w:w="2616" w:type="dxa"/>
            <w:shd w:val="clear" w:color="auto" w:fill="CCE1EC"/>
          </w:tcPr>
          <w:p w14:paraId="542F1AF1" w14:textId="77777777" w:rsidR="00141B97" w:rsidRDefault="00911D63">
            <w:pPr>
              <w:pStyle w:val="TableParagraph"/>
              <w:spacing w:before="25"/>
              <w:ind w:left="93"/>
              <w:rPr>
                <w:sz w:val="18"/>
              </w:rPr>
            </w:pPr>
            <w:r>
              <w:rPr>
                <w:sz w:val="18"/>
              </w:rPr>
              <w:t>Millewa</w:t>
            </w:r>
            <w:r>
              <w:rPr>
                <w:spacing w:val="-2"/>
                <w:sz w:val="18"/>
              </w:rPr>
              <w:t xml:space="preserve"> </w:t>
            </w:r>
            <w:r>
              <w:rPr>
                <w:sz w:val="18"/>
              </w:rPr>
              <w:t>–</w:t>
            </w:r>
            <w:r>
              <w:rPr>
                <w:spacing w:val="-1"/>
                <w:sz w:val="18"/>
              </w:rPr>
              <w:t xml:space="preserve"> </w:t>
            </w:r>
            <w:r>
              <w:rPr>
                <w:sz w:val="18"/>
              </w:rPr>
              <w:t xml:space="preserve">Urban </w:t>
            </w:r>
            <w:r>
              <w:rPr>
                <w:spacing w:val="-2"/>
                <w:sz w:val="18"/>
              </w:rPr>
              <w:t>(400kL)</w:t>
            </w:r>
          </w:p>
        </w:tc>
        <w:tc>
          <w:tcPr>
            <w:tcW w:w="989" w:type="dxa"/>
            <w:shd w:val="clear" w:color="auto" w:fill="CCE1EC"/>
          </w:tcPr>
          <w:p w14:paraId="2E296798" w14:textId="77777777" w:rsidR="00141B97" w:rsidRDefault="00911D63">
            <w:pPr>
              <w:pStyle w:val="TableParagraph"/>
              <w:spacing w:before="25"/>
              <w:ind w:right="98"/>
              <w:jc w:val="right"/>
              <w:rPr>
                <w:sz w:val="18"/>
              </w:rPr>
            </w:pPr>
            <w:r>
              <w:rPr>
                <w:spacing w:val="-4"/>
                <w:sz w:val="18"/>
              </w:rPr>
              <w:t>$935</w:t>
            </w:r>
          </w:p>
        </w:tc>
        <w:tc>
          <w:tcPr>
            <w:tcW w:w="989" w:type="dxa"/>
            <w:shd w:val="clear" w:color="auto" w:fill="CCE1EC"/>
          </w:tcPr>
          <w:p w14:paraId="0577F61C" w14:textId="77777777" w:rsidR="00141B97" w:rsidRDefault="00911D63">
            <w:pPr>
              <w:pStyle w:val="TableParagraph"/>
              <w:spacing w:before="25"/>
              <w:ind w:right="98"/>
              <w:jc w:val="right"/>
              <w:rPr>
                <w:sz w:val="18"/>
              </w:rPr>
            </w:pPr>
            <w:r>
              <w:rPr>
                <w:spacing w:val="-4"/>
                <w:sz w:val="18"/>
              </w:rPr>
              <w:t>$924</w:t>
            </w:r>
          </w:p>
        </w:tc>
        <w:tc>
          <w:tcPr>
            <w:tcW w:w="989" w:type="dxa"/>
            <w:shd w:val="clear" w:color="auto" w:fill="CCE1EC"/>
          </w:tcPr>
          <w:p w14:paraId="66293303" w14:textId="77777777" w:rsidR="00141B97" w:rsidRDefault="00911D63">
            <w:pPr>
              <w:pStyle w:val="TableParagraph"/>
              <w:spacing w:before="25"/>
              <w:ind w:right="98"/>
              <w:jc w:val="right"/>
              <w:rPr>
                <w:sz w:val="18"/>
              </w:rPr>
            </w:pPr>
            <w:r>
              <w:rPr>
                <w:spacing w:val="-4"/>
                <w:sz w:val="18"/>
              </w:rPr>
              <w:t>$914</w:t>
            </w:r>
          </w:p>
        </w:tc>
        <w:tc>
          <w:tcPr>
            <w:tcW w:w="987" w:type="dxa"/>
            <w:shd w:val="clear" w:color="auto" w:fill="CCE1EC"/>
          </w:tcPr>
          <w:p w14:paraId="5596E5B0" w14:textId="77777777" w:rsidR="00141B97" w:rsidRDefault="00911D63">
            <w:pPr>
              <w:pStyle w:val="TableParagraph"/>
              <w:spacing w:before="25"/>
              <w:ind w:right="96"/>
              <w:jc w:val="right"/>
              <w:rPr>
                <w:sz w:val="18"/>
              </w:rPr>
            </w:pPr>
            <w:r>
              <w:rPr>
                <w:spacing w:val="-4"/>
                <w:sz w:val="18"/>
              </w:rPr>
              <w:t>$905</w:t>
            </w:r>
          </w:p>
        </w:tc>
        <w:tc>
          <w:tcPr>
            <w:tcW w:w="989" w:type="dxa"/>
            <w:shd w:val="clear" w:color="auto" w:fill="CCE1EC"/>
          </w:tcPr>
          <w:p w14:paraId="18F6647C" w14:textId="77777777" w:rsidR="00141B97" w:rsidRDefault="00911D63">
            <w:pPr>
              <w:pStyle w:val="TableParagraph"/>
              <w:spacing w:before="25"/>
              <w:ind w:right="99"/>
              <w:jc w:val="right"/>
              <w:rPr>
                <w:sz w:val="18"/>
              </w:rPr>
            </w:pPr>
            <w:r>
              <w:rPr>
                <w:spacing w:val="-4"/>
                <w:sz w:val="18"/>
              </w:rPr>
              <w:t>$896</w:t>
            </w:r>
          </w:p>
        </w:tc>
        <w:tc>
          <w:tcPr>
            <w:tcW w:w="989" w:type="dxa"/>
            <w:shd w:val="clear" w:color="auto" w:fill="CCE1EC"/>
          </w:tcPr>
          <w:p w14:paraId="3F79B0D4" w14:textId="77777777" w:rsidR="00141B97" w:rsidRDefault="00911D63">
            <w:pPr>
              <w:pStyle w:val="TableParagraph"/>
              <w:spacing w:before="25"/>
              <w:ind w:right="99"/>
              <w:jc w:val="right"/>
              <w:rPr>
                <w:sz w:val="18"/>
              </w:rPr>
            </w:pPr>
            <w:r>
              <w:rPr>
                <w:spacing w:val="-4"/>
                <w:sz w:val="18"/>
              </w:rPr>
              <w:t>$888</w:t>
            </w:r>
          </w:p>
        </w:tc>
        <w:tc>
          <w:tcPr>
            <w:tcW w:w="1536" w:type="dxa"/>
            <w:shd w:val="clear" w:color="auto" w:fill="CCE1EC"/>
          </w:tcPr>
          <w:p w14:paraId="3A818F4E" w14:textId="77777777" w:rsidR="00141B97" w:rsidRDefault="00911D63">
            <w:pPr>
              <w:pStyle w:val="TableParagraph"/>
              <w:spacing w:before="25"/>
              <w:ind w:right="90"/>
              <w:jc w:val="right"/>
              <w:rPr>
                <w:sz w:val="18"/>
              </w:rPr>
            </w:pPr>
            <w:r>
              <w:rPr>
                <w:sz w:val="18"/>
              </w:rPr>
              <w:t>-</w:t>
            </w:r>
            <w:r>
              <w:rPr>
                <w:spacing w:val="-2"/>
                <w:sz w:val="18"/>
              </w:rPr>
              <w:t>1.01%</w:t>
            </w:r>
          </w:p>
        </w:tc>
      </w:tr>
      <w:tr w:rsidR="00141B97" w14:paraId="209CD9B3" w14:textId="77777777">
        <w:trPr>
          <w:trHeight w:val="268"/>
          <w:tblCellSpacing w:w="7" w:type="dxa"/>
        </w:trPr>
        <w:tc>
          <w:tcPr>
            <w:tcW w:w="2616" w:type="dxa"/>
            <w:shd w:val="clear" w:color="auto" w:fill="CCE1EC"/>
          </w:tcPr>
          <w:p w14:paraId="5E10E12A" w14:textId="77777777" w:rsidR="00141B97" w:rsidRDefault="00911D63">
            <w:pPr>
              <w:pStyle w:val="TableParagraph"/>
              <w:spacing w:before="25"/>
              <w:ind w:left="93"/>
              <w:rPr>
                <w:sz w:val="18"/>
              </w:rPr>
            </w:pPr>
            <w:r>
              <w:rPr>
                <w:sz w:val="18"/>
              </w:rPr>
              <w:t>Yelta/Wargan</w:t>
            </w:r>
            <w:r>
              <w:rPr>
                <w:spacing w:val="-5"/>
                <w:sz w:val="18"/>
              </w:rPr>
              <w:t xml:space="preserve"> </w:t>
            </w:r>
            <w:r>
              <w:rPr>
                <w:sz w:val="18"/>
              </w:rPr>
              <w:t>WWD</w:t>
            </w:r>
            <w:r>
              <w:rPr>
                <w:spacing w:val="-3"/>
                <w:sz w:val="18"/>
              </w:rPr>
              <w:t xml:space="preserve"> </w:t>
            </w:r>
            <w:r>
              <w:rPr>
                <w:spacing w:val="-4"/>
                <w:sz w:val="18"/>
              </w:rPr>
              <w:t>(3ML)</w:t>
            </w:r>
          </w:p>
        </w:tc>
        <w:tc>
          <w:tcPr>
            <w:tcW w:w="989" w:type="dxa"/>
            <w:shd w:val="clear" w:color="auto" w:fill="CCE1EC"/>
          </w:tcPr>
          <w:p w14:paraId="489AFF18" w14:textId="77777777" w:rsidR="00141B97" w:rsidRDefault="00911D63">
            <w:pPr>
              <w:pStyle w:val="TableParagraph"/>
              <w:spacing w:before="25"/>
              <w:ind w:right="98"/>
              <w:jc w:val="right"/>
              <w:rPr>
                <w:sz w:val="18"/>
              </w:rPr>
            </w:pPr>
            <w:r>
              <w:rPr>
                <w:spacing w:val="-2"/>
                <w:sz w:val="18"/>
              </w:rPr>
              <w:t>$1,764</w:t>
            </w:r>
          </w:p>
        </w:tc>
        <w:tc>
          <w:tcPr>
            <w:tcW w:w="989" w:type="dxa"/>
            <w:shd w:val="clear" w:color="auto" w:fill="CCE1EC"/>
          </w:tcPr>
          <w:p w14:paraId="7D3918B4" w14:textId="77777777" w:rsidR="00141B97" w:rsidRDefault="00911D63">
            <w:pPr>
              <w:pStyle w:val="TableParagraph"/>
              <w:spacing w:before="25"/>
              <w:ind w:right="98"/>
              <w:jc w:val="right"/>
              <w:rPr>
                <w:sz w:val="18"/>
              </w:rPr>
            </w:pPr>
            <w:r>
              <w:rPr>
                <w:spacing w:val="-2"/>
                <w:sz w:val="18"/>
              </w:rPr>
              <w:t>$1,712</w:t>
            </w:r>
          </w:p>
        </w:tc>
        <w:tc>
          <w:tcPr>
            <w:tcW w:w="989" w:type="dxa"/>
            <w:shd w:val="clear" w:color="auto" w:fill="CCE1EC"/>
          </w:tcPr>
          <w:p w14:paraId="12759B31" w14:textId="77777777" w:rsidR="00141B97" w:rsidRDefault="00911D63">
            <w:pPr>
              <w:pStyle w:val="TableParagraph"/>
              <w:spacing w:before="25"/>
              <w:ind w:right="98"/>
              <w:jc w:val="right"/>
              <w:rPr>
                <w:sz w:val="18"/>
              </w:rPr>
            </w:pPr>
            <w:r>
              <w:rPr>
                <w:spacing w:val="-2"/>
                <w:sz w:val="18"/>
              </w:rPr>
              <w:t>$1,685</w:t>
            </w:r>
          </w:p>
        </w:tc>
        <w:tc>
          <w:tcPr>
            <w:tcW w:w="987" w:type="dxa"/>
            <w:shd w:val="clear" w:color="auto" w:fill="CCE1EC"/>
          </w:tcPr>
          <w:p w14:paraId="44CF6C8F" w14:textId="77777777" w:rsidR="00141B97" w:rsidRDefault="00911D63">
            <w:pPr>
              <w:pStyle w:val="TableParagraph"/>
              <w:spacing w:before="25"/>
              <w:ind w:right="96"/>
              <w:jc w:val="right"/>
              <w:rPr>
                <w:sz w:val="18"/>
              </w:rPr>
            </w:pPr>
            <w:r>
              <w:rPr>
                <w:spacing w:val="-2"/>
                <w:sz w:val="18"/>
              </w:rPr>
              <w:t>$1,658</w:t>
            </w:r>
          </w:p>
        </w:tc>
        <w:tc>
          <w:tcPr>
            <w:tcW w:w="989" w:type="dxa"/>
            <w:shd w:val="clear" w:color="auto" w:fill="CCE1EC"/>
          </w:tcPr>
          <w:p w14:paraId="648487E8" w14:textId="77777777" w:rsidR="00141B97" w:rsidRDefault="00911D63">
            <w:pPr>
              <w:pStyle w:val="TableParagraph"/>
              <w:spacing w:before="25"/>
              <w:ind w:right="99"/>
              <w:jc w:val="right"/>
              <w:rPr>
                <w:sz w:val="18"/>
              </w:rPr>
            </w:pPr>
            <w:r>
              <w:rPr>
                <w:spacing w:val="-2"/>
                <w:sz w:val="18"/>
              </w:rPr>
              <w:t>$1,631</w:t>
            </w:r>
          </w:p>
        </w:tc>
        <w:tc>
          <w:tcPr>
            <w:tcW w:w="989" w:type="dxa"/>
            <w:shd w:val="clear" w:color="auto" w:fill="CCE1EC"/>
          </w:tcPr>
          <w:p w14:paraId="4B5EC6F1" w14:textId="77777777" w:rsidR="00141B97" w:rsidRDefault="00911D63">
            <w:pPr>
              <w:pStyle w:val="TableParagraph"/>
              <w:spacing w:before="25"/>
              <w:ind w:right="99"/>
              <w:jc w:val="right"/>
              <w:rPr>
                <w:sz w:val="18"/>
              </w:rPr>
            </w:pPr>
            <w:r>
              <w:rPr>
                <w:spacing w:val="-2"/>
                <w:sz w:val="18"/>
              </w:rPr>
              <w:t>$1,605</w:t>
            </w:r>
          </w:p>
        </w:tc>
        <w:tc>
          <w:tcPr>
            <w:tcW w:w="1536" w:type="dxa"/>
            <w:shd w:val="clear" w:color="auto" w:fill="CCE1EC"/>
          </w:tcPr>
          <w:p w14:paraId="0E02E877" w14:textId="77777777" w:rsidR="00141B97" w:rsidRDefault="00911D63">
            <w:pPr>
              <w:pStyle w:val="TableParagraph"/>
              <w:spacing w:before="25"/>
              <w:ind w:right="90"/>
              <w:jc w:val="right"/>
              <w:rPr>
                <w:sz w:val="18"/>
              </w:rPr>
            </w:pPr>
            <w:r>
              <w:rPr>
                <w:sz w:val="18"/>
              </w:rPr>
              <w:t>-</w:t>
            </w:r>
            <w:r>
              <w:rPr>
                <w:spacing w:val="-2"/>
                <w:sz w:val="18"/>
              </w:rPr>
              <w:t>1.86%</w:t>
            </w:r>
          </w:p>
        </w:tc>
      </w:tr>
    </w:tbl>
    <w:p w14:paraId="3C5871E8" w14:textId="77777777" w:rsidR="00141B97" w:rsidRDefault="00911D63">
      <w:pPr>
        <w:spacing w:before="23"/>
        <w:ind w:left="112"/>
        <w:rPr>
          <w:sz w:val="16"/>
        </w:rPr>
      </w:pPr>
      <w:r>
        <w:rPr>
          <w:sz w:val="16"/>
        </w:rPr>
        <w:t>Table</w:t>
      </w:r>
      <w:r>
        <w:rPr>
          <w:spacing w:val="-4"/>
          <w:sz w:val="16"/>
        </w:rPr>
        <w:t xml:space="preserve"> </w:t>
      </w:r>
      <w:r>
        <w:rPr>
          <w:sz w:val="16"/>
        </w:rPr>
        <w:t>ES8:</w:t>
      </w:r>
      <w:r>
        <w:rPr>
          <w:spacing w:val="-3"/>
          <w:sz w:val="16"/>
        </w:rPr>
        <w:t xml:space="preserve"> </w:t>
      </w:r>
      <w:r>
        <w:rPr>
          <w:sz w:val="16"/>
        </w:rPr>
        <w:t>Proposed</w:t>
      </w:r>
      <w:r>
        <w:rPr>
          <w:spacing w:val="-3"/>
          <w:sz w:val="16"/>
        </w:rPr>
        <w:t xml:space="preserve"> </w:t>
      </w:r>
      <w:r>
        <w:rPr>
          <w:sz w:val="16"/>
        </w:rPr>
        <w:t>Rural</w:t>
      </w:r>
      <w:r>
        <w:rPr>
          <w:spacing w:val="-3"/>
          <w:sz w:val="16"/>
        </w:rPr>
        <w:t xml:space="preserve"> </w:t>
      </w:r>
      <w:r>
        <w:rPr>
          <w:spacing w:val="-2"/>
          <w:sz w:val="16"/>
        </w:rPr>
        <w:t>Prices</w:t>
      </w:r>
    </w:p>
    <w:p w14:paraId="2816AEDE" w14:textId="77777777" w:rsidR="00141B97" w:rsidRDefault="00141B97">
      <w:pPr>
        <w:pStyle w:val="BodyText"/>
        <w:spacing w:before="12"/>
        <w:rPr>
          <w:sz w:val="15"/>
        </w:rPr>
      </w:pPr>
    </w:p>
    <w:tbl>
      <w:tblPr>
        <w:tblW w:w="0" w:type="auto"/>
        <w:tblCellSpacing w:w="9" w:type="dxa"/>
        <w:tblInd w:w="149" w:type="dxa"/>
        <w:tblLayout w:type="fixed"/>
        <w:tblCellMar>
          <w:left w:w="0" w:type="dxa"/>
          <w:right w:w="0" w:type="dxa"/>
        </w:tblCellMar>
        <w:tblLook w:val="01E0" w:firstRow="1" w:lastRow="1" w:firstColumn="1" w:lastColumn="1" w:noHBand="0" w:noVBand="0"/>
      </w:tblPr>
      <w:tblGrid>
        <w:gridCol w:w="2741"/>
        <w:gridCol w:w="817"/>
        <w:gridCol w:w="1151"/>
        <w:gridCol w:w="880"/>
        <w:gridCol w:w="1132"/>
        <w:gridCol w:w="1022"/>
        <w:gridCol w:w="1022"/>
        <w:gridCol w:w="1475"/>
      </w:tblGrid>
      <w:tr w:rsidR="00141B97" w14:paraId="56EE11F3" w14:textId="77777777">
        <w:trPr>
          <w:trHeight w:val="453"/>
          <w:tblCellSpacing w:w="9" w:type="dxa"/>
        </w:trPr>
        <w:tc>
          <w:tcPr>
            <w:tcW w:w="2714" w:type="dxa"/>
            <w:tcBorders>
              <w:top w:val="nil"/>
              <w:left w:val="nil"/>
            </w:tcBorders>
            <w:shd w:val="clear" w:color="auto" w:fill="4F81BC"/>
          </w:tcPr>
          <w:p w14:paraId="093F4F79" w14:textId="77777777" w:rsidR="00141B97" w:rsidRDefault="00911D63">
            <w:pPr>
              <w:pStyle w:val="TableParagraph"/>
              <w:spacing w:before="124"/>
              <w:ind w:left="201"/>
              <w:rPr>
                <w:sz w:val="18"/>
              </w:rPr>
            </w:pPr>
            <w:r>
              <w:rPr>
                <w:color w:val="FFFFFF"/>
                <w:sz w:val="18"/>
              </w:rPr>
              <w:t>Rural</w:t>
            </w:r>
            <w:r>
              <w:rPr>
                <w:color w:val="FFFFFF"/>
                <w:spacing w:val="-2"/>
                <w:sz w:val="18"/>
              </w:rPr>
              <w:t xml:space="preserve"> </w:t>
            </w:r>
            <w:r>
              <w:rPr>
                <w:color w:val="FFFFFF"/>
                <w:sz w:val="18"/>
              </w:rPr>
              <w:t>Revenue</w:t>
            </w:r>
            <w:r>
              <w:rPr>
                <w:color w:val="FFFFFF"/>
                <w:spacing w:val="-2"/>
                <w:sz w:val="18"/>
              </w:rPr>
              <w:t xml:space="preserve"> </w:t>
            </w:r>
            <w:r>
              <w:rPr>
                <w:color w:val="FFFFFF"/>
                <w:sz w:val="18"/>
              </w:rPr>
              <w:t>requirement</w:t>
            </w:r>
            <w:r>
              <w:rPr>
                <w:color w:val="FFFFFF"/>
                <w:spacing w:val="-1"/>
                <w:sz w:val="18"/>
              </w:rPr>
              <w:t xml:space="preserve"> </w:t>
            </w:r>
            <w:r>
              <w:rPr>
                <w:color w:val="FFFFFF"/>
                <w:spacing w:val="-4"/>
                <w:sz w:val="18"/>
              </w:rPr>
              <w:t>($m)</w:t>
            </w:r>
          </w:p>
        </w:tc>
        <w:tc>
          <w:tcPr>
            <w:tcW w:w="799" w:type="dxa"/>
            <w:tcBorders>
              <w:top w:val="nil"/>
            </w:tcBorders>
            <w:shd w:val="clear" w:color="auto" w:fill="FFC000"/>
          </w:tcPr>
          <w:p w14:paraId="5CD879BF" w14:textId="77777777" w:rsidR="00141B97" w:rsidRDefault="00911D63">
            <w:pPr>
              <w:pStyle w:val="TableParagraph"/>
              <w:spacing w:line="220" w:lineRule="atLeast"/>
              <w:ind w:left="91" w:right="83" w:firstLine="168"/>
              <w:rPr>
                <w:sz w:val="18"/>
              </w:rPr>
            </w:pPr>
            <w:r>
              <w:rPr>
                <w:color w:val="FFFFFF"/>
                <w:spacing w:val="-4"/>
                <w:sz w:val="18"/>
              </w:rPr>
              <w:t>PS4</w:t>
            </w:r>
            <w:r>
              <w:rPr>
                <w:color w:val="FFFFFF"/>
                <w:sz w:val="18"/>
              </w:rPr>
              <w:t xml:space="preserve"> </w:t>
            </w:r>
            <w:r>
              <w:rPr>
                <w:color w:val="FFFFFF"/>
                <w:spacing w:val="-2"/>
                <w:sz w:val="18"/>
              </w:rPr>
              <w:t>2022-23</w:t>
            </w:r>
          </w:p>
        </w:tc>
        <w:tc>
          <w:tcPr>
            <w:tcW w:w="1133" w:type="dxa"/>
            <w:tcBorders>
              <w:top w:val="nil"/>
            </w:tcBorders>
            <w:shd w:val="clear" w:color="auto" w:fill="4F81BC"/>
          </w:tcPr>
          <w:p w14:paraId="77C37557" w14:textId="77777777" w:rsidR="00141B97" w:rsidRDefault="00911D63">
            <w:pPr>
              <w:pStyle w:val="TableParagraph"/>
              <w:spacing w:before="124"/>
              <w:ind w:left="237"/>
              <w:rPr>
                <w:sz w:val="18"/>
              </w:rPr>
            </w:pPr>
            <w:r>
              <w:rPr>
                <w:color w:val="FFFFFF"/>
                <w:spacing w:val="-2"/>
                <w:sz w:val="18"/>
              </w:rPr>
              <w:t>2023-</w:t>
            </w:r>
            <w:r>
              <w:rPr>
                <w:color w:val="FFFFFF"/>
                <w:spacing w:val="-5"/>
                <w:sz w:val="18"/>
              </w:rPr>
              <w:t>24</w:t>
            </w:r>
          </w:p>
        </w:tc>
        <w:tc>
          <w:tcPr>
            <w:tcW w:w="862" w:type="dxa"/>
            <w:tcBorders>
              <w:top w:val="nil"/>
            </w:tcBorders>
            <w:shd w:val="clear" w:color="auto" w:fill="4F81BC"/>
          </w:tcPr>
          <w:p w14:paraId="20798C75" w14:textId="77777777" w:rsidR="00141B97" w:rsidRDefault="00911D63">
            <w:pPr>
              <w:pStyle w:val="TableParagraph"/>
              <w:spacing w:before="124"/>
              <w:ind w:right="136"/>
              <w:jc w:val="right"/>
              <w:rPr>
                <w:sz w:val="18"/>
              </w:rPr>
            </w:pPr>
            <w:r>
              <w:rPr>
                <w:color w:val="FFFFFF"/>
                <w:spacing w:val="-2"/>
                <w:sz w:val="18"/>
              </w:rPr>
              <w:t>2024-</w:t>
            </w:r>
            <w:r>
              <w:rPr>
                <w:color w:val="FFFFFF"/>
                <w:spacing w:val="-5"/>
                <w:sz w:val="18"/>
              </w:rPr>
              <w:t>25</w:t>
            </w:r>
          </w:p>
        </w:tc>
        <w:tc>
          <w:tcPr>
            <w:tcW w:w="1114" w:type="dxa"/>
            <w:tcBorders>
              <w:top w:val="nil"/>
            </w:tcBorders>
            <w:shd w:val="clear" w:color="auto" w:fill="4F81BC"/>
          </w:tcPr>
          <w:p w14:paraId="720E3619" w14:textId="77777777" w:rsidR="00141B97" w:rsidRDefault="00911D63">
            <w:pPr>
              <w:pStyle w:val="TableParagraph"/>
              <w:spacing w:before="124"/>
              <w:ind w:left="225"/>
              <w:rPr>
                <w:sz w:val="18"/>
              </w:rPr>
            </w:pPr>
            <w:r>
              <w:rPr>
                <w:color w:val="FFFFFF"/>
                <w:spacing w:val="-2"/>
                <w:sz w:val="18"/>
              </w:rPr>
              <w:t>2025-</w:t>
            </w:r>
            <w:r>
              <w:rPr>
                <w:color w:val="FFFFFF"/>
                <w:spacing w:val="-5"/>
                <w:sz w:val="18"/>
              </w:rPr>
              <w:t>26</w:t>
            </w:r>
          </w:p>
        </w:tc>
        <w:tc>
          <w:tcPr>
            <w:tcW w:w="1004" w:type="dxa"/>
            <w:tcBorders>
              <w:top w:val="nil"/>
            </w:tcBorders>
            <w:shd w:val="clear" w:color="auto" w:fill="4F81BC"/>
          </w:tcPr>
          <w:p w14:paraId="263E55DE" w14:textId="77777777" w:rsidR="00141B97" w:rsidRDefault="00911D63">
            <w:pPr>
              <w:pStyle w:val="TableParagraph"/>
              <w:spacing w:before="124"/>
              <w:ind w:left="169"/>
              <w:rPr>
                <w:sz w:val="18"/>
              </w:rPr>
            </w:pPr>
            <w:r>
              <w:rPr>
                <w:color w:val="FFFFFF"/>
                <w:spacing w:val="-2"/>
                <w:sz w:val="18"/>
              </w:rPr>
              <w:t>2026-</w:t>
            </w:r>
            <w:r>
              <w:rPr>
                <w:color w:val="FFFFFF"/>
                <w:spacing w:val="-5"/>
                <w:sz w:val="18"/>
              </w:rPr>
              <w:t>27</w:t>
            </w:r>
          </w:p>
        </w:tc>
        <w:tc>
          <w:tcPr>
            <w:tcW w:w="1004" w:type="dxa"/>
            <w:tcBorders>
              <w:top w:val="nil"/>
            </w:tcBorders>
            <w:shd w:val="clear" w:color="auto" w:fill="4F81BC"/>
          </w:tcPr>
          <w:p w14:paraId="4070F7FF" w14:textId="77777777" w:rsidR="00141B97" w:rsidRDefault="00911D63">
            <w:pPr>
              <w:pStyle w:val="TableParagraph"/>
              <w:spacing w:before="124"/>
              <w:ind w:left="168"/>
              <w:rPr>
                <w:sz w:val="18"/>
              </w:rPr>
            </w:pPr>
            <w:r>
              <w:rPr>
                <w:color w:val="FFFFFF"/>
                <w:spacing w:val="-2"/>
                <w:sz w:val="18"/>
              </w:rPr>
              <w:t>2027-</w:t>
            </w:r>
            <w:r>
              <w:rPr>
                <w:color w:val="FFFFFF"/>
                <w:spacing w:val="-5"/>
                <w:sz w:val="18"/>
              </w:rPr>
              <w:t>28</w:t>
            </w:r>
          </w:p>
        </w:tc>
        <w:tc>
          <w:tcPr>
            <w:tcW w:w="1448" w:type="dxa"/>
            <w:tcBorders>
              <w:top w:val="nil"/>
              <w:right w:val="nil"/>
            </w:tcBorders>
            <w:shd w:val="clear" w:color="auto" w:fill="4F81BC"/>
          </w:tcPr>
          <w:p w14:paraId="48E6BD04" w14:textId="77777777" w:rsidR="00141B97" w:rsidRDefault="00911D63">
            <w:pPr>
              <w:pStyle w:val="TableParagraph"/>
              <w:spacing w:line="220" w:lineRule="atLeast"/>
              <w:ind w:left="218" w:hanging="65"/>
              <w:rPr>
                <w:sz w:val="18"/>
              </w:rPr>
            </w:pPr>
            <w:r>
              <w:rPr>
                <w:color w:val="FFFFFF"/>
                <w:sz w:val="18"/>
              </w:rPr>
              <w:t>Average</w:t>
            </w:r>
            <w:r>
              <w:rPr>
                <w:color w:val="FFFFFF"/>
                <w:spacing w:val="-11"/>
                <w:sz w:val="18"/>
              </w:rPr>
              <w:t xml:space="preserve"> </w:t>
            </w:r>
            <w:r>
              <w:rPr>
                <w:color w:val="FFFFFF"/>
                <w:sz w:val="18"/>
              </w:rPr>
              <w:t>annual change PS5 %</w:t>
            </w:r>
          </w:p>
        </w:tc>
      </w:tr>
      <w:tr w:rsidR="00141B97" w14:paraId="1E9A8DC1" w14:textId="77777777">
        <w:trPr>
          <w:trHeight w:val="296"/>
          <w:tblCellSpacing w:w="9" w:type="dxa"/>
        </w:trPr>
        <w:tc>
          <w:tcPr>
            <w:tcW w:w="2714" w:type="dxa"/>
            <w:tcBorders>
              <w:left w:val="nil"/>
            </w:tcBorders>
            <w:shd w:val="clear" w:color="auto" w:fill="CCE1EC"/>
          </w:tcPr>
          <w:p w14:paraId="06338CC5" w14:textId="77777777" w:rsidR="00141B97" w:rsidRDefault="00911D63">
            <w:pPr>
              <w:pStyle w:val="TableParagraph"/>
              <w:spacing w:before="46"/>
              <w:ind w:left="201"/>
              <w:rPr>
                <w:sz w:val="18"/>
              </w:rPr>
            </w:pPr>
            <w:r>
              <w:rPr>
                <w:sz w:val="18"/>
              </w:rPr>
              <w:t>Operating</w:t>
            </w:r>
            <w:r>
              <w:rPr>
                <w:spacing w:val="-3"/>
                <w:sz w:val="18"/>
              </w:rPr>
              <w:t xml:space="preserve"> </w:t>
            </w:r>
            <w:r>
              <w:rPr>
                <w:spacing w:val="-2"/>
                <w:sz w:val="18"/>
              </w:rPr>
              <w:t>Expenditure</w:t>
            </w:r>
          </w:p>
        </w:tc>
        <w:tc>
          <w:tcPr>
            <w:tcW w:w="799" w:type="dxa"/>
            <w:shd w:val="clear" w:color="auto" w:fill="CCE1EC"/>
          </w:tcPr>
          <w:p w14:paraId="02AC0DDA" w14:textId="77777777" w:rsidR="00141B97" w:rsidRDefault="00911D63">
            <w:pPr>
              <w:pStyle w:val="TableParagraph"/>
              <w:spacing w:before="46"/>
              <w:ind w:right="92"/>
              <w:jc w:val="right"/>
              <w:rPr>
                <w:sz w:val="18"/>
              </w:rPr>
            </w:pPr>
            <w:r>
              <w:rPr>
                <w:spacing w:val="-2"/>
                <w:sz w:val="18"/>
              </w:rPr>
              <w:t>$22.15</w:t>
            </w:r>
          </w:p>
        </w:tc>
        <w:tc>
          <w:tcPr>
            <w:tcW w:w="1133" w:type="dxa"/>
            <w:shd w:val="clear" w:color="auto" w:fill="CCE1EC"/>
          </w:tcPr>
          <w:p w14:paraId="1D9C2516" w14:textId="77777777" w:rsidR="00141B97" w:rsidRDefault="00911D63">
            <w:pPr>
              <w:pStyle w:val="TableParagraph"/>
              <w:spacing w:before="46"/>
              <w:ind w:right="92"/>
              <w:jc w:val="right"/>
              <w:rPr>
                <w:sz w:val="18"/>
              </w:rPr>
            </w:pPr>
            <w:r>
              <w:rPr>
                <w:spacing w:val="-2"/>
                <w:sz w:val="18"/>
              </w:rPr>
              <w:t>$20.72</w:t>
            </w:r>
          </w:p>
        </w:tc>
        <w:tc>
          <w:tcPr>
            <w:tcW w:w="862" w:type="dxa"/>
            <w:shd w:val="clear" w:color="auto" w:fill="CCE1EC"/>
          </w:tcPr>
          <w:p w14:paraId="0A477C03" w14:textId="77777777" w:rsidR="00141B97" w:rsidRDefault="00911D63">
            <w:pPr>
              <w:pStyle w:val="TableParagraph"/>
              <w:spacing w:before="46"/>
              <w:ind w:right="95"/>
              <w:jc w:val="right"/>
              <w:rPr>
                <w:sz w:val="18"/>
              </w:rPr>
            </w:pPr>
            <w:r>
              <w:rPr>
                <w:spacing w:val="-2"/>
                <w:sz w:val="18"/>
              </w:rPr>
              <w:t>$20.82</w:t>
            </w:r>
          </w:p>
        </w:tc>
        <w:tc>
          <w:tcPr>
            <w:tcW w:w="1114" w:type="dxa"/>
            <w:shd w:val="clear" w:color="auto" w:fill="CCE1EC"/>
          </w:tcPr>
          <w:p w14:paraId="736D4059" w14:textId="77777777" w:rsidR="00141B97" w:rsidRDefault="00911D63">
            <w:pPr>
              <w:pStyle w:val="TableParagraph"/>
              <w:spacing w:before="46"/>
              <w:ind w:right="96"/>
              <w:jc w:val="right"/>
              <w:rPr>
                <w:sz w:val="18"/>
              </w:rPr>
            </w:pPr>
            <w:r>
              <w:rPr>
                <w:spacing w:val="-2"/>
                <w:sz w:val="18"/>
              </w:rPr>
              <w:t>$21.46</w:t>
            </w:r>
          </w:p>
        </w:tc>
        <w:tc>
          <w:tcPr>
            <w:tcW w:w="1004" w:type="dxa"/>
            <w:shd w:val="clear" w:color="auto" w:fill="CCE1EC"/>
          </w:tcPr>
          <w:p w14:paraId="414A9E8D" w14:textId="77777777" w:rsidR="00141B97" w:rsidRDefault="00911D63">
            <w:pPr>
              <w:pStyle w:val="TableParagraph"/>
              <w:spacing w:before="46"/>
              <w:ind w:right="96"/>
              <w:jc w:val="right"/>
              <w:rPr>
                <w:sz w:val="18"/>
              </w:rPr>
            </w:pPr>
            <w:r>
              <w:rPr>
                <w:spacing w:val="-2"/>
                <w:sz w:val="18"/>
              </w:rPr>
              <w:t>$21.81</w:t>
            </w:r>
          </w:p>
        </w:tc>
        <w:tc>
          <w:tcPr>
            <w:tcW w:w="1004" w:type="dxa"/>
            <w:shd w:val="clear" w:color="auto" w:fill="CCE1EC"/>
          </w:tcPr>
          <w:p w14:paraId="66B169C0" w14:textId="77777777" w:rsidR="00141B97" w:rsidRDefault="00911D63">
            <w:pPr>
              <w:pStyle w:val="TableParagraph"/>
              <w:spacing w:before="46"/>
              <w:ind w:right="97"/>
              <w:jc w:val="right"/>
              <w:rPr>
                <w:sz w:val="18"/>
              </w:rPr>
            </w:pPr>
            <w:r>
              <w:rPr>
                <w:spacing w:val="-2"/>
                <w:sz w:val="18"/>
              </w:rPr>
              <w:t>$21.39</w:t>
            </w:r>
          </w:p>
        </w:tc>
        <w:tc>
          <w:tcPr>
            <w:tcW w:w="1448" w:type="dxa"/>
            <w:vMerge w:val="restart"/>
            <w:tcBorders>
              <w:right w:val="nil"/>
            </w:tcBorders>
            <w:shd w:val="clear" w:color="auto" w:fill="CCE1EC"/>
          </w:tcPr>
          <w:p w14:paraId="3F32E57C" w14:textId="77777777" w:rsidR="00141B97" w:rsidRDefault="00141B97">
            <w:pPr>
              <w:pStyle w:val="TableParagraph"/>
              <w:rPr>
                <w:rFonts w:ascii="Times New Roman"/>
                <w:sz w:val="18"/>
              </w:rPr>
            </w:pPr>
          </w:p>
        </w:tc>
      </w:tr>
      <w:tr w:rsidR="00141B97" w14:paraId="33F52291" w14:textId="77777777">
        <w:trPr>
          <w:trHeight w:val="299"/>
          <w:tblCellSpacing w:w="9" w:type="dxa"/>
        </w:trPr>
        <w:tc>
          <w:tcPr>
            <w:tcW w:w="2714" w:type="dxa"/>
            <w:tcBorders>
              <w:left w:val="nil"/>
            </w:tcBorders>
            <w:shd w:val="clear" w:color="auto" w:fill="CCE1EC"/>
          </w:tcPr>
          <w:p w14:paraId="2A3CF86F" w14:textId="77777777" w:rsidR="00141B97" w:rsidRDefault="00911D63">
            <w:pPr>
              <w:pStyle w:val="TableParagraph"/>
              <w:spacing w:before="46"/>
              <w:ind w:left="201"/>
              <w:rPr>
                <w:sz w:val="18"/>
              </w:rPr>
            </w:pPr>
            <w:r>
              <w:rPr>
                <w:sz w:val="18"/>
              </w:rPr>
              <w:t>Return</w:t>
            </w:r>
            <w:r>
              <w:rPr>
                <w:spacing w:val="-3"/>
                <w:sz w:val="18"/>
              </w:rPr>
              <w:t xml:space="preserve"> </w:t>
            </w:r>
            <w:r>
              <w:rPr>
                <w:sz w:val="18"/>
              </w:rPr>
              <w:t>on</w:t>
            </w:r>
            <w:r>
              <w:rPr>
                <w:spacing w:val="-1"/>
                <w:sz w:val="18"/>
              </w:rPr>
              <w:t xml:space="preserve"> </w:t>
            </w:r>
            <w:r>
              <w:rPr>
                <w:spacing w:val="-2"/>
                <w:sz w:val="18"/>
              </w:rPr>
              <w:t>Assets</w:t>
            </w:r>
          </w:p>
        </w:tc>
        <w:tc>
          <w:tcPr>
            <w:tcW w:w="799" w:type="dxa"/>
            <w:shd w:val="clear" w:color="auto" w:fill="CCE1EC"/>
          </w:tcPr>
          <w:p w14:paraId="00139391" w14:textId="77777777" w:rsidR="00141B97" w:rsidRDefault="00911D63">
            <w:pPr>
              <w:pStyle w:val="TableParagraph"/>
              <w:spacing w:before="46"/>
              <w:ind w:right="92"/>
              <w:jc w:val="right"/>
              <w:rPr>
                <w:sz w:val="18"/>
              </w:rPr>
            </w:pPr>
            <w:r>
              <w:rPr>
                <w:spacing w:val="-2"/>
                <w:sz w:val="18"/>
              </w:rPr>
              <w:t>$4.06</w:t>
            </w:r>
          </w:p>
        </w:tc>
        <w:tc>
          <w:tcPr>
            <w:tcW w:w="1133" w:type="dxa"/>
            <w:shd w:val="clear" w:color="auto" w:fill="CCE1EC"/>
          </w:tcPr>
          <w:p w14:paraId="0A10E1F8" w14:textId="77777777" w:rsidR="00141B97" w:rsidRDefault="00911D63">
            <w:pPr>
              <w:pStyle w:val="TableParagraph"/>
              <w:spacing w:before="46"/>
              <w:ind w:right="92"/>
              <w:jc w:val="right"/>
              <w:rPr>
                <w:sz w:val="18"/>
              </w:rPr>
            </w:pPr>
            <w:r>
              <w:rPr>
                <w:spacing w:val="-2"/>
                <w:sz w:val="18"/>
              </w:rPr>
              <w:t>$2.94</w:t>
            </w:r>
          </w:p>
        </w:tc>
        <w:tc>
          <w:tcPr>
            <w:tcW w:w="862" w:type="dxa"/>
            <w:shd w:val="clear" w:color="auto" w:fill="CCE1EC"/>
          </w:tcPr>
          <w:p w14:paraId="44B994BA" w14:textId="77777777" w:rsidR="00141B97" w:rsidRDefault="00911D63">
            <w:pPr>
              <w:pStyle w:val="TableParagraph"/>
              <w:spacing w:before="46"/>
              <w:ind w:right="95"/>
              <w:jc w:val="right"/>
              <w:rPr>
                <w:sz w:val="18"/>
              </w:rPr>
            </w:pPr>
            <w:r>
              <w:rPr>
                <w:spacing w:val="-2"/>
                <w:sz w:val="18"/>
              </w:rPr>
              <w:t>$2.85</w:t>
            </w:r>
          </w:p>
        </w:tc>
        <w:tc>
          <w:tcPr>
            <w:tcW w:w="1114" w:type="dxa"/>
            <w:shd w:val="clear" w:color="auto" w:fill="CCE1EC"/>
          </w:tcPr>
          <w:p w14:paraId="1E8B7C75" w14:textId="77777777" w:rsidR="00141B97" w:rsidRDefault="00911D63">
            <w:pPr>
              <w:pStyle w:val="TableParagraph"/>
              <w:spacing w:before="46"/>
              <w:ind w:right="96"/>
              <w:jc w:val="right"/>
              <w:rPr>
                <w:sz w:val="18"/>
              </w:rPr>
            </w:pPr>
            <w:r>
              <w:rPr>
                <w:spacing w:val="-2"/>
                <w:sz w:val="18"/>
              </w:rPr>
              <w:t>$2.82</w:t>
            </w:r>
          </w:p>
        </w:tc>
        <w:tc>
          <w:tcPr>
            <w:tcW w:w="1004" w:type="dxa"/>
            <w:shd w:val="clear" w:color="auto" w:fill="CCE1EC"/>
          </w:tcPr>
          <w:p w14:paraId="68325072" w14:textId="77777777" w:rsidR="00141B97" w:rsidRDefault="00911D63">
            <w:pPr>
              <w:pStyle w:val="TableParagraph"/>
              <w:spacing w:before="46"/>
              <w:ind w:right="96"/>
              <w:jc w:val="right"/>
              <w:rPr>
                <w:sz w:val="18"/>
              </w:rPr>
            </w:pPr>
            <w:r>
              <w:rPr>
                <w:spacing w:val="-2"/>
                <w:sz w:val="18"/>
              </w:rPr>
              <w:t>$2.80</w:t>
            </w:r>
          </w:p>
        </w:tc>
        <w:tc>
          <w:tcPr>
            <w:tcW w:w="1004" w:type="dxa"/>
            <w:shd w:val="clear" w:color="auto" w:fill="CCE1EC"/>
          </w:tcPr>
          <w:p w14:paraId="6D450B3D" w14:textId="77777777" w:rsidR="00141B97" w:rsidRDefault="00911D63">
            <w:pPr>
              <w:pStyle w:val="TableParagraph"/>
              <w:spacing w:before="46"/>
              <w:ind w:right="97"/>
              <w:jc w:val="right"/>
              <w:rPr>
                <w:sz w:val="18"/>
              </w:rPr>
            </w:pPr>
            <w:r>
              <w:rPr>
                <w:spacing w:val="-2"/>
                <w:sz w:val="18"/>
              </w:rPr>
              <w:t>$2.82</w:t>
            </w:r>
          </w:p>
        </w:tc>
        <w:tc>
          <w:tcPr>
            <w:tcW w:w="1448" w:type="dxa"/>
            <w:vMerge/>
            <w:tcBorders>
              <w:top w:val="nil"/>
              <w:right w:val="nil"/>
            </w:tcBorders>
            <w:shd w:val="clear" w:color="auto" w:fill="CCE1EC"/>
          </w:tcPr>
          <w:p w14:paraId="0CCD1D99" w14:textId="77777777" w:rsidR="00141B97" w:rsidRDefault="00141B97">
            <w:pPr>
              <w:rPr>
                <w:sz w:val="2"/>
                <w:szCs w:val="2"/>
              </w:rPr>
            </w:pPr>
          </w:p>
        </w:tc>
      </w:tr>
      <w:tr w:rsidR="00141B97" w14:paraId="5376BDD4" w14:textId="77777777">
        <w:trPr>
          <w:trHeight w:val="296"/>
          <w:tblCellSpacing w:w="9" w:type="dxa"/>
        </w:trPr>
        <w:tc>
          <w:tcPr>
            <w:tcW w:w="2714" w:type="dxa"/>
            <w:tcBorders>
              <w:left w:val="nil"/>
            </w:tcBorders>
            <w:shd w:val="clear" w:color="auto" w:fill="CCE1EC"/>
          </w:tcPr>
          <w:p w14:paraId="5E3BE00D" w14:textId="77777777" w:rsidR="00141B97" w:rsidRDefault="00911D63">
            <w:pPr>
              <w:pStyle w:val="TableParagraph"/>
              <w:spacing w:before="46"/>
              <w:ind w:left="201"/>
              <w:rPr>
                <w:sz w:val="18"/>
              </w:rPr>
            </w:pPr>
            <w:r>
              <w:rPr>
                <w:sz w:val="18"/>
              </w:rPr>
              <w:t>Regulatory</w:t>
            </w:r>
            <w:r>
              <w:rPr>
                <w:spacing w:val="-3"/>
                <w:sz w:val="18"/>
              </w:rPr>
              <w:t xml:space="preserve"> </w:t>
            </w:r>
            <w:r>
              <w:rPr>
                <w:spacing w:val="-2"/>
                <w:sz w:val="18"/>
              </w:rPr>
              <w:t>Depreciation</w:t>
            </w:r>
          </w:p>
        </w:tc>
        <w:tc>
          <w:tcPr>
            <w:tcW w:w="799" w:type="dxa"/>
            <w:shd w:val="clear" w:color="auto" w:fill="CCE1EC"/>
          </w:tcPr>
          <w:p w14:paraId="3A0F4896" w14:textId="77777777" w:rsidR="00141B97" w:rsidRDefault="00911D63">
            <w:pPr>
              <w:pStyle w:val="TableParagraph"/>
              <w:spacing w:before="46"/>
              <w:ind w:right="92"/>
              <w:jc w:val="right"/>
              <w:rPr>
                <w:sz w:val="18"/>
              </w:rPr>
            </w:pPr>
            <w:r>
              <w:rPr>
                <w:spacing w:val="-2"/>
                <w:sz w:val="18"/>
              </w:rPr>
              <w:t>$3.06</w:t>
            </w:r>
          </w:p>
        </w:tc>
        <w:tc>
          <w:tcPr>
            <w:tcW w:w="1133" w:type="dxa"/>
            <w:shd w:val="clear" w:color="auto" w:fill="CCE1EC"/>
          </w:tcPr>
          <w:p w14:paraId="7760719D" w14:textId="77777777" w:rsidR="00141B97" w:rsidRDefault="00911D63">
            <w:pPr>
              <w:pStyle w:val="TableParagraph"/>
              <w:spacing w:before="46"/>
              <w:ind w:right="92"/>
              <w:jc w:val="right"/>
              <w:rPr>
                <w:sz w:val="18"/>
              </w:rPr>
            </w:pPr>
            <w:r>
              <w:rPr>
                <w:spacing w:val="-2"/>
                <w:sz w:val="18"/>
              </w:rPr>
              <w:t>$3.33</w:t>
            </w:r>
          </w:p>
        </w:tc>
        <w:tc>
          <w:tcPr>
            <w:tcW w:w="862" w:type="dxa"/>
            <w:shd w:val="clear" w:color="auto" w:fill="CCE1EC"/>
          </w:tcPr>
          <w:p w14:paraId="49F38D0B" w14:textId="77777777" w:rsidR="00141B97" w:rsidRDefault="00911D63">
            <w:pPr>
              <w:pStyle w:val="TableParagraph"/>
              <w:spacing w:before="46"/>
              <w:ind w:right="95"/>
              <w:jc w:val="right"/>
              <w:rPr>
                <w:sz w:val="18"/>
              </w:rPr>
            </w:pPr>
            <w:r>
              <w:rPr>
                <w:spacing w:val="-2"/>
                <w:sz w:val="18"/>
              </w:rPr>
              <w:t>$3.59</w:t>
            </w:r>
          </w:p>
        </w:tc>
        <w:tc>
          <w:tcPr>
            <w:tcW w:w="1114" w:type="dxa"/>
            <w:shd w:val="clear" w:color="auto" w:fill="CCE1EC"/>
          </w:tcPr>
          <w:p w14:paraId="1F76C653" w14:textId="77777777" w:rsidR="00141B97" w:rsidRDefault="00911D63">
            <w:pPr>
              <w:pStyle w:val="TableParagraph"/>
              <w:spacing w:before="46"/>
              <w:ind w:right="96"/>
              <w:jc w:val="right"/>
              <w:rPr>
                <w:sz w:val="18"/>
              </w:rPr>
            </w:pPr>
            <w:r>
              <w:rPr>
                <w:spacing w:val="-2"/>
                <w:sz w:val="18"/>
              </w:rPr>
              <w:t>$3.78</w:t>
            </w:r>
          </w:p>
        </w:tc>
        <w:tc>
          <w:tcPr>
            <w:tcW w:w="1004" w:type="dxa"/>
            <w:shd w:val="clear" w:color="auto" w:fill="CCE1EC"/>
          </w:tcPr>
          <w:p w14:paraId="2AA32423" w14:textId="77777777" w:rsidR="00141B97" w:rsidRDefault="00911D63">
            <w:pPr>
              <w:pStyle w:val="TableParagraph"/>
              <w:spacing w:before="46"/>
              <w:ind w:right="96"/>
              <w:jc w:val="right"/>
              <w:rPr>
                <w:sz w:val="18"/>
              </w:rPr>
            </w:pPr>
            <w:r>
              <w:rPr>
                <w:spacing w:val="-2"/>
                <w:sz w:val="18"/>
              </w:rPr>
              <w:t>$3.96</w:t>
            </w:r>
          </w:p>
        </w:tc>
        <w:tc>
          <w:tcPr>
            <w:tcW w:w="1004" w:type="dxa"/>
            <w:shd w:val="clear" w:color="auto" w:fill="CCE1EC"/>
          </w:tcPr>
          <w:p w14:paraId="4FAE1F37" w14:textId="77777777" w:rsidR="00141B97" w:rsidRDefault="00911D63">
            <w:pPr>
              <w:pStyle w:val="TableParagraph"/>
              <w:spacing w:before="46"/>
              <w:ind w:right="97"/>
              <w:jc w:val="right"/>
              <w:rPr>
                <w:sz w:val="18"/>
              </w:rPr>
            </w:pPr>
            <w:r>
              <w:rPr>
                <w:spacing w:val="-2"/>
                <w:sz w:val="18"/>
              </w:rPr>
              <w:t>$4.08</w:t>
            </w:r>
          </w:p>
        </w:tc>
        <w:tc>
          <w:tcPr>
            <w:tcW w:w="1448" w:type="dxa"/>
            <w:vMerge/>
            <w:tcBorders>
              <w:top w:val="nil"/>
              <w:right w:val="nil"/>
            </w:tcBorders>
            <w:shd w:val="clear" w:color="auto" w:fill="CCE1EC"/>
          </w:tcPr>
          <w:p w14:paraId="65F06C47" w14:textId="77777777" w:rsidR="00141B97" w:rsidRDefault="00141B97">
            <w:pPr>
              <w:rPr>
                <w:sz w:val="2"/>
                <w:szCs w:val="2"/>
              </w:rPr>
            </w:pPr>
          </w:p>
        </w:tc>
      </w:tr>
      <w:tr w:rsidR="00141B97" w14:paraId="79204D4A" w14:textId="77777777">
        <w:trPr>
          <w:trHeight w:val="294"/>
          <w:tblCellSpacing w:w="9" w:type="dxa"/>
        </w:trPr>
        <w:tc>
          <w:tcPr>
            <w:tcW w:w="2714" w:type="dxa"/>
            <w:tcBorders>
              <w:left w:val="nil"/>
            </w:tcBorders>
            <w:shd w:val="clear" w:color="auto" w:fill="C0C0C0"/>
          </w:tcPr>
          <w:p w14:paraId="0D5D4649" w14:textId="77777777" w:rsidR="00141B97" w:rsidRDefault="00911D63">
            <w:pPr>
              <w:pStyle w:val="TableParagraph"/>
              <w:spacing w:before="44"/>
              <w:ind w:left="201"/>
              <w:rPr>
                <w:sz w:val="18"/>
              </w:rPr>
            </w:pPr>
            <w:r>
              <w:rPr>
                <w:sz w:val="18"/>
              </w:rPr>
              <w:t>Total</w:t>
            </w:r>
            <w:r>
              <w:rPr>
                <w:spacing w:val="-3"/>
                <w:sz w:val="18"/>
              </w:rPr>
              <w:t xml:space="preserve"> </w:t>
            </w:r>
            <w:r>
              <w:rPr>
                <w:sz w:val="18"/>
              </w:rPr>
              <w:t>Revenue</w:t>
            </w:r>
            <w:r>
              <w:rPr>
                <w:spacing w:val="-4"/>
                <w:sz w:val="18"/>
              </w:rPr>
              <w:t xml:space="preserve"> </w:t>
            </w:r>
            <w:r>
              <w:rPr>
                <w:spacing w:val="-2"/>
                <w:sz w:val="18"/>
              </w:rPr>
              <w:t>Requirement</w:t>
            </w:r>
          </w:p>
        </w:tc>
        <w:tc>
          <w:tcPr>
            <w:tcW w:w="799" w:type="dxa"/>
            <w:shd w:val="clear" w:color="auto" w:fill="C0C0C0"/>
          </w:tcPr>
          <w:p w14:paraId="4E5E10F2" w14:textId="77777777" w:rsidR="00141B97" w:rsidRDefault="00911D63">
            <w:pPr>
              <w:pStyle w:val="TableParagraph"/>
              <w:spacing w:before="44"/>
              <w:ind w:right="92"/>
              <w:jc w:val="right"/>
              <w:rPr>
                <w:sz w:val="18"/>
              </w:rPr>
            </w:pPr>
            <w:r>
              <w:rPr>
                <w:spacing w:val="-2"/>
                <w:sz w:val="18"/>
              </w:rPr>
              <w:t>$29.27</w:t>
            </w:r>
          </w:p>
        </w:tc>
        <w:tc>
          <w:tcPr>
            <w:tcW w:w="1133" w:type="dxa"/>
            <w:shd w:val="clear" w:color="auto" w:fill="C0C0C0"/>
          </w:tcPr>
          <w:p w14:paraId="09BCF71F" w14:textId="77777777" w:rsidR="00141B97" w:rsidRDefault="00911D63">
            <w:pPr>
              <w:pStyle w:val="TableParagraph"/>
              <w:spacing w:before="44"/>
              <w:ind w:right="92"/>
              <w:jc w:val="right"/>
              <w:rPr>
                <w:sz w:val="18"/>
              </w:rPr>
            </w:pPr>
            <w:r>
              <w:rPr>
                <w:spacing w:val="-2"/>
                <w:sz w:val="18"/>
              </w:rPr>
              <w:t>$26.99</w:t>
            </w:r>
          </w:p>
        </w:tc>
        <w:tc>
          <w:tcPr>
            <w:tcW w:w="862" w:type="dxa"/>
            <w:shd w:val="clear" w:color="auto" w:fill="C0C0C0"/>
          </w:tcPr>
          <w:p w14:paraId="3161269F" w14:textId="77777777" w:rsidR="00141B97" w:rsidRDefault="00911D63">
            <w:pPr>
              <w:pStyle w:val="TableParagraph"/>
              <w:spacing w:before="44"/>
              <w:ind w:right="95"/>
              <w:jc w:val="right"/>
              <w:rPr>
                <w:sz w:val="18"/>
              </w:rPr>
            </w:pPr>
            <w:r>
              <w:rPr>
                <w:spacing w:val="-2"/>
                <w:sz w:val="18"/>
              </w:rPr>
              <w:t>$27.26</w:t>
            </w:r>
          </w:p>
        </w:tc>
        <w:tc>
          <w:tcPr>
            <w:tcW w:w="1114" w:type="dxa"/>
            <w:shd w:val="clear" w:color="auto" w:fill="C0C0C0"/>
          </w:tcPr>
          <w:p w14:paraId="77136ABD" w14:textId="77777777" w:rsidR="00141B97" w:rsidRDefault="00911D63">
            <w:pPr>
              <w:pStyle w:val="TableParagraph"/>
              <w:spacing w:before="44"/>
              <w:ind w:right="96"/>
              <w:jc w:val="right"/>
              <w:rPr>
                <w:sz w:val="18"/>
              </w:rPr>
            </w:pPr>
            <w:r>
              <w:rPr>
                <w:spacing w:val="-2"/>
                <w:sz w:val="18"/>
              </w:rPr>
              <w:t>$28.06</w:t>
            </w:r>
          </w:p>
        </w:tc>
        <w:tc>
          <w:tcPr>
            <w:tcW w:w="1004" w:type="dxa"/>
            <w:shd w:val="clear" w:color="auto" w:fill="C0C0C0"/>
          </w:tcPr>
          <w:p w14:paraId="3EF2D1B7" w14:textId="77777777" w:rsidR="00141B97" w:rsidRDefault="00911D63">
            <w:pPr>
              <w:pStyle w:val="TableParagraph"/>
              <w:spacing w:before="44"/>
              <w:ind w:right="97"/>
              <w:jc w:val="right"/>
              <w:rPr>
                <w:sz w:val="18"/>
              </w:rPr>
            </w:pPr>
            <w:r>
              <w:rPr>
                <w:spacing w:val="-2"/>
                <w:sz w:val="18"/>
              </w:rPr>
              <w:t>$28.57</w:t>
            </w:r>
          </w:p>
        </w:tc>
        <w:tc>
          <w:tcPr>
            <w:tcW w:w="1004" w:type="dxa"/>
            <w:shd w:val="clear" w:color="auto" w:fill="C0C0C0"/>
          </w:tcPr>
          <w:p w14:paraId="04643978" w14:textId="77777777" w:rsidR="00141B97" w:rsidRDefault="00911D63">
            <w:pPr>
              <w:pStyle w:val="TableParagraph"/>
              <w:spacing w:before="44"/>
              <w:ind w:right="97"/>
              <w:jc w:val="right"/>
              <w:rPr>
                <w:sz w:val="18"/>
              </w:rPr>
            </w:pPr>
            <w:r>
              <w:rPr>
                <w:spacing w:val="-2"/>
                <w:sz w:val="18"/>
              </w:rPr>
              <w:t>$28.29</w:t>
            </w:r>
          </w:p>
        </w:tc>
        <w:tc>
          <w:tcPr>
            <w:tcW w:w="1448" w:type="dxa"/>
            <w:tcBorders>
              <w:right w:val="nil"/>
            </w:tcBorders>
            <w:shd w:val="clear" w:color="auto" w:fill="C0C0C0"/>
          </w:tcPr>
          <w:p w14:paraId="13FD57DC" w14:textId="77777777" w:rsidR="00141B97" w:rsidRDefault="00141B97">
            <w:pPr>
              <w:pStyle w:val="TableParagraph"/>
              <w:rPr>
                <w:rFonts w:ascii="Times New Roman"/>
                <w:sz w:val="18"/>
              </w:rPr>
            </w:pPr>
          </w:p>
        </w:tc>
      </w:tr>
      <w:tr w:rsidR="00141B97" w14:paraId="6CF283F4" w14:textId="77777777">
        <w:trPr>
          <w:trHeight w:val="297"/>
          <w:tblCellSpacing w:w="9" w:type="dxa"/>
        </w:trPr>
        <w:tc>
          <w:tcPr>
            <w:tcW w:w="2714" w:type="dxa"/>
            <w:tcBorders>
              <w:left w:val="nil"/>
              <w:bottom w:val="nil"/>
            </w:tcBorders>
            <w:shd w:val="clear" w:color="auto" w:fill="C0C0C0"/>
          </w:tcPr>
          <w:p w14:paraId="6741FCD4" w14:textId="77777777" w:rsidR="00141B97" w:rsidRDefault="00141B97">
            <w:pPr>
              <w:pStyle w:val="TableParagraph"/>
              <w:rPr>
                <w:rFonts w:ascii="Times New Roman"/>
                <w:sz w:val="18"/>
              </w:rPr>
            </w:pPr>
          </w:p>
        </w:tc>
        <w:tc>
          <w:tcPr>
            <w:tcW w:w="799" w:type="dxa"/>
            <w:tcBorders>
              <w:bottom w:val="nil"/>
            </w:tcBorders>
            <w:shd w:val="clear" w:color="auto" w:fill="C0C0C0"/>
          </w:tcPr>
          <w:p w14:paraId="698D2F0C" w14:textId="77777777" w:rsidR="00141B97" w:rsidRDefault="00141B97">
            <w:pPr>
              <w:pStyle w:val="TableParagraph"/>
              <w:rPr>
                <w:rFonts w:ascii="Times New Roman"/>
                <w:sz w:val="18"/>
              </w:rPr>
            </w:pPr>
          </w:p>
        </w:tc>
        <w:tc>
          <w:tcPr>
            <w:tcW w:w="1133" w:type="dxa"/>
            <w:tcBorders>
              <w:bottom w:val="nil"/>
            </w:tcBorders>
            <w:shd w:val="clear" w:color="auto" w:fill="C0C0C0"/>
          </w:tcPr>
          <w:p w14:paraId="6852DDFC" w14:textId="77777777" w:rsidR="00141B97" w:rsidRDefault="00911D63">
            <w:pPr>
              <w:pStyle w:val="TableParagraph"/>
              <w:spacing w:before="44"/>
              <w:ind w:right="93"/>
              <w:jc w:val="right"/>
              <w:rPr>
                <w:sz w:val="18"/>
              </w:rPr>
            </w:pPr>
            <w:r>
              <w:rPr>
                <w:sz w:val="18"/>
              </w:rPr>
              <w:t>-</w:t>
            </w:r>
            <w:r>
              <w:rPr>
                <w:spacing w:val="-2"/>
                <w:sz w:val="18"/>
              </w:rPr>
              <w:t>5.86%</w:t>
            </w:r>
          </w:p>
        </w:tc>
        <w:tc>
          <w:tcPr>
            <w:tcW w:w="862" w:type="dxa"/>
            <w:tcBorders>
              <w:bottom w:val="nil"/>
            </w:tcBorders>
            <w:shd w:val="clear" w:color="auto" w:fill="C0C0C0"/>
          </w:tcPr>
          <w:p w14:paraId="4E1B0BB3" w14:textId="77777777" w:rsidR="00141B97" w:rsidRDefault="00911D63">
            <w:pPr>
              <w:pStyle w:val="TableParagraph"/>
              <w:spacing w:before="44"/>
              <w:ind w:right="95"/>
              <w:jc w:val="right"/>
              <w:rPr>
                <w:sz w:val="18"/>
              </w:rPr>
            </w:pPr>
            <w:r>
              <w:rPr>
                <w:spacing w:val="-2"/>
                <w:sz w:val="18"/>
              </w:rPr>
              <w:t>1.01%</w:t>
            </w:r>
          </w:p>
        </w:tc>
        <w:tc>
          <w:tcPr>
            <w:tcW w:w="1114" w:type="dxa"/>
            <w:tcBorders>
              <w:bottom w:val="nil"/>
            </w:tcBorders>
            <w:shd w:val="clear" w:color="auto" w:fill="C0C0C0"/>
          </w:tcPr>
          <w:p w14:paraId="7E9CB53B" w14:textId="77777777" w:rsidR="00141B97" w:rsidRDefault="00911D63">
            <w:pPr>
              <w:pStyle w:val="TableParagraph"/>
              <w:spacing w:before="44"/>
              <w:ind w:right="96"/>
              <w:jc w:val="right"/>
              <w:rPr>
                <w:sz w:val="18"/>
              </w:rPr>
            </w:pPr>
            <w:r>
              <w:rPr>
                <w:spacing w:val="-2"/>
                <w:sz w:val="18"/>
              </w:rPr>
              <w:t>2.93%</w:t>
            </w:r>
          </w:p>
        </w:tc>
        <w:tc>
          <w:tcPr>
            <w:tcW w:w="1004" w:type="dxa"/>
            <w:tcBorders>
              <w:bottom w:val="nil"/>
            </w:tcBorders>
            <w:shd w:val="clear" w:color="auto" w:fill="C0C0C0"/>
          </w:tcPr>
          <w:p w14:paraId="5CE18527" w14:textId="77777777" w:rsidR="00141B97" w:rsidRDefault="00911D63">
            <w:pPr>
              <w:pStyle w:val="TableParagraph"/>
              <w:spacing w:before="44"/>
              <w:ind w:right="97"/>
              <w:jc w:val="right"/>
              <w:rPr>
                <w:sz w:val="18"/>
              </w:rPr>
            </w:pPr>
            <w:r>
              <w:rPr>
                <w:spacing w:val="-2"/>
                <w:sz w:val="18"/>
              </w:rPr>
              <w:t>1.81%</w:t>
            </w:r>
          </w:p>
        </w:tc>
        <w:tc>
          <w:tcPr>
            <w:tcW w:w="1004" w:type="dxa"/>
            <w:tcBorders>
              <w:bottom w:val="nil"/>
            </w:tcBorders>
            <w:shd w:val="clear" w:color="auto" w:fill="C0C0C0"/>
          </w:tcPr>
          <w:p w14:paraId="52BE1896" w14:textId="77777777" w:rsidR="00141B97" w:rsidRDefault="00911D63">
            <w:pPr>
              <w:pStyle w:val="TableParagraph"/>
              <w:spacing w:before="44"/>
              <w:ind w:right="97"/>
              <w:jc w:val="right"/>
              <w:rPr>
                <w:sz w:val="18"/>
              </w:rPr>
            </w:pPr>
            <w:r>
              <w:rPr>
                <w:sz w:val="18"/>
              </w:rPr>
              <w:t>-</w:t>
            </w:r>
            <w:r>
              <w:rPr>
                <w:spacing w:val="-2"/>
                <w:sz w:val="18"/>
              </w:rPr>
              <w:t>0.96%</w:t>
            </w:r>
          </w:p>
        </w:tc>
        <w:tc>
          <w:tcPr>
            <w:tcW w:w="1448" w:type="dxa"/>
            <w:tcBorders>
              <w:bottom w:val="nil"/>
              <w:right w:val="nil"/>
            </w:tcBorders>
            <w:shd w:val="clear" w:color="auto" w:fill="C0C0C0"/>
          </w:tcPr>
          <w:p w14:paraId="61C21027" w14:textId="77777777" w:rsidR="00141B97" w:rsidRDefault="00911D63">
            <w:pPr>
              <w:pStyle w:val="TableParagraph"/>
              <w:spacing w:before="44"/>
              <w:ind w:left="724"/>
              <w:rPr>
                <w:sz w:val="18"/>
              </w:rPr>
            </w:pPr>
            <w:r>
              <w:rPr>
                <w:sz w:val="18"/>
              </w:rPr>
              <w:t>-</w:t>
            </w:r>
            <w:r>
              <w:rPr>
                <w:spacing w:val="-2"/>
                <w:sz w:val="18"/>
              </w:rPr>
              <w:t>0.21%</w:t>
            </w:r>
          </w:p>
        </w:tc>
      </w:tr>
    </w:tbl>
    <w:p w14:paraId="2EBD150A" w14:textId="77777777" w:rsidR="00141B97" w:rsidRDefault="00911D63">
      <w:pPr>
        <w:spacing w:before="20"/>
        <w:ind w:left="148"/>
        <w:rPr>
          <w:sz w:val="16"/>
        </w:rPr>
      </w:pPr>
      <w:r>
        <w:rPr>
          <w:sz w:val="16"/>
        </w:rPr>
        <w:t>Table</w:t>
      </w:r>
      <w:r>
        <w:rPr>
          <w:spacing w:val="-4"/>
          <w:sz w:val="16"/>
        </w:rPr>
        <w:t xml:space="preserve"> </w:t>
      </w:r>
      <w:r>
        <w:rPr>
          <w:sz w:val="16"/>
        </w:rPr>
        <w:t>ES9:</w:t>
      </w:r>
      <w:r>
        <w:rPr>
          <w:spacing w:val="-3"/>
          <w:sz w:val="16"/>
        </w:rPr>
        <w:t xml:space="preserve"> </w:t>
      </w:r>
      <w:r>
        <w:rPr>
          <w:sz w:val="16"/>
        </w:rPr>
        <w:t>Rural</w:t>
      </w:r>
      <w:r>
        <w:rPr>
          <w:spacing w:val="-3"/>
          <w:sz w:val="16"/>
        </w:rPr>
        <w:t xml:space="preserve"> </w:t>
      </w:r>
      <w:r>
        <w:rPr>
          <w:sz w:val="16"/>
        </w:rPr>
        <w:t>Revenue</w:t>
      </w:r>
      <w:r>
        <w:rPr>
          <w:spacing w:val="-3"/>
          <w:sz w:val="16"/>
        </w:rPr>
        <w:t xml:space="preserve"> </w:t>
      </w:r>
      <w:r>
        <w:rPr>
          <w:spacing w:val="-2"/>
          <w:sz w:val="16"/>
        </w:rPr>
        <w:t>Forecast</w:t>
      </w:r>
    </w:p>
    <w:p w14:paraId="26DCDB9A" w14:textId="77777777" w:rsidR="00141B97" w:rsidRDefault="00141B97">
      <w:pPr>
        <w:rPr>
          <w:sz w:val="16"/>
        </w:rPr>
        <w:sectPr w:rsidR="00141B97">
          <w:pgSz w:w="12240" w:h="15840"/>
          <w:pgMar w:top="820" w:right="880" w:bottom="1200" w:left="1020" w:header="0" w:footer="1014" w:gutter="0"/>
          <w:cols w:space="720"/>
        </w:sectPr>
      </w:pPr>
    </w:p>
    <w:p w14:paraId="01E17AEA" w14:textId="77777777" w:rsidR="00141B97" w:rsidRDefault="00911D63">
      <w:pPr>
        <w:pStyle w:val="Heading2"/>
        <w:spacing w:before="31"/>
        <w:ind w:left="112" w:firstLine="0"/>
        <w:jc w:val="both"/>
      </w:pPr>
      <w:r>
        <w:rPr>
          <w:color w:val="009BAC"/>
        </w:rPr>
        <w:lastRenderedPageBreak/>
        <w:t>Future</w:t>
      </w:r>
      <w:r>
        <w:rPr>
          <w:color w:val="009BAC"/>
          <w:spacing w:val="-4"/>
        </w:rPr>
        <w:t xml:space="preserve"> </w:t>
      </w:r>
      <w:r>
        <w:rPr>
          <w:color w:val="009BAC"/>
          <w:spacing w:val="-2"/>
        </w:rPr>
        <w:t>Uncertainties</w:t>
      </w:r>
    </w:p>
    <w:p w14:paraId="42351FED" w14:textId="77777777" w:rsidR="00141B97" w:rsidRDefault="00911D63">
      <w:pPr>
        <w:pStyle w:val="BodyText"/>
        <w:spacing w:before="160"/>
        <w:ind w:left="112" w:right="107"/>
        <w:jc w:val="both"/>
      </w:pPr>
      <w:r>
        <w:t>LMW</w:t>
      </w:r>
      <w:r>
        <w:rPr>
          <w:spacing w:val="-9"/>
        </w:rPr>
        <w:t xml:space="preserve"> </w:t>
      </w:r>
      <w:r>
        <w:t>is</w:t>
      </w:r>
      <w:r>
        <w:rPr>
          <w:spacing w:val="-6"/>
        </w:rPr>
        <w:t xml:space="preserve"> </w:t>
      </w:r>
      <w:r>
        <w:t>a</w:t>
      </w:r>
      <w:r>
        <w:rPr>
          <w:spacing w:val="-10"/>
        </w:rPr>
        <w:t xml:space="preserve"> </w:t>
      </w:r>
      <w:r>
        <w:t>proactive</w:t>
      </w:r>
      <w:r>
        <w:rPr>
          <w:spacing w:val="-5"/>
        </w:rPr>
        <w:t xml:space="preserve"> </w:t>
      </w:r>
      <w:r>
        <w:t>regional</w:t>
      </w:r>
      <w:r>
        <w:rPr>
          <w:spacing w:val="-10"/>
        </w:rPr>
        <w:t xml:space="preserve"> </w:t>
      </w:r>
      <w:r>
        <w:t>service</w:t>
      </w:r>
      <w:r>
        <w:rPr>
          <w:spacing w:val="-8"/>
        </w:rPr>
        <w:t xml:space="preserve"> </w:t>
      </w:r>
      <w:r>
        <w:t>provider</w:t>
      </w:r>
      <w:r>
        <w:rPr>
          <w:spacing w:val="-8"/>
        </w:rPr>
        <w:t xml:space="preserve"> </w:t>
      </w:r>
      <w:r>
        <w:t>and</w:t>
      </w:r>
      <w:r>
        <w:rPr>
          <w:spacing w:val="-9"/>
        </w:rPr>
        <w:t xml:space="preserve"> </w:t>
      </w:r>
      <w:r>
        <w:t>stands</w:t>
      </w:r>
      <w:r>
        <w:rPr>
          <w:spacing w:val="-8"/>
        </w:rPr>
        <w:t xml:space="preserve"> </w:t>
      </w:r>
      <w:r>
        <w:t>ready</w:t>
      </w:r>
      <w:r>
        <w:rPr>
          <w:spacing w:val="-8"/>
        </w:rPr>
        <w:t xml:space="preserve"> </w:t>
      </w:r>
      <w:r>
        <w:t>to</w:t>
      </w:r>
      <w:r>
        <w:rPr>
          <w:spacing w:val="-6"/>
        </w:rPr>
        <w:t xml:space="preserve"> </w:t>
      </w:r>
      <w:r>
        <w:t>integrate</w:t>
      </w:r>
      <w:r>
        <w:rPr>
          <w:spacing w:val="-5"/>
        </w:rPr>
        <w:t xml:space="preserve"> </w:t>
      </w:r>
      <w:r>
        <w:t>major</w:t>
      </w:r>
      <w:r>
        <w:rPr>
          <w:spacing w:val="-8"/>
        </w:rPr>
        <w:t xml:space="preserve"> </w:t>
      </w:r>
      <w:r>
        <w:t>regional</w:t>
      </w:r>
      <w:r>
        <w:rPr>
          <w:spacing w:val="-7"/>
        </w:rPr>
        <w:t xml:space="preserve"> </w:t>
      </w:r>
      <w:r>
        <w:t>water</w:t>
      </w:r>
      <w:r>
        <w:rPr>
          <w:spacing w:val="-6"/>
        </w:rPr>
        <w:t xml:space="preserve"> </w:t>
      </w:r>
      <w:r>
        <w:t>and</w:t>
      </w:r>
      <w:r>
        <w:rPr>
          <w:spacing w:val="-9"/>
        </w:rPr>
        <w:t xml:space="preserve"> </w:t>
      </w:r>
      <w:r>
        <w:t>environmental initiatives into its business. The Victorian Murray Floodplain Restoration Project (VMFRP) seeks to put water back into</w:t>
      </w:r>
      <w:r>
        <w:rPr>
          <w:spacing w:val="-5"/>
        </w:rPr>
        <w:t xml:space="preserve"> </w:t>
      </w:r>
      <w:r>
        <w:t>nine</w:t>
      </w:r>
      <w:r>
        <w:rPr>
          <w:spacing w:val="-6"/>
        </w:rPr>
        <w:t xml:space="preserve"> </w:t>
      </w:r>
      <w:r>
        <w:t>high-value</w:t>
      </w:r>
      <w:r>
        <w:rPr>
          <w:spacing w:val="-6"/>
        </w:rPr>
        <w:t xml:space="preserve"> </w:t>
      </w:r>
      <w:r>
        <w:t>floodplains</w:t>
      </w:r>
      <w:r>
        <w:rPr>
          <w:spacing w:val="-4"/>
        </w:rPr>
        <w:t xml:space="preserve"> </w:t>
      </w:r>
      <w:r>
        <w:t>along</w:t>
      </w:r>
      <w:r>
        <w:rPr>
          <w:spacing w:val="-8"/>
        </w:rPr>
        <w:t xml:space="preserve"> </w:t>
      </w:r>
      <w:r>
        <w:t>the</w:t>
      </w:r>
      <w:r>
        <w:rPr>
          <w:spacing w:val="-6"/>
        </w:rPr>
        <w:t xml:space="preserve"> </w:t>
      </w:r>
      <w:r>
        <w:t>Murray</w:t>
      </w:r>
      <w:r>
        <w:rPr>
          <w:spacing w:val="-7"/>
        </w:rPr>
        <w:t xml:space="preserve"> </w:t>
      </w:r>
      <w:r>
        <w:t>River.</w:t>
      </w:r>
      <w:r>
        <w:rPr>
          <w:spacing w:val="-6"/>
        </w:rPr>
        <w:t xml:space="preserve"> </w:t>
      </w:r>
      <w:r>
        <w:t>LMW</w:t>
      </w:r>
      <w:r>
        <w:rPr>
          <w:spacing w:val="-5"/>
        </w:rPr>
        <w:t xml:space="preserve"> </w:t>
      </w:r>
      <w:r>
        <w:t>is</w:t>
      </w:r>
      <w:r>
        <w:rPr>
          <w:spacing w:val="-4"/>
        </w:rPr>
        <w:t xml:space="preserve"> </w:t>
      </w:r>
      <w:r>
        <w:t>the</w:t>
      </w:r>
      <w:r>
        <w:rPr>
          <w:spacing w:val="-6"/>
        </w:rPr>
        <w:t xml:space="preserve"> </w:t>
      </w:r>
      <w:r>
        <w:t>working-lead</w:t>
      </w:r>
      <w:r>
        <w:rPr>
          <w:spacing w:val="-7"/>
        </w:rPr>
        <w:t xml:space="preserve"> </w:t>
      </w:r>
      <w:r>
        <w:t>agency</w:t>
      </w:r>
      <w:r>
        <w:rPr>
          <w:spacing w:val="-4"/>
        </w:rPr>
        <w:t xml:space="preserve"> </w:t>
      </w:r>
      <w:r>
        <w:t>to</w:t>
      </w:r>
      <w:r>
        <w:rPr>
          <w:spacing w:val="-7"/>
        </w:rPr>
        <w:t xml:space="preserve"> </w:t>
      </w:r>
      <w:r>
        <w:t>coordinate</w:t>
      </w:r>
      <w:r>
        <w:rPr>
          <w:spacing w:val="-6"/>
        </w:rPr>
        <w:t xml:space="preserve"> </w:t>
      </w:r>
      <w:r>
        <w:t>the</w:t>
      </w:r>
      <w:r>
        <w:rPr>
          <w:spacing w:val="-6"/>
        </w:rPr>
        <w:t xml:space="preserve"> </w:t>
      </w:r>
      <w:r>
        <w:t>delivery of the project, alongside partners Goulburn Murray Water, Mallee Catchment Management Authority, North Central Catchment Management Authority, Parks Victoria and the Department of Environment, Land, Water and Planning (DELWP).</w:t>
      </w:r>
    </w:p>
    <w:p w14:paraId="0B16946E" w14:textId="77777777" w:rsidR="00141B97" w:rsidRDefault="00141B97">
      <w:pPr>
        <w:pStyle w:val="BodyText"/>
        <w:spacing w:before="11"/>
        <w:rPr>
          <w:sz w:val="21"/>
        </w:rPr>
      </w:pPr>
    </w:p>
    <w:p w14:paraId="7C48F575" w14:textId="77777777" w:rsidR="00141B97" w:rsidRDefault="00911D63">
      <w:pPr>
        <w:pStyle w:val="BodyText"/>
        <w:ind w:left="112" w:right="107"/>
        <w:jc w:val="both"/>
      </w:pPr>
      <w:r>
        <w:t>Similarly, the Water Efficiency Project (WEP) is being funded by the Federal government as part of initiatives to deliver</w:t>
      </w:r>
      <w:r>
        <w:rPr>
          <w:spacing w:val="-11"/>
        </w:rPr>
        <w:t xml:space="preserve"> </w:t>
      </w:r>
      <w:r>
        <w:t>upon</w:t>
      </w:r>
      <w:r>
        <w:rPr>
          <w:spacing w:val="-8"/>
        </w:rPr>
        <w:t xml:space="preserve"> </w:t>
      </w:r>
      <w:r>
        <w:t>the</w:t>
      </w:r>
      <w:r>
        <w:rPr>
          <w:spacing w:val="-8"/>
        </w:rPr>
        <w:t xml:space="preserve"> </w:t>
      </w:r>
      <w:r>
        <w:t>Murray</w:t>
      </w:r>
      <w:r>
        <w:rPr>
          <w:spacing w:val="-8"/>
        </w:rPr>
        <w:t xml:space="preserve"> </w:t>
      </w:r>
      <w:r>
        <w:t>Darling</w:t>
      </w:r>
      <w:r>
        <w:rPr>
          <w:spacing w:val="-9"/>
        </w:rPr>
        <w:t xml:space="preserve"> </w:t>
      </w:r>
      <w:r>
        <w:t>Basin</w:t>
      </w:r>
      <w:r>
        <w:rPr>
          <w:spacing w:val="-8"/>
        </w:rPr>
        <w:t xml:space="preserve"> </w:t>
      </w:r>
      <w:r>
        <w:t>Plan.</w:t>
      </w:r>
      <w:r>
        <w:rPr>
          <w:spacing w:val="-10"/>
        </w:rPr>
        <w:t xml:space="preserve"> </w:t>
      </w:r>
      <w:r>
        <w:t>Investment</w:t>
      </w:r>
      <w:r>
        <w:rPr>
          <w:spacing w:val="-12"/>
        </w:rPr>
        <w:t xml:space="preserve"> </w:t>
      </w:r>
      <w:r>
        <w:t>in</w:t>
      </w:r>
      <w:r>
        <w:rPr>
          <w:spacing w:val="-8"/>
        </w:rPr>
        <w:t xml:space="preserve"> </w:t>
      </w:r>
      <w:r>
        <w:t>irrigation</w:t>
      </w:r>
      <w:r>
        <w:rPr>
          <w:spacing w:val="-8"/>
        </w:rPr>
        <w:t xml:space="preserve"> </w:t>
      </w:r>
      <w:r>
        <w:t>infrastructure</w:t>
      </w:r>
      <w:r>
        <w:rPr>
          <w:spacing w:val="-10"/>
        </w:rPr>
        <w:t xml:space="preserve"> </w:t>
      </w:r>
      <w:r>
        <w:t>will</w:t>
      </w:r>
      <w:r>
        <w:rPr>
          <w:spacing w:val="-10"/>
        </w:rPr>
        <w:t xml:space="preserve"> </w:t>
      </w:r>
      <w:r>
        <w:t>extend</w:t>
      </w:r>
      <w:r>
        <w:rPr>
          <w:spacing w:val="-8"/>
        </w:rPr>
        <w:t xml:space="preserve"> </w:t>
      </w:r>
      <w:r>
        <w:t>asset</w:t>
      </w:r>
      <w:r>
        <w:rPr>
          <w:spacing w:val="-9"/>
        </w:rPr>
        <w:t xml:space="preserve"> </w:t>
      </w:r>
      <w:r>
        <w:t>life</w:t>
      </w:r>
      <w:r>
        <w:rPr>
          <w:spacing w:val="-8"/>
        </w:rPr>
        <w:t xml:space="preserve"> </w:t>
      </w:r>
      <w:r>
        <w:t>and</w:t>
      </w:r>
      <w:r>
        <w:rPr>
          <w:spacing w:val="-8"/>
        </w:rPr>
        <w:t xml:space="preserve"> </w:t>
      </w:r>
      <w:r>
        <w:t>improve metering, resulting in reduced water losses and a return of 1.8GL of water for the environment.</w:t>
      </w:r>
    </w:p>
    <w:p w14:paraId="15FD7DDF" w14:textId="77777777" w:rsidR="00141B97" w:rsidRDefault="00141B97">
      <w:pPr>
        <w:pStyle w:val="BodyText"/>
        <w:spacing w:before="10"/>
        <w:rPr>
          <w:sz w:val="21"/>
        </w:rPr>
      </w:pPr>
    </w:p>
    <w:p w14:paraId="38D28AEF" w14:textId="77777777" w:rsidR="00141B97" w:rsidRDefault="00911D63">
      <w:pPr>
        <w:pStyle w:val="BodyText"/>
        <w:spacing w:before="1"/>
        <w:ind w:left="112" w:right="108"/>
        <w:jc w:val="both"/>
      </w:pPr>
      <w:r>
        <w:t>These</w:t>
      </w:r>
      <w:r>
        <w:rPr>
          <w:spacing w:val="-12"/>
        </w:rPr>
        <w:t xml:space="preserve"> </w:t>
      </w:r>
      <w:r>
        <w:t>projects</w:t>
      </w:r>
      <w:r>
        <w:rPr>
          <w:spacing w:val="-10"/>
        </w:rPr>
        <w:t xml:space="preserve"> </w:t>
      </w:r>
      <w:r>
        <w:t>are</w:t>
      </w:r>
      <w:r>
        <w:rPr>
          <w:spacing w:val="-10"/>
        </w:rPr>
        <w:t xml:space="preserve"> </w:t>
      </w:r>
      <w:r>
        <w:t>regarded</w:t>
      </w:r>
      <w:r>
        <w:rPr>
          <w:spacing w:val="-13"/>
        </w:rPr>
        <w:t xml:space="preserve"> </w:t>
      </w:r>
      <w:r>
        <w:t>in</w:t>
      </w:r>
      <w:r>
        <w:rPr>
          <w:spacing w:val="-11"/>
        </w:rPr>
        <w:t xml:space="preserve"> </w:t>
      </w:r>
      <w:r>
        <w:t>this</w:t>
      </w:r>
      <w:r>
        <w:rPr>
          <w:spacing w:val="-10"/>
        </w:rPr>
        <w:t xml:space="preserve"> </w:t>
      </w:r>
      <w:r>
        <w:t>submission</w:t>
      </w:r>
      <w:r>
        <w:rPr>
          <w:spacing w:val="-11"/>
        </w:rPr>
        <w:t xml:space="preserve"> </w:t>
      </w:r>
      <w:r>
        <w:t>as</w:t>
      </w:r>
      <w:r>
        <w:rPr>
          <w:spacing w:val="-13"/>
        </w:rPr>
        <w:t xml:space="preserve"> </w:t>
      </w:r>
      <w:r>
        <w:t>uncertain</w:t>
      </w:r>
      <w:r>
        <w:rPr>
          <w:spacing w:val="-11"/>
        </w:rPr>
        <w:t xml:space="preserve"> </w:t>
      </w:r>
      <w:r>
        <w:t>projects,</w:t>
      </w:r>
      <w:r>
        <w:rPr>
          <w:spacing w:val="-10"/>
        </w:rPr>
        <w:t xml:space="preserve"> </w:t>
      </w:r>
      <w:r>
        <w:t>as</w:t>
      </w:r>
      <w:r>
        <w:rPr>
          <w:spacing w:val="-10"/>
        </w:rPr>
        <w:t xml:space="preserve"> </w:t>
      </w:r>
      <w:r>
        <w:t>the</w:t>
      </w:r>
      <w:r>
        <w:rPr>
          <w:spacing w:val="-13"/>
        </w:rPr>
        <w:t xml:space="preserve"> </w:t>
      </w:r>
      <w:r>
        <w:t>scope,</w:t>
      </w:r>
      <w:r>
        <w:rPr>
          <w:spacing w:val="-10"/>
        </w:rPr>
        <w:t xml:space="preserve"> </w:t>
      </w:r>
      <w:r>
        <w:t>timing</w:t>
      </w:r>
      <w:r>
        <w:rPr>
          <w:spacing w:val="-12"/>
        </w:rPr>
        <w:t xml:space="preserve"> </w:t>
      </w:r>
      <w:r>
        <w:t>and</w:t>
      </w:r>
      <w:r>
        <w:rPr>
          <w:spacing w:val="-13"/>
        </w:rPr>
        <w:t xml:space="preserve"> </w:t>
      </w:r>
      <w:r>
        <w:t>funding</w:t>
      </w:r>
      <w:r>
        <w:rPr>
          <w:spacing w:val="-12"/>
        </w:rPr>
        <w:t xml:space="preserve"> </w:t>
      </w:r>
      <w:r>
        <w:t>arrangements are</w:t>
      </w:r>
      <w:r>
        <w:rPr>
          <w:spacing w:val="-1"/>
        </w:rPr>
        <w:t xml:space="preserve"> </w:t>
      </w:r>
      <w:r>
        <w:t>yet</w:t>
      </w:r>
      <w:r>
        <w:rPr>
          <w:spacing w:val="-2"/>
        </w:rPr>
        <w:t xml:space="preserve"> </w:t>
      </w:r>
      <w:r>
        <w:t>to</w:t>
      </w:r>
      <w:r>
        <w:rPr>
          <w:spacing w:val="-2"/>
        </w:rPr>
        <w:t xml:space="preserve"> </w:t>
      </w:r>
      <w:r>
        <w:t>be</w:t>
      </w:r>
      <w:r>
        <w:rPr>
          <w:spacing w:val="-3"/>
        </w:rPr>
        <w:t xml:space="preserve"> </w:t>
      </w:r>
      <w:r>
        <w:t>finalised.</w:t>
      </w:r>
      <w:r>
        <w:rPr>
          <w:spacing w:val="-3"/>
        </w:rPr>
        <w:t xml:space="preserve"> </w:t>
      </w:r>
      <w:r>
        <w:t>LMW’s</w:t>
      </w:r>
      <w:r>
        <w:rPr>
          <w:spacing w:val="-3"/>
        </w:rPr>
        <w:t xml:space="preserve"> </w:t>
      </w:r>
      <w:r>
        <w:t>expectation is</w:t>
      </w:r>
      <w:r>
        <w:rPr>
          <w:spacing w:val="-1"/>
        </w:rPr>
        <w:t xml:space="preserve"> </w:t>
      </w:r>
      <w:r>
        <w:t>that</w:t>
      </w:r>
      <w:r>
        <w:rPr>
          <w:spacing w:val="-2"/>
        </w:rPr>
        <w:t xml:space="preserve"> </w:t>
      </w:r>
      <w:r>
        <w:t>it will become</w:t>
      </w:r>
      <w:r>
        <w:rPr>
          <w:spacing w:val="-1"/>
        </w:rPr>
        <w:t xml:space="preserve"> </w:t>
      </w:r>
      <w:r>
        <w:t>responsible</w:t>
      </w:r>
      <w:r>
        <w:rPr>
          <w:spacing w:val="-3"/>
        </w:rPr>
        <w:t xml:space="preserve"> </w:t>
      </w:r>
      <w:r>
        <w:t>for</w:t>
      </w:r>
      <w:r>
        <w:rPr>
          <w:spacing w:val="-1"/>
        </w:rPr>
        <w:t xml:space="preserve"> </w:t>
      </w:r>
      <w:r>
        <w:t>delivery and</w:t>
      </w:r>
      <w:r>
        <w:rPr>
          <w:spacing w:val="-1"/>
        </w:rPr>
        <w:t xml:space="preserve"> </w:t>
      </w:r>
      <w:r>
        <w:t>ongoing</w:t>
      </w:r>
      <w:r>
        <w:rPr>
          <w:spacing w:val="-2"/>
        </w:rPr>
        <w:t xml:space="preserve"> </w:t>
      </w:r>
      <w:r>
        <w:t xml:space="preserve">management of the projects, which are expected to benefit all LMW customers in improvements to the regional environment and water management, and in potential efficiencies through service integration. It is intended that further </w:t>
      </w:r>
      <w:r>
        <w:rPr>
          <w:spacing w:val="-2"/>
        </w:rPr>
        <w:t>consultation</w:t>
      </w:r>
      <w:r>
        <w:rPr>
          <w:spacing w:val="-5"/>
        </w:rPr>
        <w:t xml:space="preserve"> </w:t>
      </w:r>
      <w:r>
        <w:rPr>
          <w:spacing w:val="-2"/>
        </w:rPr>
        <w:t>with</w:t>
      </w:r>
      <w:r>
        <w:rPr>
          <w:spacing w:val="-1"/>
        </w:rPr>
        <w:t xml:space="preserve"> </w:t>
      </w:r>
      <w:r>
        <w:rPr>
          <w:spacing w:val="-2"/>
        </w:rPr>
        <w:t>customers</w:t>
      </w:r>
      <w:r>
        <w:rPr>
          <w:spacing w:val="-1"/>
        </w:rPr>
        <w:t xml:space="preserve"> </w:t>
      </w:r>
      <w:r>
        <w:rPr>
          <w:spacing w:val="-2"/>
        </w:rPr>
        <w:t>on how</w:t>
      </w:r>
      <w:r>
        <w:rPr>
          <w:spacing w:val="-5"/>
        </w:rPr>
        <w:t xml:space="preserve"> </w:t>
      </w:r>
      <w:r>
        <w:rPr>
          <w:spacing w:val="-2"/>
        </w:rPr>
        <w:t>any</w:t>
      </w:r>
      <w:r>
        <w:rPr>
          <w:spacing w:val="-1"/>
        </w:rPr>
        <w:t xml:space="preserve"> </w:t>
      </w:r>
      <w:r>
        <w:rPr>
          <w:spacing w:val="-2"/>
        </w:rPr>
        <w:t>benefits</w:t>
      </w:r>
      <w:r>
        <w:t xml:space="preserve"> </w:t>
      </w:r>
      <w:r>
        <w:rPr>
          <w:spacing w:val="-2"/>
        </w:rPr>
        <w:t>can be</w:t>
      </w:r>
      <w:r>
        <w:rPr>
          <w:spacing w:val="-1"/>
        </w:rPr>
        <w:t xml:space="preserve"> </w:t>
      </w:r>
      <w:r>
        <w:rPr>
          <w:spacing w:val="-2"/>
        </w:rPr>
        <w:t>applied</w:t>
      </w:r>
      <w:r>
        <w:rPr>
          <w:spacing w:val="-4"/>
        </w:rPr>
        <w:t xml:space="preserve"> </w:t>
      </w:r>
      <w:r>
        <w:rPr>
          <w:spacing w:val="-2"/>
        </w:rPr>
        <w:t>will</w:t>
      </w:r>
      <w:r>
        <w:rPr>
          <w:spacing w:val="-3"/>
        </w:rPr>
        <w:t xml:space="preserve"> </w:t>
      </w:r>
      <w:r>
        <w:rPr>
          <w:spacing w:val="-2"/>
        </w:rPr>
        <w:t>be</w:t>
      </w:r>
      <w:r>
        <w:rPr>
          <w:spacing w:val="-3"/>
        </w:rPr>
        <w:t xml:space="preserve"> </w:t>
      </w:r>
      <w:r>
        <w:rPr>
          <w:spacing w:val="-2"/>
        </w:rPr>
        <w:t>undertaken</w:t>
      </w:r>
      <w:r>
        <w:rPr>
          <w:spacing w:val="-1"/>
        </w:rPr>
        <w:t xml:space="preserve"> </w:t>
      </w:r>
      <w:r>
        <w:rPr>
          <w:spacing w:val="-2"/>
        </w:rPr>
        <w:t>when</w:t>
      </w:r>
      <w:r>
        <w:rPr>
          <w:spacing w:val="-7"/>
        </w:rPr>
        <w:t xml:space="preserve"> </w:t>
      </w:r>
      <w:r>
        <w:rPr>
          <w:spacing w:val="-2"/>
        </w:rPr>
        <w:t>additional</w:t>
      </w:r>
      <w:r>
        <w:rPr>
          <w:spacing w:val="-6"/>
        </w:rPr>
        <w:t xml:space="preserve"> </w:t>
      </w:r>
      <w:r>
        <w:rPr>
          <w:spacing w:val="-2"/>
        </w:rPr>
        <w:t>detail</w:t>
      </w:r>
      <w:r>
        <w:rPr>
          <w:spacing w:val="-3"/>
        </w:rPr>
        <w:t xml:space="preserve"> </w:t>
      </w:r>
      <w:r>
        <w:rPr>
          <w:spacing w:val="-2"/>
        </w:rPr>
        <w:t>is</w:t>
      </w:r>
      <w:r>
        <w:rPr>
          <w:spacing w:val="-4"/>
        </w:rPr>
        <w:t xml:space="preserve"> </w:t>
      </w:r>
      <w:r>
        <w:rPr>
          <w:spacing w:val="-2"/>
        </w:rPr>
        <w:t>known.</w:t>
      </w:r>
    </w:p>
    <w:p w14:paraId="0028D223" w14:textId="77777777" w:rsidR="00141B97" w:rsidRDefault="00141B97">
      <w:pPr>
        <w:pStyle w:val="BodyText"/>
      </w:pPr>
    </w:p>
    <w:p w14:paraId="39123DFD" w14:textId="77777777" w:rsidR="00141B97" w:rsidRDefault="00911D63">
      <w:pPr>
        <w:pStyle w:val="BodyText"/>
        <w:spacing w:before="1"/>
        <w:ind w:left="112" w:right="109"/>
        <w:jc w:val="both"/>
      </w:pPr>
      <w:r>
        <w:t xml:space="preserve">A number of individual projects have been nominated as uncertain, due to incomplete scope, timing, costs, and benefits. In these cases, provision has been made in the capital program for relevant business case or design </w:t>
      </w:r>
      <w:r>
        <w:rPr>
          <w:spacing w:val="-2"/>
        </w:rPr>
        <w:t>development.</w:t>
      </w:r>
    </w:p>
    <w:p w14:paraId="0BE0F260" w14:textId="77777777" w:rsidR="00141B97" w:rsidRDefault="00141B97">
      <w:pPr>
        <w:jc w:val="both"/>
        <w:sectPr w:rsidR="00141B97">
          <w:pgSz w:w="12240" w:h="15840"/>
          <w:pgMar w:top="820" w:right="880" w:bottom="1200" w:left="1020" w:header="0" w:footer="1014" w:gutter="0"/>
          <w:cols w:space="720"/>
        </w:sectPr>
      </w:pPr>
    </w:p>
    <w:p w14:paraId="4FBEF81C" w14:textId="77777777" w:rsidR="00141B97" w:rsidRDefault="00911D63">
      <w:pPr>
        <w:pStyle w:val="Heading1"/>
        <w:ind w:left="460"/>
      </w:pPr>
      <w:r>
        <w:rPr>
          <w:color w:val="006CA3"/>
        </w:rPr>
        <w:lastRenderedPageBreak/>
        <w:t>Table</w:t>
      </w:r>
      <w:r>
        <w:rPr>
          <w:color w:val="006CA3"/>
          <w:spacing w:val="-1"/>
        </w:rPr>
        <w:t xml:space="preserve"> </w:t>
      </w:r>
      <w:r>
        <w:rPr>
          <w:color w:val="006CA3"/>
        </w:rPr>
        <w:t>of</w:t>
      </w:r>
      <w:r>
        <w:rPr>
          <w:color w:val="006CA3"/>
          <w:spacing w:val="-1"/>
        </w:rPr>
        <w:t xml:space="preserve"> </w:t>
      </w:r>
      <w:r>
        <w:rPr>
          <w:color w:val="006CA3"/>
        </w:rPr>
        <w:t>Contents</w:t>
      </w:r>
      <w:r>
        <w:rPr>
          <w:color w:val="006CA3"/>
          <w:spacing w:val="1"/>
        </w:rPr>
        <w:t xml:space="preserve"> </w:t>
      </w:r>
      <w:r>
        <w:rPr>
          <w:color w:val="006CA3"/>
          <w:spacing w:val="-2"/>
        </w:rPr>
        <w:t>Summary</w:t>
      </w:r>
    </w:p>
    <w:p w14:paraId="6C411C97" w14:textId="77777777" w:rsidR="00141B97" w:rsidRDefault="00911D63">
      <w:pPr>
        <w:spacing w:before="269"/>
        <w:ind w:left="459" w:right="6802"/>
        <w:rPr>
          <w:i/>
        </w:rPr>
      </w:pPr>
      <w:r>
        <w:rPr>
          <w:i/>
        </w:rPr>
        <w:t>Acknowledgement</w:t>
      </w:r>
      <w:r>
        <w:rPr>
          <w:i/>
          <w:spacing w:val="-13"/>
        </w:rPr>
        <w:t xml:space="preserve"> </w:t>
      </w:r>
      <w:r>
        <w:rPr>
          <w:i/>
        </w:rPr>
        <w:t>of</w:t>
      </w:r>
      <w:r>
        <w:rPr>
          <w:i/>
          <w:spacing w:val="-12"/>
        </w:rPr>
        <w:t xml:space="preserve"> </w:t>
      </w:r>
      <w:r>
        <w:rPr>
          <w:i/>
        </w:rPr>
        <w:t>Country LMW Statement of Promise Board Attestation Statement Executive Summary</w:t>
      </w:r>
    </w:p>
    <w:p w14:paraId="18F2C591" w14:textId="77777777" w:rsidR="00141B97" w:rsidRDefault="00141B97">
      <w:pPr>
        <w:pStyle w:val="BodyText"/>
        <w:rPr>
          <w:i/>
        </w:rPr>
      </w:pPr>
    </w:p>
    <w:p w14:paraId="34921721" w14:textId="77777777" w:rsidR="00141B97" w:rsidRDefault="00141B97">
      <w:pPr>
        <w:pStyle w:val="BodyText"/>
        <w:spacing w:before="3"/>
        <w:rPr>
          <w:i/>
          <w:sz w:val="21"/>
        </w:rPr>
      </w:pPr>
    </w:p>
    <w:p w14:paraId="638E2374" w14:textId="77777777" w:rsidR="00141B97" w:rsidRDefault="00911D63">
      <w:pPr>
        <w:pStyle w:val="Heading2"/>
        <w:ind w:left="460" w:firstLine="0"/>
      </w:pPr>
      <w:r>
        <w:rPr>
          <w:color w:val="009BAC"/>
        </w:rPr>
        <w:t>Part</w:t>
      </w:r>
      <w:r>
        <w:rPr>
          <w:color w:val="009BAC"/>
          <w:spacing w:val="-4"/>
        </w:rPr>
        <w:t xml:space="preserve"> </w:t>
      </w:r>
      <w:r>
        <w:rPr>
          <w:color w:val="009BAC"/>
          <w:spacing w:val="-10"/>
        </w:rPr>
        <w:t>A</w:t>
      </w:r>
    </w:p>
    <w:p w14:paraId="5EF30A81" w14:textId="77777777" w:rsidR="00141B97" w:rsidRDefault="00911D63">
      <w:pPr>
        <w:pStyle w:val="ListParagraph"/>
        <w:numPr>
          <w:ilvl w:val="0"/>
          <w:numId w:val="118"/>
        </w:numPr>
        <w:tabs>
          <w:tab w:val="left" w:pos="1179"/>
          <w:tab w:val="left" w:pos="1180"/>
          <w:tab w:val="right" w:leader="dot" w:pos="9211"/>
        </w:tabs>
        <w:spacing w:before="1"/>
      </w:pPr>
      <w:r>
        <w:rPr>
          <w:spacing w:val="-2"/>
        </w:rPr>
        <w:t>Introduction</w:t>
      </w:r>
      <w:r>
        <w:rPr>
          <w:rFonts w:ascii="Times New Roman"/>
        </w:rPr>
        <w:tab/>
      </w:r>
      <w:r>
        <w:rPr>
          <w:spacing w:val="-10"/>
        </w:rPr>
        <w:t>6</w:t>
      </w:r>
    </w:p>
    <w:p w14:paraId="2CE6F040" w14:textId="77777777" w:rsidR="00141B97" w:rsidRDefault="00911D63">
      <w:pPr>
        <w:pStyle w:val="ListParagraph"/>
        <w:numPr>
          <w:ilvl w:val="0"/>
          <w:numId w:val="118"/>
        </w:numPr>
        <w:tabs>
          <w:tab w:val="left" w:pos="1179"/>
          <w:tab w:val="left" w:pos="1180"/>
          <w:tab w:val="right" w:leader="dot" w:pos="9202"/>
        </w:tabs>
        <w:spacing w:line="268" w:lineRule="exact"/>
      </w:pPr>
      <w:r>
        <w:t>Customer</w:t>
      </w:r>
      <w:r>
        <w:rPr>
          <w:spacing w:val="-8"/>
        </w:rPr>
        <w:t xml:space="preserve"> </w:t>
      </w:r>
      <w:r>
        <w:t>Views,</w:t>
      </w:r>
      <w:r>
        <w:rPr>
          <w:spacing w:val="-10"/>
        </w:rPr>
        <w:t xml:space="preserve"> </w:t>
      </w:r>
      <w:r>
        <w:t>Perspectives</w:t>
      </w:r>
      <w:r>
        <w:rPr>
          <w:spacing w:val="-9"/>
        </w:rPr>
        <w:t xml:space="preserve"> </w:t>
      </w:r>
      <w:r>
        <w:t>&amp;</w:t>
      </w:r>
      <w:r>
        <w:rPr>
          <w:spacing w:val="-9"/>
        </w:rPr>
        <w:t xml:space="preserve"> </w:t>
      </w:r>
      <w:r>
        <w:rPr>
          <w:spacing w:val="-2"/>
        </w:rPr>
        <w:t>Aspirations…</w:t>
      </w:r>
      <w:r>
        <w:rPr>
          <w:rFonts w:ascii="Times New Roman" w:hAnsi="Times New Roman"/>
        </w:rPr>
        <w:tab/>
      </w:r>
      <w:r>
        <w:rPr>
          <w:spacing w:val="-10"/>
        </w:rPr>
        <w:t>9</w:t>
      </w:r>
    </w:p>
    <w:p w14:paraId="329B849E" w14:textId="77777777" w:rsidR="00141B97" w:rsidRDefault="00911D63">
      <w:pPr>
        <w:pStyle w:val="ListParagraph"/>
        <w:numPr>
          <w:ilvl w:val="0"/>
          <w:numId w:val="118"/>
        </w:numPr>
        <w:tabs>
          <w:tab w:val="left" w:pos="1179"/>
          <w:tab w:val="left" w:pos="1180"/>
          <w:tab w:val="right" w:leader="dot" w:pos="9222"/>
        </w:tabs>
        <w:spacing w:line="268" w:lineRule="exact"/>
        <w:ind w:left="1179" w:hanging="721"/>
      </w:pPr>
      <w:r>
        <w:t>LMW</w:t>
      </w:r>
      <w:r>
        <w:rPr>
          <w:spacing w:val="-6"/>
        </w:rPr>
        <w:t xml:space="preserve"> </w:t>
      </w:r>
      <w:r>
        <w:t>and</w:t>
      </w:r>
      <w:r>
        <w:rPr>
          <w:spacing w:val="-5"/>
        </w:rPr>
        <w:t xml:space="preserve"> </w:t>
      </w:r>
      <w:r>
        <w:t>its</w:t>
      </w:r>
      <w:r>
        <w:rPr>
          <w:spacing w:val="-5"/>
        </w:rPr>
        <w:t xml:space="preserve"> </w:t>
      </w:r>
      <w:r>
        <w:t>Strategic</w:t>
      </w:r>
      <w:r>
        <w:rPr>
          <w:spacing w:val="-5"/>
        </w:rPr>
        <w:t xml:space="preserve"> </w:t>
      </w:r>
      <w:r>
        <w:rPr>
          <w:spacing w:val="-2"/>
          <w:w w:val="95"/>
        </w:rPr>
        <w:t>Response</w:t>
      </w:r>
      <w:r>
        <w:rPr>
          <w:rFonts w:ascii="Times New Roman"/>
        </w:rPr>
        <w:tab/>
      </w:r>
      <w:r>
        <w:rPr>
          <w:spacing w:val="-5"/>
        </w:rPr>
        <w:t>20</w:t>
      </w:r>
    </w:p>
    <w:p w14:paraId="133B722D" w14:textId="77777777" w:rsidR="00141B97" w:rsidRDefault="00911D63">
      <w:pPr>
        <w:pStyle w:val="ListParagraph"/>
        <w:numPr>
          <w:ilvl w:val="0"/>
          <w:numId w:val="118"/>
        </w:numPr>
        <w:tabs>
          <w:tab w:val="left" w:pos="1179"/>
          <w:tab w:val="left" w:pos="1180"/>
          <w:tab w:val="right" w:leader="dot" w:pos="9221"/>
        </w:tabs>
        <w:ind w:left="1179" w:hanging="721"/>
      </w:pPr>
      <w:r>
        <w:t>Governance</w:t>
      </w:r>
      <w:r>
        <w:rPr>
          <w:spacing w:val="-10"/>
        </w:rPr>
        <w:t xml:space="preserve"> </w:t>
      </w:r>
      <w:r>
        <w:t>and</w:t>
      </w:r>
      <w:r>
        <w:rPr>
          <w:spacing w:val="-7"/>
        </w:rPr>
        <w:t xml:space="preserve"> </w:t>
      </w:r>
      <w:r>
        <w:rPr>
          <w:spacing w:val="-2"/>
        </w:rPr>
        <w:t>Management</w:t>
      </w:r>
      <w:r>
        <w:rPr>
          <w:rFonts w:ascii="Times New Roman"/>
        </w:rPr>
        <w:tab/>
      </w:r>
      <w:r>
        <w:rPr>
          <w:spacing w:val="-5"/>
        </w:rPr>
        <w:t>23</w:t>
      </w:r>
    </w:p>
    <w:p w14:paraId="6A97D47A" w14:textId="77777777" w:rsidR="00141B97" w:rsidRDefault="00911D63">
      <w:pPr>
        <w:pStyle w:val="ListParagraph"/>
        <w:numPr>
          <w:ilvl w:val="0"/>
          <w:numId w:val="118"/>
        </w:numPr>
        <w:tabs>
          <w:tab w:val="left" w:pos="1179"/>
          <w:tab w:val="left" w:pos="1180"/>
          <w:tab w:val="right" w:leader="dot" w:pos="9226"/>
        </w:tabs>
        <w:spacing w:before="1"/>
        <w:ind w:left="1179" w:hanging="721"/>
      </w:pPr>
      <w:r>
        <w:t>PREMO</w:t>
      </w:r>
      <w:r>
        <w:rPr>
          <w:spacing w:val="-11"/>
        </w:rPr>
        <w:t xml:space="preserve"> </w:t>
      </w:r>
      <w:r>
        <w:rPr>
          <w:spacing w:val="-2"/>
        </w:rPr>
        <w:t>Self‐Assessment…</w:t>
      </w:r>
      <w:r>
        <w:rPr>
          <w:rFonts w:ascii="Times New Roman" w:hAnsi="Times New Roman"/>
        </w:rPr>
        <w:tab/>
      </w:r>
      <w:r>
        <w:rPr>
          <w:spacing w:val="-5"/>
        </w:rPr>
        <w:t>31</w:t>
      </w:r>
    </w:p>
    <w:p w14:paraId="5DBF4BFF" w14:textId="77777777" w:rsidR="00141B97" w:rsidRDefault="00911D63">
      <w:pPr>
        <w:pStyle w:val="ListParagraph"/>
        <w:numPr>
          <w:ilvl w:val="0"/>
          <w:numId w:val="118"/>
        </w:numPr>
        <w:tabs>
          <w:tab w:val="left" w:pos="1179"/>
          <w:tab w:val="left" w:pos="1180"/>
          <w:tab w:val="right" w:leader="dot" w:pos="9222"/>
        </w:tabs>
        <w:ind w:left="1179" w:hanging="721"/>
      </w:pPr>
      <w:r>
        <w:t>Risk</w:t>
      </w:r>
      <w:r>
        <w:rPr>
          <w:spacing w:val="-8"/>
        </w:rPr>
        <w:t xml:space="preserve"> </w:t>
      </w:r>
      <w:r>
        <w:rPr>
          <w:spacing w:val="-2"/>
        </w:rPr>
        <w:t>Management…</w:t>
      </w:r>
      <w:r>
        <w:rPr>
          <w:rFonts w:ascii="Times New Roman" w:hAnsi="Times New Roman"/>
        </w:rPr>
        <w:tab/>
      </w:r>
      <w:r>
        <w:rPr>
          <w:spacing w:val="-7"/>
        </w:rPr>
        <w:t>35</w:t>
      </w:r>
    </w:p>
    <w:p w14:paraId="0ED36343" w14:textId="77777777" w:rsidR="00141B97" w:rsidRDefault="00911D63">
      <w:pPr>
        <w:pStyle w:val="ListParagraph"/>
        <w:numPr>
          <w:ilvl w:val="0"/>
          <w:numId w:val="118"/>
        </w:numPr>
        <w:tabs>
          <w:tab w:val="left" w:pos="1179"/>
          <w:tab w:val="left" w:pos="1180"/>
          <w:tab w:val="right" w:leader="dot" w:pos="9215"/>
        </w:tabs>
        <w:ind w:left="1179" w:hanging="721"/>
      </w:pPr>
      <w:r>
        <w:t>LMW</w:t>
      </w:r>
      <w:r>
        <w:rPr>
          <w:spacing w:val="-9"/>
        </w:rPr>
        <w:t xml:space="preserve"> </w:t>
      </w:r>
      <w:r>
        <w:t>Overall</w:t>
      </w:r>
      <w:r>
        <w:rPr>
          <w:spacing w:val="-7"/>
        </w:rPr>
        <w:t xml:space="preserve"> </w:t>
      </w:r>
      <w:r>
        <w:t>Financial</w:t>
      </w:r>
      <w:r>
        <w:rPr>
          <w:spacing w:val="-9"/>
        </w:rPr>
        <w:t xml:space="preserve"> </w:t>
      </w:r>
      <w:r>
        <w:rPr>
          <w:spacing w:val="-2"/>
        </w:rPr>
        <w:t>Position…</w:t>
      </w:r>
      <w:r>
        <w:rPr>
          <w:rFonts w:ascii="Times New Roman" w:hAnsi="Times New Roman"/>
        </w:rPr>
        <w:tab/>
      </w:r>
      <w:r>
        <w:rPr>
          <w:spacing w:val="-5"/>
        </w:rPr>
        <w:t>39</w:t>
      </w:r>
    </w:p>
    <w:p w14:paraId="5E93AAD9" w14:textId="77777777" w:rsidR="00141B97" w:rsidRDefault="00911D63">
      <w:pPr>
        <w:pStyle w:val="Heading2"/>
        <w:spacing w:before="340"/>
        <w:ind w:left="460" w:firstLine="0"/>
      </w:pPr>
      <w:r>
        <w:rPr>
          <w:color w:val="009BAC"/>
        </w:rPr>
        <w:t>Part</w:t>
      </w:r>
      <w:r>
        <w:rPr>
          <w:color w:val="009BAC"/>
          <w:spacing w:val="-2"/>
        </w:rPr>
        <w:t xml:space="preserve"> </w:t>
      </w:r>
      <w:r>
        <w:rPr>
          <w:color w:val="009BAC"/>
        </w:rPr>
        <w:t>B</w:t>
      </w:r>
      <w:r>
        <w:rPr>
          <w:color w:val="009BAC"/>
          <w:spacing w:val="-3"/>
        </w:rPr>
        <w:t xml:space="preserve"> </w:t>
      </w:r>
      <w:r>
        <w:rPr>
          <w:color w:val="009BAC"/>
        </w:rPr>
        <w:t>–</w:t>
      </w:r>
      <w:r>
        <w:rPr>
          <w:color w:val="009BAC"/>
          <w:spacing w:val="-2"/>
        </w:rPr>
        <w:t xml:space="preserve"> </w:t>
      </w:r>
      <w:r>
        <w:rPr>
          <w:color w:val="009BAC"/>
          <w:spacing w:val="-4"/>
        </w:rPr>
        <w:t>Urban</w:t>
      </w:r>
    </w:p>
    <w:p w14:paraId="620E38CC" w14:textId="77777777" w:rsidR="00141B97" w:rsidRDefault="00911D63">
      <w:pPr>
        <w:pStyle w:val="ListParagraph"/>
        <w:numPr>
          <w:ilvl w:val="0"/>
          <w:numId w:val="117"/>
        </w:numPr>
        <w:tabs>
          <w:tab w:val="left" w:pos="1179"/>
          <w:tab w:val="left" w:pos="1180"/>
          <w:tab w:val="right" w:leader="dot" w:pos="9182"/>
        </w:tabs>
        <w:spacing w:before="1"/>
      </w:pPr>
      <w:r>
        <w:rPr>
          <w:spacing w:val="-2"/>
        </w:rPr>
        <w:t>Introduction</w:t>
      </w:r>
      <w:r>
        <w:rPr>
          <w:rFonts w:ascii="Times New Roman"/>
        </w:rPr>
        <w:tab/>
      </w:r>
      <w:r>
        <w:rPr>
          <w:spacing w:val="-5"/>
        </w:rPr>
        <w:t>46</w:t>
      </w:r>
    </w:p>
    <w:p w14:paraId="56A5CE83" w14:textId="77777777" w:rsidR="00141B97" w:rsidRDefault="00911D63">
      <w:pPr>
        <w:pStyle w:val="ListParagraph"/>
        <w:numPr>
          <w:ilvl w:val="0"/>
          <w:numId w:val="117"/>
        </w:numPr>
        <w:tabs>
          <w:tab w:val="left" w:pos="1179"/>
          <w:tab w:val="left" w:pos="1180"/>
          <w:tab w:val="right" w:leader="dot" w:pos="9177"/>
        </w:tabs>
        <w:spacing w:before="1"/>
      </w:pPr>
      <w:r>
        <w:rPr>
          <w:spacing w:val="-2"/>
        </w:rPr>
        <w:t>Performance…</w:t>
      </w:r>
      <w:r>
        <w:rPr>
          <w:rFonts w:ascii="Times New Roman" w:hAnsi="Times New Roman"/>
        </w:rPr>
        <w:tab/>
      </w:r>
      <w:r>
        <w:rPr>
          <w:spacing w:val="-5"/>
          <w:w w:val="95"/>
        </w:rPr>
        <w:t>46</w:t>
      </w:r>
    </w:p>
    <w:p w14:paraId="31F060B7" w14:textId="77777777" w:rsidR="00141B97" w:rsidRDefault="00911D63">
      <w:pPr>
        <w:pStyle w:val="ListParagraph"/>
        <w:numPr>
          <w:ilvl w:val="0"/>
          <w:numId w:val="117"/>
        </w:numPr>
        <w:tabs>
          <w:tab w:val="left" w:pos="1179"/>
          <w:tab w:val="left" w:pos="1180"/>
          <w:tab w:val="right" w:leader="dot" w:pos="9197"/>
        </w:tabs>
        <w:spacing w:line="268" w:lineRule="exact"/>
      </w:pPr>
      <w:r>
        <w:rPr>
          <w:spacing w:val="-2"/>
        </w:rPr>
        <w:t>Customer</w:t>
      </w:r>
      <w:r>
        <w:rPr>
          <w:spacing w:val="2"/>
        </w:rPr>
        <w:t xml:space="preserve"> </w:t>
      </w:r>
      <w:r>
        <w:rPr>
          <w:spacing w:val="-2"/>
        </w:rPr>
        <w:t>Outcomes</w:t>
      </w:r>
      <w:r>
        <w:rPr>
          <w:rFonts w:ascii="Times New Roman"/>
        </w:rPr>
        <w:tab/>
      </w:r>
      <w:r>
        <w:rPr>
          <w:spacing w:val="-5"/>
        </w:rPr>
        <w:t>58</w:t>
      </w:r>
    </w:p>
    <w:p w14:paraId="6DBB203F" w14:textId="77777777" w:rsidR="00141B97" w:rsidRDefault="00911D63">
      <w:pPr>
        <w:pStyle w:val="ListParagraph"/>
        <w:numPr>
          <w:ilvl w:val="0"/>
          <w:numId w:val="117"/>
        </w:numPr>
        <w:tabs>
          <w:tab w:val="left" w:pos="1179"/>
          <w:tab w:val="left" w:pos="1180"/>
          <w:tab w:val="right" w:leader="dot" w:pos="9189"/>
        </w:tabs>
        <w:spacing w:line="268" w:lineRule="exact"/>
      </w:pPr>
      <w:r>
        <w:t>Revenue</w:t>
      </w:r>
      <w:r>
        <w:rPr>
          <w:spacing w:val="-10"/>
        </w:rPr>
        <w:t xml:space="preserve"> </w:t>
      </w:r>
      <w:r>
        <w:t>and</w:t>
      </w:r>
      <w:r>
        <w:rPr>
          <w:spacing w:val="-10"/>
        </w:rPr>
        <w:t xml:space="preserve"> </w:t>
      </w:r>
      <w:r>
        <w:t>Financial</w:t>
      </w:r>
      <w:r>
        <w:rPr>
          <w:spacing w:val="-11"/>
        </w:rPr>
        <w:t xml:space="preserve"> </w:t>
      </w:r>
      <w:r>
        <w:rPr>
          <w:spacing w:val="-2"/>
        </w:rPr>
        <w:t>Parameters…</w:t>
      </w:r>
      <w:r>
        <w:rPr>
          <w:rFonts w:ascii="Times New Roman" w:hAnsi="Times New Roman"/>
        </w:rPr>
        <w:tab/>
      </w:r>
      <w:r>
        <w:rPr>
          <w:spacing w:val="-5"/>
        </w:rPr>
        <w:t>67</w:t>
      </w:r>
    </w:p>
    <w:p w14:paraId="3ED113F0" w14:textId="77777777" w:rsidR="00141B97" w:rsidRDefault="00911D63">
      <w:pPr>
        <w:pStyle w:val="ListParagraph"/>
        <w:numPr>
          <w:ilvl w:val="0"/>
          <w:numId w:val="117"/>
        </w:numPr>
        <w:tabs>
          <w:tab w:val="left" w:pos="1179"/>
          <w:tab w:val="left" w:pos="1180"/>
          <w:tab w:val="right" w:leader="dot" w:pos="9200"/>
        </w:tabs>
      </w:pPr>
      <w:r>
        <w:rPr>
          <w:spacing w:val="-2"/>
        </w:rPr>
        <w:t>Prices</w:t>
      </w:r>
      <w:r>
        <w:rPr>
          <w:rFonts w:ascii="Times New Roman"/>
        </w:rPr>
        <w:tab/>
      </w:r>
      <w:r>
        <w:rPr>
          <w:spacing w:val="-5"/>
        </w:rPr>
        <w:t>84</w:t>
      </w:r>
    </w:p>
    <w:p w14:paraId="75F6AC2F" w14:textId="77777777" w:rsidR="00141B97" w:rsidRDefault="00911D63">
      <w:pPr>
        <w:pStyle w:val="Heading2"/>
        <w:spacing w:before="342"/>
        <w:ind w:left="459" w:firstLine="0"/>
      </w:pPr>
      <w:r>
        <w:rPr>
          <w:color w:val="009BAC"/>
        </w:rPr>
        <w:t>Part</w:t>
      </w:r>
      <w:r>
        <w:rPr>
          <w:color w:val="009BAC"/>
          <w:spacing w:val="-2"/>
        </w:rPr>
        <w:t xml:space="preserve"> </w:t>
      </w:r>
      <w:r>
        <w:rPr>
          <w:color w:val="009BAC"/>
        </w:rPr>
        <w:t>C</w:t>
      </w:r>
      <w:r>
        <w:rPr>
          <w:color w:val="009BAC"/>
          <w:spacing w:val="-2"/>
        </w:rPr>
        <w:t xml:space="preserve"> </w:t>
      </w:r>
      <w:r>
        <w:rPr>
          <w:color w:val="009BAC"/>
        </w:rPr>
        <w:t>‐</w:t>
      </w:r>
      <w:r>
        <w:rPr>
          <w:color w:val="009BAC"/>
          <w:spacing w:val="-2"/>
        </w:rPr>
        <w:t xml:space="preserve"> Rural</w:t>
      </w:r>
    </w:p>
    <w:p w14:paraId="13388AA7" w14:textId="77777777" w:rsidR="00141B97" w:rsidRDefault="00911D63">
      <w:pPr>
        <w:pStyle w:val="ListParagraph"/>
        <w:numPr>
          <w:ilvl w:val="0"/>
          <w:numId w:val="116"/>
        </w:numPr>
        <w:tabs>
          <w:tab w:val="left" w:pos="1179"/>
          <w:tab w:val="left" w:pos="1180"/>
          <w:tab w:val="right" w:leader="dot" w:pos="9182"/>
        </w:tabs>
        <w:spacing w:line="268" w:lineRule="exact"/>
      </w:pPr>
      <w:r>
        <w:rPr>
          <w:spacing w:val="-2"/>
        </w:rPr>
        <w:t>Introduction</w:t>
      </w:r>
      <w:r>
        <w:rPr>
          <w:rFonts w:ascii="Times New Roman"/>
        </w:rPr>
        <w:tab/>
      </w:r>
      <w:r>
        <w:rPr>
          <w:spacing w:val="-5"/>
        </w:rPr>
        <w:t>94</w:t>
      </w:r>
    </w:p>
    <w:p w14:paraId="7B2BDAA4" w14:textId="77777777" w:rsidR="00141B97" w:rsidRDefault="00911D63">
      <w:pPr>
        <w:pStyle w:val="ListParagraph"/>
        <w:numPr>
          <w:ilvl w:val="0"/>
          <w:numId w:val="116"/>
        </w:numPr>
        <w:tabs>
          <w:tab w:val="left" w:pos="1179"/>
          <w:tab w:val="left" w:pos="1180"/>
          <w:tab w:val="right" w:leader="dot" w:pos="9177"/>
        </w:tabs>
        <w:spacing w:line="268" w:lineRule="exact"/>
      </w:pPr>
      <w:r>
        <w:rPr>
          <w:spacing w:val="-2"/>
        </w:rPr>
        <w:t>Performance…</w:t>
      </w:r>
      <w:r>
        <w:rPr>
          <w:rFonts w:ascii="Times New Roman" w:hAnsi="Times New Roman"/>
        </w:rPr>
        <w:tab/>
      </w:r>
      <w:r>
        <w:rPr>
          <w:spacing w:val="-5"/>
          <w:w w:val="95"/>
        </w:rPr>
        <w:t>94</w:t>
      </w:r>
    </w:p>
    <w:p w14:paraId="5C6FCBB3" w14:textId="77777777" w:rsidR="00141B97" w:rsidRDefault="00911D63">
      <w:pPr>
        <w:pStyle w:val="ListParagraph"/>
        <w:numPr>
          <w:ilvl w:val="0"/>
          <w:numId w:val="116"/>
        </w:numPr>
        <w:tabs>
          <w:tab w:val="left" w:pos="1179"/>
          <w:tab w:val="left" w:pos="1180"/>
          <w:tab w:val="right" w:leader="dot" w:pos="9158"/>
        </w:tabs>
        <w:spacing w:before="1"/>
      </w:pPr>
      <w:r>
        <w:rPr>
          <w:spacing w:val="-2"/>
        </w:rPr>
        <w:t>Customer</w:t>
      </w:r>
      <w:r>
        <w:rPr>
          <w:spacing w:val="2"/>
        </w:rPr>
        <w:t xml:space="preserve"> </w:t>
      </w:r>
      <w:r>
        <w:rPr>
          <w:spacing w:val="-2"/>
        </w:rPr>
        <w:t>Outcomes</w:t>
      </w:r>
      <w:r>
        <w:rPr>
          <w:rFonts w:ascii="Times New Roman"/>
        </w:rPr>
        <w:tab/>
      </w:r>
      <w:r>
        <w:rPr>
          <w:spacing w:val="-5"/>
        </w:rPr>
        <w:t>101</w:t>
      </w:r>
    </w:p>
    <w:p w14:paraId="47E67143" w14:textId="77777777" w:rsidR="00141B97" w:rsidRDefault="00911D63">
      <w:pPr>
        <w:pStyle w:val="ListParagraph"/>
        <w:numPr>
          <w:ilvl w:val="0"/>
          <w:numId w:val="116"/>
        </w:numPr>
        <w:tabs>
          <w:tab w:val="left" w:pos="1179"/>
          <w:tab w:val="left" w:pos="1180"/>
          <w:tab w:val="right" w:leader="dot" w:pos="9167"/>
        </w:tabs>
      </w:pPr>
      <w:r>
        <w:rPr>
          <w:spacing w:val="-2"/>
        </w:rPr>
        <w:t>Revenue</w:t>
      </w:r>
      <w:r>
        <w:t xml:space="preserve"> </w:t>
      </w:r>
      <w:r>
        <w:rPr>
          <w:spacing w:val="-2"/>
        </w:rPr>
        <w:t>Requirement…</w:t>
      </w:r>
      <w:r>
        <w:rPr>
          <w:rFonts w:ascii="Times New Roman" w:hAnsi="Times New Roman"/>
        </w:rPr>
        <w:tab/>
      </w:r>
      <w:r>
        <w:rPr>
          <w:spacing w:val="-5"/>
        </w:rPr>
        <w:t>109</w:t>
      </w:r>
    </w:p>
    <w:p w14:paraId="6E93EC02" w14:textId="77777777" w:rsidR="00141B97" w:rsidRDefault="00911D63">
      <w:pPr>
        <w:pStyle w:val="ListParagraph"/>
        <w:numPr>
          <w:ilvl w:val="0"/>
          <w:numId w:val="116"/>
        </w:numPr>
        <w:tabs>
          <w:tab w:val="left" w:pos="1179"/>
          <w:tab w:val="left" w:pos="1180"/>
          <w:tab w:val="right" w:leader="dot" w:pos="9163"/>
        </w:tabs>
      </w:pPr>
      <w:r>
        <w:rPr>
          <w:spacing w:val="-2"/>
        </w:rPr>
        <w:t>Prices</w:t>
      </w:r>
      <w:r>
        <w:rPr>
          <w:rFonts w:ascii="Times New Roman"/>
        </w:rPr>
        <w:tab/>
      </w:r>
      <w:r>
        <w:rPr>
          <w:spacing w:val="-5"/>
        </w:rPr>
        <w:t>124</w:t>
      </w:r>
    </w:p>
    <w:p w14:paraId="3BD1EC4F" w14:textId="77777777" w:rsidR="00141B97" w:rsidRDefault="00911D63">
      <w:pPr>
        <w:pStyle w:val="Heading2"/>
        <w:spacing w:before="341"/>
        <w:ind w:left="460" w:firstLine="0"/>
      </w:pPr>
      <w:r>
        <w:rPr>
          <w:color w:val="009BAC"/>
          <w:spacing w:val="-2"/>
        </w:rPr>
        <w:t>Appendices</w:t>
      </w:r>
    </w:p>
    <w:p w14:paraId="7F63559B" w14:textId="77777777" w:rsidR="00141B97" w:rsidRDefault="00911D63">
      <w:pPr>
        <w:pStyle w:val="ListParagraph"/>
        <w:numPr>
          <w:ilvl w:val="0"/>
          <w:numId w:val="115"/>
        </w:numPr>
        <w:tabs>
          <w:tab w:val="left" w:pos="1179"/>
          <w:tab w:val="left" w:pos="1180"/>
          <w:tab w:val="right" w:leader="dot" w:pos="9173"/>
        </w:tabs>
      </w:pPr>
      <w:r>
        <w:t>Part</w:t>
      </w:r>
      <w:r>
        <w:rPr>
          <w:spacing w:val="-7"/>
        </w:rPr>
        <w:t xml:space="preserve"> </w:t>
      </w:r>
      <w:r>
        <w:rPr>
          <w:spacing w:val="-10"/>
        </w:rPr>
        <w:t>A</w:t>
      </w:r>
      <w:r>
        <w:rPr>
          <w:rFonts w:ascii="Times New Roman"/>
        </w:rPr>
        <w:tab/>
      </w:r>
      <w:r>
        <w:rPr>
          <w:spacing w:val="-5"/>
        </w:rPr>
        <w:t>130</w:t>
      </w:r>
    </w:p>
    <w:p w14:paraId="20D82361" w14:textId="77777777" w:rsidR="00141B97" w:rsidRDefault="00911D63">
      <w:pPr>
        <w:pStyle w:val="ListParagraph"/>
        <w:numPr>
          <w:ilvl w:val="0"/>
          <w:numId w:val="115"/>
        </w:numPr>
        <w:tabs>
          <w:tab w:val="left" w:pos="1179"/>
          <w:tab w:val="left" w:pos="1180"/>
          <w:tab w:val="right" w:leader="dot" w:pos="9185"/>
        </w:tabs>
        <w:spacing w:before="1"/>
        <w:ind w:hanging="721"/>
      </w:pPr>
      <w:r>
        <w:t>Part</w:t>
      </w:r>
      <w:r>
        <w:rPr>
          <w:spacing w:val="-4"/>
        </w:rPr>
        <w:t xml:space="preserve"> </w:t>
      </w:r>
      <w:r>
        <w:t>B</w:t>
      </w:r>
      <w:r>
        <w:rPr>
          <w:spacing w:val="-3"/>
        </w:rPr>
        <w:t xml:space="preserve"> </w:t>
      </w:r>
      <w:r>
        <w:t>–</w:t>
      </w:r>
      <w:r>
        <w:rPr>
          <w:spacing w:val="-3"/>
        </w:rPr>
        <w:t xml:space="preserve"> </w:t>
      </w:r>
      <w:r>
        <w:rPr>
          <w:spacing w:val="-2"/>
        </w:rPr>
        <w:t>Urban…</w:t>
      </w:r>
      <w:r>
        <w:rPr>
          <w:rFonts w:ascii="Times New Roman" w:hAnsi="Times New Roman"/>
        </w:rPr>
        <w:tab/>
      </w:r>
      <w:r>
        <w:rPr>
          <w:spacing w:val="-5"/>
        </w:rPr>
        <w:t>133</w:t>
      </w:r>
    </w:p>
    <w:p w14:paraId="1ED214AF" w14:textId="77777777" w:rsidR="00141B97" w:rsidRDefault="00911D63">
      <w:pPr>
        <w:pStyle w:val="ListParagraph"/>
        <w:numPr>
          <w:ilvl w:val="0"/>
          <w:numId w:val="115"/>
        </w:numPr>
        <w:tabs>
          <w:tab w:val="left" w:pos="1179"/>
          <w:tab w:val="left" w:pos="1180"/>
          <w:tab w:val="right" w:leader="dot" w:pos="9191"/>
        </w:tabs>
        <w:ind w:left="1179" w:hanging="721"/>
      </w:pPr>
      <w:r>
        <w:t>Part</w:t>
      </w:r>
      <w:r>
        <w:rPr>
          <w:spacing w:val="-4"/>
        </w:rPr>
        <w:t xml:space="preserve"> </w:t>
      </w:r>
      <w:r>
        <w:t>C</w:t>
      </w:r>
      <w:r>
        <w:rPr>
          <w:spacing w:val="-3"/>
        </w:rPr>
        <w:t xml:space="preserve"> </w:t>
      </w:r>
      <w:r>
        <w:t>–</w:t>
      </w:r>
      <w:r>
        <w:rPr>
          <w:spacing w:val="-3"/>
        </w:rPr>
        <w:t xml:space="preserve"> </w:t>
      </w:r>
      <w:r>
        <w:rPr>
          <w:spacing w:val="-2"/>
        </w:rPr>
        <w:t>Rural…</w:t>
      </w:r>
      <w:r>
        <w:rPr>
          <w:rFonts w:ascii="Times New Roman" w:hAnsi="Times New Roman"/>
        </w:rPr>
        <w:tab/>
      </w:r>
      <w:r>
        <w:rPr>
          <w:spacing w:val="-5"/>
        </w:rPr>
        <w:t>147</w:t>
      </w:r>
    </w:p>
    <w:p w14:paraId="7C704C3F" w14:textId="77777777" w:rsidR="00141B97" w:rsidRDefault="00141B97">
      <w:pPr>
        <w:pStyle w:val="BodyText"/>
        <w:rPr>
          <w:sz w:val="18"/>
        </w:rPr>
      </w:pPr>
    </w:p>
    <w:p w14:paraId="7B2A0272" w14:textId="77777777" w:rsidR="00141B97" w:rsidRDefault="00141B97">
      <w:pPr>
        <w:pStyle w:val="BodyText"/>
        <w:rPr>
          <w:sz w:val="18"/>
        </w:rPr>
      </w:pPr>
    </w:p>
    <w:p w14:paraId="15ACCF78" w14:textId="77777777" w:rsidR="00141B97" w:rsidRDefault="00141B97">
      <w:pPr>
        <w:pStyle w:val="BodyText"/>
        <w:rPr>
          <w:sz w:val="18"/>
        </w:rPr>
      </w:pPr>
    </w:p>
    <w:p w14:paraId="219FF268" w14:textId="77777777" w:rsidR="00141B97" w:rsidRDefault="00141B97">
      <w:pPr>
        <w:pStyle w:val="BodyText"/>
        <w:rPr>
          <w:sz w:val="18"/>
        </w:rPr>
      </w:pPr>
    </w:p>
    <w:p w14:paraId="10234205" w14:textId="77777777" w:rsidR="00141B97" w:rsidRDefault="00141B97">
      <w:pPr>
        <w:pStyle w:val="BodyText"/>
        <w:rPr>
          <w:sz w:val="18"/>
        </w:rPr>
      </w:pPr>
    </w:p>
    <w:p w14:paraId="33A8832C" w14:textId="77777777" w:rsidR="00141B97" w:rsidRDefault="00141B97">
      <w:pPr>
        <w:pStyle w:val="BodyText"/>
        <w:rPr>
          <w:sz w:val="18"/>
        </w:rPr>
      </w:pPr>
    </w:p>
    <w:p w14:paraId="62BD0227" w14:textId="77777777" w:rsidR="00141B97" w:rsidRDefault="00141B97">
      <w:pPr>
        <w:pStyle w:val="BodyText"/>
        <w:rPr>
          <w:sz w:val="18"/>
        </w:rPr>
      </w:pPr>
    </w:p>
    <w:p w14:paraId="080883D7" w14:textId="77777777" w:rsidR="00141B97" w:rsidRDefault="00141B97">
      <w:pPr>
        <w:pStyle w:val="BodyText"/>
        <w:rPr>
          <w:sz w:val="18"/>
        </w:rPr>
      </w:pPr>
    </w:p>
    <w:p w14:paraId="49B67146" w14:textId="77777777" w:rsidR="00141B97" w:rsidRDefault="00141B97">
      <w:pPr>
        <w:pStyle w:val="BodyText"/>
        <w:rPr>
          <w:sz w:val="18"/>
        </w:rPr>
      </w:pPr>
    </w:p>
    <w:p w14:paraId="77245DAC" w14:textId="77777777" w:rsidR="00141B97" w:rsidRDefault="00141B97">
      <w:pPr>
        <w:pStyle w:val="BodyText"/>
        <w:rPr>
          <w:sz w:val="18"/>
        </w:rPr>
      </w:pPr>
    </w:p>
    <w:p w14:paraId="492A881E" w14:textId="77777777" w:rsidR="00141B97" w:rsidRDefault="00141B97">
      <w:pPr>
        <w:pStyle w:val="BodyText"/>
        <w:rPr>
          <w:sz w:val="18"/>
        </w:rPr>
      </w:pPr>
    </w:p>
    <w:p w14:paraId="7FB4D1D1" w14:textId="77777777" w:rsidR="00141B97" w:rsidRDefault="00141B97">
      <w:pPr>
        <w:pStyle w:val="BodyText"/>
        <w:rPr>
          <w:sz w:val="18"/>
        </w:rPr>
      </w:pPr>
    </w:p>
    <w:p w14:paraId="56E246D8" w14:textId="77777777" w:rsidR="00141B97" w:rsidRDefault="00141B97">
      <w:pPr>
        <w:pStyle w:val="BodyText"/>
        <w:rPr>
          <w:sz w:val="18"/>
        </w:rPr>
      </w:pPr>
    </w:p>
    <w:p w14:paraId="41C4B97D" w14:textId="77777777" w:rsidR="00141B97" w:rsidRDefault="00141B97">
      <w:pPr>
        <w:pStyle w:val="BodyText"/>
        <w:rPr>
          <w:sz w:val="18"/>
        </w:rPr>
      </w:pPr>
    </w:p>
    <w:p w14:paraId="330CD544" w14:textId="77777777" w:rsidR="00141B97" w:rsidRDefault="00141B97">
      <w:pPr>
        <w:pStyle w:val="BodyText"/>
        <w:rPr>
          <w:sz w:val="18"/>
        </w:rPr>
      </w:pPr>
    </w:p>
    <w:p w14:paraId="0E5E57EA" w14:textId="77777777" w:rsidR="00141B97" w:rsidRDefault="00141B97">
      <w:pPr>
        <w:pStyle w:val="BodyText"/>
        <w:rPr>
          <w:sz w:val="18"/>
        </w:rPr>
      </w:pPr>
    </w:p>
    <w:p w14:paraId="545F670D" w14:textId="77777777" w:rsidR="00141B97" w:rsidRDefault="00141B97">
      <w:pPr>
        <w:pStyle w:val="BodyText"/>
        <w:rPr>
          <w:sz w:val="18"/>
        </w:rPr>
      </w:pPr>
    </w:p>
    <w:p w14:paraId="6B013CA8" w14:textId="77777777" w:rsidR="00141B97" w:rsidRDefault="00141B97">
      <w:pPr>
        <w:pStyle w:val="BodyText"/>
        <w:rPr>
          <w:sz w:val="18"/>
        </w:rPr>
      </w:pPr>
    </w:p>
    <w:p w14:paraId="2980D831" w14:textId="77777777" w:rsidR="00141B97" w:rsidRDefault="00141B97">
      <w:pPr>
        <w:pStyle w:val="BodyText"/>
        <w:rPr>
          <w:sz w:val="18"/>
        </w:rPr>
      </w:pPr>
    </w:p>
    <w:p w14:paraId="4EF29DA7" w14:textId="77777777" w:rsidR="00141B97" w:rsidRDefault="00141B97">
      <w:pPr>
        <w:pStyle w:val="BodyText"/>
        <w:spacing w:before="8"/>
        <w:rPr>
          <w:sz w:val="17"/>
        </w:rPr>
      </w:pPr>
    </w:p>
    <w:p w14:paraId="4C96DEF1" w14:textId="77777777" w:rsidR="00141B97" w:rsidRDefault="00911D63">
      <w:pPr>
        <w:ind w:left="3822"/>
        <w:rPr>
          <w:rFonts w:ascii="Calibri" w:hAnsi="Calibri"/>
          <w:sz w:val="18"/>
        </w:rPr>
      </w:pPr>
      <w:r>
        <w:rPr>
          <w:rFonts w:ascii="Calibri" w:hAnsi="Calibri"/>
          <w:sz w:val="18"/>
        </w:rPr>
        <w:t>Lower</w:t>
      </w:r>
      <w:r>
        <w:rPr>
          <w:rFonts w:ascii="Calibri" w:hAnsi="Calibri"/>
          <w:spacing w:val="-4"/>
          <w:sz w:val="18"/>
        </w:rPr>
        <w:t xml:space="preserve"> </w:t>
      </w:r>
      <w:r>
        <w:rPr>
          <w:rFonts w:ascii="Calibri" w:hAnsi="Calibri"/>
          <w:sz w:val="18"/>
        </w:rPr>
        <w:t>Murray</w:t>
      </w:r>
      <w:r>
        <w:rPr>
          <w:rFonts w:ascii="Calibri" w:hAnsi="Calibri"/>
          <w:spacing w:val="-4"/>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4"/>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4"/>
          <w:sz w:val="18"/>
        </w:rPr>
        <w:t xml:space="preserve"> </w:t>
      </w:r>
      <w:r>
        <w:rPr>
          <w:rFonts w:ascii="Calibri" w:hAnsi="Calibri"/>
          <w:sz w:val="18"/>
        </w:rPr>
        <w:t>TABLE</w:t>
      </w:r>
      <w:r>
        <w:rPr>
          <w:rFonts w:ascii="Calibri" w:hAnsi="Calibri"/>
          <w:spacing w:val="-3"/>
          <w:sz w:val="18"/>
        </w:rPr>
        <w:t xml:space="preserve"> </w:t>
      </w:r>
      <w:r>
        <w:rPr>
          <w:rFonts w:ascii="Calibri" w:hAnsi="Calibri"/>
          <w:sz w:val="18"/>
        </w:rPr>
        <w:t>OF</w:t>
      </w:r>
      <w:r>
        <w:rPr>
          <w:rFonts w:ascii="Calibri" w:hAnsi="Calibri"/>
          <w:spacing w:val="-4"/>
          <w:sz w:val="18"/>
        </w:rPr>
        <w:t xml:space="preserve"> </w:t>
      </w:r>
      <w:r>
        <w:rPr>
          <w:rFonts w:ascii="Calibri" w:hAnsi="Calibri"/>
          <w:sz w:val="18"/>
        </w:rPr>
        <w:t>CONTENTS</w:t>
      </w:r>
      <w:r>
        <w:rPr>
          <w:rFonts w:ascii="Calibri" w:hAnsi="Calibri"/>
          <w:spacing w:val="-3"/>
          <w:sz w:val="18"/>
        </w:rPr>
        <w:t xml:space="preserve"> </w:t>
      </w:r>
      <w:r>
        <w:rPr>
          <w:rFonts w:ascii="Calibri" w:hAnsi="Calibri"/>
          <w:sz w:val="18"/>
        </w:rPr>
        <w:t>SUMMARY</w:t>
      </w:r>
      <w:r>
        <w:rPr>
          <w:rFonts w:ascii="Calibri" w:hAnsi="Calibri"/>
          <w:spacing w:val="-2"/>
          <w:sz w:val="18"/>
        </w:rPr>
        <w:t xml:space="preserve"> </w:t>
      </w:r>
      <w:r>
        <w:rPr>
          <w:rFonts w:ascii="Calibri" w:hAnsi="Calibri"/>
          <w:sz w:val="18"/>
        </w:rPr>
        <w:t>|</w:t>
      </w:r>
      <w:r>
        <w:rPr>
          <w:rFonts w:ascii="Calibri" w:hAnsi="Calibri"/>
          <w:spacing w:val="-3"/>
          <w:sz w:val="18"/>
        </w:rPr>
        <w:t xml:space="preserve"> </w:t>
      </w:r>
      <w:r>
        <w:rPr>
          <w:rFonts w:ascii="Calibri" w:hAnsi="Calibri"/>
          <w:spacing w:val="-10"/>
          <w:sz w:val="18"/>
        </w:rPr>
        <w:t>1</w:t>
      </w:r>
    </w:p>
    <w:p w14:paraId="52F3A422" w14:textId="77777777" w:rsidR="00141B97" w:rsidRDefault="00141B97">
      <w:pPr>
        <w:rPr>
          <w:rFonts w:ascii="Calibri" w:hAnsi="Calibri"/>
          <w:sz w:val="18"/>
        </w:rPr>
        <w:sectPr w:rsidR="00141B97">
          <w:footerReference w:type="default" r:id="rId20"/>
          <w:pgSz w:w="11910" w:h="16840"/>
          <w:pgMar w:top="860" w:right="740" w:bottom="280" w:left="980" w:header="0" w:footer="0" w:gutter="0"/>
          <w:cols w:space="720"/>
        </w:sectPr>
      </w:pPr>
    </w:p>
    <w:p w14:paraId="67EC8B5C" w14:textId="488B5450" w:rsidR="00141B97" w:rsidRDefault="00911D63">
      <w:pPr>
        <w:pStyle w:val="BodyText"/>
        <w:spacing w:before="4"/>
        <w:rPr>
          <w:rFonts w:ascii="Calibri"/>
          <w:sz w:val="16"/>
        </w:rPr>
      </w:pPr>
      <w:r>
        <w:rPr>
          <w:noProof/>
        </w:rPr>
        <w:lastRenderedPageBreak/>
        <mc:AlternateContent>
          <mc:Choice Requires="wps">
            <w:drawing>
              <wp:anchor distT="0" distB="0" distL="114300" distR="114300" simplePos="0" relativeHeight="471432704" behindDoc="1" locked="0" layoutInCell="1" allowOverlap="1" wp14:anchorId="70F82EB2" wp14:editId="243CB8D4">
                <wp:simplePos x="0" y="0"/>
                <wp:positionH relativeFrom="page">
                  <wp:posOffset>0</wp:posOffset>
                </wp:positionH>
                <wp:positionV relativeFrom="page">
                  <wp:posOffset>0</wp:posOffset>
                </wp:positionV>
                <wp:extent cx="7556500" cy="10691495"/>
                <wp:effectExtent l="0" t="0" r="0" b="0"/>
                <wp:wrapNone/>
                <wp:docPr id="40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1495"/>
                        </a:xfrm>
                        <a:prstGeom prst="rect">
                          <a:avLst/>
                        </a:prstGeom>
                        <a:solidFill>
                          <a:srgbClr val="009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F9CA2" id="docshape18" o:spid="_x0000_s1026" style="position:absolute;margin-left:0;margin-top:0;width:595pt;height:841.85pt;z-index:-31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" fillcolor="#009fdc" stroked="f">
                <w10:wrap anchorx="page" anchory="page"/>
              </v:rect>
            </w:pict>
          </mc:Fallback>
        </mc:AlternateContent>
      </w:r>
      <w:r>
        <w:rPr>
          <w:noProof/>
        </w:rPr>
        <mc:AlternateContent>
          <mc:Choice Requires="wps">
            <w:drawing>
              <wp:anchor distT="0" distB="0" distL="114300" distR="114300" simplePos="0" relativeHeight="15736320" behindDoc="0" locked="0" layoutInCell="1" allowOverlap="1" wp14:anchorId="7C245719" wp14:editId="31C1D746">
                <wp:simplePos x="0" y="0"/>
                <wp:positionH relativeFrom="page">
                  <wp:posOffset>1019810</wp:posOffset>
                </wp:positionH>
                <wp:positionV relativeFrom="page">
                  <wp:posOffset>7437755</wp:posOffset>
                </wp:positionV>
                <wp:extent cx="6537325" cy="1714500"/>
                <wp:effectExtent l="0" t="0" r="0" b="0"/>
                <wp:wrapNone/>
                <wp:docPr id="40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7325" cy="1714500"/>
                        </a:xfrm>
                        <a:custGeom>
                          <a:avLst/>
                          <a:gdLst>
                            <a:gd name="T0" fmla="+- 0 3378 1606"/>
                            <a:gd name="T1" fmla="*/ T0 w 10295"/>
                            <a:gd name="T2" fmla="+- 0 11993 11713"/>
                            <a:gd name="T3" fmla="*/ 11993 h 2700"/>
                            <a:gd name="T4" fmla="+- 0 3176 1606"/>
                            <a:gd name="T5" fmla="*/ T4 w 10295"/>
                            <a:gd name="T6" fmla="+- 0 12113 11713"/>
                            <a:gd name="T7" fmla="*/ 12113 h 2700"/>
                            <a:gd name="T8" fmla="+- 0 3202 1606"/>
                            <a:gd name="T9" fmla="*/ T8 w 10295"/>
                            <a:gd name="T10" fmla="+- 0 12193 11713"/>
                            <a:gd name="T11" fmla="*/ 12193 h 2700"/>
                            <a:gd name="T12" fmla="+- 0 3861 1606"/>
                            <a:gd name="T13" fmla="*/ T12 w 10295"/>
                            <a:gd name="T14" fmla="+- 0 12253 11713"/>
                            <a:gd name="T15" fmla="*/ 12253 h 2700"/>
                            <a:gd name="T16" fmla="+- 0 4897 1606"/>
                            <a:gd name="T17" fmla="*/ T16 w 10295"/>
                            <a:gd name="T18" fmla="+- 0 12473 11713"/>
                            <a:gd name="T19" fmla="*/ 12473 h 2700"/>
                            <a:gd name="T20" fmla="+- 0 5641 1606"/>
                            <a:gd name="T21" fmla="*/ T20 w 10295"/>
                            <a:gd name="T22" fmla="+- 0 12753 11713"/>
                            <a:gd name="T23" fmla="*/ 12753 h 2700"/>
                            <a:gd name="T24" fmla="+- 0 6424 1606"/>
                            <a:gd name="T25" fmla="*/ T24 w 10295"/>
                            <a:gd name="T26" fmla="+- 0 13113 11713"/>
                            <a:gd name="T27" fmla="*/ 13113 h 2700"/>
                            <a:gd name="T28" fmla="+- 0 7448 1606"/>
                            <a:gd name="T29" fmla="*/ T28 w 10295"/>
                            <a:gd name="T30" fmla="+- 0 13373 11713"/>
                            <a:gd name="T31" fmla="*/ 13373 h 2700"/>
                            <a:gd name="T32" fmla="+- 0 8262 1606"/>
                            <a:gd name="T33" fmla="*/ T32 w 10295"/>
                            <a:gd name="T34" fmla="+- 0 13513 11713"/>
                            <a:gd name="T35" fmla="*/ 13513 h 2700"/>
                            <a:gd name="T36" fmla="+- 0 9452 1606"/>
                            <a:gd name="T37" fmla="*/ T36 w 10295"/>
                            <a:gd name="T38" fmla="+- 0 13893 11713"/>
                            <a:gd name="T39" fmla="*/ 13893 h 2700"/>
                            <a:gd name="T40" fmla="+- 0 9893 1606"/>
                            <a:gd name="T41" fmla="*/ T40 w 10295"/>
                            <a:gd name="T42" fmla="+- 0 14073 11713"/>
                            <a:gd name="T43" fmla="*/ 14073 h 2700"/>
                            <a:gd name="T44" fmla="+- 0 10463 1606"/>
                            <a:gd name="T45" fmla="*/ T44 w 10295"/>
                            <a:gd name="T46" fmla="+- 0 14253 11713"/>
                            <a:gd name="T47" fmla="*/ 14253 h 2700"/>
                            <a:gd name="T48" fmla="+- 0 11097 1606"/>
                            <a:gd name="T49" fmla="*/ T48 w 10295"/>
                            <a:gd name="T50" fmla="+- 0 14393 11713"/>
                            <a:gd name="T51" fmla="*/ 14393 h 2700"/>
                            <a:gd name="T52" fmla="+- 0 11610 1606"/>
                            <a:gd name="T53" fmla="*/ T52 w 10295"/>
                            <a:gd name="T54" fmla="+- 0 13733 11713"/>
                            <a:gd name="T55" fmla="*/ 13733 h 2700"/>
                            <a:gd name="T56" fmla="+- 0 10849 1606"/>
                            <a:gd name="T57" fmla="*/ T56 w 10295"/>
                            <a:gd name="T58" fmla="+- 0 13473 11713"/>
                            <a:gd name="T59" fmla="*/ 13473 h 2700"/>
                            <a:gd name="T60" fmla="+- 0 10095 1606"/>
                            <a:gd name="T61" fmla="*/ T60 w 10295"/>
                            <a:gd name="T62" fmla="+- 0 13113 11713"/>
                            <a:gd name="T63" fmla="*/ 13113 h 2700"/>
                            <a:gd name="T64" fmla="+- 0 9554 1606"/>
                            <a:gd name="T65" fmla="*/ T64 w 10295"/>
                            <a:gd name="T66" fmla="+- 0 12893 11713"/>
                            <a:gd name="T67" fmla="*/ 12893 h 2700"/>
                            <a:gd name="T68" fmla="+- 0 8555 1606"/>
                            <a:gd name="T69" fmla="*/ T68 w 10295"/>
                            <a:gd name="T70" fmla="+- 0 12673 11713"/>
                            <a:gd name="T71" fmla="*/ 12673 h 2700"/>
                            <a:gd name="T72" fmla="+- 0 8001 1606"/>
                            <a:gd name="T73" fmla="*/ T72 w 10295"/>
                            <a:gd name="T74" fmla="+- 0 12593 11713"/>
                            <a:gd name="T75" fmla="*/ 12593 h 2700"/>
                            <a:gd name="T76" fmla="+- 0 7146 1606"/>
                            <a:gd name="T77" fmla="*/ T76 w 10295"/>
                            <a:gd name="T78" fmla="+- 0 12393 11713"/>
                            <a:gd name="T79" fmla="*/ 12393 h 2700"/>
                            <a:gd name="T80" fmla="+- 0 6692 1606"/>
                            <a:gd name="T81" fmla="*/ T80 w 10295"/>
                            <a:gd name="T82" fmla="+- 0 12213 11713"/>
                            <a:gd name="T83" fmla="*/ 12213 h 2700"/>
                            <a:gd name="T84" fmla="+- 0 6024 1606"/>
                            <a:gd name="T85" fmla="*/ T84 w 10295"/>
                            <a:gd name="T86" fmla="+- 0 11933 11713"/>
                            <a:gd name="T87" fmla="*/ 11933 h 2700"/>
                            <a:gd name="T88" fmla="+- 0 6066 1606"/>
                            <a:gd name="T89" fmla="*/ T88 w 10295"/>
                            <a:gd name="T90" fmla="+- 0 14253 11713"/>
                            <a:gd name="T91" fmla="*/ 14253 h 2700"/>
                            <a:gd name="T92" fmla="+- 0 5986 1606"/>
                            <a:gd name="T93" fmla="*/ T92 w 10295"/>
                            <a:gd name="T94" fmla="+- 0 14253 11713"/>
                            <a:gd name="T95" fmla="*/ 14253 h 2700"/>
                            <a:gd name="T96" fmla="+- 0 2544 1606"/>
                            <a:gd name="T97" fmla="*/ T96 w 10295"/>
                            <a:gd name="T98" fmla="+- 0 12673 11713"/>
                            <a:gd name="T99" fmla="*/ 12673 h 2700"/>
                            <a:gd name="T100" fmla="+- 0 2022 1606"/>
                            <a:gd name="T101" fmla="*/ T100 w 10295"/>
                            <a:gd name="T102" fmla="+- 0 12813 11713"/>
                            <a:gd name="T103" fmla="*/ 12813 h 2700"/>
                            <a:gd name="T104" fmla="+- 0 1651 1606"/>
                            <a:gd name="T105" fmla="*/ T104 w 10295"/>
                            <a:gd name="T106" fmla="+- 0 13013 11713"/>
                            <a:gd name="T107" fmla="*/ 13013 h 2700"/>
                            <a:gd name="T108" fmla="+- 0 1608 1606"/>
                            <a:gd name="T109" fmla="*/ T108 w 10295"/>
                            <a:gd name="T110" fmla="+- 0 13073 11713"/>
                            <a:gd name="T111" fmla="*/ 13073 h 2700"/>
                            <a:gd name="T112" fmla="+- 0 1962 1606"/>
                            <a:gd name="T113" fmla="*/ T112 w 10295"/>
                            <a:gd name="T114" fmla="+- 0 13133 11713"/>
                            <a:gd name="T115" fmla="*/ 13133 h 2700"/>
                            <a:gd name="T116" fmla="+- 0 2562 1606"/>
                            <a:gd name="T117" fmla="*/ T116 w 10295"/>
                            <a:gd name="T118" fmla="+- 0 13213 11713"/>
                            <a:gd name="T119" fmla="*/ 13213 h 2700"/>
                            <a:gd name="T120" fmla="+- 0 3678 1606"/>
                            <a:gd name="T121" fmla="*/ T120 w 10295"/>
                            <a:gd name="T122" fmla="+- 0 13513 11713"/>
                            <a:gd name="T123" fmla="*/ 13513 h 2700"/>
                            <a:gd name="T124" fmla="+- 0 4222 1606"/>
                            <a:gd name="T125" fmla="*/ T124 w 10295"/>
                            <a:gd name="T126" fmla="+- 0 13733 11713"/>
                            <a:gd name="T127" fmla="*/ 13733 h 2700"/>
                            <a:gd name="T128" fmla="+- 0 4731 1606"/>
                            <a:gd name="T129" fmla="*/ T128 w 10295"/>
                            <a:gd name="T130" fmla="+- 0 13953 11713"/>
                            <a:gd name="T131" fmla="*/ 13953 h 2700"/>
                            <a:gd name="T132" fmla="+- 0 5668 1606"/>
                            <a:gd name="T133" fmla="*/ T132 w 10295"/>
                            <a:gd name="T134" fmla="+- 0 14213 11713"/>
                            <a:gd name="T135" fmla="*/ 14213 h 2700"/>
                            <a:gd name="T136" fmla="+- 0 7409 1606"/>
                            <a:gd name="T137" fmla="*/ T136 w 10295"/>
                            <a:gd name="T138" fmla="+- 0 14173 11713"/>
                            <a:gd name="T139" fmla="*/ 14173 h 2700"/>
                            <a:gd name="T140" fmla="+- 0 7878 1606"/>
                            <a:gd name="T141" fmla="*/ T140 w 10295"/>
                            <a:gd name="T142" fmla="+- 0 13993 11713"/>
                            <a:gd name="T143" fmla="*/ 13993 h 2700"/>
                            <a:gd name="T144" fmla="+- 0 8041 1606"/>
                            <a:gd name="T145" fmla="*/ T144 w 10295"/>
                            <a:gd name="T146" fmla="+- 0 13873 11713"/>
                            <a:gd name="T147" fmla="*/ 13873 h 2700"/>
                            <a:gd name="T148" fmla="+- 0 7992 1606"/>
                            <a:gd name="T149" fmla="*/ T148 w 10295"/>
                            <a:gd name="T150" fmla="+- 0 13813 11713"/>
                            <a:gd name="T151" fmla="*/ 13813 h 2700"/>
                            <a:gd name="T152" fmla="+- 0 7346 1606"/>
                            <a:gd name="T153" fmla="*/ T152 w 10295"/>
                            <a:gd name="T154" fmla="+- 0 13733 11713"/>
                            <a:gd name="T155" fmla="*/ 13733 h 2700"/>
                            <a:gd name="T156" fmla="+- 0 6614 1606"/>
                            <a:gd name="T157" fmla="*/ T156 w 10295"/>
                            <a:gd name="T158" fmla="+- 0 13613 11713"/>
                            <a:gd name="T159" fmla="*/ 13613 h 2700"/>
                            <a:gd name="T160" fmla="+- 0 5545 1606"/>
                            <a:gd name="T161" fmla="*/ T160 w 10295"/>
                            <a:gd name="T162" fmla="+- 0 13273 11713"/>
                            <a:gd name="T163" fmla="*/ 13273 h 2700"/>
                            <a:gd name="T164" fmla="+- 0 4946 1606"/>
                            <a:gd name="T165" fmla="*/ T164 w 10295"/>
                            <a:gd name="T166" fmla="+- 0 13013 11713"/>
                            <a:gd name="T167" fmla="*/ 13013 h 2700"/>
                            <a:gd name="T168" fmla="+- 0 4023 1606"/>
                            <a:gd name="T169" fmla="*/ T168 w 10295"/>
                            <a:gd name="T170" fmla="+- 0 12693 11713"/>
                            <a:gd name="T171" fmla="*/ 12693 h 2700"/>
                            <a:gd name="T172" fmla="+- 0 8830 1606"/>
                            <a:gd name="T173" fmla="*/ T172 w 10295"/>
                            <a:gd name="T174" fmla="+- 0 12353 11713"/>
                            <a:gd name="T175" fmla="*/ 12353 h 2700"/>
                            <a:gd name="T176" fmla="+- 0 10145 1606"/>
                            <a:gd name="T177" fmla="*/ T176 w 10295"/>
                            <a:gd name="T178" fmla="+- 0 12653 11713"/>
                            <a:gd name="T179" fmla="*/ 12653 h 2700"/>
                            <a:gd name="T180" fmla="+- 0 10908 1606"/>
                            <a:gd name="T181" fmla="*/ T180 w 10295"/>
                            <a:gd name="T182" fmla="+- 0 12953 11713"/>
                            <a:gd name="T183" fmla="*/ 12953 h 2700"/>
                            <a:gd name="T184" fmla="+- 0 3402 1606"/>
                            <a:gd name="T185" fmla="*/ T184 w 10295"/>
                            <a:gd name="T186" fmla="+- 0 12613 11713"/>
                            <a:gd name="T187" fmla="*/ 12613 h 2700"/>
                            <a:gd name="T188" fmla="+- 0 9124 1606"/>
                            <a:gd name="T189" fmla="*/ T188 w 10295"/>
                            <a:gd name="T190" fmla="+- 0 11853 11713"/>
                            <a:gd name="T191" fmla="*/ 11853 h 2700"/>
                            <a:gd name="T192" fmla="+- 0 8278 1606"/>
                            <a:gd name="T193" fmla="*/ T192 w 10295"/>
                            <a:gd name="T194" fmla="+- 0 12153 11713"/>
                            <a:gd name="T195" fmla="*/ 12153 h 2700"/>
                            <a:gd name="T196" fmla="+- 0 8193 1606"/>
                            <a:gd name="T197" fmla="*/ T196 w 10295"/>
                            <a:gd name="T198" fmla="+- 0 12253 11713"/>
                            <a:gd name="T199" fmla="*/ 12253 h 2700"/>
                            <a:gd name="T200" fmla="+- 0 8595 1606"/>
                            <a:gd name="T201" fmla="*/ T200 w 10295"/>
                            <a:gd name="T202" fmla="+- 0 12333 11713"/>
                            <a:gd name="T203" fmla="*/ 12333 h 2700"/>
                            <a:gd name="T204" fmla="+- 0 11455 1606"/>
                            <a:gd name="T205" fmla="*/ T204 w 10295"/>
                            <a:gd name="T206" fmla="+- 0 12153 11713"/>
                            <a:gd name="T207" fmla="*/ 12153 h 2700"/>
                            <a:gd name="T208" fmla="+- 0 10314 1606"/>
                            <a:gd name="T209" fmla="*/ T208 w 10295"/>
                            <a:gd name="T210" fmla="+- 0 11833 11713"/>
                            <a:gd name="T211" fmla="*/ 11833 h 2700"/>
                            <a:gd name="T212" fmla="+- 0 9437 1606"/>
                            <a:gd name="T213" fmla="*/ T212 w 10295"/>
                            <a:gd name="T214" fmla="+- 0 11813 11713"/>
                            <a:gd name="T215" fmla="*/ 11813 h 2700"/>
                            <a:gd name="T216" fmla="+- 0 9683 1606"/>
                            <a:gd name="T217" fmla="*/ T216 w 10295"/>
                            <a:gd name="T218" fmla="+- 0 11813 11713"/>
                            <a:gd name="T219" fmla="*/ 11813 h 2700"/>
                            <a:gd name="T220" fmla="+- 0 5236 1606"/>
                            <a:gd name="T221" fmla="*/ T220 w 10295"/>
                            <a:gd name="T222" fmla="+- 0 11753 11713"/>
                            <a:gd name="T223" fmla="*/ 11753 h 2700"/>
                            <a:gd name="T224" fmla="+- 0 4986 1606"/>
                            <a:gd name="T225" fmla="*/ T224 w 10295"/>
                            <a:gd name="T226" fmla="+- 0 11713 11713"/>
                            <a:gd name="T227" fmla="*/ 11713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95" h="2700">
                              <a:moveTo>
                                <a:pt x="3712" y="40"/>
                              </a:moveTo>
                              <a:lnTo>
                                <a:pt x="2548" y="40"/>
                              </a:lnTo>
                              <a:lnTo>
                                <a:pt x="1994" y="180"/>
                              </a:lnTo>
                              <a:lnTo>
                                <a:pt x="1918" y="220"/>
                              </a:lnTo>
                              <a:lnTo>
                                <a:pt x="1844" y="240"/>
                              </a:lnTo>
                              <a:lnTo>
                                <a:pt x="1772" y="280"/>
                              </a:lnTo>
                              <a:lnTo>
                                <a:pt x="1701" y="300"/>
                              </a:lnTo>
                              <a:lnTo>
                                <a:pt x="1669" y="320"/>
                              </a:lnTo>
                              <a:lnTo>
                                <a:pt x="1640" y="340"/>
                              </a:lnTo>
                              <a:lnTo>
                                <a:pt x="1614" y="360"/>
                              </a:lnTo>
                              <a:lnTo>
                                <a:pt x="1591" y="380"/>
                              </a:lnTo>
                              <a:lnTo>
                                <a:pt x="1570" y="400"/>
                              </a:lnTo>
                              <a:lnTo>
                                <a:pt x="1555" y="400"/>
                              </a:lnTo>
                              <a:lnTo>
                                <a:pt x="1542" y="420"/>
                              </a:lnTo>
                              <a:lnTo>
                                <a:pt x="1526" y="440"/>
                              </a:lnTo>
                              <a:lnTo>
                                <a:pt x="1529" y="460"/>
                              </a:lnTo>
                              <a:lnTo>
                                <a:pt x="1547" y="480"/>
                              </a:lnTo>
                              <a:lnTo>
                                <a:pt x="1596" y="480"/>
                              </a:lnTo>
                              <a:lnTo>
                                <a:pt x="1621" y="500"/>
                              </a:lnTo>
                              <a:lnTo>
                                <a:pt x="1782" y="500"/>
                              </a:lnTo>
                              <a:lnTo>
                                <a:pt x="1862" y="520"/>
                              </a:lnTo>
                              <a:lnTo>
                                <a:pt x="2098" y="520"/>
                              </a:lnTo>
                              <a:lnTo>
                                <a:pt x="2176" y="540"/>
                              </a:lnTo>
                              <a:lnTo>
                                <a:pt x="2255" y="540"/>
                              </a:lnTo>
                              <a:lnTo>
                                <a:pt x="2334" y="560"/>
                              </a:lnTo>
                              <a:lnTo>
                                <a:pt x="2413" y="560"/>
                              </a:lnTo>
                              <a:lnTo>
                                <a:pt x="2576" y="600"/>
                              </a:lnTo>
                              <a:lnTo>
                                <a:pt x="2660" y="600"/>
                              </a:lnTo>
                              <a:lnTo>
                                <a:pt x="2839" y="640"/>
                              </a:lnTo>
                              <a:lnTo>
                                <a:pt x="3291" y="760"/>
                              </a:lnTo>
                              <a:lnTo>
                                <a:pt x="3366" y="800"/>
                              </a:lnTo>
                              <a:lnTo>
                                <a:pt x="3588" y="860"/>
                              </a:lnTo>
                              <a:lnTo>
                                <a:pt x="3661" y="900"/>
                              </a:lnTo>
                              <a:lnTo>
                                <a:pt x="3891" y="980"/>
                              </a:lnTo>
                              <a:lnTo>
                                <a:pt x="3964" y="1020"/>
                              </a:lnTo>
                              <a:lnTo>
                                <a:pt x="4035" y="1040"/>
                              </a:lnTo>
                              <a:lnTo>
                                <a:pt x="4177" y="1120"/>
                              </a:lnTo>
                              <a:lnTo>
                                <a:pt x="4248" y="1140"/>
                              </a:lnTo>
                              <a:lnTo>
                                <a:pt x="4458" y="1260"/>
                              </a:lnTo>
                              <a:lnTo>
                                <a:pt x="4529" y="1280"/>
                              </a:lnTo>
                              <a:lnTo>
                                <a:pt x="4672" y="1360"/>
                              </a:lnTo>
                              <a:lnTo>
                                <a:pt x="4818" y="1400"/>
                              </a:lnTo>
                              <a:lnTo>
                                <a:pt x="4886" y="1440"/>
                              </a:lnTo>
                              <a:lnTo>
                                <a:pt x="5220" y="1540"/>
                              </a:lnTo>
                              <a:lnTo>
                                <a:pt x="5529" y="1620"/>
                              </a:lnTo>
                              <a:lnTo>
                                <a:pt x="5607" y="1620"/>
                              </a:lnTo>
                              <a:lnTo>
                                <a:pt x="5764" y="1660"/>
                              </a:lnTo>
                              <a:lnTo>
                                <a:pt x="5842" y="1660"/>
                              </a:lnTo>
                              <a:lnTo>
                                <a:pt x="5999" y="1700"/>
                              </a:lnTo>
                              <a:lnTo>
                                <a:pt x="6077" y="1700"/>
                              </a:lnTo>
                              <a:lnTo>
                                <a:pt x="6234" y="1740"/>
                              </a:lnTo>
                              <a:lnTo>
                                <a:pt x="6313" y="1740"/>
                              </a:lnTo>
                              <a:lnTo>
                                <a:pt x="6517" y="1780"/>
                              </a:lnTo>
                              <a:lnTo>
                                <a:pt x="6656" y="1800"/>
                              </a:lnTo>
                              <a:lnTo>
                                <a:pt x="7346" y="1980"/>
                              </a:lnTo>
                              <a:lnTo>
                                <a:pt x="7430" y="2020"/>
                              </a:lnTo>
                              <a:lnTo>
                                <a:pt x="7516" y="2040"/>
                              </a:lnTo>
                              <a:lnTo>
                                <a:pt x="7604" y="2080"/>
                              </a:lnTo>
                              <a:lnTo>
                                <a:pt x="7694" y="2100"/>
                              </a:lnTo>
                              <a:lnTo>
                                <a:pt x="7846" y="2180"/>
                              </a:lnTo>
                              <a:lnTo>
                                <a:pt x="7921" y="2200"/>
                              </a:lnTo>
                              <a:lnTo>
                                <a:pt x="7994" y="2240"/>
                              </a:lnTo>
                              <a:lnTo>
                                <a:pt x="8068" y="2260"/>
                              </a:lnTo>
                              <a:lnTo>
                                <a:pt x="8141" y="2300"/>
                              </a:lnTo>
                              <a:lnTo>
                                <a:pt x="8214" y="2320"/>
                              </a:lnTo>
                              <a:lnTo>
                                <a:pt x="8287" y="2360"/>
                              </a:lnTo>
                              <a:lnTo>
                                <a:pt x="8361" y="2380"/>
                              </a:lnTo>
                              <a:lnTo>
                                <a:pt x="8435" y="2420"/>
                              </a:lnTo>
                              <a:lnTo>
                                <a:pt x="8511" y="2440"/>
                              </a:lnTo>
                              <a:lnTo>
                                <a:pt x="8588" y="2480"/>
                              </a:lnTo>
                              <a:lnTo>
                                <a:pt x="8748" y="2520"/>
                              </a:lnTo>
                              <a:lnTo>
                                <a:pt x="8857" y="2540"/>
                              </a:lnTo>
                              <a:lnTo>
                                <a:pt x="8964" y="2580"/>
                              </a:lnTo>
                              <a:lnTo>
                                <a:pt x="9113" y="2620"/>
                              </a:lnTo>
                              <a:lnTo>
                                <a:pt x="9188" y="2620"/>
                              </a:lnTo>
                              <a:lnTo>
                                <a:pt x="9339" y="2660"/>
                              </a:lnTo>
                              <a:lnTo>
                                <a:pt x="9415" y="2660"/>
                              </a:lnTo>
                              <a:lnTo>
                                <a:pt x="9491" y="2680"/>
                              </a:lnTo>
                              <a:lnTo>
                                <a:pt x="9567" y="2680"/>
                              </a:lnTo>
                              <a:lnTo>
                                <a:pt x="9643" y="2700"/>
                              </a:lnTo>
                              <a:lnTo>
                                <a:pt x="10294" y="2700"/>
                              </a:lnTo>
                              <a:lnTo>
                                <a:pt x="10294" y="2080"/>
                              </a:lnTo>
                              <a:lnTo>
                                <a:pt x="10288" y="2080"/>
                              </a:lnTo>
                              <a:lnTo>
                                <a:pt x="10004" y="2020"/>
                              </a:lnTo>
                              <a:lnTo>
                                <a:pt x="9904" y="1980"/>
                              </a:lnTo>
                              <a:lnTo>
                                <a:pt x="9607" y="1900"/>
                              </a:lnTo>
                              <a:lnTo>
                                <a:pt x="9534" y="1860"/>
                              </a:lnTo>
                              <a:lnTo>
                                <a:pt x="9388" y="1820"/>
                              </a:lnTo>
                              <a:lnTo>
                                <a:pt x="9315" y="1780"/>
                              </a:lnTo>
                              <a:lnTo>
                                <a:pt x="9243" y="1760"/>
                              </a:lnTo>
                              <a:lnTo>
                                <a:pt x="9171" y="1720"/>
                              </a:lnTo>
                              <a:lnTo>
                                <a:pt x="9099" y="1700"/>
                              </a:lnTo>
                              <a:lnTo>
                                <a:pt x="9028" y="1660"/>
                              </a:lnTo>
                              <a:lnTo>
                                <a:pt x="8910" y="1620"/>
                              </a:lnTo>
                              <a:lnTo>
                                <a:pt x="8788" y="1560"/>
                              </a:lnTo>
                              <a:lnTo>
                                <a:pt x="8489" y="1400"/>
                              </a:lnTo>
                              <a:lnTo>
                                <a:pt x="8414" y="1380"/>
                              </a:lnTo>
                              <a:lnTo>
                                <a:pt x="8261" y="1300"/>
                              </a:lnTo>
                              <a:lnTo>
                                <a:pt x="8183" y="1280"/>
                              </a:lnTo>
                              <a:lnTo>
                                <a:pt x="8106" y="1240"/>
                              </a:lnTo>
                              <a:lnTo>
                                <a:pt x="8027" y="1220"/>
                              </a:lnTo>
                              <a:lnTo>
                                <a:pt x="7948" y="1180"/>
                              </a:lnTo>
                              <a:lnTo>
                                <a:pt x="7736" y="1120"/>
                              </a:lnTo>
                              <a:lnTo>
                                <a:pt x="7343" y="1020"/>
                              </a:lnTo>
                              <a:lnTo>
                                <a:pt x="7264" y="1020"/>
                              </a:lnTo>
                              <a:lnTo>
                                <a:pt x="7107" y="980"/>
                              </a:lnTo>
                              <a:lnTo>
                                <a:pt x="7028" y="980"/>
                              </a:lnTo>
                              <a:lnTo>
                                <a:pt x="6949" y="960"/>
                              </a:lnTo>
                              <a:lnTo>
                                <a:pt x="6870" y="960"/>
                              </a:lnTo>
                              <a:lnTo>
                                <a:pt x="6711" y="920"/>
                              </a:lnTo>
                              <a:lnTo>
                                <a:pt x="6632" y="920"/>
                              </a:lnTo>
                              <a:lnTo>
                                <a:pt x="6553" y="900"/>
                              </a:lnTo>
                              <a:lnTo>
                                <a:pt x="6474" y="900"/>
                              </a:lnTo>
                              <a:lnTo>
                                <a:pt x="6395" y="880"/>
                              </a:lnTo>
                              <a:lnTo>
                                <a:pt x="6316" y="880"/>
                              </a:lnTo>
                              <a:lnTo>
                                <a:pt x="6001" y="800"/>
                              </a:lnTo>
                              <a:lnTo>
                                <a:pt x="5922" y="800"/>
                              </a:lnTo>
                              <a:lnTo>
                                <a:pt x="5843" y="760"/>
                              </a:lnTo>
                              <a:lnTo>
                                <a:pt x="5613" y="700"/>
                              </a:lnTo>
                              <a:lnTo>
                                <a:pt x="5540" y="680"/>
                              </a:lnTo>
                              <a:lnTo>
                                <a:pt x="5464" y="640"/>
                              </a:lnTo>
                              <a:lnTo>
                                <a:pt x="5388" y="620"/>
                              </a:lnTo>
                              <a:lnTo>
                                <a:pt x="5308" y="580"/>
                              </a:lnTo>
                              <a:lnTo>
                                <a:pt x="5233" y="560"/>
                              </a:lnTo>
                              <a:lnTo>
                                <a:pt x="5160" y="520"/>
                              </a:lnTo>
                              <a:lnTo>
                                <a:pt x="5086" y="500"/>
                              </a:lnTo>
                              <a:lnTo>
                                <a:pt x="4941" y="420"/>
                              </a:lnTo>
                              <a:lnTo>
                                <a:pt x="4869" y="400"/>
                              </a:lnTo>
                              <a:lnTo>
                                <a:pt x="4722" y="320"/>
                              </a:lnTo>
                              <a:lnTo>
                                <a:pt x="4648" y="300"/>
                              </a:lnTo>
                              <a:lnTo>
                                <a:pt x="4573" y="260"/>
                              </a:lnTo>
                              <a:lnTo>
                                <a:pt x="4418" y="220"/>
                              </a:lnTo>
                              <a:lnTo>
                                <a:pt x="4202" y="140"/>
                              </a:lnTo>
                              <a:lnTo>
                                <a:pt x="3959" y="80"/>
                              </a:lnTo>
                              <a:lnTo>
                                <a:pt x="3877" y="80"/>
                              </a:lnTo>
                              <a:lnTo>
                                <a:pt x="3712" y="40"/>
                              </a:lnTo>
                              <a:close/>
                              <a:moveTo>
                                <a:pt x="5181" y="2540"/>
                              </a:moveTo>
                              <a:lnTo>
                                <a:pt x="4460" y="2540"/>
                              </a:lnTo>
                              <a:lnTo>
                                <a:pt x="4540" y="2560"/>
                              </a:lnTo>
                              <a:lnTo>
                                <a:pt x="5101" y="2560"/>
                              </a:lnTo>
                              <a:lnTo>
                                <a:pt x="5181" y="2540"/>
                              </a:lnTo>
                              <a:close/>
                              <a:moveTo>
                                <a:pt x="5420" y="2520"/>
                              </a:moveTo>
                              <a:lnTo>
                                <a:pt x="4300" y="2520"/>
                              </a:lnTo>
                              <a:lnTo>
                                <a:pt x="4380" y="2540"/>
                              </a:lnTo>
                              <a:lnTo>
                                <a:pt x="5340" y="2540"/>
                              </a:lnTo>
                              <a:lnTo>
                                <a:pt x="5420" y="2520"/>
                              </a:lnTo>
                              <a:close/>
                              <a:moveTo>
                                <a:pt x="2030" y="920"/>
                              </a:moveTo>
                              <a:lnTo>
                                <a:pt x="1171" y="920"/>
                              </a:lnTo>
                              <a:lnTo>
                                <a:pt x="1015" y="960"/>
                              </a:lnTo>
                              <a:lnTo>
                                <a:pt x="938" y="960"/>
                              </a:lnTo>
                              <a:lnTo>
                                <a:pt x="866" y="980"/>
                              </a:lnTo>
                              <a:lnTo>
                                <a:pt x="798" y="1000"/>
                              </a:lnTo>
                              <a:lnTo>
                                <a:pt x="730" y="1000"/>
                              </a:lnTo>
                              <a:lnTo>
                                <a:pt x="650" y="1020"/>
                              </a:lnTo>
                              <a:lnTo>
                                <a:pt x="571" y="1060"/>
                              </a:lnTo>
                              <a:lnTo>
                                <a:pt x="416" y="1100"/>
                              </a:lnTo>
                              <a:lnTo>
                                <a:pt x="338" y="1140"/>
                              </a:lnTo>
                              <a:lnTo>
                                <a:pt x="292" y="1160"/>
                              </a:lnTo>
                              <a:lnTo>
                                <a:pt x="250" y="1180"/>
                              </a:lnTo>
                              <a:lnTo>
                                <a:pt x="144" y="1220"/>
                              </a:lnTo>
                              <a:lnTo>
                                <a:pt x="93" y="1260"/>
                              </a:lnTo>
                              <a:lnTo>
                                <a:pt x="45" y="1300"/>
                              </a:lnTo>
                              <a:lnTo>
                                <a:pt x="28" y="1300"/>
                              </a:lnTo>
                              <a:lnTo>
                                <a:pt x="16" y="1320"/>
                              </a:lnTo>
                              <a:lnTo>
                                <a:pt x="8" y="1340"/>
                              </a:lnTo>
                              <a:lnTo>
                                <a:pt x="2" y="1340"/>
                              </a:lnTo>
                              <a:lnTo>
                                <a:pt x="0" y="1360"/>
                              </a:lnTo>
                              <a:lnTo>
                                <a:pt x="2" y="1360"/>
                              </a:lnTo>
                              <a:lnTo>
                                <a:pt x="8" y="1380"/>
                              </a:lnTo>
                              <a:lnTo>
                                <a:pt x="16" y="1380"/>
                              </a:lnTo>
                              <a:lnTo>
                                <a:pt x="56" y="1400"/>
                              </a:lnTo>
                              <a:lnTo>
                                <a:pt x="140" y="1400"/>
                              </a:lnTo>
                              <a:lnTo>
                                <a:pt x="182" y="1420"/>
                              </a:lnTo>
                              <a:lnTo>
                                <a:pt x="356" y="1420"/>
                              </a:lnTo>
                              <a:lnTo>
                                <a:pt x="465" y="1440"/>
                              </a:lnTo>
                              <a:lnTo>
                                <a:pt x="547" y="1440"/>
                              </a:lnTo>
                              <a:lnTo>
                                <a:pt x="629" y="1460"/>
                              </a:lnTo>
                              <a:lnTo>
                                <a:pt x="711" y="1460"/>
                              </a:lnTo>
                              <a:lnTo>
                                <a:pt x="875" y="1500"/>
                              </a:lnTo>
                              <a:lnTo>
                                <a:pt x="956" y="1500"/>
                              </a:lnTo>
                              <a:lnTo>
                                <a:pt x="1040" y="1520"/>
                              </a:lnTo>
                              <a:lnTo>
                                <a:pt x="1129" y="1540"/>
                              </a:lnTo>
                              <a:lnTo>
                                <a:pt x="1315" y="1580"/>
                              </a:lnTo>
                              <a:lnTo>
                                <a:pt x="1848" y="1720"/>
                              </a:lnTo>
                              <a:lnTo>
                                <a:pt x="1924" y="1760"/>
                              </a:lnTo>
                              <a:lnTo>
                                <a:pt x="2072" y="1800"/>
                              </a:lnTo>
                              <a:lnTo>
                                <a:pt x="2196" y="1840"/>
                              </a:lnTo>
                              <a:lnTo>
                                <a:pt x="2320" y="1900"/>
                              </a:lnTo>
                              <a:lnTo>
                                <a:pt x="2395" y="1920"/>
                              </a:lnTo>
                              <a:lnTo>
                                <a:pt x="2469" y="1960"/>
                              </a:lnTo>
                              <a:lnTo>
                                <a:pt x="2543" y="1980"/>
                              </a:lnTo>
                              <a:lnTo>
                                <a:pt x="2616" y="2020"/>
                              </a:lnTo>
                              <a:lnTo>
                                <a:pt x="2688" y="2040"/>
                              </a:lnTo>
                              <a:lnTo>
                                <a:pt x="2761" y="2080"/>
                              </a:lnTo>
                              <a:lnTo>
                                <a:pt x="2833" y="2100"/>
                              </a:lnTo>
                              <a:lnTo>
                                <a:pt x="2978" y="2180"/>
                              </a:lnTo>
                              <a:lnTo>
                                <a:pt x="3051" y="2200"/>
                              </a:lnTo>
                              <a:lnTo>
                                <a:pt x="3125" y="2240"/>
                              </a:lnTo>
                              <a:lnTo>
                                <a:pt x="3199" y="2260"/>
                              </a:lnTo>
                              <a:lnTo>
                                <a:pt x="3422" y="2340"/>
                              </a:lnTo>
                              <a:lnTo>
                                <a:pt x="3531" y="2360"/>
                              </a:lnTo>
                              <a:lnTo>
                                <a:pt x="3640" y="2400"/>
                              </a:lnTo>
                              <a:lnTo>
                                <a:pt x="3748" y="2420"/>
                              </a:lnTo>
                              <a:lnTo>
                                <a:pt x="4062" y="2500"/>
                              </a:lnTo>
                              <a:lnTo>
                                <a:pt x="4141" y="2500"/>
                              </a:lnTo>
                              <a:lnTo>
                                <a:pt x="4221" y="2520"/>
                              </a:lnTo>
                              <a:lnTo>
                                <a:pt x="5493" y="2520"/>
                              </a:lnTo>
                              <a:lnTo>
                                <a:pt x="5635" y="2480"/>
                              </a:lnTo>
                              <a:lnTo>
                                <a:pt x="5720" y="2480"/>
                              </a:lnTo>
                              <a:lnTo>
                                <a:pt x="5803" y="2460"/>
                              </a:lnTo>
                              <a:lnTo>
                                <a:pt x="5886" y="2420"/>
                              </a:lnTo>
                              <a:lnTo>
                                <a:pt x="6050" y="2380"/>
                              </a:lnTo>
                              <a:lnTo>
                                <a:pt x="6098" y="2360"/>
                              </a:lnTo>
                              <a:lnTo>
                                <a:pt x="6142" y="2340"/>
                              </a:lnTo>
                              <a:lnTo>
                                <a:pt x="6207" y="2320"/>
                              </a:lnTo>
                              <a:lnTo>
                                <a:pt x="6272" y="2280"/>
                              </a:lnTo>
                              <a:lnTo>
                                <a:pt x="6334" y="2260"/>
                              </a:lnTo>
                              <a:lnTo>
                                <a:pt x="6392" y="2220"/>
                              </a:lnTo>
                              <a:lnTo>
                                <a:pt x="6409" y="2200"/>
                              </a:lnTo>
                              <a:lnTo>
                                <a:pt x="6421" y="2180"/>
                              </a:lnTo>
                              <a:lnTo>
                                <a:pt x="6430" y="2180"/>
                              </a:lnTo>
                              <a:lnTo>
                                <a:pt x="6435" y="2160"/>
                              </a:lnTo>
                              <a:lnTo>
                                <a:pt x="6438" y="2140"/>
                              </a:lnTo>
                              <a:lnTo>
                                <a:pt x="6435" y="2140"/>
                              </a:lnTo>
                              <a:lnTo>
                                <a:pt x="6429" y="2120"/>
                              </a:lnTo>
                              <a:lnTo>
                                <a:pt x="6420" y="2120"/>
                              </a:lnTo>
                              <a:lnTo>
                                <a:pt x="6404" y="2100"/>
                              </a:lnTo>
                              <a:lnTo>
                                <a:pt x="6386" y="2100"/>
                              </a:lnTo>
                              <a:lnTo>
                                <a:pt x="6328" y="2080"/>
                              </a:lnTo>
                              <a:lnTo>
                                <a:pt x="6212" y="2080"/>
                              </a:lnTo>
                              <a:lnTo>
                                <a:pt x="6153" y="2060"/>
                              </a:lnTo>
                              <a:lnTo>
                                <a:pt x="5942" y="2040"/>
                              </a:lnTo>
                              <a:lnTo>
                                <a:pt x="5817" y="2040"/>
                              </a:lnTo>
                              <a:lnTo>
                                <a:pt x="5740" y="2020"/>
                              </a:lnTo>
                              <a:lnTo>
                                <a:pt x="5664" y="2020"/>
                              </a:lnTo>
                              <a:lnTo>
                                <a:pt x="5511" y="1980"/>
                              </a:lnTo>
                              <a:lnTo>
                                <a:pt x="5434" y="1980"/>
                              </a:lnTo>
                              <a:lnTo>
                                <a:pt x="5358" y="1960"/>
                              </a:lnTo>
                              <a:lnTo>
                                <a:pt x="5282" y="1960"/>
                              </a:lnTo>
                              <a:lnTo>
                                <a:pt x="5008" y="1900"/>
                              </a:lnTo>
                              <a:lnTo>
                                <a:pt x="4912" y="1880"/>
                              </a:lnTo>
                              <a:lnTo>
                                <a:pt x="4613" y="1800"/>
                              </a:lnTo>
                              <a:lnTo>
                                <a:pt x="4539" y="1760"/>
                              </a:lnTo>
                              <a:lnTo>
                                <a:pt x="4245" y="1680"/>
                              </a:lnTo>
                              <a:lnTo>
                                <a:pt x="4172" y="1640"/>
                              </a:lnTo>
                              <a:lnTo>
                                <a:pt x="3939" y="1560"/>
                              </a:lnTo>
                              <a:lnTo>
                                <a:pt x="3862" y="1520"/>
                              </a:lnTo>
                              <a:lnTo>
                                <a:pt x="3786" y="1500"/>
                              </a:lnTo>
                              <a:lnTo>
                                <a:pt x="3636" y="1420"/>
                              </a:lnTo>
                              <a:lnTo>
                                <a:pt x="3562" y="1400"/>
                              </a:lnTo>
                              <a:lnTo>
                                <a:pt x="3414" y="1320"/>
                              </a:lnTo>
                              <a:lnTo>
                                <a:pt x="3340" y="1300"/>
                              </a:lnTo>
                              <a:lnTo>
                                <a:pt x="3189" y="1220"/>
                              </a:lnTo>
                              <a:lnTo>
                                <a:pt x="3112" y="1200"/>
                              </a:lnTo>
                              <a:lnTo>
                                <a:pt x="2784" y="1080"/>
                              </a:lnTo>
                              <a:lnTo>
                                <a:pt x="2676" y="1060"/>
                              </a:lnTo>
                              <a:lnTo>
                                <a:pt x="2570" y="1020"/>
                              </a:lnTo>
                              <a:lnTo>
                                <a:pt x="2417" y="980"/>
                              </a:lnTo>
                              <a:lnTo>
                                <a:pt x="2340" y="980"/>
                              </a:lnTo>
                              <a:lnTo>
                                <a:pt x="2186" y="940"/>
                              </a:lnTo>
                              <a:lnTo>
                                <a:pt x="2108" y="940"/>
                              </a:lnTo>
                              <a:lnTo>
                                <a:pt x="2030" y="920"/>
                              </a:lnTo>
                              <a:close/>
                              <a:moveTo>
                                <a:pt x="10294" y="640"/>
                              </a:moveTo>
                              <a:lnTo>
                                <a:pt x="7224" y="640"/>
                              </a:lnTo>
                              <a:lnTo>
                                <a:pt x="7303" y="660"/>
                              </a:lnTo>
                              <a:lnTo>
                                <a:pt x="7382" y="660"/>
                              </a:lnTo>
                              <a:lnTo>
                                <a:pt x="7460" y="680"/>
                              </a:lnTo>
                              <a:lnTo>
                                <a:pt x="7540" y="680"/>
                              </a:lnTo>
                              <a:lnTo>
                                <a:pt x="7712" y="720"/>
                              </a:lnTo>
                              <a:lnTo>
                                <a:pt x="8539" y="940"/>
                              </a:lnTo>
                              <a:lnTo>
                                <a:pt x="8656" y="980"/>
                              </a:lnTo>
                              <a:lnTo>
                                <a:pt x="8779" y="1020"/>
                              </a:lnTo>
                              <a:lnTo>
                                <a:pt x="8905" y="1080"/>
                              </a:lnTo>
                              <a:lnTo>
                                <a:pt x="9033" y="1120"/>
                              </a:lnTo>
                              <a:lnTo>
                                <a:pt x="9165" y="1180"/>
                              </a:lnTo>
                              <a:lnTo>
                                <a:pt x="9302" y="1240"/>
                              </a:lnTo>
                              <a:lnTo>
                                <a:pt x="9554" y="1360"/>
                              </a:lnTo>
                              <a:lnTo>
                                <a:pt x="10116" y="1560"/>
                              </a:lnTo>
                              <a:lnTo>
                                <a:pt x="10225" y="1580"/>
                              </a:lnTo>
                              <a:lnTo>
                                <a:pt x="10294" y="1600"/>
                              </a:lnTo>
                              <a:lnTo>
                                <a:pt x="10294" y="640"/>
                              </a:lnTo>
                              <a:close/>
                              <a:moveTo>
                                <a:pt x="1796" y="900"/>
                              </a:moveTo>
                              <a:lnTo>
                                <a:pt x="1483" y="900"/>
                              </a:lnTo>
                              <a:lnTo>
                                <a:pt x="1405" y="920"/>
                              </a:lnTo>
                              <a:lnTo>
                                <a:pt x="1874" y="920"/>
                              </a:lnTo>
                              <a:lnTo>
                                <a:pt x="1796" y="900"/>
                              </a:lnTo>
                              <a:close/>
                              <a:moveTo>
                                <a:pt x="8865" y="140"/>
                              </a:moveTo>
                              <a:lnTo>
                                <a:pt x="7518" y="140"/>
                              </a:lnTo>
                              <a:lnTo>
                                <a:pt x="7058" y="260"/>
                              </a:lnTo>
                              <a:lnTo>
                                <a:pt x="6983" y="300"/>
                              </a:lnTo>
                              <a:lnTo>
                                <a:pt x="6910" y="320"/>
                              </a:lnTo>
                              <a:lnTo>
                                <a:pt x="6767" y="400"/>
                              </a:lnTo>
                              <a:lnTo>
                                <a:pt x="6698" y="420"/>
                              </a:lnTo>
                              <a:lnTo>
                                <a:pt x="6672" y="440"/>
                              </a:lnTo>
                              <a:lnTo>
                                <a:pt x="6649" y="460"/>
                              </a:lnTo>
                              <a:lnTo>
                                <a:pt x="6628" y="480"/>
                              </a:lnTo>
                              <a:lnTo>
                                <a:pt x="6613" y="500"/>
                              </a:lnTo>
                              <a:lnTo>
                                <a:pt x="6601" y="500"/>
                              </a:lnTo>
                              <a:lnTo>
                                <a:pt x="6585" y="540"/>
                              </a:lnTo>
                              <a:lnTo>
                                <a:pt x="6587" y="540"/>
                              </a:lnTo>
                              <a:lnTo>
                                <a:pt x="6603" y="560"/>
                              </a:lnTo>
                              <a:lnTo>
                                <a:pt x="6630" y="580"/>
                              </a:lnTo>
                              <a:lnTo>
                                <a:pt x="6674" y="580"/>
                              </a:lnTo>
                              <a:lnTo>
                                <a:pt x="6753" y="600"/>
                              </a:lnTo>
                              <a:lnTo>
                                <a:pt x="6832" y="600"/>
                              </a:lnTo>
                              <a:lnTo>
                                <a:pt x="6989" y="620"/>
                              </a:lnTo>
                              <a:lnTo>
                                <a:pt x="7067" y="620"/>
                              </a:lnTo>
                              <a:lnTo>
                                <a:pt x="7146" y="640"/>
                              </a:lnTo>
                              <a:lnTo>
                                <a:pt x="10284" y="640"/>
                              </a:lnTo>
                              <a:lnTo>
                                <a:pt x="10160" y="580"/>
                              </a:lnTo>
                              <a:lnTo>
                                <a:pt x="9921" y="480"/>
                              </a:lnTo>
                              <a:lnTo>
                                <a:pt x="9849" y="440"/>
                              </a:lnTo>
                              <a:lnTo>
                                <a:pt x="9776" y="420"/>
                              </a:lnTo>
                              <a:lnTo>
                                <a:pt x="9703" y="380"/>
                              </a:lnTo>
                              <a:lnTo>
                                <a:pt x="9629" y="360"/>
                              </a:lnTo>
                              <a:lnTo>
                                <a:pt x="9555" y="320"/>
                              </a:lnTo>
                              <a:lnTo>
                                <a:pt x="8865" y="140"/>
                              </a:lnTo>
                              <a:close/>
                              <a:moveTo>
                                <a:pt x="8708" y="120"/>
                              </a:moveTo>
                              <a:lnTo>
                                <a:pt x="7674" y="120"/>
                              </a:lnTo>
                              <a:lnTo>
                                <a:pt x="7596" y="140"/>
                              </a:lnTo>
                              <a:lnTo>
                                <a:pt x="8787" y="140"/>
                              </a:lnTo>
                              <a:lnTo>
                                <a:pt x="8708" y="120"/>
                              </a:lnTo>
                              <a:close/>
                              <a:moveTo>
                                <a:pt x="8551" y="100"/>
                              </a:moveTo>
                              <a:lnTo>
                                <a:pt x="7831" y="100"/>
                              </a:lnTo>
                              <a:lnTo>
                                <a:pt x="7753" y="120"/>
                              </a:lnTo>
                              <a:lnTo>
                                <a:pt x="8629" y="120"/>
                              </a:lnTo>
                              <a:lnTo>
                                <a:pt x="8551" y="100"/>
                              </a:lnTo>
                              <a:close/>
                              <a:moveTo>
                                <a:pt x="8235" y="80"/>
                              </a:moveTo>
                              <a:lnTo>
                                <a:pt x="8156" y="80"/>
                              </a:lnTo>
                              <a:lnTo>
                                <a:pt x="8077" y="100"/>
                              </a:lnTo>
                              <a:lnTo>
                                <a:pt x="8314" y="100"/>
                              </a:lnTo>
                              <a:lnTo>
                                <a:pt x="8235" y="80"/>
                              </a:lnTo>
                              <a:close/>
                              <a:moveTo>
                                <a:pt x="3547" y="20"/>
                              </a:moveTo>
                              <a:lnTo>
                                <a:pt x="2709" y="20"/>
                              </a:lnTo>
                              <a:lnTo>
                                <a:pt x="2629" y="40"/>
                              </a:lnTo>
                              <a:lnTo>
                                <a:pt x="3630" y="40"/>
                              </a:lnTo>
                              <a:lnTo>
                                <a:pt x="3547" y="20"/>
                              </a:lnTo>
                              <a:close/>
                              <a:moveTo>
                                <a:pt x="3380" y="0"/>
                              </a:moveTo>
                              <a:lnTo>
                                <a:pt x="2948" y="0"/>
                              </a:lnTo>
                              <a:lnTo>
                                <a:pt x="2869" y="20"/>
                              </a:lnTo>
                              <a:lnTo>
                                <a:pt x="3464" y="20"/>
                              </a:lnTo>
                              <a:lnTo>
                                <a:pt x="3380" y="0"/>
                              </a:lnTo>
                              <a:close/>
                            </a:path>
                          </a:pathLst>
                        </a:custGeom>
                        <a:solidFill>
                          <a:srgbClr val="44A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CC19" id="docshape19" o:spid="_x0000_s1026" style="position:absolute;margin-left:80.3pt;margin-top:585.65pt;width:514.75pt;height:13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" path="m3712,40r-1164,l1994,180r-76,40l1844,240r-72,40l1701,300r-32,20l1640,340r-26,20l1591,380r-21,20l1555,400r-13,20l1526,440r3,20l1547,480r49,l1621,500r161,l1862,520r236,l2176,540r79,l2334,560r79,l2576,600r84,l2839,640r452,120l3366,800r222,60l3661,900r230,80l3964,1020r71,20l4177,1120r71,20l4458,1260r71,20l4672,1360r146,40l4886,1440r334,100l5529,1620r78,l5764,1660r78,l5999,1700r78,l6234,1740r79,l6517,1780r139,20l7346,1980r84,40l7516,2040r88,40l7694,2100r152,80l7921,2200r73,40l8068,2260r73,40l8214,2320r73,40l8361,2380r74,40l8511,2440r77,40l8748,2520r109,20l8964,2580r149,40l9188,2620r151,40l9415,2660r76,20l9567,2680r76,20l10294,2700r,-620l10288,2080r-284,-60l9904,1980r-297,-80l9534,1860r-146,-40l9315,1780r-72,-20l9171,1720r-72,-20l9028,1660r-118,-40l8788,1560,8489,1400r-75,-20l8261,1300r-78,-20l8106,1240r-79,-20l7948,1180r-212,-60l7343,1020r-79,l7107,980r-79,l6949,960r-79,l6711,920r-79,l6553,900r-79,l6395,880r-79,l6001,800r-79,l5843,760,5613,700r-73,-20l5464,640r-76,-20l5308,580r-75,-20l5160,520r-74,-20l4941,420r-72,-20l4722,320r-74,-20l4573,260,4418,220,4202,140,3959,80r-82,l3712,40xm5181,2540r-721,l4540,2560r561,l5181,2540xm5420,2520r-1120,l4380,2540r960,l5420,2520xm2030,920r-859,l1015,960r-77,l866,980r-68,20l730,1000r-80,20l571,1060r-155,40l338,1140r-46,20l250,1180r-106,40l93,1260r-48,40l28,1300r-12,20l8,1340r-6,l,1360r2,l8,1380r8,l56,1400r84,l182,1420r174,l465,1440r82,l629,1460r82,l875,1500r81,l1040,1520r89,20l1315,1580r533,140l1924,1760r148,40l2196,1840r124,60l2395,1920r74,40l2543,1980r73,40l2688,2040r73,40l2833,2100r145,80l3051,2200r74,40l3199,2260r223,80l3531,2360r109,40l3748,2420r314,80l4141,2500r80,20l5493,2520r142,-40l5720,2480r83,-20l5886,2420r164,-40l6098,2360r44,-20l6207,2320r65,-40l6334,2260r58,-40l6409,2200r12,-20l6430,2180r5,-20l6438,2140r-3,l6429,2120r-9,l6404,2100r-18,l6328,2080r-116,l6153,2060r-211,-20l5817,2040r-77,-20l5664,2020r-153,-40l5434,1980r-76,-20l5282,1960r-274,-60l4912,1880r-299,-80l4539,1760r-294,-80l4172,1640r-233,-80l3862,1520r-76,-20l3636,1420r-74,-20l3414,1320r-74,-20l3189,1220r-77,-20l2784,1080r-108,-20l2570,1020,2417,980r-77,l2186,940r-78,l2030,920xm10294,640r-3070,l7303,660r79,l7460,680r80,l7712,720r827,220l8656,980r123,40l8905,1080r128,40l9165,1180r137,60l9554,1360r562,200l10225,1580r69,20l10294,640xm1796,900r-313,l1405,920r469,l1796,900xm8865,140r-1347,l7058,260r-75,40l6910,320r-143,80l6698,420r-26,20l6649,460r-21,20l6613,500r-12,l6585,540r2,l6603,560r27,20l6674,580r79,20l6832,600r157,20l7067,620r79,20l10284,640r-124,-60l9921,480r-72,-40l9776,420r-73,-40l9629,360r-74,-40l8865,140xm8708,120r-1034,l7596,140r1191,l8708,120xm8551,100r-720,l7753,120r876,l8551,100xm8235,80r-79,l8077,100r237,l8235,80xm3547,20r-838,l2629,40r1001,l3547,20xm3380,l2948,r-79,20l3464,20,3380,xe" fillcolor="#44ade2" stroked="f">
                <v:path arrowok="t" o:connecttype="custom" o:connectlocs="1125220,7615555;996950,7691755;1013460,7742555;1431925,7780655;2089785,7920355;2562225,8098155;3059430,8326755;3709670,8491855;4226560,8580755;4982210,8822055;5262245,8936355;5624195,9050655;6026785,9139555;6352540,8720455;5869305,8555355;5390515,8326755;5046980,8187055;4412615,8047355;4060825,7996555;3517900,7869555;3229610,7755255;2805430,7577455;2832100,9050655;2781300,9050655;595630,8047355;264160,8136255;28575,8263255;1270,8301355;226060,8339455;607060,8390255;1315720,8580755;1661160,8720455;1984375,8860155;2579370,9025255;3684905,8999855;3982720,8885555;4086225,8809355;4055110,8771255;3644900,8720455;3180080,8644255;2501265,8428355;2120900,8263255;1534795,8060055;4587240,7844155;5422265,8034655;5906770,8225155;1140460,8009255;4773930,7526655;4236720,7717155;4182745,7780655;4438015,7831455;6254115,7717155;5529580,7513955;4972685,7501255;5128895,7501255;2305050,7463155;2146300,7437755" o:connectangles="0,0,0,0,0,0,0,0,0,0,0,0,0,0,0,0,0,0,0,0,0,0,0,0,0,0,0,0,0,0,0,0,0,0,0,0,0,0,0,0,0,0,0,0,0,0,0,0,0,0,0,0,0,0,0,0,0"/>
                <w10:wrap anchorx="page" anchory="page"/>
              </v:shape>
            </w:pict>
          </mc:Fallback>
        </mc:AlternateContent>
      </w:r>
      <w:r>
        <w:rPr>
          <w:noProof/>
        </w:rPr>
        <mc:AlternateContent>
          <mc:Choice Requires="wpg">
            <w:drawing>
              <wp:anchor distT="0" distB="0" distL="114300" distR="114300" simplePos="0" relativeHeight="15736832" behindDoc="0" locked="0" layoutInCell="1" allowOverlap="1" wp14:anchorId="192E64C7" wp14:editId="5058386A">
                <wp:simplePos x="0" y="0"/>
                <wp:positionH relativeFrom="page">
                  <wp:posOffset>4907280</wp:posOffset>
                </wp:positionH>
                <wp:positionV relativeFrom="page">
                  <wp:posOffset>719455</wp:posOffset>
                </wp:positionV>
                <wp:extent cx="2265045" cy="6327775"/>
                <wp:effectExtent l="0" t="0" r="0" b="0"/>
                <wp:wrapNone/>
                <wp:docPr id="403"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6327775"/>
                          <a:chOff x="7728" y="1133"/>
                          <a:chExt cx="3567" cy="9965"/>
                        </a:xfrm>
                      </wpg:grpSpPr>
                      <pic:pic xmlns:pic="http://schemas.openxmlformats.org/drawingml/2006/picture">
                        <pic:nvPicPr>
                          <pic:cNvPr id="404" name="docshape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28" y="1132"/>
                            <a:ext cx="3567"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docshape22"/>
                        <wps:cNvSpPr>
                          <a:spLocks/>
                        </wps:cNvSpPr>
                        <wps:spPr bwMode="auto">
                          <a:xfrm>
                            <a:off x="8614" y="1473"/>
                            <a:ext cx="1785" cy="8254"/>
                          </a:xfrm>
                          <a:custGeom>
                            <a:avLst/>
                            <a:gdLst>
                              <a:gd name="T0" fmla="+- 0 9360 8615"/>
                              <a:gd name="T1" fmla="*/ T0 w 1785"/>
                              <a:gd name="T2" fmla="+- 0 2456 1474"/>
                              <a:gd name="T3" fmla="*/ 2456 h 8254"/>
                              <a:gd name="T4" fmla="+- 0 9907 8615"/>
                              <a:gd name="T5" fmla="*/ T4 w 1785"/>
                              <a:gd name="T6" fmla="+- 0 2683 1474"/>
                              <a:gd name="T7" fmla="*/ 2683 h 8254"/>
                              <a:gd name="T8" fmla="+- 0 10286 8615"/>
                              <a:gd name="T9" fmla="*/ T8 w 1785"/>
                              <a:gd name="T10" fmla="+- 0 2468 1474"/>
                              <a:gd name="T11" fmla="*/ 2468 h 8254"/>
                              <a:gd name="T12" fmla="+- 0 9674 8615"/>
                              <a:gd name="T13" fmla="*/ T12 w 1785"/>
                              <a:gd name="T14" fmla="+- 0 2279 1474"/>
                              <a:gd name="T15" fmla="*/ 2279 h 8254"/>
                              <a:gd name="T16" fmla="+- 0 9515 8615"/>
                              <a:gd name="T17" fmla="*/ T16 w 1785"/>
                              <a:gd name="T18" fmla="+- 0 2036 1474"/>
                              <a:gd name="T19" fmla="*/ 2036 h 8254"/>
                              <a:gd name="T20" fmla="+- 0 8623 8615"/>
                              <a:gd name="T21" fmla="*/ T20 w 1785"/>
                              <a:gd name="T22" fmla="+- 0 1535 1474"/>
                              <a:gd name="T23" fmla="*/ 1535 h 8254"/>
                              <a:gd name="T24" fmla="+- 0 8618 8615"/>
                              <a:gd name="T25" fmla="*/ T24 w 1785"/>
                              <a:gd name="T26" fmla="+- 0 1740 1474"/>
                              <a:gd name="T27" fmla="*/ 1740 h 8254"/>
                              <a:gd name="T28" fmla="+- 0 10113 8615"/>
                              <a:gd name="T29" fmla="*/ T28 w 1785"/>
                              <a:gd name="T30" fmla="+- 0 1994 1474"/>
                              <a:gd name="T31" fmla="*/ 1994 h 8254"/>
                              <a:gd name="T32" fmla="+- 0 10034 8615"/>
                              <a:gd name="T33" fmla="*/ T32 w 1785"/>
                              <a:gd name="T34" fmla="+- 0 2240 1474"/>
                              <a:gd name="T35" fmla="*/ 2240 h 8254"/>
                              <a:gd name="T36" fmla="+- 0 10374 8615"/>
                              <a:gd name="T37" fmla="*/ T36 w 1785"/>
                              <a:gd name="T38" fmla="+- 0 2230 1474"/>
                              <a:gd name="T39" fmla="*/ 2230 h 8254"/>
                              <a:gd name="T40" fmla="+- 0 10384 8615"/>
                              <a:gd name="T41" fmla="*/ T40 w 1785"/>
                              <a:gd name="T42" fmla="+- 0 1546 1474"/>
                              <a:gd name="T43" fmla="*/ 1546 h 8254"/>
                              <a:gd name="T44" fmla="+- 0 8639 8615"/>
                              <a:gd name="T45" fmla="*/ T44 w 1785"/>
                              <a:gd name="T46" fmla="+- 0 2816 1474"/>
                              <a:gd name="T47" fmla="*/ 2816 h 8254"/>
                              <a:gd name="T48" fmla="+- 0 8616 8615"/>
                              <a:gd name="T49" fmla="*/ T48 w 1785"/>
                              <a:gd name="T50" fmla="+- 0 3039 1474"/>
                              <a:gd name="T51" fmla="*/ 3039 h 8254"/>
                              <a:gd name="T52" fmla="+- 0 8668 8615"/>
                              <a:gd name="T53" fmla="*/ T52 w 1785"/>
                              <a:gd name="T54" fmla="+- 0 3155 1474"/>
                              <a:gd name="T55" fmla="*/ 3155 h 8254"/>
                              <a:gd name="T56" fmla="+- 0 8622 8615"/>
                              <a:gd name="T57" fmla="*/ T56 w 1785"/>
                              <a:gd name="T58" fmla="+- 0 4107 1474"/>
                              <a:gd name="T59" fmla="*/ 4107 h 8254"/>
                              <a:gd name="T60" fmla="+- 0 8618 8615"/>
                              <a:gd name="T61" fmla="*/ T60 w 1785"/>
                              <a:gd name="T62" fmla="+- 0 4369 1474"/>
                              <a:gd name="T63" fmla="*/ 4369 h 8254"/>
                              <a:gd name="T64" fmla="+- 0 8712 8615"/>
                              <a:gd name="T65" fmla="*/ T64 w 1785"/>
                              <a:gd name="T66" fmla="+- 0 4427 1474"/>
                              <a:gd name="T67" fmla="*/ 4427 h 8254"/>
                              <a:gd name="T68" fmla="+- 0 10259 8615"/>
                              <a:gd name="T69" fmla="*/ T68 w 1785"/>
                              <a:gd name="T70" fmla="+- 0 3349 1474"/>
                              <a:gd name="T71" fmla="*/ 3349 h 8254"/>
                              <a:gd name="T72" fmla="+- 0 10054 8615"/>
                              <a:gd name="T73" fmla="*/ T72 w 1785"/>
                              <a:gd name="T74" fmla="+- 0 3601 1474"/>
                              <a:gd name="T75" fmla="*/ 3601 h 8254"/>
                              <a:gd name="T76" fmla="+- 0 10397 8615"/>
                              <a:gd name="T77" fmla="*/ T76 w 1785"/>
                              <a:gd name="T78" fmla="+- 0 3757 1474"/>
                              <a:gd name="T79" fmla="*/ 3757 h 8254"/>
                              <a:gd name="T80" fmla="+- 0 10388 8615"/>
                              <a:gd name="T81" fmla="*/ T80 w 1785"/>
                              <a:gd name="T82" fmla="+- 0 3427 1474"/>
                              <a:gd name="T83" fmla="*/ 3427 h 8254"/>
                              <a:gd name="T84" fmla="+- 0 9346 8615"/>
                              <a:gd name="T85" fmla="*/ T84 w 1785"/>
                              <a:gd name="T86" fmla="+- 0 5021 1474"/>
                              <a:gd name="T87" fmla="*/ 5021 h 8254"/>
                              <a:gd name="T88" fmla="+- 0 9257 8615"/>
                              <a:gd name="T89" fmla="*/ T88 w 1785"/>
                              <a:gd name="T90" fmla="+- 0 5328 1474"/>
                              <a:gd name="T91" fmla="*/ 5328 h 8254"/>
                              <a:gd name="T92" fmla="+- 0 8654 8615"/>
                              <a:gd name="T93" fmla="*/ T92 w 1785"/>
                              <a:gd name="T94" fmla="+- 0 5594 1474"/>
                              <a:gd name="T95" fmla="*/ 5594 h 8254"/>
                              <a:gd name="T96" fmla="+- 0 8615 8615"/>
                              <a:gd name="T97" fmla="*/ T96 w 1785"/>
                              <a:gd name="T98" fmla="+- 0 5722 1474"/>
                              <a:gd name="T99" fmla="*/ 5722 h 8254"/>
                              <a:gd name="T100" fmla="+- 0 8636 8615"/>
                              <a:gd name="T101" fmla="*/ T100 w 1785"/>
                              <a:gd name="T102" fmla="+- 0 5964 1474"/>
                              <a:gd name="T103" fmla="*/ 5964 h 8254"/>
                              <a:gd name="T104" fmla="+- 0 9131 8615"/>
                              <a:gd name="T105" fmla="*/ T104 w 1785"/>
                              <a:gd name="T106" fmla="+- 0 5790 1474"/>
                              <a:gd name="T107" fmla="*/ 5790 h 8254"/>
                              <a:gd name="T108" fmla="+- 0 9369 8615"/>
                              <a:gd name="T109" fmla="*/ T108 w 1785"/>
                              <a:gd name="T110" fmla="+- 0 5647 1474"/>
                              <a:gd name="T111" fmla="*/ 5647 h 8254"/>
                              <a:gd name="T112" fmla="+- 0 9869 8615"/>
                              <a:gd name="T113" fmla="*/ T112 w 1785"/>
                              <a:gd name="T114" fmla="+- 0 5510 1474"/>
                              <a:gd name="T115" fmla="*/ 5510 h 8254"/>
                              <a:gd name="T116" fmla="+- 0 9656 8615"/>
                              <a:gd name="T117" fmla="*/ T116 w 1785"/>
                              <a:gd name="T118" fmla="+- 0 5391 1474"/>
                              <a:gd name="T119" fmla="*/ 5391 h 8254"/>
                              <a:gd name="T120" fmla="+- 0 9460 8615"/>
                              <a:gd name="T121" fmla="*/ T120 w 1785"/>
                              <a:gd name="T122" fmla="+- 0 5579 1474"/>
                              <a:gd name="T123" fmla="*/ 5579 h 8254"/>
                              <a:gd name="T124" fmla="+- 0 9709 8615"/>
                              <a:gd name="T125" fmla="*/ T124 w 1785"/>
                              <a:gd name="T126" fmla="+- 0 5847 1474"/>
                              <a:gd name="T127" fmla="*/ 5847 h 8254"/>
                              <a:gd name="T128" fmla="+- 0 10132 8615"/>
                              <a:gd name="T129" fmla="*/ T128 w 1785"/>
                              <a:gd name="T130" fmla="+- 0 5833 1474"/>
                              <a:gd name="T131" fmla="*/ 5833 h 8254"/>
                              <a:gd name="T132" fmla="+- 0 10278 8615"/>
                              <a:gd name="T133" fmla="*/ T132 w 1785"/>
                              <a:gd name="T134" fmla="+- 0 4661 1474"/>
                              <a:gd name="T135" fmla="*/ 4661 h 8254"/>
                              <a:gd name="T136" fmla="+- 0 8617 8615"/>
                              <a:gd name="T137" fmla="*/ T136 w 1785"/>
                              <a:gd name="T138" fmla="+- 0 4772 1474"/>
                              <a:gd name="T139" fmla="*/ 4772 h 8254"/>
                              <a:gd name="T140" fmla="+- 0 8626 8615"/>
                              <a:gd name="T141" fmla="*/ T140 w 1785"/>
                              <a:gd name="T142" fmla="+- 0 4971 1474"/>
                              <a:gd name="T143" fmla="*/ 4971 h 8254"/>
                              <a:gd name="T144" fmla="+- 0 10114 8615"/>
                              <a:gd name="T145" fmla="*/ T144 w 1785"/>
                              <a:gd name="T146" fmla="+- 0 5259 1474"/>
                              <a:gd name="T147" fmla="*/ 5259 h 8254"/>
                              <a:gd name="T148" fmla="+- 0 9985 8615"/>
                              <a:gd name="T149" fmla="*/ T148 w 1785"/>
                              <a:gd name="T150" fmla="+- 0 5488 1474"/>
                              <a:gd name="T151" fmla="*/ 5488 h 8254"/>
                              <a:gd name="T152" fmla="+- 0 10388 8615"/>
                              <a:gd name="T153" fmla="*/ T152 w 1785"/>
                              <a:gd name="T154" fmla="+- 0 5340 1474"/>
                              <a:gd name="T155" fmla="*/ 5340 h 8254"/>
                              <a:gd name="T156" fmla="+- 0 10349 8615"/>
                              <a:gd name="T157" fmla="*/ T156 w 1785"/>
                              <a:gd name="T158" fmla="+- 0 4679 1474"/>
                              <a:gd name="T159" fmla="*/ 4679 h 8254"/>
                              <a:gd name="T160" fmla="+- 0 10151 8615"/>
                              <a:gd name="T161" fmla="*/ T160 w 1785"/>
                              <a:gd name="T162" fmla="+- 0 6069 1474"/>
                              <a:gd name="T163" fmla="*/ 6069 h 8254"/>
                              <a:gd name="T164" fmla="+- 0 8654 8615"/>
                              <a:gd name="T165" fmla="*/ T164 w 1785"/>
                              <a:gd name="T166" fmla="+- 0 6560 1474"/>
                              <a:gd name="T167" fmla="*/ 6560 h 8254"/>
                              <a:gd name="T168" fmla="+- 0 8615 8615"/>
                              <a:gd name="T169" fmla="*/ T168 w 1785"/>
                              <a:gd name="T170" fmla="+- 0 6713 1474"/>
                              <a:gd name="T171" fmla="*/ 6713 h 8254"/>
                              <a:gd name="T172" fmla="+- 0 8634 8615"/>
                              <a:gd name="T173" fmla="*/ T172 w 1785"/>
                              <a:gd name="T174" fmla="+- 0 6894 1474"/>
                              <a:gd name="T175" fmla="*/ 6894 h 8254"/>
                              <a:gd name="T176" fmla="+- 0 10132 8615"/>
                              <a:gd name="T177" fmla="*/ T176 w 1785"/>
                              <a:gd name="T178" fmla="+- 0 7402 1474"/>
                              <a:gd name="T179" fmla="*/ 7402 h 8254"/>
                              <a:gd name="T180" fmla="+- 0 10282 8615"/>
                              <a:gd name="T181" fmla="*/ T180 w 1785"/>
                              <a:gd name="T182" fmla="+- 0 7414 1474"/>
                              <a:gd name="T183" fmla="*/ 7414 h 8254"/>
                              <a:gd name="T184" fmla="+- 0 10390 8615"/>
                              <a:gd name="T185" fmla="*/ T184 w 1785"/>
                              <a:gd name="T186" fmla="+- 0 7378 1474"/>
                              <a:gd name="T187" fmla="*/ 7378 h 8254"/>
                              <a:gd name="T188" fmla="+- 0 10328 8615"/>
                              <a:gd name="T189" fmla="*/ T188 w 1785"/>
                              <a:gd name="T190" fmla="+- 0 6067 1474"/>
                              <a:gd name="T191" fmla="*/ 6067 h 8254"/>
                              <a:gd name="T192" fmla="+- 0 8631 8615"/>
                              <a:gd name="T193" fmla="*/ T192 w 1785"/>
                              <a:gd name="T194" fmla="+- 0 8117 1474"/>
                              <a:gd name="T195" fmla="*/ 8117 h 8254"/>
                              <a:gd name="T196" fmla="+- 0 8617 8615"/>
                              <a:gd name="T197" fmla="*/ T196 w 1785"/>
                              <a:gd name="T198" fmla="+- 0 8351 1474"/>
                              <a:gd name="T199" fmla="*/ 8351 h 8254"/>
                              <a:gd name="T200" fmla="+- 0 8680 8615"/>
                              <a:gd name="T201" fmla="*/ T200 w 1785"/>
                              <a:gd name="T202" fmla="+- 0 8450 1474"/>
                              <a:gd name="T203" fmla="*/ 8450 h 8254"/>
                              <a:gd name="T204" fmla="+- 0 8620 8615"/>
                              <a:gd name="T205" fmla="*/ T204 w 1785"/>
                              <a:gd name="T206" fmla="+- 0 9413 1474"/>
                              <a:gd name="T207" fmla="*/ 9413 h 8254"/>
                              <a:gd name="T208" fmla="+- 0 8620 8615"/>
                              <a:gd name="T209" fmla="*/ T208 w 1785"/>
                              <a:gd name="T210" fmla="+- 0 9679 1474"/>
                              <a:gd name="T211" fmla="*/ 9679 h 8254"/>
                              <a:gd name="T212" fmla="+- 0 8733 8615"/>
                              <a:gd name="T213" fmla="*/ T212 w 1785"/>
                              <a:gd name="T214" fmla="+- 0 9713 1474"/>
                              <a:gd name="T215" fmla="*/ 9713 h 8254"/>
                              <a:gd name="T216" fmla="+- 0 8759 8615"/>
                              <a:gd name="T217" fmla="*/ T216 w 1785"/>
                              <a:gd name="T218" fmla="+- 0 8119 1474"/>
                              <a:gd name="T219" fmla="*/ 8119 h 8254"/>
                              <a:gd name="T220" fmla="+- 0 9302 8615"/>
                              <a:gd name="T221" fmla="*/ T220 w 1785"/>
                              <a:gd name="T222" fmla="+- 0 9143 1474"/>
                              <a:gd name="T223" fmla="*/ 9143 h 8254"/>
                              <a:gd name="T224" fmla="+- 0 10398 8615"/>
                              <a:gd name="T225" fmla="*/ T224 w 1785"/>
                              <a:gd name="T226" fmla="+- 0 9026 1474"/>
                              <a:gd name="T227" fmla="*/ 9026 h 8254"/>
                              <a:gd name="T228" fmla="+- 0 10384 8615"/>
                              <a:gd name="T229" fmla="*/ T228 w 1785"/>
                              <a:gd name="T230" fmla="+- 0 8708 1474"/>
                              <a:gd name="T231" fmla="*/ 8708 h 8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85" h="8254">
                                <a:moveTo>
                                  <a:pt x="899" y="360"/>
                                </a:moveTo>
                                <a:lnTo>
                                  <a:pt x="621" y="360"/>
                                </a:lnTo>
                                <a:lnTo>
                                  <a:pt x="622" y="512"/>
                                </a:lnTo>
                                <a:lnTo>
                                  <a:pt x="624" y="592"/>
                                </a:lnTo>
                                <a:lnTo>
                                  <a:pt x="631" y="671"/>
                                </a:lnTo>
                                <a:lnTo>
                                  <a:pt x="644" y="744"/>
                                </a:lnTo>
                                <a:lnTo>
                                  <a:pt x="662" y="811"/>
                                </a:lnTo>
                                <a:lnTo>
                                  <a:pt x="685" y="873"/>
                                </a:lnTo>
                                <a:lnTo>
                                  <a:pt x="713" y="930"/>
                                </a:lnTo>
                                <a:lnTo>
                                  <a:pt x="745" y="982"/>
                                </a:lnTo>
                                <a:lnTo>
                                  <a:pt x="782" y="1029"/>
                                </a:lnTo>
                                <a:lnTo>
                                  <a:pt x="824" y="1071"/>
                                </a:lnTo>
                                <a:lnTo>
                                  <a:pt x="870" y="1107"/>
                                </a:lnTo>
                                <a:lnTo>
                                  <a:pt x="920" y="1139"/>
                                </a:lnTo>
                                <a:lnTo>
                                  <a:pt x="975" y="1165"/>
                                </a:lnTo>
                                <a:lnTo>
                                  <a:pt x="1035" y="1185"/>
                                </a:lnTo>
                                <a:lnTo>
                                  <a:pt x="1099" y="1199"/>
                                </a:lnTo>
                                <a:lnTo>
                                  <a:pt x="1167" y="1208"/>
                                </a:lnTo>
                                <a:lnTo>
                                  <a:pt x="1239" y="1210"/>
                                </a:lnTo>
                                <a:lnTo>
                                  <a:pt x="1292" y="1209"/>
                                </a:lnTo>
                                <a:lnTo>
                                  <a:pt x="1342" y="1203"/>
                                </a:lnTo>
                                <a:lnTo>
                                  <a:pt x="1389" y="1194"/>
                                </a:lnTo>
                                <a:lnTo>
                                  <a:pt x="1434" y="1180"/>
                                </a:lnTo>
                                <a:lnTo>
                                  <a:pt x="1476" y="1164"/>
                                </a:lnTo>
                                <a:lnTo>
                                  <a:pt x="1515" y="1144"/>
                                </a:lnTo>
                                <a:lnTo>
                                  <a:pt x="1552" y="1120"/>
                                </a:lnTo>
                                <a:lnTo>
                                  <a:pt x="1586" y="1094"/>
                                </a:lnTo>
                                <a:lnTo>
                                  <a:pt x="1617" y="1064"/>
                                </a:lnTo>
                                <a:lnTo>
                                  <a:pt x="1645" y="1030"/>
                                </a:lnTo>
                                <a:lnTo>
                                  <a:pt x="1671" y="994"/>
                                </a:lnTo>
                                <a:lnTo>
                                  <a:pt x="1693" y="955"/>
                                </a:lnTo>
                                <a:lnTo>
                                  <a:pt x="1713" y="914"/>
                                </a:lnTo>
                                <a:lnTo>
                                  <a:pt x="1729" y="874"/>
                                </a:lnTo>
                                <a:lnTo>
                                  <a:pt x="1742" y="835"/>
                                </a:lnTo>
                                <a:lnTo>
                                  <a:pt x="1213" y="835"/>
                                </a:lnTo>
                                <a:lnTo>
                                  <a:pt x="1179" y="834"/>
                                </a:lnTo>
                                <a:lnTo>
                                  <a:pt x="1147" y="830"/>
                                </a:lnTo>
                                <a:lnTo>
                                  <a:pt x="1116" y="824"/>
                                </a:lnTo>
                                <a:lnTo>
                                  <a:pt x="1087" y="816"/>
                                </a:lnTo>
                                <a:lnTo>
                                  <a:pt x="1059" y="805"/>
                                </a:lnTo>
                                <a:lnTo>
                                  <a:pt x="1033" y="793"/>
                                </a:lnTo>
                                <a:lnTo>
                                  <a:pt x="1009" y="777"/>
                                </a:lnTo>
                                <a:lnTo>
                                  <a:pt x="987" y="760"/>
                                </a:lnTo>
                                <a:lnTo>
                                  <a:pt x="968" y="740"/>
                                </a:lnTo>
                                <a:lnTo>
                                  <a:pt x="950" y="718"/>
                                </a:lnTo>
                                <a:lnTo>
                                  <a:pt x="935" y="693"/>
                                </a:lnTo>
                                <a:lnTo>
                                  <a:pt x="923" y="664"/>
                                </a:lnTo>
                                <a:lnTo>
                                  <a:pt x="912" y="634"/>
                                </a:lnTo>
                                <a:lnTo>
                                  <a:pt x="905" y="600"/>
                                </a:lnTo>
                                <a:lnTo>
                                  <a:pt x="900" y="562"/>
                                </a:lnTo>
                                <a:lnTo>
                                  <a:pt x="899" y="520"/>
                                </a:lnTo>
                                <a:lnTo>
                                  <a:pt x="899" y="360"/>
                                </a:lnTo>
                                <a:close/>
                                <a:moveTo>
                                  <a:pt x="1649" y="0"/>
                                </a:moveTo>
                                <a:lnTo>
                                  <a:pt x="48" y="0"/>
                                </a:lnTo>
                                <a:lnTo>
                                  <a:pt x="39" y="2"/>
                                </a:lnTo>
                                <a:lnTo>
                                  <a:pt x="25" y="14"/>
                                </a:lnTo>
                                <a:lnTo>
                                  <a:pt x="19" y="24"/>
                                </a:lnTo>
                                <a:lnTo>
                                  <a:pt x="14" y="37"/>
                                </a:lnTo>
                                <a:lnTo>
                                  <a:pt x="11" y="48"/>
                                </a:lnTo>
                                <a:lnTo>
                                  <a:pt x="8" y="61"/>
                                </a:lnTo>
                                <a:lnTo>
                                  <a:pt x="5" y="76"/>
                                </a:lnTo>
                                <a:lnTo>
                                  <a:pt x="3" y="92"/>
                                </a:lnTo>
                                <a:lnTo>
                                  <a:pt x="2" y="110"/>
                                </a:lnTo>
                                <a:lnTo>
                                  <a:pt x="1" y="131"/>
                                </a:lnTo>
                                <a:lnTo>
                                  <a:pt x="0" y="154"/>
                                </a:lnTo>
                                <a:lnTo>
                                  <a:pt x="0" y="178"/>
                                </a:lnTo>
                                <a:lnTo>
                                  <a:pt x="0" y="204"/>
                                </a:lnTo>
                                <a:lnTo>
                                  <a:pt x="1" y="227"/>
                                </a:lnTo>
                                <a:lnTo>
                                  <a:pt x="2" y="248"/>
                                </a:lnTo>
                                <a:lnTo>
                                  <a:pt x="3" y="266"/>
                                </a:lnTo>
                                <a:lnTo>
                                  <a:pt x="5" y="282"/>
                                </a:lnTo>
                                <a:lnTo>
                                  <a:pt x="8" y="297"/>
                                </a:lnTo>
                                <a:lnTo>
                                  <a:pt x="11" y="310"/>
                                </a:lnTo>
                                <a:lnTo>
                                  <a:pt x="14" y="321"/>
                                </a:lnTo>
                                <a:lnTo>
                                  <a:pt x="19" y="334"/>
                                </a:lnTo>
                                <a:lnTo>
                                  <a:pt x="25" y="344"/>
                                </a:lnTo>
                                <a:lnTo>
                                  <a:pt x="39" y="356"/>
                                </a:lnTo>
                                <a:lnTo>
                                  <a:pt x="48" y="360"/>
                                </a:lnTo>
                                <a:lnTo>
                                  <a:pt x="1499" y="360"/>
                                </a:lnTo>
                                <a:lnTo>
                                  <a:pt x="1498" y="520"/>
                                </a:lnTo>
                                <a:lnTo>
                                  <a:pt x="1498" y="540"/>
                                </a:lnTo>
                                <a:lnTo>
                                  <a:pt x="1497" y="568"/>
                                </a:lnTo>
                                <a:lnTo>
                                  <a:pt x="1495" y="595"/>
                                </a:lnTo>
                                <a:lnTo>
                                  <a:pt x="1491" y="621"/>
                                </a:lnTo>
                                <a:lnTo>
                                  <a:pt x="1486" y="647"/>
                                </a:lnTo>
                                <a:lnTo>
                                  <a:pt x="1479" y="673"/>
                                </a:lnTo>
                                <a:lnTo>
                                  <a:pt x="1468" y="697"/>
                                </a:lnTo>
                                <a:lnTo>
                                  <a:pt x="1455" y="722"/>
                                </a:lnTo>
                                <a:lnTo>
                                  <a:pt x="1439" y="745"/>
                                </a:lnTo>
                                <a:lnTo>
                                  <a:pt x="1419" y="766"/>
                                </a:lnTo>
                                <a:lnTo>
                                  <a:pt x="1394" y="785"/>
                                </a:lnTo>
                                <a:lnTo>
                                  <a:pt x="1367" y="802"/>
                                </a:lnTo>
                                <a:lnTo>
                                  <a:pt x="1334" y="817"/>
                                </a:lnTo>
                                <a:lnTo>
                                  <a:pt x="1298" y="827"/>
                                </a:lnTo>
                                <a:lnTo>
                                  <a:pt x="1258" y="833"/>
                                </a:lnTo>
                                <a:lnTo>
                                  <a:pt x="1213" y="835"/>
                                </a:lnTo>
                                <a:lnTo>
                                  <a:pt x="1742" y="835"/>
                                </a:lnTo>
                                <a:lnTo>
                                  <a:pt x="1742" y="834"/>
                                </a:lnTo>
                                <a:lnTo>
                                  <a:pt x="1752" y="794"/>
                                </a:lnTo>
                                <a:lnTo>
                                  <a:pt x="1759" y="756"/>
                                </a:lnTo>
                                <a:lnTo>
                                  <a:pt x="1764" y="720"/>
                                </a:lnTo>
                                <a:lnTo>
                                  <a:pt x="1769" y="688"/>
                                </a:lnTo>
                                <a:lnTo>
                                  <a:pt x="1772" y="658"/>
                                </a:lnTo>
                                <a:lnTo>
                                  <a:pt x="1774" y="629"/>
                                </a:lnTo>
                                <a:lnTo>
                                  <a:pt x="1775" y="600"/>
                                </a:lnTo>
                                <a:lnTo>
                                  <a:pt x="1777" y="569"/>
                                </a:lnTo>
                                <a:lnTo>
                                  <a:pt x="1777" y="540"/>
                                </a:lnTo>
                                <a:lnTo>
                                  <a:pt x="1777" y="122"/>
                                </a:lnTo>
                                <a:lnTo>
                                  <a:pt x="1775" y="96"/>
                                </a:lnTo>
                                <a:lnTo>
                                  <a:pt x="1769" y="72"/>
                                </a:lnTo>
                                <a:lnTo>
                                  <a:pt x="1759" y="51"/>
                                </a:lnTo>
                                <a:lnTo>
                                  <a:pt x="1745" y="33"/>
                                </a:lnTo>
                                <a:lnTo>
                                  <a:pt x="1726" y="18"/>
                                </a:lnTo>
                                <a:lnTo>
                                  <a:pt x="1704" y="8"/>
                                </a:lnTo>
                                <a:lnTo>
                                  <a:pt x="1678" y="2"/>
                                </a:lnTo>
                                <a:lnTo>
                                  <a:pt x="1649" y="0"/>
                                </a:lnTo>
                                <a:close/>
                                <a:moveTo>
                                  <a:pt x="55" y="1332"/>
                                </a:moveTo>
                                <a:lnTo>
                                  <a:pt x="42" y="1334"/>
                                </a:lnTo>
                                <a:lnTo>
                                  <a:pt x="32" y="1337"/>
                                </a:lnTo>
                                <a:lnTo>
                                  <a:pt x="24" y="1342"/>
                                </a:lnTo>
                                <a:lnTo>
                                  <a:pt x="16" y="1351"/>
                                </a:lnTo>
                                <a:lnTo>
                                  <a:pt x="10" y="1362"/>
                                </a:lnTo>
                                <a:lnTo>
                                  <a:pt x="6" y="1375"/>
                                </a:lnTo>
                                <a:lnTo>
                                  <a:pt x="3" y="1392"/>
                                </a:lnTo>
                                <a:lnTo>
                                  <a:pt x="2" y="1411"/>
                                </a:lnTo>
                                <a:lnTo>
                                  <a:pt x="1" y="1434"/>
                                </a:lnTo>
                                <a:lnTo>
                                  <a:pt x="0" y="1460"/>
                                </a:lnTo>
                                <a:lnTo>
                                  <a:pt x="0" y="1518"/>
                                </a:lnTo>
                                <a:lnTo>
                                  <a:pt x="0" y="1543"/>
                                </a:lnTo>
                                <a:lnTo>
                                  <a:pt x="1" y="1565"/>
                                </a:lnTo>
                                <a:lnTo>
                                  <a:pt x="2" y="1585"/>
                                </a:lnTo>
                                <a:lnTo>
                                  <a:pt x="4" y="1602"/>
                                </a:lnTo>
                                <a:lnTo>
                                  <a:pt x="6" y="1617"/>
                                </a:lnTo>
                                <a:lnTo>
                                  <a:pt x="9" y="1630"/>
                                </a:lnTo>
                                <a:lnTo>
                                  <a:pt x="13" y="1641"/>
                                </a:lnTo>
                                <a:lnTo>
                                  <a:pt x="18" y="1654"/>
                                </a:lnTo>
                                <a:lnTo>
                                  <a:pt x="24" y="1664"/>
                                </a:lnTo>
                                <a:lnTo>
                                  <a:pt x="33" y="1670"/>
                                </a:lnTo>
                                <a:lnTo>
                                  <a:pt x="42" y="1676"/>
                                </a:lnTo>
                                <a:lnTo>
                                  <a:pt x="53" y="1681"/>
                                </a:lnTo>
                                <a:lnTo>
                                  <a:pt x="65" y="1684"/>
                                </a:lnTo>
                                <a:lnTo>
                                  <a:pt x="411" y="1796"/>
                                </a:lnTo>
                                <a:lnTo>
                                  <a:pt x="411" y="2461"/>
                                </a:lnTo>
                                <a:lnTo>
                                  <a:pt x="44" y="2583"/>
                                </a:lnTo>
                                <a:lnTo>
                                  <a:pt x="35" y="2588"/>
                                </a:lnTo>
                                <a:lnTo>
                                  <a:pt x="26" y="2594"/>
                                </a:lnTo>
                                <a:lnTo>
                                  <a:pt x="19" y="2599"/>
                                </a:lnTo>
                                <a:lnTo>
                                  <a:pt x="14" y="2608"/>
                                </a:lnTo>
                                <a:lnTo>
                                  <a:pt x="9" y="2622"/>
                                </a:lnTo>
                                <a:lnTo>
                                  <a:pt x="7" y="2633"/>
                                </a:lnTo>
                                <a:lnTo>
                                  <a:pt x="5" y="2647"/>
                                </a:lnTo>
                                <a:lnTo>
                                  <a:pt x="3" y="2663"/>
                                </a:lnTo>
                                <a:lnTo>
                                  <a:pt x="1" y="2682"/>
                                </a:lnTo>
                                <a:lnTo>
                                  <a:pt x="0" y="2703"/>
                                </a:lnTo>
                                <a:lnTo>
                                  <a:pt x="0" y="2729"/>
                                </a:lnTo>
                                <a:lnTo>
                                  <a:pt x="0" y="2791"/>
                                </a:lnTo>
                                <a:lnTo>
                                  <a:pt x="0" y="2822"/>
                                </a:lnTo>
                                <a:lnTo>
                                  <a:pt x="1" y="2850"/>
                                </a:lnTo>
                                <a:lnTo>
                                  <a:pt x="2" y="2875"/>
                                </a:lnTo>
                                <a:lnTo>
                                  <a:pt x="3" y="2895"/>
                                </a:lnTo>
                                <a:lnTo>
                                  <a:pt x="5" y="2913"/>
                                </a:lnTo>
                                <a:lnTo>
                                  <a:pt x="9" y="2928"/>
                                </a:lnTo>
                                <a:lnTo>
                                  <a:pt x="14" y="2940"/>
                                </a:lnTo>
                                <a:lnTo>
                                  <a:pt x="20" y="2949"/>
                                </a:lnTo>
                                <a:lnTo>
                                  <a:pt x="28" y="2955"/>
                                </a:lnTo>
                                <a:lnTo>
                                  <a:pt x="38" y="2959"/>
                                </a:lnTo>
                                <a:lnTo>
                                  <a:pt x="50" y="2961"/>
                                </a:lnTo>
                                <a:lnTo>
                                  <a:pt x="63" y="2960"/>
                                </a:lnTo>
                                <a:lnTo>
                                  <a:pt x="79" y="2957"/>
                                </a:lnTo>
                                <a:lnTo>
                                  <a:pt x="97" y="2953"/>
                                </a:lnTo>
                                <a:lnTo>
                                  <a:pt x="118" y="2947"/>
                                </a:lnTo>
                                <a:lnTo>
                                  <a:pt x="141" y="2940"/>
                                </a:lnTo>
                                <a:lnTo>
                                  <a:pt x="1710" y="2392"/>
                                </a:lnTo>
                                <a:lnTo>
                                  <a:pt x="1722" y="2388"/>
                                </a:lnTo>
                                <a:lnTo>
                                  <a:pt x="1733" y="2383"/>
                                </a:lnTo>
                                <a:lnTo>
                                  <a:pt x="1743" y="2378"/>
                                </a:lnTo>
                                <a:lnTo>
                                  <a:pt x="1745" y="2377"/>
                                </a:lnTo>
                                <a:lnTo>
                                  <a:pt x="687" y="2377"/>
                                </a:lnTo>
                                <a:lnTo>
                                  <a:pt x="687" y="1875"/>
                                </a:lnTo>
                                <a:lnTo>
                                  <a:pt x="1644" y="1875"/>
                                </a:lnTo>
                                <a:lnTo>
                                  <a:pt x="144" y="1353"/>
                                </a:lnTo>
                                <a:lnTo>
                                  <a:pt x="122" y="1346"/>
                                </a:lnTo>
                                <a:lnTo>
                                  <a:pt x="101" y="1340"/>
                                </a:lnTo>
                                <a:lnTo>
                                  <a:pt x="84" y="1335"/>
                                </a:lnTo>
                                <a:lnTo>
                                  <a:pt x="68" y="1333"/>
                                </a:lnTo>
                                <a:lnTo>
                                  <a:pt x="55" y="1332"/>
                                </a:lnTo>
                                <a:close/>
                                <a:moveTo>
                                  <a:pt x="1644" y="1875"/>
                                </a:moveTo>
                                <a:lnTo>
                                  <a:pt x="687" y="1875"/>
                                </a:lnTo>
                                <a:lnTo>
                                  <a:pt x="1439" y="2126"/>
                                </a:lnTo>
                                <a:lnTo>
                                  <a:pt x="1439" y="2127"/>
                                </a:lnTo>
                                <a:lnTo>
                                  <a:pt x="687" y="2377"/>
                                </a:lnTo>
                                <a:lnTo>
                                  <a:pt x="1745" y="2377"/>
                                </a:lnTo>
                                <a:lnTo>
                                  <a:pt x="1751" y="2373"/>
                                </a:lnTo>
                                <a:lnTo>
                                  <a:pt x="1758" y="2366"/>
                                </a:lnTo>
                                <a:lnTo>
                                  <a:pt x="1764" y="2357"/>
                                </a:lnTo>
                                <a:lnTo>
                                  <a:pt x="1769" y="2347"/>
                                </a:lnTo>
                                <a:lnTo>
                                  <a:pt x="1773" y="2335"/>
                                </a:lnTo>
                                <a:lnTo>
                                  <a:pt x="1777" y="2320"/>
                                </a:lnTo>
                                <a:lnTo>
                                  <a:pt x="1780" y="2303"/>
                                </a:lnTo>
                                <a:lnTo>
                                  <a:pt x="1782" y="2283"/>
                                </a:lnTo>
                                <a:lnTo>
                                  <a:pt x="1783" y="2260"/>
                                </a:lnTo>
                                <a:lnTo>
                                  <a:pt x="1784" y="2234"/>
                                </a:lnTo>
                                <a:lnTo>
                                  <a:pt x="1784" y="2204"/>
                                </a:lnTo>
                                <a:lnTo>
                                  <a:pt x="1784" y="2069"/>
                                </a:lnTo>
                                <a:lnTo>
                                  <a:pt x="1784" y="2042"/>
                                </a:lnTo>
                                <a:lnTo>
                                  <a:pt x="1783" y="2019"/>
                                </a:lnTo>
                                <a:lnTo>
                                  <a:pt x="1782" y="1999"/>
                                </a:lnTo>
                                <a:lnTo>
                                  <a:pt x="1780" y="1982"/>
                                </a:lnTo>
                                <a:lnTo>
                                  <a:pt x="1777" y="1966"/>
                                </a:lnTo>
                                <a:lnTo>
                                  <a:pt x="1773" y="1953"/>
                                </a:lnTo>
                                <a:lnTo>
                                  <a:pt x="1769" y="1942"/>
                                </a:lnTo>
                                <a:lnTo>
                                  <a:pt x="1764" y="1933"/>
                                </a:lnTo>
                                <a:lnTo>
                                  <a:pt x="1759" y="1925"/>
                                </a:lnTo>
                                <a:lnTo>
                                  <a:pt x="1752" y="1918"/>
                                </a:lnTo>
                                <a:lnTo>
                                  <a:pt x="1744" y="1913"/>
                                </a:lnTo>
                                <a:lnTo>
                                  <a:pt x="1735" y="1908"/>
                                </a:lnTo>
                                <a:lnTo>
                                  <a:pt x="1725" y="1903"/>
                                </a:lnTo>
                                <a:lnTo>
                                  <a:pt x="1644" y="1875"/>
                                </a:lnTo>
                                <a:close/>
                                <a:moveTo>
                                  <a:pt x="1001" y="3547"/>
                                </a:moveTo>
                                <a:lnTo>
                                  <a:pt x="731" y="3547"/>
                                </a:lnTo>
                                <a:lnTo>
                                  <a:pt x="731" y="3658"/>
                                </a:lnTo>
                                <a:lnTo>
                                  <a:pt x="729" y="3686"/>
                                </a:lnTo>
                                <a:lnTo>
                                  <a:pt x="726" y="3713"/>
                                </a:lnTo>
                                <a:lnTo>
                                  <a:pt x="720" y="3737"/>
                                </a:lnTo>
                                <a:lnTo>
                                  <a:pt x="713" y="3760"/>
                                </a:lnTo>
                                <a:lnTo>
                                  <a:pt x="703" y="3781"/>
                                </a:lnTo>
                                <a:lnTo>
                                  <a:pt x="691" y="3801"/>
                                </a:lnTo>
                                <a:lnTo>
                                  <a:pt x="676" y="3820"/>
                                </a:lnTo>
                                <a:lnTo>
                                  <a:pt x="660" y="3837"/>
                                </a:lnTo>
                                <a:lnTo>
                                  <a:pt x="642" y="3854"/>
                                </a:lnTo>
                                <a:lnTo>
                                  <a:pt x="621" y="3869"/>
                                </a:lnTo>
                                <a:lnTo>
                                  <a:pt x="598" y="3884"/>
                                </a:lnTo>
                                <a:lnTo>
                                  <a:pt x="573" y="3898"/>
                                </a:lnTo>
                                <a:lnTo>
                                  <a:pt x="546" y="3912"/>
                                </a:lnTo>
                                <a:lnTo>
                                  <a:pt x="518" y="3926"/>
                                </a:lnTo>
                                <a:lnTo>
                                  <a:pt x="487" y="3939"/>
                                </a:lnTo>
                                <a:lnTo>
                                  <a:pt x="455" y="3954"/>
                                </a:lnTo>
                                <a:lnTo>
                                  <a:pt x="60" y="4112"/>
                                </a:lnTo>
                                <a:lnTo>
                                  <a:pt x="49" y="4116"/>
                                </a:lnTo>
                                <a:lnTo>
                                  <a:pt x="39" y="4120"/>
                                </a:lnTo>
                                <a:lnTo>
                                  <a:pt x="31" y="4126"/>
                                </a:lnTo>
                                <a:lnTo>
                                  <a:pt x="24" y="4131"/>
                                </a:lnTo>
                                <a:lnTo>
                                  <a:pt x="18" y="4141"/>
                                </a:lnTo>
                                <a:lnTo>
                                  <a:pt x="13" y="4154"/>
                                </a:lnTo>
                                <a:lnTo>
                                  <a:pt x="9" y="4165"/>
                                </a:lnTo>
                                <a:lnTo>
                                  <a:pt x="6" y="4178"/>
                                </a:lnTo>
                                <a:lnTo>
                                  <a:pt x="4" y="4192"/>
                                </a:lnTo>
                                <a:lnTo>
                                  <a:pt x="2" y="4208"/>
                                </a:lnTo>
                                <a:lnTo>
                                  <a:pt x="1" y="4227"/>
                                </a:lnTo>
                                <a:lnTo>
                                  <a:pt x="0" y="4248"/>
                                </a:lnTo>
                                <a:lnTo>
                                  <a:pt x="0" y="4339"/>
                                </a:lnTo>
                                <a:lnTo>
                                  <a:pt x="0" y="4360"/>
                                </a:lnTo>
                                <a:lnTo>
                                  <a:pt x="1" y="4386"/>
                                </a:lnTo>
                                <a:lnTo>
                                  <a:pt x="2" y="4407"/>
                                </a:lnTo>
                                <a:lnTo>
                                  <a:pt x="4" y="4426"/>
                                </a:lnTo>
                                <a:lnTo>
                                  <a:pt x="6" y="4442"/>
                                </a:lnTo>
                                <a:lnTo>
                                  <a:pt x="9" y="4456"/>
                                </a:lnTo>
                                <a:lnTo>
                                  <a:pt x="12" y="4468"/>
                                </a:lnTo>
                                <a:lnTo>
                                  <a:pt x="17" y="4482"/>
                                </a:lnTo>
                                <a:lnTo>
                                  <a:pt x="21" y="4490"/>
                                </a:lnTo>
                                <a:lnTo>
                                  <a:pt x="36" y="4497"/>
                                </a:lnTo>
                                <a:lnTo>
                                  <a:pt x="44" y="4500"/>
                                </a:lnTo>
                                <a:lnTo>
                                  <a:pt x="63" y="4500"/>
                                </a:lnTo>
                                <a:lnTo>
                                  <a:pt x="75" y="4497"/>
                                </a:lnTo>
                                <a:lnTo>
                                  <a:pt x="92" y="4492"/>
                                </a:lnTo>
                                <a:lnTo>
                                  <a:pt x="106" y="4488"/>
                                </a:lnTo>
                                <a:lnTo>
                                  <a:pt x="123" y="4482"/>
                                </a:lnTo>
                                <a:lnTo>
                                  <a:pt x="143" y="4475"/>
                                </a:lnTo>
                                <a:lnTo>
                                  <a:pt x="168" y="4465"/>
                                </a:lnTo>
                                <a:lnTo>
                                  <a:pt x="516" y="4316"/>
                                </a:lnTo>
                                <a:lnTo>
                                  <a:pt x="547" y="4303"/>
                                </a:lnTo>
                                <a:lnTo>
                                  <a:pt x="576" y="4290"/>
                                </a:lnTo>
                                <a:lnTo>
                                  <a:pt x="603" y="4277"/>
                                </a:lnTo>
                                <a:lnTo>
                                  <a:pt x="629" y="4263"/>
                                </a:lnTo>
                                <a:lnTo>
                                  <a:pt x="653" y="4249"/>
                                </a:lnTo>
                                <a:lnTo>
                                  <a:pt x="676" y="4235"/>
                                </a:lnTo>
                                <a:lnTo>
                                  <a:pt x="698" y="4220"/>
                                </a:lnTo>
                                <a:lnTo>
                                  <a:pt x="717" y="4204"/>
                                </a:lnTo>
                                <a:lnTo>
                                  <a:pt x="736" y="4189"/>
                                </a:lnTo>
                                <a:lnTo>
                                  <a:pt x="754" y="4173"/>
                                </a:lnTo>
                                <a:lnTo>
                                  <a:pt x="770" y="4156"/>
                                </a:lnTo>
                                <a:lnTo>
                                  <a:pt x="785" y="4140"/>
                                </a:lnTo>
                                <a:lnTo>
                                  <a:pt x="798" y="4122"/>
                                </a:lnTo>
                                <a:lnTo>
                                  <a:pt x="810" y="4103"/>
                                </a:lnTo>
                                <a:lnTo>
                                  <a:pt x="821" y="4085"/>
                                </a:lnTo>
                                <a:lnTo>
                                  <a:pt x="830" y="4065"/>
                                </a:lnTo>
                                <a:lnTo>
                                  <a:pt x="1742" y="4065"/>
                                </a:lnTo>
                                <a:lnTo>
                                  <a:pt x="1746" y="4050"/>
                                </a:lnTo>
                                <a:lnTo>
                                  <a:pt x="1750" y="4036"/>
                                </a:lnTo>
                                <a:lnTo>
                                  <a:pt x="1254" y="4036"/>
                                </a:lnTo>
                                <a:lnTo>
                                  <a:pt x="1226" y="4035"/>
                                </a:lnTo>
                                <a:lnTo>
                                  <a:pt x="1200" y="4031"/>
                                </a:lnTo>
                                <a:lnTo>
                                  <a:pt x="1175" y="4025"/>
                                </a:lnTo>
                                <a:lnTo>
                                  <a:pt x="1151" y="4017"/>
                                </a:lnTo>
                                <a:lnTo>
                                  <a:pt x="1128" y="4006"/>
                                </a:lnTo>
                                <a:lnTo>
                                  <a:pt x="1107" y="3993"/>
                                </a:lnTo>
                                <a:lnTo>
                                  <a:pt x="1088" y="3977"/>
                                </a:lnTo>
                                <a:lnTo>
                                  <a:pt x="1070" y="3960"/>
                                </a:lnTo>
                                <a:lnTo>
                                  <a:pt x="1055" y="3939"/>
                                </a:lnTo>
                                <a:lnTo>
                                  <a:pt x="1041" y="3917"/>
                                </a:lnTo>
                                <a:lnTo>
                                  <a:pt x="1029" y="3891"/>
                                </a:lnTo>
                                <a:lnTo>
                                  <a:pt x="1019" y="3864"/>
                                </a:lnTo>
                                <a:lnTo>
                                  <a:pt x="1011" y="3834"/>
                                </a:lnTo>
                                <a:lnTo>
                                  <a:pt x="1005" y="3801"/>
                                </a:lnTo>
                                <a:lnTo>
                                  <a:pt x="1002" y="3767"/>
                                </a:lnTo>
                                <a:lnTo>
                                  <a:pt x="1001" y="3729"/>
                                </a:lnTo>
                                <a:lnTo>
                                  <a:pt x="1001" y="3547"/>
                                </a:lnTo>
                                <a:close/>
                                <a:moveTo>
                                  <a:pt x="1742" y="4065"/>
                                </a:moveTo>
                                <a:lnTo>
                                  <a:pt x="830" y="4065"/>
                                </a:lnTo>
                                <a:lnTo>
                                  <a:pt x="845" y="4105"/>
                                </a:lnTo>
                                <a:lnTo>
                                  <a:pt x="861" y="4142"/>
                                </a:lnTo>
                                <a:lnTo>
                                  <a:pt x="879" y="4178"/>
                                </a:lnTo>
                                <a:lnTo>
                                  <a:pt x="899" y="4210"/>
                                </a:lnTo>
                                <a:lnTo>
                                  <a:pt x="921" y="4241"/>
                                </a:lnTo>
                                <a:lnTo>
                                  <a:pt x="945" y="4270"/>
                                </a:lnTo>
                                <a:lnTo>
                                  <a:pt x="971" y="4295"/>
                                </a:lnTo>
                                <a:lnTo>
                                  <a:pt x="998" y="4318"/>
                                </a:lnTo>
                                <a:lnTo>
                                  <a:pt x="1028" y="4339"/>
                                </a:lnTo>
                                <a:lnTo>
                                  <a:pt x="1060" y="4357"/>
                                </a:lnTo>
                                <a:lnTo>
                                  <a:pt x="1094" y="4373"/>
                                </a:lnTo>
                                <a:lnTo>
                                  <a:pt x="1129" y="4386"/>
                                </a:lnTo>
                                <a:lnTo>
                                  <a:pt x="1167" y="4395"/>
                                </a:lnTo>
                                <a:lnTo>
                                  <a:pt x="1206" y="4402"/>
                                </a:lnTo>
                                <a:lnTo>
                                  <a:pt x="1248" y="4406"/>
                                </a:lnTo>
                                <a:lnTo>
                                  <a:pt x="1291" y="4407"/>
                                </a:lnTo>
                                <a:lnTo>
                                  <a:pt x="1343" y="4405"/>
                                </a:lnTo>
                                <a:lnTo>
                                  <a:pt x="1391" y="4400"/>
                                </a:lnTo>
                                <a:lnTo>
                                  <a:pt x="1436" y="4390"/>
                                </a:lnTo>
                                <a:lnTo>
                                  <a:pt x="1478" y="4376"/>
                                </a:lnTo>
                                <a:lnTo>
                                  <a:pt x="1517" y="4359"/>
                                </a:lnTo>
                                <a:lnTo>
                                  <a:pt x="1554" y="4338"/>
                                </a:lnTo>
                                <a:lnTo>
                                  <a:pt x="1588" y="4314"/>
                                </a:lnTo>
                                <a:lnTo>
                                  <a:pt x="1619" y="4286"/>
                                </a:lnTo>
                                <a:lnTo>
                                  <a:pt x="1647" y="4255"/>
                                </a:lnTo>
                                <a:lnTo>
                                  <a:pt x="1672" y="4220"/>
                                </a:lnTo>
                                <a:lnTo>
                                  <a:pt x="1695" y="4182"/>
                                </a:lnTo>
                                <a:lnTo>
                                  <a:pt x="1715" y="4141"/>
                                </a:lnTo>
                                <a:lnTo>
                                  <a:pt x="1732" y="4096"/>
                                </a:lnTo>
                                <a:lnTo>
                                  <a:pt x="1742" y="4065"/>
                                </a:lnTo>
                                <a:close/>
                                <a:moveTo>
                                  <a:pt x="1663" y="3187"/>
                                </a:moveTo>
                                <a:lnTo>
                                  <a:pt x="48" y="3187"/>
                                </a:lnTo>
                                <a:lnTo>
                                  <a:pt x="39" y="3189"/>
                                </a:lnTo>
                                <a:lnTo>
                                  <a:pt x="25" y="3201"/>
                                </a:lnTo>
                                <a:lnTo>
                                  <a:pt x="19" y="3211"/>
                                </a:lnTo>
                                <a:lnTo>
                                  <a:pt x="14" y="3224"/>
                                </a:lnTo>
                                <a:lnTo>
                                  <a:pt x="11" y="3235"/>
                                </a:lnTo>
                                <a:lnTo>
                                  <a:pt x="8" y="3248"/>
                                </a:lnTo>
                                <a:lnTo>
                                  <a:pt x="5" y="3263"/>
                                </a:lnTo>
                                <a:lnTo>
                                  <a:pt x="3" y="3279"/>
                                </a:lnTo>
                                <a:lnTo>
                                  <a:pt x="2" y="3298"/>
                                </a:lnTo>
                                <a:lnTo>
                                  <a:pt x="1" y="3318"/>
                                </a:lnTo>
                                <a:lnTo>
                                  <a:pt x="0" y="3341"/>
                                </a:lnTo>
                                <a:lnTo>
                                  <a:pt x="0" y="3366"/>
                                </a:lnTo>
                                <a:lnTo>
                                  <a:pt x="0" y="3391"/>
                                </a:lnTo>
                                <a:lnTo>
                                  <a:pt x="1" y="3414"/>
                                </a:lnTo>
                                <a:lnTo>
                                  <a:pt x="2" y="3435"/>
                                </a:lnTo>
                                <a:lnTo>
                                  <a:pt x="3" y="3453"/>
                                </a:lnTo>
                                <a:lnTo>
                                  <a:pt x="5" y="3470"/>
                                </a:lnTo>
                                <a:lnTo>
                                  <a:pt x="8" y="3484"/>
                                </a:lnTo>
                                <a:lnTo>
                                  <a:pt x="11" y="3497"/>
                                </a:lnTo>
                                <a:lnTo>
                                  <a:pt x="14" y="3508"/>
                                </a:lnTo>
                                <a:lnTo>
                                  <a:pt x="19" y="3522"/>
                                </a:lnTo>
                                <a:lnTo>
                                  <a:pt x="25" y="3531"/>
                                </a:lnTo>
                                <a:lnTo>
                                  <a:pt x="39" y="3543"/>
                                </a:lnTo>
                                <a:lnTo>
                                  <a:pt x="48" y="3547"/>
                                </a:lnTo>
                                <a:lnTo>
                                  <a:pt x="1502" y="3547"/>
                                </a:lnTo>
                                <a:lnTo>
                                  <a:pt x="1502" y="3713"/>
                                </a:lnTo>
                                <a:lnTo>
                                  <a:pt x="1502" y="3737"/>
                                </a:lnTo>
                                <a:lnTo>
                                  <a:pt x="1501" y="3763"/>
                                </a:lnTo>
                                <a:lnTo>
                                  <a:pt x="1499" y="3785"/>
                                </a:lnTo>
                                <a:lnTo>
                                  <a:pt x="1497" y="3805"/>
                                </a:lnTo>
                                <a:lnTo>
                                  <a:pt x="1495" y="3821"/>
                                </a:lnTo>
                                <a:lnTo>
                                  <a:pt x="1493" y="3837"/>
                                </a:lnTo>
                                <a:lnTo>
                                  <a:pt x="1490" y="3852"/>
                                </a:lnTo>
                                <a:lnTo>
                                  <a:pt x="1487" y="3866"/>
                                </a:lnTo>
                                <a:lnTo>
                                  <a:pt x="1472" y="3908"/>
                                </a:lnTo>
                                <a:lnTo>
                                  <a:pt x="1453" y="3944"/>
                                </a:lnTo>
                                <a:lnTo>
                                  <a:pt x="1430" y="3974"/>
                                </a:lnTo>
                                <a:lnTo>
                                  <a:pt x="1401" y="3997"/>
                                </a:lnTo>
                                <a:lnTo>
                                  <a:pt x="1370" y="4014"/>
                                </a:lnTo>
                                <a:lnTo>
                                  <a:pt x="1335" y="4027"/>
                                </a:lnTo>
                                <a:lnTo>
                                  <a:pt x="1296" y="4034"/>
                                </a:lnTo>
                                <a:lnTo>
                                  <a:pt x="1254" y="4036"/>
                                </a:lnTo>
                                <a:lnTo>
                                  <a:pt x="1750" y="4036"/>
                                </a:lnTo>
                                <a:lnTo>
                                  <a:pt x="1758" y="4001"/>
                                </a:lnTo>
                                <a:lnTo>
                                  <a:pt x="1767" y="3949"/>
                                </a:lnTo>
                                <a:lnTo>
                                  <a:pt x="1769" y="3929"/>
                                </a:lnTo>
                                <a:lnTo>
                                  <a:pt x="1771" y="3908"/>
                                </a:lnTo>
                                <a:lnTo>
                                  <a:pt x="1772" y="3888"/>
                                </a:lnTo>
                                <a:lnTo>
                                  <a:pt x="1773" y="3866"/>
                                </a:lnTo>
                                <a:lnTo>
                                  <a:pt x="1775" y="3842"/>
                                </a:lnTo>
                                <a:lnTo>
                                  <a:pt x="1776" y="3815"/>
                                </a:lnTo>
                                <a:lnTo>
                                  <a:pt x="1777" y="3785"/>
                                </a:lnTo>
                                <a:lnTo>
                                  <a:pt x="1777" y="3760"/>
                                </a:lnTo>
                                <a:lnTo>
                                  <a:pt x="1777" y="3294"/>
                                </a:lnTo>
                                <a:lnTo>
                                  <a:pt x="1775" y="3272"/>
                                </a:lnTo>
                                <a:lnTo>
                                  <a:pt x="1770" y="3252"/>
                                </a:lnTo>
                                <a:lnTo>
                                  <a:pt x="1761" y="3234"/>
                                </a:lnTo>
                                <a:lnTo>
                                  <a:pt x="1749" y="3218"/>
                                </a:lnTo>
                                <a:lnTo>
                                  <a:pt x="1734" y="3205"/>
                                </a:lnTo>
                                <a:lnTo>
                                  <a:pt x="1715" y="3195"/>
                                </a:lnTo>
                                <a:lnTo>
                                  <a:pt x="1691" y="3189"/>
                                </a:lnTo>
                                <a:lnTo>
                                  <a:pt x="1663" y="3187"/>
                                </a:lnTo>
                                <a:close/>
                                <a:moveTo>
                                  <a:pt x="1629" y="4587"/>
                                </a:moveTo>
                                <a:lnTo>
                                  <a:pt x="1610" y="4587"/>
                                </a:lnTo>
                                <a:lnTo>
                                  <a:pt x="1592" y="4588"/>
                                </a:lnTo>
                                <a:lnTo>
                                  <a:pt x="1576" y="4589"/>
                                </a:lnTo>
                                <a:lnTo>
                                  <a:pt x="1561" y="4591"/>
                                </a:lnTo>
                                <a:lnTo>
                                  <a:pt x="1548" y="4593"/>
                                </a:lnTo>
                                <a:lnTo>
                                  <a:pt x="1536" y="4595"/>
                                </a:lnTo>
                                <a:lnTo>
                                  <a:pt x="1526" y="4598"/>
                                </a:lnTo>
                                <a:lnTo>
                                  <a:pt x="1517" y="4602"/>
                                </a:lnTo>
                                <a:lnTo>
                                  <a:pt x="1505" y="4605"/>
                                </a:lnTo>
                                <a:lnTo>
                                  <a:pt x="1496" y="4611"/>
                                </a:lnTo>
                                <a:lnTo>
                                  <a:pt x="1491" y="4617"/>
                                </a:lnTo>
                                <a:lnTo>
                                  <a:pt x="1485" y="4624"/>
                                </a:lnTo>
                                <a:lnTo>
                                  <a:pt x="1483" y="4632"/>
                                </a:lnTo>
                                <a:lnTo>
                                  <a:pt x="1483" y="5084"/>
                                </a:lnTo>
                                <a:lnTo>
                                  <a:pt x="48" y="5084"/>
                                </a:lnTo>
                                <a:lnTo>
                                  <a:pt x="39" y="5086"/>
                                </a:lnTo>
                                <a:lnTo>
                                  <a:pt x="25" y="5098"/>
                                </a:lnTo>
                                <a:lnTo>
                                  <a:pt x="19" y="5108"/>
                                </a:lnTo>
                                <a:lnTo>
                                  <a:pt x="14" y="5122"/>
                                </a:lnTo>
                                <a:lnTo>
                                  <a:pt x="11" y="5133"/>
                                </a:lnTo>
                                <a:lnTo>
                                  <a:pt x="8" y="5146"/>
                                </a:lnTo>
                                <a:lnTo>
                                  <a:pt x="5" y="5161"/>
                                </a:lnTo>
                                <a:lnTo>
                                  <a:pt x="3" y="5178"/>
                                </a:lnTo>
                                <a:lnTo>
                                  <a:pt x="2" y="5196"/>
                                </a:lnTo>
                                <a:lnTo>
                                  <a:pt x="1" y="5216"/>
                                </a:lnTo>
                                <a:lnTo>
                                  <a:pt x="0" y="5239"/>
                                </a:lnTo>
                                <a:lnTo>
                                  <a:pt x="0" y="5264"/>
                                </a:lnTo>
                                <a:lnTo>
                                  <a:pt x="0" y="5289"/>
                                </a:lnTo>
                                <a:lnTo>
                                  <a:pt x="1" y="5312"/>
                                </a:lnTo>
                                <a:lnTo>
                                  <a:pt x="2" y="5332"/>
                                </a:lnTo>
                                <a:lnTo>
                                  <a:pt x="3" y="5350"/>
                                </a:lnTo>
                                <a:lnTo>
                                  <a:pt x="5" y="5367"/>
                                </a:lnTo>
                                <a:lnTo>
                                  <a:pt x="8" y="5382"/>
                                </a:lnTo>
                                <a:lnTo>
                                  <a:pt x="11" y="5395"/>
                                </a:lnTo>
                                <a:lnTo>
                                  <a:pt x="14" y="5407"/>
                                </a:lnTo>
                                <a:lnTo>
                                  <a:pt x="19" y="5420"/>
                                </a:lnTo>
                                <a:lnTo>
                                  <a:pt x="25" y="5430"/>
                                </a:lnTo>
                                <a:lnTo>
                                  <a:pt x="39" y="5442"/>
                                </a:lnTo>
                                <a:lnTo>
                                  <a:pt x="48" y="5444"/>
                                </a:lnTo>
                                <a:lnTo>
                                  <a:pt x="1483" y="5444"/>
                                </a:lnTo>
                                <a:lnTo>
                                  <a:pt x="1483" y="5895"/>
                                </a:lnTo>
                                <a:lnTo>
                                  <a:pt x="1485" y="5904"/>
                                </a:lnTo>
                                <a:lnTo>
                                  <a:pt x="1491" y="5910"/>
                                </a:lnTo>
                                <a:lnTo>
                                  <a:pt x="1496" y="5917"/>
                                </a:lnTo>
                                <a:lnTo>
                                  <a:pt x="1505" y="5923"/>
                                </a:lnTo>
                                <a:lnTo>
                                  <a:pt x="1517" y="5928"/>
                                </a:lnTo>
                                <a:lnTo>
                                  <a:pt x="1526" y="5930"/>
                                </a:lnTo>
                                <a:lnTo>
                                  <a:pt x="1536" y="5933"/>
                                </a:lnTo>
                                <a:lnTo>
                                  <a:pt x="1548" y="5935"/>
                                </a:lnTo>
                                <a:lnTo>
                                  <a:pt x="1561" y="5937"/>
                                </a:lnTo>
                                <a:lnTo>
                                  <a:pt x="1576" y="5939"/>
                                </a:lnTo>
                                <a:lnTo>
                                  <a:pt x="1592" y="5940"/>
                                </a:lnTo>
                                <a:lnTo>
                                  <a:pt x="1610" y="5941"/>
                                </a:lnTo>
                                <a:lnTo>
                                  <a:pt x="1629" y="5941"/>
                                </a:lnTo>
                                <a:lnTo>
                                  <a:pt x="1649" y="5941"/>
                                </a:lnTo>
                                <a:lnTo>
                                  <a:pt x="1667" y="5940"/>
                                </a:lnTo>
                                <a:lnTo>
                                  <a:pt x="1684" y="5939"/>
                                </a:lnTo>
                                <a:lnTo>
                                  <a:pt x="1699" y="5937"/>
                                </a:lnTo>
                                <a:lnTo>
                                  <a:pt x="1713" y="5935"/>
                                </a:lnTo>
                                <a:lnTo>
                                  <a:pt x="1724" y="5933"/>
                                </a:lnTo>
                                <a:lnTo>
                                  <a:pt x="1735" y="5930"/>
                                </a:lnTo>
                                <a:lnTo>
                                  <a:pt x="1745" y="5928"/>
                                </a:lnTo>
                                <a:lnTo>
                                  <a:pt x="1755" y="5923"/>
                                </a:lnTo>
                                <a:lnTo>
                                  <a:pt x="1764" y="5917"/>
                                </a:lnTo>
                                <a:lnTo>
                                  <a:pt x="1769" y="5910"/>
                                </a:lnTo>
                                <a:lnTo>
                                  <a:pt x="1775" y="5904"/>
                                </a:lnTo>
                                <a:lnTo>
                                  <a:pt x="1777" y="5895"/>
                                </a:lnTo>
                                <a:lnTo>
                                  <a:pt x="1777" y="4632"/>
                                </a:lnTo>
                                <a:lnTo>
                                  <a:pt x="1775" y="4624"/>
                                </a:lnTo>
                                <a:lnTo>
                                  <a:pt x="1769" y="4617"/>
                                </a:lnTo>
                                <a:lnTo>
                                  <a:pt x="1764" y="4611"/>
                                </a:lnTo>
                                <a:lnTo>
                                  <a:pt x="1755" y="4605"/>
                                </a:lnTo>
                                <a:lnTo>
                                  <a:pt x="1745" y="4602"/>
                                </a:lnTo>
                                <a:lnTo>
                                  <a:pt x="1735" y="4598"/>
                                </a:lnTo>
                                <a:lnTo>
                                  <a:pt x="1724" y="4595"/>
                                </a:lnTo>
                                <a:lnTo>
                                  <a:pt x="1713" y="4593"/>
                                </a:lnTo>
                                <a:lnTo>
                                  <a:pt x="1699" y="4591"/>
                                </a:lnTo>
                                <a:lnTo>
                                  <a:pt x="1684" y="4589"/>
                                </a:lnTo>
                                <a:lnTo>
                                  <a:pt x="1667" y="4588"/>
                                </a:lnTo>
                                <a:lnTo>
                                  <a:pt x="1649" y="4587"/>
                                </a:lnTo>
                                <a:lnTo>
                                  <a:pt x="1629" y="4587"/>
                                </a:lnTo>
                                <a:close/>
                                <a:moveTo>
                                  <a:pt x="55" y="6624"/>
                                </a:moveTo>
                                <a:lnTo>
                                  <a:pt x="42" y="6626"/>
                                </a:lnTo>
                                <a:lnTo>
                                  <a:pt x="32" y="6629"/>
                                </a:lnTo>
                                <a:lnTo>
                                  <a:pt x="24" y="6634"/>
                                </a:lnTo>
                                <a:lnTo>
                                  <a:pt x="16" y="6643"/>
                                </a:lnTo>
                                <a:lnTo>
                                  <a:pt x="10" y="6654"/>
                                </a:lnTo>
                                <a:lnTo>
                                  <a:pt x="6" y="6667"/>
                                </a:lnTo>
                                <a:lnTo>
                                  <a:pt x="3" y="6684"/>
                                </a:lnTo>
                                <a:lnTo>
                                  <a:pt x="2" y="6703"/>
                                </a:lnTo>
                                <a:lnTo>
                                  <a:pt x="1" y="6726"/>
                                </a:lnTo>
                                <a:lnTo>
                                  <a:pt x="0" y="6752"/>
                                </a:lnTo>
                                <a:lnTo>
                                  <a:pt x="0" y="6810"/>
                                </a:lnTo>
                                <a:lnTo>
                                  <a:pt x="0" y="6835"/>
                                </a:lnTo>
                                <a:lnTo>
                                  <a:pt x="1" y="6857"/>
                                </a:lnTo>
                                <a:lnTo>
                                  <a:pt x="2" y="6877"/>
                                </a:lnTo>
                                <a:lnTo>
                                  <a:pt x="4" y="6894"/>
                                </a:lnTo>
                                <a:lnTo>
                                  <a:pt x="6" y="6909"/>
                                </a:lnTo>
                                <a:lnTo>
                                  <a:pt x="9" y="6922"/>
                                </a:lnTo>
                                <a:lnTo>
                                  <a:pt x="13" y="6933"/>
                                </a:lnTo>
                                <a:lnTo>
                                  <a:pt x="18" y="6946"/>
                                </a:lnTo>
                                <a:lnTo>
                                  <a:pt x="24" y="6956"/>
                                </a:lnTo>
                                <a:lnTo>
                                  <a:pt x="33" y="6962"/>
                                </a:lnTo>
                                <a:lnTo>
                                  <a:pt x="42" y="6968"/>
                                </a:lnTo>
                                <a:lnTo>
                                  <a:pt x="53" y="6973"/>
                                </a:lnTo>
                                <a:lnTo>
                                  <a:pt x="65" y="6976"/>
                                </a:lnTo>
                                <a:lnTo>
                                  <a:pt x="411" y="7088"/>
                                </a:lnTo>
                                <a:lnTo>
                                  <a:pt x="411" y="7753"/>
                                </a:lnTo>
                                <a:lnTo>
                                  <a:pt x="44" y="7875"/>
                                </a:lnTo>
                                <a:lnTo>
                                  <a:pt x="35" y="7880"/>
                                </a:lnTo>
                                <a:lnTo>
                                  <a:pt x="26" y="7886"/>
                                </a:lnTo>
                                <a:lnTo>
                                  <a:pt x="19" y="7891"/>
                                </a:lnTo>
                                <a:lnTo>
                                  <a:pt x="14" y="7900"/>
                                </a:lnTo>
                                <a:lnTo>
                                  <a:pt x="9" y="7914"/>
                                </a:lnTo>
                                <a:lnTo>
                                  <a:pt x="7" y="7925"/>
                                </a:lnTo>
                                <a:lnTo>
                                  <a:pt x="5" y="7939"/>
                                </a:lnTo>
                                <a:lnTo>
                                  <a:pt x="3" y="7955"/>
                                </a:lnTo>
                                <a:lnTo>
                                  <a:pt x="1" y="7974"/>
                                </a:lnTo>
                                <a:lnTo>
                                  <a:pt x="0" y="7995"/>
                                </a:lnTo>
                                <a:lnTo>
                                  <a:pt x="0" y="8021"/>
                                </a:lnTo>
                                <a:lnTo>
                                  <a:pt x="0" y="8083"/>
                                </a:lnTo>
                                <a:lnTo>
                                  <a:pt x="0" y="8114"/>
                                </a:lnTo>
                                <a:lnTo>
                                  <a:pt x="1" y="8142"/>
                                </a:lnTo>
                                <a:lnTo>
                                  <a:pt x="2" y="8167"/>
                                </a:lnTo>
                                <a:lnTo>
                                  <a:pt x="3" y="8187"/>
                                </a:lnTo>
                                <a:lnTo>
                                  <a:pt x="5" y="8205"/>
                                </a:lnTo>
                                <a:lnTo>
                                  <a:pt x="9" y="8220"/>
                                </a:lnTo>
                                <a:lnTo>
                                  <a:pt x="14" y="8232"/>
                                </a:lnTo>
                                <a:lnTo>
                                  <a:pt x="20" y="8241"/>
                                </a:lnTo>
                                <a:lnTo>
                                  <a:pt x="28" y="8247"/>
                                </a:lnTo>
                                <a:lnTo>
                                  <a:pt x="38" y="8251"/>
                                </a:lnTo>
                                <a:lnTo>
                                  <a:pt x="50" y="8253"/>
                                </a:lnTo>
                                <a:lnTo>
                                  <a:pt x="63" y="8252"/>
                                </a:lnTo>
                                <a:lnTo>
                                  <a:pt x="79" y="8249"/>
                                </a:lnTo>
                                <a:lnTo>
                                  <a:pt x="97" y="8245"/>
                                </a:lnTo>
                                <a:lnTo>
                                  <a:pt x="118" y="8239"/>
                                </a:lnTo>
                                <a:lnTo>
                                  <a:pt x="141" y="8232"/>
                                </a:lnTo>
                                <a:lnTo>
                                  <a:pt x="1710" y="7684"/>
                                </a:lnTo>
                                <a:lnTo>
                                  <a:pt x="1722" y="7680"/>
                                </a:lnTo>
                                <a:lnTo>
                                  <a:pt x="1733" y="7675"/>
                                </a:lnTo>
                                <a:lnTo>
                                  <a:pt x="1743" y="7670"/>
                                </a:lnTo>
                                <a:lnTo>
                                  <a:pt x="1745" y="7669"/>
                                </a:lnTo>
                                <a:lnTo>
                                  <a:pt x="687" y="7669"/>
                                </a:lnTo>
                                <a:lnTo>
                                  <a:pt x="687" y="7167"/>
                                </a:lnTo>
                                <a:lnTo>
                                  <a:pt x="1644" y="7167"/>
                                </a:lnTo>
                                <a:lnTo>
                                  <a:pt x="144" y="6645"/>
                                </a:lnTo>
                                <a:lnTo>
                                  <a:pt x="122" y="6638"/>
                                </a:lnTo>
                                <a:lnTo>
                                  <a:pt x="101" y="6632"/>
                                </a:lnTo>
                                <a:lnTo>
                                  <a:pt x="84" y="6627"/>
                                </a:lnTo>
                                <a:lnTo>
                                  <a:pt x="68" y="6625"/>
                                </a:lnTo>
                                <a:lnTo>
                                  <a:pt x="55" y="6624"/>
                                </a:lnTo>
                                <a:close/>
                                <a:moveTo>
                                  <a:pt x="1644" y="7167"/>
                                </a:moveTo>
                                <a:lnTo>
                                  <a:pt x="687" y="7167"/>
                                </a:lnTo>
                                <a:lnTo>
                                  <a:pt x="1439" y="7418"/>
                                </a:lnTo>
                                <a:lnTo>
                                  <a:pt x="1439" y="7419"/>
                                </a:lnTo>
                                <a:lnTo>
                                  <a:pt x="687" y="7669"/>
                                </a:lnTo>
                                <a:lnTo>
                                  <a:pt x="1745" y="7669"/>
                                </a:lnTo>
                                <a:lnTo>
                                  <a:pt x="1751" y="7665"/>
                                </a:lnTo>
                                <a:lnTo>
                                  <a:pt x="1758" y="7658"/>
                                </a:lnTo>
                                <a:lnTo>
                                  <a:pt x="1764" y="7649"/>
                                </a:lnTo>
                                <a:lnTo>
                                  <a:pt x="1769" y="7639"/>
                                </a:lnTo>
                                <a:lnTo>
                                  <a:pt x="1773" y="7627"/>
                                </a:lnTo>
                                <a:lnTo>
                                  <a:pt x="1777" y="7612"/>
                                </a:lnTo>
                                <a:lnTo>
                                  <a:pt x="1780" y="7595"/>
                                </a:lnTo>
                                <a:lnTo>
                                  <a:pt x="1782" y="7575"/>
                                </a:lnTo>
                                <a:lnTo>
                                  <a:pt x="1783" y="7552"/>
                                </a:lnTo>
                                <a:lnTo>
                                  <a:pt x="1784" y="7526"/>
                                </a:lnTo>
                                <a:lnTo>
                                  <a:pt x="1784" y="7496"/>
                                </a:lnTo>
                                <a:lnTo>
                                  <a:pt x="1784" y="7361"/>
                                </a:lnTo>
                                <a:lnTo>
                                  <a:pt x="1784" y="7334"/>
                                </a:lnTo>
                                <a:lnTo>
                                  <a:pt x="1783" y="7311"/>
                                </a:lnTo>
                                <a:lnTo>
                                  <a:pt x="1782" y="7291"/>
                                </a:lnTo>
                                <a:lnTo>
                                  <a:pt x="1780" y="7274"/>
                                </a:lnTo>
                                <a:lnTo>
                                  <a:pt x="1777" y="7258"/>
                                </a:lnTo>
                                <a:lnTo>
                                  <a:pt x="1773" y="7245"/>
                                </a:lnTo>
                                <a:lnTo>
                                  <a:pt x="1769" y="7234"/>
                                </a:lnTo>
                                <a:lnTo>
                                  <a:pt x="1764" y="7225"/>
                                </a:lnTo>
                                <a:lnTo>
                                  <a:pt x="1759" y="7217"/>
                                </a:lnTo>
                                <a:lnTo>
                                  <a:pt x="1752" y="7210"/>
                                </a:lnTo>
                                <a:lnTo>
                                  <a:pt x="1744" y="7205"/>
                                </a:lnTo>
                                <a:lnTo>
                                  <a:pt x="1735" y="7200"/>
                                </a:lnTo>
                                <a:lnTo>
                                  <a:pt x="1725" y="7195"/>
                                </a:lnTo>
                                <a:lnTo>
                                  <a:pt x="1644" y="7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42716" id="docshapegroup20" o:spid="_x0000_s1026" style="position:absolute;margin-left:386.4pt;margin-top:56.65pt;width:178.35pt;height:498.25pt;z-index:15736832;mso-position-horizontal-relative:page;mso-position-vertical-relative:page" coordorigin="7728,1133" coordsize="3567,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">
                <v:shape id="docshape21" o:spid="_x0000_s1027" type="#_x0000_t75" style="position:absolute;left:7728;top:1132;width:3567;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">
                  <v:imagedata r:id="rId25" o:title=""/>
                </v:shape>
                <v:shape id="docshape22" o:spid="_x0000_s1028" style="position:absolute;left:8614;top:1473;width:1785;height:8254;visibility:visible;mso-wrap-style:square;v-text-anchor:top" coordsize="1785,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" path="m899,360r-278,l622,512r2,80l631,671r13,73l662,811r23,62l713,930r32,52l782,1029r42,42l870,1107r50,32l975,1165r60,20l1099,1199r68,9l1239,1210r53,-1l1342,1203r47,-9l1434,1180r42,-16l1515,1144r37,-24l1586,1094r31,-30l1645,1030r26,-36l1693,955r20,-41l1729,874r13,-39l1213,835r-34,-1l1147,830r-31,-6l1087,816r-28,-11l1033,793r-24,-16l987,760,968,740,950,718,935,693,923,664,912,634r-7,-34l900,562r-1,-42l899,360xm1649,l48,,39,2,25,14,19,24,14,37,11,48,8,61,5,76,3,92,2,110,1,131,,154r,24l,204r1,23l2,248r1,18l5,282r3,15l11,310r3,11l19,334r6,10l39,356r9,4l1499,360r-1,160l1498,540r-1,28l1495,595r-4,26l1486,647r-7,26l1468,697r-13,25l1439,745r-20,21l1394,785r-27,17l1334,817r-36,10l1258,833r-45,2l1742,835r,-1l1752,794r7,-38l1764,720r5,-32l1772,658r2,-29l1775,600r2,-31l1777,540r,-418l1775,96r-6,-24l1759,51,1745,33,1726,18,1704,8,1678,2,1649,xm55,1332r-13,2l32,1337r-8,5l16,1351r-6,11l6,1375r-3,17l2,1411r-1,23l,1460r,58l,1543r1,22l2,1585r2,17l6,1617r3,13l13,1641r5,13l24,1664r9,6l42,1676r11,5l65,1684r346,112l411,2461,44,2583r-9,5l26,2594r-7,5l14,2608r-5,14l7,2633r-2,14l3,2663r-2,19l,2703r,26l,2791r,31l1,2850r1,25l3,2895r2,18l9,2928r5,12l20,2949r8,6l38,2959r12,2l63,2960r16,-3l97,2953r21,-6l141,2940,1710,2392r12,-4l1733,2383r10,-5l1745,2377r-1058,l687,1875r957,l144,1353r-22,-7l101,1340r-17,-5l68,1333r-13,-1xm1644,1875r-957,l1439,2126r,1l687,2377r1058,l1751,2373r7,-7l1764,2357r5,-10l1773,2335r4,-15l1780,2303r2,-20l1783,2260r1,-26l1784,2204r,-135l1784,2042r-1,-23l1782,1999r-2,-17l1777,1966r-4,-13l1769,1942r-5,-9l1759,1925r-7,-7l1744,1913r-9,-5l1725,1903r-81,-28xm1001,3547r-270,l731,3658r-2,28l726,3713r-6,24l713,3760r-10,21l691,3801r-15,19l660,3837r-18,17l621,3869r-23,15l573,3898r-27,14l518,3926r-31,13l455,3954,60,4112r-11,4l39,4120r-8,6l24,4131r-6,10l13,4154r-4,11l6,4178r-2,14l2,4208r-1,19l,4248r,91l,4360r1,26l2,4407r2,19l6,4442r3,14l12,4468r5,14l21,4490r15,7l44,4500r19,l75,4497r17,-5l106,4488r17,-6l143,4475r25,-10l516,4316r31,-13l576,4290r27,-13l629,4263r24,-14l676,4235r22,-15l717,4204r19,-15l754,4173r16,-17l785,4140r13,-18l810,4103r11,-18l830,4065r912,l1746,4050r4,-14l1254,4036r-28,-1l1200,4031r-25,-6l1151,4017r-23,-11l1107,3993r-19,-16l1070,3960r-15,-21l1041,3917r-12,-26l1019,3864r-8,-30l1005,3801r-3,-34l1001,3729r,-182xm1742,4065r-912,l845,4105r16,37l879,4178r20,32l921,4241r24,29l971,4295r27,23l1028,4339r32,18l1094,4373r35,13l1167,4395r39,7l1248,4406r43,1l1343,4405r48,-5l1436,4390r42,-14l1517,4359r37,-21l1588,4314r31,-28l1647,4255r25,-35l1695,4182r20,-41l1732,4096r10,-31xm1663,3187r-1615,l39,3189r-14,12l19,3211r-5,13l11,3235r-3,13l5,3263r-2,16l2,3298r-1,20l,3341r,25l,3391r1,23l2,3435r1,18l5,3470r3,14l11,3497r3,11l19,3522r6,9l39,3543r9,4l1502,3547r,166l1502,3737r-1,26l1499,3785r-2,20l1495,3821r-2,16l1490,3852r-3,14l1472,3908r-19,36l1430,3974r-29,23l1370,4014r-35,13l1296,4034r-42,2l1750,4036r8,-35l1767,3949r2,-20l1771,3908r1,-20l1773,3866r2,-24l1776,3815r1,-30l1777,3760r,-466l1775,3272r-5,-20l1761,3234r-12,-16l1734,3205r-19,-10l1691,3189r-28,-2xm1629,4587r-19,l1592,4588r-16,1l1561,4591r-13,2l1536,4595r-10,3l1517,4602r-12,3l1496,4611r-5,6l1485,4624r-2,8l1483,5084r-1435,l39,5086r-14,12l19,5108r-5,14l11,5133r-3,13l5,5161r-2,17l2,5196r-1,20l,5239r,25l,5289r1,23l2,5332r1,18l5,5367r3,15l11,5395r3,12l19,5420r6,10l39,5442r9,2l1483,5444r,451l1485,5904r6,6l1496,5917r9,6l1517,5928r9,2l1536,5933r12,2l1561,5937r15,2l1592,5940r18,1l1629,5941r20,l1667,5940r17,-1l1699,5937r14,-2l1724,5933r11,-3l1745,5928r10,-5l1764,5917r5,-7l1775,5904r2,-9l1777,4632r-2,-8l1769,4617r-5,-6l1755,4605r-10,-3l1735,4598r-11,-3l1713,4593r-14,-2l1684,4589r-17,-1l1649,4587r-20,xm55,6624r-13,2l32,6629r-8,5l16,6643r-6,11l6,6667r-3,17l2,6703r-1,23l,6752r,58l,6835r1,22l2,6877r2,17l6,6909r3,13l13,6933r5,13l24,6956r9,6l42,6968r11,5l65,6976r346,112l411,7753,44,7875r-9,5l26,7886r-7,5l14,7900r-5,14l7,7925r-2,14l3,7955r-2,19l,7995r,26l,8083r,31l1,8142r1,25l3,8187r2,18l9,8220r5,12l20,8241r8,6l38,8251r12,2l63,8252r16,-3l97,8245r21,-6l141,8232,1710,7684r12,-4l1733,7675r10,-5l1745,7669r-1058,l687,7167r957,l144,6645r-22,-7l101,6632r-17,-5l68,6625r-13,-1xm1644,7167r-957,l1439,7418r,1l687,7669r1058,l1751,7665r7,-7l1764,7649r5,-10l1773,7627r4,-15l1780,7595r2,-20l1783,7552r1,-26l1784,7496r,-135l1784,7334r-1,-23l1782,7291r-2,-17l1777,7258r-4,-13l1769,7234r-5,-9l1759,7217r-7,-7l1744,7205r-9,-5l1725,7195r-81,-28xe" stroked="f">
                  <v:path arrowok="t" o:connecttype="custom" o:connectlocs="745,2456;1292,2683;1671,2468;1059,2279;900,2036;8,1535;3,1740;1498,1994;1419,2240;1759,2230;1769,1546;24,2816;1,3039;53,3155;7,4107;3,4369;97,4427;1644,3349;1439,3601;1782,3757;1773,3427;731,5021;642,5328;39,5594;0,5722;21,5964;516,5790;754,5647;1254,5510;1041,5391;845,5579;1094,5847;1517,5833;1663,4661;2,4772;11,4971;1499,5259;1370,5488;1773,5340;1734,4679;1536,6069;39,6560;0,6713;19,6894;1517,7402;1667,7414;1775,7378;1713,6067;16,8117;2,8351;65,8450;5,9413;5,9679;118,9713;144,8119;687,9143;1783,9026;1769,8708" o:connectangles="0,0,0,0,0,0,0,0,0,0,0,0,0,0,0,0,0,0,0,0,0,0,0,0,0,0,0,0,0,0,0,0,0,0,0,0,0,0,0,0,0,0,0,0,0,0,0,0,0,0,0,0,0,0,0,0,0,0"/>
                </v:shape>
                <w10:wrap anchorx="page" anchory="page"/>
              </v:group>
            </w:pict>
          </mc:Fallback>
        </mc:AlternateContent>
      </w:r>
    </w:p>
    <w:p w14:paraId="78AB2E8C" w14:textId="77777777" w:rsidR="00141B97" w:rsidRDefault="00141B97">
      <w:pPr>
        <w:rPr>
          <w:rFonts w:ascii="Calibri"/>
          <w:sz w:val="16"/>
        </w:rPr>
        <w:sectPr w:rsidR="00141B97">
          <w:footerReference w:type="default" r:id="rId26"/>
          <w:pgSz w:w="11910" w:h="16840"/>
          <w:pgMar w:top="1140" w:right="740" w:bottom="280" w:left="980" w:header="0" w:footer="0" w:gutter="0"/>
          <w:cols w:space="720"/>
        </w:sectPr>
      </w:pPr>
    </w:p>
    <w:p w14:paraId="5A25A0CD" w14:textId="77777777" w:rsidR="00141B97" w:rsidRDefault="00911D63">
      <w:pPr>
        <w:pStyle w:val="Heading1"/>
        <w:ind w:left="154"/>
      </w:pPr>
      <w:r>
        <w:rPr>
          <w:color w:val="006CA3"/>
        </w:rPr>
        <w:lastRenderedPageBreak/>
        <w:t>Table</w:t>
      </w:r>
      <w:r>
        <w:rPr>
          <w:color w:val="006CA3"/>
          <w:spacing w:val="-13"/>
        </w:rPr>
        <w:t xml:space="preserve"> </w:t>
      </w:r>
      <w:r>
        <w:rPr>
          <w:color w:val="006CA3"/>
        </w:rPr>
        <w:t>of</w:t>
      </w:r>
      <w:r>
        <w:rPr>
          <w:color w:val="006CA3"/>
          <w:spacing w:val="-14"/>
        </w:rPr>
        <w:t xml:space="preserve"> </w:t>
      </w:r>
      <w:r>
        <w:rPr>
          <w:color w:val="006CA3"/>
        </w:rPr>
        <w:t>Contents</w:t>
      </w:r>
      <w:r>
        <w:rPr>
          <w:color w:val="006CA3"/>
          <w:spacing w:val="-13"/>
        </w:rPr>
        <w:t xml:space="preserve"> </w:t>
      </w:r>
      <w:r>
        <w:rPr>
          <w:color w:val="006CA3"/>
        </w:rPr>
        <w:t>–</w:t>
      </w:r>
      <w:r>
        <w:rPr>
          <w:color w:val="006CA3"/>
          <w:spacing w:val="-14"/>
        </w:rPr>
        <w:t xml:space="preserve"> </w:t>
      </w:r>
      <w:r>
        <w:rPr>
          <w:color w:val="006CA3"/>
        </w:rPr>
        <w:t>Part</w:t>
      </w:r>
      <w:r>
        <w:rPr>
          <w:color w:val="006CA3"/>
          <w:spacing w:val="-12"/>
        </w:rPr>
        <w:t xml:space="preserve"> </w:t>
      </w:r>
      <w:r>
        <w:rPr>
          <w:color w:val="006CA3"/>
          <w:spacing w:val="-10"/>
        </w:rPr>
        <w:t>A</w:t>
      </w:r>
    </w:p>
    <w:p w14:paraId="7096C0B2" w14:textId="77777777" w:rsidR="00141B97" w:rsidRDefault="00141B97">
      <w:pPr>
        <w:sectPr w:rsidR="00141B97">
          <w:footerReference w:type="default" r:id="rId27"/>
          <w:pgSz w:w="11910" w:h="16840"/>
          <w:pgMar w:top="860" w:right="740" w:bottom="1209" w:left="980" w:header="0" w:footer="896" w:gutter="0"/>
          <w:pgNumType w:start="3"/>
          <w:cols w:space="720"/>
        </w:sectPr>
      </w:pPr>
    </w:p>
    <w:sdt>
      <w:sdtPr>
        <w:id w:val="-1590308556"/>
        <w:docPartObj>
          <w:docPartGallery w:val="Table of Contents"/>
          <w:docPartUnique/>
        </w:docPartObj>
      </w:sdtPr>
      <w:sdtContent>
        <w:p w14:paraId="626B5FE7" w14:textId="77777777" w:rsidR="00141B97" w:rsidRDefault="00000000">
          <w:pPr>
            <w:pStyle w:val="TOC1"/>
            <w:numPr>
              <w:ilvl w:val="0"/>
              <w:numId w:val="114"/>
            </w:numPr>
            <w:tabs>
              <w:tab w:val="left" w:pos="721"/>
              <w:tab w:val="left" w:pos="722"/>
              <w:tab w:val="right" w:leader="dot" w:pos="9925"/>
            </w:tabs>
          </w:pPr>
          <w:hyperlink w:anchor="_TOC_250027" w:history="1">
            <w:r w:rsidR="00911D63">
              <w:rPr>
                <w:color w:val="009BAC"/>
                <w:spacing w:val="-2"/>
              </w:rPr>
              <w:t>Introduction</w:t>
            </w:r>
            <w:r w:rsidR="00911D63">
              <w:rPr>
                <w:rFonts w:ascii="Times New Roman"/>
                <w:color w:val="009BAC"/>
              </w:rPr>
              <w:tab/>
            </w:r>
            <w:r w:rsidR="00911D63">
              <w:rPr>
                <w:color w:val="009BAC"/>
                <w:spacing w:val="-10"/>
              </w:rPr>
              <w:t>6</w:t>
            </w:r>
          </w:hyperlink>
        </w:p>
        <w:p w14:paraId="4C4B08D8" w14:textId="77777777" w:rsidR="00141B97" w:rsidRDefault="00000000">
          <w:pPr>
            <w:pStyle w:val="TOC2"/>
            <w:numPr>
              <w:ilvl w:val="1"/>
              <w:numId w:val="114"/>
            </w:numPr>
            <w:tabs>
              <w:tab w:val="left" w:pos="1287"/>
              <w:tab w:val="left" w:pos="1288"/>
              <w:tab w:val="right" w:leader="dot" w:pos="9925"/>
            </w:tabs>
            <w:spacing w:before="184"/>
          </w:pPr>
          <w:hyperlink w:anchor="_TOC_250026" w:history="1">
            <w:r w:rsidR="00911D63">
              <w:rPr>
                <w:spacing w:val="-2"/>
              </w:rPr>
              <w:t>Purpose</w:t>
            </w:r>
            <w:r w:rsidR="00911D63">
              <w:rPr>
                <w:rFonts w:ascii="Times New Roman"/>
              </w:rPr>
              <w:tab/>
            </w:r>
            <w:r w:rsidR="00911D63">
              <w:rPr>
                <w:spacing w:val="-10"/>
              </w:rPr>
              <w:t>6</w:t>
            </w:r>
          </w:hyperlink>
        </w:p>
        <w:p w14:paraId="759F1DD5" w14:textId="77777777" w:rsidR="00141B97" w:rsidRDefault="00000000">
          <w:pPr>
            <w:pStyle w:val="TOC2"/>
            <w:numPr>
              <w:ilvl w:val="1"/>
              <w:numId w:val="114"/>
            </w:numPr>
            <w:tabs>
              <w:tab w:val="left" w:pos="1287"/>
              <w:tab w:val="left" w:pos="1288"/>
              <w:tab w:val="right" w:leader="dot" w:pos="9925"/>
            </w:tabs>
          </w:pPr>
          <w:hyperlink w:anchor="_TOC_250025" w:history="1">
            <w:r w:rsidR="00911D63">
              <w:t>Structure</w:t>
            </w:r>
            <w:r w:rsidR="00911D63">
              <w:rPr>
                <w:spacing w:val="-2"/>
              </w:rPr>
              <w:t xml:space="preserve"> </w:t>
            </w:r>
            <w:r w:rsidR="00911D63">
              <w:t>of</w:t>
            </w:r>
            <w:r w:rsidR="00911D63">
              <w:rPr>
                <w:spacing w:val="-3"/>
              </w:rPr>
              <w:t xml:space="preserve"> </w:t>
            </w:r>
            <w:r w:rsidR="00911D63">
              <w:t>this</w:t>
            </w:r>
            <w:r w:rsidR="00911D63">
              <w:rPr>
                <w:spacing w:val="-1"/>
              </w:rPr>
              <w:t xml:space="preserve"> </w:t>
            </w:r>
            <w:r w:rsidR="00911D63">
              <w:rPr>
                <w:spacing w:val="-2"/>
              </w:rPr>
              <w:t>Submission</w:t>
            </w:r>
            <w:r w:rsidR="00911D63">
              <w:rPr>
                <w:rFonts w:ascii="Times New Roman"/>
              </w:rPr>
              <w:tab/>
            </w:r>
            <w:r w:rsidR="00911D63">
              <w:rPr>
                <w:spacing w:val="-10"/>
              </w:rPr>
              <w:t>6</w:t>
            </w:r>
          </w:hyperlink>
        </w:p>
        <w:p w14:paraId="74486CA3" w14:textId="77777777" w:rsidR="00141B97" w:rsidRDefault="00000000">
          <w:pPr>
            <w:pStyle w:val="TOC1"/>
            <w:numPr>
              <w:ilvl w:val="0"/>
              <w:numId w:val="114"/>
            </w:numPr>
            <w:tabs>
              <w:tab w:val="left" w:pos="721"/>
              <w:tab w:val="left" w:pos="722"/>
              <w:tab w:val="right" w:leader="dot" w:pos="9925"/>
            </w:tabs>
          </w:pPr>
          <w:hyperlink w:anchor="_TOC_250024" w:history="1">
            <w:r w:rsidR="00911D63">
              <w:rPr>
                <w:color w:val="009BAC"/>
              </w:rPr>
              <w:t>Customer</w:t>
            </w:r>
            <w:r w:rsidR="00911D63">
              <w:rPr>
                <w:color w:val="009BAC"/>
                <w:spacing w:val="-2"/>
              </w:rPr>
              <w:t xml:space="preserve"> </w:t>
            </w:r>
            <w:r w:rsidR="00911D63">
              <w:rPr>
                <w:color w:val="009BAC"/>
              </w:rPr>
              <w:t>Views,</w:t>
            </w:r>
            <w:r w:rsidR="00911D63">
              <w:rPr>
                <w:color w:val="009BAC"/>
                <w:spacing w:val="-1"/>
              </w:rPr>
              <w:t xml:space="preserve"> </w:t>
            </w:r>
            <w:r w:rsidR="00911D63">
              <w:rPr>
                <w:color w:val="009BAC"/>
              </w:rPr>
              <w:t>Perspectives</w:t>
            </w:r>
            <w:r w:rsidR="00911D63">
              <w:rPr>
                <w:color w:val="009BAC"/>
                <w:spacing w:val="-3"/>
              </w:rPr>
              <w:t xml:space="preserve"> </w:t>
            </w:r>
            <w:r w:rsidR="00911D63">
              <w:rPr>
                <w:color w:val="009BAC"/>
              </w:rPr>
              <w:t>&amp;</w:t>
            </w:r>
            <w:r w:rsidR="00911D63">
              <w:rPr>
                <w:color w:val="009BAC"/>
                <w:spacing w:val="-1"/>
              </w:rPr>
              <w:t xml:space="preserve"> </w:t>
            </w:r>
            <w:r w:rsidR="00911D63">
              <w:rPr>
                <w:color w:val="009BAC"/>
                <w:spacing w:val="-2"/>
              </w:rPr>
              <w:t>Aspirations</w:t>
            </w:r>
            <w:r w:rsidR="00911D63">
              <w:rPr>
                <w:rFonts w:ascii="Times New Roman"/>
                <w:color w:val="009BAC"/>
              </w:rPr>
              <w:tab/>
            </w:r>
            <w:r w:rsidR="00911D63">
              <w:rPr>
                <w:color w:val="009BAC"/>
                <w:spacing w:val="-10"/>
              </w:rPr>
              <w:t>9</w:t>
            </w:r>
          </w:hyperlink>
        </w:p>
        <w:p w14:paraId="197C9796" w14:textId="77777777" w:rsidR="00141B97" w:rsidRDefault="00000000">
          <w:pPr>
            <w:pStyle w:val="TOC2"/>
            <w:numPr>
              <w:ilvl w:val="1"/>
              <w:numId w:val="114"/>
            </w:numPr>
            <w:tabs>
              <w:tab w:val="left" w:pos="1287"/>
              <w:tab w:val="left" w:pos="1288"/>
              <w:tab w:val="right" w:leader="dot" w:pos="9925"/>
            </w:tabs>
            <w:spacing w:before="184"/>
          </w:pPr>
          <w:hyperlink w:anchor="_TOC_250023" w:history="1">
            <w:r w:rsidR="00911D63">
              <w:t>LMW’s</w:t>
            </w:r>
            <w:r w:rsidR="00911D63">
              <w:rPr>
                <w:spacing w:val="-4"/>
              </w:rPr>
              <w:t xml:space="preserve"> </w:t>
            </w:r>
            <w:r w:rsidR="00911D63">
              <w:t>Customer</w:t>
            </w:r>
            <w:r w:rsidR="00911D63">
              <w:rPr>
                <w:spacing w:val="-4"/>
              </w:rPr>
              <w:t xml:space="preserve"> </w:t>
            </w:r>
            <w:r w:rsidR="00911D63">
              <w:t>Engagement</w:t>
            </w:r>
            <w:r w:rsidR="00911D63">
              <w:rPr>
                <w:spacing w:val="-3"/>
              </w:rPr>
              <w:t xml:space="preserve"> </w:t>
            </w:r>
            <w:r w:rsidR="00911D63">
              <w:rPr>
                <w:spacing w:val="-2"/>
              </w:rPr>
              <w:t>Approach</w:t>
            </w:r>
            <w:r w:rsidR="00911D63">
              <w:rPr>
                <w:rFonts w:ascii="Times New Roman" w:hAnsi="Times New Roman"/>
              </w:rPr>
              <w:tab/>
            </w:r>
            <w:r w:rsidR="00911D63">
              <w:rPr>
                <w:spacing w:val="-10"/>
              </w:rPr>
              <w:t>9</w:t>
            </w:r>
          </w:hyperlink>
        </w:p>
        <w:p w14:paraId="5BD01E65" w14:textId="77777777" w:rsidR="00141B97" w:rsidRDefault="00000000">
          <w:pPr>
            <w:pStyle w:val="TOC2"/>
            <w:numPr>
              <w:ilvl w:val="1"/>
              <w:numId w:val="114"/>
            </w:numPr>
            <w:tabs>
              <w:tab w:val="left" w:pos="1287"/>
              <w:tab w:val="left" w:pos="1288"/>
              <w:tab w:val="right" w:leader="dot" w:pos="9926"/>
            </w:tabs>
            <w:spacing w:before="156"/>
          </w:pPr>
          <w:hyperlink w:anchor="_TOC_250022" w:history="1">
            <w:r w:rsidR="00911D63">
              <w:t>Customer</w:t>
            </w:r>
            <w:r w:rsidR="00911D63">
              <w:rPr>
                <w:spacing w:val="-3"/>
              </w:rPr>
              <w:t xml:space="preserve"> </w:t>
            </w:r>
            <w:r w:rsidR="00911D63">
              <w:t>Engagement</w:t>
            </w:r>
            <w:r w:rsidR="00911D63">
              <w:rPr>
                <w:spacing w:val="-4"/>
              </w:rPr>
              <w:t xml:space="preserve"> </w:t>
            </w:r>
            <w:r w:rsidR="00911D63">
              <w:t>Alignment</w:t>
            </w:r>
            <w:r w:rsidR="00911D63">
              <w:rPr>
                <w:spacing w:val="-3"/>
              </w:rPr>
              <w:t xml:space="preserve"> </w:t>
            </w:r>
            <w:r w:rsidR="00911D63">
              <w:t>with</w:t>
            </w:r>
            <w:r w:rsidR="00911D63">
              <w:rPr>
                <w:spacing w:val="-3"/>
              </w:rPr>
              <w:t xml:space="preserve"> </w:t>
            </w:r>
            <w:r w:rsidR="00911D63">
              <w:t>PS5</w:t>
            </w:r>
            <w:r w:rsidR="00911D63">
              <w:rPr>
                <w:spacing w:val="-2"/>
              </w:rPr>
              <w:t xml:space="preserve"> Preparation</w:t>
            </w:r>
            <w:r w:rsidR="00911D63">
              <w:rPr>
                <w:rFonts w:ascii="Times New Roman"/>
              </w:rPr>
              <w:tab/>
            </w:r>
            <w:r w:rsidR="00911D63">
              <w:rPr>
                <w:spacing w:val="-5"/>
              </w:rPr>
              <w:t>10</w:t>
            </w:r>
          </w:hyperlink>
        </w:p>
        <w:p w14:paraId="5A2AFEC7" w14:textId="77777777" w:rsidR="00141B97" w:rsidRDefault="00000000">
          <w:pPr>
            <w:pStyle w:val="TOC2"/>
            <w:numPr>
              <w:ilvl w:val="1"/>
              <w:numId w:val="114"/>
            </w:numPr>
            <w:tabs>
              <w:tab w:val="left" w:pos="1287"/>
              <w:tab w:val="left" w:pos="1288"/>
              <w:tab w:val="right" w:leader="dot" w:pos="9926"/>
            </w:tabs>
          </w:pPr>
          <w:hyperlink w:anchor="_TOC_250021" w:history="1">
            <w:r w:rsidR="00911D63">
              <w:t>Targeted</w:t>
            </w:r>
            <w:r w:rsidR="00911D63">
              <w:rPr>
                <w:spacing w:val="-1"/>
              </w:rPr>
              <w:t xml:space="preserve"> </w:t>
            </w:r>
            <w:r w:rsidR="00911D63">
              <w:t>PS5</w:t>
            </w:r>
            <w:r w:rsidR="00911D63">
              <w:rPr>
                <w:spacing w:val="-2"/>
              </w:rPr>
              <w:t xml:space="preserve"> Engagement</w:t>
            </w:r>
            <w:r w:rsidR="00911D63">
              <w:rPr>
                <w:rFonts w:ascii="Times New Roman"/>
              </w:rPr>
              <w:tab/>
            </w:r>
            <w:r w:rsidR="00911D63">
              <w:rPr>
                <w:spacing w:val="-7"/>
                <w:w w:val="95"/>
              </w:rPr>
              <w:t>12</w:t>
            </w:r>
          </w:hyperlink>
        </w:p>
        <w:p w14:paraId="3E7CFC53" w14:textId="77777777" w:rsidR="00141B97" w:rsidRDefault="00000000">
          <w:pPr>
            <w:pStyle w:val="TOC2"/>
            <w:numPr>
              <w:ilvl w:val="1"/>
              <w:numId w:val="114"/>
            </w:numPr>
            <w:tabs>
              <w:tab w:val="left" w:pos="1287"/>
              <w:tab w:val="left" w:pos="1288"/>
              <w:tab w:val="right" w:leader="dot" w:pos="9926"/>
            </w:tabs>
            <w:spacing w:before="157"/>
          </w:pPr>
          <w:hyperlink w:anchor="_TOC_250020" w:history="1">
            <w:r w:rsidR="00911D63">
              <w:t>What</w:t>
            </w:r>
            <w:r w:rsidR="00911D63">
              <w:rPr>
                <w:spacing w:val="-6"/>
              </w:rPr>
              <w:t xml:space="preserve"> </w:t>
            </w:r>
            <w:r w:rsidR="00911D63">
              <w:t>LMW</w:t>
            </w:r>
            <w:r w:rsidR="00911D63">
              <w:rPr>
                <w:spacing w:val="-4"/>
              </w:rPr>
              <w:t xml:space="preserve"> </w:t>
            </w:r>
            <w:r w:rsidR="00911D63">
              <w:t>Customers</w:t>
            </w:r>
            <w:r w:rsidR="00911D63">
              <w:rPr>
                <w:spacing w:val="-3"/>
              </w:rPr>
              <w:t xml:space="preserve"> </w:t>
            </w:r>
            <w:r w:rsidR="00911D63">
              <w:rPr>
                <w:spacing w:val="-4"/>
              </w:rPr>
              <w:t>Said</w:t>
            </w:r>
            <w:r w:rsidR="00911D63">
              <w:rPr>
                <w:rFonts w:ascii="Times New Roman"/>
              </w:rPr>
              <w:tab/>
            </w:r>
            <w:r w:rsidR="00911D63">
              <w:rPr>
                <w:spacing w:val="-5"/>
              </w:rPr>
              <w:t>15</w:t>
            </w:r>
          </w:hyperlink>
        </w:p>
        <w:p w14:paraId="5BE8C26F" w14:textId="77777777" w:rsidR="00141B97" w:rsidRDefault="00911D63">
          <w:pPr>
            <w:pStyle w:val="TOC3"/>
            <w:numPr>
              <w:ilvl w:val="2"/>
              <w:numId w:val="114"/>
            </w:numPr>
            <w:tabs>
              <w:tab w:val="left" w:pos="1968"/>
              <w:tab w:val="left" w:pos="1969"/>
              <w:tab w:val="right" w:leader="dot" w:pos="9936"/>
            </w:tabs>
            <w:spacing w:before="119"/>
          </w:pPr>
          <w:r>
            <w:t xml:space="preserve">Urban </w:t>
          </w:r>
          <w:r>
            <w:rPr>
              <w:spacing w:val="-2"/>
            </w:rPr>
            <w:t>Customers</w:t>
          </w:r>
          <w:r>
            <w:rPr>
              <w:rFonts w:ascii="Times New Roman"/>
            </w:rPr>
            <w:tab/>
          </w:r>
          <w:r>
            <w:rPr>
              <w:spacing w:val="-5"/>
            </w:rPr>
            <w:t>16</w:t>
          </w:r>
        </w:p>
        <w:p w14:paraId="0B7804B4" w14:textId="77777777" w:rsidR="00141B97" w:rsidRDefault="00911D63">
          <w:pPr>
            <w:pStyle w:val="TOC3"/>
            <w:numPr>
              <w:ilvl w:val="2"/>
              <w:numId w:val="114"/>
            </w:numPr>
            <w:tabs>
              <w:tab w:val="left" w:pos="1968"/>
              <w:tab w:val="left" w:pos="1969"/>
              <w:tab w:val="right" w:leader="dot" w:pos="9936"/>
            </w:tabs>
          </w:pPr>
          <w:r>
            <w:t xml:space="preserve">Rural </w:t>
          </w:r>
          <w:r>
            <w:rPr>
              <w:spacing w:val="-2"/>
            </w:rPr>
            <w:t>Customers</w:t>
          </w:r>
          <w:r>
            <w:rPr>
              <w:rFonts w:ascii="Times New Roman"/>
            </w:rPr>
            <w:tab/>
          </w:r>
          <w:r>
            <w:rPr>
              <w:spacing w:val="-5"/>
            </w:rPr>
            <w:t>17</w:t>
          </w:r>
        </w:p>
        <w:p w14:paraId="165921D8" w14:textId="77777777" w:rsidR="00141B97" w:rsidRDefault="00911D63">
          <w:pPr>
            <w:pStyle w:val="TOC3"/>
            <w:numPr>
              <w:ilvl w:val="2"/>
              <w:numId w:val="114"/>
            </w:numPr>
            <w:tabs>
              <w:tab w:val="left" w:pos="1968"/>
              <w:tab w:val="left" w:pos="1969"/>
              <w:tab w:val="right" w:leader="dot" w:pos="9936"/>
            </w:tabs>
          </w:pPr>
          <w:r>
            <w:t>Commonality</w:t>
          </w:r>
          <w:r>
            <w:rPr>
              <w:spacing w:val="-6"/>
            </w:rPr>
            <w:t xml:space="preserve"> </w:t>
          </w:r>
          <w:r>
            <w:t>across</w:t>
          </w:r>
          <w:r>
            <w:rPr>
              <w:spacing w:val="-4"/>
            </w:rPr>
            <w:t xml:space="preserve"> </w:t>
          </w:r>
          <w:r>
            <w:t>both</w:t>
          </w:r>
          <w:r>
            <w:rPr>
              <w:spacing w:val="-4"/>
            </w:rPr>
            <w:t xml:space="preserve"> </w:t>
          </w:r>
          <w:r>
            <w:t>urban</w:t>
          </w:r>
          <w:r>
            <w:rPr>
              <w:spacing w:val="-4"/>
            </w:rPr>
            <w:t xml:space="preserve"> </w:t>
          </w:r>
          <w:r>
            <w:t>and</w:t>
          </w:r>
          <w:r>
            <w:rPr>
              <w:spacing w:val="-4"/>
            </w:rPr>
            <w:t xml:space="preserve"> </w:t>
          </w:r>
          <w:r>
            <w:t>rural</w:t>
          </w:r>
          <w:r>
            <w:rPr>
              <w:spacing w:val="-4"/>
            </w:rPr>
            <w:t xml:space="preserve"> </w:t>
          </w:r>
          <w:r>
            <w:rPr>
              <w:spacing w:val="-2"/>
            </w:rPr>
            <w:t>customers</w:t>
          </w:r>
          <w:r>
            <w:rPr>
              <w:rFonts w:ascii="Times New Roman"/>
            </w:rPr>
            <w:tab/>
          </w:r>
          <w:r>
            <w:rPr>
              <w:spacing w:val="-5"/>
            </w:rPr>
            <w:t>19</w:t>
          </w:r>
        </w:p>
        <w:p w14:paraId="747414A3" w14:textId="77777777" w:rsidR="00141B97" w:rsidRDefault="00000000">
          <w:pPr>
            <w:pStyle w:val="TOC2"/>
            <w:numPr>
              <w:ilvl w:val="1"/>
              <w:numId w:val="114"/>
            </w:numPr>
            <w:tabs>
              <w:tab w:val="left" w:pos="1287"/>
              <w:tab w:val="left" w:pos="1288"/>
              <w:tab w:val="right" w:leader="dot" w:pos="9926"/>
            </w:tabs>
            <w:spacing w:before="158"/>
          </w:pPr>
          <w:hyperlink w:anchor="_TOC_250019" w:history="1">
            <w:r w:rsidR="00911D63">
              <w:t>Development</w:t>
            </w:r>
            <w:r w:rsidR="00911D63">
              <w:rPr>
                <w:spacing w:val="-4"/>
              </w:rPr>
              <w:t xml:space="preserve"> </w:t>
            </w:r>
            <w:r w:rsidR="00911D63">
              <w:t>of</w:t>
            </w:r>
            <w:r w:rsidR="00911D63">
              <w:rPr>
                <w:spacing w:val="-3"/>
              </w:rPr>
              <w:t xml:space="preserve"> </w:t>
            </w:r>
            <w:r w:rsidR="00911D63">
              <w:t>Customer</w:t>
            </w:r>
            <w:r w:rsidR="00911D63">
              <w:rPr>
                <w:spacing w:val="-1"/>
              </w:rPr>
              <w:t xml:space="preserve"> </w:t>
            </w:r>
            <w:r w:rsidR="00911D63">
              <w:rPr>
                <w:spacing w:val="-2"/>
                <w:w w:val="95"/>
              </w:rPr>
              <w:t>Outcomes</w:t>
            </w:r>
            <w:r w:rsidR="00911D63">
              <w:rPr>
                <w:rFonts w:ascii="Times New Roman"/>
              </w:rPr>
              <w:tab/>
            </w:r>
            <w:r w:rsidR="00911D63">
              <w:rPr>
                <w:spacing w:val="-5"/>
              </w:rPr>
              <w:t>19</w:t>
            </w:r>
          </w:hyperlink>
        </w:p>
        <w:p w14:paraId="2448A1C2" w14:textId="77777777" w:rsidR="00141B97" w:rsidRDefault="00000000">
          <w:pPr>
            <w:pStyle w:val="TOC1"/>
            <w:numPr>
              <w:ilvl w:val="0"/>
              <w:numId w:val="114"/>
            </w:numPr>
            <w:tabs>
              <w:tab w:val="left" w:pos="721"/>
              <w:tab w:val="left" w:pos="722"/>
              <w:tab w:val="right" w:leader="dot" w:pos="9926"/>
            </w:tabs>
            <w:spacing w:before="120"/>
          </w:pPr>
          <w:hyperlink w:anchor="_TOC_250018" w:history="1">
            <w:r w:rsidR="00911D63">
              <w:rPr>
                <w:color w:val="009BAC"/>
              </w:rPr>
              <w:t>LMW</w:t>
            </w:r>
            <w:r w:rsidR="00911D63">
              <w:rPr>
                <w:color w:val="009BAC"/>
                <w:spacing w:val="-2"/>
              </w:rPr>
              <w:t xml:space="preserve"> </w:t>
            </w:r>
            <w:r w:rsidR="00911D63">
              <w:rPr>
                <w:color w:val="009BAC"/>
              </w:rPr>
              <w:t>and</w:t>
            </w:r>
            <w:r w:rsidR="00911D63">
              <w:rPr>
                <w:color w:val="009BAC"/>
                <w:spacing w:val="-1"/>
              </w:rPr>
              <w:t xml:space="preserve"> </w:t>
            </w:r>
            <w:r w:rsidR="00911D63">
              <w:rPr>
                <w:color w:val="009BAC"/>
              </w:rPr>
              <w:t>its</w:t>
            </w:r>
            <w:r w:rsidR="00911D63">
              <w:rPr>
                <w:color w:val="009BAC"/>
                <w:spacing w:val="-1"/>
              </w:rPr>
              <w:t xml:space="preserve"> </w:t>
            </w:r>
            <w:r w:rsidR="00911D63">
              <w:rPr>
                <w:color w:val="009BAC"/>
              </w:rPr>
              <w:t xml:space="preserve">Strategic </w:t>
            </w:r>
            <w:r w:rsidR="00911D63">
              <w:rPr>
                <w:color w:val="009BAC"/>
                <w:spacing w:val="-2"/>
              </w:rPr>
              <w:t>Response</w:t>
            </w:r>
            <w:r w:rsidR="00911D63">
              <w:rPr>
                <w:rFonts w:ascii="Times New Roman"/>
                <w:color w:val="009BAC"/>
              </w:rPr>
              <w:tab/>
            </w:r>
            <w:r w:rsidR="00911D63">
              <w:rPr>
                <w:color w:val="009BAC"/>
                <w:spacing w:val="-5"/>
              </w:rPr>
              <w:t>20</w:t>
            </w:r>
          </w:hyperlink>
        </w:p>
        <w:p w14:paraId="117262BA" w14:textId="77777777" w:rsidR="00141B97" w:rsidRDefault="00000000">
          <w:pPr>
            <w:pStyle w:val="TOC2"/>
            <w:numPr>
              <w:ilvl w:val="1"/>
              <w:numId w:val="114"/>
            </w:numPr>
            <w:tabs>
              <w:tab w:val="left" w:pos="1287"/>
              <w:tab w:val="left" w:pos="1288"/>
              <w:tab w:val="right" w:leader="dot" w:pos="9926"/>
            </w:tabs>
            <w:spacing w:before="183"/>
          </w:pPr>
          <w:hyperlink w:anchor="_TOC_250017" w:history="1">
            <w:r w:rsidR="00911D63">
              <w:t>LMW’s</w:t>
            </w:r>
            <w:r w:rsidR="00911D63">
              <w:rPr>
                <w:spacing w:val="-2"/>
              </w:rPr>
              <w:t xml:space="preserve"> </w:t>
            </w:r>
            <w:r w:rsidR="00911D63">
              <w:t>Strategic</w:t>
            </w:r>
            <w:r w:rsidR="00911D63">
              <w:rPr>
                <w:spacing w:val="-1"/>
              </w:rPr>
              <w:t xml:space="preserve"> </w:t>
            </w:r>
            <w:r w:rsidR="00911D63">
              <w:rPr>
                <w:spacing w:val="-2"/>
              </w:rPr>
              <w:t>Framework</w:t>
            </w:r>
            <w:r w:rsidR="00911D63">
              <w:rPr>
                <w:rFonts w:ascii="Times New Roman" w:hAnsi="Times New Roman"/>
              </w:rPr>
              <w:tab/>
            </w:r>
            <w:r w:rsidR="00911D63">
              <w:rPr>
                <w:spacing w:val="-5"/>
              </w:rPr>
              <w:t>20</w:t>
            </w:r>
          </w:hyperlink>
        </w:p>
        <w:p w14:paraId="6C42257A" w14:textId="77777777" w:rsidR="00141B97" w:rsidRDefault="00000000">
          <w:pPr>
            <w:pStyle w:val="TOC2"/>
            <w:numPr>
              <w:ilvl w:val="1"/>
              <w:numId w:val="114"/>
            </w:numPr>
            <w:tabs>
              <w:tab w:val="left" w:pos="1287"/>
              <w:tab w:val="left" w:pos="1288"/>
              <w:tab w:val="right" w:leader="dot" w:pos="9926"/>
            </w:tabs>
          </w:pPr>
          <w:hyperlink w:anchor="_TOC_250016" w:history="1">
            <w:r w:rsidR="00911D63">
              <w:t>Alignment</w:t>
            </w:r>
            <w:r w:rsidR="00911D63">
              <w:rPr>
                <w:spacing w:val="-2"/>
              </w:rPr>
              <w:t xml:space="preserve"> </w:t>
            </w:r>
            <w:r w:rsidR="00911D63">
              <w:t>of</w:t>
            </w:r>
            <w:r w:rsidR="00911D63">
              <w:rPr>
                <w:spacing w:val="-1"/>
              </w:rPr>
              <w:t xml:space="preserve"> </w:t>
            </w:r>
            <w:r w:rsidR="00911D63">
              <w:t>PS5</w:t>
            </w:r>
            <w:r w:rsidR="00911D63">
              <w:rPr>
                <w:spacing w:val="-2"/>
              </w:rPr>
              <w:t xml:space="preserve"> </w:t>
            </w:r>
            <w:r w:rsidR="00911D63">
              <w:t>with</w:t>
            </w:r>
            <w:r w:rsidR="00911D63">
              <w:rPr>
                <w:spacing w:val="-2"/>
              </w:rPr>
              <w:t xml:space="preserve"> </w:t>
            </w:r>
            <w:r w:rsidR="00911D63">
              <w:t>the</w:t>
            </w:r>
            <w:r w:rsidR="00911D63">
              <w:rPr>
                <w:spacing w:val="-1"/>
              </w:rPr>
              <w:t xml:space="preserve"> </w:t>
            </w:r>
            <w:r w:rsidR="00911D63">
              <w:t>Strategic</w:t>
            </w:r>
            <w:r w:rsidR="00911D63">
              <w:rPr>
                <w:spacing w:val="-3"/>
              </w:rPr>
              <w:t xml:space="preserve"> </w:t>
            </w:r>
            <w:r w:rsidR="00911D63">
              <w:rPr>
                <w:spacing w:val="-2"/>
              </w:rPr>
              <w:t>Themes</w:t>
            </w:r>
            <w:r w:rsidR="00911D63">
              <w:rPr>
                <w:rFonts w:ascii="Times New Roman"/>
              </w:rPr>
              <w:tab/>
            </w:r>
            <w:r w:rsidR="00911D63">
              <w:rPr>
                <w:spacing w:val="-5"/>
              </w:rPr>
              <w:t>21</w:t>
            </w:r>
          </w:hyperlink>
        </w:p>
        <w:p w14:paraId="40A4A418" w14:textId="77777777" w:rsidR="00141B97" w:rsidRDefault="00000000">
          <w:pPr>
            <w:pStyle w:val="TOC1"/>
            <w:numPr>
              <w:ilvl w:val="0"/>
              <w:numId w:val="114"/>
            </w:numPr>
            <w:tabs>
              <w:tab w:val="left" w:pos="721"/>
              <w:tab w:val="left" w:pos="722"/>
              <w:tab w:val="right" w:leader="dot" w:pos="9926"/>
            </w:tabs>
            <w:spacing w:before="120"/>
          </w:pPr>
          <w:hyperlink w:anchor="_TOC_250015" w:history="1">
            <w:r w:rsidR="00911D63">
              <w:rPr>
                <w:color w:val="009BAC"/>
              </w:rPr>
              <w:t>Governance</w:t>
            </w:r>
            <w:r w:rsidR="00911D63">
              <w:rPr>
                <w:color w:val="009BAC"/>
                <w:spacing w:val="-3"/>
              </w:rPr>
              <w:t xml:space="preserve"> </w:t>
            </w:r>
            <w:r w:rsidR="00911D63">
              <w:rPr>
                <w:color w:val="009BAC"/>
              </w:rPr>
              <w:t>and</w:t>
            </w:r>
            <w:r w:rsidR="00911D63">
              <w:rPr>
                <w:color w:val="009BAC"/>
                <w:spacing w:val="-4"/>
              </w:rPr>
              <w:t xml:space="preserve"> </w:t>
            </w:r>
            <w:r w:rsidR="00911D63">
              <w:rPr>
                <w:color w:val="009BAC"/>
                <w:spacing w:val="-2"/>
                <w:w w:val="95"/>
              </w:rPr>
              <w:t>Management</w:t>
            </w:r>
            <w:r w:rsidR="00911D63">
              <w:rPr>
                <w:rFonts w:ascii="Times New Roman"/>
                <w:color w:val="009BAC"/>
              </w:rPr>
              <w:tab/>
            </w:r>
            <w:r w:rsidR="00911D63">
              <w:rPr>
                <w:color w:val="009BAC"/>
                <w:spacing w:val="-5"/>
              </w:rPr>
              <w:t>23</w:t>
            </w:r>
          </w:hyperlink>
        </w:p>
        <w:p w14:paraId="0738006B" w14:textId="77777777" w:rsidR="00141B97" w:rsidRDefault="00000000">
          <w:pPr>
            <w:pStyle w:val="TOC2"/>
            <w:numPr>
              <w:ilvl w:val="1"/>
              <w:numId w:val="114"/>
            </w:numPr>
            <w:tabs>
              <w:tab w:val="left" w:pos="1287"/>
              <w:tab w:val="left" w:pos="1288"/>
              <w:tab w:val="right" w:leader="dot" w:pos="9926"/>
            </w:tabs>
            <w:spacing w:before="183"/>
          </w:pPr>
          <w:hyperlink w:anchor="_TOC_250014" w:history="1">
            <w:r w:rsidR="00911D63">
              <w:t>Price</w:t>
            </w:r>
            <w:r w:rsidR="00911D63">
              <w:rPr>
                <w:spacing w:val="-2"/>
              </w:rPr>
              <w:t xml:space="preserve"> </w:t>
            </w:r>
            <w:r w:rsidR="00911D63">
              <w:t>Submission</w:t>
            </w:r>
            <w:r w:rsidR="00911D63">
              <w:rPr>
                <w:spacing w:val="-1"/>
              </w:rPr>
              <w:t xml:space="preserve"> </w:t>
            </w:r>
            <w:r w:rsidR="00911D63">
              <w:rPr>
                <w:spacing w:val="-2"/>
              </w:rPr>
              <w:t>Development</w:t>
            </w:r>
            <w:r w:rsidR="00911D63">
              <w:rPr>
                <w:rFonts w:ascii="Times New Roman"/>
              </w:rPr>
              <w:tab/>
            </w:r>
            <w:r w:rsidR="00911D63">
              <w:rPr>
                <w:spacing w:val="-5"/>
              </w:rPr>
              <w:t>23</w:t>
            </w:r>
          </w:hyperlink>
        </w:p>
        <w:p w14:paraId="0A74B83B" w14:textId="77777777" w:rsidR="00141B97" w:rsidRDefault="00000000">
          <w:pPr>
            <w:pStyle w:val="TOC2"/>
            <w:numPr>
              <w:ilvl w:val="1"/>
              <w:numId w:val="114"/>
            </w:numPr>
            <w:tabs>
              <w:tab w:val="left" w:pos="1287"/>
              <w:tab w:val="left" w:pos="1288"/>
              <w:tab w:val="right" w:leader="dot" w:pos="9926"/>
            </w:tabs>
            <w:spacing w:before="156"/>
          </w:pPr>
          <w:hyperlink w:anchor="_TOC_250013" w:history="1">
            <w:r w:rsidR="00911D63">
              <w:t>Attestation</w:t>
            </w:r>
            <w:r w:rsidR="00911D63">
              <w:rPr>
                <w:spacing w:val="-6"/>
              </w:rPr>
              <w:t xml:space="preserve"> </w:t>
            </w:r>
            <w:r w:rsidR="00911D63">
              <w:rPr>
                <w:spacing w:val="-2"/>
              </w:rPr>
              <w:t>Assurance</w:t>
            </w:r>
            <w:r w:rsidR="00911D63">
              <w:rPr>
                <w:rFonts w:ascii="Times New Roman"/>
              </w:rPr>
              <w:tab/>
            </w:r>
            <w:r w:rsidR="00911D63">
              <w:rPr>
                <w:spacing w:val="-5"/>
              </w:rPr>
              <w:t>23</w:t>
            </w:r>
          </w:hyperlink>
        </w:p>
        <w:p w14:paraId="3ACC5B1E" w14:textId="77777777" w:rsidR="00141B97" w:rsidRDefault="00000000">
          <w:pPr>
            <w:pStyle w:val="TOC2"/>
            <w:numPr>
              <w:ilvl w:val="1"/>
              <w:numId w:val="114"/>
            </w:numPr>
            <w:tabs>
              <w:tab w:val="left" w:pos="1287"/>
              <w:tab w:val="left" w:pos="1288"/>
              <w:tab w:val="right" w:leader="dot" w:pos="9926"/>
            </w:tabs>
          </w:pPr>
          <w:hyperlink w:anchor="_TOC_250012" w:history="1">
            <w:r w:rsidR="00911D63">
              <w:t>Regulatory</w:t>
            </w:r>
            <w:r w:rsidR="00911D63">
              <w:rPr>
                <w:spacing w:val="-7"/>
              </w:rPr>
              <w:t xml:space="preserve"> </w:t>
            </w:r>
            <w:r w:rsidR="00911D63">
              <w:rPr>
                <w:spacing w:val="-2"/>
              </w:rPr>
              <w:t>Period</w:t>
            </w:r>
            <w:r w:rsidR="00911D63">
              <w:rPr>
                <w:rFonts w:ascii="Times New Roman"/>
              </w:rPr>
              <w:tab/>
            </w:r>
            <w:r w:rsidR="00911D63">
              <w:rPr>
                <w:spacing w:val="-5"/>
              </w:rPr>
              <w:t>24</w:t>
            </w:r>
          </w:hyperlink>
        </w:p>
        <w:p w14:paraId="4CD063C4" w14:textId="77777777" w:rsidR="00141B97" w:rsidRDefault="00000000">
          <w:pPr>
            <w:pStyle w:val="TOC2"/>
            <w:numPr>
              <w:ilvl w:val="1"/>
              <w:numId w:val="114"/>
            </w:numPr>
            <w:tabs>
              <w:tab w:val="left" w:pos="1287"/>
              <w:tab w:val="left" w:pos="1288"/>
              <w:tab w:val="right" w:leader="dot" w:pos="9926"/>
            </w:tabs>
            <w:spacing w:before="157"/>
          </w:pPr>
          <w:hyperlink w:anchor="_TOC_250011" w:history="1">
            <w:r w:rsidR="00911D63">
              <w:t>Developing</w:t>
            </w:r>
            <w:r w:rsidR="00911D63">
              <w:rPr>
                <w:spacing w:val="-6"/>
              </w:rPr>
              <w:t xml:space="preserve"> </w:t>
            </w:r>
            <w:r w:rsidR="00911D63">
              <w:t>the</w:t>
            </w:r>
            <w:r w:rsidR="00911D63">
              <w:rPr>
                <w:spacing w:val="-4"/>
              </w:rPr>
              <w:t xml:space="preserve"> </w:t>
            </w:r>
            <w:r w:rsidR="00911D63">
              <w:t>Operating</w:t>
            </w:r>
            <w:r w:rsidR="00911D63">
              <w:rPr>
                <w:spacing w:val="-3"/>
              </w:rPr>
              <w:t xml:space="preserve"> </w:t>
            </w:r>
            <w:r w:rsidR="00911D63">
              <w:t>Expenditure</w:t>
            </w:r>
            <w:r w:rsidR="00911D63">
              <w:rPr>
                <w:spacing w:val="-3"/>
              </w:rPr>
              <w:t xml:space="preserve"> </w:t>
            </w:r>
            <w:r w:rsidR="00911D63">
              <w:rPr>
                <w:spacing w:val="-2"/>
              </w:rPr>
              <w:t>Forecast</w:t>
            </w:r>
            <w:r w:rsidR="00911D63">
              <w:rPr>
                <w:rFonts w:ascii="Times New Roman"/>
              </w:rPr>
              <w:tab/>
            </w:r>
            <w:r w:rsidR="00911D63">
              <w:rPr>
                <w:spacing w:val="-5"/>
              </w:rPr>
              <w:t>24</w:t>
            </w:r>
          </w:hyperlink>
        </w:p>
        <w:p w14:paraId="7190362F" w14:textId="77777777" w:rsidR="00141B97" w:rsidRDefault="00000000">
          <w:pPr>
            <w:pStyle w:val="TOC2"/>
            <w:numPr>
              <w:ilvl w:val="1"/>
              <w:numId w:val="114"/>
            </w:numPr>
            <w:tabs>
              <w:tab w:val="left" w:pos="1287"/>
              <w:tab w:val="left" w:pos="1288"/>
              <w:tab w:val="right" w:leader="dot" w:pos="9926"/>
            </w:tabs>
          </w:pPr>
          <w:hyperlink w:anchor="_TOC_250010" w:history="1">
            <w:r w:rsidR="00911D63">
              <w:t>Allocation</w:t>
            </w:r>
            <w:r w:rsidR="00911D63">
              <w:rPr>
                <w:spacing w:val="-5"/>
              </w:rPr>
              <w:t xml:space="preserve"> </w:t>
            </w:r>
            <w:r w:rsidR="00911D63">
              <w:t>of</w:t>
            </w:r>
            <w:r w:rsidR="00911D63">
              <w:rPr>
                <w:spacing w:val="-5"/>
              </w:rPr>
              <w:t xml:space="preserve"> </w:t>
            </w:r>
            <w:r w:rsidR="00911D63">
              <w:t>Shared</w:t>
            </w:r>
            <w:r w:rsidR="00911D63">
              <w:rPr>
                <w:spacing w:val="-4"/>
              </w:rPr>
              <w:t xml:space="preserve"> </w:t>
            </w:r>
            <w:r w:rsidR="00911D63">
              <w:rPr>
                <w:spacing w:val="-2"/>
              </w:rPr>
              <w:t>Costs</w:t>
            </w:r>
            <w:r w:rsidR="00911D63">
              <w:rPr>
                <w:rFonts w:ascii="Times New Roman"/>
              </w:rPr>
              <w:tab/>
            </w:r>
            <w:r w:rsidR="00911D63">
              <w:rPr>
                <w:spacing w:val="-5"/>
              </w:rPr>
              <w:t>25</w:t>
            </w:r>
          </w:hyperlink>
        </w:p>
        <w:p w14:paraId="447B9D10" w14:textId="77777777" w:rsidR="00141B97" w:rsidRDefault="00000000">
          <w:pPr>
            <w:pStyle w:val="TOC2"/>
            <w:numPr>
              <w:ilvl w:val="1"/>
              <w:numId w:val="114"/>
            </w:numPr>
            <w:tabs>
              <w:tab w:val="left" w:pos="1287"/>
              <w:tab w:val="left" w:pos="1288"/>
              <w:tab w:val="right" w:leader="dot" w:pos="9926"/>
            </w:tabs>
            <w:spacing w:before="156"/>
          </w:pPr>
          <w:hyperlink w:anchor="_TOC_250009" w:history="1">
            <w:r w:rsidR="00911D63">
              <w:t>Developing</w:t>
            </w:r>
            <w:r w:rsidR="00911D63">
              <w:rPr>
                <w:spacing w:val="-5"/>
              </w:rPr>
              <w:t xml:space="preserve"> </w:t>
            </w:r>
            <w:r w:rsidR="00911D63">
              <w:t>the</w:t>
            </w:r>
            <w:r w:rsidR="00911D63">
              <w:rPr>
                <w:spacing w:val="-3"/>
              </w:rPr>
              <w:t xml:space="preserve"> </w:t>
            </w:r>
            <w:r w:rsidR="00911D63">
              <w:t>Capital</w:t>
            </w:r>
            <w:r w:rsidR="00911D63">
              <w:rPr>
                <w:spacing w:val="-2"/>
              </w:rPr>
              <w:t xml:space="preserve"> Program</w:t>
            </w:r>
            <w:r w:rsidR="00911D63">
              <w:rPr>
                <w:rFonts w:ascii="Times New Roman"/>
              </w:rPr>
              <w:tab/>
            </w:r>
            <w:r w:rsidR="00911D63">
              <w:rPr>
                <w:spacing w:val="-5"/>
              </w:rPr>
              <w:t>25</w:t>
            </w:r>
          </w:hyperlink>
        </w:p>
        <w:p w14:paraId="55454F8B" w14:textId="77777777" w:rsidR="00141B97" w:rsidRDefault="00911D63">
          <w:pPr>
            <w:pStyle w:val="TOC3"/>
            <w:numPr>
              <w:ilvl w:val="2"/>
              <w:numId w:val="114"/>
            </w:numPr>
            <w:tabs>
              <w:tab w:val="left" w:pos="1968"/>
              <w:tab w:val="left" w:pos="1969"/>
              <w:tab w:val="right" w:leader="dot" w:pos="9936"/>
            </w:tabs>
            <w:spacing w:before="120"/>
          </w:pPr>
          <w:r>
            <w:t>Program</w:t>
          </w:r>
          <w:r>
            <w:rPr>
              <w:spacing w:val="-2"/>
            </w:rPr>
            <w:t xml:space="preserve"> Development</w:t>
          </w:r>
          <w:r>
            <w:rPr>
              <w:rFonts w:ascii="Times New Roman"/>
            </w:rPr>
            <w:tab/>
          </w:r>
          <w:r>
            <w:rPr>
              <w:spacing w:val="-5"/>
            </w:rPr>
            <w:t>25</w:t>
          </w:r>
        </w:p>
        <w:p w14:paraId="5F097471" w14:textId="77777777" w:rsidR="00141B97" w:rsidRDefault="00911D63">
          <w:pPr>
            <w:pStyle w:val="TOC3"/>
            <w:numPr>
              <w:ilvl w:val="2"/>
              <w:numId w:val="114"/>
            </w:numPr>
            <w:tabs>
              <w:tab w:val="left" w:pos="1968"/>
              <w:tab w:val="left" w:pos="1969"/>
              <w:tab w:val="right" w:leader="dot" w:pos="9936"/>
            </w:tabs>
          </w:pPr>
          <w:r>
            <w:t>Cost</w:t>
          </w:r>
          <w:r>
            <w:rPr>
              <w:spacing w:val="-1"/>
            </w:rPr>
            <w:t xml:space="preserve"> </w:t>
          </w:r>
          <w:r>
            <w:rPr>
              <w:spacing w:val="-2"/>
            </w:rPr>
            <w:t>estimates</w:t>
          </w:r>
          <w:r>
            <w:rPr>
              <w:rFonts w:ascii="Times New Roman"/>
            </w:rPr>
            <w:tab/>
          </w:r>
          <w:r>
            <w:rPr>
              <w:spacing w:val="-5"/>
            </w:rPr>
            <w:t>26</w:t>
          </w:r>
        </w:p>
        <w:p w14:paraId="08C4F0F1" w14:textId="77777777" w:rsidR="00141B97" w:rsidRDefault="00911D63">
          <w:pPr>
            <w:pStyle w:val="TOC3"/>
            <w:numPr>
              <w:ilvl w:val="2"/>
              <w:numId w:val="114"/>
            </w:numPr>
            <w:tabs>
              <w:tab w:val="left" w:pos="1968"/>
              <w:tab w:val="left" w:pos="1969"/>
              <w:tab w:val="right" w:leader="dot" w:pos="9936"/>
            </w:tabs>
          </w:pPr>
          <w:r>
            <w:t>Program</w:t>
          </w:r>
          <w:r>
            <w:rPr>
              <w:spacing w:val="-6"/>
            </w:rPr>
            <w:t xml:space="preserve"> </w:t>
          </w:r>
          <w:r>
            <w:t>collation,</w:t>
          </w:r>
          <w:r>
            <w:rPr>
              <w:spacing w:val="-5"/>
            </w:rPr>
            <w:t xml:space="preserve"> </w:t>
          </w:r>
          <w:r>
            <w:t>prioritisation,</w:t>
          </w:r>
          <w:r>
            <w:rPr>
              <w:spacing w:val="-5"/>
            </w:rPr>
            <w:t xml:space="preserve"> </w:t>
          </w:r>
          <w:r>
            <w:t>and</w:t>
          </w:r>
          <w:r>
            <w:rPr>
              <w:spacing w:val="-5"/>
            </w:rPr>
            <w:t xml:space="preserve"> </w:t>
          </w:r>
          <w:r>
            <w:rPr>
              <w:spacing w:val="-2"/>
            </w:rPr>
            <w:t>approval</w:t>
          </w:r>
          <w:r>
            <w:rPr>
              <w:rFonts w:ascii="Times New Roman"/>
            </w:rPr>
            <w:tab/>
          </w:r>
          <w:r>
            <w:rPr>
              <w:spacing w:val="-5"/>
            </w:rPr>
            <w:t>26</w:t>
          </w:r>
        </w:p>
        <w:p w14:paraId="065BF185" w14:textId="77777777" w:rsidR="00141B97" w:rsidRDefault="00911D63">
          <w:pPr>
            <w:pStyle w:val="TOC3"/>
            <w:numPr>
              <w:ilvl w:val="2"/>
              <w:numId w:val="114"/>
            </w:numPr>
            <w:tabs>
              <w:tab w:val="left" w:pos="1968"/>
              <w:tab w:val="left" w:pos="1969"/>
              <w:tab w:val="right" w:leader="dot" w:pos="9936"/>
            </w:tabs>
          </w:pPr>
          <w:r>
            <w:t>Delivery</w:t>
          </w:r>
          <w:r>
            <w:rPr>
              <w:spacing w:val="-4"/>
            </w:rPr>
            <w:t xml:space="preserve"> </w:t>
          </w:r>
          <w:r>
            <w:t>of</w:t>
          </w:r>
          <w:r>
            <w:rPr>
              <w:spacing w:val="-3"/>
            </w:rPr>
            <w:t xml:space="preserve"> </w:t>
          </w:r>
          <w:r>
            <w:t>the</w:t>
          </w:r>
          <w:r>
            <w:rPr>
              <w:spacing w:val="-3"/>
            </w:rPr>
            <w:t xml:space="preserve"> </w:t>
          </w:r>
          <w:r>
            <w:t>Capital</w:t>
          </w:r>
          <w:r>
            <w:rPr>
              <w:spacing w:val="-3"/>
            </w:rPr>
            <w:t xml:space="preserve"> </w:t>
          </w:r>
          <w:r>
            <w:rPr>
              <w:spacing w:val="-2"/>
            </w:rPr>
            <w:t>Program</w:t>
          </w:r>
          <w:r>
            <w:rPr>
              <w:rFonts w:ascii="Times New Roman"/>
            </w:rPr>
            <w:tab/>
          </w:r>
          <w:r>
            <w:rPr>
              <w:spacing w:val="-5"/>
            </w:rPr>
            <w:t>27</w:t>
          </w:r>
        </w:p>
        <w:p w14:paraId="104D35FD" w14:textId="77777777" w:rsidR="00141B97" w:rsidRDefault="00000000">
          <w:pPr>
            <w:pStyle w:val="TOC2"/>
            <w:numPr>
              <w:ilvl w:val="1"/>
              <w:numId w:val="114"/>
            </w:numPr>
            <w:tabs>
              <w:tab w:val="left" w:pos="1287"/>
              <w:tab w:val="left" w:pos="1288"/>
              <w:tab w:val="right" w:leader="dot" w:pos="9926"/>
            </w:tabs>
            <w:spacing w:before="159"/>
          </w:pPr>
          <w:hyperlink w:anchor="_TOC_250008" w:history="1">
            <w:r w:rsidR="00911D63">
              <w:t xml:space="preserve">Tax </w:t>
            </w:r>
            <w:r w:rsidR="00911D63">
              <w:rPr>
                <w:spacing w:val="-2"/>
              </w:rPr>
              <w:t>Allowance</w:t>
            </w:r>
            <w:r w:rsidR="00911D63">
              <w:rPr>
                <w:rFonts w:ascii="Times New Roman"/>
              </w:rPr>
              <w:tab/>
            </w:r>
            <w:r w:rsidR="00911D63">
              <w:rPr>
                <w:spacing w:val="-5"/>
              </w:rPr>
              <w:t>27</w:t>
            </w:r>
          </w:hyperlink>
        </w:p>
        <w:p w14:paraId="7D1CE700" w14:textId="77777777" w:rsidR="00141B97" w:rsidRDefault="00000000">
          <w:pPr>
            <w:pStyle w:val="TOC2"/>
            <w:numPr>
              <w:ilvl w:val="1"/>
              <w:numId w:val="114"/>
            </w:numPr>
            <w:tabs>
              <w:tab w:val="left" w:pos="1287"/>
              <w:tab w:val="left" w:pos="1288"/>
              <w:tab w:val="right" w:leader="dot" w:pos="9926"/>
            </w:tabs>
          </w:pPr>
          <w:hyperlink w:anchor="_TOC_250007" w:history="1">
            <w:r w:rsidR="00911D63">
              <w:t>Significant</w:t>
            </w:r>
            <w:r w:rsidR="00911D63">
              <w:rPr>
                <w:spacing w:val="-3"/>
              </w:rPr>
              <w:t xml:space="preserve"> </w:t>
            </w:r>
            <w:r w:rsidR="00911D63">
              <w:rPr>
                <w:spacing w:val="-2"/>
              </w:rPr>
              <w:t>Assumptions</w:t>
            </w:r>
            <w:r w:rsidR="00911D63">
              <w:rPr>
                <w:rFonts w:ascii="Times New Roman"/>
              </w:rPr>
              <w:tab/>
            </w:r>
            <w:r w:rsidR="00911D63">
              <w:rPr>
                <w:spacing w:val="-5"/>
              </w:rPr>
              <w:t>28</w:t>
            </w:r>
          </w:hyperlink>
        </w:p>
        <w:p w14:paraId="58D6DEC3" w14:textId="77777777" w:rsidR="00141B97" w:rsidRDefault="00000000">
          <w:pPr>
            <w:pStyle w:val="TOC2"/>
            <w:numPr>
              <w:ilvl w:val="1"/>
              <w:numId w:val="114"/>
            </w:numPr>
            <w:tabs>
              <w:tab w:val="left" w:pos="1287"/>
              <w:tab w:val="left" w:pos="1288"/>
              <w:tab w:val="right" w:leader="dot" w:pos="9926"/>
            </w:tabs>
            <w:spacing w:before="156"/>
          </w:pPr>
          <w:hyperlink w:anchor="_TOC_250006" w:history="1">
            <w:r w:rsidR="00911D63">
              <w:t>Uncertain</w:t>
            </w:r>
            <w:r w:rsidR="00911D63">
              <w:rPr>
                <w:spacing w:val="-2"/>
              </w:rPr>
              <w:t xml:space="preserve"> </w:t>
            </w:r>
            <w:r w:rsidR="00911D63">
              <w:rPr>
                <w:spacing w:val="-2"/>
                <w:w w:val="95"/>
              </w:rPr>
              <w:t>Projects</w:t>
            </w:r>
            <w:r w:rsidR="00911D63">
              <w:rPr>
                <w:rFonts w:ascii="Times New Roman"/>
              </w:rPr>
              <w:tab/>
            </w:r>
            <w:r w:rsidR="00911D63">
              <w:rPr>
                <w:spacing w:val="-5"/>
              </w:rPr>
              <w:t>29</w:t>
            </w:r>
          </w:hyperlink>
        </w:p>
        <w:p w14:paraId="462CD11B" w14:textId="77777777" w:rsidR="00141B97" w:rsidRDefault="00911D63">
          <w:pPr>
            <w:pStyle w:val="TOC3"/>
            <w:numPr>
              <w:ilvl w:val="2"/>
              <w:numId w:val="114"/>
            </w:numPr>
            <w:tabs>
              <w:tab w:val="left" w:pos="1968"/>
              <w:tab w:val="left" w:pos="1969"/>
              <w:tab w:val="right" w:leader="dot" w:pos="9936"/>
            </w:tabs>
            <w:spacing w:before="121"/>
          </w:pPr>
          <w:r>
            <w:t>Victorian</w:t>
          </w:r>
          <w:r>
            <w:rPr>
              <w:spacing w:val="-5"/>
            </w:rPr>
            <w:t xml:space="preserve"> </w:t>
          </w:r>
          <w:r>
            <w:t>Murray</w:t>
          </w:r>
          <w:r>
            <w:rPr>
              <w:spacing w:val="-6"/>
            </w:rPr>
            <w:t xml:space="preserve"> </w:t>
          </w:r>
          <w:r>
            <w:t>Floodplain</w:t>
          </w:r>
          <w:r>
            <w:rPr>
              <w:spacing w:val="-4"/>
            </w:rPr>
            <w:t xml:space="preserve"> </w:t>
          </w:r>
          <w:r>
            <w:t>Restoration</w:t>
          </w:r>
          <w:r>
            <w:rPr>
              <w:spacing w:val="-3"/>
            </w:rPr>
            <w:t xml:space="preserve"> </w:t>
          </w:r>
          <w:r>
            <w:t>Project</w:t>
          </w:r>
          <w:r>
            <w:rPr>
              <w:spacing w:val="-4"/>
            </w:rPr>
            <w:t xml:space="preserve"> </w:t>
          </w:r>
          <w:r>
            <w:rPr>
              <w:spacing w:val="-2"/>
            </w:rPr>
            <w:t>(VMFRP)</w:t>
          </w:r>
          <w:r>
            <w:rPr>
              <w:rFonts w:ascii="Times New Roman"/>
            </w:rPr>
            <w:tab/>
          </w:r>
          <w:r>
            <w:rPr>
              <w:spacing w:val="-5"/>
            </w:rPr>
            <w:t>29</w:t>
          </w:r>
        </w:p>
        <w:p w14:paraId="405ED2B9" w14:textId="77777777" w:rsidR="00141B97" w:rsidRDefault="00911D63">
          <w:pPr>
            <w:pStyle w:val="TOC3"/>
            <w:numPr>
              <w:ilvl w:val="2"/>
              <w:numId w:val="114"/>
            </w:numPr>
            <w:tabs>
              <w:tab w:val="left" w:pos="1968"/>
              <w:tab w:val="left" w:pos="1969"/>
              <w:tab w:val="right" w:leader="dot" w:pos="9936"/>
            </w:tabs>
            <w:spacing w:before="121"/>
          </w:pPr>
          <w:r>
            <w:t>Water</w:t>
          </w:r>
          <w:r>
            <w:rPr>
              <w:spacing w:val="-6"/>
            </w:rPr>
            <w:t xml:space="preserve"> </w:t>
          </w:r>
          <w:r>
            <w:t>Efficiency</w:t>
          </w:r>
          <w:r>
            <w:rPr>
              <w:spacing w:val="-5"/>
            </w:rPr>
            <w:t xml:space="preserve"> </w:t>
          </w:r>
          <w:r>
            <w:rPr>
              <w:spacing w:val="-2"/>
            </w:rPr>
            <w:t>Project</w:t>
          </w:r>
          <w:r>
            <w:rPr>
              <w:rFonts w:ascii="Times New Roman"/>
            </w:rPr>
            <w:tab/>
          </w:r>
          <w:r>
            <w:rPr>
              <w:spacing w:val="-5"/>
            </w:rPr>
            <w:t>29</w:t>
          </w:r>
        </w:p>
        <w:p w14:paraId="10C6DBDA" w14:textId="77777777" w:rsidR="00141B97" w:rsidRDefault="00000000">
          <w:pPr>
            <w:pStyle w:val="TOC1"/>
            <w:numPr>
              <w:ilvl w:val="0"/>
              <w:numId w:val="114"/>
            </w:numPr>
            <w:tabs>
              <w:tab w:val="left" w:pos="721"/>
              <w:tab w:val="left" w:pos="722"/>
              <w:tab w:val="right" w:leader="dot" w:pos="9926"/>
            </w:tabs>
            <w:spacing w:before="241"/>
          </w:pPr>
          <w:hyperlink w:anchor="_TOC_250005" w:history="1">
            <w:r w:rsidR="00911D63">
              <w:rPr>
                <w:color w:val="009BAC"/>
              </w:rPr>
              <w:t>PREMO</w:t>
            </w:r>
            <w:r w:rsidR="00911D63">
              <w:rPr>
                <w:color w:val="009BAC"/>
                <w:spacing w:val="-1"/>
              </w:rPr>
              <w:t xml:space="preserve"> </w:t>
            </w:r>
            <w:r w:rsidR="00911D63">
              <w:rPr>
                <w:color w:val="009BAC"/>
                <w:spacing w:val="-2"/>
              </w:rPr>
              <w:t>Self‐Assessment</w:t>
            </w:r>
            <w:r w:rsidR="00911D63">
              <w:rPr>
                <w:rFonts w:ascii="Times New Roman" w:hAnsi="Times New Roman"/>
                <w:color w:val="009BAC"/>
              </w:rPr>
              <w:tab/>
            </w:r>
            <w:r w:rsidR="00911D63">
              <w:rPr>
                <w:color w:val="009BAC"/>
                <w:spacing w:val="-5"/>
              </w:rPr>
              <w:t>31</w:t>
            </w:r>
          </w:hyperlink>
        </w:p>
        <w:p w14:paraId="37ECE91A" w14:textId="77777777" w:rsidR="00141B97" w:rsidRDefault="00000000">
          <w:pPr>
            <w:pStyle w:val="TOC1"/>
            <w:numPr>
              <w:ilvl w:val="0"/>
              <w:numId w:val="114"/>
            </w:numPr>
            <w:tabs>
              <w:tab w:val="left" w:pos="721"/>
              <w:tab w:val="left" w:pos="722"/>
              <w:tab w:val="right" w:leader="dot" w:pos="9926"/>
            </w:tabs>
            <w:spacing w:before="267"/>
          </w:pPr>
          <w:hyperlink w:anchor="_TOC_250004" w:history="1">
            <w:r w:rsidR="00911D63">
              <w:rPr>
                <w:color w:val="009BAC"/>
              </w:rPr>
              <w:t>Risk</w:t>
            </w:r>
            <w:r w:rsidR="00911D63">
              <w:rPr>
                <w:color w:val="009BAC"/>
                <w:spacing w:val="-2"/>
              </w:rPr>
              <w:t xml:space="preserve"> Management</w:t>
            </w:r>
            <w:r w:rsidR="00911D63">
              <w:rPr>
                <w:rFonts w:ascii="Times New Roman"/>
                <w:color w:val="009BAC"/>
              </w:rPr>
              <w:tab/>
            </w:r>
            <w:r w:rsidR="00911D63">
              <w:rPr>
                <w:color w:val="009BAC"/>
                <w:spacing w:val="-5"/>
              </w:rPr>
              <w:t>35</w:t>
            </w:r>
          </w:hyperlink>
        </w:p>
        <w:p w14:paraId="16B7590C" w14:textId="77777777" w:rsidR="00141B97" w:rsidRDefault="00000000">
          <w:pPr>
            <w:pStyle w:val="TOC2"/>
            <w:numPr>
              <w:ilvl w:val="1"/>
              <w:numId w:val="114"/>
            </w:numPr>
            <w:tabs>
              <w:tab w:val="left" w:pos="1287"/>
              <w:tab w:val="left" w:pos="1288"/>
              <w:tab w:val="right" w:leader="dot" w:pos="9926"/>
            </w:tabs>
            <w:spacing w:before="183"/>
          </w:pPr>
          <w:hyperlink w:anchor="_TOC_250003" w:history="1">
            <w:r w:rsidR="00911D63">
              <w:t>Robust</w:t>
            </w:r>
            <w:r w:rsidR="00911D63">
              <w:rPr>
                <w:spacing w:val="-4"/>
              </w:rPr>
              <w:t xml:space="preserve"> </w:t>
            </w:r>
            <w:r w:rsidR="00911D63">
              <w:t>Risk</w:t>
            </w:r>
            <w:r w:rsidR="00911D63">
              <w:rPr>
                <w:spacing w:val="-4"/>
              </w:rPr>
              <w:t xml:space="preserve"> </w:t>
            </w:r>
            <w:r w:rsidR="00911D63">
              <w:t>Management</w:t>
            </w:r>
            <w:r w:rsidR="00911D63">
              <w:rPr>
                <w:spacing w:val="-5"/>
              </w:rPr>
              <w:t xml:space="preserve"> </w:t>
            </w:r>
            <w:r w:rsidR="00911D63">
              <w:t>Processes</w:t>
            </w:r>
            <w:r w:rsidR="00911D63">
              <w:rPr>
                <w:spacing w:val="-4"/>
              </w:rPr>
              <w:t xml:space="preserve"> </w:t>
            </w:r>
            <w:r w:rsidR="00911D63">
              <w:t>and</w:t>
            </w:r>
            <w:r w:rsidR="00911D63">
              <w:rPr>
                <w:spacing w:val="-3"/>
              </w:rPr>
              <w:t xml:space="preserve"> </w:t>
            </w:r>
            <w:r w:rsidR="00911D63">
              <w:rPr>
                <w:spacing w:val="-2"/>
              </w:rPr>
              <w:t>Approach</w:t>
            </w:r>
            <w:r w:rsidR="00911D63">
              <w:rPr>
                <w:rFonts w:ascii="Times New Roman"/>
              </w:rPr>
              <w:tab/>
            </w:r>
            <w:r w:rsidR="00911D63">
              <w:rPr>
                <w:spacing w:val="-5"/>
              </w:rPr>
              <w:t>35</w:t>
            </w:r>
          </w:hyperlink>
        </w:p>
        <w:p w14:paraId="12DFE998" w14:textId="77777777" w:rsidR="00141B97" w:rsidRDefault="00000000">
          <w:pPr>
            <w:pStyle w:val="TOC2"/>
            <w:numPr>
              <w:ilvl w:val="1"/>
              <w:numId w:val="114"/>
            </w:numPr>
            <w:tabs>
              <w:tab w:val="left" w:pos="1287"/>
              <w:tab w:val="left" w:pos="1288"/>
              <w:tab w:val="right" w:leader="dot" w:pos="9926"/>
            </w:tabs>
            <w:spacing w:before="156" w:after="20"/>
          </w:pPr>
          <w:hyperlink w:anchor="_TOC_250002" w:history="1">
            <w:r w:rsidR="00911D63">
              <w:t>Risk</w:t>
            </w:r>
            <w:r w:rsidR="00911D63">
              <w:rPr>
                <w:spacing w:val="-6"/>
              </w:rPr>
              <w:t xml:space="preserve"> </w:t>
            </w:r>
            <w:r w:rsidR="00911D63">
              <w:t>Allocation</w:t>
            </w:r>
            <w:r w:rsidR="00911D63">
              <w:rPr>
                <w:spacing w:val="-4"/>
              </w:rPr>
              <w:t xml:space="preserve"> </w:t>
            </w:r>
            <w:r w:rsidR="00911D63">
              <w:rPr>
                <w:spacing w:val="-2"/>
              </w:rPr>
              <w:t>Strategy</w:t>
            </w:r>
            <w:r w:rsidR="00911D63">
              <w:rPr>
                <w:rFonts w:ascii="Times New Roman"/>
              </w:rPr>
              <w:tab/>
            </w:r>
            <w:r w:rsidR="00911D63">
              <w:rPr>
                <w:spacing w:val="-5"/>
              </w:rPr>
              <w:t>35</w:t>
            </w:r>
          </w:hyperlink>
        </w:p>
        <w:p w14:paraId="33112398" w14:textId="77777777" w:rsidR="00141B97" w:rsidRDefault="00911D63">
          <w:pPr>
            <w:pStyle w:val="TOC3"/>
            <w:numPr>
              <w:ilvl w:val="2"/>
              <w:numId w:val="114"/>
            </w:numPr>
            <w:tabs>
              <w:tab w:val="left" w:pos="1968"/>
              <w:tab w:val="left" w:pos="1969"/>
              <w:tab w:val="right" w:leader="dot" w:pos="9936"/>
            </w:tabs>
            <w:spacing w:before="31"/>
          </w:pPr>
          <w:r>
            <w:lastRenderedPageBreak/>
            <w:t>Management</w:t>
          </w:r>
          <w:r>
            <w:rPr>
              <w:spacing w:val="-5"/>
            </w:rPr>
            <w:t xml:space="preserve"> </w:t>
          </w:r>
          <w:r>
            <w:t>of</w:t>
          </w:r>
          <w:r>
            <w:rPr>
              <w:spacing w:val="-3"/>
            </w:rPr>
            <w:t xml:space="preserve"> </w:t>
          </w:r>
          <w:r>
            <w:t>Strategic</w:t>
          </w:r>
          <w:r>
            <w:rPr>
              <w:spacing w:val="-4"/>
            </w:rPr>
            <w:t xml:space="preserve"> Risks</w:t>
          </w:r>
          <w:r>
            <w:rPr>
              <w:rFonts w:ascii="Times New Roman"/>
            </w:rPr>
            <w:tab/>
          </w:r>
          <w:r>
            <w:rPr>
              <w:spacing w:val="-5"/>
            </w:rPr>
            <w:t>35</w:t>
          </w:r>
        </w:p>
        <w:p w14:paraId="338F3A9D" w14:textId="77777777" w:rsidR="00141B97" w:rsidRDefault="00911D63">
          <w:pPr>
            <w:pStyle w:val="TOC3"/>
            <w:numPr>
              <w:ilvl w:val="2"/>
              <w:numId w:val="114"/>
            </w:numPr>
            <w:tabs>
              <w:tab w:val="left" w:pos="1968"/>
              <w:tab w:val="left" w:pos="1969"/>
              <w:tab w:val="right" w:leader="dot" w:pos="9936"/>
            </w:tabs>
          </w:pPr>
          <w:r>
            <w:t>Managing</w:t>
          </w:r>
          <w:r>
            <w:rPr>
              <w:spacing w:val="-4"/>
            </w:rPr>
            <w:t xml:space="preserve"> </w:t>
          </w:r>
          <w:r>
            <w:t>Customer</w:t>
          </w:r>
          <w:r>
            <w:rPr>
              <w:spacing w:val="-4"/>
            </w:rPr>
            <w:t xml:space="preserve"> </w:t>
          </w:r>
          <w:r>
            <w:t>Service</w:t>
          </w:r>
          <w:r>
            <w:rPr>
              <w:spacing w:val="-4"/>
            </w:rPr>
            <w:t xml:space="preserve"> </w:t>
          </w:r>
          <w:r>
            <w:rPr>
              <w:spacing w:val="-4"/>
              <w:w w:val="95"/>
            </w:rPr>
            <w:t>Risk</w:t>
          </w:r>
          <w:r>
            <w:rPr>
              <w:rFonts w:ascii="Times New Roman"/>
            </w:rPr>
            <w:tab/>
          </w:r>
          <w:r>
            <w:rPr>
              <w:spacing w:val="-5"/>
            </w:rPr>
            <w:t>35</w:t>
          </w:r>
        </w:p>
        <w:p w14:paraId="18C85BF3" w14:textId="77777777" w:rsidR="00141B97" w:rsidRDefault="00911D63">
          <w:pPr>
            <w:pStyle w:val="TOC3"/>
            <w:numPr>
              <w:ilvl w:val="2"/>
              <w:numId w:val="114"/>
            </w:numPr>
            <w:tabs>
              <w:tab w:val="left" w:pos="1968"/>
              <w:tab w:val="left" w:pos="1969"/>
              <w:tab w:val="right" w:leader="dot" w:pos="9936"/>
            </w:tabs>
            <w:spacing w:before="123"/>
          </w:pPr>
          <w:r>
            <w:t>Managing</w:t>
          </w:r>
          <w:r>
            <w:rPr>
              <w:spacing w:val="-4"/>
            </w:rPr>
            <w:t xml:space="preserve"> </w:t>
          </w:r>
          <w:r>
            <w:t>Uncertainty</w:t>
          </w:r>
          <w:r>
            <w:rPr>
              <w:spacing w:val="-3"/>
            </w:rPr>
            <w:t xml:space="preserve"> </w:t>
          </w:r>
          <w:r>
            <w:t>in</w:t>
          </w:r>
          <w:r>
            <w:rPr>
              <w:spacing w:val="-4"/>
            </w:rPr>
            <w:t xml:space="preserve"> </w:t>
          </w:r>
          <w:r>
            <w:t>Planning</w:t>
          </w:r>
          <w:r>
            <w:rPr>
              <w:spacing w:val="-3"/>
            </w:rPr>
            <w:t xml:space="preserve"> </w:t>
          </w:r>
          <w:r>
            <w:t>Capital</w:t>
          </w:r>
          <w:r>
            <w:rPr>
              <w:spacing w:val="-3"/>
            </w:rPr>
            <w:t xml:space="preserve"> </w:t>
          </w:r>
          <w:r>
            <w:rPr>
              <w:spacing w:val="-2"/>
            </w:rPr>
            <w:t>Infrastructure</w:t>
          </w:r>
          <w:r>
            <w:rPr>
              <w:rFonts w:ascii="Times New Roman"/>
            </w:rPr>
            <w:tab/>
          </w:r>
          <w:r>
            <w:rPr>
              <w:spacing w:val="-5"/>
            </w:rPr>
            <w:t>36</w:t>
          </w:r>
        </w:p>
        <w:p w14:paraId="597C349F" w14:textId="77777777" w:rsidR="00141B97" w:rsidRDefault="00000000">
          <w:pPr>
            <w:pStyle w:val="TOC2"/>
            <w:numPr>
              <w:ilvl w:val="1"/>
              <w:numId w:val="114"/>
            </w:numPr>
            <w:tabs>
              <w:tab w:val="left" w:pos="1287"/>
              <w:tab w:val="left" w:pos="1288"/>
              <w:tab w:val="right" w:leader="dot" w:pos="9926"/>
            </w:tabs>
            <w:spacing w:before="158"/>
          </w:pPr>
          <w:hyperlink w:anchor="_TOC_250001" w:history="1">
            <w:r w:rsidR="00911D63">
              <w:t>Mechanisms</w:t>
            </w:r>
            <w:r w:rsidR="00911D63">
              <w:rPr>
                <w:spacing w:val="-2"/>
              </w:rPr>
              <w:t xml:space="preserve"> </w:t>
            </w:r>
            <w:r w:rsidR="00911D63">
              <w:t>Used</w:t>
            </w:r>
            <w:r w:rsidR="00911D63">
              <w:rPr>
                <w:spacing w:val="-2"/>
              </w:rPr>
              <w:t xml:space="preserve"> </w:t>
            </w:r>
            <w:r w:rsidR="00911D63">
              <w:t>to</w:t>
            </w:r>
            <w:r w:rsidR="00911D63">
              <w:rPr>
                <w:spacing w:val="-2"/>
              </w:rPr>
              <w:t xml:space="preserve"> </w:t>
            </w:r>
            <w:r w:rsidR="00911D63">
              <w:t>Manage</w:t>
            </w:r>
            <w:r w:rsidR="00911D63">
              <w:rPr>
                <w:spacing w:val="-2"/>
              </w:rPr>
              <w:t xml:space="preserve"> </w:t>
            </w:r>
            <w:r w:rsidR="00911D63">
              <w:rPr>
                <w:spacing w:val="-4"/>
              </w:rPr>
              <w:t>Risk</w:t>
            </w:r>
            <w:r w:rsidR="00911D63">
              <w:rPr>
                <w:rFonts w:ascii="Times New Roman"/>
              </w:rPr>
              <w:tab/>
            </w:r>
            <w:r w:rsidR="00911D63">
              <w:rPr>
                <w:spacing w:val="-5"/>
              </w:rPr>
              <w:t>36</w:t>
            </w:r>
          </w:hyperlink>
        </w:p>
        <w:p w14:paraId="0CFB8C36" w14:textId="77777777" w:rsidR="00141B97" w:rsidRDefault="00911D63">
          <w:pPr>
            <w:pStyle w:val="TOC3"/>
            <w:tabs>
              <w:tab w:val="right" w:leader="dot" w:pos="9936"/>
            </w:tabs>
            <w:spacing w:before="119"/>
            <w:ind w:left="1288" w:firstLine="0"/>
          </w:pPr>
          <w:r>
            <w:t>LMW</w:t>
          </w:r>
          <w:r>
            <w:rPr>
              <w:spacing w:val="-4"/>
            </w:rPr>
            <w:t xml:space="preserve"> </w:t>
          </w:r>
          <w:r>
            <w:t>Price</w:t>
          </w:r>
          <w:r>
            <w:rPr>
              <w:spacing w:val="-5"/>
            </w:rPr>
            <w:t xml:space="preserve"> </w:t>
          </w:r>
          <w:r>
            <w:t>Submission</w:t>
          </w:r>
          <w:r>
            <w:rPr>
              <w:spacing w:val="-5"/>
            </w:rPr>
            <w:t xml:space="preserve"> </w:t>
          </w:r>
          <w:r>
            <w:t>Risk</w:t>
          </w:r>
          <w:r>
            <w:rPr>
              <w:spacing w:val="-5"/>
            </w:rPr>
            <w:t xml:space="preserve"> </w:t>
          </w:r>
          <w:r>
            <w:t>Management</w:t>
          </w:r>
          <w:r>
            <w:rPr>
              <w:spacing w:val="-3"/>
            </w:rPr>
            <w:t xml:space="preserve"> </w:t>
          </w:r>
          <w:r>
            <w:t>and</w:t>
          </w:r>
          <w:r>
            <w:rPr>
              <w:spacing w:val="-4"/>
            </w:rPr>
            <w:t xml:space="preserve"> </w:t>
          </w:r>
          <w:r>
            <w:t>Allocation</w:t>
          </w:r>
          <w:r>
            <w:rPr>
              <w:spacing w:val="-4"/>
            </w:rPr>
            <w:t xml:space="preserve"> </w:t>
          </w:r>
          <w:r>
            <w:rPr>
              <w:spacing w:val="-2"/>
            </w:rPr>
            <w:t>Examples.</w:t>
          </w:r>
          <w:r>
            <w:rPr>
              <w:rFonts w:ascii="Times New Roman"/>
            </w:rPr>
            <w:tab/>
          </w:r>
          <w:r>
            <w:rPr>
              <w:spacing w:val="-5"/>
            </w:rPr>
            <w:t>37</w:t>
          </w:r>
        </w:p>
        <w:p w14:paraId="293E9BEE" w14:textId="77777777" w:rsidR="00141B97" w:rsidRDefault="00000000">
          <w:pPr>
            <w:pStyle w:val="TOC1"/>
            <w:numPr>
              <w:ilvl w:val="0"/>
              <w:numId w:val="114"/>
            </w:numPr>
            <w:tabs>
              <w:tab w:val="left" w:pos="721"/>
              <w:tab w:val="left" w:pos="722"/>
              <w:tab w:val="right" w:leader="dot" w:pos="9926"/>
            </w:tabs>
            <w:spacing w:before="241"/>
          </w:pPr>
          <w:hyperlink w:anchor="_TOC_250000" w:history="1">
            <w:r w:rsidR="00911D63">
              <w:rPr>
                <w:color w:val="009BAC"/>
              </w:rPr>
              <w:t>LMW</w:t>
            </w:r>
            <w:r w:rsidR="00911D63">
              <w:rPr>
                <w:color w:val="009BAC"/>
                <w:spacing w:val="-2"/>
              </w:rPr>
              <w:t xml:space="preserve"> </w:t>
            </w:r>
            <w:r w:rsidR="00911D63">
              <w:rPr>
                <w:color w:val="009BAC"/>
              </w:rPr>
              <w:t>Overall</w:t>
            </w:r>
            <w:r w:rsidR="00911D63">
              <w:rPr>
                <w:color w:val="009BAC"/>
                <w:spacing w:val="-1"/>
              </w:rPr>
              <w:t xml:space="preserve"> </w:t>
            </w:r>
            <w:r w:rsidR="00911D63">
              <w:rPr>
                <w:color w:val="009BAC"/>
              </w:rPr>
              <w:t>Financial</w:t>
            </w:r>
            <w:r w:rsidR="00911D63">
              <w:rPr>
                <w:color w:val="009BAC"/>
                <w:spacing w:val="-1"/>
              </w:rPr>
              <w:t xml:space="preserve"> </w:t>
            </w:r>
            <w:r w:rsidR="00911D63">
              <w:rPr>
                <w:color w:val="009BAC"/>
                <w:spacing w:val="-2"/>
              </w:rPr>
              <w:t>Position</w:t>
            </w:r>
            <w:r w:rsidR="00911D63">
              <w:rPr>
                <w:rFonts w:ascii="Times New Roman"/>
                <w:color w:val="009BAC"/>
              </w:rPr>
              <w:tab/>
            </w:r>
            <w:r w:rsidR="00911D63">
              <w:rPr>
                <w:color w:val="009BAC"/>
                <w:spacing w:val="-5"/>
              </w:rPr>
              <w:t>39</w:t>
            </w:r>
          </w:hyperlink>
        </w:p>
      </w:sdtContent>
    </w:sdt>
    <w:p w14:paraId="61F0C8A9" w14:textId="77777777" w:rsidR="00141B97" w:rsidRDefault="00141B97">
      <w:pPr>
        <w:sectPr w:rsidR="00141B97">
          <w:type w:val="continuous"/>
          <w:pgSz w:w="11910" w:h="16840"/>
          <w:pgMar w:top="820" w:right="740" w:bottom="1209" w:left="980" w:header="0" w:footer="896" w:gutter="0"/>
          <w:cols w:space="720"/>
        </w:sectPr>
      </w:pPr>
    </w:p>
    <w:p w14:paraId="6D4ED502" w14:textId="77777777" w:rsidR="00141B97" w:rsidRDefault="00911D63">
      <w:pPr>
        <w:spacing w:line="479" w:lineRule="exact"/>
        <w:ind w:left="154"/>
        <w:rPr>
          <w:sz w:val="40"/>
        </w:rPr>
      </w:pPr>
      <w:r>
        <w:rPr>
          <w:color w:val="006CA3"/>
          <w:spacing w:val="-2"/>
          <w:sz w:val="40"/>
        </w:rPr>
        <w:lastRenderedPageBreak/>
        <w:t>Tables</w:t>
      </w:r>
      <w:r>
        <w:rPr>
          <w:color w:val="006CA3"/>
          <w:spacing w:val="-16"/>
          <w:sz w:val="40"/>
        </w:rPr>
        <w:t xml:space="preserve"> </w:t>
      </w:r>
      <w:r>
        <w:rPr>
          <w:color w:val="006CA3"/>
          <w:spacing w:val="-2"/>
          <w:sz w:val="40"/>
        </w:rPr>
        <w:t>and</w:t>
      </w:r>
      <w:r>
        <w:rPr>
          <w:color w:val="006CA3"/>
          <w:spacing w:val="-15"/>
          <w:sz w:val="40"/>
        </w:rPr>
        <w:t xml:space="preserve"> </w:t>
      </w:r>
      <w:r>
        <w:rPr>
          <w:color w:val="006CA3"/>
          <w:spacing w:val="-2"/>
          <w:sz w:val="40"/>
        </w:rPr>
        <w:t>Figures</w:t>
      </w:r>
    </w:p>
    <w:p w14:paraId="044E90DC" w14:textId="77777777" w:rsidR="00141B97" w:rsidRDefault="00141B97">
      <w:pPr>
        <w:pStyle w:val="BodyText"/>
        <w:spacing w:before="3"/>
        <w:rPr>
          <w:sz w:val="21"/>
        </w:rPr>
      </w:pPr>
    </w:p>
    <w:tbl>
      <w:tblPr>
        <w:tblW w:w="0" w:type="auto"/>
        <w:tblCellSpacing w:w="9" w:type="dxa"/>
        <w:tblInd w:w="190" w:type="dxa"/>
        <w:tblLayout w:type="fixed"/>
        <w:tblCellMar>
          <w:left w:w="0" w:type="dxa"/>
          <w:right w:w="0" w:type="dxa"/>
        </w:tblCellMar>
        <w:tblLook w:val="01E0" w:firstRow="1" w:lastRow="1" w:firstColumn="1" w:lastColumn="1" w:noHBand="0" w:noVBand="0"/>
      </w:tblPr>
      <w:tblGrid>
        <w:gridCol w:w="7375"/>
        <w:gridCol w:w="1571"/>
      </w:tblGrid>
      <w:tr w:rsidR="00141B97" w14:paraId="555F6C77" w14:textId="77777777">
        <w:trPr>
          <w:trHeight w:val="309"/>
          <w:tblCellSpacing w:w="9" w:type="dxa"/>
        </w:trPr>
        <w:tc>
          <w:tcPr>
            <w:tcW w:w="7348" w:type="dxa"/>
            <w:tcBorders>
              <w:top w:val="nil"/>
              <w:left w:val="nil"/>
            </w:tcBorders>
            <w:shd w:val="clear" w:color="auto" w:fill="006CA3"/>
          </w:tcPr>
          <w:p w14:paraId="55180763" w14:textId="77777777" w:rsidR="00141B97" w:rsidRDefault="00911D63">
            <w:pPr>
              <w:pStyle w:val="TableParagraph"/>
              <w:spacing w:before="1"/>
              <w:ind w:left="88"/>
            </w:pPr>
            <w:r>
              <w:rPr>
                <w:color w:val="FFFFFF"/>
              </w:rPr>
              <w:t>Table/Figure</w:t>
            </w:r>
            <w:r>
              <w:rPr>
                <w:color w:val="FFFFFF"/>
                <w:spacing w:val="-13"/>
              </w:rPr>
              <w:t xml:space="preserve"> </w:t>
            </w:r>
            <w:r>
              <w:rPr>
                <w:color w:val="FFFFFF"/>
                <w:spacing w:val="-2"/>
              </w:rPr>
              <w:t>Title</w:t>
            </w:r>
          </w:p>
        </w:tc>
        <w:tc>
          <w:tcPr>
            <w:tcW w:w="1544" w:type="dxa"/>
            <w:tcBorders>
              <w:top w:val="nil"/>
              <w:right w:val="nil"/>
            </w:tcBorders>
            <w:shd w:val="clear" w:color="auto" w:fill="006CA3"/>
          </w:tcPr>
          <w:p w14:paraId="15E0350A" w14:textId="77777777" w:rsidR="00141B97" w:rsidRDefault="00911D63">
            <w:pPr>
              <w:pStyle w:val="TableParagraph"/>
              <w:spacing w:before="1"/>
              <w:ind w:right="152"/>
              <w:jc w:val="right"/>
            </w:pPr>
            <w:r>
              <w:rPr>
                <w:color w:val="FFFFFF"/>
              </w:rPr>
              <w:t>Page</w:t>
            </w:r>
            <w:r>
              <w:rPr>
                <w:color w:val="FFFFFF"/>
                <w:spacing w:val="-6"/>
              </w:rPr>
              <w:t xml:space="preserve"> </w:t>
            </w:r>
            <w:r>
              <w:rPr>
                <w:color w:val="FFFFFF"/>
                <w:spacing w:val="-2"/>
              </w:rPr>
              <w:t>Number</w:t>
            </w:r>
          </w:p>
        </w:tc>
      </w:tr>
      <w:tr w:rsidR="00141B97" w14:paraId="466C6B77" w14:textId="77777777">
        <w:trPr>
          <w:trHeight w:val="308"/>
          <w:tblCellSpacing w:w="9" w:type="dxa"/>
        </w:trPr>
        <w:tc>
          <w:tcPr>
            <w:tcW w:w="7348" w:type="dxa"/>
            <w:tcBorders>
              <w:left w:val="nil"/>
            </w:tcBorders>
            <w:shd w:val="clear" w:color="auto" w:fill="CCE2ED"/>
          </w:tcPr>
          <w:p w14:paraId="48D0F509" w14:textId="77777777" w:rsidR="00141B97" w:rsidRDefault="00911D63">
            <w:pPr>
              <w:pStyle w:val="TableParagraph"/>
              <w:spacing w:before="1"/>
              <w:ind w:left="88"/>
            </w:pPr>
            <w:r>
              <w:t>Table</w:t>
            </w:r>
            <w:r>
              <w:rPr>
                <w:spacing w:val="-8"/>
              </w:rPr>
              <w:t xml:space="preserve"> </w:t>
            </w:r>
            <w:r>
              <w:t>A1:</w:t>
            </w:r>
            <w:r>
              <w:rPr>
                <w:spacing w:val="-9"/>
              </w:rPr>
              <w:t xml:space="preserve"> </w:t>
            </w:r>
            <w:r>
              <w:t>LMW</w:t>
            </w:r>
            <w:r>
              <w:rPr>
                <w:spacing w:val="-8"/>
              </w:rPr>
              <w:t xml:space="preserve"> </w:t>
            </w:r>
            <w:r>
              <w:t>Pricing</w:t>
            </w:r>
            <w:r>
              <w:rPr>
                <w:spacing w:val="-8"/>
              </w:rPr>
              <w:t xml:space="preserve"> </w:t>
            </w:r>
            <w:r>
              <w:t>Submission</w:t>
            </w:r>
            <w:r>
              <w:rPr>
                <w:spacing w:val="-9"/>
              </w:rPr>
              <w:t xml:space="preserve"> </w:t>
            </w:r>
            <w:r>
              <w:rPr>
                <w:spacing w:val="-2"/>
              </w:rPr>
              <w:t>Structure</w:t>
            </w:r>
          </w:p>
        </w:tc>
        <w:tc>
          <w:tcPr>
            <w:tcW w:w="1544" w:type="dxa"/>
            <w:tcBorders>
              <w:right w:val="nil"/>
            </w:tcBorders>
            <w:shd w:val="clear" w:color="auto" w:fill="CCE2ED"/>
          </w:tcPr>
          <w:p w14:paraId="13553203" w14:textId="77777777" w:rsidR="00141B97" w:rsidRDefault="00911D63">
            <w:pPr>
              <w:pStyle w:val="TableParagraph"/>
              <w:spacing w:before="1"/>
              <w:ind w:right="87"/>
              <w:jc w:val="right"/>
            </w:pPr>
            <w:r>
              <w:rPr>
                <w:w w:val="99"/>
              </w:rPr>
              <w:t>6</w:t>
            </w:r>
          </w:p>
        </w:tc>
      </w:tr>
      <w:tr w:rsidR="00141B97" w14:paraId="28C38F3A" w14:textId="77777777">
        <w:trPr>
          <w:trHeight w:val="308"/>
          <w:tblCellSpacing w:w="9" w:type="dxa"/>
        </w:trPr>
        <w:tc>
          <w:tcPr>
            <w:tcW w:w="7348" w:type="dxa"/>
            <w:tcBorders>
              <w:left w:val="nil"/>
            </w:tcBorders>
            <w:shd w:val="clear" w:color="auto" w:fill="CCE2ED"/>
          </w:tcPr>
          <w:p w14:paraId="48638DEB" w14:textId="77777777" w:rsidR="00141B97" w:rsidRDefault="00911D63">
            <w:pPr>
              <w:pStyle w:val="TableParagraph"/>
              <w:spacing w:before="1"/>
              <w:ind w:left="88"/>
            </w:pPr>
            <w:r>
              <w:t>Table</w:t>
            </w:r>
            <w:r>
              <w:rPr>
                <w:spacing w:val="-9"/>
              </w:rPr>
              <w:t xml:space="preserve"> </w:t>
            </w:r>
            <w:r>
              <w:t>A2:</w:t>
            </w:r>
            <w:r>
              <w:rPr>
                <w:spacing w:val="-8"/>
              </w:rPr>
              <w:t xml:space="preserve"> </w:t>
            </w:r>
            <w:r>
              <w:t>ESC</w:t>
            </w:r>
            <w:r>
              <w:rPr>
                <w:spacing w:val="-8"/>
              </w:rPr>
              <w:t xml:space="preserve"> </w:t>
            </w:r>
            <w:r>
              <w:t>Required</w:t>
            </w:r>
            <w:r>
              <w:rPr>
                <w:spacing w:val="-9"/>
              </w:rPr>
              <w:t xml:space="preserve"> </w:t>
            </w:r>
            <w:r>
              <w:t>Submission</w:t>
            </w:r>
            <w:r>
              <w:rPr>
                <w:spacing w:val="-9"/>
              </w:rPr>
              <w:t xml:space="preserve"> </w:t>
            </w:r>
            <w:r>
              <w:t>Content</w:t>
            </w:r>
            <w:r>
              <w:rPr>
                <w:spacing w:val="-8"/>
              </w:rPr>
              <w:t xml:space="preserve"> </w:t>
            </w:r>
            <w:r>
              <w:rPr>
                <w:spacing w:val="-2"/>
              </w:rPr>
              <w:t>Index</w:t>
            </w:r>
          </w:p>
        </w:tc>
        <w:tc>
          <w:tcPr>
            <w:tcW w:w="1544" w:type="dxa"/>
            <w:tcBorders>
              <w:right w:val="nil"/>
            </w:tcBorders>
            <w:shd w:val="clear" w:color="auto" w:fill="CCE2ED"/>
          </w:tcPr>
          <w:p w14:paraId="2E485A79" w14:textId="77777777" w:rsidR="00141B97" w:rsidRDefault="00911D63">
            <w:pPr>
              <w:pStyle w:val="TableParagraph"/>
              <w:spacing w:before="1"/>
              <w:ind w:right="87"/>
              <w:jc w:val="right"/>
            </w:pPr>
            <w:r>
              <w:rPr>
                <w:w w:val="99"/>
              </w:rPr>
              <w:t>7</w:t>
            </w:r>
          </w:p>
        </w:tc>
      </w:tr>
      <w:tr w:rsidR="00141B97" w14:paraId="0F4B2DEF" w14:textId="77777777">
        <w:trPr>
          <w:trHeight w:val="308"/>
          <w:tblCellSpacing w:w="9" w:type="dxa"/>
        </w:trPr>
        <w:tc>
          <w:tcPr>
            <w:tcW w:w="7348" w:type="dxa"/>
            <w:tcBorders>
              <w:left w:val="nil"/>
            </w:tcBorders>
            <w:shd w:val="clear" w:color="auto" w:fill="CCE2ED"/>
          </w:tcPr>
          <w:p w14:paraId="715A718B" w14:textId="77777777" w:rsidR="00141B97" w:rsidRDefault="00911D63">
            <w:pPr>
              <w:pStyle w:val="TableParagraph"/>
              <w:spacing w:before="1"/>
              <w:ind w:left="88"/>
            </w:pPr>
            <w:r>
              <w:t>Table</w:t>
            </w:r>
            <w:r>
              <w:rPr>
                <w:spacing w:val="-6"/>
              </w:rPr>
              <w:t xml:space="preserve"> </w:t>
            </w:r>
            <w:r>
              <w:t>A3:</w:t>
            </w:r>
            <w:r>
              <w:rPr>
                <w:spacing w:val="-6"/>
              </w:rPr>
              <w:t xml:space="preserve"> </w:t>
            </w:r>
            <w:r>
              <w:t>PS5</w:t>
            </w:r>
            <w:r>
              <w:rPr>
                <w:spacing w:val="-7"/>
              </w:rPr>
              <w:t xml:space="preserve"> </w:t>
            </w:r>
            <w:r>
              <w:t>Acronyms</w:t>
            </w:r>
            <w:r>
              <w:rPr>
                <w:spacing w:val="-7"/>
              </w:rPr>
              <w:t xml:space="preserve"> </w:t>
            </w:r>
            <w:r>
              <w:t>and</w:t>
            </w:r>
            <w:r>
              <w:rPr>
                <w:spacing w:val="-7"/>
              </w:rPr>
              <w:t xml:space="preserve"> </w:t>
            </w:r>
            <w:r>
              <w:rPr>
                <w:spacing w:val="-2"/>
              </w:rPr>
              <w:t>Abbreviations</w:t>
            </w:r>
          </w:p>
        </w:tc>
        <w:tc>
          <w:tcPr>
            <w:tcW w:w="1544" w:type="dxa"/>
            <w:tcBorders>
              <w:right w:val="nil"/>
            </w:tcBorders>
            <w:shd w:val="clear" w:color="auto" w:fill="CCE2ED"/>
          </w:tcPr>
          <w:p w14:paraId="35C2DAA8" w14:textId="77777777" w:rsidR="00141B97" w:rsidRDefault="00911D63">
            <w:pPr>
              <w:pStyle w:val="TableParagraph"/>
              <w:spacing w:before="1"/>
              <w:ind w:right="87"/>
              <w:jc w:val="right"/>
            </w:pPr>
            <w:r>
              <w:rPr>
                <w:w w:val="99"/>
              </w:rPr>
              <w:t>8</w:t>
            </w:r>
          </w:p>
        </w:tc>
      </w:tr>
      <w:tr w:rsidR="00141B97" w14:paraId="595AD25A" w14:textId="77777777">
        <w:trPr>
          <w:trHeight w:val="308"/>
          <w:tblCellSpacing w:w="9" w:type="dxa"/>
        </w:trPr>
        <w:tc>
          <w:tcPr>
            <w:tcW w:w="7348" w:type="dxa"/>
            <w:tcBorders>
              <w:left w:val="nil"/>
            </w:tcBorders>
            <w:shd w:val="clear" w:color="auto" w:fill="CCE2ED"/>
          </w:tcPr>
          <w:p w14:paraId="522DE790" w14:textId="77777777" w:rsidR="00141B97" w:rsidRDefault="00911D63">
            <w:pPr>
              <w:pStyle w:val="TableParagraph"/>
              <w:spacing w:before="1"/>
              <w:ind w:left="88"/>
            </w:pPr>
            <w:r>
              <w:t>Figure</w:t>
            </w:r>
            <w:r>
              <w:rPr>
                <w:spacing w:val="-13"/>
              </w:rPr>
              <w:t xml:space="preserve"> </w:t>
            </w:r>
            <w:r>
              <w:t>A1:</w:t>
            </w:r>
            <w:r>
              <w:rPr>
                <w:spacing w:val="-11"/>
              </w:rPr>
              <w:t xml:space="preserve"> </w:t>
            </w:r>
            <w:r>
              <w:t>Effective</w:t>
            </w:r>
            <w:r>
              <w:rPr>
                <w:spacing w:val="-12"/>
              </w:rPr>
              <w:t xml:space="preserve"> </w:t>
            </w:r>
            <w:r>
              <w:t>Communication</w:t>
            </w:r>
            <w:r>
              <w:rPr>
                <w:spacing w:val="-11"/>
              </w:rPr>
              <w:t xml:space="preserve"> </w:t>
            </w:r>
            <w:r>
              <w:t>and</w:t>
            </w:r>
            <w:r>
              <w:rPr>
                <w:spacing w:val="-11"/>
              </w:rPr>
              <w:t xml:space="preserve"> </w:t>
            </w:r>
            <w:r>
              <w:t>Engagement</w:t>
            </w:r>
            <w:r>
              <w:rPr>
                <w:spacing w:val="-10"/>
              </w:rPr>
              <w:t xml:space="preserve"> </w:t>
            </w:r>
            <w:r>
              <w:rPr>
                <w:spacing w:val="-2"/>
              </w:rPr>
              <w:t>Considerations</w:t>
            </w:r>
          </w:p>
        </w:tc>
        <w:tc>
          <w:tcPr>
            <w:tcW w:w="1544" w:type="dxa"/>
            <w:tcBorders>
              <w:right w:val="nil"/>
            </w:tcBorders>
            <w:shd w:val="clear" w:color="auto" w:fill="CCE2ED"/>
          </w:tcPr>
          <w:p w14:paraId="461972ED" w14:textId="77777777" w:rsidR="00141B97" w:rsidRDefault="00911D63">
            <w:pPr>
              <w:pStyle w:val="TableParagraph"/>
              <w:spacing w:before="1"/>
              <w:ind w:right="87"/>
              <w:jc w:val="right"/>
            </w:pPr>
            <w:r>
              <w:rPr>
                <w:w w:val="99"/>
              </w:rPr>
              <w:t>9</w:t>
            </w:r>
          </w:p>
        </w:tc>
      </w:tr>
      <w:tr w:rsidR="00141B97" w14:paraId="56662F79" w14:textId="77777777">
        <w:trPr>
          <w:trHeight w:val="308"/>
          <w:tblCellSpacing w:w="9" w:type="dxa"/>
        </w:trPr>
        <w:tc>
          <w:tcPr>
            <w:tcW w:w="7348" w:type="dxa"/>
            <w:tcBorders>
              <w:left w:val="nil"/>
            </w:tcBorders>
            <w:shd w:val="clear" w:color="auto" w:fill="CCE2ED"/>
          </w:tcPr>
          <w:p w14:paraId="0C44A1E3" w14:textId="77777777" w:rsidR="00141B97" w:rsidRDefault="00911D63">
            <w:pPr>
              <w:pStyle w:val="TableParagraph"/>
              <w:spacing w:before="1"/>
              <w:ind w:left="88"/>
            </w:pPr>
            <w:r>
              <w:t>Figure</w:t>
            </w:r>
            <w:r>
              <w:rPr>
                <w:spacing w:val="-11"/>
              </w:rPr>
              <w:t xml:space="preserve"> </w:t>
            </w:r>
            <w:r>
              <w:t>A2:</w:t>
            </w:r>
            <w:r>
              <w:rPr>
                <w:spacing w:val="-9"/>
              </w:rPr>
              <w:t xml:space="preserve"> </w:t>
            </w:r>
            <w:r>
              <w:t>PS5</w:t>
            </w:r>
            <w:r>
              <w:rPr>
                <w:spacing w:val="-9"/>
              </w:rPr>
              <w:t xml:space="preserve"> </w:t>
            </w:r>
            <w:r>
              <w:t>Stakeholder</w:t>
            </w:r>
            <w:r>
              <w:rPr>
                <w:spacing w:val="-9"/>
              </w:rPr>
              <w:t xml:space="preserve"> </w:t>
            </w:r>
            <w:r>
              <w:t>Engagement</w:t>
            </w:r>
            <w:r>
              <w:rPr>
                <w:spacing w:val="-8"/>
              </w:rPr>
              <w:t xml:space="preserve"> </w:t>
            </w:r>
            <w:r>
              <w:rPr>
                <w:spacing w:val="-2"/>
              </w:rPr>
              <w:t>Approach</w:t>
            </w:r>
          </w:p>
        </w:tc>
        <w:tc>
          <w:tcPr>
            <w:tcW w:w="1544" w:type="dxa"/>
            <w:tcBorders>
              <w:right w:val="nil"/>
            </w:tcBorders>
            <w:shd w:val="clear" w:color="auto" w:fill="CCE2ED"/>
          </w:tcPr>
          <w:p w14:paraId="4003371D" w14:textId="77777777" w:rsidR="00141B97" w:rsidRDefault="00911D63">
            <w:pPr>
              <w:pStyle w:val="TableParagraph"/>
              <w:spacing w:before="1"/>
              <w:ind w:right="87"/>
              <w:jc w:val="right"/>
            </w:pPr>
            <w:r>
              <w:rPr>
                <w:spacing w:val="-5"/>
              </w:rPr>
              <w:t>11</w:t>
            </w:r>
          </w:p>
        </w:tc>
      </w:tr>
      <w:tr w:rsidR="00141B97" w14:paraId="1C17E428" w14:textId="77777777">
        <w:trPr>
          <w:trHeight w:val="308"/>
          <w:tblCellSpacing w:w="9" w:type="dxa"/>
        </w:trPr>
        <w:tc>
          <w:tcPr>
            <w:tcW w:w="7348" w:type="dxa"/>
            <w:tcBorders>
              <w:left w:val="nil"/>
            </w:tcBorders>
            <w:shd w:val="clear" w:color="auto" w:fill="CCE2ED"/>
          </w:tcPr>
          <w:p w14:paraId="293809ED" w14:textId="77777777" w:rsidR="00141B97" w:rsidRDefault="00911D63">
            <w:pPr>
              <w:pStyle w:val="TableParagraph"/>
              <w:spacing w:before="1"/>
              <w:ind w:left="88"/>
            </w:pPr>
            <w:r>
              <w:t>Figure</w:t>
            </w:r>
            <w:r>
              <w:rPr>
                <w:spacing w:val="-8"/>
              </w:rPr>
              <w:t xml:space="preserve"> </w:t>
            </w:r>
            <w:r>
              <w:t>A3:</w:t>
            </w:r>
            <w:r>
              <w:rPr>
                <w:spacing w:val="38"/>
              </w:rPr>
              <w:t xml:space="preserve"> </w:t>
            </w:r>
            <w:r>
              <w:t>Customer</w:t>
            </w:r>
            <w:r>
              <w:rPr>
                <w:spacing w:val="-7"/>
              </w:rPr>
              <w:t xml:space="preserve"> </w:t>
            </w:r>
            <w:r>
              <w:t>Outcomes</w:t>
            </w:r>
            <w:r>
              <w:rPr>
                <w:spacing w:val="-6"/>
              </w:rPr>
              <w:t xml:space="preserve"> </w:t>
            </w:r>
            <w:r>
              <w:rPr>
                <w:spacing w:val="-2"/>
              </w:rPr>
              <w:t>Development</w:t>
            </w:r>
          </w:p>
        </w:tc>
        <w:tc>
          <w:tcPr>
            <w:tcW w:w="1544" w:type="dxa"/>
            <w:tcBorders>
              <w:right w:val="nil"/>
            </w:tcBorders>
            <w:shd w:val="clear" w:color="auto" w:fill="CCE2ED"/>
          </w:tcPr>
          <w:p w14:paraId="65E1A22F" w14:textId="77777777" w:rsidR="00141B97" w:rsidRDefault="00911D63">
            <w:pPr>
              <w:pStyle w:val="TableParagraph"/>
              <w:spacing w:before="1"/>
              <w:ind w:right="87"/>
              <w:jc w:val="right"/>
            </w:pPr>
            <w:r>
              <w:rPr>
                <w:spacing w:val="-5"/>
              </w:rPr>
              <w:t>11</w:t>
            </w:r>
          </w:p>
        </w:tc>
      </w:tr>
      <w:tr w:rsidR="00141B97" w14:paraId="29D07AF2" w14:textId="77777777">
        <w:trPr>
          <w:trHeight w:val="308"/>
          <w:tblCellSpacing w:w="9" w:type="dxa"/>
        </w:trPr>
        <w:tc>
          <w:tcPr>
            <w:tcW w:w="7348" w:type="dxa"/>
            <w:tcBorders>
              <w:left w:val="nil"/>
            </w:tcBorders>
            <w:shd w:val="clear" w:color="auto" w:fill="CCE2ED"/>
          </w:tcPr>
          <w:p w14:paraId="5B988867" w14:textId="77777777" w:rsidR="00141B97" w:rsidRDefault="00911D63">
            <w:pPr>
              <w:pStyle w:val="TableParagraph"/>
              <w:spacing w:before="1"/>
              <w:ind w:left="88"/>
            </w:pPr>
            <w:r>
              <w:t>Figure</w:t>
            </w:r>
            <w:r>
              <w:rPr>
                <w:spacing w:val="-9"/>
              </w:rPr>
              <w:t xml:space="preserve"> </w:t>
            </w:r>
            <w:r>
              <w:t>A4:</w:t>
            </w:r>
            <w:r>
              <w:rPr>
                <w:spacing w:val="-8"/>
              </w:rPr>
              <w:t xml:space="preserve"> </w:t>
            </w:r>
            <w:r>
              <w:t>Key</w:t>
            </w:r>
            <w:r>
              <w:rPr>
                <w:spacing w:val="-8"/>
              </w:rPr>
              <w:t xml:space="preserve"> </w:t>
            </w:r>
            <w:r>
              <w:t>LMW</w:t>
            </w:r>
            <w:r>
              <w:rPr>
                <w:spacing w:val="-8"/>
              </w:rPr>
              <w:t xml:space="preserve"> </w:t>
            </w:r>
            <w:r>
              <w:t>Stakeholder</w:t>
            </w:r>
            <w:r>
              <w:rPr>
                <w:spacing w:val="-7"/>
              </w:rPr>
              <w:t xml:space="preserve"> </w:t>
            </w:r>
            <w:r>
              <w:rPr>
                <w:spacing w:val="-2"/>
              </w:rPr>
              <w:t>Groups</w:t>
            </w:r>
          </w:p>
        </w:tc>
        <w:tc>
          <w:tcPr>
            <w:tcW w:w="1544" w:type="dxa"/>
            <w:tcBorders>
              <w:right w:val="nil"/>
            </w:tcBorders>
            <w:shd w:val="clear" w:color="auto" w:fill="CCE2ED"/>
          </w:tcPr>
          <w:p w14:paraId="05B5C844" w14:textId="77777777" w:rsidR="00141B97" w:rsidRDefault="00911D63">
            <w:pPr>
              <w:pStyle w:val="TableParagraph"/>
              <w:spacing w:before="1"/>
              <w:ind w:right="87"/>
              <w:jc w:val="right"/>
            </w:pPr>
            <w:r>
              <w:rPr>
                <w:spacing w:val="-5"/>
              </w:rPr>
              <w:t>12</w:t>
            </w:r>
          </w:p>
        </w:tc>
      </w:tr>
      <w:tr w:rsidR="00141B97" w14:paraId="501DD9DD" w14:textId="77777777">
        <w:trPr>
          <w:trHeight w:val="308"/>
          <w:tblCellSpacing w:w="9" w:type="dxa"/>
        </w:trPr>
        <w:tc>
          <w:tcPr>
            <w:tcW w:w="7348" w:type="dxa"/>
            <w:tcBorders>
              <w:left w:val="nil"/>
            </w:tcBorders>
            <w:shd w:val="clear" w:color="auto" w:fill="CCE2ED"/>
          </w:tcPr>
          <w:p w14:paraId="3E097021" w14:textId="77777777" w:rsidR="00141B97" w:rsidRDefault="00911D63">
            <w:pPr>
              <w:pStyle w:val="TableParagraph"/>
              <w:spacing w:before="1"/>
              <w:ind w:left="88"/>
            </w:pPr>
            <w:r>
              <w:t>Figure</w:t>
            </w:r>
            <w:r>
              <w:rPr>
                <w:spacing w:val="-8"/>
              </w:rPr>
              <w:t xml:space="preserve"> </w:t>
            </w:r>
            <w:r>
              <w:t>A5:</w:t>
            </w:r>
            <w:r>
              <w:rPr>
                <w:spacing w:val="-7"/>
              </w:rPr>
              <w:t xml:space="preserve"> </w:t>
            </w:r>
            <w:r>
              <w:t>LMW's</w:t>
            </w:r>
            <w:r>
              <w:rPr>
                <w:spacing w:val="-8"/>
              </w:rPr>
              <w:t xml:space="preserve"> </w:t>
            </w:r>
            <w:r>
              <w:t>Strategic</w:t>
            </w:r>
            <w:r>
              <w:rPr>
                <w:spacing w:val="-6"/>
              </w:rPr>
              <w:t xml:space="preserve"> </w:t>
            </w:r>
            <w:r>
              <w:rPr>
                <w:spacing w:val="-2"/>
              </w:rPr>
              <w:t>Priorities</w:t>
            </w:r>
          </w:p>
        </w:tc>
        <w:tc>
          <w:tcPr>
            <w:tcW w:w="1544" w:type="dxa"/>
            <w:tcBorders>
              <w:right w:val="nil"/>
            </w:tcBorders>
            <w:shd w:val="clear" w:color="auto" w:fill="CCE2ED"/>
          </w:tcPr>
          <w:p w14:paraId="0B1F7024" w14:textId="77777777" w:rsidR="00141B97" w:rsidRDefault="00911D63">
            <w:pPr>
              <w:pStyle w:val="TableParagraph"/>
              <w:spacing w:before="1"/>
              <w:ind w:right="87"/>
              <w:jc w:val="right"/>
            </w:pPr>
            <w:r>
              <w:rPr>
                <w:spacing w:val="-5"/>
              </w:rPr>
              <w:t>20</w:t>
            </w:r>
          </w:p>
        </w:tc>
      </w:tr>
      <w:tr w:rsidR="00141B97" w14:paraId="1A577537" w14:textId="77777777">
        <w:trPr>
          <w:trHeight w:val="308"/>
          <w:tblCellSpacing w:w="9" w:type="dxa"/>
        </w:trPr>
        <w:tc>
          <w:tcPr>
            <w:tcW w:w="7348" w:type="dxa"/>
            <w:tcBorders>
              <w:left w:val="nil"/>
            </w:tcBorders>
            <w:shd w:val="clear" w:color="auto" w:fill="CCE2ED"/>
          </w:tcPr>
          <w:p w14:paraId="243BC363" w14:textId="77777777" w:rsidR="00141B97" w:rsidRDefault="00911D63">
            <w:pPr>
              <w:pStyle w:val="TableParagraph"/>
              <w:spacing w:before="1"/>
              <w:ind w:left="88"/>
            </w:pPr>
            <w:r>
              <w:t>Figure</w:t>
            </w:r>
            <w:r>
              <w:rPr>
                <w:spacing w:val="-8"/>
              </w:rPr>
              <w:t xml:space="preserve"> </w:t>
            </w:r>
            <w:r>
              <w:t>A6:</w:t>
            </w:r>
            <w:r>
              <w:rPr>
                <w:spacing w:val="-7"/>
              </w:rPr>
              <w:t xml:space="preserve"> </w:t>
            </w:r>
            <w:r>
              <w:t>LMW's</w:t>
            </w:r>
            <w:r>
              <w:rPr>
                <w:spacing w:val="-8"/>
              </w:rPr>
              <w:t xml:space="preserve"> </w:t>
            </w:r>
            <w:r>
              <w:t>Strategic</w:t>
            </w:r>
            <w:r>
              <w:rPr>
                <w:spacing w:val="-6"/>
              </w:rPr>
              <w:t xml:space="preserve"> </w:t>
            </w:r>
            <w:r>
              <w:rPr>
                <w:spacing w:val="-2"/>
              </w:rPr>
              <w:t>Foundations</w:t>
            </w:r>
          </w:p>
        </w:tc>
        <w:tc>
          <w:tcPr>
            <w:tcW w:w="1544" w:type="dxa"/>
            <w:tcBorders>
              <w:right w:val="nil"/>
            </w:tcBorders>
            <w:shd w:val="clear" w:color="auto" w:fill="CCE2ED"/>
          </w:tcPr>
          <w:p w14:paraId="23C3671C" w14:textId="77777777" w:rsidR="00141B97" w:rsidRDefault="00911D63">
            <w:pPr>
              <w:pStyle w:val="TableParagraph"/>
              <w:spacing w:before="1"/>
              <w:ind w:right="87"/>
              <w:jc w:val="right"/>
            </w:pPr>
            <w:r>
              <w:rPr>
                <w:spacing w:val="-5"/>
              </w:rPr>
              <w:t>21</w:t>
            </w:r>
          </w:p>
        </w:tc>
      </w:tr>
      <w:tr w:rsidR="00141B97" w14:paraId="1B2E61CB" w14:textId="77777777">
        <w:trPr>
          <w:trHeight w:val="308"/>
          <w:tblCellSpacing w:w="9" w:type="dxa"/>
        </w:trPr>
        <w:tc>
          <w:tcPr>
            <w:tcW w:w="7348" w:type="dxa"/>
            <w:tcBorders>
              <w:left w:val="nil"/>
            </w:tcBorders>
            <w:shd w:val="clear" w:color="auto" w:fill="CCE2ED"/>
          </w:tcPr>
          <w:p w14:paraId="283882DE" w14:textId="77777777" w:rsidR="00141B97" w:rsidRDefault="00911D63">
            <w:pPr>
              <w:pStyle w:val="TableParagraph"/>
              <w:spacing w:before="1"/>
              <w:ind w:left="88"/>
            </w:pPr>
            <w:r>
              <w:t>Figure</w:t>
            </w:r>
            <w:r>
              <w:rPr>
                <w:spacing w:val="-10"/>
              </w:rPr>
              <w:t xml:space="preserve"> </w:t>
            </w:r>
            <w:r>
              <w:t>A7:</w:t>
            </w:r>
            <w:r>
              <w:rPr>
                <w:spacing w:val="-9"/>
              </w:rPr>
              <w:t xml:space="preserve"> </w:t>
            </w:r>
            <w:r>
              <w:t>LMW’s</w:t>
            </w:r>
            <w:r>
              <w:rPr>
                <w:spacing w:val="-8"/>
              </w:rPr>
              <w:t xml:space="preserve"> </w:t>
            </w:r>
            <w:r>
              <w:t>Approach</w:t>
            </w:r>
            <w:r>
              <w:rPr>
                <w:spacing w:val="-9"/>
              </w:rPr>
              <w:t xml:space="preserve"> </w:t>
            </w:r>
            <w:r>
              <w:t>to</w:t>
            </w:r>
            <w:r>
              <w:rPr>
                <w:spacing w:val="-9"/>
              </w:rPr>
              <w:t xml:space="preserve"> </w:t>
            </w:r>
            <w:r>
              <w:t>Strategic</w:t>
            </w:r>
            <w:r>
              <w:rPr>
                <w:spacing w:val="-8"/>
              </w:rPr>
              <w:t xml:space="preserve"> </w:t>
            </w:r>
            <w:r>
              <w:t>Alignment</w:t>
            </w:r>
            <w:r>
              <w:rPr>
                <w:spacing w:val="-7"/>
              </w:rPr>
              <w:t xml:space="preserve"> </w:t>
            </w:r>
            <w:r>
              <w:t>with</w:t>
            </w:r>
            <w:r>
              <w:rPr>
                <w:spacing w:val="-9"/>
              </w:rPr>
              <w:t xml:space="preserve"> </w:t>
            </w:r>
            <w:r>
              <w:t>Customer</w:t>
            </w:r>
            <w:r>
              <w:rPr>
                <w:spacing w:val="-7"/>
              </w:rPr>
              <w:t xml:space="preserve"> </w:t>
            </w:r>
            <w:r>
              <w:rPr>
                <w:spacing w:val="-2"/>
              </w:rPr>
              <w:t>Outcomes</w:t>
            </w:r>
          </w:p>
        </w:tc>
        <w:tc>
          <w:tcPr>
            <w:tcW w:w="1544" w:type="dxa"/>
            <w:tcBorders>
              <w:right w:val="nil"/>
            </w:tcBorders>
            <w:shd w:val="clear" w:color="auto" w:fill="CCE2ED"/>
          </w:tcPr>
          <w:p w14:paraId="1B0147DB" w14:textId="77777777" w:rsidR="00141B97" w:rsidRDefault="00911D63">
            <w:pPr>
              <w:pStyle w:val="TableParagraph"/>
              <w:spacing w:before="1"/>
              <w:ind w:right="87"/>
              <w:jc w:val="right"/>
            </w:pPr>
            <w:r>
              <w:rPr>
                <w:spacing w:val="-5"/>
              </w:rPr>
              <w:t>21</w:t>
            </w:r>
          </w:p>
        </w:tc>
      </w:tr>
      <w:tr w:rsidR="00141B97" w14:paraId="7DAD13D4" w14:textId="77777777">
        <w:trPr>
          <w:trHeight w:val="308"/>
          <w:tblCellSpacing w:w="9" w:type="dxa"/>
        </w:trPr>
        <w:tc>
          <w:tcPr>
            <w:tcW w:w="7348" w:type="dxa"/>
            <w:tcBorders>
              <w:left w:val="nil"/>
            </w:tcBorders>
            <w:shd w:val="clear" w:color="auto" w:fill="CCE2ED"/>
          </w:tcPr>
          <w:p w14:paraId="5D6A7C4A" w14:textId="77777777" w:rsidR="00141B97" w:rsidRDefault="00911D63">
            <w:pPr>
              <w:pStyle w:val="TableParagraph"/>
              <w:spacing w:before="1"/>
              <w:ind w:left="88"/>
            </w:pPr>
            <w:r>
              <w:t>Figure</w:t>
            </w:r>
            <w:r>
              <w:rPr>
                <w:spacing w:val="-10"/>
              </w:rPr>
              <w:t xml:space="preserve"> </w:t>
            </w:r>
            <w:r>
              <w:t>A8:</w:t>
            </w:r>
            <w:r>
              <w:rPr>
                <w:spacing w:val="-8"/>
              </w:rPr>
              <w:t xml:space="preserve"> </w:t>
            </w:r>
            <w:r>
              <w:t>Alignment</w:t>
            </w:r>
            <w:r>
              <w:rPr>
                <w:spacing w:val="-7"/>
              </w:rPr>
              <w:t xml:space="preserve"> </w:t>
            </w:r>
            <w:r>
              <w:t>of</w:t>
            </w:r>
            <w:r>
              <w:rPr>
                <w:spacing w:val="-7"/>
              </w:rPr>
              <w:t xml:space="preserve"> </w:t>
            </w:r>
            <w:r>
              <w:t>LMW’s</w:t>
            </w:r>
            <w:r>
              <w:rPr>
                <w:spacing w:val="-8"/>
              </w:rPr>
              <w:t xml:space="preserve"> </w:t>
            </w:r>
            <w:r>
              <w:t>Customer</w:t>
            </w:r>
            <w:r>
              <w:rPr>
                <w:spacing w:val="-8"/>
              </w:rPr>
              <w:t xml:space="preserve"> </w:t>
            </w:r>
            <w:r>
              <w:t>Outcomes</w:t>
            </w:r>
            <w:r>
              <w:rPr>
                <w:spacing w:val="-7"/>
              </w:rPr>
              <w:t xml:space="preserve"> </w:t>
            </w:r>
            <w:r>
              <w:t>and</w:t>
            </w:r>
            <w:r>
              <w:rPr>
                <w:spacing w:val="-8"/>
              </w:rPr>
              <w:t xml:space="preserve"> </w:t>
            </w:r>
            <w:r>
              <w:t>Strategic</w:t>
            </w:r>
            <w:r>
              <w:rPr>
                <w:spacing w:val="-9"/>
              </w:rPr>
              <w:t xml:space="preserve"> </w:t>
            </w:r>
            <w:r>
              <w:rPr>
                <w:spacing w:val="-2"/>
              </w:rPr>
              <w:t>Pillars</w:t>
            </w:r>
          </w:p>
        </w:tc>
        <w:tc>
          <w:tcPr>
            <w:tcW w:w="1544" w:type="dxa"/>
            <w:tcBorders>
              <w:right w:val="nil"/>
            </w:tcBorders>
            <w:shd w:val="clear" w:color="auto" w:fill="CCE2ED"/>
          </w:tcPr>
          <w:p w14:paraId="592F1107" w14:textId="77777777" w:rsidR="00141B97" w:rsidRDefault="00911D63">
            <w:pPr>
              <w:pStyle w:val="TableParagraph"/>
              <w:spacing w:before="1"/>
              <w:ind w:right="87"/>
              <w:jc w:val="right"/>
            </w:pPr>
            <w:r>
              <w:rPr>
                <w:spacing w:val="-5"/>
              </w:rPr>
              <w:t>22</w:t>
            </w:r>
          </w:p>
        </w:tc>
      </w:tr>
      <w:tr w:rsidR="00141B97" w14:paraId="27430DCF" w14:textId="77777777">
        <w:trPr>
          <w:trHeight w:val="308"/>
          <w:tblCellSpacing w:w="9" w:type="dxa"/>
        </w:trPr>
        <w:tc>
          <w:tcPr>
            <w:tcW w:w="7348" w:type="dxa"/>
            <w:tcBorders>
              <w:left w:val="nil"/>
            </w:tcBorders>
            <w:shd w:val="clear" w:color="auto" w:fill="CCE2ED"/>
          </w:tcPr>
          <w:p w14:paraId="73DEA77F" w14:textId="77777777" w:rsidR="00141B97" w:rsidRDefault="00911D63">
            <w:pPr>
              <w:pStyle w:val="TableParagraph"/>
              <w:spacing w:before="1"/>
              <w:ind w:left="88"/>
            </w:pPr>
            <w:r>
              <w:t>Table</w:t>
            </w:r>
            <w:r>
              <w:rPr>
                <w:spacing w:val="-6"/>
              </w:rPr>
              <w:t xml:space="preserve"> </w:t>
            </w:r>
            <w:r>
              <w:t>A4:</w:t>
            </w:r>
            <w:r>
              <w:rPr>
                <w:spacing w:val="-5"/>
              </w:rPr>
              <w:t xml:space="preserve"> </w:t>
            </w:r>
            <w:r>
              <w:t>Key</w:t>
            </w:r>
            <w:r>
              <w:rPr>
                <w:spacing w:val="-6"/>
              </w:rPr>
              <w:t xml:space="preserve"> </w:t>
            </w:r>
            <w:r>
              <w:t>PS5</w:t>
            </w:r>
            <w:r>
              <w:rPr>
                <w:spacing w:val="-7"/>
              </w:rPr>
              <w:t xml:space="preserve"> </w:t>
            </w:r>
            <w:r>
              <w:rPr>
                <w:spacing w:val="-2"/>
              </w:rPr>
              <w:t>Assumptions</w:t>
            </w:r>
          </w:p>
        </w:tc>
        <w:tc>
          <w:tcPr>
            <w:tcW w:w="1544" w:type="dxa"/>
            <w:tcBorders>
              <w:right w:val="nil"/>
            </w:tcBorders>
            <w:shd w:val="clear" w:color="auto" w:fill="CCE2ED"/>
          </w:tcPr>
          <w:p w14:paraId="3FCC9A2A" w14:textId="77777777" w:rsidR="00141B97" w:rsidRDefault="00911D63">
            <w:pPr>
              <w:pStyle w:val="TableParagraph"/>
              <w:spacing w:before="1"/>
              <w:ind w:right="87"/>
              <w:jc w:val="right"/>
            </w:pPr>
            <w:r>
              <w:rPr>
                <w:spacing w:val="-5"/>
              </w:rPr>
              <w:t>28</w:t>
            </w:r>
          </w:p>
        </w:tc>
      </w:tr>
      <w:tr w:rsidR="00141B97" w14:paraId="212C5DF3" w14:textId="77777777">
        <w:trPr>
          <w:trHeight w:val="309"/>
          <w:tblCellSpacing w:w="9" w:type="dxa"/>
        </w:trPr>
        <w:tc>
          <w:tcPr>
            <w:tcW w:w="7348" w:type="dxa"/>
            <w:tcBorders>
              <w:left w:val="nil"/>
            </w:tcBorders>
            <w:shd w:val="clear" w:color="auto" w:fill="CCE2ED"/>
          </w:tcPr>
          <w:p w14:paraId="52757BCA" w14:textId="77777777" w:rsidR="00141B97" w:rsidRDefault="00911D63">
            <w:pPr>
              <w:pStyle w:val="TableParagraph"/>
              <w:spacing w:before="1"/>
              <w:ind w:left="88"/>
            </w:pPr>
            <w:r>
              <w:t>Figure</w:t>
            </w:r>
            <w:r>
              <w:rPr>
                <w:spacing w:val="-13"/>
              </w:rPr>
              <w:t xml:space="preserve"> </w:t>
            </w:r>
            <w:r>
              <w:t>A9:</w:t>
            </w:r>
            <w:r>
              <w:rPr>
                <w:spacing w:val="-11"/>
              </w:rPr>
              <w:t xml:space="preserve"> </w:t>
            </w:r>
            <w:r>
              <w:t>Aggregate</w:t>
            </w:r>
            <w:r>
              <w:rPr>
                <w:spacing w:val="-12"/>
              </w:rPr>
              <w:t xml:space="preserve"> </w:t>
            </w:r>
            <w:r>
              <w:t>PREMO</w:t>
            </w:r>
            <w:r>
              <w:rPr>
                <w:spacing w:val="-11"/>
              </w:rPr>
              <w:t xml:space="preserve"> </w:t>
            </w:r>
            <w:r>
              <w:t>Self‐Assessment</w:t>
            </w:r>
            <w:r>
              <w:rPr>
                <w:spacing w:val="-11"/>
              </w:rPr>
              <w:t xml:space="preserve"> </w:t>
            </w:r>
            <w:r>
              <w:rPr>
                <w:spacing w:val="-2"/>
              </w:rPr>
              <w:t>Rating</w:t>
            </w:r>
          </w:p>
        </w:tc>
        <w:tc>
          <w:tcPr>
            <w:tcW w:w="1544" w:type="dxa"/>
            <w:tcBorders>
              <w:right w:val="nil"/>
            </w:tcBorders>
            <w:shd w:val="clear" w:color="auto" w:fill="CCE2ED"/>
          </w:tcPr>
          <w:p w14:paraId="001ADA11" w14:textId="77777777" w:rsidR="00141B97" w:rsidRDefault="00911D63">
            <w:pPr>
              <w:pStyle w:val="TableParagraph"/>
              <w:spacing w:before="1"/>
              <w:ind w:right="87"/>
              <w:jc w:val="right"/>
            </w:pPr>
            <w:r>
              <w:rPr>
                <w:spacing w:val="-5"/>
              </w:rPr>
              <w:t>31</w:t>
            </w:r>
          </w:p>
        </w:tc>
      </w:tr>
      <w:tr w:rsidR="00141B97" w14:paraId="543C6DB4" w14:textId="77777777">
        <w:trPr>
          <w:trHeight w:val="308"/>
          <w:tblCellSpacing w:w="9" w:type="dxa"/>
        </w:trPr>
        <w:tc>
          <w:tcPr>
            <w:tcW w:w="7348" w:type="dxa"/>
            <w:tcBorders>
              <w:left w:val="nil"/>
            </w:tcBorders>
            <w:shd w:val="clear" w:color="auto" w:fill="CCE2ED"/>
          </w:tcPr>
          <w:p w14:paraId="3E1CE75B" w14:textId="77777777" w:rsidR="00141B97" w:rsidRDefault="00911D63">
            <w:pPr>
              <w:pStyle w:val="TableParagraph"/>
              <w:ind w:left="88"/>
            </w:pPr>
            <w:r>
              <w:t>Figure</w:t>
            </w:r>
            <w:r>
              <w:rPr>
                <w:spacing w:val="-12"/>
              </w:rPr>
              <w:t xml:space="preserve"> </w:t>
            </w:r>
            <w:r>
              <w:t>A10:</w:t>
            </w:r>
            <w:r>
              <w:rPr>
                <w:spacing w:val="-9"/>
              </w:rPr>
              <w:t xml:space="preserve"> </w:t>
            </w:r>
            <w:r>
              <w:t>PREMO</w:t>
            </w:r>
            <w:r>
              <w:rPr>
                <w:spacing w:val="-10"/>
              </w:rPr>
              <w:t xml:space="preserve"> </w:t>
            </w:r>
            <w:r>
              <w:t>Element</w:t>
            </w:r>
            <w:r>
              <w:rPr>
                <w:spacing w:val="-10"/>
              </w:rPr>
              <w:t xml:space="preserve"> </w:t>
            </w:r>
            <w:r>
              <w:t>Self‐Assessment</w:t>
            </w:r>
            <w:r>
              <w:rPr>
                <w:spacing w:val="-9"/>
              </w:rPr>
              <w:t xml:space="preserve"> </w:t>
            </w:r>
            <w:r>
              <w:rPr>
                <w:spacing w:val="-2"/>
              </w:rPr>
              <w:t>Rating</w:t>
            </w:r>
          </w:p>
        </w:tc>
        <w:tc>
          <w:tcPr>
            <w:tcW w:w="1544" w:type="dxa"/>
            <w:tcBorders>
              <w:right w:val="nil"/>
            </w:tcBorders>
            <w:shd w:val="clear" w:color="auto" w:fill="CCE2ED"/>
          </w:tcPr>
          <w:p w14:paraId="75E45922" w14:textId="77777777" w:rsidR="00141B97" w:rsidRDefault="00911D63">
            <w:pPr>
              <w:pStyle w:val="TableParagraph"/>
              <w:ind w:right="87"/>
              <w:jc w:val="right"/>
            </w:pPr>
            <w:r>
              <w:rPr>
                <w:spacing w:val="-5"/>
              </w:rPr>
              <w:t>31</w:t>
            </w:r>
          </w:p>
        </w:tc>
      </w:tr>
      <w:tr w:rsidR="00141B97" w14:paraId="19DB59AC" w14:textId="77777777">
        <w:trPr>
          <w:trHeight w:val="308"/>
          <w:tblCellSpacing w:w="9" w:type="dxa"/>
        </w:trPr>
        <w:tc>
          <w:tcPr>
            <w:tcW w:w="7348" w:type="dxa"/>
            <w:tcBorders>
              <w:left w:val="nil"/>
            </w:tcBorders>
            <w:shd w:val="clear" w:color="auto" w:fill="CCE2ED"/>
          </w:tcPr>
          <w:p w14:paraId="2D497213" w14:textId="77777777" w:rsidR="00141B97" w:rsidRDefault="00911D63">
            <w:pPr>
              <w:pStyle w:val="TableParagraph"/>
              <w:ind w:left="88"/>
            </w:pPr>
            <w:r>
              <w:t>Table</w:t>
            </w:r>
            <w:r>
              <w:rPr>
                <w:spacing w:val="-11"/>
              </w:rPr>
              <w:t xml:space="preserve"> </w:t>
            </w:r>
            <w:r>
              <w:t>A5:</w:t>
            </w:r>
            <w:r>
              <w:rPr>
                <w:spacing w:val="-10"/>
              </w:rPr>
              <w:t xml:space="preserve"> </w:t>
            </w:r>
            <w:r>
              <w:t>PREMO</w:t>
            </w:r>
            <w:r>
              <w:rPr>
                <w:spacing w:val="-10"/>
              </w:rPr>
              <w:t xml:space="preserve"> </w:t>
            </w:r>
            <w:r>
              <w:t>Self‐Assessment</w:t>
            </w:r>
            <w:r>
              <w:rPr>
                <w:spacing w:val="-11"/>
              </w:rPr>
              <w:t xml:space="preserve"> </w:t>
            </w:r>
            <w:r>
              <w:rPr>
                <w:spacing w:val="-2"/>
              </w:rPr>
              <w:t>Summary</w:t>
            </w:r>
          </w:p>
        </w:tc>
        <w:tc>
          <w:tcPr>
            <w:tcW w:w="1544" w:type="dxa"/>
            <w:tcBorders>
              <w:right w:val="nil"/>
            </w:tcBorders>
            <w:shd w:val="clear" w:color="auto" w:fill="CCE2ED"/>
          </w:tcPr>
          <w:p w14:paraId="75AA1B04" w14:textId="77777777" w:rsidR="00141B97" w:rsidRDefault="00911D63">
            <w:pPr>
              <w:pStyle w:val="TableParagraph"/>
              <w:ind w:right="87"/>
              <w:jc w:val="right"/>
            </w:pPr>
            <w:r>
              <w:rPr>
                <w:spacing w:val="-2"/>
              </w:rPr>
              <w:t>32‐34</w:t>
            </w:r>
          </w:p>
        </w:tc>
      </w:tr>
      <w:tr w:rsidR="00141B97" w14:paraId="3E594838" w14:textId="77777777">
        <w:trPr>
          <w:trHeight w:val="308"/>
          <w:tblCellSpacing w:w="9" w:type="dxa"/>
        </w:trPr>
        <w:tc>
          <w:tcPr>
            <w:tcW w:w="7348" w:type="dxa"/>
            <w:tcBorders>
              <w:left w:val="nil"/>
            </w:tcBorders>
            <w:shd w:val="clear" w:color="auto" w:fill="CCE2ED"/>
          </w:tcPr>
          <w:p w14:paraId="0F0BE0A6" w14:textId="77777777" w:rsidR="00141B97" w:rsidRDefault="00911D63">
            <w:pPr>
              <w:pStyle w:val="TableParagraph"/>
              <w:ind w:left="88"/>
            </w:pPr>
            <w:r>
              <w:t>Table</w:t>
            </w:r>
            <w:r>
              <w:rPr>
                <w:spacing w:val="-8"/>
              </w:rPr>
              <w:t xml:space="preserve"> </w:t>
            </w:r>
            <w:r>
              <w:t>A6:</w:t>
            </w:r>
            <w:r>
              <w:rPr>
                <w:spacing w:val="-8"/>
              </w:rPr>
              <w:t xml:space="preserve"> </w:t>
            </w:r>
            <w:r>
              <w:t>LMW</w:t>
            </w:r>
            <w:r>
              <w:rPr>
                <w:spacing w:val="-8"/>
              </w:rPr>
              <w:t xml:space="preserve"> </w:t>
            </w:r>
            <w:r>
              <w:t>Price</w:t>
            </w:r>
            <w:r>
              <w:rPr>
                <w:spacing w:val="-8"/>
              </w:rPr>
              <w:t xml:space="preserve"> </w:t>
            </w:r>
            <w:r>
              <w:t>Submission</w:t>
            </w:r>
            <w:r>
              <w:rPr>
                <w:spacing w:val="-8"/>
              </w:rPr>
              <w:t xml:space="preserve"> </w:t>
            </w:r>
            <w:r>
              <w:t>Risk</w:t>
            </w:r>
            <w:r>
              <w:rPr>
                <w:spacing w:val="-7"/>
              </w:rPr>
              <w:t xml:space="preserve"> </w:t>
            </w:r>
            <w:r>
              <w:t>Management</w:t>
            </w:r>
            <w:r>
              <w:rPr>
                <w:spacing w:val="-8"/>
              </w:rPr>
              <w:t xml:space="preserve"> </w:t>
            </w:r>
            <w:r>
              <w:t>and</w:t>
            </w:r>
            <w:r>
              <w:rPr>
                <w:spacing w:val="-7"/>
              </w:rPr>
              <w:t xml:space="preserve"> </w:t>
            </w:r>
            <w:r>
              <w:t>Allocation</w:t>
            </w:r>
            <w:r>
              <w:rPr>
                <w:spacing w:val="-8"/>
              </w:rPr>
              <w:t xml:space="preserve"> </w:t>
            </w:r>
            <w:r>
              <w:rPr>
                <w:spacing w:val="-2"/>
              </w:rPr>
              <w:t>Examples</w:t>
            </w:r>
          </w:p>
        </w:tc>
        <w:tc>
          <w:tcPr>
            <w:tcW w:w="1544" w:type="dxa"/>
            <w:tcBorders>
              <w:right w:val="nil"/>
            </w:tcBorders>
            <w:shd w:val="clear" w:color="auto" w:fill="CCE2ED"/>
          </w:tcPr>
          <w:p w14:paraId="55B5E684" w14:textId="77777777" w:rsidR="00141B97" w:rsidRDefault="00911D63">
            <w:pPr>
              <w:pStyle w:val="TableParagraph"/>
              <w:ind w:right="87"/>
              <w:jc w:val="right"/>
            </w:pPr>
            <w:r>
              <w:rPr>
                <w:spacing w:val="-2"/>
              </w:rPr>
              <w:t>37‐38</w:t>
            </w:r>
          </w:p>
        </w:tc>
      </w:tr>
      <w:tr w:rsidR="00141B97" w14:paraId="56C0E4AB" w14:textId="77777777">
        <w:trPr>
          <w:trHeight w:val="309"/>
          <w:tblCellSpacing w:w="9" w:type="dxa"/>
        </w:trPr>
        <w:tc>
          <w:tcPr>
            <w:tcW w:w="7348" w:type="dxa"/>
            <w:tcBorders>
              <w:left w:val="nil"/>
              <w:bottom w:val="nil"/>
            </w:tcBorders>
            <w:shd w:val="clear" w:color="auto" w:fill="CCE2ED"/>
          </w:tcPr>
          <w:p w14:paraId="02346643" w14:textId="77777777" w:rsidR="00141B97" w:rsidRDefault="00911D63">
            <w:pPr>
              <w:pStyle w:val="TableParagraph"/>
              <w:ind w:left="88"/>
            </w:pPr>
            <w:r>
              <w:t>Table</w:t>
            </w:r>
            <w:r>
              <w:rPr>
                <w:spacing w:val="-8"/>
              </w:rPr>
              <w:t xml:space="preserve"> </w:t>
            </w:r>
            <w:r>
              <w:t>A7:</w:t>
            </w:r>
            <w:r>
              <w:rPr>
                <w:spacing w:val="-7"/>
              </w:rPr>
              <w:t xml:space="preserve"> </w:t>
            </w:r>
            <w:r>
              <w:t>Financial</w:t>
            </w:r>
            <w:r>
              <w:rPr>
                <w:spacing w:val="-8"/>
              </w:rPr>
              <w:t xml:space="preserve"> </w:t>
            </w:r>
            <w:r>
              <w:t>Indicators</w:t>
            </w:r>
            <w:r>
              <w:rPr>
                <w:spacing w:val="-7"/>
              </w:rPr>
              <w:t xml:space="preserve"> </w:t>
            </w:r>
            <w:r>
              <w:t>‐</w:t>
            </w:r>
            <w:r>
              <w:rPr>
                <w:spacing w:val="-7"/>
              </w:rPr>
              <w:t xml:space="preserve"> </w:t>
            </w:r>
            <w:r>
              <w:rPr>
                <w:spacing w:val="-2"/>
              </w:rPr>
              <w:t>Urban</w:t>
            </w:r>
          </w:p>
        </w:tc>
        <w:tc>
          <w:tcPr>
            <w:tcW w:w="1544" w:type="dxa"/>
            <w:tcBorders>
              <w:bottom w:val="nil"/>
              <w:right w:val="nil"/>
            </w:tcBorders>
            <w:shd w:val="clear" w:color="auto" w:fill="CCE2ED"/>
          </w:tcPr>
          <w:p w14:paraId="2F43CA9E" w14:textId="77777777" w:rsidR="00141B97" w:rsidRDefault="00911D63">
            <w:pPr>
              <w:pStyle w:val="TableParagraph"/>
              <w:ind w:right="87"/>
              <w:jc w:val="right"/>
            </w:pPr>
            <w:r>
              <w:rPr>
                <w:spacing w:val="-5"/>
              </w:rPr>
              <w:t>40</w:t>
            </w:r>
          </w:p>
        </w:tc>
      </w:tr>
    </w:tbl>
    <w:p w14:paraId="411159B9" w14:textId="77777777" w:rsidR="00141B97" w:rsidRDefault="00141B97">
      <w:pPr>
        <w:jc w:val="right"/>
        <w:sectPr w:rsidR="00141B97">
          <w:pgSz w:w="11910" w:h="16840"/>
          <w:pgMar w:top="860" w:right="740" w:bottom="1120" w:left="980" w:header="0" w:footer="896" w:gutter="0"/>
          <w:cols w:space="720"/>
        </w:sectPr>
      </w:pPr>
    </w:p>
    <w:p w14:paraId="51ABF3BC" w14:textId="77777777" w:rsidR="00141B97" w:rsidRDefault="00911D63">
      <w:pPr>
        <w:pStyle w:val="Heading1"/>
        <w:numPr>
          <w:ilvl w:val="0"/>
          <w:numId w:val="113"/>
        </w:numPr>
        <w:tabs>
          <w:tab w:val="left" w:pos="722"/>
        </w:tabs>
      </w:pPr>
      <w:bookmarkStart w:id="0" w:name="_TOC_250027"/>
      <w:bookmarkEnd w:id="0"/>
      <w:r>
        <w:rPr>
          <w:color w:val="006CA3"/>
          <w:spacing w:val="-2"/>
        </w:rPr>
        <w:lastRenderedPageBreak/>
        <w:t>Introduction</w:t>
      </w:r>
    </w:p>
    <w:p w14:paraId="4CB251DB" w14:textId="77777777" w:rsidR="00141B97" w:rsidRDefault="00911D63">
      <w:pPr>
        <w:pStyle w:val="Heading2"/>
        <w:numPr>
          <w:ilvl w:val="1"/>
          <w:numId w:val="113"/>
        </w:numPr>
        <w:tabs>
          <w:tab w:val="left" w:pos="1152"/>
          <w:tab w:val="left" w:pos="1153"/>
        </w:tabs>
        <w:spacing w:before="379"/>
      </w:pPr>
      <w:bookmarkStart w:id="1" w:name="_TOC_250026"/>
      <w:bookmarkEnd w:id="1"/>
      <w:r>
        <w:rPr>
          <w:color w:val="009BAC"/>
          <w:spacing w:val="-2"/>
        </w:rPr>
        <w:t>Purpose</w:t>
      </w:r>
    </w:p>
    <w:p w14:paraId="6FFB213D" w14:textId="77777777" w:rsidR="00141B97" w:rsidRDefault="00911D63">
      <w:pPr>
        <w:pStyle w:val="BodyText"/>
        <w:spacing w:before="121" w:line="276" w:lineRule="auto"/>
        <w:ind w:left="153" w:right="249"/>
        <w:jc w:val="both"/>
      </w:pPr>
      <w:r>
        <w:t>This</w:t>
      </w:r>
      <w:r>
        <w:rPr>
          <w:spacing w:val="-10"/>
        </w:rPr>
        <w:t xml:space="preserve"> </w:t>
      </w:r>
      <w:r>
        <w:t>Price</w:t>
      </w:r>
      <w:r>
        <w:rPr>
          <w:spacing w:val="-10"/>
        </w:rPr>
        <w:t xml:space="preserve"> </w:t>
      </w:r>
      <w:r>
        <w:t>Submission</w:t>
      </w:r>
      <w:r>
        <w:rPr>
          <w:spacing w:val="-11"/>
        </w:rPr>
        <w:t xml:space="preserve"> </w:t>
      </w:r>
      <w:r>
        <w:t>for</w:t>
      </w:r>
      <w:r>
        <w:rPr>
          <w:spacing w:val="-9"/>
        </w:rPr>
        <w:t xml:space="preserve"> </w:t>
      </w:r>
      <w:r>
        <w:t>the</w:t>
      </w:r>
      <w:r>
        <w:rPr>
          <w:spacing w:val="-11"/>
        </w:rPr>
        <w:t xml:space="preserve"> </w:t>
      </w:r>
      <w:r>
        <w:t>2023‐24</w:t>
      </w:r>
      <w:r>
        <w:rPr>
          <w:spacing w:val="-9"/>
        </w:rPr>
        <w:t xml:space="preserve"> </w:t>
      </w:r>
      <w:r>
        <w:t>to</w:t>
      </w:r>
      <w:r>
        <w:rPr>
          <w:spacing w:val="-8"/>
        </w:rPr>
        <w:t xml:space="preserve"> </w:t>
      </w:r>
      <w:r>
        <w:t>2027‐28</w:t>
      </w:r>
      <w:r>
        <w:rPr>
          <w:spacing w:val="-10"/>
        </w:rPr>
        <w:t xml:space="preserve"> </w:t>
      </w:r>
      <w:r>
        <w:t>period</w:t>
      </w:r>
      <w:r>
        <w:rPr>
          <w:spacing w:val="-9"/>
        </w:rPr>
        <w:t xml:space="preserve"> </w:t>
      </w:r>
      <w:r>
        <w:t>(PS5)</w:t>
      </w:r>
      <w:r>
        <w:rPr>
          <w:spacing w:val="-10"/>
        </w:rPr>
        <w:t xml:space="preserve"> </w:t>
      </w:r>
      <w:r>
        <w:t>for</w:t>
      </w:r>
      <w:r>
        <w:rPr>
          <w:spacing w:val="-9"/>
        </w:rPr>
        <w:t xml:space="preserve"> </w:t>
      </w:r>
      <w:r>
        <w:t>both</w:t>
      </w:r>
      <w:r>
        <w:rPr>
          <w:spacing w:val="-9"/>
        </w:rPr>
        <w:t xml:space="preserve"> </w:t>
      </w:r>
      <w:r>
        <w:t>Lower</w:t>
      </w:r>
      <w:r>
        <w:rPr>
          <w:spacing w:val="-9"/>
        </w:rPr>
        <w:t xml:space="preserve"> </w:t>
      </w:r>
      <w:r>
        <w:t>Murray</w:t>
      </w:r>
      <w:r>
        <w:rPr>
          <w:spacing w:val="-9"/>
        </w:rPr>
        <w:t xml:space="preserve"> </w:t>
      </w:r>
      <w:r>
        <w:t>Water’s</w:t>
      </w:r>
      <w:r>
        <w:rPr>
          <w:spacing w:val="-9"/>
        </w:rPr>
        <w:t xml:space="preserve"> </w:t>
      </w:r>
      <w:r>
        <w:t>(LMW)</w:t>
      </w:r>
      <w:r>
        <w:rPr>
          <w:spacing w:val="-10"/>
        </w:rPr>
        <w:t xml:space="preserve"> </w:t>
      </w:r>
      <w:r>
        <w:t>urban</w:t>
      </w:r>
      <w:r>
        <w:rPr>
          <w:spacing w:val="-9"/>
        </w:rPr>
        <w:t xml:space="preserve"> </w:t>
      </w:r>
      <w:r>
        <w:t>and rural</w:t>
      </w:r>
      <w:r>
        <w:rPr>
          <w:spacing w:val="-7"/>
        </w:rPr>
        <w:t xml:space="preserve"> </w:t>
      </w:r>
      <w:r>
        <w:t>business</w:t>
      </w:r>
      <w:r>
        <w:rPr>
          <w:spacing w:val="-7"/>
        </w:rPr>
        <w:t xml:space="preserve"> </w:t>
      </w:r>
      <w:r>
        <w:t>units</w:t>
      </w:r>
      <w:r>
        <w:rPr>
          <w:spacing w:val="-8"/>
        </w:rPr>
        <w:t xml:space="preserve"> </w:t>
      </w:r>
      <w:r>
        <w:t>is</w:t>
      </w:r>
      <w:r>
        <w:rPr>
          <w:spacing w:val="-8"/>
        </w:rPr>
        <w:t xml:space="preserve"> </w:t>
      </w:r>
      <w:r>
        <w:t>submitted</w:t>
      </w:r>
      <w:r>
        <w:rPr>
          <w:spacing w:val="-7"/>
        </w:rPr>
        <w:t xml:space="preserve"> </w:t>
      </w:r>
      <w:r>
        <w:t>in</w:t>
      </w:r>
      <w:r>
        <w:rPr>
          <w:spacing w:val="-8"/>
        </w:rPr>
        <w:t xml:space="preserve"> </w:t>
      </w:r>
      <w:r>
        <w:t>accordance</w:t>
      </w:r>
      <w:r>
        <w:rPr>
          <w:spacing w:val="-8"/>
        </w:rPr>
        <w:t xml:space="preserve"> </w:t>
      </w:r>
      <w:r>
        <w:t>with</w:t>
      </w:r>
      <w:r>
        <w:rPr>
          <w:spacing w:val="-9"/>
        </w:rPr>
        <w:t xml:space="preserve"> </w:t>
      </w:r>
      <w:r>
        <w:t>the</w:t>
      </w:r>
      <w:r>
        <w:rPr>
          <w:spacing w:val="-7"/>
        </w:rPr>
        <w:t xml:space="preserve"> </w:t>
      </w:r>
      <w:r>
        <w:t>Essential</w:t>
      </w:r>
      <w:r>
        <w:rPr>
          <w:spacing w:val="-9"/>
        </w:rPr>
        <w:t xml:space="preserve"> </w:t>
      </w:r>
      <w:r>
        <w:t>Services</w:t>
      </w:r>
      <w:r>
        <w:rPr>
          <w:spacing w:val="-8"/>
        </w:rPr>
        <w:t xml:space="preserve"> </w:t>
      </w:r>
      <w:r>
        <w:t>Commission’s</w:t>
      </w:r>
      <w:r>
        <w:rPr>
          <w:spacing w:val="-7"/>
        </w:rPr>
        <w:t xml:space="preserve"> </w:t>
      </w:r>
      <w:r>
        <w:t>(ESC)</w:t>
      </w:r>
      <w:r>
        <w:rPr>
          <w:spacing w:val="-6"/>
        </w:rPr>
        <w:t xml:space="preserve"> </w:t>
      </w:r>
      <w:r>
        <w:t>2023</w:t>
      </w:r>
      <w:r>
        <w:rPr>
          <w:spacing w:val="-8"/>
        </w:rPr>
        <w:t xml:space="preserve"> </w:t>
      </w:r>
      <w:r>
        <w:t>Water</w:t>
      </w:r>
      <w:r>
        <w:rPr>
          <w:spacing w:val="-8"/>
        </w:rPr>
        <w:t xml:space="preserve"> </w:t>
      </w:r>
      <w:r>
        <w:t>Price Review guidance paper, 26 October 2021.</w:t>
      </w:r>
    </w:p>
    <w:p w14:paraId="10370378" w14:textId="77777777" w:rsidR="00141B97" w:rsidRDefault="00141B97">
      <w:pPr>
        <w:pStyle w:val="BodyText"/>
        <w:spacing w:before="1"/>
        <w:rPr>
          <w:sz w:val="31"/>
        </w:rPr>
      </w:pPr>
    </w:p>
    <w:p w14:paraId="298CD20F" w14:textId="77777777" w:rsidR="00141B97" w:rsidRDefault="00911D63">
      <w:pPr>
        <w:pStyle w:val="Heading2"/>
        <w:numPr>
          <w:ilvl w:val="1"/>
          <w:numId w:val="113"/>
        </w:numPr>
        <w:tabs>
          <w:tab w:val="left" w:pos="1152"/>
          <w:tab w:val="left" w:pos="1153"/>
        </w:tabs>
      </w:pPr>
      <w:bookmarkStart w:id="2" w:name="_TOC_250025"/>
      <w:r>
        <w:rPr>
          <w:color w:val="009BAC"/>
        </w:rPr>
        <w:t>Structure</w:t>
      </w:r>
      <w:r>
        <w:rPr>
          <w:color w:val="009BAC"/>
          <w:spacing w:val="-7"/>
        </w:rPr>
        <w:t xml:space="preserve"> </w:t>
      </w:r>
      <w:r>
        <w:rPr>
          <w:color w:val="009BAC"/>
        </w:rPr>
        <w:t>of</w:t>
      </w:r>
      <w:r>
        <w:rPr>
          <w:color w:val="009BAC"/>
          <w:spacing w:val="-6"/>
        </w:rPr>
        <w:t xml:space="preserve"> </w:t>
      </w:r>
      <w:r>
        <w:rPr>
          <w:color w:val="009BAC"/>
        </w:rPr>
        <w:t>this</w:t>
      </w:r>
      <w:r>
        <w:rPr>
          <w:color w:val="009BAC"/>
          <w:spacing w:val="-6"/>
        </w:rPr>
        <w:t xml:space="preserve"> </w:t>
      </w:r>
      <w:bookmarkEnd w:id="2"/>
      <w:r>
        <w:rPr>
          <w:color w:val="009BAC"/>
          <w:spacing w:val="-2"/>
        </w:rPr>
        <w:t>Submission</w:t>
      </w:r>
    </w:p>
    <w:p w14:paraId="1A635D85" w14:textId="77777777" w:rsidR="00141B97" w:rsidRDefault="00911D63">
      <w:pPr>
        <w:pStyle w:val="BodyText"/>
        <w:spacing w:before="121" w:line="276" w:lineRule="auto"/>
        <w:ind w:left="153" w:right="246"/>
        <w:jc w:val="both"/>
      </w:pPr>
      <w:r>
        <w:t>LMW is the only entity in Victoria that manages both urban and rural business units. As such, the complexities in</w:t>
      </w:r>
      <w:r>
        <w:rPr>
          <w:spacing w:val="-3"/>
        </w:rPr>
        <w:t xml:space="preserve"> </w:t>
      </w:r>
      <w:r>
        <w:t>addressing</w:t>
      </w:r>
      <w:r>
        <w:rPr>
          <w:spacing w:val="-2"/>
        </w:rPr>
        <w:t xml:space="preserve"> </w:t>
      </w:r>
      <w:r>
        <w:t>all</w:t>
      </w:r>
      <w:r>
        <w:rPr>
          <w:spacing w:val="-2"/>
        </w:rPr>
        <w:t xml:space="preserve"> </w:t>
      </w:r>
      <w:r>
        <w:t>elements</w:t>
      </w:r>
      <w:r>
        <w:rPr>
          <w:spacing w:val="-1"/>
        </w:rPr>
        <w:t xml:space="preserve"> </w:t>
      </w:r>
      <w:r>
        <w:t>in</w:t>
      </w:r>
      <w:r>
        <w:rPr>
          <w:spacing w:val="-3"/>
        </w:rPr>
        <w:t xml:space="preserve"> </w:t>
      </w:r>
      <w:r>
        <w:t>the</w:t>
      </w:r>
      <w:r>
        <w:rPr>
          <w:spacing w:val="-2"/>
        </w:rPr>
        <w:t xml:space="preserve"> </w:t>
      </w:r>
      <w:r>
        <w:t>ESC’s</w:t>
      </w:r>
      <w:r>
        <w:rPr>
          <w:spacing w:val="-3"/>
        </w:rPr>
        <w:t xml:space="preserve"> </w:t>
      </w:r>
      <w:r>
        <w:t>guidance</w:t>
      </w:r>
      <w:r>
        <w:rPr>
          <w:spacing w:val="-4"/>
        </w:rPr>
        <w:t xml:space="preserve"> </w:t>
      </w:r>
      <w:r>
        <w:t>paper</w:t>
      </w:r>
      <w:r>
        <w:rPr>
          <w:spacing w:val="-4"/>
        </w:rPr>
        <w:t xml:space="preserve"> </w:t>
      </w:r>
      <w:r>
        <w:t>led</w:t>
      </w:r>
      <w:r>
        <w:rPr>
          <w:spacing w:val="-3"/>
        </w:rPr>
        <w:t xml:space="preserve"> </w:t>
      </w:r>
      <w:r>
        <w:t>to</w:t>
      </w:r>
      <w:r>
        <w:rPr>
          <w:spacing w:val="-4"/>
        </w:rPr>
        <w:t xml:space="preserve"> </w:t>
      </w:r>
      <w:r>
        <w:t>engagement</w:t>
      </w:r>
      <w:r>
        <w:rPr>
          <w:spacing w:val="-4"/>
        </w:rPr>
        <w:t xml:space="preserve"> </w:t>
      </w:r>
      <w:r>
        <w:t>with</w:t>
      </w:r>
      <w:r>
        <w:rPr>
          <w:spacing w:val="-3"/>
        </w:rPr>
        <w:t xml:space="preserve"> </w:t>
      </w:r>
      <w:r>
        <w:t>the</w:t>
      </w:r>
      <w:r>
        <w:rPr>
          <w:spacing w:val="-2"/>
        </w:rPr>
        <w:t xml:space="preserve"> </w:t>
      </w:r>
      <w:r>
        <w:t>ESC</w:t>
      </w:r>
      <w:r>
        <w:rPr>
          <w:spacing w:val="-3"/>
        </w:rPr>
        <w:t xml:space="preserve"> </w:t>
      </w:r>
      <w:r>
        <w:t>and</w:t>
      </w:r>
      <w:r>
        <w:rPr>
          <w:spacing w:val="-3"/>
        </w:rPr>
        <w:t xml:space="preserve"> </w:t>
      </w:r>
      <w:r>
        <w:t>their</w:t>
      </w:r>
      <w:r>
        <w:rPr>
          <w:spacing w:val="-2"/>
        </w:rPr>
        <w:t xml:space="preserve"> </w:t>
      </w:r>
      <w:r>
        <w:t>acceptance</w:t>
      </w:r>
      <w:r>
        <w:rPr>
          <w:spacing w:val="-4"/>
        </w:rPr>
        <w:t xml:space="preserve"> </w:t>
      </w:r>
      <w:r>
        <w:t>of LMW’s approach to present the submission document in three parts, namely a common ‘Part A’ section that provides</w:t>
      </w:r>
      <w:r>
        <w:rPr>
          <w:spacing w:val="-2"/>
        </w:rPr>
        <w:t xml:space="preserve"> </w:t>
      </w:r>
      <w:r>
        <w:t>context</w:t>
      </w:r>
      <w:r>
        <w:rPr>
          <w:spacing w:val="-2"/>
        </w:rPr>
        <w:t xml:space="preserve"> </w:t>
      </w:r>
      <w:r>
        <w:t>regarding</w:t>
      </w:r>
      <w:r>
        <w:rPr>
          <w:spacing w:val="-1"/>
        </w:rPr>
        <w:t xml:space="preserve"> </w:t>
      </w:r>
      <w:r>
        <w:t>the</w:t>
      </w:r>
      <w:r>
        <w:rPr>
          <w:spacing w:val="-2"/>
        </w:rPr>
        <w:t xml:space="preserve"> </w:t>
      </w:r>
      <w:r>
        <w:t>organisation</w:t>
      </w:r>
      <w:r>
        <w:rPr>
          <w:spacing w:val="-1"/>
        </w:rPr>
        <w:t xml:space="preserve"> </w:t>
      </w:r>
      <w:r>
        <w:t>and</w:t>
      </w:r>
      <w:r>
        <w:rPr>
          <w:spacing w:val="-1"/>
        </w:rPr>
        <w:t xml:space="preserve"> </w:t>
      </w:r>
      <w:r>
        <w:t>its</w:t>
      </w:r>
      <w:r>
        <w:rPr>
          <w:spacing w:val="-2"/>
        </w:rPr>
        <w:t xml:space="preserve"> </w:t>
      </w:r>
      <w:r>
        <w:t>approach</w:t>
      </w:r>
      <w:r>
        <w:rPr>
          <w:spacing w:val="-3"/>
        </w:rPr>
        <w:t xml:space="preserve"> </w:t>
      </w:r>
      <w:r>
        <w:t>to</w:t>
      </w:r>
      <w:r>
        <w:rPr>
          <w:spacing w:val="-2"/>
        </w:rPr>
        <w:t xml:space="preserve"> </w:t>
      </w:r>
      <w:r>
        <w:t>the</w:t>
      </w:r>
      <w:r>
        <w:rPr>
          <w:spacing w:val="-2"/>
        </w:rPr>
        <w:t xml:space="preserve"> </w:t>
      </w:r>
      <w:r>
        <w:t>submission</w:t>
      </w:r>
      <w:r>
        <w:rPr>
          <w:spacing w:val="-3"/>
        </w:rPr>
        <w:t xml:space="preserve"> </w:t>
      </w:r>
      <w:r>
        <w:t>development,</w:t>
      </w:r>
      <w:r>
        <w:rPr>
          <w:spacing w:val="-1"/>
        </w:rPr>
        <w:t xml:space="preserve"> </w:t>
      </w:r>
      <w:r>
        <w:t>followed</w:t>
      </w:r>
      <w:r>
        <w:rPr>
          <w:spacing w:val="-2"/>
        </w:rPr>
        <w:t xml:space="preserve"> </w:t>
      </w:r>
      <w:r>
        <w:t>by</w:t>
      </w:r>
      <w:r>
        <w:rPr>
          <w:spacing w:val="-2"/>
        </w:rPr>
        <w:t xml:space="preserve"> </w:t>
      </w:r>
      <w:r>
        <w:t>Part B and Part C which address the specifics relating to urban and rural business units respectively. The following table provides an overview of the structure as it relates to specific requirements.</w:t>
      </w:r>
    </w:p>
    <w:p w14:paraId="71078983" w14:textId="77777777" w:rsidR="00141B97" w:rsidRDefault="00141B97">
      <w:pPr>
        <w:pStyle w:val="BodyText"/>
        <w:spacing w:before="10"/>
        <w:rPr>
          <w:sz w:val="26"/>
        </w:rPr>
      </w:pPr>
    </w:p>
    <w:tbl>
      <w:tblPr>
        <w:tblW w:w="0" w:type="auto"/>
        <w:tblCellSpacing w:w="9" w:type="dxa"/>
        <w:tblInd w:w="190" w:type="dxa"/>
        <w:tblLayout w:type="fixed"/>
        <w:tblCellMar>
          <w:left w:w="0" w:type="dxa"/>
          <w:right w:w="0" w:type="dxa"/>
        </w:tblCellMar>
        <w:tblLook w:val="01E0" w:firstRow="1" w:lastRow="1" w:firstColumn="1" w:lastColumn="1" w:noHBand="0" w:noVBand="0"/>
      </w:tblPr>
      <w:tblGrid>
        <w:gridCol w:w="1516"/>
        <w:gridCol w:w="6319"/>
        <w:gridCol w:w="1068"/>
        <w:gridCol w:w="1089"/>
      </w:tblGrid>
      <w:tr w:rsidR="00141B97" w14:paraId="08680E95" w14:textId="77777777">
        <w:trPr>
          <w:trHeight w:val="365"/>
          <w:tblCellSpacing w:w="9" w:type="dxa"/>
        </w:trPr>
        <w:tc>
          <w:tcPr>
            <w:tcW w:w="1489" w:type="dxa"/>
            <w:tcBorders>
              <w:top w:val="nil"/>
              <w:left w:val="nil"/>
            </w:tcBorders>
            <w:shd w:val="clear" w:color="auto" w:fill="006CA3"/>
          </w:tcPr>
          <w:p w14:paraId="49334A65" w14:textId="77777777" w:rsidR="00141B97" w:rsidRDefault="00911D63">
            <w:pPr>
              <w:pStyle w:val="TableParagraph"/>
              <w:spacing w:before="49"/>
              <w:ind w:left="88"/>
            </w:pPr>
            <w:r>
              <w:rPr>
                <w:color w:val="FFFFFF"/>
                <w:spacing w:val="-4"/>
              </w:rPr>
              <w:t>Part</w:t>
            </w:r>
          </w:p>
        </w:tc>
        <w:tc>
          <w:tcPr>
            <w:tcW w:w="6301" w:type="dxa"/>
            <w:tcBorders>
              <w:top w:val="nil"/>
            </w:tcBorders>
            <w:shd w:val="clear" w:color="auto" w:fill="006CA3"/>
          </w:tcPr>
          <w:p w14:paraId="4FB9DC6F" w14:textId="77777777" w:rsidR="00141B97" w:rsidRDefault="00911D63">
            <w:pPr>
              <w:pStyle w:val="TableParagraph"/>
              <w:spacing w:before="49"/>
              <w:ind w:left="98"/>
            </w:pPr>
            <w:r>
              <w:rPr>
                <w:color w:val="FFFFFF"/>
                <w:spacing w:val="-2"/>
              </w:rPr>
              <w:t>Approach</w:t>
            </w:r>
          </w:p>
        </w:tc>
        <w:tc>
          <w:tcPr>
            <w:tcW w:w="1050" w:type="dxa"/>
            <w:tcBorders>
              <w:top w:val="nil"/>
            </w:tcBorders>
            <w:shd w:val="clear" w:color="auto" w:fill="006CA3"/>
          </w:tcPr>
          <w:p w14:paraId="284A5CB3" w14:textId="77777777" w:rsidR="00141B97" w:rsidRDefault="00911D63">
            <w:pPr>
              <w:pStyle w:val="TableParagraph"/>
              <w:spacing w:before="49"/>
              <w:ind w:left="241"/>
            </w:pPr>
            <w:r>
              <w:rPr>
                <w:color w:val="FFFFFF"/>
                <w:spacing w:val="-2"/>
              </w:rPr>
              <w:t>Urban</w:t>
            </w:r>
          </w:p>
        </w:tc>
        <w:tc>
          <w:tcPr>
            <w:tcW w:w="1062" w:type="dxa"/>
            <w:tcBorders>
              <w:top w:val="nil"/>
              <w:right w:val="nil"/>
            </w:tcBorders>
            <w:shd w:val="clear" w:color="auto" w:fill="006CA3"/>
          </w:tcPr>
          <w:p w14:paraId="47D318B7" w14:textId="77777777" w:rsidR="00141B97" w:rsidRDefault="00911D63">
            <w:pPr>
              <w:pStyle w:val="TableParagraph"/>
              <w:spacing w:before="49"/>
              <w:ind w:left="296"/>
            </w:pPr>
            <w:r>
              <w:rPr>
                <w:color w:val="FFFFFF"/>
                <w:spacing w:val="-2"/>
              </w:rPr>
              <w:t>Rural</w:t>
            </w:r>
          </w:p>
        </w:tc>
      </w:tr>
      <w:tr w:rsidR="00141B97" w14:paraId="06B58FD6" w14:textId="77777777">
        <w:trPr>
          <w:trHeight w:val="1400"/>
          <w:tblCellSpacing w:w="9" w:type="dxa"/>
        </w:trPr>
        <w:tc>
          <w:tcPr>
            <w:tcW w:w="1489" w:type="dxa"/>
            <w:tcBorders>
              <w:left w:val="nil"/>
            </w:tcBorders>
            <w:shd w:val="clear" w:color="auto" w:fill="CCE2ED"/>
          </w:tcPr>
          <w:p w14:paraId="1B042566" w14:textId="77777777" w:rsidR="00141B97" w:rsidRDefault="00911D63">
            <w:pPr>
              <w:pStyle w:val="TableParagraph"/>
              <w:ind w:left="88" w:right="258"/>
              <w:rPr>
                <w:sz w:val="20"/>
              </w:rPr>
            </w:pPr>
            <w:r>
              <w:rPr>
                <w:sz w:val="20"/>
              </w:rPr>
              <w:t xml:space="preserve">Part A </w:t>
            </w:r>
            <w:r>
              <w:rPr>
                <w:spacing w:val="-2"/>
                <w:sz w:val="20"/>
              </w:rPr>
              <w:t xml:space="preserve">Business </w:t>
            </w:r>
            <w:r>
              <w:rPr>
                <w:sz w:val="20"/>
              </w:rPr>
              <w:t>context</w:t>
            </w:r>
            <w:r>
              <w:rPr>
                <w:spacing w:val="-12"/>
                <w:sz w:val="20"/>
              </w:rPr>
              <w:t xml:space="preserve"> </w:t>
            </w:r>
            <w:r>
              <w:rPr>
                <w:sz w:val="20"/>
              </w:rPr>
              <w:t xml:space="preserve">&amp; </w:t>
            </w:r>
            <w:r>
              <w:rPr>
                <w:spacing w:val="-2"/>
                <w:sz w:val="20"/>
              </w:rPr>
              <w:t>approach</w:t>
            </w:r>
          </w:p>
        </w:tc>
        <w:tc>
          <w:tcPr>
            <w:tcW w:w="6301" w:type="dxa"/>
            <w:shd w:val="clear" w:color="auto" w:fill="CCE2ED"/>
          </w:tcPr>
          <w:p w14:paraId="091B8789" w14:textId="77777777" w:rsidR="00141B97" w:rsidRDefault="00911D63">
            <w:pPr>
              <w:pStyle w:val="TableParagraph"/>
              <w:numPr>
                <w:ilvl w:val="0"/>
                <w:numId w:val="112"/>
              </w:numPr>
              <w:tabs>
                <w:tab w:val="left" w:pos="556"/>
                <w:tab w:val="left" w:pos="557"/>
              </w:tabs>
              <w:ind w:hanging="361"/>
            </w:pPr>
            <w:r>
              <w:t>LMW’s</w:t>
            </w:r>
            <w:r>
              <w:rPr>
                <w:spacing w:val="-10"/>
              </w:rPr>
              <w:t xml:space="preserve"> </w:t>
            </w:r>
            <w:r>
              <w:t>general</w:t>
            </w:r>
            <w:r>
              <w:rPr>
                <w:spacing w:val="-10"/>
              </w:rPr>
              <w:t xml:space="preserve"> </w:t>
            </w:r>
            <w:r>
              <w:t>business</w:t>
            </w:r>
            <w:r>
              <w:rPr>
                <w:spacing w:val="-9"/>
              </w:rPr>
              <w:t xml:space="preserve"> </w:t>
            </w:r>
            <w:r>
              <w:t>summary</w:t>
            </w:r>
            <w:r>
              <w:rPr>
                <w:spacing w:val="-10"/>
              </w:rPr>
              <w:t xml:space="preserve"> </w:t>
            </w:r>
            <w:r>
              <w:t>including</w:t>
            </w:r>
            <w:r>
              <w:rPr>
                <w:spacing w:val="-9"/>
              </w:rPr>
              <w:t xml:space="preserve"> </w:t>
            </w:r>
            <w:r>
              <w:t>strategic</w:t>
            </w:r>
            <w:r>
              <w:rPr>
                <w:spacing w:val="-9"/>
              </w:rPr>
              <w:t xml:space="preserve"> </w:t>
            </w:r>
            <w:r>
              <w:rPr>
                <w:spacing w:val="-2"/>
              </w:rPr>
              <w:t>priorities</w:t>
            </w:r>
          </w:p>
          <w:p w14:paraId="002B3F35" w14:textId="77777777" w:rsidR="00141B97" w:rsidRDefault="00911D63">
            <w:pPr>
              <w:pStyle w:val="TableParagraph"/>
              <w:numPr>
                <w:ilvl w:val="0"/>
                <w:numId w:val="112"/>
              </w:numPr>
              <w:tabs>
                <w:tab w:val="left" w:pos="556"/>
                <w:tab w:val="left" w:pos="557"/>
              </w:tabs>
              <w:spacing w:before="1" w:line="280" w:lineRule="exact"/>
              <w:ind w:hanging="361"/>
            </w:pPr>
            <w:r>
              <w:t>R:</w:t>
            </w:r>
            <w:r>
              <w:rPr>
                <w:spacing w:val="-5"/>
              </w:rPr>
              <w:t xml:space="preserve"> </w:t>
            </w:r>
            <w:r>
              <w:t>Risk</w:t>
            </w:r>
            <w:r>
              <w:rPr>
                <w:spacing w:val="-4"/>
              </w:rPr>
              <w:t xml:space="preserve"> </w:t>
            </w:r>
            <w:r>
              <w:rPr>
                <w:spacing w:val="-2"/>
              </w:rPr>
              <w:t>approach</w:t>
            </w:r>
          </w:p>
          <w:p w14:paraId="16247CB8" w14:textId="77777777" w:rsidR="00141B97" w:rsidRDefault="00911D63">
            <w:pPr>
              <w:pStyle w:val="TableParagraph"/>
              <w:numPr>
                <w:ilvl w:val="0"/>
                <w:numId w:val="112"/>
              </w:numPr>
              <w:tabs>
                <w:tab w:val="left" w:pos="556"/>
                <w:tab w:val="left" w:pos="557"/>
              </w:tabs>
              <w:spacing w:line="280" w:lineRule="exact"/>
              <w:ind w:hanging="361"/>
            </w:pPr>
            <w:r>
              <w:t>E:</w:t>
            </w:r>
            <w:r>
              <w:rPr>
                <w:spacing w:val="-9"/>
              </w:rPr>
              <w:t xml:space="preserve"> </w:t>
            </w:r>
            <w:r>
              <w:t>Engagement</w:t>
            </w:r>
            <w:r>
              <w:rPr>
                <w:spacing w:val="-11"/>
              </w:rPr>
              <w:t xml:space="preserve"> </w:t>
            </w:r>
            <w:r>
              <w:t>approach</w:t>
            </w:r>
            <w:r>
              <w:rPr>
                <w:spacing w:val="-9"/>
              </w:rPr>
              <w:t xml:space="preserve"> </w:t>
            </w:r>
            <w:r>
              <w:t>including</w:t>
            </w:r>
            <w:r>
              <w:rPr>
                <w:spacing w:val="-10"/>
              </w:rPr>
              <w:t xml:space="preserve"> </w:t>
            </w:r>
            <w:r>
              <w:t>customer</w:t>
            </w:r>
            <w:r>
              <w:rPr>
                <w:spacing w:val="-8"/>
              </w:rPr>
              <w:t xml:space="preserve"> </w:t>
            </w:r>
            <w:r>
              <w:rPr>
                <w:spacing w:val="-2"/>
              </w:rPr>
              <w:t>views</w:t>
            </w:r>
          </w:p>
          <w:p w14:paraId="10D1559F" w14:textId="77777777" w:rsidR="00141B97" w:rsidRDefault="00911D63">
            <w:pPr>
              <w:pStyle w:val="TableParagraph"/>
              <w:numPr>
                <w:ilvl w:val="0"/>
                <w:numId w:val="112"/>
              </w:numPr>
              <w:tabs>
                <w:tab w:val="left" w:pos="556"/>
                <w:tab w:val="left" w:pos="557"/>
              </w:tabs>
              <w:spacing w:line="280" w:lineRule="exact"/>
              <w:ind w:hanging="361"/>
            </w:pPr>
            <w:r>
              <w:t>M:</w:t>
            </w:r>
            <w:r>
              <w:rPr>
                <w:spacing w:val="-8"/>
              </w:rPr>
              <w:t xml:space="preserve"> </w:t>
            </w:r>
            <w:r>
              <w:t>Governance</w:t>
            </w:r>
            <w:r>
              <w:rPr>
                <w:spacing w:val="-8"/>
              </w:rPr>
              <w:t xml:space="preserve"> </w:t>
            </w:r>
            <w:r>
              <w:t>and</w:t>
            </w:r>
            <w:r>
              <w:rPr>
                <w:spacing w:val="-8"/>
              </w:rPr>
              <w:t xml:space="preserve"> </w:t>
            </w:r>
            <w:r>
              <w:t>management</w:t>
            </w:r>
            <w:r>
              <w:rPr>
                <w:spacing w:val="-8"/>
              </w:rPr>
              <w:t xml:space="preserve"> </w:t>
            </w:r>
            <w:r>
              <w:rPr>
                <w:spacing w:val="-2"/>
              </w:rPr>
              <w:t>approach</w:t>
            </w:r>
          </w:p>
          <w:p w14:paraId="49CE6E23" w14:textId="77777777" w:rsidR="00141B97" w:rsidRDefault="00911D63">
            <w:pPr>
              <w:pStyle w:val="TableParagraph"/>
              <w:numPr>
                <w:ilvl w:val="0"/>
                <w:numId w:val="112"/>
              </w:numPr>
              <w:tabs>
                <w:tab w:val="left" w:pos="556"/>
                <w:tab w:val="left" w:pos="557"/>
              </w:tabs>
              <w:spacing w:line="259" w:lineRule="exact"/>
              <w:ind w:hanging="361"/>
            </w:pPr>
            <w:r>
              <w:t>Overall</w:t>
            </w:r>
            <w:r>
              <w:rPr>
                <w:spacing w:val="-8"/>
              </w:rPr>
              <w:t xml:space="preserve"> </w:t>
            </w:r>
            <w:r>
              <w:t>financial</w:t>
            </w:r>
            <w:r>
              <w:rPr>
                <w:spacing w:val="-7"/>
              </w:rPr>
              <w:t xml:space="preserve"> </w:t>
            </w:r>
            <w:r>
              <w:rPr>
                <w:spacing w:val="-2"/>
              </w:rPr>
              <w:t>position</w:t>
            </w:r>
          </w:p>
        </w:tc>
        <w:tc>
          <w:tcPr>
            <w:tcW w:w="1050" w:type="dxa"/>
            <w:shd w:val="clear" w:color="auto" w:fill="CCE2ED"/>
          </w:tcPr>
          <w:p w14:paraId="0F641BA7" w14:textId="77777777" w:rsidR="00141B97" w:rsidRDefault="00141B97">
            <w:pPr>
              <w:pStyle w:val="TableParagraph"/>
              <w:rPr>
                <w:sz w:val="20"/>
              </w:rPr>
            </w:pPr>
          </w:p>
          <w:p w14:paraId="0E8580AE" w14:textId="77777777" w:rsidR="00141B97" w:rsidRDefault="00141B97">
            <w:pPr>
              <w:pStyle w:val="TableParagraph"/>
              <w:spacing w:before="5"/>
              <w:rPr>
                <w:sz w:val="28"/>
              </w:rPr>
            </w:pPr>
          </w:p>
          <w:p w14:paraId="32A650BA" w14:textId="77777777" w:rsidR="00141B97" w:rsidRDefault="00911D63">
            <w:pPr>
              <w:pStyle w:val="TableParagraph"/>
              <w:ind w:left="358"/>
              <w:rPr>
                <w:sz w:val="20"/>
              </w:rPr>
            </w:pPr>
            <w:r>
              <w:rPr>
                <w:noProof/>
                <w:sz w:val="20"/>
              </w:rPr>
              <w:drawing>
                <wp:inline distT="0" distB="0" distL="0" distR="0" wp14:anchorId="23DCE22A" wp14:editId="6BDD1DC0">
                  <wp:extent cx="198120" cy="198120"/>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8" cstate="email">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c>
          <w:tcPr>
            <w:tcW w:w="1062" w:type="dxa"/>
            <w:tcBorders>
              <w:right w:val="nil"/>
            </w:tcBorders>
            <w:shd w:val="clear" w:color="auto" w:fill="CCE2ED"/>
          </w:tcPr>
          <w:p w14:paraId="3173CE48" w14:textId="77777777" w:rsidR="00141B97" w:rsidRDefault="00141B97">
            <w:pPr>
              <w:pStyle w:val="TableParagraph"/>
              <w:rPr>
                <w:sz w:val="20"/>
              </w:rPr>
            </w:pPr>
          </w:p>
          <w:p w14:paraId="42BD6A69" w14:textId="77777777" w:rsidR="00141B97" w:rsidRDefault="00141B97">
            <w:pPr>
              <w:pStyle w:val="TableParagraph"/>
              <w:spacing w:before="5"/>
              <w:rPr>
                <w:sz w:val="28"/>
              </w:rPr>
            </w:pPr>
          </w:p>
          <w:p w14:paraId="77A81835" w14:textId="77777777" w:rsidR="00141B97" w:rsidRDefault="00911D63">
            <w:pPr>
              <w:pStyle w:val="TableParagraph"/>
              <w:ind w:left="369"/>
              <w:rPr>
                <w:sz w:val="20"/>
              </w:rPr>
            </w:pPr>
            <w:r>
              <w:rPr>
                <w:noProof/>
                <w:sz w:val="20"/>
              </w:rPr>
              <w:drawing>
                <wp:inline distT="0" distB="0" distL="0" distR="0" wp14:anchorId="1CCB4D4E" wp14:editId="3E617B3C">
                  <wp:extent cx="198120" cy="19812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9" cstate="email">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r>
      <w:tr w:rsidR="00141B97" w14:paraId="0C04ADCF" w14:textId="77777777">
        <w:trPr>
          <w:trHeight w:val="1927"/>
          <w:tblCellSpacing w:w="9" w:type="dxa"/>
        </w:trPr>
        <w:tc>
          <w:tcPr>
            <w:tcW w:w="1489" w:type="dxa"/>
            <w:tcBorders>
              <w:left w:val="nil"/>
            </w:tcBorders>
            <w:shd w:val="clear" w:color="auto" w:fill="CCE2ED"/>
          </w:tcPr>
          <w:p w14:paraId="7E5BAB7A" w14:textId="77777777" w:rsidR="00141B97" w:rsidRDefault="00911D63">
            <w:pPr>
              <w:pStyle w:val="TableParagraph"/>
              <w:spacing w:line="244" w:lineRule="exact"/>
              <w:ind w:left="88"/>
              <w:rPr>
                <w:sz w:val="20"/>
              </w:rPr>
            </w:pPr>
            <w:r>
              <w:rPr>
                <w:sz w:val="20"/>
              </w:rPr>
              <w:t>Part</w:t>
            </w:r>
            <w:r>
              <w:rPr>
                <w:spacing w:val="-1"/>
                <w:sz w:val="20"/>
              </w:rPr>
              <w:t xml:space="preserve"> </w:t>
            </w:r>
            <w:r>
              <w:rPr>
                <w:spacing w:val="-10"/>
                <w:sz w:val="20"/>
              </w:rPr>
              <w:t>B</w:t>
            </w:r>
          </w:p>
          <w:p w14:paraId="1DCE6401" w14:textId="77777777" w:rsidR="00141B97" w:rsidRDefault="00911D63">
            <w:pPr>
              <w:pStyle w:val="TableParagraph"/>
              <w:spacing w:line="244" w:lineRule="exact"/>
              <w:ind w:left="88"/>
              <w:rPr>
                <w:sz w:val="20"/>
              </w:rPr>
            </w:pPr>
            <w:r>
              <w:rPr>
                <w:sz w:val="20"/>
              </w:rPr>
              <w:t xml:space="preserve">Urban </w:t>
            </w:r>
            <w:r>
              <w:rPr>
                <w:spacing w:val="-2"/>
                <w:sz w:val="20"/>
              </w:rPr>
              <w:t>Business</w:t>
            </w:r>
          </w:p>
        </w:tc>
        <w:tc>
          <w:tcPr>
            <w:tcW w:w="6301" w:type="dxa"/>
            <w:shd w:val="clear" w:color="auto" w:fill="CCE2ED"/>
          </w:tcPr>
          <w:p w14:paraId="11DF376F" w14:textId="77777777" w:rsidR="00141B97" w:rsidRDefault="00911D63">
            <w:pPr>
              <w:pStyle w:val="TableParagraph"/>
              <w:numPr>
                <w:ilvl w:val="0"/>
                <w:numId w:val="111"/>
              </w:numPr>
              <w:tabs>
                <w:tab w:val="left" w:pos="556"/>
                <w:tab w:val="left" w:pos="557"/>
              </w:tabs>
              <w:spacing w:before="1" w:line="280" w:lineRule="exact"/>
              <w:ind w:hanging="361"/>
            </w:pPr>
            <w:r>
              <w:t>P:</w:t>
            </w:r>
            <w:r>
              <w:rPr>
                <w:spacing w:val="-8"/>
              </w:rPr>
              <w:t xml:space="preserve"> </w:t>
            </w:r>
            <w:r>
              <w:t>Specific</w:t>
            </w:r>
            <w:r>
              <w:rPr>
                <w:spacing w:val="-7"/>
              </w:rPr>
              <w:t xml:space="preserve"> </w:t>
            </w:r>
            <w:r>
              <w:t>urban</w:t>
            </w:r>
            <w:r>
              <w:rPr>
                <w:spacing w:val="-7"/>
              </w:rPr>
              <w:t xml:space="preserve"> </w:t>
            </w:r>
            <w:r>
              <w:t>assessment</w:t>
            </w:r>
            <w:r>
              <w:rPr>
                <w:spacing w:val="-8"/>
              </w:rPr>
              <w:t xml:space="preserve"> </w:t>
            </w:r>
            <w:r>
              <w:t>regarding</w:t>
            </w:r>
            <w:r>
              <w:rPr>
                <w:spacing w:val="-7"/>
              </w:rPr>
              <w:t xml:space="preserve"> </w:t>
            </w:r>
            <w:r>
              <w:t>PS4</w:t>
            </w:r>
            <w:r>
              <w:rPr>
                <w:spacing w:val="-8"/>
              </w:rPr>
              <w:t xml:space="preserve"> </w:t>
            </w:r>
            <w:r>
              <w:rPr>
                <w:spacing w:val="-2"/>
              </w:rPr>
              <w:t>performance</w:t>
            </w:r>
          </w:p>
          <w:p w14:paraId="3B5E5239" w14:textId="77777777" w:rsidR="00141B97" w:rsidRDefault="00911D63">
            <w:pPr>
              <w:pStyle w:val="TableParagraph"/>
              <w:numPr>
                <w:ilvl w:val="0"/>
                <w:numId w:val="111"/>
              </w:numPr>
              <w:tabs>
                <w:tab w:val="left" w:pos="556"/>
                <w:tab w:val="left" w:pos="557"/>
              </w:tabs>
              <w:ind w:right="564"/>
            </w:pPr>
            <w:r>
              <w:t>O:</w:t>
            </w:r>
            <w:r>
              <w:rPr>
                <w:spacing w:val="-4"/>
              </w:rPr>
              <w:t xml:space="preserve"> </w:t>
            </w:r>
            <w:r>
              <w:t>Specific</w:t>
            </w:r>
            <w:r>
              <w:rPr>
                <w:spacing w:val="-3"/>
              </w:rPr>
              <w:t xml:space="preserve"> </w:t>
            </w:r>
            <w:r>
              <w:t>urban</w:t>
            </w:r>
            <w:r>
              <w:rPr>
                <w:spacing w:val="-4"/>
              </w:rPr>
              <w:t xml:space="preserve"> </w:t>
            </w:r>
            <w:r>
              <w:t>proposal</w:t>
            </w:r>
            <w:r>
              <w:rPr>
                <w:spacing w:val="-3"/>
              </w:rPr>
              <w:t xml:space="preserve"> </w:t>
            </w:r>
            <w:r>
              <w:t>for</w:t>
            </w:r>
            <w:r>
              <w:rPr>
                <w:spacing w:val="-4"/>
              </w:rPr>
              <w:t xml:space="preserve"> </w:t>
            </w:r>
            <w:r>
              <w:t>customer</w:t>
            </w:r>
            <w:r>
              <w:rPr>
                <w:spacing w:val="-2"/>
              </w:rPr>
              <w:t xml:space="preserve"> </w:t>
            </w:r>
            <w:r>
              <w:t>outcomes,</w:t>
            </w:r>
            <w:r>
              <w:rPr>
                <w:spacing w:val="-3"/>
              </w:rPr>
              <w:t xml:space="preserve"> </w:t>
            </w:r>
            <w:r>
              <w:t xml:space="preserve">service </w:t>
            </w:r>
            <w:r>
              <w:rPr>
                <w:spacing w:val="-2"/>
              </w:rPr>
              <w:t>standards</w:t>
            </w:r>
          </w:p>
          <w:p w14:paraId="2C8537B0" w14:textId="77777777" w:rsidR="00141B97" w:rsidRDefault="00911D63">
            <w:pPr>
              <w:pStyle w:val="TableParagraph"/>
              <w:numPr>
                <w:ilvl w:val="0"/>
                <w:numId w:val="111"/>
              </w:numPr>
              <w:tabs>
                <w:tab w:val="left" w:pos="556"/>
                <w:tab w:val="left" w:pos="557"/>
              </w:tabs>
              <w:ind w:right="309"/>
            </w:pPr>
            <w:r>
              <w:t>Revenue</w:t>
            </w:r>
            <w:r>
              <w:rPr>
                <w:spacing w:val="-3"/>
              </w:rPr>
              <w:t xml:space="preserve"> </w:t>
            </w:r>
            <w:r>
              <w:t>&amp;</w:t>
            </w:r>
            <w:r>
              <w:rPr>
                <w:spacing w:val="-3"/>
              </w:rPr>
              <w:t xml:space="preserve"> </w:t>
            </w:r>
            <w:r>
              <w:t>financial</w:t>
            </w:r>
            <w:r>
              <w:rPr>
                <w:spacing w:val="-3"/>
              </w:rPr>
              <w:t xml:space="preserve"> </w:t>
            </w:r>
            <w:r>
              <w:t>parameters</w:t>
            </w:r>
            <w:r>
              <w:rPr>
                <w:spacing w:val="-4"/>
              </w:rPr>
              <w:t xml:space="preserve"> </w:t>
            </w:r>
            <w:r>
              <w:t>including</w:t>
            </w:r>
            <w:r>
              <w:rPr>
                <w:spacing w:val="-4"/>
              </w:rPr>
              <w:t xml:space="preserve"> </w:t>
            </w:r>
            <w:r>
              <w:t>demand,</w:t>
            </w:r>
            <w:r>
              <w:rPr>
                <w:spacing w:val="-3"/>
              </w:rPr>
              <w:t xml:space="preserve"> </w:t>
            </w:r>
            <w:r>
              <w:t>operating and capital expenditure</w:t>
            </w:r>
          </w:p>
          <w:p w14:paraId="0DB632C2" w14:textId="77777777" w:rsidR="00141B97" w:rsidRDefault="00911D63">
            <w:pPr>
              <w:pStyle w:val="TableParagraph"/>
              <w:numPr>
                <w:ilvl w:val="0"/>
                <w:numId w:val="111"/>
              </w:numPr>
              <w:tabs>
                <w:tab w:val="left" w:pos="556"/>
                <w:tab w:val="left" w:pos="557"/>
              </w:tabs>
              <w:spacing w:line="270" w:lineRule="atLeast"/>
              <w:ind w:right="544"/>
            </w:pPr>
            <w:r>
              <w:t>Prices</w:t>
            </w:r>
            <w:r>
              <w:rPr>
                <w:spacing w:val="-2"/>
              </w:rPr>
              <w:t xml:space="preserve"> </w:t>
            </w:r>
            <w:r>
              <w:t>including</w:t>
            </w:r>
            <w:r>
              <w:rPr>
                <w:spacing w:val="-4"/>
              </w:rPr>
              <w:t xml:space="preserve"> </w:t>
            </w:r>
            <w:r>
              <w:t>revenue</w:t>
            </w:r>
            <w:r>
              <w:rPr>
                <w:spacing w:val="-5"/>
              </w:rPr>
              <w:t xml:space="preserve"> </w:t>
            </w:r>
            <w:r>
              <w:t>requirement,</w:t>
            </w:r>
            <w:r>
              <w:rPr>
                <w:spacing w:val="-3"/>
              </w:rPr>
              <w:t xml:space="preserve"> </w:t>
            </w:r>
            <w:r>
              <w:t>tariff</w:t>
            </w:r>
            <w:r>
              <w:rPr>
                <w:spacing w:val="-4"/>
              </w:rPr>
              <w:t xml:space="preserve"> </w:t>
            </w:r>
            <w:r>
              <w:t>structures</w:t>
            </w:r>
            <w:r>
              <w:rPr>
                <w:spacing w:val="-5"/>
              </w:rPr>
              <w:t xml:space="preserve"> </w:t>
            </w:r>
            <w:r>
              <w:t xml:space="preserve">and </w:t>
            </w:r>
            <w:r>
              <w:rPr>
                <w:spacing w:val="-2"/>
              </w:rPr>
              <w:t>prices.</w:t>
            </w:r>
          </w:p>
        </w:tc>
        <w:tc>
          <w:tcPr>
            <w:tcW w:w="1050" w:type="dxa"/>
            <w:shd w:val="clear" w:color="auto" w:fill="CCE2ED"/>
          </w:tcPr>
          <w:p w14:paraId="21C5EB75" w14:textId="77777777" w:rsidR="00141B97" w:rsidRDefault="00141B97">
            <w:pPr>
              <w:pStyle w:val="TableParagraph"/>
              <w:rPr>
                <w:sz w:val="20"/>
              </w:rPr>
            </w:pPr>
          </w:p>
          <w:p w14:paraId="40E6BD13" w14:textId="77777777" w:rsidR="00141B97" w:rsidRDefault="00141B97">
            <w:pPr>
              <w:pStyle w:val="TableParagraph"/>
              <w:rPr>
                <w:sz w:val="20"/>
              </w:rPr>
            </w:pPr>
          </w:p>
          <w:p w14:paraId="6EF04602" w14:textId="77777777" w:rsidR="00141B97" w:rsidRDefault="00141B97">
            <w:pPr>
              <w:pStyle w:val="TableParagraph"/>
              <w:rPr>
                <w:sz w:val="20"/>
              </w:rPr>
            </w:pPr>
          </w:p>
          <w:p w14:paraId="12BABF34" w14:textId="77777777" w:rsidR="00141B97" w:rsidRDefault="00141B97">
            <w:pPr>
              <w:pStyle w:val="TableParagraph"/>
              <w:rPr>
                <w:sz w:val="10"/>
              </w:rPr>
            </w:pPr>
          </w:p>
          <w:p w14:paraId="2145E6C3" w14:textId="77777777" w:rsidR="00141B97" w:rsidRDefault="00911D63">
            <w:pPr>
              <w:pStyle w:val="TableParagraph"/>
              <w:ind w:left="358"/>
              <w:rPr>
                <w:sz w:val="20"/>
              </w:rPr>
            </w:pPr>
            <w:r>
              <w:rPr>
                <w:noProof/>
                <w:sz w:val="20"/>
              </w:rPr>
              <w:drawing>
                <wp:inline distT="0" distB="0" distL="0" distR="0" wp14:anchorId="3CC174BB" wp14:editId="64A7EBCB">
                  <wp:extent cx="198120" cy="195072"/>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0" cstate="email">
                            <a:extLst>
                              <a:ext uri="{28A0092B-C50C-407E-A947-70E740481C1C}">
                                <a14:useLocalDpi xmlns:a14="http://schemas.microsoft.com/office/drawing/2010/main"/>
                              </a:ext>
                            </a:extLst>
                          </a:blip>
                          <a:stretch>
                            <a:fillRect/>
                          </a:stretch>
                        </pic:blipFill>
                        <pic:spPr>
                          <a:xfrm>
                            <a:off x="0" y="0"/>
                            <a:ext cx="198120" cy="195072"/>
                          </a:xfrm>
                          <a:prstGeom prst="rect">
                            <a:avLst/>
                          </a:prstGeom>
                        </pic:spPr>
                      </pic:pic>
                    </a:graphicData>
                  </a:graphic>
                </wp:inline>
              </w:drawing>
            </w:r>
          </w:p>
        </w:tc>
        <w:tc>
          <w:tcPr>
            <w:tcW w:w="1062" w:type="dxa"/>
            <w:tcBorders>
              <w:right w:val="nil"/>
            </w:tcBorders>
            <w:shd w:val="clear" w:color="auto" w:fill="CCE2ED"/>
          </w:tcPr>
          <w:p w14:paraId="11B29B83" w14:textId="77777777" w:rsidR="00141B97" w:rsidRDefault="00141B97">
            <w:pPr>
              <w:pStyle w:val="TableParagraph"/>
              <w:rPr>
                <w:rFonts w:ascii="Times New Roman"/>
                <w:sz w:val="20"/>
              </w:rPr>
            </w:pPr>
          </w:p>
        </w:tc>
      </w:tr>
      <w:tr w:rsidR="00141B97" w14:paraId="0D0A1484" w14:textId="77777777">
        <w:trPr>
          <w:trHeight w:val="2194"/>
          <w:tblCellSpacing w:w="9" w:type="dxa"/>
        </w:trPr>
        <w:tc>
          <w:tcPr>
            <w:tcW w:w="1489" w:type="dxa"/>
            <w:tcBorders>
              <w:left w:val="nil"/>
              <w:bottom w:val="nil"/>
            </w:tcBorders>
            <w:shd w:val="clear" w:color="auto" w:fill="CCE2ED"/>
          </w:tcPr>
          <w:p w14:paraId="2A8CA109" w14:textId="77777777" w:rsidR="00141B97" w:rsidRDefault="00911D63">
            <w:pPr>
              <w:pStyle w:val="TableParagraph"/>
              <w:spacing w:line="242" w:lineRule="exact"/>
              <w:ind w:left="88"/>
              <w:rPr>
                <w:sz w:val="20"/>
              </w:rPr>
            </w:pPr>
            <w:r>
              <w:rPr>
                <w:sz w:val="20"/>
              </w:rPr>
              <w:t>Part</w:t>
            </w:r>
            <w:r>
              <w:rPr>
                <w:spacing w:val="-1"/>
                <w:sz w:val="20"/>
              </w:rPr>
              <w:t xml:space="preserve"> </w:t>
            </w:r>
            <w:r>
              <w:rPr>
                <w:spacing w:val="-10"/>
                <w:sz w:val="20"/>
              </w:rPr>
              <w:t>C</w:t>
            </w:r>
          </w:p>
          <w:p w14:paraId="700AB101" w14:textId="77777777" w:rsidR="00141B97" w:rsidRDefault="00911D63">
            <w:pPr>
              <w:pStyle w:val="TableParagraph"/>
              <w:ind w:left="88"/>
              <w:rPr>
                <w:sz w:val="20"/>
              </w:rPr>
            </w:pPr>
            <w:r>
              <w:rPr>
                <w:sz w:val="20"/>
              </w:rPr>
              <w:t xml:space="preserve">Rural </w:t>
            </w:r>
            <w:r>
              <w:rPr>
                <w:spacing w:val="-2"/>
                <w:sz w:val="20"/>
              </w:rPr>
              <w:t>Business</w:t>
            </w:r>
          </w:p>
        </w:tc>
        <w:tc>
          <w:tcPr>
            <w:tcW w:w="6301" w:type="dxa"/>
            <w:tcBorders>
              <w:bottom w:val="nil"/>
            </w:tcBorders>
            <w:shd w:val="clear" w:color="auto" w:fill="CCE2ED"/>
          </w:tcPr>
          <w:p w14:paraId="6535724A" w14:textId="77777777" w:rsidR="00141B97" w:rsidRDefault="00911D63">
            <w:pPr>
              <w:pStyle w:val="TableParagraph"/>
              <w:numPr>
                <w:ilvl w:val="0"/>
                <w:numId w:val="110"/>
              </w:numPr>
              <w:tabs>
                <w:tab w:val="left" w:pos="556"/>
                <w:tab w:val="left" w:pos="557"/>
              </w:tabs>
              <w:ind w:right="660"/>
            </w:pPr>
            <w:r>
              <w:t>P:</w:t>
            </w:r>
            <w:r>
              <w:rPr>
                <w:spacing w:val="-3"/>
              </w:rPr>
              <w:t xml:space="preserve"> </w:t>
            </w:r>
            <w:r>
              <w:t>Rural</w:t>
            </w:r>
            <w:r>
              <w:rPr>
                <w:spacing w:val="-2"/>
              </w:rPr>
              <w:t xml:space="preserve"> </w:t>
            </w:r>
            <w:r>
              <w:t>assessment</w:t>
            </w:r>
            <w:r>
              <w:rPr>
                <w:spacing w:val="-2"/>
              </w:rPr>
              <w:t xml:space="preserve"> </w:t>
            </w:r>
            <w:r>
              <w:t>noting</w:t>
            </w:r>
            <w:r>
              <w:rPr>
                <w:spacing w:val="-1"/>
              </w:rPr>
              <w:t xml:space="preserve"> </w:t>
            </w:r>
            <w:r>
              <w:t>no</w:t>
            </w:r>
            <w:r>
              <w:rPr>
                <w:spacing w:val="-4"/>
              </w:rPr>
              <w:t xml:space="preserve"> </w:t>
            </w:r>
            <w:r>
              <w:t>requirement</w:t>
            </w:r>
            <w:r>
              <w:rPr>
                <w:spacing w:val="-4"/>
              </w:rPr>
              <w:t xml:space="preserve"> </w:t>
            </w:r>
            <w:r>
              <w:t>for</w:t>
            </w:r>
            <w:r>
              <w:rPr>
                <w:spacing w:val="-3"/>
              </w:rPr>
              <w:t xml:space="preserve"> </w:t>
            </w:r>
            <w:r>
              <w:t>a</w:t>
            </w:r>
            <w:r>
              <w:rPr>
                <w:spacing w:val="-2"/>
              </w:rPr>
              <w:t xml:space="preserve"> </w:t>
            </w:r>
            <w:r>
              <w:t>formal</w:t>
            </w:r>
            <w:r>
              <w:rPr>
                <w:spacing w:val="-4"/>
              </w:rPr>
              <w:t xml:space="preserve"> </w:t>
            </w:r>
            <w:r>
              <w:t xml:space="preserve">P </w:t>
            </w:r>
            <w:r>
              <w:rPr>
                <w:spacing w:val="-2"/>
              </w:rPr>
              <w:t>assessment</w:t>
            </w:r>
          </w:p>
          <w:p w14:paraId="4E6E75B2" w14:textId="77777777" w:rsidR="00141B97" w:rsidRDefault="00911D63">
            <w:pPr>
              <w:pStyle w:val="TableParagraph"/>
              <w:numPr>
                <w:ilvl w:val="0"/>
                <w:numId w:val="110"/>
              </w:numPr>
              <w:tabs>
                <w:tab w:val="left" w:pos="556"/>
                <w:tab w:val="left" w:pos="557"/>
              </w:tabs>
              <w:ind w:right="668"/>
            </w:pPr>
            <w:r>
              <w:t>O:</w:t>
            </w:r>
            <w:r>
              <w:rPr>
                <w:spacing w:val="-3"/>
              </w:rPr>
              <w:t xml:space="preserve"> </w:t>
            </w:r>
            <w:r>
              <w:t>Specific</w:t>
            </w:r>
            <w:r>
              <w:rPr>
                <w:spacing w:val="-3"/>
              </w:rPr>
              <w:t xml:space="preserve"> </w:t>
            </w:r>
            <w:r>
              <w:t>rural</w:t>
            </w:r>
            <w:r>
              <w:rPr>
                <w:spacing w:val="-3"/>
              </w:rPr>
              <w:t xml:space="preserve"> </w:t>
            </w:r>
            <w:r>
              <w:t>proposal</w:t>
            </w:r>
            <w:r>
              <w:rPr>
                <w:spacing w:val="-4"/>
              </w:rPr>
              <w:t xml:space="preserve"> </w:t>
            </w:r>
            <w:r>
              <w:t>for</w:t>
            </w:r>
            <w:r>
              <w:rPr>
                <w:spacing w:val="-3"/>
              </w:rPr>
              <w:t xml:space="preserve"> </w:t>
            </w:r>
            <w:r>
              <w:t>customer</w:t>
            </w:r>
            <w:r>
              <w:rPr>
                <w:spacing w:val="-2"/>
              </w:rPr>
              <w:t xml:space="preserve"> </w:t>
            </w:r>
            <w:r>
              <w:t>outcomes,</w:t>
            </w:r>
            <w:r>
              <w:rPr>
                <w:spacing w:val="-3"/>
              </w:rPr>
              <w:t xml:space="preserve"> </w:t>
            </w:r>
            <w:r>
              <w:t xml:space="preserve">service </w:t>
            </w:r>
            <w:r>
              <w:rPr>
                <w:spacing w:val="-2"/>
              </w:rPr>
              <w:t>standards</w:t>
            </w:r>
          </w:p>
          <w:p w14:paraId="7EA60E51" w14:textId="77777777" w:rsidR="00141B97" w:rsidRDefault="00911D63">
            <w:pPr>
              <w:pStyle w:val="TableParagraph"/>
              <w:numPr>
                <w:ilvl w:val="0"/>
                <w:numId w:val="110"/>
              </w:numPr>
              <w:tabs>
                <w:tab w:val="left" w:pos="556"/>
                <w:tab w:val="left" w:pos="557"/>
              </w:tabs>
              <w:ind w:right="309"/>
            </w:pPr>
            <w:r>
              <w:t>Revenue</w:t>
            </w:r>
            <w:r>
              <w:rPr>
                <w:spacing w:val="-3"/>
              </w:rPr>
              <w:t xml:space="preserve"> </w:t>
            </w:r>
            <w:r>
              <w:t>&amp;</w:t>
            </w:r>
            <w:r>
              <w:rPr>
                <w:spacing w:val="-3"/>
              </w:rPr>
              <w:t xml:space="preserve"> </w:t>
            </w:r>
            <w:r>
              <w:t>financial</w:t>
            </w:r>
            <w:r>
              <w:rPr>
                <w:spacing w:val="-3"/>
              </w:rPr>
              <w:t xml:space="preserve"> </w:t>
            </w:r>
            <w:r>
              <w:t>parameters</w:t>
            </w:r>
            <w:r>
              <w:rPr>
                <w:spacing w:val="-4"/>
              </w:rPr>
              <w:t xml:space="preserve"> </w:t>
            </w:r>
            <w:r>
              <w:t>including</w:t>
            </w:r>
            <w:r>
              <w:rPr>
                <w:spacing w:val="-4"/>
              </w:rPr>
              <w:t xml:space="preserve"> </w:t>
            </w:r>
            <w:r>
              <w:t>demand,</w:t>
            </w:r>
            <w:r>
              <w:rPr>
                <w:spacing w:val="-3"/>
              </w:rPr>
              <w:t xml:space="preserve"> </w:t>
            </w:r>
            <w:r>
              <w:t>operating and capital expenditure</w:t>
            </w:r>
          </w:p>
          <w:p w14:paraId="438045C4" w14:textId="77777777" w:rsidR="00141B97" w:rsidRDefault="00911D63">
            <w:pPr>
              <w:pStyle w:val="TableParagraph"/>
              <w:numPr>
                <w:ilvl w:val="0"/>
                <w:numId w:val="110"/>
              </w:numPr>
              <w:tabs>
                <w:tab w:val="left" w:pos="556"/>
                <w:tab w:val="left" w:pos="557"/>
              </w:tabs>
              <w:spacing w:line="268" w:lineRule="exact"/>
              <w:ind w:right="544"/>
            </w:pPr>
            <w:r>
              <w:t>Prices</w:t>
            </w:r>
            <w:r>
              <w:rPr>
                <w:spacing w:val="-2"/>
              </w:rPr>
              <w:t xml:space="preserve"> </w:t>
            </w:r>
            <w:r>
              <w:t>including</w:t>
            </w:r>
            <w:r>
              <w:rPr>
                <w:spacing w:val="-4"/>
              </w:rPr>
              <w:t xml:space="preserve"> </w:t>
            </w:r>
            <w:r>
              <w:t>revenue</w:t>
            </w:r>
            <w:r>
              <w:rPr>
                <w:spacing w:val="-5"/>
              </w:rPr>
              <w:t xml:space="preserve"> </w:t>
            </w:r>
            <w:r>
              <w:t>requirement,</w:t>
            </w:r>
            <w:r>
              <w:rPr>
                <w:spacing w:val="-3"/>
              </w:rPr>
              <w:t xml:space="preserve"> </w:t>
            </w:r>
            <w:r>
              <w:t>tariff</w:t>
            </w:r>
            <w:r>
              <w:rPr>
                <w:spacing w:val="-4"/>
              </w:rPr>
              <w:t xml:space="preserve"> </w:t>
            </w:r>
            <w:r>
              <w:t>structures</w:t>
            </w:r>
            <w:r>
              <w:rPr>
                <w:spacing w:val="-5"/>
              </w:rPr>
              <w:t xml:space="preserve"> </w:t>
            </w:r>
            <w:r>
              <w:t>and prices per district</w:t>
            </w:r>
          </w:p>
        </w:tc>
        <w:tc>
          <w:tcPr>
            <w:tcW w:w="1050" w:type="dxa"/>
            <w:tcBorders>
              <w:bottom w:val="nil"/>
            </w:tcBorders>
            <w:shd w:val="clear" w:color="auto" w:fill="CCE2ED"/>
          </w:tcPr>
          <w:p w14:paraId="2B015249" w14:textId="77777777" w:rsidR="00141B97" w:rsidRDefault="00141B97">
            <w:pPr>
              <w:pStyle w:val="TableParagraph"/>
              <w:rPr>
                <w:rFonts w:ascii="Times New Roman"/>
                <w:sz w:val="20"/>
              </w:rPr>
            </w:pPr>
          </w:p>
        </w:tc>
        <w:tc>
          <w:tcPr>
            <w:tcW w:w="1062" w:type="dxa"/>
            <w:tcBorders>
              <w:bottom w:val="nil"/>
              <w:right w:val="nil"/>
            </w:tcBorders>
            <w:shd w:val="clear" w:color="auto" w:fill="CCE2ED"/>
          </w:tcPr>
          <w:p w14:paraId="6CBE8B71" w14:textId="77777777" w:rsidR="00141B97" w:rsidRDefault="00141B97">
            <w:pPr>
              <w:pStyle w:val="TableParagraph"/>
              <w:rPr>
                <w:sz w:val="20"/>
              </w:rPr>
            </w:pPr>
          </w:p>
          <w:p w14:paraId="64F84E7B" w14:textId="77777777" w:rsidR="00141B97" w:rsidRDefault="00141B97">
            <w:pPr>
              <w:pStyle w:val="TableParagraph"/>
              <w:rPr>
                <w:sz w:val="20"/>
              </w:rPr>
            </w:pPr>
          </w:p>
          <w:p w14:paraId="24E7BC32" w14:textId="77777777" w:rsidR="00141B97" w:rsidRDefault="00141B97">
            <w:pPr>
              <w:pStyle w:val="TableParagraph"/>
              <w:rPr>
                <w:sz w:val="20"/>
              </w:rPr>
            </w:pPr>
          </w:p>
          <w:p w14:paraId="692B9923" w14:textId="77777777" w:rsidR="00141B97" w:rsidRDefault="00141B97">
            <w:pPr>
              <w:pStyle w:val="TableParagraph"/>
              <w:spacing w:before="8"/>
              <w:rPr>
                <w:sz w:val="20"/>
              </w:rPr>
            </w:pPr>
          </w:p>
          <w:p w14:paraId="489EBECA" w14:textId="77777777" w:rsidR="00141B97" w:rsidRDefault="00911D63">
            <w:pPr>
              <w:pStyle w:val="TableParagraph"/>
              <w:ind w:left="369"/>
              <w:rPr>
                <w:sz w:val="20"/>
              </w:rPr>
            </w:pPr>
            <w:r>
              <w:rPr>
                <w:noProof/>
                <w:sz w:val="20"/>
              </w:rPr>
              <w:drawing>
                <wp:inline distT="0" distB="0" distL="0" distR="0" wp14:anchorId="190DBDFD" wp14:editId="3F3E5453">
                  <wp:extent cx="198120" cy="198120"/>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1" cstate="email">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r>
    </w:tbl>
    <w:p w14:paraId="56C1CA38" w14:textId="77777777" w:rsidR="00141B97" w:rsidRDefault="00911D63">
      <w:pPr>
        <w:spacing w:before="22"/>
        <w:ind w:left="154"/>
        <w:jc w:val="both"/>
        <w:rPr>
          <w:sz w:val="16"/>
        </w:rPr>
      </w:pPr>
      <w:r>
        <w:rPr>
          <w:sz w:val="16"/>
        </w:rPr>
        <w:t>Table</w:t>
      </w:r>
      <w:r>
        <w:rPr>
          <w:spacing w:val="-5"/>
          <w:sz w:val="16"/>
        </w:rPr>
        <w:t xml:space="preserve"> </w:t>
      </w:r>
      <w:r>
        <w:rPr>
          <w:sz w:val="16"/>
        </w:rPr>
        <w:t>A1:</w:t>
      </w:r>
      <w:r>
        <w:rPr>
          <w:spacing w:val="-6"/>
          <w:sz w:val="16"/>
        </w:rPr>
        <w:t xml:space="preserve"> </w:t>
      </w:r>
      <w:r>
        <w:rPr>
          <w:sz w:val="16"/>
        </w:rPr>
        <w:t>LMW</w:t>
      </w:r>
      <w:r>
        <w:rPr>
          <w:spacing w:val="-6"/>
          <w:sz w:val="16"/>
        </w:rPr>
        <w:t xml:space="preserve"> </w:t>
      </w:r>
      <w:r>
        <w:rPr>
          <w:sz w:val="16"/>
        </w:rPr>
        <w:t>Pricing</w:t>
      </w:r>
      <w:r>
        <w:rPr>
          <w:spacing w:val="-6"/>
          <w:sz w:val="16"/>
        </w:rPr>
        <w:t xml:space="preserve"> </w:t>
      </w:r>
      <w:r>
        <w:rPr>
          <w:sz w:val="16"/>
        </w:rPr>
        <w:t>Submission</w:t>
      </w:r>
      <w:r>
        <w:rPr>
          <w:spacing w:val="-5"/>
          <w:sz w:val="16"/>
        </w:rPr>
        <w:t xml:space="preserve"> </w:t>
      </w:r>
      <w:r>
        <w:rPr>
          <w:spacing w:val="-2"/>
          <w:sz w:val="16"/>
        </w:rPr>
        <w:t>Structure</w:t>
      </w:r>
    </w:p>
    <w:p w14:paraId="63779E02" w14:textId="77777777" w:rsidR="00141B97" w:rsidRDefault="00141B97">
      <w:pPr>
        <w:pStyle w:val="BodyText"/>
        <w:rPr>
          <w:sz w:val="16"/>
        </w:rPr>
      </w:pPr>
    </w:p>
    <w:p w14:paraId="7EF5A07E" w14:textId="77777777" w:rsidR="00141B97" w:rsidRDefault="00911D63">
      <w:pPr>
        <w:pStyle w:val="BodyText"/>
        <w:spacing w:before="143" w:line="276" w:lineRule="auto"/>
        <w:ind w:left="153" w:right="247"/>
        <w:jc w:val="both"/>
      </w:pPr>
      <w:r>
        <w:t>To</w:t>
      </w:r>
      <w:r>
        <w:rPr>
          <w:spacing w:val="-8"/>
        </w:rPr>
        <w:t xml:space="preserve"> </w:t>
      </w:r>
      <w:r>
        <w:t>support</w:t>
      </w:r>
      <w:r>
        <w:rPr>
          <w:spacing w:val="-7"/>
        </w:rPr>
        <w:t xml:space="preserve"> </w:t>
      </w:r>
      <w:r>
        <w:t>the</w:t>
      </w:r>
      <w:r>
        <w:rPr>
          <w:spacing w:val="-8"/>
        </w:rPr>
        <w:t xml:space="preserve"> </w:t>
      </w:r>
      <w:r>
        <w:t>readability</w:t>
      </w:r>
      <w:r>
        <w:rPr>
          <w:spacing w:val="-7"/>
        </w:rPr>
        <w:t xml:space="preserve"> </w:t>
      </w:r>
      <w:r>
        <w:t>of</w:t>
      </w:r>
      <w:r>
        <w:rPr>
          <w:spacing w:val="-7"/>
        </w:rPr>
        <w:t xml:space="preserve"> </w:t>
      </w:r>
      <w:r>
        <w:t>the</w:t>
      </w:r>
      <w:r>
        <w:rPr>
          <w:spacing w:val="-8"/>
        </w:rPr>
        <w:t xml:space="preserve"> </w:t>
      </w:r>
      <w:r>
        <w:t>submission</w:t>
      </w:r>
      <w:r>
        <w:rPr>
          <w:spacing w:val="-7"/>
        </w:rPr>
        <w:t xml:space="preserve"> </w:t>
      </w:r>
      <w:r>
        <w:t>across</w:t>
      </w:r>
      <w:r>
        <w:rPr>
          <w:spacing w:val="-8"/>
        </w:rPr>
        <w:t xml:space="preserve"> </w:t>
      </w:r>
      <w:r>
        <w:t>the</w:t>
      </w:r>
      <w:r>
        <w:rPr>
          <w:spacing w:val="-8"/>
        </w:rPr>
        <w:t xml:space="preserve"> </w:t>
      </w:r>
      <w:r>
        <w:t>urban</w:t>
      </w:r>
      <w:r>
        <w:rPr>
          <w:spacing w:val="-7"/>
        </w:rPr>
        <w:t xml:space="preserve"> </w:t>
      </w:r>
      <w:r>
        <w:t>and</w:t>
      </w:r>
      <w:r>
        <w:rPr>
          <w:spacing w:val="-8"/>
        </w:rPr>
        <w:t xml:space="preserve"> </w:t>
      </w:r>
      <w:r>
        <w:t>rural</w:t>
      </w:r>
      <w:r>
        <w:rPr>
          <w:spacing w:val="-7"/>
        </w:rPr>
        <w:t xml:space="preserve"> </w:t>
      </w:r>
      <w:r>
        <w:t>business</w:t>
      </w:r>
      <w:r>
        <w:rPr>
          <w:spacing w:val="-6"/>
        </w:rPr>
        <w:t xml:space="preserve"> </w:t>
      </w:r>
      <w:r>
        <w:t>units,</w:t>
      </w:r>
      <w:r>
        <w:rPr>
          <w:spacing w:val="-7"/>
        </w:rPr>
        <w:t xml:space="preserve"> </w:t>
      </w:r>
      <w:r>
        <w:t>and</w:t>
      </w:r>
      <w:r>
        <w:rPr>
          <w:spacing w:val="-7"/>
        </w:rPr>
        <w:t xml:space="preserve"> </w:t>
      </w:r>
      <w:r>
        <w:t>to</w:t>
      </w:r>
      <w:r>
        <w:rPr>
          <w:spacing w:val="-7"/>
        </w:rPr>
        <w:t xml:space="preserve"> </w:t>
      </w:r>
      <w:r>
        <w:t>enable</w:t>
      </w:r>
      <w:r>
        <w:rPr>
          <w:spacing w:val="-7"/>
        </w:rPr>
        <w:t xml:space="preserve"> </w:t>
      </w:r>
      <w:r>
        <w:t>the</w:t>
      </w:r>
      <w:r>
        <w:rPr>
          <w:spacing w:val="-7"/>
        </w:rPr>
        <w:t xml:space="preserve"> </w:t>
      </w:r>
      <w:r>
        <w:t>reader to navigate the three parts, the following index has been provided to highlight the relevant sections of the submission that addresses each of ESC’s guidance topics:</w:t>
      </w:r>
    </w:p>
    <w:p w14:paraId="301B05F3" w14:textId="77777777" w:rsidR="00141B97" w:rsidRDefault="00141B97">
      <w:pPr>
        <w:spacing w:line="276" w:lineRule="auto"/>
        <w:jc w:val="both"/>
        <w:sectPr w:rsidR="00141B97">
          <w:pgSz w:w="11910" w:h="16840"/>
          <w:pgMar w:top="860" w:right="740" w:bottom="1120" w:left="980" w:header="0" w:footer="896" w:gutter="0"/>
          <w:cols w:space="720"/>
        </w:sect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9"/>
        <w:gridCol w:w="5534"/>
        <w:gridCol w:w="3348"/>
      </w:tblGrid>
      <w:tr w:rsidR="00141B97" w14:paraId="4FB9185B" w14:textId="77777777">
        <w:trPr>
          <w:trHeight w:val="301"/>
        </w:trPr>
        <w:tc>
          <w:tcPr>
            <w:tcW w:w="889" w:type="dxa"/>
            <w:tcBorders>
              <w:bottom w:val="single" w:sz="8" w:space="0" w:color="FFFFFF"/>
            </w:tcBorders>
            <w:shd w:val="clear" w:color="auto" w:fill="006CA3"/>
          </w:tcPr>
          <w:p w14:paraId="17BFFEA4" w14:textId="77777777" w:rsidR="00141B97" w:rsidRDefault="00911D63">
            <w:pPr>
              <w:pStyle w:val="TableParagraph"/>
              <w:spacing w:before="1"/>
              <w:ind w:left="107"/>
              <w:rPr>
                <w:sz w:val="18"/>
              </w:rPr>
            </w:pPr>
            <w:r>
              <w:rPr>
                <w:color w:val="FFFFFF"/>
                <w:spacing w:val="-5"/>
                <w:sz w:val="18"/>
              </w:rPr>
              <w:lastRenderedPageBreak/>
              <w:t>Ref</w:t>
            </w:r>
          </w:p>
        </w:tc>
        <w:tc>
          <w:tcPr>
            <w:tcW w:w="5534" w:type="dxa"/>
            <w:tcBorders>
              <w:bottom w:val="single" w:sz="8" w:space="0" w:color="FFFFFF"/>
            </w:tcBorders>
            <w:shd w:val="clear" w:color="auto" w:fill="006CA3"/>
          </w:tcPr>
          <w:p w14:paraId="3B98985E" w14:textId="77777777" w:rsidR="00141B97" w:rsidRDefault="00911D63">
            <w:pPr>
              <w:pStyle w:val="TableParagraph"/>
              <w:spacing w:before="1"/>
              <w:ind w:left="107"/>
              <w:rPr>
                <w:sz w:val="18"/>
              </w:rPr>
            </w:pPr>
            <w:r>
              <w:rPr>
                <w:color w:val="FFFFFF"/>
                <w:sz w:val="18"/>
              </w:rPr>
              <w:t>ESC</w:t>
            </w:r>
            <w:r>
              <w:rPr>
                <w:color w:val="FFFFFF"/>
                <w:spacing w:val="-1"/>
                <w:sz w:val="18"/>
              </w:rPr>
              <w:t xml:space="preserve"> </w:t>
            </w:r>
            <w:r>
              <w:rPr>
                <w:color w:val="FFFFFF"/>
                <w:sz w:val="18"/>
              </w:rPr>
              <w:t xml:space="preserve">Required Submission </w:t>
            </w:r>
            <w:r>
              <w:rPr>
                <w:color w:val="FFFFFF"/>
                <w:spacing w:val="-2"/>
                <w:sz w:val="18"/>
              </w:rPr>
              <w:t>Content</w:t>
            </w:r>
          </w:p>
        </w:tc>
        <w:tc>
          <w:tcPr>
            <w:tcW w:w="3348" w:type="dxa"/>
            <w:tcBorders>
              <w:bottom w:val="single" w:sz="8" w:space="0" w:color="FFFFFF"/>
            </w:tcBorders>
            <w:shd w:val="clear" w:color="auto" w:fill="006CA3"/>
          </w:tcPr>
          <w:p w14:paraId="681A303A" w14:textId="77777777" w:rsidR="00141B97" w:rsidRDefault="00911D63">
            <w:pPr>
              <w:pStyle w:val="TableParagraph"/>
              <w:spacing w:before="1"/>
              <w:ind w:left="108"/>
              <w:rPr>
                <w:sz w:val="18"/>
              </w:rPr>
            </w:pPr>
            <w:r>
              <w:rPr>
                <w:color w:val="FFFFFF"/>
                <w:sz w:val="18"/>
              </w:rPr>
              <w:t>LMW</w:t>
            </w:r>
            <w:r>
              <w:rPr>
                <w:color w:val="FFFFFF"/>
                <w:spacing w:val="-1"/>
                <w:sz w:val="18"/>
              </w:rPr>
              <w:t xml:space="preserve"> </w:t>
            </w:r>
            <w:r>
              <w:rPr>
                <w:color w:val="FFFFFF"/>
                <w:sz w:val="18"/>
              </w:rPr>
              <w:t xml:space="preserve">PS5 </w:t>
            </w:r>
            <w:r>
              <w:rPr>
                <w:color w:val="FFFFFF"/>
                <w:spacing w:val="-2"/>
                <w:sz w:val="18"/>
              </w:rPr>
              <w:t>Reference</w:t>
            </w:r>
          </w:p>
        </w:tc>
      </w:tr>
      <w:tr w:rsidR="00141B97" w14:paraId="6BF95965" w14:textId="77777777">
        <w:trPr>
          <w:trHeight w:val="1263"/>
        </w:trPr>
        <w:tc>
          <w:tcPr>
            <w:tcW w:w="889" w:type="dxa"/>
            <w:tcBorders>
              <w:top w:val="single" w:sz="8" w:space="0" w:color="FFFFFF"/>
              <w:left w:val="nil"/>
              <w:bottom w:val="single" w:sz="8" w:space="0" w:color="FFFFFF"/>
              <w:right w:val="nil"/>
            </w:tcBorders>
            <w:shd w:val="clear" w:color="auto" w:fill="CCE2ED"/>
          </w:tcPr>
          <w:p w14:paraId="0AE83B7F" w14:textId="77777777" w:rsidR="00141B97" w:rsidRDefault="00911D63">
            <w:pPr>
              <w:pStyle w:val="TableParagraph"/>
              <w:spacing w:before="2"/>
              <w:ind w:left="112"/>
              <w:rPr>
                <w:sz w:val="18"/>
              </w:rPr>
            </w:pPr>
            <w:r>
              <w:rPr>
                <w:spacing w:val="-5"/>
                <w:sz w:val="18"/>
              </w:rPr>
              <w:t>3.1</w:t>
            </w:r>
          </w:p>
        </w:tc>
        <w:tc>
          <w:tcPr>
            <w:tcW w:w="5534" w:type="dxa"/>
            <w:tcBorders>
              <w:top w:val="single" w:sz="8" w:space="0" w:color="FFFFFF"/>
              <w:left w:val="nil"/>
              <w:bottom w:val="single" w:sz="8" w:space="0" w:color="FFFFFF"/>
              <w:right w:val="nil"/>
            </w:tcBorders>
            <w:shd w:val="clear" w:color="auto" w:fill="CCE2ED"/>
          </w:tcPr>
          <w:p w14:paraId="0A3F21D9" w14:textId="77777777" w:rsidR="00141B97" w:rsidRDefault="00911D63">
            <w:pPr>
              <w:pStyle w:val="TableParagraph"/>
              <w:spacing w:before="2"/>
              <w:ind w:left="112"/>
              <w:rPr>
                <w:sz w:val="18"/>
              </w:rPr>
            </w:pPr>
            <w:r>
              <w:rPr>
                <w:sz w:val="18"/>
              </w:rPr>
              <w:t>Managing</w:t>
            </w:r>
            <w:r>
              <w:rPr>
                <w:spacing w:val="-1"/>
                <w:sz w:val="18"/>
              </w:rPr>
              <w:t xml:space="preserve"> </w:t>
            </w:r>
            <w:r>
              <w:rPr>
                <w:spacing w:val="-4"/>
                <w:sz w:val="18"/>
              </w:rPr>
              <w:t>risk</w:t>
            </w:r>
          </w:p>
        </w:tc>
        <w:tc>
          <w:tcPr>
            <w:tcW w:w="3348" w:type="dxa"/>
            <w:tcBorders>
              <w:top w:val="single" w:sz="8" w:space="0" w:color="FFFFFF"/>
              <w:left w:val="nil"/>
              <w:bottom w:val="single" w:sz="8" w:space="0" w:color="FFFFFF"/>
              <w:right w:val="nil"/>
            </w:tcBorders>
            <w:shd w:val="clear" w:color="auto" w:fill="CCE2ED"/>
          </w:tcPr>
          <w:p w14:paraId="330249D7" w14:textId="77777777" w:rsidR="00141B97" w:rsidRDefault="00911D63">
            <w:pPr>
              <w:pStyle w:val="TableParagraph"/>
              <w:spacing w:before="2"/>
              <w:ind w:left="113"/>
              <w:rPr>
                <w:sz w:val="18"/>
              </w:rPr>
            </w:pPr>
            <w:r>
              <w:rPr>
                <w:sz w:val="18"/>
              </w:rPr>
              <w:t>Part</w:t>
            </w:r>
            <w:r>
              <w:rPr>
                <w:spacing w:val="-5"/>
                <w:sz w:val="18"/>
              </w:rPr>
              <w:t xml:space="preserve"> </w:t>
            </w:r>
            <w:r>
              <w:rPr>
                <w:sz w:val="18"/>
              </w:rPr>
              <w:t>A:</w:t>
            </w:r>
            <w:r>
              <w:rPr>
                <w:spacing w:val="-3"/>
                <w:sz w:val="18"/>
              </w:rPr>
              <w:t xml:space="preserve"> </w:t>
            </w:r>
            <w:r>
              <w:rPr>
                <w:sz w:val="18"/>
              </w:rPr>
              <w:t>Section</w:t>
            </w:r>
            <w:r>
              <w:rPr>
                <w:spacing w:val="-3"/>
                <w:sz w:val="18"/>
              </w:rPr>
              <w:t xml:space="preserve"> </w:t>
            </w:r>
            <w:r>
              <w:rPr>
                <w:spacing w:val="-12"/>
                <w:sz w:val="18"/>
              </w:rPr>
              <w:t>6</w:t>
            </w:r>
          </w:p>
          <w:p w14:paraId="79D785EF" w14:textId="77777777" w:rsidR="00141B97" w:rsidRDefault="00911D63">
            <w:pPr>
              <w:pStyle w:val="TableParagraph"/>
              <w:spacing w:before="33"/>
              <w:ind w:left="113"/>
              <w:rPr>
                <w:sz w:val="18"/>
              </w:rPr>
            </w:pPr>
            <w:r>
              <w:rPr>
                <w:sz w:val="18"/>
              </w:rPr>
              <w:t>Part</w:t>
            </w:r>
            <w:r>
              <w:rPr>
                <w:spacing w:val="43"/>
                <w:sz w:val="18"/>
              </w:rPr>
              <w:t xml:space="preserve"> </w:t>
            </w:r>
            <w:r>
              <w:rPr>
                <w:sz w:val="18"/>
              </w:rPr>
              <w:t>B:</w:t>
            </w:r>
            <w:r>
              <w:rPr>
                <w:spacing w:val="44"/>
                <w:sz w:val="18"/>
              </w:rPr>
              <w:t xml:space="preserve"> </w:t>
            </w:r>
            <w:r>
              <w:rPr>
                <w:sz w:val="18"/>
              </w:rPr>
              <w:t>2.2.1,</w:t>
            </w:r>
            <w:r>
              <w:rPr>
                <w:spacing w:val="45"/>
                <w:sz w:val="18"/>
              </w:rPr>
              <w:t xml:space="preserve"> </w:t>
            </w:r>
            <w:r>
              <w:rPr>
                <w:sz w:val="18"/>
              </w:rPr>
              <w:t>2.4.4,</w:t>
            </w:r>
            <w:r>
              <w:rPr>
                <w:spacing w:val="44"/>
                <w:sz w:val="18"/>
              </w:rPr>
              <w:t xml:space="preserve"> </w:t>
            </w:r>
            <w:r>
              <w:rPr>
                <w:sz w:val="18"/>
              </w:rPr>
              <w:t>2.5.1,</w:t>
            </w:r>
            <w:r>
              <w:rPr>
                <w:spacing w:val="45"/>
                <w:sz w:val="18"/>
              </w:rPr>
              <w:t xml:space="preserve"> </w:t>
            </w:r>
            <w:r>
              <w:rPr>
                <w:sz w:val="18"/>
              </w:rPr>
              <w:t>4.3.3,</w:t>
            </w:r>
            <w:r>
              <w:rPr>
                <w:spacing w:val="45"/>
                <w:sz w:val="18"/>
              </w:rPr>
              <w:t xml:space="preserve"> </w:t>
            </w:r>
            <w:r>
              <w:rPr>
                <w:spacing w:val="-2"/>
                <w:sz w:val="18"/>
              </w:rPr>
              <w:t>4.4.1.2,</w:t>
            </w:r>
          </w:p>
          <w:p w14:paraId="5C3A10F1" w14:textId="77777777" w:rsidR="00141B97" w:rsidRDefault="00911D63">
            <w:pPr>
              <w:pStyle w:val="TableParagraph"/>
              <w:spacing w:before="33"/>
              <w:ind w:left="113"/>
              <w:rPr>
                <w:sz w:val="18"/>
              </w:rPr>
            </w:pPr>
            <w:r>
              <w:rPr>
                <w:sz w:val="18"/>
              </w:rPr>
              <w:t>4.4.1.6,</w:t>
            </w:r>
            <w:r>
              <w:rPr>
                <w:spacing w:val="-2"/>
                <w:sz w:val="18"/>
              </w:rPr>
              <w:t xml:space="preserve"> </w:t>
            </w:r>
            <w:r>
              <w:rPr>
                <w:sz w:val="18"/>
              </w:rPr>
              <w:t>4.5.3,</w:t>
            </w:r>
            <w:r>
              <w:rPr>
                <w:spacing w:val="-2"/>
                <w:sz w:val="18"/>
              </w:rPr>
              <w:t xml:space="preserve"> </w:t>
            </w:r>
            <w:r>
              <w:rPr>
                <w:sz w:val="18"/>
              </w:rPr>
              <w:t>4.5.4,</w:t>
            </w:r>
            <w:r>
              <w:rPr>
                <w:spacing w:val="-2"/>
                <w:sz w:val="18"/>
              </w:rPr>
              <w:t xml:space="preserve"> </w:t>
            </w:r>
            <w:r>
              <w:rPr>
                <w:sz w:val="18"/>
              </w:rPr>
              <w:t>5.1,</w:t>
            </w:r>
            <w:r>
              <w:rPr>
                <w:spacing w:val="-1"/>
                <w:sz w:val="18"/>
              </w:rPr>
              <w:t xml:space="preserve"> </w:t>
            </w:r>
            <w:r>
              <w:rPr>
                <w:spacing w:val="-2"/>
                <w:sz w:val="18"/>
              </w:rPr>
              <w:t>6.1.1</w:t>
            </w:r>
          </w:p>
          <w:p w14:paraId="3AA8D5C7" w14:textId="77777777" w:rsidR="00141B97" w:rsidRDefault="00911D63">
            <w:pPr>
              <w:pStyle w:val="TableParagraph"/>
              <w:spacing w:before="33"/>
              <w:ind w:left="113"/>
              <w:rPr>
                <w:sz w:val="18"/>
              </w:rPr>
            </w:pPr>
            <w:r>
              <w:rPr>
                <w:sz w:val="18"/>
              </w:rPr>
              <w:t>Part</w:t>
            </w:r>
            <w:r>
              <w:rPr>
                <w:spacing w:val="13"/>
                <w:sz w:val="18"/>
              </w:rPr>
              <w:t xml:space="preserve"> </w:t>
            </w:r>
            <w:r>
              <w:rPr>
                <w:sz w:val="18"/>
              </w:rPr>
              <w:t>C:</w:t>
            </w:r>
            <w:r>
              <w:rPr>
                <w:spacing w:val="13"/>
                <w:sz w:val="18"/>
              </w:rPr>
              <w:t xml:space="preserve"> </w:t>
            </w:r>
            <w:r>
              <w:rPr>
                <w:sz w:val="18"/>
              </w:rPr>
              <w:t>1.1,</w:t>
            </w:r>
            <w:r>
              <w:rPr>
                <w:spacing w:val="14"/>
                <w:sz w:val="18"/>
              </w:rPr>
              <w:t xml:space="preserve"> </w:t>
            </w:r>
            <w:r>
              <w:rPr>
                <w:sz w:val="18"/>
              </w:rPr>
              <w:t>2.1.1,</w:t>
            </w:r>
            <w:r>
              <w:rPr>
                <w:spacing w:val="14"/>
                <w:sz w:val="18"/>
              </w:rPr>
              <w:t xml:space="preserve"> </w:t>
            </w:r>
            <w:r>
              <w:rPr>
                <w:sz w:val="18"/>
              </w:rPr>
              <w:t>2.1.2,</w:t>
            </w:r>
            <w:r>
              <w:rPr>
                <w:spacing w:val="13"/>
                <w:sz w:val="18"/>
              </w:rPr>
              <w:t xml:space="preserve"> </w:t>
            </w:r>
            <w:r>
              <w:rPr>
                <w:sz w:val="18"/>
              </w:rPr>
              <w:t>2.5.1,</w:t>
            </w:r>
            <w:r>
              <w:rPr>
                <w:spacing w:val="13"/>
                <w:sz w:val="18"/>
              </w:rPr>
              <w:t xml:space="preserve"> </w:t>
            </w:r>
            <w:r>
              <w:rPr>
                <w:sz w:val="18"/>
              </w:rPr>
              <w:t>4.2.3,</w:t>
            </w:r>
            <w:r>
              <w:rPr>
                <w:spacing w:val="14"/>
                <w:sz w:val="18"/>
              </w:rPr>
              <w:t xml:space="preserve"> </w:t>
            </w:r>
            <w:r>
              <w:rPr>
                <w:spacing w:val="-2"/>
                <w:sz w:val="18"/>
              </w:rPr>
              <w:t>4.2.5,</w:t>
            </w:r>
          </w:p>
          <w:p w14:paraId="7A1E002B" w14:textId="77777777" w:rsidR="00141B97" w:rsidRDefault="00911D63">
            <w:pPr>
              <w:pStyle w:val="TableParagraph"/>
              <w:spacing w:before="32"/>
              <w:ind w:left="113"/>
              <w:rPr>
                <w:sz w:val="18"/>
              </w:rPr>
            </w:pPr>
            <w:r>
              <w:rPr>
                <w:sz w:val="18"/>
              </w:rPr>
              <w:t>4.3.1.1,</w:t>
            </w:r>
            <w:r>
              <w:rPr>
                <w:spacing w:val="-1"/>
                <w:sz w:val="18"/>
              </w:rPr>
              <w:t xml:space="preserve"> </w:t>
            </w:r>
            <w:r>
              <w:rPr>
                <w:sz w:val="18"/>
              </w:rPr>
              <w:t>4.4.2,</w:t>
            </w:r>
            <w:r>
              <w:rPr>
                <w:spacing w:val="-1"/>
                <w:sz w:val="18"/>
              </w:rPr>
              <w:t xml:space="preserve"> </w:t>
            </w:r>
            <w:r>
              <w:rPr>
                <w:spacing w:val="-2"/>
                <w:sz w:val="18"/>
              </w:rPr>
              <w:t>4.4.4</w:t>
            </w:r>
          </w:p>
        </w:tc>
      </w:tr>
      <w:tr w:rsidR="00141B97" w14:paraId="106698C3" w14:textId="77777777">
        <w:trPr>
          <w:trHeight w:val="252"/>
        </w:trPr>
        <w:tc>
          <w:tcPr>
            <w:tcW w:w="889" w:type="dxa"/>
            <w:tcBorders>
              <w:top w:val="single" w:sz="8" w:space="0" w:color="FFFFFF"/>
              <w:left w:val="nil"/>
              <w:bottom w:val="single" w:sz="8" w:space="0" w:color="FFFFFF"/>
              <w:right w:val="nil"/>
            </w:tcBorders>
            <w:shd w:val="clear" w:color="auto" w:fill="CCE2ED"/>
          </w:tcPr>
          <w:p w14:paraId="57E7678F" w14:textId="77777777" w:rsidR="00141B97" w:rsidRDefault="00911D63">
            <w:pPr>
              <w:pStyle w:val="TableParagraph"/>
              <w:spacing w:before="2"/>
              <w:ind w:left="112"/>
              <w:rPr>
                <w:sz w:val="18"/>
              </w:rPr>
            </w:pPr>
            <w:r>
              <w:rPr>
                <w:spacing w:val="-5"/>
                <w:sz w:val="18"/>
              </w:rPr>
              <w:t>3.2</w:t>
            </w:r>
          </w:p>
        </w:tc>
        <w:tc>
          <w:tcPr>
            <w:tcW w:w="5534" w:type="dxa"/>
            <w:tcBorders>
              <w:top w:val="single" w:sz="8" w:space="0" w:color="FFFFFF"/>
              <w:left w:val="nil"/>
              <w:bottom w:val="single" w:sz="8" w:space="0" w:color="FFFFFF"/>
              <w:right w:val="nil"/>
            </w:tcBorders>
            <w:shd w:val="clear" w:color="auto" w:fill="CCE2ED"/>
          </w:tcPr>
          <w:p w14:paraId="637CBA21" w14:textId="77777777" w:rsidR="00141B97" w:rsidRDefault="00911D63">
            <w:pPr>
              <w:pStyle w:val="TableParagraph"/>
              <w:spacing w:before="2"/>
              <w:ind w:left="112"/>
              <w:rPr>
                <w:sz w:val="18"/>
              </w:rPr>
            </w:pPr>
            <w:r>
              <w:rPr>
                <w:sz w:val="18"/>
              </w:rPr>
              <w:t>Regulatory</w:t>
            </w:r>
            <w:r>
              <w:rPr>
                <w:spacing w:val="-9"/>
                <w:sz w:val="18"/>
              </w:rPr>
              <w:t xml:space="preserve"> </w:t>
            </w:r>
            <w:r>
              <w:rPr>
                <w:spacing w:val="-2"/>
                <w:sz w:val="18"/>
              </w:rPr>
              <w:t>period</w:t>
            </w:r>
          </w:p>
        </w:tc>
        <w:tc>
          <w:tcPr>
            <w:tcW w:w="3348" w:type="dxa"/>
            <w:tcBorders>
              <w:top w:val="single" w:sz="8" w:space="0" w:color="FFFFFF"/>
              <w:left w:val="nil"/>
              <w:bottom w:val="single" w:sz="8" w:space="0" w:color="FFFFFF"/>
              <w:right w:val="nil"/>
            </w:tcBorders>
            <w:shd w:val="clear" w:color="auto" w:fill="CCE2ED"/>
          </w:tcPr>
          <w:p w14:paraId="42FD7462" w14:textId="77777777" w:rsidR="00141B97" w:rsidRDefault="00911D63">
            <w:pPr>
              <w:pStyle w:val="TableParagraph"/>
              <w:spacing w:before="2"/>
              <w:ind w:left="113"/>
              <w:rPr>
                <w:sz w:val="18"/>
              </w:rPr>
            </w:pPr>
            <w:r>
              <w:rPr>
                <w:sz w:val="18"/>
              </w:rPr>
              <w:t>Part</w:t>
            </w:r>
            <w:r>
              <w:rPr>
                <w:spacing w:val="-1"/>
                <w:sz w:val="18"/>
              </w:rPr>
              <w:t xml:space="preserve"> </w:t>
            </w:r>
            <w:r>
              <w:rPr>
                <w:sz w:val="18"/>
              </w:rPr>
              <w:t>A:</w:t>
            </w:r>
            <w:r>
              <w:rPr>
                <w:spacing w:val="-1"/>
                <w:sz w:val="18"/>
              </w:rPr>
              <w:t xml:space="preserve"> </w:t>
            </w:r>
            <w:r>
              <w:rPr>
                <w:spacing w:val="-5"/>
                <w:sz w:val="18"/>
              </w:rPr>
              <w:t>4.3</w:t>
            </w:r>
          </w:p>
        </w:tc>
      </w:tr>
      <w:tr w:rsidR="00141B97" w14:paraId="79576070" w14:textId="77777777">
        <w:trPr>
          <w:trHeight w:val="758"/>
        </w:trPr>
        <w:tc>
          <w:tcPr>
            <w:tcW w:w="889" w:type="dxa"/>
            <w:tcBorders>
              <w:top w:val="single" w:sz="8" w:space="0" w:color="FFFFFF"/>
              <w:left w:val="nil"/>
              <w:bottom w:val="single" w:sz="8" w:space="0" w:color="FFFFFF"/>
              <w:right w:val="nil"/>
            </w:tcBorders>
            <w:shd w:val="clear" w:color="auto" w:fill="CCE2ED"/>
          </w:tcPr>
          <w:p w14:paraId="4AFF3D6B" w14:textId="77777777" w:rsidR="00141B97" w:rsidRDefault="00911D63">
            <w:pPr>
              <w:pStyle w:val="TableParagraph"/>
              <w:spacing w:before="2"/>
              <w:ind w:left="112"/>
              <w:rPr>
                <w:sz w:val="18"/>
              </w:rPr>
            </w:pPr>
            <w:r>
              <w:rPr>
                <w:spacing w:val="-5"/>
                <w:sz w:val="18"/>
              </w:rPr>
              <w:t>3.3</w:t>
            </w:r>
          </w:p>
        </w:tc>
        <w:tc>
          <w:tcPr>
            <w:tcW w:w="5534" w:type="dxa"/>
            <w:tcBorders>
              <w:top w:val="single" w:sz="8" w:space="0" w:color="FFFFFF"/>
              <w:left w:val="nil"/>
              <w:bottom w:val="single" w:sz="8" w:space="0" w:color="FFFFFF"/>
              <w:right w:val="nil"/>
            </w:tcBorders>
            <w:shd w:val="clear" w:color="auto" w:fill="CCE2ED"/>
          </w:tcPr>
          <w:p w14:paraId="3CE3FDC6" w14:textId="77777777" w:rsidR="00141B97" w:rsidRDefault="00911D63">
            <w:pPr>
              <w:pStyle w:val="TableParagraph"/>
              <w:spacing w:before="2"/>
              <w:ind w:left="112"/>
              <w:rPr>
                <w:sz w:val="18"/>
              </w:rPr>
            </w:pPr>
            <w:r>
              <w:rPr>
                <w:sz w:val="18"/>
              </w:rPr>
              <w:t>Customer</w:t>
            </w:r>
            <w:r>
              <w:rPr>
                <w:spacing w:val="-7"/>
                <w:sz w:val="18"/>
              </w:rPr>
              <w:t xml:space="preserve"> </w:t>
            </w:r>
            <w:r>
              <w:rPr>
                <w:spacing w:val="-2"/>
                <w:sz w:val="18"/>
              </w:rPr>
              <w:t>engagement</w:t>
            </w:r>
          </w:p>
        </w:tc>
        <w:tc>
          <w:tcPr>
            <w:tcW w:w="3348" w:type="dxa"/>
            <w:tcBorders>
              <w:top w:val="single" w:sz="8" w:space="0" w:color="FFFFFF"/>
              <w:left w:val="nil"/>
              <w:bottom w:val="single" w:sz="8" w:space="0" w:color="FFFFFF"/>
              <w:right w:val="nil"/>
            </w:tcBorders>
            <w:shd w:val="clear" w:color="auto" w:fill="CCE2ED"/>
          </w:tcPr>
          <w:p w14:paraId="118B6ED9" w14:textId="77777777" w:rsidR="00141B97" w:rsidRDefault="00911D63">
            <w:pPr>
              <w:pStyle w:val="TableParagraph"/>
              <w:spacing w:before="2" w:line="276" w:lineRule="auto"/>
              <w:ind w:left="113" w:right="1796"/>
              <w:rPr>
                <w:sz w:val="18"/>
              </w:rPr>
            </w:pPr>
            <w:r>
              <w:rPr>
                <w:sz w:val="18"/>
              </w:rPr>
              <w:t>Part</w:t>
            </w:r>
            <w:r>
              <w:rPr>
                <w:spacing w:val="-11"/>
                <w:sz w:val="18"/>
              </w:rPr>
              <w:t xml:space="preserve"> </w:t>
            </w:r>
            <w:r>
              <w:rPr>
                <w:sz w:val="18"/>
              </w:rPr>
              <w:t>A:</w:t>
            </w:r>
            <w:r>
              <w:rPr>
                <w:spacing w:val="-10"/>
                <w:sz w:val="18"/>
              </w:rPr>
              <w:t xml:space="preserve"> </w:t>
            </w:r>
            <w:r>
              <w:rPr>
                <w:sz w:val="18"/>
              </w:rPr>
              <w:t>Section</w:t>
            </w:r>
            <w:r>
              <w:rPr>
                <w:spacing w:val="-10"/>
                <w:sz w:val="18"/>
              </w:rPr>
              <w:t xml:space="preserve"> </w:t>
            </w:r>
            <w:r>
              <w:rPr>
                <w:sz w:val="18"/>
              </w:rPr>
              <w:t>2 Part</w:t>
            </w:r>
            <w:r>
              <w:rPr>
                <w:spacing w:val="-6"/>
                <w:sz w:val="18"/>
              </w:rPr>
              <w:t xml:space="preserve"> </w:t>
            </w:r>
            <w:r>
              <w:rPr>
                <w:sz w:val="18"/>
              </w:rPr>
              <w:t>B:</w:t>
            </w:r>
            <w:r>
              <w:rPr>
                <w:spacing w:val="-3"/>
                <w:sz w:val="18"/>
              </w:rPr>
              <w:t xml:space="preserve"> </w:t>
            </w:r>
            <w:r>
              <w:rPr>
                <w:sz w:val="18"/>
              </w:rPr>
              <w:t>Section</w:t>
            </w:r>
            <w:r>
              <w:rPr>
                <w:spacing w:val="-3"/>
                <w:sz w:val="18"/>
              </w:rPr>
              <w:t xml:space="preserve"> </w:t>
            </w:r>
            <w:r>
              <w:rPr>
                <w:spacing w:val="-12"/>
                <w:sz w:val="18"/>
              </w:rPr>
              <w:t>3</w:t>
            </w:r>
          </w:p>
          <w:p w14:paraId="2D282D1C" w14:textId="77777777" w:rsidR="00141B97" w:rsidRDefault="00911D63">
            <w:pPr>
              <w:pStyle w:val="TableParagraph"/>
              <w:ind w:left="113"/>
              <w:rPr>
                <w:sz w:val="18"/>
              </w:rPr>
            </w:pPr>
            <w:r>
              <w:rPr>
                <w:sz w:val="18"/>
              </w:rPr>
              <w:t>Part</w:t>
            </w:r>
            <w:r>
              <w:rPr>
                <w:spacing w:val="-6"/>
                <w:sz w:val="18"/>
              </w:rPr>
              <w:t xml:space="preserve"> </w:t>
            </w:r>
            <w:r>
              <w:rPr>
                <w:sz w:val="18"/>
              </w:rPr>
              <w:t>C:</w:t>
            </w:r>
            <w:r>
              <w:rPr>
                <w:spacing w:val="-3"/>
                <w:sz w:val="18"/>
              </w:rPr>
              <w:t xml:space="preserve"> </w:t>
            </w:r>
            <w:r>
              <w:rPr>
                <w:sz w:val="18"/>
              </w:rPr>
              <w:t>Section</w:t>
            </w:r>
            <w:r>
              <w:rPr>
                <w:spacing w:val="-3"/>
                <w:sz w:val="18"/>
              </w:rPr>
              <w:t xml:space="preserve"> </w:t>
            </w:r>
            <w:r>
              <w:rPr>
                <w:spacing w:val="-12"/>
                <w:sz w:val="18"/>
              </w:rPr>
              <w:t>3</w:t>
            </w:r>
          </w:p>
        </w:tc>
      </w:tr>
      <w:tr w:rsidR="00141B97" w14:paraId="0F6B0BB2" w14:textId="77777777">
        <w:trPr>
          <w:trHeight w:val="504"/>
        </w:trPr>
        <w:tc>
          <w:tcPr>
            <w:tcW w:w="889" w:type="dxa"/>
            <w:tcBorders>
              <w:top w:val="single" w:sz="8" w:space="0" w:color="FFFFFF"/>
              <w:left w:val="nil"/>
              <w:bottom w:val="single" w:sz="8" w:space="0" w:color="FFFFFF"/>
              <w:right w:val="nil"/>
            </w:tcBorders>
            <w:shd w:val="clear" w:color="auto" w:fill="CCE2ED"/>
          </w:tcPr>
          <w:p w14:paraId="281B9DA7" w14:textId="77777777" w:rsidR="00141B97" w:rsidRDefault="00911D63">
            <w:pPr>
              <w:pStyle w:val="TableParagraph"/>
              <w:spacing w:before="1"/>
              <w:ind w:left="112"/>
              <w:rPr>
                <w:sz w:val="18"/>
              </w:rPr>
            </w:pPr>
            <w:r>
              <w:rPr>
                <w:spacing w:val="-5"/>
                <w:sz w:val="18"/>
              </w:rPr>
              <w:t>3.4</w:t>
            </w:r>
          </w:p>
        </w:tc>
        <w:tc>
          <w:tcPr>
            <w:tcW w:w="5534" w:type="dxa"/>
            <w:tcBorders>
              <w:top w:val="single" w:sz="8" w:space="0" w:color="FFFFFF"/>
              <w:left w:val="nil"/>
              <w:bottom w:val="single" w:sz="8" w:space="0" w:color="FFFFFF"/>
              <w:right w:val="nil"/>
            </w:tcBorders>
            <w:shd w:val="clear" w:color="auto" w:fill="CCE2ED"/>
          </w:tcPr>
          <w:p w14:paraId="467BD7F9" w14:textId="77777777" w:rsidR="00141B97" w:rsidRDefault="00911D63">
            <w:pPr>
              <w:pStyle w:val="TableParagraph"/>
              <w:spacing w:before="1"/>
              <w:ind w:left="112"/>
              <w:rPr>
                <w:sz w:val="18"/>
              </w:rPr>
            </w:pPr>
            <w:r>
              <w:rPr>
                <w:spacing w:val="-2"/>
                <w:sz w:val="18"/>
              </w:rPr>
              <w:t>Outcomes</w:t>
            </w:r>
          </w:p>
        </w:tc>
        <w:tc>
          <w:tcPr>
            <w:tcW w:w="3348" w:type="dxa"/>
            <w:tcBorders>
              <w:top w:val="single" w:sz="8" w:space="0" w:color="FFFFFF"/>
              <w:left w:val="nil"/>
              <w:bottom w:val="single" w:sz="8" w:space="0" w:color="FFFFFF"/>
              <w:right w:val="nil"/>
            </w:tcBorders>
            <w:shd w:val="clear" w:color="auto" w:fill="CCE2ED"/>
          </w:tcPr>
          <w:p w14:paraId="1819502A" w14:textId="77777777" w:rsidR="00141B97" w:rsidRDefault="00911D63">
            <w:pPr>
              <w:pStyle w:val="TableParagraph"/>
              <w:spacing w:before="1"/>
              <w:ind w:left="113"/>
              <w:rPr>
                <w:sz w:val="18"/>
              </w:rPr>
            </w:pPr>
            <w:r>
              <w:rPr>
                <w:sz w:val="18"/>
              </w:rPr>
              <w:t>Part</w:t>
            </w:r>
            <w:r>
              <w:rPr>
                <w:spacing w:val="-2"/>
                <w:sz w:val="18"/>
              </w:rPr>
              <w:t xml:space="preserve"> </w:t>
            </w:r>
            <w:r>
              <w:rPr>
                <w:sz w:val="18"/>
              </w:rPr>
              <w:t>B:</w:t>
            </w:r>
            <w:r>
              <w:rPr>
                <w:spacing w:val="-1"/>
                <w:sz w:val="18"/>
              </w:rPr>
              <w:t xml:space="preserve"> </w:t>
            </w:r>
            <w:r>
              <w:rPr>
                <w:sz w:val="18"/>
              </w:rPr>
              <w:t>3.1, 3.3,</w:t>
            </w:r>
            <w:r>
              <w:rPr>
                <w:spacing w:val="-1"/>
                <w:sz w:val="18"/>
              </w:rPr>
              <w:t xml:space="preserve"> </w:t>
            </w:r>
            <w:r>
              <w:rPr>
                <w:spacing w:val="-5"/>
                <w:sz w:val="18"/>
              </w:rPr>
              <w:t>3.4</w:t>
            </w:r>
          </w:p>
          <w:p w14:paraId="1E251388" w14:textId="77777777" w:rsidR="00141B97" w:rsidRDefault="00911D63">
            <w:pPr>
              <w:pStyle w:val="TableParagraph"/>
              <w:spacing w:before="33"/>
              <w:ind w:left="113"/>
              <w:rPr>
                <w:sz w:val="18"/>
              </w:rPr>
            </w:pPr>
            <w:r>
              <w:rPr>
                <w:sz w:val="18"/>
              </w:rPr>
              <w:t>Part</w:t>
            </w:r>
            <w:r>
              <w:rPr>
                <w:spacing w:val="-2"/>
                <w:sz w:val="18"/>
              </w:rPr>
              <w:t xml:space="preserve"> </w:t>
            </w:r>
            <w:r>
              <w:rPr>
                <w:sz w:val="18"/>
              </w:rPr>
              <w:t>C:</w:t>
            </w:r>
            <w:r>
              <w:rPr>
                <w:spacing w:val="-1"/>
                <w:sz w:val="18"/>
              </w:rPr>
              <w:t xml:space="preserve"> </w:t>
            </w:r>
            <w:r>
              <w:rPr>
                <w:sz w:val="18"/>
              </w:rPr>
              <w:t>3.1, 3.3,</w:t>
            </w:r>
            <w:r>
              <w:rPr>
                <w:spacing w:val="-1"/>
                <w:sz w:val="18"/>
              </w:rPr>
              <w:t xml:space="preserve"> </w:t>
            </w:r>
            <w:r>
              <w:rPr>
                <w:spacing w:val="-5"/>
                <w:sz w:val="18"/>
              </w:rPr>
              <w:t>3.4</w:t>
            </w:r>
          </w:p>
        </w:tc>
      </w:tr>
      <w:tr w:rsidR="00141B97" w14:paraId="7646427D" w14:textId="77777777">
        <w:trPr>
          <w:trHeight w:val="505"/>
        </w:trPr>
        <w:tc>
          <w:tcPr>
            <w:tcW w:w="889" w:type="dxa"/>
            <w:tcBorders>
              <w:top w:val="single" w:sz="8" w:space="0" w:color="FFFFFF"/>
              <w:left w:val="nil"/>
              <w:bottom w:val="single" w:sz="8" w:space="0" w:color="FFFFFF"/>
              <w:right w:val="nil"/>
            </w:tcBorders>
            <w:shd w:val="clear" w:color="auto" w:fill="CCE2ED"/>
          </w:tcPr>
          <w:p w14:paraId="18AC637D" w14:textId="77777777" w:rsidR="00141B97" w:rsidRDefault="00911D63">
            <w:pPr>
              <w:pStyle w:val="TableParagraph"/>
              <w:spacing w:before="2"/>
              <w:ind w:left="112"/>
              <w:rPr>
                <w:sz w:val="18"/>
              </w:rPr>
            </w:pPr>
            <w:r>
              <w:rPr>
                <w:spacing w:val="-5"/>
                <w:sz w:val="18"/>
              </w:rPr>
              <w:t>3.5</w:t>
            </w:r>
          </w:p>
        </w:tc>
        <w:tc>
          <w:tcPr>
            <w:tcW w:w="5534" w:type="dxa"/>
            <w:tcBorders>
              <w:top w:val="single" w:sz="8" w:space="0" w:color="FFFFFF"/>
              <w:left w:val="nil"/>
              <w:bottom w:val="single" w:sz="8" w:space="0" w:color="FFFFFF"/>
              <w:right w:val="nil"/>
            </w:tcBorders>
            <w:shd w:val="clear" w:color="auto" w:fill="CCE2ED"/>
          </w:tcPr>
          <w:p w14:paraId="28717240" w14:textId="77777777" w:rsidR="00141B97" w:rsidRDefault="00911D63">
            <w:pPr>
              <w:pStyle w:val="TableParagraph"/>
              <w:spacing w:before="2"/>
              <w:ind w:left="112"/>
              <w:rPr>
                <w:sz w:val="18"/>
              </w:rPr>
            </w:pPr>
            <w:r>
              <w:rPr>
                <w:sz w:val="18"/>
              </w:rPr>
              <w:t>Service</w:t>
            </w:r>
            <w:r>
              <w:rPr>
                <w:spacing w:val="-2"/>
                <w:sz w:val="18"/>
              </w:rPr>
              <w:t xml:space="preserve"> </w:t>
            </w:r>
            <w:r>
              <w:rPr>
                <w:sz w:val="18"/>
              </w:rPr>
              <w:t>standards</w:t>
            </w:r>
            <w:r>
              <w:rPr>
                <w:spacing w:val="-1"/>
                <w:sz w:val="18"/>
              </w:rPr>
              <w:t xml:space="preserve"> </w:t>
            </w:r>
            <w:r>
              <w:rPr>
                <w:sz w:val="18"/>
              </w:rPr>
              <w:t>relating</w:t>
            </w:r>
            <w:r>
              <w:rPr>
                <w:spacing w:val="-2"/>
                <w:sz w:val="18"/>
              </w:rPr>
              <w:t xml:space="preserve"> </w:t>
            </w:r>
            <w:r>
              <w:rPr>
                <w:sz w:val="18"/>
              </w:rPr>
              <w:t>to</w:t>
            </w:r>
            <w:r>
              <w:rPr>
                <w:spacing w:val="-1"/>
                <w:sz w:val="18"/>
              </w:rPr>
              <w:t xml:space="preserve"> </w:t>
            </w:r>
            <w:r>
              <w:rPr>
                <w:sz w:val="18"/>
              </w:rPr>
              <w:t>reliability</w:t>
            </w:r>
            <w:r>
              <w:rPr>
                <w:spacing w:val="-2"/>
                <w:sz w:val="18"/>
              </w:rPr>
              <w:t xml:space="preserve"> </w:t>
            </w:r>
            <w:r>
              <w:rPr>
                <w:sz w:val="18"/>
              </w:rPr>
              <w:t xml:space="preserve">and </w:t>
            </w:r>
            <w:r>
              <w:rPr>
                <w:spacing w:val="-2"/>
                <w:sz w:val="18"/>
              </w:rPr>
              <w:t>faults</w:t>
            </w:r>
          </w:p>
        </w:tc>
        <w:tc>
          <w:tcPr>
            <w:tcW w:w="3348" w:type="dxa"/>
            <w:tcBorders>
              <w:top w:val="single" w:sz="8" w:space="0" w:color="FFFFFF"/>
              <w:left w:val="nil"/>
              <w:bottom w:val="single" w:sz="8" w:space="0" w:color="FFFFFF"/>
              <w:right w:val="nil"/>
            </w:tcBorders>
            <w:shd w:val="clear" w:color="auto" w:fill="CCE2ED"/>
          </w:tcPr>
          <w:p w14:paraId="2338D1CD"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3.2</w:t>
            </w:r>
          </w:p>
          <w:p w14:paraId="55D56310" w14:textId="77777777" w:rsidR="00141B97" w:rsidRDefault="00911D63">
            <w:pPr>
              <w:pStyle w:val="TableParagraph"/>
              <w:spacing w:before="33"/>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3.2</w:t>
            </w:r>
          </w:p>
        </w:tc>
      </w:tr>
      <w:tr w:rsidR="00141B97" w14:paraId="29D7B904" w14:textId="77777777">
        <w:trPr>
          <w:trHeight w:val="505"/>
        </w:trPr>
        <w:tc>
          <w:tcPr>
            <w:tcW w:w="889" w:type="dxa"/>
            <w:tcBorders>
              <w:top w:val="single" w:sz="8" w:space="0" w:color="FFFFFF"/>
              <w:left w:val="nil"/>
              <w:bottom w:val="single" w:sz="8" w:space="0" w:color="FFFFFF"/>
              <w:right w:val="nil"/>
            </w:tcBorders>
            <w:shd w:val="clear" w:color="auto" w:fill="CCE2ED"/>
          </w:tcPr>
          <w:p w14:paraId="0071A1E9" w14:textId="77777777" w:rsidR="00141B97" w:rsidRDefault="00911D63">
            <w:pPr>
              <w:pStyle w:val="TableParagraph"/>
              <w:spacing w:before="2"/>
              <w:ind w:left="112"/>
              <w:rPr>
                <w:sz w:val="18"/>
              </w:rPr>
            </w:pPr>
            <w:r>
              <w:rPr>
                <w:spacing w:val="-5"/>
                <w:sz w:val="18"/>
              </w:rPr>
              <w:t>3.6</w:t>
            </w:r>
          </w:p>
        </w:tc>
        <w:tc>
          <w:tcPr>
            <w:tcW w:w="5534" w:type="dxa"/>
            <w:tcBorders>
              <w:top w:val="single" w:sz="8" w:space="0" w:color="FFFFFF"/>
              <w:left w:val="nil"/>
              <w:bottom w:val="single" w:sz="8" w:space="0" w:color="FFFFFF"/>
              <w:right w:val="nil"/>
            </w:tcBorders>
            <w:shd w:val="clear" w:color="auto" w:fill="CCE2ED"/>
          </w:tcPr>
          <w:p w14:paraId="225D1BB9" w14:textId="77777777" w:rsidR="00141B97" w:rsidRDefault="00911D63">
            <w:pPr>
              <w:pStyle w:val="TableParagraph"/>
              <w:spacing w:before="2"/>
              <w:ind w:left="112"/>
              <w:rPr>
                <w:sz w:val="18"/>
              </w:rPr>
            </w:pPr>
            <w:r>
              <w:rPr>
                <w:sz w:val="18"/>
              </w:rPr>
              <w:t>Guaranteed</w:t>
            </w:r>
            <w:r>
              <w:rPr>
                <w:spacing w:val="-5"/>
                <w:sz w:val="18"/>
              </w:rPr>
              <w:t xml:space="preserve"> </w:t>
            </w:r>
            <w:r>
              <w:rPr>
                <w:sz w:val="18"/>
              </w:rPr>
              <w:t>service</w:t>
            </w:r>
            <w:r>
              <w:rPr>
                <w:spacing w:val="-6"/>
                <w:sz w:val="18"/>
              </w:rPr>
              <w:t xml:space="preserve"> </w:t>
            </w:r>
            <w:r>
              <w:rPr>
                <w:spacing w:val="-2"/>
                <w:sz w:val="18"/>
              </w:rPr>
              <w:t>levels</w:t>
            </w:r>
          </w:p>
        </w:tc>
        <w:tc>
          <w:tcPr>
            <w:tcW w:w="3348" w:type="dxa"/>
            <w:tcBorders>
              <w:top w:val="single" w:sz="8" w:space="0" w:color="FFFFFF"/>
              <w:left w:val="nil"/>
              <w:bottom w:val="single" w:sz="8" w:space="0" w:color="FFFFFF"/>
              <w:right w:val="nil"/>
            </w:tcBorders>
            <w:shd w:val="clear" w:color="auto" w:fill="CCE2ED"/>
          </w:tcPr>
          <w:p w14:paraId="68FD44E6"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3.5</w:t>
            </w:r>
          </w:p>
          <w:p w14:paraId="574915D7"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3.5</w:t>
            </w:r>
          </w:p>
        </w:tc>
      </w:tr>
      <w:tr w:rsidR="00141B97" w14:paraId="7C4D8276" w14:textId="77777777">
        <w:trPr>
          <w:trHeight w:val="505"/>
        </w:trPr>
        <w:tc>
          <w:tcPr>
            <w:tcW w:w="889" w:type="dxa"/>
            <w:tcBorders>
              <w:top w:val="single" w:sz="8" w:space="0" w:color="FFFFFF"/>
              <w:left w:val="nil"/>
              <w:bottom w:val="single" w:sz="8" w:space="0" w:color="FFFFFF"/>
              <w:right w:val="nil"/>
            </w:tcBorders>
            <w:shd w:val="clear" w:color="auto" w:fill="CCE2ED"/>
          </w:tcPr>
          <w:p w14:paraId="53E1951C" w14:textId="77777777" w:rsidR="00141B97" w:rsidRDefault="00911D63">
            <w:pPr>
              <w:pStyle w:val="TableParagraph"/>
              <w:spacing w:before="2"/>
              <w:ind w:left="112"/>
              <w:rPr>
                <w:sz w:val="18"/>
              </w:rPr>
            </w:pPr>
            <w:r>
              <w:rPr>
                <w:spacing w:val="-5"/>
                <w:sz w:val="18"/>
              </w:rPr>
              <w:t>3.7</w:t>
            </w:r>
          </w:p>
        </w:tc>
        <w:tc>
          <w:tcPr>
            <w:tcW w:w="5534" w:type="dxa"/>
            <w:tcBorders>
              <w:top w:val="single" w:sz="8" w:space="0" w:color="FFFFFF"/>
              <w:left w:val="nil"/>
              <w:bottom w:val="single" w:sz="8" w:space="0" w:color="FFFFFF"/>
              <w:right w:val="nil"/>
            </w:tcBorders>
            <w:shd w:val="clear" w:color="auto" w:fill="CCE2ED"/>
          </w:tcPr>
          <w:p w14:paraId="10223807" w14:textId="77777777" w:rsidR="00141B97" w:rsidRDefault="00911D63">
            <w:pPr>
              <w:pStyle w:val="TableParagraph"/>
              <w:spacing w:before="2"/>
              <w:ind w:left="112"/>
              <w:rPr>
                <w:sz w:val="18"/>
              </w:rPr>
            </w:pPr>
            <w:r>
              <w:rPr>
                <w:sz w:val="18"/>
              </w:rPr>
              <w:t xml:space="preserve">Revenue </w:t>
            </w:r>
            <w:r>
              <w:rPr>
                <w:spacing w:val="-2"/>
                <w:sz w:val="18"/>
              </w:rPr>
              <w:t>requirement</w:t>
            </w:r>
          </w:p>
        </w:tc>
        <w:tc>
          <w:tcPr>
            <w:tcW w:w="3348" w:type="dxa"/>
            <w:tcBorders>
              <w:top w:val="single" w:sz="8" w:space="0" w:color="FFFFFF"/>
              <w:left w:val="nil"/>
              <w:bottom w:val="single" w:sz="8" w:space="0" w:color="FFFFFF"/>
              <w:right w:val="nil"/>
            </w:tcBorders>
            <w:shd w:val="clear" w:color="auto" w:fill="CCE2ED"/>
          </w:tcPr>
          <w:p w14:paraId="0BCC2AC1"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4.1</w:t>
            </w:r>
          </w:p>
          <w:p w14:paraId="3290E928"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z w:val="18"/>
              </w:rPr>
              <w:t xml:space="preserve">4.1, </w:t>
            </w:r>
            <w:r>
              <w:rPr>
                <w:spacing w:val="-5"/>
                <w:sz w:val="18"/>
              </w:rPr>
              <w:t>4.5</w:t>
            </w:r>
          </w:p>
        </w:tc>
      </w:tr>
      <w:tr w:rsidR="00141B97" w14:paraId="5A640FA2" w14:textId="77777777">
        <w:trPr>
          <w:trHeight w:val="757"/>
        </w:trPr>
        <w:tc>
          <w:tcPr>
            <w:tcW w:w="889" w:type="dxa"/>
            <w:tcBorders>
              <w:top w:val="single" w:sz="8" w:space="0" w:color="FFFFFF"/>
              <w:left w:val="nil"/>
              <w:bottom w:val="single" w:sz="8" w:space="0" w:color="FFFFFF"/>
              <w:right w:val="nil"/>
            </w:tcBorders>
            <w:shd w:val="clear" w:color="auto" w:fill="CCE2ED"/>
          </w:tcPr>
          <w:p w14:paraId="4492EE64" w14:textId="77777777" w:rsidR="00141B97" w:rsidRDefault="00911D63">
            <w:pPr>
              <w:pStyle w:val="TableParagraph"/>
              <w:spacing w:before="1"/>
              <w:ind w:left="112"/>
              <w:rPr>
                <w:sz w:val="18"/>
              </w:rPr>
            </w:pPr>
            <w:r>
              <w:rPr>
                <w:spacing w:val="-5"/>
                <w:sz w:val="18"/>
              </w:rPr>
              <w:t>3.8</w:t>
            </w:r>
          </w:p>
        </w:tc>
        <w:tc>
          <w:tcPr>
            <w:tcW w:w="5534" w:type="dxa"/>
            <w:tcBorders>
              <w:top w:val="single" w:sz="8" w:space="0" w:color="FFFFFF"/>
              <w:left w:val="nil"/>
              <w:bottom w:val="single" w:sz="8" w:space="0" w:color="FFFFFF"/>
              <w:right w:val="nil"/>
            </w:tcBorders>
            <w:shd w:val="clear" w:color="auto" w:fill="CCE2ED"/>
          </w:tcPr>
          <w:p w14:paraId="53D0402E" w14:textId="77777777" w:rsidR="00141B97" w:rsidRDefault="00911D63">
            <w:pPr>
              <w:pStyle w:val="TableParagraph"/>
              <w:spacing w:before="1"/>
              <w:ind w:left="112"/>
              <w:rPr>
                <w:sz w:val="18"/>
              </w:rPr>
            </w:pPr>
            <w:r>
              <w:rPr>
                <w:sz w:val="18"/>
              </w:rPr>
              <w:t>Forecast</w:t>
            </w:r>
            <w:r>
              <w:rPr>
                <w:spacing w:val="-5"/>
                <w:sz w:val="18"/>
              </w:rPr>
              <w:t xml:space="preserve"> </w:t>
            </w:r>
            <w:r>
              <w:rPr>
                <w:sz w:val="18"/>
              </w:rPr>
              <w:t>operating</w:t>
            </w:r>
            <w:r>
              <w:rPr>
                <w:spacing w:val="-4"/>
                <w:sz w:val="18"/>
              </w:rPr>
              <w:t xml:space="preserve"> </w:t>
            </w:r>
            <w:r>
              <w:rPr>
                <w:spacing w:val="-2"/>
                <w:sz w:val="18"/>
              </w:rPr>
              <w:t>expenditure</w:t>
            </w:r>
          </w:p>
        </w:tc>
        <w:tc>
          <w:tcPr>
            <w:tcW w:w="3348" w:type="dxa"/>
            <w:tcBorders>
              <w:top w:val="single" w:sz="8" w:space="0" w:color="FFFFFF"/>
              <w:left w:val="nil"/>
              <w:bottom w:val="single" w:sz="8" w:space="0" w:color="FFFFFF"/>
              <w:right w:val="nil"/>
            </w:tcBorders>
            <w:shd w:val="clear" w:color="auto" w:fill="CCE2ED"/>
          </w:tcPr>
          <w:p w14:paraId="773AF3FB" w14:textId="77777777" w:rsidR="00141B97" w:rsidRDefault="00911D63">
            <w:pPr>
              <w:pStyle w:val="TableParagraph"/>
              <w:spacing w:before="1"/>
              <w:ind w:left="113"/>
              <w:rPr>
                <w:sz w:val="18"/>
              </w:rPr>
            </w:pPr>
            <w:r>
              <w:rPr>
                <w:sz w:val="18"/>
              </w:rPr>
              <w:t>Part</w:t>
            </w:r>
            <w:r>
              <w:rPr>
                <w:spacing w:val="-1"/>
                <w:sz w:val="18"/>
              </w:rPr>
              <w:t xml:space="preserve"> </w:t>
            </w:r>
            <w:r>
              <w:rPr>
                <w:sz w:val="18"/>
              </w:rPr>
              <w:t>A:</w:t>
            </w:r>
            <w:r>
              <w:rPr>
                <w:spacing w:val="-1"/>
                <w:sz w:val="18"/>
              </w:rPr>
              <w:t xml:space="preserve"> </w:t>
            </w:r>
            <w:r>
              <w:rPr>
                <w:spacing w:val="-5"/>
                <w:sz w:val="18"/>
              </w:rPr>
              <w:t>4.4</w:t>
            </w:r>
          </w:p>
          <w:p w14:paraId="2BAEEB22" w14:textId="77777777" w:rsidR="00141B97" w:rsidRDefault="00911D63">
            <w:pPr>
              <w:pStyle w:val="TableParagraph"/>
              <w:spacing w:before="33"/>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4.3</w:t>
            </w:r>
          </w:p>
          <w:p w14:paraId="707F3012" w14:textId="77777777" w:rsidR="00141B97" w:rsidRDefault="00911D63">
            <w:pPr>
              <w:pStyle w:val="TableParagraph"/>
              <w:spacing w:before="34"/>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4.3</w:t>
            </w:r>
          </w:p>
        </w:tc>
      </w:tr>
      <w:tr w:rsidR="00141B97" w14:paraId="36DF656A" w14:textId="77777777">
        <w:trPr>
          <w:trHeight w:val="758"/>
        </w:trPr>
        <w:tc>
          <w:tcPr>
            <w:tcW w:w="889" w:type="dxa"/>
            <w:tcBorders>
              <w:top w:val="single" w:sz="8" w:space="0" w:color="FFFFFF"/>
              <w:left w:val="nil"/>
              <w:bottom w:val="single" w:sz="8" w:space="0" w:color="FFFFFF"/>
              <w:right w:val="nil"/>
            </w:tcBorders>
            <w:shd w:val="clear" w:color="auto" w:fill="CCE2ED"/>
          </w:tcPr>
          <w:p w14:paraId="4BB8A5AC" w14:textId="77777777" w:rsidR="00141B97" w:rsidRDefault="00911D63">
            <w:pPr>
              <w:pStyle w:val="TableParagraph"/>
              <w:spacing w:before="2"/>
              <w:ind w:left="112"/>
              <w:rPr>
                <w:sz w:val="18"/>
              </w:rPr>
            </w:pPr>
            <w:r>
              <w:rPr>
                <w:spacing w:val="-5"/>
                <w:sz w:val="18"/>
              </w:rPr>
              <w:t>3.9</w:t>
            </w:r>
          </w:p>
        </w:tc>
        <w:tc>
          <w:tcPr>
            <w:tcW w:w="5534" w:type="dxa"/>
            <w:tcBorders>
              <w:top w:val="single" w:sz="8" w:space="0" w:color="FFFFFF"/>
              <w:left w:val="nil"/>
              <w:bottom w:val="single" w:sz="8" w:space="0" w:color="FFFFFF"/>
              <w:right w:val="nil"/>
            </w:tcBorders>
            <w:shd w:val="clear" w:color="auto" w:fill="CCE2ED"/>
          </w:tcPr>
          <w:p w14:paraId="05B89FF0" w14:textId="77777777" w:rsidR="00141B97" w:rsidRDefault="00911D63">
            <w:pPr>
              <w:pStyle w:val="TableParagraph"/>
              <w:spacing w:before="2"/>
              <w:ind w:left="112"/>
              <w:rPr>
                <w:sz w:val="18"/>
              </w:rPr>
            </w:pPr>
            <w:r>
              <w:rPr>
                <w:sz w:val="18"/>
              </w:rPr>
              <w:t>Forecast</w:t>
            </w:r>
            <w:r>
              <w:rPr>
                <w:spacing w:val="-1"/>
                <w:sz w:val="18"/>
              </w:rPr>
              <w:t xml:space="preserve"> </w:t>
            </w:r>
            <w:r>
              <w:rPr>
                <w:sz w:val="18"/>
              </w:rPr>
              <w:t>capital</w:t>
            </w:r>
            <w:r>
              <w:rPr>
                <w:spacing w:val="-1"/>
                <w:sz w:val="18"/>
              </w:rPr>
              <w:t xml:space="preserve"> </w:t>
            </w:r>
            <w:r>
              <w:rPr>
                <w:spacing w:val="-2"/>
                <w:sz w:val="18"/>
              </w:rPr>
              <w:t>expenditure</w:t>
            </w:r>
          </w:p>
        </w:tc>
        <w:tc>
          <w:tcPr>
            <w:tcW w:w="3348" w:type="dxa"/>
            <w:tcBorders>
              <w:top w:val="single" w:sz="8" w:space="0" w:color="FFFFFF"/>
              <w:left w:val="nil"/>
              <w:bottom w:val="single" w:sz="8" w:space="0" w:color="FFFFFF"/>
              <w:right w:val="nil"/>
            </w:tcBorders>
            <w:shd w:val="clear" w:color="auto" w:fill="CCE2ED"/>
          </w:tcPr>
          <w:p w14:paraId="16DC759C" w14:textId="77777777" w:rsidR="00141B97" w:rsidRDefault="00911D63">
            <w:pPr>
              <w:pStyle w:val="TableParagraph"/>
              <w:spacing w:before="2"/>
              <w:ind w:left="113"/>
              <w:rPr>
                <w:sz w:val="18"/>
              </w:rPr>
            </w:pPr>
            <w:r>
              <w:rPr>
                <w:sz w:val="18"/>
              </w:rPr>
              <w:t>Part</w:t>
            </w:r>
            <w:r>
              <w:rPr>
                <w:spacing w:val="-1"/>
                <w:sz w:val="18"/>
              </w:rPr>
              <w:t xml:space="preserve"> </w:t>
            </w:r>
            <w:r>
              <w:rPr>
                <w:sz w:val="18"/>
              </w:rPr>
              <w:t>A:</w:t>
            </w:r>
            <w:r>
              <w:rPr>
                <w:spacing w:val="-1"/>
                <w:sz w:val="18"/>
              </w:rPr>
              <w:t xml:space="preserve"> </w:t>
            </w:r>
            <w:r>
              <w:rPr>
                <w:spacing w:val="-5"/>
                <w:sz w:val="18"/>
              </w:rPr>
              <w:t>4.6</w:t>
            </w:r>
          </w:p>
          <w:p w14:paraId="229896B9" w14:textId="77777777" w:rsidR="00141B97" w:rsidRDefault="00911D63">
            <w:pPr>
              <w:pStyle w:val="TableParagraph"/>
              <w:spacing w:before="3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4.4</w:t>
            </w:r>
          </w:p>
          <w:p w14:paraId="52DB01C3" w14:textId="77777777" w:rsidR="00141B97" w:rsidRDefault="00911D63">
            <w:pPr>
              <w:pStyle w:val="TableParagraph"/>
              <w:spacing w:before="34"/>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4.4</w:t>
            </w:r>
          </w:p>
        </w:tc>
      </w:tr>
      <w:tr w:rsidR="00141B97" w14:paraId="17C452E9" w14:textId="77777777">
        <w:trPr>
          <w:trHeight w:val="504"/>
        </w:trPr>
        <w:tc>
          <w:tcPr>
            <w:tcW w:w="889" w:type="dxa"/>
            <w:tcBorders>
              <w:top w:val="single" w:sz="8" w:space="0" w:color="FFFFFF"/>
              <w:left w:val="nil"/>
              <w:bottom w:val="single" w:sz="8" w:space="0" w:color="FFFFFF"/>
              <w:right w:val="nil"/>
            </w:tcBorders>
            <w:shd w:val="clear" w:color="auto" w:fill="CCE2ED"/>
          </w:tcPr>
          <w:p w14:paraId="3342699A" w14:textId="77777777" w:rsidR="00141B97" w:rsidRDefault="00911D63">
            <w:pPr>
              <w:pStyle w:val="TableParagraph"/>
              <w:spacing w:before="1"/>
              <w:ind w:left="112"/>
              <w:rPr>
                <w:sz w:val="18"/>
              </w:rPr>
            </w:pPr>
            <w:r>
              <w:rPr>
                <w:spacing w:val="-4"/>
                <w:sz w:val="18"/>
              </w:rPr>
              <w:t>3.10</w:t>
            </w:r>
          </w:p>
        </w:tc>
        <w:tc>
          <w:tcPr>
            <w:tcW w:w="5534" w:type="dxa"/>
            <w:tcBorders>
              <w:top w:val="single" w:sz="8" w:space="0" w:color="FFFFFF"/>
              <w:left w:val="nil"/>
              <w:bottom w:val="single" w:sz="8" w:space="0" w:color="FFFFFF"/>
              <w:right w:val="nil"/>
            </w:tcBorders>
            <w:shd w:val="clear" w:color="auto" w:fill="CCE2ED"/>
          </w:tcPr>
          <w:p w14:paraId="15DA0779" w14:textId="77777777" w:rsidR="00141B97" w:rsidRDefault="00911D63">
            <w:pPr>
              <w:pStyle w:val="TableParagraph"/>
              <w:spacing w:before="1"/>
              <w:ind w:left="112"/>
              <w:rPr>
                <w:sz w:val="18"/>
              </w:rPr>
            </w:pPr>
            <w:r>
              <w:rPr>
                <w:sz w:val="18"/>
              </w:rPr>
              <w:t>Return</w:t>
            </w:r>
            <w:r>
              <w:rPr>
                <w:spacing w:val="-1"/>
                <w:sz w:val="18"/>
              </w:rPr>
              <w:t xml:space="preserve"> </w:t>
            </w:r>
            <w:r>
              <w:rPr>
                <w:sz w:val="18"/>
              </w:rPr>
              <w:t>on regulatory</w:t>
            </w:r>
            <w:r>
              <w:rPr>
                <w:spacing w:val="-1"/>
                <w:sz w:val="18"/>
              </w:rPr>
              <w:t xml:space="preserve"> </w:t>
            </w:r>
            <w:r>
              <w:rPr>
                <w:sz w:val="18"/>
              </w:rPr>
              <w:t>asset</w:t>
            </w:r>
            <w:r>
              <w:rPr>
                <w:spacing w:val="-1"/>
                <w:sz w:val="18"/>
              </w:rPr>
              <w:t xml:space="preserve"> </w:t>
            </w:r>
            <w:r>
              <w:rPr>
                <w:spacing w:val="-4"/>
                <w:sz w:val="18"/>
              </w:rPr>
              <w:t>base</w:t>
            </w:r>
          </w:p>
        </w:tc>
        <w:tc>
          <w:tcPr>
            <w:tcW w:w="3348" w:type="dxa"/>
            <w:tcBorders>
              <w:top w:val="single" w:sz="8" w:space="0" w:color="FFFFFF"/>
              <w:left w:val="nil"/>
              <w:bottom w:val="single" w:sz="8" w:space="0" w:color="FFFFFF"/>
              <w:right w:val="nil"/>
            </w:tcBorders>
            <w:shd w:val="clear" w:color="auto" w:fill="CCE2ED"/>
          </w:tcPr>
          <w:p w14:paraId="685D6E38" w14:textId="77777777" w:rsidR="00141B97" w:rsidRDefault="00911D63">
            <w:pPr>
              <w:pStyle w:val="TableParagraph"/>
              <w:spacing w:before="1"/>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4.5</w:t>
            </w:r>
          </w:p>
          <w:p w14:paraId="635A3C33" w14:textId="77777777" w:rsidR="00141B97" w:rsidRDefault="00911D63">
            <w:pPr>
              <w:pStyle w:val="TableParagraph"/>
              <w:spacing w:before="33"/>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4.6</w:t>
            </w:r>
          </w:p>
        </w:tc>
      </w:tr>
      <w:tr w:rsidR="00141B97" w14:paraId="2C1FA15D" w14:textId="77777777">
        <w:trPr>
          <w:trHeight w:val="505"/>
        </w:trPr>
        <w:tc>
          <w:tcPr>
            <w:tcW w:w="889" w:type="dxa"/>
            <w:tcBorders>
              <w:top w:val="single" w:sz="8" w:space="0" w:color="FFFFFF"/>
              <w:left w:val="nil"/>
              <w:bottom w:val="single" w:sz="8" w:space="0" w:color="FFFFFF"/>
              <w:right w:val="nil"/>
            </w:tcBorders>
            <w:shd w:val="clear" w:color="auto" w:fill="CCE2ED"/>
          </w:tcPr>
          <w:p w14:paraId="61AD7B13" w14:textId="77777777" w:rsidR="00141B97" w:rsidRDefault="00911D63">
            <w:pPr>
              <w:pStyle w:val="TableParagraph"/>
              <w:spacing w:before="2"/>
              <w:ind w:left="112"/>
              <w:rPr>
                <w:sz w:val="18"/>
              </w:rPr>
            </w:pPr>
            <w:r>
              <w:rPr>
                <w:spacing w:val="-4"/>
                <w:sz w:val="18"/>
              </w:rPr>
              <w:t>3.11</w:t>
            </w:r>
          </w:p>
        </w:tc>
        <w:tc>
          <w:tcPr>
            <w:tcW w:w="5534" w:type="dxa"/>
            <w:tcBorders>
              <w:top w:val="single" w:sz="8" w:space="0" w:color="FFFFFF"/>
              <w:left w:val="nil"/>
              <w:bottom w:val="single" w:sz="8" w:space="0" w:color="FFFFFF"/>
              <w:right w:val="nil"/>
            </w:tcBorders>
            <w:shd w:val="clear" w:color="auto" w:fill="CCE2ED"/>
          </w:tcPr>
          <w:p w14:paraId="57577E37" w14:textId="77777777" w:rsidR="00141B97" w:rsidRDefault="00911D63">
            <w:pPr>
              <w:pStyle w:val="TableParagraph"/>
              <w:spacing w:before="2"/>
              <w:ind w:left="112"/>
              <w:rPr>
                <w:sz w:val="18"/>
              </w:rPr>
            </w:pPr>
            <w:r>
              <w:rPr>
                <w:sz w:val="18"/>
              </w:rPr>
              <w:t>Forecast</w:t>
            </w:r>
            <w:r>
              <w:rPr>
                <w:spacing w:val="-1"/>
                <w:sz w:val="18"/>
              </w:rPr>
              <w:t xml:space="preserve"> </w:t>
            </w:r>
            <w:r>
              <w:rPr>
                <w:sz w:val="18"/>
              </w:rPr>
              <w:t>regulatory</w:t>
            </w:r>
            <w:r>
              <w:rPr>
                <w:spacing w:val="-1"/>
                <w:sz w:val="18"/>
              </w:rPr>
              <w:t xml:space="preserve"> </w:t>
            </w:r>
            <w:r>
              <w:rPr>
                <w:sz w:val="18"/>
              </w:rPr>
              <w:t>asset</w:t>
            </w:r>
            <w:r>
              <w:rPr>
                <w:spacing w:val="-1"/>
                <w:sz w:val="18"/>
              </w:rPr>
              <w:t xml:space="preserve"> </w:t>
            </w:r>
            <w:r>
              <w:rPr>
                <w:spacing w:val="-4"/>
                <w:sz w:val="18"/>
              </w:rPr>
              <w:t>base</w:t>
            </w:r>
          </w:p>
        </w:tc>
        <w:tc>
          <w:tcPr>
            <w:tcW w:w="3348" w:type="dxa"/>
            <w:tcBorders>
              <w:top w:val="single" w:sz="8" w:space="0" w:color="FFFFFF"/>
              <w:left w:val="nil"/>
              <w:bottom w:val="single" w:sz="8" w:space="0" w:color="FFFFFF"/>
              <w:right w:val="nil"/>
            </w:tcBorders>
            <w:shd w:val="clear" w:color="auto" w:fill="CCE2ED"/>
          </w:tcPr>
          <w:p w14:paraId="5291D68D"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4.5</w:t>
            </w:r>
          </w:p>
          <w:p w14:paraId="3FE0BF81" w14:textId="77777777" w:rsidR="00141B97" w:rsidRDefault="00911D63">
            <w:pPr>
              <w:pStyle w:val="TableParagraph"/>
              <w:spacing w:before="33"/>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4.6</w:t>
            </w:r>
          </w:p>
        </w:tc>
      </w:tr>
      <w:tr w:rsidR="00141B97" w14:paraId="3D6AA818" w14:textId="77777777">
        <w:trPr>
          <w:trHeight w:val="505"/>
        </w:trPr>
        <w:tc>
          <w:tcPr>
            <w:tcW w:w="889" w:type="dxa"/>
            <w:tcBorders>
              <w:top w:val="single" w:sz="8" w:space="0" w:color="FFFFFF"/>
              <w:left w:val="nil"/>
              <w:bottom w:val="single" w:sz="8" w:space="0" w:color="FFFFFF"/>
              <w:right w:val="nil"/>
            </w:tcBorders>
            <w:shd w:val="clear" w:color="auto" w:fill="CCE2ED"/>
          </w:tcPr>
          <w:p w14:paraId="547E3D08" w14:textId="77777777" w:rsidR="00141B97" w:rsidRDefault="00911D63">
            <w:pPr>
              <w:pStyle w:val="TableParagraph"/>
              <w:spacing w:before="2"/>
              <w:ind w:left="112"/>
              <w:rPr>
                <w:sz w:val="18"/>
              </w:rPr>
            </w:pPr>
            <w:r>
              <w:rPr>
                <w:spacing w:val="-4"/>
                <w:sz w:val="18"/>
              </w:rPr>
              <w:t>3.12</w:t>
            </w:r>
          </w:p>
        </w:tc>
        <w:tc>
          <w:tcPr>
            <w:tcW w:w="5534" w:type="dxa"/>
            <w:tcBorders>
              <w:top w:val="single" w:sz="8" w:space="0" w:color="FFFFFF"/>
              <w:left w:val="nil"/>
              <w:bottom w:val="single" w:sz="8" w:space="0" w:color="FFFFFF"/>
              <w:right w:val="nil"/>
            </w:tcBorders>
            <w:shd w:val="clear" w:color="auto" w:fill="CCE2ED"/>
          </w:tcPr>
          <w:p w14:paraId="09F84A5B" w14:textId="77777777" w:rsidR="00141B97" w:rsidRDefault="00911D63">
            <w:pPr>
              <w:pStyle w:val="TableParagraph"/>
              <w:spacing w:before="2"/>
              <w:ind w:left="112"/>
              <w:rPr>
                <w:sz w:val="18"/>
              </w:rPr>
            </w:pPr>
            <w:r>
              <w:rPr>
                <w:sz w:val="18"/>
              </w:rPr>
              <w:t>Regulatory</w:t>
            </w:r>
            <w:r>
              <w:rPr>
                <w:spacing w:val="-11"/>
                <w:sz w:val="18"/>
              </w:rPr>
              <w:t xml:space="preserve"> </w:t>
            </w:r>
            <w:r>
              <w:rPr>
                <w:spacing w:val="-2"/>
                <w:sz w:val="18"/>
              </w:rPr>
              <w:t>depreciation</w:t>
            </w:r>
          </w:p>
        </w:tc>
        <w:tc>
          <w:tcPr>
            <w:tcW w:w="3348" w:type="dxa"/>
            <w:tcBorders>
              <w:top w:val="single" w:sz="8" w:space="0" w:color="FFFFFF"/>
              <w:left w:val="nil"/>
              <w:bottom w:val="single" w:sz="8" w:space="0" w:color="FFFFFF"/>
              <w:right w:val="nil"/>
            </w:tcBorders>
            <w:shd w:val="clear" w:color="auto" w:fill="CCE2ED"/>
          </w:tcPr>
          <w:p w14:paraId="15492E7F"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2"/>
                <w:sz w:val="18"/>
              </w:rPr>
              <w:t>4.5.1</w:t>
            </w:r>
          </w:p>
          <w:p w14:paraId="338982C6"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pacing w:val="-2"/>
                <w:sz w:val="18"/>
              </w:rPr>
              <w:t>4.6.2</w:t>
            </w:r>
          </w:p>
        </w:tc>
      </w:tr>
      <w:tr w:rsidR="00141B97" w14:paraId="1CAF93F3" w14:textId="77777777">
        <w:trPr>
          <w:trHeight w:val="505"/>
        </w:trPr>
        <w:tc>
          <w:tcPr>
            <w:tcW w:w="889" w:type="dxa"/>
            <w:tcBorders>
              <w:top w:val="single" w:sz="8" w:space="0" w:color="FFFFFF"/>
              <w:left w:val="nil"/>
              <w:bottom w:val="single" w:sz="8" w:space="0" w:color="FFFFFF"/>
              <w:right w:val="nil"/>
            </w:tcBorders>
            <w:shd w:val="clear" w:color="auto" w:fill="CCE2ED"/>
          </w:tcPr>
          <w:p w14:paraId="3FBF631B" w14:textId="77777777" w:rsidR="00141B97" w:rsidRDefault="00911D63">
            <w:pPr>
              <w:pStyle w:val="TableParagraph"/>
              <w:spacing w:before="2"/>
              <w:ind w:left="112"/>
              <w:rPr>
                <w:sz w:val="18"/>
              </w:rPr>
            </w:pPr>
            <w:r>
              <w:rPr>
                <w:spacing w:val="-4"/>
                <w:sz w:val="18"/>
              </w:rPr>
              <w:t>3.13</w:t>
            </w:r>
          </w:p>
        </w:tc>
        <w:tc>
          <w:tcPr>
            <w:tcW w:w="5534" w:type="dxa"/>
            <w:tcBorders>
              <w:top w:val="single" w:sz="8" w:space="0" w:color="FFFFFF"/>
              <w:left w:val="nil"/>
              <w:bottom w:val="single" w:sz="8" w:space="0" w:color="FFFFFF"/>
              <w:right w:val="nil"/>
            </w:tcBorders>
            <w:shd w:val="clear" w:color="auto" w:fill="CCE2ED"/>
          </w:tcPr>
          <w:p w14:paraId="2C49DA1A" w14:textId="77777777" w:rsidR="00141B97" w:rsidRDefault="00911D63">
            <w:pPr>
              <w:pStyle w:val="TableParagraph"/>
              <w:spacing w:before="2"/>
              <w:ind w:left="112"/>
              <w:rPr>
                <w:sz w:val="18"/>
              </w:rPr>
            </w:pPr>
            <w:r>
              <w:rPr>
                <w:sz w:val="18"/>
              </w:rPr>
              <w:t>Cost</w:t>
            </w:r>
            <w:r>
              <w:rPr>
                <w:spacing w:val="-3"/>
                <w:sz w:val="18"/>
              </w:rPr>
              <w:t xml:space="preserve"> </w:t>
            </w:r>
            <w:r>
              <w:rPr>
                <w:sz w:val="18"/>
              </w:rPr>
              <w:t>of</w:t>
            </w:r>
            <w:r>
              <w:rPr>
                <w:spacing w:val="-2"/>
                <w:sz w:val="18"/>
              </w:rPr>
              <w:t xml:space="preserve"> </w:t>
            </w:r>
            <w:r>
              <w:rPr>
                <w:spacing w:val="-4"/>
                <w:sz w:val="18"/>
              </w:rPr>
              <w:t>Debt</w:t>
            </w:r>
          </w:p>
        </w:tc>
        <w:tc>
          <w:tcPr>
            <w:tcW w:w="3348" w:type="dxa"/>
            <w:tcBorders>
              <w:top w:val="single" w:sz="8" w:space="0" w:color="FFFFFF"/>
              <w:left w:val="nil"/>
              <w:bottom w:val="single" w:sz="8" w:space="0" w:color="FFFFFF"/>
              <w:right w:val="nil"/>
            </w:tcBorders>
            <w:shd w:val="clear" w:color="auto" w:fill="CCE2ED"/>
          </w:tcPr>
          <w:p w14:paraId="2840E260"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2"/>
                <w:sz w:val="18"/>
              </w:rPr>
              <w:t>5.3.2</w:t>
            </w:r>
          </w:p>
          <w:p w14:paraId="5C3948ED"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pacing w:val="-2"/>
                <w:sz w:val="18"/>
              </w:rPr>
              <w:t>5.3.2</w:t>
            </w:r>
          </w:p>
        </w:tc>
      </w:tr>
      <w:tr w:rsidR="00141B97" w14:paraId="380189A3" w14:textId="77777777">
        <w:trPr>
          <w:trHeight w:val="252"/>
        </w:trPr>
        <w:tc>
          <w:tcPr>
            <w:tcW w:w="889" w:type="dxa"/>
            <w:tcBorders>
              <w:top w:val="single" w:sz="8" w:space="0" w:color="FFFFFF"/>
              <w:left w:val="nil"/>
              <w:bottom w:val="single" w:sz="8" w:space="0" w:color="FFFFFF"/>
              <w:right w:val="nil"/>
            </w:tcBorders>
            <w:shd w:val="clear" w:color="auto" w:fill="CCE2ED"/>
          </w:tcPr>
          <w:p w14:paraId="16CBA1AE" w14:textId="77777777" w:rsidR="00141B97" w:rsidRDefault="00911D63">
            <w:pPr>
              <w:pStyle w:val="TableParagraph"/>
              <w:spacing w:before="1"/>
              <w:ind w:left="112"/>
              <w:rPr>
                <w:sz w:val="18"/>
              </w:rPr>
            </w:pPr>
            <w:r>
              <w:rPr>
                <w:spacing w:val="-4"/>
                <w:sz w:val="18"/>
              </w:rPr>
              <w:t>3.14</w:t>
            </w:r>
          </w:p>
        </w:tc>
        <w:tc>
          <w:tcPr>
            <w:tcW w:w="5534" w:type="dxa"/>
            <w:tcBorders>
              <w:top w:val="single" w:sz="8" w:space="0" w:color="FFFFFF"/>
              <w:left w:val="nil"/>
              <w:bottom w:val="single" w:sz="8" w:space="0" w:color="FFFFFF"/>
              <w:right w:val="nil"/>
            </w:tcBorders>
            <w:shd w:val="clear" w:color="auto" w:fill="CCE2ED"/>
          </w:tcPr>
          <w:p w14:paraId="1D063FDE" w14:textId="77777777" w:rsidR="00141B97" w:rsidRDefault="00911D63">
            <w:pPr>
              <w:pStyle w:val="TableParagraph"/>
              <w:spacing w:before="1"/>
              <w:ind w:left="112"/>
              <w:rPr>
                <w:sz w:val="18"/>
              </w:rPr>
            </w:pPr>
            <w:r>
              <w:rPr>
                <w:sz w:val="18"/>
              </w:rPr>
              <w:t>PREMO</w:t>
            </w:r>
            <w:r>
              <w:rPr>
                <w:spacing w:val="-1"/>
                <w:sz w:val="18"/>
              </w:rPr>
              <w:t xml:space="preserve"> </w:t>
            </w:r>
            <w:r>
              <w:rPr>
                <w:spacing w:val="-2"/>
                <w:sz w:val="18"/>
              </w:rPr>
              <w:t>rating</w:t>
            </w:r>
          </w:p>
        </w:tc>
        <w:tc>
          <w:tcPr>
            <w:tcW w:w="3348" w:type="dxa"/>
            <w:tcBorders>
              <w:top w:val="single" w:sz="8" w:space="0" w:color="FFFFFF"/>
              <w:left w:val="nil"/>
              <w:bottom w:val="single" w:sz="8" w:space="0" w:color="FFFFFF"/>
              <w:right w:val="nil"/>
            </w:tcBorders>
            <w:shd w:val="clear" w:color="auto" w:fill="CCE2ED"/>
          </w:tcPr>
          <w:p w14:paraId="13CCEF35" w14:textId="77777777" w:rsidR="00141B97" w:rsidRDefault="00911D63">
            <w:pPr>
              <w:pStyle w:val="TableParagraph"/>
              <w:spacing w:before="1"/>
              <w:ind w:left="113"/>
              <w:rPr>
                <w:sz w:val="18"/>
              </w:rPr>
            </w:pPr>
            <w:r>
              <w:rPr>
                <w:sz w:val="18"/>
              </w:rPr>
              <w:t>Part</w:t>
            </w:r>
            <w:r>
              <w:rPr>
                <w:spacing w:val="-5"/>
                <w:sz w:val="18"/>
              </w:rPr>
              <w:t xml:space="preserve"> </w:t>
            </w:r>
            <w:r>
              <w:rPr>
                <w:sz w:val="18"/>
              </w:rPr>
              <w:t>A:</w:t>
            </w:r>
            <w:r>
              <w:rPr>
                <w:spacing w:val="-3"/>
                <w:sz w:val="18"/>
              </w:rPr>
              <w:t xml:space="preserve"> </w:t>
            </w:r>
            <w:r>
              <w:rPr>
                <w:sz w:val="18"/>
              </w:rPr>
              <w:t>Section</w:t>
            </w:r>
            <w:r>
              <w:rPr>
                <w:spacing w:val="-3"/>
                <w:sz w:val="18"/>
              </w:rPr>
              <w:t xml:space="preserve"> </w:t>
            </w:r>
            <w:r>
              <w:rPr>
                <w:spacing w:val="-12"/>
                <w:sz w:val="18"/>
              </w:rPr>
              <w:t>5</w:t>
            </w:r>
          </w:p>
        </w:tc>
      </w:tr>
      <w:tr w:rsidR="00141B97" w14:paraId="3E3797C4" w14:textId="77777777">
        <w:trPr>
          <w:trHeight w:val="505"/>
        </w:trPr>
        <w:tc>
          <w:tcPr>
            <w:tcW w:w="889" w:type="dxa"/>
            <w:tcBorders>
              <w:top w:val="single" w:sz="8" w:space="0" w:color="FFFFFF"/>
              <w:left w:val="nil"/>
              <w:bottom w:val="single" w:sz="8" w:space="0" w:color="FFFFFF"/>
              <w:right w:val="nil"/>
            </w:tcBorders>
            <w:shd w:val="clear" w:color="auto" w:fill="CCE2ED"/>
          </w:tcPr>
          <w:p w14:paraId="2E0A13B3" w14:textId="77777777" w:rsidR="00141B97" w:rsidRDefault="00911D63">
            <w:pPr>
              <w:pStyle w:val="TableParagraph"/>
              <w:spacing w:before="2"/>
              <w:ind w:left="112"/>
              <w:rPr>
                <w:sz w:val="18"/>
              </w:rPr>
            </w:pPr>
            <w:r>
              <w:rPr>
                <w:spacing w:val="-4"/>
                <w:sz w:val="18"/>
              </w:rPr>
              <w:t>3.15</w:t>
            </w:r>
          </w:p>
        </w:tc>
        <w:tc>
          <w:tcPr>
            <w:tcW w:w="5534" w:type="dxa"/>
            <w:tcBorders>
              <w:top w:val="single" w:sz="8" w:space="0" w:color="FFFFFF"/>
              <w:left w:val="nil"/>
              <w:bottom w:val="single" w:sz="8" w:space="0" w:color="FFFFFF"/>
              <w:right w:val="nil"/>
            </w:tcBorders>
            <w:shd w:val="clear" w:color="auto" w:fill="CCE2ED"/>
          </w:tcPr>
          <w:p w14:paraId="53A27991" w14:textId="77777777" w:rsidR="00141B97" w:rsidRDefault="00911D63">
            <w:pPr>
              <w:pStyle w:val="TableParagraph"/>
              <w:spacing w:before="2"/>
              <w:ind w:left="112"/>
              <w:rPr>
                <w:sz w:val="18"/>
              </w:rPr>
            </w:pPr>
            <w:r>
              <w:rPr>
                <w:sz w:val="18"/>
              </w:rPr>
              <w:t>Return</w:t>
            </w:r>
            <w:r>
              <w:rPr>
                <w:spacing w:val="-1"/>
                <w:sz w:val="18"/>
              </w:rPr>
              <w:t xml:space="preserve"> </w:t>
            </w:r>
            <w:r>
              <w:rPr>
                <w:sz w:val="18"/>
              </w:rPr>
              <w:t xml:space="preserve">on </w:t>
            </w:r>
            <w:r>
              <w:rPr>
                <w:spacing w:val="-2"/>
                <w:sz w:val="18"/>
              </w:rPr>
              <w:t>equity</w:t>
            </w:r>
          </w:p>
        </w:tc>
        <w:tc>
          <w:tcPr>
            <w:tcW w:w="3348" w:type="dxa"/>
            <w:tcBorders>
              <w:top w:val="single" w:sz="8" w:space="0" w:color="FFFFFF"/>
              <w:left w:val="nil"/>
              <w:bottom w:val="single" w:sz="8" w:space="0" w:color="FFFFFF"/>
              <w:right w:val="nil"/>
            </w:tcBorders>
            <w:shd w:val="clear" w:color="auto" w:fill="CCE2ED"/>
          </w:tcPr>
          <w:p w14:paraId="1B1E8AB7"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2"/>
                <w:sz w:val="18"/>
              </w:rPr>
              <w:t>4.5.2</w:t>
            </w:r>
          </w:p>
          <w:p w14:paraId="7DBC5C8D"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pacing w:val="-2"/>
                <w:sz w:val="18"/>
              </w:rPr>
              <w:t>4.6.3</w:t>
            </w:r>
          </w:p>
        </w:tc>
      </w:tr>
      <w:tr w:rsidR="00141B97" w14:paraId="77B608CF" w14:textId="77777777">
        <w:trPr>
          <w:trHeight w:val="252"/>
        </w:trPr>
        <w:tc>
          <w:tcPr>
            <w:tcW w:w="889" w:type="dxa"/>
            <w:tcBorders>
              <w:top w:val="single" w:sz="8" w:space="0" w:color="FFFFFF"/>
              <w:left w:val="nil"/>
              <w:bottom w:val="single" w:sz="8" w:space="0" w:color="FFFFFF"/>
              <w:right w:val="nil"/>
            </w:tcBorders>
            <w:shd w:val="clear" w:color="auto" w:fill="CCE2ED"/>
          </w:tcPr>
          <w:p w14:paraId="75C60E7F" w14:textId="77777777" w:rsidR="00141B97" w:rsidRDefault="00911D63">
            <w:pPr>
              <w:pStyle w:val="TableParagraph"/>
              <w:spacing w:before="1"/>
              <w:ind w:left="112"/>
              <w:rPr>
                <w:sz w:val="18"/>
              </w:rPr>
            </w:pPr>
            <w:r>
              <w:rPr>
                <w:spacing w:val="-4"/>
                <w:sz w:val="18"/>
              </w:rPr>
              <w:t>3.16</w:t>
            </w:r>
          </w:p>
        </w:tc>
        <w:tc>
          <w:tcPr>
            <w:tcW w:w="5534" w:type="dxa"/>
            <w:tcBorders>
              <w:top w:val="single" w:sz="8" w:space="0" w:color="FFFFFF"/>
              <w:left w:val="nil"/>
              <w:bottom w:val="single" w:sz="8" w:space="0" w:color="FFFFFF"/>
              <w:right w:val="nil"/>
            </w:tcBorders>
            <w:shd w:val="clear" w:color="auto" w:fill="CCE2ED"/>
          </w:tcPr>
          <w:p w14:paraId="4A27053D" w14:textId="77777777" w:rsidR="00141B97" w:rsidRDefault="00911D63">
            <w:pPr>
              <w:pStyle w:val="TableParagraph"/>
              <w:spacing w:before="1"/>
              <w:ind w:left="112"/>
              <w:rPr>
                <w:sz w:val="18"/>
              </w:rPr>
            </w:pPr>
            <w:r>
              <w:rPr>
                <w:sz w:val="18"/>
              </w:rPr>
              <w:t>Tax</w:t>
            </w:r>
            <w:r>
              <w:rPr>
                <w:spacing w:val="-1"/>
                <w:sz w:val="18"/>
              </w:rPr>
              <w:t xml:space="preserve"> </w:t>
            </w:r>
            <w:r>
              <w:rPr>
                <w:spacing w:val="-2"/>
                <w:sz w:val="18"/>
              </w:rPr>
              <w:t>allowance</w:t>
            </w:r>
          </w:p>
        </w:tc>
        <w:tc>
          <w:tcPr>
            <w:tcW w:w="3348" w:type="dxa"/>
            <w:tcBorders>
              <w:top w:val="single" w:sz="8" w:space="0" w:color="FFFFFF"/>
              <w:left w:val="nil"/>
              <w:bottom w:val="single" w:sz="8" w:space="0" w:color="FFFFFF"/>
              <w:right w:val="nil"/>
            </w:tcBorders>
            <w:shd w:val="clear" w:color="auto" w:fill="CCE2ED"/>
          </w:tcPr>
          <w:p w14:paraId="5600CC9A" w14:textId="77777777" w:rsidR="00141B97" w:rsidRDefault="00911D63">
            <w:pPr>
              <w:pStyle w:val="TableParagraph"/>
              <w:spacing w:before="1"/>
              <w:ind w:left="113"/>
              <w:rPr>
                <w:sz w:val="18"/>
              </w:rPr>
            </w:pPr>
            <w:r>
              <w:rPr>
                <w:sz w:val="18"/>
              </w:rPr>
              <w:t>Part</w:t>
            </w:r>
            <w:r>
              <w:rPr>
                <w:spacing w:val="-1"/>
                <w:sz w:val="18"/>
              </w:rPr>
              <w:t xml:space="preserve"> </w:t>
            </w:r>
            <w:r>
              <w:rPr>
                <w:sz w:val="18"/>
              </w:rPr>
              <w:t>A:</w:t>
            </w:r>
            <w:r>
              <w:rPr>
                <w:spacing w:val="-1"/>
                <w:sz w:val="18"/>
              </w:rPr>
              <w:t xml:space="preserve"> </w:t>
            </w:r>
            <w:r>
              <w:rPr>
                <w:spacing w:val="-5"/>
                <w:sz w:val="18"/>
              </w:rPr>
              <w:t>4.7</w:t>
            </w:r>
          </w:p>
        </w:tc>
      </w:tr>
      <w:tr w:rsidR="00141B97" w14:paraId="65CB8A81" w14:textId="77777777">
        <w:trPr>
          <w:trHeight w:val="505"/>
        </w:trPr>
        <w:tc>
          <w:tcPr>
            <w:tcW w:w="889" w:type="dxa"/>
            <w:tcBorders>
              <w:top w:val="single" w:sz="8" w:space="0" w:color="FFFFFF"/>
              <w:left w:val="nil"/>
              <w:bottom w:val="single" w:sz="8" w:space="0" w:color="FFFFFF"/>
              <w:right w:val="nil"/>
            </w:tcBorders>
            <w:shd w:val="clear" w:color="auto" w:fill="CCE2ED"/>
          </w:tcPr>
          <w:p w14:paraId="1D7CD760" w14:textId="77777777" w:rsidR="00141B97" w:rsidRDefault="00911D63">
            <w:pPr>
              <w:pStyle w:val="TableParagraph"/>
              <w:spacing w:before="2"/>
              <w:ind w:left="112"/>
              <w:rPr>
                <w:sz w:val="18"/>
              </w:rPr>
            </w:pPr>
            <w:r>
              <w:rPr>
                <w:spacing w:val="-4"/>
                <w:sz w:val="18"/>
              </w:rPr>
              <w:t>3.17</w:t>
            </w:r>
          </w:p>
        </w:tc>
        <w:tc>
          <w:tcPr>
            <w:tcW w:w="5534" w:type="dxa"/>
            <w:tcBorders>
              <w:top w:val="single" w:sz="8" w:space="0" w:color="FFFFFF"/>
              <w:left w:val="nil"/>
              <w:bottom w:val="single" w:sz="8" w:space="0" w:color="FFFFFF"/>
              <w:right w:val="nil"/>
            </w:tcBorders>
            <w:shd w:val="clear" w:color="auto" w:fill="CCE2ED"/>
          </w:tcPr>
          <w:p w14:paraId="595F402F" w14:textId="77777777" w:rsidR="00141B97" w:rsidRDefault="00911D63">
            <w:pPr>
              <w:pStyle w:val="TableParagraph"/>
              <w:spacing w:before="2"/>
              <w:ind w:left="112"/>
              <w:rPr>
                <w:sz w:val="18"/>
              </w:rPr>
            </w:pPr>
            <w:r>
              <w:rPr>
                <w:spacing w:val="-2"/>
                <w:sz w:val="18"/>
              </w:rPr>
              <w:t>Demand</w:t>
            </w:r>
          </w:p>
        </w:tc>
        <w:tc>
          <w:tcPr>
            <w:tcW w:w="3348" w:type="dxa"/>
            <w:tcBorders>
              <w:top w:val="single" w:sz="8" w:space="0" w:color="FFFFFF"/>
              <w:left w:val="nil"/>
              <w:bottom w:val="single" w:sz="8" w:space="0" w:color="FFFFFF"/>
              <w:right w:val="nil"/>
            </w:tcBorders>
            <w:shd w:val="clear" w:color="auto" w:fill="CCE2ED"/>
          </w:tcPr>
          <w:p w14:paraId="362E41C3"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4.2</w:t>
            </w:r>
          </w:p>
          <w:p w14:paraId="279DA4E4"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4.2</w:t>
            </w:r>
          </w:p>
        </w:tc>
      </w:tr>
      <w:tr w:rsidR="00141B97" w14:paraId="5AB079FF" w14:textId="77777777">
        <w:trPr>
          <w:trHeight w:val="505"/>
        </w:trPr>
        <w:tc>
          <w:tcPr>
            <w:tcW w:w="889" w:type="dxa"/>
            <w:tcBorders>
              <w:top w:val="single" w:sz="8" w:space="0" w:color="FFFFFF"/>
              <w:left w:val="nil"/>
              <w:bottom w:val="single" w:sz="8" w:space="0" w:color="FFFFFF"/>
              <w:right w:val="nil"/>
            </w:tcBorders>
            <w:shd w:val="clear" w:color="auto" w:fill="CCE2ED"/>
          </w:tcPr>
          <w:p w14:paraId="4C8D623C" w14:textId="77777777" w:rsidR="00141B97" w:rsidRDefault="00911D63">
            <w:pPr>
              <w:pStyle w:val="TableParagraph"/>
              <w:spacing w:before="2"/>
              <w:ind w:left="112"/>
              <w:rPr>
                <w:sz w:val="18"/>
              </w:rPr>
            </w:pPr>
            <w:r>
              <w:rPr>
                <w:spacing w:val="-4"/>
                <w:sz w:val="18"/>
              </w:rPr>
              <w:t>3.18</w:t>
            </w:r>
          </w:p>
        </w:tc>
        <w:tc>
          <w:tcPr>
            <w:tcW w:w="5534" w:type="dxa"/>
            <w:tcBorders>
              <w:top w:val="single" w:sz="8" w:space="0" w:color="FFFFFF"/>
              <w:left w:val="nil"/>
              <w:bottom w:val="single" w:sz="8" w:space="0" w:color="FFFFFF"/>
              <w:right w:val="nil"/>
            </w:tcBorders>
            <w:shd w:val="clear" w:color="auto" w:fill="CCE2ED"/>
          </w:tcPr>
          <w:p w14:paraId="66FE7CCC" w14:textId="77777777" w:rsidR="00141B97" w:rsidRDefault="00911D63">
            <w:pPr>
              <w:pStyle w:val="TableParagraph"/>
              <w:spacing w:before="2"/>
              <w:ind w:left="112"/>
              <w:rPr>
                <w:sz w:val="18"/>
              </w:rPr>
            </w:pPr>
            <w:r>
              <w:rPr>
                <w:sz w:val="18"/>
              </w:rPr>
              <w:t>Form</w:t>
            </w:r>
            <w:r>
              <w:rPr>
                <w:spacing w:val="-1"/>
                <w:sz w:val="18"/>
              </w:rPr>
              <w:t xml:space="preserve"> </w:t>
            </w:r>
            <w:r>
              <w:rPr>
                <w:sz w:val="18"/>
              </w:rPr>
              <w:t>of price</w:t>
            </w:r>
            <w:r>
              <w:rPr>
                <w:spacing w:val="-1"/>
                <w:sz w:val="18"/>
              </w:rPr>
              <w:t xml:space="preserve"> </w:t>
            </w:r>
            <w:r>
              <w:rPr>
                <w:spacing w:val="-2"/>
                <w:sz w:val="18"/>
              </w:rPr>
              <w:t>control</w:t>
            </w:r>
          </w:p>
        </w:tc>
        <w:tc>
          <w:tcPr>
            <w:tcW w:w="3348" w:type="dxa"/>
            <w:tcBorders>
              <w:top w:val="single" w:sz="8" w:space="0" w:color="FFFFFF"/>
              <w:left w:val="nil"/>
              <w:bottom w:val="single" w:sz="8" w:space="0" w:color="FFFFFF"/>
              <w:right w:val="nil"/>
            </w:tcBorders>
            <w:shd w:val="clear" w:color="auto" w:fill="CCE2ED"/>
          </w:tcPr>
          <w:p w14:paraId="4C06989E"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5.1</w:t>
            </w:r>
          </w:p>
          <w:p w14:paraId="3419BE90" w14:textId="77777777" w:rsidR="00141B97" w:rsidRDefault="00911D63">
            <w:pPr>
              <w:pStyle w:val="TableParagraph"/>
              <w:spacing w:before="32"/>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5.1</w:t>
            </w:r>
          </w:p>
        </w:tc>
      </w:tr>
      <w:tr w:rsidR="00141B97" w14:paraId="50AE83D0" w14:textId="77777777">
        <w:trPr>
          <w:trHeight w:val="504"/>
        </w:trPr>
        <w:tc>
          <w:tcPr>
            <w:tcW w:w="889" w:type="dxa"/>
            <w:tcBorders>
              <w:top w:val="single" w:sz="8" w:space="0" w:color="FFFFFF"/>
              <w:left w:val="nil"/>
              <w:bottom w:val="single" w:sz="8" w:space="0" w:color="FFFFFF"/>
              <w:right w:val="nil"/>
            </w:tcBorders>
            <w:shd w:val="clear" w:color="auto" w:fill="CCE2ED"/>
          </w:tcPr>
          <w:p w14:paraId="3F4503C1" w14:textId="77777777" w:rsidR="00141B97" w:rsidRDefault="00911D63">
            <w:pPr>
              <w:pStyle w:val="TableParagraph"/>
              <w:spacing w:before="1"/>
              <w:ind w:left="112"/>
              <w:rPr>
                <w:sz w:val="18"/>
              </w:rPr>
            </w:pPr>
            <w:r>
              <w:rPr>
                <w:spacing w:val="-4"/>
                <w:sz w:val="18"/>
              </w:rPr>
              <w:t>3.19</w:t>
            </w:r>
          </w:p>
        </w:tc>
        <w:tc>
          <w:tcPr>
            <w:tcW w:w="5534" w:type="dxa"/>
            <w:tcBorders>
              <w:top w:val="single" w:sz="8" w:space="0" w:color="FFFFFF"/>
              <w:left w:val="nil"/>
              <w:bottom w:val="single" w:sz="8" w:space="0" w:color="FFFFFF"/>
              <w:right w:val="nil"/>
            </w:tcBorders>
            <w:shd w:val="clear" w:color="auto" w:fill="CCE2ED"/>
          </w:tcPr>
          <w:p w14:paraId="55ADCDF7" w14:textId="77777777" w:rsidR="00141B97" w:rsidRDefault="00911D63">
            <w:pPr>
              <w:pStyle w:val="TableParagraph"/>
              <w:spacing w:before="1"/>
              <w:ind w:left="112"/>
              <w:rPr>
                <w:sz w:val="18"/>
              </w:rPr>
            </w:pPr>
            <w:r>
              <w:rPr>
                <w:sz w:val="18"/>
              </w:rPr>
              <w:t>Prices and tariff</w:t>
            </w:r>
            <w:r>
              <w:rPr>
                <w:spacing w:val="-3"/>
                <w:sz w:val="18"/>
              </w:rPr>
              <w:t xml:space="preserve"> </w:t>
            </w:r>
            <w:r>
              <w:rPr>
                <w:spacing w:val="-2"/>
                <w:sz w:val="18"/>
              </w:rPr>
              <w:t>structures</w:t>
            </w:r>
          </w:p>
        </w:tc>
        <w:tc>
          <w:tcPr>
            <w:tcW w:w="3348" w:type="dxa"/>
            <w:tcBorders>
              <w:top w:val="single" w:sz="8" w:space="0" w:color="FFFFFF"/>
              <w:left w:val="nil"/>
              <w:bottom w:val="single" w:sz="8" w:space="0" w:color="FFFFFF"/>
              <w:right w:val="nil"/>
            </w:tcBorders>
            <w:shd w:val="clear" w:color="auto" w:fill="CCE2ED"/>
          </w:tcPr>
          <w:p w14:paraId="07C3682E" w14:textId="77777777" w:rsidR="00141B97" w:rsidRDefault="00911D63">
            <w:pPr>
              <w:pStyle w:val="TableParagraph"/>
              <w:spacing w:before="1"/>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5.2</w:t>
            </w:r>
          </w:p>
          <w:p w14:paraId="6E807251" w14:textId="77777777" w:rsidR="00141B97" w:rsidRDefault="00911D63">
            <w:pPr>
              <w:pStyle w:val="TableParagraph"/>
              <w:spacing w:before="33"/>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5.2</w:t>
            </w:r>
          </w:p>
        </w:tc>
      </w:tr>
      <w:tr w:rsidR="00141B97" w14:paraId="333EC2A0" w14:textId="77777777">
        <w:trPr>
          <w:trHeight w:val="758"/>
        </w:trPr>
        <w:tc>
          <w:tcPr>
            <w:tcW w:w="889" w:type="dxa"/>
            <w:tcBorders>
              <w:top w:val="single" w:sz="8" w:space="0" w:color="FFFFFF"/>
              <w:left w:val="nil"/>
              <w:bottom w:val="single" w:sz="8" w:space="0" w:color="FFFFFF"/>
              <w:right w:val="nil"/>
            </w:tcBorders>
            <w:shd w:val="clear" w:color="auto" w:fill="CCE2ED"/>
          </w:tcPr>
          <w:p w14:paraId="52039C1A" w14:textId="77777777" w:rsidR="00141B97" w:rsidRDefault="00911D63">
            <w:pPr>
              <w:pStyle w:val="TableParagraph"/>
              <w:spacing w:before="2"/>
              <w:ind w:left="112"/>
              <w:rPr>
                <w:sz w:val="18"/>
              </w:rPr>
            </w:pPr>
            <w:r>
              <w:rPr>
                <w:spacing w:val="-4"/>
                <w:sz w:val="18"/>
              </w:rPr>
              <w:t>3.20</w:t>
            </w:r>
          </w:p>
        </w:tc>
        <w:tc>
          <w:tcPr>
            <w:tcW w:w="5534" w:type="dxa"/>
            <w:tcBorders>
              <w:top w:val="single" w:sz="8" w:space="0" w:color="FFFFFF"/>
              <w:left w:val="nil"/>
              <w:bottom w:val="single" w:sz="8" w:space="0" w:color="FFFFFF"/>
              <w:right w:val="nil"/>
            </w:tcBorders>
            <w:shd w:val="clear" w:color="auto" w:fill="CCE2ED"/>
          </w:tcPr>
          <w:p w14:paraId="6F886D9B" w14:textId="77777777" w:rsidR="00141B97" w:rsidRDefault="00911D63">
            <w:pPr>
              <w:pStyle w:val="TableParagraph"/>
              <w:spacing w:before="2"/>
              <w:ind w:left="112"/>
              <w:rPr>
                <w:sz w:val="18"/>
              </w:rPr>
            </w:pPr>
            <w:r>
              <w:rPr>
                <w:sz w:val="18"/>
              </w:rPr>
              <w:t>Adjusting</w:t>
            </w:r>
            <w:r>
              <w:rPr>
                <w:spacing w:val="-1"/>
                <w:sz w:val="18"/>
              </w:rPr>
              <w:t xml:space="preserve"> </w:t>
            </w:r>
            <w:r>
              <w:rPr>
                <w:spacing w:val="-2"/>
                <w:sz w:val="18"/>
              </w:rPr>
              <w:t>prices</w:t>
            </w:r>
          </w:p>
        </w:tc>
        <w:tc>
          <w:tcPr>
            <w:tcW w:w="3348" w:type="dxa"/>
            <w:tcBorders>
              <w:top w:val="single" w:sz="8" w:space="0" w:color="FFFFFF"/>
              <w:left w:val="nil"/>
              <w:bottom w:val="single" w:sz="8" w:space="0" w:color="FFFFFF"/>
              <w:right w:val="nil"/>
            </w:tcBorders>
            <w:shd w:val="clear" w:color="auto" w:fill="CCE2ED"/>
          </w:tcPr>
          <w:p w14:paraId="5FE1BD2E" w14:textId="77777777" w:rsidR="00141B97" w:rsidRDefault="00911D63">
            <w:pPr>
              <w:pStyle w:val="TableParagraph"/>
              <w:spacing w:before="2"/>
              <w:ind w:left="113"/>
              <w:rPr>
                <w:sz w:val="18"/>
              </w:rPr>
            </w:pPr>
            <w:r>
              <w:rPr>
                <w:sz w:val="18"/>
              </w:rPr>
              <w:t>Part</w:t>
            </w:r>
            <w:r>
              <w:rPr>
                <w:spacing w:val="-1"/>
                <w:sz w:val="18"/>
              </w:rPr>
              <w:t xml:space="preserve"> </w:t>
            </w:r>
            <w:r>
              <w:rPr>
                <w:sz w:val="18"/>
              </w:rPr>
              <w:t>A:</w:t>
            </w:r>
            <w:r>
              <w:rPr>
                <w:spacing w:val="-1"/>
                <w:sz w:val="18"/>
              </w:rPr>
              <w:t xml:space="preserve"> </w:t>
            </w:r>
            <w:r>
              <w:rPr>
                <w:spacing w:val="-5"/>
                <w:sz w:val="18"/>
              </w:rPr>
              <w:t>4.9</w:t>
            </w:r>
          </w:p>
          <w:p w14:paraId="722380DF" w14:textId="77777777" w:rsidR="00141B97" w:rsidRDefault="00911D63">
            <w:pPr>
              <w:pStyle w:val="TableParagraph"/>
              <w:spacing w:before="33"/>
              <w:ind w:left="113"/>
              <w:rPr>
                <w:sz w:val="18"/>
              </w:rPr>
            </w:pPr>
            <w:r>
              <w:rPr>
                <w:sz w:val="18"/>
              </w:rPr>
              <w:t>Part</w:t>
            </w:r>
            <w:r>
              <w:rPr>
                <w:spacing w:val="-2"/>
                <w:sz w:val="18"/>
              </w:rPr>
              <w:t xml:space="preserve"> </w:t>
            </w:r>
            <w:r>
              <w:rPr>
                <w:sz w:val="18"/>
              </w:rPr>
              <w:t>B:</w:t>
            </w:r>
            <w:r>
              <w:rPr>
                <w:spacing w:val="-1"/>
                <w:sz w:val="18"/>
              </w:rPr>
              <w:t xml:space="preserve"> </w:t>
            </w:r>
            <w:r>
              <w:rPr>
                <w:spacing w:val="-5"/>
                <w:sz w:val="18"/>
              </w:rPr>
              <w:t>5.3</w:t>
            </w:r>
          </w:p>
          <w:p w14:paraId="5713F22E" w14:textId="77777777" w:rsidR="00141B97" w:rsidRDefault="00911D63">
            <w:pPr>
              <w:pStyle w:val="TableParagraph"/>
              <w:spacing w:before="33"/>
              <w:ind w:left="113"/>
              <w:rPr>
                <w:sz w:val="18"/>
              </w:rPr>
            </w:pPr>
            <w:r>
              <w:rPr>
                <w:sz w:val="18"/>
              </w:rPr>
              <w:t>Part</w:t>
            </w:r>
            <w:r>
              <w:rPr>
                <w:spacing w:val="-2"/>
                <w:sz w:val="18"/>
              </w:rPr>
              <w:t xml:space="preserve"> </w:t>
            </w:r>
            <w:r>
              <w:rPr>
                <w:sz w:val="18"/>
              </w:rPr>
              <w:t>C:</w:t>
            </w:r>
            <w:r>
              <w:rPr>
                <w:spacing w:val="-1"/>
                <w:sz w:val="18"/>
              </w:rPr>
              <w:t xml:space="preserve"> </w:t>
            </w:r>
            <w:r>
              <w:rPr>
                <w:spacing w:val="-5"/>
                <w:sz w:val="18"/>
              </w:rPr>
              <w:t>5.3</w:t>
            </w:r>
          </w:p>
        </w:tc>
      </w:tr>
      <w:tr w:rsidR="00141B97" w14:paraId="3F116939" w14:textId="77777777">
        <w:trPr>
          <w:trHeight w:val="252"/>
        </w:trPr>
        <w:tc>
          <w:tcPr>
            <w:tcW w:w="889" w:type="dxa"/>
            <w:tcBorders>
              <w:top w:val="single" w:sz="8" w:space="0" w:color="FFFFFF"/>
              <w:left w:val="nil"/>
              <w:bottom w:val="single" w:sz="8" w:space="0" w:color="FFFFFF"/>
              <w:right w:val="nil"/>
            </w:tcBorders>
            <w:shd w:val="clear" w:color="auto" w:fill="CCE2ED"/>
          </w:tcPr>
          <w:p w14:paraId="09BD4DE5" w14:textId="77777777" w:rsidR="00141B97" w:rsidRDefault="00911D63">
            <w:pPr>
              <w:pStyle w:val="TableParagraph"/>
              <w:spacing w:before="2"/>
              <w:ind w:left="112"/>
              <w:rPr>
                <w:sz w:val="18"/>
              </w:rPr>
            </w:pPr>
            <w:r>
              <w:rPr>
                <w:spacing w:val="-4"/>
                <w:sz w:val="18"/>
              </w:rPr>
              <w:t>3.21</w:t>
            </w:r>
          </w:p>
        </w:tc>
        <w:tc>
          <w:tcPr>
            <w:tcW w:w="5534" w:type="dxa"/>
            <w:tcBorders>
              <w:top w:val="single" w:sz="8" w:space="0" w:color="FFFFFF"/>
              <w:left w:val="nil"/>
              <w:bottom w:val="single" w:sz="8" w:space="0" w:color="FFFFFF"/>
              <w:right w:val="nil"/>
            </w:tcBorders>
            <w:shd w:val="clear" w:color="auto" w:fill="CCE2ED"/>
          </w:tcPr>
          <w:p w14:paraId="3E61EE88" w14:textId="77777777" w:rsidR="00141B97" w:rsidRDefault="00911D63">
            <w:pPr>
              <w:pStyle w:val="TableParagraph"/>
              <w:spacing w:before="2"/>
              <w:ind w:left="112"/>
              <w:rPr>
                <w:sz w:val="18"/>
              </w:rPr>
            </w:pPr>
            <w:r>
              <w:rPr>
                <w:sz w:val="18"/>
              </w:rPr>
              <w:t>New</w:t>
            </w:r>
            <w:r>
              <w:rPr>
                <w:spacing w:val="-4"/>
                <w:sz w:val="18"/>
              </w:rPr>
              <w:t xml:space="preserve"> </w:t>
            </w:r>
            <w:r>
              <w:rPr>
                <w:sz w:val="18"/>
              </w:rPr>
              <w:t>customer</w:t>
            </w:r>
            <w:r>
              <w:rPr>
                <w:spacing w:val="-3"/>
                <w:sz w:val="18"/>
              </w:rPr>
              <w:t xml:space="preserve"> </w:t>
            </w:r>
            <w:r>
              <w:rPr>
                <w:spacing w:val="-2"/>
                <w:sz w:val="18"/>
              </w:rPr>
              <w:t>contributions</w:t>
            </w:r>
          </w:p>
        </w:tc>
        <w:tc>
          <w:tcPr>
            <w:tcW w:w="3348" w:type="dxa"/>
            <w:tcBorders>
              <w:top w:val="single" w:sz="8" w:space="0" w:color="FFFFFF"/>
              <w:left w:val="nil"/>
              <w:bottom w:val="single" w:sz="8" w:space="0" w:color="FFFFFF"/>
              <w:right w:val="nil"/>
            </w:tcBorders>
            <w:shd w:val="clear" w:color="auto" w:fill="CCE2ED"/>
          </w:tcPr>
          <w:p w14:paraId="4E08B4EB" w14:textId="77777777" w:rsidR="00141B97" w:rsidRDefault="00911D63">
            <w:pPr>
              <w:pStyle w:val="TableParagraph"/>
              <w:spacing w:before="2"/>
              <w:ind w:left="113"/>
              <w:rPr>
                <w:sz w:val="18"/>
              </w:rPr>
            </w:pPr>
            <w:r>
              <w:rPr>
                <w:sz w:val="18"/>
              </w:rPr>
              <w:t>Part</w:t>
            </w:r>
            <w:r>
              <w:rPr>
                <w:spacing w:val="-2"/>
                <w:sz w:val="18"/>
              </w:rPr>
              <w:t xml:space="preserve"> </w:t>
            </w:r>
            <w:r>
              <w:rPr>
                <w:sz w:val="18"/>
              </w:rPr>
              <w:t>B:</w:t>
            </w:r>
            <w:r>
              <w:rPr>
                <w:spacing w:val="-1"/>
                <w:sz w:val="18"/>
              </w:rPr>
              <w:t xml:space="preserve"> </w:t>
            </w:r>
            <w:r>
              <w:rPr>
                <w:spacing w:val="-2"/>
                <w:sz w:val="18"/>
              </w:rPr>
              <w:t>5.2.4</w:t>
            </w:r>
          </w:p>
        </w:tc>
      </w:tr>
      <w:tr w:rsidR="00141B97" w14:paraId="50F71EBE" w14:textId="77777777">
        <w:trPr>
          <w:trHeight w:val="252"/>
        </w:trPr>
        <w:tc>
          <w:tcPr>
            <w:tcW w:w="889" w:type="dxa"/>
            <w:tcBorders>
              <w:top w:val="single" w:sz="8" w:space="0" w:color="FFFFFF"/>
              <w:left w:val="nil"/>
              <w:bottom w:val="single" w:sz="8" w:space="0" w:color="FFFFFF"/>
              <w:right w:val="nil"/>
            </w:tcBorders>
            <w:shd w:val="clear" w:color="auto" w:fill="CCE2ED"/>
          </w:tcPr>
          <w:p w14:paraId="19FE7EFC" w14:textId="77777777" w:rsidR="00141B97" w:rsidRDefault="00911D63">
            <w:pPr>
              <w:pStyle w:val="TableParagraph"/>
              <w:spacing w:before="2"/>
              <w:ind w:left="112"/>
              <w:rPr>
                <w:sz w:val="18"/>
              </w:rPr>
            </w:pPr>
            <w:r>
              <w:rPr>
                <w:spacing w:val="-4"/>
                <w:sz w:val="18"/>
              </w:rPr>
              <w:t>3.22</w:t>
            </w:r>
          </w:p>
        </w:tc>
        <w:tc>
          <w:tcPr>
            <w:tcW w:w="5534" w:type="dxa"/>
            <w:tcBorders>
              <w:top w:val="single" w:sz="8" w:space="0" w:color="FFFFFF"/>
              <w:left w:val="nil"/>
              <w:bottom w:val="single" w:sz="8" w:space="0" w:color="FFFFFF"/>
              <w:right w:val="nil"/>
            </w:tcBorders>
            <w:shd w:val="clear" w:color="auto" w:fill="CCE2ED"/>
          </w:tcPr>
          <w:p w14:paraId="535A43C4" w14:textId="77777777" w:rsidR="00141B97" w:rsidRDefault="00911D63">
            <w:pPr>
              <w:pStyle w:val="TableParagraph"/>
              <w:spacing w:before="2"/>
              <w:ind w:left="112"/>
              <w:rPr>
                <w:sz w:val="18"/>
              </w:rPr>
            </w:pPr>
            <w:r>
              <w:rPr>
                <w:sz w:val="18"/>
              </w:rPr>
              <w:t>Financial</w:t>
            </w:r>
            <w:r>
              <w:rPr>
                <w:spacing w:val="-1"/>
                <w:sz w:val="18"/>
              </w:rPr>
              <w:t xml:space="preserve"> </w:t>
            </w:r>
            <w:r>
              <w:rPr>
                <w:spacing w:val="-2"/>
                <w:sz w:val="18"/>
              </w:rPr>
              <w:t>position</w:t>
            </w:r>
          </w:p>
        </w:tc>
        <w:tc>
          <w:tcPr>
            <w:tcW w:w="3348" w:type="dxa"/>
            <w:tcBorders>
              <w:top w:val="single" w:sz="8" w:space="0" w:color="FFFFFF"/>
              <w:left w:val="nil"/>
              <w:bottom w:val="single" w:sz="8" w:space="0" w:color="FFFFFF"/>
              <w:right w:val="nil"/>
            </w:tcBorders>
            <w:shd w:val="clear" w:color="auto" w:fill="CCE2ED"/>
          </w:tcPr>
          <w:p w14:paraId="48E69536" w14:textId="77777777" w:rsidR="00141B97" w:rsidRDefault="00911D63">
            <w:pPr>
              <w:pStyle w:val="TableParagraph"/>
              <w:spacing w:before="2"/>
              <w:ind w:left="113"/>
              <w:rPr>
                <w:sz w:val="18"/>
              </w:rPr>
            </w:pPr>
            <w:r>
              <w:rPr>
                <w:sz w:val="18"/>
              </w:rPr>
              <w:t>Part</w:t>
            </w:r>
            <w:r>
              <w:rPr>
                <w:spacing w:val="-5"/>
                <w:sz w:val="18"/>
              </w:rPr>
              <w:t xml:space="preserve"> </w:t>
            </w:r>
            <w:r>
              <w:rPr>
                <w:sz w:val="18"/>
              </w:rPr>
              <w:t>A:</w:t>
            </w:r>
            <w:r>
              <w:rPr>
                <w:spacing w:val="-3"/>
                <w:sz w:val="18"/>
              </w:rPr>
              <w:t xml:space="preserve"> </w:t>
            </w:r>
            <w:r>
              <w:rPr>
                <w:sz w:val="18"/>
              </w:rPr>
              <w:t>Section</w:t>
            </w:r>
            <w:r>
              <w:rPr>
                <w:spacing w:val="-3"/>
                <w:sz w:val="18"/>
              </w:rPr>
              <w:t xml:space="preserve"> </w:t>
            </w:r>
            <w:r>
              <w:rPr>
                <w:spacing w:val="-12"/>
                <w:sz w:val="18"/>
              </w:rPr>
              <w:t>7</w:t>
            </w:r>
          </w:p>
        </w:tc>
      </w:tr>
      <w:tr w:rsidR="00141B97" w14:paraId="4A719364" w14:textId="77777777">
        <w:trPr>
          <w:trHeight w:val="759"/>
        </w:trPr>
        <w:tc>
          <w:tcPr>
            <w:tcW w:w="889" w:type="dxa"/>
            <w:tcBorders>
              <w:top w:val="single" w:sz="8" w:space="0" w:color="FFFFFF"/>
              <w:left w:val="nil"/>
              <w:bottom w:val="nil"/>
              <w:right w:val="nil"/>
            </w:tcBorders>
            <w:shd w:val="clear" w:color="auto" w:fill="CCE2ED"/>
          </w:tcPr>
          <w:p w14:paraId="33634EF8" w14:textId="77777777" w:rsidR="00141B97" w:rsidRDefault="00911D63">
            <w:pPr>
              <w:pStyle w:val="TableParagraph"/>
              <w:spacing w:before="2"/>
              <w:ind w:left="112"/>
              <w:rPr>
                <w:sz w:val="18"/>
              </w:rPr>
            </w:pPr>
            <w:r>
              <w:rPr>
                <w:spacing w:val="-4"/>
                <w:sz w:val="18"/>
              </w:rPr>
              <w:t>3.23</w:t>
            </w:r>
          </w:p>
        </w:tc>
        <w:tc>
          <w:tcPr>
            <w:tcW w:w="5534" w:type="dxa"/>
            <w:tcBorders>
              <w:top w:val="single" w:sz="8" w:space="0" w:color="FFFFFF"/>
              <w:left w:val="nil"/>
              <w:bottom w:val="nil"/>
              <w:right w:val="nil"/>
            </w:tcBorders>
            <w:shd w:val="clear" w:color="auto" w:fill="CCE2ED"/>
          </w:tcPr>
          <w:p w14:paraId="03D941CF" w14:textId="77777777" w:rsidR="00141B97" w:rsidRDefault="00911D63">
            <w:pPr>
              <w:pStyle w:val="TableParagraph"/>
              <w:spacing w:before="2"/>
              <w:ind w:left="112"/>
              <w:rPr>
                <w:sz w:val="18"/>
              </w:rPr>
            </w:pPr>
            <w:r>
              <w:rPr>
                <w:sz w:val="18"/>
              </w:rPr>
              <w:t xml:space="preserve">Additional </w:t>
            </w:r>
            <w:r>
              <w:rPr>
                <w:spacing w:val="-2"/>
                <w:sz w:val="18"/>
              </w:rPr>
              <w:t>requirements</w:t>
            </w:r>
          </w:p>
          <w:p w14:paraId="40BE6124" w14:textId="77777777" w:rsidR="00141B97" w:rsidRDefault="00911D63">
            <w:pPr>
              <w:pStyle w:val="TableParagraph"/>
              <w:numPr>
                <w:ilvl w:val="0"/>
                <w:numId w:val="109"/>
              </w:numPr>
              <w:tabs>
                <w:tab w:val="left" w:pos="832"/>
                <w:tab w:val="left" w:pos="833"/>
              </w:tabs>
              <w:spacing w:before="33"/>
              <w:ind w:hanging="361"/>
              <w:rPr>
                <w:sz w:val="18"/>
              </w:rPr>
            </w:pPr>
            <w:r>
              <w:rPr>
                <w:sz w:val="18"/>
              </w:rPr>
              <w:t>Exec</w:t>
            </w:r>
            <w:r>
              <w:rPr>
                <w:spacing w:val="-3"/>
                <w:sz w:val="18"/>
              </w:rPr>
              <w:t xml:space="preserve"> </w:t>
            </w:r>
            <w:r>
              <w:rPr>
                <w:sz w:val="18"/>
              </w:rPr>
              <w:t>Summary</w:t>
            </w:r>
            <w:r>
              <w:rPr>
                <w:spacing w:val="-2"/>
                <w:sz w:val="18"/>
              </w:rPr>
              <w:t xml:space="preserve"> Attestation</w:t>
            </w:r>
          </w:p>
          <w:p w14:paraId="62A16BBB" w14:textId="77777777" w:rsidR="00141B97" w:rsidRDefault="00911D63">
            <w:pPr>
              <w:pStyle w:val="TableParagraph"/>
              <w:numPr>
                <w:ilvl w:val="0"/>
                <w:numId w:val="109"/>
              </w:numPr>
              <w:tabs>
                <w:tab w:val="left" w:pos="832"/>
                <w:tab w:val="left" w:pos="833"/>
              </w:tabs>
              <w:spacing w:before="33"/>
              <w:ind w:hanging="361"/>
              <w:rPr>
                <w:sz w:val="18"/>
              </w:rPr>
            </w:pPr>
            <w:r>
              <w:rPr>
                <w:sz w:val="18"/>
              </w:rPr>
              <w:t xml:space="preserve">Board </w:t>
            </w:r>
            <w:r>
              <w:rPr>
                <w:spacing w:val="-2"/>
                <w:sz w:val="18"/>
              </w:rPr>
              <w:t>Assurance</w:t>
            </w:r>
          </w:p>
        </w:tc>
        <w:tc>
          <w:tcPr>
            <w:tcW w:w="3348" w:type="dxa"/>
            <w:tcBorders>
              <w:top w:val="single" w:sz="8" w:space="0" w:color="FFFFFF"/>
              <w:left w:val="nil"/>
              <w:bottom w:val="nil"/>
              <w:right w:val="nil"/>
            </w:tcBorders>
            <w:shd w:val="clear" w:color="auto" w:fill="CCE2ED"/>
          </w:tcPr>
          <w:p w14:paraId="65AED3FA" w14:textId="77777777" w:rsidR="00141B97" w:rsidRDefault="00141B97">
            <w:pPr>
              <w:pStyle w:val="TableParagraph"/>
              <w:spacing w:before="5"/>
              <w:rPr>
                <w:sz w:val="18"/>
              </w:rPr>
            </w:pPr>
          </w:p>
          <w:p w14:paraId="7F06FF00" w14:textId="77777777" w:rsidR="00141B97" w:rsidRDefault="00911D63">
            <w:pPr>
              <w:pStyle w:val="TableParagraph"/>
              <w:spacing w:line="250" w:lineRule="atLeast"/>
              <w:ind w:left="113" w:right="2786"/>
              <w:rPr>
                <w:sz w:val="18"/>
              </w:rPr>
            </w:pPr>
            <w:r>
              <w:rPr>
                <w:sz w:val="18"/>
              </w:rPr>
              <w:t>Part</w:t>
            </w:r>
            <w:r>
              <w:rPr>
                <w:spacing w:val="-11"/>
                <w:sz w:val="18"/>
              </w:rPr>
              <w:t xml:space="preserve"> </w:t>
            </w:r>
            <w:r>
              <w:rPr>
                <w:sz w:val="18"/>
              </w:rPr>
              <w:t>A Part</w:t>
            </w:r>
            <w:r>
              <w:rPr>
                <w:spacing w:val="-1"/>
                <w:sz w:val="18"/>
              </w:rPr>
              <w:t xml:space="preserve"> </w:t>
            </w:r>
            <w:r>
              <w:rPr>
                <w:spacing w:val="-10"/>
                <w:sz w:val="18"/>
              </w:rPr>
              <w:t>A</w:t>
            </w:r>
          </w:p>
        </w:tc>
      </w:tr>
    </w:tbl>
    <w:p w14:paraId="02304EDB" w14:textId="77777777" w:rsidR="00141B97" w:rsidRDefault="00911D63">
      <w:pPr>
        <w:spacing w:before="53"/>
        <w:ind w:left="154"/>
        <w:rPr>
          <w:sz w:val="16"/>
        </w:rPr>
      </w:pPr>
      <w:r>
        <w:rPr>
          <w:sz w:val="16"/>
        </w:rPr>
        <w:t>Table</w:t>
      </w:r>
      <w:r>
        <w:rPr>
          <w:spacing w:val="-5"/>
          <w:sz w:val="16"/>
        </w:rPr>
        <w:t xml:space="preserve"> </w:t>
      </w:r>
      <w:r>
        <w:rPr>
          <w:sz w:val="16"/>
        </w:rPr>
        <w:t>A2:</w:t>
      </w:r>
      <w:r>
        <w:rPr>
          <w:spacing w:val="-4"/>
          <w:sz w:val="16"/>
        </w:rPr>
        <w:t xml:space="preserve"> </w:t>
      </w:r>
      <w:r>
        <w:rPr>
          <w:sz w:val="16"/>
        </w:rPr>
        <w:t>ESC</w:t>
      </w:r>
      <w:r>
        <w:rPr>
          <w:spacing w:val="-7"/>
          <w:sz w:val="16"/>
        </w:rPr>
        <w:t xml:space="preserve"> </w:t>
      </w:r>
      <w:r>
        <w:rPr>
          <w:sz w:val="16"/>
        </w:rPr>
        <w:t>Required</w:t>
      </w:r>
      <w:r>
        <w:rPr>
          <w:spacing w:val="-5"/>
          <w:sz w:val="16"/>
        </w:rPr>
        <w:t xml:space="preserve"> </w:t>
      </w:r>
      <w:r>
        <w:rPr>
          <w:sz w:val="16"/>
        </w:rPr>
        <w:t>Submission</w:t>
      </w:r>
      <w:r>
        <w:rPr>
          <w:spacing w:val="-5"/>
          <w:sz w:val="16"/>
        </w:rPr>
        <w:t xml:space="preserve"> </w:t>
      </w:r>
      <w:r>
        <w:rPr>
          <w:sz w:val="16"/>
        </w:rPr>
        <w:t>Content</w:t>
      </w:r>
      <w:r>
        <w:rPr>
          <w:spacing w:val="-6"/>
          <w:sz w:val="16"/>
        </w:rPr>
        <w:t xml:space="preserve"> </w:t>
      </w:r>
      <w:r>
        <w:rPr>
          <w:spacing w:val="-2"/>
          <w:sz w:val="16"/>
        </w:rPr>
        <w:t>Index</w:t>
      </w:r>
    </w:p>
    <w:p w14:paraId="124DCDC6" w14:textId="77777777" w:rsidR="00141B97" w:rsidRDefault="00141B97">
      <w:pPr>
        <w:rPr>
          <w:sz w:val="16"/>
        </w:rPr>
        <w:sectPr w:rsidR="00141B97">
          <w:pgSz w:w="11910" w:h="16840"/>
          <w:pgMar w:top="1140" w:right="740" w:bottom="1120" w:left="980" w:header="0" w:footer="896" w:gutter="0"/>
          <w:cols w:space="720"/>
        </w:sectPr>
      </w:pPr>
    </w:p>
    <w:p w14:paraId="4DDBF0D5" w14:textId="77777777" w:rsidR="00141B97" w:rsidRDefault="00911D63">
      <w:pPr>
        <w:pStyle w:val="BodyText"/>
        <w:spacing w:before="31"/>
        <w:ind w:left="154"/>
      </w:pPr>
      <w:r>
        <w:lastRenderedPageBreak/>
        <w:t>The</w:t>
      </w:r>
      <w:r>
        <w:rPr>
          <w:spacing w:val="-9"/>
        </w:rPr>
        <w:t xml:space="preserve"> </w:t>
      </w:r>
      <w:r>
        <w:t>following</w:t>
      </w:r>
      <w:r>
        <w:rPr>
          <w:spacing w:val="-8"/>
        </w:rPr>
        <w:t xml:space="preserve"> </w:t>
      </w:r>
      <w:r>
        <w:t>definitions</w:t>
      </w:r>
      <w:r>
        <w:rPr>
          <w:spacing w:val="-8"/>
        </w:rPr>
        <w:t xml:space="preserve"> </w:t>
      </w:r>
      <w:r>
        <w:t>and</w:t>
      </w:r>
      <w:r>
        <w:rPr>
          <w:spacing w:val="-9"/>
        </w:rPr>
        <w:t xml:space="preserve"> </w:t>
      </w:r>
      <w:r>
        <w:t>abbreviations</w:t>
      </w:r>
      <w:r>
        <w:rPr>
          <w:spacing w:val="-8"/>
        </w:rPr>
        <w:t xml:space="preserve"> </w:t>
      </w:r>
      <w:r>
        <w:t>have</w:t>
      </w:r>
      <w:r>
        <w:rPr>
          <w:spacing w:val="-9"/>
        </w:rPr>
        <w:t xml:space="preserve"> </w:t>
      </w:r>
      <w:r>
        <w:t>been</w:t>
      </w:r>
      <w:r>
        <w:rPr>
          <w:spacing w:val="-9"/>
        </w:rPr>
        <w:t xml:space="preserve"> </w:t>
      </w:r>
      <w:r>
        <w:t>collated</w:t>
      </w:r>
      <w:r>
        <w:rPr>
          <w:spacing w:val="-9"/>
        </w:rPr>
        <w:t xml:space="preserve"> </w:t>
      </w:r>
      <w:r>
        <w:t>below</w:t>
      </w:r>
      <w:r>
        <w:rPr>
          <w:spacing w:val="-9"/>
        </w:rPr>
        <w:t xml:space="preserve"> </w:t>
      </w:r>
      <w:r>
        <w:t>for</w:t>
      </w:r>
      <w:r>
        <w:rPr>
          <w:spacing w:val="-8"/>
        </w:rPr>
        <w:t xml:space="preserve"> </w:t>
      </w:r>
      <w:r>
        <w:rPr>
          <w:spacing w:val="-2"/>
        </w:rPr>
        <w:t>reference.</w:t>
      </w:r>
    </w:p>
    <w:p w14:paraId="09B30C4D" w14:textId="77777777" w:rsidR="00141B97" w:rsidRDefault="00141B97">
      <w:pPr>
        <w:pStyle w:val="BodyText"/>
        <w:rPr>
          <w:sz w:val="20"/>
        </w:rPr>
      </w:pPr>
    </w:p>
    <w:p w14:paraId="34EB8F2F" w14:textId="77777777" w:rsidR="00141B97" w:rsidRDefault="00141B97">
      <w:pPr>
        <w:pStyle w:val="BodyText"/>
        <w:spacing w:before="2"/>
        <w:rPr>
          <w:sz w:val="10"/>
        </w:rPr>
      </w:pPr>
    </w:p>
    <w:tbl>
      <w:tblPr>
        <w:tblW w:w="0" w:type="auto"/>
        <w:tblCellSpacing w:w="9" w:type="dxa"/>
        <w:tblInd w:w="190" w:type="dxa"/>
        <w:tblLayout w:type="fixed"/>
        <w:tblCellMar>
          <w:left w:w="0" w:type="dxa"/>
          <w:right w:w="0" w:type="dxa"/>
        </w:tblCellMar>
        <w:tblLook w:val="01E0" w:firstRow="1" w:lastRow="1" w:firstColumn="1" w:lastColumn="1" w:noHBand="0" w:noVBand="0"/>
      </w:tblPr>
      <w:tblGrid>
        <w:gridCol w:w="1287"/>
        <w:gridCol w:w="8510"/>
      </w:tblGrid>
      <w:tr w:rsidR="00141B97" w14:paraId="089B2712" w14:textId="77777777">
        <w:trPr>
          <w:trHeight w:val="525"/>
          <w:tblCellSpacing w:w="9" w:type="dxa"/>
        </w:trPr>
        <w:tc>
          <w:tcPr>
            <w:tcW w:w="1260" w:type="dxa"/>
            <w:tcBorders>
              <w:top w:val="nil"/>
              <w:left w:val="nil"/>
            </w:tcBorders>
            <w:shd w:val="clear" w:color="auto" w:fill="006CA3"/>
          </w:tcPr>
          <w:p w14:paraId="4BE0D42B" w14:textId="77777777" w:rsidR="00141B97" w:rsidRDefault="00911D63">
            <w:pPr>
              <w:pStyle w:val="TableParagraph"/>
              <w:spacing w:before="17" w:line="240" w:lineRule="atLeast"/>
              <w:ind w:left="-4"/>
              <w:rPr>
                <w:sz w:val="20"/>
              </w:rPr>
            </w:pPr>
            <w:r>
              <w:rPr>
                <w:color w:val="FFFFFF"/>
                <w:sz w:val="20"/>
              </w:rPr>
              <w:t xml:space="preserve">Acronym or </w:t>
            </w:r>
            <w:r>
              <w:rPr>
                <w:color w:val="FFFFFF"/>
                <w:spacing w:val="-2"/>
                <w:sz w:val="20"/>
              </w:rPr>
              <w:t>Abbreviation</w:t>
            </w:r>
          </w:p>
        </w:tc>
        <w:tc>
          <w:tcPr>
            <w:tcW w:w="8483" w:type="dxa"/>
            <w:tcBorders>
              <w:top w:val="nil"/>
              <w:right w:val="nil"/>
            </w:tcBorders>
            <w:shd w:val="clear" w:color="auto" w:fill="006CA3"/>
          </w:tcPr>
          <w:p w14:paraId="0B384426" w14:textId="77777777" w:rsidR="00141B97" w:rsidRDefault="00911D63">
            <w:pPr>
              <w:pStyle w:val="TableParagraph"/>
              <w:spacing w:before="148"/>
              <w:ind w:left="49"/>
              <w:rPr>
                <w:sz w:val="20"/>
              </w:rPr>
            </w:pPr>
            <w:r>
              <w:rPr>
                <w:color w:val="FFFFFF"/>
                <w:spacing w:val="-2"/>
                <w:sz w:val="20"/>
              </w:rPr>
              <w:t>Description</w:t>
            </w:r>
          </w:p>
        </w:tc>
      </w:tr>
      <w:tr w:rsidR="00141B97" w14:paraId="42269F51" w14:textId="77777777">
        <w:trPr>
          <w:trHeight w:val="270"/>
          <w:tblCellSpacing w:w="9" w:type="dxa"/>
        </w:trPr>
        <w:tc>
          <w:tcPr>
            <w:tcW w:w="1260" w:type="dxa"/>
            <w:tcBorders>
              <w:left w:val="nil"/>
            </w:tcBorders>
            <w:shd w:val="clear" w:color="auto" w:fill="CCE2ED"/>
          </w:tcPr>
          <w:p w14:paraId="43369908" w14:textId="77777777" w:rsidR="00141B97" w:rsidRDefault="00911D63">
            <w:pPr>
              <w:pStyle w:val="TableParagraph"/>
              <w:spacing w:before="25" w:line="225" w:lineRule="exact"/>
              <w:ind w:left="41"/>
              <w:rPr>
                <w:sz w:val="20"/>
              </w:rPr>
            </w:pPr>
            <w:r>
              <w:rPr>
                <w:spacing w:val="-4"/>
                <w:sz w:val="20"/>
              </w:rPr>
              <w:t>ACCC</w:t>
            </w:r>
          </w:p>
        </w:tc>
        <w:tc>
          <w:tcPr>
            <w:tcW w:w="8483" w:type="dxa"/>
            <w:tcBorders>
              <w:right w:val="nil"/>
            </w:tcBorders>
            <w:shd w:val="clear" w:color="auto" w:fill="CCE2ED"/>
          </w:tcPr>
          <w:p w14:paraId="2099AA4A" w14:textId="77777777" w:rsidR="00141B97" w:rsidRDefault="00911D63">
            <w:pPr>
              <w:pStyle w:val="TableParagraph"/>
              <w:spacing w:before="25" w:line="225" w:lineRule="exact"/>
              <w:ind w:left="49"/>
              <w:rPr>
                <w:sz w:val="20"/>
              </w:rPr>
            </w:pPr>
            <w:r>
              <w:rPr>
                <w:sz w:val="20"/>
              </w:rPr>
              <w:t>Australian</w:t>
            </w:r>
            <w:r>
              <w:rPr>
                <w:spacing w:val="-6"/>
                <w:sz w:val="20"/>
              </w:rPr>
              <w:t xml:space="preserve"> </w:t>
            </w:r>
            <w:r>
              <w:rPr>
                <w:sz w:val="20"/>
              </w:rPr>
              <w:t>Competition</w:t>
            </w:r>
            <w:r>
              <w:rPr>
                <w:spacing w:val="-7"/>
                <w:sz w:val="20"/>
              </w:rPr>
              <w:t xml:space="preserve"> </w:t>
            </w:r>
            <w:r>
              <w:rPr>
                <w:sz w:val="20"/>
              </w:rPr>
              <w:t>and</w:t>
            </w:r>
            <w:r>
              <w:rPr>
                <w:spacing w:val="-8"/>
                <w:sz w:val="20"/>
              </w:rPr>
              <w:t xml:space="preserve"> </w:t>
            </w:r>
            <w:r>
              <w:rPr>
                <w:sz w:val="20"/>
              </w:rPr>
              <w:t>Consumer</w:t>
            </w:r>
            <w:r>
              <w:rPr>
                <w:spacing w:val="-4"/>
                <w:sz w:val="20"/>
              </w:rPr>
              <w:t xml:space="preserve"> </w:t>
            </w:r>
            <w:r>
              <w:rPr>
                <w:spacing w:val="-2"/>
                <w:sz w:val="20"/>
              </w:rPr>
              <w:t>Commission</w:t>
            </w:r>
          </w:p>
        </w:tc>
      </w:tr>
      <w:tr w:rsidR="00141B97" w14:paraId="00D51CB3" w14:textId="77777777">
        <w:trPr>
          <w:trHeight w:val="269"/>
          <w:tblCellSpacing w:w="9" w:type="dxa"/>
        </w:trPr>
        <w:tc>
          <w:tcPr>
            <w:tcW w:w="1260" w:type="dxa"/>
            <w:tcBorders>
              <w:left w:val="nil"/>
            </w:tcBorders>
            <w:shd w:val="clear" w:color="auto" w:fill="CCE2ED"/>
          </w:tcPr>
          <w:p w14:paraId="5EBAB65F" w14:textId="77777777" w:rsidR="00141B97" w:rsidRDefault="00911D63">
            <w:pPr>
              <w:pStyle w:val="TableParagraph"/>
              <w:spacing w:before="25" w:line="224" w:lineRule="exact"/>
              <w:ind w:left="41"/>
              <w:rPr>
                <w:sz w:val="20"/>
              </w:rPr>
            </w:pPr>
            <w:r>
              <w:rPr>
                <w:spacing w:val="-5"/>
                <w:sz w:val="20"/>
              </w:rPr>
              <w:t>BOM</w:t>
            </w:r>
          </w:p>
        </w:tc>
        <w:tc>
          <w:tcPr>
            <w:tcW w:w="8483" w:type="dxa"/>
            <w:tcBorders>
              <w:right w:val="nil"/>
            </w:tcBorders>
            <w:shd w:val="clear" w:color="auto" w:fill="CCE2ED"/>
          </w:tcPr>
          <w:p w14:paraId="3BF35372" w14:textId="77777777" w:rsidR="00141B97" w:rsidRDefault="00911D63">
            <w:pPr>
              <w:pStyle w:val="TableParagraph"/>
              <w:spacing w:before="25" w:line="224" w:lineRule="exact"/>
              <w:ind w:left="49"/>
              <w:rPr>
                <w:sz w:val="20"/>
              </w:rPr>
            </w:pPr>
            <w:r>
              <w:rPr>
                <w:sz w:val="20"/>
              </w:rPr>
              <w:t>Bureau</w:t>
            </w:r>
            <w:r>
              <w:rPr>
                <w:spacing w:val="-2"/>
                <w:sz w:val="20"/>
              </w:rPr>
              <w:t xml:space="preserve"> </w:t>
            </w:r>
            <w:r>
              <w:rPr>
                <w:sz w:val="20"/>
              </w:rPr>
              <w:t>of</w:t>
            </w:r>
            <w:r>
              <w:rPr>
                <w:spacing w:val="-3"/>
                <w:sz w:val="20"/>
              </w:rPr>
              <w:t xml:space="preserve"> </w:t>
            </w:r>
            <w:r>
              <w:rPr>
                <w:spacing w:val="-2"/>
                <w:sz w:val="20"/>
              </w:rPr>
              <w:t>Meteorology</w:t>
            </w:r>
          </w:p>
        </w:tc>
      </w:tr>
      <w:tr w:rsidR="00141B97" w14:paraId="52EF6FCF" w14:textId="77777777">
        <w:trPr>
          <w:trHeight w:val="270"/>
          <w:tblCellSpacing w:w="9" w:type="dxa"/>
        </w:trPr>
        <w:tc>
          <w:tcPr>
            <w:tcW w:w="1260" w:type="dxa"/>
            <w:tcBorders>
              <w:left w:val="nil"/>
            </w:tcBorders>
            <w:shd w:val="clear" w:color="auto" w:fill="CCE2ED"/>
          </w:tcPr>
          <w:p w14:paraId="0ABAC22B" w14:textId="77777777" w:rsidR="00141B97" w:rsidRDefault="00911D63">
            <w:pPr>
              <w:pStyle w:val="TableParagraph"/>
              <w:spacing w:before="26" w:line="224" w:lineRule="exact"/>
              <w:ind w:left="41"/>
              <w:rPr>
                <w:sz w:val="20"/>
              </w:rPr>
            </w:pPr>
            <w:r>
              <w:rPr>
                <w:spacing w:val="-5"/>
                <w:sz w:val="20"/>
              </w:rPr>
              <w:t>DCT</w:t>
            </w:r>
          </w:p>
        </w:tc>
        <w:tc>
          <w:tcPr>
            <w:tcW w:w="8483" w:type="dxa"/>
            <w:tcBorders>
              <w:right w:val="nil"/>
            </w:tcBorders>
            <w:shd w:val="clear" w:color="auto" w:fill="CCE2ED"/>
          </w:tcPr>
          <w:p w14:paraId="39B79582" w14:textId="77777777" w:rsidR="00141B97" w:rsidRDefault="00911D63">
            <w:pPr>
              <w:pStyle w:val="TableParagraph"/>
              <w:spacing w:before="26" w:line="224" w:lineRule="exact"/>
              <w:ind w:left="49"/>
              <w:rPr>
                <w:sz w:val="20"/>
              </w:rPr>
            </w:pPr>
            <w:r>
              <w:rPr>
                <w:sz w:val="20"/>
              </w:rPr>
              <w:t>PS5</w:t>
            </w:r>
            <w:r>
              <w:rPr>
                <w:spacing w:val="-7"/>
                <w:sz w:val="20"/>
              </w:rPr>
              <w:t xml:space="preserve"> </w:t>
            </w:r>
            <w:r>
              <w:rPr>
                <w:sz w:val="20"/>
              </w:rPr>
              <w:t>Development</w:t>
            </w:r>
            <w:r>
              <w:rPr>
                <w:spacing w:val="-8"/>
                <w:sz w:val="20"/>
              </w:rPr>
              <w:t xml:space="preserve"> </w:t>
            </w:r>
            <w:r>
              <w:rPr>
                <w:sz w:val="20"/>
              </w:rPr>
              <w:t>Coordination</w:t>
            </w:r>
            <w:r>
              <w:rPr>
                <w:spacing w:val="-6"/>
                <w:sz w:val="20"/>
              </w:rPr>
              <w:t xml:space="preserve"> </w:t>
            </w:r>
            <w:r>
              <w:rPr>
                <w:spacing w:val="-4"/>
                <w:sz w:val="20"/>
              </w:rPr>
              <w:t>Team</w:t>
            </w:r>
          </w:p>
        </w:tc>
      </w:tr>
      <w:tr w:rsidR="00141B97" w14:paraId="1A93740F" w14:textId="77777777">
        <w:trPr>
          <w:trHeight w:val="270"/>
          <w:tblCellSpacing w:w="9" w:type="dxa"/>
        </w:trPr>
        <w:tc>
          <w:tcPr>
            <w:tcW w:w="1260" w:type="dxa"/>
            <w:tcBorders>
              <w:left w:val="nil"/>
            </w:tcBorders>
            <w:shd w:val="clear" w:color="auto" w:fill="CCE2ED"/>
          </w:tcPr>
          <w:p w14:paraId="46A1369C" w14:textId="77777777" w:rsidR="00141B97" w:rsidRDefault="00911D63">
            <w:pPr>
              <w:pStyle w:val="TableParagraph"/>
              <w:spacing w:before="25" w:line="225" w:lineRule="exact"/>
              <w:ind w:left="41"/>
              <w:rPr>
                <w:sz w:val="20"/>
              </w:rPr>
            </w:pPr>
            <w:r>
              <w:rPr>
                <w:spacing w:val="-5"/>
                <w:sz w:val="20"/>
              </w:rPr>
              <w:t>ESC</w:t>
            </w:r>
          </w:p>
        </w:tc>
        <w:tc>
          <w:tcPr>
            <w:tcW w:w="8483" w:type="dxa"/>
            <w:tcBorders>
              <w:right w:val="nil"/>
            </w:tcBorders>
            <w:shd w:val="clear" w:color="auto" w:fill="CCE2ED"/>
          </w:tcPr>
          <w:p w14:paraId="31B8D36B" w14:textId="77777777" w:rsidR="00141B97" w:rsidRDefault="00911D63">
            <w:pPr>
              <w:pStyle w:val="TableParagraph"/>
              <w:spacing w:before="25" w:line="225" w:lineRule="exact"/>
              <w:ind w:left="49"/>
              <w:rPr>
                <w:sz w:val="20"/>
              </w:rPr>
            </w:pPr>
            <w:r>
              <w:rPr>
                <w:sz w:val="20"/>
              </w:rPr>
              <w:t>Victorian</w:t>
            </w:r>
            <w:r>
              <w:rPr>
                <w:spacing w:val="-5"/>
                <w:sz w:val="20"/>
              </w:rPr>
              <w:t xml:space="preserve"> </w:t>
            </w:r>
            <w:r>
              <w:rPr>
                <w:sz w:val="20"/>
              </w:rPr>
              <w:t>Essential</w:t>
            </w:r>
            <w:r>
              <w:rPr>
                <w:spacing w:val="-5"/>
                <w:sz w:val="20"/>
              </w:rPr>
              <w:t xml:space="preserve"> </w:t>
            </w:r>
            <w:r>
              <w:rPr>
                <w:sz w:val="20"/>
              </w:rPr>
              <w:t>Services</w:t>
            </w:r>
            <w:r>
              <w:rPr>
                <w:spacing w:val="-4"/>
                <w:sz w:val="20"/>
              </w:rPr>
              <w:t xml:space="preserve"> </w:t>
            </w:r>
            <w:r>
              <w:rPr>
                <w:spacing w:val="-2"/>
                <w:sz w:val="20"/>
              </w:rPr>
              <w:t>Commission</w:t>
            </w:r>
          </w:p>
        </w:tc>
      </w:tr>
      <w:tr w:rsidR="00141B97" w14:paraId="6E80918E" w14:textId="77777777">
        <w:trPr>
          <w:trHeight w:val="269"/>
          <w:tblCellSpacing w:w="9" w:type="dxa"/>
        </w:trPr>
        <w:tc>
          <w:tcPr>
            <w:tcW w:w="1260" w:type="dxa"/>
            <w:tcBorders>
              <w:left w:val="nil"/>
            </w:tcBorders>
            <w:shd w:val="clear" w:color="auto" w:fill="CCE2ED"/>
          </w:tcPr>
          <w:p w14:paraId="25D8222B" w14:textId="77777777" w:rsidR="00141B97" w:rsidRDefault="00911D63">
            <w:pPr>
              <w:pStyle w:val="TableParagraph"/>
              <w:spacing w:before="25" w:line="224" w:lineRule="exact"/>
              <w:ind w:left="41"/>
              <w:rPr>
                <w:sz w:val="20"/>
              </w:rPr>
            </w:pPr>
            <w:r>
              <w:rPr>
                <w:spacing w:val="-5"/>
                <w:sz w:val="20"/>
              </w:rPr>
              <w:t>IT</w:t>
            </w:r>
          </w:p>
        </w:tc>
        <w:tc>
          <w:tcPr>
            <w:tcW w:w="8483" w:type="dxa"/>
            <w:tcBorders>
              <w:right w:val="nil"/>
            </w:tcBorders>
            <w:shd w:val="clear" w:color="auto" w:fill="CCE2ED"/>
          </w:tcPr>
          <w:p w14:paraId="6FA3805E" w14:textId="77777777" w:rsidR="00141B97" w:rsidRDefault="00911D63">
            <w:pPr>
              <w:pStyle w:val="TableParagraph"/>
              <w:spacing w:before="25" w:line="224" w:lineRule="exact"/>
              <w:ind w:left="49"/>
              <w:rPr>
                <w:sz w:val="20"/>
              </w:rPr>
            </w:pPr>
            <w:r>
              <w:rPr>
                <w:sz w:val="20"/>
              </w:rPr>
              <w:t>Information</w:t>
            </w:r>
            <w:r>
              <w:rPr>
                <w:spacing w:val="-6"/>
                <w:sz w:val="20"/>
              </w:rPr>
              <w:t xml:space="preserve"> </w:t>
            </w:r>
            <w:r>
              <w:rPr>
                <w:spacing w:val="-2"/>
                <w:sz w:val="20"/>
              </w:rPr>
              <w:t>Technology</w:t>
            </w:r>
          </w:p>
        </w:tc>
      </w:tr>
      <w:tr w:rsidR="00141B97" w14:paraId="3389B825" w14:textId="77777777">
        <w:trPr>
          <w:trHeight w:val="270"/>
          <w:tblCellSpacing w:w="9" w:type="dxa"/>
        </w:trPr>
        <w:tc>
          <w:tcPr>
            <w:tcW w:w="1260" w:type="dxa"/>
            <w:tcBorders>
              <w:left w:val="nil"/>
            </w:tcBorders>
            <w:shd w:val="clear" w:color="auto" w:fill="CCE2ED"/>
          </w:tcPr>
          <w:p w14:paraId="555CD4B8" w14:textId="77777777" w:rsidR="00141B97" w:rsidRDefault="00911D63">
            <w:pPr>
              <w:pStyle w:val="TableParagraph"/>
              <w:spacing w:before="26" w:line="224" w:lineRule="exact"/>
              <w:ind w:left="41"/>
              <w:rPr>
                <w:sz w:val="20"/>
              </w:rPr>
            </w:pPr>
            <w:r>
              <w:rPr>
                <w:spacing w:val="-5"/>
                <w:sz w:val="20"/>
              </w:rPr>
              <w:t>LMW</w:t>
            </w:r>
          </w:p>
        </w:tc>
        <w:tc>
          <w:tcPr>
            <w:tcW w:w="8483" w:type="dxa"/>
            <w:tcBorders>
              <w:right w:val="nil"/>
            </w:tcBorders>
            <w:shd w:val="clear" w:color="auto" w:fill="CCE2ED"/>
          </w:tcPr>
          <w:p w14:paraId="6559727B" w14:textId="77777777" w:rsidR="00141B97" w:rsidRDefault="00911D63">
            <w:pPr>
              <w:pStyle w:val="TableParagraph"/>
              <w:spacing w:before="26" w:line="224" w:lineRule="exact"/>
              <w:ind w:left="49"/>
              <w:rPr>
                <w:sz w:val="20"/>
              </w:rPr>
            </w:pPr>
            <w:r>
              <w:rPr>
                <w:sz w:val="20"/>
              </w:rPr>
              <w:t>Lower</w:t>
            </w:r>
            <w:r>
              <w:rPr>
                <w:spacing w:val="-4"/>
                <w:sz w:val="20"/>
              </w:rPr>
              <w:t xml:space="preserve"> </w:t>
            </w:r>
            <w:r>
              <w:rPr>
                <w:sz w:val="20"/>
              </w:rPr>
              <w:t>Murray</w:t>
            </w:r>
            <w:r>
              <w:rPr>
                <w:spacing w:val="-5"/>
                <w:sz w:val="20"/>
              </w:rPr>
              <w:t xml:space="preserve"> </w:t>
            </w:r>
            <w:r>
              <w:rPr>
                <w:sz w:val="20"/>
              </w:rPr>
              <w:t>Water</w:t>
            </w:r>
            <w:r>
              <w:rPr>
                <w:spacing w:val="-3"/>
                <w:sz w:val="20"/>
              </w:rPr>
              <w:t xml:space="preserve"> </w:t>
            </w:r>
            <w:r>
              <w:rPr>
                <w:sz w:val="20"/>
              </w:rPr>
              <w:t>OR</w:t>
            </w:r>
            <w:r>
              <w:rPr>
                <w:spacing w:val="-2"/>
                <w:sz w:val="20"/>
              </w:rPr>
              <w:t xml:space="preserve"> </w:t>
            </w:r>
            <w:r>
              <w:rPr>
                <w:sz w:val="20"/>
              </w:rPr>
              <w:t>Lower</w:t>
            </w:r>
            <w:r>
              <w:rPr>
                <w:spacing w:val="-3"/>
                <w:sz w:val="20"/>
              </w:rPr>
              <w:t xml:space="preserve"> </w:t>
            </w:r>
            <w:r>
              <w:rPr>
                <w:sz w:val="20"/>
              </w:rPr>
              <w:t>Murray</w:t>
            </w:r>
            <w:r>
              <w:rPr>
                <w:spacing w:val="-5"/>
                <w:sz w:val="20"/>
              </w:rPr>
              <w:t xml:space="preserve"> </w:t>
            </w:r>
            <w:r>
              <w:rPr>
                <w:sz w:val="20"/>
              </w:rPr>
              <w:t>Urban</w:t>
            </w:r>
            <w:r>
              <w:rPr>
                <w:spacing w:val="-3"/>
                <w:sz w:val="20"/>
              </w:rPr>
              <w:t xml:space="preserve"> </w:t>
            </w:r>
            <w:r>
              <w:rPr>
                <w:sz w:val="20"/>
              </w:rPr>
              <w:t>and</w:t>
            </w:r>
            <w:r>
              <w:rPr>
                <w:spacing w:val="-3"/>
                <w:sz w:val="20"/>
              </w:rPr>
              <w:t xml:space="preserve"> </w:t>
            </w:r>
            <w:r>
              <w:rPr>
                <w:sz w:val="20"/>
              </w:rPr>
              <w:t>Rural</w:t>
            </w:r>
            <w:r>
              <w:rPr>
                <w:spacing w:val="-3"/>
                <w:sz w:val="20"/>
              </w:rPr>
              <w:t xml:space="preserve"> </w:t>
            </w:r>
            <w:r>
              <w:rPr>
                <w:sz w:val="20"/>
              </w:rPr>
              <w:t>Water</w:t>
            </w:r>
            <w:r>
              <w:rPr>
                <w:spacing w:val="-2"/>
                <w:sz w:val="20"/>
              </w:rPr>
              <w:t xml:space="preserve"> Corporation</w:t>
            </w:r>
          </w:p>
        </w:tc>
      </w:tr>
      <w:tr w:rsidR="00141B97" w14:paraId="4F23E76D" w14:textId="77777777">
        <w:trPr>
          <w:trHeight w:val="270"/>
          <w:tblCellSpacing w:w="9" w:type="dxa"/>
        </w:trPr>
        <w:tc>
          <w:tcPr>
            <w:tcW w:w="1260" w:type="dxa"/>
            <w:tcBorders>
              <w:left w:val="nil"/>
            </w:tcBorders>
            <w:shd w:val="clear" w:color="auto" w:fill="CCE2ED"/>
          </w:tcPr>
          <w:p w14:paraId="456A26A7" w14:textId="77777777" w:rsidR="00141B97" w:rsidRDefault="00911D63">
            <w:pPr>
              <w:pStyle w:val="TableParagraph"/>
              <w:spacing w:before="25" w:line="225" w:lineRule="exact"/>
              <w:ind w:left="41"/>
              <w:rPr>
                <w:sz w:val="20"/>
              </w:rPr>
            </w:pPr>
            <w:r>
              <w:rPr>
                <w:spacing w:val="-4"/>
                <w:sz w:val="20"/>
              </w:rPr>
              <w:t>NTER</w:t>
            </w:r>
          </w:p>
        </w:tc>
        <w:tc>
          <w:tcPr>
            <w:tcW w:w="8483" w:type="dxa"/>
            <w:tcBorders>
              <w:right w:val="nil"/>
            </w:tcBorders>
            <w:shd w:val="clear" w:color="auto" w:fill="CCE2ED"/>
          </w:tcPr>
          <w:p w14:paraId="1459ABE3" w14:textId="77777777" w:rsidR="00141B97" w:rsidRDefault="00911D63">
            <w:pPr>
              <w:pStyle w:val="TableParagraph"/>
              <w:spacing w:before="25" w:line="225" w:lineRule="exact"/>
              <w:ind w:left="49"/>
              <w:rPr>
                <w:sz w:val="20"/>
              </w:rPr>
            </w:pPr>
            <w:r>
              <w:rPr>
                <w:sz w:val="20"/>
              </w:rPr>
              <w:t>National</w:t>
            </w:r>
            <w:r>
              <w:rPr>
                <w:spacing w:val="-5"/>
                <w:sz w:val="20"/>
              </w:rPr>
              <w:t xml:space="preserve"> </w:t>
            </w:r>
            <w:r>
              <w:rPr>
                <w:sz w:val="20"/>
              </w:rPr>
              <w:t>Tax</w:t>
            </w:r>
            <w:r>
              <w:rPr>
                <w:spacing w:val="-5"/>
                <w:sz w:val="20"/>
              </w:rPr>
              <w:t xml:space="preserve"> </w:t>
            </w:r>
            <w:r>
              <w:rPr>
                <w:sz w:val="20"/>
              </w:rPr>
              <w:t>Equivalent</w:t>
            </w:r>
            <w:r>
              <w:rPr>
                <w:spacing w:val="-3"/>
                <w:sz w:val="20"/>
              </w:rPr>
              <w:t xml:space="preserve"> </w:t>
            </w:r>
            <w:r>
              <w:rPr>
                <w:spacing w:val="-2"/>
                <w:sz w:val="20"/>
              </w:rPr>
              <w:t>Regime</w:t>
            </w:r>
          </w:p>
        </w:tc>
      </w:tr>
      <w:tr w:rsidR="00141B97" w14:paraId="2C04A2EB" w14:textId="77777777">
        <w:trPr>
          <w:trHeight w:val="269"/>
          <w:tblCellSpacing w:w="9" w:type="dxa"/>
        </w:trPr>
        <w:tc>
          <w:tcPr>
            <w:tcW w:w="1260" w:type="dxa"/>
            <w:tcBorders>
              <w:left w:val="nil"/>
            </w:tcBorders>
            <w:shd w:val="clear" w:color="auto" w:fill="CCE2ED"/>
          </w:tcPr>
          <w:p w14:paraId="2F7210C6" w14:textId="77777777" w:rsidR="00141B97" w:rsidRDefault="00911D63">
            <w:pPr>
              <w:pStyle w:val="TableParagraph"/>
              <w:spacing w:before="25" w:line="224" w:lineRule="exact"/>
              <w:ind w:left="41"/>
              <w:rPr>
                <w:sz w:val="20"/>
              </w:rPr>
            </w:pPr>
            <w:r>
              <w:rPr>
                <w:spacing w:val="-5"/>
                <w:sz w:val="20"/>
              </w:rPr>
              <w:t>PS</w:t>
            </w:r>
          </w:p>
        </w:tc>
        <w:tc>
          <w:tcPr>
            <w:tcW w:w="8483" w:type="dxa"/>
            <w:tcBorders>
              <w:right w:val="nil"/>
            </w:tcBorders>
            <w:shd w:val="clear" w:color="auto" w:fill="CCE2ED"/>
          </w:tcPr>
          <w:p w14:paraId="45FA3D0B" w14:textId="77777777" w:rsidR="00141B97" w:rsidRDefault="00911D63">
            <w:pPr>
              <w:pStyle w:val="TableParagraph"/>
              <w:spacing w:before="25" w:line="224" w:lineRule="exact"/>
              <w:ind w:left="49"/>
              <w:rPr>
                <w:sz w:val="20"/>
              </w:rPr>
            </w:pPr>
            <w:r>
              <w:rPr>
                <w:sz w:val="20"/>
              </w:rPr>
              <w:t>Price</w:t>
            </w:r>
            <w:r>
              <w:rPr>
                <w:spacing w:val="-8"/>
                <w:sz w:val="20"/>
              </w:rPr>
              <w:t xml:space="preserve"> </w:t>
            </w:r>
            <w:r>
              <w:rPr>
                <w:sz w:val="20"/>
              </w:rPr>
              <w:t>Submission</w:t>
            </w:r>
            <w:r>
              <w:rPr>
                <w:spacing w:val="-5"/>
                <w:sz w:val="20"/>
              </w:rPr>
              <w:t xml:space="preserve"> </w:t>
            </w:r>
            <w:r>
              <w:rPr>
                <w:spacing w:val="-10"/>
                <w:sz w:val="20"/>
              </w:rPr>
              <w:t>5</w:t>
            </w:r>
          </w:p>
        </w:tc>
      </w:tr>
      <w:tr w:rsidR="00141B97" w14:paraId="0200F7C4" w14:textId="77777777">
        <w:trPr>
          <w:trHeight w:val="270"/>
          <w:tblCellSpacing w:w="9" w:type="dxa"/>
        </w:trPr>
        <w:tc>
          <w:tcPr>
            <w:tcW w:w="1260" w:type="dxa"/>
            <w:tcBorders>
              <w:left w:val="nil"/>
            </w:tcBorders>
            <w:shd w:val="clear" w:color="auto" w:fill="CCE2ED"/>
          </w:tcPr>
          <w:p w14:paraId="48EAD5A1" w14:textId="77777777" w:rsidR="00141B97" w:rsidRDefault="00911D63">
            <w:pPr>
              <w:pStyle w:val="TableParagraph"/>
              <w:spacing w:before="26" w:line="224" w:lineRule="exact"/>
              <w:ind w:left="41"/>
              <w:rPr>
                <w:sz w:val="20"/>
              </w:rPr>
            </w:pPr>
            <w:r>
              <w:rPr>
                <w:spacing w:val="-5"/>
                <w:sz w:val="20"/>
              </w:rPr>
              <w:t>PS4</w:t>
            </w:r>
          </w:p>
        </w:tc>
        <w:tc>
          <w:tcPr>
            <w:tcW w:w="8483" w:type="dxa"/>
            <w:tcBorders>
              <w:right w:val="nil"/>
            </w:tcBorders>
            <w:shd w:val="clear" w:color="auto" w:fill="CCE2ED"/>
          </w:tcPr>
          <w:p w14:paraId="74126D88" w14:textId="77777777" w:rsidR="00141B97" w:rsidRDefault="00911D63">
            <w:pPr>
              <w:pStyle w:val="TableParagraph"/>
              <w:spacing w:before="26" w:line="224" w:lineRule="exact"/>
              <w:ind w:left="49"/>
              <w:rPr>
                <w:sz w:val="20"/>
              </w:rPr>
            </w:pPr>
            <w:r>
              <w:rPr>
                <w:sz w:val="20"/>
              </w:rPr>
              <w:t>Price</w:t>
            </w:r>
            <w:r>
              <w:rPr>
                <w:spacing w:val="-6"/>
                <w:sz w:val="20"/>
              </w:rPr>
              <w:t xml:space="preserve"> </w:t>
            </w:r>
            <w:r>
              <w:rPr>
                <w:sz w:val="20"/>
              </w:rPr>
              <w:t>Submission</w:t>
            </w:r>
            <w:r>
              <w:rPr>
                <w:spacing w:val="-4"/>
                <w:sz w:val="20"/>
              </w:rPr>
              <w:t xml:space="preserve"> </w:t>
            </w:r>
            <w:r>
              <w:rPr>
                <w:sz w:val="20"/>
              </w:rPr>
              <w:t>4</w:t>
            </w:r>
            <w:r>
              <w:rPr>
                <w:spacing w:val="-5"/>
                <w:sz w:val="20"/>
              </w:rPr>
              <w:t xml:space="preserve"> </w:t>
            </w:r>
            <w:r>
              <w:rPr>
                <w:sz w:val="20"/>
              </w:rPr>
              <w:t>(2018‐2023</w:t>
            </w:r>
            <w:r>
              <w:rPr>
                <w:spacing w:val="-5"/>
                <w:sz w:val="20"/>
              </w:rPr>
              <w:t xml:space="preserve"> </w:t>
            </w:r>
            <w:r>
              <w:rPr>
                <w:spacing w:val="-2"/>
                <w:sz w:val="20"/>
              </w:rPr>
              <w:t>period)</w:t>
            </w:r>
          </w:p>
        </w:tc>
      </w:tr>
      <w:tr w:rsidR="00141B97" w14:paraId="738299E8" w14:textId="77777777">
        <w:trPr>
          <w:trHeight w:val="270"/>
          <w:tblCellSpacing w:w="9" w:type="dxa"/>
        </w:trPr>
        <w:tc>
          <w:tcPr>
            <w:tcW w:w="1260" w:type="dxa"/>
            <w:tcBorders>
              <w:left w:val="nil"/>
            </w:tcBorders>
            <w:shd w:val="clear" w:color="auto" w:fill="CCE2ED"/>
          </w:tcPr>
          <w:p w14:paraId="7A2DC954" w14:textId="77777777" w:rsidR="00141B97" w:rsidRDefault="00911D63">
            <w:pPr>
              <w:pStyle w:val="TableParagraph"/>
              <w:spacing w:before="25" w:line="225" w:lineRule="exact"/>
              <w:ind w:left="41"/>
              <w:rPr>
                <w:sz w:val="20"/>
              </w:rPr>
            </w:pPr>
            <w:r>
              <w:rPr>
                <w:spacing w:val="-5"/>
                <w:sz w:val="20"/>
              </w:rPr>
              <w:t>PS5</w:t>
            </w:r>
          </w:p>
        </w:tc>
        <w:tc>
          <w:tcPr>
            <w:tcW w:w="8483" w:type="dxa"/>
            <w:tcBorders>
              <w:right w:val="nil"/>
            </w:tcBorders>
            <w:shd w:val="clear" w:color="auto" w:fill="CCE2ED"/>
          </w:tcPr>
          <w:p w14:paraId="4991A563" w14:textId="77777777" w:rsidR="00141B97" w:rsidRDefault="00911D63">
            <w:pPr>
              <w:pStyle w:val="TableParagraph"/>
              <w:spacing w:before="25" w:line="225" w:lineRule="exact"/>
              <w:ind w:left="49"/>
              <w:rPr>
                <w:sz w:val="20"/>
              </w:rPr>
            </w:pPr>
            <w:r>
              <w:rPr>
                <w:sz w:val="20"/>
              </w:rPr>
              <w:t>Price</w:t>
            </w:r>
            <w:r>
              <w:rPr>
                <w:spacing w:val="-6"/>
                <w:sz w:val="20"/>
              </w:rPr>
              <w:t xml:space="preserve"> </w:t>
            </w:r>
            <w:r>
              <w:rPr>
                <w:sz w:val="20"/>
              </w:rPr>
              <w:t>Submission</w:t>
            </w:r>
            <w:r>
              <w:rPr>
                <w:spacing w:val="-4"/>
                <w:sz w:val="20"/>
              </w:rPr>
              <w:t xml:space="preserve"> </w:t>
            </w:r>
            <w:r>
              <w:rPr>
                <w:sz w:val="20"/>
              </w:rPr>
              <w:t>5</w:t>
            </w:r>
            <w:r>
              <w:rPr>
                <w:spacing w:val="-5"/>
                <w:sz w:val="20"/>
              </w:rPr>
              <w:t xml:space="preserve"> </w:t>
            </w:r>
            <w:r>
              <w:rPr>
                <w:sz w:val="20"/>
              </w:rPr>
              <w:t>(2023‐2028</w:t>
            </w:r>
            <w:r>
              <w:rPr>
                <w:spacing w:val="-5"/>
                <w:sz w:val="20"/>
              </w:rPr>
              <w:t xml:space="preserve"> </w:t>
            </w:r>
            <w:r>
              <w:rPr>
                <w:spacing w:val="-2"/>
                <w:sz w:val="20"/>
              </w:rPr>
              <w:t>period)</w:t>
            </w:r>
          </w:p>
        </w:tc>
      </w:tr>
      <w:tr w:rsidR="00141B97" w14:paraId="27BE3CCA" w14:textId="77777777">
        <w:trPr>
          <w:trHeight w:val="269"/>
          <w:tblCellSpacing w:w="9" w:type="dxa"/>
        </w:trPr>
        <w:tc>
          <w:tcPr>
            <w:tcW w:w="1260" w:type="dxa"/>
            <w:tcBorders>
              <w:left w:val="nil"/>
            </w:tcBorders>
            <w:shd w:val="clear" w:color="auto" w:fill="CCE2ED"/>
          </w:tcPr>
          <w:p w14:paraId="74575C67" w14:textId="77777777" w:rsidR="00141B97" w:rsidRDefault="00911D63">
            <w:pPr>
              <w:pStyle w:val="TableParagraph"/>
              <w:spacing w:before="25" w:line="224" w:lineRule="exact"/>
              <w:ind w:left="41"/>
              <w:rPr>
                <w:sz w:val="20"/>
              </w:rPr>
            </w:pPr>
            <w:r>
              <w:rPr>
                <w:spacing w:val="-5"/>
                <w:sz w:val="20"/>
              </w:rPr>
              <w:t>PS6</w:t>
            </w:r>
          </w:p>
        </w:tc>
        <w:tc>
          <w:tcPr>
            <w:tcW w:w="8483" w:type="dxa"/>
            <w:tcBorders>
              <w:right w:val="nil"/>
            </w:tcBorders>
            <w:shd w:val="clear" w:color="auto" w:fill="CCE2ED"/>
          </w:tcPr>
          <w:p w14:paraId="5680D6D3" w14:textId="77777777" w:rsidR="00141B97" w:rsidRDefault="00911D63">
            <w:pPr>
              <w:pStyle w:val="TableParagraph"/>
              <w:spacing w:before="25" w:line="224" w:lineRule="exact"/>
              <w:ind w:left="49"/>
              <w:rPr>
                <w:sz w:val="20"/>
              </w:rPr>
            </w:pPr>
            <w:r>
              <w:rPr>
                <w:sz w:val="20"/>
              </w:rPr>
              <w:t>Price</w:t>
            </w:r>
            <w:r>
              <w:rPr>
                <w:spacing w:val="-6"/>
                <w:sz w:val="20"/>
              </w:rPr>
              <w:t xml:space="preserve"> </w:t>
            </w:r>
            <w:r>
              <w:rPr>
                <w:sz w:val="20"/>
              </w:rPr>
              <w:t>Submission</w:t>
            </w:r>
            <w:r>
              <w:rPr>
                <w:spacing w:val="-4"/>
                <w:sz w:val="20"/>
              </w:rPr>
              <w:t xml:space="preserve"> </w:t>
            </w:r>
            <w:r>
              <w:rPr>
                <w:sz w:val="20"/>
              </w:rPr>
              <w:t>5</w:t>
            </w:r>
            <w:r>
              <w:rPr>
                <w:spacing w:val="-5"/>
                <w:sz w:val="20"/>
              </w:rPr>
              <w:t xml:space="preserve"> </w:t>
            </w:r>
            <w:r>
              <w:rPr>
                <w:sz w:val="20"/>
              </w:rPr>
              <w:t>(2028‐2033</w:t>
            </w:r>
            <w:r>
              <w:rPr>
                <w:spacing w:val="-5"/>
                <w:sz w:val="20"/>
              </w:rPr>
              <w:t xml:space="preserve"> </w:t>
            </w:r>
            <w:r>
              <w:rPr>
                <w:spacing w:val="-2"/>
                <w:sz w:val="20"/>
              </w:rPr>
              <w:t>period)</w:t>
            </w:r>
          </w:p>
        </w:tc>
      </w:tr>
      <w:tr w:rsidR="00141B97" w14:paraId="1E5B0D19" w14:textId="77777777">
        <w:trPr>
          <w:trHeight w:val="270"/>
          <w:tblCellSpacing w:w="9" w:type="dxa"/>
        </w:trPr>
        <w:tc>
          <w:tcPr>
            <w:tcW w:w="1260" w:type="dxa"/>
            <w:tcBorders>
              <w:left w:val="nil"/>
            </w:tcBorders>
            <w:shd w:val="clear" w:color="auto" w:fill="CCE2ED"/>
          </w:tcPr>
          <w:p w14:paraId="482EC695" w14:textId="77777777" w:rsidR="00141B97" w:rsidRDefault="00911D63">
            <w:pPr>
              <w:pStyle w:val="TableParagraph"/>
              <w:spacing w:before="26" w:line="224" w:lineRule="exact"/>
              <w:ind w:left="41"/>
              <w:rPr>
                <w:sz w:val="20"/>
              </w:rPr>
            </w:pPr>
            <w:r>
              <w:rPr>
                <w:spacing w:val="-5"/>
                <w:sz w:val="20"/>
              </w:rPr>
              <w:t>RAB</w:t>
            </w:r>
          </w:p>
        </w:tc>
        <w:tc>
          <w:tcPr>
            <w:tcW w:w="8483" w:type="dxa"/>
            <w:tcBorders>
              <w:right w:val="nil"/>
            </w:tcBorders>
            <w:shd w:val="clear" w:color="auto" w:fill="CCE2ED"/>
          </w:tcPr>
          <w:p w14:paraId="45851A9F" w14:textId="77777777" w:rsidR="00141B97" w:rsidRDefault="00911D63">
            <w:pPr>
              <w:pStyle w:val="TableParagraph"/>
              <w:spacing w:before="26" w:line="224" w:lineRule="exact"/>
              <w:ind w:left="49"/>
              <w:rPr>
                <w:sz w:val="20"/>
              </w:rPr>
            </w:pPr>
            <w:r>
              <w:rPr>
                <w:sz w:val="20"/>
              </w:rPr>
              <w:t>Regulatory</w:t>
            </w:r>
            <w:r>
              <w:rPr>
                <w:spacing w:val="-8"/>
                <w:sz w:val="20"/>
              </w:rPr>
              <w:t xml:space="preserve"> </w:t>
            </w:r>
            <w:r>
              <w:rPr>
                <w:sz w:val="20"/>
              </w:rPr>
              <w:t>Asset</w:t>
            </w:r>
            <w:r>
              <w:rPr>
                <w:spacing w:val="-5"/>
                <w:sz w:val="20"/>
              </w:rPr>
              <w:t xml:space="preserve"> </w:t>
            </w:r>
            <w:r>
              <w:rPr>
                <w:spacing w:val="-4"/>
                <w:sz w:val="20"/>
              </w:rPr>
              <w:t>Base</w:t>
            </w:r>
          </w:p>
        </w:tc>
      </w:tr>
      <w:tr w:rsidR="00141B97" w14:paraId="33F1C787" w14:textId="77777777">
        <w:trPr>
          <w:trHeight w:val="270"/>
          <w:tblCellSpacing w:w="9" w:type="dxa"/>
        </w:trPr>
        <w:tc>
          <w:tcPr>
            <w:tcW w:w="1260" w:type="dxa"/>
            <w:tcBorders>
              <w:left w:val="nil"/>
            </w:tcBorders>
            <w:shd w:val="clear" w:color="auto" w:fill="CCE2ED"/>
          </w:tcPr>
          <w:p w14:paraId="26122890" w14:textId="77777777" w:rsidR="00141B97" w:rsidRDefault="00911D63">
            <w:pPr>
              <w:pStyle w:val="TableParagraph"/>
              <w:spacing w:before="25" w:line="225" w:lineRule="exact"/>
              <w:ind w:left="41"/>
              <w:rPr>
                <w:sz w:val="20"/>
              </w:rPr>
            </w:pPr>
            <w:r>
              <w:rPr>
                <w:spacing w:val="-2"/>
                <w:sz w:val="20"/>
              </w:rPr>
              <w:t>REFCL</w:t>
            </w:r>
          </w:p>
        </w:tc>
        <w:tc>
          <w:tcPr>
            <w:tcW w:w="8483" w:type="dxa"/>
            <w:tcBorders>
              <w:right w:val="nil"/>
            </w:tcBorders>
            <w:shd w:val="clear" w:color="auto" w:fill="CCE2ED"/>
          </w:tcPr>
          <w:p w14:paraId="21AAE3CC" w14:textId="77777777" w:rsidR="00141B97" w:rsidRDefault="00911D63">
            <w:pPr>
              <w:pStyle w:val="TableParagraph"/>
              <w:spacing w:before="25" w:line="225" w:lineRule="exact"/>
              <w:ind w:left="49"/>
              <w:rPr>
                <w:sz w:val="20"/>
              </w:rPr>
            </w:pPr>
            <w:r>
              <w:rPr>
                <w:sz w:val="20"/>
              </w:rPr>
              <w:t>Rapid</w:t>
            </w:r>
            <w:r>
              <w:rPr>
                <w:spacing w:val="-5"/>
                <w:sz w:val="20"/>
              </w:rPr>
              <w:t xml:space="preserve"> </w:t>
            </w:r>
            <w:r>
              <w:rPr>
                <w:sz w:val="20"/>
              </w:rPr>
              <w:t>Earth</w:t>
            </w:r>
            <w:r>
              <w:rPr>
                <w:spacing w:val="-3"/>
                <w:sz w:val="20"/>
              </w:rPr>
              <w:t xml:space="preserve"> </w:t>
            </w:r>
            <w:r>
              <w:rPr>
                <w:sz w:val="20"/>
              </w:rPr>
              <w:t>Fault</w:t>
            </w:r>
            <w:r>
              <w:rPr>
                <w:spacing w:val="-4"/>
                <w:sz w:val="20"/>
              </w:rPr>
              <w:t xml:space="preserve"> </w:t>
            </w:r>
            <w:r>
              <w:rPr>
                <w:sz w:val="20"/>
              </w:rPr>
              <w:t>Current</w:t>
            </w:r>
            <w:r>
              <w:rPr>
                <w:spacing w:val="-3"/>
                <w:sz w:val="20"/>
              </w:rPr>
              <w:t xml:space="preserve"> </w:t>
            </w:r>
            <w:r>
              <w:rPr>
                <w:spacing w:val="-2"/>
                <w:sz w:val="20"/>
              </w:rPr>
              <w:t>Limiter</w:t>
            </w:r>
          </w:p>
        </w:tc>
      </w:tr>
      <w:tr w:rsidR="00141B97" w14:paraId="0E62D823" w14:textId="77777777">
        <w:trPr>
          <w:trHeight w:val="269"/>
          <w:tblCellSpacing w:w="9" w:type="dxa"/>
        </w:trPr>
        <w:tc>
          <w:tcPr>
            <w:tcW w:w="1260" w:type="dxa"/>
            <w:tcBorders>
              <w:left w:val="nil"/>
              <w:bottom w:val="nil"/>
            </w:tcBorders>
            <w:shd w:val="clear" w:color="auto" w:fill="CCE2ED"/>
          </w:tcPr>
          <w:p w14:paraId="5D804548" w14:textId="77777777" w:rsidR="00141B97" w:rsidRDefault="00911D63">
            <w:pPr>
              <w:pStyle w:val="TableParagraph"/>
              <w:spacing w:before="25" w:line="224" w:lineRule="exact"/>
              <w:ind w:left="41"/>
              <w:rPr>
                <w:sz w:val="20"/>
              </w:rPr>
            </w:pPr>
            <w:r>
              <w:rPr>
                <w:spacing w:val="-4"/>
                <w:sz w:val="20"/>
              </w:rPr>
              <w:t>WIRO</w:t>
            </w:r>
          </w:p>
        </w:tc>
        <w:tc>
          <w:tcPr>
            <w:tcW w:w="8483" w:type="dxa"/>
            <w:tcBorders>
              <w:bottom w:val="nil"/>
              <w:right w:val="nil"/>
            </w:tcBorders>
            <w:shd w:val="clear" w:color="auto" w:fill="CCE2ED"/>
          </w:tcPr>
          <w:p w14:paraId="1CEEC0B0" w14:textId="77777777" w:rsidR="00141B97" w:rsidRDefault="00911D63">
            <w:pPr>
              <w:pStyle w:val="TableParagraph"/>
              <w:spacing w:before="25" w:line="224" w:lineRule="exact"/>
              <w:ind w:left="49"/>
              <w:rPr>
                <w:sz w:val="20"/>
              </w:rPr>
            </w:pPr>
            <w:r>
              <w:rPr>
                <w:sz w:val="20"/>
              </w:rPr>
              <w:t>Water</w:t>
            </w:r>
            <w:r>
              <w:rPr>
                <w:spacing w:val="-5"/>
                <w:sz w:val="20"/>
              </w:rPr>
              <w:t xml:space="preserve"> </w:t>
            </w:r>
            <w:r>
              <w:rPr>
                <w:sz w:val="20"/>
              </w:rPr>
              <w:t>Industry</w:t>
            </w:r>
            <w:r>
              <w:rPr>
                <w:spacing w:val="-5"/>
                <w:sz w:val="20"/>
              </w:rPr>
              <w:t xml:space="preserve"> </w:t>
            </w:r>
            <w:r>
              <w:rPr>
                <w:sz w:val="20"/>
              </w:rPr>
              <w:t>Regulatory</w:t>
            </w:r>
            <w:r>
              <w:rPr>
                <w:spacing w:val="-4"/>
                <w:sz w:val="20"/>
              </w:rPr>
              <w:t xml:space="preserve"> Order</w:t>
            </w:r>
          </w:p>
        </w:tc>
      </w:tr>
    </w:tbl>
    <w:p w14:paraId="010A7309" w14:textId="77777777" w:rsidR="00141B97" w:rsidRDefault="00911D63">
      <w:pPr>
        <w:spacing w:before="25"/>
        <w:ind w:left="154"/>
        <w:rPr>
          <w:sz w:val="16"/>
        </w:rPr>
      </w:pPr>
      <w:r>
        <w:rPr>
          <w:sz w:val="16"/>
        </w:rPr>
        <w:t>Table</w:t>
      </w:r>
      <w:r>
        <w:rPr>
          <w:spacing w:val="-5"/>
          <w:sz w:val="16"/>
        </w:rPr>
        <w:t xml:space="preserve"> </w:t>
      </w:r>
      <w:r>
        <w:rPr>
          <w:sz w:val="16"/>
        </w:rPr>
        <w:t>A3:</w:t>
      </w:r>
      <w:r>
        <w:rPr>
          <w:spacing w:val="-5"/>
          <w:sz w:val="16"/>
        </w:rPr>
        <w:t xml:space="preserve"> </w:t>
      </w:r>
      <w:r>
        <w:rPr>
          <w:sz w:val="16"/>
        </w:rPr>
        <w:t>PS5</w:t>
      </w:r>
      <w:r>
        <w:rPr>
          <w:spacing w:val="-5"/>
          <w:sz w:val="16"/>
        </w:rPr>
        <w:t xml:space="preserve"> </w:t>
      </w:r>
      <w:r>
        <w:rPr>
          <w:sz w:val="16"/>
        </w:rPr>
        <w:t>Acronyms</w:t>
      </w:r>
      <w:r>
        <w:rPr>
          <w:spacing w:val="-4"/>
          <w:sz w:val="16"/>
        </w:rPr>
        <w:t xml:space="preserve"> </w:t>
      </w:r>
      <w:r>
        <w:rPr>
          <w:sz w:val="16"/>
        </w:rPr>
        <w:t>and</w:t>
      </w:r>
      <w:r>
        <w:rPr>
          <w:spacing w:val="-6"/>
          <w:sz w:val="16"/>
        </w:rPr>
        <w:t xml:space="preserve"> </w:t>
      </w:r>
      <w:r>
        <w:rPr>
          <w:spacing w:val="-2"/>
          <w:sz w:val="16"/>
        </w:rPr>
        <w:t>Abbreviations</w:t>
      </w:r>
    </w:p>
    <w:p w14:paraId="08EBDC37" w14:textId="77777777" w:rsidR="00141B97" w:rsidRDefault="00141B97">
      <w:pPr>
        <w:rPr>
          <w:sz w:val="16"/>
        </w:rPr>
        <w:sectPr w:rsidR="00141B97">
          <w:pgSz w:w="11910" w:h="16840"/>
          <w:pgMar w:top="820" w:right="740" w:bottom="1120" w:left="980" w:header="0" w:footer="896" w:gutter="0"/>
          <w:cols w:space="720"/>
        </w:sectPr>
      </w:pPr>
    </w:p>
    <w:p w14:paraId="5B6BE972" w14:textId="77777777" w:rsidR="00141B97" w:rsidRDefault="00911D63">
      <w:pPr>
        <w:pStyle w:val="Heading1"/>
        <w:numPr>
          <w:ilvl w:val="0"/>
          <w:numId w:val="113"/>
        </w:numPr>
        <w:tabs>
          <w:tab w:val="left" w:pos="722"/>
        </w:tabs>
      </w:pPr>
      <w:bookmarkStart w:id="3" w:name="_TOC_250024"/>
      <w:r>
        <w:rPr>
          <w:color w:val="006CA3"/>
        </w:rPr>
        <w:lastRenderedPageBreak/>
        <w:t>Customer</w:t>
      </w:r>
      <w:r>
        <w:rPr>
          <w:color w:val="006CA3"/>
          <w:spacing w:val="-16"/>
        </w:rPr>
        <w:t xml:space="preserve"> </w:t>
      </w:r>
      <w:r>
        <w:rPr>
          <w:color w:val="006CA3"/>
        </w:rPr>
        <w:t>Views,</w:t>
      </w:r>
      <w:r>
        <w:rPr>
          <w:color w:val="006CA3"/>
          <w:spacing w:val="-11"/>
        </w:rPr>
        <w:t xml:space="preserve"> </w:t>
      </w:r>
      <w:r>
        <w:rPr>
          <w:color w:val="006CA3"/>
        </w:rPr>
        <w:t>Perspectives</w:t>
      </w:r>
      <w:r>
        <w:rPr>
          <w:color w:val="006CA3"/>
          <w:spacing w:val="-12"/>
        </w:rPr>
        <w:t xml:space="preserve"> </w:t>
      </w:r>
      <w:r>
        <w:rPr>
          <w:color w:val="006CA3"/>
        </w:rPr>
        <w:t>&amp;</w:t>
      </w:r>
      <w:r>
        <w:rPr>
          <w:color w:val="006CA3"/>
          <w:spacing w:val="-11"/>
        </w:rPr>
        <w:t xml:space="preserve"> </w:t>
      </w:r>
      <w:bookmarkEnd w:id="3"/>
      <w:r>
        <w:rPr>
          <w:color w:val="006CA3"/>
          <w:spacing w:val="-2"/>
        </w:rPr>
        <w:t>Aspirations</w:t>
      </w:r>
    </w:p>
    <w:p w14:paraId="55E799FC" w14:textId="77777777" w:rsidR="00141B97" w:rsidRDefault="00911D63">
      <w:pPr>
        <w:pStyle w:val="Heading3"/>
        <w:numPr>
          <w:ilvl w:val="1"/>
          <w:numId w:val="113"/>
        </w:numPr>
        <w:tabs>
          <w:tab w:val="left" w:pos="1152"/>
          <w:tab w:val="left" w:pos="1153"/>
        </w:tabs>
        <w:spacing w:before="379"/>
      </w:pPr>
      <w:bookmarkStart w:id="4" w:name="_TOC_250023"/>
      <w:r>
        <w:rPr>
          <w:color w:val="009BAC"/>
        </w:rPr>
        <w:t>LMW’s</w:t>
      </w:r>
      <w:r>
        <w:rPr>
          <w:color w:val="009BAC"/>
          <w:spacing w:val="-1"/>
        </w:rPr>
        <w:t xml:space="preserve"> </w:t>
      </w:r>
      <w:r>
        <w:rPr>
          <w:color w:val="009BAC"/>
        </w:rPr>
        <w:t>Customer</w:t>
      </w:r>
      <w:r>
        <w:rPr>
          <w:color w:val="009BAC"/>
          <w:spacing w:val="-1"/>
        </w:rPr>
        <w:t xml:space="preserve"> </w:t>
      </w:r>
      <w:r>
        <w:rPr>
          <w:color w:val="009BAC"/>
        </w:rPr>
        <w:t>Engagement</w:t>
      </w:r>
      <w:r>
        <w:rPr>
          <w:color w:val="009BAC"/>
          <w:spacing w:val="-1"/>
        </w:rPr>
        <w:t xml:space="preserve"> </w:t>
      </w:r>
      <w:bookmarkEnd w:id="4"/>
      <w:r>
        <w:rPr>
          <w:color w:val="009BAC"/>
          <w:spacing w:val="-2"/>
        </w:rPr>
        <w:t>Approach</w:t>
      </w:r>
    </w:p>
    <w:p w14:paraId="310B395B" w14:textId="77777777" w:rsidR="00141B97" w:rsidRDefault="00911D63">
      <w:pPr>
        <w:pStyle w:val="BodyText"/>
        <w:spacing w:before="154"/>
        <w:ind w:left="153" w:right="247"/>
        <w:jc w:val="both"/>
      </w:pPr>
      <w:r>
        <w:t>Customer engagement is integral to LMW’s business, and although there is a requirement to engage with customers as defined by the regulatory framework, LMW’s strategic aspiration to uplift customer engagement to</w:t>
      </w:r>
      <w:r>
        <w:rPr>
          <w:spacing w:val="-1"/>
        </w:rPr>
        <w:t xml:space="preserve"> </w:t>
      </w:r>
      <w:r>
        <w:t>a</w:t>
      </w:r>
      <w:r>
        <w:rPr>
          <w:spacing w:val="-2"/>
        </w:rPr>
        <w:t xml:space="preserve"> </w:t>
      </w:r>
      <w:r>
        <w:t>best‐practice</w:t>
      </w:r>
      <w:r>
        <w:rPr>
          <w:spacing w:val="-2"/>
        </w:rPr>
        <w:t xml:space="preserve"> </w:t>
      </w:r>
      <w:r>
        <w:t>standard to</w:t>
      </w:r>
      <w:r>
        <w:rPr>
          <w:spacing w:val="-1"/>
        </w:rPr>
        <w:t xml:space="preserve"> </w:t>
      </w:r>
      <w:r>
        <w:t>better</w:t>
      </w:r>
      <w:r>
        <w:rPr>
          <w:spacing w:val="-1"/>
        </w:rPr>
        <w:t xml:space="preserve"> </w:t>
      </w:r>
      <w:r>
        <w:t>and</w:t>
      </w:r>
      <w:r>
        <w:rPr>
          <w:spacing w:val="-1"/>
        </w:rPr>
        <w:t xml:space="preserve"> </w:t>
      </w:r>
      <w:r>
        <w:t>more effectively understand</w:t>
      </w:r>
      <w:r>
        <w:rPr>
          <w:spacing w:val="-2"/>
        </w:rPr>
        <w:t xml:space="preserve"> </w:t>
      </w:r>
      <w:r>
        <w:t>the</w:t>
      </w:r>
      <w:r>
        <w:rPr>
          <w:spacing w:val="-1"/>
        </w:rPr>
        <w:t xml:space="preserve"> </w:t>
      </w:r>
      <w:r>
        <w:t>needs</w:t>
      </w:r>
      <w:r>
        <w:rPr>
          <w:spacing w:val="-1"/>
        </w:rPr>
        <w:t xml:space="preserve"> </w:t>
      </w:r>
      <w:r>
        <w:t>of</w:t>
      </w:r>
      <w:r>
        <w:rPr>
          <w:spacing w:val="-1"/>
        </w:rPr>
        <w:t xml:space="preserve"> </w:t>
      </w:r>
      <w:r>
        <w:t>urban</w:t>
      </w:r>
      <w:r>
        <w:rPr>
          <w:spacing w:val="-2"/>
        </w:rPr>
        <w:t xml:space="preserve"> </w:t>
      </w:r>
      <w:r>
        <w:t>and</w:t>
      </w:r>
      <w:r>
        <w:rPr>
          <w:spacing w:val="-1"/>
        </w:rPr>
        <w:t xml:space="preserve"> </w:t>
      </w:r>
      <w:r>
        <w:t>rural</w:t>
      </w:r>
      <w:r>
        <w:rPr>
          <w:spacing w:val="-1"/>
        </w:rPr>
        <w:t xml:space="preserve"> </w:t>
      </w:r>
      <w:r>
        <w:t>customers, has been a key principle in the development of PS5.</w:t>
      </w:r>
    </w:p>
    <w:p w14:paraId="16A4259D" w14:textId="77777777" w:rsidR="00141B97" w:rsidRDefault="00141B97">
      <w:pPr>
        <w:pStyle w:val="BodyText"/>
      </w:pPr>
    </w:p>
    <w:p w14:paraId="3243AB70" w14:textId="77777777" w:rsidR="00141B97" w:rsidRDefault="00911D63">
      <w:pPr>
        <w:pStyle w:val="BodyText"/>
        <w:ind w:left="153"/>
        <w:jc w:val="both"/>
      </w:pPr>
      <w:r>
        <w:t>In</w:t>
      </w:r>
      <w:r>
        <w:rPr>
          <w:spacing w:val="-7"/>
        </w:rPr>
        <w:t xml:space="preserve"> </w:t>
      </w:r>
      <w:r>
        <w:t>2021,</w:t>
      </w:r>
      <w:r>
        <w:rPr>
          <w:spacing w:val="-7"/>
        </w:rPr>
        <w:t xml:space="preserve"> </w:t>
      </w:r>
      <w:r>
        <w:t>to</w:t>
      </w:r>
      <w:r>
        <w:rPr>
          <w:spacing w:val="-6"/>
        </w:rPr>
        <w:t xml:space="preserve"> </w:t>
      </w:r>
      <w:r>
        <w:t>realise</w:t>
      </w:r>
      <w:r>
        <w:rPr>
          <w:spacing w:val="-7"/>
        </w:rPr>
        <w:t xml:space="preserve"> </w:t>
      </w:r>
      <w:r>
        <w:t>its</w:t>
      </w:r>
      <w:r>
        <w:rPr>
          <w:spacing w:val="-7"/>
        </w:rPr>
        <w:t xml:space="preserve"> </w:t>
      </w:r>
      <w:r>
        <w:t>strategic</w:t>
      </w:r>
      <w:r>
        <w:rPr>
          <w:spacing w:val="-7"/>
        </w:rPr>
        <w:t xml:space="preserve"> </w:t>
      </w:r>
      <w:r>
        <w:t>aspiration</w:t>
      </w:r>
      <w:r>
        <w:rPr>
          <w:spacing w:val="-7"/>
        </w:rPr>
        <w:t xml:space="preserve"> </w:t>
      </w:r>
      <w:r>
        <w:t>to</w:t>
      </w:r>
      <w:r>
        <w:rPr>
          <w:spacing w:val="-6"/>
        </w:rPr>
        <w:t xml:space="preserve"> </w:t>
      </w:r>
      <w:r>
        <w:t>engage</w:t>
      </w:r>
      <w:r>
        <w:rPr>
          <w:spacing w:val="-7"/>
        </w:rPr>
        <w:t xml:space="preserve"> </w:t>
      </w:r>
      <w:r>
        <w:t>with</w:t>
      </w:r>
      <w:r>
        <w:rPr>
          <w:spacing w:val="-7"/>
        </w:rPr>
        <w:t xml:space="preserve"> </w:t>
      </w:r>
      <w:r>
        <w:t>stakeholders</w:t>
      </w:r>
      <w:r>
        <w:rPr>
          <w:spacing w:val="-7"/>
        </w:rPr>
        <w:t xml:space="preserve"> </w:t>
      </w:r>
      <w:r>
        <w:t>more</w:t>
      </w:r>
      <w:r>
        <w:rPr>
          <w:spacing w:val="-7"/>
        </w:rPr>
        <w:t xml:space="preserve"> </w:t>
      </w:r>
      <w:r>
        <w:t>effectively,</w:t>
      </w:r>
      <w:r>
        <w:rPr>
          <w:spacing w:val="-7"/>
        </w:rPr>
        <w:t xml:space="preserve"> </w:t>
      </w:r>
      <w:r>
        <w:t>LMW</w:t>
      </w:r>
      <w:r>
        <w:rPr>
          <w:spacing w:val="-6"/>
        </w:rPr>
        <w:t xml:space="preserve"> </w:t>
      </w:r>
      <w:r>
        <w:rPr>
          <w:spacing w:val="-4"/>
        </w:rPr>
        <w:t>has:</w:t>
      </w:r>
    </w:p>
    <w:p w14:paraId="6914B264" w14:textId="77777777" w:rsidR="00141B97" w:rsidRDefault="00911D63">
      <w:pPr>
        <w:pStyle w:val="ListParagraph"/>
        <w:numPr>
          <w:ilvl w:val="0"/>
          <w:numId w:val="106"/>
        </w:numPr>
        <w:tabs>
          <w:tab w:val="left" w:pos="874"/>
        </w:tabs>
        <w:ind w:right="247" w:hanging="361"/>
        <w:jc w:val="both"/>
      </w:pPr>
      <w:r>
        <w:t>Realigned</w:t>
      </w:r>
      <w:r>
        <w:rPr>
          <w:spacing w:val="-7"/>
        </w:rPr>
        <w:t xml:space="preserve"> </w:t>
      </w:r>
      <w:r>
        <w:t>its</w:t>
      </w:r>
      <w:r>
        <w:rPr>
          <w:spacing w:val="-5"/>
        </w:rPr>
        <w:t xml:space="preserve"> </w:t>
      </w:r>
      <w:r>
        <w:t>organisational</w:t>
      </w:r>
      <w:r>
        <w:rPr>
          <w:spacing w:val="-7"/>
        </w:rPr>
        <w:t xml:space="preserve"> </w:t>
      </w:r>
      <w:r>
        <w:t>structure</w:t>
      </w:r>
      <w:r>
        <w:rPr>
          <w:spacing w:val="-9"/>
        </w:rPr>
        <w:t xml:space="preserve"> </w:t>
      </w:r>
      <w:r>
        <w:t>to</w:t>
      </w:r>
      <w:r>
        <w:rPr>
          <w:spacing w:val="-7"/>
        </w:rPr>
        <w:t xml:space="preserve"> </w:t>
      </w:r>
      <w:r>
        <w:t>bring</w:t>
      </w:r>
      <w:r>
        <w:rPr>
          <w:spacing w:val="-7"/>
        </w:rPr>
        <w:t xml:space="preserve"> </w:t>
      </w:r>
      <w:r>
        <w:t>its</w:t>
      </w:r>
      <w:r>
        <w:rPr>
          <w:spacing w:val="-6"/>
        </w:rPr>
        <w:t xml:space="preserve"> </w:t>
      </w:r>
      <w:r>
        <w:t>people,</w:t>
      </w:r>
      <w:r>
        <w:rPr>
          <w:spacing w:val="-8"/>
        </w:rPr>
        <w:t xml:space="preserve"> </w:t>
      </w:r>
      <w:r>
        <w:t>customer,</w:t>
      </w:r>
      <w:r>
        <w:rPr>
          <w:spacing w:val="-5"/>
        </w:rPr>
        <w:t xml:space="preserve"> </w:t>
      </w:r>
      <w:r>
        <w:t>and</w:t>
      </w:r>
      <w:r>
        <w:rPr>
          <w:spacing w:val="-8"/>
        </w:rPr>
        <w:t xml:space="preserve"> </w:t>
      </w:r>
      <w:r>
        <w:t>stakeholder</w:t>
      </w:r>
      <w:r>
        <w:rPr>
          <w:spacing w:val="-8"/>
        </w:rPr>
        <w:t xml:space="preserve"> </w:t>
      </w:r>
      <w:r>
        <w:t>functions</w:t>
      </w:r>
      <w:r>
        <w:rPr>
          <w:spacing w:val="-6"/>
        </w:rPr>
        <w:t xml:space="preserve"> </w:t>
      </w:r>
      <w:r>
        <w:t>together to strengthen the link between LMW’s internal and external customers.</w:t>
      </w:r>
    </w:p>
    <w:p w14:paraId="5A0C83D6" w14:textId="77777777" w:rsidR="00141B97" w:rsidRDefault="00911D63">
      <w:pPr>
        <w:pStyle w:val="ListParagraph"/>
        <w:numPr>
          <w:ilvl w:val="0"/>
          <w:numId w:val="106"/>
        </w:numPr>
        <w:tabs>
          <w:tab w:val="left" w:pos="874"/>
        </w:tabs>
        <w:ind w:right="247" w:hanging="361"/>
        <w:jc w:val="both"/>
      </w:pPr>
      <w:r>
        <w:t>Embedded authentic customer engagement across the business through a new Communication and Stakeholder Engagement Framework</w:t>
      </w:r>
      <w:r>
        <w:rPr>
          <w:vertAlign w:val="superscript"/>
        </w:rPr>
        <w:t>1</w:t>
      </w:r>
      <w:r>
        <w:t>, Strategy</w:t>
      </w:r>
      <w:r>
        <w:rPr>
          <w:vertAlign w:val="superscript"/>
        </w:rPr>
        <w:t>2</w:t>
      </w:r>
      <w:r>
        <w:t xml:space="preserve"> and Toolkit</w:t>
      </w:r>
      <w:r>
        <w:rPr>
          <w:vertAlign w:val="superscript"/>
        </w:rPr>
        <w:t>3</w:t>
      </w:r>
      <w:r>
        <w:t>. This strategy encompasses the values, ethics and processes for public participation established by the International Association of Public Participation (IAP2) and provides a singular overarching best‐practice framework to support LMW to effectively engage all stakeholders.</w:t>
      </w:r>
    </w:p>
    <w:p w14:paraId="2D2A9CF5" w14:textId="77777777" w:rsidR="00141B97" w:rsidRDefault="00911D63">
      <w:pPr>
        <w:pStyle w:val="ListParagraph"/>
        <w:numPr>
          <w:ilvl w:val="0"/>
          <w:numId w:val="106"/>
        </w:numPr>
        <w:tabs>
          <w:tab w:val="left" w:pos="874"/>
        </w:tabs>
        <w:ind w:left="874" w:right="249" w:hanging="361"/>
        <w:jc w:val="both"/>
      </w:pPr>
      <w:r>
        <w:t>Developed</w:t>
      </w:r>
      <w:r>
        <w:rPr>
          <w:spacing w:val="-13"/>
        </w:rPr>
        <w:t xml:space="preserve"> </w:t>
      </w:r>
      <w:r>
        <w:t>the</w:t>
      </w:r>
      <w:r>
        <w:rPr>
          <w:spacing w:val="-12"/>
        </w:rPr>
        <w:t xml:space="preserve"> </w:t>
      </w:r>
      <w:r>
        <w:t>customer</w:t>
      </w:r>
      <w:r>
        <w:rPr>
          <w:spacing w:val="-12"/>
        </w:rPr>
        <w:t xml:space="preserve"> </w:t>
      </w:r>
      <w:r>
        <w:t>engagement</w:t>
      </w:r>
      <w:r>
        <w:rPr>
          <w:spacing w:val="-11"/>
        </w:rPr>
        <w:t xml:space="preserve"> </w:t>
      </w:r>
      <w:r>
        <w:t>and</w:t>
      </w:r>
      <w:r>
        <w:rPr>
          <w:spacing w:val="-13"/>
        </w:rPr>
        <w:t xml:space="preserve"> </w:t>
      </w:r>
      <w:r>
        <w:t>facilitation</w:t>
      </w:r>
      <w:r>
        <w:rPr>
          <w:spacing w:val="-12"/>
        </w:rPr>
        <w:t xml:space="preserve"> </w:t>
      </w:r>
      <w:r>
        <w:t>plan</w:t>
      </w:r>
      <w:r>
        <w:rPr>
          <w:spacing w:val="-12"/>
        </w:rPr>
        <w:t xml:space="preserve"> </w:t>
      </w:r>
      <w:r>
        <w:t>to</w:t>
      </w:r>
      <w:r>
        <w:rPr>
          <w:spacing w:val="-11"/>
        </w:rPr>
        <w:t xml:space="preserve"> </w:t>
      </w:r>
      <w:r>
        <w:t>inform</w:t>
      </w:r>
      <w:r>
        <w:rPr>
          <w:spacing w:val="-13"/>
        </w:rPr>
        <w:t xml:space="preserve"> </w:t>
      </w:r>
      <w:r>
        <w:t>PS5,</w:t>
      </w:r>
      <w:r>
        <w:rPr>
          <w:spacing w:val="-11"/>
        </w:rPr>
        <w:t xml:space="preserve"> </w:t>
      </w:r>
      <w:r>
        <w:t>aligning</w:t>
      </w:r>
      <w:r>
        <w:rPr>
          <w:spacing w:val="-13"/>
        </w:rPr>
        <w:t xml:space="preserve"> </w:t>
      </w:r>
      <w:r>
        <w:t>with</w:t>
      </w:r>
      <w:r>
        <w:rPr>
          <w:spacing w:val="-12"/>
        </w:rPr>
        <w:t xml:space="preserve"> </w:t>
      </w:r>
      <w:r>
        <w:t>the</w:t>
      </w:r>
      <w:r>
        <w:rPr>
          <w:spacing w:val="-11"/>
        </w:rPr>
        <w:t xml:space="preserve"> </w:t>
      </w:r>
      <w:r>
        <w:t>ESC’s</w:t>
      </w:r>
      <w:r>
        <w:rPr>
          <w:spacing w:val="-12"/>
        </w:rPr>
        <w:t xml:space="preserve"> </w:t>
      </w:r>
      <w:r>
        <w:t>PREMO framework and requirement that price submissions are heavily informed by customer engagement.</w:t>
      </w:r>
    </w:p>
    <w:p w14:paraId="56D43247" w14:textId="77777777" w:rsidR="00141B97" w:rsidRDefault="00141B97">
      <w:pPr>
        <w:pStyle w:val="BodyText"/>
      </w:pPr>
    </w:p>
    <w:p w14:paraId="2599AE61" w14:textId="77777777" w:rsidR="00141B97" w:rsidRDefault="00911D63">
      <w:pPr>
        <w:pStyle w:val="BodyText"/>
        <w:ind w:left="153" w:right="248" w:hanging="1"/>
        <w:jc w:val="both"/>
      </w:pPr>
      <w:r>
        <w:t>This</w:t>
      </w:r>
      <w:r>
        <w:rPr>
          <w:spacing w:val="-11"/>
        </w:rPr>
        <w:t xml:space="preserve"> </w:t>
      </w:r>
      <w:r>
        <w:t>new</w:t>
      </w:r>
      <w:r>
        <w:rPr>
          <w:spacing w:val="-10"/>
        </w:rPr>
        <w:t xml:space="preserve"> </w:t>
      </w:r>
      <w:r>
        <w:t>approach</w:t>
      </w:r>
      <w:r>
        <w:rPr>
          <w:spacing w:val="-11"/>
        </w:rPr>
        <w:t xml:space="preserve"> </w:t>
      </w:r>
      <w:r>
        <w:t>to</w:t>
      </w:r>
      <w:r>
        <w:rPr>
          <w:spacing w:val="-12"/>
        </w:rPr>
        <w:t xml:space="preserve"> </w:t>
      </w:r>
      <w:r>
        <w:t>communication</w:t>
      </w:r>
      <w:r>
        <w:rPr>
          <w:spacing w:val="-10"/>
        </w:rPr>
        <w:t xml:space="preserve"> </w:t>
      </w:r>
      <w:r>
        <w:t>and</w:t>
      </w:r>
      <w:r>
        <w:rPr>
          <w:spacing w:val="-10"/>
        </w:rPr>
        <w:t xml:space="preserve"> </w:t>
      </w:r>
      <w:r>
        <w:t>engagement</w:t>
      </w:r>
      <w:r>
        <w:rPr>
          <w:spacing w:val="-12"/>
        </w:rPr>
        <w:t xml:space="preserve"> </w:t>
      </w:r>
      <w:r>
        <w:t>represents</w:t>
      </w:r>
      <w:r>
        <w:rPr>
          <w:spacing w:val="-10"/>
        </w:rPr>
        <w:t xml:space="preserve"> </w:t>
      </w:r>
      <w:r>
        <w:t>further</w:t>
      </w:r>
      <w:r>
        <w:rPr>
          <w:spacing w:val="-9"/>
        </w:rPr>
        <w:t xml:space="preserve"> </w:t>
      </w:r>
      <w:r>
        <w:t>evolution</w:t>
      </w:r>
      <w:r>
        <w:rPr>
          <w:spacing w:val="-10"/>
        </w:rPr>
        <w:t xml:space="preserve"> </w:t>
      </w:r>
      <w:r>
        <w:t>from</w:t>
      </w:r>
      <w:r>
        <w:rPr>
          <w:spacing w:val="-11"/>
        </w:rPr>
        <w:t xml:space="preserve"> </w:t>
      </w:r>
      <w:r>
        <w:t>the</w:t>
      </w:r>
      <w:r>
        <w:rPr>
          <w:spacing w:val="-10"/>
        </w:rPr>
        <w:t xml:space="preserve"> </w:t>
      </w:r>
      <w:r>
        <w:t>PS4</w:t>
      </w:r>
      <w:r>
        <w:rPr>
          <w:spacing w:val="-11"/>
        </w:rPr>
        <w:t xml:space="preserve"> </w:t>
      </w:r>
      <w:r>
        <w:t>approach</w:t>
      </w:r>
      <w:r>
        <w:rPr>
          <w:spacing w:val="-10"/>
        </w:rPr>
        <w:t xml:space="preserve"> </w:t>
      </w:r>
      <w:r>
        <w:t>and requires</w:t>
      </w:r>
      <w:r>
        <w:rPr>
          <w:spacing w:val="-9"/>
        </w:rPr>
        <w:t xml:space="preserve"> </w:t>
      </w:r>
      <w:r>
        <w:t>the</w:t>
      </w:r>
      <w:r>
        <w:rPr>
          <w:spacing w:val="-9"/>
        </w:rPr>
        <w:t xml:space="preserve"> </w:t>
      </w:r>
      <w:r>
        <w:t>consideration</w:t>
      </w:r>
      <w:r>
        <w:rPr>
          <w:spacing w:val="-7"/>
        </w:rPr>
        <w:t xml:space="preserve"> </w:t>
      </w:r>
      <w:r>
        <w:t>of</w:t>
      </w:r>
      <w:r>
        <w:rPr>
          <w:spacing w:val="-9"/>
        </w:rPr>
        <w:t xml:space="preserve"> </w:t>
      </w:r>
      <w:r>
        <w:t>various</w:t>
      </w:r>
      <w:r>
        <w:rPr>
          <w:spacing w:val="-6"/>
        </w:rPr>
        <w:t xml:space="preserve"> </w:t>
      </w:r>
      <w:r>
        <w:t>elements</w:t>
      </w:r>
      <w:r>
        <w:rPr>
          <w:spacing w:val="-7"/>
        </w:rPr>
        <w:t xml:space="preserve"> </w:t>
      </w:r>
      <w:r>
        <w:t>to</w:t>
      </w:r>
      <w:r>
        <w:rPr>
          <w:spacing w:val="-8"/>
        </w:rPr>
        <w:t xml:space="preserve"> </w:t>
      </w:r>
      <w:r>
        <w:t>shape</w:t>
      </w:r>
      <w:r>
        <w:rPr>
          <w:spacing w:val="-9"/>
        </w:rPr>
        <w:t xml:space="preserve"> </w:t>
      </w:r>
      <w:r>
        <w:t>the</w:t>
      </w:r>
      <w:r>
        <w:rPr>
          <w:spacing w:val="-10"/>
        </w:rPr>
        <w:t xml:space="preserve"> </w:t>
      </w:r>
      <w:r>
        <w:t>best</w:t>
      </w:r>
      <w:r>
        <w:rPr>
          <w:spacing w:val="-8"/>
        </w:rPr>
        <w:t xml:space="preserve"> </w:t>
      </w:r>
      <w:r>
        <w:t>outcomes</w:t>
      </w:r>
      <w:r>
        <w:rPr>
          <w:spacing w:val="-8"/>
        </w:rPr>
        <w:t xml:space="preserve"> </w:t>
      </w:r>
      <w:r>
        <w:t>for</w:t>
      </w:r>
      <w:r>
        <w:rPr>
          <w:spacing w:val="-8"/>
        </w:rPr>
        <w:t xml:space="preserve"> </w:t>
      </w:r>
      <w:r>
        <w:t>the</w:t>
      </w:r>
      <w:r>
        <w:rPr>
          <w:spacing w:val="-8"/>
        </w:rPr>
        <w:t xml:space="preserve"> </w:t>
      </w:r>
      <w:r>
        <w:t>business</w:t>
      </w:r>
      <w:r>
        <w:rPr>
          <w:spacing w:val="-8"/>
        </w:rPr>
        <w:t xml:space="preserve"> </w:t>
      </w:r>
      <w:r>
        <w:t>and</w:t>
      </w:r>
      <w:r>
        <w:rPr>
          <w:spacing w:val="-9"/>
        </w:rPr>
        <w:t xml:space="preserve"> </w:t>
      </w:r>
      <w:r>
        <w:t>the</w:t>
      </w:r>
      <w:r>
        <w:rPr>
          <w:spacing w:val="-9"/>
        </w:rPr>
        <w:t xml:space="preserve"> </w:t>
      </w:r>
      <w:r>
        <w:t>community as shown in Figure A1:</w:t>
      </w:r>
    </w:p>
    <w:p w14:paraId="13C377E3" w14:textId="77777777" w:rsidR="00141B97" w:rsidRDefault="00911D63">
      <w:pPr>
        <w:pStyle w:val="BodyText"/>
        <w:spacing w:before="7"/>
        <w:rPr>
          <w:sz w:val="24"/>
        </w:rPr>
      </w:pPr>
      <w:r>
        <w:rPr>
          <w:noProof/>
        </w:rPr>
        <w:drawing>
          <wp:anchor distT="0" distB="0" distL="0" distR="0" simplePos="0" relativeHeight="17" behindDoc="0" locked="0" layoutInCell="1" allowOverlap="1" wp14:anchorId="5535BD95" wp14:editId="09B6D745">
            <wp:simplePos x="0" y="0"/>
            <wp:positionH relativeFrom="page">
              <wp:posOffset>790181</wp:posOffset>
            </wp:positionH>
            <wp:positionV relativeFrom="paragraph">
              <wp:posOffset>205884</wp:posOffset>
            </wp:positionV>
            <wp:extent cx="3995817" cy="3575304"/>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2" cstate="email">
                      <a:extLst>
                        <a:ext uri="{28A0092B-C50C-407E-A947-70E740481C1C}">
                          <a14:useLocalDpi xmlns:a14="http://schemas.microsoft.com/office/drawing/2010/main"/>
                        </a:ext>
                      </a:extLst>
                    </a:blip>
                    <a:stretch>
                      <a:fillRect/>
                    </a:stretch>
                  </pic:blipFill>
                  <pic:spPr>
                    <a:xfrm>
                      <a:off x="0" y="0"/>
                      <a:ext cx="3995817" cy="3575304"/>
                    </a:xfrm>
                    <a:prstGeom prst="rect">
                      <a:avLst/>
                    </a:prstGeom>
                  </pic:spPr>
                </pic:pic>
              </a:graphicData>
            </a:graphic>
          </wp:anchor>
        </w:drawing>
      </w:r>
    </w:p>
    <w:p w14:paraId="4CDAFF3A" w14:textId="77777777" w:rsidR="00141B97" w:rsidRDefault="00911D63">
      <w:pPr>
        <w:spacing w:before="44"/>
        <w:ind w:left="153"/>
        <w:jc w:val="both"/>
        <w:rPr>
          <w:sz w:val="16"/>
        </w:rPr>
      </w:pPr>
      <w:r>
        <w:rPr>
          <w:sz w:val="16"/>
        </w:rPr>
        <w:t>Figure</w:t>
      </w:r>
      <w:r>
        <w:rPr>
          <w:spacing w:val="-7"/>
          <w:sz w:val="16"/>
        </w:rPr>
        <w:t xml:space="preserve"> </w:t>
      </w:r>
      <w:r>
        <w:rPr>
          <w:sz w:val="16"/>
        </w:rPr>
        <w:t>A1:</w:t>
      </w:r>
      <w:r>
        <w:rPr>
          <w:spacing w:val="-7"/>
          <w:sz w:val="16"/>
        </w:rPr>
        <w:t xml:space="preserve"> </w:t>
      </w:r>
      <w:r>
        <w:rPr>
          <w:sz w:val="16"/>
        </w:rPr>
        <w:t>Effective</w:t>
      </w:r>
      <w:r>
        <w:rPr>
          <w:spacing w:val="-6"/>
          <w:sz w:val="16"/>
        </w:rPr>
        <w:t xml:space="preserve"> </w:t>
      </w:r>
      <w:r>
        <w:rPr>
          <w:sz w:val="16"/>
        </w:rPr>
        <w:t>Communication</w:t>
      </w:r>
      <w:r>
        <w:rPr>
          <w:spacing w:val="-8"/>
          <w:sz w:val="16"/>
        </w:rPr>
        <w:t xml:space="preserve"> </w:t>
      </w:r>
      <w:r>
        <w:rPr>
          <w:sz w:val="16"/>
        </w:rPr>
        <w:t>and</w:t>
      </w:r>
      <w:r>
        <w:rPr>
          <w:spacing w:val="-7"/>
          <w:sz w:val="16"/>
        </w:rPr>
        <w:t xml:space="preserve"> </w:t>
      </w:r>
      <w:r>
        <w:rPr>
          <w:sz w:val="16"/>
        </w:rPr>
        <w:t>Engagement</w:t>
      </w:r>
      <w:r>
        <w:rPr>
          <w:spacing w:val="-7"/>
          <w:sz w:val="16"/>
        </w:rPr>
        <w:t xml:space="preserve"> </w:t>
      </w:r>
      <w:r>
        <w:rPr>
          <w:spacing w:val="-2"/>
          <w:sz w:val="16"/>
        </w:rPr>
        <w:t>Considerations</w:t>
      </w:r>
    </w:p>
    <w:p w14:paraId="087E4404" w14:textId="77777777" w:rsidR="00141B97" w:rsidRDefault="00141B97">
      <w:pPr>
        <w:pStyle w:val="BodyText"/>
        <w:rPr>
          <w:sz w:val="20"/>
        </w:rPr>
      </w:pPr>
    </w:p>
    <w:p w14:paraId="6F040F2A" w14:textId="77777777" w:rsidR="00141B97" w:rsidRDefault="00141B97">
      <w:pPr>
        <w:pStyle w:val="BodyText"/>
        <w:rPr>
          <w:sz w:val="20"/>
        </w:rPr>
      </w:pPr>
    </w:p>
    <w:p w14:paraId="09C6A391" w14:textId="77777777" w:rsidR="00141B97" w:rsidRDefault="00141B97">
      <w:pPr>
        <w:pStyle w:val="BodyText"/>
        <w:rPr>
          <w:sz w:val="20"/>
        </w:rPr>
      </w:pPr>
    </w:p>
    <w:p w14:paraId="247D94F8" w14:textId="3C837A5A" w:rsidR="00141B97" w:rsidRDefault="00911D63">
      <w:pPr>
        <w:pStyle w:val="BodyText"/>
        <w:spacing w:before="6"/>
      </w:pPr>
      <w:r>
        <w:rPr>
          <w:noProof/>
        </w:rPr>
        <mc:AlternateContent>
          <mc:Choice Requires="wps">
            <w:drawing>
              <wp:anchor distT="0" distB="0" distL="0" distR="0" simplePos="0" relativeHeight="487597056" behindDoc="1" locked="0" layoutInCell="1" allowOverlap="1" wp14:anchorId="466D3940" wp14:editId="6A82F1CF">
                <wp:simplePos x="0" y="0"/>
                <wp:positionH relativeFrom="page">
                  <wp:posOffset>720090</wp:posOffset>
                </wp:positionH>
                <wp:positionV relativeFrom="paragraph">
                  <wp:posOffset>189865</wp:posOffset>
                </wp:positionV>
                <wp:extent cx="1828800" cy="6350"/>
                <wp:effectExtent l="0" t="0" r="0" b="0"/>
                <wp:wrapTopAndBottom/>
                <wp:docPr id="40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8A2CD" id="docshape24" o:spid="_x0000_s1026" style="position:absolute;margin-left:56.7pt;margin-top:14.95pt;width:2in;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" fillcolor="black" stroked="f">
                <w10:wrap type="topAndBottom" anchorx="page"/>
              </v:rect>
            </w:pict>
          </mc:Fallback>
        </mc:AlternateContent>
      </w:r>
    </w:p>
    <w:p w14:paraId="00C8B6C7" w14:textId="77777777" w:rsidR="00141B97" w:rsidRDefault="00141B97">
      <w:pPr>
        <w:pStyle w:val="BodyText"/>
        <w:spacing w:before="1"/>
        <w:rPr>
          <w:sz w:val="9"/>
        </w:rPr>
      </w:pPr>
    </w:p>
    <w:p w14:paraId="2F18AB1D" w14:textId="77777777" w:rsidR="00141B97" w:rsidRDefault="00911D63">
      <w:pPr>
        <w:spacing w:before="74"/>
        <w:ind w:left="154"/>
        <w:rPr>
          <w:sz w:val="14"/>
        </w:rPr>
      </w:pPr>
      <w:r>
        <w:rPr>
          <w:position w:val="4"/>
          <w:sz w:val="9"/>
        </w:rPr>
        <w:t>1</w:t>
      </w:r>
      <w:r>
        <w:rPr>
          <w:spacing w:val="7"/>
          <w:position w:val="4"/>
          <w:sz w:val="9"/>
        </w:rPr>
        <w:t xml:space="preserve"> </w:t>
      </w:r>
      <w:r>
        <w:rPr>
          <w:sz w:val="14"/>
        </w:rPr>
        <w:t>LMW</w:t>
      </w:r>
      <w:r>
        <w:rPr>
          <w:spacing w:val="-3"/>
          <w:sz w:val="14"/>
        </w:rPr>
        <w:t xml:space="preserve"> </w:t>
      </w:r>
      <w:r>
        <w:rPr>
          <w:sz w:val="14"/>
        </w:rPr>
        <w:t>Communication</w:t>
      </w:r>
      <w:r>
        <w:rPr>
          <w:spacing w:val="-4"/>
          <w:sz w:val="14"/>
        </w:rPr>
        <w:t xml:space="preserve"> </w:t>
      </w:r>
      <w:r>
        <w:rPr>
          <w:sz w:val="14"/>
        </w:rPr>
        <w:t>and</w:t>
      </w:r>
      <w:r>
        <w:rPr>
          <w:spacing w:val="-3"/>
          <w:sz w:val="14"/>
        </w:rPr>
        <w:t xml:space="preserve"> </w:t>
      </w:r>
      <w:r>
        <w:rPr>
          <w:sz w:val="14"/>
        </w:rPr>
        <w:t>Stakeholder</w:t>
      </w:r>
      <w:r>
        <w:rPr>
          <w:spacing w:val="-4"/>
          <w:sz w:val="14"/>
        </w:rPr>
        <w:t xml:space="preserve"> </w:t>
      </w:r>
      <w:r>
        <w:rPr>
          <w:sz w:val="14"/>
        </w:rPr>
        <w:t>Engagement</w:t>
      </w:r>
      <w:r>
        <w:rPr>
          <w:spacing w:val="-4"/>
          <w:sz w:val="14"/>
        </w:rPr>
        <w:t xml:space="preserve"> </w:t>
      </w:r>
      <w:r>
        <w:rPr>
          <w:spacing w:val="-2"/>
          <w:sz w:val="14"/>
        </w:rPr>
        <w:t>Framework</w:t>
      </w:r>
    </w:p>
    <w:p w14:paraId="60694190" w14:textId="77777777" w:rsidR="00141B97" w:rsidRDefault="00911D63">
      <w:pPr>
        <w:spacing w:before="100"/>
        <w:ind w:left="154"/>
        <w:rPr>
          <w:sz w:val="14"/>
        </w:rPr>
      </w:pPr>
      <w:r>
        <w:rPr>
          <w:position w:val="4"/>
          <w:sz w:val="9"/>
        </w:rPr>
        <w:t>2</w:t>
      </w:r>
      <w:r>
        <w:rPr>
          <w:spacing w:val="7"/>
          <w:position w:val="4"/>
          <w:sz w:val="9"/>
        </w:rPr>
        <w:t xml:space="preserve"> </w:t>
      </w:r>
      <w:r>
        <w:rPr>
          <w:sz w:val="14"/>
        </w:rPr>
        <w:t>LMW</w:t>
      </w:r>
      <w:r>
        <w:rPr>
          <w:spacing w:val="-3"/>
          <w:sz w:val="14"/>
        </w:rPr>
        <w:t xml:space="preserve"> </w:t>
      </w:r>
      <w:r>
        <w:rPr>
          <w:sz w:val="14"/>
        </w:rPr>
        <w:t>Communication</w:t>
      </w:r>
      <w:r>
        <w:rPr>
          <w:spacing w:val="-4"/>
          <w:sz w:val="14"/>
        </w:rPr>
        <w:t xml:space="preserve"> </w:t>
      </w:r>
      <w:r>
        <w:rPr>
          <w:sz w:val="14"/>
        </w:rPr>
        <w:t>and</w:t>
      </w:r>
      <w:r>
        <w:rPr>
          <w:spacing w:val="-3"/>
          <w:sz w:val="14"/>
        </w:rPr>
        <w:t xml:space="preserve"> </w:t>
      </w:r>
      <w:r>
        <w:rPr>
          <w:sz w:val="14"/>
        </w:rPr>
        <w:t>Stakeholder</w:t>
      </w:r>
      <w:r>
        <w:rPr>
          <w:spacing w:val="-4"/>
          <w:sz w:val="14"/>
        </w:rPr>
        <w:t xml:space="preserve"> </w:t>
      </w:r>
      <w:r>
        <w:rPr>
          <w:sz w:val="14"/>
        </w:rPr>
        <w:t>Engagement</w:t>
      </w:r>
      <w:r>
        <w:rPr>
          <w:spacing w:val="-4"/>
          <w:sz w:val="14"/>
        </w:rPr>
        <w:t xml:space="preserve"> </w:t>
      </w:r>
      <w:r>
        <w:rPr>
          <w:spacing w:val="-2"/>
          <w:sz w:val="14"/>
        </w:rPr>
        <w:t>Strategy</w:t>
      </w:r>
    </w:p>
    <w:p w14:paraId="41052856" w14:textId="77777777" w:rsidR="00141B97" w:rsidRDefault="00911D63">
      <w:pPr>
        <w:spacing w:before="100"/>
        <w:ind w:left="154"/>
        <w:rPr>
          <w:sz w:val="14"/>
        </w:rPr>
      </w:pPr>
      <w:r>
        <w:rPr>
          <w:position w:val="4"/>
          <w:sz w:val="9"/>
        </w:rPr>
        <w:t>3</w:t>
      </w:r>
      <w:r>
        <w:rPr>
          <w:spacing w:val="7"/>
          <w:position w:val="4"/>
          <w:sz w:val="9"/>
        </w:rPr>
        <w:t xml:space="preserve"> </w:t>
      </w:r>
      <w:r>
        <w:rPr>
          <w:sz w:val="14"/>
        </w:rPr>
        <w:t>LMW</w:t>
      </w:r>
      <w:r>
        <w:rPr>
          <w:spacing w:val="-3"/>
          <w:sz w:val="14"/>
        </w:rPr>
        <w:t xml:space="preserve"> </w:t>
      </w:r>
      <w:r>
        <w:rPr>
          <w:sz w:val="14"/>
        </w:rPr>
        <w:t>Communication</w:t>
      </w:r>
      <w:r>
        <w:rPr>
          <w:spacing w:val="-4"/>
          <w:sz w:val="14"/>
        </w:rPr>
        <w:t xml:space="preserve"> </w:t>
      </w:r>
      <w:r>
        <w:rPr>
          <w:sz w:val="14"/>
        </w:rPr>
        <w:t>and</w:t>
      </w:r>
      <w:r>
        <w:rPr>
          <w:spacing w:val="-3"/>
          <w:sz w:val="14"/>
        </w:rPr>
        <w:t xml:space="preserve"> </w:t>
      </w:r>
      <w:r>
        <w:rPr>
          <w:sz w:val="14"/>
        </w:rPr>
        <w:t>Stakeholder</w:t>
      </w:r>
      <w:r>
        <w:rPr>
          <w:spacing w:val="-4"/>
          <w:sz w:val="14"/>
        </w:rPr>
        <w:t xml:space="preserve"> </w:t>
      </w:r>
      <w:r>
        <w:rPr>
          <w:sz w:val="14"/>
        </w:rPr>
        <w:t>Engagement</w:t>
      </w:r>
      <w:r>
        <w:rPr>
          <w:spacing w:val="-4"/>
          <w:sz w:val="14"/>
        </w:rPr>
        <w:t xml:space="preserve"> </w:t>
      </w:r>
      <w:r>
        <w:rPr>
          <w:spacing w:val="-2"/>
          <w:sz w:val="14"/>
        </w:rPr>
        <w:t>Toolkit</w:t>
      </w:r>
    </w:p>
    <w:p w14:paraId="7DE94680" w14:textId="77777777" w:rsidR="00141B97" w:rsidRDefault="00141B97">
      <w:pPr>
        <w:rPr>
          <w:sz w:val="14"/>
        </w:rPr>
        <w:sectPr w:rsidR="00141B97">
          <w:pgSz w:w="11910" w:h="16840"/>
          <w:pgMar w:top="860" w:right="740" w:bottom="1120" w:left="980" w:header="0" w:footer="896" w:gutter="0"/>
          <w:cols w:space="720"/>
        </w:sectPr>
      </w:pPr>
    </w:p>
    <w:p w14:paraId="7942A5D7" w14:textId="77777777" w:rsidR="00141B97" w:rsidRDefault="00911D63">
      <w:pPr>
        <w:pStyle w:val="BodyText"/>
        <w:spacing w:before="31"/>
        <w:ind w:left="153" w:right="248"/>
        <w:jc w:val="both"/>
      </w:pPr>
      <w:r>
        <w:lastRenderedPageBreak/>
        <w:t>LMW has proactively utilised the development and implementation of its customer engagement program for PS5 as a vehicle to further build maturity and internal capacity, and to embed the Communication and Stakeholder Engagement Framework across its business, minimising the need for a significant step‐change relating to engagement in the preparation for Price Submission 6 (2028‐33).</w:t>
      </w:r>
    </w:p>
    <w:p w14:paraId="0CE1275D" w14:textId="77777777" w:rsidR="00141B97" w:rsidRDefault="00141B97">
      <w:pPr>
        <w:pStyle w:val="BodyText"/>
        <w:spacing w:before="1"/>
        <w:rPr>
          <w:sz w:val="31"/>
        </w:rPr>
      </w:pPr>
    </w:p>
    <w:p w14:paraId="34AFD0CF" w14:textId="77777777" w:rsidR="00141B97" w:rsidRDefault="00911D63">
      <w:pPr>
        <w:pStyle w:val="Heading2"/>
        <w:numPr>
          <w:ilvl w:val="1"/>
          <w:numId w:val="113"/>
        </w:numPr>
        <w:tabs>
          <w:tab w:val="left" w:pos="1152"/>
          <w:tab w:val="left" w:pos="1153"/>
        </w:tabs>
      </w:pPr>
      <w:bookmarkStart w:id="5" w:name="_TOC_250022"/>
      <w:r>
        <w:rPr>
          <w:color w:val="009BAC"/>
        </w:rPr>
        <w:t>Customer</w:t>
      </w:r>
      <w:r>
        <w:rPr>
          <w:color w:val="009BAC"/>
          <w:spacing w:val="-10"/>
        </w:rPr>
        <w:t xml:space="preserve"> </w:t>
      </w:r>
      <w:r>
        <w:rPr>
          <w:color w:val="009BAC"/>
        </w:rPr>
        <w:t>Engagement</w:t>
      </w:r>
      <w:r>
        <w:rPr>
          <w:color w:val="009BAC"/>
          <w:spacing w:val="-8"/>
        </w:rPr>
        <w:t xml:space="preserve"> </w:t>
      </w:r>
      <w:r>
        <w:rPr>
          <w:color w:val="009BAC"/>
        </w:rPr>
        <w:t>Alignment</w:t>
      </w:r>
      <w:r>
        <w:rPr>
          <w:color w:val="009BAC"/>
          <w:spacing w:val="-8"/>
        </w:rPr>
        <w:t xml:space="preserve"> </w:t>
      </w:r>
      <w:r>
        <w:rPr>
          <w:color w:val="009BAC"/>
        </w:rPr>
        <w:t>with</w:t>
      </w:r>
      <w:r>
        <w:rPr>
          <w:color w:val="009BAC"/>
          <w:spacing w:val="-10"/>
        </w:rPr>
        <w:t xml:space="preserve"> </w:t>
      </w:r>
      <w:r>
        <w:rPr>
          <w:color w:val="009BAC"/>
        </w:rPr>
        <w:t>PS5</w:t>
      </w:r>
      <w:r>
        <w:rPr>
          <w:color w:val="009BAC"/>
          <w:spacing w:val="-8"/>
        </w:rPr>
        <w:t xml:space="preserve"> </w:t>
      </w:r>
      <w:bookmarkEnd w:id="5"/>
      <w:r>
        <w:rPr>
          <w:color w:val="009BAC"/>
          <w:spacing w:val="-2"/>
        </w:rPr>
        <w:t>Preparation</w:t>
      </w:r>
    </w:p>
    <w:p w14:paraId="57EA6D9D" w14:textId="77777777" w:rsidR="00141B97" w:rsidRDefault="00911D63">
      <w:pPr>
        <w:pStyle w:val="BodyText"/>
        <w:spacing w:before="121"/>
        <w:ind w:left="153" w:right="245"/>
        <w:jc w:val="both"/>
      </w:pPr>
      <w:r>
        <w:t>Preparation and planning for PS5 engagement activity was undertaken in mid‐2021, taking into consideration the</w:t>
      </w:r>
      <w:r>
        <w:rPr>
          <w:spacing w:val="-7"/>
        </w:rPr>
        <w:t xml:space="preserve"> </w:t>
      </w:r>
      <w:r>
        <w:t>funding,</w:t>
      </w:r>
      <w:r>
        <w:rPr>
          <w:spacing w:val="-7"/>
        </w:rPr>
        <w:t xml:space="preserve"> </w:t>
      </w:r>
      <w:r>
        <w:t>resources,</w:t>
      </w:r>
      <w:r>
        <w:rPr>
          <w:spacing w:val="-7"/>
        </w:rPr>
        <w:t xml:space="preserve"> </w:t>
      </w:r>
      <w:r>
        <w:t>and</w:t>
      </w:r>
      <w:r>
        <w:rPr>
          <w:spacing w:val="-6"/>
        </w:rPr>
        <w:t xml:space="preserve"> </w:t>
      </w:r>
      <w:r>
        <w:t>key</w:t>
      </w:r>
      <w:r>
        <w:rPr>
          <w:spacing w:val="-6"/>
        </w:rPr>
        <w:t xml:space="preserve"> </w:t>
      </w:r>
      <w:r>
        <w:t>deadlines</w:t>
      </w:r>
      <w:r>
        <w:rPr>
          <w:spacing w:val="-7"/>
        </w:rPr>
        <w:t xml:space="preserve"> </w:t>
      </w:r>
      <w:r>
        <w:t>required</w:t>
      </w:r>
      <w:r>
        <w:rPr>
          <w:spacing w:val="-6"/>
        </w:rPr>
        <w:t xml:space="preserve"> </w:t>
      </w:r>
      <w:r>
        <w:t>to</w:t>
      </w:r>
      <w:r>
        <w:rPr>
          <w:spacing w:val="-6"/>
        </w:rPr>
        <w:t xml:space="preserve"> </w:t>
      </w:r>
      <w:r>
        <w:t>deliver</w:t>
      </w:r>
      <w:r>
        <w:rPr>
          <w:spacing w:val="-6"/>
        </w:rPr>
        <w:t xml:space="preserve"> </w:t>
      </w:r>
      <w:r>
        <w:t>a</w:t>
      </w:r>
      <w:r>
        <w:rPr>
          <w:spacing w:val="-7"/>
        </w:rPr>
        <w:t xml:space="preserve"> </w:t>
      </w:r>
      <w:r>
        <w:t>robust</w:t>
      </w:r>
      <w:r>
        <w:rPr>
          <w:spacing w:val="-7"/>
        </w:rPr>
        <w:t xml:space="preserve"> </w:t>
      </w:r>
      <w:r>
        <w:t>engagement</w:t>
      </w:r>
      <w:r>
        <w:rPr>
          <w:spacing w:val="-7"/>
        </w:rPr>
        <w:t xml:space="preserve"> </w:t>
      </w:r>
      <w:r>
        <w:t>experience</w:t>
      </w:r>
      <w:r>
        <w:rPr>
          <w:spacing w:val="-6"/>
        </w:rPr>
        <w:t xml:space="preserve"> </w:t>
      </w:r>
      <w:r>
        <w:t>for</w:t>
      </w:r>
      <w:r>
        <w:rPr>
          <w:spacing w:val="-7"/>
        </w:rPr>
        <w:t xml:space="preserve"> </w:t>
      </w:r>
      <w:r>
        <w:t>customers.</w:t>
      </w:r>
      <w:r>
        <w:rPr>
          <w:spacing w:val="-6"/>
        </w:rPr>
        <w:t xml:space="preserve"> </w:t>
      </w:r>
      <w:r>
        <w:t>A four‐stage, deliberative</w:t>
      </w:r>
      <w:r>
        <w:rPr>
          <w:spacing w:val="-1"/>
        </w:rPr>
        <w:t xml:space="preserve"> </w:t>
      </w:r>
      <w:r>
        <w:t>and iterative program was developed to build PS5 customer outcomes and price paths and</w:t>
      </w:r>
      <w:r>
        <w:rPr>
          <w:spacing w:val="-9"/>
        </w:rPr>
        <w:t xml:space="preserve"> </w:t>
      </w:r>
      <w:r>
        <w:t>utilised</w:t>
      </w:r>
      <w:r>
        <w:rPr>
          <w:spacing w:val="-9"/>
        </w:rPr>
        <w:t xml:space="preserve"> </w:t>
      </w:r>
      <w:r>
        <w:t>a</w:t>
      </w:r>
      <w:r>
        <w:rPr>
          <w:spacing w:val="-8"/>
        </w:rPr>
        <w:t xml:space="preserve"> </w:t>
      </w:r>
      <w:r>
        <w:t>range</w:t>
      </w:r>
      <w:r>
        <w:rPr>
          <w:spacing w:val="-8"/>
        </w:rPr>
        <w:t xml:space="preserve"> </w:t>
      </w:r>
      <w:r>
        <w:t>of</w:t>
      </w:r>
      <w:r>
        <w:rPr>
          <w:spacing w:val="-10"/>
        </w:rPr>
        <w:t xml:space="preserve"> </w:t>
      </w:r>
      <w:r>
        <w:t>both</w:t>
      </w:r>
      <w:r>
        <w:rPr>
          <w:spacing w:val="-9"/>
        </w:rPr>
        <w:t xml:space="preserve"> </w:t>
      </w:r>
      <w:r>
        <w:t>quantitative</w:t>
      </w:r>
      <w:r>
        <w:rPr>
          <w:spacing w:val="-9"/>
        </w:rPr>
        <w:t xml:space="preserve"> </w:t>
      </w:r>
      <w:r>
        <w:t>methods</w:t>
      </w:r>
      <w:r>
        <w:rPr>
          <w:spacing w:val="-9"/>
        </w:rPr>
        <w:t xml:space="preserve"> </w:t>
      </w:r>
      <w:r>
        <w:t>such</w:t>
      </w:r>
      <w:r>
        <w:rPr>
          <w:spacing w:val="-11"/>
        </w:rPr>
        <w:t xml:space="preserve"> </w:t>
      </w:r>
      <w:r>
        <w:t>as</w:t>
      </w:r>
      <w:r>
        <w:rPr>
          <w:spacing w:val="-9"/>
        </w:rPr>
        <w:t xml:space="preserve"> </w:t>
      </w:r>
      <w:r>
        <w:t>surveys</w:t>
      </w:r>
      <w:r>
        <w:rPr>
          <w:spacing w:val="-9"/>
        </w:rPr>
        <w:t xml:space="preserve"> </w:t>
      </w:r>
      <w:r>
        <w:t>and</w:t>
      </w:r>
      <w:r>
        <w:rPr>
          <w:spacing w:val="-10"/>
        </w:rPr>
        <w:t xml:space="preserve"> </w:t>
      </w:r>
      <w:r>
        <w:t>qualitative</w:t>
      </w:r>
      <w:r>
        <w:rPr>
          <w:spacing w:val="-10"/>
        </w:rPr>
        <w:t xml:space="preserve"> </w:t>
      </w:r>
      <w:r>
        <w:t>methods</w:t>
      </w:r>
      <w:r>
        <w:rPr>
          <w:spacing w:val="-9"/>
        </w:rPr>
        <w:t xml:space="preserve"> </w:t>
      </w:r>
      <w:r>
        <w:t>including</w:t>
      </w:r>
      <w:r>
        <w:rPr>
          <w:spacing w:val="-9"/>
        </w:rPr>
        <w:t xml:space="preserve"> </w:t>
      </w:r>
      <w:r>
        <w:t>community engagement, deliberative panels, on‐farm and in‐field activities, as well as one‐on‐one approaches to derive authentic customer feedback from both urban and rural customers, resulting in over 75 touchpoints of engagement activity in the development of PS5.</w:t>
      </w:r>
    </w:p>
    <w:p w14:paraId="577C06C3" w14:textId="77777777" w:rsidR="00141B97" w:rsidRDefault="00141B97">
      <w:pPr>
        <w:pStyle w:val="BodyText"/>
        <w:spacing w:before="12"/>
        <w:rPr>
          <w:sz w:val="21"/>
        </w:rPr>
      </w:pPr>
    </w:p>
    <w:p w14:paraId="4C1C41CD" w14:textId="77777777" w:rsidR="00141B97" w:rsidRDefault="00911D63">
      <w:pPr>
        <w:pStyle w:val="BodyText"/>
        <w:ind w:left="154" w:right="248" w:hanging="1"/>
        <w:jc w:val="both"/>
      </w:pPr>
      <w:r>
        <w:t>The engagement program sought to ensure that engagement was both relevant and accessible to customers and designed to achieve the following:</w:t>
      </w:r>
    </w:p>
    <w:p w14:paraId="731542F1" w14:textId="77777777" w:rsidR="00141B97" w:rsidRDefault="00911D63">
      <w:pPr>
        <w:pStyle w:val="ListParagraph"/>
        <w:numPr>
          <w:ilvl w:val="0"/>
          <w:numId w:val="107"/>
        </w:numPr>
        <w:tabs>
          <w:tab w:val="left" w:pos="874"/>
        </w:tabs>
        <w:ind w:left="873" w:right="247"/>
        <w:jc w:val="both"/>
      </w:pPr>
      <w:r>
        <w:t>Wide‐reaching</w:t>
      </w:r>
      <w:r>
        <w:rPr>
          <w:spacing w:val="-13"/>
        </w:rPr>
        <w:t xml:space="preserve"> </w:t>
      </w:r>
      <w:r>
        <w:t>engagement</w:t>
      </w:r>
      <w:r>
        <w:rPr>
          <w:spacing w:val="-12"/>
        </w:rPr>
        <w:t xml:space="preserve"> </w:t>
      </w:r>
      <w:r>
        <w:t>to</w:t>
      </w:r>
      <w:r>
        <w:rPr>
          <w:spacing w:val="-13"/>
        </w:rPr>
        <w:t xml:space="preserve"> </w:t>
      </w:r>
      <w:r>
        <w:t>reflect</w:t>
      </w:r>
      <w:r>
        <w:rPr>
          <w:spacing w:val="-12"/>
        </w:rPr>
        <w:t xml:space="preserve"> </w:t>
      </w:r>
      <w:r>
        <w:t>a</w:t>
      </w:r>
      <w:r>
        <w:rPr>
          <w:spacing w:val="-13"/>
        </w:rPr>
        <w:t xml:space="preserve"> </w:t>
      </w:r>
      <w:r>
        <w:t>representative</w:t>
      </w:r>
      <w:r>
        <w:rPr>
          <w:spacing w:val="-12"/>
        </w:rPr>
        <w:t xml:space="preserve"> </w:t>
      </w:r>
      <w:r>
        <w:t>segment</w:t>
      </w:r>
      <w:r>
        <w:rPr>
          <w:spacing w:val="-13"/>
        </w:rPr>
        <w:t xml:space="preserve"> </w:t>
      </w:r>
      <w:r>
        <w:t>of</w:t>
      </w:r>
      <w:r>
        <w:rPr>
          <w:spacing w:val="-12"/>
        </w:rPr>
        <w:t xml:space="preserve"> </w:t>
      </w:r>
      <w:r>
        <w:t>customers,</w:t>
      </w:r>
      <w:r>
        <w:rPr>
          <w:spacing w:val="-12"/>
        </w:rPr>
        <w:t xml:space="preserve"> </w:t>
      </w:r>
      <w:r>
        <w:t>providing</w:t>
      </w:r>
      <w:r>
        <w:rPr>
          <w:spacing w:val="-13"/>
        </w:rPr>
        <w:t xml:space="preserve"> </w:t>
      </w:r>
      <w:r>
        <w:t>customers</w:t>
      </w:r>
      <w:r>
        <w:rPr>
          <w:spacing w:val="-12"/>
        </w:rPr>
        <w:t xml:space="preserve"> </w:t>
      </w:r>
      <w:r>
        <w:t>with a deeper understanding of the business, and utilising insights that enabled innovative outcomes to be developed with customers</w:t>
      </w:r>
    </w:p>
    <w:p w14:paraId="11B5FFDB" w14:textId="77777777" w:rsidR="00141B97" w:rsidRDefault="00911D63">
      <w:pPr>
        <w:pStyle w:val="ListParagraph"/>
        <w:numPr>
          <w:ilvl w:val="0"/>
          <w:numId w:val="107"/>
        </w:numPr>
        <w:tabs>
          <w:tab w:val="left" w:pos="874"/>
        </w:tabs>
        <w:ind w:right="248" w:hanging="361"/>
        <w:jc w:val="both"/>
      </w:pPr>
      <w:r>
        <w:t>Agile and flexible approach that evolved in an iterative manner building upon new information and accommodating an ever‐changing COVID‐19 environment</w:t>
      </w:r>
    </w:p>
    <w:p w14:paraId="0E25220B" w14:textId="77777777" w:rsidR="00141B97" w:rsidRDefault="00911D63">
      <w:pPr>
        <w:pStyle w:val="ListParagraph"/>
        <w:numPr>
          <w:ilvl w:val="0"/>
          <w:numId w:val="107"/>
        </w:numPr>
        <w:tabs>
          <w:tab w:val="left" w:pos="874"/>
        </w:tabs>
        <w:spacing w:line="280" w:lineRule="exact"/>
        <w:ind w:left="873" w:hanging="361"/>
        <w:jc w:val="both"/>
      </w:pPr>
      <w:r>
        <w:t>Engagement</w:t>
      </w:r>
      <w:r>
        <w:rPr>
          <w:spacing w:val="-8"/>
        </w:rPr>
        <w:t xml:space="preserve"> </w:t>
      </w:r>
      <w:r>
        <w:t>that</w:t>
      </w:r>
      <w:r>
        <w:rPr>
          <w:spacing w:val="-7"/>
        </w:rPr>
        <w:t xml:space="preserve"> </w:t>
      </w:r>
      <w:r>
        <w:t>leveraged</w:t>
      </w:r>
      <w:r>
        <w:rPr>
          <w:spacing w:val="-10"/>
        </w:rPr>
        <w:t xml:space="preserve"> </w:t>
      </w:r>
      <w:r>
        <w:t>the</w:t>
      </w:r>
      <w:r>
        <w:rPr>
          <w:spacing w:val="-9"/>
        </w:rPr>
        <w:t xml:space="preserve"> </w:t>
      </w:r>
      <w:r>
        <w:t>work</w:t>
      </w:r>
      <w:r>
        <w:rPr>
          <w:spacing w:val="-7"/>
        </w:rPr>
        <w:t xml:space="preserve"> </w:t>
      </w:r>
      <w:r>
        <w:t>and</w:t>
      </w:r>
      <w:r>
        <w:rPr>
          <w:spacing w:val="-9"/>
        </w:rPr>
        <w:t xml:space="preserve"> </w:t>
      </w:r>
      <w:r>
        <w:t>learnings</w:t>
      </w:r>
      <w:r>
        <w:rPr>
          <w:spacing w:val="-9"/>
        </w:rPr>
        <w:t xml:space="preserve"> </w:t>
      </w:r>
      <w:r>
        <w:t>from</w:t>
      </w:r>
      <w:r>
        <w:rPr>
          <w:spacing w:val="-7"/>
        </w:rPr>
        <w:t xml:space="preserve"> </w:t>
      </w:r>
      <w:r>
        <w:t>the</w:t>
      </w:r>
      <w:r>
        <w:rPr>
          <w:spacing w:val="-9"/>
        </w:rPr>
        <w:t xml:space="preserve"> </w:t>
      </w:r>
      <w:r>
        <w:t>2018</w:t>
      </w:r>
      <w:r>
        <w:rPr>
          <w:spacing w:val="-7"/>
        </w:rPr>
        <w:t xml:space="preserve"> </w:t>
      </w:r>
      <w:r>
        <w:t>Price</w:t>
      </w:r>
      <w:r>
        <w:rPr>
          <w:spacing w:val="-8"/>
        </w:rPr>
        <w:t xml:space="preserve"> </w:t>
      </w:r>
      <w:r>
        <w:t>Submission</w:t>
      </w:r>
      <w:r>
        <w:rPr>
          <w:spacing w:val="-8"/>
        </w:rPr>
        <w:t xml:space="preserve"> </w:t>
      </w:r>
      <w:r>
        <w:t>(PS4)</w:t>
      </w:r>
      <w:r>
        <w:rPr>
          <w:spacing w:val="-8"/>
        </w:rPr>
        <w:t xml:space="preserve"> </w:t>
      </w:r>
      <w:r>
        <w:rPr>
          <w:spacing w:val="-2"/>
        </w:rPr>
        <w:t>process</w:t>
      </w:r>
    </w:p>
    <w:p w14:paraId="4197BD4A" w14:textId="77777777" w:rsidR="00141B97" w:rsidRDefault="00911D63">
      <w:pPr>
        <w:pStyle w:val="ListParagraph"/>
        <w:numPr>
          <w:ilvl w:val="0"/>
          <w:numId w:val="107"/>
        </w:numPr>
        <w:tabs>
          <w:tab w:val="left" w:pos="874"/>
        </w:tabs>
        <w:ind w:left="873" w:right="244" w:hanging="361"/>
        <w:jc w:val="both"/>
      </w:pPr>
      <w:r>
        <w:t>Activity</w:t>
      </w:r>
      <w:r>
        <w:rPr>
          <w:spacing w:val="-10"/>
        </w:rPr>
        <w:t xml:space="preserve"> </w:t>
      </w:r>
      <w:r>
        <w:t>and</w:t>
      </w:r>
      <w:r>
        <w:rPr>
          <w:spacing w:val="-11"/>
        </w:rPr>
        <w:t xml:space="preserve"> </w:t>
      </w:r>
      <w:r>
        <w:t>methods</w:t>
      </w:r>
      <w:r>
        <w:rPr>
          <w:spacing w:val="-11"/>
        </w:rPr>
        <w:t xml:space="preserve"> </w:t>
      </w:r>
      <w:r>
        <w:t>that</w:t>
      </w:r>
      <w:r>
        <w:rPr>
          <w:spacing w:val="-12"/>
        </w:rPr>
        <w:t xml:space="preserve"> </w:t>
      </w:r>
      <w:r>
        <w:t>allowed</w:t>
      </w:r>
      <w:r>
        <w:rPr>
          <w:spacing w:val="-12"/>
        </w:rPr>
        <w:t xml:space="preserve"> </w:t>
      </w:r>
      <w:r>
        <w:t>for</w:t>
      </w:r>
      <w:r>
        <w:rPr>
          <w:spacing w:val="-11"/>
        </w:rPr>
        <w:t xml:space="preserve"> </w:t>
      </w:r>
      <w:r>
        <w:t>frequent</w:t>
      </w:r>
      <w:r>
        <w:rPr>
          <w:spacing w:val="-11"/>
        </w:rPr>
        <w:t xml:space="preserve"> </w:t>
      </w:r>
      <w:r>
        <w:t>sense‐checking</w:t>
      </w:r>
      <w:r>
        <w:rPr>
          <w:spacing w:val="-10"/>
        </w:rPr>
        <w:t xml:space="preserve"> </w:t>
      </w:r>
      <w:r>
        <w:t>and</w:t>
      </w:r>
      <w:r>
        <w:rPr>
          <w:spacing w:val="-11"/>
        </w:rPr>
        <w:t xml:space="preserve"> </w:t>
      </w:r>
      <w:r>
        <w:t>testing</w:t>
      </w:r>
      <w:r>
        <w:rPr>
          <w:spacing w:val="-11"/>
        </w:rPr>
        <w:t xml:space="preserve"> </w:t>
      </w:r>
      <w:r>
        <w:t>of</w:t>
      </w:r>
      <w:r>
        <w:rPr>
          <w:spacing w:val="-11"/>
        </w:rPr>
        <w:t xml:space="preserve"> </w:t>
      </w:r>
      <w:r>
        <w:t>findings</w:t>
      </w:r>
      <w:r>
        <w:rPr>
          <w:spacing w:val="-11"/>
        </w:rPr>
        <w:t xml:space="preserve"> </w:t>
      </w:r>
      <w:r>
        <w:t>through</w:t>
      </w:r>
      <w:r>
        <w:rPr>
          <w:spacing w:val="-12"/>
        </w:rPr>
        <w:t xml:space="preserve"> </w:t>
      </w:r>
      <w:r>
        <w:t>feedback loops,</w:t>
      </w:r>
      <w:r>
        <w:rPr>
          <w:spacing w:val="-2"/>
        </w:rPr>
        <w:t xml:space="preserve"> </w:t>
      </w:r>
      <w:r>
        <w:t>checkpoints,</w:t>
      </w:r>
      <w:r>
        <w:rPr>
          <w:spacing w:val="-1"/>
        </w:rPr>
        <w:t xml:space="preserve"> </w:t>
      </w:r>
      <w:r>
        <w:t>and</w:t>
      </w:r>
      <w:r>
        <w:rPr>
          <w:spacing w:val="-2"/>
        </w:rPr>
        <w:t xml:space="preserve"> </w:t>
      </w:r>
      <w:r>
        <w:t>challenges</w:t>
      </w:r>
      <w:r>
        <w:rPr>
          <w:spacing w:val="-1"/>
        </w:rPr>
        <w:t xml:space="preserve"> </w:t>
      </w:r>
      <w:r>
        <w:t>throughout</w:t>
      </w:r>
      <w:r>
        <w:rPr>
          <w:spacing w:val="-3"/>
        </w:rPr>
        <w:t xml:space="preserve"> </w:t>
      </w:r>
      <w:r>
        <w:t>to</w:t>
      </w:r>
      <w:r>
        <w:rPr>
          <w:spacing w:val="-2"/>
        </w:rPr>
        <w:t xml:space="preserve"> </w:t>
      </w:r>
      <w:r>
        <w:t>ensure</w:t>
      </w:r>
      <w:r>
        <w:rPr>
          <w:spacing w:val="-1"/>
        </w:rPr>
        <w:t xml:space="preserve"> </w:t>
      </w:r>
      <w:r>
        <w:t>learnings</w:t>
      </w:r>
      <w:r>
        <w:rPr>
          <w:spacing w:val="-2"/>
        </w:rPr>
        <w:t xml:space="preserve"> </w:t>
      </w:r>
      <w:r>
        <w:t>were</w:t>
      </w:r>
      <w:r>
        <w:rPr>
          <w:spacing w:val="-3"/>
        </w:rPr>
        <w:t xml:space="preserve"> </w:t>
      </w:r>
      <w:r>
        <w:t>captured,</w:t>
      </w:r>
      <w:r>
        <w:rPr>
          <w:spacing w:val="-2"/>
        </w:rPr>
        <w:t xml:space="preserve"> </w:t>
      </w:r>
      <w:r>
        <w:t>shared,</w:t>
      </w:r>
      <w:r>
        <w:rPr>
          <w:spacing w:val="-1"/>
        </w:rPr>
        <w:t xml:space="preserve"> </w:t>
      </w:r>
      <w:r>
        <w:t>and</w:t>
      </w:r>
      <w:r>
        <w:rPr>
          <w:spacing w:val="-2"/>
        </w:rPr>
        <w:t xml:space="preserve"> </w:t>
      </w:r>
      <w:r>
        <w:t>used</w:t>
      </w:r>
      <w:r>
        <w:rPr>
          <w:spacing w:val="-3"/>
        </w:rPr>
        <w:t xml:space="preserve"> </w:t>
      </w:r>
      <w:r>
        <w:t>to inform future activities and the development of key strategies, plans, KPIs and targets</w:t>
      </w:r>
    </w:p>
    <w:p w14:paraId="754589AF" w14:textId="77777777" w:rsidR="00141B97" w:rsidRDefault="00911D63">
      <w:pPr>
        <w:pStyle w:val="ListParagraph"/>
        <w:numPr>
          <w:ilvl w:val="0"/>
          <w:numId w:val="107"/>
        </w:numPr>
        <w:tabs>
          <w:tab w:val="left" w:pos="874"/>
        </w:tabs>
        <w:spacing w:before="1"/>
        <w:ind w:left="873" w:right="249" w:hanging="361"/>
        <w:jc w:val="both"/>
      </w:pPr>
      <w:r>
        <w:t>Evidence‐based</w:t>
      </w:r>
      <w:r>
        <w:rPr>
          <w:spacing w:val="-9"/>
        </w:rPr>
        <w:t xml:space="preserve"> </w:t>
      </w:r>
      <w:r>
        <w:t>and</w:t>
      </w:r>
      <w:r>
        <w:rPr>
          <w:spacing w:val="-9"/>
        </w:rPr>
        <w:t xml:space="preserve"> </w:t>
      </w:r>
      <w:r>
        <w:t>data‐driven</w:t>
      </w:r>
      <w:r>
        <w:rPr>
          <w:spacing w:val="-8"/>
        </w:rPr>
        <w:t xml:space="preserve"> </w:t>
      </w:r>
      <w:r>
        <w:t>information</w:t>
      </w:r>
      <w:r>
        <w:rPr>
          <w:spacing w:val="-9"/>
        </w:rPr>
        <w:t xml:space="preserve"> </w:t>
      </w:r>
      <w:r>
        <w:t>that</w:t>
      </w:r>
      <w:r>
        <w:rPr>
          <w:spacing w:val="-9"/>
        </w:rPr>
        <w:t xml:space="preserve"> </w:t>
      </w:r>
      <w:r>
        <w:t>was</w:t>
      </w:r>
      <w:r>
        <w:rPr>
          <w:spacing w:val="-7"/>
        </w:rPr>
        <w:t xml:space="preserve"> </w:t>
      </w:r>
      <w:r>
        <w:t>shared</w:t>
      </w:r>
      <w:r>
        <w:rPr>
          <w:spacing w:val="-8"/>
        </w:rPr>
        <w:t xml:space="preserve"> </w:t>
      </w:r>
      <w:r>
        <w:t>and</w:t>
      </w:r>
      <w:r>
        <w:rPr>
          <w:spacing w:val="-8"/>
        </w:rPr>
        <w:t xml:space="preserve"> </w:t>
      </w:r>
      <w:r>
        <w:t>discussed</w:t>
      </w:r>
      <w:r>
        <w:rPr>
          <w:spacing w:val="-10"/>
        </w:rPr>
        <w:t xml:space="preserve"> </w:t>
      </w:r>
      <w:r>
        <w:t>to</w:t>
      </w:r>
      <w:r>
        <w:rPr>
          <w:spacing w:val="-9"/>
        </w:rPr>
        <w:t xml:space="preserve"> </w:t>
      </w:r>
      <w:r>
        <w:t>support</w:t>
      </w:r>
      <w:r>
        <w:rPr>
          <w:spacing w:val="-10"/>
        </w:rPr>
        <w:t xml:space="preserve"> </w:t>
      </w:r>
      <w:r>
        <w:t>the</w:t>
      </w:r>
      <w:r>
        <w:rPr>
          <w:spacing w:val="-10"/>
        </w:rPr>
        <w:t xml:space="preserve"> </w:t>
      </w:r>
      <w:r>
        <w:t>collection</w:t>
      </w:r>
      <w:r>
        <w:rPr>
          <w:spacing w:val="-7"/>
        </w:rPr>
        <w:t xml:space="preserve"> </w:t>
      </w:r>
      <w:r>
        <w:t>of both qualitative and quantitative data</w:t>
      </w:r>
    </w:p>
    <w:p w14:paraId="07BFFB8F" w14:textId="77777777" w:rsidR="00141B97" w:rsidRDefault="00911D63">
      <w:pPr>
        <w:pStyle w:val="ListParagraph"/>
        <w:numPr>
          <w:ilvl w:val="0"/>
          <w:numId w:val="107"/>
        </w:numPr>
        <w:tabs>
          <w:tab w:val="left" w:pos="874"/>
        </w:tabs>
        <w:ind w:left="873" w:right="248"/>
        <w:jc w:val="both"/>
      </w:pPr>
      <w:r>
        <w:t>Transparent communication that ensured engagement loops were closed and facilitation tactics that demonstrated that customers views had been heard, especially:</w:t>
      </w:r>
    </w:p>
    <w:p w14:paraId="6B224F86" w14:textId="77777777" w:rsidR="00141B97" w:rsidRDefault="00911D63">
      <w:pPr>
        <w:pStyle w:val="BodyText"/>
        <w:tabs>
          <w:tab w:val="left" w:pos="1287"/>
        </w:tabs>
        <w:spacing w:line="268" w:lineRule="exact"/>
        <w:ind w:left="927"/>
      </w:pPr>
      <w:r>
        <w:rPr>
          <w:rFonts w:ascii="Trebuchet MS" w:hAnsi="Trebuchet MS"/>
          <w:spacing w:val="-10"/>
        </w:rPr>
        <w:t>−</w:t>
      </w:r>
      <w:r>
        <w:rPr>
          <w:rFonts w:ascii="Trebuchet MS" w:hAnsi="Trebuchet MS"/>
        </w:rPr>
        <w:tab/>
      </w:r>
      <w:r>
        <w:t>What</w:t>
      </w:r>
      <w:r>
        <w:rPr>
          <w:spacing w:val="-6"/>
        </w:rPr>
        <w:t xml:space="preserve"> </w:t>
      </w:r>
      <w:r>
        <w:t>customers</w:t>
      </w:r>
      <w:r>
        <w:rPr>
          <w:spacing w:val="-6"/>
        </w:rPr>
        <w:t xml:space="preserve"> </w:t>
      </w:r>
      <w:r>
        <w:t>are</w:t>
      </w:r>
      <w:r>
        <w:rPr>
          <w:spacing w:val="-6"/>
        </w:rPr>
        <w:t xml:space="preserve"> </w:t>
      </w:r>
      <w:r>
        <w:t>telling</w:t>
      </w:r>
      <w:r>
        <w:rPr>
          <w:spacing w:val="-5"/>
        </w:rPr>
        <w:t xml:space="preserve"> </w:t>
      </w:r>
      <w:r>
        <w:t>LMW</w:t>
      </w:r>
      <w:r>
        <w:rPr>
          <w:spacing w:val="-7"/>
        </w:rPr>
        <w:t xml:space="preserve"> </w:t>
      </w:r>
      <w:r>
        <w:t>they</w:t>
      </w:r>
      <w:r>
        <w:rPr>
          <w:spacing w:val="-7"/>
        </w:rPr>
        <w:t xml:space="preserve"> </w:t>
      </w:r>
      <w:r>
        <w:t>value</w:t>
      </w:r>
      <w:r>
        <w:rPr>
          <w:spacing w:val="-5"/>
        </w:rPr>
        <w:t xml:space="preserve"> </w:t>
      </w:r>
      <w:r>
        <w:t>and</w:t>
      </w:r>
      <w:r>
        <w:rPr>
          <w:spacing w:val="-7"/>
        </w:rPr>
        <w:t xml:space="preserve"> </w:t>
      </w:r>
      <w:r>
        <w:t>seek</w:t>
      </w:r>
      <w:r>
        <w:rPr>
          <w:spacing w:val="-5"/>
        </w:rPr>
        <w:t xml:space="preserve"> </w:t>
      </w:r>
      <w:r>
        <w:t>to</w:t>
      </w:r>
      <w:r>
        <w:rPr>
          <w:spacing w:val="-7"/>
        </w:rPr>
        <w:t xml:space="preserve"> </w:t>
      </w:r>
      <w:r>
        <w:rPr>
          <w:spacing w:val="-2"/>
        </w:rPr>
        <w:t>prioritise</w:t>
      </w:r>
    </w:p>
    <w:p w14:paraId="1E51B8D3" w14:textId="77777777" w:rsidR="00141B97" w:rsidRDefault="00911D63">
      <w:pPr>
        <w:pStyle w:val="BodyText"/>
        <w:tabs>
          <w:tab w:val="left" w:pos="1287"/>
        </w:tabs>
        <w:ind w:left="927"/>
      </w:pPr>
      <w:r>
        <w:rPr>
          <w:rFonts w:ascii="Trebuchet MS" w:hAnsi="Trebuchet MS"/>
          <w:spacing w:val="-10"/>
        </w:rPr>
        <w:t>−</w:t>
      </w:r>
      <w:r>
        <w:rPr>
          <w:rFonts w:ascii="Trebuchet MS" w:hAnsi="Trebuchet MS"/>
        </w:rPr>
        <w:tab/>
      </w:r>
      <w:r>
        <w:t>What</w:t>
      </w:r>
      <w:r>
        <w:rPr>
          <w:spacing w:val="-6"/>
        </w:rPr>
        <w:t xml:space="preserve"> </w:t>
      </w:r>
      <w:r>
        <w:t>LMW</w:t>
      </w:r>
      <w:r>
        <w:rPr>
          <w:spacing w:val="-5"/>
        </w:rPr>
        <w:t xml:space="preserve"> </w:t>
      </w:r>
      <w:r>
        <w:t>are</w:t>
      </w:r>
      <w:r>
        <w:rPr>
          <w:spacing w:val="-7"/>
        </w:rPr>
        <w:t xml:space="preserve"> </w:t>
      </w:r>
      <w:r>
        <w:rPr>
          <w:spacing w:val="-2"/>
        </w:rPr>
        <w:t>hearing</w:t>
      </w:r>
    </w:p>
    <w:p w14:paraId="402C34EB" w14:textId="77777777" w:rsidR="00141B97" w:rsidRDefault="00911D63">
      <w:pPr>
        <w:pStyle w:val="BodyText"/>
        <w:tabs>
          <w:tab w:val="left" w:pos="1287"/>
        </w:tabs>
        <w:ind w:left="927"/>
      </w:pPr>
      <w:r>
        <w:rPr>
          <w:rFonts w:ascii="Trebuchet MS" w:hAnsi="Trebuchet MS"/>
          <w:spacing w:val="-10"/>
        </w:rPr>
        <w:t>−</w:t>
      </w:r>
      <w:r>
        <w:rPr>
          <w:rFonts w:ascii="Trebuchet MS" w:hAnsi="Trebuchet MS"/>
        </w:rPr>
        <w:tab/>
      </w:r>
      <w:r>
        <w:t>How</w:t>
      </w:r>
      <w:r>
        <w:rPr>
          <w:spacing w:val="-5"/>
        </w:rPr>
        <w:t xml:space="preserve"> </w:t>
      </w:r>
      <w:r>
        <w:t>LMW</w:t>
      </w:r>
      <w:r>
        <w:rPr>
          <w:spacing w:val="-5"/>
        </w:rPr>
        <w:t xml:space="preserve"> </w:t>
      </w:r>
      <w:r>
        <w:t>are</w:t>
      </w:r>
      <w:r>
        <w:rPr>
          <w:spacing w:val="-6"/>
        </w:rPr>
        <w:t xml:space="preserve"> </w:t>
      </w:r>
      <w:r>
        <w:rPr>
          <w:spacing w:val="-2"/>
        </w:rPr>
        <w:t>responding</w:t>
      </w:r>
    </w:p>
    <w:p w14:paraId="7AF6F309" w14:textId="77777777" w:rsidR="00141B97" w:rsidRDefault="00141B97">
      <w:pPr>
        <w:pStyle w:val="BodyText"/>
        <w:rPr>
          <w:sz w:val="24"/>
        </w:rPr>
      </w:pPr>
    </w:p>
    <w:p w14:paraId="6ED68E09" w14:textId="77777777" w:rsidR="00141B97" w:rsidRDefault="00911D63">
      <w:pPr>
        <w:pStyle w:val="BodyText"/>
        <w:ind w:left="153" w:right="247"/>
        <w:jc w:val="both"/>
      </w:pPr>
      <w:r>
        <w:t>LMW acknowledges that identifying and engaging with a representative sample from a population of 75,000 people</w:t>
      </w:r>
      <w:r>
        <w:rPr>
          <w:spacing w:val="-9"/>
        </w:rPr>
        <w:t xml:space="preserve"> </w:t>
      </w:r>
      <w:r>
        <w:t>across</w:t>
      </w:r>
      <w:r>
        <w:rPr>
          <w:spacing w:val="-7"/>
        </w:rPr>
        <w:t xml:space="preserve"> </w:t>
      </w:r>
      <w:r>
        <w:t>a</w:t>
      </w:r>
      <w:r>
        <w:rPr>
          <w:spacing w:val="-8"/>
        </w:rPr>
        <w:t xml:space="preserve"> </w:t>
      </w:r>
      <w:r>
        <w:t>service</w:t>
      </w:r>
      <w:r>
        <w:rPr>
          <w:spacing w:val="-8"/>
        </w:rPr>
        <w:t xml:space="preserve"> </w:t>
      </w:r>
      <w:r>
        <w:t>region</w:t>
      </w:r>
      <w:r>
        <w:rPr>
          <w:spacing w:val="-8"/>
        </w:rPr>
        <w:t xml:space="preserve"> </w:t>
      </w:r>
      <w:r>
        <w:t>spanning</w:t>
      </w:r>
      <w:r>
        <w:rPr>
          <w:spacing w:val="-8"/>
        </w:rPr>
        <w:t xml:space="preserve"> </w:t>
      </w:r>
      <w:r>
        <w:t>three</w:t>
      </w:r>
      <w:r>
        <w:rPr>
          <w:spacing w:val="-9"/>
        </w:rPr>
        <w:t xml:space="preserve"> </w:t>
      </w:r>
      <w:r>
        <w:t>municipalities</w:t>
      </w:r>
      <w:r>
        <w:rPr>
          <w:spacing w:val="-8"/>
        </w:rPr>
        <w:t xml:space="preserve"> </w:t>
      </w:r>
      <w:r>
        <w:t>and</w:t>
      </w:r>
      <w:r>
        <w:rPr>
          <w:spacing w:val="-7"/>
        </w:rPr>
        <w:t xml:space="preserve"> </w:t>
      </w:r>
      <w:r>
        <w:t>encompassing</w:t>
      </w:r>
      <w:r>
        <w:rPr>
          <w:spacing w:val="-7"/>
        </w:rPr>
        <w:t xml:space="preserve"> </w:t>
      </w:r>
      <w:r>
        <w:t>both</w:t>
      </w:r>
      <w:r>
        <w:rPr>
          <w:spacing w:val="-8"/>
        </w:rPr>
        <w:t xml:space="preserve"> </w:t>
      </w:r>
      <w:r>
        <w:t>urban</w:t>
      </w:r>
      <w:r>
        <w:rPr>
          <w:spacing w:val="-7"/>
        </w:rPr>
        <w:t xml:space="preserve"> </w:t>
      </w:r>
      <w:r>
        <w:t>and</w:t>
      </w:r>
      <w:r>
        <w:rPr>
          <w:spacing w:val="-8"/>
        </w:rPr>
        <w:t xml:space="preserve"> </w:t>
      </w:r>
      <w:r>
        <w:t>rural</w:t>
      </w:r>
      <w:r>
        <w:rPr>
          <w:spacing w:val="-9"/>
        </w:rPr>
        <w:t xml:space="preserve"> </w:t>
      </w:r>
      <w:r>
        <w:t>customers is a significant challenge, especially during a global pandemic. To address this challenge, LMW engaged the expertise of communication and engagement specialists, Aurecon, to support and facilitate a four‐stage engagement</w:t>
      </w:r>
      <w:r>
        <w:rPr>
          <w:spacing w:val="-7"/>
        </w:rPr>
        <w:t xml:space="preserve"> </w:t>
      </w:r>
      <w:r>
        <w:t>approach</w:t>
      </w:r>
      <w:r>
        <w:rPr>
          <w:spacing w:val="-7"/>
        </w:rPr>
        <w:t xml:space="preserve"> </w:t>
      </w:r>
      <w:r>
        <w:t>that</w:t>
      </w:r>
      <w:r>
        <w:rPr>
          <w:spacing w:val="-8"/>
        </w:rPr>
        <w:t xml:space="preserve"> </w:t>
      </w:r>
      <w:r>
        <w:t>was</w:t>
      </w:r>
      <w:r>
        <w:rPr>
          <w:spacing w:val="-6"/>
        </w:rPr>
        <w:t xml:space="preserve"> </w:t>
      </w:r>
      <w:r>
        <w:t>tailored</w:t>
      </w:r>
      <w:r>
        <w:rPr>
          <w:spacing w:val="-7"/>
        </w:rPr>
        <w:t xml:space="preserve"> </w:t>
      </w:r>
      <w:r>
        <w:t>specifically</w:t>
      </w:r>
      <w:r>
        <w:rPr>
          <w:spacing w:val="-6"/>
        </w:rPr>
        <w:t xml:space="preserve"> </w:t>
      </w:r>
      <w:r>
        <w:t>to</w:t>
      </w:r>
      <w:r>
        <w:rPr>
          <w:spacing w:val="-7"/>
        </w:rPr>
        <w:t xml:space="preserve"> </w:t>
      </w:r>
      <w:r>
        <w:t>ensure</w:t>
      </w:r>
      <w:r>
        <w:rPr>
          <w:spacing w:val="-7"/>
        </w:rPr>
        <w:t xml:space="preserve"> </w:t>
      </w:r>
      <w:r>
        <w:t>LMW</w:t>
      </w:r>
      <w:r>
        <w:rPr>
          <w:spacing w:val="-7"/>
        </w:rPr>
        <w:t xml:space="preserve"> </w:t>
      </w:r>
      <w:r>
        <w:t>did</w:t>
      </w:r>
      <w:r>
        <w:rPr>
          <w:spacing w:val="-7"/>
        </w:rPr>
        <w:t xml:space="preserve"> </w:t>
      </w:r>
      <w:r>
        <w:t>not</w:t>
      </w:r>
      <w:r>
        <w:rPr>
          <w:spacing w:val="-7"/>
        </w:rPr>
        <w:t xml:space="preserve"> </w:t>
      </w:r>
      <w:r>
        <w:t>make</w:t>
      </w:r>
      <w:r>
        <w:rPr>
          <w:spacing w:val="-7"/>
        </w:rPr>
        <w:t xml:space="preserve"> </w:t>
      </w:r>
      <w:r>
        <w:t>assumptions</w:t>
      </w:r>
      <w:r>
        <w:rPr>
          <w:spacing w:val="-8"/>
        </w:rPr>
        <w:t xml:space="preserve"> </w:t>
      </w:r>
      <w:r>
        <w:t>based</w:t>
      </w:r>
      <w:r>
        <w:rPr>
          <w:spacing w:val="-6"/>
        </w:rPr>
        <w:t xml:space="preserve"> </w:t>
      </w:r>
      <w:r>
        <w:t>on</w:t>
      </w:r>
      <w:r>
        <w:rPr>
          <w:spacing w:val="-7"/>
        </w:rPr>
        <w:t xml:space="preserve"> </w:t>
      </w:r>
      <w:r>
        <w:t>limited and/or nuanced views.</w:t>
      </w:r>
    </w:p>
    <w:p w14:paraId="3813F385" w14:textId="77777777" w:rsidR="00141B97" w:rsidRDefault="00141B97">
      <w:pPr>
        <w:pStyle w:val="BodyText"/>
      </w:pPr>
    </w:p>
    <w:p w14:paraId="7071FFB8" w14:textId="77777777" w:rsidR="00141B97" w:rsidRDefault="00911D63">
      <w:pPr>
        <w:pStyle w:val="BodyText"/>
        <w:spacing w:before="1"/>
        <w:ind w:left="153" w:right="246"/>
        <w:jc w:val="both"/>
      </w:pPr>
      <w:r>
        <w:t>The engagement program was designed to maximise all available opportunities across both urban and rural cohorts (within the parameters of COVID‐19 impacts and restrictions) and create an authentic engagement experience</w:t>
      </w:r>
      <w:r>
        <w:rPr>
          <w:spacing w:val="-8"/>
        </w:rPr>
        <w:t xml:space="preserve"> </w:t>
      </w:r>
      <w:r>
        <w:t>that</w:t>
      </w:r>
      <w:r>
        <w:rPr>
          <w:spacing w:val="-8"/>
        </w:rPr>
        <w:t xml:space="preserve"> </w:t>
      </w:r>
      <w:r>
        <w:t>elicited</w:t>
      </w:r>
      <w:r>
        <w:rPr>
          <w:spacing w:val="-8"/>
        </w:rPr>
        <w:t xml:space="preserve"> </w:t>
      </w:r>
      <w:r>
        <w:t>rich</w:t>
      </w:r>
      <w:r>
        <w:rPr>
          <w:spacing w:val="-9"/>
        </w:rPr>
        <w:t xml:space="preserve"> </w:t>
      </w:r>
      <w:r>
        <w:t>insights</w:t>
      </w:r>
      <w:r>
        <w:rPr>
          <w:spacing w:val="-8"/>
        </w:rPr>
        <w:t xml:space="preserve"> </w:t>
      </w:r>
      <w:r>
        <w:t>as</w:t>
      </w:r>
      <w:r>
        <w:rPr>
          <w:spacing w:val="-6"/>
        </w:rPr>
        <w:t xml:space="preserve"> </w:t>
      </w:r>
      <w:r>
        <w:t>opposed</w:t>
      </w:r>
      <w:r>
        <w:rPr>
          <w:spacing w:val="-7"/>
        </w:rPr>
        <w:t xml:space="preserve"> </w:t>
      </w:r>
      <w:r>
        <w:t>to</w:t>
      </w:r>
      <w:r>
        <w:rPr>
          <w:spacing w:val="-8"/>
        </w:rPr>
        <w:t xml:space="preserve"> </w:t>
      </w:r>
      <w:r>
        <w:t>token</w:t>
      </w:r>
      <w:r>
        <w:rPr>
          <w:spacing w:val="-8"/>
        </w:rPr>
        <w:t xml:space="preserve"> </w:t>
      </w:r>
      <w:r>
        <w:t>engagement</w:t>
      </w:r>
      <w:r>
        <w:rPr>
          <w:spacing w:val="-9"/>
        </w:rPr>
        <w:t xml:space="preserve"> </w:t>
      </w:r>
      <w:r>
        <w:t>tools</w:t>
      </w:r>
      <w:r>
        <w:rPr>
          <w:spacing w:val="-8"/>
        </w:rPr>
        <w:t xml:space="preserve"> </w:t>
      </w:r>
      <w:r>
        <w:t>that</w:t>
      </w:r>
      <w:r>
        <w:rPr>
          <w:spacing w:val="-8"/>
        </w:rPr>
        <w:t xml:space="preserve"> </w:t>
      </w:r>
      <w:r>
        <w:t>may</w:t>
      </w:r>
      <w:r>
        <w:rPr>
          <w:spacing w:val="-9"/>
        </w:rPr>
        <w:t xml:space="preserve"> </w:t>
      </w:r>
      <w:r>
        <w:t>provide</w:t>
      </w:r>
      <w:r>
        <w:rPr>
          <w:spacing w:val="-7"/>
        </w:rPr>
        <w:t xml:space="preserve"> </w:t>
      </w:r>
      <w:r>
        <w:t>a</w:t>
      </w:r>
      <w:r>
        <w:rPr>
          <w:spacing w:val="-9"/>
        </w:rPr>
        <w:t xml:space="preserve"> </w:t>
      </w:r>
      <w:r>
        <w:t>greater</w:t>
      </w:r>
      <w:r>
        <w:rPr>
          <w:spacing w:val="-8"/>
        </w:rPr>
        <w:t xml:space="preserve"> </w:t>
      </w:r>
      <w:r>
        <w:t>quantity of</w:t>
      </w:r>
      <w:r>
        <w:rPr>
          <w:spacing w:val="-7"/>
        </w:rPr>
        <w:t xml:space="preserve"> </w:t>
      </w:r>
      <w:r>
        <w:t>touchpoints</w:t>
      </w:r>
      <w:r>
        <w:rPr>
          <w:spacing w:val="-8"/>
        </w:rPr>
        <w:t xml:space="preserve"> </w:t>
      </w:r>
      <w:r>
        <w:t>but</w:t>
      </w:r>
      <w:r>
        <w:rPr>
          <w:spacing w:val="-8"/>
        </w:rPr>
        <w:t xml:space="preserve"> </w:t>
      </w:r>
      <w:r>
        <w:t>wouldn’t</w:t>
      </w:r>
      <w:r>
        <w:rPr>
          <w:spacing w:val="-9"/>
        </w:rPr>
        <w:t xml:space="preserve"> </w:t>
      </w:r>
      <w:r>
        <w:t>deliver</w:t>
      </w:r>
      <w:r>
        <w:rPr>
          <w:spacing w:val="-7"/>
        </w:rPr>
        <w:t xml:space="preserve"> </w:t>
      </w:r>
      <w:r>
        <w:t>the</w:t>
      </w:r>
      <w:r>
        <w:rPr>
          <w:spacing w:val="-7"/>
        </w:rPr>
        <w:t xml:space="preserve"> </w:t>
      </w:r>
      <w:r>
        <w:t>insights</w:t>
      </w:r>
      <w:r>
        <w:rPr>
          <w:spacing w:val="-8"/>
        </w:rPr>
        <w:t xml:space="preserve"> </w:t>
      </w:r>
      <w:r>
        <w:t>to</w:t>
      </w:r>
      <w:r>
        <w:rPr>
          <w:spacing w:val="-8"/>
        </w:rPr>
        <w:t xml:space="preserve"> </w:t>
      </w:r>
      <w:r>
        <w:t>best</w:t>
      </w:r>
      <w:r>
        <w:rPr>
          <w:spacing w:val="-8"/>
        </w:rPr>
        <w:t xml:space="preserve"> </w:t>
      </w:r>
      <w:r>
        <w:t>shape</w:t>
      </w:r>
      <w:r>
        <w:rPr>
          <w:spacing w:val="-7"/>
        </w:rPr>
        <w:t xml:space="preserve"> </w:t>
      </w:r>
      <w:r>
        <w:t>the</w:t>
      </w:r>
      <w:r>
        <w:rPr>
          <w:spacing w:val="-9"/>
        </w:rPr>
        <w:t xml:space="preserve"> </w:t>
      </w:r>
      <w:r>
        <w:t>future</w:t>
      </w:r>
      <w:r>
        <w:rPr>
          <w:spacing w:val="-7"/>
        </w:rPr>
        <w:t xml:space="preserve"> </w:t>
      </w:r>
      <w:r>
        <w:t>of</w:t>
      </w:r>
      <w:r>
        <w:rPr>
          <w:spacing w:val="-7"/>
        </w:rPr>
        <w:t xml:space="preserve"> </w:t>
      </w:r>
      <w:r>
        <w:t>PS5.</w:t>
      </w:r>
      <w:r>
        <w:rPr>
          <w:spacing w:val="-8"/>
        </w:rPr>
        <w:t xml:space="preserve"> </w:t>
      </w:r>
      <w:r>
        <w:t>This</w:t>
      </w:r>
      <w:r>
        <w:rPr>
          <w:spacing w:val="-7"/>
        </w:rPr>
        <w:t xml:space="preserve"> </w:t>
      </w:r>
      <w:r>
        <w:t>iterative</w:t>
      </w:r>
      <w:r>
        <w:rPr>
          <w:spacing w:val="-7"/>
        </w:rPr>
        <w:t xml:space="preserve"> </w:t>
      </w:r>
      <w:r>
        <w:t>approach</w:t>
      </w:r>
      <w:r>
        <w:rPr>
          <w:spacing w:val="-9"/>
        </w:rPr>
        <w:t xml:space="preserve"> </w:t>
      </w:r>
      <w:r>
        <w:t xml:space="preserve">enabled the analysis of data such as previous insights from PS4 and quantitative data collected in mid‐2021 which was then fed back to customers in various forums to be tested, challenged, and crafted into core insights. These insights were then internally fed back into strategy and plan development and in the evolution of KPIs and </w:t>
      </w:r>
      <w:r>
        <w:rPr>
          <w:spacing w:val="-2"/>
        </w:rPr>
        <w:t>targets.</w:t>
      </w:r>
    </w:p>
    <w:p w14:paraId="606C1DD8" w14:textId="77777777" w:rsidR="00141B97" w:rsidRDefault="00141B97">
      <w:pPr>
        <w:pStyle w:val="BodyText"/>
        <w:spacing w:before="12"/>
        <w:rPr>
          <w:sz w:val="21"/>
        </w:rPr>
      </w:pPr>
    </w:p>
    <w:p w14:paraId="2EC1C5CE" w14:textId="77777777" w:rsidR="00141B97" w:rsidRDefault="00911D63">
      <w:pPr>
        <w:pStyle w:val="BodyText"/>
        <w:ind w:left="154" w:right="247" w:hanging="1"/>
        <w:jc w:val="both"/>
      </w:pPr>
      <w:r>
        <w:t>Figure A2 illustrates LMW’s PS5 customer engagement approach, recognising the differences between the urban and rural business units and the diversity of customer groups across LMW’s geographic regions.</w:t>
      </w:r>
    </w:p>
    <w:p w14:paraId="5ACE3D9C" w14:textId="77777777" w:rsidR="00141B97" w:rsidRDefault="00141B97">
      <w:pPr>
        <w:jc w:val="both"/>
        <w:sectPr w:rsidR="00141B97">
          <w:pgSz w:w="11910" w:h="16840"/>
          <w:pgMar w:top="820" w:right="740" w:bottom="1120" w:left="980" w:header="0" w:footer="896" w:gutter="0"/>
          <w:cols w:space="720"/>
        </w:sectPr>
      </w:pPr>
    </w:p>
    <w:p w14:paraId="351E7858" w14:textId="77777777" w:rsidR="00141B97" w:rsidRDefault="00911D63">
      <w:pPr>
        <w:pStyle w:val="BodyText"/>
        <w:ind w:left="954"/>
        <w:rPr>
          <w:sz w:val="20"/>
        </w:rPr>
      </w:pPr>
      <w:r>
        <w:rPr>
          <w:noProof/>
          <w:sz w:val="20"/>
        </w:rPr>
        <w:lastRenderedPageBreak/>
        <w:drawing>
          <wp:inline distT="0" distB="0" distL="0" distR="0" wp14:anchorId="673A1527" wp14:editId="3A4A6F41">
            <wp:extent cx="3344896" cy="3169920"/>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3" cstate="email">
                      <a:extLst>
                        <a:ext uri="{28A0092B-C50C-407E-A947-70E740481C1C}">
                          <a14:useLocalDpi xmlns:a14="http://schemas.microsoft.com/office/drawing/2010/main"/>
                        </a:ext>
                      </a:extLst>
                    </a:blip>
                    <a:stretch>
                      <a:fillRect/>
                    </a:stretch>
                  </pic:blipFill>
                  <pic:spPr>
                    <a:xfrm>
                      <a:off x="0" y="0"/>
                      <a:ext cx="3344896" cy="3169920"/>
                    </a:xfrm>
                    <a:prstGeom prst="rect">
                      <a:avLst/>
                    </a:prstGeom>
                  </pic:spPr>
                </pic:pic>
              </a:graphicData>
            </a:graphic>
          </wp:inline>
        </w:drawing>
      </w:r>
    </w:p>
    <w:p w14:paraId="6CFB864F" w14:textId="77777777" w:rsidR="00141B97" w:rsidRDefault="00911D63">
      <w:pPr>
        <w:spacing w:before="79"/>
        <w:ind w:left="154"/>
        <w:jc w:val="both"/>
        <w:rPr>
          <w:sz w:val="16"/>
        </w:rPr>
      </w:pPr>
      <w:r>
        <w:rPr>
          <w:sz w:val="16"/>
        </w:rPr>
        <w:t>Figure</w:t>
      </w:r>
      <w:r>
        <w:rPr>
          <w:spacing w:val="-7"/>
          <w:sz w:val="16"/>
        </w:rPr>
        <w:t xml:space="preserve"> </w:t>
      </w:r>
      <w:r>
        <w:rPr>
          <w:sz w:val="16"/>
        </w:rPr>
        <w:t>A2:</w:t>
      </w:r>
      <w:r>
        <w:rPr>
          <w:spacing w:val="-6"/>
          <w:sz w:val="16"/>
        </w:rPr>
        <w:t xml:space="preserve"> </w:t>
      </w:r>
      <w:r>
        <w:rPr>
          <w:sz w:val="16"/>
        </w:rPr>
        <w:t>PS5</w:t>
      </w:r>
      <w:r>
        <w:rPr>
          <w:spacing w:val="-6"/>
          <w:sz w:val="16"/>
        </w:rPr>
        <w:t xml:space="preserve"> </w:t>
      </w:r>
      <w:r>
        <w:rPr>
          <w:sz w:val="16"/>
        </w:rPr>
        <w:t>Stakeholder</w:t>
      </w:r>
      <w:r>
        <w:rPr>
          <w:spacing w:val="-7"/>
          <w:sz w:val="16"/>
        </w:rPr>
        <w:t xml:space="preserve"> </w:t>
      </w:r>
      <w:r>
        <w:rPr>
          <w:sz w:val="16"/>
        </w:rPr>
        <w:t>Engagement</w:t>
      </w:r>
      <w:r>
        <w:rPr>
          <w:spacing w:val="-5"/>
          <w:sz w:val="16"/>
        </w:rPr>
        <w:t xml:space="preserve"> </w:t>
      </w:r>
      <w:r>
        <w:rPr>
          <w:spacing w:val="-2"/>
          <w:sz w:val="16"/>
        </w:rPr>
        <w:t>Approach</w:t>
      </w:r>
    </w:p>
    <w:p w14:paraId="085C6356" w14:textId="77777777" w:rsidR="00141B97" w:rsidRDefault="00141B97">
      <w:pPr>
        <w:pStyle w:val="BodyText"/>
      </w:pPr>
    </w:p>
    <w:p w14:paraId="5B5B9D9A" w14:textId="77777777" w:rsidR="00141B97" w:rsidRDefault="00911D63">
      <w:pPr>
        <w:pStyle w:val="BodyText"/>
        <w:spacing w:before="1"/>
        <w:ind w:left="154" w:right="246" w:hanging="1"/>
        <w:jc w:val="both"/>
      </w:pPr>
      <w:r>
        <w:t>Running concurrently with the customer engagement process outlined above, LMW progressively developed information</w:t>
      </w:r>
      <w:r>
        <w:rPr>
          <w:spacing w:val="-5"/>
        </w:rPr>
        <w:t xml:space="preserve"> </w:t>
      </w:r>
      <w:r>
        <w:t>for</w:t>
      </w:r>
      <w:r>
        <w:rPr>
          <w:spacing w:val="-4"/>
        </w:rPr>
        <w:t xml:space="preserve"> </w:t>
      </w:r>
      <w:r>
        <w:t>presentation</w:t>
      </w:r>
      <w:r>
        <w:rPr>
          <w:spacing w:val="-4"/>
        </w:rPr>
        <w:t xml:space="preserve"> </w:t>
      </w:r>
      <w:r>
        <w:t>to</w:t>
      </w:r>
      <w:r>
        <w:rPr>
          <w:spacing w:val="-5"/>
        </w:rPr>
        <w:t xml:space="preserve"> </w:t>
      </w:r>
      <w:r>
        <w:t>customers,</w:t>
      </w:r>
      <w:r>
        <w:rPr>
          <w:spacing w:val="-4"/>
        </w:rPr>
        <w:t xml:space="preserve"> </w:t>
      </w:r>
      <w:r>
        <w:t>engaging</w:t>
      </w:r>
      <w:r>
        <w:rPr>
          <w:spacing w:val="-3"/>
        </w:rPr>
        <w:t xml:space="preserve"> </w:t>
      </w:r>
      <w:r>
        <w:t>with</w:t>
      </w:r>
      <w:r>
        <w:rPr>
          <w:spacing w:val="-4"/>
        </w:rPr>
        <w:t xml:space="preserve"> </w:t>
      </w:r>
      <w:r>
        <w:t>many</w:t>
      </w:r>
      <w:r>
        <w:rPr>
          <w:spacing w:val="-4"/>
        </w:rPr>
        <w:t xml:space="preserve"> </w:t>
      </w:r>
      <w:r>
        <w:t>LMW</w:t>
      </w:r>
      <w:r>
        <w:rPr>
          <w:spacing w:val="-6"/>
        </w:rPr>
        <w:t xml:space="preserve"> </w:t>
      </w:r>
      <w:r>
        <w:t>subject</w:t>
      </w:r>
      <w:r>
        <w:rPr>
          <w:spacing w:val="-4"/>
        </w:rPr>
        <w:t xml:space="preserve"> </w:t>
      </w:r>
      <w:r>
        <w:t>matter</w:t>
      </w:r>
      <w:r>
        <w:rPr>
          <w:spacing w:val="-4"/>
        </w:rPr>
        <w:t xml:space="preserve"> </w:t>
      </w:r>
      <w:r>
        <w:t>experts</w:t>
      </w:r>
      <w:r>
        <w:rPr>
          <w:spacing w:val="-5"/>
        </w:rPr>
        <w:t xml:space="preserve"> </w:t>
      </w:r>
      <w:r>
        <w:t>(SMEs)</w:t>
      </w:r>
      <w:r>
        <w:rPr>
          <w:spacing w:val="-4"/>
        </w:rPr>
        <w:t xml:space="preserve"> </w:t>
      </w:r>
      <w:r>
        <w:t>across</w:t>
      </w:r>
      <w:r>
        <w:rPr>
          <w:spacing w:val="-6"/>
        </w:rPr>
        <w:t xml:space="preserve"> </w:t>
      </w:r>
      <w:r>
        <w:t>the business as well as the Executive team and LMW’s Board.</w:t>
      </w:r>
      <w:r>
        <w:rPr>
          <w:spacing w:val="40"/>
        </w:rPr>
        <w:t xml:space="preserve"> </w:t>
      </w:r>
      <w:r>
        <w:t>Figure A3 illustrates the concurrent processes and timeline for both customer engagement and PS5 development.</w:t>
      </w:r>
    </w:p>
    <w:p w14:paraId="64BA0219" w14:textId="77777777" w:rsidR="00141B97" w:rsidRDefault="00911D63">
      <w:pPr>
        <w:pStyle w:val="BodyText"/>
        <w:spacing w:before="2"/>
        <w:rPr>
          <w:sz w:val="13"/>
        </w:rPr>
      </w:pPr>
      <w:r>
        <w:rPr>
          <w:noProof/>
        </w:rPr>
        <w:drawing>
          <wp:anchor distT="0" distB="0" distL="0" distR="0" simplePos="0" relativeHeight="19" behindDoc="0" locked="0" layoutInCell="1" allowOverlap="1" wp14:anchorId="549AF4A4" wp14:editId="57A82439">
            <wp:simplePos x="0" y="0"/>
            <wp:positionH relativeFrom="page">
              <wp:posOffset>716280</wp:posOffset>
            </wp:positionH>
            <wp:positionV relativeFrom="paragraph">
              <wp:posOffset>117547</wp:posOffset>
            </wp:positionV>
            <wp:extent cx="4922520" cy="3535679"/>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4" cstate="email">
                      <a:extLst>
                        <a:ext uri="{28A0092B-C50C-407E-A947-70E740481C1C}">
                          <a14:useLocalDpi xmlns:a14="http://schemas.microsoft.com/office/drawing/2010/main"/>
                        </a:ext>
                      </a:extLst>
                    </a:blip>
                    <a:stretch>
                      <a:fillRect/>
                    </a:stretch>
                  </pic:blipFill>
                  <pic:spPr>
                    <a:xfrm>
                      <a:off x="0" y="0"/>
                      <a:ext cx="4922520" cy="3535679"/>
                    </a:xfrm>
                    <a:prstGeom prst="rect">
                      <a:avLst/>
                    </a:prstGeom>
                  </pic:spPr>
                </pic:pic>
              </a:graphicData>
            </a:graphic>
          </wp:anchor>
        </w:drawing>
      </w:r>
    </w:p>
    <w:p w14:paraId="4EEF5B2A" w14:textId="77777777" w:rsidR="00141B97" w:rsidRDefault="00911D63">
      <w:pPr>
        <w:spacing w:before="66"/>
        <w:ind w:left="154"/>
        <w:jc w:val="both"/>
        <w:rPr>
          <w:sz w:val="16"/>
        </w:rPr>
      </w:pPr>
      <w:r>
        <w:rPr>
          <w:sz w:val="16"/>
        </w:rPr>
        <w:t>Figure</w:t>
      </w:r>
      <w:r>
        <w:rPr>
          <w:spacing w:val="-5"/>
          <w:sz w:val="16"/>
        </w:rPr>
        <w:t xml:space="preserve"> </w:t>
      </w:r>
      <w:r>
        <w:rPr>
          <w:sz w:val="16"/>
        </w:rPr>
        <w:t>A3:</w:t>
      </w:r>
      <w:r>
        <w:rPr>
          <w:spacing w:val="28"/>
          <w:sz w:val="16"/>
        </w:rPr>
        <w:t xml:space="preserve"> </w:t>
      </w:r>
      <w:r>
        <w:rPr>
          <w:sz w:val="16"/>
        </w:rPr>
        <w:t>Customer</w:t>
      </w:r>
      <w:r>
        <w:rPr>
          <w:spacing w:val="-6"/>
          <w:sz w:val="16"/>
        </w:rPr>
        <w:t xml:space="preserve"> </w:t>
      </w:r>
      <w:r>
        <w:rPr>
          <w:sz w:val="16"/>
        </w:rPr>
        <w:t>Outcomes</w:t>
      </w:r>
      <w:r>
        <w:rPr>
          <w:spacing w:val="-6"/>
          <w:sz w:val="16"/>
        </w:rPr>
        <w:t xml:space="preserve"> </w:t>
      </w:r>
      <w:r>
        <w:rPr>
          <w:spacing w:val="-2"/>
          <w:sz w:val="16"/>
        </w:rPr>
        <w:t>Development</w:t>
      </w:r>
    </w:p>
    <w:p w14:paraId="4F892B2E" w14:textId="77777777" w:rsidR="00141B97" w:rsidRDefault="00141B97">
      <w:pPr>
        <w:jc w:val="both"/>
        <w:rPr>
          <w:sz w:val="16"/>
        </w:rPr>
        <w:sectPr w:rsidR="00141B97">
          <w:pgSz w:w="11910" w:h="16840"/>
          <w:pgMar w:top="1120" w:right="740" w:bottom="1120" w:left="980" w:header="0" w:footer="896" w:gutter="0"/>
          <w:cols w:space="720"/>
        </w:sectPr>
      </w:pPr>
    </w:p>
    <w:p w14:paraId="5C4A6424" w14:textId="77777777" w:rsidR="00141B97" w:rsidRDefault="00911D63">
      <w:pPr>
        <w:pStyle w:val="Heading2"/>
        <w:numPr>
          <w:ilvl w:val="1"/>
          <w:numId w:val="113"/>
        </w:numPr>
        <w:tabs>
          <w:tab w:val="left" w:pos="1152"/>
          <w:tab w:val="left" w:pos="1153"/>
        </w:tabs>
        <w:spacing w:before="31"/>
      </w:pPr>
      <w:bookmarkStart w:id="6" w:name="_TOC_250021"/>
      <w:r>
        <w:rPr>
          <w:color w:val="009BAC"/>
        </w:rPr>
        <w:lastRenderedPageBreak/>
        <w:t>Targeted</w:t>
      </w:r>
      <w:r>
        <w:rPr>
          <w:color w:val="009BAC"/>
          <w:spacing w:val="-8"/>
        </w:rPr>
        <w:t xml:space="preserve"> </w:t>
      </w:r>
      <w:r>
        <w:rPr>
          <w:color w:val="009BAC"/>
        </w:rPr>
        <w:t>PS5</w:t>
      </w:r>
      <w:r>
        <w:rPr>
          <w:color w:val="009BAC"/>
          <w:spacing w:val="-7"/>
        </w:rPr>
        <w:t xml:space="preserve"> </w:t>
      </w:r>
      <w:bookmarkEnd w:id="6"/>
      <w:r>
        <w:rPr>
          <w:color w:val="009BAC"/>
          <w:spacing w:val="-2"/>
        </w:rPr>
        <w:t>Engagement</w:t>
      </w:r>
    </w:p>
    <w:p w14:paraId="2CF0B084" w14:textId="77777777" w:rsidR="00141B97" w:rsidRDefault="00911D63">
      <w:pPr>
        <w:pStyle w:val="BodyText"/>
        <w:spacing w:before="120"/>
        <w:ind w:left="153" w:right="247"/>
        <w:jc w:val="both"/>
      </w:pPr>
      <w:r>
        <w:t>LMW’s engagement framework acknowledges that different approaches are suitable for different stakeholder groups given their varied values, priorities, knowledge, and risk appetites. With key stakeholder groups that intersect with each other, the engagement for PS5 was broken into two key target cohorts (urban and rural) with representation from the groups shown in Figure A4:</w:t>
      </w:r>
    </w:p>
    <w:p w14:paraId="28B07FF6" w14:textId="77777777" w:rsidR="00141B97" w:rsidRDefault="00911D63">
      <w:pPr>
        <w:pStyle w:val="BodyText"/>
        <w:spacing w:before="1"/>
        <w:rPr>
          <w:sz w:val="27"/>
        </w:rPr>
      </w:pPr>
      <w:r>
        <w:rPr>
          <w:noProof/>
        </w:rPr>
        <w:drawing>
          <wp:anchor distT="0" distB="0" distL="0" distR="0" simplePos="0" relativeHeight="20" behindDoc="0" locked="0" layoutInCell="1" allowOverlap="1" wp14:anchorId="68828714" wp14:editId="72850B70">
            <wp:simplePos x="0" y="0"/>
            <wp:positionH relativeFrom="page">
              <wp:posOffset>720090</wp:posOffset>
            </wp:positionH>
            <wp:positionV relativeFrom="paragraph">
              <wp:posOffset>225164</wp:posOffset>
            </wp:positionV>
            <wp:extent cx="3676262" cy="3826764"/>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5" cstate="email">
                      <a:extLst>
                        <a:ext uri="{28A0092B-C50C-407E-A947-70E740481C1C}">
                          <a14:useLocalDpi xmlns:a14="http://schemas.microsoft.com/office/drawing/2010/main"/>
                        </a:ext>
                      </a:extLst>
                    </a:blip>
                    <a:stretch>
                      <a:fillRect/>
                    </a:stretch>
                  </pic:blipFill>
                  <pic:spPr>
                    <a:xfrm>
                      <a:off x="0" y="0"/>
                      <a:ext cx="3676262" cy="3826764"/>
                    </a:xfrm>
                    <a:prstGeom prst="rect">
                      <a:avLst/>
                    </a:prstGeom>
                  </pic:spPr>
                </pic:pic>
              </a:graphicData>
            </a:graphic>
          </wp:anchor>
        </w:drawing>
      </w:r>
    </w:p>
    <w:p w14:paraId="1629C933" w14:textId="77777777" w:rsidR="00141B97" w:rsidRDefault="00911D63">
      <w:pPr>
        <w:ind w:left="154"/>
        <w:jc w:val="both"/>
        <w:rPr>
          <w:sz w:val="16"/>
        </w:rPr>
      </w:pPr>
      <w:r>
        <w:rPr>
          <w:sz w:val="16"/>
        </w:rPr>
        <w:t>Figure</w:t>
      </w:r>
      <w:r>
        <w:rPr>
          <w:spacing w:val="-5"/>
          <w:sz w:val="16"/>
        </w:rPr>
        <w:t xml:space="preserve"> </w:t>
      </w:r>
      <w:r>
        <w:rPr>
          <w:sz w:val="16"/>
        </w:rPr>
        <w:t>A4:</w:t>
      </w:r>
      <w:r>
        <w:rPr>
          <w:spacing w:val="-4"/>
          <w:sz w:val="16"/>
        </w:rPr>
        <w:t xml:space="preserve"> </w:t>
      </w:r>
      <w:r>
        <w:rPr>
          <w:sz w:val="16"/>
        </w:rPr>
        <w:t>Key</w:t>
      </w:r>
      <w:r>
        <w:rPr>
          <w:spacing w:val="-4"/>
          <w:sz w:val="16"/>
        </w:rPr>
        <w:t xml:space="preserve"> </w:t>
      </w:r>
      <w:r>
        <w:rPr>
          <w:sz w:val="16"/>
        </w:rPr>
        <w:t>LMW</w:t>
      </w:r>
      <w:r>
        <w:rPr>
          <w:spacing w:val="-5"/>
          <w:sz w:val="16"/>
        </w:rPr>
        <w:t xml:space="preserve"> </w:t>
      </w:r>
      <w:r>
        <w:rPr>
          <w:sz w:val="16"/>
        </w:rPr>
        <w:t>Stakeholder</w:t>
      </w:r>
      <w:r>
        <w:rPr>
          <w:spacing w:val="-4"/>
          <w:sz w:val="16"/>
        </w:rPr>
        <w:t xml:space="preserve"> </w:t>
      </w:r>
      <w:r>
        <w:rPr>
          <w:spacing w:val="-2"/>
          <w:sz w:val="16"/>
        </w:rPr>
        <w:t>Groups</w:t>
      </w:r>
    </w:p>
    <w:p w14:paraId="5C187248" w14:textId="77777777" w:rsidR="00141B97" w:rsidRDefault="00141B97">
      <w:pPr>
        <w:pStyle w:val="BodyText"/>
        <w:rPr>
          <w:sz w:val="21"/>
        </w:rPr>
      </w:pPr>
    </w:p>
    <w:p w14:paraId="30E51C4F" w14:textId="77777777" w:rsidR="00141B97" w:rsidRDefault="00911D63">
      <w:pPr>
        <w:pStyle w:val="BodyText"/>
        <w:ind w:left="153" w:right="247"/>
        <w:jc w:val="both"/>
      </w:pPr>
      <w:r>
        <w:t>Given</w:t>
      </w:r>
      <w:r>
        <w:rPr>
          <w:spacing w:val="-3"/>
        </w:rPr>
        <w:t xml:space="preserve"> </w:t>
      </w:r>
      <w:r>
        <w:t>the</w:t>
      </w:r>
      <w:r>
        <w:rPr>
          <w:spacing w:val="-2"/>
        </w:rPr>
        <w:t xml:space="preserve"> </w:t>
      </w:r>
      <w:r>
        <w:t>limited</w:t>
      </w:r>
      <w:r>
        <w:rPr>
          <w:spacing w:val="-3"/>
        </w:rPr>
        <w:t xml:space="preserve"> </w:t>
      </w:r>
      <w:r>
        <w:t>targeted</w:t>
      </w:r>
      <w:r>
        <w:rPr>
          <w:spacing w:val="-2"/>
        </w:rPr>
        <w:t xml:space="preserve"> </w:t>
      </w:r>
      <w:r>
        <w:t>engagement</w:t>
      </w:r>
      <w:r>
        <w:rPr>
          <w:spacing w:val="-2"/>
        </w:rPr>
        <w:t xml:space="preserve"> </w:t>
      </w:r>
      <w:r>
        <w:t>with</w:t>
      </w:r>
      <w:r>
        <w:rPr>
          <w:spacing w:val="-3"/>
        </w:rPr>
        <w:t xml:space="preserve"> </w:t>
      </w:r>
      <w:r>
        <w:t>specific</w:t>
      </w:r>
      <w:r>
        <w:rPr>
          <w:spacing w:val="-1"/>
        </w:rPr>
        <w:t xml:space="preserve"> </w:t>
      </w:r>
      <w:r>
        <w:t>cohorts</w:t>
      </w:r>
      <w:r>
        <w:rPr>
          <w:spacing w:val="-2"/>
        </w:rPr>
        <w:t xml:space="preserve"> </w:t>
      </w:r>
      <w:r>
        <w:t>such</w:t>
      </w:r>
      <w:r>
        <w:rPr>
          <w:spacing w:val="-2"/>
        </w:rPr>
        <w:t xml:space="preserve"> </w:t>
      </w:r>
      <w:r>
        <w:t>as</w:t>
      </w:r>
      <w:r>
        <w:rPr>
          <w:spacing w:val="-3"/>
        </w:rPr>
        <w:t xml:space="preserve"> </w:t>
      </w:r>
      <w:r>
        <w:t>First</w:t>
      </w:r>
      <w:r>
        <w:rPr>
          <w:spacing w:val="-3"/>
        </w:rPr>
        <w:t xml:space="preserve"> </w:t>
      </w:r>
      <w:r>
        <w:t>Nations</w:t>
      </w:r>
      <w:r>
        <w:rPr>
          <w:spacing w:val="-2"/>
        </w:rPr>
        <w:t xml:space="preserve"> </w:t>
      </w:r>
      <w:r>
        <w:t>communities</w:t>
      </w:r>
      <w:r>
        <w:rPr>
          <w:spacing w:val="-1"/>
        </w:rPr>
        <w:t xml:space="preserve"> </w:t>
      </w:r>
      <w:r>
        <w:t>and</w:t>
      </w:r>
      <w:r>
        <w:rPr>
          <w:spacing w:val="-3"/>
        </w:rPr>
        <w:t xml:space="preserve"> </w:t>
      </w:r>
      <w:r>
        <w:t>vulnerable customers</w:t>
      </w:r>
      <w:r>
        <w:rPr>
          <w:spacing w:val="-6"/>
        </w:rPr>
        <w:t xml:space="preserve"> </w:t>
      </w:r>
      <w:r>
        <w:t>in</w:t>
      </w:r>
      <w:r>
        <w:rPr>
          <w:spacing w:val="-4"/>
        </w:rPr>
        <w:t xml:space="preserve"> </w:t>
      </w:r>
      <w:r>
        <w:t>PS4,</w:t>
      </w:r>
      <w:r>
        <w:rPr>
          <w:spacing w:val="-7"/>
        </w:rPr>
        <w:t xml:space="preserve"> </w:t>
      </w:r>
      <w:r>
        <w:t>LMW</w:t>
      </w:r>
      <w:r>
        <w:rPr>
          <w:spacing w:val="-7"/>
        </w:rPr>
        <w:t xml:space="preserve"> </w:t>
      </w:r>
      <w:r>
        <w:t>paid</w:t>
      </w:r>
      <w:r>
        <w:rPr>
          <w:spacing w:val="-7"/>
        </w:rPr>
        <w:t xml:space="preserve"> </w:t>
      </w:r>
      <w:r>
        <w:t>particular</w:t>
      </w:r>
      <w:r>
        <w:rPr>
          <w:spacing w:val="-7"/>
        </w:rPr>
        <w:t xml:space="preserve"> </w:t>
      </w:r>
      <w:r>
        <w:t>attention</w:t>
      </w:r>
      <w:r>
        <w:rPr>
          <w:spacing w:val="-7"/>
        </w:rPr>
        <w:t xml:space="preserve"> </w:t>
      </w:r>
      <w:r>
        <w:t>to</w:t>
      </w:r>
      <w:r>
        <w:rPr>
          <w:spacing w:val="-7"/>
        </w:rPr>
        <w:t xml:space="preserve"> </w:t>
      </w:r>
      <w:r>
        <w:t>identifying</w:t>
      </w:r>
      <w:r>
        <w:rPr>
          <w:spacing w:val="-7"/>
        </w:rPr>
        <w:t xml:space="preserve"> </w:t>
      </w:r>
      <w:r>
        <w:t>and</w:t>
      </w:r>
      <w:r>
        <w:rPr>
          <w:spacing w:val="-6"/>
        </w:rPr>
        <w:t xml:space="preserve"> </w:t>
      </w:r>
      <w:r>
        <w:t>planning</w:t>
      </w:r>
      <w:r>
        <w:rPr>
          <w:spacing w:val="-7"/>
        </w:rPr>
        <w:t xml:space="preserve"> </w:t>
      </w:r>
      <w:r>
        <w:t>targeted</w:t>
      </w:r>
      <w:r>
        <w:rPr>
          <w:spacing w:val="-7"/>
        </w:rPr>
        <w:t xml:space="preserve"> </w:t>
      </w:r>
      <w:r>
        <w:t>activities</w:t>
      </w:r>
      <w:r>
        <w:rPr>
          <w:spacing w:val="-5"/>
        </w:rPr>
        <w:t xml:space="preserve"> </w:t>
      </w:r>
      <w:r>
        <w:t>utilising</w:t>
      </w:r>
      <w:r>
        <w:rPr>
          <w:spacing w:val="-7"/>
        </w:rPr>
        <w:t xml:space="preserve"> </w:t>
      </w:r>
      <w:r>
        <w:t>the</w:t>
      </w:r>
      <w:r>
        <w:rPr>
          <w:spacing w:val="-6"/>
        </w:rPr>
        <w:t xml:space="preserve"> </w:t>
      </w:r>
      <w:r>
        <w:t>new stakeholder engagement approach.</w:t>
      </w:r>
    </w:p>
    <w:p w14:paraId="607BC89B" w14:textId="77777777" w:rsidR="00141B97" w:rsidRDefault="00141B97">
      <w:pPr>
        <w:pStyle w:val="BodyText"/>
      </w:pPr>
    </w:p>
    <w:p w14:paraId="07CBCE36" w14:textId="77777777" w:rsidR="00141B97" w:rsidRDefault="00911D63">
      <w:pPr>
        <w:pStyle w:val="BodyText"/>
        <w:ind w:left="153" w:right="246"/>
        <w:jc w:val="both"/>
      </w:pPr>
      <w:r>
        <w:t>An extensive plan was developed to deliver an authentic engagement experience for customers and included relevant and accessible activities to best suit identified target cohorts. These activities included:</w:t>
      </w:r>
    </w:p>
    <w:p w14:paraId="30B2904F" w14:textId="77777777" w:rsidR="00141B97" w:rsidRDefault="00911D63">
      <w:pPr>
        <w:pStyle w:val="ListParagraph"/>
        <w:numPr>
          <w:ilvl w:val="0"/>
          <w:numId w:val="108"/>
        </w:numPr>
        <w:tabs>
          <w:tab w:val="left" w:pos="873"/>
          <w:tab w:val="left" w:pos="874"/>
        </w:tabs>
        <w:spacing w:line="280" w:lineRule="exact"/>
        <w:ind w:hanging="361"/>
      </w:pPr>
      <w:r>
        <w:t>focus</w:t>
      </w:r>
      <w:r>
        <w:rPr>
          <w:spacing w:val="-6"/>
        </w:rPr>
        <w:t xml:space="preserve"> </w:t>
      </w:r>
      <w:r>
        <w:t>group</w:t>
      </w:r>
      <w:r>
        <w:rPr>
          <w:spacing w:val="-5"/>
        </w:rPr>
        <w:t xml:space="preserve"> </w:t>
      </w:r>
      <w:r>
        <w:rPr>
          <w:spacing w:val="-2"/>
        </w:rPr>
        <w:t>sessions.</w:t>
      </w:r>
    </w:p>
    <w:p w14:paraId="4D57045C" w14:textId="77777777" w:rsidR="00141B97" w:rsidRDefault="00911D63">
      <w:pPr>
        <w:pStyle w:val="ListParagraph"/>
        <w:numPr>
          <w:ilvl w:val="0"/>
          <w:numId w:val="108"/>
        </w:numPr>
        <w:tabs>
          <w:tab w:val="left" w:pos="873"/>
          <w:tab w:val="left" w:pos="874"/>
        </w:tabs>
        <w:spacing w:line="280" w:lineRule="exact"/>
        <w:ind w:hanging="361"/>
      </w:pPr>
      <w:r>
        <w:t>online</w:t>
      </w:r>
      <w:r>
        <w:rPr>
          <w:spacing w:val="-8"/>
        </w:rPr>
        <w:t xml:space="preserve"> </w:t>
      </w:r>
      <w:r>
        <w:t>and</w:t>
      </w:r>
      <w:r>
        <w:rPr>
          <w:spacing w:val="-7"/>
        </w:rPr>
        <w:t xml:space="preserve"> </w:t>
      </w:r>
      <w:r>
        <w:t>annual</w:t>
      </w:r>
      <w:r>
        <w:rPr>
          <w:spacing w:val="-7"/>
        </w:rPr>
        <w:t xml:space="preserve"> </w:t>
      </w:r>
      <w:r>
        <w:rPr>
          <w:spacing w:val="-2"/>
        </w:rPr>
        <w:t>surveys.</w:t>
      </w:r>
    </w:p>
    <w:p w14:paraId="1E4F1936" w14:textId="77777777" w:rsidR="00141B97" w:rsidRDefault="00911D63">
      <w:pPr>
        <w:pStyle w:val="ListParagraph"/>
        <w:numPr>
          <w:ilvl w:val="0"/>
          <w:numId w:val="108"/>
        </w:numPr>
        <w:tabs>
          <w:tab w:val="left" w:pos="873"/>
          <w:tab w:val="left" w:pos="874"/>
        </w:tabs>
        <w:spacing w:line="280" w:lineRule="exact"/>
        <w:ind w:hanging="361"/>
      </w:pPr>
      <w:r>
        <w:t>individual</w:t>
      </w:r>
      <w:r>
        <w:rPr>
          <w:spacing w:val="-11"/>
        </w:rPr>
        <w:t xml:space="preserve"> </w:t>
      </w:r>
      <w:r>
        <w:t>phone</w:t>
      </w:r>
      <w:r>
        <w:rPr>
          <w:spacing w:val="-11"/>
        </w:rPr>
        <w:t xml:space="preserve"> </w:t>
      </w:r>
      <w:r>
        <w:rPr>
          <w:spacing w:val="-2"/>
        </w:rPr>
        <w:t>calls.</w:t>
      </w:r>
    </w:p>
    <w:p w14:paraId="5B86F3A6" w14:textId="77777777" w:rsidR="00141B97" w:rsidRDefault="00911D63">
      <w:pPr>
        <w:pStyle w:val="ListParagraph"/>
        <w:numPr>
          <w:ilvl w:val="0"/>
          <w:numId w:val="108"/>
        </w:numPr>
        <w:tabs>
          <w:tab w:val="left" w:pos="873"/>
          <w:tab w:val="left" w:pos="874"/>
        </w:tabs>
        <w:spacing w:before="1" w:line="280" w:lineRule="exact"/>
        <w:ind w:hanging="361"/>
      </w:pPr>
      <w:r>
        <w:rPr>
          <w:w w:val="95"/>
        </w:rPr>
        <w:t>deliberative</w:t>
      </w:r>
      <w:r>
        <w:rPr>
          <w:spacing w:val="39"/>
        </w:rPr>
        <w:t xml:space="preserve"> </w:t>
      </w:r>
      <w:r>
        <w:rPr>
          <w:spacing w:val="-2"/>
        </w:rPr>
        <w:t>panels.</w:t>
      </w:r>
    </w:p>
    <w:p w14:paraId="633E08A2" w14:textId="77777777" w:rsidR="00141B97" w:rsidRDefault="00911D63">
      <w:pPr>
        <w:pStyle w:val="ListParagraph"/>
        <w:numPr>
          <w:ilvl w:val="0"/>
          <w:numId w:val="108"/>
        </w:numPr>
        <w:tabs>
          <w:tab w:val="left" w:pos="873"/>
          <w:tab w:val="left" w:pos="874"/>
        </w:tabs>
        <w:ind w:right="249" w:hanging="361"/>
      </w:pPr>
      <w:r>
        <w:t>one‐on‐one engagement activity such as community events, on‐site farm visits, pumping station open days and town hall‐style events.</w:t>
      </w:r>
    </w:p>
    <w:p w14:paraId="5DDE2D2E" w14:textId="77777777" w:rsidR="00141B97" w:rsidRDefault="00141B97">
      <w:pPr>
        <w:pStyle w:val="BodyText"/>
        <w:spacing w:before="12"/>
        <w:rPr>
          <w:sz w:val="19"/>
        </w:rPr>
      </w:pPr>
    </w:p>
    <w:p w14:paraId="2F7820FE" w14:textId="77777777" w:rsidR="00141B97" w:rsidRDefault="00911D63">
      <w:pPr>
        <w:pStyle w:val="BodyText"/>
        <w:ind w:left="153" w:right="247"/>
        <w:jc w:val="both"/>
      </w:pPr>
      <w:r>
        <w:t>PS5 engagement saw over 75 touchpoints across the identified customer cohorts and began with a reach of approximately 19,000 customers (16,500 urban and 2,500 rural) for the initial quantitative engagement via customer</w:t>
      </w:r>
      <w:r>
        <w:rPr>
          <w:spacing w:val="-11"/>
        </w:rPr>
        <w:t xml:space="preserve"> </w:t>
      </w:r>
      <w:r>
        <w:t>surveys.</w:t>
      </w:r>
      <w:r>
        <w:rPr>
          <w:spacing w:val="-12"/>
        </w:rPr>
        <w:t xml:space="preserve"> </w:t>
      </w:r>
      <w:r>
        <w:t>Consideration</w:t>
      </w:r>
      <w:r>
        <w:rPr>
          <w:spacing w:val="-13"/>
        </w:rPr>
        <w:t xml:space="preserve"> </w:t>
      </w:r>
      <w:r>
        <w:t>was</w:t>
      </w:r>
      <w:r>
        <w:rPr>
          <w:spacing w:val="-10"/>
        </w:rPr>
        <w:t xml:space="preserve"> </w:t>
      </w:r>
      <w:r>
        <w:t>given</w:t>
      </w:r>
      <w:r>
        <w:rPr>
          <w:spacing w:val="-12"/>
        </w:rPr>
        <w:t xml:space="preserve"> </w:t>
      </w:r>
      <w:r>
        <w:t>to</w:t>
      </w:r>
      <w:r>
        <w:rPr>
          <w:spacing w:val="-11"/>
        </w:rPr>
        <w:t xml:space="preserve"> </w:t>
      </w:r>
      <w:r>
        <w:t>identifying</w:t>
      </w:r>
      <w:r>
        <w:rPr>
          <w:spacing w:val="-12"/>
        </w:rPr>
        <w:t xml:space="preserve"> </w:t>
      </w:r>
      <w:r>
        <w:t>the</w:t>
      </w:r>
      <w:r>
        <w:rPr>
          <w:spacing w:val="-12"/>
        </w:rPr>
        <w:t xml:space="preserve"> </w:t>
      </w:r>
      <w:r>
        <w:t>best</w:t>
      </w:r>
      <w:r>
        <w:rPr>
          <w:spacing w:val="-12"/>
        </w:rPr>
        <w:t xml:space="preserve"> </w:t>
      </w:r>
      <w:r>
        <w:t>channels</w:t>
      </w:r>
      <w:r>
        <w:rPr>
          <w:spacing w:val="-11"/>
        </w:rPr>
        <w:t xml:space="preserve"> </w:t>
      </w:r>
      <w:r>
        <w:t>and</w:t>
      </w:r>
      <w:r>
        <w:rPr>
          <w:spacing w:val="-12"/>
        </w:rPr>
        <w:t xml:space="preserve"> </w:t>
      </w:r>
      <w:r>
        <w:t>networks</w:t>
      </w:r>
      <w:r>
        <w:rPr>
          <w:spacing w:val="-11"/>
        </w:rPr>
        <w:t xml:space="preserve"> </w:t>
      </w:r>
      <w:r>
        <w:t>across</w:t>
      </w:r>
      <w:r>
        <w:rPr>
          <w:spacing w:val="-11"/>
        </w:rPr>
        <w:t xml:space="preserve"> </w:t>
      </w:r>
      <w:r>
        <w:t>both</w:t>
      </w:r>
      <w:r>
        <w:rPr>
          <w:spacing w:val="-12"/>
        </w:rPr>
        <w:t xml:space="preserve"> </w:t>
      </w:r>
      <w:r>
        <w:t>urban</w:t>
      </w:r>
      <w:r>
        <w:rPr>
          <w:spacing w:val="-11"/>
        </w:rPr>
        <w:t xml:space="preserve"> </w:t>
      </w:r>
      <w:r>
        <w:t>and rural</w:t>
      </w:r>
      <w:r>
        <w:rPr>
          <w:spacing w:val="-1"/>
        </w:rPr>
        <w:t xml:space="preserve"> </w:t>
      </w:r>
      <w:r>
        <w:t>customer</w:t>
      </w:r>
      <w:r>
        <w:rPr>
          <w:spacing w:val="-1"/>
        </w:rPr>
        <w:t xml:space="preserve"> </w:t>
      </w:r>
      <w:r>
        <w:t>cohorts</w:t>
      </w:r>
      <w:r>
        <w:rPr>
          <w:spacing w:val="-1"/>
        </w:rPr>
        <w:t xml:space="preserve"> </w:t>
      </w:r>
      <w:r>
        <w:t>to initiate</w:t>
      </w:r>
      <w:r>
        <w:rPr>
          <w:spacing w:val="-1"/>
        </w:rPr>
        <w:t xml:space="preserve"> </w:t>
      </w:r>
      <w:r>
        <w:t>engagement</w:t>
      </w:r>
      <w:r>
        <w:rPr>
          <w:spacing w:val="-2"/>
        </w:rPr>
        <w:t xml:space="preserve"> </w:t>
      </w:r>
      <w:r>
        <w:t>activity</w:t>
      </w:r>
      <w:r>
        <w:rPr>
          <w:spacing w:val="-2"/>
        </w:rPr>
        <w:t xml:space="preserve"> </w:t>
      </w:r>
      <w:r>
        <w:t>with</w:t>
      </w:r>
      <w:r>
        <w:rPr>
          <w:spacing w:val="-1"/>
        </w:rPr>
        <w:t xml:space="preserve"> </w:t>
      </w:r>
      <w:r>
        <w:t>vulnerable</w:t>
      </w:r>
      <w:r>
        <w:rPr>
          <w:spacing w:val="-3"/>
        </w:rPr>
        <w:t xml:space="preserve"> </w:t>
      </w:r>
      <w:r>
        <w:t>customers across</w:t>
      </w:r>
      <w:r>
        <w:rPr>
          <w:spacing w:val="-2"/>
        </w:rPr>
        <w:t xml:space="preserve"> </w:t>
      </w:r>
      <w:r>
        <w:t>the</w:t>
      </w:r>
      <w:r>
        <w:rPr>
          <w:spacing w:val="-1"/>
        </w:rPr>
        <w:t xml:space="preserve"> </w:t>
      </w:r>
      <w:r>
        <w:t>region</w:t>
      </w:r>
      <w:r>
        <w:rPr>
          <w:spacing w:val="-1"/>
        </w:rPr>
        <w:t xml:space="preserve"> </w:t>
      </w:r>
      <w:r>
        <w:t>noting</w:t>
      </w:r>
      <w:r>
        <w:rPr>
          <w:spacing w:val="-1"/>
        </w:rPr>
        <w:t xml:space="preserve"> </w:t>
      </w:r>
      <w:r>
        <w:t>that COVID‐19</w:t>
      </w:r>
      <w:r>
        <w:rPr>
          <w:spacing w:val="-10"/>
        </w:rPr>
        <w:t xml:space="preserve"> </w:t>
      </w:r>
      <w:r>
        <w:t>restrictions</w:t>
      </w:r>
      <w:r>
        <w:rPr>
          <w:spacing w:val="-9"/>
        </w:rPr>
        <w:t xml:space="preserve"> </w:t>
      </w:r>
      <w:r>
        <w:t>significantly</w:t>
      </w:r>
      <w:r>
        <w:rPr>
          <w:spacing w:val="-9"/>
        </w:rPr>
        <w:t xml:space="preserve"> </w:t>
      </w:r>
      <w:r>
        <w:t>hampered</w:t>
      </w:r>
      <w:r>
        <w:rPr>
          <w:spacing w:val="-11"/>
        </w:rPr>
        <w:t xml:space="preserve"> </w:t>
      </w:r>
      <w:r>
        <w:t>these</w:t>
      </w:r>
      <w:r>
        <w:rPr>
          <w:spacing w:val="-10"/>
        </w:rPr>
        <w:t xml:space="preserve"> </w:t>
      </w:r>
      <w:r>
        <w:t>initial</w:t>
      </w:r>
      <w:r>
        <w:rPr>
          <w:spacing w:val="-10"/>
        </w:rPr>
        <w:t xml:space="preserve"> </w:t>
      </w:r>
      <w:r>
        <w:t>efforts</w:t>
      </w:r>
      <w:r>
        <w:rPr>
          <w:spacing w:val="-10"/>
        </w:rPr>
        <w:t xml:space="preserve"> </w:t>
      </w:r>
      <w:r>
        <w:t>to</w:t>
      </w:r>
      <w:r>
        <w:rPr>
          <w:spacing w:val="-10"/>
        </w:rPr>
        <w:t xml:space="preserve"> </w:t>
      </w:r>
      <w:r>
        <w:t>reach</w:t>
      </w:r>
      <w:r>
        <w:rPr>
          <w:spacing w:val="-9"/>
        </w:rPr>
        <w:t xml:space="preserve"> </w:t>
      </w:r>
      <w:r>
        <w:t>this</w:t>
      </w:r>
      <w:r>
        <w:rPr>
          <w:spacing w:val="-9"/>
        </w:rPr>
        <w:t xml:space="preserve"> </w:t>
      </w:r>
      <w:r>
        <w:t>target</w:t>
      </w:r>
      <w:r>
        <w:rPr>
          <w:spacing w:val="-11"/>
        </w:rPr>
        <w:t xml:space="preserve"> </w:t>
      </w:r>
      <w:r>
        <w:t>group</w:t>
      </w:r>
      <w:r>
        <w:rPr>
          <w:spacing w:val="-9"/>
        </w:rPr>
        <w:t xml:space="preserve"> </w:t>
      </w:r>
      <w:r>
        <w:t>at</w:t>
      </w:r>
      <w:r>
        <w:rPr>
          <w:spacing w:val="-9"/>
        </w:rPr>
        <w:t xml:space="preserve"> </w:t>
      </w:r>
      <w:r>
        <w:t>an</w:t>
      </w:r>
      <w:r>
        <w:rPr>
          <w:spacing w:val="-10"/>
        </w:rPr>
        <w:t xml:space="preserve"> </w:t>
      </w:r>
      <w:r>
        <w:t>individual</w:t>
      </w:r>
      <w:r>
        <w:rPr>
          <w:spacing w:val="-10"/>
        </w:rPr>
        <w:t xml:space="preserve"> </w:t>
      </w:r>
      <w:r>
        <w:t>level.</w:t>
      </w:r>
    </w:p>
    <w:p w14:paraId="2E967D9A" w14:textId="77777777" w:rsidR="00141B97" w:rsidRDefault="00141B97">
      <w:pPr>
        <w:pStyle w:val="BodyText"/>
      </w:pPr>
    </w:p>
    <w:p w14:paraId="5E5D41CE" w14:textId="77777777" w:rsidR="00141B97" w:rsidRDefault="00911D63">
      <w:pPr>
        <w:pStyle w:val="BodyText"/>
        <w:ind w:left="154" w:right="246"/>
        <w:jc w:val="both"/>
      </w:pPr>
      <w:r>
        <w:t>For urban customers, specific attention was given to attracting participation in an Urban Deliberative Panel (UDP)</w:t>
      </w:r>
      <w:r>
        <w:rPr>
          <w:spacing w:val="-11"/>
        </w:rPr>
        <w:t xml:space="preserve"> </w:t>
      </w:r>
      <w:r>
        <w:t>from</w:t>
      </w:r>
      <w:r>
        <w:rPr>
          <w:spacing w:val="-10"/>
        </w:rPr>
        <w:t xml:space="preserve"> </w:t>
      </w:r>
      <w:r>
        <w:t>a</w:t>
      </w:r>
      <w:r>
        <w:rPr>
          <w:spacing w:val="-10"/>
        </w:rPr>
        <w:t xml:space="preserve"> </w:t>
      </w:r>
      <w:r>
        <w:t>diverse</w:t>
      </w:r>
      <w:r>
        <w:rPr>
          <w:spacing w:val="-13"/>
        </w:rPr>
        <w:t xml:space="preserve"> </w:t>
      </w:r>
      <w:r>
        <w:t>range</w:t>
      </w:r>
      <w:r>
        <w:rPr>
          <w:spacing w:val="-11"/>
        </w:rPr>
        <w:t xml:space="preserve"> </w:t>
      </w:r>
      <w:r>
        <w:t>of</w:t>
      </w:r>
      <w:r>
        <w:rPr>
          <w:spacing w:val="-11"/>
        </w:rPr>
        <w:t xml:space="preserve"> </w:t>
      </w:r>
      <w:r>
        <w:t>people</w:t>
      </w:r>
      <w:r>
        <w:rPr>
          <w:spacing w:val="-11"/>
        </w:rPr>
        <w:t xml:space="preserve"> </w:t>
      </w:r>
      <w:r>
        <w:t>reflecting</w:t>
      </w:r>
      <w:r>
        <w:rPr>
          <w:spacing w:val="-12"/>
        </w:rPr>
        <w:t xml:space="preserve"> </w:t>
      </w:r>
      <w:r>
        <w:t>LMW’s</w:t>
      </w:r>
      <w:r>
        <w:rPr>
          <w:spacing w:val="-11"/>
        </w:rPr>
        <w:t xml:space="preserve"> </w:t>
      </w:r>
      <w:r>
        <w:t>service</w:t>
      </w:r>
      <w:r>
        <w:rPr>
          <w:spacing w:val="-12"/>
        </w:rPr>
        <w:t xml:space="preserve"> </w:t>
      </w:r>
      <w:r>
        <w:t>region,</w:t>
      </w:r>
      <w:r>
        <w:rPr>
          <w:spacing w:val="-11"/>
        </w:rPr>
        <w:t xml:space="preserve"> </w:t>
      </w:r>
      <w:r>
        <w:t>including</w:t>
      </w:r>
      <w:r>
        <w:rPr>
          <w:spacing w:val="-12"/>
        </w:rPr>
        <w:t xml:space="preserve"> </w:t>
      </w:r>
      <w:r>
        <w:t>male,</w:t>
      </w:r>
      <w:r>
        <w:rPr>
          <w:spacing w:val="-11"/>
        </w:rPr>
        <w:t xml:space="preserve"> </w:t>
      </w:r>
      <w:r>
        <w:t>female,</w:t>
      </w:r>
      <w:r>
        <w:rPr>
          <w:spacing w:val="-11"/>
        </w:rPr>
        <w:t xml:space="preserve"> </w:t>
      </w:r>
      <w:r>
        <w:t>people</w:t>
      </w:r>
      <w:r>
        <w:rPr>
          <w:spacing w:val="-11"/>
        </w:rPr>
        <w:t xml:space="preserve"> </w:t>
      </w:r>
      <w:r>
        <w:t>identifying as LGBTQIA+, Aboriginal, retirees and unemployed. Customer group coverage included residential customers from both large and small urban systems, commercial customers including large commercial and trade waste</w:t>
      </w:r>
    </w:p>
    <w:p w14:paraId="3AB252E7" w14:textId="77777777" w:rsidR="00141B97" w:rsidRDefault="00141B97">
      <w:pPr>
        <w:jc w:val="both"/>
        <w:sectPr w:rsidR="00141B97">
          <w:pgSz w:w="11910" w:h="16840"/>
          <w:pgMar w:top="820" w:right="740" w:bottom="1120" w:left="980" w:header="0" w:footer="896" w:gutter="0"/>
          <w:cols w:space="720"/>
        </w:sectPr>
      </w:pPr>
    </w:p>
    <w:p w14:paraId="6623444D" w14:textId="77777777" w:rsidR="00141B97" w:rsidRDefault="00911D63">
      <w:pPr>
        <w:pStyle w:val="BodyText"/>
        <w:spacing w:before="31"/>
        <w:ind w:left="153" w:right="248"/>
        <w:jc w:val="both"/>
      </w:pPr>
      <w:r>
        <w:lastRenderedPageBreak/>
        <w:t>customers, land developers, regional agencies, and service providers, as well as Members of Parliament. UDP members remained available outside the panel sessions for one‐on‐one contact to assist LMW refine key outputs and outcomes for this pricing submission. Both incentivised (discount on LMW water bill) and non‐ incentivised methods were utilised to attract and engage a representative sample of urban customers.</w:t>
      </w:r>
    </w:p>
    <w:p w14:paraId="72003CC0" w14:textId="77777777" w:rsidR="00141B97" w:rsidRDefault="00141B97">
      <w:pPr>
        <w:pStyle w:val="BodyText"/>
      </w:pPr>
    </w:p>
    <w:p w14:paraId="0E27787B" w14:textId="77777777" w:rsidR="00141B97" w:rsidRDefault="00911D63">
      <w:pPr>
        <w:pStyle w:val="BodyText"/>
        <w:ind w:left="153" w:right="247" w:hanging="1"/>
        <w:jc w:val="both"/>
      </w:pPr>
      <w:r>
        <w:t>For rural customers, the established Customer Advisory Committees (CSAC) and the Strategic Advisory Committees</w:t>
      </w:r>
      <w:r>
        <w:rPr>
          <w:spacing w:val="-13"/>
        </w:rPr>
        <w:t xml:space="preserve"> </w:t>
      </w:r>
      <w:r>
        <w:t>(SAC)</w:t>
      </w:r>
      <w:r>
        <w:rPr>
          <w:spacing w:val="-12"/>
        </w:rPr>
        <w:t xml:space="preserve"> </w:t>
      </w:r>
      <w:r>
        <w:t>were</w:t>
      </w:r>
      <w:r>
        <w:rPr>
          <w:spacing w:val="-13"/>
        </w:rPr>
        <w:t xml:space="preserve"> </w:t>
      </w:r>
      <w:r>
        <w:t>engaged</w:t>
      </w:r>
      <w:r>
        <w:rPr>
          <w:spacing w:val="-12"/>
        </w:rPr>
        <w:t xml:space="preserve"> </w:t>
      </w:r>
      <w:r>
        <w:t>throughout</w:t>
      </w:r>
      <w:r>
        <w:rPr>
          <w:spacing w:val="-13"/>
        </w:rPr>
        <w:t xml:space="preserve"> </w:t>
      </w:r>
      <w:r>
        <w:t>the</w:t>
      </w:r>
      <w:r>
        <w:rPr>
          <w:spacing w:val="-12"/>
        </w:rPr>
        <w:t xml:space="preserve"> </w:t>
      </w:r>
      <w:r>
        <w:t>customer</w:t>
      </w:r>
      <w:r>
        <w:rPr>
          <w:spacing w:val="-13"/>
        </w:rPr>
        <w:t xml:space="preserve"> </w:t>
      </w:r>
      <w:r>
        <w:t>engagement</w:t>
      </w:r>
      <w:r>
        <w:rPr>
          <w:spacing w:val="-12"/>
        </w:rPr>
        <w:t xml:space="preserve"> </w:t>
      </w:r>
      <w:r>
        <w:t>process,</w:t>
      </w:r>
      <w:r>
        <w:rPr>
          <w:spacing w:val="-12"/>
        </w:rPr>
        <w:t xml:space="preserve"> </w:t>
      </w:r>
      <w:r>
        <w:t>supported</w:t>
      </w:r>
      <w:r>
        <w:rPr>
          <w:spacing w:val="-13"/>
        </w:rPr>
        <w:t xml:space="preserve"> </w:t>
      </w:r>
      <w:r>
        <w:t>by</w:t>
      </w:r>
      <w:r>
        <w:rPr>
          <w:spacing w:val="-12"/>
        </w:rPr>
        <w:t xml:space="preserve"> </w:t>
      </w:r>
      <w:r>
        <w:t>individual</w:t>
      </w:r>
      <w:r>
        <w:rPr>
          <w:spacing w:val="-13"/>
        </w:rPr>
        <w:t xml:space="preserve"> </w:t>
      </w:r>
      <w:r>
        <w:t>district PS5 consultation with pump station tours and BBQ events held in each rural district and open to all rural customers. In addition to known and established networks, supplementary engagement activities included community markets, field days, ad hoc in‐field engagement activity utilising technical field staff to engage customers, and individual interviews with major stakeholders across LMW’s rural business including Citrus Australia, Almond Board of Australia, Australian Table Grapes Association (Murray Valley Winegrowers Inc), Dried</w:t>
      </w:r>
      <w:r>
        <w:rPr>
          <w:spacing w:val="-3"/>
        </w:rPr>
        <w:t xml:space="preserve"> </w:t>
      </w:r>
      <w:r>
        <w:t>Fruits</w:t>
      </w:r>
      <w:r>
        <w:rPr>
          <w:spacing w:val="-2"/>
        </w:rPr>
        <w:t xml:space="preserve"> </w:t>
      </w:r>
      <w:r>
        <w:t>Australia,</w:t>
      </w:r>
      <w:r>
        <w:rPr>
          <w:spacing w:val="-3"/>
        </w:rPr>
        <w:t xml:space="preserve"> </w:t>
      </w:r>
      <w:r>
        <w:t>Mildura</w:t>
      </w:r>
      <w:r>
        <w:rPr>
          <w:spacing w:val="-2"/>
        </w:rPr>
        <w:t xml:space="preserve"> </w:t>
      </w:r>
      <w:r>
        <w:t>Regional</w:t>
      </w:r>
      <w:r>
        <w:rPr>
          <w:spacing w:val="-2"/>
        </w:rPr>
        <w:t xml:space="preserve"> </w:t>
      </w:r>
      <w:r>
        <w:t>Development</w:t>
      </w:r>
      <w:r>
        <w:rPr>
          <w:spacing w:val="-2"/>
        </w:rPr>
        <w:t xml:space="preserve"> </w:t>
      </w:r>
      <w:r>
        <w:t>and</w:t>
      </w:r>
      <w:r>
        <w:rPr>
          <w:spacing w:val="-3"/>
        </w:rPr>
        <w:t xml:space="preserve"> </w:t>
      </w:r>
      <w:r>
        <w:t>Mildura</w:t>
      </w:r>
      <w:r>
        <w:rPr>
          <w:spacing w:val="-2"/>
        </w:rPr>
        <w:t xml:space="preserve"> </w:t>
      </w:r>
      <w:r>
        <w:t>Rural</w:t>
      </w:r>
      <w:r>
        <w:rPr>
          <w:spacing w:val="-3"/>
        </w:rPr>
        <w:t xml:space="preserve"> </w:t>
      </w:r>
      <w:r>
        <w:t>City</w:t>
      </w:r>
      <w:r>
        <w:rPr>
          <w:spacing w:val="-3"/>
        </w:rPr>
        <w:t xml:space="preserve"> </w:t>
      </w:r>
      <w:r>
        <w:t>Council</w:t>
      </w:r>
      <w:r>
        <w:rPr>
          <w:spacing w:val="-2"/>
        </w:rPr>
        <w:t xml:space="preserve"> </w:t>
      </w:r>
      <w:r>
        <w:t>was</w:t>
      </w:r>
      <w:r>
        <w:rPr>
          <w:spacing w:val="-3"/>
        </w:rPr>
        <w:t xml:space="preserve"> </w:t>
      </w:r>
      <w:r>
        <w:t>undertaken.</w:t>
      </w:r>
      <w:r>
        <w:rPr>
          <w:spacing w:val="-4"/>
        </w:rPr>
        <w:t xml:space="preserve"> </w:t>
      </w:r>
      <w:r>
        <w:t>The</w:t>
      </w:r>
      <w:r>
        <w:rPr>
          <w:spacing w:val="-2"/>
        </w:rPr>
        <w:t xml:space="preserve"> </w:t>
      </w:r>
      <w:r>
        <w:t>rural committees were utilised further to test and refine the key outputs and outcomes for this pricing submission utilising feedback gathered from all engagement activity.</w:t>
      </w:r>
    </w:p>
    <w:p w14:paraId="1B45BB5C" w14:textId="77777777" w:rsidR="00141B97" w:rsidRDefault="00141B97">
      <w:pPr>
        <w:pStyle w:val="BodyText"/>
      </w:pPr>
    </w:p>
    <w:p w14:paraId="5D31867F" w14:textId="77777777" w:rsidR="00141B97" w:rsidRDefault="00911D63">
      <w:pPr>
        <w:pStyle w:val="BodyText"/>
        <w:spacing w:line="268" w:lineRule="exact"/>
        <w:ind w:left="154"/>
        <w:jc w:val="both"/>
      </w:pPr>
      <w:r>
        <w:rPr>
          <w:spacing w:val="-2"/>
        </w:rPr>
        <w:t>Vulnerable</w:t>
      </w:r>
      <w:r>
        <w:rPr>
          <w:spacing w:val="6"/>
        </w:rPr>
        <w:t xml:space="preserve"> </w:t>
      </w:r>
      <w:r>
        <w:rPr>
          <w:spacing w:val="-2"/>
        </w:rPr>
        <w:t>customers</w:t>
      </w:r>
    </w:p>
    <w:p w14:paraId="50019A51" w14:textId="77777777" w:rsidR="00141B97" w:rsidRDefault="00911D63">
      <w:pPr>
        <w:pStyle w:val="BodyText"/>
        <w:ind w:left="153" w:right="246"/>
        <w:jc w:val="both"/>
      </w:pPr>
      <w:r>
        <w:t>As mentioned earlier, LMW was challenged by the impacts of COVID‐19 restrictions in implementing the full suite of engagement activities identified to engage with vulnerable customers, however engagement with service providers across the region that work closely with this target group yielded valuable insights that were fed into the development of customer outcomes and guaranteed service levels. These insights were provided in</w:t>
      </w:r>
      <w:r>
        <w:rPr>
          <w:spacing w:val="-1"/>
        </w:rPr>
        <w:t xml:space="preserve"> </w:t>
      </w:r>
      <w:r>
        <w:t>support</w:t>
      </w:r>
      <w:r>
        <w:rPr>
          <w:spacing w:val="-1"/>
        </w:rPr>
        <w:t xml:space="preserve"> </w:t>
      </w:r>
      <w:r>
        <w:t>of vulnerable</w:t>
      </w:r>
      <w:r>
        <w:rPr>
          <w:spacing w:val="-2"/>
        </w:rPr>
        <w:t xml:space="preserve"> </w:t>
      </w:r>
      <w:r>
        <w:t>customers and identified issues regarding</w:t>
      </w:r>
      <w:r>
        <w:rPr>
          <w:spacing w:val="-1"/>
        </w:rPr>
        <w:t xml:space="preserve"> </w:t>
      </w:r>
      <w:r>
        <w:t>the</w:t>
      </w:r>
      <w:r>
        <w:rPr>
          <w:spacing w:val="-1"/>
        </w:rPr>
        <w:t xml:space="preserve"> </w:t>
      </w:r>
      <w:r>
        <w:t>perceptions</w:t>
      </w:r>
      <w:r>
        <w:rPr>
          <w:spacing w:val="-1"/>
        </w:rPr>
        <w:t xml:space="preserve"> </w:t>
      </w:r>
      <w:r>
        <w:t>that exist of LMW’s current hardship and debt collection services and the potential need for dedicated resources to better support customers requiring hardship management plans. Insights were also provided to better enable LMW to understand the profile of its vulnerable customers noting that many of them are high water users and that proposed changes to the tiered pricing structure may potentially further disadvantage these customers. Many of</w:t>
      </w:r>
      <w:r>
        <w:rPr>
          <w:spacing w:val="-5"/>
        </w:rPr>
        <w:t xml:space="preserve"> </w:t>
      </w:r>
      <w:r>
        <w:t>the</w:t>
      </w:r>
      <w:r>
        <w:rPr>
          <w:spacing w:val="-6"/>
        </w:rPr>
        <w:t xml:space="preserve"> </w:t>
      </w:r>
      <w:r>
        <w:t>service</w:t>
      </w:r>
      <w:r>
        <w:rPr>
          <w:spacing w:val="-5"/>
        </w:rPr>
        <w:t xml:space="preserve"> </w:t>
      </w:r>
      <w:r>
        <w:t>providers</w:t>
      </w:r>
      <w:r>
        <w:rPr>
          <w:spacing w:val="-6"/>
        </w:rPr>
        <w:t xml:space="preserve"> </w:t>
      </w:r>
      <w:r>
        <w:t>engaged</w:t>
      </w:r>
      <w:r>
        <w:rPr>
          <w:spacing w:val="-4"/>
        </w:rPr>
        <w:t xml:space="preserve"> </w:t>
      </w:r>
      <w:r>
        <w:t>indicated</w:t>
      </w:r>
      <w:r>
        <w:rPr>
          <w:spacing w:val="-6"/>
        </w:rPr>
        <w:t xml:space="preserve"> </w:t>
      </w:r>
      <w:r>
        <w:t>that</w:t>
      </w:r>
      <w:r>
        <w:rPr>
          <w:spacing w:val="-5"/>
        </w:rPr>
        <w:t xml:space="preserve"> </w:t>
      </w:r>
      <w:r>
        <w:t>they</w:t>
      </w:r>
      <w:r>
        <w:rPr>
          <w:spacing w:val="-4"/>
        </w:rPr>
        <w:t xml:space="preserve"> </w:t>
      </w:r>
      <w:r>
        <w:t>would</w:t>
      </w:r>
      <w:r>
        <w:rPr>
          <w:spacing w:val="-6"/>
        </w:rPr>
        <w:t xml:space="preserve"> </w:t>
      </w:r>
      <w:r>
        <w:t>be</w:t>
      </w:r>
      <w:r>
        <w:rPr>
          <w:spacing w:val="-6"/>
        </w:rPr>
        <w:t xml:space="preserve"> </w:t>
      </w:r>
      <w:r>
        <w:t>willing</w:t>
      </w:r>
      <w:r>
        <w:rPr>
          <w:spacing w:val="-6"/>
        </w:rPr>
        <w:t xml:space="preserve"> </w:t>
      </w:r>
      <w:r>
        <w:t>to</w:t>
      </w:r>
      <w:r>
        <w:rPr>
          <w:spacing w:val="-5"/>
        </w:rPr>
        <w:t xml:space="preserve"> </w:t>
      </w:r>
      <w:r>
        <w:t>work</w:t>
      </w:r>
      <w:r>
        <w:rPr>
          <w:spacing w:val="-5"/>
        </w:rPr>
        <w:t xml:space="preserve"> </w:t>
      </w:r>
      <w:r>
        <w:t>closely</w:t>
      </w:r>
      <w:r>
        <w:rPr>
          <w:spacing w:val="-5"/>
        </w:rPr>
        <w:t xml:space="preserve"> </w:t>
      </w:r>
      <w:r>
        <w:t>with</w:t>
      </w:r>
      <w:r>
        <w:rPr>
          <w:spacing w:val="-6"/>
        </w:rPr>
        <w:t xml:space="preserve"> </w:t>
      </w:r>
      <w:r>
        <w:t>LMW</w:t>
      </w:r>
      <w:r>
        <w:rPr>
          <w:spacing w:val="-6"/>
        </w:rPr>
        <w:t xml:space="preserve"> </w:t>
      </w:r>
      <w:r>
        <w:t>in</w:t>
      </w:r>
      <w:r>
        <w:rPr>
          <w:spacing w:val="-6"/>
        </w:rPr>
        <w:t xml:space="preserve"> </w:t>
      </w:r>
      <w:r>
        <w:t>review</w:t>
      </w:r>
      <w:r>
        <w:rPr>
          <w:spacing w:val="-4"/>
        </w:rPr>
        <w:t xml:space="preserve"> </w:t>
      </w:r>
      <w:r>
        <w:t>of</w:t>
      </w:r>
      <w:r>
        <w:rPr>
          <w:spacing w:val="-5"/>
        </w:rPr>
        <w:t xml:space="preserve"> </w:t>
      </w:r>
      <w:r>
        <w:t>the tiered urban pricing structure over the regulatory period and cautioned any change to the model without a detailed review to identify the variety of reasons a customer may have high water use.</w:t>
      </w:r>
    </w:p>
    <w:p w14:paraId="6889E9A5" w14:textId="77777777" w:rsidR="00141B97" w:rsidRDefault="00141B97">
      <w:pPr>
        <w:pStyle w:val="BodyText"/>
      </w:pPr>
    </w:p>
    <w:p w14:paraId="0DD53F14" w14:textId="77777777" w:rsidR="00141B97" w:rsidRDefault="00911D63">
      <w:pPr>
        <w:pStyle w:val="BodyText"/>
        <w:spacing w:before="1"/>
        <w:ind w:left="153"/>
        <w:jc w:val="both"/>
      </w:pPr>
      <w:r>
        <w:t>First</w:t>
      </w:r>
      <w:r>
        <w:rPr>
          <w:spacing w:val="-8"/>
        </w:rPr>
        <w:t xml:space="preserve"> </w:t>
      </w:r>
      <w:r>
        <w:t>Nations</w:t>
      </w:r>
      <w:r>
        <w:rPr>
          <w:spacing w:val="-7"/>
        </w:rPr>
        <w:t xml:space="preserve"> </w:t>
      </w:r>
      <w:r>
        <w:rPr>
          <w:spacing w:val="-2"/>
        </w:rPr>
        <w:t>people</w:t>
      </w:r>
    </w:p>
    <w:p w14:paraId="48E19777" w14:textId="77777777" w:rsidR="00141B97" w:rsidRDefault="00911D63">
      <w:pPr>
        <w:pStyle w:val="BodyText"/>
        <w:ind w:left="153" w:right="245"/>
        <w:jc w:val="both"/>
      </w:pPr>
      <w:r>
        <w:t xml:space="preserve">LMW acknowledges the limited targeted engagement with First Nations peoples in PS4 and drawing upon its own learnings and evolution in better understanding indigenous communities, utilised these experiences to inform a targeted engagement plan that would better engage with indigenous cohorts for PS5. Again, implementation of the plan was challenged by significant impacts, largely due to COVID‐19 restrictions which limited the opportunities to engage directly with indigenous communities however, much like with vulnerable customers, LMW took the opportunity to engage with gateway service providers across the region such as Mallee District Aboriginal Services, Murray Valley Aboriginal Co‐Op and the Department of Health and Human </w:t>
      </w:r>
      <w:r>
        <w:rPr>
          <w:spacing w:val="-2"/>
        </w:rPr>
        <w:t>Services.</w:t>
      </w:r>
    </w:p>
    <w:p w14:paraId="117C88B9" w14:textId="77777777" w:rsidR="00141B97" w:rsidRDefault="00141B97">
      <w:pPr>
        <w:pStyle w:val="BodyText"/>
        <w:spacing w:before="12"/>
        <w:rPr>
          <w:sz w:val="21"/>
        </w:rPr>
      </w:pPr>
    </w:p>
    <w:p w14:paraId="7195E889" w14:textId="77777777" w:rsidR="00141B97" w:rsidRDefault="00911D63">
      <w:pPr>
        <w:pStyle w:val="BodyText"/>
        <w:ind w:left="153" w:right="247" w:hanging="1"/>
        <w:jc w:val="both"/>
      </w:pPr>
      <w:r>
        <w:t>In addition, targeted engagement with local Registered Aboriginal Party, First People of the Millewa‐Mallee Aboriginal Corporation (FPMMAC), was undertaken, leveraging upon earlier discussions that had occurred through the development of LMW’s Urban Water Strategy Review. This targeted PS5 consultation resulted in the</w:t>
      </w:r>
      <w:r>
        <w:rPr>
          <w:spacing w:val="-5"/>
        </w:rPr>
        <w:t xml:space="preserve"> </w:t>
      </w:r>
      <w:r>
        <w:t>identification</w:t>
      </w:r>
      <w:r>
        <w:rPr>
          <w:spacing w:val="-5"/>
        </w:rPr>
        <w:t xml:space="preserve"> </w:t>
      </w:r>
      <w:r>
        <w:t>of</w:t>
      </w:r>
      <w:r>
        <w:rPr>
          <w:spacing w:val="-5"/>
        </w:rPr>
        <w:t xml:space="preserve"> </w:t>
      </w:r>
      <w:r>
        <w:t>potential</w:t>
      </w:r>
      <w:r>
        <w:rPr>
          <w:spacing w:val="-5"/>
        </w:rPr>
        <w:t xml:space="preserve"> </w:t>
      </w:r>
      <w:r>
        <w:t>projects</w:t>
      </w:r>
      <w:r>
        <w:rPr>
          <w:spacing w:val="-5"/>
        </w:rPr>
        <w:t xml:space="preserve"> </w:t>
      </w:r>
      <w:r>
        <w:t>for</w:t>
      </w:r>
      <w:r>
        <w:rPr>
          <w:spacing w:val="-6"/>
        </w:rPr>
        <w:t xml:space="preserve"> </w:t>
      </w:r>
      <w:r>
        <w:t>PS5</w:t>
      </w:r>
      <w:r>
        <w:rPr>
          <w:spacing w:val="-4"/>
        </w:rPr>
        <w:t xml:space="preserve"> </w:t>
      </w:r>
      <w:r>
        <w:t>including</w:t>
      </w:r>
      <w:r>
        <w:rPr>
          <w:spacing w:val="-6"/>
        </w:rPr>
        <w:t xml:space="preserve"> </w:t>
      </w:r>
      <w:r>
        <w:t>joint</w:t>
      </w:r>
      <w:r>
        <w:rPr>
          <w:spacing w:val="-4"/>
        </w:rPr>
        <w:t xml:space="preserve"> </w:t>
      </w:r>
      <w:r>
        <w:t>initiatives</w:t>
      </w:r>
      <w:r>
        <w:rPr>
          <w:spacing w:val="-6"/>
        </w:rPr>
        <w:t xml:space="preserve"> </w:t>
      </w:r>
      <w:r>
        <w:t>and</w:t>
      </w:r>
      <w:r>
        <w:rPr>
          <w:spacing w:val="-5"/>
        </w:rPr>
        <w:t xml:space="preserve"> </w:t>
      </w:r>
      <w:r>
        <w:t>the</w:t>
      </w:r>
      <w:r>
        <w:rPr>
          <w:spacing w:val="-5"/>
        </w:rPr>
        <w:t xml:space="preserve"> </w:t>
      </w:r>
      <w:r>
        <w:t>provision</w:t>
      </w:r>
      <w:r>
        <w:rPr>
          <w:spacing w:val="-5"/>
        </w:rPr>
        <w:t xml:space="preserve"> </w:t>
      </w:r>
      <w:r>
        <w:t>of</w:t>
      </w:r>
      <w:r>
        <w:rPr>
          <w:spacing w:val="-5"/>
        </w:rPr>
        <w:t xml:space="preserve"> </w:t>
      </w:r>
      <w:r>
        <w:t>services</w:t>
      </w:r>
      <w:r>
        <w:rPr>
          <w:spacing w:val="-5"/>
        </w:rPr>
        <w:t xml:space="preserve"> </w:t>
      </w:r>
      <w:r>
        <w:t>to</w:t>
      </w:r>
      <w:r>
        <w:rPr>
          <w:spacing w:val="-5"/>
        </w:rPr>
        <w:t xml:space="preserve"> </w:t>
      </w:r>
      <w:r>
        <w:t>LMW</w:t>
      </w:r>
      <w:r>
        <w:rPr>
          <w:spacing w:val="-5"/>
        </w:rPr>
        <w:t xml:space="preserve"> </w:t>
      </w:r>
      <w:r>
        <w:t>by FPMMAC, as well as funding and employment opportunities. This, combined with the targeted engagement activity</w:t>
      </w:r>
      <w:r>
        <w:rPr>
          <w:spacing w:val="-4"/>
        </w:rPr>
        <w:t xml:space="preserve"> </w:t>
      </w:r>
      <w:r>
        <w:t>with</w:t>
      </w:r>
      <w:r>
        <w:rPr>
          <w:spacing w:val="-4"/>
        </w:rPr>
        <w:t xml:space="preserve"> </w:t>
      </w:r>
      <w:r>
        <w:t>key</w:t>
      </w:r>
      <w:r>
        <w:rPr>
          <w:spacing w:val="-5"/>
        </w:rPr>
        <w:t xml:space="preserve"> </w:t>
      </w:r>
      <w:r>
        <w:t>service</w:t>
      </w:r>
      <w:r>
        <w:rPr>
          <w:spacing w:val="-5"/>
        </w:rPr>
        <w:t xml:space="preserve"> </w:t>
      </w:r>
      <w:r>
        <w:t>providers</w:t>
      </w:r>
      <w:r>
        <w:rPr>
          <w:spacing w:val="-4"/>
        </w:rPr>
        <w:t xml:space="preserve"> </w:t>
      </w:r>
      <w:r>
        <w:t>within</w:t>
      </w:r>
      <w:r>
        <w:rPr>
          <w:spacing w:val="-3"/>
        </w:rPr>
        <w:t xml:space="preserve"> </w:t>
      </w:r>
      <w:r>
        <w:t>the</w:t>
      </w:r>
      <w:r>
        <w:rPr>
          <w:spacing w:val="-5"/>
        </w:rPr>
        <w:t xml:space="preserve"> </w:t>
      </w:r>
      <w:r>
        <w:t>service</w:t>
      </w:r>
      <w:r>
        <w:rPr>
          <w:spacing w:val="-5"/>
        </w:rPr>
        <w:t xml:space="preserve"> </w:t>
      </w:r>
      <w:r>
        <w:t>region,</w:t>
      </w:r>
      <w:r>
        <w:rPr>
          <w:spacing w:val="-4"/>
        </w:rPr>
        <w:t xml:space="preserve"> </w:t>
      </w:r>
      <w:r>
        <w:t>enabled</w:t>
      </w:r>
      <w:r>
        <w:rPr>
          <w:spacing w:val="-4"/>
        </w:rPr>
        <w:t xml:space="preserve"> </w:t>
      </w:r>
      <w:r>
        <w:t>LMW</w:t>
      </w:r>
      <w:r>
        <w:rPr>
          <w:spacing w:val="-5"/>
        </w:rPr>
        <w:t xml:space="preserve"> </w:t>
      </w:r>
      <w:r>
        <w:t>to</w:t>
      </w:r>
      <w:r>
        <w:rPr>
          <w:spacing w:val="-4"/>
        </w:rPr>
        <w:t xml:space="preserve"> </w:t>
      </w:r>
      <w:r>
        <w:t>explore</w:t>
      </w:r>
      <w:r>
        <w:rPr>
          <w:spacing w:val="-4"/>
        </w:rPr>
        <w:t xml:space="preserve"> </w:t>
      </w:r>
      <w:r>
        <w:t>the</w:t>
      </w:r>
      <w:r>
        <w:rPr>
          <w:spacing w:val="-5"/>
        </w:rPr>
        <w:t xml:space="preserve"> </w:t>
      </w:r>
      <w:r>
        <w:t>needs,</w:t>
      </w:r>
      <w:r>
        <w:rPr>
          <w:spacing w:val="-5"/>
        </w:rPr>
        <w:t xml:space="preserve"> </w:t>
      </w:r>
      <w:r>
        <w:t>considerations and impacts to customers that crossed between vulnerable and First Nations groups.</w:t>
      </w:r>
    </w:p>
    <w:p w14:paraId="1F06CCFA" w14:textId="77777777" w:rsidR="00141B97" w:rsidRDefault="00141B97">
      <w:pPr>
        <w:pStyle w:val="BodyText"/>
        <w:spacing w:before="11"/>
        <w:rPr>
          <w:sz w:val="21"/>
        </w:rPr>
      </w:pPr>
    </w:p>
    <w:p w14:paraId="62F25A60" w14:textId="77777777" w:rsidR="00141B97" w:rsidRDefault="00911D63">
      <w:pPr>
        <w:pStyle w:val="BodyText"/>
        <w:spacing w:before="1"/>
        <w:ind w:left="153"/>
        <w:jc w:val="both"/>
      </w:pPr>
      <w:r>
        <w:t>Internal</w:t>
      </w:r>
      <w:r>
        <w:rPr>
          <w:spacing w:val="-8"/>
        </w:rPr>
        <w:t xml:space="preserve"> </w:t>
      </w:r>
      <w:r>
        <w:rPr>
          <w:spacing w:val="-2"/>
        </w:rPr>
        <w:t>engagement</w:t>
      </w:r>
    </w:p>
    <w:p w14:paraId="068200A0" w14:textId="77777777" w:rsidR="00141B97" w:rsidRDefault="00911D63">
      <w:pPr>
        <w:pStyle w:val="BodyText"/>
        <w:ind w:left="153" w:right="247"/>
        <w:jc w:val="both"/>
      </w:pPr>
      <w:r>
        <w:t>In addition to external consultation, an internal engagement program to engage with LMW staff was implemented in recognition of the fact that employees are both internal customers of LMW (who see services through a customer‐service lens) and an external customer living in LMW’s serviced communities. LMW engaged with staff to better understand the effectiveness of LMW’s communication</w:t>
      </w:r>
      <w:r>
        <w:rPr>
          <w:spacing w:val="-1"/>
        </w:rPr>
        <w:t xml:space="preserve"> </w:t>
      </w:r>
      <w:r>
        <w:t>with customers regarding services and interruptions or scheduled works, billing processes and explanation of fees and charges, hardship support including opportunities to improve, and service/cost trade‐offs. Outcomes from these sessions were</w:t>
      </w:r>
    </w:p>
    <w:p w14:paraId="445EB53E" w14:textId="77777777" w:rsidR="00141B97" w:rsidRDefault="00141B97">
      <w:pPr>
        <w:jc w:val="both"/>
        <w:sectPr w:rsidR="00141B97">
          <w:pgSz w:w="11910" w:h="16840"/>
          <w:pgMar w:top="820" w:right="740" w:bottom="1120" w:left="980" w:header="0" w:footer="896" w:gutter="0"/>
          <w:cols w:space="720"/>
        </w:sectPr>
      </w:pPr>
    </w:p>
    <w:p w14:paraId="005BF16E" w14:textId="77777777" w:rsidR="00141B97" w:rsidRDefault="00911D63">
      <w:pPr>
        <w:pStyle w:val="BodyText"/>
        <w:spacing w:before="31"/>
        <w:ind w:left="154" w:right="247" w:hanging="1"/>
        <w:jc w:val="both"/>
      </w:pPr>
      <w:r>
        <w:lastRenderedPageBreak/>
        <w:t>then compiled and subsequently tested with customers during engagement activity to validate and cross‐ reference the learnings.</w:t>
      </w:r>
    </w:p>
    <w:p w14:paraId="6249BDA2" w14:textId="77777777" w:rsidR="00141B97" w:rsidRDefault="00141B97">
      <w:pPr>
        <w:pStyle w:val="BodyText"/>
        <w:spacing w:before="12"/>
        <w:rPr>
          <w:sz w:val="21"/>
        </w:rPr>
      </w:pPr>
    </w:p>
    <w:p w14:paraId="41FCE44B" w14:textId="77777777" w:rsidR="00141B97" w:rsidRDefault="00911D63">
      <w:pPr>
        <w:pStyle w:val="BodyText"/>
        <w:ind w:left="153" w:right="247"/>
        <w:jc w:val="both"/>
      </w:pPr>
      <w:r>
        <w:t>Whilst LMW’s Board was heavily engaged in the development of PS5 from an attestation perspective, an engagement plan to involve and inform the Board of key engagement activity and participation opportunities was also developed which resulted in Board members attending face‐to‐face and online engagement activity with customers.</w:t>
      </w:r>
    </w:p>
    <w:p w14:paraId="1DCEDD73" w14:textId="77777777" w:rsidR="00141B97" w:rsidRDefault="00141B97">
      <w:pPr>
        <w:pStyle w:val="BodyText"/>
      </w:pPr>
    </w:p>
    <w:p w14:paraId="24125434" w14:textId="77777777" w:rsidR="00141B97" w:rsidRDefault="00911D63">
      <w:pPr>
        <w:pStyle w:val="BodyText"/>
        <w:ind w:left="153"/>
        <w:jc w:val="both"/>
      </w:pPr>
      <w:r>
        <w:t>Relevant</w:t>
      </w:r>
      <w:r>
        <w:rPr>
          <w:spacing w:val="-9"/>
        </w:rPr>
        <w:t xml:space="preserve"> </w:t>
      </w:r>
      <w:r>
        <w:t>and</w:t>
      </w:r>
      <w:r>
        <w:rPr>
          <w:spacing w:val="-8"/>
        </w:rPr>
        <w:t xml:space="preserve"> </w:t>
      </w:r>
      <w:r>
        <w:t>accessible</w:t>
      </w:r>
      <w:r>
        <w:rPr>
          <w:spacing w:val="-9"/>
        </w:rPr>
        <w:t xml:space="preserve"> </w:t>
      </w:r>
      <w:r>
        <w:rPr>
          <w:spacing w:val="-2"/>
        </w:rPr>
        <w:t>engagement</w:t>
      </w:r>
    </w:p>
    <w:p w14:paraId="6E35170B" w14:textId="77777777" w:rsidR="00141B97" w:rsidRDefault="00911D63">
      <w:pPr>
        <w:pStyle w:val="BodyText"/>
        <w:ind w:left="153" w:right="247"/>
        <w:jc w:val="both"/>
      </w:pPr>
      <w:r>
        <w:t>These</w:t>
      </w:r>
      <w:r>
        <w:rPr>
          <w:spacing w:val="-10"/>
        </w:rPr>
        <w:t xml:space="preserve"> </w:t>
      </w:r>
      <w:r>
        <w:t>targeted</w:t>
      </w:r>
      <w:r>
        <w:rPr>
          <w:spacing w:val="-10"/>
        </w:rPr>
        <w:t xml:space="preserve"> </w:t>
      </w:r>
      <w:r>
        <w:t>engagement</w:t>
      </w:r>
      <w:r>
        <w:rPr>
          <w:spacing w:val="-10"/>
        </w:rPr>
        <w:t xml:space="preserve"> </w:t>
      </w:r>
      <w:r>
        <w:t>approaches</w:t>
      </w:r>
      <w:r>
        <w:rPr>
          <w:spacing w:val="-8"/>
        </w:rPr>
        <w:t xml:space="preserve"> </w:t>
      </w:r>
      <w:r>
        <w:t>enabled</w:t>
      </w:r>
      <w:r>
        <w:rPr>
          <w:spacing w:val="-10"/>
        </w:rPr>
        <w:t xml:space="preserve"> </w:t>
      </w:r>
      <w:r>
        <w:t>LMW</w:t>
      </w:r>
      <w:r>
        <w:rPr>
          <w:spacing w:val="-9"/>
        </w:rPr>
        <w:t xml:space="preserve"> </w:t>
      </w:r>
      <w:r>
        <w:t>to</w:t>
      </w:r>
      <w:r>
        <w:rPr>
          <w:spacing w:val="-11"/>
        </w:rPr>
        <w:t xml:space="preserve"> </w:t>
      </w:r>
      <w:r>
        <w:t>gather</w:t>
      </w:r>
      <w:r>
        <w:rPr>
          <w:spacing w:val="-10"/>
        </w:rPr>
        <w:t xml:space="preserve"> </w:t>
      </w:r>
      <w:r>
        <w:t>feedback</w:t>
      </w:r>
      <w:r>
        <w:rPr>
          <w:spacing w:val="-10"/>
        </w:rPr>
        <w:t xml:space="preserve"> </w:t>
      </w:r>
      <w:r>
        <w:t>and</w:t>
      </w:r>
      <w:r>
        <w:rPr>
          <w:spacing w:val="-9"/>
        </w:rPr>
        <w:t xml:space="preserve"> </w:t>
      </w:r>
      <w:r>
        <w:t>analyse</w:t>
      </w:r>
      <w:r>
        <w:rPr>
          <w:spacing w:val="-11"/>
        </w:rPr>
        <w:t xml:space="preserve"> </w:t>
      </w:r>
      <w:r>
        <w:t>customer</w:t>
      </w:r>
      <w:r>
        <w:rPr>
          <w:spacing w:val="-9"/>
        </w:rPr>
        <w:t xml:space="preserve"> </w:t>
      </w:r>
      <w:r>
        <w:t>sentiments</w:t>
      </w:r>
      <w:r>
        <w:rPr>
          <w:spacing w:val="-8"/>
        </w:rPr>
        <w:t xml:space="preserve"> </w:t>
      </w:r>
      <w:r>
        <w:t>on relevant elements of PS5. Despite careful coordination however, barriers to engagement and external challenges were faced across both urban and rural cohorts including conflicting engagement windows which limited engagement opportunities, as well as the impacts of COVID‐19 which challenged LMW’s planned engagement</w:t>
      </w:r>
      <w:r>
        <w:rPr>
          <w:spacing w:val="-13"/>
        </w:rPr>
        <w:t xml:space="preserve"> </w:t>
      </w:r>
      <w:r>
        <w:t>approach</w:t>
      </w:r>
      <w:r>
        <w:rPr>
          <w:spacing w:val="-12"/>
        </w:rPr>
        <w:t xml:space="preserve"> </w:t>
      </w:r>
      <w:r>
        <w:t>and</w:t>
      </w:r>
      <w:r>
        <w:rPr>
          <w:spacing w:val="-13"/>
        </w:rPr>
        <w:t xml:space="preserve"> </w:t>
      </w:r>
      <w:r>
        <w:t>demonstrated</w:t>
      </w:r>
      <w:r>
        <w:rPr>
          <w:spacing w:val="-12"/>
        </w:rPr>
        <w:t xml:space="preserve"> </w:t>
      </w:r>
      <w:r>
        <w:t>the</w:t>
      </w:r>
      <w:r>
        <w:rPr>
          <w:spacing w:val="-13"/>
        </w:rPr>
        <w:t xml:space="preserve"> </w:t>
      </w:r>
      <w:r>
        <w:t>need</w:t>
      </w:r>
      <w:r>
        <w:rPr>
          <w:spacing w:val="-12"/>
        </w:rPr>
        <w:t xml:space="preserve"> </w:t>
      </w:r>
      <w:r>
        <w:t>for</w:t>
      </w:r>
      <w:r>
        <w:rPr>
          <w:spacing w:val="-13"/>
        </w:rPr>
        <w:t xml:space="preserve"> </w:t>
      </w:r>
      <w:r>
        <w:t>flexibility</w:t>
      </w:r>
      <w:r>
        <w:rPr>
          <w:spacing w:val="-12"/>
        </w:rPr>
        <w:t xml:space="preserve"> </w:t>
      </w:r>
      <w:r>
        <w:t>and</w:t>
      </w:r>
      <w:r>
        <w:rPr>
          <w:spacing w:val="-12"/>
        </w:rPr>
        <w:t xml:space="preserve"> </w:t>
      </w:r>
      <w:r>
        <w:t>adaptability</w:t>
      </w:r>
      <w:r>
        <w:rPr>
          <w:spacing w:val="-13"/>
        </w:rPr>
        <w:t xml:space="preserve"> </w:t>
      </w:r>
      <w:r>
        <w:t>in</w:t>
      </w:r>
      <w:r>
        <w:rPr>
          <w:spacing w:val="-12"/>
        </w:rPr>
        <w:t xml:space="preserve"> </w:t>
      </w:r>
      <w:r>
        <w:t>pivoting</w:t>
      </w:r>
      <w:r>
        <w:rPr>
          <w:spacing w:val="-13"/>
        </w:rPr>
        <w:t xml:space="preserve"> </w:t>
      </w:r>
      <w:r>
        <w:t>from</w:t>
      </w:r>
      <w:r>
        <w:rPr>
          <w:spacing w:val="-12"/>
        </w:rPr>
        <w:t xml:space="preserve"> </w:t>
      </w:r>
      <w:r>
        <w:t>the</w:t>
      </w:r>
      <w:r>
        <w:rPr>
          <w:spacing w:val="-13"/>
        </w:rPr>
        <w:t xml:space="preserve"> </w:t>
      </w:r>
      <w:r>
        <w:t>developed approach. The use of video conferencing platforms such as Teams and Zoom helped support the connection and engagement of certain cohorts, however, not all customers were responsive to engagement that was not face‐to‐face noting LMW’s rural customers were particularly reluctant to engage using online tools and were often unavailable during the peak engagement period as it coincided with a late harvest for many.</w:t>
      </w:r>
    </w:p>
    <w:p w14:paraId="05C1FE21" w14:textId="77777777" w:rsidR="00141B97" w:rsidRDefault="00141B97">
      <w:pPr>
        <w:pStyle w:val="BodyText"/>
      </w:pPr>
    </w:p>
    <w:p w14:paraId="7E3EF8A6" w14:textId="77777777" w:rsidR="00141B97" w:rsidRDefault="00911D63">
      <w:pPr>
        <w:pStyle w:val="BodyText"/>
        <w:ind w:left="153"/>
        <w:jc w:val="both"/>
      </w:pPr>
      <w:r>
        <w:t>Feedback</w:t>
      </w:r>
      <w:r>
        <w:rPr>
          <w:spacing w:val="-7"/>
        </w:rPr>
        <w:t xml:space="preserve"> </w:t>
      </w:r>
      <w:r>
        <w:t>loops</w:t>
      </w:r>
      <w:r>
        <w:rPr>
          <w:spacing w:val="-6"/>
        </w:rPr>
        <w:t xml:space="preserve"> </w:t>
      </w:r>
      <w:r>
        <w:t>and</w:t>
      </w:r>
      <w:r>
        <w:rPr>
          <w:spacing w:val="-7"/>
        </w:rPr>
        <w:t xml:space="preserve"> </w:t>
      </w:r>
      <w:r>
        <w:t>closing</w:t>
      </w:r>
      <w:r>
        <w:rPr>
          <w:spacing w:val="-6"/>
        </w:rPr>
        <w:t xml:space="preserve"> </w:t>
      </w:r>
      <w:r>
        <w:t>out</w:t>
      </w:r>
      <w:r>
        <w:rPr>
          <w:spacing w:val="-6"/>
        </w:rPr>
        <w:t xml:space="preserve"> </w:t>
      </w:r>
      <w:r>
        <w:rPr>
          <w:spacing w:val="-2"/>
        </w:rPr>
        <w:t>engagement</w:t>
      </w:r>
    </w:p>
    <w:p w14:paraId="50D5EF24" w14:textId="77777777" w:rsidR="00141B97" w:rsidRDefault="00911D63">
      <w:pPr>
        <w:pStyle w:val="BodyText"/>
        <w:ind w:left="153" w:right="247"/>
        <w:jc w:val="both"/>
      </w:pPr>
      <w:r>
        <w:t>Given the barriers mentioned above, LMW took considerable steps to ensure that any assumptions made as a result of the insights gathered, were tested and validated with customers through feedback loops during subsequent engagement. Closing the loop with customers following an engagement stage was key to building authentic engagement across the program of PS5 engagement and upon conclusion of each round of engagement, a one‐page flyer of the key outcomes and findings of the discussions was developed and distributed to customers prior to the next round of engagement to remind customers of the discussions held, the feedback provided and how this linked to the next round of engagement.</w:t>
      </w:r>
    </w:p>
    <w:p w14:paraId="3A441537" w14:textId="77777777" w:rsidR="00141B97" w:rsidRDefault="00141B97">
      <w:pPr>
        <w:pStyle w:val="BodyText"/>
      </w:pPr>
    </w:p>
    <w:p w14:paraId="60EEB05A" w14:textId="77777777" w:rsidR="00141B97" w:rsidRDefault="00911D63">
      <w:pPr>
        <w:pStyle w:val="BodyText"/>
        <w:ind w:left="153" w:right="246"/>
        <w:jc w:val="both"/>
      </w:pPr>
      <w:r>
        <w:t>Closing</w:t>
      </w:r>
      <w:r>
        <w:rPr>
          <w:spacing w:val="-6"/>
        </w:rPr>
        <w:t xml:space="preserve"> </w:t>
      </w:r>
      <w:r>
        <w:t>the</w:t>
      </w:r>
      <w:r>
        <w:rPr>
          <w:spacing w:val="-7"/>
        </w:rPr>
        <w:t xml:space="preserve"> </w:t>
      </w:r>
      <w:r>
        <w:t>feedback</w:t>
      </w:r>
      <w:r>
        <w:rPr>
          <w:spacing w:val="-5"/>
        </w:rPr>
        <w:t xml:space="preserve"> </w:t>
      </w:r>
      <w:r>
        <w:t>loop</w:t>
      </w:r>
      <w:r>
        <w:rPr>
          <w:spacing w:val="-6"/>
        </w:rPr>
        <w:t xml:space="preserve"> </w:t>
      </w:r>
      <w:r>
        <w:t>between</w:t>
      </w:r>
      <w:r>
        <w:rPr>
          <w:spacing w:val="-7"/>
        </w:rPr>
        <w:t xml:space="preserve"> </w:t>
      </w:r>
      <w:r>
        <w:t>each</w:t>
      </w:r>
      <w:r>
        <w:rPr>
          <w:spacing w:val="-7"/>
        </w:rPr>
        <w:t xml:space="preserve"> </w:t>
      </w:r>
      <w:r>
        <w:t>engagement</w:t>
      </w:r>
      <w:r>
        <w:rPr>
          <w:spacing w:val="-7"/>
        </w:rPr>
        <w:t xml:space="preserve"> </w:t>
      </w:r>
      <w:r>
        <w:t>stage</w:t>
      </w:r>
      <w:r>
        <w:rPr>
          <w:spacing w:val="-7"/>
        </w:rPr>
        <w:t xml:space="preserve"> </w:t>
      </w:r>
      <w:r>
        <w:t>was</w:t>
      </w:r>
      <w:r>
        <w:rPr>
          <w:spacing w:val="-6"/>
        </w:rPr>
        <w:t xml:space="preserve"> </w:t>
      </w:r>
      <w:r>
        <w:t>also</w:t>
      </w:r>
      <w:r>
        <w:rPr>
          <w:spacing w:val="-7"/>
        </w:rPr>
        <w:t xml:space="preserve"> </w:t>
      </w:r>
      <w:r>
        <w:t>an</w:t>
      </w:r>
      <w:r>
        <w:rPr>
          <w:spacing w:val="-6"/>
        </w:rPr>
        <w:t xml:space="preserve"> </w:t>
      </w:r>
      <w:r>
        <w:t>essential</w:t>
      </w:r>
      <w:r>
        <w:rPr>
          <w:spacing w:val="-7"/>
        </w:rPr>
        <w:t xml:space="preserve"> </w:t>
      </w:r>
      <w:r>
        <w:t>tool</w:t>
      </w:r>
      <w:r>
        <w:rPr>
          <w:spacing w:val="-7"/>
        </w:rPr>
        <w:t xml:space="preserve"> </w:t>
      </w:r>
      <w:r>
        <w:t>to</w:t>
      </w:r>
      <w:r>
        <w:rPr>
          <w:spacing w:val="-7"/>
        </w:rPr>
        <w:t xml:space="preserve"> </w:t>
      </w:r>
      <w:r>
        <w:t>effectively</w:t>
      </w:r>
      <w:r>
        <w:rPr>
          <w:spacing w:val="-6"/>
        </w:rPr>
        <w:t xml:space="preserve"> </w:t>
      </w:r>
      <w:r>
        <w:t>manage</w:t>
      </w:r>
      <w:r>
        <w:rPr>
          <w:spacing w:val="-7"/>
        </w:rPr>
        <w:t xml:space="preserve"> </w:t>
      </w:r>
      <w:r>
        <w:t>the expectations that were raised throughout the engagement. Where new or aspirational expectations were raised, this process enabled these to be considered, and where appropriate, further information or detail was provided</w:t>
      </w:r>
      <w:r>
        <w:rPr>
          <w:spacing w:val="-7"/>
        </w:rPr>
        <w:t xml:space="preserve"> </w:t>
      </w:r>
      <w:r>
        <w:t>to</w:t>
      </w:r>
      <w:r>
        <w:rPr>
          <w:spacing w:val="-7"/>
        </w:rPr>
        <w:t xml:space="preserve"> </w:t>
      </w:r>
      <w:r>
        <w:t>clarify</w:t>
      </w:r>
      <w:r>
        <w:rPr>
          <w:spacing w:val="-6"/>
        </w:rPr>
        <w:t xml:space="preserve"> </w:t>
      </w:r>
      <w:r>
        <w:t>and</w:t>
      </w:r>
      <w:r>
        <w:rPr>
          <w:spacing w:val="-7"/>
        </w:rPr>
        <w:t xml:space="preserve"> </w:t>
      </w:r>
      <w:r>
        <w:t>progress.</w:t>
      </w:r>
      <w:r>
        <w:rPr>
          <w:spacing w:val="-7"/>
        </w:rPr>
        <w:t xml:space="preserve"> </w:t>
      </w:r>
      <w:r>
        <w:t>Where</w:t>
      </w:r>
      <w:r>
        <w:rPr>
          <w:spacing w:val="-6"/>
        </w:rPr>
        <w:t xml:space="preserve"> </w:t>
      </w:r>
      <w:r>
        <w:t>possible,</w:t>
      </w:r>
      <w:r>
        <w:rPr>
          <w:spacing w:val="-7"/>
        </w:rPr>
        <w:t xml:space="preserve"> </w:t>
      </w:r>
      <w:r>
        <w:t>scenarios</w:t>
      </w:r>
      <w:r>
        <w:rPr>
          <w:spacing w:val="-7"/>
        </w:rPr>
        <w:t xml:space="preserve"> </w:t>
      </w:r>
      <w:r>
        <w:t>were</w:t>
      </w:r>
      <w:r>
        <w:rPr>
          <w:spacing w:val="-7"/>
        </w:rPr>
        <w:t xml:space="preserve"> </w:t>
      </w:r>
      <w:r>
        <w:t>provided</w:t>
      </w:r>
      <w:r>
        <w:rPr>
          <w:spacing w:val="-6"/>
        </w:rPr>
        <w:t xml:space="preserve"> </w:t>
      </w:r>
      <w:r>
        <w:t>to</w:t>
      </w:r>
      <w:r>
        <w:rPr>
          <w:spacing w:val="-7"/>
        </w:rPr>
        <w:t xml:space="preserve"> </w:t>
      </w:r>
      <w:r>
        <w:t>customers</w:t>
      </w:r>
      <w:r>
        <w:rPr>
          <w:spacing w:val="-6"/>
        </w:rPr>
        <w:t xml:space="preserve"> </w:t>
      </w:r>
      <w:r>
        <w:t>which</w:t>
      </w:r>
      <w:r>
        <w:rPr>
          <w:spacing w:val="-6"/>
        </w:rPr>
        <w:t xml:space="preserve"> </w:t>
      </w:r>
      <w:r>
        <w:t>enabled</w:t>
      </w:r>
      <w:r>
        <w:rPr>
          <w:spacing w:val="-7"/>
        </w:rPr>
        <w:t xml:space="preserve"> </w:t>
      </w:r>
      <w:r>
        <w:t>them</w:t>
      </w:r>
      <w:r>
        <w:rPr>
          <w:spacing w:val="-6"/>
        </w:rPr>
        <w:t xml:space="preserve"> </w:t>
      </w:r>
      <w:r>
        <w:t>to settle on an agreed level of expectation for the submission period, such as providing urban customers with a scale of investment (historic versus gold standard) scenario to improve raw water quality. In other cases, expectations</w:t>
      </w:r>
      <w:r>
        <w:rPr>
          <w:spacing w:val="-1"/>
        </w:rPr>
        <w:t xml:space="preserve"> </w:t>
      </w:r>
      <w:r>
        <w:t>were</w:t>
      </w:r>
      <w:r>
        <w:rPr>
          <w:spacing w:val="-3"/>
        </w:rPr>
        <w:t xml:space="preserve"> </w:t>
      </w:r>
      <w:r>
        <w:t>raised</w:t>
      </w:r>
      <w:r>
        <w:rPr>
          <w:spacing w:val="-2"/>
        </w:rPr>
        <w:t xml:space="preserve"> </w:t>
      </w:r>
      <w:r>
        <w:t>and</w:t>
      </w:r>
      <w:r>
        <w:rPr>
          <w:spacing w:val="-3"/>
        </w:rPr>
        <w:t xml:space="preserve"> </w:t>
      </w:r>
      <w:r>
        <w:t>through</w:t>
      </w:r>
      <w:r>
        <w:rPr>
          <w:spacing w:val="-2"/>
        </w:rPr>
        <w:t xml:space="preserve"> </w:t>
      </w:r>
      <w:r>
        <w:t>the</w:t>
      </w:r>
      <w:r>
        <w:rPr>
          <w:spacing w:val="-3"/>
        </w:rPr>
        <w:t xml:space="preserve"> </w:t>
      </w:r>
      <w:r>
        <w:t>iterative</w:t>
      </w:r>
      <w:r>
        <w:rPr>
          <w:spacing w:val="-2"/>
        </w:rPr>
        <w:t xml:space="preserve"> </w:t>
      </w:r>
      <w:r>
        <w:t>process,</w:t>
      </w:r>
      <w:r>
        <w:rPr>
          <w:spacing w:val="-2"/>
        </w:rPr>
        <w:t xml:space="preserve"> </w:t>
      </w:r>
      <w:r>
        <w:t>an</w:t>
      </w:r>
      <w:r>
        <w:rPr>
          <w:spacing w:val="-2"/>
        </w:rPr>
        <w:t xml:space="preserve"> </w:t>
      </w:r>
      <w:r>
        <w:t>agreed</w:t>
      </w:r>
      <w:r>
        <w:rPr>
          <w:spacing w:val="-2"/>
        </w:rPr>
        <w:t xml:space="preserve"> </w:t>
      </w:r>
      <w:r>
        <w:t>position</w:t>
      </w:r>
      <w:r>
        <w:rPr>
          <w:spacing w:val="-1"/>
        </w:rPr>
        <w:t xml:space="preserve"> </w:t>
      </w:r>
      <w:r>
        <w:t>was</w:t>
      </w:r>
      <w:r>
        <w:rPr>
          <w:spacing w:val="-3"/>
        </w:rPr>
        <w:t xml:space="preserve"> </w:t>
      </w:r>
      <w:r>
        <w:t>taken</w:t>
      </w:r>
      <w:r>
        <w:rPr>
          <w:spacing w:val="-2"/>
        </w:rPr>
        <w:t xml:space="preserve"> </w:t>
      </w:r>
      <w:r>
        <w:t>to</w:t>
      </w:r>
      <w:r>
        <w:rPr>
          <w:spacing w:val="-1"/>
        </w:rPr>
        <w:t xml:space="preserve"> </w:t>
      </w:r>
      <w:r>
        <w:t>make</w:t>
      </w:r>
      <w:r>
        <w:rPr>
          <w:spacing w:val="-2"/>
        </w:rPr>
        <w:t xml:space="preserve"> </w:t>
      </w:r>
      <w:r>
        <w:t>incremental progress</w:t>
      </w:r>
      <w:r>
        <w:rPr>
          <w:spacing w:val="-8"/>
        </w:rPr>
        <w:t xml:space="preserve"> </w:t>
      </w:r>
      <w:r>
        <w:t>or</w:t>
      </w:r>
      <w:r>
        <w:rPr>
          <w:spacing w:val="-8"/>
        </w:rPr>
        <w:t xml:space="preserve"> </w:t>
      </w:r>
      <w:r>
        <w:t>investment</w:t>
      </w:r>
      <w:r>
        <w:rPr>
          <w:spacing w:val="-8"/>
        </w:rPr>
        <w:t xml:space="preserve"> </w:t>
      </w:r>
      <w:r>
        <w:t>during</w:t>
      </w:r>
      <w:r>
        <w:rPr>
          <w:spacing w:val="-9"/>
        </w:rPr>
        <w:t xml:space="preserve"> </w:t>
      </w:r>
      <w:r>
        <w:t>the</w:t>
      </w:r>
      <w:r>
        <w:rPr>
          <w:spacing w:val="-9"/>
        </w:rPr>
        <w:t xml:space="preserve"> </w:t>
      </w:r>
      <w:r>
        <w:t>PS5</w:t>
      </w:r>
      <w:r>
        <w:rPr>
          <w:spacing w:val="-9"/>
        </w:rPr>
        <w:t xml:space="preserve"> </w:t>
      </w:r>
      <w:r>
        <w:t>period,</w:t>
      </w:r>
      <w:r>
        <w:rPr>
          <w:spacing w:val="-8"/>
        </w:rPr>
        <w:t xml:space="preserve"> </w:t>
      </w:r>
      <w:r>
        <w:t>with</w:t>
      </w:r>
      <w:r>
        <w:rPr>
          <w:spacing w:val="-8"/>
        </w:rPr>
        <w:t xml:space="preserve"> </w:t>
      </w:r>
      <w:r>
        <w:t>the</w:t>
      </w:r>
      <w:r>
        <w:rPr>
          <w:spacing w:val="-10"/>
        </w:rPr>
        <w:t xml:space="preserve"> </w:t>
      </w:r>
      <w:r>
        <w:t>view</w:t>
      </w:r>
      <w:r>
        <w:rPr>
          <w:spacing w:val="-7"/>
        </w:rPr>
        <w:t xml:space="preserve"> </w:t>
      </w:r>
      <w:r>
        <w:t>to</w:t>
      </w:r>
      <w:r>
        <w:rPr>
          <w:spacing w:val="-8"/>
        </w:rPr>
        <w:t xml:space="preserve"> </w:t>
      </w:r>
      <w:r>
        <w:t>progress</w:t>
      </w:r>
      <w:r>
        <w:rPr>
          <w:spacing w:val="-8"/>
        </w:rPr>
        <w:t xml:space="preserve"> </w:t>
      </w:r>
      <w:r>
        <w:t>to</w:t>
      </w:r>
      <w:r>
        <w:rPr>
          <w:spacing w:val="-8"/>
        </w:rPr>
        <w:t xml:space="preserve"> </w:t>
      </w:r>
      <w:r>
        <w:t>the</w:t>
      </w:r>
      <w:r>
        <w:rPr>
          <w:spacing w:val="-8"/>
        </w:rPr>
        <w:t xml:space="preserve"> </w:t>
      </w:r>
      <w:r>
        <w:t>level</w:t>
      </w:r>
      <w:r>
        <w:rPr>
          <w:spacing w:val="-8"/>
        </w:rPr>
        <w:t xml:space="preserve"> </w:t>
      </w:r>
      <w:r>
        <w:t>desired</w:t>
      </w:r>
      <w:r>
        <w:rPr>
          <w:spacing w:val="-8"/>
        </w:rPr>
        <w:t xml:space="preserve"> </w:t>
      </w:r>
      <w:r>
        <w:t>in</w:t>
      </w:r>
      <w:r>
        <w:rPr>
          <w:spacing w:val="-9"/>
        </w:rPr>
        <w:t xml:space="preserve"> </w:t>
      </w:r>
      <w:r>
        <w:t>subsequent</w:t>
      </w:r>
      <w:r>
        <w:rPr>
          <w:spacing w:val="-8"/>
        </w:rPr>
        <w:t xml:space="preserve"> </w:t>
      </w:r>
      <w:r>
        <w:t>price periods (for example the tariff structure for urban and outlet fees for rural which will be investigated and developed in PS5 with the view to implement in PS6).</w:t>
      </w:r>
    </w:p>
    <w:p w14:paraId="3FF05093" w14:textId="77777777" w:rsidR="00141B97" w:rsidRDefault="00141B97">
      <w:pPr>
        <w:pStyle w:val="BodyText"/>
      </w:pPr>
    </w:p>
    <w:p w14:paraId="014FF61E" w14:textId="77777777" w:rsidR="00141B97" w:rsidRDefault="00141B97">
      <w:pPr>
        <w:pStyle w:val="BodyText"/>
      </w:pPr>
    </w:p>
    <w:p w14:paraId="73A180C9" w14:textId="77777777" w:rsidR="00141B97" w:rsidRDefault="00911D63">
      <w:pPr>
        <w:pStyle w:val="BodyText"/>
        <w:ind w:left="153"/>
        <w:jc w:val="both"/>
      </w:pPr>
      <w:r>
        <w:t>Stages</w:t>
      </w:r>
      <w:r>
        <w:rPr>
          <w:spacing w:val="-3"/>
        </w:rPr>
        <w:t xml:space="preserve"> </w:t>
      </w:r>
      <w:r>
        <w:t>of</w:t>
      </w:r>
      <w:r>
        <w:rPr>
          <w:spacing w:val="-3"/>
        </w:rPr>
        <w:t xml:space="preserve"> </w:t>
      </w:r>
      <w:r>
        <w:rPr>
          <w:spacing w:val="-2"/>
        </w:rPr>
        <w:t>engagement</w:t>
      </w:r>
    </w:p>
    <w:p w14:paraId="15D69F73" w14:textId="77777777" w:rsidR="00141B97" w:rsidRDefault="00911D63">
      <w:pPr>
        <w:pStyle w:val="BodyText"/>
        <w:spacing w:before="1"/>
        <w:ind w:left="153" w:right="247"/>
        <w:jc w:val="both"/>
      </w:pPr>
      <w:r>
        <w:t>A summary of each stage of customer engagement and customer outcome development is provided below. Extensive documentation can be made available to the ESC regarding the plans, processes and information provided to customers, as well as the details of the outcomes of engagement as supporting information.</w:t>
      </w:r>
    </w:p>
    <w:p w14:paraId="65AFCA87" w14:textId="77777777" w:rsidR="00141B97" w:rsidRDefault="00141B97">
      <w:pPr>
        <w:pStyle w:val="BodyText"/>
        <w:spacing w:before="11"/>
        <w:rPr>
          <w:sz w:val="21"/>
        </w:rPr>
      </w:pPr>
    </w:p>
    <w:p w14:paraId="23F98F63" w14:textId="77777777" w:rsidR="00141B97" w:rsidRDefault="00911D63">
      <w:pPr>
        <w:spacing w:before="1" w:line="268" w:lineRule="exact"/>
        <w:ind w:left="153"/>
        <w:jc w:val="both"/>
        <w:rPr>
          <w:i/>
        </w:rPr>
      </w:pPr>
      <w:r>
        <w:rPr>
          <w:i/>
        </w:rPr>
        <w:t>Stage</w:t>
      </w:r>
      <w:r>
        <w:rPr>
          <w:i/>
          <w:spacing w:val="-6"/>
        </w:rPr>
        <w:t xml:space="preserve"> </w:t>
      </w:r>
      <w:r>
        <w:rPr>
          <w:i/>
        </w:rPr>
        <w:t>one</w:t>
      </w:r>
      <w:r>
        <w:rPr>
          <w:i/>
          <w:spacing w:val="-6"/>
        </w:rPr>
        <w:t xml:space="preserve"> </w:t>
      </w:r>
      <w:r>
        <w:rPr>
          <w:i/>
        </w:rPr>
        <w:t>–</w:t>
      </w:r>
      <w:r>
        <w:rPr>
          <w:i/>
          <w:spacing w:val="-5"/>
        </w:rPr>
        <w:t xml:space="preserve"> </w:t>
      </w:r>
      <w:r>
        <w:rPr>
          <w:i/>
        </w:rPr>
        <w:t>Customer</w:t>
      </w:r>
      <w:r>
        <w:rPr>
          <w:i/>
          <w:spacing w:val="-6"/>
        </w:rPr>
        <w:t xml:space="preserve"> </w:t>
      </w:r>
      <w:r>
        <w:rPr>
          <w:i/>
        </w:rPr>
        <w:t>Issue</w:t>
      </w:r>
      <w:r>
        <w:rPr>
          <w:i/>
          <w:spacing w:val="-6"/>
        </w:rPr>
        <w:t xml:space="preserve"> </w:t>
      </w:r>
      <w:r>
        <w:rPr>
          <w:i/>
          <w:spacing w:val="-2"/>
        </w:rPr>
        <w:t>Identification</w:t>
      </w:r>
    </w:p>
    <w:p w14:paraId="37FE837C" w14:textId="77777777" w:rsidR="00141B97" w:rsidRDefault="00911D63">
      <w:pPr>
        <w:pStyle w:val="ListParagraph"/>
        <w:numPr>
          <w:ilvl w:val="0"/>
          <w:numId w:val="108"/>
        </w:numPr>
        <w:tabs>
          <w:tab w:val="left" w:pos="874"/>
        </w:tabs>
        <w:ind w:right="245" w:hanging="361"/>
        <w:jc w:val="both"/>
      </w:pPr>
      <w:r>
        <w:t>Desktop research and review of historical data including PS4 submission, PS4 performance review, internal customer engagement, service requests and complaints, and annual customer survey data to identify</w:t>
      </w:r>
      <w:r>
        <w:rPr>
          <w:spacing w:val="-7"/>
        </w:rPr>
        <w:t xml:space="preserve"> </w:t>
      </w:r>
      <w:r>
        <w:t>performance</w:t>
      </w:r>
      <w:r>
        <w:rPr>
          <w:spacing w:val="-7"/>
        </w:rPr>
        <w:t xml:space="preserve"> </w:t>
      </w:r>
      <w:r>
        <w:t>gaps</w:t>
      </w:r>
      <w:r>
        <w:rPr>
          <w:spacing w:val="-6"/>
        </w:rPr>
        <w:t xml:space="preserve"> </w:t>
      </w:r>
      <w:r>
        <w:t>and</w:t>
      </w:r>
      <w:r>
        <w:rPr>
          <w:spacing w:val="-7"/>
        </w:rPr>
        <w:t xml:space="preserve"> </w:t>
      </w:r>
      <w:r>
        <w:t>specific</w:t>
      </w:r>
      <w:r>
        <w:rPr>
          <w:spacing w:val="-6"/>
        </w:rPr>
        <w:t xml:space="preserve"> </w:t>
      </w:r>
      <w:r>
        <w:t>issues</w:t>
      </w:r>
      <w:r>
        <w:rPr>
          <w:spacing w:val="-6"/>
        </w:rPr>
        <w:t xml:space="preserve"> </w:t>
      </w:r>
      <w:r>
        <w:t>or</w:t>
      </w:r>
      <w:r>
        <w:rPr>
          <w:spacing w:val="-7"/>
        </w:rPr>
        <w:t xml:space="preserve"> </w:t>
      </w:r>
      <w:r>
        <w:t>concerns</w:t>
      </w:r>
      <w:r>
        <w:rPr>
          <w:spacing w:val="-7"/>
        </w:rPr>
        <w:t xml:space="preserve"> </w:t>
      </w:r>
      <w:r>
        <w:t>which</w:t>
      </w:r>
      <w:r>
        <w:rPr>
          <w:spacing w:val="-7"/>
        </w:rPr>
        <w:t xml:space="preserve"> </w:t>
      </w:r>
      <w:r>
        <w:t>required</w:t>
      </w:r>
      <w:r>
        <w:rPr>
          <w:spacing w:val="-7"/>
        </w:rPr>
        <w:t xml:space="preserve"> </w:t>
      </w:r>
      <w:r>
        <w:t>investigation</w:t>
      </w:r>
      <w:r>
        <w:rPr>
          <w:spacing w:val="-7"/>
        </w:rPr>
        <w:t xml:space="preserve"> </w:t>
      </w:r>
      <w:r>
        <w:t>with</w:t>
      </w:r>
      <w:r>
        <w:rPr>
          <w:spacing w:val="-7"/>
        </w:rPr>
        <w:t xml:space="preserve"> </w:t>
      </w:r>
      <w:r>
        <w:t>customers.</w:t>
      </w:r>
    </w:p>
    <w:p w14:paraId="3A070091" w14:textId="77777777" w:rsidR="00141B97" w:rsidRDefault="00911D63">
      <w:pPr>
        <w:pStyle w:val="ListParagraph"/>
        <w:numPr>
          <w:ilvl w:val="0"/>
          <w:numId w:val="108"/>
        </w:numPr>
        <w:tabs>
          <w:tab w:val="left" w:pos="875"/>
        </w:tabs>
        <w:ind w:left="874" w:hanging="361"/>
        <w:jc w:val="both"/>
      </w:pPr>
      <w:r>
        <w:t>Recruitment</w:t>
      </w:r>
      <w:r>
        <w:rPr>
          <w:spacing w:val="-9"/>
        </w:rPr>
        <w:t xml:space="preserve"> </w:t>
      </w:r>
      <w:r>
        <w:t>of</w:t>
      </w:r>
      <w:r>
        <w:rPr>
          <w:spacing w:val="-9"/>
        </w:rPr>
        <w:t xml:space="preserve"> </w:t>
      </w:r>
      <w:r>
        <w:t>customer</w:t>
      </w:r>
      <w:r>
        <w:rPr>
          <w:spacing w:val="-10"/>
        </w:rPr>
        <w:t xml:space="preserve"> </w:t>
      </w:r>
      <w:r>
        <w:t>representatives</w:t>
      </w:r>
      <w:r>
        <w:rPr>
          <w:spacing w:val="-10"/>
        </w:rPr>
        <w:t xml:space="preserve"> </w:t>
      </w:r>
      <w:r>
        <w:t>for</w:t>
      </w:r>
      <w:r>
        <w:rPr>
          <w:spacing w:val="-9"/>
        </w:rPr>
        <w:t xml:space="preserve"> </w:t>
      </w:r>
      <w:r>
        <w:t>the</w:t>
      </w:r>
      <w:r>
        <w:rPr>
          <w:spacing w:val="-9"/>
        </w:rPr>
        <w:t xml:space="preserve"> </w:t>
      </w:r>
      <w:r>
        <w:rPr>
          <w:spacing w:val="-4"/>
        </w:rPr>
        <w:t>UDP.</w:t>
      </w:r>
    </w:p>
    <w:p w14:paraId="39AD9052" w14:textId="77777777" w:rsidR="00141B97" w:rsidRDefault="00911D63">
      <w:pPr>
        <w:pStyle w:val="ListParagraph"/>
        <w:numPr>
          <w:ilvl w:val="0"/>
          <w:numId w:val="108"/>
        </w:numPr>
        <w:tabs>
          <w:tab w:val="left" w:pos="875"/>
        </w:tabs>
        <w:ind w:left="874" w:right="249" w:hanging="361"/>
        <w:jc w:val="both"/>
      </w:pPr>
      <w:r>
        <w:t>Pre‐engagement</w:t>
      </w:r>
      <w:r>
        <w:rPr>
          <w:spacing w:val="-2"/>
        </w:rPr>
        <w:t xml:space="preserve"> </w:t>
      </w:r>
      <w:r>
        <w:t>with</w:t>
      </w:r>
      <w:r>
        <w:rPr>
          <w:spacing w:val="-2"/>
        </w:rPr>
        <w:t xml:space="preserve"> </w:t>
      </w:r>
      <w:r>
        <w:t>the</w:t>
      </w:r>
      <w:r>
        <w:rPr>
          <w:spacing w:val="-2"/>
        </w:rPr>
        <w:t xml:space="preserve"> </w:t>
      </w:r>
      <w:r>
        <w:t>existing</w:t>
      </w:r>
      <w:r>
        <w:rPr>
          <w:spacing w:val="-2"/>
        </w:rPr>
        <w:t xml:space="preserve"> </w:t>
      </w:r>
      <w:r>
        <w:t>SAC</w:t>
      </w:r>
      <w:r>
        <w:rPr>
          <w:spacing w:val="-2"/>
        </w:rPr>
        <w:t xml:space="preserve"> </w:t>
      </w:r>
      <w:r>
        <w:t>(representing</w:t>
      </w:r>
      <w:r>
        <w:rPr>
          <w:spacing w:val="-1"/>
        </w:rPr>
        <w:t xml:space="preserve"> </w:t>
      </w:r>
      <w:r>
        <w:t>all</w:t>
      </w:r>
      <w:r>
        <w:rPr>
          <w:spacing w:val="-2"/>
        </w:rPr>
        <w:t xml:space="preserve"> </w:t>
      </w:r>
      <w:r>
        <w:t>rural</w:t>
      </w:r>
      <w:r>
        <w:rPr>
          <w:spacing w:val="-4"/>
        </w:rPr>
        <w:t xml:space="preserve"> </w:t>
      </w:r>
      <w:r>
        <w:t>customers)</w:t>
      </w:r>
      <w:r>
        <w:rPr>
          <w:spacing w:val="-3"/>
        </w:rPr>
        <w:t xml:space="preserve"> </w:t>
      </w:r>
      <w:r>
        <w:t>and</w:t>
      </w:r>
      <w:r>
        <w:rPr>
          <w:spacing w:val="-3"/>
        </w:rPr>
        <w:t xml:space="preserve"> </w:t>
      </w:r>
      <w:r>
        <w:t>CSACs</w:t>
      </w:r>
      <w:r>
        <w:rPr>
          <w:spacing w:val="-2"/>
        </w:rPr>
        <w:t xml:space="preserve"> </w:t>
      </w:r>
      <w:r>
        <w:t>(for</w:t>
      </w:r>
      <w:r>
        <w:rPr>
          <w:spacing w:val="-2"/>
        </w:rPr>
        <w:t xml:space="preserve"> </w:t>
      </w:r>
      <w:r>
        <w:t>each</w:t>
      </w:r>
      <w:r>
        <w:rPr>
          <w:spacing w:val="-2"/>
        </w:rPr>
        <w:t xml:space="preserve"> </w:t>
      </w:r>
      <w:r>
        <w:t>irrigation district) about aspirations and expectations for LMW services.</w:t>
      </w:r>
    </w:p>
    <w:p w14:paraId="528664DE" w14:textId="77777777" w:rsidR="00141B97" w:rsidRDefault="00911D63">
      <w:pPr>
        <w:pStyle w:val="ListParagraph"/>
        <w:numPr>
          <w:ilvl w:val="0"/>
          <w:numId w:val="108"/>
        </w:numPr>
        <w:tabs>
          <w:tab w:val="left" w:pos="874"/>
        </w:tabs>
        <w:ind w:right="249"/>
        <w:jc w:val="both"/>
      </w:pPr>
      <w:r>
        <w:t>Preparation</w:t>
      </w:r>
      <w:r>
        <w:rPr>
          <w:spacing w:val="-13"/>
        </w:rPr>
        <w:t xml:space="preserve"> </w:t>
      </w:r>
      <w:r>
        <w:t>of</w:t>
      </w:r>
      <w:r>
        <w:rPr>
          <w:spacing w:val="-12"/>
        </w:rPr>
        <w:t xml:space="preserve"> </w:t>
      </w:r>
      <w:r>
        <w:t>appropriate</w:t>
      </w:r>
      <w:r>
        <w:rPr>
          <w:spacing w:val="-11"/>
        </w:rPr>
        <w:t xml:space="preserve"> </w:t>
      </w:r>
      <w:r>
        <w:t>information</w:t>
      </w:r>
      <w:r>
        <w:rPr>
          <w:spacing w:val="-13"/>
        </w:rPr>
        <w:t xml:space="preserve"> </w:t>
      </w:r>
      <w:r>
        <w:t>relevant</w:t>
      </w:r>
      <w:r>
        <w:rPr>
          <w:spacing w:val="-12"/>
        </w:rPr>
        <w:t xml:space="preserve"> </w:t>
      </w:r>
      <w:r>
        <w:t>to</w:t>
      </w:r>
      <w:r>
        <w:rPr>
          <w:spacing w:val="-13"/>
        </w:rPr>
        <w:t xml:space="preserve"> </w:t>
      </w:r>
      <w:r>
        <w:t>the</w:t>
      </w:r>
      <w:r>
        <w:rPr>
          <w:spacing w:val="-12"/>
        </w:rPr>
        <w:t xml:space="preserve"> </w:t>
      </w:r>
      <w:r>
        <w:t>various</w:t>
      </w:r>
      <w:r>
        <w:rPr>
          <w:spacing w:val="-12"/>
        </w:rPr>
        <w:t xml:space="preserve"> </w:t>
      </w:r>
      <w:r>
        <w:t>customer</w:t>
      </w:r>
      <w:r>
        <w:rPr>
          <w:spacing w:val="-10"/>
        </w:rPr>
        <w:t xml:space="preserve"> </w:t>
      </w:r>
      <w:r>
        <w:t>engagement</w:t>
      </w:r>
      <w:r>
        <w:rPr>
          <w:spacing w:val="-11"/>
        </w:rPr>
        <w:t xml:space="preserve"> </w:t>
      </w:r>
      <w:r>
        <w:t>activities,</w:t>
      </w:r>
      <w:r>
        <w:rPr>
          <w:spacing w:val="-13"/>
        </w:rPr>
        <w:t xml:space="preserve"> </w:t>
      </w:r>
      <w:r>
        <w:t>ranging from</w:t>
      </w:r>
      <w:r>
        <w:rPr>
          <w:spacing w:val="-12"/>
        </w:rPr>
        <w:t xml:space="preserve"> </w:t>
      </w:r>
      <w:r>
        <w:t>poster‐style</w:t>
      </w:r>
      <w:r>
        <w:rPr>
          <w:spacing w:val="-12"/>
        </w:rPr>
        <w:t xml:space="preserve"> </w:t>
      </w:r>
      <w:r>
        <w:t>for</w:t>
      </w:r>
      <w:r>
        <w:rPr>
          <w:spacing w:val="-13"/>
        </w:rPr>
        <w:t xml:space="preserve"> </w:t>
      </w:r>
      <w:r>
        <w:t>market/field</w:t>
      </w:r>
      <w:r>
        <w:rPr>
          <w:spacing w:val="-11"/>
        </w:rPr>
        <w:t xml:space="preserve"> </w:t>
      </w:r>
      <w:r>
        <w:t>days</w:t>
      </w:r>
      <w:r>
        <w:rPr>
          <w:spacing w:val="-13"/>
        </w:rPr>
        <w:t xml:space="preserve"> </w:t>
      </w:r>
      <w:r>
        <w:t>to</w:t>
      </w:r>
      <w:r>
        <w:rPr>
          <w:spacing w:val="-12"/>
        </w:rPr>
        <w:t xml:space="preserve"> </w:t>
      </w:r>
      <w:r>
        <w:t>detailed</w:t>
      </w:r>
      <w:r>
        <w:rPr>
          <w:spacing w:val="-12"/>
        </w:rPr>
        <w:t xml:space="preserve"> </w:t>
      </w:r>
      <w:r>
        <w:t>PowerPoint</w:t>
      </w:r>
      <w:r>
        <w:rPr>
          <w:spacing w:val="-11"/>
        </w:rPr>
        <w:t xml:space="preserve"> </w:t>
      </w:r>
      <w:r>
        <w:t>presentations</w:t>
      </w:r>
      <w:r>
        <w:rPr>
          <w:spacing w:val="-11"/>
        </w:rPr>
        <w:t xml:space="preserve"> </w:t>
      </w:r>
      <w:r>
        <w:t>for</w:t>
      </w:r>
      <w:r>
        <w:rPr>
          <w:spacing w:val="-12"/>
        </w:rPr>
        <w:t xml:space="preserve"> </w:t>
      </w:r>
      <w:r>
        <w:t>the</w:t>
      </w:r>
      <w:r>
        <w:rPr>
          <w:spacing w:val="-12"/>
        </w:rPr>
        <w:t xml:space="preserve"> </w:t>
      </w:r>
      <w:r>
        <w:t>UDP</w:t>
      </w:r>
      <w:r>
        <w:rPr>
          <w:spacing w:val="-11"/>
        </w:rPr>
        <w:t xml:space="preserve"> </w:t>
      </w:r>
      <w:r>
        <w:t>and</w:t>
      </w:r>
      <w:r>
        <w:rPr>
          <w:spacing w:val="-12"/>
        </w:rPr>
        <w:t xml:space="preserve"> </w:t>
      </w:r>
      <w:r>
        <w:t xml:space="preserve">CSAC/SAC </w:t>
      </w:r>
      <w:r>
        <w:rPr>
          <w:spacing w:val="-2"/>
        </w:rPr>
        <w:t>forums.</w:t>
      </w:r>
    </w:p>
    <w:p w14:paraId="08D872A4" w14:textId="77777777" w:rsidR="00141B97" w:rsidRDefault="00141B97">
      <w:pPr>
        <w:jc w:val="both"/>
        <w:sectPr w:rsidR="00141B97">
          <w:pgSz w:w="11910" w:h="16840"/>
          <w:pgMar w:top="820" w:right="740" w:bottom="1080" w:left="980" w:header="0" w:footer="896" w:gutter="0"/>
          <w:cols w:space="720"/>
        </w:sectPr>
      </w:pPr>
    </w:p>
    <w:p w14:paraId="72B2B6D2" w14:textId="77777777" w:rsidR="00141B97" w:rsidRDefault="00911D63">
      <w:pPr>
        <w:spacing w:before="40" w:line="268" w:lineRule="exact"/>
        <w:ind w:left="154"/>
        <w:jc w:val="both"/>
        <w:rPr>
          <w:i/>
        </w:rPr>
      </w:pPr>
      <w:r>
        <w:rPr>
          <w:i/>
        </w:rPr>
        <w:lastRenderedPageBreak/>
        <w:t>Stage</w:t>
      </w:r>
      <w:r>
        <w:rPr>
          <w:i/>
          <w:spacing w:val="-6"/>
        </w:rPr>
        <w:t xml:space="preserve"> </w:t>
      </w:r>
      <w:r>
        <w:rPr>
          <w:i/>
        </w:rPr>
        <w:t>two</w:t>
      </w:r>
      <w:r>
        <w:rPr>
          <w:i/>
          <w:spacing w:val="-5"/>
        </w:rPr>
        <w:t xml:space="preserve"> </w:t>
      </w:r>
      <w:r>
        <w:rPr>
          <w:i/>
        </w:rPr>
        <w:t>–</w:t>
      </w:r>
      <w:r>
        <w:rPr>
          <w:i/>
          <w:spacing w:val="-4"/>
        </w:rPr>
        <w:t xml:space="preserve"> </w:t>
      </w:r>
      <w:r>
        <w:rPr>
          <w:i/>
        </w:rPr>
        <w:t>Issues</w:t>
      </w:r>
      <w:r>
        <w:rPr>
          <w:i/>
          <w:spacing w:val="-4"/>
        </w:rPr>
        <w:t xml:space="preserve"> </w:t>
      </w:r>
      <w:r>
        <w:rPr>
          <w:i/>
        </w:rPr>
        <w:t>Testing</w:t>
      </w:r>
      <w:r>
        <w:rPr>
          <w:i/>
          <w:spacing w:val="-3"/>
        </w:rPr>
        <w:t xml:space="preserve"> </w:t>
      </w:r>
      <w:r>
        <w:rPr>
          <w:i/>
        </w:rPr>
        <w:t>and</w:t>
      </w:r>
      <w:r>
        <w:rPr>
          <w:i/>
          <w:spacing w:val="-5"/>
        </w:rPr>
        <w:t xml:space="preserve"> </w:t>
      </w:r>
      <w:r>
        <w:rPr>
          <w:i/>
          <w:spacing w:val="-2"/>
        </w:rPr>
        <w:t>Revision</w:t>
      </w:r>
    </w:p>
    <w:p w14:paraId="4D1C8DCD" w14:textId="77777777" w:rsidR="00141B97" w:rsidRDefault="00911D63">
      <w:pPr>
        <w:pStyle w:val="ListParagraph"/>
        <w:numPr>
          <w:ilvl w:val="0"/>
          <w:numId w:val="108"/>
        </w:numPr>
        <w:tabs>
          <w:tab w:val="left" w:pos="874"/>
        </w:tabs>
        <w:ind w:left="874" w:right="247" w:hanging="361"/>
        <w:jc w:val="both"/>
      </w:pPr>
      <w:r>
        <w:t>Distribution</w:t>
      </w:r>
      <w:r>
        <w:rPr>
          <w:spacing w:val="-12"/>
        </w:rPr>
        <w:t xml:space="preserve"> </w:t>
      </w:r>
      <w:r>
        <w:t>and</w:t>
      </w:r>
      <w:r>
        <w:rPr>
          <w:spacing w:val="-11"/>
        </w:rPr>
        <w:t xml:space="preserve"> </w:t>
      </w:r>
      <w:r>
        <w:t>analysis</w:t>
      </w:r>
      <w:r>
        <w:rPr>
          <w:spacing w:val="-11"/>
        </w:rPr>
        <w:t xml:space="preserve"> </w:t>
      </w:r>
      <w:r>
        <w:t>of</w:t>
      </w:r>
      <w:r>
        <w:rPr>
          <w:spacing w:val="-10"/>
        </w:rPr>
        <w:t xml:space="preserve"> </w:t>
      </w:r>
      <w:r>
        <w:t>online</w:t>
      </w:r>
      <w:r>
        <w:rPr>
          <w:spacing w:val="-12"/>
        </w:rPr>
        <w:t xml:space="preserve"> </w:t>
      </w:r>
      <w:r>
        <w:t>tailored</w:t>
      </w:r>
      <w:r>
        <w:rPr>
          <w:spacing w:val="-13"/>
        </w:rPr>
        <w:t xml:space="preserve"> </w:t>
      </w:r>
      <w:r>
        <w:t>surveys</w:t>
      </w:r>
      <w:r>
        <w:rPr>
          <w:spacing w:val="-11"/>
        </w:rPr>
        <w:t xml:space="preserve"> </w:t>
      </w:r>
      <w:r>
        <w:t>for</w:t>
      </w:r>
      <w:r>
        <w:rPr>
          <w:spacing w:val="-10"/>
        </w:rPr>
        <w:t xml:space="preserve"> </w:t>
      </w:r>
      <w:r>
        <w:t>both</w:t>
      </w:r>
      <w:r>
        <w:rPr>
          <w:spacing w:val="-12"/>
        </w:rPr>
        <w:t xml:space="preserve"> </w:t>
      </w:r>
      <w:r>
        <w:t>urban</w:t>
      </w:r>
      <w:r>
        <w:rPr>
          <w:spacing w:val="-12"/>
        </w:rPr>
        <w:t xml:space="preserve"> </w:t>
      </w:r>
      <w:r>
        <w:t>(residential,</w:t>
      </w:r>
      <w:r>
        <w:rPr>
          <w:spacing w:val="-11"/>
        </w:rPr>
        <w:t xml:space="preserve"> </w:t>
      </w:r>
      <w:r>
        <w:t>commercial/trade</w:t>
      </w:r>
      <w:r>
        <w:rPr>
          <w:spacing w:val="-11"/>
        </w:rPr>
        <w:t xml:space="preserve"> </w:t>
      </w:r>
      <w:r>
        <w:t>waste) and rural customers (across irrigators, diverters and stock and domestic customers) seeking feedback on LMW’s performance over the past 12 months.</w:t>
      </w:r>
    </w:p>
    <w:p w14:paraId="5B78C085" w14:textId="77777777" w:rsidR="00141B97" w:rsidRDefault="00911D63">
      <w:pPr>
        <w:pStyle w:val="ListParagraph"/>
        <w:numPr>
          <w:ilvl w:val="0"/>
          <w:numId w:val="108"/>
        </w:numPr>
        <w:tabs>
          <w:tab w:val="left" w:pos="874"/>
        </w:tabs>
        <w:ind w:left="874" w:right="246" w:hanging="361"/>
        <w:jc w:val="both"/>
      </w:pPr>
      <w:r>
        <w:t xml:space="preserve">Conduct of initial engagement activities with UDP, SAC, CSAC, in the community and with major stakeholders including an overview of LMW performance against delivering the PS4 price path and </w:t>
      </w:r>
      <w:r>
        <w:rPr>
          <w:spacing w:val="-2"/>
        </w:rPr>
        <w:t>commitments.</w:t>
      </w:r>
    </w:p>
    <w:p w14:paraId="427EA05C" w14:textId="77777777" w:rsidR="00141B97" w:rsidRDefault="00911D63">
      <w:pPr>
        <w:pStyle w:val="ListParagraph"/>
        <w:numPr>
          <w:ilvl w:val="0"/>
          <w:numId w:val="108"/>
        </w:numPr>
        <w:tabs>
          <w:tab w:val="left" w:pos="875"/>
        </w:tabs>
        <w:ind w:left="874" w:right="248" w:hanging="361"/>
        <w:jc w:val="both"/>
      </w:pPr>
      <w:r>
        <w:t>Direct engagement with service providers of vulnerable customers, CALD, and First Peoples engagement via FPMMAC.</w:t>
      </w:r>
    </w:p>
    <w:p w14:paraId="0EDAAE6F" w14:textId="77777777" w:rsidR="00141B97" w:rsidRDefault="00911D63">
      <w:pPr>
        <w:pStyle w:val="ListParagraph"/>
        <w:numPr>
          <w:ilvl w:val="0"/>
          <w:numId w:val="108"/>
        </w:numPr>
        <w:tabs>
          <w:tab w:val="left" w:pos="875"/>
        </w:tabs>
        <w:ind w:right="247"/>
        <w:jc w:val="both"/>
      </w:pPr>
      <w:r>
        <w:t>Internal collation of insights distributed via organisational networks including SMEs to feed into strategies,</w:t>
      </w:r>
      <w:r>
        <w:rPr>
          <w:spacing w:val="-6"/>
        </w:rPr>
        <w:t xml:space="preserve"> </w:t>
      </w:r>
      <w:r>
        <w:t>plans,</w:t>
      </w:r>
      <w:r>
        <w:rPr>
          <w:spacing w:val="-7"/>
        </w:rPr>
        <w:t xml:space="preserve"> </w:t>
      </w:r>
      <w:r>
        <w:t>KPIs</w:t>
      </w:r>
      <w:r>
        <w:rPr>
          <w:spacing w:val="-5"/>
        </w:rPr>
        <w:t xml:space="preserve"> </w:t>
      </w:r>
      <w:r>
        <w:t>and</w:t>
      </w:r>
      <w:r>
        <w:rPr>
          <w:spacing w:val="-6"/>
        </w:rPr>
        <w:t xml:space="preserve"> </w:t>
      </w:r>
      <w:r>
        <w:t>targets.</w:t>
      </w:r>
      <w:r>
        <w:rPr>
          <w:spacing w:val="-6"/>
        </w:rPr>
        <w:t xml:space="preserve"> </w:t>
      </w:r>
      <w:r>
        <w:t>These</w:t>
      </w:r>
      <w:r>
        <w:rPr>
          <w:spacing w:val="-6"/>
        </w:rPr>
        <w:t xml:space="preserve"> </w:t>
      </w:r>
      <w:r>
        <w:t>insights</w:t>
      </w:r>
      <w:r>
        <w:rPr>
          <w:spacing w:val="-7"/>
        </w:rPr>
        <w:t xml:space="preserve"> </w:t>
      </w:r>
      <w:r>
        <w:t>were</w:t>
      </w:r>
      <w:r>
        <w:rPr>
          <w:spacing w:val="-7"/>
        </w:rPr>
        <w:t xml:space="preserve"> </w:t>
      </w:r>
      <w:r>
        <w:t>assessed</w:t>
      </w:r>
      <w:r>
        <w:rPr>
          <w:spacing w:val="-7"/>
        </w:rPr>
        <w:t xml:space="preserve"> </w:t>
      </w:r>
      <w:r>
        <w:t>and</w:t>
      </w:r>
      <w:r>
        <w:rPr>
          <w:spacing w:val="-7"/>
        </w:rPr>
        <w:t xml:space="preserve"> </w:t>
      </w:r>
      <w:r>
        <w:t>considered</w:t>
      </w:r>
      <w:r>
        <w:rPr>
          <w:spacing w:val="-4"/>
        </w:rPr>
        <w:t xml:space="preserve"> </w:t>
      </w:r>
      <w:r>
        <w:t>during</w:t>
      </w:r>
      <w:r>
        <w:rPr>
          <w:spacing w:val="-6"/>
        </w:rPr>
        <w:t xml:space="preserve"> </w:t>
      </w:r>
      <w:r>
        <w:t>development</w:t>
      </w:r>
      <w:r>
        <w:rPr>
          <w:spacing w:val="-5"/>
        </w:rPr>
        <w:t xml:space="preserve"> </w:t>
      </w:r>
      <w:r>
        <w:t>of key planning documents or were prepared to feed back to customers and test variations, new approaches and appetites for alternative options.</w:t>
      </w:r>
    </w:p>
    <w:p w14:paraId="766296F6" w14:textId="77777777" w:rsidR="00141B97" w:rsidRDefault="00141B97">
      <w:pPr>
        <w:pStyle w:val="BodyText"/>
      </w:pPr>
    </w:p>
    <w:p w14:paraId="3F4655E0" w14:textId="77777777" w:rsidR="00141B97" w:rsidRDefault="00911D63">
      <w:pPr>
        <w:spacing w:line="268" w:lineRule="exact"/>
        <w:ind w:left="154"/>
        <w:jc w:val="both"/>
        <w:rPr>
          <w:i/>
        </w:rPr>
      </w:pPr>
      <w:r>
        <w:rPr>
          <w:i/>
        </w:rPr>
        <w:t>Stage</w:t>
      </w:r>
      <w:r>
        <w:rPr>
          <w:i/>
          <w:spacing w:val="-7"/>
        </w:rPr>
        <w:t xml:space="preserve"> </w:t>
      </w:r>
      <w:r>
        <w:rPr>
          <w:i/>
        </w:rPr>
        <w:t>three</w:t>
      </w:r>
      <w:r>
        <w:rPr>
          <w:i/>
          <w:spacing w:val="-7"/>
        </w:rPr>
        <w:t xml:space="preserve"> </w:t>
      </w:r>
      <w:r>
        <w:rPr>
          <w:i/>
        </w:rPr>
        <w:t>–</w:t>
      </w:r>
      <w:r>
        <w:rPr>
          <w:i/>
          <w:spacing w:val="-5"/>
        </w:rPr>
        <w:t xml:space="preserve"> </w:t>
      </w:r>
      <w:r>
        <w:rPr>
          <w:i/>
        </w:rPr>
        <w:t>Testing</w:t>
      </w:r>
      <w:r>
        <w:rPr>
          <w:i/>
          <w:spacing w:val="-6"/>
        </w:rPr>
        <w:t xml:space="preserve"> </w:t>
      </w:r>
      <w:r>
        <w:rPr>
          <w:i/>
        </w:rPr>
        <w:t>Outcomes,</w:t>
      </w:r>
      <w:r>
        <w:rPr>
          <w:i/>
          <w:spacing w:val="-6"/>
        </w:rPr>
        <w:t xml:space="preserve"> </w:t>
      </w:r>
      <w:r>
        <w:rPr>
          <w:i/>
        </w:rPr>
        <w:t>Strategies,</w:t>
      </w:r>
      <w:r>
        <w:rPr>
          <w:i/>
          <w:spacing w:val="-6"/>
        </w:rPr>
        <w:t xml:space="preserve"> </w:t>
      </w:r>
      <w:r>
        <w:rPr>
          <w:i/>
        </w:rPr>
        <w:t>Plans,</w:t>
      </w:r>
      <w:r>
        <w:rPr>
          <w:i/>
          <w:spacing w:val="-7"/>
        </w:rPr>
        <w:t xml:space="preserve"> </w:t>
      </w:r>
      <w:r>
        <w:rPr>
          <w:i/>
        </w:rPr>
        <w:t>Prices</w:t>
      </w:r>
      <w:r>
        <w:rPr>
          <w:i/>
          <w:spacing w:val="-6"/>
        </w:rPr>
        <w:t xml:space="preserve"> </w:t>
      </w:r>
      <w:r>
        <w:rPr>
          <w:i/>
        </w:rPr>
        <w:t>and</w:t>
      </w:r>
      <w:r>
        <w:rPr>
          <w:i/>
          <w:spacing w:val="-7"/>
        </w:rPr>
        <w:t xml:space="preserve"> </w:t>
      </w:r>
      <w:r>
        <w:rPr>
          <w:i/>
          <w:spacing w:val="-4"/>
        </w:rPr>
        <w:t>GSLs</w:t>
      </w:r>
    </w:p>
    <w:p w14:paraId="08594B9E" w14:textId="77777777" w:rsidR="00141B97" w:rsidRDefault="00911D63">
      <w:pPr>
        <w:pStyle w:val="ListParagraph"/>
        <w:numPr>
          <w:ilvl w:val="0"/>
          <w:numId w:val="108"/>
        </w:numPr>
        <w:tabs>
          <w:tab w:val="left" w:pos="874"/>
        </w:tabs>
        <w:ind w:left="874" w:right="248" w:hanging="361"/>
        <w:jc w:val="both"/>
      </w:pPr>
      <w:r>
        <w:t>Test draft customer outcomes including performance measures and targets through repeating engagement initiated in Stage 2.</w:t>
      </w:r>
    </w:p>
    <w:p w14:paraId="64B6ACAF" w14:textId="77777777" w:rsidR="00141B97" w:rsidRDefault="00911D63">
      <w:pPr>
        <w:pStyle w:val="ListParagraph"/>
        <w:numPr>
          <w:ilvl w:val="0"/>
          <w:numId w:val="108"/>
        </w:numPr>
        <w:tabs>
          <w:tab w:val="left" w:pos="874"/>
        </w:tabs>
        <w:ind w:left="874" w:right="247" w:hanging="361"/>
        <w:jc w:val="both"/>
      </w:pPr>
      <w:r>
        <w:t>Provide</w:t>
      </w:r>
      <w:r>
        <w:rPr>
          <w:spacing w:val="-13"/>
        </w:rPr>
        <w:t xml:space="preserve"> </w:t>
      </w:r>
      <w:r>
        <w:t>detailed</w:t>
      </w:r>
      <w:r>
        <w:rPr>
          <w:spacing w:val="-12"/>
        </w:rPr>
        <w:t xml:space="preserve"> </w:t>
      </w:r>
      <w:r>
        <w:t>‘customer</w:t>
      </w:r>
      <w:r>
        <w:rPr>
          <w:spacing w:val="-13"/>
        </w:rPr>
        <w:t xml:space="preserve"> </w:t>
      </w:r>
      <w:r>
        <w:t>choice</w:t>
      </w:r>
      <w:r>
        <w:rPr>
          <w:spacing w:val="-12"/>
        </w:rPr>
        <w:t xml:space="preserve"> </w:t>
      </w:r>
      <w:r>
        <w:t>options’</w:t>
      </w:r>
      <w:r>
        <w:rPr>
          <w:spacing w:val="-13"/>
        </w:rPr>
        <w:t xml:space="preserve"> </w:t>
      </w:r>
      <w:r>
        <w:t>information</w:t>
      </w:r>
      <w:r>
        <w:rPr>
          <w:spacing w:val="-12"/>
        </w:rPr>
        <w:t xml:space="preserve"> </w:t>
      </w:r>
      <w:r>
        <w:t>on</w:t>
      </w:r>
      <w:r>
        <w:rPr>
          <w:spacing w:val="-13"/>
        </w:rPr>
        <w:t xml:space="preserve"> </w:t>
      </w:r>
      <w:r>
        <w:t>potential</w:t>
      </w:r>
      <w:r>
        <w:rPr>
          <w:spacing w:val="-12"/>
        </w:rPr>
        <w:t xml:space="preserve"> </w:t>
      </w:r>
      <w:r>
        <w:t>future</w:t>
      </w:r>
      <w:r>
        <w:rPr>
          <w:spacing w:val="-12"/>
        </w:rPr>
        <w:t xml:space="preserve"> </w:t>
      </w:r>
      <w:r>
        <w:t>projects</w:t>
      </w:r>
      <w:r>
        <w:rPr>
          <w:spacing w:val="-13"/>
        </w:rPr>
        <w:t xml:space="preserve"> </w:t>
      </w:r>
      <w:r>
        <w:t>and</w:t>
      </w:r>
      <w:r>
        <w:rPr>
          <w:spacing w:val="-12"/>
        </w:rPr>
        <w:t xml:space="preserve"> </w:t>
      </w:r>
      <w:r>
        <w:t>their</w:t>
      </w:r>
      <w:r>
        <w:rPr>
          <w:spacing w:val="-13"/>
        </w:rPr>
        <w:t xml:space="preserve"> </w:t>
      </w:r>
      <w:r>
        <w:t>associated investments as a basis for participants to offer feedback and opinions, and vote on their preferred project option.</w:t>
      </w:r>
    </w:p>
    <w:p w14:paraId="4F0BAFEE" w14:textId="77777777" w:rsidR="00141B97" w:rsidRDefault="00911D63">
      <w:pPr>
        <w:pStyle w:val="ListParagraph"/>
        <w:numPr>
          <w:ilvl w:val="0"/>
          <w:numId w:val="108"/>
        </w:numPr>
        <w:tabs>
          <w:tab w:val="left" w:pos="875"/>
        </w:tabs>
        <w:ind w:left="874" w:right="248" w:hanging="361"/>
        <w:jc w:val="both"/>
      </w:pPr>
      <w:r>
        <w:t>Final collation of insights through an internal review process to assess implications and tweak changes to service targets, strategies, plans and KPIs.</w:t>
      </w:r>
    </w:p>
    <w:p w14:paraId="0E692F0E" w14:textId="77777777" w:rsidR="00141B97" w:rsidRDefault="00141B97">
      <w:pPr>
        <w:pStyle w:val="BodyText"/>
      </w:pPr>
    </w:p>
    <w:p w14:paraId="743EEDA5" w14:textId="77777777" w:rsidR="00141B97" w:rsidRDefault="00911D63">
      <w:pPr>
        <w:ind w:left="154"/>
        <w:rPr>
          <w:i/>
        </w:rPr>
      </w:pPr>
      <w:r>
        <w:rPr>
          <w:i/>
        </w:rPr>
        <w:t>Stage</w:t>
      </w:r>
      <w:r>
        <w:rPr>
          <w:i/>
          <w:spacing w:val="-5"/>
        </w:rPr>
        <w:t xml:space="preserve"> </w:t>
      </w:r>
      <w:r>
        <w:rPr>
          <w:i/>
        </w:rPr>
        <w:t>four</w:t>
      </w:r>
      <w:r>
        <w:rPr>
          <w:i/>
          <w:spacing w:val="-5"/>
        </w:rPr>
        <w:t xml:space="preserve"> </w:t>
      </w:r>
      <w:r>
        <w:rPr>
          <w:i/>
        </w:rPr>
        <w:t>–</w:t>
      </w:r>
      <w:r>
        <w:rPr>
          <w:i/>
          <w:spacing w:val="-5"/>
        </w:rPr>
        <w:t xml:space="preserve"> </w:t>
      </w:r>
      <w:r>
        <w:rPr>
          <w:i/>
        </w:rPr>
        <w:t>Finalise</w:t>
      </w:r>
      <w:r>
        <w:rPr>
          <w:i/>
          <w:spacing w:val="-4"/>
        </w:rPr>
        <w:t xml:space="preserve"> </w:t>
      </w:r>
      <w:r>
        <w:rPr>
          <w:i/>
        </w:rPr>
        <w:t>PS5</w:t>
      </w:r>
      <w:r>
        <w:rPr>
          <w:i/>
          <w:spacing w:val="-5"/>
        </w:rPr>
        <w:t xml:space="preserve"> </w:t>
      </w:r>
      <w:r>
        <w:rPr>
          <w:i/>
          <w:spacing w:val="-2"/>
        </w:rPr>
        <w:t>Inputs</w:t>
      </w:r>
    </w:p>
    <w:p w14:paraId="2D2FD0AC" w14:textId="77777777" w:rsidR="00141B97" w:rsidRDefault="00911D63">
      <w:pPr>
        <w:pStyle w:val="ListParagraph"/>
        <w:numPr>
          <w:ilvl w:val="0"/>
          <w:numId w:val="108"/>
        </w:numPr>
        <w:tabs>
          <w:tab w:val="left" w:pos="873"/>
          <w:tab w:val="left" w:pos="874"/>
        </w:tabs>
        <w:ind w:left="874" w:right="248" w:hanging="361"/>
      </w:pPr>
      <w:r>
        <w:t xml:space="preserve">Gain agreement with customers on revised customer outcomes including performance measures and </w:t>
      </w:r>
      <w:r>
        <w:rPr>
          <w:spacing w:val="-2"/>
        </w:rPr>
        <w:t>targets.</w:t>
      </w:r>
    </w:p>
    <w:p w14:paraId="1E652889" w14:textId="77777777" w:rsidR="00141B97" w:rsidRDefault="00911D63">
      <w:pPr>
        <w:pStyle w:val="ListParagraph"/>
        <w:numPr>
          <w:ilvl w:val="0"/>
          <w:numId w:val="108"/>
        </w:numPr>
        <w:tabs>
          <w:tab w:val="left" w:pos="873"/>
          <w:tab w:val="left" w:pos="874"/>
        </w:tabs>
        <w:spacing w:line="280" w:lineRule="exact"/>
        <w:ind w:hanging="361"/>
      </w:pPr>
      <w:r>
        <w:t>Confirm</w:t>
      </w:r>
      <w:r>
        <w:rPr>
          <w:spacing w:val="-8"/>
        </w:rPr>
        <w:t xml:space="preserve"> </w:t>
      </w:r>
      <w:r>
        <w:t>Customer</w:t>
      </w:r>
      <w:r>
        <w:rPr>
          <w:spacing w:val="-7"/>
        </w:rPr>
        <w:t xml:space="preserve"> </w:t>
      </w:r>
      <w:r>
        <w:t>Service</w:t>
      </w:r>
      <w:r>
        <w:rPr>
          <w:spacing w:val="-8"/>
        </w:rPr>
        <w:t xml:space="preserve"> </w:t>
      </w:r>
      <w:r>
        <w:t>Standards</w:t>
      </w:r>
      <w:r>
        <w:rPr>
          <w:spacing w:val="-9"/>
        </w:rPr>
        <w:t xml:space="preserve"> </w:t>
      </w:r>
      <w:r>
        <w:t>and</w:t>
      </w:r>
      <w:r>
        <w:rPr>
          <w:spacing w:val="-9"/>
        </w:rPr>
        <w:t xml:space="preserve"> </w:t>
      </w:r>
      <w:r>
        <w:t>any</w:t>
      </w:r>
      <w:r>
        <w:rPr>
          <w:spacing w:val="-8"/>
        </w:rPr>
        <w:t xml:space="preserve"> </w:t>
      </w:r>
      <w:r>
        <w:t>amendments</w:t>
      </w:r>
      <w:r>
        <w:rPr>
          <w:spacing w:val="-9"/>
        </w:rPr>
        <w:t xml:space="preserve"> </w:t>
      </w:r>
      <w:r>
        <w:t>from</w:t>
      </w:r>
      <w:r>
        <w:rPr>
          <w:spacing w:val="-8"/>
        </w:rPr>
        <w:t xml:space="preserve"> </w:t>
      </w:r>
      <w:r>
        <w:t>Services</w:t>
      </w:r>
      <w:r>
        <w:rPr>
          <w:spacing w:val="-8"/>
        </w:rPr>
        <w:t xml:space="preserve"> </w:t>
      </w:r>
      <w:r>
        <w:t>Standards</w:t>
      </w:r>
      <w:r>
        <w:rPr>
          <w:spacing w:val="-9"/>
        </w:rPr>
        <w:t xml:space="preserve"> </w:t>
      </w:r>
      <w:r>
        <w:t>in</w:t>
      </w:r>
      <w:r>
        <w:rPr>
          <w:spacing w:val="-8"/>
        </w:rPr>
        <w:t xml:space="preserve"> </w:t>
      </w:r>
      <w:r>
        <w:rPr>
          <w:spacing w:val="-4"/>
        </w:rPr>
        <w:t>PS4.</w:t>
      </w:r>
    </w:p>
    <w:p w14:paraId="29D0BF47" w14:textId="77777777" w:rsidR="00141B97" w:rsidRDefault="00911D63">
      <w:pPr>
        <w:pStyle w:val="ListParagraph"/>
        <w:numPr>
          <w:ilvl w:val="0"/>
          <w:numId w:val="108"/>
        </w:numPr>
        <w:tabs>
          <w:tab w:val="left" w:pos="873"/>
          <w:tab w:val="left" w:pos="874"/>
        </w:tabs>
        <w:spacing w:before="1"/>
        <w:ind w:left="874" w:right="247" w:hanging="361"/>
      </w:pPr>
      <w:r>
        <w:t>Describe</w:t>
      </w:r>
      <w:r>
        <w:rPr>
          <w:spacing w:val="40"/>
        </w:rPr>
        <w:t xml:space="preserve"> </w:t>
      </w:r>
      <w:r>
        <w:t>and</w:t>
      </w:r>
      <w:r>
        <w:rPr>
          <w:spacing w:val="40"/>
        </w:rPr>
        <w:t xml:space="preserve"> </w:t>
      </w:r>
      <w:r>
        <w:t>gain</w:t>
      </w:r>
      <w:r>
        <w:rPr>
          <w:spacing w:val="40"/>
        </w:rPr>
        <w:t xml:space="preserve"> </w:t>
      </w:r>
      <w:r>
        <w:t>feedback</w:t>
      </w:r>
      <w:r>
        <w:rPr>
          <w:spacing w:val="40"/>
        </w:rPr>
        <w:t xml:space="preserve"> </w:t>
      </w:r>
      <w:r>
        <w:t>on</w:t>
      </w:r>
      <w:r>
        <w:rPr>
          <w:spacing w:val="40"/>
        </w:rPr>
        <w:t xml:space="preserve"> </w:t>
      </w:r>
      <w:r>
        <w:t>the</w:t>
      </w:r>
      <w:r>
        <w:rPr>
          <w:spacing w:val="40"/>
        </w:rPr>
        <w:t xml:space="preserve"> </w:t>
      </w:r>
      <w:r>
        <w:t>indicative</w:t>
      </w:r>
      <w:r>
        <w:rPr>
          <w:spacing w:val="40"/>
        </w:rPr>
        <w:t xml:space="preserve"> </w:t>
      </w:r>
      <w:r>
        <w:t>price</w:t>
      </w:r>
      <w:r>
        <w:rPr>
          <w:spacing w:val="40"/>
        </w:rPr>
        <w:t xml:space="preserve"> </w:t>
      </w:r>
      <w:r>
        <w:t>path</w:t>
      </w:r>
      <w:r>
        <w:rPr>
          <w:spacing w:val="40"/>
        </w:rPr>
        <w:t xml:space="preserve"> </w:t>
      </w:r>
      <w:r>
        <w:t>which</w:t>
      </w:r>
      <w:r>
        <w:rPr>
          <w:spacing w:val="40"/>
        </w:rPr>
        <w:t xml:space="preserve"> </w:t>
      </w:r>
      <w:r>
        <w:t>will</w:t>
      </w:r>
      <w:r>
        <w:rPr>
          <w:spacing w:val="40"/>
        </w:rPr>
        <w:t xml:space="preserve"> </w:t>
      </w:r>
      <w:r>
        <w:t>support</w:t>
      </w:r>
      <w:r>
        <w:rPr>
          <w:spacing w:val="40"/>
        </w:rPr>
        <w:t xml:space="preserve"> </w:t>
      </w:r>
      <w:r>
        <w:t>delivery</w:t>
      </w:r>
      <w:r>
        <w:rPr>
          <w:spacing w:val="40"/>
        </w:rPr>
        <w:t xml:space="preserve"> </w:t>
      </w:r>
      <w:r>
        <w:t>of</w:t>
      </w:r>
      <w:r>
        <w:rPr>
          <w:spacing w:val="40"/>
        </w:rPr>
        <w:t xml:space="preserve"> </w:t>
      </w:r>
      <w:r>
        <w:t>customer outcomes and agreed investments.</w:t>
      </w:r>
    </w:p>
    <w:p w14:paraId="4846C06A" w14:textId="77777777" w:rsidR="00141B97" w:rsidRDefault="00911D63">
      <w:pPr>
        <w:pStyle w:val="ListParagraph"/>
        <w:numPr>
          <w:ilvl w:val="0"/>
          <w:numId w:val="108"/>
        </w:numPr>
        <w:tabs>
          <w:tab w:val="left" w:pos="873"/>
          <w:tab w:val="left" w:pos="875"/>
        </w:tabs>
        <w:spacing w:line="280" w:lineRule="exact"/>
        <w:ind w:left="874" w:hanging="361"/>
      </w:pPr>
      <w:r>
        <w:t>Describe</w:t>
      </w:r>
      <w:r>
        <w:rPr>
          <w:spacing w:val="-8"/>
        </w:rPr>
        <w:t xml:space="preserve"> </w:t>
      </w:r>
      <w:r>
        <w:t>major</w:t>
      </w:r>
      <w:r>
        <w:rPr>
          <w:spacing w:val="-8"/>
        </w:rPr>
        <w:t xml:space="preserve"> </w:t>
      </w:r>
      <w:r>
        <w:t>proposed</w:t>
      </w:r>
      <w:r>
        <w:rPr>
          <w:spacing w:val="-9"/>
        </w:rPr>
        <w:t xml:space="preserve"> </w:t>
      </w:r>
      <w:r>
        <w:t>capital</w:t>
      </w:r>
      <w:r>
        <w:rPr>
          <w:spacing w:val="-8"/>
        </w:rPr>
        <w:t xml:space="preserve"> </w:t>
      </w:r>
      <w:r>
        <w:t>and</w:t>
      </w:r>
      <w:r>
        <w:rPr>
          <w:spacing w:val="-7"/>
        </w:rPr>
        <w:t xml:space="preserve"> </w:t>
      </w:r>
      <w:r>
        <w:t>operational</w:t>
      </w:r>
      <w:r>
        <w:rPr>
          <w:spacing w:val="-8"/>
        </w:rPr>
        <w:t xml:space="preserve"> </w:t>
      </w:r>
      <w:r>
        <w:t>investments</w:t>
      </w:r>
      <w:r>
        <w:rPr>
          <w:spacing w:val="-7"/>
        </w:rPr>
        <w:t xml:space="preserve"> </w:t>
      </w:r>
      <w:r>
        <w:t>within</w:t>
      </w:r>
      <w:r>
        <w:rPr>
          <w:spacing w:val="-9"/>
        </w:rPr>
        <w:t xml:space="preserve"> </w:t>
      </w:r>
      <w:r>
        <w:t>the</w:t>
      </w:r>
      <w:r>
        <w:rPr>
          <w:spacing w:val="-9"/>
        </w:rPr>
        <w:t xml:space="preserve"> </w:t>
      </w:r>
      <w:r>
        <w:t>indicative</w:t>
      </w:r>
      <w:r>
        <w:rPr>
          <w:spacing w:val="-9"/>
        </w:rPr>
        <w:t xml:space="preserve"> </w:t>
      </w:r>
      <w:r>
        <w:t>price</w:t>
      </w:r>
      <w:r>
        <w:rPr>
          <w:spacing w:val="-8"/>
        </w:rPr>
        <w:t xml:space="preserve"> </w:t>
      </w:r>
      <w:r>
        <w:rPr>
          <w:spacing w:val="-2"/>
        </w:rPr>
        <w:t>path.</w:t>
      </w:r>
    </w:p>
    <w:p w14:paraId="5D507022" w14:textId="77777777" w:rsidR="00141B97" w:rsidRDefault="00911D63">
      <w:pPr>
        <w:pStyle w:val="ListParagraph"/>
        <w:numPr>
          <w:ilvl w:val="0"/>
          <w:numId w:val="108"/>
        </w:numPr>
        <w:tabs>
          <w:tab w:val="left" w:pos="873"/>
          <w:tab w:val="left" w:pos="874"/>
        </w:tabs>
        <w:spacing w:line="280" w:lineRule="exact"/>
        <w:ind w:hanging="361"/>
      </w:pPr>
      <w:r>
        <w:t>Provide</w:t>
      </w:r>
      <w:r>
        <w:rPr>
          <w:spacing w:val="-8"/>
        </w:rPr>
        <w:t xml:space="preserve"> </w:t>
      </w:r>
      <w:r>
        <w:t>a</w:t>
      </w:r>
      <w:r>
        <w:rPr>
          <w:spacing w:val="-7"/>
        </w:rPr>
        <w:t xml:space="preserve"> </w:t>
      </w:r>
      <w:r>
        <w:t>comparison</w:t>
      </w:r>
      <w:r>
        <w:rPr>
          <w:spacing w:val="-6"/>
        </w:rPr>
        <w:t xml:space="preserve"> </w:t>
      </w:r>
      <w:r>
        <w:t>of</w:t>
      </w:r>
      <w:r>
        <w:rPr>
          <w:spacing w:val="-7"/>
        </w:rPr>
        <w:t xml:space="preserve"> </w:t>
      </w:r>
      <w:r>
        <w:t>PS4</w:t>
      </w:r>
      <w:r>
        <w:rPr>
          <w:spacing w:val="-8"/>
        </w:rPr>
        <w:t xml:space="preserve"> </w:t>
      </w:r>
      <w:r>
        <w:t>capital</w:t>
      </w:r>
      <w:r>
        <w:rPr>
          <w:spacing w:val="-6"/>
        </w:rPr>
        <w:t xml:space="preserve"> </w:t>
      </w:r>
      <w:r>
        <w:t>and</w:t>
      </w:r>
      <w:r>
        <w:rPr>
          <w:spacing w:val="-6"/>
        </w:rPr>
        <w:t xml:space="preserve"> </w:t>
      </w:r>
      <w:r>
        <w:t>operational</w:t>
      </w:r>
      <w:r>
        <w:rPr>
          <w:spacing w:val="-7"/>
        </w:rPr>
        <w:t xml:space="preserve"> </w:t>
      </w:r>
      <w:r>
        <w:t>investments</w:t>
      </w:r>
      <w:r>
        <w:rPr>
          <w:spacing w:val="-7"/>
        </w:rPr>
        <w:t xml:space="preserve"> </w:t>
      </w:r>
      <w:r>
        <w:t>to</w:t>
      </w:r>
      <w:r>
        <w:rPr>
          <w:spacing w:val="-8"/>
        </w:rPr>
        <w:t xml:space="preserve"> </w:t>
      </w:r>
      <w:r>
        <w:t>those</w:t>
      </w:r>
      <w:r>
        <w:rPr>
          <w:spacing w:val="-8"/>
        </w:rPr>
        <w:t xml:space="preserve"> </w:t>
      </w:r>
      <w:r>
        <w:t>proposed</w:t>
      </w:r>
      <w:r>
        <w:rPr>
          <w:spacing w:val="-5"/>
        </w:rPr>
        <w:t xml:space="preserve"> </w:t>
      </w:r>
      <w:r>
        <w:t>for</w:t>
      </w:r>
      <w:r>
        <w:rPr>
          <w:spacing w:val="-7"/>
        </w:rPr>
        <w:t xml:space="preserve"> </w:t>
      </w:r>
      <w:r>
        <w:rPr>
          <w:spacing w:val="-4"/>
        </w:rPr>
        <w:t>PS5.</w:t>
      </w:r>
    </w:p>
    <w:p w14:paraId="71EAA915" w14:textId="77777777" w:rsidR="00141B97" w:rsidRDefault="00911D63">
      <w:pPr>
        <w:pStyle w:val="ListParagraph"/>
        <w:numPr>
          <w:ilvl w:val="0"/>
          <w:numId w:val="108"/>
        </w:numPr>
        <w:tabs>
          <w:tab w:val="left" w:pos="873"/>
          <w:tab w:val="left" w:pos="874"/>
        </w:tabs>
        <w:ind w:left="153" w:right="462" w:firstLine="359"/>
      </w:pPr>
      <w:r>
        <w:t>Discuss</w:t>
      </w:r>
      <w:r>
        <w:rPr>
          <w:spacing w:val="-4"/>
        </w:rPr>
        <w:t xml:space="preserve"> </w:t>
      </w:r>
      <w:r>
        <w:t>proposed</w:t>
      </w:r>
      <w:r>
        <w:rPr>
          <w:spacing w:val="-2"/>
        </w:rPr>
        <w:t xml:space="preserve"> </w:t>
      </w:r>
      <w:r>
        <w:t>changes</w:t>
      </w:r>
      <w:r>
        <w:rPr>
          <w:spacing w:val="-2"/>
        </w:rPr>
        <w:t xml:space="preserve"> </w:t>
      </w:r>
      <w:r>
        <w:t>to</w:t>
      </w:r>
      <w:r>
        <w:rPr>
          <w:spacing w:val="-3"/>
        </w:rPr>
        <w:t xml:space="preserve"> </w:t>
      </w:r>
      <w:r>
        <w:t>corporate</w:t>
      </w:r>
      <w:r>
        <w:rPr>
          <w:spacing w:val="-3"/>
        </w:rPr>
        <w:t xml:space="preserve"> </w:t>
      </w:r>
      <w:r>
        <w:t>cost</w:t>
      </w:r>
      <w:r>
        <w:rPr>
          <w:spacing w:val="-4"/>
        </w:rPr>
        <w:t xml:space="preserve"> </w:t>
      </w:r>
      <w:r>
        <w:t>allocations</w:t>
      </w:r>
      <w:r>
        <w:rPr>
          <w:spacing w:val="-4"/>
        </w:rPr>
        <w:t xml:space="preserve"> </w:t>
      </w:r>
      <w:r>
        <w:t>between</w:t>
      </w:r>
      <w:r>
        <w:rPr>
          <w:spacing w:val="-4"/>
        </w:rPr>
        <w:t xml:space="preserve"> </w:t>
      </w:r>
      <w:r>
        <w:t>LMW’s</w:t>
      </w:r>
      <w:r>
        <w:rPr>
          <w:spacing w:val="-4"/>
        </w:rPr>
        <w:t xml:space="preserve"> </w:t>
      </w:r>
      <w:r>
        <w:t>urban</w:t>
      </w:r>
      <w:r>
        <w:rPr>
          <w:spacing w:val="-3"/>
        </w:rPr>
        <w:t xml:space="preserve"> </w:t>
      </w:r>
      <w:r>
        <w:t>and</w:t>
      </w:r>
      <w:r>
        <w:rPr>
          <w:spacing w:val="-4"/>
        </w:rPr>
        <w:t xml:space="preserve"> </w:t>
      </w:r>
      <w:r>
        <w:t>rural</w:t>
      </w:r>
      <w:r>
        <w:rPr>
          <w:spacing w:val="-5"/>
        </w:rPr>
        <w:t xml:space="preserve"> </w:t>
      </w:r>
      <w:r>
        <w:t>businesses. Specific to urban customers only:</w:t>
      </w:r>
    </w:p>
    <w:p w14:paraId="52657793" w14:textId="77777777" w:rsidR="00141B97" w:rsidRDefault="00911D63">
      <w:pPr>
        <w:pStyle w:val="ListParagraph"/>
        <w:numPr>
          <w:ilvl w:val="0"/>
          <w:numId w:val="108"/>
        </w:numPr>
        <w:tabs>
          <w:tab w:val="left" w:pos="873"/>
          <w:tab w:val="left" w:pos="874"/>
        </w:tabs>
        <w:spacing w:before="1"/>
        <w:ind w:right="245" w:hanging="361"/>
      </w:pPr>
      <w:r>
        <w:t xml:space="preserve">Seek feedback on proposed changes to New Customer Contributions (NCC) from developers and land </w:t>
      </w:r>
      <w:r>
        <w:rPr>
          <w:spacing w:val="-2"/>
        </w:rPr>
        <w:t>holders.</w:t>
      </w:r>
    </w:p>
    <w:p w14:paraId="19A92071" w14:textId="77777777" w:rsidR="00141B97" w:rsidRDefault="00911D63">
      <w:pPr>
        <w:pStyle w:val="ListParagraph"/>
        <w:numPr>
          <w:ilvl w:val="0"/>
          <w:numId w:val="108"/>
        </w:numPr>
        <w:tabs>
          <w:tab w:val="left" w:pos="873"/>
          <w:tab w:val="left" w:pos="874"/>
        </w:tabs>
        <w:ind w:left="153" w:right="1037" w:firstLine="360"/>
      </w:pPr>
      <w:r>
        <w:t>Seek</w:t>
      </w:r>
      <w:r>
        <w:rPr>
          <w:spacing w:val="-3"/>
        </w:rPr>
        <w:t xml:space="preserve"> </w:t>
      </w:r>
      <w:r>
        <w:t>feedback</w:t>
      </w:r>
      <w:r>
        <w:rPr>
          <w:spacing w:val="-3"/>
        </w:rPr>
        <w:t xml:space="preserve"> </w:t>
      </w:r>
      <w:r>
        <w:t>on</w:t>
      </w:r>
      <w:r>
        <w:rPr>
          <w:spacing w:val="-2"/>
        </w:rPr>
        <w:t xml:space="preserve"> </w:t>
      </w:r>
      <w:r>
        <w:t>the</w:t>
      </w:r>
      <w:r>
        <w:rPr>
          <w:spacing w:val="-4"/>
        </w:rPr>
        <w:t xml:space="preserve"> </w:t>
      </w:r>
      <w:r>
        <w:t>current</w:t>
      </w:r>
      <w:r>
        <w:rPr>
          <w:spacing w:val="-2"/>
        </w:rPr>
        <w:t xml:space="preserve"> </w:t>
      </w:r>
      <w:r>
        <w:t>Urban</w:t>
      </w:r>
      <w:r>
        <w:rPr>
          <w:spacing w:val="-2"/>
        </w:rPr>
        <w:t xml:space="preserve"> </w:t>
      </w:r>
      <w:r>
        <w:t>Volumetric</w:t>
      </w:r>
      <w:r>
        <w:rPr>
          <w:spacing w:val="-3"/>
        </w:rPr>
        <w:t xml:space="preserve"> </w:t>
      </w:r>
      <w:r>
        <w:t>Tier</w:t>
      </w:r>
      <w:r>
        <w:rPr>
          <w:spacing w:val="-2"/>
        </w:rPr>
        <w:t xml:space="preserve"> </w:t>
      </w:r>
      <w:r>
        <w:t>Pricing</w:t>
      </w:r>
      <w:r>
        <w:rPr>
          <w:spacing w:val="-2"/>
        </w:rPr>
        <w:t xml:space="preserve"> </w:t>
      </w:r>
      <w:r>
        <w:t>Structure</w:t>
      </w:r>
      <w:r>
        <w:rPr>
          <w:spacing w:val="-3"/>
        </w:rPr>
        <w:t xml:space="preserve"> </w:t>
      </w:r>
      <w:r>
        <w:t>and</w:t>
      </w:r>
      <w:r>
        <w:rPr>
          <w:spacing w:val="-2"/>
        </w:rPr>
        <w:t xml:space="preserve"> </w:t>
      </w:r>
      <w:r>
        <w:t>options</w:t>
      </w:r>
      <w:r>
        <w:rPr>
          <w:spacing w:val="-2"/>
        </w:rPr>
        <w:t xml:space="preserve"> </w:t>
      </w:r>
      <w:r>
        <w:t>for</w:t>
      </w:r>
      <w:r>
        <w:rPr>
          <w:spacing w:val="-2"/>
        </w:rPr>
        <w:t xml:space="preserve"> </w:t>
      </w:r>
      <w:r>
        <w:t>change. Specific to rural customers only:</w:t>
      </w:r>
    </w:p>
    <w:p w14:paraId="084E40F5" w14:textId="77777777" w:rsidR="00141B97" w:rsidRDefault="00911D63">
      <w:pPr>
        <w:pStyle w:val="ListParagraph"/>
        <w:numPr>
          <w:ilvl w:val="0"/>
          <w:numId w:val="108"/>
        </w:numPr>
        <w:tabs>
          <w:tab w:val="left" w:pos="873"/>
          <w:tab w:val="left" w:pos="874"/>
        </w:tabs>
        <w:spacing w:line="280" w:lineRule="exact"/>
        <w:ind w:hanging="361"/>
      </w:pPr>
      <w:r>
        <w:t>Describe</w:t>
      </w:r>
      <w:r>
        <w:rPr>
          <w:spacing w:val="-7"/>
        </w:rPr>
        <w:t xml:space="preserve"> </w:t>
      </w:r>
      <w:r>
        <w:t>LMW</w:t>
      </w:r>
      <w:r>
        <w:rPr>
          <w:spacing w:val="-8"/>
        </w:rPr>
        <w:t xml:space="preserve"> </w:t>
      </w:r>
      <w:r>
        <w:t>revenue</w:t>
      </w:r>
      <w:r>
        <w:rPr>
          <w:spacing w:val="-8"/>
        </w:rPr>
        <w:t xml:space="preserve"> </w:t>
      </w:r>
      <w:r>
        <w:t>requirements</w:t>
      </w:r>
      <w:r>
        <w:rPr>
          <w:spacing w:val="-8"/>
        </w:rPr>
        <w:t xml:space="preserve"> </w:t>
      </w:r>
      <w:r>
        <w:t>to</w:t>
      </w:r>
      <w:r>
        <w:rPr>
          <w:spacing w:val="-9"/>
        </w:rPr>
        <w:t xml:space="preserve"> </w:t>
      </w:r>
      <w:r>
        <w:t>deliver</w:t>
      </w:r>
      <w:r>
        <w:rPr>
          <w:spacing w:val="-7"/>
        </w:rPr>
        <w:t xml:space="preserve"> </w:t>
      </w:r>
      <w:r>
        <w:t>the</w:t>
      </w:r>
      <w:r>
        <w:rPr>
          <w:spacing w:val="-8"/>
        </w:rPr>
        <w:t xml:space="preserve"> </w:t>
      </w:r>
      <w:r>
        <w:t>indicate</w:t>
      </w:r>
      <w:r>
        <w:rPr>
          <w:spacing w:val="-7"/>
        </w:rPr>
        <w:t xml:space="preserve"> </w:t>
      </w:r>
      <w:r>
        <w:t>price</w:t>
      </w:r>
      <w:r>
        <w:rPr>
          <w:spacing w:val="-8"/>
        </w:rPr>
        <w:t xml:space="preserve"> </w:t>
      </w:r>
      <w:r>
        <w:t>paths</w:t>
      </w:r>
      <w:r>
        <w:rPr>
          <w:spacing w:val="-7"/>
        </w:rPr>
        <w:t xml:space="preserve"> </w:t>
      </w:r>
      <w:r>
        <w:t>presented</w:t>
      </w:r>
      <w:r>
        <w:rPr>
          <w:spacing w:val="-8"/>
        </w:rPr>
        <w:t xml:space="preserve"> </w:t>
      </w:r>
      <w:r>
        <w:t>for</w:t>
      </w:r>
      <w:r>
        <w:rPr>
          <w:spacing w:val="-7"/>
        </w:rPr>
        <w:t xml:space="preserve"> </w:t>
      </w:r>
      <w:r>
        <w:t>each</w:t>
      </w:r>
      <w:r>
        <w:rPr>
          <w:spacing w:val="-7"/>
        </w:rPr>
        <w:t xml:space="preserve"> </w:t>
      </w:r>
      <w:r>
        <w:rPr>
          <w:spacing w:val="-2"/>
        </w:rPr>
        <w:t>district.</w:t>
      </w:r>
    </w:p>
    <w:p w14:paraId="3D1EA96E" w14:textId="77777777" w:rsidR="00141B97" w:rsidRDefault="00141B97">
      <w:pPr>
        <w:pStyle w:val="BodyText"/>
      </w:pPr>
    </w:p>
    <w:p w14:paraId="5C56C42A" w14:textId="77777777" w:rsidR="00141B97" w:rsidRDefault="00911D63">
      <w:pPr>
        <w:spacing w:line="268" w:lineRule="exact"/>
        <w:ind w:left="153"/>
        <w:rPr>
          <w:i/>
        </w:rPr>
      </w:pPr>
      <w:r>
        <w:rPr>
          <w:i/>
        </w:rPr>
        <w:t>Post</w:t>
      </w:r>
      <w:r>
        <w:rPr>
          <w:i/>
          <w:spacing w:val="-7"/>
        </w:rPr>
        <w:t xml:space="preserve"> </w:t>
      </w:r>
      <w:r>
        <w:rPr>
          <w:i/>
        </w:rPr>
        <w:t>engagement</w:t>
      </w:r>
      <w:r>
        <w:rPr>
          <w:i/>
          <w:spacing w:val="-7"/>
        </w:rPr>
        <w:t xml:space="preserve"> </w:t>
      </w:r>
      <w:r>
        <w:t>‐</w:t>
      </w:r>
      <w:r>
        <w:rPr>
          <w:spacing w:val="-6"/>
        </w:rPr>
        <w:t xml:space="preserve"> </w:t>
      </w:r>
      <w:r>
        <w:rPr>
          <w:i/>
        </w:rPr>
        <w:t>Informing</w:t>
      </w:r>
      <w:r>
        <w:rPr>
          <w:i/>
          <w:spacing w:val="-6"/>
        </w:rPr>
        <w:t xml:space="preserve"> </w:t>
      </w:r>
      <w:r>
        <w:rPr>
          <w:i/>
        </w:rPr>
        <w:t>Price</w:t>
      </w:r>
      <w:r>
        <w:rPr>
          <w:i/>
          <w:spacing w:val="-6"/>
        </w:rPr>
        <w:t xml:space="preserve"> </w:t>
      </w:r>
      <w:r>
        <w:rPr>
          <w:i/>
        </w:rPr>
        <w:t>Path</w:t>
      </w:r>
      <w:r>
        <w:rPr>
          <w:i/>
          <w:spacing w:val="-5"/>
        </w:rPr>
        <w:t xml:space="preserve"> </w:t>
      </w:r>
      <w:r>
        <w:rPr>
          <w:i/>
        </w:rPr>
        <w:t>Outcome</w:t>
      </w:r>
      <w:r>
        <w:rPr>
          <w:i/>
          <w:spacing w:val="-6"/>
        </w:rPr>
        <w:t xml:space="preserve"> </w:t>
      </w:r>
      <w:r>
        <w:rPr>
          <w:i/>
        </w:rPr>
        <w:t>and</w:t>
      </w:r>
      <w:r>
        <w:rPr>
          <w:i/>
          <w:spacing w:val="-6"/>
        </w:rPr>
        <w:t xml:space="preserve"> </w:t>
      </w:r>
      <w:r>
        <w:rPr>
          <w:i/>
        </w:rPr>
        <w:t>Water</w:t>
      </w:r>
      <w:r>
        <w:rPr>
          <w:i/>
          <w:spacing w:val="-6"/>
        </w:rPr>
        <w:t xml:space="preserve"> </w:t>
      </w:r>
      <w:r>
        <w:rPr>
          <w:i/>
        </w:rPr>
        <w:t>Plan</w:t>
      </w:r>
      <w:r>
        <w:rPr>
          <w:i/>
          <w:spacing w:val="-5"/>
        </w:rPr>
        <w:t xml:space="preserve"> </w:t>
      </w:r>
      <w:r>
        <w:rPr>
          <w:i/>
          <w:spacing w:val="-2"/>
        </w:rPr>
        <w:t>Commitments.</w:t>
      </w:r>
    </w:p>
    <w:p w14:paraId="07B06BFC" w14:textId="77777777" w:rsidR="00141B97" w:rsidRDefault="00911D63">
      <w:pPr>
        <w:pStyle w:val="ListParagraph"/>
        <w:numPr>
          <w:ilvl w:val="0"/>
          <w:numId w:val="108"/>
        </w:numPr>
        <w:tabs>
          <w:tab w:val="left" w:pos="862"/>
          <w:tab w:val="left" w:pos="864"/>
        </w:tabs>
        <w:ind w:left="862" w:right="248"/>
      </w:pPr>
      <w:r>
        <w:t>Summaries</w:t>
      </w:r>
      <w:r>
        <w:rPr>
          <w:spacing w:val="40"/>
        </w:rPr>
        <w:t xml:space="preserve"> </w:t>
      </w:r>
      <w:r>
        <w:t>of</w:t>
      </w:r>
      <w:r>
        <w:rPr>
          <w:spacing w:val="40"/>
        </w:rPr>
        <w:t xml:space="preserve"> </w:t>
      </w:r>
      <w:r>
        <w:t>the</w:t>
      </w:r>
      <w:r>
        <w:rPr>
          <w:spacing w:val="40"/>
        </w:rPr>
        <w:t xml:space="preserve"> </w:t>
      </w:r>
      <w:r>
        <w:t>process,</w:t>
      </w:r>
      <w:r>
        <w:rPr>
          <w:spacing w:val="40"/>
        </w:rPr>
        <w:t xml:space="preserve"> </w:t>
      </w:r>
      <w:r>
        <w:t>key</w:t>
      </w:r>
      <w:r>
        <w:rPr>
          <w:spacing w:val="40"/>
        </w:rPr>
        <w:t xml:space="preserve"> </w:t>
      </w:r>
      <w:r>
        <w:t>highlights</w:t>
      </w:r>
      <w:r>
        <w:rPr>
          <w:spacing w:val="40"/>
        </w:rPr>
        <w:t xml:space="preserve"> </w:t>
      </w:r>
      <w:r>
        <w:t>and</w:t>
      </w:r>
      <w:r>
        <w:rPr>
          <w:spacing w:val="40"/>
        </w:rPr>
        <w:t xml:space="preserve"> </w:t>
      </w:r>
      <w:r>
        <w:t>the</w:t>
      </w:r>
      <w:r>
        <w:rPr>
          <w:spacing w:val="40"/>
        </w:rPr>
        <w:t xml:space="preserve"> </w:t>
      </w:r>
      <w:r>
        <w:t>future</w:t>
      </w:r>
      <w:r>
        <w:rPr>
          <w:spacing w:val="40"/>
        </w:rPr>
        <w:t xml:space="preserve"> </w:t>
      </w:r>
      <w:r>
        <w:t>deliverables</w:t>
      </w:r>
      <w:r>
        <w:rPr>
          <w:spacing w:val="40"/>
        </w:rPr>
        <w:t xml:space="preserve"> </w:t>
      </w:r>
      <w:r>
        <w:t>were</w:t>
      </w:r>
      <w:r>
        <w:rPr>
          <w:spacing w:val="40"/>
        </w:rPr>
        <w:t xml:space="preserve"> </w:t>
      </w:r>
      <w:r>
        <w:t>fed</w:t>
      </w:r>
      <w:r>
        <w:rPr>
          <w:spacing w:val="40"/>
        </w:rPr>
        <w:t xml:space="preserve"> </w:t>
      </w:r>
      <w:r>
        <w:t>back</w:t>
      </w:r>
      <w:r>
        <w:rPr>
          <w:spacing w:val="40"/>
        </w:rPr>
        <w:t xml:space="preserve"> </w:t>
      </w:r>
      <w:r>
        <w:t>to</w:t>
      </w:r>
      <w:r>
        <w:rPr>
          <w:spacing w:val="40"/>
        </w:rPr>
        <w:t xml:space="preserve"> </w:t>
      </w:r>
      <w:r>
        <w:t>customer stakeholder cohorts to close the loop.</w:t>
      </w:r>
    </w:p>
    <w:p w14:paraId="162B452B" w14:textId="77777777" w:rsidR="00141B97" w:rsidRDefault="00141B97">
      <w:pPr>
        <w:pStyle w:val="BodyText"/>
        <w:spacing w:before="1"/>
        <w:rPr>
          <w:sz w:val="31"/>
        </w:rPr>
      </w:pPr>
    </w:p>
    <w:p w14:paraId="150932F4" w14:textId="77777777" w:rsidR="00141B97" w:rsidRDefault="00911D63">
      <w:pPr>
        <w:pStyle w:val="Heading2"/>
        <w:numPr>
          <w:ilvl w:val="1"/>
          <w:numId w:val="113"/>
        </w:numPr>
        <w:tabs>
          <w:tab w:val="left" w:pos="1152"/>
          <w:tab w:val="left" w:pos="1153"/>
        </w:tabs>
      </w:pPr>
      <w:bookmarkStart w:id="7" w:name="_TOC_250020"/>
      <w:r>
        <w:rPr>
          <w:color w:val="009BAC"/>
        </w:rPr>
        <w:t>What</w:t>
      </w:r>
      <w:r>
        <w:rPr>
          <w:color w:val="009BAC"/>
          <w:spacing w:val="-9"/>
        </w:rPr>
        <w:t xml:space="preserve"> </w:t>
      </w:r>
      <w:r>
        <w:rPr>
          <w:color w:val="009BAC"/>
        </w:rPr>
        <w:t>LMW</w:t>
      </w:r>
      <w:r>
        <w:rPr>
          <w:color w:val="009BAC"/>
          <w:spacing w:val="-7"/>
        </w:rPr>
        <w:t xml:space="preserve"> </w:t>
      </w:r>
      <w:r>
        <w:rPr>
          <w:color w:val="009BAC"/>
        </w:rPr>
        <w:t>Customers</w:t>
      </w:r>
      <w:r>
        <w:rPr>
          <w:color w:val="009BAC"/>
          <w:spacing w:val="-8"/>
        </w:rPr>
        <w:t xml:space="preserve"> </w:t>
      </w:r>
      <w:bookmarkEnd w:id="7"/>
      <w:r>
        <w:rPr>
          <w:color w:val="009BAC"/>
          <w:spacing w:val="-4"/>
        </w:rPr>
        <w:t>Said</w:t>
      </w:r>
    </w:p>
    <w:p w14:paraId="1CF47430" w14:textId="77777777" w:rsidR="00141B97" w:rsidRDefault="00911D63">
      <w:pPr>
        <w:pStyle w:val="BodyText"/>
        <w:spacing w:before="121"/>
        <w:ind w:left="153" w:right="248"/>
        <w:jc w:val="both"/>
      </w:pPr>
      <w:r>
        <w:t>Through</w:t>
      </w:r>
      <w:r>
        <w:rPr>
          <w:spacing w:val="-1"/>
        </w:rPr>
        <w:t xml:space="preserve"> </w:t>
      </w:r>
      <w:r>
        <w:t>a</w:t>
      </w:r>
      <w:r>
        <w:rPr>
          <w:spacing w:val="-2"/>
        </w:rPr>
        <w:t xml:space="preserve"> </w:t>
      </w:r>
      <w:r>
        <w:t>new</w:t>
      </w:r>
      <w:r>
        <w:rPr>
          <w:spacing w:val="-3"/>
        </w:rPr>
        <w:t xml:space="preserve"> </w:t>
      </w:r>
      <w:r>
        <w:t>communication</w:t>
      </w:r>
      <w:r>
        <w:rPr>
          <w:spacing w:val="-2"/>
        </w:rPr>
        <w:t xml:space="preserve"> </w:t>
      </w:r>
      <w:r>
        <w:t>and</w:t>
      </w:r>
      <w:r>
        <w:rPr>
          <w:spacing w:val="-2"/>
        </w:rPr>
        <w:t xml:space="preserve"> </w:t>
      </w:r>
      <w:r>
        <w:t>engagement</w:t>
      </w:r>
      <w:r>
        <w:rPr>
          <w:spacing w:val="-3"/>
        </w:rPr>
        <w:t xml:space="preserve"> </w:t>
      </w:r>
      <w:r>
        <w:t>approach,</w:t>
      </w:r>
      <w:r>
        <w:rPr>
          <w:spacing w:val="-2"/>
        </w:rPr>
        <w:t xml:space="preserve"> </w:t>
      </w:r>
      <w:r>
        <w:t>clear</w:t>
      </w:r>
      <w:r>
        <w:rPr>
          <w:spacing w:val="-3"/>
        </w:rPr>
        <w:t xml:space="preserve"> </w:t>
      </w:r>
      <w:r>
        <w:t>planning,</w:t>
      </w:r>
      <w:r>
        <w:rPr>
          <w:spacing w:val="-2"/>
        </w:rPr>
        <w:t xml:space="preserve"> </w:t>
      </w:r>
      <w:r>
        <w:t>and</w:t>
      </w:r>
      <w:r>
        <w:rPr>
          <w:spacing w:val="-3"/>
        </w:rPr>
        <w:t xml:space="preserve"> </w:t>
      </w:r>
      <w:r>
        <w:t>consistent</w:t>
      </w:r>
      <w:r>
        <w:rPr>
          <w:spacing w:val="-2"/>
        </w:rPr>
        <w:t xml:space="preserve"> </w:t>
      </w:r>
      <w:r>
        <w:t>implementation</w:t>
      </w:r>
      <w:r>
        <w:rPr>
          <w:spacing w:val="-2"/>
        </w:rPr>
        <w:t xml:space="preserve"> </w:t>
      </w:r>
      <w:r>
        <w:t>of</w:t>
      </w:r>
      <w:r>
        <w:rPr>
          <w:spacing w:val="-1"/>
        </w:rPr>
        <w:t xml:space="preserve"> </w:t>
      </w:r>
      <w:r>
        <w:t>a variety</w:t>
      </w:r>
      <w:r>
        <w:rPr>
          <w:spacing w:val="-4"/>
        </w:rPr>
        <w:t xml:space="preserve"> </w:t>
      </w:r>
      <w:r>
        <w:t>of</w:t>
      </w:r>
      <w:r>
        <w:rPr>
          <w:spacing w:val="-4"/>
        </w:rPr>
        <w:t xml:space="preserve"> </w:t>
      </w:r>
      <w:r>
        <w:t>engagement</w:t>
      </w:r>
      <w:r>
        <w:rPr>
          <w:spacing w:val="-6"/>
        </w:rPr>
        <w:t xml:space="preserve"> </w:t>
      </w:r>
      <w:r>
        <w:t>methods,</w:t>
      </w:r>
      <w:r>
        <w:rPr>
          <w:spacing w:val="-5"/>
        </w:rPr>
        <w:t xml:space="preserve"> </w:t>
      </w:r>
      <w:r>
        <w:t>LMW</w:t>
      </w:r>
      <w:r>
        <w:rPr>
          <w:spacing w:val="-5"/>
        </w:rPr>
        <w:t xml:space="preserve"> </w:t>
      </w:r>
      <w:r>
        <w:t>was</w:t>
      </w:r>
      <w:r>
        <w:rPr>
          <w:spacing w:val="-5"/>
        </w:rPr>
        <w:t xml:space="preserve"> </w:t>
      </w:r>
      <w:r>
        <w:t>able</w:t>
      </w:r>
      <w:r>
        <w:rPr>
          <w:spacing w:val="-5"/>
        </w:rPr>
        <w:t xml:space="preserve"> </w:t>
      </w:r>
      <w:r>
        <w:t>to</w:t>
      </w:r>
      <w:r>
        <w:rPr>
          <w:spacing w:val="-5"/>
        </w:rPr>
        <w:t xml:space="preserve"> </w:t>
      </w:r>
      <w:r>
        <w:t>evolve</w:t>
      </w:r>
      <w:r>
        <w:rPr>
          <w:spacing w:val="-6"/>
        </w:rPr>
        <w:t xml:space="preserve"> </w:t>
      </w:r>
      <w:r>
        <w:t>PS5</w:t>
      </w:r>
      <w:r>
        <w:rPr>
          <w:spacing w:val="-5"/>
        </w:rPr>
        <w:t xml:space="preserve"> </w:t>
      </w:r>
      <w:r>
        <w:t>customer</w:t>
      </w:r>
      <w:r>
        <w:rPr>
          <w:spacing w:val="-4"/>
        </w:rPr>
        <w:t xml:space="preserve"> </w:t>
      </w:r>
      <w:r>
        <w:t>outcomes</w:t>
      </w:r>
      <w:r>
        <w:rPr>
          <w:spacing w:val="-4"/>
        </w:rPr>
        <w:t xml:space="preserve"> </w:t>
      </w:r>
      <w:r>
        <w:t>and</w:t>
      </w:r>
      <w:r>
        <w:rPr>
          <w:spacing w:val="-4"/>
        </w:rPr>
        <w:t xml:space="preserve"> </w:t>
      </w:r>
      <w:r>
        <w:t>relevant</w:t>
      </w:r>
      <w:r>
        <w:rPr>
          <w:spacing w:val="-6"/>
        </w:rPr>
        <w:t xml:space="preserve"> </w:t>
      </w:r>
      <w:r>
        <w:t>price</w:t>
      </w:r>
      <w:r>
        <w:rPr>
          <w:spacing w:val="-5"/>
        </w:rPr>
        <w:t xml:space="preserve"> </w:t>
      </w:r>
      <w:r>
        <w:t>paths</w:t>
      </w:r>
      <w:r>
        <w:rPr>
          <w:spacing w:val="-4"/>
        </w:rPr>
        <w:t xml:space="preserve"> </w:t>
      </w:r>
      <w:r>
        <w:t>in</w:t>
      </w:r>
      <w:r>
        <w:rPr>
          <w:spacing w:val="-3"/>
        </w:rPr>
        <w:t xml:space="preserve"> </w:t>
      </w:r>
      <w:r>
        <w:t>a coordinated and iterative way. This authentic engagement experience generated new insights into the shift of customer perceptions, aspirations, and expectations from PS4 to PS5.</w:t>
      </w:r>
    </w:p>
    <w:p w14:paraId="691A1C18" w14:textId="77777777" w:rsidR="00141B97" w:rsidRDefault="00141B97">
      <w:pPr>
        <w:pStyle w:val="BodyText"/>
      </w:pPr>
    </w:p>
    <w:p w14:paraId="29B4A993" w14:textId="77777777" w:rsidR="00141B97" w:rsidRDefault="00911D63">
      <w:pPr>
        <w:pStyle w:val="BodyText"/>
        <w:ind w:left="154" w:right="248" w:hanging="1"/>
        <w:jc w:val="both"/>
      </w:pPr>
      <w:r>
        <w:t>Customers demonstrated an ability to draw upon their experiences and knowledge of issues that arose during PS4,</w:t>
      </w:r>
      <w:r>
        <w:rPr>
          <w:spacing w:val="25"/>
        </w:rPr>
        <w:t xml:space="preserve"> </w:t>
      </w:r>
      <w:r>
        <w:t>including</w:t>
      </w:r>
      <w:r>
        <w:rPr>
          <w:spacing w:val="25"/>
        </w:rPr>
        <w:t xml:space="preserve"> </w:t>
      </w:r>
      <w:r>
        <w:t>COVID‐19</w:t>
      </w:r>
      <w:r>
        <w:rPr>
          <w:spacing w:val="27"/>
        </w:rPr>
        <w:t xml:space="preserve"> </w:t>
      </w:r>
      <w:r>
        <w:t>pandemic,</w:t>
      </w:r>
      <w:r>
        <w:rPr>
          <w:spacing w:val="26"/>
        </w:rPr>
        <w:t xml:space="preserve"> </w:t>
      </w:r>
      <w:r>
        <w:t>an</w:t>
      </w:r>
      <w:r>
        <w:rPr>
          <w:spacing w:val="26"/>
        </w:rPr>
        <w:t xml:space="preserve"> </w:t>
      </w:r>
      <w:r>
        <w:t>increased</w:t>
      </w:r>
      <w:r>
        <w:rPr>
          <w:spacing w:val="27"/>
        </w:rPr>
        <w:t xml:space="preserve"> </w:t>
      </w:r>
      <w:r>
        <w:t>awareness</w:t>
      </w:r>
      <w:r>
        <w:rPr>
          <w:spacing w:val="26"/>
        </w:rPr>
        <w:t xml:space="preserve"> </w:t>
      </w:r>
      <w:r>
        <w:t>of</w:t>
      </w:r>
      <w:r>
        <w:rPr>
          <w:spacing w:val="28"/>
        </w:rPr>
        <w:t xml:space="preserve"> </w:t>
      </w:r>
      <w:r>
        <w:t>cyberattacks</w:t>
      </w:r>
      <w:r>
        <w:rPr>
          <w:spacing w:val="28"/>
        </w:rPr>
        <w:t xml:space="preserve"> </w:t>
      </w:r>
      <w:r>
        <w:t>resulting</w:t>
      </w:r>
      <w:r>
        <w:rPr>
          <w:spacing w:val="27"/>
        </w:rPr>
        <w:t xml:space="preserve"> </w:t>
      </w:r>
      <w:r>
        <w:t>in</w:t>
      </w:r>
      <w:r>
        <w:rPr>
          <w:spacing w:val="26"/>
        </w:rPr>
        <w:t xml:space="preserve"> </w:t>
      </w:r>
      <w:r>
        <w:t>the</w:t>
      </w:r>
      <w:r>
        <w:rPr>
          <w:spacing w:val="26"/>
        </w:rPr>
        <w:t xml:space="preserve"> </w:t>
      </w:r>
      <w:r>
        <w:t>need</w:t>
      </w:r>
      <w:r>
        <w:rPr>
          <w:spacing w:val="26"/>
        </w:rPr>
        <w:t xml:space="preserve"> </w:t>
      </w:r>
      <w:r>
        <w:t>for</w:t>
      </w:r>
      <w:r>
        <w:rPr>
          <w:spacing w:val="27"/>
        </w:rPr>
        <w:t xml:space="preserve"> </w:t>
      </w:r>
      <w:r>
        <w:t>more</w:t>
      </w:r>
    </w:p>
    <w:p w14:paraId="12DA329D" w14:textId="77777777" w:rsidR="00141B97" w:rsidRDefault="00141B97">
      <w:pPr>
        <w:jc w:val="both"/>
        <w:sectPr w:rsidR="00141B97">
          <w:pgSz w:w="11910" w:h="16840"/>
          <w:pgMar w:top="1080" w:right="740" w:bottom="1120" w:left="980" w:header="0" w:footer="896" w:gutter="0"/>
          <w:cols w:space="720"/>
        </w:sectPr>
      </w:pPr>
    </w:p>
    <w:p w14:paraId="57D46C14" w14:textId="77777777" w:rsidR="00141B97" w:rsidRDefault="00911D63">
      <w:pPr>
        <w:pStyle w:val="BodyText"/>
        <w:spacing w:before="31"/>
        <w:ind w:left="154" w:right="246"/>
        <w:jc w:val="both"/>
      </w:pPr>
      <w:r>
        <w:lastRenderedPageBreak/>
        <w:t>robust</w:t>
      </w:r>
      <w:r>
        <w:rPr>
          <w:spacing w:val="-5"/>
        </w:rPr>
        <w:t xml:space="preserve"> </w:t>
      </w:r>
      <w:r>
        <w:t>cybersecurity,</w:t>
      </w:r>
      <w:r>
        <w:rPr>
          <w:spacing w:val="-5"/>
        </w:rPr>
        <w:t xml:space="preserve"> </w:t>
      </w:r>
      <w:r>
        <w:t>as</w:t>
      </w:r>
      <w:r>
        <w:rPr>
          <w:spacing w:val="-4"/>
        </w:rPr>
        <w:t xml:space="preserve"> </w:t>
      </w:r>
      <w:r>
        <w:t>well</w:t>
      </w:r>
      <w:r>
        <w:rPr>
          <w:spacing w:val="-5"/>
        </w:rPr>
        <w:t xml:space="preserve"> </w:t>
      </w:r>
      <w:r>
        <w:t>as</w:t>
      </w:r>
      <w:r>
        <w:rPr>
          <w:spacing w:val="-4"/>
        </w:rPr>
        <w:t xml:space="preserve"> </w:t>
      </w:r>
      <w:r>
        <w:t>an</w:t>
      </w:r>
      <w:r>
        <w:rPr>
          <w:spacing w:val="-4"/>
        </w:rPr>
        <w:t xml:space="preserve"> </w:t>
      </w:r>
      <w:r>
        <w:t>appreciation</w:t>
      </w:r>
      <w:r>
        <w:rPr>
          <w:spacing w:val="-4"/>
        </w:rPr>
        <w:t xml:space="preserve"> </w:t>
      </w:r>
      <w:r>
        <w:t>of</w:t>
      </w:r>
      <w:r>
        <w:rPr>
          <w:spacing w:val="-5"/>
        </w:rPr>
        <w:t xml:space="preserve"> </w:t>
      </w:r>
      <w:r>
        <w:t>the</w:t>
      </w:r>
      <w:r>
        <w:rPr>
          <w:spacing w:val="-4"/>
        </w:rPr>
        <w:t xml:space="preserve"> </w:t>
      </w:r>
      <w:r>
        <w:t>interdependence</w:t>
      </w:r>
      <w:r>
        <w:rPr>
          <w:spacing w:val="-5"/>
        </w:rPr>
        <w:t xml:space="preserve"> </w:t>
      </w:r>
      <w:r>
        <w:t>between</w:t>
      </w:r>
      <w:r>
        <w:rPr>
          <w:spacing w:val="-4"/>
        </w:rPr>
        <w:t xml:space="preserve"> </w:t>
      </w:r>
      <w:r>
        <w:t>LMW</w:t>
      </w:r>
      <w:r>
        <w:rPr>
          <w:spacing w:val="-6"/>
        </w:rPr>
        <w:t xml:space="preserve"> </w:t>
      </w:r>
      <w:r>
        <w:t>services</w:t>
      </w:r>
      <w:r>
        <w:rPr>
          <w:spacing w:val="-4"/>
        </w:rPr>
        <w:t xml:space="preserve"> </w:t>
      </w:r>
      <w:r>
        <w:t>and</w:t>
      </w:r>
      <w:r>
        <w:rPr>
          <w:spacing w:val="-4"/>
        </w:rPr>
        <w:t xml:space="preserve"> </w:t>
      </w:r>
      <w:r>
        <w:t>a</w:t>
      </w:r>
      <w:r>
        <w:rPr>
          <w:spacing w:val="-4"/>
        </w:rPr>
        <w:t xml:space="preserve"> </w:t>
      </w:r>
      <w:r>
        <w:t>decrease in water quality. These insights drove the key priorities highlighted for LMW customers as a result.</w:t>
      </w:r>
    </w:p>
    <w:p w14:paraId="0B431A34" w14:textId="77777777" w:rsidR="00141B97" w:rsidRDefault="00141B97">
      <w:pPr>
        <w:pStyle w:val="BodyText"/>
        <w:spacing w:before="8"/>
        <w:rPr>
          <w:sz w:val="20"/>
        </w:rPr>
      </w:pPr>
    </w:p>
    <w:p w14:paraId="2850F5B0" w14:textId="77777777" w:rsidR="00141B97" w:rsidRDefault="00911D63">
      <w:pPr>
        <w:pStyle w:val="ListParagraph"/>
        <w:numPr>
          <w:ilvl w:val="2"/>
          <w:numId w:val="113"/>
        </w:numPr>
        <w:tabs>
          <w:tab w:val="left" w:pos="1152"/>
          <w:tab w:val="left" w:pos="1153"/>
        </w:tabs>
        <w:ind w:hanging="1000"/>
        <w:jc w:val="both"/>
      </w:pPr>
      <w:r>
        <w:t>Urban</w:t>
      </w:r>
      <w:r>
        <w:rPr>
          <w:spacing w:val="-6"/>
        </w:rPr>
        <w:t xml:space="preserve"> </w:t>
      </w:r>
      <w:r>
        <w:rPr>
          <w:spacing w:val="-2"/>
        </w:rPr>
        <w:t>Customers</w:t>
      </w:r>
    </w:p>
    <w:p w14:paraId="44EE2EA3" w14:textId="77777777" w:rsidR="00141B97" w:rsidRDefault="00911D63">
      <w:pPr>
        <w:pStyle w:val="BodyText"/>
        <w:spacing w:before="59"/>
        <w:ind w:left="153" w:right="246" w:hanging="1"/>
        <w:jc w:val="both"/>
      </w:pPr>
      <w:r>
        <w:t>Urban customers now seek a more digitally integrated service from LMW with less reliance on face‐to‐face personal</w:t>
      </w:r>
      <w:r>
        <w:rPr>
          <w:spacing w:val="-2"/>
        </w:rPr>
        <w:t xml:space="preserve"> </w:t>
      </w:r>
      <w:r>
        <w:t>contact</w:t>
      </w:r>
      <w:r>
        <w:rPr>
          <w:spacing w:val="-2"/>
        </w:rPr>
        <w:t xml:space="preserve"> </w:t>
      </w:r>
      <w:r>
        <w:t>and</w:t>
      </w:r>
      <w:r>
        <w:rPr>
          <w:spacing w:val="-2"/>
        </w:rPr>
        <w:t xml:space="preserve"> </w:t>
      </w:r>
      <w:r>
        <w:t>more willingness</w:t>
      </w:r>
      <w:r>
        <w:rPr>
          <w:spacing w:val="-2"/>
        </w:rPr>
        <w:t xml:space="preserve"> </w:t>
      </w:r>
      <w:r>
        <w:t>to</w:t>
      </w:r>
      <w:r>
        <w:rPr>
          <w:spacing w:val="-1"/>
        </w:rPr>
        <w:t xml:space="preserve"> </w:t>
      </w:r>
      <w:r>
        <w:t>engage</w:t>
      </w:r>
      <w:r>
        <w:rPr>
          <w:spacing w:val="-2"/>
        </w:rPr>
        <w:t xml:space="preserve"> </w:t>
      </w:r>
      <w:r>
        <w:t>through</w:t>
      </w:r>
      <w:r>
        <w:rPr>
          <w:spacing w:val="-2"/>
        </w:rPr>
        <w:t xml:space="preserve"> </w:t>
      </w:r>
      <w:r>
        <w:t>online</w:t>
      </w:r>
      <w:r>
        <w:rPr>
          <w:spacing w:val="-1"/>
        </w:rPr>
        <w:t xml:space="preserve"> </w:t>
      </w:r>
      <w:r>
        <w:t>chats,</w:t>
      </w:r>
      <w:r>
        <w:rPr>
          <w:spacing w:val="-1"/>
        </w:rPr>
        <w:t xml:space="preserve"> </w:t>
      </w:r>
      <w:r>
        <w:t>online</w:t>
      </w:r>
      <w:r>
        <w:rPr>
          <w:spacing w:val="-1"/>
        </w:rPr>
        <w:t xml:space="preserve"> </w:t>
      </w:r>
      <w:r>
        <w:t>application</w:t>
      </w:r>
      <w:r>
        <w:rPr>
          <w:spacing w:val="-1"/>
        </w:rPr>
        <w:t xml:space="preserve"> </w:t>
      </w:r>
      <w:r>
        <w:t>processes</w:t>
      </w:r>
      <w:r>
        <w:rPr>
          <w:spacing w:val="-1"/>
        </w:rPr>
        <w:t xml:space="preserve"> </w:t>
      </w:r>
      <w:r>
        <w:t>and</w:t>
      </w:r>
      <w:r>
        <w:rPr>
          <w:spacing w:val="-1"/>
        </w:rPr>
        <w:t xml:space="preserve"> </w:t>
      </w:r>
      <w:r>
        <w:t>digital communication platforms for updates and information. Engagement feedback demonstrated strong support from urban customers for smart metering capability to enable both environmental sustainability and socially responsible</w:t>
      </w:r>
      <w:r>
        <w:rPr>
          <w:spacing w:val="-4"/>
        </w:rPr>
        <w:t xml:space="preserve"> </w:t>
      </w:r>
      <w:r>
        <w:t>behaviour</w:t>
      </w:r>
      <w:r>
        <w:rPr>
          <w:spacing w:val="-4"/>
        </w:rPr>
        <w:t xml:space="preserve"> </w:t>
      </w:r>
      <w:r>
        <w:t>by</w:t>
      </w:r>
      <w:r>
        <w:rPr>
          <w:spacing w:val="-4"/>
        </w:rPr>
        <w:t xml:space="preserve"> </w:t>
      </w:r>
      <w:r>
        <w:t>LMW</w:t>
      </w:r>
      <w:r>
        <w:rPr>
          <w:spacing w:val="-4"/>
        </w:rPr>
        <w:t xml:space="preserve"> </w:t>
      </w:r>
      <w:r>
        <w:t>customers</w:t>
      </w:r>
      <w:r>
        <w:rPr>
          <w:spacing w:val="-3"/>
        </w:rPr>
        <w:t xml:space="preserve"> </w:t>
      </w:r>
      <w:r>
        <w:t>with</w:t>
      </w:r>
      <w:r>
        <w:rPr>
          <w:spacing w:val="-3"/>
        </w:rPr>
        <w:t xml:space="preserve"> </w:t>
      </w:r>
      <w:r>
        <w:t>87%</w:t>
      </w:r>
      <w:r>
        <w:rPr>
          <w:spacing w:val="-4"/>
        </w:rPr>
        <w:t xml:space="preserve"> </w:t>
      </w:r>
      <w:r>
        <w:t>of</w:t>
      </w:r>
      <w:r>
        <w:rPr>
          <w:spacing w:val="-4"/>
        </w:rPr>
        <w:t xml:space="preserve"> </w:t>
      </w:r>
      <w:r>
        <w:t>participants</w:t>
      </w:r>
      <w:r>
        <w:rPr>
          <w:spacing w:val="-4"/>
        </w:rPr>
        <w:t xml:space="preserve"> </w:t>
      </w:r>
      <w:r>
        <w:t>in</w:t>
      </w:r>
      <w:r>
        <w:rPr>
          <w:spacing w:val="-4"/>
        </w:rPr>
        <w:t xml:space="preserve"> </w:t>
      </w:r>
      <w:r>
        <w:t>the</w:t>
      </w:r>
      <w:r>
        <w:rPr>
          <w:spacing w:val="-4"/>
        </w:rPr>
        <w:t xml:space="preserve"> </w:t>
      </w:r>
      <w:r>
        <w:t>UDP</w:t>
      </w:r>
      <w:r>
        <w:rPr>
          <w:spacing w:val="-3"/>
        </w:rPr>
        <w:t xml:space="preserve"> </w:t>
      </w:r>
      <w:r>
        <w:t>placing</w:t>
      </w:r>
      <w:r>
        <w:rPr>
          <w:spacing w:val="-5"/>
        </w:rPr>
        <w:t xml:space="preserve"> </w:t>
      </w:r>
      <w:r>
        <w:t>value</w:t>
      </w:r>
      <w:r>
        <w:rPr>
          <w:spacing w:val="-4"/>
        </w:rPr>
        <w:t xml:space="preserve"> </w:t>
      </w:r>
      <w:r>
        <w:t>upon</w:t>
      </w:r>
      <w:r>
        <w:rPr>
          <w:spacing w:val="-3"/>
        </w:rPr>
        <w:t xml:space="preserve"> </w:t>
      </w:r>
      <w:r>
        <w:t>being</w:t>
      </w:r>
      <w:r>
        <w:rPr>
          <w:spacing w:val="-4"/>
        </w:rPr>
        <w:t xml:space="preserve"> </w:t>
      </w:r>
      <w:r>
        <w:t>able</w:t>
      </w:r>
      <w:r>
        <w:rPr>
          <w:spacing w:val="-5"/>
        </w:rPr>
        <w:t xml:space="preserve"> </w:t>
      </w:r>
      <w:r>
        <w:t>to access water usage information, and 85% of customers supporting an investment in the development of a business case for smart metering networks.</w:t>
      </w:r>
    </w:p>
    <w:p w14:paraId="00800AEB" w14:textId="77777777" w:rsidR="00141B97" w:rsidRDefault="00141B97">
      <w:pPr>
        <w:pStyle w:val="BodyText"/>
      </w:pPr>
    </w:p>
    <w:p w14:paraId="4B2F9BD5" w14:textId="77777777" w:rsidR="00141B97" w:rsidRDefault="00911D63">
      <w:pPr>
        <w:pStyle w:val="BodyText"/>
        <w:ind w:left="153" w:right="248"/>
        <w:jc w:val="both"/>
      </w:pPr>
      <w:r>
        <w:t>Testing of the proposed projects that impact urban customers was a key element of the engagement plan and these</w:t>
      </w:r>
      <w:r>
        <w:rPr>
          <w:spacing w:val="-6"/>
        </w:rPr>
        <w:t xml:space="preserve"> </w:t>
      </w:r>
      <w:r>
        <w:t>projects</w:t>
      </w:r>
      <w:r>
        <w:rPr>
          <w:spacing w:val="-6"/>
        </w:rPr>
        <w:t xml:space="preserve"> </w:t>
      </w:r>
      <w:r>
        <w:t>were</w:t>
      </w:r>
      <w:r>
        <w:rPr>
          <w:spacing w:val="-6"/>
        </w:rPr>
        <w:t xml:space="preserve"> </w:t>
      </w:r>
      <w:r>
        <w:t>presented</w:t>
      </w:r>
      <w:r>
        <w:rPr>
          <w:spacing w:val="-5"/>
        </w:rPr>
        <w:t xml:space="preserve"> </w:t>
      </w:r>
      <w:r>
        <w:t>to</w:t>
      </w:r>
      <w:r>
        <w:rPr>
          <w:spacing w:val="-6"/>
        </w:rPr>
        <w:t xml:space="preserve"> </w:t>
      </w:r>
      <w:r>
        <w:t>the</w:t>
      </w:r>
      <w:r>
        <w:rPr>
          <w:spacing w:val="-6"/>
        </w:rPr>
        <w:t xml:space="preserve"> </w:t>
      </w:r>
      <w:r>
        <w:t>UDP</w:t>
      </w:r>
      <w:r>
        <w:rPr>
          <w:spacing w:val="-6"/>
        </w:rPr>
        <w:t xml:space="preserve"> </w:t>
      </w:r>
      <w:r>
        <w:t>members</w:t>
      </w:r>
      <w:r>
        <w:rPr>
          <w:spacing w:val="-5"/>
        </w:rPr>
        <w:t xml:space="preserve"> </w:t>
      </w:r>
      <w:r>
        <w:t>for</w:t>
      </w:r>
      <w:r>
        <w:rPr>
          <w:spacing w:val="-6"/>
        </w:rPr>
        <w:t xml:space="preserve"> </w:t>
      </w:r>
      <w:r>
        <w:t>discussion</w:t>
      </w:r>
      <w:r>
        <w:rPr>
          <w:spacing w:val="-6"/>
        </w:rPr>
        <w:t xml:space="preserve"> </w:t>
      </w:r>
      <w:r>
        <w:t>and</w:t>
      </w:r>
      <w:r>
        <w:rPr>
          <w:spacing w:val="-6"/>
        </w:rPr>
        <w:t xml:space="preserve"> </w:t>
      </w:r>
      <w:r>
        <w:t>feedback.</w:t>
      </w:r>
      <w:r>
        <w:rPr>
          <w:spacing w:val="-6"/>
        </w:rPr>
        <w:t xml:space="preserve"> </w:t>
      </w:r>
      <w:r>
        <w:t>The</w:t>
      </w:r>
      <w:r>
        <w:rPr>
          <w:spacing w:val="-6"/>
        </w:rPr>
        <w:t xml:space="preserve"> </w:t>
      </w:r>
      <w:r>
        <w:t>following</w:t>
      </w:r>
      <w:r>
        <w:rPr>
          <w:spacing w:val="-6"/>
        </w:rPr>
        <w:t xml:space="preserve"> </w:t>
      </w:r>
      <w:r>
        <w:t>outcomes</w:t>
      </w:r>
      <w:r>
        <w:rPr>
          <w:spacing w:val="-4"/>
        </w:rPr>
        <w:t xml:space="preserve"> </w:t>
      </w:r>
      <w:r>
        <w:t xml:space="preserve">were </w:t>
      </w:r>
      <w:r>
        <w:rPr>
          <w:spacing w:val="-2"/>
        </w:rPr>
        <w:t>identified:</w:t>
      </w:r>
    </w:p>
    <w:p w14:paraId="7C7A18A3" w14:textId="77777777" w:rsidR="00141B97" w:rsidRDefault="00911D63">
      <w:pPr>
        <w:pStyle w:val="ListParagraph"/>
        <w:numPr>
          <w:ilvl w:val="3"/>
          <w:numId w:val="113"/>
        </w:numPr>
        <w:tabs>
          <w:tab w:val="left" w:pos="874"/>
        </w:tabs>
        <w:ind w:right="246" w:hanging="361"/>
        <w:jc w:val="both"/>
      </w:pPr>
      <w:r>
        <w:t>Water asset renewal and water quality projects are of the highest importance to customers. They are essential to LMW’s service levels as a water provider.</w:t>
      </w:r>
    </w:p>
    <w:p w14:paraId="73101DD9" w14:textId="77777777" w:rsidR="00141B97" w:rsidRDefault="00911D63">
      <w:pPr>
        <w:pStyle w:val="ListParagraph"/>
        <w:numPr>
          <w:ilvl w:val="3"/>
          <w:numId w:val="113"/>
        </w:numPr>
        <w:tabs>
          <w:tab w:val="left" w:pos="874"/>
        </w:tabs>
        <w:spacing w:before="1"/>
        <w:ind w:left="873" w:right="245" w:hanging="361"/>
        <w:jc w:val="both"/>
      </w:pPr>
      <w:r>
        <w:t xml:space="preserve">The customer service business transformation and smart metering projects remain important to </w:t>
      </w:r>
      <w:r>
        <w:rPr>
          <w:spacing w:val="-2"/>
        </w:rPr>
        <w:t>customers.</w:t>
      </w:r>
    </w:p>
    <w:p w14:paraId="4C55F8C1" w14:textId="77777777" w:rsidR="00141B97" w:rsidRDefault="00911D63">
      <w:pPr>
        <w:pStyle w:val="ListParagraph"/>
        <w:numPr>
          <w:ilvl w:val="3"/>
          <w:numId w:val="113"/>
        </w:numPr>
        <w:tabs>
          <w:tab w:val="left" w:pos="874"/>
        </w:tabs>
        <w:ind w:right="248" w:hanging="361"/>
        <w:jc w:val="both"/>
      </w:pPr>
      <w:r>
        <w:t>100% of UDP members would prefer local investment opportunities when addressing carbon offset requirements. Sentiment is so strong that UDP members want to see this local investment eventuate regardless of cost.</w:t>
      </w:r>
    </w:p>
    <w:p w14:paraId="1934E5BF" w14:textId="77777777" w:rsidR="00141B97" w:rsidRDefault="00911D63">
      <w:pPr>
        <w:pStyle w:val="ListParagraph"/>
        <w:numPr>
          <w:ilvl w:val="3"/>
          <w:numId w:val="113"/>
        </w:numPr>
        <w:tabs>
          <w:tab w:val="left" w:pos="874"/>
        </w:tabs>
        <w:ind w:right="248" w:hanging="361"/>
        <w:jc w:val="both"/>
      </w:pPr>
      <w:r>
        <w:t>UDP members would like to see urban water renewals investment remaining at historic levels (approximately</w:t>
      </w:r>
      <w:r>
        <w:rPr>
          <w:spacing w:val="-7"/>
        </w:rPr>
        <w:t xml:space="preserve"> </w:t>
      </w:r>
      <w:r>
        <w:t>$900,000</w:t>
      </w:r>
      <w:r>
        <w:rPr>
          <w:spacing w:val="-8"/>
        </w:rPr>
        <w:t xml:space="preserve"> </w:t>
      </w:r>
      <w:r>
        <w:t>per</w:t>
      </w:r>
      <w:r>
        <w:rPr>
          <w:spacing w:val="-7"/>
        </w:rPr>
        <w:t xml:space="preserve"> </w:t>
      </w:r>
      <w:r>
        <w:t>year,</w:t>
      </w:r>
      <w:r>
        <w:rPr>
          <w:spacing w:val="-5"/>
        </w:rPr>
        <w:t xml:space="preserve"> </w:t>
      </w:r>
      <w:r>
        <w:t>or</w:t>
      </w:r>
      <w:r>
        <w:rPr>
          <w:spacing w:val="-7"/>
        </w:rPr>
        <w:t xml:space="preserve"> </w:t>
      </w:r>
      <w:r>
        <w:t>4.5%</w:t>
      </w:r>
      <w:r>
        <w:rPr>
          <w:spacing w:val="-7"/>
        </w:rPr>
        <w:t xml:space="preserve"> </w:t>
      </w:r>
      <w:r>
        <w:t>of</w:t>
      </w:r>
      <w:r>
        <w:rPr>
          <w:spacing w:val="-7"/>
        </w:rPr>
        <w:t xml:space="preserve"> </w:t>
      </w:r>
      <w:r>
        <w:t>capital</w:t>
      </w:r>
      <w:r>
        <w:rPr>
          <w:spacing w:val="-7"/>
        </w:rPr>
        <w:t xml:space="preserve"> </w:t>
      </w:r>
      <w:r>
        <w:t>budget).</w:t>
      </w:r>
      <w:r>
        <w:rPr>
          <w:spacing w:val="-7"/>
        </w:rPr>
        <w:t xml:space="preserve"> </w:t>
      </w:r>
      <w:r>
        <w:t>88%</w:t>
      </w:r>
      <w:r>
        <w:rPr>
          <w:spacing w:val="-7"/>
        </w:rPr>
        <w:t xml:space="preserve"> </w:t>
      </w:r>
      <w:r>
        <w:t>of</w:t>
      </w:r>
      <w:r>
        <w:rPr>
          <w:spacing w:val="-7"/>
        </w:rPr>
        <w:t xml:space="preserve"> </w:t>
      </w:r>
      <w:r>
        <w:t>UDP</w:t>
      </w:r>
      <w:r>
        <w:rPr>
          <w:spacing w:val="-7"/>
        </w:rPr>
        <w:t xml:space="preserve"> </w:t>
      </w:r>
      <w:r>
        <w:t>members</w:t>
      </w:r>
      <w:r>
        <w:rPr>
          <w:spacing w:val="-8"/>
        </w:rPr>
        <w:t xml:space="preserve"> </w:t>
      </w:r>
      <w:r>
        <w:t>want</w:t>
      </w:r>
      <w:r>
        <w:rPr>
          <w:spacing w:val="-9"/>
        </w:rPr>
        <w:t xml:space="preserve"> </w:t>
      </w:r>
      <w:r>
        <w:t>service</w:t>
      </w:r>
      <w:r>
        <w:rPr>
          <w:spacing w:val="-7"/>
        </w:rPr>
        <w:t xml:space="preserve"> </w:t>
      </w:r>
      <w:r>
        <w:t>levels maintained ‐ having the comfort in knowing there would be less interruptions to customers’ water supply from continued investment.</w:t>
      </w:r>
    </w:p>
    <w:p w14:paraId="1D5E9DDD" w14:textId="77777777" w:rsidR="00141B97" w:rsidRDefault="00911D63">
      <w:pPr>
        <w:pStyle w:val="ListParagraph"/>
        <w:numPr>
          <w:ilvl w:val="3"/>
          <w:numId w:val="113"/>
        </w:numPr>
        <w:tabs>
          <w:tab w:val="left" w:pos="875"/>
        </w:tabs>
        <w:ind w:right="248"/>
        <w:jc w:val="both"/>
      </w:pPr>
      <w:r>
        <w:t>UDP members would prefer LMW take a cost/risk‐based approach when reviewing the water quality project. All votes (100%) were for the $5‐10m investment (or 5‐10% of capital budget) which comfortably balances the cost with quality and reliability of service.</w:t>
      </w:r>
    </w:p>
    <w:p w14:paraId="51DAFA15" w14:textId="77777777" w:rsidR="00141B97" w:rsidRDefault="00911D63">
      <w:pPr>
        <w:pStyle w:val="BodyText"/>
        <w:ind w:left="154"/>
        <w:jc w:val="both"/>
      </w:pPr>
      <w:r>
        <w:t>During</w:t>
      </w:r>
      <w:r>
        <w:rPr>
          <w:spacing w:val="-7"/>
        </w:rPr>
        <w:t xml:space="preserve"> </w:t>
      </w:r>
      <w:r>
        <w:t>the</w:t>
      </w:r>
      <w:r>
        <w:rPr>
          <w:spacing w:val="-8"/>
        </w:rPr>
        <w:t xml:space="preserve"> </w:t>
      </w:r>
      <w:r>
        <w:t>final</w:t>
      </w:r>
      <w:r>
        <w:rPr>
          <w:spacing w:val="-8"/>
        </w:rPr>
        <w:t xml:space="preserve"> </w:t>
      </w:r>
      <w:r>
        <w:t>round</w:t>
      </w:r>
      <w:r>
        <w:rPr>
          <w:spacing w:val="-6"/>
        </w:rPr>
        <w:t xml:space="preserve"> </w:t>
      </w:r>
      <w:r>
        <w:t>of</w:t>
      </w:r>
      <w:r>
        <w:rPr>
          <w:spacing w:val="-6"/>
        </w:rPr>
        <w:t xml:space="preserve"> </w:t>
      </w:r>
      <w:r>
        <w:t>engagement</w:t>
      </w:r>
      <w:r>
        <w:rPr>
          <w:spacing w:val="-6"/>
        </w:rPr>
        <w:t xml:space="preserve"> </w:t>
      </w:r>
      <w:r>
        <w:t>with</w:t>
      </w:r>
      <w:r>
        <w:rPr>
          <w:spacing w:val="-7"/>
        </w:rPr>
        <w:t xml:space="preserve"> </w:t>
      </w:r>
      <w:r>
        <w:t>urban</w:t>
      </w:r>
      <w:r>
        <w:rPr>
          <w:spacing w:val="-8"/>
        </w:rPr>
        <w:t xml:space="preserve"> </w:t>
      </w:r>
      <w:r>
        <w:t>customers,</w:t>
      </w:r>
      <w:r>
        <w:rPr>
          <w:spacing w:val="-5"/>
        </w:rPr>
        <w:t xml:space="preserve"> </w:t>
      </w:r>
      <w:r>
        <w:t>key</w:t>
      </w:r>
      <w:r>
        <w:rPr>
          <w:spacing w:val="-8"/>
        </w:rPr>
        <w:t xml:space="preserve"> </w:t>
      </w:r>
      <w:r>
        <w:t>sentiments</w:t>
      </w:r>
      <w:r>
        <w:rPr>
          <w:spacing w:val="-7"/>
        </w:rPr>
        <w:t xml:space="preserve"> </w:t>
      </w:r>
      <w:r>
        <w:t>were</w:t>
      </w:r>
      <w:r>
        <w:rPr>
          <w:spacing w:val="-8"/>
        </w:rPr>
        <w:t xml:space="preserve"> </w:t>
      </w:r>
      <w:r>
        <w:t>summarised</w:t>
      </w:r>
      <w:r>
        <w:rPr>
          <w:spacing w:val="-8"/>
        </w:rPr>
        <w:t xml:space="preserve"> </w:t>
      </w:r>
      <w:r>
        <w:t>as</w:t>
      </w:r>
      <w:r>
        <w:rPr>
          <w:spacing w:val="-7"/>
        </w:rPr>
        <w:t xml:space="preserve"> </w:t>
      </w:r>
      <w:r>
        <w:rPr>
          <w:spacing w:val="-2"/>
        </w:rPr>
        <w:t>follows:</w:t>
      </w:r>
    </w:p>
    <w:p w14:paraId="58B8C674" w14:textId="77777777" w:rsidR="00141B97" w:rsidRDefault="00141B97">
      <w:pPr>
        <w:pStyle w:val="BodyText"/>
        <w:spacing w:before="9"/>
        <w:rPr>
          <w:sz w:val="13"/>
        </w:rPr>
      </w:pPr>
    </w:p>
    <w:p w14:paraId="43A22D47" w14:textId="77777777" w:rsidR="00141B97" w:rsidRDefault="00141B97">
      <w:pPr>
        <w:rPr>
          <w:sz w:val="13"/>
        </w:rPr>
        <w:sectPr w:rsidR="00141B97">
          <w:pgSz w:w="11910" w:h="16840"/>
          <w:pgMar w:top="820" w:right="740" w:bottom="1120" w:left="980" w:header="0" w:footer="896" w:gutter="0"/>
          <w:cols w:space="720"/>
        </w:sectPr>
      </w:pPr>
    </w:p>
    <w:p w14:paraId="3FAFCE2A" w14:textId="77777777" w:rsidR="00141B97" w:rsidRDefault="00911D63">
      <w:pPr>
        <w:spacing w:before="100"/>
        <w:ind w:left="261" w:right="36"/>
        <w:rPr>
          <w:i/>
        </w:rPr>
      </w:pPr>
      <w:r>
        <w:rPr>
          <w:i/>
        </w:rPr>
        <w:t>Customer outcomes including</w:t>
      </w:r>
      <w:r>
        <w:rPr>
          <w:i/>
          <w:spacing w:val="-13"/>
        </w:rPr>
        <w:t xml:space="preserve"> </w:t>
      </w:r>
      <w:r>
        <w:rPr>
          <w:i/>
        </w:rPr>
        <w:t>performance measures and targets</w:t>
      </w:r>
    </w:p>
    <w:p w14:paraId="56850523" w14:textId="77777777" w:rsidR="00141B97" w:rsidRDefault="00911D63">
      <w:pPr>
        <w:pStyle w:val="ListParagraph"/>
        <w:numPr>
          <w:ilvl w:val="0"/>
          <w:numId w:val="105"/>
        </w:numPr>
        <w:tabs>
          <w:tab w:val="left" w:pos="622"/>
        </w:tabs>
        <w:spacing w:before="100"/>
        <w:ind w:right="1064"/>
        <w:jc w:val="both"/>
      </w:pPr>
      <w:r>
        <w:br w:type="column"/>
      </w:r>
      <w:r>
        <w:t>Agreement was obtained from the UDP that the revised customer outcomes, performance measures and targets captured urban customer priorities and expectations.</w:t>
      </w:r>
    </w:p>
    <w:p w14:paraId="4822EE6D" w14:textId="77777777" w:rsidR="00141B97" w:rsidRDefault="00141B97">
      <w:pPr>
        <w:jc w:val="both"/>
        <w:sectPr w:rsidR="00141B97">
          <w:type w:val="continuous"/>
          <w:pgSz w:w="11910" w:h="16840"/>
          <w:pgMar w:top="1940" w:right="740" w:bottom="280" w:left="980" w:header="0" w:footer="896" w:gutter="0"/>
          <w:cols w:num="2" w:space="720" w:equalWidth="0">
            <w:col w:w="2281" w:space="514"/>
            <w:col w:w="7395"/>
          </w:cols>
        </w:sectPr>
      </w:pPr>
    </w:p>
    <w:p w14:paraId="7F2195D9" w14:textId="77777777" w:rsidR="00141B97" w:rsidRDefault="00141B97">
      <w:pPr>
        <w:pStyle w:val="BodyText"/>
        <w:spacing w:before="10"/>
        <w:rPr>
          <w:sz w:val="13"/>
        </w:rPr>
      </w:pPr>
    </w:p>
    <w:p w14:paraId="467EA642" w14:textId="77777777" w:rsidR="00141B97" w:rsidRDefault="00911D63">
      <w:pPr>
        <w:tabs>
          <w:tab w:val="left" w:pos="3056"/>
          <w:tab w:val="left" w:pos="3416"/>
        </w:tabs>
        <w:spacing w:before="100"/>
        <w:ind w:left="261"/>
      </w:pPr>
      <w:r>
        <w:rPr>
          <w:i/>
          <w:position w:val="1"/>
        </w:rPr>
        <w:t>Indicative</w:t>
      </w:r>
      <w:r>
        <w:rPr>
          <w:i/>
          <w:spacing w:val="-8"/>
          <w:position w:val="1"/>
        </w:rPr>
        <w:t xml:space="preserve"> </w:t>
      </w:r>
      <w:r>
        <w:rPr>
          <w:i/>
          <w:position w:val="1"/>
        </w:rPr>
        <w:t>price</w:t>
      </w:r>
      <w:r>
        <w:rPr>
          <w:i/>
          <w:spacing w:val="-7"/>
          <w:position w:val="1"/>
        </w:rPr>
        <w:t xml:space="preserve"> </w:t>
      </w:r>
      <w:r>
        <w:rPr>
          <w:i/>
          <w:spacing w:val="-4"/>
          <w:position w:val="1"/>
        </w:rPr>
        <w:t>path</w:t>
      </w:r>
      <w:r>
        <w:rPr>
          <w:i/>
          <w:position w:val="1"/>
        </w:rPr>
        <w:tab/>
      </w:r>
      <w:r>
        <w:rPr>
          <w:rFonts w:ascii="Symbol" w:hAnsi="Symbol"/>
          <w:spacing w:val="-10"/>
        </w:rPr>
        <w:t></w:t>
      </w:r>
      <w:r>
        <w:rPr>
          <w:rFonts w:ascii="Times New Roman" w:hAnsi="Times New Roman"/>
        </w:rPr>
        <w:tab/>
      </w:r>
      <w:r>
        <w:t>The</w:t>
      </w:r>
      <w:r>
        <w:rPr>
          <w:spacing w:val="4"/>
        </w:rPr>
        <w:t xml:space="preserve"> </w:t>
      </w:r>
      <w:r>
        <w:t>UDP</w:t>
      </w:r>
      <w:r>
        <w:rPr>
          <w:spacing w:val="6"/>
        </w:rPr>
        <w:t xml:space="preserve"> </w:t>
      </w:r>
      <w:r>
        <w:t>unanimously</w:t>
      </w:r>
      <w:r>
        <w:rPr>
          <w:spacing w:val="6"/>
        </w:rPr>
        <w:t xml:space="preserve"> </w:t>
      </w:r>
      <w:r>
        <w:t>agreed</w:t>
      </w:r>
      <w:r>
        <w:rPr>
          <w:spacing w:val="5"/>
        </w:rPr>
        <w:t xml:space="preserve"> </w:t>
      </w:r>
      <w:r>
        <w:t>that</w:t>
      </w:r>
      <w:r>
        <w:rPr>
          <w:spacing w:val="6"/>
        </w:rPr>
        <w:t xml:space="preserve"> </w:t>
      </w:r>
      <w:r>
        <w:t>the</w:t>
      </w:r>
      <w:r>
        <w:rPr>
          <w:spacing w:val="5"/>
        </w:rPr>
        <w:t xml:space="preserve"> </w:t>
      </w:r>
      <w:r>
        <w:t>proposed</w:t>
      </w:r>
      <w:r>
        <w:rPr>
          <w:spacing w:val="5"/>
        </w:rPr>
        <w:t xml:space="preserve"> </w:t>
      </w:r>
      <w:r>
        <w:t>price</w:t>
      </w:r>
      <w:r>
        <w:rPr>
          <w:spacing w:val="4"/>
        </w:rPr>
        <w:t xml:space="preserve"> </w:t>
      </w:r>
      <w:r>
        <w:t>path</w:t>
      </w:r>
      <w:r>
        <w:rPr>
          <w:spacing w:val="5"/>
        </w:rPr>
        <w:t xml:space="preserve"> </w:t>
      </w:r>
      <w:r>
        <w:rPr>
          <w:spacing w:val="-5"/>
        </w:rPr>
        <w:t>was</w:t>
      </w:r>
    </w:p>
    <w:p w14:paraId="03BD18B5" w14:textId="77777777" w:rsidR="00141B97" w:rsidRDefault="00911D63">
      <w:pPr>
        <w:pStyle w:val="BodyText"/>
        <w:ind w:left="3416" w:right="1065"/>
        <w:jc w:val="both"/>
      </w:pPr>
      <w:r>
        <w:t>fair and reasonable. There was a general sentiment that customers were expecting a larger price increase than that proposed (CPI = 1.55% or an average annual increase of $16.22 (based</w:t>
      </w:r>
      <w:r>
        <w:rPr>
          <w:spacing w:val="-4"/>
        </w:rPr>
        <w:t xml:space="preserve"> </w:t>
      </w:r>
      <w:r>
        <w:t>on</w:t>
      </w:r>
      <w:r>
        <w:rPr>
          <w:spacing w:val="-4"/>
        </w:rPr>
        <w:t xml:space="preserve"> </w:t>
      </w:r>
      <w:r>
        <w:t>an</w:t>
      </w:r>
      <w:r>
        <w:rPr>
          <w:spacing w:val="-3"/>
        </w:rPr>
        <w:t xml:space="preserve"> </w:t>
      </w:r>
      <w:r>
        <w:t>average</w:t>
      </w:r>
      <w:r>
        <w:rPr>
          <w:spacing w:val="-6"/>
        </w:rPr>
        <w:t xml:space="preserve"> </w:t>
      </w:r>
      <w:r>
        <w:t>customer</w:t>
      </w:r>
      <w:r>
        <w:rPr>
          <w:spacing w:val="-3"/>
        </w:rPr>
        <w:t xml:space="preserve"> </w:t>
      </w:r>
      <w:r>
        <w:t>usage</w:t>
      </w:r>
      <w:r>
        <w:rPr>
          <w:spacing w:val="-5"/>
        </w:rPr>
        <w:t xml:space="preserve"> </w:t>
      </w:r>
      <w:r>
        <w:t>of</w:t>
      </w:r>
      <w:r>
        <w:rPr>
          <w:spacing w:val="-5"/>
        </w:rPr>
        <w:t xml:space="preserve"> </w:t>
      </w:r>
      <w:r>
        <w:t>480KL</w:t>
      </w:r>
      <w:r>
        <w:rPr>
          <w:spacing w:val="-5"/>
        </w:rPr>
        <w:t xml:space="preserve"> </w:t>
      </w:r>
      <w:r>
        <w:t>of</w:t>
      </w:r>
      <w:r>
        <w:rPr>
          <w:spacing w:val="-4"/>
        </w:rPr>
        <w:t xml:space="preserve"> </w:t>
      </w:r>
      <w:r>
        <w:t>water)),</w:t>
      </w:r>
      <w:r>
        <w:rPr>
          <w:spacing w:val="-6"/>
        </w:rPr>
        <w:t xml:space="preserve"> </w:t>
      </w:r>
      <w:r>
        <w:t>which was further reduced by rigorous review of cost inputs.</w:t>
      </w:r>
    </w:p>
    <w:p w14:paraId="08698C5B" w14:textId="77777777" w:rsidR="00141B97" w:rsidRDefault="00141B97">
      <w:pPr>
        <w:pStyle w:val="BodyText"/>
        <w:spacing w:before="10"/>
        <w:rPr>
          <w:sz w:val="13"/>
        </w:rPr>
      </w:pPr>
    </w:p>
    <w:p w14:paraId="543A462A" w14:textId="77777777" w:rsidR="00141B97" w:rsidRDefault="00141B97">
      <w:pPr>
        <w:rPr>
          <w:sz w:val="13"/>
        </w:rPr>
        <w:sectPr w:rsidR="00141B97">
          <w:type w:val="continuous"/>
          <w:pgSz w:w="11910" w:h="16840"/>
          <w:pgMar w:top="1940" w:right="740" w:bottom="280" w:left="980" w:header="0" w:footer="896" w:gutter="0"/>
          <w:cols w:space="720"/>
        </w:sectPr>
      </w:pPr>
    </w:p>
    <w:p w14:paraId="5AA2A18F" w14:textId="77777777" w:rsidR="00141B97" w:rsidRDefault="00911D63">
      <w:pPr>
        <w:spacing w:before="99"/>
        <w:ind w:left="262"/>
        <w:rPr>
          <w:i/>
        </w:rPr>
      </w:pPr>
      <w:r>
        <w:rPr>
          <w:i/>
        </w:rPr>
        <w:t>CAPEX</w:t>
      </w:r>
      <w:r>
        <w:rPr>
          <w:i/>
          <w:spacing w:val="-7"/>
        </w:rPr>
        <w:t xml:space="preserve"> </w:t>
      </w:r>
      <w:r>
        <w:rPr>
          <w:i/>
        </w:rPr>
        <w:t>and</w:t>
      </w:r>
      <w:r>
        <w:rPr>
          <w:i/>
          <w:spacing w:val="-8"/>
        </w:rPr>
        <w:t xml:space="preserve"> </w:t>
      </w:r>
      <w:r>
        <w:rPr>
          <w:i/>
          <w:spacing w:val="-4"/>
        </w:rPr>
        <w:t>OPEX</w:t>
      </w:r>
    </w:p>
    <w:p w14:paraId="2C1CBECC" w14:textId="77777777" w:rsidR="00141B97" w:rsidRDefault="00911D63">
      <w:pPr>
        <w:spacing w:before="1"/>
        <w:ind w:left="262"/>
        <w:rPr>
          <w:i/>
        </w:rPr>
      </w:pPr>
      <w:r>
        <w:rPr>
          <w:i/>
        </w:rPr>
        <w:t>investment</w:t>
      </w:r>
      <w:r>
        <w:rPr>
          <w:i/>
          <w:spacing w:val="-12"/>
        </w:rPr>
        <w:t xml:space="preserve"> </w:t>
      </w:r>
      <w:r>
        <w:rPr>
          <w:i/>
          <w:spacing w:val="-2"/>
        </w:rPr>
        <w:t>projects</w:t>
      </w:r>
    </w:p>
    <w:p w14:paraId="65D05566" w14:textId="77777777" w:rsidR="00141B97" w:rsidRDefault="00141B97">
      <w:pPr>
        <w:pStyle w:val="BodyText"/>
        <w:rPr>
          <w:i/>
        </w:rPr>
      </w:pPr>
    </w:p>
    <w:p w14:paraId="04691A3A" w14:textId="77777777" w:rsidR="00141B97" w:rsidRDefault="00141B97">
      <w:pPr>
        <w:pStyle w:val="BodyText"/>
        <w:spacing w:before="11"/>
        <w:rPr>
          <w:i/>
        </w:rPr>
      </w:pPr>
    </w:p>
    <w:p w14:paraId="4F1FD353" w14:textId="77777777" w:rsidR="00141B97" w:rsidRDefault="00911D63">
      <w:pPr>
        <w:ind w:left="261" w:right="249"/>
        <w:rPr>
          <w:i/>
        </w:rPr>
      </w:pPr>
      <w:r>
        <w:rPr>
          <w:i/>
        </w:rPr>
        <w:t>Customer</w:t>
      </w:r>
      <w:r>
        <w:rPr>
          <w:i/>
          <w:spacing w:val="-13"/>
        </w:rPr>
        <w:t xml:space="preserve"> </w:t>
      </w:r>
      <w:r>
        <w:rPr>
          <w:i/>
        </w:rPr>
        <w:t xml:space="preserve">Service </w:t>
      </w:r>
      <w:r>
        <w:rPr>
          <w:i/>
          <w:spacing w:val="-2"/>
        </w:rPr>
        <w:t>Standards:</w:t>
      </w:r>
    </w:p>
    <w:p w14:paraId="12FAF018" w14:textId="77777777" w:rsidR="00141B97" w:rsidRDefault="00911D63">
      <w:pPr>
        <w:pStyle w:val="ListParagraph"/>
        <w:numPr>
          <w:ilvl w:val="0"/>
          <w:numId w:val="105"/>
        </w:numPr>
        <w:tabs>
          <w:tab w:val="left" w:pos="622"/>
        </w:tabs>
        <w:spacing w:before="100"/>
        <w:ind w:right="1065"/>
        <w:jc w:val="both"/>
      </w:pPr>
      <w:r>
        <w:br w:type="column"/>
      </w:r>
      <w:r>
        <w:t>UDP members confirmed agreement regarding the scope and value of all projects presented and confirmed the investments accurately reflected their needs and priorities.</w:t>
      </w:r>
    </w:p>
    <w:p w14:paraId="3FD9937F" w14:textId="77777777" w:rsidR="00141B97" w:rsidRDefault="00141B97">
      <w:pPr>
        <w:pStyle w:val="BodyText"/>
        <w:spacing w:before="12"/>
        <w:rPr>
          <w:sz w:val="21"/>
        </w:rPr>
      </w:pPr>
    </w:p>
    <w:p w14:paraId="18FC539E" w14:textId="77777777" w:rsidR="00141B97" w:rsidRDefault="00911D63">
      <w:pPr>
        <w:pStyle w:val="ListParagraph"/>
        <w:numPr>
          <w:ilvl w:val="0"/>
          <w:numId w:val="105"/>
        </w:numPr>
        <w:tabs>
          <w:tab w:val="left" w:pos="622"/>
        </w:tabs>
        <w:ind w:right="1066"/>
        <w:jc w:val="both"/>
      </w:pPr>
      <w:r>
        <w:t>Generally, all UDP participants felt that the current customer service standards and LMW’s current performance, and proposed targets were reasonable and fair.</w:t>
      </w:r>
    </w:p>
    <w:p w14:paraId="23209E21" w14:textId="77777777" w:rsidR="00141B97" w:rsidRDefault="00141B97">
      <w:pPr>
        <w:jc w:val="both"/>
        <w:sectPr w:rsidR="00141B97">
          <w:type w:val="continuous"/>
          <w:pgSz w:w="11910" w:h="16840"/>
          <w:pgMar w:top="1940" w:right="740" w:bottom="280" w:left="980" w:header="0" w:footer="896" w:gutter="0"/>
          <w:cols w:num="2" w:space="720" w:equalWidth="0">
            <w:col w:w="2028" w:space="767"/>
            <w:col w:w="7395"/>
          </w:cols>
        </w:sectPr>
      </w:pPr>
    </w:p>
    <w:p w14:paraId="355F27A3" w14:textId="77777777" w:rsidR="00141B97" w:rsidRDefault="00141B97">
      <w:pPr>
        <w:pStyle w:val="BodyText"/>
        <w:spacing w:before="10"/>
        <w:rPr>
          <w:sz w:val="13"/>
        </w:rPr>
      </w:pPr>
    </w:p>
    <w:p w14:paraId="1E807547" w14:textId="77777777" w:rsidR="00141B97" w:rsidRDefault="00911D63">
      <w:pPr>
        <w:tabs>
          <w:tab w:val="left" w:pos="3056"/>
          <w:tab w:val="left" w:pos="3416"/>
        </w:tabs>
        <w:spacing w:before="100"/>
        <w:ind w:left="261"/>
      </w:pPr>
      <w:r>
        <w:rPr>
          <w:i/>
          <w:position w:val="1"/>
        </w:rPr>
        <w:t>Corporate</w:t>
      </w:r>
      <w:r>
        <w:rPr>
          <w:i/>
          <w:spacing w:val="-8"/>
          <w:position w:val="1"/>
        </w:rPr>
        <w:t xml:space="preserve"> </w:t>
      </w:r>
      <w:r>
        <w:rPr>
          <w:i/>
          <w:position w:val="1"/>
        </w:rPr>
        <w:t>cost</w:t>
      </w:r>
      <w:r>
        <w:rPr>
          <w:i/>
          <w:spacing w:val="-7"/>
          <w:position w:val="1"/>
        </w:rPr>
        <w:t xml:space="preserve"> </w:t>
      </w:r>
      <w:r>
        <w:rPr>
          <w:i/>
          <w:spacing w:val="-2"/>
          <w:position w:val="1"/>
        </w:rPr>
        <w:t>allocation:</w:t>
      </w:r>
      <w:r>
        <w:rPr>
          <w:i/>
          <w:position w:val="1"/>
        </w:rPr>
        <w:tab/>
      </w:r>
      <w:r>
        <w:rPr>
          <w:rFonts w:ascii="Symbol" w:hAnsi="Symbol"/>
          <w:spacing w:val="-10"/>
        </w:rPr>
        <w:t></w:t>
      </w:r>
      <w:r>
        <w:rPr>
          <w:rFonts w:ascii="Times New Roman" w:hAnsi="Times New Roman"/>
        </w:rPr>
        <w:tab/>
      </w:r>
      <w:r>
        <w:rPr>
          <w:w w:val="95"/>
        </w:rPr>
        <w:t>UDP</w:t>
      </w:r>
      <w:r>
        <w:rPr>
          <w:spacing w:val="15"/>
        </w:rPr>
        <w:t xml:space="preserve"> </w:t>
      </w:r>
      <w:r>
        <w:rPr>
          <w:w w:val="95"/>
        </w:rPr>
        <w:t>members</w:t>
      </w:r>
      <w:r>
        <w:rPr>
          <w:spacing w:val="16"/>
        </w:rPr>
        <w:t xml:space="preserve"> </w:t>
      </w:r>
      <w:r>
        <w:rPr>
          <w:w w:val="95"/>
        </w:rPr>
        <w:t>were</w:t>
      </w:r>
      <w:r>
        <w:rPr>
          <w:spacing w:val="12"/>
        </w:rPr>
        <w:t xml:space="preserve"> </w:t>
      </w:r>
      <w:r>
        <w:rPr>
          <w:w w:val="95"/>
        </w:rPr>
        <w:t>generally</w:t>
      </w:r>
      <w:r>
        <w:rPr>
          <w:spacing w:val="17"/>
        </w:rPr>
        <w:t xml:space="preserve"> </w:t>
      </w:r>
      <w:r>
        <w:rPr>
          <w:w w:val="95"/>
        </w:rPr>
        <w:t>in</w:t>
      </w:r>
      <w:r>
        <w:rPr>
          <w:spacing w:val="17"/>
        </w:rPr>
        <w:t xml:space="preserve"> </w:t>
      </w:r>
      <w:r>
        <w:rPr>
          <w:w w:val="95"/>
        </w:rPr>
        <w:t>agreeance</w:t>
      </w:r>
      <w:r>
        <w:rPr>
          <w:spacing w:val="14"/>
        </w:rPr>
        <w:t xml:space="preserve"> </w:t>
      </w:r>
      <w:r>
        <w:rPr>
          <w:w w:val="95"/>
        </w:rPr>
        <w:t>and</w:t>
      </w:r>
      <w:r>
        <w:rPr>
          <w:spacing w:val="14"/>
        </w:rPr>
        <w:t xml:space="preserve"> </w:t>
      </w:r>
      <w:r>
        <w:rPr>
          <w:w w:val="95"/>
        </w:rPr>
        <w:t>comfortable</w:t>
      </w:r>
      <w:r>
        <w:rPr>
          <w:spacing w:val="14"/>
        </w:rPr>
        <w:t xml:space="preserve"> </w:t>
      </w:r>
      <w:r>
        <w:rPr>
          <w:spacing w:val="-4"/>
          <w:w w:val="95"/>
        </w:rPr>
        <w:t>with</w:t>
      </w:r>
    </w:p>
    <w:p w14:paraId="411FEF32" w14:textId="77777777" w:rsidR="00141B97" w:rsidRDefault="00911D63">
      <w:pPr>
        <w:pStyle w:val="BodyText"/>
        <w:spacing w:line="268" w:lineRule="exact"/>
        <w:ind w:left="3416"/>
      </w:pPr>
      <w:r>
        <w:t>the</w:t>
      </w:r>
      <w:r>
        <w:rPr>
          <w:spacing w:val="-8"/>
        </w:rPr>
        <w:t xml:space="preserve"> </w:t>
      </w:r>
      <w:r>
        <w:t>proposed</w:t>
      </w:r>
      <w:r>
        <w:rPr>
          <w:spacing w:val="-7"/>
        </w:rPr>
        <w:t xml:space="preserve"> </w:t>
      </w:r>
      <w:r>
        <w:t>change</w:t>
      </w:r>
      <w:r>
        <w:rPr>
          <w:spacing w:val="-8"/>
        </w:rPr>
        <w:t xml:space="preserve"> </w:t>
      </w:r>
      <w:r>
        <w:t>to</w:t>
      </w:r>
      <w:r>
        <w:rPr>
          <w:spacing w:val="-8"/>
        </w:rPr>
        <w:t xml:space="preserve"> </w:t>
      </w:r>
      <w:r>
        <w:t>the</w:t>
      </w:r>
      <w:r>
        <w:rPr>
          <w:spacing w:val="-9"/>
        </w:rPr>
        <w:t xml:space="preserve"> </w:t>
      </w:r>
      <w:r>
        <w:t>Corporate</w:t>
      </w:r>
      <w:r>
        <w:rPr>
          <w:spacing w:val="-8"/>
        </w:rPr>
        <w:t xml:space="preserve"> </w:t>
      </w:r>
      <w:r>
        <w:t>Cost</w:t>
      </w:r>
      <w:r>
        <w:rPr>
          <w:spacing w:val="-8"/>
        </w:rPr>
        <w:t xml:space="preserve"> </w:t>
      </w:r>
      <w:r>
        <w:t>Allocation</w:t>
      </w:r>
      <w:r>
        <w:rPr>
          <w:spacing w:val="-8"/>
        </w:rPr>
        <w:t xml:space="preserve"> </w:t>
      </w:r>
      <w:r>
        <w:rPr>
          <w:spacing w:val="-2"/>
        </w:rPr>
        <w:t>Split.</w:t>
      </w:r>
    </w:p>
    <w:p w14:paraId="0128392B" w14:textId="77777777" w:rsidR="00141B97" w:rsidRDefault="00911D63">
      <w:pPr>
        <w:pStyle w:val="ListParagraph"/>
        <w:numPr>
          <w:ilvl w:val="1"/>
          <w:numId w:val="105"/>
        </w:numPr>
        <w:tabs>
          <w:tab w:val="left" w:pos="3416"/>
          <w:tab w:val="left" w:pos="3417"/>
        </w:tabs>
        <w:ind w:right="1064" w:hanging="361"/>
      </w:pPr>
      <w:r>
        <w:t>They</w:t>
      </w:r>
      <w:r>
        <w:rPr>
          <w:spacing w:val="-9"/>
        </w:rPr>
        <w:t xml:space="preserve"> </w:t>
      </w:r>
      <w:r>
        <w:t>recognised</w:t>
      </w:r>
      <w:r>
        <w:rPr>
          <w:spacing w:val="-9"/>
        </w:rPr>
        <w:t xml:space="preserve"> </w:t>
      </w:r>
      <w:r>
        <w:t>rural</w:t>
      </w:r>
      <w:r>
        <w:rPr>
          <w:spacing w:val="-9"/>
        </w:rPr>
        <w:t xml:space="preserve"> </w:t>
      </w:r>
      <w:r>
        <w:t>customers</w:t>
      </w:r>
      <w:r>
        <w:rPr>
          <w:spacing w:val="-9"/>
        </w:rPr>
        <w:t xml:space="preserve"> </w:t>
      </w:r>
      <w:r>
        <w:t>should</w:t>
      </w:r>
      <w:r>
        <w:rPr>
          <w:spacing w:val="-8"/>
        </w:rPr>
        <w:t xml:space="preserve"> </w:t>
      </w:r>
      <w:r>
        <w:t>not</w:t>
      </w:r>
      <w:r>
        <w:rPr>
          <w:spacing w:val="-9"/>
        </w:rPr>
        <w:t xml:space="preserve"> </w:t>
      </w:r>
      <w:r>
        <w:t>pay</w:t>
      </w:r>
      <w:r>
        <w:rPr>
          <w:spacing w:val="-8"/>
        </w:rPr>
        <w:t xml:space="preserve"> </w:t>
      </w:r>
      <w:r>
        <w:t>for</w:t>
      </w:r>
      <w:r>
        <w:rPr>
          <w:spacing w:val="-10"/>
        </w:rPr>
        <w:t xml:space="preserve"> </w:t>
      </w:r>
      <w:r>
        <w:t>services</w:t>
      </w:r>
      <w:r>
        <w:rPr>
          <w:spacing w:val="-8"/>
        </w:rPr>
        <w:t xml:space="preserve"> </w:t>
      </w:r>
      <w:r>
        <w:t xml:space="preserve">they </w:t>
      </w:r>
      <w:r>
        <w:lastRenderedPageBreak/>
        <w:t>don’t utilise</w:t>
      </w:r>
      <w:r>
        <w:rPr>
          <w:spacing w:val="16"/>
        </w:rPr>
        <w:t xml:space="preserve"> </w:t>
      </w:r>
      <w:r>
        <w:t>or need and that it was fair</w:t>
      </w:r>
      <w:r>
        <w:rPr>
          <w:spacing w:val="16"/>
        </w:rPr>
        <w:t xml:space="preserve"> </w:t>
      </w:r>
      <w:r>
        <w:t>to recalibrate the cost</w:t>
      </w:r>
    </w:p>
    <w:p w14:paraId="7F25DE97" w14:textId="77777777" w:rsidR="00141B97" w:rsidRDefault="00141B97">
      <w:pPr>
        <w:sectPr w:rsidR="00141B97">
          <w:type w:val="continuous"/>
          <w:pgSz w:w="11910" w:h="16840"/>
          <w:pgMar w:top="1940" w:right="740" w:bottom="280" w:left="980" w:header="0" w:footer="896" w:gutter="0"/>
          <w:cols w:space="720"/>
        </w:sectPr>
      </w:pPr>
    </w:p>
    <w:p w14:paraId="6AD93AFE" w14:textId="77777777" w:rsidR="00141B97" w:rsidRDefault="00141B97">
      <w:pPr>
        <w:pStyle w:val="BodyText"/>
      </w:pPr>
    </w:p>
    <w:p w14:paraId="2AB91C7C" w14:textId="77777777" w:rsidR="00141B97" w:rsidRDefault="00141B97">
      <w:pPr>
        <w:pStyle w:val="BodyText"/>
        <w:spacing w:before="7"/>
        <w:rPr>
          <w:sz w:val="24"/>
        </w:rPr>
      </w:pPr>
    </w:p>
    <w:p w14:paraId="1A867E6A" w14:textId="77777777" w:rsidR="00141B97" w:rsidRDefault="00911D63">
      <w:pPr>
        <w:ind w:left="261"/>
        <w:rPr>
          <w:i/>
        </w:rPr>
      </w:pPr>
      <w:r>
        <w:rPr>
          <w:i/>
        </w:rPr>
        <w:t>Urban</w:t>
      </w:r>
      <w:r>
        <w:rPr>
          <w:i/>
          <w:spacing w:val="-13"/>
        </w:rPr>
        <w:t xml:space="preserve"> </w:t>
      </w:r>
      <w:r>
        <w:rPr>
          <w:i/>
        </w:rPr>
        <w:t>Volumetric</w:t>
      </w:r>
      <w:r>
        <w:rPr>
          <w:i/>
          <w:spacing w:val="-12"/>
        </w:rPr>
        <w:t xml:space="preserve"> </w:t>
      </w:r>
      <w:r>
        <w:rPr>
          <w:i/>
        </w:rPr>
        <w:t>Tiered Pricing Structure:</w:t>
      </w:r>
    </w:p>
    <w:p w14:paraId="34AC7948" w14:textId="77777777" w:rsidR="00141B97" w:rsidRDefault="00911D63">
      <w:pPr>
        <w:pStyle w:val="BodyText"/>
        <w:spacing w:before="31"/>
        <w:ind w:left="622"/>
      </w:pPr>
      <w:r>
        <w:br w:type="column"/>
      </w:r>
      <w:r>
        <w:t>split</w:t>
      </w:r>
      <w:r>
        <w:rPr>
          <w:spacing w:val="-7"/>
        </w:rPr>
        <w:t xml:space="preserve"> </w:t>
      </w:r>
      <w:r>
        <w:t>as</w:t>
      </w:r>
      <w:r>
        <w:rPr>
          <w:spacing w:val="-7"/>
        </w:rPr>
        <w:t xml:space="preserve"> </w:t>
      </w:r>
      <w:r>
        <w:t>the</w:t>
      </w:r>
      <w:r>
        <w:rPr>
          <w:spacing w:val="-6"/>
        </w:rPr>
        <w:t xml:space="preserve"> </w:t>
      </w:r>
      <w:r>
        <w:t>population</w:t>
      </w:r>
      <w:r>
        <w:rPr>
          <w:spacing w:val="-7"/>
        </w:rPr>
        <w:t xml:space="preserve"> </w:t>
      </w:r>
      <w:r>
        <w:t>base</w:t>
      </w:r>
      <w:r>
        <w:rPr>
          <w:spacing w:val="-9"/>
        </w:rPr>
        <w:t xml:space="preserve"> </w:t>
      </w:r>
      <w:r>
        <w:rPr>
          <w:spacing w:val="-2"/>
        </w:rPr>
        <w:t>changes.</w:t>
      </w:r>
    </w:p>
    <w:p w14:paraId="57B591A7" w14:textId="77777777" w:rsidR="00141B97" w:rsidRDefault="00141B97">
      <w:pPr>
        <w:pStyle w:val="BodyText"/>
        <w:spacing w:before="12"/>
        <w:rPr>
          <w:sz w:val="21"/>
        </w:rPr>
      </w:pPr>
    </w:p>
    <w:p w14:paraId="6BA18CFB" w14:textId="77777777" w:rsidR="00141B97" w:rsidRDefault="00911D63">
      <w:pPr>
        <w:pStyle w:val="ListParagraph"/>
        <w:numPr>
          <w:ilvl w:val="0"/>
          <w:numId w:val="105"/>
        </w:numPr>
        <w:tabs>
          <w:tab w:val="left" w:pos="622"/>
        </w:tabs>
        <w:ind w:right="1064"/>
        <w:jc w:val="both"/>
      </w:pPr>
      <w:r>
        <w:t>There was a variety of views across the UDP regarding the proposed</w:t>
      </w:r>
      <w:r>
        <w:rPr>
          <w:spacing w:val="-11"/>
        </w:rPr>
        <w:t xml:space="preserve"> </w:t>
      </w:r>
      <w:r>
        <w:t>review</w:t>
      </w:r>
      <w:r>
        <w:rPr>
          <w:spacing w:val="-11"/>
        </w:rPr>
        <w:t xml:space="preserve"> </w:t>
      </w:r>
      <w:r>
        <w:t>of</w:t>
      </w:r>
      <w:r>
        <w:rPr>
          <w:spacing w:val="-11"/>
        </w:rPr>
        <w:t xml:space="preserve"> </w:t>
      </w:r>
      <w:r>
        <w:t>the</w:t>
      </w:r>
      <w:r>
        <w:rPr>
          <w:spacing w:val="-12"/>
        </w:rPr>
        <w:t xml:space="preserve"> </w:t>
      </w:r>
      <w:r>
        <w:t>tier</w:t>
      </w:r>
      <w:r>
        <w:rPr>
          <w:spacing w:val="-10"/>
        </w:rPr>
        <w:t xml:space="preserve"> </w:t>
      </w:r>
      <w:r>
        <w:t>price</w:t>
      </w:r>
      <w:r>
        <w:rPr>
          <w:spacing w:val="-12"/>
        </w:rPr>
        <w:t xml:space="preserve"> </w:t>
      </w:r>
      <w:r>
        <w:t>structure</w:t>
      </w:r>
      <w:r>
        <w:rPr>
          <w:spacing w:val="-12"/>
        </w:rPr>
        <w:t xml:space="preserve"> </w:t>
      </w:r>
      <w:r>
        <w:t>including</w:t>
      </w:r>
      <w:r>
        <w:rPr>
          <w:spacing w:val="-11"/>
        </w:rPr>
        <w:t xml:space="preserve"> </w:t>
      </w:r>
      <w:r>
        <w:t>a</w:t>
      </w:r>
      <w:r>
        <w:rPr>
          <w:spacing w:val="-11"/>
        </w:rPr>
        <w:t xml:space="preserve"> </w:t>
      </w:r>
      <w:r>
        <w:t>reiteration of previous feedback that there are several government programs</w:t>
      </w:r>
      <w:r>
        <w:rPr>
          <w:spacing w:val="-13"/>
        </w:rPr>
        <w:t xml:space="preserve"> </w:t>
      </w:r>
      <w:r>
        <w:t>to</w:t>
      </w:r>
      <w:r>
        <w:rPr>
          <w:spacing w:val="-12"/>
        </w:rPr>
        <w:t xml:space="preserve"> </w:t>
      </w:r>
      <w:r>
        <w:t>help</w:t>
      </w:r>
      <w:r>
        <w:rPr>
          <w:spacing w:val="-13"/>
        </w:rPr>
        <w:t xml:space="preserve"> </w:t>
      </w:r>
      <w:r>
        <w:t>customers</w:t>
      </w:r>
      <w:r>
        <w:rPr>
          <w:spacing w:val="-12"/>
        </w:rPr>
        <w:t xml:space="preserve"> </w:t>
      </w:r>
      <w:r>
        <w:t>in</w:t>
      </w:r>
      <w:r>
        <w:rPr>
          <w:spacing w:val="-13"/>
        </w:rPr>
        <w:t xml:space="preserve"> </w:t>
      </w:r>
      <w:r>
        <w:t>hardship</w:t>
      </w:r>
      <w:r>
        <w:rPr>
          <w:spacing w:val="-12"/>
        </w:rPr>
        <w:t xml:space="preserve"> </w:t>
      </w:r>
      <w:r>
        <w:t>with</w:t>
      </w:r>
      <w:r>
        <w:rPr>
          <w:spacing w:val="-13"/>
        </w:rPr>
        <w:t xml:space="preserve"> </w:t>
      </w:r>
      <w:r>
        <w:t>their</w:t>
      </w:r>
      <w:r>
        <w:rPr>
          <w:spacing w:val="-12"/>
        </w:rPr>
        <w:t xml:space="preserve"> </w:t>
      </w:r>
      <w:r>
        <w:t>household</w:t>
      </w:r>
      <w:r>
        <w:rPr>
          <w:spacing w:val="-12"/>
        </w:rPr>
        <w:t xml:space="preserve"> </w:t>
      </w:r>
      <w:r>
        <w:t>bills and customers don’t support LMW increasing support for hardship at the expense of other customers.</w:t>
      </w:r>
    </w:p>
    <w:p w14:paraId="2FAA66CE" w14:textId="77777777" w:rsidR="00141B97" w:rsidRDefault="00911D63">
      <w:pPr>
        <w:pStyle w:val="ListParagraph"/>
        <w:numPr>
          <w:ilvl w:val="0"/>
          <w:numId w:val="105"/>
        </w:numPr>
        <w:tabs>
          <w:tab w:val="left" w:pos="622"/>
        </w:tabs>
        <w:ind w:right="1065" w:hanging="361"/>
        <w:jc w:val="both"/>
      </w:pPr>
      <w:r>
        <w:t>A</w:t>
      </w:r>
      <w:r>
        <w:rPr>
          <w:spacing w:val="-9"/>
        </w:rPr>
        <w:t xml:space="preserve"> </w:t>
      </w:r>
      <w:r>
        <w:t>review</w:t>
      </w:r>
      <w:r>
        <w:rPr>
          <w:spacing w:val="-8"/>
        </w:rPr>
        <w:t xml:space="preserve"> </w:t>
      </w:r>
      <w:r>
        <w:t>of</w:t>
      </w:r>
      <w:r>
        <w:rPr>
          <w:spacing w:val="-7"/>
        </w:rPr>
        <w:t xml:space="preserve"> </w:t>
      </w:r>
      <w:r>
        <w:t>the</w:t>
      </w:r>
      <w:r>
        <w:rPr>
          <w:spacing w:val="-10"/>
        </w:rPr>
        <w:t xml:space="preserve"> </w:t>
      </w:r>
      <w:r>
        <w:t>tier</w:t>
      </w:r>
      <w:r>
        <w:rPr>
          <w:spacing w:val="-8"/>
        </w:rPr>
        <w:t xml:space="preserve"> </w:t>
      </w:r>
      <w:r>
        <w:t>structure</w:t>
      </w:r>
      <w:r>
        <w:rPr>
          <w:spacing w:val="-10"/>
        </w:rPr>
        <w:t xml:space="preserve"> </w:t>
      </w:r>
      <w:r>
        <w:t>was</w:t>
      </w:r>
      <w:r>
        <w:rPr>
          <w:spacing w:val="-7"/>
        </w:rPr>
        <w:t xml:space="preserve"> </w:t>
      </w:r>
      <w:r>
        <w:t>supported</w:t>
      </w:r>
      <w:r>
        <w:rPr>
          <w:spacing w:val="-8"/>
        </w:rPr>
        <w:t xml:space="preserve"> </w:t>
      </w:r>
      <w:r>
        <w:t>over</w:t>
      </w:r>
      <w:r>
        <w:rPr>
          <w:spacing w:val="-9"/>
        </w:rPr>
        <w:t xml:space="preserve"> </w:t>
      </w:r>
      <w:r>
        <w:t>a</w:t>
      </w:r>
      <w:r>
        <w:rPr>
          <w:spacing w:val="-8"/>
        </w:rPr>
        <w:t xml:space="preserve"> </w:t>
      </w:r>
      <w:r>
        <w:t>longer</w:t>
      </w:r>
      <w:r>
        <w:rPr>
          <w:spacing w:val="-9"/>
        </w:rPr>
        <w:t xml:space="preserve"> </w:t>
      </w:r>
      <w:r>
        <w:t>period of time to ensure detailed investigations could be undertaken, avoiding inaccurate assumptions which could disadvantage customers unintentionally. LMW will seek to engage further the urban customers throughout PS5 for consideration in PS6.</w:t>
      </w:r>
    </w:p>
    <w:p w14:paraId="3736BCC9" w14:textId="77777777" w:rsidR="00141B97" w:rsidRDefault="00141B97">
      <w:pPr>
        <w:jc w:val="both"/>
        <w:sectPr w:rsidR="00141B97">
          <w:pgSz w:w="11910" w:h="16840"/>
          <w:pgMar w:top="820" w:right="740" w:bottom="1120" w:left="980" w:header="0" w:footer="896" w:gutter="0"/>
          <w:cols w:num="2" w:space="720" w:equalWidth="0">
            <w:col w:w="2452" w:space="343"/>
            <w:col w:w="7395"/>
          </w:cols>
        </w:sectPr>
      </w:pPr>
    </w:p>
    <w:p w14:paraId="49F53D97" w14:textId="77777777" w:rsidR="00141B97" w:rsidRDefault="00141B97">
      <w:pPr>
        <w:pStyle w:val="BodyText"/>
        <w:spacing w:before="2"/>
        <w:rPr>
          <w:sz w:val="16"/>
        </w:rPr>
      </w:pPr>
    </w:p>
    <w:p w14:paraId="6048AA23" w14:textId="77777777" w:rsidR="00141B97" w:rsidRDefault="00911D63">
      <w:pPr>
        <w:pStyle w:val="ListParagraph"/>
        <w:numPr>
          <w:ilvl w:val="2"/>
          <w:numId w:val="113"/>
        </w:numPr>
        <w:tabs>
          <w:tab w:val="left" w:pos="1152"/>
          <w:tab w:val="left" w:pos="1153"/>
        </w:tabs>
        <w:spacing w:before="55"/>
        <w:ind w:hanging="1000"/>
        <w:jc w:val="both"/>
      </w:pPr>
      <w:r>
        <w:t>Rural</w:t>
      </w:r>
      <w:r>
        <w:rPr>
          <w:spacing w:val="-5"/>
        </w:rPr>
        <w:t xml:space="preserve"> </w:t>
      </w:r>
      <w:r>
        <w:rPr>
          <w:spacing w:val="-2"/>
        </w:rPr>
        <w:t>Customers</w:t>
      </w:r>
    </w:p>
    <w:p w14:paraId="5EB3EA36" w14:textId="77777777" w:rsidR="00141B97" w:rsidRDefault="00911D63">
      <w:pPr>
        <w:pStyle w:val="BodyText"/>
        <w:spacing w:before="59"/>
        <w:ind w:left="153" w:right="246"/>
        <w:jc w:val="both"/>
      </w:pPr>
      <w:r>
        <w:t>Rural</w:t>
      </w:r>
      <w:r>
        <w:rPr>
          <w:spacing w:val="-3"/>
        </w:rPr>
        <w:t xml:space="preserve"> </w:t>
      </w:r>
      <w:r>
        <w:t>customers</w:t>
      </w:r>
      <w:r>
        <w:rPr>
          <w:spacing w:val="-2"/>
        </w:rPr>
        <w:t xml:space="preserve"> </w:t>
      </w:r>
      <w:r>
        <w:t>are</w:t>
      </w:r>
      <w:r>
        <w:rPr>
          <w:spacing w:val="-5"/>
        </w:rPr>
        <w:t xml:space="preserve"> </w:t>
      </w:r>
      <w:r>
        <w:t>still</w:t>
      </w:r>
      <w:r>
        <w:rPr>
          <w:spacing w:val="-4"/>
        </w:rPr>
        <w:t xml:space="preserve"> </w:t>
      </w:r>
      <w:r>
        <w:t>very</w:t>
      </w:r>
      <w:r>
        <w:rPr>
          <w:spacing w:val="-3"/>
        </w:rPr>
        <w:t xml:space="preserve"> </w:t>
      </w:r>
      <w:r>
        <w:t>reliant</w:t>
      </w:r>
      <w:r>
        <w:rPr>
          <w:spacing w:val="-2"/>
        </w:rPr>
        <w:t xml:space="preserve"> </w:t>
      </w:r>
      <w:r>
        <w:t>on</w:t>
      </w:r>
      <w:r>
        <w:rPr>
          <w:spacing w:val="-2"/>
        </w:rPr>
        <w:t xml:space="preserve"> </w:t>
      </w:r>
      <w:r>
        <w:t>personalised</w:t>
      </w:r>
      <w:r>
        <w:rPr>
          <w:spacing w:val="-2"/>
        </w:rPr>
        <w:t xml:space="preserve"> </w:t>
      </w:r>
      <w:r>
        <w:t>service</w:t>
      </w:r>
      <w:r>
        <w:rPr>
          <w:spacing w:val="-4"/>
        </w:rPr>
        <w:t xml:space="preserve"> </w:t>
      </w:r>
      <w:r>
        <w:t>and</w:t>
      </w:r>
      <w:r>
        <w:rPr>
          <w:spacing w:val="-3"/>
        </w:rPr>
        <w:t xml:space="preserve"> </w:t>
      </w:r>
      <w:r>
        <w:t>would</w:t>
      </w:r>
      <w:r>
        <w:rPr>
          <w:spacing w:val="-3"/>
        </w:rPr>
        <w:t xml:space="preserve"> </w:t>
      </w:r>
      <w:r>
        <w:t>prefer</w:t>
      </w:r>
      <w:r>
        <w:rPr>
          <w:spacing w:val="-3"/>
        </w:rPr>
        <w:t xml:space="preserve"> </w:t>
      </w:r>
      <w:r>
        <w:t>a</w:t>
      </w:r>
      <w:r>
        <w:rPr>
          <w:spacing w:val="-2"/>
        </w:rPr>
        <w:t xml:space="preserve"> </w:t>
      </w:r>
      <w:r>
        <w:t>local</w:t>
      </w:r>
      <w:r>
        <w:rPr>
          <w:spacing w:val="-4"/>
        </w:rPr>
        <w:t xml:space="preserve"> </w:t>
      </w:r>
      <w:r>
        <w:t>24‐hour</w:t>
      </w:r>
      <w:r>
        <w:rPr>
          <w:spacing w:val="-2"/>
        </w:rPr>
        <w:t xml:space="preserve"> </w:t>
      </w:r>
      <w:r>
        <w:t>customer</w:t>
      </w:r>
      <w:r>
        <w:rPr>
          <w:spacing w:val="-2"/>
        </w:rPr>
        <w:t xml:space="preserve"> </w:t>
      </w:r>
      <w:r>
        <w:t>service centre to report leaks and interruptions. Engagement feedback demonstrated an acknowledgement by rural customers</w:t>
      </w:r>
      <w:r>
        <w:rPr>
          <w:spacing w:val="-10"/>
        </w:rPr>
        <w:t xml:space="preserve"> </w:t>
      </w:r>
      <w:r>
        <w:t>that</w:t>
      </w:r>
      <w:r>
        <w:rPr>
          <w:spacing w:val="-12"/>
        </w:rPr>
        <w:t xml:space="preserve"> </w:t>
      </w:r>
      <w:r>
        <w:t>there</w:t>
      </w:r>
      <w:r>
        <w:rPr>
          <w:spacing w:val="-12"/>
        </w:rPr>
        <w:t xml:space="preserve"> </w:t>
      </w:r>
      <w:r>
        <w:t>are</w:t>
      </w:r>
      <w:r>
        <w:rPr>
          <w:spacing w:val="-12"/>
        </w:rPr>
        <w:t xml:space="preserve"> </w:t>
      </w:r>
      <w:r>
        <w:t>cost</w:t>
      </w:r>
      <w:r>
        <w:rPr>
          <w:spacing w:val="-10"/>
        </w:rPr>
        <w:t xml:space="preserve"> </w:t>
      </w:r>
      <w:r>
        <w:t>efficiencies</w:t>
      </w:r>
      <w:r>
        <w:rPr>
          <w:spacing w:val="-11"/>
        </w:rPr>
        <w:t xml:space="preserve"> </w:t>
      </w:r>
      <w:r>
        <w:t>associated</w:t>
      </w:r>
      <w:r>
        <w:rPr>
          <w:spacing w:val="-11"/>
        </w:rPr>
        <w:t xml:space="preserve"> </w:t>
      </w:r>
      <w:r>
        <w:t>with</w:t>
      </w:r>
      <w:r>
        <w:rPr>
          <w:spacing w:val="-10"/>
        </w:rPr>
        <w:t xml:space="preserve"> </w:t>
      </w:r>
      <w:r>
        <w:t>the</w:t>
      </w:r>
      <w:r>
        <w:rPr>
          <w:spacing w:val="-11"/>
        </w:rPr>
        <w:t xml:space="preserve"> </w:t>
      </w:r>
      <w:r>
        <w:t>current</w:t>
      </w:r>
      <w:r>
        <w:rPr>
          <w:spacing w:val="-11"/>
        </w:rPr>
        <w:t xml:space="preserve"> </w:t>
      </w:r>
      <w:r>
        <w:t>centralised</w:t>
      </w:r>
      <w:r>
        <w:rPr>
          <w:spacing w:val="-12"/>
        </w:rPr>
        <w:t xml:space="preserve"> </w:t>
      </w:r>
      <w:r>
        <w:t>after‐hours</w:t>
      </w:r>
      <w:r>
        <w:rPr>
          <w:spacing w:val="-10"/>
        </w:rPr>
        <w:t xml:space="preserve"> </w:t>
      </w:r>
      <w:r>
        <w:t>services</w:t>
      </w:r>
      <w:r>
        <w:rPr>
          <w:spacing w:val="-10"/>
        </w:rPr>
        <w:t xml:space="preserve"> </w:t>
      </w:r>
      <w:r>
        <w:t>across</w:t>
      </w:r>
      <w:r>
        <w:rPr>
          <w:spacing w:val="-11"/>
        </w:rPr>
        <w:t xml:space="preserve"> </w:t>
      </w:r>
      <w:r>
        <w:t>the water sector and clearly expressed an unwillingness to pay more for their preferred option of a localised 24‐ hour</w:t>
      </w:r>
      <w:r>
        <w:rPr>
          <w:spacing w:val="-4"/>
        </w:rPr>
        <w:t xml:space="preserve"> </w:t>
      </w:r>
      <w:r>
        <w:t>service.</w:t>
      </w:r>
      <w:r>
        <w:rPr>
          <w:spacing w:val="-3"/>
        </w:rPr>
        <w:t xml:space="preserve"> </w:t>
      </w:r>
      <w:r>
        <w:t>Although</w:t>
      </w:r>
      <w:r>
        <w:rPr>
          <w:spacing w:val="-2"/>
        </w:rPr>
        <w:t xml:space="preserve"> </w:t>
      </w:r>
      <w:r>
        <w:t>they</w:t>
      </w:r>
      <w:r>
        <w:rPr>
          <w:spacing w:val="-3"/>
        </w:rPr>
        <w:t xml:space="preserve"> </w:t>
      </w:r>
      <w:r>
        <w:t>still</w:t>
      </w:r>
      <w:r>
        <w:rPr>
          <w:spacing w:val="-4"/>
        </w:rPr>
        <w:t xml:space="preserve"> </w:t>
      </w:r>
      <w:r>
        <w:t>seek</w:t>
      </w:r>
      <w:r>
        <w:rPr>
          <w:spacing w:val="-1"/>
        </w:rPr>
        <w:t xml:space="preserve"> </w:t>
      </w:r>
      <w:r>
        <w:t>a</w:t>
      </w:r>
      <w:r>
        <w:rPr>
          <w:spacing w:val="-3"/>
        </w:rPr>
        <w:t xml:space="preserve"> </w:t>
      </w:r>
      <w:r>
        <w:t>personal</w:t>
      </w:r>
      <w:r>
        <w:rPr>
          <w:spacing w:val="-2"/>
        </w:rPr>
        <w:t xml:space="preserve"> </w:t>
      </w:r>
      <w:r>
        <w:t>level</w:t>
      </w:r>
      <w:r>
        <w:rPr>
          <w:spacing w:val="-2"/>
        </w:rPr>
        <w:t xml:space="preserve"> </w:t>
      </w:r>
      <w:r>
        <w:t>of</w:t>
      </w:r>
      <w:r>
        <w:rPr>
          <w:spacing w:val="-3"/>
        </w:rPr>
        <w:t xml:space="preserve"> </w:t>
      </w:r>
      <w:r>
        <w:t>human</w:t>
      </w:r>
      <w:r>
        <w:rPr>
          <w:spacing w:val="-2"/>
        </w:rPr>
        <w:t xml:space="preserve"> </w:t>
      </w:r>
      <w:r>
        <w:t>interaction</w:t>
      </w:r>
      <w:r>
        <w:rPr>
          <w:spacing w:val="-4"/>
        </w:rPr>
        <w:t xml:space="preserve"> </w:t>
      </w:r>
      <w:r>
        <w:t>and</w:t>
      </w:r>
      <w:r>
        <w:rPr>
          <w:spacing w:val="-2"/>
        </w:rPr>
        <w:t xml:space="preserve"> </w:t>
      </w:r>
      <w:r>
        <w:t>service,</w:t>
      </w:r>
      <w:r>
        <w:rPr>
          <w:spacing w:val="-3"/>
        </w:rPr>
        <w:t xml:space="preserve"> </w:t>
      </w:r>
      <w:r>
        <w:t>LMW’s</w:t>
      </w:r>
      <w:r>
        <w:rPr>
          <w:spacing w:val="-3"/>
        </w:rPr>
        <w:t xml:space="preserve"> </w:t>
      </w:r>
      <w:r>
        <w:t>rural</w:t>
      </w:r>
      <w:r>
        <w:rPr>
          <w:spacing w:val="-4"/>
        </w:rPr>
        <w:t xml:space="preserve"> </w:t>
      </w:r>
      <w:r>
        <w:t>customers noted</w:t>
      </w:r>
      <w:r>
        <w:rPr>
          <w:spacing w:val="-9"/>
        </w:rPr>
        <w:t xml:space="preserve"> </w:t>
      </w:r>
      <w:r>
        <w:t>a</w:t>
      </w:r>
      <w:r>
        <w:rPr>
          <w:spacing w:val="-9"/>
        </w:rPr>
        <w:t xml:space="preserve"> </w:t>
      </w:r>
      <w:r>
        <w:t>preference</w:t>
      </w:r>
      <w:r>
        <w:rPr>
          <w:spacing w:val="-10"/>
        </w:rPr>
        <w:t xml:space="preserve"> </w:t>
      </w:r>
      <w:r>
        <w:t>for</w:t>
      </w:r>
      <w:r>
        <w:rPr>
          <w:spacing w:val="-9"/>
        </w:rPr>
        <w:t xml:space="preserve"> </w:t>
      </w:r>
      <w:r>
        <w:t>any</w:t>
      </w:r>
      <w:r>
        <w:rPr>
          <w:spacing w:val="-9"/>
        </w:rPr>
        <w:t xml:space="preserve"> </w:t>
      </w:r>
      <w:r>
        <w:t>additional</w:t>
      </w:r>
      <w:r>
        <w:rPr>
          <w:spacing w:val="-10"/>
        </w:rPr>
        <w:t xml:space="preserve"> </w:t>
      </w:r>
      <w:r>
        <w:t>investment</w:t>
      </w:r>
      <w:r>
        <w:rPr>
          <w:spacing w:val="-10"/>
        </w:rPr>
        <w:t xml:space="preserve"> </w:t>
      </w:r>
      <w:r>
        <w:t>to</w:t>
      </w:r>
      <w:r>
        <w:rPr>
          <w:spacing w:val="-10"/>
        </w:rPr>
        <w:t xml:space="preserve"> </w:t>
      </w:r>
      <w:r>
        <w:t>go</w:t>
      </w:r>
      <w:r>
        <w:rPr>
          <w:spacing w:val="-8"/>
        </w:rPr>
        <w:t xml:space="preserve"> </w:t>
      </w:r>
      <w:r>
        <w:t>towards</w:t>
      </w:r>
      <w:r>
        <w:rPr>
          <w:spacing w:val="-9"/>
        </w:rPr>
        <w:t xml:space="preserve"> </w:t>
      </w:r>
      <w:r>
        <w:t>improved</w:t>
      </w:r>
      <w:r>
        <w:rPr>
          <w:spacing w:val="-9"/>
        </w:rPr>
        <w:t xml:space="preserve"> </w:t>
      </w:r>
      <w:r>
        <w:t>digital</w:t>
      </w:r>
      <w:r>
        <w:rPr>
          <w:spacing w:val="-10"/>
        </w:rPr>
        <w:t xml:space="preserve"> </w:t>
      </w:r>
      <w:r>
        <w:t>services</w:t>
      </w:r>
      <w:r>
        <w:rPr>
          <w:spacing w:val="-8"/>
        </w:rPr>
        <w:t xml:space="preserve"> </w:t>
      </w:r>
      <w:r>
        <w:t>that</w:t>
      </w:r>
      <w:r>
        <w:rPr>
          <w:spacing w:val="-9"/>
        </w:rPr>
        <w:t xml:space="preserve"> </w:t>
      </w:r>
      <w:r>
        <w:t>will</w:t>
      </w:r>
      <w:r>
        <w:rPr>
          <w:spacing w:val="-10"/>
        </w:rPr>
        <w:t xml:space="preserve"> </w:t>
      </w:r>
      <w:r>
        <w:t>support</w:t>
      </w:r>
      <w:r>
        <w:rPr>
          <w:spacing w:val="-9"/>
        </w:rPr>
        <w:t xml:space="preserve"> </w:t>
      </w:r>
      <w:r>
        <w:t>more efficient on‐farm business practices including:</w:t>
      </w:r>
    </w:p>
    <w:p w14:paraId="372D103B" w14:textId="77777777" w:rsidR="00141B97" w:rsidRDefault="00911D63">
      <w:pPr>
        <w:pStyle w:val="ListParagraph"/>
        <w:numPr>
          <w:ilvl w:val="3"/>
          <w:numId w:val="113"/>
        </w:numPr>
        <w:tabs>
          <w:tab w:val="left" w:pos="873"/>
          <w:tab w:val="left" w:pos="874"/>
        </w:tabs>
        <w:spacing w:line="280" w:lineRule="exact"/>
        <w:ind w:left="873" w:hanging="361"/>
      </w:pPr>
      <w:r>
        <w:t>Increased</w:t>
      </w:r>
      <w:r>
        <w:rPr>
          <w:spacing w:val="-9"/>
        </w:rPr>
        <w:t xml:space="preserve"> </w:t>
      </w:r>
      <w:r>
        <w:t>functionality</w:t>
      </w:r>
      <w:r>
        <w:rPr>
          <w:spacing w:val="-9"/>
        </w:rPr>
        <w:t xml:space="preserve"> </w:t>
      </w:r>
      <w:r>
        <w:t>for</w:t>
      </w:r>
      <w:r>
        <w:rPr>
          <w:spacing w:val="-8"/>
        </w:rPr>
        <w:t xml:space="preserve"> </w:t>
      </w:r>
      <w:r>
        <w:t>water</w:t>
      </w:r>
      <w:r>
        <w:rPr>
          <w:spacing w:val="-8"/>
        </w:rPr>
        <w:t xml:space="preserve"> </w:t>
      </w:r>
      <w:r>
        <w:rPr>
          <w:spacing w:val="-2"/>
        </w:rPr>
        <w:t>ordering</w:t>
      </w:r>
    </w:p>
    <w:p w14:paraId="56D46F83" w14:textId="77777777" w:rsidR="00141B97" w:rsidRDefault="00911D63">
      <w:pPr>
        <w:pStyle w:val="ListParagraph"/>
        <w:numPr>
          <w:ilvl w:val="3"/>
          <w:numId w:val="113"/>
        </w:numPr>
        <w:tabs>
          <w:tab w:val="left" w:pos="873"/>
          <w:tab w:val="left" w:pos="874"/>
        </w:tabs>
        <w:spacing w:before="1"/>
        <w:ind w:left="873" w:hanging="361"/>
      </w:pPr>
      <w:r>
        <w:t>Improved</w:t>
      </w:r>
      <w:r>
        <w:rPr>
          <w:spacing w:val="-8"/>
        </w:rPr>
        <w:t xml:space="preserve"> </w:t>
      </w:r>
      <w:r>
        <w:t>text</w:t>
      </w:r>
      <w:r>
        <w:rPr>
          <w:spacing w:val="-9"/>
        </w:rPr>
        <w:t xml:space="preserve"> </w:t>
      </w:r>
      <w:r>
        <w:t>messaging</w:t>
      </w:r>
      <w:r>
        <w:rPr>
          <w:spacing w:val="-8"/>
        </w:rPr>
        <w:t xml:space="preserve"> </w:t>
      </w:r>
      <w:r>
        <w:t>facilities</w:t>
      </w:r>
      <w:r>
        <w:rPr>
          <w:spacing w:val="-9"/>
        </w:rPr>
        <w:t xml:space="preserve"> </w:t>
      </w:r>
      <w:r>
        <w:t>and</w:t>
      </w:r>
      <w:r>
        <w:rPr>
          <w:spacing w:val="-8"/>
        </w:rPr>
        <w:t xml:space="preserve"> </w:t>
      </w:r>
      <w:r>
        <w:t>scope</w:t>
      </w:r>
      <w:r>
        <w:rPr>
          <w:spacing w:val="-8"/>
        </w:rPr>
        <w:t xml:space="preserve"> </w:t>
      </w:r>
      <w:r>
        <w:t>of</w:t>
      </w:r>
      <w:r>
        <w:rPr>
          <w:spacing w:val="-8"/>
        </w:rPr>
        <w:t xml:space="preserve"> </w:t>
      </w:r>
      <w:r>
        <w:t>messaging</w:t>
      </w:r>
      <w:r>
        <w:rPr>
          <w:spacing w:val="-8"/>
        </w:rPr>
        <w:t xml:space="preserve"> </w:t>
      </w:r>
      <w:r>
        <w:t>through</w:t>
      </w:r>
      <w:r>
        <w:rPr>
          <w:spacing w:val="-9"/>
        </w:rPr>
        <w:t xml:space="preserve"> </w:t>
      </w:r>
      <w:r>
        <w:rPr>
          <w:spacing w:val="-5"/>
        </w:rPr>
        <w:t>SMS</w:t>
      </w:r>
    </w:p>
    <w:p w14:paraId="2EC6EAC1" w14:textId="77777777" w:rsidR="00141B97" w:rsidRDefault="00911D63">
      <w:pPr>
        <w:pStyle w:val="ListParagraph"/>
        <w:numPr>
          <w:ilvl w:val="3"/>
          <w:numId w:val="113"/>
        </w:numPr>
        <w:tabs>
          <w:tab w:val="left" w:pos="873"/>
          <w:tab w:val="left" w:pos="874"/>
        </w:tabs>
        <w:ind w:left="873" w:hanging="361"/>
      </w:pPr>
      <w:r>
        <w:t>A</w:t>
      </w:r>
      <w:r>
        <w:rPr>
          <w:spacing w:val="-8"/>
        </w:rPr>
        <w:t xml:space="preserve"> </w:t>
      </w:r>
      <w:r>
        <w:t>customer</w:t>
      </w:r>
      <w:r>
        <w:rPr>
          <w:spacing w:val="-6"/>
        </w:rPr>
        <w:t xml:space="preserve"> </w:t>
      </w:r>
      <w:r>
        <w:t>portal</w:t>
      </w:r>
      <w:r>
        <w:rPr>
          <w:spacing w:val="-9"/>
        </w:rPr>
        <w:t xml:space="preserve"> </w:t>
      </w:r>
      <w:r>
        <w:t>that</w:t>
      </w:r>
      <w:r>
        <w:rPr>
          <w:spacing w:val="-6"/>
        </w:rPr>
        <w:t xml:space="preserve"> </w:t>
      </w:r>
      <w:r>
        <w:t>provides</w:t>
      </w:r>
      <w:r>
        <w:rPr>
          <w:spacing w:val="-6"/>
        </w:rPr>
        <w:t xml:space="preserve"> </w:t>
      </w:r>
      <w:r>
        <w:t>a</w:t>
      </w:r>
      <w:r>
        <w:rPr>
          <w:spacing w:val="-8"/>
        </w:rPr>
        <w:t xml:space="preserve"> </w:t>
      </w:r>
      <w:r>
        <w:t>central</w:t>
      </w:r>
      <w:r>
        <w:rPr>
          <w:spacing w:val="-8"/>
        </w:rPr>
        <w:t xml:space="preserve"> </w:t>
      </w:r>
      <w:r>
        <w:t>point</w:t>
      </w:r>
      <w:r>
        <w:rPr>
          <w:spacing w:val="-7"/>
        </w:rPr>
        <w:t xml:space="preserve"> </w:t>
      </w:r>
      <w:r>
        <w:t>of</w:t>
      </w:r>
      <w:r>
        <w:rPr>
          <w:spacing w:val="-8"/>
        </w:rPr>
        <w:t xml:space="preserve"> </w:t>
      </w:r>
      <w:r>
        <w:t>personalised</w:t>
      </w:r>
      <w:r>
        <w:rPr>
          <w:spacing w:val="-6"/>
        </w:rPr>
        <w:t xml:space="preserve"> </w:t>
      </w:r>
      <w:r>
        <w:rPr>
          <w:spacing w:val="-2"/>
        </w:rPr>
        <w:t>information</w:t>
      </w:r>
    </w:p>
    <w:p w14:paraId="2028B2C0" w14:textId="77777777" w:rsidR="00141B97" w:rsidRDefault="00141B97">
      <w:pPr>
        <w:pStyle w:val="BodyText"/>
        <w:spacing w:before="12"/>
        <w:rPr>
          <w:sz w:val="21"/>
        </w:rPr>
      </w:pPr>
    </w:p>
    <w:p w14:paraId="545E31E9" w14:textId="77777777" w:rsidR="00141B97" w:rsidRDefault="00911D63">
      <w:pPr>
        <w:pStyle w:val="BodyText"/>
        <w:ind w:left="154" w:right="247" w:hanging="1"/>
        <w:jc w:val="both"/>
      </w:pPr>
      <w:r>
        <w:t>The</w:t>
      </w:r>
      <w:r>
        <w:rPr>
          <w:spacing w:val="-6"/>
        </w:rPr>
        <w:t xml:space="preserve"> </w:t>
      </w:r>
      <w:r>
        <w:t>overarching</w:t>
      </w:r>
      <w:r>
        <w:rPr>
          <w:spacing w:val="-6"/>
        </w:rPr>
        <w:t xml:space="preserve"> </w:t>
      </w:r>
      <w:r>
        <w:t>customer</w:t>
      </w:r>
      <w:r>
        <w:rPr>
          <w:spacing w:val="-2"/>
        </w:rPr>
        <w:t xml:space="preserve"> </w:t>
      </w:r>
      <w:r>
        <w:t>sentiment</w:t>
      </w:r>
      <w:r>
        <w:rPr>
          <w:spacing w:val="-5"/>
        </w:rPr>
        <w:t xml:space="preserve"> </w:t>
      </w:r>
      <w:r>
        <w:t>across</w:t>
      </w:r>
      <w:r>
        <w:rPr>
          <w:spacing w:val="-6"/>
        </w:rPr>
        <w:t xml:space="preserve"> </w:t>
      </w:r>
      <w:r>
        <w:t>LMW’s</w:t>
      </w:r>
      <w:r>
        <w:rPr>
          <w:spacing w:val="-5"/>
        </w:rPr>
        <w:t xml:space="preserve"> </w:t>
      </w:r>
      <w:r>
        <w:t>rural</w:t>
      </w:r>
      <w:r>
        <w:rPr>
          <w:spacing w:val="-6"/>
        </w:rPr>
        <w:t xml:space="preserve"> </w:t>
      </w:r>
      <w:r>
        <w:t>customer</w:t>
      </w:r>
      <w:r>
        <w:rPr>
          <w:spacing w:val="-3"/>
        </w:rPr>
        <w:t xml:space="preserve"> </w:t>
      </w:r>
      <w:r>
        <w:t>base</w:t>
      </w:r>
      <w:r>
        <w:rPr>
          <w:spacing w:val="-6"/>
        </w:rPr>
        <w:t xml:space="preserve"> </w:t>
      </w:r>
      <w:r>
        <w:t>continues</w:t>
      </w:r>
      <w:r>
        <w:rPr>
          <w:spacing w:val="-4"/>
        </w:rPr>
        <w:t xml:space="preserve"> </w:t>
      </w:r>
      <w:r>
        <w:t>to</w:t>
      </w:r>
      <w:r>
        <w:rPr>
          <w:spacing w:val="-6"/>
        </w:rPr>
        <w:t xml:space="preserve"> </w:t>
      </w:r>
      <w:r>
        <w:t>be</w:t>
      </w:r>
      <w:r>
        <w:rPr>
          <w:spacing w:val="-6"/>
        </w:rPr>
        <w:t xml:space="preserve"> </w:t>
      </w:r>
      <w:r>
        <w:t>focused</w:t>
      </w:r>
      <w:r>
        <w:rPr>
          <w:spacing w:val="-6"/>
        </w:rPr>
        <w:t xml:space="preserve"> </w:t>
      </w:r>
      <w:r>
        <w:t>on</w:t>
      </w:r>
      <w:r>
        <w:rPr>
          <w:spacing w:val="-5"/>
        </w:rPr>
        <w:t xml:space="preserve"> </w:t>
      </w:r>
      <w:r>
        <w:t>minimising cost</w:t>
      </w:r>
      <w:r>
        <w:rPr>
          <w:spacing w:val="-1"/>
        </w:rPr>
        <w:t xml:space="preserve"> </w:t>
      </w:r>
      <w:r>
        <w:t>impacts, and</w:t>
      </w:r>
      <w:r>
        <w:rPr>
          <w:spacing w:val="-1"/>
        </w:rPr>
        <w:t xml:space="preserve"> </w:t>
      </w:r>
      <w:r>
        <w:t>that</w:t>
      </w:r>
      <w:r>
        <w:rPr>
          <w:spacing w:val="-1"/>
        </w:rPr>
        <w:t xml:space="preserve"> </w:t>
      </w:r>
      <w:r>
        <w:t>cost</w:t>
      </w:r>
      <w:r>
        <w:rPr>
          <w:spacing w:val="-1"/>
        </w:rPr>
        <w:t xml:space="preserve"> </w:t>
      </w:r>
      <w:r>
        <w:t>efficiency and</w:t>
      </w:r>
      <w:r>
        <w:rPr>
          <w:spacing w:val="-1"/>
        </w:rPr>
        <w:t xml:space="preserve"> </w:t>
      </w:r>
      <w:r>
        <w:t>reduction</w:t>
      </w:r>
      <w:r>
        <w:rPr>
          <w:spacing w:val="-1"/>
        </w:rPr>
        <w:t xml:space="preserve"> </w:t>
      </w:r>
      <w:r>
        <w:t>should</w:t>
      </w:r>
      <w:r>
        <w:rPr>
          <w:spacing w:val="-3"/>
        </w:rPr>
        <w:t xml:space="preserve"> </w:t>
      </w:r>
      <w:r>
        <w:t>be</w:t>
      </w:r>
      <w:r>
        <w:rPr>
          <w:spacing w:val="-1"/>
        </w:rPr>
        <w:t xml:space="preserve"> </w:t>
      </w:r>
      <w:r>
        <w:t>a</w:t>
      </w:r>
      <w:r>
        <w:rPr>
          <w:spacing w:val="-1"/>
        </w:rPr>
        <w:t xml:space="preserve"> </w:t>
      </w:r>
      <w:r>
        <w:t>priority.</w:t>
      </w:r>
      <w:r>
        <w:rPr>
          <w:spacing w:val="-2"/>
        </w:rPr>
        <w:t xml:space="preserve"> </w:t>
      </w:r>
      <w:r>
        <w:t>Any</w:t>
      </w:r>
      <w:r>
        <w:rPr>
          <w:spacing w:val="-1"/>
        </w:rPr>
        <w:t xml:space="preserve"> </w:t>
      </w:r>
      <w:r>
        <w:t>non‐essential</w:t>
      </w:r>
      <w:r>
        <w:rPr>
          <w:spacing w:val="-1"/>
        </w:rPr>
        <w:t xml:space="preserve"> </w:t>
      </w:r>
      <w:r>
        <w:t>investments</w:t>
      </w:r>
      <w:r>
        <w:rPr>
          <w:spacing w:val="-1"/>
        </w:rPr>
        <w:t xml:space="preserve"> </w:t>
      </w:r>
      <w:r>
        <w:t>should be</w:t>
      </w:r>
      <w:r>
        <w:rPr>
          <w:spacing w:val="-1"/>
        </w:rPr>
        <w:t xml:space="preserve"> </w:t>
      </w:r>
      <w:r>
        <w:t>sacrificed in</w:t>
      </w:r>
      <w:r>
        <w:rPr>
          <w:spacing w:val="-1"/>
        </w:rPr>
        <w:t xml:space="preserve"> </w:t>
      </w:r>
      <w:r>
        <w:t>preference to lowering</w:t>
      </w:r>
      <w:r>
        <w:rPr>
          <w:spacing w:val="-1"/>
        </w:rPr>
        <w:t xml:space="preserve"> </w:t>
      </w:r>
      <w:r>
        <w:t>rural</w:t>
      </w:r>
      <w:r>
        <w:rPr>
          <w:spacing w:val="-1"/>
        </w:rPr>
        <w:t xml:space="preserve"> </w:t>
      </w:r>
      <w:r>
        <w:t>customer</w:t>
      </w:r>
      <w:r>
        <w:rPr>
          <w:spacing w:val="-1"/>
        </w:rPr>
        <w:t xml:space="preserve"> </w:t>
      </w:r>
      <w:r>
        <w:t>bills.</w:t>
      </w:r>
      <w:r>
        <w:rPr>
          <w:spacing w:val="-1"/>
        </w:rPr>
        <w:t xml:space="preserve"> </w:t>
      </w:r>
      <w:r>
        <w:t>There was,</w:t>
      </w:r>
      <w:r>
        <w:rPr>
          <w:spacing w:val="-1"/>
        </w:rPr>
        <w:t xml:space="preserve"> </w:t>
      </w:r>
      <w:r>
        <w:t>however,</w:t>
      </w:r>
      <w:r>
        <w:rPr>
          <w:spacing w:val="-1"/>
        </w:rPr>
        <w:t xml:space="preserve"> </w:t>
      </w:r>
      <w:r>
        <w:t>an</w:t>
      </w:r>
      <w:r>
        <w:rPr>
          <w:spacing w:val="-1"/>
        </w:rPr>
        <w:t xml:space="preserve"> </w:t>
      </w:r>
      <w:r>
        <w:t>understanding</w:t>
      </w:r>
      <w:r>
        <w:rPr>
          <w:spacing w:val="-1"/>
        </w:rPr>
        <w:t xml:space="preserve"> </w:t>
      </w:r>
      <w:r>
        <w:t>that under‐ investment</w:t>
      </w:r>
      <w:r>
        <w:rPr>
          <w:spacing w:val="-13"/>
        </w:rPr>
        <w:t xml:space="preserve"> </w:t>
      </w:r>
      <w:r>
        <w:t>has</w:t>
      </w:r>
      <w:r>
        <w:rPr>
          <w:spacing w:val="-12"/>
        </w:rPr>
        <w:t xml:space="preserve"> </w:t>
      </w:r>
      <w:r>
        <w:t>the</w:t>
      </w:r>
      <w:r>
        <w:rPr>
          <w:spacing w:val="-13"/>
        </w:rPr>
        <w:t xml:space="preserve"> </w:t>
      </w:r>
      <w:r>
        <w:t>potential</w:t>
      </w:r>
      <w:r>
        <w:rPr>
          <w:spacing w:val="-12"/>
        </w:rPr>
        <w:t xml:space="preserve"> </w:t>
      </w:r>
      <w:r>
        <w:t>to</w:t>
      </w:r>
      <w:r>
        <w:rPr>
          <w:spacing w:val="-13"/>
        </w:rPr>
        <w:t xml:space="preserve"> </w:t>
      </w:r>
      <w:r>
        <w:t>cause</w:t>
      </w:r>
      <w:r>
        <w:rPr>
          <w:spacing w:val="-12"/>
        </w:rPr>
        <w:t xml:space="preserve"> </w:t>
      </w:r>
      <w:r>
        <w:t>greater</w:t>
      </w:r>
      <w:r>
        <w:rPr>
          <w:spacing w:val="-13"/>
        </w:rPr>
        <w:t xml:space="preserve"> </w:t>
      </w:r>
      <w:r>
        <w:t>costs</w:t>
      </w:r>
      <w:r>
        <w:rPr>
          <w:spacing w:val="-12"/>
        </w:rPr>
        <w:t xml:space="preserve"> </w:t>
      </w:r>
      <w:r>
        <w:t>into</w:t>
      </w:r>
      <w:r>
        <w:rPr>
          <w:spacing w:val="-12"/>
        </w:rPr>
        <w:t xml:space="preserve"> </w:t>
      </w:r>
      <w:r>
        <w:t>the</w:t>
      </w:r>
      <w:r>
        <w:rPr>
          <w:spacing w:val="-13"/>
        </w:rPr>
        <w:t xml:space="preserve"> </w:t>
      </w:r>
      <w:r>
        <w:t>future</w:t>
      </w:r>
      <w:r>
        <w:rPr>
          <w:spacing w:val="-12"/>
        </w:rPr>
        <w:t xml:space="preserve"> </w:t>
      </w:r>
      <w:r>
        <w:t>and</w:t>
      </w:r>
      <w:r>
        <w:rPr>
          <w:spacing w:val="-13"/>
        </w:rPr>
        <w:t xml:space="preserve"> </w:t>
      </w:r>
      <w:r>
        <w:t>from</w:t>
      </w:r>
      <w:r>
        <w:rPr>
          <w:spacing w:val="-12"/>
        </w:rPr>
        <w:t xml:space="preserve"> </w:t>
      </w:r>
      <w:r>
        <w:t>this</w:t>
      </w:r>
      <w:r>
        <w:rPr>
          <w:spacing w:val="-13"/>
        </w:rPr>
        <w:t xml:space="preserve"> </w:t>
      </w:r>
      <w:r>
        <w:t>perspective,</w:t>
      </w:r>
      <w:r>
        <w:rPr>
          <w:spacing w:val="-12"/>
        </w:rPr>
        <w:t xml:space="preserve"> </w:t>
      </w:r>
      <w:r>
        <w:t>further</w:t>
      </w:r>
      <w:r>
        <w:rPr>
          <w:spacing w:val="-12"/>
        </w:rPr>
        <w:t xml:space="preserve"> </w:t>
      </w:r>
      <w:r>
        <w:t>discussions lead to a final position of rural customers supporting targeted and informed investment decisions which sustained assets ahead of time.</w:t>
      </w:r>
    </w:p>
    <w:p w14:paraId="3CADA065" w14:textId="77777777" w:rsidR="00141B97" w:rsidRDefault="00141B97">
      <w:pPr>
        <w:pStyle w:val="BodyText"/>
      </w:pPr>
    </w:p>
    <w:p w14:paraId="6BEF19FB" w14:textId="77777777" w:rsidR="00141B97" w:rsidRDefault="00911D63">
      <w:pPr>
        <w:pStyle w:val="BodyText"/>
        <w:ind w:left="154"/>
        <w:jc w:val="both"/>
      </w:pPr>
      <w:r>
        <w:t>During</w:t>
      </w:r>
      <w:r>
        <w:rPr>
          <w:spacing w:val="-7"/>
        </w:rPr>
        <w:t xml:space="preserve"> </w:t>
      </w:r>
      <w:r>
        <w:t>the</w:t>
      </w:r>
      <w:r>
        <w:rPr>
          <w:spacing w:val="-9"/>
        </w:rPr>
        <w:t xml:space="preserve"> </w:t>
      </w:r>
      <w:r>
        <w:t>final</w:t>
      </w:r>
      <w:r>
        <w:rPr>
          <w:spacing w:val="-9"/>
        </w:rPr>
        <w:t xml:space="preserve"> </w:t>
      </w:r>
      <w:r>
        <w:t>round</w:t>
      </w:r>
      <w:r>
        <w:rPr>
          <w:spacing w:val="-6"/>
        </w:rPr>
        <w:t xml:space="preserve"> </w:t>
      </w:r>
      <w:r>
        <w:t>of</w:t>
      </w:r>
      <w:r>
        <w:rPr>
          <w:spacing w:val="-6"/>
        </w:rPr>
        <w:t xml:space="preserve"> </w:t>
      </w:r>
      <w:r>
        <w:t>engagement</w:t>
      </w:r>
      <w:r>
        <w:rPr>
          <w:spacing w:val="-7"/>
        </w:rPr>
        <w:t xml:space="preserve"> </w:t>
      </w:r>
      <w:r>
        <w:t>with</w:t>
      </w:r>
      <w:r>
        <w:rPr>
          <w:spacing w:val="-7"/>
        </w:rPr>
        <w:t xml:space="preserve"> </w:t>
      </w:r>
      <w:r>
        <w:t>rural</w:t>
      </w:r>
      <w:r>
        <w:rPr>
          <w:spacing w:val="-9"/>
        </w:rPr>
        <w:t xml:space="preserve"> </w:t>
      </w:r>
      <w:r>
        <w:t>customers,</w:t>
      </w:r>
      <w:r>
        <w:rPr>
          <w:spacing w:val="-6"/>
        </w:rPr>
        <w:t xml:space="preserve"> </w:t>
      </w:r>
      <w:r>
        <w:t>key</w:t>
      </w:r>
      <w:r>
        <w:rPr>
          <w:spacing w:val="-8"/>
        </w:rPr>
        <w:t xml:space="preserve"> </w:t>
      </w:r>
      <w:r>
        <w:t>sentiments</w:t>
      </w:r>
      <w:r>
        <w:rPr>
          <w:spacing w:val="-7"/>
        </w:rPr>
        <w:t xml:space="preserve"> </w:t>
      </w:r>
      <w:r>
        <w:t>were</w:t>
      </w:r>
      <w:r>
        <w:rPr>
          <w:spacing w:val="-9"/>
        </w:rPr>
        <w:t xml:space="preserve"> </w:t>
      </w:r>
      <w:r>
        <w:t>summarised</w:t>
      </w:r>
      <w:r>
        <w:rPr>
          <w:spacing w:val="-9"/>
        </w:rPr>
        <w:t xml:space="preserve"> </w:t>
      </w:r>
      <w:r>
        <w:t>as</w:t>
      </w:r>
      <w:r>
        <w:rPr>
          <w:spacing w:val="-7"/>
        </w:rPr>
        <w:t xml:space="preserve"> </w:t>
      </w:r>
      <w:r>
        <w:rPr>
          <w:spacing w:val="-2"/>
        </w:rPr>
        <w:t>follows:</w:t>
      </w:r>
    </w:p>
    <w:p w14:paraId="4EC4A379" w14:textId="77777777" w:rsidR="00141B97" w:rsidRDefault="00141B97">
      <w:pPr>
        <w:pStyle w:val="BodyText"/>
        <w:spacing w:before="10"/>
        <w:rPr>
          <w:sz w:val="13"/>
        </w:rPr>
      </w:pPr>
    </w:p>
    <w:p w14:paraId="68C04B5F" w14:textId="77777777" w:rsidR="00141B97" w:rsidRDefault="00141B97">
      <w:pPr>
        <w:rPr>
          <w:sz w:val="13"/>
        </w:rPr>
        <w:sectPr w:rsidR="00141B97">
          <w:type w:val="continuous"/>
          <w:pgSz w:w="11910" w:h="16840"/>
          <w:pgMar w:top="1940" w:right="740" w:bottom="280" w:left="980" w:header="0" w:footer="896" w:gutter="0"/>
          <w:cols w:space="720"/>
        </w:sectPr>
      </w:pPr>
    </w:p>
    <w:p w14:paraId="3418635D" w14:textId="77777777" w:rsidR="00141B97" w:rsidRDefault="00911D63">
      <w:pPr>
        <w:spacing w:before="99"/>
        <w:ind w:left="261" w:right="35"/>
        <w:rPr>
          <w:i/>
        </w:rPr>
      </w:pPr>
      <w:r>
        <w:rPr>
          <w:i/>
        </w:rPr>
        <w:t>Customer outcomes including</w:t>
      </w:r>
      <w:r>
        <w:rPr>
          <w:i/>
          <w:spacing w:val="-13"/>
        </w:rPr>
        <w:t xml:space="preserve"> </w:t>
      </w:r>
      <w:r>
        <w:rPr>
          <w:i/>
        </w:rPr>
        <w:t>performance measures and targets</w:t>
      </w:r>
    </w:p>
    <w:p w14:paraId="26A8B72F" w14:textId="77777777" w:rsidR="00141B97" w:rsidRDefault="00911D63">
      <w:pPr>
        <w:pStyle w:val="ListParagraph"/>
        <w:numPr>
          <w:ilvl w:val="0"/>
          <w:numId w:val="104"/>
        </w:numPr>
        <w:tabs>
          <w:tab w:val="left" w:pos="623"/>
        </w:tabs>
        <w:spacing w:before="100"/>
        <w:ind w:right="1063"/>
        <w:jc w:val="both"/>
      </w:pPr>
      <w:r>
        <w:br w:type="column"/>
      </w:r>
      <w:r>
        <w:t>General agreement was obtained from the rural customers regarding the revised customer outcomes, performance measures and targets.</w:t>
      </w:r>
    </w:p>
    <w:p w14:paraId="31885C18" w14:textId="77777777" w:rsidR="00141B97" w:rsidRDefault="00911D63">
      <w:pPr>
        <w:pStyle w:val="ListParagraph"/>
        <w:numPr>
          <w:ilvl w:val="0"/>
          <w:numId w:val="104"/>
        </w:numPr>
        <w:tabs>
          <w:tab w:val="left" w:pos="622"/>
        </w:tabs>
        <w:ind w:left="622" w:right="1062" w:hanging="361"/>
        <w:jc w:val="both"/>
      </w:pPr>
      <w:r>
        <w:t>Customers were pleased to see LMW’s increased emphasis and performance measures regarding the resolution of customer enquiries and requests and recognised that the revised performance measures across the customer outcomes were improved from those in PS4.</w:t>
      </w:r>
    </w:p>
    <w:p w14:paraId="5741CC46" w14:textId="77777777" w:rsidR="00141B97" w:rsidRDefault="00911D63">
      <w:pPr>
        <w:pStyle w:val="ListParagraph"/>
        <w:numPr>
          <w:ilvl w:val="0"/>
          <w:numId w:val="104"/>
        </w:numPr>
        <w:tabs>
          <w:tab w:val="left" w:pos="623"/>
        </w:tabs>
        <w:ind w:left="622" w:right="1063"/>
        <w:jc w:val="both"/>
      </w:pPr>
      <w:r>
        <w:t>One district did comment on the subjective nature of ‘value for money’</w:t>
      </w:r>
      <w:r>
        <w:rPr>
          <w:spacing w:val="-5"/>
        </w:rPr>
        <w:t xml:space="preserve"> </w:t>
      </w:r>
      <w:r>
        <w:t>and</w:t>
      </w:r>
      <w:r>
        <w:rPr>
          <w:spacing w:val="-5"/>
        </w:rPr>
        <w:t xml:space="preserve"> </w:t>
      </w:r>
      <w:r>
        <w:t>believe</w:t>
      </w:r>
      <w:r>
        <w:rPr>
          <w:spacing w:val="-6"/>
        </w:rPr>
        <w:t xml:space="preserve"> </w:t>
      </w:r>
      <w:r>
        <w:t>that</w:t>
      </w:r>
      <w:r>
        <w:rPr>
          <w:spacing w:val="-7"/>
        </w:rPr>
        <w:t xml:space="preserve"> </w:t>
      </w:r>
      <w:r>
        <w:t>this</w:t>
      </w:r>
      <w:r>
        <w:rPr>
          <w:spacing w:val="-6"/>
        </w:rPr>
        <w:t xml:space="preserve"> </w:t>
      </w:r>
      <w:r>
        <w:t>needs</w:t>
      </w:r>
      <w:r>
        <w:rPr>
          <w:spacing w:val="-7"/>
        </w:rPr>
        <w:t xml:space="preserve"> </w:t>
      </w:r>
      <w:r>
        <w:t>to</w:t>
      </w:r>
      <w:r>
        <w:rPr>
          <w:spacing w:val="-7"/>
        </w:rPr>
        <w:t xml:space="preserve"> </w:t>
      </w:r>
      <w:r>
        <w:t>be</w:t>
      </w:r>
      <w:r>
        <w:rPr>
          <w:spacing w:val="-6"/>
        </w:rPr>
        <w:t xml:space="preserve"> </w:t>
      </w:r>
      <w:r>
        <w:t>measured</w:t>
      </w:r>
      <w:r>
        <w:rPr>
          <w:spacing w:val="-6"/>
        </w:rPr>
        <w:t xml:space="preserve"> </w:t>
      </w:r>
      <w:r>
        <w:t>with</w:t>
      </w:r>
      <w:r>
        <w:rPr>
          <w:spacing w:val="-7"/>
        </w:rPr>
        <w:t xml:space="preserve"> </w:t>
      </w:r>
      <w:r>
        <w:t>more</w:t>
      </w:r>
      <w:r>
        <w:rPr>
          <w:spacing w:val="-6"/>
        </w:rPr>
        <w:t xml:space="preserve"> </w:t>
      </w:r>
      <w:r>
        <w:t>of a</w:t>
      </w:r>
      <w:r>
        <w:rPr>
          <w:spacing w:val="-7"/>
        </w:rPr>
        <w:t xml:space="preserve"> </w:t>
      </w:r>
      <w:r>
        <w:t>long‐term</w:t>
      </w:r>
      <w:r>
        <w:rPr>
          <w:spacing w:val="-7"/>
        </w:rPr>
        <w:t xml:space="preserve"> </w:t>
      </w:r>
      <w:r>
        <w:t>view</w:t>
      </w:r>
      <w:r>
        <w:rPr>
          <w:spacing w:val="-6"/>
        </w:rPr>
        <w:t xml:space="preserve"> </w:t>
      </w:r>
      <w:r>
        <w:t>which</w:t>
      </w:r>
      <w:r>
        <w:rPr>
          <w:spacing w:val="-6"/>
        </w:rPr>
        <w:t xml:space="preserve"> </w:t>
      </w:r>
      <w:r>
        <w:t>is</w:t>
      </w:r>
      <w:r>
        <w:rPr>
          <w:spacing w:val="-6"/>
        </w:rPr>
        <w:t xml:space="preserve"> </w:t>
      </w:r>
      <w:r>
        <w:t>difficult</w:t>
      </w:r>
      <w:r>
        <w:rPr>
          <w:spacing w:val="-7"/>
        </w:rPr>
        <w:t xml:space="preserve"> </w:t>
      </w:r>
      <w:r>
        <w:t>to</w:t>
      </w:r>
      <w:r>
        <w:rPr>
          <w:spacing w:val="-8"/>
        </w:rPr>
        <w:t xml:space="preserve"> </w:t>
      </w:r>
      <w:r>
        <w:t>capture</w:t>
      </w:r>
      <w:r>
        <w:rPr>
          <w:spacing w:val="-7"/>
        </w:rPr>
        <w:t xml:space="preserve"> </w:t>
      </w:r>
      <w:r>
        <w:t>in</w:t>
      </w:r>
      <w:r>
        <w:rPr>
          <w:spacing w:val="-7"/>
        </w:rPr>
        <w:t xml:space="preserve"> </w:t>
      </w:r>
      <w:r>
        <w:t>an</w:t>
      </w:r>
      <w:r>
        <w:rPr>
          <w:spacing w:val="-7"/>
        </w:rPr>
        <w:t xml:space="preserve"> </w:t>
      </w:r>
      <w:r>
        <w:t>annual</w:t>
      </w:r>
      <w:r>
        <w:rPr>
          <w:spacing w:val="-7"/>
        </w:rPr>
        <w:t xml:space="preserve"> </w:t>
      </w:r>
      <w:r>
        <w:t>service where feedback provided is a point in time.</w:t>
      </w:r>
    </w:p>
    <w:p w14:paraId="1246852E" w14:textId="77777777" w:rsidR="00141B97" w:rsidRDefault="00141B97">
      <w:pPr>
        <w:jc w:val="both"/>
        <w:sectPr w:rsidR="00141B97">
          <w:type w:val="continuous"/>
          <w:pgSz w:w="11910" w:h="16840"/>
          <w:pgMar w:top="1940" w:right="740" w:bottom="280" w:left="980" w:header="0" w:footer="896" w:gutter="0"/>
          <w:cols w:num="2" w:space="720" w:equalWidth="0">
            <w:col w:w="2280" w:space="518"/>
            <w:col w:w="7392"/>
          </w:cols>
        </w:sectPr>
      </w:pPr>
    </w:p>
    <w:p w14:paraId="366FF0D5" w14:textId="77777777" w:rsidR="00141B97" w:rsidRDefault="00141B97">
      <w:pPr>
        <w:pStyle w:val="BodyText"/>
        <w:spacing w:before="10"/>
        <w:rPr>
          <w:sz w:val="13"/>
        </w:rPr>
      </w:pPr>
    </w:p>
    <w:p w14:paraId="7F76DAEA" w14:textId="77777777" w:rsidR="00141B97" w:rsidRDefault="00911D63">
      <w:pPr>
        <w:tabs>
          <w:tab w:val="left" w:pos="3060"/>
          <w:tab w:val="left" w:pos="3420"/>
        </w:tabs>
        <w:spacing w:before="100"/>
        <w:ind w:left="262"/>
      </w:pPr>
      <w:r>
        <w:rPr>
          <w:i/>
          <w:position w:val="1"/>
        </w:rPr>
        <w:t>Indicative</w:t>
      </w:r>
      <w:r>
        <w:rPr>
          <w:i/>
          <w:spacing w:val="-8"/>
          <w:position w:val="1"/>
        </w:rPr>
        <w:t xml:space="preserve"> </w:t>
      </w:r>
      <w:r>
        <w:rPr>
          <w:i/>
          <w:position w:val="1"/>
        </w:rPr>
        <w:t>price</w:t>
      </w:r>
      <w:r>
        <w:rPr>
          <w:i/>
          <w:spacing w:val="-7"/>
          <w:position w:val="1"/>
        </w:rPr>
        <w:t xml:space="preserve"> </w:t>
      </w:r>
      <w:r>
        <w:rPr>
          <w:i/>
          <w:spacing w:val="-4"/>
          <w:position w:val="1"/>
        </w:rPr>
        <w:t>path</w:t>
      </w:r>
      <w:r>
        <w:rPr>
          <w:i/>
          <w:position w:val="1"/>
        </w:rPr>
        <w:tab/>
      </w:r>
      <w:r>
        <w:rPr>
          <w:rFonts w:ascii="Symbol" w:hAnsi="Symbol"/>
          <w:spacing w:val="-10"/>
        </w:rPr>
        <w:t></w:t>
      </w:r>
      <w:r>
        <w:rPr>
          <w:rFonts w:ascii="Times New Roman" w:hAnsi="Times New Roman"/>
        </w:rPr>
        <w:tab/>
      </w:r>
      <w:r>
        <w:t>Rural</w:t>
      </w:r>
      <w:r>
        <w:rPr>
          <w:spacing w:val="19"/>
        </w:rPr>
        <w:t xml:space="preserve"> </w:t>
      </w:r>
      <w:r>
        <w:t>customers</w:t>
      </w:r>
      <w:r>
        <w:rPr>
          <w:spacing w:val="20"/>
        </w:rPr>
        <w:t xml:space="preserve"> </w:t>
      </w:r>
      <w:r>
        <w:t>across</w:t>
      </w:r>
      <w:r>
        <w:rPr>
          <w:spacing w:val="20"/>
        </w:rPr>
        <w:t xml:space="preserve"> </w:t>
      </w:r>
      <w:r>
        <w:t>the</w:t>
      </w:r>
      <w:r>
        <w:rPr>
          <w:spacing w:val="18"/>
        </w:rPr>
        <w:t xml:space="preserve"> </w:t>
      </w:r>
      <w:r>
        <w:t>six</w:t>
      </w:r>
      <w:r>
        <w:rPr>
          <w:spacing w:val="21"/>
        </w:rPr>
        <w:t xml:space="preserve"> </w:t>
      </w:r>
      <w:r>
        <w:t>districts</w:t>
      </w:r>
      <w:r>
        <w:rPr>
          <w:spacing w:val="21"/>
        </w:rPr>
        <w:t xml:space="preserve"> </w:t>
      </w:r>
      <w:r>
        <w:t>generally</w:t>
      </w:r>
      <w:r>
        <w:rPr>
          <w:spacing w:val="20"/>
        </w:rPr>
        <w:t xml:space="preserve"> </w:t>
      </w:r>
      <w:r>
        <w:t>accepted</w:t>
      </w:r>
      <w:r>
        <w:rPr>
          <w:spacing w:val="20"/>
        </w:rPr>
        <w:t xml:space="preserve"> </w:t>
      </w:r>
      <w:r>
        <w:rPr>
          <w:spacing w:val="-5"/>
        </w:rPr>
        <w:t>the</w:t>
      </w:r>
    </w:p>
    <w:p w14:paraId="0DB9446A" w14:textId="77777777" w:rsidR="00141B97" w:rsidRDefault="00911D63">
      <w:pPr>
        <w:pStyle w:val="BodyText"/>
        <w:ind w:left="3420" w:right="1063"/>
        <w:jc w:val="both"/>
      </w:pPr>
      <w:r>
        <w:t>price paths presented while reiterated the need for LMW to continue to review costs, productivity, and efficiencies to minimise cost increases to customers.</w:t>
      </w:r>
    </w:p>
    <w:p w14:paraId="17823E4C" w14:textId="77777777" w:rsidR="00141B97" w:rsidRDefault="00911D63">
      <w:pPr>
        <w:pStyle w:val="ListParagraph"/>
        <w:numPr>
          <w:ilvl w:val="1"/>
          <w:numId w:val="104"/>
        </w:numPr>
        <w:tabs>
          <w:tab w:val="left" w:pos="3421"/>
        </w:tabs>
        <w:ind w:right="1064"/>
        <w:jc w:val="both"/>
      </w:pPr>
      <w:r>
        <w:t>In districts where a decreased price path was presented, customers indicated this as a positive outcome however raised</w:t>
      </w:r>
    </w:p>
    <w:p w14:paraId="7A9CAE64" w14:textId="77777777" w:rsidR="00141B97" w:rsidRDefault="00141B97">
      <w:pPr>
        <w:jc w:val="both"/>
        <w:sectPr w:rsidR="00141B97">
          <w:type w:val="continuous"/>
          <w:pgSz w:w="11910" w:h="16840"/>
          <w:pgMar w:top="1940" w:right="740" w:bottom="280" w:left="980" w:header="0" w:footer="896" w:gutter="0"/>
          <w:cols w:space="720"/>
        </w:sectPr>
      </w:pPr>
    </w:p>
    <w:p w14:paraId="67DB28CA" w14:textId="77777777" w:rsidR="00141B97" w:rsidRDefault="00141B97">
      <w:pPr>
        <w:pStyle w:val="BodyText"/>
      </w:pPr>
    </w:p>
    <w:p w14:paraId="5DB8ADF7" w14:textId="77777777" w:rsidR="00141B97" w:rsidRDefault="00141B97">
      <w:pPr>
        <w:pStyle w:val="BodyText"/>
      </w:pPr>
    </w:p>
    <w:p w14:paraId="10F6BBBE" w14:textId="77777777" w:rsidR="00141B97" w:rsidRDefault="00141B97">
      <w:pPr>
        <w:pStyle w:val="BodyText"/>
      </w:pPr>
    </w:p>
    <w:p w14:paraId="648D27C9" w14:textId="77777777" w:rsidR="00141B97" w:rsidRDefault="00141B97">
      <w:pPr>
        <w:pStyle w:val="BodyText"/>
      </w:pPr>
    </w:p>
    <w:p w14:paraId="163C39F7" w14:textId="77777777" w:rsidR="00141B97" w:rsidRDefault="00141B97">
      <w:pPr>
        <w:pStyle w:val="BodyText"/>
      </w:pPr>
    </w:p>
    <w:p w14:paraId="1F887A72" w14:textId="77777777" w:rsidR="00141B97" w:rsidRDefault="00141B97">
      <w:pPr>
        <w:pStyle w:val="BodyText"/>
      </w:pPr>
    </w:p>
    <w:p w14:paraId="51CE265A" w14:textId="77777777" w:rsidR="00141B97" w:rsidRDefault="00141B97">
      <w:pPr>
        <w:pStyle w:val="BodyText"/>
      </w:pPr>
    </w:p>
    <w:p w14:paraId="6CA23AB6" w14:textId="77777777" w:rsidR="00141B97" w:rsidRDefault="00141B97">
      <w:pPr>
        <w:pStyle w:val="BodyText"/>
      </w:pPr>
    </w:p>
    <w:p w14:paraId="26B3472A" w14:textId="77777777" w:rsidR="00141B97" w:rsidRDefault="00141B97">
      <w:pPr>
        <w:pStyle w:val="BodyText"/>
      </w:pPr>
    </w:p>
    <w:p w14:paraId="46BDD13A" w14:textId="77777777" w:rsidR="00141B97" w:rsidRDefault="00141B97">
      <w:pPr>
        <w:pStyle w:val="BodyText"/>
      </w:pPr>
    </w:p>
    <w:p w14:paraId="7B107608" w14:textId="77777777" w:rsidR="00141B97" w:rsidRDefault="00141B97">
      <w:pPr>
        <w:pStyle w:val="BodyText"/>
      </w:pPr>
    </w:p>
    <w:p w14:paraId="418D1A8D" w14:textId="77777777" w:rsidR="00141B97" w:rsidRDefault="00141B97">
      <w:pPr>
        <w:pStyle w:val="BodyText"/>
      </w:pPr>
    </w:p>
    <w:p w14:paraId="5D40609F" w14:textId="77777777" w:rsidR="00141B97" w:rsidRDefault="00141B97">
      <w:pPr>
        <w:pStyle w:val="BodyText"/>
      </w:pPr>
    </w:p>
    <w:p w14:paraId="09C7A5F5" w14:textId="77777777" w:rsidR="00141B97" w:rsidRDefault="00141B97">
      <w:pPr>
        <w:pStyle w:val="BodyText"/>
        <w:spacing w:before="6"/>
        <w:rPr>
          <w:sz w:val="25"/>
        </w:rPr>
      </w:pPr>
    </w:p>
    <w:p w14:paraId="4B365496" w14:textId="77777777" w:rsidR="00141B97" w:rsidRDefault="00911D63">
      <w:pPr>
        <w:ind w:left="261"/>
        <w:rPr>
          <w:i/>
        </w:rPr>
      </w:pPr>
      <w:r>
        <w:rPr>
          <w:i/>
        </w:rPr>
        <w:t>CAPEX</w:t>
      </w:r>
      <w:r>
        <w:rPr>
          <w:i/>
          <w:spacing w:val="-7"/>
        </w:rPr>
        <w:t xml:space="preserve"> </w:t>
      </w:r>
      <w:r>
        <w:rPr>
          <w:i/>
        </w:rPr>
        <w:t>and</w:t>
      </w:r>
      <w:r>
        <w:rPr>
          <w:i/>
          <w:spacing w:val="-8"/>
        </w:rPr>
        <w:t xml:space="preserve"> </w:t>
      </w:r>
      <w:r>
        <w:rPr>
          <w:i/>
          <w:spacing w:val="-4"/>
        </w:rPr>
        <w:t>OPEX</w:t>
      </w:r>
    </w:p>
    <w:p w14:paraId="7E57DB40" w14:textId="77777777" w:rsidR="00141B97" w:rsidRDefault="00911D63">
      <w:pPr>
        <w:ind w:left="261"/>
        <w:rPr>
          <w:i/>
        </w:rPr>
      </w:pPr>
      <w:r>
        <w:rPr>
          <w:i/>
        </w:rPr>
        <w:t>investment</w:t>
      </w:r>
      <w:r>
        <w:rPr>
          <w:i/>
          <w:spacing w:val="-12"/>
        </w:rPr>
        <w:t xml:space="preserve"> </w:t>
      </w:r>
      <w:r>
        <w:rPr>
          <w:i/>
          <w:spacing w:val="-2"/>
        </w:rPr>
        <w:t>projects</w:t>
      </w:r>
    </w:p>
    <w:p w14:paraId="0B832183" w14:textId="77777777" w:rsidR="00141B97" w:rsidRDefault="00141B97">
      <w:pPr>
        <w:pStyle w:val="BodyText"/>
        <w:rPr>
          <w:i/>
        </w:rPr>
      </w:pPr>
    </w:p>
    <w:p w14:paraId="40A94A6C" w14:textId="77777777" w:rsidR="00141B97" w:rsidRDefault="00141B97">
      <w:pPr>
        <w:pStyle w:val="BodyText"/>
        <w:rPr>
          <w:i/>
        </w:rPr>
      </w:pPr>
    </w:p>
    <w:p w14:paraId="3998F50A" w14:textId="77777777" w:rsidR="00141B97" w:rsidRDefault="00141B97">
      <w:pPr>
        <w:pStyle w:val="BodyText"/>
        <w:rPr>
          <w:i/>
        </w:rPr>
      </w:pPr>
    </w:p>
    <w:p w14:paraId="3BFD5860" w14:textId="77777777" w:rsidR="00141B97" w:rsidRDefault="00141B97">
      <w:pPr>
        <w:pStyle w:val="BodyText"/>
        <w:rPr>
          <w:i/>
        </w:rPr>
      </w:pPr>
    </w:p>
    <w:p w14:paraId="01342941" w14:textId="77777777" w:rsidR="00141B97" w:rsidRDefault="00141B97">
      <w:pPr>
        <w:pStyle w:val="BodyText"/>
        <w:rPr>
          <w:i/>
        </w:rPr>
      </w:pPr>
    </w:p>
    <w:p w14:paraId="491F55F0" w14:textId="77777777" w:rsidR="00141B97" w:rsidRDefault="00141B97">
      <w:pPr>
        <w:pStyle w:val="BodyText"/>
        <w:rPr>
          <w:i/>
        </w:rPr>
      </w:pPr>
    </w:p>
    <w:p w14:paraId="5230C249" w14:textId="77777777" w:rsidR="00141B97" w:rsidRDefault="00141B97">
      <w:pPr>
        <w:pStyle w:val="BodyText"/>
        <w:rPr>
          <w:i/>
        </w:rPr>
      </w:pPr>
    </w:p>
    <w:p w14:paraId="339A579E" w14:textId="77777777" w:rsidR="00141B97" w:rsidRDefault="00141B97">
      <w:pPr>
        <w:pStyle w:val="BodyText"/>
        <w:rPr>
          <w:i/>
        </w:rPr>
      </w:pPr>
    </w:p>
    <w:p w14:paraId="43200DDB" w14:textId="77777777" w:rsidR="00141B97" w:rsidRDefault="00141B97">
      <w:pPr>
        <w:pStyle w:val="BodyText"/>
        <w:rPr>
          <w:i/>
        </w:rPr>
      </w:pPr>
    </w:p>
    <w:p w14:paraId="3FC07302" w14:textId="77777777" w:rsidR="00141B97" w:rsidRDefault="00141B97">
      <w:pPr>
        <w:pStyle w:val="BodyText"/>
        <w:rPr>
          <w:i/>
        </w:rPr>
      </w:pPr>
    </w:p>
    <w:p w14:paraId="5508F582" w14:textId="77777777" w:rsidR="00141B97" w:rsidRDefault="00141B97">
      <w:pPr>
        <w:pStyle w:val="BodyText"/>
        <w:rPr>
          <w:i/>
        </w:rPr>
      </w:pPr>
    </w:p>
    <w:p w14:paraId="53BF57A3" w14:textId="77777777" w:rsidR="00141B97" w:rsidRDefault="00141B97">
      <w:pPr>
        <w:pStyle w:val="BodyText"/>
        <w:rPr>
          <w:i/>
        </w:rPr>
      </w:pPr>
    </w:p>
    <w:p w14:paraId="6E91F921" w14:textId="77777777" w:rsidR="00141B97" w:rsidRDefault="00141B97">
      <w:pPr>
        <w:pStyle w:val="BodyText"/>
        <w:rPr>
          <w:i/>
        </w:rPr>
      </w:pPr>
    </w:p>
    <w:p w14:paraId="710F5CEC" w14:textId="77777777" w:rsidR="00141B97" w:rsidRDefault="00141B97">
      <w:pPr>
        <w:pStyle w:val="BodyText"/>
        <w:rPr>
          <w:i/>
        </w:rPr>
      </w:pPr>
    </w:p>
    <w:p w14:paraId="756CC656" w14:textId="77777777" w:rsidR="00141B97" w:rsidRDefault="00141B97">
      <w:pPr>
        <w:pStyle w:val="BodyText"/>
        <w:rPr>
          <w:i/>
        </w:rPr>
      </w:pPr>
    </w:p>
    <w:p w14:paraId="6901D424" w14:textId="77777777" w:rsidR="00141B97" w:rsidRDefault="00141B97">
      <w:pPr>
        <w:pStyle w:val="BodyText"/>
        <w:rPr>
          <w:i/>
        </w:rPr>
      </w:pPr>
    </w:p>
    <w:p w14:paraId="06344F82" w14:textId="77777777" w:rsidR="00141B97" w:rsidRDefault="00141B97">
      <w:pPr>
        <w:pStyle w:val="BodyText"/>
        <w:rPr>
          <w:i/>
        </w:rPr>
      </w:pPr>
    </w:p>
    <w:p w14:paraId="1FDAED52" w14:textId="77777777" w:rsidR="00141B97" w:rsidRDefault="00141B97">
      <w:pPr>
        <w:pStyle w:val="BodyText"/>
        <w:rPr>
          <w:i/>
        </w:rPr>
      </w:pPr>
    </w:p>
    <w:p w14:paraId="2CCF1405" w14:textId="77777777" w:rsidR="00141B97" w:rsidRDefault="00141B97">
      <w:pPr>
        <w:pStyle w:val="BodyText"/>
        <w:spacing w:before="11"/>
        <w:rPr>
          <w:i/>
          <w:sz w:val="25"/>
        </w:rPr>
      </w:pPr>
    </w:p>
    <w:p w14:paraId="1F3FC442" w14:textId="77777777" w:rsidR="00141B97" w:rsidRDefault="00911D63">
      <w:pPr>
        <w:ind w:left="262" w:right="248"/>
        <w:rPr>
          <w:i/>
        </w:rPr>
      </w:pPr>
      <w:r>
        <w:rPr>
          <w:i/>
        </w:rPr>
        <w:t>Customer</w:t>
      </w:r>
      <w:r>
        <w:rPr>
          <w:i/>
          <w:spacing w:val="-13"/>
        </w:rPr>
        <w:t xml:space="preserve"> </w:t>
      </w:r>
      <w:r>
        <w:rPr>
          <w:i/>
        </w:rPr>
        <w:t xml:space="preserve">Service </w:t>
      </w:r>
      <w:r>
        <w:rPr>
          <w:i/>
          <w:spacing w:val="-2"/>
        </w:rPr>
        <w:t>Standards:</w:t>
      </w:r>
    </w:p>
    <w:p w14:paraId="6C58D38B" w14:textId="77777777" w:rsidR="00141B97" w:rsidRDefault="00911D63">
      <w:pPr>
        <w:pStyle w:val="BodyText"/>
        <w:spacing w:before="31"/>
        <w:ind w:left="621" w:right="1064"/>
        <w:jc w:val="both"/>
      </w:pPr>
      <w:r>
        <w:br w:type="column"/>
      </w:r>
      <w:r>
        <w:t>some concern about the sustainability of this and customer reliance on lower costs into the future. Further customers provided feedback about the seesaw pricing impact with increases seen in 2022/23 and now proposing decreases in PS5. Customers</w:t>
      </w:r>
      <w:r>
        <w:rPr>
          <w:spacing w:val="-8"/>
        </w:rPr>
        <w:t xml:space="preserve"> </w:t>
      </w:r>
      <w:r>
        <w:t>asked</w:t>
      </w:r>
      <w:r>
        <w:rPr>
          <w:spacing w:val="-9"/>
        </w:rPr>
        <w:t xml:space="preserve"> </w:t>
      </w:r>
      <w:r>
        <w:t>LMW</w:t>
      </w:r>
      <w:r>
        <w:rPr>
          <w:spacing w:val="-9"/>
        </w:rPr>
        <w:t xml:space="preserve"> </w:t>
      </w:r>
      <w:r>
        <w:t>to</w:t>
      </w:r>
      <w:r>
        <w:rPr>
          <w:spacing w:val="-9"/>
        </w:rPr>
        <w:t xml:space="preserve"> </w:t>
      </w:r>
      <w:r>
        <w:t>consider</w:t>
      </w:r>
      <w:r>
        <w:rPr>
          <w:spacing w:val="-8"/>
        </w:rPr>
        <w:t xml:space="preserve"> </w:t>
      </w:r>
      <w:r>
        <w:t>how</w:t>
      </w:r>
      <w:r>
        <w:rPr>
          <w:spacing w:val="-8"/>
        </w:rPr>
        <w:t xml:space="preserve"> </w:t>
      </w:r>
      <w:r>
        <w:t>these</w:t>
      </w:r>
      <w:r>
        <w:rPr>
          <w:spacing w:val="-8"/>
        </w:rPr>
        <w:t xml:space="preserve"> </w:t>
      </w:r>
      <w:r>
        <w:t>highs</w:t>
      </w:r>
      <w:r>
        <w:rPr>
          <w:spacing w:val="-8"/>
        </w:rPr>
        <w:t xml:space="preserve"> </w:t>
      </w:r>
      <w:r>
        <w:t>and</w:t>
      </w:r>
      <w:r>
        <w:rPr>
          <w:spacing w:val="-9"/>
        </w:rPr>
        <w:t xml:space="preserve"> </w:t>
      </w:r>
      <w:r>
        <w:t>lows</w:t>
      </w:r>
      <w:r>
        <w:rPr>
          <w:spacing w:val="-9"/>
        </w:rPr>
        <w:t xml:space="preserve"> </w:t>
      </w:r>
      <w:r>
        <w:t>can be</w:t>
      </w:r>
      <w:r>
        <w:rPr>
          <w:spacing w:val="-3"/>
        </w:rPr>
        <w:t xml:space="preserve"> </w:t>
      </w:r>
      <w:r>
        <w:t>more</w:t>
      </w:r>
      <w:r>
        <w:rPr>
          <w:spacing w:val="-1"/>
        </w:rPr>
        <w:t xml:space="preserve"> </w:t>
      </w:r>
      <w:r>
        <w:t>evenly</w:t>
      </w:r>
      <w:r>
        <w:rPr>
          <w:spacing w:val="-1"/>
        </w:rPr>
        <w:t xml:space="preserve"> </w:t>
      </w:r>
      <w:r>
        <w:t>spread</w:t>
      </w:r>
      <w:r>
        <w:rPr>
          <w:spacing w:val="-1"/>
        </w:rPr>
        <w:t xml:space="preserve"> </w:t>
      </w:r>
      <w:r>
        <w:t>to</w:t>
      </w:r>
      <w:r>
        <w:rPr>
          <w:spacing w:val="-1"/>
        </w:rPr>
        <w:t xml:space="preserve"> </w:t>
      </w:r>
      <w:r>
        <w:t>give</w:t>
      </w:r>
      <w:r>
        <w:rPr>
          <w:spacing w:val="-3"/>
        </w:rPr>
        <w:t xml:space="preserve"> </w:t>
      </w:r>
      <w:r>
        <w:t>customers more</w:t>
      </w:r>
      <w:r>
        <w:rPr>
          <w:spacing w:val="-3"/>
        </w:rPr>
        <w:t xml:space="preserve"> </w:t>
      </w:r>
      <w:r>
        <w:t>consistent</w:t>
      </w:r>
      <w:r>
        <w:rPr>
          <w:spacing w:val="-1"/>
        </w:rPr>
        <w:t xml:space="preserve"> </w:t>
      </w:r>
      <w:r>
        <w:t>costs.</w:t>
      </w:r>
    </w:p>
    <w:p w14:paraId="26B864D9" w14:textId="77777777" w:rsidR="00141B97" w:rsidRDefault="00911D63">
      <w:pPr>
        <w:pStyle w:val="ListParagraph"/>
        <w:numPr>
          <w:ilvl w:val="0"/>
          <w:numId w:val="104"/>
        </w:numPr>
        <w:tabs>
          <w:tab w:val="left" w:pos="622"/>
        </w:tabs>
        <w:ind w:right="1063"/>
        <w:jc w:val="both"/>
      </w:pPr>
      <w:r>
        <w:t>Where price increases are predicted, this was met with some discomfort however through the engagement LMW explained the rural building blocks required to determine price paths in each rural district within the Victorian regulatory model. This explanation allowed the customers to reach a level of understanding as to the reasoning.</w:t>
      </w:r>
      <w:r>
        <w:rPr>
          <w:spacing w:val="40"/>
        </w:rPr>
        <w:t xml:space="preserve"> </w:t>
      </w:r>
      <w:r>
        <w:t>Customers highlighted that long‐term sustainability and maintenance was the priority.</w:t>
      </w:r>
    </w:p>
    <w:p w14:paraId="0B019B4C" w14:textId="77777777" w:rsidR="00141B97" w:rsidRDefault="00141B97">
      <w:pPr>
        <w:pStyle w:val="BodyText"/>
      </w:pPr>
    </w:p>
    <w:p w14:paraId="57AF6A81" w14:textId="77777777" w:rsidR="00141B97" w:rsidRDefault="00911D63">
      <w:pPr>
        <w:pStyle w:val="ListParagraph"/>
        <w:numPr>
          <w:ilvl w:val="0"/>
          <w:numId w:val="104"/>
        </w:numPr>
        <w:tabs>
          <w:tab w:val="left" w:pos="622"/>
        </w:tabs>
        <w:ind w:right="1064"/>
        <w:jc w:val="both"/>
      </w:pPr>
      <w:r>
        <w:t>General agreement was reached with the level of capital investment</w:t>
      </w:r>
      <w:r>
        <w:rPr>
          <w:spacing w:val="-13"/>
        </w:rPr>
        <w:t xml:space="preserve"> </w:t>
      </w:r>
      <w:r>
        <w:t>in</w:t>
      </w:r>
      <w:r>
        <w:rPr>
          <w:spacing w:val="-12"/>
        </w:rPr>
        <w:t xml:space="preserve"> </w:t>
      </w:r>
      <w:r>
        <w:t>each</w:t>
      </w:r>
      <w:r>
        <w:rPr>
          <w:spacing w:val="-13"/>
        </w:rPr>
        <w:t xml:space="preserve"> </w:t>
      </w:r>
      <w:r>
        <w:t>district</w:t>
      </w:r>
      <w:r>
        <w:rPr>
          <w:spacing w:val="-12"/>
        </w:rPr>
        <w:t xml:space="preserve"> </w:t>
      </w:r>
      <w:r>
        <w:t>with</w:t>
      </w:r>
      <w:r>
        <w:rPr>
          <w:spacing w:val="-13"/>
        </w:rPr>
        <w:t xml:space="preserve"> </w:t>
      </w:r>
      <w:r>
        <w:t>customers</w:t>
      </w:r>
      <w:r>
        <w:rPr>
          <w:spacing w:val="-12"/>
        </w:rPr>
        <w:t xml:space="preserve"> </w:t>
      </w:r>
      <w:r>
        <w:t>reiterating</w:t>
      </w:r>
      <w:r>
        <w:rPr>
          <w:spacing w:val="-13"/>
        </w:rPr>
        <w:t xml:space="preserve"> </w:t>
      </w:r>
      <w:r>
        <w:t>their</w:t>
      </w:r>
      <w:r>
        <w:rPr>
          <w:spacing w:val="-12"/>
        </w:rPr>
        <w:t xml:space="preserve"> </w:t>
      </w:r>
      <w:r>
        <w:t>desire to work with LMW to influence priority capital investment including</w:t>
      </w:r>
      <w:r>
        <w:rPr>
          <w:spacing w:val="-9"/>
        </w:rPr>
        <w:t xml:space="preserve"> </w:t>
      </w:r>
      <w:r>
        <w:t>which</w:t>
      </w:r>
      <w:r>
        <w:rPr>
          <w:spacing w:val="-9"/>
        </w:rPr>
        <w:t xml:space="preserve"> </w:t>
      </w:r>
      <w:r>
        <w:t>irrigation</w:t>
      </w:r>
      <w:r>
        <w:rPr>
          <w:spacing w:val="-8"/>
        </w:rPr>
        <w:t xml:space="preserve"> </w:t>
      </w:r>
      <w:r>
        <w:t>mains</w:t>
      </w:r>
      <w:r>
        <w:rPr>
          <w:spacing w:val="-9"/>
        </w:rPr>
        <w:t xml:space="preserve"> </w:t>
      </w:r>
      <w:r>
        <w:t>and</w:t>
      </w:r>
      <w:r>
        <w:rPr>
          <w:spacing w:val="-9"/>
        </w:rPr>
        <w:t xml:space="preserve"> </w:t>
      </w:r>
      <w:r>
        <w:t>other</w:t>
      </w:r>
      <w:r>
        <w:rPr>
          <w:spacing w:val="-9"/>
        </w:rPr>
        <w:t xml:space="preserve"> </w:t>
      </w:r>
      <w:r>
        <w:t>assets</w:t>
      </w:r>
      <w:r>
        <w:rPr>
          <w:spacing w:val="-9"/>
        </w:rPr>
        <w:t xml:space="preserve"> </w:t>
      </w:r>
      <w:r>
        <w:t>are</w:t>
      </w:r>
      <w:r>
        <w:rPr>
          <w:spacing w:val="-9"/>
        </w:rPr>
        <w:t xml:space="preserve"> </w:t>
      </w:r>
      <w:r>
        <w:t>selected</w:t>
      </w:r>
      <w:r>
        <w:rPr>
          <w:spacing w:val="-10"/>
        </w:rPr>
        <w:t xml:space="preserve"> </w:t>
      </w:r>
      <w:r>
        <w:t>for replacement or upgrade.</w:t>
      </w:r>
    </w:p>
    <w:p w14:paraId="7F95C408" w14:textId="77777777" w:rsidR="00141B97" w:rsidRDefault="00911D63">
      <w:pPr>
        <w:pStyle w:val="ListParagraph"/>
        <w:numPr>
          <w:ilvl w:val="0"/>
          <w:numId w:val="104"/>
        </w:numPr>
        <w:tabs>
          <w:tab w:val="left" w:pos="623"/>
        </w:tabs>
        <w:ind w:right="1063"/>
        <w:jc w:val="both"/>
      </w:pPr>
      <w:r>
        <w:t>Customers in the Millewa were supportive of revegetation projects to contribute towards achieving carbon offset requirements. Customers felt this could be an opportunity to replant areas around lakes and in Koorlong which would benefit from new vegetation.</w:t>
      </w:r>
    </w:p>
    <w:p w14:paraId="2F8E59B3" w14:textId="77777777" w:rsidR="00141B97" w:rsidRDefault="00911D63">
      <w:pPr>
        <w:pStyle w:val="ListParagraph"/>
        <w:numPr>
          <w:ilvl w:val="0"/>
          <w:numId w:val="104"/>
        </w:numPr>
        <w:tabs>
          <w:tab w:val="left" w:pos="623"/>
        </w:tabs>
        <w:ind w:right="1062"/>
        <w:jc w:val="both"/>
      </w:pPr>
      <w:r>
        <w:t>Customers</w:t>
      </w:r>
      <w:r>
        <w:rPr>
          <w:spacing w:val="-7"/>
        </w:rPr>
        <w:t xml:space="preserve"> </w:t>
      </w:r>
      <w:r>
        <w:t>reiterated</w:t>
      </w:r>
      <w:r>
        <w:rPr>
          <w:spacing w:val="-6"/>
        </w:rPr>
        <w:t xml:space="preserve"> </w:t>
      </w:r>
      <w:r>
        <w:t>their</w:t>
      </w:r>
      <w:r>
        <w:rPr>
          <w:spacing w:val="-5"/>
        </w:rPr>
        <w:t xml:space="preserve"> </w:t>
      </w:r>
      <w:r>
        <w:t>preference</w:t>
      </w:r>
      <w:r>
        <w:rPr>
          <w:spacing w:val="-8"/>
        </w:rPr>
        <w:t xml:space="preserve"> </w:t>
      </w:r>
      <w:r>
        <w:t>for</w:t>
      </w:r>
      <w:r>
        <w:rPr>
          <w:spacing w:val="-8"/>
        </w:rPr>
        <w:t xml:space="preserve"> </w:t>
      </w:r>
      <w:r>
        <w:t>local</w:t>
      </w:r>
      <w:r>
        <w:rPr>
          <w:spacing w:val="-8"/>
        </w:rPr>
        <w:t xml:space="preserve"> </w:t>
      </w:r>
      <w:r>
        <w:t>contractors</w:t>
      </w:r>
      <w:r>
        <w:rPr>
          <w:spacing w:val="-7"/>
        </w:rPr>
        <w:t xml:space="preserve"> </w:t>
      </w:r>
      <w:r>
        <w:t>to</w:t>
      </w:r>
      <w:r>
        <w:rPr>
          <w:spacing w:val="-8"/>
        </w:rPr>
        <w:t xml:space="preserve"> </w:t>
      </w:r>
      <w:r>
        <w:t>be used for capital project indicating local contractors are more likely to ensure the work is completed to the highest standard because they live in the region.</w:t>
      </w:r>
    </w:p>
    <w:p w14:paraId="0313E5FF" w14:textId="77777777" w:rsidR="00141B97" w:rsidRDefault="00911D63">
      <w:pPr>
        <w:pStyle w:val="ListParagraph"/>
        <w:numPr>
          <w:ilvl w:val="0"/>
          <w:numId w:val="104"/>
        </w:numPr>
        <w:tabs>
          <w:tab w:val="left" w:pos="622"/>
        </w:tabs>
        <w:ind w:right="1064"/>
        <w:jc w:val="both"/>
      </w:pPr>
      <w:r>
        <w:t>Customers reiterated their expectation that LMW partner with the Victorian Government to explore funding opportunities for upgrading assets. Customers believe they should only be responsible for the maintenance costs of assets, particularly given the Victorian Government owns the assets and should be responsible in funding their upgrade.</w:t>
      </w:r>
    </w:p>
    <w:p w14:paraId="2D6B236E" w14:textId="77777777" w:rsidR="00141B97" w:rsidRDefault="00141B97">
      <w:pPr>
        <w:pStyle w:val="BodyText"/>
        <w:spacing w:before="12"/>
        <w:rPr>
          <w:sz w:val="21"/>
        </w:rPr>
      </w:pPr>
    </w:p>
    <w:p w14:paraId="023B0ADC" w14:textId="77777777" w:rsidR="00141B97" w:rsidRDefault="00911D63">
      <w:pPr>
        <w:pStyle w:val="ListParagraph"/>
        <w:numPr>
          <w:ilvl w:val="0"/>
          <w:numId w:val="104"/>
        </w:numPr>
        <w:tabs>
          <w:tab w:val="left" w:pos="623"/>
        </w:tabs>
        <w:ind w:right="1064"/>
        <w:jc w:val="both"/>
      </w:pPr>
      <w:r>
        <w:t>Generally,</w:t>
      </w:r>
      <w:r>
        <w:rPr>
          <w:spacing w:val="-4"/>
        </w:rPr>
        <w:t xml:space="preserve"> </w:t>
      </w:r>
      <w:r>
        <w:t>rural</w:t>
      </w:r>
      <w:r>
        <w:rPr>
          <w:spacing w:val="-6"/>
        </w:rPr>
        <w:t xml:space="preserve"> </w:t>
      </w:r>
      <w:r>
        <w:t>customers</w:t>
      </w:r>
      <w:r>
        <w:rPr>
          <w:spacing w:val="-3"/>
        </w:rPr>
        <w:t xml:space="preserve"> </w:t>
      </w:r>
      <w:r>
        <w:t>felt</w:t>
      </w:r>
      <w:r>
        <w:rPr>
          <w:spacing w:val="-4"/>
        </w:rPr>
        <w:t xml:space="preserve"> </w:t>
      </w:r>
      <w:r>
        <w:t>that</w:t>
      </w:r>
      <w:r>
        <w:rPr>
          <w:spacing w:val="-4"/>
        </w:rPr>
        <w:t xml:space="preserve"> </w:t>
      </w:r>
      <w:r>
        <w:t>the</w:t>
      </w:r>
      <w:r>
        <w:rPr>
          <w:spacing w:val="-6"/>
        </w:rPr>
        <w:t xml:space="preserve"> </w:t>
      </w:r>
      <w:r>
        <w:t>current</w:t>
      </w:r>
      <w:r>
        <w:rPr>
          <w:spacing w:val="-5"/>
        </w:rPr>
        <w:t xml:space="preserve"> </w:t>
      </w:r>
      <w:r>
        <w:t>customer</w:t>
      </w:r>
      <w:r>
        <w:rPr>
          <w:spacing w:val="-4"/>
        </w:rPr>
        <w:t xml:space="preserve"> </w:t>
      </w:r>
      <w:r>
        <w:t>service standards were appropriate and were happy to maintain these into PS5.</w:t>
      </w:r>
    </w:p>
    <w:p w14:paraId="2E1C4083" w14:textId="77777777" w:rsidR="00141B97" w:rsidRDefault="00141B97">
      <w:pPr>
        <w:jc w:val="both"/>
        <w:sectPr w:rsidR="00141B97">
          <w:pgSz w:w="11910" w:h="16840"/>
          <w:pgMar w:top="820" w:right="740" w:bottom="1120" w:left="980" w:header="0" w:footer="896" w:gutter="0"/>
          <w:cols w:num="2" w:space="720" w:equalWidth="0">
            <w:col w:w="2028" w:space="770"/>
            <w:col w:w="7392"/>
          </w:cols>
        </w:sectPr>
      </w:pPr>
    </w:p>
    <w:p w14:paraId="0CE3A9FA" w14:textId="77777777" w:rsidR="00141B97" w:rsidRDefault="00141B97">
      <w:pPr>
        <w:pStyle w:val="BodyText"/>
        <w:spacing w:before="10"/>
        <w:rPr>
          <w:sz w:val="13"/>
        </w:rPr>
      </w:pPr>
    </w:p>
    <w:p w14:paraId="14FC91C6" w14:textId="77777777" w:rsidR="00141B97" w:rsidRDefault="00911D63">
      <w:pPr>
        <w:tabs>
          <w:tab w:val="left" w:pos="3060"/>
        </w:tabs>
        <w:spacing w:before="100"/>
        <w:ind w:left="261"/>
        <w:jc w:val="both"/>
      </w:pPr>
      <w:r>
        <w:rPr>
          <w:i/>
          <w:position w:val="1"/>
        </w:rPr>
        <w:t>Corporate</w:t>
      </w:r>
      <w:r>
        <w:rPr>
          <w:i/>
          <w:spacing w:val="-8"/>
          <w:position w:val="1"/>
        </w:rPr>
        <w:t xml:space="preserve"> </w:t>
      </w:r>
      <w:r>
        <w:rPr>
          <w:i/>
          <w:position w:val="1"/>
        </w:rPr>
        <w:t>cost</w:t>
      </w:r>
      <w:r>
        <w:rPr>
          <w:i/>
          <w:spacing w:val="-7"/>
          <w:position w:val="1"/>
        </w:rPr>
        <w:t xml:space="preserve"> </w:t>
      </w:r>
      <w:r>
        <w:rPr>
          <w:i/>
          <w:spacing w:val="-2"/>
          <w:position w:val="1"/>
        </w:rPr>
        <w:t>allocation:</w:t>
      </w:r>
      <w:r>
        <w:rPr>
          <w:i/>
          <w:position w:val="1"/>
        </w:rPr>
        <w:tab/>
      </w:r>
      <w:r>
        <w:rPr>
          <w:rFonts w:ascii="Symbol" w:hAnsi="Symbol"/>
        </w:rPr>
        <w:t></w:t>
      </w:r>
      <w:r>
        <w:rPr>
          <w:rFonts w:ascii="Times New Roman" w:hAnsi="Times New Roman"/>
          <w:spacing w:val="64"/>
        </w:rPr>
        <w:t xml:space="preserve">  </w:t>
      </w:r>
      <w:r>
        <w:t>SAC</w:t>
      </w:r>
      <w:r>
        <w:rPr>
          <w:spacing w:val="2"/>
        </w:rPr>
        <w:t xml:space="preserve"> </w:t>
      </w:r>
      <w:r>
        <w:t>and CSAC members were pleased that</w:t>
      </w:r>
      <w:r>
        <w:rPr>
          <w:spacing w:val="-1"/>
        </w:rPr>
        <w:t xml:space="preserve"> </w:t>
      </w:r>
      <w:r>
        <w:t>LMW</w:t>
      </w:r>
      <w:r>
        <w:rPr>
          <w:spacing w:val="-1"/>
        </w:rPr>
        <w:t xml:space="preserve"> </w:t>
      </w:r>
      <w:r>
        <w:t>had</w:t>
      </w:r>
      <w:r>
        <w:rPr>
          <w:spacing w:val="2"/>
        </w:rPr>
        <w:t xml:space="preserve"> </w:t>
      </w:r>
      <w:r>
        <w:t>listened</w:t>
      </w:r>
      <w:r>
        <w:rPr>
          <w:spacing w:val="-1"/>
        </w:rPr>
        <w:t xml:space="preserve"> </w:t>
      </w:r>
      <w:r>
        <w:rPr>
          <w:spacing w:val="-5"/>
        </w:rPr>
        <w:t>to</w:t>
      </w:r>
    </w:p>
    <w:p w14:paraId="38710404" w14:textId="77777777" w:rsidR="00141B97" w:rsidRDefault="00911D63">
      <w:pPr>
        <w:pStyle w:val="BodyText"/>
        <w:ind w:left="3420" w:right="1063" w:hanging="1"/>
        <w:jc w:val="both"/>
      </w:pPr>
      <w:r>
        <w:t>their concerns raised about the allocation of corporate costs between urban and rural services and were pleased to see the results of a review. Some customers said they would like to understand</w:t>
      </w:r>
      <w:r>
        <w:rPr>
          <w:spacing w:val="-13"/>
        </w:rPr>
        <w:t xml:space="preserve"> </w:t>
      </w:r>
      <w:r>
        <w:t>more</w:t>
      </w:r>
      <w:r>
        <w:rPr>
          <w:spacing w:val="-11"/>
        </w:rPr>
        <w:t xml:space="preserve"> </w:t>
      </w:r>
      <w:r>
        <w:t>about</w:t>
      </w:r>
      <w:r>
        <w:rPr>
          <w:spacing w:val="-11"/>
        </w:rPr>
        <w:t xml:space="preserve"> </w:t>
      </w:r>
      <w:r>
        <w:t>the</w:t>
      </w:r>
      <w:r>
        <w:rPr>
          <w:spacing w:val="-13"/>
        </w:rPr>
        <w:t xml:space="preserve"> </w:t>
      </w:r>
      <w:r>
        <w:t>cost</w:t>
      </w:r>
      <w:r>
        <w:rPr>
          <w:spacing w:val="-11"/>
        </w:rPr>
        <w:t xml:space="preserve"> </w:t>
      </w:r>
      <w:r>
        <w:t>allocation</w:t>
      </w:r>
      <w:r>
        <w:rPr>
          <w:spacing w:val="-13"/>
        </w:rPr>
        <w:t xml:space="preserve"> </w:t>
      </w:r>
      <w:r>
        <w:t>and</w:t>
      </w:r>
      <w:r>
        <w:rPr>
          <w:spacing w:val="-12"/>
        </w:rPr>
        <w:t xml:space="preserve"> </w:t>
      </w:r>
      <w:r>
        <w:t>how</w:t>
      </w:r>
      <w:r>
        <w:rPr>
          <w:spacing w:val="-11"/>
        </w:rPr>
        <w:t xml:space="preserve"> </w:t>
      </w:r>
      <w:r>
        <w:t>the</w:t>
      </w:r>
      <w:r>
        <w:rPr>
          <w:spacing w:val="-12"/>
        </w:rPr>
        <w:t xml:space="preserve"> </w:t>
      </w:r>
      <w:r>
        <w:t>new</w:t>
      </w:r>
      <w:r>
        <w:rPr>
          <w:spacing w:val="-11"/>
        </w:rPr>
        <w:t xml:space="preserve"> </w:t>
      </w:r>
      <w:r>
        <w:t>cost split was achieved.</w:t>
      </w:r>
    </w:p>
    <w:p w14:paraId="62B3D1F0" w14:textId="77777777" w:rsidR="00141B97" w:rsidRDefault="00141B97">
      <w:pPr>
        <w:pStyle w:val="BodyText"/>
      </w:pPr>
    </w:p>
    <w:p w14:paraId="2789BEC7" w14:textId="77777777" w:rsidR="00141B97" w:rsidRDefault="00911D63">
      <w:pPr>
        <w:pStyle w:val="BodyText"/>
        <w:ind w:left="153" w:right="247"/>
        <w:jc w:val="both"/>
      </w:pPr>
      <w:r>
        <w:t>During the final stage of consultation, SAC members provided feedback that LMW needs to continue to work on</w:t>
      </w:r>
      <w:r>
        <w:rPr>
          <w:spacing w:val="-1"/>
        </w:rPr>
        <w:t xml:space="preserve"> </w:t>
      </w:r>
      <w:r>
        <w:t>building</w:t>
      </w:r>
      <w:r>
        <w:rPr>
          <w:spacing w:val="-1"/>
        </w:rPr>
        <w:t xml:space="preserve"> </w:t>
      </w:r>
      <w:r>
        <w:t>trust</w:t>
      </w:r>
      <w:r>
        <w:rPr>
          <w:spacing w:val="-1"/>
        </w:rPr>
        <w:t xml:space="preserve"> </w:t>
      </w:r>
      <w:r>
        <w:t>with its rural</w:t>
      </w:r>
      <w:r>
        <w:rPr>
          <w:spacing w:val="-1"/>
        </w:rPr>
        <w:t xml:space="preserve"> </w:t>
      </w:r>
      <w:r>
        <w:t>customers. Members</w:t>
      </w:r>
      <w:r>
        <w:rPr>
          <w:spacing w:val="-1"/>
        </w:rPr>
        <w:t xml:space="preserve"> </w:t>
      </w:r>
      <w:r>
        <w:t>were</w:t>
      </w:r>
      <w:r>
        <w:rPr>
          <w:spacing w:val="-1"/>
        </w:rPr>
        <w:t xml:space="preserve"> </w:t>
      </w:r>
      <w:r>
        <w:t>supportive</w:t>
      </w:r>
      <w:r>
        <w:rPr>
          <w:spacing w:val="-2"/>
        </w:rPr>
        <w:t xml:space="preserve"> </w:t>
      </w:r>
      <w:r>
        <w:t>of the investments and outputs proposed for delivery in PS5 and indicated delivery</w:t>
      </w:r>
      <w:r>
        <w:rPr>
          <w:spacing w:val="-1"/>
        </w:rPr>
        <w:t xml:space="preserve"> </w:t>
      </w:r>
      <w:r>
        <w:t>of these across</w:t>
      </w:r>
      <w:r>
        <w:rPr>
          <w:spacing w:val="-1"/>
        </w:rPr>
        <w:t xml:space="preserve"> </w:t>
      </w:r>
      <w:r>
        <w:t>the five‐year period would</w:t>
      </w:r>
      <w:r>
        <w:rPr>
          <w:spacing w:val="-1"/>
        </w:rPr>
        <w:t xml:space="preserve"> </w:t>
      </w:r>
      <w:r>
        <w:t>greatly improve their trust levels with the organisation.</w:t>
      </w:r>
    </w:p>
    <w:p w14:paraId="6A68A2EB" w14:textId="77777777" w:rsidR="00141B97" w:rsidRDefault="00141B97">
      <w:pPr>
        <w:pStyle w:val="BodyText"/>
      </w:pPr>
    </w:p>
    <w:p w14:paraId="4B3F0E47" w14:textId="77777777" w:rsidR="00141B97" w:rsidRDefault="00911D63">
      <w:pPr>
        <w:pStyle w:val="BodyText"/>
        <w:ind w:left="154" w:right="246" w:hanging="1"/>
        <w:jc w:val="both"/>
      </w:pPr>
      <w:r>
        <w:t>Further,</w:t>
      </w:r>
      <w:r>
        <w:rPr>
          <w:spacing w:val="-10"/>
        </w:rPr>
        <w:t xml:space="preserve"> </w:t>
      </w:r>
      <w:r>
        <w:t>the</w:t>
      </w:r>
      <w:r>
        <w:rPr>
          <w:spacing w:val="-11"/>
        </w:rPr>
        <w:t xml:space="preserve"> </w:t>
      </w:r>
      <w:r>
        <w:t>SAC</w:t>
      </w:r>
      <w:r>
        <w:rPr>
          <w:spacing w:val="-10"/>
        </w:rPr>
        <w:t xml:space="preserve"> </w:t>
      </w:r>
      <w:r>
        <w:t>acknowledged</w:t>
      </w:r>
      <w:r>
        <w:rPr>
          <w:spacing w:val="-8"/>
        </w:rPr>
        <w:t xml:space="preserve"> </w:t>
      </w:r>
      <w:r>
        <w:t>the</w:t>
      </w:r>
      <w:r>
        <w:rPr>
          <w:spacing w:val="-10"/>
        </w:rPr>
        <w:t xml:space="preserve"> </w:t>
      </w:r>
      <w:r>
        <w:t>price</w:t>
      </w:r>
      <w:r>
        <w:rPr>
          <w:spacing w:val="-11"/>
        </w:rPr>
        <w:t xml:space="preserve"> </w:t>
      </w:r>
      <w:r>
        <w:t>decrease</w:t>
      </w:r>
      <w:r>
        <w:rPr>
          <w:spacing w:val="-10"/>
        </w:rPr>
        <w:t xml:space="preserve"> </w:t>
      </w:r>
      <w:r>
        <w:t>proposed</w:t>
      </w:r>
      <w:r>
        <w:rPr>
          <w:spacing w:val="-10"/>
        </w:rPr>
        <w:t xml:space="preserve"> </w:t>
      </w:r>
      <w:r>
        <w:t>for</w:t>
      </w:r>
      <w:r>
        <w:rPr>
          <w:spacing w:val="-10"/>
        </w:rPr>
        <w:t xml:space="preserve"> </w:t>
      </w:r>
      <w:r>
        <w:t>Mildura</w:t>
      </w:r>
      <w:r>
        <w:rPr>
          <w:spacing w:val="-10"/>
        </w:rPr>
        <w:t xml:space="preserve"> </w:t>
      </w:r>
      <w:r>
        <w:t>High</w:t>
      </w:r>
      <w:r>
        <w:rPr>
          <w:spacing w:val="-10"/>
        </w:rPr>
        <w:t xml:space="preserve"> </w:t>
      </w:r>
      <w:r>
        <w:t>Pressure</w:t>
      </w:r>
      <w:r>
        <w:rPr>
          <w:spacing w:val="-10"/>
        </w:rPr>
        <w:t xml:space="preserve"> </w:t>
      </w:r>
      <w:r>
        <w:t>region</w:t>
      </w:r>
      <w:r>
        <w:rPr>
          <w:spacing w:val="-10"/>
        </w:rPr>
        <w:t xml:space="preserve"> </w:t>
      </w:r>
      <w:r>
        <w:t>and</w:t>
      </w:r>
      <w:r>
        <w:rPr>
          <w:spacing w:val="-10"/>
        </w:rPr>
        <w:t xml:space="preserve"> </w:t>
      </w:r>
      <w:r>
        <w:t>were</w:t>
      </w:r>
      <w:r>
        <w:rPr>
          <w:spacing w:val="-11"/>
        </w:rPr>
        <w:t xml:space="preserve"> </w:t>
      </w:r>
      <w:r>
        <w:t>pleased with LMW’s decision to remove the electricity collar arrangement, noting the change in LMW’s approach to electricity procurement to align with State Government mandate.</w:t>
      </w:r>
    </w:p>
    <w:p w14:paraId="4D138BC4" w14:textId="77777777" w:rsidR="00141B97" w:rsidRDefault="00141B97">
      <w:pPr>
        <w:jc w:val="both"/>
        <w:sectPr w:rsidR="00141B97">
          <w:type w:val="continuous"/>
          <w:pgSz w:w="11910" w:h="16840"/>
          <w:pgMar w:top="1940" w:right="740" w:bottom="280" w:left="980" w:header="0" w:footer="896" w:gutter="0"/>
          <w:cols w:space="720"/>
        </w:sectPr>
      </w:pPr>
    </w:p>
    <w:p w14:paraId="01E5AD1B" w14:textId="77777777" w:rsidR="00141B97" w:rsidRDefault="00911D63">
      <w:pPr>
        <w:pStyle w:val="ListParagraph"/>
        <w:numPr>
          <w:ilvl w:val="2"/>
          <w:numId w:val="113"/>
        </w:numPr>
        <w:tabs>
          <w:tab w:val="left" w:pos="1152"/>
          <w:tab w:val="left" w:pos="1153"/>
        </w:tabs>
        <w:spacing w:before="43"/>
      </w:pPr>
      <w:r>
        <w:lastRenderedPageBreak/>
        <w:t>Commonality</w:t>
      </w:r>
      <w:r>
        <w:rPr>
          <w:spacing w:val="-7"/>
        </w:rPr>
        <w:t xml:space="preserve"> </w:t>
      </w:r>
      <w:r>
        <w:t>Across</w:t>
      </w:r>
      <w:r>
        <w:rPr>
          <w:spacing w:val="-5"/>
        </w:rPr>
        <w:t xml:space="preserve"> </w:t>
      </w:r>
      <w:r>
        <w:t>Both</w:t>
      </w:r>
      <w:r>
        <w:rPr>
          <w:spacing w:val="-7"/>
        </w:rPr>
        <w:t xml:space="preserve"> </w:t>
      </w:r>
      <w:r>
        <w:t>Urban</w:t>
      </w:r>
      <w:r>
        <w:rPr>
          <w:spacing w:val="-6"/>
        </w:rPr>
        <w:t xml:space="preserve"> </w:t>
      </w:r>
      <w:r>
        <w:t>and</w:t>
      </w:r>
      <w:r>
        <w:rPr>
          <w:spacing w:val="-6"/>
        </w:rPr>
        <w:t xml:space="preserve"> </w:t>
      </w:r>
      <w:r>
        <w:t>Rural</w:t>
      </w:r>
      <w:r>
        <w:rPr>
          <w:spacing w:val="-7"/>
        </w:rPr>
        <w:t xml:space="preserve"> </w:t>
      </w:r>
      <w:r>
        <w:rPr>
          <w:spacing w:val="-2"/>
        </w:rPr>
        <w:t>Customers</w:t>
      </w:r>
    </w:p>
    <w:p w14:paraId="632EA28C" w14:textId="77777777" w:rsidR="00141B97" w:rsidRDefault="00911D63">
      <w:pPr>
        <w:pStyle w:val="BodyText"/>
        <w:spacing w:before="59"/>
        <w:ind w:left="154" w:right="247" w:hanging="1"/>
        <w:jc w:val="both"/>
      </w:pPr>
      <w:r>
        <w:t>Whilst there are some distinct</w:t>
      </w:r>
      <w:r>
        <w:rPr>
          <w:spacing w:val="-1"/>
        </w:rPr>
        <w:t xml:space="preserve"> </w:t>
      </w:r>
      <w:r>
        <w:t>differences</w:t>
      </w:r>
      <w:r>
        <w:rPr>
          <w:spacing w:val="-1"/>
        </w:rPr>
        <w:t xml:space="preserve"> </w:t>
      </w:r>
      <w:r>
        <w:t>between</w:t>
      </w:r>
      <w:r>
        <w:rPr>
          <w:spacing w:val="-1"/>
        </w:rPr>
        <w:t xml:space="preserve"> </w:t>
      </w:r>
      <w:r>
        <w:t>the perspectives of urban and</w:t>
      </w:r>
      <w:r>
        <w:rPr>
          <w:spacing w:val="-1"/>
        </w:rPr>
        <w:t xml:space="preserve"> </w:t>
      </w:r>
      <w:r>
        <w:t>rural customers, there were some topics of common interest across these two key cohorts.</w:t>
      </w:r>
    </w:p>
    <w:p w14:paraId="0F1EC87B" w14:textId="77777777" w:rsidR="00141B97" w:rsidRDefault="00141B97">
      <w:pPr>
        <w:pStyle w:val="BodyText"/>
        <w:spacing w:before="1"/>
      </w:pPr>
    </w:p>
    <w:p w14:paraId="2AFDC537" w14:textId="77777777" w:rsidR="00141B97" w:rsidRDefault="00911D63">
      <w:pPr>
        <w:pStyle w:val="BodyText"/>
        <w:ind w:left="153" w:right="246"/>
        <w:jc w:val="both"/>
      </w:pPr>
      <w:r>
        <w:t>Water</w:t>
      </w:r>
      <w:r>
        <w:rPr>
          <w:spacing w:val="-8"/>
        </w:rPr>
        <w:t xml:space="preserve"> </w:t>
      </w:r>
      <w:r>
        <w:t>reliability</w:t>
      </w:r>
      <w:r>
        <w:rPr>
          <w:spacing w:val="-8"/>
        </w:rPr>
        <w:t xml:space="preserve"> </w:t>
      </w:r>
      <w:r>
        <w:t>remains</w:t>
      </w:r>
      <w:r>
        <w:rPr>
          <w:spacing w:val="-7"/>
        </w:rPr>
        <w:t xml:space="preserve"> </w:t>
      </w:r>
      <w:r>
        <w:t>paramount</w:t>
      </w:r>
      <w:r>
        <w:rPr>
          <w:spacing w:val="-8"/>
        </w:rPr>
        <w:t xml:space="preserve"> </w:t>
      </w:r>
      <w:r>
        <w:t>for</w:t>
      </w:r>
      <w:r>
        <w:rPr>
          <w:spacing w:val="-7"/>
        </w:rPr>
        <w:t xml:space="preserve"> </w:t>
      </w:r>
      <w:r>
        <w:t>both</w:t>
      </w:r>
      <w:r>
        <w:rPr>
          <w:spacing w:val="-7"/>
        </w:rPr>
        <w:t xml:space="preserve"> </w:t>
      </w:r>
      <w:r>
        <w:t>rural</w:t>
      </w:r>
      <w:r>
        <w:rPr>
          <w:spacing w:val="-9"/>
        </w:rPr>
        <w:t xml:space="preserve"> </w:t>
      </w:r>
      <w:r>
        <w:t>and</w:t>
      </w:r>
      <w:r>
        <w:rPr>
          <w:spacing w:val="-8"/>
        </w:rPr>
        <w:t xml:space="preserve"> </w:t>
      </w:r>
      <w:r>
        <w:t>urban</w:t>
      </w:r>
      <w:r>
        <w:rPr>
          <w:spacing w:val="-8"/>
        </w:rPr>
        <w:t xml:space="preserve"> </w:t>
      </w:r>
      <w:r>
        <w:t>customers,</w:t>
      </w:r>
      <w:r>
        <w:rPr>
          <w:spacing w:val="-7"/>
        </w:rPr>
        <w:t xml:space="preserve"> </w:t>
      </w:r>
      <w:r>
        <w:t>and</w:t>
      </w:r>
      <w:r>
        <w:rPr>
          <w:spacing w:val="-7"/>
        </w:rPr>
        <w:t xml:space="preserve"> </w:t>
      </w:r>
      <w:r>
        <w:t>customers</w:t>
      </w:r>
      <w:r>
        <w:rPr>
          <w:spacing w:val="-7"/>
        </w:rPr>
        <w:t xml:space="preserve"> </w:t>
      </w:r>
      <w:r>
        <w:t>have</w:t>
      </w:r>
      <w:r>
        <w:rPr>
          <w:spacing w:val="-7"/>
        </w:rPr>
        <w:t xml:space="preserve"> </w:t>
      </w:r>
      <w:r>
        <w:t>expectations</w:t>
      </w:r>
      <w:r>
        <w:rPr>
          <w:spacing w:val="-7"/>
        </w:rPr>
        <w:t xml:space="preserve"> </w:t>
      </w:r>
      <w:r>
        <w:t>that LMW</w:t>
      </w:r>
      <w:r>
        <w:rPr>
          <w:spacing w:val="-1"/>
        </w:rPr>
        <w:t xml:space="preserve"> </w:t>
      </w:r>
      <w:r>
        <w:t>will</w:t>
      </w:r>
      <w:r>
        <w:rPr>
          <w:spacing w:val="-2"/>
        </w:rPr>
        <w:t xml:space="preserve"> </w:t>
      </w:r>
      <w:r>
        <w:t>build</w:t>
      </w:r>
      <w:r>
        <w:rPr>
          <w:spacing w:val="-1"/>
        </w:rPr>
        <w:t xml:space="preserve"> </w:t>
      </w:r>
      <w:r>
        <w:t>secure</w:t>
      </w:r>
      <w:r>
        <w:rPr>
          <w:spacing w:val="-2"/>
        </w:rPr>
        <w:t xml:space="preserve"> </w:t>
      </w:r>
      <w:r>
        <w:t>systems</w:t>
      </w:r>
      <w:r>
        <w:rPr>
          <w:spacing w:val="-1"/>
        </w:rPr>
        <w:t xml:space="preserve"> </w:t>
      </w:r>
      <w:r>
        <w:t>and</w:t>
      </w:r>
      <w:r>
        <w:rPr>
          <w:spacing w:val="-1"/>
        </w:rPr>
        <w:t xml:space="preserve"> </w:t>
      </w:r>
      <w:r>
        <w:t>infrastructure</w:t>
      </w:r>
      <w:r>
        <w:rPr>
          <w:spacing w:val="-2"/>
        </w:rPr>
        <w:t xml:space="preserve"> </w:t>
      </w:r>
      <w:r>
        <w:t>that will</w:t>
      </w:r>
      <w:r>
        <w:rPr>
          <w:spacing w:val="-1"/>
        </w:rPr>
        <w:t xml:space="preserve"> </w:t>
      </w:r>
      <w:r>
        <w:t>ensure</w:t>
      </w:r>
      <w:r>
        <w:rPr>
          <w:spacing w:val="-1"/>
        </w:rPr>
        <w:t xml:space="preserve"> </w:t>
      </w:r>
      <w:r>
        <w:t>the</w:t>
      </w:r>
      <w:r>
        <w:rPr>
          <w:spacing w:val="-1"/>
        </w:rPr>
        <w:t xml:space="preserve"> </w:t>
      </w:r>
      <w:r>
        <w:t>reliability and</w:t>
      </w:r>
      <w:r>
        <w:rPr>
          <w:spacing w:val="-1"/>
        </w:rPr>
        <w:t xml:space="preserve"> </w:t>
      </w:r>
      <w:r>
        <w:t>availability</w:t>
      </w:r>
      <w:r>
        <w:rPr>
          <w:spacing w:val="-1"/>
        </w:rPr>
        <w:t xml:space="preserve"> </w:t>
      </w:r>
      <w:r>
        <w:t>of water</w:t>
      </w:r>
      <w:r>
        <w:rPr>
          <w:spacing w:val="-1"/>
        </w:rPr>
        <w:t xml:space="preserve"> </w:t>
      </w:r>
      <w:r>
        <w:t>supply when required. This includes:</w:t>
      </w:r>
    </w:p>
    <w:p w14:paraId="6483A11A" w14:textId="77777777" w:rsidR="00141B97" w:rsidRDefault="00911D63">
      <w:pPr>
        <w:pStyle w:val="ListParagraph"/>
        <w:numPr>
          <w:ilvl w:val="3"/>
          <w:numId w:val="113"/>
        </w:numPr>
        <w:tabs>
          <w:tab w:val="left" w:pos="873"/>
          <w:tab w:val="left" w:pos="874"/>
        </w:tabs>
        <w:spacing w:line="280" w:lineRule="exact"/>
        <w:ind w:left="873" w:hanging="361"/>
      </w:pPr>
      <w:r>
        <w:t>System</w:t>
      </w:r>
      <w:r>
        <w:rPr>
          <w:spacing w:val="-8"/>
        </w:rPr>
        <w:t xml:space="preserve"> </w:t>
      </w:r>
      <w:r>
        <w:t>resilience</w:t>
      </w:r>
      <w:r>
        <w:rPr>
          <w:spacing w:val="-7"/>
        </w:rPr>
        <w:t xml:space="preserve"> </w:t>
      </w:r>
      <w:r>
        <w:t>in</w:t>
      </w:r>
      <w:r>
        <w:rPr>
          <w:spacing w:val="-7"/>
        </w:rPr>
        <w:t xml:space="preserve"> </w:t>
      </w:r>
      <w:r>
        <w:t>the</w:t>
      </w:r>
      <w:r>
        <w:rPr>
          <w:spacing w:val="-5"/>
        </w:rPr>
        <w:t xml:space="preserve"> </w:t>
      </w:r>
      <w:r>
        <w:t>event</w:t>
      </w:r>
      <w:r>
        <w:rPr>
          <w:spacing w:val="-6"/>
        </w:rPr>
        <w:t xml:space="preserve"> </w:t>
      </w:r>
      <w:r>
        <w:t>of</w:t>
      </w:r>
      <w:r>
        <w:rPr>
          <w:spacing w:val="-8"/>
        </w:rPr>
        <w:t xml:space="preserve"> </w:t>
      </w:r>
      <w:r>
        <w:t>cyber</w:t>
      </w:r>
      <w:r>
        <w:rPr>
          <w:spacing w:val="-6"/>
        </w:rPr>
        <w:t xml:space="preserve"> </w:t>
      </w:r>
      <w:r>
        <w:t>security</w:t>
      </w:r>
      <w:r>
        <w:rPr>
          <w:spacing w:val="-8"/>
        </w:rPr>
        <w:t xml:space="preserve"> </w:t>
      </w:r>
      <w:r>
        <w:rPr>
          <w:spacing w:val="-2"/>
        </w:rPr>
        <w:t>attacks</w:t>
      </w:r>
    </w:p>
    <w:p w14:paraId="28C83F49" w14:textId="77777777" w:rsidR="00141B97" w:rsidRDefault="00911D63">
      <w:pPr>
        <w:pStyle w:val="ListParagraph"/>
        <w:numPr>
          <w:ilvl w:val="3"/>
          <w:numId w:val="113"/>
        </w:numPr>
        <w:tabs>
          <w:tab w:val="left" w:pos="873"/>
          <w:tab w:val="left" w:pos="874"/>
        </w:tabs>
        <w:spacing w:line="280" w:lineRule="exact"/>
        <w:ind w:left="873" w:hanging="361"/>
      </w:pPr>
      <w:r>
        <w:t>Innovative</w:t>
      </w:r>
      <w:r>
        <w:rPr>
          <w:spacing w:val="-9"/>
        </w:rPr>
        <w:t xml:space="preserve"> </w:t>
      </w:r>
      <w:r>
        <w:t>solutions</w:t>
      </w:r>
      <w:r>
        <w:rPr>
          <w:spacing w:val="-9"/>
        </w:rPr>
        <w:t xml:space="preserve"> </w:t>
      </w:r>
      <w:r>
        <w:t>to</w:t>
      </w:r>
      <w:r>
        <w:rPr>
          <w:spacing w:val="-8"/>
        </w:rPr>
        <w:t xml:space="preserve"> </w:t>
      </w:r>
      <w:r>
        <w:t>enhance</w:t>
      </w:r>
      <w:r>
        <w:rPr>
          <w:spacing w:val="-9"/>
        </w:rPr>
        <w:t xml:space="preserve"> </w:t>
      </w:r>
      <w:r>
        <w:t>customer</w:t>
      </w:r>
      <w:r>
        <w:rPr>
          <w:spacing w:val="-8"/>
        </w:rPr>
        <w:t xml:space="preserve"> </w:t>
      </w:r>
      <w:r>
        <w:t>value</w:t>
      </w:r>
      <w:r>
        <w:rPr>
          <w:spacing w:val="-8"/>
        </w:rPr>
        <w:t xml:space="preserve"> </w:t>
      </w:r>
      <w:r>
        <w:rPr>
          <w:spacing w:val="-2"/>
        </w:rPr>
        <w:t>including:</w:t>
      </w:r>
    </w:p>
    <w:p w14:paraId="25308905" w14:textId="77777777" w:rsidR="00141B97" w:rsidRDefault="00911D63">
      <w:pPr>
        <w:pStyle w:val="ListParagraph"/>
        <w:numPr>
          <w:ilvl w:val="4"/>
          <w:numId w:val="113"/>
        </w:numPr>
        <w:tabs>
          <w:tab w:val="left" w:pos="1287"/>
          <w:tab w:val="left" w:pos="1288"/>
        </w:tabs>
        <w:spacing w:line="280" w:lineRule="exact"/>
        <w:ind w:left="1287" w:hanging="361"/>
      </w:pPr>
      <w:r>
        <w:t>expand</w:t>
      </w:r>
      <w:r>
        <w:rPr>
          <w:spacing w:val="-7"/>
        </w:rPr>
        <w:t xml:space="preserve"> </w:t>
      </w:r>
      <w:r>
        <w:t>peak</w:t>
      </w:r>
      <w:r>
        <w:rPr>
          <w:spacing w:val="-7"/>
        </w:rPr>
        <w:t xml:space="preserve"> </w:t>
      </w:r>
      <w:r>
        <w:t>usage</w:t>
      </w:r>
      <w:r>
        <w:rPr>
          <w:spacing w:val="-7"/>
        </w:rPr>
        <w:t xml:space="preserve"> </w:t>
      </w:r>
      <w:r>
        <w:t>over</w:t>
      </w:r>
      <w:r>
        <w:rPr>
          <w:spacing w:val="-7"/>
        </w:rPr>
        <w:t xml:space="preserve"> </w:t>
      </w:r>
      <w:r>
        <w:t>a</w:t>
      </w:r>
      <w:r>
        <w:rPr>
          <w:spacing w:val="-6"/>
        </w:rPr>
        <w:t xml:space="preserve"> </w:t>
      </w:r>
      <w:r>
        <w:t>24‐hour</w:t>
      </w:r>
      <w:r>
        <w:rPr>
          <w:spacing w:val="-7"/>
        </w:rPr>
        <w:t xml:space="preserve"> </w:t>
      </w:r>
      <w:r>
        <w:t>period</w:t>
      </w:r>
      <w:r>
        <w:rPr>
          <w:spacing w:val="-7"/>
        </w:rPr>
        <w:t xml:space="preserve"> </w:t>
      </w:r>
      <w:r>
        <w:rPr>
          <w:spacing w:val="-2"/>
        </w:rPr>
        <w:t>(rural).</w:t>
      </w:r>
    </w:p>
    <w:p w14:paraId="520552D1" w14:textId="77777777" w:rsidR="00141B97" w:rsidRDefault="00911D63">
      <w:pPr>
        <w:pStyle w:val="ListParagraph"/>
        <w:numPr>
          <w:ilvl w:val="4"/>
          <w:numId w:val="113"/>
        </w:numPr>
        <w:tabs>
          <w:tab w:val="left" w:pos="1287"/>
          <w:tab w:val="left" w:pos="1288"/>
        </w:tabs>
        <w:ind w:right="247" w:hanging="361"/>
      </w:pPr>
      <w:r>
        <w:t>increase use and availability of recycled water as an alternative source of water for on‐farm use and for watering community parks and garden areas (urban and rural).</w:t>
      </w:r>
    </w:p>
    <w:p w14:paraId="3146F923" w14:textId="77777777" w:rsidR="00141B97" w:rsidRDefault="00911D63">
      <w:pPr>
        <w:pStyle w:val="ListParagraph"/>
        <w:numPr>
          <w:ilvl w:val="4"/>
          <w:numId w:val="113"/>
        </w:numPr>
        <w:tabs>
          <w:tab w:val="left" w:pos="1287"/>
          <w:tab w:val="left" w:pos="1288"/>
        </w:tabs>
        <w:spacing w:before="1"/>
        <w:ind w:left="1287" w:right="248"/>
      </w:pPr>
      <w:r>
        <w:t>purchase</w:t>
      </w:r>
      <w:r>
        <w:rPr>
          <w:spacing w:val="25"/>
        </w:rPr>
        <w:t xml:space="preserve"> </w:t>
      </w:r>
      <w:r>
        <w:t>additional</w:t>
      </w:r>
      <w:r>
        <w:rPr>
          <w:spacing w:val="25"/>
        </w:rPr>
        <w:t xml:space="preserve"> </w:t>
      </w:r>
      <w:r>
        <w:t>entitlement</w:t>
      </w:r>
      <w:r>
        <w:rPr>
          <w:spacing w:val="26"/>
        </w:rPr>
        <w:t xml:space="preserve"> </w:t>
      </w:r>
      <w:r>
        <w:t>to</w:t>
      </w:r>
      <w:r>
        <w:rPr>
          <w:spacing w:val="24"/>
        </w:rPr>
        <w:t xml:space="preserve"> </w:t>
      </w:r>
      <w:r>
        <w:t>maintain</w:t>
      </w:r>
      <w:r>
        <w:rPr>
          <w:spacing w:val="26"/>
        </w:rPr>
        <w:t xml:space="preserve"> </w:t>
      </w:r>
      <w:r>
        <w:t>a</w:t>
      </w:r>
      <w:r>
        <w:rPr>
          <w:spacing w:val="26"/>
        </w:rPr>
        <w:t xml:space="preserve"> </w:t>
      </w:r>
      <w:r>
        <w:t>buffer</w:t>
      </w:r>
      <w:r>
        <w:rPr>
          <w:spacing w:val="24"/>
        </w:rPr>
        <w:t xml:space="preserve"> </w:t>
      </w:r>
      <w:r>
        <w:t>for</w:t>
      </w:r>
      <w:r>
        <w:rPr>
          <w:spacing w:val="26"/>
        </w:rPr>
        <w:t xml:space="preserve"> </w:t>
      </w:r>
      <w:r>
        <w:t>dry</w:t>
      </w:r>
      <w:r>
        <w:rPr>
          <w:spacing w:val="25"/>
        </w:rPr>
        <w:t xml:space="preserve"> </w:t>
      </w:r>
      <w:r>
        <w:t>years</w:t>
      </w:r>
      <w:r>
        <w:rPr>
          <w:spacing w:val="25"/>
        </w:rPr>
        <w:t xml:space="preserve"> </w:t>
      </w:r>
      <w:r>
        <w:t>and</w:t>
      </w:r>
      <w:r>
        <w:rPr>
          <w:spacing w:val="26"/>
        </w:rPr>
        <w:t xml:space="preserve"> </w:t>
      </w:r>
      <w:r>
        <w:t>improve</w:t>
      </w:r>
      <w:r>
        <w:rPr>
          <w:spacing w:val="24"/>
        </w:rPr>
        <w:t xml:space="preserve"> </w:t>
      </w:r>
      <w:r>
        <w:t>water</w:t>
      </w:r>
      <w:r>
        <w:rPr>
          <w:spacing w:val="26"/>
        </w:rPr>
        <w:t xml:space="preserve"> </w:t>
      </w:r>
      <w:r>
        <w:t xml:space="preserve">security </w:t>
      </w:r>
      <w:r>
        <w:rPr>
          <w:spacing w:val="-2"/>
        </w:rPr>
        <w:t>(urban).</w:t>
      </w:r>
    </w:p>
    <w:p w14:paraId="0AD08C0F" w14:textId="77777777" w:rsidR="00141B97" w:rsidRDefault="00141B97">
      <w:pPr>
        <w:pStyle w:val="BodyText"/>
        <w:spacing w:before="11"/>
        <w:rPr>
          <w:sz w:val="21"/>
        </w:rPr>
      </w:pPr>
    </w:p>
    <w:p w14:paraId="7D99D4D7" w14:textId="77777777" w:rsidR="00141B97" w:rsidRDefault="00911D63">
      <w:pPr>
        <w:pStyle w:val="BodyText"/>
        <w:spacing w:before="1"/>
        <w:ind w:left="153" w:right="247" w:hanging="1"/>
        <w:jc w:val="both"/>
      </w:pPr>
      <w:r>
        <w:t>A</w:t>
      </w:r>
      <w:r>
        <w:rPr>
          <w:spacing w:val="-13"/>
        </w:rPr>
        <w:t xml:space="preserve"> </w:t>
      </w:r>
      <w:r>
        <w:t>common</w:t>
      </w:r>
      <w:r>
        <w:rPr>
          <w:spacing w:val="-12"/>
        </w:rPr>
        <w:t xml:space="preserve"> </w:t>
      </w:r>
      <w:r>
        <w:t>priority</w:t>
      </w:r>
      <w:r>
        <w:rPr>
          <w:spacing w:val="-13"/>
        </w:rPr>
        <w:t xml:space="preserve"> </w:t>
      </w:r>
      <w:r>
        <w:t>for</w:t>
      </w:r>
      <w:r>
        <w:rPr>
          <w:spacing w:val="-12"/>
        </w:rPr>
        <w:t xml:space="preserve"> </w:t>
      </w:r>
      <w:r>
        <w:t>both</w:t>
      </w:r>
      <w:r>
        <w:rPr>
          <w:spacing w:val="-13"/>
        </w:rPr>
        <w:t xml:space="preserve"> </w:t>
      </w:r>
      <w:r>
        <w:t>rural</w:t>
      </w:r>
      <w:r>
        <w:rPr>
          <w:spacing w:val="-12"/>
        </w:rPr>
        <w:t xml:space="preserve"> </w:t>
      </w:r>
      <w:r>
        <w:t>and</w:t>
      </w:r>
      <w:r>
        <w:rPr>
          <w:spacing w:val="-13"/>
        </w:rPr>
        <w:t xml:space="preserve"> </w:t>
      </w:r>
      <w:r>
        <w:t>urban</w:t>
      </w:r>
      <w:r>
        <w:rPr>
          <w:spacing w:val="-12"/>
        </w:rPr>
        <w:t xml:space="preserve"> </w:t>
      </w:r>
      <w:r>
        <w:t>customers</w:t>
      </w:r>
      <w:r>
        <w:rPr>
          <w:spacing w:val="-12"/>
        </w:rPr>
        <w:t xml:space="preserve"> </w:t>
      </w:r>
      <w:r>
        <w:t>was</w:t>
      </w:r>
      <w:r>
        <w:rPr>
          <w:spacing w:val="-13"/>
        </w:rPr>
        <w:t xml:space="preserve"> </w:t>
      </w:r>
      <w:r>
        <w:t>to</w:t>
      </w:r>
      <w:r>
        <w:rPr>
          <w:spacing w:val="-12"/>
        </w:rPr>
        <w:t xml:space="preserve"> </w:t>
      </w:r>
      <w:r>
        <w:t>address</w:t>
      </w:r>
      <w:r>
        <w:rPr>
          <w:spacing w:val="-13"/>
        </w:rPr>
        <w:t xml:space="preserve"> </w:t>
      </w:r>
      <w:r>
        <w:t>the</w:t>
      </w:r>
      <w:r>
        <w:rPr>
          <w:spacing w:val="-12"/>
        </w:rPr>
        <w:t xml:space="preserve"> </w:t>
      </w:r>
      <w:r>
        <w:t>challenges</w:t>
      </w:r>
      <w:r>
        <w:rPr>
          <w:spacing w:val="-13"/>
        </w:rPr>
        <w:t xml:space="preserve"> </w:t>
      </w:r>
      <w:r>
        <w:t>of</w:t>
      </w:r>
      <w:r>
        <w:rPr>
          <w:spacing w:val="-12"/>
        </w:rPr>
        <w:t xml:space="preserve"> </w:t>
      </w:r>
      <w:r>
        <w:t>poorer</w:t>
      </w:r>
      <w:r>
        <w:rPr>
          <w:spacing w:val="-12"/>
        </w:rPr>
        <w:t xml:space="preserve"> </w:t>
      </w:r>
      <w:r>
        <w:t>raw</w:t>
      </w:r>
      <w:r>
        <w:rPr>
          <w:spacing w:val="-13"/>
        </w:rPr>
        <w:t xml:space="preserve"> </w:t>
      </w:r>
      <w:r>
        <w:t>water</w:t>
      </w:r>
      <w:r>
        <w:rPr>
          <w:spacing w:val="-12"/>
        </w:rPr>
        <w:t xml:space="preserve"> </w:t>
      </w:r>
      <w:r>
        <w:t>quality that</w:t>
      </w:r>
      <w:r>
        <w:rPr>
          <w:spacing w:val="-9"/>
        </w:rPr>
        <w:t xml:space="preserve"> </w:t>
      </w:r>
      <w:r>
        <w:t>has</w:t>
      </w:r>
      <w:r>
        <w:rPr>
          <w:spacing w:val="-9"/>
        </w:rPr>
        <w:t xml:space="preserve"> </w:t>
      </w:r>
      <w:r>
        <w:t>become</w:t>
      </w:r>
      <w:r>
        <w:rPr>
          <w:spacing w:val="-10"/>
        </w:rPr>
        <w:t xml:space="preserve"> </w:t>
      </w:r>
      <w:r>
        <w:t>increasingly</w:t>
      </w:r>
      <w:r>
        <w:rPr>
          <w:spacing w:val="-9"/>
        </w:rPr>
        <w:t xml:space="preserve"> </w:t>
      </w:r>
      <w:r>
        <w:t>frequent</w:t>
      </w:r>
      <w:r>
        <w:rPr>
          <w:spacing w:val="-10"/>
        </w:rPr>
        <w:t xml:space="preserve"> </w:t>
      </w:r>
      <w:r>
        <w:t>in</w:t>
      </w:r>
      <w:r>
        <w:rPr>
          <w:spacing w:val="-8"/>
        </w:rPr>
        <w:t xml:space="preserve"> </w:t>
      </w:r>
      <w:r>
        <w:t>recent</w:t>
      </w:r>
      <w:r>
        <w:rPr>
          <w:spacing w:val="-9"/>
        </w:rPr>
        <w:t xml:space="preserve"> </w:t>
      </w:r>
      <w:r>
        <w:t>years.</w:t>
      </w:r>
      <w:r>
        <w:rPr>
          <w:spacing w:val="-8"/>
        </w:rPr>
        <w:t xml:space="preserve"> </w:t>
      </w:r>
      <w:r>
        <w:t>Rural</w:t>
      </w:r>
      <w:r>
        <w:rPr>
          <w:spacing w:val="-9"/>
        </w:rPr>
        <w:t xml:space="preserve"> </w:t>
      </w:r>
      <w:r>
        <w:t>customers</w:t>
      </w:r>
      <w:r>
        <w:rPr>
          <w:spacing w:val="-8"/>
        </w:rPr>
        <w:t xml:space="preserve"> </w:t>
      </w:r>
      <w:r>
        <w:t>continued</w:t>
      </w:r>
      <w:r>
        <w:rPr>
          <w:spacing w:val="-7"/>
        </w:rPr>
        <w:t xml:space="preserve"> </w:t>
      </w:r>
      <w:r>
        <w:t>to</w:t>
      </w:r>
      <w:r>
        <w:rPr>
          <w:spacing w:val="-10"/>
        </w:rPr>
        <w:t xml:space="preserve"> </w:t>
      </w:r>
      <w:r>
        <w:t>demonstrate</w:t>
      </w:r>
      <w:r>
        <w:rPr>
          <w:spacing w:val="-10"/>
        </w:rPr>
        <w:t xml:space="preserve"> </w:t>
      </w:r>
      <w:r>
        <w:t>their</w:t>
      </w:r>
      <w:r>
        <w:rPr>
          <w:spacing w:val="-9"/>
        </w:rPr>
        <w:t xml:space="preserve"> </w:t>
      </w:r>
      <w:r>
        <w:t>support for</w:t>
      </w:r>
      <w:r>
        <w:rPr>
          <w:spacing w:val="-8"/>
        </w:rPr>
        <w:t xml:space="preserve"> </w:t>
      </w:r>
      <w:r>
        <w:t>the</w:t>
      </w:r>
      <w:r>
        <w:rPr>
          <w:spacing w:val="-8"/>
        </w:rPr>
        <w:t xml:space="preserve"> </w:t>
      </w:r>
      <w:r>
        <w:t>water</w:t>
      </w:r>
      <w:r>
        <w:rPr>
          <w:spacing w:val="-8"/>
        </w:rPr>
        <w:t xml:space="preserve"> </w:t>
      </w:r>
      <w:r>
        <w:t>quality</w:t>
      </w:r>
      <w:r>
        <w:rPr>
          <w:spacing w:val="-8"/>
        </w:rPr>
        <w:t xml:space="preserve"> </w:t>
      </w:r>
      <w:r>
        <w:t>treatment</w:t>
      </w:r>
      <w:r>
        <w:rPr>
          <w:spacing w:val="-8"/>
        </w:rPr>
        <w:t xml:space="preserve"> </w:t>
      </w:r>
      <w:r>
        <w:t>options</w:t>
      </w:r>
      <w:r>
        <w:rPr>
          <w:spacing w:val="-6"/>
        </w:rPr>
        <w:t xml:space="preserve"> </w:t>
      </w:r>
      <w:r>
        <w:t>utilised</w:t>
      </w:r>
      <w:r>
        <w:rPr>
          <w:spacing w:val="-8"/>
        </w:rPr>
        <w:t xml:space="preserve"> </w:t>
      </w:r>
      <w:r>
        <w:t>by</w:t>
      </w:r>
      <w:r>
        <w:rPr>
          <w:spacing w:val="-9"/>
        </w:rPr>
        <w:t xml:space="preserve"> </w:t>
      </w:r>
      <w:r>
        <w:t>LMW</w:t>
      </w:r>
      <w:r>
        <w:rPr>
          <w:spacing w:val="-8"/>
        </w:rPr>
        <w:t xml:space="preserve"> </w:t>
      </w:r>
      <w:r>
        <w:t>throughout</w:t>
      </w:r>
      <w:r>
        <w:rPr>
          <w:spacing w:val="-10"/>
        </w:rPr>
        <w:t xml:space="preserve"> </w:t>
      </w:r>
      <w:r>
        <w:t>PS4,</w:t>
      </w:r>
      <w:r>
        <w:rPr>
          <w:spacing w:val="-8"/>
        </w:rPr>
        <w:t xml:space="preserve"> </w:t>
      </w:r>
      <w:r>
        <w:t>as</w:t>
      </w:r>
      <w:r>
        <w:rPr>
          <w:spacing w:val="-8"/>
        </w:rPr>
        <w:t xml:space="preserve"> </w:t>
      </w:r>
      <w:r>
        <w:t>well</w:t>
      </w:r>
      <w:r>
        <w:rPr>
          <w:spacing w:val="-7"/>
        </w:rPr>
        <w:t xml:space="preserve"> </w:t>
      </w:r>
      <w:r>
        <w:t>as</w:t>
      </w:r>
      <w:r>
        <w:rPr>
          <w:spacing w:val="-8"/>
        </w:rPr>
        <w:t xml:space="preserve"> </w:t>
      </w:r>
      <w:r>
        <w:t>expressing</w:t>
      </w:r>
      <w:r>
        <w:rPr>
          <w:spacing w:val="-6"/>
        </w:rPr>
        <w:t xml:space="preserve"> </w:t>
      </w:r>
      <w:r>
        <w:t>a</w:t>
      </w:r>
      <w:r>
        <w:rPr>
          <w:spacing w:val="-9"/>
        </w:rPr>
        <w:t xml:space="preserve"> </w:t>
      </w:r>
      <w:r>
        <w:t>desire</w:t>
      </w:r>
      <w:r>
        <w:rPr>
          <w:spacing w:val="-9"/>
        </w:rPr>
        <w:t xml:space="preserve"> </w:t>
      </w:r>
      <w:r>
        <w:t>for</w:t>
      </w:r>
      <w:r>
        <w:rPr>
          <w:spacing w:val="-8"/>
        </w:rPr>
        <w:t xml:space="preserve"> </w:t>
      </w:r>
      <w:r>
        <w:t>LMW to</w:t>
      </w:r>
      <w:r>
        <w:rPr>
          <w:spacing w:val="-2"/>
        </w:rPr>
        <w:t xml:space="preserve"> </w:t>
      </w:r>
      <w:r>
        <w:t>be</w:t>
      </w:r>
      <w:r>
        <w:rPr>
          <w:spacing w:val="-1"/>
        </w:rPr>
        <w:t xml:space="preserve"> </w:t>
      </w:r>
      <w:r>
        <w:t>innovative</w:t>
      </w:r>
      <w:r>
        <w:rPr>
          <w:spacing w:val="-4"/>
        </w:rPr>
        <w:t xml:space="preserve"> </w:t>
      </w:r>
      <w:r>
        <w:t>in</w:t>
      </w:r>
      <w:r>
        <w:rPr>
          <w:spacing w:val="-1"/>
        </w:rPr>
        <w:t xml:space="preserve"> </w:t>
      </w:r>
      <w:r>
        <w:t>managing</w:t>
      </w:r>
      <w:r>
        <w:rPr>
          <w:spacing w:val="-2"/>
        </w:rPr>
        <w:t xml:space="preserve"> </w:t>
      </w:r>
      <w:r>
        <w:t>changes</w:t>
      </w:r>
      <w:r>
        <w:rPr>
          <w:spacing w:val="-1"/>
        </w:rPr>
        <w:t xml:space="preserve"> </w:t>
      </w:r>
      <w:r>
        <w:t>in</w:t>
      </w:r>
      <w:r>
        <w:rPr>
          <w:spacing w:val="-1"/>
        </w:rPr>
        <w:t xml:space="preserve"> </w:t>
      </w:r>
      <w:r>
        <w:t>water</w:t>
      </w:r>
      <w:r>
        <w:rPr>
          <w:spacing w:val="-2"/>
        </w:rPr>
        <w:t xml:space="preserve"> </w:t>
      </w:r>
      <w:r>
        <w:t>quality.</w:t>
      </w:r>
      <w:r>
        <w:rPr>
          <w:spacing w:val="-2"/>
        </w:rPr>
        <w:t xml:space="preserve"> </w:t>
      </w:r>
      <w:r>
        <w:t>Urban</w:t>
      </w:r>
      <w:r>
        <w:rPr>
          <w:spacing w:val="-2"/>
        </w:rPr>
        <w:t xml:space="preserve"> </w:t>
      </w:r>
      <w:r>
        <w:t>customers</w:t>
      </w:r>
      <w:r>
        <w:rPr>
          <w:spacing w:val="-1"/>
        </w:rPr>
        <w:t xml:space="preserve"> </w:t>
      </w:r>
      <w:r>
        <w:t>also</w:t>
      </w:r>
      <w:r>
        <w:rPr>
          <w:spacing w:val="-1"/>
        </w:rPr>
        <w:t xml:space="preserve"> </w:t>
      </w:r>
      <w:r>
        <w:t>rated</w:t>
      </w:r>
      <w:r>
        <w:rPr>
          <w:spacing w:val="-1"/>
        </w:rPr>
        <w:t xml:space="preserve"> </w:t>
      </w:r>
      <w:r>
        <w:t>investment</w:t>
      </w:r>
      <w:r>
        <w:rPr>
          <w:spacing w:val="-2"/>
        </w:rPr>
        <w:t xml:space="preserve"> </w:t>
      </w:r>
      <w:r>
        <w:t>in</w:t>
      </w:r>
      <w:r>
        <w:rPr>
          <w:spacing w:val="-1"/>
        </w:rPr>
        <w:t xml:space="preserve"> </w:t>
      </w:r>
      <w:r>
        <w:t>innovation</w:t>
      </w:r>
      <w:r>
        <w:rPr>
          <w:spacing w:val="-2"/>
        </w:rPr>
        <w:t xml:space="preserve"> </w:t>
      </w:r>
      <w:r>
        <w:t>in water</w:t>
      </w:r>
      <w:r>
        <w:rPr>
          <w:spacing w:val="-1"/>
        </w:rPr>
        <w:t xml:space="preserve"> </w:t>
      </w:r>
      <w:r>
        <w:t>treatment</w:t>
      </w:r>
      <w:r>
        <w:rPr>
          <w:spacing w:val="-2"/>
        </w:rPr>
        <w:t xml:space="preserve"> </w:t>
      </w:r>
      <w:r>
        <w:t>processes to</w:t>
      </w:r>
      <w:r>
        <w:rPr>
          <w:spacing w:val="-2"/>
        </w:rPr>
        <w:t xml:space="preserve"> </w:t>
      </w:r>
      <w:r>
        <w:t>improve</w:t>
      </w:r>
      <w:r>
        <w:rPr>
          <w:spacing w:val="-3"/>
        </w:rPr>
        <w:t xml:space="preserve"> </w:t>
      </w:r>
      <w:r>
        <w:t>water</w:t>
      </w:r>
      <w:r>
        <w:rPr>
          <w:spacing w:val="-1"/>
        </w:rPr>
        <w:t xml:space="preserve"> </w:t>
      </w:r>
      <w:r>
        <w:t>quality</w:t>
      </w:r>
      <w:r>
        <w:rPr>
          <w:spacing w:val="-2"/>
        </w:rPr>
        <w:t xml:space="preserve"> </w:t>
      </w:r>
      <w:r>
        <w:t>as</w:t>
      </w:r>
      <w:r>
        <w:rPr>
          <w:spacing w:val="-2"/>
        </w:rPr>
        <w:t xml:space="preserve"> </w:t>
      </w:r>
      <w:r>
        <w:t>a</w:t>
      </w:r>
      <w:r>
        <w:rPr>
          <w:spacing w:val="-2"/>
        </w:rPr>
        <w:t xml:space="preserve"> </w:t>
      </w:r>
      <w:r>
        <w:t>very</w:t>
      </w:r>
      <w:r>
        <w:rPr>
          <w:spacing w:val="-1"/>
        </w:rPr>
        <w:t xml:space="preserve"> </w:t>
      </w:r>
      <w:r>
        <w:t>high</w:t>
      </w:r>
      <w:r>
        <w:rPr>
          <w:spacing w:val="-1"/>
        </w:rPr>
        <w:t xml:space="preserve"> </w:t>
      </w:r>
      <w:r>
        <w:t>priority.</w:t>
      </w:r>
      <w:r>
        <w:rPr>
          <w:spacing w:val="-2"/>
        </w:rPr>
        <w:t xml:space="preserve"> </w:t>
      </w:r>
      <w:r>
        <w:t>This represents</w:t>
      </w:r>
      <w:r>
        <w:rPr>
          <w:spacing w:val="-2"/>
        </w:rPr>
        <w:t xml:space="preserve"> </w:t>
      </w:r>
      <w:r>
        <w:t>a</w:t>
      </w:r>
      <w:r>
        <w:rPr>
          <w:spacing w:val="-1"/>
        </w:rPr>
        <w:t xml:space="preserve"> </w:t>
      </w:r>
      <w:r>
        <w:t>significant</w:t>
      </w:r>
      <w:r>
        <w:rPr>
          <w:spacing w:val="-3"/>
        </w:rPr>
        <w:t xml:space="preserve"> </w:t>
      </w:r>
      <w:r>
        <w:t>shift</w:t>
      </w:r>
      <w:r>
        <w:rPr>
          <w:spacing w:val="-2"/>
        </w:rPr>
        <w:t xml:space="preserve"> </w:t>
      </w:r>
      <w:r>
        <w:t>in the sentiment expressed in PS4 where they were not willing to pay for further investment in this area.</w:t>
      </w:r>
    </w:p>
    <w:p w14:paraId="1187418E" w14:textId="77777777" w:rsidR="00141B97" w:rsidRDefault="00141B97">
      <w:pPr>
        <w:pStyle w:val="BodyText"/>
      </w:pPr>
    </w:p>
    <w:p w14:paraId="0CEAAB66" w14:textId="77777777" w:rsidR="00141B97" w:rsidRDefault="00911D63">
      <w:pPr>
        <w:pStyle w:val="BodyText"/>
        <w:ind w:left="154" w:right="247" w:hanging="1"/>
        <w:jc w:val="both"/>
      </w:pPr>
      <w:r>
        <w:t>Both</w:t>
      </w:r>
      <w:r>
        <w:rPr>
          <w:spacing w:val="-13"/>
        </w:rPr>
        <w:t xml:space="preserve"> </w:t>
      </w:r>
      <w:r>
        <w:t>urban</w:t>
      </w:r>
      <w:r>
        <w:rPr>
          <w:spacing w:val="-12"/>
        </w:rPr>
        <w:t xml:space="preserve"> </w:t>
      </w:r>
      <w:r>
        <w:t>and</w:t>
      </w:r>
      <w:r>
        <w:rPr>
          <w:spacing w:val="-13"/>
        </w:rPr>
        <w:t xml:space="preserve"> </w:t>
      </w:r>
      <w:r>
        <w:t>rural</w:t>
      </w:r>
      <w:r>
        <w:rPr>
          <w:spacing w:val="-12"/>
        </w:rPr>
        <w:t xml:space="preserve"> </w:t>
      </w:r>
      <w:r>
        <w:t>customers</w:t>
      </w:r>
      <w:r>
        <w:rPr>
          <w:spacing w:val="-13"/>
        </w:rPr>
        <w:t xml:space="preserve"> </w:t>
      </w:r>
      <w:r>
        <w:t>reiterated</w:t>
      </w:r>
      <w:r>
        <w:rPr>
          <w:spacing w:val="-12"/>
        </w:rPr>
        <w:t xml:space="preserve"> </w:t>
      </w:r>
      <w:r>
        <w:t>the</w:t>
      </w:r>
      <w:r>
        <w:rPr>
          <w:spacing w:val="-13"/>
        </w:rPr>
        <w:t xml:space="preserve"> </w:t>
      </w:r>
      <w:r>
        <w:t>importance</w:t>
      </w:r>
      <w:r>
        <w:rPr>
          <w:spacing w:val="-12"/>
        </w:rPr>
        <w:t xml:space="preserve"> </w:t>
      </w:r>
      <w:r>
        <w:t>of</w:t>
      </w:r>
      <w:r>
        <w:rPr>
          <w:spacing w:val="-12"/>
        </w:rPr>
        <w:t xml:space="preserve"> </w:t>
      </w:r>
      <w:r>
        <w:t>LMW</w:t>
      </w:r>
      <w:r>
        <w:rPr>
          <w:spacing w:val="-13"/>
        </w:rPr>
        <w:t xml:space="preserve"> </w:t>
      </w:r>
      <w:r>
        <w:t>maintaining</w:t>
      </w:r>
      <w:r>
        <w:rPr>
          <w:spacing w:val="-12"/>
        </w:rPr>
        <w:t xml:space="preserve"> </w:t>
      </w:r>
      <w:r>
        <w:t>a</w:t>
      </w:r>
      <w:r>
        <w:rPr>
          <w:spacing w:val="-13"/>
        </w:rPr>
        <w:t xml:space="preserve"> </w:t>
      </w:r>
      <w:r>
        <w:t>skilled</w:t>
      </w:r>
      <w:r>
        <w:rPr>
          <w:spacing w:val="-12"/>
        </w:rPr>
        <w:t xml:space="preserve"> </w:t>
      </w:r>
      <w:r>
        <w:t>and</w:t>
      </w:r>
      <w:r>
        <w:rPr>
          <w:spacing w:val="-13"/>
        </w:rPr>
        <w:t xml:space="preserve"> </w:t>
      </w:r>
      <w:r>
        <w:t>engaged</w:t>
      </w:r>
      <w:r>
        <w:rPr>
          <w:spacing w:val="-12"/>
        </w:rPr>
        <w:t xml:space="preserve"> </w:t>
      </w:r>
      <w:r>
        <w:t>workforce, providing</w:t>
      </w:r>
      <w:r>
        <w:rPr>
          <w:spacing w:val="-6"/>
        </w:rPr>
        <w:t xml:space="preserve"> </w:t>
      </w:r>
      <w:r>
        <w:t>professional</w:t>
      </w:r>
      <w:r>
        <w:rPr>
          <w:spacing w:val="-5"/>
        </w:rPr>
        <w:t xml:space="preserve"> </w:t>
      </w:r>
      <w:r>
        <w:t>development</w:t>
      </w:r>
      <w:r>
        <w:rPr>
          <w:spacing w:val="-6"/>
        </w:rPr>
        <w:t xml:space="preserve"> </w:t>
      </w:r>
      <w:r>
        <w:t>for</w:t>
      </w:r>
      <w:r>
        <w:rPr>
          <w:spacing w:val="-5"/>
        </w:rPr>
        <w:t xml:space="preserve"> </w:t>
      </w:r>
      <w:r>
        <w:t>all</w:t>
      </w:r>
      <w:r>
        <w:rPr>
          <w:spacing w:val="-5"/>
        </w:rPr>
        <w:t xml:space="preserve"> </w:t>
      </w:r>
      <w:r>
        <w:t>employees</w:t>
      </w:r>
      <w:r>
        <w:rPr>
          <w:spacing w:val="-4"/>
        </w:rPr>
        <w:t xml:space="preserve"> </w:t>
      </w:r>
      <w:r>
        <w:t>to</w:t>
      </w:r>
      <w:r>
        <w:rPr>
          <w:spacing w:val="-5"/>
        </w:rPr>
        <w:t xml:space="preserve"> </w:t>
      </w:r>
      <w:r>
        <w:t>ensure</w:t>
      </w:r>
      <w:r>
        <w:rPr>
          <w:spacing w:val="-6"/>
        </w:rPr>
        <w:t xml:space="preserve"> </w:t>
      </w:r>
      <w:r>
        <w:t>they</w:t>
      </w:r>
      <w:r>
        <w:rPr>
          <w:spacing w:val="-5"/>
        </w:rPr>
        <w:t xml:space="preserve"> </w:t>
      </w:r>
      <w:r>
        <w:t>can</w:t>
      </w:r>
      <w:r>
        <w:rPr>
          <w:spacing w:val="-5"/>
        </w:rPr>
        <w:t xml:space="preserve"> </w:t>
      </w:r>
      <w:r>
        <w:t>respond</w:t>
      </w:r>
      <w:r>
        <w:rPr>
          <w:spacing w:val="-6"/>
        </w:rPr>
        <w:t xml:space="preserve"> </w:t>
      </w:r>
      <w:r>
        <w:t>to</w:t>
      </w:r>
      <w:r>
        <w:rPr>
          <w:spacing w:val="-6"/>
        </w:rPr>
        <w:t xml:space="preserve"> </w:t>
      </w:r>
      <w:r>
        <w:t>customer</w:t>
      </w:r>
      <w:r>
        <w:rPr>
          <w:spacing w:val="-5"/>
        </w:rPr>
        <w:t xml:space="preserve"> </w:t>
      </w:r>
      <w:r>
        <w:t>enquiries</w:t>
      </w:r>
      <w:r>
        <w:rPr>
          <w:spacing w:val="-5"/>
        </w:rPr>
        <w:t xml:space="preserve"> </w:t>
      </w:r>
      <w:r>
        <w:t>within a reasonable timeframe and are equipped to make decisions to resolve customer requests and complaints quickly. Both customer cohorts expect LMW to be transparent in business processes and work in partnership with customers to achieve the collective aspirations identified, including:</w:t>
      </w:r>
    </w:p>
    <w:p w14:paraId="21BE0E1F" w14:textId="77777777" w:rsidR="00141B97" w:rsidRDefault="00911D63">
      <w:pPr>
        <w:pStyle w:val="ListParagraph"/>
        <w:numPr>
          <w:ilvl w:val="3"/>
          <w:numId w:val="113"/>
        </w:numPr>
        <w:tabs>
          <w:tab w:val="left" w:pos="873"/>
          <w:tab w:val="left" w:pos="874"/>
        </w:tabs>
        <w:ind w:right="248" w:hanging="361"/>
      </w:pPr>
      <w:r>
        <w:t>Clear</w:t>
      </w:r>
      <w:r>
        <w:rPr>
          <w:spacing w:val="-7"/>
        </w:rPr>
        <w:t xml:space="preserve"> </w:t>
      </w:r>
      <w:r>
        <w:t>and</w:t>
      </w:r>
      <w:r>
        <w:rPr>
          <w:spacing w:val="-7"/>
        </w:rPr>
        <w:t xml:space="preserve"> </w:t>
      </w:r>
      <w:r>
        <w:t>regular</w:t>
      </w:r>
      <w:r>
        <w:rPr>
          <w:spacing w:val="-6"/>
        </w:rPr>
        <w:t xml:space="preserve"> </w:t>
      </w:r>
      <w:r>
        <w:t>communication</w:t>
      </w:r>
      <w:r>
        <w:rPr>
          <w:spacing w:val="-5"/>
        </w:rPr>
        <w:t xml:space="preserve"> </w:t>
      </w:r>
      <w:r>
        <w:t>via</w:t>
      </w:r>
      <w:r>
        <w:rPr>
          <w:spacing w:val="-7"/>
        </w:rPr>
        <w:t xml:space="preserve"> </w:t>
      </w:r>
      <w:r>
        <w:t>CSAC</w:t>
      </w:r>
      <w:r>
        <w:rPr>
          <w:spacing w:val="-6"/>
        </w:rPr>
        <w:t xml:space="preserve"> </w:t>
      </w:r>
      <w:r>
        <w:t>and</w:t>
      </w:r>
      <w:r>
        <w:rPr>
          <w:spacing w:val="-7"/>
        </w:rPr>
        <w:t xml:space="preserve"> </w:t>
      </w:r>
      <w:r>
        <w:t>SAC</w:t>
      </w:r>
      <w:r>
        <w:rPr>
          <w:spacing w:val="-6"/>
        </w:rPr>
        <w:t xml:space="preserve"> </w:t>
      </w:r>
      <w:r>
        <w:t>forums</w:t>
      </w:r>
      <w:r>
        <w:rPr>
          <w:spacing w:val="-6"/>
        </w:rPr>
        <w:t xml:space="preserve"> </w:t>
      </w:r>
      <w:r>
        <w:t>to</w:t>
      </w:r>
      <w:r>
        <w:rPr>
          <w:spacing w:val="-6"/>
        </w:rPr>
        <w:t xml:space="preserve"> </w:t>
      </w:r>
      <w:r>
        <w:t>provide</w:t>
      </w:r>
      <w:r>
        <w:rPr>
          <w:spacing w:val="-6"/>
        </w:rPr>
        <w:t xml:space="preserve"> </w:t>
      </w:r>
      <w:r>
        <w:t>information</w:t>
      </w:r>
      <w:r>
        <w:rPr>
          <w:spacing w:val="-7"/>
        </w:rPr>
        <w:t xml:space="preserve"> </w:t>
      </w:r>
      <w:r>
        <w:t>regarding</w:t>
      </w:r>
      <w:r>
        <w:rPr>
          <w:spacing w:val="-6"/>
        </w:rPr>
        <w:t xml:space="preserve"> </w:t>
      </w:r>
      <w:r>
        <w:t>how</w:t>
      </w:r>
      <w:r>
        <w:rPr>
          <w:spacing w:val="-7"/>
        </w:rPr>
        <w:t xml:space="preserve"> </w:t>
      </w:r>
      <w:r>
        <w:t>LMW spends customer fees and charges.</w:t>
      </w:r>
    </w:p>
    <w:p w14:paraId="1330793B" w14:textId="77777777" w:rsidR="00141B97" w:rsidRDefault="00911D63">
      <w:pPr>
        <w:pStyle w:val="ListParagraph"/>
        <w:numPr>
          <w:ilvl w:val="3"/>
          <w:numId w:val="113"/>
        </w:numPr>
        <w:tabs>
          <w:tab w:val="left" w:pos="873"/>
          <w:tab w:val="left" w:pos="874"/>
        </w:tabs>
        <w:ind w:right="248" w:hanging="361"/>
      </w:pPr>
      <w:r>
        <w:t>Clear</w:t>
      </w:r>
      <w:r>
        <w:rPr>
          <w:spacing w:val="28"/>
        </w:rPr>
        <w:t xml:space="preserve"> </w:t>
      </w:r>
      <w:r>
        <w:t>commitment</w:t>
      </w:r>
      <w:r>
        <w:rPr>
          <w:spacing w:val="29"/>
        </w:rPr>
        <w:t xml:space="preserve"> </w:t>
      </w:r>
      <w:r>
        <w:t>and</w:t>
      </w:r>
      <w:r>
        <w:rPr>
          <w:spacing w:val="29"/>
        </w:rPr>
        <w:t xml:space="preserve"> </w:t>
      </w:r>
      <w:r>
        <w:t>communication</w:t>
      </w:r>
      <w:r>
        <w:rPr>
          <w:spacing w:val="30"/>
        </w:rPr>
        <w:t xml:space="preserve"> </w:t>
      </w:r>
      <w:r>
        <w:t>regarding</w:t>
      </w:r>
      <w:r>
        <w:rPr>
          <w:spacing w:val="27"/>
        </w:rPr>
        <w:t xml:space="preserve"> </w:t>
      </w:r>
      <w:r>
        <w:t>procurement</w:t>
      </w:r>
      <w:r>
        <w:rPr>
          <w:spacing w:val="29"/>
        </w:rPr>
        <w:t xml:space="preserve"> </w:t>
      </w:r>
      <w:r>
        <w:t>opportunities</w:t>
      </w:r>
      <w:r>
        <w:rPr>
          <w:spacing w:val="30"/>
        </w:rPr>
        <w:t xml:space="preserve"> </w:t>
      </w:r>
      <w:r>
        <w:t>and</w:t>
      </w:r>
      <w:r>
        <w:rPr>
          <w:spacing w:val="27"/>
        </w:rPr>
        <w:t xml:space="preserve"> </w:t>
      </w:r>
      <w:r>
        <w:t>tender</w:t>
      </w:r>
      <w:r>
        <w:rPr>
          <w:spacing w:val="28"/>
        </w:rPr>
        <w:t xml:space="preserve"> </w:t>
      </w:r>
      <w:r>
        <w:t>processes with a focus on local jobs first as well as obtaining cost efficiencies.</w:t>
      </w:r>
    </w:p>
    <w:p w14:paraId="45A7883A" w14:textId="77777777" w:rsidR="00141B97" w:rsidRDefault="00911D63">
      <w:pPr>
        <w:pStyle w:val="ListParagraph"/>
        <w:numPr>
          <w:ilvl w:val="3"/>
          <w:numId w:val="113"/>
        </w:numPr>
        <w:tabs>
          <w:tab w:val="left" w:pos="873"/>
          <w:tab w:val="left" w:pos="874"/>
        </w:tabs>
        <w:ind w:right="248" w:hanging="361"/>
      </w:pPr>
      <w:r>
        <w:t>Enabling</w:t>
      </w:r>
      <w:r>
        <w:rPr>
          <w:spacing w:val="26"/>
        </w:rPr>
        <w:t xml:space="preserve"> </w:t>
      </w:r>
      <w:r>
        <w:t>rural</w:t>
      </w:r>
      <w:r>
        <w:rPr>
          <w:spacing w:val="26"/>
        </w:rPr>
        <w:t xml:space="preserve"> </w:t>
      </w:r>
      <w:r>
        <w:t>customers</w:t>
      </w:r>
      <w:r>
        <w:rPr>
          <w:spacing w:val="28"/>
        </w:rPr>
        <w:t xml:space="preserve"> </w:t>
      </w:r>
      <w:r>
        <w:t>an</w:t>
      </w:r>
      <w:r>
        <w:rPr>
          <w:spacing w:val="26"/>
        </w:rPr>
        <w:t xml:space="preserve"> </w:t>
      </w:r>
      <w:r>
        <w:t>opportunity</w:t>
      </w:r>
      <w:r>
        <w:rPr>
          <w:spacing w:val="26"/>
        </w:rPr>
        <w:t xml:space="preserve"> </w:t>
      </w:r>
      <w:r>
        <w:t>to</w:t>
      </w:r>
      <w:r>
        <w:rPr>
          <w:spacing w:val="26"/>
        </w:rPr>
        <w:t xml:space="preserve"> </w:t>
      </w:r>
      <w:r>
        <w:t>have</w:t>
      </w:r>
      <w:r>
        <w:rPr>
          <w:spacing w:val="25"/>
        </w:rPr>
        <w:t xml:space="preserve"> </w:t>
      </w:r>
      <w:r>
        <w:t>input</w:t>
      </w:r>
      <w:r>
        <w:rPr>
          <w:spacing w:val="26"/>
        </w:rPr>
        <w:t xml:space="preserve"> </w:t>
      </w:r>
      <w:r>
        <w:t>into</w:t>
      </w:r>
      <w:r>
        <w:rPr>
          <w:spacing w:val="25"/>
        </w:rPr>
        <w:t xml:space="preserve"> </w:t>
      </w:r>
      <w:r>
        <w:t>winter</w:t>
      </w:r>
      <w:r>
        <w:rPr>
          <w:spacing w:val="26"/>
        </w:rPr>
        <w:t xml:space="preserve"> </w:t>
      </w:r>
      <w:r>
        <w:t>maintenance</w:t>
      </w:r>
      <w:r>
        <w:rPr>
          <w:spacing w:val="26"/>
        </w:rPr>
        <w:t xml:space="preserve"> </w:t>
      </w:r>
      <w:r>
        <w:t>programs</w:t>
      </w:r>
      <w:r>
        <w:rPr>
          <w:spacing w:val="28"/>
        </w:rPr>
        <w:t xml:space="preserve"> </w:t>
      </w:r>
      <w:r>
        <w:t>to</w:t>
      </w:r>
      <w:r>
        <w:rPr>
          <w:spacing w:val="26"/>
        </w:rPr>
        <w:t xml:space="preserve"> </w:t>
      </w:r>
      <w:r>
        <w:t>avoid disruption and prioritisation.</w:t>
      </w:r>
    </w:p>
    <w:p w14:paraId="4721F0F6" w14:textId="77777777" w:rsidR="00141B97" w:rsidRDefault="00141B97">
      <w:pPr>
        <w:pStyle w:val="BodyText"/>
      </w:pPr>
    </w:p>
    <w:p w14:paraId="7C25E9AD" w14:textId="77777777" w:rsidR="00141B97" w:rsidRDefault="00911D63">
      <w:pPr>
        <w:pStyle w:val="BodyText"/>
        <w:ind w:left="154" w:right="245" w:hanging="1"/>
        <w:jc w:val="both"/>
      </w:pPr>
      <w:r>
        <w:t>Urban and rural customers have clearly expressed the desire for LMW to have a future focus in infrastructure planning and are supportive of investment that enables LMW to achieve this. Specifically, planning relating to the following was identified:</w:t>
      </w:r>
    </w:p>
    <w:p w14:paraId="558289A8" w14:textId="77777777" w:rsidR="00141B97" w:rsidRDefault="00911D63">
      <w:pPr>
        <w:pStyle w:val="ListParagraph"/>
        <w:numPr>
          <w:ilvl w:val="3"/>
          <w:numId w:val="113"/>
        </w:numPr>
        <w:tabs>
          <w:tab w:val="left" w:pos="873"/>
          <w:tab w:val="left" w:pos="875"/>
        </w:tabs>
        <w:spacing w:line="280" w:lineRule="exact"/>
        <w:ind w:hanging="361"/>
      </w:pPr>
      <w:r>
        <w:t>Infrastructure</w:t>
      </w:r>
      <w:r>
        <w:rPr>
          <w:spacing w:val="-7"/>
        </w:rPr>
        <w:t xml:space="preserve"> </w:t>
      </w:r>
      <w:r>
        <w:t>upgrades</w:t>
      </w:r>
      <w:r>
        <w:rPr>
          <w:spacing w:val="-7"/>
        </w:rPr>
        <w:t xml:space="preserve"> </w:t>
      </w:r>
      <w:r>
        <w:t>to</w:t>
      </w:r>
      <w:r>
        <w:rPr>
          <w:spacing w:val="-6"/>
        </w:rPr>
        <w:t xml:space="preserve"> </w:t>
      </w:r>
      <w:r>
        <w:t>support</w:t>
      </w:r>
      <w:r>
        <w:rPr>
          <w:spacing w:val="-9"/>
        </w:rPr>
        <w:t xml:space="preserve"> </w:t>
      </w:r>
      <w:r>
        <w:t>population</w:t>
      </w:r>
      <w:r>
        <w:rPr>
          <w:spacing w:val="-8"/>
        </w:rPr>
        <w:t xml:space="preserve"> </w:t>
      </w:r>
      <w:r>
        <w:t>growth</w:t>
      </w:r>
      <w:r>
        <w:rPr>
          <w:spacing w:val="-6"/>
        </w:rPr>
        <w:t xml:space="preserve"> </w:t>
      </w:r>
      <w:r>
        <w:t>was</w:t>
      </w:r>
      <w:r>
        <w:rPr>
          <w:spacing w:val="-8"/>
        </w:rPr>
        <w:t xml:space="preserve"> </w:t>
      </w:r>
      <w:r>
        <w:t>rated</w:t>
      </w:r>
      <w:r>
        <w:rPr>
          <w:spacing w:val="-8"/>
        </w:rPr>
        <w:t xml:space="preserve"> </w:t>
      </w:r>
      <w:r>
        <w:t>a</w:t>
      </w:r>
      <w:r>
        <w:rPr>
          <w:spacing w:val="-7"/>
        </w:rPr>
        <w:t xml:space="preserve"> </w:t>
      </w:r>
      <w:r>
        <w:t>very</w:t>
      </w:r>
      <w:r>
        <w:rPr>
          <w:spacing w:val="-8"/>
        </w:rPr>
        <w:t xml:space="preserve"> </w:t>
      </w:r>
      <w:r>
        <w:t>high</w:t>
      </w:r>
      <w:r>
        <w:rPr>
          <w:spacing w:val="-6"/>
        </w:rPr>
        <w:t xml:space="preserve"> </w:t>
      </w:r>
      <w:r>
        <w:t>by</w:t>
      </w:r>
      <w:r>
        <w:rPr>
          <w:spacing w:val="-8"/>
        </w:rPr>
        <w:t xml:space="preserve"> </w:t>
      </w:r>
      <w:r>
        <w:t>urban</w:t>
      </w:r>
      <w:r>
        <w:rPr>
          <w:spacing w:val="-9"/>
        </w:rPr>
        <w:t xml:space="preserve"> </w:t>
      </w:r>
      <w:r>
        <w:rPr>
          <w:spacing w:val="-2"/>
        </w:rPr>
        <w:t>customers.</w:t>
      </w:r>
    </w:p>
    <w:p w14:paraId="0BE7DCF5" w14:textId="77777777" w:rsidR="00141B97" w:rsidRDefault="00911D63">
      <w:pPr>
        <w:pStyle w:val="ListParagraph"/>
        <w:numPr>
          <w:ilvl w:val="3"/>
          <w:numId w:val="113"/>
        </w:numPr>
        <w:tabs>
          <w:tab w:val="left" w:pos="873"/>
          <w:tab w:val="left" w:pos="874"/>
        </w:tabs>
        <w:ind w:left="873" w:right="248"/>
      </w:pPr>
      <w:r>
        <w:t>Both urban and rural customers supported investigation into funding opportunities to expand urban water networks into rural areas.</w:t>
      </w:r>
    </w:p>
    <w:p w14:paraId="59145E32" w14:textId="77777777" w:rsidR="00141B97" w:rsidRDefault="00911D63">
      <w:pPr>
        <w:pStyle w:val="ListParagraph"/>
        <w:numPr>
          <w:ilvl w:val="3"/>
          <w:numId w:val="113"/>
        </w:numPr>
        <w:tabs>
          <w:tab w:val="left" w:pos="873"/>
          <w:tab w:val="left" w:pos="874"/>
        </w:tabs>
        <w:spacing w:before="1"/>
      </w:pPr>
      <w:r>
        <w:t>Redesigning</w:t>
      </w:r>
      <w:r>
        <w:rPr>
          <w:spacing w:val="-8"/>
        </w:rPr>
        <w:t xml:space="preserve"> </w:t>
      </w:r>
      <w:r>
        <w:t>infrastructure</w:t>
      </w:r>
      <w:r>
        <w:rPr>
          <w:spacing w:val="-7"/>
        </w:rPr>
        <w:t xml:space="preserve"> </w:t>
      </w:r>
      <w:r>
        <w:t>systems</w:t>
      </w:r>
      <w:r>
        <w:rPr>
          <w:spacing w:val="-8"/>
        </w:rPr>
        <w:t xml:space="preserve"> </w:t>
      </w:r>
      <w:r>
        <w:t>for</w:t>
      </w:r>
      <w:r>
        <w:rPr>
          <w:spacing w:val="-7"/>
        </w:rPr>
        <w:t xml:space="preserve"> </w:t>
      </w:r>
      <w:r>
        <w:t>demand</w:t>
      </w:r>
      <w:r>
        <w:rPr>
          <w:spacing w:val="-7"/>
        </w:rPr>
        <w:t xml:space="preserve"> </w:t>
      </w:r>
      <w:r>
        <w:t>based</w:t>
      </w:r>
      <w:r>
        <w:rPr>
          <w:spacing w:val="-8"/>
        </w:rPr>
        <w:t xml:space="preserve"> </w:t>
      </w:r>
      <w:r>
        <w:t>on</w:t>
      </w:r>
      <w:r>
        <w:rPr>
          <w:spacing w:val="-7"/>
        </w:rPr>
        <w:t xml:space="preserve"> </w:t>
      </w:r>
      <w:r>
        <w:t>current</w:t>
      </w:r>
      <w:r>
        <w:rPr>
          <w:spacing w:val="-7"/>
        </w:rPr>
        <w:t xml:space="preserve"> </w:t>
      </w:r>
      <w:r>
        <w:t>and</w:t>
      </w:r>
      <w:r>
        <w:rPr>
          <w:spacing w:val="-8"/>
        </w:rPr>
        <w:t xml:space="preserve"> </w:t>
      </w:r>
      <w:r>
        <w:t>future</w:t>
      </w:r>
      <w:r>
        <w:rPr>
          <w:spacing w:val="-7"/>
        </w:rPr>
        <w:t xml:space="preserve"> </w:t>
      </w:r>
      <w:r>
        <w:t>crop</w:t>
      </w:r>
      <w:r>
        <w:rPr>
          <w:spacing w:val="-8"/>
        </w:rPr>
        <w:t xml:space="preserve"> </w:t>
      </w:r>
      <w:r>
        <w:rPr>
          <w:spacing w:val="-2"/>
        </w:rPr>
        <w:t>types.</w:t>
      </w:r>
    </w:p>
    <w:p w14:paraId="7D6E9108" w14:textId="77777777" w:rsidR="00141B97" w:rsidRDefault="00141B97">
      <w:pPr>
        <w:pStyle w:val="BodyText"/>
        <w:spacing w:before="1"/>
        <w:rPr>
          <w:sz w:val="31"/>
        </w:rPr>
      </w:pPr>
    </w:p>
    <w:p w14:paraId="15BEDD30" w14:textId="77777777" w:rsidR="00141B97" w:rsidRDefault="00911D63">
      <w:pPr>
        <w:pStyle w:val="Heading2"/>
        <w:numPr>
          <w:ilvl w:val="1"/>
          <w:numId w:val="113"/>
        </w:numPr>
        <w:tabs>
          <w:tab w:val="left" w:pos="1152"/>
          <w:tab w:val="left" w:pos="1153"/>
        </w:tabs>
      </w:pPr>
      <w:bookmarkStart w:id="8" w:name="_TOC_250019"/>
      <w:r>
        <w:rPr>
          <w:color w:val="009BAC"/>
        </w:rPr>
        <w:t>Development</w:t>
      </w:r>
      <w:r>
        <w:rPr>
          <w:color w:val="009BAC"/>
          <w:spacing w:val="-10"/>
        </w:rPr>
        <w:t xml:space="preserve"> </w:t>
      </w:r>
      <w:r>
        <w:rPr>
          <w:color w:val="009BAC"/>
        </w:rPr>
        <w:t>of</w:t>
      </w:r>
      <w:r>
        <w:rPr>
          <w:color w:val="009BAC"/>
          <w:spacing w:val="-9"/>
        </w:rPr>
        <w:t xml:space="preserve"> </w:t>
      </w:r>
      <w:r>
        <w:rPr>
          <w:color w:val="009BAC"/>
        </w:rPr>
        <w:t>Customer</w:t>
      </w:r>
      <w:r>
        <w:rPr>
          <w:color w:val="009BAC"/>
          <w:spacing w:val="-9"/>
        </w:rPr>
        <w:t xml:space="preserve"> </w:t>
      </w:r>
      <w:bookmarkEnd w:id="8"/>
      <w:r>
        <w:rPr>
          <w:color w:val="009BAC"/>
          <w:spacing w:val="-2"/>
        </w:rPr>
        <w:t>Outcomes</w:t>
      </w:r>
    </w:p>
    <w:p w14:paraId="563848E3" w14:textId="77777777" w:rsidR="00141B97" w:rsidRDefault="00911D63">
      <w:pPr>
        <w:pStyle w:val="BodyText"/>
        <w:spacing w:before="120"/>
        <w:ind w:left="153" w:right="247"/>
        <w:jc w:val="both"/>
      </w:pPr>
      <w:r>
        <w:t>The comprehensive feedback collected from customers during the targeted PS5 engagement activity was collated and cross‐referenced against PS4 outcomes before being tested with LMW customers. This approach led</w:t>
      </w:r>
      <w:r>
        <w:rPr>
          <w:spacing w:val="-6"/>
        </w:rPr>
        <w:t xml:space="preserve"> </w:t>
      </w:r>
      <w:r>
        <w:t>to</w:t>
      </w:r>
      <w:r>
        <w:rPr>
          <w:spacing w:val="-6"/>
        </w:rPr>
        <w:t xml:space="preserve"> </w:t>
      </w:r>
      <w:r>
        <w:t>an</w:t>
      </w:r>
      <w:r>
        <w:rPr>
          <w:spacing w:val="-4"/>
        </w:rPr>
        <w:t xml:space="preserve"> </w:t>
      </w:r>
      <w:r>
        <w:t>iteration</w:t>
      </w:r>
      <w:r>
        <w:rPr>
          <w:spacing w:val="-6"/>
        </w:rPr>
        <w:t xml:space="preserve"> </w:t>
      </w:r>
      <w:r>
        <w:t>of</w:t>
      </w:r>
      <w:r>
        <w:rPr>
          <w:spacing w:val="-5"/>
        </w:rPr>
        <w:t xml:space="preserve"> </w:t>
      </w:r>
      <w:r>
        <w:t>customer</w:t>
      </w:r>
      <w:r>
        <w:rPr>
          <w:spacing w:val="-4"/>
        </w:rPr>
        <w:t xml:space="preserve"> </w:t>
      </w:r>
      <w:r>
        <w:t>outcomes</w:t>
      </w:r>
      <w:r>
        <w:rPr>
          <w:spacing w:val="-6"/>
        </w:rPr>
        <w:t xml:space="preserve"> </w:t>
      </w:r>
      <w:r>
        <w:t>and</w:t>
      </w:r>
      <w:r>
        <w:rPr>
          <w:spacing w:val="-7"/>
        </w:rPr>
        <w:t xml:space="preserve"> </w:t>
      </w:r>
      <w:r>
        <w:t>measures</w:t>
      </w:r>
      <w:r>
        <w:rPr>
          <w:spacing w:val="-6"/>
        </w:rPr>
        <w:t xml:space="preserve"> </w:t>
      </w:r>
      <w:r>
        <w:t>required</w:t>
      </w:r>
      <w:r>
        <w:rPr>
          <w:spacing w:val="-6"/>
        </w:rPr>
        <w:t xml:space="preserve"> </w:t>
      </w:r>
      <w:r>
        <w:t>in</w:t>
      </w:r>
      <w:r>
        <w:rPr>
          <w:spacing w:val="-6"/>
        </w:rPr>
        <w:t xml:space="preserve"> </w:t>
      </w:r>
      <w:r>
        <w:t>PS5</w:t>
      </w:r>
      <w:r>
        <w:rPr>
          <w:spacing w:val="-5"/>
        </w:rPr>
        <w:t xml:space="preserve"> </w:t>
      </w:r>
      <w:r>
        <w:t>in</w:t>
      </w:r>
      <w:r>
        <w:rPr>
          <w:spacing w:val="-6"/>
        </w:rPr>
        <w:t xml:space="preserve"> </w:t>
      </w:r>
      <w:r>
        <w:t>response</w:t>
      </w:r>
      <w:r>
        <w:rPr>
          <w:spacing w:val="-6"/>
        </w:rPr>
        <w:t xml:space="preserve"> </w:t>
      </w:r>
      <w:r>
        <w:t>to</w:t>
      </w:r>
      <w:r>
        <w:rPr>
          <w:spacing w:val="-6"/>
        </w:rPr>
        <w:t xml:space="preserve"> </w:t>
      </w:r>
      <w:r>
        <w:t>the</w:t>
      </w:r>
      <w:r>
        <w:rPr>
          <w:spacing w:val="-6"/>
        </w:rPr>
        <w:t xml:space="preserve"> </w:t>
      </w:r>
      <w:r>
        <w:t>changed</w:t>
      </w:r>
      <w:r>
        <w:rPr>
          <w:spacing w:val="-5"/>
        </w:rPr>
        <w:t xml:space="preserve"> </w:t>
      </w:r>
      <w:r>
        <w:t>priorities</w:t>
      </w:r>
      <w:r>
        <w:rPr>
          <w:spacing w:val="-6"/>
        </w:rPr>
        <w:t xml:space="preserve"> </w:t>
      </w:r>
      <w:r>
        <w:t>of customer and community needs. The review has achieved greater alignment between LMW’s urban and rural businesses recognising the consistencies in expectations from both customer groups. A detailed analysis of customer consultation from PS4 through to PS5 including the rationale for proposed changes to customer outcomes and measures is provided in supporting information available to the ESC.</w:t>
      </w:r>
    </w:p>
    <w:p w14:paraId="48510D1F" w14:textId="77777777" w:rsidR="00141B97" w:rsidRDefault="00141B97">
      <w:pPr>
        <w:pStyle w:val="BodyText"/>
        <w:spacing w:before="12"/>
        <w:rPr>
          <w:sz w:val="21"/>
        </w:rPr>
      </w:pPr>
    </w:p>
    <w:p w14:paraId="6871443D" w14:textId="77777777" w:rsidR="00141B97" w:rsidRDefault="00911D63">
      <w:pPr>
        <w:pStyle w:val="BodyText"/>
        <w:ind w:left="153" w:right="247"/>
        <w:jc w:val="both"/>
      </w:pPr>
      <w:r>
        <w:t>Customer outcomes along with performance measures and targets are detailed in Part B, Section 3 for urban, and Part C, Section 3 for rural.</w:t>
      </w:r>
    </w:p>
    <w:p w14:paraId="5C53BA2A" w14:textId="77777777" w:rsidR="00141B97" w:rsidRDefault="00141B97">
      <w:pPr>
        <w:jc w:val="both"/>
        <w:sectPr w:rsidR="00141B97">
          <w:pgSz w:w="11910" w:h="16840"/>
          <w:pgMar w:top="820" w:right="740" w:bottom="1120" w:left="980" w:header="0" w:footer="896" w:gutter="0"/>
          <w:cols w:space="720"/>
        </w:sectPr>
      </w:pPr>
    </w:p>
    <w:p w14:paraId="1319CD94" w14:textId="77777777" w:rsidR="00141B97" w:rsidRDefault="00911D63">
      <w:pPr>
        <w:pStyle w:val="Heading1"/>
        <w:numPr>
          <w:ilvl w:val="0"/>
          <w:numId w:val="113"/>
        </w:numPr>
        <w:tabs>
          <w:tab w:val="left" w:pos="722"/>
        </w:tabs>
      </w:pPr>
      <w:bookmarkStart w:id="9" w:name="_TOC_250018"/>
      <w:r>
        <w:rPr>
          <w:color w:val="006CA3"/>
        </w:rPr>
        <w:lastRenderedPageBreak/>
        <w:t>LMW</w:t>
      </w:r>
      <w:r>
        <w:rPr>
          <w:color w:val="006CA3"/>
          <w:spacing w:val="-16"/>
        </w:rPr>
        <w:t xml:space="preserve"> </w:t>
      </w:r>
      <w:r>
        <w:rPr>
          <w:color w:val="006CA3"/>
        </w:rPr>
        <w:t>and</w:t>
      </w:r>
      <w:r>
        <w:rPr>
          <w:color w:val="006CA3"/>
          <w:spacing w:val="-14"/>
        </w:rPr>
        <w:t xml:space="preserve"> </w:t>
      </w:r>
      <w:r>
        <w:rPr>
          <w:color w:val="006CA3"/>
        </w:rPr>
        <w:t>its</w:t>
      </w:r>
      <w:r>
        <w:rPr>
          <w:color w:val="006CA3"/>
          <w:spacing w:val="-15"/>
        </w:rPr>
        <w:t xml:space="preserve"> </w:t>
      </w:r>
      <w:r>
        <w:rPr>
          <w:color w:val="006CA3"/>
        </w:rPr>
        <w:t>Strategic</w:t>
      </w:r>
      <w:r>
        <w:rPr>
          <w:color w:val="006CA3"/>
          <w:spacing w:val="-16"/>
        </w:rPr>
        <w:t xml:space="preserve"> </w:t>
      </w:r>
      <w:bookmarkEnd w:id="9"/>
      <w:r>
        <w:rPr>
          <w:color w:val="006CA3"/>
          <w:spacing w:val="-2"/>
        </w:rPr>
        <w:t>Response</w:t>
      </w:r>
    </w:p>
    <w:p w14:paraId="5FF064F4" w14:textId="77777777" w:rsidR="00141B97" w:rsidRDefault="00911D63">
      <w:pPr>
        <w:pStyle w:val="Heading2"/>
        <w:numPr>
          <w:ilvl w:val="1"/>
          <w:numId w:val="113"/>
        </w:numPr>
        <w:tabs>
          <w:tab w:val="left" w:pos="1152"/>
          <w:tab w:val="left" w:pos="1153"/>
        </w:tabs>
        <w:spacing w:before="379"/>
      </w:pPr>
      <w:bookmarkStart w:id="10" w:name="_TOC_250017"/>
      <w:r>
        <w:rPr>
          <w:color w:val="009BAC"/>
        </w:rPr>
        <w:t>LMW’s</w:t>
      </w:r>
      <w:r>
        <w:rPr>
          <w:color w:val="009BAC"/>
          <w:spacing w:val="-9"/>
        </w:rPr>
        <w:t xml:space="preserve"> </w:t>
      </w:r>
      <w:r>
        <w:rPr>
          <w:color w:val="009BAC"/>
        </w:rPr>
        <w:t>Strategic</w:t>
      </w:r>
      <w:r>
        <w:rPr>
          <w:color w:val="009BAC"/>
          <w:spacing w:val="-10"/>
        </w:rPr>
        <w:t xml:space="preserve"> </w:t>
      </w:r>
      <w:bookmarkEnd w:id="10"/>
      <w:r>
        <w:rPr>
          <w:color w:val="009BAC"/>
          <w:spacing w:val="-2"/>
        </w:rPr>
        <w:t>Framework</w:t>
      </w:r>
    </w:p>
    <w:p w14:paraId="245DDBB4" w14:textId="77777777" w:rsidR="00141B97" w:rsidRDefault="00911D63">
      <w:pPr>
        <w:pStyle w:val="BodyText"/>
        <w:spacing w:before="121" w:line="276" w:lineRule="auto"/>
        <w:ind w:left="153" w:right="245"/>
        <w:jc w:val="both"/>
      </w:pPr>
      <w:r>
        <w:t>LMW has a well‐established strategic planning framework comprising an overarching purpose statement, forward‐looking vision, and a supporting series of strategic themes or pillars. This framework is aimed at providing guidance to, and ensuring alignment of, all LMW’s supporting strategies, plans and projects, while recognising and accommodating the business context in which it operates as summarised in Appendix A1.</w:t>
      </w:r>
    </w:p>
    <w:p w14:paraId="3FC253EB" w14:textId="77777777" w:rsidR="00141B97" w:rsidRDefault="00141B97">
      <w:pPr>
        <w:pStyle w:val="BodyText"/>
        <w:spacing w:before="4"/>
        <w:rPr>
          <w:sz w:val="25"/>
        </w:rPr>
      </w:pPr>
    </w:p>
    <w:p w14:paraId="1D1A3BCF" w14:textId="77777777" w:rsidR="00141B97" w:rsidRDefault="00911D63">
      <w:pPr>
        <w:spacing w:line="276" w:lineRule="auto"/>
        <w:ind w:left="153" w:right="248"/>
        <w:jc w:val="both"/>
      </w:pPr>
      <w:r>
        <w:t>LMW’s</w:t>
      </w:r>
      <w:r>
        <w:rPr>
          <w:spacing w:val="-3"/>
        </w:rPr>
        <w:t xml:space="preserve"> </w:t>
      </w:r>
      <w:r>
        <w:t>declared</w:t>
      </w:r>
      <w:r>
        <w:rPr>
          <w:spacing w:val="-2"/>
        </w:rPr>
        <w:t xml:space="preserve"> </w:t>
      </w:r>
      <w:r>
        <w:t>purpose</w:t>
      </w:r>
      <w:r>
        <w:rPr>
          <w:spacing w:val="-3"/>
        </w:rPr>
        <w:t xml:space="preserve"> </w:t>
      </w:r>
      <w:r>
        <w:t>is</w:t>
      </w:r>
      <w:r>
        <w:rPr>
          <w:spacing w:val="-2"/>
        </w:rPr>
        <w:t xml:space="preserve"> </w:t>
      </w:r>
      <w:r>
        <w:t>to</w:t>
      </w:r>
      <w:r>
        <w:rPr>
          <w:spacing w:val="-4"/>
        </w:rPr>
        <w:t xml:space="preserve"> </w:t>
      </w:r>
      <w:r>
        <w:rPr>
          <w:i/>
        </w:rPr>
        <w:t>‘support</w:t>
      </w:r>
      <w:r>
        <w:rPr>
          <w:i/>
          <w:spacing w:val="-3"/>
        </w:rPr>
        <w:t xml:space="preserve"> </w:t>
      </w:r>
      <w:r>
        <w:rPr>
          <w:i/>
        </w:rPr>
        <w:t>our</w:t>
      </w:r>
      <w:r>
        <w:rPr>
          <w:i/>
          <w:spacing w:val="-3"/>
        </w:rPr>
        <w:t xml:space="preserve"> </w:t>
      </w:r>
      <w:r>
        <w:rPr>
          <w:i/>
        </w:rPr>
        <w:t>region</w:t>
      </w:r>
      <w:r>
        <w:rPr>
          <w:i/>
          <w:spacing w:val="-2"/>
        </w:rPr>
        <w:t xml:space="preserve"> </w:t>
      </w:r>
      <w:r>
        <w:rPr>
          <w:i/>
        </w:rPr>
        <w:t>to</w:t>
      </w:r>
      <w:r>
        <w:rPr>
          <w:i/>
          <w:spacing w:val="-3"/>
        </w:rPr>
        <w:t xml:space="preserve"> </w:t>
      </w:r>
      <w:r>
        <w:rPr>
          <w:i/>
        </w:rPr>
        <w:t>prosper</w:t>
      </w:r>
      <w:r>
        <w:rPr>
          <w:i/>
          <w:spacing w:val="-3"/>
        </w:rPr>
        <w:t xml:space="preserve"> </w:t>
      </w:r>
      <w:r>
        <w:rPr>
          <w:i/>
        </w:rPr>
        <w:t>by</w:t>
      </w:r>
      <w:r>
        <w:rPr>
          <w:i/>
          <w:spacing w:val="-3"/>
        </w:rPr>
        <w:t xml:space="preserve"> </w:t>
      </w:r>
      <w:r>
        <w:rPr>
          <w:i/>
        </w:rPr>
        <w:t>successfully</w:t>
      </w:r>
      <w:r>
        <w:rPr>
          <w:i/>
          <w:spacing w:val="-3"/>
        </w:rPr>
        <w:t xml:space="preserve"> </w:t>
      </w:r>
      <w:r>
        <w:rPr>
          <w:i/>
        </w:rPr>
        <w:t>delivering</w:t>
      </w:r>
      <w:r>
        <w:rPr>
          <w:i/>
          <w:spacing w:val="-3"/>
        </w:rPr>
        <w:t xml:space="preserve"> </w:t>
      </w:r>
      <w:r>
        <w:rPr>
          <w:i/>
        </w:rPr>
        <w:t>vital</w:t>
      </w:r>
      <w:r>
        <w:rPr>
          <w:i/>
          <w:spacing w:val="-4"/>
        </w:rPr>
        <w:t xml:space="preserve"> </w:t>
      </w:r>
      <w:r>
        <w:rPr>
          <w:i/>
        </w:rPr>
        <w:t>water</w:t>
      </w:r>
      <w:r>
        <w:rPr>
          <w:i/>
          <w:spacing w:val="-3"/>
        </w:rPr>
        <w:t xml:space="preserve"> </w:t>
      </w:r>
      <w:r>
        <w:rPr>
          <w:i/>
        </w:rPr>
        <w:t>services</w:t>
      </w:r>
      <w:r>
        <w:t>’.</w:t>
      </w:r>
      <w:r>
        <w:rPr>
          <w:spacing w:val="-2"/>
        </w:rPr>
        <w:t xml:space="preserve"> </w:t>
      </w:r>
      <w:r>
        <w:t>This purpose is embodied in our strategic framework borne from a vision to ‘</w:t>
      </w:r>
      <w:r>
        <w:rPr>
          <w:i/>
        </w:rPr>
        <w:t>create a healthy, sustainable water future underpinned by a culture of performance excellence, and built‐in partnership with our staff, customers, and communities’</w:t>
      </w:r>
      <w:r>
        <w:t>.</w:t>
      </w:r>
    </w:p>
    <w:p w14:paraId="12753B16" w14:textId="77777777" w:rsidR="00141B97" w:rsidRDefault="00141B97">
      <w:pPr>
        <w:pStyle w:val="BodyText"/>
        <w:spacing w:before="4"/>
        <w:rPr>
          <w:sz w:val="25"/>
        </w:rPr>
      </w:pPr>
    </w:p>
    <w:p w14:paraId="36686806" w14:textId="77777777" w:rsidR="00141B97" w:rsidRDefault="00911D63">
      <w:pPr>
        <w:spacing w:line="276" w:lineRule="auto"/>
        <w:ind w:left="153" w:right="246"/>
        <w:jc w:val="both"/>
        <w:rPr>
          <w:i/>
        </w:rPr>
      </w:pPr>
      <w:r>
        <w:t>LMW agrees with, and actively supports Water for Victoria’s statement that ‘</w:t>
      </w:r>
      <w:r>
        <w:rPr>
          <w:i/>
        </w:rPr>
        <w:t>Water is fundamental to our communities. We will manage water to support a healthy environment, a prosperous economy and thriving communities, now and into the future.’</w:t>
      </w:r>
    </w:p>
    <w:p w14:paraId="5E6B8E63" w14:textId="77777777" w:rsidR="00141B97" w:rsidRDefault="00141B97">
      <w:pPr>
        <w:pStyle w:val="BodyText"/>
        <w:spacing w:before="3"/>
        <w:rPr>
          <w:i/>
          <w:sz w:val="25"/>
        </w:rPr>
      </w:pPr>
    </w:p>
    <w:p w14:paraId="5F424E7E" w14:textId="77777777" w:rsidR="00141B97" w:rsidRDefault="00911D63">
      <w:pPr>
        <w:pStyle w:val="BodyText"/>
        <w:spacing w:line="276" w:lineRule="auto"/>
        <w:ind w:left="153" w:right="247"/>
        <w:jc w:val="both"/>
      </w:pPr>
      <w:r>
        <w:t>The LMW 2021‐2025 Strategic Plan identifies six strategic pillars, made up of three Strategic Priority areas and three</w:t>
      </w:r>
      <w:r>
        <w:rPr>
          <w:spacing w:val="-10"/>
        </w:rPr>
        <w:t xml:space="preserve"> </w:t>
      </w:r>
      <w:r>
        <w:t>Strategic</w:t>
      </w:r>
      <w:r>
        <w:rPr>
          <w:spacing w:val="-9"/>
        </w:rPr>
        <w:t xml:space="preserve"> </w:t>
      </w:r>
      <w:r>
        <w:t>Foundation</w:t>
      </w:r>
      <w:r>
        <w:rPr>
          <w:spacing w:val="-8"/>
        </w:rPr>
        <w:t xml:space="preserve"> </w:t>
      </w:r>
      <w:r>
        <w:t>areas.</w:t>
      </w:r>
      <w:r>
        <w:rPr>
          <w:spacing w:val="-8"/>
        </w:rPr>
        <w:t xml:space="preserve"> </w:t>
      </w:r>
      <w:r>
        <w:t>Sustainable</w:t>
      </w:r>
      <w:r>
        <w:rPr>
          <w:spacing w:val="-10"/>
        </w:rPr>
        <w:t xml:space="preserve"> </w:t>
      </w:r>
      <w:r>
        <w:t>progress</w:t>
      </w:r>
      <w:r>
        <w:rPr>
          <w:spacing w:val="-8"/>
        </w:rPr>
        <w:t xml:space="preserve"> </w:t>
      </w:r>
      <w:r>
        <w:t>has</w:t>
      </w:r>
      <w:r>
        <w:rPr>
          <w:spacing w:val="-9"/>
        </w:rPr>
        <w:t xml:space="preserve"> </w:t>
      </w:r>
      <w:r>
        <w:t>already</w:t>
      </w:r>
      <w:r>
        <w:rPr>
          <w:spacing w:val="-9"/>
        </w:rPr>
        <w:t xml:space="preserve"> </w:t>
      </w:r>
      <w:r>
        <w:t>been</w:t>
      </w:r>
      <w:r>
        <w:rPr>
          <w:spacing w:val="-8"/>
        </w:rPr>
        <w:t xml:space="preserve"> </w:t>
      </w:r>
      <w:r>
        <w:t>made</w:t>
      </w:r>
      <w:r>
        <w:rPr>
          <w:spacing w:val="-9"/>
        </w:rPr>
        <w:t xml:space="preserve"> </w:t>
      </w:r>
      <w:r>
        <w:t>against</w:t>
      </w:r>
      <w:r>
        <w:rPr>
          <w:spacing w:val="-8"/>
        </w:rPr>
        <w:t xml:space="preserve"> </w:t>
      </w:r>
      <w:r>
        <w:t>the</w:t>
      </w:r>
      <w:r>
        <w:rPr>
          <w:spacing w:val="-10"/>
        </w:rPr>
        <w:t xml:space="preserve"> </w:t>
      </w:r>
      <w:r>
        <w:t>aspirations</w:t>
      </w:r>
      <w:r>
        <w:rPr>
          <w:spacing w:val="-8"/>
        </w:rPr>
        <w:t xml:space="preserve"> </w:t>
      </w:r>
      <w:r>
        <w:t>identified for both the Strategic Priorities and Foundations, and activity proposed for both the forthcoming PS5 period, and the coming year’s Corporate Plan, aligns with this framework. The Corporate Plan also demonstrates how planned initiatives and strategies are aligned to the Ministerial Letters of Expectations (LoE), Statement of Obligations and the Water Act (1989).</w:t>
      </w:r>
    </w:p>
    <w:p w14:paraId="0DCA3282" w14:textId="77777777" w:rsidR="00141B97" w:rsidRDefault="00141B97">
      <w:pPr>
        <w:pStyle w:val="BodyText"/>
        <w:spacing w:before="4"/>
        <w:rPr>
          <w:sz w:val="25"/>
        </w:rPr>
      </w:pPr>
    </w:p>
    <w:p w14:paraId="21006CEF" w14:textId="77777777" w:rsidR="00141B97" w:rsidRDefault="00911D63">
      <w:pPr>
        <w:pStyle w:val="BodyText"/>
        <w:spacing w:line="276" w:lineRule="auto"/>
        <w:ind w:left="153" w:right="248"/>
        <w:jc w:val="both"/>
      </w:pPr>
      <w:r>
        <w:t>In the development of the current organisational strategic plan, the segmentation of strategic priorities and strategic</w:t>
      </w:r>
      <w:r>
        <w:rPr>
          <w:spacing w:val="-5"/>
        </w:rPr>
        <w:t xml:space="preserve"> </w:t>
      </w:r>
      <w:r>
        <w:t>foundations</w:t>
      </w:r>
      <w:r>
        <w:rPr>
          <w:spacing w:val="-5"/>
        </w:rPr>
        <w:t xml:space="preserve"> </w:t>
      </w:r>
      <w:r>
        <w:t>was</w:t>
      </w:r>
      <w:r>
        <w:rPr>
          <w:spacing w:val="-4"/>
        </w:rPr>
        <w:t xml:space="preserve"> </w:t>
      </w:r>
      <w:r>
        <w:t>done</w:t>
      </w:r>
      <w:r>
        <w:rPr>
          <w:spacing w:val="-4"/>
        </w:rPr>
        <w:t xml:space="preserve"> </w:t>
      </w:r>
      <w:r>
        <w:t>so</w:t>
      </w:r>
      <w:r>
        <w:rPr>
          <w:spacing w:val="-4"/>
        </w:rPr>
        <w:t xml:space="preserve"> </w:t>
      </w:r>
      <w:r>
        <w:t>explicitly</w:t>
      </w:r>
      <w:r>
        <w:rPr>
          <w:spacing w:val="-4"/>
        </w:rPr>
        <w:t xml:space="preserve"> </w:t>
      </w:r>
      <w:r>
        <w:t>to</w:t>
      </w:r>
      <w:r>
        <w:rPr>
          <w:spacing w:val="-5"/>
        </w:rPr>
        <w:t xml:space="preserve"> </w:t>
      </w:r>
      <w:r>
        <w:t>best</w:t>
      </w:r>
      <w:r>
        <w:rPr>
          <w:spacing w:val="-5"/>
        </w:rPr>
        <w:t xml:space="preserve"> </w:t>
      </w:r>
      <w:r>
        <w:t>manage</w:t>
      </w:r>
      <w:r>
        <w:rPr>
          <w:spacing w:val="-5"/>
        </w:rPr>
        <w:t xml:space="preserve"> </w:t>
      </w:r>
      <w:r>
        <w:t>both</w:t>
      </w:r>
      <w:r>
        <w:rPr>
          <w:spacing w:val="-5"/>
        </w:rPr>
        <w:t xml:space="preserve"> </w:t>
      </w:r>
      <w:r>
        <w:t>internal</w:t>
      </w:r>
      <w:r>
        <w:rPr>
          <w:spacing w:val="-5"/>
        </w:rPr>
        <w:t xml:space="preserve"> </w:t>
      </w:r>
      <w:r>
        <w:t>and</w:t>
      </w:r>
      <w:r>
        <w:rPr>
          <w:spacing w:val="-5"/>
        </w:rPr>
        <w:t xml:space="preserve"> </w:t>
      </w:r>
      <w:r>
        <w:t>external</w:t>
      </w:r>
      <w:r>
        <w:rPr>
          <w:spacing w:val="-5"/>
        </w:rPr>
        <w:t xml:space="preserve"> </w:t>
      </w:r>
      <w:r>
        <w:t>risks</w:t>
      </w:r>
      <w:r>
        <w:rPr>
          <w:spacing w:val="-5"/>
        </w:rPr>
        <w:t xml:space="preserve"> </w:t>
      </w:r>
      <w:r>
        <w:t>as</w:t>
      </w:r>
      <w:r>
        <w:rPr>
          <w:spacing w:val="-4"/>
        </w:rPr>
        <w:t xml:space="preserve"> </w:t>
      </w:r>
      <w:r>
        <w:t>identified</w:t>
      </w:r>
      <w:r>
        <w:rPr>
          <w:spacing w:val="-5"/>
        </w:rPr>
        <w:t xml:space="preserve"> </w:t>
      </w:r>
      <w:r>
        <w:t>from</w:t>
      </w:r>
      <w:r>
        <w:rPr>
          <w:spacing w:val="-4"/>
        </w:rPr>
        <w:t xml:space="preserve"> </w:t>
      </w:r>
      <w:r>
        <w:t>a range of inputs, including LMW’s Strategic and Corporate Risk Registers.</w:t>
      </w:r>
    </w:p>
    <w:p w14:paraId="285FE025" w14:textId="77777777" w:rsidR="00141B97" w:rsidRDefault="00141B97">
      <w:pPr>
        <w:pStyle w:val="BodyText"/>
        <w:spacing w:before="3"/>
        <w:rPr>
          <w:sz w:val="25"/>
        </w:rPr>
      </w:pPr>
    </w:p>
    <w:p w14:paraId="0126C4AF" w14:textId="77777777" w:rsidR="00141B97" w:rsidRDefault="00911D63">
      <w:pPr>
        <w:pStyle w:val="BodyText"/>
        <w:ind w:left="153"/>
        <w:jc w:val="both"/>
      </w:pPr>
      <w:r>
        <w:t>LMW’s</w:t>
      </w:r>
      <w:r>
        <w:rPr>
          <w:spacing w:val="-10"/>
        </w:rPr>
        <w:t xml:space="preserve"> </w:t>
      </w:r>
      <w:r>
        <w:t>strategic</w:t>
      </w:r>
      <w:r>
        <w:rPr>
          <w:spacing w:val="-9"/>
        </w:rPr>
        <w:t xml:space="preserve"> </w:t>
      </w:r>
      <w:r>
        <w:t>priorities</w:t>
      </w:r>
      <w:r>
        <w:rPr>
          <w:spacing w:val="-8"/>
        </w:rPr>
        <w:t xml:space="preserve"> </w:t>
      </w:r>
      <w:r>
        <w:t>are</w:t>
      </w:r>
      <w:r>
        <w:rPr>
          <w:spacing w:val="-8"/>
        </w:rPr>
        <w:t xml:space="preserve"> </w:t>
      </w:r>
      <w:r>
        <w:t>summarised</w:t>
      </w:r>
      <w:r>
        <w:rPr>
          <w:spacing w:val="-9"/>
        </w:rPr>
        <w:t xml:space="preserve"> </w:t>
      </w:r>
      <w:r>
        <w:rPr>
          <w:spacing w:val="-2"/>
        </w:rPr>
        <w:t>below:</w:t>
      </w:r>
    </w:p>
    <w:p w14:paraId="47542DDD" w14:textId="77777777" w:rsidR="00141B97" w:rsidRDefault="00141B97">
      <w:pPr>
        <w:pStyle w:val="BodyText"/>
        <w:rPr>
          <w:sz w:val="20"/>
        </w:rPr>
      </w:pPr>
    </w:p>
    <w:p w14:paraId="03704B49" w14:textId="77777777" w:rsidR="00141B97" w:rsidRDefault="00911D63">
      <w:pPr>
        <w:pStyle w:val="BodyText"/>
        <w:spacing w:before="8"/>
        <w:rPr>
          <w:sz w:val="15"/>
        </w:rPr>
      </w:pPr>
      <w:r>
        <w:rPr>
          <w:noProof/>
        </w:rPr>
        <w:drawing>
          <wp:anchor distT="0" distB="0" distL="0" distR="0" simplePos="0" relativeHeight="21" behindDoc="0" locked="0" layoutInCell="1" allowOverlap="1" wp14:anchorId="7514CD95" wp14:editId="3A1FBDBF">
            <wp:simplePos x="0" y="0"/>
            <wp:positionH relativeFrom="page">
              <wp:posOffset>740663</wp:posOffset>
            </wp:positionH>
            <wp:positionV relativeFrom="paragraph">
              <wp:posOffset>137141</wp:posOffset>
            </wp:positionV>
            <wp:extent cx="5535167" cy="2072639"/>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6" cstate="email">
                      <a:extLst>
                        <a:ext uri="{28A0092B-C50C-407E-A947-70E740481C1C}">
                          <a14:useLocalDpi xmlns:a14="http://schemas.microsoft.com/office/drawing/2010/main"/>
                        </a:ext>
                      </a:extLst>
                    </a:blip>
                    <a:stretch>
                      <a:fillRect/>
                    </a:stretch>
                  </pic:blipFill>
                  <pic:spPr>
                    <a:xfrm>
                      <a:off x="0" y="0"/>
                      <a:ext cx="5535167" cy="2072639"/>
                    </a:xfrm>
                    <a:prstGeom prst="rect">
                      <a:avLst/>
                    </a:prstGeom>
                  </pic:spPr>
                </pic:pic>
              </a:graphicData>
            </a:graphic>
          </wp:anchor>
        </w:drawing>
      </w:r>
    </w:p>
    <w:p w14:paraId="0604DFDA" w14:textId="77777777" w:rsidR="00141B97" w:rsidRDefault="00911D63">
      <w:pPr>
        <w:ind w:left="154"/>
        <w:jc w:val="both"/>
        <w:rPr>
          <w:sz w:val="16"/>
        </w:rPr>
      </w:pPr>
      <w:r>
        <w:rPr>
          <w:sz w:val="16"/>
        </w:rPr>
        <w:t>Figure</w:t>
      </w:r>
      <w:r>
        <w:rPr>
          <w:spacing w:val="-5"/>
          <w:sz w:val="16"/>
        </w:rPr>
        <w:t xml:space="preserve"> </w:t>
      </w:r>
      <w:r>
        <w:rPr>
          <w:sz w:val="16"/>
        </w:rPr>
        <w:t>A5:</w:t>
      </w:r>
      <w:r>
        <w:rPr>
          <w:spacing w:val="-4"/>
          <w:sz w:val="16"/>
        </w:rPr>
        <w:t xml:space="preserve"> </w:t>
      </w:r>
      <w:r>
        <w:rPr>
          <w:sz w:val="16"/>
        </w:rPr>
        <w:t>LMW's</w:t>
      </w:r>
      <w:r>
        <w:rPr>
          <w:spacing w:val="-4"/>
          <w:sz w:val="16"/>
        </w:rPr>
        <w:t xml:space="preserve"> </w:t>
      </w:r>
      <w:r>
        <w:rPr>
          <w:sz w:val="16"/>
        </w:rPr>
        <w:t>Strategic</w:t>
      </w:r>
      <w:r>
        <w:rPr>
          <w:spacing w:val="-6"/>
          <w:sz w:val="16"/>
        </w:rPr>
        <w:t xml:space="preserve"> </w:t>
      </w:r>
      <w:r>
        <w:rPr>
          <w:spacing w:val="-2"/>
          <w:sz w:val="16"/>
        </w:rPr>
        <w:t>Priorities</w:t>
      </w:r>
    </w:p>
    <w:p w14:paraId="040C67BF" w14:textId="77777777" w:rsidR="00141B97" w:rsidRDefault="00141B97">
      <w:pPr>
        <w:jc w:val="both"/>
        <w:rPr>
          <w:sz w:val="16"/>
        </w:rPr>
        <w:sectPr w:rsidR="00141B97">
          <w:pgSz w:w="11910" w:h="16840"/>
          <w:pgMar w:top="860" w:right="740" w:bottom="1120" w:left="980" w:header="0" w:footer="896" w:gutter="0"/>
          <w:cols w:space="720"/>
        </w:sectPr>
      </w:pPr>
    </w:p>
    <w:p w14:paraId="6AF4AAAE" w14:textId="77777777" w:rsidR="00141B97" w:rsidRDefault="00911D63">
      <w:pPr>
        <w:pStyle w:val="BodyText"/>
        <w:spacing w:before="31" w:line="276" w:lineRule="auto"/>
        <w:ind w:left="153" w:right="249"/>
        <w:jc w:val="both"/>
      </w:pPr>
      <w:r>
        <w:lastRenderedPageBreak/>
        <w:t>To achieve the strategic priorities identified above, LMW acknowledges that it must continue to build its capability</w:t>
      </w:r>
      <w:r>
        <w:rPr>
          <w:spacing w:val="-10"/>
        </w:rPr>
        <w:t xml:space="preserve"> </w:t>
      </w:r>
      <w:r>
        <w:t>in</w:t>
      </w:r>
      <w:r>
        <w:rPr>
          <w:spacing w:val="-10"/>
        </w:rPr>
        <w:t xml:space="preserve"> </w:t>
      </w:r>
      <w:r>
        <w:t>terms</w:t>
      </w:r>
      <w:r>
        <w:rPr>
          <w:spacing w:val="-11"/>
        </w:rPr>
        <w:t xml:space="preserve"> </w:t>
      </w:r>
      <w:r>
        <w:t>of</w:t>
      </w:r>
      <w:r>
        <w:rPr>
          <w:spacing w:val="-10"/>
        </w:rPr>
        <w:t xml:space="preserve"> </w:t>
      </w:r>
      <w:r>
        <w:t>its</w:t>
      </w:r>
      <w:r>
        <w:rPr>
          <w:spacing w:val="-11"/>
        </w:rPr>
        <w:t xml:space="preserve"> </w:t>
      </w:r>
      <w:r>
        <w:t>people,</w:t>
      </w:r>
      <w:r>
        <w:rPr>
          <w:spacing w:val="-11"/>
        </w:rPr>
        <w:t xml:space="preserve"> </w:t>
      </w:r>
      <w:r>
        <w:t>physical</w:t>
      </w:r>
      <w:r>
        <w:rPr>
          <w:spacing w:val="-12"/>
        </w:rPr>
        <w:t xml:space="preserve"> </w:t>
      </w:r>
      <w:r>
        <w:t>infrastructure</w:t>
      </w:r>
      <w:r>
        <w:rPr>
          <w:spacing w:val="-12"/>
        </w:rPr>
        <w:t xml:space="preserve"> </w:t>
      </w:r>
      <w:r>
        <w:t>and</w:t>
      </w:r>
      <w:r>
        <w:rPr>
          <w:spacing w:val="-10"/>
        </w:rPr>
        <w:t xml:space="preserve"> </w:t>
      </w:r>
      <w:r>
        <w:t>financial</w:t>
      </w:r>
      <w:r>
        <w:rPr>
          <w:spacing w:val="-11"/>
        </w:rPr>
        <w:t xml:space="preserve"> </w:t>
      </w:r>
      <w:r>
        <w:t>systems,</w:t>
      </w:r>
      <w:r>
        <w:rPr>
          <w:spacing w:val="-12"/>
        </w:rPr>
        <w:t xml:space="preserve"> </w:t>
      </w:r>
      <w:r>
        <w:t>processes,</w:t>
      </w:r>
      <w:r>
        <w:rPr>
          <w:spacing w:val="-10"/>
        </w:rPr>
        <w:t xml:space="preserve"> </w:t>
      </w:r>
      <w:r>
        <w:t>and</w:t>
      </w:r>
      <w:r>
        <w:rPr>
          <w:spacing w:val="-11"/>
        </w:rPr>
        <w:t xml:space="preserve"> </w:t>
      </w:r>
      <w:r>
        <w:t>governance.</w:t>
      </w:r>
      <w:r>
        <w:rPr>
          <w:spacing w:val="-12"/>
        </w:rPr>
        <w:t xml:space="preserve"> </w:t>
      </w:r>
      <w:r>
        <w:t>These imperatives form the three strategic foundations of the Strategic Plan as summarised below:</w:t>
      </w:r>
    </w:p>
    <w:p w14:paraId="4744BA10" w14:textId="77777777" w:rsidR="00141B97" w:rsidRDefault="00911D63">
      <w:pPr>
        <w:pStyle w:val="BodyText"/>
        <w:spacing w:before="10"/>
        <w:rPr>
          <w:sz w:val="25"/>
        </w:rPr>
      </w:pPr>
      <w:r>
        <w:rPr>
          <w:noProof/>
        </w:rPr>
        <w:drawing>
          <wp:anchor distT="0" distB="0" distL="0" distR="0" simplePos="0" relativeHeight="22" behindDoc="0" locked="0" layoutInCell="1" allowOverlap="1" wp14:anchorId="6EBF2286" wp14:editId="359C5C3A">
            <wp:simplePos x="0" y="0"/>
            <wp:positionH relativeFrom="page">
              <wp:posOffset>740663</wp:posOffset>
            </wp:positionH>
            <wp:positionV relativeFrom="paragraph">
              <wp:posOffset>215473</wp:posOffset>
            </wp:positionV>
            <wp:extent cx="5529216" cy="2788920"/>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7" cstate="email">
                      <a:extLst>
                        <a:ext uri="{28A0092B-C50C-407E-A947-70E740481C1C}">
                          <a14:useLocalDpi xmlns:a14="http://schemas.microsoft.com/office/drawing/2010/main"/>
                        </a:ext>
                      </a:extLst>
                    </a:blip>
                    <a:stretch>
                      <a:fillRect/>
                    </a:stretch>
                  </pic:blipFill>
                  <pic:spPr>
                    <a:xfrm>
                      <a:off x="0" y="0"/>
                      <a:ext cx="5529216" cy="2788920"/>
                    </a:xfrm>
                    <a:prstGeom prst="rect">
                      <a:avLst/>
                    </a:prstGeom>
                  </pic:spPr>
                </pic:pic>
              </a:graphicData>
            </a:graphic>
          </wp:anchor>
        </w:drawing>
      </w:r>
    </w:p>
    <w:p w14:paraId="32A2E489" w14:textId="77777777" w:rsidR="00141B97" w:rsidRDefault="00911D63">
      <w:pPr>
        <w:spacing w:before="29"/>
        <w:ind w:left="154"/>
        <w:jc w:val="both"/>
        <w:rPr>
          <w:sz w:val="16"/>
        </w:rPr>
      </w:pPr>
      <w:r>
        <w:rPr>
          <w:sz w:val="16"/>
        </w:rPr>
        <w:t>Figure</w:t>
      </w:r>
      <w:r>
        <w:rPr>
          <w:spacing w:val="-5"/>
          <w:sz w:val="16"/>
        </w:rPr>
        <w:t xml:space="preserve"> </w:t>
      </w:r>
      <w:r>
        <w:rPr>
          <w:sz w:val="16"/>
        </w:rPr>
        <w:t>A6:</w:t>
      </w:r>
      <w:r>
        <w:rPr>
          <w:spacing w:val="-4"/>
          <w:sz w:val="16"/>
        </w:rPr>
        <w:t xml:space="preserve"> </w:t>
      </w:r>
      <w:r>
        <w:rPr>
          <w:sz w:val="16"/>
        </w:rPr>
        <w:t>LMW's</w:t>
      </w:r>
      <w:r>
        <w:rPr>
          <w:spacing w:val="-4"/>
          <w:sz w:val="16"/>
        </w:rPr>
        <w:t xml:space="preserve"> </w:t>
      </w:r>
      <w:r>
        <w:rPr>
          <w:sz w:val="16"/>
        </w:rPr>
        <w:t>Strategic</w:t>
      </w:r>
      <w:r>
        <w:rPr>
          <w:spacing w:val="-6"/>
          <w:sz w:val="16"/>
        </w:rPr>
        <w:t xml:space="preserve"> </w:t>
      </w:r>
      <w:r>
        <w:rPr>
          <w:spacing w:val="-2"/>
          <w:sz w:val="16"/>
        </w:rPr>
        <w:t>Foundations</w:t>
      </w:r>
    </w:p>
    <w:p w14:paraId="2E2624C0" w14:textId="77777777" w:rsidR="00141B97" w:rsidRDefault="00141B97">
      <w:pPr>
        <w:pStyle w:val="BodyText"/>
        <w:rPr>
          <w:sz w:val="16"/>
        </w:rPr>
      </w:pPr>
    </w:p>
    <w:p w14:paraId="085CB072" w14:textId="77777777" w:rsidR="00141B97" w:rsidRDefault="00141B97">
      <w:pPr>
        <w:pStyle w:val="BodyText"/>
        <w:spacing w:before="1"/>
        <w:rPr>
          <w:sz w:val="15"/>
        </w:rPr>
      </w:pPr>
    </w:p>
    <w:p w14:paraId="66E9BEF5" w14:textId="77777777" w:rsidR="00141B97" w:rsidRDefault="00911D63">
      <w:pPr>
        <w:pStyle w:val="Heading2"/>
        <w:numPr>
          <w:ilvl w:val="1"/>
          <w:numId w:val="113"/>
        </w:numPr>
        <w:tabs>
          <w:tab w:val="left" w:pos="1152"/>
          <w:tab w:val="left" w:pos="1153"/>
        </w:tabs>
        <w:spacing w:before="1"/>
      </w:pPr>
      <w:bookmarkStart w:id="11" w:name="_TOC_250016"/>
      <w:r>
        <w:rPr>
          <w:color w:val="009BAC"/>
        </w:rPr>
        <w:t>Alignment</w:t>
      </w:r>
      <w:r>
        <w:rPr>
          <w:color w:val="009BAC"/>
          <w:spacing w:val="-5"/>
        </w:rPr>
        <w:t xml:space="preserve"> </w:t>
      </w:r>
      <w:r>
        <w:rPr>
          <w:color w:val="009BAC"/>
        </w:rPr>
        <w:t>of</w:t>
      </w:r>
      <w:r>
        <w:rPr>
          <w:color w:val="009BAC"/>
          <w:spacing w:val="-6"/>
        </w:rPr>
        <w:t xml:space="preserve"> </w:t>
      </w:r>
      <w:r>
        <w:rPr>
          <w:color w:val="009BAC"/>
        </w:rPr>
        <w:t>PS5</w:t>
      </w:r>
      <w:r>
        <w:rPr>
          <w:color w:val="009BAC"/>
          <w:spacing w:val="-5"/>
        </w:rPr>
        <w:t xml:space="preserve"> </w:t>
      </w:r>
      <w:r>
        <w:rPr>
          <w:color w:val="009BAC"/>
        </w:rPr>
        <w:t>with</w:t>
      </w:r>
      <w:r>
        <w:rPr>
          <w:color w:val="009BAC"/>
          <w:spacing w:val="-6"/>
        </w:rPr>
        <w:t xml:space="preserve"> </w:t>
      </w:r>
      <w:r>
        <w:rPr>
          <w:color w:val="009BAC"/>
        </w:rPr>
        <w:t>the</w:t>
      </w:r>
      <w:r>
        <w:rPr>
          <w:color w:val="009BAC"/>
          <w:spacing w:val="-7"/>
        </w:rPr>
        <w:t xml:space="preserve"> </w:t>
      </w:r>
      <w:r>
        <w:rPr>
          <w:color w:val="009BAC"/>
        </w:rPr>
        <w:t>Strategic</w:t>
      </w:r>
      <w:r>
        <w:rPr>
          <w:color w:val="009BAC"/>
          <w:spacing w:val="-6"/>
        </w:rPr>
        <w:t xml:space="preserve"> </w:t>
      </w:r>
      <w:bookmarkEnd w:id="11"/>
      <w:r>
        <w:rPr>
          <w:color w:val="009BAC"/>
          <w:spacing w:val="-2"/>
        </w:rPr>
        <w:t>Themes</w:t>
      </w:r>
    </w:p>
    <w:p w14:paraId="304FAA07" w14:textId="77777777" w:rsidR="00141B97" w:rsidRDefault="00911D63">
      <w:pPr>
        <w:pStyle w:val="BodyText"/>
        <w:spacing w:before="119" w:line="276" w:lineRule="auto"/>
        <w:ind w:left="153" w:right="246"/>
        <w:jc w:val="both"/>
      </w:pPr>
      <w:r>
        <w:t>Under</w:t>
      </w:r>
      <w:r>
        <w:rPr>
          <w:spacing w:val="-9"/>
        </w:rPr>
        <w:t xml:space="preserve"> </w:t>
      </w:r>
      <w:r>
        <w:t>the</w:t>
      </w:r>
      <w:r>
        <w:rPr>
          <w:spacing w:val="-10"/>
        </w:rPr>
        <w:t xml:space="preserve"> </w:t>
      </w:r>
      <w:r>
        <w:t>PREMO</w:t>
      </w:r>
      <w:r>
        <w:rPr>
          <w:spacing w:val="-9"/>
        </w:rPr>
        <w:t xml:space="preserve"> </w:t>
      </w:r>
      <w:r>
        <w:t>Framework,</w:t>
      </w:r>
      <w:r>
        <w:rPr>
          <w:spacing w:val="-10"/>
        </w:rPr>
        <w:t xml:space="preserve"> </w:t>
      </w:r>
      <w:r>
        <w:t>service</w:t>
      </w:r>
      <w:r>
        <w:rPr>
          <w:spacing w:val="-10"/>
        </w:rPr>
        <w:t xml:space="preserve"> </w:t>
      </w:r>
      <w:r>
        <w:t>outcomes</w:t>
      </w:r>
      <w:r>
        <w:rPr>
          <w:spacing w:val="-9"/>
        </w:rPr>
        <w:t xml:space="preserve"> </w:t>
      </w:r>
      <w:r>
        <w:t>agreed</w:t>
      </w:r>
      <w:r>
        <w:rPr>
          <w:spacing w:val="-9"/>
        </w:rPr>
        <w:t xml:space="preserve"> </w:t>
      </w:r>
      <w:r>
        <w:t>directly</w:t>
      </w:r>
      <w:r>
        <w:rPr>
          <w:spacing w:val="-9"/>
        </w:rPr>
        <w:t xml:space="preserve"> </w:t>
      </w:r>
      <w:r>
        <w:t>with</w:t>
      </w:r>
      <w:r>
        <w:rPr>
          <w:spacing w:val="-10"/>
        </w:rPr>
        <w:t xml:space="preserve"> </w:t>
      </w:r>
      <w:r>
        <w:t>LMW</w:t>
      </w:r>
      <w:r>
        <w:rPr>
          <w:spacing w:val="-10"/>
        </w:rPr>
        <w:t xml:space="preserve"> </w:t>
      </w:r>
      <w:r>
        <w:t>customers</w:t>
      </w:r>
      <w:r>
        <w:rPr>
          <w:spacing w:val="-9"/>
        </w:rPr>
        <w:t xml:space="preserve"> </w:t>
      </w:r>
      <w:r>
        <w:t>are</w:t>
      </w:r>
      <w:r>
        <w:rPr>
          <w:spacing w:val="-10"/>
        </w:rPr>
        <w:t xml:space="preserve"> </w:t>
      </w:r>
      <w:r>
        <w:t>the</w:t>
      </w:r>
      <w:r>
        <w:rPr>
          <w:spacing w:val="-8"/>
        </w:rPr>
        <w:t xml:space="preserve"> </w:t>
      </w:r>
      <w:r>
        <w:t>key</w:t>
      </w:r>
      <w:r>
        <w:rPr>
          <w:spacing w:val="-10"/>
        </w:rPr>
        <w:t xml:space="preserve"> </w:t>
      </w:r>
      <w:r>
        <w:t>drivers</w:t>
      </w:r>
      <w:r>
        <w:rPr>
          <w:spacing w:val="-8"/>
        </w:rPr>
        <w:t xml:space="preserve"> </w:t>
      </w:r>
      <w:r>
        <w:t>of</w:t>
      </w:r>
      <w:r>
        <w:rPr>
          <w:spacing w:val="-7"/>
        </w:rPr>
        <w:t xml:space="preserve"> </w:t>
      </w:r>
      <w:r>
        <w:t>the Water Plan and all its supporting activities. It is critical, however, that these outcomes also align with the organisation’s Strategic and Corporate Plans. LMW has carefully developed its customer outcomes in the context</w:t>
      </w:r>
      <w:r>
        <w:rPr>
          <w:spacing w:val="-6"/>
        </w:rPr>
        <w:t xml:space="preserve"> </w:t>
      </w:r>
      <w:r>
        <w:t>of,</w:t>
      </w:r>
      <w:r>
        <w:rPr>
          <w:spacing w:val="-6"/>
        </w:rPr>
        <w:t xml:space="preserve"> </w:t>
      </w:r>
      <w:r>
        <w:t>and</w:t>
      </w:r>
      <w:r>
        <w:rPr>
          <w:spacing w:val="-7"/>
        </w:rPr>
        <w:t xml:space="preserve"> </w:t>
      </w:r>
      <w:r>
        <w:t>in</w:t>
      </w:r>
      <w:r>
        <w:rPr>
          <w:spacing w:val="-7"/>
        </w:rPr>
        <w:t xml:space="preserve"> </w:t>
      </w:r>
      <w:r>
        <w:t>alignment</w:t>
      </w:r>
      <w:r>
        <w:rPr>
          <w:spacing w:val="-7"/>
        </w:rPr>
        <w:t xml:space="preserve"> </w:t>
      </w:r>
      <w:r>
        <w:t>with,</w:t>
      </w:r>
      <w:r>
        <w:rPr>
          <w:spacing w:val="-5"/>
        </w:rPr>
        <w:t xml:space="preserve"> </w:t>
      </w:r>
      <w:r>
        <w:t>its</w:t>
      </w:r>
      <w:r>
        <w:rPr>
          <w:spacing w:val="-6"/>
        </w:rPr>
        <w:t xml:space="preserve"> </w:t>
      </w:r>
      <w:r>
        <w:t>strategic</w:t>
      </w:r>
      <w:r>
        <w:rPr>
          <w:spacing w:val="-6"/>
        </w:rPr>
        <w:t xml:space="preserve"> </w:t>
      </w:r>
      <w:r>
        <w:t>pillars</w:t>
      </w:r>
      <w:r>
        <w:rPr>
          <w:spacing w:val="-6"/>
        </w:rPr>
        <w:t xml:space="preserve"> </w:t>
      </w:r>
      <w:r>
        <w:t>and</w:t>
      </w:r>
      <w:r>
        <w:rPr>
          <w:spacing w:val="-7"/>
        </w:rPr>
        <w:t xml:space="preserve"> </w:t>
      </w:r>
      <w:r>
        <w:t>framework.</w:t>
      </w:r>
      <w:r>
        <w:rPr>
          <w:spacing w:val="-7"/>
        </w:rPr>
        <w:t xml:space="preserve"> </w:t>
      </w:r>
      <w:r>
        <w:t>The</w:t>
      </w:r>
      <w:r>
        <w:rPr>
          <w:spacing w:val="-7"/>
        </w:rPr>
        <w:t xml:space="preserve"> </w:t>
      </w:r>
      <w:r>
        <w:t>LMW</w:t>
      </w:r>
      <w:r>
        <w:rPr>
          <w:spacing w:val="-7"/>
        </w:rPr>
        <w:t xml:space="preserve"> </w:t>
      </w:r>
      <w:r>
        <w:t>approach</w:t>
      </w:r>
      <w:r>
        <w:rPr>
          <w:spacing w:val="-7"/>
        </w:rPr>
        <w:t xml:space="preserve"> </w:t>
      </w:r>
      <w:r>
        <w:t>to</w:t>
      </w:r>
      <w:r>
        <w:rPr>
          <w:spacing w:val="-7"/>
        </w:rPr>
        <w:t xml:space="preserve"> </w:t>
      </w:r>
      <w:r>
        <w:t>ensuring</w:t>
      </w:r>
      <w:r>
        <w:rPr>
          <w:spacing w:val="-5"/>
        </w:rPr>
        <w:t xml:space="preserve"> </w:t>
      </w:r>
      <w:r>
        <w:t>alignment between customer outcomes and its strategy can be articulated as follows:</w:t>
      </w:r>
    </w:p>
    <w:p w14:paraId="7B3A8D08" w14:textId="77777777" w:rsidR="00141B97" w:rsidRDefault="00911D63">
      <w:pPr>
        <w:pStyle w:val="BodyText"/>
        <w:spacing w:before="6"/>
      </w:pPr>
      <w:r>
        <w:rPr>
          <w:noProof/>
        </w:rPr>
        <w:drawing>
          <wp:anchor distT="0" distB="0" distL="0" distR="0" simplePos="0" relativeHeight="23" behindDoc="0" locked="0" layoutInCell="1" allowOverlap="1" wp14:anchorId="4A8AE620" wp14:editId="4DAB3749">
            <wp:simplePos x="0" y="0"/>
            <wp:positionH relativeFrom="page">
              <wp:posOffset>740663</wp:posOffset>
            </wp:positionH>
            <wp:positionV relativeFrom="paragraph">
              <wp:posOffset>189891</wp:posOffset>
            </wp:positionV>
            <wp:extent cx="4921201" cy="3435096"/>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8" cstate="email">
                      <a:extLst>
                        <a:ext uri="{28A0092B-C50C-407E-A947-70E740481C1C}">
                          <a14:useLocalDpi xmlns:a14="http://schemas.microsoft.com/office/drawing/2010/main"/>
                        </a:ext>
                      </a:extLst>
                    </a:blip>
                    <a:stretch>
                      <a:fillRect/>
                    </a:stretch>
                  </pic:blipFill>
                  <pic:spPr>
                    <a:xfrm>
                      <a:off x="0" y="0"/>
                      <a:ext cx="4921201" cy="3435096"/>
                    </a:xfrm>
                    <a:prstGeom prst="rect">
                      <a:avLst/>
                    </a:prstGeom>
                  </pic:spPr>
                </pic:pic>
              </a:graphicData>
            </a:graphic>
          </wp:anchor>
        </w:drawing>
      </w:r>
    </w:p>
    <w:p w14:paraId="1041587B" w14:textId="77777777" w:rsidR="00141B97" w:rsidRDefault="00911D63">
      <w:pPr>
        <w:spacing w:before="2"/>
        <w:ind w:left="154"/>
        <w:jc w:val="both"/>
        <w:rPr>
          <w:sz w:val="16"/>
        </w:rPr>
      </w:pPr>
      <w:r>
        <w:rPr>
          <w:sz w:val="16"/>
        </w:rPr>
        <w:t>Figure</w:t>
      </w:r>
      <w:r>
        <w:rPr>
          <w:spacing w:val="-5"/>
          <w:sz w:val="16"/>
        </w:rPr>
        <w:t xml:space="preserve"> </w:t>
      </w:r>
      <w:r>
        <w:rPr>
          <w:sz w:val="16"/>
        </w:rPr>
        <w:t>A7:</w:t>
      </w:r>
      <w:r>
        <w:rPr>
          <w:spacing w:val="-5"/>
          <w:sz w:val="16"/>
        </w:rPr>
        <w:t xml:space="preserve"> </w:t>
      </w:r>
      <w:r>
        <w:rPr>
          <w:sz w:val="16"/>
        </w:rPr>
        <w:t>LMW’s</w:t>
      </w:r>
      <w:r>
        <w:rPr>
          <w:spacing w:val="-5"/>
          <w:sz w:val="16"/>
        </w:rPr>
        <w:t xml:space="preserve"> </w:t>
      </w:r>
      <w:r>
        <w:rPr>
          <w:sz w:val="16"/>
        </w:rPr>
        <w:t>Approach</w:t>
      </w:r>
      <w:r>
        <w:rPr>
          <w:spacing w:val="-5"/>
          <w:sz w:val="16"/>
        </w:rPr>
        <w:t xml:space="preserve"> </w:t>
      </w:r>
      <w:r>
        <w:rPr>
          <w:sz w:val="16"/>
        </w:rPr>
        <w:t>to</w:t>
      </w:r>
      <w:r>
        <w:rPr>
          <w:spacing w:val="-5"/>
          <w:sz w:val="16"/>
        </w:rPr>
        <w:t xml:space="preserve"> </w:t>
      </w:r>
      <w:r>
        <w:rPr>
          <w:sz w:val="16"/>
        </w:rPr>
        <w:t>Strategic</w:t>
      </w:r>
      <w:r>
        <w:rPr>
          <w:spacing w:val="-5"/>
          <w:sz w:val="16"/>
        </w:rPr>
        <w:t xml:space="preserve"> </w:t>
      </w:r>
      <w:r>
        <w:rPr>
          <w:sz w:val="16"/>
        </w:rPr>
        <w:t>Alignment</w:t>
      </w:r>
      <w:r>
        <w:rPr>
          <w:spacing w:val="-5"/>
          <w:sz w:val="16"/>
        </w:rPr>
        <w:t xml:space="preserve"> </w:t>
      </w:r>
      <w:r>
        <w:rPr>
          <w:sz w:val="16"/>
        </w:rPr>
        <w:t>with</w:t>
      </w:r>
      <w:r>
        <w:rPr>
          <w:spacing w:val="-4"/>
          <w:sz w:val="16"/>
        </w:rPr>
        <w:t xml:space="preserve"> </w:t>
      </w:r>
      <w:r>
        <w:rPr>
          <w:sz w:val="16"/>
        </w:rPr>
        <w:t>Customer</w:t>
      </w:r>
      <w:r>
        <w:rPr>
          <w:spacing w:val="-6"/>
          <w:sz w:val="16"/>
        </w:rPr>
        <w:t xml:space="preserve"> </w:t>
      </w:r>
      <w:r>
        <w:rPr>
          <w:spacing w:val="-2"/>
          <w:sz w:val="16"/>
        </w:rPr>
        <w:t>Outcomes</w:t>
      </w:r>
    </w:p>
    <w:p w14:paraId="35EC21CE" w14:textId="77777777" w:rsidR="00141B97" w:rsidRDefault="00141B97">
      <w:pPr>
        <w:jc w:val="both"/>
        <w:rPr>
          <w:sz w:val="16"/>
        </w:rPr>
        <w:sectPr w:rsidR="00141B97">
          <w:pgSz w:w="11910" w:h="16840"/>
          <w:pgMar w:top="820" w:right="740" w:bottom="1120" w:left="980" w:header="0" w:footer="896" w:gutter="0"/>
          <w:cols w:space="720"/>
        </w:sectPr>
      </w:pPr>
    </w:p>
    <w:p w14:paraId="3ED99B60" w14:textId="569B83FC" w:rsidR="00141B97" w:rsidRDefault="00911D63">
      <w:pPr>
        <w:pStyle w:val="BodyText"/>
        <w:spacing w:before="31" w:line="276" w:lineRule="auto"/>
        <w:ind w:left="153"/>
      </w:pPr>
      <w:r>
        <w:rPr>
          <w:noProof/>
        </w:rPr>
        <w:lastRenderedPageBreak/>
        <mc:AlternateContent>
          <mc:Choice Requires="wps">
            <w:drawing>
              <wp:anchor distT="0" distB="0" distL="114300" distR="114300" simplePos="0" relativeHeight="471437824" behindDoc="1" locked="0" layoutInCell="1" allowOverlap="1" wp14:anchorId="3C74C74F" wp14:editId="18A03EF2">
                <wp:simplePos x="0" y="0"/>
                <wp:positionH relativeFrom="page">
                  <wp:posOffset>739140</wp:posOffset>
                </wp:positionH>
                <wp:positionV relativeFrom="paragraph">
                  <wp:posOffset>626745</wp:posOffset>
                </wp:positionV>
                <wp:extent cx="1090930" cy="1565910"/>
                <wp:effectExtent l="0" t="0" r="0" b="0"/>
                <wp:wrapNone/>
                <wp:docPr id="40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930" cy="1565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B846C" id="Line 332" o:spid="_x0000_s1026" style="position:absolute;z-index:-31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2pt,49.35pt" to="144.1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" strokeweight=".48pt">
                <w10:wrap anchorx="page"/>
              </v:line>
            </w:pict>
          </mc:Fallback>
        </mc:AlternateContent>
      </w:r>
      <w:r>
        <w:t>The alignment of the specific urban and rural outcomes with the strategic pillars demonstrates how customer feedback is used to drive strategic outcomes as shown below:</w:t>
      </w:r>
    </w:p>
    <w:p w14:paraId="3D2A8CEA" w14:textId="77777777" w:rsidR="00141B97" w:rsidRDefault="00141B97">
      <w:pPr>
        <w:pStyle w:val="BodyText"/>
        <w:spacing w:before="3"/>
        <w:rPr>
          <w:sz w:val="25"/>
        </w:rPr>
      </w:pPr>
    </w:p>
    <w:tbl>
      <w:tblPr>
        <w:tblW w:w="0" w:type="auto"/>
        <w:tblInd w:w="183" w:type="dxa"/>
        <w:tblBorders>
          <w:top w:val="single" w:sz="12" w:space="0" w:color="4371C4"/>
          <w:left w:val="single" w:sz="12" w:space="0" w:color="4371C4"/>
          <w:bottom w:val="single" w:sz="12" w:space="0" w:color="4371C4"/>
          <w:right w:val="single" w:sz="12" w:space="0" w:color="4371C4"/>
          <w:insideH w:val="single" w:sz="12" w:space="0" w:color="4371C4"/>
          <w:insideV w:val="single" w:sz="12" w:space="0" w:color="4371C4"/>
        </w:tblBorders>
        <w:tblLayout w:type="fixed"/>
        <w:tblCellMar>
          <w:left w:w="0" w:type="dxa"/>
          <w:right w:w="0" w:type="dxa"/>
        </w:tblCellMar>
        <w:tblLook w:val="01E0" w:firstRow="1" w:lastRow="1" w:firstColumn="1" w:lastColumn="1" w:noHBand="0" w:noVBand="0"/>
      </w:tblPr>
      <w:tblGrid>
        <w:gridCol w:w="1748"/>
        <w:gridCol w:w="1334"/>
        <w:gridCol w:w="1333"/>
        <w:gridCol w:w="1332"/>
        <w:gridCol w:w="1332"/>
        <w:gridCol w:w="1332"/>
        <w:gridCol w:w="1338"/>
      </w:tblGrid>
      <w:tr w:rsidR="00141B97" w14:paraId="15FD4A30" w14:textId="77777777">
        <w:trPr>
          <w:trHeight w:val="2465"/>
        </w:trPr>
        <w:tc>
          <w:tcPr>
            <w:tcW w:w="1748" w:type="dxa"/>
          </w:tcPr>
          <w:p w14:paraId="246CBB16" w14:textId="77777777" w:rsidR="00141B97" w:rsidRDefault="00911D63">
            <w:pPr>
              <w:pStyle w:val="TableParagraph"/>
              <w:spacing w:before="68"/>
              <w:ind w:left="605" w:right="111" w:hanging="117"/>
              <w:rPr>
                <w:sz w:val="20"/>
              </w:rPr>
            </w:pPr>
            <w:r>
              <w:rPr>
                <w:spacing w:val="-2"/>
                <w:sz w:val="20"/>
              </w:rPr>
              <w:t>Strategic Pillars</w:t>
            </w:r>
          </w:p>
          <w:p w14:paraId="7A51F8CE" w14:textId="77777777" w:rsidR="00141B97" w:rsidRDefault="00141B97">
            <w:pPr>
              <w:pStyle w:val="TableParagraph"/>
              <w:rPr>
                <w:sz w:val="20"/>
              </w:rPr>
            </w:pPr>
          </w:p>
          <w:p w14:paraId="35C2F16B" w14:textId="77777777" w:rsidR="00141B97" w:rsidRDefault="00141B97">
            <w:pPr>
              <w:pStyle w:val="TableParagraph"/>
              <w:rPr>
                <w:sz w:val="20"/>
              </w:rPr>
            </w:pPr>
          </w:p>
          <w:p w14:paraId="12B47602" w14:textId="77777777" w:rsidR="00141B97" w:rsidRDefault="00141B97">
            <w:pPr>
              <w:pStyle w:val="TableParagraph"/>
              <w:rPr>
                <w:sz w:val="20"/>
              </w:rPr>
            </w:pPr>
          </w:p>
          <w:p w14:paraId="301FDFED" w14:textId="77777777" w:rsidR="00141B97" w:rsidRDefault="00141B97">
            <w:pPr>
              <w:pStyle w:val="TableParagraph"/>
              <w:rPr>
                <w:sz w:val="20"/>
              </w:rPr>
            </w:pPr>
          </w:p>
          <w:p w14:paraId="51DE5F96" w14:textId="77777777" w:rsidR="00141B97" w:rsidRDefault="00141B97">
            <w:pPr>
              <w:pStyle w:val="TableParagraph"/>
              <w:spacing w:before="2"/>
              <w:rPr>
                <w:sz w:val="21"/>
              </w:rPr>
            </w:pPr>
          </w:p>
          <w:p w14:paraId="5B05EB30" w14:textId="77777777" w:rsidR="00141B97" w:rsidRDefault="00911D63">
            <w:pPr>
              <w:pStyle w:val="TableParagraph"/>
              <w:ind w:left="104" w:right="785"/>
              <w:rPr>
                <w:sz w:val="20"/>
              </w:rPr>
            </w:pPr>
            <w:r>
              <w:rPr>
                <w:spacing w:val="-2"/>
                <w:sz w:val="20"/>
              </w:rPr>
              <w:t>Customer Outcomes</w:t>
            </w:r>
          </w:p>
        </w:tc>
        <w:tc>
          <w:tcPr>
            <w:tcW w:w="1334" w:type="dxa"/>
          </w:tcPr>
          <w:p w14:paraId="0D1C6748" w14:textId="77777777" w:rsidR="00141B97" w:rsidRDefault="00911D63">
            <w:pPr>
              <w:pStyle w:val="TableParagraph"/>
              <w:ind w:left="341" w:right="306" w:hanging="2"/>
              <w:jc w:val="center"/>
              <w:rPr>
                <w:sz w:val="20"/>
              </w:rPr>
            </w:pPr>
            <w:r>
              <w:rPr>
                <w:spacing w:val="-2"/>
                <w:sz w:val="20"/>
              </w:rPr>
              <w:t>Service Delivery</w:t>
            </w:r>
          </w:p>
          <w:p w14:paraId="15B2FCA4" w14:textId="77777777" w:rsidR="00141B97" w:rsidRDefault="00141B97">
            <w:pPr>
              <w:pStyle w:val="TableParagraph"/>
              <w:rPr>
                <w:sz w:val="18"/>
              </w:rPr>
            </w:pPr>
          </w:p>
          <w:p w14:paraId="0E92DDFF" w14:textId="77777777" w:rsidR="00141B97" w:rsidRDefault="00911D63">
            <w:pPr>
              <w:pStyle w:val="TableParagraph"/>
              <w:ind w:left="183" w:right="150"/>
              <w:jc w:val="center"/>
              <w:rPr>
                <w:sz w:val="18"/>
              </w:rPr>
            </w:pPr>
            <w:r>
              <w:rPr>
                <w:sz w:val="18"/>
              </w:rPr>
              <w:t xml:space="preserve">Achieve high </w:t>
            </w:r>
            <w:r>
              <w:rPr>
                <w:spacing w:val="-2"/>
                <w:sz w:val="18"/>
              </w:rPr>
              <w:t>quality</w:t>
            </w:r>
            <w:r>
              <w:rPr>
                <w:sz w:val="18"/>
              </w:rPr>
              <w:t xml:space="preserve"> outcomes</w:t>
            </w:r>
            <w:r>
              <w:rPr>
                <w:spacing w:val="-11"/>
                <w:sz w:val="18"/>
              </w:rPr>
              <w:t xml:space="preserve"> </w:t>
            </w:r>
            <w:r>
              <w:rPr>
                <w:sz w:val="18"/>
              </w:rPr>
              <w:t xml:space="preserve">for </w:t>
            </w:r>
            <w:r>
              <w:rPr>
                <w:spacing w:val="-2"/>
                <w:sz w:val="18"/>
              </w:rPr>
              <w:t>customers</w:t>
            </w:r>
          </w:p>
        </w:tc>
        <w:tc>
          <w:tcPr>
            <w:tcW w:w="1333" w:type="dxa"/>
          </w:tcPr>
          <w:p w14:paraId="335B3EE1" w14:textId="77777777" w:rsidR="00141B97" w:rsidRDefault="00911D63">
            <w:pPr>
              <w:pStyle w:val="TableParagraph"/>
              <w:spacing w:line="243" w:lineRule="exact"/>
              <w:ind w:left="153" w:right="120"/>
              <w:jc w:val="center"/>
              <w:rPr>
                <w:sz w:val="20"/>
              </w:rPr>
            </w:pPr>
            <w:r>
              <w:rPr>
                <w:spacing w:val="-2"/>
                <w:sz w:val="20"/>
              </w:rPr>
              <w:t>Engagement</w:t>
            </w:r>
          </w:p>
          <w:p w14:paraId="4E87FCE7" w14:textId="77777777" w:rsidR="00141B97" w:rsidRDefault="00141B97">
            <w:pPr>
              <w:pStyle w:val="TableParagraph"/>
              <w:rPr>
                <w:sz w:val="20"/>
              </w:rPr>
            </w:pPr>
          </w:p>
          <w:p w14:paraId="51FE087A" w14:textId="77777777" w:rsidR="00141B97" w:rsidRDefault="00141B97">
            <w:pPr>
              <w:pStyle w:val="TableParagraph"/>
              <w:spacing w:before="1"/>
              <w:rPr>
                <w:sz w:val="16"/>
              </w:rPr>
            </w:pPr>
          </w:p>
          <w:p w14:paraId="19981301" w14:textId="77777777" w:rsidR="00141B97" w:rsidRDefault="00911D63">
            <w:pPr>
              <w:pStyle w:val="TableParagraph"/>
              <w:ind w:left="206" w:right="170" w:hanging="1"/>
              <w:jc w:val="center"/>
              <w:rPr>
                <w:sz w:val="18"/>
              </w:rPr>
            </w:pPr>
            <w:r>
              <w:rPr>
                <w:spacing w:val="-2"/>
                <w:sz w:val="18"/>
              </w:rPr>
              <w:t>Effective</w:t>
            </w:r>
            <w:r>
              <w:rPr>
                <w:sz w:val="18"/>
              </w:rPr>
              <w:t xml:space="preserve"> </w:t>
            </w:r>
            <w:r>
              <w:rPr>
                <w:spacing w:val="-2"/>
                <w:sz w:val="18"/>
              </w:rPr>
              <w:t>engagement</w:t>
            </w:r>
            <w:r>
              <w:rPr>
                <w:sz w:val="18"/>
              </w:rPr>
              <w:t xml:space="preserve"> with our </w:t>
            </w:r>
            <w:r>
              <w:rPr>
                <w:spacing w:val="-2"/>
                <w:sz w:val="18"/>
              </w:rPr>
              <w:t>stakeholders</w:t>
            </w:r>
          </w:p>
        </w:tc>
        <w:tc>
          <w:tcPr>
            <w:tcW w:w="1332" w:type="dxa"/>
          </w:tcPr>
          <w:p w14:paraId="7A1DC94D" w14:textId="77777777" w:rsidR="00141B97" w:rsidRDefault="00911D63">
            <w:pPr>
              <w:pStyle w:val="TableParagraph"/>
              <w:spacing w:line="243" w:lineRule="exact"/>
              <w:ind w:left="140" w:right="106"/>
              <w:jc w:val="center"/>
              <w:rPr>
                <w:sz w:val="20"/>
              </w:rPr>
            </w:pPr>
            <w:r>
              <w:rPr>
                <w:spacing w:val="-2"/>
                <w:sz w:val="20"/>
              </w:rPr>
              <w:t>Environment</w:t>
            </w:r>
          </w:p>
          <w:p w14:paraId="63C09B29" w14:textId="77777777" w:rsidR="00141B97" w:rsidRDefault="00141B97">
            <w:pPr>
              <w:pStyle w:val="TableParagraph"/>
              <w:rPr>
                <w:sz w:val="20"/>
              </w:rPr>
            </w:pPr>
          </w:p>
          <w:p w14:paraId="6F0D6E66" w14:textId="77777777" w:rsidR="00141B97" w:rsidRDefault="00141B97">
            <w:pPr>
              <w:pStyle w:val="TableParagraph"/>
              <w:spacing w:before="1"/>
              <w:rPr>
                <w:sz w:val="16"/>
              </w:rPr>
            </w:pPr>
          </w:p>
          <w:p w14:paraId="71513E94" w14:textId="77777777" w:rsidR="00141B97" w:rsidRDefault="00911D63">
            <w:pPr>
              <w:pStyle w:val="TableParagraph"/>
              <w:ind w:left="166" w:right="130" w:hanging="1"/>
              <w:jc w:val="center"/>
              <w:rPr>
                <w:sz w:val="18"/>
              </w:rPr>
            </w:pPr>
            <w:r>
              <w:rPr>
                <w:sz w:val="18"/>
              </w:rPr>
              <w:t xml:space="preserve">Better the </w:t>
            </w:r>
            <w:r>
              <w:rPr>
                <w:spacing w:val="-2"/>
                <w:sz w:val="18"/>
              </w:rPr>
              <w:t>environment</w:t>
            </w:r>
            <w:r>
              <w:rPr>
                <w:sz w:val="18"/>
              </w:rPr>
              <w:t xml:space="preserve"> for</w:t>
            </w:r>
            <w:r>
              <w:rPr>
                <w:spacing w:val="-4"/>
                <w:sz w:val="18"/>
              </w:rPr>
              <w:t xml:space="preserve"> </w:t>
            </w:r>
            <w:r>
              <w:rPr>
                <w:sz w:val="18"/>
              </w:rPr>
              <w:t>our</w:t>
            </w:r>
            <w:r>
              <w:rPr>
                <w:spacing w:val="-3"/>
                <w:sz w:val="18"/>
              </w:rPr>
              <w:t xml:space="preserve"> </w:t>
            </w:r>
            <w:r>
              <w:rPr>
                <w:spacing w:val="-2"/>
                <w:sz w:val="18"/>
              </w:rPr>
              <w:t>region</w:t>
            </w:r>
          </w:p>
        </w:tc>
        <w:tc>
          <w:tcPr>
            <w:tcW w:w="1332" w:type="dxa"/>
          </w:tcPr>
          <w:p w14:paraId="54DAB9F6" w14:textId="77777777" w:rsidR="00141B97" w:rsidRDefault="00911D63">
            <w:pPr>
              <w:pStyle w:val="TableParagraph"/>
              <w:ind w:left="140" w:right="103"/>
              <w:jc w:val="center"/>
              <w:rPr>
                <w:sz w:val="20"/>
              </w:rPr>
            </w:pPr>
            <w:r>
              <w:rPr>
                <w:sz w:val="20"/>
              </w:rPr>
              <w:t>People</w:t>
            </w:r>
            <w:r>
              <w:rPr>
                <w:spacing w:val="-12"/>
                <w:sz w:val="20"/>
              </w:rPr>
              <w:t xml:space="preserve"> </w:t>
            </w:r>
            <w:r>
              <w:rPr>
                <w:sz w:val="20"/>
              </w:rPr>
              <w:t xml:space="preserve">and </w:t>
            </w:r>
            <w:r>
              <w:rPr>
                <w:spacing w:val="-2"/>
                <w:sz w:val="20"/>
              </w:rPr>
              <w:t>Safety</w:t>
            </w:r>
          </w:p>
          <w:p w14:paraId="661CF87E" w14:textId="77777777" w:rsidR="00141B97" w:rsidRDefault="00141B97">
            <w:pPr>
              <w:pStyle w:val="TableParagraph"/>
              <w:rPr>
                <w:sz w:val="18"/>
              </w:rPr>
            </w:pPr>
          </w:p>
          <w:p w14:paraId="0075E9B8" w14:textId="77777777" w:rsidR="00141B97" w:rsidRDefault="00911D63">
            <w:pPr>
              <w:pStyle w:val="TableParagraph"/>
              <w:ind w:left="140" w:right="106"/>
              <w:jc w:val="center"/>
              <w:rPr>
                <w:sz w:val="18"/>
              </w:rPr>
            </w:pPr>
            <w:r>
              <w:rPr>
                <w:sz w:val="18"/>
              </w:rPr>
              <w:t>Enhance</w:t>
            </w:r>
            <w:r>
              <w:rPr>
                <w:spacing w:val="-2"/>
                <w:sz w:val="18"/>
              </w:rPr>
              <w:t xml:space="preserve"> </w:t>
            </w:r>
            <w:r>
              <w:rPr>
                <w:sz w:val="18"/>
              </w:rPr>
              <w:t>our people</w:t>
            </w:r>
            <w:r>
              <w:rPr>
                <w:spacing w:val="-2"/>
                <w:sz w:val="18"/>
              </w:rPr>
              <w:t xml:space="preserve"> </w:t>
            </w:r>
            <w:r>
              <w:rPr>
                <w:sz w:val="18"/>
              </w:rPr>
              <w:t xml:space="preserve">and safety and </w:t>
            </w:r>
            <w:r>
              <w:rPr>
                <w:spacing w:val="-2"/>
                <w:sz w:val="18"/>
              </w:rPr>
              <w:t>leverage</w:t>
            </w:r>
            <w:r>
              <w:rPr>
                <w:sz w:val="18"/>
              </w:rPr>
              <w:t xml:space="preserve"> innovation</w:t>
            </w:r>
            <w:r>
              <w:rPr>
                <w:spacing w:val="-11"/>
                <w:sz w:val="18"/>
              </w:rPr>
              <w:t xml:space="preserve"> </w:t>
            </w:r>
            <w:r>
              <w:rPr>
                <w:sz w:val="18"/>
              </w:rPr>
              <w:t>to be</w:t>
            </w:r>
            <w:r>
              <w:rPr>
                <w:spacing w:val="-2"/>
                <w:sz w:val="18"/>
              </w:rPr>
              <w:t xml:space="preserve"> </w:t>
            </w:r>
            <w:r>
              <w:rPr>
                <w:sz w:val="18"/>
              </w:rPr>
              <w:t>more efficient and</w:t>
            </w:r>
          </w:p>
          <w:p w14:paraId="4693F98E" w14:textId="77777777" w:rsidR="00141B97" w:rsidRDefault="00911D63">
            <w:pPr>
              <w:pStyle w:val="TableParagraph"/>
              <w:spacing w:line="199" w:lineRule="exact"/>
              <w:ind w:left="139" w:right="106"/>
              <w:jc w:val="center"/>
              <w:rPr>
                <w:sz w:val="18"/>
              </w:rPr>
            </w:pPr>
            <w:r>
              <w:rPr>
                <w:spacing w:val="-2"/>
                <w:sz w:val="18"/>
              </w:rPr>
              <w:t>effective</w:t>
            </w:r>
          </w:p>
        </w:tc>
        <w:tc>
          <w:tcPr>
            <w:tcW w:w="1332" w:type="dxa"/>
          </w:tcPr>
          <w:p w14:paraId="35D9A1E4" w14:textId="77777777" w:rsidR="00141B97" w:rsidRDefault="00911D63">
            <w:pPr>
              <w:pStyle w:val="TableParagraph"/>
              <w:spacing w:line="243" w:lineRule="exact"/>
              <w:ind w:left="104" w:right="72"/>
              <w:jc w:val="center"/>
              <w:rPr>
                <w:sz w:val="20"/>
              </w:rPr>
            </w:pPr>
            <w:r>
              <w:rPr>
                <w:spacing w:val="-2"/>
                <w:sz w:val="20"/>
              </w:rPr>
              <w:t>Infrastructure</w:t>
            </w:r>
          </w:p>
          <w:p w14:paraId="79247CF2" w14:textId="77777777" w:rsidR="00141B97" w:rsidRDefault="00141B97">
            <w:pPr>
              <w:pStyle w:val="TableParagraph"/>
              <w:rPr>
                <w:sz w:val="20"/>
              </w:rPr>
            </w:pPr>
          </w:p>
          <w:p w14:paraId="07DA36F2" w14:textId="77777777" w:rsidR="00141B97" w:rsidRDefault="00141B97">
            <w:pPr>
              <w:pStyle w:val="TableParagraph"/>
              <w:spacing w:before="1"/>
              <w:rPr>
                <w:sz w:val="16"/>
              </w:rPr>
            </w:pPr>
          </w:p>
          <w:p w14:paraId="597A8C19" w14:textId="77777777" w:rsidR="00141B97" w:rsidRDefault="00911D63">
            <w:pPr>
              <w:pStyle w:val="TableParagraph"/>
              <w:ind w:left="167" w:right="131" w:hanging="3"/>
              <w:jc w:val="center"/>
              <w:rPr>
                <w:sz w:val="18"/>
              </w:rPr>
            </w:pPr>
            <w:r>
              <w:rPr>
                <w:sz w:val="18"/>
              </w:rPr>
              <w:t>Ensure</w:t>
            </w:r>
            <w:r>
              <w:rPr>
                <w:spacing w:val="-2"/>
                <w:sz w:val="18"/>
              </w:rPr>
              <w:t xml:space="preserve"> </w:t>
            </w:r>
            <w:r>
              <w:rPr>
                <w:sz w:val="18"/>
              </w:rPr>
              <w:t xml:space="preserve">our assets and </w:t>
            </w:r>
            <w:r>
              <w:rPr>
                <w:spacing w:val="-2"/>
                <w:sz w:val="18"/>
              </w:rPr>
              <w:t>infrastructure</w:t>
            </w:r>
            <w:r>
              <w:rPr>
                <w:sz w:val="18"/>
              </w:rPr>
              <w:t xml:space="preserve"> meet</w:t>
            </w:r>
            <w:r>
              <w:rPr>
                <w:spacing w:val="-2"/>
                <w:sz w:val="18"/>
              </w:rPr>
              <w:t xml:space="preserve"> </w:t>
            </w:r>
            <w:r>
              <w:rPr>
                <w:sz w:val="18"/>
              </w:rPr>
              <w:t xml:space="preserve">current and future </w:t>
            </w:r>
            <w:r>
              <w:rPr>
                <w:spacing w:val="-2"/>
                <w:sz w:val="18"/>
              </w:rPr>
              <w:t>needs</w:t>
            </w:r>
          </w:p>
        </w:tc>
        <w:tc>
          <w:tcPr>
            <w:tcW w:w="1338" w:type="dxa"/>
          </w:tcPr>
          <w:p w14:paraId="4D5D7F09" w14:textId="77777777" w:rsidR="00141B97" w:rsidRDefault="00911D63">
            <w:pPr>
              <w:pStyle w:val="TableParagraph"/>
              <w:ind w:left="183" w:right="149"/>
              <w:jc w:val="center"/>
              <w:rPr>
                <w:sz w:val="20"/>
              </w:rPr>
            </w:pPr>
            <w:r>
              <w:rPr>
                <w:sz w:val="20"/>
              </w:rPr>
              <w:t>Finance</w:t>
            </w:r>
            <w:r>
              <w:rPr>
                <w:spacing w:val="-12"/>
                <w:sz w:val="20"/>
              </w:rPr>
              <w:t xml:space="preserve"> </w:t>
            </w:r>
            <w:r>
              <w:rPr>
                <w:sz w:val="20"/>
              </w:rPr>
              <w:t xml:space="preserve">and </w:t>
            </w:r>
            <w:r>
              <w:rPr>
                <w:spacing w:val="-2"/>
                <w:sz w:val="20"/>
              </w:rPr>
              <w:t>Governance</w:t>
            </w:r>
          </w:p>
          <w:p w14:paraId="16DF61F3" w14:textId="77777777" w:rsidR="00141B97" w:rsidRDefault="00141B97">
            <w:pPr>
              <w:pStyle w:val="TableParagraph"/>
              <w:rPr>
                <w:sz w:val="18"/>
              </w:rPr>
            </w:pPr>
          </w:p>
          <w:p w14:paraId="12BD6D6A" w14:textId="77777777" w:rsidR="00141B97" w:rsidRDefault="00911D63">
            <w:pPr>
              <w:pStyle w:val="TableParagraph"/>
              <w:ind w:left="202" w:right="167" w:hanging="2"/>
              <w:jc w:val="center"/>
              <w:rPr>
                <w:sz w:val="18"/>
              </w:rPr>
            </w:pPr>
            <w:r>
              <w:rPr>
                <w:sz w:val="18"/>
              </w:rPr>
              <w:t>Secure</w:t>
            </w:r>
            <w:r>
              <w:rPr>
                <w:spacing w:val="-2"/>
                <w:sz w:val="18"/>
              </w:rPr>
              <w:t xml:space="preserve"> </w:t>
            </w:r>
            <w:r>
              <w:rPr>
                <w:sz w:val="18"/>
              </w:rPr>
              <w:t xml:space="preserve">our </w:t>
            </w:r>
            <w:r>
              <w:rPr>
                <w:spacing w:val="-2"/>
                <w:sz w:val="18"/>
              </w:rPr>
              <w:t>long‐term</w:t>
            </w:r>
            <w:r>
              <w:rPr>
                <w:sz w:val="18"/>
              </w:rPr>
              <w:t xml:space="preserve"> </w:t>
            </w:r>
            <w:r>
              <w:rPr>
                <w:spacing w:val="-2"/>
                <w:sz w:val="18"/>
              </w:rPr>
              <w:t>financial</w:t>
            </w:r>
            <w:r>
              <w:rPr>
                <w:sz w:val="18"/>
              </w:rPr>
              <w:t xml:space="preserve"> success</w:t>
            </w:r>
            <w:r>
              <w:rPr>
                <w:spacing w:val="-2"/>
                <w:sz w:val="18"/>
              </w:rPr>
              <w:t xml:space="preserve"> </w:t>
            </w:r>
            <w:r>
              <w:rPr>
                <w:sz w:val="18"/>
              </w:rPr>
              <w:t>and upgrade</w:t>
            </w:r>
            <w:r>
              <w:rPr>
                <w:spacing w:val="-2"/>
                <w:sz w:val="18"/>
              </w:rPr>
              <w:t xml:space="preserve"> </w:t>
            </w:r>
            <w:r>
              <w:rPr>
                <w:sz w:val="18"/>
              </w:rPr>
              <w:t xml:space="preserve">our </w:t>
            </w:r>
            <w:r>
              <w:rPr>
                <w:spacing w:val="-2"/>
                <w:sz w:val="18"/>
              </w:rPr>
              <w:t>governance,</w:t>
            </w:r>
            <w:r>
              <w:rPr>
                <w:sz w:val="18"/>
              </w:rPr>
              <w:t xml:space="preserve"> systems,</w:t>
            </w:r>
            <w:r>
              <w:rPr>
                <w:spacing w:val="-7"/>
                <w:sz w:val="18"/>
              </w:rPr>
              <w:t xml:space="preserve"> </w:t>
            </w:r>
            <w:r>
              <w:rPr>
                <w:spacing w:val="-5"/>
                <w:sz w:val="18"/>
              </w:rPr>
              <w:t>and</w:t>
            </w:r>
          </w:p>
          <w:p w14:paraId="081B2F96" w14:textId="77777777" w:rsidR="00141B97" w:rsidRDefault="00911D63">
            <w:pPr>
              <w:pStyle w:val="TableParagraph"/>
              <w:spacing w:line="199" w:lineRule="exact"/>
              <w:ind w:left="181" w:right="149"/>
              <w:jc w:val="center"/>
              <w:rPr>
                <w:sz w:val="18"/>
              </w:rPr>
            </w:pPr>
            <w:r>
              <w:rPr>
                <w:spacing w:val="-2"/>
                <w:sz w:val="18"/>
              </w:rPr>
              <w:t>processes</w:t>
            </w:r>
          </w:p>
        </w:tc>
      </w:tr>
      <w:tr w:rsidR="00141B97" w14:paraId="5F808824" w14:textId="77777777">
        <w:trPr>
          <w:trHeight w:val="454"/>
        </w:trPr>
        <w:tc>
          <w:tcPr>
            <w:tcW w:w="9749" w:type="dxa"/>
            <w:gridSpan w:val="7"/>
            <w:shd w:val="clear" w:color="auto" w:fill="D9D9D9"/>
          </w:tcPr>
          <w:p w14:paraId="3113CBDC" w14:textId="77777777" w:rsidR="00141B97" w:rsidRDefault="00911D63">
            <w:pPr>
              <w:pStyle w:val="TableParagraph"/>
              <w:spacing w:before="94"/>
              <w:ind w:left="107"/>
            </w:pPr>
            <w:r>
              <w:rPr>
                <w:spacing w:val="-4"/>
              </w:rPr>
              <w:t>URBAN</w:t>
            </w:r>
          </w:p>
        </w:tc>
      </w:tr>
      <w:tr w:rsidR="00141B97" w14:paraId="70D2A0EB" w14:textId="77777777">
        <w:trPr>
          <w:trHeight w:val="903"/>
        </w:trPr>
        <w:tc>
          <w:tcPr>
            <w:tcW w:w="1748" w:type="dxa"/>
          </w:tcPr>
          <w:p w14:paraId="60F3C962" w14:textId="77777777" w:rsidR="00141B97" w:rsidRDefault="00911D63">
            <w:pPr>
              <w:pStyle w:val="TableParagraph"/>
              <w:spacing w:before="122"/>
              <w:ind w:left="107" w:right="111"/>
              <w:rPr>
                <w:sz w:val="18"/>
              </w:rPr>
            </w:pPr>
            <w:r>
              <w:rPr>
                <w:sz w:val="18"/>
              </w:rPr>
              <w:t>Services</w:t>
            </w:r>
            <w:r>
              <w:rPr>
                <w:spacing w:val="-2"/>
                <w:sz w:val="18"/>
              </w:rPr>
              <w:t xml:space="preserve"> </w:t>
            </w:r>
            <w:r>
              <w:rPr>
                <w:sz w:val="18"/>
              </w:rPr>
              <w:t>provide customers</w:t>
            </w:r>
            <w:r>
              <w:rPr>
                <w:spacing w:val="-11"/>
                <w:sz w:val="18"/>
              </w:rPr>
              <w:t xml:space="preserve"> </w:t>
            </w:r>
            <w:r>
              <w:rPr>
                <w:sz w:val="18"/>
              </w:rPr>
              <w:t>value</w:t>
            </w:r>
            <w:r>
              <w:rPr>
                <w:spacing w:val="-10"/>
                <w:sz w:val="18"/>
              </w:rPr>
              <w:t xml:space="preserve"> </w:t>
            </w:r>
            <w:r>
              <w:rPr>
                <w:sz w:val="18"/>
              </w:rPr>
              <w:t xml:space="preserve">for </w:t>
            </w:r>
            <w:r>
              <w:rPr>
                <w:spacing w:val="-2"/>
                <w:sz w:val="18"/>
              </w:rPr>
              <w:t>money</w:t>
            </w:r>
          </w:p>
        </w:tc>
        <w:tc>
          <w:tcPr>
            <w:tcW w:w="1334" w:type="dxa"/>
          </w:tcPr>
          <w:p w14:paraId="03819B8F" w14:textId="77777777" w:rsidR="00141B97" w:rsidRDefault="00141B97">
            <w:pPr>
              <w:pStyle w:val="TableParagraph"/>
              <w:rPr>
                <w:rFonts w:ascii="Times New Roman"/>
                <w:sz w:val="18"/>
              </w:rPr>
            </w:pPr>
          </w:p>
        </w:tc>
        <w:tc>
          <w:tcPr>
            <w:tcW w:w="1333" w:type="dxa"/>
          </w:tcPr>
          <w:p w14:paraId="1E396018" w14:textId="77777777" w:rsidR="00141B97" w:rsidRDefault="00141B97">
            <w:pPr>
              <w:pStyle w:val="TableParagraph"/>
              <w:rPr>
                <w:rFonts w:ascii="Times New Roman"/>
                <w:sz w:val="18"/>
              </w:rPr>
            </w:pPr>
          </w:p>
        </w:tc>
        <w:tc>
          <w:tcPr>
            <w:tcW w:w="1332" w:type="dxa"/>
          </w:tcPr>
          <w:p w14:paraId="1A283377" w14:textId="77777777" w:rsidR="00141B97" w:rsidRDefault="00141B97">
            <w:pPr>
              <w:pStyle w:val="TableParagraph"/>
              <w:rPr>
                <w:rFonts w:ascii="Times New Roman"/>
                <w:sz w:val="18"/>
              </w:rPr>
            </w:pPr>
          </w:p>
        </w:tc>
        <w:tc>
          <w:tcPr>
            <w:tcW w:w="1332" w:type="dxa"/>
          </w:tcPr>
          <w:p w14:paraId="134B1F4B" w14:textId="77777777" w:rsidR="00141B97" w:rsidRDefault="00141B97">
            <w:pPr>
              <w:pStyle w:val="TableParagraph"/>
              <w:spacing w:before="11"/>
              <w:rPr>
                <w:sz w:val="15"/>
              </w:rPr>
            </w:pPr>
          </w:p>
          <w:p w14:paraId="43FC4987" w14:textId="77777777" w:rsidR="00141B97" w:rsidRDefault="00911D63">
            <w:pPr>
              <w:pStyle w:val="TableParagraph"/>
              <w:ind w:left="491"/>
              <w:rPr>
                <w:sz w:val="20"/>
              </w:rPr>
            </w:pPr>
            <w:r>
              <w:rPr>
                <w:noProof/>
                <w:sz w:val="20"/>
              </w:rPr>
              <w:drawing>
                <wp:inline distT="0" distB="0" distL="0" distR="0" wp14:anchorId="670EE8BB" wp14:editId="42032F44">
                  <wp:extent cx="292607" cy="399288"/>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9" cstate="email">
                            <a:extLst>
                              <a:ext uri="{28A0092B-C50C-407E-A947-70E740481C1C}">
                                <a14:useLocalDpi xmlns:a14="http://schemas.microsoft.com/office/drawing/2010/main"/>
                              </a:ext>
                            </a:extLst>
                          </a:blip>
                          <a:stretch>
                            <a:fillRect/>
                          </a:stretch>
                        </pic:blipFill>
                        <pic:spPr>
                          <a:xfrm>
                            <a:off x="0" y="0"/>
                            <a:ext cx="292607" cy="399288"/>
                          </a:xfrm>
                          <a:prstGeom prst="rect">
                            <a:avLst/>
                          </a:prstGeom>
                        </pic:spPr>
                      </pic:pic>
                    </a:graphicData>
                  </a:graphic>
                </wp:inline>
              </w:drawing>
            </w:r>
          </w:p>
        </w:tc>
        <w:tc>
          <w:tcPr>
            <w:tcW w:w="1332" w:type="dxa"/>
          </w:tcPr>
          <w:p w14:paraId="409D8C3F" w14:textId="77777777" w:rsidR="00141B97" w:rsidRDefault="00141B97">
            <w:pPr>
              <w:pStyle w:val="TableParagraph"/>
              <w:spacing w:before="11"/>
              <w:rPr>
                <w:sz w:val="15"/>
              </w:rPr>
            </w:pPr>
          </w:p>
          <w:p w14:paraId="771A1C4F" w14:textId="77777777" w:rsidR="00141B97" w:rsidRDefault="00911D63">
            <w:pPr>
              <w:pStyle w:val="TableParagraph"/>
              <w:ind w:left="536"/>
              <w:rPr>
                <w:sz w:val="20"/>
              </w:rPr>
            </w:pPr>
            <w:r>
              <w:rPr>
                <w:noProof/>
                <w:sz w:val="20"/>
              </w:rPr>
              <w:drawing>
                <wp:inline distT="0" distB="0" distL="0" distR="0" wp14:anchorId="0F391BAC" wp14:editId="1CE75267">
                  <wp:extent cx="292607" cy="399288"/>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0" cstate="email">
                            <a:extLst>
                              <a:ext uri="{28A0092B-C50C-407E-A947-70E740481C1C}">
                                <a14:useLocalDpi xmlns:a14="http://schemas.microsoft.com/office/drawing/2010/main"/>
                              </a:ext>
                            </a:extLst>
                          </a:blip>
                          <a:stretch>
                            <a:fillRect/>
                          </a:stretch>
                        </pic:blipFill>
                        <pic:spPr>
                          <a:xfrm>
                            <a:off x="0" y="0"/>
                            <a:ext cx="292607" cy="399288"/>
                          </a:xfrm>
                          <a:prstGeom prst="rect">
                            <a:avLst/>
                          </a:prstGeom>
                        </pic:spPr>
                      </pic:pic>
                    </a:graphicData>
                  </a:graphic>
                </wp:inline>
              </w:drawing>
            </w:r>
          </w:p>
        </w:tc>
        <w:tc>
          <w:tcPr>
            <w:tcW w:w="1338" w:type="dxa"/>
          </w:tcPr>
          <w:p w14:paraId="3FBCF138" w14:textId="77777777" w:rsidR="00141B97" w:rsidRDefault="00141B97">
            <w:pPr>
              <w:pStyle w:val="TableParagraph"/>
              <w:spacing w:before="11"/>
              <w:rPr>
                <w:sz w:val="15"/>
              </w:rPr>
            </w:pPr>
          </w:p>
          <w:p w14:paraId="4E7EC82F" w14:textId="77777777" w:rsidR="00141B97" w:rsidRDefault="00911D63">
            <w:pPr>
              <w:pStyle w:val="TableParagraph"/>
              <w:ind w:left="577"/>
              <w:rPr>
                <w:sz w:val="20"/>
              </w:rPr>
            </w:pPr>
            <w:r>
              <w:rPr>
                <w:noProof/>
                <w:sz w:val="20"/>
              </w:rPr>
              <w:drawing>
                <wp:inline distT="0" distB="0" distL="0" distR="0" wp14:anchorId="715106BE" wp14:editId="4C7C923F">
                  <wp:extent cx="292607" cy="399288"/>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1" cstate="email">
                            <a:extLst>
                              <a:ext uri="{28A0092B-C50C-407E-A947-70E740481C1C}">
                                <a14:useLocalDpi xmlns:a14="http://schemas.microsoft.com/office/drawing/2010/main"/>
                              </a:ext>
                            </a:extLst>
                          </a:blip>
                          <a:stretch>
                            <a:fillRect/>
                          </a:stretch>
                        </pic:blipFill>
                        <pic:spPr>
                          <a:xfrm>
                            <a:off x="0" y="0"/>
                            <a:ext cx="292607" cy="399288"/>
                          </a:xfrm>
                          <a:prstGeom prst="rect">
                            <a:avLst/>
                          </a:prstGeom>
                        </pic:spPr>
                      </pic:pic>
                    </a:graphicData>
                  </a:graphic>
                </wp:inline>
              </w:drawing>
            </w:r>
          </w:p>
        </w:tc>
      </w:tr>
      <w:tr w:rsidR="00141B97" w14:paraId="6A9BEF40" w14:textId="77777777">
        <w:trPr>
          <w:trHeight w:val="1097"/>
        </w:trPr>
        <w:tc>
          <w:tcPr>
            <w:tcW w:w="1748" w:type="dxa"/>
          </w:tcPr>
          <w:p w14:paraId="5B743C26" w14:textId="77777777" w:rsidR="00141B97" w:rsidRDefault="00911D63">
            <w:pPr>
              <w:pStyle w:val="TableParagraph"/>
              <w:spacing w:line="220" w:lineRule="atLeast"/>
              <w:ind w:left="107" w:right="111"/>
              <w:rPr>
                <w:sz w:val="18"/>
              </w:rPr>
            </w:pPr>
            <w:r>
              <w:rPr>
                <w:sz w:val="18"/>
              </w:rPr>
              <w:t>Service</w:t>
            </w:r>
            <w:r>
              <w:rPr>
                <w:spacing w:val="-2"/>
                <w:sz w:val="18"/>
              </w:rPr>
              <w:t xml:space="preserve"> </w:t>
            </w:r>
            <w:r>
              <w:rPr>
                <w:sz w:val="18"/>
              </w:rPr>
              <w:t>our communities in a socially</w:t>
            </w:r>
            <w:r>
              <w:rPr>
                <w:spacing w:val="-2"/>
                <w:sz w:val="18"/>
              </w:rPr>
              <w:t xml:space="preserve"> </w:t>
            </w:r>
            <w:r>
              <w:rPr>
                <w:sz w:val="18"/>
              </w:rPr>
              <w:t>responsible and</w:t>
            </w:r>
            <w:r>
              <w:rPr>
                <w:spacing w:val="-11"/>
                <w:sz w:val="18"/>
              </w:rPr>
              <w:t xml:space="preserve"> </w:t>
            </w:r>
            <w:r>
              <w:rPr>
                <w:sz w:val="18"/>
              </w:rPr>
              <w:t>environmentally sustainable</w:t>
            </w:r>
            <w:r>
              <w:rPr>
                <w:spacing w:val="-2"/>
                <w:sz w:val="18"/>
              </w:rPr>
              <w:t xml:space="preserve"> </w:t>
            </w:r>
            <w:r>
              <w:rPr>
                <w:sz w:val="18"/>
              </w:rPr>
              <w:t>manner</w:t>
            </w:r>
          </w:p>
        </w:tc>
        <w:tc>
          <w:tcPr>
            <w:tcW w:w="1334" w:type="dxa"/>
          </w:tcPr>
          <w:p w14:paraId="1534637C" w14:textId="77777777" w:rsidR="00141B97" w:rsidRDefault="00141B97">
            <w:pPr>
              <w:pStyle w:val="TableParagraph"/>
              <w:rPr>
                <w:rFonts w:ascii="Times New Roman"/>
                <w:sz w:val="18"/>
              </w:rPr>
            </w:pPr>
          </w:p>
        </w:tc>
        <w:tc>
          <w:tcPr>
            <w:tcW w:w="1333" w:type="dxa"/>
          </w:tcPr>
          <w:p w14:paraId="15D9522F" w14:textId="77777777" w:rsidR="00141B97" w:rsidRDefault="00141B97">
            <w:pPr>
              <w:pStyle w:val="TableParagraph"/>
              <w:rPr>
                <w:rFonts w:ascii="Times New Roman"/>
                <w:sz w:val="18"/>
              </w:rPr>
            </w:pPr>
          </w:p>
        </w:tc>
        <w:tc>
          <w:tcPr>
            <w:tcW w:w="1332" w:type="dxa"/>
          </w:tcPr>
          <w:p w14:paraId="4D328926" w14:textId="77777777" w:rsidR="00141B97" w:rsidRDefault="00141B97">
            <w:pPr>
              <w:pStyle w:val="TableParagraph"/>
              <w:spacing w:before="6"/>
              <w:rPr>
                <w:sz w:val="27"/>
              </w:rPr>
            </w:pPr>
          </w:p>
          <w:p w14:paraId="26C459DD" w14:textId="77777777" w:rsidR="00141B97" w:rsidRDefault="00911D63">
            <w:pPr>
              <w:pStyle w:val="TableParagraph"/>
              <w:ind w:left="488"/>
              <w:rPr>
                <w:sz w:val="20"/>
              </w:rPr>
            </w:pPr>
            <w:r>
              <w:rPr>
                <w:noProof/>
                <w:sz w:val="20"/>
              </w:rPr>
              <w:drawing>
                <wp:inline distT="0" distB="0" distL="0" distR="0" wp14:anchorId="62035207" wp14:editId="346EB9E6">
                  <wp:extent cx="298704" cy="399288"/>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2" cstate="email">
                            <a:extLst>
                              <a:ext uri="{28A0092B-C50C-407E-A947-70E740481C1C}">
                                <a14:useLocalDpi xmlns:a14="http://schemas.microsoft.com/office/drawing/2010/main"/>
                              </a:ext>
                            </a:extLst>
                          </a:blip>
                          <a:stretch>
                            <a:fillRect/>
                          </a:stretch>
                        </pic:blipFill>
                        <pic:spPr>
                          <a:xfrm>
                            <a:off x="0" y="0"/>
                            <a:ext cx="298704" cy="399288"/>
                          </a:xfrm>
                          <a:prstGeom prst="rect">
                            <a:avLst/>
                          </a:prstGeom>
                        </pic:spPr>
                      </pic:pic>
                    </a:graphicData>
                  </a:graphic>
                </wp:inline>
              </w:drawing>
            </w:r>
          </w:p>
        </w:tc>
        <w:tc>
          <w:tcPr>
            <w:tcW w:w="1332" w:type="dxa"/>
          </w:tcPr>
          <w:p w14:paraId="55B82BB5" w14:textId="77777777" w:rsidR="00141B97" w:rsidRDefault="00141B97">
            <w:pPr>
              <w:pStyle w:val="TableParagraph"/>
              <w:spacing w:before="6" w:after="1"/>
              <w:rPr>
                <w:sz w:val="25"/>
              </w:rPr>
            </w:pPr>
          </w:p>
          <w:p w14:paraId="15718FFB" w14:textId="77777777" w:rsidR="00141B97" w:rsidRDefault="00911D63">
            <w:pPr>
              <w:pStyle w:val="TableParagraph"/>
              <w:ind w:left="515"/>
              <w:rPr>
                <w:sz w:val="20"/>
              </w:rPr>
            </w:pPr>
            <w:r>
              <w:rPr>
                <w:noProof/>
                <w:sz w:val="20"/>
              </w:rPr>
              <w:drawing>
                <wp:inline distT="0" distB="0" distL="0" distR="0" wp14:anchorId="16DE80DA" wp14:editId="7101EBEE">
                  <wp:extent cx="292607" cy="396239"/>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3" cstate="email">
                            <a:extLst>
                              <a:ext uri="{28A0092B-C50C-407E-A947-70E740481C1C}">
                                <a14:useLocalDpi xmlns:a14="http://schemas.microsoft.com/office/drawing/2010/main"/>
                              </a:ext>
                            </a:extLst>
                          </a:blip>
                          <a:stretch>
                            <a:fillRect/>
                          </a:stretch>
                        </pic:blipFill>
                        <pic:spPr>
                          <a:xfrm>
                            <a:off x="0" y="0"/>
                            <a:ext cx="292607" cy="396239"/>
                          </a:xfrm>
                          <a:prstGeom prst="rect">
                            <a:avLst/>
                          </a:prstGeom>
                        </pic:spPr>
                      </pic:pic>
                    </a:graphicData>
                  </a:graphic>
                </wp:inline>
              </w:drawing>
            </w:r>
          </w:p>
        </w:tc>
        <w:tc>
          <w:tcPr>
            <w:tcW w:w="1332" w:type="dxa"/>
          </w:tcPr>
          <w:p w14:paraId="40AD3FC3" w14:textId="77777777" w:rsidR="00141B97" w:rsidRDefault="00141B97">
            <w:pPr>
              <w:pStyle w:val="TableParagraph"/>
              <w:rPr>
                <w:rFonts w:ascii="Times New Roman"/>
                <w:sz w:val="18"/>
              </w:rPr>
            </w:pPr>
          </w:p>
        </w:tc>
        <w:tc>
          <w:tcPr>
            <w:tcW w:w="1338" w:type="dxa"/>
          </w:tcPr>
          <w:p w14:paraId="517402CA" w14:textId="77777777" w:rsidR="00141B97" w:rsidRDefault="00141B97">
            <w:pPr>
              <w:pStyle w:val="TableParagraph"/>
              <w:rPr>
                <w:rFonts w:ascii="Times New Roman"/>
                <w:sz w:val="18"/>
              </w:rPr>
            </w:pPr>
          </w:p>
        </w:tc>
      </w:tr>
      <w:tr w:rsidR="00141B97" w14:paraId="5F49B1B9" w14:textId="77777777">
        <w:trPr>
          <w:trHeight w:val="1097"/>
        </w:trPr>
        <w:tc>
          <w:tcPr>
            <w:tcW w:w="1748" w:type="dxa"/>
          </w:tcPr>
          <w:p w14:paraId="7B364B5B" w14:textId="77777777" w:rsidR="00141B97" w:rsidRDefault="00911D63">
            <w:pPr>
              <w:pStyle w:val="TableParagraph"/>
              <w:ind w:left="107"/>
              <w:rPr>
                <w:sz w:val="18"/>
              </w:rPr>
            </w:pPr>
            <w:r>
              <w:rPr>
                <w:sz w:val="18"/>
              </w:rPr>
              <w:t>Provide</w:t>
            </w:r>
            <w:r>
              <w:rPr>
                <w:spacing w:val="-2"/>
                <w:sz w:val="18"/>
              </w:rPr>
              <w:t xml:space="preserve"> </w:t>
            </w:r>
            <w:r>
              <w:rPr>
                <w:sz w:val="18"/>
              </w:rPr>
              <w:t>customer service</w:t>
            </w:r>
            <w:r>
              <w:rPr>
                <w:spacing w:val="-11"/>
                <w:sz w:val="18"/>
              </w:rPr>
              <w:t xml:space="preserve"> </w:t>
            </w:r>
            <w:r>
              <w:rPr>
                <w:sz w:val="18"/>
              </w:rPr>
              <w:t>channels</w:t>
            </w:r>
            <w:r>
              <w:rPr>
                <w:spacing w:val="-10"/>
                <w:sz w:val="18"/>
              </w:rPr>
              <w:t xml:space="preserve"> </w:t>
            </w:r>
            <w:r>
              <w:rPr>
                <w:sz w:val="18"/>
              </w:rPr>
              <w:t>that are responsive to resolve</w:t>
            </w:r>
            <w:r>
              <w:rPr>
                <w:spacing w:val="-8"/>
                <w:sz w:val="18"/>
              </w:rPr>
              <w:t xml:space="preserve"> </w:t>
            </w:r>
            <w:r>
              <w:rPr>
                <w:sz w:val="18"/>
              </w:rPr>
              <w:t>requests</w:t>
            </w:r>
            <w:r>
              <w:rPr>
                <w:spacing w:val="-8"/>
                <w:sz w:val="18"/>
              </w:rPr>
              <w:t xml:space="preserve"> </w:t>
            </w:r>
            <w:r>
              <w:rPr>
                <w:sz w:val="18"/>
              </w:rPr>
              <w:t>and</w:t>
            </w:r>
          </w:p>
          <w:p w14:paraId="6CF5CB7B" w14:textId="77777777" w:rsidR="00141B97" w:rsidRDefault="00911D63">
            <w:pPr>
              <w:pStyle w:val="TableParagraph"/>
              <w:spacing w:line="199" w:lineRule="exact"/>
              <w:ind w:left="107"/>
              <w:rPr>
                <w:sz w:val="18"/>
              </w:rPr>
            </w:pPr>
            <w:r>
              <w:rPr>
                <w:spacing w:val="-2"/>
                <w:sz w:val="18"/>
              </w:rPr>
              <w:t>enquires</w:t>
            </w:r>
          </w:p>
        </w:tc>
        <w:tc>
          <w:tcPr>
            <w:tcW w:w="1334" w:type="dxa"/>
          </w:tcPr>
          <w:p w14:paraId="2C8C1D67" w14:textId="77777777" w:rsidR="00141B97" w:rsidRDefault="00141B97">
            <w:pPr>
              <w:pStyle w:val="TableParagraph"/>
              <w:spacing w:before="7"/>
              <w:rPr>
                <w:sz w:val="24"/>
              </w:rPr>
            </w:pPr>
          </w:p>
          <w:p w14:paraId="1650CBAB" w14:textId="77777777" w:rsidR="00141B97" w:rsidRDefault="00911D63">
            <w:pPr>
              <w:pStyle w:val="TableParagraph"/>
              <w:ind w:left="405"/>
              <w:rPr>
                <w:sz w:val="20"/>
              </w:rPr>
            </w:pPr>
            <w:r>
              <w:rPr>
                <w:noProof/>
                <w:sz w:val="20"/>
              </w:rPr>
              <w:drawing>
                <wp:inline distT="0" distB="0" distL="0" distR="0" wp14:anchorId="71C50743" wp14:editId="2EB494A5">
                  <wp:extent cx="301752" cy="399288"/>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4" cstate="email">
                            <a:extLst>
                              <a:ext uri="{28A0092B-C50C-407E-A947-70E740481C1C}">
                                <a14:useLocalDpi xmlns:a14="http://schemas.microsoft.com/office/drawing/2010/main"/>
                              </a:ext>
                            </a:extLst>
                          </a:blip>
                          <a:stretch>
                            <a:fillRect/>
                          </a:stretch>
                        </pic:blipFill>
                        <pic:spPr>
                          <a:xfrm>
                            <a:off x="0" y="0"/>
                            <a:ext cx="301752" cy="399288"/>
                          </a:xfrm>
                          <a:prstGeom prst="rect">
                            <a:avLst/>
                          </a:prstGeom>
                        </pic:spPr>
                      </pic:pic>
                    </a:graphicData>
                  </a:graphic>
                </wp:inline>
              </w:drawing>
            </w:r>
          </w:p>
        </w:tc>
        <w:tc>
          <w:tcPr>
            <w:tcW w:w="1333" w:type="dxa"/>
          </w:tcPr>
          <w:p w14:paraId="34A20B08" w14:textId="77777777" w:rsidR="00141B97" w:rsidRDefault="00141B97">
            <w:pPr>
              <w:pStyle w:val="TableParagraph"/>
              <w:spacing w:before="1" w:after="1"/>
              <w:rPr>
                <w:sz w:val="28"/>
              </w:rPr>
            </w:pPr>
          </w:p>
          <w:p w14:paraId="478DF651" w14:textId="77777777" w:rsidR="00141B97" w:rsidRDefault="00911D63">
            <w:pPr>
              <w:pStyle w:val="TableParagraph"/>
              <w:ind w:left="492"/>
              <w:rPr>
                <w:sz w:val="20"/>
              </w:rPr>
            </w:pPr>
            <w:r>
              <w:rPr>
                <w:noProof/>
                <w:sz w:val="20"/>
              </w:rPr>
              <w:drawing>
                <wp:inline distT="0" distB="0" distL="0" distR="0" wp14:anchorId="60B748CB" wp14:editId="72707F31">
                  <wp:extent cx="292607" cy="399288"/>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5" cstate="email">
                            <a:extLst>
                              <a:ext uri="{28A0092B-C50C-407E-A947-70E740481C1C}">
                                <a14:useLocalDpi xmlns:a14="http://schemas.microsoft.com/office/drawing/2010/main"/>
                              </a:ext>
                            </a:extLst>
                          </a:blip>
                          <a:stretch>
                            <a:fillRect/>
                          </a:stretch>
                        </pic:blipFill>
                        <pic:spPr>
                          <a:xfrm>
                            <a:off x="0" y="0"/>
                            <a:ext cx="292607" cy="399288"/>
                          </a:xfrm>
                          <a:prstGeom prst="rect">
                            <a:avLst/>
                          </a:prstGeom>
                        </pic:spPr>
                      </pic:pic>
                    </a:graphicData>
                  </a:graphic>
                </wp:inline>
              </w:drawing>
            </w:r>
          </w:p>
        </w:tc>
        <w:tc>
          <w:tcPr>
            <w:tcW w:w="1332" w:type="dxa"/>
          </w:tcPr>
          <w:p w14:paraId="2C2F550C" w14:textId="77777777" w:rsidR="00141B97" w:rsidRDefault="00141B97">
            <w:pPr>
              <w:pStyle w:val="TableParagraph"/>
              <w:rPr>
                <w:rFonts w:ascii="Times New Roman"/>
                <w:sz w:val="18"/>
              </w:rPr>
            </w:pPr>
          </w:p>
        </w:tc>
        <w:tc>
          <w:tcPr>
            <w:tcW w:w="1332" w:type="dxa"/>
          </w:tcPr>
          <w:p w14:paraId="2EDE7C1C" w14:textId="77777777" w:rsidR="00141B97" w:rsidRDefault="00141B97">
            <w:pPr>
              <w:pStyle w:val="TableParagraph"/>
              <w:spacing w:before="1" w:after="1"/>
              <w:rPr>
                <w:sz w:val="28"/>
              </w:rPr>
            </w:pPr>
          </w:p>
          <w:p w14:paraId="284C1457" w14:textId="77777777" w:rsidR="00141B97" w:rsidRDefault="00911D63">
            <w:pPr>
              <w:pStyle w:val="TableParagraph"/>
              <w:ind w:left="515"/>
              <w:rPr>
                <w:sz w:val="20"/>
              </w:rPr>
            </w:pPr>
            <w:r>
              <w:rPr>
                <w:noProof/>
                <w:sz w:val="20"/>
              </w:rPr>
              <w:drawing>
                <wp:inline distT="0" distB="0" distL="0" distR="0" wp14:anchorId="60CC66C5" wp14:editId="1C8F8A08">
                  <wp:extent cx="292608" cy="399288"/>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6" cstate="email">
                            <a:extLst>
                              <a:ext uri="{28A0092B-C50C-407E-A947-70E740481C1C}">
                                <a14:useLocalDpi xmlns:a14="http://schemas.microsoft.com/office/drawing/2010/main"/>
                              </a:ext>
                            </a:extLst>
                          </a:blip>
                          <a:stretch>
                            <a:fillRect/>
                          </a:stretch>
                        </pic:blipFill>
                        <pic:spPr>
                          <a:xfrm>
                            <a:off x="0" y="0"/>
                            <a:ext cx="292608" cy="399288"/>
                          </a:xfrm>
                          <a:prstGeom prst="rect">
                            <a:avLst/>
                          </a:prstGeom>
                        </pic:spPr>
                      </pic:pic>
                    </a:graphicData>
                  </a:graphic>
                </wp:inline>
              </w:drawing>
            </w:r>
          </w:p>
        </w:tc>
        <w:tc>
          <w:tcPr>
            <w:tcW w:w="1332" w:type="dxa"/>
          </w:tcPr>
          <w:p w14:paraId="09B5231A" w14:textId="77777777" w:rsidR="00141B97" w:rsidRDefault="00141B97">
            <w:pPr>
              <w:pStyle w:val="TableParagraph"/>
              <w:rPr>
                <w:rFonts w:ascii="Times New Roman"/>
                <w:sz w:val="18"/>
              </w:rPr>
            </w:pPr>
          </w:p>
        </w:tc>
        <w:tc>
          <w:tcPr>
            <w:tcW w:w="1338" w:type="dxa"/>
          </w:tcPr>
          <w:p w14:paraId="05105997" w14:textId="77777777" w:rsidR="00141B97" w:rsidRDefault="00141B97">
            <w:pPr>
              <w:pStyle w:val="TableParagraph"/>
              <w:rPr>
                <w:rFonts w:ascii="Times New Roman"/>
                <w:sz w:val="18"/>
              </w:rPr>
            </w:pPr>
          </w:p>
        </w:tc>
      </w:tr>
      <w:tr w:rsidR="00141B97" w14:paraId="51845E63" w14:textId="77777777">
        <w:trPr>
          <w:trHeight w:val="853"/>
        </w:trPr>
        <w:tc>
          <w:tcPr>
            <w:tcW w:w="1748" w:type="dxa"/>
          </w:tcPr>
          <w:p w14:paraId="2933E511" w14:textId="77777777" w:rsidR="00141B97" w:rsidRDefault="00911D63">
            <w:pPr>
              <w:pStyle w:val="TableParagraph"/>
              <w:spacing w:before="97"/>
              <w:ind w:left="107" w:right="256"/>
              <w:rPr>
                <w:sz w:val="18"/>
              </w:rPr>
            </w:pPr>
            <w:r>
              <w:rPr>
                <w:sz w:val="18"/>
              </w:rPr>
              <w:t>Provide</w:t>
            </w:r>
            <w:r>
              <w:rPr>
                <w:spacing w:val="-11"/>
                <w:sz w:val="18"/>
              </w:rPr>
              <w:t xml:space="preserve"> </w:t>
            </w:r>
            <w:r>
              <w:rPr>
                <w:sz w:val="18"/>
              </w:rPr>
              <w:t>customers reliable and safe drinking</w:t>
            </w:r>
            <w:r>
              <w:rPr>
                <w:spacing w:val="-2"/>
                <w:sz w:val="18"/>
              </w:rPr>
              <w:t xml:space="preserve"> </w:t>
            </w:r>
            <w:r>
              <w:rPr>
                <w:sz w:val="18"/>
              </w:rPr>
              <w:t>water</w:t>
            </w:r>
          </w:p>
        </w:tc>
        <w:tc>
          <w:tcPr>
            <w:tcW w:w="1334" w:type="dxa"/>
          </w:tcPr>
          <w:p w14:paraId="46E7955E" w14:textId="77777777" w:rsidR="00141B97" w:rsidRDefault="00141B97">
            <w:pPr>
              <w:pStyle w:val="TableParagraph"/>
              <w:spacing w:before="3"/>
              <w:rPr>
                <w:sz w:val="11"/>
              </w:rPr>
            </w:pPr>
          </w:p>
          <w:p w14:paraId="3D5A08F8" w14:textId="77777777" w:rsidR="00141B97" w:rsidRDefault="00911D63">
            <w:pPr>
              <w:pStyle w:val="TableParagraph"/>
              <w:ind w:left="405"/>
              <w:rPr>
                <w:sz w:val="20"/>
              </w:rPr>
            </w:pPr>
            <w:r>
              <w:rPr>
                <w:noProof/>
                <w:sz w:val="20"/>
              </w:rPr>
              <w:drawing>
                <wp:inline distT="0" distB="0" distL="0" distR="0" wp14:anchorId="49AF0F0D" wp14:editId="5BE13DC3">
                  <wp:extent cx="298704" cy="399288"/>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47" cstate="email">
                            <a:extLst>
                              <a:ext uri="{28A0092B-C50C-407E-A947-70E740481C1C}">
                                <a14:useLocalDpi xmlns:a14="http://schemas.microsoft.com/office/drawing/2010/main"/>
                              </a:ext>
                            </a:extLst>
                          </a:blip>
                          <a:stretch>
                            <a:fillRect/>
                          </a:stretch>
                        </pic:blipFill>
                        <pic:spPr>
                          <a:xfrm>
                            <a:off x="0" y="0"/>
                            <a:ext cx="298704" cy="399288"/>
                          </a:xfrm>
                          <a:prstGeom prst="rect">
                            <a:avLst/>
                          </a:prstGeom>
                        </pic:spPr>
                      </pic:pic>
                    </a:graphicData>
                  </a:graphic>
                </wp:inline>
              </w:drawing>
            </w:r>
          </w:p>
        </w:tc>
        <w:tc>
          <w:tcPr>
            <w:tcW w:w="1333" w:type="dxa"/>
          </w:tcPr>
          <w:p w14:paraId="4216F96C" w14:textId="77777777" w:rsidR="00141B97" w:rsidRDefault="00141B97">
            <w:pPr>
              <w:pStyle w:val="TableParagraph"/>
              <w:rPr>
                <w:rFonts w:ascii="Times New Roman"/>
                <w:sz w:val="18"/>
              </w:rPr>
            </w:pPr>
          </w:p>
        </w:tc>
        <w:tc>
          <w:tcPr>
            <w:tcW w:w="1332" w:type="dxa"/>
          </w:tcPr>
          <w:p w14:paraId="066B6A39" w14:textId="77777777" w:rsidR="00141B97" w:rsidRDefault="00141B97">
            <w:pPr>
              <w:pStyle w:val="TableParagraph"/>
              <w:rPr>
                <w:rFonts w:ascii="Times New Roman"/>
                <w:sz w:val="18"/>
              </w:rPr>
            </w:pPr>
          </w:p>
        </w:tc>
        <w:tc>
          <w:tcPr>
            <w:tcW w:w="1332" w:type="dxa"/>
          </w:tcPr>
          <w:p w14:paraId="61D6B2D8" w14:textId="77777777" w:rsidR="00141B97" w:rsidRDefault="00141B97">
            <w:pPr>
              <w:pStyle w:val="TableParagraph"/>
              <w:rPr>
                <w:rFonts w:ascii="Times New Roman"/>
                <w:sz w:val="18"/>
              </w:rPr>
            </w:pPr>
          </w:p>
        </w:tc>
        <w:tc>
          <w:tcPr>
            <w:tcW w:w="1332" w:type="dxa"/>
          </w:tcPr>
          <w:p w14:paraId="0497F3C5" w14:textId="77777777" w:rsidR="00141B97" w:rsidRDefault="00141B97">
            <w:pPr>
              <w:pStyle w:val="TableParagraph"/>
              <w:spacing w:before="3"/>
              <w:rPr>
                <w:sz w:val="11"/>
              </w:rPr>
            </w:pPr>
          </w:p>
          <w:p w14:paraId="546F843D" w14:textId="77777777" w:rsidR="00141B97" w:rsidRDefault="00911D63">
            <w:pPr>
              <w:pStyle w:val="TableParagraph"/>
              <w:ind w:left="536"/>
              <w:rPr>
                <w:sz w:val="20"/>
              </w:rPr>
            </w:pPr>
            <w:r>
              <w:rPr>
                <w:noProof/>
                <w:sz w:val="20"/>
              </w:rPr>
              <w:drawing>
                <wp:inline distT="0" distB="0" distL="0" distR="0" wp14:anchorId="6B0B4C16" wp14:editId="2B72D790">
                  <wp:extent cx="292608" cy="399288"/>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48" cstate="email">
                            <a:extLst>
                              <a:ext uri="{28A0092B-C50C-407E-A947-70E740481C1C}">
                                <a14:useLocalDpi xmlns:a14="http://schemas.microsoft.com/office/drawing/2010/main"/>
                              </a:ext>
                            </a:extLst>
                          </a:blip>
                          <a:stretch>
                            <a:fillRect/>
                          </a:stretch>
                        </pic:blipFill>
                        <pic:spPr>
                          <a:xfrm>
                            <a:off x="0" y="0"/>
                            <a:ext cx="292608" cy="399288"/>
                          </a:xfrm>
                          <a:prstGeom prst="rect">
                            <a:avLst/>
                          </a:prstGeom>
                        </pic:spPr>
                      </pic:pic>
                    </a:graphicData>
                  </a:graphic>
                </wp:inline>
              </w:drawing>
            </w:r>
          </w:p>
        </w:tc>
        <w:tc>
          <w:tcPr>
            <w:tcW w:w="1338" w:type="dxa"/>
          </w:tcPr>
          <w:p w14:paraId="5530F06D" w14:textId="77777777" w:rsidR="00141B97" w:rsidRDefault="00141B97">
            <w:pPr>
              <w:pStyle w:val="TableParagraph"/>
              <w:rPr>
                <w:rFonts w:ascii="Times New Roman"/>
                <w:sz w:val="18"/>
              </w:rPr>
            </w:pPr>
          </w:p>
        </w:tc>
      </w:tr>
      <w:tr w:rsidR="00141B97" w14:paraId="7E6341DD" w14:textId="77777777">
        <w:trPr>
          <w:trHeight w:val="819"/>
        </w:trPr>
        <w:tc>
          <w:tcPr>
            <w:tcW w:w="1748" w:type="dxa"/>
          </w:tcPr>
          <w:p w14:paraId="5E25DF2B" w14:textId="77777777" w:rsidR="00141B97" w:rsidRDefault="00911D63">
            <w:pPr>
              <w:pStyle w:val="TableParagraph"/>
              <w:spacing w:before="80"/>
              <w:ind w:left="107" w:right="256"/>
              <w:rPr>
                <w:sz w:val="18"/>
              </w:rPr>
            </w:pPr>
            <w:r>
              <w:rPr>
                <w:sz w:val="18"/>
              </w:rPr>
              <w:t>Provide</w:t>
            </w:r>
            <w:r>
              <w:rPr>
                <w:spacing w:val="-11"/>
                <w:sz w:val="18"/>
              </w:rPr>
              <w:t xml:space="preserve"> </w:t>
            </w:r>
            <w:r>
              <w:rPr>
                <w:sz w:val="18"/>
              </w:rPr>
              <w:t>customers reliable</w:t>
            </w:r>
            <w:r>
              <w:rPr>
                <w:spacing w:val="-2"/>
                <w:sz w:val="18"/>
              </w:rPr>
              <w:t xml:space="preserve"> </w:t>
            </w:r>
            <w:r>
              <w:rPr>
                <w:sz w:val="18"/>
              </w:rPr>
              <w:t xml:space="preserve">sewerage </w:t>
            </w:r>
            <w:r>
              <w:rPr>
                <w:spacing w:val="-2"/>
                <w:sz w:val="18"/>
              </w:rPr>
              <w:t>services</w:t>
            </w:r>
          </w:p>
        </w:tc>
        <w:tc>
          <w:tcPr>
            <w:tcW w:w="1334" w:type="dxa"/>
          </w:tcPr>
          <w:p w14:paraId="6DEF6157" w14:textId="77777777" w:rsidR="00141B97" w:rsidRDefault="00141B97">
            <w:pPr>
              <w:pStyle w:val="TableParagraph"/>
              <w:spacing w:before="3"/>
              <w:rPr>
                <w:sz w:val="11"/>
              </w:rPr>
            </w:pPr>
          </w:p>
          <w:p w14:paraId="137635F4" w14:textId="77777777" w:rsidR="00141B97" w:rsidRDefault="00911D63">
            <w:pPr>
              <w:pStyle w:val="TableParagraph"/>
              <w:ind w:left="405"/>
              <w:rPr>
                <w:sz w:val="20"/>
              </w:rPr>
            </w:pPr>
            <w:r>
              <w:rPr>
                <w:noProof/>
                <w:sz w:val="20"/>
              </w:rPr>
              <w:drawing>
                <wp:inline distT="0" distB="0" distL="0" distR="0" wp14:anchorId="6FC4749E" wp14:editId="5EBAD246">
                  <wp:extent cx="301752" cy="399288"/>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9" cstate="email">
                            <a:extLst>
                              <a:ext uri="{28A0092B-C50C-407E-A947-70E740481C1C}">
                                <a14:useLocalDpi xmlns:a14="http://schemas.microsoft.com/office/drawing/2010/main"/>
                              </a:ext>
                            </a:extLst>
                          </a:blip>
                          <a:stretch>
                            <a:fillRect/>
                          </a:stretch>
                        </pic:blipFill>
                        <pic:spPr>
                          <a:xfrm>
                            <a:off x="0" y="0"/>
                            <a:ext cx="301752" cy="399288"/>
                          </a:xfrm>
                          <a:prstGeom prst="rect">
                            <a:avLst/>
                          </a:prstGeom>
                        </pic:spPr>
                      </pic:pic>
                    </a:graphicData>
                  </a:graphic>
                </wp:inline>
              </w:drawing>
            </w:r>
          </w:p>
        </w:tc>
        <w:tc>
          <w:tcPr>
            <w:tcW w:w="1333" w:type="dxa"/>
          </w:tcPr>
          <w:p w14:paraId="3900821F" w14:textId="77777777" w:rsidR="00141B97" w:rsidRDefault="00141B97">
            <w:pPr>
              <w:pStyle w:val="TableParagraph"/>
              <w:rPr>
                <w:rFonts w:ascii="Times New Roman"/>
                <w:sz w:val="18"/>
              </w:rPr>
            </w:pPr>
          </w:p>
        </w:tc>
        <w:tc>
          <w:tcPr>
            <w:tcW w:w="1332" w:type="dxa"/>
          </w:tcPr>
          <w:p w14:paraId="638CA6BE" w14:textId="77777777" w:rsidR="00141B97" w:rsidRDefault="00141B97">
            <w:pPr>
              <w:pStyle w:val="TableParagraph"/>
              <w:rPr>
                <w:rFonts w:ascii="Times New Roman"/>
                <w:sz w:val="18"/>
              </w:rPr>
            </w:pPr>
          </w:p>
        </w:tc>
        <w:tc>
          <w:tcPr>
            <w:tcW w:w="1332" w:type="dxa"/>
          </w:tcPr>
          <w:p w14:paraId="25E5ABCE" w14:textId="77777777" w:rsidR="00141B97" w:rsidRDefault="00141B97">
            <w:pPr>
              <w:pStyle w:val="TableParagraph"/>
              <w:rPr>
                <w:rFonts w:ascii="Times New Roman"/>
                <w:sz w:val="18"/>
              </w:rPr>
            </w:pPr>
          </w:p>
        </w:tc>
        <w:tc>
          <w:tcPr>
            <w:tcW w:w="1332" w:type="dxa"/>
          </w:tcPr>
          <w:p w14:paraId="76FCBD13" w14:textId="77777777" w:rsidR="00141B97" w:rsidRDefault="00141B97">
            <w:pPr>
              <w:pStyle w:val="TableParagraph"/>
              <w:spacing w:before="6"/>
              <w:rPr>
                <w:sz w:val="10"/>
              </w:rPr>
            </w:pPr>
          </w:p>
          <w:p w14:paraId="58EE676E" w14:textId="77777777" w:rsidR="00141B97" w:rsidRDefault="00911D63">
            <w:pPr>
              <w:pStyle w:val="TableParagraph"/>
              <w:ind w:left="536"/>
              <w:rPr>
                <w:sz w:val="20"/>
              </w:rPr>
            </w:pPr>
            <w:r>
              <w:rPr>
                <w:noProof/>
                <w:sz w:val="20"/>
              </w:rPr>
              <w:drawing>
                <wp:inline distT="0" distB="0" distL="0" distR="0" wp14:anchorId="4021B174" wp14:editId="67A189CD">
                  <wp:extent cx="292608" cy="399288"/>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50" cstate="email">
                            <a:extLst>
                              <a:ext uri="{28A0092B-C50C-407E-A947-70E740481C1C}">
                                <a14:useLocalDpi xmlns:a14="http://schemas.microsoft.com/office/drawing/2010/main"/>
                              </a:ext>
                            </a:extLst>
                          </a:blip>
                          <a:stretch>
                            <a:fillRect/>
                          </a:stretch>
                        </pic:blipFill>
                        <pic:spPr>
                          <a:xfrm>
                            <a:off x="0" y="0"/>
                            <a:ext cx="292608" cy="399288"/>
                          </a:xfrm>
                          <a:prstGeom prst="rect">
                            <a:avLst/>
                          </a:prstGeom>
                        </pic:spPr>
                      </pic:pic>
                    </a:graphicData>
                  </a:graphic>
                </wp:inline>
              </w:drawing>
            </w:r>
          </w:p>
        </w:tc>
        <w:tc>
          <w:tcPr>
            <w:tcW w:w="1338" w:type="dxa"/>
          </w:tcPr>
          <w:p w14:paraId="4D02C598" w14:textId="77777777" w:rsidR="00141B97" w:rsidRDefault="00141B97">
            <w:pPr>
              <w:pStyle w:val="TableParagraph"/>
              <w:rPr>
                <w:rFonts w:ascii="Times New Roman"/>
                <w:sz w:val="18"/>
              </w:rPr>
            </w:pPr>
          </w:p>
        </w:tc>
      </w:tr>
      <w:tr w:rsidR="00141B97" w14:paraId="55E634A8" w14:textId="77777777">
        <w:trPr>
          <w:trHeight w:val="516"/>
        </w:trPr>
        <w:tc>
          <w:tcPr>
            <w:tcW w:w="9749" w:type="dxa"/>
            <w:gridSpan w:val="7"/>
            <w:shd w:val="clear" w:color="auto" w:fill="D9D9D9"/>
          </w:tcPr>
          <w:p w14:paraId="40E2BFD5" w14:textId="77777777" w:rsidR="00141B97" w:rsidRDefault="00911D63">
            <w:pPr>
              <w:pStyle w:val="TableParagraph"/>
              <w:spacing w:before="124"/>
              <w:ind w:left="107"/>
            </w:pPr>
            <w:r>
              <w:rPr>
                <w:spacing w:val="-2"/>
              </w:rPr>
              <w:t>RURAL</w:t>
            </w:r>
          </w:p>
        </w:tc>
      </w:tr>
      <w:tr w:rsidR="00141B97" w14:paraId="2FD255D3" w14:textId="77777777">
        <w:trPr>
          <w:trHeight w:val="746"/>
        </w:trPr>
        <w:tc>
          <w:tcPr>
            <w:tcW w:w="1748" w:type="dxa"/>
          </w:tcPr>
          <w:p w14:paraId="7B7EE88B" w14:textId="77777777" w:rsidR="00141B97" w:rsidRDefault="00911D63">
            <w:pPr>
              <w:pStyle w:val="TableParagraph"/>
              <w:spacing w:before="43"/>
              <w:ind w:left="107" w:right="111"/>
              <w:rPr>
                <w:sz w:val="18"/>
              </w:rPr>
            </w:pPr>
            <w:r>
              <w:rPr>
                <w:sz w:val="18"/>
              </w:rPr>
              <w:t>Services</w:t>
            </w:r>
            <w:r>
              <w:rPr>
                <w:spacing w:val="-2"/>
                <w:sz w:val="18"/>
              </w:rPr>
              <w:t xml:space="preserve"> </w:t>
            </w:r>
            <w:r>
              <w:rPr>
                <w:sz w:val="18"/>
              </w:rPr>
              <w:t>provide customers</w:t>
            </w:r>
            <w:r>
              <w:rPr>
                <w:spacing w:val="-11"/>
                <w:sz w:val="18"/>
              </w:rPr>
              <w:t xml:space="preserve"> </w:t>
            </w:r>
            <w:r>
              <w:rPr>
                <w:sz w:val="18"/>
              </w:rPr>
              <w:t>value</w:t>
            </w:r>
            <w:r>
              <w:rPr>
                <w:spacing w:val="-10"/>
                <w:sz w:val="18"/>
              </w:rPr>
              <w:t xml:space="preserve"> </w:t>
            </w:r>
            <w:r>
              <w:rPr>
                <w:sz w:val="18"/>
              </w:rPr>
              <w:t xml:space="preserve">for </w:t>
            </w:r>
            <w:r>
              <w:rPr>
                <w:spacing w:val="-2"/>
                <w:sz w:val="18"/>
              </w:rPr>
              <w:t>money</w:t>
            </w:r>
          </w:p>
        </w:tc>
        <w:tc>
          <w:tcPr>
            <w:tcW w:w="1334" w:type="dxa"/>
          </w:tcPr>
          <w:p w14:paraId="4EAC22B1" w14:textId="77777777" w:rsidR="00141B97" w:rsidRDefault="00141B97">
            <w:pPr>
              <w:pStyle w:val="TableParagraph"/>
              <w:rPr>
                <w:rFonts w:ascii="Times New Roman"/>
                <w:sz w:val="18"/>
              </w:rPr>
            </w:pPr>
          </w:p>
        </w:tc>
        <w:tc>
          <w:tcPr>
            <w:tcW w:w="1333" w:type="dxa"/>
          </w:tcPr>
          <w:p w14:paraId="3CBBC66E" w14:textId="77777777" w:rsidR="00141B97" w:rsidRDefault="00141B97">
            <w:pPr>
              <w:pStyle w:val="TableParagraph"/>
              <w:rPr>
                <w:rFonts w:ascii="Times New Roman"/>
                <w:sz w:val="18"/>
              </w:rPr>
            </w:pPr>
          </w:p>
        </w:tc>
        <w:tc>
          <w:tcPr>
            <w:tcW w:w="1332" w:type="dxa"/>
          </w:tcPr>
          <w:p w14:paraId="0AB8338B" w14:textId="77777777" w:rsidR="00141B97" w:rsidRDefault="00141B97">
            <w:pPr>
              <w:pStyle w:val="TableParagraph"/>
              <w:rPr>
                <w:rFonts w:ascii="Times New Roman"/>
                <w:sz w:val="18"/>
              </w:rPr>
            </w:pPr>
          </w:p>
        </w:tc>
        <w:tc>
          <w:tcPr>
            <w:tcW w:w="1332" w:type="dxa"/>
          </w:tcPr>
          <w:p w14:paraId="579E1D35" w14:textId="77777777" w:rsidR="00141B97" w:rsidRDefault="00141B97">
            <w:pPr>
              <w:pStyle w:val="TableParagraph"/>
              <w:spacing w:before="6"/>
              <w:rPr>
                <w:sz w:val="3"/>
              </w:rPr>
            </w:pPr>
          </w:p>
          <w:p w14:paraId="67D35F8E" w14:textId="77777777" w:rsidR="00141B97" w:rsidRDefault="00911D63">
            <w:pPr>
              <w:pStyle w:val="TableParagraph"/>
              <w:ind w:left="428"/>
              <w:rPr>
                <w:sz w:val="20"/>
              </w:rPr>
            </w:pPr>
            <w:r>
              <w:rPr>
                <w:noProof/>
                <w:sz w:val="20"/>
              </w:rPr>
              <w:drawing>
                <wp:inline distT="0" distB="0" distL="0" distR="0" wp14:anchorId="3B30756F" wp14:editId="4D15F5BF">
                  <wp:extent cx="292608" cy="399288"/>
                  <wp:effectExtent l="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51" cstate="email">
                            <a:extLst>
                              <a:ext uri="{28A0092B-C50C-407E-A947-70E740481C1C}">
                                <a14:useLocalDpi xmlns:a14="http://schemas.microsoft.com/office/drawing/2010/main"/>
                              </a:ext>
                            </a:extLst>
                          </a:blip>
                          <a:stretch>
                            <a:fillRect/>
                          </a:stretch>
                        </pic:blipFill>
                        <pic:spPr>
                          <a:xfrm>
                            <a:off x="0" y="0"/>
                            <a:ext cx="292608" cy="399288"/>
                          </a:xfrm>
                          <a:prstGeom prst="rect">
                            <a:avLst/>
                          </a:prstGeom>
                        </pic:spPr>
                      </pic:pic>
                    </a:graphicData>
                  </a:graphic>
                </wp:inline>
              </w:drawing>
            </w:r>
          </w:p>
        </w:tc>
        <w:tc>
          <w:tcPr>
            <w:tcW w:w="1332" w:type="dxa"/>
          </w:tcPr>
          <w:p w14:paraId="3305BA9B" w14:textId="77777777" w:rsidR="00141B97" w:rsidRDefault="00141B97">
            <w:pPr>
              <w:pStyle w:val="TableParagraph"/>
              <w:spacing w:before="6"/>
              <w:rPr>
                <w:sz w:val="3"/>
              </w:rPr>
            </w:pPr>
          </w:p>
          <w:p w14:paraId="7DD494FC" w14:textId="77777777" w:rsidR="00141B97" w:rsidRDefault="00911D63">
            <w:pPr>
              <w:pStyle w:val="TableParagraph"/>
              <w:ind w:left="512"/>
              <w:rPr>
                <w:sz w:val="20"/>
              </w:rPr>
            </w:pPr>
            <w:r>
              <w:rPr>
                <w:noProof/>
                <w:sz w:val="20"/>
              </w:rPr>
              <w:drawing>
                <wp:inline distT="0" distB="0" distL="0" distR="0" wp14:anchorId="5E8172BB" wp14:editId="271B61AD">
                  <wp:extent cx="301751" cy="399288"/>
                  <wp:effectExtent l="0" t="0" r="0" b="0"/>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52" cstate="email">
                            <a:extLst>
                              <a:ext uri="{28A0092B-C50C-407E-A947-70E740481C1C}">
                                <a14:useLocalDpi xmlns:a14="http://schemas.microsoft.com/office/drawing/2010/main"/>
                              </a:ext>
                            </a:extLst>
                          </a:blip>
                          <a:stretch>
                            <a:fillRect/>
                          </a:stretch>
                        </pic:blipFill>
                        <pic:spPr>
                          <a:xfrm>
                            <a:off x="0" y="0"/>
                            <a:ext cx="301751" cy="399288"/>
                          </a:xfrm>
                          <a:prstGeom prst="rect">
                            <a:avLst/>
                          </a:prstGeom>
                        </pic:spPr>
                      </pic:pic>
                    </a:graphicData>
                  </a:graphic>
                </wp:inline>
              </w:drawing>
            </w:r>
          </w:p>
        </w:tc>
        <w:tc>
          <w:tcPr>
            <w:tcW w:w="1338" w:type="dxa"/>
          </w:tcPr>
          <w:p w14:paraId="5F648F17" w14:textId="77777777" w:rsidR="00141B97" w:rsidRDefault="00911D63">
            <w:pPr>
              <w:pStyle w:val="TableParagraph"/>
              <w:ind w:left="515"/>
              <w:rPr>
                <w:sz w:val="20"/>
              </w:rPr>
            </w:pPr>
            <w:r>
              <w:rPr>
                <w:noProof/>
                <w:sz w:val="20"/>
              </w:rPr>
              <w:drawing>
                <wp:inline distT="0" distB="0" distL="0" distR="0" wp14:anchorId="607EF958" wp14:editId="02309A76">
                  <wp:extent cx="292607" cy="396239"/>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53" cstate="email">
                            <a:extLst>
                              <a:ext uri="{28A0092B-C50C-407E-A947-70E740481C1C}">
                                <a14:useLocalDpi xmlns:a14="http://schemas.microsoft.com/office/drawing/2010/main"/>
                              </a:ext>
                            </a:extLst>
                          </a:blip>
                          <a:stretch>
                            <a:fillRect/>
                          </a:stretch>
                        </pic:blipFill>
                        <pic:spPr>
                          <a:xfrm>
                            <a:off x="0" y="0"/>
                            <a:ext cx="292607" cy="396239"/>
                          </a:xfrm>
                          <a:prstGeom prst="rect">
                            <a:avLst/>
                          </a:prstGeom>
                        </pic:spPr>
                      </pic:pic>
                    </a:graphicData>
                  </a:graphic>
                </wp:inline>
              </w:drawing>
            </w:r>
          </w:p>
        </w:tc>
      </w:tr>
      <w:tr w:rsidR="00141B97" w14:paraId="2A8FC9D1" w14:textId="77777777">
        <w:trPr>
          <w:trHeight w:val="1098"/>
        </w:trPr>
        <w:tc>
          <w:tcPr>
            <w:tcW w:w="1748" w:type="dxa"/>
          </w:tcPr>
          <w:p w14:paraId="33334BC8" w14:textId="77777777" w:rsidR="00141B97" w:rsidRDefault="00911D63">
            <w:pPr>
              <w:pStyle w:val="TableParagraph"/>
              <w:spacing w:line="220" w:lineRule="atLeast"/>
              <w:ind w:left="107" w:right="111"/>
              <w:rPr>
                <w:sz w:val="18"/>
              </w:rPr>
            </w:pPr>
            <w:r>
              <w:rPr>
                <w:sz w:val="18"/>
              </w:rPr>
              <w:t>Service</w:t>
            </w:r>
            <w:r>
              <w:rPr>
                <w:spacing w:val="-2"/>
                <w:sz w:val="18"/>
              </w:rPr>
              <w:t xml:space="preserve"> </w:t>
            </w:r>
            <w:r>
              <w:rPr>
                <w:sz w:val="18"/>
              </w:rPr>
              <w:t>our communities in a socially</w:t>
            </w:r>
            <w:r>
              <w:rPr>
                <w:spacing w:val="-2"/>
                <w:sz w:val="18"/>
              </w:rPr>
              <w:t xml:space="preserve"> </w:t>
            </w:r>
            <w:r>
              <w:rPr>
                <w:sz w:val="18"/>
              </w:rPr>
              <w:t>responsible and</w:t>
            </w:r>
            <w:r>
              <w:rPr>
                <w:spacing w:val="-11"/>
                <w:sz w:val="18"/>
              </w:rPr>
              <w:t xml:space="preserve"> </w:t>
            </w:r>
            <w:r>
              <w:rPr>
                <w:sz w:val="18"/>
              </w:rPr>
              <w:t>environmentally sustainable</w:t>
            </w:r>
            <w:r>
              <w:rPr>
                <w:spacing w:val="-2"/>
                <w:sz w:val="18"/>
              </w:rPr>
              <w:t xml:space="preserve"> </w:t>
            </w:r>
            <w:r>
              <w:rPr>
                <w:sz w:val="18"/>
              </w:rPr>
              <w:t>manner</w:t>
            </w:r>
          </w:p>
        </w:tc>
        <w:tc>
          <w:tcPr>
            <w:tcW w:w="1334" w:type="dxa"/>
          </w:tcPr>
          <w:p w14:paraId="51EF001C" w14:textId="77777777" w:rsidR="00141B97" w:rsidRDefault="00141B97">
            <w:pPr>
              <w:pStyle w:val="TableParagraph"/>
              <w:rPr>
                <w:rFonts w:ascii="Times New Roman"/>
                <w:sz w:val="18"/>
              </w:rPr>
            </w:pPr>
          </w:p>
        </w:tc>
        <w:tc>
          <w:tcPr>
            <w:tcW w:w="1333" w:type="dxa"/>
          </w:tcPr>
          <w:p w14:paraId="58E424D0" w14:textId="77777777" w:rsidR="00141B97" w:rsidRDefault="00141B97">
            <w:pPr>
              <w:pStyle w:val="TableParagraph"/>
              <w:rPr>
                <w:rFonts w:ascii="Times New Roman"/>
                <w:sz w:val="18"/>
              </w:rPr>
            </w:pPr>
          </w:p>
        </w:tc>
        <w:tc>
          <w:tcPr>
            <w:tcW w:w="1332" w:type="dxa"/>
          </w:tcPr>
          <w:p w14:paraId="436515F4" w14:textId="77777777" w:rsidR="00141B97" w:rsidRDefault="00141B97">
            <w:pPr>
              <w:pStyle w:val="TableParagraph"/>
              <w:rPr>
                <w:rFonts w:ascii="Times New Roman"/>
                <w:sz w:val="18"/>
              </w:rPr>
            </w:pPr>
          </w:p>
        </w:tc>
        <w:tc>
          <w:tcPr>
            <w:tcW w:w="1332" w:type="dxa"/>
          </w:tcPr>
          <w:p w14:paraId="18081C0B" w14:textId="77777777" w:rsidR="00141B97" w:rsidRDefault="00141B97">
            <w:pPr>
              <w:pStyle w:val="TableParagraph"/>
              <w:rPr>
                <w:rFonts w:ascii="Times New Roman"/>
                <w:sz w:val="18"/>
              </w:rPr>
            </w:pPr>
          </w:p>
        </w:tc>
        <w:tc>
          <w:tcPr>
            <w:tcW w:w="1332" w:type="dxa"/>
          </w:tcPr>
          <w:p w14:paraId="0A2882C7" w14:textId="77777777" w:rsidR="00141B97" w:rsidRDefault="00141B97">
            <w:pPr>
              <w:pStyle w:val="TableParagraph"/>
              <w:rPr>
                <w:rFonts w:ascii="Times New Roman"/>
                <w:sz w:val="18"/>
              </w:rPr>
            </w:pPr>
          </w:p>
        </w:tc>
        <w:tc>
          <w:tcPr>
            <w:tcW w:w="1338" w:type="dxa"/>
          </w:tcPr>
          <w:p w14:paraId="4F2DC949" w14:textId="77777777" w:rsidR="00141B97" w:rsidRDefault="00141B97">
            <w:pPr>
              <w:pStyle w:val="TableParagraph"/>
              <w:rPr>
                <w:rFonts w:ascii="Times New Roman"/>
                <w:sz w:val="18"/>
              </w:rPr>
            </w:pPr>
          </w:p>
        </w:tc>
      </w:tr>
      <w:tr w:rsidR="00141B97" w14:paraId="65E0197E" w14:textId="77777777">
        <w:trPr>
          <w:trHeight w:val="1097"/>
        </w:trPr>
        <w:tc>
          <w:tcPr>
            <w:tcW w:w="1748" w:type="dxa"/>
          </w:tcPr>
          <w:p w14:paraId="693E17A9" w14:textId="77777777" w:rsidR="00141B97" w:rsidRDefault="00911D63">
            <w:pPr>
              <w:pStyle w:val="TableParagraph"/>
              <w:ind w:left="107"/>
              <w:rPr>
                <w:sz w:val="18"/>
              </w:rPr>
            </w:pPr>
            <w:r>
              <w:rPr>
                <w:sz w:val="18"/>
              </w:rPr>
              <w:t>Provide</w:t>
            </w:r>
            <w:r>
              <w:rPr>
                <w:spacing w:val="-2"/>
                <w:sz w:val="18"/>
              </w:rPr>
              <w:t xml:space="preserve"> </w:t>
            </w:r>
            <w:r>
              <w:rPr>
                <w:sz w:val="18"/>
              </w:rPr>
              <w:t>customer service</w:t>
            </w:r>
            <w:r>
              <w:rPr>
                <w:spacing w:val="-11"/>
                <w:sz w:val="18"/>
              </w:rPr>
              <w:t xml:space="preserve"> </w:t>
            </w:r>
            <w:r>
              <w:rPr>
                <w:sz w:val="18"/>
              </w:rPr>
              <w:t>channels</w:t>
            </w:r>
            <w:r>
              <w:rPr>
                <w:spacing w:val="-10"/>
                <w:sz w:val="18"/>
              </w:rPr>
              <w:t xml:space="preserve"> </w:t>
            </w:r>
            <w:r>
              <w:rPr>
                <w:sz w:val="18"/>
              </w:rPr>
              <w:t>that are responsive to resolve</w:t>
            </w:r>
            <w:r>
              <w:rPr>
                <w:spacing w:val="-8"/>
                <w:sz w:val="18"/>
              </w:rPr>
              <w:t xml:space="preserve"> </w:t>
            </w:r>
            <w:r>
              <w:rPr>
                <w:sz w:val="18"/>
              </w:rPr>
              <w:t>requests</w:t>
            </w:r>
            <w:r>
              <w:rPr>
                <w:spacing w:val="-8"/>
                <w:sz w:val="18"/>
              </w:rPr>
              <w:t xml:space="preserve"> </w:t>
            </w:r>
            <w:r>
              <w:rPr>
                <w:sz w:val="18"/>
              </w:rPr>
              <w:t>and</w:t>
            </w:r>
          </w:p>
          <w:p w14:paraId="0E1EAC34" w14:textId="77777777" w:rsidR="00141B97" w:rsidRDefault="00911D63">
            <w:pPr>
              <w:pStyle w:val="TableParagraph"/>
              <w:spacing w:line="199" w:lineRule="exact"/>
              <w:ind w:left="107"/>
              <w:rPr>
                <w:sz w:val="18"/>
              </w:rPr>
            </w:pPr>
            <w:r>
              <w:rPr>
                <w:spacing w:val="-2"/>
                <w:sz w:val="18"/>
              </w:rPr>
              <w:t>enquires</w:t>
            </w:r>
          </w:p>
        </w:tc>
        <w:tc>
          <w:tcPr>
            <w:tcW w:w="1334" w:type="dxa"/>
          </w:tcPr>
          <w:p w14:paraId="49C0F964" w14:textId="77777777" w:rsidR="00141B97" w:rsidRDefault="00141B97">
            <w:pPr>
              <w:pStyle w:val="TableParagraph"/>
              <w:rPr>
                <w:rFonts w:ascii="Times New Roman"/>
                <w:sz w:val="18"/>
              </w:rPr>
            </w:pPr>
          </w:p>
        </w:tc>
        <w:tc>
          <w:tcPr>
            <w:tcW w:w="1333" w:type="dxa"/>
          </w:tcPr>
          <w:p w14:paraId="0B2C5B81" w14:textId="77777777" w:rsidR="00141B97" w:rsidRDefault="00141B97">
            <w:pPr>
              <w:pStyle w:val="TableParagraph"/>
              <w:rPr>
                <w:rFonts w:ascii="Times New Roman"/>
                <w:sz w:val="18"/>
              </w:rPr>
            </w:pPr>
          </w:p>
        </w:tc>
        <w:tc>
          <w:tcPr>
            <w:tcW w:w="1332" w:type="dxa"/>
          </w:tcPr>
          <w:p w14:paraId="3FBF261A" w14:textId="77777777" w:rsidR="00141B97" w:rsidRDefault="00141B97">
            <w:pPr>
              <w:pStyle w:val="TableParagraph"/>
              <w:rPr>
                <w:rFonts w:ascii="Times New Roman"/>
                <w:sz w:val="18"/>
              </w:rPr>
            </w:pPr>
          </w:p>
        </w:tc>
        <w:tc>
          <w:tcPr>
            <w:tcW w:w="1332" w:type="dxa"/>
          </w:tcPr>
          <w:p w14:paraId="23257CCD" w14:textId="77777777" w:rsidR="00141B97" w:rsidRDefault="00141B97">
            <w:pPr>
              <w:pStyle w:val="TableParagraph"/>
              <w:rPr>
                <w:rFonts w:ascii="Times New Roman"/>
                <w:sz w:val="18"/>
              </w:rPr>
            </w:pPr>
          </w:p>
        </w:tc>
        <w:tc>
          <w:tcPr>
            <w:tcW w:w="1332" w:type="dxa"/>
          </w:tcPr>
          <w:p w14:paraId="703197A4" w14:textId="77777777" w:rsidR="00141B97" w:rsidRDefault="00141B97">
            <w:pPr>
              <w:pStyle w:val="TableParagraph"/>
              <w:rPr>
                <w:rFonts w:ascii="Times New Roman"/>
                <w:sz w:val="18"/>
              </w:rPr>
            </w:pPr>
          </w:p>
        </w:tc>
        <w:tc>
          <w:tcPr>
            <w:tcW w:w="1338" w:type="dxa"/>
          </w:tcPr>
          <w:p w14:paraId="3993603F" w14:textId="77777777" w:rsidR="00141B97" w:rsidRDefault="00141B97">
            <w:pPr>
              <w:pStyle w:val="TableParagraph"/>
              <w:rPr>
                <w:rFonts w:ascii="Times New Roman"/>
                <w:sz w:val="18"/>
              </w:rPr>
            </w:pPr>
          </w:p>
        </w:tc>
      </w:tr>
      <w:tr w:rsidR="00141B97" w14:paraId="2096C386" w14:textId="77777777">
        <w:trPr>
          <w:trHeight w:val="821"/>
        </w:trPr>
        <w:tc>
          <w:tcPr>
            <w:tcW w:w="1748" w:type="dxa"/>
          </w:tcPr>
          <w:p w14:paraId="613ED0FC" w14:textId="77777777" w:rsidR="00141B97" w:rsidRDefault="00911D63">
            <w:pPr>
              <w:pStyle w:val="TableParagraph"/>
              <w:spacing w:before="82"/>
              <w:ind w:left="107" w:right="256"/>
              <w:rPr>
                <w:sz w:val="18"/>
              </w:rPr>
            </w:pPr>
            <w:r>
              <w:rPr>
                <w:sz w:val="18"/>
              </w:rPr>
              <w:t>Provide</w:t>
            </w:r>
            <w:r>
              <w:rPr>
                <w:spacing w:val="-11"/>
                <w:sz w:val="18"/>
              </w:rPr>
              <w:t xml:space="preserve"> </w:t>
            </w:r>
            <w:r>
              <w:rPr>
                <w:sz w:val="18"/>
              </w:rPr>
              <w:t>customers with water when they need it</w:t>
            </w:r>
          </w:p>
        </w:tc>
        <w:tc>
          <w:tcPr>
            <w:tcW w:w="1334" w:type="dxa"/>
          </w:tcPr>
          <w:p w14:paraId="41E44810" w14:textId="77777777" w:rsidR="00141B97" w:rsidRDefault="00141B97">
            <w:pPr>
              <w:pStyle w:val="TableParagraph"/>
              <w:rPr>
                <w:rFonts w:ascii="Times New Roman"/>
                <w:sz w:val="18"/>
              </w:rPr>
            </w:pPr>
          </w:p>
        </w:tc>
        <w:tc>
          <w:tcPr>
            <w:tcW w:w="1333" w:type="dxa"/>
          </w:tcPr>
          <w:p w14:paraId="6DAD5298" w14:textId="77777777" w:rsidR="00141B97" w:rsidRDefault="00141B97">
            <w:pPr>
              <w:pStyle w:val="TableParagraph"/>
              <w:rPr>
                <w:rFonts w:ascii="Times New Roman"/>
                <w:sz w:val="18"/>
              </w:rPr>
            </w:pPr>
          </w:p>
        </w:tc>
        <w:tc>
          <w:tcPr>
            <w:tcW w:w="1332" w:type="dxa"/>
          </w:tcPr>
          <w:p w14:paraId="2D4687AF" w14:textId="77777777" w:rsidR="00141B97" w:rsidRDefault="00141B97">
            <w:pPr>
              <w:pStyle w:val="TableParagraph"/>
              <w:rPr>
                <w:rFonts w:ascii="Times New Roman"/>
                <w:sz w:val="18"/>
              </w:rPr>
            </w:pPr>
          </w:p>
        </w:tc>
        <w:tc>
          <w:tcPr>
            <w:tcW w:w="1332" w:type="dxa"/>
          </w:tcPr>
          <w:p w14:paraId="05CFFECC" w14:textId="77777777" w:rsidR="00141B97" w:rsidRDefault="00141B97">
            <w:pPr>
              <w:pStyle w:val="TableParagraph"/>
              <w:rPr>
                <w:rFonts w:ascii="Times New Roman"/>
                <w:sz w:val="18"/>
              </w:rPr>
            </w:pPr>
          </w:p>
        </w:tc>
        <w:tc>
          <w:tcPr>
            <w:tcW w:w="1332" w:type="dxa"/>
          </w:tcPr>
          <w:p w14:paraId="176E90C2" w14:textId="77777777" w:rsidR="00141B97" w:rsidRDefault="00141B97">
            <w:pPr>
              <w:pStyle w:val="TableParagraph"/>
              <w:spacing w:before="7" w:after="1"/>
              <w:rPr>
                <w:sz w:val="8"/>
              </w:rPr>
            </w:pPr>
          </w:p>
          <w:p w14:paraId="07B4223F" w14:textId="77777777" w:rsidR="00141B97" w:rsidRDefault="00911D63">
            <w:pPr>
              <w:pStyle w:val="TableParagraph"/>
              <w:ind w:left="469"/>
              <w:rPr>
                <w:sz w:val="20"/>
              </w:rPr>
            </w:pPr>
            <w:r>
              <w:rPr>
                <w:noProof/>
                <w:sz w:val="20"/>
              </w:rPr>
              <w:drawing>
                <wp:inline distT="0" distB="0" distL="0" distR="0" wp14:anchorId="1DA24D27" wp14:editId="7676920E">
                  <wp:extent cx="298703" cy="399288"/>
                  <wp:effectExtent l="0" t="0" r="0" b="0"/>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54" cstate="email">
                            <a:extLst>
                              <a:ext uri="{28A0092B-C50C-407E-A947-70E740481C1C}">
                                <a14:useLocalDpi xmlns:a14="http://schemas.microsoft.com/office/drawing/2010/main"/>
                              </a:ext>
                            </a:extLst>
                          </a:blip>
                          <a:stretch>
                            <a:fillRect/>
                          </a:stretch>
                        </pic:blipFill>
                        <pic:spPr>
                          <a:xfrm>
                            <a:off x="0" y="0"/>
                            <a:ext cx="298703" cy="399288"/>
                          </a:xfrm>
                          <a:prstGeom prst="rect">
                            <a:avLst/>
                          </a:prstGeom>
                        </pic:spPr>
                      </pic:pic>
                    </a:graphicData>
                  </a:graphic>
                </wp:inline>
              </w:drawing>
            </w:r>
          </w:p>
        </w:tc>
        <w:tc>
          <w:tcPr>
            <w:tcW w:w="1338" w:type="dxa"/>
          </w:tcPr>
          <w:p w14:paraId="24926E1B" w14:textId="77777777" w:rsidR="00141B97" w:rsidRDefault="00141B97">
            <w:pPr>
              <w:pStyle w:val="TableParagraph"/>
              <w:rPr>
                <w:rFonts w:ascii="Times New Roman"/>
                <w:sz w:val="18"/>
              </w:rPr>
            </w:pPr>
          </w:p>
        </w:tc>
      </w:tr>
    </w:tbl>
    <w:p w14:paraId="52D7AA9E" w14:textId="77777777" w:rsidR="00141B97" w:rsidRDefault="00911D63">
      <w:pPr>
        <w:spacing w:before="6"/>
        <w:ind w:left="154"/>
        <w:rPr>
          <w:sz w:val="16"/>
        </w:rPr>
      </w:pPr>
      <w:r>
        <w:rPr>
          <w:noProof/>
        </w:rPr>
        <w:drawing>
          <wp:anchor distT="0" distB="0" distL="0" distR="0" simplePos="0" relativeHeight="471438336" behindDoc="1" locked="0" layoutInCell="1" allowOverlap="1" wp14:anchorId="3DCE1F78" wp14:editId="279A0627">
            <wp:simplePos x="0" y="0"/>
            <wp:positionH relativeFrom="page">
              <wp:posOffset>2124455</wp:posOffset>
            </wp:positionH>
            <wp:positionV relativeFrom="paragraph">
              <wp:posOffset>-1780825</wp:posOffset>
            </wp:positionV>
            <wp:extent cx="2901695" cy="1703832"/>
            <wp:effectExtent l="0" t="0" r="0" b="0"/>
            <wp:wrapNone/>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55" cstate="email">
                      <a:extLst>
                        <a:ext uri="{28A0092B-C50C-407E-A947-70E740481C1C}">
                          <a14:useLocalDpi xmlns:a14="http://schemas.microsoft.com/office/drawing/2010/main"/>
                        </a:ext>
                      </a:extLst>
                    </a:blip>
                    <a:stretch>
                      <a:fillRect/>
                    </a:stretch>
                  </pic:blipFill>
                  <pic:spPr>
                    <a:xfrm>
                      <a:off x="0" y="0"/>
                      <a:ext cx="2901695" cy="1703832"/>
                    </a:xfrm>
                    <a:prstGeom prst="rect">
                      <a:avLst/>
                    </a:prstGeom>
                  </pic:spPr>
                </pic:pic>
              </a:graphicData>
            </a:graphic>
          </wp:anchor>
        </w:drawing>
      </w:r>
      <w:r>
        <w:rPr>
          <w:sz w:val="16"/>
        </w:rPr>
        <w:t>Figure</w:t>
      </w:r>
      <w:r>
        <w:rPr>
          <w:spacing w:val="-6"/>
          <w:sz w:val="16"/>
        </w:rPr>
        <w:t xml:space="preserve"> </w:t>
      </w:r>
      <w:r>
        <w:rPr>
          <w:sz w:val="16"/>
        </w:rPr>
        <w:t>A8:</w:t>
      </w:r>
      <w:r>
        <w:rPr>
          <w:spacing w:val="-5"/>
          <w:sz w:val="16"/>
        </w:rPr>
        <w:t xml:space="preserve"> </w:t>
      </w:r>
      <w:r>
        <w:rPr>
          <w:sz w:val="16"/>
        </w:rPr>
        <w:t>Alignment</w:t>
      </w:r>
      <w:r>
        <w:rPr>
          <w:spacing w:val="-4"/>
          <w:sz w:val="16"/>
        </w:rPr>
        <w:t xml:space="preserve"> </w:t>
      </w:r>
      <w:r>
        <w:rPr>
          <w:sz w:val="16"/>
        </w:rPr>
        <w:t>of</w:t>
      </w:r>
      <w:r>
        <w:rPr>
          <w:spacing w:val="-5"/>
          <w:sz w:val="16"/>
        </w:rPr>
        <w:t xml:space="preserve"> </w:t>
      </w:r>
      <w:r>
        <w:rPr>
          <w:sz w:val="16"/>
        </w:rPr>
        <w:t>LMW’s</w:t>
      </w:r>
      <w:r>
        <w:rPr>
          <w:spacing w:val="-6"/>
          <w:sz w:val="16"/>
        </w:rPr>
        <w:t xml:space="preserve"> </w:t>
      </w:r>
      <w:r>
        <w:rPr>
          <w:sz w:val="16"/>
        </w:rPr>
        <w:t>Customer</w:t>
      </w:r>
      <w:r>
        <w:rPr>
          <w:spacing w:val="-6"/>
          <w:sz w:val="16"/>
        </w:rPr>
        <w:t xml:space="preserve"> </w:t>
      </w:r>
      <w:r>
        <w:rPr>
          <w:sz w:val="16"/>
        </w:rPr>
        <w:t>Outcomes</w:t>
      </w:r>
      <w:r>
        <w:rPr>
          <w:spacing w:val="-6"/>
          <w:sz w:val="16"/>
        </w:rPr>
        <w:t xml:space="preserve"> </w:t>
      </w:r>
      <w:r>
        <w:rPr>
          <w:sz w:val="16"/>
        </w:rPr>
        <w:t>and</w:t>
      </w:r>
      <w:r>
        <w:rPr>
          <w:spacing w:val="-5"/>
          <w:sz w:val="16"/>
        </w:rPr>
        <w:t xml:space="preserve"> </w:t>
      </w:r>
      <w:r>
        <w:rPr>
          <w:sz w:val="16"/>
        </w:rPr>
        <w:t>Strategic</w:t>
      </w:r>
      <w:r>
        <w:rPr>
          <w:spacing w:val="-5"/>
          <w:sz w:val="16"/>
        </w:rPr>
        <w:t xml:space="preserve"> </w:t>
      </w:r>
      <w:r>
        <w:rPr>
          <w:spacing w:val="-2"/>
          <w:sz w:val="16"/>
        </w:rPr>
        <w:t>Pillars</w:t>
      </w:r>
    </w:p>
    <w:p w14:paraId="36B95F6B" w14:textId="77777777" w:rsidR="00141B97" w:rsidRDefault="00141B97">
      <w:pPr>
        <w:rPr>
          <w:sz w:val="16"/>
        </w:rPr>
        <w:sectPr w:rsidR="00141B97">
          <w:pgSz w:w="11910" w:h="16840"/>
          <w:pgMar w:top="820" w:right="740" w:bottom="1120" w:left="980" w:header="0" w:footer="896" w:gutter="0"/>
          <w:cols w:space="720"/>
        </w:sectPr>
      </w:pPr>
    </w:p>
    <w:p w14:paraId="008E548E" w14:textId="77777777" w:rsidR="00141B97" w:rsidRDefault="00911D63">
      <w:pPr>
        <w:pStyle w:val="Heading1"/>
        <w:numPr>
          <w:ilvl w:val="0"/>
          <w:numId w:val="113"/>
        </w:numPr>
        <w:tabs>
          <w:tab w:val="left" w:pos="830"/>
          <w:tab w:val="left" w:pos="831"/>
        </w:tabs>
        <w:ind w:left="830" w:hanging="677"/>
      </w:pPr>
      <w:bookmarkStart w:id="12" w:name="_TOC_250015"/>
      <w:r>
        <w:rPr>
          <w:color w:val="006CA3"/>
        </w:rPr>
        <w:lastRenderedPageBreak/>
        <w:t>Governance</w:t>
      </w:r>
      <w:r>
        <w:rPr>
          <w:color w:val="006CA3"/>
          <w:spacing w:val="-4"/>
        </w:rPr>
        <w:t xml:space="preserve"> </w:t>
      </w:r>
      <w:r>
        <w:rPr>
          <w:color w:val="006CA3"/>
        </w:rPr>
        <w:t>and</w:t>
      </w:r>
      <w:r>
        <w:rPr>
          <w:color w:val="006CA3"/>
          <w:spacing w:val="-3"/>
        </w:rPr>
        <w:t xml:space="preserve"> </w:t>
      </w:r>
      <w:bookmarkEnd w:id="12"/>
      <w:r>
        <w:rPr>
          <w:color w:val="006CA3"/>
          <w:spacing w:val="-2"/>
        </w:rPr>
        <w:t>Management</w:t>
      </w:r>
    </w:p>
    <w:p w14:paraId="6F4E8667" w14:textId="77777777" w:rsidR="00141B97" w:rsidRDefault="00911D63">
      <w:pPr>
        <w:pStyle w:val="Heading2"/>
        <w:numPr>
          <w:ilvl w:val="1"/>
          <w:numId w:val="113"/>
        </w:numPr>
        <w:tabs>
          <w:tab w:val="left" w:pos="1152"/>
          <w:tab w:val="left" w:pos="1153"/>
        </w:tabs>
        <w:spacing w:before="379"/>
      </w:pPr>
      <w:bookmarkStart w:id="13" w:name="_TOC_250014"/>
      <w:r>
        <w:rPr>
          <w:color w:val="009BAC"/>
        </w:rPr>
        <w:t>Price</w:t>
      </w:r>
      <w:r>
        <w:rPr>
          <w:color w:val="009BAC"/>
          <w:spacing w:val="-11"/>
        </w:rPr>
        <w:t xml:space="preserve"> </w:t>
      </w:r>
      <w:r>
        <w:rPr>
          <w:color w:val="009BAC"/>
        </w:rPr>
        <w:t>Submission</w:t>
      </w:r>
      <w:r>
        <w:rPr>
          <w:color w:val="009BAC"/>
          <w:spacing w:val="-10"/>
        </w:rPr>
        <w:t xml:space="preserve"> </w:t>
      </w:r>
      <w:bookmarkEnd w:id="13"/>
      <w:r>
        <w:rPr>
          <w:color w:val="009BAC"/>
          <w:spacing w:val="-2"/>
        </w:rPr>
        <w:t>Development</w:t>
      </w:r>
    </w:p>
    <w:p w14:paraId="32870DD0" w14:textId="77777777" w:rsidR="00141B97" w:rsidRDefault="00911D63">
      <w:pPr>
        <w:pStyle w:val="BodyText"/>
        <w:spacing w:before="121" w:line="276" w:lineRule="auto"/>
        <w:ind w:left="153" w:right="247"/>
        <w:jc w:val="both"/>
      </w:pPr>
      <w:r>
        <w:t>In</w:t>
      </w:r>
      <w:r>
        <w:rPr>
          <w:spacing w:val="-2"/>
        </w:rPr>
        <w:t xml:space="preserve"> </w:t>
      </w:r>
      <w:r>
        <w:t>May 2021,</w:t>
      </w:r>
      <w:r>
        <w:rPr>
          <w:spacing w:val="-1"/>
        </w:rPr>
        <w:t xml:space="preserve"> </w:t>
      </w:r>
      <w:r>
        <w:t>LMW</w:t>
      </w:r>
      <w:r>
        <w:rPr>
          <w:spacing w:val="-2"/>
        </w:rPr>
        <w:t xml:space="preserve"> </w:t>
      </w:r>
      <w:r>
        <w:t>developed</w:t>
      </w:r>
      <w:r>
        <w:rPr>
          <w:spacing w:val="-1"/>
        </w:rPr>
        <w:t xml:space="preserve"> </w:t>
      </w:r>
      <w:r>
        <w:t>a</w:t>
      </w:r>
      <w:r>
        <w:rPr>
          <w:spacing w:val="-1"/>
        </w:rPr>
        <w:t xml:space="preserve"> </w:t>
      </w:r>
      <w:r>
        <w:t>Project Plan</w:t>
      </w:r>
      <w:r>
        <w:rPr>
          <w:vertAlign w:val="superscript"/>
        </w:rPr>
        <w:t>4</w:t>
      </w:r>
      <w:r>
        <w:rPr>
          <w:spacing w:val="-2"/>
        </w:rPr>
        <w:t xml:space="preserve"> </w:t>
      </w:r>
      <w:r>
        <w:t>and</w:t>
      </w:r>
      <w:r>
        <w:rPr>
          <w:spacing w:val="-1"/>
        </w:rPr>
        <w:t xml:space="preserve"> </w:t>
      </w:r>
      <w:r>
        <w:t>program</w:t>
      </w:r>
      <w:r>
        <w:rPr>
          <w:spacing w:val="-1"/>
        </w:rPr>
        <w:t xml:space="preserve"> </w:t>
      </w:r>
      <w:r>
        <w:t>for</w:t>
      </w:r>
      <w:r>
        <w:rPr>
          <w:spacing w:val="-1"/>
        </w:rPr>
        <w:t xml:space="preserve"> </w:t>
      </w:r>
      <w:r>
        <w:t>the</w:t>
      </w:r>
      <w:r>
        <w:rPr>
          <w:spacing w:val="-1"/>
        </w:rPr>
        <w:t xml:space="preserve"> </w:t>
      </w:r>
      <w:r>
        <w:t>preparation,</w:t>
      </w:r>
      <w:r>
        <w:rPr>
          <w:spacing w:val="-1"/>
        </w:rPr>
        <w:t xml:space="preserve"> </w:t>
      </w:r>
      <w:r>
        <w:t>review, and</w:t>
      </w:r>
      <w:r>
        <w:rPr>
          <w:spacing w:val="-1"/>
        </w:rPr>
        <w:t xml:space="preserve"> </w:t>
      </w:r>
      <w:r>
        <w:t>verification of</w:t>
      </w:r>
      <w:r>
        <w:rPr>
          <w:spacing w:val="-1"/>
        </w:rPr>
        <w:t xml:space="preserve"> </w:t>
      </w:r>
      <w:r>
        <w:t xml:space="preserve">PS5, which was progressively updated throughout the preparation process. Key parts of the delivery process </w:t>
      </w:r>
      <w:r>
        <w:rPr>
          <w:spacing w:val="-2"/>
        </w:rPr>
        <w:t>included:</w:t>
      </w:r>
    </w:p>
    <w:p w14:paraId="0229B544" w14:textId="77777777" w:rsidR="00141B97" w:rsidRDefault="00911D63">
      <w:pPr>
        <w:pStyle w:val="ListParagraph"/>
        <w:numPr>
          <w:ilvl w:val="0"/>
          <w:numId w:val="103"/>
        </w:numPr>
        <w:tabs>
          <w:tab w:val="left" w:pos="875"/>
        </w:tabs>
        <w:spacing w:line="276" w:lineRule="auto"/>
        <w:ind w:right="245" w:hanging="361"/>
        <w:jc w:val="both"/>
      </w:pPr>
      <w:r>
        <w:t>A diagnostic review in July 2021 to assess the maturity of business processes and documentation to support PS5 preparation.</w:t>
      </w:r>
    </w:p>
    <w:p w14:paraId="151B96DF" w14:textId="77777777" w:rsidR="00141B97" w:rsidRDefault="00911D63">
      <w:pPr>
        <w:pStyle w:val="ListParagraph"/>
        <w:numPr>
          <w:ilvl w:val="0"/>
          <w:numId w:val="103"/>
        </w:numPr>
        <w:tabs>
          <w:tab w:val="left" w:pos="875"/>
        </w:tabs>
        <w:spacing w:line="276" w:lineRule="auto"/>
        <w:ind w:left="873" w:right="247"/>
        <w:jc w:val="both"/>
      </w:pPr>
      <w:r>
        <w:t xml:space="preserve">Establishment of governance arrangements involving the Board, Finance and Audit Committee, Risk Committee, a PS5 Development Coordination Team (DCT) comprising the Executive Team and other managers as required, along with other processes to support oversight and review, direction, and </w:t>
      </w:r>
      <w:r>
        <w:rPr>
          <w:spacing w:val="-2"/>
        </w:rPr>
        <w:t>decisions.</w:t>
      </w:r>
    </w:p>
    <w:p w14:paraId="5E77A016" w14:textId="77777777" w:rsidR="00141B97" w:rsidRDefault="00911D63">
      <w:pPr>
        <w:pStyle w:val="ListParagraph"/>
        <w:numPr>
          <w:ilvl w:val="0"/>
          <w:numId w:val="103"/>
        </w:numPr>
        <w:tabs>
          <w:tab w:val="left" w:pos="874"/>
        </w:tabs>
        <w:spacing w:line="276" w:lineRule="auto"/>
        <w:ind w:right="246" w:hanging="361"/>
        <w:jc w:val="both"/>
      </w:pPr>
      <w:r>
        <w:t>Development of an Executive Verification and Board Attestation process</w:t>
      </w:r>
      <w:r>
        <w:rPr>
          <w:vertAlign w:val="superscript"/>
        </w:rPr>
        <w:t>5</w:t>
      </w:r>
      <w:r>
        <w:t xml:space="preserve"> supported by appropriate verification</w:t>
      </w:r>
      <w:r>
        <w:rPr>
          <w:spacing w:val="-12"/>
        </w:rPr>
        <w:t xml:space="preserve"> </w:t>
      </w:r>
      <w:r>
        <w:t>checklists</w:t>
      </w:r>
      <w:r>
        <w:rPr>
          <w:spacing w:val="-12"/>
        </w:rPr>
        <w:t xml:space="preserve"> </w:t>
      </w:r>
      <w:r>
        <w:t>to</w:t>
      </w:r>
      <w:r>
        <w:rPr>
          <w:spacing w:val="-12"/>
        </w:rPr>
        <w:t xml:space="preserve"> </w:t>
      </w:r>
      <w:r>
        <w:t>address</w:t>
      </w:r>
      <w:r>
        <w:rPr>
          <w:spacing w:val="-11"/>
        </w:rPr>
        <w:t xml:space="preserve"> </w:t>
      </w:r>
      <w:r>
        <w:t>all</w:t>
      </w:r>
      <w:r>
        <w:rPr>
          <w:spacing w:val="-12"/>
        </w:rPr>
        <w:t xml:space="preserve"> </w:t>
      </w:r>
      <w:r>
        <w:t>the</w:t>
      </w:r>
      <w:r>
        <w:rPr>
          <w:spacing w:val="-11"/>
        </w:rPr>
        <w:t xml:space="preserve"> </w:t>
      </w:r>
      <w:r>
        <w:t>requirements</w:t>
      </w:r>
      <w:r>
        <w:rPr>
          <w:spacing w:val="-11"/>
        </w:rPr>
        <w:t xml:space="preserve"> </w:t>
      </w:r>
      <w:r>
        <w:t>of</w:t>
      </w:r>
      <w:r>
        <w:rPr>
          <w:spacing w:val="-12"/>
        </w:rPr>
        <w:t xml:space="preserve"> </w:t>
      </w:r>
      <w:r>
        <w:t>the</w:t>
      </w:r>
      <w:r>
        <w:rPr>
          <w:spacing w:val="-12"/>
        </w:rPr>
        <w:t xml:space="preserve"> </w:t>
      </w:r>
      <w:r>
        <w:t>ESC’s</w:t>
      </w:r>
      <w:r>
        <w:rPr>
          <w:spacing w:val="-10"/>
        </w:rPr>
        <w:t xml:space="preserve"> </w:t>
      </w:r>
      <w:r>
        <w:t>Guidance</w:t>
      </w:r>
      <w:r>
        <w:rPr>
          <w:spacing w:val="-11"/>
        </w:rPr>
        <w:t xml:space="preserve"> </w:t>
      </w:r>
      <w:r>
        <w:t>Paper</w:t>
      </w:r>
      <w:r>
        <w:rPr>
          <w:spacing w:val="-11"/>
        </w:rPr>
        <w:t xml:space="preserve"> </w:t>
      </w:r>
      <w:r>
        <w:t>including</w:t>
      </w:r>
      <w:r>
        <w:rPr>
          <w:spacing w:val="-12"/>
        </w:rPr>
        <w:t xml:space="preserve"> </w:t>
      </w:r>
      <w:r>
        <w:t>consistency and lack of errors or omissions.</w:t>
      </w:r>
    </w:p>
    <w:p w14:paraId="2E4549E1" w14:textId="77777777" w:rsidR="00141B97" w:rsidRDefault="00911D63">
      <w:pPr>
        <w:pStyle w:val="ListParagraph"/>
        <w:numPr>
          <w:ilvl w:val="0"/>
          <w:numId w:val="103"/>
        </w:numPr>
        <w:tabs>
          <w:tab w:val="left" w:pos="875"/>
        </w:tabs>
        <w:spacing w:line="276" w:lineRule="auto"/>
        <w:ind w:right="247" w:hanging="361"/>
        <w:jc w:val="both"/>
      </w:pPr>
      <w:r>
        <w:t>Regular tracking of PS5 preparation, progress, and risks, and reporting to the DCT, Finance and Audit Committee, Risk Committee, and the Board.</w:t>
      </w:r>
    </w:p>
    <w:p w14:paraId="33300711" w14:textId="77777777" w:rsidR="00141B97" w:rsidRDefault="00911D63">
      <w:pPr>
        <w:pStyle w:val="ListParagraph"/>
        <w:numPr>
          <w:ilvl w:val="0"/>
          <w:numId w:val="103"/>
        </w:numPr>
        <w:tabs>
          <w:tab w:val="left" w:pos="875"/>
        </w:tabs>
        <w:spacing w:line="280" w:lineRule="exact"/>
        <w:ind w:hanging="361"/>
        <w:jc w:val="both"/>
      </w:pPr>
      <w:r>
        <w:rPr>
          <w:w w:val="95"/>
        </w:rPr>
        <w:t>Accelerated</w:t>
      </w:r>
      <w:r>
        <w:rPr>
          <w:spacing w:val="16"/>
        </w:rPr>
        <w:t xml:space="preserve"> </w:t>
      </w:r>
      <w:r>
        <w:rPr>
          <w:w w:val="95"/>
        </w:rPr>
        <w:t>and</w:t>
      </w:r>
      <w:r>
        <w:rPr>
          <w:spacing w:val="13"/>
        </w:rPr>
        <w:t xml:space="preserve"> </w:t>
      </w:r>
      <w:r>
        <w:rPr>
          <w:w w:val="95"/>
        </w:rPr>
        <w:t>adaptive</w:t>
      </w:r>
      <w:r>
        <w:rPr>
          <w:spacing w:val="11"/>
        </w:rPr>
        <w:t xml:space="preserve"> </w:t>
      </w:r>
      <w:r>
        <w:rPr>
          <w:w w:val="95"/>
        </w:rPr>
        <w:t>customer</w:t>
      </w:r>
      <w:r>
        <w:rPr>
          <w:spacing w:val="15"/>
        </w:rPr>
        <w:t xml:space="preserve"> </w:t>
      </w:r>
      <w:r>
        <w:rPr>
          <w:w w:val="95"/>
        </w:rPr>
        <w:t>engagement</w:t>
      </w:r>
      <w:r>
        <w:rPr>
          <w:spacing w:val="12"/>
        </w:rPr>
        <w:t xml:space="preserve"> </w:t>
      </w:r>
      <w:r>
        <w:rPr>
          <w:w w:val="95"/>
        </w:rPr>
        <w:t>program</w:t>
      </w:r>
      <w:r>
        <w:rPr>
          <w:spacing w:val="14"/>
        </w:rPr>
        <w:t xml:space="preserve"> </w:t>
      </w:r>
      <w:r>
        <w:rPr>
          <w:w w:val="95"/>
        </w:rPr>
        <w:t>delivered</w:t>
      </w:r>
      <w:r>
        <w:rPr>
          <w:spacing w:val="17"/>
        </w:rPr>
        <w:t xml:space="preserve"> </w:t>
      </w:r>
      <w:r>
        <w:rPr>
          <w:w w:val="95"/>
        </w:rPr>
        <w:t>through</w:t>
      </w:r>
      <w:r>
        <w:rPr>
          <w:spacing w:val="13"/>
        </w:rPr>
        <w:t xml:space="preserve"> </w:t>
      </w:r>
      <w:r>
        <w:rPr>
          <w:w w:val="95"/>
        </w:rPr>
        <w:t>the</w:t>
      </w:r>
      <w:r>
        <w:rPr>
          <w:spacing w:val="15"/>
        </w:rPr>
        <w:t xml:space="preserve"> </w:t>
      </w:r>
      <w:r>
        <w:rPr>
          <w:w w:val="95"/>
        </w:rPr>
        <w:t>entire</w:t>
      </w:r>
      <w:r>
        <w:rPr>
          <w:spacing w:val="13"/>
        </w:rPr>
        <w:t xml:space="preserve"> </w:t>
      </w:r>
      <w:r>
        <w:rPr>
          <w:w w:val="95"/>
        </w:rPr>
        <w:t>PS5</w:t>
      </w:r>
      <w:r>
        <w:rPr>
          <w:spacing w:val="13"/>
        </w:rPr>
        <w:t xml:space="preserve"> </w:t>
      </w:r>
      <w:r>
        <w:rPr>
          <w:spacing w:val="-2"/>
          <w:w w:val="95"/>
        </w:rPr>
        <w:t>preparation.</w:t>
      </w:r>
    </w:p>
    <w:p w14:paraId="548BF835" w14:textId="77777777" w:rsidR="00141B97" w:rsidRDefault="00911D63">
      <w:pPr>
        <w:pStyle w:val="ListParagraph"/>
        <w:numPr>
          <w:ilvl w:val="0"/>
          <w:numId w:val="103"/>
        </w:numPr>
        <w:tabs>
          <w:tab w:val="left" w:pos="875"/>
        </w:tabs>
        <w:spacing w:before="40" w:line="276" w:lineRule="auto"/>
        <w:ind w:right="247" w:hanging="361"/>
        <w:jc w:val="both"/>
      </w:pPr>
      <w:r>
        <w:t>Planning and progressive delivery of papers on each key PS5 input for critical review at specifically scheduled ‘Focused’ Finance and Audit Committee prior to Board approval.</w:t>
      </w:r>
    </w:p>
    <w:p w14:paraId="18BDEBB6" w14:textId="77777777" w:rsidR="00141B97" w:rsidRDefault="00911D63">
      <w:pPr>
        <w:pStyle w:val="ListParagraph"/>
        <w:numPr>
          <w:ilvl w:val="0"/>
          <w:numId w:val="103"/>
        </w:numPr>
        <w:tabs>
          <w:tab w:val="left" w:pos="874"/>
        </w:tabs>
        <w:spacing w:line="276" w:lineRule="auto"/>
        <w:ind w:left="873" w:right="247"/>
        <w:jc w:val="both"/>
      </w:pPr>
      <w:r>
        <w:t>Extensive</w:t>
      </w:r>
      <w:r>
        <w:rPr>
          <w:spacing w:val="-4"/>
        </w:rPr>
        <w:t xml:space="preserve"> </w:t>
      </w:r>
      <w:r>
        <w:t>and</w:t>
      </w:r>
      <w:r>
        <w:rPr>
          <w:spacing w:val="-3"/>
        </w:rPr>
        <w:t xml:space="preserve"> </w:t>
      </w:r>
      <w:r>
        <w:t>sustained</w:t>
      </w:r>
      <w:r>
        <w:rPr>
          <w:spacing w:val="-4"/>
        </w:rPr>
        <w:t xml:space="preserve"> </w:t>
      </w:r>
      <w:r>
        <w:t>reviews</w:t>
      </w:r>
      <w:r>
        <w:rPr>
          <w:spacing w:val="-3"/>
        </w:rPr>
        <w:t xml:space="preserve"> </w:t>
      </w:r>
      <w:r>
        <w:t>of</w:t>
      </w:r>
      <w:r>
        <w:rPr>
          <w:spacing w:val="-3"/>
        </w:rPr>
        <w:t xml:space="preserve"> </w:t>
      </w:r>
      <w:r>
        <w:t>every</w:t>
      </w:r>
      <w:r>
        <w:rPr>
          <w:spacing w:val="-2"/>
        </w:rPr>
        <w:t xml:space="preserve"> </w:t>
      </w:r>
      <w:r>
        <w:t>operating</w:t>
      </w:r>
      <w:r>
        <w:rPr>
          <w:spacing w:val="-4"/>
        </w:rPr>
        <w:t xml:space="preserve"> </w:t>
      </w:r>
      <w:r>
        <w:t>cost</w:t>
      </w:r>
      <w:r>
        <w:rPr>
          <w:spacing w:val="-3"/>
        </w:rPr>
        <w:t xml:space="preserve"> </w:t>
      </w:r>
      <w:r>
        <w:t>element</w:t>
      </w:r>
      <w:r>
        <w:rPr>
          <w:spacing w:val="-3"/>
        </w:rPr>
        <w:t xml:space="preserve"> </w:t>
      </w:r>
      <w:r>
        <w:t>to</w:t>
      </w:r>
      <w:r>
        <w:rPr>
          <w:spacing w:val="-4"/>
        </w:rPr>
        <w:t xml:space="preserve"> </w:t>
      </w:r>
      <w:r>
        <w:t>seek</w:t>
      </w:r>
      <w:r>
        <w:rPr>
          <w:spacing w:val="-3"/>
        </w:rPr>
        <w:t xml:space="preserve"> </w:t>
      </w:r>
      <w:r>
        <w:t>justification</w:t>
      </w:r>
      <w:r>
        <w:rPr>
          <w:spacing w:val="-4"/>
        </w:rPr>
        <w:t xml:space="preserve"> </w:t>
      </w:r>
      <w:r>
        <w:t>for</w:t>
      </w:r>
      <w:r>
        <w:rPr>
          <w:spacing w:val="-3"/>
        </w:rPr>
        <w:t xml:space="preserve"> </w:t>
      </w:r>
      <w:r>
        <w:t>cost</w:t>
      </w:r>
      <w:r>
        <w:rPr>
          <w:spacing w:val="-2"/>
        </w:rPr>
        <w:t xml:space="preserve"> </w:t>
      </w:r>
      <w:r>
        <w:t>increases and</w:t>
      </w:r>
      <w:r>
        <w:rPr>
          <w:spacing w:val="-3"/>
        </w:rPr>
        <w:t xml:space="preserve"> </w:t>
      </w:r>
      <w:r>
        <w:t>their</w:t>
      </w:r>
      <w:r>
        <w:rPr>
          <w:spacing w:val="-2"/>
        </w:rPr>
        <w:t xml:space="preserve"> </w:t>
      </w:r>
      <w:r>
        <w:t>linkage</w:t>
      </w:r>
      <w:r>
        <w:rPr>
          <w:spacing w:val="-4"/>
        </w:rPr>
        <w:t xml:space="preserve"> </w:t>
      </w:r>
      <w:r>
        <w:t>to</w:t>
      </w:r>
      <w:r>
        <w:rPr>
          <w:spacing w:val="-2"/>
        </w:rPr>
        <w:t xml:space="preserve"> </w:t>
      </w:r>
      <w:r>
        <w:t>either</w:t>
      </w:r>
      <w:r>
        <w:rPr>
          <w:spacing w:val="-3"/>
        </w:rPr>
        <w:t xml:space="preserve"> </w:t>
      </w:r>
      <w:r>
        <w:t>customer</w:t>
      </w:r>
      <w:r>
        <w:rPr>
          <w:spacing w:val="-2"/>
        </w:rPr>
        <w:t xml:space="preserve"> </w:t>
      </w:r>
      <w:r>
        <w:t>outcomes</w:t>
      </w:r>
      <w:r>
        <w:rPr>
          <w:spacing w:val="-2"/>
        </w:rPr>
        <w:t xml:space="preserve"> </w:t>
      </w:r>
      <w:r>
        <w:t>or</w:t>
      </w:r>
      <w:r>
        <w:rPr>
          <w:spacing w:val="-4"/>
        </w:rPr>
        <w:t xml:space="preserve"> </w:t>
      </w:r>
      <w:r>
        <w:t>government</w:t>
      </w:r>
      <w:r>
        <w:rPr>
          <w:spacing w:val="-2"/>
        </w:rPr>
        <w:t xml:space="preserve"> </w:t>
      </w:r>
      <w:r>
        <w:t>obligations,</w:t>
      </w:r>
      <w:r>
        <w:rPr>
          <w:spacing w:val="-4"/>
        </w:rPr>
        <w:t xml:space="preserve"> </w:t>
      </w:r>
      <w:r>
        <w:t>and</w:t>
      </w:r>
      <w:r>
        <w:rPr>
          <w:spacing w:val="-2"/>
        </w:rPr>
        <w:t xml:space="preserve"> </w:t>
      </w:r>
      <w:r>
        <w:t>ensuring</w:t>
      </w:r>
      <w:r>
        <w:rPr>
          <w:spacing w:val="-3"/>
        </w:rPr>
        <w:t xml:space="preserve"> </w:t>
      </w:r>
      <w:r>
        <w:t>all</w:t>
      </w:r>
      <w:r>
        <w:rPr>
          <w:spacing w:val="-4"/>
        </w:rPr>
        <w:t xml:space="preserve"> </w:t>
      </w:r>
      <w:r>
        <w:t>costs</w:t>
      </w:r>
      <w:r>
        <w:rPr>
          <w:spacing w:val="-3"/>
        </w:rPr>
        <w:t xml:space="preserve"> </w:t>
      </w:r>
      <w:r>
        <w:t>are</w:t>
      </w:r>
      <w:r>
        <w:rPr>
          <w:spacing w:val="-4"/>
        </w:rPr>
        <w:t xml:space="preserve"> </w:t>
      </w:r>
      <w:r>
        <w:t>as efficient as possible to deliver the required services.</w:t>
      </w:r>
    </w:p>
    <w:p w14:paraId="49087285" w14:textId="77777777" w:rsidR="00141B97" w:rsidRDefault="00911D63">
      <w:pPr>
        <w:pStyle w:val="ListParagraph"/>
        <w:numPr>
          <w:ilvl w:val="0"/>
          <w:numId w:val="103"/>
        </w:numPr>
        <w:tabs>
          <w:tab w:val="left" w:pos="874"/>
        </w:tabs>
        <w:spacing w:line="276" w:lineRule="auto"/>
        <w:ind w:left="873" w:right="247"/>
        <w:jc w:val="both"/>
      </w:pPr>
      <w:r>
        <w:t>A mature process for planning, estimating, collating, prioritising, reviewing, and finalising the capital program to ensure all investments are prudent, efficient, and aligned to delivery of agreed customer outcomes and government obligations.</w:t>
      </w:r>
    </w:p>
    <w:p w14:paraId="641E2424" w14:textId="77777777" w:rsidR="00141B97" w:rsidRDefault="00911D63">
      <w:pPr>
        <w:pStyle w:val="ListParagraph"/>
        <w:numPr>
          <w:ilvl w:val="0"/>
          <w:numId w:val="103"/>
        </w:numPr>
        <w:tabs>
          <w:tab w:val="left" w:pos="874"/>
        </w:tabs>
        <w:spacing w:line="279" w:lineRule="exact"/>
        <w:ind w:left="873" w:hanging="361"/>
        <w:jc w:val="both"/>
      </w:pPr>
      <w:r>
        <w:t>Risk</w:t>
      </w:r>
      <w:r>
        <w:rPr>
          <w:spacing w:val="-8"/>
        </w:rPr>
        <w:t xml:space="preserve"> </w:t>
      </w:r>
      <w:r>
        <w:t>assessment</w:t>
      </w:r>
      <w:r>
        <w:rPr>
          <w:spacing w:val="-6"/>
        </w:rPr>
        <w:t xml:space="preserve"> </w:t>
      </w:r>
      <w:r>
        <w:t>to</w:t>
      </w:r>
      <w:r>
        <w:rPr>
          <w:spacing w:val="-6"/>
        </w:rPr>
        <w:t xml:space="preserve"> </w:t>
      </w:r>
      <w:r>
        <w:t>treat</w:t>
      </w:r>
      <w:r>
        <w:rPr>
          <w:spacing w:val="-6"/>
        </w:rPr>
        <w:t xml:space="preserve"> </w:t>
      </w:r>
      <w:r>
        <w:t>and</w:t>
      </w:r>
      <w:r>
        <w:rPr>
          <w:spacing w:val="-7"/>
        </w:rPr>
        <w:t xml:space="preserve"> </w:t>
      </w:r>
      <w:r>
        <w:t>mitigate</w:t>
      </w:r>
      <w:r>
        <w:rPr>
          <w:spacing w:val="-6"/>
        </w:rPr>
        <w:t xml:space="preserve"> </w:t>
      </w:r>
      <w:r>
        <w:t>risks</w:t>
      </w:r>
      <w:r>
        <w:rPr>
          <w:spacing w:val="-7"/>
        </w:rPr>
        <w:t xml:space="preserve"> </w:t>
      </w:r>
      <w:r>
        <w:t>associated</w:t>
      </w:r>
      <w:r>
        <w:rPr>
          <w:spacing w:val="-8"/>
        </w:rPr>
        <w:t xml:space="preserve"> </w:t>
      </w:r>
      <w:r>
        <w:t>with</w:t>
      </w:r>
      <w:r>
        <w:rPr>
          <w:spacing w:val="-7"/>
        </w:rPr>
        <w:t xml:space="preserve"> </w:t>
      </w:r>
      <w:r>
        <w:t>or</w:t>
      </w:r>
      <w:r>
        <w:rPr>
          <w:spacing w:val="-6"/>
        </w:rPr>
        <w:t xml:space="preserve"> </w:t>
      </w:r>
      <w:r>
        <w:t>arising</w:t>
      </w:r>
      <w:r>
        <w:rPr>
          <w:spacing w:val="-8"/>
        </w:rPr>
        <w:t xml:space="preserve"> </w:t>
      </w:r>
      <w:r>
        <w:t>during</w:t>
      </w:r>
      <w:r>
        <w:rPr>
          <w:spacing w:val="-6"/>
        </w:rPr>
        <w:t xml:space="preserve"> </w:t>
      </w:r>
      <w:r>
        <w:t>preparation</w:t>
      </w:r>
      <w:r>
        <w:rPr>
          <w:spacing w:val="-7"/>
        </w:rPr>
        <w:t xml:space="preserve"> </w:t>
      </w:r>
      <w:r>
        <w:t>of</w:t>
      </w:r>
      <w:r>
        <w:rPr>
          <w:spacing w:val="-7"/>
        </w:rPr>
        <w:t xml:space="preserve"> </w:t>
      </w:r>
      <w:r>
        <w:rPr>
          <w:spacing w:val="-4"/>
        </w:rPr>
        <w:t>PS5.</w:t>
      </w:r>
    </w:p>
    <w:p w14:paraId="735D7262" w14:textId="77777777" w:rsidR="00141B97" w:rsidRDefault="00911D63">
      <w:pPr>
        <w:pStyle w:val="ListParagraph"/>
        <w:numPr>
          <w:ilvl w:val="0"/>
          <w:numId w:val="103"/>
        </w:numPr>
        <w:tabs>
          <w:tab w:val="left" w:pos="874"/>
        </w:tabs>
        <w:spacing w:before="41" w:line="276" w:lineRule="auto"/>
        <w:ind w:left="873" w:right="247"/>
        <w:jc w:val="both"/>
      </w:pPr>
      <w:r>
        <w:t xml:space="preserve">Testing various proposals as they arose with the ESC to check the approach or methodology was appropriate and reasonable, particularly given the unique nature of the combined urban and rural </w:t>
      </w:r>
      <w:r>
        <w:rPr>
          <w:spacing w:val="-2"/>
        </w:rPr>
        <w:t>businesses.</w:t>
      </w:r>
    </w:p>
    <w:p w14:paraId="62FA1CB9" w14:textId="77777777" w:rsidR="00141B97" w:rsidRDefault="00911D63">
      <w:pPr>
        <w:pStyle w:val="ListParagraph"/>
        <w:numPr>
          <w:ilvl w:val="0"/>
          <w:numId w:val="103"/>
        </w:numPr>
        <w:tabs>
          <w:tab w:val="left" w:pos="874"/>
        </w:tabs>
        <w:spacing w:line="276" w:lineRule="auto"/>
        <w:ind w:right="248" w:hanging="361"/>
        <w:jc w:val="both"/>
      </w:pPr>
      <w:r>
        <w:t>A</w:t>
      </w:r>
      <w:r>
        <w:rPr>
          <w:spacing w:val="-4"/>
        </w:rPr>
        <w:t xml:space="preserve"> </w:t>
      </w:r>
      <w:r>
        <w:t>total</w:t>
      </w:r>
      <w:r>
        <w:rPr>
          <w:spacing w:val="-4"/>
        </w:rPr>
        <w:t xml:space="preserve"> </w:t>
      </w:r>
      <w:r>
        <w:t>of</w:t>
      </w:r>
      <w:r>
        <w:rPr>
          <w:spacing w:val="-4"/>
        </w:rPr>
        <w:t xml:space="preserve"> </w:t>
      </w:r>
      <w:r>
        <w:t>six</w:t>
      </w:r>
      <w:r>
        <w:rPr>
          <w:spacing w:val="-3"/>
        </w:rPr>
        <w:t xml:space="preserve"> </w:t>
      </w:r>
      <w:r>
        <w:t>Price</w:t>
      </w:r>
      <w:r>
        <w:rPr>
          <w:spacing w:val="-4"/>
        </w:rPr>
        <w:t xml:space="preserve"> </w:t>
      </w:r>
      <w:r>
        <w:t>Path</w:t>
      </w:r>
      <w:r>
        <w:rPr>
          <w:spacing w:val="-5"/>
        </w:rPr>
        <w:t xml:space="preserve"> </w:t>
      </w:r>
      <w:r>
        <w:t>models</w:t>
      </w:r>
      <w:r>
        <w:rPr>
          <w:spacing w:val="-3"/>
        </w:rPr>
        <w:t xml:space="preserve"> </w:t>
      </w:r>
      <w:r>
        <w:t>progressively</w:t>
      </w:r>
      <w:r>
        <w:rPr>
          <w:spacing w:val="-4"/>
        </w:rPr>
        <w:t xml:space="preserve"> </w:t>
      </w:r>
      <w:r>
        <w:t>submitted</w:t>
      </w:r>
      <w:r>
        <w:rPr>
          <w:spacing w:val="-5"/>
        </w:rPr>
        <w:t xml:space="preserve"> </w:t>
      </w:r>
      <w:r>
        <w:t>to</w:t>
      </w:r>
      <w:r>
        <w:rPr>
          <w:spacing w:val="-5"/>
        </w:rPr>
        <w:t xml:space="preserve"> </w:t>
      </w:r>
      <w:r>
        <w:t>the</w:t>
      </w:r>
      <w:r>
        <w:rPr>
          <w:spacing w:val="-4"/>
        </w:rPr>
        <w:t xml:space="preserve"> </w:t>
      </w:r>
      <w:r>
        <w:t>Finance</w:t>
      </w:r>
      <w:r>
        <w:rPr>
          <w:spacing w:val="-5"/>
        </w:rPr>
        <w:t xml:space="preserve"> </w:t>
      </w:r>
      <w:r>
        <w:t>and</w:t>
      </w:r>
      <w:r>
        <w:rPr>
          <w:spacing w:val="-3"/>
        </w:rPr>
        <w:t xml:space="preserve"> </w:t>
      </w:r>
      <w:r>
        <w:t>Audit</w:t>
      </w:r>
      <w:r>
        <w:rPr>
          <w:spacing w:val="-3"/>
        </w:rPr>
        <w:t xml:space="preserve"> </w:t>
      </w:r>
      <w:r>
        <w:t>Committee</w:t>
      </w:r>
      <w:r>
        <w:rPr>
          <w:spacing w:val="-4"/>
        </w:rPr>
        <w:t xml:space="preserve"> </w:t>
      </w:r>
      <w:r>
        <w:t>as</w:t>
      </w:r>
      <w:r>
        <w:rPr>
          <w:spacing w:val="-4"/>
        </w:rPr>
        <w:t xml:space="preserve"> </w:t>
      </w:r>
      <w:r>
        <w:t>various inputs were analysed and considered, documented, updated, or reviewed, to enable Committee feedback and continuous focus on efficient delivery and consequently minimum prices.</w:t>
      </w:r>
    </w:p>
    <w:p w14:paraId="302CE09D" w14:textId="77777777" w:rsidR="00141B97" w:rsidRDefault="00911D63">
      <w:pPr>
        <w:pStyle w:val="ListParagraph"/>
        <w:numPr>
          <w:ilvl w:val="0"/>
          <w:numId w:val="103"/>
        </w:numPr>
        <w:tabs>
          <w:tab w:val="left" w:pos="874"/>
        </w:tabs>
        <w:spacing w:line="276" w:lineRule="auto"/>
        <w:ind w:left="873" w:right="247" w:hanging="361"/>
        <w:jc w:val="both"/>
      </w:pPr>
      <w:r>
        <w:t>Automated</w:t>
      </w:r>
      <w:r>
        <w:rPr>
          <w:spacing w:val="-9"/>
        </w:rPr>
        <w:t xml:space="preserve"> </w:t>
      </w:r>
      <w:r>
        <w:t>financial</w:t>
      </w:r>
      <w:r>
        <w:rPr>
          <w:spacing w:val="-9"/>
        </w:rPr>
        <w:t xml:space="preserve"> </w:t>
      </w:r>
      <w:r>
        <w:t>model</w:t>
      </w:r>
      <w:r>
        <w:rPr>
          <w:spacing w:val="-10"/>
        </w:rPr>
        <w:t xml:space="preserve"> </w:t>
      </w:r>
      <w:r>
        <w:t>processes</w:t>
      </w:r>
      <w:r>
        <w:rPr>
          <w:spacing w:val="-9"/>
        </w:rPr>
        <w:t xml:space="preserve"> </w:t>
      </w:r>
      <w:r>
        <w:t>to</w:t>
      </w:r>
      <w:r>
        <w:rPr>
          <w:spacing w:val="-8"/>
        </w:rPr>
        <w:t xml:space="preserve"> </w:t>
      </w:r>
      <w:r>
        <w:t>ensure</w:t>
      </w:r>
      <w:r>
        <w:rPr>
          <w:spacing w:val="-9"/>
        </w:rPr>
        <w:t xml:space="preserve"> </w:t>
      </w:r>
      <w:r>
        <w:t>financial</w:t>
      </w:r>
      <w:r>
        <w:rPr>
          <w:spacing w:val="-9"/>
        </w:rPr>
        <w:t xml:space="preserve"> </w:t>
      </w:r>
      <w:r>
        <w:t>table</w:t>
      </w:r>
      <w:r>
        <w:rPr>
          <w:spacing w:val="-9"/>
        </w:rPr>
        <w:t xml:space="preserve"> </w:t>
      </w:r>
      <w:r>
        <w:t>and</w:t>
      </w:r>
      <w:r>
        <w:rPr>
          <w:spacing w:val="-8"/>
        </w:rPr>
        <w:t xml:space="preserve"> </w:t>
      </w:r>
      <w:r>
        <w:t>figure</w:t>
      </w:r>
      <w:r>
        <w:rPr>
          <w:spacing w:val="-8"/>
        </w:rPr>
        <w:t xml:space="preserve"> </w:t>
      </w:r>
      <w:r>
        <w:t>outputs</w:t>
      </w:r>
      <w:r>
        <w:rPr>
          <w:spacing w:val="-8"/>
        </w:rPr>
        <w:t xml:space="preserve"> </w:t>
      </w:r>
      <w:r>
        <w:t>are</w:t>
      </w:r>
      <w:r>
        <w:rPr>
          <w:spacing w:val="-8"/>
        </w:rPr>
        <w:t xml:space="preserve"> </w:t>
      </w:r>
      <w:r>
        <w:t>directly</w:t>
      </w:r>
      <w:r>
        <w:rPr>
          <w:spacing w:val="-8"/>
        </w:rPr>
        <w:t xml:space="preserve"> </w:t>
      </w:r>
      <w:r>
        <w:t>input</w:t>
      </w:r>
      <w:r>
        <w:rPr>
          <w:spacing w:val="-8"/>
        </w:rPr>
        <w:t xml:space="preserve"> </w:t>
      </w:r>
      <w:r>
        <w:t>into the PS5 documents.</w:t>
      </w:r>
    </w:p>
    <w:p w14:paraId="44B1C718" w14:textId="77777777" w:rsidR="00141B97" w:rsidRDefault="00141B97">
      <w:pPr>
        <w:pStyle w:val="BodyText"/>
        <w:spacing w:before="2"/>
        <w:rPr>
          <w:sz w:val="31"/>
        </w:rPr>
      </w:pPr>
    </w:p>
    <w:p w14:paraId="732FB84F" w14:textId="77777777" w:rsidR="00141B97" w:rsidRDefault="00911D63">
      <w:pPr>
        <w:pStyle w:val="Heading2"/>
        <w:numPr>
          <w:ilvl w:val="1"/>
          <w:numId w:val="113"/>
        </w:numPr>
        <w:tabs>
          <w:tab w:val="left" w:pos="1152"/>
          <w:tab w:val="left" w:pos="1153"/>
        </w:tabs>
      </w:pPr>
      <w:bookmarkStart w:id="14" w:name="_TOC_250013"/>
      <w:r>
        <w:rPr>
          <w:color w:val="009BAC"/>
        </w:rPr>
        <w:t>Attestation</w:t>
      </w:r>
      <w:r>
        <w:rPr>
          <w:color w:val="009BAC"/>
          <w:spacing w:val="-12"/>
        </w:rPr>
        <w:t xml:space="preserve"> </w:t>
      </w:r>
      <w:bookmarkEnd w:id="14"/>
      <w:r>
        <w:rPr>
          <w:color w:val="009BAC"/>
          <w:spacing w:val="-2"/>
        </w:rPr>
        <w:t>Assurance</w:t>
      </w:r>
    </w:p>
    <w:p w14:paraId="08BEB1AD" w14:textId="77777777" w:rsidR="00141B97" w:rsidRDefault="00911D63">
      <w:pPr>
        <w:pStyle w:val="BodyText"/>
        <w:spacing w:before="120" w:line="276" w:lineRule="auto"/>
        <w:ind w:left="153" w:right="246"/>
        <w:jc w:val="both"/>
      </w:pPr>
      <w:r>
        <w:t>With new staff and Board Directors involved in the PS5 process, it was considered critical to ensure that the attestation aspect of the process was done well to ensure that key stakeholders were well engaged and taken upon</w:t>
      </w:r>
      <w:r>
        <w:rPr>
          <w:spacing w:val="-13"/>
        </w:rPr>
        <w:t xml:space="preserve"> </w:t>
      </w:r>
      <w:r>
        <w:t>the</w:t>
      </w:r>
      <w:r>
        <w:rPr>
          <w:spacing w:val="-12"/>
        </w:rPr>
        <w:t xml:space="preserve"> </w:t>
      </w:r>
      <w:r>
        <w:t>PS</w:t>
      </w:r>
      <w:r>
        <w:rPr>
          <w:spacing w:val="-11"/>
        </w:rPr>
        <w:t xml:space="preserve"> </w:t>
      </w:r>
      <w:r>
        <w:t>journey.</w:t>
      </w:r>
      <w:r>
        <w:rPr>
          <w:spacing w:val="-13"/>
        </w:rPr>
        <w:t xml:space="preserve"> </w:t>
      </w:r>
      <w:r>
        <w:t>The</w:t>
      </w:r>
      <w:r>
        <w:rPr>
          <w:spacing w:val="-12"/>
        </w:rPr>
        <w:t xml:space="preserve"> </w:t>
      </w:r>
      <w:r>
        <w:t>establishment</w:t>
      </w:r>
      <w:r>
        <w:rPr>
          <w:spacing w:val="-11"/>
        </w:rPr>
        <w:t xml:space="preserve"> </w:t>
      </w:r>
      <w:r>
        <w:t>of</w:t>
      </w:r>
      <w:r>
        <w:rPr>
          <w:spacing w:val="-12"/>
        </w:rPr>
        <w:t xml:space="preserve"> </w:t>
      </w:r>
      <w:r>
        <w:t>monthly</w:t>
      </w:r>
      <w:r>
        <w:rPr>
          <w:spacing w:val="-12"/>
        </w:rPr>
        <w:t xml:space="preserve"> </w:t>
      </w:r>
      <w:r>
        <w:t>‘focused’</w:t>
      </w:r>
      <w:r>
        <w:rPr>
          <w:spacing w:val="-13"/>
        </w:rPr>
        <w:t xml:space="preserve"> </w:t>
      </w:r>
      <w:r>
        <w:t>Finance</w:t>
      </w:r>
      <w:r>
        <w:rPr>
          <w:spacing w:val="-12"/>
        </w:rPr>
        <w:t xml:space="preserve"> </w:t>
      </w:r>
      <w:r>
        <w:t>and</w:t>
      </w:r>
      <w:r>
        <w:rPr>
          <w:spacing w:val="-13"/>
        </w:rPr>
        <w:t xml:space="preserve"> </w:t>
      </w:r>
      <w:r>
        <w:t>Audit</w:t>
      </w:r>
      <w:r>
        <w:rPr>
          <w:spacing w:val="-10"/>
        </w:rPr>
        <w:t xml:space="preserve"> </w:t>
      </w:r>
      <w:r>
        <w:t>Committee</w:t>
      </w:r>
      <w:r>
        <w:rPr>
          <w:spacing w:val="-13"/>
        </w:rPr>
        <w:t xml:space="preserve"> </w:t>
      </w:r>
      <w:r>
        <w:t>meetings</w:t>
      </w:r>
      <w:r>
        <w:rPr>
          <w:spacing w:val="-11"/>
        </w:rPr>
        <w:t xml:space="preserve"> </w:t>
      </w:r>
      <w:r>
        <w:t>in</w:t>
      </w:r>
      <w:r>
        <w:rPr>
          <w:spacing w:val="-12"/>
        </w:rPr>
        <w:t xml:space="preserve"> </w:t>
      </w:r>
      <w:r>
        <w:t>addition to regular scheduled meetings enabled the progressive delivery of papers regarding each key PS5 input for critical</w:t>
      </w:r>
      <w:r>
        <w:rPr>
          <w:spacing w:val="62"/>
        </w:rPr>
        <w:t xml:space="preserve"> </w:t>
      </w:r>
      <w:r>
        <w:t>review</w:t>
      </w:r>
      <w:r>
        <w:rPr>
          <w:spacing w:val="60"/>
        </w:rPr>
        <w:t xml:space="preserve"> </w:t>
      </w:r>
      <w:r>
        <w:t>prior</w:t>
      </w:r>
      <w:r>
        <w:rPr>
          <w:spacing w:val="62"/>
        </w:rPr>
        <w:t xml:space="preserve"> </w:t>
      </w:r>
      <w:r>
        <w:t>to</w:t>
      </w:r>
      <w:r>
        <w:rPr>
          <w:spacing w:val="61"/>
        </w:rPr>
        <w:t xml:space="preserve"> </w:t>
      </w:r>
      <w:r>
        <w:t>Board</w:t>
      </w:r>
      <w:r>
        <w:rPr>
          <w:spacing w:val="62"/>
        </w:rPr>
        <w:t xml:space="preserve"> </w:t>
      </w:r>
      <w:r>
        <w:t>approval,</w:t>
      </w:r>
      <w:r>
        <w:rPr>
          <w:spacing w:val="61"/>
        </w:rPr>
        <w:t xml:space="preserve"> </w:t>
      </w:r>
      <w:r>
        <w:t>which</w:t>
      </w:r>
      <w:r>
        <w:rPr>
          <w:spacing w:val="62"/>
        </w:rPr>
        <w:t xml:space="preserve"> </w:t>
      </w:r>
      <w:r>
        <w:t>ensured</w:t>
      </w:r>
      <w:r>
        <w:rPr>
          <w:spacing w:val="62"/>
        </w:rPr>
        <w:t xml:space="preserve"> </w:t>
      </w:r>
      <w:r>
        <w:t>a</w:t>
      </w:r>
      <w:r>
        <w:rPr>
          <w:spacing w:val="61"/>
        </w:rPr>
        <w:t xml:space="preserve"> </w:t>
      </w:r>
      <w:r>
        <w:t>‘no</w:t>
      </w:r>
      <w:r>
        <w:rPr>
          <w:spacing w:val="61"/>
        </w:rPr>
        <w:t xml:space="preserve"> </w:t>
      </w:r>
      <w:r>
        <w:t>surprises’</w:t>
      </w:r>
      <w:r>
        <w:rPr>
          <w:spacing w:val="60"/>
        </w:rPr>
        <w:t xml:space="preserve"> </w:t>
      </w:r>
      <w:r>
        <w:t>approach</w:t>
      </w:r>
      <w:r>
        <w:rPr>
          <w:spacing w:val="60"/>
        </w:rPr>
        <w:t xml:space="preserve"> </w:t>
      </w:r>
      <w:r>
        <w:t>to</w:t>
      </w:r>
      <w:r>
        <w:rPr>
          <w:spacing w:val="60"/>
        </w:rPr>
        <w:t xml:space="preserve"> </w:t>
      </w:r>
      <w:r>
        <w:t>PS5</w:t>
      </w:r>
      <w:r>
        <w:rPr>
          <w:spacing w:val="61"/>
        </w:rPr>
        <w:t xml:space="preserve"> </w:t>
      </w:r>
      <w:r>
        <w:t>development,</w:t>
      </w:r>
    </w:p>
    <w:p w14:paraId="16B300CF" w14:textId="5150DEA8" w:rsidR="00141B97" w:rsidRDefault="00911D63">
      <w:pPr>
        <w:pStyle w:val="BodyText"/>
        <w:spacing w:before="3"/>
        <w:rPr>
          <w:sz w:val="27"/>
        </w:rPr>
      </w:pPr>
      <w:r>
        <w:rPr>
          <w:noProof/>
        </w:rPr>
        <mc:AlternateContent>
          <mc:Choice Requires="wps">
            <w:drawing>
              <wp:anchor distT="0" distB="0" distL="0" distR="0" simplePos="0" relativeHeight="487601152" behindDoc="1" locked="0" layoutInCell="1" allowOverlap="1" wp14:anchorId="5AEACB8D" wp14:editId="3D8924AD">
                <wp:simplePos x="0" y="0"/>
                <wp:positionH relativeFrom="page">
                  <wp:posOffset>720090</wp:posOffset>
                </wp:positionH>
                <wp:positionV relativeFrom="paragraph">
                  <wp:posOffset>226695</wp:posOffset>
                </wp:positionV>
                <wp:extent cx="1828800" cy="6350"/>
                <wp:effectExtent l="0" t="0" r="0" b="0"/>
                <wp:wrapTopAndBottom/>
                <wp:docPr id="40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C268D" id="docshape25" o:spid="_x0000_s1026" style="position:absolute;margin-left:56.7pt;margin-top:17.85pt;width:2in;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" fillcolor="black" stroked="f">
                <w10:wrap type="topAndBottom" anchorx="page"/>
              </v:rect>
            </w:pict>
          </mc:Fallback>
        </mc:AlternateContent>
      </w:r>
    </w:p>
    <w:p w14:paraId="6C32B932" w14:textId="77777777" w:rsidR="00141B97" w:rsidRDefault="00911D63">
      <w:pPr>
        <w:spacing w:before="85"/>
        <w:ind w:left="154"/>
        <w:rPr>
          <w:sz w:val="14"/>
        </w:rPr>
      </w:pPr>
      <w:r>
        <w:rPr>
          <w:position w:val="4"/>
          <w:sz w:val="9"/>
        </w:rPr>
        <w:t>4</w:t>
      </w:r>
      <w:r>
        <w:rPr>
          <w:spacing w:val="8"/>
          <w:position w:val="4"/>
          <w:sz w:val="9"/>
        </w:rPr>
        <w:t xml:space="preserve"> </w:t>
      </w:r>
      <w:r>
        <w:rPr>
          <w:sz w:val="14"/>
        </w:rPr>
        <w:t>PS5</w:t>
      </w:r>
      <w:r>
        <w:rPr>
          <w:spacing w:val="-4"/>
          <w:sz w:val="14"/>
        </w:rPr>
        <w:t xml:space="preserve"> </w:t>
      </w:r>
      <w:r>
        <w:rPr>
          <w:sz w:val="14"/>
        </w:rPr>
        <w:t>Project</w:t>
      </w:r>
      <w:r>
        <w:rPr>
          <w:spacing w:val="-3"/>
          <w:sz w:val="14"/>
        </w:rPr>
        <w:t xml:space="preserve"> </w:t>
      </w:r>
      <w:r>
        <w:rPr>
          <w:spacing w:val="-4"/>
          <w:sz w:val="14"/>
        </w:rPr>
        <w:t>Plan</w:t>
      </w:r>
    </w:p>
    <w:p w14:paraId="70F7B59D" w14:textId="77777777" w:rsidR="00141B97" w:rsidRDefault="00911D63">
      <w:pPr>
        <w:spacing w:before="100"/>
        <w:ind w:left="154"/>
        <w:rPr>
          <w:sz w:val="14"/>
        </w:rPr>
      </w:pPr>
      <w:r>
        <w:rPr>
          <w:position w:val="4"/>
          <w:sz w:val="9"/>
        </w:rPr>
        <w:t>5</w:t>
      </w:r>
      <w:r>
        <w:rPr>
          <w:spacing w:val="7"/>
          <w:position w:val="4"/>
          <w:sz w:val="9"/>
        </w:rPr>
        <w:t xml:space="preserve"> </w:t>
      </w:r>
      <w:r>
        <w:rPr>
          <w:sz w:val="14"/>
        </w:rPr>
        <w:t>PS5</w:t>
      </w:r>
      <w:r>
        <w:rPr>
          <w:spacing w:val="-4"/>
          <w:sz w:val="14"/>
        </w:rPr>
        <w:t xml:space="preserve"> </w:t>
      </w:r>
      <w:r>
        <w:rPr>
          <w:sz w:val="14"/>
        </w:rPr>
        <w:t>Executive</w:t>
      </w:r>
      <w:r>
        <w:rPr>
          <w:spacing w:val="-3"/>
          <w:sz w:val="14"/>
        </w:rPr>
        <w:t xml:space="preserve"> </w:t>
      </w:r>
      <w:r>
        <w:rPr>
          <w:sz w:val="14"/>
        </w:rPr>
        <w:t>Verification</w:t>
      </w:r>
      <w:r>
        <w:rPr>
          <w:spacing w:val="-4"/>
          <w:sz w:val="14"/>
        </w:rPr>
        <w:t xml:space="preserve"> </w:t>
      </w:r>
      <w:r>
        <w:rPr>
          <w:sz w:val="14"/>
        </w:rPr>
        <w:t>and</w:t>
      </w:r>
      <w:r>
        <w:rPr>
          <w:spacing w:val="-3"/>
          <w:sz w:val="14"/>
        </w:rPr>
        <w:t xml:space="preserve"> </w:t>
      </w:r>
      <w:r>
        <w:rPr>
          <w:sz w:val="14"/>
        </w:rPr>
        <w:t>Board</w:t>
      </w:r>
      <w:r>
        <w:rPr>
          <w:spacing w:val="-3"/>
          <w:sz w:val="14"/>
        </w:rPr>
        <w:t xml:space="preserve"> </w:t>
      </w:r>
      <w:r>
        <w:rPr>
          <w:sz w:val="14"/>
        </w:rPr>
        <w:t>Attestation</w:t>
      </w:r>
      <w:r>
        <w:rPr>
          <w:spacing w:val="-2"/>
          <w:sz w:val="14"/>
        </w:rPr>
        <w:t xml:space="preserve"> Process</w:t>
      </w:r>
    </w:p>
    <w:p w14:paraId="69FF2B03" w14:textId="77777777" w:rsidR="00141B97" w:rsidRDefault="00141B97">
      <w:pPr>
        <w:rPr>
          <w:sz w:val="14"/>
        </w:rPr>
        <w:sectPr w:rsidR="00141B97">
          <w:pgSz w:w="11910" w:h="16840"/>
          <w:pgMar w:top="860" w:right="740" w:bottom="1120" w:left="980" w:header="0" w:footer="896" w:gutter="0"/>
          <w:cols w:space="720"/>
        </w:sectPr>
      </w:pPr>
    </w:p>
    <w:p w14:paraId="7D221057" w14:textId="77777777" w:rsidR="00141B97" w:rsidRDefault="00911D63">
      <w:pPr>
        <w:pStyle w:val="BodyText"/>
        <w:spacing w:before="31" w:line="276" w:lineRule="auto"/>
        <w:ind w:left="154" w:right="249" w:hanging="1"/>
        <w:jc w:val="both"/>
      </w:pPr>
      <w:r>
        <w:lastRenderedPageBreak/>
        <w:t>culminating in the Board’s attestation. This was strongly underpinned by the Executive Verification and Board Attestation process, which detailed the:</w:t>
      </w:r>
    </w:p>
    <w:p w14:paraId="1ED9DC48" w14:textId="77777777" w:rsidR="00141B97" w:rsidRDefault="00911D63">
      <w:pPr>
        <w:pStyle w:val="ListParagraph"/>
        <w:numPr>
          <w:ilvl w:val="0"/>
          <w:numId w:val="102"/>
        </w:numPr>
        <w:tabs>
          <w:tab w:val="left" w:pos="864"/>
        </w:tabs>
        <w:spacing w:line="280" w:lineRule="exact"/>
        <w:ind w:hanging="286"/>
      </w:pPr>
      <w:r>
        <w:t>ESC’s</w:t>
      </w:r>
      <w:r>
        <w:rPr>
          <w:spacing w:val="-11"/>
        </w:rPr>
        <w:t xml:space="preserve"> </w:t>
      </w:r>
      <w:r>
        <w:t>attestation</w:t>
      </w:r>
      <w:r>
        <w:rPr>
          <w:spacing w:val="-10"/>
        </w:rPr>
        <w:t xml:space="preserve"> </w:t>
      </w:r>
      <w:r>
        <w:rPr>
          <w:spacing w:val="-2"/>
        </w:rPr>
        <w:t>requirements.</w:t>
      </w:r>
    </w:p>
    <w:p w14:paraId="26E4879B" w14:textId="77777777" w:rsidR="00141B97" w:rsidRDefault="00911D63">
      <w:pPr>
        <w:pStyle w:val="ListParagraph"/>
        <w:numPr>
          <w:ilvl w:val="0"/>
          <w:numId w:val="102"/>
        </w:numPr>
        <w:tabs>
          <w:tab w:val="left" w:pos="864"/>
        </w:tabs>
        <w:spacing w:before="40"/>
        <w:ind w:hanging="286"/>
      </w:pPr>
      <w:r>
        <w:t>PREMO</w:t>
      </w:r>
      <w:r>
        <w:rPr>
          <w:spacing w:val="-7"/>
        </w:rPr>
        <w:t xml:space="preserve"> </w:t>
      </w:r>
      <w:r>
        <w:t>rating</w:t>
      </w:r>
      <w:r>
        <w:rPr>
          <w:spacing w:val="-8"/>
        </w:rPr>
        <w:t xml:space="preserve"> </w:t>
      </w:r>
      <w:r>
        <w:t>process</w:t>
      </w:r>
      <w:r>
        <w:rPr>
          <w:spacing w:val="-7"/>
        </w:rPr>
        <w:t xml:space="preserve"> </w:t>
      </w:r>
      <w:r>
        <w:t>to</w:t>
      </w:r>
      <w:r>
        <w:rPr>
          <w:spacing w:val="-6"/>
        </w:rPr>
        <w:t xml:space="preserve"> </w:t>
      </w:r>
      <w:r>
        <w:t>propose</w:t>
      </w:r>
      <w:r>
        <w:rPr>
          <w:spacing w:val="-7"/>
        </w:rPr>
        <w:t xml:space="preserve"> </w:t>
      </w:r>
      <w:r>
        <w:t>an</w:t>
      </w:r>
      <w:r>
        <w:rPr>
          <w:spacing w:val="-6"/>
        </w:rPr>
        <w:t xml:space="preserve"> </w:t>
      </w:r>
      <w:r>
        <w:t>appropriate</w:t>
      </w:r>
      <w:r>
        <w:rPr>
          <w:spacing w:val="-8"/>
        </w:rPr>
        <w:t xml:space="preserve"> </w:t>
      </w:r>
      <w:r>
        <w:t>level</w:t>
      </w:r>
      <w:r>
        <w:rPr>
          <w:spacing w:val="-8"/>
        </w:rPr>
        <w:t xml:space="preserve"> </w:t>
      </w:r>
      <w:r>
        <w:t>of</w:t>
      </w:r>
      <w:r>
        <w:rPr>
          <w:spacing w:val="-7"/>
        </w:rPr>
        <w:t xml:space="preserve"> </w:t>
      </w:r>
      <w:r>
        <w:t>ambition</w:t>
      </w:r>
      <w:r>
        <w:rPr>
          <w:spacing w:val="-9"/>
        </w:rPr>
        <w:t xml:space="preserve"> </w:t>
      </w:r>
      <w:r>
        <w:t>for</w:t>
      </w:r>
      <w:r>
        <w:rPr>
          <w:spacing w:val="-6"/>
        </w:rPr>
        <w:t xml:space="preserve"> </w:t>
      </w:r>
      <w:r>
        <w:rPr>
          <w:spacing w:val="-4"/>
        </w:rPr>
        <w:t>PS5.</w:t>
      </w:r>
    </w:p>
    <w:p w14:paraId="283309CB" w14:textId="77777777" w:rsidR="00141B97" w:rsidRDefault="00911D63">
      <w:pPr>
        <w:pStyle w:val="ListParagraph"/>
        <w:numPr>
          <w:ilvl w:val="0"/>
          <w:numId w:val="102"/>
        </w:numPr>
        <w:tabs>
          <w:tab w:val="left" w:pos="864"/>
        </w:tabs>
        <w:spacing w:before="40"/>
        <w:ind w:hanging="286"/>
      </w:pPr>
      <w:r>
        <w:t>Executive</w:t>
      </w:r>
      <w:r>
        <w:rPr>
          <w:spacing w:val="-12"/>
        </w:rPr>
        <w:t xml:space="preserve"> </w:t>
      </w:r>
      <w:r>
        <w:t>verification</w:t>
      </w:r>
      <w:r>
        <w:rPr>
          <w:spacing w:val="-10"/>
        </w:rPr>
        <w:t xml:space="preserve"> </w:t>
      </w:r>
      <w:r>
        <w:t>requirements</w:t>
      </w:r>
      <w:r>
        <w:rPr>
          <w:spacing w:val="-11"/>
        </w:rPr>
        <w:t xml:space="preserve"> </w:t>
      </w:r>
      <w:r>
        <w:t>and</w:t>
      </w:r>
      <w:r>
        <w:rPr>
          <w:spacing w:val="-10"/>
        </w:rPr>
        <w:t xml:space="preserve"> </w:t>
      </w:r>
      <w:r>
        <w:rPr>
          <w:spacing w:val="-2"/>
        </w:rPr>
        <w:t>checklist.</w:t>
      </w:r>
    </w:p>
    <w:p w14:paraId="490B8B56" w14:textId="77777777" w:rsidR="00141B97" w:rsidRDefault="00911D63">
      <w:pPr>
        <w:pStyle w:val="ListParagraph"/>
        <w:numPr>
          <w:ilvl w:val="0"/>
          <w:numId w:val="102"/>
        </w:numPr>
        <w:tabs>
          <w:tab w:val="left" w:pos="864"/>
        </w:tabs>
        <w:spacing w:before="40"/>
        <w:ind w:hanging="286"/>
      </w:pPr>
      <w:r>
        <w:t>Board</w:t>
      </w:r>
      <w:r>
        <w:rPr>
          <w:spacing w:val="-11"/>
        </w:rPr>
        <w:t xml:space="preserve"> </w:t>
      </w:r>
      <w:r>
        <w:t>attestation</w:t>
      </w:r>
      <w:r>
        <w:rPr>
          <w:spacing w:val="-12"/>
        </w:rPr>
        <w:t xml:space="preserve"> </w:t>
      </w:r>
      <w:r>
        <w:t>and</w:t>
      </w:r>
      <w:r>
        <w:rPr>
          <w:spacing w:val="-10"/>
        </w:rPr>
        <w:t xml:space="preserve"> </w:t>
      </w:r>
      <w:r>
        <w:t>executive</w:t>
      </w:r>
      <w:r>
        <w:rPr>
          <w:spacing w:val="-11"/>
        </w:rPr>
        <w:t xml:space="preserve"> </w:t>
      </w:r>
      <w:r>
        <w:t>verification</w:t>
      </w:r>
      <w:r>
        <w:rPr>
          <w:spacing w:val="-10"/>
        </w:rPr>
        <w:t xml:space="preserve"> </w:t>
      </w:r>
      <w:r>
        <w:t>process</w:t>
      </w:r>
      <w:r>
        <w:rPr>
          <w:spacing w:val="-10"/>
        </w:rPr>
        <w:t xml:space="preserve"> </w:t>
      </w:r>
      <w:r>
        <w:rPr>
          <w:spacing w:val="-2"/>
        </w:rPr>
        <w:t>flowchart.</w:t>
      </w:r>
    </w:p>
    <w:p w14:paraId="5AED2CDF" w14:textId="77777777" w:rsidR="00141B97" w:rsidRDefault="00911D63">
      <w:pPr>
        <w:pStyle w:val="ListParagraph"/>
        <w:numPr>
          <w:ilvl w:val="0"/>
          <w:numId w:val="102"/>
        </w:numPr>
        <w:tabs>
          <w:tab w:val="left" w:pos="864"/>
        </w:tabs>
        <w:spacing w:before="41"/>
        <w:ind w:hanging="286"/>
      </w:pPr>
      <w:r>
        <w:t>Independent</w:t>
      </w:r>
      <w:r>
        <w:rPr>
          <w:spacing w:val="-8"/>
        </w:rPr>
        <w:t xml:space="preserve"> </w:t>
      </w:r>
      <w:r>
        <w:t>PREMO</w:t>
      </w:r>
      <w:r>
        <w:rPr>
          <w:spacing w:val="-7"/>
        </w:rPr>
        <w:t xml:space="preserve"> </w:t>
      </w:r>
      <w:r>
        <w:t>validation</w:t>
      </w:r>
      <w:r>
        <w:rPr>
          <w:spacing w:val="-8"/>
        </w:rPr>
        <w:t xml:space="preserve"> </w:t>
      </w:r>
      <w:r>
        <w:t>and</w:t>
      </w:r>
      <w:r>
        <w:rPr>
          <w:spacing w:val="-8"/>
        </w:rPr>
        <w:t xml:space="preserve"> </w:t>
      </w:r>
      <w:r>
        <w:t>review</w:t>
      </w:r>
      <w:r>
        <w:rPr>
          <w:spacing w:val="-8"/>
        </w:rPr>
        <w:t xml:space="preserve"> </w:t>
      </w:r>
      <w:r>
        <w:t>of</w:t>
      </w:r>
      <w:r>
        <w:rPr>
          <w:spacing w:val="-9"/>
        </w:rPr>
        <w:t xml:space="preserve"> </w:t>
      </w:r>
      <w:r>
        <w:t>draft</w:t>
      </w:r>
      <w:r>
        <w:rPr>
          <w:spacing w:val="-9"/>
        </w:rPr>
        <w:t xml:space="preserve"> </w:t>
      </w:r>
      <w:r>
        <w:rPr>
          <w:spacing w:val="-4"/>
        </w:rPr>
        <w:t>PS5.</w:t>
      </w:r>
    </w:p>
    <w:p w14:paraId="57DF3D8E" w14:textId="77777777" w:rsidR="00141B97" w:rsidRDefault="00911D63">
      <w:pPr>
        <w:pStyle w:val="ListParagraph"/>
        <w:numPr>
          <w:ilvl w:val="0"/>
          <w:numId w:val="102"/>
        </w:numPr>
        <w:tabs>
          <w:tab w:val="left" w:pos="864"/>
        </w:tabs>
        <w:spacing w:before="41"/>
        <w:ind w:hanging="286"/>
      </w:pPr>
      <w:r>
        <w:rPr>
          <w:spacing w:val="-2"/>
        </w:rPr>
        <w:t>PREMO</w:t>
      </w:r>
      <w:r>
        <w:rPr>
          <w:spacing w:val="6"/>
        </w:rPr>
        <w:t xml:space="preserve"> </w:t>
      </w:r>
      <w:r>
        <w:rPr>
          <w:spacing w:val="-2"/>
        </w:rPr>
        <w:t>self‐assessment</w:t>
      </w:r>
      <w:r>
        <w:rPr>
          <w:spacing w:val="7"/>
        </w:rPr>
        <w:t xml:space="preserve"> </w:t>
      </w:r>
      <w:r>
        <w:rPr>
          <w:spacing w:val="-4"/>
        </w:rPr>
        <w:t>tool.</w:t>
      </w:r>
    </w:p>
    <w:p w14:paraId="2A49428F" w14:textId="77777777" w:rsidR="00141B97" w:rsidRDefault="00141B97">
      <w:pPr>
        <w:pStyle w:val="BodyText"/>
        <w:spacing w:before="7"/>
        <w:rPr>
          <w:sz w:val="28"/>
        </w:rPr>
      </w:pPr>
    </w:p>
    <w:p w14:paraId="578B36D9" w14:textId="77777777" w:rsidR="00141B97" w:rsidRDefault="00911D63">
      <w:pPr>
        <w:pStyle w:val="BodyText"/>
        <w:spacing w:before="1" w:line="276" w:lineRule="auto"/>
        <w:ind w:left="153" w:right="247"/>
        <w:jc w:val="both"/>
      </w:pPr>
      <w:r>
        <w:t>This process was monitored throughout PS5 preparation, with supporting evidence provided to the Board in September 2022 to support its attestation.</w:t>
      </w:r>
    </w:p>
    <w:p w14:paraId="12C406F0" w14:textId="77777777" w:rsidR="00141B97" w:rsidRDefault="00141B97">
      <w:pPr>
        <w:pStyle w:val="BodyText"/>
        <w:spacing w:before="1"/>
        <w:rPr>
          <w:sz w:val="31"/>
        </w:rPr>
      </w:pPr>
    </w:p>
    <w:p w14:paraId="054AF271" w14:textId="77777777" w:rsidR="00141B97" w:rsidRDefault="00911D63">
      <w:pPr>
        <w:pStyle w:val="Heading2"/>
        <w:numPr>
          <w:ilvl w:val="1"/>
          <w:numId w:val="113"/>
        </w:numPr>
        <w:tabs>
          <w:tab w:val="left" w:pos="1152"/>
          <w:tab w:val="left" w:pos="1153"/>
        </w:tabs>
      </w:pPr>
      <w:bookmarkStart w:id="15" w:name="_TOC_250012"/>
      <w:r>
        <w:rPr>
          <w:color w:val="009BAC"/>
        </w:rPr>
        <w:t>Regulatory</w:t>
      </w:r>
      <w:r>
        <w:rPr>
          <w:color w:val="009BAC"/>
          <w:spacing w:val="-15"/>
        </w:rPr>
        <w:t xml:space="preserve"> </w:t>
      </w:r>
      <w:bookmarkEnd w:id="15"/>
      <w:r>
        <w:rPr>
          <w:color w:val="009BAC"/>
          <w:spacing w:val="-2"/>
        </w:rPr>
        <w:t>Period</w:t>
      </w:r>
    </w:p>
    <w:p w14:paraId="274396F2" w14:textId="77777777" w:rsidR="00141B97" w:rsidRDefault="00911D63">
      <w:pPr>
        <w:pStyle w:val="BodyText"/>
        <w:spacing w:before="120" w:line="276" w:lineRule="auto"/>
        <w:ind w:left="153" w:right="247"/>
        <w:jc w:val="both"/>
      </w:pPr>
      <w:r>
        <w:t>LMW</w:t>
      </w:r>
      <w:r>
        <w:rPr>
          <w:spacing w:val="-3"/>
        </w:rPr>
        <w:t xml:space="preserve"> </w:t>
      </w:r>
      <w:r>
        <w:t>proposes</w:t>
      </w:r>
      <w:r>
        <w:rPr>
          <w:spacing w:val="-2"/>
        </w:rPr>
        <w:t xml:space="preserve"> </w:t>
      </w:r>
      <w:r>
        <w:t>a</w:t>
      </w:r>
      <w:r>
        <w:rPr>
          <w:spacing w:val="-3"/>
        </w:rPr>
        <w:t xml:space="preserve"> </w:t>
      </w:r>
      <w:r>
        <w:t>five‐year</w:t>
      </w:r>
      <w:r>
        <w:rPr>
          <w:spacing w:val="-2"/>
        </w:rPr>
        <w:t xml:space="preserve"> </w:t>
      </w:r>
      <w:r>
        <w:t>regulatory</w:t>
      </w:r>
      <w:r>
        <w:rPr>
          <w:spacing w:val="-3"/>
        </w:rPr>
        <w:t xml:space="preserve"> </w:t>
      </w:r>
      <w:r>
        <w:t>period</w:t>
      </w:r>
      <w:r>
        <w:rPr>
          <w:spacing w:val="-3"/>
        </w:rPr>
        <w:t xml:space="preserve"> </w:t>
      </w:r>
      <w:r>
        <w:t>from</w:t>
      </w:r>
      <w:r>
        <w:rPr>
          <w:spacing w:val="-1"/>
        </w:rPr>
        <w:t xml:space="preserve"> </w:t>
      </w:r>
      <w:r>
        <w:t>2023‐24</w:t>
      </w:r>
      <w:r>
        <w:rPr>
          <w:spacing w:val="-3"/>
        </w:rPr>
        <w:t xml:space="preserve"> </w:t>
      </w:r>
      <w:r>
        <w:t>to</w:t>
      </w:r>
      <w:r>
        <w:rPr>
          <w:spacing w:val="-4"/>
        </w:rPr>
        <w:t xml:space="preserve"> </w:t>
      </w:r>
      <w:r>
        <w:t>2027‐28,</w:t>
      </w:r>
      <w:r>
        <w:rPr>
          <w:spacing w:val="-3"/>
        </w:rPr>
        <w:t xml:space="preserve"> </w:t>
      </w:r>
      <w:r>
        <w:t>consistent</w:t>
      </w:r>
      <w:r>
        <w:rPr>
          <w:spacing w:val="-3"/>
        </w:rPr>
        <w:t xml:space="preserve"> </w:t>
      </w:r>
      <w:r>
        <w:t>with</w:t>
      </w:r>
      <w:r>
        <w:rPr>
          <w:spacing w:val="-4"/>
        </w:rPr>
        <w:t xml:space="preserve"> </w:t>
      </w:r>
      <w:r>
        <w:t>previous</w:t>
      </w:r>
      <w:r>
        <w:rPr>
          <w:spacing w:val="-2"/>
        </w:rPr>
        <w:t xml:space="preserve"> </w:t>
      </w:r>
      <w:r>
        <w:t>practice.</w:t>
      </w:r>
      <w:r>
        <w:rPr>
          <w:spacing w:val="-2"/>
        </w:rPr>
        <w:t xml:space="preserve"> </w:t>
      </w:r>
      <w:r>
        <w:t>LMW has reviewed the risks and benefits to customers and to the corporation of a change in the regulatory period, and considers the risks outweigh the benefits. Consideration was given to alternate options for the PS5 regulatory period weighing up the risk of uncertain climatic and environmental factors which might result in adverse impacts to customer pricing for a longer period, or increased preparation time and unmanageable resource burdens for a shorter period. As a result, LMW has settled on a five‐year regulatory period which provides the following benefits:</w:t>
      </w:r>
    </w:p>
    <w:p w14:paraId="670276BD" w14:textId="77777777" w:rsidR="00141B97" w:rsidRDefault="00911D63">
      <w:pPr>
        <w:pStyle w:val="ListParagraph"/>
        <w:numPr>
          <w:ilvl w:val="0"/>
          <w:numId w:val="101"/>
        </w:numPr>
        <w:tabs>
          <w:tab w:val="left" w:pos="874"/>
        </w:tabs>
        <w:spacing w:line="276" w:lineRule="auto"/>
        <w:ind w:right="246"/>
        <w:jc w:val="both"/>
      </w:pPr>
      <w:r>
        <w:t>A planning horizon over which forecasts and planning assumptions should be able</w:t>
      </w:r>
      <w:r>
        <w:rPr>
          <w:spacing w:val="-1"/>
        </w:rPr>
        <w:t xml:space="preserve"> </w:t>
      </w:r>
      <w:r>
        <w:t>to be achieved with reasonable certainty and risk.</w:t>
      </w:r>
    </w:p>
    <w:p w14:paraId="64920CAC" w14:textId="77777777" w:rsidR="00141B97" w:rsidRDefault="00911D63">
      <w:pPr>
        <w:pStyle w:val="ListParagraph"/>
        <w:numPr>
          <w:ilvl w:val="0"/>
          <w:numId w:val="101"/>
        </w:numPr>
        <w:tabs>
          <w:tab w:val="left" w:pos="874"/>
        </w:tabs>
        <w:spacing w:line="280" w:lineRule="exact"/>
        <w:ind w:hanging="361"/>
        <w:jc w:val="both"/>
      </w:pPr>
      <w:r>
        <w:t>A</w:t>
      </w:r>
      <w:r>
        <w:rPr>
          <w:spacing w:val="-7"/>
        </w:rPr>
        <w:t xml:space="preserve"> </w:t>
      </w:r>
      <w:r>
        <w:t>reasonable</w:t>
      </w:r>
      <w:r>
        <w:rPr>
          <w:spacing w:val="-5"/>
        </w:rPr>
        <w:t xml:space="preserve"> </w:t>
      </w:r>
      <w:r>
        <w:t>period</w:t>
      </w:r>
      <w:r>
        <w:rPr>
          <w:spacing w:val="-6"/>
        </w:rPr>
        <w:t xml:space="preserve"> </w:t>
      </w:r>
      <w:r>
        <w:t>of</w:t>
      </w:r>
      <w:r>
        <w:rPr>
          <w:spacing w:val="-5"/>
        </w:rPr>
        <w:t xml:space="preserve"> </w:t>
      </w:r>
      <w:r>
        <w:t>certainty</w:t>
      </w:r>
      <w:r>
        <w:rPr>
          <w:spacing w:val="-5"/>
        </w:rPr>
        <w:t xml:space="preserve"> </w:t>
      </w:r>
      <w:r>
        <w:t>of</w:t>
      </w:r>
      <w:r>
        <w:rPr>
          <w:spacing w:val="-6"/>
        </w:rPr>
        <w:t xml:space="preserve"> </w:t>
      </w:r>
      <w:r>
        <w:t>service</w:t>
      </w:r>
      <w:r>
        <w:rPr>
          <w:spacing w:val="-8"/>
        </w:rPr>
        <w:t xml:space="preserve"> </w:t>
      </w:r>
      <w:r>
        <w:t>and</w:t>
      </w:r>
      <w:r>
        <w:rPr>
          <w:spacing w:val="-6"/>
        </w:rPr>
        <w:t xml:space="preserve"> </w:t>
      </w:r>
      <w:r>
        <w:t>pricing</w:t>
      </w:r>
      <w:r>
        <w:rPr>
          <w:spacing w:val="-6"/>
        </w:rPr>
        <w:t xml:space="preserve"> </w:t>
      </w:r>
      <w:r>
        <w:t>to</w:t>
      </w:r>
      <w:r>
        <w:rPr>
          <w:spacing w:val="-7"/>
        </w:rPr>
        <w:t xml:space="preserve"> </w:t>
      </w:r>
      <w:r>
        <w:rPr>
          <w:spacing w:val="-2"/>
        </w:rPr>
        <w:t>customers.</w:t>
      </w:r>
    </w:p>
    <w:p w14:paraId="51FCFE6C" w14:textId="77777777" w:rsidR="00141B97" w:rsidRDefault="00911D63">
      <w:pPr>
        <w:pStyle w:val="ListParagraph"/>
        <w:numPr>
          <w:ilvl w:val="0"/>
          <w:numId w:val="101"/>
        </w:numPr>
        <w:tabs>
          <w:tab w:val="left" w:pos="874"/>
        </w:tabs>
        <w:spacing w:before="40" w:line="276" w:lineRule="auto"/>
        <w:ind w:right="246" w:hanging="361"/>
        <w:jc w:val="both"/>
      </w:pPr>
      <w:r>
        <w:t>A reasonable period between the intensive application of resources required to prepare submissions, and with some likelihood of continuity of staffing (and hence experience) across submissions.</w:t>
      </w:r>
    </w:p>
    <w:p w14:paraId="71B94A33" w14:textId="77777777" w:rsidR="00141B97" w:rsidRDefault="00911D63">
      <w:pPr>
        <w:pStyle w:val="ListParagraph"/>
        <w:numPr>
          <w:ilvl w:val="0"/>
          <w:numId w:val="101"/>
        </w:numPr>
        <w:tabs>
          <w:tab w:val="left" w:pos="874"/>
        </w:tabs>
        <w:spacing w:line="276" w:lineRule="auto"/>
        <w:ind w:right="246" w:hanging="361"/>
        <w:jc w:val="both"/>
      </w:pPr>
      <w:r>
        <w:t>Sufficient</w:t>
      </w:r>
      <w:r>
        <w:rPr>
          <w:spacing w:val="-3"/>
        </w:rPr>
        <w:t xml:space="preserve"> </w:t>
      </w:r>
      <w:r>
        <w:t>time</w:t>
      </w:r>
      <w:r>
        <w:rPr>
          <w:spacing w:val="-3"/>
        </w:rPr>
        <w:t xml:space="preserve"> </w:t>
      </w:r>
      <w:r>
        <w:t>to</w:t>
      </w:r>
      <w:r>
        <w:rPr>
          <w:spacing w:val="-2"/>
        </w:rPr>
        <w:t xml:space="preserve"> </w:t>
      </w:r>
      <w:r>
        <w:t>plan</w:t>
      </w:r>
      <w:r>
        <w:rPr>
          <w:spacing w:val="-2"/>
        </w:rPr>
        <w:t xml:space="preserve"> </w:t>
      </w:r>
      <w:r>
        <w:t>and</w:t>
      </w:r>
      <w:r>
        <w:rPr>
          <w:spacing w:val="-1"/>
        </w:rPr>
        <w:t xml:space="preserve"> </w:t>
      </w:r>
      <w:r>
        <w:t>deliver</w:t>
      </w:r>
      <w:r>
        <w:rPr>
          <w:spacing w:val="-1"/>
        </w:rPr>
        <w:t xml:space="preserve"> </w:t>
      </w:r>
      <w:r>
        <w:t>programs</w:t>
      </w:r>
      <w:r>
        <w:rPr>
          <w:spacing w:val="-2"/>
        </w:rPr>
        <w:t xml:space="preserve"> </w:t>
      </w:r>
      <w:r>
        <w:t>with</w:t>
      </w:r>
      <w:r>
        <w:rPr>
          <w:spacing w:val="-2"/>
        </w:rPr>
        <w:t xml:space="preserve"> </w:t>
      </w:r>
      <w:r>
        <w:t>some</w:t>
      </w:r>
      <w:r>
        <w:rPr>
          <w:spacing w:val="-2"/>
        </w:rPr>
        <w:t xml:space="preserve"> </w:t>
      </w:r>
      <w:r>
        <w:t>continuity, and</w:t>
      </w:r>
      <w:r>
        <w:rPr>
          <w:spacing w:val="-2"/>
        </w:rPr>
        <w:t xml:space="preserve"> </w:t>
      </w:r>
      <w:r>
        <w:t>for</w:t>
      </w:r>
      <w:r>
        <w:rPr>
          <w:spacing w:val="-1"/>
        </w:rPr>
        <w:t xml:space="preserve"> </w:t>
      </w:r>
      <w:r>
        <w:t>incentive</w:t>
      </w:r>
      <w:r>
        <w:rPr>
          <w:spacing w:val="-3"/>
        </w:rPr>
        <w:t xml:space="preserve"> </w:t>
      </w:r>
      <w:r>
        <w:t>mechanisms</w:t>
      </w:r>
      <w:r>
        <w:rPr>
          <w:spacing w:val="-2"/>
        </w:rPr>
        <w:t xml:space="preserve"> </w:t>
      </w:r>
      <w:r>
        <w:t>to</w:t>
      </w:r>
      <w:r>
        <w:rPr>
          <w:spacing w:val="-2"/>
        </w:rPr>
        <w:t xml:space="preserve"> </w:t>
      </w:r>
      <w:r>
        <w:t xml:space="preserve">be </w:t>
      </w:r>
      <w:r>
        <w:rPr>
          <w:spacing w:val="-2"/>
        </w:rPr>
        <w:t>realised.</w:t>
      </w:r>
    </w:p>
    <w:p w14:paraId="6C6085FA" w14:textId="77777777" w:rsidR="00141B97" w:rsidRDefault="00141B97">
      <w:pPr>
        <w:pStyle w:val="BodyText"/>
        <w:spacing w:before="1"/>
        <w:rPr>
          <w:sz w:val="31"/>
        </w:rPr>
      </w:pPr>
    </w:p>
    <w:p w14:paraId="4E00C6F9" w14:textId="77777777" w:rsidR="00141B97" w:rsidRDefault="00911D63">
      <w:pPr>
        <w:pStyle w:val="Heading2"/>
        <w:numPr>
          <w:ilvl w:val="1"/>
          <w:numId w:val="113"/>
        </w:numPr>
        <w:tabs>
          <w:tab w:val="left" w:pos="1152"/>
          <w:tab w:val="left" w:pos="1153"/>
        </w:tabs>
        <w:spacing w:before="1"/>
      </w:pPr>
      <w:bookmarkStart w:id="16" w:name="_TOC_250011"/>
      <w:r>
        <w:rPr>
          <w:color w:val="009BAC"/>
        </w:rPr>
        <w:t>Developing</w:t>
      </w:r>
      <w:r>
        <w:rPr>
          <w:color w:val="009BAC"/>
          <w:spacing w:val="-12"/>
        </w:rPr>
        <w:t xml:space="preserve"> </w:t>
      </w:r>
      <w:r>
        <w:rPr>
          <w:color w:val="009BAC"/>
        </w:rPr>
        <w:t>the</w:t>
      </w:r>
      <w:r>
        <w:rPr>
          <w:color w:val="009BAC"/>
          <w:spacing w:val="-10"/>
        </w:rPr>
        <w:t xml:space="preserve"> </w:t>
      </w:r>
      <w:r>
        <w:rPr>
          <w:color w:val="009BAC"/>
        </w:rPr>
        <w:t>Operating</w:t>
      </w:r>
      <w:r>
        <w:rPr>
          <w:color w:val="009BAC"/>
          <w:spacing w:val="-12"/>
        </w:rPr>
        <w:t xml:space="preserve"> </w:t>
      </w:r>
      <w:r>
        <w:rPr>
          <w:color w:val="009BAC"/>
        </w:rPr>
        <w:t>Expenditure</w:t>
      </w:r>
      <w:r>
        <w:rPr>
          <w:color w:val="009BAC"/>
          <w:spacing w:val="-12"/>
        </w:rPr>
        <w:t xml:space="preserve"> </w:t>
      </w:r>
      <w:bookmarkEnd w:id="16"/>
      <w:r>
        <w:rPr>
          <w:color w:val="009BAC"/>
          <w:spacing w:val="-2"/>
        </w:rPr>
        <w:t>Forecast</w:t>
      </w:r>
    </w:p>
    <w:p w14:paraId="0EDE21BE" w14:textId="77777777" w:rsidR="00141B97" w:rsidRDefault="00911D63">
      <w:pPr>
        <w:pStyle w:val="BodyText"/>
        <w:spacing w:before="120"/>
        <w:ind w:left="154"/>
        <w:jc w:val="both"/>
      </w:pPr>
      <w:r>
        <w:t>A</w:t>
      </w:r>
      <w:r>
        <w:rPr>
          <w:spacing w:val="-8"/>
        </w:rPr>
        <w:t xml:space="preserve"> </w:t>
      </w:r>
      <w:r>
        <w:t>systematic</w:t>
      </w:r>
      <w:r>
        <w:rPr>
          <w:spacing w:val="-5"/>
        </w:rPr>
        <w:t xml:space="preserve"> </w:t>
      </w:r>
      <w:r>
        <w:t>process</w:t>
      </w:r>
      <w:r>
        <w:rPr>
          <w:spacing w:val="-8"/>
        </w:rPr>
        <w:t xml:space="preserve"> </w:t>
      </w:r>
      <w:r>
        <w:t>was</w:t>
      </w:r>
      <w:r>
        <w:rPr>
          <w:spacing w:val="-7"/>
        </w:rPr>
        <w:t xml:space="preserve"> </w:t>
      </w:r>
      <w:r>
        <w:t>applied</w:t>
      </w:r>
      <w:r>
        <w:rPr>
          <w:spacing w:val="-7"/>
        </w:rPr>
        <w:t xml:space="preserve"> </w:t>
      </w:r>
      <w:r>
        <w:t>to</w:t>
      </w:r>
      <w:r>
        <w:rPr>
          <w:spacing w:val="-9"/>
        </w:rPr>
        <w:t xml:space="preserve"> </w:t>
      </w:r>
      <w:r>
        <w:t>build</w:t>
      </w:r>
      <w:r>
        <w:rPr>
          <w:spacing w:val="-7"/>
        </w:rPr>
        <w:t xml:space="preserve"> </w:t>
      </w:r>
      <w:r>
        <w:t>the</w:t>
      </w:r>
      <w:r>
        <w:rPr>
          <w:spacing w:val="-8"/>
        </w:rPr>
        <w:t xml:space="preserve"> </w:t>
      </w:r>
      <w:r>
        <w:t>operating</w:t>
      </w:r>
      <w:r>
        <w:rPr>
          <w:spacing w:val="-8"/>
        </w:rPr>
        <w:t xml:space="preserve"> </w:t>
      </w:r>
      <w:r>
        <w:t>expenditure</w:t>
      </w:r>
      <w:r>
        <w:rPr>
          <w:spacing w:val="-8"/>
        </w:rPr>
        <w:t xml:space="preserve"> </w:t>
      </w:r>
      <w:r>
        <w:t>(opex)</w:t>
      </w:r>
      <w:r>
        <w:rPr>
          <w:spacing w:val="-8"/>
        </w:rPr>
        <w:t xml:space="preserve"> </w:t>
      </w:r>
      <w:r>
        <w:t>forecast,</w:t>
      </w:r>
      <w:r>
        <w:rPr>
          <w:spacing w:val="-9"/>
        </w:rPr>
        <w:t xml:space="preserve"> </w:t>
      </w:r>
      <w:r>
        <w:rPr>
          <w:spacing w:val="-2"/>
        </w:rPr>
        <w:t>comprising:</w:t>
      </w:r>
    </w:p>
    <w:p w14:paraId="7AC11CFC" w14:textId="77777777" w:rsidR="00141B97" w:rsidRDefault="00911D63">
      <w:pPr>
        <w:pStyle w:val="ListParagraph"/>
        <w:numPr>
          <w:ilvl w:val="0"/>
          <w:numId w:val="100"/>
        </w:numPr>
        <w:tabs>
          <w:tab w:val="left" w:pos="874"/>
        </w:tabs>
        <w:spacing w:before="39" w:line="276" w:lineRule="auto"/>
        <w:ind w:right="248"/>
        <w:jc w:val="both"/>
      </w:pPr>
      <w:r>
        <w:t>Establishment of 2022‐23 Corporate Plan opex budgets based on LMW’s Budget Policy and Budget Process and Guidelines.</w:t>
      </w:r>
    </w:p>
    <w:p w14:paraId="5D81DAC5" w14:textId="77777777" w:rsidR="00141B97" w:rsidRDefault="00911D63">
      <w:pPr>
        <w:pStyle w:val="ListParagraph"/>
        <w:numPr>
          <w:ilvl w:val="0"/>
          <w:numId w:val="100"/>
        </w:numPr>
        <w:tabs>
          <w:tab w:val="left" w:pos="874"/>
        </w:tabs>
        <w:spacing w:before="1" w:line="276" w:lineRule="auto"/>
        <w:ind w:right="246" w:hanging="361"/>
        <w:jc w:val="both"/>
      </w:pPr>
      <w:r>
        <w:t>The</w:t>
      </w:r>
      <w:r>
        <w:rPr>
          <w:spacing w:val="-2"/>
        </w:rPr>
        <w:t xml:space="preserve"> </w:t>
      </w:r>
      <w:r>
        <w:t>2022‐23</w:t>
      </w:r>
      <w:r>
        <w:rPr>
          <w:spacing w:val="-2"/>
        </w:rPr>
        <w:t xml:space="preserve"> </w:t>
      </w:r>
      <w:r>
        <w:t>forecast</w:t>
      </w:r>
      <w:r>
        <w:rPr>
          <w:spacing w:val="-3"/>
        </w:rPr>
        <w:t xml:space="preserve"> </w:t>
      </w:r>
      <w:r>
        <w:t>includes</w:t>
      </w:r>
      <w:r>
        <w:rPr>
          <w:spacing w:val="-2"/>
        </w:rPr>
        <w:t xml:space="preserve"> </w:t>
      </w:r>
      <w:r>
        <w:t>deviations</w:t>
      </w:r>
      <w:r>
        <w:rPr>
          <w:spacing w:val="-2"/>
        </w:rPr>
        <w:t xml:space="preserve"> </w:t>
      </w:r>
      <w:r>
        <w:t>from</w:t>
      </w:r>
      <w:r>
        <w:rPr>
          <w:spacing w:val="-1"/>
        </w:rPr>
        <w:t xml:space="preserve"> </w:t>
      </w:r>
      <w:r>
        <w:t>the</w:t>
      </w:r>
      <w:r>
        <w:rPr>
          <w:spacing w:val="-3"/>
        </w:rPr>
        <w:t xml:space="preserve"> </w:t>
      </w:r>
      <w:r>
        <w:t>PS4</w:t>
      </w:r>
      <w:r>
        <w:rPr>
          <w:spacing w:val="-2"/>
        </w:rPr>
        <w:t xml:space="preserve"> </w:t>
      </w:r>
      <w:r>
        <w:t>budgets</w:t>
      </w:r>
      <w:r>
        <w:rPr>
          <w:spacing w:val="-1"/>
        </w:rPr>
        <w:t xml:space="preserve"> </w:t>
      </w:r>
      <w:r>
        <w:t>to</w:t>
      </w:r>
      <w:r>
        <w:rPr>
          <w:spacing w:val="-1"/>
        </w:rPr>
        <w:t xml:space="preserve"> </w:t>
      </w:r>
      <w:r>
        <w:t>include</w:t>
      </w:r>
      <w:r>
        <w:rPr>
          <w:spacing w:val="-3"/>
        </w:rPr>
        <w:t xml:space="preserve"> </w:t>
      </w:r>
      <w:r>
        <w:t>changes</w:t>
      </w:r>
      <w:r>
        <w:rPr>
          <w:spacing w:val="-1"/>
        </w:rPr>
        <w:t xml:space="preserve"> </w:t>
      </w:r>
      <w:r>
        <w:t>in</w:t>
      </w:r>
      <w:r>
        <w:rPr>
          <w:spacing w:val="-2"/>
        </w:rPr>
        <w:t xml:space="preserve"> </w:t>
      </w:r>
      <w:r>
        <w:t>the</w:t>
      </w:r>
      <w:r>
        <w:rPr>
          <w:spacing w:val="-2"/>
        </w:rPr>
        <w:t xml:space="preserve"> </w:t>
      </w:r>
      <w:r>
        <w:t>following</w:t>
      </w:r>
      <w:r>
        <w:rPr>
          <w:spacing w:val="-2"/>
        </w:rPr>
        <w:t xml:space="preserve"> </w:t>
      </w:r>
      <w:r>
        <w:t>key budget assumptions; customer demand &amp; growth, tariffs updated with CPI &amp; Cost of Debt (CoD) adjustments, capital contributions, organisational structure labour plan and new projects opex to increase controls and reduce corporate risks.</w:t>
      </w:r>
    </w:p>
    <w:p w14:paraId="59B28EB5" w14:textId="77777777" w:rsidR="00141B97" w:rsidRDefault="00911D63">
      <w:pPr>
        <w:pStyle w:val="ListParagraph"/>
        <w:numPr>
          <w:ilvl w:val="0"/>
          <w:numId w:val="100"/>
        </w:numPr>
        <w:tabs>
          <w:tab w:val="left" w:pos="874"/>
        </w:tabs>
        <w:spacing w:line="276" w:lineRule="auto"/>
        <w:ind w:right="246" w:hanging="361"/>
        <w:jc w:val="both"/>
      </w:pPr>
      <w:r>
        <w:t>Bottom up rebuild of all elements of the PS5 forecast, with the focus on the major cost elements of labour,</w:t>
      </w:r>
      <w:r>
        <w:rPr>
          <w:spacing w:val="-9"/>
        </w:rPr>
        <w:t xml:space="preserve"> </w:t>
      </w:r>
      <w:r>
        <w:t>electricity,</w:t>
      </w:r>
      <w:r>
        <w:rPr>
          <w:spacing w:val="-10"/>
        </w:rPr>
        <w:t xml:space="preserve"> </w:t>
      </w:r>
      <w:r>
        <w:t>and</w:t>
      </w:r>
      <w:r>
        <w:rPr>
          <w:spacing w:val="-10"/>
        </w:rPr>
        <w:t xml:space="preserve"> </w:t>
      </w:r>
      <w:r>
        <w:t>ICT</w:t>
      </w:r>
      <w:r>
        <w:rPr>
          <w:spacing w:val="-10"/>
        </w:rPr>
        <w:t xml:space="preserve"> </w:t>
      </w:r>
      <w:r>
        <w:t>(and</w:t>
      </w:r>
      <w:r>
        <w:rPr>
          <w:spacing w:val="-10"/>
        </w:rPr>
        <w:t xml:space="preserve"> </w:t>
      </w:r>
      <w:r>
        <w:t>chemicals</w:t>
      </w:r>
      <w:r>
        <w:rPr>
          <w:spacing w:val="-9"/>
        </w:rPr>
        <w:t xml:space="preserve"> </w:t>
      </w:r>
      <w:r>
        <w:t>for</w:t>
      </w:r>
      <w:r>
        <w:rPr>
          <w:spacing w:val="-9"/>
        </w:rPr>
        <w:t xml:space="preserve"> </w:t>
      </w:r>
      <w:r>
        <w:t>urban).</w:t>
      </w:r>
      <w:r>
        <w:rPr>
          <w:spacing w:val="-10"/>
        </w:rPr>
        <w:t xml:space="preserve"> </w:t>
      </w:r>
      <w:r>
        <w:t>Labour</w:t>
      </w:r>
      <w:r>
        <w:rPr>
          <w:spacing w:val="-11"/>
        </w:rPr>
        <w:t xml:space="preserve"> </w:t>
      </w:r>
      <w:r>
        <w:t>costs</w:t>
      </w:r>
      <w:r>
        <w:rPr>
          <w:spacing w:val="-10"/>
        </w:rPr>
        <w:t xml:space="preserve"> </w:t>
      </w:r>
      <w:r>
        <w:t>considered</w:t>
      </w:r>
      <w:r>
        <w:rPr>
          <w:spacing w:val="-9"/>
        </w:rPr>
        <w:t xml:space="preserve"> </w:t>
      </w:r>
      <w:r>
        <w:t>the</w:t>
      </w:r>
      <w:r>
        <w:rPr>
          <w:spacing w:val="-10"/>
        </w:rPr>
        <w:t xml:space="preserve"> </w:t>
      </w:r>
      <w:r>
        <w:t>needs</w:t>
      </w:r>
      <w:r>
        <w:rPr>
          <w:spacing w:val="-9"/>
        </w:rPr>
        <w:t xml:space="preserve"> </w:t>
      </w:r>
      <w:r>
        <w:t>of</w:t>
      </w:r>
      <w:r>
        <w:rPr>
          <w:spacing w:val="-10"/>
        </w:rPr>
        <w:t xml:space="preserve"> </w:t>
      </w:r>
      <w:r>
        <w:t>the</w:t>
      </w:r>
      <w:r>
        <w:rPr>
          <w:spacing w:val="-9"/>
        </w:rPr>
        <w:t xml:space="preserve"> </w:t>
      </w:r>
      <w:r>
        <w:t>business to meet customer and compliance obligations, as well as labour cost increases under the Enterprise Bargaining Agreement (EBA).</w:t>
      </w:r>
    </w:p>
    <w:p w14:paraId="3219991C" w14:textId="77777777" w:rsidR="00141B97" w:rsidRDefault="00911D63">
      <w:pPr>
        <w:pStyle w:val="ListParagraph"/>
        <w:numPr>
          <w:ilvl w:val="0"/>
          <w:numId w:val="100"/>
        </w:numPr>
        <w:tabs>
          <w:tab w:val="left" w:pos="875"/>
        </w:tabs>
        <w:spacing w:line="276" w:lineRule="auto"/>
        <w:ind w:left="874" w:right="249"/>
        <w:jc w:val="both"/>
      </w:pPr>
      <w:r>
        <w:t>Extensive</w:t>
      </w:r>
      <w:r>
        <w:rPr>
          <w:spacing w:val="-9"/>
        </w:rPr>
        <w:t xml:space="preserve"> </w:t>
      </w:r>
      <w:r>
        <w:t>and</w:t>
      </w:r>
      <w:r>
        <w:rPr>
          <w:spacing w:val="-7"/>
        </w:rPr>
        <w:t xml:space="preserve"> </w:t>
      </w:r>
      <w:r>
        <w:t>sustained</w:t>
      </w:r>
      <w:r>
        <w:rPr>
          <w:spacing w:val="-7"/>
        </w:rPr>
        <w:t xml:space="preserve"> </w:t>
      </w:r>
      <w:r>
        <w:t>reviews</w:t>
      </w:r>
      <w:r>
        <w:rPr>
          <w:spacing w:val="-7"/>
        </w:rPr>
        <w:t xml:space="preserve"> </w:t>
      </w:r>
      <w:r>
        <w:t>of</w:t>
      </w:r>
      <w:r>
        <w:rPr>
          <w:spacing w:val="-7"/>
        </w:rPr>
        <w:t xml:space="preserve"> </w:t>
      </w:r>
      <w:r>
        <w:t>every</w:t>
      </w:r>
      <w:r>
        <w:rPr>
          <w:spacing w:val="-6"/>
        </w:rPr>
        <w:t xml:space="preserve"> </w:t>
      </w:r>
      <w:r>
        <w:t>operating</w:t>
      </w:r>
      <w:r>
        <w:rPr>
          <w:spacing w:val="-8"/>
        </w:rPr>
        <w:t xml:space="preserve"> </w:t>
      </w:r>
      <w:r>
        <w:t>cost</w:t>
      </w:r>
      <w:r>
        <w:rPr>
          <w:spacing w:val="-8"/>
        </w:rPr>
        <w:t xml:space="preserve"> </w:t>
      </w:r>
      <w:r>
        <w:t>element</w:t>
      </w:r>
      <w:r>
        <w:rPr>
          <w:spacing w:val="-7"/>
        </w:rPr>
        <w:t xml:space="preserve"> </w:t>
      </w:r>
      <w:r>
        <w:t>to</w:t>
      </w:r>
      <w:r>
        <w:rPr>
          <w:spacing w:val="-8"/>
        </w:rPr>
        <w:t xml:space="preserve"> </w:t>
      </w:r>
      <w:r>
        <w:t>seek</w:t>
      </w:r>
      <w:r>
        <w:rPr>
          <w:spacing w:val="-7"/>
        </w:rPr>
        <w:t xml:space="preserve"> </w:t>
      </w:r>
      <w:r>
        <w:t>justification</w:t>
      </w:r>
      <w:r>
        <w:rPr>
          <w:spacing w:val="-8"/>
        </w:rPr>
        <w:t xml:space="preserve"> </w:t>
      </w:r>
      <w:r>
        <w:t>for</w:t>
      </w:r>
      <w:r>
        <w:rPr>
          <w:spacing w:val="-8"/>
        </w:rPr>
        <w:t xml:space="preserve"> </w:t>
      </w:r>
      <w:r>
        <w:t>costs</w:t>
      </w:r>
      <w:r>
        <w:rPr>
          <w:spacing w:val="-8"/>
        </w:rPr>
        <w:t xml:space="preserve"> </w:t>
      </w:r>
      <w:r>
        <w:t>and</w:t>
      </w:r>
      <w:r>
        <w:rPr>
          <w:spacing w:val="-8"/>
        </w:rPr>
        <w:t xml:space="preserve"> </w:t>
      </w:r>
      <w:r>
        <w:t>their linkage to either customer outcomes or government obligations, and ensuring all costs are as efficient as possible to deliver the required services.</w:t>
      </w:r>
    </w:p>
    <w:p w14:paraId="1B139B78" w14:textId="77777777" w:rsidR="00141B97" w:rsidRDefault="00911D63">
      <w:pPr>
        <w:pStyle w:val="ListParagraph"/>
        <w:numPr>
          <w:ilvl w:val="0"/>
          <w:numId w:val="100"/>
        </w:numPr>
        <w:tabs>
          <w:tab w:val="left" w:pos="875"/>
        </w:tabs>
        <w:spacing w:line="276" w:lineRule="auto"/>
        <w:ind w:left="874" w:right="247"/>
        <w:jc w:val="both"/>
      </w:pPr>
      <w:r>
        <w:t>Review and confirmation of non‐controllable costs with relevant agencies for bulk water charges and purchases, licence fees and environmental contributions, including pass‐through costs for the rural business for Goulburn‐Murray Water storage entitlement fees and other charges.</w:t>
      </w:r>
    </w:p>
    <w:p w14:paraId="5A400B55" w14:textId="77777777" w:rsidR="00141B97" w:rsidRDefault="00141B97">
      <w:pPr>
        <w:spacing w:line="276" w:lineRule="auto"/>
        <w:jc w:val="both"/>
        <w:sectPr w:rsidR="00141B97">
          <w:pgSz w:w="11910" w:h="16840"/>
          <w:pgMar w:top="820" w:right="740" w:bottom="1120" w:left="980" w:header="0" w:footer="896" w:gutter="0"/>
          <w:cols w:space="720"/>
        </w:sectPr>
      </w:pPr>
    </w:p>
    <w:p w14:paraId="65FF9351" w14:textId="77777777" w:rsidR="00141B97" w:rsidRDefault="00911D63">
      <w:pPr>
        <w:pStyle w:val="ListParagraph"/>
        <w:numPr>
          <w:ilvl w:val="0"/>
          <w:numId w:val="100"/>
        </w:numPr>
        <w:tabs>
          <w:tab w:val="left" w:pos="874"/>
        </w:tabs>
        <w:spacing w:before="70" w:line="276" w:lineRule="auto"/>
        <w:ind w:left="874" w:right="247" w:hanging="361"/>
        <w:jc w:val="both"/>
      </w:pPr>
      <w:r>
        <w:lastRenderedPageBreak/>
        <w:t>Establishment of 2012‐22 baseline opex with identification and reconciliation of variations between approved</w:t>
      </w:r>
      <w:r>
        <w:rPr>
          <w:spacing w:val="-2"/>
        </w:rPr>
        <w:t xml:space="preserve"> </w:t>
      </w:r>
      <w:r>
        <w:t>forecast,</w:t>
      </w:r>
      <w:r>
        <w:rPr>
          <w:spacing w:val="-2"/>
        </w:rPr>
        <w:t xml:space="preserve"> </w:t>
      </w:r>
      <w:r>
        <w:t>actual and</w:t>
      </w:r>
      <w:r>
        <w:rPr>
          <w:spacing w:val="-2"/>
        </w:rPr>
        <w:t xml:space="preserve"> </w:t>
      </w:r>
      <w:r>
        <w:t>proposed baseline,</w:t>
      </w:r>
      <w:r>
        <w:rPr>
          <w:spacing w:val="-2"/>
        </w:rPr>
        <w:t xml:space="preserve"> </w:t>
      </w:r>
      <w:r>
        <w:t>and</w:t>
      </w:r>
      <w:r>
        <w:rPr>
          <w:spacing w:val="-1"/>
        </w:rPr>
        <w:t xml:space="preserve"> </w:t>
      </w:r>
      <w:r>
        <w:t>projecting</w:t>
      </w:r>
      <w:r>
        <w:rPr>
          <w:spacing w:val="-2"/>
        </w:rPr>
        <w:t xml:space="preserve"> </w:t>
      </w:r>
      <w:r>
        <w:t>the</w:t>
      </w:r>
      <w:r>
        <w:rPr>
          <w:spacing w:val="-3"/>
        </w:rPr>
        <w:t xml:space="preserve"> </w:t>
      </w:r>
      <w:r>
        <w:t>baseline</w:t>
      </w:r>
      <w:r>
        <w:rPr>
          <w:spacing w:val="-3"/>
        </w:rPr>
        <w:t xml:space="preserve"> </w:t>
      </w:r>
      <w:r>
        <w:t>forward</w:t>
      </w:r>
      <w:r>
        <w:rPr>
          <w:spacing w:val="-2"/>
        </w:rPr>
        <w:t xml:space="preserve"> </w:t>
      </w:r>
      <w:r>
        <w:t>with</w:t>
      </w:r>
      <w:r>
        <w:rPr>
          <w:spacing w:val="-2"/>
        </w:rPr>
        <w:t xml:space="preserve"> </w:t>
      </w:r>
      <w:r>
        <w:t>business</w:t>
      </w:r>
      <w:r>
        <w:rPr>
          <w:spacing w:val="-2"/>
        </w:rPr>
        <w:t xml:space="preserve"> </w:t>
      </w:r>
      <w:r>
        <w:t>as usual (BAU) components, efficiencies, new obligations and commitments and growth. This was accompanied by progressive review and confirmation of the proposal.</w:t>
      </w:r>
    </w:p>
    <w:p w14:paraId="18C389A8" w14:textId="77777777" w:rsidR="00141B97" w:rsidRDefault="00911D63">
      <w:pPr>
        <w:pStyle w:val="ListParagraph"/>
        <w:numPr>
          <w:ilvl w:val="0"/>
          <w:numId w:val="100"/>
        </w:numPr>
        <w:tabs>
          <w:tab w:val="left" w:pos="875"/>
        </w:tabs>
        <w:spacing w:line="276" w:lineRule="auto"/>
        <w:ind w:right="248"/>
        <w:jc w:val="both"/>
      </w:pPr>
      <w:r>
        <w:t>Six rounds of price path modelling provided to the Finance and Audit Committee for detailed review and feedback, with Board updates, culminating in agreement to the final price path models and opex and capex forecasts prior to their incorporation in these PS5 documents.</w:t>
      </w:r>
    </w:p>
    <w:p w14:paraId="2084B5D8" w14:textId="77777777" w:rsidR="00141B97" w:rsidRDefault="00141B97">
      <w:pPr>
        <w:pStyle w:val="BodyText"/>
        <w:spacing w:before="2"/>
        <w:rPr>
          <w:sz w:val="31"/>
        </w:rPr>
      </w:pPr>
    </w:p>
    <w:p w14:paraId="1E40E1B5" w14:textId="77777777" w:rsidR="00141B97" w:rsidRDefault="00911D63">
      <w:pPr>
        <w:pStyle w:val="Heading2"/>
        <w:numPr>
          <w:ilvl w:val="1"/>
          <w:numId w:val="113"/>
        </w:numPr>
        <w:tabs>
          <w:tab w:val="left" w:pos="1153"/>
        </w:tabs>
        <w:jc w:val="both"/>
      </w:pPr>
      <w:bookmarkStart w:id="17" w:name="_TOC_250010"/>
      <w:r>
        <w:rPr>
          <w:color w:val="009BAC"/>
        </w:rPr>
        <w:t>Allocation</w:t>
      </w:r>
      <w:r>
        <w:rPr>
          <w:color w:val="009BAC"/>
          <w:spacing w:val="-7"/>
        </w:rPr>
        <w:t xml:space="preserve"> </w:t>
      </w:r>
      <w:r>
        <w:rPr>
          <w:color w:val="009BAC"/>
        </w:rPr>
        <w:t>of</w:t>
      </w:r>
      <w:r>
        <w:rPr>
          <w:color w:val="009BAC"/>
          <w:spacing w:val="-7"/>
        </w:rPr>
        <w:t xml:space="preserve"> </w:t>
      </w:r>
      <w:r>
        <w:rPr>
          <w:color w:val="009BAC"/>
        </w:rPr>
        <w:t>Shared</w:t>
      </w:r>
      <w:r>
        <w:rPr>
          <w:color w:val="009BAC"/>
          <w:spacing w:val="-8"/>
        </w:rPr>
        <w:t xml:space="preserve"> </w:t>
      </w:r>
      <w:bookmarkEnd w:id="17"/>
      <w:r>
        <w:rPr>
          <w:color w:val="009BAC"/>
          <w:spacing w:val="-2"/>
        </w:rPr>
        <w:t>Costs</w:t>
      </w:r>
    </w:p>
    <w:p w14:paraId="3A1FA61C" w14:textId="77777777" w:rsidR="00141B97" w:rsidRDefault="00911D63">
      <w:pPr>
        <w:pStyle w:val="BodyText"/>
        <w:spacing w:before="121" w:line="276" w:lineRule="auto"/>
        <w:ind w:left="153" w:right="246"/>
        <w:jc w:val="both"/>
      </w:pPr>
      <w:r>
        <w:t>LMW has a Corporate Allocation Framework</w:t>
      </w:r>
      <w:r>
        <w:rPr>
          <w:vertAlign w:val="superscript"/>
        </w:rPr>
        <w:t>6</w:t>
      </w:r>
      <w:r>
        <w:t xml:space="preserve"> that defines the allocation methodology used to reallocate ‘indirect’ revenue or expenditure to a business (urban or rural) function, district, or activity. Allocations are generated</w:t>
      </w:r>
      <w:r>
        <w:rPr>
          <w:spacing w:val="-5"/>
        </w:rPr>
        <w:t xml:space="preserve"> </w:t>
      </w:r>
      <w:r>
        <w:t>to</w:t>
      </w:r>
      <w:r>
        <w:rPr>
          <w:spacing w:val="-4"/>
        </w:rPr>
        <w:t xml:space="preserve"> </w:t>
      </w:r>
      <w:r>
        <w:t>reflect</w:t>
      </w:r>
      <w:r>
        <w:rPr>
          <w:spacing w:val="-5"/>
        </w:rPr>
        <w:t xml:space="preserve"> </w:t>
      </w:r>
      <w:r>
        <w:t>inclusive</w:t>
      </w:r>
      <w:r>
        <w:rPr>
          <w:spacing w:val="-7"/>
        </w:rPr>
        <w:t xml:space="preserve"> </w:t>
      </w:r>
      <w:r>
        <w:t>revenue</w:t>
      </w:r>
      <w:r>
        <w:rPr>
          <w:spacing w:val="-4"/>
        </w:rPr>
        <w:t xml:space="preserve"> </w:t>
      </w:r>
      <w:r>
        <w:t>or</w:t>
      </w:r>
      <w:r>
        <w:rPr>
          <w:spacing w:val="-3"/>
        </w:rPr>
        <w:t xml:space="preserve"> </w:t>
      </w:r>
      <w:r>
        <w:t>expenditure</w:t>
      </w:r>
      <w:r>
        <w:rPr>
          <w:spacing w:val="-4"/>
        </w:rPr>
        <w:t xml:space="preserve"> </w:t>
      </w:r>
      <w:r>
        <w:t>and</w:t>
      </w:r>
      <w:r>
        <w:rPr>
          <w:spacing w:val="-4"/>
        </w:rPr>
        <w:t xml:space="preserve"> </w:t>
      </w:r>
      <w:r>
        <w:t>to</w:t>
      </w:r>
      <w:r>
        <w:rPr>
          <w:spacing w:val="-5"/>
        </w:rPr>
        <w:t xml:space="preserve"> </w:t>
      </w:r>
      <w:r>
        <w:t>enable</w:t>
      </w:r>
      <w:r>
        <w:rPr>
          <w:spacing w:val="-5"/>
        </w:rPr>
        <w:t xml:space="preserve"> </w:t>
      </w:r>
      <w:r>
        <w:t>monitoring</w:t>
      </w:r>
      <w:r>
        <w:rPr>
          <w:spacing w:val="-4"/>
        </w:rPr>
        <w:t xml:space="preserve"> </w:t>
      </w:r>
      <w:r>
        <w:t>of</w:t>
      </w:r>
      <w:r>
        <w:rPr>
          <w:spacing w:val="-5"/>
        </w:rPr>
        <w:t xml:space="preserve"> </w:t>
      </w:r>
      <w:r>
        <w:t>the</w:t>
      </w:r>
      <w:r>
        <w:rPr>
          <w:spacing w:val="-5"/>
        </w:rPr>
        <w:t xml:space="preserve"> </w:t>
      </w:r>
      <w:r>
        <w:t>financial</w:t>
      </w:r>
      <w:r>
        <w:rPr>
          <w:spacing w:val="-5"/>
        </w:rPr>
        <w:t xml:space="preserve"> </w:t>
      </w:r>
      <w:r>
        <w:t>performance</w:t>
      </w:r>
      <w:r>
        <w:rPr>
          <w:spacing w:val="-4"/>
        </w:rPr>
        <w:t xml:space="preserve"> </w:t>
      </w:r>
      <w:r>
        <w:t>of individual business functions or districts inclusive of indirect corporate transactions. This framework is configured within LMW’s financial system to remove the need for manual allocation of indirect revenue or expenditure to functions and districts for financial reporting purposes.</w:t>
      </w:r>
    </w:p>
    <w:p w14:paraId="6B345357" w14:textId="77777777" w:rsidR="00141B97" w:rsidRDefault="00141B97">
      <w:pPr>
        <w:pStyle w:val="BodyText"/>
        <w:spacing w:before="3"/>
        <w:rPr>
          <w:sz w:val="25"/>
        </w:rPr>
      </w:pPr>
    </w:p>
    <w:p w14:paraId="516E2245" w14:textId="77777777" w:rsidR="00141B97" w:rsidRDefault="00911D63">
      <w:pPr>
        <w:pStyle w:val="BodyText"/>
        <w:spacing w:line="276" w:lineRule="auto"/>
        <w:ind w:left="153" w:right="248"/>
        <w:jc w:val="both"/>
      </w:pPr>
      <w:r>
        <w:t>The methodology allocates indirect revenue or expenditure on a causal basis to the majority of shared costs between</w:t>
      </w:r>
      <w:r>
        <w:rPr>
          <w:spacing w:val="-3"/>
        </w:rPr>
        <w:t xml:space="preserve"> </w:t>
      </w:r>
      <w:r>
        <w:t>the</w:t>
      </w:r>
      <w:r>
        <w:rPr>
          <w:spacing w:val="-3"/>
        </w:rPr>
        <w:t xml:space="preserve"> </w:t>
      </w:r>
      <w:r>
        <w:t>urban</w:t>
      </w:r>
      <w:r>
        <w:rPr>
          <w:spacing w:val="-2"/>
        </w:rPr>
        <w:t xml:space="preserve"> </w:t>
      </w:r>
      <w:r>
        <w:t>and</w:t>
      </w:r>
      <w:r>
        <w:rPr>
          <w:spacing w:val="-2"/>
        </w:rPr>
        <w:t xml:space="preserve"> </w:t>
      </w:r>
      <w:r>
        <w:t>rural</w:t>
      </w:r>
      <w:r>
        <w:rPr>
          <w:spacing w:val="-4"/>
        </w:rPr>
        <w:t xml:space="preserve"> </w:t>
      </w:r>
      <w:r>
        <w:t>businesses</w:t>
      </w:r>
      <w:r>
        <w:rPr>
          <w:spacing w:val="-2"/>
        </w:rPr>
        <w:t xml:space="preserve"> </w:t>
      </w:r>
      <w:r>
        <w:t>of</w:t>
      </w:r>
      <w:r>
        <w:rPr>
          <w:spacing w:val="-3"/>
        </w:rPr>
        <w:t xml:space="preserve"> </w:t>
      </w:r>
      <w:r>
        <w:t>LMW,</w:t>
      </w:r>
      <w:r>
        <w:rPr>
          <w:spacing w:val="-2"/>
        </w:rPr>
        <w:t xml:space="preserve"> </w:t>
      </w:r>
      <w:r>
        <w:t>between</w:t>
      </w:r>
      <w:r>
        <w:rPr>
          <w:spacing w:val="-4"/>
        </w:rPr>
        <w:t xml:space="preserve"> </w:t>
      </w:r>
      <w:r>
        <w:t>water</w:t>
      </w:r>
      <w:r>
        <w:rPr>
          <w:spacing w:val="-2"/>
        </w:rPr>
        <w:t xml:space="preserve"> </w:t>
      </w:r>
      <w:r>
        <w:t>and</w:t>
      </w:r>
      <w:r>
        <w:rPr>
          <w:spacing w:val="-3"/>
        </w:rPr>
        <w:t xml:space="preserve"> </w:t>
      </w:r>
      <w:r>
        <w:t>sewerage</w:t>
      </w:r>
      <w:r>
        <w:rPr>
          <w:spacing w:val="-3"/>
        </w:rPr>
        <w:t xml:space="preserve"> </w:t>
      </w:r>
      <w:r>
        <w:t>within</w:t>
      </w:r>
      <w:r>
        <w:rPr>
          <w:spacing w:val="-3"/>
        </w:rPr>
        <w:t xml:space="preserve"> </w:t>
      </w:r>
      <w:r>
        <w:t>the</w:t>
      </w:r>
      <w:r>
        <w:rPr>
          <w:spacing w:val="-3"/>
        </w:rPr>
        <w:t xml:space="preserve"> </w:t>
      </w:r>
      <w:r>
        <w:t>urban</w:t>
      </w:r>
      <w:r>
        <w:rPr>
          <w:spacing w:val="-4"/>
        </w:rPr>
        <w:t xml:space="preserve"> </w:t>
      </w:r>
      <w:r>
        <w:t>business,</w:t>
      </w:r>
      <w:r>
        <w:rPr>
          <w:spacing w:val="-4"/>
        </w:rPr>
        <w:t xml:space="preserve"> </w:t>
      </w:r>
      <w:r>
        <w:t>and between services/districts within the rural business. The forecast percentage splits are:</w:t>
      </w:r>
    </w:p>
    <w:p w14:paraId="0925A00A" w14:textId="77777777" w:rsidR="00141B97" w:rsidRDefault="00911D63">
      <w:pPr>
        <w:pStyle w:val="ListParagraph"/>
        <w:numPr>
          <w:ilvl w:val="0"/>
          <w:numId w:val="99"/>
        </w:numPr>
        <w:tabs>
          <w:tab w:val="left" w:pos="874"/>
        </w:tabs>
        <w:spacing w:line="276" w:lineRule="auto"/>
        <w:ind w:right="247"/>
        <w:jc w:val="both"/>
      </w:pPr>
      <w:r>
        <w:rPr>
          <w:i/>
        </w:rPr>
        <w:t xml:space="preserve">Corporate: </w:t>
      </w:r>
      <w:r>
        <w:t>Comprising corporate and administration, and depreciation of corporate assets: allocated on operational asset expense ledger labour and contractor expenditure.</w:t>
      </w:r>
    </w:p>
    <w:p w14:paraId="0379537D" w14:textId="77777777" w:rsidR="00141B97" w:rsidRDefault="00911D63">
      <w:pPr>
        <w:pStyle w:val="ListParagraph"/>
        <w:numPr>
          <w:ilvl w:val="0"/>
          <w:numId w:val="99"/>
        </w:numPr>
        <w:tabs>
          <w:tab w:val="left" w:pos="874"/>
        </w:tabs>
        <w:spacing w:line="276" w:lineRule="auto"/>
        <w:ind w:right="249" w:hanging="361"/>
        <w:jc w:val="both"/>
      </w:pPr>
      <w:r>
        <w:rPr>
          <w:i/>
        </w:rPr>
        <w:t xml:space="preserve">Billing and IT: </w:t>
      </w:r>
      <w:r>
        <w:t>comprising billing and customer services, IT, and depreciation of IT assets: allocated on an average of employee FTE and number of customer services.</w:t>
      </w:r>
    </w:p>
    <w:p w14:paraId="60848A32" w14:textId="77777777" w:rsidR="00141B97" w:rsidRDefault="00141B97">
      <w:pPr>
        <w:pStyle w:val="BodyText"/>
        <w:spacing w:before="12"/>
      </w:pPr>
    </w:p>
    <w:p w14:paraId="57B68B4F" w14:textId="77777777" w:rsidR="00141B97" w:rsidRDefault="00911D63">
      <w:pPr>
        <w:pStyle w:val="BodyText"/>
        <w:spacing w:line="276" w:lineRule="auto"/>
        <w:ind w:left="154" w:right="248" w:hanging="1"/>
        <w:jc w:val="both"/>
      </w:pPr>
      <w:r>
        <w:t>Allocations have been adjusted to reflect the changing nature of the customer base, assets, or costs, as appropriate</w:t>
      </w:r>
      <w:r>
        <w:rPr>
          <w:sz w:val="20"/>
        </w:rPr>
        <w:t xml:space="preserve">. </w:t>
      </w:r>
      <w:r>
        <w:t>For the PS5 period, the allocations of shared costs for the business are split as follows:</w:t>
      </w:r>
    </w:p>
    <w:p w14:paraId="110B4C2A" w14:textId="77777777" w:rsidR="00141B97" w:rsidRDefault="00141B97">
      <w:pPr>
        <w:pStyle w:val="BodyText"/>
        <w:spacing w:before="11"/>
        <w:rPr>
          <w:sz w:val="28"/>
        </w:rPr>
      </w:pPr>
    </w:p>
    <w:tbl>
      <w:tblPr>
        <w:tblW w:w="0" w:type="auto"/>
        <w:tblInd w:w="111" w:type="dxa"/>
        <w:tblLayout w:type="fixed"/>
        <w:tblCellMar>
          <w:left w:w="0" w:type="dxa"/>
          <w:right w:w="0" w:type="dxa"/>
        </w:tblCellMar>
        <w:tblLook w:val="01E0" w:firstRow="1" w:lastRow="1" w:firstColumn="1" w:lastColumn="1" w:noHBand="0" w:noVBand="0"/>
      </w:tblPr>
      <w:tblGrid>
        <w:gridCol w:w="892"/>
        <w:gridCol w:w="1609"/>
        <w:gridCol w:w="1613"/>
      </w:tblGrid>
      <w:tr w:rsidR="00141B97" w14:paraId="14DAE331" w14:textId="77777777">
        <w:trPr>
          <w:trHeight w:val="264"/>
        </w:trPr>
        <w:tc>
          <w:tcPr>
            <w:tcW w:w="892" w:type="dxa"/>
          </w:tcPr>
          <w:p w14:paraId="7975A166" w14:textId="77777777" w:rsidR="00141B97" w:rsidRDefault="00141B97">
            <w:pPr>
              <w:pStyle w:val="TableParagraph"/>
              <w:rPr>
                <w:rFonts w:ascii="Times New Roman"/>
                <w:sz w:val="18"/>
              </w:rPr>
            </w:pPr>
          </w:p>
        </w:tc>
        <w:tc>
          <w:tcPr>
            <w:tcW w:w="1609" w:type="dxa"/>
          </w:tcPr>
          <w:p w14:paraId="30BDC476" w14:textId="77777777" w:rsidR="00141B97" w:rsidRDefault="00911D63">
            <w:pPr>
              <w:pStyle w:val="TableParagraph"/>
              <w:spacing w:line="224" w:lineRule="exact"/>
              <w:ind w:left="292"/>
              <w:rPr>
                <w:i/>
              </w:rPr>
            </w:pPr>
            <w:r>
              <w:rPr>
                <w:i/>
                <w:spacing w:val="-2"/>
              </w:rPr>
              <w:t>Corporate</w:t>
            </w:r>
          </w:p>
        </w:tc>
        <w:tc>
          <w:tcPr>
            <w:tcW w:w="1613" w:type="dxa"/>
          </w:tcPr>
          <w:p w14:paraId="7B26A6D3" w14:textId="77777777" w:rsidR="00141B97" w:rsidRDefault="00911D63">
            <w:pPr>
              <w:pStyle w:val="TableParagraph"/>
              <w:spacing w:line="224" w:lineRule="exact"/>
              <w:ind w:left="433"/>
              <w:rPr>
                <w:i/>
              </w:rPr>
            </w:pPr>
            <w:r>
              <w:rPr>
                <w:i/>
              </w:rPr>
              <w:t>Billing</w:t>
            </w:r>
            <w:r>
              <w:rPr>
                <w:i/>
                <w:spacing w:val="-7"/>
              </w:rPr>
              <w:t xml:space="preserve"> </w:t>
            </w:r>
            <w:r>
              <w:rPr>
                <w:i/>
              </w:rPr>
              <w:t>and</w:t>
            </w:r>
            <w:r>
              <w:rPr>
                <w:i/>
                <w:spacing w:val="-8"/>
              </w:rPr>
              <w:t xml:space="preserve"> </w:t>
            </w:r>
            <w:r>
              <w:rPr>
                <w:i/>
                <w:spacing w:val="-5"/>
              </w:rPr>
              <w:t>IT</w:t>
            </w:r>
          </w:p>
        </w:tc>
      </w:tr>
      <w:tr w:rsidR="00141B97" w14:paraId="7CC7E44B" w14:textId="77777777">
        <w:trPr>
          <w:trHeight w:val="309"/>
        </w:trPr>
        <w:tc>
          <w:tcPr>
            <w:tcW w:w="892" w:type="dxa"/>
          </w:tcPr>
          <w:p w14:paraId="2C4A9011" w14:textId="77777777" w:rsidR="00141B97" w:rsidRDefault="00911D63">
            <w:pPr>
              <w:pStyle w:val="TableParagraph"/>
              <w:ind w:left="50"/>
            </w:pPr>
            <w:r>
              <w:rPr>
                <w:spacing w:val="-2"/>
              </w:rPr>
              <w:t>Urban</w:t>
            </w:r>
          </w:p>
        </w:tc>
        <w:tc>
          <w:tcPr>
            <w:tcW w:w="1609" w:type="dxa"/>
          </w:tcPr>
          <w:p w14:paraId="438597AB" w14:textId="77777777" w:rsidR="00141B97" w:rsidRDefault="00911D63">
            <w:pPr>
              <w:pStyle w:val="TableParagraph"/>
              <w:ind w:left="292"/>
            </w:pPr>
            <w:r>
              <w:rPr>
                <w:spacing w:val="-2"/>
                <w:sz w:val="20"/>
              </w:rPr>
              <w:t>6</w:t>
            </w:r>
            <w:r>
              <w:rPr>
                <w:spacing w:val="-2"/>
              </w:rPr>
              <w:t>2.4%</w:t>
            </w:r>
          </w:p>
        </w:tc>
        <w:tc>
          <w:tcPr>
            <w:tcW w:w="1613" w:type="dxa"/>
          </w:tcPr>
          <w:p w14:paraId="77185D80" w14:textId="77777777" w:rsidR="00141B97" w:rsidRDefault="00911D63">
            <w:pPr>
              <w:pStyle w:val="TableParagraph"/>
              <w:ind w:left="430"/>
            </w:pPr>
            <w:r>
              <w:rPr>
                <w:spacing w:val="-2"/>
              </w:rPr>
              <w:t>78.0%</w:t>
            </w:r>
          </w:p>
        </w:tc>
      </w:tr>
      <w:tr w:rsidR="00141B97" w14:paraId="5E4B79F8" w14:textId="77777777">
        <w:trPr>
          <w:trHeight w:val="264"/>
        </w:trPr>
        <w:tc>
          <w:tcPr>
            <w:tcW w:w="892" w:type="dxa"/>
          </w:tcPr>
          <w:p w14:paraId="1B8E078F" w14:textId="77777777" w:rsidR="00141B97" w:rsidRDefault="00911D63">
            <w:pPr>
              <w:pStyle w:val="TableParagraph"/>
              <w:spacing w:line="244" w:lineRule="exact"/>
              <w:ind w:left="50"/>
            </w:pPr>
            <w:r>
              <w:rPr>
                <w:spacing w:val="-2"/>
              </w:rPr>
              <w:t>Rural</w:t>
            </w:r>
          </w:p>
        </w:tc>
        <w:tc>
          <w:tcPr>
            <w:tcW w:w="1609" w:type="dxa"/>
          </w:tcPr>
          <w:p w14:paraId="32C4CB99" w14:textId="77777777" w:rsidR="00141B97" w:rsidRDefault="00911D63">
            <w:pPr>
              <w:pStyle w:val="TableParagraph"/>
              <w:spacing w:line="244" w:lineRule="exact"/>
              <w:ind w:left="292"/>
            </w:pPr>
            <w:r>
              <w:rPr>
                <w:spacing w:val="-2"/>
              </w:rPr>
              <w:t>37.6%</w:t>
            </w:r>
          </w:p>
        </w:tc>
        <w:tc>
          <w:tcPr>
            <w:tcW w:w="1613" w:type="dxa"/>
          </w:tcPr>
          <w:p w14:paraId="42C36D78" w14:textId="77777777" w:rsidR="00141B97" w:rsidRDefault="00911D63">
            <w:pPr>
              <w:pStyle w:val="TableParagraph"/>
              <w:spacing w:line="244" w:lineRule="exact"/>
              <w:ind w:left="430"/>
            </w:pPr>
            <w:r>
              <w:rPr>
                <w:spacing w:val="-2"/>
              </w:rPr>
              <w:t>22.0%</w:t>
            </w:r>
          </w:p>
        </w:tc>
      </w:tr>
    </w:tbl>
    <w:p w14:paraId="10931615" w14:textId="77777777" w:rsidR="00141B97" w:rsidRDefault="00141B97">
      <w:pPr>
        <w:pStyle w:val="BodyText"/>
      </w:pPr>
    </w:p>
    <w:p w14:paraId="75C2E82F" w14:textId="77777777" w:rsidR="00141B97" w:rsidRDefault="00911D63">
      <w:pPr>
        <w:pStyle w:val="Heading2"/>
        <w:numPr>
          <w:ilvl w:val="1"/>
          <w:numId w:val="113"/>
        </w:numPr>
        <w:tabs>
          <w:tab w:val="left" w:pos="1153"/>
        </w:tabs>
        <w:spacing w:before="157"/>
        <w:jc w:val="both"/>
      </w:pPr>
      <w:bookmarkStart w:id="18" w:name="_TOC_250009"/>
      <w:r>
        <w:rPr>
          <w:color w:val="009BAC"/>
        </w:rPr>
        <w:t>Developing</w:t>
      </w:r>
      <w:r>
        <w:rPr>
          <w:color w:val="009BAC"/>
          <w:spacing w:val="-9"/>
        </w:rPr>
        <w:t xml:space="preserve"> </w:t>
      </w:r>
      <w:r>
        <w:rPr>
          <w:color w:val="009BAC"/>
        </w:rPr>
        <w:t>the</w:t>
      </w:r>
      <w:r>
        <w:rPr>
          <w:color w:val="009BAC"/>
          <w:spacing w:val="-9"/>
        </w:rPr>
        <w:t xml:space="preserve"> </w:t>
      </w:r>
      <w:r>
        <w:rPr>
          <w:color w:val="009BAC"/>
        </w:rPr>
        <w:t>Capital</w:t>
      </w:r>
      <w:r>
        <w:rPr>
          <w:color w:val="009BAC"/>
          <w:spacing w:val="-8"/>
        </w:rPr>
        <w:t xml:space="preserve"> </w:t>
      </w:r>
      <w:bookmarkEnd w:id="18"/>
      <w:r>
        <w:rPr>
          <w:color w:val="009BAC"/>
          <w:spacing w:val="-2"/>
        </w:rPr>
        <w:t>Program</w:t>
      </w:r>
    </w:p>
    <w:p w14:paraId="51525AFE" w14:textId="77777777" w:rsidR="00141B97" w:rsidRDefault="00911D63">
      <w:pPr>
        <w:pStyle w:val="ListParagraph"/>
        <w:numPr>
          <w:ilvl w:val="2"/>
          <w:numId w:val="113"/>
        </w:numPr>
        <w:tabs>
          <w:tab w:val="left" w:pos="1152"/>
          <w:tab w:val="left" w:pos="1153"/>
        </w:tabs>
        <w:spacing w:before="251"/>
        <w:jc w:val="both"/>
      </w:pPr>
      <w:r>
        <w:t>Program</w:t>
      </w:r>
      <w:r>
        <w:rPr>
          <w:spacing w:val="-8"/>
        </w:rPr>
        <w:t xml:space="preserve"> </w:t>
      </w:r>
      <w:r>
        <w:rPr>
          <w:spacing w:val="-2"/>
        </w:rPr>
        <w:t>Development</w:t>
      </w:r>
    </w:p>
    <w:p w14:paraId="5F79AF4B" w14:textId="77777777" w:rsidR="00141B97" w:rsidRDefault="00911D63">
      <w:pPr>
        <w:pStyle w:val="BodyText"/>
        <w:spacing w:before="59" w:line="276" w:lineRule="auto"/>
        <w:ind w:left="154" w:right="246" w:hanging="1"/>
        <w:jc w:val="both"/>
      </w:pPr>
      <w:r>
        <w:t>LMW has developed, documented</w:t>
      </w:r>
      <w:r>
        <w:rPr>
          <w:vertAlign w:val="superscript"/>
        </w:rPr>
        <w:t>7</w:t>
      </w:r>
      <w:r>
        <w:t xml:space="preserve"> and followed a consistent approach to capital forecasting and cost estimating</w:t>
      </w:r>
      <w:r>
        <w:rPr>
          <w:spacing w:val="-6"/>
        </w:rPr>
        <w:t xml:space="preserve"> </w:t>
      </w:r>
      <w:r>
        <w:t>for</w:t>
      </w:r>
      <w:r>
        <w:rPr>
          <w:spacing w:val="-7"/>
        </w:rPr>
        <w:t xml:space="preserve"> </w:t>
      </w:r>
      <w:r>
        <w:t>PS5,</w:t>
      </w:r>
      <w:r>
        <w:rPr>
          <w:spacing w:val="-7"/>
        </w:rPr>
        <w:t xml:space="preserve"> </w:t>
      </w:r>
      <w:r>
        <w:t>covering</w:t>
      </w:r>
      <w:r>
        <w:rPr>
          <w:spacing w:val="-7"/>
        </w:rPr>
        <w:t xml:space="preserve"> </w:t>
      </w:r>
      <w:r>
        <w:t>alignment</w:t>
      </w:r>
      <w:r>
        <w:rPr>
          <w:spacing w:val="-6"/>
        </w:rPr>
        <w:t xml:space="preserve"> </w:t>
      </w:r>
      <w:r>
        <w:t>of</w:t>
      </w:r>
      <w:r>
        <w:rPr>
          <w:spacing w:val="-6"/>
        </w:rPr>
        <w:t xml:space="preserve"> </w:t>
      </w:r>
      <w:r>
        <w:t>capital</w:t>
      </w:r>
      <w:r>
        <w:rPr>
          <w:spacing w:val="-6"/>
        </w:rPr>
        <w:t xml:space="preserve"> </w:t>
      </w:r>
      <w:r>
        <w:t>planning</w:t>
      </w:r>
      <w:r>
        <w:rPr>
          <w:spacing w:val="-6"/>
        </w:rPr>
        <w:t xml:space="preserve"> </w:t>
      </w:r>
      <w:r>
        <w:t>with</w:t>
      </w:r>
      <w:r>
        <w:rPr>
          <w:spacing w:val="-7"/>
        </w:rPr>
        <w:t xml:space="preserve"> </w:t>
      </w:r>
      <w:r>
        <w:t>customer</w:t>
      </w:r>
      <w:r>
        <w:rPr>
          <w:spacing w:val="-3"/>
        </w:rPr>
        <w:t xml:space="preserve"> </w:t>
      </w:r>
      <w:r>
        <w:t>outcomes</w:t>
      </w:r>
      <w:r>
        <w:rPr>
          <w:spacing w:val="-6"/>
        </w:rPr>
        <w:t xml:space="preserve"> </w:t>
      </w:r>
      <w:r>
        <w:t>and</w:t>
      </w:r>
      <w:r>
        <w:rPr>
          <w:spacing w:val="-6"/>
        </w:rPr>
        <w:t xml:space="preserve"> </w:t>
      </w:r>
      <w:r>
        <w:t>business</w:t>
      </w:r>
      <w:r>
        <w:rPr>
          <w:spacing w:val="-7"/>
        </w:rPr>
        <w:t xml:space="preserve"> </w:t>
      </w:r>
      <w:r>
        <w:t>requirements, capital</w:t>
      </w:r>
      <w:r>
        <w:rPr>
          <w:spacing w:val="-7"/>
        </w:rPr>
        <w:t xml:space="preserve"> </w:t>
      </w:r>
      <w:r>
        <w:t>planning</w:t>
      </w:r>
      <w:r>
        <w:rPr>
          <w:spacing w:val="-7"/>
        </w:rPr>
        <w:t xml:space="preserve"> </w:t>
      </w:r>
      <w:r>
        <w:t>processes,</w:t>
      </w:r>
      <w:r>
        <w:rPr>
          <w:spacing w:val="-6"/>
        </w:rPr>
        <w:t xml:space="preserve"> </w:t>
      </w:r>
      <w:r>
        <w:t>business</w:t>
      </w:r>
      <w:r>
        <w:rPr>
          <w:spacing w:val="-7"/>
        </w:rPr>
        <w:t xml:space="preserve"> </w:t>
      </w:r>
      <w:r>
        <w:t>case</w:t>
      </w:r>
      <w:r>
        <w:rPr>
          <w:spacing w:val="-7"/>
        </w:rPr>
        <w:t xml:space="preserve"> </w:t>
      </w:r>
      <w:r>
        <w:t>preparation,</w:t>
      </w:r>
      <w:r>
        <w:rPr>
          <w:spacing w:val="-7"/>
        </w:rPr>
        <w:t xml:space="preserve"> </w:t>
      </w:r>
      <w:r>
        <w:t>cost</w:t>
      </w:r>
      <w:r>
        <w:rPr>
          <w:spacing w:val="-7"/>
        </w:rPr>
        <w:t xml:space="preserve"> </w:t>
      </w:r>
      <w:r>
        <w:t>estimating</w:t>
      </w:r>
      <w:r>
        <w:rPr>
          <w:spacing w:val="-7"/>
        </w:rPr>
        <w:t xml:space="preserve"> </w:t>
      </w:r>
      <w:r>
        <w:t>and</w:t>
      </w:r>
      <w:r>
        <w:rPr>
          <w:spacing w:val="-7"/>
        </w:rPr>
        <w:t xml:space="preserve"> </w:t>
      </w:r>
      <w:r>
        <w:t>contingencies,</w:t>
      </w:r>
      <w:r>
        <w:rPr>
          <w:spacing w:val="-7"/>
        </w:rPr>
        <w:t xml:space="preserve"> </w:t>
      </w:r>
      <w:r>
        <w:t>capital</w:t>
      </w:r>
      <w:r>
        <w:rPr>
          <w:spacing w:val="-7"/>
        </w:rPr>
        <w:t xml:space="preserve"> </w:t>
      </w:r>
      <w:r>
        <w:t>efficiency,</w:t>
      </w:r>
      <w:r>
        <w:rPr>
          <w:spacing w:val="-7"/>
        </w:rPr>
        <w:t xml:space="preserve"> </w:t>
      </w:r>
      <w:r>
        <w:t>and allocation of risk between LMW and its service providers.</w:t>
      </w:r>
    </w:p>
    <w:p w14:paraId="5A46B519" w14:textId="77777777" w:rsidR="00141B97" w:rsidRDefault="00141B97">
      <w:pPr>
        <w:pStyle w:val="BodyText"/>
        <w:spacing w:before="4"/>
        <w:rPr>
          <w:sz w:val="25"/>
        </w:rPr>
      </w:pPr>
    </w:p>
    <w:p w14:paraId="659E6CA7" w14:textId="77777777" w:rsidR="00141B97" w:rsidRDefault="00911D63">
      <w:pPr>
        <w:pStyle w:val="BodyText"/>
        <w:ind w:left="154"/>
      </w:pPr>
      <w:r>
        <w:t>The</w:t>
      </w:r>
      <w:r>
        <w:rPr>
          <w:spacing w:val="-8"/>
        </w:rPr>
        <w:t xml:space="preserve"> </w:t>
      </w:r>
      <w:r>
        <w:t>capital</w:t>
      </w:r>
      <w:r>
        <w:rPr>
          <w:spacing w:val="-7"/>
        </w:rPr>
        <w:t xml:space="preserve"> </w:t>
      </w:r>
      <w:r>
        <w:t>expenditure</w:t>
      </w:r>
      <w:r>
        <w:rPr>
          <w:spacing w:val="-8"/>
        </w:rPr>
        <w:t xml:space="preserve"> </w:t>
      </w:r>
      <w:r>
        <w:t>program</w:t>
      </w:r>
      <w:r>
        <w:rPr>
          <w:spacing w:val="-7"/>
        </w:rPr>
        <w:t xml:space="preserve"> </w:t>
      </w:r>
      <w:r>
        <w:t>for</w:t>
      </w:r>
      <w:r>
        <w:rPr>
          <w:spacing w:val="-7"/>
        </w:rPr>
        <w:t xml:space="preserve"> </w:t>
      </w:r>
      <w:r>
        <w:t>PS5</w:t>
      </w:r>
      <w:r>
        <w:rPr>
          <w:spacing w:val="-7"/>
        </w:rPr>
        <w:t xml:space="preserve"> </w:t>
      </w:r>
      <w:r>
        <w:t>has</w:t>
      </w:r>
      <w:r>
        <w:rPr>
          <w:spacing w:val="-8"/>
        </w:rPr>
        <w:t xml:space="preserve"> </w:t>
      </w:r>
      <w:r>
        <w:t>been</w:t>
      </w:r>
      <w:r>
        <w:rPr>
          <w:spacing w:val="-8"/>
        </w:rPr>
        <w:t xml:space="preserve"> </w:t>
      </w:r>
      <w:r>
        <w:t>prepared</w:t>
      </w:r>
      <w:r>
        <w:rPr>
          <w:spacing w:val="-8"/>
        </w:rPr>
        <w:t xml:space="preserve"> </w:t>
      </w:r>
      <w:r>
        <w:t>with</w:t>
      </w:r>
      <w:r>
        <w:rPr>
          <w:spacing w:val="-8"/>
        </w:rPr>
        <w:t xml:space="preserve"> </w:t>
      </w:r>
      <w:r>
        <w:t>specific</w:t>
      </w:r>
      <w:r>
        <w:rPr>
          <w:spacing w:val="-6"/>
        </w:rPr>
        <w:t xml:space="preserve"> </w:t>
      </w:r>
      <w:r>
        <w:t>attention</w:t>
      </w:r>
      <w:r>
        <w:rPr>
          <w:spacing w:val="-9"/>
        </w:rPr>
        <w:t xml:space="preserve"> </w:t>
      </w:r>
      <w:r>
        <w:rPr>
          <w:spacing w:val="-5"/>
        </w:rPr>
        <w:t>to:</w:t>
      </w:r>
    </w:p>
    <w:p w14:paraId="09BB2414" w14:textId="77777777" w:rsidR="00141B97" w:rsidRDefault="00911D63">
      <w:pPr>
        <w:pStyle w:val="ListParagraph"/>
        <w:numPr>
          <w:ilvl w:val="3"/>
          <w:numId w:val="113"/>
        </w:numPr>
        <w:tabs>
          <w:tab w:val="left" w:pos="873"/>
          <w:tab w:val="left" w:pos="874"/>
        </w:tabs>
        <w:spacing w:before="40" w:line="276" w:lineRule="auto"/>
        <w:ind w:left="873" w:right="247"/>
      </w:pPr>
      <w:r>
        <w:t>Major</w:t>
      </w:r>
      <w:r>
        <w:rPr>
          <w:spacing w:val="35"/>
        </w:rPr>
        <w:t xml:space="preserve"> </w:t>
      </w:r>
      <w:r>
        <w:t>strategies</w:t>
      </w:r>
      <w:r>
        <w:rPr>
          <w:spacing w:val="36"/>
        </w:rPr>
        <w:t xml:space="preserve"> </w:t>
      </w:r>
      <w:r>
        <w:t>developed</w:t>
      </w:r>
      <w:r>
        <w:rPr>
          <w:spacing w:val="34"/>
        </w:rPr>
        <w:t xml:space="preserve"> </w:t>
      </w:r>
      <w:r>
        <w:t>for</w:t>
      </w:r>
      <w:r>
        <w:rPr>
          <w:spacing w:val="35"/>
        </w:rPr>
        <w:t xml:space="preserve"> </w:t>
      </w:r>
      <w:r>
        <w:t>water</w:t>
      </w:r>
      <w:r>
        <w:rPr>
          <w:spacing w:val="35"/>
        </w:rPr>
        <w:t xml:space="preserve"> </w:t>
      </w:r>
      <w:r>
        <w:t>and</w:t>
      </w:r>
      <w:r>
        <w:rPr>
          <w:spacing w:val="35"/>
        </w:rPr>
        <w:t xml:space="preserve"> </w:t>
      </w:r>
      <w:r>
        <w:t>sewerage</w:t>
      </w:r>
      <w:r>
        <w:rPr>
          <w:spacing w:val="33"/>
        </w:rPr>
        <w:t xml:space="preserve"> </w:t>
      </w:r>
      <w:r>
        <w:t>services</w:t>
      </w:r>
      <w:r>
        <w:rPr>
          <w:spacing w:val="35"/>
        </w:rPr>
        <w:t xml:space="preserve"> </w:t>
      </w:r>
      <w:r>
        <w:t>to</w:t>
      </w:r>
      <w:r>
        <w:rPr>
          <w:spacing w:val="34"/>
        </w:rPr>
        <w:t xml:space="preserve"> </w:t>
      </w:r>
      <w:r>
        <w:t>meet</w:t>
      </w:r>
      <w:r>
        <w:rPr>
          <w:spacing w:val="34"/>
        </w:rPr>
        <w:t xml:space="preserve"> </w:t>
      </w:r>
      <w:r>
        <w:t>growth</w:t>
      </w:r>
      <w:r>
        <w:rPr>
          <w:spacing w:val="36"/>
        </w:rPr>
        <w:t xml:space="preserve"> </w:t>
      </w:r>
      <w:r>
        <w:t>in</w:t>
      </w:r>
      <w:r>
        <w:rPr>
          <w:spacing w:val="35"/>
        </w:rPr>
        <w:t xml:space="preserve"> </w:t>
      </w:r>
      <w:r>
        <w:t>the</w:t>
      </w:r>
      <w:r>
        <w:rPr>
          <w:spacing w:val="34"/>
        </w:rPr>
        <w:t xml:space="preserve"> </w:t>
      </w:r>
      <w:r>
        <w:t>northern</w:t>
      </w:r>
      <w:r>
        <w:rPr>
          <w:spacing w:val="34"/>
        </w:rPr>
        <w:t xml:space="preserve"> </w:t>
      </w:r>
      <w:r>
        <w:t>and southern regions of LMW.</w:t>
      </w:r>
    </w:p>
    <w:p w14:paraId="6B63CBD6" w14:textId="77777777" w:rsidR="00141B97" w:rsidRDefault="00911D63">
      <w:pPr>
        <w:pStyle w:val="ListParagraph"/>
        <w:numPr>
          <w:ilvl w:val="3"/>
          <w:numId w:val="113"/>
        </w:numPr>
        <w:tabs>
          <w:tab w:val="left" w:pos="873"/>
          <w:tab w:val="left" w:pos="874"/>
        </w:tabs>
        <w:spacing w:line="280" w:lineRule="exact"/>
        <w:ind w:left="873" w:hanging="361"/>
      </w:pPr>
      <w:r>
        <w:t>Master</w:t>
      </w:r>
      <w:r>
        <w:rPr>
          <w:spacing w:val="-7"/>
        </w:rPr>
        <w:t xml:space="preserve"> </w:t>
      </w:r>
      <w:r>
        <w:t>Plans</w:t>
      </w:r>
      <w:r>
        <w:rPr>
          <w:spacing w:val="-7"/>
        </w:rPr>
        <w:t xml:space="preserve"> </w:t>
      </w:r>
      <w:r>
        <w:t>for</w:t>
      </w:r>
      <w:r>
        <w:rPr>
          <w:spacing w:val="-8"/>
        </w:rPr>
        <w:t xml:space="preserve"> </w:t>
      </w:r>
      <w:r>
        <w:t>the</w:t>
      </w:r>
      <w:r>
        <w:rPr>
          <w:spacing w:val="-7"/>
        </w:rPr>
        <w:t xml:space="preserve"> </w:t>
      </w:r>
      <w:r>
        <w:t>major</w:t>
      </w:r>
      <w:r>
        <w:rPr>
          <w:spacing w:val="-7"/>
        </w:rPr>
        <w:t xml:space="preserve"> </w:t>
      </w:r>
      <w:r>
        <w:t>growth</w:t>
      </w:r>
      <w:r>
        <w:rPr>
          <w:spacing w:val="-7"/>
        </w:rPr>
        <w:t xml:space="preserve"> </w:t>
      </w:r>
      <w:r>
        <w:t>areas</w:t>
      </w:r>
      <w:r>
        <w:rPr>
          <w:spacing w:val="-6"/>
        </w:rPr>
        <w:t xml:space="preserve"> </w:t>
      </w:r>
      <w:r>
        <w:t>of</w:t>
      </w:r>
      <w:r>
        <w:rPr>
          <w:spacing w:val="-8"/>
        </w:rPr>
        <w:t xml:space="preserve"> </w:t>
      </w:r>
      <w:r>
        <w:t>Mildura/Red</w:t>
      </w:r>
      <w:r>
        <w:rPr>
          <w:spacing w:val="-8"/>
        </w:rPr>
        <w:t xml:space="preserve"> </w:t>
      </w:r>
      <w:r>
        <w:t>Cliffs/Irymple</w:t>
      </w:r>
      <w:r>
        <w:rPr>
          <w:spacing w:val="-5"/>
        </w:rPr>
        <w:t xml:space="preserve"> </w:t>
      </w:r>
      <w:r>
        <w:t>and</w:t>
      </w:r>
      <w:r>
        <w:rPr>
          <w:spacing w:val="-7"/>
        </w:rPr>
        <w:t xml:space="preserve"> </w:t>
      </w:r>
      <w:r>
        <w:t>Swan</w:t>
      </w:r>
      <w:r>
        <w:rPr>
          <w:spacing w:val="-6"/>
        </w:rPr>
        <w:t xml:space="preserve"> </w:t>
      </w:r>
      <w:r>
        <w:rPr>
          <w:spacing w:val="-2"/>
        </w:rPr>
        <w:t>Hill.</w:t>
      </w:r>
    </w:p>
    <w:p w14:paraId="6E8FAFE6" w14:textId="77777777" w:rsidR="00141B97" w:rsidRDefault="00911D63">
      <w:pPr>
        <w:pStyle w:val="ListParagraph"/>
        <w:numPr>
          <w:ilvl w:val="3"/>
          <w:numId w:val="113"/>
        </w:numPr>
        <w:tabs>
          <w:tab w:val="left" w:pos="873"/>
          <w:tab w:val="left" w:pos="874"/>
        </w:tabs>
        <w:spacing w:before="41"/>
        <w:ind w:left="873" w:hanging="361"/>
      </w:pPr>
      <w:r>
        <w:t>Specific</w:t>
      </w:r>
      <w:r>
        <w:rPr>
          <w:spacing w:val="15"/>
        </w:rPr>
        <w:t xml:space="preserve"> </w:t>
      </w:r>
      <w:r>
        <w:t>studies</w:t>
      </w:r>
      <w:r>
        <w:rPr>
          <w:spacing w:val="15"/>
        </w:rPr>
        <w:t xml:space="preserve"> </w:t>
      </w:r>
      <w:r>
        <w:t>or</w:t>
      </w:r>
      <w:r>
        <w:rPr>
          <w:spacing w:val="16"/>
        </w:rPr>
        <w:t xml:space="preserve"> </w:t>
      </w:r>
      <w:r>
        <w:t>investigations</w:t>
      </w:r>
      <w:r>
        <w:rPr>
          <w:spacing w:val="15"/>
        </w:rPr>
        <w:t xml:space="preserve"> </w:t>
      </w:r>
      <w:r>
        <w:t>for</w:t>
      </w:r>
      <w:r>
        <w:rPr>
          <w:spacing w:val="16"/>
        </w:rPr>
        <w:t xml:space="preserve"> </w:t>
      </w:r>
      <w:r>
        <w:t>improvements</w:t>
      </w:r>
      <w:r>
        <w:rPr>
          <w:spacing w:val="16"/>
        </w:rPr>
        <w:t xml:space="preserve"> </w:t>
      </w:r>
      <w:r>
        <w:t>applicable</w:t>
      </w:r>
      <w:r>
        <w:rPr>
          <w:spacing w:val="15"/>
        </w:rPr>
        <w:t xml:space="preserve"> </w:t>
      </w:r>
      <w:r>
        <w:t>to</w:t>
      </w:r>
      <w:r>
        <w:rPr>
          <w:spacing w:val="14"/>
        </w:rPr>
        <w:t xml:space="preserve"> </w:t>
      </w:r>
      <w:r>
        <w:t>either</w:t>
      </w:r>
      <w:r>
        <w:rPr>
          <w:spacing w:val="17"/>
        </w:rPr>
        <w:t xml:space="preserve"> </w:t>
      </w:r>
      <w:r>
        <w:t>or</w:t>
      </w:r>
      <w:r>
        <w:rPr>
          <w:spacing w:val="15"/>
        </w:rPr>
        <w:t xml:space="preserve"> </w:t>
      </w:r>
      <w:r>
        <w:t>both</w:t>
      </w:r>
      <w:r>
        <w:rPr>
          <w:spacing w:val="16"/>
        </w:rPr>
        <w:t xml:space="preserve"> </w:t>
      </w:r>
      <w:r>
        <w:t>the</w:t>
      </w:r>
      <w:r>
        <w:rPr>
          <w:spacing w:val="16"/>
        </w:rPr>
        <w:t xml:space="preserve"> </w:t>
      </w:r>
      <w:r>
        <w:t>urban</w:t>
      </w:r>
      <w:r>
        <w:rPr>
          <w:spacing w:val="15"/>
        </w:rPr>
        <w:t xml:space="preserve"> </w:t>
      </w:r>
      <w:r>
        <w:t>and</w:t>
      </w:r>
      <w:r>
        <w:rPr>
          <w:spacing w:val="15"/>
        </w:rPr>
        <w:t xml:space="preserve"> </w:t>
      </w:r>
      <w:r>
        <w:rPr>
          <w:spacing w:val="-2"/>
        </w:rPr>
        <w:t>rural</w:t>
      </w:r>
    </w:p>
    <w:p w14:paraId="195BFEC5" w14:textId="70BBFA4F" w:rsidR="00141B97" w:rsidRDefault="00911D63">
      <w:pPr>
        <w:pStyle w:val="BodyText"/>
        <w:spacing w:before="9"/>
      </w:pPr>
      <w:r>
        <w:rPr>
          <w:noProof/>
        </w:rPr>
        <mc:AlternateContent>
          <mc:Choice Requires="wps">
            <w:drawing>
              <wp:anchor distT="0" distB="0" distL="0" distR="0" simplePos="0" relativeHeight="487601664" behindDoc="1" locked="0" layoutInCell="1" allowOverlap="1" wp14:anchorId="7C8FC1B3" wp14:editId="5B94A648">
                <wp:simplePos x="0" y="0"/>
                <wp:positionH relativeFrom="page">
                  <wp:posOffset>720090</wp:posOffset>
                </wp:positionH>
                <wp:positionV relativeFrom="paragraph">
                  <wp:posOffset>191770</wp:posOffset>
                </wp:positionV>
                <wp:extent cx="1828800" cy="6350"/>
                <wp:effectExtent l="0" t="0" r="0" b="0"/>
                <wp:wrapTopAndBottom/>
                <wp:docPr id="39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A9F27" id="docshape26" o:spid="_x0000_s1026" style="position:absolute;margin-left:56.7pt;margin-top:15.1pt;width:2in;height:.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" fillcolor="black" stroked="f">
                <w10:wrap type="topAndBottom" anchorx="page"/>
              </v:rect>
            </w:pict>
          </mc:Fallback>
        </mc:AlternateContent>
      </w:r>
    </w:p>
    <w:p w14:paraId="79499AEA" w14:textId="77777777" w:rsidR="00141B97" w:rsidRDefault="00911D63">
      <w:pPr>
        <w:spacing w:before="85"/>
        <w:ind w:left="154"/>
        <w:rPr>
          <w:sz w:val="14"/>
        </w:rPr>
      </w:pPr>
      <w:r>
        <w:rPr>
          <w:position w:val="4"/>
          <w:sz w:val="9"/>
        </w:rPr>
        <w:t>6</w:t>
      </w:r>
      <w:r>
        <w:rPr>
          <w:spacing w:val="8"/>
          <w:position w:val="4"/>
          <w:sz w:val="9"/>
        </w:rPr>
        <w:t xml:space="preserve"> </w:t>
      </w:r>
      <w:r>
        <w:rPr>
          <w:sz w:val="14"/>
        </w:rPr>
        <w:t>Corporate</w:t>
      </w:r>
      <w:r>
        <w:rPr>
          <w:spacing w:val="-3"/>
          <w:sz w:val="14"/>
        </w:rPr>
        <w:t xml:space="preserve"> </w:t>
      </w:r>
      <w:r>
        <w:rPr>
          <w:sz w:val="14"/>
        </w:rPr>
        <w:t>Cost</w:t>
      </w:r>
      <w:r>
        <w:rPr>
          <w:spacing w:val="-3"/>
          <w:sz w:val="14"/>
        </w:rPr>
        <w:t xml:space="preserve"> </w:t>
      </w:r>
      <w:r>
        <w:rPr>
          <w:sz w:val="14"/>
        </w:rPr>
        <w:t>Allocation</w:t>
      </w:r>
      <w:r>
        <w:rPr>
          <w:spacing w:val="-2"/>
          <w:sz w:val="14"/>
        </w:rPr>
        <w:t xml:space="preserve"> Methodology</w:t>
      </w:r>
    </w:p>
    <w:p w14:paraId="17C8EA90" w14:textId="77777777" w:rsidR="00141B97" w:rsidRDefault="00911D63">
      <w:pPr>
        <w:spacing w:before="100"/>
        <w:ind w:left="154"/>
        <w:rPr>
          <w:sz w:val="14"/>
        </w:rPr>
      </w:pPr>
      <w:r>
        <w:rPr>
          <w:position w:val="4"/>
          <w:sz w:val="9"/>
        </w:rPr>
        <w:t>7</w:t>
      </w:r>
      <w:r>
        <w:rPr>
          <w:spacing w:val="4"/>
          <w:position w:val="4"/>
          <w:sz w:val="9"/>
        </w:rPr>
        <w:t xml:space="preserve"> </w:t>
      </w:r>
      <w:r>
        <w:rPr>
          <w:sz w:val="14"/>
        </w:rPr>
        <w:t>Price</w:t>
      </w:r>
      <w:r>
        <w:rPr>
          <w:spacing w:val="-5"/>
          <w:sz w:val="14"/>
        </w:rPr>
        <w:t xml:space="preserve"> </w:t>
      </w:r>
      <w:r>
        <w:rPr>
          <w:sz w:val="14"/>
        </w:rPr>
        <w:t>Submission</w:t>
      </w:r>
      <w:r>
        <w:rPr>
          <w:spacing w:val="-5"/>
          <w:sz w:val="14"/>
        </w:rPr>
        <w:t xml:space="preserve"> </w:t>
      </w:r>
      <w:r>
        <w:rPr>
          <w:sz w:val="14"/>
        </w:rPr>
        <w:t>2023‐28</w:t>
      </w:r>
      <w:r>
        <w:rPr>
          <w:spacing w:val="-4"/>
          <w:sz w:val="14"/>
        </w:rPr>
        <w:t xml:space="preserve"> </w:t>
      </w:r>
      <w:r>
        <w:rPr>
          <w:sz w:val="14"/>
        </w:rPr>
        <w:t>Capital</w:t>
      </w:r>
      <w:r>
        <w:rPr>
          <w:spacing w:val="-5"/>
          <w:sz w:val="14"/>
        </w:rPr>
        <w:t xml:space="preserve"> </w:t>
      </w:r>
      <w:r>
        <w:rPr>
          <w:sz w:val="14"/>
        </w:rPr>
        <w:t>Planning</w:t>
      </w:r>
      <w:r>
        <w:rPr>
          <w:spacing w:val="-5"/>
          <w:sz w:val="14"/>
        </w:rPr>
        <w:t xml:space="preserve"> </w:t>
      </w:r>
      <w:r>
        <w:rPr>
          <w:sz w:val="14"/>
        </w:rPr>
        <w:t>and</w:t>
      </w:r>
      <w:r>
        <w:rPr>
          <w:spacing w:val="-5"/>
          <w:sz w:val="14"/>
        </w:rPr>
        <w:t xml:space="preserve"> </w:t>
      </w:r>
      <w:r>
        <w:rPr>
          <w:sz w:val="14"/>
        </w:rPr>
        <w:t>Forecasting</w:t>
      </w:r>
      <w:r>
        <w:rPr>
          <w:spacing w:val="-4"/>
          <w:sz w:val="14"/>
        </w:rPr>
        <w:t xml:space="preserve"> </w:t>
      </w:r>
      <w:r>
        <w:rPr>
          <w:sz w:val="14"/>
        </w:rPr>
        <w:t>Framework,</w:t>
      </w:r>
      <w:r>
        <w:rPr>
          <w:spacing w:val="-4"/>
          <w:sz w:val="14"/>
        </w:rPr>
        <w:t xml:space="preserve"> </w:t>
      </w:r>
      <w:r>
        <w:rPr>
          <w:sz w:val="14"/>
        </w:rPr>
        <w:t>LMW,</w:t>
      </w:r>
      <w:r>
        <w:rPr>
          <w:spacing w:val="-4"/>
          <w:sz w:val="14"/>
        </w:rPr>
        <w:t xml:space="preserve"> 2022</w:t>
      </w:r>
    </w:p>
    <w:p w14:paraId="11DB4AFE" w14:textId="77777777" w:rsidR="00141B97" w:rsidRDefault="00141B97">
      <w:pPr>
        <w:rPr>
          <w:sz w:val="14"/>
        </w:rPr>
        <w:sectPr w:rsidR="00141B97">
          <w:pgSz w:w="11910" w:h="16840"/>
          <w:pgMar w:top="780" w:right="740" w:bottom="1120" w:left="980" w:header="0" w:footer="896" w:gutter="0"/>
          <w:cols w:space="720"/>
        </w:sectPr>
      </w:pPr>
    </w:p>
    <w:p w14:paraId="24D899FD" w14:textId="77777777" w:rsidR="00141B97" w:rsidRDefault="00911D63">
      <w:pPr>
        <w:pStyle w:val="BodyText"/>
        <w:spacing w:before="31" w:line="276" w:lineRule="auto"/>
        <w:ind w:left="874" w:right="247" w:hanging="1"/>
        <w:jc w:val="both"/>
      </w:pPr>
      <w:r>
        <w:lastRenderedPageBreak/>
        <w:t>businesses, such as further developing resilient and reliable water treatment and water quality management systems, or meeting requirements under the General Environmental Duty (GED) preventive management approach.</w:t>
      </w:r>
    </w:p>
    <w:p w14:paraId="24983CBA" w14:textId="77777777" w:rsidR="00141B97" w:rsidRDefault="00911D63">
      <w:pPr>
        <w:pStyle w:val="ListParagraph"/>
        <w:numPr>
          <w:ilvl w:val="3"/>
          <w:numId w:val="113"/>
        </w:numPr>
        <w:tabs>
          <w:tab w:val="left" w:pos="875"/>
        </w:tabs>
        <w:spacing w:line="276" w:lineRule="auto"/>
        <w:ind w:right="246"/>
        <w:jc w:val="both"/>
      </w:pPr>
      <w:r>
        <w:t>Strategy for Business Transformation to meet requirements for improved cyber security, governance, financial and billing, metering, and customer service.</w:t>
      </w:r>
    </w:p>
    <w:p w14:paraId="7F5E7FC9" w14:textId="77777777" w:rsidR="00141B97" w:rsidRDefault="00911D63">
      <w:pPr>
        <w:pStyle w:val="ListParagraph"/>
        <w:numPr>
          <w:ilvl w:val="3"/>
          <w:numId w:val="113"/>
        </w:numPr>
        <w:tabs>
          <w:tab w:val="left" w:pos="874"/>
        </w:tabs>
        <w:spacing w:line="276" w:lineRule="auto"/>
        <w:ind w:right="246" w:hanging="361"/>
        <w:jc w:val="both"/>
      </w:pPr>
      <w:r>
        <w:t>Renewals forecast for water mains, sewers and irrigation pipelines based on network performance to meet</w:t>
      </w:r>
      <w:r>
        <w:rPr>
          <w:spacing w:val="-11"/>
        </w:rPr>
        <w:t xml:space="preserve"> </w:t>
      </w:r>
      <w:r>
        <w:t>customer</w:t>
      </w:r>
      <w:r>
        <w:rPr>
          <w:spacing w:val="-10"/>
        </w:rPr>
        <w:t xml:space="preserve"> </w:t>
      </w:r>
      <w:r>
        <w:t>outcomes,</w:t>
      </w:r>
      <w:r>
        <w:rPr>
          <w:spacing w:val="-11"/>
        </w:rPr>
        <w:t xml:space="preserve"> </w:t>
      </w:r>
      <w:r>
        <w:t>taking</w:t>
      </w:r>
      <w:r>
        <w:rPr>
          <w:spacing w:val="-11"/>
        </w:rPr>
        <w:t xml:space="preserve"> </w:t>
      </w:r>
      <w:r>
        <w:t>into</w:t>
      </w:r>
      <w:r>
        <w:rPr>
          <w:spacing w:val="-12"/>
        </w:rPr>
        <w:t xml:space="preserve"> </w:t>
      </w:r>
      <w:r>
        <w:t>account</w:t>
      </w:r>
      <w:r>
        <w:rPr>
          <w:spacing w:val="-11"/>
        </w:rPr>
        <w:t xml:space="preserve"> </w:t>
      </w:r>
      <w:r>
        <w:t>ageing</w:t>
      </w:r>
      <w:r>
        <w:rPr>
          <w:spacing w:val="-11"/>
        </w:rPr>
        <w:t xml:space="preserve"> </w:t>
      </w:r>
      <w:r>
        <w:t>networks,</w:t>
      </w:r>
      <w:r>
        <w:rPr>
          <w:spacing w:val="-12"/>
        </w:rPr>
        <w:t xml:space="preserve"> </w:t>
      </w:r>
      <w:r>
        <w:t>failure</w:t>
      </w:r>
      <w:r>
        <w:rPr>
          <w:spacing w:val="-12"/>
        </w:rPr>
        <w:t xml:space="preserve"> </w:t>
      </w:r>
      <w:r>
        <w:t>history</w:t>
      </w:r>
      <w:r>
        <w:rPr>
          <w:spacing w:val="-11"/>
        </w:rPr>
        <w:t xml:space="preserve"> </w:t>
      </w:r>
      <w:r>
        <w:t>and</w:t>
      </w:r>
      <w:r>
        <w:rPr>
          <w:spacing w:val="-13"/>
        </w:rPr>
        <w:t xml:space="preserve"> </w:t>
      </w:r>
      <w:r>
        <w:t>prioritising</w:t>
      </w:r>
      <w:r>
        <w:rPr>
          <w:spacing w:val="-10"/>
        </w:rPr>
        <w:t xml:space="preserve"> </w:t>
      </w:r>
      <w:r>
        <w:t>attention to critical assets.</w:t>
      </w:r>
    </w:p>
    <w:p w14:paraId="67594884" w14:textId="77777777" w:rsidR="00141B97" w:rsidRDefault="00911D63">
      <w:pPr>
        <w:pStyle w:val="ListParagraph"/>
        <w:numPr>
          <w:ilvl w:val="3"/>
          <w:numId w:val="113"/>
        </w:numPr>
        <w:tabs>
          <w:tab w:val="left" w:pos="875"/>
        </w:tabs>
        <w:spacing w:line="276" w:lineRule="auto"/>
        <w:ind w:right="247"/>
        <w:jc w:val="both"/>
      </w:pPr>
      <w:r>
        <w:t>Aligning with the requirements of the State government’s Asset Management Accountability Framework, systematic condition and utilisation assessment of assets including specialist facility condition</w:t>
      </w:r>
      <w:r>
        <w:rPr>
          <w:spacing w:val="-11"/>
        </w:rPr>
        <w:t xml:space="preserve"> </w:t>
      </w:r>
      <w:r>
        <w:t>inspections,</w:t>
      </w:r>
      <w:r>
        <w:rPr>
          <w:spacing w:val="-13"/>
        </w:rPr>
        <w:t xml:space="preserve"> </w:t>
      </w:r>
      <w:r>
        <w:t>such</w:t>
      </w:r>
      <w:r>
        <w:rPr>
          <w:spacing w:val="-12"/>
        </w:rPr>
        <w:t xml:space="preserve"> </w:t>
      </w:r>
      <w:r>
        <w:t>as</w:t>
      </w:r>
      <w:r>
        <w:rPr>
          <w:spacing w:val="-11"/>
        </w:rPr>
        <w:t xml:space="preserve"> </w:t>
      </w:r>
      <w:r>
        <w:t>the</w:t>
      </w:r>
      <w:r>
        <w:rPr>
          <w:spacing w:val="-13"/>
        </w:rPr>
        <w:t xml:space="preserve"> </w:t>
      </w:r>
      <w:r>
        <w:t>storage</w:t>
      </w:r>
      <w:r>
        <w:rPr>
          <w:spacing w:val="-12"/>
        </w:rPr>
        <w:t xml:space="preserve"> </w:t>
      </w:r>
      <w:r>
        <w:t>tank</w:t>
      </w:r>
      <w:r>
        <w:rPr>
          <w:spacing w:val="-11"/>
        </w:rPr>
        <w:t xml:space="preserve"> </w:t>
      </w:r>
      <w:r>
        <w:t>inspection</w:t>
      </w:r>
      <w:r>
        <w:rPr>
          <w:spacing w:val="-13"/>
        </w:rPr>
        <w:t xml:space="preserve"> </w:t>
      </w:r>
      <w:r>
        <w:t>program,</w:t>
      </w:r>
      <w:r>
        <w:rPr>
          <w:spacing w:val="-11"/>
        </w:rPr>
        <w:t xml:space="preserve"> </w:t>
      </w:r>
      <w:r>
        <w:t>to</w:t>
      </w:r>
      <w:r>
        <w:rPr>
          <w:spacing w:val="-12"/>
        </w:rPr>
        <w:t xml:space="preserve"> </w:t>
      </w:r>
      <w:r>
        <w:t>identify</w:t>
      </w:r>
      <w:r>
        <w:rPr>
          <w:spacing w:val="-12"/>
        </w:rPr>
        <w:t xml:space="preserve"> </w:t>
      </w:r>
      <w:r>
        <w:t>replacement</w:t>
      </w:r>
      <w:r>
        <w:rPr>
          <w:spacing w:val="-10"/>
        </w:rPr>
        <w:t xml:space="preserve"> </w:t>
      </w:r>
      <w:r>
        <w:t>or</w:t>
      </w:r>
      <w:r>
        <w:rPr>
          <w:spacing w:val="-12"/>
        </w:rPr>
        <w:t xml:space="preserve"> </w:t>
      </w:r>
      <w:r>
        <w:t xml:space="preserve">renewals </w:t>
      </w:r>
      <w:r>
        <w:rPr>
          <w:spacing w:val="-2"/>
        </w:rPr>
        <w:t>projects.</w:t>
      </w:r>
    </w:p>
    <w:p w14:paraId="673FCB97" w14:textId="77777777" w:rsidR="00141B97" w:rsidRDefault="00911D63">
      <w:pPr>
        <w:pStyle w:val="ListParagraph"/>
        <w:numPr>
          <w:ilvl w:val="3"/>
          <w:numId w:val="113"/>
        </w:numPr>
        <w:tabs>
          <w:tab w:val="left" w:pos="875"/>
        </w:tabs>
        <w:spacing w:line="276" w:lineRule="auto"/>
        <w:ind w:right="247" w:hanging="361"/>
        <w:jc w:val="both"/>
      </w:pPr>
      <w:r>
        <w:t>An additional site‐based inspection regime for all key facilities, to identify any projects arising for reasons of non‐compliance with safety or other standards.</w:t>
      </w:r>
    </w:p>
    <w:p w14:paraId="15723F51" w14:textId="77777777" w:rsidR="00141B97" w:rsidRDefault="00141B97">
      <w:pPr>
        <w:pStyle w:val="BodyText"/>
        <w:spacing w:before="4"/>
        <w:rPr>
          <w:sz w:val="25"/>
        </w:rPr>
      </w:pPr>
    </w:p>
    <w:p w14:paraId="5AF3C9A3" w14:textId="77777777" w:rsidR="00141B97" w:rsidRDefault="00911D63">
      <w:pPr>
        <w:pStyle w:val="BodyText"/>
        <w:spacing w:line="276" w:lineRule="auto"/>
        <w:ind w:left="153" w:right="247"/>
        <w:jc w:val="both"/>
      </w:pPr>
      <w:r>
        <w:t>Business</w:t>
      </w:r>
      <w:r>
        <w:rPr>
          <w:spacing w:val="-13"/>
        </w:rPr>
        <w:t xml:space="preserve"> </w:t>
      </w:r>
      <w:r>
        <w:t>cases</w:t>
      </w:r>
      <w:r>
        <w:rPr>
          <w:spacing w:val="-12"/>
        </w:rPr>
        <w:t xml:space="preserve"> </w:t>
      </w:r>
      <w:r>
        <w:t>for</w:t>
      </w:r>
      <w:r>
        <w:rPr>
          <w:spacing w:val="-13"/>
        </w:rPr>
        <w:t xml:space="preserve"> </w:t>
      </w:r>
      <w:r>
        <w:t>the</w:t>
      </w:r>
      <w:r>
        <w:rPr>
          <w:spacing w:val="-12"/>
        </w:rPr>
        <w:t xml:space="preserve"> </w:t>
      </w:r>
      <w:r>
        <w:t>Top</w:t>
      </w:r>
      <w:r>
        <w:rPr>
          <w:spacing w:val="-13"/>
        </w:rPr>
        <w:t xml:space="preserve"> </w:t>
      </w:r>
      <w:r>
        <w:t>10</w:t>
      </w:r>
      <w:r>
        <w:rPr>
          <w:spacing w:val="-12"/>
        </w:rPr>
        <w:t xml:space="preserve"> </w:t>
      </w:r>
      <w:r>
        <w:t>projects</w:t>
      </w:r>
      <w:r>
        <w:rPr>
          <w:spacing w:val="-11"/>
        </w:rPr>
        <w:t xml:space="preserve"> </w:t>
      </w:r>
      <w:r>
        <w:t>have</w:t>
      </w:r>
      <w:r>
        <w:rPr>
          <w:spacing w:val="-13"/>
        </w:rPr>
        <w:t xml:space="preserve"> </w:t>
      </w:r>
      <w:r>
        <w:t>been</w:t>
      </w:r>
      <w:r>
        <w:rPr>
          <w:spacing w:val="-12"/>
        </w:rPr>
        <w:t xml:space="preserve"> </w:t>
      </w:r>
      <w:r>
        <w:t>developed</w:t>
      </w:r>
      <w:r>
        <w:rPr>
          <w:spacing w:val="-13"/>
        </w:rPr>
        <w:t xml:space="preserve"> </w:t>
      </w:r>
      <w:r>
        <w:t>on</w:t>
      </w:r>
      <w:r>
        <w:rPr>
          <w:spacing w:val="-12"/>
        </w:rPr>
        <w:t xml:space="preserve"> </w:t>
      </w:r>
      <w:r>
        <w:t>a</w:t>
      </w:r>
      <w:r>
        <w:rPr>
          <w:spacing w:val="-13"/>
        </w:rPr>
        <w:t xml:space="preserve"> </w:t>
      </w:r>
      <w:r>
        <w:t>business‐wide</w:t>
      </w:r>
      <w:r>
        <w:rPr>
          <w:spacing w:val="-11"/>
        </w:rPr>
        <w:t xml:space="preserve"> </w:t>
      </w:r>
      <w:r>
        <w:t>basis,</w:t>
      </w:r>
      <w:r>
        <w:rPr>
          <w:spacing w:val="-12"/>
        </w:rPr>
        <w:t xml:space="preserve"> </w:t>
      </w:r>
      <w:r>
        <w:t>along</w:t>
      </w:r>
      <w:r>
        <w:rPr>
          <w:spacing w:val="-13"/>
        </w:rPr>
        <w:t xml:space="preserve"> </w:t>
      </w:r>
      <w:r>
        <w:t>with</w:t>
      </w:r>
      <w:r>
        <w:rPr>
          <w:spacing w:val="-12"/>
        </w:rPr>
        <w:t xml:space="preserve"> </w:t>
      </w:r>
      <w:r>
        <w:t>Project</w:t>
      </w:r>
      <w:r>
        <w:rPr>
          <w:spacing w:val="-13"/>
        </w:rPr>
        <w:t xml:space="preserve"> </w:t>
      </w:r>
      <w:r>
        <w:t>Briefing Sheets to summarise justification for all other projects or programs. Each project has been justified as prudent and efficient to meet the agreed customer outcomes and associated performance targets, current and new government obligations, and commitments, and/or to manage risk to the business. Options have been considered and evaluated wherever relevant.</w:t>
      </w:r>
    </w:p>
    <w:p w14:paraId="558B496E" w14:textId="77777777" w:rsidR="00141B97" w:rsidRDefault="00141B97">
      <w:pPr>
        <w:pStyle w:val="BodyText"/>
        <w:spacing w:before="3"/>
        <w:rPr>
          <w:sz w:val="25"/>
        </w:rPr>
      </w:pPr>
    </w:p>
    <w:p w14:paraId="5B8CEB48" w14:textId="77777777" w:rsidR="00141B97" w:rsidRDefault="00911D63">
      <w:pPr>
        <w:pStyle w:val="BodyText"/>
        <w:spacing w:line="276" w:lineRule="auto"/>
        <w:ind w:left="153" w:right="247"/>
        <w:jc w:val="both"/>
      </w:pPr>
      <w:r>
        <w:t>Uncertain projects were identified using a prudent approach in accordance with the ESC Guidelines, and in a number</w:t>
      </w:r>
      <w:r>
        <w:rPr>
          <w:spacing w:val="-7"/>
        </w:rPr>
        <w:t xml:space="preserve"> </w:t>
      </w:r>
      <w:r>
        <w:t>of</w:t>
      </w:r>
      <w:r>
        <w:rPr>
          <w:spacing w:val="-6"/>
        </w:rPr>
        <w:t xml:space="preserve"> </w:t>
      </w:r>
      <w:r>
        <w:t>cases</w:t>
      </w:r>
      <w:r>
        <w:rPr>
          <w:spacing w:val="-6"/>
        </w:rPr>
        <w:t xml:space="preserve"> </w:t>
      </w:r>
      <w:r>
        <w:t>an</w:t>
      </w:r>
      <w:r>
        <w:rPr>
          <w:spacing w:val="-7"/>
        </w:rPr>
        <w:t xml:space="preserve"> </w:t>
      </w:r>
      <w:r>
        <w:t>allowance</w:t>
      </w:r>
      <w:r>
        <w:rPr>
          <w:spacing w:val="-8"/>
        </w:rPr>
        <w:t xml:space="preserve"> </w:t>
      </w:r>
      <w:r>
        <w:t>has</w:t>
      </w:r>
      <w:r>
        <w:rPr>
          <w:spacing w:val="-5"/>
        </w:rPr>
        <w:t xml:space="preserve"> </w:t>
      </w:r>
      <w:r>
        <w:t>been</w:t>
      </w:r>
      <w:r>
        <w:rPr>
          <w:spacing w:val="-5"/>
        </w:rPr>
        <w:t xml:space="preserve"> </w:t>
      </w:r>
      <w:r>
        <w:t>made</w:t>
      </w:r>
      <w:r>
        <w:rPr>
          <w:spacing w:val="-7"/>
        </w:rPr>
        <w:t xml:space="preserve"> </w:t>
      </w:r>
      <w:r>
        <w:t>for</w:t>
      </w:r>
      <w:r>
        <w:rPr>
          <w:spacing w:val="-7"/>
        </w:rPr>
        <w:t xml:space="preserve"> </w:t>
      </w:r>
      <w:r>
        <w:t>design/development</w:t>
      </w:r>
      <w:r>
        <w:rPr>
          <w:spacing w:val="-6"/>
        </w:rPr>
        <w:t xml:space="preserve"> </w:t>
      </w:r>
      <w:r>
        <w:t>or</w:t>
      </w:r>
      <w:r>
        <w:rPr>
          <w:spacing w:val="-7"/>
        </w:rPr>
        <w:t xml:space="preserve"> </w:t>
      </w:r>
      <w:r>
        <w:t>partial</w:t>
      </w:r>
      <w:r>
        <w:rPr>
          <w:spacing w:val="-6"/>
        </w:rPr>
        <w:t xml:space="preserve"> </w:t>
      </w:r>
      <w:r>
        <w:t>implementation,</w:t>
      </w:r>
      <w:r>
        <w:rPr>
          <w:spacing w:val="-7"/>
        </w:rPr>
        <w:t xml:space="preserve"> </w:t>
      </w:r>
      <w:r>
        <w:t>especially</w:t>
      </w:r>
      <w:r>
        <w:rPr>
          <w:spacing w:val="-6"/>
        </w:rPr>
        <w:t xml:space="preserve"> </w:t>
      </w:r>
      <w:r>
        <w:t>for larger</w:t>
      </w:r>
      <w:r>
        <w:rPr>
          <w:spacing w:val="-7"/>
        </w:rPr>
        <w:t xml:space="preserve"> </w:t>
      </w:r>
      <w:r>
        <w:t>growth‐dependent</w:t>
      </w:r>
      <w:r>
        <w:rPr>
          <w:spacing w:val="-6"/>
        </w:rPr>
        <w:t xml:space="preserve"> </w:t>
      </w:r>
      <w:r>
        <w:t>projects</w:t>
      </w:r>
      <w:r>
        <w:rPr>
          <w:spacing w:val="-6"/>
        </w:rPr>
        <w:t xml:space="preserve"> </w:t>
      </w:r>
      <w:r>
        <w:t>that</w:t>
      </w:r>
      <w:r>
        <w:rPr>
          <w:spacing w:val="-6"/>
        </w:rPr>
        <w:t xml:space="preserve"> </w:t>
      </w:r>
      <w:r>
        <w:t>may</w:t>
      </w:r>
      <w:r>
        <w:rPr>
          <w:spacing w:val="-6"/>
        </w:rPr>
        <w:t xml:space="preserve"> </w:t>
      </w:r>
      <w:r>
        <w:t>occur</w:t>
      </w:r>
      <w:r>
        <w:rPr>
          <w:spacing w:val="-5"/>
        </w:rPr>
        <w:t xml:space="preserve"> </w:t>
      </w:r>
      <w:r>
        <w:t>towards</w:t>
      </w:r>
      <w:r>
        <w:rPr>
          <w:spacing w:val="-7"/>
        </w:rPr>
        <w:t xml:space="preserve"> </w:t>
      </w:r>
      <w:r>
        <w:t>the</w:t>
      </w:r>
      <w:r>
        <w:rPr>
          <w:spacing w:val="-6"/>
        </w:rPr>
        <w:t xml:space="preserve"> </w:t>
      </w:r>
      <w:r>
        <w:t>end</w:t>
      </w:r>
      <w:r>
        <w:rPr>
          <w:spacing w:val="-7"/>
        </w:rPr>
        <w:t xml:space="preserve"> </w:t>
      </w:r>
      <w:r>
        <w:t>of</w:t>
      </w:r>
      <w:r>
        <w:rPr>
          <w:spacing w:val="-6"/>
        </w:rPr>
        <w:t xml:space="preserve"> </w:t>
      </w:r>
      <w:r>
        <w:t>the</w:t>
      </w:r>
      <w:r>
        <w:rPr>
          <w:spacing w:val="-7"/>
        </w:rPr>
        <w:t xml:space="preserve"> </w:t>
      </w:r>
      <w:r>
        <w:t>PS5</w:t>
      </w:r>
      <w:r>
        <w:rPr>
          <w:spacing w:val="-6"/>
        </w:rPr>
        <w:t xml:space="preserve"> </w:t>
      </w:r>
      <w:r>
        <w:t>period</w:t>
      </w:r>
      <w:r>
        <w:rPr>
          <w:spacing w:val="-6"/>
        </w:rPr>
        <w:t xml:space="preserve"> </w:t>
      </w:r>
      <w:r>
        <w:t>or</w:t>
      </w:r>
      <w:r>
        <w:rPr>
          <w:spacing w:val="-5"/>
        </w:rPr>
        <w:t xml:space="preserve"> </w:t>
      </w:r>
      <w:r>
        <w:t>early</w:t>
      </w:r>
      <w:r>
        <w:rPr>
          <w:spacing w:val="-5"/>
        </w:rPr>
        <w:t xml:space="preserve"> </w:t>
      </w:r>
      <w:r>
        <w:t>in</w:t>
      </w:r>
      <w:r>
        <w:rPr>
          <w:spacing w:val="-7"/>
        </w:rPr>
        <w:t xml:space="preserve"> </w:t>
      </w:r>
      <w:r>
        <w:t>the</w:t>
      </w:r>
      <w:r>
        <w:rPr>
          <w:spacing w:val="-7"/>
        </w:rPr>
        <w:t xml:space="preserve"> </w:t>
      </w:r>
      <w:r>
        <w:t>next</w:t>
      </w:r>
      <w:r>
        <w:rPr>
          <w:spacing w:val="-7"/>
        </w:rPr>
        <w:t xml:space="preserve"> </w:t>
      </w:r>
      <w:r>
        <w:t>period. Other projects have been delayed and scheduled for completion in subsequent price periods resulting in LMW accepting</w:t>
      </w:r>
      <w:r>
        <w:rPr>
          <w:spacing w:val="-1"/>
        </w:rPr>
        <w:t xml:space="preserve"> </w:t>
      </w:r>
      <w:r>
        <w:t>the associated</w:t>
      </w:r>
      <w:r>
        <w:rPr>
          <w:spacing w:val="-2"/>
        </w:rPr>
        <w:t xml:space="preserve"> </w:t>
      </w:r>
      <w:r>
        <w:t>risk on</w:t>
      </w:r>
      <w:r>
        <w:rPr>
          <w:spacing w:val="-1"/>
        </w:rPr>
        <w:t xml:space="preserve"> </w:t>
      </w:r>
      <w:r>
        <w:t>behalf</w:t>
      </w:r>
      <w:r>
        <w:rPr>
          <w:spacing w:val="-1"/>
        </w:rPr>
        <w:t xml:space="preserve"> </w:t>
      </w:r>
      <w:r>
        <w:t>of customers. Monitoring</w:t>
      </w:r>
      <w:r>
        <w:rPr>
          <w:spacing w:val="-1"/>
        </w:rPr>
        <w:t xml:space="preserve"> </w:t>
      </w:r>
      <w:r>
        <w:t>programs</w:t>
      </w:r>
      <w:r>
        <w:rPr>
          <w:spacing w:val="-1"/>
        </w:rPr>
        <w:t xml:space="preserve"> </w:t>
      </w:r>
      <w:r>
        <w:t>have been</w:t>
      </w:r>
      <w:r>
        <w:rPr>
          <w:spacing w:val="-2"/>
        </w:rPr>
        <w:t xml:space="preserve"> </w:t>
      </w:r>
      <w:r>
        <w:t>set which</w:t>
      </w:r>
      <w:r>
        <w:rPr>
          <w:spacing w:val="-1"/>
        </w:rPr>
        <w:t xml:space="preserve"> </w:t>
      </w:r>
      <w:r>
        <w:t>minimises the investment required during PS5.</w:t>
      </w:r>
    </w:p>
    <w:p w14:paraId="482B1FB1" w14:textId="77777777" w:rsidR="00141B97" w:rsidRDefault="00141B97">
      <w:pPr>
        <w:pStyle w:val="BodyText"/>
        <w:spacing w:before="8"/>
        <w:rPr>
          <w:sz w:val="20"/>
        </w:rPr>
      </w:pPr>
    </w:p>
    <w:p w14:paraId="396BB0C7" w14:textId="77777777" w:rsidR="00141B97" w:rsidRDefault="00911D63">
      <w:pPr>
        <w:pStyle w:val="ListParagraph"/>
        <w:numPr>
          <w:ilvl w:val="2"/>
          <w:numId w:val="113"/>
        </w:numPr>
        <w:tabs>
          <w:tab w:val="left" w:pos="1152"/>
          <w:tab w:val="left" w:pos="1153"/>
        </w:tabs>
        <w:jc w:val="both"/>
      </w:pPr>
      <w:r>
        <w:t>Cost</w:t>
      </w:r>
      <w:r>
        <w:rPr>
          <w:spacing w:val="-5"/>
        </w:rPr>
        <w:t xml:space="preserve"> </w:t>
      </w:r>
      <w:r>
        <w:rPr>
          <w:spacing w:val="-2"/>
        </w:rPr>
        <w:t>estimates</w:t>
      </w:r>
    </w:p>
    <w:p w14:paraId="73699636" w14:textId="77777777" w:rsidR="00141B97" w:rsidRDefault="00911D63">
      <w:pPr>
        <w:pStyle w:val="BodyText"/>
        <w:spacing w:before="59" w:line="276" w:lineRule="auto"/>
        <w:ind w:left="153" w:right="246"/>
        <w:jc w:val="both"/>
      </w:pPr>
      <w:r>
        <w:t>Reasonable and efficient cost estimates are based on the level of project development and scope that is appropriate at the current time, using recent market cost rates, asset valuation data, or external consultant estimates.</w:t>
      </w:r>
      <w:r>
        <w:rPr>
          <w:spacing w:val="-5"/>
        </w:rPr>
        <w:t xml:space="preserve"> </w:t>
      </w:r>
      <w:r>
        <w:t>All</w:t>
      </w:r>
      <w:r>
        <w:rPr>
          <w:spacing w:val="-5"/>
        </w:rPr>
        <w:t xml:space="preserve"> </w:t>
      </w:r>
      <w:r>
        <w:t>major</w:t>
      </w:r>
      <w:r>
        <w:rPr>
          <w:spacing w:val="-4"/>
        </w:rPr>
        <w:t xml:space="preserve"> </w:t>
      </w:r>
      <w:r>
        <w:t>projects</w:t>
      </w:r>
      <w:r>
        <w:rPr>
          <w:spacing w:val="-5"/>
        </w:rPr>
        <w:t xml:space="preserve"> </w:t>
      </w:r>
      <w:r>
        <w:t>have</w:t>
      </w:r>
      <w:r>
        <w:rPr>
          <w:spacing w:val="-5"/>
        </w:rPr>
        <w:t xml:space="preserve"> </w:t>
      </w:r>
      <w:r>
        <w:t>included</w:t>
      </w:r>
      <w:r>
        <w:rPr>
          <w:spacing w:val="-5"/>
        </w:rPr>
        <w:t xml:space="preserve"> </w:t>
      </w:r>
      <w:r>
        <w:t>risk</w:t>
      </w:r>
      <w:r>
        <w:rPr>
          <w:spacing w:val="-4"/>
        </w:rPr>
        <w:t xml:space="preserve"> </w:t>
      </w:r>
      <w:r>
        <w:t>estimates</w:t>
      </w:r>
      <w:r>
        <w:rPr>
          <w:spacing w:val="-4"/>
        </w:rPr>
        <w:t xml:space="preserve"> </w:t>
      </w:r>
      <w:r>
        <w:t>on</w:t>
      </w:r>
      <w:r>
        <w:rPr>
          <w:spacing w:val="-4"/>
        </w:rPr>
        <w:t xml:space="preserve"> </w:t>
      </w:r>
      <w:r>
        <w:t>relevant</w:t>
      </w:r>
      <w:r>
        <w:rPr>
          <w:spacing w:val="-6"/>
        </w:rPr>
        <w:t xml:space="preserve"> </w:t>
      </w:r>
      <w:r>
        <w:t>project</w:t>
      </w:r>
      <w:r>
        <w:rPr>
          <w:spacing w:val="-4"/>
        </w:rPr>
        <w:t xml:space="preserve"> </w:t>
      </w:r>
      <w:r>
        <w:t>components</w:t>
      </w:r>
      <w:r>
        <w:rPr>
          <w:spacing w:val="-3"/>
        </w:rPr>
        <w:t xml:space="preserve"> </w:t>
      </w:r>
      <w:r>
        <w:t>to</w:t>
      </w:r>
      <w:r>
        <w:rPr>
          <w:spacing w:val="-5"/>
        </w:rPr>
        <w:t xml:space="preserve"> </w:t>
      </w:r>
      <w:r>
        <w:t>provide</w:t>
      </w:r>
      <w:r>
        <w:rPr>
          <w:spacing w:val="-5"/>
        </w:rPr>
        <w:t xml:space="preserve"> </w:t>
      </w:r>
      <w:r>
        <w:t>indicative P50</w:t>
      </w:r>
      <w:r>
        <w:rPr>
          <w:spacing w:val="-12"/>
        </w:rPr>
        <w:t xml:space="preserve"> </w:t>
      </w:r>
      <w:r>
        <w:t>(50%</w:t>
      </w:r>
      <w:r>
        <w:rPr>
          <w:spacing w:val="-12"/>
        </w:rPr>
        <w:t xml:space="preserve"> </w:t>
      </w:r>
      <w:r>
        <w:t>probability</w:t>
      </w:r>
      <w:r>
        <w:rPr>
          <w:spacing w:val="-11"/>
        </w:rPr>
        <w:t xml:space="preserve"> </w:t>
      </w:r>
      <w:r>
        <w:t>of</w:t>
      </w:r>
      <w:r>
        <w:rPr>
          <w:spacing w:val="-11"/>
        </w:rPr>
        <w:t xml:space="preserve"> </w:t>
      </w:r>
      <w:r>
        <w:t>not</w:t>
      </w:r>
      <w:r>
        <w:rPr>
          <w:spacing w:val="-12"/>
        </w:rPr>
        <w:t xml:space="preserve"> </w:t>
      </w:r>
      <w:r>
        <w:t>being</w:t>
      </w:r>
      <w:r>
        <w:rPr>
          <w:spacing w:val="-10"/>
        </w:rPr>
        <w:t xml:space="preserve"> </w:t>
      </w:r>
      <w:r>
        <w:t>exceeded)</w:t>
      </w:r>
      <w:r>
        <w:rPr>
          <w:spacing w:val="-12"/>
        </w:rPr>
        <w:t xml:space="preserve"> </w:t>
      </w:r>
      <w:r>
        <w:t>cost</w:t>
      </w:r>
      <w:r>
        <w:rPr>
          <w:spacing w:val="-10"/>
        </w:rPr>
        <w:t xml:space="preserve"> </w:t>
      </w:r>
      <w:r>
        <w:t>estimates.</w:t>
      </w:r>
      <w:r>
        <w:rPr>
          <w:spacing w:val="-12"/>
        </w:rPr>
        <w:t xml:space="preserve"> </w:t>
      </w:r>
      <w:r>
        <w:t>This</w:t>
      </w:r>
      <w:r>
        <w:rPr>
          <w:spacing w:val="-11"/>
        </w:rPr>
        <w:t xml:space="preserve"> </w:t>
      </w:r>
      <w:r>
        <w:t>recognises</w:t>
      </w:r>
      <w:r>
        <w:rPr>
          <w:spacing w:val="-11"/>
        </w:rPr>
        <w:t xml:space="preserve"> </w:t>
      </w:r>
      <w:r>
        <w:t>that</w:t>
      </w:r>
      <w:r>
        <w:rPr>
          <w:spacing w:val="-11"/>
        </w:rPr>
        <w:t xml:space="preserve"> </w:t>
      </w:r>
      <w:r>
        <w:t>many</w:t>
      </w:r>
      <w:r>
        <w:rPr>
          <w:spacing w:val="-12"/>
        </w:rPr>
        <w:t xml:space="preserve"> </w:t>
      </w:r>
      <w:r>
        <w:t>projects</w:t>
      </w:r>
      <w:r>
        <w:rPr>
          <w:spacing w:val="-12"/>
        </w:rPr>
        <w:t xml:space="preserve"> </w:t>
      </w:r>
      <w:r>
        <w:t>need</w:t>
      </w:r>
      <w:r>
        <w:rPr>
          <w:spacing w:val="-10"/>
        </w:rPr>
        <w:t xml:space="preserve"> </w:t>
      </w:r>
      <w:r>
        <w:t>to</w:t>
      </w:r>
      <w:r>
        <w:rPr>
          <w:spacing w:val="-12"/>
        </w:rPr>
        <w:t xml:space="preserve"> </w:t>
      </w:r>
      <w:r>
        <w:t>undergo further planning, investigation, design, and market testing prior to their implementation, and that there are a range of risks to be considered and managed, including risks associated with planning, site conditions, integration with existing facilities, and the application of new technologies. Projects, where warranted and depending</w:t>
      </w:r>
      <w:r>
        <w:rPr>
          <w:spacing w:val="-1"/>
        </w:rPr>
        <w:t xml:space="preserve"> </w:t>
      </w:r>
      <w:r>
        <w:t>on</w:t>
      </w:r>
      <w:r>
        <w:rPr>
          <w:spacing w:val="-1"/>
        </w:rPr>
        <w:t xml:space="preserve"> </w:t>
      </w:r>
      <w:r>
        <w:t>the</w:t>
      </w:r>
      <w:r>
        <w:rPr>
          <w:spacing w:val="-1"/>
        </w:rPr>
        <w:t xml:space="preserve"> </w:t>
      </w:r>
      <w:r>
        <w:t>timing</w:t>
      </w:r>
      <w:r>
        <w:rPr>
          <w:spacing w:val="-1"/>
        </w:rPr>
        <w:t xml:space="preserve"> </w:t>
      </w:r>
      <w:r>
        <w:t>of the</w:t>
      </w:r>
      <w:r>
        <w:rPr>
          <w:spacing w:val="-1"/>
        </w:rPr>
        <w:t xml:space="preserve"> </w:t>
      </w:r>
      <w:r>
        <w:t>original</w:t>
      </w:r>
      <w:r>
        <w:rPr>
          <w:spacing w:val="-1"/>
        </w:rPr>
        <w:t xml:space="preserve"> </w:t>
      </w:r>
      <w:r>
        <w:t>cost</w:t>
      </w:r>
      <w:r>
        <w:rPr>
          <w:spacing w:val="-1"/>
        </w:rPr>
        <w:t xml:space="preserve"> </w:t>
      </w:r>
      <w:r>
        <w:t>estimates,</w:t>
      </w:r>
      <w:r>
        <w:rPr>
          <w:spacing w:val="-2"/>
        </w:rPr>
        <w:t xml:space="preserve"> </w:t>
      </w:r>
      <w:r>
        <w:t>have</w:t>
      </w:r>
      <w:r>
        <w:rPr>
          <w:spacing w:val="-3"/>
        </w:rPr>
        <w:t xml:space="preserve"> </w:t>
      </w:r>
      <w:r>
        <w:t>had</w:t>
      </w:r>
      <w:r>
        <w:rPr>
          <w:spacing w:val="-2"/>
        </w:rPr>
        <w:t xml:space="preserve"> </w:t>
      </w:r>
      <w:r>
        <w:t>the</w:t>
      </w:r>
      <w:r>
        <w:rPr>
          <w:spacing w:val="-3"/>
        </w:rPr>
        <w:t xml:space="preserve"> </w:t>
      </w:r>
      <w:r>
        <w:t>cost</w:t>
      </w:r>
      <w:r>
        <w:rPr>
          <w:spacing w:val="-2"/>
        </w:rPr>
        <w:t xml:space="preserve"> </w:t>
      </w:r>
      <w:r>
        <w:t>estimates</w:t>
      </w:r>
      <w:r>
        <w:rPr>
          <w:spacing w:val="-1"/>
        </w:rPr>
        <w:t xml:space="preserve"> </w:t>
      </w:r>
      <w:r>
        <w:t>escalated to</w:t>
      </w:r>
      <w:r>
        <w:rPr>
          <w:spacing w:val="-2"/>
        </w:rPr>
        <w:t xml:space="preserve"> </w:t>
      </w:r>
      <w:r>
        <w:t>$1/1/23</w:t>
      </w:r>
      <w:r>
        <w:rPr>
          <w:spacing w:val="-2"/>
        </w:rPr>
        <w:t xml:space="preserve"> </w:t>
      </w:r>
      <w:r>
        <w:t>using appropriate</w:t>
      </w:r>
      <w:r>
        <w:rPr>
          <w:spacing w:val="-13"/>
        </w:rPr>
        <w:t xml:space="preserve"> </w:t>
      </w:r>
      <w:r>
        <w:t>Australian</w:t>
      </w:r>
      <w:r>
        <w:rPr>
          <w:spacing w:val="-12"/>
        </w:rPr>
        <w:t xml:space="preserve"> </w:t>
      </w:r>
      <w:r>
        <w:t>Bureau</w:t>
      </w:r>
      <w:r>
        <w:rPr>
          <w:spacing w:val="-13"/>
        </w:rPr>
        <w:t xml:space="preserve"> </w:t>
      </w:r>
      <w:r>
        <w:t>of</w:t>
      </w:r>
      <w:r>
        <w:rPr>
          <w:spacing w:val="-12"/>
        </w:rPr>
        <w:t xml:space="preserve"> </w:t>
      </w:r>
      <w:r>
        <w:t>Statistics</w:t>
      </w:r>
      <w:r>
        <w:rPr>
          <w:spacing w:val="-13"/>
        </w:rPr>
        <w:t xml:space="preserve"> </w:t>
      </w:r>
      <w:r>
        <w:t>Producer</w:t>
      </w:r>
      <w:r>
        <w:rPr>
          <w:spacing w:val="-12"/>
        </w:rPr>
        <w:t xml:space="preserve"> </w:t>
      </w:r>
      <w:r>
        <w:t>Price</w:t>
      </w:r>
      <w:r>
        <w:rPr>
          <w:spacing w:val="-13"/>
        </w:rPr>
        <w:t xml:space="preserve"> </w:t>
      </w:r>
      <w:r>
        <w:t>indices.</w:t>
      </w:r>
      <w:r>
        <w:rPr>
          <w:spacing w:val="-12"/>
        </w:rPr>
        <w:t xml:space="preserve"> </w:t>
      </w:r>
      <w:r>
        <w:t>LMW,</w:t>
      </w:r>
      <w:r>
        <w:rPr>
          <w:spacing w:val="-12"/>
        </w:rPr>
        <w:t xml:space="preserve"> </w:t>
      </w:r>
      <w:r>
        <w:t>based</w:t>
      </w:r>
      <w:r>
        <w:rPr>
          <w:spacing w:val="-13"/>
        </w:rPr>
        <w:t xml:space="preserve"> </w:t>
      </w:r>
      <w:r>
        <w:t>on</w:t>
      </w:r>
      <w:r>
        <w:rPr>
          <w:spacing w:val="-12"/>
        </w:rPr>
        <w:t xml:space="preserve"> </w:t>
      </w:r>
      <w:r>
        <w:t>the</w:t>
      </w:r>
      <w:r>
        <w:rPr>
          <w:spacing w:val="-13"/>
        </w:rPr>
        <w:t xml:space="preserve"> </w:t>
      </w:r>
      <w:r>
        <w:t>current</w:t>
      </w:r>
      <w:r>
        <w:rPr>
          <w:spacing w:val="-12"/>
        </w:rPr>
        <w:t xml:space="preserve"> </w:t>
      </w:r>
      <w:r>
        <w:t>construction</w:t>
      </w:r>
      <w:r>
        <w:rPr>
          <w:spacing w:val="-13"/>
        </w:rPr>
        <w:t xml:space="preserve"> </w:t>
      </w:r>
      <w:r>
        <w:t>price escalation that has been seen in the market, has taken significant risk on behalf of the customer by proposing only CPI to be applied to future cost estimates.</w:t>
      </w:r>
    </w:p>
    <w:p w14:paraId="34B4803E" w14:textId="77777777" w:rsidR="00141B97" w:rsidRDefault="00141B97">
      <w:pPr>
        <w:pStyle w:val="BodyText"/>
        <w:spacing w:before="7"/>
        <w:rPr>
          <w:sz w:val="20"/>
        </w:rPr>
      </w:pPr>
    </w:p>
    <w:p w14:paraId="0BA89049" w14:textId="77777777" w:rsidR="00141B97" w:rsidRDefault="00911D63">
      <w:pPr>
        <w:pStyle w:val="ListParagraph"/>
        <w:numPr>
          <w:ilvl w:val="2"/>
          <w:numId w:val="113"/>
        </w:numPr>
        <w:tabs>
          <w:tab w:val="left" w:pos="1202"/>
          <w:tab w:val="left" w:pos="1203"/>
        </w:tabs>
        <w:spacing w:before="1"/>
        <w:ind w:left="1202" w:hanging="1050"/>
        <w:jc w:val="both"/>
      </w:pPr>
      <w:r>
        <w:t>Program</w:t>
      </w:r>
      <w:r>
        <w:rPr>
          <w:spacing w:val="-9"/>
        </w:rPr>
        <w:t xml:space="preserve"> </w:t>
      </w:r>
      <w:r>
        <w:t>Collation,</w:t>
      </w:r>
      <w:r>
        <w:rPr>
          <w:spacing w:val="-8"/>
        </w:rPr>
        <w:t xml:space="preserve"> </w:t>
      </w:r>
      <w:r>
        <w:t>Prioritisation,</w:t>
      </w:r>
      <w:r>
        <w:rPr>
          <w:spacing w:val="-9"/>
        </w:rPr>
        <w:t xml:space="preserve"> </w:t>
      </w:r>
      <w:r>
        <w:t>and</w:t>
      </w:r>
      <w:r>
        <w:rPr>
          <w:spacing w:val="-8"/>
        </w:rPr>
        <w:t xml:space="preserve"> </w:t>
      </w:r>
      <w:r>
        <w:rPr>
          <w:spacing w:val="-2"/>
        </w:rPr>
        <w:t>Approval</w:t>
      </w:r>
    </w:p>
    <w:p w14:paraId="5CB3F81D" w14:textId="77777777" w:rsidR="00141B97" w:rsidRDefault="00911D63">
      <w:pPr>
        <w:pStyle w:val="BodyText"/>
        <w:spacing w:before="60" w:line="276" w:lineRule="auto"/>
        <w:ind w:left="153" w:right="247"/>
        <w:jc w:val="both"/>
      </w:pPr>
      <w:r>
        <w:t>Projects</w:t>
      </w:r>
      <w:r>
        <w:rPr>
          <w:spacing w:val="-5"/>
        </w:rPr>
        <w:t xml:space="preserve"> </w:t>
      </w:r>
      <w:r>
        <w:t>were</w:t>
      </w:r>
      <w:r>
        <w:rPr>
          <w:spacing w:val="-6"/>
        </w:rPr>
        <w:t xml:space="preserve"> </w:t>
      </w:r>
      <w:r>
        <w:t>reviewed</w:t>
      </w:r>
      <w:r>
        <w:rPr>
          <w:spacing w:val="-5"/>
        </w:rPr>
        <w:t xml:space="preserve"> </w:t>
      </w:r>
      <w:r>
        <w:t>by</w:t>
      </w:r>
      <w:r>
        <w:rPr>
          <w:spacing w:val="-4"/>
        </w:rPr>
        <w:t xml:space="preserve"> </w:t>
      </w:r>
      <w:r>
        <w:t>management</w:t>
      </w:r>
      <w:r>
        <w:rPr>
          <w:spacing w:val="-4"/>
        </w:rPr>
        <w:t xml:space="preserve"> </w:t>
      </w:r>
      <w:r>
        <w:t>and</w:t>
      </w:r>
      <w:r>
        <w:rPr>
          <w:spacing w:val="-6"/>
        </w:rPr>
        <w:t xml:space="preserve"> </w:t>
      </w:r>
      <w:r>
        <w:t>the</w:t>
      </w:r>
      <w:r>
        <w:rPr>
          <w:spacing w:val="-6"/>
        </w:rPr>
        <w:t xml:space="preserve"> </w:t>
      </w:r>
      <w:r>
        <w:t>capital</w:t>
      </w:r>
      <w:r>
        <w:rPr>
          <w:spacing w:val="-6"/>
        </w:rPr>
        <w:t xml:space="preserve"> </w:t>
      </w:r>
      <w:r>
        <w:t>program</w:t>
      </w:r>
      <w:r>
        <w:rPr>
          <w:spacing w:val="-5"/>
        </w:rPr>
        <w:t xml:space="preserve"> </w:t>
      </w:r>
      <w:r>
        <w:t>was</w:t>
      </w:r>
      <w:r>
        <w:rPr>
          <w:spacing w:val="-6"/>
        </w:rPr>
        <w:t xml:space="preserve"> </w:t>
      </w:r>
      <w:r>
        <w:t>created</w:t>
      </w:r>
      <w:r>
        <w:rPr>
          <w:spacing w:val="-5"/>
        </w:rPr>
        <w:t xml:space="preserve"> </w:t>
      </w:r>
      <w:r>
        <w:t>across</w:t>
      </w:r>
      <w:r>
        <w:rPr>
          <w:spacing w:val="-6"/>
        </w:rPr>
        <w:t xml:space="preserve"> </w:t>
      </w:r>
      <w:r>
        <w:t>urban</w:t>
      </w:r>
      <w:r>
        <w:rPr>
          <w:spacing w:val="-6"/>
        </w:rPr>
        <w:t xml:space="preserve"> </w:t>
      </w:r>
      <w:r>
        <w:t>infrastructure,</w:t>
      </w:r>
      <w:r>
        <w:rPr>
          <w:spacing w:val="-6"/>
        </w:rPr>
        <w:t xml:space="preserve"> </w:t>
      </w:r>
      <w:r>
        <w:t>rural infrastructure, and corporate capital, and prioritised within these categories using LMW’s capital prioritisation tool</w:t>
      </w:r>
      <w:r>
        <w:rPr>
          <w:vertAlign w:val="superscript"/>
        </w:rPr>
        <w:t>8</w:t>
      </w:r>
      <w:r>
        <w:t>,</w:t>
      </w:r>
      <w:r>
        <w:rPr>
          <w:spacing w:val="-11"/>
        </w:rPr>
        <w:t xml:space="preserve"> </w:t>
      </w:r>
      <w:r>
        <w:t>in</w:t>
      </w:r>
      <w:r>
        <w:rPr>
          <w:spacing w:val="-10"/>
        </w:rPr>
        <w:t xml:space="preserve"> </w:t>
      </w:r>
      <w:r>
        <w:t>workshops</w:t>
      </w:r>
      <w:r>
        <w:rPr>
          <w:spacing w:val="-10"/>
        </w:rPr>
        <w:t xml:space="preserve"> </w:t>
      </w:r>
      <w:r>
        <w:t>engaging</w:t>
      </w:r>
      <w:r>
        <w:rPr>
          <w:spacing w:val="-11"/>
        </w:rPr>
        <w:t xml:space="preserve"> </w:t>
      </w:r>
      <w:r>
        <w:t>SMEs</w:t>
      </w:r>
      <w:r>
        <w:rPr>
          <w:spacing w:val="-11"/>
        </w:rPr>
        <w:t xml:space="preserve"> </w:t>
      </w:r>
      <w:r>
        <w:t>from</w:t>
      </w:r>
      <w:r>
        <w:rPr>
          <w:spacing w:val="-9"/>
        </w:rPr>
        <w:t xml:space="preserve"> </w:t>
      </w:r>
      <w:r>
        <w:t>relevant</w:t>
      </w:r>
      <w:r>
        <w:rPr>
          <w:spacing w:val="-11"/>
        </w:rPr>
        <w:t xml:space="preserve"> </w:t>
      </w:r>
      <w:r>
        <w:t>parts</w:t>
      </w:r>
      <w:r>
        <w:rPr>
          <w:spacing w:val="-10"/>
        </w:rPr>
        <w:t xml:space="preserve"> </w:t>
      </w:r>
      <w:r>
        <w:t>of</w:t>
      </w:r>
      <w:r>
        <w:rPr>
          <w:spacing w:val="-11"/>
        </w:rPr>
        <w:t xml:space="preserve"> </w:t>
      </w:r>
      <w:r>
        <w:t>the</w:t>
      </w:r>
      <w:r>
        <w:rPr>
          <w:spacing w:val="-11"/>
        </w:rPr>
        <w:t xml:space="preserve"> </w:t>
      </w:r>
      <w:r>
        <w:t>business</w:t>
      </w:r>
      <w:r>
        <w:rPr>
          <w:spacing w:val="-12"/>
        </w:rPr>
        <w:t xml:space="preserve"> </w:t>
      </w:r>
      <w:r>
        <w:t>and</w:t>
      </w:r>
      <w:r>
        <w:rPr>
          <w:spacing w:val="-10"/>
        </w:rPr>
        <w:t xml:space="preserve"> </w:t>
      </w:r>
      <w:r>
        <w:t>facilitated</w:t>
      </w:r>
      <w:r>
        <w:rPr>
          <w:spacing w:val="-11"/>
        </w:rPr>
        <w:t xml:space="preserve"> </w:t>
      </w:r>
      <w:r>
        <w:t>externally.</w:t>
      </w:r>
      <w:r>
        <w:rPr>
          <w:spacing w:val="-12"/>
        </w:rPr>
        <w:t xml:space="preserve"> </w:t>
      </w:r>
      <w:r>
        <w:t>The</w:t>
      </w:r>
      <w:r>
        <w:rPr>
          <w:spacing w:val="-11"/>
        </w:rPr>
        <w:t xml:space="preserve"> </w:t>
      </w:r>
      <w:r>
        <w:t>tool</w:t>
      </w:r>
      <w:r>
        <w:rPr>
          <w:spacing w:val="-11"/>
        </w:rPr>
        <w:t xml:space="preserve"> </w:t>
      </w:r>
      <w:r>
        <w:t>scored and ranked projects against three criteria:</w:t>
      </w:r>
    </w:p>
    <w:p w14:paraId="7F426831" w14:textId="2D0A251D" w:rsidR="00141B97" w:rsidRDefault="00911D63">
      <w:pPr>
        <w:pStyle w:val="BodyText"/>
        <w:spacing w:before="4"/>
        <w:rPr>
          <w:sz w:val="20"/>
        </w:rPr>
      </w:pPr>
      <w:r>
        <w:rPr>
          <w:noProof/>
        </w:rPr>
        <mc:AlternateContent>
          <mc:Choice Requires="wps">
            <w:drawing>
              <wp:anchor distT="0" distB="0" distL="0" distR="0" simplePos="0" relativeHeight="487602176" behindDoc="1" locked="0" layoutInCell="1" allowOverlap="1" wp14:anchorId="3206FC4B" wp14:editId="0807C480">
                <wp:simplePos x="0" y="0"/>
                <wp:positionH relativeFrom="page">
                  <wp:posOffset>720090</wp:posOffset>
                </wp:positionH>
                <wp:positionV relativeFrom="paragraph">
                  <wp:posOffset>173355</wp:posOffset>
                </wp:positionV>
                <wp:extent cx="1828800" cy="6350"/>
                <wp:effectExtent l="0" t="0" r="0" b="0"/>
                <wp:wrapTopAndBottom/>
                <wp:docPr id="39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5A56" id="docshape27" o:spid="_x0000_s1026" style="position:absolute;margin-left:56.7pt;margin-top:13.65pt;width:2in;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" fillcolor="black" stroked="f">
                <w10:wrap type="topAndBottom" anchorx="page"/>
              </v:rect>
            </w:pict>
          </mc:Fallback>
        </mc:AlternateContent>
      </w:r>
    </w:p>
    <w:p w14:paraId="31A42314" w14:textId="77777777" w:rsidR="00141B97" w:rsidRDefault="00911D63">
      <w:pPr>
        <w:spacing w:before="83"/>
        <w:ind w:left="154"/>
        <w:rPr>
          <w:rFonts w:ascii="Trebuchet MS"/>
          <w:sz w:val="16"/>
        </w:rPr>
      </w:pPr>
      <w:r>
        <w:rPr>
          <w:rFonts w:ascii="Trebuchet MS"/>
          <w:sz w:val="16"/>
          <w:vertAlign w:val="superscript"/>
        </w:rPr>
        <w:t>8</w:t>
      </w:r>
      <w:r>
        <w:rPr>
          <w:rFonts w:ascii="Trebuchet MS"/>
          <w:spacing w:val="-5"/>
          <w:sz w:val="16"/>
        </w:rPr>
        <w:t xml:space="preserve"> </w:t>
      </w:r>
      <w:r>
        <w:rPr>
          <w:rFonts w:ascii="Trebuchet MS"/>
          <w:sz w:val="16"/>
        </w:rPr>
        <w:t>LMW</w:t>
      </w:r>
      <w:r>
        <w:rPr>
          <w:rFonts w:ascii="Trebuchet MS"/>
          <w:spacing w:val="-6"/>
          <w:sz w:val="16"/>
        </w:rPr>
        <w:t xml:space="preserve"> </w:t>
      </w:r>
      <w:r>
        <w:rPr>
          <w:rFonts w:ascii="Trebuchet MS"/>
          <w:sz w:val="16"/>
        </w:rPr>
        <w:t>Capital</w:t>
      </w:r>
      <w:r>
        <w:rPr>
          <w:rFonts w:ascii="Trebuchet MS"/>
          <w:spacing w:val="-5"/>
          <w:sz w:val="16"/>
        </w:rPr>
        <w:t xml:space="preserve"> </w:t>
      </w:r>
      <w:r>
        <w:rPr>
          <w:rFonts w:ascii="Trebuchet MS"/>
          <w:sz w:val="16"/>
        </w:rPr>
        <w:t>Prioritisation</w:t>
      </w:r>
      <w:r>
        <w:rPr>
          <w:rFonts w:ascii="Trebuchet MS"/>
          <w:spacing w:val="-5"/>
          <w:sz w:val="16"/>
        </w:rPr>
        <w:t xml:space="preserve"> </w:t>
      </w:r>
      <w:r>
        <w:rPr>
          <w:rFonts w:ascii="Trebuchet MS"/>
          <w:spacing w:val="-4"/>
          <w:sz w:val="16"/>
        </w:rPr>
        <w:t>Tool</w:t>
      </w:r>
    </w:p>
    <w:p w14:paraId="00E272BD" w14:textId="77777777" w:rsidR="00141B97" w:rsidRDefault="00141B97">
      <w:pPr>
        <w:rPr>
          <w:rFonts w:ascii="Trebuchet MS"/>
          <w:sz w:val="16"/>
        </w:rPr>
        <w:sectPr w:rsidR="00141B97">
          <w:pgSz w:w="11910" w:h="16840"/>
          <w:pgMar w:top="820" w:right="740" w:bottom="1120" w:left="980" w:header="0" w:footer="896" w:gutter="0"/>
          <w:cols w:space="720"/>
        </w:sectPr>
      </w:pPr>
    </w:p>
    <w:p w14:paraId="0A58602E" w14:textId="77777777" w:rsidR="00141B97" w:rsidRDefault="00911D63">
      <w:pPr>
        <w:pStyle w:val="ListParagraph"/>
        <w:numPr>
          <w:ilvl w:val="3"/>
          <w:numId w:val="113"/>
        </w:numPr>
        <w:tabs>
          <w:tab w:val="left" w:pos="873"/>
          <w:tab w:val="left" w:pos="874"/>
        </w:tabs>
        <w:spacing w:before="70" w:line="276" w:lineRule="auto"/>
        <w:ind w:left="873" w:right="250"/>
      </w:pPr>
      <w:r>
        <w:lastRenderedPageBreak/>
        <w:t>Mandatory</w:t>
      </w:r>
      <w:r>
        <w:rPr>
          <w:spacing w:val="40"/>
        </w:rPr>
        <w:t xml:space="preserve"> </w:t>
      </w:r>
      <w:r>
        <w:t>projects</w:t>
      </w:r>
      <w:r>
        <w:rPr>
          <w:spacing w:val="40"/>
        </w:rPr>
        <w:t xml:space="preserve"> </w:t>
      </w:r>
      <w:r>
        <w:t>–</w:t>
      </w:r>
      <w:r>
        <w:rPr>
          <w:spacing w:val="40"/>
        </w:rPr>
        <w:t xml:space="preserve"> </w:t>
      </w:r>
      <w:r>
        <w:t>eg.</w:t>
      </w:r>
      <w:r>
        <w:rPr>
          <w:spacing w:val="40"/>
        </w:rPr>
        <w:t xml:space="preserve"> </w:t>
      </w:r>
      <w:r>
        <w:t>Committed</w:t>
      </w:r>
      <w:r>
        <w:rPr>
          <w:spacing w:val="40"/>
        </w:rPr>
        <w:t xml:space="preserve"> </w:t>
      </w:r>
      <w:r>
        <w:t>contracts</w:t>
      </w:r>
      <w:r>
        <w:rPr>
          <w:spacing w:val="40"/>
        </w:rPr>
        <w:t xml:space="preserve"> </w:t>
      </w:r>
      <w:r>
        <w:t>or</w:t>
      </w:r>
      <w:r>
        <w:rPr>
          <w:spacing w:val="40"/>
        </w:rPr>
        <w:t xml:space="preserve"> </w:t>
      </w:r>
      <w:r>
        <w:t>State</w:t>
      </w:r>
      <w:r>
        <w:rPr>
          <w:spacing w:val="40"/>
        </w:rPr>
        <w:t xml:space="preserve"> </w:t>
      </w:r>
      <w:r>
        <w:t>government</w:t>
      </w:r>
      <w:r>
        <w:rPr>
          <w:spacing w:val="40"/>
        </w:rPr>
        <w:t xml:space="preserve"> </w:t>
      </w:r>
      <w:r>
        <w:t>commitment</w:t>
      </w:r>
      <w:r>
        <w:rPr>
          <w:spacing w:val="40"/>
        </w:rPr>
        <w:t xml:space="preserve"> </w:t>
      </w:r>
      <w:r>
        <w:t>(Statement</w:t>
      </w:r>
      <w:r>
        <w:rPr>
          <w:spacing w:val="40"/>
        </w:rPr>
        <w:t xml:space="preserve"> </w:t>
      </w:r>
      <w:r>
        <w:t>of Obligations, State policy or regulatory requirements).</w:t>
      </w:r>
    </w:p>
    <w:p w14:paraId="7B6E7BEE" w14:textId="77777777" w:rsidR="00141B97" w:rsidRDefault="00911D63">
      <w:pPr>
        <w:pStyle w:val="ListParagraph"/>
        <w:numPr>
          <w:ilvl w:val="3"/>
          <w:numId w:val="113"/>
        </w:numPr>
        <w:tabs>
          <w:tab w:val="left" w:pos="873"/>
          <w:tab w:val="left" w:pos="874"/>
        </w:tabs>
        <w:spacing w:before="1"/>
        <w:ind w:left="873" w:hanging="361"/>
      </w:pPr>
      <w:r>
        <w:t>Projects</w:t>
      </w:r>
      <w:r>
        <w:rPr>
          <w:spacing w:val="-10"/>
        </w:rPr>
        <w:t xml:space="preserve"> </w:t>
      </w:r>
      <w:r>
        <w:t>contributing</w:t>
      </w:r>
      <w:r>
        <w:rPr>
          <w:spacing w:val="-9"/>
        </w:rPr>
        <w:t xml:space="preserve"> </w:t>
      </w:r>
      <w:r>
        <w:t>to</w:t>
      </w:r>
      <w:r>
        <w:rPr>
          <w:spacing w:val="-9"/>
        </w:rPr>
        <w:t xml:space="preserve"> </w:t>
      </w:r>
      <w:r>
        <w:t>LMW</w:t>
      </w:r>
      <w:r>
        <w:rPr>
          <w:spacing w:val="-9"/>
        </w:rPr>
        <w:t xml:space="preserve"> </w:t>
      </w:r>
      <w:r>
        <w:t>agreed</w:t>
      </w:r>
      <w:r>
        <w:rPr>
          <w:spacing w:val="-11"/>
        </w:rPr>
        <w:t xml:space="preserve"> </w:t>
      </w:r>
      <w:r>
        <w:t>customer</w:t>
      </w:r>
      <w:r>
        <w:rPr>
          <w:spacing w:val="-8"/>
        </w:rPr>
        <w:t xml:space="preserve"> </w:t>
      </w:r>
      <w:r>
        <w:t>outcomes</w:t>
      </w:r>
      <w:r>
        <w:rPr>
          <w:spacing w:val="-8"/>
        </w:rPr>
        <w:t xml:space="preserve"> </w:t>
      </w:r>
      <w:r>
        <w:t>and</w:t>
      </w:r>
      <w:r>
        <w:rPr>
          <w:spacing w:val="-9"/>
        </w:rPr>
        <w:t xml:space="preserve"> </w:t>
      </w:r>
      <w:r>
        <w:t>strategic</w:t>
      </w:r>
      <w:r>
        <w:rPr>
          <w:spacing w:val="-9"/>
        </w:rPr>
        <w:t xml:space="preserve"> </w:t>
      </w:r>
      <w:r>
        <w:t>objectives,</w:t>
      </w:r>
      <w:r>
        <w:rPr>
          <w:spacing w:val="-9"/>
        </w:rPr>
        <w:t xml:space="preserve"> </w:t>
      </w:r>
      <w:r>
        <w:rPr>
          <w:spacing w:val="-2"/>
        </w:rPr>
        <w:t>and/or</w:t>
      </w:r>
    </w:p>
    <w:p w14:paraId="58956025" w14:textId="77777777" w:rsidR="00141B97" w:rsidRDefault="00911D63">
      <w:pPr>
        <w:pStyle w:val="ListParagraph"/>
        <w:numPr>
          <w:ilvl w:val="3"/>
          <w:numId w:val="113"/>
        </w:numPr>
        <w:tabs>
          <w:tab w:val="left" w:pos="873"/>
          <w:tab w:val="left" w:pos="874"/>
        </w:tabs>
        <w:spacing w:before="40"/>
        <w:ind w:left="873" w:hanging="361"/>
      </w:pPr>
      <w:r>
        <w:t>Projects</w:t>
      </w:r>
      <w:r>
        <w:rPr>
          <w:spacing w:val="-7"/>
        </w:rPr>
        <w:t xml:space="preserve"> </w:t>
      </w:r>
      <w:r>
        <w:t>addressing</w:t>
      </w:r>
      <w:r>
        <w:rPr>
          <w:spacing w:val="-6"/>
        </w:rPr>
        <w:t xml:space="preserve"> </w:t>
      </w:r>
      <w:r>
        <w:t>extreme</w:t>
      </w:r>
      <w:r>
        <w:rPr>
          <w:spacing w:val="-6"/>
        </w:rPr>
        <w:t xml:space="preserve"> </w:t>
      </w:r>
      <w:r>
        <w:t>or</w:t>
      </w:r>
      <w:r>
        <w:rPr>
          <w:spacing w:val="-5"/>
        </w:rPr>
        <w:t xml:space="preserve"> </w:t>
      </w:r>
      <w:r>
        <w:t>high</w:t>
      </w:r>
      <w:r>
        <w:rPr>
          <w:spacing w:val="-7"/>
        </w:rPr>
        <w:t xml:space="preserve"> </w:t>
      </w:r>
      <w:r>
        <w:t>risks</w:t>
      </w:r>
      <w:r>
        <w:rPr>
          <w:spacing w:val="-6"/>
        </w:rPr>
        <w:t xml:space="preserve"> </w:t>
      </w:r>
      <w:r>
        <w:t>to</w:t>
      </w:r>
      <w:r>
        <w:rPr>
          <w:spacing w:val="-5"/>
        </w:rPr>
        <w:t xml:space="preserve"> </w:t>
      </w:r>
      <w:r>
        <w:t>the</w:t>
      </w:r>
      <w:r>
        <w:rPr>
          <w:spacing w:val="-7"/>
        </w:rPr>
        <w:t xml:space="preserve"> </w:t>
      </w:r>
      <w:r>
        <w:rPr>
          <w:spacing w:val="-2"/>
        </w:rPr>
        <w:t>business.</w:t>
      </w:r>
    </w:p>
    <w:p w14:paraId="75964547" w14:textId="77777777" w:rsidR="00141B97" w:rsidRDefault="00141B97">
      <w:pPr>
        <w:pStyle w:val="BodyText"/>
        <w:spacing w:before="4"/>
        <w:rPr>
          <w:sz w:val="26"/>
        </w:rPr>
      </w:pPr>
    </w:p>
    <w:p w14:paraId="20ECACD5" w14:textId="77777777" w:rsidR="00141B97" w:rsidRDefault="00911D63">
      <w:pPr>
        <w:pStyle w:val="BodyText"/>
        <w:spacing w:line="276" w:lineRule="auto"/>
        <w:ind w:left="154" w:right="248" w:hanging="1"/>
        <w:jc w:val="both"/>
      </w:pPr>
      <w:r>
        <w:t>Priority projects in each category were then collated and further prioritised to form a business‐wide capital program which was then integrated with the price path modelling to refine the program, assess capex/opex implications and trade‐offs, and review accounting treatment to optimise the program.</w:t>
      </w:r>
    </w:p>
    <w:p w14:paraId="32AF1A8E" w14:textId="77777777" w:rsidR="00141B97" w:rsidRDefault="00141B97">
      <w:pPr>
        <w:pStyle w:val="BodyText"/>
        <w:spacing w:before="3"/>
        <w:rPr>
          <w:sz w:val="25"/>
        </w:rPr>
      </w:pPr>
    </w:p>
    <w:p w14:paraId="029A95C0" w14:textId="77777777" w:rsidR="00141B97" w:rsidRDefault="00911D63">
      <w:pPr>
        <w:pStyle w:val="BodyText"/>
        <w:spacing w:line="276" w:lineRule="auto"/>
        <w:ind w:left="154" w:right="248" w:hanging="1"/>
        <w:jc w:val="both"/>
      </w:pPr>
      <w:r>
        <w:t>This</w:t>
      </w:r>
      <w:r>
        <w:rPr>
          <w:spacing w:val="-8"/>
        </w:rPr>
        <w:t xml:space="preserve"> </w:t>
      </w:r>
      <w:r>
        <w:t>process</w:t>
      </w:r>
      <w:r>
        <w:rPr>
          <w:spacing w:val="-8"/>
        </w:rPr>
        <w:t xml:space="preserve"> </w:t>
      </w:r>
      <w:r>
        <w:t>was</w:t>
      </w:r>
      <w:r>
        <w:rPr>
          <w:spacing w:val="-9"/>
        </w:rPr>
        <w:t xml:space="preserve"> </w:t>
      </w:r>
      <w:r>
        <w:t>finalised</w:t>
      </w:r>
      <w:r>
        <w:rPr>
          <w:spacing w:val="-8"/>
        </w:rPr>
        <w:t xml:space="preserve"> </w:t>
      </w:r>
      <w:r>
        <w:t>by</w:t>
      </w:r>
      <w:r>
        <w:rPr>
          <w:spacing w:val="-9"/>
        </w:rPr>
        <w:t xml:space="preserve"> </w:t>
      </w:r>
      <w:r>
        <w:t>review</w:t>
      </w:r>
      <w:r>
        <w:rPr>
          <w:spacing w:val="-9"/>
        </w:rPr>
        <w:t xml:space="preserve"> </w:t>
      </w:r>
      <w:r>
        <w:t>and</w:t>
      </w:r>
      <w:r>
        <w:rPr>
          <w:spacing w:val="-8"/>
        </w:rPr>
        <w:t xml:space="preserve"> </w:t>
      </w:r>
      <w:r>
        <w:t>approval</w:t>
      </w:r>
      <w:r>
        <w:rPr>
          <w:spacing w:val="-8"/>
        </w:rPr>
        <w:t xml:space="preserve"> </w:t>
      </w:r>
      <w:r>
        <w:t>by</w:t>
      </w:r>
      <w:r>
        <w:rPr>
          <w:spacing w:val="-9"/>
        </w:rPr>
        <w:t xml:space="preserve"> </w:t>
      </w:r>
      <w:r>
        <w:t>the</w:t>
      </w:r>
      <w:r>
        <w:rPr>
          <w:spacing w:val="-8"/>
        </w:rPr>
        <w:t xml:space="preserve"> </w:t>
      </w:r>
      <w:r>
        <w:t>Executive</w:t>
      </w:r>
      <w:r>
        <w:rPr>
          <w:spacing w:val="-9"/>
        </w:rPr>
        <w:t xml:space="preserve"> </w:t>
      </w:r>
      <w:r>
        <w:t>team,</w:t>
      </w:r>
      <w:r>
        <w:rPr>
          <w:spacing w:val="-9"/>
        </w:rPr>
        <w:t xml:space="preserve"> </w:t>
      </w:r>
      <w:r>
        <w:t>the</w:t>
      </w:r>
      <w:r>
        <w:rPr>
          <w:spacing w:val="-9"/>
        </w:rPr>
        <w:t xml:space="preserve"> </w:t>
      </w:r>
      <w:r>
        <w:t>Finance</w:t>
      </w:r>
      <w:r>
        <w:rPr>
          <w:spacing w:val="-10"/>
        </w:rPr>
        <w:t xml:space="preserve"> </w:t>
      </w:r>
      <w:r>
        <w:t>and</w:t>
      </w:r>
      <w:r>
        <w:rPr>
          <w:spacing w:val="-9"/>
        </w:rPr>
        <w:t xml:space="preserve"> </w:t>
      </w:r>
      <w:r>
        <w:t>Audit</w:t>
      </w:r>
      <w:r>
        <w:rPr>
          <w:spacing w:val="-8"/>
        </w:rPr>
        <w:t xml:space="preserve"> </w:t>
      </w:r>
      <w:r>
        <w:t>Committee,</w:t>
      </w:r>
      <w:r>
        <w:rPr>
          <w:spacing w:val="-7"/>
        </w:rPr>
        <w:t xml:space="preserve"> </w:t>
      </w:r>
      <w:r>
        <w:t>and the Board. Supporting documentation is available to the ESC for inspection on all projects.</w:t>
      </w:r>
    </w:p>
    <w:p w14:paraId="7F6FAA42" w14:textId="77777777" w:rsidR="00141B97" w:rsidRDefault="00141B97">
      <w:pPr>
        <w:pStyle w:val="BodyText"/>
        <w:spacing w:before="8"/>
        <w:rPr>
          <w:sz w:val="20"/>
        </w:rPr>
      </w:pPr>
    </w:p>
    <w:p w14:paraId="79E39911" w14:textId="77777777" w:rsidR="00141B97" w:rsidRDefault="00911D63">
      <w:pPr>
        <w:pStyle w:val="ListParagraph"/>
        <w:numPr>
          <w:ilvl w:val="2"/>
          <w:numId w:val="113"/>
        </w:numPr>
        <w:tabs>
          <w:tab w:val="left" w:pos="1152"/>
          <w:tab w:val="left" w:pos="1153"/>
        </w:tabs>
        <w:ind w:hanging="1000"/>
        <w:jc w:val="both"/>
      </w:pPr>
      <w:r>
        <w:t>Delivery</w:t>
      </w:r>
      <w:r>
        <w:rPr>
          <w:spacing w:val="-6"/>
        </w:rPr>
        <w:t xml:space="preserve"> </w:t>
      </w:r>
      <w:r>
        <w:t>of</w:t>
      </w:r>
      <w:r>
        <w:rPr>
          <w:spacing w:val="-5"/>
        </w:rPr>
        <w:t xml:space="preserve"> </w:t>
      </w:r>
      <w:r>
        <w:t>the</w:t>
      </w:r>
      <w:r>
        <w:rPr>
          <w:spacing w:val="-6"/>
        </w:rPr>
        <w:t xml:space="preserve"> </w:t>
      </w:r>
      <w:r>
        <w:t>Capital</w:t>
      </w:r>
      <w:r>
        <w:rPr>
          <w:spacing w:val="-7"/>
        </w:rPr>
        <w:t xml:space="preserve"> </w:t>
      </w:r>
      <w:r>
        <w:rPr>
          <w:spacing w:val="-2"/>
        </w:rPr>
        <w:t>Program</w:t>
      </w:r>
    </w:p>
    <w:p w14:paraId="2B741218" w14:textId="77777777" w:rsidR="00141B97" w:rsidRDefault="00911D63">
      <w:pPr>
        <w:pStyle w:val="BodyText"/>
        <w:spacing w:before="60" w:line="276" w:lineRule="auto"/>
        <w:ind w:left="153" w:right="246"/>
        <w:jc w:val="both"/>
      </w:pPr>
      <w:r>
        <w:t>LMW has demonstrated a track record of delivering varied and significantly larger capital programs than proposed for the fifth regulatory period. The forward total capital program for both the rural and urban businesses is significantly below historic peaks that include the Sunraysia Modernisation Project, and LMW is very confident in its capability to deliver the forward program.</w:t>
      </w:r>
    </w:p>
    <w:p w14:paraId="1EE6F25F" w14:textId="77777777" w:rsidR="00141B97" w:rsidRDefault="00141B97">
      <w:pPr>
        <w:pStyle w:val="BodyText"/>
        <w:spacing w:before="3"/>
        <w:rPr>
          <w:sz w:val="25"/>
        </w:rPr>
      </w:pPr>
    </w:p>
    <w:p w14:paraId="1CECDD36" w14:textId="77777777" w:rsidR="00141B97" w:rsidRDefault="00911D63">
      <w:pPr>
        <w:pStyle w:val="BodyText"/>
        <w:spacing w:line="276" w:lineRule="auto"/>
        <w:ind w:left="153" w:right="246" w:hanging="1"/>
        <w:jc w:val="both"/>
      </w:pPr>
      <w:r>
        <w:t>LMW</w:t>
      </w:r>
      <w:r>
        <w:rPr>
          <w:spacing w:val="-6"/>
        </w:rPr>
        <w:t xml:space="preserve"> </w:t>
      </w:r>
      <w:r>
        <w:t>has</w:t>
      </w:r>
      <w:r>
        <w:rPr>
          <w:spacing w:val="-5"/>
        </w:rPr>
        <w:t xml:space="preserve"> </w:t>
      </w:r>
      <w:r>
        <w:t>adopted</w:t>
      </w:r>
      <w:r>
        <w:rPr>
          <w:spacing w:val="-4"/>
        </w:rPr>
        <w:t xml:space="preserve"> </w:t>
      </w:r>
      <w:r>
        <w:t>the</w:t>
      </w:r>
      <w:r>
        <w:rPr>
          <w:spacing w:val="-6"/>
        </w:rPr>
        <w:t xml:space="preserve"> </w:t>
      </w:r>
      <w:r>
        <w:t>suite</w:t>
      </w:r>
      <w:r>
        <w:rPr>
          <w:spacing w:val="-5"/>
        </w:rPr>
        <w:t xml:space="preserve"> </w:t>
      </w:r>
      <w:r>
        <w:t>of</w:t>
      </w:r>
      <w:r>
        <w:rPr>
          <w:spacing w:val="-5"/>
        </w:rPr>
        <w:t xml:space="preserve"> </w:t>
      </w:r>
      <w:r>
        <w:t>Water</w:t>
      </w:r>
      <w:r>
        <w:rPr>
          <w:spacing w:val="-6"/>
        </w:rPr>
        <w:t xml:space="preserve"> </w:t>
      </w:r>
      <w:r>
        <w:t>Industry</w:t>
      </w:r>
      <w:r>
        <w:rPr>
          <w:spacing w:val="-5"/>
        </w:rPr>
        <w:t xml:space="preserve"> </w:t>
      </w:r>
      <w:r>
        <w:t>Standard</w:t>
      </w:r>
      <w:r>
        <w:rPr>
          <w:spacing w:val="-7"/>
        </w:rPr>
        <w:t xml:space="preserve"> </w:t>
      </w:r>
      <w:r>
        <w:t>contracts</w:t>
      </w:r>
      <w:r>
        <w:rPr>
          <w:spacing w:val="-5"/>
        </w:rPr>
        <w:t xml:space="preserve"> </w:t>
      </w:r>
      <w:r>
        <w:t>which</w:t>
      </w:r>
      <w:r>
        <w:rPr>
          <w:spacing w:val="-5"/>
        </w:rPr>
        <w:t xml:space="preserve"> </w:t>
      </w:r>
      <w:r>
        <w:t>have</w:t>
      </w:r>
      <w:r>
        <w:rPr>
          <w:spacing w:val="-6"/>
        </w:rPr>
        <w:t xml:space="preserve"> </w:t>
      </w:r>
      <w:r>
        <w:t>been</w:t>
      </w:r>
      <w:r>
        <w:rPr>
          <w:spacing w:val="-6"/>
        </w:rPr>
        <w:t xml:space="preserve"> </w:t>
      </w:r>
      <w:r>
        <w:t>approved</w:t>
      </w:r>
      <w:r>
        <w:rPr>
          <w:spacing w:val="-4"/>
        </w:rPr>
        <w:t xml:space="preserve"> </w:t>
      </w:r>
      <w:r>
        <w:t>by</w:t>
      </w:r>
      <w:r>
        <w:rPr>
          <w:spacing w:val="-5"/>
        </w:rPr>
        <w:t xml:space="preserve"> </w:t>
      </w:r>
      <w:r>
        <w:t>DTF</w:t>
      </w:r>
      <w:r>
        <w:rPr>
          <w:spacing w:val="-6"/>
        </w:rPr>
        <w:t xml:space="preserve"> </w:t>
      </w:r>
      <w:r>
        <w:t>to</w:t>
      </w:r>
      <w:r>
        <w:rPr>
          <w:spacing w:val="-6"/>
        </w:rPr>
        <w:t xml:space="preserve"> </w:t>
      </w:r>
      <w:r>
        <w:t>suitably allocate risk to the contract party which is best placed to manage that risk.</w:t>
      </w:r>
      <w:r>
        <w:rPr>
          <w:spacing w:val="40"/>
        </w:rPr>
        <w:t xml:space="preserve"> </w:t>
      </w:r>
      <w:r>
        <w:t>This suite of standard contracts provides LMW, and the broader water industry, with a</w:t>
      </w:r>
      <w:r>
        <w:rPr>
          <w:spacing w:val="-1"/>
        </w:rPr>
        <w:t xml:space="preserve"> </w:t>
      </w:r>
      <w:r>
        <w:t>consistent approach to contract</w:t>
      </w:r>
      <w:r>
        <w:rPr>
          <w:spacing w:val="-1"/>
        </w:rPr>
        <w:t xml:space="preserve"> </w:t>
      </w:r>
      <w:r>
        <w:t>management including the management of costs and project delays, driving efficiency through consistency for all parties.</w:t>
      </w:r>
      <w:r>
        <w:rPr>
          <w:spacing w:val="40"/>
        </w:rPr>
        <w:t xml:space="preserve"> </w:t>
      </w:r>
      <w:r>
        <w:t>LMW has also adopted the DTF mandated State Purchasing Board procurement policies and procedures.</w:t>
      </w:r>
    </w:p>
    <w:p w14:paraId="45EF2B05" w14:textId="77777777" w:rsidR="00141B97" w:rsidRDefault="00141B97">
      <w:pPr>
        <w:pStyle w:val="BodyText"/>
        <w:spacing w:before="4"/>
        <w:rPr>
          <w:sz w:val="25"/>
        </w:rPr>
      </w:pPr>
    </w:p>
    <w:p w14:paraId="035246D2" w14:textId="77777777" w:rsidR="00141B97" w:rsidRDefault="00911D63">
      <w:pPr>
        <w:pStyle w:val="BodyText"/>
        <w:spacing w:line="276" w:lineRule="auto"/>
        <w:ind w:left="153" w:right="247"/>
        <w:jc w:val="both"/>
      </w:pPr>
      <w:r>
        <w:t>LMW has an established suite of planning and project/contract management procedures and documents, and a dedicated team of staff (supported by consultants where required), to ensure successful management and efficiency</w:t>
      </w:r>
      <w:r>
        <w:rPr>
          <w:spacing w:val="-8"/>
        </w:rPr>
        <w:t xml:space="preserve"> </w:t>
      </w:r>
      <w:r>
        <w:t>of</w:t>
      </w:r>
      <w:r>
        <w:rPr>
          <w:spacing w:val="-9"/>
        </w:rPr>
        <w:t xml:space="preserve"> </w:t>
      </w:r>
      <w:r>
        <w:t>the</w:t>
      </w:r>
      <w:r>
        <w:rPr>
          <w:spacing w:val="-9"/>
        </w:rPr>
        <w:t xml:space="preserve"> </w:t>
      </w:r>
      <w:r>
        <w:t>capital</w:t>
      </w:r>
      <w:r>
        <w:rPr>
          <w:spacing w:val="-9"/>
        </w:rPr>
        <w:t xml:space="preserve"> </w:t>
      </w:r>
      <w:r>
        <w:t>program</w:t>
      </w:r>
      <w:r>
        <w:rPr>
          <w:spacing w:val="-8"/>
        </w:rPr>
        <w:t xml:space="preserve"> </w:t>
      </w:r>
      <w:r>
        <w:t>delivery.</w:t>
      </w:r>
      <w:r>
        <w:rPr>
          <w:spacing w:val="-10"/>
        </w:rPr>
        <w:t xml:space="preserve"> </w:t>
      </w:r>
      <w:r>
        <w:t>The</w:t>
      </w:r>
      <w:r>
        <w:rPr>
          <w:spacing w:val="-9"/>
        </w:rPr>
        <w:t xml:space="preserve"> </w:t>
      </w:r>
      <w:r>
        <w:t>capital</w:t>
      </w:r>
      <w:r>
        <w:rPr>
          <w:spacing w:val="-9"/>
        </w:rPr>
        <w:t xml:space="preserve"> </w:t>
      </w:r>
      <w:r>
        <w:t>program</w:t>
      </w:r>
      <w:r>
        <w:rPr>
          <w:spacing w:val="-9"/>
        </w:rPr>
        <w:t xml:space="preserve"> </w:t>
      </w:r>
      <w:r>
        <w:t>has</w:t>
      </w:r>
      <w:r>
        <w:rPr>
          <w:spacing w:val="-9"/>
        </w:rPr>
        <w:t xml:space="preserve"> </w:t>
      </w:r>
      <w:r>
        <w:t>been</w:t>
      </w:r>
      <w:r>
        <w:rPr>
          <w:spacing w:val="-8"/>
        </w:rPr>
        <w:t xml:space="preserve"> </w:t>
      </w:r>
      <w:r>
        <w:t>reviewed</w:t>
      </w:r>
      <w:r>
        <w:rPr>
          <w:spacing w:val="-8"/>
        </w:rPr>
        <w:t xml:space="preserve"> </w:t>
      </w:r>
      <w:r>
        <w:t>with</w:t>
      </w:r>
      <w:r>
        <w:rPr>
          <w:spacing w:val="-9"/>
        </w:rPr>
        <w:t xml:space="preserve"> </w:t>
      </w:r>
      <w:r>
        <w:t>a</w:t>
      </w:r>
      <w:r>
        <w:rPr>
          <w:spacing w:val="-8"/>
        </w:rPr>
        <w:t xml:space="preserve"> </w:t>
      </w:r>
      <w:r>
        <w:t>deliverability</w:t>
      </w:r>
      <w:r>
        <w:rPr>
          <w:spacing w:val="-9"/>
        </w:rPr>
        <w:t xml:space="preserve"> </w:t>
      </w:r>
      <w:r>
        <w:t>focus</w:t>
      </w:r>
      <w:r>
        <w:rPr>
          <w:spacing w:val="-9"/>
        </w:rPr>
        <w:t xml:space="preserve"> </w:t>
      </w:r>
      <w:r>
        <w:t>and cross‐functional input, which includes decisions about procurement options.</w:t>
      </w:r>
      <w:r>
        <w:rPr>
          <w:spacing w:val="40"/>
        </w:rPr>
        <w:t xml:space="preserve"> </w:t>
      </w:r>
      <w:r>
        <w:t>LMW has embedded a continual improvement</w:t>
      </w:r>
      <w:r>
        <w:rPr>
          <w:spacing w:val="-5"/>
        </w:rPr>
        <w:t xml:space="preserve"> </w:t>
      </w:r>
      <w:r>
        <w:t>approach</w:t>
      </w:r>
      <w:r>
        <w:rPr>
          <w:spacing w:val="-6"/>
        </w:rPr>
        <w:t xml:space="preserve"> </w:t>
      </w:r>
      <w:r>
        <w:t>whereby</w:t>
      </w:r>
      <w:r>
        <w:rPr>
          <w:spacing w:val="-5"/>
        </w:rPr>
        <w:t xml:space="preserve"> </w:t>
      </w:r>
      <w:r>
        <w:t>learnings</w:t>
      </w:r>
      <w:r>
        <w:rPr>
          <w:spacing w:val="-7"/>
        </w:rPr>
        <w:t xml:space="preserve"> </w:t>
      </w:r>
      <w:r>
        <w:t>from</w:t>
      </w:r>
      <w:r>
        <w:rPr>
          <w:spacing w:val="-5"/>
        </w:rPr>
        <w:t xml:space="preserve"> </w:t>
      </w:r>
      <w:r>
        <w:t>key</w:t>
      </w:r>
      <w:r>
        <w:rPr>
          <w:spacing w:val="-5"/>
        </w:rPr>
        <w:t xml:space="preserve"> </w:t>
      </w:r>
      <w:r>
        <w:t>projects</w:t>
      </w:r>
      <w:r>
        <w:rPr>
          <w:spacing w:val="-5"/>
        </w:rPr>
        <w:t xml:space="preserve"> </w:t>
      </w:r>
      <w:r>
        <w:t>are</w:t>
      </w:r>
      <w:r>
        <w:rPr>
          <w:spacing w:val="-6"/>
        </w:rPr>
        <w:t xml:space="preserve"> </w:t>
      </w:r>
      <w:r>
        <w:t>utilised</w:t>
      </w:r>
      <w:r>
        <w:rPr>
          <w:spacing w:val="-6"/>
        </w:rPr>
        <w:t xml:space="preserve"> </w:t>
      </w:r>
      <w:r>
        <w:t>to</w:t>
      </w:r>
      <w:r>
        <w:rPr>
          <w:spacing w:val="-6"/>
        </w:rPr>
        <w:t xml:space="preserve"> </w:t>
      </w:r>
      <w:r>
        <w:t>further</w:t>
      </w:r>
      <w:r>
        <w:rPr>
          <w:spacing w:val="-6"/>
        </w:rPr>
        <w:t xml:space="preserve"> </w:t>
      </w:r>
      <w:r>
        <w:t>refine</w:t>
      </w:r>
      <w:r>
        <w:rPr>
          <w:spacing w:val="-5"/>
        </w:rPr>
        <w:t xml:space="preserve"> </w:t>
      </w:r>
      <w:r>
        <w:t>or</w:t>
      </w:r>
      <w:r>
        <w:rPr>
          <w:spacing w:val="-5"/>
        </w:rPr>
        <w:t xml:space="preserve"> </w:t>
      </w:r>
      <w:r>
        <w:t>improve</w:t>
      </w:r>
      <w:r>
        <w:rPr>
          <w:spacing w:val="-5"/>
        </w:rPr>
        <w:t xml:space="preserve"> </w:t>
      </w:r>
      <w:r>
        <w:t>its</w:t>
      </w:r>
      <w:r>
        <w:rPr>
          <w:spacing w:val="-5"/>
        </w:rPr>
        <w:t xml:space="preserve"> </w:t>
      </w:r>
      <w:r>
        <w:t>project and</w:t>
      </w:r>
      <w:r>
        <w:rPr>
          <w:spacing w:val="-6"/>
        </w:rPr>
        <w:t xml:space="preserve"> </w:t>
      </w:r>
      <w:r>
        <w:t>contract</w:t>
      </w:r>
      <w:r>
        <w:rPr>
          <w:spacing w:val="-4"/>
        </w:rPr>
        <w:t xml:space="preserve"> </w:t>
      </w:r>
      <w:r>
        <w:t>management</w:t>
      </w:r>
      <w:r>
        <w:rPr>
          <w:spacing w:val="-3"/>
        </w:rPr>
        <w:t xml:space="preserve"> </w:t>
      </w:r>
      <w:r>
        <w:t>procedures.</w:t>
      </w:r>
      <w:r>
        <w:rPr>
          <w:spacing w:val="-5"/>
        </w:rPr>
        <w:t xml:space="preserve"> </w:t>
      </w:r>
      <w:r>
        <w:t>For</w:t>
      </w:r>
      <w:r>
        <w:rPr>
          <w:spacing w:val="-4"/>
        </w:rPr>
        <w:t xml:space="preserve"> </w:t>
      </w:r>
      <w:r>
        <w:t>example,</w:t>
      </w:r>
      <w:r>
        <w:rPr>
          <w:spacing w:val="-5"/>
        </w:rPr>
        <w:t xml:space="preserve"> </w:t>
      </w:r>
      <w:r>
        <w:t>following</w:t>
      </w:r>
      <w:r>
        <w:rPr>
          <w:spacing w:val="-5"/>
        </w:rPr>
        <w:t xml:space="preserve"> </w:t>
      </w:r>
      <w:r>
        <w:t>the</w:t>
      </w:r>
      <w:r>
        <w:rPr>
          <w:spacing w:val="-5"/>
        </w:rPr>
        <w:t xml:space="preserve"> </w:t>
      </w:r>
      <w:r>
        <w:t>review</w:t>
      </w:r>
      <w:r>
        <w:rPr>
          <w:spacing w:val="-4"/>
        </w:rPr>
        <w:t xml:space="preserve"> </w:t>
      </w:r>
      <w:r>
        <w:t>of</w:t>
      </w:r>
      <w:r>
        <w:rPr>
          <w:spacing w:val="-4"/>
        </w:rPr>
        <w:t xml:space="preserve"> </w:t>
      </w:r>
      <w:r>
        <w:t>a</w:t>
      </w:r>
      <w:r>
        <w:rPr>
          <w:spacing w:val="-6"/>
        </w:rPr>
        <w:t xml:space="preserve"> </w:t>
      </w:r>
      <w:r>
        <w:t>sewer</w:t>
      </w:r>
      <w:r>
        <w:rPr>
          <w:spacing w:val="-6"/>
        </w:rPr>
        <w:t xml:space="preserve"> </w:t>
      </w:r>
      <w:r>
        <w:t>renewal</w:t>
      </w:r>
      <w:r>
        <w:rPr>
          <w:spacing w:val="-6"/>
        </w:rPr>
        <w:t xml:space="preserve"> </w:t>
      </w:r>
      <w:r>
        <w:t>program,</w:t>
      </w:r>
      <w:r>
        <w:rPr>
          <w:spacing w:val="-5"/>
        </w:rPr>
        <w:t xml:space="preserve"> </w:t>
      </w:r>
      <w:r>
        <w:t>insights from contractors saw the change from a schedule‐of‐rates term contract with annual works packages, to a competitively tendered lump‐sum contract that was scheduled twice during the price period. This approach provided more attractive, commercial scale options, as well as a reduction of establishment and travel costs reflected by the geographic remoteness of LMW’s service area.</w:t>
      </w:r>
    </w:p>
    <w:p w14:paraId="06739E44" w14:textId="77777777" w:rsidR="00141B97" w:rsidRDefault="00141B97">
      <w:pPr>
        <w:pStyle w:val="BodyText"/>
        <w:spacing w:before="3"/>
        <w:rPr>
          <w:sz w:val="25"/>
        </w:rPr>
      </w:pPr>
    </w:p>
    <w:p w14:paraId="1C8B3E1F" w14:textId="77777777" w:rsidR="00141B97" w:rsidRDefault="00911D63">
      <w:pPr>
        <w:pStyle w:val="BodyText"/>
        <w:spacing w:line="276" w:lineRule="auto"/>
        <w:ind w:left="153" w:right="245"/>
        <w:jc w:val="both"/>
      </w:pPr>
      <w:r>
        <w:t>Construction is typically undertaken by contractors under competitive tendering conditions with contractual performance requirements. Some low‐risk capital projects are undertaken by LMW staff where resources and capability can demonstrate efficient and quality delivery, for example, for water main or irrigation pipeline construction or replacement.</w:t>
      </w:r>
    </w:p>
    <w:p w14:paraId="24DAE433" w14:textId="77777777" w:rsidR="00141B97" w:rsidRDefault="00141B97">
      <w:pPr>
        <w:pStyle w:val="BodyText"/>
        <w:spacing w:before="2"/>
        <w:rPr>
          <w:sz w:val="31"/>
        </w:rPr>
      </w:pPr>
    </w:p>
    <w:p w14:paraId="7C7144EA" w14:textId="77777777" w:rsidR="00141B97" w:rsidRDefault="00911D63">
      <w:pPr>
        <w:pStyle w:val="Heading2"/>
        <w:numPr>
          <w:ilvl w:val="1"/>
          <w:numId w:val="113"/>
        </w:numPr>
        <w:tabs>
          <w:tab w:val="left" w:pos="1153"/>
        </w:tabs>
        <w:jc w:val="both"/>
      </w:pPr>
      <w:bookmarkStart w:id="19" w:name="_TOC_250008"/>
      <w:r>
        <w:rPr>
          <w:color w:val="009BAC"/>
        </w:rPr>
        <w:t>Tax</w:t>
      </w:r>
      <w:r>
        <w:rPr>
          <w:color w:val="009BAC"/>
          <w:spacing w:val="-3"/>
        </w:rPr>
        <w:t xml:space="preserve"> </w:t>
      </w:r>
      <w:bookmarkEnd w:id="19"/>
      <w:r>
        <w:rPr>
          <w:color w:val="009BAC"/>
          <w:spacing w:val="-2"/>
        </w:rPr>
        <w:t>Allowance</w:t>
      </w:r>
    </w:p>
    <w:p w14:paraId="206DB909" w14:textId="77777777" w:rsidR="00141B97" w:rsidRDefault="00911D63">
      <w:pPr>
        <w:pStyle w:val="BodyText"/>
        <w:spacing w:before="120" w:line="276" w:lineRule="auto"/>
        <w:ind w:left="153" w:right="246"/>
        <w:jc w:val="both"/>
      </w:pPr>
      <w:r>
        <w:t>For the tax allowance, ESC requires information on actual tax payments forecast as payable for National Tax Equivalent Regime (NTER) purposes. Tax depreciation allowances have been calculated using the opening allowances</w:t>
      </w:r>
      <w:r>
        <w:rPr>
          <w:spacing w:val="-10"/>
        </w:rPr>
        <w:t xml:space="preserve"> </w:t>
      </w:r>
      <w:r>
        <w:t>and</w:t>
      </w:r>
      <w:r>
        <w:rPr>
          <w:spacing w:val="-12"/>
        </w:rPr>
        <w:t xml:space="preserve"> </w:t>
      </w:r>
      <w:r>
        <w:t>the</w:t>
      </w:r>
      <w:r>
        <w:rPr>
          <w:spacing w:val="-11"/>
        </w:rPr>
        <w:t xml:space="preserve"> </w:t>
      </w:r>
      <w:r>
        <w:t>amount</w:t>
      </w:r>
      <w:r>
        <w:rPr>
          <w:spacing w:val="-11"/>
        </w:rPr>
        <w:t xml:space="preserve"> </w:t>
      </w:r>
      <w:r>
        <w:t>of</w:t>
      </w:r>
      <w:r>
        <w:rPr>
          <w:spacing w:val="-10"/>
        </w:rPr>
        <w:t xml:space="preserve"> </w:t>
      </w:r>
      <w:r>
        <w:t>capital</w:t>
      </w:r>
      <w:r>
        <w:rPr>
          <w:spacing w:val="-10"/>
        </w:rPr>
        <w:t xml:space="preserve"> </w:t>
      </w:r>
      <w:r>
        <w:t>expenditure</w:t>
      </w:r>
      <w:r>
        <w:rPr>
          <w:spacing w:val="-11"/>
        </w:rPr>
        <w:t xml:space="preserve"> </w:t>
      </w:r>
      <w:r>
        <w:t>for</w:t>
      </w:r>
      <w:r>
        <w:rPr>
          <w:spacing w:val="-9"/>
        </w:rPr>
        <w:t xml:space="preserve"> </w:t>
      </w:r>
      <w:r>
        <w:t>each</w:t>
      </w:r>
      <w:r>
        <w:rPr>
          <w:spacing w:val="-10"/>
        </w:rPr>
        <w:t xml:space="preserve"> </w:t>
      </w:r>
      <w:r>
        <w:t>tax</w:t>
      </w:r>
      <w:r>
        <w:rPr>
          <w:spacing w:val="-11"/>
        </w:rPr>
        <w:t xml:space="preserve"> </w:t>
      </w:r>
      <w:r>
        <w:t>category.</w:t>
      </w:r>
      <w:r>
        <w:rPr>
          <w:spacing w:val="-12"/>
        </w:rPr>
        <w:t xml:space="preserve"> </w:t>
      </w:r>
      <w:r>
        <w:t>Carried</w:t>
      </w:r>
      <w:r>
        <w:rPr>
          <w:spacing w:val="-9"/>
        </w:rPr>
        <w:t xml:space="preserve"> </w:t>
      </w:r>
      <w:r>
        <w:t>forward</w:t>
      </w:r>
      <w:r>
        <w:rPr>
          <w:spacing w:val="-10"/>
        </w:rPr>
        <w:t xml:space="preserve"> </w:t>
      </w:r>
      <w:r>
        <w:t>losses</w:t>
      </w:r>
      <w:r>
        <w:rPr>
          <w:spacing w:val="-11"/>
        </w:rPr>
        <w:t xml:space="preserve"> </w:t>
      </w:r>
      <w:r>
        <w:t>mean</w:t>
      </w:r>
      <w:r>
        <w:rPr>
          <w:spacing w:val="-12"/>
        </w:rPr>
        <w:t xml:space="preserve"> </w:t>
      </w:r>
      <w:r>
        <w:t>that</w:t>
      </w:r>
      <w:r>
        <w:rPr>
          <w:spacing w:val="-11"/>
        </w:rPr>
        <w:t xml:space="preserve"> </w:t>
      </w:r>
      <w:r>
        <w:t>there will be no tax forecast as being payable in the regulatory review period.</w:t>
      </w:r>
    </w:p>
    <w:p w14:paraId="2C605F6B" w14:textId="77777777" w:rsidR="00141B97" w:rsidRDefault="00141B97">
      <w:pPr>
        <w:spacing w:line="276" w:lineRule="auto"/>
        <w:jc w:val="both"/>
        <w:sectPr w:rsidR="00141B97">
          <w:pgSz w:w="11910" w:h="16840"/>
          <w:pgMar w:top="780" w:right="740" w:bottom="1120" w:left="980" w:header="0" w:footer="896" w:gutter="0"/>
          <w:cols w:space="720"/>
        </w:sectPr>
      </w:pPr>
    </w:p>
    <w:p w14:paraId="08395AD9" w14:textId="77777777" w:rsidR="00141B97" w:rsidRDefault="00911D63">
      <w:pPr>
        <w:pStyle w:val="Heading2"/>
        <w:numPr>
          <w:ilvl w:val="1"/>
          <w:numId w:val="113"/>
        </w:numPr>
        <w:tabs>
          <w:tab w:val="left" w:pos="1152"/>
          <w:tab w:val="left" w:pos="1153"/>
        </w:tabs>
        <w:spacing w:before="31"/>
      </w:pPr>
      <w:bookmarkStart w:id="20" w:name="_TOC_250007"/>
      <w:r>
        <w:rPr>
          <w:color w:val="009BAC"/>
        </w:rPr>
        <w:lastRenderedPageBreak/>
        <w:t>Significant</w:t>
      </w:r>
      <w:r>
        <w:rPr>
          <w:color w:val="009BAC"/>
          <w:spacing w:val="-14"/>
        </w:rPr>
        <w:t xml:space="preserve"> </w:t>
      </w:r>
      <w:bookmarkEnd w:id="20"/>
      <w:r>
        <w:rPr>
          <w:color w:val="009BAC"/>
          <w:spacing w:val="-2"/>
        </w:rPr>
        <w:t>Assumptions</w:t>
      </w:r>
    </w:p>
    <w:p w14:paraId="1B5EFB8B" w14:textId="77777777" w:rsidR="00141B97" w:rsidRDefault="00911D63">
      <w:pPr>
        <w:pStyle w:val="BodyText"/>
        <w:spacing w:before="120" w:line="276" w:lineRule="auto"/>
        <w:ind w:left="154" w:right="246" w:hanging="1"/>
        <w:jc w:val="both"/>
      </w:pPr>
      <w:r>
        <w:t>The assumptions underpinning each aspect of this submission are generally detailed in each of the respective sections of the document. Key financial assumptions used in developing prices are also provided in the ESC’s financial model template.</w:t>
      </w:r>
    </w:p>
    <w:p w14:paraId="25E4CCA1" w14:textId="77777777" w:rsidR="00141B97" w:rsidRDefault="00141B97">
      <w:pPr>
        <w:pStyle w:val="BodyText"/>
        <w:spacing w:before="3"/>
        <w:rPr>
          <w:sz w:val="25"/>
        </w:rPr>
      </w:pPr>
    </w:p>
    <w:p w14:paraId="558AFAC1" w14:textId="77777777" w:rsidR="00141B97" w:rsidRDefault="00911D63">
      <w:pPr>
        <w:pStyle w:val="BodyText"/>
        <w:spacing w:line="276" w:lineRule="auto"/>
        <w:ind w:left="153" w:right="248"/>
        <w:jc w:val="both"/>
      </w:pPr>
      <w:r>
        <w:t>A summary of the more significant assumptions on which PS5 is based is provided in Table A4 below. These assumptions are based on reasonable investigations and analysis and provide the best estimate of costs and revenues currently available for the price period.</w:t>
      </w:r>
    </w:p>
    <w:p w14:paraId="4FC295C7" w14:textId="77777777" w:rsidR="00141B97" w:rsidRDefault="00141B97">
      <w:pPr>
        <w:pStyle w:val="BodyText"/>
        <w:spacing w:before="11" w:after="1"/>
        <w:rPr>
          <w:sz w:val="24"/>
        </w:rPr>
      </w:pPr>
    </w:p>
    <w:tbl>
      <w:tblPr>
        <w:tblW w:w="0" w:type="auto"/>
        <w:tblCellSpacing w:w="4" w:type="dxa"/>
        <w:tblInd w:w="175" w:type="dxa"/>
        <w:tblLayout w:type="fixed"/>
        <w:tblCellMar>
          <w:left w:w="0" w:type="dxa"/>
          <w:right w:w="0" w:type="dxa"/>
        </w:tblCellMar>
        <w:tblLook w:val="01E0" w:firstRow="1" w:lastRow="1" w:firstColumn="1" w:lastColumn="1" w:noHBand="0" w:noVBand="0"/>
      </w:tblPr>
      <w:tblGrid>
        <w:gridCol w:w="1650"/>
        <w:gridCol w:w="8135"/>
      </w:tblGrid>
      <w:tr w:rsidR="00141B97" w14:paraId="3A27BD7C" w14:textId="77777777">
        <w:trPr>
          <w:trHeight w:val="328"/>
          <w:tblCellSpacing w:w="4" w:type="dxa"/>
        </w:trPr>
        <w:tc>
          <w:tcPr>
            <w:tcW w:w="1638" w:type="dxa"/>
            <w:tcBorders>
              <w:top w:val="nil"/>
              <w:left w:val="nil"/>
            </w:tcBorders>
            <w:shd w:val="clear" w:color="auto" w:fill="0064A4"/>
          </w:tcPr>
          <w:p w14:paraId="76F8E10F" w14:textId="77777777" w:rsidR="00141B97" w:rsidRDefault="00911D63">
            <w:pPr>
              <w:pStyle w:val="TableParagraph"/>
              <w:spacing w:before="38"/>
              <w:ind w:left="98"/>
              <w:rPr>
                <w:sz w:val="18"/>
              </w:rPr>
            </w:pPr>
            <w:r>
              <w:rPr>
                <w:color w:val="FFFFFF"/>
                <w:spacing w:val="-2"/>
                <w:sz w:val="18"/>
              </w:rPr>
              <w:t>Element</w:t>
            </w:r>
          </w:p>
        </w:tc>
        <w:tc>
          <w:tcPr>
            <w:tcW w:w="8123" w:type="dxa"/>
            <w:tcBorders>
              <w:top w:val="nil"/>
              <w:right w:val="nil"/>
            </w:tcBorders>
            <w:shd w:val="clear" w:color="auto" w:fill="0064A4"/>
          </w:tcPr>
          <w:p w14:paraId="44DF009F" w14:textId="77777777" w:rsidR="00141B97" w:rsidRDefault="00911D63">
            <w:pPr>
              <w:pStyle w:val="TableParagraph"/>
              <w:spacing w:before="38"/>
              <w:ind w:left="102"/>
              <w:rPr>
                <w:sz w:val="18"/>
              </w:rPr>
            </w:pPr>
            <w:r>
              <w:rPr>
                <w:color w:val="FFFFFF"/>
                <w:sz w:val="18"/>
              </w:rPr>
              <w:t xml:space="preserve">Key </w:t>
            </w:r>
            <w:r>
              <w:rPr>
                <w:color w:val="FFFFFF"/>
                <w:spacing w:val="-2"/>
                <w:sz w:val="18"/>
              </w:rPr>
              <w:t>Assumption</w:t>
            </w:r>
          </w:p>
        </w:tc>
      </w:tr>
      <w:tr w:rsidR="00141B97" w14:paraId="7F0459A6" w14:textId="77777777">
        <w:trPr>
          <w:trHeight w:val="1263"/>
          <w:tblCellSpacing w:w="4" w:type="dxa"/>
        </w:trPr>
        <w:tc>
          <w:tcPr>
            <w:tcW w:w="1638" w:type="dxa"/>
            <w:tcBorders>
              <w:left w:val="nil"/>
            </w:tcBorders>
            <w:shd w:val="clear" w:color="auto" w:fill="CCE2ED"/>
          </w:tcPr>
          <w:p w14:paraId="219D2334" w14:textId="77777777" w:rsidR="00141B97" w:rsidRDefault="00911D63">
            <w:pPr>
              <w:pStyle w:val="TableParagraph"/>
              <w:spacing w:before="1"/>
              <w:ind w:left="98"/>
              <w:rPr>
                <w:sz w:val="18"/>
              </w:rPr>
            </w:pPr>
            <w:r>
              <w:rPr>
                <w:spacing w:val="-2"/>
                <w:sz w:val="18"/>
              </w:rPr>
              <w:t>Labour</w:t>
            </w:r>
          </w:p>
        </w:tc>
        <w:tc>
          <w:tcPr>
            <w:tcW w:w="8123" w:type="dxa"/>
            <w:tcBorders>
              <w:right w:val="nil"/>
            </w:tcBorders>
            <w:shd w:val="clear" w:color="auto" w:fill="CCE2ED"/>
          </w:tcPr>
          <w:p w14:paraId="245C3D9C" w14:textId="77777777" w:rsidR="00141B97" w:rsidRDefault="00911D63">
            <w:pPr>
              <w:pStyle w:val="TableParagraph"/>
              <w:spacing w:before="1" w:line="276" w:lineRule="auto"/>
              <w:ind w:left="102" w:right="94"/>
              <w:jc w:val="both"/>
              <w:rPr>
                <w:sz w:val="18"/>
              </w:rPr>
            </w:pPr>
            <w:r>
              <w:rPr>
                <w:sz w:val="18"/>
              </w:rPr>
              <w:t>Labour cost assumptions are detailed in Section 4.3.1.2 in Parts B and C of the submission. Labour numbers include the 2021‐22 Board‐approved organisational structure roles, with only minor FTE changes forecast for the PS5 period as labour efficiencies and benefits from BTP Horizon 2 are realised. The labour cost forecast includes an EBA increase of 2.5%</w:t>
            </w:r>
            <w:r>
              <w:rPr>
                <w:spacing w:val="-1"/>
                <w:sz w:val="18"/>
              </w:rPr>
              <w:t xml:space="preserve"> </w:t>
            </w:r>
            <w:r>
              <w:rPr>
                <w:sz w:val="18"/>
              </w:rPr>
              <w:t>until the end of the current agreement in June</w:t>
            </w:r>
            <w:r>
              <w:rPr>
                <w:spacing w:val="-1"/>
                <w:sz w:val="18"/>
              </w:rPr>
              <w:t xml:space="preserve"> </w:t>
            </w:r>
            <w:r>
              <w:rPr>
                <w:sz w:val="18"/>
              </w:rPr>
              <w:t>2025, and 3.0% for the years</w:t>
            </w:r>
          </w:p>
          <w:p w14:paraId="01B45A99" w14:textId="77777777" w:rsidR="00141B97" w:rsidRDefault="00911D63">
            <w:pPr>
              <w:pStyle w:val="TableParagraph"/>
              <w:spacing w:line="219" w:lineRule="exact"/>
              <w:ind w:left="102"/>
              <w:jc w:val="both"/>
              <w:rPr>
                <w:sz w:val="18"/>
              </w:rPr>
            </w:pPr>
            <w:r>
              <w:rPr>
                <w:sz w:val="18"/>
              </w:rPr>
              <w:t>beyond</w:t>
            </w:r>
            <w:r>
              <w:rPr>
                <w:spacing w:val="-1"/>
                <w:sz w:val="18"/>
              </w:rPr>
              <w:t xml:space="preserve"> </w:t>
            </w:r>
            <w:r>
              <w:rPr>
                <w:spacing w:val="-2"/>
                <w:sz w:val="18"/>
              </w:rPr>
              <w:t>that.</w:t>
            </w:r>
          </w:p>
        </w:tc>
      </w:tr>
      <w:tr w:rsidR="00141B97" w14:paraId="55A895BD" w14:textId="77777777">
        <w:trPr>
          <w:trHeight w:val="757"/>
          <w:tblCellSpacing w:w="4" w:type="dxa"/>
        </w:trPr>
        <w:tc>
          <w:tcPr>
            <w:tcW w:w="1638" w:type="dxa"/>
            <w:tcBorders>
              <w:left w:val="nil"/>
            </w:tcBorders>
            <w:shd w:val="clear" w:color="auto" w:fill="CCE2ED"/>
          </w:tcPr>
          <w:p w14:paraId="64F02CBE" w14:textId="77777777" w:rsidR="00141B97" w:rsidRDefault="00911D63">
            <w:pPr>
              <w:pStyle w:val="TableParagraph"/>
              <w:spacing w:before="1"/>
              <w:ind w:left="98"/>
              <w:rPr>
                <w:sz w:val="18"/>
              </w:rPr>
            </w:pPr>
            <w:r>
              <w:rPr>
                <w:spacing w:val="-2"/>
                <w:sz w:val="18"/>
              </w:rPr>
              <w:t>Electricity</w:t>
            </w:r>
          </w:p>
        </w:tc>
        <w:tc>
          <w:tcPr>
            <w:tcW w:w="8123" w:type="dxa"/>
            <w:tcBorders>
              <w:right w:val="nil"/>
            </w:tcBorders>
            <w:shd w:val="clear" w:color="auto" w:fill="CCE2ED"/>
          </w:tcPr>
          <w:p w14:paraId="6CF1541B" w14:textId="77777777" w:rsidR="00141B97" w:rsidRDefault="00911D63">
            <w:pPr>
              <w:pStyle w:val="TableParagraph"/>
              <w:spacing w:before="1" w:line="276" w:lineRule="auto"/>
              <w:ind w:left="102"/>
              <w:rPr>
                <w:sz w:val="18"/>
              </w:rPr>
            </w:pPr>
            <w:r>
              <w:rPr>
                <w:sz w:val="18"/>
              </w:rPr>
              <w:t>Electricity cost assumptions for the PS5 period are detailed in Section 4.3.1.1 in Parts B and C and reflect a</w:t>
            </w:r>
            <w:r>
              <w:rPr>
                <w:spacing w:val="40"/>
                <w:sz w:val="18"/>
              </w:rPr>
              <w:t xml:space="preserve"> </w:t>
            </w:r>
            <w:r>
              <w:rPr>
                <w:sz w:val="18"/>
              </w:rPr>
              <w:t>significant</w:t>
            </w:r>
            <w:r>
              <w:rPr>
                <w:spacing w:val="14"/>
                <w:sz w:val="18"/>
              </w:rPr>
              <w:t xml:space="preserve"> </w:t>
            </w:r>
            <w:r>
              <w:rPr>
                <w:sz w:val="18"/>
              </w:rPr>
              <w:t>decrease</w:t>
            </w:r>
            <w:r>
              <w:rPr>
                <w:spacing w:val="16"/>
                <w:sz w:val="18"/>
              </w:rPr>
              <w:t xml:space="preserve"> </w:t>
            </w:r>
            <w:r>
              <w:rPr>
                <w:sz w:val="18"/>
              </w:rPr>
              <w:t>in</w:t>
            </w:r>
            <w:r>
              <w:rPr>
                <w:spacing w:val="17"/>
                <w:sz w:val="18"/>
              </w:rPr>
              <w:t xml:space="preserve"> </w:t>
            </w:r>
            <w:r>
              <w:rPr>
                <w:sz w:val="18"/>
              </w:rPr>
              <w:t>the</w:t>
            </w:r>
            <w:r>
              <w:rPr>
                <w:spacing w:val="18"/>
                <w:sz w:val="18"/>
              </w:rPr>
              <w:t xml:space="preserve"> </w:t>
            </w:r>
            <w:r>
              <w:rPr>
                <w:sz w:val="18"/>
              </w:rPr>
              <w:t>electricity</w:t>
            </w:r>
            <w:r>
              <w:rPr>
                <w:spacing w:val="17"/>
                <w:sz w:val="18"/>
              </w:rPr>
              <w:t xml:space="preserve"> </w:t>
            </w:r>
            <w:r>
              <w:rPr>
                <w:sz w:val="18"/>
              </w:rPr>
              <w:t>cost</w:t>
            </w:r>
            <w:r>
              <w:rPr>
                <w:spacing w:val="17"/>
                <w:sz w:val="18"/>
              </w:rPr>
              <w:t xml:space="preserve"> </w:t>
            </w:r>
            <w:r>
              <w:rPr>
                <w:sz w:val="18"/>
              </w:rPr>
              <w:t>forecast</w:t>
            </w:r>
            <w:r>
              <w:rPr>
                <w:spacing w:val="16"/>
                <w:sz w:val="18"/>
              </w:rPr>
              <w:t xml:space="preserve"> </w:t>
            </w:r>
            <w:r>
              <w:rPr>
                <w:sz w:val="18"/>
              </w:rPr>
              <w:t>from</w:t>
            </w:r>
            <w:r>
              <w:rPr>
                <w:spacing w:val="17"/>
                <w:sz w:val="18"/>
              </w:rPr>
              <w:t xml:space="preserve"> </w:t>
            </w:r>
            <w:r>
              <w:rPr>
                <w:sz w:val="18"/>
              </w:rPr>
              <w:t>the</w:t>
            </w:r>
            <w:r>
              <w:rPr>
                <w:spacing w:val="16"/>
                <w:sz w:val="18"/>
              </w:rPr>
              <w:t xml:space="preserve"> </w:t>
            </w:r>
            <w:r>
              <w:rPr>
                <w:sz w:val="18"/>
              </w:rPr>
              <w:t>current</w:t>
            </w:r>
            <w:r>
              <w:rPr>
                <w:spacing w:val="17"/>
                <w:sz w:val="18"/>
              </w:rPr>
              <w:t xml:space="preserve"> </w:t>
            </w:r>
            <w:r>
              <w:rPr>
                <w:sz w:val="18"/>
              </w:rPr>
              <w:t>period</w:t>
            </w:r>
            <w:r>
              <w:rPr>
                <w:spacing w:val="17"/>
                <w:sz w:val="18"/>
              </w:rPr>
              <w:t xml:space="preserve"> </w:t>
            </w:r>
            <w:r>
              <w:rPr>
                <w:sz w:val="18"/>
              </w:rPr>
              <w:t>due</w:t>
            </w:r>
            <w:r>
              <w:rPr>
                <w:spacing w:val="17"/>
                <w:sz w:val="18"/>
              </w:rPr>
              <w:t xml:space="preserve"> </w:t>
            </w:r>
            <w:r>
              <w:rPr>
                <w:sz w:val="18"/>
              </w:rPr>
              <w:t>to</w:t>
            </w:r>
            <w:r>
              <w:rPr>
                <w:spacing w:val="16"/>
                <w:sz w:val="18"/>
              </w:rPr>
              <w:t xml:space="preserve"> </w:t>
            </w:r>
            <w:r>
              <w:rPr>
                <w:sz w:val="18"/>
              </w:rPr>
              <w:t>the</w:t>
            </w:r>
            <w:r>
              <w:rPr>
                <w:spacing w:val="17"/>
                <w:sz w:val="18"/>
              </w:rPr>
              <w:t xml:space="preserve"> </w:t>
            </w:r>
            <w:r>
              <w:rPr>
                <w:sz w:val="18"/>
              </w:rPr>
              <w:t>recent</w:t>
            </w:r>
            <w:r>
              <w:rPr>
                <w:spacing w:val="16"/>
                <w:sz w:val="18"/>
              </w:rPr>
              <w:t xml:space="preserve"> </w:t>
            </w:r>
            <w:r>
              <w:rPr>
                <w:sz w:val="18"/>
              </w:rPr>
              <w:t>and</w:t>
            </w:r>
            <w:r>
              <w:rPr>
                <w:spacing w:val="18"/>
                <w:sz w:val="18"/>
              </w:rPr>
              <w:t xml:space="preserve"> </w:t>
            </w:r>
            <w:r>
              <w:rPr>
                <w:spacing w:val="-2"/>
                <w:sz w:val="18"/>
              </w:rPr>
              <w:t>forecast</w:t>
            </w:r>
          </w:p>
          <w:p w14:paraId="01347CE9" w14:textId="77777777" w:rsidR="00141B97" w:rsidRDefault="00911D63">
            <w:pPr>
              <w:pStyle w:val="TableParagraph"/>
              <w:spacing w:before="1"/>
              <w:ind w:left="102"/>
              <w:rPr>
                <w:sz w:val="18"/>
              </w:rPr>
            </w:pPr>
            <w:r>
              <w:rPr>
                <w:sz w:val="18"/>
              </w:rPr>
              <w:t>stabilisation</w:t>
            </w:r>
            <w:r>
              <w:rPr>
                <w:spacing w:val="-5"/>
                <w:sz w:val="18"/>
              </w:rPr>
              <w:t xml:space="preserve"> </w:t>
            </w:r>
            <w:r>
              <w:rPr>
                <w:sz w:val="18"/>
              </w:rPr>
              <w:t>of</w:t>
            </w:r>
            <w:r>
              <w:rPr>
                <w:spacing w:val="-4"/>
                <w:sz w:val="18"/>
              </w:rPr>
              <w:t xml:space="preserve"> </w:t>
            </w:r>
            <w:r>
              <w:rPr>
                <w:sz w:val="18"/>
              </w:rPr>
              <w:t>electricity</w:t>
            </w:r>
            <w:r>
              <w:rPr>
                <w:spacing w:val="-3"/>
                <w:sz w:val="18"/>
              </w:rPr>
              <w:t xml:space="preserve"> </w:t>
            </w:r>
            <w:r>
              <w:rPr>
                <w:spacing w:val="-2"/>
                <w:sz w:val="18"/>
              </w:rPr>
              <w:t>prices.</w:t>
            </w:r>
          </w:p>
        </w:tc>
      </w:tr>
      <w:tr w:rsidR="00141B97" w14:paraId="040A1FFD" w14:textId="77777777">
        <w:trPr>
          <w:trHeight w:val="758"/>
          <w:tblCellSpacing w:w="4" w:type="dxa"/>
        </w:trPr>
        <w:tc>
          <w:tcPr>
            <w:tcW w:w="1638" w:type="dxa"/>
            <w:tcBorders>
              <w:left w:val="nil"/>
            </w:tcBorders>
            <w:shd w:val="clear" w:color="auto" w:fill="CCE2ED"/>
          </w:tcPr>
          <w:p w14:paraId="3F855C1D" w14:textId="77777777" w:rsidR="00141B97" w:rsidRDefault="00911D63">
            <w:pPr>
              <w:pStyle w:val="TableParagraph"/>
              <w:spacing w:before="1"/>
              <w:ind w:left="98"/>
              <w:rPr>
                <w:sz w:val="18"/>
              </w:rPr>
            </w:pPr>
            <w:r>
              <w:rPr>
                <w:spacing w:val="-5"/>
                <w:sz w:val="18"/>
              </w:rPr>
              <w:t>ICT</w:t>
            </w:r>
          </w:p>
        </w:tc>
        <w:tc>
          <w:tcPr>
            <w:tcW w:w="8123" w:type="dxa"/>
            <w:tcBorders>
              <w:right w:val="nil"/>
            </w:tcBorders>
            <w:shd w:val="clear" w:color="auto" w:fill="CCE2ED"/>
          </w:tcPr>
          <w:p w14:paraId="7A2B8B6A" w14:textId="77777777" w:rsidR="00141B97" w:rsidRDefault="00911D63">
            <w:pPr>
              <w:pStyle w:val="TableParagraph"/>
              <w:spacing w:before="1"/>
              <w:ind w:left="102"/>
              <w:rPr>
                <w:sz w:val="18"/>
              </w:rPr>
            </w:pPr>
            <w:r>
              <w:rPr>
                <w:sz w:val="18"/>
              </w:rPr>
              <w:t>ICT</w:t>
            </w:r>
            <w:r>
              <w:rPr>
                <w:spacing w:val="20"/>
                <w:sz w:val="18"/>
              </w:rPr>
              <w:t xml:space="preserve"> </w:t>
            </w:r>
            <w:r>
              <w:rPr>
                <w:sz w:val="18"/>
              </w:rPr>
              <w:t>costs</w:t>
            </w:r>
            <w:r>
              <w:rPr>
                <w:spacing w:val="21"/>
                <w:sz w:val="18"/>
              </w:rPr>
              <w:t xml:space="preserve"> </w:t>
            </w:r>
            <w:r>
              <w:rPr>
                <w:sz w:val="18"/>
              </w:rPr>
              <w:t>have</w:t>
            </w:r>
            <w:r>
              <w:rPr>
                <w:spacing w:val="22"/>
                <w:sz w:val="18"/>
              </w:rPr>
              <w:t xml:space="preserve"> </w:t>
            </w:r>
            <w:r>
              <w:rPr>
                <w:sz w:val="18"/>
              </w:rPr>
              <w:t>and</w:t>
            </w:r>
            <w:r>
              <w:rPr>
                <w:spacing w:val="21"/>
                <w:sz w:val="18"/>
              </w:rPr>
              <w:t xml:space="preserve"> </w:t>
            </w:r>
            <w:r>
              <w:rPr>
                <w:sz w:val="18"/>
              </w:rPr>
              <w:t>are</w:t>
            </w:r>
            <w:r>
              <w:rPr>
                <w:spacing w:val="22"/>
                <w:sz w:val="18"/>
              </w:rPr>
              <w:t xml:space="preserve"> </w:t>
            </w:r>
            <w:r>
              <w:rPr>
                <w:sz w:val="18"/>
              </w:rPr>
              <w:t>assumed</w:t>
            </w:r>
            <w:r>
              <w:rPr>
                <w:spacing w:val="21"/>
                <w:sz w:val="18"/>
              </w:rPr>
              <w:t xml:space="preserve"> </w:t>
            </w:r>
            <w:r>
              <w:rPr>
                <w:sz w:val="18"/>
              </w:rPr>
              <w:t>to</w:t>
            </w:r>
            <w:r>
              <w:rPr>
                <w:spacing w:val="21"/>
                <w:sz w:val="18"/>
              </w:rPr>
              <w:t xml:space="preserve"> </w:t>
            </w:r>
            <w:r>
              <w:rPr>
                <w:sz w:val="18"/>
              </w:rPr>
              <w:t>continue</w:t>
            </w:r>
            <w:r>
              <w:rPr>
                <w:spacing w:val="21"/>
                <w:sz w:val="18"/>
              </w:rPr>
              <w:t xml:space="preserve"> </w:t>
            </w:r>
            <w:r>
              <w:rPr>
                <w:sz w:val="18"/>
              </w:rPr>
              <w:t>to</w:t>
            </w:r>
            <w:r>
              <w:rPr>
                <w:spacing w:val="23"/>
                <w:sz w:val="18"/>
              </w:rPr>
              <w:t xml:space="preserve"> </w:t>
            </w:r>
            <w:r>
              <w:rPr>
                <w:sz w:val="18"/>
              </w:rPr>
              <w:t>increase</w:t>
            </w:r>
            <w:r>
              <w:rPr>
                <w:spacing w:val="21"/>
                <w:sz w:val="18"/>
              </w:rPr>
              <w:t xml:space="preserve"> </w:t>
            </w:r>
            <w:r>
              <w:rPr>
                <w:sz w:val="18"/>
              </w:rPr>
              <w:t>steadily</w:t>
            </w:r>
            <w:r>
              <w:rPr>
                <w:spacing w:val="21"/>
                <w:sz w:val="18"/>
              </w:rPr>
              <w:t xml:space="preserve"> </w:t>
            </w:r>
            <w:r>
              <w:rPr>
                <w:sz w:val="18"/>
              </w:rPr>
              <w:t>as</w:t>
            </w:r>
            <w:r>
              <w:rPr>
                <w:spacing w:val="21"/>
                <w:sz w:val="18"/>
              </w:rPr>
              <w:t xml:space="preserve"> </w:t>
            </w:r>
            <w:r>
              <w:rPr>
                <w:sz w:val="18"/>
              </w:rPr>
              <w:t>a</w:t>
            </w:r>
            <w:r>
              <w:rPr>
                <w:spacing w:val="22"/>
                <w:sz w:val="18"/>
              </w:rPr>
              <w:t xml:space="preserve"> </w:t>
            </w:r>
            <w:r>
              <w:rPr>
                <w:sz w:val="18"/>
              </w:rPr>
              <w:t>proportion</w:t>
            </w:r>
            <w:r>
              <w:rPr>
                <w:spacing w:val="20"/>
                <w:sz w:val="18"/>
              </w:rPr>
              <w:t xml:space="preserve"> </w:t>
            </w:r>
            <w:r>
              <w:rPr>
                <w:sz w:val="18"/>
              </w:rPr>
              <w:t>of</w:t>
            </w:r>
            <w:r>
              <w:rPr>
                <w:spacing w:val="21"/>
                <w:sz w:val="18"/>
              </w:rPr>
              <w:t xml:space="preserve"> </w:t>
            </w:r>
            <w:r>
              <w:rPr>
                <w:sz w:val="18"/>
              </w:rPr>
              <w:t>total</w:t>
            </w:r>
            <w:r>
              <w:rPr>
                <w:spacing w:val="22"/>
                <w:sz w:val="18"/>
              </w:rPr>
              <w:t xml:space="preserve"> </w:t>
            </w:r>
            <w:r>
              <w:rPr>
                <w:sz w:val="18"/>
              </w:rPr>
              <w:t>costs,</w:t>
            </w:r>
            <w:r>
              <w:rPr>
                <w:spacing w:val="22"/>
                <w:sz w:val="18"/>
              </w:rPr>
              <w:t xml:space="preserve"> </w:t>
            </w:r>
            <w:r>
              <w:rPr>
                <w:sz w:val="18"/>
              </w:rPr>
              <w:t>driven</w:t>
            </w:r>
            <w:r>
              <w:rPr>
                <w:spacing w:val="22"/>
                <w:sz w:val="18"/>
              </w:rPr>
              <w:t xml:space="preserve"> </w:t>
            </w:r>
            <w:r>
              <w:rPr>
                <w:spacing w:val="-5"/>
                <w:sz w:val="18"/>
              </w:rPr>
              <w:t>by</w:t>
            </w:r>
          </w:p>
          <w:p w14:paraId="73905B43" w14:textId="77777777" w:rsidR="00141B97" w:rsidRDefault="00911D63">
            <w:pPr>
              <w:pStyle w:val="TableParagraph"/>
              <w:spacing w:before="3" w:line="250" w:lineRule="atLeast"/>
              <w:ind w:left="102" w:right="43"/>
              <w:rPr>
                <w:sz w:val="18"/>
              </w:rPr>
            </w:pPr>
            <w:r>
              <w:rPr>
                <w:sz w:val="18"/>
              </w:rPr>
              <w:t>increases in software licence fees and the shift to the Software as a Service (SaaS) model, growth in numbers of software applications in use, and increased focus on cyber security.</w:t>
            </w:r>
          </w:p>
        </w:tc>
      </w:tr>
      <w:tr w:rsidR="00141B97" w14:paraId="05ED0004" w14:textId="77777777">
        <w:trPr>
          <w:trHeight w:val="1261"/>
          <w:tblCellSpacing w:w="4" w:type="dxa"/>
        </w:trPr>
        <w:tc>
          <w:tcPr>
            <w:tcW w:w="1638" w:type="dxa"/>
            <w:tcBorders>
              <w:left w:val="nil"/>
              <w:bottom w:val="nil"/>
            </w:tcBorders>
            <w:shd w:val="clear" w:color="auto" w:fill="CCE2ED"/>
          </w:tcPr>
          <w:p w14:paraId="1379F020" w14:textId="77777777" w:rsidR="00141B97" w:rsidRDefault="00911D63">
            <w:pPr>
              <w:pStyle w:val="TableParagraph"/>
              <w:spacing w:before="1"/>
              <w:ind w:left="98"/>
              <w:rPr>
                <w:sz w:val="18"/>
              </w:rPr>
            </w:pPr>
            <w:r>
              <w:rPr>
                <w:sz w:val="18"/>
              </w:rPr>
              <w:t>Operating</w:t>
            </w:r>
            <w:r>
              <w:rPr>
                <w:spacing w:val="-8"/>
                <w:sz w:val="18"/>
              </w:rPr>
              <w:t xml:space="preserve"> </w:t>
            </w:r>
            <w:r>
              <w:rPr>
                <w:sz w:val="18"/>
              </w:rPr>
              <w:t>Costs</w:t>
            </w:r>
            <w:r>
              <w:rPr>
                <w:spacing w:val="-5"/>
                <w:sz w:val="18"/>
              </w:rPr>
              <w:t xml:space="preserve"> </w:t>
            </w:r>
            <w:r>
              <w:rPr>
                <w:spacing w:val="-12"/>
                <w:sz w:val="18"/>
              </w:rPr>
              <w:t>‐</w:t>
            </w:r>
          </w:p>
          <w:p w14:paraId="47FDAC7A" w14:textId="77777777" w:rsidR="00141B97" w:rsidRDefault="00911D63">
            <w:pPr>
              <w:pStyle w:val="TableParagraph"/>
              <w:spacing w:before="33"/>
              <w:ind w:left="98"/>
              <w:rPr>
                <w:sz w:val="18"/>
              </w:rPr>
            </w:pPr>
            <w:r>
              <w:rPr>
                <w:spacing w:val="-2"/>
                <w:sz w:val="18"/>
              </w:rPr>
              <w:t>General</w:t>
            </w:r>
          </w:p>
        </w:tc>
        <w:tc>
          <w:tcPr>
            <w:tcW w:w="8123" w:type="dxa"/>
            <w:tcBorders>
              <w:bottom w:val="nil"/>
              <w:right w:val="nil"/>
            </w:tcBorders>
            <w:shd w:val="clear" w:color="auto" w:fill="CCE2ED"/>
          </w:tcPr>
          <w:p w14:paraId="69CEAEA4" w14:textId="77777777" w:rsidR="00141B97" w:rsidRDefault="00911D63">
            <w:pPr>
              <w:pStyle w:val="TableParagraph"/>
              <w:spacing w:before="1" w:line="276" w:lineRule="auto"/>
              <w:ind w:left="102" w:right="94"/>
              <w:jc w:val="both"/>
              <w:rPr>
                <w:sz w:val="18"/>
              </w:rPr>
            </w:pPr>
            <w:r>
              <w:rPr>
                <w:sz w:val="18"/>
              </w:rPr>
              <w:t>In general, other operating costs are prudent and efficient and assumed to remain relatively constant in real terms</w:t>
            </w:r>
            <w:r>
              <w:rPr>
                <w:spacing w:val="-8"/>
                <w:sz w:val="18"/>
              </w:rPr>
              <w:t xml:space="preserve"> </w:t>
            </w:r>
            <w:r>
              <w:rPr>
                <w:sz w:val="18"/>
              </w:rPr>
              <w:t>relative</w:t>
            </w:r>
            <w:r>
              <w:rPr>
                <w:spacing w:val="-8"/>
                <w:sz w:val="18"/>
              </w:rPr>
              <w:t xml:space="preserve"> </w:t>
            </w:r>
            <w:r>
              <w:rPr>
                <w:sz w:val="18"/>
              </w:rPr>
              <w:t>to</w:t>
            </w:r>
            <w:r>
              <w:rPr>
                <w:spacing w:val="-7"/>
                <w:sz w:val="18"/>
              </w:rPr>
              <w:t xml:space="preserve"> </w:t>
            </w:r>
            <w:r>
              <w:rPr>
                <w:sz w:val="18"/>
              </w:rPr>
              <w:t>the</w:t>
            </w:r>
            <w:r>
              <w:rPr>
                <w:spacing w:val="-8"/>
                <w:sz w:val="18"/>
              </w:rPr>
              <w:t xml:space="preserve"> </w:t>
            </w:r>
            <w:r>
              <w:rPr>
                <w:sz w:val="18"/>
              </w:rPr>
              <w:t>2023</w:t>
            </w:r>
            <w:r>
              <w:rPr>
                <w:spacing w:val="-7"/>
                <w:sz w:val="18"/>
              </w:rPr>
              <w:t xml:space="preserve"> </w:t>
            </w:r>
            <w:r>
              <w:rPr>
                <w:sz w:val="18"/>
              </w:rPr>
              <w:t>Corporate</w:t>
            </w:r>
            <w:r>
              <w:rPr>
                <w:spacing w:val="-7"/>
                <w:sz w:val="18"/>
              </w:rPr>
              <w:t xml:space="preserve"> </w:t>
            </w:r>
            <w:r>
              <w:rPr>
                <w:sz w:val="18"/>
              </w:rPr>
              <w:t>Plan</w:t>
            </w:r>
            <w:r>
              <w:rPr>
                <w:spacing w:val="-8"/>
                <w:sz w:val="18"/>
              </w:rPr>
              <w:t xml:space="preserve"> </w:t>
            </w:r>
            <w:r>
              <w:rPr>
                <w:sz w:val="18"/>
              </w:rPr>
              <w:t>budgets</w:t>
            </w:r>
            <w:r>
              <w:rPr>
                <w:spacing w:val="-7"/>
                <w:sz w:val="18"/>
              </w:rPr>
              <w:t xml:space="preserve"> </w:t>
            </w:r>
            <w:r>
              <w:rPr>
                <w:sz w:val="18"/>
              </w:rPr>
              <w:t>for</w:t>
            </w:r>
            <w:r>
              <w:rPr>
                <w:spacing w:val="-7"/>
                <w:sz w:val="18"/>
              </w:rPr>
              <w:t xml:space="preserve"> </w:t>
            </w:r>
            <w:r>
              <w:rPr>
                <w:sz w:val="18"/>
              </w:rPr>
              <w:t>both</w:t>
            </w:r>
            <w:r>
              <w:rPr>
                <w:spacing w:val="-7"/>
                <w:sz w:val="18"/>
              </w:rPr>
              <w:t xml:space="preserve"> </w:t>
            </w:r>
            <w:r>
              <w:rPr>
                <w:sz w:val="18"/>
              </w:rPr>
              <w:t>the</w:t>
            </w:r>
            <w:r>
              <w:rPr>
                <w:spacing w:val="-8"/>
                <w:sz w:val="18"/>
              </w:rPr>
              <w:t xml:space="preserve"> </w:t>
            </w:r>
            <w:r>
              <w:rPr>
                <w:sz w:val="18"/>
              </w:rPr>
              <w:t>rural</w:t>
            </w:r>
            <w:r>
              <w:rPr>
                <w:spacing w:val="-8"/>
                <w:sz w:val="18"/>
              </w:rPr>
              <w:t xml:space="preserve"> </w:t>
            </w:r>
            <w:r>
              <w:rPr>
                <w:sz w:val="18"/>
              </w:rPr>
              <w:t>and</w:t>
            </w:r>
            <w:r>
              <w:rPr>
                <w:spacing w:val="-7"/>
                <w:sz w:val="18"/>
              </w:rPr>
              <w:t xml:space="preserve"> </w:t>
            </w:r>
            <w:r>
              <w:rPr>
                <w:sz w:val="18"/>
              </w:rPr>
              <w:t>urban</w:t>
            </w:r>
            <w:r>
              <w:rPr>
                <w:spacing w:val="-8"/>
                <w:sz w:val="18"/>
              </w:rPr>
              <w:t xml:space="preserve"> </w:t>
            </w:r>
            <w:r>
              <w:rPr>
                <w:sz w:val="18"/>
              </w:rPr>
              <w:t>businesses,</w:t>
            </w:r>
            <w:r>
              <w:rPr>
                <w:spacing w:val="-7"/>
                <w:sz w:val="18"/>
              </w:rPr>
              <w:t xml:space="preserve"> </w:t>
            </w:r>
            <w:r>
              <w:rPr>
                <w:sz w:val="18"/>
              </w:rPr>
              <w:t>with</w:t>
            </w:r>
            <w:r>
              <w:rPr>
                <w:spacing w:val="-7"/>
                <w:sz w:val="18"/>
              </w:rPr>
              <w:t xml:space="preserve"> </w:t>
            </w:r>
            <w:r>
              <w:rPr>
                <w:sz w:val="18"/>
              </w:rPr>
              <w:t>minor</w:t>
            </w:r>
            <w:r>
              <w:rPr>
                <w:spacing w:val="-7"/>
                <w:sz w:val="18"/>
              </w:rPr>
              <w:t xml:space="preserve"> </w:t>
            </w:r>
            <w:r>
              <w:rPr>
                <w:sz w:val="18"/>
              </w:rPr>
              <w:t>positive and</w:t>
            </w:r>
            <w:r>
              <w:rPr>
                <w:spacing w:val="-6"/>
                <w:sz w:val="18"/>
              </w:rPr>
              <w:t xml:space="preserve"> </w:t>
            </w:r>
            <w:r>
              <w:rPr>
                <w:sz w:val="18"/>
              </w:rPr>
              <w:t>negative</w:t>
            </w:r>
            <w:r>
              <w:rPr>
                <w:spacing w:val="-7"/>
                <w:sz w:val="18"/>
              </w:rPr>
              <w:t xml:space="preserve"> </w:t>
            </w:r>
            <w:r>
              <w:rPr>
                <w:sz w:val="18"/>
              </w:rPr>
              <w:t>year‐on‐year</w:t>
            </w:r>
            <w:r>
              <w:rPr>
                <w:spacing w:val="-6"/>
                <w:sz w:val="18"/>
              </w:rPr>
              <w:t xml:space="preserve"> </w:t>
            </w:r>
            <w:r>
              <w:rPr>
                <w:sz w:val="18"/>
              </w:rPr>
              <w:t>fluctuations</w:t>
            </w:r>
            <w:r>
              <w:rPr>
                <w:spacing w:val="-7"/>
                <w:sz w:val="18"/>
              </w:rPr>
              <w:t xml:space="preserve"> </w:t>
            </w:r>
            <w:r>
              <w:rPr>
                <w:sz w:val="18"/>
              </w:rPr>
              <w:t>across</w:t>
            </w:r>
            <w:r>
              <w:rPr>
                <w:spacing w:val="-6"/>
                <w:sz w:val="18"/>
              </w:rPr>
              <w:t xml:space="preserve"> </w:t>
            </w:r>
            <w:r>
              <w:rPr>
                <w:sz w:val="18"/>
              </w:rPr>
              <w:t>the</w:t>
            </w:r>
            <w:r>
              <w:rPr>
                <w:spacing w:val="-5"/>
                <w:sz w:val="18"/>
              </w:rPr>
              <w:t xml:space="preserve"> </w:t>
            </w:r>
            <w:r>
              <w:rPr>
                <w:sz w:val="18"/>
              </w:rPr>
              <w:t>period.</w:t>
            </w:r>
            <w:r>
              <w:rPr>
                <w:spacing w:val="-6"/>
                <w:sz w:val="18"/>
              </w:rPr>
              <w:t xml:space="preserve"> </w:t>
            </w:r>
            <w:r>
              <w:rPr>
                <w:sz w:val="18"/>
              </w:rPr>
              <w:t>Operating</w:t>
            </w:r>
            <w:r>
              <w:rPr>
                <w:spacing w:val="-6"/>
                <w:sz w:val="18"/>
              </w:rPr>
              <w:t xml:space="preserve"> </w:t>
            </w:r>
            <w:r>
              <w:rPr>
                <w:sz w:val="18"/>
              </w:rPr>
              <w:t>costs</w:t>
            </w:r>
            <w:r>
              <w:rPr>
                <w:spacing w:val="-6"/>
                <w:sz w:val="18"/>
              </w:rPr>
              <w:t xml:space="preserve"> </w:t>
            </w:r>
            <w:r>
              <w:rPr>
                <w:sz w:val="18"/>
              </w:rPr>
              <w:t>are</w:t>
            </w:r>
            <w:r>
              <w:rPr>
                <w:spacing w:val="-6"/>
                <w:sz w:val="18"/>
              </w:rPr>
              <w:t xml:space="preserve"> </w:t>
            </w:r>
            <w:r>
              <w:rPr>
                <w:sz w:val="18"/>
              </w:rPr>
              <w:t>based</w:t>
            </w:r>
            <w:r>
              <w:rPr>
                <w:spacing w:val="-6"/>
                <w:sz w:val="18"/>
              </w:rPr>
              <w:t xml:space="preserve"> </w:t>
            </w:r>
            <w:r>
              <w:rPr>
                <w:sz w:val="18"/>
              </w:rPr>
              <w:t>on</w:t>
            </w:r>
            <w:r>
              <w:rPr>
                <w:spacing w:val="-6"/>
                <w:sz w:val="18"/>
              </w:rPr>
              <w:t xml:space="preserve"> </w:t>
            </w:r>
            <w:r>
              <w:rPr>
                <w:sz w:val="18"/>
              </w:rPr>
              <w:t>normal</w:t>
            </w:r>
            <w:r>
              <w:rPr>
                <w:spacing w:val="-7"/>
                <w:sz w:val="18"/>
              </w:rPr>
              <w:t xml:space="preserve"> </w:t>
            </w:r>
            <w:r>
              <w:rPr>
                <w:sz w:val="18"/>
              </w:rPr>
              <w:t>operations</w:t>
            </w:r>
            <w:r>
              <w:rPr>
                <w:spacing w:val="-6"/>
                <w:sz w:val="18"/>
              </w:rPr>
              <w:t xml:space="preserve"> </w:t>
            </w:r>
            <w:r>
              <w:rPr>
                <w:sz w:val="18"/>
              </w:rPr>
              <w:t>and assume</w:t>
            </w:r>
            <w:r>
              <w:rPr>
                <w:spacing w:val="-4"/>
                <w:sz w:val="18"/>
              </w:rPr>
              <w:t xml:space="preserve"> </w:t>
            </w:r>
            <w:r>
              <w:rPr>
                <w:sz w:val="18"/>
              </w:rPr>
              <w:t>a</w:t>
            </w:r>
            <w:r>
              <w:rPr>
                <w:spacing w:val="-5"/>
                <w:sz w:val="18"/>
              </w:rPr>
              <w:t xml:space="preserve"> </w:t>
            </w:r>
            <w:r>
              <w:rPr>
                <w:sz w:val="18"/>
              </w:rPr>
              <w:t>low</w:t>
            </w:r>
            <w:r>
              <w:rPr>
                <w:spacing w:val="-4"/>
                <w:sz w:val="18"/>
              </w:rPr>
              <w:t xml:space="preserve"> </w:t>
            </w:r>
            <w:r>
              <w:rPr>
                <w:sz w:val="18"/>
              </w:rPr>
              <w:t>but</w:t>
            </w:r>
            <w:r>
              <w:rPr>
                <w:spacing w:val="-4"/>
                <w:sz w:val="18"/>
              </w:rPr>
              <w:t xml:space="preserve"> </w:t>
            </w:r>
            <w:r>
              <w:rPr>
                <w:sz w:val="18"/>
              </w:rPr>
              <w:t>realistic</w:t>
            </w:r>
            <w:r>
              <w:rPr>
                <w:spacing w:val="-4"/>
                <w:sz w:val="18"/>
              </w:rPr>
              <w:t xml:space="preserve"> </w:t>
            </w:r>
            <w:r>
              <w:rPr>
                <w:sz w:val="18"/>
              </w:rPr>
              <w:t>risk</w:t>
            </w:r>
            <w:r>
              <w:rPr>
                <w:spacing w:val="-4"/>
                <w:sz w:val="18"/>
              </w:rPr>
              <w:t xml:space="preserve"> </w:t>
            </w:r>
            <w:r>
              <w:rPr>
                <w:sz w:val="18"/>
              </w:rPr>
              <w:t>of</w:t>
            </w:r>
            <w:r>
              <w:rPr>
                <w:spacing w:val="-5"/>
                <w:sz w:val="18"/>
              </w:rPr>
              <w:t xml:space="preserve"> </w:t>
            </w:r>
            <w:r>
              <w:rPr>
                <w:sz w:val="18"/>
              </w:rPr>
              <w:t>possible</w:t>
            </w:r>
            <w:r>
              <w:rPr>
                <w:spacing w:val="-5"/>
                <w:sz w:val="18"/>
              </w:rPr>
              <w:t xml:space="preserve"> </w:t>
            </w:r>
            <w:r>
              <w:rPr>
                <w:sz w:val="18"/>
              </w:rPr>
              <w:t>abnormal</w:t>
            </w:r>
            <w:r>
              <w:rPr>
                <w:spacing w:val="-5"/>
                <w:sz w:val="18"/>
              </w:rPr>
              <w:t xml:space="preserve"> </w:t>
            </w:r>
            <w:r>
              <w:rPr>
                <w:sz w:val="18"/>
              </w:rPr>
              <w:t>operating</w:t>
            </w:r>
            <w:r>
              <w:rPr>
                <w:spacing w:val="-4"/>
                <w:sz w:val="18"/>
              </w:rPr>
              <w:t xml:space="preserve"> </w:t>
            </w:r>
            <w:r>
              <w:rPr>
                <w:sz w:val="18"/>
              </w:rPr>
              <w:t>costs</w:t>
            </w:r>
            <w:r>
              <w:rPr>
                <w:spacing w:val="-4"/>
                <w:sz w:val="18"/>
              </w:rPr>
              <w:t xml:space="preserve"> </w:t>
            </w:r>
            <w:r>
              <w:rPr>
                <w:sz w:val="18"/>
              </w:rPr>
              <w:t>arising</w:t>
            </w:r>
            <w:r>
              <w:rPr>
                <w:spacing w:val="-4"/>
                <w:sz w:val="18"/>
              </w:rPr>
              <w:t xml:space="preserve"> </w:t>
            </w:r>
            <w:r>
              <w:rPr>
                <w:sz w:val="18"/>
              </w:rPr>
              <w:t>from</w:t>
            </w:r>
            <w:r>
              <w:rPr>
                <w:spacing w:val="-4"/>
                <w:sz w:val="18"/>
              </w:rPr>
              <w:t xml:space="preserve"> </w:t>
            </w:r>
            <w:r>
              <w:rPr>
                <w:sz w:val="18"/>
              </w:rPr>
              <w:t>poor</w:t>
            </w:r>
            <w:r>
              <w:rPr>
                <w:spacing w:val="-4"/>
                <w:sz w:val="18"/>
              </w:rPr>
              <w:t xml:space="preserve"> </w:t>
            </w:r>
            <w:r>
              <w:rPr>
                <w:sz w:val="18"/>
              </w:rPr>
              <w:t>raw</w:t>
            </w:r>
            <w:r>
              <w:rPr>
                <w:spacing w:val="-5"/>
                <w:sz w:val="18"/>
              </w:rPr>
              <w:t xml:space="preserve"> </w:t>
            </w:r>
            <w:r>
              <w:rPr>
                <w:sz w:val="18"/>
              </w:rPr>
              <w:t>water</w:t>
            </w:r>
            <w:r>
              <w:rPr>
                <w:spacing w:val="-4"/>
                <w:sz w:val="18"/>
              </w:rPr>
              <w:t xml:space="preserve"> </w:t>
            </w:r>
            <w:r>
              <w:rPr>
                <w:sz w:val="18"/>
              </w:rPr>
              <w:t>quality,</w:t>
            </w:r>
            <w:r>
              <w:rPr>
                <w:spacing w:val="-4"/>
                <w:sz w:val="18"/>
              </w:rPr>
              <w:t xml:space="preserve"> </w:t>
            </w:r>
            <w:r>
              <w:rPr>
                <w:sz w:val="18"/>
              </w:rPr>
              <w:t>flood,</w:t>
            </w:r>
          </w:p>
          <w:p w14:paraId="390EC01E" w14:textId="77777777" w:rsidR="00141B97" w:rsidRDefault="00911D63">
            <w:pPr>
              <w:pStyle w:val="TableParagraph"/>
              <w:spacing w:before="1"/>
              <w:ind w:left="102"/>
              <w:jc w:val="both"/>
              <w:rPr>
                <w:sz w:val="18"/>
              </w:rPr>
            </w:pPr>
            <w:r>
              <w:rPr>
                <w:sz w:val="18"/>
              </w:rPr>
              <w:t>or</w:t>
            </w:r>
            <w:r>
              <w:rPr>
                <w:spacing w:val="-3"/>
                <w:sz w:val="18"/>
              </w:rPr>
              <w:t xml:space="preserve"> </w:t>
            </w:r>
            <w:r>
              <w:rPr>
                <w:sz w:val="18"/>
              </w:rPr>
              <w:t>storm</w:t>
            </w:r>
            <w:r>
              <w:rPr>
                <w:spacing w:val="-2"/>
                <w:sz w:val="18"/>
              </w:rPr>
              <w:t xml:space="preserve"> events.</w:t>
            </w:r>
          </w:p>
        </w:tc>
      </w:tr>
      <w:tr w:rsidR="00141B97" w14:paraId="7EA6CC19" w14:textId="77777777">
        <w:trPr>
          <w:trHeight w:val="1513"/>
          <w:tblCellSpacing w:w="4" w:type="dxa"/>
        </w:trPr>
        <w:tc>
          <w:tcPr>
            <w:tcW w:w="1638" w:type="dxa"/>
            <w:tcBorders>
              <w:top w:val="nil"/>
              <w:left w:val="nil"/>
            </w:tcBorders>
            <w:shd w:val="clear" w:color="auto" w:fill="CCE2ED"/>
          </w:tcPr>
          <w:p w14:paraId="70264702" w14:textId="77777777" w:rsidR="00141B97" w:rsidRDefault="00911D63">
            <w:pPr>
              <w:pStyle w:val="TableParagraph"/>
              <w:spacing w:line="219" w:lineRule="exact"/>
              <w:ind w:left="98"/>
              <w:rPr>
                <w:sz w:val="18"/>
              </w:rPr>
            </w:pPr>
            <w:r>
              <w:rPr>
                <w:sz w:val="18"/>
              </w:rPr>
              <w:t xml:space="preserve">Capital </w:t>
            </w:r>
            <w:r>
              <w:rPr>
                <w:spacing w:val="-2"/>
                <w:sz w:val="18"/>
              </w:rPr>
              <w:t>Expenditure</w:t>
            </w:r>
          </w:p>
        </w:tc>
        <w:tc>
          <w:tcPr>
            <w:tcW w:w="8123" w:type="dxa"/>
            <w:tcBorders>
              <w:top w:val="nil"/>
              <w:right w:val="nil"/>
            </w:tcBorders>
            <w:shd w:val="clear" w:color="auto" w:fill="CCE2ED"/>
          </w:tcPr>
          <w:p w14:paraId="077F025A" w14:textId="77777777" w:rsidR="00141B97" w:rsidRDefault="00911D63">
            <w:pPr>
              <w:pStyle w:val="TableParagraph"/>
              <w:spacing w:line="276" w:lineRule="auto"/>
              <w:ind w:left="102" w:right="94"/>
              <w:jc w:val="both"/>
              <w:rPr>
                <w:sz w:val="18"/>
              </w:rPr>
            </w:pPr>
            <w:r>
              <w:rPr>
                <w:sz w:val="18"/>
              </w:rPr>
              <w:t>LMW’s prudent</w:t>
            </w:r>
            <w:r>
              <w:rPr>
                <w:spacing w:val="-1"/>
                <w:sz w:val="18"/>
              </w:rPr>
              <w:t xml:space="preserve"> </w:t>
            </w:r>
            <w:r>
              <w:rPr>
                <w:sz w:val="18"/>
              </w:rPr>
              <w:t>and efficient capital program is primarily</w:t>
            </w:r>
            <w:r>
              <w:rPr>
                <w:spacing w:val="-1"/>
                <w:sz w:val="18"/>
              </w:rPr>
              <w:t xml:space="preserve"> </w:t>
            </w:r>
            <w:r>
              <w:rPr>
                <w:sz w:val="18"/>
              </w:rPr>
              <w:t>driven by renewal</w:t>
            </w:r>
            <w:r>
              <w:rPr>
                <w:spacing w:val="-1"/>
                <w:sz w:val="18"/>
              </w:rPr>
              <w:t xml:space="preserve"> </w:t>
            </w:r>
            <w:r>
              <w:rPr>
                <w:sz w:val="18"/>
              </w:rPr>
              <w:t>of ageing</w:t>
            </w:r>
            <w:r>
              <w:rPr>
                <w:spacing w:val="-1"/>
                <w:sz w:val="18"/>
              </w:rPr>
              <w:t xml:space="preserve"> </w:t>
            </w:r>
            <w:r>
              <w:rPr>
                <w:sz w:val="18"/>
              </w:rPr>
              <w:t>assets but</w:t>
            </w:r>
            <w:r>
              <w:rPr>
                <w:spacing w:val="-1"/>
                <w:sz w:val="18"/>
              </w:rPr>
              <w:t xml:space="preserve"> </w:t>
            </w:r>
            <w:r>
              <w:rPr>
                <w:sz w:val="18"/>
              </w:rPr>
              <w:t>also</w:t>
            </w:r>
            <w:r>
              <w:rPr>
                <w:spacing w:val="-1"/>
                <w:sz w:val="18"/>
              </w:rPr>
              <w:t xml:space="preserve"> </w:t>
            </w:r>
            <w:r>
              <w:rPr>
                <w:sz w:val="18"/>
              </w:rPr>
              <w:t>provides for</w:t>
            </w:r>
            <w:r>
              <w:rPr>
                <w:spacing w:val="-2"/>
                <w:sz w:val="18"/>
              </w:rPr>
              <w:t xml:space="preserve"> </w:t>
            </w:r>
            <w:r>
              <w:rPr>
                <w:sz w:val="18"/>
              </w:rPr>
              <w:t>significant</w:t>
            </w:r>
            <w:r>
              <w:rPr>
                <w:spacing w:val="-3"/>
                <w:sz w:val="18"/>
              </w:rPr>
              <w:t xml:space="preserve"> </w:t>
            </w:r>
            <w:r>
              <w:rPr>
                <w:sz w:val="18"/>
              </w:rPr>
              <w:t>growth</w:t>
            </w:r>
            <w:r>
              <w:rPr>
                <w:spacing w:val="-3"/>
                <w:sz w:val="18"/>
              </w:rPr>
              <w:t xml:space="preserve"> </w:t>
            </w:r>
            <w:r>
              <w:rPr>
                <w:sz w:val="18"/>
              </w:rPr>
              <w:t>and</w:t>
            </w:r>
            <w:r>
              <w:rPr>
                <w:spacing w:val="-3"/>
                <w:sz w:val="18"/>
              </w:rPr>
              <w:t xml:space="preserve"> </w:t>
            </w:r>
            <w:r>
              <w:rPr>
                <w:sz w:val="18"/>
              </w:rPr>
              <w:t>compliance‐driven</w:t>
            </w:r>
            <w:r>
              <w:rPr>
                <w:spacing w:val="-3"/>
                <w:sz w:val="18"/>
              </w:rPr>
              <w:t xml:space="preserve"> </w:t>
            </w:r>
            <w:r>
              <w:rPr>
                <w:sz w:val="18"/>
              </w:rPr>
              <w:t>investment.</w:t>
            </w:r>
            <w:r>
              <w:rPr>
                <w:spacing w:val="-3"/>
                <w:sz w:val="18"/>
              </w:rPr>
              <w:t xml:space="preserve"> </w:t>
            </w:r>
            <w:r>
              <w:rPr>
                <w:sz w:val="18"/>
              </w:rPr>
              <w:t>Overall</w:t>
            </w:r>
            <w:r>
              <w:rPr>
                <w:spacing w:val="-2"/>
                <w:sz w:val="18"/>
              </w:rPr>
              <w:t xml:space="preserve"> </w:t>
            </w:r>
            <w:r>
              <w:rPr>
                <w:sz w:val="18"/>
              </w:rPr>
              <w:t>capital</w:t>
            </w:r>
            <w:r>
              <w:rPr>
                <w:spacing w:val="-2"/>
                <w:sz w:val="18"/>
              </w:rPr>
              <w:t xml:space="preserve"> </w:t>
            </w:r>
            <w:r>
              <w:rPr>
                <w:sz w:val="18"/>
              </w:rPr>
              <w:t>programs</w:t>
            </w:r>
            <w:r>
              <w:rPr>
                <w:spacing w:val="-5"/>
                <w:sz w:val="18"/>
              </w:rPr>
              <w:t xml:space="preserve"> </w:t>
            </w:r>
            <w:r>
              <w:rPr>
                <w:sz w:val="18"/>
              </w:rPr>
              <w:t>are</w:t>
            </w:r>
            <w:r>
              <w:rPr>
                <w:spacing w:val="-3"/>
                <w:sz w:val="18"/>
              </w:rPr>
              <w:t xml:space="preserve"> </w:t>
            </w:r>
            <w:r>
              <w:rPr>
                <w:sz w:val="18"/>
              </w:rPr>
              <w:t>broadly</w:t>
            </w:r>
            <w:r>
              <w:rPr>
                <w:spacing w:val="-3"/>
                <w:sz w:val="18"/>
              </w:rPr>
              <w:t xml:space="preserve"> </w:t>
            </w:r>
            <w:r>
              <w:rPr>
                <w:sz w:val="18"/>
              </w:rPr>
              <w:t>in</w:t>
            </w:r>
            <w:r>
              <w:rPr>
                <w:spacing w:val="-3"/>
                <w:sz w:val="18"/>
              </w:rPr>
              <w:t xml:space="preserve"> </w:t>
            </w:r>
            <w:r>
              <w:rPr>
                <w:sz w:val="18"/>
              </w:rPr>
              <w:t>line</w:t>
            </w:r>
            <w:r>
              <w:rPr>
                <w:spacing w:val="-3"/>
                <w:sz w:val="18"/>
              </w:rPr>
              <w:t xml:space="preserve"> </w:t>
            </w:r>
            <w:r>
              <w:rPr>
                <w:sz w:val="18"/>
              </w:rPr>
              <w:t>with</w:t>
            </w:r>
            <w:r>
              <w:rPr>
                <w:spacing w:val="-2"/>
                <w:sz w:val="18"/>
              </w:rPr>
              <w:t xml:space="preserve"> </w:t>
            </w:r>
            <w:r>
              <w:rPr>
                <w:sz w:val="18"/>
              </w:rPr>
              <w:t>the current period and relatively consistent over the PS5 period. Costs for major projects have generally been estimated</w:t>
            </w:r>
            <w:r>
              <w:rPr>
                <w:spacing w:val="-3"/>
                <w:sz w:val="18"/>
              </w:rPr>
              <w:t xml:space="preserve"> </w:t>
            </w:r>
            <w:r>
              <w:rPr>
                <w:sz w:val="18"/>
              </w:rPr>
              <w:t>using</w:t>
            </w:r>
            <w:r>
              <w:rPr>
                <w:spacing w:val="-6"/>
                <w:sz w:val="18"/>
              </w:rPr>
              <w:t xml:space="preserve"> </w:t>
            </w:r>
            <w:r>
              <w:rPr>
                <w:sz w:val="18"/>
              </w:rPr>
              <w:t>‘most</w:t>
            </w:r>
            <w:r>
              <w:rPr>
                <w:spacing w:val="-4"/>
                <w:sz w:val="18"/>
              </w:rPr>
              <w:t xml:space="preserve"> </w:t>
            </w:r>
            <w:r>
              <w:rPr>
                <w:sz w:val="18"/>
              </w:rPr>
              <w:t>likely</w:t>
            </w:r>
            <w:r>
              <w:rPr>
                <w:spacing w:val="-4"/>
                <w:sz w:val="18"/>
              </w:rPr>
              <w:t xml:space="preserve"> </w:t>
            </w:r>
            <w:r>
              <w:rPr>
                <w:sz w:val="18"/>
              </w:rPr>
              <w:t>outcome’</w:t>
            </w:r>
            <w:r>
              <w:rPr>
                <w:spacing w:val="-3"/>
                <w:sz w:val="18"/>
              </w:rPr>
              <w:t xml:space="preserve"> </w:t>
            </w:r>
            <w:r>
              <w:rPr>
                <w:sz w:val="18"/>
              </w:rPr>
              <w:t>or</w:t>
            </w:r>
            <w:r>
              <w:rPr>
                <w:spacing w:val="-3"/>
                <w:sz w:val="18"/>
              </w:rPr>
              <w:t xml:space="preserve"> </w:t>
            </w:r>
            <w:r>
              <w:rPr>
                <w:sz w:val="18"/>
              </w:rPr>
              <w:t>P50</w:t>
            </w:r>
            <w:r>
              <w:rPr>
                <w:spacing w:val="-5"/>
                <w:sz w:val="18"/>
              </w:rPr>
              <w:t xml:space="preserve"> </w:t>
            </w:r>
            <w:r>
              <w:rPr>
                <w:sz w:val="18"/>
              </w:rPr>
              <w:t>costs,</w:t>
            </w:r>
            <w:r>
              <w:rPr>
                <w:spacing w:val="-3"/>
                <w:sz w:val="18"/>
              </w:rPr>
              <w:t xml:space="preserve"> </w:t>
            </w:r>
            <w:r>
              <w:rPr>
                <w:sz w:val="18"/>
              </w:rPr>
              <w:t>with</w:t>
            </w:r>
            <w:r>
              <w:rPr>
                <w:spacing w:val="-3"/>
                <w:sz w:val="18"/>
              </w:rPr>
              <w:t xml:space="preserve"> </w:t>
            </w:r>
            <w:r>
              <w:rPr>
                <w:sz w:val="18"/>
              </w:rPr>
              <w:t>LMW</w:t>
            </w:r>
            <w:r>
              <w:rPr>
                <w:spacing w:val="-4"/>
                <w:sz w:val="18"/>
              </w:rPr>
              <w:t xml:space="preserve"> </w:t>
            </w:r>
            <w:r>
              <w:rPr>
                <w:sz w:val="18"/>
              </w:rPr>
              <w:t>bearing</w:t>
            </w:r>
            <w:r>
              <w:rPr>
                <w:spacing w:val="-5"/>
                <w:sz w:val="18"/>
              </w:rPr>
              <w:t xml:space="preserve"> </w:t>
            </w:r>
            <w:r>
              <w:rPr>
                <w:sz w:val="18"/>
              </w:rPr>
              <w:t>the</w:t>
            </w:r>
            <w:r>
              <w:rPr>
                <w:spacing w:val="-4"/>
                <w:sz w:val="18"/>
              </w:rPr>
              <w:t xml:space="preserve"> </w:t>
            </w:r>
            <w:r>
              <w:rPr>
                <w:sz w:val="18"/>
              </w:rPr>
              <w:t>risk</w:t>
            </w:r>
            <w:r>
              <w:rPr>
                <w:spacing w:val="-4"/>
                <w:sz w:val="18"/>
              </w:rPr>
              <w:t xml:space="preserve"> </w:t>
            </w:r>
            <w:r>
              <w:rPr>
                <w:sz w:val="18"/>
              </w:rPr>
              <w:t>of</w:t>
            </w:r>
            <w:r>
              <w:rPr>
                <w:spacing w:val="-4"/>
                <w:sz w:val="18"/>
              </w:rPr>
              <w:t xml:space="preserve"> </w:t>
            </w:r>
            <w:r>
              <w:rPr>
                <w:sz w:val="18"/>
              </w:rPr>
              <w:t>any</w:t>
            </w:r>
            <w:r>
              <w:rPr>
                <w:spacing w:val="-4"/>
                <w:sz w:val="18"/>
              </w:rPr>
              <w:t xml:space="preserve"> </w:t>
            </w:r>
            <w:r>
              <w:rPr>
                <w:sz w:val="18"/>
              </w:rPr>
              <w:t>overall</w:t>
            </w:r>
            <w:r>
              <w:rPr>
                <w:spacing w:val="-3"/>
                <w:sz w:val="18"/>
              </w:rPr>
              <w:t xml:space="preserve"> </w:t>
            </w:r>
            <w:r>
              <w:rPr>
                <w:sz w:val="18"/>
              </w:rPr>
              <w:t>program</w:t>
            </w:r>
            <w:r>
              <w:rPr>
                <w:spacing w:val="-4"/>
                <w:sz w:val="18"/>
              </w:rPr>
              <w:t xml:space="preserve"> </w:t>
            </w:r>
            <w:r>
              <w:rPr>
                <w:sz w:val="18"/>
              </w:rPr>
              <w:t>delivery cost</w:t>
            </w:r>
            <w:r>
              <w:rPr>
                <w:spacing w:val="22"/>
                <w:sz w:val="18"/>
              </w:rPr>
              <w:t xml:space="preserve"> </w:t>
            </w:r>
            <w:r>
              <w:rPr>
                <w:sz w:val="18"/>
              </w:rPr>
              <w:t>overruns.</w:t>
            </w:r>
            <w:r>
              <w:rPr>
                <w:spacing w:val="21"/>
                <w:sz w:val="18"/>
              </w:rPr>
              <w:t xml:space="preserve"> </w:t>
            </w:r>
            <w:r>
              <w:rPr>
                <w:sz w:val="18"/>
              </w:rPr>
              <w:t>Out‐year</w:t>
            </w:r>
            <w:r>
              <w:rPr>
                <w:spacing w:val="22"/>
                <w:sz w:val="18"/>
              </w:rPr>
              <w:t xml:space="preserve"> </w:t>
            </w:r>
            <w:r>
              <w:rPr>
                <w:sz w:val="18"/>
              </w:rPr>
              <w:t>costs</w:t>
            </w:r>
            <w:r>
              <w:rPr>
                <w:spacing w:val="21"/>
                <w:sz w:val="18"/>
              </w:rPr>
              <w:t xml:space="preserve"> </w:t>
            </w:r>
            <w:r>
              <w:rPr>
                <w:sz w:val="18"/>
              </w:rPr>
              <w:t>of</w:t>
            </w:r>
            <w:r>
              <w:rPr>
                <w:spacing w:val="22"/>
                <w:sz w:val="18"/>
              </w:rPr>
              <w:t xml:space="preserve"> </w:t>
            </w:r>
            <w:r>
              <w:rPr>
                <w:sz w:val="18"/>
              </w:rPr>
              <w:t>uncertain</w:t>
            </w:r>
            <w:r>
              <w:rPr>
                <w:spacing w:val="20"/>
                <w:sz w:val="18"/>
              </w:rPr>
              <w:t xml:space="preserve"> </w:t>
            </w:r>
            <w:r>
              <w:rPr>
                <w:sz w:val="18"/>
              </w:rPr>
              <w:t>projects</w:t>
            </w:r>
            <w:r>
              <w:rPr>
                <w:spacing w:val="22"/>
                <w:sz w:val="18"/>
              </w:rPr>
              <w:t xml:space="preserve"> </w:t>
            </w:r>
            <w:r>
              <w:rPr>
                <w:sz w:val="18"/>
              </w:rPr>
              <w:t>have</w:t>
            </w:r>
            <w:r>
              <w:rPr>
                <w:spacing w:val="20"/>
                <w:sz w:val="18"/>
              </w:rPr>
              <w:t xml:space="preserve"> </w:t>
            </w:r>
            <w:r>
              <w:rPr>
                <w:sz w:val="18"/>
              </w:rPr>
              <w:t>generally</w:t>
            </w:r>
            <w:r>
              <w:rPr>
                <w:spacing w:val="21"/>
                <w:sz w:val="18"/>
              </w:rPr>
              <w:t xml:space="preserve"> </w:t>
            </w:r>
            <w:r>
              <w:rPr>
                <w:sz w:val="18"/>
              </w:rPr>
              <w:t>been</w:t>
            </w:r>
            <w:r>
              <w:rPr>
                <w:spacing w:val="22"/>
                <w:sz w:val="18"/>
              </w:rPr>
              <w:t xml:space="preserve"> </w:t>
            </w:r>
            <w:r>
              <w:rPr>
                <w:sz w:val="18"/>
              </w:rPr>
              <w:t>deferred</w:t>
            </w:r>
            <w:r>
              <w:rPr>
                <w:spacing w:val="22"/>
                <w:sz w:val="18"/>
              </w:rPr>
              <w:t xml:space="preserve"> </w:t>
            </w:r>
            <w:r>
              <w:rPr>
                <w:sz w:val="18"/>
              </w:rPr>
              <w:t>to</w:t>
            </w:r>
            <w:r>
              <w:rPr>
                <w:spacing w:val="22"/>
                <w:sz w:val="18"/>
              </w:rPr>
              <w:t xml:space="preserve"> </w:t>
            </w:r>
            <w:r>
              <w:rPr>
                <w:sz w:val="18"/>
              </w:rPr>
              <w:t>PS6</w:t>
            </w:r>
            <w:r>
              <w:rPr>
                <w:spacing w:val="22"/>
                <w:sz w:val="18"/>
              </w:rPr>
              <w:t xml:space="preserve"> </w:t>
            </w:r>
            <w:r>
              <w:rPr>
                <w:sz w:val="18"/>
              </w:rPr>
              <w:t>to</w:t>
            </w:r>
            <w:r>
              <w:rPr>
                <w:spacing w:val="20"/>
                <w:sz w:val="18"/>
              </w:rPr>
              <w:t xml:space="preserve"> </w:t>
            </w:r>
            <w:r>
              <w:rPr>
                <w:sz w:val="18"/>
              </w:rPr>
              <w:t>again</w:t>
            </w:r>
            <w:r>
              <w:rPr>
                <w:spacing w:val="22"/>
                <w:sz w:val="18"/>
              </w:rPr>
              <w:t xml:space="preserve"> </w:t>
            </w:r>
            <w:r>
              <w:rPr>
                <w:sz w:val="18"/>
              </w:rPr>
              <w:t>insulate</w:t>
            </w:r>
          </w:p>
          <w:p w14:paraId="2E89FC74" w14:textId="77777777" w:rsidR="00141B97" w:rsidRDefault="00911D63">
            <w:pPr>
              <w:pStyle w:val="TableParagraph"/>
              <w:ind w:left="102"/>
              <w:jc w:val="both"/>
              <w:rPr>
                <w:sz w:val="18"/>
              </w:rPr>
            </w:pPr>
            <w:r>
              <w:rPr>
                <w:sz w:val="18"/>
              </w:rPr>
              <w:t>customers</w:t>
            </w:r>
            <w:r>
              <w:rPr>
                <w:spacing w:val="-5"/>
                <w:sz w:val="18"/>
              </w:rPr>
              <w:t xml:space="preserve"> </w:t>
            </w:r>
            <w:r>
              <w:rPr>
                <w:sz w:val="18"/>
              </w:rPr>
              <w:t>from</w:t>
            </w:r>
            <w:r>
              <w:rPr>
                <w:spacing w:val="-4"/>
                <w:sz w:val="18"/>
              </w:rPr>
              <w:t xml:space="preserve"> </w:t>
            </w:r>
            <w:r>
              <w:rPr>
                <w:spacing w:val="-2"/>
                <w:sz w:val="18"/>
              </w:rPr>
              <w:t>risk.</w:t>
            </w:r>
          </w:p>
        </w:tc>
      </w:tr>
      <w:tr w:rsidR="00141B97" w14:paraId="00A83ECE" w14:textId="77777777">
        <w:trPr>
          <w:trHeight w:val="1516"/>
          <w:tblCellSpacing w:w="4" w:type="dxa"/>
        </w:trPr>
        <w:tc>
          <w:tcPr>
            <w:tcW w:w="1638" w:type="dxa"/>
            <w:tcBorders>
              <w:left w:val="nil"/>
            </w:tcBorders>
            <w:shd w:val="clear" w:color="auto" w:fill="CCE2ED"/>
          </w:tcPr>
          <w:p w14:paraId="5FF0D2BE" w14:textId="77777777" w:rsidR="00141B97" w:rsidRDefault="00911D63">
            <w:pPr>
              <w:pStyle w:val="TableParagraph"/>
              <w:spacing w:before="1"/>
              <w:ind w:left="98"/>
              <w:rPr>
                <w:sz w:val="18"/>
              </w:rPr>
            </w:pPr>
            <w:r>
              <w:rPr>
                <w:spacing w:val="-2"/>
                <w:sz w:val="18"/>
              </w:rPr>
              <w:t>Demand</w:t>
            </w:r>
          </w:p>
        </w:tc>
        <w:tc>
          <w:tcPr>
            <w:tcW w:w="8123" w:type="dxa"/>
            <w:tcBorders>
              <w:right w:val="nil"/>
            </w:tcBorders>
            <w:shd w:val="clear" w:color="auto" w:fill="CCE2ED"/>
          </w:tcPr>
          <w:p w14:paraId="34D1A003" w14:textId="77777777" w:rsidR="00141B97" w:rsidRDefault="00911D63">
            <w:pPr>
              <w:pStyle w:val="TableParagraph"/>
              <w:spacing w:before="1" w:line="276" w:lineRule="auto"/>
              <w:ind w:left="102" w:right="95"/>
              <w:jc w:val="both"/>
              <w:rPr>
                <w:sz w:val="18"/>
              </w:rPr>
            </w:pPr>
            <w:r>
              <w:rPr>
                <w:sz w:val="18"/>
              </w:rPr>
              <w:t>LMW’s</w:t>
            </w:r>
            <w:r>
              <w:rPr>
                <w:spacing w:val="-4"/>
                <w:sz w:val="18"/>
              </w:rPr>
              <w:t xml:space="preserve"> </w:t>
            </w:r>
            <w:r>
              <w:rPr>
                <w:sz w:val="18"/>
              </w:rPr>
              <w:t>demand</w:t>
            </w:r>
            <w:r>
              <w:rPr>
                <w:spacing w:val="-5"/>
                <w:sz w:val="18"/>
              </w:rPr>
              <w:t xml:space="preserve"> </w:t>
            </w:r>
            <w:r>
              <w:rPr>
                <w:sz w:val="18"/>
              </w:rPr>
              <w:t>forecasting</w:t>
            </w:r>
            <w:r>
              <w:rPr>
                <w:spacing w:val="-5"/>
                <w:sz w:val="18"/>
              </w:rPr>
              <w:t xml:space="preserve"> </w:t>
            </w:r>
            <w:r>
              <w:rPr>
                <w:sz w:val="18"/>
              </w:rPr>
              <w:t>approach,</w:t>
            </w:r>
            <w:r>
              <w:rPr>
                <w:spacing w:val="-5"/>
                <w:sz w:val="18"/>
              </w:rPr>
              <w:t xml:space="preserve"> </w:t>
            </w:r>
            <w:r>
              <w:rPr>
                <w:sz w:val="18"/>
              </w:rPr>
              <w:t>supported</w:t>
            </w:r>
            <w:r>
              <w:rPr>
                <w:spacing w:val="-4"/>
                <w:sz w:val="18"/>
              </w:rPr>
              <w:t xml:space="preserve"> </w:t>
            </w:r>
            <w:r>
              <w:rPr>
                <w:sz w:val="18"/>
              </w:rPr>
              <w:t>by</w:t>
            </w:r>
            <w:r>
              <w:rPr>
                <w:spacing w:val="-4"/>
                <w:sz w:val="18"/>
              </w:rPr>
              <w:t xml:space="preserve"> </w:t>
            </w:r>
            <w:r>
              <w:rPr>
                <w:sz w:val="18"/>
              </w:rPr>
              <w:t>independent</w:t>
            </w:r>
            <w:r>
              <w:rPr>
                <w:spacing w:val="-5"/>
                <w:sz w:val="18"/>
              </w:rPr>
              <w:t xml:space="preserve"> </w:t>
            </w:r>
            <w:r>
              <w:rPr>
                <w:sz w:val="18"/>
              </w:rPr>
              <w:t>external</w:t>
            </w:r>
            <w:r>
              <w:rPr>
                <w:spacing w:val="-4"/>
                <w:sz w:val="18"/>
              </w:rPr>
              <w:t xml:space="preserve"> </w:t>
            </w:r>
            <w:r>
              <w:rPr>
                <w:sz w:val="18"/>
              </w:rPr>
              <w:t>studies</w:t>
            </w:r>
            <w:r>
              <w:rPr>
                <w:spacing w:val="-5"/>
                <w:sz w:val="18"/>
              </w:rPr>
              <w:t xml:space="preserve"> </w:t>
            </w:r>
            <w:r>
              <w:rPr>
                <w:sz w:val="18"/>
              </w:rPr>
              <w:t>and</w:t>
            </w:r>
            <w:r>
              <w:rPr>
                <w:spacing w:val="-4"/>
                <w:sz w:val="18"/>
              </w:rPr>
              <w:t xml:space="preserve"> </w:t>
            </w:r>
            <w:r>
              <w:rPr>
                <w:sz w:val="18"/>
              </w:rPr>
              <w:t>detailed</w:t>
            </w:r>
            <w:r>
              <w:rPr>
                <w:spacing w:val="-4"/>
                <w:sz w:val="18"/>
              </w:rPr>
              <w:t xml:space="preserve"> </w:t>
            </w:r>
            <w:r>
              <w:rPr>
                <w:sz w:val="18"/>
              </w:rPr>
              <w:t>in</w:t>
            </w:r>
            <w:r>
              <w:rPr>
                <w:spacing w:val="-5"/>
                <w:sz w:val="18"/>
              </w:rPr>
              <w:t xml:space="preserve"> </w:t>
            </w:r>
            <w:r>
              <w:rPr>
                <w:sz w:val="18"/>
              </w:rPr>
              <w:t>Sections</w:t>
            </w:r>
            <w:r>
              <w:rPr>
                <w:spacing w:val="-4"/>
                <w:sz w:val="18"/>
              </w:rPr>
              <w:t xml:space="preserve"> </w:t>
            </w:r>
            <w:r>
              <w:rPr>
                <w:sz w:val="18"/>
              </w:rPr>
              <w:t>4.2 of Parts B and C have been used to develop robust urban and rural forecasts, respectively. Based on these analyses</w:t>
            </w:r>
            <w:r>
              <w:rPr>
                <w:spacing w:val="-3"/>
                <w:sz w:val="18"/>
              </w:rPr>
              <w:t xml:space="preserve"> </w:t>
            </w:r>
            <w:r>
              <w:rPr>
                <w:sz w:val="18"/>
              </w:rPr>
              <w:t>LMW</w:t>
            </w:r>
            <w:r>
              <w:rPr>
                <w:spacing w:val="-3"/>
                <w:sz w:val="18"/>
              </w:rPr>
              <w:t xml:space="preserve"> </w:t>
            </w:r>
            <w:r>
              <w:rPr>
                <w:sz w:val="18"/>
              </w:rPr>
              <w:t>is</w:t>
            </w:r>
            <w:r>
              <w:rPr>
                <w:spacing w:val="-4"/>
                <w:sz w:val="18"/>
              </w:rPr>
              <w:t xml:space="preserve"> </w:t>
            </w:r>
            <w:r>
              <w:rPr>
                <w:sz w:val="18"/>
              </w:rPr>
              <w:t>assuming</w:t>
            </w:r>
            <w:r>
              <w:rPr>
                <w:spacing w:val="-3"/>
                <w:sz w:val="18"/>
              </w:rPr>
              <w:t xml:space="preserve"> </w:t>
            </w:r>
            <w:r>
              <w:rPr>
                <w:sz w:val="18"/>
              </w:rPr>
              <w:t>an</w:t>
            </w:r>
            <w:r>
              <w:rPr>
                <w:spacing w:val="-3"/>
                <w:sz w:val="18"/>
              </w:rPr>
              <w:t xml:space="preserve"> </w:t>
            </w:r>
            <w:r>
              <w:rPr>
                <w:sz w:val="18"/>
              </w:rPr>
              <w:t>average</w:t>
            </w:r>
            <w:r>
              <w:rPr>
                <w:spacing w:val="-3"/>
                <w:sz w:val="18"/>
              </w:rPr>
              <w:t xml:space="preserve"> </w:t>
            </w:r>
            <w:r>
              <w:rPr>
                <w:sz w:val="18"/>
              </w:rPr>
              <w:t>annual</w:t>
            </w:r>
            <w:r>
              <w:rPr>
                <w:spacing w:val="-3"/>
                <w:sz w:val="18"/>
              </w:rPr>
              <w:t xml:space="preserve"> </w:t>
            </w:r>
            <w:r>
              <w:rPr>
                <w:sz w:val="18"/>
              </w:rPr>
              <w:t>growth</w:t>
            </w:r>
            <w:r>
              <w:rPr>
                <w:spacing w:val="-3"/>
                <w:sz w:val="18"/>
              </w:rPr>
              <w:t xml:space="preserve"> </w:t>
            </w:r>
            <w:r>
              <w:rPr>
                <w:sz w:val="18"/>
              </w:rPr>
              <w:t>in</w:t>
            </w:r>
            <w:r>
              <w:rPr>
                <w:spacing w:val="-3"/>
                <w:sz w:val="18"/>
              </w:rPr>
              <w:t xml:space="preserve"> </w:t>
            </w:r>
            <w:r>
              <w:rPr>
                <w:sz w:val="18"/>
              </w:rPr>
              <w:t>connections</w:t>
            </w:r>
            <w:r>
              <w:rPr>
                <w:spacing w:val="-2"/>
                <w:sz w:val="18"/>
              </w:rPr>
              <w:t xml:space="preserve"> </w:t>
            </w:r>
            <w:r>
              <w:rPr>
                <w:sz w:val="18"/>
              </w:rPr>
              <w:t>for</w:t>
            </w:r>
            <w:r>
              <w:rPr>
                <w:spacing w:val="-2"/>
                <w:sz w:val="18"/>
              </w:rPr>
              <w:t xml:space="preserve"> </w:t>
            </w:r>
            <w:r>
              <w:rPr>
                <w:sz w:val="18"/>
              </w:rPr>
              <w:t>urban</w:t>
            </w:r>
            <w:r>
              <w:rPr>
                <w:spacing w:val="-3"/>
                <w:sz w:val="18"/>
              </w:rPr>
              <w:t xml:space="preserve"> </w:t>
            </w:r>
            <w:r>
              <w:rPr>
                <w:sz w:val="18"/>
              </w:rPr>
              <w:t>water</w:t>
            </w:r>
            <w:r>
              <w:rPr>
                <w:spacing w:val="-2"/>
                <w:sz w:val="18"/>
              </w:rPr>
              <w:t xml:space="preserve"> </w:t>
            </w:r>
            <w:r>
              <w:rPr>
                <w:sz w:val="18"/>
              </w:rPr>
              <w:t>and</w:t>
            </w:r>
            <w:r>
              <w:rPr>
                <w:spacing w:val="-3"/>
                <w:sz w:val="18"/>
              </w:rPr>
              <w:t xml:space="preserve"> </w:t>
            </w:r>
            <w:r>
              <w:rPr>
                <w:sz w:val="18"/>
              </w:rPr>
              <w:t>wastewater</w:t>
            </w:r>
            <w:r>
              <w:rPr>
                <w:spacing w:val="-3"/>
                <w:sz w:val="18"/>
              </w:rPr>
              <w:t xml:space="preserve"> </w:t>
            </w:r>
            <w:r>
              <w:rPr>
                <w:sz w:val="18"/>
              </w:rPr>
              <w:t>of</w:t>
            </w:r>
            <w:r>
              <w:rPr>
                <w:spacing w:val="-2"/>
                <w:sz w:val="18"/>
              </w:rPr>
              <w:t xml:space="preserve"> </w:t>
            </w:r>
            <w:r>
              <w:rPr>
                <w:sz w:val="18"/>
              </w:rPr>
              <w:t>1.1%. For</w:t>
            </w:r>
            <w:r>
              <w:rPr>
                <w:spacing w:val="-11"/>
                <w:sz w:val="18"/>
              </w:rPr>
              <w:t xml:space="preserve"> </w:t>
            </w:r>
            <w:r>
              <w:rPr>
                <w:sz w:val="18"/>
              </w:rPr>
              <w:t>rural,</w:t>
            </w:r>
            <w:r>
              <w:rPr>
                <w:spacing w:val="-10"/>
                <w:sz w:val="18"/>
              </w:rPr>
              <w:t xml:space="preserve"> </w:t>
            </w:r>
            <w:r>
              <w:rPr>
                <w:sz w:val="18"/>
              </w:rPr>
              <w:t>growth</w:t>
            </w:r>
            <w:r>
              <w:rPr>
                <w:spacing w:val="-10"/>
                <w:sz w:val="18"/>
              </w:rPr>
              <w:t xml:space="preserve"> </w:t>
            </w:r>
            <w:r>
              <w:rPr>
                <w:sz w:val="18"/>
              </w:rPr>
              <w:t>in</w:t>
            </w:r>
            <w:r>
              <w:rPr>
                <w:spacing w:val="-10"/>
                <w:sz w:val="18"/>
              </w:rPr>
              <w:t xml:space="preserve"> </w:t>
            </w:r>
            <w:r>
              <w:rPr>
                <w:sz w:val="18"/>
              </w:rPr>
              <w:t>demand</w:t>
            </w:r>
            <w:r>
              <w:rPr>
                <w:spacing w:val="-10"/>
                <w:sz w:val="18"/>
              </w:rPr>
              <w:t xml:space="preserve"> </w:t>
            </w:r>
            <w:r>
              <w:rPr>
                <w:sz w:val="18"/>
              </w:rPr>
              <w:t>is</w:t>
            </w:r>
            <w:r>
              <w:rPr>
                <w:spacing w:val="-10"/>
                <w:sz w:val="18"/>
              </w:rPr>
              <w:t xml:space="preserve"> </w:t>
            </w:r>
            <w:r>
              <w:rPr>
                <w:sz w:val="18"/>
              </w:rPr>
              <w:t>estimated</w:t>
            </w:r>
            <w:r>
              <w:rPr>
                <w:spacing w:val="-9"/>
                <w:sz w:val="18"/>
              </w:rPr>
              <w:t xml:space="preserve"> </w:t>
            </w:r>
            <w:r>
              <w:rPr>
                <w:sz w:val="18"/>
              </w:rPr>
              <w:t>at</w:t>
            </w:r>
            <w:r>
              <w:rPr>
                <w:spacing w:val="-11"/>
                <w:sz w:val="18"/>
              </w:rPr>
              <w:t xml:space="preserve"> </w:t>
            </w:r>
            <w:r>
              <w:rPr>
                <w:sz w:val="18"/>
              </w:rPr>
              <w:t>an</w:t>
            </w:r>
            <w:r>
              <w:rPr>
                <w:spacing w:val="-10"/>
                <w:sz w:val="18"/>
              </w:rPr>
              <w:t xml:space="preserve"> </w:t>
            </w:r>
            <w:r>
              <w:rPr>
                <w:sz w:val="18"/>
              </w:rPr>
              <w:t>individual</w:t>
            </w:r>
            <w:r>
              <w:rPr>
                <w:spacing w:val="-10"/>
                <w:sz w:val="18"/>
              </w:rPr>
              <w:t xml:space="preserve"> </w:t>
            </w:r>
            <w:r>
              <w:rPr>
                <w:sz w:val="18"/>
              </w:rPr>
              <w:t>district</w:t>
            </w:r>
            <w:r>
              <w:rPr>
                <w:spacing w:val="-10"/>
                <w:sz w:val="18"/>
              </w:rPr>
              <w:t xml:space="preserve"> </w:t>
            </w:r>
            <w:r>
              <w:rPr>
                <w:sz w:val="18"/>
              </w:rPr>
              <w:t>level,</w:t>
            </w:r>
            <w:r>
              <w:rPr>
                <w:spacing w:val="-10"/>
                <w:sz w:val="18"/>
              </w:rPr>
              <w:t xml:space="preserve"> </w:t>
            </w:r>
            <w:r>
              <w:rPr>
                <w:sz w:val="18"/>
              </w:rPr>
              <w:t>based</w:t>
            </w:r>
            <w:r>
              <w:rPr>
                <w:spacing w:val="-10"/>
                <w:sz w:val="18"/>
              </w:rPr>
              <w:t xml:space="preserve"> </w:t>
            </w:r>
            <w:r>
              <w:rPr>
                <w:sz w:val="18"/>
              </w:rPr>
              <w:t>on</w:t>
            </w:r>
            <w:r>
              <w:rPr>
                <w:spacing w:val="-11"/>
                <w:sz w:val="18"/>
              </w:rPr>
              <w:t xml:space="preserve"> </w:t>
            </w:r>
            <w:r>
              <w:rPr>
                <w:sz w:val="18"/>
              </w:rPr>
              <w:t>occupancy/vacancy,</w:t>
            </w:r>
            <w:r>
              <w:rPr>
                <w:spacing w:val="-10"/>
                <w:sz w:val="18"/>
              </w:rPr>
              <w:t xml:space="preserve"> </w:t>
            </w:r>
            <w:r>
              <w:rPr>
                <w:sz w:val="18"/>
              </w:rPr>
              <w:t>crop</w:t>
            </w:r>
            <w:r>
              <w:rPr>
                <w:spacing w:val="-9"/>
                <w:sz w:val="18"/>
              </w:rPr>
              <w:t xml:space="preserve"> </w:t>
            </w:r>
            <w:r>
              <w:rPr>
                <w:sz w:val="18"/>
              </w:rPr>
              <w:t>types and</w:t>
            </w:r>
            <w:r>
              <w:rPr>
                <w:spacing w:val="36"/>
                <w:sz w:val="18"/>
              </w:rPr>
              <w:t xml:space="preserve"> </w:t>
            </w:r>
            <w:r>
              <w:rPr>
                <w:sz w:val="18"/>
              </w:rPr>
              <w:t>maturity,</w:t>
            </w:r>
            <w:r>
              <w:rPr>
                <w:spacing w:val="37"/>
                <w:sz w:val="18"/>
              </w:rPr>
              <w:t xml:space="preserve"> </w:t>
            </w:r>
            <w:r>
              <w:rPr>
                <w:sz w:val="18"/>
              </w:rPr>
              <w:t>irrigation</w:t>
            </w:r>
            <w:r>
              <w:rPr>
                <w:spacing w:val="36"/>
                <w:sz w:val="18"/>
              </w:rPr>
              <w:t xml:space="preserve"> </w:t>
            </w:r>
            <w:r>
              <w:rPr>
                <w:sz w:val="18"/>
              </w:rPr>
              <w:t>methods,</w:t>
            </w:r>
            <w:r>
              <w:rPr>
                <w:spacing w:val="37"/>
                <w:sz w:val="18"/>
              </w:rPr>
              <w:t xml:space="preserve"> </w:t>
            </w:r>
            <w:r>
              <w:rPr>
                <w:sz w:val="18"/>
              </w:rPr>
              <w:t>and</w:t>
            </w:r>
            <w:r>
              <w:rPr>
                <w:spacing w:val="35"/>
                <w:sz w:val="18"/>
              </w:rPr>
              <w:t xml:space="preserve"> </w:t>
            </w:r>
            <w:r>
              <w:rPr>
                <w:sz w:val="18"/>
              </w:rPr>
              <w:t>system</w:t>
            </w:r>
            <w:r>
              <w:rPr>
                <w:spacing w:val="36"/>
                <w:sz w:val="18"/>
              </w:rPr>
              <w:t xml:space="preserve"> </w:t>
            </w:r>
            <w:r>
              <w:rPr>
                <w:sz w:val="18"/>
              </w:rPr>
              <w:t>capacity</w:t>
            </w:r>
            <w:r>
              <w:rPr>
                <w:spacing w:val="36"/>
                <w:sz w:val="18"/>
              </w:rPr>
              <w:t xml:space="preserve"> </w:t>
            </w:r>
            <w:r>
              <w:rPr>
                <w:sz w:val="18"/>
              </w:rPr>
              <w:t>and</w:t>
            </w:r>
            <w:r>
              <w:rPr>
                <w:spacing w:val="36"/>
                <w:sz w:val="18"/>
              </w:rPr>
              <w:t xml:space="preserve"> </w:t>
            </w:r>
            <w:r>
              <w:rPr>
                <w:sz w:val="18"/>
              </w:rPr>
              <w:t>constraints,</w:t>
            </w:r>
            <w:r>
              <w:rPr>
                <w:spacing w:val="36"/>
                <w:sz w:val="18"/>
              </w:rPr>
              <w:t xml:space="preserve"> </w:t>
            </w:r>
            <w:r>
              <w:rPr>
                <w:sz w:val="18"/>
              </w:rPr>
              <w:t>with</w:t>
            </w:r>
            <w:r>
              <w:rPr>
                <w:spacing w:val="35"/>
                <w:sz w:val="18"/>
              </w:rPr>
              <w:t xml:space="preserve"> </w:t>
            </w:r>
            <w:r>
              <w:rPr>
                <w:sz w:val="18"/>
              </w:rPr>
              <w:t>a</w:t>
            </w:r>
            <w:r>
              <w:rPr>
                <w:spacing w:val="36"/>
                <w:sz w:val="18"/>
              </w:rPr>
              <w:t xml:space="preserve"> </w:t>
            </w:r>
            <w:r>
              <w:rPr>
                <w:sz w:val="18"/>
              </w:rPr>
              <w:t>key</w:t>
            </w:r>
            <w:r>
              <w:rPr>
                <w:spacing w:val="36"/>
                <w:sz w:val="18"/>
              </w:rPr>
              <w:t xml:space="preserve"> </w:t>
            </w:r>
            <w:r>
              <w:rPr>
                <w:sz w:val="18"/>
              </w:rPr>
              <w:t>assumption</w:t>
            </w:r>
            <w:r>
              <w:rPr>
                <w:spacing w:val="36"/>
                <w:sz w:val="18"/>
              </w:rPr>
              <w:t xml:space="preserve"> </w:t>
            </w:r>
            <w:r>
              <w:rPr>
                <w:sz w:val="18"/>
              </w:rPr>
              <w:t>of</w:t>
            </w:r>
            <w:r>
              <w:rPr>
                <w:spacing w:val="37"/>
                <w:sz w:val="18"/>
              </w:rPr>
              <w:t xml:space="preserve"> </w:t>
            </w:r>
            <w:r>
              <w:rPr>
                <w:sz w:val="18"/>
              </w:rPr>
              <w:t>100%</w:t>
            </w:r>
          </w:p>
          <w:p w14:paraId="68F45686" w14:textId="77777777" w:rsidR="00141B97" w:rsidRDefault="00911D63">
            <w:pPr>
              <w:pStyle w:val="TableParagraph"/>
              <w:ind w:left="102"/>
              <w:rPr>
                <w:sz w:val="18"/>
              </w:rPr>
            </w:pPr>
            <w:r>
              <w:rPr>
                <w:spacing w:val="-2"/>
                <w:sz w:val="18"/>
              </w:rPr>
              <w:t>availability.</w:t>
            </w:r>
          </w:p>
        </w:tc>
      </w:tr>
      <w:tr w:rsidR="00141B97" w14:paraId="71AF3C9A" w14:textId="77777777">
        <w:trPr>
          <w:trHeight w:val="1516"/>
          <w:tblCellSpacing w:w="4" w:type="dxa"/>
        </w:trPr>
        <w:tc>
          <w:tcPr>
            <w:tcW w:w="1638" w:type="dxa"/>
            <w:tcBorders>
              <w:left w:val="nil"/>
              <w:bottom w:val="nil"/>
            </w:tcBorders>
            <w:shd w:val="clear" w:color="auto" w:fill="CCE2ED"/>
          </w:tcPr>
          <w:p w14:paraId="517E1C6F" w14:textId="77777777" w:rsidR="00141B97" w:rsidRDefault="00911D63">
            <w:pPr>
              <w:pStyle w:val="TableParagraph"/>
              <w:spacing w:before="1" w:line="276" w:lineRule="auto"/>
              <w:ind w:left="98"/>
              <w:rPr>
                <w:sz w:val="18"/>
              </w:rPr>
            </w:pPr>
            <w:r>
              <w:rPr>
                <w:sz w:val="18"/>
              </w:rPr>
              <w:t>Revenue</w:t>
            </w:r>
            <w:r>
              <w:rPr>
                <w:spacing w:val="-11"/>
                <w:sz w:val="18"/>
              </w:rPr>
              <w:t xml:space="preserve"> </w:t>
            </w:r>
            <w:r>
              <w:rPr>
                <w:sz w:val="18"/>
              </w:rPr>
              <w:t>–</w:t>
            </w:r>
            <w:r>
              <w:rPr>
                <w:spacing w:val="-10"/>
                <w:sz w:val="18"/>
              </w:rPr>
              <w:t xml:space="preserve"> </w:t>
            </w:r>
            <w:r>
              <w:rPr>
                <w:sz w:val="18"/>
              </w:rPr>
              <w:t>water allocation</w:t>
            </w:r>
            <w:r>
              <w:rPr>
                <w:spacing w:val="-2"/>
                <w:sz w:val="18"/>
              </w:rPr>
              <w:t xml:space="preserve"> </w:t>
            </w:r>
            <w:r>
              <w:rPr>
                <w:sz w:val="18"/>
              </w:rPr>
              <w:t>trade</w:t>
            </w:r>
          </w:p>
        </w:tc>
        <w:tc>
          <w:tcPr>
            <w:tcW w:w="8123" w:type="dxa"/>
            <w:tcBorders>
              <w:bottom w:val="nil"/>
              <w:right w:val="nil"/>
            </w:tcBorders>
            <w:shd w:val="clear" w:color="auto" w:fill="CCE2ED"/>
          </w:tcPr>
          <w:p w14:paraId="6E159F9F" w14:textId="77777777" w:rsidR="00141B97" w:rsidRDefault="00911D63">
            <w:pPr>
              <w:pStyle w:val="TableParagraph"/>
              <w:spacing w:before="1" w:line="276" w:lineRule="auto"/>
              <w:ind w:left="102" w:right="94"/>
              <w:jc w:val="both"/>
              <w:rPr>
                <w:sz w:val="18"/>
              </w:rPr>
            </w:pPr>
            <w:r>
              <w:rPr>
                <w:sz w:val="18"/>
              </w:rPr>
              <w:t>LMW’s surplus water allocation is traded on the water market to maximise the benefit of unused water entitlement in any year and can represent a significant revenue contribution. LMW has taken a conservative approach to sales to ensure future supply while also accepting risk by assuming unrestricted or 100% water allocation</w:t>
            </w:r>
            <w:r>
              <w:rPr>
                <w:spacing w:val="-1"/>
                <w:sz w:val="18"/>
              </w:rPr>
              <w:t xml:space="preserve"> </w:t>
            </w:r>
            <w:r>
              <w:rPr>
                <w:sz w:val="18"/>
              </w:rPr>
              <w:t>over</w:t>
            </w:r>
            <w:r>
              <w:rPr>
                <w:spacing w:val="-1"/>
                <w:sz w:val="18"/>
              </w:rPr>
              <w:t xml:space="preserve"> </w:t>
            </w:r>
            <w:r>
              <w:rPr>
                <w:sz w:val="18"/>
              </w:rPr>
              <w:t>the</w:t>
            </w:r>
            <w:r>
              <w:rPr>
                <w:spacing w:val="-1"/>
                <w:sz w:val="18"/>
              </w:rPr>
              <w:t xml:space="preserve"> </w:t>
            </w:r>
            <w:r>
              <w:rPr>
                <w:sz w:val="18"/>
              </w:rPr>
              <w:t>PS5</w:t>
            </w:r>
            <w:r>
              <w:rPr>
                <w:spacing w:val="-1"/>
                <w:sz w:val="18"/>
              </w:rPr>
              <w:t xml:space="preserve"> </w:t>
            </w:r>
            <w:r>
              <w:rPr>
                <w:sz w:val="18"/>
              </w:rPr>
              <w:t>period</w:t>
            </w:r>
            <w:r>
              <w:rPr>
                <w:spacing w:val="-1"/>
                <w:sz w:val="18"/>
              </w:rPr>
              <w:t xml:space="preserve"> </w:t>
            </w:r>
            <w:r>
              <w:rPr>
                <w:sz w:val="18"/>
              </w:rPr>
              <w:t>and</w:t>
            </w:r>
            <w:r>
              <w:rPr>
                <w:spacing w:val="-1"/>
                <w:sz w:val="18"/>
              </w:rPr>
              <w:t xml:space="preserve"> </w:t>
            </w:r>
            <w:r>
              <w:rPr>
                <w:sz w:val="18"/>
              </w:rPr>
              <w:t>similar</w:t>
            </w:r>
            <w:r>
              <w:rPr>
                <w:spacing w:val="-1"/>
                <w:sz w:val="18"/>
              </w:rPr>
              <w:t xml:space="preserve"> </w:t>
            </w:r>
            <w:r>
              <w:rPr>
                <w:sz w:val="18"/>
              </w:rPr>
              <w:t>market</w:t>
            </w:r>
            <w:r>
              <w:rPr>
                <w:spacing w:val="-2"/>
                <w:sz w:val="18"/>
              </w:rPr>
              <w:t xml:space="preserve"> </w:t>
            </w:r>
            <w:r>
              <w:rPr>
                <w:sz w:val="18"/>
              </w:rPr>
              <w:t>pricing</w:t>
            </w:r>
            <w:r>
              <w:rPr>
                <w:spacing w:val="-1"/>
                <w:sz w:val="18"/>
              </w:rPr>
              <w:t xml:space="preserve"> </w:t>
            </w:r>
            <w:r>
              <w:rPr>
                <w:sz w:val="18"/>
              </w:rPr>
              <w:t>to</w:t>
            </w:r>
            <w:r>
              <w:rPr>
                <w:spacing w:val="-2"/>
                <w:sz w:val="18"/>
              </w:rPr>
              <w:t xml:space="preserve"> </w:t>
            </w:r>
            <w:r>
              <w:rPr>
                <w:sz w:val="18"/>
              </w:rPr>
              <w:t>the</w:t>
            </w:r>
            <w:r>
              <w:rPr>
                <w:spacing w:val="-1"/>
                <w:sz w:val="18"/>
              </w:rPr>
              <w:t xml:space="preserve"> </w:t>
            </w:r>
            <w:r>
              <w:rPr>
                <w:sz w:val="18"/>
              </w:rPr>
              <w:t>current</w:t>
            </w:r>
            <w:r>
              <w:rPr>
                <w:spacing w:val="-1"/>
                <w:sz w:val="18"/>
              </w:rPr>
              <w:t xml:space="preserve"> </w:t>
            </w:r>
            <w:r>
              <w:rPr>
                <w:sz w:val="18"/>
              </w:rPr>
              <w:t>period</w:t>
            </w:r>
            <w:r>
              <w:rPr>
                <w:spacing w:val="-1"/>
                <w:sz w:val="18"/>
              </w:rPr>
              <w:t xml:space="preserve"> </w:t>
            </w:r>
            <w:r>
              <w:rPr>
                <w:sz w:val="18"/>
              </w:rPr>
              <w:t>to</w:t>
            </w:r>
            <w:r>
              <w:rPr>
                <w:spacing w:val="-1"/>
                <w:sz w:val="18"/>
              </w:rPr>
              <w:t xml:space="preserve"> </w:t>
            </w:r>
            <w:r>
              <w:rPr>
                <w:sz w:val="18"/>
              </w:rPr>
              <w:t>estimate</w:t>
            </w:r>
            <w:r>
              <w:rPr>
                <w:spacing w:val="-1"/>
                <w:sz w:val="18"/>
              </w:rPr>
              <w:t xml:space="preserve"> </w:t>
            </w:r>
            <w:r>
              <w:rPr>
                <w:sz w:val="18"/>
              </w:rPr>
              <w:t>the</w:t>
            </w:r>
            <w:r>
              <w:rPr>
                <w:spacing w:val="-1"/>
                <w:sz w:val="18"/>
              </w:rPr>
              <w:t xml:space="preserve"> </w:t>
            </w:r>
            <w:r>
              <w:rPr>
                <w:sz w:val="18"/>
              </w:rPr>
              <w:t>forecast</w:t>
            </w:r>
            <w:r>
              <w:rPr>
                <w:spacing w:val="-1"/>
                <w:sz w:val="18"/>
              </w:rPr>
              <w:t xml:space="preserve"> </w:t>
            </w:r>
            <w:r>
              <w:rPr>
                <w:sz w:val="18"/>
              </w:rPr>
              <w:t>water allocation</w:t>
            </w:r>
            <w:r>
              <w:rPr>
                <w:spacing w:val="-11"/>
                <w:sz w:val="18"/>
              </w:rPr>
              <w:t xml:space="preserve"> </w:t>
            </w:r>
            <w:r>
              <w:rPr>
                <w:sz w:val="18"/>
              </w:rPr>
              <w:t>sales</w:t>
            </w:r>
            <w:r>
              <w:rPr>
                <w:spacing w:val="-8"/>
                <w:sz w:val="18"/>
              </w:rPr>
              <w:t xml:space="preserve"> </w:t>
            </w:r>
            <w:r>
              <w:rPr>
                <w:sz w:val="18"/>
              </w:rPr>
              <w:t>revenue.</w:t>
            </w:r>
            <w:r>
              <w:rPr>
                <w:spacing w:val="24"/>
                <w:sz w:val="18"/>
              </w:rPr>
              <w:t xml:space="preserve"> </w:t>
            </w:r>
            <w:r>
              <w:rPr>
                <w:sz w:val="18"/>
              </w:rPr>
              <w:t>The</w:t>
            </w:r>
            <w:r>
              <w:rPr>
                <w:spacing w:val="-8"/>
                <w:sz w:val="18"/>
              </w:rPr>
              <w:t xml:space="preserve"> </w:t>
            </w:r>
            <w:r>
              <w:rPr>
                <w:sz w:val="18"/>
              </w:rPr>
              <w:t>resulting</w:t>
            </w:r>
            <w:r>
              <w:rPr>
                <w:spacing w:val="-8"/>
                <w:sz w:val="18"/>
              </w:rPr>
              <w:t xml:space="preserve"> </w:t>
            </w:r>
            <w:r>
              <w:rPr>
                <w:sz w:val="18"/>
              </w:rPr>
              <w:t>forecast</w:t>
            </w:r>
            <w:r>
              <w:rPr>
                <w:spacing w:val="-8"/>
                <w:sz w:val="18"/>
              </w:rPr>
              <w:t xml:space="preserve"> </w:t>
            </w:r>
            <w:r>
              <w:rPr>
                <w:sz w:val="18"/>
              </w:rPr>
              <w:t>of</w:t>
            </w:r>
            <w:r>
              <w:rPr>
                <w:spacing w:val="-7"/>
                <w:sz w:val="18"/>
              </w:rPr>
              <w:t xml:space="preserve"> </w:t>
            </w:r>
            <w:r>
              <w:rPr>
                <w:sz w:val="18"/>
              </w:rPr>
              <w:t>$1.1m</w:t>
            </w:r>
            <w:r>
              <w:rPr>
                <w:spacing w:val="-7"/>
                <w:sz w:val="18"/>
              </w:rPr>
              <w:t xml:space="preserve"> </w:t>
            </w:r>
            <w:r>
              <w:rPr>
                <w:sz w:val="18"/>
              </w:rPr>
              <w:t>per</w:t>
            </w:r>
            <w:r>
              <w:rPr>
                <w:spacing w:val="-7"/>
                <w:sz w:val="18"/>
              </w:rPr>
              <w:t xml:space="preserve"> </w:t>
            </w:r>
            <w:r>
              <w:rPr>
                <w:sz w:val="18"/>
              </w:rPr>
              <w:t>year</w:t>
            </w:r>
            <w:r>
              <w:rPr>
                <w:spacing w:val="-9"/>
                <w:sz w:val="18"/>
              </w:rPr>
              <w:t xml:space="preserve"> </w:t>
            </w:r>
            <w:r>
              <w:rPr>
                <w:sz w:val="18"/>
              </w:rPr>
              <w:t>has</w:t>
            </w:r>
            <w:r>
              <w:rPr>
                <w:spacing w:val="-8"/>
                <w:sz w:val="18"/>
              </w:rPr>
              <w:t xml:space="preserve"> </w:t>
            </w:r>
            <w:r>
              <w:rPr>
                <w:sz w:val="18"/>
              </w:rPr>
              <w:t>been</w:t>
            </w:r>
            <w:r>
              <w:rPr>
                <w:spacing w:val="-8"/>
                <w:sz w:val="18"/>
              </w:rPr>
              <w:t xml:space="preserve"> </w:t>
            </w:r>
            <w:r>
              <w:rPr>
                <w:sz w:val="18"/>
              </w:rPr>
              <w:t>assumed,</w:t>
            </w:r>
            <w:r>
              <w:rPr>
                <w:spacing w:val="-8"/>
                <w:sz w:val="18"/>
              </w:rPr>
              <w:t xml:space="preserve"> </w:t>
            </w:r>
            <w:r>
              <w:rPr>
                <w:sz w:val="18"/>
              </w:rPr>
              <w:t>up</w:t>
            </w:r>
            <w:r>
              <w:rPr>
                <w:spacing w:val="-9"/>
                <w:sz w:val="18"/>
              </w:rPr>
              <w:t xml:space="preserve"> </w:t>
            </w:r>
            <w:r>
              <w:rPr>
                <w:sz w:val="18"/>
              </w:rPr>
              <w:t>from</w:t>
            </w:r>
            <w:r>
              <w:rPr>
                <w:spacing w:val="-7"/>
                <w:sz w:val="18"/>
              </w:rPr>
              <w:t xml:space="preserve"> </w:t>
            </w:r>
            <w:r>
              <w:rPr>
                <w:sz w:val="18"/>
              </w:rPr>
              <w:t>$0.85m</w:t>
            </w:r>
            <w:r>
              <w:rPr>
                <w:spacing w:val="-7"/>
                <w:sz w:val="18"/>
              </w:rPr>
              <w:t xml:space="preserve"> </w:t>
            </w:r>
            <w:r>
              <w:rPr>
                <w:sz w:val="18"/>
              </w:rPr>
              <w:t>per</w:t>
            </w:r>
            <w:r>
              <w:rPr>
                <w:spacing w:val="-7"/>
                <w:sz w:val="18"/>
              </w:rPr>
              <w:t xml:space="preserve"> </w:t>
            </w:r>
            <w:r>
              <w:rPr>
                <w:spacing w:val="-4"/>
                <w:sz w:val="18"/>
              </w:rPr>
              <w:t>year</w:t>
            </w:r>
          </w:p>
          <w:p w14:paraId="4E997F23" w14:textId="77777777" w:rsidR="00141B97" w:rsidRDefault="00911D63">
            <w:pPr>
              <w:pStyle w:val="TableParagraph"/>
              <w:ind w:left="102"/>
              <w:jc w:val="both"/>
              <w:rPr>
                <w:sz w:val="18"/>
              </w:rPr>
            </w:pPr>
            <w:r>
              <w:rPr>
                <w:sz w:val="18"/>
              </w:rPr>
              <w:t>for</w:t>
            </w:r>
            <w:r>
              <w:rPr>
                <w:spacing w:val="-1"/>
                <w:sz w:val="18"/>
              </w:rPr>
              <w:t xml:space="preserve"> </w:t>
            </w:r>
            <w:r>
              <w:rPr>
                <w:sz w:val="18"/>
              </w:rPr>
              <w:t>the</w:t>
            </w:r>
            <w:r>
              <w:rPr>
                <w:spacing w:val="-2"/>
                <w:sz w:val="18"/>
              </w:rPr>
              <w:t xml:space="preserve"> </w:t>
            </w:r>
            <w:r>
              <w:rPr>
                <w:sz w:val="18"/>
              </w:rPr>
              <w:t xml:space="preserve">PS4 </w:t>
            </w:r>
            <w:r>
              <w:rPr>
                <w:spacing w:val="-2"/>
                <w:sz w:val="18"/>
              </w:rPr>
              <w:t>period.</w:t>
            </w:r>
          </w:p>
        </w:tc>
      </w:tr>
    </w:tbl>
    <w:p w14:paraId="6AB4C672" w14:textId="77777777" w:rsidR="00141B97" w:rsidRDefault="00911D63">
      <w:pPr>
        <w:spacing w:before="13"/>
        <w:ind w:left="154"/>
        <w:jc w:val="both"/>
        <w:rPr>
          <w:sz w:val="16"/>
        </w:rPr>
      </w:pPr>
      <w:r>
        <w:rPr>
          <w:sz w:val="16"/>
        </w:rPr>
        <w:t>Table</w:t>
      </w:r>
      <w:r>
        <w:rPr>
          <w:spacing w:val="-3"/>
          <w:sz w:val="16"/>
        </w:rPr>
        <w:t xml:space="preserve"> </w:t>
      </w:r>
      <w:r>
        <w:rPr>
          <w:sz w:val="16"/>
        </w:rPr>
        <w:t>A4:</w:t>
      </w:r>
      <w:r>
        <w:rPr>
          <w:spacing w:val="-3"/>
          <w:sz w:val="16"/>
        </w:rPr>
        <w:t xml:space="preserve"> </w:t>
      </w:r>
      <w:r>
        <w:rPr>
          <w:sz w:val="16"/>
        </w:rPr>
        <w:t>Key</w:t>
      </w:r>
      <w:r>
        <w:rPr>
          <w:spacing w:val="-3"/>
          <w:sz w:val="16"/>
        </w:rPr>
        <w:t xml:space="preserve"> </w:t>
      </w:r>
      <w:r>
        <w:rPr>
          <w:sz w:val="16"/>
        </w:rPr>
        <w:t>PS5</w:t>
      </w:r>
      <w:r>
        <w:rPr>
          <w:spacing w:val="-5"/>
          <w:sz w:val="16"/>
        </w:rPr>
        <w:t xml:space="preserve"> </w:t>
      </w:r>
      <w:r>
        <w:rPr>
          <w:spacing w:val="-2"/>
          <w:sz w:val="16"/>
        </w:rPr>
        <w:t>Assumptions</w:t>
      </w:r>
    </w:p>
    <w:p w14:paraId="342DEFD6" w14:textId="77777777" w:rsidR="00141B97" w:rsidRDefault="00141B97">
      <w:pPr>
        <w:jc w:val="both"/>
        <w:rPr>
          <w:sz w:val="16"/>
        </w:rPr>
        <w:sectPr w:rsidR="00141B97">
          <w:pgSz w:w="11910" w:h="16840"/>
          <w:pgMar w:top="820" w:right="740" w:bottom="1120" w:left="980" w:header="0" w:footer="896" w:gutter="0"/>
          <w:cols w:space="720"/>
        </w:sectPr>
      </w:pPr>
    </w:p>
    <w:p w14:paraId="6156B836" w14:textId="77777777" w:rsidR="00141B97" w:rsidRDefault="00911D63">
      <w:pPr>
        <w:pStyle w:val="Heading2"/>
        <w:numPr>
          <w:ilvl w:val="1"/>
          <w:numId w:val="113"/>
        </w:numPr>
        <w:tabs>
          <w:tab w:val="left" w:pos="1153"/>
        </w:tabs>
        <w:spacing w:before="31"/>
        <w:jc w:val="both"/>
      </w:pPr>
      <w:bookmarkStart w:id="21" w:name="_TOC_250006"/>
      <w:r>
        <w:rPr>
          <w:color w:val="009BAC"/>
        </w:rPr>
        <w:lastRenderedPageBreak/>
        <w:t>Uncertain</w:t>
      </w:r>
      <w:r>
        <w:rPr>
          <w:color w:val="009BAC"/>
          <w:spacing w:val="-14"/>
        </w:rPr>
        <w:t xml:space="preserve"> </w:t>
      </w:r>
      <w:bookmarkEnd w:id="21"/>
      <w:r>
        <w:rPr>
          <w:color w:val="009BAC"/>
          <w:spacing w:val="-2"/>
        </w:rPr>
        <w:t>Projects</w:t>
      </w:r>
    </w:p>
    <w:p w14:paraId="56E5D6CB" w14:textId="77777777" w:rsidR="00141B97" w:rsidRDefault="00911D63">
      <w:pPr>
        <w:pStyle w:val="BodyText"/>
        <w:spacing w:before="120"/>
        <w:ind w:left="154"/>
        <w:jc w:val="both"/>
      </w:pPr>
      <w:r>
        <w:t>Two</w:t>
      </w:r>
      <w:r>
        <w:rPr>
          <w:spacing w:val="-8"/>
        </w:rPr>
        <w:t xml:space="preserve"> </w:t>
      </w:r>
      <w:r>
        <w:t>major</w:t>
      </w:r>
      <w:r>
        <w:rPr>
          <w:spacing w:val="-6"/>
        </w:rPr>
        <w:t xml:space="preserve"> </w:t>
      </w:r>
      <w:r>
        <w:t>regional</w:t>
      </w:r>
      <w:r>
        <w:rPr>
          <w:spacing w:val="-6"/>
        </w:rPr>
        <w:t xml:space="preserve"> </w:t>
      </w:r>
      <w:r>
        <w:t>projects</w:t>
      </w:r>
      <w:r>
        <w:rPr>
          <w:spacing w:val="-8"/>
        </w:rPr>
        <w:t xml:space="preserve"> </w:t>
      </w:r>
      <w:r>
        <w:t>are</w:t>
      </w:r>
      <w:r>
        <w:rPr>
          <w:spacing w:val="-7"/>
        </w:rPr>
        <w:t xml:space="preserve"> </w:t>
      </w:r>
      <w:r>
        <w:t>considered</w:t>
      </w:r>
      <w:r>
        <w:rPr>
          <w:spacing w:val="-6"/>
        </w:rPr>
        <w:t xml:space="preserve"> </w:t>
      </w:r>
      <w:r>
        <w:t>as</w:t>
      </w:r>
      <w:r>
        <w:rPr>
          <w:spacing w:val="-7"/>
        </w:rPr>
        <w:t xml:space="preserve"> </w:t>
      </w:r>
      <w:r>
        <w:t>uncertain</w:t>
      </w:r>
      <w:r>
        <w:rPr>
          <w:spacing w:val="-8"/>
        </w:rPr>
        <w:t xml:space="preserve"> </w:t>
      </w:r>
      <w:r>
        <w:t>at</w:t>
      </w:r>
      <w:r>
        <w:rPr>
          <w:spacing w:val="-7"/>
        </w:rPr>
        <w:t xml:space="preserve"> </w:t>
      </w:r>
      <w:r>
        <w:t>this</w:t>
      </w:r>
      <w:r>
        <w:rPr>
          <w:spacing w:val="-7"/>
        </w:rPr>
        <w:t xml:space="preserve"> </w:t>
      </w:r>
      <w:r>
        <w:t>stage</w:t>
      </w:r>
      <w:r>
        <w:rPr>
          <w:spacing w:val="-8"/>
        </w:rPr>
        <w:t xml:space="preserve"> </w:t>
      </w:r>
      <w:r>
        <w:t>and</w:t>
      </w:r>
      <w:r>
        <w:rPr>
          <w:spacing w:val="-7"/>
        </w:rPr>
        <w:t xml:space="preserve"> </w:t>
      </w:r>
      <w:r>
        <w:t>are</w:t>
      </w:r>
      <w:r>
        <w:rPr>
          <w:spacing w:val="-6"/>
        </w:rPr>
        <w:t xml:space="preserve"> </w:t>
      </w:r>
      <w:r>
        <w:t>explored</w:t>
      </w:r>
      <w:r>
        <w:rPr>
          <w:spacing w:val="-5"/>
        </w:rPr>
        <w:t xml:space="preserve"> </w:t>
      </w:r>
      <w:r>
        <w:rPr>
          <w:spacing w:val="-2"/>
        </w:rPr>
        <w:t>below.</w:t>
      </w:r>
    </w:p>
    <w:p w14:paraId="4A6E0828" w14:textId="77777777" w:rsidR="00141B97" w:rsidRDefault="00141B97">
      <w:pPr>
        <w:pStyle w:val="BodyText"/>
        <w:spacing w:before="11"/>
        <w:rPr>
          <w:sz w:val="23"/>
        </w:rPr>
      </w:pPr>
    </w:p>
    <w:p w14:paraId="7A3BBB46" w14:textId="77777777" w:rsidR="00141B97" w:rsidRDefault="00911D63">
      <w:pPr>
        <w:pStyle w:val="ListParagraph"/>
        <w:numPr>
          <w:ilvl w:val="2"/>
          <w:numId w:val="113"/>
        </w:numPr>
        <w:tabs>
          <w:tab w:val="left" w:pos="1152"/>
          <w:tab w:val="left" w:pos="1153"/>
        </w:tabs>
        <w:ind w:hanging="1000"/>
        <w:jc w:val="both"/>
      </w:pPr>
      <w:r>
        <w:t>Victorian</w:t>
      </w:r>
      <w:r>
        <w:rPr>
          <w:spacing w:val="-11"/>
        </w:rPr>
        <w:t xml:space="preserve"> </w:t>
      </w:r>
      <w:r>
        <w:t>Murray</w:t>
      </w:r>
      <w:r>
        <w:rPr>
          <w:spacing w:val="-10"/>
        </w:rPr>
        <w:t xml:space="preserve"> </w:t>
      </w:r>
      <w:r>
        <w:t>Floodplain</w:t>
      </w:r>
      <w:r>
        <w:rPr>
          <w:spacing w:val="-9"/>
        </w:rPr>
        <w:t xml:space="preserve"> </w:t>
      </w:r>
      <w:r>
        <w:t>Restoration</w:t>
      </w:r>
      <w:r>
        <w:rPr>
          <w:spacing w:val="-10"/>
        </w:rPr>
        <w:t xml:space="preserve"> </w:t>
      </w:r>
      <w:r>
        <w:t>Project</w:t>
      </w:r>
      <w:r>
        <w:rPr>
          <w:spacing w:val="-10"/>
        </w:rPr>
        <w:t xml:space="preserve"> </w:t>
      </w:r>
      <w:r>
        <w:rPr>
          <w:spacing w:val="-2"/>
        </w:rPr>
        <w:t>(VMFRP)</w:t>
      </w:r>
    </w:p>
    <w:p w14:paraId="608C56FA" w14:textId="77777777" w:rsidR="00141B97" w:rsidRDefault="00911D63">
      <w:pPr>
        <w:pStyle w:val="BodyText"/>
        <w:spacing w:before="61" w:line="276" w:lineRule="auto"/>
        <w:ind w:left="153" w:right="246"/>
        <w:jc w:val="both"/>
      </w:pPr>
      <w:r>
        <w:t>The VMFRP is being funded by the Federal government as part of the Victorian Government’s commitment to achieve</w:t>
      </w:r>
      <w:r>
        <w:rPr>
          <w:spacing w:val="-13"/>
        </w:rPr>
        <w:t xml:space="preserve"> </w:t>
      </w:r>
      <w:r>
        <w:t>the</w:t>
      </w:r>
      <w:r>
        <w:rPr>
          <w:spacing w:val="-12"/>
        </w:rPr>
        <w:t xml:space="preserve"> </w:t>
      </w:r>
      <w:r>
        <w:t>environmental</w:t>
      </w:r>
      <w:r>
        <w:rPr>
          <w:spacing w:val="-11"/>
        </w:rPr>
        <w:t xml:space="preserve"> </w:t>
      </w:r>
      <w:r>
        <w:t>outcome</w:t>
      </w:r>
      <w:r>
        <w:rPr>
          <w:spacing w:val="-11"/>
        </w:rPr>
        <w:t xml:space="preserve"> </w:t>
      </w:r>
      <w:r>
        <w:t>of</w:t>
      </w:r>
      <w:r>
        <w:rPr>
          <w:spacing w:val="-11"/>
        </w:rPr>
        <w:t xml:space="preserve"> </w:t>
      </w:r>
      <w:r>
        <w:t>the</w:t>
      </w:r>
      <w:r>
        <w:rPr>
          <w:spacing w:val="-13"/>
        </w:rPr>
        <w:t xml:space="preserve"> </w:t>
      </w:r>
      <w:r>
        <w:t>Murray‐Darling</w:t>
      </w:r>
      <w:r>
        <w:rPr>
          <w:spacing w:val="-11"/>
        </w:rPr>
        <w:t xml:space="preserve"> </w:t>
      </w:r>
      <w:r>
        <w:t>Basin</w:t>
      </w:r>
      <w:r>
        <w:rPr>
          <w:spacing w:val="-13"/>
        </w:rPr>
        <w:t xml:space="preserve"> </w:t>
      </w:r>
      <w:r>
        <w:t>Plan’s</w:t>
      </w:r>
      <w:r>
        <w:rPr>
          <w:spacing w:val="-12"/>
        </w:rPr>
        <w:t xml:space="preserve"> </w:t>
      </w:r>
      <w:r>
        <w:t>(Basin</w:t>
      </w:r>
      <w:r>
        <w:rPr>
          <w:spacing w:val="-11"/>
        </w:rPr>
        <w:t xml:space="preserve"> </w:t>
      </w:r>
      <w:r>
        <w:t>Plan’s)</w:t>
      </w:r>
      <w:r>
        <w:rPr>
          <w:spacing w:val="-12"/>
        </w:rPr>
        <w:t xml:space="preserve"> </w:t>
      </w:r>
      <w:r>
        <w:t>Sustainable</w:t>
      </w:r>
      <w:r>
        <w:rPr>
          <w:spacing w:val="-13"/>
        </w:rPr>
        <w:t xml:space="preserve"> </w:t>
      </w:r>
      <w:r>
        <w:t>Diversion</w:t>
      </w:r>
      <w:r>
        <w:rPr>
          <w:spacing w:val="-12"/>
        </w:rPr>
        <w:t xml:space="preserve"> </w:t>
      </w:r>
      <w:r>
        <w:t>Limit Adjustment Mechanism. Federal funding will be provided to construct infrastructure within nine project sites along</w:t>
      </w:r>
      <w:r>
        <w:rPr>
          <w:spacing w:val="-7"/>
        </w:rPr>
        <w:t xml:space="preserve"> </w:t>
      </w:r>
      <w:r>
        <w:t>the</w:t>
      </w:r>
      <w:r>
        <w:rPr>
          <w:spacing w:val="-9"/>
        </w:rPr>
        <w:t xml:space="preserve"> </w:t>
      </w:r>
      <w:r>
        <w:t>Murray</w:t>
      </w:r>
      <w:r>
        <w:rPr>
          <w:spacing w:val="-7"/>
        </w:rPr>
        <w:t xml:space="preserve"> </w:t>
      </w:r>
      <w:r>
        <w:t>River</w:t>
      </w:r>
      <w:r>
        <w:rPr>
          <w:spacing w:val="-7"/>
        </w:rPr>
        <w:t xml:space="preserve"> </w:t>
      </w:r>
      <w:r>
        <w:t>between</w:t>
      </w:r>
      <w:r>
        <w:rPr>
          <w:spacing w:val="-9"/>
        </w:rPr>
        <w:t xml:space="preserve"> </w:t>
      </w:r>
      <w:r>
        <w:t>Gunbower</w:t>
      </w:r>
      <w:r>
        <w:rPr>
          <w:spacing w:val="-6"/>
        </w:rPr>
        <w:t xml:space="preserve"> </w:t>
      </w:r>
      <w:r>
        <w:t>(near</w:t>
      </w:r>
      <w:r>
        <w:rPr>
          <w:spacing w:val="-7"/>
        </w:rPr>
        <w:t xml:space="preserve"> </w:t>
      </w:r>
      <w:r>
        <w:t>Echuca)</w:t>
      </w:r>
      <w:r>
        <w:rPr>
          <w:spacing w:val="-7"/>
        </w:rPr>
        <w:t xml:space="preserve"> </w:t>
      </w:r>
      <w:r>
        <w:t>and</w:t>
      </w:r>
      <w:r>
        <w:rPr>
          <w:spacing w:val="-7"/>
        </w:rPr>
        <w:t xml:space="preserve"> </w:t>
      </w:r>
      <w:r>
        <w:t>Lindsay</w:t>
      </w:r>
      <w:r>
        <w:rPr>
          <w:spacing w:val="-8"/>
        </w:rPr>
        <w:t xml:space="preserve"> </w:t>
      </w:r>
      <w:r>
        <w:t>Island</w:t>
      </w:r>
      <w:r>
        <w:rPr>
          <w:spacing w:val="-6"/>
        </w:rPr>
        <w:t xml:space="preserve"> </w:t>
      </w:r>
      <w:r>
        <w:t>(near</w:t>
      </w:r>
      <w:r>
        <w:rPr>
          <w:spacing w:val="-7"/>
        </w:rPr>
        <w:t xml:space="preserve"> </w:t>
      </w:r>
      <w:r>
        <w:t>the</w:t>
      </w:r>
      <w:r>
        <w:rPr>
          <w:spacing w:val="-7"/>
        </w:rPr>
        <w:t xml:space="preserve"> </w:t>
      </w:r>
      <w:r>
        <w:t>South</w:t>
      </w:r>
      <w:r>
        <w:rPr>
          <w:spacing w:val="-6"/>
        </w:rPr>
        <w:t xml:space="preserve"> </w:t>
      </w:r>
      <w:r>
        <w:t>Australian</w:t>
      </w:r>
      <w:r>
        <w:rPr>
          <w:spacing w:val="-6"/>
        </w:rPr>
        <w:t xml:space="preserve"> </w:t>
      </w:r>
      <w:r>
        <w:t>border) and undertake the operational planning to be ready to commence operations once construction is complete. The VMFRP is being implemented in a partnership between Lower Murray Water, Goulburn‐Murray Water, Mallee Catchment Management Authority (MCMA), North Central Catchment Management Authority, Parks Victoria and the Department of Environment, Land, Water and Planning.</w:t>
      </w:r>
    </w:p>
    <w:p w14:paraId="02F19A0D" w14:textId="77777777" w:rsidR="00141B97" w:rsidRDefault="00141B97">
      <w:pPr>
        <w:pStyle w:val="BodyText"/>
        <w:spacing w:before="3"/>
        <w:rPr>
          <w:sz w:val="25"/>
        </w:rPr>
      </w:pPr>
    </w:p>
    <w:p w14:paraId="09AFA76A" w14:textId="77777777" w:rsidR="00141B97" w:rsidRDefault="00911D63">
      <w:pPr>
        <w:pStyle w:val="BodyText"/>
        <w:spacing w:line="276" w:lineRule="auto"/>
        <w:ind w:left="153" w:right="246"/>
        <w:jc w:val="both"/>
      </w:pPr>
      <w:r>
        <w:t>Stage</w:t>
      </w:r>
      <w:r>
        <w:rPr>
          <w:spacing w:val="-1"/>
        </w:rPr>
        <w:t xml:space="preserve"> </w:t>
      </w:r>
      <w:r>
        <w:t>1 is in</w:t>
      </w:r>
      <w:r>
        <w:rPr>
          <w:spacing w:val="-1"/>
        </w:rPr>
        <w:t xml:space="preserve"> </w:t>
      </w:r>
      <w:r>
        <w:t>progress</w:t>
      </w:r>
      <w:r>
        <w:rPr>
          <w:spacing w:val="-1"/>
        </w:rPr>
        <w:t xml:space="preserve"> </w:t>
      </w:r>
      <w:r>
        <w:t>comprising project planning including environmental,</w:t>
      </w:r>
      <w:r>
        <w:rPr>
          <w:spacing w:val="-1"/>
        </w:rPr>
        <w:t xml:space="preserve"> </w:t>
      </w:r>
      <w:r>
        <w:t>cultural and</w:t>
      </w:r>
      <w:r>
        <w:rPr>
          <w:spacing w:val="-1"/>
        </w:rPr>
        <w:t xml:space="preserve"> </w:t>
      </w:r>
      <w:r>
        <w:t>heritage,</w:t>
      </w:r>
      <w:r>
        <w:rPr>
          <w:spacing w:val="-1"/>
        </w:rPr>
        <w:t xml:space="preserve"> </w:t>
      </w:r>
      <w:r>
        <w:t>and planning assessments. LMW’s current role is lead proponent on planning and approvals and will be the constructing authority</w:t>
      </w:r>
      <w:r>
        <w:rPr>
          <w:spacing w:val="-4"/>
        </w:rPr>
        <w:t xml:space="preserve"> </w:t>
      </w:r>
      <w:r>
        <w:t>during</w:t>
      </w:r>
      <w:r>
        <w:rPr>
          <w:spacing w:val="-4"/>
        </w:rPr>
        <w:t xml:space="preserve"> </w:t>
      </w:r>
      <w:r>
        <w:t>Stage</w:t>
      </w:r>
      <w:r>
        <w:rPr>
          <w:spacing w:val="-5"/>
        </w:rPr>
        <w:t xml:space="preserve"> </w:t>
      </w:r>
      <w:r>
        <w:t>2</w:t>
      </w:r>
      <w:r>
        <w:rPr>
          <w:spacing w:val="-3"/>
        </w:rPr>
        <w:t xml:space="preserve"> </w:t>
      </w:r>
      <w:r>
        <w:t>construction.</w:t>
      </w:r>
      <w:r>
        <w:rPr>
          <w:spacing w:val="-2"/>
        </w:rPr>
        <w:t xml:space="preserve"> </w:t>
      </w:r>
      <w:r>
        <w:t>These</w:t>
      </w:r>
      <w:r>
        <w:rPr>
          <w:spacing w:val="-3"/>
        </w:rPr>
        <w:t xml:space="preserve"> </w:t>
      </w:r>
      <w:r>
        <w:t>activities</w:t>
      </w:r>
      <w:r>
        <w:rPr>
          <w:spacing w:val="-4"/>
        </w:rPr>
        <w:t xml:space="preserve"> </w:t>
      </w:r>
      <w:r>
        <w:t>do</w:t>
      </w:r>
      <w:r>
        <w:rPr>
          <w:spacing w:val="-4"/>
        </w:rPr>
        <w:t xml:space="preserve"> </w:t>
      </w:r>
      <w:r>
        <w:t>not</w:t>
      </w:r>
      <w:r>
        <w:rPr>
          <w:spacing w:val="-3"/>
        </w:rPr>
        <w:t xml:space="preserve"> </w:t>
      </w:r>
      <w:r>
        <w:t>involve</w:t>
      </w:r>
      <w:r>
        <w:rPr>
          <w:spacing w:val="-5"/>
        </w:rPr>
        <w:t xml:space="preserve"> </w:t>
      </w:r>
      <w:r>
        <w:t>any</w:t>
      </w:r>
      <w:r>
        <w:rPr>
          <w:spacing w:val="-3"/>
        </w:rPr>
        <w:t xml:space="preserve"> </w:t>
      </w:r>
      <w:r>
        <w:t>financial</w:t>
      </w:r>
      <w:r>
        <w:rPr>
          <w:spacing w:val="-5"/>
        </w:rPr>
        <w:t xml:space="preserve"> </w:t>
      </w:r>
      <w:r>
        <w:t>contribution</w:t>
      </w:r>
      <w:r>
        <w:rPr>
          <w:spacing w:val="-5"/>
        </w:rPr>
        <w:t xml:space="preserve"> </w:t>
      </w:r>
      <w:r>
        <w:t>from</w:t>
      </w:r>
      <w:r>
        <w:rPr>
          <w:spacing w:val="-2"/>
        </w:rPr>
        <w:t xml:space="preserve"> </w:t>
      </w:r>
      <w:r>
        <w:t>LMW,</w:t>
      </w:r>
      <w:r>
        <w:rPr>
          <w:spacing w:val="-1"/>
        </w:rPr>
        <w:t xml:space="preserve"> </w:t>
      </w:r>
      <w:r>
        <w:t>and its customers and any services provided by LMW are on a cost‐recovery basis, resulting in VMFRP having no effect on LMW operating expenditure.</w:t>
      </w:r>
    </w:p>
    <w:p w14:paraId="32B633F3" w14:textId="77777777" w:rsidR="00141B97" w:rsidRDefault="00141B97">
      <w:pPr>
        <w:pStyle w:val="BodyText"/>
        <w:spacing w:before="3"/>
        <w:rPr>
          <w:sz w:val="25"/>
        </w:rPr>
      </w:pPr>
    </w:p>
    <w:p w14:paraId="12F3C2B8" w14:textId="77777777" w:rsidR="00141B97" w:rsidRDefault="00911D63">
      <w:pPr>
        <w:pStyle w:val="BodyText"/>
        <w:ind w:left="153"/>
        <w:jc w:val="both"/>
      </w:pPr>
      <w:r>
        <w:t>This</w:t>
      </w:r>
      <w:r>
        <w:rPr>
          <w:spacing w:val="-8"/>
        </w:rPr>
        <w:t xml:space="preserve"> </w:t>
      </w:r>
      <w:r>
        <w:t>project</w:t>
      </w:r>
      <w:r>
        <w:rPr>
          <w:spacing w:val="-8"/>
        </w:rPr>
        <w:t xml:space="preserve"> </w:t>
      </w:r>
      <w:r>
        <w:t>is</w:t>
      </w:r>
      <w:r>
        <w:rPr>
          <w:spacing w:val="-8"/>
        </w:rPr>
        <w:t xml:space="preserve"> </w:t>
      </w:r>
      <w:r>
        <w:t>currently</w:t>
      </w:r>
      <w:r>
        <w:rPr>
          <w:spacing w:val="-7"/>
        </w:rPr>
        <w:t xml:space="preserve"> </w:t>
      </w:r>
      <w:r>
        <w:t>considered</w:t>
      </w:r>
      <w:r>
        <w:rPr>
          <w:spacing w:val="-8"/>
        </w:rPr>
        <w:t xml:space="preserve"> </w:t>
      </w:r>
      <w:r>
        <w:t>an</w:t>
      </w:r>
      <w:r>
        <w:rPr>
          <w:spacing w:val="-7"/>
        </w:rPr>
        <w:t xml:space="preserve"> </w:t>
      </w:r>
      <w:r>
        <w:t>uncertain</w:t>
      </w:r>
      <w:r>
        <w:rPr>
          <w:spacing w:val="-8"/>
        </w:rPr>
        <w:t xml:space="preserve"> </w:t>
      </w:r>
      <w:r>
        <w:t>project</w:t>
      </w:r>
      <w:r>
        <w:rPr>
          <w:spacing w:val="-8"/>
        </w:rPr>
        <w:t xml:space="preserve"> </w:t>
      </w:r>
      <w:r>
        <w:rPr>
          <w:spacing w:val="-2"/>
        </w:rPr>
        <w:t>because:</w:t>
      </w:r>
    </w:p>
    <w:p w14:paraId="2C81C215" w14:textId="77777777" w:rsidR="00141B97" w:rsidRDefault="00911D63">
      <w:pPr>
        <w:pStyle w:val="ListParagraph"/>
        <w:numPr>
          <w:ilvl w:val="3"/>
          <w:numId w:val="113"/>
        </w:numPr>
        <w:tabs>
          <w:tab w:val="left" w:pos="874"/>
        </w:tabs>
        <w:spacing w:before="40" w:line="276" w:lineRule="auto"/>
        <w:ind w:left="873" w:right="246"/>
        <w:jc w:val="both"/>
      </w:pPr>
      <w:r>
        <w:t>There is currently no funding commitment for stage 2 construction between the Federal and State governments. Similarly, there is yet to be a back‐to‐back agreement between the State government department</w:t>
      </w:r>
      <w:r>
        <w:rPr>
          <w:spacing w:val="-1"/>
        </w:rPr>
        <w:t xml:space="preserve"> </w:t>
      </w:r>
      <w:r>
        <w:t>(DELWP) and LMW.</w:t>
      </w:r>
      <w:r>
        <w:rPr>
          <w:spacing w:val="-1"/>
        </w:rPr>
        <w:t xml:space="preserve"> </w:t>
      </w:r>
      <w:r>
        <w:t>The</w:t>
      </w:r>
      <w:r>
        <w:rPr>
          <w:spacing w:val="-1"/>
        </w:rPr>
        <w:t xml:space="preserve"> </w:t>
      </w:r>
      <w:r>
        <w:t>Federal</w:t>
      </w:r>
      <w:r>
        <w:rPr>
          <w:spacing w:val="-2"/>
        </w:rPr>
        <w:t xml:space="preserve"> </w:t>
      </w:r>
      <w:r>
        <w:t>Minister</w:t>
      </w:r>
      <w:r>
        <w:rPr>
          <w:spacing w:val="-2"/>
        </w:rPr>
        <w:t xml:space="preserve"> </w:t>
      </w:r>
      <w:r>
        <w:t>for Environment</w:t>
      </w:r>
      <w:r>
        <w:rPr>
          <w:spacing w:val="-1"/>
        </w:rPr>
        <w:t xml:space="preserve"> </w:t>
      </w:r>
      <w:r>
        <w:t>and Water</w:t>
      </w:r>
      <w:r>
        <w:rPr>
          <w:spacing w:val="-1"/>
        </w:rPr>
        <w:t xml:space="preserve"> </w:t>
      </w:r>
      <w:r>
        <w:t>will</w:t>
      </w:r>
      <w:r>
        <w:rPr>
          <w:spacing w:val="-1"/>
        </w:rPr>
        <w:t xml:space="preserve"> </w:t>
      </w:r>
      <w:r>
        <w:t>consider a</w:t>
      </w:r>
      <w:r>
        <w:rPr>
          <w:spacing w:val="-1"/>
        </w:rPr>
        <w:t xml:space="preserve"> </w:t>
      </w:r>
      <w:r>
        <w:t>Stage 2 delivery funding proposal during late 2022, and the expectation is that subsidiary agreements will follow shortly thereafter.</w:t>
      </w:r>
    </w:p>
    <w:p w14:paraId="08FF686D" w14:textId="77777777" w:rsidR="00141B97" w:rsidRDefault="00911D63">
      <w:pPr>
        <w:pStyle w:val="ListParagraph"/>
        <w:numPr>
          <w:ilvl w:val="3"/>
          <w:numId w:val="113"/>
        </w:numPr>
        <w:tabs>
          <w:tab w:val="left" w:pos="874"/>
        </w:tabs>
        <w:spacing w:line="276" w:lineRule="auto"/>
        <w:ind w:right="246" w:hanging="361"/>
        <w:jc w:val="both"/>
      </w:pPr>
      <w:r>
        <w:t>Uncertainty regarding the feasible project delivery schedule and the legislated due date (June 2024) and the impact this may have on the project including a funding commitment from the Federal government. The expectation is that this is resolved by March 2023.</w:t>
      </w:r>
    </w:p>
    <w:p w14:paraId="4955CFB0" w14:textId="77777777" w:rsidR="00141B97" w:rsidRDefault="00911D63">
      <w:pPr>
        <w:pStyle w:val="ListParagraph"/>
        <w:numPr>
          <w:ilvl w:val="3"/>
          <w:numId w:val="113"/>
        </w:numPr>
        <w:tabs>
          <w:tab w:val="left" w:pos="875"/>
        </w:tabs>
        <w:spacing w:line="276" w:lineRule="auto"/>
        <w:ind w:right="248" w:hanging="361"/>
        <w:jc w:val="both"/>
      </w:pPr>
      <w:r>
        <w:t>The</w:t>
      </w:r>
      <w:r>
        <w:rPr>
          <w:spacing w:val="-5"/>
        </w:rPr>
        <w:t xml:space="preserve"> </w:t>
      </w:r>
      <w:r>
        <w:t>State</w:t>
      </w:r>
      <w:r>
        <w:rPr>
          <w:spacing w:val="-4"/>
        </w:rPr>
        <w:t xml:space="preserve"> </w:t>
      </w:r>
      <w:r>
        <w:t>government</w:t>
      </w:r>
      <w:r>
        <w:rPr>
          <w:spacing w:val="-4"/>
        </w:rPr>
        <w:t xml:space="preserve"> </w:t>
      </w:r>
      <w:r>
        <w:t>has</w:t>
      </w:r>
      <w:r>
        <w:rPr>
          <w:spacing w:val="-3"/>
        </w:rPr>
        <w:t xml:space="preserve"> </w:t>
      </w:r>
      <w:r>
        <w:t>not</w:t>
      </w:r>
      <w:r>
        <w:rPr>
          <w:spacing w:val="-3"/>
        </w:rPr>
        <w:t xml:space="preserve"> </w:t>
      </w:r>
      <w:r>
        <w:t>defined</w:t>
      </w:r>
      <w:r>
        <w:rPr>
          <w:spacing w:val="-5"/>
        </w:rPr>
        <w:t xml:space="preserve"> </w:t>
      </w:r>
      <w:r>
        <w:t>the</w:t>
      </w:r>
      <w:r>
        <w:rPr>
          <w:spacing w:val="-4"/>
        </w:rPr>
        <w:t xml:space="preserve"> </w:t>
      </w:r>
      <w:r>
        <w:t>operations</w:t>
      </w:r>
      <w:r>
        <w:rPr>
          <w:spacing w:val="-3"/>
        </w:rPr>
        <w:t xml:space="preserve"> </w:t>
      </w:r>
      <w:r>
        <w:t>and</w:t>
      </w:r>
      <w:r>
        <w:rPr>
          <w:spacing w:val="-3"/>
        </w:rPr>
        <w:t xml:space="preserve"> </w:t>
      </w:r>
      <w:r>
        <w:t>maintenance</w:t>
      </w:r>
      <w:r>
        <w:rPr>
          <w:spacing w:val="-4"/>
        </w:rPr>
        <w:t xml:space="preserve"> </w:t>
      </w:r>
      <w:r>
        <w:t>funding</w:t>
      </w:r>
      <w:r>
        <w:rPr>
          <w:spacing w:val="-3"/>
        </w:rPr>
        <w:t xml:space="preserve"> </w:t>
      </w:r>
      <w:r>
        <w:t>pathway</w:t>
      </w:r>
      <w:r>
        <w:rPr>
          <w:spacing w:val="-3"/>
        </w:rPr>
        <w:t xml:space="preserve"> </w:t>
      </w:r>
      <w:r>
        <w:t>for</w:t>
      </w:r>
      <w:r>
        <w:rPr>
          <w:spacing w:val="-3"/>
        </w:rPr>
        <w:t xml:space="preserve"> </w:t>
      </w:r>
      <w:r>
        <w:t>the</w:t>
      </w:r>
      <w:r>
        <w:rPr>
          <w:spacing w:val="-5"/>
        </w:rPr>
        <w:t xml:space="preserve"> </w:t>
      </w:r>
      <w:r>
        <w:t>water corporations that will be the asset owners and operators of the constructed infrastructure. The expectation is that this is resolved by end of 2022.</w:t>
      </w:r>
    </w:p>
    <w:p w14:paraId="7C0D69F7" w14:textId="77777777" w:rsidR="00141B97" w:rsidRDefault="00911D63">
      <w:pPr>
        <w:pStyle w:val="ListParagraph"/>
        <w:numPr>
          <w:ilvl w:val="3"/>
          <w:numId w:val="113"/>
        </w:numPr>
        <w:tabs>
          <w:tab w:val="left" w:pos="874"/>
        </w:tabs>
        <w:spacing w:line="276" w:lineRule="auto"/>
        <w:ind w:left="873" w:right="247"/>
        <w:jc w:val="both"/>
      </w:pPr>
      <w:r>
        <w:t>VMFRP</w:t>
      </w:r>
      <w:r>
        <w:rPr>
          <w:spacing w:val="-5"/>
        </w:rPr>
        <w:t xml:space="preserve"> </w:t>
      </w:r>
      <w:r>
        <w:t>will</w:t>
      </w:r>
      <w:r>
        <w:rPr>
          <w:spacing w:val="-6"/>
        </w:rPr>
        <w:t xml:space="preserve"> </w:t>
      </w:r>
      <w:r>
        <w:t>not</w:t>
      </w:r>
      <w:r>
        <w:rPr>
          <w:spacing w:val="-7"/>
        </w:rPr>
        <w:t xml:space="preserve"> </w:t>
      </w:r>
      <w:r>
        <w:t>have</w:t>
      </w:r>
      <w:r>
        <w:rPr>
          <w:spacing w:val="-7"/>
        </w:rPr>
        <w:t xml:space="preserve"> </w:t>
      </w:r>
      <w:r>
        <w:t>an</w:t>
      </w:r>
      <w:r>
        <w:rPr>
          <w:spacing w:val="-7"/>
        </w:rPr>
        <w:t xml:space="preserve"> </w:t>
      </w:r>
      <w:r>
        <w:t>impact</w:t>
      </w:r>
      <w:r>
        <w:rPr>
          <w:spacing w:val="-6"/>
        </w:rPr>
        <w:t xml:space="preserve"> </w:t>
      </w:r>
      <w:r>
        <w:t>on</w:t>
      </w:r>
      <w:r>
        <w:rPr>
          <w:spacing w:val="-5"/>
        </w:rPr>
        <w:t xml:space="preserve"> </w:t>
      </w:r>
      <w:r>
        <w:t>existing</w:t>
      </w:r>
      <w:r>
        <w:rPr>
          <w:spacing w:val="-6"/>
        </w:rPr>
        <w:t xml:space="preserve"> </w:t>
      </w:r>
      <w:r>
        <w:t>LMW</w:t>
      </w:r>
      <w:r>
        <w:rPr>
          <w:spacing w:val="-7"/>
        </w:rPr>
        <w:t xml:space="preserve"> </w:t>
      </w:r>
      <w:r>
        <w:t>customer</w:t>
      </w:r>
      <w:r>
        <w:rPr>
          <w:spacing w:val="-5"/>
        </w:rPr>
        <w:t xml:space="preserve"> </w:t>
      </w:r>
      <w:r>
        <w:t>services</w:t>
      </w:r>
      <w:r>
        <w:rPr>
          <w:spacing w:val="-5"/>
        </w:rPr>
        <w:t xml:space="preserve"> </w:t>
      </w:r>
      <w:r>
        <w:t>and</w:t>
      </w:r>
      <w:r>
        <w:rPr>
          <w:spacing w:val="-7"/>
        </w:rPr>
        <w:t xml:space="preserve"> </w:t>
      </w:r>
      <w:r>
        <w:t>LMW</w:t>
      </w:r>
      <w:r>
        <w:rPr>
          <w:spacing w:val="-6"/>
        </w:rPr>
        <w:t xml:space="preserve"> </w:t>
      </w:r>
      <w:r>
        <w:t>customer</w:t>
      </w:r>
      <w:r>
        <w:rPr>
          <w:spacing w:val="-7"/>
        </w:rPr>
        <w:t xml:space="preserve"> </w:t>
      </w:r>
      <w:r>
        <w:t>charges</w:t>
      </w:r>
      <w:r>
        <w:rPr>
          <w:spacing w:val="-6"/>
        </w:rPr>
        <w:t xml:space="preserve"> </w:t>
      </w:r>
      <w:r>
        <w:t>will</w:t>
      </w:r>
      <w:r>
        <w:rPr>
          <w:spacing w:val="-6"/>
        </w:rPr>
        <w:t xml:space="preserve"> </w:t>
      </w:r>
      <w:r>
        <w:t>not contribute to VMFRP. LMW may seek a variation to the ESC’s determination as these assets are expected to become operational from June 2024.</w:t>
      </w:r>
    </w:p>
    <w:p w14:paraId="29A714C7" w14:textId="77777777" w:rsidR="00141B97" w:rsidRDefault="00141B97">
      <w:pPr>
        <w:pStyle w:val="BodyText"/>
        <w:spacing w:before="8"/>
        <w:rPr>
          <w:sz w:val="20"/>
        </w:rPr>
      </w:pPr>
    </w:p>
    <w:p w14:paraId="09D4ED70" w14:textId="77777777" w:rsidR="00141B97" w:rsidRDefault="00911D63">
      <w:pPr>
        <w:pStyle w:val="ListParagraph"/>
        <w:numPr>
          <w:ilvl w:val="2"/>
          <w:numId w:val="113"/>
        </w:numPr>
        <w:tabs>
          <w:tab w:val="left" w:pos="1152"/>
          <w:tab w:val="left" w:pos="1153"/>
        </w:tabs>
        <w:jc w:val="both"/>
      </w:pPr>
      <w:r>
        <w:t>Water</w:t>
      </w:r>
      <w:r>
        <w:rPr>
          <w:spacing w:val="-7"/>
        </w:rPr>
        <w:t xml:space="preserve"> </w:t>
      </w:r>
      <w:r>
        <w:t>Efficiency</w:t>
      </w:r>
      <w:r>
        <w:rPr>
          <w:spacing w:val="-6"/>
        </w:rPr>
        <w:t xml:space="preserve"> </w:t>
      </w:r>
      <w:r>
        <w:rPr>
          <w:spacing w:val="-2"/>
        </w:rPr>
        <w:t>Project</w:t>
      </w:r>
    </w:p>
    <w:p w14:paraId="48A59EAE" w14:textId="77777777" w:rsidR="00141B97" w:rsidRDefault="00911D63">
      <w:pPr>
        <w:pStyle w:val="BodyText"/>
        <w:spacing w:before="60" w:line="276" w:lineRule="auto"/>
        <w:ind w:left="153" w:right="245"/>
        <w:jc w:val="both"/>
      </w:pPr>
      <w:r>
        <w:t>The Water Efficiency Project (WEP) is being funded by the Federal government as part of initiatives to deliver upon the Murray Darling Basin Plan. Federal funding will be provided to invest in irrigation infrastructure to extend</w:t>
      </w:r>
      <w:r>
        <w:rPr>
          <w:spacing w:val="-10"/>
        </w:rPr>
        <w:t xml:space="preserve"> </w:t>
      </w:r>
      <w:r>
        <w:t>asset</w:t>
      </w:r>
      <w:r>
        <w:rPr>
          <w:spacing w:val="-11"/>
        </w:rPr>
        <w:t xml:space="preserve"> </w:t>
      </w:r>
      <w:r>
        <w:t>life</w:t>
      </w:r>
      <w:r>
        <w:rPr>
          <w:spacing w:val="-11"/>
        </w:rPr>
        <w:t xml:space="preserve"> </w:t>
      </w:r>
      <w:r>
        <w:t>and</w:t>
      </w:r>
      <w:r>
        <w:rPr>
          <w:spacing w:val="-9"/>
        </w:rPr>
        <w:t xml:space="preserve"> </w:t>
      </w:r>
      <w:r>
        <w:t>improve</w:t>
      </w:r>
      <w:r>
        <w:rPr>
          <w:spacing w:val="-11"/>
        </w:rPr>
        <w:t xml:space="preserve"> </w:t>
      </w:r>
      <w:r>
        <w:t>metering,</w:t>
      </w:r>
      <w:r>
        <w:rPr>
          <w:spacing w:val="-10"/>
        </w:rPr>
        <w:t xml:space="preserve"> </w:t>
      </w:r>
      <w:r>
        <w:t>resulting</w:t>
      </w:r>
      <w:r>
        <w:rPr>
          <w:spacing w:val="-9"/>
        </w:rPr>
        <w:t xml:space="preserve"> </w:t>
      </w:r>
      <w:r>
        <w:t>in</w:t>
      </w:r>
      <w:r>
        <w:rPr>
          <w:spacing w:val="-10"/>
        </w:rPr>
        <w:t xml:space="preserve"> </w:t>
      </w:r>
      <w:r>
        <w:t>reduced</w:t>
      </w:r>
      <w:r>
        <w:rPr>
          <w:spacing w:val="-9"/>
        </w:rPr>
        <w:t xml:space="preserve"> </w:t>
      </w:r>
      <w:r>
        <w:t>water</w:t>
      </w:r>
      <w:r>
        <w:rPr>
          <w:spacing w:val="-9"/>
        </w:rPr>
        <w:t xml:space="preserve"> </w:t>
      </w:r>
      <w:r>
        <w:t>losses.</w:t>
      </w:r>
      <w:r>
        <w:rPr>
          <w:spacing w:val="-10"/>
        </w:rPr>
        <w:t xml:space="preserve"> </w:t>
      </w:r>
      <w:r>
        <w:t>The</w:t>
      </w:r>
      <w:r>
        <w:rPr>
          <w:spacing w:val="-9"/>
        </w:rPr>
        <w:t xml:space="preserve"> </w:t>
      </w:r>
      <w:r>
        <w:t>Federal</w:t>
      </w:r>
      <w:r>
        <w:rPr>
          <w:spacing w:val="-10"/>
        </w:rPr>
        <w:t xml:space="preserve"> </w:t>
      </w:r>
      <w:r>
        <w:t>Minister</w:t>
      </w:r>
      <w:r>
        <w:rPr>
          <w:spacing w:val="-11"/>
        </w:rPr>
        <w:t xml:space="preserve"> </w:t>
      </w:r>
      <w:r>
        <w:t>for</w:t>
      </w:r>
      <w:r>
        <w:rPr>
          <w:spacing w:val="-9"/>
        </w:rPr>
        <w:t xml:space="preserve"> </w:t>
      </w:r>
      <w:r>
        <w:t>Environment and Water announced in July 2022 funding of $38m and a return of 1.8GL of water for the environment. If additional water savings are produced, any further savings are to be shared equally between delivering water for Traditional Owners and improving urban water security in the region.</w:t>
      </w:r>
    </w:p>
    <w:p w14:paraId="14C54D82" w14:textId="77777777" w:rsidR="00141B97" w:rsidRDefault="00141B97">
      <w:pPr>
        <w:pStyle w:val="BodyText"/>
        <w:spacing w:before="4"/>
        <w:rPr>
          <w:sz w:val="25"/>
        </w:rPr>
      </w:pPr>
    </w:p>
    <w:p w14:paraId="703B34F6" w14:textId="77777777" w:rsidR="00141B97" w:rsidRDefault="00911D63">
      <w:pPr>
        <w:pStyle w:val="BodyText"/>
        <w:ind w:left="154"/>
      </w:pPr>
      <w:r>
        <w:t>This</w:t>
      </w:r>
      <w:r>
        <w:rPr>
          <w:spacing w:val="-8"/>
        </w:rPr>
        <w:t xml:space="preserve"> </w:t>
      </w:r>
      <w:r>
        <w:t>project</w:t>
      </w:r>
      <w:r>
        <w:rPr>
          <w:spacing w:val="-8"/>
        </w:rPr>
        <w:t xml:space="preserve"> </w:t>
      </w:r>
      <w:r>
        <w:t>is</w:t>
      </w:r>
      <w:r>
        <w:rPr>
          <w:spacing w:val="-9"/>
        </w:rPr>
        <w:t xml:space="preserve"> </w:t>
      </w:r>
      <w:r>
        <w:t>considered</w:t>
      </w:r>
      <w:r>
        <w:rPr>
          <w:spacing w:val="-7"/>
        </w:rPr>
        <w:t xml:space="preserve"> </w:t>
      </w:r>
      <w:r>
        <w:t>an</w:t>
      </w:r>
      <w:r>
        <w:rPr>
          <w:spacing w:val="-9"/>
        </w:rPr>
        <w:t xml:space="preserve"> </w:t>
      </w:r>
      <w:r>
        <w:t>uncertain</w:t>
      </w:r>
      <w:r>
        <w:rPr>
          <w:spacing w:val="-8"/>
        </w:rPr>
        <w:t xml:space="preserve"> </w:t>
      </w:r>
      <w:r>
        <w:t>project</w:t>
      </w:r>
      <w:r>
        <w:rPr>
          <w:spacing w:val="-8"/>
        </w:rPr>
        <w:t xml:space="preserve"> </w:t>
      </w:r>
      <w:r>
        <w:rPr>
          <w:spacing w:val="-2"/>
        </w:rPr>
        <w:t>because:</w:t>
      </w:r>
    </w:p>
    <w:p w14:paraId="2A6BBF2C" w14:textId="77777777" w:rsidR="00141B97" w:rsidRDefault="00911D63">
      <w:pPr>
        <w:pStyle w:val="ListParagraph"/>
        <w:numPr>
          <w:ilvl w:val="3"/>
          <w:numId w:val="113"/>
        </w:numPr>
        <w:tabs>
          <w:tab w:val="left" w:pos="873"/>
          <w:tab w:val="left" w:pos="874"/>
        </w:tabs>
        <w:spacing w:before="39" w:line="276" w:lineRule="auto"/>
        <w:ind w:left="873" w:right="249"/>
      </w:pPr>
      <w:r>
        <w:t>The terms of the back‐to‐back funding agreement between the Federal and State governments and</w:t>
      </w:r>
      <w:r>
        <w:rPr>
          <w:spacing w:val="40"/>
        </w:rPr>
        <w:t xml:space="preserve"> </w:t>
      </w:r>
      <w:r>
        <w:t>State government department (DELWP) and LMW has not been finalised.</w:t>
      </w:r>
    </w:p>
    <w:p w14:paraId="0291D3EE" w14:textId="77777777" w:rsidR="00141B97" w:rsidRDefault="00911D63">
      <w:pPr>
        <w:pStyle w:val="ListParagraph"/>
        <w:numPr>
          <w:ilvl w:val="3"/>
          <w:numId w:val="113"/>
        </w:numPr>
        <w:tabs>
          <w:tab w:val="left" w:pos="873"/>
          <w:tab w:val="left" w:pos="874"/>
        </w:tabs>
        <w:spacing w:line="280" w:lineRule="exact"/>
        <w:ind w:left="873" w:hanging="361"/>
      </w:pPr>
      <w:r>
        <w:rPr>
          <w:spacing w:val="-2"/>
        </w:rPr>
        <w:t>Uncertainty</w:t>
      </w:r>
      <w:r>
        <w:t xml:space="preserve"> </w:t>
      </w:r>
      <w:r>
        <w:rPr>
          <w:spacing w:val="-2"/>
        </w:rPr>
        <w:t>regarding</w:t>
      </w:r>
      <w:r>
        <w:rPr>
          <w:spacing w:val="1"/>
        </w:rPr>
        <w:t xml:space="preserve"> </w:t>
      </w:r>
      <w:r>
        <w:rPr>
          <w:spacing w:val="-2"/>
        </w:rPr>
        <w:t>the feasible</w:t>
      </w:r>
      <w:r>
        <w:t xml:space="preserve"> </w:t>
      </w:r>
      <w:r>
        <w:rPr>
          <w:spacing w:val="-2"/>
        </w:rPr>
        <w:t>project</w:t>
      </w:r>
      <w:r>
        <w:rPr>
          <w:spacing w:val="-1"/>
        </w:rPr>
        <w:t xml:space="preserve"> </w:t>
      </w:r>
      <w:r>
        <w:rPr>
          <w:spacing w:val="-2"/>
        </w:rPr>
        <w:t>delivery</w:t>
      </w:r>
      <w:r>
        <w:rPr>
          <w:spacing w:val="1"/>
        </w:rPr>
        <w:t xml:space="preserve"> </w:t>
      </w:r>
      <w:r>
        <w:rPr>
          <w:spacing w:val="-2"/>
        </w:rPr>
        <w:t>schedule</w:t>
      </w:r>
      <w:r>
        <w:rPr>
          <w:spacing w:val="1"/>
        </w:rPr>
        <w:t xml:space="preserve"> </w:t>
      </w:r>
      <w:r>
        <w:rPr>
          <w:spacing w:val="-2"/>
        </w:rPr>
        <w:t>and</w:t>
      </w:r>
      <w:r>
        <w:t xml:space="preserve"> </w:t>
      </w:r>
      <w:r>
        <w:rPr>
          <w:spacing w:val="-2"/>
        </w:rPr>
        <w:t>the</w:t>
      </w:r>
      <w:r>
        <w:rPr>
          <w:spacing w:val="1"/>
        </w:rPr>
        <w:t xml:space="preserve"> </w:t>
      </w:r>
      <w:r>
        <w:rPr>
          <w:spacing w:val="-2"/>
        </w:rPr>
        <w:t>legislated</w:t>
      </w:r>
      <w:r>
        <w:t xml:space="preserve"> </w:t>
      </w:r>
      <w:r>
        <w:rPr>
          <w:spacing w:val="-2"/>
        </w:rPr>
        <w:t>due</w:t>
      </w:r>
      <w:r>
        <w:t xml:space="preserve"> </w:t>
      </w:r>
      <w:r>
        <w:rPr>
          <w:spacing w:val="-2"/>
        </w:rPr>
        <w:t>date</w:t>
      </w:r>
      <w:r>
        <w:rPr>
          <w:spacing w:val="-1"/>
        </w:rPr>
        <w:t xml:space="preserve"> </w:t>
      </w:r>
      <w:r>
        <w:rPr>
          <w:spacing w:val="-2"/>
        </w:rPr>
        <w:t>(June</w:t>
      </w:r>
      <w:r>
        <w:rPr>
          <w:spacing w:val="-1"/>
        </w:rPr>
        <w:t xml:space="preserve"> </w:t>
      </w:r>
      <w:r>
        <w:rPr>
          <w:spacing w:val="-2"/>
        </w:rPr>
        <w:t>2024)</w:t>
      </w:r>
      <w:r>
        <w:t xml:space="preserve"> </w:t>
      </w:r>
      <w:r>
        <w:rPr>
          <w:spacing w:val="-5"/>
        </w:rPr>
        <w:t>for</w:t>
      </w:r>
    </w:p>
    <w:p w14:paraId="2F7BF5E1" w14:textId="77777777" w:rsidR="00141B97" w:rsidRDefault="00141B97">
      <w:pPr>
        <w:spacing w:line="280" w:lineRule="exact"/>
        <w:sectPr w:rsidR="00141B97">
          <w:pgSz w:w="11910" w:h="16840"/>
          <w:pgMar w:top="820" w:right="740" w:bottom="1120" w:left="980" w:header="0" w:footer="896" w:gutter="0"/>
          <w:cols w:space="720"/>
        </w:sectPr>
      </w:pPr>
    </w:p>
    <w:p w14:paraId="419476DB" w14:textId="77777777" w:rsidR="00141B97" w:rsidRDefault="00911D63">
      <w:pPr>
        <w:pStyle w:val="BodyText"/>
        <w:spacing w:before="31" w:line="276" w:lineRule="auto"/>
        <w:ind w:left="874" w:right="246" w:hanging="1"/>
        <w:jc w:val="both"/>
      </w:pPr>
      <w:r>
        <w:lastRenderedPageBreak/>
        <w:t xml:space="preserve">delivery of water savings under the Murray Darling Basin Plan and the impact this may have on the </w:t>
      </w:r>
      <w:r>
        <w:rPr>
          <w:spacing w:val="-2"/>
        </w:rPr>
        <w:t>project.</w:t>
      </w:r>
    </w:p>
    <w:p w14:paraId="77A0904A" w14:textId="77777777" w:rsidR="00141B97" w:rsidRDefault="00911D63">
      <w:pPr>
        <w:pStyle w:val="ListParagraph"/>
        <w:numPr>
          <w:ilvl w:val="3"/>
          <w:numId w:val="113"/>
        </w:numPr>
        <w:tabs>
          <w:tab w:val="left" w:pos="875"/>
        </w:tabs>
        <w:spacing w:line="276" w:lineRule="auto"/>
        <w:ind w:right="248" w:hanging="361"/>
        <w:jc w:val="both"/>
      </w:pPr>
      <w:r>
        <w:t>While</w:t>
      </w:r>
      <w:r>
        <w:rPr>
          <w:spacing w:val="-13"/>
        </w:rPr>
        <w:t xml:space="preserve"> </w:t>
      </w:r>
      <w:r>
        <w:t>the</w:t>
      </w:r>
      <w:r>
        <w:rPr>
          <w:spacing w:val="-12"/>
        </w:rPr>
        <w:t xml:space="preserve"> </w:t>
      </w:r>
      <w:r>
        <w:t>business</w:t>
      </w:r>
      <w:r>
        <w:rPr>
          <w:spacing w:val="-13"/>
        </w:rPr>
        <w:t xml:space="preserve"> </w:t>
      </w:r>
      <w:r>
        <w:t>case</w:t>
      </w:r>
      <w:r>
        <w:rPr>
          <w:spacing w:val="-12"/>
        </w:rPr>
        <w:t xml:space="preserve"> </w:t>
      </w:r>
      <w:r>
        <w:t>to</w:t>
      </w:r>
      <w:r>
        <w:rPr>
          <w:spacing w:val="-13"/>
        </w:rPr>
        <w:t xml:space="preserve"> </w:t>
      </w:r>
      <w:r>
        <w:t>support</w:t>
      </w:r>
      <w:r>
        <w:rPr>
          <w:spacing w:val="-12"/>
        </w:rPr>
        <w:t xml:space="preserve"> </w:t>
      </w:r>
      <w:r>
        <w:t>investment</w:t>
      </w:r>
      <w:r>
        <w:rPr>
          <w:spacing w:val="-13"/>
        </w:rPr>
        <w:t xml:space="preserve"> </w:t>
      </w:r>
      <w:r>
        <w:t>identified</w:t>
      </w:r>
      <w:r>
        <w:rPr>
          <w:spacing w:val="-12"/>
        </w:rPr>
        <w:t xml:space="preserve"> </w:t>
      </w:r>
      <w:r>
        <w:t>theoretical</w:t>
      </w:r>
      <w:r>
        <w:rPr>
          <w:spacing w:val="-12"/>
        </w:rPr>
        <w:t xml:space="preserve"> </w:t>
      </w:r>
      <w:r>
        <w:t>works</w:t>
      </w:r>
      <w:r>
        <w:rPr>
          <w:spacing w:val="-13"/>
        </w:rPr>
        <w:t xml:space="preserve"> </w:t>
      </w:r>
      <w:r>
        <w:t>packages,</w:t>
      </w:r>
      <w:r>
        <w:rPr>
          <w:spacing w:val="-12"/>
        </w:rPr>
        <w:t xml:space="preserve"> </w:t>
      </w:r>
      <w:r>
        <w:t>the</w:t>
      </w:r>
      <w:r>
        <w:rPr>
          <w:spacing w:val="-13"/>
        </w:rPr>
        <w:t xml:space="preserve"> </w:t>
      </w:r>
      <w:r>
        <w:t>detailed</w:t>
      </w:r>
      <w:r>
        <w:rPr>
          <w:spacing w:val="-12"/>
        </w:rPr>
        <w:t xml:space="preserve"> </w:t>
      </w:r>
      <w:r>
        <w:t>scope and</w:t>
      </w:r>
      <w:r>
        <w:rPr>
          <w:spacing w:val="-1"/>
        </w:rPr>
        <w:t xml:space="preserve"> </w:t>
      </w:r>
      <w:r>
        <w:t>optimal works packages balancing</w:t>
      </w:r>
      <w:r>
        <w:rPr>
          <w:spacing w:val="-1"/>
        </w:rPr>
        <w:t xml:space="preserve"> </w:t>
      </w:r>
      <w:r>
        <w:t>channel</w:t>
      </w:r>
      <w:r>
        <w:rPr>
          <w:spacing w:val="-1"/>
        </w:rPr>
        <w:t xml:space="preserve"> </w:t>
      </w:r>
      <w:r>
        <w:t>lining</w:t>
      </w:r>
      <w:r>
        <w:rPr>
          <w:spacing w:val="-1"/>
        </w:rPr>
        <w:t xml:space="preserve"> </w:t>
      </w:r>
      <w:r>
        <w:t>or replacing channels with pipes versus metering upgrades and any associated impact on opex or capex costs is yet to be determined.</w:t>
      </w:r>
    </w:p>
    <w:p w14:paraId="65CC53D4" w14:textId="77777777" w:rsidR="00141B97" w:rsidRDefault="00141B97">
      <w:pPr>
        <w:pStyle w:val="BodyText"/>
        <w:spacing w:before="3"/>
        <w:rPr>
          <w:sz w:val="25"/>
        </w:rPr>
      </w:pPr>
    </w:p>
    <w:p w14:paraId="6AB8CA0C" w14:textId="77777777" w:rsidR="00141B97" w:rsidRDefault="00911D63">
      <w:pPr>
        <w:pStyle w:val="BodyText"/>
        <w:spacing w:before="1" w:line="276" w:lineRule="auto"/>
        <w:ind w:left="153" w:right="246"/>
        <w:jc w:val="both"/>
      </w:pPr>
      <w:r>
        <w:t>While</w:t>
      </w:r>
      <w:r>
        <w:rPr>
          <w:spacing w:val="-8"/>
        </w:rPr>
        <w:t xml:space="preserve"> </w:t>
      </w:r>
      <w:r>
        <w:t>the</w:t>
      </w:r>
      <w:r>
        <w:rPr>
          <w:spacing w:val="-9"/>
        </w:rPr>
        <w:t xml:space="preserve"> </w:t>
      </w:r>
      <w:r>
        <w:t>impact</w:t>
      </w:r>
      <w:r>
        <w:rPr>
          <w:spacing w:val="-8"/>
        </w:rPr>
        <w:t xml:space="preserve"> </w:t>
      </w:r>
      <w:r>
        <w:t>on</w:t>
      </w:r>
      <w:r>
        <w:rPr>
          <w:spacing w:val="-7"/>
        </w:rPr>
        <w:t xml:space="preserve"> </w:t>
      </w:r>
      <w:r>
        <w:t>existing</w:t>
      </w:r>
      <w:r>
        <w:rPr>
          <w:spacing w:val="-9"/>
        </w:rPr>
        <w:t xml:space="preserve"> </w:t>
      </w:r>
      <w:r>
        <w:t>customers</w:t>
      </w:r>
      <w:r>
        <w:rPr>
          <w:spacing w:val="-7"/>
        </w:rPr>
        <w:t xml:space="preserve"> </w:t>
      </w:r>
      <w:r>
        <w:t>of</w:t>
      </w:r>
      <w:r>
        <w:rPr>
          <w:spacing w:val="-7"/>
        </w:rPr>
        <w:t xml:space="preserve"> </w:t>
      </w:r>
      <w:r>
        <w:t>the</w:t>
      </w:r>
      <w:r>
        <w:rPr>
          <w:spacing w:val="-9"/>
        </w:rPr>
        <w:t xml:space="preserve"> </w:t>
      </w:r>
      <w:r>
        <w:t>Water</w:t>
      </w:r>
      <w:r>
        <w:rPr>
          <w:spacing w:val="-7"/>
        </w:rPr>
        <w:t xml:space="preserve"> </w:t>
      </w:r>
      <w:r>
        <w:t>Efficiency</w:t>
      </w:r>
      <w:r>
        <w:rPr>
          <w:spacing w:val="-9"/>
        </w:rPr>
        <w:t xml:space="preserve"> </w:t>
      </w:r>
      <w:r>
        <w:t>Project</w:t>
      </w:r>
      <w:r>
        <w:rPr>
          <w:spacing w:val="-8"/>
        </w:rPr>
        <w:t xml:space="preserve"> </w:t>
      </w:r>
      <w:r>
        <w:t>will</w:t>
      </w:r>
      <w:r>
        <w:rPr>
          <w:spacing w:val="-8"/>
        </w:rPr>
        <w:t xml:space="preserve"> </w:t>
      </w:r>
      <w:r>
        <w:t>be</w:t>
      </w:r>
      <w:r>
        <w:rPr>
          <w:spacing w:val="-8"/>
        </w:rPr>
        <w:t xml:space="preserve"> </w:t>
      </w:r>
      <w:r>
        <w:t>positive</w:t>
      </w:r>
      <w:r>
        <w:rPr>
          <w:spacing w:val="-10"/>
        </w:rPr>
        <w:t xml:space="preserve"> </w:t>
      </w:r>
      <w:r>
        <w:t>in</w:t>
      </w:r>
      <w:r>
        <w:rPr>
          <w:spacing w:val="-8"/>
        </w:rPr>
        <w:t xml:space="preserve"> </w:t>
      </w:r>
      <w:r>
        <w:t>terms</w:t>
      </w:r>
      <w:r>
        <w:rPr>
          <w:spacing w:val="-8"/>
        </w:rPr>
        <w:t xml:space="preserve"> </w:t>
      </w:r>
      <w:r>
        <w:t>of</w:t>
      </w:r>
      <w:r>
        <w:rPr>
          <w:spacing w:val="-7"/>
        </w:rPr>
        <w:t xml:space="preserve"> </w:t>
      </w:r>
      <w:r>
        <w:t>infrastructure upgrades being externally funded, LMW does not propose to seek a variation to the ESC’s determination but will undertake to pass the majority of benefits to customers either through price reductions or investment in infrastructure renewals. It is intended that further consultation with customers on how any benefits can be applied will be undertaken when additional detail is known.</w:t>
      </w:r>
    </w:p>
    <w:p w14:paraId="4E2C2CFD" w14:textId="77777777" w:rsidR="00141B97" w:rsidRDefault="00141B97">
      <w:pPr>
        <w:spacing w:line="276" w:lineRule="auto"/>
        <w:jc w:val="both"/>
        <w:sectPr w:rsidR="00141B97">
          <w:pgSz w:w="11910" w:h="16840"/>
          <w:pgMar w:top="820" w:right="740" w:bottom="1120" w:left="980" w:header="0" w:footer="896" w:gutter="0"/>
          <w:cols w:space="720"/>
        </w:sectPr>
      </w:pPr>
    </w:p>
    <w:p w14:paraId="0FC6BEB4" w14:textId="77777777" w:rsidR="00141B97" w:rsidRDefault="00911D63">
      <w:pPr>
        <w:pStyle w:val="Heading1"/>
        <w:numPr>
          <w:ilvl w:val="0"/>
          <w:numId w:val="113"/>
        </w:numPr>
        <w:tabs>
          <w:tab w:val="left" w:pos="722"/>
        </w:tabs>
      </w:pPr>
      <w:bookmarkStart w:id="22" w:name="_TOC_250005"/>
      <w:r>
        <w:rPr>
          <w:color w:val="006CA3"/>
        </w:rPr>
        <w:lastRenderedPageBreak/>
        <w:t>PREMO</w:t>
      </w:r>
      <w:r>
        <w:rPr>
          <w:color w:val="006CA3"/>
          <w:spacing w:val="-15"/>
        </w:rPr>
        <w:t xml:space="preserve"> </w:t>
      </w:r>
      <w:bookmarkEnd w:id="22"/>
      <w:r>
        <w:rPr>
          <w:color w:val="006CA3"/>
          <w:spacing w:val="-2"/>
        </w:rPr>
        <w:t>Self‐Assessment</w:t>
      </w:r>
    </w:p>
    <w:p w14:paraId="568EBC3B" w14:textId="554719EA" w:rsidR="00141B97" w:rsidRDefault="00911D63">
      <w:pPr>
        <w:pStyle w:val="BodyText"/>
        <w:spacing w:before="240" w:line="259" w:lineRule="auto"/>
        <w:ind w:left="154" w:right="248" w:hanging="1"/>
        <w:jc w:val="both"/>
      </w:pPr>
      <w:r>
        <w:rPr>
          <w:noProof/>
        </w:rPr>
        <mc:AlternateContent>
          <mc:Choice Requires="wpg">
            <w:drawing>
              <wp:anchor distT="0" distB="0" distL="114300" distR="114300" simplePos="0" relativeHeight="15745024" behindDoc="0" locked="0" layoutInCell="1" allowOverlap="1" wp14:anchorId="5109A449" wp14:editId="42D089E6">
                <wp:simplePos x="0" y="0"/>
                <wp:positionH relativeFrom="page">
                  <wp:posOffset>4155440</wp:posOffset>
                </wp:positionH>
                <wp:positionV relativeFrom="paragraph">
                  <wp:posOffset>930910</wp:posOffset>
                </wp:positionV>
                <wp:extent cx="370205" cy="358140"/>
                <wp:effectExtent l="0" t="0" r="0" b="0"/>
                <wp:wrapNone/>
                <wp:docPr id="395"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58140"/>
                          <a:chOff x="6544" y="1466"/>
                          <a:chExt cx="583" cy="564"/>
                        </a:xfrm>
                      </wpg:grpSpPr>
                      <wps:wsp>
                        <wps:cNvPr id="396" name="docshape29"/>
                        <wps:cNvSpPr>
                          <a:spLocks/>
                        </wps:cNvSpPr>
                        <wps:spPr bwMode="auto">
                          <a:xfrm>
                            <a:off x="6564" y="1486"/>
                            <a:ext cx="543" cy="524"/>
                          </a:xfrm>
                          <a:custGeom>
                            <a:avLst/>
                            <a:gdLst>
                              <a:gd name="T0" fmla="+- 0 6835 6564"/>
                              <a:gd name="T1" fmla="*/ T0 w 543"/>
                              <a:gd name="T2" fmla="+- 0 1486 1486"/>
                              <a:gd name="T3" fmla="*/ 1486 h 524"/>
                              <a:gd name="T4" fmla="+- 0 6772 6564"/>
                              <a:gd name="T5" fmla="*/ T4 w 543"/>
                              <a:gd name="T6" fmla="+- 0 1685 1486"/>
                              <a:gd name="T7" fmla="*/ 1685 h 524"/>
                              <a:gd name="T8" fmla="+- 0 6564 6564"/>
                              <a:gd name="T9" fmla="*/ T8 w 543"/>
                              <a:gd name="T10" fmla="+- 0 1685 1486"/>
                              <a:gd name="T11" fmla="*/ 1685 h 524"/>
                              <a:gd name="T12" fmla="+- 0 6732 6564"/>
                              <a:gd name="T13" fmla="*/ T12 w 543"/>
                              <a:gd name="T14" fmla="+- 0 1809 1486"/>
                              <a:gd name="T15" fmla="*/ 1809 h 524"/>
                              <a:gd name="T16" fmla="+- 0 6668 6564"/>
                              <a:gd name="T17" fmla="*/ T16 w 543"/>
                              <a:gd name="T18" fmla="+- 0 2009 1486"/>
                              <a:gd name="T19" fmla="*/ 2009 h 524"/>
                              <a:gd name="T20" fmla="+- 0 6835 6564"/>
                              <a:gd name="T21" fmla="*/ T20 w 543"/>
                              <a:gd name="T22" fmla="+- 0 1886 1486"/>
                              <a:gd name="T23" fmla="*/ 1886 h 524"/>
                              <a:gd name="T24" fmla="+- 0 7003 6564"/>
                              <a:gd name="T25" fmla="*/ T24 w 543"/>
                              <a:gd name="T26" fmla="+- 0 2009 1486"/>
                              <a:gd name="T27" fmla="*/ 2009 h 524"/>
                              <a:gd name="T28" fmla="+- 0 6940 6564"/>
                              <a:gd name="T29" fmla="*/ T28 w 543"/>
                              <a:gd name="T30" fmla="+- 0 1809 1486"/>
                              <a:gd name="T31" fmla="*/ 1809 h 524"/>
                              <a:gd name="T32" fmla="+- 0 7106 6564"/>
                              <a:gd name="T33" fmla="*/ T32 w 543"/>
                              <a:gd name="T34" fmla="+- 0 1685 1486"/>
                              <a:gd name="T35" fmla="*/ 1685 h 524"/>
                              <a:gd name="T36" fmla="+- 0 6900 6564"/>
                              <a:gd name="T37" fmla="*/ T36 w 543"/>
                              <a:gd name="T38" fmla="+- 0 1685 1486"/>
                              <a:gd name="T39" fmla="*/ 1685 h 524"/>
                              <a:gd name="T40" fmla="+- 0 6835 6564"/>
                              <a:gd name="T41" fmla="*/ T40 w 543"/>
                              <a:gd name="T42" fmla="+- 0 1486 1486"/>
                              <a:gd name="T43" fmla="*/ 148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3" h="524">
                                <a:moveTo>
                                  <a:pt x="271" y="0"/>
                                </a:moveTo>
                                <a:lnTo>
                                  <a:pt x="208" y="199"/>
                                </a:lnTo>
                                <a:lnTo>
                                  <a:pt x="0" y="199"/>
                                </a:lnTo>
                                <a:lnTo>
                                  <a:pt x="168" y="323"/>
                                </a:lnTo>
                                <a:lnTo>
                                  <a:pt x="104" y="523"/>
                                </a:lnTo>
                                <a:lnTo>
                                  <a:pt x="271" y="400"/>
                                </a:lnTo>
                                <a:lnTo>
                                  <a:pt x="439" y="523"/>
                                </a:lnTo>
                                <a:lnTo>
                                  <a:pt x="376" y="323"/>
                                </a:lnTo>
                                <a:lnTo>
                                  <a:pt x="542" y="199"/>
                                </a:lnTo>
                                <a:lnTo>
                                  <a:pt x="336" y="199"/>
                                </a:lnTo>
                                <a:lnTo>
                                  <a:pt x="2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30"/>
                        <wps:cNvSpPr>
                          <a:spLocks/>
                        </wps:cNvSpPr>
                        <wps:spPr bwMode="auto">
                          <a:xfrm>
                            <a:off x="6564" y="1486"/>
                            <a:ext cx="543" cy="524"/>
                          </a:xfrm>
                          <a:custGeom>
                            <a:avLst/>
                            <a:gdLst>
                              <a:gd name="T0" fmla="+- 0 6564 6564"/>
                              <a:gd name="T1" fmla="*/ T0 w 543"/>
                              <a:gd name="T2" fmla="+- 0 1685 1486"/>
                              <a:gd name="T3" fmla="*/ 1685 h 524"/>
                              <a:gd name="T4" fmla="+- 0 6772 6564"/>
                              <a:gd name="T5" fmla="*/ T4 w 543"/>
                              <a:gd name="T6" fmla="+- 0 1685 1486"/>
                              <a:gd name="T7" fmla="*/ 1685 h 524"/>
                              <a:gd name="T8" fmla="+- 0 6835 6564"/>
                              <a:gd name="T9" fmla="*/ T8 w 543"/>
                              <a:gd name="T10" fmla="+- 0 1486 1486"/>
                              <a:gd name="T11" fmla="*/ 1486 h 524"/>
                              <a:gd name="T12" fmla="+- 0 6900 6564"/>
                              <a:gd name="T13" fmla="*/ T12 w 543"/>
                              <a:gd name="T14" fmla="+- 0 1685 1486"/>
                              <a:gd name="T15" fmla="*/ 1685 h 524"/>
                              <a:gd name="T16" fmla="+- 0 7106 6564"/>
                              <a:gd name="T17" fmla="*/ T16 w 543"/>
                              <a:gd name="T18" fmla="+- 0 1685 1486"/>
                              <a:gd name="T19" fmla="*/ 1685 h 524"/>
                              <a:gd name="T20" fmla="+- 0 6940 6564"/>
                              <a:gd name="T21" fmla="*/ T20 w 543"/>
                              <a:gd name="T22" fmla="+- 0 1809 1486"/>
                              <a:gd name="T23" fmla="*/ 1809 h 524"/>
                              <a:gd name="T24" fmla="+- 0 7003 6564"/>
                              <a:gd name="T25" fmla="*/ T24 w 543"/>
                              <a:gd name="T26" fmla="+- 0 2009 1486"/>
                              <a:gd name="T27" fmla="*/ 2009 h 524"/>
                              <a:gd name="T28" fmla="+- 0 6835 6564"/>
                              <a:gd name="T29" fmla="*/ T28 w 543"/>
                              <a:gd name="T30" fmla="+- 0 1886 1486"/>
                              <a:gd name="T31" fmla="*/ 1886 h 524"/>
                              <a:gd name="T32" fmla="+- 0 6668 6564"/>
                              <a:gd name="T33" fmla="*/ T32 w 543"/>
                              <a:gd name="T34" fmla="+- 0 2009 1486"/>
                              <a:gd name="T35" fmla="*/ 2009 h 524"/>
                              <a:gd name="T36" fmla="+- 0 6732 6564"/>
                              <a:gd name="T37" fmla="*/ T36 w 543"/>
                              <a:gd name="T38" fmla="+- 0 1809 1486"/>
                              <a:gd name="T39" fmla="*/ 1809 h 524"/>
                              <a:gd name="T40" fmla="+- 0 6564 6564"/>
                              <a:gd name="T41" fmla="*/ T40 w 543"/>
                              <a:gd name="T42" fmla="+- 0 1685 1486"/>
                              <a:gd name="T43" fmla="*/ 168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3" h="524">
                                <a:moveTo>
                                  <a:pt x="0" y="199"/>
                                </a:moveTo>
                                <a:lnTo>
                                  <a:pt x="208" y="199"/>
                                </a:lnTo>
                                <a:lnTo>
                                  <a:pt x="271" y="0"/>
                                </a:lnTo>
                                <a:lnTo>
                                  <a:pt x="336" y="199"/>
                                </a:lnTo>
                                <a:lnTo>
                                  <a:pt x="542" y="199"/>
                                </a:lnTo>
                                <a:lnTo>
                                  <a:pt x="376" y="323"/>
                                </a:lnTo>
                                <a:lnTo>
                                  <a:pt x="439" y="523"/>
                                </a:lnTo>
                                <a:lnTo>
                                  <a:pt x="271" y="400"/>
                                </a:lnTo>
                                <a:lnTo>
                                  <a:pt x="104" y="523"/>
                                </a:lnTo>
                                <a:lnTo>
                                  <a:pt x="168" y="323"/>
                                </a:lnTo>
                                <a:lnTo>
                                  <a:pt x="0" y="199"/>
                                </a:lnTo>
                                <a:close/>
                              </a:path>
                            </a:pathLst>
                          </a:custGeom>
                          <a:noFill/>
                          <a:ln w="25400">
                            <a:solidFill>
                              <a:srgbClr val="00477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1693B" id="docshapegroup28" o:spid="_x0000_s1026" style="position:absolute;margin-left:327.2pt;margin-top:73.3pt;width:29.15pt;height:28.2pt;z-index:15745024;mso-position-horizontal-relative:page" coordorigin="6544,1466" coordsize="58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">
                <v:shape id="docshape29" o:spid="_x0000_s1027" style="position:absolute;left:6564;top:1486;width:543;height:524;visibility:visible;mso-wrap-style:square;v-text-anchor:top" coordsize="5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" path="m271,l208,199,,199,168,323,104,523,271,400,439,523,376,323,542,199r-206,l271,xe" fillcolor="red" stroked="f">
                  <v:path arrowok="t" o:connecttype="custom" o:connectlocs="271,1486;208,1685;0,1685;168,1809;104,2009;271,1886;439,2009;376,1809;542,1685;336,1685;271,1486" o:connectangles="0,0,0,0,0,0,0,0,0,0,0"/>
                </v:shape>
                <v:shape id="docshape30" o:spid="_x0000_s1028" style="position:absolute;left:6564;top:1486;width:543;height:524;visibility:visible;mso-wrap-style:square;v-text-anchor:top" coordsize="5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" path="m,199r208,l271,r65,199l542,199,376,323r63,200l271,400,104,523,168,323,,199xe" filled="f" strokecolor="#004776" strokeweight="2pt">
                  <v:path arrowok="t" o:connecttype="custom" o:connectlocs="0,1685;208,1685;271,1486;336,1685;542,1685;376,1809;439,2009;271,1886;104,2009;168,1809;0,1685" o:connectangles="0,0,0,0,0,0,0,0,0,0,0"/>
                </v:shape>
                <w10:wrap anchorx="page"/>
              </v:group>
            </w:pict>
          </mc:Fallback>
        </mc:AlternateContent>
      </w:r>
      <w:r>
        <w:t>LMW’s self‐assessed aggregate PREMO rating against the PREMO Assessment Tool in Attachment 5 of the ESC Guidelines is “Standard”, with an assessed score of 11.75 as shown in Figure A9.</w:t>
      </w:r>
    </w:p>
    <w:p w14:paraId="3CD81028" w14:textId="77777777" w:rsidR="00141B97" w:rsidRDefault="00141B97">
      <w:pPr>
        <w:pStyle w:val="BodyText"/>
        <w:spacing w:before="3"/>
        <w:rPr>
          <w:sz w:val="25"/>
        </w:rPr>
      </w:pPr>
    </w:p>
    <w:tbl>
      <w:tblPr>
        <w:tblW w:w="0" w:type="auto"/>
        <w:tblInd w:w="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18"/>
        <w:gridCol w:w="2229"/>
        <w:gridCol w:w="2229"/>
        <w:gridCol w:w="2217"/>
      </w:tblGrid>
      <w:tr w:rsidR="00141B97" w14:paraId="7F8EB33B" w14:textId="77777777">
        <w:trPr>
          <w:trHeight w:val="958"/>
        </w:trPr>
        <w:tc>
          <w:tcPr>
            <w:tcW w:w="2218" w:type="dxa"/>
            <w:tcBorders>
              <w:top w:val="nil"/>
              <w:left w:val="nil"/>
            </w:tcBorders>
            <w:shd w:val="clear" w:color="auto" w:fill="2EAFFF"/>
          </w:tcPr>
          <w:p w14:paraId="47F09783" w14:textId="77777777" w:rsidR="00141B97" w:rsidRDefault="00911D63">
            <w:pPr>
              <w:pStyle w:val="TableParagraph"/>
              <w:spacing w:before="1"/>
              <w:ind w:left="720" w:right="729"/>
              <w:jc w:val="center"/>
            </w:pPr>
            <w:r>
              <w:rPr>
                <w:spacing w:val="-2"/>
              </w:rPr>
              <w:t>Leading</w:t>
            </w:r>
          </w:p>
        </w:tc>
        <w:tc>
          <w:tcPr>
            <w:tcW w:w="2229" w:type="dxa"/>
            <w:tcBorders>
              <w:top w:val="nil"/>
            </w:tcBorders>
            <w:shd w:val="clear" w:color="auto" w:fill="D5E9B9"/>
          </w:tcPr>
          <w:p w14:paraId="73F15347" w14:textId="77777777" w:rsidR="00141B97" w:rsidRDefault="00911D63">
            <w:pPr>
              <w:pStyle w:val="TableParagraph"/>
              <w:spacing w:before="1"/>
              <w:ind w:left="657" w:right="658"/>
              <w:jc w:val="center"/>
            </w:pPr>
            <w:r>
              <w:rPr>
                <w:spacing w:val="-2"/>
              </w:rPr>
              <w:t>Advanced</w:t>
            </w:r>
          </w:p>
        </w:tc>
        <w:tc>
          <w:tcPr>
            <w:tcW w:w="2229" w:type="dxa"/>
            <w:tcBorders>
              <w:top w:val="nil"/>
            </w:tcBorders>
            <w:shd w:val="clear" w:color="auto" w:fill="FFFF00"/>
          </w:tcPr>
          <w:p w14:paraId="0C14D111" w14:textId="77777777" w:rsidR="00141B97" w:rsidRDefault="00911D63">
            <w:pPr>
              <w:pStyle w:val="TableParagraph"/>
              <w:spacing w:before="1"/>
              <w:ind w:left="657" w:right="658"/>
              <w:jc w:val="center"/>
            </w:pPr>
            <w:r>
              <w:rPr>
                <w:spacing w:val="-2"/>
              </w:rPr>
              <w:t>Standard</w:t>
            </w:r>
          </w:p>
        </w:tc>
        <w:tc>
          <w:tcPr>
            <w:tcW w:w="2217" w:type="dxa"/>
            <w:tcBorders>
              <w:top w:val="nil"/>
              <w:right w:val="nil"/>
            </w:tcBorders>
            <w:shd w:val="clear" w:color="auto" w:fill="FFC000"/>
          </w:tcPr>
          <w:p w14:paraId="15A53FD6" w14:textId="77777777" w:rsidR="00141B97" w:rsidRDefault="00911D63">
            <w:pPr>
              <w:pStyle w:val="TableParagraph"/>
              <w:spacing w:before="1"/>
              <w:ind w:left="693" w:right="689"/>
              <w:jc w:val="center"/>
            </w:pPr>
            <w:r>
              <w:rPr>
                <w:spacing w:val="-2"/>
              </w:rPr>
              <w:t>Basic</w:t>
            </w:r>
          </w:p>
        </w:tc>
      </w:tr>
      <w:tr w:rsidR="00141B97" w14:paraId="5C0B8C5F" w14:textId="77777777">
        <w:trPr>
          <w:trHeight w:val="289"/>
        </w:trPr>
        <w:tc>
          <w:tcPr>
            <w:tcW w:w="2218" w:type="dxa"/>
            <w:tcBorders>
              <w:left w:val="nil"/>
              <w:bottom w:val="nil"/>
            </w:tcBorders>
            <w:shd w:val="clear" w:color="auto" w:fill="2EAFFF"/>
          </w:tcPr>
          <w:p w14:paraId="207ECB02" w14:textId="77777777" w:rsidR="00141B97" w:rsidRDefault="00911D63">
            <w:pPr>
              <w:pStyle w:val="TableParagraph"/>
              <w:spacing w:before="1"/>
              <w:ind w:left="722" w:right="729"/>
              <w:jc w:val="center"/>
            </w:pPr>
            <w:r>
              <w:t>19</w:t>
            </w:r>
            <w:r>
              <w:rPr>
                <w:spacing w:val="-4"/>
              </w:rPr>
              <w:t xml:space="preserve"> </w:t>
            </w:r>
            <w:r>
              <w:t>to</w:t>
            </w:r>
            <w:r>
              <w:rPr>
                <w:spacing w:val="-3"/>
              </w:rPr>
              <w:t xml:space="preserve"> </w:t>
            </w:r>
            <w:r>
              <w:rPr>
                <w:spacing w:val="-5"/>
              </w:rPr>
              <w:t>20</w:t>
            </w:r>
          </w:p>
        </w:tc>
        <w:tc>
          <w:tcPr>
            <w:tcW w:w="2229" w:type="dxa"/>
            <w:tcBorders>
              <w:bottom w:val="nil"/>
            </w:tcBorders>
            <w:shd w:val="clear" w:color="auto" w:fill="D5E9B9"/>
          </w:tcPr>
          <w:p w14:paraId="3B3EC6D8" w14:textId="77777777" w:rsidR="00141B97" w:rsidRDefault="00911D63">
            <w:pPr>
              <w:pStyle w:val="TableParagraph"/>
              <w:spacing w:before="1"/>
              <w:ind w:left="516"/>
            </w:pPr>
            <w:r>
              <w:t>14.5</w:t>
            </w:r>
            <w:r>
              <w:rPr>
                <w:spacing w:val="-5"/>
              </w:rPr>
              <w:t xml:space="preserve"> </w:t>
            </w:r>
            <w:r>
              <w:t>to</w:t>
            </w:r>
            <w:r>
              <w:rPr>
                <w:spacing w:val="-5"/>
              </w:rPr>
              <w:t xml:space="preserve"> </w:t>
            </w:r>
            <w:r>
              <w:rPr>
                <w:spacing w:val="-2"/>
              </w:rPr>
              <w:t>18.75</w:t>
            </w:r>
          </w:p>
        </w:tc>
        <w:tc>
          <w:tcPr>
            <w:tcW w:w="2229" w:type="dxa"/>
            <w:tcBorders>
              <w:bottom w:val="nil"/>
            </w:tcBorders>
            <w:shd w:val="clear" w:color="auto" w:fill="FFFF00"/>
          </w:tcPr>
          <w:p w14:paraId="725F325E" w14:textId="77777777" w:rsidR="00141B97" w:rsidRDefault="00911D63">
            <w:pPr>
              <w:pStyle w:val="TableParagraph"/>
              <w:spacing w:before="1"/>
              <w:ind w:left="571"/>
            </w:pPr>
            <w:r>
              <w:t>9.5</w:t>
            </w:r>
            <w:r>
              <w:rPr>
                <w:spacing w:val="-4"/>
              </w:rPr>
              <w:t xml:space="preserve"> </w:t>
            </w:r>
            <w:r>
              <w:t>to</w:t>
            </w:r>
            <w:r>
              <w:rPr>
                <w:spacing w:val="-5"/>
              </w:rPr>
              <w:t xml:space="preserve"> </w:t>
            </w:r>
            <w:r>
              <w:rPr>
                <w:spacing w:val="-2"/>
              </w:rPr>
              <w:t>13.25</w:t>
            </w:r>
          </w:p>
        </w:tc>
        <w:tc>
          <w:tcPr>
            <w:tcW w:w="2217" w:type="dxa"/>
            <w:tcBorders>
              <w:bottom w:val="nil"/>
              <w:right w:val="nil"/>
            </w:tcBorders>
            <w:shd w:val="clear" w:color="auto" w:fill="FFC000"/>
          </w:tcPr>
          <w:p w14:paraId="491C418D" w14:textId="77777777" w:rsidR="00141B97" w:rsidRDefault="00911D63">
            <w:pPr>
              <w:pStyle w:val="TableParagraph"/>
              <w:spacing w:before="1"/>
              <w:ind w:left="693" w:right="690"/>
              <w:jc w:val="center"/>
            </w:pPr>
            <w:r>
              <w:t>5</w:t>
            </w:r>
            <w:r>
              <w:rPr>
                <w:spacing w:val="-3"/>
              </w:rPr>
              <w:t xml:space="preserve"> </w:t>
            </w:r>
            <w:r>
              <w:t>to</w:t>
            </w:r>
            <w:r>
              <w:rPr>
                <w:spacing w:val="-2"/>
              </w:rPr>
              <w:t xml:space="preserve"> </w:t>
            </w:r>
            <w:r>
              <w:rPr>
                <w:spacing w:val="-4"/>
              </w:rPr>
              <w:t>9.25</w:t>
            </w:r>
          </w:p>
        </w:tc>
      </w:tr>
      <w:tr w:rsidR="00141B97" w14:paraId="6FF6A632" w14:textId="77777777">
        <w:trPr>
          <w:trHeight w:val="290"/>
        </w:trPr>
        <w:tc>
          <w:tcPr>
            <w:tcW w:w="4447" w:type="dxa"/>
            <w:gridSpan w:val="2"/>
            <w:tcBorders>
              <w:top w:val="nil"/>
              <w:left w:val="nil"/>
              <w:bottom w:val="nil"/>
            </w:tcBorders>
          </w:tcPr>
          <w:p w14:paraId="421503A9" w14:textId="77777777" w:rsidR="00141B97" w:rsidRDefault="00911D63">
            <w:pPr>
              <w:pStyle w:val="TableParagraph"/>
              <w:spacing w:before="20"/>
              <w:ind w:left="-30"/>
              <w:rPr>
                <w:sz w:val="16"/>
              </w:rPr>
            </w:pPr>
            <w:r>
              <w:rPr>
                <w:sz w:val="16"/>
              </w:rPr>
              <w:t>Figure</w:t>
            </w:r>
            <w:r>
              <w:rPr>
                <w:spacing w:val="-10"/>
                <w:sz w:val="16"/>
              </w:rPr>
              <w:t xml:space="preserve"> </w:t>
            </w:r>
            <w:r>
              <w:rPr>
                <w:sz w:val="16"/>
              </w:rPr>
              <w:t>A9</w:t>
            </w:r>
            <w:r>
              <w:rPr>
                <w:sz w:val="12"/>
              </w:rPr>
              <w:t>:</w:t>
            </w:r>
            <w:r>
              <w:rPr>
                <w:spacing w:val="-6"/>
                <w:sz w:val="12"/>
              </w:rPr>
              <w:t xml:space="preserve"> </w:t>
            </w:r>
            <w:r>
              <w:rPr>
                <w:sz w:val="16"/>
              </w:rPr>
              <w:t>Aggregate</w:t>
            </w:r>
            <w:r>
              <w:rPr>
                <w:spacing w:val="-9"/>
                <w:sz w:val="16"/>
              </w:rPr>
              <w:t xml:space="preserve"> </w:t>
            </w:r>
            <w:r>
              <w:rPr>
                <w:sz w:val="16"/>
              </w:rPr>
              <w:t>PREMO</w:t>
            </w:r>
            <w:r>
              <w:rPr>
                <w:spacing w:val="-8"/>
                <w:sz w:val="16"/>
              </w:rPr>
              <w:t xml:space="preserve"> </w:t>
            </w:r>
            <w:r>
              <w:rPr>
                <w:sz w:val="16"/>
              </w:rPr>
              <w:t>Self‐Assessment</w:t>
            </w:r>
            <w:r>
              <w:rPr>
                <w:spacing w:val="-9"/>
                <w:sz w:val="16"/>
              </w:rPr>
              <w:t xml:space="preserve"> </w:t>
            </w:r>
            <w:r>
              <w:rPr>
                <w:spacing w:val="-2"/>
                <w:sz w:val="16"/>
              </w:rPr>
              <w:t>Rating</w:t>
            </w:r>
          </w:p>
        </w:tc>
        <w:tc>
          <w:tcPr>
            <w:tcW w:w="2229" w:type="dxa"/>
            <w:tcBorders>
              <w:top w:val="nil"/>
              <w:bottom w:val="nil"/>
            </w:tcBorders>
          </w:tcPr>
          <w:p w14:paraId="3B3A3A7E" w14:textId="77777777" w:rsidR="00141B97" w:rsidRDefault="00141B97">
            <w:pPr>
              <w:pStyle w:val="TableParagraph"/>
              <w:rPr>
                <w:rFonts w:ascii="Times New Roman"/>
                <w:sz w:val="20"/>
              </w:rPr>
            </w:pPr>
          </w:p>
        </w:tc>
        <w:tc>
          <w:tcPr>
            <w:tcW w:w="2217" w:type="dxa"/>
            <w:tcBorders>
              <w:top w:val="nil"/>
              <w:bottom w:val="nil"/>
              <w:right w:val="nil"/>
            </w:tcBorders>
          </w:tcPr>
          <w:p w14:paraId="43E2D448" w14:textId="77777777" w:rsidR="00141B97" w:rsidRDefault="00141B97">
            <w:pPr>
              <w:pStyle w:val="TableParagraph"/>
              <w:rPr>
                <w:rFonts w:ascii="Times New Roman"/>
                <w:sz w:val="20"/>
              </w:rPr>
            </w:pPr>
          </w:p>
        </w:tc>
      </w:tr>
    </w:tbl>
    <w:p w14:paraId="6452B669" w14:textId="77777777" w:rsidR="00141B97" w:rsidRDefault="00141B97">
      <w:pPr>
        <w:pStyle w:val="BodyText"/>
        <w:spacing w:before="5"/>
        <w:rPr>
          <w:sz w:val="19"/>
        </w:rPr>
      </w:pPr>
    </w:p>
    <w:p w14:paraId="542CC9DD" w14:textId="77777777" w:rsidR="00141B97" w:rsidRDefault="00911D63">
      <w:pPr>
        <w:pStyle w:val="BodyText"/>
        <w:spacing w:line="259" w:lineRule="auto"/>
        <w:ind w:left="153" w:right="247"/>
        <w:jc w:val="both"/>
      </w:pPr>
      <w:r>
        <w:t>Despite the unique situation of LMW’s business consisting of both urban and rural assessments, the rating is common, with the exception that the P‐element is formally rated for only the urban business given that the rural business is only now included under the PREMO framework. The rating is underpinned by a stable track record in delivering agreed performance outcomes and managing ‘for the customer’ through a demonstrated willingness to accept risk and return additional revenues to customers.</w:t>
      </w:r>
    </w:p>
    <w:p w14:paraId="5548F674" w14:textId="77777777" w:rsidR="00141B97" w:rsidRDefault="00141B97">
      <w:pPr>
        <w:pStyle w:val="BodyText"/>
        <w:spacing w:before="3"/>
        <w:rPr>
          <w:sz w:val="25"/>
        </w:rPr>
      </w:pPr>
    </w:p>
    <w:p w14:paraId="6B23B1CE" w14:textId="77777777" w:rsidR="00141B97" w:rsidRDefault="00911D63">
      <w:pPr>
        <w:pStyle w:val="BodyText"/>
        <w:ind w:left="153"/>
        <w:jc w:val="both"/>
      </w:pPr>
      <w:r>
        <w:rPr>
          <w:w w:val="95"/>
        </w:rPr>
        <w:t>Against</w:t>
      </w:r>
      <w:r>
        <w:rPr>
          <w:spacing w:val="10"/>
        </w:rPr>
        <w:t xml:space="preserve"> </w:t>
      </w:r>
      <w:r>
        <w:rPr>
          <w:w w:val="95"/>
        </w:rPr>
        <w:t>each</w:t>
      </w:r>
      <w:r>
        <w:rPr>
          <w:spacing w:val="10"/>
        </w:rPr>
        <w:t xml:space="preserve"> </w:t>
      </w:r>
      <w:r>
        <w:rPr>
          <w:w w:val="95"/>
        </w:rPr>
        <w:t>of</w:t>
      </w:r>
      <w:r>
        <w:rPr>
          <w:spacing w:val="6"/>
        </w:rPr>
        <w:t xml:space="preserve"> </w:t>
      </w:r>
      <w:r>
        <w:rPr>
          <w:w w:val="95"/>
        </w:rPr>
        <w:t>the</w:t>
      </w:r>
      <w:r>
        <w:rPr>
          <w:spacing w:val="7"/>
        </w:rPr>
        <w:t xml:space="preserve"> </w:t>
      </w:r>
      <w:r>
        <w:rPr>
          <w:w w:val="95"/>
        </w:rPr>
        <w:t>PREMO</w:t>
      </w:r>
      <w:r>
        <w:rPr>
          <w:spacing w:val="8"/>
        </w:rPr>
        <w:t xml:space="preserve"> </w:t>
      </w:r>
      <w:r>
        <w:rPr>
          <w:w w:val="95"/>
        </w:rPr>
        <w:t>elements,</w:t>
      </w:r>
      <w:r>
        <w:rPr>
          <w:spacing w:val="9"/>
        </w:rPr>
        <w:t xml:space="preserve"> </w:t>
      </w:r>
      <w:r>
        <w:rPr>
          <w:w w:val="95"/>
        </w:rPr>
        <w:t>LMW</w:t>
      </w:r>
      <w:r>
        <w:rPr>
          <w:spacing w:val="7"/>
        </w:rPr>
        <w:t xml:space="preserve"> </w:t>
      </w:r>
      <w:r>
        <w:rPr>
          <w:w w:val="95"/>
        </w:rPr>
        <w:t>has</w:t>
      </w:r>
      <w:r>
        <w:rPr>
          <w:spacing w:val="6"/>
        </w:rPr>
        <w:t xml:space="preserve"> </w:t>
      </w:r>
      <w:r>
        <w:rPr>
          <w:w w:val="95"/>
        </w:rPr>
        <w:t>self‐assessed</w:t>
      </w:r>
      <w:r>
        <w:rPr>
          <w:spacing w:val="8"/>
        </w:rPr>
        <w:t xml:space="preserve"> </w:t>
      </w:r>
      <w:r>
        <w:rPr>
          <w:w w:val="95"/>
        </w:rPr>
        <w:t>the</w:t>
      </w:r>
      <w:r>
        <w:rPr>
          <w:spacing w:val="7"/>
        </w:rPr>
        <w:t xml:space="preserve"> </w:t>
      </w:r>
      <w:r>
        <w:rPr>
          <w:w w:val="95"/>
        </w:rPr>
        <w:t>range</w:t>
      </w:r>
      <w:r>
        <w:rPr>
          <w:spacing w:val="7"/>
        </w:rPr>
        <w:t xml:space="preserve"> </w:t>
      </w:r>
      <w:r>
        <w:rPr>
          <w:w w:val="95"/>
        </w:rPr>
        <w:t>of</w:t>
      </w:r>
      <w:r>
        <w:rPr>
          <w:spacing w:val="6"/>
        </w:rPr>
        <w:t xml:space="preserve"> </w:t>
      </w:r>
      <w:r>
        <w:rPr>
          <w:w w:val="95"/>
        </w:rPr>
        <w:t>rating</w:t>
      </w:r>
      <w:r>
        <w:rPr>
          <w:spacing w:val="6"/>
        </w:rPr>
        <w:t xml:space="preserve"> </w:t>
      </w:r>
      <w:r>
        <w:rPr>
          <w:w w:val="95"/>
        </w:rPr>
        <w:t>scores</w:t>
      </w:r>
      <w:r>
        <w:rPr>
          <w:spacing w:val="8"/>
        </w:rPr>
        <w:t xml:space="preserve"> </w:t>
      </w:r>
      <w:r>
        <w:rPr>
          <w:w w:val="95"/>
        </w:rPr>
        <w:t>below,</w:t>
      </w:r>
      <w:r>
        <w:rPr>
          <w:spacing w:val="7"/>
        </w:rPr>
        <w:t xml:space="preserve"> </w:t>
      </w:r>
      <w:r>
        <w:rPr>
          <w:w w:val="95"/>
        </w:rPr>
        <w:t>typically</w:t>
      </w:r>
      <w:r>
        <w:rPr>
          <w:spacing w:val="8"/>
        </w:rPr>
        <w:t xml:space="preserve"> </w:t>
      </w:r>
      <w:r>
        <w:rPr>
          <w:spacing w:val="-2"/>
          <w:w w:val="95"/>
        </w:rPr>
        <w:t>between</w:t>
      </w:r>
    </w:p>
    <w:p w14:paraId="53691ABB" w14:textId="77777777" w:rsidR="00141B97" w:rsidRDefault="00911D63">
      <w:pPr>
        <w:pStyle w:val="BodyText"/>
        <w:spacing w:before="40"/>
        <w:ind w:left="153"/>
      </w:pPr>
      <w:r>
        <w:t>2.25</w:t>
      </w:r>
      <w:r>
        <w:rPr>
          <w:spacing w:val="-6"/>
        </w:rPr>
        <w:t xml:space="preserve"> </w:t>
      </w:r>
      <w:r>
        <w:t>and</w:t>
      </w:r>
      <w:r>
        <w:rPr>
          <w:spacing w:val="-6"/>
        </w:rPr>
        <w:t xml:space="preserve"> </w:t>
      </w:r>
      <w:r>
        <w:t>2.5,</w:t>
      </w:r>
      <w:r>
        <w:rPr>
          <w:spacing w:val="-4"/>
        </w:rPr>
        <w:t xml:space="preserve"> </w:t>
      </w:r>
      <w:r>
        <w:t>as</w:t>
      </w:r>
      <w:r>
        <w:rPr>
          <w:spacing w:val="-6"/>
        </w:rPr>
        <w:t xml:space="preserve"> </w:t>
      </w:r>
      <w:r>
        <w:t>shown</w:t>
      </w:r>
      <w:r>
        <w:rPr>
          <w:spacing w:val="-5"/>
        </w:rPr>
        <w:t xml:space="preserve"> </w:t>
      </w:r>
      <w:r>
        <w:t>in</w:t>
      </w:r>
      <w:r>
        <w:rPr>
          <w:spacing w:val="-4"/>
        </w:rPr>
        <w:t xml:space="preserve"> </w:t>
      </w:r>
      <w:r>
        <w:t>Figure</w:t>
      </w:r>
      <w:r>
        <w:rPr>
          <w:spacing w:val="-6"/>
        </w:rPr>
        <w:t xml:space="preserve"> </w:t>
      </w:r>
      <w:r>
        <w:rPr>
          <w:spacing w:val="-4"/>
        </w:rPr>
        <w:t>A10.</w:t>
      </w:r>
    </w:p>
    <w:p w14:paraId="02334B2F" w14:textId="2190F88E" w:rsidR="00141B97" w:rsidRDefault="00911D63">
      <w:pPr>
        <w:pStyle w:val="BodyText"/>
        <w:spacing w:before="2"/>
        <w:rPr>
          <w:sz w:val="28"/>
        </w:rPr>
      </w:pPr>
      <w:r>
        <w:rPr>
          <w:noProof/>
        </w:rPr>
        <mc:AlternateContent>
          <mc:Choice Requires="wpg">
            <w:drawing>
              <wp:anchor distT="0" distB="0" distL="0" distR="0" simplePos="0" relativeHeight="487602688" behindDoc="1" locked="0" layoutInCell="1" allowOverlap="1" wp14:anchorId="79F05297" wp14:editId="13F46345">
                <wp:simplePos x="0" y="0"/>
                <wp:positionH relativeFrom="page">
                  <wp:posOffset>732155</wp:posOffset>
                </wp:positionH>
                <wp:positionV relativeFrom="paragraph">
                  <wp:posOffset>233680</wp:posOffset>
                </wp:positionV>
                <wp:extent cx="5648325" cy="2060575"/>
                <wp:effectExtent l="0" t="0" r="0" b="0"/>
                <wp:wrapTopAndBottom/>
                <wp:docPr id="319"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60575"/>
                          <a:chOff x="1153" y="368"/>
                          <a:chExt cx="8895" cy="3245"/>
                        </a:xfrm>
                      </wpg:grpSpPr>
                      <wps:wsp>
                        <wps:cNvPr id="320" name="docshape32"/>
                        <wps:cNvSpPr>
                          <a:spLocks noChangeArrowheads="1"/>
                        </wps:cNvSpPr>
                        <wps:spPr bwMode="auto">
                          <a:xfrm>
                            <a:off x="1154" y="369"/>
                            <a:ext cx="1763" cy="309"/>
                          </a:xfrm>
                          <a:prstGeom prst="rect">
                            <a:avLst/>
                          </a:prstGeom>
                          <a:solidFill>
                            <a:srgbClr val="006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docshape33"/>
                        <wps:cNvSpPr>
                          <a:spLocks/>
                        </wps:cNvSpPr>
                        <wps:spPr bwMode="auto">
                          <a:xfrm>
                            <a:off x="1153" y="368"/>
                            <a:ext cx="8891" cy="310"/>
                          </a:xfrm>
                          <a:custGeom>
                            <a:avLst/>
                            <a:gdLst>
                              <a:gd name="T0" fmla="+- 0 2917 1153"/>
                              <a:gd name="T1" fmla="*/ T0 w 8891"/>
                              <a:gd name="T2" fmla="+- 0 368 368"/>
                              <a:gd name="T3" fmla="*/ 368 h 310"/>
                              <a:gd name="T4" fmla="+- 0 1153 1153"/>
                              <a:gd name="T5" fmla="*/ T4 w 8891"/>
                              <a:gd name="T6" fmla="+- 0 368 368"/>
                              <a:gd name="T7" fmla="*/ 368 h 310"/>
                              <a:gd name="T8" fmla="+- 0 1153 1153"/>
                              <a:gd name="T9" fmla="*/ T8 w 8891"/>
                              <a:gd name="T10" fmla="+- 0 369 368"/>
                              <a:gd name="T11" fmla="*/ 369 h 310"/>
                              <a:gd name="T12" fmla="+- 0 2917 1153"/>
                              <a:gd name="T13" fmla="*/ T12 w 8891"/>
                              <a:gd name="T14" fmla="+- 0 369 368"/>
                              <a:gd name="T15" fmla="*/ 369 h 310"/>
                              <a:gd name="T16" fmla="+- 0 2917 1153"/>
                              <a:gd name="T17" fmla="*/ T16 w 8891"/>
                              <a:gd name="T18" fmla="+- 0 368 368"/>
                              <a:gd name="T19" fmla="*/ 368 h 310"/>
                              <a:gd name="T20" fmla="+- 0 10044 1153"/>
                              <a:gd name="T21" fmla="*/ T20 w 8891"/>
                              <a:gd name="T22" fmla="+- 0 368 368"/>
                              <a:gd name="T23" fmla="*/ 368 h 310"/>
                              <a:gd name="T24" fmla="+- 0 2936 1153"/>
                              <a:gd name="T25" fmla="*/ T24 w 8891"/>
                              <a:gd name="T26" fmla="+- 0 368 368"/>
                              <a:gd name="T27" fmla="*/ 368 h 310"/>
                              <a:gd name="T28" fmla="+- 0 2936 1153"/>
                              <a:gd name="T29" fmla="*/ T28 w 8891"/>
                              <a:gd name="T30" fmla="+- 0 369 368"/>
                              <a:gd name="T31" fmla="*/ 369 h 310"/>
                              <a:gd name="T32" fmla="+- 0 2936 1153"/>
                              <a:gd name="T33" fmla="*/ T32 w 8891"/>
                              <a:gd name="T34" fmla="+- 0 678 368"/>
                              <a:gd name="T35" fmla="*/ 678 h 310"/>
                              <a:gd name="T36" fmla="+- 0 10044 1153"/>
                              <a:gd name="T37" fmla="*/ T36 w 8891"/>
                              <a:gd name="T38" fmla="+- 0 678 368"/>
                              <a:gd name="T39" fmla="*/ 678 h 310"/>
                              <a:gd name="T40" fmla="+- 0 10044 1153"/>
                              <a:gd name="T41" fmla="*/ T40 w 8891"/>
                              <a:gd name="T42" fmla="+- 0 369 368"/>
                              <a:gd name="T43" fmla="*/ 369 h 310"/>
                              <a:gd name="T44" fmla="+- 0 10044 1153"/>
                              <a:gd name="T45" fmla="*/ T44 w 8891"/>
                              <a:gd name="T46" fmla="+- 0 368 368"/>
                              <a:gd name="T47" fmla="*/ 36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91" h="310">
                                <a:moveTo>
                                  <a:pt x="1764" y="0"/>
                                </a:moveTo>
                                <a:lnTo>
                                  <a:pt x="0" y="0"/>
                                </a:lnTo>
                                <a:lnTo>
                                  <a:pt x="0" y="1"/>
                                </a:lnTo>
                                <a:lnTo>
                                  <a:pt x="1764" y="1"/>
                                </a:lnTo>
                                <a:lnTo>
                                  <a:pt x="1764" y="0"/>
                                </a:lnTo>
                                <a:close/>
                                <a:moveTo>
                                  <a:pt x="8891" y="0"/>
                                </a:moveTo>
                                <a:lnTo>
                                  <a:pt x="1783" y="0"/>
                                </a:lnTo>
                                <a:lnTo>
                                  <a:pt x="1783" y="1"/>
                                </a:lnTo>
                                <a:lnTo>
                                  <a:pt x="1783" y="310"/>
                                </a:lnTo>
                                <a:lnTo>
                                  <a:pt x="8891" y="310"/>
                                </a:lnTo>
                                <a:lnTo>
                                  <a:pt x="8891" y="1"/>
                                </a:lnTo>
                                <a:lnTo>
                                  <a:pt x="8891" y="0"/>
                                </a:lnTo>
                                <a:close/>
                              </a:path>
                            </a:pathLst>
                          </a:custGeom>
                          <a:solidFill>
                            <a:srgbClr val="006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4"/>
                        <wps:cNvSpPr>
                          <a:spLocks noChangeArrowheads="1"/>
                        </wps:cNvSpPr>
                        <wps:spPr bwMode="auto">
                          <a:xfrm>
                            <a:off x="2936" y="698"/>
                            <a:ext cx="1762" cy="567"/>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docshape35"/>
                        <wps:cNvSpPr>
                          <a:spLocks noChangeArrowheads="1"/>
                        </wps:cNvSpPr>
                        <wps:spPr bwMode="auto">
                          <a:xfrm>
                            <a:off x="4718" y="698"/>
                            <a:ext cx="1762" cy="567"/>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docshape36"/>
                        <wps:cNvSpPr>
                          <a:spLocks noChangeArrowheads="1"/>
                        </wps:cNvSpPr>
                        <wps:spPr bwMode="auto">
                          <a:xfrm>
                            <a:off x="6500" y="698"/>
                            <a:ext cx="1762" cy="56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docshape37"/>
                        <wps:cNvSpPr>
                          <a:spLocks noChangeArrowheads="1"/>
                        </wps:cNvSpPr>
                        <wps:spPr bwMode="auto">
                          <a:xfrm>
                            <a:off x="8282" y="698"/>
                            <a:ext cx="1762" cy="56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docshape38"/>
                        <wps:cNvSpPr>
                          <a:spLocks noChangeArrowheads="1"/>
                        </wps:cNvSpPr>
                        <wps:spPr bwMode="auto">
                          <a:xfrm>
                            <a:off x="2936" y="696"/>
                            <a:ext cx="1762" cy="2"/>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docshape39"/>
                        <wps:cNvSpPr>
                          <a:spLocks noChangeArrowheads="1"/>
                        </wps:cNvSpPr>
                        <wps:spPr bwMode="auto">
                          <a:xfrm>
                            <a:off x="4717" y="696"/>
                            <a:ext cx="1763" cy="2"/>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docshape40"/>
                        <wps:cNvSpPr>
                          <a:spLocks noChangeArrowheads="1"/>
                        </wps:cNvSpPr>
                        <wps:spPr bwMode="auto">
                          <a:xfrm>
                            <a:off x="6499" y="696"/>
                            <a:ext cx="1763" cy="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docshape41"/>
                        <wps:cNvSpPr>
                          <a:spLocks noChangeArrowheads="1"/>
                        </wps:cNvSpPr>
                        <wps:spPr bwMode="auto">
                          <a:xfrm>
                            <a:off x="8281" y="696"/>
                            <a:ext cx="1763" cy="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docshape42"/>
                        <wps:cNvSpPr>
                          <a:spLocks noChangeArrowheads="1"/>
                        </wps:cNvSpPr>
                        <wps:spPr bwMode="auto">
                          <a:xfrm>
                            <a:off x="2936" y="1284"/>
                            <a:ext cx="1762" cy="567"/>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docshape43"/>
                        <wps:cNvSpPr>
                          <a:spLocks noChangeArrowheads="1"/>
                        </wps:cNvSpPr>
                        <wps:spPr bwMode="auto">
                          <a:xfrm>
                            <a:off x="4718" y="1284"/>
                            <a:ext cx="1762" cy="567"/>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docshape44"/>
                        <wps:cNvSpPr>
                          <a:spLocks noChangeArrowheads="1"/>
                        </wps:cNvSpPr>
                        <wps:spPr bwMode="auto">
                          <a:xfrm>
                            <a:off x="6500" y="1284"/>
                            <a:ext cx="1762" cy="56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45"/>
                        <wps:cNvSpPr>
                          <a:spLocks noChangeArrowheads="1"/>
                        </wps:cNvSpPr>
                        <wps:spPr bwMode="auto">
                          <a:xfrm>
                            <a:off x="8282" y="1284"/>
                            <a:ext cx="1762" cy="56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311"/>
                        <wps:cNvCnPr>
                          <a:cxnSpLocks noChangeShapeType="1"/>
                        </wps:cNvCnPr>
                        <wps:spPr bwMode="auto">
                          <a:xfrm>
                            <a:off x="2936" y="1269"/>
                            <a:ext cx="7112" cy="0"/>
                          </a:xfrm>
                          <a:prstGeom prst="line">
                            <a:avLst/>
                          </a:prstGeom>
                          <a:noFill/>
                          <a:ln w="609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5" name="docshape46"/>
                        <wps:cNvSpPr>
                          <a:spLocks noChangeArrowheads="1"/>
                        </wps:cNvSpPr>
                        <wps:spPr bwMode="auto">
                          <a:xfrm>
                            <a:off x="2936" y="1274"/>
                            <a:ext cx="1762" cy="11"/>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47"/>
                        <wps:cNvSpPr>
                          <a:spLocks noChangeArrowheads="1"/>
                        </wps:cNvSpPr>
                        <wps:spPr bwMode="auto">
                          <a:xfrm>
                            <a:off x="4707" y="1274"/>
                            <a:ext cx="1773" cy="11"/>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docshape48"/>
                        <wps:cNvSpPr>
                          <a:spLocks noChangeArrowheads="1"/>
                        </wps:cNvSpPr>
                        <wps:spPr bwMode="auto">
                          <a:xfrm>
                            <a:off x="6489" y="1274"/>
                            <a:ext cx="1773" cy="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docshape49"/>
                        <wps:cNvSpPr>
                          <a:spLocks noChangeArrowheads="1"/>
                        </wps:cNvSpPr>
                        <wps:spPr bwMode="auto">
                          <a:xfrm>
                            <a:off x="8271" y="1274"/>
                            <a:ext cx="1773" cy="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docshape50"/>
                        <wps:cNvSpPr>
                          <a:spLocks noChangeArrowheads="1"/>
                        </wps:cNvSpPr>
                        <wps:spPr bwMode="auto">
                          <a:xfrm>
                            <a:off x="6500" y="1871"/>
                            <a:ext cx="1762" cy="5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docshape51"/>
                        <wps:cNvSpPr>
                          <a:spLocks/>
                        </wps:cNvSpPr>
                        <wps:spPr bwMode="auto">
                          <a:xfrm>
                            <a:off x="2936" y="1856"/>
                            <a:ext cx="3548" cy="2"/>
                          </a:xfrm>
                          <a:custGeom>
                            <a:avLst/>
                            <a:gdLst>
                              <a:gd name="T0" fmla="+- 0 2936 2936"/>
                              <a:gd name="T1" fmla="*/ T0 w 3548"/>
                              <a:gd name="T2" fmla="+- 0 4698 2936"/>
                              <a:gd name="T3" fmla="*/ T2 w 3548"/>
                              <a:gd name="T4" fmla="+- 0 4698 2936"/>
                              <a:gd name="T5" fmla="*/ T4 w 3548"/>
                              <a:gd name="T6" fmla="+- 0 6484 2936"/>
                              <a:gd name="T7" fmla="*/ T6 w 3548"/>
                            </a:gdLst>
                            <a:ahLst/>
                            <a:cxnLst>
                              <a:cxn ang="0">
                                <a:pos x="T1" y="0"/>
                              </a:cxn>
                              <a:cxn ang="0">
                                <a:pos x="T3" y="0"/>
                              </a:cxn>
                              <a:cxn ang="0">
                                <a:pos x="T5" y="0"/>
                              </a:cxn>
                              <a:cxn ang="0">
                                <a:pos x="T7" y="0"/>
                              </a:cxn>
                            </a:cxnLst>
                            <a:rect l="0" t="0" r="r" b="b"/>
                            <a:pathLst>
                              <a:path w="3548">
                                <a:moveTo>
                                  <a:pt x="0" y="0"/>
                                </a:moveTo>
                                <a:lnTo>
                                  <a:pt x="1762" y="0"/>
                                </a:lnTo>
                                <a:moveTo>
                                  <a:pt x="1762" y="0"/>
                                </a:moveTo>
                                <a:lnTo>
                                  <a:pt x="3548" y="0"/>
                                </a:lnTo>
                              </a:path>
                            </a:pathLst>
                          </a:custGeom>
                          <a:noFill/>
                          <a:ln w="609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304"/>
                        <wps:cNvCnPr>
                          <a:cxnSpLocks noChangeShapeType="1"/>
                        </wps:cNvCnPr>
                        <wps:spPr bwMode="auto">
                          <a:xfrm>
                            <a:off x="6480" y="1856"/>
                            <a:ext cx="1786" cy="0"/>
                          </a:xfrm>
                          <a:prstGeom prst="line">
                            <a:avLst/>
                          </a:prstGeom>
                          <a:noFill/>
                          <a:ln w="609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2" name="docshape52"/>
                        <wps:cNvSpPr>
                          <a:spLocks noChangeArrowheads="1"/>
                        </wps:cNvSpPr>
                        <wps:spPr bwMode="auto">
                          <a:xfrm>
                            <a:off x="6489" y="1860"/>
                            <a:ext cx="1773" cy="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302"/>
                        <wps:cNvCnPr>
                          <a:cxnSpLocks noChangeShapeType="1"/>
                        </wps:cNvCnPr>
                        <wps:spPr bwMode="auto">
                          <a:xfrm>
                            <a:off x="8262" y="1856"/>
                            <a:ext cx="1786" cy="0"/>
                          </a:xfrm>
                          <a:prstGeom prst="line">
                            <a:avLst/>
                          </a:prstGeom>
                          <a:noFill/>
                          <a:ln w="6096">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4" name="docshape53"/>
                        <wps:cNvSpPr>
                          <a:spLocks noChangeArrowheads="1"/>
                        </wps:cNvSpPr>
                        <wps:spPr bwMode="auto">
                          <a:xfrm>
                            <a:off x="2936" y="2458"/>
                            <a:ext cx="1762" cy="568"/>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docshape54"/>
                        <wps:cNvSpPr>
                          <a:spLocks noChangeArrowheads="1"/>
                        </wps:cNvSpPr>
                        <wps:spPr bwMode="auto">
                          <a:xfrm>
                            <a:off x="4718" y="2458"/>
                            <a:ext cx="1762" cy="568"/>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docshape55"/>
                        <wps:cNvSpPr>
                          <a:spLocks noChangeArrowheads="1"/>
                        </wps:cNvSpPr>
                        <wps:spPr bwMode="auto">
                          <a:xfrm>
                            <a:off x="6500" y="2458"/>
                            <a:ext cx="1762" cy="5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56"/>
                        <wps:cNvSpPr>
                          <a:spLocks noChangeArrowheads="1"/>
                        </wps:cNvSpPr>
                        <wps:spPr bwMode="auto">
                          <a:xfrm>
                            <a:off x="8282" y="2458"/>
                            <a:ext cx="1762" cy="56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297"/>
                        <wps:cNvCnPr>
                          <a:cxnSpLocks noChangeShapeType="1"/>
                        </wps:cNvCnPr>
                        <wps:spPr bwMode="auto">
                          <a:xfrm>
                            <a:off x="2936" y="2444"/>
                            <a:ext cx="1762" cy="0"/>
                          </a:xfrm>
                          <a:prstGeom prst="line">
                            <a:avLst/>
                          </a:prstGeom>
                          <a:noFill/>
                          <a:ln w="609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49" name="docshape57"/>
                        <wps:cNvSpPr>
                          <a:spLocks noChangeArrowheads="1"/>
                        </wps:cNvSpPr>
                        <wps:spPr bwMode="auto">
                          <a:xfrm>
                            <a:off x="2936" y="2448"/>
                            <a:ext cx="1762" cy="11"/>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295"/>
                        <wps:cNvCnPr>
                          <a:cxnSpLocks noChangeShapeType="1"/>
                        </wps:cNvCnPr>
                        <wps:spPr bwMode="auto">
                          <a:xfrm>
                            <a:off x="4717" y="2444"/>
                            <a:ext cx="1767" cy="0"/>
                          </a:xfrm>
                          <a:prstGeom prst="line">
                            <a:avLst/>
                          </a:prstGeom>
                          <a:noFill/>
                          <a:ln w="609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1" name="docshape58"/>
                        <wps:cNvSpPr>
                          <a:spLocks noChangeArrowheads="1"/>
                        </wps:cNvSpPr>
                        <wps:spPr bwMode="auto">
                          <a:xfrm>
                            <a:off x="4717" y="2448"/>
                            <a:ext cx="1763" cy="11"/>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93"/>
                        <wps:cNvCnPr>
                          <a:cxnSpLocks noChangeShapeType="1"/>
                        </wps:cNvCnPr>
                        <wps:spPr bwMode="auto">
                          <a:xfrm>
                            <a:off x="6499" y="2444"/>
                            <a:ext cx="1767"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 name="docshape59"/>
                        <wps:cNvSpPr>
                          <a:spLocks noChangeArrowheads="1"/>
                        </wps:cNvSpPr>
                        <wps:spPr bwMode="auto">
                          <a:xfrm>
                            <a:off x="6499" y="2448"/>
                            <a:ext cx="1763" cy="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291"/>
                        <wps:cNvCnPr>
                          <a:cxnSpLocks noChangeShapeType="1"/>
                        </wps:cNvCnPr>
                        <wps:spPr bwMode="auto">
                          <a:xfrm>
                            <a:off x="8281" y="2444"/>
                            <a:ext cx="1767" cy="0"/>
                          </a:xfrm>
                          <a:prstGeom prst="line">
                            <a:avLst/>
                          </a:prstGeom>
                          <a:noFill/>
                          <a:ln w="609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5" name="docshape60"/>
                        <wps:cNvSpPr>
                          <a:spLocks noChangeArrowheads="1"/>
                        </wps:cNvSpPr>
                        <wps:spPr bwMode="auto">
                          <a:xfrm>
                            <a:off x="8281" y="2448"/>
                            <a:ext cx="1763" cy="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docshape61"/>
                        <wps:cNvSpPr>
                          <a:spLocks noChangeArrowheads="1"/>
                        </wps:cNvSpPr>
                        <wps:spPr bwMode="auto">
                          <a:xfrm>
                            <a:off x="2936" y="3045"/>
                            <a:ext cx="1762" cy="568"/>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62"/>
                        <wps:cNvSpPr>
                          <a:spLocks noChangeArrowheads="1"/>
                        </wps:cNvSpPr>
                        <wps:spPr bwMode="auto">
                          <a:xfrm>
                            <a:off x="4718" y="3045"/>
                            <a:ext cx="1762" cy="568"/>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docshape63"/>
                        <wps:cNvSpPr>
                          <a:spLocks noChangeArrowheads="1"/>
                        </wps:cNvSpPr>
                        <wps:spPr bwMode="auto">
                          <a:xfrm>
                            <a:off x="6500" y="3045"/>
                            <a:ext cx="1762" cy="5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64"/>
                        <wps:cNvSpPr>
                          <a:spLocks noChangeArrowheads="1"/>
                        </wps:cNvSpPr>
                        <wps:spPr bwMode="auto">
                          <a:xfrm>
                            <a:off x="8282" y="3045"/>
                            <a:ext cx="1762" cy="56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285"/>
                        <wps:cNvCnPr>
                          <a:cxnSpLocks noChangeShapeType="1"/>
                        </wps:cNvCnPr>
                        <wps:spPr bwMode="auto">
                          <a:xfrm>
                            <a:off x="2936" y="3031"/>
                            <a:ext cx="1762" cy="0"/>
                          </a:xfrm>
                          <a:prstGeom prst="line">
                            <a:avLst/>
                          </a:prstGeom>
                          <a:noFill/>
                          <a:ln w="609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1" name="docshape65"/>
                        <wps:cNvSpPr>
                          <a:spLocks noChangeArrowheads="1"/>
                        </wps:cNvSpPr>
                        <wps:spPr bwMode="auto">
                          <a:xfrm>
                            <a:off x="2936" y="3035"/>
                            <a:ext cx="1762" cy="11"/>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283"/>
                        <wps:cNvCnPr>
                          <a:cxnSpLocks noChangeShapeType="1"/>
                        </wps:cNvCnPr>
                        <wps:spPr bwMode="auto">
                          <a:xfrm>
                            <a:off x="4717" y="3031"/>
                            <a:ext cx="1767" cy="0"/>
                          </a:xfrm>
                          <a:prstGeom prst="line">
                            <a:avLst/>
                          </a:prstGeom>
                          <a:noFill/>
                          <a:ln w="609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3" name="docshape66"/>
                        <wps:cNvSpPr>
                          <a:spLocks noChangeArrowheads="1"/>
                        </wps:cNvSpPr>
                        <wps:spPr bwMode="auto">
                          <a:xfrm>
                            <a:off x="4717" y="3035"/>
                            <a:ext cx="1763" cy="11"/>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281"/>
                        <wps:cNvCnPr>
                          <a:cxnSpLocks noChangeShapeType="1"/>
                        </wps:cNvCnPr>
                        <wps:spPr bwMode="auto">
                          <a:xfrm>
                            <a:off x="6499" y="3031"/>
                            <a:ext cx="1767" cy="0"/>
                          </a:xfrm>
                          <a:prstGeom prst="line">
                            <a:avLst/>
                          </a:prstGeom>
                          <a:noFill/>
                          <a:ln w="6096">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 name="docshape67"/>
                        <wps:cNvSpPr>
                          <a:spLocks noChangeArrowheads="1"/>
                        </wps:cNvSpPr>
                        <wps:spPr bwMode="auto">
                          <a:xfrm>
                            <a:off x="6499" y="3035"/>
                            <a:ext cx="1763" cy="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279"/>
                        <wps:cNvCnPr>
                          <a:cxnSpLocks noChangeShapeType="1"/>
                        </wps:cNvCnPr>
                        <wps:spPr bwMode="auto">
                          <a:xfrm>
                            <a:off x="8281" y="3031"/>
                            <a:ext cx="1767" cy="0"/>
                          </a:xfrm>
                          <a:prstGeom prst="line">
                            <a:avLst/>
                          </a:prstGeom>
                          <a:noFill/>
                          <a:ln w="609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7" name="docshape68"/>
                        <wps:cNvSpPr>
                          <a:spLocks noChangeArrowheads="1"/>
                        </wps:cNvSpPr>
                        <wps:spPr bwMode="auto">
                          <a:xfrm>
                            <a:off x="8281" y="3035"/>
                            <a:ext cx="1763" cy="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docshape69"/>
                        <wps:cNvSpPr>
                          <a:spLocks/>
                        </wps:cNvSpPr>
                        <wps:spPr bwMode="auto">
                          <a:xfrm>
                            <a:off x="6519" y="845"/>
                            <a:ext cx="551" cy="327"/>
                          </a:xfrm>
                          <a:custGeom>
                            <a:avLst/>
                            <a:gdLst>
                              <a:gd name="T0" fmla="+- 0 7016 6520"/>
                              <a:gd name="T1" fmla="*/ T0 w 551"/>
                              <a:gd name="T2" fmla="+- 0 846 846"/>
                              <a:gd name="T3" fmla="*/ 846 h 327"/>
                              <a:gd name="T4" fmla="+- 0 6575 6520"/>
                              <a:gd name="T5" fmla="*/ T4 w 551"/>
                              <a:gd name="T6" fmla="+- 0 846 846"/>
                              <a:gd name="T7" fmla="*/ 846 h 327"/>
                              <a:gd name="T8" fmla="+- 0 6554 6520"/>
                              <a:gd name="T9" fmla="*/ T8 w 551"/>
                              <a:gd name="T10" fmla="+- 0 850 846"/>
                              <a:gd name="T11" fmla="*/ 850 h 327"/>
                              <a:gd name="T12" fmla="+- 0 6536 6520"/>
                              <a:gd name="T13" fmla="*/ T12 w 551"/>
                              <a:gd name="T14" fmla="+- 0 862 846"/>
                              <a:gd name="T15" fmla="*/ 862 h 327"/>
                              <a:gd name="T16" fmla="+- 0 6524 6520"/>
                              <a:gd name="T17" fmla="*/ T16 w 551"/>
                              <a:gd name="T18" fmla="+- 0 879 846"/>
                              <a:gd name="T19" fmla="*/ 879 h 327"/>
                              <a:gd name="T20" fmla="+- 0 6520 6520"/>
                              <a:gd name="T21" fmla="*/ T20 w 551"/>
                              <a:gd name="T22" fmla="+- 0 900 846"/>
                              <a:gd name="T23" fmla="*/ 900 h 327"/>
                              <a:gd name="T24" fmla="+- 0 6520 6520"/>
                              <a:gd name="T25" fmla="*/ T24 w 551"/>
                              <a:gd name="T26" fmla="+- 0 1118 846"/>
                              <a:gd name="T27" fmla="*/ 1118 h 327"/>
                              <a:gd name="T28" fmla="+- 0 6524 6520"/>
                              <a:gd name="T29" fmla="*/ T28 w 551"/>
                              <a:gd name="T30" fmla="+- 0 1139 846"/>
                              <a:gd name="T31" fmla="*/ 1139 h 327"/>
                              <a:gd name="T32" fmla="+- 0 6536 6520"/>
                              <a:gd name="T33" fmla="*/ T32 w 551"/>
                              <a:gd name="T34" fmla="+- 0 1156 846"/>
                              <a:gd name="T35" fmla="*/ 1156 h 327"/>
                              <a:gd name="T36" fmla="+- 0 6554 6520"/>
                              <a:gd name="T37" fmla="*/ T36 w 551"/>
                              <a:gd name="T38" fmla="+- 0 1168 846"/>
                              <a:gd name="T39" fmla="*/ 1168 h 327"/>
                              <a:gd name="T40" fmla="+- 0 6575 6520"/>
                              <a:gd name="T41" fmla="*/ T40 w 551"/>
                              <a:gd name="T42" fmla="+- 0 1172 846"/>
                              <a:gd name="T43" fmla="*/ 1172 h 327"/>
                              <a:gd name="T44" fmla="+- 0 7016 6520"/>
                              <a:gd name="T45" fmla="*/ T44 w 551"/>
                              <a:gd name="T46" fmla="+- 0 1172 846"/>
                              <a:gd name="T47" fmla="*/ 1172 h 327"/>
                              <a:gd name="T48" fmla="+- 0 7037 6520"/>
                              <a:gd name="T49" fmla="*/ T48 w 551"/>
                              <a:gd name="T50" fmla="+- 0 1168 846"/>
                              <a:gd name="T51" fmla="*/ 1168 h 327"/>
                              <a:gd name="T52" fmla="+- 0 7055 6520"/>
                              <a:gd name="T53" fmla="*/ T52 w 551"/>
                              <a:gd name="T54" fmla="+- 0 1156 846"/>
                              <a:gd name="T55" fmla="*/ 1156 h 327"/>
                              <a:gd name="T56" fmla="+- 0 7066 6520"/>
                              <a:gd name="T57" fmla="*/ T56 w 551"/>
                              <a:gd name="T58" fmla="+- 0 1139 846"/>
                              <a:gd name="T59" fmla="*/ 1139 h 327"/>
                              <a:gd name="T60" fmla="+- 0 7070 6520"/>
                              <a:gd name="T61" fmla="*/ T60 w 551"/>
                              <a:gd name="T62" fmla="+- 0 1118 846"/>
                              <a:gd name="T63" fmla="*/ 1118 h 327"/>
                              <a:gd name="T64" fmla="+- 0 7070 6520"/>
                              <a:gd name="T65" fmla="*/ T64 w 551"/>
                              <a:gd name="T66" fmla="+- 0 900 846"/>
                              <a:gd name="T67" fmla="*/ 900 h 327"/>
                              <a:gd name="T68" fmla="+- 0 7066 6520"/>
                              <a:gd name="T69" fmla="*/ T68 w 551"/>
                              <a:gd name="T70" fmla="+- 0 879 846"/>
                              <a:gd name="T71" fmla="*/ 879 h 327"/>
                              <a:gd name="T72" fmla="+- 0 7055 6520"/>
                              <a:gd name="T73" fmla="*/ T72 w 551"/>
                              <a:gd name="T74" fmla="+- 0 862 846"/>
                              <a:gd name="T75" fmla="*/ 862 h 327"/>
                              <a:gd name="T76" fmla="+- 0 7037 6520"/>
                              <a:gd name="T77" fmla="*/ T76 w 551"/>
                              <a:gd name="T78" fmla="+- 0 850 846"/>
                              <a:gd name="T79" fmla="*/ 850 h 327"/>
                              <a:gd name="T80" fmla="+- 0 7016 6520"/>
                              <a:gd name="T81" fmla="*/ T80 w 551"/>
                              <a:gd name="T82" fmla="+- 0 846 846"/>
                              <a:gd name="T83" fmla="*/ 84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327">
                                <a:moveTo>
                                  <a:pt x="496" y="0"/>
                                </a:moveTo>
                                <a:lnTo>
                                  <a:pt x="55" y="0"/>
                                </a:lnTo>
                                <a:lnTo>
                                  <a:pt x="34" y="4"/>
                                </a:lnTo>
                                <a:lnTo>
                                  <a:pt x="16" y="16"/>
                                </a:lnTo>
                                <a:lnTo>
                                  <a:pt x="4" y="33"/>
                                </a:lnTo>
                                <a:lnTo>
                                  <a:pt x="0" y="54"/>
                                </a:lnTo>
                                <a:lnTo>
                                  <a:pt x="0" y="272"/>
                                </a:lnTo>
                                <a:lnTo>
                                  <a:pt x="4" y="293"/>
                                </a:lnTo>
                                <a:lnTo>
                                  <a:pt x="16" y="310"/>
                                </a:lnTo>
                                <a:lnTo>
                                  <a:pt x="34" y="322"/>
                                </a:lnTo>
                                <a:lnTo>
                                  <a:pt x="55" y="326"/>
                                </a:lnTo>
                                <a:lnTo>
                                  <a:pt x="496" y="326"/>
                                </a:lnTo>
                                <a:lnTo>
                                  <a:pt x="517" y="322"/>
                                </a:lnTo>
                                <a:lnTo>
                                  <a:pt x="535" y="310"/>
                                </a:lnTo>
                                <a:lnTo>
                                  <a:pt x="546" y="293"/>
                                </a:lnTo>
                                <a:lnTo>
                                  <a:pt x="550" y="272"/>
                                </a:lnTo>
                                <a:lnTo>
                                  <a:pt x="550" y="54"/>
                                </a:lnTo>
                                <a:lnTo>
                                  <a:pt x="546" y="33"/>
                                </a:lnTo>
                                <a:lnTo>
                                  <a:pt x="535" y="16"/>
                                </a:lnTo>
                                <a:lnTo>
                                  <a:pt x="517" y="4"/>
                                </a:lnTo>
                                <a:lnTo>
                                  <a:pt x="496" y="0"/>
                                </a:lnTo>
                                <a:close/>
                              </a:path>
                            </a:pathLst>
                          </a:custGeom>
                          <a:solidFill>
                            <a:srgbClr val="CB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70"/>
                        <wps:cNvSpPr>
                          <a:spLocks/>
                        </wps:cNvSpPr>
                        <wps:spPr bwMode="auto">
                          <a:xfrm>
                            <a:off x="6519" y="845"/>
                            <a:ext cx="551" cy="327"/>
                          </a:xfrm>
                          <a:custGeom>
                            <a:avLst/>
                            <a:gdLst>
                              <a:gd name="T0" fmla="+- 0 6520 6520"/>
                              <a:gd name="T1" fmla="*/ T0 w 551"/>
                              <a:gd name="T2" fmla="+- 0 900 846"/>
                              <a:gd name="T3" fmla="*/ 900 h 327"/>
                              <a:gd name="T4" fmla="+- 0 6524 6520"/>
                              <a:gd name="T5" fmla="*/ T4 w 551"/>
                              <a:gd name="T6" fmla="+- 0 879 846"/>
                              <a:gd name="T7" fmla="*/ 879 h 327"/>
                              <a:gd name="T8" fmla="+- 0 6536 6520"/>
                              <a:gd name="T9" fmla="*/ T8 w 551"/>
                              <a:gd name="T10" fmla="+- 0 862 846"/>
                              <a:gd name="T11" fmla="*/ 862 h 327"/>
                              <a:gd name="T12" fmla="+- 0 6554 6520"/>
                              <a:gd name="T13" fmla="*/ T12 w 551"/>
                              <a:gd name="T14" fmla="+- 0 850 846"/>
                              <a:gd name="T15" fmla="*/ 850 h 327"/>
                              <a:gd name="T16" fmla="+- 0 6575 6520"/>
                              <a:gd name="T17" fmla="*/ T16 w 551"/>
                              <a:gd name="T18" fmla="+- 0 846 846"/>
                              <a:gd name="T19" fmla="*/ 846 h 327"/>
                              <a:gd name="T20" fmla="+- 0 7016 6520"/>
                              <a:gd name="T21" fmla="*/ T20 w 551"/>
                              <a:gd name="T22" fmla="+- 0 846 846"/>
                              <a:gd name="T23" fmla="*/ 846 h 327"/>
                              <a:gd name="T24" fmla="+- 0 7037 6520"/>
                              <a:gd name="T25" fmla="*/ T24 w 551"/>
                              <a:gd name="T26" fmla="+- 0 850 846"/>
                              <a:gd name="T27" fmla="*/ 850 h 327"/>
                              <a:gd name="T28" fmla="+- 0 7055 6520"/>
                              <a:gd name="T29" fmla="*/ T28 w 551"/>
                              <a:gd name="T30" fmla="+- 0 862 846"/>
                              <a:gd name="T31" fmla="*/ 862 h 327"/>
                              <a:gd name="T32" fmla="+- 0 7066 6520"/>
                              <a:gd name="T33" fmla="*/ T32 w 551"/>
                              <a:gd name="T34" fmla="+- 0 879 846"/>
                              <a:gd name="T35" fmla="*/ 879 h 327"/>
                              <a:gd name="T36" fmla="+- 0 7070 6520"/>
                              <a:gd name="T37" fmla="*/ T36 w 551"/>
                              <a:gd name="T38" fmla="+- 0 900 846"/>
                              <a:gd name="T39" fmla="*/ 900 h 327"/>
                              <a:gd name="T40" fmla="+- 0 7070 6520"/>
                              <a:gd name="T41" fmla="*/ T40 w 551"/>
                              <a:gd name="T42" fmla="+- 0 1118 846"/>
                              <a:gd name="T43" fmla="*/ 1118 h 327"/>
                              <a:gd name="T44" fmla="+- 0 7066 6520"/>
                              <a:gd name="T45" fmla="*/ T44 w 551"/>
                              <a:gd name="T46" fmla="+- 0 1139 846"/>
                              <a:gd name="T47" fmla="*/ 1139 h 327"/>
                              <a:gd name="T48" fmla="+- 0 7055 6520"/>
                              <a:gd name="T49" fmla="*/ T48 w 551"/>
                              <a:gd name="T50" fmla="+- 0 1156 846"/>
                              <a:gd name="T51" fmla="*/ 1156 h 327"/>
                              <a:gd name="T52" fmla="+- 0 7037 6520"/>
                              <a:gd name="T53" fmla="*/ T52 w 551"/>
                              <a:gd name="T54" fmla="+- 0 1168 846"/>
                              <a:gd name="T55" fmla="*/ 1168 h 327"/>
                              <a:gd name="T56" fmla="+- 0 7016 6520"/>
                              <a:gd name="T57" fmla="*/ T56 w 551"/>
                              <a:gd name="T58" fmla="+- 0 1172 846"/>
                              <a:gd name="T59" fmla="*/ 1172 h 327"/>
                              <a:gd name="T60" fmla="+- 0 6575 6520"/>
                              <a:gd name="T61" fmla="*/ T60 w 551"/>
                              <a:gd name="T62" fmla="+- 0 1172 846"/>
                              <a:gd name="T63" fmla="*/ 1172 h 327"/>
                              <a:gd name="T64" fmla="+- 0 6554 6520"/>
                              <a:gd name="T65" fmla="*/ T64 w 551"/>
                              <a:gd name="T66" fmla="+- 0 1168 846"/>
                              <a:gd name="T67" fmla="*/ 1168 h 327"/>
                              <a:gd name="T68" fmla="+- 0 6536 6520"/>
                              <a:gd name="T69" fmla="*/ T68 w 551"/>
                              <a:gd name="T70" fmla="+- 0 1156 846"/>
                              <a:gd name="T71" fmla="*/ 1156 h 327"/>
                              <a:gd name="T72" fmla="+- 0 6524 6520"/>
                              <a:gd name="T73" fmla="*/ T72 w 551"/>
                              <a:gd name="T74" fmla="+- 0 1139 846"/>
                              <a:gd name="T75" fmla="*/ 1139 h 327"/>
                              <a:gd name="T76" fmla="+- 0 6520 6520"/>
                              <a:gd name="T77" fmla="*/ T76 w 551"/>
                              <a:gd name="T78" fmla="+- 0 1118 846"/>
                              <a:gd name="T79" fmla="*/ 1118 h 327"/>
                              <a:gd name="T80" fmla="+- 0 6520 6520"/>
                              <a:gd name="T81" fmla="*/ T80 w 551"/>
                              <a:gd name="T82" fmla="+- 0 900 846"/>
                              <a:gd name="T83" fmla="*/ 90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327">
                                <a:moveTo>
                                  <a:pt x="0" y="54"/>
                                </a:moveTo>
                                <a:lnTo>
                                  <a:pt x="4" y="33"/>
                                </a:lnTo>
                                <a:lnTo>
                                  <a:pt x="16" y="16"/>
                                </a:lnTo>
                                <a:lnTo>
                                  <a:pt x="34" y="4"/>
                                </a:lnTo>
                                <a:lnTo>
                                  <a:pt x="55" y="0"/>
                                </a:lnTo>
                                <a:lnTo>
                                  <a:pt x="496" y="0"/>
                                </a:lnTo>
                                <a:lnTo>
                                  <a:pt x="517" y="4"/>
                                </a:lnTo>
                                <a:lnTo>
                                  <a:pt x="535" y="16"/>
                                </a:lnTo>
                                <a:lnTo>
                                  <a:pt x="546" y="33"/>
                                </a:lnTo>
                                <a:lnTo>
                                  <a:pt x="550" y="54"/>
                                </a:lnTo>
                                <a:lnTo>
                                  <a:pt x="550" y="272"/>
                                </a:lnTo>
                                <a:lnTo>
                                  <a:pt x="546" y="293"/>
                                </a:lnTo>
                                <a:lnTo>
                                  <a:pt x="535" y="310"/>
                                </a:lnTo>
                                <a:lnTo>
                                  <a:pt x="517" y="322"/>
                                </a:lnTo>
                                <a:lnTo>
                                  <a:pt x="496" y="326"/>
                                </a:lnTo>
                                <a:lnTo>
                                  <a:pt x="55" y="326"/>
                                </a:lnTo>
                                <a:lnTo>
                                  <a:pt x="34" y="322"/>
                                </a:lnTo>
                                <a:lnTo>
                                  <a:pt x="16" y="310"/>
                                </a:lnTo>
                                <a:lnTo>
                                  <a:pt x="4" y="293"/>
                                </a:lnTo>
                                <a:lnTo>
                                  <a:pt x="0" y="272"/>
                                </a:lnTo>
                                <a:lnTo>
                                  <a:pt x="0" y="54"/>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docshape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552" y="879"/>
                            <a:ext cx="4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docshape72"/>
                        <wps:cNvSpPr>
                          <a:spLocks/>
                        </wps:cNvSpPr>
                        <wps:spPr bwMode="auto">
                          <a:xfrm>
                            <a:off x="6800" y="1995"/>
                            <a:ext cx="550" cy="327"/>
                          </a:xfrm>
                          <a:custGeom>
                            <a:avLst/>
                            <a:gdLst>
                              <a:gd name="T0" fmla="+- 0 7296 6800"/>
                              <a:gd name="T1" fmla="*/ T0 w 550"/>
                              <a:gd name="T2" fmla="+- 0 1995 1995"/>
                              <a:gd name="T3" fmla="*/ 1995 h 327"/>
                              <a:gd name="T4" fmla="+- 0 6854 6800"/>
                              <a:gd name="T5" fmla="*/ T4 w 550"/>
                              <a:gd name="T6" fmla="+- 0 1995 1995"/>
                              <a:gd name="T7" fmla="*/ 1995 h 327"/>
                              <a:gd name="T8" fmla="+- 0 6833 6800"/>
                              <a:gd name="T9" fmla="*/ T8 w 550"/>
                              <a:gd name="T10" fmla="+- 0 2000 1995"/>
                              <a:gd name="T11" fmla="*/ 2000 h 327"/>
                              <a:gd name="T12" fmla="+- 0 6816 6800"/>
                              <a:gd name="T13" fmla="*/ T12 w 550"/>
                              <a:gd name="T14" fmla="+- 0 2011 1995"/>
                              <a:gd name="T15" fmla="*/ 2011 h 327"/>
                              <a:gd name="T16" fmla="+- 0 6805 6800"/>
                              <a:gd name="T17" fmla="*/ T16 w 550"/>
                              <a:gd name="T18" fmla="+- 0 2028 1995"/>
                              <a:gd name="T19" fmla="*/ 2028 h 327"/>
                              <a:gd name="T20" fmla="+- 0 6800 6800"/>
                              <a:gd name="T21" fmla="*/ T20 w 550"/>
                              <a:gd name="T22" fmla="+- 0 2049 1995"/>
                              <a:gd name="T23" fmla="*/ 2049 h 327"/>
                              <a:gd name="T24" fmla="+- 0 6800 6800"/>
                              <a:gd name="T25" fmla="*/ T24 w 550"/>
                              <a:gd name="T26" fmla="+- 0 2268 1995"/>
                              <a:gd name="T27" fmla="*/ 2268 h 327"/>
                              <a:gd name="T28" fmla="+- 0 6805 6800"/>
                              <a:gd name="T29" fmla="*/ T28 w 550"/>
                              <a:gd name="T30" fmla="+- 0 2289 1995"/>
                              <a:gd name="T31" fmla="*/ 2289 h 327"/>
                              <a:gd name="T32" fmla="+- 0 6816 6800"/>
                              <a:gd name="T33" fmla="*/ T32 w 550"/>
                              <a:gd name="T34" fmla="+- 0 2306 1995"/>
                              <a:gd name="T35" fmla="*/ 2306 h 327"/>
                              <a:gd name="T36" fmla="+- 0 6833 6800"/>
                              <a:gd name="T37" fmla="*/ T36 w 550"/>
                              <a:gd name="T38" fmla="+- 0 2318 1995"/>
                              <a:gd name="T39" fmla="*/ 2318 h 327"/>
                              <a:gd name="T40" fmla="+- 0 6854 6800"/>
                              <a:gd name="T41" fmla="*/ T40 w 550"/>
                              <a:gd name="T42" fmla="+- 0 2322 1995"/>
                              <a:gd name="T43" fmla="*/ 2322 h 327"/>
                              <a:gd name="T44" fmla="+- 0 7296 6800"/>
                              <a:gd name="T45" fmla="*/ T44 w 550"/>
                              <a:gd name="T46" fmla="+- 0 2322 1995"/>
                              <a:gd name="T47" fmla="*/ 2322 h 327"/>
                              <a:gd name="T48" fmla="+- 0 7317 6800"/>
                              <a:gd name="T49" fmla="*/ T48 w 550"/>
                              <a:gd name="T50" fmla="+- 0 2318 1995"/>
                              <a:gd name="T51" fmla="*/ 2318 h 327"/>
                              <a:gd name="T52" fmla="+- 0 7334 6800"/>
                              <a:gd name="T53" fmla="*/ T52 w 550"/>
                              <a:gd name="T54" fmla="+- 0 2306 1995"/>
                              <a:gd name="T55" fmla="*/ 2306 h 327"/>
                              <a:gd name="T56" fmla="+- 0 7346 6800"/>
                              <a:gd name="T57" fmla="*/ T56 w 550"/>
                              <a:gd name="T58" fmla="+- 0 2289 1995"/>
                              <a:gd name="T59" fmla="*/ 2289 h 327"/>
                              <a:gd name="T60" fmla="+- 0 7350 6800"/>
                              <a:gd name="T61" fmla="*/ T60 w 550"/>
                              <a:gd name="T62" fmla="+- 0 2268 1995"/>
                              <a:gd name="T63" fmla="*/ 2268 h 327"/>
                              <a:gd name="T64" fmla="+- 0 7350 6800"/>
                              <a:gd name="T65" fmla="*/ T64 w 550"/>
                              <a:gd name="T66" fmla="+- 0 2049 1995"/>
                              <a:gd name="T67" fmla="*/ 2049 h 327"/>
                              <a:gd name="T68" fmla="+- 0 7346 6800"/>
                              <a:gd name="T69" fmla="*/ T68 w 550"/>
                              <a:gd name="T70" fmla="+- 0 2028 1995"/>
                              <a:gd name="T71" fmla="*/ 2028 h 327"/>
                              <a:gd name="T72" fmla="+- 0 7334 6800"/>
                              <a:gd name="T73" fmla="*/ T72 w 550"/>
                              <a:gd name="T74" fmla="+- 0 2011 1995"/>
                              <a:gd name="T75" fmla="*/ 2011 h 327"/>
                              <a:gd name="T76" fmla="+- 0 7317 6800"/>
                              <a:gd name="T77" fmla="*/ T76 w 550"/>
                              <a:gd name="T78" fmla="+- 0 2000 1995"/>
                              <a:gd name="T79" fmla="*/ 2000 h 327"/>
                              <a:gd name="T80" fmla="+- 0 7296 6800"/>
                              <a:gd name="T81" fmla="*/ T80 w 550"/>
                              <a:gd name="T82" fmla="+- 0 1995 1995"/>
                              <a:gd name="T83" fmla="*/ 199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327">
                                <a:moveTo>
                                  <a:pt x="496" y="0"/>
                                </a:moveTo>
                                <a:lnTo>
                                  <a:pt x="54" y="0"/>
                                </a:lnTo>
                                <a:lnTo>
                                  <a:pt x="33" y="5"/>
                                </a:lnTo>
                                <a:lnTo>
                                  <a:pt x="16" y="16"/>
                                </a:lnTo>
                                <a:lnTo>
                                  <a:pt x="5" y="33"/>
                                </a:lnTo>
                                <a:lnTo>
                                  <a:pt x="0" y="54"/>
                                </a:lnTo>
                                <a:lnTo>
                                  <a:pt x="0" y="273"/>
                                </a:lnTo>
                                <a:lnTo>
                                  <a:pt x="5" y="294"/>
                                </a:lnTo>
                                <a:lnTo>
                                  <a:pt x="16" y="311"/>
                                </a:lnTo>
                                <a:lnTo>
                                  <a:pt x="33" y="323"/>
                                </a:lnTo>
                                <a:lnTo>
                                  <a:pt x="54" y="327"/>
                                </a:lnTo>
                                <a:lnTo>
                                  <a:pt x="496" y="327"/>
                                </a:lnTo>
                                <a:lnTo>
                                  <a:pt x="517" y="323"/>
                                </a:lnTo>
                                <a:lnTo>
                                  <a:pt x="534" y="311"/>
                                </a:lnTo>
                                <a:lnTo>
                                  <a:pt x="546" y="294"/>
                                </a:lnTo>
                                <a:lnTo>
                                  <a:pt x="550" y="273"/>
                                </a:lnTo>
                                <a:lnTo>
                                  <a:pt x="550" y="54"/>
                                </a:lnTo>
                                <a:lnTo>
                                  <a:pt x="546" y="33"/>
                                </a:lnTo>
                                <a:lnTo>
                                  <a:pt x="534" y="16"/>
                                </a:lnTo>
                                <a:lnTo>
                                  <a:pt x="517" y="5"/>
                                </a:lnTo>
                                <a:lnTo>
                                  <a:pt x="496" y="0"/>
                                </a:lnTo>
                                <a:close/>
                              </a:path>
                            </a:pathLst>
                          </a:custGeom>
                          <a:solidFill>
                            <a:srgbClr val="CB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docshape73"/>
                        <wps:cNvSpPr>
                          <a:spLocks/>
                        </wps:cNvSpPr>
                        <wps:spPr bwMode="auto">
                          <a:xfrm>
                            <a:off x="6800" y="1995"/>
                            <a:ext cx="550" cy="327"/>
                          </a:xfrm>
                          <a:custGeom>
                            <a:avLst/>
                            <a:gdLst>
                              <a:gd name="T0" fmla="+- 0 6800 6800"/>
                              <a:gd name="T1" fmla="*/ T0 w 550"/>
                              <a:gd name="T2" fmla="+- 0 2049 1995"/>
                              <a:gd name="T3" fmla="*/ 2049 h 327"/>
                              <a:gd name="T4" fmla="+- 0 6805 6800"/>
                              <a:gd name="T5" fmla="*/ T4 w 550"/>
                              <a:gd name="T6" fmla="+- 0 2028 1995"/>
                              <a:gd name="T7" fmla="*/ 2028 h 327"/>
                              <a:gd name="T8" fmla="+- 0 6816 6800"/>
                              <a:gd name="T9" fmla="*/ T8 w 550"/>
                              <a:gd name="T10" fmla="+- 0 2011 1995"/>
                              <a:gd name="T11" fmla="*/ 2011 h 327"/>
                              <a:gd name="T12" fmla="+- 0 6833 6800"/>
                              <a:gd name="T13" fmla="*/ T12 w 550"/>
                              <a:gd name="T14" fmla="+- 0 2000 1995"/>
                              <a:gd name="T15" fmla="*/ 2000 h 327"/>
                              <a:gd name="T16" fmla="+- 0 6854 6800"/>
                              <a:gd name="T17" fmla="*/ T16 w 550"/>
                              <a:gd name="T18" fmla="+- 0 1995 1995"/>
                              <a:gd name="T19" fmla="*/ 1995 h 327"/>
                              <a:gd name="T20" fmla="+- 0 7296 6800"/>
                              <a:gd name="T21" fmla="*/ T20 w 550"/>
                              <a:gd name="T22" fmla="+- 0 1995 1995"/>
                              <a:gd name="T23" fmla="*/ 1995 h 327"/>
                              <a:gd name="T24" fmla="+- 0 7317 6800"/>
                              <a:gd name="T25" fmla="*/ T24 w 550"/>
                              <a:gd name="T26" fmla="+- 0 2000 1995"/>
                              <a:gd name="T27" fmla="*/ 2000 h 327"/>
                              <a:gd name="T28" fmla="+- 0 7334 6800"/>
                              <a:gd name="T29" fmla="*/ T28 w 550"/>
                              <a:gd name="T30" fmla="+- 0 2011 1995"/>
                              <a:gd name="T31" fmla="*/ 2011 h 327"/>
                              <a:gd name="T32" fmla="+- 0 7346 6800"/>
                              <a:gd name="T33" fmla="*/ T32 w 550"/>
                              <a:gd name="T34" fmla="+- 0 2028 1995"/>
                              <a:gd name="T35" fmla="*/ 2028 h 327"/>
                              <a:gd name="T36" fmla="+- 0 7350 6800"/>
                              <a:gd name="T37" fmla="*/ T36 w 550"/>
                              <a:gd name="T38" fmla="+- 0 2049 1995"/>
                              <a:gd name="T39" fmla="*/ 2049 h 327"/>
                              <a:gd name="T40" fmla="+- 0 7350 6800"/>
                              <a:gd name="T41" fmla="*/ T40 w 550"/>
                              <a:gd name="T42" fmla="+- 0 2268 1995"/>
                              <a:gd name="T43" fmla="*/ 2268 h 327"/>
                              <a:gd name="T44" fmla="+- 0 7346 6800"/>
                              <a:gd name="T45" fmla="*/ T44 w 550"/>
                              <a:gd name="T46" fmla="+- 0 2289 1995"/>
                              <a:gd name="T47" fmla="*/ 2289 h 327"/>
                              <a:gd name="T48" fmla="+- 0 7334 6800"/>
                              <a:gd name="T49" fmla="*/ T48 w 550"/>
                              <a:gd name="T50" fmla="+- 0 2306 1995"/>
                              <a:gd name="T51" fmla="*/ 2306 h 327"/>
                              <a:gd name="T52" fmla="+- 0 7317 6800"/>
                              <a:gd name="T53" fmla="*/ T52 w 550"/>
                              <a:gd name="T54" fmla="+- 0 2318 1995"/>
                              <a:gd name="T55" fmla="*/ 2318 h 327"/>
                              <a:gd name="T56" fmla="+- 0 7296 6800"/>
                              <a:gd name="T57" fmla="*/ T56 w 550"/>
                              <a:gd name="T58" fmla="+- 0 2322 1995"/>
                              <a:gd name="T59" fmla="*/ 2322 h 327"/>
                              <a:gd name="T60" fmla="+- 0 6854 6800"/>
                              <a:gd name="T61" fmla="*/ T60 w 550"/>
                              <a:gd name="T62" fmla="+- 0 2322 1995"/>
                              <a:gd name="T63" fmla="*/ 2322 h 327"/>
                              <a:gd name="T64" fmla="+- 0 6833 6800"/>
                              <a:gd name="T65" fmla="*/ T64 w 550"/>
                              <a:gd name="T66" fmla="+- 0 2318 1995"/>
                              <a:gd name="T67" fmla="*/ 2318 h 327"/>
                              <a:gd name="T68" fmla="+- 0 6816 6800"/>
                              <a:gd name="T69" fmla="*/ T68 w 550"/>
                              <a:gd name="T70" fmla="+- 0 2306 1995"/>
                              <a:gd name="T71" fmla="*/ 2306 h 327"/>
                              <a:gd name="T72" fmla="+- 0 6805 6800"/>
                              <a:gd name="T73" fmla="*/ T72 w 550"/>
                              <a:gd name="T74" fmla="+- 0 2289 1995"/>
                              <a:gd name="T75" fmla="*/ 2289 h 327"/>
                              <a:gd name="T76" fmla="+- 0 6800 6800"/>
                              <a:gd name="T77" fmla="*/ T76 w 550"/>
                              <a:gd name="T78" fmla="+- 0 2268 1995"/>
                              <a:gd name="T79" fmla="*/ 2268 h 327"/>
                              <a:gd name="T80" fmla="+- 0 6800 6800"/>
                              <a:gd name="T81" fmla="*/ T80 w 550"/>
                              <a:gd name="T82" fmla="+- 0 2049 1995"/>
                              <a:gd name="T83" fmla="*/ 204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327">
                                <a:moveTo>
                                  <a:pt x="0" y="54"/>
                                </a:moveTo>
                                <a:lnTo>
                                  <a:pt x="5" y="33"/>
                                </a:lnTo>
                                <a:lnTo>
                                  <a:pt x="16" y="16"/>
                                </a:lnTo>
                                <a:lnTo>
                                  <a:pt x="33" y="5"/>
                                </a:lnTo>
                                <a:lnTo>
                                  <a:pt x="54" y="0"/>
                                </a:lnTo>
                                <a:lnTo>
                                  <a:pt x="496" y="0"/>
                                </a:lnTo>
                                <a:lnTo>
                                  <a:pt x="517" y="5"/>
                                </a:lnTo>
                                <a:lnTo>
                                  <a:pt x="534" y="16"/>
                                </a:lnTo>
                                <a:lnTo>
                                  <a:pt x="546" y="33"/>
                                </a:lnTo>
                                <a:lnTo>
                                  <a:pt x="550" y="54"/>
                                </a:lnTo>
                                <a:lnTo>
                                  <a:pt x="550" y="273"/>
                                </a:lnTo>
                                <a:lnTo>
                                  <a:pt x="546" y="294"/>
                                </a:lnTo>
                                <a:lnTo>
                                  <a:pt x="534" y="311"/>
                                </a:lnTo>
                                <a:lnTo>
                                  <a:pt x="517" y="323"/>
                                </a:lnTo>
                                <a:lnTo>
                                  <a:pt x="496" y="327"/>
                                </a:lnTo>
                                <a:lnTo>
                                  <a:pt x="54" y="327"/>
                                </a:lnTo>
                                <a:lnTo>
                                  <a:pt x="33" y="323"/>
                                </a:lnTo>
                                <a:lnTo>
                                  <a:pt x="16" y="311"/>
                                </a:lnTo>
                                <a:lnTo>
                                  <a:pt x="5" y="294"/>
                                </a:lnTo>
                                <a:lnTo>
                                  <a:pt x="0" y="273"/>
                                </a:lnTo>
                                <a:lnTo>
                                  <a:pt x="0" y="54"/>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docshape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6835" y="2026"/>
                            <a:ext cx="4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docshape75"/>
                        <wps:cNvSpPr>
                          <a:spLocks/>
                        </wps:cNvSpPr>
                        <wps:spPr bwMode="auto">
                          <a:xfrm>
                            <a:off x="6790" y="1425"/>
                            <a:ext cx="551" cy="327"/>
                          </a:xfrm>
                          <a:custGeom>
                            <a:avLst/>
                            <a:gdLst>
                              <a:gd name="T0" fmla="+- 0 7286 6791"/>
                              <a:gd name="T1" fmla="*/ T0 w 551"/>
                              <a:gd name="T2" fmla="+- 0 1425 1425"/>
                              <a:gd name="T3" fmla="*/ 1425 h 327"/>
                              <a:gd name="T4" fmla="+- 0 6845 6791"/>
                              <a:gd name="T5" fmla="*/ T4 w 551"/>
                              <a:gd name="T6" fmla="+- 0 1425 1425"/>
                              <a:gd name="T7" fmla="*/ 1425 h 327"/>
                              <a:gd name="T8" fmla="+- 0 6824 6791"/>
                              <a:gd name="T9" fmla="*/ T8 w 551"/>
                              <a:gd name="T10" fmla="+- 0 1430 1425"/>
                              <a:gd name="T11" fmla="*/ 1430 h 327"/>
                              <a:gd name="T12" fmla="+- 0 6807 6791"/>
                              <a:gd name="T13" fmla="*/ T12 w 551"/>
                              <a:gd name="T14" fmla="+- 0 1441 1425"/>
                              <a:gd name="T15" fmla="*/ 1441 h 327"/>
                              <a:gd name="T16" fmla="+- 0 6795 6791"/>
                              <a:gd name="T17" fmla="*/ T16 w 551"/>
                              <a:gd name="T18" fmla="+- 0 1458 1425"/>
                              <a:gd name="T19" fmla="*/ 1458 h 327"/>
                              <a:gd name="T20" fmla="+- 0 6791 6791"/>
                              <a:gd name="T21" fmla="*/ T20 w 551"/>
                              <a:gd name="T22" fmla="+- 0 1479 1425"/>
                              <a:gd name="T23" fmla="*/ 1479 h 327"/>
                              <a:gd name="T24" fmla="+- 0 6791 6791"/>
                              <a:gd name="T25" fmla="*/ T24 w 551"/>
                              <a:gd name="T26" fmla="+- 0 1698 1425"/>
                              <a:gd name="T27" fmla="*/ 1698 h 327"/>
                              <a:gd name="T28" fmla="+- 0 6795 6791"/>
                              <a:gd name="T29" fmla="*/ T28 w 551"/>
                              <a:gd name="T30" fmla="+- 0 1719 1425"/>
                              <a:gd name="T31" fmla="*/ 1719 h 327"/>
                              <a:gd name="T32" fmla="+- 0 6807 6791"/>
                              <a:gd name="T33" fmla="*/ T32 w 551"/>
                              <a:gd name="T34" fmla="+- 0 1736 1425"/>
                              <a:gd name="T35" fmla="*/ 1736 h 327"/>
                              <a:gd name="T36" fmla="+- 0 6824 6791"/>
                              <a:gd name="T37" fmla="*/ T36 w 551"/>
                              <a:gd name="T38" fmla="+- 0 1748 1425"/>
                              <a:gd name="T39" fmla="*/ 1748 h 327"/>
                              <a:gd name="T40" fmla="+- 0 6845 6791"/>
                              <a:gd name="T41" fmla="*/ T40 w 551"/>
                              <a:gd name="T42" fmla="+- 0 1752 1425"/>
                              <a:gd name="T43" fmla="*/ 1752 h 327"/>
                              <a:gd name="T44" fmla="+- 0 7286 6791"/>
                              <a:gd name="T45" fmla="*/ T44 w 551"/>
                              <a:gd name="T46" fmla="+- 0 1752 1425"/>
                              <a:gd name="T47" fmla="*/ 1752 h 327"/>
                              <a:gd name="T48" fmla="+- 0 7308 6791"/>
                              <a:gd name="T49" fmla="*/ T48 w 551"/>
                              <a:gd name="T50" fmla="+- 0 1748 1425"/>
                              <a:gd name="T51" fmla="*/ 1748 h 327"/>
                              <a:gd name="T52" fmla="+- 0 7325 6791"/>
                              <a:gd name="T53" fmla="*/ T52 w 551"/>
                              <a:gd name="T54" fmla="+- 0 1736 1425"/>
                              <a:gd name="T55" fmla="*/ 1736 h 327"/>
                              <a:gd name="T56" fmla="+- 0 7337 6791"/>
                              <a:gd name="T57" fmla="*/ T56 w 551"/>
                              <a:gd name="T58" fmla="+- 0 1719 1425"/>
                              <a:gd name="T59" fmla="*/ 1719 h 327"/>
                              <a:gd name="T60" fmla="+- 0 7342 6791"/>
                              <a:gd name="T61" fmla="*/ T60 w 551"/>
                              <a:gd name="T62" fmla="+- 0 1698 1425"/>
                              <a:gd name="T63" fmla="*/ 1698 h 327"/>
                              <a:gd name="T64" fmla="+- 0 7342 6791"/>
                              <a:gd name="T65" fmla="*/ T64 w 551"/>
                              <a:gd name="T66" fmla="+- 0 1479 1425"/>
                              <a:gd name="T67" fmla="*/ 1479 h 327"/>
                              <a:gd name="T68" fmla="+- 0 7337 6791"/>
                              <a:gd name="T69" fmla="*/ T68 w 551"/>
                              <a:gd name="T70" fmla="+- 0 1458 1425"/>
                              <a:gd name="T71" fmla="*/ 1458 h 327"/>
                              <a:gd name="T72" fmla="+- 0 7325 6791"/>
                              <a:gd name="T73" fmla="*/ T72 w 551"/>
                              <a:gd name="T74" fmla="+- 0 1441 1425"/>
                              <a:gd name="T75" fmla="*/ 1441 h 327"/>
                              <a:gd name="T76" fmla="+- 0 7308 6791"/>
                              <a:gd name="T77" fmla="*/ T76 w 551"/>
                              <a:gd name="T78" fmla="+- 0 1430 1425"/>
                              <a:gd name="T79" fmla="*/ 1430 h 327"/>
                              <a:gd name="T80" fmla="+- 0 7286 6791"/>
                              <a:gd name="T81" fmla="*/ T80 w 551"/>
                              <a:gd name="T82" fmla="+- 0 1425 1425"/>
                              <a:gd name="T83" fmla="*/ 142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327">
                                <a:moveTo>
                                  <a:pt x="495" y="0"/>
                                </a:moveTo>
                                <a:lnTo>
                                  <a:pt x="54" y="0"/>
                                </a:lnTo>
                                <a:lnTo>
                                  <a:pt x="33" y="5"/>
                                </a:lnTo>
                                <a:lnTo>
                                  <a:pt x="16" y="16"/>
                                </a:lnTo>
                                <a:lnTo>
                                  <a:pt x="4" y="33"/>
                                </a:lnTo>
                                <a:lnTo>
                                  <a:pt x="0" y="54"/>
                                </a:lnTo>
                                <a:lnTo>
                                  <a:pt x="0" y="273"/>
                                </a:lnTo>
                                <a:lnTo>
                                  <a:pt x="4" y="294"/>
                                </a:lnTo>
                                <a:lnTo>
                                  <a:pt x="16" y="311"/>
                                </a:lnTo>
                                <a:lnTo>
                                  <a:pt x="33" y="323"/>
                                </a:lnTo>
                                <a:lnTo>
                                  <a:pt x="54" y="327"/>
                                </a:lnTo>
                                <a:lnTo>
                                  <a:pt x="495" y="327"/>
                                </a:lnTo>
                                <a:lnTo>
                                  <a:pt x="517" y="323"/>
                                </a:lnTo>
                                <a:lnTo>
                                  <a:pt x="534" y="311"/>
                                </a:lnTo>
                                <a:lnTo>
                                  <a:pt x="546" y="294"/>
                                </a:lnTo>
                                <a:lnTo>
                                  <a:pt x="551" y="273"/>
                                </a:lnTo>
                                <a:lnTo>
                                  <a:pt x="551" y="54"/>
                                </a:lnTo>
                                <a:lnTo>
                                  <a:pt x="546" y="33"/>
                                </a:lnTo>
                                <a:lnTo>
                                  <a:pt x="534" y="16"/>
                                </a:lnTo>
                                <a:lnTo>
                                  <a:pt x="517" y="5"/>
                                </a:lnTo>
                                <a:lnTo>
                                  <a:pt x="495" y="0"/>
                                </a:lnTo>
                                <a:close/>
                              </a:path>
                            </a:pathLst>
                          </a:custGeom>
                          <a:solidFill>
                            <a:srgbClr val="CB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76"/>
                        <wps:cNvSpPr>
                          <a:spLocks/>
                        </wps:cNvSpPr>
                        <wps:spPr bwMode="auto">
                          <a:xfrm>
                            <a:off x="6790" y="1425"/>
                            <a:ext cx="551" cy="327"/>
                          </a:xfrm>
                          <a:custGeom>
                            <a:avLst/>
                            <a:gdLst>
                              <a:gd name="T0" fmla="+- 0 6791 6791"/>
                              <a:gd name="T1" fmla="*/ T0 w 551"/>
                              <a:gd name="T2" fmla="+- 0 1479 1425"/>
                              <a:gd name="T3" fmla="*/ 1479 h 327"/>
                              <a:gd name="T4" fmla="+- 0 6795 6791"/>
                              <a:gd name="T5" fmla="*/ T4 w 551"/>
                              <a:gd name="T6" fmla="+- 0 1458 1425"/>
                              <a:gd name="T7" fmla="*/ 1458 h 327"/>
                              <a:gd name="T8" fmla="+- 0 6807 6791"/>
                              <a:gd name="T9" fmla="*/ T8 w 551"/>
                              <a:gd name="T10" fmla="+- 0 1441 1425"/>
                              <a:gd name="T11" fmla="*/ 1441 h 327"/>
                              <a:gd name="T12" fmla="+- 0 6824 6791"/>
                              <a:gd name="T13" fmla="*/ T12 w 551"/>
                              <a:gd name="T14" fmla="+- 0 1430 1425"/>
                              <a:gd name="T15" fmla="*/ 1430 h 327"/>
                              <a:gd name="T16" fmla="+- 0 6845 6791"/>
                              <a:gd name="T17" fmla="*/ T16 w 551"/>
                              <a:gd name="T18" fmla="+- 0 1425 1425"/>
                              <a:gd name="T19" fmla="*/ 1425 h 327"/>
                              <a:gd name="T20" fmla="+- 0 7286 6791"/>
                              <a:gd name="T21" fmla="*/ T20 w 551"/>
                              <a:gd name="T22" fmla="+- 0 1425 1425"/>
                              <a:gd name="T23" fmla="*/ 1425 h 327"/>
                              <a:gd name="T24" fmla="+- 0 7308 6791"/>
                              <a:gd name="T25" fmla="*/ T24 w 551"/>
                              <a:gd name="T26" fmla="+- 0 1430 1425"/>
                              <a:gd name="T27" fmla="*/ 1430 h 327"/>
                              <a:gd name="T28" fmla="+- 0 7325 6791"/>
                              <a:gd name="T29" fmla="*/ T28 w 551"/>
                              <a:gd name="T30" fmla="+- 0 1441 1425"/>
                              <a:gd name="T31" fmla="*/ 1441 h 327"/>
                              <a:gd name="T32" fmla="+- 0 7337 6791"/>
                              <a:gd name="T33" fmla="*/ T32 w 551"/>
                              <a:gd name="T34" fmla="+- 0 1458 1425"/>
                              <a:gd name="T35" fmla="*/ 1458 h 327"/>
                              <a:gd name="T36" fmla="+- 0 7342 6791"/>
                              <a:gd name="T37" fmla="*/ T36 w 551"/>
                              <a:gd name="T38" fmla="+- 0 1479 1425"/>
                              <a:gd name="T39" fmla="*/ 1479 h 327"/>
                              <a:gd name="T40" fmla="+- 0 7342 6791"/>
                              <a:gd name="T41" fmla="*/ T40 w 551"/>
                              <a:gd name="T42" fmla="+- 0 1698 1425"/>
                              <a:gd name="T43" fmla="*/ 1698 h 327"/>
                              <a:gd name="T44" fmla="+- 0 7337 6791"/>
                              <a:gd name="T45" fmla="*/ T44 w 551"/>
                              <a:gd name="T46" fmla="+- 0 1719 1425"/>
                              <a:gd name="T47" fmla="*/ 1719 h 327"/>
                              <a:gd name="T48" fmla="+- 0 7325 6791"/>
                              <a:gd name="T49" fmla="*/ T48 w 551"/>
                              <a:gd name="T50" fmla="+- 0 1736 1425"/>
                              <a:gd name="T51" fmla="*/ 1736 h 327"/>
                              <a:gd name="T52" fmla="+- 0 7308 6791"/>
                              <a:gd name="T53" fmla="*/ T52 w 551"/>
                              <a:gd name="T54" fmla="+- 0 1748 1425"/>
                              <a:gd name="T55" fmla="*/ 1748 h 327"/>
                              <a:gd name="T56" fmla="+- 0 7286 6791"/>
                              <a:gd name="T57" fmla="*/ T56 w 551"/>
                              <a:gd name="T58" fmla="+- 0 1752 1425"/>
                              <a:gd name="T59" fmla="*/ 1752 h 327"/>
                              <a:gd name="T60" fmla="+- 0 6845 6791"/>
                              <a:gd name="T61" fmla="*/ T60 w 551"/>
                              <a:gd name="T62" fmla="+- 0 1752 1425"/>
                              <a:gd name="T63" fmla="*/ 1752 h 327"/>
                              <a:gd name="T64" fmla="+- 0 6824 6791"/>
                              <a:gd name="T65" fmla="*/ T64 w 551"/>
                              <a:gd name="T66" fmla="+- 0 1748 1425"/>
                              <a:gd name="T67" fmla="*/ 1748 h 327"/>
                              <a:gd name="T68" fmla="+- 0 6807 6791"/>
                              <a:gd name="T69" fmla="*/ T68 w 551"/>
                              <a:gd name="T70" fmla="+- 0 1736 1425"/>
                              <a:gd name="T71" fmla="*/ 1736 h 327"/>
                              <a:gd name="T72" fmla="+- 0 6795 6791"/>
                              <a:gd name="T73" fmla="*/ T72 w 551"/>
                              <a:gd name="T74" fmla="+- 0 1719 1425"/>
                              <a:gd name="T75" fmla="*/ 1719 h 327"/>
                              <a:gd name="T76" fmla="+- 0 6791 6791"/>
                              <a:gd name="T77" fmla="*/ T76 w 551"/>
                              <a:gd name="T78" fmla="+- 0 1698 1425"/>
                              <a:gd name="T79" fmla="*/ 1698 h 327"/>
                              <a:gd name="T80" fmla="+- 0 6791 6791"/>
                              <a:gd name="T81" fmla="*/ T80 w 551"/>
                              <a:gd name="T82" fmla="+- 0 1479 1425"/>
                              <a:gd name="T83" fmla="*/ 147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327">
                                <a:moveTo>
                                  <a:pt x="0" y="54"/>
                                </a:moveTo>
                                <a:lnTo>
                                  <a:pt x="4" y="33"/>
                                </a:lnTo>
                                <a:lnTo>
                                  <a:pt x="16" y="16"/>
                                </a:lnTo>
                                <a:lnTo>
                                  <a:pt x="33" y="5"/>
                                </a:lnTo>
                                <a:lnTo>
                                  <a:pt x="54" y="0"/>
                                </a:lnTo>
                                <a:lnTo>
                                  <a:pt x="495" y="0"/>
                                </a:lnTo>
                                <a:lnTo>
                                  <a:pt x="517" y="5"/>
                                </a:lnTo>
                                <a:lnTo>
                                  <a:pt x="534" y="16"/>
                                </a:lnTo>
                                <a:lnTo>
                                  <a:pt x="546" y="33"/>
                                </a:lnTo>
                                <a:lnTo>
                                  <a:pt x="551" y="54"/>
                                </a:lnTo>
                                <a:lnTo>
                                  <a:pt x="551" y="273"/>
                                </a:lnTo>
                                <a:lnTo>
                                  <a:pt x="546" y="294"/>
                                </a:lnTo>
                                <a:lnTo>
                                  <a:pt x="534" y="311"/>
                                </a:lnTo>
                                <a:lnTo>
                                  <a:pt x="517" y="323"/>
                                </a:lnTo>
                                <a:lnTo>
                                  <a:pt x="495" y="327"/>
                                </a:lnTo>
                                <a:lnTo>
                                  <a:pt x="54" y="327"/>
                                </a:lnTo>
                                <a:lnTo>
                                  <a:pt x="33" y="323"/>
                                </a:lnTo>
                                <a:lnTo>
                                  <a:pt x="16" y="311"/>
                                </a:lnTo>
                                <a:lnTo>
                                  <a:pt x="4" y="294"/>
                                </a:lnTo>
                                <a:lnTo>
                                  <a:pt x="0" y="273"/>
                                </a:lnTo>
                                <a:lnTo>
                                  <a:pt x="0" y="54"/>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docshape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825" y="1460"/>
                            <a:ext cx="4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docshape78"/>
                        <wps:cNvSpPr>
                          <a:spLocks/>
                        </wps:cNvSpPr>
                        <wps:spPr bwMode="auto">
                          <a:xfrm>
                            <a:off x="6800" y="2574"/>
                            <a:ext cx="550" cy="328"/>
                          </a:xfrm>
                          <a:custGeom>
                            <a:avLst/>
                            <a:gdLst>
                              <a:gd name="T0" fmla="+- 0 7296 6800"/>
                              <a:gd name="T1" fmla="*/ T0 w 550"/>
                              <a:gd name="T2" fmla="+- 0 2575 2575"/>
                              <a:gd name="T3" fmla="*/ 2575 h 328"/>
                              <a:gd name="T4" fmla="+- 0 6854 6800"/>
                              <a:gd name="T5" fmla="*/ T4 w 550"/>
                              <a:gd name="T6" fmla="+- 0 2575 2575"/>
                              <a:gd name="T7" fmla="*/ 2575 h 328"/>
                              <a:gd name="T8" fmla="+- 0 6833 6800"/>
                              <a:gd name="T9" fmla="*/ T8 w 550"/>
                              <a:gd name="T10" fmla="+- 0 2579 2575"/>
                              <a:gd name="T11" fmla="*/ 2579 h 328"/>
                              <a:gd name="T12" fmla="+- 0 6816 6800"/>
                              <a:gd name="T13" fmla="*/ T12 w 550"/>
                              <a:gd name="T14" fmla="+- 0 2591 2575"/>
                              <a:gd name="T15" fmla="*/ 2591 h 328"/>
                              <a:gd name="T16" fmla="+- 0 6805 6800"/>
                              <a:gd name="T17" fmla="*/ T16 w 550"/>
                              <a:gd name="T18" fmla="+- 0 2608 2575"/>
                              <a:gd name="T19" fmla="*/ 2608 h 328"/>
                              <a:gd name="T20" fmla="+- 0 6800 6800"/>
                              <a:gd name="T21" fmla="*/ T20 w 550"/>
                              <a:gd name="T22" fmla="+- 0 2629 2575"/>
                              <a:gd name="T23" fmla="*/ 2629 h 328"/>
                              <a:gd name="T24" fmla="+- 0 6800 6800"/>
                              <a:gd name="T25" fmla="*/ T24 w 550"/>
                              <a:gd name="T26" fmla="+- 0 2847 2575"/>
                              <a:gd name="T27" fmla="*/ 2847 h 328"/>
                              <a:gd name="T28" fmla="+- 0 6805 6800"/>
                              <a:gd name="T29" fmla="*/ T28 w 550"/>
                              <a:gd name="T30" fmla="+- 0 2869 2575"/>
                              <a:gd name="T31" fmla="*/ 2869 h 328"/>
                              <a:gd name="T32" fmla="+- 0 6816 6800"/>
                              <a:gd name="T33" fmla="*/ T32 w 550"/>
                              <a:gd name="T34" fmla="+- 0 2886 2575"/>
                              <a:gd name="T35" fmla="*/ 2886 h 328"/>
                              <a:gd name="T36" fmla="+- 0 6833 6800"/>
                              <a:gd name="T37" fmla="*/ T36 w 550"/>
                              <a:gd name="T38" fmla="+- 0 2898 2575"/>
                              <a:gd name="T39" fmla="*/ 2898 h 328"/>
                              <a:gd name="T40" fmla="+- 0 6854 6800"/>
                              <a:gd name="T41" fmla="*/ T40 w 550"/>
                              <a:gd name="T42" fmla="+- 0 2903 2575"/>
                              <a:gd name="T43" fmla="*/ 2903 h 328"/>
                              <a:gd name="T44" fmla="+- 0 7296 6800"/>
                              <a:gd name="T45" fmla="*/ T44 w 550"/>
                              <a:gd name="T46" fmla="+- 0 2903 2575"/>
                              <a:gd name="T47" fmla="*/ 2903 h 328"/>
                              <a:gd name="T48" fmla="+- 0 7317 6800"/>
                              <a:gd name="T49" fmla="*/ T48 w 550"/>
                              <a:gd name="T50" fmla="+- 0 2898 2575"/>
                              <a:gd name="T51" fmla="*/ 2898 h 328"/>
                              <a:gd name="T52" fmla="+- 0 7334 6800"/>
                              <a:gd name="T53" fmla="*/ T52 w 550"/>
                              <a:gd name="T54" fmla="+- 0 2886 2575"/>
                              <a:gd name="T55" fmla="*/ 2886 h 328"/>
                              <a:gd name="T56" fmla="+- 0 7346 6800"/>
                              <a:gd name="T57" fmla="*/ T56 w 550"/>
                              <a:gd name="T58" fmla="+- 0 2869 2575"/>
                              <a:gd name="T59" fmla="*/ 2869 h 328"/>
                              <a:gd name="T60" fmla="+- 0 7350 6800"/>
                              <a:gd name="T61" fmla="*/ T60 w 550"/>
                              <a:gd name="T62" fmla="+- 0 2847 2575"/>
                              <a:gd name="T63" fmla="*/ 2847 h 328"/>
                              <a:gd name="T64" fmla="+- 0 7350 6800"/>
                              <a:gd name="T65" fmla="*/ T64 w 550"/>
                              <a:gd name="T66" fmla="+- 0 2629 2575"/>
                              <a:gd name="T67" fmla="*/ 2629 h 328"/>
                              <a:gd name="T68" fmla="+- 0 7346 6800"/>
                              <a:gd name="T69" fmla="*/ T68 w 550"/>
                              <a:gd name="T70" fmla="+- 0 2608 2575"/>
                              <a:gd name="T71" fmla="*/ 2608 h 328"/>
                              <a:gd name="T72" fmla="+- 0 7334 6800"/>
                              <a:gd name="T73" fmla="*/ T72 w 550"/>
                              <a:gd name="T74" fmla="+- 0 2591 2575"/>
                              <a:gd name="T75" fmla="*/ 2591 h 328"/>
                              <a:gd name="T76" fmla="+- 0 7317 6800"/>
                              <a:gd name="T77" fmla="*/ T76 w 550"/>
                              <a:gd name="T78" fmla="+- 0 2579 2575"/>
                              <a:gd name="T79" fmla="*/ 2579 h 328"/>
                              <a:gd name="T80" fmla="+- 0 7296 6800"/>
                              <a:gd name="T81" fmla="*/ T80 w 550"/>
                              <a:gd name="T82" fmla="+- 0 2575 2575"/>
                              <a:gd name="T83" fmla="*/ 257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328">
                                <a:moveTo>
                                  <a:pt x="496" y="0"/>
                                </a:moveTo>
                                <a:lnTo>
                                  <a:pt x="54" y="0"/>
                                </a:lnTo>
                                <a:lnTo>
                                  <a:pt x="33" y="4"/>
                                </a:lnTo>
                                <a:lnTo>
                                  <a:pt x="16" y="16"/>
                                </a:lnTo>
                                <a:lnTo>
                                  <a:pt x="5" y="33"/>
                                </a:lnTo>
                                <a:lnTo>
                                  <a:pt x="0" y="54"/>
                                </a:lnTo>
                                <a:lnTo>
                                  <a:pt x="0" y="272"/>
                                </a:lnTo>
                                <a:lnTo>
                                  <a:pt x="5" y="294"/>
                                </a:lnTo>
                                <a:lnTo>
                                  <a:pt x="16" y="311"/>
                                </a:lnTo>
                                <a:lnTo>
                                  <a:pt x="33" y="323"/>
                                </a:lnTo>
                                <a:lnTo>
                                  <a:pt x="54" y="328"/>
                                </a:lnTo>
                                <a:lnTo>
                                  <a:pt x="496" y="328"/>
                                </a:lnTo>
                                <a:lnTo>
                                  <a:pt x="517" y="323"/>
                                </a:lnTo>
                                <a:lnTo>
                                  <a:pt x="534" y="311"/>
                                </a:lnTo>
                                <a:lnTo>
                                  <a:pt x="546" y="294"/>
                                </a:lnTo>
                                <a:lnTo>
                                  <a:pt x="550" y="272"/>
                                </a:lnTo>
                                <a:lnTo>
                                  <a:pt x="550" y="54"/>
                                </a:lnTo>
                                <a:lnTo>
                                  <a:pt x="546" y="33"/>
                                </a:lnTo>
                                <a:lnTo>
                                  <a:pt x="534" y="16"/>
                                </a:lnTo>
                                <a:lnTo>
                                  <a:pt x="517" y="4"/>
                                </a:lnTo>
                                <a:lnTo>
                                  <a:pt x="496" y="0"/>
                                </a:lnTo>
                                <a:close/>
                              </a:path>
                            </a:pathLst>
                          </a:custGeom>
                          <a:solidFill>
                            <a:srgbClr val="CB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9"/>
                        <wps:cNvSpPr>
                          <a:spLocks/>
                        </wps:cNvSpPr>
                        <wps:spPr bwMode="auto">
                          <a:xfrm>
                            <a:off x="6800" y="2574"/>
                            <a:ext cx="550" cy="328"/>
                          </a:xfrm>
                          <a:custGeom>
                            <a:avLst/>
                            <a:gdLst>
                              <a:gd name="T0" fmla="+- 0 6800 6800"/>
                              <a:gd name="T1" fmla="*/ T0 w 550"/>
                              <a:gd name="T2" fmla="+- 0 2629 2575"/>
                              <a:gd name="T3" fmla="*/ 2629 h 328"/>
                              <a:gd name="T4" fmla="+- 0 6805 6800"/>
                              <a:gd name="T5" fmla="*/ T4 w 550"/>
                              <a:gd name="T6" fmla="+- 0 2608 2575"/>
                              <a:gd name="T7" fmla="*/ 2608 h 328"/>
                              <a:gd name="T8" fmla="+- 0 6816 6800"/>
                              <a:gd name="T9" fmla="*/ T8 w 550"/>
                              <a:gd name="T10" fmla="+- 0 2591 2575"/>
                              <a:gd name="T11" fmla="*/ 2591 h 328"/>
                              <a:gd name="T12" fmla="+- 0 6833 6800"/>
                              <a:gd name="T13" fmla="*/ T12 w 550"/>
                              <a:gd name="T14" fmla="+- 0 2579 2575"/>
                              <a:gd name="T15" fmla="*/ 2579 h 328"/>
                              <a:gd name="T16" fmla="+- 0 6854 6800"/>
                              <a:gd name="T17" fmla="*/ T16 w 550"/>
                              <a:gd name="T18" fmla="+- 0 2575 2575"/>
                              <a:gd name="T19" fmla="*/ 2575 h 328"/>
                              <a:gd name="T20" fmla="+- 0 7296 6800"/>
                              <a:gd name="T21" fmla="*/ T20 w 550"/>
                              <a:gd name="T22" fmla="+- 0 2575 2575"/>
                              <a:gd name="T23" fmla="*/ 2575 h 328"/>
                              <a:gd name="T24" fmla="+- 0 7317 6800"/>
                              <a:gd name="T25" fmla="*/ T24 w 550"/>
                              <a:gd name="T26" fmla="+- 0 2579 2575"/>
                              <a:gd name="T27" fmla="*/ 2579 h 328"/>
                              <a:gd name="T28" fmla="+- 0 7334 6800"/>
                              <a:gd name="T29" fmla="*/ T28 w 550"/>
                              <a:gd name="T30" fmla="+- 0 2591 2575"/>
                              <a:gd name="T31" fmla="*/ 2591 h 328"/>
                              <a:gd name="T32" fmla="+- 0 7346 6800"/>
                              <a:gd name="T33" fmla="*/ T32 w 550"/>
                              <a:gd name="T34" fmla="+- 0 2608 2575"/>
                              <a:gd name="T35" fmla="*/ 2608 h 328"/>
                              <a:gd name="T36" fmla="+- 0 7350 6800"/>
                              <a:gd name="T37" fmla="*/ T36 w 550"/>
                              <a:gd name="T38" fmla="+- 0 2629 2575"/>
                              <a:gd name="T39" fmla="*/ 2629 h 328"/>
                              <a:gd name="T40" fmla="+- 0 7350 6800"/>
                              <a:gd name="T41" fmla="*/ T40 w 550"/>
                              <a:gd name="T42" fmla="+- 0 2847 2575"/>
                              <a:gd name="T43" fmla="*/ 2847 h 328"/>
                              <a:gd name="T44" fmla="+- 0 7346 6800"/>
                              <a:gd name="T45" fmla="*/ T44 w 550"/>
                              <a:gd name="T46" fmla="+- 0 2869 2575"/>
                              <a:gd name="T47" fmla="*/ 2869 h 328"/>
                              <a:gd name="T48" fmla="+- 0 7334 6800"/>
                              <a:gd name="T49" fmla="*/ T48 w 550"/>
                              <a:gd name="T50" fmla="+- 0 2886 2575"/>
                              <a:gd name="T51" fmla="*/ 2886 h 328"/>
                              <a:gd name="T52" fmla="+- 0 7317 6800"/>
                              <a:gd name="T53" fmla="*/ T52 w 550"/>
                              <a:gd name="T54" fmla="+- 0 2898 2575"/>
                              <a:gd name="T55" fmla="*/ 2898 h 328"/>
                              <a:gd name="T56" fmla="+- 0 7296 6800"/>
                              <a:gd name="T57" fmla="*/ T56 w 550"/>
                              <a:gd name="T58" fmla="+- 0 2903 2575"/>
                              <a:gd name="T59" fmla="*/ 2903 h 328"/>
                              <a:gd name="T60" fmla="+- 0 6854 6800"/>
                              <a:gd name="T61" fmla="*/ T60 w 550"/>
                              <a:gd name="T62" fmla="+- 0 2903 2575"/>
                              <a:gd name="T63" fmla="*/ 2903 h 328"/>
                              <a:gd name="T64" fmla="+- 0 6833 6800"/>
                              <a:gd name="T65" fmla="*/ T64 w 550"/>
                              <a:gd name="T66" fmla="+- 0 2898 2575"/>
                              <a:gd name="T67" fmla="*/ 2898 h 328"/>
                              <a:gd name="T68" fmla="+- 0 6816 6800"/>
                              <a:gd name="T69" fmla="*/ T68 w 550"/>
                              <a:gd name="T70" fmla="+- 0 2886 2575"/>
                              <a:gd name="T71" fmla="*/ 2886 h 328"/>
                              <a:gd name="T72" fmla="+- 0 6805 6800"/>
                              <a:gd name="T73" fmla="*/ T72 w 550"/>
                              <a:gd name="T74" fmla="+- 0 2869 2575"/>
                              <a:gd name="T75" fmla="*/ 2869 h 328"/>
                              <a:gd name="T76" fmla="+- 0 6800 6800"/>
                              <a:gd name="T77" fmla="*/ T76 w 550"/>
                              <a:gd name="T78" fmla="+- 0 2847 2575"/>
                              <a:gd name="T79" fmla="*/ 2847 h 328"/>
                              <a:gd name="T80" fmla="+- 0 6800 6800"/>
                              <a:gd name="T81" fmla="*/ T80 w 550"/>
                              <a:gd name="T82" fmla="+- 0 2629 2575"/>
                              <a:gd name="T83" fmla="*/ 2629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328">
                                <a:moveTo>
                                  <a:pt x="0" y="54"/>
                                </a:moveTo>
                                <a:lnTo>
                                  <a:pt x="5" y="33"/>
                                </a:lnTo>
                                <a:lnTo>
                                  <a:pt x="16" y="16"/>
                                </a:lnTo>
                                <a:lnTo>
                                  <a:pt x="33" y="4"/>
                                </a:lnTo>
                                <a:lnTo>
                                  <a:pt x="54" y="0"/>
                                </a:lnTo>
                                <a:lnTo>
                                  <a:pt x="496" y="0"/>
                                </a:lnTo>
                                <a:lnTo>
                                  <a:pt x="517" y="4"/>
                                </a:lnTo>
                                <a:lnTo>
                                  <a:pt x="534" y="16"/>
                                </a:lnTo>
                                <a:lnTo>
                                  <a:pt x="546" y="33"/>
                                </a:lnTo>
                                <a:lnTo>
                                  <a:pt x="550" y="54"/>
                                </a:lnTo>
                                <a:lnTo>
                                  <a:pt x="550" y="272"/>
                                </a:lnTo>
                                <a:lnTo>
                                  <a:pt x="546" y="294"/>
                                </a:lnTo>
                                <a:lnTo>
                                  <a:pt x="534" y="311"/>
                                </a:lnTo>
                                <a:lnTo>
                                  <a:pt x="517" y="323"/>
                                </a:lnTo>
                                <a:lnTo>
                                  <a:pt x="496" y="328"/>
                                </a:lnTo>
                                <a:lnTo>
                                  <a:pt x="54" y="328"/>
                                </a:lnTo>
                                <a:lnTo>
                                  <a:pt x="33" y="323"/>
                                </a:lnTo>
                                <a:lnTo>
                                  <a:pt x="16" y="311"/>
                                </a:lnTo>
                                <a:lnTo>
                                  <a:pt x="5" y="294"/>
                                </a:lnTo>
                                <a:lnTo>
                                  <a:pt x="0" y="272"/>
                                </a:lnTo>
                                <a:lnTo>
                                  <a:pt x="0" y="54"/>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docshape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835" y="2607"/>
                            <a:ext cx="4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docshape81"/>
                        <wps:cNvSpPr>
                          <a:spLocks/>
                        </wps:cNvSpPr>
                        <wps:spPr bwMode="auto">
                          <a:xfrm>
                            <a:off x="6510" y="3144"/>
                            <a:ext cx="551" cy="328"/>
                          </a:xfrm>
                          <a:custGeom>
                            <a:avLst/>
                            <a:gdLst>
                              <a:gd name="T0" fmla="+- 0 7007 6510"/>
                              <a:gd name="T1" fmla="*/ T0 w 551"/>
                              <a:gd name="T2" fmla="+- 0 3145 3145"/>
                              <a:gd name="T3" fmla="*/ 3145 h 328"/>
                              <a:gd name="T4" fmla="+- 0 6565 6510"/>
                              <a:gd name="T5" fmla="*/ T4 w 551"/>
                              <a:gd name="T6" fmla="+- 0 3145 3145"/>
                              <a:gd name="T7" fmla="*/ 3145 h 328"/>
                              <a:gd name="T8" fmla="+- 0 6544 6510"/>
                              <a:gd name="T9" fmla="*/ T8 w 551"/>
                              <a:gd name="T10" fmla="+- 0 3149 3145"/>
                              <a:gd name="T11" fmla="*/ 3149 h 328"/>
                              <a:gd name="T12" fmla="+- 0 6526 6510"/>
                              <a:gd name="T13" fmla="*/ T12 w 551"/>
                              <a:gd name="T14" fmla="+- 0 3161 3145"/>
                              <a:gd name="T15" fmla="*/ 3161 h 328"/>
                              <a:gd name="T16" fmla="+- 0 6514 6510"/>
                              <a:gd name="T17" fmla="*/ T16 w 551"/>
                              <a:gd name="T18" fmla="+- 0 3179 3145"/>
                              <a:gd name="T19" fmla="*/ 3179 h 328"/>
                              <a:gd name="T20" fmla="+- 0 6510 6510"/>
                              <a:gd name="T21" fmla="*/ T20 w 551"/>
                              <a:gd name="T22" fmla="+- 0 3200 3145"/>
                              <a:gd name="T23" fmla="*/ 3200 h 328"/>
                              <a:gd name="T24" fmla="+- 0 6510 6510"/>
                              <a:gd name="T25" fmla="*/ T24 w 551"/>
                              <a:gd name="T26" fmla="+- 0 3417 3145"/>
                              <a:gd name="T27" fmla="*/ 3417 h 328"/>
                              <a:gd name="T28" fmla="+- 0 6514 6510"/>
                              <a:gd name="T29" fmla="*/ T28 w 551"/>
                              <a:gd name="T30" fmla="+- 0 3439 3145"/>
                              <a:gd name="T31" fmla="*/ 3439 h 328"/>
                              <a:gd name="T32" fmla="+- 0 6526 6510"/>
                              <a:gd name="T33" fmla="*/ T32 w 551"/>
                              <a:gd name="T34" fmla="+- 0 3456 3145"/>
                              <a:gd name="T35" fmla="*/ 3456 h 328"/>
                              <a:gd name="T36" fmla="+- 0 6544 6510"/>
                              <a:gd name="T37" fmla="*/ T36 w 551"/>
                              <a:gd name="T38" fmla="+- 0 3468 3145"/>
                              <a:gd name="T39" fmla="*/ 3468 h 328"/>
                              <a:gd name="T40" fmla="+- 0 6565 6510"/>
                              <a:gd name="T41" fmla="*/ T40 w 551"/>
                              <a:gd name="T42" fmla="+- 0 3473 3145"/>
                              <a:gd name="T43" fmla="*/ 3473 h 328"/>
                              <a:gd name="T44" fmla="+- 0 7007 6510"/>
                              <a:gd name="T45" fmla="*/ T44 w 551"/>
                              <a:gd name="T46" fmla="+- 0 3473 3145"/>
                              <a:gd name="T47" fmla="*/ 3473 h 328"/>
                              <a:gd name="T48" fmla="+- 0 7028 6510"/>
                              <a:gd name="T49" fmla="*/ T48 w 551"/>
                              <a:gd name="T50" fmla="+- 0 3468 3145"/>
                              <a:gd name="T51" fmla="*/ 3468 h 328"/>
                              <a:gd name="T52" fmla="+- 0 7045 6510"/>
                              <a:gd name="T53" fmla="*/ T52 w 551"/>
                              <a:gd name="T54" fmla="+- 0 3456 3145"/>
                              <a:gd name="T55" fmla="*/ 3456 h 328"/>
                              <a:gd name="T56" fmla="+- 0 7057 6510"/>
                              <a:gd name="T57" fmla="*/ T56 w 551"/>
                              <a:gd name="T58" fmla="+- 0 3439 3145"/>
                              <a:gd name="T59" fmla="*/ 3439 h 328"/>
                              <a:gd name="T60" fmla="+- 0 7061 6510"/>
                              <a:gd name="T61" fmla="*/ T60 w 551"/>
                              <a:gd name="T62" fmla="+- 0 3417 3145"/>
                              <a:gd name="T63" fmla="*/ 3417 h 328"/>
                              <a:gd name="T64" fmla="+- 0 7061 6510"/>
                              <a:gd name="T65" fmla="*/ T64 w 551"/>
                              <a:gd name="T66" fmla="+- 0 3200 3145"/>
                              <a:gd name="T67" fmla="*/ 3200 h 328"/>
                              <a:gd name="T68" fmla="+- 0 7057 6510"/>
                              <a:gd name="T69" fmla="*/ T68 w 551"/>
                              <a:gd name="T70" fmla="+- 0 3179 3145"/>
                              <a:gd name="T71" fmla="*/ 3179 h 328"/>
                              <a:gd name="T72" fmla="+- 0 7045 6510"/>
                              <a:gd name="T73" fmla="*/ T72 w 551"/>
                              <a:gd name="T74" fmla="+- 0 3161 3145"/>
                              <a:gd name="T75" fmla="*/ 3161 h 328"/>
                              <a:gd name="T76" fmla="+- 0 7028 6510"/>
                              <a:gd name="T77" fmla="*/ T76 w 551"/>
                              <a:gd name="T78" fmla="+- 0 3149 3145"/>
                              <a:gd name="T79" fmla="*/ 3149 h 328"/>
                              <a:gd name="T80" fmla="+- 0 7007 6510"/>
                              <a:gd name="T81" fmla="*/ T80 w 551"/>
                              <a:gd name="T82" fmla="+- 0 3145 3145"/>
                              <a:gd name="T83" fmla="*/ 314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328">
                                <a:moveTo>
                                  <a:pt x="497" y="0"/>
                                </a:moveTo>
                                <a:lnTo>
                                  <a:pt x="55" y="0"/>
                                </a:lnTo>
                                <a:lnTo>
                                  <a:pt x="34" y="4"/>
                                </a:lnTo>
                                <a:lnTo>
                                  <a:pt x="16" y="16"/>
                                </a:lnTo>
                                <a:lnTo>
                                  <a:pt x="4" y="34"/>
                                </a:lnTo>
                                <a:lnTo>
                                  <a:pt x="0" y="55"/>
                                </a:lnTo>
                                <a:lnTo>
                                  <a:pt x="0" y="272"/>
                                </a:lnTo>
                                <a:lnTo>
                                  <a:pt x="4" y="294"/>
                                </a:lnTo>
                                <a:lnTo>
                                  <a:pt x="16" y="311"/>
                                </a:lnTo>
                                <a:lnTo>
                                  <a:pt x="34" y="323"/>
                                </a:lnTo>
                                <a:lnTo>
                                  <a:pt x="55" y="328"/>
                                </a:lnTo>
                                <a:lnTo>
                                  <a:pt x="497" y="328"/>
                                </a:lnTo>
                                <a:lnTo>
                                  <a:pt x="518" y="323"/>
                                </a:lnTo>
                                <a:lnTo>
                                  <a:pt x="535" y="311"/>
                                </a:lnTo>
                                <a:lnTo>
                                  <a:pt x="547" y="294"/>
                                </a:lnTo>
                                <a:lnTo>
                                  <a:pt x="551" y="272"/>
                                </a:lnTo>
                                <a:lnTo>
                                  <a:pt x="551" y="55"/>
                                </a:lnTo>
                                <a:lnTo>
                                  <a:pt x="547" y="34"/>
                                </a:lnTo>
                                <a:lnTo>
                                  <a:pt x="535" y="16"/>
                                </a:lnTo>
                                <a:lnTo>
                                  <a:pt x="518" y="4"/>
                                </a:lnTo>
                                <a:lnTo>
                                  <a:pt x="497" y="0"/>
                                </a:lnTo>
                                <a:close/>
                              </a:path>
                            </a:pathLst>
                          </a:custGeom>
                          <a:solidFill>
                            <a:srgbClr val="CBE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82"/>
                        <wps:cNvSpPr>
                          <a:spLocks/>
                        </wps:cNvSpPr>
                        <wps:spPr bwMode="auto">
                          <a:xfrm>
                            <a:off x="6510" y="3144"/>
                            <a:ext cx="551" cy="328"/>
                          </a:xfrm>
                          <a:custGeom>
                            <a:avLst/>
                            <a:gdLst>
                              <a:gd name="T0" fmla="+- 0 6510 6510"/>
                              <a:gd name="T1" fmla="*/ T0 w 551"/>
                              <a:gd name="T2" fmla="+- 0 3200 3145"/>
                              <a:gd name="T3" fmla="*/ 3200 h 328"/>
                              <a:gd name="T4" fmla="+- 0 6514 6510"/>
                              <a:gd name="T5" fmla="*/ T4 w 551"/>
                              <a:gd name="T6" fmla="+- 0 3179 3145"/>
                              <a:gd name="T7" fmla="*/ 3179 h 328"/>
                              <a:gd name="T8" fmla="+- 0 6526 6510"/>
                              <a:gd name="T9" fmla="*/ T8 w 551"/>
                              <a:gd name="T10" fmla="+- 0 3161 3145"/>
                              <a:gd name="T11" fmla="*/ 3161 h 328"/>
                              <a:gd name="T12" fmla="+- 0 6544 6510"/>
                              <a:gd name="T13" fmla="*/ T12 w 551"/>
                              <a:gd name="T14" fmla="+- 0 3149 3145"/>
                              <a:gd name="T15" fmla="*/ 3149 h 328"/>
                              <a:gd name="T16" fmla="+- 0 6565 6510"/>
                              <a:gd name="T17" fmla="*/ T16 w 551"/>
                              <a:gd name="T18" fmla="+- 0 3145 3145"/>
                              <a:gd name="T19" fmla="*/ 3145 h 328"/>
                              <a:gd name="T20" fmla="+- 0 7007 6510"/>
                              <a:gd name="T21" fmla="*/ T20 w 551"/>
                              <a:gd name="T22" fmla="+- 0 3145 3145"/>
                              <a:gd name="T23" fmla="*/ 3145 h 328"/>
                              <a:gd name="T24" fmla="+- 0 7028 6510"/>
                              <a:gd name="T25" fmla="*/ T24 w 551"/>
                              <a:gd name="T26" fmla="+- 0 3149 3145"/>
                              <a:gd name="T27" fmla="*/ 3149 h 328"/>
                              <a:gd name="T28" fmla="+- 0 7045 6510"/>
                              <a:gd name="T29" fmla="*/ T28 w 551"/>
                              <a:gd name="T30" fmla="+- 0 3161 3145"/>
                              <a:gd name="T31" fmla="*/ 3161 h 328"/>
                              <a:gd name="T32" fmla="+- 0 7057 6510"/>
                              <a:gd name="T33" fmla="*/ T32 w 551"/>
                              <a:gd name="T34" fmla="+- 0 3179 3145"/>
                              <a:gd name="T35" fmla="*/ 3179 h 328"/>
                              <a:gd name="T36" fmla="+- 0 7061 6510"/>
                              <a:gd name="T37" fmla="*/ T36 w 551"/>
                              <a:gd name="T38" fmla="+- 0 3200 3145"/>
                              <a:gd name="T39" fmla="*/ 3200 h 328"/>
                              <a:gd name="T40" fmla="+- 0 7061 6510"/>
                              <a:gd name="T41" fmla="*/ T40 w 551"/>
                              <a:gd name="T42" fmla="+- 0 3417 3145"/>
                              <a:gd name="T43" fmla="*/ 3417 h 328"/>
                              <a:gd name="T44" fmla="+- 0 7057 6510"/>
                              <a:gd name="T45" fmla="*/ T44 w 551"/>
                              <a:gd name="T46" fmla="+- 0 3439 3145"/>
                              <a:gd name="T47" fmla="*/ 3439 h 328"/>
                              <a:gd name="T48" fmla="+- 0 7045 6510"/>
                              <a:gd name="T49" fmla="*/ T48 w 551"/>
                              <a:gd name="T50" fmla="+- 0 3456 3145"/>
                              <a:gd name="T51" fmla="*/ 3456 h 328"/>
                              <a:gd name="T52" fmla="+- 0 7028 6510"/>
                              <a:gd name="T53" fmla="*/ T52 w 551"/>
                              <a:gd name="T54" fmla="+- 0 3468 3145"/>
                              <a:gd name="T55" fmla="*/ 3468 h 328"/>
                              <a:gd name="T56" fmla="+- 0 7007 6510"/>
                              <a:gd name="T57" fmla="*/ T56 w 551"/>
                              <a:gd name="T58" fmla="+- 0 3473 3145"/>
                              <a:gd name="T59" fmla="*/ 3473 h 328"/>
                              <a:gd name="T60" fmla="+- 0 6565 6510"/>
                              <a:gd name="T61" fmla="*/ T60 w 551"/>
                              <a:gd name="T62" fmla="+- 0 3473 3145"/>
                              <a:gd name="T63" fmla="*/ 3473 h 328"/>
                              <a:gd name="T64" fmla="+- 0 6544 6510"/>
                              <a:gd name="T65" fmla="*/ T64 w 551"/>
                              <a:gd name="T66" fmla="+- 0 3468 3145"/>
                              <a:gd name="T67" fmla="*/ 3468 h 328"/>
                              <a:gd name="T68" fmla="+- 0 6526 6510"/>
                              <a:gd name="T69" fmla="*/ T68 w 551"/>
                              <a:gd name="T70" fmla="+- 0 3456 3145"/>
                              <a:gd name="T71" fmla="*/ 3456 h 328"/>
                              <a:gd name="T72" fmla="+- 0 6514 6510"/>
                              <a:gd name="T73" fmla="*/ T72 w 551"/>
                              <a:gd name="T74" fmla="+- 0 3439 3145"/>
                              <a:gd name="T75" fmla="*/ 3439 h 328"/>
                              <a:gd name="T76" fmla="+- 0 6510 6510"/>
                              <a:gd name="T77" fmla="*/ T76 w 551"/>
                              <a:gd name="T78" fmla="+- 0 3417 3145"/>
                              <a:gd name="T79" fmla="*/ 3417 h 328"/>
                              <a:gd name="T80" fmla="+- 0 6510 6510"/>
                              <a:gd name="T81" fmla="*/ T80 w 551"/>
                              <a:gd name="T82" fmla="+- 0 3200 3145"/>
                              <a:gd name="T83" fmla="*/ 320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328">
                                <a:moveTo>
                                  <a:pt x="0" y="55"/>
                                </a:moveTo>
                                <a:lnTo>
                                  <a:pt x="4" y="34"/>
                                </a:lnTo>
                                <a:lnTo>
                                  <a:pt x="16" y="16"/>
                                </a:lnTo>
                                <a:lnTo>
                                  <a:pt x="34" y="4"/>
                                </a:lnTo>
                                <a:lnTo>
                                  <a:pt x="55" y="0"/>
                                </a:lnTo>
                                <a:lnTo>
                                  <a:pt x="497" y="0"/>
                                </a:lnTo>
                                <a:lnTo>
                                  <a:pt x="518" y="4"/>
                                </a:lnTo>
                                <a:lnTo>
                                  <a:pt x="535" y="16"/>
                                </a:lnTo>
                                <a:lnTo>
                                  <a:pt x="547" y="34"/>
                                </a:lnTo>
                                <a:lnTo>
                                  <a:pt x="551" y="55"/>
                                </a:lnTo>
                                <a:lnTo>
                                  <a:pt x="551" y="272"/>
                                </a:lnTo>
                                <a:lnTo>
                                  <a:pt x="547" y="294"/>
                                </a:lnTo>
                                <a:lnTo>
                                  <a:pt x="535" y="311"/>
                                </a:lnTo>
                                <a:lnTo>
                                  <a:pt x="518" y="323"/>
                                </a:lnTo>
                                <a:lnTo>
                                  <a:pt x="497" y="328"/>
                                </a:lnTo>
                                <a:lnTo>
                                  <a:pt x="55" y="328"/>
                                </a:lnTo>
                                <a:lnTo>
                                  <a:pt x="34" y="323"/>
                                </a:lnTo>
                                <a:lnTo>
                                  <a:pt x="16" y="311"/>
                                </a:lnTo>
                                <a:lnTo>
                                  <a:pt x="4" y="294"/>
                                </a:lnTo>
                                <a:lnTo>
                                  <a:pt x="0" y="272"/>
                                </a:lnTo>
                                <a:lnTo>
                                  <a:pt x="0" y="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docshape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542" y="3178"/>
                            <a:ext cx="48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docshape84"/>
                        <wps:cNvSpPr>
                          <a:spLocks/>
                        </wps:cNvSpPr>
                        <wps:spPr bwMode="auto">
                          <a:xfrm>
                            <a:off x="3712" y="860"/>
                            <a:ext cx="5531" cy="2553"/>
                          </a:xfrm>
                          <a:custGeom>
                            <a:avLst/>
                            <a:gdLst>
                              <a:gd name="T0" fmla="+- 0 3766 3713"/>
                              <a:gd name="T1" fmla="*/ T0 w 5531"/>
                              <a:gd name="T2" fmla="+- 0 863 861"/>
                              <a:gd name="T3" fmla="*/ 863 h 2553"/>
                              <a:gd name="T4" fmla="+- 0 3734 3713"/>
                              <a:gd name="T5" fmla="*/ T4 w 5531"/>
                              <a:gd name="T6" fmla="+- 0 968 861"/>
                              <a:gd name="T7" fmla="*/ 968 h 2553"/>
                              <a:gd name="T8" fmla="+- 0 3714 3713"/>
                              <a:gd name="T9" fmla="*/ T8 w 5531"/>
                              <a:gd name="T10" fmla="+- 0 1760 861"/>
                              <a:gd name="T11" fmla="*/ 1760 h 2553"/>
                              <a:gd name="T12" fmla="+- 0 3778 3713"/>
                              <a:gd name="T13" fmla="*/ T12 w 5531"/>
                              <a:gd name="T14" fmla="+- 0 1832 861"/>
                              <a:gd name="T15" fmla="*/ 1832 h 2553"/>
                              <a:gd name="T16" fmla="+- 0 3811 3713"/>
                              <a:gd name="T17" fmla="*/ T16 w 5531"/>
                              <a:gd name="T18" fmla="+- 0 1727 861"/>
                              <a:gd name="T19" fmla="*/ 1727 h 2553"/>
                              <a:gd name="T20" fmla="+- 0 3801 3713"/>
                              <a:gd name="T21" fmla="*/ T20 w 5531"/>
                              <a:gd name="T22" fmla="+- 0 975 861"/>
                              <a:gd name="T23" fmla="*/ 975 h 2553"/>
                              <a:gd name="T24" fmla="+- 0 3838 3713"/>
                              <a:gd name="T25" fmla="*/ T24 w 5531"/>
                              <a:gd name="T26" fmla="+- 0 2486 861"/>
                              <a:gd name="T27" fmla="*/ 2486 h 2553"/>
                              <a:gd name="T28" fmla="+- 0 3720 3713"/>
                              <a:gd name="T29" fmla="*/ T28 w 5531"/>
                              <a:gd name="T30" fmla="+- 0 2486 861"/>
                              <a:gd name="T31" fmla="*/ 2486 h 2553"/>
                              <a:gd name="T32" fmla="+- 0 3772 3713"/>
                              <a:gd name="T33" fmla="*/ T32 w 5531"/>
                              <a:gd name="T34" fmla="+- 0 2555 861"/>
                              <a:gd name="T35" fmla="*/ 2555 h 2553"/>
                              <a:gd name="T36" fmla="+- 0 3720 3713"/>
                              <a:gd name="T37" fmla="*/ T36 w 5531"/>
                              <a:gd name="T38" fmla="+- 0 3361 861"/>
                              <a:gd name="T39" fmla="*/ 3361 h 2553"/>
                              <a:gd name="T40" fmla="+- 0 3838 3713"/>
                              <a:gd name="T41" fmla="*/ T40 w 5531"/>
                              <a:gd name="T42" fmla="+- 0 3361 861"/>
                              <a:gd name="T43" fmla="*/ 3361 h 2553"/>
                              <a:gd name="T44" fmla="+- 0 3786 3713"/>
                              <a:gd name="T45" fmla="*/ T44 w 5531"/>
                              <a:gd name="T46" fmla="+- 0 3292 861"/>
                              <a:gd name="T47" fmla="*/ 3292 h 2553"/>
                              <a:gd name="T48" fmla="+- 0 3838 3713"/>
                              <a:gd name="T49" fmla="*/ T48 w 5531"/>
                              <a:gd name="T50" fmla="+- 0 2510 861"/>
                              <a:gd name="T51" fmla="*/ 2510 h 2553"/>
                              <a:gd name="T52" fmla="+- 0 5587 3713"/>
                              <a:gd name="T53" fmla="*/ T52 w 5531"/>
                              <a:gd name="T54" fmla="+- 0 868 861"/>
                              <a:gd name="T55" fmla="*/ 868 h 2553"/>
                              <a:gd name="T56" fmla="+- 0 5498 3713"/>
                              <a:gd name="T57" fmla="*/ T56 w 5531"/>
                              <a:gd name="T58" fmla="+- 0 932 861"/>
                              <a:gd name="T59" fmla="*/ 932 h 2553"/>
                              <a:gd name="T60" fmla="+- 0 5502 3713"/>
                              <a:gd name="T61" fmla="*/ T60 w 5531"/>
                              <a:gd name="T62" fmla="+- 0 1747 861"/>
                              <a:gd name="T63" fmla="*/ 1747 h 2553"/>
                              <a:gd name="T64" fmla="+- 0 5528 3713"/>
                              <a:gd name="T65" fmla="*/ T64 w 5531"/>
                              <a:gd name="T66" fmla="+- 0 1823 861"/>
                              <a:gd name="T67" fmla="*/ 1823 h 2553"/>
                              <a:gd name="T68" fmla="+- 0 5616 3713"/>
                              <a:gd name="T69" fmla="*/ T68 w 5531"/>
                              <a:gd name="T70" fmla="+- 0 1758 861"/>
                              <a:gd name="T71" fmla="*/ 1758 h 2553"/>
                              <a:gd name="T72" fmla="+- 0 5566 3713"/>
                              <a:gd name="T73" fmla="*/ T72 w 5531"/>
                              <a:gd name="T74" fmla="+- 0 977 861"/>
                              <a:gd name="T75" fmla="*/ 977 h 2553"/>
                              <a:gd name="T76" fmla="+- 0 5623 3713"/>
                              <a:gd name="T77" fmla="*/ T76 w 5531"/>
                              <a:gd name="T78" fmla="+- 0 2497 861"/>
                              <a:gd name="T79" fmla="*/ 2497 h 2553"/>
                              <a:gd name="T80" fmla="+- 0 5508 3713"/>
                              <a:gd name="T81" fmla="*/ T80 w 5531"/>
                              <a:gd name="T82" fmla="+- 0 2473 861"/>
                              <a:gd name="T83" fmla="*/ 2473 h 2553"/>
                              <a:gd name="T84" fmla="+- 0 5535 3713"/>
                              <a:gd name="T85" fmla="*/ T84 w 5531"/>
                              <a:gd name="T86" fmla="+- 0 2549 861"/>
                              <a:gd name="T87" fmla="*/ 2549 h 2553"/>
                              <a:gd name="T88" fmla="+- 0 5503 3713"/>
                              <a:gd name="T89" fmla="*/ T88 w 5531"/>
                              <a:gd name="T90" fmla="+- 0 3347 861"/>
                              <a:gd name="T91" fmla="*/ 3347 h 2553"/>
                              <a:gd name="T92" fmla="+- 0 5618 3713"/>
                              <a:gd name="T93" fmla="*/ T92 w 5531"/>
                              <a:gd name="T94" fmla="+- 0 3369 861"/>
                              <a:gd name="T95" fmla="*/ 3369 h 2553"/>
                              <a:gd name="T96" fmla="+- 0 5594 3713"/>
                              <a:gd name="T97" fmla="*/ T96 w 5531"/>
                              <a:gd name="T98" fmla="+- 0 3294 861"/>
                              <a:gd name="T99" fmla="*/ 3294 h 2553"/>
                              <a:gd name="T100" fmla="+- 0 5602 3713"/>
                              <a:gd name="T101" fmla="*/ T100 w 5531"/>
                              <a:gd name="T102" fmla="+- 0 2543 861"/>
                              <a:gd name="T103" fmla="*/ 2543 h 2553"/>
                              <a:gd name="T104" fmla="+- 0 7483 3713"/>
                              <a:gd name="T105" fmla="*/ T104 w 5531"/>
                              <a:gd name="T106" fmla="+- 0 905 861"/>
                              <a:gd name="T107" fmla="*/ 905 h 2553"/>
                              <a:gd name="T108" fmla="+- 0 7368 3713"/>
                              <a:gd name="T109" fmla="*/ T108 w 5531"/>
                              <a:gd name="T110" fmla="+- 0 927 861"/>
                              <a:gd name="T111" fmla="*/ 927 h 2553"/>
                              <a:gd name="T112" fmla="+- 0 7398 3713"/>
                              <a:gd name="T113" fmla="*/ T112 w 5531"/>
                              <a:gd name="T114" fmla="+- 0 1725 861"/>
                              <a:gd name="T115" fmla="*/ 1725 h 2553"/>
                              <a:gd name="T116" fmla="+- 0 7373 3713"/>
                              <a:gd name="T117" fmla="*/ T116 w 5531"/>
                              <a:gd name="T118" fmla="+- 0 1801 861"/>
                              <a:gd name="T119" fmla="*/ 1801 h 2553"/>
                              <a:gd name="T120" fmla="+- 0 7488 3713"/>
                              <a:gd name="T121" fmla="*/ T120 w 5531"/>
                              <a:gd name="T122" fmla="+- 0 1777 861"/>
                              <a:gd name="T123" fmla="*/ 1777 h 2553"/>
                              <a:gd name="T124" fmla="+- 0 7435 3713"/>
                              <a:gd name="T125" fmla="*/ T124 w 5531"/>
                              <a:gd name="T126" fmla="+- 0 987 861"/>
                              <a:gd name="T127" fmla="*/ 987 h 2553"/>
                              <a:gd name="T128" fmla="+- 0 7488 3713"/>
                              <a:gd name="T129" fmla="*/ T128 w 5531"/>
                              <a:gd name="T130" fmla="+- 0 927 861"/>
                              <a:gd name="T131" fmla="*/ 927 h 2553"/>
                              <a:gd name="T132" fmla="+- 0 7404 3713"/>
                              <a:gd name="T133" fmla="*/ T132 w 5531"/>
                              <a:gd name="T134" fmla="+- 0 2451 861"/>
                              <a:gd name="T135" fmla="*/ 2451 h 2553"/>
                              <a:gd name="T136" fmla="+- 0 7379 3713"/>
                              <a:gd name="T137" fmla="*/ T136 w 5531"/>
                              <a:gd name="T138" fmla="+- 0 2527 861"/>
                              <a:gd name="T139" fmla="*/ 2527 h 2553"/>
                              <a:gd name="T140" fmla="+- 0 7375 3713"/>
                              <a:gd name="T141" fmla="*/ T140 w 5531"/>
                              <a:gd name="T142" fmla="+- 0 3342 861"/>
                              <a:gd name="T143" fmla="*/ 3342 h 2553"/>
                              <a:gd name="T144" fmla="+- 0 7462 3713"/>
                              <a:gd name="T145" fmla="*/ T144 w 5531"/>
                              <a:gd name="T146" fmla="+- 0 3406 861"/>
                              <a:gd name="T147" fmla="*/ 3406 h 2553"/>
                              <a:gd name="T148" fmla="+- 0 7489 3713"/>
                              <a:gd name="T149" fmla="*/ T148 w 5531"/>
                              <a:gd name="T150" fmla="+- 0 3330 861"/>
                              <a:gd name="T151" fmla="*/ 3330 h 2553"/>
                              <a:gd name="T152" fmla="+- 0 7441 3713"/>
                              <a:gd name="T153" fmla="*/ T152 w 5531"/>
                              <a:gd name="T154" fmla="+- 0 2562 861"/>
                              <a:gd name="T155" fmla="*/ 2562 h 2553"/>
                              <a:gd name="T156" fmla="+- 0 9236 3713"/>
                              <a:gd name="T157" fmla="*/ T156 w 5531"/>
                              <a:gd name="T158" fmla="+- 0 914 861"/>
                              <a:gd name="T159" fmla="*/ 914 h 2553"/>
                              <a:gd name="T160" fmla="+- 0 9119 3713"/>
                              <a:gd name="T161" fmla="*/ T160 w 5531"/>
                              <a:gd name="T162" fmla="+- 0 914 861"/>
                              <a:gd name="T163" fmla="*/ 914 h 2553"/>
                              <a:gd name="T164" fmla="+- 0 9170 3713"/>
                              <a:gd name="T165" fmla="*/ T164 w 5531"/>
                              <a:gd name="T166" fmla="+- 0 1719 861"/>
                              <a:gd name="T167" fmla="*/ 1719 h 2553"/>
                              <a:gd name="T168" fmla="+- 0 9119 3713"/>
                              <a:gd name="T169" fmla="*/ T168 w 5531"/>
                              <a:gd name="T170" fmla="+- 0 1788 861"/>
                              <a:gd name="T171" fmla="*/ 1788 h 2553"/>
                              <a:gd name="T172" fmla="+- 0 9236 3713"/>
                              <a:gd name="T173" fmla="*/ T172 w 5531"/>
                              <a:gd name="T174" fmla="+- 0 1788 861"/>
                              <a:gd name="T175" fmla="*/ 1788 h 2553"/>
                              <a:gd name="T176" fmla="+- 0 9185 3713"/>
                              <a:gd name="T177" fmla="*/ T176 w 5531"/>
                              <a:gd name="T178" fmla="+- 0 1716 861"/>
                              <a:gd name="T179" fmla="*/ 1716 h 2553"/>
                              <a:gd name="T180" fmla="+- 0 9236 3713"/>
                              <a:gd name="T181" fmla="*/ T180 w 5531"/>
                              <a:gd name="T182" fmla="+- 0 938 861"/>
                              <a:gd name="T183" fmla="*/ 938 h 2553"/>
                              <a:gd name="T184" fmla="+- 0 9189 3713"/>
                              <a:gd name="T185" fmla="*/ T184 w 5531"/>
                              <a:gd name="T186" fmla="+- 0 2443 861"/>
                              <a:gd name="T187" fmla="*/ 2443 h 2553"/>
                              <a:gd name="T188" fmla="+- 0 9125 3713"/>
                              <a:gd name="T189" fmla="*/ T188 w 5531"/>
                              <a:gd name="T190" fmla="+- 0 2515 861"/>
                              <a:gd name="T191" fmla="*/ 2515 h 2553"/>
                              <a:gd name="T192" fmla="+- 0 9144 3713"/>
                              <a:gd name="T193" fmla="*/ T192 w 5531"/>
                              <a:gd name="T194" fmla="+- 0 3307 861"/>
                              <a:gd name="T195" fmla="*/ 3307 h 2553"/>
                              <a:gd name="T196" fmla="+- 0 9178 3713"/>
                              <a:gd name="T197" fmla="*/ T196 w 5531"/>
                              <a:gd name="T198" fmla="+- 0 3412 861"/>
                              <a:gd name="T199" fmla="*/ 3412 h 2553"/>
                              <a:gd name="T200" fmla="+- 0 9242 3713"/>
                              <a:gd name="T201" fmla="*/ T200 w 5531"/>
                              <a:gd name="T202" fmla="+- 0 3341 861"/>
                              <a:gd name="T203" fmla="*/ 3341 h 2553"/>
                              <a:gd name="T204" fmla="+- 0 9191 3713"/>
                              <a:gd name="T205" fmla="*/ T204 w 5531"/>
                              <a:gd name="T206" fmla="+- 0 2562 861"/>
                              <a:gd name="T207" fmla="*/ 2562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531" h="2553">
                                <a:moveTo>
                                  <a:pt x="120" y="62"/>
                                </a:moveTo>
                                <a:lnTo>
                                  <a:pt x="119" y="50"/>
                                </a:lnTo>
                                <a:lnTo>
                                  <a:pt x="115" y="38"/>
                                </a:lnTo>
                                <a:lnTo>
                                  <a:pt x="89" y="9"/>
                                </a:lnTo>
                                <a:lnTo>
                                  <a:pt x="53" y="2"/>
                                </a:lnTo>
                                <a:lnTo>
                                  <a:pt x="20" y="16"/>
                                </a:lnTo>
                                <a:lnTo>
                                  <a:pt x="1" y="50"/>
                                </a:lnTo>
                                <a:lnTo>
                                  <a:pt x="0" y="62"/>
                                </a:lnTo>
                                <a:lnTo>
                                  <a:pt x="1" y="74"/>
                                </a:lnTo>
                                <a:lnTo>
                                  <a:pt x="21" y="107"/>
                                </a:lnTo>
                                <a:lnTo>
                                  <a:pt x="53" y="121"/>
                                </a:lnTo>
                                <a:lnTo>
                                  <a:pt x="53" y="854"/>
                                </a:lnTo>
                                <a:lnTo>
                                  <a:pt x="30" y="859"/>
                                </a:lnTo>
                                <a:lnTo>
                                  <a:pt x="5" y="888"/>
                                </a:lnTo>
                                <a:lnTo>
                                  <a:pt x="1" y="899"/>
                                </a:lnTo>
                                <a:lnTo>
                                  <a:pt x="0" y="911"/>
                                </a:lnTo>
                                <a:lnTo>
                                  <a:pt x="1" y="923"/>
                                </a:lnTo>
                                <a:lnTo>
                                  <a:pt x="5" y="935"/>
                                </a:lnTo>
                                <a:lnTo>
                                  <a:pt x="30" y="964"/>
                                </a:lnTo>
                                <a:lnTo>
                                  <a:pt x="65" y="971"/>
                                </a:lnTo>
                                <a:lnTo>
                                  <a:pt x="98" y="957"/>
                                </a:lnTo>
                                <a:lnTo>
                                  <a:pt x="119" y="923"/>
                                </a:lnTo>
                                <a:lnTo>
                                  <a:pt x="120" y="911"/>
                                </a:lnTo>
                                <a:lnTo>
                                  <a:pt x="119" y="899"/>
                                </a:lnTo>
                                <a:lnTo>
                                  <a:pt x="98" y="866"/>
                                </a:lnTo>
                                <a:lnTo>
                                  <a:pt x="67" y="853"/>
                                </a:lnTo>
                                <a:lnTo>
                                  <a:pt x="67" y="852"/>
                                </a:lnTo>
                                <a:lnTo>
                                  <a:pt x="67" y="121"/>
                                </a:lnTo>
                                <a:lnTo>
                                  <a:pt x="67" y="118"/>
                                </a:lnTo>
                                <a:lnTo>
                                  <a:pt x="88" y="114"/>
                                </a:lnTo>
                                <a:lnTo>
                                  <a:pt x="115" y="84"/>
                                </a:lnTo>
                                <a:lnTo>
                                  <a:pt x="119" y="74"/>
                                </a:lnTo>
                                <a:lnTo>
                                  <a:pt x="120" y="62"/>
                                </a:lnTo>
                                <a:close/>
                                <a:moveTo>
                                  <a:pt x="126" y="1637"/>
                                </a:moveTo>
                                <a:lnTo>
                                  <a:pt x="125" y="1625"/>
                                </a:lnTo>
                                <a:lnTo>
                                  <a:pt x="104" y="1592"/>
                                </a:lnTo>
                                <a:lnTo>
                                  <a:pt x="71" y="1578"/>
                                </a:lnTo>
                                <a:lnTo>
                                  <a:pt x="36" y="1585"/>
                                </a:lnTo>
                                <a:lnTo>
                                  <a:pt x="11" y="1614"/>
                                </a:lnTo>
                                <a:lnTo>
                                  <a:pt x="7" y="1625"/>
                                </a:lnTo>
                                <a:lnTo>
                                  <a:pt x="6" y="1637"/>
                                </a:lnTo>
                                <a:lnTo>
                                  <a:pt x="7" y="1649"/>
                                </a:lnTo>
                                <a:lnTo>
                                  <a:pt x="11" y="1661"/>
                                </a:lnTo>
                                <a:lnTo>
                                  <a:pt x="35" y="1690"/>
                                </a:lnTo>
                                <a:lnTo>
                                  <a:pt x="59" y="1694"/>
                                </a:lnTo>
                                <a:lnTo>
                                  <a:pt x="59" y="2429"/>
                                </a:lnTo>
                                <a:lnTo>
                                  <a:pt x="26" y="2442"/>
                                </a:lnTo>
                                <a:lnTo>
                                  <a:pt x="7" y="2476"/>
                                </a:lnTo>
                                <a:lnTo>
                                  <a:pt x="6" y="2488"/>
                                </a:lnTo>
                                <a:lnTo>
                                  <a:pt x="7" y="2500"/>
                                </a:lnTo>
                                <a:lnTo>
                                  <a:pt x="27" y="2534"/>
                                </a:lnTo>
                                <a:lnTo>
                                  <a:pt x="59" y="2548"/>
                                </a:lnTo>
                                <a:lnTo>
                                  <a:pt x="94" y="2540"/>
                                </a:lnTo>
                                <a:lnTo>
                                  <a:pt x="121" y="2511"/>
                                </a:lnTo>
                                <a:lnTo>
                                  <a:pt x="125" y="2500"/>
                                </a:lnTo>
                                <a:lnTo>
                                  <a:pt x="126" y="2488"/>
                                </a:lnTo>
                                <a:lnTo>
                                  <a:pt x="125" y="2476"/>
                                </a:lnTo>
                                <a:lnTo>
                                  <a:pt x="121" y="2464"/>
                                </a:lnTo>
                                <a:lnTo>
                                  <a:pt x="95" y="2435"/>
                                </a:lnTo>
                                <a:lnTo>
                                  <a:pt x="73" y="2431"/>
                                </a:lnTo>
                                <a:lnTo>
                                  <a:pt x="73" y="2428"/>
                                </a:lnTo>
                                <a:lnTo>
                                  <a:pt x="73" y="1697"/>
                                </a:lnTo>
                                <a:lnTo>
                                  <a:pt x="73" y="1696"/>
                                </a:lnTo>
                                <a:lnTo>
                                  <a:pt x="104" y="1683"/>
                                </a:lnTo>
                                <a:lnTo>
                                  <a:pt x="125" y="1649"/>
                                </a:lnTo>
                                <a:lnTo>
                                  <a:pt x="126" y="1637"/>
                                </a:lnTo>
                                <a:close/>
                                <a:moveTo>
                                  <a:pt x="1904" y="59"/>
                                </a:moveTo>
                                <a:lnTo>
                                  <a:pt x="1903" y="47"/>
                                </a:lnTo>
                                <a:lnTo>
                                  <a:pt x="1899" y="36"/>
                                </a:lnTo>
                                <a:lnTo>
                                  <a:pt x="1874" y="7"/>
                                </a:lnTo>
                                <a:lnTo>
                                  <a:pt x="1839" y="0"/>
                                </a:lnTo>
                                <a:lnTo>
                                  <a:pt x="1806" y="14"/>
                                </a:lnTo>
                                <a:lnTo>
                                  <a:pt x="1785" y="47"/>
                                </a:lnTo>
                                <a:lnTo>
                                  <a:pt x="1784" y="59"/>
                                </a:lnTo>
                                <a:lnTo>
                                  <a:pt x="1785" y="71"/>
                                </a:lnTo>
                                <a:lnTo>
                                  <a:pt x="1806" y="105"/>
                                </a:lnTo>
                                <a:lnTo>
                                  <a:pt x="1837" y="118"/>
                                </a:lnTo>
                                <a:lnTo>
                                  <a:pt x="1837" y="852"/>
                                </a:lnTo>
                                <a:lnTo>
                                  <a:pt x="1816" y="856"/>
                                </a:lnTo>
                                <a:lnTo>
                                  <a:pt x="1789" y="886"/>
                                </a:lnTo>
                                <a:lnTo>
                                  <a:pt x="1785" y="897"/>
                                </a:lnTo>
                                <a:lnTo>
                                  <a:pt x="1784" y="909"/>
                                </a:lnTo>
                                <a:lnTo>
                                  <a:pt x="1785" y="921"/>
                                </a:lnTo>
                                <a:lnTo>
                                  <a:pt x="1789" y="933"/>
                                </a:lnTo>
                                <a:lnTo>
                                  <a:pt x="1815" y="962"/>
                                </a:lnTo>
                                <a:lnTo>
                                  <a:pt x="1851" y="968"/>
                                </a:lnTo>
                                <a:lnTo>
                                  <a:pt x="1884" y="954"/>
                                </a:lnTo>
                                <a:lnTo>
                                  <a:pt x="1903" y="921"/>
                                </a:lnTo>
                                <a:lnTo>
                                  <a:pt x="1904" y="909"/>
                                </a:lnTo>
                                <a:lnTo>
                                  <a:pt x="1903" y="897"/>
                                </a:lnTo>
                                <a:lnTo>
                                  <a:pt x="1883" y="863"/>
                                </a:lnTo>
                                <a:lnTo>
                                  <a:pt x="1853" y="850"/>
                                </a:lnTo>
                                <a:lnTo>
                                  <a:pt x="1853" y="849"/>
                                </a:lnTo>
                                <a:lnTo>
                                  <a:pt x="1853" y="119"/>
                                </a:lnTo>
                                <a:lnTo>
                                  <a:pt x="1853" y="116"/>
                                </a:lnTo>
                                <a:lnTo>
                                  <a:pt x="1875" y="112"/>
                                </a:lnTo>
                                <a:lnTo>
                                  <a:pt x="1899" y="83"/>
                                </a:lnTo>
                                <a:lnTo>
                                  <a:pt x="1903" y="71"/>
                                </a:lnTo>
                                <a:lnTo>
                                  <a:pt x="1904" y="59"/>
                                </a:lnTo>
                                <a:close/>
                                <a:moveTo>
                                  <a:pt x="1910" y="1636"/>
                                </a:moveTo>
                                <a:lnTo>
                                  <a:pt x="1909" y="1624"/>
                                </a:lnTo>
                                <a:lnTo>
                                  <a:pt x="1890" y="1590"/>
                                </a:lnTo>
                                <a:lnTo>
                                  <a:pt x="1857" y="1576"/>
                                </a:lnTo>
                                <a:lnTo>
                                  <a:pt x="1821" y="1583"/>
                                </a:lnTo>
                                <a:lnTo>
                                  <a:pt x="1795" y="1612"/>
                                </a:lnTo>
                                <a:lnTo>
                                  <a:pt x="1791" y="1624"/>
                                </a:lnTo>
                                <a:lnTo>
                                  <a:pt x="1790" y="1636"/>
                                </a:lnTo>
                                <a:lnTo>
                                  <a:pt x="1791" y="1648"/>
                                </a:lnTo>
                                <a:lnTo>
                                  <a:pt x="1795" y="1659"/>
                                </a:lnTo>
                                <a:lnTo>
                                  <a:pt x="1822" y="1688"/>
                                </a:lnTo>
                                <a:lnTo>
                                  <a:pt x="1843" y="1693"/>
                                </a:lnTo>
                                <a:lnTo>
                                  <a:pt x="1843" y="2427"/>
                                </a:lnTo>
                                <a:lnTo>
                                  <a:pt x="1812" y="2439"/>
                                </a:lnTo>
                                <a:lnTo>
                                  <a:pt x="1791" y="2474"/>
                                </a:lnTo>
                                <a:lnTo>
                                  <a:pt x="1790" y="2486"/>
                                </a:lnTo>
                                <a:lnTo>
                                  <a:pt x="1791" y="2498"/>
                                </a:lnTo>
                                <a:lnTo>
                                  <a:pt x="1812" y="2531"/>
                                </a:lnTo>
                                <a:lnTo>
                                  <a:pt x="1845" y="2545"/>
                                </a:lnTo>
                                <a:lnTo>
                                  <a:pt x="1880" y="2538"/>
                                </a:lnTo>
                                <a:lnTo>
                                  <a:pt x="1905" y="2508"/>
                                </a:lnTo>
                                <a:lnTo>
                                  <a:pt x="1909" y="2498"/>
                                </a:lnTo>
                                <a:lnTo>
                                  <a:pt x="1910" y="2486"/>
                                </a:lnTo>
                                <a:lnTo>
                                  <a:pt x="1909" y="2474"/>
                                </a:lnTo>
                                <a:lnTo>
                                  <a:pt x="1905" y="2462"/>
                                </a:lnTo>
                                <a:lnTo>
                                  <a:pt x="1881" y="2433"/>
                                </a:lnTo>
                                <a:lnTo>
                                  <a:pt x="1859" y="2429"/>
                                </a:lnTo>
                                <a:lnTo>
                                  <a:pt x="1859" y="2426"/>
                                </a:lnTo>
                                <a:lnTo>
                                  <a:pt x="1859" y="1696"/>
                                </a:lnTo>
                                <a:lnTo>
                                  <a:pt x="1859" y="1695"/>
                                </a:lnTo>
                                <a:lnTo>
                                  <a:pt x="1889" y="1682"/>
                                </a:lnTo>
                                <a:lnTo>
                                  <a:pt x="1909" y="1648"/>
                                </a:lnTo>
                                <a:lnTo>
                                  <a:pt x="1910" y="1636"/>
                                </a:lnTo>
                                <a:close/>
                                <a:moveTo>
                                  <a:pt x="3775" y="66"/>
                                </a:moveTo>
                                <a:lnTo>
                                  <a:pt x="3774" y="54"/>
                                </a:lnTo>
                                <a:lnTo>
                                  <a:pt x="3770" y="44"/>
                                </a:lnTo>
                                <a:lnTo>
                                  <a:pt x="3743" y="14"/>
                                </a:lnTo>
                                <a:lnTo>
                                  <a:pt x="3708" y="7"/>
                                </a:lnTo>
                                <a:lnTo>
                                  <a:pt x="3676" y="21"/>
                                </a:lnTo>
                                <a:lnTo>
                                  <a:pt x="3656" y="54"/>
                                </a:lnTo>
                                <a:lnTo>
                                  <a:pt x="3655" y="66"/>
                                </a:lnTo>
                                <a:lnTo>
                                  <a:pt x="3656" y="78"/>
                                </a:lnTo>
                                <a:lnTo>
                                  <a:pt x="3675" y="112"/>
                                </a:lnTo>
                                <a:lnTo>
                                  <a:pt x="3707" y="125"/>
                                </a:lnTo>
                                <a:lnTo>
                                  <a:pt x="3707" y="859"/>
                                </a:lnTo>
                                <a:lnTo>
                                  <a:pt x="3685" y="864"/>
                                </a:lnTo>
                                <a:lnTo>
                                  <a:pt x="3660" y="893"/>
                                </a:lnTo>
                                <a:lnTo>
                                  <a:pt x="3656" y="904"/>
                                </a:lnTo>
                                <a:lnTo>
                                  <a:pt x="3655" y="916"/>
                                </a:lnTo>
                                <a:lnTo>
                                  <a:pt x="3656" y="928"/>
                                </a:lnTo>
                                <a:lnTo>
                                  <a:pt x="3660" y="940"/>
                                </a:lnTo>
                                <a:lnTo>
                                  <a:pt x="3685" y="968"/>
                                </a:lnTo>
                                <a:lnTo>
                                  <a:pt x="3720" y="976"/>
                                </a:lnTo>
                                <a:lnTo>
                                  <a:pt x="3754" y="962"/>
                                </a:lnTo>
                                <a:lnTo>
                                  <a:pt x="3774" y="928"/>
                                </a:lnTo>
                                <a:lnTo>
                                  <a:pt x="3775" y="916"/>
                                </a:lnTo>
                                <a:lnTo>
                                  <a:pt x="3774" y="904"/>
                                </a:lnTo>
                                <a:lnTo>
                                  <a:pt x="3753" y="870"/>
                                </a:lnTo>
                                <a:lnTo>
                                  <a:pt x="3722" y="857"/>
                                </a:lnTo>
                                <a:lnTo>
                                  <a:pt x="3722" y="856"/>
                                </a:lnTo>
                                <a:lnTo>
                                  <a:pt x="3722" y="126"/>
                                </a:lnTo>
                                <a:lnTo>
                                  <a:pt x="3722" y="123"/>
                                </a:lnTo>
                                <a:lnTo>
                                  <a:pt x="3744" y="119"/>
                                </a:lnTo>
                                <a:lnTo>
                                  <a:pt x="3770" y="90"/>
                                </a:lnTo>
                                <a:lnTo>
                                  <a:pt x="3774" y="78"/>
                                </a:lnTo>
                                <a:lnTo>
                                  <a:pt x="3775" y="66"/>
                                </a:lnTo>
                                <a:close/>
                                <a:moveTo>
                                  <a:pt x="3781" y="1642"/>
                                </a:moveTo>
                                <a:lnTo>
                                  <a:pt x="3780" y="1630"/>
                                </a:lnTo>
                                <a:lnTo>
                                  <a:pt x="3759" y="1596"/>
                                </a:lnTo>
                                <a:lnTo>
                                  <a:pt x="3726" y="1582"/>
                                </a:lnTo>
                                <a:lnTo>
                                  <a:pt x="3691" y="1590"/>
                                </a:lnTo>
                                <a:lnTo>
                                  <a:pt x="3666" y="1619"/>
                                </a:lnTo>
                                <a:lnTo>
                                  <a:pt x="3662" y="1630"/>
                                </a:lnTo>
                                <a:lnTo>
                                  <a:pt x="3661" y="1642"/>
                                </a:lnTo>
                                <a:lnTo>
                                  <a:pt x="3662" y="1654"/>
                                </a:lnTo>
                                <a:lnTo>
                                  <a:pt x="3666" y="1666"/>
                                </a:lnTo>
                                <a:lnTo>
                                  <a:pt x="3691" y="1694"/>
                                </a:lnTo>
                                <a:lnTo>
                                  <a:pt x="3713" y="1699"/>
                                </a:lnTo>
                                <a:lnTo>
                                  <a:pt x="3713" y="2434"/>
                                </a:lnTo>
                                <a:lnTo>
                                  <a:pt x="3681" y="2447"/>
                                </a:lnTo>
                                <a:lnTo>
                                  <a:pt x="3662" y="2481"/>
                                </a:lnTo>
                                <a:lnTo>
                                  <a:pt x="3661" y="2493"/>
                                </a:lnTo>
                                <a:lnTo>
                                  <a:pt x="3662" y="2505"/>
                                </a:lnTo>
                                <a:lnTo>
                                  <a:pt x="3682" y="2538"/>
                                </a:lnTo>
                                <a:lnTo>
                                  <a:pt x="3714" y="2552"/>
                                </a:lnTo>
                                <a:lnTo>
                                  <a:pt x="3749" y="2545"/>
                                </a:lnTo>
                                <a:lnTo>
                                  <a:pt x="3776" y="2516"/>
                                </a:lnTo>
                                <a:lnTo>
                                  <a:pt x="3780" y="2505"/>
                                </a:lnTo>
                                <a:lnTo>
                                  <a:pt x="3781" y="2493"/>
                                </a:lnTo>
                                <a:lnTo>
                                  <a:pt x="3780" y="2481"/>
                                </a:lnTo>
                                <a:lnTo>
                                  <a:pt x="3776" y="2469"/>
                                </a:lnTo>
                                <a:lnTo>
                                  <a:pt x="3750" y="2440"/>
                                </a:lnTo>
                                <a:lnTo>
                                  <a:pt x="3728" y="2436"/>
                                </a:lnTo>
                                <a:lnTo>
                                  <a:pt x="3728" y="2433"/>
                                </a:lnTo>
                                <a:lnTo>
                                  <a:pt x="3728" y="1702"/>
                                </a:lnTo>
                                <a:lnTo>
                                  <a:pt x="3728" y="1701"/>
                                </a:lnTo>
                                <a:lnTo>
                                  <a:pt x="3760" y="1688"/>
                                </a:lnTo>
                                <a:lnTo>
                                  <a:pt x="3780" y="1654"/>
                                </a:lnTo>
                                <a:lnTo>
                                  <a:pt x="3781" y="1642"/>
                                </a:lnTo>
                                <a:close/>
                                <a:moveTo>
                                  <a:pt x="5525" y="65"/>
                                </a:moveTo>
                                <a:lnTo>
                                  <a:pt x="5523" y="53"/>
                                </a:lnTo>
                                <a:lnTo>
                                  <a:pt x="5520" y="42"/>
                                </a:lnTo>
                                <a:lnTo>
                                  <a:pt x="5494" y="13"/>
                                </a:lnTo>
                                <a:lnTo>
                                  <a:pt x="5459" y="6"/>
                                </a:lnTo>
                                <a:lnTo>
                                  <a:pt x="5426" y="20"/>
                                </a:lnTo>
                                <a:lnTo>
                                  <a:pt x="5406" y="53"/>
                                </a:lnTo>
                                <a:lnTo>
                                  <a:pt x="5405" y="65"/>
                                </a:lnTo>
                                <a:lnTo>
                                  <a:pt x="5406" y="77"/>
                                </a:lnTo>
                                <a:lnTo>
                                  <a:pt x="5425" y="111"/>
                                </a:lnTo>
                                <a:lnTo>
                                  <a:pt x="5457" y="125"/>
                                </a:lnTo>
                                <a:lnTo>
                                  <a:pt x="5457" y="858"/>
                                </a:lnTo>
                                <a:lnTo>
                                  <a:pt x="5435" y="863"/>
                                </a:lnTo>
                                <a:lnTo>
                                  <a:pt x="5409" y="892"/>
                                </a:lnTo>
                                <a:lnTo>
                                  <a:pt x="5406" y="903"/>
                                </a:lnTo>
                                <a:lnTo>
                                  <a:pt x="5405" y="915"/>
                                </a:lnTo>
                                <a:lnTo>
                                  <a:pt x="5406" y="927"/>
                                </a:lnTo>
                                <a:lnTo>
                                  <a:pt x="5409" y="939"/>
                                </a:lnTo>
                                <a:lnTo>
                                  <a:pt x="5435" y="967"/>
                                </a:lnTo>
                                <a:lnTo>
                                  <a:pt x="5470" y="974"/>
                                </a:lnTo>
                                <a:lnTo>
                                  <a:pt x="5503" y="961"/>
                                </a:lnTo>
                                <a:lnTo>
                                  <a:pt x="5523" y="927"/>
                                </a:lnTo>
                                <a:lnTo>
                                  <a:pt x="5525" y="915"/>
                                </a:lnTo>
                                <a:lnTo>
                                  <a:pt x="5523" y="903"/>
                                </a:lnTo>
                                <a:lnTo>
                                  <a:pt x="5503" y="869"/>
                                </a:lnTo>
                                <a:lnTo>
                                  <a:pt x="5472" y="856"/>
                                </a:lnTo>
                                <a:lnTo>
                                  <a:pt x="5472" y="855"/>
                                </a:lnTo>
                                <a:lnTo>
                                  <a:pt x="5472" y="125"/>
                                </a:lnTo>
                                <a:lnTo>
                                  <a:pt x="5472" y="122"/>
                                </a:lnTo>
                                <a:lnTo>
                                  <a:pt x="5493" y="118"/>
                                </a:lnTo>
                                <a:lnTo>
                                  <a:pt x="5520" y="89"/>
                                </a:lnTo>
                                <a:lnTo>
                                  <a:pt x="5523" y="77"/>
                                </a:lnTo>
                                <a:lnTo>
                                  <a:pt x="5525" y="65"/>
                                </a:lnTo>
                                <a:close/>
                                <a:moveTo>
                                  <a:pt x="5531" y="1642"/>
                                </a:moveTo>
                                <a:lnTo>
                                  <a:pt x="5529" y="1630"/>
                                </a:lnTo>
                                <a:lnTo>
                                  <a:pt x="5509" y="1596"/>
                                </a:lnTo>
                                <a:lnTo>
                                  <a:pt x="5476" y="1582"/>
                                </a:lnTo>
                                <a:lnTo>
                                  <a:pt x="5441" y="1589"/>
                                </a:lnTo>
                                <a:lnTo>
                                  <a:pt x="5415" y="1618"/>
                                </a:lnTo>
                                <a:lnTo>
                                  <a:pt x="5412" y="1630"/>
                                </a:lnTo>
                                <a:lnTo>
                                  <a:pt x="5411" y="1642"/>
                                </a:lnTo>
                                <a:lnTo>
                                  <a:pt x="5412" y="1654"/>
                                </a:lnTo>
                                <a:lnTo>
                                  <a:pt x="5415" y="1665"/>
                                </a:lnTo>
                                <a:lnTo>
                                  <a:pt x="5441" y="1694"/>
                                </a:lnTo>
                                <a:lnTo>
                                  <a:pt x="5463" y="1699"/>
                                </a:lnTo>
                                <a:lnTo>
                                  <a:pt x="5463" y="2432"/>
                                </a:lnTo>
                                <a:lnTo>
                                  <a:pt x="5431" y="2446"/>
                                </a:lnTo>
                                <a:lnTo>
                                  <a:pt x="5412" y="2480"/>
                                </a:lnTo>
                                <a:lnTo>
                                  <a:pt x="5411" y="2492"/>
                                </a:lnTo>
                                <a:lnTo>
                                  <a:pt x="5412" y="2504"/>
                                </a:lnTo>
                                <a:lnTo>
                                  <a:pt x="5432" y="2537"/>
                                </a:lnTo>
                                <a:lnTo>
                                  <a:pt x="5465" y="2551"/>
                                </a:lnTo>
                                <a:lnTo>
                                  <a:pt x="5500" y="2544"/>
                                </a:lnTo>
                                <a:lnTo>
                                  <a:pt x="5526" y="2514"/>
                                </a:lnTo>
                                <a:lnTo>
                                  <a:pt x="5529" y="2504"/>
                                </a:lnTo>
                                <a:lnTo>
                                  <a:pt x="5531" y="2492"/>
                                </a:lnTo>
                                <a:lnTo>
                                  <a:pt x="5529" y="2480"/>
                                </a:lnTo>
                                <a:lnTo>
                                  <a:pt x="5526" y="2468"/>
                                </a:lnTo>
                                <a:lnTo>
                                  <a:pt x="5499" y="2439"/>
                                </a:lnTo>
                                <a:lnTo>
                                  <a:pt x="5478" y="2435"/>
                                </a:lnTo>
                                <a:lnTo>
                                  <a:pt x="5478" y="2432"/>
                                </a:lnTo>
                                <a:lnTo>
                                  <a:pt x="5478" y="1701"/>
                                </a:lnTo>
                                <a:lnTo>
                                  <a:pt x="5509" y="1688"/>
                                </a:lnTo>
                                <a:lnTo>
                                  <a:pt x="5529" y="1654"/>
                                </a:lnTo>
                                <a:lnTo>
                                  <a:pt x="5531" y="1642"/>
                                </a:lnTo>
                                <a:close/>
                              </a:path>
                            </a:pathLst>
                          </a:custGeom>
                          <a:solidFill>
                            <a:srgbClr val="00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85"/>
                        <wps:cNvSpPr txBox="1">
                          <a:spLocks noChangeArrowheads="1"/>
                        </wps:cNvSpPr>
                        <wps:spPr bwMode="auto">
                          <a:xfrm>
                            <a:off x="4707" y="3035"/>
                            <a:ext cx="355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4A45" w14:textId="77777777" w:rsidR="00141B97" w:rsidRDefault="00911D63">
                              <w:pPr>
                                <w:spacing w:before="151"/>
                                <w:ind w:left="1930" w:right="1329"/>
                                <w:jc w:val="center"/>
                                <w:rPr>
                                  <w:sz w:val="20"/>
                                </w:rPr>
                              </w:pPr>
                              <w:r>
                                <w:rPr>
                                  <w:spacing w:val="-5"/>
                                  <w:sz w:val="20"/>
                                </w:rPr>
                                <w:t>2.5</w:t>
                              </w:r>
                            </w:p>
                          </w:txbxContent>
                        </wps:txbx>
                        <wps:bodyPr rot="0" vert="horz" wrap="square" lIns="0" tIns="0" rIns="0" bIns="0" anchor="t" anchorCtr="0" upright="1">
                          <a:noAutofit/>
                        </wps:bodyPr>
                      </wps:wsp>
                      <wps:wsp>
                        <wps:cNvPr id="385" name="docshape86"/>
                        <wps:cNvSpPr txBox="1">
                          <a:spLocks noChangeArrowheads="1"/>
                        </wps:cNvSpPr>
                        <wps:spPr bwMode="auto">
                          <a:xfrm>
                            <a:off x="4707" y="2448"/>
                            <a:ext cx="355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31B6" w14:textId="77777777" w:rsidR="00141B97" w:rsidRDefault="00911D63">
                              <w:pPr>
                                <w:spacing w:before="167"/>
                                <w:ind w:left="2190"/>
                                <w:rPr>
                                  <w:sz w:val="20"/>
                                </w:rPr>
                              </w:pPr>
                              <w:r>
                                <w:rPr>
                                  <w:spacing w:val="-4"/>
                                  <w:sz w:val="20"/>
                                </w:rPr>
                                <w:t>2.25</w:t>
                              </w:r>
                            </w:p>
                          </w:txbxContent>
                        </wps:txbx>
                        <wps:bodyPr rot="0" vert="horz" wrap="square" lIns="0" tIns="0" rIns="0" bIns="0" anchor="t" anchorCtr="0" upright="1">
                          <a:noAutofit/>
                        </wps:bodyPr>
                      </wps:wsp>
                      <wps:wsp>
                        <wps:cNvPr id="386" name="docshape87"/>
                        <wps:cNvSpPr txBox="1">
                          <a:spLocks noChangeArrowheads="1"/>
                        </wps:cNvSpPr>
                        <wps:spPr bwMode="auto">
                          <a:xfrm>
                            <a:off x="8271" y="1860"/>
                            <a:ext cx="1773" cy="57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44AD" w14:textId="77777777" w:rsidR="00141B97" w:rsidRDefault="00911D63">
                              <w:pPr>
                                <w:spacing w:before="141"/>
                                <w:ind w:left="619" w:right="610"/>
                                <w:jc w:val="center"/>
                                <w:rPr>
                                  <w:color w:val="000000"/>
                                </w:rPr>
                              </w:pPr>
                              <w:r>
                                <w:rPr>
                                  <w:color w:val="000000"/>
                                  <w:spacing w:val="-2"/>
                                </w:rPr>
                                <w:t>BASIC</w:t>
                              </w:r>
                            </w:p>
                          </w:txbxContent>
                        </wps:txbx>
                        <wps:bodyPr rot="0" vert="horz" wrap="square" lIns="0" tIns="0" rIns="0" bIns="0" anchor="t" anchorCtr="0" upright="1">
                          <a:noAutofit/>
                        </wps:bodyPr>
                      </wps:wsp>
                      <wps:wsp>
                        <wps:cNvPr id="387" name="docshape88"/>
                        <wps:cNvSpPr txBox="1">
                          <a:spLocks noChangeArrowheads="1"/>
                        </wps:cNvSpPr>
                        <wps:spPr bwMode="auto">
                          <a:xfrm>
                            <a:off x="6489" y="1860"/>
                            <a:ext cx="177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0421" w14:textId="77777777" w:rsidR="00141B97" w:rsidRDefault="00911D63">
                              <w:pPr>
                                <w:spacing w:before="136"/>
                                <w:ind w:left="407"/>
                              </w:pPr>
                              <w:r>
                                <w:rPr>
                                  <w:spacing w:val="-2"/>
                                  <w:sz w:val="20"/>
                                </w:rPr>
                                <w:t>2.25</w:t>
                              </w:r>
                              <w:r>
                                <w:rPr>
                                  <w:spacing w:val="-2"/>
                                  <w:position w:val="2"/>
                                </w:rPr>
                                <w:t>NDARD</w:t>
                              </w:r>
                            </w:p>
                          </w:txbxContent>
                        </wps:txbx>
                        <wps:bodyPr rot="0" vert="horz" wrap="square" lIns="0" tIns="0" rIns="0" bIns="0" anchor="t" anchorCtr="0" upright="1">
                          <a:noAutofit/>
                        </wps:bodyPr>
                      </wps:wsp>
                      <wps:wsp>
                        <wps:cNvPr id="388" name="docshape89"/>
                        <wps:cNvSpPr txBox="1">
                          <a:spLocks noChangeArrowheads="1"/>
                        </wps:cNvSpPr>
                        <wps:spPr bwMode="auto">
                          <a:xfrm>
                            <a:off x="4707" y="1860"/>
                            <a:ext cx="1773" cy="579"/>
                          </a:xfrm>
                          <a:prstGeom prst="rect">
                            <a:avLst/>
                          </a:prstGeom>
                          <a:solidFill>
                            <a:srgbClr val="BADB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3E03B" w14:textId="77777777" w:rsidR="00141B97" w:rsidRDefault="00911D63">
                              <w:pPr>
                                <w:spacing w:before="141"/>
                                <w:ind w:left="390"/>
                                <w:rPr>
                                  <w:color w:val="000000"/>
                                </w:rPr>
                              </w:pPr>
                              <w:r>
                                <w:rPr>
                                  <w:color w:val="000000"/>
                                  <w:spacing w:val="-2"/>
                                </w:rPr>
                                <w:t>ADVANCED</w:t>
                              </w:r>
                            </w:p>
                          </w:txbxContent>
                        </wps:txbx>
                        <wps:bodyPr rot="0" vert="horz" wrap="square" lIns="0" tIns="0" rIns="0" bIns="0" anchor="t" anchorCtr="0" upright="1">
                          <a:noAutofit/>
                        </wps:bodyPr>
                      </wps:wsp>
                      <wps:wsp>
                        <wps:cNvPr id="389" name="docshape90"/>
                        <wps:cNvSpPr txBox="1">
                          <a:spLocks noChangeArrowheads="1"/>
                        </wps:cNvSpPr>
                        <wps:spPr bwMode="auto">
                          <a:xfrm>
                            <a:off x="2926" y="1860"/>
                            <a:ext cx="1772" cy="579"/>
                          </a:xfrm>
                          <a:prstGeom prst="rect">
                            <a:avLst/>
                          </a:prstGeom>
                          <a:solidFill>
                            <a:srgbClr val="2EA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9BE52" w14:textId="77777777" w:rsidR="00141B97" w:rsidRDefault="00911D63">
                              <w:pPr>
                                <w:spacing w:before="141"/>
                                <w:ind w:left="495"/>
                                <w:rPr>
                                  <w:color w:val="000000"/>
                                </w:rPr>
                              </w:pPr>
                              <w:r>
                                <w:rPr>
                                  <w:color w:val="000000"/>
                                  <w:spacing w:val="-2"/>
                                </w:rPr>
                                <w:t>LEADING</w:t>
                              </w:r>
                            </w:p>
                          </w:txbxContent>
                        </wps:txbx>
                        <wps:bodyPr rot="0" vert="horz" wrap="square" lIns="0" tIns="0" rIns="0" bIns="0" anchor="t" anchorCtr="0" upright="1">
                          <a:noAutofit/>
                        </wps:bodyPr>
                      </wps:wsp>
                      <wps:wsp>
                        <wps:cNvPr id="390" name="docshape91"/>
                        <wps:cNvSpPr txBox="1">
                          <a:spLocks noChangeArrowheads="1"/>
                        </wps:cNvSpPr>
                        <wps:spPr bwMode="auto">
                          <a:xfrm>
                            <a:off x="4707" y="1274"/>
                            <a:ext cx="355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DA27" w14:textId="77777777" w:rsidR="00141B97" w:rsidRDefault="00141B97">
                              <w:pPr>
                                <w:spacing w:before="9"/>
                                <w:rPr>
                                  <w:sz w:val="15"/>
                                </w:rPr>
                              </w:pPr>
                            </w:p>
                            <w:p w14:paraId="30F4D5EC" w14:textId="77777777" w:rsidR="00141B97" w:rsidRDefault="00911D63">
                              <w:pPr>
                                <w:ind w:left="2180"/>
                                <w:rPr>
                                  <w:sz w:val="20"/>
                                </w:rPr>
                              </w:pPr>
                              <w:r>
                                <w:rPr>
                                  <w:spacing w:val="-4"/>
                                  <w:sz w:val="20"/>
                                </w:rPr>
                                <w:t>2.25</w:t>
                              </w:r>
                            </w:p>
                          </w:txbxContent>
                        </wps:txbx>
                        <wps:bodyPr rot="0" vert="horz" wrap="square" lIns="0" tIns="0" rIns="0" bIns="0" anchor="t" anchorCtr="0" upright="1">
                          <a:noAutofit/>
                        </wps:bodyPr>
                      </wps:wsp>
                      <wps:wsp>
                        <wps:cNvPr id="391" name="docshape92"/>
                        <wps:cNvSpPr txBox="1">
                          <a:spLocks noChangeArrowheads="1"/>
                        </wps:cNvSpPr>
                        <wps:spPr bwMode="auto">
                          <a:xfrm>
                            <a:off x="4707" y="696"/>
                            <a:ext cx="355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4900" w14:textId="77777777" w:rsidR="00141B97" w:rsidRDefault="00141B97">
                              <w:pPr>
                                <w:spacing w:before="6"/>
                                <w:rPr>
                                  <w:sz w:val="15"/>
                                </w:rPr>
                              </w:pPr>
                            </w:p>
                            <w:p w14:paraId="36B25985" w14:textId="77777777" w:rsidR="00141B97" w:rsidRDefault="00911D63">
                              <w:pPr>
                                <w:spacing w:before="1"/>
                                <w:ind w:left="1939" w:right="1319"/>
                                <w:jc w:val="center"/>
                                <w:rPr>
                                  <w:sz w:val="20"/>
                                </w:rPr>
                              </w:pPr>
                              <w:r>
                                <w:rPr>
                                  <w:spacing w:val="-5"/>
                                  <w:sz w:val="20"/>
                                </w:rPr>
                                <w:t>2.5</w:t>
                              </w:r>
                            </w:p>
                          </w:txbxContent>
                        </wps:txbx>
                        <wps:bodyPr rot="0" vert="horz" wrap="square" lIns="0" tIns="0" rIns="0" bIns="0" anchor="t" anchorCtr="0" upright="1">
                          <a:noAutofit/>
                        </wps:bodyPr>
                      </wps:wsp>
                      <wps:wsp>
                        <wps:cNvPr id="392" name="docshape93"/>
                        <wps:cNvSpPr txBox="1">
                          <a:spLocks noChangeArrowheads="1"/>
                        </wps:cNvSpPr>
                        <wps:spPr bwMode="auto">
                          <a:xfrm>
                            <a:off x="1153" y="696"/>
                            <a:ext cx="1774" cy="2916"/>
                          </a:xfrm>
                          <a:prstGeom prst="rect">
                            <a:avLst/>
                          </a:prstGeom>
                          <a:solidFill>
                            <a:srgbClr val="006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6072" w14:textId="77777777" w:rsidR="00141B97" w:rsidRDefault="00911D63">
                              <w:pPr>
                                <w:spacing w:before="130" w:line="525" w:lineRule="auto"/>
                                <w:ind w:left="194" w:right="200"/>
                                <w:jc w:val="center"/>
                                <w:rPr>
                                  <w:color w:val="000000"/>
                                </w:rPr>
                              </w:pPr>
                              <w:r>
                                <w:rPr>
                                  <w:color w:val="FFFFFF"/>
                                  <w:spacing w:val="-2"/>
                                </w:rPr>
                                <w:t xml:space="preserve">PERFORMANCE </w:t>
                              </w:r>
                              <w:r>
                                <w:rPr>
                                  <w:color w:val="FFFFFF"/>
                                  <w:spacing w:val="-4"/>
                                </w:rPr>
                                <w:t xml:space="preserve">RISK </w:t>
                              </w:r>
                              <w:r>
                                <w:rPr>
                                  <w:color w:val="FFFFFF"/>
                                  <w:spacing w:val="-2"/>
                                </w:rPr>
                                <w:t>ENGAGEMENT MANAGEMENT</w:t>
                              </w:r>
                            </w:p>
                            <w:p w14:paraId="16CBCF8E" w14:textId="77777777" w:rsidR="00141B97" w:rsidRDefault="00911D63">
                              <w:pPr>
                                <w:spacing w:line="264" w:lineRule="exact"/>
                                <w:ind w:left="191" w:right="200"/>
                                <w:jc w:val="center"/>
                                <w:rPr>
                                  <w:color w:val="000000"/>
                                </w:rPr>
                              </w:pPr>
                              <w:r>
                                <w:rPr>
                                  <w:color w:val="FFFFFF"/>
                                  <w:spacing w:val="-2"/>
                                </w:rPr>
                                <w:t>OUTCOMES</w:t>
                              </w:r>
                            </w:p>
                          </w:txbxContent>
                        </wps:txbx>
                        <wps:bodyPr rot="0" vert="horz" wrap="square" lIns="0" tIns="0" rIns="0" bIns="0" anchor="t" anchorCtr="0" upright="1">
                          <a:noAutofit/>
                        </wps:bodyPr>
                      </wps:wsp>
                      <wps:wsp>
                        <wps:cNvPr id="393" name="docshape94"/>
                        <wps:cNvSpPr txBox="1">
                          <a:spLocks noChangeArrowheads="1"/>
                        </wps:cNvSpPr>
                        <wps:spPr bwMode="auto">
                          <a:xfrm>
                            <a:off x="5076" y="414"/>
                            <a:ext cx="284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EB79" w14:textId="77777777" w:rsidR="00141B97" w:rsidRDefault="00911D63">
                              <w:pPr>
                                <w:spacing w:line="220" w:lineRule="exact"/>
                              </w:pPr>
                              <w:r>
                                <w:rPr>
                                  <w:color w:val="FFFFFF"/>
                                </w:rPr>
                                <w:t>Self‐Assessment</w:t>
                              </w:r>
                              <w:r>
                                <w:rPr>
                                  <w:color w:val="FFFFFF"/>
                                  <w:spacing w:val="-11"/>
                                </w:rPr>
                                <w:t xml:space="preserve"> </w:t>
                              </w:r>
                              <w:r>
                                <w:rPr>
                                  <w:color w:val="FFFFFF"/>
                                </w:rPr>
                                <w:t>Element</w:t>
                              </w:r>
                              <w:r>
                                <w:rPr>
                                  <w:color w:val="FFFFFF"/>
                                  <w:spacing w:val="-12"/>
                                </w:rPr>
                                <w:t xml:space="preserve"> </w:t>
                              </w:r>
                              <w:r>
                                <w:rPr>
                                  <w:color w:val="FFFFFF"/>
                                  <w:spacing w:val="-2"/>
                                </w:rPr>
                                <w:t>Rating</w:t>
                              </w:r>
                            </w:p>
                          </w:txbxContent>
                        </wps:txbx>
                        <wps:bodyPr rot="0" vert="horz" wrap="square" lIns="0" tIns="0" rIns="0" bIns="0" anchor="t" anchorCtr="0" upright="1">
                          <a:noAutofit/>
                        </wps:bodyPr>
                      </wps:wsp>
                      <wps:wsp>
                        <wps:cNvPr id="394" name="docshape95"/>
                        <wps:cNvSpPr txBox="1">
                          <a:spLocks noChangeArrowheads="1"/>
                        </wps:cNvSpPr>
                        <wps:spPr bwMode="auto">
                          <a:xfrm>
                            <a:off x="1309" y="414"/>
                            <a:ext cx="147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073D" w14:textId="77777777" w:rsidR="00141B97" w:rsidRDefault="00911D63">
                              <w:pPr>
                                <w:spacing w:line="220" w:lineRule="exact"/>
                              </w:pPr>
                              <w:r>
                                <w:rPr>
                                  <w:color w:val="FFFFFF"/>
                                </w:rPr>
                                <w:t>PREMO</w:t>
                              </w:r>
                              <w:r>
                                <w:rPr>
                                  <w:color w:val="FFFFFF"/>
                                  <w:spacing w:val="-6"/>
                                </w:rPr>
                                <w:t xml:space="preserve"> </w:t>
                              </w:r>
                              <w:r>
                                <w:rPr>
                                  <w:color w:val="FFFFFF"/>
                                  <w:spacing w:val="-2"/>
                                </w:rPr>
                                <w:t>Element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05297" id="docshapegroup31" o:spid="_x0000_s1026" style="position:absolute;margin-left:57.65pt;margin-top:18.4pt;width:444.75pt;height:162.25pt;z-index:-15713792;mso-wrap-distance-left:0;mso-wrap-distance-right:0;mso-position-horizontal-relative:page" coordorigin="1153,368" coordsize="8895,3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">
                <v:rect id="docshape32" o:spid="_x0000_s1027" style="position:absolute;left:1154;top:369;width:176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" fillcolor="#0064a4" stroked="f"/>
                <v:shape id="docshape33" o:spid="_x0000_s1028" style="position:absolute;left:1153;top:368;width:8891;height:310;visibility:visible;mso-wrap-style:square;v-text-anchor:top" coordsize="88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" path="m1764,l,,,1r1764,l1764,xm8891,l1783,r,1l1783,310r7108,l8891,1r,-1xe" fillcolor="#0064a4" stroked="f">
                  <v:path arrowok="t" o:connecttype="custom" o:connectlocs="1764,368;0,368;0,369;1764,369;1764,368;8891,368;1783,368;1783,369;1783,678;8891,678;8891,369;8891,368" o:connectangles="0,0,0,0,0,0,0,0,0,0,0,0"/>
                </v:shape>
                <v:rect id="docshape34" o:spid="_x0000_s1029" style="position:absolute;left:2936;top:698;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" fillcolor="#2eafff" stroked="f"/>
                <v:rect id="docshape35" o:spid="_x0000_s1030" style="position:absolute;left:4718;top:698;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" fillcolor="#badb8b" stroked="f"/>
                <v:rect id="docshape36" o:spid="_x0000_s1031" style="position:absolute;left:6500;top:698;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" fillcolor="yellow" stroked="f"/>
                <v:rect id="docshape37" o:spid="_x0000_s1032" style="position:absolute;left:8282;top:698;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" fillcolor="#ffc000" stroked="f"/>
                <v:rect id="docshape38" o:spid="_x0000_s1033" style="position:absolute;left:2936;top:696;width:176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" fillcolor="#2eafff" stroked="f"/>
                <v:rect id="docshape39" o:spid="_x0000_s1034" style="position:absolute;left:4717;top:696;width:17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" fillcolor="#badb8b" stroked="f"/>
                <v:rect id="docshape40" o:spid="_x0000_s1035" style="position:absolute;left:6499;top:696;width:17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" fillcolor="yellow" stroked="f"/>
                <v:rect id="docshape41" o:spid="_x0000_s1036" style="position:absolute;left:8281;top:696;width:17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" fillcolor="#ffc000" stroked="f"/>
                <v:rect id="docshape42" o:spid="_x0000_s1037" style="position:absolute;left:2936;top:1284;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" fillcolor="#2eafff" stroked="f"/>
                <v:rect id="docshape43" o:spid="_x0000_s1038" style="position:absolute;left:4718;top:1284;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" fillcolor="#badb8b" stroked="f"/>
                <v:rect id="docshape44" o:spid="_x0000_s1039" style="position:absolute;left:6500;top:1284;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" fillcolor="yellow" stroked="f"/>
                <v:rect id="docshape45" o:spid="_x0000_s1040" style="position:absolute;left:8282;top:1284;width:17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" fillcolor="#ffc000" stroked="f"/>
                <v:line id="Line 311" o:spid="_x0000_s1041" style="position:absolute;visibility:visible;mso-wrap-style:square" from="2936,1269" to="10048,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" strokeweight=".48pt">
                  <v:stroke dashstyle="longDash"/>
                </v:line>
                <v:rect id="docshape46" o:spid="_x0000_s1042" style="position:absolute;left:2936;top:1274;width:17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" fillcolor="#2eafff" stroked="f"/>
                <v:rect id="docshape47" o:spid="_x0000_s1043" style="position:absolute;left:4707;top:1274;width:177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" fillcolor="#badb8b" stroked="f"/>
                <v:rect id="docshape48" o:spid="_x0000_s1044" style="position:absolute;left:6489;top:1274;width:177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" fillcolor="yellow" stroked="f"/>
                <v:rect id="docshape49" o:spid="_x0000_s1045" style="position:absolute;left:8271;top:1274;width:177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" fillcolor="#ffc000" stroked="f"/>
                <v:rect id="docshape50" o:spid="_x0000_s1046" style="position:absolute;left:6500;top:1871;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" fillcolor="yellow" stroked="f"/>
                <v:shape id="docshape51" o:spid="_x0000_s1047" style="position:absolute;left:2936;top:1856;width:3548;height:2;visibility:visible;mso-wrap-style:square;v-text-anchor:top" coordsize="3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" path="m,l1762,t,l3548,e" filled="f" strokeweight=".48pt">
                  <v:stroke dashstyle="longDash"/>
                  <v:path arrowok="t" o:connecttype="custom" o:connectlocs="0,0;1762,0;1762,0;3548,0" o:connectangles="0,0,0,0"/>
                </v:shape>
                <v:line id="Line 304" o:spid="_x0000_s1048" style="position:absolute;visibility:visible;mso-wrap-style:square" from="6480,1856" to="8266,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" strokeweight=".48pt">
                  <v:stroke dashstyle="longDash"/>
                </v:line>
                <v:rect id="docshape52" o:spid="_x0000_s1049" style="position:absolute;left:6489;top:1860;width:177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" fillcolor="yellow" stroked="f"/>
                <v:line id="Line 302" o:spid="_x0000_s1050" style="position:absolute;visibility:visible;mso-wrap-style:square" from="8262,1856" to="1004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" strokeweight=".48pt">
                  <v:stroke dashstyle="longDash"/>
                </v:line>
                <v:rect id="docshape53" o:spid="_x0000_s1051" style="position:absolute;left:2936;top:2458;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" fillcolor="#2eafff" stroked="f"/>
                <v:rect id="docshape54" o:spid="_x0000_s1052" style="position:absolute;left:4718;top:2458;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" fillcolor="#badb8b" stroked="f"/>
                <v:rect id="docshape55" o:spid="_x0000_s1053" style="position:absolute;left:6500;top:2458;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" fillcolor="yellow" stroked="f"/>
                <v:rect id="docshape56" o:spid="_x0000_s1054" style="position:absolute;left:8282;top:2458;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" fillcolor="#ffc000" stroked="f"/>
                <v:line id="Line 297" o:spid="_x0000_s1055" style="position:absolute;visibility:visible;mso-wrap-style:square" from="2936,2444" to="4698,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" strokeweight=".48pt">
                  <v:stroke dashstyle="3 1"/>
                </v:line>
                <v:rect id="docshape57" o:spid="_x0000_s1056" style="position:absolute;left:2936;top:2448;width:17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" fillcolor="#2eafff" stroked="f"/>
                <v:line id="Line 295" o:spid="_x0000_s1057" style="position:absolute;visibility:visible;mso-wrap-style:square" from="4717,2444" to="6484,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" strokeweight=".48pt">
                  <v:stroke dashstyle="3 1"/>
                </v:line>
                <v:rect id="docshape58" o:spid="_x0000_s1058" style="position:absolute;left:4717;top:2448;width:17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" fillcolor="#badb8b" stroked="f"/>
                <v:line id="Line 293" o:spid="_x0000_s1059" style="position:absolute;visibility:visible;mso-wrap-style:square" from="6499,2444" to="826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" strokeweight=".48pt">
                  <v:stroke dashstyle="dash"/>
                </v:line>
                <v:rect id="docshape59" o:spid="_x0000_s1060" style="position:absolute;left:6499;top:2448;width:17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" fillcolor="yellow" stroked="f"/>
                <v:line id="Line 291" o:spid="_x0000_s1061" style="position:absolute;visibility:visible;mso-wrap-style:square" from="8281,2444" to="10048,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" strokeweight=".48pt">
                  <v:stroke dashstyle="3 1"/>
                </v:line>
                <v:rect id="docshape60" o:spid="_x0000_s1062" style="position:absolute;left:8281;top:2448;width:17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" fillcolor="#ffc000" stroked="f"/>
                <v:rect id="docshape61" o:spid="_x0000_s1063" style="position:absolute;left:2936;top:3045;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" fillcolor="#2eafff" stroked="f"/>
                <v:rect id="docshape62" o:spid="_x0000_s1064" style="position:absolute;left:4718;top:3045;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" fillcolor="#badb8b" stroked="f"/>
                <v:rect id="docshape63" o:spid="_x0000_s1065" style="position:absolute;left:6500;top:3045;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" fillcolor="yellow" stroked="f"/>
                <v:rect id="docshape64" o:spid="_x0000_s1066" style="position:absolute;left:8282;top:3045;width:17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" fillcolor="#ffc000" stroked="f"/>
                <v:line id="Line 285" o:spid="_x0000_s1067" style="position:absolute;visibility:visible;mso-wrap-style:square" from="2936,3031" to="469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" strokeweight=".48pt">
                  <v:stroke dashstyle="3 1"/>
                </v:line>
                <v:rect id="docshape65" o:spid="_x0000_s1068" style="position:absolute;left:2936;top:3035;width:17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" fillcolor="#2eafff" stroked="f"/>
                <v:line id="Line 283" o:spid="_x0000_s1069" style="position:absolute;visibility:visible;mso-wrap-style:square" from="4717,3031" to="6484,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" strokeweight=".48pt">
                  <v:stroke dashstyle="3 1"/>
                </v:line>
                <v:rect id="docshape66" o:spid="_x0000_s1070" style="position:absolute;left:4717;top:3035;width:17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" fillcolor="#badb8b" stroked="f"/>
                <v:line id="Line 281" o:spid="_x0000_s1071" style="position:absolute;visibility:visible;mso-wrap-style:square" from="6499,3031" to="8266,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" strokeweight=".48pt">
                  <v:stroke dashstyle="dash"/>
                </v:line>
                <v:rect id="docshape67" o:spid="_x0000_s1072" style="position:absolute;left:6499;top:3035;width:17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" fillcolor="yellow" stroked="f"/>
                <v:line id="Line 279" o:spid="_x0000_s1073" style="position:absolute;visibility:visible;mso-wrap-style:square" from="8281,3031" to="100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" strokeweight=".48pt">
                  <v:stroke dashstyle="3 1"/>
                </v:line>
                <v:rect id="docshape68" o:spid="_x0000_s1074" style="position:absolute;left:8281;top:3035;width:17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" fillcolor="#ffc000" stroked="f"/>
                <v:shape id="docshape69" o:spid="_x0000_s1075" style="position:absolute;left:6519;top:845;width:551;height:327;visibility:visible;mso-wrap-style:square;v-text-anchor:top" coordsize="55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" path="m496,l55,,34,4,16,16,4,33,,54,,272r4,21l16,310r18,12l55,326r441,l517,322r18,-12l546,293r4,-21l550,54,546,33,535,16,517,4,496,xe" fillcolor="#cbe1ec" stroked="f">
                  <v:path arrowok="t" o:connecttype="custom" o:connectlocs="496,846;55,846;34,850;16,862;4,879;0,900;0,1118;4,1139;16,1156;34,1168;55,1172;496,1172;517,1168;535,1156;546,1139;550,1118;550,900;546,879;535,862;517,850;496,846" o:connectangles="0,0,0,0,0,0,0,0,0,0,0,0,0,0,0,0,0,0,0,0,0"/>
                </v:shape>
                <v:shape id="docshape70" o:spid="_x0000_s1076" style="position:absolute;left:6519;top:845;width:551;height:327;visibility:visible;mso-wrap-style:square;v-text-anchor:top" coordsize="55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" path="m,54l4,33,16,16,34,4,55,,496,r21,4l535,16r11,17l550,54r,218l546,293r-11,17l517,322r-21,4l55,326,34,322,16,310,4,293,,272,,54xe" filled="f" strokecolor="red" strokeweight="2.25pt">
                  <v:path arrowok="t" o:connecttype="custom" o:connectlocs="0,900;4,879;16,862;34,850;55,846;496,846;517,850;535,862;546,879;550,900;550,1118;546,1139;535,1156;517,1168;496,1172;55,1172;34,1168;16,1156;4,1139;0,1118;0,900" o:connectangles="0,0,0,0,0,0,0,0,0,0,0,0,0,0,0,0,0,0,0,0,0"/>
                </v:shape>
                <v:shape id="docshape71" o:spid="_x0000_s1077" type="#_x0000_t75" style="position:absolute;left:6552;top:879;width:4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">
                  <v:imagedata r:id="rId61" o:title=""/>
                </v:shape>
                <v:shape id="docshape72" o:spid="_x0000_s1078" style="position:absolute;left:6800;top:1995;width:550;height:327;visibility:visible;mso-wrap-style:square;v-text-anchor:top" coordsize="55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" path="m496,l54,,33,5,16,16,5,33,,54,,273r5,21l16,311r17,12l54,327r442,l517,323r17,-12l546,294r4,-21l550,54,546,33,534,16,517,5,496,xe" fillcolor="#cbe1ec" stroked="f">
                  <v:path arrowok="t" o:connecttype="custom" o:connectlocs="496,1995;54,1995;33,2000;16,2011;5,2028;0,2049;0,2268;5,2289;16,2306;33,2318;54,2322;496,2322;517,2318;534,2306;546,2289;550,2268;550,2049;546,2028;534,2011;517,2000;496,1995" o:connectangles="0,0,0,0,0,0,0,0,0,0,0,0,0,0,0,0,0,0,0,0,0"/>
                </v:shape>
                <v:shape id="docshape73" o:spid="_x0000_s1079" style="position:absolute;left:6800;top:1995;width:550;height:327;visibility:visible;mso-wrap-style:square;v-text-anchor:top" coordsize="55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" path="m,54l5,33,16,16,33,5,54,,496,r21,5l534,16r12,17l550,54r,219l546,294r-12,17l517,323r-21,4l54,327,33,323,16,311,5,294,,273,,54xe" filled="f" strokecolor="red" strokeweight="2.25pt">
                  <v:path arrowok="t" o:connecttype="custom" o:connectlocs="0,2049;5,2028;16,2011;33,2000;54,1995;496,1995;517,2000;534,2011;546,2028;550,2049;550,2268;546,2289;534,2306;517,2318;496,2322;54,2322;33,2318;16,2306;5,2289;0,2268;0,2049" o:connectangles="0,0,0,0,0,0,0,0,0,0,0,0,0,0,0,0,0,0,0,0,0"/>
                </v:shape>
                <v:shape id="docshape74" o:spid="_x0000_s1080" type="#_x0000_t75" style="position:absolute;left:6835;top:2026;width:48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">
                  <v:imagedata r:id="rId62" o:title=""/>
                </v:shape>
                <v:shape id="docshape75" o:spid="_x0000_s1081" style="position:absolute;left:6790;top:1425;width:551;height:327;visibility:visible;mso-wrap-style:square;v-text-anchor:top" coordsize="55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" path="m495,l54,,33,5,16,16,4,33,,54,,273r4,21l16,311r17,12l54,327r441,l517,323r17,-12l546,294r5,-21l551,54,546,33,534,16,517,5,495,xe" fillcolor="#cbe1ec" stroked="f">
                  <v:path arrowok="t" o:connecttype="custom" o:connectlocs="495,1425;54,1425;33,1430;16,1441;4,1458;0,1479;0,1698;4,1719;16,1736;33,1748;54,1752;495,1752;517,1748;534,1736;546,1719;551,1698;551,1479;546,1458;534,1441;517,1430;495,1425" o:connectangles="0,0,0,0,0,0,0,0,0,0,0,0,0,0,0,0,0,0,0,0,0"/>
                </v:shape>
                <v:shape id="docshape76" o:spid="_x0000_s1082" style="position:absolute;left:6790;top:1425;width:551;height:327;visibility:visible;mso-wrap-style:square;v-text-anchor:top" coordsize="55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" path="m,54l4,33,16,16,33,5,54,,495,r22,5l534,16r12,17l551,54r,219l546,294r-12,17l517,323r-22,4l54,327,33,323,16,311,4,294,,273,,54xe" filled="f" strokecolor="red" strokeweight="2.25pt">
                  <v:path arrowok="t" o:connecttype="custom" o:connectlocs="0,1479;4,1458;16,1441;33,1430;54,1425;495,1425;517,1430;534,1441;546,1458;551,1479;551,1698;546,1719;534,1736;517,1748;495,1752;54,1752;33,1748;16,1736;4,1719;0,1698;0,1479" o:connectangles="0,0,0,0,0,0,0,0,0,0,0,0,0,0,0,0,0,0,0,0,0"/>
                </v:shape>
                <v:shape id="docshape77" o:spid="_x0000_s1083" type="#_x0000_t75" style="position:absolute;left:6825;top:1460;width:4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">
                  <v:imagedata r:id="rId63" o:title=""/>
                </v:shape>
                <v:shape id="docshape78" o:spid="_x0000_s1084" style="position:absolute;left:6800;top:2574;width:550;height:328;visibility:visible;mso-wrap-style:square;v-text-anchor:top" coordsize="5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" path="m496,l54,,33,4,16,16,5,33,,54,,272r5,22l16,311r17,12l54,328r442,l517,323r17,-12l546,294r4,-22l550,54,546,33,534,16,517,4,496,xe" fillcolor="#cbe1ec" stroked="f">
                  <v:path arrowok="t" o:connecttype="custom" o:connectlocs="496,2575;54,2575;33,2579;16,2591;5,2608;0,2629;0,2847;5,2869;16,2886;33,2898;54,2903;496,2903;517,2898;534,2886;546,2869;550,2847;550,2629;546,2608;534,2591;517,2579;496,2575" o:connectangles="0,0,0,0,0,0,0,0,0,0,0,0,0,0,0,0,0,0,0,0,0"/>
                </v:shape>
                <v:shape id="docshape79" o:spid="_x0000_s1085" style="position:absolute;left:6800;top:2574;width:550;height:328;visibility:visible;mso-wrap-style:square;v-text-anchor:top" coordsize="55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" path="m,54l5,33,16,16,33,4,54,,496,r21,4l534,16r12,17l550,54r,218l546,294r-12,17l517,323r-21,5l54,328,33,323,16,311,5,294,,272,,54xe" filled="f" strokecolor="red" strokeweight="2.25pt">
                  <v:path arrowok="t" o:connecttype="custom" o:connectlocs="0,2629;5,2608;16,2591;33,2579;54,2575;496,2575;517,2579;534,2591;546,2608;550,2629;550,2847;546,2869;534,2886;517,2898;496,2903;54,2903;33,2898;16,2886;5,2869;0,2847;0,2629" o:connectangles="0,0,0,0,0,0,0,0,0,0,0,0,0,0,0,0,0,0,0,0,0"/>
                </v:shape>
                <v:shape id="docshape80" o:spid="_x0000_s1086" type="#_x0000_t75" style="position:absolute;left:6835;top:2607;width:4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">
                  <v:imagedata r:id="rId64" o:title=""/>
                </v:shape>
                <v:shape id="docshape81" o:spid="_x0000_s1087" style="position:absolute;left:6510;top:3144;width:551;height:328;visibility:visible;mso-wrap-style:square;v-text-anchor:top" coordsize="55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" path="m497,l55,,34,4,16,16,4,34,,55,,272r4,22l16,311r18,12l55,328r442,l518,323r17,-12l547,294r4,-22l551,55,547,34,535,16,518,4,497,xe" fillcolor="#cbe1ec" stroked="f">
                  <v:path arrowok="t" o:connecttype="custom" o:connectlocs="497,3145;55,3145;34,3149;16,3161;4,3179;0,3200;0,3417;4,3439;16,3456;34,3468;55,3473;497,3473;518,3468;535,3456;547,3439;551,3417;551,3200;547,3179;535,3161;518,3149;497,3145" o:connectangles="0,0,0,0,0,0,0,0,0,0,0,0,0,0,0,0,0,0,0,0,0"/>
                </v:shape>
                <v:shape id="docshape82" o:spid="_x0000_s1088" style="position:absolute;left:6510;top:3144;width:551;height:328;visibility:visible;mso-wrap-style:square;v-text-anchor:top" coordsize="55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" path="m,55l4,34,16,16,34,4,55,,497,r21,4l535,16r12,18l551,55r,217l547,294r-12,17l518,323r-21,5l55,328,34,323,16,311,4,294,,272,,55xe" filled="f" strokecolor="red" strokeweight="2.25pt">
                  <v:path arrowok="t" o:connecttype="custom" o:connectlocs="0,3200;4,3179;16,3161;34,3149;55,3145;497,3145;518,3149;535,3161;547,3179;551,3200;551,3417;547,3439;535,3456;518,3468;497,3473;55,3473;34,3468;16,3456;4,3439;0,3417;0,3200" o:connectangles="0,0,0,0,0,0,0,0,0,0,0,0,0,0,0,0,0,0,0,0,0"/>
                </v:shape>
                <v:shape id="docshape83" o:spid="_x0000_s1089" type="#_x0000_t75" style="position:absolute;left:6542;top:3178;width:48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">
                  <v:imagedata r:id="rId65" o:title=""/>
                </v:shape>
                <v:shape id="docshape84" o:spid="_x0000_s1090" style="position:absolute;left:3712;top:860;width:5531;height:2553;visibility:visible;mso-wrap-style:square;v-text-anchor:top" coordsize="553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" path="m120,62l119,50,115,38,89,9,53,2,20,16,1,50,,62,1,74r20,33l53,121r,733l30,859,5,888,1,899,,911r1,12l5,935r25,29l65,971,98,957r21,-34l120,911r-1,-12l98,866,67,853r,-1l67,121r,-3l88,114,115,84r4,-10l120,62xm126,1637r-1,-12l104,1592,71,1578r-35,7l11,1614r-4,11l6,1637r1,12l11,1661r24,29l59,1694r,735l26,2442,7,2476r-1,12l7,2500r20,34l59,2548r35,-8l121,2511r4,-11l126,2488r-1,-12l121,2464,95,2435r-22,-4l73,2428r,-731l73,1696r31,-13l125,1649r1,-12xm1904,59r-1,-12l1899,36,1874,7,1839,r-33,14l1785,47r-1,12l1785,71r21,34l1837,118r,734l1816,856r-27,30l1785,897r-1,12l1785,921r4,12l1815,962r36,6l1884,954r19,-33l1904,909r-1,-12l1883,863r-30,-13l1853,849r,-730l1853,116r22,-4l1899,83r4,-12l1904,59xm1910,1636r-1,-12l1890,1590r-33,-14l1821,1583r-26,29l1791,1624r-1,12l1791,1648r4,11l1822,1688r21,5l1843,2427r-31,12l1791,2474r-1,12l1791,2498r21,33l1845,2545r35,-7l1905,2508r4,-10l1910,2486r-1,-12l1905,2462r-24,-29l1859,2429r,-3l1859,1696r,-1l1889,1682r20,-34l1910,1636xm3775,66r-1,-12l3770,44,3743,14,3708,7r-32,14l3656,54r-1,12l3656,78r19,34l3707,125r,734l3685,864r-25,29l3656,904r-1,12l3656,928r4,12l3685,968r35,8l3754,962r20,-34l3775,916r-1,-12l3753,870r-31,-13l3722,856r,-730l3722,123r22,-4l3770,90r4,-12l3775,66xm3781,1642r-1,-12l3759,1596r-33,-14l3691,1590r-25,29l3662,1630r-1,12l3662,1654r4,12l3691,1694r22,5l3713,2434r-32,13l3662,2481r-1,12l3662,2505r20,33l3714,2552r35,-7l3776,2516r4,-11l3781,2493r-1,-12l3776,2469r-26,-29l3728,2436r,-3l3728,1702r,-1l3760,1688r20,-34l3781,1642xm5525,65r-2,-12l5520,42,5494,13,5459,6r-33,14l5406,53r-1,12l5406,77r19,34l5457,125r,733l5435,863r-26,29l5406,903r-1,12l5406,927r3,12l5435,967r35,7l5503,961r20,-34l5525,915r-2,-12l5503,869r-31,-13l5472,855r,-730l5472,122r21,-4l5520,89r3,-12l5525,65xm5531,1642r-2,-12l5509,1596r-33,-14l5441,1589r-26,29l5412,1630r-1,12l5412,1654r3,11l5441,1694r22,5l5463,2432r-32,14l5412,2480r-1,12l5412,2504r20,33l5465,2551r35,-7l5526,2514r3,-10l5531,2492r-2,-12l5526,2468r-27,-29l5478,2435r,-3l5478,1701r31,-13l5529,1654r2,-12xe" fillcolor="#0062a3" stroked="f">
                  <v:path arrowok="t" o:connecttype="custom" o:connectlocs="53,863;21,968;1,1760;65,1832;98,1727;88,975;125,2486;7,2486;59,2555;7,3361;125,3361;73,3292;125,2510;1874,868;1785,932;1789,1747;1815,1823;1903,1758;1853,977;1910,2497;1795,2473;1822,2549;1790,3347;1905,3369;1881,3294;1889,2543;3770,905;3655,927;3685,1725;3660,1801;3775,1777;3722,987;3775,927;3691,2451;3666,2527;3662,3342;3749,3406;3776,3330;3728,2562;5523,914;5406,914;5457,1719;5406,1788;5523,1788;5472,1716;5523,938;5476,2443;5412,2515;5431,3307;5465,3412;5529,3341;5478,2562" o:connectangles="0,0,0,0,0,0,0,0,0,0,0,0,0,0,0,0,0,0,0,0,0,0,0,0,0,0,0,0,0,0,0,0,0,0,0,0,0,0,0,0,0,0,0,0,0,0,0,0,0,0,0,0"/>
                </v:shape>
                <v:shapetype id="_x0000_t202" coordsize="21600,21600" o:spt="202" path="m,l,21600r21600,l21600,xe">
                  <v:stroke joinstyle="miter"/>
                  <v:path gradientshapeok="t" o:connecttype="rect"/>
                </v:shapetype>
                <v:shape id="docshape85" o:spid="_x0000_s1091" type="#_x0000_t202" style="position:absolute;left:4707;top:3035;width:355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F1C4A45" w14:textId="77777777" w:rsidR="00141B97" w:rsidRDefault="00911D63">
                        <w:pPr>
                          <w:spacing w:before="151"/>
                          <w:ind w:left="1930" w:right="1329"/>
                          <w:jc w:val="center"/>
                          <w:rPr>
                            <w:sz w:val="20"/>
                          </w:rPr>
                        </w:pPr>
                        <w:r>
                          <w:rPr>
                            <w:spacing w:val="-5"/>
                            <w:sz w:val="20"/>
                          </w:rPr>
                          <w:t>2.5</w:t>
                        </w:r>
                      </w:p>
                    </w:txbxContent>
                  </v:textbox>
                </v:shape>
                <v:shape id="docshape86" o:spid="_x0000_s1092" type="#_x0000_t202" style="position:absolute;left:4707;top:2448;width:355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505F31B6" w14:textId="77777777" w:rsidR="00141B97" w:rsidRDefault="00911D63">
                        <w:pPr>
                          <w:spacing w:before="167"/>
                          <w:ind w:left="2190"/>
                          <w:rPr>
                            <w:sz w:val="20"/>
                          </w:rPr>
                        </w:pPr>
                        <w:r>
                          <w:rPr>
                            <w:spacing w:val="-4"/>
                            <w:sz w:val="20"/>
                          </w:rPr>
                          <w:t>2.25</w:t>
                        </w:r>
                      </w:p>
                    </w:txbxContent>
                  </v:textbox>
                </v:shape>
                <v:shape id="docshape87" o:spid="_x0000_s1093" type="#_x0000_t202" style="position:absolute;left:8271;top:1860;width:177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" fillcolor="#ffc000" stroked="f">
                  <v:textbox inset="0,0,0,0">
                    <w:txbxContent>
                      <w:p w14:paraId="5E4944AD" w14:textId="77777777" w:rsidR="00141B97" w:rsidRDefault="00911D63">
                        <w:pPr>
                          <w:spacing w:before="141"/>
                          <w:ind w:left="619" w:right="610"/>
                          <w:jc w:val="center"/>
                          <w:rPr>
                            <w:color w:val="000000"/>
                          </w:rPr>
                        </w:pPr>
                        <w:r>
                          <w:rPr>
                            <w:color w:val="000000"/>
                            <w:spacing w:val="-2"/>
                          </w:rPr>
                          <w:t>BASIC</w:t>
                        </w:r>
                      </w:p>
                    </w:txbxContent>
                  </v:textbox>
                </v:shape>
                <v:shape id="docshape88" o:spid="_x0000_s1094" type="#_x0000_t202" style="position:absolute;left:6489;top:1860;width:177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14500421" w14:textId="77777777" w:rsidR="00141B97" w:rsidRDefault="00911D63">
                        <w:pPr>
                          <w:spacing w:before="136"/>
                          <w:ind w:left="407"/>
                        </w:pPr>
                        <w:r>
                          <w:rPr>
                            <w:spacing w:val="-2"/>
                            <w:sz w:val="20"/>
                          </w:rPr>
                          <w:t>2.25</w:t>
                        </w:r>
                        <w:r>
                          <w:rPr>
                            <w:spacing w:val="-2"/>
                            <w:position w:val="2"/>
                          </w:rPr>
                          <w:t>NDARD</w:t>
                        </w:r>
                      </w:p>
                    </w:txbxContent>
                  </v:textbox>
                </v:shape>
                <v:shape id="docshape89" o:spid="_x0000_s1095" type="#_x0000_t202" style="position:absolute;left:4707;top:1860;width:177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" fillcolor="#badb8b" stroked="f">
                  <v:textbox inset="0,0,0,0">
                    <w:txbxContent>
                      <w:p w14:paraId="1333E03B" w14:textId="77777777" w:rsidR="00141B97" w:rsidRDefault="00911D63">
                        <w:pPr>
                          <w:spacing w:before="141"/>
                          <w:ind w:left="390"/>
                          <w:rPr>
                            <w:color w:val="000000"/>
                          </w:rPr>
                        </w:pPr>
                        <w:r>
                          <w:rPr>
                            <w:color w:val="000000"/>
                            <w:spacing w:val="-2"/>
                          </w:rPr>
                          <w:t>ADVANCED</w:t>
                        </w:r>
                      </w:p>
                    </w:txbxContent>
                  </v:textbox>
                </v:shape>
                <v:shape id="docshape90" o:spid="_x0000_s1096" type="#_x0000_t202" style="position:absolute;left:2926;top:1860;width:177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" fillcolor="#2eafff" stroked="f">
                  <v:textbox inset="0,0,0,0">
                    <w:txbxContent>
                      <w:p w14:paraId="2499BE52" w14:textId="77777777" w:rsidR="00141B97" w:rsidRDefault="00911D63">
                        <w:pPr>
                          <w:spacing w:before="141"/>
                          <w:ind w:left="495"/>
                          <w:rPr>
                            <w:color w:val="000000"/>
                          </w:rPr>
                        </w:pPr>
                        <w:r>
                          <w:rPr>
                            <w:color w:val="000000"/>
                            <w:spacing w:val="-2"/>
                          </w:rPr>
                          <w:t>LEADING</w:t>
                        </w:r>
                      </w:p>
                    </w:txbxContent>
                  </v:textbox>
                </v:shape>
                <v:shape id="docshape91" o:spid="_x0000_s1097" type="#_x0000_t202" style="position:absolute;left:4707;top:1274;width:355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8A3DA27" w14:textId="77777777" w:rsidR="00141B97" w:rsidRDefault="00141B97">
                        <w:pPr>
                          <w:spacing w:before="9"/>
                          <w:rPr>
                            <w:sz w:val="15"/>
                          </w:rPr>
                        </w:pPr>
                      </w:p>
                      <w:p w14:paraId="30F4D5EC" w14:textId="77777777" w:rsidR="00141B97" w:rsidRDefault="00911D63">
                        <w:pPr>
                          <w:ind w:left="2180"/>
                          <w:rPr>
                            <w:sz w:val="20"/>
                          </w:rPr>
                        </w:pPr>
                        <w:r>
                          <w:rPr>
                            <w:spacing w:val="-4"/>
                            <w:sz w:val="20"/>
                          </w:rPr>
                          <w:t>2.25</w:t>
                        </w:r>
                      </w:p>
                    </w:txbxContent>
                  </v:textbox>
                </v:shape>
                <v:shape id="docshape92" o:spid="_x0000_s1098" type="#_x0000_t202" style="position:absolute;left:4707;top:696;width:355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E394900" w14:textId="77777777" w:rsidR="00141B97" w:rsidRDefault="00141B97">
                        <w:pPr>
                          <w:spacing w:before="6"/>
                          <w:rPr>
                            <w:sz w:val="15"/>
                          </w:rPr>
                        </w:pPr>
                      </w:p>
                      <w:p w14:paraId="36B25985" w14:textId="77777777" w:rsidR="00141B97" w:rsidRDefault="00911D63">
                        <w:pPr>
                          <w:spacing w:before="1"/>
                          <w:ind w:left="1939" w:right="1319"/>
                          <w:jc w:val="center"/>
                          <w:rPr>
                            <w:sz w:val="20"/>
                          </w:rPr>
                        </w:pPr>
                        <w:r>
                          <w:rPr>
                            <w:spacing w:val="-5"/>
                            <w:sz w:val="20"/>
                          </w:rPr>
                          <w:t>2.5</w:t>
                        </w:r>
                      </w:p>
                    </w:txbxContent>
                  </v:textbox>
                </v:shape>
                <v:shape id="docshape93" o:spid="_x0000_s1099" type="#_x0000_t202" style="position:absolute;left:1153;top:696;width:1774;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" fillcolor="#0064a4" stroked="f">
                  <v:textbox inset="0,0,0,0">
                    <w:txbxContent>
                      <w:p w14:paraId="57C76072" w14:textId="77777777" w:rsidR="00141B97" w:rsidRDefault="00911D63">
                        <w:pPr>
                          <w:spacing w:before="130" w:line="525" w:lineRule="auto"/>
                          <w:ind w:left="194" w:right="200"/>
                          <w:jc w:val="center"/>
                          <w:rPr>
                            <w:color w:val="000000"/>
                          </w:rPr>
                        </w:pPr>
                        <w:r>
                          <w:rPr>
                            <w:color w:val="FFFFFF"/>
                            <w:spacing w:val="-2"/>
                          </w:rPr>
                          <w:t xml:space="preserve">PERFORMANCE </w:t>
                        </w:r>
                        <w:r>
                          <w:rPr>
                            <w:color w:val="FFFFFF"/>
                            <w:spacing w:val="-4"/>
                          </w:rPr>
                          <w:t xml:space="preserve">RISK </w:t>
                        </w:r>
                        <w:r>
                          <w:rPr>
                            <w:color w:val="FFFFFF"/>
                            <w:spacing w:val="-2"/>
                          </w:rPr>
                          <w:t>ENGAGEMENT MANAGEMENT</w:t>
                        </w:r>
                      </w:p>
                      <w:p w14:paraId="16CBCF8E" w14:textId="77777777" w:rsidR="00141B97" w:rsidRDefault="00911D63">
                        <w:pPr>
                          <w:spacing w:line="264" w:lineRule="exact"/>
                          <w:ind w:left="191" w:right="200"/>
                          <w:jc w:val="center"/>
                          <w:rPr>
                            <w:color w:val="000000"/>
                          </w:rPr>
                        </w:pPr>
                        <w:r>
                          <w:rPr>
                            <w:color w:val="FFFFFF"/>
                            <w:spacing w:val="-2"/>
                          </w:rPr>
                          <w:t>OUTCOMES</w:t>
                        </w:r>
                      </w:p>
                    </w:txbxContent>
                  </v:textbox>
                </v:shape>
                <v:shape id="docshape94" o:spid="_x0000_s1100" type="#_x0000_t202" style="position:absolute;left:5076;top:414;width:284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375EB79" w14:textId="77777777" w:rsidR="00141B97" w:rsidRDefault="00911D63">
                        <w:pPr>
                          <w:spacing w:line="220" w:lineRule="exact"/>
                        </w:pPr>
                        <w:r>
                          <w:rPr>
                            <w:color w:val="FFFFFF"/>
                          </w:rPr>
                          <w:t>Self‐Assessment</w:t>
                        </w:r>
                        <w:r>
                          <w:rPr>
                            <w:color w:val="FFFFFF"/>
                            <w:spacing w:val="-11"/>
                          </w:rPr>
                          <w:t xml:space="preserve"> </w:t>
                        </w:r>
                        <w:r>
                          <w:rPr>
                            <w:color w:val="FFFFFF"/>
                          </w:rPr>
                          <w:t>Element</w:t>
                        </w:r>
                        <w:r>
                          <w:rPr>
                            <w:color w:val="FFFFFF"/>
                            <w:spacing w:val="-12"/>
                          </w:rPr>
                          <w:t xml:space="preserve"> </w:t>
                        </w:r>
                        <w:r>
                          <w:rPr>
                            <w:color w:val="FFFFFF"/>
                            <w:spacing w:val="-2"/>
                          </w:rPr>
                          <w:t>Rating</w:t>
                        </w:r>
                      </w:p>
                    </w:txbxContent>
                  </v:textbox>
                </v:shape>
                <v:shape id="docshape95" o:spid="_x0000_s1101" type="#_x0000_t202" style="position:absolute;left:1309;top:414;width:147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783F073D" w14:textId="77777777" w:rsidR="00141B97" w:rsidRDefault="00911D63">
                        <w:pPr>
                          <w:spacing w:line="220" w:lineRule="exact"/>
                        </w:pPr>
                        <w:r>
                          <w:rPr>
                            <w:color w:val="FFFFFF"/>
                          </w:rPr>
                          <w:t>PREMO</w:t>
                        </w:r>
                        <w:r>
                          <w:rPr>
                            <w:color w:val="FFFFFF"/>
                            <w:spacing w:val="-6"/>
                          </w:rPr>
                          <w:t xml:space="preserve"> </w:t>
                        </w:r>
                        <w:r>
                          <w:rPr>
                            <w:color w:val="FFFFFF"/>
                            <w:spacing w:val="-2"/>
                          </w:rPr>
                          <w:t>Element</w:t>
                        </w:r>
                      </w:p>
                    </w:txbxContent>
                  </v:textbox>
                </v:shape>
                <w10:wrap type="topAndBottom" anchorx="page"/>
              </v:group>
            </w:pict>
          </mc:Fallback>
        </mc:AlternateContent>
      </w:r>
    </w:p>
    <w:p w14:paraId="04D7F5FC" w14:textId="77777777" w:rsidR="00141B97" w:rsidRDefault="00911D63">
      <w:pPr>
        <w:spacing w:before="20"/>
        <w:ind w:left="154"/>
        <w:jc w:val="both"/>
        <w:rPr>
          <w:sz w:val="16"/>
        </w:rPr>
      </w:pPr>
      <w:r>
        <w:rPr>
          <w:sz w:val="16"/>
        </w:rPr>
        <w:t>Figure</w:t>
      </w:r>
      <w:r>
        <w:rPr>
          <w:spacing w:val="-8"/>
          <w:sz w:val="16"/>
        </w:rPr>
        <w:t xml:space="preserve"> </w:t>
      </w:r>
      <w:r>
        <w:rPr>
          <w:sz w:val="16"/>
        </w:rPr>
        <w:t>A10</w:t>
      </w:r>
      <w:r>
        <w:rPr>
          <w:sz w:val="12"/>
        </w:rPr>
        <w:t>:</w:t>
      </w:r>
      <w:r>
        <w:rPr>
          <w:spacing w:val="-6"/>
          <w:sz w:val="12"/>
        </w:rPr>
        <w:t xml:space="preserve"> </w:t>
      </w:r>
      <w:r>
        <w:rPr>
          <w:sz w:val="16"/>
        </w:rPr>
        <w:t>PREMO</w:t>
      </w:r>
      <w:r>
        <w:rPr>
          <w:spacing w:val="-7"/>
          <w:sz w:val="16"/>
        </w:rPr>
        <w:t xml:space="preserve"> </w:t>
      </w:r>
      <w:r>
        <w:rPr>
          <w:sz w:val="16"/>
        </w:rPr>
        <w:t>Element</w:t>
      </w:r>
      <w:r>
        <w:rPr>
          <w:spacing w:val="-7"/>
          <w:sz w:val="16"/>
        </w:rPr>
        <w:t xml:space="preserve"> </w:t>
      </w:r>
      <w:r>
        <w:rPr>
          <w:sz w:val="16"/>
        </w:rPr>
        <w:t>Self‐Assessment</w:t>
      </w:r>
      <w:r>
        <w:rPr>
          <w:spacing w:val="-9"/>
          <w:sz w:val="16"/>
        </w:rPr>
        <w:t xml:space="preserve"> </w:t>
      </w:r>
      <w:r>
        <w:rPr>
          <w:spacing w:val="-2"/>
          <w:sz w:val="16"/>
        </w:rPr>
        <w:t>Rating</w:t>
      </w:r>
    </w:p>
    <w:p w14:paraId="6C0488F5" w14:textId="77777777" w:rsidR="00141B97" w:rsidRDefault="00141B97">
      <w:pPr>
        <w:pStyle w:val="BodyText"/>
        <w:rPr>
          <w:sz w:val="16"/>
        </w:rPr>
      </w:pPr>
    </w:p>
    <w:p w14:paraId="0507099F" w14:textId="4A78B93E" w:rsidR="00141B97" w:rsidRDefault="00911D63">
      <w:pPr>
        <w:pStyle w:val="BodyText"/>
        <w:spacing w:before="115" w:line="276" w:lineRule="auto"/>
        <w:ind w:left="154" w:right="248" w:hanging="1"/>
        <w:jc w:val="both"/>
      </w:pPr>
      <w:r>
        <w:rPr>
          <w:noProof/>
        </w:rPr>
        <mc:AlternateContent>
          <mc:Choice Requires="wps">
            <w:drawing>
              <wp:anchor distT="0" distB="0" distL="114300" distR="114300" simplePos="0" relativeHeight="471441408" behindDoc="1" locked="0" layoutInCell="1" allowOverlap="1" wp14:anchorId="139D7567" wp14:editId="4EB9D6F8">
                <wp:simplePos x="0" y="0"/>
                <wp:positionH relativeFrom="page">
                  <wp:posOffset>4376420</wp:posOffset>
                </wp:positionH>
                <wp:positionV relativeFrom="paragraph">
                  <wp:posOffset>-1255395</wp:posOffset>
                </wp:positionV>
                <wp:extent cx="209550" cy="139700"/>
                <wp:effectExtent l="0" t="0" r="0" b="0"/>
                <wp:wrapNone/>
                <wp:docPr id="31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9F628" w14:textId="77777777" w:rsidR="00141B97" w:rsidRDefault="00911D63">
                            <w:pPr>
                              <w:pStyle w:val="BodyText"/>
                              <w:spacing w:line="220" w:lineRule="exact"/>
                            </w:pPr>
                            <w:r>
                              <w:rPr>
                                <w:spacing w:val="-5"/>
                              </w:rPr>
                              <w:t>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7567" id="docshape96" o:spid="_x0000_s1102" type="#_x0000_t202" style="position:absolute;left:0;text-align:left;margin-left:344.6pt;margin-top:-98.85pt;width:16.5pt;height:11pt;z-index:-318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" filled="f" stroked="f">
                <v:textbox inset="0,0,0,0">
                  <w:txbxContent>
                    <w:p w14:paraId="6339F628" w14:textId="77777777" w:rsidR="00141B97" w:rsidRDefault="00911D63">
                      <w:pPr>
                        <w:pStyle w:val="BodyText"/>
                        <w:spacing w:line="220" w:lineRule="exact"/>
                      </w:pPr>
                      <w:r>
                        <w:rPr>
                          <w:spacing w:val="-5"/>
                        </w:rPr>
                        <w:t>STA</w:t>
                      </w:r>
                    </w:p>
                  </w:txbxContent>
                </v:textbox>
                <w10:wrap anchorx="page"/>
              </v:shape>
            </w:pict>
          </mc:Fallback>
        </mc:AlternateContent>
      </w:r>
      <w:r>
        <w:t>A</w:t>
      </w:r>
      <w:r>
        <w:rPr>
          <w:spacing w:val="-4"/>
        </w:rPr>
        <w:t xml:space="preserve"> </w:t>
      </w:r>
      <w:r>
        <w:t>summary</w:t>
      </w:r>
      <w:r>
        <w:rPr>
          <w:spacing w:val="-4"/>
        </w:rPr>
        <w:t xml:space="preserve"> </w:t>
      </w:r>
      <w:r>
        <w:t>of</w:t>
      </w:r>
      <w:r>
        <w:rPr>
          <w:spacing w:val="-4"/>
        </w:rPr>
        <w:t xml:space="preserve"> </w:t>
      </w:r>
      <w:r>
        <w:t>LMW’s</w:t>
      </w:r>
      <w:r>
        <w:rPr>
          <w:spacing w:val="-4"/>
        </w:rPr>
        <w:t xml:space="preserve"> </w:t>
      </w:r>
      <w:r>
        <w:t>self–assessment</w:t>
      </w:r>
      <w:r>
        <w:rPr>
          <w:spacing w:val="-4"/>
        </w:rPr>
        <w:t xml:space="preserve"> </w:t>
      </w:r>
      <w:r>
        <w:t>is</w:t>
      </w:r>
      <w:r>
        <w:rPr>
          <w:spacing w:val="-3"/>
        </w:rPr>
        <w:t xml:space="preserve"> </w:t>
      </w:r>
      <w:r>
        <w:t>provided</w:t>
      </w:r>
      <w:r>
        <w:rPr>
          <w:spacing w:val="-3"/>
        </w:rPr>
        <w:t xml:space="preserve"> </w:t>
      </w:r>
      <w:r>
        <w:t>in</w:t>
      </w:r>
      <w:r>
        <w:rPr>
          <w:spacing w:val="-4"/>
        </w:rPr>
        <w:t xml:space="preserve"> </w:t>
      </w:r>
      <w:r>
        <w:t>Table</w:t>
      </w:r>
      <w:r>
        <w:rPr>
          <w:spacing w:val="-4"/>
        </w:rPr>
        <w:t xml:space="preserve"> </w:t>
      </w:r>
      <w:r>
        <w:t>A5</w:t>
      </w:r>
      <w:r>
        <w:rPr>
          <w:spacing w:val="-4"/>
        </w:rPr>
        <w:t xml:space="preserve"> </w:t>
      </w:r>
      <w:r>
        <w:t>overleaf</w:t>
      </w:r>
      <w:r>
        <w:rPr>
          <w:spacing w:val="-4"/>
        </w:rPr>
        <w:t xml:space="preserve"> </w:t>
      </w:r>
      <w:r>
        <w:t>and</w:t>
      </w:r>
      <w:r>
        <w:rPr>
          <w:spacing w:val="-3"/>
        </w:rPr>
        <w:t xml:space="preserve"> </w:t>
      </w:r>
      <w:r>
        <w:t>details</w:t>
      </w:r>
      <w:r>
        <w:rPr>
          <w:spacing w:val="-4"/>
        </w:rPr>
        <w:t xml:space="preserve"> </w:t>
      </w:r>
      <w:r>
        <w:t>the</w:t>
      </w:r>
      <w:r>
        <w:rPr>
          <w:spacing w:val="-5"/>
        </w:rPr>
        <w:t xml:space="preserve"> </w:t>
      </w:r>
      <w:r>
        <w:t>basis</w:t>
      </w:r>
      <w:r>
        <w:rPr>
          <w:spacing w:val="-4"/>
        </w:rPr>
        <w:t xml:space="preserve"> </w:t>
      </w:r>
      <w:r>
        <w:t>and</w:t>
      </w:r>
      <w:r>
        <w:rPr>
          <w:spacing w:val="-6"/>
        </w:rPr>
        <w:t xml:space="preserve"> </w:t>
      </w:r>
      <w:r>
        <w:t>reasons</w:t>
      </w:r>
      <w:r>
        <w:rPr>
          <w:spacing w:val="-4"/>
        </w:rPr>
        <w:t xml:space="preserve"> </w:t>
      </w:r>
      <w:r>
        <w:t>for</w:t>
      </w:r>
      <w:r>
        <w:rPr>
          <w:spacing w:val="-3"/>
        </w:rPr>
        <w:t xml:space="preserve"> </w:t>
      </w:r>
      <w:r>
        <w:t>the self‐assessment ratings utilising a range of tools and inputs to finalise the self‐assessment including an independent</w:t>
      </w:r>
      <w:r>
        <w:rPr>
          <w:spacing w:val="-13"/>
        </w:rPr>
        <w:t xml:space="preserve"> </w:t>
      </w:r>
      <w:r>
        <w:t>assessment</w:t>
      </w:r>
      <w:r>
        <w:rPr>
          <w:spacing w:val="-12"/>
        </w:rPr>
        <w:t xml:space="preserve"> </w:t>
      </w:r>
      <w:r>
        <w:t>by</w:t>
      </w:r>
      <w:r>
        <w:rPr>
          <w:spacing w:val="-13"/>
        </w:rPr>
        <w:t xml:space="preserve"> </w:t>
      </w:r>
      <w:r>
        <w:t>KPMG</w:t>
      </w:r>
      <w:r>
        <w:rPr>
          <w:spacing w:val="-12"/>
        </w:rPr>
        <w:t xml:space="preserve"> </w:t>
      </w:r>
      <w:r>
        <w:t>and</w:t>
      </w:r>
      <w:r>
        <w:rPr>
          <w:spacing w:val="-13"/>
        </w:rPr>
        <w:t xml:space="preserve"> </w:t>
      </w:r>
      <w:r>
        <w:t>a</w:t>
      </w:r>
      <w:r>
        <w:rPr>
          <w:spacing w:val="-12"/>
        </w:rPr>
        <w:t xml:space="preserve"> </w:t>
      </w:r>
      <w:r>
        <w:t>workshop</w:t>
      </w:r>
      <w:r>
        <w:rPr>
          <w:spacing w:val="-13"/>
        </w:rPr>
        <w:t xml:space="preserve"> </w:t>
      </w:r>
      <w:r>
        <w:t>with</w:t>
      </w:r>
      <w:r>
        <w:rPr>
          <w:spacing w:val="-12"/>
        </w:rPr>
        <w:t xml:space="preserve"> </w:t>
      </w:r>
      <w:r>
        <w:t>LMW’s</w:t>
      </w:r>
      <w:r>
        <w:rPr>
          <w:spacing w:val="-12"/>
        </w:rPr>
        <w:t xml:space="preserve"> </w:t>
      </w:r>
      <w:r>
        <w:t>PS5</w:t>
      </w:r>
      <w:r>
        <w:rPr>
          <w:spacing w:val="-12"/>
        </w:rPr>
        <w:t xml:space="preserve"> </w:t>
      </w:r>
      <w:r>
        <w:t>Development</w:t>
      </w:r>
      <w:r>
        <w:rPr>
          <w:spacing w:val="-12"/>
        </w:rPr>
        <w:t xml:space="preserve"> </w:t>
      </w:r>
      <w:r>
        <w:t>Coordination</w:t>
      </w:r>
      <w:r>
        <w:rPr>
          <w:spacing w:val="-12"/>
        </w:rPr>
        <w:t xml:space="preserve"> </w:t>
      </w:r>
      <w:r>
        <w:t>Team</w:t>
      </w:r>
      <w:r>
        <w:rPr>
          <w:spacing w:val="-12"/>
        </w:rPr>
        <w:t xml:space="preserve"> </w:t>
      </w:r>
      <w:r>
        <w:t>facilitated by GHD</w:t>
      </w:r>
      <w:r>
        <w:rPr>
          <w:vertAlign w:val="superscript"/>
        </w:rPr>
        <w:t>9</w:t>
      </w:r>
      <w:r>
        <w:t>.</w:t>
      </w:r>
    </w:p>
    <w:p w14:paraId="7A08CF3B" w14:textId="77777777" w:rsidR="00141B97" w:rsidRDefault="00141B97">
      <w:pPr>
        <w:pStyle w:val="BodyText"/>
        <w:rPr>
          <w:sz w:val="20"/>
        </w:rPr>
      </w:pPr>
    </w:p>
    <w:p w14:paraId="3F030CA9" w14:textId="77777777" w:rsidR="00141B97" w:rsidRDefault="00141B97">
      <w:pPr>
        <w:pStyle w:val="BodyText"/>
        <w:rPr>
          <w:sz w:val="20"/>
        </w:rPr>
      </w:pPr>
    </w:p>
    <w:p w14:paraId="73097D8B" w14:textId="77777777" w:rsidR="00141B97" w:rsidRDefault="00141B97">
      <w:pPr>
        <w:pStyle w:val="BodyText"/>
        <w:rPr>
          <w:sz w:val="20"/>
        </w:rPr>
      </w:pPr>
    </w:p>
    <w:p w14:paraId="4E2228A5" w14:textId="77777777" w:rsidR="00141B97" w:rsidRDefault="00141B97">
      <w:pPr>
        <w:pStyle w:val="BodyText"/>
        <w:rPr>
          <w:sz w:val="20"/>
        </w:rPr>
      </w:pPr>
    </w:p>
    <w:p w14:paraId="0F7E1231" w14:textId="77777777" w:rsidR="00141B97" w:rsidRDefault="00141B97">
      <w:pPr>
        <w:pStyle w:val="BodyText"/>
        <w:rPr>
          <w:sz w:val="20"/>
        </w:rPr>
      </w:pPr>
    </w:p>
    <w:p w14:paraId="728CA9E1" w14:textId="77777777" w:rsidR="00141B97" w:rsidRDefault="00141B97">
      <w:pPr>
        <w:pStyle w:val="BodyText"/>
        <w:rPr>
          <w:sz w:val="20"/>
        </w:rPr>
      </w:pPr>
    </w:p>
    <w:p w14:paraId="195E12E7" w14:textId="77777777" w:rsidR="00141B97" w:rsidRDefault="00141B97">
      <w:pPr>
        <w:pStyle w:val="BodyText"/>
        <w:rPr>
          <w:sz w:val="20"/>
        </w:rPr>
      </w:pPr>
    </w:p>
    <w:p w14:paraId="4907ECA1" w14:textId="77777777" w:rsidR="00141B97" w:rsidRDefault="00141B97">
      <w:pPr>
        <w:pStyle w:val="BodyText"/>
        <w:rPr>
          <w:sz w:val="20"/>
        </w:rPr>
      </w:pPr>
    </w:p>
    <w:p w14:paraId="500DA59E" w14:textId="77777777" w:rsidR="00141B97" w:rsidRDefault="00141B97">
      <w:pPr>
        <w:pStyle w:val="BodyText"/>
        <w:rPr>
          <w:sz w:val="20"/>
        </w:rPr>
      </w:pPr>
    </w:p>
    <w:p w14:paraId="36978307" w14:textId="77777777" w:rsidR="00141B97" w:rsidRDefault="00141B97">
      <w:pPr>
        <w:pStyle w:val="BodyText"/>
        <w:rPr>
          <w:sz w:val="20"/>
        </w:rPr>
      </w:pPr>
    </w:p>
    <w:p w14:paraId="6D8A7B35" w14:textId="77777777" w:rsidR="00141B97" w:rsidRDefault="00141B97">
      <w:pPr>
        <w:pStyle w:val="BodyText"/>
        <w:rPr>
          <w:sz w:val="20"/>
        </w:rPr>
      </w:pPr>
    </w:p>
    <w:p w14:paraId="74A58E05" w14:textId="77777777" w:rsidR="00141B97" w:rsidRDefault="00141B97">
      <w:pPr>
        <w:pStyle w:val="BodyText"/>
        <w:rPr>
          <w:sz w:val="20"/>
        </w:rPr>
      </w:pPr>
    </w:p>
    <w:p w14:paraId="0E465A11" w14:textId="1DFEDCA7" w:rsidR="00141B97" w:rsidRDefault="00911D63">
      <w:pPr>
        <w:pStyle w:val="BodyText"/>
        <w:spacing w:before="11"/>
      </w:pPr>
      <w:r>
        <w:rPr>
          <w:noProof/>
        </w:rPr>
        <mc:AlternateContent>
          <mc:Choice Requires="wps">
            <w:drawing>
              <wp:anchor distT="0" distB="0" distL="0" distR="0" simplePos="0" relativeHeight="487603200" behindDoc="1" locked="0" layoutInCell="1" allowOverlap="1" wp14:anchorId="1AAD9E5A" wp14:editId="777D53A5">
                <wp:simplePos x="0" y="0"/>
                <wp:positionH relativeFrom="page">
                  <wp:posOffset>720090</wp:posOffset>
                </wp:positionH>
                <wp:positionV relativeFrom="paragraph">
                  <wp:posOffset>193040</wp:posOffset>
                </wp:positionV>
                <wp:extent cx="1828800" cy="6350"/>
                <wp:effectExtent l="0" t="0" r="0" b="0"/>
                <wp:wrapTopAndBottom/>
                <wp:docPr id="317"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8AB0" id="docshape97" o:spid="_x0000_s1026" style="position:absolute;margin-left:56.7pt;margin-top:15.2pt;width:2in;height:.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" fillcolor="black" stroked="f">
                <w10:wrap type="topAndBottom" anchorx="page"/>
              </v:rect>
            </w:pict>
          </mc:Fallback>
        </mc:AlternateContent>
      </w:r>
    </w:p>
    <w:p w14:paraId="3BFA0895" w14:textId="77777777" w:rsidR="00141B97" w:rsidRDefault="00911D63">
      <w:pPr>
        <w:spacing w:before="83"/>
        <w:ind w:left="154"/>
        <w:rPr>
          <w:rFonts w:ascii="Trebuchet MS"/>
          <w:sz w:val="16"/>
        </w:rPr>
      </w:pPr>
      <w:r>
        <w:rPr>
          <w:rFonts w:ascii="Trebuchet MS"/>
          <w:sz w:val="16"/>
          <w:vertAlign w:val="superscript"/>
        </w:rPr>
        <w:t>9</w:t>
      </w:r>
      <w:r>
        <w:rPr>
          <w:rFonts w:ascii="Trebuchet MS"/>
          <w:spacing w:val="-6"/>
          <w:sz w:val="16"/>
        </w:rPr>
        <w:t xml:space="preserve"> </w:t>
      </w:r>
      <w:r>
        <w:rPr>
          <w:rFonts w:ascii="Trebuchet MS"/>
          <w:sz w:val="16"/>
        </w:rPr>
        <w:t>GHD</w:t>
      </w:r>
      <w:r>
        <w:rPr>
          <w:rFonts w:ascii="Trebuchet MS"/>
          <w:spacing w:val="-6"/>
          <w:sz w:val="16"/>
        </w:rPr>
        <w:t xml:space="preserve"> </w:t>
      </w:r>
      <w:r>
        <w:rPr>
          <w:rFonts w:ascii="Trebuchet MS"/>
          <w:sz w:val="16"/>
        </w:rPr>
        <w:t>Self-Assessment</w:t>
      </w:r>
      <w:r>
        <w:rPr>
          <w:rFonts w:ascii="Trebuchet MS"/>
          <w:spacing w:val="-6"/>
          <w:sz w:val="16"/>
        </w:rPr>
        <w:t xml:space="preserve"> </w:t>
      </w:r>
      <w:r>
        <w:rPr>
          <w:rFonts w:ascii="Trebuchet MS"/>
          <w:spacing w:val="-2"/>
          <w:sz w:val="16"/>
        </w:rPr>
        <w:t>Workshop</w:t>
      </w:r>
    </w:p>
    <w:p w14:paraId="0227FDC5" w14:textId="77777777" w:rsidR="00141B97" w:rsidRDefault="00141B97">
      <w:pPr>
        <w:rPr>
          <w:rFonts w:ascii="Trebuchet MS"/>
          <w:sz w:val="16"/>
        </w:rPr>
        <w:sectPr w:rsidR="00141B97">
          <w:pgSz w:w="11910" w:h="16840"/>
          <w:pgMar w:top="860" w:right="740" w:bottom="1120" w:left="980" w:header="0" w:footer="896" w:gutter="0"/>
          <w:cols w:space="720"/>
        </w:sectPr>
      </w:pPr>
    </w:p>
    <w:tbl>
      <w:tblPr>
        <w:tblW w:w="0" w:type="auto"/>
        <w:tblCellSpacing w:w="9" w:type="dxa"/>
        <w:tblInd w:w="190" w:type="dxa"/>
        <w:tblLayout w:type="fixed"/>
        <w:tblCellMar>
          <w:left w:w="0" w:type="dxa"/>
          <w:right w:w="0" w:type="dxa"/>
        </w:tblCellMar>
        <w:tblLook w:val="01E0" w:firstRow="1" w:lastRow="1" w:firstColumn="1" w:lastColumn="1" w:noHBand="0" w:noVBand="0"/>
      </w:tblPr>
      <w:tblGrid>
        <w:gridCol w:w="2907"/>
        <w:gridCol w:w="5363"/>
        <w:gridCol w:w="1545"/>
      </w:tblGrid>
      <w:tr w:rsidR="00141B97" w14:paraId="2567C248" w14:textId="77777777">
        <w:trPr>
          <w:trHeight w:val="328"/>
          <w:tblCellSpacing w:w="9" w:type="dxa"/>
        </w:trPr>
        <w:tc>
          <w:tcPr>
            <w:tcW w:w="2880" w:type="dxa"/>
            <w:tcBorders>
              <w:top w:val="nil"/>
              <w:left w:val="nil"/>
            </w:tcBorders>
            <w:shd w:val="clear" w:color="auto" w:fill="0064A4"/>
          </w:tcPr>
          <w:p w14:paraId="533F2689" w14:textId="77777777" w:rsidR="00141B97" w:rsidRDefault="00911D63">
            <w:pPr>
              <w:pStyle w:val="TableParagraph"/>
              <w:spacing w:before="55"/>
              <w:ind w:left="88"/>
              <w:rPr>
                <w:sz w:val="18"/>
              </w:rPr>
            </w:pPr>
            <w:r>
              <w:rPr>
                <w:color w:val="FFFFFF"/>
                <w:sz w:val="18"/>
              </w:rPr>
              <w:lastRenderedPageBreak/>
              <w:t>Guiding</w:t>
            </w:r>
            <w:r>
              <w:rPr>
                <w:color w:val="FFFFFF"/>
                <w:spacing w:val="-2"/>
                <w:sz w:val="18"/>
              </w:rPr>
              <w:t xml:space="preserve"> Question</w:t>
            </w:r>
          </w:p>
        </w:tc>
        <w:tc>
          <w:tcPr>
            <w:tcW w:w="5345" w:type="dxa"/>
            <w:tcBorders>
              <w:top w:val="nil"/>
            </w:tcBorders>
            <w:shd w:val="clear" w:color="auto" w:fill="0064A4"/>
          </w:tcPr>
          <w:p w14:paraId="38B649E9" w14:textId="77777777" w:rsidR="00141B97" w:rsidRDefault="00911D63">
            <w:pPr>
              <w:pStyle w:val="TableParagraph"/>
              <w:spacing w:before="55"/>
              <w:ind w:left="98"/>
              <w:rPr>
                <w:sz w:val="18"/>
              </w:rPr>
            </w:pPr>
            <w:r>
              <w:rPr>
                <w:color w:val="FFFFFF"/>
                <w:sz w:val="18"/>
              </w:rPr>
              <w:t>Summary</w:t>
            </w:r>
            <w:r>
              <w:rPr>
                <w:color w:val="FFFFFF"/>
                <w:spacing w:val="-3"/>
                <w:sz w:val="18"/>
              </w:rPr>
              <w:t xml:space="preserve"> </w:t>
            </w:r>
            <w:r>
              <w:rPr>
                <w:color w:val="FFFFFF"/>
                <w:spacing w:val="-2"/>
                <w:sz w:val="18"/>
              </w:rPr>
              <w:t>Response</w:t>
            </w:r>
          </w:p>
        </w:tc>
        <w:tc>
          <w:tcPr>
            <w:tcW w:w="1518" w:type="dxa"/>
            <w:tcBorders>
              <w:top w:val="nil"/>
              <w:right w:val="nil"/>
            </w:tcBorders>
            <w:shd w:val="clear" w:color="auto" w:fill="0064A4"/>
          </w:tcPr>
          <w:p w14:paraId="443E4EF4" w14:textId="77777777" w:rsidR="00141B97" w:rsidRDefault="00911D63">
            <w:pPr>
              <w:pStyle w:val="TableParagraph"/>
              <w:spacing w:before="55"/>
              <w:ind w:left="219" w:right="211"/>
              <w:jc w:val="center"/>
              <w:rPr>
                <w:sz w:val="18"/>
              </w:rPr>
            </w:pPr>
            <w:r>
              <w:rPr>
                <w:color w:val="FFFFFF"/>
                <w:spacing w:val="-2"/>
                <w:sz w:val="18"/>
              </w:rPr>
              <w:t>Rating</w:t>
            </w:r>
          </w:p>
        </w:tc>
      </w:tr>
      <w:tr w:rsidR="00141B97" w14:paraId="26C469D3" w14:textId="77777777">
        <w:trPr>
          <w:trHeight w:val="283"/>
          <w:tblCellSpacing w:w="9" w:type="dxa"/>
        </w:trPr>
        <w:tc>
          <w:tcPr>
            <w:tcW w:w="9743" w:type="dxa"/>
            <w:gridSpan w:val="3"/>
            <w:tcBorders>
              <w:left w:val="nil"/>
              <w:right w:val="nil"/>
            </w:tcBorders>
            <w:shd w:val="clear" w:color="auto" w:fill="BFBFBF"/>
          </w:tcPr>
          <w:p w14:paraId="1894FD41" w14:textId="77777777" w:rsidR="00141B97" w:rsidRDefault="00911D63">
            <w:pPr>
              <w:pStyle w:val="TableParagraph"/>
              <w:spacing w:before="32"/>
              <w:ind w:left="98"/>
              <w:rPr>
                <w:sz w:val="18"/>
              </w:rPr>
            </w:pPr>
            <w:r>
              <w:rPr>
                <w:spacing w:val="-2"/>
                <w:sz w:val="18"/>
              </w:rPr>
              <w:t>Performance</w:t>
            </w:r>
          </w:p>
        </w:tc>
      </w:tr>
      <w:tr w:rsidR="00141B97" w14:paraId="12BE5670" w14:textId="77777777">
        <w:trPr>
          <w:trHeight w:val="1422"/>
          <w:tblCellSpacing w:w="9" w:type="dxa"/>
        </w:trPr>
        <w:tc>
          <w:tcPr>
            <w:tcW w:w="2880" w:type="dxa"/>
            <w:tcBorders>
              <w:left w:val="nil"/>
            </w:tcBorders>
            <w:shd w:val="clear" w:color="auto" w:fill="CCE2ED"/>
          </w:tcPr>
          <w:p w14:paraId="581C9ADE" w14:textId="77777777" w:rsidR="00141B97" w:rsidRDefault="00911D63">
            <w:pPr>
              <w:pStyle w:val="TableParagraph"/>
              <w:spacing w:before="1" w:line="259" w:lineRule="auto"/>
              <w:ind w:left="88" w:right="107"/>
              <w:rPr>
                <w:sz w:val="18"/>
              </w:rPr>
            </w:pPr>
            <w:r>
              <w:rPr>
                <w:sz w:val="18"/>
              </w:rPr>
              <w:t>To what extent has the business demonstrated delivery of its customer outcomes commitment over the current regulatory period? Did</w:t>
            </w:r>
            <w:r>
              <w:rPr>
                <w:spacing w:val="-3"/>
                <w:sz w:val="18"/>
              </w:rPr>
              <w:t xml:space="preserve"> </w:t>
            </w:r>
            <w:r>
              <w:rPr>
                <w:sz w:val="18"/>
              </w:rPr>
              <w:t>its</w:t>
            </w:r>
            <w:r>
              <w:rPr>
                <w:spacing w:val="-4"/>
                <w:sz w:val="18"/>
              </w:rPr>
              <w:t xml:space="preserve"> </w:t>
            </w:r>
            <w:r>
              <w:rPr>
                <w:sz w:val="18"/>
              </w:rPr>
              <w:t>customers</w:t>
            </w:r>
            <w:r>
              <w:rPr>
                <w:spacing w:val="-3"/>
                <w:sz w:val="18"/>
              </w:rPr>
              <w:t xml:space="preserve"> </w:t>
            </w:r>
            <w:r>
              <w:rPr>
                <w:sz w:val="18"/>
              </w:rPr>
              <w:t>get</w:t>
            </w:r>
            <w:r>
              <w:rPr>
                <w:spacing w:val="-4"/>
                <w:sz w:val="18"/>
              </w:rPr>
              <w:t xml:space="preserve"> </w:t>
            </w:r>
            <w:r>
              <w:rPr>
                <w:sz w:val="18"/>
              </w:rPr>
              <w:t>what</w:t>
            </w:r>
            <w:r>
              <w:rPr>
                <w:spacing w:val="-4"/>
                <w:sz w:val="18"/>
              </w:rPr>
              <w:t xml:space="preserve"> </w:t>
            </w:r>
            <w:r>
              <w:rPr>
                <w:sz w:val="18"/>
              </w:rPr>
              <w:t>they</w:t>
            </w:r>
            <w:r>
              <w:rPr>
                <w:spacing w:val="-4"/>
                <w:sz w:val="18"/>
              </w:rPr>
              <w:t xml:space="preserve"> </w:t>
            </w:r>
            <w:r>
              <w:rPr>
                <w:sz w:val="18"/>
              </w:rPr>
              <w:t>paid</w:t>
            </w:r>
          </w:p>
          <w:p w14:paraId="5C6E20F8" w14:textId="77777777" w:rsidR="00141B97" w:rsidRDefault="00911D63">
            <w:pPr>
              <w:pStyle w:val="TableParagraph"/>
              <w:spacing w:line="215" w:lineRule="exact"/>
              <w:ind w:left="88"/>
              <w:rPr>
                <w:sz w:val="18"/>
              </w:rPr>
            </w:pPr>
            <w:r>
              <w:rPr>
                <w:spacing w:val="-4"/>
                <w:sz w:val="18"/>
              </w:rPr>
              <w:t>for?</w:t>
            </w:r>
          </w:p>
        </w:tc>
        <w:tc>
          <w:tcPr>
            <w:tcW w:w="5345" w:type="dxa"/>
            <w:shd w:val="clear" w:color="auto" w:fill="CCE2ED"/>
          </w:tcPr>
          <w:p w14:paraId="07F3C0A2" w14:textId="77777777" w:rsidR="00141B97" w:rsidRDefault="00911D63">
            <w:pPr>
              <w:pStyle w:val="TableParagraph"/>
              <w:ind w:left="98"/>
              <w:rPr>
                <w:sz w:val="18"/>
              </w:rPr>
            </w:pPr>
            <w:r>
              <w:rPr>
                <w:sz w:val="18"/>
              </w:rPr>
              <w:t>Outcome</w:t>
            </w:r>
            <w:r>
              <w:rPr>
                <w:spacing w:val="-3"/>
                <w:sz w:val="18"/>
              </w:rPr>
              <w:t xml:space="preserve"> </w:t>
            </w:r>
            <w:r>
              <w:rPr>
                <w:sz w:val="18"/>
              </w:rPr>
              <w:t>commitments</w:t>
            </w:r>
            <w:r>
              <w:rPr>
                <w:spacing w:val="-3"/>
                <w:sz w:val="18"/>
              </w:rPr>
              <w:t xml:space="preserve"> </w:t>
            </w:r>
            <w:r>
              <w:rPr>
                <w:sz w:val="18"/>
              </w:rPr>
              <w:t>largely</w:t>
            </w:r>
            <w:r>
              <w:rPr>
                <w:spacing w:val="-3"/>
                <w:sz w:val="18"/>
              </w:rPr>
              <w:t xml:space="preserve"> </w:t>
            </w:r>
            <w:r>
              <w:rPr>
                <w:sz w:val="18"/>
              </w:rPr>
              <w:t>delivered</w:t>
            </w:r>
            <w:r>
              <w:rPr>
                <w:spacing w:val="-3"/>
                <w:sz w:val="18"/>
              </w:rPr>
              <w:t xml:space="preserve"> </w:t>
            </w:r>
            <w:r>
              <w:rPr>
                <w:sz w:val="18"/>
              </w:rPr>
              <w:t>by</w:t>
            </w:r>
            <w:r>
              <w:rPr>
                <w:spacing w:val="-3"/>
                <w:sz w:val="18"/>
              </w:rPr>
              <w:t xml:space="preserve"> </w:t>
            </w:r>
            <w:r>
              <w:rPr>
                <w:sz w:val="18"/>
              </w:rPr>
              <w:t>meeting</w:t>
            </w:r>
            <w:r>
              <w:rPr>
                <w:spacing w:val="-3"/>
                <w:sz w:val="18"/>
              </w:rPr>
              <w:t xml:space="preserve"> </w:t>
            </w:r>
            <w:r>
              <w:rPr>
                <w:sz w:val="18"/>
              </w:rPr>
              <w:t>performance targets for most output measures, with only minor excursions.</w:t>
            </w:r>
          </w:p>
          <w:p w14:paraId="2D31C7F7" w14:textId="77777777" w:rsidR="00141B97" w:rsidRDefault="00911D63">
            <w:pPr>
              <w:pStyle w:val="TableParagraph"/>
              <w:ind w:left="98"/>
              <w:rPr>
                <w:sz w:val="18"/>
              </w:rPr>
            </w:pPr>
            <w:r>
              <w:rPr>
                <w:sz w:val="18"/>
              </w:rPr>
              <w:t>Ownership</w:t>
            </w:r>
            <w:r>
              <w:rPr>
                <w:spacing w:val="-2"/>
                <w:sz w:val="18"/>
              </w:rPr>
              <w:t xml:space="preserve"> </w:t>
            </w:r>
            <w:r>
              <w:rPr>
                <w:sz w:val="18"/>
              </w:rPr>
              <w:t>for</w:t>
            </w:r>
            <w:r>
              <w:rPr>
                <w:spacing w:val="-2"/>
                <w:sz w:val="18"/>
              </w:rPr>
              <w:t xml:space="preserve"> </w:t>
            </w:r>
            <w:r>
              <w:rPr>
                <w:sz w:val="18"/>
              </w:rPr>
              <w:t>shortfalls</w:t>
            </w:r>
            <w:r>
              <w:rPr>
                <w:spacing w:val="-2"/>
                <w:sz w:val="18"/>
              </w:rPr>
              <w:t xml:space="preserve"> </w:t>
            </w:r>
            <w:r>
              <w:rPr>
                <w:sz w:val="18"/>
              </w:rPr>
              <w:t>and</w:t>
            </w:r>
            <w:r>
              <w:rPr>
                <w:spacing w:val="-2"/>
                <w:sz w:val="18"/>
              </w:rPr>
              <w:t xml:space="preserve"> </w:t>
            </w:r>
            <w:r>
              <w:rPr>
                <w:sz w:val="18"/>
              </w:rPr>
              <w:t>management</w:t>
            </w:r>
            <w:r>
              <w:rPr>
                <w:spacing w:val="-3"/>
                <w:sz w:val="18"/>
              </w:rPr>
              <w:t xml:space="preserve"> </w:t>
            </w:r>
            <w:r>
              <w:rPr>
                <w:sz w:val="18"/>
              </w:rPr>
              <w:t>action</w:t>
            </w:r>
            <w:r>
              <w:rPr>
                <w:spacing w:val="-2"/>
                <w:sz w:val="18"/>
              </w:rPr>
              <w:t xml:space="preserve"> </w:t>
            </w:r>
            <w:r>
              <w:rPr>
                <w:sz w:val="18"/>
              </w:rPr>
              <w:t>was</w:t>
            </w:r>
            <w:r>
              <w:rPr>
                <w:spacing w:val="-3"/>
                <w:sz w:val="18"/>
              </w:rPr>
              <w:t xml:space="preserve"> </w:t>
            </w:r>
            <w:r>
              <w:rPr>
                <w:sz w:val="18"/>
              </w:rPr>
              <w:t>taken</w:t>
            </w:r>
            <w:r>
              <w:rPr>
                <w:spacing w:val="-3"/>
                <w:sz w:val="18"/>
              </w:rPr>
              <w:t xml:space="preserve"> </w:t>
            </w:r>
            <w:r>
              <w:rPr>
                <w:sz w:val="18"/>
              </w:rPr>
              <w:t>to</w:t>
            </w:r>
            <w:r>
              <w:rPr>
                <w:spacing w:val="-3"/>
                <w:sz w:val="18"/>
              </w:rPr>
              <w:t xml:space="preserve"> </w:t>
            </w:r>
            <w:r>
              <w:rPr>
                <w:sz w:val="18"/>
              </w:rPr>
              <w:t xml:space="preserve">address </w:t>
            </w:r>
            <w:r>
              <w:rPr>
                <w:spacing w:val="-2"/>
                <w:sz w:val="18"/>
              </w:rPr>
              <w:t>them.</w:t>
            </w:r>
          </w:p>
          <w:p w14:paraId="69D122A6" w14:textId="77777777" w:rsidR="00141B97" w:rsidRDefault="00911D63">
            <w:pPr>
              <w:pStyle w:val="TableParagraph"/>
              <w:spacing w:line="219" w:lineRule="exact"/>
              <w:ind w:left="98"/>
              <w:rPr>
                <w:sz w:val="18"/>
              </w:rPr>
            </w:pPr>
            <w:r>
              <w:rPr>
                <w:sz w:val="18"/>
              </w:rPr>
              <w:t>Customer</w:t>
            </w:r>
            <w:r>
              <w:rPr>
                <w:spacing w:val="-3"/>
                <w:sz w:val="18"/>
              </w:rPr>
              <w:t xml:space="preserve"> </w:t>
            </w:r>
            <w:r>
              <w:rPr>
                <w:sz w:val="18"/>
              </w:rPr>
              <w:t>prices</w:t>
            </w:r>
            <w:r>
              <w:rPr>
                <w:spacing w:val="-3"/>
                <w:sz w:val="18"/>
              </w:rPr>
              <w:t xml:space="preserve"> </w:t>
            </w:r>
            <w:r>
              <w:rPr>
                <w:sz w:val="18"/>
              </w:rPr>
              <w:t>within</w:t>
            </w:r>
            <w:r>
              <w:rPr>
                <w:spacing w:val="-3"/>
                <w:sz w:val="18"/>
              </w:rPr>
              <w:t xml:space="preserve"> </w:t>
            </w:r>
            <w:r>
              <w:rPr>
                <w:sz w:val="18"/>
              </w:rPr>
              <w:t>approved</w:t>
            </w:r>
            <w:r>
              <w:rPr>
                <w:spacing w:val="-4"/>
                <w:sz w:val="18"/>
              </w:rPr>
              <w:t xml:space="preserve"> </w:t>
            </w:r>
            <w:r>
              <w:rPr>
                <w:sz w:val="18"/>
              </w:rPr>
              <w:t>price</w:t>
            </w:r>
            <w:r>
              <w:rPr>
                <w:spacing w:val="-3"/>
                <w:sz w:val="18"/>
              </w:rPr>
              <w:t xml:space="preserve"> </w:t>
            </w:r>
            <w:r>
              <w:rPr>
                <w:spacing w:val="-2"/>
                <w:sz w:val="18"/>
              </w:rPr>
              <w:t>path.</w:t>
            </w:r>
          </w:p>
        </w:tc>
        <w:tc>
          <w:tcPr>
            <w:tcW w:w="1518" w:type="dxa"/>
            <w:tcBorders>
              <w:right w:val="nil"/>
            </w:tcBorders>
            <w:shd w:val="clear" w:color="auto" w:fill="CCE2ED"/>
          </w:tcPr>
          <w:p w14:paraId="172B24EE" w14:textId="77777777" w:rsidR="00141B97" w:rsidRDefault="00911D63">
            <w:pPr>
              <w:pStyle w:val="TableParagraph"/>
              <w:ind w:left="218" w:right="211"/>
              <w:jc w:val="center"/>
              <w:rPr>
                <w:sz w:val="18"/>
              </w:rPr>
            </w:pPr>
            <w:r>
              <w:rPr>
                <w:spacing w:val="-5"/>
                <w:sz w:val="18"/>
              </w:rPr>
              <w:t>2.5</w:t>
            </w:r>
          </w:p>
          <w:p w14:paraId="6D348424" w14:textId="77777777" w:rsidR="00141B97" w:rsidRDefault="00911D63">
            <w:pPr>
              <w:pStyle w:val="TableParagraph"/>
              <w:ind w:left="221" w:right="211"/>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23DBCD64" w14:textId="77777777">
        <w:trPr>
          <w:trHeight w:val="1422"/>
          <w:tblCellSpacing w:w="9" w:type="dxa"/>
        </w:trPr>
        <w:tc>
          <w:tcPr>
            <w:tcW w:w="2880" w:type="dxa"/>
            <w:tcBorders>
              <w:left w:val="nil"/>
            </w:tcBorders>
            <w:shd w:val="clear" w:color="auto" w:fill="CCE2ED"/>
          </w:tcPr>
          <w:p w14:paraId="2B06B5D2" w14:textId="77777777" w:rsidR="00141B97" w:rsidRDefault="00911D63">
            <w:pPr>
              <w:pStyle w:val="TableParagraph"/>
              <w:spacing w:before="2" w:line="259" w:lineRule="auto"/>
              <w:ind w:left="88" w:right="107"/>
              <w:rPr>
                <w:sz w:val="18"/>
              </w:rPr>
            </w:pPr>
            <w:r>
              <w:rPr>
                <w:sz w:val="18"/>
              </w:rPr>
              <w:t>How does actual operating expenditure across the current period</w:t>
            </w:r>
            <w:r>
              <w:rPr>
                <w:spacing w:val="-5"/>
                <w:sz w:val="18"/>
              </w:rPr>
              <w:t xml:space="preserve"> </w:t>
            </w:r>
            <w:r>
              <w:rPr>
                <w:sz w:val="18"/>
              </w:rPr>
              <w:t>compare</w:t>
            </w:r>
            <w:r>
              <w:rPr>
                <w:spacing w:val="-6"/>
                <w:sz w:val="18"/>
              </w:rPr>
              <w:t xml:space="preserve"> </w:t>
            </w:r>
            <w:r>
              <w:rPr>
                <w:sz w:val="18"/>
              </w:rPr>
              <w:t>with</w:t>
            </w:r>
            <w:r>
              <w:rPr>
                <w:spacing w:val="-5"/>
                <w:sz w:val="18"/>
              </w:rPr>
              <w:t xml:space="preserve"> </w:t>
            </w:r>
            <w:r>
              <w:rPr>
                <w:sz w:val="18"/>
              </w:rPr>
              <w:t>the</w:t>
            </w:r>
            <w:r>
              <w:rPr>
                <w:spacing w:val="-6"/>
                <w:sz w:val="18"/>
              </w:rPr>
              <w:t xml:space="preserve"> </w:t>
            </w:r>
            <w:r>
              <w:rPr>
                <w:sz w:val="18"/>
              </w:rPr>
              <w:t>established benchmark allowance, and to what extent has the business rationalised</w:t>
            </w:r>
          </w:p>
          <w:p w14:paraId="3B79F66E" w14:textId="77777777" w:rsidR="00141B97" w:rsidRDefault="00911D63">
            <w:pPr>
              <w:pStyle w:val="TableParagraph"/>
              <w:spacing w:line="214" w:lineRule="exact"/>
              <w:ind w:left="88"/>
              <w:rPr>
                <w:sz w:val="18"/>
              </w:rPr>
            </w:pPr>
            <w:r>
              <w:rPr>
                <w:sz w:val="18"/>
              </w:rPr>
              <w:t>any</w:t>
            </w:r>
            <w:r>
              <w:rPr>
                <w:spacing w:val="-1"/>
                <w:sz w:val="18"/>
              </w:rPr>
              <w:t xml:space="preserve"> </w:t>
            </w:r>
            <w:r>
              <w:rPr>
                <w:spacing w:val="-2"/>
                <w:sz w:val="18"/>
              </w:rPr>
              <w:t>discrepancies?</w:t>
            </w:r>
          </w:p>
        </w:tc>
        <w:tc>
          <w:tcPr>
            <w:tcW w:w="5345" w:type="dxa"/>
            <w:shd w:val="clear" w:color="auto" w:fill="CCE2ED"/>
          </w:tcPr>
          <w:p w14:paraId="50EFBC31" w14:textId="77777777" w:rsidR="00141B97" w:rsidRDefault="00911D63">
            <w:pPr>
              <w:pStyle w:val="TableParagraph"/>
              <w:spacing w:before="1"/>
              <w:ind w:left="98"/>
              <w:rPr>
                <w:sz w:val="18"/>
              </w:rPr>
            </w:pPr>
            <w:r>
              <w:rPr>
                <w:sz w:val="18"/>
              </w:rPr>
              <w:t>Actual controllable operating expenditure higher than benchmark allowances due to higher labour and other requirements to maintain services</w:t>
            </w:r>
            <w:r>
              <w:rPr>
                <w:spacing w:val="-3"/>
                <w:sz w:val="18"/>
              </w:rPr>
              <w:t xml:space="preserve"> </w:t>
            </w:r>
            <w:r>
              <w:rPr>
                <w:sz w:val="18"/>
              </w:rPr>
              <w:t>and</w:t>
            </w:r>
            <w:r>
              <w:rPr>
                <w:spacing w:val="-2"/>
                <w:sz w:val="18"/>
              </w:rPr>
              <w:t xml:space="preserve"> </w:t>
            </w:r>
            <w:r>
              <w:rPr>
                <w:sz w:val="18"/>
              </w:rPr>
              <w:t>deliver</w:t>
            </w:r>
            <w:r>
              <w:rPr>
                <w:spacing w:val="-2"/>
                <w:sz w:val="18"/>
              </w:rPr>
              <w:t xml:space="preserve"> </w:t>
            </w:r>
            <w:r>
              <w:rPr>
                <w:sz w:val="18"/>
              </w:rPr>
              <w:t>improved</w:t>
            </w:r>
            <w:r>
              <w:rPr>
                <w:spacing w:val="-2"/>
                <w:sz w:val="18"/>
              </w:rPr>
              <w:t xml:space="preserve"> </w:t>
            </w:r>
            <w:r>
              <w:rPr>
                <w:sz w:val="18"/>
              </w:rPr>
              <w:t>governance</w:t>
            </w:r>
            <w:r>
              <w:rPr>
                <w:spacing w:val="-3"/>
                <w:sz w:val="18"/>
              </w:rPr>
              <w:t xml:space="preserve"> </w:t>
            </w:r>
            <w:r>
              <w:rPr>
                <w:sz w:val="18"/>
              </w:rPr>
              <w:t>and</w:t>
            </w:r>
            <w:r>
              <w:rPr>
                <w:spacing w:val="-4"/>
                <w:sz w:val="18"/>
              </w:rPr>
              <w:t xml:space="preserve"> </w:t>
            </w:r>
            <w:r>
              <w:rPr>
                <w:sz w:val="18"/>
              </w:rPr>
              <w:t>compliance,</w:t>
            </w:r>
            <w:r>
              <w:rPr>
                <w:spacing w:val="-3"/>
                <w:sz w:val="18"/>
              </w:rPr>
              <w:t xml:space="preserve"> </w:t>
            </w:r>
            <w:r>
              <w:rPr>
                <w:sz w:val="18"/>
              </w:rPr>
              <w:t>as</w:t>
            </w:r>
            <w:r>
              <w:rPr>
                <w:spacing w:val="-2"/>
                <w:sz w:val="18"/>
              </w:rPr>
              <w:t xml:space="preserve"> </w:t>
            </w:r>
            <w:r>
              <w:rPr>
                <w:sz w:val="18"/>
              </w:rPr>
              <w:t>well</w:t>
            </w:r>
            <w:r>
              <w:rPr>
                <w:spacing w:val="-3"/>
                <w:sz w:val="18"/>
              </w:rPr>
              <w:t xml:space="preserve"> </w:t>
            </w:r>
            <w:r>
              <w:rPr>
                <w:sz w:val="18"/>
              </w:rPr>
              <w:t>as external factors such as the pandemic and cost increases.</w:t>
            </w:r>
          </w:p>
          <w:p w14:paraId="181382AA" w14:textId="77777777" w:rsidR="00141B97" w:rsidRDefault="00911D63">
            <w:pPr>
              <w:pStyle w:val="TableParagraph"/>
              <w:ind w:left="98" w:right="197"/>
              <w:rPr>
                <w:sz w:val="18"/>
              </w:rPr>
            </w:pPr>
            <w:r>
              <w:rPr>
                <w:sz w:val="18"/>
              </w:rPr>
              <w:t>Variations</w:t>
            </w:r>
            <w:r>
              <w:rPr>
                <w:spacing w:val="-2"/>
                <w:sz w:val="18"/>
              </w:rPr>
              <w:t xml:space="preserve"> </w:t>
            </w:r>
            <w:r>
              <w:rPr>
                <w:sz w:val="18"/>
              </w:rPr>
              <w:t>to</w:t>
            </w:r>
            <w:r>
              <w:rPr>
                <w:spacing w:val="-3"/>
                <w:sz w:val="18"/>
              </w:rPr>
              <w:t xml:space="preserve"> </w:t>
            </w:r>
            <w:r>
              <w:rPr>
                <w:sz w:val="18"/>
              </w:rPr>
              <w:t>controllable</w:t>
            </w:r>
            <w:r>
              <w:rPr>
                <w:spacing w:val="-2"/>
                <w:sz w:val="18"/>
              </w:rPr>
              <w:t xml:space="preserve"> </w:t>
            </w:r>
            <w:r>
              <w:rPr>
                <w:sz w:val="18"/>
              </w:rPr>
              <w:t>expenditure</w:t>
            </w:r>
            <w:r>
              <w:rPr>
                <w:spacing w:val="-3"/>
                <w:sz w:val="18"/>
              </w:rPr>
              <w:t xml:space="preserve"> </w:t>
            </w:r>
            <w:r>
              <w:rPr>
                <w:sz w:val="18"/>
              </w:rPr>
              <w:t>are</w:t>
            </w:r>
            <w:r>
              <w:rPr>
                <w:spacing w:val="-3"/>
                <w:sz w:val="18"/>
              </w:rPr>
              <w:t xml:space="preserve"> </w:t>
            </w:r>
            <w:r>
              <w:rPr>
                <w:sz w:val="18"/>
              </w:rPr>
              <w:t>clearly</w:t>
            </w:r>
            <w:r>
              <w:rPr>
                <w:spacing w:val="-2"/>
                <w:sz w:val="18"/>
              </w:rPr>
              <w:t xml:space="preserve"> </w:t>
            </w:r>
            <w:r>
              <w:rPr>
                <w:sz w:val="18"/>
              </w:rPr>
              <w:t>identified</w:t>
            </w:r>
            <w:r>
              <w:rPr>
                <w:spacing w:val="-2"/>
                <w:sz w:val="18"/>
              </w:rPr>
              <w:t xml:space="preserve"> </w:t>
            </w:r>
            <w:r>
              <w:rPr>
                <w:sz w:val="18"/>
              </w:rPr>
              <w:t>and explained in terms of impact on customer value.</w:t>
            </w:r>
          </w:p>
        </w:tc>
        <w:tc>
          <w:tcPr>
            <w:tcW w:w="1518" w:type="dxa"/>
            <w:tcBorders>
              <w:right w:val="nil"/>
            </w:tcBorders>
            <w:shd w:val="clear" w:color="auto" w:fill="CCE2ED"/>
          </w:tcPr>
          <w:p w14:paraId="3F886596" w14:textId="77777777" w:rsidR="00141B97" w:rsidRDefault="00911D63">
            <w:pPr>
              <w:pStyle w:val="TableParagraph"/>
              <w:spacing w:before="1"/>
              <w:ind w:left="220" w:right="211"/>
              <w:jc w:val="center"/>
              <w:rPr>
                <w:sz w:val="18"/>
              </w:rPr>
            </w:pPr>
            <w:r>
              <w:rPr>
                <w:spacing w:val="-5"/>
                <w:sz w:val="18"/>
              </w:rPr>
              <w:t>2.0</w:t>
            </w:r>
          </w:p>
          <w:p w14:paraId="6EADFD50" w14:textId="77777777" w:rsidR="00141B97" w:rsidRDefault="00911D63">
            <w:pPr>
              <w:pStyle w:val="TableParagraph"/>
              <w:ind w:left="383" w:right="370" w:hanging="2"/>
              <w:jc w:val="center"/>
              <w:rPr>
                <w:sz w:val="18"/>
              </w:rPr>
            </w:pPr>
            <w:r>
              <w:rPr>
                <w:spacing w:val="-2"/>
                <w:sz w:val="18"/>
              </w:rPr>
              <w:t>Satisfied</w:t>
            </w:r>
            <w:r>
              <w:rPr>
                <w:sz w:val="18"/>
              </w:rPr>
              <w:t xml:space="preserve"> </w:t>
            </w:r>
            <w:r>
              <w:rPr>
                <w:spacing w:val="-2"/>
                <w:sz w:val="18"/>
              </w:rPr>
              <w:t>‘Standard’</w:t>
            </w:r>
          </w:p>
        </w:tc>
      </w:tr>
      <w:tr w:rsidR="00141B97" w14:paraId="415C44C3" w14:textId="77777777">
        <w:trPr>
          <w:trHeight w:val="2371"/>
          <w:tblCellSpacing w:w="9" w:type="dxa"/>
        </w:trPr>
        <w:tc>
          <w:tcPr>
            <w:tcW w:w="2880" w:type="dxa"/>
            <w:tcBorders>
              <w:left w:val="nil"/>
            </w:tcBorders>
            <w:shd w:val="clear" w:color="auto" w:fill="CCE2ED"/>
          </w:tcPr>
          <w:p w14:paraId="42633B63" w14:textId="77777777" w:rsidR="00141B97" w:rsidRDefault="00911D63">
            <w:pPr>
              <w:pStyle w:val="TableParagraph"/>
              <w:spacing w:before="2" w:line="259" w:lineRule="auto"/>
              <w:ind w:left="88" w:right="107"/>
              <w:rPr>
                <w:sz w:val="18"/>
              </w:rPr>
            </w:pPr>
            <w:r>
              <w:rPr>
                <w:sz w:val="18"/>
              </w:rPr>
              <w:t>How</w:t>
            </w:r>
            <w:r>
              <w:rPr>
                <w:spacing w:val="-4"/>
                <w:sz w:val="18"/>
              </w:rPr>
              <w:t xml:space="preserve"> </w:t>
            </w:r>
            <w:r>
              <w:rPr>
                <w:sz w:val="18"/>
              </w:rPr>
              <w:t>does</w:t>
            </w:r>
            <w:r>
              <w:rPr>
                <w:spacing w:val="-5"/>
                <w:sz w:val="18"/>
              </w:rPr>
              <w:t xml:space="preserve"> </w:t>
            </w:r>
            <w:r>
              <w:rPr>
                <w:sz w:val="18"/>
              </w:rPr>
              <w:t>actual</w:t>
            </w:r>
            <w:r>
              <w:rPr>
                <w:spacing w:val="-6"/>
                <w:sz w:val="18"/>
              </w:rPr>
              <w:t xml:space="preserve"> </w:t>
            </w:r>
            <w:r>
              <w:rPr>
                <w:sz w:val="18"/>
              </w:rPr>
              <w:t>capital</w:t>
            </w:r>
            <w:r>
              <w:rPr>
                <w:spacing w:val="-4"/>
                <w:sz w:val="18"/>
              </w:rPr>
              <w:t xml:space="preserve"> </w:t>
            </w:r>
            <w:r>
              <w:rPr>
                <w:sz w:val="18"/>
              </w:rPr>
              <w:t xml:space="preserve">expenditure across the current period compare with the established benchmark allowance, and to what extent has the business rationalised any </w:t>
            </w:r>
            <w:r>
              <w:rPr>
                <w:spacing w:val="-2"/>
                <w:sz w:val="18"/>
              </w:rPr>
              <w:t>discrepancies?</w:t>
            </w:r>
          </w:p>
        </w:tc>
        <w:tc>
          <w:tcPr>
            <w:tcW w:w="5345" w:type="dxa"/>
            <w:shd w:val="clear" w:color="auto" w:fill="CCE2ED"/>
          </w:tcPr>
          <w:p w14:paraId="73EA186F" w14:textId="77777777" w:rsidR="00141B97" w:rsidRDefault="00911D63">
            <w:pPr>
              <w:pStyle w:val="TableParagraph"/>
              <w:spacing w:before="2" w:line="259" w:lineRule="auto"/>
              <w:ind w:left="98" w:right="197"/>
              <w:rPr>
                <w:sz w:val="18"/>
              </w:rPr>
            </w:pPr>
            <w:r>
              <w:rPr>
                <w:sz w:val="18"/>
              </w:rPr>
              <w:t>Actual</w:t>
            </w:r>
            <w:r>
              <w:rPr>
                <w:spacing w:val="-1"/>
                <w:sz w:val="18"/>
              </w:rPr>
              <w:t xml:space="preserve"> </w:t>
            </w:r>
            <w:r>
              <w:rPr>
                <w:sz w:val="18"/>
              </w:rPr>
              <w:t>capital</w:t>
            </w:r>
            <w:r>
              <w:rPr>
                <w:spacing w:val="-2"/>
                <w:sz w:val="18"/>
              </w:rPr>
              <w:t xml:space="preserve"> </w:t>
            </w:r>
            <w:r>
              <w:rPr>
                <w:sz w:val="18"/>
              </w:rPr>
              <w:t>expenditure</w:t>
            </w:r>
            <w:r>
              <w:rPr>
                <w:spacing w:val="-2"/>
                <w:sz w:val="18"/>
              </w:rPr>
              <w:t xml:space="preserve"> </w:t>
            </w:r>
            <w:r>
              <w:rPr>
                <w:sz w:val="18"/>
              </w:rPr>
              <w:t>delivered</w:t>
            </w:r>
            <w:r>
              <w:rPr>
                <w:spacing w:val="-2"/>
                <w:sz w:val="18"/>
              </w:rPr>
              <w:t xml:space="preserve"> </w:t>
            </w:r>
            <w:r>
              <w:rPr>
                <w:sz w:val="18"/>
              </w:rPr>
              <w:t>to</w:t>
            </w:r>
            <w:r>
              <w:rPr>
                <w:spacing w:val="-2"/>
                <w:sz w:val="18"/>
              </w:rPr>
              <w:t xml:space="preserve"> </w:t>
            </w:r>
            <w:r>
              <w:rPr>
                <w:sz w:val="18"/>
              </w:rPr>
              <w:t>date</w:t>
            </w:r>
            <w:r>
              <w:rPr>
                <w:spacing w:val="-1"/>
                <w:sz w:val="18"/>
              </w:rPr>
              <w:t xml:space="preserve"> </w:t>
            </w:r>
            <w:r>
              <w:rPr>
                <w:sz w:val="18"/>
              </w:rPr>
              <w:t>and</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completed</w:t>
            </w:r>
            <w:r>
              <w:rPr>
                <w:spacing w:val="-1"/>
                <w:sz w:val="18"/>
              </w:rPr>
              <w:t xml:space="preserve"> </w:t>
            </w:r>
            <w:r>
              <w:rPr>
                <w:sz w:val="18"/>
              </w:rPr>
              <w:t>in current period, is or will be very close to the approved benchmark allowance.</w:t>
            </w:r>
            <w:r>
              <w:rPr>
                <w:spacing w:val="-4"/>
                <w:sz w:val="18"/>
              </w:rPr>
              <w:t xml:space="preserve"> </w:t>
            </w:r>
            <w:r>
              <w:rPr>
                <w:sz w:val="18"/>
              </w:rPr>
              <w:t>The</w:t>
            </w:r>
            <w:r>
              <w:rPr>
                <w:spacing w:val="-2"/>
                <w:sz w:val="18"/>
              </w:rPr>
              <w:t xml:space="preserve"> </w:t>
            </w:r>
            <w:r>
              <w:rPr>
                <w:sz w:val="18"/>
              </w:rPr>
              <w:t>Top</w:t>
            </w:r>
            <w:r>
              <w:rPr>
                <w:spacing w:val="-2"/>
                <w:sz w:val="18"/>
              </w:rPr>
              <w:t xml:space="preserve"> </w:t>
            </w:r>
            <w:r>
              <w:rPr>
                <w:sz w:val="18"/>
              </w:rPr>
              <w:t>10</w:t>
            </w:r>
            <w:r>
              <w:rPr>
                <w:spacing w:val="-2"/>
                <w:sz w:val="18"/>
              </w:rPr>
              <w:t xml:space="preserve"> </w:t>
            </w:r>
            <w:r>
              <w:rPr>
                <w:sz w:val="18"/>
              </w:rPr>
              <w:t>projects</w:t>
            </w:r>
            <w:r>
              <w:rPr>
                <w:spacing w:val="-3"/>
                <w:sz w:val="18"/>
              </w:rPr>
              <w:t xml:space="preserve"> </w:t>
            </w:r>
            <w:r>
              <w:rPr>
                <w:sz w:val="18"/>
              </w:rPr>
              <w:t>and</w:t>
            </w:r>
            <w:r>
              <w:rPr>
                <w:spacing w:val="-2"/>
                <w:sz w:val="18"/>
              </w:rPr>
              <w:t xml:space="preserve"> </w:t>
            </w:r>
            <w:r>
              <w:rPr>
                <w:sz w:val="18"/>
              </w:rPr>
              <w:t>renewals</w:t>
            </w:r>
            <w:r>
              <w:rPr>
                <w:spacing w:val="-3"/>
                <w:sz w:val="18"/>
              </w:rPr>
              <w:t xml:space="preserve"> </w:t>
            </w:r>
            <w:r>
              <w:rPr>
                <w:sz w:val="18"/>
              </w:rPr>
              <w:t>programs</w:t>
            </w:r>
            <w:r>
              <w:rPr>
                <w:spacing w:val="-3"/>
                <w:sz w:val="18"/>
              </w:rPr>
              <w:t xml:space="preserve"> </w:t>
            </w:r>
            <w:r>
              <w:rPr>
                <w:sz w:val="18"/>
              </w:rPr>
              <w:t>have</w:t>
            </w:r>
            <w:r>
              <w:rPr>
                <w:spacing w:val="-3"/>
                <w:sz w:val="18"/>
              </w:rPr>
              <w:t xml:space="preserve"> </w:t>
            </w:r>
            <w:r>
              <w:rPr>
                <w:sz w:val="18"/>
              </w:rPr>
              <w:t>largely been delivered on time and budget, with some clearly explained material variations. There was an improving trend in the volume of capital works delivered each year of the PS4 period. The program delivery maintained or met regulatory obligations and customer outcomes commitments, including reporting to customers.</w:t>
            </w:r>
          </w:p>
          <w:p w14:paraId="76B8417F" w14:textId="77777777" w:rsidR="00141B97" w:rsidRDefault="00911D63">
            <w:pPr>
              <w:pStyle w:val="TableParagraph"/>
              <w:spacing w:line="218" w:lineRule="exact"/>
              <w:ind w:left="98"/>
              <w:rPr>
                <w:sz w:val="18"/>
              </w:rPr>
            </w:pPr>
            <w:r>
              <w:rPr>
                <w:sz w:val="18"/>
              </w:rPr>
              <w:t>There</w:t>
            </w:r>
            <w:r>
              <w:rPr>
                <w:spacing w:val="-1"/>
                <w:sz w:val="18"/>
              </w:rPr>
              <w:t xml:space="preserve"> </w:t>
            </w:r>
            <w:r>
              <w:rPr>
                <w:sz w:val="18"/>
              </w:rPr>
              <w:t>were</w:t>
            </w:r>
            <w:r>
              <w:rPr>
                <w:spacing w:val="-1"/>
                <w:sz w:val="18"/>
              </w:rPr>
              <w:t xml:space="preserve"> </w:t>
            </w:r>
            <w:r>
              <w:rPr>
                <w:sz w:val="18"/>
              </w:rPr>
              <w:t>no</w:t>
            </w:r>
            <w:r>
              <w:rPr>
                <w:spacing w:val="-2"/>
                <w:sz w:val="18"/>
              </w:rPr>
              <w:t xml:space="preserve"> </w:t>
            </w:r>
            <w:r>
              <w:rPr>
                <w:sz w:val="18"/>
              </w:rPr>
              <w:t>significant</w:t>
            </w:r>
            <w:r>
              <w:rPr>
                <w:spacing w:val="-1"/>
                <w:sz w:val="18"/>
              </w:rPr>
              <w:t xml:space="preserve"> </w:t>
            </w:r>
            <w:r>
              <w:rPr>
                <w:sz w:val="18"/>
              </w:rPr>
              <w:t>uncertain</w:t>
            </w:r>
            <w:r>
              <w:rPr>
                <w:spacing w:val="-2"/>
                <w:sz w:val="18"/>
              </w:rPr>
              <w:t xml:space="preserve"> </w:t>
            </w:r>
            <w:r>
              <w:rPr>
                <w:sz w:val="18"/>
              </w:rPr>
              <w:t>capital projects</w:t>
            </w:r>
            <w:r>
              <w:rPr>
                <w:spacing w:val="-2"/>
                <w:sz w:val="18"/>
              </w:rPr>
              <w:t xml:space="preserve"> </w:t>
            </w:r>
            <w:r>
              <w:rPr>
                <w:sz w:val="18"/>
              </w:rPr>
              <w:t>nominated</w:t>
            </w:r>
            <w:r>
              <w:rPr>
                <w:spacing w:val="-1"/>
                <w:sz w:val="18"/>
              </w:rPr>
              <w:t xml:space="preserve"> </w:t>
            </w:r>
            <w:r>
              <w:rPr>
                <w:spacing w:val="-5"/>
                <w:sz w:val="18"/>
              </w:rPr>
              <w:t>or</w:t>
            </w:r>
          </w:p>
          <w:p w14:paraId="15B5A9FD" w14:textId="77777777" w:rsidR="00141B97" w:rsidRDefault="00911D63">
            <w:pPr>
              <w:pStyle w:val="TableParagraph"/>
              <w:spacing w:before="17" w:line="216" w:lineRule="exact"/>
              <w:ind w:left="98"/>
              <w:rPr>
                <w:sz w:val="18"/>
              </w:rPr>
            </w:pPr>
            <w:r>
              <w:rPr>
                <w:sz w:val="18"/>
              </w:rPr>
              <w:t>delivered</w:t>
            </w:r>
            <w:r>
              <w:rPr>
                <w:spacing w:val="-2"/>
                <w:sz w:val="18"/>
              </w:rPr>
              <w:t xml:space="preserve"> </w:t>
            </w:r>
            <w:r>
              <w:rPr>
                <w:sz w:val="18"/>
              </w:rPr>
              <w:t>for the</w:t>
            </w:r>
            <w:r>
              <w:rPr>
                <w:spacing w:val="-2"/>
                <w:sz w:val="18"/>
              </w:rPr>
              <w:t xml:space="preserve"> </w:t>
            </w:r>
            <w:r>
              <w:rPr>
                <w:sz w:val="18"/>
              </w:rPr>
              <w:t>urban</w:t>
            </w:r>
            <w:r>
              <w:rPr>
                <w:spacing w:val="-1"/>
                <w:sz w:val="18"/>
              </w:rPr>
              <w:t xml:space="preserve"> </w:t>
            </w:r>
            <w:r>
              <w:rPr>
                <w:spacing w:val="-2"/>
                <w:sz w:val="18"/>
              </w:rPr>
              <w:t>business.</w:t>
            </w:r>
          </w:p>
        </w:tc>
        <w:tc>
          <w:tcPr>
            <w:tcW w:w="1518" w:type="dxa"/>
            <w:tcBorders>
              <w:right w:val="nil"/>
            </w:tcBorders>
            <w:shd w:val="clear" w:color="auto" w:fill="CCE2ED"/>
          </w:tcPr>
          <w:p w14:paraId="75470455" w14:textId="77777777" w:rsidR="00141B97" w:rsidRDefault="00911D63">
            <w:pPr>
              <w:pStyle w:val="TableParagraph"/>
              <w:spacing w:before="1"/>
              <w:ind w:left="220" w:right="211"/>
              <w:jc w:val="center"/>
              <w:rPr>
                <w:sz w:val="18"/>
              </w:rPr>
            </w:pPr>
            <w:r>
              <w:rPr>
                <w:spacing w:val="-5"/>
                <w:sz w:val="18"/>
              </w:rPr>
              <w:t>2.5</w:t>
            </w:r>
          </w:p>
          <w:p w14:paraId="407E1E46" w14:textId="77777777" w:rsidR="00141B97" w:rsidRDefault="00911D63">
            <w:pPr>
              <w:pStyle w:val="TableParagraph"/>
              <w:ind w:left="221" w:right="211"/>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2F0ECB1E" w14:textId="77777777">
        <w:trPr>
          <w:trHeight w:val="1422"/>
          <w:tblCellSpacing w:w="9" w:type="dxa"/>
        </w:trPr>
        <w:tc>
          <w:tcPr>
            <w:tcW w:w="2880" w:type="dxa"/>
            <w:tcBorders>
              <w:left w:val="nil"/>
            </w:tcBorders>
            <w:shd w:val="clear" w:color="auto" w:fill="CCE2ED"/>
          </w:tcPr>
          <w:p w14:paraId="0BC6C4CF" w14:textId="77777777" w:rsidR="00141B97" w:rsidRDefault="00911D63">
            <w:pPr>
              <w:pStyle w:val="TableParagraph"/>
              <w:spacing w:before="2" w:line="259" w:lineRule="auto"/>
              <w:ind w:left="88" w:right="99"/>
              <w:rPr>
                <w:sz w:val="18"/>
              </w:rPr>
            </w:pPr>
            <w:r>
              <w:rPr>
                <w:sz w:val="18"/>
              </w:rPr>
              <w:t>To what extent does customer sentiment demonstrate satisfaction in the business’s performance over the current regulatory period? Are customers</w:t>
            </w:r>
            <w:r>
              <w:rPr>
                <w:spacing w:val="-4"/>
                <w:sz w:val="18"/>
              </w:rPr>
              <w:t xml:space="preserve"> </w:t>
            </w:r>
            <w:r>
              <w:rPr>
                <w:sz w:val="18"/>
              </w:rPr>
              <w:t>happy</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value</w:t>
            </w:r>
            <w:r>
              <w:rPr>
                <w:spacing w:val="-4"/>
                <w:sz w:val="18"/>
              </w:rPr>
              <w:t xml:space="preserve"> </w:t>
            </w:r>
            <w:r>
              <w:rPr>
                <w:sz w:val="18"/>
              </w:rPr>
              <w:t>they</w:t>
            </w:r>
          </w:p>
          <w:p w14:paraId="6378F61D" w14:textId="77777777" w:rsidR="00141B97" w:rsidRDefault="00911D63">
            <w:pPr>
              <w:pStyle w:val="TableParagraph"/>
              <w:spacing w:line="214" w:lineRule="exact"/>
              <w:ind w:left="88"/>
              <w:rPr>
                <w:sz w:val="18"/>
              </w:rPr>
            </w:pPr>
            <w:r>
              <w:rPr>
                <w:sz w:val="18"/>
              </w:rPr>
              <w:t>receive</w:t>
            </w:r>
            <w:r>
              <w:rPr>
                <w:spacing w:val="-3"/>
                <w:sz w:val="18"/>
              </w:rPr>
              <w:t xml:space="preserve"> </w:t>
            </w:r>
            <w:r>
              <w:rPr>
                <w:sz w:val="18"/>
              </w:rPr>
              <w:t>from</w:t>
            </w:r>
            <w:r>
              <w:rPr>
                <w:spacing w:val="-1"/>
                <w:sz w:val="18"/>
              </w:rPr>
              <w:t xml:space="preserve"> </w:t>
            </w:r>
            <w:r>
              <w:rPr>
                <w:sz w:val="18"/>
              </w:rPr>
              <w:t>their</w:t>
            </w:r>
            <w:r>
              <w:rPr>
                <w:spacing w:val="-1"/>
                <w:sz w:val="18"/>
              </w:rPr>
              <w:t xml:space="preserve"> </w:t>
            </w:r>
            <w:r>
              <w:rPr>
                <w:sz w:val="18"/>
              </w:rPr>
              <w:t>water</w:t>
            </w:r>
            <w:r>
              <w:rPr>
                <w:spacing w:val="-1"/>
                <w:sz w:val="18"/>
              </w:rPr>
              <w:t xml:space="preserve"> </w:t>
            </w:r>
            <w:r>
              <w:rPr>
                <w:spacing w:val="-2"/>
                <w:sz w:val="18"/>
              </w:rPr>
              <w:t>business?</w:t>
            </w:r>
          </w:p>
        </w:tc>
        <w:tc>
          <w:tcPr>
            <w:tcW w:w="5345" w:type="dxa"/>
            <w:shd w:val="clear" w:color="auto" w:fill="CCE2ED"/>
          </w:tcPr>
          <w:p w14:paraId="3286AA3A" w14:textId="77777777" w:rsidR="00141B97" w:rsidRDefault="00911D63">
            <w:pPr>
              <w:pStyle w:val="TableParagraph"/>
              <w:spacing w:before="1"/>
              <w:ind w:left="98" w:right="197"/>
              <w:rPr>
                <w:sz w:val="18"/>
              </w:rPr>
            </w:pPr>
            <w:r>
              <w:rPr>
                <w:sz w:val="18"/>
              </w:rPr>
              <w:t>LMW consistently scores on par with the state‐wide average in the ESC’s</w:t>
            </w:r>
            <w:r>
              <w:rPr>
                <w:spacing w:val="-3"/>
                <w:sz w:val="18"/>
              </w:rPr>
              <w:t xml:space="preserve"> </w:t>
            </w:r>
            <w:r>
              <w:rPr>
                <w:sz w:val="18"/>
              </w:rPr>
              <w:t>quarterly</w:t>
            </w:r>
            <w:r>
              <w:rPr>
                <w:spacing w:val="-3"/>
                <w:sz w:val="18"/>
              </w:rPr>
              <w:t xml:space="preserve"> </w:t>
            </w:r>
            <w:r>
              <w:rPr>
                <w:sz w:val="18"/>
              </w:rPr>
              <w:t>customer</w:t>
            </w:r>
            <w:r>
              <w:rPr>
                <w:spacing w:val="-2"/>
                <w:sz w:val="18"/>
              </w:rPr>
              <w:t xml:space="preserve"> </w:t>
            </w:r>
            <w:r>
              <w:rPr>
                <w:sz w:val="18"/>
              </w:rPr>
              <w:t>perception</w:t>
            </w:r>
            <w:r>
              <w:rPr>
                <w:spacing w:val="-3"/>
                <w:sz w:val="18"/>
              </w:rPr>
              <w:t xml:space="preserve"> </w:t>
            </w:r>
            <w:r>
              <w:rPr>
                <w:sz w:val="18"/>
              </w:rPr>
              <w:t>survey,</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noticeable</w:t>
            </w:r>
            <w:r>
              <w:rPr>
                <w:spacing w:val="-3"/>
                <w:sz w:val="18"/>
              </w:rPr>
              <w:t xml:space="preserve"> </w:t>
            </w:r>
            <w:r>
              <w:rPr>
                <w:sz w:val="18"/>
              </w:rPr>
              <w:t>lift</w:t>
            </w:r>
            <w:r>
              <w:rPr>
                <w:spacing w:val="-3"/>
                <w:sz w:val="18"/>
              </w:rPr>
              <w:t xml:space="preserve"> </w:t>
            </w:r>
            <w:r>
              <w:rPr>
                <w:sz w:val="18"/>
              </w:rPr>
              <w:t>in positive customer sentiment across the period.</w:t>
            </w:r>
          </w:p>
          <w:p w14:paraId="733D37ED" w14:textId="77777777" w:rsidR="00141B97" w:rsidRDefault="00911D63">
            <w:pPr>
              <w:pStyle w:val="TableParagraph"/>
              <w:ind w:left="98" w:right="197"/>
              <w:rPr>
                <w:sz w:val="18"/>
              </w:rPr>
            </w:pPr>
            <w:r>
              <w:rPr>
                <w:sz w:val="18"/>
              </w:rPr>
              <w:t>LMW’s</w:t>
            </w:r>
            <w:r>
              <w:rPr>
                <w:spacing w:val="-3"/>
                <w:sz w:val="18"/>
              </w:rPr>
              <w:t xml:space="preserve"> </w:t>
            </w:r>
            <w:r>
              <w:rPr>
                <w:sz w:val="18"/>
              </w:rPr>
              <w:t>own</w:t>
            </w:r>
            <w:r>
              <w:rPr>
                <w:spacing w:val="-3"/>
                <w:sz w:val="18"/>
              </w:rPr>
              <w:t xml:space="preserve"> </w:t>
            </w:r>
            <w:r>
              <w:rPr>
                <w:sz w:val="18"/>
              </w:rPr>
              <w:t>customer</w:t>
            </w:r>
            <w:r>
              <w:rPr>
                <w:spacing w:val="-2"/>
                <w:sz w:val="18"/>
              </w:rPr>
              <w:t xml:space="preserve"> </w:t>
            </w:r>
            <w:r>
              <w:rPr>
                <w:sz w:val="18"/>
              </w:rPr>
              <w:t>survey</w:t>
            </w:r>
            <w:r>
              <w:rPr>
                <w:spacing w:val="-4"/>
                <w:sz w:val="18"/>
              </w:rPr>
              <w:t xml:space="preserve"> </w:t>
            </w:r>
            <w:r>
              <w:rPr>
                <w:sz w:val="18"/>
              </w:rPr>
              <w:t>work</w:t>
            </w:r>
            <w:r>
              <w:rPr>
                <w:spacing w:val="-4"/>
                <w:sz w:val="18"/>
              </w:rPr>
              <w:t xml:space="preserve"> </w:t>
            </w:r>
            <w:r>
              <w:rPr>
                <w:sz w:val="18"/>
              </w:rPr>
              <w:t>demonstrates</w:t>
            </w:r>
            <w:r>
              <w:rPr>
                <w:spacing w:val="-4"/>
                <w:sz w:val="18"/>
              </w:rPr>
              <w:t xml:space="preserve"> </w:t>
            </w:r>
            <w:r>
              <w:rPr>
                <w:sz w:val="18"/>
              </w:rPr>
              <w:t>it</w:t>
            </w:r>
            <w:r>
              <w:rPr>
                <w:spacing w:val="-4"/>
                <w:sz w:val="18"/>
              </w:rPr>
              <w:t xml:space="preserve"> </w:t>
            </w:r>
            <w:r>
              <w:rPr>
                <w:sz w:val="18"/>
              </w:rPr>
              <w:t>meets expectations or shows a positive trend across the period.</w:t>
            </w:r>
          </w:p>
        </w:tc>
        <w:tc>
          <w:tcPr>
            <w:tcW w:w="1518" w:type="dxa"/>
            <w:tcBorders>
              <w:right w:val="nil"/>
            </w:tcBorders>
            <w:shd w:val="clear" w:color="auto" w:fill="CCE2ED"/>
          </w:tcPr>
          <w:p w14:paraId="0E977C88" w14:textId="77777777" w:rsidR="00141B97" w:rsidRDefault="00911D63">
            <w:pPr>
              <w:pStyle w:val="TableParagraph"/>
              <w:spacing w:before="1"/>
              <w:ind w:left="220" w:right="211"/>
              <w:jc w:val="center"/>
              <w:rPr>
                <w:sz w:val="18"/>
              </w:rPr>
            </w:pPr>
            <w:r>
              <w:rPr>
                <w:spacing w:val="-5"/>
                <w:sz w:val="18"/>
              </w:rPr>
              <w:t>2.5</w:t>
            </w:r>
          </w:p>
          <w:p w14:paraId="64912394" w14:textId="77777777" w:rsidR="00141B97" w:rsidRDefault="00911D63">
            <w:pPr>
              <w:pStyle w:val="TableParagraph"/>
              <w:ind w:left="221" w:right="211"/>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57B4B750" w14:textId="77777777">
        <w:trPr>
          <w:trHeight w:val="283"/>
          <w:tblCellSpacing w:w="9" w:type="dxa"/>
        </w:trPr>
        <w:tc>
          <w:tcPr>
            <w:tcW w:w="9743" w:type="dxa"/>
            <w:gridSpan w:val="3"/>
            <w:tcBorders>
              <w:left w:val="nil"/>
              <w:right w:val="nil"/>
            </w:tcBorders>
            <w:shd w:val="clear" w:color="auto" w:fill="BFBFBF"/>
          </w:tcPr>
          <w:p w14:paraId="65931C62" w14:textId="77777777" w:rsidR="00141B97" w:rsidRDefault="00911D63">
            <w:pPr>
              <w:pStyle w:val="TableParagraph"/>
              <w:spacing w:before="32"/>
              <w:ind w:left="98"/>
              <w:rPr>
                <w:sz w:val="18"/>
              </w:rPr>
            </w:pPr>
            <w:r>
              <w:rPr>
                <w:spacing w:val="-4"/>
                <w:sz w:val="18"/>
              </w:rPr>
              <w:t>Risk</w:t>
            </w:r>
          </w:p>
        </w:tc>
      </w:tr>
      <w:tr w:rsidR="00141B97" w14:paraId="1F8E3FB8" w14:textId="77777777">
        <w:trPr>
          <w:trHeight w:val="4174"/>
          <w:tblCellSpacing w:w="9" w:type="dxa"/>
        </w:trPr>
        <w:tc>
          <w:tcPr>
            <w:tcW w:w="2880" w:type="dxa"/>
            <w:tcBorders>
              <w:left w:val="nil"/>
            </w:tcBorders>
            <w:shd w:val="clear" w:color="auto" w:fill="CCE2ED"/>
          </w:tcPr>
          <w:p w14:paraId="4AE95E7D" w14:textId="77777777" w:rsidR="00141B97" w:rsidRDefault="00911D63">
            <w:pPr>
              <w:pStyle w:val="TableParagraph"/>
              <w:ind w:left="88" w:right="156"/>
              <w:rPr>
                <w:sz w:val="18"/>
              </w:rPr>
            </w:pPr>
            <w:r>
              <w:rPr>
                <w:sz w:val="18"/>
              </w:rPr>
              <w:t>To what extent has the business demonstrated</w:t>
            </w:r>
            <w:r>
              <w:rPr>
                <w:spacing w:val="-5"/>
                <w:sz w:val="18"/>
              </w:rPr>
              <w:t xml:space="preserve"> </w:t>
            </w:r>
            <w:r>
              <w:rPr>
                <w:sz w:val="18"/>
              </w:rPr>
              <w:t>a</w:t>
            </w:r>
            <w:r>
              <w:rPr>
                <w:spacing w:val="-5"/>
                <w:sz w:val="18"/>
              </w:rPr>
              <w:t xml:space="preserve"> </w:t>
            </w:r>
            <w:r>
              <w:rPr>
                <w:sz w:val="18"/>
              </w:rPr>
              <w:t>robust</w:t>
            </w:r>
            <w:r>
              <w:rPr>
                <w:spacing w:val="-5"/>
                <w:sz w:val="18"/>
              </w:rPr>
              <w:t xml:space="preserve"> </w:t>
            </w:r>
            <w:r>
              <w:rPr>
                <w:sz w:val="18"/>
              </w:rPr>
              <w:t>process</w:t>
            </w:r>
            <w:r>
              <w:rPr>
                <w:spacing w:val="-5"/>
                <w:sz w:val="18"/>
              </w:rPr>
              <w:t xml:space="preserve"> </w:t>
            </w:r>
            <w:r>
              <w:rPr>
                <w:sz w:val="18"/>
              </w:rPr>
              <w:t xml:space="preserve">for identifying risk, and how it has decided who should bear these </w:t>
            </w:r>
            <w:r>
              <w:rPr>
                <w:spacing w:val="-2"/>
                <w:sz w:val="18"/>
              </w:rPr>
              <w:t>risks?</w:t>
            </w:r>
          </w:p>
        </w:tc>
        <w:tc>
          <w:tcPr>
            <w:tcW w:w="5345" w:type="dxa"/>
            <w:shd w:val="clear" w:color="auto" w:fill="CCE2ED"/>
          </w:tcPr>
          <w:p w14:paraId="75DAC6DC" w14:textId="77777777" w:rsidR="00141B97" w:rsidRDefault="00911D63">
            <w:pPr>
              <w:pStyle w:val="TableParagraph"/>
              <w:ind w:left="98" w:right="84"/>
              <w:rPr>
                <w:sz w:val="18"/>
              </w:rPr>
            </w:pPr>
            <w:r>
              <w:rPr>
                <w:sz w:val="18"/>
              </w:rPr>
              <w:t>LMW meets the requirements of the ESC’s Guidance Paper in relation to risk. The Risk Management Framework is aligned with ISO 31000. Risk allocation is in accordance with and extends the ESC’s suggested regulatory risks and has been reviewed and accepted by the Board. Significant</w:t>
            </w:r>
            <w:r>
              <w:rPr>
                <w:spacing w:val="-3"/>
                <w:sz w:val="18"/>
              </w:rPr>
              <w:t xml:space="preserve"> </w:t>
            </w:r>
            <w:r>
              <w:rPr>
                <w:sz w:val="18"/>
              </w:rPr>
              <w:t>risk</w:t>
            </w:r>
            <w:r>
              <w:rPr>
                <w:spacing w:val="-3"/>
                <w:sz w:val="18"/>
              </w:rPr>
              <w:t xml:space="preserve"> </w:t>
            </w:r>
            <w:r>
              <w:rPr>
                <w:sz w:val="18"/>
              </w:rPr>
              <w:t>implications</w:t>
            </w:r>
            <w:r>
              <w:rPr>
                <w:spacing w:val="-3"/>
                <w:sz w:val="18"/>
              </w:rPr>
              <w:t xml:space="preserve"> </w:t>
            </w:r>
            <w:r>
              <w:rPr>
                <w:sz w:val="18"/>
              </w:rPr>
              <w:t>for</w:t>
            </w:r>
            <w:r>
              <w:rPr>
                <w:spacing w:val="-2"/>
                <w:sz w:val="18"/>
              </w:rPr>
              <w:t xml:space="preserve"> </w:t>
            </w:r>
            <w:r>
              <w:rPr>
                <w:sz w:val="18"/>
              </w:rPr>
              <w:t>customers</w:t>
            </w:r>
            <w:r>
              <w:rPr>
                <w:spacing w:val="-3"/>
                <w:sz w:val="18"/>
              </w:rPr>
              <w:t xml:space="preserve"> </w:t>
            </w:r>
            <w:r>
              <w:rPr>
                <w:sz w:val="18"/>
              </w:rPr>
              <w:t>have</w:t>
            </w:r>
            <w:r>
              <w:rPr>
                <w:spacing w:val="-3"/>
                <w:sz w:val="18"/>
              </w:rPr>
              <w:t xml:space="preserve"> </w:t>
            </w:r>
            <w:r>
              <w:rPr>
                <w:sz w:val="18"/>
              </w:rPr>
              <w:t>been</w:t>
            </w:r>
            <w:r>
              <w:rPr>
                <w:spacing w:val="-2"/>
                <w:sz w:val="18"/>
              </w:rPr>
              <w:t xml:space="preserve"> </w:t>
            </w:r>
            <w:r>
              <w:rPr>
                <w:sz w:val="18"/>
              </w:rPr>
              <w:t>tested</w:t>
            </w:r>
            <w:r>
              <w:rPr>
                <w:spacing w:val="-3"/>
                <w:sz w:val="18"/>
              </w:rPr>
              <w:t xml:space="preserve"> </w:t>
            </w:r>
            <w:r>
              <w:rPr>
                <w:sz w:val="18"/>
              </w:rPr>
              <w:t>with</w:t>
            </w:r>
            <w:r>
              <w:rPr>
                <w:spacing w:val="-1"/>
                <w:sz w:val="18"/>
              </w:rPr>
              <w:t xml:space="preserve"> </w:t>
            </w:r>
            <w:r>
              <w:rPr>
                <w:sz w:val="18"/>
              </w:rPr>
              <w:t>them throughout the engagement process.</w:t>
            </w:r>
          </w:p>
          <w:p w14:paraId="650BE3E0" w14:textId="77777777" w:rsidR="00141B97" w:rsidRDefault="00911D63">
            <w:pPr>
              <w:pStyle w:val="TableParagraph"/>
              <w:ind w:left="98" w:right="134"/>
              <w:rPr>
                <w:sz w:val="18"/>
              </w:rPr>
            </w:pPr>
            <w:r>
              <w:rPr>
                <w:sz w:val="18"/>
              </w:rPr>
              <w:t>LMW</w:t>
            </w:r>
            <w:r>
              <w:rPr>
                <w:spacing w:val="-3"/>
                <w:sz w:val="18"/>
              </w:rPr>
              <w:t xml:space="preserve"> </w:t>
            </w:r>
            <w:r>
              <w:rPr>
                <w:sz w:val="18"/>
              </w:rPr>
              <w:t>has</w:t>
            </w:r>
            <w:r>
              <w:rPr>
                <w:spacing w:val="-3"/>
                <w:sz w:val="18"/>
              </w:rPr>
              <w:t xml:space="preserve"> </w:t>
            </w:r>
            <w:r>
              <w:rPr>
                <w:sz w:val="18"/>
              </w:rPr>
              <w:t>reduced</w:t>
            </w:r>
            <w:r>
              <w:rPr>
                <w:spacing w:val="-2"/>
                <w:sz w:val="18"/>
              </w:rPr>
              <w:t xml:space="preserve"> </w:t>
            </w:r>
            <w:r>
              <w:rPr>
                <w:sz w:val="18"/>
              </w:rPr>
              <w:t>budgets</w:t>
            </w:r>
            <w:r>
              <w:rPr>
                <w:spacing w:val="-3"/>
                <w:sz w:val="18"/>
              </w:rPr>
              <w:t xml:space="preserve"> </w:t>
            </w:r>
            <w:r>
              <w:rPr>
                <w:sz w:val="18"/>
              </w:rPr>
              <w:t>from</w:t>
            </w:r>
            <w:r>
              <w:rPr>
                <w:spacing w:val="-2"/>
                <w:sz w:val="18"/>
              </w:rPr>
              <w:t xml:space="preserve"> </w:t>
            </w:r>
            <w:r>
              <w:rPr>
                <w:sz w:val="18"/>
              </w:rPr>
              <w:t>actual</w:t>
            </w:r>
            <w:r>
              <w:rPr>
                <w:spacing w:val="-3"/>
                <w:sz w:val="18"/>
              </w:rPr>
              <w:t xml:space="preserve"> </w:t>
            </w:r>
            <w:r>
              <w:rPr>
                <w:sz w:val="18"/>
              </w:rPr>
              <w:t>expenditure</w:t>
            </w:r>
            <w:r>
              <w:rPr>
                <w:spacing w:val="-2"/>
                <w:sz w:val="18"/>
              </w:rPr>
              <w:t xml:space="preserve"> </w:t>
            </w:r>
            <w:r>
              <w:rPr>
                <w:sz w:val="18"/>
              </w:rPr>
              <w:t>in</w:t>
            </w:r>
            <w:r>
              <w:rPr>
                <w:spacing w:val="-2"/>
                <w:sz w:val="18"/>
              </w:rPr>
              <w:t xml:space="preserve"> </w:t>
            </w:r>
            <w:r>
              <w:rPr>
                <w:sz w:val="18"/>
              </w:rPr>
              <w:t>PS4</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number of core operational areas, with very little contingency incorporated</w:t>
            </w:r>
            <w:r>
              <w:rPr>
                <w:spacing w:val="40"/>
                <w:sz w:val="18"/>
              </w:rPr>
              <w:t xml:space="preserve"> </w:t>
            </w:r>
            <w:r>
              <w:rPr>
                <w:sz w:val="18"/>
              </w:rPr>
              <w:t>and no growth in headcount. The capital program is underpinned by detailed planning strategies, and projects and programs are based on appropriate scope definition and delivery timing. Cost estimates are robust for the level of scope definition, based on appropriate</w:t>
            </w:r>
            <w:r>
              <w:rPr>
                <w:spacing w:val="80"/>
                <w:sz w:val="18"/>
              </w:rPr>
              <w:t xml:space="preserve"> </w:t>
            </w:r>
            <w:r>
              <w:rPr>
                <w:sz w:val="18"/>
              </w:rPr>
              <w:t xml:space="preserve">internally collated or external rates, have included market cost escalation to date, and consider risks appropriate to each major </w:t>
            </w:r>
            <w:r>
              <w:rPr>
                <w:spacing w:val="-2"/>
                <w:sz w:val="18"/>
              </w:rPr>
              <w:t>project.</w:t>
            </w:r>
          </w:p>
          <w:p w14:paraId="1431EF41" w14:textId="77777777" w:rsidR="00141B97" w:rsidRDefault="00911D63">
            <w:pPr>
              <w:pStyle w:val="TableParagraph"/>
              <w:ind w:left="98" w:right="197"/>
              <w:rPr>
                <w:sz w:val="18"/>
              </w:rPr>
            </w:pPr>
            <w:r>
              <w:rPr>
                <w:sz w:val="18"/>
              </w:rPr>
              <w:t>Uncertain</w:t>
            </w:r>
            <w:r>
              <w:rPr>
                <w:spacing w:val="-2"/>
                <w:sz w:val="18"/>
              </w:rPr>
              <w:t xml:space="preserve"> </w:t>
            </w:r>
            <w:r>
              <w:rPr>
                <w:sz w:val="18"/>
              </w:rPr>
              <w:t>projects</w:t>
            </w:r>
            <w:r>
              <w:rPr>
                <w:spacing w:val="-2"/>
                <w:sz w:val="18"/>
              </w:rPr>
              <w:t xml:space="preserve"> </w:t>
            </w:r>
            <w:r>
              <w:rPr>
                <w:sz w:val="18"/>
              </w:rPr>
              <w:t>in</w:t>
            </w:r>
            <w:r>
              <w:rPr>
                <w:spacing w:val="-1"/>
                <w:sz w:val="18"/>
              </w:rPr>
              <w:t xml:space="preserve"> </w:t>
            </w:r>
            <w:r>
              <w:rPr>
                <w:sz w:val="18"/>
              </w:rPr>
              <w:t>terms</w:t>
            </w:r>
            <w:r>
              <w:rPr>
                <w:spacing w:val="-2"/>
                <w:sz w:val="18"/>
              </w:rPr>
              <w:t xml:space="preserve"> </w:t>
            </w:r>
            <w:r>
              <w:rPr>
                <w:sz w:val="18"/>
              </w:rPr>
              <w:t>of</w:t>
            </w:r>
            <w:r>
              <w:rPr>
                <w:spacing w:val="-1"/>
                <w:sz w:val="18"/>
              </w:rPr>
              <w:t xml:space="preserve"> </w:t>
            </w:r>
            <w:r>
              <w:rPr>
                <w:sz w:val="18"/>
              </w:rPr>
              <w:t>scope</w:t>
            </w:r>
            <w:r>
              <w:rPr>
                <w:spacing w:val="-2"/>
                <w:sz w:val="18"/>
              </w:rPr>
              <w:t xml:space="preserve"> </w:t>
            </w:r>
            <w:r>
              <w:rPr>
                <w:sz w:val="18"/>
              </w:rPr>
              <w:t>or</w:t>
            </w:r>
            <w:r>
              <w:rPr>
                <w:spacing w:val="-1"/>
                <w:sz w:val="18"/>
              </w:rPr>
              <w:t xml:space="preserve"> </w:t>
            </w:r>
            <w:r>
              <w:rPr>
                <w:sz w:val="18"/>
              </w:rPr>
              <w:t>timing</w:t>
            </w:r>
            <w:r>
              <w:rPr>
                <w:spacing w:val="-2"/>
                <w:sz w:val="18"/>
              </w:rPr>
              <w:t xml:space="preserve"> </w:t>
            </w:r>
            <w:r>
              <w:rPr>
                <w:sz w:val="18"/>
              </w:rPr>
              <w:t>have</w:t>
            </w:r>
            <w:r>
              <w:rPr>
                <w:spacing w:val="-2"/>
                <w:sz w:val="18"/>
              </w:rPr>
              <w:t xml:space="preserve"> </w:t>
            </w:r>
            <w:r>
              <w:rPr>
                <w:sz w:val="18"/>
              </w:rPr>
              <w:t>been</w:t>
            </w:r>
            <w:r>
              <w:rPr>
                <w:spacing w:val="-1"/>
                <w:sz w:val="18"/>
              </w:rPr>
              <w:t xml:space="preserve"> </w:t>
            </w:r>
            <w:r>
              <w:rPr>
                <w:sz w:val="18"/>
              </w:rPr>
              <w:t>nominated as uncertain projects.</w:t>
            </w:r>
          </w:p>
          <w:p w14:paraId="5AB45326" w14:textId="77777777" w:rsidR="00141B97" w:rsidRDefault="00911D63">
            <w:pPr>
              <w:pStyle w:val="TableParagraph"/>
              <w:spacing w:line="219" w:lineRule="exact"/>
              <w:ind w:left="98"/>
              <w:rPr>
                <w:sz w:val="18"/>
              </w:rPr>
            </w:pPr>
            <w:r>
              <w:rPr>
                <w:sz w:val="18"/>
              </w:rPr>
              <w:t>LMW’s</w:t>
            </w:r>
            <w:r>
              <w:rPr>
                <w:spacing w:val="-4"/>
                <w:sz w:val="18"/>
              </w:rPr>
              <w:t xml:space="preserve"> </w:t>
            </w:r>
            <w:r>
              <w:rPr>
                <w:sz w:val="18"/>
              </w:rPr>
              <w:t>financial</w:t>
            </w:r>
            <w:r>
              <w:rPr>
                <w:spacing w:val="-4"/>
                <w:sz w:val="18"/>
              </w:rPr>
              <w:t xml:space="preserve"> </w:t>
            </w:r>
            <w:r>
              <w:rPr>
                <w:sz w:val="18"/>
              </w:rPr>
              <w:t>viability</w:t>
            </w:r>
            <w:r>
              <w:rPr>
                <w:spacing w:val="-2"/>
                <w:sz w:val="18"/>
              </w:rPr>
              <w:t xml:space="preserve"> </w:t>
            </w:r>
            <w:r>
              <w:rPr>
                <w:sz w:val="18"/>
              </w:rPr>
              <w:t>is</w:t>
            </w:r>
            <w:r>
              <w:rPr>
                <w:spacing w:val="-2"/>
                <w:sz w:val="18"/>
              </w:rPr>
              <w:t xml:space="preserve"> </w:t>
            </w:r>
            <w:r>
              <w:rPr>
                <w:sz w:val="18"/>
              </w:rPr>
              <w:t>supported</w:t>
            </w:r>
            <w:r>
              <w:rPr>
                <w:spacing w:val="-3"/>
                <w:sz w:val="18"/>
              </w:rPr>
              <w:t xml:space="preserve"> </w:t>
            </w:r>
            <w:r>
              <w:rPr>
                <w:sz w:val="18"/>
              </w:rPr>
              <w:t>by</w:t>
            </w:r>
            <w:r>
              <w:rPr>
                <w:spacing w:val="-2"/>
                <w:sz w:val="18"/>
              </w:rPr>
              <w:t xml:space="preserve"> </w:t>
            </w:r>
            <w:r>
              <w:rPr>
                <w:sz w:val="18"/>
              </w:rPr>
              <w:t>appropriate</w:t>
            </w:r>
            <w:r>
              <w:rPr>
                <w:spacing w:val="-3"/>
                <w:sz w:val="18"/>
              </w:rPr>
              <w:t xml:space="preserve"> </w:t>
            </w:r>
            <w:r>
              <w:rPr>
                <w:sz w:val="18"/>
              </w:rPr>
              <w:t>financial</w:t>
            </w:r>
            <w:r>
              <w:rPr>
                <w:spacing w:val="-2"/>
                <w:sz w:val="18"/>
              </w:rPr>
              <w:t xml:space="preserve"> indices</w:t>
            </w:r>
          </w:p>
          <w:p w14:paraId="52E6BE08" w14:textId="77777777" w:rsidR="00141B97" w:rsidRDefault="00911D63">
            <w:pPr>
              <w:pStyle w:val="TableParagraph"/>
              <w:spacing w:line="199" w:lineRule="exact"/>
              <w:ind w:left="98"/>
              <w:rPr>
                <w:sz w:val="18"/>
              </w:rPr>
            </w:pPr>
            <w:r>
              <w:rPr>
                <w:sz w:val="18"/>
              </w:rPr>
              <w:t>and</w:t>
            </w:r>
            <w:r>
              <w:rPr>
                <w:spacing w:val="-1"/>
                <w:sz w:val="18"/>
              </w:rPr>
              <w:t xml:space="preserve"> </w:t>
            </w:r>
            <w:r>
              <w:rPr>
                <w:sz w:val="18"/>
              </w:rPr>
              <w:t>cash</w:t>
            </w:r>
            <w:r>
              <w:rPr>
                <w:spacing w:val="-2"/>
                <w:sz w:val="18"/>
              </w:rPr>
              <w:t xml:space="preserve"> </w:t>
            </w:r>
            <w:r>
              <w:rPr>
                <w:sz w:val="18"/>
              </w:rPr>
              <w:t>flow</w:t>
            </w:r>
            <w:r>
              <w:rPr>
                <w:spacing w:val="-1"/>
                <w:sz w:val="18"/>
              </w:rPr>
              <w:t xml:space="preserve"> </w:t>
            </w:r>
            <w:r>
              <w:rPr>
                <w:spacing w:val="-2"/>
                <w:sz w:val="18"/>
              </w:rPr>
              <w:t>projections.</w:t>
            </w:r>
          </w:p>
        </w:tc>
        <w:tc>
          <w:tcPr>
            <w:tcW w:w="1518" w:type="dxa"/>
            <w:tcBorders>
              <w:right w:val="nil"/>
            </w:tcBorders>
            <w:shd w:val="clear" w:color="auto" w:fill="CCE2ED"/>
          </w:tcPr>
          <w:p w14:paraId="791521F4" w14:textId="77777777" w:rsidR="00141B97" w:rsidRDefault="00911D63">
            <w:pPr>
              <w:pStyle w:val="TableParagraph"/>
              <w:ind w:left="220" w:right="211"/>
              <w:jc w:val="center"/>
              <w:rPr>
                <w:sz w:val="18"/>
              </w:rPr>
            </w:pPr>
            <w:r>
              <w:rPr>
                <w:spacing w:val="-5"/>
                <w:sz w:val="18"/>
              </w:rPr>
              <w:t>2.0</w:t>
            </w:r>
          </w:p>
          <w:p w14:paraId="3AC480CE" w14:textId="77777777" w:rsidR="00141B97" w:rsidRDefault="00911D63">
            <w:pPr>
              <w:pStyle w:val="TableParagraph"/>
              <w:ind w:left="383" w:right="370" w:hanging="2"/>
              <w:jc w:val="center"/>
              <w:rPr>
                <w:sz w:val="18"/>
              </w:rPr>
            </w:pPr>
            <w:r>
              <w:rPr>
                <w:spacing w:val="-2"/>
                <w:sz w:val="18"/>
              </w:rPr>
              <w:t>Satisfied</w:t>
            </w:r>
            <w:r>
              <w:rPr>
                <w:sz w:val="18"/>
              </w:rPr>
              <w:t xml:space="preserve"> </w:t>
            </w:r>
            <w:r>
              <w:rPr>
                <w:spacing w:val="-2"/>
                <w:sz w:val="18"/>
              </w:rPr>
              <w:t>‘Standard’</w:t>
            </w:r>
          </w:p>
        </w:tc>
      </w:tr>
      <w:tr w:rsidR="00141B97" w14:paraId="4E42AFA9" w14:textId="77777777">
        <w:trPr>
          <w:trHeight w:val="1539"/>
          <w:tblCellSpacing w:w="9" w:type="dxa"/>
        </w:trPr>
        <w:tc>
          <w:tcPr>
            <w:tcW w:w="2880" w:type="dxa"/>
            <w:tcBorders>
              <w:left w:val="nil"/>
              <w:bottom w:val="nil"/>
            </w:tcBorders>
            <w:shd w:val="clear" w:color="auto" w:fill="CCE2ED"/>
          </w:tcPr>
          <w:p w14:paraId="2F2F4A5D" w14:textId="77777777" w:rsidR="00141B97" w:rsidRDefault="00911D63">
            <w:pPr>
              <w:pStyle w:val="TableParagraph"/>
              <w:spacing w:before="1"/>
              <w:ind w:left="88" w:right="107"/>
              <w:rPr>
                <w:sz w:val="18"/>
              </w:rPr>
            </w:pPr>
            <w:r>
              <w:rPr>
                <w:sz w:val="18"/>
              </w:rPr>
              <w:t>To what extent does the proposed guaranteed service level (GSL) scheme provide incentives for the business to be accountable for the quality of services delivered, and</w:t>
            </w:r>
          </w:p>
          <w:p w14:paraId="4444A76E" w14:textId="77777777" w:rsidR="00141B97" w:rsidRDefault="00911D63">
            <w:pPr>
              <w:pStyle w:val="TableParagraph"/>
              <w:spacing w:line="220" w:lineRule="atLeast"/>
              <w:ind w:left="88"/>
              <w:rPr>
                <w:sz w:val="18"/>
              </w:rPr>
            </w:pPr>
            <w:r>
              <w:rPr>
                <w:sz w:val="18"/>
              </w:rPr>
              <w:t>provide</w:t>
            </w:r>
            <w:r>
              <w:rPr>
                <w:spacing w:val="-5"/>
                <w:sz w:val="18"/>
              </w:rPr>
              <w:t xml:space="preserve"> </w:t>
            </w:r>
            <w:r>
              <w:rPr>
                <w:sz w:val="18"/>
              </w:rPr>
              <w:t>incentives</w:t>
            </w:r>
            <w:r>
              <w:rPr>
                <w:spacing w:val="-5"/>
                <w:sz w:val="18"/>
              </w:rPr>
              <w:t xml:space="preserve"> </w:t>
            </w:r>
            <w:r>
              <w:rPr>
                <w:sz w:val="18"/>
              </w:rPr>
              <w:t>to</w:t>
            </w:r>
            <w:r>
              <w:rPr>
                <w:spacing w:val="-5"/>
                <w:sz w:val="18"/>
              </w:rPr>
              <w:t xml:space="preserve"> </w:t>
            </w:r>
            <w:r>
              <w:rPr>
                <w:sz w:val="18"/>
              </w:rPr>
              <w:t>deliver</w:t>
            </w:r>
            <w:r>
              <w:rPr>
                <w:spacing w:val="-4"/>
                <w:sz w:val="18"/>
              </w:rPr>
              <w:t xml:space="preserve"> </w:t>
            </w:r>
            <w:r>
              <w:rPr>
                <w:sz w:val="18"/>
              </w:rPr>
              <w:t>valued services</w:t>
            </w:r>
            <w:r>
              <w:rPr>
                <w:spacing w:val="-2"/>
                <w:sz w:val="18"/>
              </w:rPr>
              <w:t xml:space="preserve"> </w:t>
            </w:r>
            <w:r>
              <w:rPr>
                <w:sz w:val="18"/>
              </w:rPr>
              <w:t>efficiently?</w:t>
            </w:r>
          </w:p>
        </w:tc>
        <w:tc>
          <w:tcPr>
            <w:tcW w:w="5345" w:type="dxa"/>
            <w:tcBorders>
              <w:bottom w:val="nil"/>
            </w:tcBorders>
            <w:shd w:val="clear" w:color="auto" w:fill="CCE2ED"/>
          </w:tcPr>
          <w:p w14:paraId="18D7F20B" w14:textId="77777777" w:rsidR="00141B97" w:rsidRDefault="00911D63">
            <w:pPr>
              <w:pStyle w:val="TableParagraph"/>
              <w:spacing w:before="1"/>
              <w:ind w:left="98" w:right="476"/>
              <w:jc w:val="both"/>
              <w:rPr>
                <w:sz w:val="18"/>
              </w:rPr>
            </w:pPr>
            <w:r>
              <w:rPr>
                <w:sz w:val="18"/>
              </w:rPr>
              <w:t>The</w:t>
            </w:r>
            <w:r>
              <w:rPr>
                <w:spacing w:val="-2"/>
                <w:sz w:val="18"/>
              </w:rPr>
              <w:t xml:space="preserve"> </w:t>
            </w:r>
            <w:r>
              <w:rPr>
                <w:sz w:val="18"/>
              </w:rPr>
              <w:t>GSL</w:t>
            </w:r>
            <w:r>
              <w:rPr>
                <w:spacing w:val="-2"/>
                <w:sz w:val="18"/>
              </w:rPr>
              <w:t xml:space="preserve"> </w:t>
            </w:r>
            <w:r>
              <w:rPr>
                <w:sz w:val="18"/>
              </w:rPr>
              <w:t>scheme</w:t>
            </w:r>
            <w:r>
              <w:rPr>
                <w:spacing w:val="-4"/>
                <w:sz w:val="18"/>
              </w:rPr>
              <w:t xml:space="preserve"> </w:t>
            </w:r>
            <w:r>
              <w:rPr>
                <w:sz w:val="18"/>
              </w:rPr>
              <w:t>has</w:t>
            </w:r>
            <w:r>
              <w:rPr>
                <w:spacing w:val="-3"/>
                <w:sz w:val="18"/>
              </w:rPr>
              <w:t xml:space="preserve"> </w:t>
            </w:r>
            <w:r>
              <w:rPr>
                <w:sz w:val="18"/>
              </w:rPr>
              <w:t>been</w:t>
            </w:r>
            <w:r>
              <w:rPr>
                <w:spacing w:val="-2"/>
                <w:sz w:val="18"/>
              </w:rPr>
              <w:t xml:space="preserve"> </w:t>
            </w:r>
            <w:r>
              <w:rPr>
                <w:sz w:val="18"/>
              </w:rPr>
              <w:t>tested</w:t>
            </w:r>
            <w:r>
              <w:rPr>
                <w:spacing w:val="-3"/>
                <w:sz w:val="18"/>
              </w:rPr>
              <w:t xml:space="preserve"> </w:t>
            </w:r>
            <w:r>
              <w:rPr>
                <w:sz w:val="18"/>
              </w:rPr>
              <w:t>with</w:t>
            </w:r>
            <w:r>
              <w:rPr>
                <w:spacing w:val="-2"/>
                <w:sz w:val="18"/>
              </w:rPr>
              <w:t xml:space="preserve"> </w:t>
            </w:r>
            <w:r>
              <w:rPr>
                <w:sz w:val="18"/>
              </w:rPr>
              <w:t>customers</w:t>
            </w:r>
            <w:r>
              <w:rPr>
                <w:spacing w:val="-2"/>
                <w:sz w:val="18"/>
              </w:rPr>
              <w:t xml:space="preserve"> </w:t>
            </w:r>
            <w:r>
              <w:rPr>
                <w:sz w:val="18"/>
              </w:rPr>
              <w:t>and</w:t>
            </w:r>
            <w:r>
              <w:rPr>
                <w:spacing w:val="-2"/>
                <w:sz w:val="18"/>
              </w:rPr>
              <w:t xml:space="preserve"> </w:t>
            </w:r>
            <w:r>
              <w:rPr>
                <w:sz w:val="18"/>
              </w:rPr>
              <w:t>their</w:t>
            </w:r>
            <w:r>
              <w:rPr>
                <w:spacing w:val="-2"/>
                <w:sz w:val="18"/>
              </w:rPr>
              <w:t xml:space="preserve"> </w:t>
            </w:r>
            <w:r>
              <w:rPr>
                <w:sz w:val="18"/>
              </w:rPr>
              <w:t xml:space="preserve">valued feedback confirmed continuing with the current GSL scheme was </w:t>
            </w:r>
            <w:r>
              <w:rPr>
                <w:spacing w:val="-2"/>
                <w:sz w:val="18"/>
              </w:rPr>
              <w:t>appropriate.</w:t>
            </w:r>
          </w:p>
        </w:tc>
        <w:tc>
          <w:tcPr>
            <w:tcW w:w="1518" w:type="dxa"/>
            <w:tcBorders>
              <w:bottom w:val="nil"/>
              <w:right w:val="nil"/>
            </w:tcBorders>
            <w:shd w:val="clear" w:color="auto" w:fill="CCE2ED"/>
          </w:tcPr>
          <w:p w14:paraId="2F6D439F" w14:textId="77777777" w:rsidR="00141B97" w:rsidRDefault="00911D63">
            <w:pPr>
              <w:pStyle w:val="TableParagraph"/>
              <w:spacing w:before="1"/>
              <w:ind w:left="220" w:right="211"/>
              <w:jc w:val="center"/>
              <w:rPr>
                <w:sz w:val="18"/>
              </w:rPr>
            </w:pPr>
            <w:r>
              <w:rPr>
                <w:spacing w:val="-5"/>
                <w:sz w:val="18"/>
              </w:rPr>
              <w:t>2.5</w:t>
            </w:r>
          </w:p>
          <w:p w14:paraId="0DC80A60" w14:textId="77777777" w:rsidR="00141B97" w:rsidRDefault="00911D63">
            <w:pPr>
              <w:pStyle w:val="TableParagraph"/>
              <w:ind w:left="221" w:right="211"/>
              <w:jc w:val="center"/>
              <w:rPr>
                <w:sz w:val="18"/>
              </w:rPr>
            </w:pPr>
            <w:r>
              <w:rPr>
                <w:sz w:val="18"/>
              </w:rPr>
              <w:t>Very</w:t>
            </w:r>
            <w:r>
              <w:rPr>
                <w:spacing w:val="-11"/>
                <w:sz w:val="18"/>
              </w:rPr>
              <w:t xml:space="preserve"> </w:t>
            </w:r>
            <w:r>
              <w:rPr>
                <w:sz w:val="18"/>
              </w:rPr>
              <w:t xml:space="preserve">confident </w:t>
            </w:r>
            <w:r>
              <w:rPr>
                <w:spacing w:val="-2"/>
                <w:sz w:val="18"/>
              </w:rPr>
              <w:t>‘Standard’</w:t>
            </w:r>
          </w:p>
        </w:tc>
      </w:tr>
    </w:tbl>
    <w:p w14:paraId="6F59B55E" w14:textId="77777777" w:rsidR="00141B97" w:rsidRDefault="00141B97">
      <w:pPr>
        <w:jc w:val="center"/>
        <w:rPr>
          <w:sz w:val="18"/>
        </w:rPr>
        <w:sectPr w:rsidR="00141B97">
          <w:pgSz w:w="11910" w:h="16840"/>
          <w:pgMar w:top="860" w:right="740" w:bottom="2371" w:left="980" w:header="0" w:footer="896" w:gutter="0"/>
          <w:cols w:space="720"/>
        </w:sectPr>
      </w:pPr>
    </w:p>
    <w:tbl>
      <w:tblPr>
        <w:tblW w:w="0" w:type="auto"/>
        <w:tblCellSpacing w:w="9" w:type="dxa"/>
        <w:tblInd w:w="190" w:type="dxa"/>
        <w:tblLayout w:type="fixed"/>
        <w:tblCellMar>
          <w:left w:w="0" w:type="dxa"/>
          <w:right w:w="0" w:type="dxa"/>
        </w:tblCellMar>
        <w:tblLook w:val="01E0" w:firstRow="1" w:lastRow="1" w:firstColumn="1" w:lastColumn="1" w:noHBand="0" w:noVBand="0"/>
      </w:tblPr>
      <w:tblGrid>
        <w:gridCol w:w="2908"/>
        <w:gridCol w:w="5361"/>
        <w:gridCol w:w="1546"/>
      </w:tblGrid>
      <w:tr w:rsidR="00141B97" w14:paraId="179ED112" w14:textId="77777777">
        <w:trPr>
          <w:trHeight w:val="408"/>
          <w:tblCellSpacing w:w="9" w:type="dxa"/>
        </w:trPr>
        <w:tc>
          <w:tcPr>
            <w:tcW w:w="2881" w:type="dxa"/>
            <w:tcBorders>
              <w:top w:val="nil"/>
              <w:left w:val="nil"/>
            </w:tcBorders>
            <w:shd w:val="clear" w:color="auto" w:fill="006CA3"/>
          </w:tcPr>
          <w:p w14:paraId="5F8FC238" w14:textId="77777777" w:rsidR="00141B97" w:rsidRDefault="00911D63">
            <w:pPr>
              <w:pStyle w:val="TableParagraph"/>
              <w:spacing w:before="95"/>
              <w:ind w:left="88"/>
              <w:rPr>
                <w:sz w:val="18"/>
              </w:rPr>
            </w:pPr>
            <w:r>
              <w:rPr>
                <w:color w:val="FFFFFF"/>
                <w:sz w:val="18"/>
              </w:rPr>
              <w:lastRenderedPageBreak/>
              <w:t>Guiding</w:t>
            </w:r>
            <w:r>
              <w:rPr>
                <w:color w:val="FFFFFF"/>
                <w:spacing w:val="-2"/>
                <w:sz w:val="18"/>
              </w:rPr>
              <w:t xml:space="preserve"> Question</w:t>
            </w:r>
          </w:p>
        </w:tc>
        <w:tc>
          <w:tcPr>
            <w:tcW w:w="5343" w:type="dxa"/>
            <w:tcBorders>
              <w:top w:val="nil"/>
            </w:tcBorders>
            <w:shd w:val="clear" w:color="auto" w:fill="006CA3"/>
          </w:tcPr>
          <w:p w14:paraId="291ACDEA" w14:textId="77777777" w:rsidR="00141B97" w:rsidRDefault="00911D63">
            <w:pPr>
              <w:pStyle w:val="TableParagraph"/>
              <w:spacing w:before="95"/>
              <w:ind w:left="98"/>
              <w:rPr>
                <w:sz w:val="18"/>
              </w:rPr>
            </w:pPr>
            <w:r>
              <w:rPr>
                <w:color w:val="FFFFFF"/>
                <w:sz w:val="18"/>
              </w:rPr>
              <w:t>Summary</w:t>
            </w:r>
            <w:r>
              <w:rPr>
                <w:color w:val="FFFFFF"/>
                <w:spacing w:val="-3"/>
                <w:sz w:val="18"/>
              </w:rPr>
              <w:t xml:space="preserve"> </w:t>
            </w:r>
            <w:r>
              <w:rPr>
                <w:color w:val="FFFFFF"/>
                <w:spacing w:val="-2"/>
                <w:sz w:val="18"/>
              </w:rPr>
              <w:t>Response</w:t>
            </w:r>
          </w:p>
        </w:tc>
        <w:tc>
          <w:tcPr>
            <w:tcW w:w="1519" w:type="dxa"/>
            <w:tcBorders>
              <w:top w:val="nil"/>
              <w:right w:val="nil"/>
            </w:tcBorders>
            <w:shd w:val="clear" w:color="auto" w:fill="006CA3"/>
          </w:tcPr>
          <w:p w14:paraId="045A4F3F" w14:textId="77777777" w:rsidR="00141B97" w:rsidRDefault="00911D63">
            <w:pPr>
              <w:pStyle w:val="TableParagraph"/>
              <w:spacing w:before="95"/>
              <w:ind w:left="221" w:right="210"/>
              <w:jc w:val="center"/>
              <w:rPr>
                <w:sz w:val="18"/>
              </w:rPr>
            </w:pPr>
            <w:r>
              <w:rPr>
                <w:color w:val="FFFFFF"/>
                <w:spacing w:val="-2"/>
                <w:sz w:val="18"/>
              </w:rPr>
              <w:t>Rating</w:t>
            </w:r>
          </w:p>
        </w:tc>
      </w:tr>
      <w:tr w:rsidR="00141B97" w14:paraId="76D38F13" w14:textId="77777777">
        <w:trPr>
          <w:trHeight w:val="282"/>
          <w:tblCellSpacing w:w="9" w:type="dxa"/>
        </w:trPr>
        <w:tc>
          <w:tcPr>
            <w:tcW w:w="9743" w:type="dxa"/>
            <w:gridSpan w:val="3"/>
            <w:tcBorders>
              <w:left w:val="nil"/>
              <w:right w:val="nil"/>
            </w:tcBorders>
            <w:shd w:val="clear" w:color="auto" w:fill="BFBFBF"/>
          </w:tcPr>
          <w:p w14:paraId="42C76752" w14:textId="77777777" w:rsidR="00141B97" w:rsidRDefault="00911D63">
            <w:pPr>
              <w:pStyle w:val="TableParagraph"/>
              <w:spacing w:before="32"/>
              <w:ind w:left="98"/>
              <w:rPr>
                <w:sz w:val="18"/>
              </w:rPr>
            </w:pPr>
            <w:r>
              <w:rPr>
                <w:spacing w:val="-2"/>
                <w:sz w:val="18"/>
              </w:rPr>
              <w:t>Engagement</w:t>
            </w:r>
          </w:p>
        </w:tc>
      </w:tr>
      <w:tr w:rsidR="00141B97" w14:paraId="4F0D1AAD" w14:textId="77777777">
        <w:trPr>
          <w:trHeight w:val="1758"/>
          <w:tblCellSpacing w:w="9" w:type="dxa"/>
        </w:trPr>
        <w:tc>
          <w:tcPr>
            <w:tcW w:w="2881" w:type="dxa"/>
            <w:tcBorders>
              <w:left w:val="nil"/>
            </w:tcBorders>
            <w:shd w:val="clear" w:color="auto" w:fill="CCE2ED"/>
          </w:tcPr>
          <w:p w14:paraId="2D24C763" w14:textId="77777777" w:rsidR="00141B97" w:rsidRDefault="00911D63">
            <w:pPr>
              <w:pStyle w:val="TableParagraph"/>
              <w:spacing w:before="1"/>
              <w:ind w:left="88" w:right="169"/>
              <w:rPr>
                <w:sz w:val="18"/>
              </w:rPr>
            </w:pPr>
            <w:r>
              <w:rPr>
                <w:sz w:val="18"/>
              </w:rPr>
              <w:t>To what extent has the business justified how the form of engagement</w:t>
            </w:r>
            <w:r>
              <w:rPr>
                <w:spacing w:val="-5"/>
                <w:sz w:val="18"/>
              </w:rPr>
              <w:t xml:space="preserve"> </w:t>
            </w:r>
            <w:r>
              <w:rPr>
                <w:sz w:val="18"/>
              </w:rPr>
              <w:t>suits</w:t>
            </w:r>
            <w:r>
              <w:rPr>
                <w:spacing w:val="-5"/>
                <w:sz w:val="18"/>
              </w:rPr>
              <w:t xml:space="preserve"> </w:t>
            </w:r>
            <w:r>
              <w:rPr>
                <w:sz w:val="18"/>
              </w:rPr>
              <w:t>the</w:t>
            </w:r>
            <w:r>
              <w:rPr>
                <w:spacing w:val="-5"/>
                <w:sz w:val="18"/>
              </w:rPr>
              <w:t xml:space="preserve"> </w:t>
            </w:r>
            <w:r>
              <w:rPr>
                <w:sz w:val="18"/>
              </w:rPr>
              <w:t>content</w:t>
            </w:r>
            <w:r>
              <w:rPr>
                <w:spacing w:val="-4"/>
                <w:sz w:val="18"/>
              </w:rPr>
              <w:t xml:space="preserve"> </w:t>
            </w:r>
            <w:r>
              <w:rPr>
                <w:sz w:val="18"/>
              </w:rPr>
              <w:t>of consultation, the circumstances facing</w:t>
            </w:r>
            <w:r>
              <w:rPr>
                <w:spacing w:val="-4"/>
                <w:sz w:val="18"/>
              </w:rPr>
              <w:t xml:space="preserve"> </w:t>
            </w:r>
            <w:r>
              <w:rPr>
                <w:sz w:val="18"/>
              </w:rPr>
              <w:t>the</w:t>
            </w:r>
            <w:r>
              <w:rPr>
                <w:spacing w:val="-4"/>
                <w:sz w:val="18"/>
              </w:rPr>
              <w:t xml:space="preserve"> </w:t>
            </w:r>
            <w:r>
              <w:rPr>
                <w:sz w:val="18"/>
              </w:rPr>
              <w:t>water</w:t>
            </w:r>
            <w:r>
              <w:rPr>
                <w:spacing w:val="-4"/>
                <w:sz w:val="18"/>
              </w:rPr>
              <w:t xml:space="preserve"> </w:t>
            </w:r>
            <w:r>
              <w:rPr>
                <w:sz w:val="18"/>
              </w:rPr>
              <w:t>business</w:t>
            </w:r>
            <w:r>
              <w:rPr>
                <w:spacing w:val="-4"/>
                <w:sz w:val="18"/>
              </w:rPr>
              <w:t xml:space="preserve"> </w:t>
            </w:r>
            <w:r>
              <w:rPr>
                <w:sz w:val="18"/>
              </w:rPr>
              <w:t>and</w:t>
            </w:r>
            <w:r>
              <w:rPr>
                <w:spacing w:val="-3"/>
                <w:sz w:val="18"/>
              </w:rPr>
              <w:t xml:space="preserve"> </w:t>
            </w:r>
            <w:r>
              <w:rPr>
                <w:sz w:val="18"/>
              </w:rPr>
              <w:t xml:space="preserve">its </w:t>
            </w:r>
            <w:r>
              <w:rPr>
                <w:spacing w:val="-2"/>
                <w:sz w:val="18"/>
              </w:rPr>
              <w:t>customers?</w:t>
            </w:r>
          </w:p>
        </w:tc>
        <w:tc>
          <w:tcPr>
            <w:tcW w:w="5343" w:type="dxa"/>
            <w:shd w:val="clear" w:color="auto" w:fill="CCE2ED"/>
          </w:tcPr>
          <w:p w14:paraId="7701E1A0" w14:textId="77777777" w:rsidR="00141B97" w:rsidRDefault="00911D63">
            <w:pPr>
              <w:pStyle w:val="TableParagraph"/>
              <w:spacing w:before="1"/>
              <w:ind w:left="98" w:right="99"/>
              <w:rPr>
                <w:sz w:val="18"/>
              </w:rPr>
            </w:pPr>
            <w:r>
              <w:rPr>
                <w:sz w:val="18"/>
              </w:rPr>
              <w:t>Drawing from previous experience and existing customer advisory bodies, with external assistance a business‐wide strategy and specific PS5 engagement plan was implemented to ensure broader, deeper, and multiple and interactions with customers, as well as specific and targeted</w:t>
            </w:r>
            <w:r>
              <w:rPr>
                <w:spacing w:val="-3"/>
                <w:sz w:val="18"/>
              </w:rPr>
              <w:t xml:space="preserve"> </w:t>
            </w:r>
            <w:r>
              <w:rPr>
                <w:sz w:val="18"/>
              </w:rPr>
              <w:t>customer</w:t>
            </w:r>
            <w:r>
              <w:rPr>
                <w:spacing w:val="-2"/>
                <w:sz w:val="18"/>
              </w:rPr>
              <w:t xml:space="preserve"> </w:t>
            </w:r>
            <w:r>
              <w:rPr>
                <w:sz w:val="18"/>
              </w:rPr>
              <w:t>surveys</w:t>
            </w:r>
            <w:r>
              <w:rPr>
                <w:spacing w:val="-3"/>
                <w:sz w:val="18"/>
              </w:rPr>
              <w:t xml:space="preserve"> </w:t>
            </w:r>
            <w:r>
              <w:rPr>
                <w:sz w:val="18"/>
              </w:rPr>
              <w:t>and</w:t>
            </w:r>
            <w:r>
              <w:rPr>
                <w:spacing w:val="-2"/>
                <w:sz w:val="18"/>
              </w:rPr>
              <w:t xml:space="preserve"> </w:t>
            </w:r>
            <w:r>
              <w:rPr>
                <w:sz w:val="18"/>
              </w:rPr>
              <w:t>direct</w:t>
            </w:r>
            <w:r>
              <w:rPr>
                <w:spacing w:val="-3"/>
                <w:sz w:val="18"/>
              </w:rPr>
              <w:t xml:space="preserve"> </w:t>
            </w:r>
            <w:r>
              <w:rPr>
                <w:sz w:val="18"/>
              </w:rPr>
              <w:t>engagement</w:t>
            </w:r>
            <w:r>
              <w:rPr>
                <w:spacing w:val="-3"/>
                <w:sz w:val="18"/>
              </w:rPr>
              <w:t xml:space="preserve"> </w:t>
            </w:r>
            <w:r>
              <w:rPr>
                <w:sz w:val="18"/>
              </w:rPr>
              <w:t>with</w:t>
            </w:r>
            <w:r>
              <w:rPr>
                <w:spacing w:val="-2"/>
                <w:sz w:val="18"/>
              </w:rPr>
              <w:t xml:space="preserve"> </w:t>
            </w:r>
            <w:r>
              <w:rPr>
                <w:sz w:val="18"/>
              </w:rPr>
              <w:t>each</w:t>
            </w:r>
            <w:r>
              <w:rPr>
                <w:spacing w:val="-2"/>
                <w:sz w:val="18"/>
              </w:rPr>
              <w:t xml:space="preserve"> </w:t>
            </w:r>
            <w:r>
              <w:rPr>
                <w:sz w:val="18"/>
              </w:rPr>
              <w:t>customer cohort and major stakeholder group. In particular, very different</w:t>
            </w:r>
          </w:p>
          <w:p w14:paraId="1E39ADF7" w14:textId="77777777" w:rsidR="00141B97" w:rsidRDefault="00911D63">
            <w:pPr>
              <w:pStyle w:val="TableParagraph"/>
              <w:spacing w:line="220" w:lineRule="atLeast"/>
              <w:ind w:left="98" w:right="120"/>
              <w:rPr>
                <w:sz w:val="18"/>
              </w:rPr>
            </w:pPr>
            <w:r>
              <w:rPr>
                <w:sz w:val="18"/>
              </w:rPr>
              <w:t>approaches</w:t>
            </w:r>
            <w:r>
              <w:rPr>
                <w:spacing w:val="-3"/>
                <w:sz w:val="18"/>
              </w:rPr>
              <w:t xml:space="preserve"> </w:t>
            </w:r>
            <w:r>
              <w:rPr>
                <w:sz w:val="18"/>
              </w:rPr>
              <w:t>were</w:t>
            </w:r>
            <w:r>
              <w:rPr>
                <w:spacing w:val="-4"/>
                <w:sz w:val="18"/>
              </w:rPr>
              <w:t xml:space="preserve"> </w:t>
            </w:r>
            <w:r>
              <w:rPr>
                <w:sz w:val="18"/>
              </w:rPr>
              <w:t>taken</w:t>
            </w:r>
            <w:r>
              <w:rPr>
                <w:spacing w:val="-3"/>
                <w:sz w:val="18"/>
              </w:rPr>
              <w:t xml:space="preserve"> </w:t>
            </w:r>
            <w:r>
              <w:rPr>
                <w:sz w:val="18"/>
              </w:rPr>
              <w:t>with</w:t>
            </w:r>
            <w:r>
              <w:rPr>
                <w:spacing w:val="-3"/>
                <w:sz w:val="18"/>
              </w:rPr>
              <w:t xml:space="preserve"> </w:t>
            </w:r>
            <w:r>
              <w:rPr>
                <w:sz w:val="18"/>
              </w:rPr>
              <w:t>Urban</w:t>
            </w:r>
            <w:r>
              <w:rPr>
                <w:spacing w:val="-3"/>
                <w:sz w:val="18"/>
              </w:rPr>
              <w:t xml:space="preserve"> </w:t>
            </w:r>
            <w:r>
              <w:rPr>
                <w:sz w:val="18"/>
              </w:rPr>
              <w:t>and</w:t>
            </w:r>
            <w:r>
              <w:rPr>
                <w:spacing w:val="-3"/>
                <w:sz w:val="18"/>
              </w:rPr>
              <w:t xml:space="preserve"> </w:t>
            </w:r>
            <w:r>
              <w:rPr>
                <w:sz w:val="18"/>
              </w:rPr>
              <w:t>Rural</w:t>
            </w:r>
            <w:r>
              <w:rPr>
                <w:spacing w:val="-3"/>
                <w:sz w:val="18"/>
              </w:rPr>
              <w:t xml:space="preserve"> </w:t>
            </w:r>
            <w:r>
              <w:rPr>
                <w:sz w:val="18"/>
              </w:rPr>
              <w:t>customers, demonstrating a fit‐for‐purpose approach.</w:t>
            </w:r>
          </w:p>
        </w:tc>
        <w:tc>
          <w:tcPr>
            <w:tcW w:w="1519" w:type="dxa"/>
            <w:tcBorders>
              <w:right w:val="nil"/>
            </w:tcBorders>
            <w:shd w:val="clear" w:color="auto" w:fill="CCE2ED"/>
          </w:tcPr>
          <w:p w14:paraId="25D39381" w14:textId="77777777" w:rsidR="00141B97" w:rsidRDefault="00911D63">
            <w:pPr>
              <w:pStyle w:val="TableParagraph"/>
              <w:spacing w:before="1"/>
              <w:ind w:left="220" w:right="210"/>
              <w:jc w:val="center"/>
              <w:rPr>
                <w:sz w:val="18"/>
              </w:rPr>
            </w:pPr>
            <w:r>
              <w:rPr>
                <w:spacing w:val="-5"/>
                <w:sz w:val="18"/>
              </w:rPr>
              <w:t>2.5</w:t>
            </w:r>
          </w:p>
          <w:p w14:paraId="40CE8D3C"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3BFD155F" w14:textId="77777777">
        <w:trPr>
          <w:trHeight w:val="1317"/>
          <w:tblCellSpacing w:w="9" w:type="dxa"/>
        </w:trPr>
        <w:tc>
          <w:tcPr>
            <w:tcW w:w="2881" w:type="dxa"/>
            <w:tcBorders>
              <w:left w:val="nil"/>
            </w:tcBorders>
            <w:shd w:val="clear" w:color="auto" w:fill="CCE2ED"/>
          </w:tcPr>
          <w:p w14:paraId="44C53D8F" w14:textId="77777777" w:rsidR="00141B97" w:rsidRDefault="00911D63">
            <w:pPr>
              <w:pStyle w:val="TableParagraph"/>
              <w:spacing w:line="220" w:lineRule="atLeast"/>
              <w:ind w:left="88"/>
              <w:rPr>
                <w:sz w:val="18"/>
              </w:rPr>
            </w:pPr>
            <w:r>
              <w:rPr>
                <w:sz w:val="18"/>
              </w:rPr>
              <w:t>To what extent has the business demonstrated that it provided appropriate instruction and information</w:t>
            </w:r>
            <w:r>
              <w:rPr>
                <w:spacing w:val="-5"/>
                <w:sz w:val="18"/>
              </w:rPr>
              <w:t xml:space="preserve"> </w:t>
            </w:r>
            <w:r>
              <w:rPr>
                <w:sz w:val="18"/>
              </w:rPr>
              <w:t>to</w:t>
            </w:r>
            <w:r>
              <w:rPr>
                <w:spacing w:val="-5"/>
                <w:sz w:val="18"/>
              </w:rPr>
              <w:t xml:space="preserve"> </w:t>
            </w:r>
            <w:r>
              <w:rPr>
                <w:sz w:val="18"/>
              </w:rPr>
              <w:t>customers</w:t>
            </w:r>
            <w:r>
              <w:rPr>
                <w:spacing w:val="-4"/>
                <w:sz w:val="18"/>
              </w:rPr>
              <w:t xml:space="preserve"> </w:t>
            </w:r>
            <w:r>
              <w:rPr>
                <w:sz w:val="18"/>
              </w:rPr>
              <w:t>about</w:t>
            </w:r>
            <w:r>
              <w:rPr>
                <w:spacing w:val="-5"/>
                <w:sz w:val="18"/>
              </w:rPr>
              <w:t xml:space="preserve"> </w:t>
            </w:r>
            <w:r>
              <w:rPr>
                <w:sz w:val="18"/>
              </w:rPr>
              <w:t>the purpose, form, and content of the customer engagement?</w:t>
            </w:r>
          </w:p>
        </w:tc>
        <w:tc>
          <w:tcPr>
            <w:tcW w:w="5343" w:type="dxa"/>
            <w:shd w:val="clear" w:color="auto" w:fill="CCE2ED"/>
          </w:tcPr>
          <w:p w14:paraId="5DD76134" w14:textId="77777777" w:rsidR="00141B97" w:rsidRDefault="00911D63">
            <w:pPr>
              <w:pStyle w:val="TableParagraph"/>
              <w:ind w:left="98"/>
              <w:rPr>
                <w:sz w:val="18"/>
              </w:rPr>
            </w:pPr>
            <w:r>
              <w:rPr>
                <w:sz w:val="18"/>
              </w:rPr>
              <w:t>Desktop research including customer surveys, complaints and internal stakeholder input enabled preparation of detailed information for customer</w:t>
            </w:r>
            <w:r>
              <w:rPr>
                <w:spacing w:val="-2"/>
                <w:sz w:val="18"/>
              </w:rPr>
              <w:t xml:space="preserve"> </w:t>
            </w:r>
            <w:r>
              <w:rPr>
                <w:sz w:val="18"/>
              </w:rPr>
              <w:t>engagement</w:t>
            </w:r>
            <w:r>
              <w:rPr>
                <w:spacing w:val="-3"/>
                <w:sz w:val="18"/>
              </w:rPr>
              <w:t xml:space="preserve"> </w:t>
            </w:r>
            <w:r>
              <w:rPr>
                <w:sz w:val="18"/>
              </w:rPr>
              <w:t>forums,</w:t>
            </w:r>
            <w:r>
              <w:rPr>
                <w:spacing w:val="-2"/>
                <w:sz w:val="18"/>
              </w:rPr>
              <w:t xml:space="preserve"> </w:t>
            </w:r>
            <w:r>
              <w:rPr>
                <w:sz w:val="18"/>
              </w:rPr>
              <w:t>progressively</w:t>
            </w:r>
            <w:r>
              <w:rPr>
                <w:spacing w:val="-2"/>
                <w:sz w:val="18"/>
              </w:rPr>
              <w:t xml:space="preserve"> </w:t>
            </w:r>
            <w:r>
              <w:rPr>
                <w:sz w:val="18"/>
              </w:rPr>
              <w:t>built</w:t>
            </w:r>
            <w:r>
              <w:rPr>
                <w:spacing w:val="-2"/>
                <w:sz w:val="18"/>
              </w:rPr>
              <w:t xml:space="preserve"> </w:t>
            </w:r>
            <w:r>
              <w:rPr>
                <w:sz w:val="18"/>
              </w:rPr>
              <w:t>upon</w:t>
            </w:r>
            <w:r>
              <w:rPr>
                <w:spacing w:val="-3"/>
                <w:sz w:val="18"/>
              </w:rPr>
              <w:t xml:space="preserve"> </w:t>
            </w:r>
            <w:r>
              <w:rPr>
                <w:sz w:val="18"/>
              </w:rPr>
              <w:t>for</w:t>
            </w:r>
            <w:r>
              <w:rPr>
                <w:spacing w:val="-2"/>
                <w:sz w:val="18"/>
              </w:rPr>
              <w:t xml:space="preserve"> </w:t>
            </w:r>
            <w:r>
              <w:rPr>
                <w:sz w:val="18"/>
              </w:rPr>
              <w:t>each</w:t>
            </w:r>
            <w:r>
              <w:rPr>
                <w:spacing w:val="-2"/>
                <w:sz w:val="18"/>
              </w:rPr>
              <w:t xml:space="preserve"> </w:t>
            </w:r>
            <w:r>
              <w:rPr>
                <w:sz w:val="18"/>
              </w:rPr>
              <w:t>stage. Use of independent facilitation at focus groups ensured bias‐free and open discussion on any customer issue.</w:t>
            </w:r>
          </w:p>
        </w:tc>
        <w:tc>
          <w:tcPr>
            <w:tcW w:w="1519" w:type="dxa"/>
            <w:tcBorders>
              <w:right w:val="nil"/>
            </w:tcBorders>
            <w:shd w:val="clear" w:color="auto" w:fill="CCE2ED"/>
          </w:tcPr>
          <w:p w14:paraId="2AB8E1F5" w14:textId="77777777" w:rsidR="00141B97" w:rsidRDefault="00911D63">
            <w:pPr>
              <w:pStyle w:val="TableParagraph"/>
              <w:ind w:left="220" w:right="210"/>
              <w:jc w:val="center"/>
              <w:rPr>
                <w:sz w:val="18"/>
              </w:rPr>
            </w:pPr>
            <w:r>
              <w:rPr>
                <w:spacing w:val="-4"/>
                <w:sz w:val="18"/>
              </w:rPr>
              <w:t>2.25</w:t>
            </w:r>
          </w:p>
          <w:p w14:paraId="11C13438" w14:textId="77777777" w:rsidR="00141B97" w:rsidRDefault="00911D63">
            <w:pPr>
              <w:pStyle w:val="TableParagraph"/>
              <w:ind w:left="384" w:right="370" w:hanging="2"/>
              <w:jc w:val="center"/>
              <w:rPr>
                <w:sz w:val="18"/>
              </w:rPr>
            </w:pPr>
            <w:r>
              <w:rPr>
                <w:spacing w:val="-2"/>
                <w:sz w:val="18"/>
              </w:rPr>
              <w:t>Confident</w:t>
            </w:r>
            <w:r>
              <w:rPr>
                <w:sz w:val="18"/>
              </w:rPr>
              <w:t xml:space="preserve"> </w:t>
            </w:r>
            <w:r>
              <w:rPr>
                <w:spacing w:val="-2"/>
                <w:sz w:val="18"/>
              </w:rPr>
              <w:t>‘Standard’</w:t>
            </w:r>
          </w:p>
        </w:tc>
      </w:tr>
      <w:tr w:rsidR="00141B97" w14:paraId="397E9492" w14:textId="77777777">
        <w:trPr>
          <w:trHeight w:val="1314"/>
          <w:tblCellSpacing w:w="9" w:type="dxa"/>
        </w:trPr>
        <w:tc>
          <w:tcPr>
            <w:tcW w:w="2881" w:type="dxa"/>
            <w:tcBorders>
              <w:left w:val="nil"/>
            </w:tcBorders>
            <w:shd w:val="clear" w:color="auto" w:fill="CCE2ED"/>
          </w:tcPr>
          <w:p w14:paraId="7729ACDC" w14:textId="77777777" w:rsidR="00141B97" w:rsidRDefault="00911D63">
            <w:pPr>
              <w:pStyle w:val="TableParagraph"/>
              <w:ind w:left="88" w:right="169"/>
              <w:rPr>
                <w:sz w:val="18"/>
              </w:rPr>
            </w:pPr>
            <w:r>
              <w:rPr>
                <w:sz w:val="18"/>
              </w:rPr>
              <w:t>To what extent has the business demonstrated that the matters it has</w:t>
            </w:r>
            <w:r>
              <w:rPr>
                <w:spacing w:val="-3"/>
                <w:sz w:val="18"/>
              </w:rPr>
              <w:t xml:space="preserve"> </w:t>
            </w:r>
            <w:r>
              <w:rPr>
                <w:sz w:val="18"/>
              </w:rPr>
              <w:t>engaged</w:t>
            </w:r>
            <w:r>
              <w:rPr>
                <w:spacing w:val="-2"/>
                <w:sz w:val="18"/>
              </w:rPr>
              <w:t xml:space="preserve"> </w:t>
            </w:r>
            <w:r>
              <w:rPr>
                <w:sz w:val="18"/>
              </w:rPr>
              <w:t>on</w:t>
            </w:r>
            <w:r>
              <w:rPr>
                <w:spacing w:val="-2"/>
                <w:sz w:val="18"/>
              </w:rPr>
              <w:t xml:space="preserve"> </w:t>
            </w:r>
            <w:r>
              <w:rPr>
                <w:sz w:val="18"/>
              </w:rPr>
              <w:t>are</w:t>
            </w:r>
            <w:r>
              <w:rPr>
                <w:spacing w:val="-3"/>
                <w:sz w:val="18"/>
              </w:rPr>
              <w:t xml:space="preserve"> </w:t>
            </w:r>
            <w:r>
              <w:rPr>
                <w:sz w:val="18"/>
              </w:rPr>
              <w:t>those</w:t>
            </w:r>
            <w:r>
              <w:rPr>
                <w:spacing w:val="-3"/>
                <w:sz w:val="18"/>
              </w:rPr>
              <w:t xml:space="preserve"> </w:t>
            </w:r>
            <w:r>
              <w:rPr>
                <w:sz w:val="18"/>
              </w:rPr>
              <w:t>that</w:t>
            </w:r>
            <w:r>
              <w:rPr>
                <w:spacing w:val="-3"/>
                <w:sz w:val="18"/>
              </w:rPr>
              <w:t xml:space="preserve"> </w:t>
            </w:r>
            <w:r>
              <w:rPr>
                <w:sz w:val="18"/>
              </w:rPr>
              <w:t>have the most influence on the services provided to customers and prices</w:t>
            </w:r>
          </w:p>
          <w:p w14:paraId="14D95B7A" w14:textId="77777777" w:rsidR="00141B97" w:rsidRDefault="00911D63">
            <w:pPr>
              <w:pStyle w:val="TableParagraph"/>
              <w:spacing w:line="198" w:lineRule="exact"/>
              <w:ind w:left="88"/>
              <w:rPr>
                <w:sz w:val="18"/>
              </w:rPr>
            </w:pPr>
            <w:r>
              <w:rPr>
                <w:spacing w:val="-2"/>
                <w:sz w:val="18"/>
              </w:rPr>
              <w:t>charged?</w:t>
            </w:r>
          </w:p>
        </w:tc>
        <w:tc>
          <w:tcPr>
            <w:tcW w:w="5343" w:type="dxa"/>
            <w:shd w:val="clear" w:color="auto" w:fill="CCE2ED"/>
          </w:tcPr>
          <w:p w14:paraId="71970BFE" w14:textId="77777777" w:rsidR="00141B97" w:rsidRDefault="00911D63">
            <w:pPr>
              <w:pStyle w:val="TableParagraph"/>
              <w:ind w:left="98"/>
              <w:rPr>
                <w:sz w:val="18"/>
              </w:rPr>
            </w:pPr>
            <w:r>
              <w:rPr>
                <w:sz w:val="18"/>
              </w:rPr>
              <w:t>Customer surveys highlighted broad issues, and these were then progressively developed and refined with customer focus groups to reach</w:t>
            </w:r>
            <w:r>
              <w:rPr>
                <w:spacing w:val="-3"/>
                <w:sz w:val="18"/>
              </w:rPr>
              <w:t xml:space="preserve"> </w:t>
            </w:r>
            <w:r>
              <w:rPr>
                <w:sz w:val="18"/>
              </w:rPr>
              <w:t>agreed</w:t>
            </w:r>
            <w:r>
              <w:rPr>
                <w:spacing w:val="-2"/>
                <w:sz w:val="18"/>
              </w:rPr>
              <w:t xml:space="preserve"> </w:t>
            </w:r>
            <w:r>
              <w:rPr>
                <w:sz w:val="18"/>
              </w:rPr>
              <w:t>outcomes</w:t>
            </w:r>
            <w:r>
              <w:rPr>
                <w:spacing w:val="-2"/>
                <w:sz w:val="18"/>
              </w:rPr>
              <w:t xml:space="preserve"> </w:t>
            </w:r>
            <w:r>
              <w:rPr>
                <w:sz w:val="18"/>
              </w:rPr>
              <w:t>and</w:t>
            </w:r>
            <w:r>
              <w:rPr>
                <w:spacing w:val="-2"/>
                <w:sz w:val="18"/>
              </w:rPr>
              <w:t xml:space="preserve"> </w:t>
            </w:r>
            <w:r>
              <w:rPr>
                <w:sz w:val="18"/>
              </w:rPr>
              <w:t>outputs.</w:t>
            </w:r>
            <w:r>
              <w:rPr>
                <w:spacing w:val="-2"/>
                <w:sz w:val="18"/>
              </w:rPr>
              <w:t xml:space="preserve"> </w:t>
            </w:r>
            <w:r>
              <w:rPr>
                <w:sz w:val="18"/>
              </w:rPr>
              <w:t>Potential</w:t>
            </w:r>
            <w:r>
              <w:rPr>
                <w:spacing w:val="-3"/>
                <w:sz w:val="18"/>
              </w:rPr>
              <w:t xml:space="preserve"> </w:t>
            </w:r>
            <w:r>
              <w:rPr>
                <w:sz w:val="18"/>
              </w:rPr>
              <w:t>projects/programs</w:t>
            </w:r>
            <w:r>
              <w:rPr>
                <w:spacing w:val="-5"/>
                <w:sz w:val="18"/>
              </w:rPr>
              <w:t xml:space="preserve"> </w:t>
            </w:r>
            <w:r>
              <w:rPr>
                <w:sz w:val="18"/>
              </w:rPr>
              <w:t>with scope, investment and price impacts were discussed and feedback integrated into decision making.</w:t>
            </w:r>
          </w:p>
        </w:tc>
        <w:tc>
          <w:tcPr>
            <w:tcW w:w="1519" w:type="dxa"/>
            <w:tcBorders>
              <w:right w:val="nil"/>
            </w:tcBorders>
            <w:shd w:val="clear" w:color="auto" w:fill="CCE2ED"/>
          </w:tcPr>
          <w:p w14:paraId="4AB403B6" w14:textId="77777777" w:rsidR="00141B97" w:rsidRDefault="00911D63">
            <w:pPr>
              <w:pStyle w:val="TableParagraph"/>
              <w:spacing w:line="218" w:lineRule="exact"/>
              <w:ind w:left="220" w:right="210"/>
              <w:jc w:val="center"/>
              <w:rPr>
                <w:sz w:val="18"/>
              </w:rPr>
            </w:pPr>
            <w:r>
              <w:rPr>
                <w:spacing w:val="-4"/>
                <w:sz w:val="18"/>
              </w:rPr>
              <w:t>2.25</w:t>
            </w:r>
          </w:p>
          <w:p w14:paraId="76FF4171" w14:textId="77777777" w:rsidR="00141B97" w:rsidRDefault="00911D63">
            <w:pPr>
              <w:pStyle w:val="TableParagraph"/>
              <w:ind w:left="384" w:right="370" w:hanging="2"/>
              <w:jc w:val="center"/>
              <w:rPr>
                <w:sz w:val="18"/>
              </w:rPr>
            </w:pPr>
            <w:r>
              <w:rPr>
                <w:spacing w:val="-2"/>
                <w:sz w:val="18"/>
              </w:rPr>
              <w:t>Confident</w:t>
            </w:r>
            <w:r>
              <w:rPr>
                <w:sz w:val="18"/>
              </w:rPr>
              <w:t xml:space="preserve"> </w:t>
            </w:r>
            <w:r>
              <w:rPr>
                <w:spacing w:val="-2"/>
                <w:sz w:val="18"/>
              </w:rPr>
              <w:t>‘Standard’</w:t>
            </w:r>
          </w:p>
        </w:tc>
      </w:tr>
      <w:tr w:rsidR="00141B97" w14:paraId="2A0F3883" w14:textId="77777777">
        <w:trPr>
          <w:trHeight w:val="2845"/>
          <w:tblCellSpacing w:w="9" w:type="dxa"/>
        </w:trPr>
        <w:tc>
          <w:tcPr>
            <w:tcW w:w="2881" w:type="dxa"/>
            <w:tcBorders>
              <w:left w:val="nil"/>
            </w:tcBorders>
            <w:shd w:val="clear" w:color="auto" w:fill="CCE2ED"/>
          </w:tcPr>
          <w:p w14:paraId="48167D14" w14:textId="77777777" w:rsidR="00141B97" w:rsidRDefault="00911D63">
            <w:pPr>
              <w:pStyle w:val="TableParagraph"/>
              <w:spacing w:before="1"/>
              <w:ind w:left="88" w:right="169"/>
              <w:rPr>
                <w:sz w:val="18"/>
              </w:rPr>
            </w:pPr>
            <w:r>
              <w:rPr>
                <w:sz w:val="18"/>
              </w:rPr>
              <w:t>To what extent has the business explained</w:t>
            </w:r>
            <w:r>
              <w:rPr>
                <w:spacing w:val="-4"/>
                <w:sz w:val="18"/>
              </w:rPr>
              <w:t xml:space="preserve"> </w:t>
            </w:r>
            <w:r>
              <w:rPr>
                <w:sz w:val="18"/>
              </w:rPr>
              <w:t>how</w:t>
            </w:r>
            <w:r>
              <w:rPr>
                <w:spacing w:val="-4"/>
                <w:sz w:val="18"/>
              </w:rPr>
              <w:t xml:space="preserve"> </w:t>
            </w:r>
            <w:r>
              <w:rPr>
                <w:sz w:val="18"/>
              </w:rPr>
              <w:t>it</w:t>
            </w:r>
            <w:r>
              <w:rPr>
                <w:spacing w:val="-4"/>
                <w:sz w:val="18"/>
              </w:rPr>
              <w:t xml:space="preserve"> </w:t>
            </w:r>
            <w:r>
              <w:rPr>
                <w:sz w:val="18"/>
              </w:rPr>
              <w:t>decided</w:t>
            </w:r>
            <w:r>
              <w:rPr>
                <w:spacing w:val="-4"/>
                <w:sz w:val="18"/>
              </w:rPr>
              <w:t xml:space="preserve"> </w:t>
            </w:r>
            <w:r>
              <w:rPr>
                <w:sz w:val="18"/>
              </w:rPr>
              <w:t>when</w:t>
            </w:r>
            <w:r>
              <w:rPr>
                <w:spacing w:val="-4"/>
                <w:sz w:val="18"/>
              </w:rPr>
              <w:t xml:space="preserve"> </w:t>
            </w:r>
            <w:r>
              <w:rPr>
                <w:sz w:val="18"/>
              </w:rPr>
              <w:t>to carry out its engagement?</w:t>
            </w:r>
          </w:p>
        </w:tc>
        <w:tc>
          <w:tcPr>
            <w:tcW w:w="5343" w:type="dxa"/>
            <w:shd w:val="clear" w:color="auto" w:fill="CCE2ED"/>
          </w:tcPr>
          <w:p w14:paraId="21C95284" w14:textId="77777777" w:rsidR="00141B97" w:rsidRDefault="00911D63">
            <w:pPr>
              <w:pStyle w:val="TableParagraph"/>
              <w:spacing w:before="2" w:line="259" w:lineRule="auto"/>
              <w:ind w:left="98" w:right="150"/>
              <w:rPr>
                <w:sz w:val="18"/>
              </w:rPr>
            </w:pPr>
            <w:r>
              <w:rPr>
                <w:sz w:val="18"/>
              </w:rPr>
              <w:t>LMW engaged with rural SAC and CSAC committees in July and September 2021 to discuss timing and approach for engagement. Special</w:t>
            </w:r>
            <w:r>
              <w:rPr>
                <w:spacing w:val="-3"/>
                <w:sz w:val="18"/>
              </w:rPr>
              <w:t xml:space="preserve"> </w:t>
            </w:r>
            <w:r>
              <w:rPr>
                <w:sz w:val="18"/>
              </w:rPr>
              <w:t>consideration</w:t>
            </w:r>
            <w:r>
              <w:rPr>
                <w:spacing w:val="-2"/>
                <w:sz w:val="18"/>
              </w:rPr>
              <w:t xml:space="preserve"> </w:t>
            </w:r>
            <w:r>
              <w:rPr>
                <w:sz w:val="18"/>
              </w:rPr>
              <w:t>was</w:t>
            </w:r>
            <w:r>
              <w:rPr>
                <w:spacing w:val="-3"/>
                <w:sz w:val="18"/>
              </w:rPr>
              <w:t xml:space="preserve"> </w:t>
            </w:r>
            <w:r>
              <w:rPr>
                <w:sz w:val="18"/>
              </w:rPr>
              <w:t>given</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timing</w:t>
            </w:r>
            <w:r>
              <w:rPr>
                <w:spacing w:val="-3"/>
                <w:sz w:val="18"/>
              </w:rPr>
              <w:t xml:space="preserve"> </w:t>
            </w:r>
            <w:r>
              <w:rPr>
                <w:sz w:val="18"/>
              </w:rPr>
              <w:t>of</w:t>
            </w:r>
            <w:r>
              <w:rPr>
                <w:spacing w:val="-2"/>
                <w:sz w:val="18"/>
              </w:rPr>
              <w:t xml:space="preserve"> </w:t>
            </w:r>
            <w:r>
              <w:rPr>
                <w:sz w:val="18"/>
              </w:rPr>
              <w:t>harvest</w:t>
            </w:r>
            <w:r>
              <w:rPr>
                <w:spacing w:val="-3"/>
                <w:sz w:val="18"/>
              </w:rPr>
              <w:t xml:space="preserve"> </w:t>
            </w:r>
            <w:r>
              <w:rPr>
                <w:sz w:val="18"/>
              </w:rPr>
              <w:t>and</w:t>
            </w:r>
            <w:r>
              <w:rPr>
                <w:spacing w:val="-2"/>
                <w:sz w:val="18"/>
              </w:rPr>
              <w:t xml:space="preserve"> </w:t>
            </w:r>
            <w:r>
              <w:rPr>
                <w:sz w:val="18"/>
              </w:rPr>
              <w:t>COVID‐19 considerations and feedback provided regarding preferred engagement methods. LMW's regular and ongoing engagement with CSAC/SAC provided a solid base to prepare scenarios and topics for consultation ensuring engagement was based on customer</w:t>
            </w:r>
            <w:r>
              <w:rPr>
                <w:spacing w:val="40"/>
                <w:sz w:val="18"/>
              </w:rPr>
              <w:t xml:space="preserve"> </w:t>
            </w:r>
            <w:r>
              <w:rPr>
                <w:spacing w:val="-2"/>
                <w:sz w:val="18"/>
              </w:rPr>
              <w:t>sentiments.</w:t>
            </w:r>
          </w:p>
          <w:p w14:paraId="436F5B28" w14:textId="77777777" w:rsidR="00141B97" w:rsidRDefault="00911D63">
            <w:pPr>
              <w:pStyle w:val="TableParagraph"/>
              <w:spacing w:line="259" w:lineRule="auto"/>
              <w:ind w:left="98"/>
              <w:rPr>
                <w:sz w:val="18"/>
              </w:rPr>
            </w:pPr>
            <w:r>
              <w:rPr>
                <w:sz w:val="18"/>
              </w:rPr>
              <w:t>Using Expressions of Interest from urban customers, an urban deliberative</w:t>
            </w:r>
            <w:r>
              <w:rPr>
                <w:spacing w:val="-3"/>
                <w:sz w:val="18"/>
              </w:rPr>
              <w:t xml:space="preserve"> </w:t>
            </w:r>
            <w:r>
              <w:rPr>
                <w:sz w:val="18"/>
              </w:rPr>
              <w:t>panel</w:t>
            </w:r>
            <w:r>
              <w:rPr>
                <w:spacing w:val="-3"/>
                <w:sz w:val="18"/>
              </w:rPr>
              <w:t xml:space="preserve"> </w:t>
            </w:r>
            <w:r>
              <w:rPr>
                <w:sz w:val="18"/>
              </w:rPr>
              <w:t>(UDP)</w:t>
            </w:r>
            <w:r>
              <w:rPr>
                <w:spacing w:val="-2"/>
                <w:sz w:val="18"/>
              </w:rPr>
              <w:t xml:space="preserve"> </w:t>
            </w:r>
            <w:r>
              <w:rPr>
                <w:sz w:val="18"/>
              </w:rPr>
              <w:t>was</w:t>
            </w:r>
            <w:r>
              <w:rPr>
                <w:spacing w:val="-3"/>
                <w:sz w:val="18"/>
              </w:rPr>
              <w:t xml:space="preserve"> </w:t>
            </w:r>
            <w:r>
              <w:rPr>
                <w:sz w:val="18"/>
              </w:rPr>
              <w:t>formed</w:t>
            </w:r>
            <w:r>
              <w:rPr>
                <w:spacing w:val="-2"/>
                <w:sz w:val="18"/>
              </w:rPr>
              <w:t xml:space="preserve"> </w:t>
            </w:r>
            <w:r>
              <w:rPr>
                <w:sz w:val="18"/>
              </w:rPr>
              <w:t>in</w:t>
            </w:r>
            <w:r>
              <w:rPr>
                <w:spacing w:val="-2"/>
                <w:sz w:val="18"/>
              </w:rPr>
              <w:t xml:space="preserve"> </w:t>
            </w:r>
            <w:r>
              <w:rPr>
                <w:sz w:val="18"/>
              </w:rPr>
              <w:t xml:space="preserve">December </w:t>
            </w:r>
            <w:r>
              <w:rPr>
                <w:rFonts w:ascii="Arial"/>
                <w:sz w:val="16"/>
              </w:rPr>
              <w:t>20</w:t>
            </w:r>
            <w:r>
              <w:rPr>
                <w:sz w:val="18"/>
              </w:rPr>
              <w:t>21</w:t>
            </w:r>
            <w:r>
              <w:rPr>
                <w:spacing w:val="-2"/>
                <w:sz w:val="18"/>
              </w:rPr>
              <w:t xml:space="preserve"> </w:t>
            </w:r>
            <w:r>
              <w:rPr>
                <w:sz w:val="18"/>
              </w:rPr>
              <w:t>at</w:t>
            </w:r>
            <w:r>
              <w:rPr>
                <w:spacing w:val="-3"/>
                <w:sz w:val="18"/>
              </w:rPr>
              <w:t xml:space="preserve"> </w:t>
            </w:r>
            <w:r>
              <w:rPr>
                <w:sz w:val="18"/>
              </w:rPr>
              <w:t>which</w:t>
            </w:r>
            <w:r>
              <w:rPr>
                <w:spacing w:val="-2"/>
                <w:sz w:val="18"/>
              </w:rPr>
              <w:t xml:space="preserve"> </w:t>
            </w:r>
            <w:r>
              <w:rPr>
                <w:sz w:val="18"/>
              </w:rPr>
              <w:t>times and approaches were proposed to finalise the consultation</w:t>
            </w:r>
          </w:p>
          <w:p w14:paraId="2208F921" w14:textId="77777777" w:rsidR="00141B97" w:rsidRDefault="00911D63">
            <w:pPr>
              <w:pStyle w:val="TableParagraph"/>
              <w:spacing w:line="214" w:lineRule="exact"/>
              <w:ind w:left="98"/>
              <w:rPr>
                <w:sz w:val="18"/>
              </w:rPr>
            </w:pPr>
            <w:r>
              <w:rPr>
                <w:spacing w:val="-2"/>
                <w:sz w:val="18"/>
              </w:rPr>
              <w:t>arrangements.</w:t>
            </w:r>
          </w:p>
        </w:tc>
        <w:tc>
          <w:tcPr>
            <w:tcW w:w="1519" w:type="dxa"/>
            <w:tcBorders>
              <w:right w:val="nil"/>
            </w:tcBorders>
            <w:shd w:val="clear" w:color="auto" w:fill="CCE2ED"/>
          </w:tcPr>
          <w:p w14:paraId="4D4A3A88" w14:textId="77777777" w:rsidR="00141B97" w:rsidRDefault="00911D63">
            <w:pPr>
              <w:pStyle w:val="TableParagraph"/>
              <w:spacing w:before="1"/>
              <w:ind w:left="220" w:right="210"/>
              <w:jc w:val="center"/>
              <w:rPr>
                <w:sz w:val="18"/>
              </w:rPr>
            </w:pPr>
            <w:r>
              <w:rPr>
                <w:spacing w:val="-4"/>
                <w:sz w:val="18"/>
              </w:rPr>
              <w:t>2.25</w:t>
            </w:r>
          </w:p>
          <w:p w14:paraId="33B4618D" w14:textId="77777777" w:rsidR="00141B97" w:rsidRDefault="00911D63">
            <w:pPr>
              <w:pStyle w:val="TableParagraph"/>
              <w:ind w:left="384" w:right="370" w:hanging="2"/>
              <w:jc w:val="center"/>
              <w:rPr>
                <w:sz w:val="18"/>
              </w:rPr>
            </w:pPr>
            <w:r>
              <w:rPr>
                <w:spacing w:val="-2"/>
                <w:sz w:val="18"/>
              </w:rPr>
              <w:t>Confident</w:t>
            </w:r>
            <w:r>
              <w:rPr>
                <w:sz w:val="18"/>
              </w:rPr>
              <w:t xml:space="preserve"> </w:t>
            </w:r>
            <w:r>
              <w:rPr>
                <w:spacing w:val="-2"/>
                <w:sz w:val="18"/>
              </w:rPr>
              <w:t>‘Standard’</w:t>
            </w:r>
          </w:p>
        </w:tc>
      </w:tr>
      <w:tr w:rsidR="00141B97" w14:paraId="57E42D41" w14:textId="77777777">
        <w:trPr>
          <w:trHeight w:val="1099"/>
          <w:tblCellSpacing w:w="9" w:type="dxa"/>
        </w:trPr>
        <w:tc>
          <w:tcPr>
            <w:tcW w:w="2881" w:type="dxa"/>
            <w:tcBorders>
              <w:left w:val="nil"/>
            </w:tcBorders>
            <w:shd w:val="clear" w:color="auto" w:fill="CCE2ED"/>
          </w:tcPr>
          <w:p w14:paraId="24F7CEB6" w14:textId="77777777" w:rsidR="00141B97" w:rsidRDefault="00911D63">
            <w:pPr>
              <w:pStyle w:val="TableParagraph"/>
              <w:spacing w:before="1"/>
              <w:ind w:left="88"/>
              <w:rPr>
                <w:sz w:val="18"/>
              </w:rPr>
            </w:pPr>
            <w:r>
              <w:rPr>
                <w:sz w:val="18"/>
              </w:rPr>
              <w:t>To what extent has the business demonstrated</w:t>
            </w:r>
            <w:r>
              <w:rPr>
                <w:spacing w:val="-7"/>
                <w:sz w:val="18"/>
              </w:rPr>
              <w:t xml:space="preserve"> </w:t>
            </w:r>
            <w:r>
              <w:rPr>
                <w:sz w:val="18"/>
              </w:rPr>
              <w:t>how</w:t>
            </w:r>
            <w:r>
              <w:rPr>
                <w:spacing w:val="-6"/>
                <w:sz w:val="18"/>
              </w:rPr>
              <w:t xml:space="preserve"> </w:t>
            </w:r>
            <w:r>
              <w:rPr>
                <w:sz w:val="18"/>
              </w:rPr>
              <w:t>its</w:t>
            </w:r>
            <w:r>
              <w:rPr>
                <w:spacing w:val="-7"/>
                <w:sz w:val="18"/>
              </w:rPr>
              <w:t xml:space="preserve"> </w:t>
            </w:r>
            <w:r>
              <w:rPr>
                <w:sz w:val="18"/>
              </w:rPr>
              <w:t xml:space="preserve">engagement with customers has influenced its </w:t>
            </w:r>
            <w:r>
              <w:rPr>
                <w:spacing w:val="-2"/>
                <w:sz w:val="18"/>
              </w:rPr>
              <w:t>submission?</w:t>
            </w:r>
          </w:p>
        </w:tc>
        <w:tc>
          <w:tcPr>
            <w:tcW w:w="5343" w:type="dxa"/>
            <w:shd w:val="clear" w:color="auto" w:fill="CCE2ED"/>
          </w:tcPr>
          <w:p w14:paraId="51C1DCC8" w14:textId="77777777" w:rsidR="00141B97" w:rsidRDefault="00911D63">
            <w:pPr>
              <w:pStyle w:val="TableParagraph"/>
              <w:spacing w:line="220" w:lineRule="atLeast"/>
              <w:ind w:left="98"/>
              <w:rPr>
                <w:sz w:val="18"/>
              </w:rPr>
            </w:pPr>
            <w:r>
              <w:rPr>
                <w:sz w:val="18"/>
              </w:rPr>
              <w:t>Customers were engaged throughout development of the proposed customer</w:t>
            </w:r>
            <w:r>
              <w:rPr>
                <w:spacing w:val="-3"/>
                <w:sz w:val="18"/>
              </w:rPr>
              <w:t xml:space="preserve"> </w:t>
            </w:r>
            <w:r>
              <w:rPr>
                <w:sz w:val="18"/>
              </w:rPr>
              <w:t>outcomes</w:t>
            </w:r>
            <w:r>
              <w:rPr>
                <w:spacing w:val="-3"/>
                <w:sz w:val="18"/>
              </w:rPr>
              <w:t xml:space="preserve"> </w:t>
            </w:r>
            <w:r>
              <w:rPr>
                <w:sz w:val="18"/>
              </w:rPr>
              <w:t>and</w:t>
            </w:r>
            <w:r>
              <w:rPr>
                <w:spacing w:val="-3"/>
                <w:sz w:val="18"/>
              </w:rPr>
              <w:t xml:space="preserve"> </w:t>
            </w:r>
            <w:r>
              <w:rPr>
                <w:sz w:val="18"/>
              </w:rPr>
              <w:t>outputs,</w:t>
            </w:r>
            <w:r>
              <w:rPr>
                <w:spacing w:val="-2"/>
                <w:sz w:val="18"/>
              </w:rPr>
              <w:t xml:space="preserve"> </w:t>
            </w:r>
            <w:r>
              <w:rPr>
                <w:sz w:val="18"/>
              </w:rPr>
              <w:t>major</w:t>
            </w:r>
            <w:r>
              <w:rPr>
                <w:spacing w:val="-3"/>
                <w:sz w:val="18"/>
              </w:rPr>
              <w:t xml:space="preserve"> </w:t>
            </w:r>
            <w:r>
              <w:rPr>
                <w:sz w:val="18"/>
              </w:rPr>
              <w:t>program/project</w:t>
            </w:r>
            <w:r>
              <w:rPr>
                <w:spacing w:val="-5"/>
                <w:sz w:val="18"/>
              </w:rPr>
              <w:t xml:space="preserve"> </w:t>
            </w:r>
            <w:r>
              <w:rPr>
                <w:sz w:val="18"/>
              </w:rPr>
              <w:t>options</w:t>
            </w:r>
            <w:r>
              <w:rPr>
                <w:spacing w:val="-3"/>
                <w:sz w:val="18"/>
              </w:rPr>
              <w:t xml:space="preserve"> </w:t>
            </w:r>
            <w:r>
              <w:rPr>
                <w:sz w:val="18"/>
              </w:rPr>
              <w:t xml:space="preserve">and implications, and informed of cost and price outcomes. Customer outcomes clearly articulate how customer views influenced the final </w:t>
            </w:r>
            <w:r>
              <w:rPr>
                <w:spacing w:val="-2"/>
                <w:sz w:val="18"/>
              </w:rPr>
              <w:t>submission.</w:t>
            </w:r>
          </w:p>
        </w:tc>
        <w:tc>
          <w:tcPr>
            <w:tcW w:w="1519" w:type="dxa"/>
            <w:tcBorders>
              <w:right w:val="nil"/>
            </w:tcBorders>
            <w:shd w:val="clear" w:color="auto" w:fill="CCE2ED"/>
          </w:tcPr>
          <w:p w14:paraId="153FB522" w14:textId="77777777" w:rsidR="00141B97" w:rsidRDefault="00911D63">
            <w:pPr>
              <w:pStyle w:val="TableParagraph"/>
              <w:spacing w:before="1"/>
              <w:ind w:left="220" w:right="210"/>
              <w:jc w:val="center"/>
              <w:rPr>
                <w:sz w:val="18"/>
              </w:rPr>
            </w:pPr>
            <w:r>
              <w:rPr>
                <w:spacing w:val="-5"/>
                <w:sz w:val="18"/>
              </w:rPr>
              <w:t>2.5</w:t>
            </w:r>
          </w:p>
          <w:p w14:paraId="48148FF9"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49A78591" w14:textId="77777777">
        <w:trPr>
          <w:trHeight w:val="1184"/>
          <w:tblCellSpacing w:w="9" w:type="dxa"/>
        </w:trPr>
        <w:tc>
          <w:tcPr>
            <w:tcW w:w="2881" w:type="dxa"/>
            <w:tcBorders>
              <w:left w:val="nil"/>
            </w:tcBorders>
            <w:shd w:val="clear" w:color="auto" w:fill="CCE2ED"/>
          </w:tcPr>
          <w:p w14:paraId="67A902BC" w14:textId="77777777" w:rsidR="00141B97" w:rsidRDefault="00911D63">
            <w:pPr>
              <w:pStyle w:val="TableParagraph"/>
              <w:ind w:left="88" w:right="169"/>
              <w:rPr>
                <w:sz w:val="18"/>
              </w:rPr>
            </w:pPr>
            <w:r>
              <w:rPr>
                <w:sz w:val="18"/>
              </w:rPr>
              <w:t>To what extent has the business demonstrated</w:t>
            </w:r>
            <w:r>
              <w:rPr>
                <w:spacing w:val="-6"/>
                <w:sz w:val="18"/>
              </w:rPr>
              <w:t xml:space="preserve"> </w:t>
            </w:r>
            <w:r>
              <w:rPr>
                <w:sz w:val="18"/>
              </w:rPr>
              <w:t>that</w:t>
            </w:r>
            <w:r>
              <w:rPr>
                <w:spacing w:val="-6"/>
                <w:sz w:val="18"/>
              </w:rPr>
              <w:t xml:space="preserve"> </w:t>
            </w:r>
            <w:r>
              <w:rPr>
                <w:sz w:val="18"/>
              </w:rPr>
              <w:t>its</w:t>
            </w:r>
            <w:r>
              <w:rPr>
                <w:spacing w:val="-6"/>
                <w:sz w:val="18"/>
              </w:rPr>
              <w:t xml:space="preserve"> </w:t>
            </w:r>
            <w:r>
              <w:rPr>
                <w:sz w:val="18"/>
              </w:rPr>
              <w:t>engagement was inclusive of consumers experiencing</w:t>
            </w:r>
            <w:r>
              <w:rPr>
                <w:spacing w:val="-2"/>
                <w:sz w:val="18"/>
              </w:rPr>
              <w:t xml:space="preserve"> </w:t>
            </w:r>
            <w:r>
              <w:rPr>
                <w:sz w:val="18"/>
              </w:rPr>
              <w:t>vulnerability?</w:t>
            </w:r>
          </w:p>
        </w:tc>
        <w:tc>
          <w:tcPr>
            <w:tcW w:w="5343" w:type="dxa"/>
            <w:shd w:val="clear" w:color="auto" w:fill="CCE2ED"/>
          </w:tcPr>
          <w:p w14:paraId="59DAC441" w14:textId="77777777" w:rsidR="00141B97" w:rsidRDefault="00911D63">
            <w:pPr>
              <w:pStyle w:val="TableParagraph"/>
              <w:spacing w:line="259" w:lineRule="auto"/>
              <w:ind w:left="98" w:right="99"/>
              <w:rPr>
                <w:sz w:val="18"/>
              </w:rPr>
            </w:pPr>
            <w:r>
              <w:rPr>
                <w:sz w:val="18"/>
              </w:rPr>
              <w:t>LMW considered feedback from customers currently and recently in the</w:t>
            </w:r>
            <w:r>
              <w:rPr>
                <w:spacing w:val="-2"/>
                <w:sz w:val="18"/>
              </w:rPr>
              <w:t xml:space="preserve"> </w:t>
            </w:r>
            <w:r>
              <w:rPr>
                <w:sz w:val="18"/>
              </w:rPr>
              <w:t>hardship</w:t>
            </w:r>
            <w:r>
              <w:rPr>
                <w:spacing w:val="-2"/>
                <w:sz w:val="18"/>
              </w:rPr>
              <w:t xml:space="preserve"> </w:t>
            </w:r>
            <w:r>
              <w:rPr>
                <w:sz w:val="18"/>
              </w:rPr>
              <w:t>program</w:t>
            </w:r>
            <w:r>
              <w:rPr>
                <w:spacing w:val="-1"/>
                <w:sz w:val="18"/>
              </w:rPr>
              <w:t xml:space="preserve"> </w:t>
            </w:r>
            <w:r>
              <w:rPr>
                <w:sz w:val="18"/>
              </w:rPr>
              <w:t>and</w:t>
            </w:r>
            <w:r>
              <w:rPr>
                <w:spacing w:val="-3"/>
                <w:sz w:val="18"/>
              </w:rPr>
              <w:t xml:space="preserve"> </w:t>
            </w:r>
            <w:r>
              <w:rPr>
                <w:sz w:val="18"/>
              </w:rPr>
              <w:t>reached</w:t>
            </w:r>
            <w:r>
              <w:rPr>
                <w:spacing w:val="-1"/>
                <w:sz w:val="18"/>
              </w:rPr>
              <w:t xml:space="preserve"> </w:t>
            </w:r>
            <w:r>
              <w:rPr>
                <w:sz w:val="18"/>
              </w:rPr>
              <w:t>out</w:t>
            </w:r>
            <w:r>
              <w:rPr>
                <w:spacing w:val="-2"/>
                <w:sz w:val="18"/>
              </w:rPr>
              <w:t xml:space="preserve"> </w:t>
            </w:r>
            <w:r>
              <w:rPr>
                <w:sz w:val="18"/>
              </w:rPr>
              <w:t>to</w:t>
            </w:r>
            <w:r>
              <w:rPr>
                <w:spacing w:val="-2"/>
                <w:sz w:val="18"/>
              </w:rPr>
              <w:t xml:space="preserve"> </w:t>
            </w:r>
            <w:r>
              <w:rPr>
                <w:sz w:val="18"/>
              </w:rPr>
              <w:t>local</w:t>
            </w:r>
            <w:r>
              <w:rPr>
                <w:spacing w:val="-2"/>
                <w:sz w:val="18"/>
              </w:rPr>
              <w:t xml:space="preserve"> </w:t>
            </w:r>
            <w:r>
              <w:rPr>
                <w:sz w:val="18"/>
              </w:rPr>
              <w:t>service</w:t>
            </w:r>
            <w:r>
              <w:rPr>
                <w:spacing w:val="-2"/>
                <w:sz w:val="18"/>
              </w:rPr>
              <w:t xml:space="preserve"> </w:t>
            </w:r>
            <w:r>
              <w:rPr>
                <w:sz w:val="18"/>
              </w:rPr>
              <w:t>providers</w:t>
            </w:r>
            <w:r>
              <w:rPr>
                <w:spacing w:val="-2"/>
                <w:sz w:val="18"/>
              </w:rPr>
              <w:t xml:space="preserve"> </w:t>
            </w:r>
            <w:r>
              <w:rPr>
                <w:sz w:val="18"/>
              </w:rPr>
              <w:t>who are considered experts in supporting vulnerable customers to better understand their service needs and challenges experienced in</w:t>
            </w:r>
          </w:p>
          <w:p w14:paraId="38A7E946" w14:textId="77777777" w:rsidR="00141B97" w:rsidRDefault="00911D63">
            <w:pPr>
              <w:pStyle w:val="TableParagraph"/>
              <w:spacing w:line="215" w:lineRule="exact"/>
              <w:ind w:left="98"/>
              <w:rPr>
                <w:sz w:val="18"/>
              </w:rPr>
            </w:pPr>
            <w:r>
              <w:rPr>
                <w:sz w:val="18"/>
              </w:rPr>
              <w:t>accessing</w:t>
            </w:r>
            <w:r>
              <w:rPr>
                <w:spacing w:val="-4"/>
                <w:sz w:val="18"/>
              </w:rPr>
              <w:t xml:space="preserve"> </w:t>
            </w:r>
            <w:r>
              <w:rPr>
                <w:sz w:val="18"/>
              </w:rPr>
              <w:t>and utilising</w:t>
            </w:r>
            <w:r>
              <w:rPr>
                <w:spacing w:val="-2"/>
                <w:sz w:val="18"/>
              </w:rPr>
              <w:t xml:space="preserve"> </w:t>
            </w:r>
            <w:r>
              <w:rPr>
                <w:sz w:val="18"/>
              </w:rPr>
              <w:t>LMW</w:t>
            </w:r>
            <w:r>
              <w:rPr>
                <w:spacing w:val="-1"/>
                <w:sz w:val="18"/>
              </w:rPr>
              <w:t xml:space="preserve"> </w:t>
            </w:r>
            <w:r>
              <w:rPr>
                <w:spacing w:val="-2"/>
                <w:sz w:val="18"/>
              </w:rPr>
              <w:t>services.</w:t>
            </w:r>
          </w:p>
        </w:tc>
        <w:tc>
          <w:tcPr>
            <w:tcW w:w="1519" w:type="dxa"/>
            <w:tcBorders>
              <w:right w:val="nil"/>
            </w:tcBorders>
            <w:shd w:val="clear" w:color="auto" w:fill="CCE2ED"/>
          </w:tcPr>
          <w:p w14:paraId="1CACFF58" w14:textId="77777777" w:rsidR="00141B97" w:rsidRDefault="00911D63">
            <w:pPr>
              <w:pStyle w:val="TableParagraph"/>
              <w:spacing w:line="219" w:lineRule="exact"/>
              <w:ind w:left="220" w:right="210"/>
              <w:jc w:val="center"/>
              <w:rPr>
                <w:sz w:val="18"/>
              </w:rPr>
            </w:pPr>
            <w:r>
              <w:rPr>
                <w:spacing w:val="-5"/>
                <w:sz w:val="18"/>
              </w:rPr>
              <w:t>2.0</w:t>
            </w:r>
          </w:p>
          <w:p w14:paraId="33CC8F70" w14:textId="77777777" w:rsidR="00141B97" w:rsidRDefault="00911D63">
            <w:pPr>
              <w:pStyle w:val="TableParagraph"/>
              <w:ind w:left="384" w:right="370" w:hanging="2"/>
              <w:jc w:val="center"/>
              <w:rPr>
                <w:sz w:val="18"/>
              </w:rPr>
            </w:pPr>
            <w:r>
              <w:rPr>
                <w:spacing w:val="-2"/>
                <w:sz w:val="18"/>
              </w:rPr>
              <w:t>Satisfied</w:t>
            </w:r>
            <w:r>
              <w:rPr>
                <w:sz w:val="18"/>
              </w:rPr>
              <w:t xml:space="preserve"> </w:t>
            </w:r>
            <w:r>
              <w:rPr>
                <w:spacing w:val="-2"/>
                <w:sz w:val="18"/>
              </w:rPr>
              <w:t>‘Standard’</w:t>
            </w:r>
          </w:p>
        </w:tc>
      </w:tr>
      <w:tr w:rsidR="00141B97" w14:paraId="4AFCDBEA" w14:textId="77777777">
        <w:trPr>
          <w:trHeight w:val="1098"/>
          <w:tblCellSpacing w:w="9" w:type="dxa"/>
        </w:trPr>
        <w:tc>
          <w:tcPr>
            <w:tcW w:w="2881" w:type="dxa"/>
            <w:tcBorders>
              <w:left w:val="nil"/>
              <w:bottom w:val="nil"/>
            </w:tcBorders>
            <w:shd w:val="clear" w:color="auto" w:fill="CCE2ED"/>
          </w:tcPr>
          <w:p w14:paraId="3ABBE943" w14:textId="77777777" w:rsidR="00141B97" w:rsidRDefault="00911D63">
            <w:pPr>
              <w:pStyle w:val="TableParagraph"/>
              <w:spacing w:before="1"/>
              <w:ind w:left="88" w:right="169"/>
              <w:rPr>
                <w:sz w:val="18"/>
              </w:rPr>
            </w:pPr>
            <w:r>
              <w:rPr>
                <w:sz w:val="18"/>
              </w:rPr>
              <w:t>To what extent has the business demonstrated</w:t>
            </w:r>
            <w:r>
              <w:rPr>
                <w:spacing w:val="-6"/>
                <w:sz w:val="18"/>
              </w:rPr>
              <w:t xml:space="preserve"> </w:t>
            </w:r>
            <w:r>
              <w:rPr>
                <w:sz w:val="18"/>
              </w:rPr>
              <w:t>that</w:t>
            </w:r>
            <w:r>
              <w:rPr>
                <w:spacing w:val="-6"/>
                <w:sz w:val="18"/>
              </w:rPr>
              <w:t xml:space="preserve"> </w:t>
            </w:r>
            <w:r>
              <w:rPr>
                <w:sz w:val="18"/>
              </w:rPr>
              <w:t>its</w:t>
            </w:r>
            <w:r>
              <w:rPr>
                <w:spacing w:val="-6"/>
                <w:sz w:val="18"/>
              </w:rPr>
              <w:t xml:space="preserve"> </w:t>
            </w:r>
            <w:r>
              <w:rPr>
                <w:sz w:val="18"/>
              </w:rPr>
              <w:t xml:space="preserve">engagement was inclusive of First Nations </w:t>
            </w:r>
            <w:r>
              <w:rPr>
                <w:spacing w:val="-2"/>
                <w:sz w:val="18"/>
              </w:rPr>
              <w:t>people?</w:t>
            </w:r>
          </w:p>
        </w:tc>
        <w:tc>
          <w:tcPr>
            <w:tcW w:w="5343" w:type="dxa"/>
            <w:tcBorders>
              <w:bottom w:val="nil"/>
            </w:tcBorders>
            <w:shd w:val="clear" w:color="auto" w:fill="CCE2ED"/>
          </w:tcPr>
          <w:p w14:paraId="55F08428" w14:textId="77777777" w:rsidR="00141B97" w:rsidRDefault="00911D63">
            <w:pPr>
              <w:pStyle w:val="TableParagraph"/>
              <w:spacing w:before="2" w:line="259" w:lineRule="auto"/>
              <w:ind w:left="98" w:right="120"/>
              <w:rPr>
                <w:sz w:val="18"/>
              </w:rPr>
            </w:pPr>
            <w:r>
              <w:rPr>
                <w:sz w:val="18"/>
              </w:rPr>
              <w:t>LMW</w:t>
            </w:r>
            <w:r>
              <w:rPr>
                <w:spacing w:val="-3"/>
                <w:sz w:val="18"/>
              </w:rPr>
              <w:t xml:space="preserve"> </w:t>
            </w:r>
            <w:r>
              <w:rPr>
                <w:sz w:val="18"/>
              </w:rPr>
              <w:t>had</w:t>
            </w:r>
            <w:r>
              <w:rPr>
                <w:spacing w:val="-4"/>
                <w:sz w:val="18"/>
              </w:rPr>
              <w:t xml:space="preserve"> </w:t>
            </w:r>
            <w:r>
              <w:rPr>
                <w:sz w:val="18"/>
              </w:rPr>
              <w:t>Aboriginal</w:t>
            </w:r>
            <w:r>
              <w:rPr>
                <w:spacing w:val="-2"/>
                <w:sz w:val="18"/>
              </w:rPr>
              <w:t xml:space="preserve"> </w:t>
            </w:r>
            <w:r>
              <w:rPr>
                <w:sz w:val="18"/>
              </w:rPr>
              <w:t>representation</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urban</w:t>
            </w:r>
            <w:r>
              <w:rPr>
                <w:spacing w:val="-4"/>
                <w:sz w:val="18"/>
              </w:rPr>
              <w:t xml:space="preserve"> </w:t>
            </w:r>
            <w:r>
              <w:rPr>
                <w:sz w:val="18"/>
              </w:rPr>
              <w:t>deliberative</w:t>
            </w:r>
            <w:r>
              <w:rPr>
                <w:spacing w:val="-3"/>
                <w:sz w:val="18"/>
              </w:rPr>
              <w:t xml:space="preserve"> </w:t>
            </w:r>
            <w:r>
              <w:rPr>
                <w:sz w:val="18"/>
              </w:rPr>
              <w:t xml:space="preserve">panel and engaged with FPMMAC to support the development of the </w:t>
            </w:r>
            <w:r>
              <w:rPr>
                <w:spacing w:val="-2"/>
                <w:sz w:val="18"/>
              </w:rPr>
              <w:t>submission.</w:t>
            </w:r>
          </w:p>
        </w:tc>
        <w:tc>
          <w:tcPr>
            <w:tcW w:w="1519" w:type="dxa"/>
            <w:tcBorders>
              <w:bottom w:val="nil"/>
              <w:right w:val="nil"/>
            </w:tcBorders>
            <w:shd w:val="clear" w:color="auto" w:fill="CCE2ED"/>
          </w:tcPr>
          <w:p w14:paraId="070AE40D" w14:textId="77777777" w:rsidR="00141B97" w:rsidRDefault="00911D63">
            <w:pPr>
              <w:pStyle w:val="TableParagraph"/>
              <w:spacing w:before="1"/>
              <w:ind w:left="220" w:right="210"/>
              <w:jc w:val="center"/>
              <w:rPr>
                <w:sz w:val="18"/>
              </w:rPr>
            </w:pPr>
            <w:r>
              <w:rPr>
                <w:spacing w:val="-4"/>
                <w:sz w:val="18"/>
              </w:rPr>
              <w:t>1.75</w:t>
            </w:r>
          </w:p>
          <w:p w14:paraId="47DB8151" w14:textId="77777777" w:rsidR="00141B97" w:rsidRDefault="00911D63">
            <w:pPr>
              <w:pStyle w:val="TableParagraph"/>
              <w:ind w:left="222" w:right="210"/>
              <w:jc w:val="center"/>
              <w:rPr>
                <w:sz w:val="18"/>
              </w:rPr>
            </w:pPr>
            <w:r>
              <w:rPr>
                <w:spacing w:val="-2"/>
                <w:sz w:val="18"/>
              </w:rPr>
              <w:t>Reasonably</w:t>
            </w:r>
            <w:r>
              <w:rPr>
                <w:sz w:val="18"/>
              </w:rPr>
              <w:t xml:space="preserve"> </w:t>
            </w:r>
            <w:r>
              <w:rPr>
                <w:spacing w:val="-2"/>
                <w:sz w:val="18"/>
              </w:rPr>
              <w:t>confident</w:t>
            </w:r>
            <w:r>
              <w:rPr>
                <w:sz w:val="18"/>
              </w:rPr>
              <w:t xml:space="preserve"> </w:t>
            </w:r>
            <w:r>
              <w:rPr>
                <w:spacing w:val="-2"/>
                <w:sz w:val="18"/>
              </w:rPr>
              <w:t>‘Standard’</w:t>
            </w:r>
          </w:p>
        </w:tc>
      </w:tr>
    </w:tbl>
    <w:p w14:paraId="618D7187" w14:textId="77777777" w:rsidR="00141B97" w:rsidRDefault="00141B97">
      <w:pPr>
        <w:jc w:val="center"/>
        <w:rPr>
          <w:sz w:val="18"/>
        </w:rPr>
        <w:sectPr w:rsidR="00141B97">
          <w:type w:val="continuous"/>
          <w:pgSz w:w="11910" w:h="16840"/>
          <w:pgMar w:top="860" w:right="740" w:bottom="1120" w:left="980" w:header="0" w:footer="896" w:gutter="0"/>
          <w:cols w:space="720"/>
        </w:sectPr>
      </w:pPr>
    </w:p>
    <w:tbl>
      <w:tblPr>
        <w:tblW w:w="0" w:type="auto"/>
        <w:tblCellSpacing w:w="9" w:type="dxa"/>
        <w:tblInd w:w="190" w:type="dxa"/>
        <w:tblLayout w:type="fixed"/>
        <w:tblCellMar>
          <w:left w:w="0" w:type="dxa"/>
          <w:right w:w="0" w:type="dxa"/>
        </w:tblCellMar>
        <w:tblLook w:val="01E0" w:firstRow="1" w:lastRow="1" w:firstColumn="1" w:lastColumn="1" w:noHBand="0" w:noVBand="0"/>
      </w:tblPr>
      <w:tblGrid>
        <w:gridCol w:w="2908"/>
        <w:gridCol w:w="5361"/>
        <w:gridCol w:w="1546"/>
      </w:tblGrid>
      <w:tr w:rsidR="00141B97" w14:paraId="50BDB5E6" w14:textId="77777777">
        <w:trPr>
          <w:trHeight w:val="408"/>
          <w:tblCellSpacing w:w="9" w:type="dxa"/>
        </w:trPr>
        <w:tc>
          <w:tcPr>
            <w:tcW w:w="2881" w:type="dxa"/>
            <w:tcBorders>
              <w:top w:val="nil"/>
              <w:left w:val="nil"/>
            </w:tcBorders>
            <w:shd w:val="clear" w:color="auto" w:fill="006CA3"/>
          </w:tcPr>
          <w:p w14:paraId="0A4939DD" w14:textId="77777777" w:rsidR="00141B97" w:rsidRDefault="00911D63">
            <w:pPr>
              <w:pStyle w:val="TableParagraph"/>
              <w:spacing w:before="95"/>
              <w:ind w:left="88"/>
              <w:rPr>
                <w:sz w:val="18"/>
              </w:rPr>
            </w:pPr>
            <w:r>
              <w:rPr>
                <w:color w:val="FFFFFF"/>
                <w:sz w:val="18"/>
              </w:rPr>
              <w:lastRenderedPageBreak/>
              <w:t>Guiding</w:t>
            </w:r>
            <w:r>
              <w:rPr>
                <w:color w:val="FFFFFF"/>
                <w:spacing w:val="-2"/>
                <w:sz w:val="18"/>
              </w:rPr>
              <w:t xml:space="preserve"> Question</w:t>
            </w:r>
          </w:p>
        </w:tc>
        <w:tc>
          <w:tcPr>
            <w:tcW w:w="5343" w:type="dxa"/>
            <w:tcBorders>
              <w:top w:val="nil"/>
            </w:tcBorders>
            <w:shd w:val="clear" w:color="auto" w:fill="006CA3"/>
          </w:tcPr>
          <w:p w14:paraId="363D8364" w14:textId="77777777" w:rsidR="00141B97" w:rsidRDefault="00911D63">
            <w:pPr>
              <w:pStyle w:val="TableParagraph"/>
              <w:spacing w:before="88"/>
              <w:ind w:left="98"/>
              <w:rPr>
                <w:sz w:val="18"/>
              </w:rPr>
            </w:pPr>
            <w:r>
              <w:rPr>
                <w:color w:val="FFFFFF"/>
                <w:sz w:val="18"/>
              </w:rPr>
              <w:t>Summary</w:t>
            </w:r>
            <w:r>
              <w:rPr>
                <w:color w:val="FFFFFF"/>
                <w:spacing w:val="-3"/>
                <w:sz w:val="18"/>
              </w:rPr>
              <w:t xml:space="preserve"> </w:t>
            </w:r>
            <w:r>
              <w:rPr>
                <w:color w:val="FFFFFF"/>
                <w:spacing w:val="-2"/>
                <w:sz w:val="18"/>
              </w:rPr>
              <w:t>Response</w:t>
            </w:r>
          </w:p>
        </w:tc>
        <w:tc>
          <w:tcPr>
            <w:tcW w:w="1519" w:type="dxa"/>
            <w:tcBorders>
              <w:top w:val="nil"/>
              <w:right w:val="nil"/>
            </w:tcBorders>
            <w:shd w:val="clear" w:color="auto" w:fill="006CA3"/>
          </w:tcPr>
          <w:p w14:paraId="70E65E54" w14:textId="77777777" w:rsidR="00141B97" w:rsidRDefault="00911D63">
            <w:pPr>
              <w:pStyle w:val="TableParagraph"/>
              <w:spacing w:before="95"/>
              <w:ind w:left="221" w:right="210"/>
              <w:jc w:val="center"/>
              <w:rPr>
                <w:sz w:val="18"/>
              </w:rPr>
            </w:pPr>
            <w:r>
              <w:rPr>
                <w:color w:val="FFFFFF"/>
                <w:spacing w:val="-2"/>
                <w:sz w:val="18"/>
              </w:rPr>
              <w:t>Rating</w:t>
            </w:r>
          </w:p>
        </w:tc>
      </w:tr>
      <w:tr w:rsidR="00141B97" w14:paraId="0161ED4C" w14:textId="77777777">
        <w:trPr>
          <w:trHeight w:val="282"/>
          <w:tblCellSpacing w:w="9" w:type="dxa"/>
        </w:trPr>
        <w:tc>
          <w:tcPr>
            <w:tcW w:w="9743" w:type="dxa"/>
            <w:gridSpan w:val="3"/>
            <w:tcBorders>
              <w:left w:val="nil"/>
              <w:right w:val="nil"/>
            </w:tcBorders>
            <w:shd w:val="clear" w:color="auto" w:fill="BFBFBF"/>
          </w:tcPr>
          <w:p w14:paraId="18F81C49" w14:textId="77777777" w:rsidR="00141B97" w:rsidRDefault="00911D63">
            <w:pPr>
              <w:pStyle w:val="TableParagraph"/>
              <w:spacing w:before="32"/>
              <w:ind w:left="98"/>
              <w:rPr>
                <w:sz w:val="18"/>
              </w:rPr>
            </w:pPr>
            <w:r>
              <w:rPr>
                <w:spacing w:val="-2"/>
                <w:sz w:val="18"/>
              </w:rPr>
              <w:t>Management</w:t>
            </w:r>
          </w:p>
        </w:tc>
      </w:tr>
      <w:tr w:rsidR="00141B97" w14:paraId="5CAE567F" w14:textId="77777777">
        <w:trPr>
          <w:trHeight w:val="1388"/>
          <w:tblCellSpacing w:w="9" w:type="dxa"/>
        </w:trPr>
        <w:tc>
          <w:tcPr>
            <w:tcW w:w="2881" w:type="dxa"/>
            <w:tcBorders>
              <w:left w:val="nil"/>
            </w:tcBorders>
            <w:shd w:val="clear" w:color="auto" w:fill="CCE2ED"/>
          </w:tcPr>
          <w:p w14:paraId="24D928BE" w14:textId="77777777" w:rsidR="00141B97" w:rsidRDefault="00911D63">
            <w:pPr>
              <w:pStyle w:val="TableParagraph"/>
              <w:spacing w:before="1"/>
              <w:ind w:left="88" w:right="169"/>
              <w:rPr>
                <w:sz w:val="18"/>
              </w:rPr>
            </w:pPr>
            <w:r>
              <w:rPr>
                <w:sz w:val="18"/>
              </w:rPr>
              <w:t>To</w:t>
            </w:r>
            <w:r>
              <w:rPr>
                <w:spacing w:val="-4"/>
                <w:sz w:val="18"/>
              </w:rPr>
              <w:t xml:space="preserve"> </w:t>
            </w:r>
            <w:r>
              <w:rPr>
                <w:sz w:val="18"/>
              </w:rPr>
              <w:t>what</w:t>
            </w:r>
            <w:r>
              <w:rPr>
                <w:spacing w:val="-4"/>
                <w:sz w:val="18"/>
              </w:rPr>
              <w:t xml:space="preserve"> </w:t>
            </w:r>
            <w:r>
              <w:rPr>
                <w:sz w:val="18"/>
              </w:rPr>
              <w:t>extent</w:t>
            </w:r>
            <w:r>
              <w:rPr>
                <w:spacing w:val="-4"/>
                <w:sz w:val="18"/>
              </w:rPr>
              <w:t xml:space="preserve"> </w:t>
            </w:r>
            <w:r>
              <w:rPr>
                <w:sz w:val="18"/>
              </w:rPr>
              <w:t>has</w:t>
            </w:r>
            <w:r>
              <w:rPr>
                <w:spacing w:val="-4"/>
                <w:sz w:val="18"/>
              </w:rPr>
              <w:t xml:space="preserve"> </w:t>
            </w:r>
            <w:r>
              <w:rPr>
                <w:sz w:val="18"/>
              </w:rPr>
              <w:t>the</w:t>
            </w:r>
            <w:r>
              <w:rPr>
                <w:spacing w:val="-4"/>
                <w:sz w:val="18"/>
              </w:rPr>
              <w:t xml:space="preserve"> </w:t>
            </w:r>
            <w:r>
              <w:rPr>
                <w:sz w:val="18"/>
              </w:rPr>
              <w:t>business demonstrated</w:t>
            </w:r>
            <w:r>
              <w:rPr>
                <w:spacing w:val="-7"/>
                <w:sz w:val="18"/>
              </w:rPr>
              <w:t xml:space="preserve"> </w:t>
            </w:r>
            <w:r>
              <w:rPr>
                <w:sz w:val="18"/>
              </w:rPr>
              <w:t>how</w:t>
            </w:r>
            <w:r>
              <w:rPr>
                <w:spacing w:val="-6"/>
                <w:sz w:val="18"/>
              </w:rPr>
              <w:t xml:space="preserve"> </w:t>
            </w:r>
            <w:r>
              <w:rPr>
                <w:sz w:val="18"/>
              </w:rPr>
              <w:t>its</w:t>
            </w:r>
            <w:r>
              <w:rPr>
                <w:spacing w:val="-7"/>
                <w:sz w:val="18"/>
              </w:rPr>
              <w:t xml:space="preserve"> </w:t>
            </w:r>
            <w:r>
              <w:rPr>
                <w:sz w:val="18"/>
              </w:rPr>
              <w:t>proposed prices reflect only prudent and efficient</w:t>
            </w:r>
            <w:r>
              <w:rPr>
                <w:spacing w:val="-2"/>
                <w:sz w:val="18"/>
              </w:rPr>
              <w:t xml:space="preserve"> </w:t>
            </w:r>
            <w:r>
              <w:rPr>
                <w:sz w:val="18"/>
              </w:rPr>
              <w:t>expenditure?</w:t>
            </w:r>
          </w:p>
        </w:tc>
        <w:tc>
          <w:tcPr>
            <w:tcW w:w="5343" w:type="dxa"/>
            <w:shd w:val="clear" w:color="auto" w:fill="CCE2ED"/>
          </w:tcPr>
          <w:p w14:paraId="39FCDA57" w14:textId="77777777" w:rsidR="00141B97" w:rsidRDefault="00911D63">
            <w:pPr>
              <w:pStyle w:val="TableParagraph"/>
              <w:spacing w:before="2" w:line="259" w:lineRule="auto"/>
              <w:ind w:left="98" w:right="99"/>
              <w:rPr>
                <w:sz w:val="18"/>
              </w:rPr>
            </w:pPr>
            <w:r>
              <w:rPr>
                <w:sz w:val="18"/>
              </w:rPr>
              <w:t>A robust demand forecast, and expenditure forecasts driven by customer requirements. Detailed review of base assumptions and expenditure</w:t>
            </w:r>
            <w:r>
              <w:rPr>
                <w:spacing w:val="-3"/>
                <w:sz w:val="18"/>
              </w:rPr>
              <w:t xml:space="preserve"> </w:t>
            </w:r>
            <w:r>
              <w:rPr>
                <w:sz w:val="18"/>
              </w:rPr>
              <w:t>forecasts</w:t>
            </w:r>
            <w:r>
              <w:rPr>
                <w:spacing w:val="-3"/>
                <w:sz w:val="18"/>
              </w:rPr>
              <w:t xml:space="preserve"> </w:t>
            </w:r>
            <w:r>
              <w:rPr>
                <w:sz w:val="18"/>
              </w:rPr>
              <w:t>for</w:t>
            </w:r>
            <w:r>
              <w:rPr>
                <w:spacing w:val="-2"/>
                <w:sz w:val="18"/>
              </w:rPr>
              <w:t xml:space="preserve"> </w:t>
            </w:r>
            <w:r>
              <w:rPr>
                <w:sz w:val="18"/>
              </w:rPr>
              <w:t>all</w:t>
            </w:r>
            <w:r>
              <w:rPr>
                <w:spacing w:val="-3"/>
                <w:sz w:val="18"/>
              </w:rPr>
              <w:t xml:space="preserve"> </w:t>
            </w:r>
            <w:r>
              <w:rPr>
                <w:sz w:val="18"/>
              </w:rPr>
              <w:t>service</w:t>
            </w:r>
            <w:r>
              <w:rPr>
                <w:spacing w:val="-3"/>
                <w:sz w:val="18"/>
              </w:rPr>
              <w:t xml:space="preserve"> </w:t>
            </w:r>
            <w:r>
              <w:rPr>
                <w:sz w:val="18"/>
              </w:rPr>
              <w:t>delivery</w:t>
            </w:r>
            <w:r>
              <w:rPr>
                <w:spacing w:val="-3"/>
                <w:sz w:val="18"/>
              </w:rPr>
              <w:t xml:space="preserve"> </w:t>
            </w:r>
            <w:r>
              <w:rPr>
                <w:sz w:val="18"/>
              </w:rPr>
              <w:t>and</w:t>
            </w:r>
            <w:r>
              <w:rPr>
                <w:spacing w:val="-2"/>
                <w:sz w:val="18"/>
              </w:rPr>
              <w:t xml:space="preserve"> </w:t>
            </w:r>
            <w:r>
              <w:rPr>
                <w:sz w:val="18"/>
              </w:rPr>
              <w:t>corporate</w:t>
            </w:r>
            <w:r>
              <w:rPr>
                <w:spacing w:val="-3"/>
                <w:sz w:val="18"/>
              </w:rPr>
              <w:t xml:space="preserve"> </w:t>
            </w:r>
            <w:r>
              <w:rPr>
                <w:sz w:val="18"/>
              </w:rPr>
              <w:t>elements, with pressure to make savings and manage proposed budgets.</w:t>
            </w:r>
          </w:p>
          <w:p w14:paraId="34510E5D" w14:textId="77777777" w:rsidR="00141B97" w:rsidRDefault="00911D63">
            <w:pPr>
              <w:pStyle w:val="TableParagraph"/>
              <w:spacing w:line="217" w:lineRule="exact"/>
              <w:ind w:left="98"/>
              <w:rPr>
                <w:sz w:val="18"/>
              </w:rPr>
            </w:pPr>
            <w:r>
              <w:rPr>
                <w:sz w:val="18"/>
              </w:rPr>
              <w:t>Robust</w:t>
            </w:r>
            <w:r>
              <w:rPr>
                <w:spacing w:val="-3"/>
                <w:sz w:val="18"/>
              </w:rPr>
              <w:t xml:space="preserve"> </w:t>
            </w:r>
            <w:r>
              <w:rPr>
                <w:sz w:val="18"/>
              </w:rPr>
              <w:t>capital</w:t>
            </w:r>
            <w:r>
              <w:rPr>
                <w:spacing w:val="-2"/>
                <w:sz w:val="18"/>
              </w:rPr>
              <w:t xml:space="preserve"> </w:t>
            </w:r>
            <w:r>
              <w:rPr>
                <w:sz w:val="18"/>
              </w:rPr>
              <w:t>plan</w:t>
            </w:r>
            <w:r>
              <w:rPr>
                <w:spacing w:val="-3"/>
                <w:sz w:val="18"/>
              </w:rPr>
              <w:t xml:space="preserve"> </w:t>
            </w:r>
            <w:r>
              <w:rPr>
                <w:sz w:val="18"/>
              </w:rPr>
              <w:t>based</w:t>
            </w:r>
            <w:r>
              <w:rPr>
                <w:spacing w:val="-3"/>
                <w:sz w:val="18"/>
              </w:rPr>
              <w:t xml:space="preserve"> </w:t>
            </w:r>
            <w:r>
              <w:rPr>
                <w:sz w:val="18"/>
              </w:rPr>
              <w:t>on</w:t>
            </w:r>
            <w:r>
              <w:rPr>
                <w:spacing w:val="-1"/>
                <w:sz w:val="18"/>
              </w:rPr>
              <w:t xml:space="preserve"> </w:t>
            </w:r>
            <w:r>
              <w:rPr>
                <w:sz w:val="18"/>
              </w:rPr>
              <w:t>strategic</w:t>
            </w:r>
            <w:r>
              <w:rPr>
                <w:spacing w:val="-3"/>
                <w:sz w:val="18"/>
              </w:rPr>
              <w:t xml:space="preserve"> </w:t>
            </w:r>
            <w:r>
              <w:rPr>
                <w:sz w:val="18"/>
              </w:rPr>
              <w:t>and</w:t>
            </w:r>
            <w:r>
              <w:rPr>
                <w:spacing w:val="-2"/>
                <w:sz w:val="18"/>
              </w:rPr>
              <w:t xml:space="preserve"> </w:t>
            </w:r>
            <w:r>
              <w:rPr>
                <w:sz w:val="18"/>
              </w:rPr>
              <w:t>project</w:t>
            </w:r>
            <w:r>
              <w:rPr>
                <w:spacing w:val="-4"/>
                <w:sz w:val="18"/>
              </w:rPr>
              <w:t xml:space="preserve"> </w:t>
            </w:r>
            <w:r>
              <w:rPr>
                <w:sz w:val="18"/>
              </w:rPr>
              <w:t>planning</w:t>
            </w:r>
            <w:r>
              <w:rPr>
                <w:spacing w:val="-2"/>
                <w:sz w:val="18"/>
              </w:rPr>
              <w:t xml:space="preserve"> processes,</w:t>
            </w:r>
          </w:p>
          <w:p w14:paraId="24A0E459" w14:textId="77777777" w:rsidR="00141B97" w:rsidRDefault="00911D63">
            <w:pPr>
              <w:pStyle w:val="TableParagraph"/>
              <w:spacing w:before="1" w:line="199" w:lineRule="exact"/>
              <w:ind w:left="98"/>
              <w:rPr>
                <w:sz w:val="18"/>
              </w:rPr>
            </w:pPr>
            <w:r>
              <w:rPr>
                <w:sz w:val="18"/>
              </w:rPr>
              <w:t>program</w:t>
            </w:r>
            <w:r>
              <w:rPr>
                <w:spacing w:val="-3"/>
                <w:sz w:val="18"/>
              </w:rPr>
              <w:t xml:space="preserve"> </w:t>
            </w:r>
            <w:r>
              <w:rPr>
                <w:sz w:val="18"/>
              </w:rPr>
              <w:t>review</w:t>
            </w:r>
            <w:r>
              <w:rPr>
                <w:spacing w:val="-1"/>
                <w:sz w:val="18"/>
              </w:rPr>
              <w:t xml:space="preserve"> </w:t>
            </w:r>
            <w:r>
              <w:rPr>
                <w:sz w:val="18"/>
              </w:rPr>
              <w:t>and prioritisation,</w:t>
            </w:r>
            <w:r>
              <w:rPr>
                <w:spacing w:val="-1"/>
                <w:sz w:val="18"/>
              </w:rPr>
              <w:t xml:space="preserve"> </w:t>
            </w:r>
            <w:r>
              <w:rPr>
                <w:sz w:val="18"/>
              </w:rPr>
              <w:t>and proven</w:t>
            </w:r>
            <w:r>
              <w:rPr>
                <w:spacing w:val="-2"/>
                <w:sz w:val="18"/>
              </w:rPr>
              <w:t xml:space="preserve"> </w:t>
            </w:r>
            <w:r>
              <w:rPr>
                <w:sz w:val="18"/>
              </w:rPr>
              <w:t>capital</w:t>
            </w:r>
            <w:r>
              <w:rPr>
                <w:spacing w:val="-1"/>
                <w:sz w:val="18"/>
              </w:rPr>
              <w:t xml:space="preserve"> </w:t>
            </w:r>
            <w:r>
              <w:rPr>
                <w:sz w:val="18"/>
              </w:rPr>
              <w:t>delivery</w:t>
            </w:r>
            <w:r>
              <w:rPr>
                <w:spacing w:val="-1"/>
                <w:sz w:val="18"/>
              </w:rPr>
              <w:t xml:space="preserve"> </w:t>
            </w:r>
            <w:r>
              <w:rPr>
                <w:spacing w:val="-2"/>
                <w:sz w:val="18"/>
              </w:rPr>
              <w:t>process.</w:t>
            </w:r>
          </w:p>
        </w:tc>
        <w:tc>
          <w:tcPr>
            <w:tcW w:w="1519" w:type="dxa"/>
            <w:tcBorders>
              <w:right w:val="nil"/>
            </w:tcBorders>
            <w:shd w:val="clear" w:color="auto" w:fill="CCE2ED"/>
          </w:tcPr>
          <w:p w14:paraId="4B64E6A6" w14:textId="77777777" w:rsidR="00141B97" w:rsidRDefault="00911D63">
            <w:pPr>
              <w:pStyle w:val="TableParagraph"/>
              <w:spacing w:before="1"/>
              <w:ind w:left="220" w:right="210"/>
              <w:jc w:val="center"/>
              <w:rPr>
                <w:sz w:val="18"/>
              </w:rPr>
            </w:pPr>
            <w:r>
              <w:rPr>
                <w:spacing w:val="-5"/>
                <w:sz w:val="18"/>
              </w:rPr>
              <w:t>2.0</w:t>
            </w:r>
          </w:p>
          <w:p w14:paraId="78F1509C" w14:textId="77777777" w:rsidR="00141B97" w:rsidRDefault="00911D63">
            <w:pPr>
              <w:pStyle w:val="TableParagraph"/>
              <w:ind w:left="384" w:right="370" w:hanging="2"/>
              <w:jc w:val="center"/>
              <w:rPr>
                <w:sz w:val="18"/>
              </w:rPr>
            </w:pPr>
            <w:r>
              <w:rPr>
                <w:spacing w:val="-2"/>
                <w:sz w:val="18"/>
              </w:rPr>
              <w:t>Satisfied</w:t>
            </w:r>
            <w:r>
              <w:rPr>
                <w:sz w:val="18"/>
              </w:rPr>
              <w:t xml:space="preserve"> </w:t>
            </w:r>
            <w:r>
              <w:rPr>
                <w:spacing w:val="-2"/>
                <w:sz w:val="18"/>
              </w:rPr>
              <w:t>‘Standard’</w:t>
            </w:r>
          </w:p>
        </w:tc>
      </w:tr>
      <w:tr w:rsidR="00141B97" w14:paraId="24D01ABC" w14:textId="77777777">
        <w:trPr>
          <w:trHeight w:val="878"/>
          <w:tblCellSpacing w:w="9" w:type="dxa"/>
        </w:trPr>
        <w:tc>
          <w:tcPr>
            <w:tcW w:w="2881" w:type="dxa"/>
            <w:tcBorders>
              <w:left w:val="nil"/>
            </w:tcBorders>
            <w:shd w:val="clear" w:color="auto" w:fill="CCE2ED"/>
          </w:tcPr>
          <w:p w14:paraId="273940A5" w14:textId="77777777" w:rsidR="00141B97" w:rsidRDefault="00911D63">
            <w:pPr>
              <w:pStyle w:val="TableParagraph"/>
              <w:ind w:left="88" w:right="449"/>
              <w:jc w:val="both"/>
              <w:rPr>
                <w:sz w:val="18"/>
              </w:rPr>
            </w:pPr>
            <w:r>
              <w:rPr>
                <w:sz w:val="18"/>
              </w:rPr>
              <w:t>To</w:t>
            </w:r>
            <w:r>
              <w:rPr>
                <w:spacing w:val="-4"/>
                <w:sz w:val="18"/>
              </w:rPr>
              <w:t xml:space="preserve"> </w:t>
            </w:r>
            <w:r>
              <w:rPr>
                <w:sz w:val="18"/>
              </w:rPr>
              <w:t>what</w:t>
            </w:r>
            <w:r>
              <w:rPr>
                <w:spacing w:val="-4"/>
                <w:sz w:val="18"/>
              </w:rPr>
              <w:t xml:space="preserve"> </w:t>
            </w:r>
            <w:r>
              <w:rPr>
                <w:sz w:val="18"/>
              </w:rPr>
              <w:t>extent</w:t>
            </w:r>
            <w:r>
              <w:rPr>
                <w:spacing w:val="-4"/>
                <w:sz w:val="18"/>
              </w:rPr>
              <w:t xml:space="preserve"> </w:t>
            </w:r>
            <w:r>
              <w:rPr>
                <w:sz w:val="18"/>
              </w:rPr>
              <w:t>has</w:t>
            </w:r>
            <w:r>
              <w:rPr>
                <w:spacing w:val="-4"/>
                <w:sz w:val="18"/>
              </w:rPr>
              <w:t xml:space="preserve"> </w:t>
            </w:r>
            <w:r>
              <w:rPr>
                <w:sz w:val="18"/>
              </w:rPr>
              <w:t>the</w:t>
            </w:r>
            <w:r>
              <w:rPr>
                <w:spacing w:val="-4"/>
                <w:sz w:val="18"/>
              </w:rPr>
              <w:t xml:space="preserve"> </w:t>
            </w:r>
            <w:r>
              <w:rPr>
                <w:sz w:val="18"/>
              </w:rPr>
              <w:t>business justified its commitment to cost efficiency or productivity</w:t>
            </w:r>
          </w:p>
          <w:p w14:paraId="5A71D31B" w14:textId="77777777" w:rsidR="00141B97" w:rsidRDefault="00911D63">
            <w:pPr>
              <w:pStyle w:val="TableParagraph"/>
              <w:spacing w:line="199" w:lineRule="exact"/>
              <w:ind w:left="88"/>
              <w:rPr>
                <w:sz w:val="18"/>
              </w:rPr>
            </w:pPr>
            <w:r>
              <w:rPr>
                <w:spacing w:val="-2"/>
                <w:sz w:val="18"/>
              </w:rPr>
              <w:t>improvements?</w:t>
            </w:r>
          </w:p>
        </w:tc>
        <w:tc>
          <w:tcPr>
            <w:tcW w:w="5343" w:type="dxa"/>
            <w:shd w:val="clear" w:color="auto" w:fill="CCE2ED"/>
          </w:tcPr>
          <w:p w14:paraId="5BBC927E" w14:textId="77777777" w:rsidR="00141B97" w:rsidRDefault="00911D63">
            <w:pPr>
              <w:pStyle w:val="TableParagraph"/>
              <w:ind w:left="98"/>
              <w:rPr>
                <w:sz w:val="18"/>
              </w:rPr>
            </w:pPr>
            <w:r>
              <w:rPr>
                <w:sz w:val="18"/>
              </w:rPr>
              <w:t>Proposal</w:t>
            </w:r>
            <w:r>
              <w:rPr>
                <w:spacing w:val="-3"/>
                <w:sz w:val="18"/>
              </w:rPr>
              <w:t xml:space="preserve"> </w:t>
            </w:r>
            <w:r>
              <w:rPr>
                <w:sz w:val="18"/>
              </w:rPr>
              <w:t>for</w:t>
            </w:r>
            <w:r>
              <w:rPr>
                <w:spacing w:val="-2"/>
                <w:sz w:val="18"/>
              </w:rPr>
              <w:t xml:space="preserve"> </w:t>
            </w:r>
            <w:r>
              <w:rPr>
                <w:sz w:val="18"/>
              </w:rPr>
              <w:t>delivering</w:t>
            </w:r>
            <w:r>
              <w:rPr>
                <w:spacing w:val="-3"/>
                <w:sz w:val="18"/>
              </w:rPr>
              <w:t xml:space="preserve"> </w:t>
            </w:r>
            <w:r>
              <w:rPr>
                <w:sz w:val="18"/>
              </w:rPr>
              <w:t>greater</w:t>
            </w:r>
            <w:r>
              <w:rPr>
                <w:spacing w:val="-2"/>
                <w:sz w:val="18"/>
              </w:rPr>
              <w:t xml:space="preserve"> </w:t>
            </w:r>
            <w:r>
              <w:rPr>
                <w:sz w:val="18"/>
              </w:rPr>
              <w:t>than</w:t>
            </w:r>
            <w:r>
              <w:rPr>
                <w:spacing w:val="-3"/>
                <w:sz w:val="18"/>
              </w:rPr>
              <w:t xml:space="preserve"> </w:t>
            </w:r>
            <w:r>
              <w:rPr>
                <w:sz w:val="18"/>
              </w:rPr>
              <w:t>1.08%</w:t>
            </w:r>
            <w:r>
              <w:rPr>
                <w:spacing w:val="-2"/>
                <w:sz w:val="18"/>
              </w:rPr>
              <w:t xml:space="preserve"> </w:t>
            </w:r>
            <w:r>
              <w:rPr>
                <w:sz w:val="18"/>
              </w:rPr>
              <w:t>controllable</w:t>
            </w:r>
            <w:r>
              <w:rPr>
                <w:spacing w:val="-2"/>
                <w:sz w:val="18"/>
              </w:rPr>
              <w:t xml:space="preserve"> </w:t>
            </w:r>
            <w:r>
              <w:rPr>
                <w:sz w:val="18"/>
              </w:rPr>
              <w:t>cost</w:t>
            </w:r>
            <w:r>
              <w:rPr>
                <w:spacing w:val="-3"/>
                <w:sz w:val="18"/>
              </w:rPr>
              <w:t xml:space="preserve"> </w:t>
            </w:r>
            <w:r>
              <w:rPr>
                <w:sz w:val="18"/>
              </w:rPr>
              <w:t>efficiency savings for urban customers.</w:t>
            </w:r>
          </w:p>
        </w:tc>
        <w:tc>
          <w:tcPr>
            <w:tcW w:w="1519" w:type="dxa"/>
            <w:tcBorders>
              <w:right w:val="nil"/>
            </w:tcBorders>
            <w:shd w:val="clear" w:color="auto" w:fill="CCE2ED"/>
          </w:tcPr>
          <w:p w14:paraId="6C4CC3E3" w14:textId="77777777" w:rsidR="00141B97" w:rsidRDefault="00911D63">
            <w:pPr>
              <w:pStyle w:val="TableParagraph"/>
              <w:ind w:left="220" w:right="210"/>
              <w:jc w:val="center"/>
              <w:rPr>
                <w:sz w:val="18"/>
              </w:rPr>
            </w:pPr>
            <w:r>
              <w:rPr>
                <w:spacing w:val="-4"/>
                <w:sz w:val="18"/>
              </w:rPr>
              <w:t>2.25</w:t>
            </w:r>
          </w:p>
          <w:p w14:paraId="5803CCAE" w14:textId="77777777" w:rsidR="00141B97" w:rsidRDefault="00911D63">
            <w:pPr>
              <w:pStyle w:val="TableParagraph"/>
              <w:ind w:left="384" w:right="370" w:hanging="2"/>
              <w:jc w:val="center"/>
              <w:rPr>
                <w:sz w:val="18"/>
              </w:rPr>
            </w:pPr>
            <w:r>
              <w:rPr>
                <w:spacing w:val="-2"/>
                <w:sz w:val="18"/>
              </w:rPr>
              <w:t>Confident</w:t>
            </w:r>
            <w:r>
              <w:rPr>
                <w:sz w:val="18"/>
              </w:rPr>
              <w:t xml:space="preserve"> </w:t>
            </w:r>
            <w:r>
              <w:rPr>
                <w:spacing w:val="-2"/>
                <w:sz w:val="18"/>
              </w:rPr>
              <w:t>‘Standard’</w:t>
            </w:r>
          </w:p>
        </w:tc>
      </w:tr>
      <w:tr w:rsidR="00141B97" w14:paraId="6AB58FF5" w14:textId="77777777">
        <w:trPr>
          <w:trHeight w:val="1537"/>
          <w:tblCellSpacing w:w="9" w:type="dxa"/>
        </w:trPr>
        <w:tc>
          <w:tcPr>
            <w:tcW w:w="2881" w:type="dxa"/>
            <w:tcBorders>
              <w:left w:val="nil"/>
            </w:tcBorders>
            <w:shd w:val="clear" w:color="auto" w:fill="CCE2ED"/>
          </w:tcPr>
          <w:p w14:paraId="5E9E6ADF" w14:textId="77777777" w:rsidR="00141B97" w:rsidRDefault="00911D63">
            <w:pPr>
              <w:pStyle w:val="TableParagraph"/>
              <w:ind w:left="88" w:right="169"/>
              <w:rPr>
                <w:sz w:val="18"/>
              </w:rPr>
            </w:pPr>
            <w:r>
              <w:rPr>
                <w:sz w:val="18"/>
              </w:rPr>
              <w:t>To what extent has the business justified or provided assurance about</w:t>
            </w:r>
            <w:r>
              <w:rPr>
                <w:spacing w:val="-4"/>
                <w:sz w:val="18"/>
              </w:rPr>
              <w:t xml:space="preserve"> </w:t>
            </w:r>
            <w:r>
              <w:rPr>
                <w:sz w:val="18"/>
              </w:rPr>
              <w:t>the</w:t>
            </w:r>
            <w:r>
              <w:rPr>
                <w:spacing w:val="-4"/>
                <w:sz w:val="18"/>
              </w:rPr>
              <w:t xml:space="preserve"> </w:t>
            </w:r>
            <w:r>
              <w:rPr>
                <w:sz w:val="18"/>
              </w:rPr>
              <w:t>quality</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 xml:space="preserve">submission, including the quality of supporting information on forecast costs or </w:t>
            </w:r>
            <w:r>
              <w:rPr>
                <w:spacing w:val="-2"/>
                <w:sz w:val="18"/>
              </w:rPr>
              <w:t>projects?</w:t>
            </w:r>
          </w:p>
        </w:tc>
        <w:tc>
          <w:tcPr>
            <w:tcW w:w="5343" w:type="dxa"/>
            <w:shd w:val="clear" w:color="auto" w:fill="CCE2ED"/>
          </w:tcPr>
          <w:p w14:paraId="7E76DF46" w14:textId="77777777" w:rsidR="00141B97" w:rsidRDefault="00911D63">
            <w:pPr>
              <w:pStyle w:val="TableParagraph"/>
              <w:ind w:left="98" w:right="120"/>
              <w:rPr>
                <w:sz w:val="18"/>
              </w:rPr>
            </w:pPr>
            <w:r>
              <w:rPr>
                <w:sz w:val="18"/>
              </w:rPr>
              <w:t>Planned</w:t>
            </w:r>
            <w:r>
              <w:rPr>
                <w:spacing w:val="-3"/>
                <w:sz w:val="18"/>
              </w:rPr>
              <w:t xml:space="preserve"> </w:t>
            </w:r>
            <w:r>
              <w:rPr>
                <w:sz w:val="18"/>
              </w:rPr>
              <w:t>and</w:t>
            </w:r>
            <w:r>
              <w:rPr>
                <w:spacing w:val="-2"/>
                <w:sz w:val="18"/>
              </w:rPr>
              <w:t xml:space="preserve"> </w:t>
            </w:r>
            <w:r>
              <w:rPr>
                <w:sz w:val="18"/>
              </w:rPr>
              <w:t>systematic</w:t>
            </w:r>
            <w:r>
              <w:rPr>
                <w:spacing w:val="-2"/>
                <w:sz w:val="18"/>
              </w:rPr>
              <w:t xml:space="preserve"> </w:t>
            </w:r>
            <w:r>
              <w:rPr>
                <w:sz w:val="18"/>
              </w:rPr>
              <w:t>process</w:t>
            </w:r>
            <w:r>
              <w:rPr>
                <w:spacing w:val="-3"/>
                <w:sz w:val="18"/>
              </w:rPr>
              <w:t xml:space="preserve"> </w:t>
            </w:r>
            <w:r>
              <w:rPr>
                <w:sz w:val="18"/>
              </w:rPr>
              <w:t>for</w:t>
            </w:r>
            <w:r>
              <w:rPr>
                <w:spacing w:val="-2"/>
                <w:sz w:val="18"/>
              </w:rPr>
              <w:t xml:space="preserve"> </w:t>
            </w:r>
            <w:r>
              <w:rPr>
                <w:sz w:val="18"/>
              </w:rPr>
              <w:t>internal</w:t>
            </w:r>
            <w:r>
              <w:rPr>
                <w:spacing w:val="-3"/>
                <w:sz w:val="18"/>
              </w:rPr>
              <w:t xml:space="preserve"> </w:t>
            </w:r>
            <w:r>
              <w:rPr>
                <w:sz w:val="18"/>
              </w:rPr>
              <w:t>review</w:t>
            </w:r>
            <w:r>
              <w:rPr>
                <w:spacing w:val="-2"/>
                <w:sz w:val="18"/>
              </w:rPr>
              <w:t xml:space="preserve"> </w:t>
            </w:r>
            <w:r>
              <w:rPr>
                <w:sz w:val="18"/>
              </w:rPr>
              <w:t>of</w:t>
            </w:r>
            <w:r>
              <w:rPr>
                <w:spacing w:val="-2"/>
                <w:sz w:val="18"/>
              </w:rPr>
              <w:t xml:space="preserve"> </w:t>
            </w:r>
            <w:r>
              <w:rPr>
                <w:sz w:val="18"/>
              </w:rPr>
              <w:t>all</w:t>
            </w:r>
            <w:r>
              <w:rPr>
                <w:spacing w:val="-3"/>
                <w:sz w:val="18"/>
              </w:rPr>
              <w:t xml:space="preserve"> </w:t>
            </w:r>
            <w:r>
              <w:rPr>
                <w:sz w:val="18"/>
              </w:rPr>
              <w:t>inputs</w:t>
            </w:r>
            <w:r>
              <w:rPr>
                <w:spacing w:val="-3"/>
                <w:sz w:val="18"/>
              </w:rPr>
              <w:t xml:space="preserve"> </w:t>
            </w:r>
            <w:r>
              <w:rPr>
                <w:sz w:val="18"/>
              </w:rPr>
              <w:t>to</w:t>
            </w:r>
            <w:r>
              <w:rPr>
                <w:spacing w:val="-3"/>
                <w:sz w:val="18"/>
              </w:rPr>
              <w:t xml:space="preserve"> </w:t>
            </w:r>
            <w:r>
              <w:rPr>
                <w:sz w:val="18"/>
              </w:rPr>
              <w:t>PS5. Engaged external expertise comprising GHD (project plan and management, review/challenge and submission compilation), ACIL Allen (financial modelling and templates), Aurecon (customer engagement) and KPMG (PREMO assessment, corporate cost</w:t>
            </w:r>
            <w:r>
              <w:rPr>
                <w:spacing w:val="40"/>
                <w:sz w:val="18"/>
              </w:rPr>
              <w:t xml:space="preserve"> </w:t>
            </w:r>
            <w:r>
              <w:rPr>
                <w:sz w:val="18"/>
              </w:rPr>
              <w:t>allocation and review of some elements of opex).</w:t>
            </w:r>
          </w:p>
        </w:tc>
        <w:tc>
          <w:tcPr>
            <w:tcW w:w="1519" w:type="dxa"/>
            <w:tcBorders>
              <w:right w:val="nil"/>
            </w:tcBorders>
            <w:shd w:val="clear" w:color="auto" w:fill="CCE2ED"/>
          </w:tcPr>
          <w:p w14:paraId="316080B5" w14:textId="77777777" w:rsidR="00141B97" w:rsidRDefault="00911D63">
            <w:pPr>
              <w:pStyle w:val="TableParagraph"/>
              <w:ind w:left="220" w:right="210"/>
              <w:jc w:val="center"/>
              <w:rPr>
                <w:sz w:val="18"/>
              </w:rPr>
            </w:pPr>
            <w:r>
              <w:rPr>
                <w:spacing w:val="-4"/>
                <w:sz w:val="18"/>
              </w:rPr>
              <w:t>2.25</w:t>
            </w:r>
          </w:p>
          <w:p w14:paraId="5E367864" w14:textId="77777777" w:rsidR="00141B97" w:rsidRDefault="00911D63">
            <w:pPr>
              <w:pStyle w:val="TableParagraph"/>
              <w:ind w:left="384" w:right="370" w:hanging="2"/>
              <w:jc w:val="center"/>
              <w:rPr>
                <w:sz w:val="18"/>
              </w:rPr>
            </w:pPr>
            <w:r>
              <w:rPr>
                <w:spacing w:val="-2"/>
                <w:sz w:val="18"/>
              </w:rPr>
              <w:t>Confident</w:t>
            </w:r>
            <w:r>
              <w:rPr>
                <w:sz w:val="18"/>
              </w:rPr>
              <w:t xml:space="preserve"> </w:t>
            </w:r>
            <w:r>
              <w:rPr>
                <w:spacing w:val="-2"/>
                <w:sz w:val="18"/>
              </w:rPr>
              <w:t>‘Standard’</w:t>
            </w:r>
          </w:p>
        </w:tc>
      </w:tr>
      <w:tr w:rsidR="00141B97" w14:paraId="56F3401B" w14:textId="77777777">
        <w:trPr>
          <w:trHeight w:val="1758"/>
          <w:tblCellSpacing w:w="9" w:type="dxa"/>
        </w:trPr>
        <w:tc>
          <w:tcPr>
            <w:tcW w:w="2881" w:type="dxa"/>
            <w:tcBorders>
              <w:left w:val="nil"/>
            </w:tcBorders>
            <w:shd w:val="clear" w:color="auto" w:fill="CCE2ED"/>
          </w:tcPr>
          <w:p w14:paraId="52609EF7" w14:textId="77777777" w:rsidR="00141B97" w:rsidRDefault="00911D63">
            <w:pPr>
              <w:pStyle w:val="TableParagraph"/>
              <w:spacing w:before="1"/>
              <w:ind w:left="88" w:right="169"/>
              <w:rPr>
                <w:sz w:val="18"/>
              </w:rPr>
            </w:pPr>
            <w:r>
              <w:rPr>
                <w:sz w:val="18"/>
              </w:rPr>
              <w:t>To what extent has the business provided evidence that there is senior</w:t>
            </w:r>
            <w:r>
              <w:rPr>
                <w:spacing w:val="-5"/>
                <w:sz w:val="18"/>
              </w:rPr>
              <w:t xml:space="preserve"> </w:t>
            </w:r>
            <w:r>
              <w:rPr>
                <w:sz w:val="18"/>
              </w:rPr>
              <w:t>level,</w:t>
            </w:r>
            <w:r>
              <w:rPr>
                <w:spacing w:val="-5"/>
                <w:sz w:val="18"/>
              </w:rPr>
              <w:t xml:space="preserve"> </w:t>
            </w:r>
            <w:r>
              <w:rPr>
                <w:sz w:val="18"/>
              </w:rPr>
              <w:t>including</w:t>
            </w:r>
            <w:r>
              <w:rPr>
                <w:spacing w:val="-6"/>
                <w:sz w:val="18"/>
              </w:rPr>
              <w:t xml:space="preserve"> </w:t>
            </w:r>
            <w:r>
              <w:rPr>
                <w:sz w:val="18"/>
              </w:rPr>
              <w:t>Board</w:t>
            </w:r>
            <w:r>
              <w:rPr>
                <w:spacing w:val="-5"/>
                <w:sz w:val="18"/>
              </w:rPr>
              <w:t xml:space="preserve"> </w:t>
            </w:r>
            <w:r>
              <w:rPr>
                <w:sz w:val="18"/>
              </w:rPr>
              <w:t>level, ownership</w:t>
            </w:r>
            <w:r>
              <w:rPr>
                <w:spacing w:val="-4"/>
                <w:sz w:val="18"/>
              </w:rPr>
              <w:t xml:space="preserve"> </w:t>
            </w:r>
            <w:r>
              <w:rPr>
                <w:sz w:val="18"/>
              </w:rPr>
              <w:t>and</w:t>
            </w:r>
            <w:r>
              <w:rPr>
                <w:spacing w:val="-4"/>
                <w:sz w:val="18"/>
              </w:rPr>
              <w:t xml:space="preserve"> </w:t>
            </w:r>
            <w:r>
              <w:rPr>
                <w:sz w:val="18"/>
              </w:rPr>
              <w:t>commitment</w:t>
            </w:r>
            <w:r>
              <w:rPr>
                <w:spacing w:val="-5"/>
                <w:sz w:val="18"/>
              </w:rPr>
              <w:t xml:space="preserve"> </w:t>
            </w:r>
            <w:r>
              <w:rPr>
                <w:sz w:val="18"/>
              </w:rPr>
              <w:t>to</w:t>
            </w:r>
            <w:r>
              <w:rPr>
                <w:spacing w:val="-5"/>
                <w:sz w:val="18"/>
              </w:rPr>
              <w:t xml:space="preserve"> </w:t>
            </w:r>
            <w:r>
              <w:rPr>
                <w:sz w:val="18"/>
              </w:rPr>
              <w:t>its submission and its outcomes?</w:t>
            </w:r>
          </w:p>
        </w:tc>
        <w:tc>
          <w:tcPr>
            <w:tcW w:w="5343" w:type="dxa"/>
            <w:shd w:val="clear" w:color="auto" w:fill="CCE2ED"/>
          </w:tcPr>
          <w:p w14:paraId="5FBF5853" w14:textId="77777777" w:rsidR="00141B97" w:rsidRDefault="00911D63">
            <w:pPr>
              <w:pStyle w:val="TableParagraph"/>
              <w:spacing w:before="1"/>
              <w:ind w:left="98" w:right="120"/>
              <w:rPr>
                <w:sz w:val="18"/>
              </w:rPr>
            </w:pPr>
            <w:r>
              <w:rPr>
                <w:sz w:val="18"/>
              </w:rPr>
              <w:t>Essentially</w:t>
            </w:r>
            <w:r>
              <w:rPr>
                <w:spacing w:val="-1"/>
                <w:sz w:val="18"/>
              </w:rPr>
              <w:t xml:space="preserve"> </w:t>
            </w:r>
            <w:r>
              <w:rPr>
                <w:sz w:val="18"/>
              </w:rPr>
              <w:t>PS5 is the</w:t>
            </w:r>
            <w:r>
              <w:rPr>
                <w:spacing w:val="-1"/>
                <w:sz w:val="18"/>
              </w:rPr>
              <w:t xml:space="preserve"> </w:t>
            </w:r>
            <w:r>
              <w:rPr>
                <w:sz w:val="18"/>
              </w:rPr>
              <w:t>business</w:t>
            </w:r>
            <w:r>
              <w:rPr>
                <w:spacing w:val="-1"/>
                <w:sz w:val="18"/>
              </w:rPr>
              <w:t xml:space="preserve"> </w:t>
            </w:r>
            <w:r>
              <w:rPr>
                <w:sz w:val="18"/>
              </w:rPr>
              <w:t>plan</w:t>
            </w:r>
            <w:r>
              <w:rPr>
                <w:spacing w:val="-1"/>
                <w:sz w:val="18"/>
              </w:rPr>
              <w:t xml:space="preserve"> </w:t>
            </w:r>
            <w:r>
              <w:rPr>
                <w:sz w:val="18"/>
              </w:rPr>
              <w:t>for the</w:t>
            </w:r>
            <w:r>
              <w:rPr>
                <w:spacing w:val="-1"/>
                <w:sz w:val="18"/>
              </w:rPr>
              <w:t xml:space="preserve"> </w:t>
            </w:r>
            <w:r>
              <w:rPr>
                <w:sz w:val="18"/>
              </w:rPr>
              <w:t>next</w:t>
            </w:r>
            <w:r>
              <w:rPr>
                <w:spacing w:val="-1"/>
                <w:sz w:val="18"/>
              </w:rPr>
              <w:t xml:space="preserve"> </w:t>
            </w:r>
            <w:r>
              <w:rPr>
                <w:sz w:val="18"/>
              </w:rPr>
              <w:t>5 years and is ‘mission critical’.</w:t>
            </w:r>
            <w:r>
              <w:rPr>
                <w:spacing w:val="-3"/>
                <w:sz w:val="18"/>
              </w:rPr>
              <w:t xml:space="preserve"> </w:t>
            </w:r>
            <w:r>
              <w:rPr>
                <w:sz w:val="18"/>
              </w:rPr>
              <w:t>Executive‐level</w:t>
            </w:r>
            <w:r>
              <w:rPr>
                <w:spacing w:val="-4"/>
                <w:sz w:val="18"/>
              </w:rPr>
              <w:t xml:space="preserve"> </w:t>
            </w:r>
            <w:r>
              <w:rPr>
                <w:sz w:val="18"/>
              </w:rPr>
              <w:t>PS5</w:t>
            </w:r>
            <w:r>
              <w:rPr>
                <w:spacing w:val="-3"/>
                <w:sz w:val="18"/>
              </w:rPr>
              <w:t xml:space="preserve"> </w:t>
            </w:r>
            <w:r>
              <w:rPr>
                <w:sz w:val="18"/>
              </w:rPr>
              <w:t>Development</w:t>
            </w:r>
            <w:r>
              <w:rPr>
                <w:spacing w:val="-4"/>
                <w:sz w:val="18"/>
              </w:rPr>
              <w:t xml:space="preserve"> </w:t>
            </w:r>
            <w:r>
              <w:rPr>
                <w:sz w:val="18"/>
              </w:rPr>
              <w:t>Coordination</w:t>
            </w:r>
            <w:r>
              <w:rPr>
                <w:spacing w:val="-3"/>
                <w:sz w:val="18"/>
              </w:rPr>
              <w:t xml:space="preserve"> </w:t>
            </w:r>
            <w:r>
              <w:rPr>
                <w:sz w:val="18"/>
              </w:rPr>
              <w:t>Team</w:t>
            </w:r>
            <w:r>
              <w:rPr>
                <w:spacing w:val="-3"/>
                <w:sz w:val="18"/>
              </w:rPr>
              <w:t xml:space="preserve"> </w:t>
            </w:r>
            <w:r>
              <w:rPr>
                <w:sz w:val="18"/>
              </w:rPr>
              <w:t>planned and guided entire submission development. Executive Verification process implemented to oversee every input. Finance and Audit Committee on behalf of the Board, engaged in every major decision and reviewed progressive development of customer outcomes, projects and programs, price path models and ultimately the PS5</w:t>
            </w:r>
          </w:p>
          <w:p w14:paraId="4AAC45E3" w14:textId="77777777" w:rsidR="00141B97" w:rsidRDefault="00911D63">
            <w:pPr>
              <w:pStyle w:val="TableParagraph"/>
              <w:spacing w:line="199" w:lineRule="exact"/>
              <w:ind w:left="98"/>
              <w:rPr>
                <w:sz w:val="18"/>
              </w:rPr>
            </w:pPr>
            <w:r>
              <w:rPr>
                <w:sz w:val="18"/>
              </w:rPr>
              <w:t>documents</w:t>
            </w:r>
            <w:r>
              <w:rPr>
                <w:spacing w:val="-2"/>
                <w:sz w:val="18"/>
              </w:rPr>
              <w:t xml:space="preserve"> </w:t>
            </w:r>
            <w:r>
              <w:rPr>
                <w:sz w:val="18"/>
              </w:rPr>
              <w:t>to</w:t>
            </w:r>
            <w:r>
              <w:rPr>
                <w:spacing w:val="-1"/>
                <w:sz w:val="18"/>
              </w:rPr>
              <w:t xml:space="preserve"> </w:t>
            </w:r>
            <w:r>
              <w:rPr>
                <w:sz w:val="18"/>
              </w:rPr>
              <w:t>support</w:t>
            </w:r>
            <w:r>
              <w:rPr>
                <w:spacing w:val="-1"/>
                <w:sz w:val="18"/>
              </w:rPr>
              <w:t xml:space="preserve"> </w:t>
            </w:r>
            <w:r>
              <w:rPr>
                <w:sz w:val="18"/>
              </w:rPr>
              <w:t>attestation</w:t>
            </w:r>
            <w:r>
              <w:rPr>
                <w:spacing w:val="-1"/>
                <w:sz w:val="18"/>
              </w:rPr>
              <w:t xml:space="preserve"> </w:t>
            </w:r>
            <w:r>
              <w:rPr>
                <w:sz w:val="18"/>
              </w:rPr>
              <w:t>by</w:t>
            </w:r>
            <w:r>
              <w:rPr>
                <w:spacing w:val="-1"/>
                <w:sz w:val="18"/>
              </w:rPr>
              <w:t xml:space="preserve"> </w:t>
            </w:r>
            <w:r>
              <w:rPr>
                <w:spacing w:val="-2"/>
                <w:sz w:val="18"/>
              </w:rPr>
              <w:t>Board.</w:t>
            </w:r>
          </w:p>
        </w:tc>
        <w:tc>
          <w:tcPr>
            <w:tcW w:w="1519" w:type="dxa"/>
            <w:tcBorders>
              <w:right w:val="nil"/>
            </w:tcBorders>
            <w:shd w:val="clear" w:color="auto" w:fill="CCE2ED"/>
          </w:tcPr>
          <w:p w14:paraId="4E01F838" w14:textId="77777777" w:rsidR="00141B97" w:rsidRDefault="00911D63">
            <w:pPr>
              <w:pStyle w:val="TableParagraph"/>
              <w:spacing w:before="1"/>
              <w:ind w:left="220" w:right="210"/>
              <w:jc w:val="center"/>
              <w:rPr>
                <w:sz w:val="18"/>
              </w:rPr>
            </w:pPr>
            <w:r>
              <w:rPr>
                <w:spacing w:val="-5"/>
                <w:sz w:val="18"/>
              </w:rPr>
              <w:t>2.5</w:t>
            </w:r>
          </w:p>
          <w:p w14:paraId="3C9C659E"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42C3DB8F" w14:textId="77777777">
        <w:trPr>
          <w:trHeight w:val="659"/>
          <w:tblCellSpacing w:w="9" w:type="dxa"/>
        </w:trPr>
        <w:tc>
          <w:tcPr>
            <w:tcW w:w="2881" w:type="dxa"/>
            <w:tcBorders>
              <w:left w:val="nil"/>
            </w:tcBorders>
            <w:shd w:val="clear" w:color="auto" w:fill="CCE2ED"/>
          </w:tcPr>
          <w:p w14:paraId="4CEF2041" w14:textId="77777777" w:rsidR="00141B97" w:rsidRDefault="00911D63">
            <w:pPr>
              <w:pStyle w:val="TableParagraph"/>
              <w:ind w:left="88"/>
              <w:rPr>
                <w:sz w:val="18"/>
              </w:rPr>
            </w:pPr>
            <w:r>
              <w:rPr>
                <w:sz w:val="18"/>
              </w:rPr>
              <w:t>To what extent has the business demonstrated</w:t>
            </w:r>
            <w:r>
              <w:rPr>
                <w:spacing w:val="-5"/>
                <w:sz w:val="18"/>
              </w:rPr>
              <w:t xml:space="preserve"> </w:t>
            </w:r>
            <w:r>
              <w:rPr>
                <w:sz w:val="18"/>
              </w:rPr>
              <w:t>that</w:t>
            </w:r>
            <w:r>
              <w:rPr>
                <w:spacing w:val="-5"/>
                <w:sz w:val="18"/>
              </w:rPr>
              <w:t xml:space="preserve"> </w:t>
            </w:r>
            <w:r>
              <w:rPr>
                <w:sz w:val="18"/>
              </w:rPr>
              <w:t>its</w:t>
            </w:r>
            <w:r>
              <w:rPr>
                <w:spacing w:val="-5"/>
                <w:sz w:val="18"/>
              </w:rPr>
              <w:t xml:space="preserve"> </w:t>
            </w:r>
            <w:r>
              <w:rPr>
                <w:sz w:val="18"/>
              </w:rPr>
              <w:t>submission</w:t>
            </w:r>
            <w:r>
              <w:rPr>
                <w:spacing w:val="-5"/>
                <w:sz w:val="18"/>
              </w:rPr>
              <w:t xml:space="preserve"> </w:t>
            </w:r>
            <w:r>
              <w:rPr>
                <w:sz w:val="18"/>
              </w:rPr>
              <w:t>is</w:t>
            </w:r>
          </w:p>
          <w:p w14:paraId="0CB52C4B" w14:textId="77777777" w:rsidR="00141B97" w:rsidRDefault="00911D63">
            <w:pPr>
              <w:pStyle w:val="TableParagraph"/>
              <w:spacing w:line="199" w:lineRule="exact"/>
              <w:ind w:left="88"/>
              <w:rPr>
                <w:sz w:val="18"/>
              </w:rPr>
            </w:pPr>
            <w:r>
              <w:rPr>
                <w:sz w:val="18"/>
              </w:rPr>
              <w:t>an ‘open</w:t>
            </w:r>
            <w:r>
              <w:rPr>
                <w:spacing w:val="-1"/>
                <w:sz w:val="18"/>
              </w:rPr>
              <w:t xml:space="preserve"> </w:t>
            </w:r>
            <w:r>
              <w:rPr>
                <w:spacing w:val="-2"/>
                <w:sz w:val="18"/>
              </w:rPr>
              <w:t>book’?</w:t>
            </w:r>
          </w:p>
        </w:tc>
        <w:tc>
          <w:tcPr>
            <w:tcW w:w="5343" w:type="dxa"/>
            <w:shd w:val="clear" w:color="auto" w:fill="CCE2ED"/>
          </w:tcPr>
          <w:p w14:paraId="1D70E216" w14:textId="77777777" w:rsidR="00141B97" w:rsidRDefault="00911D63">
            <w:pPr>
              <w:pStyle w:val="TableParagraph"/>
              <w:ind w:left="98"/>
              <w:rPr>
                <w:sz w:val="18"/>
              </w:rPr>
            </w:pPr>
            <w:r>
              <w:rPr>
                <w:sz w:val="18"/>
              </w:rPr>
              <w:t>Key document references provided to the ESC with PS5, along with making</w:t>
            </w:r>
            <w:r>
              <w:rPr>
                <w:spacing w:val="-3"/>
                <w:sz w:val="18"/>
              </w:rPr>
              <w:t xml:space="preserve"> </w:t>
            </w:r>
            <w:r>
              <w:rPr>
                <w:sz w:val="18"/>
              </w:rPr>
              <w:t>available</w:t>
            </w:r>
            <w:r>
              <w:rPr>
                <w:spacing w:val="-4"/>
                <w:sz w:val="18"/>
              </w:rPr>
              <w:t xml:space="preserve"> </w:t>
            </w:r>
            <w:r>
              <w:rPr>
                <w:sz w:val="18"/>
              </w:rPr>
              <w:t>extensive</w:t>
            </w:r>
            <w:r>
              <w:rPr>
                <w:spacing w:val="-2"/>
                <w:sz w:val="18"/>
              </w:rPr>
              <w:t xml:space="preserve"> </w:t>
            </w:r>
            <w:r>
              <w:rPr>
                <w:sz w:val="18"/>
              </w:rPr>
              <w:t>supporting</w:t>
            </w:r>
            <w:r>
              <w:rPr>
                <w:spacing w:val="-3"/>
                <w:sz w:val="18"/>
              </w:rPr>
              <w:t xml:space="preserve"> </w:t>
            </w:r>
            <w:r>
              <w:rPr>
                <w:sz w:val="18"/>
              </w:rPr>
              <w:t>documentation</w:t>
            </w:r>
            <w:r>
              <w:rPr>
                <w:spacing w:val="-3"/>
                <w:sz w:val="18"/>
              </w:rPr>
              <w:t xml:space="preserve"> </w:t>
            </w:r>
            <w:r>
              <w:rPr>
                <w:sz w:val="18"/>
              </w:rPr>
              <w:t>to</w:t>
            </w:r>
            <w:r>
              <w:rPr>
                <w:spacing w:val="-3"/>
                <w:sz w:val="18"/>
              </w:rPr>
              <w:t xml:space="preserve"> </w:t>
            </w:r>
            <w:r>
              <w:rPr>
                <w:sz w:val="18"/>
              </w:rPr>
              <w:t>justify</w:t>
            </w:r>
            <w:r>
              <w:rPr>
                <w:spacing w:val="-3"/>
                <w:sz w:val="18"/>
              </w:rPr>
              <w:t xml:space="preserve"> </w:t>
            </w:r>
            <w:r>
              <w:rPr>
                <w:sz w:val="18"/>
              </w:rPr>
              <w:t>each</w:t>
            </w:r>
          </w:p>
          <w:p w14:paraId="0E9E193F" w14:textId="77777777" w:rsidR="00141B97" w:rsidRDefault="00911D63">
            <w:pPr>
              <w:pStyle w:val="TableParagraph"/>
              <w:spacing w:line="199" w:lineRule="exact"/>
              <w:ind w:left="98"/>
              <w:rPr>
                <w:sz w:val="18"/>
              </w:rPr>
            </w:pPr>
            <w:r>
              <w:rPr>
                <w:sz w:val="18"/>
              </w:rPr>
              <w:t>element</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submission.</w:t>
            </w:r>
          </w:p>
        </w:tc>
        <w:tc>
          <w:tcPr>
            <w:tcW w:w="1519" w:type="dxa"/>
            <w:tcBorders>
              <w:right w:val="nil"/>
            </w:tcBorders>
            <w:shd w:val="clear" w:color="auto" w:fill="CCE2ED"/>
          </w:tcPr>
          <w:p w14:paraId="623B42A7" w14:textId="77777777" w:rsidR="00141B97" w:rsidRDefault="00911D63">
            <w:pPr>
              <w:pStyle w:val="TableParagraph"/>
              <w:ind w:left="220" w:right="210"/>
              <w:jc w:val="center"/>
              <w:rPr>
                <w:sz w:val="18"/>
              </w:rPr>
            </w:pPr>
            <w:r>
              <w:rPr>
                <w:spacing w:val="-5"/>
                <w:sz w:val="18"/>
              </w:rPr>
              <w:t>2.5</w:t>
            </w:r>
          </w:p>
          <w:p w14:paraId="1678E66C" w14:textId="77777777" w:rsidR="00141B97" w:rsidRDefault="00911D63">
            <w:pPr>
              <w:pStyle w:val="TableParagraph"/>
              <w:ind w:left="221" w:right="210"/>
              <w:jc w:val="center"/>
              <w:rPr>
                <w:sz w:val="18"/>
              </w:rPr>
            </w:pPr>
            <w:r>
              <w:rPr>
                <w:sz w:val="18"/>
              </w:rPr>
              <w:t>Very</w:t>
            </w:r>
            <w:r>
              <w:rPr>
                <w:spacing w:val="-1"/>
                <w:sz w:val="18"/>
              </w:rPr>
              <w:t xml:space="preserve"> </w:t>
            </w:r>
            <w:r>
              <w:rPr>
                <w:spacing w:val="-2"/>
                <w:sz w:val="18"/>
              </w:rPr>
              <w:t>confident</w:t>
            </w:r>
          </w:p>
          <w:p w14:paraId="372C8A56" w14:textId="77777777" w:rsidR="00141B97" w:rsidRDefault="00911D63">
            <w:pPr>
              <w:pStyle w:val="TableParagraph"/>
              <w:spacing w:line="199" w:lineRule="exact"/>
              <w:ind w:left="221" w:right="210"/>
              <w:jc w:val="center"/>
              <w:rPr>
                <w:sz w:val="18"/>
              </w:rPr>
            </w:pPr>
            <w:r>
              <w:rPr>
                <w:spacing w:val="-2"/>
                <w:sz w:val="18"/>
              </w:rPr>
              <w:t>‘Standard’</w:t>
            </w:r>
          </w:p>
        </w:tc>
      </w:tr>
      <w:tr w:rsidR="00141B97" w14:paraId="780EC47F" w14:textId="77777777">
        <w:trPr>
          <w:trHeight w:val="282"/>
          <w:tblCellSpacing w:w="9" w:type="dxa"/>
        </w:trPr>
        <w:tc>
          <w:tcPr>
            <w:tcW w:w="9743" w:type="dxa"/>
            <w:gridSpan w:val="3"/>
            <w:tcBorders>
              <w:left w:val="nil"/>
              <w:right w:val="nil"/>
            </w:tcBorders>
            <w:shd w:val="clear" w:color="auto" w:fill="BFBFBF"/>
          </w:tcPr>
          <w:p w14:paraId="6ECAE060" w14:textId="77777777" w:rsidR="00141B97" w:rsidRDefault="00911D63">
            <w:pPr>
              <w:pStyle w:val="TableParagraph"/>
              <w:spacing w:before="32"/>
              <w:ind w:left="98"/>
              <w:rPr>
                <w:sz w:val="18"/>
              </w:rPr>
            </w:pPr>
            <w:r>
              <w:rPr>
                <w:spacing w:val="-2"/>
                <w:sz w:val="18"/>
              </w:rPr>
              <w:t>Outcomes</w:t>
            </w:r>
          </w:p>
        </w:tc>
      </w:tr>
      <w:tr w:rsidR="00141B97" w14:paraId="760634AE" w14:textId="77777777">
        <w:trPr>
          <w:trHeight w:val="1200"/>
          <w:tblCellSpacing w:w="9" w:type="dxa"/>
        </w:trPr>
        <w:tc>
          <w:tcPr>
            <w:tcW w:w="2881" w:type="dxa"/>
            <w:tcBorders>
              <w:left w:val="nil"/>
            </w:tcBorders>
            <w:shd w:val="clear" w:color="auto" w:fill="CCE2ED"/>
          </w:tcPr>
          <w:p w14:paraId="699545A1" w14:textId="77777777" w:rsidR="00141B97" w:rsidRDefault="00911D63">
            <w:pPr>
              <w:pStyle w:val="TableParagraph"/>
              <w:spacing w:before="1"/>
              <w:ind w:left="88" w:right="169"/>
              <w:rPr>
                <w:sz w:val="18"/>
              </w:rPr>
            </w:pPr>
            <w:r>
              <w:rPr>
                <w:sz w:val="18"/>
              </w:rPr>
              <w:t>Has</w:t>
            </w:r>
            <w:r>
              <w:rPr>
                <w:spacing w:val="-4"/>
                <w:sz w:val="18"/>
              </w:rPr>
              <w:t xml:space="preserve"> </w:t>
            </w:r>
            <w:r>
              <w:rPr>
                <w:sz w:val="18"/>
              </w:rPr>
              <w:t>the</w:t>
            </w:r>
            <w:r>
              <w:rPr>
                <w:spacing w:val="-5"/>
                <w:sz w:val="18"/>
              </w:rPr>
              <w:t xml:space="preserve"> </w:t>
            </w:r>
            <w:r>
              <w:rPr>
                <w:sz w:val="18"/>
              </w:rPr>
              <w:t>business</w:t>
            </w:r>
            <w:r>
              <w:rPr>
                <w:spacing w:val="-5"/>
                <w:sz w:val="18"/>
              </w:rPr>
              <w:t xml:space="preserve"> </w:t>
            </w:r>
            <w:r>
              <w:rPr>
                <w:sz w:val="18"/>
              </w:rPr>
              <w:t>provided</w:t>
            </w:r>
            <w:r>
              <w:rPr>
                <w:spacing w:val="-5"/>
                <w:sz w:val="18"/>
              </w:rPr>
              <w:t xml:space="preserve"> </w:t>
            </w:r>
            <w:r>
              <w:rPr>
                <w:sz w:val="18"/>
              </w:rPr>
              <w:t xml:space="preserve">evidence that the outcomes proposed have taken into account the views, concerns, and priorities of </w:t>
            </w:r>
            <w:r>
              <w:rPr>
                <w:spacing w:val="-2"/>
                <w:sz w:val="18"/>
              </w:rPr>
              <w:t>customers?</w:t>
            </w:r>
          </w:p>
        </w:tc>
        <w:tc>
          <w:tcPr>
            <w:tcW w:w="5343" w:type="dxa"/>
            <w:shd w:val="clear" w:color="auto" w:fill="CCE2ED"/>
          </w:tcPr>
          <w:p w14:paraId="1E9D1751" w14:textId="77777777" w:rsidR="00141B97" w:rsidRDefault="00911D63">
            <w:pPr>
              <w:pStyle w:val="TableParagraph"/>
              <w:spacing w:before="1"/>
              <w:ind w:left="98" w:right="99"/>
              <w:rPr>
                <w:sz w:val="18"/>
              </w:rPr>
            </w:pPr>
            <w:r>
              <w:rPr>
                <w:sz w:val="18"/>
              </w:rPr>
              <w:t>Customer focus groups were involved in all stages of customer outcome development</w:t>
            </w:r>
            <w:r>
              <w:rPr>
                <w:spacing w:val="-1"/>
                <w:sz w:val="18"/>
              </w:rPr>
              <w:t xml:space="preserve"> </w:t>
            </w:r>
            <w:r>
              <w:rPr>
                <w:sz w:val="18"/>
              </w:rPr>
              <w:t>and finalisation, from review of current period outcomes</w:t>
            </w:r>
            <w:r>
              <w:rPr>
                <w:spacing w:val="-3"/>
                <w:sz w:val="18"/>
              </w:rPr>
              <w:t xml:space="preserve"> </w:t>
            </w:r>
            <w:r>
              <w:rPr>
                <w:sz w:val="18"/>
              </w:rPr>
              <w:t>and</w:t>
            </w:r>
            <w:r>
              <w:rPr>
                <w:spacing w:val="-3"/>
                <w:sz w:val="18"/>
              </w:rPr>
              <w:t xml:space="preserve"> </w:t>
            </w:r>
            <w:r>
              <w:rPr>
                <w:sz w:val="18"/>
              </w:rPr>
              <w:t>performance,</w:t>
            </w:r>
            <w:r>
              <w:rPr>
                <w:spacing w:val="-3"/>
                <w:sz w:val="18"/>
              </w:rPr>
              <w:t xml:space="preserve"> </w:t>
            </w:r>
            <w:r>
              <w:rPr>
                <w:sz w:val="18"/>
              </w:rPr>
              <w:t>identifying</w:t>
            </w:r>
            <w:r>
              <w:rPr>
                <w:spacing w:val="-4"/>
                <w:sz w:val="18"/>
              </w:rPr>
              <w:t xml:space="preserve"> </w:t>
            </w:r>
            <w:r>
              <w:rPr>
                <w:sz w:val="18"/>
              </w:rPr>
              <w:t>customer</w:t>
            </w:r>
            <w:r>
              <w:rPr>
                <w:spacing w:val="-3"/>
                <w:sz w:val="18"/>
              </w:rPr>
              <w:t xml:space="preserve"> </w:t>
            </w:r>
            <w:r>
              <w:rPr>
                <w:sz w:val="18"/>
              </w:rPr>
              <w:t>issues</w:t>
            </w:r>
            <w:r>
              <w:rPr>
                <w:spacing w:val="-4"/>
                <w:sz w:val="18"/>
              </w:rPr>
              <w:t xml:space="preserve"> </w:t>
            </w:r>
            <w:r>
              <w:rPr>
                <w:sz w:val="18"/>
              </w:rPr>
              <w:t>and</w:t>
            </w:r>
            <w:r>
              <w:rPr>
                <w:spacing w:val="-3"/>
                <w:sz w:val="18"/>
              </w:rPr>
              <w:t xml:space="preserve"> </w:t>
            </w:r>
            <w:r>
              <w:rPr>
                <w:sz w:val="18"/>
              </w:rPr>
              <w:t>potential improvements, through to projects, programs, and final pricing.</w:t>
            </w:r>
          </w:p>
        </w:tc>
        <w:tc>
          <w:tcPr>
            <w:tcW w:w="1519" w:type="dxa"/>
            <w:tcBorders>
              <w:right w:val="nil"/>
            </w:tcBorders>
            <w:shd w:val="clear" w:color="auto" w:fill="CCE2ED"/>
          </w:tcPr>
          <w:p w14:paraId="0B945280" w14:textId="77777777" w:rsidR="00141B97" w:rsidRDefault="00911D63">
            <w:pPr>
              <w:pStyle w:val="TableParagraph"/>
              <w:spacing w:before="1"/>
              <w:ind w:left="220" w:right="210"/>
              <w:jc w:val="center"/>
              <w:rPr>
                <w:sz w:val="18"/>
              </w:rPr>
            </w:pPr>
            <w:r>
              <w:rPr>
                <w:spacing w:val="-5"/>
                <w:sz w:val="18"/>
              </w:rPr>
              <w:t>2.5</w:t>
            </w:r>
          </w:p>
          <w:p w14:paraId="542DA455"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7F237720" w14:textId="77777777">
        <w:trPr>
          <w:trHeight w:val="878"/>
          <w:tblCellSpacing w:w="9" w:type="dxa"/>
        </w:trPr>
        <w:tc>
          <w:tcPr>
            <w:tcW w:w="2881" w:type="dxa"/>
            <w:tcBorders>
              <w:left w:val="nil"/>
            </w:tcBorders>
            <w:shd w:val="clear" w:color="auto" w:fill="CCE2ED"/>
          </w:tcPr>
          <w:p w14:paraId="671FF550" w14:textId="77777777" w:rsidR="00141B97" w:rsidRDefault="00911D63">
            <w:pPr>
              <w:pStyle w:val="TableParagraph"/>
              <w:ind w:left="88"/>
              <w:rPr>
                <w:sz w:val="18"/>
              </w:rPr>
            </w:pPr>
            <w:r>
              <w:rPr>
                <w:sz w:val="18"/>
              </w:rPr>
              <w:t>Has</w:t>
            </w:r>
            <w:r>
              <w:rPr>
                <w:spacing w:val="-4"/>
                <w:sz w:val="18"/>
              </w:rPr>
              <w:t xml:space="preserve"> </w:t>
            </w:r>
            <w:r>
              <w:rPr>
                <w:sz w:val="18"/>
              </w:rPr>
              <w:t>the</w:t>
            </w:r>
            <w:r>
              <w:rPr>
                <w:spacing w:val="-5"/>
                <w:sz w:val="18"/>
              </w:rPr>
              <w:t xml:space="preserve"> </w:t>
            </w:r>
            <w:r>
              <w:rPr>
                <w:sz w:val="18"/>
              </w:rPr>
              <w:t>business</w:t>
            </w:r>
            <w:r>
              <w:rPr>
                <w:spacing w:val="-5"/>
                <w:sz w:val="18"/>
              </w:rPr>
              <w:t xml:space="preserve"> </w:t>
            </w:r>
            <w:r>
              <w:rPr>
                <w:sz w:val="18"/>
              </w:rPr>
              <w:t>provided</w:t>
            </w:r>
            <w:r>
              <w:rPr>
                <w:spacing w:val="-5"/>
                <w:sz w:val="18"/>
              </w:rPr>
              <w:t xml:space="preserve"> </w:t>
            </w:r>
            <w:r>
              <w:rPr>
                <w:sz w:val="18"/>
              </w:rPr>
              <w:t>sufficient explanation</w:t>
            </w:r>
            <w:r>
              <w:rPr>
                <w:spacing w:val="-3"/>
                <w:sz w:val="18"/>
              </w:rPr>
              <w:t xml:space="preserve"> </w:t>
            </w:r>
            <w:r>
              <w:rPr>
                <w:sz w:val="18"/>
              </w:rPr>
              <w:t>of</w:t>
            </w:r>
            <w:r>
              <w:rPr>
                <w:spacing w:val="-2"/>
                <w:sz w:val="18"/>
              </w:rPr>
              <w:t xml:space="preserve"> </w:t>
            </w:r>
            <w:r>
              <w:rPr>
                <w:sz w:val="18"/>
              </w:rPr>
              <w:t>how</w:t>
            </w:r>
            <w:r>
              <w:rPr>
                <w:spacing w:val="-3"/>
                <w:sz w:val="18"/>
              </w:rPr>
              <w:t xml:space="preserve"> </w:t>
            </w:r>
            <w:r>
              <w:rPr>
                <w:sz w:val="18"/>
              </w:rPr>
              <w:t>the</w:t>
            </w:r>
            <w:r>
              <w:rPr>
                <w:spacing w:val="-3"/>
                <w:sz w:val="18"/>
              </w:rPr>
              <w:t xml:space="preserve"> </w:t>
            </w:r>
            <w:r>
              <w:rPr>
                <w:sz w:val="18"/>
              </w:rPr>
              <w:t>outcomes</w:t>
            </w:r>
            <w:r>
              <w:rPr>
                <w:spacing w:val="-2"/>
                <w:sz w:val="18"/>
              </w:rPr>
              <w:t xml:space="preserve"> </w:t>
            </w:r>
            <w:r>
              <w:rPr>
                <w:spacing w:val="-5"/>
                <w:sz w:val="18"/>
              </w:rPr>
              <w:t>it</w:t>
            </w:r>
          </w:p>
          <w:p w14:paraId="5012F2E0" w14:textId="77777777" w:rsidR="00141B97" w:rsidRDefault="00911D63">
            <w:pPr>
              <w:pStyle w:val="TableParagraph"/>
              <w:spacing w:line="220" w:lineRule="atLeast"/>
              <w:ind w:left="88"/>
              <w:rPr>
                <w:sz w:val="18"/>
              </w:rPr>
            </w:pPr>
            <w:r>
              <w:rPr>
                <w:sz w:val="18"/>
              </w:rPr>
              <w:t>has</w:t>
            </w:r>
            <w:r>
              <w:rPr>
                <w:spacing w:val="-4"/>
                <w:sz w:val="18"/>
              </w:rPr>
              <w:t xml:space="preserve"> </w:t>
            </w:r>
            <w:r>
              <w:rPr>
                <w:sz w:val="18"/>
              </w:rPr>
              <w:t>proposed</w:t>
            </w:r>
            <w:r>
              <w:rPr>
                <w:spacing w:val="-4"/>
                <w:sz w:val="18"/>
              </w:rPr>
              <w:t xml:space="preserve"> </w:t>
            </w:r>
            <w:r>
              <w:rPr>
                <w:sz w:val="18"/>
              </w:rPr>
              <w:t>align</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forecast expenditure</w:t>
            </w:r>
            <w:r>
              <w:rPr>
                <w:spacing w:val="-2"/>
                <w:sz w:val="18"/>
              </w:rPr>
              <w:t xml:space="preserve"> </w:t>
            </w:r>
            <w:r>
              <w:rPr>
                <w:sz w:val="18"/>
              </w:rPr>
              <w:t>requested?</w:t>
            </w:r>
          </w:p>
        </w:tc>
        <w:tc>
          <w:tcPr>
            <w:tcW w:w="5343" w:type="dxa"/>
            <w:shd w:val="clear" w:color="auto" w:fill="CCE2ED"/>
          </w:tcPr>
          <w:p w14:paraId="01FC5C09" w14:textId="77777777" w:rsidR="00141B97" w:rsidRDefault="00911D63">
            <w:pPr>
              <w:pStyle w:val="TableParagraph"/>
              <w:ind w:left="98"/>
              <w:rPr>
                <w:sz w:val="18"/>
              </w:rPr>
            </w:pPr>
            <w:r>
              <w:rPr>
                <w:sz w:val="18"/>
              </w:rPr>
              <w:t>Proposed outcomes along with major projects/programs and cost implications,</w:t>
            </w:r>
            <w:r>
              <w:rPr>
                <w:spacing w:val="-3"/>
                <w:sz w:val="18"/>
              </w:rPr>
              <w:t xml:space="preserve"> </w:t>
            </w:r>
            <w:r>
              <w:rPr>
                <w:sz w:val="18"/>
              </w:rPr>
              <w:t>and</w:t>
            </w:r>
            <w:r>
              <w:rPr>
                <w:spacing w:val="-2"/>
                <w:sz w:val="18"/>
              </w:rPr>
              <w:t xml:space="preserve"> </w:t>
            </w:r>
            <w:r>
              <w:rPr>
                <w:sz w:val="18"/>
              </w:rPr>
              <w:t>indicative</w:t>
            </w:r>
            <w:r>
              <w:rPr>
                <w:spacing w:val="-3"/>
                <w:sz w:val="18"/>
              </w:rPr>
              <w:t xml:space="preserve"> </w:t>
            </w:r>
            <w:r>
              <w:rPr>
                <w:sz w:val="18"/>
              </w:rPr>
              <w:t>price</w:t>
            </w:r>
            <w:r>
              <w:rPr>
                <w:spacing w:val="-3"/>
                <w:sz w:val="18"/>
              </w:rPr>
              <w:t xml:space="preserve"> </w:t>
            </w:r>
            <w:r>
              <w:rPr>
                <w:sz w:val="18"/>
              </w:rPr>
              <w:t>paths,</w:t>
            </w:r>
            <w:r>
              <w:rPr>
                <w:spacing w:val="-2"/>
                <w:sz w:val="18"/>
              </w:rPr>
              <w:t xml:space="preserve"> </w:t>
            </w:r>
            <w:r>
              <w:rPr>
                <w:sz w:val="18"/>
              </w:rPr>
              <w:t>shared</w:t>
            </w:r>
            <w:r>
              <w:rPr>
                <w:spacing w:val="-4"/>
                <w:sz w:val="18"/>
              </w:rPr>
              <w:t xml:space="preserve"> </w:t>
            </w:r>
            <w:r>
              <w:rPr>
                <w:sz w:val="18"/>
              </w:rPr>
              <w:t>as</w:t>
            </w:r>
            <w:r>
              <w:rPr>
                <w:spacing w:val="-2"/>
                <w:sz w:val="18"/>
              </w:rPr>
              <w:t xml:space="preserve"> </w:t>
            </w:r>
            <w:r>
              <w:rPr>
                <w:sz w:val="18"/>
              </w:rPr>
              <w:t>part</w:t>
            </w:r>
            <w:r>
              <w:rPr>
                <w:spacing w:val="-3"/>
                <w:sz w:val="18"/>
              </w:rPr>
              <w:t xml:space="preserve"> </w:t>
            </w:r>
            <w:r>
              <w:rPr>
                <w:sz w:val="18"/>
              </w:rPr>
              <w:t>of</w:t>
            </w:r>
            <w:r>
              <w:rPr>
                <w:spacing w:val="-2"/>
                <w:sz w:val="18"/>
              </w:rPr>
              <w:t xml:space="preserve"> </w:t>
            </w:r>
            <w:r>
              <w:rPr>
                <w:sz w:val="18"/>
              </w:rPr>
              <w:t>customer engagement throughout PS5 development.</w:t>
            </w:r>
          </w:p>
        </w:tc>
        <w:tc>
          <w:tcPr>
            <w:tcW w:w="1519" w:type="dxa"/>
            <w:tcBorders>
              <w:right w:val="nil"/>
            </w:tcBorders>
            <w:shd w:val="clear" w:color="auto" w:fill="CCE2ED"/>
          </w:tcPr>
          <w:p w14:paraId="496384E2" w14:textId="77777777" w:rsidR="00141B97" w:rsidRDefault="00911D63">
            <w:pPr>
              <w:pStyle w:val="TableParagraph"/>
              <w:ind w:left="220" w:right="210"/>
              <w:jc w:val="center"/>
              <w:rPr>
                <w:sz w:val="18"/>
              </w:rPr>
            </w:pPr>
            <w:r>
              <w:rPr>
                <w:spacing w:val="-5"/>
                <w:sz w:val="18"/>
              </w:rPr>
              <w:t>2.5</w:t>
            </w:r>
          </w:p>
          <w:p w14:paraId="09EDB41D" w14:textId="77777777" w:rsidR="00141B97" w:rsidRDefault="00911D63">
            <w:pPr>
              <w:pStyle w:val="TableParagraph"/>
              <w:spacing w:before="1"/>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5DB60018" w14:textId="77777777">
        <w:trPr>
          <w:trHeight w:val="1097"/>
          <w:tblCellSpacing w:w="9" w:type="dxa"/>
        </w:trPr>
        <w:tc>
          <w:tcPr>
            <w:tcW w:w="2881" w:type="dxa"/>
            <w:tcBorders>
              <w:left w:val="nil"/>
            </w:tcBorders>
            <w:shd w:val="clear" w:color="auto" w:fill="CCE2ED"/>
          </w:tcPr>
          <w:p w14:paraId="0E9E087B" w14:textId="77777777" w:rsidR="00141B97" w:rsidRDefault="00911D63">
            <w:pPr>
              <w:pStyle w:val="TableParagraph"/>
              <w:ind w:left="88" w:right="169"/>
              <w:rPr>
                <w:sz w:val="18"/>
              </w:rPr>
            </w:pPr>
            <w:r>
              <w:rPr>
                <w:sz w:val="18"/>
              </w:rPr>
              <w:t>Has</w:t>
            </w:r>
            <w:r>
              <w:rPr>
                <w:spacing w:val="-4"/>
                <w:sz w:val="18"/>
              </w:rPr>
              <w:t xml:space="preserve"> </w:t>
            </w:r>
            <w:r>
              <w:rPr>
                <w:sz w:val="18"/>
              </w:rPr>
              <w:t>the</w:t>
            </w:r>
            <w:r>
              <w:rPr>
                <w:spacing w:val="-5"/>
                <w:sz w:val="18"/>
              </w:rPr>
              <w:t xml:space="preserve"> </w:t>
            </w:r>
            <w:r>
              <w:rPr>
                <w:sz w:val="18"/>
              </w:rPr>
              <w:t>business</w:t>
            </w:r>
            <w:r>
              <w:rPr>
                <w:spacing w:val="-5"/>
                <w:sz w:val="18"/>
              </w:rPr>
              <w:t xml:space="preserve"> </w:t>
            </w:r>
            <w:r>
              <w:rPr>
                <w:sz w:val="18"/>
              </w:rPr>
              <w:t>proposed</w:t>
            </w:r>
            <w:r>
              <w:rPr>
                <w:spacing w:val="-5"/>
                <w:sz w:val="18"/>
              </w:rPr>
              <w:t xml:space="preserve"> </w:t>
            </w:r>
            <w:r>
              <w:rPr>
                <w:sz w:val="18"/>
              </w:rPr>
              <w:t xml:space="preserve">outputs to support each of its outcomes, which are measurable, robust, and </w:t>
            </w:r>
            <w:r>
              <w:rPr>
                <w:spacing w:val="-2"/>
                <w:sz w:val="18"/>
              </w:rPr>
              <w:t>deliverable?</w:t>
            </w:r>
          </w:p>
        </w:tc>
        <w:tc>
          <w:tcPr>
            <w:tcW w:w="5343" w:type="dxa"/>
            <w:shd w:val="clear" w:color="auto" w:fill="CCE2ED"/>
          </w:tcPr>
          <w:p w14:paraId="5FB801EA" w14:textId="77777777" w:rsidR="00141B97" w:rsidRDefault="00911D63">
            <w:pPr>
              <w:pStyle w:val="TableParagraph"/>
              <w:spacing w:line="220" w:lineRule="atLeast"/>
              <w:ind w:left="98" w:right="99"/>
              <w:rPr>
                <w:sz w:val="18"/>
              </w:rPr>
            </w:pPr>
            <w:r>
              <w:rPr>
                <w:sz w:val="18"/>
              </w:rPr>
              <w:t>Each</w:t>
            </w:r>
            <w:r>
              <w:rPr>
                <w:spacing w:val="-3"/>
                <w:sz w:val="18"/>
              </w:rPr>
              <w:t xml:space="preserve"> </w:t>
            </w:r>
            <w:r>
              <w:rPr>
                <w:sz w:val="18"/>
              </w:rPr>
              <w:t>outcome</w:t>
            </w:r>
            <w:r>
              <w:rPr>
                <w:spacing w:val="-2"/>
                <w:sz w:val="18"/>
              </w:rPr>
              <w:t xml:space="preserve"> </w:t>
            </w:r>
            <w:r>
              <w:rPr>
                <w:sz w:val="18"/>
              </w:rPr>
              <w:t>has</w:t>
            </w:r>
            <w:r>
              <w:rPr>
                <w:spacing w:val="-3"/>
                <w:sz w:val="18"/>
              </w:rPr>
              <w:t xml:space="preserve"> </w:t>
            </w:r>
            <w:r>
              <w:rPr>
                <w:sz w:val="18"/>
              </w:rPr>
              <w:t>corresponding</w:t>
            </w:r>
            <w:r>
              <w:rPr>
                <w:spacing w:val="-2"/>
                <w:sz w:val="18"/>
              </w:rPr>
              <w:t xml:space="preserve"> </w:t>
            </w:r>
            <w:r>
              <w:rPr>
                <w:sz w:val="18"/>
              </w:rPr>
              <w:t>outputs,</w:t>
            </w:r>
            <w:r>
              <w:rPr>
                <w:spacing w:val="-1"/>
                <w:sz w:val="18"/>
              </w:rPr>
              <w:t xml:space="preserve"> </w:t>
            </w:r>
            <w:r>
              <w:rPr>
                <w:sz w:val="18"/>
              </w:rPr>
              <w:t>performance</w:t>
            </w:r>
            <w:r>
              <w:rPr>
                <w:spacing w:val="-3"/>
                <w:sz w:val="18"/>
              </w:rPr>
              <w:t xml:space="preserve"> </w:t>
            </w:r>
            <w:r>
              <w:rPr>
                <w:sz w:val="18"/>
              </w:rPr>
              <w:t>measures</w:t>
            </w:r>
            <w:r>
              <w:rPr>
                <w:spacing w:val="-4"/>
                <w:sz w:val="18"/>
              </w:rPr>
              <w:t xml:space="preserve"> </w:t>
            </w:r>
            <w:r>
              <w:rPr>
                <w:sz w:val="18"/>
              </w:rPr>
              <w:t>and targets that have been developed with customers and the business, with particular attention to ensuring measures are relevant to investments being made and priority service level standard as confirmed with customers.</w:t>
            </w:r>
          </w:p>
        </w:tc>
        <w:tc>
          <w:tcPr>
            <w:tcW w:w="1519" w:type="dxa"/>
            <w:tcBorders>
              <w:right w:val="nil"/>
            </w:tcBorders>
            <w:shd w:val="clear" w:color="auto" w:fill="CCE2ED"/>
          </w:tcPr>
          <w:p w14:paraId="312E66CB" w14:textId="77777777" w:rsidR="00141B97" w:rsidRDefault="00911D63">
            <w:pPr>
              <w:pStyle w:val="TableParagraph"/>
              <w:ind w:left="220" w:right="210"/>
              <w:jc w:val="center"/>
              <w:rPr>
                <w:sz w:val="18"/>
              </w:rPr>
            </w:pPr>
            <w:r>
              <w:rPr>
                <w:spacing w:val="-5"/>
                <w:sz w:val="18"/>
              </w:rPr>
              <w:t>2.5</w:t>
            </w:r>
          </w:p>
          <w:p w14:paraId="5C2A4C17"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7814C666" w14:textId="77777777">
        <w:trPr>
          <w:trHeight w:val="1096"/>
          <w:tblCellSpacing w:w="9" w:type="dxa"/>
        </w:trPr>
        <w:tc>
          <w:tcPr>
            <w:tcW w:w="2881" w:type="dxa"/>
            <w:tcBorders>
              <w:left w:val="nil"/>
            </w:tcBorders>
            <w:shd w:val="clear" w:color="auto" w:fill="CCE2ED"/>
          </w:tcPr>
          <w:p w14:paraId="2A2E8E95" w14:textId="77777777" w:rsidR="00141B97" w:rsidRDefault="00911D63">
            <w:pPr>
              <w:pStyle w:val="TableParagraph"/>
              <w:ind w:left="88" w:right="144"/>
              <w:rPr>
                <w:sz w:val="18"/>
              </w:rPr>
            </w:pPr>
            <w:r>
              <w:rPr>
                <w:sz w:val="18"/>
              </w:rPr>
              <w:t>Has the business provided evidence that</w:t>
            </w:r>
            <w:r>
              <w:rPr>
                <w:spacing w:val="-3"/>
                <w:sz w:val="18"/>
              </w:rPr>
              <w:t xml:space="preserve"> </w:t>
            </w:r>
            <w:r>
              <w:rPr>
                <w:sz w:val="18"/>
              </w:rPr>
              <w:t>the</w:t>
            </w:r>
            <w:r>
              <w:rPr>
                <w:spacing w:val="-3"/>
                <w:sz w:val="18"/>
              </w:rPr>
              <w:t xml:space="preserve"> </w:t>
            </w:r>
            <w:r>
              <w:rPr>
                <w:sz w:val="18"/>
              </w:rPr>
              <w:t>outputs</w:t>
            </w:r>
            <w:r>
              <w:rPr>
                <w:spacing w:val="-1"/>
                <w:sz w:val="18"/>
              </w:rPr>
              <w:t xml:space="preserve"> </w:t>
            </w:r>
            <w:r>
              <w:rPr>
                <w:sz w:val="18"/>
              </w:rPr>
              <w:t>it</w:t>
            </w:r>
            <w:r>
              <w:rPr>
                <w:spacing w:val="-3"/>
                <w:sz w:val="18"/>
              </w:rPr>
              <w:t xml:space="preserve"> </w:t>
            </w:r>
            <w:r>
              <w:rPr>
                <w:sz w:val="18"/>
              </w:rPr>
              <w:t>has</w:t>
            </w:r>
            <w:r>
              <w:rPr>
                <w:spacing w:val="-3"/>
                <w:sz w:val="18"/>
              </w:rPr>
              <w:t xml:space="preserve"> </w:t>
            </w:r>
            <w:r>
              <w:rPr>
                <w:sz w:val="18"/>
              </w:rPr>
              <w:t>proposed</w:t>
            </w:r>
            <w:r>
              <w:rPr>
                <w:spacing w:val="-3"/>
                <w:sz w:val="18"/>
              </w:rPr>
              <w:t xml:space="preserve"> </w:t>
            </w:r>
            <w:r>
              <w:rPr>
                <w:sz w:val="18"/>
              </w:rPr>
              <w:t>are reasonable measures of performance against stated</w:t>
            </w:r>
          </w:p>
          <w:p w14:paraId="5720B941" w14:textId="77777777" w:rsidR="00141B97" w:rsidRDefault="00911D63">
            <w:pPr>
              <w:pStyle w:val="TableParagraph"/>
              <w:spacing w:line="198" w:lineRule="exact"/>
              <w:ind w:left="88"/>
              <w:rPr>
                <w:sz w:val="18"/>
              </w:rPr>
            </w:pPr>
            <w:r>
              <w:rPr>
                <w:spacing w:val="-2"/>
                <w:sz w:val="18"/>
              </w:rPr>
              <w:t>outcomes?</w:t>
            </w:r>
          </w:p>
        </w:tc>
        <w:tc>
          <w:tcPr>
            <w:tcW w:w="5343" w:type="dxa"/>
            <w:shd w:val="clear" w:color="auto" w:fill="CCE2ED"/>
          </w:tcPr>
          <w:p w14:paraId="1D6FC543" w14:textId="77777777" w:rsidR="00141B97" w:rsidRDefault="00911D63">
            <w:pPr>
              <w:pStyle w:val="TableParagraph"/>
              <w:ind w:left="98"/>
              <w:rPr>
                <w:sz w:val="18"/>
              </w:rPr>
            </w:pPr>
            <w:r>
              <w:rPr>
                <w:sz w:val="18"/>
              </w:rPr>
              <w:t>LMW has proposed a mix of new</w:t>
            </w:r>
            <w:r>
              <w:rPr>
                <w:spacing w:val="-1"/>
                <w:sz w:val="18"/>
              </w:rPr>
              <w:t xml:space="preserve"> </w:t>
            </w:r>
            <w:r>
              <w:rPr>
                <w:sz w:val="18"/>
              </w:rPr>
              <w:t>and existing output measures which have</w:t>
            </w:r>
            <w:r>
              <w:rPr>
                <w:spacing w:val="-5"/>
                <w:sz w:val="18"/>
              </w:rPr>
              <w:t xml:space="preserve"> </w:t>
            </w:r>
            <w:r>
              <w:rPr>
                <w:sz w:val="18"/>
              </w:rPr>
              <w:t>been</w:t>
            </w:r>
            <w:r>
              <w:rPr>
                <w:spacing w:val="-1"/>
                <w:sz w:val="18"/>
              </w:rPr>
              <w:t xml:space="preserve"> </w:t>
            </w:r>
            <w:r>
              <w:rPr>
                <w:sz w:val="18"/>
              </w:rPr>
              <w:t>developed</w:t>
            </w:r>
            <w:r>
              <w:rPr>
                <w:spacing w:val="-3"/>
                <w:sz w:val="18"/>
              </w:rPr>
              <w:t xml:space="preserve"> </w:t>
            </w:r>
            <w:r>
              <w:rPr>
                <w:sz w:val="18"/>
              </w:rPr>
              <w:t>with</w:t>
            </w:r>
            <w:r>
              <w:rPr>
                <w:spacing w:val="-1"/>
                <w:sz w:val="18"/>
              </w:rPr>
              <w:t xml:space="preserve"> </w:t>
            </w:r>
            <w:r>
              <w:rPr>
                <w:sz w:val="18"/>
              </w:rPr>
              <w:t>customers</w:t>
            </w:r>
            <w:r>
              <w:rPr>
                <w:spacing w:val="-2"/>
                <w:sz w:val="18"/>
              </w:rPr>
              <w:t xml:space="preserve"> </w:t>
            </w:r>
            <w:r>
              <w:rPr>
                <w:sz w:val="18"/>
              </w:rPr>
              <w:t>and</w:t>
            </w:r>
            <w:r>
              <w:rPr>
                <w:spacing w:val="-3"/>
                <w:sz w:val="18"/>
              </w:rPr>
              <w:t xml:space="preserve"> </w:t>
            </w:r>
            <w:r>
              <w:rPr>
                <w:sz w:val="18"/>
              </w:rPr>
              <w:t>agreed</w:t>
            </w:r>
            <w:r>
              <w:rPr>
                <w:spacing w:val="-2"/>
                <w:sz w:val="18"/>
              </w:rPr>
              <w:t xml:space="preserve"> </w:t>
            </w:r>
            <w:r>
              <w:rPr>
                <w:sz w:val="18"/>
              </w:rPr>
              <w:t>across</w:t>
            </w:r>
            <w:r>
              <w:rPr>
                <w:spacing w:val="-1"/>
                <w:sz w:val="18"/>
              </w:rPr>
              <w:t xml:space="preserve"> </w:t>
            </w:r>
            <w:r>
              <w:rPr>
                <w:sz w:val="18"/>
              </w:rPr>
              <w:t>the</w:t>
            </w:r>
            <w:r>
              <w:rPr>
                <w:spacing w:val="-2"/>
                <w:sz w:val="18"/>
              </w:rPr>
              <w:t xml:space="preserve"> business.</w:t>
            </w:r>
          </w:p>
        </w:tc>
        <w:tc>
          <w:tcPr>
            <w:tcW w:w="1519" w:type="dxa"/>
            <w:tcBorders>
              <w:right w:val="nil"/>
            </w:tcBorders>
            <w:shd w:val="clear" w:color="auto" w:fill="CCE2ED"/>
          </w:tcPr>
          <w:p w14:paraId="63EF5C3A" w14:textId="77777777" w:rsidR="00141B97" w:rsidRDefault="00911D63">
            <w:pPr>
              <w:pStyle w:val="TableParagraph"/>
              <w:spacing w:line="218" w:lineRule="exact"/>
              <w:ind w:left="220" w:right="210"/>
              <w:jc w:val="center"/>
              <w:rPr>
                <w:sz w:val="18"/>
              </w:rPr>
            </w:pPr>
            <w:r>
              <w:rPr>
                <w:spacing w:val="-5"/>
                <w:sz w:val="18"/>
              </w:rPr>
              <w:t>2.5</w:t>
            </w:r>
          </w:p>
          <w:p w14:paraId="70B20272"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r w:rsidR="00141B97" w14:paraId="46AC1CBB" w14:textId="77777777">
        <w:trPr>
          <w:trHeight w:val="879"/>
          <w:tblCellSpacing w:w="9" w:type="dxa"/>
        </w:trPr>
        <w:tc>
          <w:tcPr>
            <w:tcW w:w="2881" w:type="dxa"/>
            <w:tcBorders>
              <w:left w:val="nil"/>
              <w:bottom w:val="nil"/>
            </w:tcBorders>
            <w:shd w:val="clear" w:color="auto" w:fill="CCE2ED"/>
          </w:tcPr>
          <w:p w14:paraId="500C21FA" w14:textId="77777777" w:rsidR="00141B97" w:rsidRDefault="00911D63">
            <w:pPr>
              <w:pStyle w:val="TableParagraph"/>
              <w:spacing w:line="220" w:lineRule="atLeast"/>
              <w:ind w:left="88"/>
              <w:rPr>
                <w:sz w:val="18"/>
              </w:rPr>
            </w:pPr>
            <w:r>
              <w:rPr>
                <w:sz w:val="18"/>
              </w:rPr>
              <w:t>Has the business demonstrated a process to measure performance against</w:t>
            </w:r>
            <w:r>
              <w:rPr>
                <w:spacing w:val="-4"/>
                <w:sz w:val="18"/>
              </w:rPr>
              <w:t xml:space="preserve"> </w:t>
            </w:r>
            <w:r>
              <w:rPr>
                <w:sz w:val="18"/>
              </w:rPr>
              <w:t>each</w:t>
            </w:r>
            <w:r>
              <w:rPr>
                <w:spacing w:val="-3"/>
                <w:sz w:val="18"/>
              </w:rPr>
              <w:t xml:space="preserve"> </w:t>
            </w:r>
            <w:r>
              <w:rPr>
                <w:sz w:val="18"/>
              </w:rPr>
              <w:t>outcome</w:t>
            </w:r>
            <w:r>
              <w:rPr>
                <w:spacing w:val="-3"/>
                <w:sz w:val="18"/>
              </w:rPr>
              <w:t xml:space="preserve"> </w:t>
            </w:r>
            <w:r>
              <w:rPr>
                <w:sz w:val="18"/>
              </w:rPr>
              <w:t>and</w:t>
            </w:r>
            <w:r>
              <w:rPr>
                <w:spacing w:val="-3"/>
                <w:sz w:val="18"/>
              </w:rPr>
              <w:t xml:space="preserve"> </w:t>
            </w:r>
            <w:r>
              <w:rPr>
                <w:sz w:val="18"/>
              </w:rPr>
              <w:t>to</w:t>
            </w:r>
            <w:r>
              <w:rPr>
                <w:spacing w:val="-4"/>
                <w:sz w:val="18"/>
              </w:rPr>
              <w:t xml:space="preserve"> </w:t>
            </w:r>
            <w:r>
              <w:rPr>
                <w:sz w:val="18"/>
              </w:rPr>
              <w:t xml:space="preserve">inform </w:t>
            </w:r>
            <w:r>
              <w:rPr>
                <w:spacing w:val="-2"/>
                <w:sz w:val="18"/>
              </w:rPr>
              <w:t>customers?</w:t>
            </w:r>
          </w:p>
        </w:tc>
        <w:tc>
          <w:tcPr>
            <w:tcW w:w="5343" w:type="dxa"/>
            <w:tcBorders>
              <w:bottom w:val="nil"/>
            </w:tcBorders>
            <w:shd w:val="clear" w:color="auto" w:fill="CCE2ED"/>
          </w:tcPr>
          <w:p w14:paraId="7C805573" w14:textId="77777777" w:rsidR="00141B97" w:rsidRDefault="00911D63">
            <w:pPr>
              <w:pStyle w:val="TableParagraph"/>
              <w:spacing w:line="220" w:lineRule="atLeast"/>
              <w:ind w:left="98" w:right="99"/>
              <w:rPr>
                <w:sz w:val="18"/>
              </w:rPr>
            </w:pPr>
            <w:r>
              <w:rPr>
                <w:sz w:val="18"/>
              </w:rPr>
              <w:t>LMW has committed to tracking and informing its customers on progress,</w:t>
            </w:r>
            <w:r>
              <w:rPr>
                <w:spacing w:val="-3"/>
                <w:sz w:val="18"/>
              </w:rPr>
              <w:t xml:space="preserve"> </w:t>
            </w:r>
            <w:r>
              <w:rPr>
                <w:sz w:val="18"/>
              </w:rPr>
              <w:t>including</w:t>
            </w:r>
            <w:r>
              <w:rPr>
                <w:spacing w:val="-3"/>
                <w:sz w:val="18"/>
              </w:rPr>
              <w:t xml:space="preserve"> </w:t>
            </w:r>
            <w:r>
              <w:rPr>
                <w:sz w:val="18"/>
              </w:rPr>
              <w:t>reporting</w:t>
            </w:r>
            <w:r>
              <w:rPr>
                <w:spacing w:val="-3"/>
                <w:sz w:val="18"/>
              </w:rPr>
              <w:t xml:space="preserve"> </w:t>
            </w:r>
            <w:r>
              <w:rPr>
                <w:sz w:val="18"/>
              </w:rPr>
              <w:t>to</w:t>
            </w:r>
            <w:r>
              <w:rPr>
                <w:spacing w:val="-3"/>
                <w:sz w:val="18"/>
              </w:rPr>
              <w:t xml:space="preserve"> </w:t>
            </w:r>
            <w:r>
              <w:rPr>
                <w:sz w:val="18"/>
              </w:rPr>
              <w:t>rural</w:t>
            </w:r>
            <w:r>
              <w:rPr>
                <w:spacing w:val="-3"/>
                <w:sz w:val="18"/>
              </w:rPr>
              <w:t xml:space="preserve"> </w:t>
            </w:r>
            <w:r>
              <w:rPr>
                <w:sz w:val="18"/>
              </w:rPr>
              <w:t>CSACs/SAC,</w:t>
            </w:r>
            <w:r>
              <w:rPr>
                <w:spacing w:val="-3"/>
                <w:sz w:val="18"/>
              </w:rPr>
              <w:t xml:space="preserve"> </w:t>
            </w:r>
            <w:r>
              <w:rPr>
                <w:sz w:val="18"/>
              </w:rPr>
              <w:t>and</w:t>
            </w:r>
            <w:r>
              <w:rPr>
                <w:spacing w:val="-2"/>
                <w:sz w:val="18"/>
              </w:rPr>
              <w:t xml:space="preserve"> </w:t>
            </w:r>
            <w:r>
              <w:rPr>
                <w:sz w:val="18"/>
              </w:rPr>
              <w:t>re‐establishing the Urban Consultative Committee. LMW will continue to engage to determine if outcomes or outputs need to change throughout PS5.</w:t>
            </w:r>
          </w:p>
        </w:tc>
        <w:tc>
          <w:tcPr>
            <w:tcW w:w="1519" w:type="dxa"/>
            <w:tcBorders>
              <w:bottom w:val="nil"/>
              <w:right w:val="nil"/>
            </w:tcBorders>
            <w:shd w:val="clear" w:color="auto" w:fill="CCE2ED"/>
          </w:tcPr>
          <w:p w14:paraId="625B109D" w14:textId="77777777" w:rsidR="00141B97" w:rsidRDefault="00911D63">
            <w:pPr>
              <w:pStyle w:val="TableParagraph"/>
              <w:spacing w:before="1"/>
              <w:ind w:left="220" w:right="210"/>
              <w:jc w:val="center"/>
              <w:rPr>
                <w:sz w:val="18"/>
              </w:rPr>
            </w:pPr>
            <w:r>
              <w:rPr>
                <w:spacing w:val="-5"/>
                <w:sz w:val="18"/>
              </w:rPr>
              <w:t>2.5</w:t>
            </w:r>
          </w:p>
          <w:p w14:paraId="5A995058" w14:textId="77777777" w:rsidR="00141B97" w:rsidRDefault="00911D63">
            <w:pPr>
              <w:pStyle w:val="TableParagraph"/>
              <w:ind w:left="222" w:right="209"/>
              <w:jc w:val="center"/>
              <w:rPr>
                <w:sz w:val="18"/>
              </w:rPr>
            </w:pPr>
            <w:r>
              <w:rPr>
                <w:sz w:val="18"/>
              </w:rPr>
              <w:t>Very</w:t>
            </w:r>
            <w:r>
              <w:rPr>
                <w:spacing w:val="-11"/>
                <w:sz w:val="18"/>
              </w:rPr>
              <w:t xml:space="preserve"> </w:t>
            </w:r>
            <w:r>
              <w:rPr>
                <w:sz w:val="18"/>
              </w:rPr>
              <w:t xml:space="preserve">confident </w:t>
            </w:r>
            <w:r>
              <w:rPr>
                <w:spacing w:val="-2"/>
                <w:sz w:val="18"/>
              </w:rPr>
              <w:t>‘Standard’</w:t>
            </w:r>
          </w:p>
        </w:tc>
      </w:tr>
    </w:tbl>
    <w:p w14:paraId="53D706D4" w14:textId="77777777" w:rsidR="00141B97" w:rsidRDefault="00911D63">
      <w:pPr>
        <w:spacing w:before="37"/>
        <w:ind w:left="154"/>
        <w:rPr>
          <w:sz w:val="16"/>
        </w:rPr>
      </w:pPr>
      <w:r>
        <w:rPr>
          <w:sz w:val="16"/>
        </w:rPr>
        <w:t>Table</w:t>
      </w:r>
      <w:r>
        <w:rPr>
          <w:spacing w:val="-7"/>
          <w:sz w:val="16"/>
        </w:rPr>
        <w:t xml:space="preserve"> </w:t>
      </w:r>
      <w:r>
        <w:rPr>
          <w:sz w:val="16"/>
        </w:rPr>
        <w:t>A5:</w:t>
      </w:r>
      <w:r>
        <w:rPr>
          <w:spacing w:val="-9"/>
          <w:sz w:val="16"/>
        </w:rPr>
        <w:t xml:space="preserve"> </w:t>
      </w:r>
      <w:r>
        <w:rPr>
          <w:sz w:val="16"/>
        </w:rPr>
        <w:t>PREMO</w:t>
      </w:r>
      <w:r>
        <w:rPr>
          <w:spacing w:val="-8"/>
          <w:sz w:val="16"/>
        </w:rPr>
        <w:t xml:space="preserve"> </w:t>
      </w:r>
      <w:r>
        <w:rPr>
          <w:sz w:val="16"/>
        </w:rPr>
        <w:t>Self‐Assessment</w:t>
      </w:r>
      <w:r>
        <w:rPr>
          <w:spacing w:val="-6"/>
          <w:sz w:val="16"/>
        </w:rPr>
        <w:t xml:space="preserve"> </w:t>
      </w:r>
      <w:r>
        <w:rPr>
          <w:spacing w:val="-2"/>
          <w:sz w:val="16"/>
        </w:rPr>
        <w:t>Summary</w:t>
      </w:r>
    </w:p>
    <w:p w14:paraId="7B2DC522" w14:textId="77777777" w:rsidR="00141B97" w:rsidRDefault="00141B97">
      <w:pPr>
        <w:rPr>
          <w:sz w:val="16"/>
        </w:rPr>
        <w:sectPr w:rsidR="00141B97">
          <w:pgSz w:w="11910" w:h="16840"/>
          <w:pgMar w:top="860" w:right="740" w:bottom="1120" w:left="980" w:header="0" w:footer="896" w:gutter="0"/>
          <w:cols w:space="720"/>
        </w:sectPr>
      </w:pPr>
    </w:p>
    <w:p w14:paraId="25F0AC8E" w14:textId="77777777" w:rsidR="00141B97" w:rsidRDefault="00911D63">
      <w:pPr>
        <w:pStyle w:val="Heading1"/>
        <w:numPr>
          <w:ilvl w:val="0"/>
          <w:numId w:val="113"/>
        </w:numPr>
        <w:tabs>
          <w:tab w:val="left" w:pos="722"/>
        </w:tabs>
        <w:jc w:val="both"/>
      </w:pPr>
      <w:bookmarkStart w:id="23" w:name="_TOC_250004"/>
      <w:r>
        <w:rPr>
          <w:color w:val="006CA3"/>
        </w:rPr>
        <w:lastRenderedPageBreak/>
        <w:t xml:space="preserve">Risk </w:t>
      </w:r>
      <w:bookmarkEnd w:id="23"/>
      <w:r>
        <w:rPr>
          <w:color w:val="006CA3"/>
          <w:spacing w:val="-2"/>
        </w:rPr>
        <w:t>Management</w:t>
      </w:r>
    </w:p>
    <w:p w14:paraId="1D18792A" w14:textId="77777777" w:rsidR="00141B97" w:rsidRDefault="00911D63">
      <w:pPr>
        <w:pStyle w:val="BodyText"/>
        <w:spacing w:before="240"/>
        <w:ind w:left="153" w:right="246"/>
        <w:jc w:val="both"/>
      </w:pPr>
      <w:r>
        <w:t>Consistent with the PREMO framework, the application of risk‐based practices and decision‐making is a fundamental underpinning of LMW’s price submission. References to risk and its management are found extensively</w:t>
      </w:r>
      <w:r>
        <w:rPr>
          <w:spacing w:val="-4"/>
        </w:rPr>
        <w:t xml:space="preserve"> </w:t>
      </w:r>
      <w:r>
        <w:t>throughout</w:t>
      </w:r>
      <w:r>
        <w:rPr>
          <w:spacing w:val="-5"/>
        </w:rPr>
        <w:t xml:space="preserve"> </w:t>
      </w:r>
      <w:r>
        <w:t>the</w:t>
      </w:r>
      <w:r>
        <w:rPr>
          <w:spacing w:val="-4"/>
        </w:rPr>
        <w:t xml:space="preserve"> </w:t>
      </w:r>
      <w:r>
        <w:t>submission</w:t>
      </w:r>
      <w:r>
        <w:rPr>
          <w:spacing w:val="-4"/>
        </w:rPr>
        <w:t xml:space="preserve"> </w:t>
      </w:r>
      <w:r>
        <w:t>and</w:t>
      </w:r>
      <w:r>
        <w:rPr>
          <w:spacing w:val="-4"/>
        </w:rPr>
        <w:t xml:space="preserve"> </w:t>
      </w:r>
      <w:r>
        <w:t>its</w:t>
      </w:r>
      <w:r>
        <w:rPr>
          <w:spacing w:val="-4"/>
        </w:rPr>
        <w:t xml:space="preserve"> </w:t>
      </w:r>
      <w:r>
        <w:t>supporting</w:t>
      </w:r>
      <w:r>
        <w:rPr>
          <w:spacing w:val="-4"/>
        </w:rPr>
        <w:t xml:space="preserve"> </w:t>
      </w:r>
      <w:r>
        <w:t>documents,</w:t>
      </w:r>
      <w:r>
        <w:rPr>
          <w:spacing w:val="-6"/>
        </w:rPr>
        <w:t xml:space="preserve"> </w:t>
      </w:r>
      <w:r>
        <w:t>however</w:t>
      </w:r>
      <w:r>
        <w:rPr>
          <w:spacing w:val="-5"/>
        </w:rPr>
        <w:t xml:space="preserve"> </w:t>
      </w:r>
      <w:r>
        <w:t>the</w:t>
      </w:r>
      <w:r>
        <w:rPr>
          <w:spacing w:val="-5"/>
        </w:rPr>
        <w:t xml:space="preserve"> </w:t>
      </w:r>
      <w:r>
        <w:t>purpose</w:t>
      </w:r>
      <w:r>
        <w:rPr>
          <w:spacing w:val="-4"/>
        </w:rPr>
        <w:t xml:space="preserve"> </w:t>
      </w:r>
      <w:r>
        <w:t>of</w:t>
      </w:r>
      <w:r>
        <w:rPr>
          <w:spacing w:val="-4"/>
        </w:rPr>
        <w:t xml:space="preserve"> </w:t>
      </w:r>
      <w:r>
        <w:t>this</w:t>
      </w:r>
      <w:r>
        <w:rPr>
          <w:spacing w:val="-4"/>
        </w:rPr>
        <w:t xml:space="preserve"> </w:t>
      </w:r>
      <w:r>
        <w:t>section</w:t>
      </w:r>
      <w:r>
        <w:rPr>
          <w:spacing w:val="-5"/>
        </w:rPr>
        <w:t xml:space="preserve"> </w:t>
      </w:r>
      <w:r>
        <w:t>is</w:t>
      </w:r>
      <w:r>
        <w:rPr>
          <w:spacing w:val="-4"/>
        </w:rPr>
        <w:t xml:space="preserve"> </w:t>
      </w:r>
      <w:r>
        <w:t>to provide a more focussed summary that addresses the following three specific ESC requirements:</w:t>
      </w:r>
    </w:p>
    <w:p w14:paraId="4EECEEDD" w14:textId="77777777" w:rsidR="00141B97" w:rsidRDefault="00911D63">
      <w:pPr>
        <w:pStyle w:val="ListParagraph"/>
        <w:numPr>
          <w:ilvl w:val="0"/>
          <w:numId w:val="98"/>
        </w:numPr>
        <w:tabs>
          <w:tab w:val="left" w:pos="863"/>
          <w:tab w:val="left" w:pos="864"/>
        </w:tabs>
        <w:spacing w:before="80"/>
        <w:ind w:hanging="361"/>
      </w:pPr>
      <w:r>
        <w:t>The</w:t>
      </w:r>
      <w:r>
        <w:rPr>
          <w:spacing w:val="-7"/>
        </w:rPr>
        <w:t xml:space="preserve"> </w:t>
      </w:r>
      <w:r>
        <w:t>extent</w:t>
      </w:r>
      <w:r>
        <w:rPr>
          <w:spacing w:val="-6"/>
        </w:rPr>
        <w:t xml:space="preserve"> </w:t>
      </w:r>
      <w:r>
        <w:t>to</w:t>
      </w:r>
      <w:r>
        <w:rPr>
          <w:spacing w:val="-5"/>
        </w:rPr>
        <w:t xml:space="preserve"> </w:t>
      </w:r>
      <w:r>
        <w:t>which</w:t>
      </w:r>
      <w:r>
        <w:rPr>
          <w:spacing w:val="-5"/>
        </w:rPr>
        <w:t xml:space="preserve"> </w:t>
      </w:r>
      <w:r>
        <w:t>LMW</w:t>
      </w:r>
      <w:r>
        <w:rPr>
          <w:spacing w:val="-6"/>
        </w:rPr>
        <w:t xml:space="preserve"> </w:t>
      </w:r>
      <w:r>
        <w:t>has</w:t>
      </w:r>
      <w:r>
        <w:rPr>
          <w:spacing w:val="-6"/>
        </w:rPr>
        <w:t xml:space="preserve"> </w:t>
      </w:r>
      <w:r>
        <w:t>a</w:t>
      </w:r>
      <w:r>
        <w:rPr>
          <w:spacing w:val="-5"/>
        </w:rPr>
        <w:t xml:space="preserve"> </w:t>
      </w:r>
      <w:r>
        <w:t>robust</w:t>
      </w:r>
      <w:r>
        <w:rPr>
          <w:spacing w:val="-5"/>
        </w:rPr>
        <w:t xml:space="preserve"> </w:t>
      </w:r>
      <w:r>
        <w:t>process</w:t>
      </w:r>
      <w:r>
        <w:rPr>
          <w:spacing w:val="-6"/>
        </w:rPr>
        <w:t xml:space="preserve"> </w:t>
      </w:r>
      <w:r>
        <w:t>for</w:t>
      </w:r>
      <w:r>
        <w:rPr>
          <w:spacing w:val="-6"/>
        </w:rPr>
        <w:t xml:space="preserve"> </w:t>
      </w:r>
      <w:r>
        <w:t>identifying</w:t>
      </w:r>
      <w:r>
        <w:rPr>
          <w:spacing w:val="-6"/>
        </w:rPr>
        <w:t xml:space="preserve"> </w:t>
      </w:r>
      <w:r>
        <w:rPr>
          <w:spacing w:val="-2"/>
        </w:rPr>
        <w:t>risk.</w:t>
      </w:r>
    </w:p>
    <w:p w14:paraId="72946D5F" w14:textId="77777777" w:rsidR="00141B97" w:rsidRDefault="00911D63">
      <w:pPr>
        <w:pStyle w:val="ListParagraph"/>
        <w:numPr>
          <w:ilvl w:val="0"/>
          <w:numId w:val="98"/>
        </w:numPr>
        <w:tabs>
          <w:tab w:val="left" w:pos="862"/>
          <w:tab w:val="left" w:pos="864"/>
        </w:tabs>
        <w:spacing w:before="60"/>
        <w:ind w:hanging="361"/>
      </w:pPr>
      <w:r>
        <w:t>How</w:t>
      </w:r>
      <w:r>
        <w:rPr>
          <w:spacing w:val="-6"/>
        </w:rPr>
        <w:t xml:space="preserve"> </w:t>
      </w:r>
      <w:r>
        <w:t>it</w:t>
      </w:r>
      <w:r>
        <w:rPr>
          <w:spacing w:val="-5"/>
        </w:rPr>
        <w:t xml:space="preserve"> </w:t>
      </w:r>
      <w:r>
        <w:t>has</w:t>
      </w:r>
      <w:r>
        <w:rPr>
          <w:spacing w:val="-5"/>
        </w:rPr>
        <w:t xml:space="preserve"> </w:t>
      </w:r>
      <w:r>
        <w:t>decided</w:t>
      </w:r>
      <w:r>
        <w:rPr>
          <w:spacing w:val="-6"/>
        </w:rPr>
        <w:t xml:space="preserve"> </w:t>
      </w:r>
      <w:r>
        <w:t>who</w:t>
      </w:r>
      <w:r>
        <w:rPr>
          <w:spacing w:val="-7"/>
        </w:rPr>
        <w:t xml:space="preserve"> </w:t>
      </w:r>
      <w:r>
        <w:t>should</w:t>
      </w:r>
      <w:r>
        <w:rPr>
          <w:spacing w:val="-7"/>
        </w:rPr>
        <w:t xml:space="preserve"> </w:t>
      </w:r>
      <w:r>
        <w:t>bear</w:t>
      </w:r>
      <w:r>
        <w:rPr>
          <w:spacing w:val="-5"/>
        </w:rPr>
        <w:t xml:space="preserve"> </w:t>
      </w:r>
      <w:r>
        <w:t>these</w:t>
      </w:r>
      <w:r>
        <w:rPr>
          <w:spacing w:val="-7"/>
        </w:rPr>
        <w:t xml:space="preserve"> </w:t>
      </w:r>
      <w:r>
        <w:t>risks</w:t>
      </w:r>
      <w:r>
        <w:rPr>
          <w:spacing w:val="-6"/>
        </w:rPr>
        <w:t xml:space="preserve"> </w:t>
      </w:r>
      <w:r>
        <w:t>by</w:t>
      </w:r>
      <w:r>
        <w:rPr>
          <w:spacing w:val="-6"/>
        </w:rPr>
        <w:t xml:space="preserve"> </w:t>
      </w:r>
      <w:r>
        <w:t>appropriate</w:t>
      </w:r>
      <w:r>
        <w:rPr>
          <w:spacing w:val="-6"/>
        </w:rPr>
        <w:t xml:space="preserve"> </w:t>
      </w:r>
      <w:r>
        <w:t>risk</w:t>
      </w:r>
      <w:r>
        <w:rPr>
          <w:spacing w:val="-5"/>
        </w:rPr>
        <w:t xml:space="preserve"> </w:t>
      </w:r>
      <w:r>
        <w:rPr>
          <w:spacing w:val="-2"/>
        </w:rPr>
        <w:t>allocation.</w:t>
      </w:r>
    </w:p>
    <w:p w14:paraId="4334D497" w14:textId="77777777" w:rsidR="00141B97" w:rsidRDefault="00911D63">
      <w:pPr>
        <w:pStyle w:val="ListParagraph"/>
        <w:numPr>
          <w:ilvl w:val="0"/>
          <w:numId w:val="98"/>
        </w:numPr>
        <w:tabs>
          <w:tab w:val="left" w:pos="862"/>
          <w:tab w:val="left" w:pos="863"/>
        </w:tabs>
        <w:spacing w:before="60"/>
        <w:ind w:left="862" w:hanging="361"/>
      </w:pPr>
      <w:r>
        <w:t>Where</w:t>
      </w:r>
      <w:r>
        <w:rPr>
          <w:spacing w:val="-5"/>
        </w:rPr>
        <w:t xml:space="preserve"> </w:t>
      </w:r>
      <w:r>
        <w:t>LMW</w:t>
      </w:r>
      <w:r>
        <w:rPr>
          <w:spacing w:val="-4"/>
        </w:rPr>
        <w:t xml:space="preserve"> </w:t>
      </w:r>
      <w:r>
        <w:t>is</w:t>
      </w:r>
      <w:r>
        <w:rPr>
          <w:spacing w:val="-5"/>
        </w:rPr>
        <w:t xml:space="preserve"> </w:t>
      </w:r>
      <w:r>
        <w:t>best</w:t>
      </w:r>
      <w:r>
        <w:rPr>
          <w:spacing w:val="-5"/>
        </w:rPr>
        <w:t xml:space="preserve"> </w:t>
      </w:r>
      <w:r>
        <w:t>placed</w:t>
      </w:r>
      <w:r>
        <w:rPr>
          <w:spacing w:val="-5"/>
        </w:rPr>
        <w:t xml:space="preserve"> </w:t>
      </w:r>
      <w:r>
        <w:t>to</w:t>
      </w:r>
      <w:r>
        <w:rPr>
          <w:spacing w:val="-4"/>
        </w:rPr>
        <w:t xml:space="preserve"> </w:t>
      </w:r>
      <w:r>
        <w:t>do</w:t>
      </w:r>
      <w:r>
        <w:rPr>
          <w:spacing w:val="-5"/>
        </w:rPr>
        <w:t xml:space="preserve"> </w:t>
      </w:r>
      <w:r>
        <w:t>so,</w:t>
      </w:r>
      <w:r>
        <w:rPr>
          <w:spacing w:val="-4"/>
        </w:rPr>
        <w:t xml:space="preserve"> </w:t>
      </w:r>
      <w:r>
        <w:t>the</w:t>
      </w:r>
      <w:r>
        <w:rPr>
          <w:spacing w:val="-3"/>
        </w:rPr>
        <w:t xml:space="preserve"> </w:t>
      </w:r>
      <w:r>
        <w:t>mechanisms</w:t>
      </w:r>
      <w:r>
        <w:rPr>
          <w:spacing w:val="-4"/>
        </w:rPr>
        <w:t xml:space="preserve"> </w:t>
      </w:r>
      <w:r>
        <w:t>it</w:t>
      </w:r>
      <w:r>
        <w:rPr>
          <w:spacing w:val="-5"/>
        </w:rPr>
        <w:t xml:space="preserve"> </w:t>
      </w:r>
      <w:r>
        <w:t>will</w:t>
      </w:r>
      <w:r>
        <w:rPr>
          <w:spacing w:val="-5"/>
        </w:rPr>
        <w:t xml:space="preserve"> </w:t>
      </w:r>
      <w:r>
        <w:t>use</w:t>
      </w:r>
      <w:r>
        <w:rPr>
          <w:spacing w:val="-5"/>
        </w:rPr>
        <w:t xml:space="preserve"> </w:t>
      </w:r>
      <w:r>
        <w:t>to</w:t>
      </w:r>
      <w:r>
        <w:rPr>
          <w:spacing w:val="-4"/>
        </w:rPr>
        <w:t xml:space="preserve"> </w:t>
      </w:r>
      <w:r>
        <w:t>manage</w:t>
      </w:r>
      <w:r>
        <w:rPr>
          <w:spacing w:val="-5"/>
        </w:rPr>
        <w:t xml:space="preserve"> </w:t>
      </w:r>
      <w:r>
        <w:rPr>
          <w:spacing w:val="-2"/>
        </w:rPr>
        <w:t>risk.</w:t>
      </w:r>
    </w:p>
    <w:p w14:paraId="5CCC8117" w14:textId="77777777" w:rsidR="00141B97" w:rsidRDefault="00911D63">
      <w:pPr>
        <w:pStyle w:val="BodyText"/>
        <w:spacing w:before="120"/>
        <w:ind w:left="153"/>
      </w:pPr>
      <w:r>
        <w:t>A more detailed</w:t>
      </w:r>
      <w:r>
        <w:rPr>
          <w:spacing w:val="19"/>
        </w:rPr>
        <w:t xml:space="preserve"> </w:t>
      </w:r>
      <w:r>
        <w:t>Risk Management paper</w:t>
      </w:r>
      <w:r>
        <w:rPr>
          <w:vertAlign w:val="superscript"/>
        </w:rPr>
        <w:t>10</w:t>
      </w:r>
      <w:r>
        <w:t xml:space="preserve"> was</w:t>
      </w:r>
      <w:r>
        <w:rPr>
          <w:spacing w:val="19"/>
        </w:rPr>
        <w:t xml:space="preserve"> </w:t>
      </w:r>
      <w:r>
        <w:t>prepared for and endorsed</w:t>
      </w:r>
      <w:r>
        <w:rPr>
          <w:spacing w:val="19"/>
        </w:rPr>
        <w:t xml:space="preserve"> </w:t>
      </w:r>
      <w:r>
        <w:t>by</w:t>
      </w:r>
      <w:r>
        <w:rPr>
          <w:spacing w:val="19"/>
        </w:rPr>
        <w:t xml:space="preserve"> </w:t>
      </w:r>
      <w:r>
        <w:t>the Finance &amp;</w:t>
      </w:r>
      <w:r>
        <w:rPr>
          <w:spacing w:val="19"/>
        </w:rPr>
        <w:t xml:space="preserve"> </w:t>
      </w:r>
      <w:r>
        <w:t>Audit</w:t>
      </w:r>
      <w:r>
        <w:rPr>
          <w:spacing w:val="19"/>
        </w:rPr>
        <w:t xml:space="preserve"> </w:t>
      </w:r>
      <w:r>
        <w:t>and Risk Committees during PS5 preparation, which elaborates on these matters and provides supporting examples.</w:t>
      </w:r>
    </w:p>
    <w:p w14:paraId="2C814033" w14:textId="77777777" w:rsidR="00141B97" w:rsidRDefault="00141B97">
      <w:pPr>
        <w:pStyle w:val="BodyText"/>
        <w:spacing w:before="1"/>
        <w:rPr>
          <w:sz w:val="31"/>
        </w:rPr>
      </w:pPr>
    </w:p>
    <w:p w14:paraId="7588AD21" w14:textId="77777777" w:rsidR="00141B97" w:rsidRDefault="00911D63">
      <w:pPr>
        <w:pStyle w:val="Heading2"/>
        <w:numPr>
          <w:ilvl w:val="1"/>
          <w:numId w:val="113"/>
        </w:numPr>
        <w:tabs>
          <w:tab w:val="left" w:pos="1153"/>
        </w:tabs>
        <w:jc w:val="both"/>
      </w:pPr>
      <w:bookmarkStart w:id="24" w:name="_TOC_250003"/>
      <w:r>
        <w:rPr>
          <w:color w:val="009BAC"/>
        </w:rPr>
        <w:t>Robust</w:t>
      </w:r>
      <w:r>
        <w:rPr>
          <w:color w:val="009BAC"/>
          <w:spacing w:val="-9"/>
        </w:rPr>
        <w:t xml:space="preserve"> </w:t>
      </w:r>
      <w:r>
        <w:rPr>
          <w:color w:val="009BAC"/>
        </w:rPr>
        <w:t>Risk</w:t>
      </w:r>
      <w:r>
        <w:rPr>
          <w:color w:val="009BAC"/>
          <w:spacing w:val="-9"/>
        </w:rPr>
        <w:t xml:space="preserve"> </w:t>
      </w:r>
      <w:r>
        <w:rPr>
          <w:color w:val="009BAC"/>
        </w:rPr>
        <w:t>Management</w:t>
      </w:r>
      <w:r>
        <w:rPr>
          <w:color w:val="009BAC"/>
          <w:spacing w:val="-9"/>
        </w:rPr>
        <w:t xml:space="preserve"> </w:t>
      </w:r>
      <w:r>
        <w:rPr>
          <w:color w:val="009BAC"/>
        </w:rPr>
        <w:t>Processes</w:t>
      </w:r>
      <w:r>
        <w:rPr>
          <w:color w:val="009BAC"/>
          <w:spacing w:val="-10"/>
        </w:rPr>
        <w:t xml:space="preserve"> </w:t>
      </w:r>
      <w:r>
        <w:rPr>
          <w:color w:val="009BAC"/>
        </w:rPr>
        <w:t>and</w:t>
      </w:r>
      <w:r>
        <w:rPr>
          <w:color w:val="009BAC"/>
          <w:spacing w:val="-9"/>
        </w:rPr>
        <w:t xml:space="preserve"> </w:t>
      </w:r>
      <w:bookmarkEnd w:id="24"/>
      <w:r>
        <w:rPr>
          <w:color w:val="009BAC"/>
          <w:spacing w:val="-2"/>
        </w:rPr>
        <w:t>Approach</w:t>
      </w:r>
    </w:p>
    <w:p w14:paraId="1766CB91" w14:textId="77777777" w:rsidR="00141B97" w:rsidRDefault="00911D63">
      <w:pPr>
        <w:pStyle w:val="BodyText"/>
        <w:spacing w:before="132" w:line="249" w:lineRule="auto"/>
        <w:ind w:left="154" w:right="246" w:hanging="1"/>
        <w:jc w:val="both"/>
      </w:pPr>
      <w:r>
        <w:t>LMW has a continuous improvement program which prioritises risk management practices to better integrate and align its approach across business activities and decision‐making processes and utilises its Risk Committee to</w:t>
      </w:r>
      <w:r>
        <w:rPr>
          <w:spacing w:val="-13"/>
        </w:rPr>
        <w:t xml:space="preserve"> </w:t>
      </w:r>
      <w:r>
        <w:t>monitor</w:t>
      </w:r>
      <w:r>
        <w:rPr>
          <w:spacing w:val="-12"/>
        </w:rPr>
        <w:t xml:space="preserve"> </w:t>
      </w:r>
      <w:r>
        <w:t>and</w:t>
      </w:r>
      <w:r>
        <w:rPr>
          <w:spacing w:val="-13"/>
        </w:rPr>
        <w:t xml:space="preserve"> </w:t>
      </w:r>
      <w:r>
        <w:t>prioritise</w:t>
      </w:r>
      <w:r>
        <w:rPr>
          <w:spacing w:val="-12"/>
        </w:rPr>
        <w:t xml:space="preserve"> </w:t>
      </w:r>
      <w:r>
        <w:t>strategic</w:t>
      </w:r>
      <w:r>
        <w:rPr>
          <w:spacing w:val="-13"/>
        </w:rPr>
        <w:t xml:space="preserve"> </w:t>
      </w:r>
      <w:r>
        <w:t>risk</w:t>
      </w:r>
      <w:r>
        <w:rPr>
          <w:spacing w:val="-12"/>
        </w:rPr>
        <w:t xml:space="preserve"> </w:t>
      </w:r>
      <w:r>
        <w:t>focus.</w:t>
      </w:r>
      <w:r>
        <w:rPr>
          <w:spacing w:val="-13"/>
        </w:rPr>
        <w:t xml:space="preserve"> </w:t>
      </w:r>
      <w:r>
        <w:t>LMW’s</w:t>
      </w:r>
      <w:r>
        <w:rPr>
          <w:spacing w:val="-12"/>
        </w:rPr>
        <w:t xml:space="preserve"> </w:t>
      </w:r>
      <w:r>
        <w:t>Risk</w:t>
      </w:r>
      <w:r>
        <w:rPr>
          <w:spacing w:val="-12"/>
        </w:rPr>
        <w:t xml:space="preserve"> </w:t>
      </w:r>
      <w:r>
        <w:t>Management</w:t>
      </w:r>
      <w:r>
        <w:rPr>
          <w:spacing w:val="-13"/>
        </w:rPr>
        <w:t xml:space="preserve"> </w:t>
      </w:r>
      <w:r>
        <w:t>Framework</w:t>
      </w:r>
      <w:r>
        <w:rPr>
          <w:spacing w:val="-12"/>
        </w:rPr>
        <w:t xml:space="preserve"> </w:t>
      </w:r>
      <w:r>
        <w:t>(RMF)</w:t>
      </w:r>
      <w:r>
        <w:rPr>
          <w:spacing w:val="-13"/>
        </w:rPr>
        <w:t xml:space="preserve"> </w:t>
      </w:r>
      <w:r>
        <w:t>is</w:t>
      </w:r>
      <w:r>
        <w:rPr>
          <w:spacing w:val="-12"/>
        </w:rPr>
        <w:t xml:space="preserve"> </w:t>
      </w:r>
      <w:r>
        <w:t>based</w:t>
      </w:r>
      <w:r>
        <w:rPr>
          <w:spacing w:val="-13"/>
        </w:rPr>
        <w:t xml:space="preserve"> </w:t>
      </w:r>
      <w:r>
        <w:t>on</w:t>
      </w:r>
      <w:r>
        <w:rPr>
          <w:spacing w:val="-12"/>
        </w:rPr>
        <w:t xml:space="preserve"> </w:t>
      </w:r>
      <w:r>
        <w:t>compliance with the following:</w:t>
      </w:r>
    </w:p>
    <w:p w14:paraId="5D9C47D3" w14:textId="77777777" w:rsidR="00141B97" w:rsidRDefault="00911D63">
      <w:pPr>
        <w:pStyle w:val="ListParagraph"/>
        <w:numPr>
          <w:ilvl w:val="0"/>
          <w:numId w:val="97"/>
        </w:numPr>
        <w:tabs>
          <w:tab w:val="left" w:pos="863"/>
          <w:tab w:val="left" w:pos="864"/>
        </w:tabs>
        <w:spacing w:before="111" w:line="280" w:lineRule="exact"/>
        <w:ind w:left="863" w:hanging="361"/>
      </w:pPr>
      <w:r>
        <w:t>The</w:t>
      </w:r>
      <w:r>
        <w:rPr>
          <w:spacing w:val="-12"/>
        </w:rPr>
        <w:t xml:space="preserve"> </w:t>
      </w:r>
      <w:r>
        <w:t>Victorian</w:t>
      </w:r>
      <w:r>
        <w:rPr>
          <w:spacing w:val="-11"/>
        </w:rPr>
        <w:t xml:space="preserve"> </w:t>
      </w:r>
      <w:r>
        <w:t>Government</w:t>
      </w:r>
      <w:r>
        <w:rPr>
          <w:spacing w:val="-9"/>
        </w:rPr>
        <w:t xml:space="preserve"> </w:t>
      </w:r>
      <w:r>
        <w:t>Risk</w:t>
      </w:r>
      <w:r>
        <w:rPr>
          <w:spacing w:val="-12"/>
        </w:rPr>
        <w:t xml:space="preserve"> </w:t>
      </w:r>
      <w:r>
        <w:t>Management</w:t>
      </w:r>
      <w:r>
        <w:rPr>
          <w:spacing w:val="-11"/>
        </w:rPr>
        <w:t xml:space="preserve"> </w:t>
      </w:r>
      <w:r>
        <w:t>Framework</w:t>
      </w:r>
      <w:r>
        <w:rPr>
          <w:spacing w:val="-11"/>
        </w:rPr>
        <w:t xml:space="preserve"> </w:t>
      </w:r>
      <w:r>
        <w:rPr>
          <w:spacing w:val="-2"/>
        </w:rPr>
        <w:t>(VGRMF).</w:t>
      </w:r>
    </w:p>
    <w:p w14:paraId="4F7C54CD" w14:textId="77777777" w:rsidR="00141B97" w:rsidRDefault="00911D63">
      <w:pPr>
        <w:pStyle w:val="ListParagraph"/>
        <w:numPr>
          <w:ilvl w:val="0"/>
          <w:numId w:val="97"/>
        </w:numPr>
        <w:tabs>
          <w:tab w:val="left" w:pos="863"/>
          <w:tab w:val="left" w:pos="864"/>
        </w:tabs>
        <w:spacing w:line="280" w:lineRule="exact"/>
        <w:ind w:left="863" w:hanging="361"/>
      </w:pPr>
      <w:r>
        <w:t>LMW’s</w:t>
      </w:r>
      <w:r>
        <w:rPr>
          <w:spacing w:val="-8"/>
        </w:rPr>
        <w:t xml:space="preserve"> </w:t>
      </w:r>
      <w:r>
        <w:t>Statement</w:t>
      </w:r>
      <w:r>
        <w:rPr>
          <w:spacing w:val="-7"/>
        </w:rPr>
        <w:t xml:space="preserve"> </w:t>
      </w:r>
      <w:r>
        <w:t>of</w:t>
      </w:r>
      <w:r>
        <w:rPr>
          <w:spacing w:val="-7"/>
        </w:rPr>
        <w:t xml:space="preserve"> </w:t>
      </w:r>
      <w:r>
        <w:rPr>
          <w:spacing w:val="-2"/>
        </w:rPr>
        <w:t>Obligations.</w:t>
      </w:r>
    </w:p>
    <w:p w14:paraId="6FCE0C92" w14:textId="77777777" w:rsidR="00141B97" w:rsidRDefault="00911D63">
      <w:pPr>
        <w:pStyle w:val="ListParagraph"/>
        <w:numPr>
          <w:ilvl w:val="0"/>
          <w:numId w:val="97"/>
        </w:numPr>
        <w:tabs>
          <w:tab w:val="left" w:pos="862"/>
          <w:tab w:val="left" w:pos="864"/>
        </w:tabs>
        <w:spacing w:before="1" w:line="352" w:lineRule="auto"/>
        <w:ind w:right="1919" w:firstLine="349"/>
      </w:pPr>
      <w:r>
        <w:t>Alignment</w:t>
      </w:r>
      <w:r>
        <w:rPr>
          <w:spacing w:val="-3"/>
        </w:rPr>
        <w:t xml:space="preserve"> </w:t>
      </w:r>
      <w:r>
        <w:t>to</w:t>
      </w:r>
      <w:r>
        <w:rPr>
          <w:spacing w:val="-4"/>
        </w:rPr>
        <w:t xml:space="preserve"> </w:t>
      </w:r>
      <w:r>
        <w:t>ISO/AS/NZS</w:t>
      </w:r>
      <w:r>
        <w:rPr>
          <w:spacing w:val="-4"/>
        </w:rPr>
        <w:t xml:space="preserve"> </w:t>
      </w:r>
      <w:r>
        <w:t>31000:2009</w:t>
      </w:r>
      <w:r>
        <w:rPr>
          <w:spacing w:val="-4"/>
        </w:rPr>
        <w:t xml:space="preserve"> </w:t>
      </w:r>
      <w:r>
        <w:t>Risk</w:t>
      </w:r>
      <w:r>
        <w:rPr>
          <w:spacing w:val="-4"/>
        </w:rPr>
        <w:t xml:space="preserve"> </w:t>
      </w:r>
      <w:r>
        <w:t>Management</w:t>
      </w:r>
      <w:r>
        <w:rPr>
          <w:spacing w:val="-4"/>
        </w:rPr>
        <w:t xml:space="preserve"> </w:t>
      </w:r>
      <w:r>
        <w:t>–</w:t>
      </w:r>
      <w:r>
        <w:rPr>
          <w:spacing w:val="-4"/>
        </w:rPr>
        <w:t xml:space="preserve"> </w:t>
      </w:r>
      <w:r>
        <w:t>Principles</w:t>
      </w:r>
      <w:r>
        <w:rPr>
          <w:spacing w:val="-4"/>
        </w:rPr>
        <w:t xml:space="preserve"> </w:t>
      </w:r>
      <w:r>
        <w:t>and</w:t>
      </w:r>
      <w:r>
        <w:rPr>
          <w:spacing w:val="-4"/>
        </w:rPr>
        <w:t xml:space="preserve"> </w:t>
      </w:r>
      <w:r>
        <w:t>guidelines. The LMW RMF includes:</w:t>
      </w:r>
    </w:p>
    <w:p w14:paraId="4EC51D8C" w14:textId="77777777" w:rsidR="00141B97" w:rsidRDefault="00911D63">
      <w:pPr>
        <w:pStyle w:val="ListParagraph"/>
        <w:numPr>
          <w:ilvl w:val="0"/>
          <w:numId w:val="97"/>
        </w:numPr>
        <w:tabs>
          <w:tab w:val="left" w:pos="862"/>
          <w:tab w:val="left" w:pos="863"/>
        </w:tabs>
        <w:spacing w:line="279" w:lineRule="exact"/>
        <w:ind w:left="862" w:hanging="361"/>
      </w:pPr>
      <w:r>
        <w:t>Risk</w:t>
      </w:r>
      <w:r>
        <w:rPr>
          <w:spacing w:val="-10"/>
        </w:rPr>
        <w:t xml:space="preserve"> </w:t>
      </w:r>
      <w:r>
        <w:t>Management</w:t>
      </w:r>
      <w:r>
        <w:rPr>
          <w:spacing w:val="-10"/>
        </w:rPr>
        <w:t xml:space="preserve"> </w:t>
      </w:r>
      <w:r>
        <w:rPr>
          <w:spacing w:val="-2"/>
        </w:rPr>
        <w:t>Policy.</w:t>
      </w:r>
    </w:p>
    <w:p w14:paraId="7B0B5BE6" w14:textId="77777777" w:rsidR="00141B97" w:rsidRDefault="00911D63">
      <w:pPr>
        <w:pStyle w:val="ListParagraph"/>
        <w:numPr>
          <w:ilvl w:val="0"/>
          <w:numId w:val="97"/>
        </w:numPr>
        <w:tabs>
          <w:tab w:val="left" w:pos="862"/>
          <w:tab w:val="left" w:pos="863"/>
        </w:tabs>
        <w:spacing w:line="280" w:lineRule="exact"/>
        <w:ind w:left="862" w:hanging="361"/>
      </w:pPr>
      <w:r>
        <w:t>Risk</w:t>
      </w:r>
      <w:r>
        <w:rPr>
          <w:spacing w:val="-11"/>
        </w:rPr>
        <w:t xml:space="preserve"> </w:t>
      </w:r>
      <w:r>
        <w:t>Appetite</w:t>
      </w:r>
      <w:r>
        <w:rPr>
          <w:spacing w:val="-9"/>
        </w:rPr>
        <w:t xml:space="preserve"> </w:t>
      </w:r>
      <w:r>
        <w:t>Statement</w:t>
      </w:r>
      <w:r>
        <w:rPr>
          <w:spacing w:val="-11"/>
        </w:rPr>
        <w:t xml:space="preserve"> </w:t>
      </w:r>
      <w:r>
        <w:rPr>
          <w:spacing w:val="-2"/>
        </w:rPr>
        <w:t>(RAS).</w:t>
      </w:r>
    </w:p>
    <w:p w14:paraId="7DD170CD" w14:textId="77777777" w:rsidR="00141B97" w:rsidRDefault="00911D63">
      <w:pPr>
        <w:pStyle w:val="ListParagraph"/>
        <w:numPr>
          <w:ilvl w:val="0"/>
          <w:numId w:val="97"/>
        </w:numPr>
        <w:tabs>
          <w:tab w:val="left" w:pos="862"/>
          <w:tab w:val="left" w:pos="863"/>
        </w:tabs>
        <w:spacing w:before="1"/>
        <w:ind w:left="862" w:hanging="361"/>
      </w:pPr>
      <w:r>
        <w:t>Governance</w:t>
      </w:r>
      <w:r>
        <w:rPr>
          <w:spacing w:val="-7"/>
        </w:rPr>
        <w:t xml:space="preserve"> </w:t>
      </w:r>
      <w:r>
        <w:t>charter,</w:t>
      </w:r>
      <w:r>
        <w:rPr>
          <w:spacing w:val="-6"/>
        </w:rPr>
        <w:t xml:space="preserve"> </w:t>
      </w:r>
      <w:r>
        <w:t>including</w:t>
      </w:r>
      <w:r>
        <w:rPr>
          <w:spacing w:val="-8"/>
        </w:rPr>
        <w:t xml:space="preserve"> </w:t>
      </w:r>
      <w:r>
        <w:t>the</w:t>
      </w:r>
      <w:r>
        <w:rPr>
          <w:spacing w:val="-7"/>
        </w:rPr>
        <w:t xml:space="preserve"> </w:t>
      </w:r>
      <w:r>
        <w:t>role</w:t>
      </w:r>
      <w:r>
        <w:rPr>
          <w:spacing w:val="-6"/>
        </w:rPr>
        <w:t xml:space="preserve"> </w:t>
      </w:r>
      <w:r>
        <w:t>of</w:t>
      </w:r>
      <w:r>
        <w:rPr>
          <w:spacing w:val="-7"/>
        </w:rPr>
        <w:t xml:space="preserve"> </w:t>
      </w:r>
      <w:r>
        <w:t>the</w:t>
      </w:r>
      <w:r>
        <w:rPr>
          <w:spacing w:val="-6"/>
        </w:rPr>
        <w:t xml:space="preserve"> </w:t>
      </w:r>
      <w:r>
        <w:t>Risk</w:t>
      </w:r>
      <w:r>
        <w:rPr>
          <w:spacing w:val="-8"/>
        </w:rPr>
        <w:t xml:space="preserve"> </w:t>
      </w:r>
      <w:r>
        <w:rPr>
          <w:spacing w:val="-2"/>
        </w:rPr>
        <w:t>Committee.</w:t>
      </w:r>
    </w:p>
    <w:p w14:paraId="66E15830" w14:textId="77777777" w:rsidR="00141B97" w:rsidRDefault="00911D63">
      <w:pPr>
        <w:pStyle w:val="ListParagraph"/>
        <w:numPr>
          <w:ilvl w:val="0"/>
          <w:numId w:val="97"/>
        </w:numPr>
        <w:tabs>
          <w:tab w:val="left" w:pos="862"/>
          <w:tab w:val="left" w:pos="863"/>
        </w:tabs>
        <w:ind w:left="862" w:hanging="361"/>
      </w:pPr>
      <w:r>
        <w:t>Risk</w:t>
      </w:r>
      <w:r>
        <w:rPr>
          <w:spacing w:val="-11"/>
        </w:rPr>
        <w:t xml:space="preserve"> </w:t>
      </w:r>
      <w:r>
        <w:t>Improvement</w:t>
      </w:r>
      <w:r>
        <w:rPr>
          <w:spacing w:val="-9"/>
        </w:rPr>
        <w:t xml:space="preserve"> </w:t>
      </w:r>
      <w:r>
        <w:rPr>
          <w:spacing w:val="-2"/>
        </w:rPr>
        <w:t>Plan.</w:t>
      </w:r>
    </w:p>
    <w:p w14:paraId="6E01230B" w14:textId="77777777" w:rsidR="00141B97" w:rsidRDefault="00911D63">
      <w:pPr>
        <w:pStyle w:val="BodyText"/>
        <w:spacing w:before="131" w:line="252" w:lineRule="auto"/>
        <w:ind w:left="153" w:right="318" w:hanging="1"/>
        <w:jc w:val="both"/>
      </w:pPr>
      <w:r>
        <w:t>Examples</w:t>
      </w:r>
      <w:r>
        <w:rPr>
          <w:spacing w:val="-2"/>
        </w:rPr>
        <w:t xml:space="preserve"> </w:t>
      </w:r>
      <w:r>
        <w:t>of</w:t>
      </w:r>
      <w:r>
        <w:rPr>
          <w:spacing w:val="-3"/>
        </w:rPr>
        <w:t xml:space="preserve"> </w:t>
      </w:r>
      <w:r>
        <w:t>the</w:t>
      </w:r>
      <w:r>
        <w:rPr>
          <w:spacing w:val="-2"/>
        </w:rPr>
        <w:t xml:space="preserve"> </w:t>
      </w:r>
      <w:r>
        <w:t>application</w:t>
      </w:r>
      <w:r>
        <w:rPr>
          <w:spacing w:val="-4"/>
        </w:rPr>
        <w:t xml:space="preserve"> </w:t>
      </w:r>
      <w:r>
        <w:t>of</w:t>
      </w:r>
      <w:r>
        <w:rPr>
          <w:spacing w:val="-2"/>
        </w:rPr>
        <w:t xml:space="preserve"> </w:t>
      </w:r>
      <w:r>
        <w:t>these</w:t>
      </w:r>
      <w:r>
        <w:rPr>
          <w:spacing w:val="-2"/>
        </w:rPr>
        <w:t xml:space="preserve"> </w:t>
      </w:r>
      <w:r>
        <w:t>approaches</w:t>
      </w:r>
      <w:r>
        <w:rPr>
          <w:spacing w:val="-2"/>
        </w:rPr>
        <w:t xml:space="preserve"> </w:t>
      </w:r>
      <w:r>
        <w:t>and</w:t>
      </w:r>
      <w:r>
        <w:rPr>
          <w:spacing w:val="-2"/>
        </w:rPr>
        <w:t xml:space="preserve"> </w:t>
      </w:r>
      <w:r>
        <w:t>processes</w:t>
      </w:r>
      <w:r>
        <w:rPr>
          <w:spacing w:val="-2"/>
        </w:rPr>
        <w:t xml:space="preserve"> </w:t>
      </w:r>
      <w:r>
        <w:t>to</w:t>
      </w:r>
      <w:r>
        <w:rPr>
          <w:spacing w:val="-2"/>
        </w:rPr>
        <w:t xml:space="preserve"> </w:t>
      </w:r>
      <w:r>
        <w:t>the</w:t>
      </w:r>
      <w:r>
        <w:rPr>
          <w:spacing w:val="-2"/>
        </w:rPr>
        <w:t xml:space="preserve"> </w:t>
      </w:r>
      <w:r>
        <w:t>development</w:t>
      </w:r>
      <w:r>
        <w:rPr>
          <w:spacing w:val="-2"/>
        </w:rPr>
        <w:t xml:space="preserve"> </w:t>
      </w:r>
      <w:r>
        <w:t>of</w:t>
      </w:r>
      <w:r>
        <w:rPr>
          <w:spacing w:val="-2"/>
        </w:rPr>
        <w:t xml:space="preserve"> </w:t>
      </w:r>
      <w:r>
        <w:t>the</w:t>
      </w:r>
      <w:r>
        <w:rPr>
          <w:spacing w:val="-2"/>
        </w:rPr>
        <w:t xml:space="preserve"> </w:t>
      </w:r>
      <w:r>
        <w:t>PS5</w:t>
      </w:r>
      <w:r>
        <w:rPr>
          <w:spacing w:val="-3"/>
        </w:rPr>
        <w:t xml:space="preserve"> </w:t>
      </w:r>
      <w:r>
        <w:t>submission</w:t>
      </w:r>
      <w:r>
        <w:rPr>
          <w:spacing w:val="-2"/>
        </w:rPr>
        <w:t xml:space="preserve"> </w:t>
      </w:r>
      <w:r>
        <w:t>are described briefly below.</w:t>
      </w:r>
    </w:p>
    <w:p w14:paraId="3CAA55A2" w14:textId="77777777" w:rsidR="00141B97" w:rsidRDefault="00141B97">
      <w:pPr>
        <w:pStyle w:val="BodyText"/>
        <w:spacing w:before="10"/>
        <w:rPr>
          <w:sz w:val="29"/>
        </w:rPr>
      </w:pPr>
    </w:p>
    <w:p w14:paraId="6DA3EC69" w14:textId="77777777" w:rsidR="00141B97" w:rsidRDefault="00911D63">
      <w:pPr>
        <w:pStyle w:val="Heading2"/>
        <w:numPr>
          <w:ilvl w:val="1"/>
          <w:numId w:val="113"/>
        </w:numPr>
        <w:tabs>
          <w:tab w:val="left" w:pos="1153"/>
        </w:tabs>
        <w:jc w:val="both"/>
      </w:pPr>
      <w:bookmarkStart w:id="25" w:name="_TOC_250002"/>
      <w:r>
        <w:rPr>
          <w:color w:val="009BAC"/>
        </w:rPr>
        <w:t>Risk</w:t>
      </w:r>
      <w:r>
        <w:rPr>
          <w:color w:val="009BAC"/>
          <w:spacing w:val="-11"/>
        </w:rPr>
        <w:t xml:space="preserve"> </w:t>
      </w:r>
      <w:r>
        <w:rPr>
          <w:color w:val="009BAC"/>
        </w:rPr>
        <w:t>Allocation</w:t>
      </w:r>
      <w:r>
        <w:rPr>
          <w:color w:val="009BAC"/>
          <w:spacing w:val="-11"/>
        </w:rPr>
        <w:t xml:space="preserve"> </w:t>
      </w:r>
      <w:bookmarkEnd w:id="25"/>
      <w:r>
        <w:rPr>
          <w:color w:val="009BAC"/>
          <w:spacing w:val="-2"/>
        </w:rPr>
        <w:t>Strategy</w:t>
      </w:r>
    </w:p>
    <w:p w14:paraId="44B159B4" w14:textId="77777777" w:rsidR="00141B97" w:rsidRDefault="00911D63">
      <w:pPr>
        <w:pStyle w:val="BodyText"/>
        <w:spacing w:before="121"/>
        <w:ind w:left="154" w:right="246" w:hanging="1"/>
        <w:jc w:val="both"/>
      </w:pPr>
      <w:r>
        <w:t>In</w:t>
      </w:r>
      <w:r>
        <w:rPr>
          <w:spacing w:val="-11"/>
        </w:rPr>
        <w:t xml:space="preserve"> </w:t>
      </w:r>
      <w:r>
        <w:t>determining</w:t>
      </w:r>
      <w:r>
        <w:rPr>
          <w:spacing w:val="-12"/>
        </w:rPr>
        <w:t xml:space="preserve"> </w:t>
      </w:r>
      <w:r>
        <w:t>risk</w:t>
      </w:r>
      <w:r>
        <w:rPr>
          <w:spacing w:val="-10"/>
        </w:rPr>
        <w:t xml:space="preserve"> </w:t>
      </w:r>
      <w:r>
        <w:t>strategies</w:t>
      </w:r>
      <w:r>
        <w:rPr>
          <w:spacing w:val="-10"/>
        </w:rPr>
        <w:t xml:space="preserve"> </w:t>
      </w:r>
      <w:r>
        <w:t>and</w:t>
      </w:r>
      <w:r>
        <w:rPr>
          <w:spacing w:val="-10"/>
        </w:rPr>
        <w:t xml:space="preserve"> </w:t>
      </w:r>
      <w:r>
        <w:t>mitigations,</w:t>
      </w:r>
      <w:r>
        <w:rPr>
          <w:spacing w:val="-11"/>
        </w:rPr>
        <w:t xml:space="preserve"> </w:t>
      </w:r>
      <w:r>
        <w:t>LMW</w:t>
      </w:r>
      <w:r>
        <w:rPr>
          <w:spacing w:val="-11"/>
        </w:rPr>
        <w:t xml:space="preserve"> </w:t>
      </w:r>
      <w:r>
        <w:t>applies</w:t>
      </w:r>
      <w:r>
        <w:rPr>
          <w:spacing w:val="-11"/>
        </w:rPr>
        <w:t xml:space="preserve"> </w:t>
      </w:r>
      <w:r>
        <w:t>the</w:t>
      </w:r>
      <w:r>
        <w:rPr>
          <w:spacing w:val="-11"/>
        </w:rPr>
        <w:t xml:space="preserve"> </w:t>
      </w:r>
      <w:r>
        <w:t>principles</w:t>
      </w:r>
      <w:r>
        <w:rPr>
          <w:spacing w:val="-10"/>
        </w:rPr>
        <w:t xml:space="preserve"> </w:t>
      </w:r>
      <w:r>
        <w:t>of</w:t>
      </w:r>
      <w:r>
        <w:rPr>
          <w:spacing w:val="-10"/>
        </w:rPr>
        <w:t xml:space="preserve"> </w:t>
      </w:r>
      <w:r>
        <w:t>allocating</w:t>
      </w:r>
      <w:r>
        <w:rPr>
          <w:spacing w:val="-11"/>
        </w:rPr>
        <w:t xml:space="preserve"> </w:t>
      </w:r>
      <w:r>
        <w:t>risk</w:t>
      </w:r>
      <w:r>
        <w:rPr>
          <w:spacing w:val="-11"/>
        </w:rPr>
        <w:t xml:space="preserve"> </w:t>
      </w:r>
      <w:r>
        <w:t>to</w:t>
      </w:r>
      <w:r>
        <w:rPr>
          <w:spacing w:val="-11"/>
        </w:rPr>
        <w:t xml:space="preserve"> </w:t>
      </w:r>
      <w:r>
        <w:t>the</w:t>
      </w:r>
      <w:r>
        <w:rPr>
          <w:spacing w:val="-11"/>
        </w:rPr>
        <w:t xml:space="preserve"> </w:t>
      </w:r>
      <w:r>
        <w:t>party</w:t>
      </w:r>
      <w:r>
        <w:rPr>
          <w:spacing w:val="-11"/>
        </w:rPr>
        <w:t xml:space="preserve"> </w:t>
      </w:r>
      <w:r>
        <w:t>best</w:t>
      </w:r>
      <w:r>
        <w:rPr>
          <w:spacing w:val="-9"/>
        </w:rPr>
        <w:t xml:space="preserve"> </w:t>
      </w:r>
      <w:r>
        <w:t>able to manage it, and generally protecting customers from carrying an unfair risk burden. Some examples of this approach in action are outlined below.</w:t>
      </w:r>
    </w:p>
    <w:p w14:paraId="62CB150C" w14:textId="77777777" w:rsidR="00141B97" w:rsidRDefault="00141B97">
      <w:pPr>
        <w:pStyle w:val="BodyText"/>
        <w:spacing w:before="8"/>
        <w:rPr>
          <w:sz w:val="19"/>
        </w:rPr>
      </w:pPr>
    </w:p>
    <w:p w14:paraId="23F35237" w14:textId="77777777" w:rsidR="00141B97" w:rsidRDefault="00911D63">
      <w:pPr>
        <w:pStyle w:val="ListParagraph"/>
        <w:numPr>
          <w:ilvl w:val="2"/>
          <w:numId w:val="113"/>
        </w:numPr>
        <w:tabs>
          <w:tab w:val="left" w:pos="1152"/>
          <w:tab w:val="left" w:pos="1153"/>
        </w:tabs>
        <w:jc w:val="both"/>
      </w:pPr>
      <w:r>
        <w:t>Management</w:t>
      </w:r>
      <w:r>
        <w:rPr>
          <w:spacing w:val="-8"/>
        </w:rPr>
        <w:t xml:space="preserve"> </w:t>
      </w:r>
      <w:r>
        <w:t>of</w:t>
      </w:r>
      <w:r>
        <w:rPr>
          <w:spacing w:val="-7"/>
        </w:rPr>
        <w:t xml:space="preserve"> </w:t>
      </w:r>
      <w:r>
        <w:t>Strategic</w:t>
      </w:r>
      <w:r>
        <w:rPr>
          <w:spacing w:val="-6"/>
        </w:rPr>
        <w:t xml:space="preserve"> </w:t>
      </w:r>
      <w:r>
        <w:rPr>
          <w:spacing w:val="-2"/>
        </w:rPr>
        <w:t>Risks</w:t>
      </w:r>
    </w:p>
    <w:p w14:paraId="48A5CE30" w14:textId="77777777" w:rsidR="00141B97" w:rsidRDefault="00911D63">
      <w:pPr>
        <w:pStyle w:val="BodyText"/>
        <w:spacing w:before="110" w:line="249" w:lineRule="auto"/>
        <w:ind w:left="154" w:right="247"/>
        <w:jc w:val="both"/>
      </w:pPr>
      <w:r>
        <w:t>LMW undertakes an annual review of its strategic risks as a part of its reporting obligations to DELWP. With a direct correlation to the development of the Strategic Plan, the identification of these strategic risks also supports</w:t>
      </w:r>
      <w:r>
        <w:rPr>
          <w:spacing w:val="-8"/>
        </w:rPr>
        <w:t xml:space="preserve"> </w:t>
      </w:r>
      <w:r>
        <w:t>the</w:t>
      </w:r>
      <w:r>
        <w:rPr>
          <w:spacing w:val="-7"/>
        </w:rPr>
        <w:t xml:space="preserve"> </w:t>
      </w:r>
      <w:r>
        <w:t>planning</w:t>
      </w:r>
      <w:r>
        <w:rPr>
          <w:spacing w:val="-7"/>
        </w:rPr>
        <w:t xml:space="preserve"> </w:t>
      </w:r>
      <w:r>
        <w:t>and</w:t>
      </w:r>
      <w:r>
        <w:rPr>
          <w:spacing w:val="-6"/>
        </w:rPr>
        <w:t xml:space="preserve"> </w:t>
      </w:r>
      <w:r>
        <w:t>development</w:t>
      </w:r>
      <w:r>
        <w:rPr>
          <w:spacing w:val="-6"/>
        </w:rPr>
        <w:t xml:space="preserve"> </w:t>
      </w:r>
      <w:r>
        <w:t>of</w:t>
      </w:r>
      <w:r>
        <w:rPr>
          <w:spacing w:val="-7"/>
        </w:rPr>
        <w:t xml:space="preserve"> </w:t>
      </w:r>
      <w:r>
        <w:t>the</w:t>
      </w:r>
      <w:r>
        <w:rPr>
          <w:spacing w:val="-9"/>
        </w:rPr>
        <w:t xml:space="preserve"> </w:t>
      </w:r>
      <w:r>
        <w:t>PS5</w:t>
      </w:r>
      <w:r>
        <w:rPr>
          <w:spacing w:val="-6"/>
        </w:rPr>
        <w:t xml:space="preserve"> </w:t>
      </w:r>
      <w:r>
        <w:t>capex</w:t>
      </w:r>
      <w:r>
        <w:rPr>
          <w:spacing w:val="-7"/>
        </w:rPr>
        <w:t xml:space="preserve"> </w:t>
      </w:r>
      <w:r>
        <w:t>and</w:t>
      </w:r>
      <w:r>
        <w:rPr>
          <w:spacing w:val="-7"/>
        </w:rPr>
        <w:t xml:space="preserve"> </w:t>
      </w:r>
      <w:r>
        <w:t>opex</w:t>
      </w:r>
      <w:r>
        <w:rPr>
          <w:spacing w:val="-6"/>
        </w:rPr>
        <w:t xml:space="preserve"> </w:t>
      </w:r>
      <w:r>
        <w:t>programs</w:t>
      </w:r>
      <w:r>
        <w:rPr>
          <w:spacing w:val="-7"/>
        </w:rPr>
        <w:t xml:space="preserve"> </w:t>
      </w:r>
      <w:r>
        <w:t>to</w:t>
      </w:r>
      <w:r>
        <w:rPr>
          <w:spacing w:val="-8"/>
        </w:rPr>
        <w:t xml:space="preserve"> </w:t>
      </w:r>
      <w:r>
        <w:t>address</w:t>
      </w:r>
      <w:r>
        <w:rPr>
          <w:spacing w:val="-7"/>
        </w:rPr>
        <w:t xml:space="preserve"> </w:t>
      </w:r>
      <w:r>
        <w:t>and</w:t>
      </w:r>
      <w:r>
        <w:rPr>
          <w:spacing w:val="-7"/>
        </w:rPr>
        <w:t xml:space="preserve"> </w:t>
      </w:r>
      <w:r>
        <w:t>mitigate</w:t>
      </w:r>
      <w:r>
        <w:rPr>
          <w:spacing w:val="-9"/>
        </w:rPr>
        <w:t xml:space="preserve"> </w:t>
      </w:r>
      <w:r>
        <w:t>the</w:t>
      </w:r>
      <w:r>
        <w:rPr>
          <w:spacing w:val="-7"/>
        </w:rPr>
        <w:t xml:space="preserve"> </w:t>
      </w:r>
      <w:r>
        <w:t>issues and impacts that these risks pose. Risk ‘owners’ are assigned based on who can most effectively manage the particular risk.</w:t>
      </w:r>
    </w:p>
    <w:p w14:paraId="1BE3E8D9" w14:textId="77777777" w:rsidR="00141B97" w:rsidRDefault="00141B97">
      <w:pPr>
        <w:pStyle w:val="BodyText"/>
        <w:spacing w:before="1"/>
        <w:rPr>
          <w:sz w:val="19"/>
        </w:rPr>
      </w:pPr>
    </w:p>
    <w:p w14:paraId="11688568" w14:textId="77777777" w:rsidR="00141B97" w:rsidRDefault="00911D63">
      <w:pPr>
        <w:pStyle w:val="ListParagraph"/>
        <w:numPr>
          <w:ilvl w:val="2"/>
          <w:numId w:val="113"/>
        </w:numPr>
        <w:tabs>
          <w:tab w:val="left" w:pos="1152"/>
          <w:tab w:val="left" w:pos="1153"/>
        </w:tabs>
        <w:spacing w:before="1"/>
        <w:jc w:val="both"/>
      </w:pPr>
      <w:r>
        <w:t>Managing</w:t>
      </w:r>
      <w:r>
        <w:rPr>
          <w:spacing w:val="-10"/>
        </w:rPr>
        <w:t xml:space="preserve"> </w:t>
      </w:r>
      <w:r>
        <w:t>Customer</w:t>
      </w:r>
      <w:r>
        <w:rPr>
          <w:spacing w:val="-8"/>
        </w:rPr>
        <w:t xml:space="preserve"> </w:t>
      </w:r>
      <w:r>
        <w:t>Service</w:t>
      </w:r>
      <w:r>
        <w:rPr>
          <w:spacing w:val="-9"/>
        </w:rPr>
        <w:t xml:space="preserve"> </w:t>
      </w:r>
      <w:r>
        <w:rPr>
          <w:spacing w:val="-4"/>
        </w:rPr>
        <w:t>Risk</w:t>
      </w:r>
    </w:p>
    <w:p w14:paraId="71D29F93" w14:textId="77777777" w:rsidR="00141B97" w:rsidRDefault="00911D63">
      <w:pPr>
        <w:pStyle w:val="BodyText"/>
        <w:spacing w:before="111" w:line="249" w:lineRule="auto"/>
        <w:ind w:left="154" w:right="246"/>
        <w:jc w:val="both"/>
      </w:pPr>
      <w:r>
        <w:t>LMW has embarked on a reform program to increasingly align management effort, resources, and culture to customer service. Business transformation programs including major upgrades to LMW’s billing and finance systems, and implementation of an end‐to‐end Customer Relationship Management system, are key strategic responses</w:t>
      </w:r>
      <w:r>
        <w:rPr>
          <w:spacing w:val="25"/>
        </w:rPr>
        <w:t xml:space="preserve"> </w:t>
      </w:r>
      <w:r>
        <w:t>to</w:t>
      </w:r>
      <w:r>
        <w:rPr>
          <w:spacing w:val="24"/>
        </w:rPr>
        <w:t xml:space="preserve"> </w:t>
      </w:r>
      <w:r>
        <w:t>customer</w:t>
      </w:r>
      <w:r>
        <w:rPr>
          <w:spacing w:val="26"/>
        </w:rPr>
        <w:t xml:space="preserve"> </w:t>
      </w:r>
      <w:r>
        <w:t>feedback</w:t>
      </w:r>
      <w:r>
        <w:rPr>
          <w:spacing w:val="25"/>
        </w:rPr>
        <w:t xml:space="preserve"> </w:t>
      </w:r>
      <w:r>
        <w:t>regarding</w:t>
      </w:r>
      <w:r>
        <w:rPr>
          <w:spacing w:val="25"/>
        </w:rPr>
        <w:t xml:space="preserve"> </w:t>
      </w:r>
      <w:r>
        <w:t>LMW’s</w:t>
      </w:r>
      <w:r>
        <w:rPr>
          <w:spacing w:val="25"/>
        </w:rPr>
        <w:t xml:space="preserve"> </w:t>
      </w:r>
      <w:r>
        <w:t>customer</w:t>
      </w:r>
      <w:r>
        <w:rPr>
          <w:spacing w:val="26"/>
        </w:rPr>
        <w:t xml:space="preserve"> </w:t>
      </w:r>
      <w:r>
        <w:t>relationship</w:t>
      </w:r>
      <w:r>
        <w:rPr>
          <w:spacing w:val="23"/>
        </w:rPr>
        <w:t xml:space="preserve"> </w:t>
      </w:r>
      <w:r>
        <w:t>management,</w:t>
      </w:r>
      <w:r>
        <w:rPr>
          <w:spacing w:val="25"/>
        </w:rPr>
        <w:t xml:space="preserve"> </w:t>
      </w:r>
      <w:r>
        <w:t>response</w:t>
      </w:r>
      <w:r>
        <w:rPr>
          <w:spacing w:val="24"/>
        </w:rPr>
        <w:t xml:space="preserve"> </w:t>
      </w:r>
      <w:r>
        <w:t>times</w:t>
      </w:r>
      <w:r>
        <w:rPr>
          <w:spacing w:val="24"/>
        </w:rPr>
        <w:t xml:space="preserve"> </w:t>
      </w:r>
      <w:r>
        <w:t>and</w:t>
      </w:r>
    </w:p>
    <w:p w14:paraId="3840BE78" w14:textId="260324D6" w:rsidR="00141B97" w:rsidRDefault="00911D63">
      <w:pPr>
        <w:pStyle w:val="BodyText"/>
        <w:spacing w:before="11"/>
        <w:rPr>
          <w:sz w:val="16"/>
        </w:rPr>
      </w:pPr>
      <w:r>
        <w:rPr>
          <w:noProof/>
        </w:rPr>
        <mc:AlternateContent>
          <mc:Choice Requires="wps">
            <w:drawing>
              <wp:anchor distT="0" distB="0" distL="0" distR="0" simplePos="0" relativeHeight="487604736" behindDoc="1" locked="0" layoutInCell="1" allowOverlap="1" wp14:anchorId="11A0A370" wp14:editId="6D851853">
                <wp:simplePos x="0" y="0"/>
                <wp:positionH relativeFrom="page">
                  <wp:posOffset>720090</wp:posOffset>
                </wp:positionH>
                <wp:positionV relativeFrom="paragraph">
                  <wp:posOffset>146685</wp:posOffset>
                </wp:positionV>
                <wp:extent cx="1828800" cy="6350"/>
                <wp:effectExtent l="0" t="0" r="0" b="0"/>
                <wp:wrapTopAndBottom/>
                <wp:docPr id="31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A2195" id="docshape98" o:spid="_x0000_s1026" style="position:absolute;margin-left:56.7pt;margin-top:11.55pt;width:2in;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" fillcolor="black" stroked="f">
                <w10:wrap type="topAndBottom" anchorx="page"/>
              </v:rect>
            </w:pict>
          </mc:Fallback>
        </mc:AlternateContent>
      </w:r>
    </w:p>
    <w:p w14:paraId="26D7C302" w14:textId="77777777" w:rsidR="00141B97" w:rsidRDefault="00911D63">
      <w:pPr>
        <w:spacing w:before="85"/>
        <w:ind w:left="154"/>
        <w:rPr>
          <w:sz w:val="14"/>
        </w:rPr>
      </w:pPr>
      <w:r>
        <w:rPr>
          <w:position w:val="4"/>
          <w:sz w:val="9"/>
        </w:rPr>
        <w:t>10</w:t>
      </w:r>
      <w:r>
        <w:rPr>
          <w:spacing w:val="5"/>
          <w:position w:val="4"/>
          <w:sz w:val="9"/>
        </w:rPr>
        <w:t xml:space="preserve"> </w:t>
      </w:r>
      <w:r>
        <w:rPr>
          <w:sz w:val="14"/>
        </w:rPr>
        <w:t>LMW</w:t>
      </w:r>
      <w:r>
        <w:rPr>
          <w:spacing w:val="-3"/>
          <w:sz w:val="14"/>
        </w:rPr>
        <w:t xml:space="preserve"> </w:t>
      </w:r>
      <w:r>
        <w:rPr>
          <w:sz w:val="14"/>
        </w:rPr>
        <w:t>Price</w:t>
      </w:r>
      <w:r>
        <w:rPr>
          <w:spacing w:val="-4"/>
          <w:sz w:val="14"/>
        </w:rPr>
        <w:t xml:space="preserve"> </w:t>
      </w:r>
      <w:r>
        <w:rPr>
          <w:sz w:val="14"/>
        </w:rPr>
        <w:t>Submission</w:t>
      </w:r>
      <w:r>
        <w:rPr>
          <w:spacing w:val="-3"/>
          <w:sz w:val="14"/>
        </w:rPr>
        <w:t xml:space="preserve"> </w:t>
      </w:r>
      <w:r>
        <w:rPr>
          <w:sz w:val="14"/>
        </w:rPr>
        <w:t>2023‐28,</w:t>
      </w:r>
      <w:r>
        <w:rPr>
          <w:spacing w:val="-4"/>
          <w:sz w:val="14"/>
        </w:rPr>
        <w:t xml:space="preserve"> </w:t>
      </w:r>
      <w:r>
        <w:rPr>
          <w:sz w:val="14"/>
        </w:rPr>
        <w:t>Risk</w:t>
      </w:r>
      <w:r>
        <w:rPr>
          <w:spacing w:val="-3"/>
          <w:sz w:val="14"/>
        </w:rPr>
        <w:t xml:space="preserve"> </w:t>
      </w:r>
      <w:r>
        <w:rPr>
          <w:sz w:val="14"/>
        </w:rPr>
        <w:t>Management</w:t>
      </w:r>
      <w:r>
        <w:rPr>
          <w:spacing w:val="-4"/>
          <w:sz w:val="14"/>
        </w:rPr>
        <w:t xml:space="preserve"> </w:t>
      </w:r>
      <w:r>
        <w:rPr>
          <w:sz w:val="14"/>
        </w:rPr>
        <w:t>and</w:t>
      </w:r>
      <w:r>
        <w:rPr>
          <w:spacing w:val="-3"/>
          <w:sz w:val="14"/>
        </w:rPr>
        <w:t xml:space="preserve"> </w:t>
      </w:r>
      <w:r>
        <w:rPr>
          <w:sz w:val="14"/>
        </w:rPr>
        <w:t>Allocation</w:t>
      </w:r>
      <w:r>
        <w:rPr>
          <w:spacing w:val="-4"/>
          <w:sz w:val="14"/>
        </w:rPr>
        <w:t xml:space="preserve"> </w:t>
      </w:r>
      <w:r>
        <w:rPr>
          <w:sz w:val="14"/>
        </w:rPr>
        <w:t>–</w:t>
      </w:r>
      <w:r>
        <w:rPr>
          <w:spacing w:val="-3"/>
          <w:sz w:val="14"/>
        </w:rPr>
        <w:t xml:space="preserve"> </w:t>
      </w:r>
      <w:r>
        <w:rPr>
          <w:sz w:val="14"/>
        </w:rPr>
        <w:t>Urban</w:t>
      </w:r>
      <w:r>
        <w:rPr>
          <w:spacing w:val="-4"/>
          <w:sz w:val="14"/>
        </w:rPr>
        <w:t xml:space="preserve"> </w:t>
      </w:r>
      <w:r>
        <w:rPr>
          <w:sz w:val="14"/>
        </w:rPr>
        <w:t>and</w:t>
      </w:r>
      <w:r>
        <w:rPr>
          <w:spacing w:val="-3"/>
          <w:sz w:val="14"/>
        </w:rPr>
        <w:t xml:space="preserve"> </w:t>
      </w:r>
      <w:r>
        <w:rPr>
          <w:spacing w:val="-2"/>
          <w:sz w:val="14"/>
        </w:rPr>
        <w:t>Rural</w:t>
      </w:r>
    </w:p>
    <w:p w14:paraId="3E60ED28" w14:textId="77777777" w:rsidR="00141B97" w:rsidRDefault="00141B97">
      <w:pPr>
        <w:rPr>
          <w:sz w:val="14"/>
        </w:rPr>
        <w:sectPr w:rsidR="00141B97">
          <w:pgSz w:w="11910" w:h="16840"/>
          <w:pgMar w:top="860" w:right="740" w:bottom="1120" w:left="980" w:header="0" w:footer="896" w:gutter="0"/>
          <w:cols w:space="720"/>
        </w:sectPr>
      </w:pPr>
    </w:p>
    <w:p w14:paraId="2776F1AC" w14:textId="77777777" w:rsidR="00141B97" w:rsidRDefault="00911D63">
      <w:pPr>
        <w:pStyle w:val="BodyText"/>
        <w:spacing w:before="42" w:line="252" w:lineRule="auto"/>
        <w:ind w:left="153" w:right="249"/>
        <w:jc w:val="both"/>
      </w:pPr>
      <w:r>
        <w:lastRenderedPageBreak/>
        <w:t>their aspirations for a more digitally based customer experience. Although not specifically risk‐related, these initiatives complement LMW’s customer‐centric approach to equitably allocating risk to its customers.</w:t>
      </w:r>
    </w:p>
    <w:p w14:paraId="19221AAB" w14:textId="77777777" w:rsidR="00141B97" w:rsidRDefault="00141B97">
      <w:pPr>
        <w:pStyle w:val="BodyText"/>
        <w:spacing w:before="6"/>
        <w:rPr>
          <w:sz w:val="18"/>
        </w:rPr>
      </w:pPr>
    </w:p>
    <w:p w14:paraId="4C65DB07" w14:textId="77777777" w:rsidR="00141B97" w:rsidRDefault="00911D63">
      <w:pPr>
        <w:pStyle w:val="ListParagraph"/>
        <w:numPr>
          <w:ilvl w:val="2"/>
          <w:numId w:val="113"/>
        </w:numPr>
        <w:tabs>
          <w:tab w:val="left" w:pos="1152"/>
          <w:tab w:val="left" w:pos="1153"/>
        </w:tabs>
        <w:ind w:hanging="1000"/>
        <w:jc w:val="both"/>
      </w:pPr>
      <w:r>
        <w:t>Managing</w:t>
      </w:r>
      <w:r>
        <w:rPr>
          <w:spacing w:val="-8"/>
        </w:rPr>
        <w:t xml:space="preserve"> </w:t>
      </w:r>
      <w:r>
        <w:t>Uncertainty</w:t>
      </w:r>
      <w:r>
        <w:rPr>
          <w:spacing w:val="-8"/>
        </w:rPr>
        <w:t xml:space="preserve"> </w:t>
      </w:r>
      <w:r>
        <w:t>in</w:t>
      </w:r>
      <w:r>
        <w:rPr>
          <w:spacing w:val="-8"/>
        </w:rPr>
        <w:t xml:space="preserve"> </w:t>
      </w:r>
      <w:r>
        <w:t>Planning</w:t>
      </w:r>
      <w:r>
        <w:rPr>
          <w:spacing w:val="-8"/>
        </w:rPr>
        <w:t xml:space="preserve"> </w:t>
      </w:r>
      <w:r>
        <w:t>Capital</w:t>
      </w:r>
      <w:r>
        <w:rPr>
          <w:spacing w:val="-8"/>
        </w:rPr>
        <w:t xml:space="preserve"> </w:t>
      </w:r>
      <w:r>
        <w:rPr>
          <w:spacing w:val="-2"/>
        </w:rPr>
        <w:t>Infrastructure</w:t>
      </w:r>
    </w:p>
    <w:p w14:paraId="7A906B43" w14:textId="77777777" w:rsidR="00141B97" w:rsidRDefault="00911D63">
      <w:pPr>
        <w:pStyle w:val="BodyText"/>
        <w:spacing w:before="100" w:line="259" w:lineRule="auto"/>
        <w:ind w:left="153" w:right="246" w:hanging="1"/>
        <w:jc w:val="both"/>
      </w:pPr>
      <w:r>
        <w:t>Uncertainty in capital projects and programs represents a major potential source of risk to LMW customers, with implications for both costs and service delivery. LMW has adopted a two‐part approach to managing uncertain projects. Where possible, projects with uncertain timing towards the end of the PS5 forecast period have</w:t>
      </w:r>
      <w:r>
        <w:rPr>
          <w:spacing w:val="-13"/>
        </w:rPr>
        <w:t xml:space="preserve"> </w:t>
      </w:r>
      <w:r>
        <w:t>been</w:t>
      </w:r>
      <w:r>
        <w:rPr>
          <w:spacing w:val="-12"/>
        </w:rPr>
        <w:t xml:space="preserve"> </w:t>
      </w:r>
      <w:r>
        <w:t>delayed</w:t>
      </w:r>
      <w:r>
        <w:rPr>
          <w:spacing w:val="-11"/>
        </w:rPr>
        <w:t xml:space="preserve"> </w:t>
      </w:r>
      <w:r>
        <w:t>until</w:t>
      </w:r>
      <w:r>
        <w:rPr>
          <w:spacing w:val="-11"/>
        </w:rPr>
        <w:t xml:space="preserve"> </w:t>
      </w:r>
      <w:r>
        <w:t>the</w:t>
      </w:r>
      <w:r>
        <w:rPr>
          <w:spacing w:val="-11"/>
        </w:rPr>
        <w:t xml:space="preserve"> </w:t>
      </w:r>
      <w:r>
        <w:t>next</w:t>
      </w:r>
      <w:r>
        <w:rPr>
          <w:spacing w:val="-11"/>
        </w:rPr>
        <w:t xml:space="preserve"> </w:t>
      </w:r>
      <w:r>
        <w:t>period</w:t>
      </w:r>
      <w:r>
        <w:rPr>
          <w:spacing w:val="-12"/>
        </w:rPr>
        <w:t xml:space="preserve"> </w:t>
      </w:r>
      <w:r>
        <w:t>(PS6).</w:t>
      </w:r>
      <w:r>
        <w:rPr>
          <w:spacing w:val="-12"/>
        </w:rPr>
        <w:t xml:space="preserve"> </w:t>
      </w:r>
      <w:r>
        <w:t>Should</w:t>
      </w:r>
      <w:r>
        <w:rPr>
          <w:spacing w:val="-12"/>
        </w:rPr>
        <w:t xml:space="preserve"> </w:t>
      </w:r>
      <w:r>
        <w:t>the</w:t>
      </w:r>
      <w:r>
        <w:rPr>
          <w:spacing w:val="-12"/>
        </w:rPr>
        <w:t xml:space="preserve"> </w:t>
      </w:r>
      <w:r>
        <w:t>projects</w:t>
      </w:r>
      <w:r>
        <w:rPr>
          <w:spacing w:val="-10"/>
        </w:rPr>
        <w:t xml:space="preserve"> </w:t>
      </w:r>
      <w:r>
        <w:t>be</w:t>
      </w:r>
      <w:r>
        <w:rPr>
          <w:spacing w:val="-12"/>
        </w:rPr>
        <w:t xml:space="preserve"> </w:t>
      </w:r>
      <w:r>
        <w:t>required</w:t>
      </w:r>
      <w:r>
        <w:rPr>
          <w:spacing w:val="-12"/>
        </w:rPr>
        <w:t xml:space="preserve"> </w:t>
      </w:r>
      <w:r>
        <w:t>during</w:t>
      </w:r>
      <w:r>
        <w:rPr>
          <w:spacing w:val="-12"/>
        </w:rPr>
        <w:t xml:space="preserve"> </w:t>
      </w:r>
      <w:r>
        <w:t>the</w:t>
      </w:r>
      <w:r>
        <w:rPr>
          <w:spacing w:val="-11"/>
        </w:rPr>
        <w:t xml:space="preserve"> </w:t>
      </w:r>
      <w:r>
        <w:t>PS5</w:t>
      </w:r>
      <w:r>
        <w:rPr>
          <w:spacing w:val="-11"/>
        </w:rPr>
        <w:t xml:space="preserve"> </w:t>
      </w:r>
      <w:r>
        <w:t>period</w:t>
      </w:r>
      <w:r>
        <w:rPr>
          <w:spacing w:val="-11"/>
        </w:rPr>
        <w:t xml:space="preserve"> </w:t>
      </w:r>
      <w:r>
        <w:t>to</w:t>
      </w:r>
      <w:r>
        <w:rPr>
          <w:spacing w:val="-11"/>
        </w:rPr>
        <w:t xml:space="preserve"> </w:t>
      </w:r>
      <w:r>
        <w:t>maintain customer service levels (eg. if growth accelerates above forecast or new development fronts are approved), LMW</w:t>
      </w:r>
      <w:r>
        <w:rPr>
          <w:spacing w:val="-1"/>
        </w:rPr>
        <w:t xml:space="preserve"> </w:t>
      </w:r>
      <w:r>
        <w:t>will prioritise</w:t>
      </w:r>
      <w:r>
        <w:rPr>
          <w:spacing w:val="-1"/>
        </w:rPr>
        <w:t xml:space="preserve"> </w:t>
      </w:r>
      <w:r>
        <w:t>the existing</w:t>
      </w:r>
      <w:r>
        <w:rPr>
          <w:spacing w:val="-1"/>
        </w:rPr>
        <w:t xml:space="preserve"> </w:t>
      </w:r>
      <w:r>
        <w:t>capital works</w:t>
      </w:r>
      <w:r>
        <w:rPr>
          <w:spacing w:val="-1"/>
        </w:rPr>
        <w:t xml:space="preserve"> </w:t>
      </w:r>
      <w:r>
        <w:t>plan to identify</w:t>
      </w:r>
      <w:r>
        <w:rPr>
          <w:spacing w:val="-1"/>
        </w:rPr>
        <w:t xml:space="preserve"> </w:t>
      </w:r>
      <w:r>
        <w:t>projects that can be delayed or fund the</w:t>
      </w:r>
      <w:r>
        <w:rPr>
          <w:spacing w:val="-1"/>
        </w:rPr>
        <w:t xml:space="preserve"> </w:t>
      </w:r>
      <w:r>
        <w:t>required investment and recover their prudent and efficient costs in the next price period.</w:t>
      </w:r>
    </w:p>
    <w:p w14:paraId="116FF3BC" w14:textId="77777777" w:rsidR="00141B97" w:rsidRDefault="00911D63">
      <w:pPr>
        <w:pStyle w:val="BodyText"/>
        <w:spacing w:before="158" w:line="259" w:lineRule="auto"/>
        <w:ind w:left="153" w:right="247" w:hanging="1"/>
        <w:jc w:val="both"/>
      </w:pPr>
      <w:r>
        <w:t>Where projects cannot be delayed until PS6, but uncertainty is related to timing, scope or cost, a reasonable assessment of the project cost has been included within PS5 with any additional costs to be recovered in the next price period. To avoid “carrying forward” a bow wave of additional capital investment into PS6 these projects are clearly identified. With respect to managing risks associated with capital projects more broadly, LMW</w:t>
      </w:r>
      <w:r>
        <w:rPr>
          <w:spacing w:val="-13"/>
        </w:rPr>
        <w:t xml:space="preserve"> </w:t>
      </w:r>
      <w:r>
        <w:t>applies</w:t>
      </w:r>
      <w:r>
        <w:rPr>
          <w:spacing w:val="-12"/>
        </w:rPr>
        <w:t xml:space="preserve"> </w:t>
      </w:r>
      <w:r>
        <w:t>a</w:t>
      </w:r>
      <w:r>
        <w:rPr>
          <w:spacing w:val="-13"/>
        </w:rPr>
        <w:t xml:space="preserve"> </w:t>
      </w:r>
      <w:r>
        <w:t>range</w:t>
      </w:r>
      <w:r>
        <w:rPr>
          <w:spacing w:val="-12"/>
        </w:rPr>
        <w:t xml:space="preserve"> </w:t>
      </w:r>
      <w:r>
        <w:t>of</w:t>
      </w:r>
      <w:r>
        <w:rPr>
          <w:spacing w:val="-13"/>
        </w:rPr>
        <w:t xml:space="preserve"> </w:t>
      </w:r>
      <w:r>
        <w:t>techniques</w:t>
      </w:r>
      <w:r>
        <w:rPr>
          <w:spacing w:val="-12"/>
        </w:rPr>
        <w:t xml:space="preserve"> </w:t>
      </w:r>
      <w:r>
        <w:t>to</w:t>
      </w:r>
      <w:r>
        <w:rPr>
          <w:spacing w:val="-13"/>
        </w:rPr>
        <w:t xml:space="preserve"> </w:t>
      </w:r>
      <w:r>
        <w:t>reduce</w:t>
      </w:r>
      <w:r>
        <w:rPr>
          <w:spacing w:val="-12"/>
        </w:rPr>
        <w:t xml:space="preserve"> </w:t>
      </w:r>
      <w:r>
        <w:t>and</w:t>
      </w:r>
      <w:r>
        <w:rPr>
          <w:spacing w:val="-12"/>
        </w:rPr>
        <w:t xml:space="preserve"> </w:t>
      </w:r>
      <w:r>
        <w:t>manage</w:t>
      </w:r>
      <w:r>
        <w:rPr>
          <w:spacing w:val="-13"/>
        </w:rPr>
        <w:t xml:space="preserve"> </w:t>
      </w:r>
      <w:r>
        <w:t>uncertainty,</w:t>
      </w:r>
      <w:r>
        <w:rPr>
          <w:spacing w:val="-12"/>
        </w:rPr>
        <w:t xml:space="preserve"> </w:t>
      </w:r>
      <w:r>
        <w:t>as</w:t>
      </w:r>
      <w:r>
        <w:rPr>
          <w:spacing w:val="-13"/>
        </w:rPr>
        <w:t xml:space="preserve"> </w:t>
      </w:r>
      <w:r>
        <w:t>illustrated</w:t>
      </w:r>
      <w:r>
        <w:rPr>
          <w:spacing w:val="-12"/>
        </w:rPr>
        <w:t xml:space="preserve"> </w:t>
      </w:r>
      <w:r>
        <w:t>in</w:t>
      </w:r>
      <w:r>
        <w:rPr>
          <w:spacing w:val="-13"/>
        </w:rPr>
        <w:t xml:space="preserve"> </w:t>
      </w:r>
      <w:r>
        <w:t>the</w:t>
      </w:r>
      <w:r>
        <w:rPr>
          <w:spacing w:val="-12"/>
        </w:rPr>
        <w:t xml:space="preserve"> </w:t>
      </w:r>
      <w:r>
        <w:t>examples</w:t>
      </w:r>
      <w:r>
        <w:rPr>
          <w:spacing w:val="-12"/>
        </w:rPr>
        <w:t xml:space="preserve"> </w:t>
      </w:r>
      <w:r>
        <w:t>in</w:t>
      </w:r>
      <w:r>
        <w:rPr>
          <w:spacing w:val="-13"/>
        </w:rPr>
        <w:t xml:space="preserve"> </w:t>
      </w:r>
      <w:r>
        <w:t xml:space="preserve">following </w:t>
      </w:r>
      <w:r>
        <w:rPr>
          <w:spacing w:val="-2"/>
        </w:rPr>
        <w:t>section.</w:t>
      </w:r>
    </w:p>
    <w:p w14:paraId="0EE639A8" w14:textId="77777777" w:rsidR="00141B97" w:rsidRDefault="00141B97">
      <w:pPr>
        <w:pStyle w:val="BodyText"/>
        <w:rPr>
          <w:sz w:val="31"/>
        </w:rPr>
      </w:pPr>
    </w:p>
    <w:p w14:paraId="313EAB03" w14:textId="77777777" w:rsidR="00141B97" w:rsidRDefault="00911D63">
      <w:pPr>
        <w:pStyle w:val="Heading2"/>
        <w:numPr>
          <w:ilvl w:val="1"/>
          <w:numId w:val="113"/>
        </w:numPr>
        <w:tabs>
          <w:tab w:val="left" w:pos="1153"/>
        </w:tabs>
        <w:jc w:val="both"/>
      </w:pPr>
      <w:bookmarkStart w:id="26" w:name="_TOC_250001"/>
      <w:r>
        <w:rPr>
          <w:color w:val="009BAC"/>
        </w:rPr>
        <w:t>Mechanisms</w:t>
      </w:r>
      <w:r>
        <w:rPr>
          <w:color w:val="009BAC"/>
          <w:spacing w:val="-9"/>
        </w:rPr>
        <w:t xml:space="preserve"> </w:t>
      </w:r>
      <w:r>
        <w:rPr>
          <w:color w:val="009BAC"/>
        </w:rPr>
        <w:t>Used</w:t>
      </w:r>
      <w:r>
        <w:rPr>
          <w:color w:val="009BAC"/>
          <w:spacing w:val="-8"/>
        </w:rPr>
        <w:t xml:space="preserve"> </w:t>
      </w:r>
      <w:r>
        <w:rPr>
          <w:color w:val="009BAC"/>
        </w:rPr>
        <w:t>to</w:t>
      </w:r>
      <w:r>
        <w:rPr>
          <w:color w:val="009BAC"/>
          <w:spacing w:val="-7"/>
        </w:rPr>
        <w:t xml:space="preserve"> </w:t>
      </w:r>
      <w:r>
        <w:rPr>
          <w:color w:val="009BAC"/>
        </w:rPr>
        <w:t>Manage</w:t>
      </w:r>
      <w:r>
        <w:rPr>
          <w:color w:val="009BAC"/>
          <w:spacing w:val="-8"/>
        </w:rPr>
        <w:t xml:space="preserve"> </w:t>
      </w:r>
      <w:bookmarkEnd w:id="26"/>
      <w:r>
        <w:rPr>
          <w:color w:val="009BAC"/>
          <w:spacing w:val="-4"/>
        </w:rPr>
        <w:t>Risk</w:t>
      </w:r>
    </w:p>
    <w:p w14:paraId="4C3368C8" w14:textId="77777777" w:rsidR="00141B97" w:rsidRDefault="00911D63">
      <w:pPr>
        <w:pStyle w:val="BodyText"/>
        <w:spacing w:before="120"/>
        <w:ind w:left="153" w:right="247"/>
        <w:jc w:val="both"/>
      </w:pPr>
      <w:r>
        <w:t>LMW has developed position papers on each element of the price submission, and a total of six progressive price path papers for both urban and rural businesses, for review and decision by the Finance and Audit Committee on behalf of the Board. Risks and risk allocation have been considered in each case, and in some cases the Board has provided prior direction on its risk appetite. For example:</w:t>
      </w:r>
    </w:p>
    <w:p w14:paraId="6B47A090" w14:textId="77777777" w:rsidR="00141B97" w:rsidRDefault="00911D63">
      <w:pPr>
        <w:pStyle w:val="ListParagraph"/>
        <w:numPr>
          <w:ilvl w:val="0"/>
          <w:numId w:val="96"/>
        </w:numPr>
        <w:tabs>
          <w:tab w:val="left" w:pos="874"/>
        </w:tabs>
        <w:ind w:right="247" w:hanging="361"/>
        <w:jc w:val="both"/>
      </w:pPr>
      <w:r>
        <w:t>The regulatory period was confirmed as five years, balancing the significant costs and resource needs of preparing price submissions with the risk of increased planning and forecasting uncertainties over longer regulatory periods.</w:t>
      </w:r>
    </w:p>
    <w:p w14:paraId="35E7A156" w14:textId="77777777" w:rsidR="00141B97" w:rsidRDefault="00911D63">
      <w:pPr>
        <w:pStyle w:val="ListParagraph"/>
        <w:numPr>
          <w:ilvl w:val="0"/>
          <w:numId w:val="96"/>
        </w:numPr>
        <w:tabs>
          <w:tab w:val="left" w:pos="874"/>
        </w:tabs>
        <w:spacing w:before="1"/>
        <w:ind w:right="248" w:hanging="361"/>
        <w:jc w:val="both"/>
      </w:pPr>
      <w:r>
        <w:t xml:space="preserve">The capital planning and forecasting framework has been updated to extend considerations of risk in scoping, cost estimating and risk allowances, dealing with uncertain projects, and program </w:t>
      </w:r>
      <w:r>
        <w:rPr>
          <w:spacing w:val="-2"/>
        </w:rPr>
        <w:t>prioritisation.</w:t>
      </w:r>
    </w:p>
    <w:p w14:paraId="12251ECF" w14:textId="77777777" w:rsidR="00141B97" w:rsidRDefault="00911D63">
      <w:pPr>
        <w:pStyle w:val="ListParagraph"/>
        <w:numPr>
          <w:ilvl w:val="0"/>
          <w:numId w:val="96"/>
        </w:numPr>
        <w:tabs>
          <w:tab w:val="left" w:pos="875"/>
        </w:tabs>
        <w:ind w:left="873" w:right="247"/>
        <w:jc w:val="both"/>
      </w:pPr>
      <w:r>
        <w:t>The draft form of price control has been determined as a price cap tariff basket for urban water prices and a revenue cap for rural prices, pending customer feedback.</w:t>
      </w:r>
    </w:p>
    <w:p w14:paraId="351BB860" w14:textId="77777777" w:rsidR="00141B97" w:rsidRDefault="00911D63">
      <w:pPr>
        <w:pStyle w:val="ListParagraph"/>
        <w:numPr>
          <w:ilvl w:val="0"/>
          <w:numId w:val="96"/>
        </w:numPr>
        <w:tabs>
          <w:tab w:val="left" w:pos="874"/>
        </w:tabs>
        <w:ind w:left="873" w:right="246"/>
        <w:jc w:val="both"/>
      </w:pPr>
      <w:r>
        <w:t xml:space="preserve">Removal of the electricity adjustment mechanism that applied during PS4, due to reduced volatility of prices in the energy market. This is a result of LMW entering into Victorian Government Purchasing Board energy contracts for large and small sites, which is a different approach to PS4’s purchasing </w:t>
      </w:r>
      <w:r>
        <w:rPr>
          <w:spacing w:val="-2"/>
        </w:rPr>
        <w:t>strategy.</w:t>
      </w:r>
    </w:p>
    <w:p w14:paraId="037D182A" w14:textId="77777777" w:rsidR="00141B97" w:rsidRDefault="00911D63">
      <w:pPr>
        <w:pStyle w:val="ListParagraph"/>
        <w:numPr>
          <w:ilvl w:val="0"/>
          <w:numId w:val="96"/>
        </w:numPr>
        <w:tabs>
          <w:tab w:val="left" w:pos="875"/>
        </w:tabs>
        <w:ind w:right="247" w:hanging="361"/>
        <w:jc w:val="both"/>
      </w:pPr>
      <w:r>
        <w:t>As part of each business case, all major projects have also been considered in terms of their options, cost estimate (using the Office of Projects Victoria risk‐based estimating guide), timing and risk allocation, to deliver the</w:t>
      </w:r>
      <w:r>
        <w:rPr>
          <w:spacing w:val="-1"/>
        </w:rPr>
        <w:t xml:space="preserve"> </w:t>
      </w:r>
      <w:r>
        <w:t>most appropriate balance between customer service outcome, risk, and cost.</w:t>
      </w:r>
    </w:p>
    <w:p w14:paraId="7114BC33" w14:textId="77777777" w:rsidR="00141B97" w:rsidRDefault="00141B97">
      <w:pPr>
        <w:pStyle w:val="BodyText"/>
        <w:spacing w:before="11"/>
        <w:rPr>
          <w:sz w:val="21"/>
        </w:rPr>
      </w:pPr>
    </w:p>
    <w:p w14:paraId="4384F287" w14:textId="77777777" w:rsidR="00141B97" w:rsidRDefault="00911D63">
      <w:pPr>
        <w:pStyle w:val="BodyText"/>
        <w:ind w:left="153" w:right="247"/>
        <w:jc w:val="both"/>
      </w:pPr>
      <w:r>
        <w:t>Table A6 provides examples of the risk mitigation strategies and the proposed apportionment of risk between LMW and customers, for a selection of risk types outlined by the ESC in its Guidance Paper.</w:t>
      </w:r>
    </w:p>
    <w:p w14:paraId="5E590493" w14:textId="77777777" w:rsidR="00141B97" w:rsidRDefault="00141B97">
      <w:pPr>
        <w:jc w:val="both"/>
        <w:sectPr w:rsidR="00141B97">
          <w:pgSz w:w="11910" w:h="16840"/>
          <w:pgMar w:top="820" w:right="740" w:bottom="1120" w:left="980" w:header="0" w:footer="896" w:gutter="0"/>
          <w:cols w:space="720"/>
        </w:sectPr>
      </w:pPr>
    </w:p>
    <w:p w14:paraId="18116BF3" w14:textId="77777777" w:rsidR="00141B97" w:rsidRDefault="00911D63">
      <w:pPr>
        <w:pStyle w:val="BodyText"/>
        <w:spacing w:before="42" w:after="19"/>
        <w:ind w:left="113"/>
      </w:pPr>
      <w:r>
        <w:lastRenderedPageBreak/>
        <w:t>LMW</w:t>
      </w:r>
      <w:r>
        <w:rPr>
          <w:spacing w:val="-8"/>
        </w:rPr>
        <w:t xml:space="preserve"> </w:t>
      </w:r>
      <w:r>
        <w:t>Price</w:t>
      </w:r>
      <w:r>
        <w:rPr>
          <w:spacing w:val="-8"/>
        </w:rPr>
        <w:t xml:space="preserve"> </w:t>
      </w:r>
      <w:r>
        <w:t>Submission</w:t>
      </w:r>
      <w:r>
        <w:rPr>
          <w:spacing w:val="-8"/>
        </w:rPr>
        <w:t xml:space="preserve"> </w:t>
      </w:r>
      <w:r>
        <w:t>Risk</w:t>
      </w:r>
      <w:r>
        <w:rPr>
          <w:spacing w:val="-8"/>
        </w:rPr>
        <w:t xml:space="preserve"> </w:t>
      </w:r>
      <w:r>
        <w:t>Management</w:t>
      </w:r>
      <w:r>
        <w:rPr>
          <w:spacing w:val="-7"/>
        </w:rPr>
        <w:t xml:space="preserve"> </w:t>
      </w:r>
      <w:r>
        <w:t>and</w:t>
      </w:r>
      <w:r>
        <w:rPr>
          <w:spacing w:val="-7"/>
        </w:rPr>
        <w:t xml:space="preserve"> </w:t>
      </w:r>
      <w:r>
        <w:t>Allocation</w:t>
      </w:r>
      <w:r>
        <w:rPr>
          <w:spacing w:val="-7"/>
        </w:rPr>
        <w:t xml:space="preserve"> </w:t>
      </w:r>
      <w:r>
        <w:rPr>
          <w:spacing w:val="-2"/>
        </w:rPr>
        <w:t>Examples</w:t>
      </w: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686"/>
        <w:gridCol w:w="4569"/>
        <w:gridCol w:w="3699"/>
        <w:gridCol w:w="3650"/>
      </w:tblGrid>
      <w:tr w:rsidR="00141B97" w14:paraId="3F2E980E" w14:textId="77777777">
        <w:trPr>
          <w:trHeight w:val="389"/>
          <w:tblCellSpacing w:w="9" w:type="dxa"/>
        </w:trPr>
        <w:tc>
          <w:tcPr>
            <w:tcW w:w="2659" w:type="dxa"/>
            <w:tcBorders>
              <w:top w:val="nil"/>
              <w:left w:val="nil"/>
            </w:tcBorders>
            <w:shd w:val="clear" w:color="auto" w:fill="0064A4"/>
          </w:tcPr>
          <w:p w14:paraId="6F66F602" w14:textId="77777777" w:rsidR="00141B97" w:rsidRDefault="00911D63">
            <w:pPr>
              <w:pStyle w:val="TableParagraph"/>
              <w:spacing w:before="61"/>
              <w:ind w:left="88"/>
            </w:pPr>
            <w:r>
              <w:rPr>
                <w:color w:val="FFFFFF"/>
              </w:rPr>
              <w:t>LMW</w:t>
            </w:r>
            <w:r>
              <w:rPr>
                <w:color w:val="FFFFFF"/>
                <w:spacing w:val="-7"/>
              </w:rPr>
              <w:t xml:space="preserve"> </w:t>
            </w:r>
            <w:r>
              <w:rPr>
                <w:color w:val="FFFFFF"/>
              </w:rPr>
              <w:t>Business</w:t>
            </w:r>
            <w:r>
              <w:rPr>
                <w:color w:val="FFFFFF"/>
                <w:spacing w:val="-6"/>
              </w:rPr>
              <w:t xml:space="preserve"> </w:t>
            </w:r>
            <w:r>
              <w:rPr>
                <w:color w:val="FFFFFF"/>
                <w:spacing w:val="-4"/>
              </w:rPr>
              <w:t>Risk</w:t>
            </w:r>
          </w:p>
        </w:tc>
        <w:tc>
          <w:tcPr>
            <w:tcW w:w="4551" w:type="dxa"/>
            <w:tcBorders>
              <w:top w:val="nil"/>
            </w:tcBorders>
            <w:shd w:val="clear" w:color="auto" w:fill="0064A4"/>
          </w:tcPr>
          <w:p w14:paraId="5BF8956C" w14:textId="77777777" w:rsidR="00141B97" w:rsidRDefault="00911D63">
            <w:pPr>
              <w:pStyle w:val="TableParagraph"/>
              <w:spacing w:before="61"/>
              <w:ind w:left="98"/>
            </w:pPr>
            <w:r>
              <w:rPr>
                <w:color w:val="FFFFFF"/>
              </w:rPr>
              <w:t>LMW</w:t>
            </w:r>
            <w:r>
              <w:rPr>
                <w:color w:val="FFFFFF"/>
                <w:spacing w:val="-7"/>
              </w:rPr>
              <w:t xml:space="preserve"> </w:t>
            </w:r>
            <w:r>
              <w:rPr>
                <w:color w:val="FFFFFF"/>
              </w:rPr>
              <w:t>Risk</w:t>
            </w:r>
            <w:r>
              <w:rPr>
                <w:color w:val="FFFFFF"/>
                <w:spacing w:val="-8"/>
              </w:rPr>
              <w:t xml:space="preserve"> </w:t>
            </w:r>
            <w:r>
              <w:rPr>
                <w:color w:val="FFFFFF"/>
              </w:rPr>
              <w:t>Management</w:t>
            </w:r>
            <w:r>
              <w:rPr>
                <w:color w:val="FFFFFF"/>
                <w:spacing w:val="-9"/>
              </w:rPr>
              <w:t xml:space="preserve"> </w:t>
            </w:r>
            <w:r>
              <w:rPr>
                <w:color w:val="FFFFFF"/>
                <w:spacing w:val="-2"/>
              </w:rPr>
              <w:t>Strategies</w:t>
            </w:r>
          </w:p>
        </w:tc>
        <w:tc>
          <w:tcPr>
            <w:tcW w:w="3681" w:type="dxa"/>
            <w:tcBorders>
              <w:top w:val="nil"/>
            </w:tcBorders>
            <w:shd w:val="clear" w:color="auto" w:fill="0064A4"/>
          </w:tcPr>
          <w:p w14:paraId="6A89433F" w14:textId="77777777" w:rsidR="00141B97" w:rsidRDefault="00911D63">
            <w:pPr>
              <w:pStyle w:val="TableParagraph"/>
              <w:spacing w:before="61"/>
              <w:ind w:left="98"/>
            </w:pPr>
            <w:r>
              <w:rPr>
                <w:color w:val="FFFFFF"/>
              </w:rPr>
              <w:t>LMW</w:t>
            </w:r>
            <w:r>
              <w:rPr>
                <w:color w:val="FFFFFF"/>
                <w:spacing w:val="-5"/>
              </w:rPr>
              <w:t xml:space="preserve"> </w:t>
            </w:r>
            <w:r>
              <w:rPr>
                <w:color w:val="FFFFFF"/>
              </w:rPr>
              <w:t>Risk</w:t>
            </w:r>
            <w:r>
              <w:rPr>
                <w:color w:val="FFFFFF"/>
                <w:spacing w:val="-6"/>
              </w:rPr>
              <w:t xml:space="preserve"> </w:t>
            </w:r>
            <w:r>
              <w:rPr>
                <w:color w:val="FFFFFF"/>
                <w:spacing w:val="-2"/>
              </w:rPr>
              <w:t>Component</w:t>
            </w:r>
          </w:p>
        </w:tc>
        <w:tc>
          <w:tcPr>
            <w:tcW w:w="3623" w:type="dxa"/>
            <w:tcBorders>
              <w:top w:val="nil"/>
              <w:right w:val="nil"/>
            </w:tcBorders>
            <w:shd w:val="clear" w:color="auto" w:fill="0064A4"/>
          </w:tcPr>
          <w:p w14:paraId="2EE5C11F" w14:textId="77777777" w:rsidR="00141B97" w:rsidRDefault="00911D63">
            <w:pPr>
              <w:pStyle w:val="TableParagraph"/>
              <w:spacing w:before="61"/>
              <w:ind w:left="98"/>
            </w:pPr>
            <w:r>
              <w:rPr>
                <w:color w:val="FFFFFF"/>
              </w:rPr>
              <w:t>Customer</w:t>
            </w:r>
            <w:r>
              <w:rPr>
                <w:color w:val="FFFFFF"/>
                <w:spacing w:val="-9"/>
              </w:rPr>
              <w:t xml:space="preserve"> </w:t>
            </w:r>
            <w:r>
              <w:rPr>
                <w:color w:val="FFFFFF"/>
              </w:rPr>
              <w:t>Risk</w:t>
            </w:r>
            <w:r>
              <w:rPr>
                <w:color w:val="FFFFFF"/>
                <w:spacing w:val="-9"/>
              </w:rPr>
              <w:t xml:space="preserve"> </w:t>
            </w:r>
            <w:r>
              <w:rPr>
                <w:color w:val="FFFFFF"/>
                <w:spacing w:val="-2"/>
              </w:rPr>
              <w:t>Component</w:t>
            </w:r>
          </w:p>
        </w:tc>
      </w:tr>
      <w:tr w:rsidR="00141B97" w14:paraId="4EA50B5C" w14:textId="77777777">
        <w:trPr>
          <w:trHeight w:val="2443"/>
          <w:tblCellSpacing w:w="9" w:type="dxa"/>
        </w:trPr>
        <w:tc>
          <w:tcPr>
            <w:tcW w:w="2659" w:type="dxa"/>
            <w:tcBorders>
              <w:left w:val="nil"/>
            </w:tcBorders>
            <w:shd w:val="clear" w:color="auto" w:fill="CCE2ED"/>
          </w:tcPr>
          <w:p w14:paraId="798C2A19" w14:textId="77777777" w:rsidR="00141B97" w:rsidRDefault="00911D63">
            <w:pPr>
              <w:pStyle w:val="TableParagraph"/>
              <w:ind w:left="88" w:right="420"/>
              <w:rPr>
                <w:sz w:val="18"/>
              </w:rPr>
            </w:pPr>
            <w:r>
              <w:rPr>
                <w:sz w:val="18"/>
              </w:rPr>
              <w:t>Water availability risk: Inability to meet customer demand</w:t>
            </w:r>
            <w:r>
              <w:rPr>
                <w:spacing w:val="-4"/>
                <w:sz w:val="18"/>
              </w:rPr>
              <w:t xml:space="preserve"> </w:t>
            </w:r>
            <w:r>
              <w:rPr>
                <w:sz w:val="18"/>
              </w:rPr>
              <w:t>due</w:t>
            </w:r>
            <w:r>
              <w:rPr>
                <w:spacing w:val="-4"/>
                <w:sz w:val="18"/>
              </w:rPr>
              <w:t xml:space="preserve"> </w:t>
            </w:r>
            <w:r>
              <w:rPr>
                <w:sz w:val="18"/>
              </w:rPr>
              <w:t>to</w:t>
            </w:r>
            <w:r>
              <w:rPr>
                <w:spacing w:val="-3"/>
                <w:sz w:val="18"/>
              </w:rPr>
              <w:t xml:space="preserve"> </w:t>
            </w:r>
            <w:r>
              <w:rPr>
                <w:sz w:val="18"/>
              </w:rPr>
              <w:t>lower</w:t>
            </w:r>
            <w:r>
              <w:rPr>
                <w:spacing w:val="-3"/>
                <w:sz w:val="18"/>
              </w:rPr>
              <w:t xml:space="preserve"> </w:t>
            </w:r>
            <w:r>
              <w:rPr>
                <w:sz w:val="18"/>
              </w:rPr>
              <w:t>than required</w:t>
            </w:r>
            <w:r>
              <w:rPr>
                <w:spacing w:val="-1"/>
                <w:sz w:val="18"/>
              </w:rPr>
              <w:t xml:space="preserve"> </w:t>
            </w:r>
            <w:r>
              <w:rPr>
                <w:sz w:val="18"/>
              </w:rPr>
              <w:t xml:space="preserve">water </w:t>
            </w:r>
            <w:r>
              <w:rPr>
                <w:spacing w:val="-2"/>
                <w:sz w:val="18"/>
              </w:rPr>
              <w:t>availability.</w:t>
            </w:r>
          </w:p>
        </w:tc>
        <w:tc>
          <w:tcPr>
            <w:tcW w:w="4551" w:type="dxa"/>
            <w:shd w:val="clear" w:color="auto" w:fill="CCE2ED"/>
          </w:tcPr>
          <w:p w14:paraId="1137F932" w14:textId="77777777" w:rsidR="00141B97" w:rsidRDefault="00911D63">
            <w:pPr>
              <w:pStyle w:val="TableParagraph"/>
              <w:ind w:left="98"/>
              <w:rPr>
                <w:sz w:val="18"/>
              </w:rPr>
            </w:pPr>
            <w:r>
              <w:rPr>
                <w:spacing w:val="-2"/>
                <w:sz w:val="18"/>
              </w:rPr>
              <w:t>Urban:</w:t>
            </w:r>
          </w:p>
          <w:p w14:paraId="2B5FAD3C" w14:textId="77777777" w:rsidR="00141B97" w:rsidRDefault="00911D63">
            <w:pPr>
              <w:pStyle w:val="TableParagraph"/>
              <w:numPr>
                <w:ilvl w:val="0"/>
                <w:numId w:val="95"/>
              </w:numPr>
              <w:tabs>
                <w:tab w:val="left" w:pos="573"/>
                <w:tab w:val="left" w:pos="574"/>
              </w:tabs>
              <w:ind w:left="573" w:hanging="361"/>
              <w:rPr>
                <w:sz w:val="18"/>
              </w:rPr>
            </w:pPr>
            <w:r>
              <w:rPr>
                <w:sz w:val="18"/>
              </w:rPr>
              <w:t>Urban</w:t>
            </w:r>
            <w:r>
              <w:rPr>
                <w:spacing w:val="-3"/>
                <w:sz w:val="18"/>
              </w:rPr>
              <w:t xml:space="preserve"> </w:t>
            </w:r>
            <w:r>
              <w:rPr>
                <w:sz w:val="18"/>
              </w:rPr>
              <w:t>Water</w:t>
            </w:r>
            <w:r>
              <w:rPr>
                <w:spacing w:val="-2"/>
                <w:sz w:val="18"/>
              </w:rPr>
              <w:t xml:space="preserve"> Strategy</w:t>
            </w:r>
          </w:p>
          <w:p w14:paraId="1085A7DF" w14:textId="77777777" w:rsidR="00141B97" w:rsidRDefault="00911D63">
            <w:pPr>
              <w:pStyle w:val="TableParagraph"/>
              <w:numPr>
                <w:ilvl w:val="0"/>
                <w:numId w:val="95"/>
              </w:numPr>
              <w:tabs>
                <w:tab w:val="left" w:pos="573"/>
                <w:tab w:val="left" w:pos="574"/>
              </w:tabs>
              <w:spacing w:before="59"/>
              <w:ind w:left="573" w:hanging="361"/>
              <w:rPr>
                <w:sz w:val="18"/>
              </w:rPr>
            </w:pPr>
            <w:r>
              <w:rPr>
                <w:sz w:val="18"/>
              </w:rPr>
              <w:t>Bulk</w:t>
            </w:r>
            <w:r>
              <w:rPr>
                <w:spacing w:val="-4"/>
                <w:sz w:val="18"/>
              </w:rPr>
              <w:t xml:space="preserve"> </w:t>
            </w:r>
            <w:r>
              <w:rPr>
                <w:sz w:val="18"/>
              </w:rPr>
              <w:t>Water</w:t>
            </w:r>
            <w:r>
              <w:rPr>
                <w:spacing w:val="-3"/>
                <w:sz w:val="18"/>
              </w:rPr>
              <w:t xml:space="preserve"> </w:t>
            </w:r>
            <w:r>
              <w:rPr>
                <w:spacing w:val="-2"/>
                <w:sz w:val="18"/>
              </w:rPr>
              <w:t>Purchases</w:t>
            </w:r>
          </w:p>
          <w:p w14:paraId="7285DE04" w14:textId="77777777" w:rsidR="00141B97" w:rsidRDefault="00911D63">
            <w:pPr>
              <w:pStyle w:val="TableParagraph"/>
              <w:numPr>
                <w:ilvl w:val="0"/>
                <w:numId w:val="95"/>
              </w:numPr>
              <w:tabs>
                <w:tab w:val="left" w:pos="573"/>
                <w:tab w:val="left" w:pos="574"/>
              </w:tabs>
              <w:spacing w:before="60"/>
              <w:ind w:left="573" w:hanging="361"/>
              <w:rPr>
                <w:sz w:val="18"/>
              </w:rPr>
            </w:pPr>
            <w:r>
              <w:rPr>
                <w:sz w:val="18"/>
              </w:rPr>
              <w:t>Water</w:t>
            </w:r>
            <w:r>
              <w:rPr>
                <w:spacing w:val="-6"/>
                <w:sz w:val="18"/>
              </w:rPr>
              <w:t xml:space="preserve"> </w:t>
            </w:r>
            <w:r>
              <w:rPr>
                <w:spacing w:val="-2"/>
                <w:sz w:val="18"/>
              </w:rPr>
              <w:t>Restrictions</w:t>
            </w:r>
          </w:p>
          <w:p w14:paraId="14A32EA6" w14:textId="77777777" w:rsidR="00141B97" w:rsidRDefault="00911D63">
            <w:pPr>
              <w:pStyle w:val="TableParagraph"/>
              <w:numPr>
                <w:ilvl w:val="0"/>
                <w:numId w:val="95"/>
              </w:numPr>
              <w:tabs>
                <w:tab w:val="left" w:pos="573"/>
                <w:tab w:val="left" w:pos="574"/>
              </w:tabs>
              <w:spacing w:before="61"/>
              <w:ind w:left="573" w:hanging="361"/>
              <w:rPr>
                <w:sz w:val="18"/>
              </w:rPr>
            </w:pPr>
            <w:r>
              <w:rPr>
                <w:sz w:val="18"/>
              </w:rPr>
              <w:t>Demand</w:t>
            </w:r>
            <w:r>
              <w:rPr>
                <w:spacing w:val="-2"/>
                <w:sz w:val="18"/>
              </w:rPr>
              <w:t xml:space="preserve"> </w:t>
            </w:r>
            <w:r>
              <w:rPr>
                <w:sz w:val="18"/>
              </w:rPr>
              <w:t>management</w:t>
            </w:r>
            <w:r>
              <w:rPr>
                <w:spacing w:val="-2"/>
                <w:sz w:val="18"/>
              </w:rPr>
              <w:t xml:space="preserve"> measures.</w:t>
            </w:r>
          </w:p>
          <w:p w14:paraId="53415F0F" w14:textId="77777777" w:rsidR="00141B97" w:rsidRDefault="00911D63">
            <w:pPr>
              <w:pStyle w:val="TableParagraph"/>
              <w:numPr>
                <w:ilvl w:val="0"/>
                <w:numId w:val="95"/>
              </w:numPr>
              <w:tabs>
                <w:tab w:val="left" w:pos="573"/>
                <w:tab w:val="left" w:pos="574"/>
              </w:tabs>
              <w:spacing w:before="9" w:line="280" w:lineRule="atLeast"/>
              <w:ind w:right="1526" w:firstLine="115"/>
              <w:rPr>
                <w:sz w:val="18"/>
              </w:rPr>
            </w:pPr>
            <w:r>
              <w:rPr>
                <w:sz w:val="18"/>
              </w:rPr>
              <w:t>Water</w:t>
            </w:r>
            <w:r>
              <w:rPr>
                <w:spacing w:val="-4"/>
                <w:sz w:val="18"/>
              </w:rPr>
              <w:t xml:space="preserve"> </w:t>
            </w:r>
            <w:r>
              <w:rPr>
                <w:sz w:val="18"/>
              </w:rPr>
              <w:t>Strategy</w:t>
            </w:r>
            <w:r>
              <w:rPr>
                <w:spacing w:val="-5"/>
                <w:sz w:val="18"/>
              </w:rPr>
              <w:t xml:space="preserve"> </w:t>
            </w:r>
            <w:r>
              <w:rPr>
                <w:sz w:val="18"/>
              </w:rPr>
              <w:t>and</w:t>
            </w:r>
            <w:r>
              <w:rPr>
                <w:spacing w:val="-4"/>
                <w:sz w:val="18"/>
              </w:rPr>
              <w:t xml:space="preserve"> </w:t>
            </w:r>
            <w:r>
              <w:rPr>
                <w:sz w:val="18"/>
              </w:rPr>
              <w:t>Master</w:t>
            </w:r>
            <w:r>
              <w:rPr>
                <w:spacing w:val="-4"/>
                <w:sz w:val="18"/>
              </w:rPr>
              <w:t xml:space="preserve"> </w:t>
            </w:r>
            <w:r>
              <w:rPr>
                <w:sz w:val="18"/>
              </w:rPr>
              <w:t xml:space="preserve">Plans. </w:t>
            </w:r>
            <w:r>
              <w:rPr>
                <w:spacing w:val="-2"/>
                <w:sz w:val="18"/>
              </w:rPr>
              <w:t>Rural:</w:t>
            </w:r>
          </w:p>
          <w:p w14:paraId="0DE8AA9A" w14:textId="77777777" w:rsidR="00141B97" w:rsidRDefault="00911D63">
            <w:pPr>
              <w:pStyle w:val="TableParagraph"/>
              <w:numPr>
                <w:ilvl w:val="0"/>
                <w:numId w:val="95"/>
              </w:numPr>
              <w:tabs>
                <w:tab w:val="left" w:pos="573"/>
                <w:tab w:val="left" w:pos="574"/>
              </w:tabs>
              <w:spacing w:line="229" w:lineRule="exact"/>
              <w:ind w:left="573" w:hanging="361"/>
              <w:rPr>
                <w:sz w:val="18"/>
              </w:rPr>
            </w:pPr>
            <w:r>
              <w:rPr>
                <w:sz w:val="18"/>
              </w:rPr>
              <w:t>Millewa</w:t>
            </w:r>
            <w:r>
              <w:rPr>
                <w:spacing w:val="-1"/>
                <w:sz w:val="18"/>
              </w:rPr>
              <w:t xml:space="preserve"> </w:t>
            </w:r>
            <w:r>
              <w:rPr>
                <w:sz w:val="18"/>
              </w:rPr>
              <w:t>Pump</w:t>
            </w:r>
            <w:r>
              <w:rPr>
                <w:spacing w:val="-2"/>
                <w:sz w:val="18"/>
              </w:rPr>
              <w:t xml:space="preserve"> </w:t>
            </w:r>
            <w:r>
              <w:rPr>
                <w:sz w:val="18"/>
              </w:rPr>
              <w:t>Station</w:t>
            </w:r>
            <w:r>
              <w:rPr>
                <w:spacing w:val="-1"/>
                <w:sz w:val="18"/>
              </w:rPr>
              <w:t xml:space="preserve"> </w:t>
            </w:r>
            <w:r>
              <w:rPr>
                <w:spacing w:val="-2"/>
                <w:sz w:val="18"/>
              </w:rPr>
              <w:t>Upgrade</w:t>
            </w:r>
          </w:p>
        </w:tc>
        <w:tc>
          <w:tcPr>
            <w:tcW w:w="3681" w:type="dxa"/>
            <w:shd w:val="clear" w:color="auto" w:fill="CCE2ED"/>
          </w:tcPr>
          <w:p w14:paraId="31E59BDB" w14:textId="77777777" w:rsidR="00141B97" w:rsidRDefault="00911D63">
            <w:pPr>
              <w:pStyle w:val="TableParagraph"/>
              <w:ind w:left="98"/>
              <w:rPr>
                <w:sz w:val="18"/>
              </w:rPr>
            </w:pPr>
            <w:r>
              <w:rPr>
                <w:sz w:val="18"/>
              </w:rPr>
              <w:t>LMW</w:t>
            </w:r>
            <w:r>
              <w:rPr>
                <w:spacing w:val="-2"/>
                <w:sz w:val="18"/>
              </w:rPr>
              <w:t xml:space="preserve"> </w:t>
            </w:r>
            <w:r>
              <w:rPr>
                <w:sz w:val="18"/>
              </w:rPr>
              <w:t>risk</w:t>
            </w:r>
            <w:r>
              <w:rPr>
                <w:spacing w:val="-2"/>
                <w:sz w:val="18"/>
              </w:rPr>
              <w:t xml:space="preserve"> </w:t>
            </w:r>
            <w:r>
              <w:rPr>
                <w:sz w:val="18"/>
              </w:rPr>
              <w:t>exposure</w:t>
            </w:r>
            <w:r>
              <w:rPr>
                <w:spacing w:val="-1"/>
                <w:sz w:val="18"/>
              </w:rPr>
              <w:t xml:space="preserve"> </w:t>
            </w:r>
            <w:r>
              <w:rPr>
                <w:spacing w:val="-2"/>
                <w:sz w:val="18"/>
              </w:rPr>
              <w:t>includes:</w:t>
            </w:r>
          </w:p>
          <w:p w14:paraId="5098E617" w14:textId="77777777" w:rsidR="00141B97" w:rsidRDefault="00911D63">
            <w:pPr>
              <w:pStyle w:val="TableParagraph"/>
              <w:numPr>
                <w:ilvl w:val="0"/>
                <w:numId w:val="94"/>
              </w:numPr>
              <w:tabs>
                <w:tab w:val="left" w:pos="558"/>
                <w:tab w:val="left" w:pos="559"/>
              </w:tabs>
              <w:ind w:hanging="361"/>
              <w:rPr>
                <w:sz w:val="18"/>
              </w:rPr>
            </w:pPr>
            <w:r>
              <w:rPr>
                <w:sz w:val="18"/>
              </w:rPr>
              <w:t>loss</w:t>
            </w:r>
            <w:r>
              <w:rPr>
                <w:spacing w:val="-3"/>
                <w:sz w:val="18"/>
              </w:rPr>
              <w:t xml:space="preserve"> </w:t>
            </w:r>
            <w:r>
              <w:rPr>
                <w:sz w:val="18"/>
              </w:rPr>
              <w:t>of</w:t>
            </w:r>
            <w:r>
              <w:rPr>
                <w:spacing w:val="-2"/>
                <w:sz w:val="18"/>
              </w:rPr>
              <w:t xml:space="preserve"> revenue</w:t>
            </w:r>
          </w:p>
          <w:p w14:paraId="14BFEFC7" w14:textId="77777777" w:rsidR="00141B97" w:rsidRDefault="00911D63">
            <w:pPr>
              <w:pStyle w:val="TableParagraph"/>
              <w:numPr>
                <w:ilvl w:val="0"/>
                <w:numId w:val="94"/>
              </w:numPr>
              <w:tabs>
                <w:tab w:val="left" w:pos="558"/>
                <w:tab w:val="left" w:pos="559"/>
              </w:tabs>
              <w:ind w:right="393"/>
              <w:rPr>
                <w:sz w:val="18"/>
              </w:rPr>
            </w:pPr>
            <w:r>
              <w:rPr>
                <w:sz w:val="18"/>
              </w:rPr>
              <w:t>reputational</w:t>
            </w:r>
            <w:r>
              <w:rPr>
                <w:spacing w:val="-5"/>
                <w:sz w:val="18"/>
              </w:rPr>
              <w:t xml:space="preserve"> </w:t>
            </w:r>
            <w:r>
              <w:rPr>
                <w:sz w:val="18"/>
              </w:rPr>
              <w:t>damage</w:t>
            </w:r>
            <w:r>
              <w:rPr>
                <w:spacing w:val="-5"/>
                <w:sz w:val="18"/>
              </w:rPr>
              <w:t xml:space="preserve"> </w:t>
            </w:r>
            <w:r>
              <w:rPr>
                <w:sz w:val="18"/>
              </w:rPr>
              <w:t>from</w:t>
            </w:r>
            <w:r>
              <w:rPr>
                <w:spacing w:val="-4"/>
                <w:sz w:val="18"/>
              </w:rPr>
              <w:t xml:space="preserve"> </w:t>
            </w:r>
            <w:r>
              <w:rPr>
                <w:sz w:val="18"/>
              </w:rPr>
              <w:t>inability</w:t>
            </w:r>
            <w:r>
              <w:rPr>
                <w:spacing w:val="-5"/>
                <w:sz w:val="18"/>
              </w:rPr>
              <w:t xml:space="preserve"> </w:t>
            </w:r>
            <w:r>
              <w:rPr>
                <w:sz w:val="18"/>
              </w:rPr>
              <w:t xml:space="preserve">to </w:t>
            </w:r>
            <w:r>
              <w:rPr>
                <w:spacing w:val="-2"/>
                <w:sz w:val="18"/>
              </w:rPr>
              <w:t>supply</w:t>
            </w:r>
          </w:p>
          <w:p w14:paraId="225E5C98" w14:textId="77777777" w:rsidR="00141B97" w:rsidRDefault="00911D63">
            <w:pPr>
              <w:pStyle w:val="TableParagraph"/>
              <w:numPr>
                <w:ilvl w:val="0"/>
                <w:numId w:val="94"/>
              </w:numPr>
              <w:tabs>
                <w:tab w:val="left" w:pos="558"/>
                <w:tab w:val="left" w:pos="559"/>
              </w:tabs>
              <w:ind w:right="230"/>
              <w:rPr>
                <w:sz w:val="18"/>
              </w:rPr>
            </w:pPr>
            <w:r>
              <w:rPr>
                <w:sz w:val="18"/>
              </w:rPr>
              <w:t>increased</w:t>
            </w:r>
            <w:r>
              <w:rPr>
                <w:spacing w:val="-4"/>
                <w:sz w:val="18"/>
              </w:rPr>
              <w:t xml:space="preserve"> </w:t>
            </w:r>
            <w:r>
              <w:rPr>
                <w:sz w:val="18"/>
              </w:rPr>
              <w:t>time</w:t>
            </w:r>
            <w:r>
              <w:rPr>
                <w:spacing w:val="-4"/>
                <w:sz w:val="18"/>
              </w:rPr>
              <w:t xml:space="preserve"> </w:t>
            </w:r>
            <w:r>
              <w:rPr>
                <w:sz w:val="18"/>
              </w:rPr>
              <w:t>and</w:t>
            </w:r>
            <w:r>
              <w:rPr>
                <w:spacing w:val="-3"/>
                <w:sz w:val="18"/>
              </w:rPr>
              <w:t xml:space="preserve"> </w:t>
            </w:r>
            <w:r>
              <w:rPr>
                <w:sz w:val="18"/>
              </w:rPr>
              <w:t>cost</w:t>
            </w:r>
            <w:r>
              <w:rPr>
                <w:spacing w:val="-4"/>
                <w:sz w:val="18"/>
              </w:rPr>
              <w:t xml:space="preserve"> </w:t>
            </w:r>
            <w:r>
              <w:rPr>
                <w:sz w:val="18"/>
              </w:rPr>
              <w:t>to</w:t>
            </w:r>
            <w:r>
              <w:rPr>
                <w:spacing w:val="-4"/>
                <w:sz w:val="18"/>
              </w:rPr>
              <w:t xml:space="preserve"> </w:t>
            </w:r>
            <w:r>
              <w:rPr>
                <w:sz w:val="18"/>
              </w:rPr>
              <w:t>more</w:t>
            </w:r>
            <w:r>
              <w:rPr>
                <w:spacing w:val="-4"/>
                <w:sz w:val="18"/>
              </w:rPr>
              <w:t xml:space="preserve"> </w:t>
            </w:r>
            <w:r>
              <w:rPr>
                <w:sz w:val="18"/>
              </w:rPr>
              <w:t>closely plan/manage</w:t>
            </w:r>
            <w:r>
              <w:rPr>
                <w:spacing w:val="-2"/>
                <w:sz w:val="18"/>
              </w:rPr>
              <w:t xml:space="preserve"> </w:t>
            </w:r>
            <w:r>
              <w:rPr>
                <w:sz w:val="18"/>
              </w:rPr>
              <w:t>demand/supply</w:t>
            </w:r>
          </w:p>
          <w:p w14:paraId="1912E8A5" w14:textId="77777777" w:rsidR="00141B97" w:rsidRDefault="00911D63">
            <w:pPr>
              <w:pStyle w:val="TableParagraph"/>
              <w:numPr>
                <w:ilvl w:val="0"/>
                <w:numId w:val="94"/>
              </w:numPr>
              <w:tabs>
                <w:tab w:val="left" w:pos="558"/>
                <w:tab w:val="left" w:pos="559"/>
              </w:tabs>
              <w:ind w:right="928"/>
              <w:rPr>
                <w:sz w:val="18"/>
              </w:rPr>
            </w:pPr>
            <w:r>
              <w:rPr>
                <w:sz w:val="18"/>
              </w:rPr>
              <w:t>cost</w:t>
            </w:r>
            <w:r>
              <w:rPr>
                <w:spacing w:val="-6"/>
                <w:sz w:val="18"/>
              </w:rPr>
              <w:t xml:space="preserve"> </w:t>
            </w:r>
            <w:r>
              <w:rPr>
                <w:sz w:val="18"/>
              </w:rPr>
              <w:t>of</w:t>
            </w:r>
            <w:r>
              <w:rPr>
                <w:spacing w:val="-5"/>
                <w:sz w:val="18"/>
              </w:rPr>
              <w:t xml:space="preserve"> </w:t>
            </w:r>
            <w:r>
              <w:rPr>
                <w:sz w:val="18"/>
              </w:rPr>
              <w:t>implementing</w:t>
            </w:r>
            <w:r>
              <w:rPr>
                <w:spacing w:val="-6"/>
                <w:sz w:val="18"/>
              </w:rPr>
              <w:t xml:space="preserve"> </w:t>
            </w:r>
            <w:r>
              <w:rPr>
                <w:sz w:val="18"/>
              </w:rPr>
              <w:t>demand management</w:t>
            </w:r>
            <w:r>
              <w:rPr>
                <w:spacing w:val="-2"/>
                <w:sz w:val="18"/>
              </w:rPr>
              <w:t xml:space="preserve"> </w:t>
            </w:r>
            <w:r>
              <w:rPr>
                <w:sz w:val="18"/>
              </w:rPr>
              <w:t>programs</w:t>
            </w:r>
          </w:p>
          <w:p w14:paraId="0573C8FA" w14:textId="77777777" w:rsidR="00141B97" w:rsidRDefault="00911D63">
            <w:pPr>
              <w:pStyle w:val="TableParagraph"/>
              <w:numPr>
                <w:ilvl w:val="0"/>
                <w:numId w:val="94"/>
              </w:numPr>
              <w:tabs>
                <w:tab w:val="left" w:pos="558"/>
                <w:tab w:val="left" w:pos="559"/>
              </w:tabs>
              <w:ind w:right="572"/>
              <w:rPr>
                <w:sz w:val="18"/>
              </w:rPr>
            </w:pPr>
            <w:r>
              <w:rPr>
                <w:sz w:val="18"/>
              </w:rPr>
              <w:t>additional</w:t>
            </w:r>
            <w:r>
              <w:rPr>
                <w:spacing w:val="-6"/>
                <w:sz w:val="18"/>
              </w:rPr>
              <w:t xml:space="preserve"> </w:t>
            </w:r>
            <w:r>
              <w:rPr>
                <w:sz w:val="18"/>
              </w:rPr>
              <w:t>investments</w:t>
            </w:r>
            <w:r>
              <w:rPr>
                <w:spacing w:val="-6"/>
                <w:sz w:val="18"/>
              </w:rPr>
              <w:t xml:space="preserve"> </w:t>
            </w:r>
            <w:r>
              <w:rPr>
                <w:sz w:val="18"/>
              </w:rPr>
              <w:t>to</w:t>
            </w:r>
            <w:r>
              <w:rPr>
                <w:spacing w:val="-6"/>
                <w:sz w:val="18"/>
              </w:rPr>
              <w:t xml:space="preserve"> </w:t>
            </w:r>
            <w:r>
              <w:rPr>
                <w:sz w:val="18"/>
              </w:rPr>
              <w:t xml:space="preserve">augment </w:t>
            </w:r>
            <w:r>
              <w:rPr>
                <w:spacing w:val="-2"/>
                <w:sz w:val="18"/>
              </w:rPr>
              <w:t>supply.</w:t>
            </w:r>
          </w:p>
        </w:tc>
        <w:tc>
          <w:tcPr>
            <w:tcW w:w="3623" w:type="dxa"/>
            <w:tcBorders>
              <w:right w:val="nil"/>
            </w:tcBorders>
            <w:shd w:val="clear" w:color="auto" w:fill="CCE2ED"/>
          </w:tcPr>
          <w:p w14:paraId="45F1D9CA" w14:textId="77777777" w:rsidR="00141B97" w:rsidRDefault="00911D63">
            <w:pPr>
              <w:pStyle w:val="TableParagraph"/>
              <w:ind w:left="98"/>
              <w:rPr>
                <w:sz w:val="18"/>
              </w:rPr>
            </w:pPr>
            <w:r>
              <w:rPr>
                <w:spacing w:val="-2"/>
                <w:sz w:val="18"/>
              </w:rPr>
              <w:t>Urban:</w:t>
            </w:r>
          </w:p>
          <w:p w14:paraId="6A3CF259" w14:textId="77777777" w:rsidR="00141B97" w:rsidRDefault="00911D63">
            <w:pPr>
              <w:pStyle w:val="TableParagraph"/>
              <w:numPr>
                <w:ilvl w:val="0"/>
                <w:numId w:val="93"/>
              </w:numPr>
              <w:tabs>
                <w:tab w:val="left" w:pos="562"/>
                <w:tab w:val="left" w:pos="563"/>
              </w:tabs>
              <w:spacing w:before="119"/>
              <w:ind w:right="161"/>
              <w:rPr>
                <w:sz w:val="18"/>
              </w:rPr>
            </w:pPr>
            <w:r>
              <w:rPr>
                <w:sz w:val="18"/>
              </w:rPr>
              <w:t>Costs</w:t>
            </w:r>
            <w:r>
              <w:rPr>
                <w:spacing w:val="-4"/>
                <w:sz w:val="18"/>
              </w:rPr>
              <w:t xml:space="preserve"> </w:t>
            </w:r>
            <w:r>
              <w:rPr>
                <w:sz w:val="18"/>
              </w:rPr>
              <w:t>and</w:t>
            </w:r>
            <w:r>
              <w:rPr>
                <w:spacing w:val="-4"/>
                <w:sz w:val="18"/>
              </w:rPr>
              <w:t xml:space="preserve"> </w:t>
            </w:r>
            <w:r>
              <w:rPr>
                <w:sz w:val="18"/>
              </w:rPr>
              <w:t>inconvenience</w:t>
            </w:r>
            <w:r>
              <w:rPr>
                <w:spacing w:val="-4"/>
                <w:sz w:val="18"/>
              </w:rPr>
              <w:t xml:space="preserve"> </w:t>
            </w:r>
            <w:r>
              <w:rPr>
                <w:sz w:val="18"/>
              </w:rPr>
              <w:t>of</w:t>
            </w:r>
            <w:r>
              <w:rPr>
                <w:spacing w:val="-4"/>
                <w:sz w:val="18"/>
              </w:rPr>
              <w:t xml:space="preserve"> </w:t>
            </w:r>
            <w:r>
              <w:rPr>
                <w:sz w:val="18"/>
              </w:rPr>
              <w:t>exposure</w:t>
            </w:r>
            <w:r>
              <w:rPr>
                <w:spacing w:val="-4"/>
                <w:sz w:val="18"/>
              </w:rPr>
              <w:t xml:space="preserve"> </w:t>
            </w:r>
            <w:r>
              <w:rPr>
                <w:sz w:val="18"/>
              </w:rPr>
              <w:t>to water restrictions and/or less‐than‐ required water availability</w:t>
            </w:r>
          </w:p>
          <w:p w14:paraId="3F2A239D" w14:textId="77777777" w:rsidR="00141B97" w:rsidRDefault="00911D63">
            <w:pPr>
              <w:pStyle w:val="TableParagraph"/>
              <w:numPr>
                <w:ilvl w:val="0"/>
                <w:numId w:val="93"/>
              </w:numPr>
              <w:tabs>
                <w:tab w:val="left" w:pos="562"/>
                <w:tab w:val="left" w:pos="563"/>
              </w:tabs>
              <w:spacing w:before="61"/>
              <w:ind w:right="145"/>
              <w:rPr>
                <w:sz w:val="18"/>
              </w:rPr>
            </w:pPr>
            <w:r>
              <w:rPr>
                <w:sz w:val="18"/>
              </w:rPr>
              <w:t>Additional</w:t>
            </w:r>
            <w:r>
              <w:rPr>
                <w:spacing w:val="-3"/>
                <w:sz w:val="18"/>
              </w:rPr>
              <w:t xml:space="preserve"> </w:t>
            </w:r>
            <w:r>
              <w:rPr>
                <w:sz w:val="18"/>
              </w:rPr>
              <w:t>cost</w:t>
            </w:r>
            <w:r>
              <w:rPr>
                <w:spacing w:val="-4"/>
                <w:sz w:val="18"/>
              </w:rPr>
              <w:t xml:space="preserve"> </w:t>
            </w:r>
            <w:r>
              <w:rPr>
                <w:sz w:val="18"/>
              </w:rPr>
              <w:t>of</w:t>
            </w:r>
            <w:r>
              <w:rPr>
                <w:spacing w:val="-3"/>
                <w:sz w:val="18"/>
              </w:rPr>
              <w:t xml:space="preserve"> </w:t>
            </w:r>
            <w:r>
              <w:rPr>
                <w:sz w:val="18"/>
              </w:rPr>
              <w:t>bulk</w:t>
            </w:r>
            <w:r>
              <w:rPr>
                <w:spacing w:val="-4"/>
                <w:sz w:val="18"/>
              </w:rPr>
              <w:t xml:space="preserve"> </w:t>
            </w:r>
            <w:r>
              <w:rPr>
                <w:sz w:val="18"/>
              </w:rPr>
              <w:t>water</w:t>
            </w:r>
            <w:r>
              <w:rPr>
                <w:spacing w:val="-3"/>
                <w:sz w:val="18"/>
              </w:rPr>
              <w:t xml:space="preserve"> </w:t>
            </w:r>
            <w:r>
              <w:rPr>
                <w:sz w:val="18"/>
              </w:rPr>
              <w:t>purchases, offset by allocation sales.</w:t>
            </w:r>
          </w:p>
        </w:tc>
      </w:tr>
      <w:tr w:rsidR="00141B97" w14:paraId="4D7E4332" w14:textId="77777777">
        <w:trPr>
          <w:trHeight w:val="3912"/>
          <w:tblCellSpacing w:w="9" w:type="dxa"/>
        </w:trPr>
        <w:tc>
          <w:tcPr>
            <w:tcW w:w="2659" w:type="dxa"/>
            <w:tcBorders>
              <w:left w:val="nil"/>
            </w:tcBorders>
            <w:shd w:val="clear" w:color="auto" w:fill="CCE2ED"/>
          </w:tcPr>
          <w:p w14:paraId="2CB1B3A5" w14:textId="77777777" w:rsidR="00141B97" w:rsidRDefault="00911D63">
            <w:pPr>
              <w:pStyle w:val="TableParagraph"/>
              <w:ind w:left="88" w:right="300"/>
              <w:rPr>
                <w:sz w:val="18"/>
              </w:rPr>
            </w:pPr>
            <w:r>
              <w:rPr>
                <w:sz w:val="18"/>
              </w:rPr>
              <w:t>Demand forecasting risk: Where</w:t>
            </w:r>
            <w:r>
              <w:rPr>
                <w:spacing w:val="-4"/>
                <w:sz w:val="18"/>
              </w:rPr>
              <w:t xml:space="preserve"> </w:t>
            </w:r>
            <w:r>
              <w:rPr>
                <w:sz w:val="18"/>
              </w:rPr>
              <w:t>actual</w:t>
            </w:r>
            <w:r>
              <w:rPr>
                <w:spacing w:val="-4"/>
                <w:sz w:val="18"/>
              </w:rPr>
              <w:t xml:space="preserve"> </w:t>
            </w:r>
            <w:r>
              <w:rPr>
                <w:sz w:val="18"/>
              </w:rPr>
              <w:t>demand</w:t>
            </w:r>
            <w:r>
              <w:rPr>
                <w:spacing w:val="-4"/>
                <w:sz w:val="18"/>
              </w:rPr>
              <w:t xml:space="preserve"> </w:t>
            </w:r>
            <w:r>
              <w:rPr>
                <w:sz w:val="18"/>
              </w:rPr>
              <w:t>during</w:t>
            </w:r>
            <w:r>
              <w:rPr>
                <w:spacing w:val="-4"/>
                <w:sz w:val="18"/>
              </w:rPr>
              <w:t xml:space="preserve"> </w:t>
            </w:r>
            <w:r>
              <w:rPr>
                <w:sz w:val="18"/>
              </w:rPr>
              <w:t>a regulatory period may differ materially from the forecasts.</w:t>
            </w:r>
          </w:p>
        </w:tc>
        <w:tc>
          <w:tcPr>
            <w:tcW w:w="4551" w:type="dxa"/>
            <w:shd w:val="clear" w:color="auto" w:fill="CCE2ED"/>
          </w:tcPr>
          <w:p w14:paraId="38459802" w14:textId="77777777" w:rsidR="00141B97" w:rsidRDefault="00911D63">
            <w:pPr>
              <w:pStyle w:val="TableParagraph"/>
              <w:ind w:left="98"/>
              <w:rPr>
                <w:sz w:val="18"/>
              </w:rPr>
            </w:pPr>
            <w:r>
              <w:rPr>
                <w:sz w:val="18"/>
              </w:rPr>
              <w:t>Board</w:t>
            </w:r>
            <w:r>
              <w:rPr>
                <w:spacing w:val="-2"/>
                <w:sz w:val="18"/>
              </w:rPr>
              <w:t xml:space="preserve"> </w:t>
            </w:r>
            <w:r>
              <w:rPr>
                <w:sz w:val="18"/>
              </w:rPr>
              <w:t>practice</w:t>
            </w:r>
            <w:r>
              <w:rPr>
                <w:spacing w:val="-3"/>
                <w:sz w:val="18"/>
              </w:rPr>
              <w:t xml:space="preserve"> </w:t>
            </w:r>
            <w:r>
              <w:rPr>
                <w:sz w:val="18"/>
              </w:rPr>
              <w:t>of</w:t>
            </w:r>
            <w:r>
              <w:rPr>
                <w:spacing w:val="-2"/>
                <w:sz w:val="18"/>
              </w:rPr>
              <w:t xml:space="preserve"> </w:t>
            </w:r>
            <w:r>
              <w:rPr>
                <w:sz w:val="18"/>
              </w:rPr>
              <w:t>returning</w:t>
            </w:r>
            <w:r>
              <w:rPr>
                <w:spacing w:val="-3"/>
                <w:sz w:val="18"/>
              </w:rPr>
              <w:t xml:space="preserve"> </w:t>
            </w:r>
            <w:r>
              <w:rPr>
                <w:sz w:val="18"/>
              </w:rPr>
              <w:t>revenues</w:t>
            </w:r>
            <w:r>
              <w:rPr>
                <w:spacing w:val="-3"/>
                <w:sz w:val="18"/>
              </w:rPr>
              <w:t xml:space="preserve"> </w:t>
            </w:r>
            <w:r>
              <w:rPr>
                <w:sz w:val="18"/>
              </w:rPr>
              <w:t>to</w:t>
            </w:r>
            <w:r>
              <w:rPr>
                <w:spacing w:val="-3"/>
                <w:sz w:val="18"/>
              </w:rPr>
              <w:t xml:space="preserve"> </w:t>
            </w:r>
            <w:r>
              <w:rPr>
                <w:sz w:val="18"/>
              </w:rPr>
              <w:t>customers</w:t>
            </w:r>
            <w:r>
              <w:rPr>
                <w:spacing w:val="-2"/>
                <w:sz w:val="18"/>
              </w:rPr>
              <w:t xml:space="preserve"> </w:t>
            </w:r>
            <w:r>
              <w:rPr>
                <w:sz w:val="18"/>
              </w:rPr>
              <w:t>where demand and revenues significantly exceed forecast.</w:t>
            </w:r>
          </w:p>
          <w:p w14:paraId="60E5611D" w14:textId="77777777" w:rsidR="00141B97" w:rsidRDefault="00911D63">
            <w:pPr>
              <w:pStyle w:val="TableParagraph"/>
              <w:spacing w:before="60"/>
              <w:ind w:left="98"/>
              <w:rPr>
                <w:sz w:val="18"/>
              </w:rPr>
            </w:pPr>
            <w:r>
              <w:rPr>
                <w:spacing w:val="-2"/>
                <w:sz w:val="18"/>
              </w:rPr>
              <w:t>Urban:</w:t>
            </w:r>
          </w:p>
          <w:p w14:paraId="5ACB6DF3" w14:textId="77777777" w:rsidR="00141B97" w:rsidRDefault="00911D63">
            <w:pPr>
              <w:pStyle w:val="TableParagraph"/>
              <w:numPr>
                <w:ilvl w:val="0"/>
                <w:numId w:val="92"/>
              </w:numPr>
              <w:tabs>
                <w:tab w:val="left" w:pos="426"/>
                <w:tab w:val="left" w:pos="427"/>
              </w:tabs>
              <w:ind w:left="426"/>
              <w:rPr>
                <w:sz w:val="18"/>
              </w:rPr>
            </w:pPr>
            <w:r>
              <w:rPr>
                <w:sz w:val="18"/>
              </w:rPr>
              <w:t>Urban</w:t>
            </w:r>
            <w:r>
              <w:rPr>
                <w:spacing w:val="-3"/>
                <w:sz w:val="18"/>
              </w:rPr>
              <w:t xml:space="preserve"> </w:t>
            </w:r>
            <w:r>
              <w:rPr>
                <w:sz w:val="18"/>
              </w:rPr>
              <w:t>Water</w:t>
            </w:r>
            <w:r>
              <w:rPr>
                <w:spacing w:val="-2"/>
                <w:sz w:val="18"/>
              </w:rPr>
              <w:t xml:space="preserve"> Strategy</w:t>
            </w:r>
          </w:p>
          <w:p w14:paraId="4945EA01" w14:textId="77777777" w:rsidR="00141B97" w:rsidRDefault="00911D63">
            <w:pPr>
              <w:pStyle w:val="TableParagraph"/>
              <w:numPr>
                <w:ilvl w:val="0"/>
                <w:numId w:val="92"/>
              </w:numPr>
              <w:tabs>
                <w:tab w:val="left" w:pos="426"/>
                <w:tab w:val="left" w:pos="427"/>
              </w:tabs>
              <w:ind w:left="426"/>
              <w:rPr>
                <w:sz w:val="18"/>
              </w:rPr>
            </w:pPr>
            <w:r>
              <w:rPr>
                <w:sz w:val="18"/>
              </w:rPr>
              <w:t>Customer</w:t>
            </w:r>
            <w:r>
              <w:rPr>
                <w:spacing w:val="-6"/>
                <w:sz w:val="18"/>
              </w:rPr>
              <w:t xml:space="preserve"> </w:t>
            </w:r>
            <w:r>
              <w:rPr>
                <w:sz w:val="18"/>
              </w:rPr>
              <w:t>growth</w:t>
            </w:r>
            <w:r>
              <w:rPr>
                <w:spacing w:val="-6"/>
                <w:sz w:val="18"/>
              </w:rPr>
              <w:t xml:space="preserve"> </w:t>
            </w:r>
            <w:r>
              <w:rPr>
                <w:spacing w:val="-2"/>
                <w:sz w:val="18"/>
              </w:rPr>
              <w:t>forecast</w:t>
            </w:r>
          </w:p>
          <w:p w14:paraId="1A2F0354" w14:textId="77777777" w:rsidR="00141B97" w:rsidRDefault="00911D63">
            <w:pPr>
              <w:pStyle w:val="TableParagraph"/>
              <w:numPr>
                <w:ilvl w:val="0"/>
                <w:numId w:val="92"/>
              </w:numPr>
              <w:tabs>
                <w:tab w:val="left" w:pos="426"/>
                <w:tab w:val="left" w:pos="427"/>
              </w:tabs>
              <w:ind w:left="426" w:right="96"/>
              <w:rPr>
                <w:sz w:val="18"/>
              </w:rPr>
            </w:pPr>
            <w:r>
              <w:rPr>
                <w:sz w:val="18"/>
              </w:rPr>
              <w:t>Prudent demand forecast, considering customer growth, per capita demands, weather and climate, restrictions, demand management and price elasticity, including</w:t>
            </w:r>
            <w:r>
              <w:rPr>
                <w:spacing w:val="-4"/>
                <w:sz w:val="18"/>
              </w:rPr>
              <w:t xml:space="preserve"> </w:t>
            </w:r>
            <w:r>
              <w:rPr>
                <w:sz w:val="18"/>
              </w:rPr>
              <w:t>testing</w:t>
            </w:r>
            <w:r>
              <w:rPr>
                <w:spacing w:val="-3"/>
                <w:sz w:val="18"/>
              </w:rPr>
              <w:t xml:space="preserve"> </w:t>
            </w:r>
            <w:r>
              <w:rPr>
                <w:sz w:val="18"/>
              </w:rPr>
              <w:t>scenario</w:t>
            </w:r>
            <w:r>
              <w:rPr>
                <w:spacing w:val="-4"/>
                <w:sz w:val="18"/>
              </w:rPr>
              <w:t xml:space="preserve"> </w:t>
            </w:r>
            <w:r>
              <w:rPr>
                <w:sz w:val="18"/>
              </w:rPr>
              <w:t>options</w:t>
            </w:r>
            <w:r>
              <w:rPr>
                <w:spacing w:val="-3"/>
                <w:sz w:val="18"/>
              </w:rPr>
              <w:t xml:space="preserve"> </w:t>
            </w:r>
            <w:r>
              <w:rPr>
                <w:sz w:val="18"/>
              </w:rPr>
              <w:t>for</w:t>
            </w:r>
            <w:r>
              <w:rPr>
                <w:spacing w:val="-3"/>
                <w:sz w:val="18"/>
              </w:rPr>
              <w:t xml:space="preserve"> </w:t>
            </w:r>
            <w:r>
              <w:rPr>
                <w:sz w:val="18"/>
              </w:rPr>
              <w:t>length</w:t>
            </w:r>
            <w:r>
              <w:rPr>
                <w:spacing w:val="-3"/>
                <w:sz w:val="18"/>
              </w:rPr>
              <w:t xml:space="preserve"> </w:t>
            </w:r>
            <w:r>
              <w:rPr>
                <w:sz w:val="18"/>
              </w:rPr>
              <w:t>of</w:t>
            </w:r>
            <w:r>
              <w:rPr>
                <w:spacing w:val="-3"/>
                <w:sz w:val="18"/>
              </w:rPr>
              <w:t xml:space="preserve"> </w:t>
            </w:r>
            <w:r>
              <w:rPr>
                <w:sz w:val="18"/>
              </w:rPr>
              <w:t>weather period and climate (Medium and High).</w:t>
            </w:r>
          </w:p>
          <w:p w14:paraId="189F74A0" w14:textId="77777777" w:rsidR="00141B97" w:rsidRDefault="00911D63">
            <w:pPr>
              <w:pStyle w:val="TableParagraph"/>
              <w:numPr>
                <w:ilvl w:val="0"/>
                <w:numId w:val="92"/>
              </w:numPr>
              <w:tabs>
                <w:tab w:val="left" w:pos="426"/>
                <w:tab w:val="left" w:pos="427"/>
              </w:tabs>
              <w:ind w:left="426" w:right="114"/>
              <w:rPr>
                <w:sz w:val="18"/>
              </w:rPr>
            </w:pPr>
            <w:r>
              <w:rPr>
                <w:sz w:val="18"/>
              </w:rPr>
              <w:t>Two‐part</w:t>
            </w:r>
            <w:r>
              <w:rPr>
                <w:spacing w:val="-4"/>
                <w:sz w:val="18"/>
              </w:rPr>
              <w:t xml:space="preserve"> </w:t>
            </w:r>
            <w:r>
              <w:rPr>
                <w:sz w:val="18"/>
              </w:rPr>
              <w:t>tariff</w:t>
            </w:r>
            <w:r>
              <w:rPr>
                <w:spacing w:val="-4"/>
                <w:sz w:val="18"/>
              </w:rPr>
              <w:t xml:space="preserve"> </w:t>
            </w:r>
            <w:r>
              <w:rPr>
                <w:sz w:val="18"/>
              </w:rPr>
              <w:t>structure</w:t>
            </w:r>
            <w:r>
              <w:rPr>
                <w:spacing w:val="-4"/>
                <w:sz w:val="18"/>
              </w:rPr>
              <w:t xml:space="preserve"> </w:t>
            </w:r>
            <w:r>
              <w:rPr>
                <w:sz w:val="18"/>
              </w:rPr>
              <w:t>(fixed</w:t>
            </w:r>
            <w:r>
              <w:rPr>
                <w:spacing w:val="-5"/>
                <w:sz w:val="18"/>
              </w:rPr>
              <w:t xml:space="preserve"> </w:t>
            </w:r>
            <w:r>
              <w:rPr>
                <w:sz w:val="18"/>
              </w:rPr>
              <w:t>and</w:t>
            </w:r>
            <w:r>
              <w:rPr>
                <w:spacing w:val="-3"/>
                <w:sz w:val="18"/>
              </w:rPr>
              <w:t xml:space="preserve"> </w:t>
            </w:r>
            <w:r>
              <w:rPr>
                <w:sz w:val="18"/>
              </w:rPr>
              <w:t>volumetric</w:t>
            </w:r>
            <w:r>
              <w:rPr>
                <w:spacing w:val="-3"/>
                <w:sz w:val="18"/>
              </w:rPr>
              <w:t xml:space="preserve"> </w:t>
            </w:r>
            <w:r>
              <w:rPr>
                <w:sz w:val="18"/>
              </w:rPr>
              <w:t xml:space="preserve">charges) with three tiered volumetric tariffs for residential </w:t>
            </w:r>
            <w:r>
              <w:rPr>
                <w:spacing w:val="-2"/>
                <w:sz w:val="18"/>
              </w:rPr>
              <w:t>customers.</w:t>
            </w:r>
          </w:p>
          <w:p w14:paraId="3849E010" w14:textId="77777777" w:rsidR="00141B97" w:rsidRDefault="00911D63">
            <w:pPr>
              <w:pStyle w:val="TableParagraph"/>
              <w:numPr>
                <w:ilvl w:val="0"/>
                <w:numId w:val="92"/>
              </w:numPr>
              <w:tabs>
                <w:tab w:val="left" w:pos="426"/>
                <w:tab w:val="left" w:pos="427"/>
              </w:tabs>
              <w:ind w:left="426"/>
              <w:rPr>
                <w:sz w:val="18"/>
              </w:rPr>
            </w:pPr>
            <w:r>
              <w:rPr>
                <w:sz w:val="18"/>
              </w:rPr>
              <w:t>Future</w:t>
            </w:r>
            <w:r>
              <w:rPr>
                <w:spacing w:val="-2"/>
                <w:sz w:val="18"/>
              </w:rPr>
              <w:t xml:space="preserve"> </w:t>
            </w:r>
            <w:r>
              <w:rPr>
                <w:sz w:val="18"/>
              </w:rPr>
              <w:t>tariff</w:t>
            </w:r>
            <w:r>
              <w:rPr>
                <w:spacing w:val="-2"/>
                <w:sz w:val="18"/>
              </w:rPr>
              <w:t xml:space="preserve"> </w:t>
            </w:r>
            <w:r>
              <w:rPr>
                <w:sz w:val="18"/>
              </w:rPr>
              <w:t>structure</w:t>
            </w:r>
            <w:r>
              <w:rPr>
                <w:spacing w:val="-1"/>
                <w:sz w:val="18"/>
              </w:rPr>
              <w:t xml:space="preserve"> </w:t>
            </w:r>
            <w:r>
              <w:rPr>
                <w:spacing w:val="-2"/>
                <w:sz w:val="18"/>
              </w:rPr>
              <w:t>reform</w:t>
            </w:r>
          </w:p>
          <w:p w14:paraId="052599A9" w14:textId="77777777" w:rsidR="00141B97" w:rsidRDefault="00911D63">
            <w:pPr>
              <w:pStyle w:val="TableParagraph"/>
              <w:spacing w:before="60"/>
              <w:ind w:left="98"/>
              <w:rPr>
                <w:sz w:val="18"/>
              </w:rPr>
            </w:pPr>
            <w:r>
              <w:rPr>
                <w:spacing w:val="-2"/>
                <w:sz w:val="18"/>
              </w:rPr>
              <w:t>Rural:</w:t>
            </w:r>
          </w:p>
          <w:p w14:paraId="0E84A5B0" w14:textId="77777777" w:rsidR="00141B97" w:rsidRDefault="00911D63">
            <w:pPr>
              <w:pStyle w:val="TableParagraph"/>
              <w:numPr>
                <w:ilvl w:val="0"/>
                <w:numId w:val="92"/>
              </w:numPr>
              <w:tabs>
                <w:tab w:val="left" w:pos="426"/>
                <w:tab w:val="left" w:pos="427"/>
              </w:tabs>
              <w:spacing w:line="220" w:lineRule="atLeast"/>
              <w:ind w:left="426" w:right="243"/>
              <w:rPr>
                <w:sz w:val="18"/>
              </w:rPr>
            </w:pPr>
            <w:r>
              <w:rPr>
                <w:sz w:val="18"/>
              </w:rPr>
              <w:t>Demand</w:t>
            </w:r>
            <w:r>
              <w:rPr>
                <w:spacing w:val="-4"/>
                <w:sz w:val="18"/>
              </w:rPr>
              <w:t xml:space="preserve"> </w:t>
            </w:r>
            <w:r>
              <w:rPr>
                <w:sz w:val="18"/>
              </w:rPr>
              <w:t>forecast,</w:t>
            </w:r>
            <w:r>
              <w:rPr>
                <w:spacing w:val="-4"/>
                <w:sz w:val="18"/>
              </w:rPr>
              <w:t xml:space="preserve"> </w:t>
            </w:r>
            <w:r>
              <w:rPr>
                <w:sz w:val="18"/>
              </w:rPr>
              <w:t>considering</w:t>
            </w:r>
            <w:r>
              <w:rPr>
                <w:spacing w:val="-4"/>
                <w:sz w:val="18"/>
              </w:rPr>
              <w:t xml:space="preserve"> </w:t>
            </w:r>
            <w:r>
              <w:rPr>
                <w:sz w:val="18"/>
              </w:rPr>
              <w:t>customer</w:t>
            </w:r>
            <w:r>
              <w:rPr>
                <w:spacing w:val="-4"/>
                <w:sz w:val="18"/>
              </w:rPr>
              <w:t xml:space="preserve"> </w:t>
            </w:r>
            <w:r>
              <w:rPr>
                <w:sz w:val="18"/>
              </w:rPr>
              <w:t>growth,</w:t>
            </w:r>
            <w:r>
              <w:rPr>
                <w:spacing w:val="-4"/>
                <w:sz w:val="18"/>
              </w:rPr>
              <w:t xml:space="preserve"> </w:t>
            </w:r>
            <w:r>
              <w:rPr>
                <w:sz w:val="18"/>
              </w:rPr>
              <w:t>crop types, irrigation methods, weather, and climate.</w:t>
            </w:r>
          </w:p>
        </w:tc>
        <w:tc>
          <w:tcPr>
            <w:tcW w:w="3681" w:type="dxa"/>
            <w:shd w:val="clear" w:color="auto" w:fill="CCE2ED"/>
          </w:tcPr>
          <w:p w14:paraId="11D51ABF" w14:textId="77777777" w:rsidR="00141B97" w:rsidRDefault="00911D63">
            <w:pPr>
              <w:pStyle w:val="TableParagraph"/>
              <w:numPr>
                <w:ilvl w:val="0"/>
                <w:numId w:val="91"/>
              </w:numPr>
              <w:tabs>
                <w:tab w:val="left" w:pos="558"/>
                <w:tab w:val="left" w:pos="559"/>
              </w:tabs>
              <w:spacing w:before="120"/>
              <w:ind w:right="358"/>
              <w:rPr>
                <w:sz w:val="18"/>
              </w:rPr>
            </w:pPr>
            <w:r>
              <w:rPr>
                <w:sz w:val="18"/>
              </w:rPr>
              <w:t>For</w:t>
            </w:r>
            <w:r>
              <w:rPr>
                <w:spacing w:val="-2"/>
                <w:sz w:val="18"/>
              </w:rPr>
              <w:t xml:space="preserve"> </w:t>
            </w:r>
            <w:r>
              <w:rPr>
                <w:sz w:val="18"/>
              </w:rPr>
              <w:t>urban,</w:t>
            </w:r>
            <w:r>
              <w:rPr>
                <w:spacing w:val="-4"/>
                <w:sz w:val="18"/>
              </w:rPr>
              <w:t xml:space="preserve"> </w:t>
            </w:r>
            <w:r>
              <w:rPr>
                <w:sz w:val="18"/>
              </w:rPr>
              <w:t>LMW</w:t>
            </w:r>
            <w:r>
              <w:rPr>
                <w:spacing w:val="-4"/>
                <w:sz w:val="18"/>
              </w:rPr>
              <w:t xml:space="preserve"> </w:t>
            </w:r>
            <w:r>
              <w:rPr>
                <w:sz w:val="18"/>
              </w:rPr>
              <w:t>bears</w:t>
            </w:r>
            <w:r>
              <w:rPr>
                <w:spacing w:val="-3"/>
                <w:sz w:val="18"/>
              </w:rPr>
              <w:t xml:space="preserve"> </w:t>
            </w:r>
            <w:r>
              <w:rPr>
                <w:sz w:val="18"/>
              </w:rPr>
              <w:t>financial</w:t>
            </w:r>
            <w:r>
              <w:rPr>
                <w:spacing w:val="-3"/>
                <w:sz w:val="18"/>
              </w:rPr>
              <w:t xml:space="preserve"> </w:t>
            </w:r>
            <w:r>
              <w:rPr>
                <w:sz w:val="18"/>
              </w:rPr>
              <w:t>risk</w:t>
            </w:r>
            <w:r>
              <w:rPr>
                <w:spacing w:val="-3"/>
                <w:sz w:val="18"/>
              </w:rPr>
              <w:t xml:space="preserve"> </w:t>
            </w:r>
            <w:r>
              <w:rPr>
                <w:sz w:val="18"/>
              </w:rPr>
              <w:t>of lower than forecast demand.</w:t>
            </w:r>
          </w:p>
          <w:p w14:paraId="376FC1A4" w14:textId="77777777" w:rsidR="00141B97" w:rsidRDefault="00911D63">
            <w:pPr>
              <w:pStyle w:val="TableParagraph"/>
              <w:numPr>
                <w:ilvl w:val="0"/>
                <w:numId w:val="91"/>
              </w:numPr>
              <w:tabs>
                <w:tab w:val="left" w:pos="558"/>
                <w:tab w:val="left" w:pos="559"/>
              </w:tabs>
              <w:spacing w:before="60"/>
              <w:ind w:right="252"/>
              <w:rPr>
                <w:sz w:val="18"/>
              </w:rPr>
            </w:pPr>
            <w:r>
              <w:rPr>
                <w:sz w:val="18"/>
              </w:rPr>
              <w:t>For</w:t>
            </w:r>
            <w:r>
              <w:rPr>
                <w:spacing w:val="-2"/>
                <w:sz w:val="18"/>
              </w:rPr>
              <w:t xml:space="preserve"> </w:t>
            </w:r>
            <w:r>
              <w:rPr>
                <w:sz w:val="18"/>
              </w:rPr>
              <w:t>rural,</w:t>
            </w:r>
            <w:r>
              <w:rPr>
                <w:spacing w:val="-3"/>
                <w:sz w:val="18"/>
              </w:rPr>
              <w:t xml:space="preserve"> </w:t>
            </w:r>
            <w:r>
              <w:rPr>
                <w:sz w:val="18"/>
              </w:rPr>
              <w:t>LMW’s</w:t>
            </w:r>
            <w:r>
              <w:rPr>
                <w:spacing w:val="-4"/>
                <w:sz w:val="18"/>
              </w:rPr>
              <w:t xml:space="preserve"> </w:t>
            </w:r>
            <w:r>
              <w:rPr>
                <w:sz w:val="18"/>
              </w:rPr>
              <w:t>bears</w:t>
            </w:r>
            <w:r>
              <w:rPr>
                <w:spacing w:val="-3"/>
                <w:sz w:val="18"/>
              </w:rPr>
              <w:t xml:space="preserve"> </w:t>
            </w:r>
            <w:r>
              <w:rPr>
                <w:sz w:val="18"/>
              </w:rPr>
              <w:t>the</w:t>
            </w:r>
            <w:r>
              <w:rPr>
                <w:spacing w:val="-3"/>
                <w:sz w:val="18"/>
              </w:rPr>
              <w:t xml:space="preserve"> </w:t>
            </w:r>
            <w:r>
              <w:rPr>
                <w:sz w:val="18"/>
              </w:rPr>
              <w:t>risk</w:t>
            </w:r>
            <w:r>
              <w:rPr>
                <w:spacing w:val="-3"/>
                <w:sz w:val="18"/>
              </w:rPr>
              <w:t xml:space="preserve"> </w:t>
            </w:r>
            <w:r>
              <w:rPr>
                <w:sz w:val="18"/>
              </w:rPr>
              <w:t>of</w:t>
            </w:r>
            <w:r>
              <w:rPr>
                <w:spacing w:val="-3"/>
                <w:sz w:val="18"/>
              </w:rPr>
              <w:t xml:space="preserve"> </w:t>
            </w:r>
            <w:r>
              <w:rPr>
                <w:sz w:val="18"/>
              </w:rPr>
              <w:t>being unable to fully recover its costs in the case of higher‐than forecast demand.</w:t>
            </w:r>
          </w:p>
        </w:tc>
        <w:tc>
          <w:tcPr>
            <w:tcW w:w="3623" w:type="dxa"/>
            <w:tcBorders>
              <w:right w:val="nil"/>
            </w:tcBorders>
            <w:shd w:val="clear" w:color="auto" w:fill="CCE2ED"/>
          </w:tcPr>
          <w:p w14:paraId="55648984" w14:textId="77777777" w:rsidR="00141B97" w:rsidRDefault="00911D63">
            <w:pPr>
              <w:pStyle w:val="TableParagraph"/>
              <w:numPr>
                <w:ilvl w:val="0"/>
                <w:numId w:val="90"/>
              </w:numPr>
              <w:tabs>
                <w:tab w:val="left" w:pos="562"/>
                <w:tab w:val="left" w:pos="563"/>
              </w:tabs>
              <w:ind w:right="291"/>
              <w:rPr>
                <w:sz w:val="18"/>
              </w:rPr>
            </w:pPr>
            <w:r>
              <w:rPr>
                <w:sz w:val="18"/>
              </w:rPr>
              <w:t>Managing</w:t>
            </w:r>
            <w:r>
              <w:rPr>
                <w:spacing w:val="-5"/>
                <w:sz w:val="18"/>
              </w:rPr>
              <w:t xml:space="preserve"> </w:t>
            </w:r>
            <w:r>
              <w:rPr>
                <w:sz w:val="18"/>
              </w:rPr>
              <w:t>individual</w:t>
            </w:r>
            <w:r>
              <w:rPr>
                <w:spacing w:val="-5"/>
                <w:sz w:val="18"/>
              </w:rPr>
              <w:t xml:space="preserve"> </w:t>
            </w:r>
            <w:r>
              <w:rPr>
                <w:sz w:val="18"/>
              </w:rPr>
              <w:t>water</w:t>
            </w:r>
            <w:r>
              <w:rPr>
                <w:spacing w:val="-4"/>
                <w:sz w:val="18"/>
              </w:rPr>
              <w:t xml:space="preserve"> </w:t>
            </w:r>
            <w:r>
              <w:rPr>
                <w:sz w:val="18"/>
              </w:rPr>
              <w:t>demand</w:t>
            </w:r>
            <w:r>
              <w:rPr>
                <w:spacing w:val="-5"/>
                <w:sz w:val="18"/>
              </w:rPr>
              <w:t xml:space="preserve"> </w:t>
            </w:r>
            <w:r>
              <w:rPr>
                <w:sz w:val="18"/>
              </w:rPr>
              <w:t>to minimise water bill.</w:t>
            </w:r>
          </w:p>
          <w:p w14:paraId="0CFC7E19" w14:textId="77777777" w:rsidR="00141B97" w:rsidRDefault="00911D63">
            <w:pPr>
              <w:pStyle w:val="TableParagraph"/>
              <w:numPr>
                <w:ilvl w:val="0"/>
                <w:numId w:val="90"/>
              </w:numPr>
              <w:tabs>
                <w:tab w:val="left" w:pos="562"/>
                <w:tab w:val="left" w:pos="563"/>
              </w:tabs>
              <w:ind w:right="215"/>
              <w:rPr>
                <w:sz w:val="18"/>
              </w:rPr>
            </w:pPr>
            <w:r>
              <w:rPr>
                <w:sz w:val="18"/>
              </w:rPr>
              <w:t>For</w:t>
            </w:r>
            <w:r>
              <w:rPr>
                <w:spacing w:val="-3"/>
                <w:sz w:val="18"/>
              </w:rPr>
              <w:t xml:space="preserve"> </w:t>
            </w:r>
            <w:r>
              <w:rPr>
                <w:sz w:val="18"/>
              </w:rPr>
              <w:t>urban,</w:t>
            </w:r>
            <w:r>
              <w:rPr>
                <w:spacing w:val="-5"/>
                <w:sz w:val="18"/>
              </w:rPr>
              <w:t xml:space="preserve"> </w:t>
            </w:r>
            <w:r>
              <w:rPr>
                <w:sz w:val="18"/>
              </w:rPr>
              <w:t>higher</w:t>
            </w:r>
            <w:r>
              <w:rPr>
                <w:spacing w:val="-3"/>
                <w:sz w:val="18"/>
              </w:rPr>
              <w:t xml:space="preserve"> </w:t>
            </w:r>
            <w:r>
              <w:rPr>
                <w:sz w:val="18"/>
              </w:rPr>
              <w:t>costs</w:t>
            </w:r>
            <w:r>
              <w:rPr>
                <w:spacing w:val="-3"/>
                <w:sz w:val="18"/>
              </w:rPr>
              <w:t xml:space="preserve"> </w:t>
            </w:r>
            <w:r>
              <w:rPr>
                <w:sz w:val="18"/>
              </w:rPr>
              <w:t>over</w:t>
            </w:r>
            <w:r>
              <w:rPr>
                <w:spacing w:val="-3"/>
                <w:sz w:val="18"/>
              </w:rPr>
              <w:t xml:space="preserve"> </w:t>
            </w:r>
            <w:r>
              <w:rPr>
                <w:sz w:val="18"/>
              </w:rPr>
              <w:t>the</w:t>
            </w:r>
            <w:r>
              <w:rPr>
                <w:spacing w:val="-4"/>
                <w:sz w:val="18"/>
              </w:rPr>
              <w:t xml:space="preserve"> </w:t>
            </w:r>
            <w:r>
              <w:rPr>
                <w:sz w:val="18"/>
              </w:rPr>
              <w:t>period in the event of higher than forecast demand but mitigated by LMW’s practice of returning revenues to customers where demand significantly exceeds forecast.</w:t>
            </w:r>
          </w:p>
        </w:tc>
      </w:tr>
      <w:tr w:rsidR="00141B97" w14:paraId="4C8B51E6" w14:textId="77777777">
        <w:trPr>
          <w:trHeight w:val="1996"/>
          <w:tblCellSpacing w:w="9" w:type="dxa"/>
        </w:trPr>
        <w:tc>
          <w:tcPr>
            <w:tcW w:w="2659" w:type="dxa"/>
            <w:tcBorders>
              <w:left w:val="nil"/>
              <w:bottom w:val="nil"/>
            </w:tcBorders>
            <w:shd w:val="clear" w:color="auto" w:fill="CCE2ED"/>
          </w:tcPr>
          <w:p w14:paraId="7FE4C541" w14:textId="77777777" w:rsidR="00141B97" w:rsidRDefault="00911D63">
            <w:pPr>
              <w:pStyle w:val="TableParagraph"/>
              <w:ind w:left="88"/>
              <w:rPr>
                <w:sz w:val="18"/>
              </w:rPr>
            </w:pPr>
            <w:r>
              <w:rPr>
                <w:sz w:val="18"/>
              </w:rPr>
              <w:t xml:space="preserve">Planning </w:t>
            </w:r>
            <w:r>
              <w:rPr>
                <w:spacing w:val="-2"/>
                <w:sz w:val="18"/>
              </w:rPr>
              <w:t>risks:</w:t>
            </w:r>
          </w:p>
          <w:p w14:paraId="067044A1" w14:textId="77777777" w:rsidR="00141B97" w:rsidRDefault="00911D63">
            <w:pPr>
              <w:pStyle w:val="TableParagraph"/>
              <w:ind w:left="88" w:right="103"/>
              <w:rPr>
                <w:sz w:val="18"/>
              </w:rPr>
            </w:pPr>
            <w:r>
              <w:rPr>
                <w:sz w:val="18"/>
              </w:rPr>
              <w:t>Proposed</w:t>
            </w:r>
            <w:r>
              <w:rPr>
                <w:spacing w:val="-5"/>
                <w:sz w:val="18"/>
              </w:rPr>
              <w:t xml:space="preserve"> </w:t>
            </w:r>
            <w:r>
              <w:rPr>
                <w:sz w:val="18"/>
              </w:rPr>
              <w:t>capital</w:t>
            </w:r>
            <w:r>
              <w:rPr>
                <w:spacing w:val="-5"/>
                <w:sz w:val="18"/>
              </w:rPr>
              <w:t xml:space="preserve"> </w:t>
            </w:r>
            <w:r>
              <w:rPr>
                <w:sz w:val="18"/>
              </w:rPr>
              <w:t>program</w:t>
            </w:r>
            <w:r>
              <w:rPr>
                <w:spacing w:val="-5"/>
                <w:sz w:val="18"/>
              </w:rPr>
              <w:t xml:space="preserve"> </w:t>
            </w:r>
            <w:r>
              <w:rPr>
                <w:sz w:val="18"/>
              </w:rPr>
              <w:t>does not</w:t>
            </w:r>
            <w:r>
              <w:rPr>
                <w:spacing w:val="-6"/>
                <w:sz w:val="18"/>
              </w:rPr>
              <w:t xml:space="preserve"> </w:t>
            </w:r>
            <w:r>
              <w:rPr>
                <w:sz w:val="18"/>
              </w:rPr>
              <w:t>meet</w:t>
            </w:r>
            <w:r>
              <w:rPr>
                <w:spacing w:val="-6"/>
                <w:sz w:val="18"/>
              </w:rPr>
              <w:t xml:space="preserve"> </w:t>
            </w:r>
            <w:r>
              <w:rPr>
                <w:sz w:val="18"/>
              </w:rPr>
              <w:t>agreed</w:t>
            </w:r>
            <w:r>
              <w:rPr>
                <w:spacing w:val="-5"/>
                <w:sz w:val="18"/>
              </w:rPr>
              <w:t xml:space="preserve"> </w:t>
            </w:r>
            <w:r>
              <w:rPr>
                <w:sz w:val="18"/>
              </w:rPr>
              <w:t>commitments due to inadequate planning or delivery</w:t>
            </w:r>
            <w:r>
              <w:rPr>
                <w:spacing w:val="-2"/>
                <w:sz w:val="18"/>
              </w:rPr>
              <w:t xml:space="preserve"> </w:t>
            </w:r>
            <w:r>
              <w:rPr>
                <w:sz w:val="18"/>
              </w:rPr>
              <w:t>processes.</w:t>
            </w:r>
          </w:p>
        </w:tc>
        <w:tc>
          <w:tcPr>
            <w:tcW w:w="4551" w:type="dxa"/>
            <w:tcBorders>
              <w:bottom w:val="nil"/>
            </w:tcBorders>
            <w:shd w:val="clear" w:color="auto" w:fill="CCE2ED"/>
          </w:tcPr>
          <w:p w14:paraId="1C058B43" w14:textId="77777777" w:rsidR="00141B97" w:rsidRDefault="00911D63">
            <w:pPr>
              <w:pStyle w:val="TableParagraph"/>
              <w:numPr>
                <w:ilvl w:val="0"/>
                <w:numId w:val="89"/>
              </w:numPr>
              <w:tabs>
                <w:tab w:val="left" w:pos="426"/>
                <w:tab w:val="left" w:pos="427"/>
              </w:tabs>
              <w:ind w:left="426" w:right="242"/>
              <w:rPr>
                <w:sz w:val="18"/>
              </w:rPr>
            </w:pPr>
            <w:r>
              <w:rPr>
                <w:sz w:val="18"/>
              </w:rPr>
              <w:t>Capital Planning and Forecasting Framework to establish</w:t>
            </w:r>
            <w:r>
              <w:rPr>
                <w:spacing w:val="-3"/>
                <w:sz w:val="18"/>
              </w:rPr>
              <w:t xml:space="preserve"> </w:t>
            </w:r>
            <w:r>
              <w:rPr>
                <w:sz w:val="18"/>
              </w:rPr>
              <w:t>and</w:t>
            </w:r>
            <w:r>
              <w:rPr>
                <w:spacing w:val="-3"/>
                <w:sz w:val="18"/>
              </w:rPr>
              <w:t xml:space="preserve"> </w:t>
            </w:r>
            <w:r>
              <w:rPr>
                <w:sz w:val="18"/>
              </w:rPr>
              <w:t>deliver</w:t>
            </w:r>
            <w:r>
              <w:rPr>
                <w:spacing w:val="-3"/>
                <w:sz w:val="18"/>
              </w:rPr>
              <w:t xml:space="preserve"> </w:t>
            </w:r>
            <w:r>
              <w:rPr>
                <w:sz w:val="18"/>
              </w:rPr>
              <w:t>processes</w:t>
            </w:r>
            <w:r>
              <w:rPr>
                <w:spacing w:val="-4"/>
                <w:sz w:val="18"/>
              </w:rPr>
              <w:t xml:space="preserve"> </w:t>
            </w:r>
            <w:r>
              <w:rPr>
                <w:sz w:val="18"/>
              </w:rPr>
              <w:t>for</w:t>
            </w:r>
            <w:r>
              <w:rPr>
                <w:spacing w:val="-3"/>
                <w:sz w:val="18"/>
              </w:rPr>
              <w:t xml:space="preserve"> </w:t>
            </w:r>
            <w:r>
              <w:rPr>
                <w:sz w:val="18"/>
              </w:rPr>
              <w:t>program</w:t>
            </w:r>
            <w:r>
              <w:rPr>
                <w:spacing w:val="-3"/>
                <w:sz w:val="18"/>
              </w:rPr>
              <w:t xml:space="preserve"> </w:t>
            </w:r>
            <w:r>
              <w:rPr>
                <w:sz w:val="18"/>
              </w:rPr>
              <w:t xml:space="preserve">planning, collation, prioritisation, and approval of the capital </w:t>
            </w:r>
            <w:r>
              <w:rPr>
                <w:spacing w:val="-2"/>
                <w:sz w:val="18"/>
              </w:rPr>
              <w:t>program.</w:t>
            </w:r>
          </w:p>
          <w:p w14:paraId="1BBC5AB7" w14:textId="77777777" w:rsidR="00141B97" w:rsidRDefault="00911D63">
            <w:pPr>
              <w:pStyle w:val="TableParagraph"/>
              <w:numPr>
                <w:ilvl w:val="0"/>
                <w:numId w:val="89"/>
              </w:numPr>
              <w:tabs>
                <w:tab w:val="left" w:pos="426"/>
                <w:tab w:val="left" w:pos="427"/>
              </w:tabs>
              <w:ind w:left="426" w:right="268"/>
              <w:rPr>
                <w:sz w:val="18"/>
              </w:rPr>
            </w:pPr>
            <w:r>
              <w:rPr>
                <w:sz w:val="18"/>
              </w:rPr>
              <w:t>Nomination</w:t>
            </w:r>
            <w:r>
              <w:rPr>
                <w:spacing w:val="-2"/>
                <w:sz w:val="18"/>
              </w:rPr>
              <w:t xml:space="preserve"> </w:t>
            </w:r>
            <w:r>
              <w:rPr>
                <w:sz w:val="18"/>
              </w:rPr>
              <w:t>of</w:t>
            </w:r>
            <w:r>
              <w:rPr>
                <w:spacing w:val="-2"/>
                <w:sz w:val="18"/>
              </w:rPr>
              <w:t xml:space="preserve"> </w:t>
            </w:r>
            <w:r>
              <w:rPr>
                <w:sz w:val="18"/>
              </w:rPr>
              <w:t>uncertain</w:t>
            </w:r>
            <w:r>
              <w:rPr>
                <w:spacing w:val="-3"/>
                <w:sz w:val="18"/>
              </w:rPr>
              <w:t xml:space="preserve"> </w:t>
            </w:r>
            <w:r>
              <w:rPr>
                <w:sz w:val="18"/>
              </w:rPr>
              <w:t>projects</w:t>
            </w:r>
            <w:r>
              <w:rPr>
                <w:spacing w:val="-4"/>
                <w:sz w:val="18"/>
              </w:rPr>
              <w:t xml:space="preserve"> </w:t>
            </w:r>
            <w:r>
              <w:rPr>
                <w:sz w:val="18"/>
              </w:rPr>
              <w:t>where</w:t>
            </w:r>
            <w:r>
              <w:rPr>
                <w:spacing w:val="-3"/>
                <w:sz w:val="18"/>
              </w:rPr>
              <w:t xml:space="preserve"> </w:t>
            </w:r>
            <w:r>
              <w:rPr>
                <w:sz w:val="18"/>
              </w:rPr>
              <w:t>likelihood</w:t>
            </w:r>
            <w:r>
              <w:rPr>
                <w:spacing w:val="-3"/>
                <w:sz w:val="18"/>
              </w:rPr>
              <w:t xml:space="preserve"> </w:t>
            </w:r>
            <w:r>
              <w:rPr>
                <w:sz w:val="18"/>
              </w:rPr>
              <w:t>of project occurring is unclear, or where scope and/or program is highly uncertain.</w:t>
            </w:r>
          </w:p>
        </w:tc>
        <w:tc>
          <w:tcPr>
            <w:tcW w:w="3681" w:type="dxa"/>
            <w:tcBorders>
              <w:bottom w:val="nil"/>
            </w:tcBorders>
            <w:shd w:val="clear" w:color="auto" w:fill="CCE2ED"/>
          </w:tcPr>
          <w:p w14:paraId="23F0DC00" w14:textId="77777777" w:rsidR="00141B97" w:rsidRDefault="00911D63">
            <w:pPr>
              <w:pStyle w:val="TableParagraph"/>
              <w:numPr>
                <w:ilvl w:val="0"/>
                <w:numId w:val="88"/>
              </w:numPr>
              <w:tabs>
                <w:tab w:val="left" w:pos="427"/>
                <w:tab w:val="left" w:pos="428"/>
              </w:tabs>
              <w:ind w:right="140"/>
              <w:rPr>
                <w:sz w:val="18"/>
              </w:rPr>
            </w:pPr>
            <w:r>
              <w:rPr>
                <w:sz w:val="18"/>
              </w:rPr>
              <w:t>Risks relating to scoping, cost estimating, timing</w:t>
            </w:r>
            <w:r>
              <w:rPr>
                <w:spacing w:val="-4"/>
                <w:sz w:val="18"/>
              </w:rPr>
              <w:t xml:space="preserve"> </w:t>
            </w:r>
            <w:r>
              <w:rPr>
                <w:sz w:val="18"/>
              </w:rPr>
              <w:t>and</w:t>
            </w:r>
            <w:r>
              <w:rPr>
                <w:spacing w:val="-3"/>
                <w:sz w:val="18"/>
              </w:rPr>
              <w:t xml:space="preserve"> </w:t>
            </w:r>
            <w:r>
              <w:rPr>
                <w:sz w:val="18"/>
              </w:rPr>
              <w:t>approval</w:t>
            </w:r>
            <w:r>
              <w:rPr>
                <w:spacing w:val="-4"/>
                <w:sz w:val="18"/>
              </w:rPr>
              <w:t xml:space="preserve"> </w:t>
            </w:r>
            <w:r>
              <w:rPr>
                <w:sz w:val="18"/>
              </w:rPr>
              <w:t>of</w:t>
            </w:r>
            <w:r>
              <w:rPr>
                <w:spacing w:val="-3"/>
                <w:sz w:val="18"/>
              </w:rPr>
              <w:t xml:space="preserve"> </w:t>
            </w:r>
            <w:r>
              <w:rPr>
                <w:sz w:val="18"/>
              </w:rPr>
              <w:t>capital</w:t>
            </w:r>
            <w:r>
              <w:rPr>
                <w:spacing w:val="-3"/>
                <w:sz w:val="18"/>
              </w:rPr>
              <w:t xml:space="preserve"> </w:t>
            </w:r>
            <w:r>
              <w:rPr>
                <w:sz w:val="18"/>
              </w:rPr>
              <w:t>projects</w:t>
            </w:r>
            <w:r>
              <w:rPr>
                <w:spacing w:val="-3"/>
                <w:sz w:val="18"/>
              </w:rPr>
              <w:t xml:space="preserve"> </w:t>
            </w:r>
            <w:r>
              <w:rPr>
                <w:sz w:val="18"/>
              </w:rPr>
              <w:t>and programs. Risk of incurring capital costs that may not be rolled into the RAB.</w:t>
            </w:r>
          </w:p>
          <w:p w14:paraId="6A34A458" w14:textId="77777777" w:rsidR="00141B97" w:rsidRDefault="00911D63">
            <w:pPr>
              <w:pStyle w:val="TableParagraph"/>
              <w:numPr>
                <w:ilvl w:val="0"/>
                <w:numId w:val="88"/>
              </w:numPr>
              <w:tabs>
                <w:tab w:val="left" w:pos="427"/>
                <w:tab w:val="left" w:pos="428"/>
              </w:tabs>
              <w:ind w:right="309"/>
              <w:rPr>
                <w:sz w:val="18"/>
              </w:rPr>
            </w:pPr>
            <w:r>
              <w:rPr>
                <w:sz w:val="18"/>
              </w:rPr>
              <w:t>Risk that uncertain projects which have been</w:t>
            </w:r>
            <w:r>
              <w:rPr>
                <w:spacing w:val="-3"/>
                <w:sz w:val="18"/>
              </w:rPr>
              <w:t xml:space="preserve"> </w:t>
            </w:r>
            <w:r>
              <w:rPr>
                <w:sz w:val="18"/>
              </w:rPr>
              <w:t>excluded</w:t>
            </w:r>
            <w:r>
              <w:rPr>
                <w:spacing w:val="-3"/>
                <w:sz w:val="18"/>
              </w:rPr>
              <w:t xml:space="preserve"> </w:t>
            </w:r>
            <w:r>
              <w:rPr>
                <w:sz w:val="18"/>
              </w:rPr>
              <w:t>from</w:t>
            </w:r>
            <w:r>
              <w:rPr>
                <w:spacing w:val="-3"/>
                <w:sz w:val="18"/>
              </w:rPr>
              <w:t xml:space="preserve"> </w:t>
            </w:r>
            <w:r>
              <w:rPr>
                <w:sz w:val="18"/>
              </w:rPr>
              <w:t>the</w:t>
            </w:r>
            <w:r>
              <w:rPr>
                <w:spacing w:val="-4"/>
                <w:sz w:val="18"/>
              </w:rPr>
              <w:t xml:space="preserve"> </w:t>
            </w:r>
            <w:r>
              <w:rPr>
                <w:sz w:val="18"/>
              </w:rPr>
              <w:t>capital</w:t>
            </w:r>
            <w:r>
              <w:rPr>
                <w:spacing w:val="-3"/>
                <w:sz w:val="18"/>
              </w:rPr>
              <w:t xml:space="preserve"> </w:t>
            </w:r>
            <w:r>
              <w:rPr>
                <w:sz w:val="18"/>
              </w:rPr>
              <w:t>plan,</w:t>
            </w:r>
            <w:r>
              <w:rPr>
                <w:spacing w:val="-3"/>
                <w:sz w:val="18"/>
              </w:rPr>
              <w:t xml:space="preserve"> </w:t>
            </w:r>
            <w:r>
              <w:rPr>
                <w:sz w:val="18"/>
              </w:rPr>
              <w:t>are required during PS5 requiring capital investment</w:t>
            </w:r>
            <w:r>
              <w:rPr>
                <w:spacing w:val="-3"/>
                <w:sz w:val="18"/>
              </w:rPr>
              <w:t xml:space="preserve"> </w:t>
            </w:r>
            <w:r>
              <w:rPr>
                <w:sz w:val="18"/>
              </w:rPr>
              <w:t>at</w:t>
            </w:r>
            <w:r>
              <w:rPr>
                <w:spacing w:val="-3"/>
                <w:sz w:val="18"/>
              </w:rPr>
              <w:t xml:space="preserve"> </w:t>
            </w:r>
            <w:r>
              <w:rPr>
                <w:sz w:val="18"/>
              </w:rPr>
              <w:t>levels</w:t>
            </w:r>
            <w:r>
              <w:rPr>
                <w:spacing w:val="-3"/>
                <w:sz w:val="18"/>
              </w:rPr>
              <w:t xml:space="preserve"> </w:t>
            </w:r>
            <w:r>
              <w:rPr>
                <w:sz w:val="18"/>
              </w:rPr>
              <w:t>above</w:t>
            </w:r>
            <w:r>
              <w:rPr>
                <w:spacing w:val="-3"/>
                <w:sz w:val="18"/>
              </w:rPr>
              <w:t xml:space="preserve"> </w:t>
            </w:r>
            <w:r>
              <w:rPr>
                <w:sz w:val="18"/>
              </w:rPr>
              <w:t>what</w:t>
            </w:r>
            <w:r>
              <w:rPr>
                <w:spacing w:val="-4"/>
                <w:sz w:val="18"/>
              </w:rPr>
              <w:t xml:space="preserve"> </w:t>
            </w:r>
            <w:r>
              <w:rPr>
                <w:sz w:val="18"/>
              </w:rPr>
              <w:t>is</w:t>
            </w:r>
            <w:r>
              <w:rPr>
                <w:spacing w:val="-2"/>
                <w:sz w:val="18"/>
              </w:rPr>
              <w:t xml:space="preserve"> </w:t>
            </w:r>
            <w:r>
              <w:rPr>
                <w:sz w:val="18"/>
              </w:rPr>
              <w:t>being</w:t>
            </w:r>
          </w:p>
          <w:p w14:paraId="0091B497" w14:textId="77777777" w:rsidR="00141B97" w:rsidRDefault="00911D63">
            <w:pPr>
              <w:pStyle w:val="TableParagraph"/>
              <w:spacing w:line="199" w:lineRule="exact"/>
              <w:ind w:left="427"/>
              <w:rPr>
                <w:sz w:val="18"/>
              </w:rPr>
            </w:pPr>
            <w:r>
              <w:rPr>
                <w:sz w:val="18"/>
              </w:rPr>
              <w:t>recovered</w:t>
            </w:r>
            <w:r>
              <w:rPr>
                <w:spacing w:val="-2"/>
                <w:sz w:val="18"/>
              </w:rPr>
              <w:t xml:space="preserve"> </w:t>
            </w:r>
            <w:r>
              <w:rPr>
                <w:sz w:val="18"/>
              </w:rPr>
              <w:t xml:space="preserve">in </w:t>
            </w:r>
            <w:r>
              <w:rPr>
                <w:spacing w:val="-2"/>
                <w:sz w:val="18"/>
              </w:rPr>
              <w:t>prices.</w:t>
            </w:r>
          </w:p>
        </w:tc>
        <w:tc>
          <w:tcPr>
            <w:tcW w:w="3623" w:type="dxa"/>
            <w:tcBorders>
              <w:bottom w:val="nil"/>
              <w:right w:val="nil"/>
            </w:tcBorders>
            <w:shd w:val="clear" w:color="auto" w:fill="CCE2ED"/>
          </w:tcPr>
          <w:p w14:paraId="70C9B88E" w14:textId="77777777" w:rsidR="00141B97" w:rsidRDefault="00911D63">
            <w:pPr>
              <w:pStyle w:val="TableParagraph"/>
              <w:numPr>
                <w:ilvl w:val="0"/>
                <w:numId w:val="87"/>
              </w:numPr>
              <w:tabs>
                <w:tab w:val="left" w:pos="414"/>
              </w:tabs>
              <w:ind w:right="140"/>
              <w:rPr>
                <w:sz w:val="18"/>
              </w:rPr>
            </w:pPr>
            <w:r>
              <w:rPr>
                <w:sz w:val="18"/>
              </w:rPr>
              <w:t>Risk of not receiving agreed customer outcomes</w:t>
            </w:r>
            <w:r>
              <w:rPr>
                <w:spacing w:val="-5"/>
                <w:sz w:val="18"/>
              </w:rPr>
              <w:t xml:space="preserve"> </w:t>
            </w:r>
            <w:r>
              <w:rPr>
                <w:sz w:val="18"/>
              </w:rPr>
              <w:t>and</w:t>
            </w:r>
            <w:r>
              <w:rPr>
                <w:spacing w:val="-5"/>
                <w:sz w:val="18"/>
              </w:rPr>
              <w:t xml:space="preserve"> </w:t>
            </w:r>
            <w:r>
              <w:rPr>
                <w:sz w:val="18"/>
              </w:rPr>
              <w:t>service</w:t>
            </w:r>
            <w:r>
              <w:rPr>
                <w:spacing w:val="-5"/>
                <w:sz w:val="18"/>
              </w:rPr>
              <w:t xml:space="preserve"> </w:t>
            </w:r>
            <w:r>
              <w:rPr>
                <w:sz w:val="18"/>
              </w:rPr>
              <w:t>performance</w:t>
            </w:r>
            <w:r>
              <w:rPr>
                <w:spacing w:val="-5"/>
                <w:sz w:val="18"/>
              </w:rPr>
              <w:t xml:space="preserve"> </w:t>
            </w:r>
            <w:r>
              <w:rPr>
                <w:sz w:val="18"/>
              </w:rPr>
              <w:t>levels.</w:t>
            </w:r>
          </w:p>
          <w:p w14:paraId="05BA062B" w14:textId="77777777" w:rsidR="00141B97" w:rsidRDefault="00911D63">
            <w:pPr>
              <w:pStyle w:val="TableParagraph"/>
              <w:numPr>
                <w:ilvl w:val="0"/>
                <w:numId w:val="87"/>
              </w:numPr>
              <w:tabs>
                <w:tab w:val="left" w:pos="414"/>
              </w:tabs>
              <w:spacing w:line="229" w:lineRule="exact"/>
              <w:ind w:hanging="283"/>
              <w:rPr>
                <w:sz w:val="18"/>
              </w:rPr>
            </w:pPr>
            <w:r>
              <w:rPr>
                <w:sz w:val="18"/>
              </w:rPr>
              <w:t>Risk</w:t>
            </w:r>
            <w:r>
              <w:rPr>
                <w:spacing w:val="-2"/>
                <w:sz w:val="18"/>
              </w:rPr>
              <w:t xml:space="preserve"> </w:t>
            </w:r>
            <w:r>
              <w:rPr>
                <w:sz w:val="18"/>
              </w:rPr>
              <w:t>of</w:t>
            </w:r>
            <w:r>
              <w:rPr>
                <w:spacing w:val="-1"/>
                <w:sz w:val="18"/>
              </w:rPr>
              <w:t xml:space="preserve"> </w:t>
            </w:r>
            <w:r>
              <w:rPr>
                <w:sz w:val="18"/>
              </w:rPr>
              <w:t>bearing</w:t>
            </w:r>
            <w:r>
              <w:rPr>
                <w:spacing w:val="-2"/>
                <w:sz w:val="18"/>
              </w:rPr>
              <w:t xml:space="preserve"> </w:t>
            </w:r>
            <w:r>
              <w:rPr>
                <w:sz w:val="18"/>
              </w:rPr>
              <w:t>inefficient</w:t>
            </w:r>
            <w:r>
              <w:rPr>
                <w:spacing w:val="-1"/>
                <w:sz w:val="18"/>
              </w:rPr>
              <w:t xml:space="preserve"> </w:t>
            </w:r>
            <w:r>
              <w:rPr>
                <w:spacing w:val="-2"/>
                <w:sz w:val="18"/>
              </w:rPr>
              <w:t>costs.</w:t>
            </w:r>
          </w:p>
        </w:tc>
      </w:tr>
    </w:tbl>
    <w:p w14:paraId="17D1B9D3" w14:textId="77777777" w:rsidR="00141B97" w:rsidRDefault="00141B97">
      <w:pPr>
        <w:spacing w:line="229" w:lineRule="exact"/>
        <w:rPr>
          <w:sz w:val="18"/>
        </w:rPr>
        <w:sectPr w:rsidR="00141B97">
          <w:footerReference w:type="default" r:id="rId66"/>
          <w:pgSz w:w="16840" w:h="11910" w:orient="landscape"/>
          <w:pgMar w:top="1220" w:right="1060" w:bottom="880" w:left="1020" w:header="0" w:footer="689" w:gutter="0"/>
          <w:cols w:space="720"/>
        </w:sectPr>
      </w:pPr>
    </w:p>
    <w:p w14:paraId="63D2A240" w14:textId="77777777" w:rsidR="00141B97" w:rsidRDefault="00141B97">
      <w:pPr>
        <w:pStyle w:val="BodyText"/>
        <w:spacing w:before="1"/>
        <w:rPr>
          <w:sz w:val="2"/>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686"/>
        <w:gridCol w:w="4569"/>
        <w:gridCol w:w="3699"/>
        <w:gridCol w:w="3650"/>
      </w:tblGrid>
      <w:tr w:rsidR="00141B97" w14:paraId="7C87E6AF" w14:textId="77777777">
        <w:trPr>
          <w:trHeight w:val="389"/>
          <w:tblCellSpacing w:w="9" w:type="dxa"/>
        </w:trPr>
        <w:tc>
          <w:tcPr>
            <w:tcW w:w="2659" w:type="dxa"/>
            <w:tcBorders>
              <w:top w:val="nil"/>
              <w:left w:val="nil"/>
            </w:tcBorders>
            <w:shd w:val="clear" w:color="auto" w:fill="0064A4"/>
          </w:tcPr>
          <w:p w14:paraId="22A75FD9" w14:textId="77777777" w:rsidR="00141B97" w:rsidRDefault="00911D63">
            <w:pPr>
              <w:pStyle w:val="TableParagraph"/>
              <w:spacing w:before="61"/>
              <w:ind w:left="88"/>
            </w:pPr>
            <w:r>
              <w:rPr>
                <w:color w:val="FFFFFF"/>
              </w:rPr>
              <w:t>LMW</w:t>
            </w:r>
            <w:r>
              <w:rPr>
                <w:color w:val="FFFFFF"/>
                <w:spacing w:val="-7"/>
              </w:rPr>
              <w:t xml:space="preserve"> </w:t>
            </w:r>
            <w:r>
              <w:rPr>
                <w:color w:val="FFFFFF"/>
              </w:rPr>
              <w:t>Business</w:t>
            </w:r>
            <w:r>
              <w:rPr>
                <w:color w:val="FFFFFF"/>
                <w:spacing w:val="-6"/>
              </w:rPr>
              <w:t xml:space="preserve"> </w:t>
            </w:r>
            <w:r>
              <w:rPr>
                <w:color w:val="FFFFFF"/>
                <w:spacing w:val="-4"/>
              </w:rPr>
              <w:t>Risk</w:t>
            </w:r>
          </w:p>
        </w:tc>
        <w:tc>
          <w:tcPr>
            <w:tcW w:w="4551" w:type="dxa"/>
            <w:tcBorders>
              <w:top w:val="nil"/>
            </w:tcBorders>
            <w:shd w:val="clear" w:color="auto" w:fill="0064A4"/>
          </w:tcPr>
          <w:p w14:paraId="0A14BF35" w14:textId="77777777" w:rsidR="00141B97" w:rsidRDefault="00911D63">
            <w:pPr>
              <w:pStyle w:val="TableParagraph"/>
              <w:spacing w:before="61"/>
              <w:ind w:left="98"/>
            </w:pPr>
            <w:r>
              <w:rPr>
                <w:color w:val="FFFFFF"/>
              </w:rPr>
              <w:t>LMW</w:t>
            </w:r>
            <w:r>
              <w:rPr>
                <w:color w:val="FFFFFF"/>
                <w:spacing w:val="-7"/>
              </w:rPr>
              <w:t xml:space="preserve"> </w:t>
            </w:r>
            <w:r>
              <w:rPr>
                <w:color w:val="FFFFFF"/>
              </w:rPr>
              <w:t>Risk</w:t>
            </w:r>
            <w:r>
              <w:rPr>
                <w:color w:val="FFFFFF"/>
                <w:spacing w:val="-8"/>
              </w:rPr>
              <w:t xml:space="preserve"> </w:t>
            </w:r>
            <w:r>
              <w:rPr>
                <w:color w:val="FFFFFF"/>
              </w:rPr>
              <w:t>Management</w:t>
            </w:r>
            <w:r>
              <w:rPr>
                <w:color w:val="FFFFFF"/>
                <w:spacing w:val="-9"/>
              </w:rPr>
              <w:t xml:space="preserve"> </w:t>
            </w:r>
            <w:r>
              <w:rPr>
                <w:color w:val="FFFFFF"/>
                <w:spacing w:val="-2"/>
              </w:rPr>
              <w:t>Strategies</w:t>
            </w:r>
          </w:p>
        </w:tc>
        <w:tc>
          <w:tcPr>
            <w:tcW w:w="3681" w:type="dxa"/>
            <w:tcBorders>
              <w:top w:val="nil"/>
            </w:tcBorders>
            <w:shd w:val="clear" w:color="auto" w:fill="0064A4"/>
          </w:tcPr>
          <w:p w14:paraId="58F810A5" w14:textId="77777777" w:rsidR="00141B97" w:rsidRDefault="00911D63">
            <w:pPr>
              <w:pStyle w:val="TableParagraph"/>
              <w:spacing w:before="61"/>
              <w:ind w:left="98"/>
            </w:pPr>
            <w:r>
              <w:rPr>
                <w:color w:val="FFFFFF"/>
              </w:rPr>
              <w:t>LMW</w:t>
            </w:r>
            <w:r>
              <w:rPr>
                <w:color w:val="FFFFFF"/>
                <w:spacing w:val="-5"/>
              </w:rPr>
              <w:t xml:space="preserve"> </w:t>
            </w:r>
            <w:r>
              <w:rPr>
                <w:color w:val="FFFFFF"/>
              </w:rPr>
              <w:t>Risk</w:t>
            </w:r>
            <w:r>
              <w:rPr>
                <w:color w:val="FFFFFF"/>
                <w:spacing w:val="-6"/>
              </w:rPr>
              <w:t xml:space="preserve"> </w:t>
            </w:r>
            <w:r>
              <w:rPr>
                <w:color w:val="FFFFFF"/>
                <w:spacing w:val="-2"/>
              </w:rPr>
              <w:t>Component</w:t>
            </w:r>
          </w:p>
        </w:tc>
        <w:tc>
          <w:tcPr>
            <w:tcW w:w="3623" w:type="dxa"/>
            <w:tcBorders>
              <w:top w:val="nil"/>
              <w:right w:val="nil"/>
            </w:tcBorders>
            <w:shd w:val="clear" w:color="auto" w:fill="0064A4"/>
          </w:tcPr>
          <w:p w14:paraId="3FA37337" w14:textId="77777777" w:rsidR="00141B97" w:rsidRDefault="00911D63">
            <w:pPr>
              <w:pStyle w:val="TableParagraph"/>
              <w:spacing w:before="61"/>
              <w:ind w:left="98"/>
            </w:pPr>
            <w:r>
              <w:rPr>
                <w:color w:val="FFFFFF"/>
              </w:rPr>
              <w:t>Customer</w:t>
            </w:r>
            <w:r>
              <w:rPr>
                <w:color w:val="FFFFFF"/>
                <w:spacing w:val="-9"/>
              </w:rPr>
              <w:t xml:space="preserve"> </w:t>
            </w:r>
            <w:r>
              <w:rPr>
                <w:color w:val="FFFFFF"/>
              </w:rPr>
              <w:t>Risk</w:t>
            </w:r>
            <w:r>
              <w:rPr>
                <w:color w:val="FFFFFF"/>
                <w:spacing w:val="-9"/>
              </w:rPr>
              <w:t xml:space="preserve"> </w:t>
            </w:r>
            <w:r>
              <w:rPr>
                <w:color w:val="FFFFFF"/>
                <w:spacing w:val="-2"/>
              </w:rPr>
              <w:t>Component</w:t>
            </w:r>
          </w:p>
        </w:tc>
      </w:tr>
      <w:tr w:rsidR="00141B97" w14:paraId="483A4C5B" w14:textId="77777777">
        <w:trPr>
          <w:trHeight w:val="4251"/>
          <w:tblCellSpacing w:w="9" w:type="dxa"/>
        </w:trPr>
        <w:tc>
          <w:tcPr>
            <w:tcW w:w="2659" w:type="dxa"/>
            <w:tcBorders>
              <w:left w:val="nil"/>
              <w:bottom w:val="nil"/>
            </w:tcBorders>
            <w:shd w:val="clear" w:color="auto" w:fill="CCE2ED"/>
          </w:tcPr>
          <w:p w14:paraId="04A9C263" w14:textId="77777777" w:rsidR="00141B97" w:rsidRDefault="00911D63">
            <w:pPr>
              <w:pStyle w:val="TableParagraph"/>
              <w:ind w:left="88"/>
              <w:rPr>
                <w:sz w:val="18"/>
              </w:rPr>
            </w:pPr>
            <w:r>
              <w:rPr>
                <w:sz w:val="18"/>
              </w:rPr>
              <w:t>Construction</w:t>
            </w:r>
            <w:r>
              <w:rPr>
                <w:spacing w:val="-8"/>
                <w:sz w:val="18"/>
              </w:rPr>
              <w:t xml:space="preserve"> </w:t>
            </w:r>
            <w:r>
              <w:rPr>
                <w:spacing w:val="-2"/>
                <w:sz w:val="18"/>
              </w:rPr>
              <w:t>risks:</w:t>
            </w:r>
          </w:p>
          <w:p w14:paraId="7F92F859" w14:textId="77777777" w:rsidR="00141B97" w:rsidRDefault="00911D63">
            <w:pPr>
              <w:pStyle w:val="TableParagraph"/>
              <w:ind w:left="88" w:right="420"/>
              <w:rPr>
                <w:sz w:val="18"/>
              </w:rPr>
            </w:pPr>
            <w:r>
              <w:rPr>
                <w:sz w:val="18"/>
              </w:rPr>
              <w:t>Eg.</w:t>
            </w:r>
            <w:r>
              <w:rPr>
                <w:spacing w:val="-5"/>
                <w:sz w:val="18"/>
              </w:rPr>
              <w:t xml:space="preserve"> </w:t>
            </w:r>
            <w:r>
              <w:rPr>
                <w:sz w:val="18"/>
              </w:rPr>
              <w:t>underestimating</w:t>
            </w:r>
            <w:r>
              <w:rPr>
                <w:spacing w:val="-7"/>
                <w:sz w:val="18"/>
              </w:rPr>
              <w:t xml:space="preserve"> </w:t>
            </w:r>
            <w:r>
              <w:rPr>
                <w:sz w:val="18"/>
              </w:rPr>
              <w:t>costs</w:t>
            </w:r>
            <w:r>
              <w:rPr>
                <w:spacing w:val="-5"/>
                <w:sz w:val="18"/>
              </w:rPr>
              <w:t xml:space="preserve"> </w:t>
            </w:r>
            <w:r>
              <w:rPr>
                <w:sz w:val="18"/>
              </w:rPr>
              <w:t>or project</w:t>
            </w:r>
            <w:r>
              <w:rPr>
                <w:spacing w:val="-2"/>
                <w:sz w:val="18"/>
              </w:rPr>
              <w:t xml:space="preserve"> </w:t>
            </w:r>
            <w:r>
              <w:rPr>
                <w:sz w:val="18"/>
              </w:rPr>
              <w:t>delays.</w:t>
            </w:r>
          </w:p>
        </w:tc>
        <w:tc>
          <w:tcPr>
            <w:tcW w:w="4551" w:type="dxa"/>
            <w:tcBorders>
              <w:bottom w:val="nil"/>
            </w:tcBorders>
            <w:shd w:val="clear" w:color="auto" w:fill="CCE2ED"/>
          </w:tcPr>
          <w:p w14:paraId="444E6ADD" w14:textId="77777777" w:rsidR="00141B97" w:rsidRDefault="00911D63">
            <w:pPr>
              <w:pStyle w:val="TableParagraph"/>
              <w:numPr>
                <w:ilvl w:val="0"/>
                <w:numId w:val="86"/>
              </w:numPr>
              <w:tabs>
                <w:tab w:val="left" w:pos="426"/>
                <w:tab w:val="left" w:pos="427"/>
              </w:tabs>
              <w:ind w:left="426" w:right="824"/>
              <w:rPr>
                <w:sz w:val="18"/>
              </w:rPr>
            </w:pPr>
            <w:r>
              <w:rPr>
                <w:sz w:val="18"/>
              </w:rPr>
              <w:t>Long</w:t>
            </w:r>
            <w:r>
              <w:rPr>
                <w:spacing w:val="-4"/>
                <w:sz w:val="18"/>
              </w:rPr>
              <w:t xml:space="preserve"> </w:t>
            </w:r>
            <w:r>
              <w:rPr>
                <w:sz w:val="18"/>
              </w:rPr>
              <w:t>term</w:t>
            </w:r>
            <w:r>
              <w:rPr>
                <w:spacing w:val="-3"/>
                <w:sz w:val="18"/>
              </w:rPr>
              <w:t xml:space="preserve"> </w:t>
            </w:r>
            <w:r>
              <w:rPr>
                <w:sz w:val="18"/>
              </w:rPr>
              <w:t>Service</w:t>
            </w:r>
            <w:r>
              <w:rPr>
                <w:spacing w:val="-4"/>
                <w:sz w:val="18"/>
              </w:rPr>
              <w:t xml:space="preserve"> </w:t>
            </w:r>
            <w:r>
              <w:rPr>
                <w:sz w:val="18"/>
              </w:rPr>
              <w:t>Strategies</w:t>
            </w:r>
            <w:r>
              <w:rPr>
                <w:spacing w:val="-4"/>
                <w:sz w:val="18"/>
              </w:rPr>
              <w:t xml:space="preserve"> </w:t>
            </w:r>
            <w:r>
              <w:rPr>
                <w:sz w:val="18"/>
              </w:rPr>
              <w:t>and</w:t>
            </w:r>
            <w:r>
              <w:rPr>
                <w:spacing w:val="-3"/>
                <w:sz w:val="18"/>
              </w:rPr>
              <w:t xml:space="preserve"> </w:t>
            </w:r>
            <w:r>
              <w:rPr>
                <w:sz w:val="18"/>
              </w:rPr>
              <w:t>Master</w:t>
            </w:r>
            <w:r>
              <w:rPr>
                <w:spacing w:val="-3"/>
                <w:sz w:val="18"/>
              </w:rPr>
              <w:t xml:space="preserve"> </w:t>
            </w:r>
            <w:r>
              <w:rPr>
                <w:sz w:val="18"/>
              </w:rPr>
              <w:t xml:space="preserve">Plan </w:t>
            </w:r>
            <w:r>
              <w:rPr>
                <w:spacing w:val="-2"/>
                <w:sz w:val="18"/>
              </w:rPr>
              <w:t>preparation.</w:t>
            </w:r>
          </w:p>
          <w:p w14:paraId="0F6675EE" w14:textId="77777777" w:rsidR="00141B97" w:rsidRDefault="00911D63">
            <w:pPr>
              <w:pStyle w:val="TableParagraph"/>
              <w:numPr>
                <w:ilvl w:val="0"/>
                <w:numId w:val="86"/>
              </w:numPr>
              <w:tabs>
                <w:tab w:val="left" w:pos="426"/>
                <w:tab w:val="left" w:pos="427"/>
              </w:tabs>
              <w:spacing w:line="229" w:lineRule="exact"/>
              <w:ind w:left="426"/>
              <w:rPr>
                <w:sz w:val="18"/>
              </w:rPr>
            </w:pPr>
            <w:r>
              <w:rPr>
                <w:sz w:val="18"/>
              </w:rPr>
              <w:t>Capital program</w:t>
            </w:r>
            <w:r>
              <w:rPr>
                <w:spacing w:val="-2"/>
                <w:sz w:val="18"/>
              </w:rPr>
              <w:t xml:space="preserve"> </w:t>
            </w:r>
            <w:r>
              <w:rPr>
                <w:sz w:val="18"/>
              </w:rPr>
              <w:t>development</w:t>
            </w:r>
            <w:r>
              <w:rPr>
                <w:spacing w:val="-2"/>
                <w:sz w:val="18"/>
              </w:rPr>
              <w:t xml:space="preserve"> </w:t>
            </w:r>
            <w:r>
              <w:rPr>
                <w:sz w:val="18"/>
              </w:rPr>
              <w:t>and approval</w:t>
            </w:r>
            <w:r>
              <w:rPr>
                <w:spacing w:val="-1"/>
                <w:sz w:val="18"/>
              </w:rPr>
              <w:t xml:space="preserve"> </w:t>
            </w:r>
            <w:r>
              <w:rPr>
                <w:spacing w:val="-2"/>
                <w:sz w:val="18"/>
              </w:rPr>
              <w:t>process.</w:t>
            </w:r>
          </w:p>
          <w:p w14:paraId="68C6F689" w14:textId="77777777" w:rsidR="00141B97" w:rsidRDefault="00911D63">
            <w:pPr>
              <w:pStyle w:val="TableParagraph"/>
              <w:numPr>
                <w:ilvl w:val="0"/>
                <w:numId w:val="86"/>
              </w:numPr>
              <w:tabs>
                <w:tab w:val="left" w:pos="426"/>
                <w:tab w:val="left" w:pos="427"/>
              </w:tabs>
              <w:spacing w:before="1"/>
              <w:ind w:left="426" w:right="229"/>
              <w:rPr>
                <w:sz w:val="18"/>
              </w:rPr>
            </w:pPr>
            <w:r>
              <w:rPr>
                <w:sz w:val="18"/>
              </w:rPr>
              <w:t>Relevant</w:t>
            </w:r>
            <w:r>
              <w:rPr>
                <w:spacing w:val="-2"/>
                <w:sz w:val="18"/>
              </w:rPr>
              <w:t xml:space="preserve"> </w:t>
            </w:r>
            <w:r>
              <w:rPr>
                <w:sz w:val="18"/>
              </w:rPr>
              <w:t>investigations</w:t>
            </w:r>
            <w:r>
              <w:rPr>
                <w:spacing w:val="-3"/>
                <w:sz w:val="18"/>
              </w:rPr>
              <w:t xml:space="preserve"> </w:t>
            </w:r>
            <w:r>
              <w:rPr>
                <w:sz w:val="18"/>
              </w:rPr>
              <w:t>as</w:t>
            </w:r>
            <w:r>
              <w:rPr>
                <w:spacing w:val="-2"/>
                <w:sz w:val="18"/>
              </w:rPr>
              <w:t xml:space="preserve"> </w:t>
            </w:r>
            <w:r>
              <w:rPr>
                <w:sz w:val="18"/>
              </w:rPr>
              <w:t>part</w:t>
            </w:r>
            <w:r>
              <w:rPr>
                <w:spacing w:val="-3"/>
                <w:sz w:val="18"/>
              </w:rPr>
              <w:t xml:space="preserve"> </w:t>
            </w:r>
            <w:r>
              <w:rPr>
                <w:sz w:val="18"/>
              </w:rPr>
              <w:t>of</w:t>
            </w:r>
            <w:r>
              <w:rPr>
                <w:spacing w:val="-3"/>
                <w:sz w:val="18"/>
              </w:rPr>
              <w:t xml:space="preserve"> </w:t>
            </w:r>
            <w:r>
              <w:rPr>
                <w:sz w:val="18"/>
              </w:rPr>
              <w:t>capital</w:t>
            </w:r>
            <w:r>
              <w:rPr>
                <w:spacing w:val="-2"/>
                <w:sz w:val="18"/>
              </w:rPr>
              <w:t xml:space="preserve"> </w:t>
            </w:r>
            <w:r>
              <w:rPr>
                <w:sz w:val="18"/>
              </w:rPr>
              <w:t>planning,</w:t>
            </w:r>
            <w:r>
              <w:rPr>
                <w:spacing w:val="-4"/>
                <w:sz w:val="18"/>
              </w:rPr>
              <w:t xml:space="preserve"> </w:t>
            </w:r>
            <w:r>
              <w:rPr>
                <w:sz w:val="18"/>
              </w:rPr>
              <w:t>eg. Geotech, environmental, etc.</w:t>
            </w:r>
          </w:p>
          <w:p w14:paraId="33ECE61F" w14:textId="77777777" w:rsidR="00141B97" w:rsidRDefault="00911D63">
            <w:pPr>
              <w:pStyle w:val="TableParagraph"/>
              <w:numPr>
                <w:ilvl w:val="0"/>
                <w:numId w:val="86"/>
              </w:numPr>
              <w:tabs>
                <w:tab w:val="left" w:pos="426"/>
                <w:tab w:val="left" w:pos="427"/>
              </w:tabs>
              <w:ind w:left="426" w:right="197"/>
              <w:rPr>
                <w:sz w:val="18"/>
              </w:rPr>
            </w:pPr>
            <w:r>
              <w:rPr>
                <w:sz w:val="18"/>
              </w:rPr>
              <w:t>Robust cost estimation and refinement as projects progress through planning, development, and design. ‘Most likely outcome’ cost estimates developed for major projects including risk allowances for unknown conditions (premature to develop P50 cost estimates due to incomplete scoping of projects at this early stage),</w:t>
            </w:r>
            <w:r>
              <w:rPr>
                <w:spacing w:val="-3"/>
                <w:sz w:val="18"/>
              </w:rPr>
              <w:t xml:space="preserve"> </w:t>
            </w:r>
            <w:r>
              <w:rPr>
                <w:sz w:val="18"/>
              </w:rPr>
              <w:t>and</w:t>
            </w:r>
            <w:r>
              <w:rPr>
                <w:spacing w:val="-3"/>
                <w:sz w:val="18"/>
              </w:rPr>
              <w:t xml:space="preserve"> </w:t>
            </w:r>
            <w:r>
              <w:rPr>
                <w:sz w:val="18"/>
              </w:rPr>
              <w:t>where</w:t>
            </w:r>
            <w:r>
              <w:rPr>
                <w:spacing w:val="-4"/>
                <w:sz w:val="18"/>
              </w:rPr>
              <w:t xml:space="preserve"> </w:t>
            </w:r>
            <w:r>
              <w:rPr>
                <w:sz w:val="18"/>
              </w:rPr>
              <w:t>appropriate,</w:t>
            </w:r>
            <w:r>
              <w:rPr>
                <w:spacing w:val="-5"/>
                <w:sz w:val="18"/>
              </w:rPr>
              <w:t xml:space="preserve"> </w:t>
            </w:r>
            <w:r>
              <w:rPr>
                <w:sz w:val="18"/>
              </w:rPr>
              <w:t>market</w:t>
            </w:r>
            <w:r>
              <w:rPr>
                <w:spacing w:val="-4"/>
                <w:sz w:val="18"/>
              </w:rPr>
              <w:t xml:space="preserve"> </w:t>
            </w:r>
            <w:r>
              <w:rPr>
                <w:sz w:val="18"/>
              </w:rPr>
              <w:t>cost</w:t>
            </w:r>
            <w:r>
              <w:rPr>
                <w:spacing w:val="-4"/>
                <w:sz w:val="18"/>
              </w:rPr>
              <w:t xml:space="preserve"> </w:t>
            </w:r>
            <w:r>
              <w:rPr>
                <w:sz w:val="18"/>
              </w:rPr>
              <w:t>escalation to</w:t>
            </w:r>
            <w:r>
              <w:rPr>
                <w:spacing w:val="-2"/>
                <w:sz w:val="18"/>
              </w:rPr>
              <w:t xml:space="preserve"> </w:t>
            </w:r>
            <w:r>
              <w:rPr>
                <w:sz w:val="18"/>
              </w:rPr>
              <w:t>2023.</w:t>
            </w:r>
          </w:p>
          <w:p w14:paraId="224512DF" w14:textId="77777777" w:rsidR="00141B97" w:rsidRDefault="00911D63">
            <w:pPr>
              <w:pStyle w:val="TableParagraph"/>
              <w:numPr>
                <w:ilvl w:val="0"/>
                <w:numId w:val="86"/>
              </w:numPr>
              <w:tabs>
                <w:tab w:val="left" w:pos="426"/>
                <w:tab w:val="left" w:pos="427"/>
              </w:tabs>
              <w:ind w:left="426"/>
              <w:rPr>
                <w:sz w:val="18"/>
              </w:rPr>
            </w:pPr>
            <w:r>
              <w:rPr>
                <w:sz w:val="18"/>
              </w:rPr>
              <w:t>Major</w:t>
            </w:r>
            <w:r>
              <w:rPr>
                <w:spacing w:val="-4"/>
                <w:sz w:val="18"/>
              </w:rPr>
              <w:t xml:space="preserve"> </w:t>
            </w:r>
            <w:r>
              <w:rPr>
                <w:sz w:val="18"/>
              </w:rPr>
              <w:t>project</w:t>
            </w:r>
            <w:r>
              <w:rPr>
                <w:spacing w:val="-2"/>
                <w:sz w:val="18"/>
              </w:rPr>
              <w:t xml:space="preserve"> </w:t>
            </w:r>
            <w:r>
              <w:rPr>
                <w:sz w:val="18"/>
              </w:rPr>
              <w:t>delivery</w:t>
            </w:r>
            <w:r>
              <w:rPr>
                <w:spacing w:val="-2"/>
                <w:sz w:val="18"/>
              </w:rPr>
              <w:t xml:space="preserve"> </w:t>
            </w:r>
            <w:r>
              <w:rPr>
                <w:sz w:val="18"/>
              </w:rPr>
              <w:t>risk</w:t>
            </w:r>
            <w:r>
              <w:rPr>
                <w:spacing w:val="-2"/>
                <w:sz w:val="18"/>
              </w:rPr>
              <w:t xml:space="preserve"> assessments.</w:t>
            </w:r>
          </w:p>
          <w:p w14:paraId="4EF1C629" w14:textId="77777777" w:rsidR="00141B97" w:rsidRDefault="00911D63">
            <w:pPr>
              <w:pStyle w:val="TableParagraph"/>
              <w:numPr>
                <w:ilvl w:val="0"/>
                <w:numId w:val="86"/>
              </w:numPr>
              <w:tabs>
                <w:tab w:val="left" w:pos="426"/>
                <w:tab w:val="left" w:pos="427"/>
              </w:tabs>
              <w:ind w:left="426"/>
              <w:rPr>
                <w:sz w:val="18"/>
              </w:rPr>
            </w:pPr>
            <w:r>
              <w:rPr>
                <w:sz w:val="18"/>
              </w:rPr>
              <w:t>Project</w:t>
            </w:r>
            <w:r>
              <w:rPr>
                <w:spacing w:val="-6"/>
                <w:sz w:val="18"/>
              </w:rPr>
              <w:t xml:space="preserve"> </w:t>
            </w:r>
            <w:r>
              <w:rPr>
                <w:sz w:val="18"/>
              </w:rPr>
              <w:t>Business</w:t>
            </w:r>
            <w:r>
              <w:rPr>
                <w:spacing w:val="-3"/>
                <w:sz w:val="18"/>
              </w:rPr>
              <w:t xml:space="preserve"> </w:t>
            </w:r>
            <w:r>
              <w:rPr>
                <w:sz w:val="18"/>
              </w:rPr>
              <w:t>Cases</w:t>
            </w:r>
            <w:r>
              <w:rPr>
                <w:spacing w:val="-3"/>
                <w:sz w:val="18"/>
              </w:rPr>
              <w:t xml:space="preserve"> </w:t>
            </w:r>
            <w:r>
              <w:rPr>
                <w:sz w:val="18"/>
              </w:rPr>
              <w:t>and</w:t>
            </w:r>
            <w:r>
              <w:rPr>
                <w:spacing w:val="-2"/>
                <w:sz w:val="18"/>
              </w:rPr>
              <w:t xml:space="preserve"> justifications.</w:t>
            </w:r>
          </w:p>
          <w:p w14:paraId="2C4BE1DF" w14:textId="77777777" w:rsidR="00141B97" w:rsidRDefault="00911D63">
            <w:pPr>
              <w:pStyle w:val="TableParagraph"/>
              <w:numPr>
                <w:ilvl w:val="0"/>
                <w:numId w:val="86"/>
              </w:numPr>
              <w:tabs>
                <w:tab w:val="left" w:pos="426"/>
                <w:tab w:val="left" w:pos="427"/>
              </w:tabs>
              <w:ind w:left="426" w:right="155"/>
              <w:rPr>
                <w:sz w:val="18"/>
              </w:rPr>
            </w:pPr>
            <w:r>
              <w:rPr>
                <w:sz w:val="18"/>
              </w:rPr>
              <w:t>Capital</w:t>
            </w:r>
            <w:r>
              <w:rPr>
                <w:spacing w:val="-3"/>
                <w:sz w:val="18"/>
              </w:rPr>
              <w:t xml:space="preserve"> </w:t>
            </w:r>
            <w:r>
              <w:rPr>
                <w:sz w:val="18"/>
              </w:rPr>
              <w:t>program</w:t>
            </w:r>
            <w:r>
              <w:rPr>
                <w:spacing w:val="-5"/>
                <w:sz w:val="18"/>
              </w:rPr>
              <w:t xml:space="preserve"> </w:t>
            </w:r>
            <w:r>
              <w:rPr>
                <w:sz w:val="18"/>
              </w:rPr>
              <w:t>delivery</w:t>
            </w:r>
            <w:r>
              <w:rPr>
                <w:spacing w:val="-4"/>
                <w:sz w:val="18"/>
              </w:rPr>
              <w:t xml:space="preserve"> </w:t>
            </w:r>
            <w:r>
              <w:rPr>
                <w:sz w:val="18"/>
              </w:rPr>
              <w:t>management</w:t>
            </w:r>
            <w:r>
              <w:rPr>
                <w:spacing w:val="-3"/>
                <w:sz w:val="18"/>
              </w:rPr>
              <w:t xml:space="preserve"> </w:t>
            </w:r>
            <w:r>
              <w:rPr>
                <w:sz w:val="18"/>
              </w:rPr>
              <w:t>within</w:t>
            </w:r>
            <w:r>
              <w:rPr>
                <w:spacing w:val="-3"/>
                <w:sz w:val="18"/>
              </w:rPr>
              <w:t xml:space="preserve"> </w:t>
            </w:r>
            <w:r>
              <w:rPr>
                <w:sz w:val="18"/>
              </w:rPr>
              <w:t xml:space="preserve">resource </w:t>
            </w:r>
            <w:r>
              <w:rPr>
                <w:spacing w:val="-2"/>
                <w:sz w:val="18"/>
              </w:rPr>
              <w:t>constraints.</w:t>
            </w:r>
          </w:p>
          <w:p w14:paraId="7624ECB8" w14:textId="77777777" w:rsidR="00141B97" w:rsidRDefault="00911D63">
            <w:pPr>
              <w:pStyle w:val="TableParagraph"/>
              <w:numPr>
                <w:ilvl w:val="0"/>
                <w:numId w:val="86"/>
              </w:numPr>
              <w:tabs>
                <w:tab w:val="left" w:pos="426"/>
                <w:tab w:val="left" w:pos="427"/>
              </w:tabs>
              <w:spacing w:line="220" w:lineRule="exact"/>
              <w:ind w:left="426" w:right="331"/>
              <w:rPr>
                <w:sz w:val="18"/>
              </w:rPr>
            </w:pPr>
            <w:r>
              <w:rPr>
                <w:sz w:val="18"/>
              </w:rPr>
              <w:t>Contract</w:t>
            </w:r>
            <w:r>
              <w:rPr>
                <w:spacing w:val="-4"/>
                <w:sz w:val="18"/>
              </w:rPr>
              <w:t xml:space="preserve"> </w:t>
            </w:r>
            <w:r>
              <w:rPr>
                <w:sz w:val="18"/>
              </w:rPr>
              <w:t>Management</w:t>
            </w:r>
            <w:r>
              <w:rPr>
                <w:spacing w:val="-4"/>
                <w:sz w:val="18"/>
              </w:rPr>
              <w:t xml:space="preserve"> </w:t>
            </w:r>
            <w:r>
              <w:rPr>
                <w:sz w:val="18"/>
              </w:rPr>
              <w:t>Manual,</w:t>
            </w:r>
            <w:r>
              <w:rPr>
                <w:spacing w:val="-5"/>
                <w:sz w:val="18"/>
              </w:rPr>
              <w:t xml:space="preserve"> </w:t>
            </w:r>
            <w:r>
              <w:rPr>
                <w:sz w:val="18"/>
              </w:rPr>
              <w:t>and</w:t>
            </w:r>
            <w:r>
              <w:rPr>
                <w:spacing w:val="-3"/>
                <w:sz w:val="18"/>
              </w:rPr>
              <w:t xml:space="preserve"> </w:t>
            </w:r>
            <w:r>
              <w:rPr>
                <w:sz w:val="18"/>
              </w:rPr>
              <w:t>appropriate</w:t>
            </w:r>
            <w:r>
              <w:rPr>
                <w:spacing w:val="-5"/>
                <w:sz w:val="18"/>
              </w:rPr>
              <w:t xml:space="preserve"> </w:t>
            </w:r>
            <w:r>
              <w:rPr>
                <w:sz w:val="18"/>
              </w:rPr>
              <w:t>risk allocation in contract documents.</w:t>
            </w:r>
          </w:p>
        </w:tc>
        <w:tc>
          <w:tcPr>
            <w:tcW w:w="3681" w:type="dxa"/>
            <w:tcBorders>
              <w:bottom w:val="nil"/>
            </w:tcBorders>
            <w:shd w:val="clear" w:color="auto" w:fill="CCE2ED"/>
          </w:tcPr>
          <w:p w14:paraId="019A3E57" w14:textId="77777777" w:rsidR="00141B97" w:rsidRDefault="00911D63">
            <w:pPr>
              <w:pStyle w:val="TableParagraph"/>
              <w:numPr>
                <w:ilvl w:val="0"/>
                <w:numId w:val="85"/>
              </w:numPr>
              <w:tabs>
                <w:tab w:val="left" w:pos="427"/>
                <w:tab w:val="left" w:pos="428"/>
              </w:tabs>
              <w:ind w:right="316"/>
              <w:rPr>
                <w:sz w:val="18"/>
              </w:rPr>
            </w:pPr>
            <w:r>
              <w:rPr>
                <w:sz w:val="18"/>
              </w:rPr>
              <w:t>Risks</w:t>
            </w:r>
            <w:r>
              <w:rPr>
                <w:spacing w:val="-3"/>
                <w:sz w:val="18"/>
              </w:rPr>
              <w:t xml:space="preserve"> </w:t>
            </w:r>
            <w:r>
              <w:rPr>
                <w:sz w:val="18"/>
              </w:rPr>
              <w:t>relating</w:t>
            </w:r>
            <w:r>
              <w:rPr>
                <w:spacing w:val="-4"/>
                <w:sz w:val="18"/>
              </w:rPr>
              <w:t xml:space="preserve"> </w:t>
            </w:r>
            <w:r>
              <w:rPr>
                <w:sz w:val="18"/>
              </w:rPr>
              <w:t>to</w:t>
            </w:r>
            <w:r>
              <w:rPr>
                <w:spacing w:val="-4"/>
                <w:sz w:val="18"/>
              </w:rPr>
              <w:t xml:space="preserve"> </w:t>
            </w:r>
            <w:r>
              <w:rPr>
                <w:sz w:val="18"/>
              </w:rPr>
              <w:t>planning</w:t>
            </w:r>
            <w:r>
              <w:rPr>
                <w:spacing w:val="-4"/>
                <w:sz w:val="18"/>
              </w:rPr>
              <w:t xml:space="preserve"> </w:t>
            </w:r>
            <w:r>
              <w:rPr>
                <w:sz w:val="18"/>
              </w:rPr>
              <w:t>and</w:t>
            </w:r>
            <w:r>
              <w:rPr>
                <w:spacing w:val="-3"/>
                <w:sz w:val="18"/>
              </w:rPr>
              <w:t xml:space="preserve"> </w:t>
            </w:r>
            <w:r>
              <w:rPr>
                <w:sz w:val="18"/>
              </w:rPr>
              <w:t>delivery</w:t>
            </w:r>
            <w:r>
              <w:rPr>
                <w:spacing w:val="-4"/>
                <w:sz w:val="18"/>
              </w:rPr>
              <w:t xml:space="preserve"> </w:t>
            </w:r>
            <w:r>
              <w:rPr>
                <w:sz w:val="18"/>
              </w:rPr>
              <w:t>of the capital program.</w:t>
            </w:r>
          </w:p>
          <w:p w14:paraId="15564DE0" w14:textId="77777777" w:rsidR="00141B97" w:rsidRDefault="00911D63">
            <w:pPr>
              <w:pStyle w:val="TableParagraph"/>
              <w:numPr>
                <w:ilvl w:val="0"/>
                <w:numId w:val="85"/>
              </w:numPr>
              <w:tabs>
                <w:tab w:val="left" w:pos="427"/>
                <w:tab w:val="left" w:pos="428"/>
              </w:tabs>
              <w:ind w:right="236"/>
              <w:rPr>
                <w:sz w:val="18"/>
              </w:rPr>
            </w:pPr>
            <w:r>
              <w:rPr>
                <w:sz w:val="18"/>
              </w:rPr>
              <w:t>Risks of capital project and program cost overruns,</w:t>
            </w:r>
            <w:r>
              <w:rPr>
                <w:spacing w:val="-3"/>
                <w:sz w:val="18"/>
              </w:rPr>
              <w:t xml:space="preserve"> </w:t>
            </w:r>
            <w:r>
              <w:rPr>
                <w:sz w:val="18"/>
              </w:rPr>
              <w:t>including</w:t>
            </w:r>
            <w:r>
              <w:rPr>
                <w:spacing w:val="-5"/>
                <w:sz w:val="18"/>
              </w:rPr>
              <w:t xml:space="preserve"> </w:t>
            </w:r>
            <w:r>
              <w:rPr>
                <w:sz w:val="18"/>
              </w:rPr>
              <w:t>market</w:t>
            </w:r>
            <w:r>
              <w:rPr>
                <w:spacing w:val="-4"/>
                <w:sz w:val="18"/>
              </w:rPr>
              <w:t xml:space="preserve"> </w:t>
            </w:r>
            <w:r>
              <w:rPr>
                <w:sz w:val="18"/>
              </w:rPr>
              <w:t>cost</w:t>
            </w:r>
            <w:r>
              <w:rPr>
                <w:spacing w:val="-5"/>
                <w:sz w:val="18"/>
              </w:rPr>
              <w:t xml:space="preserve"> </w:t>
            </w:r>
            <w:r>
              <w:rPr>
                <w:sz w:val="18"/>
              </w:rPr>
              <w:t>increases above CPI after 2023.</w:t>
            </w:r>
          </w:p>
        </w:tc>
        <w:tc>
          <w:tcPr>
            <w:tcW w:w="3623" w:type="dxa"/>
            <w:tcBorders>
              <w:bottom w:val="nil"/>
              <w:right w:val="nil"/>
            </w:tcBorders>
            <w:shd w:val="clear" w:color="auto" w:fill="CCE2ED"/>
          </w:tcPr>
          <w:p w14:paraId="2AF63BAE" w14:textId="77777777" w:rsidR="00141B97" w:rsidRDefault="00911D63">
            <w:pPr>
              <w:pStyle w:val="TableParagraph"/>
              <w:numPr>
                <w:ilvl w:val="0"/>
                <w:numId w:val="84"/>
              </w:numPr>
              <w:tabs>
                <w:tab w:val="left" w:pos="414"/>
              </w:tabs>
              <w:ind w:right="200"/>
              <w:rPr>
                <w:sz w:val="18"/>
              </w:rPr>
            </w:pPr>
            <w:r>
              <w:rPr>
                <w:sz w:val="18"/>
              </w:rPr>
              <w:t>Cost</w:t>
            </w:r>
            <w:r>
              <w:rPr>
                <w:spacing w:val="-4"/>
                <w:sz w:val="18"/>
              </w:rPr>
              <w:t xml:space="preserve"> </w:t>
            </w:r>
            <w:r>
              <w:rPr>
                <w:sz w:val="18"/>
              </w:rPr>
              <w:t>implications</w:t>
            </w:r>
            <w:r>
              <w:rPr>
                <w:spacing w:val="-4"/>
                <w:sz w:val="18"/>
              </w:rPr>
              <w:t xml:space="preserve"> </w:t>
            </w:r>
            <w:r>
              <w:rPr>
                <w:sz w:val="18"/>
              </w:rPr>
              <w:t>from</w:t>
            </w:r>
            <w:r>
              <w:rPr>
                <w:spacing w:val="-3"/>
                <w:sz w:val="18"/>
              </w:rPr>
              <w:t xml:space="preserve"> </w:t>
            </w:r>
            <w:r>
              <w:rPr>
                <w:sz w:val="18"/>
              </w:rPr>
              <w:t>major</w:t>
            </w:r>
            <w:r>
              <w:rPr>
                <w:spacing w:val="-3"/>
                <w:sz w:val="18"/>
              </w:rPr>
              <w:t xml:space="preserve"> </w:t>
            </w:r>
            <w:r>
              <w:rPr>
                <w:sz w:val="18"/>
              </w:rPr>
              <w:t>project</w:t>
            </w:r>
            <w:r>
              <w:rPr>
                <w:spacing w:val="-4"/>
                <w:sz w:val="18"/>
              </w:rPr>
              <w:t xml:space="preserve"> </w:t>
            </w:r>
            <w:r>
              <w:rPr>
                <w:sz w:val="18"/>
              </w:rPr>
              <w:t xml:space="preserve">cost overrun that would be passed onto </w:t>
            </w:r>
            <w:r>
              <w:rPr>
                <w:spacing w:val="-2"/>
                <w:sz w:val="18"/>
              </w:rPr>
              <w:t>customers.</w:t>
            </w:r>
          </w:p>
          <w:p w14:paraId="435C551F" w14:textId="77777777" w:rsidR="00141B97" w:rsidRDefault="00911D63">
            <w:pPr>
              <w:pStyle w:val="TableParagraph"/>
              <w:numPr>
                <w:ilvl w:val="0"/>
                <w:numId w:val="84"/>
              </w:numPr>
              <w:tabs>
                <w:tab w:val="left" w:pos="414"/>
              </w:tabs>
              <w:ind w:right="139"/>
              <w:rPr>
                <w:sz w:val="18"/>
              </w:rPr>
            </w:pPr>
            <w:r>
              <w:rPr>
                <w:sz w:val="18"/>
              </w:rPr>
              <w:t>Adverse</w:t>
            </w:r>
            <w:r>
              <w:rPr>
                <w:spacing w:val="-2"/>
                <w:sz w:val="18"/>
              </w:rPr>
              <w:t xml:space="preserve"> </w:t>
            </w:r>
            <w:r>
              <w:rPr>
                <w:sz w:val="18"/>
              </w:rPr>
              <w:t>service</w:t>
            </w:r>
            <w:r>
              <w:rPr>
                <w:spacing w:val="-3"/>
                <w:sz w:val="18"/>
              </w:rPr>
              <w:t xml:space="preserve"> </w:t>
            </w:r>
            <w:r>
              <w:rPr>
                <w:sz w:val="18"/>
              </w:rPr>
              <w:t>impacts</w:t>
            </w:r>
            <w:r>
              <w:rPr>
                <w:spacing w:val="-3"/>
                <w:sz w:val="18"/>
              </w:rPr>
              <w:t xml:space="preserve"> </w:t>
            </w:r>
            <w:r>
              <w:rPr>
                <w:sz w:val="18"/>
              </w:rPr>
              <w:t>due</w:t>
            </w:r>
            <w:r>
              <w:rPr>
                <w:spacing w:val="-3"/>
                <w:sz w:val="18"/>
              </w:rPr>
              <w:t xml:space="preserve"> </w:t>
            </w:r>
            <w:r>
              <w:rPr>
                <w:sz w:val="18"/>
              </w:rPr>
              <w:t>to</w:t>
            </w:r>
            <w:r>
              <w:rPr>
                <w:spacing w:val="-3"/>
                <w:sz w:val="18"/>
              </w:rPr>
              <w:t xml:space="preserve"> </w:t>
            </w:r>
            <w:r>
              <w:rPr>
                <w:sz w:val="18"/>
              </w:rPr>
              <w:t>inability</w:t>
            </w:r>
            <w:r>
              <w:rPr>
                <w:spacing w:val="-3"/>
                <w:sz w:val="18"/>
              </w:rPr>
              <w:t xml:space="preserve"> </w:t>
            </w:r>
            <w:r>
              <w:rPr>
                <w:sz w:val="18"/>
              </w:rPr>
              <w:t>of LMW</w:t>
            </w:r>
            <w:r>
              <w:rPr>
                <w:spacing w:val="-4"/>
                <w:sz w:val="18"/>
              </w:rPr>
              <w:t xml:space="preserve"> </w:t>
            </w:r>
            <w:r>
              <w:rPr>
                <w:sz w:val="18"/>
              </w:rPr>
              <w:t>to</w:t>
            </w:r>
            <w:r>
              <w:rPr>
                <w:spacing w:val="-4"/>
                <w:sz w:val="18"/>
              </w:rPr>
              <w:t xml:space="preserve"> </w:t>
            </w:r>
            <w:r>
              <w:rPr>
                <w:sz w:val="18"/>
              </w:rPr>
              <w:t>complete</w:t>
            </w:r>
            <w:r>
              <w:rPr>
                <w:spacing w:val="-3"/>
                <w:sz w:val="18"/>
              </w:rPr>
              <w:t xml:space="preserve"> </w:t>
            </w:r>
            <w:r>
              <w:rPr>
                <w:sz w:val="18"/>
              </w:rPr>
              <w:t>capital</w:t>
            </w:r>
            <w:r>
              <w:rPr>
                <w:spacing w:val="-3"/>
                <w:sz w:val="18"/>
              </w:rPr>
              <w:t xml:space="preserve"> </w:t>
            </w:r>
            <w:r>
              <w:rPr>
                <w:sz w:val="18"/>
              </w:rPr>
              <w:t>projects</w:t>
            </w:r>
            <w:r>
              <w:rPr>
                <w:spacing w:val="-4"/>
                <w:sz w:val="18"/>
              </w:rPr>
              <w:t xml:space="preserve"> </w:t>
            </w:r>
            <w:r>
              <w:rPr>
                <w:sz w:val="18"/>
              </w:rPr>
              <w:t>on</w:t>
            </w:r>
            <w:r>
              <w:rPr>
                <w:spacing w:val="-3"/>
                <w:sz w:val="18"/>
              </w:rPr>
              <w:t xml:space="preserve"> </w:t>
            </w:r>
            <w:r>
              <w:rPr>
                <w:sz w:val="18"/>
              </w:rPr>
              <w:t xml:space="preserve">time to meet demand or compliance </w:t>
            </w:r>
            <w:r>
              <w:rPr>
                <w:spacing w:val="-2"/>
                <w:sz w:val="18"/>
              </w:rPr>
              <w:t>requirement.</w:t>
            </w:r>
          </w:p>
        </w:tc>
      </w:tr>
    </w:tbl>
    <w:p w14:paraId="7F902927" w14:textId="77777777" w:rsidR="00141B97" w:rsidRDefault="00911D63">
      <w:pPr>
        <w:spacing w:before="1"/>
        <w:ind w:left="113"/>
        <w:rPr>
          <w:sz w:val="16"/>
        </w:rPr>
      </w:pPr>
      <w:r>
        <w:rPr>
          <w:sz w:val="16"/>
        </w:rPr>
        <w:t>Table</w:t>
      </w:r>
      <w:r>
        <w:rPr>
          <w:spacing w:val="-6"/>
          <w:sz w:val="16"/>
        </w:rPr>
        <w:t xml:space="preserve"> </w:t>
      </w:r>
      <w:r>
        <w:rPr>
          <w:sz w:val="16"/>
        </w:rPr>
        <w:t>A6:</w:t>
      </w:r>
      <w:r>
        <w:rPr>
          <w:spacing w:val="-6"/>
          <w:sz w:val="16"/>
        </w:rPr>
        <w:t xml:space="preserve"> </w:t>
      </w:r>
      <w:r>
        <w:rPr>
          <w:sz w:val="16"/>
        </w:rPr>
        <w:t>LMW</w:t>
      </w:r>
      <w:r>
        <w:rPr>
          <w:spacing w:val="-8"/>
          <w:sz w:val="16"/>
        </w:rPr>
        <w:t xml:space="preserve"> </w:t>
      </w:r>
      <w:r>
        <w:rPr>
          <w:sz w:val="16"/>
        </w:rPr>
        <w:t>Price</w:t>
      </w:r>
      <w:r>
        <w:rPr>
          <w:spacing w:val="-6"/>
          <w:sz w:val="16"/>
        </w:rPr>
        <w:t xml:space="preserve"> </w:t>
      </w:r>
      <w:r>
        <w:rPr>
          <w:sz w:val="16"/>
        </w:rPr>
        <w:t>Submission</w:t>
      </w:r>
      <w:r>
        <w:rPr>
          <w:spacing w:val="-7"/>
          <w:sz w:val="16"/>
        </w:rPr>
        <w:t xml:space="preserve"> </w:t>
      </w:r>
      <w:r>
        <w:rPr>
          <w:sz w:val="16"/>
        </w:rPr>
        <w:t>Risk</w:t>
      </w:r>
      <w:r>
        <w:rPr>
          <w:spacing w:val="-5"/>
          <w:sz w:val="16"/>
        </w:rPr>
        <w:t xml:space="preserve"> </w:t>
      </w:r>
      <w:r>
        <w:rPr>
          <w:sz w:val="16"/>
        </w:rPr>
        <w:t>Management</w:t>
      </w:r>
      <w:r>
        <w:rPr>
          <w:spacing w:val="-7"/>
          <w:sz w:val="16"/>
        </w:rPr>
        <w:t xml:space="preserve"> </w:t>
      </w:r>
      <w:r>
        <w:rPr>
          <w:sz w:val="16"/>
        </w:rPr>
        <w:t>and</w:t>
      </w:r>
      <w:r>
        <w:rPr>
          <w:spacing w:val="-7"/>
          <w:sz w:val="16"/>
        </w:rPr>
        <w:t xml:space="preserve"> </w:t>
      </w:r>
      <w:r>
        <w:rPr>
          <w:sz w:val="16"/>
        </w:rPr>
        <w:t>Allocation</w:t>
      </w:r>
      <w:r>
        <w:rPr>
          <w:spacing w:val="-7"/>
          <w:sz w:val="16"/>
        </w:rPr>
        <w:t xml:space="preserve"> </w:t>
      </w:r>
      <w:r>
        <w:rPr>
          <w:spacing w:val="-2"/>
          <w:sz w:val="16"/>
        </w:rPr>
        <w:t>Examples</w:t>
      </w:r>
    </w:p>
    <w:p w14:paraId="5887C529" w14:textId="77777777" w:rsidR="00141B97" w:rsidRDefault="00141B97">
      <w:pPr>
        <w:rPr>
          <w:sz w:val="16"/>
        </w:rPr>
        <w:sectPr w:rsidR="00141B97">
          <w:footerReference w:type="default" r:id="rId67"/>
          <w:pgSz w:w="16840" w:h="11910" w:orient="landscape"/>
          <w:pgMar w:top="840" w:right="1060" w:bottom="1100" w:left="1020" w:header="0" w:footer="919" w:gutter="0"/>
          <w:cols w:space="720"/>
        </w:sectPr>
      </w:pPr>
    </w:p>
    <w:p w14:paraId="6BA3A9CE" w14:textId="77777777" w:rsidR="00141B97" w:rsidRDefault="00911D63">
      <w:pPr>
        <w:pStyle w:val="Heading1"/>
        <w:numPr>
          <w:ilvl w:val="0"/>
          <w:numId w:val="113"/>
        </w:numPr>
        <w:tabs>
          <w:tab w:val="left" w:pos="682"/>
        </w:tabs>
        <w:ind w:left="681"/>
      </w:pPr>
      <w:bookmarkStart w:id="27" w:name="_TOC_250000"/>
      <w:r>
        <w:rPr>
          <w:color w:val="006CA3"/>
        </w:rPr>
        <w:lastRenderedPageBreak/>
        <w:t>LMW</w:t>
      </w:r>
      <w:r>
        <w:rPr>
          <w:color w:val="006CA3"/>
          <w:spacing w:val="-5"/>
        </w:rPr>
        <w:t xml:space="preserve"> </w:t>
      </w:r>
      <w:r>
        <w:rPr>
          <w:color w:val="006CA3"/>
        </w:rPr>
        <w:t>Overall</w:t>
      </w:r>
      <w:r>
        <w:rPr>
          <w:color w:val="006CA3"/>
          <w:spacing w:val="-5"/>
        </w:rPr>
        <w:t xml:space="preserve"> </w:t>
      </w:r>
      <w:r>
        <w:rPr>
          <w:color w:val="006CA3"/>
        </w:rPr>
        <w:t>Financial</w:t>
      </w:r>
      <w:r>
        <w:rPr>
          <w:color w:val="006CA3"/>
          <w:spacing w:val="-6"/>
        </w:rPr>
        <w:t xml:space="preserve"> </w:t>
      </w:r>
      <w:bookmarkEnd w:id="27"/>
      <w:r>
        <w:rPr>
          <w:color w:val="006CA3"/>
          <w:spacing w:val="-2"/>
        </w:rPr>
        <w:t>Position</w:t>
      </w:r>
    </w:p>
    <w:p w14:paraId="00B643F8" w14:textId="77777777" w:rsidR="00141B97" w:rsidRDefault="00911D63">
      <w:pPr>
        <w:pStyle w:val="BodyText"/>
        <w:spacing w:before="240"/>
        <w:ind w:left="114" w:right="949"/>
        <w:jc w:val="both"/>
      </w:pPr>
      <w:r>
        <w:t>LMW has completed a review of the financial sustainability of the urban and rural combined business. LMW’s proposed</w:t>
      </w:r>
      <w:r>
        <w:rPr>
          <w:spacing w:val="-1"/>
        </w:rPr>
        <w:t xml:space="preserve"> </w:t>
      </w:r>
      <w:r>
        <w:t>pricing,</w:t>
      </w:r>
      <w:r>
        <w:rPr>
          <w:spacing w:val="-1"/>
        </w:rPr>
        <w:t xml:space="preserve"> </w:t>
      </w:r>
      <w:r>
        <w:t>and</w:t>
      </w:r>
      <w:r>
        <w:rPr>
          <w:spacing w:val="-1"/>
        </w:rPr>
        <w:t xml:space="preserve"> </w:t>
      </w:r>
      <w:r>
        <w:t>prudent</w:t>
      </w:r>
      <w:r>
        <w:rPr>
          <w:spacing w:val="-1"/>
        </w:rPr>
        <w:t xml:space="preserve"> </w:t>
      </w:r>
      <w:r>
        <w:t>and</w:t>
      </w:r>
      <w:r>
        <w:rPr>
          <w:spacing w:val="-1"/>
        </w:rPr>
        <w:t xml:space="preserve"> </w:t>
      </w:r>
      <w:r>
        <w:t>efficient operating and</w:t>
      </w:r>
      <w:r>
        <w:rPr>
          <w:spacing w:val="-1"/>
        </w:rPr>
        <w:t xml:space="preserve"> </w:t>
      </w:r>
      <w:r>
        <w:t>capital</w:t>
      </w:r>
      <w:r>
        <w:rPr>
          <w:spacing w:val="-1"/>
        </w:rPr>
        <w:t xml:space="preserve"> </w:t>
      </w:r>
      <w:r>
        <w:t>expenditure</w:t>
      </w:r>
      <w:r>
        <w:rPr>
          <w:spacing w:val="-1"/>
        </w:rPr>
        <w:t xml:space="preserve"> </w:t>
      </w:r>
      <w:r>
        <w:t>required</w:t>
      </w:r>
      <w:r>
        <w:rPr>
          <w:spacing w:val="-1"/>
        </w:rPr>
        <w:t xml:space="preserve"> </w:t>
      </w:r>
      <w:r>
        <w:t>to</w:t>
      </w:r>
      <w:r>
        <w:rPr>
          <w:spacing w:val="-1"/>
        </w:rPr>
        <w:t xml:space="preserve"> </w:t>
      </w:r>
      <w:r>
        <w:t>deliver</w:t>
      </w:r>
      <w:r>
        <w:rPr>
          <w:spacing w:val="-1"/>
        </w:rPr>
        <w:t xml:space="preserve"> </w:t>
      </w:r>
      <w:r>
        <w:t>on</w:t>
      </w:r>
      <w:r>
        <w:rPr>
          <w:spacing w:val="-1"/>
        </w:rPr>
        <w:t xml:space="preserve"> </w:t>
      </w:r>
      <w:r>
        <w:t>customer outcomes, results in a sustainable financial position in the short and medium term.</w:t>
      </w:r>
    </w:p>
    <w:p w14:paraId="6B5A2595" w14:textId="77777777" w:rsidR="00141B97" w:rsidRDefault="00141B97">
      <w:pPr>
        <w:pStyle w:val="BodyText"/>
        <w:spacing w:before="12"/>
        <w:rPr>
          <w:sz w:val="21"/>
        </w:rPr>
      </w:pPr>
    </w:p>
    <w:p w14:paraId="7C60B093" w14:textId="77777777" w:rsidR="00141B97" w:rsidRDefault="00911D63">
      <w:pPr>
        <w:pStyle w:val="BodyText"/>
        <w:ind w:left="113" w:right="948"/>
        <w:jc w:val="both"/>
      </w:pPr>
      <w:r>
        <w:t>Table</w:t>
      </w:r>
      <w:r>
        <w:rPr>
          <w:spacing w:val="-6"/>
        </w:rPr>
        <w:t xml:space="preserve"> </w:t>
      </w:r>
      <w:r>
        <w:t>A7</w:t>
      </w:r>
      <w:r>
        <w:rPr>
          <w:spacing w:val="-6"/>
        </w:rPr>
        <w:t xml:space="preserve"> </w:t>
      </w:r>
      <w:r>
        <w:t>overleaf</w:t>
      </w:r>
      <w:r>
        <w:rPr>
          <w:spacing w:val="-6"/>
        </w:rPr>
        <w:t xml:space="preserve"> </w:t>
      </w:r>
      <w:r>
        <w:t>details</w:t>
      </w:r>
      <w:r>
        <w:rPr>
          <w:spacing w:val="-6"/>
        </w:rPr>
        <w:t xml:space="preserve"> </w:t>
      </w:r>
      <w:r>
        <w:t>the</w:t>
      </w:r>
      <w:r>
        <w:rPr>
          <w:spacing w:val="-7"/>
        </w:rPr>
        <w:t xml:space="preserve"> </w:t>
      </w:r>
      <w:r>
        <w:t>financial</w:t>
      </w:r>
      <w:r>
        <w:rPr>
          <w:spacing w:val="-7"/>
        </w:rPr>
        <w:t xml:space="preserve"> </w:t>
      </w:r>
      <w:r>
        <w:t>indicators</w:t>
      </w:r>
      <w:r>
        <w:rPr>
          <w:spacing w:val="-7"/>
        </w:rPr>
        <w:t xml:space="preserve"> </w:t>
      </w:r>
      <w:r>
        <w:t>included</w:t>
      </w:r>
      <w:r>
        <w:rPr>
          <w:spacing w:val="-7"/>
        </w:rPr>
        <w:t xml:space="preserve"> </w:t>
      </w:r>
      <w:r>
        <w:t>in</w:t>
      </w:r>
      <w:r>
        <w:rPr>
          <w:spacing w:val="-7"/>
        </w:rPr>
        <w:t xml:space="preserve"> </w:t>
      </w:r>
      <w:r>
        <w:t>the</w:t>
      </w:r>
      <w:r>
        <w:rPr>
          <w:spacing w:val="-7"/>
        </w:rPr>
        <w:t xml:space="preserve"> </w:t>
      </w:r>
      <w:r>
        <w:t>ESC</w:t>
      </w:r>
      <w:r>
        <w:rPr>
          <w:spacing w:val="-5"/>
        </w:rPr>
        <w:t xml:space="preserve"> </w:t>
      </w:r>
      <w:r>
        <w:t>financial</w:t>
      </w:r>
      <w:r>
        <w:rPr>
          <w:spacing w:val="-6"/>
        </w:rPr>
        <w:t xml:space="preserve"> </w:t>
      </w:r>
      <w:r>
        <w:t>templates</w:t>
      </w:r>
      <w:r>
        <w:rPr>
          <w:spacing w:val="-7"/>
        </w:rPr>
        <w:t xml:space="preserve"> </w:t>
      </w:r>
      <w:r>
        <w:t>on</w:t>
      </w:r>
      <w:r>
        <w:rPr>
          <w:spacing w:val="-7"/>
        </w:rPr>
        <w:t xml:space="preserve"> </w:t>
      </w:r>
      <w:r>
        <w:t>a</w:t>
      </w:r>
      <w:r>
        <w:rPr>
          <w:spacing w:val="-7"/>
        </w:rPr>
        <w:t xml:space="preserve"> </w:t>
      </w:r>
      <w:r>
        <w:t>combined</w:t>
      </w:r>
      <w:r>
        <w:rPr>
          <w:spacing w:val="-7"/>
        </w:rPr>
        <w:t xml:space="preserve"> </w:t>
      </w:r>
      <w:r>
        <w:t>basis</w:t>
      </w:r>
      <w:r>
        <w:rPr>
          <w:spacing w:val="-6"/>
        </w:rPr>
        <w:t xml:space="preserve"> </w:t>
      </w:r>
      <w:r>
        <w:t>for the integrated LMW business – both urban and rural. The indicators show a sustainable financial position for L</w:t>
      </w:r>
      <w:r>
        <w:rPr>
          <w:sz w:val="20"/>
        </w:rPr>
        <w:t>M</w:t>
      </w:r>
      <w:r>
        <w:t>W from 2023‐24 to 2027‐28 within the minimum ESC benchmarks of the four key financial indicators. The integrated business results are different to the results for each of the urban and rural businesses, as discussed below.</w:t>
      </w:r>
      <w:r>
        <w:rPr>
          <w:spacing w:val="-12"/>
        </w:rPr>
        <w:t xml:space="preserve"> </w:t>
      </w:r>
      <w:r>
        <w:t>The</w:t>
      </w:r>
      <w:r>
        <w:rPr>
          <w:spacing w:val="-12"/>
        </w:rPr>
        <w:t xml:space="preserve"> </w:t>
      </w:r>
      <w:r>
        <w:t>ESC</w:t>
      </w:r>
      <w:r>
        <w:rPr>
          <w:spacing w:val="-13"/>
        </w:rPr>
        <w:t xml:space="preserve"> </w:t>
      </w:r>
      <w:r>
        <w:t>has</w:t>
      </w:r>
      <w:r>
        <w:rPr>
          <w:spacing w:val="-10"/>
        </w:rPr>
        <w:t xml:space="preserve"> </w:t>
      </w:r>
      <w:r>
        <w:t>provided</w:t>
      </w:r>
      <w:r>
        <w:rPr>
          <w:spacing w:val="-12"/>
        </w:rPr>
        <w:t xml:space="preserve"> </w:t>
      </w:r>
      <w:r>
        <w:t>guidance</w:t>
      </w:r>
      <w:r>
        <w:rPr>
          <w:spacing w:val="-12"/>
        </w:rPr>
        <w:t xml:space="preserve"> </w:t>
      </w:r>
      <w:r>
        <w:t>and</w:t>
      </w:r>
      <w:r>
        <w:rPr>
          <w:spacing w:val="-13"/>
        </w:rPr>
        <w:t xml:space="preserve"> </w:t>
      </w:r>
      <w:r>
        <w:t>support</w:t>
      </w:r>
      <w:r>
        <w:rPr>
          <w:spacing w:val="-11"/>
        </w:rPr>
        <w:t xml:space="preserve"> </w:t>
      </w:r>
      <w:r>
        <w:t>to</w:t>
      </w:r>
      <w:r>
        <w:rPr>
          <w:spacing w:val="-12"/>
        </w:rPr>
        <w:t xml:space="preserve"> </w:t>
      </w:r>
      <w:r>
        <w:t>LMW</w:t>
      </w:r>
      <w:r>
        <w:rPr>
          <w:spacing w:val="-13"/>
        </w:rPr>
        <w:t xml:space="preserve"> </w:t>
      </w:r>
      <w:r>
        <w:t>to</w:t>
      </w:r>
      <w:r>
        <w:rPr>
          <w:spacing w:val="-11"/>
        </w:rPr>
        <w:t xml:space="preserve"> </w:t>
      </w:r>
      <w:r>
        <w:t>measure</w:t>
      </w:r>
      <w:r>
        <w:rPr>
          <w:spacing w:val="-12"/>
        </w:rPr>
        <w:t xml:space="preserve"> </w:t>
      </w:r>
      <w:r>
        <w:t>financial</w:t>
      </w:r>
      <w:r>
        <w:rPr>
          <w:spacing w:val="-11"/>
        </w:rPr>
        <w:t xml:space="preserve"> </w:t>
      </w:r>
      <w:r>
        <w:t>performance</w:t>
      </w:r>
      <w:r>
        <w:rPr>
          <w:spacing w:val="-13"/>
        </w:rPr>
        <w:t xml:space="preserve"> </w:t>
      </w:r>
      <w:r>
        <w:t>on</w:t>
      </w:r>
      <w:r>
        <w:rPr>
          <w:spacing w:val="-10"/>
        </w:rPr>
        <w:t xml:space="preserve"> </w:t>
      </w:r>
      <w:r>
        <w:t>a</w:t>
      </w:r>
      <w:r>
        <w:rPr>
          <w:spacing w:val="-12"/>
        </w:rPr>
        <w:t xml:space="preserve"> </w:t>
      </w:r>
      <w:r>
        <w:t>consolidated basis</w:t>
      </w:r>
      <w:r>
        <w:rPr>
          <w:spacing w:val="-2"/>
        </w:rPr>
        <w:t xml:space="preserve"> </w:t>
      </w:r>
      <w:r>
        <w:t>due</w:t>
      </w:r>
      <w:r>
        <w:rPr>
          <w:spacing w:val="-3"/>
        </w:rPr>
        <w:t xml:space="preserve"> </w:t>
      </w:r>
      <w:r>
        <w:t>to</w:t>
      </w:r>
      <w:r>
        <w:rPr>
          <w:spacing w:val="-2"/>
        </w:rPr>
        <w:t xml:space="preserve"> </w:t>
      </w:r>
      <w:r>
        <w:t>the</w:t>
      </w:r>
      <w:r>
        <w:rPr>
          <w:spacing w:val="-2"/>
        </w:rPr>
        <w:t xml:space="preserve"> </w:t>
      </w:r>
      <w:r>
        <w:t>rural</w:t>
      </w:r>
      <w:r>
        <w:rPr>
          <w:spacing w:val="-1"/>
        </w:rPr>
        <w:t xml:space="preserve"> </w:t>
      </w:r>
      <w:r>
        <w:t>businesses</w:t>
      </w:r>
      <w:r>
        <w:rPr>
          <w:spacing w:val="-2"/>
        </w:rPr>
        <w:t xml:space="preserve"> </w:t>
      </w:r>
      <w:r>
        <w:t>merging</w:t>
      </w:r>
      <w:r>
        <w:rPr>
          <w:spacing w:val="-2"/>
        </w:rPr>
        <w:t xml:space="preserve"> </w:t>
      </w:r>
      <w:r>
        <w:t>with</w:t>
      </w:r>
      <w:r>
        <w:rPr>
          <w:spacing w:val="-2"/>
        </w:rPr>
        <w:t xml:space="preserve"> </w:t>
      </w:r>
      <w:r>
        <w:t>LMW, with</w:t>
      </w:r>
      <w:r>
        <w:rPr>
          <w:spacing w:val="-2"/>
        </w:rPr>
        <w:t xml:space="preserve"> </w:t>
      </w:r>
      <w:r>
        <w:t>no</w:t>
      </w:r>
      <w:r>
        <w:rPr>
          <w:spacing w:val="-2"/>
        </w:rPr>
        <w:t xml:space="preserve"> </w:t>
      </w:r>
      <w:r>
        <w:t>regulatory</w:t>
      </w:r>
      <w:r>
        <w:rPr>
          <w:spacing w:val="-1"/>
        </w:rPr>
        <w:t xml:space="preserve"> </w:t>
      </w:r>
      <w:r>
        <w:t>asset</w:t>
      </w:r>
      <w:r>
        <w:rPr>
          <w:spacing w:val="-2"/>
        </w:rPr>
        <w:t xml:space="preserve"> </w:t>
      </w:r>
      <w:r>
        <w:t>base,</w:t>
      </w:r>
      <w:r>
        <w:rPr>
          <w:spacing w:val="-2"/>
        </w:rPr>
        <w:t xml:space="preserve"> </w:t>
      </w:r>
      <w:r>
        <w:t>and</w:t>
      </w:r>
      <w:r>
        <w:rPr>
          <w:spacing w:val="-1"/>
        </w:rPr>
        <w:t xml:space="preserve"> </w:t>
      </w:r>
      <w:r>
        <w:t>the</w:t>
      </w:r>
      <w:r>
        <w:rPr>
          <w:spacing w:val="-3"/>
        </w:rPr>
        <w:t xml:space="preserve"> </w:t>
      </w:r>
      <w:r>
        <w:t>inherent</w:t>
      </w:r>
      <w:r>
        <w:rPr>
          <w:spacing w:val="-1"/>
        </w:rPr>
        <w:t xml:space="preserve"> </w:t>
      </w:r>
      <w:r>
        <w:t>nature</w:t>
      </w:r>
      <w:r>
        <w:rPr>
          <w:spacing w:val="-2"/>
        </w:rPr>
        <w:t xml:space="preserve"> </w:t>
      </w:r>
      <w:r>
        <w:t>of the operations.</w:t>
      </w:r>
    </w:p>
    <w:p w14:paraId="2462EEEA" w14:textId="77777777" w:rsidR="00141B97" w:rsidRDefault="00141B97">
      <w:pPr>
        <w:pStyle w:val="BodyText"/>
        <w:spacing w:before="11"/>
        <w:rPr>
          <w:sz w:val="21"/>
        </w:rPr>
      </w:pPr>
    </w:p>
    <w:p w14:paraId="02745610" w14:textId="77777777" w:rsidR="00141B97" w:rsidRDefault="00911D63">
      <w:pPr>
        <w:pStyle w:val="BodyText"/>
        <w:ind w:left="114" w:right="948" w:hanging="1"/>
        <w:jc w:val="both"/>
      </w:pPr>
      <w:r>
        <w:t>The</w:t>
      </w:r>
      <w:r>
        <w:rPr>
          <w:spacing w:val="-13"/>
        </w:rPr>
        <w:t xml:space="preserve"> </w:t>
      </w:r>
      <w:r>
        <w:t>proposed</w:t>
      </w:r>
      <w:r>
        <w:rPr>
          <w:spacing w:val="-12"/>
        </w:rPr>
        <w:t xml:space="preserve"> </w:t>
      </w:r>
      <w:r>
        <w:t>tariff</w:t>
      </w:r>
      <w:r>
        <w:rPr>
          <w:spacing w:val="-13"/>
        </w:rPr>
        <w:t xml:space="preserve"> </w:t>
      </w:r>
      <w:r>
        <w:t>structures</w:t>
      </w:r>
      <w:r>
        <w:rPr>
          <w:spacing w:val="-12"/>
        </w:rPr>
        <w:t xml:space="preserve"> </w:t>
      </w:r>
      <w:r>
        <w:t>for</w:t>
      </w:r>
      <w:r>
        <w:rPr>
          <w:spacing w:val="-13"/>
        </w:rPr>
        <w:t xml:space="preserve"> </w:t>
      </w:r>
      <w:r>
        <w:t>urban</w:t>
      </w:r>
      <w:r>
        <w:rPr>
          <w:spacing w:val="-12"/>
        </w:rPr>
        <w:t xml:space="preserve"> </w:t>
      </w:r>
      <w:r>
        <w:t>and</w:t>
      </w:r>
      <w:r>
        <w:rPr>
          <w:spacing w:val="-13"/>
        </w:rPr>
        <w:t xml:space="preserve"> </w:t>
      </w:r>
      <w:r>
        <w:t>rural</w:t>
      </w:r>
      <w:r>
        <w:rPr>
          <w:spacing w:val="-12"/>
        </w:rPr>
        <w:t xml:space="preserve"> </w:t>
      </w:r>
      <w:r>
        <w:t>ensure</w:t>
      </w:r>
      <w:r>
        <w:rPr>
          <w:spacing w:val="-12"/>
        </w:rPr>
        <w:t xml:space="preserve"> </w:t>
      </w:r>
      <w:r>
        <w:t>LMW</w:t>
      </w:r>
      <w:r>
        <w:rPr>
          <w:spacing w:val="-13"/>
        </w:rPr>
        <w:t xml:space="preserve"> </w:t>
      </w:r>
      <w:r>
        <w:t>remains</w:t>
      </w:r>
      <w:r>
        <w:rPr>
          <w:spacing w:val="-12"/>
        </w:rPr>
        <w:t xml:space="preserve"> </w:t>
      </w:r>
      <w:r>
        <w:t>financially</w:t>
      </w:r>
      <w:r>
        <w:rPr>
          <w:spacing w:val="-13"/>
        </w:rPr>
        <w:t xml:space="preserve"> </w:t>
      </w:r>
      <w:r>
        <w:t>viable</w:t>
      </w:r>
      <w:r>
        <w:rPr>
          <w:spacing w:val="-12"/>
        </w:rPr>
        <w:t xml:space="preserve"> </w:t>
      </w:r>
      <w:r>
        <w:t>by</w:t>
      </w:r>
      <w:r>
        <w:rPr>
          <w:spacing w:val="-13"/>
        </w:rPr>
        <w:t xml:space="preserve"> </w:t>
      </w:r>
      <w:r>
        <w:t>generating</w:t>
      </w:r>
      <w:r>
        <w:rPr>
          <w:spacing w:val="-12"/>
        </w:rPr>
        <w:t xml:space="preserve"> </w:t>
      </w:r>
      <w:r>
        <w:t>sufficient cash flow to deliver on service commitments, including financing costs arising from investments over PS5 and PS6. LMW’s overall cash position remains strong with cash generated from operating activities expected to range from $21m to $25m over the PS5 period. The primary indicator – Funds From Operations (FFO) interest cover, demonstrates LMW’s continued ability to meet its debt obligations.</w:t>
      </w:r>
    </w:p>
    <w:p w14:paraId="44164920" w14:textId="77777777" w:rsidR="00141B97" w:rsidRDefault="00141B97">
      <w:pPr>
        <w:pStyle w:val="BodyText"/>
        <w:spacing w:before="1"/>
      </w:pPr>
    </w:p>
    <w:p w14:paraId="26003C00" w14:textId="77777777" w:rsidR="00141B97" w:rsidRDefault="00911D63">
      <w:pPr>
        <w:pStyle w:val="BodyText"/>
        <w:ind w:left="113" w:right="946"/>
        <w:jc w:val="both"/>
      </w:pPr>
      <w:r>
        <w:t>The</w:t>
      </w:r>
      <w:r>
        <w:rPr>
          <w:spacing w:val="-1"/>
        </w:rPr>
        <w:t xml:space="preserve"> </w:t>
      </w:r>
      <w:r>
        <w:t>urban</w:t>
      </w:r>
      <w:r>
        <w:rPr>
          <w:spacing w:val="-1"/>
        </w:rPr>
        <w:t xml:space="preserve"> </w:t>
      </w:r>
      <w:r>
        <w:t>and</w:t>
      </w:r>
      <w:r>
        <w:rPr>
          <w:spacing w:val="-1"/>
        </w:rPr>
        <w:t xml:space="preserve"> </w:t>
      </w:r>
      <w:r>
        <w:t>rural ESC</w:t>
      </w:r>
      <w:r>
        <w:rPr>
          <w:spacing w:val="-1"/>
        </w:rPr>
        <w:t xml:space="preserve"> </w:t>
      </w:r>
      <w:r>
        <w:t>templates each discretely</w:t>
      </w:r>
      <w:r>
        <w:rPr>
          <w:spacing w:val="-1"/>
        </w:rPr>
        <w:t xml:space="preserve"> </w:t>
      </w:r>
      <w:r>
        <w:t>allocate</w:t>
      </w:r>
      <w:r>
        <w:rPr>
          <w:spacing w:val="-1"/>
        </w:rPr>
        <w:t xml:space="preserve"> </w:t>
      </w:r>
      <w:r>
        <w:t>any available</w:t>
      </w:r>
      <w:r>
        <w:rPr>
          <w:spacing w:val="-2"/>
        </w:rPr>
        <w:t xml:space="preserve"> </w:t>
      </w:r>
      <w:r>
        <w:t>cash to repayment of loans,</w:t>
      </w:r>
      <w:r>
        <w:rPr>
          <w:spacing w:val="-1"/>
        </w:rPr>
        <w:t xml:space="preserve"> </w:t>
      </w:r>
      <w:r>
        <w:t>however, this assumption does not take into account the nature of LMW’s integrated business and inter‐business loans. In the ESC templates, LMW’s urban business currently has a cash surplus, however this money is used within the LMW consolidated business to fund a portion of the rural business capital expenditure on a cost recovery basis,</w:t>
      </w:r>
      <w:r>
        <w:rPr>
          <w:spacing w:val="-10"/>
        </w:rPr>
        <w:t xml:space="preserve"> </w:t>
      </w:r>
      <w:r>
        <w:t>removing</w:t>
      </w:r>
      <w:r>
        <w:rPr>
          <w:spacing w:val="-9"/>
        </w:rPr>
        <w:t xml:space="preserve"> </w:t>
      </w:r>
      <w:r>
        <w:t>the</w:t>
      </w:r>
      <w:r>
        <w:rPr>
          <w:spacing w:val="-10"/>
        </w:rPr>
        <w:t xml:space="preserve"> </w:t>
      </w:r>
      <w:r>
        <w:t>need</w:t>
      </w:r>
      <w:r>
        <w:rPr>
          <w:spacing w:val="-9"/>
        </w:rPr>
        <w:t xml:space="preserve"> </w:t>
      </w:r>
      <w:r>
        <w:t>for</w:t>
      </w:r>
      <w:r>
        <w:rPr>
          <w:spacing w:val="-9"/>
        </w:rPr>
        <w:t xml:space="preserve"> </w:t>
      </w:r>
      <w:r>
        <w:t>the</w:t>
      </w:r>
      <w:r>
        <w:rPr>
          <w:spacing w:val="-10"/>
        </w:rPr>
        <w:t xml:space="preserve"> </w:t>
      </w:r>
      <w:r>
        <w:t>rural</w:t>
      </w:r>
      <w:r>
        <w:rPr>
          <w:spacing w:val="-10"/>
        </w:rPr>
        <w:t xml:space="preserve"> </w:t>
      </w:r>
      <w:r>
        <w:t>business</w:t>
      </w:r>
      <w:r>
        <w:rPr>
          <w:spacing w:val="-10"/>
        </w:rPr>
        <w:t xml:space="preserve"> </w:t>
      </w:r>
      <w:r>
        <w:t>to</w:t>
      </w:r>
      <w:r>
        <w:rPr>
          <w:spacing w:val="-10"/>
        </w:rPr>
        <w:t xml:space="preserve"> </w:t>
      </w:r>
      <w:r>
        <w:t>borrow</w:t>
      </w:r>
      <w:r>
        <w:rPr>
          <w:spacing w:val="-9"/>
        </w:rPr>
        <w:t xml:space="preserve"> </w:t>
      </w:r>
      <w:r>
        <w:t>as</w:t>
      </w:r>
      <w:r>
        <w:rPr>
          <w:spacing w:val="-9"/>
        </w:rPr>
        <w:t xml:space="preserve"> </w:t>
      </w:r>
      <w:r>
        <w:t>much</w:t>
      </w:r>
      <w:r>
        <w:rPr>
          <w:spacing w:val="-8"/>
        </w:rPr>
        <w:t xml:space="preserve"> </w:t>
      </w:r>
      <w:r>
        <w:t>money</w:t>
      </w:r>
      <w:r>
        <w:rPr>
          <w:spacing w:val="-9"/>
        </w:rPr>
        <w:t xml:space="preserve"> </w:t>
      </w:r>
      <w:r>
        <w:t>from</w:t>
      </w:r>
      <w:r>
        <w:rPr>
          <w:spacing w:val="-7"/>
        </w:rPr>
        <w:t xml:space="preserve"> </w:t>
      </w:r>
      <w:r>
        <w:t>Treasury</w:t>
      </w:r>
      <w:r>
        <w:rPr>
          <w:spacing w:val="-8"/>
        </w:rPr>
        <w:t xml:space="preserve"> </w:t>
      </w:r>
      <w:r>
        <w:t>Corporation</w:t>
      </w:r>
      <w:r>
        <w:rPr>
          <w:spacing w:val="-9"/>
        </w:rPr>
        <w:t xml:space="preserve"> </w:t>
      </w:r>
      <w:r>
        <w:t>of</w:t>
      </w:r>
      <w:r>
        <w:rPr>
          <w:spacing w:val="-7"/>
        </w:rPr>
        <w:t xml:space="preserve"> </w:t>
      </w:r>
      <w:r>
        <w:t>Victoria (TCV) loans.</w:t>
      </w:r>
      <w:r>
        <w:rPr>
          <w:spacing w:val="40"/>
        </w:rPr>
        <w:t xml:space="preserve"> </w:t>
      </w:r>
      <w:r>
        <w:t>From 2023‐24 to 2027‐28 LMW’s TCV loans are forecast to increase from $52m to $91m. LMW borrowed $40m across both businesses in 2010 and the loan does not mature until 2040 which restricts the ability of LMW to repay loans with surplus urban cash.</w:t>
      </w:r>
    </w:p>
    <w:p w14:paraId="720AA1A4" w14:textId="77777777" w:rsidR="00141B97" w:rsidRDefault="00141B97">
      <w:pPr>
        <w:pStyle w:val="BodyText"/>
        <w:spacing w:before="12"/>
        <w:rPr>
          <w:sz w:val="21"/>
        </w:rPr>
      </w:pPr>
    </w:p>
    <w:p w14:paraId="1CE80206" w14:textId="77777777" w:rsidR="00141B97" w:rsidRDefault="00911D63">
      <w:pPr>
        <w:pStyle w:val="BodyText"/>
        <w:ind w:left="113"/>
        <w:jc w:val="both"/>
      </w:pPr>
      <w:r>
        <w:t>Sustainable</w:t>
      </w:r>
      <w:r>
        <w:rPr>
          <w:spacing w:val="-10"/>
        </w:rPr>
        <w:t xml:space="preserve"> </w:t>
      </w:r>
      <w:r>
        <w:t>Business</w:t>
      </w:r>
      <w:r>
        <w:rPr>
          <w:spacing w:val="-8"/>
        </w:rPr>
        <w:t xml:space="preserve"> </w:t>
      </w:r>
      <w:r>
        <w:rPr>
          <w:spacing w:val="-2"/>
        </w:rPr>
        <w:t>Review</w:t>
      </w:r>
    </w:p>
    <w:p w14:paraId="0BA253F5" w14:textId="77777777" w:rsidR="00141B97" w:rsidRDefault="00911D63">
      <w:pPr>
        <w:pStyle w:val="BodyText"/>
        <w:ind w:left="113" w:right="948" w:hanging="1"/>
        <w:jc w:val="both"/>
      </w:pPr>
      <w:r>
        <w:t>In planning for PS5 and long‐term financial sustainability, LMW has signalled to stakeholders the potential for price</w:t>
      </w:r>
      <w:r>
        <w:rPr>
          <w:spacing w:val="-4"/>
        </w:rPr>
        <w:t xml:space="preserve"> </w:t>
      </w:r>
      <w:r>
        <w:t>rises</w:t>
      </w:r>
      <w:r>
        <w:rPr>
          <w:spacing w:val="-3"/>
        </w:rPr>
        <w:t xml:space="preserve"> </w:t>
      </w:r>
      <w:r>
        <w:t>to</w:t>
      </w:r>
      <w:r>
        <w:rPr>
          <w:spacing w:val="-2"/>
        </w:rPr>
        <w:t xml:space="preserve"> </w:t>
      </w:r>
      <w:r>
        <w:t>deliver</w:t>
      </w:r>
      <w:r>
        <w:rPr>
          <w:spacing w:val="-4"/>
        </w:rPr>
        <w:t xml:space="preserve"> </w:t>
      </w:r>
      <w:r>
        <w:t>new</w:t>
      </w:r>
      <w:r>
        <w:rPr>
          <w:spacing w:val="-4"/>
        </w:rPr>
        <w:t xml:space="preserve"> </w:t>
      </w:r>
      <w:r>
        <w:t>customer</w:t>
      </w:r>
      <w:r>
        <w:rPr>
          <w:spacing w:val="-3"/>
        </w:rPr>
        <w:t xml:space="preserve"> </w:t>
      </w:r>
      <w:r>
        <w:t>outcomes.</w:t>
      </w:r>
      <w:r>
        <w:rPr>
          <w:spacing w:val="-3"/>
        </w:rPr>
        <w:t xml:space="preserve"> </w:t>
      </w:r>
      <w:r>
        <w:t>The</w:t>
      </w:r>
      <w:r>
        <w:rPr>
          <w:spacing w:val="-3"/>
        </w:rPr>
        <w:t xml:space="preserve"> </w:t>
      </w:r>
      <w:r>
        <w:t>rural</w:t>
      </w:r>
      <w:r>
        <w:rPr>
          <w:spacing w:val="-4"/>
        </w:rPr>
        <w:t xml:space="preserve"> </w:t>
      </w:r>
      <w:r>
        <w:t>businesses</w:t>
      </w:r>
      <w:r>
        <w:rPr>
          <w:spacing w:val="-4"/>
        </w:rPr>
        <w:t xml:space="preserve"> </w:t>
      </w:r>
      <w:r>
        <w:t>inability</w:t>
      </w:r>
      <w:r>
        <w:rPr>
          <w:spacing w:val="-3"/>
        </w:rPr>
        <w:t xml:space="preserve"> </w:t>
      </w:r>
      <w:r>
        <w:t>to</w:t>
      </w:r>
      <w:r>
        <w:rPr>
          <w:spacing w:val="-5"/>
        </w:rPr>
        <w:t xml:space="preserve"> </w:t>
      </w:r>
      <w:r>
        <w:t>recover</w:t>
      </w:r>
      <w:r>
        <w:rPr>
          <w:spacing w:val="-4"/>
        </w:rPr>
        <w:t xml:space="preserve"> </w:t>
      </w:r>
      <w:r>
        <w:t>sufficient</w:t>
      </w:r>
      <w:r>
        <w:rPr>
          <w:spacing w:val="-5"/>
        </w:rPr>
        <w:t xml:space="preserve"> </w:t>
      </w:r>
      <w:r>
        <w:t>tariffs</w:t>
      </w:r>
      <w:r>
        <w:rPr>
          <w:spacing w:val="-5"/>
        </w:rPr>
        <w:t xml:space="preserve"> </w:t>
      </w:r>
      <w:r>
        <w:t>from</w:t>
      </w:r>
      <w:r>
        <w:rPr>
          <w:spacing w:val="-4"/>
        </w:rPr>
        <w:t xml:space="preserve"> </w:t>
      </w:r>
      <w:r>
        <w:t>its customers</w:t>
      </w:r>
      <w:r>
        <w:rPr>
          <w:spacing w:val="-13"/>
        </w:rPr>
        <w:t xml:space="preserve"> </w:t>
      </w:r>
      <w:r>
        <w:t>under</w:t>
      </w:r>
      <w:r>
        <w:rPr>
          <w:spacing w:val="-12"/>
        </w:rPr>
        <w:t xml:space="preserve"> </w:t>
      </w:r>
      <w:r>
        <w:t>the</w:t>
      </w:r>
      <w:r>
        <w:rPr>
          <w:spacing w:val="-13"/>
        </w:rPr>
        <w:t xml:space="preserve"> </w:t>
      </w:r>
      <w:r>
        <w:t>regulatory</w:t>
      </w:r>
      <w:r>
        <w:rPr>
          <w:spacing w:val="-12"/>
        </w:rPr>
        <w:t xml:space="preserve"> </w:t>
      </w:r>
      <w:r>
        <w:t>model</w:t>
      </w:r>
      <w:r>
        <w:rPr>
          <w:spacing w:val="-13"/>
        </w:rPr>
        <w:t xml:space="preserve"> </w:t>
      </w:r>
      <w:r>
        <w:t>raises</w:t>
      </w:r>
      <w:r>
        <w:rPr>
          <w:spacing w:val="-12"/>
        </w:rPr>
        <w:t xml:space="preserve"> </w:t>
      </w:r>
      <w:r>
        <w:t>concern</w:t>
      </w:r>
      <w:r>
        <w:rPr>
          <w:spacing w:val="-13"/>
        </w:rPr>
        <w:t xml:space="preserve"> </w:t>
      </w:r>
      <w:r>
        <w:t>over</w:t>
      </w:r>
      <w:r>
        <w:rPr>
          <w:spacing w:val="-12"/>
        </w:rPr>
        <w:t xml:space="preserve"> </w:t>
      </w:r>
      <w:r>
        <w:t>the</w:t>
      </w:r>
      <w:r>
        <w:rPr>
          <w:spacing w:val="-12"/>
        </w:rPr>
        <w:t xml:space="preserve"> </w:t>
      </w:r>
      <w:r>
        <w:t>long‐term</w:t>
      </w:r>
      <w:r>
        <w:rPr>
          <w:spacing w:val="-13"/>
        </w:rPr>
        <w:t xml:space="preserve"> </w:t>
      </w:r>
      <w:r>
        <w:t>sustainability</w:t>
      </w:r>
      <w:r>
        <w:rPr>
          <w:spacing w:val="-12"/>
        </w:rPr>
        <w:t xml:space="preserve"> </w:t>
      </w:r>
      <w:r>
        <w:t>of</w:t>
      </w:r>
      <w:r>
        <w:rPr>
          <w:spacing w:val="-13"/>
        </w:rPr>
        <w:t xml:space="preserve"> </w:t>
      </w:r>
      <w:r>
        <w:t>their</w:t>
      </w:r>
      <w:r>
        <w:rPr>
          <w:spacing w:val="-12"/>
        </w:rPr>
        <w:t xml:space="preserve"> </w:t>
      </w:r>
      <w:r>
        <w:t>operations.</w:t>
      </w:r>
      <w:r>
        <w:rPr>
          <w:spacing w:val="-13"/>
        </w:rPr>
        <w:t xml:space="preserve"> </w:t>
      </w:r>
      <w:r>
        <w:t>Rural loans have progressively increased over the past three pricing periods to fund investment with this trend continuing in PS6 with financial indicators deteriorating.</w:t>
      </w:r>
    </w:p>
    <w:p w14:paraId="6D7BA52F" w14:textId="77777777" w:rsidR="00141B97" w:rsidRDefault="00141B97">
      <w:pPr>
        <w:pStyle w:val="BodyText"/>
      </w:pPr>
    </w:p>
    <w:p w14:paraId="3B7CEB58" w14:textId="77777777" w:rsidR="00141B97" w:rsidRDefault="00911D63">
      <w:pPr>
        <w:pStyle w:val="BodyText"/>
        <w:ind w:left="113" w:right="948"/>
        <w:jc w:val="both"/>
      </w:pPr>
      <w:r>
        <w:t>LMW</w:t>
      </w:r>
      <w:r>
        <w:rPr>
          <w:spacing w:val="-6"/>
        </w:rPr>
        <w:t xml:space="preserve"> </w:t>
      </w:r>
      <w:r>
        <w:t>has</w:t>
      </w:r>
      <w:r>
        <w:rPr>
          <w:spacing w:val="-5"/>
        </w:rPr>
        <w:t xml:space="preserve"> </w:t>
      </w:r>
      <w:r>
        <w:t>tested</w:t>
      </w:r>
      <w:r>
        <w:rPr>
          <w:spacing w:val="-6"/>
        </w:rPr>
        <w:t xml:space="preserve"> </w:t>
      </w:r>
      <w:r>
        <w:t>with</w:t>
      </w:r>
      <w:r>
        <w:rPr>
          <w:spacing w:val="-5"/>
        </w:rPr>
        <w:t xml:space="preserve"> </w:t>
      </w:r>
      <w:r>
        <w:t>both</w:t>
      </w:r>
      <w:r>
        <w:rPr>
          <w:spacing w:val="-5"/>
        </w:rPr>
        <w:t xml:space="preserve"> </w:t>
      </w:r>
      <w:r>
        <w:t>urban</w:t>
      </w:r>
      <w:r>
        <w:rPr>
          <w:spacing w:val="-5"/>
        </w:rPr>
        <w:t xml:space="preserve"> </w:t>
      </w:r>
      <w:r>
        <w:t>and</w:t>
      </w:r>
      <w:r>
        <w:rPr>
          <w:spacing w:val="-6"/>
        </w:rPr>
        <w:t xml:space="preserve"> </w:t>
      </w:r>
      <w:r>
        <w:t>rural</w:t>
      </w:r>
      <w:r>
        <w:rPr>
          <w:spacing w:val="-6"/>
        </w:rPr>
        <w:t xml:space="preserve"> </w:t>
      </w:r>
      <w:r>
        <w:t>customers</w:t>
      </w:r>
      <w:r>
        <w:rPr>
          <w:spacing w:val="-5"/>
        </w:rPr>
        <w:t xml:space="preserve"> </w:t>
      </w:r>
      <w:r>
        <w:t>the</w:t>
      </w:r>
      <w:r>
        <w:rPr>
          <w:spacing w:val="-6"/>
        </w:rPr>
        <w:t xml:space="preserve"> </w:t>
      </w:r>
      <w:r>
        <w:t>balance</w:t>
      </w:r>
      <w:r>
        <w:rPr>
          <w:spacing w:val="-6"/>
        </w:rPr>
        <w:t xml:space="preserve"> </w:t>
      </w:r>
      <w:r>
        <w:t>between</w:t>
      </w:r>
      <w:r>
        <w:rPr>
          <w:spacing w:val="-5"/>
        </w:rPr>
        <w:t xml:space="preserve"> </w:t>
      </w:r>
      <w:r>
        <w:t>price,</w:t>
      </w:r>
      <w:r>
        <w:rPr>
          <w:spacing w:val="-4"/>
        </w:rPr>
        <w:t xml:space="preserve"> </w:t>
      </w:r>
      <w:r>
        <w:t>service</w:t>
      </w:r>
      <w:r>
        <w:rPr>
          <w:spacing w:val="-5"/>
        </w:rPr>
        <w:t xml:space="preserve"> </w:t>
      </w:r>
      <w:r>
        <w:t>and</w:t>
      </w:r>
      <w:r>
        <w:rPr>
          <w:spacing w:val="-6"/>
        </w:rPr>
        <w:t xml:space="preserve"> </w:t>
      </w:r>
      <w:r>
        <w:t>being</w:t>
      </w:r>
      <w:r>
        <w:rPr>
          <w:spacing w:val="-6"/>
        </w:rPr>
        <w:t xml:space="preserve"> </w:t>
      </w:r>
      <w:r>
        <w:t>sustainable into</w:t>
      </w:r>
      <w:r>
        <w:rPr>
          <w:spacing w:val="-11"/>
        </w:rPr>
        <w:t xml:space="preserve"> </w:t>
      </w:r>
      <w:r>
        <w:t>the</w:t>
      </w:r>
      <w:r>
        <w:rPr>
          <w:spacing w:val="-11"/>
        </w:rPr>
        <w:t xml:space="preserve"> </w:t>
      </w:r>
      <w:r>
        <w:t>future</w:t>
      </w:r>
      <w:r>
        <w:rPr>
          <w:spacing w:val="-11"/>
        </w:rPr>
        <w:t xml:space="preserve"> </w:t>
      </w:r>
      <w:r>
        <w:t>and</w:t>
      </w:r>
      <w:r>
        <w:rPr>
          <w:spacing w:val="-10"/>
        </w:rPr>
        <w:t xml:space="preserve"> </w:t>
      </w:r>
      <w:r>
        <w:t>confirmed</w:t>
      </w:r>
      <w:r>
        <w:rPr>
          <w:spacing w:val="-10"/>
        </w:rPr>
        <w:t xml:space="preserve"> </w:t>
      </w:r>
      <w:r>
        <w:t>any</w:t>
      </w:r>
      <w:r>
        <w:rPr>
          <w:spacing w:val="-10"/>
        </w:rPr>
        <w:t xml:space="preserve"> </w:t>
      </w:r>
      <w:r>
        <w:t>non‐essential</w:t>
      </w:r>
      <w:r>
        <w:rPr>
          <w:spacing w:val="-11"/>
        </w:rPr>
        <w:t xml:space="preserve"> </w:t>
      </w:r>
      <w:r>
        <w:t>investments</w:t>
      </w:r>
      <w:r>
        <w:rPr>
          <w:spacing w:val="-11"/>
        </w:rPr>
        <w:t xml:space="preserve"> </w:t>
      </w:r>
      <w:r>
        <w:t>will</w:t>
      </w:r>
      <w:r>
        <w:rPr>
          <w:spacing w:val="-10"/>
        </w:rPr>
        <w:t xml:space="preserve"> </w:t>
      </w:r>
      <w:r>
        <w:t>be</w:t>
      </w:r>
      <w:r>
        <w:rPr>
          <w:spacing w:val="-10"/>
        </w:rPr>
        <w:t xml:space="preserve"> </w:t>
      </w:r>
      <w:r>
        <w:t>sacrificed</w:t>
      </w:r>
      <w:r>
        <w:rPr>
          <w:spacing w:val="-10"/>
        </w:rPr>
        <w:t xml:space="preserve"> </w:t>
      </w:r>
      <w:r>
        <w:t>for</w:t>
      </w:r>
      <w:r>
        <w:rPr>
          <w:spacing w:val="-9"/>
        </w:rPr>
        <w:t xml:space="preserve"> </w:t>
      </w:r>
      <w:r>
        <w:t>the</w:t>
      </w:r>
      <w:r>
        <w:rPr>
          <w:spacing w:val="-11"/>
        </w:rPr>
        <w:t xml:space="preserve"> </w:t>
      </w:r>
      <w:r>
        <w:t>sake</w:t>
      </w:r>
      <w:r>
        <w:rPr>
          <w:spacing w:val="-11"/>
        </w:rPr>
        <w:t xml:space="preserve"> </w:t>
      </w:r>
      <w:r>
        <w:t>of</w:t>
      </w:r>
      <w:r>
        <w:rPr>
          <w:spacing w:val="-10"/>
        </w:rPr>
        <w:t xml:space="preserve"> </w:t>
      </w:r>
      <w:r>
        <w:t>lowering</w:t>
      </w:r>
      <w:r>
        <w:rPr>
          <w:spacing w:val="-11"/>
        </w:rPr>
        <w:t xml:space="preserve"> </w:t>
      </w:r>
      <w:r>
        <w:t>customer bills.</w:t>
      </w:r>
      <w:r>
        <w:rPr>
          <w:spacing w:val="-13"/>
        </w:rPr>
        <w:t xml:space="preserve"> </w:t>
      </w:r>
      <w:r>
        <w:t>Following</w:t>
      </w:r>
      <w:r>
        <w:rPr>
          <w:spacing w:val="-12"/>
        </w:rPr>
        <w:t xml:space="preserve"> </w:t>
      </w:r>
      <w:r>
        <w:t>further</w:t>
      </w:r>
      <w:r>
        <w:rPr>
          <w:spacing w:val="-12"/>
        </w:rPr>
        <w:t xml:space="preserve"> </w:t>
      </w:r>
      <w:r>
        <w:t>discussions,</w:t>
      </w:r>
      <w:r>
        <w:rPr>
          <w:spacing w:val="-13"/>
        </w:rPr>
        <w:t xml:space="preserve"> </w:t>
      </w:r>
      <w:r>
        <w:t>customers</w:t>
      </w:r>
      <w:r>
        <w:rPr>
          <w:spacing w:val="-11"/>
        </w:rPr>
        <w:t xml:space="preserve"> </w:t>
      </w:r>
      <w:r>
        <w:t>were</w:t>
      </w:r>
      <w:r>
        <w:rPr>
          <w:spacing w:val="-13"/>
        </w:rPr>
        <w:t xml:space="preserve"> </w:t>
      </w:r>
      <w:r>
        <w:t>cognisant</w:t>
      </w:r>
      <w:r>
        <w:rPr>
          <w:spacing w:val="-10"/>
        </w:rPr>
        <w:t xml:space="preserve"> </w:t>
      </w:r>
      <w:r>
        <w:t>of</w:t>
      </w:r>
      <w:r>
        <w:rPr>
          <w:spacing w:val="-12"/>
        </w:rPr>
        <w:t xml:space="preserve"> </w:t>
      </w:r>
      <w:r>
        <w:t>the</w:t>
      </w:r>
      <w:r>
        <w:rPr>
          <w:spacing w:val="-12"/>
        </w:rPr>
        <w:t xml:space="preserve"> </w:t>
      </w:r>
      <w:r>
        <w:t>need,</w:t>
      </w:r>
      <w:r>
        <w:rPr>
          <w:spacing w:val="-12"/>
        </w:rPr>
        <w:t xml:space="preserve"> </w:t>
      </w:r>
      <w:r>
        <w:t>and</w:t>
      </w:r>
      <w:r>
        <w:rPr>
          <w:spacing w:val="-12"/>
        </w:rPr>
        <w:t xml:space="preserve"> </w:t>
      </w:r>
      <w:r>
        <w:t>ultimately</w:t>
      </w:r>
      <w:r>
        <w:rPr>
          <w:spacing w:val="-13"/>
        </w:rPr>
        <w:t xml:space="preserve"> </w:t>
      </w:r>
      <w:r>
        <w:t>supportive</w:t>
      </w:r>
      <w:r>
        <w:rPr>
          <w:spacing w:val="-12"/>
        </w:rPr>
        <w:t xml:space="preserve"> </w:t>
      </w:r>
      <w:r>
        <w:t>of</w:t>
      </w:r>
      <w:r>
        <w:rPr>
          <w:spacing w:val="-11"/>
        </w:rPr>
        <w:t xml:space="preserve"> </w:t>
      </w:r>
      <w:r>
        <w:t>targeted and informed investment which sustain assets ahead of time.</w:t>
      </w:r>
    </w:p>
    <w:p w14:paraId="425D5EC4" w14:textId="77777777" w:rsidR="00141B97" w:rsidRDefault="00141B97">
      <w:pPr>
        <w:pStyle w:val="BodyText"/>
      </w:pPr>
    </w:p>
    <w:p w14:paraId="13097034" w14:textId="77777777" w:rsidR="00141B97" w:rsidRDefault="00911D63">
      <w:pPr>
        <w:pStyle w:val="BodyText"/>
        <w:ind w:left="114" w:right="948" w:hanging="1"/>
        <w:jc w:val="both"/>
      </w:pPr>
      <w:r>
        <w:t>Shareholder</w:t>
      </w:r>
      <w:r>
        <w:rPr>
          <w:spacing w:val="-10"/>
        </w:rPr>
        <w:t xml:space="preserve"> </w:t>
      </w:r>
      <w:r>
        <w:t>expectation</w:t>
      </w:r>
      <w:r>
        <w:rPr>
          <w:spacing w:val="-9"/>
        </w:rPr>
        <w:t xml:space="preserve"> </w:t>
      </w:r>
      <w:r>
        <w:t>is</w:t>
      </w:r>
      <w:r>
        <w:rPr>
          <w:spacing w:val="-9"/>
        </w:rPr>
        <w:t xml:space="preserve"> </w:t>
      </w:r>
      <w:r>
        <w:t>that</w:t>
      </w:r>
      <w:r>
        <w:rPr>
          <w:spacing w:val="-9"/>
        </w:rPr>
        <w:t xml:space="preserve"> </w:t>
      </w:r>
      <w:r>
        <w:t>Victorian</w:t>
      </w:r>
      <w:r>
        <w:rPr>
          <w:spacing w:val="-10"/>
        </w:rPr>
        <w:t xml:space="preserve"> </w:t>
      </w:r>
      <w:r>
        <w:t>water</w:t>
      </w:r>
      <w:r>
        <w:rPr>
          <w:spacing w:val="-9"/>
        </w:rPr>
        <w:t xml:space="preserve"> </w:t>
      </w:r>
      <w:r>
        <w:t>businesses</w:t>
      </w:r>
      <w:r>
        <w:rPr>
          <w:spacing w:val="-10"/>
        </w:rPr>
        <w:t xml:space="preserve"> </w:t>
      </w:r>
      <w:r>
        <w:t>will</w:t>
      </w:r>
      <w:r>
        <w:rPr>
          <w:spacing w:val="-10"/>
        </w:rPr>
        <w:t xml:space="preserve"> </w:t>
      </w:r>
      <w:r>
        <w:t>operate</w:t>
      </w:r>
      <w:r>
        <w:rPr>
          <w:spacing w:val="-9"/>
        </w:rPr>
        <w:t xml:space="preserve"> </w:t>
      </w:r>
      <w:r>
        <w:t>in</w:t>
      </w:r>
      <w:r>
        <w:rPr>
          <w:spacing w:val="-10"/>
        </w:rPr>
        <w:t xml:space="preserve"> </w:t>
      </w:r>
      <w:r>
        <w:t>an</w:t>
      </w:r>
      <w:r>
        <w:rPr>
          <w:spacing w:val="-9"/>
        </w:rPr>
        <w:t xml:space="preserve"> </w:t>
      </w:r>
      <w:r>
        <w:t>environment</w:t>
      </w:r>
      <w:r>
        <w:rPr>
          <w:spacing w:val="-10"/>
        </w:rPr>
        <w:t xml:space="preserve"> </w:t>
      </w:r>
      <w:r>
        <w:t>of</w:t>
      </w:r>
      <w:r>
        <w:rPr>
          <w:spacing w:val="-10"/>
        </w:rPr>
        <w:t xml:space="preserve"> </w:t>
      </w:r>
      <w:r>
        <w:t>steady</w:t>
      </w:r>
      <w:r>
        <w:rPr>
          <w:spacing w:val="-9"/>
        </w:rPr>
        <w:t xml:space="preserve"> </w:t>
      </w:r>
      <w:r>
        <w:t>or</w:t>
      </w:r>
      <w:r>
        <w:rPr>
          <w:spacing w:val="-10"/>
        </w:rPr>
        <w:t xml:space="preserve"> </w:t>
      </w:r>
      <w:r>
        <w:t>declining prices. In the context of these expectations, LMW has carried out a review of the medium and long‐term financial sustainability of the business. The process confirmed a number of business challenges facing LMW:</w:t>
      </w:r>
    </w:p>
    <w:p w14:paraId="6C223D0D" w14:textId="77777777" w:rsidR="00141B97" w:rsidRDefault="00911D63">
      <w:pPr>
        <w:pStyle w:val="ListParagraph"/>
        <w:numPr>
          <w:ilvl w:val="0"/>
          <w:numId w:val="83"/>
        </w:numPr>
        <w:tabs>
          <w:tab w:val="left" w:pos="833"/>
          <w:tab w:val="left" w:pos="834"/>
        </w:tabs>
        <w:ind w:hanging="361"/>
      </w:pPr>
      <w:r>
        <w:t>Historical</w:t>
      </w:r>
      <w:r>
        <w:rPr>
          <w:spacing w:val="-11"/>
        </w:rPr>
        <w:t xml:space="preserve"> </w:t>
      </w:r>
      <w:r>
        <w:t>under‐investment</w:t>
      </w:r>
      <w:r>
        <w:rPr>
          <w:spacing w:val="-12"/>
        </w:rPr>
        <w:t xml:space="preserve"> </w:t>
      </w:r>
      <w:r>
        <w:t>in</w:t>
      </w:r>
      <w:r>
        <w:rPr>
          <w:spacing w:val="-10"/>
        </w:rPr>
        <w:t xml:space="preserve"> </w:t>
      </w:r>
      <w:r>
        <w:t>people,</w:t>
      </w:r>
      <w:r>
        <w:rPr>
          <w:spacing w:val="-11"/>
        </w:rPr>
        <w:t xml:space="preserve"> </w:t>
      </w:r>
      <w:r>
        <w:t>processes,</w:t>
      </w:r>
      <w:r>
        <w:rPr>
          <w:spacing w:val="-11"/>
        </w:rPr>
        <w:t xml:space="preserve"> </w:t>
      </w:r>
      <w:r>
        <w:t>and</w:t>
      </w:r>
      <w:r>
        <w:rPr>
          <w:spacing w:val="-10"/>
        </w:rPr>
        <w:t xml:space="preserve"> </w:t>
      </w:r>
      <w:r>
        <w:rPr>
          <w:spacing w:val="-2"/>
        </w:rPr>
        <w:t>technology.</w:t>
      </w:r>
    </w:p>
    <w:p w14:paraId="788D0478" w14:textId="77777777" w:rsidR="00141B97" w:rsidRDefault="00911D63">
      <w:pPr>
        <w:pStyle w:val="ListParagraph"/>
        <w:numPr>
          <w:ilvl w:val="0"/>
          <w:numId w:val="83"/>
        </w:numPr>
        <w:tabs>
          <w:tab w:val="left" w:pos="833"/>
          <w:tab w:val="left" w:pos="834"/>
        </w:tabs>
        <w:spacing w:before="1"/>
        <w:ind w:right="949" w:hanging="361"/>
      </w:pPr>
      <w:r>
        <w:t>Significant</w:t>
      </w:r>
      <w:r>
        <w:rPr>
          <w:spacing w:val="-13"/>
        </w:rPr>
        <w:t xml:space="preserve"> </w:t>
      </w:r>
      <w:r>
        <w:t>catch‐up</w:t>
      </w:r>
      <w:r>
        <w:rPr>
          <w:spacing w:val="-10"/>
        </w:rPr>
        <w:t xml:space="preserve"> </w:t>
      </w:r>
      <w:r>
        <w:t>and</w:t>
      </w:r>
      <w:r>
        <w:rPr>
          <w:spacing w:val="-11"/>
        </w:rPr>
        <w:t xml:space="preserve"> </w:t>
      </w:r>
      <w:r>
        <w:t>investment</w:t>
      </w:r>
      <w:r>
        <w:rPr>
          <w:spacing w:val="-13"/>
        </w:rPr>
        <w:t xml:space="preserve"> </w:t>
      </w:r>
      <w:r>
        <w:t>to</w:t>
      </w:r>
      <w:r>
        <w:rPr>
          <w:spacing w:val="-11"/>
        </w:rPr>
        <w:t xml:space="preserve"> </w:t>
      </w:r>
      <w:r>
        <w:t>move</w:t>
      </w:r>
      <w:r>
        <w:rPr>
          <w:spacing w:val="-12"/>
        </w:rPr>
        <w:t xml:space="preserve"> </w:t>
      </w:r>
      <w:r>
        <w:t>to</w:t>
      </w:r>
      <w:r>
        <w:rPr>
          <w:spacing w:val="-12"/>
        </w:rPr>
        <w:t xml:space="preserve"> </w:t>
      </w:r>
      <w:r>
        <w:t>build</w:t>
      </w:r>
      <w:r>
        <w:rPr>
          <w:spacing w:val="-11"/>
        </w:rPr>
        <w:t xml:space="preserve"> </w:t>
      </w:r>
      <w:r>
        <w:t>efficiencies</w:t>
      </w:r>
      <w:r>
        <w:rPr>
          <w:spacing w:val="-11"/>
        </w:rPr>
        <w:t xml:space="preserve"> </w:t>
      </w:r>
      <w:r>
        <w:t>in</w:t>
      </w:r>
      <w:r>
        <w:rPr>
          <w:spacing w:val="-10"/>
        </w:rPr>
        <w:t xml:space="preserve"> </w:t>
      </w:r>
      <w:r>
        <w:t>ways</w:t>
      </w:r>
      <w:r>
        <w:rPr>
          <w:spacing w:val="-12"/>
        </w:rPr>
        <w:t xml:space="preserve"> </w:t>
      </w:r>
      <w:r>
        <w:t>of</w:t>
      </w:r>
      <w:r>
        <w:rPr>
          <w:spacing w:val="-12"/>
        </w:rPr>
        <w:t xml:space="preserve"> </w:t>
      </w:r>
      <w:r>
        <w:t>working</w:t>
      </w:r>
      <w:r>
        <w:rPr>
          <w:spacing w:val="-12"/>
        </w:rPr>
        <w:t xml:space="preserve"> </w:t>
      </w:r>
      <w:r>
        <w:t>and</w:t>
      </w:r>
      <w:r>
        <w:rPr>
          <w:spacing w:val="-11"/>
        </w:rPr>
        <w:t xml:space="preserve"> </w:t>
      </w:r>
      <w:r>
        <w:t xml:space="preserve">data‐intelligent </w:t>
      </w:r>
      <w:r>
        <w:rPr>
          <w:spacing w:val="-2"/>
        </w:rPr>
        <w:t>solutions.</w:t>
      </w:r>
    </w:p>
    <w:p w14:paraId="54F16D66" w14:textId="77777777" w:rsidR="00141B97" w:rsidRDefault="00911D63">
      <w:pPr>
        <w:pStyle w:val="ListParagraph"/>
        <w:numPr>
          <w:ilvl w:val="0"/>
          <w:numId w:val="83"/>
        </w:numPr>
        <w:tabs>
          <w:tab w:val="left" w:pos="833"/>
          <w:tab w:val="left" w:pos="834"/>
        </w:tabs>
        <w:spacing w:line="280" w:lineRule="exact"/>
        <w:ind w:hanging="361"/>
      </w:pPr>
      <w:r>
        <w:t>Small</w:t>
      </w:r>
      <w:r>
        <w:rPr>
          <w:spacing w:val="-10"/>
        </w:rPr>
        <w:t xml:space="preserve"> </w:t>
      </w:r>
      <w:r>
        <w:t>and</w:t>
      </w:r>
      <w:r>
        <w:rPr>
          <w:spacing w:val="-8"/>
        </w:rPr>
        <w:t xml:space="preserve"> </w:t>
      </w:r>
      <w:r>
        <w:t>dispersed</w:t>
      </w:r>
      <w:r>
        <w:rPr>
          <w:spacing w:val="-10"/>
        </w:rPr>
        <w:t xml:space="preserve"> </w:t>
      </w:r>
      <w:r>
        <w:t>water/wastewater</w:t>
      </w:r>
      <w:r>
        <w:rPr>
          <w:spacing w:val="-8"/>
        </w:rPr>
        <w:t xml:space="preserve"> </w:t>
      </w:r>
      <w:r>
        <w:t>systems</w:t>
      </w:r>
      <w:r>
        <w:rPr>
          <w:spacing w:val="-9"/>
        </w:rPr>
        <w:t xml:space="preserve"> </w:t>
      </w:r>
      <w:r>
        <w:t>over</w:t>
      </w:r>
      <w:r>
        <w:rPr>
          <w:spacing w:val="-8"/>
        </w:rPr>
        <w:t xml:space="preserve"> </w:t>
      </w:r>
      <w:r>
        <w:t>a</w:t>
      </w:r>
      <w:r>
        <w:rPr>
          <w:spacing w:val="-9"/>
        </w:rPr>
        <w:t xml:space="preserve"> </w:t>
      </w:r>
      <w:r>
        <w:t>large</w:t>
      </w:r>
      <w:r>
        <w:rPr>
          <w:spacing w:val="-8"/>
        </w:rPr>
        <w:t xml:space="preserve"> </w:t>
      </w:r>
      <w:r>
        <w:t>regional</w:t>
      </w:r>
      <w:r>
        <w:rPr>
          <w:spacing w:val="-10"/>
        </w:rPr>
        <w:t xml:space="preserve"> </w:t>
      </w:r>
      <w:r>
        <w:t>customer</w:t>
      </w:r>
      <w:r>
        <w:rPr>
          <w:spacing w:val="-7"/>
        </w:rPr>
        <w:t xml:space="preserve"> </w:t>
      </w:r>
      <w:r>
        <w:rPr>
          <w:spacing w:val="-2"/>
        </w:rPr>
        <w:t>base.</w:t>
      </w:r>
    </w:p>
    <w:p w14:paraId="4CFEBAFE" w14:textId="77777777" w:rsidR="00141B97" w:rsidRDefault="00911D63">
      <w:pPr>
        <w:pStyle w:val="ListParagraph"/>
        <w:numPr>
          <w:ilvl w:val="0"/>
          <w:numId w:val="83"/>
        </w:numPr>
        <w:tabs>
          <w:tab w:val="left" w:pos="833"/>
          <w:tab w:val="left" w:pos="834"/>
        </w:tabs>
        <w:ind w:right="949"/>
      </w:pPr>
      <w:r>
        <w:t>Different</w:t>
      </w:r>
      <w:r>
        <w:rPr>
          <w:spacing w:val="40"/>
        </w:rPr>
        <w:t xml:space="preserve"> </w:t>
      </w:r>
      <w:r>
        <w:t>regulatory</w:t>
      </w:r>
      <w:r>
        <w:rPr>
          <w:spacing w:val="40"/>
        </w:rPr>
        <w:t xml:space="preserve"> </w:t>
      </w:r>
      <w:r>
        <w:t>tariff</w:t>
      </w:r>
      <w:r>
        <w:rPr>
          <w:spacing w:val="40"/>
        </w:rPr>
        <w:t xml:space="preserve"> </w:t>
      </w:r>
      <w:r>
        <w:t>structures</w:t>
      </w:r>
      <w:r>
        <w:rPr>
          <w:spacing w:val="40"/>
        </w:rPr>
        <w:t xml:space="preserve"> </w:t>
      </w:r>
      <w:r>
        <w:t>due</w:t>
      </w:r>
      <w:r>
        <w:rPr>
          <w:spacing w:val="40"/>
        </w:rPr>
        <w:t xml:space="preserve"> </w:t>
      </w:r>
      <w:r>
        <w:t>to</w:t>
      </w:r>
      <w:r>
        <w:rPr>
          <w:spacing w:val="40"/>
        </w:rPr>
        <w:t xml:space="preserve"> </w:t>
      </w:r>
      <w:r>
        <w:t>merger</w:t>
      </w:r>
      <w:r>
        <w:rPr>
          <w:spacing w:val="40"/>
        </w:rPr>
        <w:t xml:space="preserve"> </w:t>
      </w:r>
      <w:r>
        <w:t>of</w:t>
      </w:r>
      <w:r>
        <w:rPr>
          <w:spacing w:val="40"/>
        </w:rPr>
        <w:t xml:space="preserve"> </w:t>
      </w:r>
      <w:r>
        <w:t>irrigation</w:t>
      </w:r>
      <w:r>
        <w:rPr>
          <w:spacing w:val="40"/>
        </w:rPr>
        <w:t xml:space="preserve"> </w:t>
      </w:r>
      <w:r>
        <w:t>districts</w:t>
      </w:r>
      <w:r>
        <w:rPr>
          <w:spacing w:val="40"/>
        </w:rPr>
        <w:t xml:space="preserve"> </w:t>
      </w:r>
      <w:r>
        <w:t>with</w:t>
      </w:r>
      <w:r>
        <w:rPr>
          <w:spacing w:val="40"/>
        </w:rPr>
        <w:t xml:space="preserve"> </w:t>
      </w:r>
      <w:r>
        <w:t>different</w:t>
      </w:r>
      <w:r>
        <w:rPr>
          <w:spacing w:val="40"/>
        </w:rPr>
        <w:t xml:space="preserve"> </w:t>
      </w:r>
      <w:r>
        <w:t>cost</w:t>
      </w:r>
      <w:r>
        <w:rPr>
          <w:spacing w:val="40"/>
        </w:rPr>
        <w:t xml:space="preserve"> </w:t>
      </w:r>
      <w:r>
        <w:t>and operational structures.</w:t>
      </w:r>
    </w:p>
    <w:p w14:paraId="6358936A" w14:textId="77777777" w:rsidR="00141B97" w:rsidRDefault="00911D63">
      <w:pPr>
        <w:pStyle w:val="ListParagraph"/>
        <w:numPr>
          <w:ilvl w:val="0"/>
          <w:numId w:val="83"/>
        </w:numPr>
        <w:tabs>
          <w:tab w:val="left" w:pos="833"/>
          <w:tab w:val="left" w:pos="834"/>
        </w:tabs>
        <w:ind w:right="949"/>
      </w:pPr>
      <w:r>
        <w:t>Rural</w:t>
      </w:r>
      <w:r>
        <w:rPr>
          <w:spacing w:val="26"/>
        </w:rPr>
        <w:t xml:space="preserve"> </w:t>
      </w:r>
      <w:r>
        <w:t>RAB</w:t>
      </w:r>
      <w:r>
        <w:rPr>
          <w:spacing w:val="26"/>
        </w:rPr>
        <w:t xml:space="preserve"> </w:t>
      </w:r>
      <w:r>
        <w:t>does</w:t>
      </w:r>
      <w:r>
        <w:rPr>
          <w:spacing w:val="26"/>
        </w:rPr>
        <w:t xml:space="preserve"> </w:t>
      </w:r>
      <w:r>
        <w:t>not</w:t>
      </w:r>
      <w:r>
        <w:rPr>
          <w:spacing w:val="27"/>
        </w:rPr>
        <w:t xml:space="preserve"> </w:t>
      </w:r>
      <w:r>
        <w:t>include</w:t>
      </w:r>
      <w:r>
        <w:rPr>
          <w:spacing w:val="25"/>
        </w:rPr>
        <w:t xml:space="preserve"> </w:t>
      </w:r>
      <w:r>
        <w:t>assets</w:t>
      </w:r>
      <w:r>
        <w:rPr>
          <w:spacing w:val="26"/>
        </w:rPr>
        <w:t xml:space="preserve"> </w:t>
      </w:r>
      <w:r>
        <w:t>transferred</w:t>
      </w:r>
      <w:r>
        <w:rPr>
          <w:spacing w:val="27"/>
        </w:rPr>
        <w:t xml:space="preserve"> </w:t>
      </w:r>
      <w:r>
        <w:t>to</w:t>
      </w:r>
      <w:r>
        <w:rPr>
          <w:spacing w:val="25"/>
        </w:rPr>
        <w:t xml:space="preserve"> </w:t>
      </w:r>
      <w:r>
        <w:t>LMW</w:t>
      </w:r>
      <w:r>
        <w:rPr>
          <w:spacing w:val="26"/>
        </w:rPr>
        <w:t xml:space="preserve"> </w:t>
      </w:r>
      <w:r>
        <w:t>on</w:t>
      </w:r>
      <w:r>
        <w:rPr>
          <w:spacing w:val="26"/>
        </w:rPr>
        <w:t xml:space="preserve"> </w:t>
      </w:r>
      <w:r>
        <w:t>merger</w:t>
      </w:r>
      <w:r>
        <w:rPr>
          <w:spacing w:val="27"/>
        </w:rPr>
        <w:t xml:space="preserve"> </w:t>
      </w:r>
      <w:r>
        <w:t>resulting</w:t>
      </w:r>
      <w:r>
        <w:rPr>
          <w:spacing w:val="26"/>
        </w:rPr>
        <w:t xml:space="preserve"> </w:t>
      </w:r>
      <w:r>
        <w:t>in</w:t>
      </w:r>
      <w:r>
        <w:rPr>
          <w:spacing w:val="25"/>
        </w:rPr>
        <w:t xml:space="preserve"> </w:t>
      </w:r>
      <w:r>
        <w:t>no</w:t>
      </w:r>
      <w:r>
        <w:rPr>
          <w:spacing w:val="25"/>
        </w:rPr>
        <w:t xml:space="preserve"> </w:t>
      </w:r>
      <w:r>
        <w:t>ability</w:t>
      </w:r>
      <w:r>
        <w:rPr>
          <w:spacing w:val="26"/>
        </w:rPr>
        <w:t xml:space="preserve"> </w:t>
      </w:r>
      <w:r>
        <w:t>to</w:t>
      </w:r>
      <w:r>
        <w:rPr>
          <w:spacing w:val="25"/>
        </w:rPr>
        <w:t xml:space="preserve"> </w:t>
      </w:r>
      <w:r>
        <w:t>recover sufficient funding for replacements of transferred assets.</w:t>
      </w:r>
    </w:p>
    <w:p w14:paraId="581C2DFC" w14:textId="77777777" w:rsidR="00141B97" w:rsidRDefault="00911D63">
      <w:pPr>
        <w:pStyle w:val="ListParagraph"/>
        <w:numPr>
          <w:ilvl w:val="0"/>
          <w:numId w:val="83"/>
        </w:numPr>
        <w:tabs>
          <w:tab w:val="left" w:pos="833"/>
          <w:tab w:val="left" w:pos="834"/>
        </w:tabs>
        <w:spacing w:line="280" w:lineRule="exact"/>
        <w:ind w:left="834" w:hanging="361"/>
      </w:pPr>
      <w:r>
        <w:t>A</w:t>
      </w:r>
      <w:r>
        <w:rPr>
          <w:spacing w:val="-8"/>
        </w:rPr>
        <w:t xml:space="preserve"> </w:t>
      </w:r>
      <w:r>
        <w:t>shrinking</w:t>
      </w:r>
      <w:r>
        <w:rPr>
          <w:spacing w:val="-6"/>
        </w:rPr>
        <w:t xml:space="preserve"> </w:t>
      </w:r>
      <w:r>
        <w:t>rural</w:t>
      </w:r>
      <w:r>
        <w:rPr>
          <w:spacing w:val="-8"/>
        </w:rPr>
        <w:t xml:space="preserve"> </w:t>
      </w:r>
      <w:r>
        <w:t>customer</w:t>
      </w:r>
      <w:r>
        <w:rPr>
          <w:spacing w:val="-5"/>
        </w:rPr>
        <w:t xml:space="preserve"> </w:t>
      </w:r>
      <w:r>
        <w:t>base</w:t>
      </w:r>
      <w:r>
        <w:rPr>
          <w:spacing w:val="-7"/>
        </w:rPr>
        <w:t xml:space="preserve"> </w:t>
      </w:r>
      <w:r>
        <w:t>in</w:t>
      </w:r>
      <w:r>
        <w:rPr>
          <w:spacing w:val="-7"/>
        </w:rPr>
        <w:t xml:space="preserve"> </w:t>
      </w:r>
      <w:r>
        <w:t>number</w:t>
      </w:r>
      <w:r>
        <w:rPr>
          <w:spacing w:val="-6"/>
        </w:rPr>
        <w:t xml:space="preserve"> </w:t>
      </w:r>
      <w:r>
        <w:t>and</w:t>
      </w:r>
      <w:r>
        <w:rPr>
          <w:spacing w:val="-6"/>
        </w:rPr>
        <w:t xml:space="preserve"> </w:t>
      </w:r>
      <w:r>
        <w:t>increase</w:t>
      </w:r>
      <w:r>
        <w:rPr>
          <w:spacing w:val="-8"/>
        </w:rPr>
        <w:t xml:space="preserve"> </w:t>
      </w:r>
      <w:r>
        <w:t>in</w:t>
      </w:r>
      <w:r>
        <w:rPr>
          <w:spacing w:val="-6"/>
        </w:rPr>
        <w:t xml:space="preserve"> </w:t>
      </w:r>
      <w:r>
        <w:t>large</w:t>
      </w:r>
      <w:r>
        <w:rPr>
          <w:spacing w:val="-8"/>
        </w:rPr>
        <w:t xml:space="preserve"> </w:t>
      </w:r>
      <w:r>
        <w:t>corporate</w:t>
      </w:r>
      <w:r>
        <w:rPr>
          <w:spacing w:val="-7"/>
        </w:rPr>
        <w:t xml:space="preserve"> </w:t>
      </w:r>
      <w:r>
        <w:t>customers</w:t>
      </w:r>
      <w:r>
        <w:rPr>
          <w:spacing w:val="-6"/>
        </w:rPr>
        <w:t xml:space="preserve"> </w:t>
      </w:r>
      <w:r>
        <w:t>shifting</w:t>
      </w:r>
      <w:r>
        <w:rPr>
          <w:spacing w:val="-5"/>
        </w:rPr>
        <w:t xml:space="preserve"> </w:t>
      </w:r>
      <w:r>
        <w:rPr>
          <w:spacing w:val="-2"/>
        </w:rPr>
        <w:t>demand.</w:t>
      </w:r>
    </w:p>
    <w:p w14:paraId="4C1D0CA4" w14:textId="77777777" w:rsidR="00141B97" w:rsidRDefault="00141B97">
      <w:pPr>
        <w:spacing w:line="280" w:lineRule="exact"/>
        <w:sectPr w:rsidR="00141B97">
          <w:footerReference w:type="default" r:id="rId68"/>
          <w:pgSz w:w="11910" w:h="16840"/>
          <w:pgMar w:top="1060" w:right="40" w:bottom="760" w:left="1020" w:header="0" w:footer="580" w:gutter="0"/>
          <w:pgNumType w:start="39"/>
          <w:cols w:space="720"/>
        </w:sectPr>
      </w:pPr>
    </w:p>
    <w:p w14:paraId="117ABF3B" w14:textId="77777777" w:rsidR="00141B97" w:rsidRDefault="00911D63">
      <w:pPr>
        <w:pStyle w:val="BodyText"/>
        <w:spacing w:before="31"/>
        <w:ind w:left="114" w:right="946" w:hanging="1"/>
        <w:jc w:val="both"/>
      </w:pPr>
      <w:r>
        <w:lastRenderedPageBreak/>
        <w:t>This</w:t>
      </w:r>
      <w:r>
        <w:rPr>
          <w:spacing w:val="-3"/>
        </w:rPr>
        <w:t xml:space="preserve"> </w:t>
      </w:r>
      <w:r>
        <w:t>PS5</w:t>
      </w:r>
      <w:r>
        <w:rPr>
          <w:spacing w:val="-4"/>
        </w:rPr>
        <w:t xml:space="preserve"> </w:t>
      </w:r>
      <w:r>
        <w:t>reflects</w:t>
      </w:r>
      <w:r>
        <w:rPr>
          <w:spacing w:val="-4"/>
        </w:rPr>
        <w:t xml:space="preserve"> </w:t>
      </w:r>
      <w:r>
        <w:t>the</w:t>
      </w:r>
      <w:r>
        <w:rPr>
          <w:spacing w:val="-5"/>
        </w:rPr>
        <w:t xml:space="preserve"> </w:t>
      </w:r>
      <w:r>
        <w:t>minor</w:t>
      </w:r>
      <w:r>
        <w:rPr>
          <w:spacing w:val="-3"/>
        </w:rPr>
        <w:t xml:space="preserve"> </w:t>
      </w:r>
      <w:r>
        <w:t>price</w:t>
      </w:r>
      <w:r>
        <w:rPr>
          <w:spacing w:val="-4"/>
        </w:rPr>
        <w:t xml:space="preserve"> </w:t>
      </w:r>
      <w:r>
        <w:t>changes</w:t>
      </w:r>
      <w:r>
        <w:rPr>
          <w:spacing w:val="-2"/>
        </w:rPr>
        <w:t xml:space="preserve"> </w:t>
      </w:r>
      <w:r>
        <w:t>required</w:t>
      </w:r>
      <w:r>
        <w:rPr>
          <w:spacing w:val="-5"/>
        </w:rPr>
        <w:t xml:space="preserve"> </w:t>
      </w:r>
      <w:r>
        <w:t>for</w:t>
      </w:r>
      <w:r>
        <w:rPr>
          <w:spacing w:val="-3"/>
        </w:rPr>
        <w:t xml:space="preserve"> </w:t>
      </w:r>
      <w:r>
        <w:t>LMW</w:t>
      </w:r>
      <w:r>
        <w:rPr>
          <w:spacing w:val="-5"/>
        </w:rPr>
        <w:t xml:space="preserve"> </w:t>
      </w:r>
      <w:r>
        <w:t>to</w:t>
      </w:r>
      <w:r>
        <w:rPr>
          <w:spacing w:val="-5"/>
        </w:rPr>
        <w:t xml:space="preserve"> </w:t>
      </w:r>
      <w:r>
        <w:t>maintain</w:t>
      </w:r>
      <w:r>
        <w:rPr>
          <w:spacing w:val="-5"/>
        </w:rPr>
        <w:t xml:space="preserve"> </w:t>
      </w:r>
      <w:r>
        <w:t>services</w:t>
      </w:r>
      <w:r>
        <w:rPr>
          <w:spacing w:val="-4"/>
        </w:rPr>
        <w:t xml:space="preserve"> </w:t>
      </w:r>
      <w:r>
        <w:t>in</w:t>
      </w:r>
      <w:r>
        <w:rPr>
          <w:spacing w:val="-4"/>
        </w:rPr>
        <w:t xml:space="preserve"> </w:t>
      </w:r>
      <w:r>
        <w:t>a</w:t>
      </w:r>
      <w:r>
        <w:rPr>
          <w:spacing w:val="-4"/>
        </w:rPr>
        <w:t xml:space="preserve"> </w:t>
      </w:r>
      <w:r>
        <w:t>sustainable</w:t>
      </w:r>
      <w:r>
        <w:rPr>
          <w:spacing w:val="-5"/>
        </w:rPr>
        <w:t xml:space="preserve"> </w:t>
      </w:r>
      <w:r>
        <w:t>manner</w:t>
      </w:r>
      <w:r>
        <w:rPr>
          <w:spacing w:val="-3"/>
        </w:rPr>
        <w:t xml:space="preserve"> </w:t>
      </w:r>
      <w:r>
        <w:t>under its current business model. Some cost optimisation opportunities have been identified; however, these will require investment to implement, which would impact prices in the short term. This investment is reflected in LMW’s</w:t>
      </w:r>
      <w:r>
        <w:rPr>
          <w:spacing w:val="-13"/>
        </w:rPr>
        <w:t xml:space="preserve"> </w:t>
      </w:r>
      <w:r>
        <w:t>Business</w:t>
      </w:r>
      <w:r>
        <w:rPr>
          <w:spacing w:val="-12"/>
        </w:rPr>
        <w:t xml:space="preserve"> </w:t>
      </w:r>
      <w:r>
        <w:t>Transformation</w:t>
      </w:r>
      <w:r>
        <w:rPr>
          <w:spacing w:val="-13"/>
        </w:rPr>
        <w:t xml:space="preserve"> </w:t>
      </w:r>
      <w:r>
        <w:t>Strategy.</w:t>
      </w:r>
      <w:r>
        <w:rPr>
          <w:spacing w:val="-12"/>
        </w:rPr>
        <w:t xml:space="preserve"> </w:t>
      </w:r>
      <w:r>
        <w:t>Opportunities</w:t>
      </w:r>
      <w:r>
        <w:rPr>
          <w:spacing w:val="-13"/>
        </w:rPr>
        <w:t xml:space="preserve"> </w:t>
      </w:r>
      <w:r>
        <w:t>for</w:t>
      </w:r>
      <w:r>
        <w:rPr>
          <w:spacing w:val="-12"/>
        </w:rPr>
        <w:t xml:space="preserve"> </w:t>
      </w:r>
      <w:r>
        <w:t>further</w:t>
      </w:r>
      <w:r>
        <w:rPr>
          <w:spacing w:val="-13"/>
        </w:rPr>
        <w:t xml:space="preserve"> </w:t>
      </w:r>
      <w:r>
        <w:t>efficiencies</w:t>
      </w:r>
      <w:r>
        <w:rPr>
          <w:spacing w:val="-12"/>
        </w:rPr>
        <w:t xml:space="preserve"> </w:t>
      </w:r>
      <w:r>
        <w:t>exist</w:t>
      </w:r>
      <w:r>
        <w:rPr>
          <w:spacing w:val="-12"/>
        </w:rPr>
        <w:t xml:space="preserve"> </w:t>
      </w:r>
      <w:r>
        <w:t>via</w:t>
      </w:r>
      <w:r>
        <w:rPr>
          <w:spacing w:val="-13"/>
        </w:rPr>
        <w:t xml:space="preserve"> </w:t>
      </w:r>
      <w:r>
        <w:t>collaboration</w:t>
      </w:r>
      <w:r>
        <w:rPr>
          <w:spacing w:val="-12"/>
        </w:rPr>
        <w:t xml:space="preserve"> </w:t>
      </w:r>
      <w:r>
        <w:t>with</w:t>
      </w:r>
      <w:r>
        <w:rPr>
          <w:spacing w:val="-13"/>
        </w:rPr>
        <w:t xml:space="preserve"> </w:t>
      </w:r>
      <w:r>
        <w:t>other water businesses. Long term review of the price trajectory to ensure financial sustainability will be necessary during the PS5 period.</w:t>
      </w:r>
    </w:p>
    <w:p w14:paraId="2D06F122" w14:textId="77777777" w:rsidR="00141B97" w:rsidRDefault="00141B97">
      <w:pPr>
        <w:pStyle w:val="BodyText"/>
        <w:spacing w:before="2"/>
        <w:rPr>
          <w:sz w:val="23"/>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0"/>
        <w:gridCol w:w="1200"/>
        <w:gridCol w:w="998"/>
        <w:gridCol w:w="998"/>
        <w:gridCol w:w="997"/>
        <w:gridCol w:w="997"/>
        <w:gridCol w:w="998"/>
        <w:gridCol w:w="991"/>
      </w:tblGrid>
      <w:tr w:rsidR="00141B97" w14:paraId="2556DAA5" w14:textId="77777777">
        <w:trPr>
          <w:trHeight w:val="297"/>
        </w:trPr>
        <w:tc>
          <w:tcPr>
            <w:tcW w:w="2600" w:type="dxa"/>
            <w:vMerge w:val="restart"/>
            <w:tcBorders>
              <w:top w:val="nil"/>
              <w:left w:val="nil"/>
            </w:tcBorders>
            <w:shd w:val="clear" w:color="auto" w:fill="0064A4"/>
          </w:tcPr>
          <w:p w14:paraId="7E5D6FC0" w14:textId="77777777" w:rsidR="00141B97" w:rsidRDefault="00911D63">
            <w:pPr>
              <w:pStyle w:val="TableParagraph"/>
              <w:spacing w:before="156"/>
              <w:ind w:left="88"/>
              <w:rPr>
                <w:sz w:val="20"/>
              </w:rPr>
            </w:pPr>
            <w:r>
              <w:rPr>
                <w:color w:val="FFFFFF"/>
                <w:sz w:val="20"/>
              </w:rPr>
              <w:t>Financial</w:t>
            </w:r>
            <w:r>
              <w:rPr>
                <w:color w:val="FFFFFF"/>
                <w:spacing w:val="-3"/>
                <w:sz w:val="20"/>
              </w:rPr>
              <w:t xml:space="preserve"> </w:t>
            </w:r>
            <w:r>
              <w:rPr>
                <w:color w:val="FFFFFF"/>
                <w:spacing w:val="-2"/>
                <w:sz w:val="20"/>
              </w:rPr>
              <w:t>Indicator</w:t>
            </w:r>
          </w:p>
        </w:tc>
        <w:tc>
          <w:tcPr>
            <w:tcW w:w="1200" w:type="dxa"/>
            <w:vMerge w:val="restart"/>
            <w:tcBorders>
              <w:top w:val="nil"/>
            </w:tcBorders>
            <w:shd w:val="clear" w:color="auto" w:fill="0064A4"/>
          </w:tcPr>
          <w:p w14:paraId="6195271D" w14:textId="77777777" w:rsidR="00141B97" w:rsidRDefault="00911D63">
            <w:pPr>
              <w:pStyle w:val="TableParagraph"/>
              <w:spacing w:line="243" w:lineRule="exact"/>
              <w:ind w:left="317" w:right="314"/>
              <w:jc w:val="center"/>
              <w:rPr>
                <w:sz w:val="20"/>
              </w:rPr>
            </w:pPr>
            <w:r>
              <w:rPr>
                <w:color w:val="FFFFFF"/>
                <w:spacing w:val="-5"/>
                <w:sz w:val="20"/>
              </w:rPr>
              <w:t>ESC</w:t>
            </w:r>
          </w:p>
          <w:p w14:paraId="320A61DF" w14:textId="77777777" w:rsidR="00141B97" w:rsidRDefault="00911D63">
            <w:pPr>
              <w:pStyle w:val="TableParagraph"/>
              <w:ind w:left="317" w:right="315"/>
              <w:jc w:val="center"/>
              <w:rPr>
                <w:sz w:val="20"/>
              </w:rPr>
            </w:pPr>
            <w:r>
              <w:rPr>
                <w:color w:val="FFFFFF"/>
                <w:spacing w:val="-2"/>
                <w:sz w:val="20"/>
              </w:rPr>
              <w:t>Target</w:t>
            </w:r>
          </w:p>
        </w:tc>
        <w:tc>
          <w:tcPr>
            <w:tcW w:w="998" w:type="dxa"/>
            <w:tcBorders>
              <w:top w:val="nil"/>
              <w:bottom w:val="single" w:sz="6" w:space="0" w:color="FFFFFF"/>
              <w:right w:val="single" w:sz="6" w:space="0" w:color="FFFFFF"/>
            </w:tcBorders>
            <w:shd w:val="clear" w:color="auto" w:fill="0064A4"/>
          </w:tcPr>
          <w:p w14:paraId="535975C9" w14:textId="77777777" w:rsidR="00141B97" w:rsidRDefault="00911D63">
            <w:pPr>
              <w:pStyle w:val="TableParagraph"/>
              <w:spacing w:before="28"/>
              <w:ind w:left="180"/>
              <w:rPr>
                <w:sz w:val="20"/>
              </w:rPr>
            </w:pPr>
            <w:r>
              <w:rPr>
                <w:color w:val="FFFFFF"/>
                <w:spacing w:val="-2"/>
                <w:sz w:val="20"/>
              </w:rPr>
              <w:t>Current</w:t>
            </w:r>
          </w:p>
        </w:tc>
        <w:tc>
          <w:tcPr>
            <w:tcW w:w="4981" w:type="dxa"/>
            <w:gridSpan w:val="5"/>
            <w:tcBorders>
              <w:top w:val="nil"/>
              <w:left w:val="single" w:sz="6" w:space="0" w:color="FFFFFF"/>
              <w:bottom w:val="single" w:sz="6" w:space="0" w:color="FFFFFF"/>
              <w:right w:val="nil"/>
            </w:tcBorders>
            <w:shd w:val="clear" w:color="auto" w:fill="0064A4"/>
          </w:tcPr>
          <w:p w14:paraId="2A088EB1" w14:textId="77777777" w:rsidR="00141B97" w:rsidRDefault="00911D63">
            <w:pPr>
              <w:pStyle w:val="TableParagraph"/>
              <w:spacing w:before="28"/>
              <w:ind w:left="1562"/>
              <w:rPr>
                <w:sz w:val="20"/>
              </w:rPr>
            </w:pPr>
            <w:r>
              <w:rPr>
                <w:color w:val="FFFFFF"/>
                <w:sz w:val="20"/>
              </w:rPr>
              <w:t>Fifth</w:t>
            </w:r>
            <w:r>
              <w:rPr>
                <w:color w:val="FFFFFF"/>
                <w:spacing w:val="-3"/>
                <w:sz w:val="20"/>
              </w:rPr>
              <w:t xml:space="preserve"> </w:t>
            </w:r>
            <w:r>
              <w:rPr>
                <w:color w:val="FFFFFF"/>
                <w:sz w:val="20"/>
              </w:rPr>
              <w:t>Regulatory</w:t>
            </w:r>
            <w:r>
              <w:rPr>
                <w:color w:val="FFFFFF"/>
                <w:spacing w:val="-2"/>
                <w:sz w:val="20"/>
              </w:rPr>
              <w:t xml:space="preserve"> Period</w:t>
            </w:r>
          </w:p>
        </w:tc>
      </w:tr>
      <w:tr w:rsidR="00141B97" w14:paraId="32B895B6" w14:textId="77777777">
        <w:trPr>
          <w:trHeight w:val="241"/>
        </w:trPr>
        <w:tc>
          <w:tcPr>
            <w:tcW w:w="2600" w:type="dxa"/>
            <w:vMerge/>
            <w:tcBorders>
              <w:top w:val="nil"/>
              <w:left w:val="nil"/>
            </w:tcBorders>
            <w:shd w:val="clear" w:color="auto" w:fill="0064A4"/>
          </w:tcPr>
          <w:p w14:paraId="100EA437" w14:textId="77777777" w:rsidR="00141B97" w:rsidRDefault="00141B97">
            <w:pPr>
              <w:rPr>
                <w:sz w:val="2"/>
                <w:szCs w:val="2"/>
              </w:rPr>
            </w:pPr>
          </w:p>
        </w:tc>
        <w:tc>
          <w:tcPr>
            <w:tcW w:w="1200" w:type="dxa"/>
            <w:vMerge/>
            <w:tcBorders>
              <w:top w:val="nil"/>
            </w:tcBorders>
            <w:shd w:val="clear" w:color="auto" w:fill="0064A4"/>
          </w:tcPr>
          <w:p w14:paraId="1CBE9545" w14:textId="77777777" w:rsidR="00141B97" w:rsidRDefault="00141B97">
            <w:pPr>
              <w:rPr>
                <w:sz w:val="2"/>
                <w:szCs w:val="2"/>
              </w:rPr>
            </w:pPr>
          </w:p>
        </w:tc>
        <w:tc>
          <w:tcPr>
            <w:tcW w:w="998" w:type="dxa"/>
            <w:tcBorders>
              <w:top w:val="single" w:sz="6" w:space="0" w:color="FFFFFF"/>
              <w:right w:val="single" w:sz="6" w:space="0" w:color="FFFFFF"/>
            </w:tcBorders>
            <w:shd w:val="clear" w:color="auto" w:fill="0064A4"/>
          </w:tcPr>
          <w:p w14:paraId="56712FE3" w14:textId="77777777" w:rsidR="00141B97" w:rsidRDefault="00911D63">
            <w:pPr>
              <w:pStyle w:val="TableParagraph"/>
              <w:spacing w:line="222" w:lineRule="exact"/>
              <w:ind w:left="154"/>
              <w:rPr>
                <w:sz w:val="20"/>
              </w:rPr>
            </w:pPr>
            <w:r>
              <w:rPr>
                <w:color w:val="FFFFFF"/>
                <w:spacing w:val="-2"/>
                <w:sz w:val="20"/>
              </w:rPr>
              <w:t>2022‐23</w:t>
            </w:r>
          </w:p>
        </w:tc>
        <w:tc>
          <w:tcPr>
            <w:tcW w:w="998" w:type="dxa"/>
            <w:tcBorders>
              <w:top w:val="single" w:sz="6" w:space="0" w:color="FFFFFF"/>
              <w:left w:val="single" w:sz="6" w:space="0" w:color="FFFFFF"/>
              <w:right w:val="single" w:sz="6" w:space="0" w:color="FFFFFF"/>
            </w:tcBorders>
            <w:shd w:val="clear" w:color="auto" w:fill="0064A4"/>
          </w:tcPr>
          <w:p w14:paraId="4F46FDAB" w14:textId="77777777" w:rsidR="00141B97" w:rsidRDefault="00911D63">
            <w:pPr>
              <w:pStyle w:val="TableParagraph"/>
              <w:spacing w:line="222" w:lineRule="exact"/>
              <w:ind w:left="157"/>
              <w:rPr>
                <w:sz w:val="20"/>
              </w:rPr>
            </w:pPr>
            <w:r>
              <w:rPr>
                <w:color w:val="FFFFFF"/>
                <w:spacing w:val="-2"/>
                <w:sz w:val="20"/>
              </w:rPr>
              <w:t>2023‐24</w:t>
            </w:r>
          </w:p>
        </w:tc>
        <w:tc>
          <w:tcPr>
            <w:tcW w:w="997" w:type="dxa"/>
            <w:tcBorders>
              <w:top w:val="single" w:sz="6" w:space="0" w:color="FFFFFF"/>
              <w:left w:val="single" w:sz="6" w:space="0" w:color="FFFFFF"/>
              <w:right w:val="single" w:sz="6" w:space="0" w:color="FFFFFF"/>
            </w:tcBorders>
            <w:shd w:val="clear" w:color="auto" w:fill="0064A4"/>
          </w:tcPr>
          <w:p w14:paraId="717E59AB" w14:textId="77777777" w:rsidR="00141B97" w:rsidRDefault="00911D63">
            <w:pPr>
              <w:pStyle w:val="TableParagraph"/>
              <w:spacing w:line="222" w:lineRule="exact"/>
              <w:ind w:left="158"/>
              <w:rPr>
                <w:sz w:val="20"/>
              </w:rPr>
            </w:pPr>
            <w:r>
              <w:rPr>
                <w:color w:val="FFFFFF"/>
                <w:spacing w:val="-2"/>
                <w:sz w:val="20"/>
              </w:rPr>
              <w:t>2024‐25</w:t>
            </w:r>
          </w:p>
        </w:tc>
        <w:tc>
          <w:tcPr>
            <w:tcW w:w="997" w:type="dxa"/>
            <w:tcBorders>
              <w:top w:val="single" w:sz="6" w:space="0" w:color="FFFFFF"/>
              <w:left w:val="single" w:sz="6" w:space="0" w:color="FFFFFF"/>
              <w:right w:val="single" w:sz="6" w:space="0" w:color="FFFFFF"/>
            </w:tcBorders>
            <w:shd w:val="clear" w:color="auto" w:fill="0064A4"/>
          </w:tcPr>
          <w:p w14:paraId="1742D914" w14:textId="77777777" w:rsidR="00141B97" w:rsidRDefault="00911D63">
            <w:pPr>
              <w:pStyle w:val="TableParagraph"/>
              <w:spacing w:line="222" w:lineRule="exact"/>
              <w:ind w:right="150"/>
              <w:jc w:val="right"/>
              <w:rPr>
                <w:sz w:val="20"/>
              </w:rPr>
            </w:pPr>
            <w:r>
              <w:rPr>
                <w:color w:val="FFFFFF"/>
                <w:spacing w:val="-2"/>
                <w:sz w:val="20"/>
              </w:rPr>
              <w:t>2025‐26</w:t>
            </w:r>
          </w:p>
        </w:tc>
        <w:tc>
          <w:tcPr>
            <w:tcW w:w="998" w:type="dxa"/>
            <w:tcBorders>
              <w:top w:val="single" w:sz="6" w:space="0" w:color="FFFFFF"/>
              <w:left w:val="single" w:sz="6" w:space="0" w:color="FFFFFF"/>
              <w:right w:val="single" w:sz="6" w:space="0" w:color="FFFFFF"/>
            </w:tcBorders>
            <w:shd w:val="clear" w:color="auto" w:fill="0064A4"/>
          </w:tcPr>
          <w:p w14:paraId="7A8E93BA" w14:textId="77777777" w:rsidR="00141B97" w:rsidRDefault="00911D63">
            <w:pPr>
              <w:pStyle w:val="TableParagraph"/>
              <w:spacing w:line="222" w:lineRule="exact"/>
              <w:ind w:right="150"/>
              <w:jc w:val="right"/>
              <w:rPr>
                <w:sz w:val="20"/>
              </w:rPr>
            </w:pPr>
            <w:r>
              <w:rPr>
                <w:color w:val="FFFFFF"/>
                <w:spacing w:val="-2"/>
                <w:sz w:val="20"/>
              </w:rPr>
              <w:t>2026‐27</w:t>
            </w:r>
          </w:p>
        </w:tc>
        <w:tc>
          <w:tcPr>
            <w:tcW w:w="991" w:type="dxa"/>
            <w:tcBorders>
              <w:top w:val="single" w:sz="6" w:space="0" w:color="FFFFFF"/>
              <w:left w:val="single" w:sz="6" w:space="0" w:color="FFFFFF"/>
              <w:right w:val="nil"/>
            </w:tcBorders>
            <w:shd w:val="clear" w:color="auto" w:fill="0064A4"/>
          </w:tcPr>
          <w:p w14:paraId="4AC64101" w14:textId="77777777" w:rsidR="00141B97" w:rsidRDefault="00911D63">
            <w:pPr>
              <w:pStyle w:val="TableParagraph"/>
              <w:spacing w:line="222" w:lineRule="exact"/>
              <w:ind w:right="143"/>
              <w:jc w:val="right"/>
              <w:rPr>
                <w:sz w:val="20"/>
              </w:rPr>
            </w:pPr>
            <w:r>
              <w:rPr>
                <w:color w:val="FFFFFF"/>
                <w:spacing w:val="-2"/>
                <w:sz w:val="20"/>
              </w:rPr>
              <w:t>2027‐28</w:t>
            </w:r>
          </w:p>
        </w:tc>
      </w:tr>
      <w:tr w:rsidR="00141B97" w14:paraId="450ED7AE" w14:textId="77777777">
        <w:trPr>
          <w:trHeight w:val="330"/>
        </w:trPr>
        <w:tc>
          <w:tcPr>
            <w:tcW w:w="2600" w:type="dxa"/>
            <w:tcBorders>
              <w:left w:val="nil"/>
              <w:bottom w:val="single" w:sz="6" w:space="0" w:color="FFFFFF"/>
            </w:tcBorders>
            <w:shd w:val="clear" w:color="auto" w:fill="CCE2ED"/>
          </w:tcPr>
          <w:p w14:paraId="6E54327E" w14:textId="77777777" w:rsidR="00141B97" w:rsidRDefault="00911D63">
            <w:pPr>
              <w:pStyle w:val="TableParagraph"/>
              <w:spacing w:before="43"/>
              <w:ind w:left="88"/>
              <w:rPr>
                <w:sz w:val="20"/>
              </w:rPr>
            </w:pPr>
            <w:r>
              <w:rPr>
                <w:sz w:val="20"/>
              </w:rPr>
              <w:t>Funds</w:t>
            </w:r>
            <w:r>
              <w:rPr>
                <w:spacing w:val="-5"/>
                <w:sz w:val="20"/>
              </w:rPr>
              <w:t xml:space="preserve"> </w:t>
            </w:r>
            <w:r>
              <w:rPr>
                <w:sz w:val="20"/>
              </w:rPr>
              <w:t>from</w:t>
            </w:r>
            <w:r>
              <w:rPr>
                <w:spacing w:val="-4"/>
                <w:sz w:val="20"/>
              </w:rPr>
              <w:t xml:space="preserve"> </w:t>
            </w:r>
            <w:r>
              <w:rPr>
                <w:sz w:val="20"/>
              </w:rPr>
              <w:t>operations</w:t>
            </w:r>
            <w:r>
              <w:rPr>
                <w:spacing w:val="-4"/>
                <w:sz w:val="20"/>
              </w:rPr>
              <w:t xml:space="preserve"> </w:t>
            </w:r>
            <w:r>
              <w:rPr>
                <w:spacing w:val="-5"/>
                <w:sz w:val="20"/>
              </w:rPr>
              <w:t>$m</w:t>
            </w:r>
          </w:p>
        </w:tc>
        <w:tc>
          <w:tcPr>
            <w:tcW w:w="1200" w:type="dxa"/>
            <w:tcBorders>
              <w:bottom w:val="single" w:sz="6" w:space="0" w:color="FFFFFF"/>
            </w:tcBorders>
            <w:shd w:val="clear" w:color="auto" w:fill="D9D9D9"/>
          </w:tcPr>
          <w:p w14:paraId="2F2201A3" w14:textId="77777777" w:rsidR="00141B97" w:rsidRDefault="00911D63">
            <w:pPr>
              <w:pStyle w:val="TableParagraph"/>
              <w:ind w:right="95"/>
              <w:jc w:val="right"/>
              <w:rPr>
                <w:sz w:val="20"/>
              </w:rPr>
            </w:pPr>
            <w:r>
              <w:rPr>
                <w:sz w:val="20"/>
              </w:rPr>
              <w:t>‐</w:t>
            </w:r>
          </w:p>
        </w:tc>
        <w:tc>
          <w:tcPr>
            <w:tcW w:w="998" w:type="dxa"/>
            <w:tcBorders>
              <w:bottom w:val="single" w:sz="6" w:space="0" w:color="FFFFFF"/>
              <w:right w:val="single" w:sz="6" w:space="0" w:color="FFFFFF"/>
            </w:tcBorders>
            <w:shd w:val="clear" w:color="auto" w:fill="CCE2ED"/>
          </w:tcPr>
          <w:p w14:paraId="46A5996A" w14:textId="77777777" w:rsidR="00141B97" w:rsidRDefault="00911D63">
            <w:pPr>
              <w:pStyle w:val="TableParagraph"/>
              <w:spacing w:before="43"/>
              <w:ind w:right="93"/>
              <w:jc w:val="right"/>
              <w:rPr>
                <w:sz w:val="20"/>
              </w:rPr>
            </w:pPr>
            <w:r>
              <w:rPr>
                <w:spacing w:val="-2"/>
                <w:sz w:val="20"/>
              </w:rPr>
              <w:t>21.17</w:t>
            </w:r>
          </w:p>
        </w:tc>
        <w:tc>
          <w:tcPr>
            <w:tcW w:w="998" w:type="dxa"/>
            <w:tcBorders>
              <w:left w:val="single" w:sz="6" w:space="0" w:color="FFFFFF"/>
              <w:bottom w:val="single" w:sz="6" w:space="0" w:color="FFFFFF"/>
              <w:right w:val="single" w:sz="6" w:space="0" w:color="FFFFFF"/>
            </w:tcBorders>
            <w:shd w:val="clear" w:color="auto" w:fill="CCE2ED"/>
          </w:tcPr>
          <w:p w14:paraId="59FB511F" w14:textId="77777777" w:rsidR="00141B97" w:rsidRDefault="00911D63">
            <w:pPr>
              <w:pStyle w:val="TableParagraph"/>
              <w:spacing w:before="43"/>
              <w:ind w:right="95"/>
              <w:jc w:val="right"/>
              <w:rPr>
                <w:sz w:val="20"/>
              </w:rPr>
            </w:pPr>
            <w:r>
              <w:rPr>
                <w:spacing w:val="-2"/>
                <w:sz w:val="20"/>
              </w:rPr>
              <w:t>25.37</w:t>
            </w:r>
          </w:p>
        </w:tc>
        <w:tc>
          <w:tcPr>
            <w:tcW w:w="997" w:type="dxa"/>
            <w:tcBorders>
              <w:left w:val="single" w:sz="6" w:space="0" w:color="FFFFFF"/>
              <w:bottom w:val="single" w:sz="6" w:space="0" w:color="FFFFFF"/>
              <w:right w:val="single" w:sz="6" w:space="0" w:color="FFFFFF"/>
            </w:tcBorders>
            <w:shd w:val="clear" w:color="auto" w:fill="CCE2ED"/>
          </w:tcPr>
          <w:p w14:paraId="1963F565" w14:textId="77777777" w:rsidR="00141B97" w:rsidRDefault="00911D63">
            <w:pPr>
              <w:pStyle w:val="TableParagraph"/>
              <w:spacing w:before="43"/>
              <w:ind w:right="94"/>
              <w:jc w:val="right"/>
              <w:rPr>
                <w:sz w:val="20"/>
              </w:rPr>
            </w:pPr>
            <w:r>
              <w:rPr>
                <w:spacing w:val="-2"/>
                <w:sz w:val="20"/>
              </w:rPr>
              <w:t>21.62</w:t>
            </w:r>
          </w:p>
        </w:tc>
        <w:tc>
          <w:tcPr>
            <w:tcW w:w="997" w:type="dxa"/>
            <w:tcBorders>
              <w:left w:val="single" w:sz="6" w:space="0" w:color="FFFFFF"/>
              <w:bottom w:val="single" w:sz="6" w:space="0" w:color="FFFFFF"/>
              <w:right w:val="single" w:sz="6" w:space="0" w:color="FFFFFF"/>
            </w:tcBorders>
            <w:shd w:val="clear" w:color="auto" w:fill="CCE2ED"/>
          </w:tcPr>
          <w:p w14:paraId="2AC9E315" w14:textId="77777777" w:rsidR="00141B97" w:rsidRDefault="00911D63">
            <w:pPr>
              <w:pStyle w:val="TableParagraph"/>
              <w:spacing w:before="43"/>
              <w:ind w:right="94"/>
              <w:jc w:val="right"/>
              <w:rPr>
                <w:sz w:val="20"/>
              </w:rPr>
            </w:pPr>
            <w:r>
              <w:rPr>
                <w:spacing w:val="-2"/>
                <w:sz w:val="20"/>
              </w:rPr>
              <w:t>21.47</w:t>
            </w:r>
          </w:p>
        </w:tc>
        <w:tc>
          <w:tcPr>
            <w:tcW w:w="998" w:type="dxa"/>
            <w:tcBorders>
              <w:left w:val="single" w:sz="6" w:space="0" w:color="FFFFFF"/>
              <w:bottom w:val="single" w:sz="6" w:space="0" w:color="FFFFFF"/>
              <w:right w:val="single" w:sz="6" w:space="0" w:color="FFFFFF"/>
            </w:tcBorders>
            <w:shd w:val="clear" w:color="auto" w:fill="CCE2ED"/>
          </w:tcPr>
          <w:p w14:paraId="1E1969BC" w14:textId="77777777" w:rsidR="00141B97" w:rsidRDefault="00911D63">
            <w:pPr>
              <w:pStyle w:val="TableParagraph"/>
              <w:spacing w:before="43"/>
              <w:ind w:right="93"/>
              <w:jc w:val="right"/>
              <w:rPr>
                <w:sz w:val="20"/>
              </w:rPr>
            </w:pPr>
            <w:r>
              <w:rPr>
                <w:spacing w:val="-2"/>
                <w:sz w:val="20"/>
              </w:rPr>
              <w:t>21.28</w:t>
            </w:r>
          </w:p>
        </w:tc>
        <w:tc>
          <w:tcPr>
            <w:tcW w:w="991" w:type="dxa"/>
            <w:tcBorders>
              <w:left w:val="single" w:sz="6" w:space="0" w:color="FFFFFF"/>
              <w:bottom w:val="single" w:sz="6" w:space="0" w:color="FFFFFF"/>
              <w:right w:val="nil"/>
            </w:tcBorders>
            <w:shd w:val="clear" w:color="auto" w:fill="CCE2ED"/>
          </w:tcPr>
          <w:p w14:paraId="4FFA0140" w14:textId="77777777" w:rsidR="00141B97" w:rsidRDefault="00911D63">
            <w:pPr>
              <w:pStyle w:val="TableParagraph"/>
              <w:spacing w:before="43"/>
              <w:ind w:right="86"/>
              <w:jc w:val="right"/>
              <w:rPr>
                <w:sz w:val="20"/>
              </w:rPr>
            </w:pPr>
            <w:r>
              <w:rPr>
                <w:spacing w:val="-2"/>
                <w:sz w:val="20"/>
              </w:rPr>
              <w:t>23.39</w:t>
            </w:r>
          </w:p>
        </w:tc>
      </w:tr>
      <w:tr w:rsidR="00141B97" w14:paraId="29D9DAC3" w14:textId="77777777">
        <w:trPr>
          <w:trHeight w:val="329"/>
        </w:trPr>
        <w:tc>
          <w:tcPr>
            <w:tcW w:w="2600" w:type="dxa"/>
            <w:tcBorders>
              <w:top w:val="single" w:sz="6" w:space="0" w:color="FFFFFF"/>
              <w:left w:val="nil"/>
              <w:bottom w:val="single" w:sz="6" w:space="0" w:color="FFFFFF"/>
            </w:tcBorders>
            <w:shd w:val="clear" w:color="auto" w:fill="CCE2ED"/>
          </w:tcPr>
          <w:p w14:paraId="65750979" w14:textId="77777777" w:rsidR="00141B97" w:rsidRDefault="00911D63">
            <w:pPr>
              <w:pStyle w:val="TableParagraph"/>
              <w:spacing w:before="42"/>
              <w:ind w:left="88"/>
              <w:rPr>
                <w:sz w:val="20"/>
              </w:rPr>
            </w:pPr>
            <w:r>
              <w:rPr>
                <w:sz w:val="20"/>
              </w:rPr>
              <w:t>FFO</w:t>
            </w:r>
            <w:r>
              <w:rPr>
                <w:spacing w:val="-3"/>
                <w:sz w:val="20"/>
              </w:rPr>
              <w:t xml:space="preserve"> </w:t>
            </w:r>
            <w:r>
              <w:rPr>
                <w:sz w:val="20"/>
              </w:rPr>
              <w:t>interest</w:t>
            </w:r>
            <w:r>
              <w:rPr>
                <w:spacing w:val="-2"/>
                <w:sz w:val="20"/>
              </w:rPr>
              <w:t xml:space="preserve"> </w:t>
            </w:r>
            <w:r>
              <w:rPr>
                <w:sz w:val="20"/>
              </w:rPr>
              <w:t>cover</w:t>
            </w:r>
            <w:r>
              <w:rPr>
                <w:spacing w:val="-2"/>
                <w:sz w:val="20"/>
              </w:rPr>
              <w:t xml:space="preserve"> (times)</w:t>
            </w:r>
          </w:p>
        </w:tc>
        <w:tc>
          <w:tcPr>
            <w:tcW w:w="1200" w:type="dxa"/>
            <w:tcBorders>
              <w:top w:val="single" w:sz="6" w:space="0" w:color="FFFFFF"/>
              <w:bottom w:val="single" w:sz="6" w:space="0" w:color="FFFFFF"/>
            </w:tcBorders>
            <w:shd w:val="clear" w:color="auto" w:fill="D9D9D9"/>
          </w:tcPr>
          <w:p w14:paraId="55F949F0" w14:textId="77777777" w:rsidR="00141B97" w:rsidRDefault="00911D63">
            <w:pPr>
              <w:pStyle w:val="TableParagraph"/>
              <w:spacing w:line="243" w:lineRule="exact"/>
              <w:ind w:right="94"/>
              <w:jc w:val="right"/>
              <w:rPr>
                <w:sz w:val="20"/>
              </w:rPr>
            </w:pPr>
            <w:r>
              <w:rPr>
                <w:sz w:val="20"/>
              </w:rPr>
              <w:t>&gt;</w:t>
            </w:r>
            <w:r>
              <w:rPr>
                <w:spacing w:val="-1"/>
                <w:sz w:val="20"/>
              </w:rPr>
              <w:t xml:space="preserve"> </w:t>
            </w:r>
            <w:r>
              <w:rPr>
                <w:sz w:val="20"/>
              </w:rPr>
              <w:t xml:space="preserve">1.5 </w:t>
            </w:r>
            <w:r>
              <w:rPr>
                <w:spacing w:val="-2"/>
                <w:sz w:val="20"/>
              </w:rPr>
              <w:t>times</w:t>
            </w:r>
          </w:p>
        </w:tc>
        <w:tc>
          <w:tcPr>
            <w:tcW w:w="998" w:type="dxa"/>
            <w:tcBorders>
              <w:top w:val="single" w:sz="6" w:space="0" w:color="FFFFFF"/>
              <w:bottom w:val="single" w:sz="6" w:space="0" w:color="FFFFFF"/>
              <w:right w:val="single" w:sz="6" w:space="0" w:color="FFFFFF"/>
            </w:tcBorders>
            <w:shd w:val="clear" w:color="auto" w:fill="CCE2ED"/>
          </w:tcPr>
          <w:p w14:paraId="57965401" w14:textId="77777777" w:rsidR="00141B97" w:rsidRDefault="00911D63">
            <w:pPr>
              <w:pStyle w:val="TableParagraph"/>
              <w:spacing w:before="42"/>
              <w:ind w:right="94"/>
              <w:jc w:val="right"/>
              <w:rPr>
                <w:sz w:val="20"/>
              </w:rPr>
            </w:pPr>
            <w:r>
              <w:rPr>
                <w:spacing w:val="-4"/>
                <w:sz w:val="20"/>
              </w:rPr>
              <w:t>8.65</w:t>
            </w:r>
          </w:p>
        </w:tc>
        <w:tc>
          <w:tcPr>
            <w:tcW w:w="998" w:type="dxa"/>
            <w:tcBorders>
              <w:top w:val="single" w:sz="6" w:space="0" w:color="FFFFFF"/>
              <w:left w:val="single" w:sz="6" w:space="0" w:color="FFFFFF"/>
              <w:bottom w:val="single" w:sz="6" w:space="0" w:color="FFFFFF"/>
              <w:right w:val="single" w:sz="6" w:space="0" w:color="FFFFFF"/>
            </w:tcBorders>
            <w:shd w:val="clear" w:color="auto" w:fill="CCE2ED"/>
          </w:tcPr>
          <w:p w14:paraId="3D217FB5" w14:textId="77777777" w:rsidR="00141B97" w:rsidRDefault="00911D63">
            <w:pPr>
              <w:pStyle w:val="TableParagraph"/>
              <w:spacing w:before="42"/>
              <w:ind w:right="96"/>
              <w:jc w:val="right"/>
              <w:rPr>
                <w:sz w:val="20"/>
              </w:rPr>
            </w:pPr>
            <w:r>
              <w:rPr>
                <w:spacing w:val="-4"/>
                <w:sz w:val="20"/>
              </w:rPr>
              <w:t>9.20</w:t>
            </w:r>
          </w:p>
        </w:tc>
        <w:tc>
          <w:tcPr>
            <w:tcW w:w="997" w:type="dxa"/>
            <w:tcBorders>
              <w:top w:val="single" w:sz="6" w:space="0" w:color="FFFFFF"/>
              <w:left w:val="single" w:sz="6" w:space="0" w:color="FFFFFF"/>
              <w:bottom w:val="single" w:sz="6" w:space="0" w:color="FFFFFF"/>
              <w:right w:val="single" w:sz="6" w:space="0" w:color="FFFFFF"/>
            </w:tcBorders>
            <w:shd w:val="clear" w:color="auto" w:fill="CCE2ED"/>
          </w:tcPr>
          <w:p w14:paraId="492D1852" w14:textId="77777777" w:rsidR="00141B97" w:rsidRDefault="00911D63">
            <w:pPr>
              <w:pStyle w:val="TableParagraph"/>
              <w:spacing w:before="42"/>
              <w:ind w:right="95"/>
              <w:jc w:val="right"/>
              <w:rPr>
                <w:sz w:val="20"/>
              </w:rPr>
            </w:pPr>
            <w:r>
              <w:rPr>
                <w:spacing w:val="-4"/>
                <w:sz w:val="20"/>
              </w:rPr>
              <w:t>6.68</w:t>
            </w:r>
          </w:p>
        </w:tc>
        <w:tc>
          <w:tcPr>
            <w:tcW w:w="997" w:type="dxa"/>
            <w:tcBorders>
              <w:top w:val="single" w:sz="6" w:space="0" w:color="FFFFFF"/>
              <w:left w:val="single" w:sz="6" w:space="0" w:color="FFFFFF"/>
              <w:bottom w:val="single" w:sz="6" w:space="0" w:color="FFFFFF"/>
              <w:right w:val="single" w:sz="6" w:space="0" w:color="FFFFFF"/>
            </w:tcBorders>
            <w:shd w:val="clear" w:color="auto" w:fill="CCE2ED"/>
          </w:tcPr>
          <w:p w14:paraId="620AEC43" w14:textId="77777777" w:rsidR="00141B97" w:rsidRDefault="00911D63">
            <w:pPr>
              <w:pStyle w:val="TableParagraph"/>
              <w:spacing w:before="42"/>
              <w:ind w:right="94"/>
              <w:jc w:val="right"/>
              <w:rPr>
                <w:sz w:val="20"/>
              </w:rPr>
            </w:pPr>
            <w:r>
              <w:rPr>
                <w:spacing w:val="-4"/>
                <w:sz w:val="20"/>
              </w:rPr>
              <w:t>6.00</w:t>
            </w:r>
          </w:p>
        </w:tc>
        <w:tc>
          <w:tcPr>
            <w:tcW w:w="998" w:type="dxa"/>
            <w:tcBorders>
              <w:top w:val="single" w:sz="6" w:space="0" w:color="FFFFFF"/>
              <w:left w:val="single" w:sz="6" w:space="0" w:color="FFFFFF"/>
              <w:bottom w:val="single" w:sz="6" w:space="0" w:color="FFFFFF"/>
              <w:right w:val="single" w:sz="6" w:space="0" w:color="FFFFFF"/>
            </w:tcBorders>
            <w:shd w:val="clear" w:color="auto" w:fill="CCE2ED"/>
          </w:tcPr>
          <w:p w14:paraId="5816A473" w14:textId="77777777" w:rsidR="00141B97" w:rsidRDefault="00911D63">
            <w:pPr>
              <w:pStyle w:val="TableParagraph"/>
              <w:spacing w:before="42"/>
              <w:ind w:right="94"/>
              <w:jc w:val="right"/>
              <w:rPr>
                <w:sz w:val="20"/>
              </w:rPr>
            </w:pPr>
            <w:r>
              <w:rPr>
                <w:spacing w:val="-4"/>
                <w:sz w:val="20"/>
              </w:rPr>
              <w:t>5.57</w:t>
            </w:r>
          </w:p>
        </w:tc>
        <w:tc>
          <w:tcPr>
            <w:tcW w:w="991" w:type="dxa"/>
            <w:tcBorders>
              <w:top w:val="single" w:sz="6" w:space="0" w:color="FFFFFF"/>
              <w:left w:val="single" w:sz="6" w:space="0" w:color="FFFFFF"/>
              <w:bottom w:val="single" w:sz="6" w:space="0" w:color="FFFFFF"/>
              <w:right w:val="nil"/>
            </w:tcBorders>
            <w:shd w:val="clear" w:color="auto" w:fill="CCE2ED"/>
          </w:tcPr>
          <w:p w14:paraId="77AFAF02" w14:textId="77777777" w:rsidR="00141B97" w:rsidRDefault="00911D63">
            <w:pPr>
              <w:pStyle w:val="TableParagraph"/>
              <w:spacing w:before="42"/>
              <w:ind w:right="87"/>
              <w:jc w:val="right"/>
              <w:rPr>
                <w:sz w:val="20"/>
              </w:rPr>
            </w:pPr>
            <w:r>
              <w:rPr>
                <w:spacing w:val="-4"/>
                <w:sz w:val="20"/>
              </w:rPr>
              <w:t>5.83</w:t>
            </w:r>
          </w:p>
        </w:tc>
      </w:tr>
      <w:tr w:rsidR="00141B97" w14:paraId="13F7FAE3" w14:textId="77777777">
        <w:trPr>
          <w:trHeight w:val="330"/>
        </w:trPr>
        <w:tc>
          <w:tcPr>
            <w:tcW w:w="2600" w:type="dxa"/>
            <w:tcBorders>
              <w:top w:val="single" w:sz="6" w:space="0" w:color="FFFFFF"/>
              <w:left w:val="nil"/>
              <w:bottom w:val="single" w:sz="6" w:space="0" w:color="FFFFFF"/>
            </w:tcBorders>
            <w:shd w:val="clear" w:color="auto" w:fill="CCE2ED"/>
          </w:tcPr>
          <w:p w14:paraId="25AA2835" w14:textId="77777777" w:rsidR="00141B97" w:rsidRDefault="00911D63">
            <w:pPr>
              <w:pStyle w:val="TableParagraph"/>
              <w:spacing w:before="43"/>
              <w:ind w:left="88"/>
              <w:rPr>
                <w:sz w:val="20"/>
              </w:rPr>
            </w:pPr>
            <w:r>
              <w:rPr>
                <w:sz w:val="20"/>
              </w:rPr>
              <w:t>Net</w:t>
            </w:r>
            <w:r>
              <w:rPr>
                <w:spacing w:val="-2"/>
                <w:sz w:val="20"/>
              </w:rPr>
              <w:t xml:space="preserve"> </w:t>
            </w:r>
            <w:r>
              <w:rPr>
                <w:sz w:val="20"/>
              </w:rPr>
              <w:t>Debt</w:t>
            </w:r>
            <w:r>
              <w:rPr>
                <w:spacing w:val="-3"/>
                <w:sz w:val="20"/>
              </w:rPr>
              <w:t xml:space="preserve"> </w:t>
            </w:r>
            <w:r>
              <w:rPr>
                <w:sz w:val="20"/>
              </w:rPr>
              <w:t>/</w:t>
            </w:r>
            <w:r>
              <w:rPr>
                <w:spacing w:val="-3"/>
                <w:sz w:val="20"/>
              </w:rPr>
              <w:t xml:space="preserve"> </w:t>
            </w:r>
            <w:r>
              <w:rPr>
                <w:sz w:val="20"/>
              </w:rPr>
              <w:t>RAV</w:t>
            </w:r>
            <w:r>
              <w:rPr>
                <w:spacing w:val="-2"/>
                <w:sz w:val="20"/>
              </w:rPr>
              <w:t xml:space="preserve"> </w:t>
            </w:r>
            <w:r>
              <w:rPr>
                <w:sz w:val="20"/>
              </w:rPr>
              <w:t>(Gearing)</w:t>
            </w:r>
            <w:r>
              <w:rPr>
                <w:spacing w:val="-2"/>
                <w:sz w:val="20"/>
              </w:rPr>
              <w:t xml:space="preserve"> </w:t>
            </w:r>
            <w:r>
              <w:rPr>
                <w:spacing w:val="-5"/>
                <w:sz w:val="20"/>
              </w:rPr>
              <w:t>(%)</w:t>
            </w:r>
          </w:p>
        </w:tc>
        <w:tc>
          <w:tcPr>
            <w:tcW w:w="1200" w:type="dxa"/>
            <w:tcBorders>
              <w:top w:val="single" w:sz="6" w:space="0" w:color="FFFFFF"/>
              <w:bottom w:val="single" w:sz="6" w:space="0" w:color="FFFFFF"/>
            </w:tcBorders>
            <w:shd w:val="clear" w:color="auto" w:fill="D9D9D9"/>
          </w:tcPr>
          <w:p w14:paraId="0BD54A08" w14:textId="77777777" w:rsidR="00141B97" w:rsidRDefault="00911D63">
            <w:pPr>
              <w:pStyle w:val="TableParagraph"/>
              <w:ind w:right="94"/>
              <w:jc w:val="right"/>
              <w:rPr>
                <w:sz w:val="20"/>
              </w:rPr>
            </w:pPr>
            <w:r>
              <w:rPr>
                <w:sz w:val="20"/>
              </w:rPr>
              <w:t>&lt; 70</w:t>
            </w:r>
            <w:r>
              <w:rPr>
                <w:spacing w:val="-1"/>
                <w:sz w:val="20"/>
              </w:rPr>
              <w:t xml:space="preserve"> </w:t>
            </w:r>
            <w:r>
              <w:rPr>
                <w:spacing w:val="-10"/>
                <w:sz w:val="20"/>
              </w:rPr>
              <w:t>%</w:t>
            </w:r>
          </w:p>
        </w:tc>
        <w:tc>
          <w:tcPr>
            <w:tcW w:w="998" w:type="dxa"/>
            <w:tcBorders>
              <w:top w:val="single" w:sz="6" w:space="0" w:color="FFFFFF"/>
              <w:bottom w:val="single" w:sz="6" w:space="0" w:color="FFFFFF"/>
              <w:right w:val="single" w:sz="6" w:space="0" w:color="FFFFFF"/>
            </w:tcBorders>
            <w:shd w:val="clear" w:color="auto" w:fill="CCE2ED"/>
          </w:tcPr>
          <w:p w14:paraId="1085C10B" w14:textId="77777777" w:rsidR="00141B97" w:rsidRDefault="00911D63">
            <w:pPr>
              <w:pStyle w:val="TableParagraph"/>
              <w:spacing w:before="43"/>
              <w:ind w:right="93"/>
              <w:jc w:val="right"/>
              <w:rPr>
                <w:sz w:val="20"/>
              </w:rPr>
            </w:pPr>
            <w:r>
              <w:rPr>
                <w:spacing w:val="-2"/>
                <w:sz w:val="20"/>
              </w:rPr>
              <w:t>16.7%</w:t>
            </w:r>
          </w:p>
        </w:tc>
        <w:tc>
          <w:tcPr>
            <w:tcW w:w="998" w:type="dxa"/>
            <w:tcBorders>
              <w:top w:val="single" w:sz="6" w:space="0" w:color="FFFFFF"/>
              <w:left w:val="single" w:sz="6" w:space="0" w:color="FFFFFF"/>
              <w:bottom w:val="single" w:sz="6" w:space="0" w:color="FFFFFF"/>
              <w:right w:val="single" w:sz="6" w:space="0" w:color="FFFFFF"/>
            </w:tcBorders>
            <w:shd w:val="clear" w:color="auto" w:fill="CCE2ED"/>
          </w:tcPr>
          <w:p w14:paraId="764B75F2" w14:textId="77777777" w:rsidR="00141B97" w:rsidRDefault="00911D63">
            <w:pPr>
              <w:pStyle w:val="TableParagraph"/>
              <w:spacing w:before="43"/>
              <w:ind w:right="95"/>
              <w:jc w:val="right"/>
              <w:rPr>
                <w:sz w:val="20"/>
              </w:rPr>
            </w:pPr>
            <w:r>
              <w:rPr>
                <w:spacing w:val="-2"/>
                <w:sz w:val="20"/>
              </w:rPr>
              <w:t>14.9%</w:t>
            </w:r>
          </w:p>
        </w:tc>
        <w:tc>
          <w:tcPr>
            <w:tcW w:w="997" w:type="dxa"/>
            <w:tcBorders>
              <w:top w:val="single" w:sz="6" w:space="0" w:color="FFFFFF"/>
              <w:left w:val="single" w:sz="6" w:space="0" w:color="FFFFFF"/>
              <w:bottom w:val="single" w:sz="6" w:space="0" w:color="FFFFFF"/>
              <w:right w:val="single" w:sz="6" w:space="0" w:color="FFFFFF"/>
            </w:tcBorders>
            <w:shd w:val="clear" w:color="auto" w:fill="CCE2ED"/>
          </w:tcPr>
          <w:p w14:paraId="47F8B289" w14:textId="77777777" w:rsidR="00141B97" w:rsidRDefault="00911D63">
            <w:pPr>
              <w:pStyle w:val="TableParagraph"/>
              <w:spacing w:before="43"/>
              <w:ind w:right="94"/>
              <w:jc w:val="right"/>
              <w:rPr>
                <w:sz w:val="20"/>
              </w:rPr>
            </w:pPr>
            <w:r>
              <w:rPr>
                <w:spacing w:val="-2"/>
                <w:sz w:val="20"/>
              </w:rPr>
              <w:t>17.5%</w:t>
            </w:r>
          </w:p>
        </w:tc>
        <w:tc>
          <w:tcPr>
            <w:tcW w:w="997" w:type="dxa"/>
            <w:tcBorders>
              <w:top w:val="single" w:sz="6" w:space="0" w:color="FFFFFF"/>
              <w:left w:val="single" w:sz="6" w:space="0" w:color="FFFFFF"/>
              <w:bottom w:val="single" w:sz="6" w:space="0" w:color="FFFFFF"/>
              <w:right w:val="single" w:sz="6" w:space="0" w:color="FFFFFF"/>
            </w:tcBorders>
            <w:shd w:val="clear" w:color="auto" w:fill="CCE2ED"/>
          </w:tcPr>
          <w:p w14:paraId="2AE601B8" w14:textId="77777777" w:rsidR="00141B97" w:rsidRDefault="00911D63">
            <w:pPr>
              <w:pStyle w:val="TableParagraph"/>
              <w:spacing w:before="43"/>
              <w:ind w:right="93"/>
              <w:jc w:val="right"/>
              <w:rPr>
                <w:sz w:val="20"/>
              </w:rPr>
            </w:pPr>
            <w:r>
              <w:rPr>
                <w:spacing w:val="-2"/>
                <w:sz w:val="20"/>
              </w:rPr>
              <w:t>19.5%</w:t>
            </w:r>
          </w:p>
        </w:tc>
        <w:tc>
          <w:tcPr>
            <w:tcW w:w="998" w:type="dxa"/>
            <w:tcBorders>
              <w:top w:val="single" w:sz="6" w:space="0" w:color="FFFFFF"/>
              <w:left w:val="single" w:sz="6" w:space="0" w:color="FFFFFF"/>
              <w:bottom w:val="single" w:sz="6" w:space="0" w:color="FFFFFF"/>
              <w:right w:val="single" w:sz="6" w:space="0" w:color="FFFFFF"/>
            </w:tcBorders>
            <w:shd w:val="clear" w:color="auto" w:fill="CCE2ED"/>
          </w:tcPr>
          <w:p w14:paraId="54DCC26A" w14:textId="77777777" w:rsidR="00141B97" w:rsidRDefault="00911D63">
            <w:pPr>
              <w:pStyle w:val="TableParagraph"/>
              <w:spacing w:before="43"/>
              <w:ind w:right="93"/>
              <w:jc w:val="right"/>
              <w:rPr>
                <w:sz w:val="20"/>
              </w:rPr>
            </w:pPr>
            <w:r>
              <w:rPr>
                <w:spacing w:val="-2"/>
                <w:sz w:val="20"/>
              </w:rPr>
              <w:t>19.8%</w:t>
            </w:r>
          </w:p>
        </w:tc>
        <w:tc>
          <w:tcPr>
            <w:tcW w:w="991" w:type="dxa"/>
            <w:tcBorders>
              <w:top w:val="single" w:sz="6" w:space="0" w:color="FFFFFF"/>
              <w:left w:val="single" w:sz="6" w:space="0" w:color="FFFFFF"/>
              <w:bottom w:val="single" w:sz="6" w:space="0" w:color="FFFFFF"/>
              <w:right w:val="nil"/>
            </w:tcBorders>
            <w:shd w:val="clear" w:color="auto" w:fill="CCE2ED"/>
          </w:tcPr>
          <w:p w14:paraId="341B3CCB" w14:textId="77777777" w:rsidR="00141B97" w:rsidRDefault="00911D63">
            <w:pPr>
              <w:pStyle w:val="TableParagraph"/>
              <w:spacing w:before="43"/>
              <w:ind w:right="86"/>
              <w:jc w:val="right"/>
              <w:rPr>
                <w:sz w:val="20"/>
              </w:rPr>
            </w:pPr>
            <w:r>
              <w:rPr>
                <w:spacing w:val="-2"/>
                <w:sz w:val="20"/>
              </w:rPr>
              <w:t>20.7%</w:t>
            </w:r>
          </w:p>
        </w:tc>
      </w:tr>
      <w:tr w:rsidR="00141B97" w14:paraId="22C74713" w14:textId="77777777">
        <w:trPr>
          <w:trHeight w:val="329"/>
        </w:trPr>
        <w:tc>
          <w:tcPr>
            <w:tcW w:w="2600" w:type="dxa"/>
            <w:tcBorders>
              <w:top w:val="single" w:sz="6" w:space="0" w:color="FFFFFF"/>
              <w:left w:val="nil"/>
              <w:bottom w:val="single" w:sz="6" w:space="0" w:color="FFFFFF"/>
            </w:tcBorders>
            <w:shd w:val="clear" w:color="auto" w:fill="CCE2ED"/>
          </w:tcPr>
          <w:p w14:paraId="2B60805A" w14:textId="77777777" w:rsidR="00141B97" w:rsidRDefault="00911D63">
            <w:pPr>
              <w:pStyle w:val="TableParagraph"/>
              <w:spacing w:before="42"/>
              <w:ind w:left="88"/>
              <w:rPr>
                <w:sz w:val="20"/>
              </w:rPr>
            </w:pPr>
            <w:r>
              <w:rPr>
                <w:sz w:val="20"/>
              </w:rPr>
              <w:t>FFO</w:t>
            </w:r>
            <w:r>
              <w:rPr>
                <w:spacing w:val="-3"/>
                <w:sz w:val="20"/>
              </w:rPr>
              <w:t xml:space="preserve"> </w:t>
            </w:r>
            <w:r>
              <w:rPr>
                <w:sz w:val="20"/>
              </w:rPr>
              <w:t>/</w:t>
            </w:r>
            <w:r>
              <w:rPr>
                <w:spacing w:val="-1"/>
                <w:sz w:val="20"/>
              </w:rPr>
              <w:t xml:space="preserve"> </w:t>
            </w:r>
            <w:r>
              <w:rPr>
                <w:sz w:val="20"/>
              </w:rPr>
              <w:t>Net</w:t>
            </w:r>
            <w:r>
              <w:rPr>
                <w:spacing w:val="-1"/>
                <w:sz w:val="20"/>
              </w:rPr>
              <w:t xml:space="preserve"> </w:t>
            </w:r>
            <w:r>
              <w:rPr>
                <w:sz w:val="20"/>
              </w:rPr>
              <w:t>debt</w:t>
            </w:r>
            <w:r>
              <w:rPr>
                <w:spacing w:val="-1"/>
                <w:sz w:val="20"/>
              </w:rPr>
              <w:t xml:space="preserve"> </w:t>
            </w:r>
            <w:r>
              <w:rPr>
                <w:spacing w:val="-5"/>
                <w:sz w:val="20"/>
              </w:rPr>
              <w:t>(%)</w:t>
            </w:r>
          </w:p>
        </w:tc>
        <w:tc>
          <w:tcPr>
            <w:tcW w:w="1200" w:type="dxa"/>
            <w:tcBorders>
              <w:top w:val="single" w:sz="6" w:space="0" w:color="FFFFFF"/>
              <w:bottom w:val="single" w:sz="6" w:space="0" w:color="FFFFFF"/>
            </w:tcBorders>
            <w:shd w:val="clear" w:color="auto" w:fill="D9D9D9"/>
          </w:tcPr>
          <w:p w14:paraId="3028C4C7" w14:textId="77777777" w:rsidR="00141B97" w:rsidRDefault="00911D63">
            <w:pPr>
              <w:pStyle w:val="TableParagraph"/>
              <w:spacing w:line="243" w:lineRule="exact"/>
              <w:ind w:right="94"/>
              <w:jc w:val="right"/>
              <w:rPr>
                <w:sz w:val="20"/>
              </w:rPr>
            </w:pPr>
            <w:r>
              <w:rPr>
                <w:sz w:val="20"/>
              </w:rPr>
              <w:t>&gt; 10</w:t>
            </w:r>
            <w:r>
              <w:rPr>
                <w:spacing w:val="-1"/>
                <w:sz w:val="20"/>
              </w:rPr>
              <w:t xml:space="preserve"> </w:t>
            </w:r>
            <w:r>
              <w:rPr>
                <w:spacing w:val="-10"/>
                <w:sz w:val="20"/>
              </w:rPr>
              <w:t>%</w:t>
            </w:r>
          </w:p>
        </w:tc>
        <w:tc>
          <w:tcPr>
            <w:tcW w:w="998" w:type="dxa"/>
            <w:tcBorders>
              <w:top w:val="single" w:sz="6" w:space="0" w:color="FFFFFF"/>
              <w:bottom w:val="single" w:sz="6" w:space="0" w:color="FFFFFF"/>
              <w:right w:val="single" w:sz="6" w:space="0" w:color="FFFFFF"/>
            </w:tcBorders>
            <w:shd w:val="clear" w:color="auto" w:fill="CCE2ED"/>
          </w:tcPr>
          <w:p w14:paraId="2711D618" w14:textId="77777777" w:rsidR="00141B97" w:rsidRDefault="00911D63">
            <w:pPr>
              <w:pStyle w:val="TableParagraph"/>
              <w:spacing w:before="42"/>
              <w:ind w:right="93"/>
              <w:jc w:val="right"/>
              <w:rPr>
                <w:sz w:val="20"/>
              </w:rPr>
            </w:pPr>
            <w:r>
              <w:rPr>
                <w:spacing w:val="-2"/>
                <w:sz w:val="20"/>
              </w:rPr>
              <w:t>41.1%</w:t>
            </w:r>
          </w:p>
        </w:tc>
        <w:tc>
          <w:tcPr>
            <w:tcW w:w="998" w:type="dxa"/>
            <w:tcBorders>
              <w:top w:val="single" w:sz="6" w:space="0" w:color="FFFFFF"/>
              <w:left w:val="single" w:sz="6" w:space="0" w:color="FFFFFF"/>
              <w:bottom w:val="single" w:sz="6" w:space="0" w:color="FFFFFF"/>
              <w:right w:val="single" w:sz="6" w:space="0" w:color="FFFFFF"/>
            </w:tcBorders>
            <w:shd w:val="clear" w:color="auto" w:fill="CCE2ED"/>
          </w:tcPr>
          <w:p w14:paraId="724F1B5A" w14:textId="77777777" w:rsidR="00141B97" w:rsidRDefault="00911D63">
            <w:pPr>
              <w:pStyle w:val="TableParagraph"/>
              <w:spacing w:before="42"/>
              <w:ind w:right="95"/>
              <w:jc w:val="right"/>
              <w:rPr>
                <w:sz w:val="20"/>
              </w:rPr>
            </w:pPr>
            <w:r>
              <w:rPr>
                <w:spacing w:val="-2"/>
                <w:sz w:val="20"/>
              </w:rPr>
              <w:t>51.7%</w:t>
            </w:r>
          </w:p>
        </w:tc>
        <w:tc>
          <w:tcPr>
            <w:tcW w:w="997" w:type="dxa"/>
            <w:tcBorders>
              <w:top w:val="single" w:sz="6" w:space="0" w:color="FFFFFF"/>
              <w:left w:val="single" w:sz="6" w:space="0" w:color="FFFFFF"/>
              <w:bottom w:val="single" w:sz="6" w:space="0" w:color="FFFFFF"/>
              <w:right w:val="single" w:sz="6" w:space="0" w:color="FFFFFF"/>
            </w:tcBorders>
            <w:shd w:val="clear" w:color="auto" w:fill="CCE2ED"/>
          </w:tcPr>
          <w:p w14:paraId="5FD93438" w14:textId="77777777" w:rsidR="00141B97" w:rsidRDefault="00911D63">
            <w:pPr>
              <w:pStyle w:val="TableParagraph"/>
              <w:spacing w:before="42"/>
              <w:ind w:right="94"/>
              <w:jc w:val="right"/>
              <w:rPr>
                <w:sz w:val="20"/>
              </w:rPr>
            </w:pPr>
            <w:r>
              <w:rPr>
                <w:spacing w:val="-2"/>
                <w:sz w:val="20"/>
              </w:rPr>
              <w:t>34.6%</w:t>
            </w:r>
          </w:p>
        </w:tc>
        <w:tc>
          <w:tcPr>
            <w:tcW w:w="997" w:type="dxa"/>
            <w:tcBorders>
              <w:top w:val="single" w:sz="6" w:space="0" w:color="FFFFFF"/>
              <w:left w:val="single" w:sz="6" w:space="0" w:color="FFFFFF"/>
              <w:bottom w:val="single" w:sz="6" w:space="0" w:color="FFFFFF"/>
              <w:right w:val="single" w:sz="6" w:space="0" w:color="FFFFFF"/>
            </w:tcBorders>
            <w:shd w:val="clear" w:color="auto" w:fill="CCE2ED"/>
          </w:tcPr>
          <w:p w14:paraId="2AB5312C" w14:textId="77777777" w:rsidR="00141B97" w:rsidRDefault="00911D63">
            <w:pPr>
              <w:pStyle w:val="TableParagraph"/>
              <w:spacing w:before="42"/>
              <w:ind w:right="93"/>
              <w:jc w:val="right"/>
              <w:rPr>
                <w:sz w:val="20"/>
              </w:rPr>
            </w:pPr>
            <w:r>
              <w:rPr>
                <w:spacing w:val="-2"/>
                <w:sz w:val="20"/>
              </w:rPr>
              <w:t>28.9%</w:t>
            </w:r>
          </w:p>
        </w:tc>
        <w:tc>
          <w:tcPr>
            <w:tcW w:w="998" w:type="dxa"/>
            <w:tcBorders>
              <w:top w:val="single" w:sz="6" w:space="0" w:color="FFFFFF"/>
              <w:left w:val="single" w:sz="6" w:space="0" w:color="FFFFFF"/>
              <w:bottom w:val="single" w:sz="6" w:space="0" w:color="FFFFFF"/>
              <w:right w:val="single" w:sz="6" w:space="0" w:color="FFFFFF"/>
            </w:tcBorders>
            <w:shd w:val="clear" w:color="auto" w:fill="CCE2ED"/>
          </w:tcPr>
          <w:p w14:paraId="042C1CE3" w14:textId="77777777" w:rsidR="00141B97" w:rsidRDefault="00911D63">
            <w:pPr>
              <w:pStyle w:val="TableParagraph"/>
              <w:spacing w:before="42"/>
              <w:ind w:right="93"/>
              <w:jc w:val="right"/>
              <w:rPr>
                <w:sz w:val="20"/>
              </w:rPr>
            </w:pPr>
            <w:r>
              <w:rPr>
                <w:spacing w:val="-2"/>
                <w:sz w:val="20"/>
              </w:rPr>
              <w:t>26.5%</w:t>
            </w:r>
          </w:p>
        </w:tc>
        <w:tc>
          <w:tcPr>
            <w:tcW w:w="991" w:type="dxa"/>
            <w:tcBorders>
              <w:top w:val="single" w:sz="6" w:space="0" w:color="FFFFFF"/>
              <w:left w:val="single" w:sz="6" w:space="0" w:color="FFFFFF"/>
              <w:bottom w:val="single" w:sz="6" w:space="0" w:color="FFFFFF"/>
              <w:right w:val="nil"/>
            </w:tcBorders>
            <w:shd w:val="clear" w:color="auto" w:fill="CCE2ED"/>
          </w:tcPr>
          <w:p w14:paraId="2B5CD0E9" w14:textId="77777777" w:rsidR="00141B97" w:rsidRDefault="00911D63">
            <w:pPr>
              <w:pStyle w:val="TableParagraph"/>
              <w:spacing w:before="42"/>
              <w:ind w:right="86"/>
              <w:jc w:val="right"/>
              <w:rPr>
                <w:sz w:val="20"/>
              </w:rPr>
            </w:pPr>
            <w:r>
              <w:rPr>
                <w:spacing w:val="-2"/>
                <w:sz w:val="20"/>
              </w:rPr>
              <w:t>26.5%</w:t>
            </w:r>
          </w:p>
        </w:tc>
      </w:tr>
      <w:tr w:rsidR="00141B97" w14:paraId="49B1388F" w14:textId="77777777">
        <w:trPr>
          <w:trHeight w:val="330"/>
        </w:trPr>
        <w:tc>
          <w:tcPr>
            <w:tcW w:w="2600" w:type="dxa"/>
            <w:tcBorders>
              <w:top w:val="single" w:sz="6" w:space="0" w:color="FFFFFF"/>
              <w:left w:val="nil"/>
              <w:bottom w:val="nil"/>
            </w:tcBorders>
            <w:shd w:val="clear" w:color="auto" w:fill="CCE2ED"/>
          </w:tcPr>
          <w:p w14:paraId="51FE61DE" w14:textId="77777777" w:rsidR="00141B97" w:rsidRDefault="00911D63">
            <w:pPr>
              <w:pStyle w:val="TableParagraph"/>
              <w:spacing w:before="43"/>
              <w:ind w:left="88"/>
              <w:rPr>
                <w:sz w:val="20"/>
              </w:rPr>
            </w:pPr>
            <w:r>
              <w:rPr>
                <w:sz w:val="20"/>
              </w:rPr>
              <w:t>Internal</w:t>
            </w:r>
            <w:r>
              <w:rPr>
                <w:spacing w:val="-4"/>
                <w:sz w:val="20"/>
              </w:rPr>
              <w:t xml:space="preserve"> </w:t>
            </w:r>
            <w:r>
              <w:rPr>
                <w:sz w:val="20"/>
              </w:rPr>
              <w:t>financing</w:t>
            </w:r>
            <w:r>
              <w:rPr>
                <w:spacing w:val="-4"/>
                <w:sz w:val="20"/>
              </w:rPr>
              <w:t xml:space="preserve"> </w:t>
            </w:r>
            <w:r>
              <w:rPr>
                <w:sz w:val="20"/>
              </w:rPr>
              <w:t>ratio</w:t>
            </w:r>
            <w:r>
              <w:rPr>
                <w:spacing w:val="-4"/>
                <w:sz w:val="20"/>
              </w:rPr>
              <w:t xml:space="preserve"> </w:t>
            </w:r>
            <w:r>
              <w:rPr>
                <w:spacing w:val="-5"/>
                <w:sz w:val="20"/>
              </w:rPr>
              <w:t>(%)</w:t>
            </w:r>
          </w:p>
        </w:tc>
        <w:tc>
          <w:tcPr>
            <w:tcW w:w="1200" w:type="dxa"/>
            <w:tcBorders>
              <w:top w:val="single" w:sz="6" w:space="0" w:color="FFFFFF"/>
              <w:bottom w:val="nil"/>
            </w:tcBorders>
            <w:shd w:val="clear" w:color="auto" w:fill="D9D9D9"/>
          </w:tcPr>
          <w:p w14:paraId="26FD63CE" w14:textId="77777777" w:rsidR="00141B97" w:rsidRDefault="00911D63">
            <w:pPr>
              <w:pStyle w:val="TableParagraph"/>
              <w:ind w:right="94"/>
              <w:jc w:val="right"/>
              <w:rPr>
                <w:sz w:val="20"/>
              </w:rPr>
            </w:pPr>
            <w:r>
              <w:rPr>
                <w:sz w:val="20"/>
              </w:rPr>
              <w:t>&gt; 35</w:t>
            </w:r>
            <w:r>
              <w:rPr>
                <w:spacing w:val="-1"/>
                <w:sz w:val="20"/>
              </w:rPr>
              <w:t xml:space="preserve"> </w:t>
            </w:r>
            <w:r>
              <w:rPr>
                <w:spacing w:val="-10"/>
                <w:sz w:val="20"/>
              </w:rPr>
              <w:t>%</w:t>
            </w:r>
          </w:p>
        </w:tc>
        <w:tc>
          <w:tcPr>
            <w:tcW w:w="998" w:type="dxa"/>
            <w:tcBorders>
              <w:top w:val="single" w:sz="6" w:space="0" w:color="FFFFFF"/>
              <w:bottom w:val="nil"/>
              <w:right w:val="single" w:sz="6" w:space="0" w:color="FFFFFF"/>
            </w:tcBorders>
            <w:shd w:val="clear" w:color="auto" w:fill="CCE2ED"/>
          </w:tcPr>
          <w:p w14:paraId="61EAADBA" w14:textId="77777777" w:rsidR="00141B97" w:rsidRDefault="00911D63">
            <w:pPr>
              <w:pStyle w:val="TableParagraph"/>
              <w:spacing w:before="43"/>
              <w:ind w:right="93"/>
              <w:jc w:val="right"/>
              <w:rPr>
                <w:sz w:val="20"/>
              </w:rPr>
            </w:pPr>
            <w:r>
              <w:rPr>
                <w:spacing w:val="-2"/>
                <w:sz w:val="20"/>
              </w:rPr>
              <w:t>121.6%</w:t>
            </w:r>
          </w:p>
        </w:tc>
        <w:tc>
          <w:tcPr>
            <w:tcW w:w="998" w:type="dxa"/>
            <w:tcBorders>
              <w:top w:val="single" w:sz="6" w:space="0" w:color="FFFFFF"/>
              <w:left w:val="single" w:sz="6" w:space="0" w:color="FFFFFF"/>
              <w:bottom w:val="nil"/>
              <w:right w:val="single" w:sz="6" w:space="0" w:color="FFFFFF"/>
            </w:tcBorders>
            <w:shd w:val="clear" w:color="auto" w:fill="CCE2ED"/>
          </w:tcPr>
          <w:p w14:paraId="031794E3" w14:textId="77777777" w:rsidR="00141B97" w:rsidRDefault="00911D63">
            <w:pPr>
              <w:pStyle w:val="TableParagraph"/>
              <w:spacing w:before="43"/>
              <w:ind w:right="95"/>
              <w:jc w:val="right"/>
              <w:rPr>
                <w:sz w:val="20"/>
              </w:rPr>
            </w:pPr>
            <w:r>
              <w:rPr>
                <w:spacing w:val="-2"/>
                <w:sz w:val="20"/>
              </w:rPr>
              <w:t>70.5%</w:t>
            </w:r>
          </w:p>
        </w:tc>
        <w:tc>
          <w:tcPr>
            <w:tcW w:w="997" w:type="dxa"/>
            <w:tcBorders>
              <w:top w:val="single" w:sz="6" w:space="0" w:color="FFFFFF"/>
              <w:left w:val="single" w:sz="6" w:space="0" w:color="FFFFFF"/>
              <w:bottom w:val="nil"/>
              <w:right w:val="single" w:sz="6" w:space="0" w:color="FFFFFF"/>
            </w:tcBorders>
            <w:shd w:val="clear" w:color="auto" w:fill="CCE2ED"/>
          </w:tcPr>
          <w:p w14:paraId="3AB7738D" w14:textId="77777777" w:rsidR="00141B97" w:rsidRDefault="00911D63">
            <w:pPr>
              <w:pStyle w:val="TableParagraph"/>
              <w:spacing w:before="43"/>
              <w:ind w:right="94"/>
              <w:jc w:val="right"/>
              <w:rPr>
                <w:sz w:val="20"/>
              </w:rPr>
            </w:pPr>
            <w:r>
              <w:rPr>
                <w:spacing w:val="-2"/>
                <w:sz w:val="20"/>
              </w:rPr>
              <w:t>66.9%</w:t>
            </w:r>
          </w:p>
        </w:tc>
        <w:tc>
          <w:tcPr>
            <w:tcW w:w="997" w:type="dxa"/>
            <w:tcBorders>
              <w:top w:val="single" w:sz="6" w:space="0" w:color="FFFFFF"/>
              <w:left w:val="single" w:sz="6" w:space="0" w:color="FFFFFF"/>
              <w:bottom w:val="nil"/>
              <w:right w:val="single" w:sz="6" w:space="0" w:color="FFFFFF"/>
            </w:tcBorders>
            <w:shd w:val="clear" w:color="auto" w:fill="CCE2ED"/>
          </w:tcPr>
          <w:p w14:paraId="2AD8ACB6" w14:textId="77777777" w:rsidR="00141B97" w:rsidRDefault="00911D63">
            <w:pPr>
              <w:pStyle w:val="TableParagraph"/>
              <w:spacing w:before="43"/>
              <w:ind w:right="93"/>
              <w:jc w:val="right"/>
              <w:rPr>
                <w:sz w:val="20"/>
              </w:rPr>
            </w:pPr>
            <w:r>
              <w:rPr>
                <w:spacing w:val="-2"/>
                <w:sz w:val="20"/>
              </w:rPr>
              <w:t>82.5%</w:t>
            </w:r>
          </w:p>
        </w:tc>
        <w:tc>
          <w:tcPr>
            <w:tcW w:w="998" w:type="dxa"/>
            <w:tcBorders>
              <w:top w:val="single" w:sz="6" w:space="0" w:color="FFFFFF"/>
              <w:left w:val="single" w:sz="6" w:space="0" w:color="FFFFFF"/>
              <w:bottom w:val="nil"/>
              <w:right w:val="single" w:sz="6" w:space="0" w:color="FFFFFF"/>
            </w:tcBorders>
            <w:shd w:val="clear" w:color="auto" w:fill="CCE2ED"/>
          </w:tcPr>
          <w:p w14:paraId="55668D58" w14:textId="77777777" w:rsidR="00141B97" w:rsidRDefault="00911D63">
            <w:pPr>
              <w:pStyle w:val="TableParagraph"/>
              <w:spacing w:before="43"/>
              <w:ind w:right="93"/>
              <w:jc w:val="right"/>
              <w:rPr>
                <w:sz w:val="20"/>
              </w:rPr>
            </w:pPr>
            <w:r>
              <w:rPr>
                <w:spacing w:val="-2"/>
                <w:sz w:val="20"/>
              </w:rPr>
              <w:t>76.7%</w:t>
            </w:r>
          </w:p>
        </w:tc>
        <w:tc>
          <w:tcPr>
            <w:tcW w:w="991" w:type="dxa"/>
            <w:tcBorders>
              <w:top w:val="single" w:sz="6" w:space="0" w:color="FFFFFF"/>
              <w:left w:val="single" w:sz="6" w:space="0" w:color="FFFFFF"/>
              <w:bottom w:val="nil"/>
              <w:right w:val="nil"/>
            </w:tcBorders>
            <w:shd w:val="clear" w:color="auto" w:fill="CCE2ED"/>
          </w:tcPr>
          <w:p w14:paraId="5A4950E5" w14:textId="77777777" w:rsidR="00141B97" w:rsidRDefault="00911D63">
            <w:pPr>
              <w:pStyle w:val="TableParagraph"/>
              <w:spacing w:before="43"/>
              <w:ind w:right="86"/>
              <w:jc w:val="right"/>
              <w:rPr>
                <w:sz w:val="20"/>
              </w:rPr>
            </w:pPr>
            <w:r>
              <w:rPr>
                <w:spacing w:val="-2"/>
                <w:sz w:val="20"/>
              </w:rPr>
              <w:t>91.9%</w:t>
            </w:r>
          </w:p>
        </w:tc>
      </w:tr>
      <w:tr w:rsidR="00141B97" w14:paraId="6309F50D" w14:textId="77777777">
        <w:trPr>
          <w:trHeight w:val="1365"/>
        </w:trPr>
        <w:tc>
          <w:tcPr>
            <w:tcW w:w="2600" w:type="dxa"/>
            <w:tcBorders>
              <w:top w:val="nil"/>
              <w:left w:val="nil"/>
              <w:bottom w:val="nil"/>
            </w:tcBorders>
          </w:tcPr>
          <w:p w14:paraId="2ED397D9" w14:textId="77777777" w:rsidR="00141B97" w:rsidRDefault="00911D63">
            <w:pPr>
              <w:pStyle w:val="TableParagraph"/>
              <w:spacing w:before="14"/>
              <w:ind w:left="-30"/>
              <w:rPr>
                <w:sz w:val="16"/>
              </w:rPr>
            </w:pPr>
            <w:r>
              <w:rPr>
                <w:sz w:val="16"/>
              </w:rPr>
              <w:t>Table</w:t>
            </w:r>
            <w:r>
              <w:rPr>
                <w:spacing w:val="-4"/>
                <w:sz w:val="16"/>
              </w:rPr>
              <w:t xml:space="preserve"> </w:t>
            </w:r>
            <w:r>
              <w:rPr>
                <w:sz w:val="16"/>
              </w:rPr>
              <w:t>A7</w:t>
            </w:r>
            <w:r>
              <w:rPr>
                <w:sz w:val="12"/>
              </w:rPr>
              <w:t>:</w:t>
            </w:r>
            <w:r>
              <w:rPr>
                <w:spacing w:val="-6"/>
                <w:sz w:val="12"/>
              </w:rPr>
              <w:t xml:space="preserve"> </w:t>
            </w:r>
            <w:r>
              <w:rPr>
                <w:sz w:val="16"/>
              </w:rPr>
              <w:t>Financial</w:t>
            </w:r>
            <w:r>
              <w:rPr>
                <w:spacing w:val="-5"/>
                <w:sz w:val="16"/>
              </w:rPr>
              <w:t xml:space="preserve"> </w:t>
            </w:r>
            <w:r>
              <w:rPr>
                <w:sz w:val="16"/>
              </w:rPr>
              <w:t>Indicators</w:t>
            </w:r>
            <w:r>
              <w:rPr>
                <w:spacing w:val="-5"/>
                <w:sz w:val="16"/>
              </w:rPr>
              <w:t xml:space="preserve"> </w:t>
            </w:r>
            <w:r>
              <w:rPr>
                <w:sz w:val="16"/>
              </w:rPr>
              <w:t>‐</w:t>
            </w:r>
            <w:r>
              <w:rPr>
                <w:spacing w:val="-5"/>
                <w:sz w:val="16"/>
              </w:rPr>
              <w:t xml:space="preserve"> </w:t>
            </w:r>
            <w:r>
              <w:rPr>
                <w:spacing w:val="-2"/>
                <w:sz w:val="16"/>
              </w:rPr>
              <w:t>Urban</w:t>
            </w:r>
          </w:p>
        </w:tc>
        <w:tc>
          <w:tcPr>
            <w:tcW w:w="1200" w:type="dxa"/>
            <w:tcBorders>
              <w:top w:val="nil"/>
              <w:bottom w:val="nil"/>
            </w:tcBorders>
          </w:tcPr>
          <w:p w14:paraId="067527C4" w14:textId="77777777" w:rsidR="00141B97" w:rsidRDefault="00141B97">
            <w:pPr>
              <w:pStyle w:val="TableParagraph"/>
              <w:rPr>
                <w:rFonts w:ascii="Times New Roman"/>
                <w:sz w:val="20"/>
              </w:rPr>
            </w:pPr>
          </w:p>
        </w:tc>
        <w:tc>
          <w:tcPr>
            <w:tcW w:w="5979" w:type="dxa"/>
            <w:gridSpan w:val="6"/>
            <w:tcBorders>
              <w:top w:val="nil"/>
              <w:bottom w:val="nil"/>
              <w:right w:val="nil"/>
            </w:tcBorders>
          </w:tcPr>
          <w:p w14:paraId="57834C10" w14:textId="77777777" w:rsidR="00141B97" w:rsidRDefault="00141B97">
            <w:pPr>
              <w:pStyle w:val="TableParagraph"/>
              <w:rPr>
                <w:rFonts w:ascii="Times New Roman"/>
                <w:sz w:val="20"/>
              </w:rPr>
            </w:pPr>
          </w:p>
        </w:tc>
      </w:tr>
    </w:tbl>
    <w:p w14:paraId="100ADB80" w14:textId="77777777" w:rsidR="00141B97" w:rsidRDefault="00141B97">
      <w:pPr>
        <w:rPr>
          <w:rFonts w:ascii="Times New Roman"/>
          <w:sz w:val="20"/>
        </w:rPr>
        <w:sectPr w:rsidR="00141B97">
          <w:pgSz w:w="11910" w:h="16840"/>
          <w:pgMar w:top="820" w:right="40" w:bottom="760" w:left="1020" w:header="0" w:footer="580" w:gutter="0"/>
          <w:cols w:space="720"/>
        </w:sectPr>
      </w:pPr>
    </w:p>
    <w:p w14:paraId="0B9386EF" w14:textId="335D4CD1" w:rsidR="00141B97" w:rsidRDefault="00911D63">
      <w:pPr>
        <w:pStyle w:val="BodyText"/>
        <w:ind w:left="6919"/>
        <w:rPr>
          <w:sz w:val="20"/>
        </w:rPr>
      </w:pPr>
      <w:r>
        <w:rPr>
          <w:noProof/>
        </w:rPr>
        <w:lastRenderedPageBreak/>
        <mc:AlternateContent>
          <mc:Choice Requires="wps">
            <w:drawing>
              <wp:anchor distT="0" distB="0" distL="114300" distR="114300" simplePos="0" relativeHeight="471443456" behindDoc="1" locked="0" layoutInCell="1" allowOverlap="1" wp14:anchorId="5AAAB0C4" wp14:editId="746DCCF8">
                <wp:simplePos x="0" y="0"/>
                <wp:positionH relativeFrom="page">
                  <wp:posOffset>0</wp:posOffset>
                </wp:positionH>
                <wp:positionV relativeFrom="page">
                  <wp:posOffset>0</wp:posOffset>
                </wp:positionV>
                <wp:extent cx="7556500" cy="10691495"/>
                <wp:effectExtent l="0" t="0" r="0" b="0"/>
                <wp:wrapNone/>
                <wp:docPr id="315"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1495"/>
                        </a:xfrm>
                        <a:prstGeom prst="rect">
                          <a:avLst/>
                        </a:prstGeom>
                        <a:solidFill>
                          <a:srgbClr val="9C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DC45" id="docshape102" o:spid="_x0000_s1026" style="position:absolute;margin-left:0;margin-top:0;width:595pt;height:841.85pt;z-index:-318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" fillcolor="#9cc2e5" stroked="f">
                <w10:wrap anchorx="page" anchory="page"/>
              </v:rect>
            </w:pict>
          </mc:Fallback>
        </mc:AlternateContent>
      </w:r>
      <w:r>
        <w:rPr>
          <w:noProof/>
        </w:rPr>
        <mc:AlternateContent>
          <mc:Choice Requires="wps">
            <w:drawing>
              <wp:anchor distT="0" distB="0" distL="114300" distR="114300" simplePos="0" relativeHeight="15747072" behindDoc="0" locked="0" layoutInCell="1" allowOverlap="1" wp14:anchorId="614C2811" wp14:editId="33860404">
                <wp:simplePos x="0" y="0"/>
                <wp:positionH relativeFrom="page">
                  <wp:posOffset>1019810</wp:posOffset>
                </wp:positionH>
                <wp:positionV relativeFrom="page">
                  <wp:posOffset>7804150</wp:posOffset>
                </wp:positionV>
                <wp:extent cx="6537325" cy="1714500"/>
                <wp:effectExtent l="0" t="0" r="0" b="0"/>
                <wp:wrapNone/>
                <wp:docPr id="314"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7325" cy="1714500"/>
                        </a:xfrm>
                        <a:custGeom>
                          <a:avLst/>
                          <a:gdLst>
                            <a:gd name="T0" fmla="+- 0 3307 1606"/>
                            <a:gd name="T1" fmla="*/ T0 w 10295"/>
                            <a:gd name="T2" fmla="+- 0 12590 12290"/>
                            <a:gd name="T3" fmla="*/ 12590 h 2700"/>
                            <a:gd name="T4" fmla="+- 0 3161 1606"/>
                            <a:gd name="T5" fmla="*/ T4 w 10295"/>
                            <a:gd name="T6" fmla="+- 0 12690 12290"/>
                            <a:gd name="T7" fmla="*/ 12690 h 2700"/>
                            <a:gd name="T8" fmla="+- 0 3227 1606"/>
                            <a:gd name="T9" fmla="*/ T8 w 10295"/>
                            <a:gd name="T10" fmla="+- 0 12790 12290"/>
                            <a:gd name="T11" fmla="*/ 12790 h 2700"/>
                            <a:gd name="T12" fmla="+- 0 3940 1606"/>
                            <a:gd name="T13" fmla="*/ T12 w 10295"/>
                            <a:gd name="T14" fmla="+- 0 12850 12290"/>
                            <a:gd name="T15" fmla="*/ 12850 h 2700"/>
                            <a:gd name="T16" fmla="+- 0 5045 1606"/>
                            <a:gd name="T17" fmla="*/ T16 w 10295"/>
                            <a:gd name="T18" fmla="+- 0 13110 12290"/>
                            <a:gd name="T19" fmla="*/ 13110 h 2700"/>
                            <a:gd name="T20" fmla="+- 0 5783 1606"/>
                            <a:gd name="T21" fmla="*/ T20 w 10295"/>
                            <a:gd name="T22" fmla="+- 0 13410 12290"/>
                            <a:gd name="T23" fmla="*/ 13410 h 2700"/>
                            <a:gd name="T24" fmla="+- 0 6350 1606"/>
                            <a:gd name="T25" fmla="*/ T24 w 10295"/>
                            <a:gd name="T26" fmla="+- 0 13670 12290"/>
                            <a:gd name="T27" fmla="*/ 13670 h 2700"/>
                            <a:gd name="T28" fmla="+- 0 7369 1606"/>
                            <a:gd name="T29" fmla="*/ T28 w 10295"/>
                            <a:gd name="T30" fmla="+- 0 13950 12290"/>
                            <a:gd name="T31" fmla="*/ 13950 h 2700"/>
                            <a:gd name="T32" fmla="+- 0 8123 1606"/>
                            <a:gd name="T33" fmla="*/ T32 w 10295"/>
                            <a:gd name="T34" fmla="+- 0 14070 12290"/>
                            <a:gd name="T35" fmla="*/ 14070 h 2700"/>
                            <a:gd name="T36" fmla="+- 0 9300 1606"/>
                            <a:gd name="T37" fmla="*/ T36 w 10295"/>
                            <a:gd name="T38" fmla="+- 0 14390 12290"/>
                            <a:gd name="T39" fmla="*/ 14390 h 2700"/>
                            <a:gd name="T40" fmla="+- 0 9820 1606"/>
                            <a:gd name="T41" fmla="*/ T40 w 10295"/>
                            <a:gd name="T42" fmla="+- 0 14610 12290"/>
                            <a:gd name="T43" fmla="*/ 14610 h 2700"/>
                            <a:gd name="T44" fmla="+- 0 10354 1606"/>
                            <a:gd name="T45" fmla="*/ T44 w 10295"/>
                            <a:gd name="T46" fmla="+- 0 14810 12290"/>
                            <a:gd name="T47" fmla="*/ 14810 h 2700"/>
                            <a:gd name="T48" fmla="+- 0 11021 1606"/>
                            <a:gd name="T49" fmla="*/ T48 w 10295"/>
                            <a:gd name="T50" fmla="+- 0 14950 12290"/>
                            <a:gd name="T51" fmla="*/ 14950 h 2700"/>
                            <a:gd name="T52" fmla="+- 0 11894 1606"/>
                            <a:gd name="T53" fmla="*/ T52 w 10295"/>
                            <a:gd name="T54" fmla="+- 0 14370 12290"/>
                            <a:gd name="T55" fmla="*/ 14370 h 2700"/>
                            <a:gd name="T56" fmla="+- 0 10920 1606"/>
                            <a:gd name="T57" fmla="*/ T56 w 10295"/>
                            <a:gd name="T58" fmla="+- 0 14070 12290"/>
                            <a:gd name="T59" fmla="*/ 14070 h 2700"/>
                            <a:gd name="T60" fmla="+- 0 10394 1606"/>
                            <a:gd name="T61" fmla="*/ T60 w 10295"/>
                            <a:gd name="T62" fmla="+- 0 13850 12290"/>
                            <a:gd name="T63" fmla="*/ 13850 h 2700"/>
                            <a:gd name="T64" fmla="+- 0 9633 1606"/>
                            <a:gd name="T65" fmla="*/ T64 w 10295"/>
                            <a:gd name="T66" fmla="+- 0 13510 12290"/>
                            <a:gd name="T67" fmla="*/ 13510 h 2700"/>
                            <a:gd name="T68" fmla="+- 0 8633 1606"/>
                            <a:gd name="T69" fmla="*/ T68 w 10295"/>
                            <a:gd name="T70" fmla="+- 0 13270 12290"/>
                            <a:gd name="T71" fmla="*/ 13270 h 2700"/>
                            <a:gd name="T72" fmla="+- 0 8078 1606"/>
                            <a:gd name="T73" fmla="*/ T72 w 10295"/>
                            <a:gd name="T74" fmla="+- 0 13190 12290"/>
                            <a:gd name="T75" fmla="*/ 13190 h 2700"/>
                            <a:gd name="T76" fmla="+- 0 6994 1606"/>
                            <a:gd name="T77" fmla="*/ T76 w 10295"/>
                            <a:gd name="T78" fmla="+- 0 12910 12290"/>
                            <a:gd name="T79" fmla="*/ 12910 h 2700"/>
                            <a:gd name="T80" fmla="+- 0 6475 1606"/>
                            <a:gd name="T81" fmla="*/ T80 w 10295"/>
                            <a:gd name="T82" fmla="+- 0 12690 12290"/>
                            <a:gd name="T83" fmla="*/ 12690 h 2700"/>
                            <a:gd name="T84" fmla="+- 0 5564 1606"/>
                            <a:gd name="T85" fmla="*/ T84 w 10295"/>
                            <a:gd name="T86" fmla="+- 0 12370 12290"/>
                            <a:gd name="T87" fmla="*/ 12370 h 2700"/>
                            <a:gd name="T88" fmla="+- 0 6705 1606"/>
                            <a:gd name="T89" fmla="*/ T88 w 10295"/>
                            <a:gd name="T90" fmla="+- 0 14850 12290"/>
                            <a:gd name="T91" fmla="*/ 14850 h 2700"/>
                            <a:gd name="T92" fmla="+- 0 7026 1606"/>
                            <a:gd name="T93" fmla="*/ T92 w 10295"/>
                            <a:gd name="T94" fmla="+- 0 14810 12290"/>
                            <a:gd name="T95" fmla="*/ 14810 h 2700"/>
                            <a:gd name="T96" fmla="+- 0 2404 1606"/>
                            <a:gd name="T97" fmla="*/ T96 w 10295"/>
                            <a:gd name="T98" fmla="+- 0 13290 12290"/>
                            <a:gd name="T99" fmla="*/ 13290 h 2700"/>
                            <a:gd name="T100" fmla="+- 0 1898 1606"/>
                            <a:gd name="T101" fmla="*/ T100 w 10295"/>
                            <a:gd name="T102" fmla="+- 0 13450 12290"/>
                            <a:gd name="T103" fmla="*/ 13450 h 2700"/>
                            <a:gd name="T104" fmla="+- 0 1622 1606"/>
                            <a:gd name="T105" fmla="*/ T104 w 10295"/>
                            <a:gd name="T106" fmla="+- 0 13610 12290"/>
                            <a:gd name="T107" fmla="*/ 13610 h 2700"/>
                            <a:gd name="T108" fmla="+- 0 1622 1606"/>
                            <a:gd name="T109" fmla="*/ T108 w 10295"/>
                            <a:gd name="T110" fmla="+- 0 13670 12290"/>
                            <a:gd name="T111" fmla="*/ 13670 h 2700"/>
                            <a:gd name="T112" fmla="+- 0 2153 1606"/>
                            <a:gd name="T113" fmla="*/ T112 w 10295"/>
                            <a:gd name="T114" fmla="+- 0 13730 12290"/>
                            <a:gd name="T115" fmla="*/ 13730 h 2700"/>
                            <a:gd name="T116" fmla="+- 0 2735 1606"/>
                            <a:gd name="T117" fmla="*/ T116 w 10295"/>
                            <a:gd name="T118" fmla="+- 0 13830 12290"/>
                            <a:gd name="T119" fmla="*/ 13830 h 2700"/>
                            <a:gd name="T120" fmla="+- 0 3926 1606"/>
                            <a:gd name="T121" fmla="*/ T120 w 10295"/>
                            <a:gd name="T122" fmla="+- 0 14190 12290"/>
                            <a:gd name="T123" fmla="*/ 14190 h 2700"/>
                            <a:gd name="T124" fmla="+- 0 4439 1606"/>
                            <a:gd name="T125" fmla="*/ T124 w 10295"/>
                            <a:gd name="T126" fmla="+- 0 14390 12290"/>
                            <a:gd name="T127" fmla="*/ 14390 h 2700"/>
                            <a:gd name="T128" fmla="+- 0 5137 1606"/>
                            <a:gd name="T129" fmla="*/ T128 w 10295"/>
                            <a:gd name="T130" fmla="+- 0 14650 12290"/>
                            <a:gd name="T131" fmla="*/ 14650 h 2700"/>
                            <a:gd name="T132" fmla="+- 0 7099 1606"/>
                            <a:gd name="T133" fmla="*/ T132 w 10295"/>
                            <a:gd name="T134" fmla="+- 0 14810 12290"/>
                            <a:gd name="T135" fmla="*/ 14810 h 2700"/>
                            <a:gd name="T136" fmla="+- 0 7704 1606"/>
                            <a:gd name="T137" fmla="*/ T136 w 10295"/>
                            <a:gd name="T138" fmla="+- 0 14650 12290"/>
                            <a:gd name="T139" fmla="*/ 14650 h 2700"/>
                            <a:gd name="T140" fmla="+- 0 8015 1606"/>
                            <a:gd name="T141" fmla="*/ T140 w 10295"/>
                            <a:gd name="T142" fmla="+- 0 14490 12290"/>
                            <a:gd name="T143" fmla="*/ 14490 h 2700"/>
                            <a:gd name="T144" fmla="+- 0 8035 1606"/>
                            <a:gd name="T145" fmla="*/ T144 w 10295"/>
                            <a:gd name="T146" fmla="+- 0 14410 12290"/>
                            <a:gd name="T147" fmla="*/ 14410 h 2700"/>
                            <a:gd name="T148" fmla="+- 0 7759 1606"/>
                            <a:gd name="T149" fmla="*/ T148 w 10295"/>
                            <a:gd name="T150" fmla="+- 0 14350 12290"/>
                            <a:gd name="T151" fmla="*/ 14350 h 2700"/>
                            <a:gd name="T152" fmla="+- 0 6964 1606"/>
                            <a:gd name="T153" fmla="*/ T152 w 10295"/>
                            <a:gd name="T154" fmla="+- 0 14250 12290"/>
                            <a:gd name="T155" fmla="*/ 14250 h 2700"/>
                            <a:gd name="T156" fmla="+- 0 5851 1606"/>
                            <a:gd name="T157" fmla="*/ T156 w 10295"/>
                            <a:gd name="T158" fmla="+- 0 13970 12290"/>
                            <a:gd name="T159" fmla="*/ 13970 h 2700"/>
                            <a:gd name="T160" fmla="+- 0 5168 1606"/>
                            <a:gd name="T161" fmla="*/ T160 w 10295"/>
                            <a:gd name="T162" fmla="+- 0 13690 12290"/>
                            <a:gd name="T163" fmla="*/ 13690 h 2700"/>
                            <a:gd name="T164" fmla="+- 0 4282 1606"/>
                            <a:gd name="T165" fmla="*/ T164 w 10295"/>
                            <a:gd name="T166" fmla="+- 0 13350 12290"/>
                            <a:gd name="T167" fmla="*/ 13350 h 2700"/>
                            <a:gd name="T168" fmla="+- 0 3636 1606"/>
                            <a:gd name="T169" fmla="*/ T168 w 10295"/>
                            <a:gd name="T170" fmla="+- 0 13210 12290"/>
                            <a:gd name="T171" fmla="*/ 13210 h 2700"/>
                            <a:gd name="T172" fmla="+- 0 9146 1606"/>
                            <a:gd name="T173" fmla="*/ T172 w 10295"/>
                            <a:gd name="T174" fmla="+- 0 12970 12290"/>
                            <a:gd name="T175" fmla="*/ 12970 h 2700"/>
                            <a:gd name="T176" fmla="+- 0 10536 1606"/>
                            <a:gd name="T177" fmla="*/ T176 w 10295"/>
                            <a:gd name="T178" fmla="+- 0 13370 12290"/>
                            <a:gd name="T179" fmla="*/ 13370 h 2700"/>
                            <a:gd name="T180" fmla="+- 0 11054 1606"/>
                            <a:gd name="T181" fmla="*/ T180 w 10295"/>
                            <a:gd name="T182" fmla="+- 0 13590 12290"/>
                            <a:gd name="T183" fmla="*/ 13590 h 2700"/>
                            <a:gd name="T184" fmla="+- 0 11501 1606"/>
                            <a:gd name="T185" fmla="*/ T184 w 10295"/>
                            <a:gd name="T186" fmla="+- 0 13770 12290"/>
                            <a:gd name="T187" fmla="*/ 13770 h 2700"/>
                            <a:gd name="T188" fmla="+- 0 3011 1606"/>
                            <a:gd name="T189" fmla="*/ T188 w 10295"/>
                            <a:gd name="T190" fmla="+- 0 13190 12290"/>
                            <a:gd name="T191" fmla="*/ 13190 h 2700"/>
                            <a:gd name="T192" fmla="+- 0 8664 1606"/>
                            <a:gd name="T193" fmla="*/ T192 w 10295"/>
                            <a:gd name="T194" fmla="+- 0 12550 12290"/>
                            <a:gd name="T195" fmla="*/ 12550 h 2700"/>
                            <a:gd name="T196" fmla="+- 0 8255 1606"/>
                            <a:gd name="T197" fmla="*/ T196 w 10295"/>
                            <a:gd name="T198" fmla="+- 0 12750 12290"/>
                            <a:gd name="T199" fmla="*/ 12750 h 2700"/>
                            <a:gd name="T200" fmla="+- 0 8209 1606"/>
                            <a:gd name="T201" fmla="*/ T200 w 10295"/>
                            <a:gd name="T202" fmla="+- 0 12850 12290"/>
                            <a:gd name="T203" fmla="*/ 12850 h 2700"/>
                            <a:gd name="T204" fmla="+- 0 8673 1606"/>
                            <a:gd name="T205" fmla="*/ T204 w 10295"/>
                            <a:gd name="T206" fmla="+- 0 12910 12290"/>
                            <a:gd name="T207" fmla="*/ 12910 h 2700"/>
                            <a:gd name="T208" fmla="+- 0 11381 1606"/>
                            <a:gd name="T209" fmla="*/ T208 w 10295"/>
                            <a:gd name="T210" fmla="+- 0 12710 12290"/>
                            <a:gd name="T211" fmla="*/ 12710 h 2700"/>
                            <a:gd name="T212" fmla="+- 0 9280 1606"/>
                            <a:gd name="T213" fmla="*/ T212 w 10295"/>
                            <a:gd name="T214" fmla="+- 0 12410 12290"/>
                            <a:gd name="T215" fmla="*/ 12410 h 2700"/>
                            <a:gd name="T216" fmla="+- 0 9359 1606"/>
                            <a:gd name="T217" fmla="*/ T216 w 10295"/>
                            <a:gd name="T218" fmla="+- 0 12410 12290"/>
                            <a:gd name="T219" fmla="*/ 12410 h 2700"/>
                            <a:gd name="T220" fmla="+- 0 9921 1606"/>
                            <a:gd name="T221" fmla="*/ T220 w 10295"/>
                            <a:gd name="T222" fmla="+- 0 12390 12290"/>
                            <a:gd name="T223" fmla="*/ 12390 h 2700"/>
                            <a:gd name="T224" fmla="+- 0 5153 1606"/>
                            <a:gd name="T225" fmla="*/ T224 w 10295"/>
                            <a:gd name="T226" fmla="+- 0 12310 12290"/>
                            <a:gd name="T227" fmla="*/ 12310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95" h="2700">
                              <a:moveTo>
                                <a:pt x="3712" y="40"/>
                              </a:moveTo>
                              <a:lnTo>
                                <a:pt x="2548" y="40"/>
                              </a:lnTo>
                              <a:lnTo>
                                <a:pt x="1919" y="200"/>
                              </a:lnTo>
                              <a:lnTo>
                                <a:pt x="1845" y="240"/>
                              </a:lnTo>
                              <a:lnTo>
                                <a:pt x="1772" y="280"/>
                              </a:lnTo>
                              <a:lnTo>
                                <a:pt x="1701" y="300"/>
                              </a:lnTo>
                              <a:lnTo>
                                <a:pt x="1669" y="320"/>
                              </a:lnTo>
                              <a:lnTo>
                                <a:pt x="1640" y="340"/>
                              </a:lnTo>
                              <a:lnTo>
                                <a:pt x="1614" y="360"/>
                              </a:lnTo>
                              <a:lnTo>
                                <a:pt x="1591" y="380"/>
                              </a:lnTo>
                              <a:lnTo>
                                <a:pt x="1570" y="400"/>
                              </a:lnTo>
                              <a:lnTo>
                                <a:pt x="1555" y="400"/>
                              </a:lnTo>
                              <a:lnTo>
                                <a:pt x="1542" y="420"/>
                              </a:lnTo>
                              <a:lnTo>
                                <a:pt x="1526" y="440"/>
                              </a:lnTo>
                              <a:lnTo>
                                <a:pt x="1530" y="460"/>
                              </a:lnTo>
                              <a:lnTo>
                                <a:pt x="1547" y="480"/>
                              </a:lnTo>
                              <a:lnTo>
                                <a:pt x="1596" y="480"/>
                              </a:lnTo>
                              <a:lnTo>
                                <a:pt x="1621" y="500"/>
                              </a:lnTo>
                              <a:lnTo>
                                <a:pt x="1781" y="500"/>
                              </a:lnTo>
                              <a:lnTo>
                                <a:pt x="1860" y="520"/>
                              </a:lnTo>
                              <a:lnTo>
                                <a:pt x="2098" y="520"/>
                              </a:lnTo>
                              <a:lnTo>
                                <a:pt x="2176" y="540"/>
                              </a:lnTo>
                              <a:lnTo>
                                <a:pt x="2255" y="540"/>
                              </a:lnTo>
                              <a:lnTo>
                                <a:pt x="2334" y="560"/>
                              </a:lnTo>
                              <a:lnTo>
                                <a:pt x="2414" y="560"/>
                              </a:lnTo>
                              <a:lnTo>
                                <a:pt x="2576" y="600"/>
                              </a:lnTo>
                              <a:lnTo>
                                <a:pt x="2660" y="600"/>
                              </a:lnTo>
                              <a:lnTo>
                                <a:pt x="2839" y="640"/>
                              </a:lnTo>
                              <a:lnTo>
                                <a:pt x="3365" y="780"/>
                              </a:lnTo>
                              <a:lnTo>
                                <a:pt x="3439" y="820"/>
                              </a:lnTo>
                              <a:lnTo>
                                <a:pt x="3586" y="860"/>
                              </a:lnTo>
                              <a:lnTo>
                                <a:pt x="3661" y="900"/>
                              </a:lnTo>
                              <a:lnTo>
                                <a:pt x="3891" y="980"/>
                              </a:lnTo>
                              <a:lnTo>
                                <a:pt x="3964" y="1020"/>
                              </a:lnTo>
                              <a:lnTo>
                                <a:pt x="4035" y="1040"/>
                              </a:lnTo>
                              <a:lnTo>
                                <a:pt x="4177" y="1120"/>
                              </a:lnTo>
                              <a:lnTo>
                                <a:pt x="4248" y="1140"/>
                              </a:lnTo>
                              <a:lnTo>
                                <a:pt x="4459" y="1260"/>
                              </a:lnTo>
                              <a:lnTo>
                                <a:pt x="4529" y="1280"/>
                              </a:lnTo>
                              <a:lnTo>
                                <a:pt x="4600" y="1320"/>
                              </a:lnTo>
                              <a:lnTo>
                                <a:pt x="4672" y="1340"/>
                              </a:lnTo>
                              <a:lnTo>
                                <a:pt x="4744" y="1380"/>
                              </a:lnTo>
                              <a:lnTo>
                                <a:pt x="4818" y="1400"/>
                              </a:lnTo>
                              <a:lnTo>
                                <a:pt x="4886" y="1440"/>
                              </a:lnTo>
                              <a:lnTo>
                                <a:pt x="5220" y="1540"/>
                              </a:lnTo>
                              <a:lnTo>
                                <a:pt x="5529" y="1620"/>
                              </a:lnTo>
                              <a:lnTo>
                                <a:pt x="5607" y="1620"/>
                              </a:lnTo>
                              <a:lnTo>
                                <a:pt x="5763" y="1660"/>
                              </a:lnTo>
                              <a:lnTo>
                                <a:pt x="5841" y="1660"/>
                              </a:lnTo>
                              <a:lnTo>
                                <a:pt x="5998" y="1700"/>
                              </a:lnTo>
                              <a:lnTo>
                                <a:pt x="6155" y="1720"/>
                              </a:lnTo>
                              <a:lnTo>
                                <a:pt x="6234" y="1720"/>
                              </a:lnTo>
                              <a:lnTo>
                                <a:pt x="6313" y="1740"/>
                              </a:lnTo>
                              <a:lnTo>
                                <a:pt x="6517" y="1780"/>
                              </a:lnTo>
                              <a:lnTo>
                                <a:pt x="6656" y="1800"/>
                              </a:lnTo>
                              <a:lnTo>
                                <a:pt x="7346" y="1980"/>
                              </a:lnTo>
                              <a:lnTo>
                                <a:pt x="7430" y="2020"/>
                              </a:lnTo>
                              <a:lnTo>
                                <a:pt x="7516" y="2040"/>
                              </a:lnTo>
                              <a:lnTo>
                                <a:pt x="7604" y="2080"/>
                              </a:lnTo>
                              <a:lnTo>
                                <a:pt x="7694" y="2100"/>
                              </a:lnTo>
                              <a:lnTo>
                                <a:pt x="7846" y="2180"/>
                              </a:lnTo>
                              <a:lnTo>
                                <a:pt x="7920" y="2200"/>
                              </a:lnTo>
                              <a:lnTo>
                                <a:pt x="7994" y="2240"/>
                              </a:lnTo>
                              <a:lnTo>
                                <a:pt x="8067" y="2260"/>
                              </a:lnTo>
                              <a:lnTo>
                                <a:pt x="8141" y="2300"/>
                              </a:lnTo>
                              <a:lnTo>
                                <a:pt x="8214" y="2320"/>
                              </a:lnTo>
                              <a:lnTo>
                                <a:pt x="8288" y="2360"/>
                              </a:lnTo>
                              <a:lnTo>
                                <a:pt x="8362" y="2380"/>
                              </a:lnTo>
                              <a:lnTo>
                                <a:pt x="8436" y="2420"/>
                              </a:lnTo>
                              <a:lnTo>
                                <a:pt x="8512" y="2440"/>
                              </a:lnTo>
                              <a:lnTo>
                                <a:pt x="8589" y="2480"/>
                              </a:lnTo>
                              <a:lnTo>
                                <a:pt x="8748" y="2520"/>
                              </a:lnTo>
                              <a:lnTo>
                                <a:pt x="8857" y="2540"/>
                              </a:lnTo>
                              <a:lnTo>
                                <a:pt x="8964" y="2580"/>
                              </a:lnTo>
                              <a:lnTo>
                                <a:pt x="9037" y="2600"/>
                              </a:lnTo>
                              <a:lnTo>
                                <a:pt x="9112" y="2600"/>
                              </a:lnTo>
                              <a:lnTo>
                                <a:pt x="9338" y="2660"/>
                              </a:lnTo>
                              <a:lnTo>
                                <a:pt x="9415" y="2660"/>
                              </a:lnTo>
                              <a:lnTo>
                                <a:pt x="9491" y="2680"/>
                              </a:lnTo>
                              <a:lnTo>
                                <a:pt x="9568" y="2680"/>
                              </a:lnTo>
                              <a:lnTo>
                                <a:pt x="9644" y="2700"/>
                              </a:lnTo>
                              <a:lnTo>
                                <a:pt x="10294" y="2700"/>
                              </a:lnTo>
                              <a:lnTo>
                                <a:pt x="10294" y="2080"/>
                              </a:lnTo>
                              <a:lnTo>
                                <a:pt x="10288" y="2080"/>
                              </a:lnTo>
                              <a:lnTo>
                                <a:pt x="10004" y="2020"/>
                              </a:lnTo>
                              <a:lnTo>
                                <a:pt x="9904" y="1980"/>
                              </a:lnTo>
                              <a:lnTo>
                                <a:pt x="9608" y="1900"/>
                              </a:lnTo>
                              <a:lnTo>
                                <a:pt x="9534" y="1860"/>
                              </a:lnTo>
                              <a:lnTo>
                                <a:pt x="9387" y="1820"/>
                              </a:lnTo>
                              <a:lnTo>
                                <a:pt x="9314" y="1780"/>
                              </a:lnTo>
                              <a:lnTo>
                                <a:pt x="9242" y="1760"/>
                              </a:lnTo>
                              <a:lnTo>
                                <a:pt x="9170" y="1720"/>
                              </a:lnTo>
                              <a:lnTo>
                                <a:pt x="9099" y="1700"/>
                              </a:lnTo>
                              <a:lnTo>
                                <a:pt x="9028" y="1660"/>
                              </a:lnTo>
                              <a:lnTo>
                                <a:pt x="8910" y="1620"/>
                              </a:lnTo>
                              <a:lnTo>
                                <a:pt x="8788" y="1560"/>
                              </a:lnTo>
                              <a:lnTo>
                                <a:pt x="8489" y="1400"/>
                              </a:lnTo>
                              <a:lnTo>
                                <a:pt x="8414" y="1380"/>
                              </a:lnTo>
                              <a:lnTo>
                                <a:pt x="8261" y="1300"/>
                              </a:lnTo>
                              <a:lnTo>
                                <a:pt x="8183" y="1280"/>
                              </a:lnTo>
                              <a:lnTo>
                                <a:pt x="8106" y="1240"/>
                              </a:lnTo>
                              <a:lnTo>
                                <a:pt x="8027" y="1220"/>
                              </a:lnTo>
                              <a:lnTo>
                                <a:pt x="7948" y="1180"/>
                              </a:lnTo>
                              <a:lnTo>
                                <a:pt x="7736" y="1120"/>
                              </a:lnTo>
                              <a:lnTo>
                                <a:pt x="7344" y="1020"/>
                              </a:lnTo>
                              <a:lnTo>
                                <a:pt x="7265" y="1020"/>
                              </a:lnTo>
                              <a:lnTo>
                                <a:pt x="7106" y="980"/>
                              </a:lnTo>
                              <a:lnTo>
                                <a:pt x="7027" y="980"/>
                              </a:lnTo>
                              <a:lnTo>
                                <a:pt x="6948" y="960"/>
                              </a:lnTo>
                              <a:lnTo>
                                <a:pt x="6869" y="960"/>
                              </a:lnTo>
                              <a:lnTo>
                                <a:pt x="6710" y="920"/>
                              </a:lnTo>
                              <a:lnTo>
                                <a:pt x="6631" y="920"/>
                              </a:lnTo>
                              <a:lnTo>
                                <a:pt x="6551" y="900"/>
                              </a:lnTo>
                              <a:lnTo>
                                <a:pt x="6472" y="900"/>
                              </a:lnTo>
                              <a:lnTo>
                                <a:pt x="6393" y="880"/>
                              </a:lnTo>
                              <a:lnTo>
                                <a:pt x="6314" y="880"/>
                              </a:lnTo>
                              <a:lnTo>
                                <a:pt x="5686" y="720"/>
                              </a:lnTo>
                              <a:lnTo>
                                <a:pt x="5540" y="680"/>
                              </a:lnTo>
                              <a:lnTo>
                                <a:pt x="5464" y="640"/>
                              </a:lnTo>
                              <a:lnTo>
                                <a:pt x="5388" y="620"/>
                              </a:lnTo>
                              <a:lnTo>
                                <a:pt x="5308" y="580"/>
                              </a:lnTo>
                              <a:lnTo>
                                <a:pt x="5233" y="560"/>
                              </a:lnTo>
                              <a:lnTo>
                                <a:pt x="5086" y="480"/>
                              </a:lnTo>
                              <a:lnTo>
                                <a:pt x="5013" y="460"/>
                              </a:lnTo>
                              <a:lnTo>
                                <a:pt x="4941" y="420"/>
                              </a:lnTo>
                              <a:lnTo>
                                <a:pt x="4869" y="400"/>
                              </a:lnTo>
                              <a:lnTo>
                                <a:pt x="4723" y="320"/>
                              </a:lnTo>
                              <a:lnTo>
                                <a:pt x="4649" y="300"/>
                              </a:lnTo>
                              <a:lnTo>
                                <a:pt x="4573" y="260"/>
                              </a:lnTo>
                              <a:lnTo>
                                <a:pt x="4418" y="220"/>
                              </a:lnTo>
                              <a:lnTo>
                                <a:pt x="4202" y="140"/>
                              </a:lnTo>
                              <a:lnTo>
                                <a:pt x="3958" y="80"/>
                              </a:lnTo>
                              <a:lnTo>
                                <a:pt x="3876" y="80"/>
                              </a:lnTo>
                              <a:lnTo>
                                <a:pt x="3712" y="40"/>
                              </a:lnTo>
                              <a:close/>
                              <a:moveTo>
                                <a:pt x="5179" y="2540"/>
                              </a:moveTo>
                              <a:lnTo>
                                <a:pt x="4461" y="2540"/>
                              </a:lnTo>
                              <a:lnTo>
                                <a:pt x="4540" y="2560"/>
                              </a:lnTo>
                              <a:lnTo>
                                <a:pt x="5099" y="2560"/>
                              </a:lnTo>
                              <a:lnTo>
                                <a:pt x="5179" y="2540"/>
                              </a:lnTo>
                              <a:close/>
                              <a:moveTo>
                                <a:pt x="5420" y="2520"/>
                              </a:moveTo>
                              <a:lnTo>
                                <a:pt x="4302" y="2520"/>
                              </a:lnTo>
                              <a:lnTo>
                                <a:pt x="4381" y="2540"/>
                              </a:lnTo>
                              <a:lnTo>
                                <a:pt x="5340" y="2540"/>
                              </a:lnTo>
                              <a:lnTo>
                                <a:pt x="5420" y="2520"/>
                              </a:lnTo>
                              <a:close/>
                              <a:moveTo>
                                <a:pt x="2030" y="920"/>
                              </a:moveTo>
                              <a:lnTo>
                                <a:pt x="1171" y="920"/>
                              </a:lnTo>
                              <a:lnTo>
                                <a:pt x="1016" y="960"/>
                              </a:lnTo>
                              <a:lnTo>
                                <a:pt x="938" y="960"/>
                              </a:lnTo>
                              <a:lnTo>
                                <a:pt x="866" y="980"/>
                              </a:lnTo>
                              <a:lnTo>
                                <a:pt x="798" y="1000"/>
                              </a:lnTo>
                              <a:lnTo>
                                <a:pt x="730" y="1000"/>
                              </a:lnTo>
                              <a:lnTo>
                                <a:pt x="650" y="1020"/>
                              </a:lnTo>
                              <a:lnTo>
                                <a:pt x="571" y="1060"/>
                              </a:lnTo>
                              <a:lnTo>
                                <a:pt x="416" y="1100"/>
                              </a:lnTo>
                              <a:lnTo>
                                <a:pt x="338" y="1140"/>
                              </a:lnTo>
                              <a:lnTo>
                                <a:pt x="292" y="1160"/>
                              </a:lnTo>
                              <a:lnTo>
                                <a:pt x="250" y="1180"/>
                              </a:lnTo>
                              <a:lnTo>
                                <a:pt x="144" y="1220"/>
                              </a:lnTo>
                              <a:lnTo>
                                <a:pt x="93" y="1260"/>
                              </a:lnTo>
                              <a:lnTo>
                                <a:pt x="45" y="1300"/>
                              </a:lnTo>
                              <a:lnTo>
                                <a:pt x="28" y="1300"/>
                              </a:lnTo>
                              <a:lnTo>
                                <a:pt x="16" y="1320"/>
                              </a:lnTo>
                              <a:lnTo>
                                <a:pt x="8" y="1340"/>
                              </a:lnTo>
                              <a:lnTo>
                                <a:pt x="2" y="1340"/>
                              </a:lnTo>
                              <a:lnTo>
                                <a:pt x="0" y="1360"/>
                              </a:lnTo>
                              <a:lnTo>
                                <a:pt x="2" y="1360"/>
                              </a:lnTo>
                              <a:lnTo>
                                <a:pt x="8" y="1380"/>
                              </a:lnTo>
                              <a:lnTo>
                                <a:pt x="16" y="1380"/>
                              </a:lnTo>
                              <a:lnTo>
                                <a:pt x="53" y="1400"/>
                              </a:lnTo>
                              <a:lnTo>
                                <a:pt x="143" y="1400"/>
                              </a:lnTo>
                              <a:lnTo>
                                <a:pt x="182" y="1420"/>
                              </a:lnTo>
                              <a:lnTo>
                                <a:pt x="356" y="1420"/>
                              </a:lnTo>
                              <a:lnTo>
                                <a:pt x="465" y="1440"/>
                              </a:lnTo>
                              <a:lnTo>
                                <a:pt x="547" y="1440"/>
                              </a:lnTo>
                              <a:lnTo>
                                <a:pt x="629" y="1460"/>
                              </a:lnTo>
                              <a:lnTo>
                                <a:pt x="711" y="1460"/>
                              </a:lnTo>
                              <a:lnTo>
                                <a:pt x="875" y="1500"/>
                              </a:lnTo>
                              <a:lnTo>
                                <a:pt x="956" y="1500"/>
                              </a:lnTo>
                              <a:lnTo>
                                <a:pt x="1040" y="1520"/>
                              </a:lnTo>
                              <a:lnTo>
                                <a:pt x="1129" y="1540"/>
                              </a:lnTo>
                              <a:lnTo>
                                <a:pt x="1315" y="1580"/>
                              </a:lnTo>
                              <a:lnTo>
                                <a:pt x="1848" y="1720"/>
                              </a:lnTo>
                              <a:lnTo>
                                <a:pt x="1923" y="1760"/>
                              </a:lnTo>
                              <a:lnTo>
                                <a:pt x="2072" y="1800"/>
                              </a:lnTo>
                              <a:lnTo>
                                <a:pt x="2196" y="1840"/>
                              </a:lnTo>
                              <a:lnTo>
                                <a:pt x="2320" y="1900"/>
                              </a:lnTo>
                              <a:lnTo>
                                <a:pt x="2395" y="1920"/>
                              </a:lnTo>
                              <a:lnTo>
                                <a:pt x="2469" y="1960"/>
                              </a:lnTo>
                              <a:lnTo>
                                <a:pt x="2542" y="1980"/>
                              </a:lnTo>
                              <a:lnTo>
                                <a:pt x="2615" y="2020"/>
                              </a:lnTo>
                              <a:lnTo>
                                <a:pt x="2688" y="2040"/>
                              </a:lnTo>
                              <a:lnTo>
                                <a:pt x="2833" y="2100"/>
                              </a:lnTo>
                              <a:lnTo>
                                <a:pt x="2978" y="2180"/>
                              </a:lnTo>
                              <a:lnTo>
                                <a:pt x="3051" y="2200"/>
                              </a:lnTo>
                              <a:lnTo>
                                <a:pt x="3125" y="2240"/>
                              </a:lnTo>
                              <a:lnTo>
                                <a:pt x="3199" y="2260"/>
                              </a:lnTo>
                              <a:lnTo>
                                <a:pt x="3422" y="2340"/>
                              </a:lnTo>
                              <a:lnTo>
                                <a:pt x="3531" y="2360"/>
                              </a:lnTo>
                              <a:lnTo>
                                <a:pt x="3640" y="2400"/>
                              </a:lnTo>
                              <a:lnTo>
                                <a:pt x="3748" y="2420"/>
                              </a:lnTo>
                              <a:lnTo>
                                <a:pt x="4064" y="2500"/>
                              </a:lnTo>
                              <a:lnTo>
                                <a:pt x="4143" y="2500"/>
                              </a:lnTo>
                              <a:lnTo>
                                <a:pt x="4222" y="2520"/>
                              </a:lnTo>
                              <a:lnTo>
                                <a:pt x="5493" y="2520"/>
                              </a:lnTo>
                              <a:lnTo>
                                <a:pt x="5635" y="2480"/>
                              </a:lnTo>
                              <a:lnTo>
                                <a:pt x="5719" y="2480"/>
                              </a:lnTo>
                              <a:lnTo>
                                <a:pt x="5803" y="2460"/>
                              </a:lnTo>
                              <a:lnTo>
                                <a:pt x="5886" y="2420"/>
                              </a:lnTo>
                              <a:lnTo>
                                <a:pt x="6050" y="2380"/>
                              </a:lnTo>
                              <a:lnTo>
                                <a:pt x="6098" y="2360"/>
                              </a:lnTo>
                              <a:lnTo>
                                <a:pt x="6142" y="2340"/>
                              </a:lnTo>
                              <a:lnTo>
                                <a:pt x="6205" y="2320"/>
                              </a:lnTo>
                              <a:lnTo>
                                <a:pt x="6272" y="2280"/>
                              </a:lnTo>
                              <a:lnTo>
                                <a:pt x="6336" y="2260"/>
                              </a:lnTo>
                              <a:lnTo>
                                <a:pt x="6392" y="2220"/>
                              </a:lnTo>
                              <a:lnTo>
                                <a:pt x="6409" y="2200"/>
                              </a:lnTo>
                              <a:lnTo>
                                <a:pt x="6421" y="2180"/>
                              </a:lnTo>
                              <a:lnTo>
                                <a:pt x="6430" y="2180"/>
                              </a:lnTo>
                              <a:lnTo>
                                <a:pt x="6435" y="2160"/>
                              </a:lnTo>
                              <a:lnTo>
                                <a:pt x="6438" y="2140"/>
                              </a:lnTo>
                              <a:lnTo>
                                <a:pt x="6435" y="2140"/>
                              </a:lnTo>
                              <a:lnTo>
                                <a:pt x="6429" y="2120"/>
                              </a:lnTo>
                              <a:lnTo>
                                <a:pt x="6420" y="2120"/>
                              </a:lnTo>
                              <a:lnTo>
                                <a:pt x="6404" y="2100"/>
                              </a:lnTo>
                              <a:lnTo>
                                <a:pt x="6386" y="2100"/>
                              </a:lnTo>
                              <a:lnTo>
                                <a:pt x="6329" y="2080"/>
                              </a:lnTo>
                              <a:lnTo>
                                <a:pt x="6212" y="2080"/>
                              </a:lnTo>
                              <a:lnTo>
                                <a:pt x="6153" y="2060"/>
                              </a:lnTo>
                              <a:lnTo>
                                <a:pt x="5942" y="2040"/>
                              </a:lnTo>
                              <a:lnTo>
                                <a:pt x="5817" y="2020"/>
                              </a:lnTo>
                              <a:lnTo>
                                <a:pt x="5664" y="2020"/>
                              </a:lnTo>
                              <a:lnTo>
                                <a:pt x="5511" y="1980"/>
                              </a:lnTo>
                              <a:lnTo>
                                <a:pt x="5434" y="1980"/>
                              </a:lnTo>
                              <a:lnTo>
                                <a:pt x="5358" y="1960"/>
                              </a:lnTo>
                              <a:lnTo>
                                <a:pt x="5282" y="1960"/>
                              </a:lnTo>
                              <a:lnTo>
                                <a:pt x="5008" y="1900"/>
                              </a:lnTo>
                              <a:lnTo>
                                <a:pt x="4912" y="1880"/>
                              </a:lnTo>
                              <a:lnTo>
                                <a:pt x="4613" y="1800"/>
                              </a:lnTo>
                              <a:lnTo>
                                <a:pt x="4539" y="1760"/>
                              </a:lnTo>
                              <a:lnTo>
                                <a:pt x="4245" y="1680"/>
                              </a:lnTo>
                              <a:lnTo>
                                <a:pt x="4172" y="1640"/>
                              </a:lnTo>
                              <a:lnTo>
                                <a:pt x="3939" y="1560"/>
                              </a:lnTo>
                              <a:lnTo>
                                <a:pt x="3862" y="1520"/>
                              </a:lnTo>
                              <a:lnTo>
                                <a:pt x="3786" y="1500"/>
                              </a:lnTo>
                              <a:lnTo>
                                <a:pt x="3636" y="1420"/>
                              </a:lnTo>
                              <a:lnTo>
                                <a:pt x="3562" y="1400"/>
                              </a:lnTo>
                              <a:lnTo>
                                <a:pt x="3414" y="1320"/>
                              </a:lnTo>
                              <a:lnTo>
                                <a:pt x="3340" y="1300"/>
                              </a:lnTo>
                              <a:lnTo>
                                <a:pt x="3189" y="1220"/>
                              </a:lnTo>
                              <a:lnTo>
                                <a:pt x="3112" y="1200"/>
                              </a:lnTo>
                              <a:lnTo>
                                <a:pt x="2784" y="1080"/>
                              </a:lnTo>
                              <a:lnTo>
                                <a:pt x="2676" y="1060"/>
                              </a:lnTo>
                              <a:lnTo>
                                <a:pt x="2570" y="1020"/>
                              </a:lnTo>
                              <a:lnTo>
                                <a:pt x="2417" y="980"/>
                              </a:lnTo>
                              <a:lnTo>
                                <a:pt x="2340" y="980"/>
                              </a:lnTo>
                              <a:lnTo>
                                <a:pt x="2185" y="940"/>
                              </a:lnTo>
                              <a:lnTo>
                                <a:pt x="2107" y="940"/>
                              </a:lnTo>
                              <a:lnTo>
                                <a:pt x="2030" y="920"/>
                              </a:lnTo>
                              <a:close/>
                              <a:moveTo>
                                <a:pt x="10294" y="640"/>
                              </a:moveTo>
                              <a:lnTo>
                                <a:pt x="7224" y="640"/>
                              </a:lnTo>
                              <a:lnTo>
                                <a:pt x="7303" y="660"/>
                              </a:lnTo>
                              <a:lnTo>
                                <a:pt x="7382" y="660"/>
                              </a:lnTo>
                              <a:lnTo>
                                <a:pt x="7460" y="680"/>
                              </a:lnTo>
                              <a:lnTo>
                                <a:pt x="7540" y="680"/>
                              </a:lnTo>
                              <a:lnTo>
                                <a:pt x="7712" y="720"/>
                              </a:lnTo>
                              <a:lnTo>
                                <a:pt x="8539" y="940"/>
                              </a:lnTo>
                              <a:lnTo>
                                <a:pt x="8656" y="980"/>
                              </a:lnTo>
                              <a:lnTo>
                                <a:pt x="8779" y="1020"/>
                              </a:lnTo>
                              <a:lnTo>
                                <a:pt x="8855" y="1060"/>
                              </a:lnTo>
                              <a:lnTo>
                                <a:pt x="8930" y="1080"/>
                              </a:lnTo>
                              <a:lnTo>
                                <a:pt x="9005" y="1120"/>
                              </a:lnTo>
                              <a:lnTo>
                                <a:pt x="9080" y="1140"/>
                              </a:lnTo>
                              <a:lnTo>
                                <a:pt x="9154" y="1180"/>
                              </a:lnTo>
                              <a:lnTo>
                                <a:pt x="9228" y="1200"/>
                              </a:lnTo>
                              <a:lnTo>
                                <a:pt x="9375" y="1280"/>
                              </a:lnTo>
                              <a:lnTo>
                                <a:pt x="9448" y="1300"/>
                              </a:lnTo>
                              <a:lnTo>
                                <a:pt x="9522" y="1340"/>
                              </a:lnTo>
                              <a:lnTo>
                                <a:pt x="9596" y="1360"/>
                              </a:lnTo>
                              <a:lnTo>
                                <a:pt x="9670" y="1400"/>
                              </a:lnTo>
                              <a:lnTo>
                                <a:pt x="9744" y="1420"/>
                              </a:lnTo>
                              <a:lnTo>
                                <a:pt x="9819" y="1460"/>
                              </a:lnTo>
                              <a:lnTo>
                                <a:pt x="9895" y="1480"/>
                              </a:lnTo>
                              <a:lnTo>
                                <a:pt x="10116" y="1560"/>
                              </a:lnTo>
                              <a:lnTo>
                                <a:pt x="10225" y="1580"/>
                              </a:lnTo>
                              <a:lnTo>
                                <a:pt x="10294" y="1600"/>
                              </a:lnTo>
                              <a:lnTo>
                                <a:pt x="10294" y="640"/>
                              </a:lnTo>
                              <a:close/>
                              <a:moveTo>
                                <a:pt x="1796" y="900"/>
                              </a:moveTo>
                              <a:lnTo>
                                <a:pt x="1405" y="900"/>
                              </a:lnTo>
                              <a:lnTo>
                                <a:pt x="1327" y="920"/>
                              </a:lnTo>
                              <a:lnTo>
                                <a:pt x="1874" y="920"/>
                              </a:lnTo>
                              <a:lnTo>
                                <a:pt x="1796" y="900"/>
                              </a:lnTo>
                              <a:close/>
                              <a:moveTo>
                                <a:pt x="8865" y="140"/>
                              </a:moveTo>
                              <a:lnTo>
                                <a:pt x="7518" y="140"/>
                              </a:lnTo>
                              <a:lnTo>
                                <a:pt x="7058" y="260"/>
                              </a:lnTo>
                              <a:lnTo>
                                <a:pt x="6983" y="300"/>
                              </a:lnTo>
                              <a:lnTo>
                                <a:pt x="6910" y="320"/>
                              </a:lnTo>
                              <a:lnTo>
                                <a:pt x="6767" y="400"/>
                              </a:lnTo>
                              <a:lnTo>
                                <a:pt x="6698" y="420"/>
                              </a:lnTo>
                              <a:lnTo>
                                <a:pt x="6672" y="440"/>
                              </a:lnTo>
                              <a:lnTo>
                                <a:pt x="6649" y="460"/>
                              </a:lnTo>
                              <a:lnTo>
                                <a:pt x="6628" y="480"/>
                              </a:lnTo>
                              <a:lnTo>
                                <a:pt x="6613" y="500"/>
                              </a:lnTo>
                              <a:lnTo>
                                <a:pt x="6601" y="500"/>
                              </a:lnTo>
                              <a:lnTo>
                                <a:pt x="6585" y="540"/>
                              </a:lnTo>
                              <a:lnTo>
                                <a:pt x="6587" y="540"/>
                              </a:lnTo>
                              <a:lnTo>
                                <a:pt x="6603" y="560"/>
                              </a:lnTo>
                              <a:lnTo>
                                <a:pt x="6630" y="580"/>
                              </a:lnTo>
                              <a:lnTo>
                                <a:pt x="6674" y="580"/>
                              </a:lnTo>
                              <a:lnTo>
                                <a:pt x="6753" y="600"/>
                              </a:lnTo>
                              <a:lnTo>
                                <a:pt x="6910" y="600"/>
                              </a:lnTo>
                              <a:lnTo>
                                <a:pt x="6988" y="620"/>
                              </a:lnTo>
                              <a:lnTo>
                                <a:pt x="7067" y="620"/>
                              </a:lnTo>
                              <a:lnTo>
                                <a:pt x="7145" y="640"/>
                              </a:lnTo>
                              <a:lnTo>
                                <a:pt x="10284" y="640"/>
                              </a:lnTo>
                              <a:lnTo>
                                <a:pt x="10160" y="580"/>
                              </a:lnTo>
                              <a:lnTo>
                                <a:pt x="9921" y="480"/>
                              </a:lnTo>
                              <a:lnTo>
                                <a:pt x="9849" y="440"/>
                              </a:lnTo>
                              <a:lnTo>
                                <a:pt x="9775" y="420"/>
                              </a:lnTo>
                              <a:lnTo>
                                <a:pt x="9702" y="380"/>
                              </a:lnTo>
                              <a:lnTo>
                                <a:pt x="9628" y="360"/>
                              </a:lnTo>
                              <a:lnTo>
                                <a:pt x="9553" y="320"/>
                              </a:lnTo>
                              <a:lnTo>
                                <a:pt x="8865" y="140"/>
                              </a:lnTo>
                              <a:close/>
                              <a:moveTo>
                                <a:pt x="8709" y="120"/>
                              </a:moveTo>
                              <a:lnTo>
                                <a:pt x="7674" y="120"/>
                              </a:lnTo>
                              <a:lnTo>
                                <a:pt x="7596" y="140"/>
                              </a:lnTo>
                              <a:lnTo>
                                <a:pt x="8787" y="140"/>
                              </a:lnTo>
                              <a:lnTo>
                                <a:pt x="8709" y="120"/>
                              </a:lnTo>
                              <a:close/>
                              <a:moveTo>
                                <a:pt x="8552" y="100"/>
                              </a:moveTo>
                              <a:lnTo>
                                <a:pt x="7831" y="100"/>
                              </a:lnTo>
                              <a:lnTo>
                                <a:pt x="7753" y="120"/>
                              </a:lnTo>
                              <a:lnTo>
                                <a:pt x="8631" y="120"/>
                              </a:lnTo>
                              <a:lnTo>
                                <a:pt x="8552" y="100"/>
                              </a:lnTo>
                              <a:close/>
                              <a:moveTo>
                                <a:pt x="8236" y="80"/>
                              </a:moveTo>
                              <a:lnTo>
                                <a:pt x="8077" y="80"/>
                              </a:lnTo>
                              <a:lnTo>
                                <a:pt x="7998" y="100"/>
                              </a:lnTo>
                              <a:lnTo>
                                <a:pt x="8315" y="100"/>
                              </a:lnTo>
                              <a:lnTo>
                                <a:pt x="8236" y="80"/>
                              </a:lnTo>
                              <a:close/>
                              <a:moveTo>
                                <a:pt x="3547" y="20"/>
                              </a:moveTo>
                              <a:lnTo>
                                <a:pt x="2709" y="20"/>
                              </a:lnTo>
                              <a:lnTo>
                                <a:pt x="2628" y="40"/>
                              </a:lnTo>
                              <a:lnTo>
                                <a:pt x="3630" y="40"/>
                              </a:lnTo>
                              <a:lnTo>
                                <a:pt x="3547" y="20"/>
                              </a:lnTo>
                              <a:close/>
                              <a:moveTo>
                                <a:pt x="3381" y="0"/>
                              </a:moveTo>
                              <a:lnTo>
                                <a:pt x="2869" y="0"/>
                              </a:lnTo>
                              <a:lnTo>
                                <a:pt x="2789" y="20"/>
                              </a:lnTo>
                              <a:lnTo>
                                <a:pt x="3464" y="20"/>
                              </a:lnTo>
                              <a:lnTo>
                                <a:pt x="3381" y="0"/>
                              </a:lnTo>
                              <a:close/>
                            </a:path>
                          </a:pathLst>
                        </a:custGeom>
                        <a:solidFill>
                          <a:srgbClr val="DD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5D4A" id="docshape103" o:spid="_x0000_s1026" style="position:absolute;margin-left:80.3pt;margin-top:614.5pt;width:514.75pt;height:13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" path="m3712,40r-1164,l1919,200r-74,40l1772,280r-71,20l1669,320r-29,20l1614,360r-23,20l1570,400r-15,l1542,420r-16,20l1530,460r17,20l1596,480r25,20l1781,500r79,20l2098,520r78,20l2255,540r79,20l2414,560r162,40l2660,600r179,40l3365,780r74,40l3586,860r75,40l3891,980r73,40l4035,1040r142,80l4248,1140r211,120l4529,1280r71,40l4672,1340r72,40l4818,1400r68,40l5220,1540r309,80l5607,1620r156,40l5841,1660r157,40l6155,1720r79,l6313,1740r204,40l6656,1800r690,180l7430,2020r86,20l7604,2080r90,20l7846,2180r74,20l7994,2240r73,20l8141,2300r73,20l8288,2360r74,20l8436,2420r76,20l8589,2480r159,40l8857,2540r107,40l9037,2600r75,l9338,2660r77,l9491,2680r77,l9644,2700r650,l10294,2080r-6,l10004,2020r-100,-40l9608,1900r-74,-40l9387,1820r-73,-40l9242,1760r-72,-40l9099,1700r-71,-40l8910,1620r-122,-60l8489,1400r-75,-20l8261,1300r-78,-20l8106,1240r-79,-20l7948,1180r-212,-60l7344,1020r-79,l7106,980r-79,l6948,960r-79,l6710,920r-79,l6551,900r-79,l6393,880r-79,l5686,720,5540,680r-76,-40l5388,620r-80,-40l5233,560,5086,480r-73,-20l4941,420r-72,-20l4723,320r-74,-20l4573,260,4418,220,4202,140,3958,80r-82,l3712,40xm5179,2540r-718,l4540,2560r559,l5179,2540xm5420,2520r-1118,l4381,2540r959,l5420,2520xm2030,920r-859,l1016,960r-78,l866,980r-68,20l730,1000r-80,20l571,1060r-155,40l338,1140r-46,20l250,1180r-106,40l93,1260r-48,40l28,1300r-12,20l8,1340r-6,l,1360r2,l8,1380r8,l53,1400r90,l182,1420r174,l465,1440r82,l629,1460r82,l875,1500r81,l1040,1520r89,20l1315,1580r533,140l1923,1760r149,40l2196,1840r124,60l2395,1920r74,40l2542,1980r73,40l2688,2040r145,60l2978,2180r73,20l3125,2240r74,20l3422,2340r109,20l3640,2400r108,20l4064,2500r79,l4222,2520r1271,l5635,2480r84,l5803,2460r83,-40l6050,2380r48,-20l6142,2340r63,-20l6272,2280r64,-20l6392,2220r17,-20l6421,2180r9,l6435,2160r3,-20l6435,2140r-6,-20l6420,2120r-16,-20l6386,2100r-57,-20l6212,2080r-59,-20l5942,2040r-125,-20l5664,2020r-153,-40l5434,1980r-76,-20l5282,1960r-274,-60l4912,1880r-299,-80l4539,1760r-294,-80l4172,1640r-233,-80l3862,1520r-76,-20l3636,1420r-74,-20l3414,1320r-74,-20l3189,1220r-77,-20l2784,1080r-108,-20l2570,1020,2417,980r-77,l2185,940r-78,l2030,920xm10294,640r-3070,l7303,660r79,l7460,680r80,l7712,720r827,220l8656,980r123,40l8855,1060r75,20l9005,1120r75,20l9154,1180r74,20l9375,1280r73,20l9522,1340r74,20l9670,1400r74,20l9819,1460r76,20l10116,1560r109,20l10294,1600r,-960xm1796,900r-391,l1327,920r547,l1796,900xm8865,140r-1347,l7058,260r-75,40l6910,320r-143,80l6698,420r-26,20l6649,460r-21,20l6613,500r-12,l6585,540r2,l6603,560r27,20l6674,580r79,20l6910,600r78,20l7067,620r78,20l10284,640r-124,-60l9921,480r-72,-40l9775,420r-73,-40l9628,360r-75,-40l8865,140xm8709,120r-1035,l7596,140r1191,l8709,120xm8552,100r-721,l7753,120r878,l8552,100xm8236,80r-159,l7998,100r317,l8236,80xm3547,20r-838,l2628,40r1002,l3547,20xm3381,l2869,r-80,20l3464,20,3381,xe" fillcolor="#ddeaf6" stroked="f">
                <v:path arrowok="t" o:connecttype="custom" o:connectlocs="1080135,7994650;987425,8058150;1029335,8121650;1482090,8159750;2183765,8324850;2652395,8515350;3012440,8680450;3659505,8858250;4138295,8934450;4885690,9137650;5215890,9277350;5554980,9404350;5978525,9493250;6532880,9124950;5914390,8934450;5580380,8794750;5097145,8578850;4462145,8426450;4109720,8375650;3421380,8197850;3091815,8058150;2513330,7854950;3237865,9429750;3441700,9404350;506730,8439150;185420,8540750;10160,8642350;10160,8680450;347345,8718550;716915,8782050;1473200,9010650;1798955,9137650;2242185,9302750;3488055,9404350;3872230,9302750;4069715,9201150;4082415,9150350;3907155,9112250;3402330,9048750;2695575,8870950;2261870,8693150;1699260,8477250;1289050,8388350;4787900,8235950;5670550,8489950;5999480,8629650;6283325,8743950;892175,8375650;4481830,7969250;4222115,8096250;4192905,8159750;4487545,8197850;6207125,8070850;4872990,7880350;4923155,7880350;5280025,7867650;2252345,7816850" o:connectangles="0,0,0,0,0,0,0,0,0,0,0,0,0,0,0,0,0,0,0,0,0,0,0,0,0,0,0,0,0,0,0,0,0,0,0,0,0,0,0,0,0,0,0,0,0,0,0,0,0,0,0,0,0,0,0,0,0"/>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41A9FE59" wp14:editId="0501550B">
                <wp:simplePos x="0" y="0"/>
                <wp:positionH relativeFrom="page">
                  <wp:posOffset>3830320</wp:posOffset>
                </wp:positionH>
                <wp:positionV relativeFrom="page">
                  <wp:posOffset>9527540</wp:posOffset>
                </wp:positionV>
                <wp:extent cx="3631565" cy="1194435"/>
                <wp:effectExtent l="0" t="0" r="0" b="0"/>
                <wp:wrapNone/>
                <wp:docPr id="31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4596" w14:textId="77777777" w:rsidR="00141B97" w:rsidRDefault="00911D63">
                            <w:pPr>
                              <w:spacing w:line="1880" w:lineRule="exact"/>
                              <w:rPr>
                                <w:rFonts w:ascii="Calibri"/>
                                <w:b/>
                                <w:sz w:val="188"/>
                              </w:rPr>
                            </w:pPr>
                            <w:r>
                              <w:rPr>
                                <w:rFonts w:ascii="Calibri"/>
                                <w:b/>
                                <w:color w:val="FFFFFF"/>
                                <w:spacing w:val="-2"/>
                                <w:sz w:val="188"/>
                              </w:rPr>
                              <w:t>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FE59" id="docshape104" o:spid="_x0000_s1103" type="#_x0000_t202" style="position:absolute;left:0;text-align:left;margin-left:301.6pt;margin-top:750.2pt;width:285.95pt;height:94.0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" filled="f" stroked="f">
                <v:textbox inset="0,0,0,0">
                  <w:txbxContent>
                    <w:p w14:paraId="7AB64596" w14:textId="77777777" w:rsidR="00141B97" w:rsidRDefault="00911D63">
                      <w:pPr>
                        <w:spacing w:line="1880" w:lineRule="exact"/>
                        <w:rPr>
                          <w:rFonts w:ascii="Calibri"/>
                          <w:b/>
                          <w:sz w:val="188"/>
                        </w:rPr>
                      </w:pPr>
                      <w:r>
                        <w:rPr>
                          <w:rFonts w:ascii="Calibri"/>
                          <w:b/>
                          <w:color w:val="FFFFFF"/>
                          <w:spacing w:val="-2"/>
                          <w:sz w:val="188"/>
                        </w:rPr>
                        <w:t>URBAN</w:t>
                      </w:r>
                    </w:p>
                  </w:txbxContent>
                </v:textbox>
                <w10:wrap anchorx="page" anchory="page"/>
              </v:shape>
            </w:pict>
          </mc:Fallback>
        </mc:AlternateContent>
      </w:r>
      <w:r>
        <w:rPr>
          <w:noProof/>
          <w:sz w:val="20"/>
        </w:rPr>
        <mc:AlternateContent>
          <mc:Choice Requires="wpg">
            <w:drawing>
              <wp:inline distT="0" distB="0" distL="0" distR="0" wp14:anchorId="318F84EF" wp14:editId="77C3D396">
                <wp:extent cx="2265045" cy="6327775"/>
                <wp:effectExtent l="5080" t="0" r="0" b="0"/>
                <wp:docPr id="310"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6327775"/>
                          <a:chOff x="0" y="0"/>
                          <a:chExt cx="3567" cy="9965"/>
                        </a:xfrm>
                      </wpg:grpSpPr>
                      <pic:pic xmlns:pic="http://schemas.openxmlformats.org/drawingml/2006/picture">
                        <pic:nvPicPr>
                          <pic:cNvPr id="311" name="docshape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7"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docshape107"/>
                        <wps:cNvSpPr>
                          <a:spLocks/>
                        </wps:cNvSpPr>
                        <wps:spPr bwMode="auto">
                          <a:xfrm>
                            <a:off x="886" y="340"/>
                            <a:ext cx="1785" cy="8064"/>
                          </a:xfrm>
                          <a:custGeom>
                            <a:avLst/>
                            <a:gdLst>
                              <a:gd name="T0" fmla="+- 0 2394 887"/>
                              <a:gd name="T1" fmla="*/ T0 w 1785"/>
                              <a:gd name="T2" fmla="+- 0 7476 341"/>
                              <a:gd name="T3" fmla="*/ 7476 h 8064"/>
                              <a:gd name="T4" fmla="+- 0 2305 887"/>
                              <a:gd name="T5" fmla="*/ T4 w 1785"/>
                              <a:gd name="T6" fmla="+- 0 7903 341"/>
                              <a:gd name="T7" fmla="*/ 7903 h 8064"/>
                              <a:gd name="T8" fmla="+- 0 2059 887"/>
                              <a:gd name="T9" fmla="*/ T8 w 1785"/>
                              <a:gd name="T10" fmla="+- 0 7916 341"/>
                              <a:gd name="T11" fmla="*/ 7916 h 8064"/>
                              <a:gd name="T12" fmla="+- 0 1934 887"/>
                              <a:gd name="T13" fmla="*/ T12 w 1785"/>
                              <a:gd name="T14" fmla="+- 0 7678 341"/>
                              <a:gd name="T15" fmla="*/ 7678 h 8064"/>
                              <a:gd name="T16" fmla="+- 0 1645 887"/>
                              <a:gd name="T17" fmla="*/ T16 w 1785"/>
                              <a:gd name="T18" fmla="+- 0 7878 341"/>
                              <a:gd name="T19" fmla="*/ 7878 h 8064"/>
                              <a:gd name="T20" fmla="+- 0 1412 887"/>
                              <a:gd name="T21" fmla="*/ T20 w 1785"/>
                              <a:gd name="T22" fmla="+- 0 8032 341"/>
                              <a:gd name="T23" fmla="*/ 8032 h 8064"/>
                              <a:gd name="T24" fmla="+- 0 1194 887"/>
                              <a:gd name="T25" fmla="*/ T24 w 1785"/>
                              <a:gd name="T26" fmla="+- 0 7887 341"/>
                              <a:gd name="T27" fmla="*/ 7887 h 8064"/>
                              <a:gd name="T28" fmla="+- 0 957 887"/>
                              <a:gd name="T29" fmla="*/ T28 w 1785"/>
                              <a:gd name="T30" fmla="+- 0 7131 341"/>
                              <a:gd name="T31" fmla="*/ 7131 h 8064"/>
                              <a:gd name="T32" fmla="+- 0 907 887"/>
                              <a:gd name="T33" fmla="*/ T32 w 1785"/>
                              <a:gd name="T34" fmla="+- 0 7894 341"/>
                              <a:gd name="T35" fmla="*/ 7894 h 8064"/>
                              <a:gd name="T36" fmla="+- 0 1091 887"/>
                              <a:gd name="T37" fmla="*/ T36 w 1785"/>
                              <a:gd name="T38" fmla="+- 0 8283 341"/>
                              <a:gd name="T39" fmla="*/ 8283 h 8064"/>
                              <a:gd name="T40" fmla="+- 0 1511 887"/>
                              <a:gd name="T41" fmla="*/ T40 w 1785"/>
                              <a:gd name="T42" fmla="+- 0 8398 341"/>
                              <a:gd name="T43" fmla="*/ 8398 h 8064"/>
                              <a:gd name="T44" fmla="+- 0 1818 887"/>
                              <a:gd name="T45" fmla="*/ T44 w 1785"/>
                              <a:gd name="T46" fmla="+- 0 8159 341"/>
                              <a:gd name="T47" fmla="*/ 8159 h 8064"/>
                              <a:gd name="T48" fmla="+- 0 1990 887"/>
                              <a:gd name="T49" fmla="*/ T48 w 1785"/>
                              <a:gd name="T50" fmla="+- 0 8234 341"/>
                              <a:gd name="T51" fmla="*/ 8234 h 8064"/>
                              <a:gd name="T52" fmla="+- 0 2369 887"/>
                              <a:gd name="T53" fmla="*/ T52 w 1785"/>
                              <a:gd name="T54" fmla="+- 0 8276 341"/>
                              <a:gd name="T55" fmla="*/ 8276 h 8064"/>
                              <a:gd name="T56" fmla="+- 0 2639 887"/>
                              <a:gd name="T57" fmla="*/ T56 w 1785"/>
                              <a:gd name="T58" fmla="+- 0 7939 341"/>
                              <a:gd name="T59" fmla="*/ 7939 h 8064"/>
                              <a:gd name="T60" fmla="+- 0 2642 887"/>
                              <a:gd name="T61" fmla="*/ T60 w 1785"/>
                              <a:gd name="T62" fmla="+- 0 4946 341"/>
                              <a:gd name="T63" fmla="*/ 4946 h 8064"/>
                              <a:gd name="T64" fmla="+- 0 2480 887"/>
                              <a:gd name="T65" fmla="*/ T64 w 1785"/>
                              <a:gd name="T66" fmla="+- 0 4929 341"/>
                              <a:gd name="T67" fmla="*/ 4929 h 8064"/>
                              <a:gd name="T68" fmla="+- 0 2370 887"/>
                              <a:gd name="T69" fmla="*/ T68 w 1785"/>
                              <a:gd name="T70" fmla="+- 0 4973 341"/>
                              <a:gd name="T71" fmla="*/ 4973 h 8064"/>
                              <a:gd name="T72" fmla="+- 0 889 887"/>
                              <a:gd name="T73" fmla="*/ T72 w 1785"/>
                              <a:gd name="T74" fmla="+- 0 5537 341"/>
                              <a:gd name="T75" fmla="*/ 5537 h 8064"/>
                              <a:gd name="T76" fmla="+- 0 901 887"/>
                              <a:gd name="T77" fmla="*/ T76 w 1785"/>
                              <a:gd name="T78" fmla="+- 0 5748 341"/>
                              <a:gd name="T79" fmla="*/ 5748 h 8064"/>
                              <a:gd name="T80" fmla="+- 0 2404 887"/>
                              <a:gd name="T81" fmla="*/ T80 w 1785"/>
                              <a:gd name="T82" fmla="+- 0 6269 341"/>
                              <a:gd name="T83" fmla="*/ 6269 h 8064"/>
                              <a:gd name="T84" fmla="+- 0 2571 887"/>
                              <a:gd name="T85" fmla="*/ T84 w 1785"/>
                              <a:gd name="T86" fmla="+- 0 6280 341"/>
                              <a:gd name="T87" fmla="*/ 6280 h 8064"/>
                              <a:gd name="T88" fmla="+- 0 2664 887"/>
                              <a:gd name="T89" fmla="*/ T88 w 1785"/>
                              <a:gd name="T90" fmla="+- 0 4973 341"/>
                              <a:gd name="T91" fmla="*/ 4973 h 8064"/>
                              <a:gd name="T92" fmla="+- 0 2389 887"/>
                              <a:gd name="T93" fmla="*/ T92 w 1785"/>
                              <a:gd name="T94" fmla="+- 0 3888 341"/>
                              <a:gd name="T95" fmla="*/ 3888 h 8064"/>
                              <a:gd name="T96" fmla="+- 0 2340 887"/>
                              <a:gd name="T97" fmla="*/ T96 w 1785"/>
                              <a:gd name="T98" fmla="+- 0 4285 341"/>
                              <a:gd name="T99" fmla="*/ 4285 h 8064"/>
                              <a:gd name="T100" fmla="+- 0 2015 887"/>
                              <a:gd name="T101" fmla="*/ T100 w 1785"/>
                              <a:gd name="T102" fmla="+- 0 4347 341"/>
                              <a:gd name="T103" fmla="*/ 4347 h 8064"/>
                              <a:gd name="T104" fmla="+- 0 1888 887"/>
                              <a:gd name="T105" fmla="*/ T104 w 1785"/>
                              <a:gd name="T106" fmla="+- 0 4070 341"/>
                              <a:gd name="T107" fmla="*/ 4070 h 8064"/>
                              <a:gd name="T108" fmla="+- 0 892 887"/>
                              <a:gd name="T109" fmla="*/ T108 w 1785"/>
                              <a:gd name="T110" fmla="+- 0 3604 341"/>
                              <a:gd name="T111" fmla="*/ 3604 h 8064"/>
                              <a:gd name="T112" fmla="+- 0 895 887"/>
                              <a:gd name="T113" fmla="*/ T112 w 1785"/>
                              <a:gd name="T114" fmla="+- 0 3826 341"/>
                              <a:gd name="T115" fmla="*/ 3826 h 8064"/>
                              <a:gd name="T116" fmla="+- 0 1607 887"/>
                              <a:gd name="T117" fmla="*/ T116 w 1785"/>
                              <a:gd name="T118" fmla="+- 0 4078 341"/>
                              <a:gd name="T119" fmla="*/ 4078 h 8064"/>
                              <a:gd name="T120" fmla="+- 0 1405 887"/>
                              <a:gd name="T121" fmla="*/ T120 w 1785"/>
                              <a:gd name="T122" fmla="+- 0 4267 341"/>
                              <a:gd name="T123" fmla="*/ 4267 h 8064"/>
                              <a:gd name="T124" fmla="+- 0 893 887"/>
                              <a:gd name="T125" fmla="*/ T124 w 1785"/>
                              <a:gd name="T126" fmla="+- 0 4519 341"/>
                              <a:gd name="T127" fmla="*/ 4519 h 8064"/>
                              <a:gd name="T128" fmla="+- 0 896 887"/>
                              <a:gd name="T129" fmla="*/ T128 w 1785"/>
                              <a:gd name="T130" fmla="+- 0 4798 341"/>
                              <a:gd name="T131" fmla="*/ 4798 h 8064"/>
                              <a:gd name="T132" fmla="+- 0 1031 887"/>
                              <a:gd name="T133" fmla="*/ T132 w 1785"/>
                              <a:gd name="T134" fmla="+- 0 4816 341"/>
                              <a:gd name="T135" fmla="*/ 4816 h 8064"/>
                              <a:gd name="T136" fmla="+- 0 1623 887"/>
                              <a:gd name="T137" fmla="*/ T136 w 1785"/>
                              <a:gd name="T138" fmla="+- 0 4530 341"/>
                              <a:gd name="T139" fmla="*/ 4530 h 8064"/>
                              <a:gd name="T140" fmla="+- 0 1786 887"/>
                              <a:gd name="T141" fmla="*/ T140 w 1785"/>
                              <a:gd name="T142" fmla="+- 0 4552 341"/>
                              <a:gd name="T143" fmla="*/ 4552 h 8064"/>
                              <a:gd name="T144" fmla="+- 0 2135 887"/>
                              <a:gd name="T145" fmla="*/ T144 w 1785"/>
                              <a:gd name="T146" fmla="+- 0 4747 341"/>
                              <a:gd name="T147" fmla="*/ 4747 h 8064"/>
                              <a:gd name="T148" fmla="+- 0 2559 887"/>
                              <a:gd name="T149" fmla="*/ T148 w 1785"/>
                              <a:gd name="T150" fmla="+- 0 4561 341"/>
                              <a:gd name="T151" fmla="*/ 4561 h 8064"/>
                              <a:gd name="T152" fmla="+- 0 2659 887"/>
                              <a:gd name="T153" fmla="*/ T152 w 1785"/>
                              <a:gd name="T154" fmla="+- 0 4229 341"/>
                              <a:gd name="T155" fmla="*/ 4229 h 8064"/>
                              <a:gd name="T156" fmla="+- 0 2632 887"/>
                              <a:gd name="T157" fmla="*/ T156 w 1785"/>
                              <a:gd name="T158" fmla="+- 0 374 341"/>
                              <a:gd name="T159" fmla="*/ 374 h 8064"/>
                              <a:gd name="T160" fmla="+- 0 2378 887"/>
                              <a:gd name="T161" fmla="*/ T160 w 1785"/>
                              <a:gd name="T162" fmla="+- 0 962 341"/>
                              <a:gd name="T163" fmla="*/ 962 h 8064"/>
                              <a:gd name="T164" fmla="+- 0 2145 887"/>
                              <a:gd name="T165" fmla="*/ T164 w 1785"/>
                              <a:gd name="T166" fmla="+- 0 1174 341"/>
                              <a:gd name="T167" fmla="*/ 1174 h 8064"/>
                              <a:gd name="T168" fmla="+- 0 1838 887"/>
                              <a:gd name="T169" fmla="*/ T168 w 1785"/>
                              <a:gd name="T170" fmla="+- 0 1059 341"/>
                              <a:gd name="T171" fmla="*/ 1059 h 8064"/>
                              <a:gd name="T172" fmla="+- 0 926 887"/>
                              <a:gd name="T173" fmla="*/ T172 w 1785"/>
                              <a:gd name="T174" fmla="+- 0 343 341"/>
                              <a:gd name="T175" fmla="*/ 343 h 8064"/>
                              <a:gd name="T176" fmla="+- 0 887 887"/>
                              <a:gd name="T177" fmla="*/ T176 w 1785"/>
                              <a:gd name="T178" fmla="+- 0 520 341"/>
                              <a:gd name="T179" fmla="*/ 520 h 8064"/>
                              <a:gd name="T180" fmla="+- 0 926 887"/>
                              <a:gd name="T181" fmla="*/ T180 w 1785"/>
                              <a:gd name="T182" fmla="+- 0 697 341"/>
                              <a:gd name="T183" fmla="*/ 697 h 8064"/>
                              <a:gd name="T184" fmla="+- 0 1669 887"/>
                              <a:gd name="T185" fmla="*/ T184 w 1785"/>
                              <a:gd name="T186" fmla="+- 0 1370 341"/>
                              <a:gd name="T187" fmla="*/ 1370 h 8064"/>
                              <a:gd name="T188" fmla="+- 0 2276 887"/>
                              <a:gd name="T189" fmla="*/ T188 w 1785"/>
                              <a:gd name="T190" fmla="+- 0 1535 341"/>
                              <a:gd name="T191" fmla="*/ 1535 h 8064"/>
                              <a:gd name="T192" fmla="+- 0 2616 887"/>
                              <a:gd name="T193" fmla="*/ T192 w 1785"/>
                              <a:gd name="T194" fmla="+- 0 1215 341"/>
                              <a:gd name="T195" fmla="*/ 1215 h 8064"/>
                              <a:gd name="T196" fmla="+- 0 2664 887"/>
                              <a:gd name="T197" fmla="*/ T196 w 1785"/>
                              <a:gd name="T198" fmla="+- 0 882 341"/>
                              <a:gd name="T199" fmla="*/ 882 h 8064"/>
                              <a:gd name="T200" fmla="+- 0 2646 887"/>
                              <a:gd name="T201" fmla="*/ T200 w 1785"/>
                              <a:gd name="T202" fmla="+- 0 2266 341"/>
                              <a:gd name="T203" fmla="*/ 2266 h 8064"/>
                              <a:gd name="T204" fmla="+- 0 2326 887"/>
                              <a:gd name="T205" fmla="*/ T204 w 1785"/>
                              <a:gd name="T206" fmla="+- 0 2467 341"/>
                              <a:gd name="T207" fmla="*/ 2467 h 8064"/>
                              <a:gd name="T208" fmla="+- 0 903 887"/>
                              <a:gd name="T209" fmla="*/ T208 w 1785"/>
                              <a:gd name="T210" fmla="+- 0 1692 341"/>
                              <a:gd name="T211" fmla="*/ 1692 h 8064"/>
                              <a:gd name="T212" fmla="+- 0 891 887"/>
                              <a:gd name="T213" fmla="*/ T212 w 1785"/>
                              <a:gd name="T214" fmla="+- 0 1943 341"/>
                              <a:gd name="T215" fmla="*/ 1943 h 8064"/>
                              <a:gd name="T216" fmla="+- 0 1298 887"/>
                              <a:gd name="T217" fmla="*/ T216 w 1785"/>
                              <a:gd name="T218" fmla="+- 0 2802 341"/>
                              <a:gd name="T219" fmla="*/ 2802 h 8064"/>
                              <a:gd name="T220" fmla="+- 0 887 887"/>
                              <a:gd name="T221" fmla="*/ T220 w 1785"/>
                              <a:gd name="T222" fmla="+- 0 3044 341"/>
                              <a:gd name="T223" fmla="*/ 3044 h 8064"/>
                              <a:gd name="T224" fmla="+- 0 915 887"/>
                              <a:gd name="T225" fmla="*/ T224 w 1785"/>
                              <a:gd name="T226" fmla="+- 0 3296 341"/>
                              <a:gd name="T227" fmla="*/ 3296 h 8064"/>
                              <a:gd name="T228" fmla="+- 0 2630 887"/>
                              <a:gd name="T229" fmla="*/ T228 w 1785"/>
                              <a:gd name="T230" fmla="+- 0 2720 341"/>
                              <a:gd name="T231" fmla="*/ 2720 h 8064"/>
                              <a:gd name="T232" fmla="+- 0 2671 887"/>
                              <a:gd name="T233" fmla="*/ T232 w 1785"/>
                              <a:gd name="T234" fmla="+- 0 2575 341"/>
                              <a:gd name="T235" fmla="*/ 2575 h 8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5" h="8064">
                                <a:moveTo>
                                  <a:pt x="1777" y="6889"/>
                                </a:moveTo>
                                <a:lnTo>
                                  <a:pt x="1775" y="6867"/>
                                </a:lnTo>
                                <a:lnTo>
                                  <a:pt x="1770" y="6848"/>
                                </a:lnTo>
                                <a:lnTo>
                                  <a:pt x="1761" y="6830"/>
                                </a:lnTo>
                                <a:lnTo>
                                  <a:pt x="1749" y="6813"/>
                                </a:lnTo>
                                <a:lnTo>
                                  <a:pt x="1734" y="6800"/>
                                </a:lnTo>
                                <a:lnTo>
                                  <a:pt x="1715" y="6790"/>
                                </a:lnTo>
                                <a:lnTo>
                                  <a:pt x="1691" y="6784"/>
                                </a:lnTo>
                                <a:lnTo>
                                  <a:pt x="1663" y="6782"/>
                                </a:lnTo>
                                <a:lnTo>
                                  <a:pt x="1507" y="6782"/>
                                </a:lnTo>
                                <a:lnTo>
                                  <a:pt x="1507" y="7135"/>
                                </a:lnTo>
                                <a:lnTo>
                                  <a:pt x="1507" y="7317"/>
                                </a:lnTo>
                                <a:lnTo>
                                  <a:pt x="1506" y="7357"/>
                                </a:lnTo>
                                <a:lnTo>
                                  <a:pt x="1503" y="7392"/>
                                </a:lnTo>
                                <a:lnTo>
                                  <a:pt x="1499" y="7423"/>
                                </a:lnTo>
                                <a:lnTo>
                                  <a:pt x="1493" y="7451"/>
                                </a:lnTo>
                                <a:lnTo>
                                  <a:pt x="1484" y="7474"/>
                                </a:lnTo>
                                <a:lnTo>
                                  <a:pt x="1474" y="7496"/>
                                </a:lnTo>
                                <a:lnTo>
                                  <a:pt x="1462" y="7515"/>
                                </a:lnTo>
                                <a:lnTo>
                                  <a:pt x="1449" y="7533"/>
                                </a:lnTo>
                                <a:lnTo>
                                  <a:pt x="1434" y="7549"/>
                                </a:lnTo>
                                <a:lnTo>
                                  <a:pt x="1418" y="7562"/>
                                </a:lnTo>
                                <a:lnTo>
                                  <a:pt x="1399" y="7573"/>
                                </a:lnTo>
                                <a:lnTo>
                                  <a:pt x="1379" y="7583"/>
                                </a:lnTo>
                                <a:lnTo>
                                  <a:pt x="1357" y="7590"/>
                                </a:lnTo>
                                <a:lnTo>
                                  <a:pt x="1334" y="7594"/>
                                </a:lnTo>
                                <a:lnTo>
                                  <a:pt x="1309" y="7597"/>
                                </a:lnTo>
                                <a:lnTo>
                                  <a:pt x="1283" y="7598"/>
                                </a:lnTo>
                                <a:lnTo>
                                  <a:pt x="1259" y="7597"/>
                                </a:lnTo>
                                <a:lnTo>
                                  <a:pt x="1237" y="7595"/>
                                </a:lnTo>
                                <a:lnTo>
                                  <a:pt x="1214" y="7590"/>
                                </a:lnTo>
                                <a:lnTo>
                                  <a:pt x="1193" y="7584"/>
                                </a:lnTo>
                                <a:lnTo>
                                  <a:pt x="1172" y="7575"/>
                                </a:lnTo>
                                <a:lnTo>
                                  <a:pt x="1152" y="7565"/>
                                </a:lnTo>
                                <a:lnTo>
                                  <a:pt x="1134" y="7552"/>
                                </a:lnTo>
                                <a:lnTo>
                                  <a:pt x="1117" y="7538"/>
                                </a:lnTo>
                                <a:lnTo>
                                  <a:pt x="1102" y="7521"/>
                                </a:lnTo>
                                <a:lnTo>
                                  <a:pt x="1088" y="7503"/>
                                </a:lnTo>
                                <a:lnTo>
                                  <a:pt x="1077" y="7483"/>
                                </a:lnTo>
                                <a:lnTo>
                                  <a:pt x="1067" y="7460"/>
                                </a:lnTo>
                                <a:lnTo>
                                  <a:pt x="1059" y="7435"/>
                                </a:lnTo>
                                <a:lnTo>
                                  <a:pt x="1053" y="7406"/>
                                </a:lnTo>
                                <a:lnTo>
                                  <a:pt x="1049" y="7373"/>
                                </a:lnTo>
                                <a:lnTo>
                                  <a:pt x="1047" y="7337"/>
                                </a:lnTo>
                                <a:lnTo>
                                  <a:pt x="1047" y="7135"/>
                                </a:lnTo>
                                <a:lnTo>
                                  <a:pt x="1507" y="7135"/>
                                </a:lnTo>
                                <a:lnTo>
                                  <a:pt x="1507" y="6782"/>
                                </a:lnTo>
                                <a:lnTo>
                                  <a:pt x="786" y="6782"/>
                                </a:lnTo>
                                <a:lnTo>
                                  <a:pt x="786" y="7135"/>
                                </a:lnTo>
                                <a:lnTo>
                                  <a:pt x="786" y="7357"/>
                                </a:lnTo>
                                <a:lnTo>
                                  <a:pt x="785" y="7395"/>
                                </a:lnTo>
                                <a:lnTo>
                                  <a:pt x="781" y="7437"/>
                                </a:lnTo>
                                <a:lnTo>
                                  <a:pt x="776" y="7475"/>
                                </a:lnTo>
                                <a:lnTo>
                                  <a:pt x="768" y="7508"/>
                                </a:lnTo>
                                <a:lnTo>
                                  <a:pt x="758" y="7537"/>
                                </a:lnTo>
                                <a:lnTo>
                                  <a:pt x="746" y="7564"/>
                                </a:lnTo>
                                <a:lnTo>
                                  <a:pt x="733" y="7588"/>
                                </a:lnTo>
                                <a:lnTo>
                                  <a:pt x="717" y="7609"/>
                                </a:lnTo>
                                <a:lnTo>
                                  <a:pt x="700" y="7628"/>
                                </a:lnTo>
                                <a:lnTo>
                                  <a:pt x="681" y="7644"/>
                                </a:lnTo>
                                <a:lnTo>
                                  <a:pt x="659" y="7658"/>
                                </a:lnTo>
                                <a:lnTo>
                                  <a:pt x="636" y="7670"/>
                                </a:lnTo>
                                <a:lnTo>
                                  <a:pt x="611" y="7679"/>
                                </a:lnTo>
                                <a:lnTo>
                                  <a:pt x="584" y="7685"/>
                                </a:lnTo>
                                <a:lnTo>
                                  <a:pt x="555" y="7689"/>
                                </a:lnTo>
                                <a:lnTo>
                                  <a:pt x="525" y="7691"/>
                                </a:lnTo>
                                <a:lnTo>
                                  <a:pt x="497" y="7689"/>
                                </a:lnTo>
                                <a:lnTo>
                                  <a:pt x="471" y="7685"/>
                                </a:lnTo>
                                <a:lnTo>
                                  <a:pt x="445" y="7678"/>
                                </a:lnTo>
                                <a:lnTo>
                                  <a:pt x="421" y="7669"/>
                                </a:lnTo>
                                <a:lnTo>
                                  <a:pt x="399" y="7657"/>
                                </a:lnTo>
                                <a:lnTo>
                                  <a:pt x="379" y="7644"/>
                                </a:lnTo>
                                <a:lnTo>
                                  <a:pt x="361" y="7628"/>
                                </a:lnTo>
                                <a:lnTo>
                                  <a:pt x="344" y="7610"/>
                                </a:lnTo>
                                <a:lnTo>
                                  <a:pt x="330" y="7590"/>
                                </a:lnTo>
                                <a:lnTo>
                                  <a:pt x="317" y="7569"/>
                                </a:lnTo>
                                <a:lnTo>
                                  <a:pt x="307" y="7546"/>
                                </a:lnTo>
                                <a:lnTo>
                                  <a:pt x="299" y="7521"/>
                                </a:lnTo>
                                <a:lnTo>
                                  <a:pt x="291" y="7494"/>
                                </a:lnTo>
                                <a:lnTo>
                                  <a:pt x="286" y="7464"/>
                                </a:lnTo>
                                <a:lnTo>
                                  <a:pt x="283" y="7431"/>
                                </a:lnTo>
                                <a:lnTo>
                                  <a:pt x="282" y="7395"/>
                                </a:lnTo>
                                <a:lnTo>
                                  <a:pt x="282" y="7135"/>
                                </a:lnTo>
                                <a:lnTo>
                                  <a:pt x="786" y="7135"/>
                                </a:lnTo>
                                <a:lnTo>
                                  <a:pt x="786" y="6782"/>
                                </a:lnTo>
                                <a:lnTo>
                                  <a:pt x="121" y="6782"/>
                                </a:lnTo>
                                <a:lnTo>
                                  <a:pt x="93" y="6784"/>
                                </a:lnTo>
                                <a:lnTo>
                                  <a:pt x="70" y="6790"/>
                                </a:lnTo>
                                <a:lnTo>
                                  <a:pt x="50" y="6800"/>
                                </a:lnTo>
                                <a:lnTo>
                                  <a:pt x="35" y="6813"/>
                                </a:lnTo>
                                <a:lnTo>
                                  <a:pt x="23" y="6830"/>
                                </a:lnTo>
                                <a:lnTo>
                                  <a:pt x="15" y="6848"/>
                                </a:lnTo>
                                <a:lnTo>
                                  <a:pt x="10" y="6867"/>
                                </a:lnTo>
                                <a:lnTo>
                                  <a:pt x="8" y="6889"/>
                                </a:lnTo>
                                <a:lnTo>
                                  <a:pt x="8" y="7373"/>
                                </a:lnTo>
                                <a:lnTo>
                                  <a:pt x="9" y="7412"/>
                                </a:lnTo>
                                <a:lnTo>
                                  <a:pt x="11" y="7461"/>
                                </a:lnTo>
                                <a:lnTo>
                                  <a:pt x="15" y="7508"/>
                                </a:lnTo>
                                <a:lnTo>
                                  <a:pt x="20" y="7553"/>
                                </a:lnTo>
                                <a:lnTo>
                                  <a:pt x="28" y="7595"/>
                                </a:lnTo>
                                <a:lnTo>
                                  <a:pt x="37" y="7637"/>
                                </a:lnTo>
                                <a:lnTo>
                                  <a:pt x="48" y="7677"/>
                                </a:lnTo>
                                <a:lnTo>
                                  <a:pt x="61" y="7716"/>
                                </a:lnTo>
                                <a:lnTo>
                                  <a:pt x="76" y="7754"/>
                                </a:lnTo>
                                <a:lnTo>
                                  <a:pt x="92" y="7790"/>
                                </a:lnTo>
                                <a:lnTo>
                                  <a:pt x="111" y="7824"/>
                                </a:lnTo>
                                <a:lnTo>
                                  <a:pt x="131" y="7856"/>
                                </a:lnTo>
                                <a:lnTo>
                                  <a:pt x="153" y="7887"/>
                                </a:lnTo>
                                <a:lnTo>
                                  <a:pt x="177" y="7915"/>
                                </a:lnTo>
                                <a:lnTo>
                                  <a:pt x="204" y="7942"/>
                                </a:lnTo>
                                <a:lnTo>
                                  <a:pt x="231" y="7965"/>
                                </a:lnTo>
                                <a:lnTo>
                                  <a:pt x="262" y="7987"/>
                                </a:lnTo>
                                <a:lnTo>
                                  <a:pt x="295" y="8007"/>
                                </a:lnTo>
                                <a:lnTo>
                                  <a:pt x="330" y="8023"/>
                                </a:lnTo>
                                <a:lnTo>
                                  <a:pt x="367" y="8037"/>
                                </a:lnTo>
                                <a:lnTo>
                                  <a:pt x="407" y="8049"/>
                                </a:lnTo>
                                <a:lnTo>
                                  <a:pt x="448" y="8057"/>
                                </a:lnTo>
                                <a:lnTo>
                                  <a:pt x="492" y="8062"/>
                                </a:lnTo>
                                <a:lnTo>
                                  <a:pt x="539" y="8064"/>
                                </a:lnTo>
                                <a:lnTo>
                                  <a:pt x="582" y="8062"/>
                                </a:lnTo>
                                <a:lnTo>
                                  <a:pt x="624" y="8057"/>
                                </a:lnTo>
                                <a:lnTo>
                                  <a:pt x="663" y="8048"/>
                                </a:lnTo>
                                <a:lnTo>
                                  <a:pt x="701" y="8036"/>
                                </a:lnTo>
                                <a:lnTo>
                                  <a:pt x="735" y="8021"/>
                                </a:lnTo>
                                <a:lnTo>
                                  <a:pt x="768" y="8004"/>
                                </a:lnTo>
                                <a:lnTo>
                                  <a:pt x="798" y="7984"/>
                                </a:lnTo>
                                <a:lnTo>
                                  <a:pt x="827" y="7962"/>
                                </a:lnTo>
                                <a:lnTo>
                                  <a:pt x="852" y="7937"/>
                                </a:lnTo>
                                <a:lnTo>
                                  <a:pt x="876" y="7910"/>
                                </a:lnTo>
                                <a:lnTo>
                                  <a:pt x="897" y="7881"/>
                                </a:lnTo>
                                <a:lnTo>
                                  <a:pt x="915" y="7850"/>
                                </a:lnTo>
                                <a:lnTo>
                                  <a:pt x="931" y="7818"/>
                                </a:lnTo>
                                <a:lnTo>
                                  <a:pt x="944" y="7784"/>
                                </a:lnTo>
                                <a:lnTo>
                                  <a:pt x="955" y="7749"/>
                                </a:lnTo>
                                <a:lnTo>
                                  <a:pt x="963" y="7712"/>
                                </a:lnTo>
                                <a:lnTo>
                                  <a:pt x="975" y="7740"/>
                                </a:lnTo>
                                <a:lnTo>
                                  <a:pt x="989" y="7768"/>
                                </a:lnTo>
                                <a:lnTo>
                                  <a:pt x="1004" y="7793"/>
                                </a:lnTo>
                                <a:lnTo>
                                  <a:pt x="1021" y="7817"/>
                                </a:lnTo>
                                <a:lnTo>
                                  <a:pt x="1039" y="7838"/>
                                </a:lnTo>
                                <a:lnTo>
                                  <a:pt x="1059" y="7859"/>
                                </a:lnTo>
                                <a:lnTo>
                                  <a:pt x="1080" y="7877"/>
                                </a:lnTo>
                                <a:lnTo>
                                  <a:pt x="1103" y="7893"/>
                                </a:lnTo>
                                <a:lnTo>
                                  <a:pt x="1127" y="7908"/>
                                </a:lnTo>
                                <a:lnTo>
                                  <a:pt x="1152" y="7921"/>
                                </a:lnTo>
                                <a:lnTo>
                                  <a:pt x="1178" y="7932"/>
                                </a:lnTo>
                                <a:lnTo>
                                  <a:pt x="1206" y="7941"/>
                                </a:lnTo>
                                <a:lnTo>
                                  <a:pt x="1235" y="7949"/>
                                </a:lnTo>
                                <a:lnTo>
                                  <a:pt x="1265" y="7954"/>
                                </a:lnTo>
                                <a:lnTo>
                                  <a:pt x="1295" y="7957"/>
                                </a:lnTo>
                                <a:lnTo>
                                  <a:pt x="1327" y="7958"/>
                                </a:lnTo>
                                <a:lnTo>
                                  <a:pt x="1383" y="7956"/>
                                </a:lnTo>
                                <a:lnTo>
                                  <a:pt x="1434" y="7948"/>
                                </a:lnTo>
                                <a:lnTo>
                                  <a:pt x="1482" y="7935"/>
                                </a:lnTo>
                                <a:lnTo>
                                  <a:pt x="1526" y="7917"/>
                                </a:lnTo>
                                <a:lnTo>
                                  <a:pt x="1567" y="7894"/>
                                </a:lnTo>
                                <a:lnTo>
                                  <a:pt x="1604" y="7867"/>
                                </a:lnTo>
                                <a:lnTo>
                                  <a:pt x="1637" y="7835"/>
                                </a:lnTo>
                                <a:lnTo>
                                  <a:pt x="1667" y="7799"/>
                                </a:lnTo>
                                <a:lnTo>
                                  <a:pt x="1693" y="7758"/>
                                </a:lnTo>
                                <a:lnTo>
                                  <a:pt x="1715" y="7712"/>
                                </a:lnTo>
                                <a:lnTo>
                                  <a:pt x="1723" y="7691"/>
                                </a:lnTo>
                                <a:lnTo>
                                  <a:pt x="1734" y="7663"/>
                                </a:lnTo>
                                <a:lnTo>
                                  <a:pt x="1749" y="7609"/>
                                </a:lnTo>
                                <a:lnTo>
                                  <a:pt x="1752" y="7598"/>
                                </a:lnTo>
                                <a:lnTo>
                                  <a:pt x="1761" y="7549"/>
                                </a:lnTo>
                                <a:lnTo>
                                  <a:pt x="1770" y="7484"/>
                                </a:lnTo>
                                <a:lnTo>
                                  <a:pt x="1775" y="7412"/>
                                </a:lnTo>
                                <a:lnTo>
                                  <a:pt x="1777" y="7337"/>
                                </a:lnTo>
                                <a:lnTo>
                                  <a:pt x="1777" y="7135"/>
                                </a:lnTo>
                                <a:lnTo>
                                  <a:pt x="1777" y="6889"/>
                                </a:lnTo>
                                <a:close/>
                                <a:moveTo>
                                  <a:pt x="1777" y="4632"/>
                                </a:moveTo>
                                <a:lnTo>
                                  <a:pt x="1775" y="4625"/>
                                </a:lnTo>
                                <a:lnTo>
                                  <a:pt x="1769" y="4617"/>
                                </a:lnTo>
                                <a:lnTo>
                                  <a:pt x="1764" y="4611"/>
                                </a:lnTo>
                                <a:lnTo>
                                  <a:pt x="1755" y="4605"/>
                                </a:lnTo>
                                <a:lnTo>
                                  <a:pt x="1745" y="4602"/>
                                </a:lnTo>
                                <a:lnTo>
                                  <a:pt x="1735" y="4598"/>
                                </a:lnTo>
                                <a:lnTo>
                                  <a:pt x="1725" y="4595"/>
                                </a:lnTo>
                                <a:lnTo>
                                  <a:pt x="1713" y="4593"/>
                                </a:lnTo>
                                <a:lnTo>
                                  <a:pt x="1699" y="4591"/>
                                </a:lnTo>
                                <a:lnTo>
                                  <a:pt x="1684" y="4589"/>
                                </a:lnTo>
                                <a:lnTo>
                                  <a:pt x="1667" y="4588"/>
                                </a:lnTo>
                                <a:lnTo>
                                  <a:pt x="1649" y="4588"/>
                                </a:lnTo>
                                <a:lnTo>
                                  <a:pt x="1629" y="4587"/>
                                </a:lnTo>
                                <a:lnTo>
                                  <a:pt x="1610" y="4588"/>
                                </a:lnTo>
                                <a:lnTo>
                                  <a:pt x="1593" y="4588"/>
                                </a:lnTo>
                                <a:lnTo>
                                  <a:pt x="1576" y="4589"/>
                                </a:lnTo>
                                <a:lnTo>
                                  <a:pt x="1561" y="4591"/>
                                </a:lnTo>
                                <a:lnTo>
                                  <a:pt x="1548" y="4593"/>
                                </a:lnTo>
                                <a:lnTo>
                                  <a:pt x="1536" y="4595"/>
                                </a:lnTo>
                                <a:lnTo>
                                  <a:pt x="1526" y="4598"/>
                                </a:lnTo>
                                <a:lnTo>
                                  <a:pt x="1517" y="4602"/>
                                </a:lnTo>
                                <a:lnTo>
                                  <a:pt x="1505" y="4605"/>
                                </a:lnTo>
                                <a:lnTo>
                                  <a:pt x="1496" y="4611"/>
                                </a:lnTo>
                                <a:lnTo>
                                  <a:pt x="1491" y="4617"/>
                                </a:lnTo>
                                <a:lnTo>
                                  <a:pt x="1485" y="4625"/>
                                </a:lnTo>
                                <a:lnTo>
                                  <a:pt x="1483" y="4632"/>
                                </a:lnTo>
                                <a:lnTo>
                                  <a:pt x="1483" y="5084"/>
                                </a:lnTo>
                                <a:lnTo>
                                  <a:pt x="48" y="5084"/>
                                </a:lnTo>
                                <a:lnTo>
                                  <a:pt x="39" y="5087"/>
                                </a:lnTo>
                                <a:lnTo>
                                  <a:pt x="25" y="5099"/>
                                </a:lnTo>
                                <a:lnTo>
                                  <a:pt x="19" y="5108"/>
                                </a:lnTo>
                                <a:lnTo>
                                  <a:pt x="14" y="5123"/>
                                </a:lnTo>
                                <a:lnTo>
                                  <a:pt x="11" y="5133"/>
                                </a:lnTo>
                                <a:lnTo>
                                  <a:pt x="8" y="5146"/>
                                </a:lnTo>
                                <a:lnTo>
                                  <a:pt x="5" y="5161"/>
                                </a:lnTo>
                                <a:lnTo>
                                  <a:pt x="3" y="5178"/>
                                </a:lnTo>
                                <a:lnTo>
                                  <a:pt x="2" y="5196"/>
                                </a:lnTo>
                                <a:lnTo>
                                  <a:pt x="1" y="5216"/>
                                </a:lnTo>
                                <a:lnTo>
                                  <a:pt x="0" y="5239"/>
                                </a:lnTo>
                                <a:lnTo>
                                  <a:pt x="0" y="5264"/>
                                </a:lnTo>
                                <a:lnTo>
                                  <a:pt x="0" y="5289"/>
                                </a:lnTo>
                                <a:lnTo>
                                  <a:pt x="1" y="5312"/>
                                </a:lnTo>
                                <a:lnTo>
                                  <a:pt x="2" y="5332"/>
                                </a:lnTo>
                                <a:lnTo>
                                  <a:pt x="3" y="5351"/>
                                </a:lnTo>
                                <a:lnTo>
                                  <a:pt x="5" y="5368"/>
                                </a:lnTo>
                                <a:lnTo>
                                  <a:pt x="8" y="5382"/>
                                </a:lnTo>
                                <a:lnTo>
                                  <a:pt x="11" y="5395"/>
                                </a:lnTo>
                                <a:lnTo>
                                  <a:pt x="14" y="5407"/>
                                </a:lnTo>
                                <a:lnTo>
                                  <a:pt x="19" y="5420"/>
                                </a:lnTo>
                                <a:lnTo>
                                  <a:pt x="25" y="5430"/>
                                </a:lnTo>
                                <a:lnTo>
                                  <a:pt x="39" y="5442"/>
                                </a:lnTo>
                                <a:lnTo>
                                  <a:pt x="48" y="5444"/>
                                </a:lnTo>
                                <a:lnTo>
                                  <a:pt x="1483" y="5444"/>
                                </a:lnTo>
                                <a:lnTo>
                                  <a:pt x="1483" y="5895"/>
                                </a:lnTo>
                                <a:lnTo>
                                  <a:pt x="1485" y="5904"/>
                                </a:lnTo>
                                <a:lnTo>
                                  <a:pt x="1491" y="5910"/>
                                </a:lnTo>
                                <a:lnTo>
                                  <a:pt x="1496" y="5917"/>
                                </a:lnTo>
                                <a:lnTo>
                                  <a:pt x="1505" y="5923"/>
                                </a:lnTo>
                                <a:lnTo>
                                  <a:pt x="1517" y="5928"/>
                                </a:lnTo>
                                <a:lnTo>
                                  <a:pt x="1526" y="5930"/>
                                </a:lnTo>
                                <a:lnTo>
                                  <a:pt x="1536" y="5933"/>
                                </a:lnTo>
                                <a:lnTo>
                                  <a:pt x="1548" y="5935"/>
                                </a:lnTo>
                                <a:lnTo>
                                  <a:pt x="1561" y="5937"/>
                                </a:lnTo>
                                <a:lnTo>
                                  <a:pt x="1576" y="5939"/>
                                </a:lnTo>
                                <a:lnTo>
                                  <a:pt x="1593" y="5940"/>
                                </a:lnTo>
                                <a:lnTo>
                                  <a:pt x="1610" y="5941"/>
                                </a:lnTo>
                                <a:lnTo>
                                  <a:pt x="1629" y="5941"/>
                                </a:lnTo>
                                <a:lnTo>
                                  <a:pt x="1649" y="5941"/>
                                </a:lnTo>
                                <a:lnTo>
                                  <a:pt x="1667" y="5940"/>
                                </a:lnTo>
                                <a:lnTo>
                                  <a:pt x="1684" y="5939"/>
                                </a:lnTo>
                                <a:lnTo>
                                  <a:pt x="1699" y="5937"/>
                                </a:lnTo>
                                <a:lnTo>
                                  <a:pt x="1713" y="5935"/>
                                </a:lnTo>
                                <a:lnTo>
                                  <a:pt x="1725" y="5933"/>
                                </a:lnTo>
                                <a:lnTo>
                                  <a:pt x="1735" y="5930"/>
                                </a:lnTo>
                                <a:lnTo>
                                  <a:pt x="1745" y="5928"/>
                                </a:lnTo>
                                <a:lnTo>
                                  <a:pt x="1755" y="5923"/>
                                </a:lnTo>
                                <a:lnTo>
                                  <a:pt x="1764" y="5917"/>
                                </a:lnTo>
                                <a:lnTo>
                                  <a:pt x="1769" y="5910"/>
                                </a:lnTo>
                                <a:lnTo>
                                  <a:pt x="1775" y="5904"/>
                                </a:lnTo>
                                <a:lnTo>
                                  <a:pt x="1777" y="5895"/>
                                </a:lnTo>
                                <a:lnTo>
                                  <a:pt x="1777" y="4632"/>
                                </a:lnTo>
                                <a:close/>
                                <a:moveTo>
                                  <a:pt x="1777" y="3294"/>
                                </a:moveTo>
                                <a:lnTo>
                                  <a:pt x="1775" y="3272"/>
                                </a:lnTo>
                                <a:lnTo>
                                  <a:pt x="1770" y="3252"/>
                                </a:lnTo>
                                <a:lnTo>
                                  <a:pt x="1761" y="3234"/>
                                </a:lnTo>
                                <a:lnTo>
                                  <a:pt x="1749" y="3218"/>
                                </a:lnTo>
                                <a:lnTo>
                                  <a:pt x="1734" y="3205"/>
                                </a:lnTo>
                                <a:lnTo>
                                  <a:pt x="1715" y="3195"/>
                                </a:lnTo>
                                <a:lnTo>
                                  <a:pt x="1691" y="3189"/>
                                </a:lnTo>
                                <a:lnTo>
                                  <a:pt x="1663" y="3187"/>
                                </a:lnTo>
                                <a:lnTo>
                                  <a:pt x="1502" y="3187"/>
                                </a:lnTo>
                                <a:lnTo>
                                  <a:pt x="1502" y="3547"/>
                                </a:lnTo>
                                <a:lnTo>
                                  <a:pt x="1502" y="3713"/>
                                </a:lnTo>
                                <a:lnTo>
                                  <a:pt x="1502" y="3737"/>
                                </a:lnTo>
                                <a:lnTo>
                                  <a:pt x="1501" y="3763"/>
                                </a:lnTo>
                                <a:lnTo>
                                  <a:pt x="1499" y="3785"/>
                                </a:lnTo>
                                <a:lnTo>
                                  <a:pt x="1497" y="3805"/>
                                </a:lnTo>
                                <a:lnTo>
                                  <a:pt x="1495" y="3822"/>
                                </a:lnTo>
                                <a:lnTo>
                                  <a:pt x="1493" y="3837"/>
                                </a:lnTo>
                                <a:lnTo>
                                  <a:pt x="1490" y="3852"/>
                                </a:lnTo>
                                <a:lnTo>
                                  <a:pt x="1487" y="3866"/>
                                </a:lnTo>
                                <a:lnTo>
                                  <a:pt x="1472" y="3908"/>
                                </a:lnTo>
                                <a:lnTo>
                                  <a:pt x="1453" y="3944"/>
                                </a:lnTo>
                                <a:lnTo>
                                  <a:pt x="1430" y="3974"/>
                                </a:lnTo>
                                <a:lnTo>
                                  <a:pt x="1401" y="3997"/>
                                </a:lnTo>
                                <a:lnTo>
                                  <a:pt x="1370" y="4014"/>
                                </a:lnTo>
                                <a:lnTo>
                                  <a:pt x="1335" y="4027"/>
                                </a:lnTo>
                                <a:lnTo>
                                  <a:pt x="1296" y="4034"/>
                                </a:lnTo>
                                <a:lnTo>
                                  <a:pt x="1254" y="4037"/>
                                </a:lnTo>
                                <a:lnTo>
                                  <a:pt x="1226" y="4035"/>
                                </a:lnTo>
                                <a:lnTo>
                                  <a:pt x="1200" y="4031"/>
                                </a:lnTo>
                                <a:lnTo>
                                  <a:pt x="1175" y="4025"/>
                                </a:lnTo>
                                <a:lnTo>
                                  <a:pt x="1151" y="4017"/>
                                </a:lnTo>
                                <a:lnTo>
                                  <a:pt x="1128" y="4006"/>
                                </a:lnTo>
                                <a:lnTo>
                                  <a:pt x="1107" y="3993"/>
                                </a:lnTo>
                                <a:lnTo>
                                  <a:pt x="1088" y="3978"/>
                                </a:lnTo>
                                <a:lnTo>
                                  <a:pt x="1070" y="3960"/>
                                </a:lnTo>
                                <a:lnTo>
                                  <a:pt x="1055" y="3940"/>
                                </a:lnTo>
                                <a:lnTo>
                                  <a:pt x="1041" y="3917"/>
                                </a:lnTo>
                                <a:lnTo>
                                  <a:pt x="1029" y="3891"/>
                                </a:lnTo>
                                <a:lnTo>
                                  <a:pt x="1019" y="3864"/>
                                </a:lnTo>
                                <a:lnTo>
                                  <a:pt x="1011" y="3834"/>
                                </a:lnTo>
                                <a:lnTo>
                                  <a:pt x="1005" y="3802"/>
                                </a:lnTo>
                                <a:lnTo>
                                  <a:pt x="1002" y="3767"/>
                                </a:lnTo>
                                <a:lnTo>
                                  <a:pt x="1001" y="3729"/>
                                </a:lnTo>
                                <a:lnTo>
                                  <a:pt x="1001" y="3547"/>
                                </a:lnTo>
                                <a:lnTo>
                                  <a:pt x="1502" y="3547"/>
                                </a:lnTo>
                                <a:lnTo>
                                  <a:pt x="1502" y="3187"/>
                                </a:lnTo>
                                <a:lnTo>
                                  <a:pt x="48" y="3187"/>
                                </a:lnTo>
                                <a:lnTo>
                                  <a:pt x="39" y="3189"/>
                                </a:lnTo>
                                <a:lnTo>
                                  <a:pt x="25" y="3201"/>
                                </a:lnTo>
                                <a:lnTo>
                                  <a:pt x="19" y="3211"/>
                                </a:lnTo>
                                <a:lnTo>
                                  <a:pt x="14" y="3224"/>
                                </a:lnTo>
                                <a:lnTo>
                                  <a:pt x="11" y="3235"/>
                                </a:lnTo>
                                <a:lnTo>
                                  <a:pt x="8" y="3248"/>
                                </a:lnTo>
                                <a:lnTo>
                                  <a:pt x="5" y="3263"/>
                                </a:lnTo>
                                <a:lnTo>
                                  <a:pt x="3" y="3279"/>
                                </a:lnTo>
                                <a:lnTo>
                                  <a:pt x="2" y="3298"/>
                                </a:lnTo>
                                <a:lnTo>
                                  <a:pt x="1" y="3319"/>
                                </a:lnTo>
                                <a:lnTo>
                                  <a:pt x="0" y="3341"/>
                                </a:lnTo>
                                <a:lnTo>
                                  <a:pt x="0" y="3366"/>
                                </a:lnTo>
                                <a:lnTo>
                                  <a:pt x="0" y="3391"/>
                                </a:lnTo>
                                <a:lnTo>
                                  <a:pt x="1" y="3415"/>
                                </a:lnTo>
                                <a:lnTo>
                                  <a:pt x="2" y="3435"/>
                                </a:lnTo>
                                <a:lnTo>
                                  <a:pt x="3" y="3453"/>
                                </a:lnTo>
                                <a:lnTo>
                                  <a:pt x="5" y="3470"/>
                                </a:lnTo>
                                <a:lnTo>
                                  <a:pt x="8" y="3485"/>
                                </a:lnTo>
                                <a:lnTo>
                                  <a:pt x="11" y="3498"/>
                                </a:lnTo>
                                <a:lnTo>
                                  <a:pt x="14" y="3509"/>
                                </a:lnTo>
                                <a:lnTo>
                                  <a:pt x="19" y="3522"/>
                                </a:lnTo>
                                <a:lnTo>
                                  <a:pt x="25" y="3531"/>
                                </a:lnTo>
                                <a:lnTo>
                                  <a:pt x="39" y="3543"/>
                                </a:lnTo>
                                <a:lnTo>
                                  <a:pt x="48" y="3547"/>
                                </a:lnTo>
                                <a:lnTo>
                                  <a:pt x="731" y="3547"/>
                                </a:lnTo>
                                <a:lnTo>
                                  <a:pt x="731" y="3659"/>
                                </a:lnTo>
                                <a:lnTo>
                                  <a:pt x="729" y="3687"/>
                                </a:lnTo>
                                <a:lnTo>
                                  <a:pt x="726" y="3713"/>
                                </a:lnTo>
                                <a:lnTo>
                                  <a:pt x="720" y="3737"/>
                                </a:lnTo>
                                <a:lnTo>
                                  <a:pt x="713" y="3761"/>
                                </a:lnTo>
                                <a:lnTo>
                                  <a:pt x="703" y="3782"/>
                                </a:lnTo>
                                <a:lnTo>
                                  <a:pt x="691" y="3801"/>
                                </a:lnTo>
                                <a:lnTo>
                                  <a:pt x="676" y="3820"/>
                                </a:lnTo>
                                <a:lnTo>
                                  <a:pt x="660" y="3837"/>
                                </a:lnTo>
                                <a:lnTo>
                                  <a:pt x="642" y="3854"/>
                                </a:lnTo>
                                <a:lnTo>
                                  <a:pt x="621" y="3869"/>
                                </a:lnTo>
                                <a:lnTo>
                                  <a:pt x="598" y="3884"/>
                                </a:lnTo>
                                <a:lnTo>
                                  <a:pt x="573" y="3899"/>
                                </a:lnTo>
                                <a:lnTo>
                                  <a:pt x="546" y="3912"/>
                                </a:lnTo>
                                <a:lnTo>
                                  <a:pt x="518" y="3926"/>
                                </a:lnTo>
                                <a:lnTo>
                                  <a:pt x="487" y="3940"/>
                                </a:lnTo>
                                <a:lnTo>
                                  <a:pt x="455" y="3954"/>
                                </a:lnTo>
                                <a:lnTo>
                                  <a:pt x="60" y="4112"/>
                                </a:lnTo>
                                <a:lnTo>
                                  <a:pt x="49" y="4116"/>
                                </a:lnTo>
                                <a:lnTo>
                                  <a:pt x="39" y="4121"/>
                                </a:lnTo>
                                <a:lnTo>
                                  <a:pt x="31" y="4127"/>
                                </a:lnTo>
                                <a:lnTo>
                                  <a:pt x="24" y="4131"/>
                                </a:lnTo>
                                <a:lnTo>
                                  <a:pt x="18" y="4141"/>
                                </a:lnTo>
                                <a:lnTo>
                                  <a:pt x="13" y="4154"/>
                                </a:lnTo>
                                <a:lnTo>
                                  <a:pt x="9" y="4165"/>
                                </a:lnTo>
                                <a:lnTo>
                                  <a:pt x="6" y="4178"/>
                                </a:lnTo>
                                <a:lnTo>
                                  <a:pt x="4" y="4192"/>
                                </a:lnTo>
                                <a:lnTo>
                                  <a:pt x="2" y="4208"/>
                                </a:lnTo>
                                <a:lnTo>
                                  <a:pt x="1" y="4227"/>
                                </a:lnTo>
                                <a:lnTo>
                                  <a:pt x="0" y="4248"/>
                                </a:lnTo>
                                <a:lnTo>
                                  <a:pt x="0" y="4340"/>
                                </a:lnTo>
                                <a:lnTo>
                                  <a:pt x="0" y="4361"/>
                                </a:lnTo>
                                <a:lnTo>
                                  <a:pt x="1" y="4386"/>
                                </a:lnTo>
                                <a:lnTo>
                                  <a:pt x="2" y="4407"/>
                                </a:lnTo>
                                <a:lnTo>
                                  <a:pt x="4" y="4426"/>
                                </a:lnTo>
                                <a:lnTo>
                                  <a:pt x="6" y="4442"/>
                                </a:lnTo>
                                <a:lnTo>
                                  <a:pt x="9" y="4457"/>
                                </a:lnTo>
                                <a:lnTo>
                                  <a:pt x="12" y="4469"/>
                                </a:lnTo>
                                <a:lnTo>
                                  <a:pt x="17" y="4482"/>
                                </a:lnTo>
                                <a:lnTo>
                                  <a:pt x="21" y="4490"/>
                                </a:lnTo>
                                <a:lnTo>
                                  <a:pt x="36" y="4497"/>
                                </a:lnTo>
                                <a:lnTo>
                                  <a:pt x="44" y="4500"/>
                                </a:lnTo>
                                <a:lnTo>
                                  <a:pt x="63" y="4500"/>
                                </a:lnTo>
                                <a:lnTo>
                                  <a:pt x="75" y="4497"/>
                                </a:lnTo>
                                <a:lnTo>
                                  <a:pt x="92" y="4493"/>
                                </a:lnTo>
                                <a:lnTo>
                                  <a:pt x="106" y="4488"/>
                                </a:lnTo>
                                <a:lnTo>
                                  <a:pt x="123" y="4482"/>
                                </a:lnTo>
                                <a:lnTo>
                                  <a:pt x="144" y="4475"/>
                                </a:lnTo>
                                <a:lnTo>
                                  <a:pt x="168" y="4465"/>
                                </a:lnTo>
                                <a:lnTo>
                                  <a:pt x="516" y="4316"/>
                                </a:lnTo>
                                <a:lnTo>
                                  <a:pt x="547" y="4303"/>
                                </a:lnTo>
                                <a:lnTo>
                                  <a:pt x="576" y="4290"/>
                                </a:lnTo>
                                <a:lnTo>
                                  <a:pt x="603" y="4277"/>
                                </a:lnTo>
                                <a:lnTo>
                                  <a:pt x="629" y="4263"/>
                                </a:lnTo>
                                <a:lnTo>
                                  <a:pt x="653" y="4249"/>
                                </a:lnTo>
                                <a:lnTo>
                                  <a:pt x="676" y="4235"/>
                                </a:lnTo>
                                <a:lnTo>
                                  <a:pt x="698" y="4220"/>
                                </a:lnTo>
                                <a:lnTo>
                                  <a:pt x="717" y="4205"/>
                                </a:lnTo>
                                <a:lnTo>
                                  <a:pt x="736" y="4189"/>
                                </a:lnTo>
                                <a:lnTo>
                                  <a:pt x="754" y="4173"/>
                                </a:lnTo>
                                <a:lnTo>
                                  <a:pt x="770" y="4157"/>
                                </a:lnTo>
                                <a:lnTo>
                                  <a:pt x="785" y="4140"/>
                                </a:lnTo>
                                <a:lnTo>
                                  <a:pt x="798" y="4122"/>
                                </a:lnTo>
                                <a:lnTo>
                                  <a:pt x="810" y="4103"/>
                                </a:lnTo>
                                <a:lnTo>
                                  <a:pt x="821" y="4085"/>
                                </a:lnTo>
                                <a:lnTo>
                                  <a:pt x="830" y="4065"/>
                                </a:lnTo>
                                <a:lnTo>
                                  <a:pt x="845" y="4105"/>
                                </a:lnTo>
                                <a:lnTo>
                                  <a:pt x="861" y="4142"/>
                                </a:lnTo>
                                <a:lnTo>
                                  <a:pt x="879" y="4178"/>
                                </a:lnTo>
                                <a:lnTo>
                                  <a:pt x="899" y="4211"/>
                                </a:lnTo>
                                <a:lnTo>
                                  <a:pt x="921" y="4242"/>
                                </a:lnTo>
                                <a:lnTo>
                                  <a:pt x="945" y="4270"/>
                                </a:lnTo>
                                <a:lnTo>
                                  <a:pt x="971" y="4296"/>
                                </a:lnTo>
                                <a:lnTo>
                                  <a:pt x="998" y="4319"/>
                                </a:lnTo>
                                <a:lnTo>
                                  <a:pt x="1028" y="4340"/>
                                </a:lnTo>
                                <a:lnTo>
                                  <a:pt x="1060" y="4358"/>
                                </a:lnTo>
                                <a:lnTo>
                                  <a:pt x="1094" y="4373"/>
                                </a:lnTo>
                                <a:lnTo>
                                  <a:pt x="1129" y="4386"/>
                                </a:lnTo>
                                <a:lnTo>
                                  <a:pt x="1167" y="4395"/>
                                </a:lnTo>
                                <a:lnTo>
                                  <a:pt x="1206" y="4402"/>
                                </a:lnTo>
                                <a:lnTo>
                                  <a:pt x="1248" y="4406"/>
                                </a:lnTo>
                                <a:lnTo>
                                  <a:pt x="1291" y="4407"/>
                                </a:lnTo>
                                <a:lnTo>
                                  <a:pt x="1343" y="4406"/>
                                </a:lnTo>
                                <a:lnTo>
                                  <a:pt x="1391" y="4400"/>
                                </a:lnTo>
                                <a:lnTo>
                                  <a:pt x="1436" y="4390"/>
                                </a:lnTo>
                                <a:lnTo>
                                  <a:pt x="1478" y="4376"/>
                                </a:lnTo>
                                <a:lnTo>
                                  <a:pt x="1517" y="4359"/>
                                </a:lnTo>
                                <a:lnTo>
                                  <a:pt x="1554" y="4338"/>
                                </a:lnTo>
                                <a:lnTo>
                                  <a:pt x="1588" y="4314"/>
                                </a:lnTo>
                                <a:lnTo>
                                  <a:pt x="1619" y="4286"/>
                                </a:lnTo>
                                <a:lnTo>
                                  <a:pt x="1647" y="4255"/>
                                </a:lnTo>
                                <a:lnTo>
                                  <a:pt x="1672" y="4220"/>
                                </a:lnTo>
                                <a:lnTo>
                                  <a:pt x="1695" y="4182"/>
                                </a:lnTo>
                                <a:lnTo>
                                  <a:pt x="1715" y="4141"/>
                                </a:lnTo>
                                <a:lnTo>
                                  <a:pt x="1732" y="4097"/>
                                </a:lnTo>
                                <a:lnTo>
                                  <a:pt x="1742" y="4065"/>
                                </a:lnTo>
                                <a:lnTo>
                                  <a:pt x="1746" y="4050"/>
                                </a:lnTo>
                                <a:lnTo>
                                  <a:pt x="1750" y="4037"/>
                                </a:lnTo>
                                <a:lnTo>
                                  <a:pt x="1758" y="4001"/>
                                </a:lnTo>
                                <a:lnTo>
                                  <a:pt x="1767" y="3949"/>
                                </a:lnTo>
                                <a:lnTo>
                                  <a:pt x="1769" y="3930"/>
                                </a:lnTo>
                                <a:lnTo>
                                  <a:pt x="1771" y="3908"/>
                                </a:lnTo>
                                <a:lnTo>
                                  <a:pt x="1772" y="3888"/>
                                </a:lnTo>
                                <a:lnTo>
                                  <a:pt x="1773" y="3866"/>
                                </a:lnTo>
                                <a:lnTo>
                                  <a:pt x="1775" y="3842"/>
                                </a:lnTo>
                                <a:lnTo>
                                  <a:pt x="1776" y="3815"/>
                                </a:lnTo>
                                <a:lnTo>
                                  <a:pt x="1777" y="3785"/>
                                </a:lnTo>
                                <a:lnTo>
                                  <a:pt x="1777" y="3761"/>
                                </a:lnTo>
                                <a:lnTo>
                                  <a:pt x="1777" y="3294"/>
                                </a:lnTo>
                                <a:close/>
                                <a:moveTo>
                                  <a:pt x="1777" y="122"/>
                                </a:moveTo>
                                <a:lnTo>
                                  <a:pt x="1775" y="96"/>
                                </a:lnTo>
                                <a:lnTo>
                                  <a:pt x="1769" y="72"/>
                                </a:lnTo>
                                <a:lnTo>
                                  <a:pt x="1759" y="52"/>
                                </a:lnTo>
                                <a:lnTo>
                                  <a:pt x="1745" y="33"/>
                                </a:lnTo>
                                <a:lnTo>
                                  <a:pt x="1726" y="19"/>
                                </a:lnTo>
                                <a:lnTo>
                                  <a:pt x="1704" y="8"/>
                                </a:lnTo>
                                <a:lnTo>
                                  <a:pt x="1678" y="2"/>
                                </a:lnTo>
                                <a:lnTo>
                                  <a:pt x="1649" y="0"/>
                                </a:lnTo>
                                <a:lnTo>
                                  <a:pt x="1499" y="0"/>
                                </a:lnTo>
                                <a:lnTo>
                                  <a:pt x="1499" y="360"/>
                                </a:lnTo>
                                <a:lnTo>
                                  <a:pt x="1498" y="521"/>
                                </a:lnTo>
                                <a:lnTo>
                                  <a:pt x="1498" y="541"/>
                                </a:lnTo>
                                <a:lnTo>
                                  <a:pt x="1497" y="568"/>
                                </a:lnTo>
                                <a:lnTo>
                                  <a:pt x="1495" y="595"/>
                                </a:lnTo>
                                <a:lnTo>
                                  <a:pt x="1491" y="621"/>
                                </a:lnTo>
                                <a:lnTo>
                                  <a:pt x="1486" y="647"/>
                                </a:lnTo>
                                <a:lnTo>
                                  <a:pt x="1479" y="673"/>
                                </a:lnTo>
                                <a:lnTo>
                                  <a:pt x="1468" y="698"/>
                                </a:lnTo>
                                <a:lnTo>
                                  <a:pt x="1455" y="722"/>
                                </a:lnTo>
                                <a:lnTo>
                                  <a:pt x="1439" y="745"/>
                                </a:lnTo>
                                <a:lnTo>
                                  <a:pt x="1419" y="766"/>
                                </a:lnTo>
                                <a:lnTo>
                                  <a:pt x="1394" y="785"/>
                                </a:lnTo>
                                <a:lnTo>
                                  <a:pt x="1367" y="803"/>
                                </a:lnTo>
                                <a:lnTo>
                                  <a:pt x="1334" y="817"/>
                                </a:lnTo>
                                <a:lnTo>
                                  <a:pt x="1298" y="827"/>
                                </a:lnTo>
                                <a:lnTo>
                                  <a:pt x="1258" y="833"/>
                                </a:lnTo>
                                <a:lnTo>
                                  <a:pt x="1213" y="835"/>
                                </a:lnTo>
                                <a:lnTo>
                                  <a:pt x="1179" y="834"/>
                                </a:lnTo>
                                <a:lnTo>
                                  <a:pt x="1147" y="830"/>
                                </a:lnTo>
                                <a:lnTo>
                                  <a:pt x="1116" y="824"/>
                                </a:lnTo>
                                <a:lnTo>
                                  <a:pt x="1087" y="816"/>
                                </a:lnTo>
                                <a:lnTo>
                                  <a:pt x="1059" y="805"/>
                                </a:lnTo>
                                <a:lnTo>
                                  <a:pt x="1033" y="793"/>
                                </a:lnTo>
                                <a:lnTo>
                                  <a:pt x="1009" y="778"/>
                                </a:lnTo>
                                <a:lnTo>
                                  <a:pt x="987" y="761"/>
                                </a:lnTo>
                                <a:lnTo>
                                  <a:pt x="968" y="741"/>
                                </a:lnTo>
                                <a:lnTo>
                                  <a:pt x="951" y="718"/>
                                </a:lnTo>
                                <a:lnTo>
                                  <a:pt x="935" y="693"/>
                                </a:lnTo>
                                <a:lnTo>
                                  <a:pt x="923" y="665"/>
                                </a:lnTo>
                                <a:lnTo>
                                  <a:pt x="912" y="634"/>
                                </a:lnTo>
                                <a:lnTo>
                                  <a:pt x="905" y="600"/>
                                </a:lnTo>
                                <a:lnTo>
                                  <a:pt x="900" y="562"/>
                                </a:lnTo>
                                <a:lnTo>
                                  <a:pt x="899" y="521"/>
                                </a:lnTo>
                                <a:lnTo>
                                  <a:pt x="899" y="360"/>
                                </a:lnTo>
                                <a:lnTo>
                                  <a:pt x="1499" y="360"/>
                                </a:lnTo>
                                <a:lnTo>
                                  <a:pt x="1499" y="0"/>
                                </a:lnTo>
                                <a:lnTo>
                                  <a:pt x="48" y="0"/>
                                </a:lnTo>
                                <a:lnTo>
                                  <a:pt x="39" y="2"/>
                                </a:lnTo>
                                <a:lnTo>
                                  <a:pt x="25" y="14"/>
                                </a:lnTo>
                                <a:lnTo>
                                  <a:pt x="19" y="24"/>
                                </a:lnTo>
                                <a:lnTo>
                                  <a:pt x="14" y="37"/>
                                </a:lnTo>
                                <a:lnTo>
                                  <a:pt x="11" y="48"/>
                                </a:lnTo>
                                <a:lnTo>
                                  <a:pt x="8" y="61"/>
                                </a:lnTo>
                                <a:lnTo>
                                  <a:pt x="5" y="76"/>
                                </a:lnTo>
                                <a:lnTo>
                                  <a:pt x="3" y="92"/>
                                </a:lnTo>
                                <a:lnTo>
                                  <a:pt x="2" y="111"/>
                                </a:lnTo>
                                <a:lnTo>
                                  <a:pt x="1" y="131"/>
                                </a:lnTo>
                                <a:lnTo>
                                  <a:pt x="0" y="154"/>
                                </a:lnTo>
                                <a:lnTo>
                                  <a:pt x="0" y="179"/>
                                </a:lnTo>
                                <a:lnTo>
                                  <a:pt x="0" y="204"/>
                                </a:lnTo>
                                <a:lnTo>
                                  <a:pt x="1" y="227"/>
                                </a:lnTo>
                                <a:lnTo>
                                  <a:pt x="2" y="248"/>
                                </a:lnTo>
                                <a:lnTo>
                                  <a:pt x="3" y="266"/>
                                </a:lnTo>
                                <a:lnTo>
                                  <a:pt x="5" y="283"/>
                                </a:lnTo>
                                <a:lnTo>
                                  <a:pt x="8" y="297"/>
                                </a:lnTo>
                                <a:lnTo>
                                  <a:pt x="11" y="310"/>
                                </a:lnTo>
                                <a:lnTo>
                                  <a:pt x="14" y="321"/>
                                </a:lnTo>
                                <a:lnTo>
                                  <a:pt x="19" y="335"/>
                                </a:lnTo>
                                <a:lnTo>
                                  <a:pt x="25" y="344"/>
                                </a:lnTo>
                                <a:lnTo>
                                  <a:pt x="39" y="356"/>
                                </a:lnTo>
                                <a:lnTo>
                                  <a:pt x="48" y="360"/>
                                </a:lnTo>
                                <a:lnTo>
                                  <a:pt x="621" y="360"/>
                                </a:lnTo>
                                <a:lnTo>
                                  <a:pt x="622" y="512"/>
                                </a:lnTo>
                                <a:lnTo>
                                  <a:pt x="624" y="592"/>
                                </a:lnTo>
                                <a:lnTo>
                                  <a:pt x="631" y="671"/>
                                </a:lnTo>
                                <a:lnTo>
                                  <a:pt x="644" y="744"/>
                                </a:lnTo>
                                <a:lnTo>
                                  <a:pt x="662" y="811"/>
                                </a:lnTo>
                                <a:lnTo>
                                  <a:pt x="685" y="873"/>
                                </a:lnTo>
                                <a:lnTo>
                                  <a:pt x="713" y="931"/>
                                </a:lnTo>
                                <a:lnTo>
                                  <a:pt x="745" y="983"/>
                                </a:lnTo>
                                <a:lnTo>
                                  <a:pt x="782" y="1029"/>
                                </a:lnTo>
                                <a:lnTo>
                                  <a:pt x="824" y="1071"/>
                                </a:lnTo>
                                <a:lnTo>
                                  <a:pt x="870" y="1108"/>
                                </a:lnTo>
                                <a:lnTo>
                                  <a:pt x="920" y="1139"/>
                                </a:lnTo>
                                <a:lnTo>
                                  <a:pt x="975" y="1165"/>
                                </a:lnTo>
                                <a:lnTo>
                                  <a:pt x="1035" y="1185"/>
                                </a:lnTo>
                                <a:lnTo>
                                  <a:pt x="1099" y="1199"/>
                                </a:lnTo>
                                <a:lnTo>
                                  <a:pt x="1167" y="1208"/>
                                </a:lnTo>
                                <a:lnTo>
                                  <a:pt x="1239" y="1211"/>
                                </a:lnTo>
                                <a:lnTo>
                                  <a:pt x="1292" y="1209"/>
                                </a:lnTo>
                                <a:lnTo>
                                  <a:pt x="1342" y="1203"/>
                                </a:lnTo>
                                <a:lnTo>
                                  <a:pt x="1389" y="1194"/>
                                </a:lnTo>
                                <a:lnTo>
                                  <a:pt x="1434" y="1181"/>
                                </a:lnTo>
                                <a:lnTo>
                                  <a:pt x="1476" y="1164"/>
                                </a:lnTo>
                                <a:lnTo>
                                  <a:pt x="1515" y="1144"/>
                                </a:lnTo>
                                <a:lnTo>
                                  <a:pt x="1552" y="1121"/>
                                </a:lnTo>
                                <a:lnTo>
                                  <a:pt x="1586" y="1094"/>
                                </a:lnTo>
                                <a:lnTo>
                                  <a:pt x="1617" y="1064"/>
                                </a:lnTo>
                                <a:lnTo>
                                  <a:pt x="1645" y="1030"/>
                                </a:lnTo>
                                <a:lnTo>
                                  <a:pt x="1671" y="994"/>
                                </a:lnTo>
                                <a:lnTo>
                                  <a:pt x="1693" y="955"/>
                                </a:lnTo>
                                <a:lnTo>
                                  <a:pt x="1713" y="915"/>
                                </a:lnTo>
                                <a:lnTo>
                                  <a:pt x="1729" y="874"/>
                                </a:lnTo>
                                <a:lnTo>
                                  <a:pt x="1742" y="835"/>
                                </a:lnTo>
                                <a:lnTo>
                                  <a:pt x="1742" y="834"/>
                                </a:lnTo>
                                <a:lnTo>
                                  <a:pt x="1752" y="794"/>
                                </a:lnTo>
                                <a:lnTo>
                                  <a:pt x="1759" y="756"/>
                                </a:lnTo>
                                <a:lnTo>
                                  <a:pt x="1764" y="721"/>
                                </a:lnTo>
                                <a:lnTo>
                                  <a:pt x="1769" y="688"/>
                                </a:lnTo>
                                <a:lnTo>
                                  <a:pt x="1772" y="659"/>
                                </a:lnTo>
                                <a:lnTo>
                                  <a:pt x="1774" y="630"/>
                                </a:lnTo>
                                <a:lnTo>
                                  <a:pt x="1776" y="600"/>
                                </a:lnTo>
                                <a:lnTo>
                                  <a:pt x="1777" y="570"/>
                                </a:lnTo>
                                <a:lnTo>
                                  <a:pt x="1777" y="541"/>
                                </a:lnTo>
                                <a:lnTo>
                                  <a:pt x="1777" y="122"/>
                                </a:lnTo>
                                <a:close/>
                                <a:moveTo>
                                  <a:pt x="1784" y="2069"/>
                                </a:moveTo>
                                <a:lnTo>
                                  <a:pt x="1784" y="2043"/>
                                </a:lnTo>
                                <a:lnTo>
                                  <a:pt x="1783" y="2019"/>
                                </a:lnTo>
                                <a:lnTo>
                                  <a:pt x="1782" y="2000"/>
                                </a:lnTo>
                                <a:lnTo>
                                  <a:pt x="1780" y="1982"/>
                                </a:lnTo>
                                <a:lnTo>
                                  <a:pt x="1777" y="1966"/>
                                </a:lnTo>
                                <a:lnTo>
                                  <a:pt x="1773" y="1953"/>
                                </a:lnTo>
                                <a:lnTo>
                                  <a:pt x="1769" y="1942"/>
                                </a:lnTo>
                                <a:lnTo>
                                  <a:pt x="1764" y="1933"/>
                                </a:lnTo>
                                <a:lnTo>
                                  <a:pt x="1759" y="1925"/>
                                </a:lnTo>
                                <a:lnTo>
                                  <a:pt x="1752" y="1919"/>
                                </a:lnTo>
                                <a:lnTo>
                                  <a:pt x="1744" y="1913"/>
                                </a:lnTo>
                                <a:lnTo>
                                  <a:pt x="1735" y="1908"/>
                                </a:lnTo>
                                <a:lnTo>
                                  <a:pt x="1725" y="1903"/>
                                </a:lnTo>
                                <a:lnTo>
                                  <a:pt x="1644" y="1875"/>
                                </a:lnTo>
                                <a:lnTo>
                                  <a:pt x="1439" y="1804"/>
                                </a:lnTo>
                                <a:lnTo>
                                  <a:pt x="1439" y="2126"/>
                                </a:lnTo>
                                <a:lnTo>
                                  <a:pt x="1439" y="2127"/>
                                </a:lnTo>
                                <a:lnTo>
                                  <a:pt x="687" y="2377"/>
                                </a:lnTo>
                                <a:lnTo>
                                  <a:pt x="687" y="1875"/>
                                </a:lnTo>
                                <a:lnTo>
                                  <a:pt x="1439" y="2126"/>
                                </a:lnTo>
                                <a:lnTo>
                                  <a:pt x="1439" y="1804"/>
                                </a:lnTo>
                                <a:lnTo>
                                  <a:pt x="144" y="1353"/>
                                </a:lnTo>
                                <a:lnTo>
                                  <a:pt x="122" y="1346"/>
                                </a:lnTo>
                                <a:lnTo>
                                  <a:pt x="102" y="1340"/>
                                </a:lnTo>
                                <a:lnTo>
                                  <a:pt x="84" y="1336"/>
                                </a:lnTo>
                                <a:lnTo>
                                  <a:pt x="68" y="1333"/>
                                </a:lnTo>
                                <a:lnTo>
                                  <a:pt x="55" y="1332"/>
                                </a:lnTo>
                                <a:lnTo>
                                  <a:pt x="42" y="1334"/>
                                </a:lnTo>
                                <a:lnTo>
                                  <a:pt x="32" y="1337"/>
                                </a:lnTo>
                                <a:lnTo>
                                  <a:pt x="24" y="1343"/>
                                </a:lnTo>
                                <a:lnTo>
                                  <a:pt x="16" y="1351"/>
                                </a:lnTo>
                                <a:lnTo>
                                  <a:pt x="10" y="1362"/>
                                </a:lnTo>
                                <a:lnTo>
                                  <a:pt x="6" y="1375"/>
                                </a:lnTo>
                                <a:lnTo>
                                  <a:pt x="3" y="1392"/>
                                </a:lnTo>
                                <a:lnTo>
                                  <a:pt x="2" y="1411"/>
                                </a:lnTo>
                                <a:lnTo>
                                  <a:pt x="1" y="1434"/>
                                </a:lnTo>
                                <a:lnTo>
                                  <a:pt x="0" y="1460"/>
                                </a:lnTo>
                                <a:lnTo>
                                  <a:pt x="0" y="1518"/>
                                </a:lnTo>
                                <a:lnTo>
                                  <a:pt x="0" y="1543"/>
                                </a:lnTo>
                                <a:lnTo>
                                  <a:pt x="1" y="1566"/>
                                </a:lnTo>
                                <a:lnTo>
                                  <a:pt x="2" y="1585"/>
                                </a:lnTo>
                                <a:lnTo>
                                  <a:pt x="4" y="1602"/>
                                </a:lnTo>
                                <a:lnTo>
                                  <a:pt x="6" y="1617"/>
                                </a:lnTo>
                                <a:lnTo>
                                  <a:pt x="9" y="1630"/>
                                </a:lnTo>
                                <a:lnTo>
                                  <a:pt x="13" y="1641"/>
                                </a:lnTo>
                                <a:lnTo>
                                  <a:pt x="18" y="1655"/>
                                </a:lnTo>
                                <a:lnTo>
                                  <a:pt x="24" y="1664"/>
                                </a:lnTo>
                                <a:lnTo>
                                  <a:pt x="33" y="1670"/>
                                </a:lnTo>
                                <a:lnTo>
                                  <a:pt x="42" y="1676"/>
                                </a:lnTo>
                                <a:lnTo>
                                  <a:pt x="53" y="1681"/>
                                </a:lnTo>
                                <a:lnTo>
                                  <a:pt x="65" y="1685"/>
                                </a:lnTo>
                                <a:lnTo>
                                  <a:pt x="411" y="1796"/>
                                </a:lnTo>
                                <a:lnTo>
                                  <a:pt x="411" y="2461"/>
                                </a:lnTo>
                                <a:lnTo>
                                  <a:pt x="44" y="2583"/>
                                </a:lnTo>
                                <a:lnTo>
                                  <a:pt x="35" y="2588"/>
                                </a:lnTo>
                                <a:lnTo>
                                  <a:pt x="26" y="2594"/>
                                </a:lnTo>
                                <a:lnTo>
                                  <a:pt x="19" y="2599"/>
                                </a:lnTo>
                                <a:lnTo>
                                  <a:pt x="14" y="2609"/>
                                </a:lnTo>
                                <a:lnTo>
                                  <a:pt x="9" y="2622"/>
                                </a:lnTo>
                                <a:lnTo>
                                  <a:pt x="7" y="2634"/>
                                </a:lnTo>
                                <a:lnTo>
                                  <a:pt x="5" y="2647"/>
                                </a:lnTo>
                                <a:lnTo>
                                  <a:pt x="3" y="2663"/>
                                </a:lnTo>
                                <a:lnTo>
                                  <a:pt x="1" y="2682"/>
                                </a:lnTo>
                                <a:lnTo>
                                  <a:pt x="0" y="2703"/>
                                </a:lnTo>
                                <a:lnTo>
                                  <a:pt x="0" y="2729"/>
                                </a:lnTo>
                                <a:lnTo>
                                  <a:pt x="0" y="2791"/>
                                </a:lnTo>
                                <a:lnTo>
                                  <a:pt x="0" y="2822"/>
                                </a:lnTo>
                                <a:lnTo>
                                  <a:pt x="1" y="2850"/>
                                </a:lnTo>
                                <a:lnTo>
                                  <a:pt x="2" y="2875"/>
                                </a:lnTo>
                                <a:lnTo>
                                  <a:pt x="3" y="2895"/>
                                </a:lnTo>
                                <a:lnTo>
                                  <a:pt x="5" y="2913"/>
                                </a:lnTo>
                                <a:lnTo>
                                  <a:pt x="9" y="2928"/>
                                </a:lnTo>
                                <a:lnTo>
                                  <a:pt x="14" y="2940"/>
                                </a:lnTo>
                                <a:lnTo>
                                  <a:pt x="20" y="2949"/>
                                </a:lnTo>
                                <a:lnTo>
                                  <a:pt x="28" y="2955"/>
                                </a:lnTo>
                                <a:lnTo>
                                  <a:pt x="38" y="2959"/>
                                </a:lnTo>
                                <a:lnTo>
                                  <a:pt x="50" y="2961"/>
                                </a:lnTo>
                                <a:lnTo>
                                  <a:pt x="63" y="2960"/>
                                </a:lnTo>
                                <a:lnTo>
                                  <a:pt x="79" y="2958"/>
                                </a:lnTo>
                                <a:lnTo>
                                  <a:pt x="97" y="2953"/>
                                </a:lnTo>
                                <a:lnTo>
                                  <a:pt x="118" y="2947"/>
                                </a:lnTo>
                                <a:lnTo>
                                  <a:pt x="141" y="2940"/>
                                </a:lnTo>
                                <a:lnTo>
                                  <a:pt x="1710" y="2393"/>
                                </a:lnTo>
                                <a:lnTo>
                                  <a:pt x="1722" y="2388"/>
                                </a:lnTo>
                                <a:lnTo>
                                  <a:pt x="1733" y="2383"/>
                                </a:lnTo>
                                <a:lnTo>
                                  <a:pt x="1743" y="2379"/>
                                </a:lnTo>
                                <a:lnTo>
                                  <a:pt x="1745" y="2377"/>
                                </a:lnTo>
                                <a:lnTo>
                                  <a:pt x="1751" y="2373"/>
                                </a:lnTo>
                                <a:lnTo>
                                  <a:pt x="1758" y="2366"/>
                                </a:lnTo>
                                <a:lnTo>
                                  <a:pt x="1764" y="2357"/>
                                </a:lnTo>
                                <a:lnTo>
                                  <a:pt x="1769" y="2347"/>
                                </a:lnTo>
                                <a:lnTo>
                                  <a:pt x="1773" y="2335"/>
                                </a:lnTo>
                                <a:lnTo>
                                  <a:pt x="1777" y="2320"/>
                                </a:lnTo>
                                <a:lnTo>
                                  <a:pt x="1780" y="2303"/>
                                </a:lnTo>
                                <a:lnTo>
                                  <a:pt x="1782" y="2283"/>
                                </a:lnTo>
                                <a:lnTo>
                                  <a:pt x="1783" y="2261"/>
                                </a:lnTo>
                                <a:lnTo>
                                  <a:pt x="1784" y="2234"/>
                                </a:lnTo>
                                <a:lnTo>
                                  <a:pt x="1784" y="2204"/>
                                </a:lnTo>
                                <a:lnTo>
                                  <a:pt x="1784" y="20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10E0F1" id="docshapegroup105" o:spid="_x0000_s1026" style="width:178.35pt;height:498.25pt;mso-position-horizontal-relative:char;mso-position-vertical-relative:line" coordsize="3567,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">
                <v:shape id="docshape106" o:spid="_x0000_s1027" type="#_x0000_t75" style="position:absolute;width:3567;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">
                  <v:imagedata r:id="rId70" o:title=""/>
                </v:shape>
                <v:shape id="docshape107" o:spid="_x0000_s1028" style="position:absolute;left:886;top:340;width:1785;height:8064;visibility:visible;mso-wrap-style:square;v-text-anchor:top" coordsize="178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" path="m1777,6889r-2,-22l1770,6848r-9,-18l1749,6813r-15,-13l1715,6790r-24,-6l1663,6782r-156,l1507,7135r,182l1506,7357r-3,35l1499,7423r-6,28l1484,7474r-10,22l1462,7515r-13,18l1434,7549r-16,13l1399,7573r-20,10l1357,7590r-23,4l1309,7597r-26,1l1259,7597r-22,-2l1214,7590r-21,-6l1172,7575r-20,-10l1134,7552r-17,-14l1102,7521r-14,-18l1077,7483r-10,-23l1059,7435r-6,-29l1049,7373r-2,-36l1047,7135r460,l1507,6782r-721,l786,7135r,222l785,7395r-4,42l776,7475r-8,33l758,7537r-12,27l733,7588r-16,21l700,7628r-19,16l659,7658r-23,12l611,7679r-27,6l555,7689r-30,2l497,7689r-26,-4l445,7678r-24,-9l399,7657r-20,-13l361,7628r-17,-18l330,7590r-13,-21l307,7546r-8,-25l291,7494r-5,-30l283,7431r-1,-36l282,7135r504,l786,6782r-665,l93,6784r-23,6l50,6800r-15,13l23,6830r-8,18l10,6867r-2,22l8,7373r1,39l11,7461r4,47l20,7553r8,42l37,7637r11,40l61,7716r15,38l92,7790r19,34l131,7856r22,31l177,7915r27,27l231,7965r31,22l295,8007r35,16l367,8037r40,12l448,8057r44,5l539,8064r43,-2l624,8057r39,-9l701,8036r34,-15l768,8004r30,-20l827,7962r25,-25l876,7910r21,-29l915,7850r16,-32l944,7784r11,-35l963,7712r12,28l989,7768r15,25l1021,7817r18,21l1059,7859r21,18l1103,7893r24,15l1152,7921r26,11l1206,7941r29,8l1265,7954r30,3l1327,7958r56,-2l1434,7948r48,-13l1526,7917r41,-23l1604,7867r33,-32l1667,7799r26,-41l1715,7712r8,-21l1734,7663r15,-54l1752,7598r9,-49l1770,7484r5,-72l1777,7337r,-202l1777,6889xm1777,4632r-2,-7l1769,4617r-5,-6l1755,4605r-10,-3l1735,4598r-10,-3l1713,4593r-14,-2l1684,4589r-17,-1l1649,4588r-20,-1l1610,4588r-17,l1576,4589r-15,2l1548,4593r-12,2l1526,4598r-9,4l1505,4605r-9,6l1491,4617r-6,8l1483,4632r,452l48,5084r-9,3l25,5099r-6,9l14,5123r-3,10l8,5146r-3,15l3,5178r-1,18l1,5216,,5239r,25l,5289r1,23l2,5332r1,19l5,5368r3,14l11,5395r3,12l19,5420r6,10l39,5442r9,2l1483,5444r,451l1485,5904r6,6l1496,5917r9,6l1517,5928r9,2l1536,5933r12,2l1561,5937r15,2l1593,5940r17,1l1629,5941r20,l1667,5940r17,-1l1699,5937r14,-2l1725,5933r10,-3l1745,5928r10,-5l1764,5917r5,-7l1775,5904r2,-9l1777,4632xm1777,3294r-2,-22l1770,3252r-9,-18l1749,3218r-15,-13l1715,3195r-24,-6l1663,3187r-161,l1502,3547r,166l1502,3737r-1,26l1499,3785r-2,20l1495,3822r-2,15l1490,3852r-3,14l1472,3908r-19,36l1430,3974r-29,23l1370,4014r-35,13l1296,4034r-42,3l1226,4035r-26,-4l1175,4025r-24,-8l1128,4006r-21,-13l1088,3978r-18,-18l1055,3940r-14,-23l1029,3891r-10,-27l1011,3834r-6,-32l1002,3767r-1,-38l1001,3547r501,l1502,3187r-1454,l39,3189r-14,12l19,3211r-5,13l11,3235r-3,13l5,3263r-2,16l2,3298r-1,21l,3341r,25l,3391r1,24l2,3435r1,18l5,3470r3,15l11,3498r3,11l19,3522r6,9l39,3543r9,4l731,3547r,112l729,3687r-3,26l720,3737r-7,24l703,3782r-12,19l676,3820r-16,17l642,3854r-21,15l598,3884r-25,15l546,3912r-28,14l487,3940r-32,14l60,4112r-11,4l39,4121r-8,6l24,4131r-6,10l13,4154r-4,11l6,4178r-2,14l2,4208r-1,19l,4248r,92l,4361r1,25l2,4407r2,19l6,4442r3,15l12,4469r5,13l21,4490r15,7l44,4500r19,l75,4497r17,-4l106,4488r17,-6l144,4475r24,-10l516,4316r31,-13l576,4290r27,-13l629,4263r24,-14l676,4235r22,-15l717,4205r19,-16l754,4173r16,-16l785,4140r13,-18l810,4103r11,-18l830,4065r15,40l861,4142r18,36l899,4211r22,31l945,4270r26,26l998,4319r30,21l1060,4358r34,15l1129,4386r38,9l1206,4402r42,4l1291,4407r52,-1l1391,4400r45,-10l1478,4376r39,-17l1554,4338r34,-24l1619,4286r28,-31l1672,4220r23,-38l1715,4141r17,-44l1742,4065r4,-15l1750,4037r8,-36l1767,3949r2,-19l1771,3908r1,-20l1773,3866r2,-24l1776,3815r1,-30l1777,3761r,-467xm1777,122r-2,-26l1769,72,1759,52,1745,33,1726,19,1704,8,1678,2,1649,,1499,r,360l1498,521r,20l1497,568r-2,27l1491,621r-5,26l1479,673r-11,25l1455,722r-16,23l1419,766r-25,19l1367,803r-33,14l1298,827r-40,6l1213,835r-34,-1l1147,830r-31,-6l1087,816r-28,-11l1033,793r-24,-15l987,761,968,741,951,718,935,693,923,665,912,634r-7,-34l900,562r-1,-41l899,360r600,l1499,,48,,39,2,25,14,19,24,14,37,11,48,8,61,5,76,3,92,2,111,1,131,,154r,25l,204r1,23l2,248r1,18l5,283r3,14l11,310r3,11l19,335r6,9l39,356r9,4l621,360r1,152l624,592r7,79l644,744r18,67l685,873r28,58l745,983r37,46l824,1071r46,37l920,1139r55,26l1035,1185r64,14l1167,1208r72,3l1292,1209r50,-6l1389,1194r45,-13l1476,1164r39,-20l1552,1121r34,-27l1617,1064r28,-34l1671,994r22,-39l1713,915r16,-41l1742,835r,-1l1752,794r7,-38l1764,721r5,-33l1772,659r2,-29l1776,600r1,-30l1777,541r,-419xm1784,2069r,-26l1783,2019r-1,-19l1780,1982r-3,-16l1773,1953r-4,-11l1764,1933r-5,-8l1752,1919r-8,-6l1735,1908r-10,-5l1644,1875r-205,-71l1439,2126r,1l687,2377r,-502l1439,2126r,-322l144,1353r-22,-7l102,1340r-18,-4l68,1333r-13,-1l42,1334r-10,3l24,1343r-8,8l10,1362r-4,13l3,1392r-1,19l1,1434,,1460r,58l,1543r1,23l2,1585r2,17l6,1617r3,13l13,1641r5,14l24,1664r9,6l42,1676r11,5l65,1685r346,111l411,2461,44,2583r-9,5l26,2594r-7,5l14,2609r-5,13l7,2634r-2,13l3,2663r-2,19l,2703r,26l,2791r,31l1,2850r1,25l3,2895r2,18l9,2928r5,12l20,2949r8,6l38,2959r12,2l63,2960r16,-2l97,2953r21,-6l141,2940,1710,2393r12,-5l1733,2383r10,-4l1745,2377r6,-4l1758,2366r6,-9l1769,2347r4,-12l1777,2320r3,-17l1782,2283r1,-22l1784,2234r,-30l1784,2069xe" stroked="f">
                  <v:path arrowok="t" o:connecttype="custom" o:connectlocs="1507,7476;1418,7903;1172,7916;1047,7678;758,7878;525,8032;307,7887;70,7131;20,7894;204,8283;624,8398;931,8159;1103,8234;1482,8276;1752,7939;1755,4946;1593,4929;1483,4973;2,5537;14,5748;1517,6269;1684,6280;1777,4973;1502,3888;1453,4285;1128,4347;1001,4070;5,3604;8,3826;720,4078;518,4267;6,4519;9,4798;144,4816;736,4530;899,4552;1248,4747;1672,4561;1772,4229;1745,374;1491,962;1258,1174;951,1059;39,343;0,520;39,697;782,1370;1389,1535;1729,1215;1777,882;1759,2266;1439,2467;16,1692;4,1943;411,2802;0,3044;28,3296;1743,2720;1784,2575" o:connectangles="0,0,0,0,0,0,0,0,0,0,0,0,0,0,0,0,0,0,0,0,0,0,0,0,0,0,0,0,0,0,0,0,0,0,0,0,0,0,0,0,0,0,0,0,0,0,0,0,0,0,0,0,0,0,0,0,0,0,0"/>
                </v:shape>
                <w10:anchorlock/>
              </v:group>
            </w:pict>
          </mc:Fallback>
        </mc:AlternateContent>
      </w:r>
    </w:p>
    <w:p w14:paraId="35AC329A" w14:textId="77777777" w:rsidR="00141B97" w:rsidRDefault="00141B97">
      <w:pPr>
        <w:rPr>
          <w:sz w:val="20"/>
        </w:rPr>
        <w:sectPr w:rsidR="00141B97">
          <w:footerReference w:type="default" r:id="rId71"/>
          <w:pgSz w:w="11910" w:h="16840"/>
          <w:pgMar w:top="1000" w:right="40" w:bottom="0" w:left="1020" w:header="0" w:footer="0" w:gutter="0"/>
          <w:cols w:space="720"/>
        </w:sectPr>
      </w:pPr>
    </w:p>
    <w:p w14:paraId="2A1E0521" w14:textId="77777777" w:rsidR="00141B97" w:rsidRDefault="00911D63">
      <w:pPr>
        <w:spacing w:line="577" w:lineRule="exact"/>
        <w:ind w:left="114"/>
        <w:rPr>
          <w:sz w:val="48"/>
        </w:rPr>
      </w:pPr>
      <w:r>
        <w:rPr>
          <w:color w:val="006CA3"/>
          <w:sz w:val="48"/>
        </w:rPr>
        <w:lastRenderedPageBreak/>
        <w:t>Table</w:t>
      </w:r>
      <w:r>
        <w:rPr>
          <w:color w:val="006CA3"/>
          <w:spacing w:val="-1"/>
          <w:sz w:val="48"/>
        </w:rPr>
        <w:t xml:space="preserve"> </w:t>
      </w:r>
      <w:r>
        <w:rPr>
          <w:color w:val="006CA3"/>
          <w:sz w:val="48"/>
        </w:rPr>
        <w:t>of Contents</w:t>
      </w:r>
      <w:r>
        <w:rPr>
          <w:color w:val="006CA3"/>
          <w:spacing w:val="1"/>
          <w:sz w:val="48"/>
        </w:rPr>
        <w:t xml:space="preserve"> </w:t>
      </w:r>
      <w:r>
        <w:rPr>
          <w:color w:val="006CA3"/>
          <w:sz w:val="48"/>
        </w:rPr>
        <w:t>–</w:t>
      </w:r>
      <w:r>
        <w:rPr>
          <w:color w:val="006CA3"/>
          <w:spacing w:val="-1"/>
          <w:sz w:val="48"/>
        </w:rPr>
        <w:t xml:space="preserve"> </w:t>
      </w:r>
      <w:r>
        <w:rPr>
          <w:color w:val="006CA3"/>
          <w:sz w:val="48"/>
        </w:rPr>
        <w:t>Part</w:t>
      </w:r>
      <w:r>
        <w:rPr>
          <w:color w:val="006CA3"/>
          <w:spacing w:val="-1"/>
          <w:sz w:val="48"/>
        </w:rPr>
        <w:t xml:space="preserve"> </w:t>
      </w:r>
      <w:r>
        <w:rPr>
          <w:color w:val="006CA3"/>
          <w:sz w:val="48"/>
        </w:rPr>
        <w:t xml:space="preserve">B </w:t>
      </w:r>
      <w:r>
        <w:rPr>
          <w:color w:val="006CA3"/>
          <w:spacing w:val="-2"/>
          <w:sz w:val="48"/>
        </w:rPr>
        <w:t>Urban</w:t>
      </w:r>
    </w:p>
    <w:p w14:paraId="5CB78BE4" w14:textId="77777777" w:rsidR="00141B97" w:rsidRDefault="00911D63">
      <w:pPr>
        <w:pStyle w:val="Heading3"/>
        <w:numPr>
          <w:ilvl w:val="0"/>
          <w:numId w:val="82"/>
        </w:numPr>
        <w:tabs>
          <w:tab w:val="left" w:pos="681"/>
          <w:tab w:val="left" w:pos="682"/>
          <w:tab w:val="right" w:leader="dot" w:pos="9893"/>
        </w:tabs>
        <w:spacing w:before="119"/>
        <w:rPr>
          <w:rFonts w:ascii="Arial"/>
          <w:b/>
        </w:rPr>
      </w:pPr>
      <w:r>
        <w:rPr>
          <w:color w:val="009BAC"/>
          <w:spacing w:val="-2"/>
        </w:rPr>
        <w:t>Introduction</w:t>
      </w:r>
      <w:r>
        <w:rPr>
          <w:rFonts w:ascii="Times New Roman"/>
          <w:color w:val="009BAC"/>
        </w:rPr>
        <w:tab/>
      </w:r>
      <w:r>
        <w:rPr>
          <w:rFonts w:ascii="Arial"/>
          <w:b/>
          <w:color w:val="009BAC"/>
          <w:spacing w:val="-5"/>
        </w:rPr>
        <w:t>46</w:t>
      </w:r>
    </w:p>
    <w:p w14:paraId="087E9FEB" w14:textId="77777777" w:rsidR="00141B97" w:rsidRDefault="00911D63">
      <w:pPr>
        <w:pStyle w:val="Heading3"/>
        <w:numPr>
          <w:ilvl w:val="0"/>
          <w:numId w:val="82"/>
        </w:numPr>
        <w:tabs>
          <w:tab w:val="left" w:pos="681"/>
          <w:tab w:val="left" w:pos="682"/>
          <w:tab w:val="right" w:leader="dot" w:pos="9893"/>
        </w:tabs>
        <w:spacing w:before="267"/>
        <w:rPr>
          <w:rFonts w:ascii="Arial"/>
          <w:b/>
        </w:rPr>
      </w:pPr>
      <w:r>
        <w:rPr>
          <w:color w:val="009BAC"/>
          <w:spacing w:val="-2"/>
        </w:rPr>
        <w:t>Performance</w:t>
      </w:r>
      <w:r>
        <w:rPr>
          <w:rFonts w:ascii="Times New Roman"/>
          <w:color w:val="009BAC"/>
        </w:rPr>
        <w:tab/>
      </w:r>
      <w:r>
        <w:rPr>
          <w:rFonts w:ascii="Arial"/>
          <w:b/>
          <w:color w:val="009BAC"/>
          <w:spacing w:val="-5"/>
        </w:rPr>
        <w:t>46</w:t>
      </w:r>
    </w:p>
    <w:p w14:paraId="7CC9B809" w14:textId="77777777" w:rsidR="00141B97" w:rsidRDefault="00911D63">
      <w:pPr>
        <w:pStyle w:val="ListParagraph"/>
        <w:numPr>
          <w:ilvl w:val="1"/>
          <w:numId w:val="82"/>
        </w:numPr>
        <w:tabs>
          <w:tab w:val="left" w:pos="1247"/>
          <w:tab w:val="left" w:pos="1248"/>
          <w:tab w:val="right" w:leader="dot" w:pos="9894"/>
        </w:tabs>
        <w:spacing w:before="183"/>
        <w:rPr>
          <w:rFonts w:ascii="Arial"/>
          <w:b/>
          <w:sz w:val="20"/>
        </w:rPr>
      </w:pPr>
      <w:r>
        <w:rPr>
          <w:sz w:val="20"/>
        </w:rPr>
        <w:t>PS4</w:t>
      </w:r>
      <w:r>
        <w:rPr>
          <w:spacing w:val="-5"/>
          <w:sz w:val="20"/>
        </w:rPr>
        <w:t xml:space="preserve"> </w:t>
      </w:r>
      <w:r>
        <w:rPr>
          <w:sz w:val="20"/>
        </w:rPr>
        <w:t>Service</w:t>
      </w:r>
      <w:r>
        <w:rPr>
          <w:spacing w:val="-3"/>
          <w:sz w:val="20"/>
        </w:rPr>
        <w:t xml:space="preserve"> </w:t>
      </w:r>
      <w:r>
        <w:rPr>
          <w:spacing w:val="-2"/>
          <w:sz w:val="20"/>
        </w:rPr>
        <w:t>Outcomes</w:t>
      </w:r>
      <w:r>
        <w:rPr>
          <w:rFonts w:ascii="Times New Roman"/>
          <w:sz w:val="20"/>
        </w:rPr>
        <w:tab/>
      </w:r>
      <w:r>
        <w:rPr>
          <w:rFonts w:ascii="Arial"/>
          <w:b/>
          <w:spacing w:val="-5"/>
          <w:sz w:val="20"/>
        </w:rPr>
        <w:t>46</w:t>
      </w:r>
    </w:p>
    <w:p w14:paraId="61A61DEA" w14:textId="77777777" w:rsidR="00141B97" w:rsidRDefault="00911D63">
      <w:pPr>
        <w:pStyle w:val="ListParagraph"/>
        <w:numPr>
          <w:ilvl w:val="2"/>
          <w:numId w:val="82"/>
        </w:numPr>
        <w:tabs>
          <w:tab w:val="left" w:pos="1928"/>
          <w:tab w:val="left" w:pos="1929"/>
          <w:tab w:val="right" w:leader="dot" w:pos="9900"/>
        </w:tabs>
        <w:spacing w:before="120"/>
        <w:rPr>
          <w:rFonts w:ascii="Arial"/>
          <w:sz w:val="20"/>
        </w:rPr>
      </w:pPr>
      <w:r>
        <w:rPr>
          <w:sz w:val="20"/>
        </w:rPr>
        <w:t>Outcome</w:t>
      </w:r>
      <w:r>
        <w:rPr>
          <w:spacing w:val="-2"/>
          <w:sz w:val="20"/>
        </w:rPr>
        <w:t xml:space="preserve"> </w:t>
      </w:r>
      <w:r>
        <w:rPr>
          <w:sz w:val="20"/>
        </w:rPr>
        <w:t>1:</w:t>
      </w:r>
      <w:r>
        <w:rPr>
          <w:spacing w:val="-2"/>
          <w:sz w:val="20"/>
        </w:rPr>
        <w:t xml:space="preserve"> </w:t>
      </w:r>
      <w:r>
        <w:rPr>
          <w:sz w:val="20"/>
        </w:rPr>
        <w:t>Keep</w:t>
      </w:r>
      <w:r>
        <w:rPr>
          <w:spacing w:val="-3"/>
          <w:sz w:val="20"/>
        </w:rPr>
        <w:t xml:space="preserve"> </w:t>
      </w:r>
      <w:r>
        <w:rPr>
          <w:sz w:val="20"/>
        </w:rPr>
        <w:t>my</w:t>
      </w:r>
      <w:r>
        <w:rPr>
          <w:spacing w:val="-3"/>
          <w:sz w:val="20"/>
        </w:rPr>
        <w:t xml:space="preserve"> </w:t>
      </w:r>
      <w:r>
        <w:rPr>
          <w:sz w:val="20"/>
        </w:rPr>
        <w:t>costs</w:t>
      </w:r>
      <w:r>
        <w:rPr>
          <w:spacing w:val="-2"/>
          <w:sz w:val="20"/>
        </w:rPr>
        <w:t xml:space="preserve"> </w:t>
      </w:r>
      <w:r>
        <w:rPr>
          <w:sz w:val="20"/>
        </w:rPr>
        <w:t>to</w:t>
      </w:r>
      <w:r>
        <w:rPr>
          <w:spacing w:val="-3"/>
          <w:sz w:val="20"/>
        </w:rPr>
        <w:t xml:space="preserve"> </w:t>
      </w:r>
      <w:r>
        <w:rPr>
          <w:sz w:val="20"/>
        </w:rPr>
        <w:t>a</w:t>
      </w:r>
      <w:r>
        <w:rPr>
          <w:spacing w:val="-2"/>
          <w:sz w:val="20"/>
        </w:rPr>
        <w:t xml:space="preserve"> minimum</w:t>
      </w:r>
      <w:r>
        <w:rPr>
          <w:rFonts w:ascii="Times New Roman"/>
          <w:sz w:val="20"/>
        </w:rPr>
        <w:tab/>
      </w:r>
      <w:r>
        <w:rPr>
          <w:rFonts w:ascii="Arial"/>
          <w:spacing w:val="-5"/>
          <w:sz w:val="20"/>
        </w:rPr>
        <w:t>48</w:t>
      </w:r>
    </w:p>
    <w:p w14:paraId="3CD68289" w14:textId="77777777" w:rsidR="00141B97" w:rsidRDefault="00911D63">
      <w:pPr>
        <w:pStyle w:val="ListParagraph"/>
        <w:numPr>
          <w:ilvl w:val="2"/>
          <w:numId w:val="82"/>
        </w:numPr>
        <w:tabs>
          <w:tab w:val="left" w:pos="1928"/>
          <w:tab w:val="left" w:pos="1929"/>
          <w:tab w:val="right" w:leader="dot" w:pos="9899"/>
        </w:tabs>
        <w:spacing w:before="122"/>
        <w:rPr>
          <w:rFonts w:ascii="Arial"/>
          <w:sz w:val="20"/>
        </w:rPr>
      </w:pPr>
      <w:r>
        <w:rPr>
          <w:sz w:val="20"/>
        </w:rPr>
        <w:t>Outcome</w:t>
      </w:r>
      <w:r>
        <w:rPr>
          <w:spacing w:val="-2"/>
          <w:sz w:val="20"/>
        </w:rPr>
        <w:t xml:space="preserve"> </w:t>
      </w:r>
      <w:r>
        <w:rPr>
          <w:sz w:val="20"/>
        </w:rPr>
        <w:t>2:</w:t>
      </w:r>
      <w:r>
        <w:rPr>
          <w:spacing w:val="-2"/>
          <w:sz w:val="20"/>
        </w:rPr>
        <w:t xml:space="preserve"> </w:t>
      </w:r>
      <w:r>
        <w:rPr>
          <w:sz w:val="20"/>
        </w:rPr>
        <w:t>Be</w:t>
      </w:r>
      <w:r>
        <w:rPr>
          <w:spacing w:val="-3"/>
          <w:sz w:val="20"/>
        </w:rPr>
        <w:t xml:space="preserve"> </w:t>
      </w:r>
      <w:r>
        <w:rPr>
          <w:sz w:val="20"/>
        </w:rPr>
        <w:t>easy</w:t>
      </w:r>
      <w:r>
        <w:rPr>
          <w:spacing w:val="-2"/>
          <w:sz w:val="20"/>
        </w:rPr>
        <w:t xml:space="preserve"> </w:t>
      </w:r>
      <w:r>
        <w:rPr>
          <w:sz w:val="20"/>
        </w:rPr>
        <w:t>to</w:t>
      </w:r>
      <w:r>
        <w:rPr>
          <w:spacing w:val="-3"/>
          <w:sz w:val="20"/>
        </w:rPr>
        <w:t xml:space="preserve"> </w:t>
      </w:r>
      <w:r>
        <w:rPr>
          <w:sz w:val="20"/>
        </w:rPr>
        <w:t>contact</w:t>
      </w:r>
      <w:r>
        <w:rPr>
          <w:spacing w:val="-2"/>
          <w:sz w:val="20"/>
        </w:rPr>
        <w:t xml:space="preserve"> </w:t>
      </w:r>
      <w:r>
        <w:rPr>
          <w:sz w:val="20"/>
        </w:rPr>
        <w:t>and</w:t>
      </w:r>
      <w:r>
        <w:rPr>
          <w:spacing w:val="-3"/>
          <w:sz w:val="20"/>
        </w:rPr>
        <w:t xml:space="preserve"> </w:t>
      </w:r>
      <w:r>
        <w:rPr>
          <w:sz w:val="20"/>
        </w:rPr>
        <w:t>quick</w:t>
      </w:r>
      <w:r>
        <w:rPr>
          <w:spacing w:val="-2"/>
          <w:sz w:val="20"/>
        </w:rPr>
        <w:t xml:space="preserve"> </w:t>
      </w:r>
      <w:r>
        <w:rPr>
          <w:sz w:val="20"/>
        </w:rPr>
        <w:t>to</w:t>
      </w:r>
      <w:r>
        <w:rPr>
          <w:spacing w:val="-2"/>
          <w:sz w:val="20"/>
        </w:rPr>
        <w:t xml:space="preserve"> respond</w:t>
      </w:r>
      <w:r>
        <w:rPr>
          <w:rFonts w:ascii="Times New Roman"/>
          <w:sz w:val="20"/>
        </w:rPr>
        <w:tab/>
      </w:r>
      <w:r>
        <w:rPr>
          <w:rFonts w:ascii="Arial"/>
          <w:spacing w:val="-5"/>
          <w:sz w:val="20"/>
        </w:rPr>
        <w:t>48</w:t>
      </w:r>
    </w:p>
    <w:p w14:paraId="0C5A8429" w14:textId="77777777" w:rsidR="00141B97" w:rsidRDefault="00911D63">
      <w:pPr>
        <w:pStyle w:val="ListParagraph"/>
        <w:numPr>
          <w:ilvl w:val="2"/>
          <w:numId w:val="82"/>
        </w:numPr>
        <w:tabs>
          <w:tab w:val="left" w:pos="1928"/>
          <w:tab w:val="left" w:pos="1929"/>
          <w:tab w:val="right" w:leader="dot" w:pos="9897"/>
        </w:tabs>
        <w:spacing w:before="123"/>
        <w:rPr>
          <w:rFonts w:ascii="Arial"/>
          <w:sz w:val="20"/>
        </w:rPr>
      </w:pPr>
      <w:r>
        <w:rPr>
          <w:sz w:val="20"/>
        </w:rPr>
        <w:t>Outcome</w:t>
      </w:r>
      <w:r>
        <w:rPr>
          <w:spacing w:val="-4"/>
          <w:sz w:val="20"/>
        </w:rPr>
        <w:t xml:space="preserve"> </w:t>
      </w:r>
      <w:r>
        <w:rPr>
          <w:sz w:val="20"/>
        </w:rPr>
        <w:t>3:</w:t>
      </w:r>
      <w:r>
        <w:rPr>
          <w:spacing w:val="-3"/>
          <w:sz w:val="20"/>
        </w:rPr>
        <w:t xml:space="preserve"> </w:t>
      </w:r>
      <w:r>
        <w:rPr>
          <w:sz w:val="20"/>
        </w:rPr>
        <w:t>Provide</w:t>
      </w:r>
      <w:r>
        <w:rPr>
          <w:spacing w:val="-3"/>
          <w:sz w:val="20"/>
        </w:rPr>
        <w:t xml:space="preserve"> </w:t>
      </w:r>
      <w:r>
        <w:rPr>
          <w:sz w:val="20"/>
        </w:rPr>
        <w:t>me</w:t>
      </w:r>
      <w:r>
        <w:rPr>
          <w:spacing w:val="-4"/>
          <w:sz w:val="20"/>
        </w:rPr>
        <w:t xml:space="preserve"> </w:t>
      </w:r>
      <w:r>
        <w:rPr>
          <w:sz w:val="20"/>
        </w:rPr>
        <w:t>with</w:t>
      </w:r>
      <w:r>
        <w:rPr>
          <w:spacing w:val="-3"/>
          <w:sz w:val="20"/>
        </w:rPr>
        <w:t xml:space="preserve"> </w:t>
      </w:r>
      <w:r>
        <w:rPr>
          <w:sz w:val="20"/>
        </w:rPr>
        <w:t>consistent,</w:t>
      </w:r>
      <w:r>
        <w:rPr>
          <w:spacing w:val="-4"/>
          <w:sz w:val="20"/>
        </w:rPr>
        <w:t xml:space="preserve"> </w:t>
      </w:r>
      <w:r>
        <w:rPr>
          <w:sz w:val="20"/>
        </w:rPr>
        <w:t>safe,</w:t>
      </w:r>
      <w:r>
        <w:rPr>
          <w:spacing w:val="-2"/>
          <w:sz w:val="20"/>
        </w:rPr>
        <w:t xml:space="preserve"> </w:t>
      </w:r>
      <w:r>
        <w:rPr>
          <w:sz w:val="20"/>
        </w:rPr>
        <w:t>clean</w:t>
      </w:r>
      <w:r>
        <w:rPr>
          <w:spacing w:val="-4"/>
          <w:sz w:val="20"/>
        </w:rPr>
        <w:t xml:space="preserve"> </w:t>
      </w:r>
      <w:r>
        <w:rPr>
          <w:sz w:val="20"/>
        </w:rPr>
        <w:t>drinking</w:t>
      </w:r>
      <w:r>
        <w:rPr>
          <w:spacing w:val="-3"/>
          <w:sz w:val="20"/>
        </w:rPr>
        <w:t xml:space="preserve"> </w:t>
      </w:r>
      <w:r>
        <w:rPr>
          <w:spacing w:val="-2"/>
          <w:sz w:val="20"/>
        </w:rPr>
        <w:t>water</w:t>
      </w:r>
      <w:r>
        <w:rPr>
          <w:rFonts w:ascii="Times New Roman"/>
          <w:sz w:val="20"/>
        </w:rPr>
        <w:tab/>
      </w:r>
      <w:r>
        <w:rPr>
          <w:rFonts w:ascii="Arial"/>
          <w:spacing w:val="-5"/>
          <w:sz w:val="20"/>
        </w:rPr>
        <w:t>48</w:t>
      </w:r>
    </w:p>
    <w:p w14:paraId="078CC9D4" w14:textId="77777777" w:rsidR="00141B97" w:rsidRDefault="00911D63">
      <w:pPr>
        <w:pStyle w:val="ListParagraph"/>
        <w:numPr>
          <w:ilvl w:val="2"/>
          <w:numId w:val="82"/>
        </w:numPr>
        <w:tabs>
          <w:tab w:val="left" w:pos="1928"/>
          <w:tab w:val="left" w:pos="1929"/>
          <w:tab w:val="right" w:leader="dot" w:pos="9898"/>
        </w:tabs>
        <w:spacing w:before="121"/>
        <w:rPr>
          <w:rFonts w:ascii="Arial"/>
          <w:sz w:val="20"/>
        </w:rPr>
      </w:pPr>
      <w:r>
        <w:rPr>
          <w:sz w:val="20"/>
        </w:rPr>
        <w:t>Outcome</w:t>
      </w:r>
      <w:r>
        <w:rPr>
          <w:spacing w:val="-2"/>
          <w:sz w:val="20"/>
        </w:rPr>
        <w:t xml:space="preserve"> </w:t>
      </w:r>
      <w:r>
        <w:rPr>
          <w:sz w:val="20"/>
        </w:rPr>
        <w:t>4:</w:t>
      </w:r>
      <w:r>
        <w:rPr>
          <w:spacing w:val="-3"/>
          <w:sz w:val="20"/>
        </w:rPr>
        <w:t xml:space="preserve"> </w:t>
      </w:r>
      <w:r>
        <w:rPr>
          <w:sz w:val="20"/>
        </w:rPr>
        <w:t>Provide</w:t>
      </w:r>
      <w:r>
        <w:rPr>
          <w:spacing w:val="-4"/>
          <w:sz w:val="20"/>
        </w:rPr>
        <w:t xml:space="preserve"> </w:t>
      </w:r>
      <w:r>
        <w:rPr>
          <w:sz w:val="20"/>
        </w:rPr>
        <w:t>me</w:t>
      </w:r>
      <w:r>
        <w:rPr>
          <w:spacing w:val="-4"/>
          <w:sz w:val="20"/>
        </w:rPr>
        <w:t xml:space="preserve"> </w:t>
      </w:r>
      <w:r>
        <w:rPr>
          <w:sz w:val="20"/>
        </w:rPr>
        <w:t>with</w:t>
      </w:r>
      <w:r>
        <w:rPr>
          <w:spacing w:val="-4"/>
          <w:sz w:val="20"/>
        </w:rPr>
        <w:t xml:space="preserve"> </w:t>
      </w:r>
      <w:r>
        <w:rPr>
          <w:sz w:val="20"/>
        </w:rPr>
        <w:t>reliable</w:t>
      </w:r>
      <w:r>
        <w:rPr>
          <w:spacing w:val="-4"/>
          <w:sz w:val="20"/>
        </w:rPr>
        <w:t xml:space="preserve"> </w:t>
      </w:r>
      <w:r>
        <w:rPr>
          <w:sz w:val="20"/>
        </w:rPr>
        <w:t>sewerage</w:t>
      </w:r>
      <w:r>
        <w:rPr>
          <w:spacing w:val="-2"/>
          <w:sz w:val="20"/>
        </w:rPr>
        <w:t xml:space="preserve"> services</w:t>
      </w:r>
      <w:r>
        <w:rPr>
          <w:rFonts w:ascii="Times New Roman"/>
          <w:sz w:val="20"/>
        </w:rPr>
        <w:tab/>
      </w:r>
      <w:r>
        <w:rPr>
          <w:rFonts w:ascii="Arial"/>
          <w:spacing w:val="-5"/>
          <w:sz w:val="20"/>
        </w:rPr>
        <w:t>49</w:t>
      </w:r>
    </w:p>
    <w:p w14:paraId="3F276E95" w14:textId="77777777" w:rsidR="00141B97" w:rsidRDefault="00911D63">
      <w:pPr>
        <w:pStyle w:val="ListParagraph"/>
        <w:numPr>
          <w:ilvl w:val="2"/>
          <w:numId w:val="82"/>
        </w:numPr>
        <w:tabs>
          <w:tab w:val="left" w:pos="1928"/>
          <w:tab w:val="left" w:pos="1929"/>
          <w:tab w:val="right" w:leader="dot" w:pos="9899"/>
        </w:tabs>
        <w:spacing w:before="122"/>
        <w:rPr>
          <w:rFonts w:ascii="Arial"/>
          <w:sz w:val="20"/>
        </w:rPr>
      </w:pPr>
      <w:r>
        <w:rPr>
          <w:sz w:val="20"/>
        </w:rPr>
        <w:t>Outcome</w:t>
      </w:r>
      <w:r>
        <w:rPr>
          <w:spacing w:val="-2"/>
          <w:sz w:val="20"/>
        </w:rPr>
        <w:t xml:space="preserve"> </w:t>
      </w:r>
      <w:r>
        <w:rPr>
          <w:sz w:val="20"/>
        </w:rPr>
        <w:t>5:</w:t>
      </w:r>
      <w:r>
        <w:rPr>
          <w:spacing w:val="-3"/>
          <w:sz w:val="20"/>
        </w:rPr>
        <w:t xml:space="preserve"> </w:t>
      </w:r>
      <w:r>
        <w:rPr>
          <w:sz w:val="20"/>
        </w:rPr>
        <w:t>Be</w:t>
      </w:r>
      <w:r>
        <w:rPr>
          <w:spacing w:val="-3"/>
          <w:sz w:val="20"/>
        </w:rPr>
        <w:t xml:space="preserve"> </w:t>
      </w:r>
      <w:r>
        <w:rPr>
          <w:sz w:val="20"/>
        </w:rPr>
        <w:t>present</w:t>
      </w:r>
      <w:r>
        <w:rPr>
          <w:spacing w:val="-5"/>
          <w:sz w:val="20"/>
        </w:rPr>
        <w:t xml:space="preserve"> </w:t>
      </w:r>
      <w:r>
        <w:rPr>
          <w:sz w:val="20"/>
        </w:rPr>
        <w:t>and</w:t>
      </w:r>
      <w:r>
        <w:rPr>
          <w:spacing w:val="-4"/>
          <w:sz w:val="20"/>
        </w:rPr>
        <w:t xml:space="preserve"> </w:t>
      </w:r>
      <w:r>
        <w:rPr>
          <w:sz w:val="20"/>
        </w:rPr>
        <w:t>active</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pacing w:val="-2"/>
          <w:sz w:val="20"/>
        </w:rPr>
        <w:t>community</w:t>
      </w:r>
      <w:r>
        <w:rPr>
          <w:rFonts w:ascii="Times New Roman"/>
          <w:sz w:val="20"/>
        </w:rPr>
        <w:tab/>
      </w:r>
      <w:r>
        <w:rPr>
          <w:rFonts w:ascii="Arial"/>
          <w:spacing w:val="-5"/>
          <w:sz w:val="20"/>
        </w:rPr>
        <w:t>49</w:t>
      </w:r>
    </w:p>
    <w:p w14:paraId="66CA162E" w14:textId="77777777" w:rsidR="00141B97" w:rsidRDefault="00911D63">
      <w:pPr>
        <w:pStyle w:val="ListParagraph"/>
        <w:numPr>
          <w:ilvl w:val="2"/>
          <w:numId w:val="82"/>
        </w:numPr>
        <w:tabs>
          <w:tab w:val="left" w:pos="1928"/>
          <w:tab w:val="left" w:pos="1929"/>
          <w:tab w:val="right" w:leader="dot" w:pos="9900"/>
        </w:tabs>
        <w:spacing w:before="122"/>
        <w:rPr>
          <w:rFonts w:ascii="Arial"/>
          <w:sz w:val="20"/>
        </w:rPr>
      </w:pPr>
      <w:r>
        <w:rPr>
          <w:sz w:val="20"/>
        </w:rPr>
        <w:t>Outcome</w:t>
      </w:r>
      <w:r>
        <w:rPr>
          <w:spacing w:val="-2"/>
          <w:sz w:val="20"/>
        </w:rPr>
        <w:t xml:space="preserve"> </w:t>
      </w:r>
      <w:r>
        <w:rPr>
          <w:sz w:val="20"/>
        </w:rPr>
        <w:t>6:</w:t>
      </w:r>
      <w:r>
        <w:rPr>
          <w:spacing w:val="-3"/>
          <w:sz w:val="20"/>
        </w:rPr>
        <w:t xml:space="preserve"> </w:t>
      </w:r>
      <w:r>
        <w:rPr>
          <w:sz w:val="20"/>
        </w:rPr>
        <w:t>Be</w:t>
      </w:r>
      <w:r>
        <w:rPr>
          <w:spacing w:val="-4"/>
          <w:sz w:val="20"/>
        </w:rPr>
        <w:t xml:space="preserve"> </w:t>
      </w:r>
      <w:r>
        <w:rPr>
          <w:sz w:val="20"/>
        </w:rPr>
        <w:t>mindful</w:t>
      </w:r>
      <w:r>
        <w:rPr>
          <w:spacing w:val="-4"/>
          <w:sz w:val="20"/>
        </w:rPr>
        <w:t xml:space="preserve"> </w:t>
      </w:r>
      <w:r>
        <w:rPr>
          <w:sz w:val="20"/>
        </w:rPr>
        <w:t>of</w:t>
      </w:r>
      <w:r>
        <w:rPr>
          <w:spacing w:val="-3"/>
          <w:sz w:val="20"/>
        </w:rPr>
        <w:t xml:space="preserve"> </w:t>
      </w:r>
      <w:r>
        <w:rPr>
          <w:sz w:val="20"/>
        </w:rPr>
        <w:t>our</w:t>
      </w:r>
      <w:r>
        <w:rPr>
          <w:spacing w:val="-3"/>
          <w:sz w:val="20"/>
        </w:rPr>
        <w:t xml:space="preserve"> </w:t>
      </w:r>
      <w:r>
        <w:rPr>
          <w:spacing w:val="-2"/>
          <w:sz w:val="20"/>
        </w:rPr>
        <w:t>environment</w:t>
      </w:r>
      <w:r>
        <w:rPr>
          <w:rFonts w:ascii="Times New Roman"/>
          <w:sz w:val="20"/>
        </w:rPr>
        <w:tab/>
      </w:r>
      <w:r>
        <w:rPr>
          <w:rFonts w:ascii="Arial"/>
          <w:spacing w:val="-5"/>
          <w:sz w:val="20"/>
        </w:rPr>
        <w:t>49</w:t>
      </w:r>
    </w:p>
    <w:p w14:paraId="71C1CA8F" w14:textId="77777777" w:rsidR="00141B97" w:rsidRDefault="00911D63">
      <w:pPr>
        <w:pStyle w:val="ListParagraph"/>
        <w:numPr>
          <w:ilvl w:val="2"/>
          <w:numId w:val="82"/>
        </w:numPr>
        <w:tabs>
          <w:tab w:val="left" w:pos="1928"/>
          <w:tab w:val="left" w:pos="1929"/>
          <w:tab w:val="right" w:leader="dot" w:pos="9898"/>
        </w:tabs>
        <w:spacing w:before="122"/>
        <w:rPr>
          <w:rFonts w:ascii="Arial"/>
          <w:sz w:val="20"/>
        </w:rPr>
      </w:pPr>
      <w:r>
        <w:rPr>
          <w:sz w:val="20"/>
        </w:rPr>
        <w:t>Outcome</w:t>
      </w:r>
      <w:r>
        <w:rPr>
          <w:spacing w:val="-4"/>
          <w:sz w:val="20"/>
        </w:rPr>
        <w:t xml:space="preserve"> </w:t>
      </w:r>
      <w:r>
        <w:rPr>
          <w:sz w:val="20"/>
        </w:rPr>
        <w:t>7:</w:t>
      </w:r>
      <w:r>
        <w:rPr>
          <w:spacing w:val="-4"/>
          <w:sz w:val="20"/>
        </w:rPr>
        <w:t xml:space="preserve"> </w:t>
      </w:r>
      <w:r>
        <w:rPr>
          <w:sz w:val="20"/>
        </w:rPr>
        <w:t>Comply</w:t>
      </w:r>
      <w:r>
        <w:rPr>
          <w:spacing w:val="-5"/>
          <w:sz w:val="20"/>
        </w:rPr>
        <w:t xml:space="preserve"> </w:t>
      </w:r>
      <w:r>
        <w:rPr>
          <w:sz w:val="20"/>
        </w:rPr>
        <w:t>with</w:t>
      </w:r>
      <w:r>
        <w:rPr>
          <w:spacing w:val="-5"/>
          <w:sz w:val="20"/>
        </w:rPr>
        <w:t xml:space="preserve"> </w:t>
      </w:r>
      <w:r>
        <w:rPr>
          <w:sz w:val="20"/>
        </w:rPr>
        <w:t>other</w:t>
      </w:r>
      <w:r>
        <w:rPr>
          <w:spacing w:val="-3"/>
          <w:sz w:val="20"/>
        </w:rPr>
        <w:t xml:space="preserve"> </w:t>
      </w:r>
      <w:r>
        <w:rPr>
          <w:sz w:val="20"/>
        </w:rPr>
        <w:t>government</w:t>
      </w:r>
      <w:r>
        <w:rPr>
          <w:spacing w:val="-5"/>
          <w:sz w:val="20"/>
        </w:rPr>
        <w:t xml:space="preserve"> </w:t>
      </w:r>
      <w:r>
        <w:rPr>
          <w:spacing w:val="-2"/>
          <w:sz w:val="20"/>
        </w:rPr>
        <w:t>obligations</w:t>
      </w:r>
      <w:r>
        <w:rPr>
          <w:rFonts w:ascii="Times New Roman"/>
          <w:sz w:val="20"/>
        </w:rPr>
        <w:tab/>
      </w:r>
      <w:r>
        <w:rPr>
          <w:rFonts w:ascii="Arial"/>
          <w:spacing w:val="-5"/>
          <w:sz w:val="20"/>
        </w:rPr>
        <w:t>50</w:t>
      </w:r>
    </w:p>
    <w:p w14:paraId="3284C6B6" w14:textId="77777777" w:rsidR="00141B97" w:rsidRDefault="00911D63">
      <w:pPr>
        <w:pStyle w:val="ListParagraph"/>
        <w:numPr>
          <w:ilvl w:val="2"/>
          <w:numId w:val="82"/>
        </w:numPr>
        <w:tabs>
          <w:tab w:val="left" w:pos="1928"/>
          <w:tab w:val="left" w:pos="1929"/>
          <w:tab w:val="right" w:leader="dot" w:pos="9902"/>
        </w:tabs>
        <w:spacing w:before="122"/>
        <w:rPr>
          <w:rFonts w:ascii="Arial"/>
          <w:sz w:val="20"/>
        </w:rPr>
      </w:pPr>
      <w:r>
        <w:rPr>
          <w:sz w:val="20"/>
        </w:rPr>
        <w:t>Guaranteed</w:t>
      </w:r>
      <w:r>
        <w:rPr>
          <w:spacing w:val="-6"/>
          <w:sz w:val="20"/>
        </w:rPr>
        <w:t xml:space="preserve"> </w:t>
      </w:r>
      <w:r>
        <w:rPr>
          <w:sz w:val="20"/>
        </w:rPr>
        <w:t>Service</w:t>
      </w:r>
      <w:r>
        <w:rPr>
          <w:spacing w:val="-5"/>
          <w:sz w:val="20"/>
        </w:rPr>
        <w:t xml:space="preserve"> </w:t>
      </w:r>
      <w:r>
        <w:rPr>
          <w:spacing w:val="-2"/>
          <w:sz w:val="20"/>
        </w:rPr>
        <w:t>Levels</w:t>
      </w:r>
      <w:r>
        <w:rPr>
          <w:rFonts w:ascii="Times New Roman"/>
          <w:sz w:val="20"/>
        </w:rPr>
        <w:tab/>
      </w:r>
      <w:r>
        <w:rPr>
          <w:rFonts w:ascii="Arial"/>
          <w:spacing w:val="-5"/>
          <w:sz w:val="20"/>
        </w:rPr>
        <w:t>50</w:t>
      </w:r>
    </w:p>
    <w:p w14:paraId="2AC80A36" w14:textId="77777777" w:rsidR="00141B97" w:rsidRDefault="00911D63">
      <w:pPr>
        <w:pStyle w:val="ListParagraph"/>
        <w:numPr>
          <w:ilvl w:val="1"/>
          <w:numId w:val="82"/>
        </w:numPr>
        <w:tabs>
          <w:tab w:val="left" w:pos="1247"/>
          <w:tab w:val="left" w:pos="1248"/>
          <w:tab w:val="right" w:leader="dot" w:pos="9892"/>
        </w:tabs>
        <w:spacing w:before="159"/>
        <w:rPr>
          <w:rFonts w:ascii="Arial"/>
          <w:b/>
          <w:sz w:val="20"/>
        </w:rPr>
      </w:pPr>
      <w:r>
        <w:rPr>
          <w:sz w:val="20"/>
        </w:rPr>
        <w:t>Price</w:t>
      </w:r>
      <w:r>
        <w:rPr>
          <w:spacing w:val="-4"/>
          <w:sz w:val="20"/>
        </w:rPr>
        <w:t xml:space="preserve"> </w:t>
      </w:r>
      <w:r>
        <w:rPr>
          <w:sz w:val="20"/>
        </w:rPr>
        <w:t>and</w:t>
      </w:r>
      <w:r>
        <w:rPr>
          <w:spacing w:val="-2"/>
          <w:sz w:val="20"/>
        </w:rPr>
        <w:t xml:space="preserve"> </w:t>
      </w:r>
      <w:r>
        <w:rPr>
          <w:sz w:val="20"/>
        </w:rPr>
        <w:t>Revenue</w:t>
      </w:r>
      <w:r>
        <w:rPr>
          <w:spacing w:val="-4"/>
          <w:sz w:val="20"/>
        </w:rPr>
        <w:t xml:space="preserve"> </w:t>
      </w:r>
      <w:r>
        <w:rPr>
          <w:sz w:val="20"/>
        </w:rPr>
        <w:t>Performance</w:t>
      </w:r>
      <w:r>
        <w:rPr>
          <w:spacing w:val="-2"/>
          <w:sz w:val="20"/>
        </w:rPr>
        <w:t xml:space="preserve"> </w:t>
      </w:r>
      <w:r>
        <w:rPr>
          <w:sz w:val="20"/>
        </w:rPr>
        <w:t>for</w:t>
      </w:r>
      <w:r>
        <w:rPr>
          <w:spacing w:val="-3"/>
          <w:sz w:val="20"/>
        </w:rPr>
        <w:t xml:space="preserve"> </w:t>
      </w:r>
      <w:r>
        <w:rPr>
          <w:spacing w:val="-5"/>
          <w:sz w:val="20"/>
        </w:rPr>
        <w:t>PS4</w:t>
      </w:r>
      <w:r>
        <w:rPr>
          <w:rFonts w:ascii="Times New Roman"/>
          <w:sz w:val="20"/>
        </w:rPr>
        <w:tab/>
      </w:r>
      <w:r>
        <w:rPr>
          <w:rFonts w:ascii="Arial"/>
          <w:b/>
          <w:spacing w:val="-5"/>
          <w:sz w:val="20"/>
        </w:rPr>
        <w:t>50</w:t>
      </w:r>
    </w:p>
    <w:p w14:paraId="573C8824" w14:textId="77777777" w:rsidR="00141B97" w:rsidRDefault="00911D63">
      <w:pPr>
        <w:pStyle w:val="ListParagraph"/>
        <w:numPr>
          <w:ilvl w:val="2"/>
          <w:numId w:val="82"/>
        </w:numPr>
        <w:tabs>
          <w:tab w:val="left" w:pos="1928"/>
          <w:tab w:val="left" w:pos="1929"/>
          <w:tab w:val="right" w:leader="dot" w:pos="9903"/>
        </w:tabs>
        <w:spacing w:before="119"/>
        <w:rPr>
          <w:rFonts w:ascii="Arial"/>
          <w:sz w:val="20"/>
        </w:rPr>
      </w:pPr>
      <w:r>
        <w:rPr>
          <w:sz w:val="20"/>
        </w:rPr>
        <w:t>Urban</w:t>
      </w:r>
      <w:r>
        <w:rPr>
          <w:spacing w:val="-2"/>
          <w:sz w:val="20"/>
        </w:rPr>
        <w:t xml:space="preserve"> Demand</w:t>
      </w:r>
      <w:r>
        <w:rPr>
          <w:rFonts w:ascii="Times New Roman"/>
          <w:sz w:val="20"/>
        </w:rPr>
        <w:tab/>
      </w:r>
      <w:r>
        <w:rPr>
          <w:rFonts w:ascii="Arial"/>
          <w:spacing w:val="-5"/>
          <w:sz w:val="20"/>
        </w:rPr>
        <w:t>50</w:t>
      </w:r>
    </w:p>
    <w:p w14:paraId="483FB4B4" w14:textId="77777777" w:rsidR="00141B97" w:rsidRDefault="00911D63">
      <w:pPr>
        <w:pStyle w:val="ListParagraph"/>
        <w:numPr>
          <w:ilvl w:val="2"/>
          <w:numId w:val="82"/>
        </w:numPr>
        <w:tabs>
          <w:tab w:val="left" w:pos="1928"/>
          <w:tab w:val="left" w:pos="1929"/>
          <w:tab w:val="right" w:leader="dot" w:pos="9903"/>
        </w:tabs>
        <w:spacing w:before="122"/>
        <w:rPr>
          <w:rFonts w:ascii="Arial"/>
          <w:sz w:val="20"/>
        </w:rPr>
      </w:pPr>
      <w:r>
        <w:rPr>
          <w:sz w:val="20"/>
        </w:rPr>
        <w:t>Urban</w:t>
      </w:r>
      <w:r>
        <w:rPr>
          <w:spacing w:val="-1"/>
          <w:sz w:val="20"/>
        </w:rPr>
        <w:t xml:space="preserve"> </w:t>
      </w:r>
      <w:r>
        <w:rPr>
          <w:spacing w:val="-2"/>
          <w:w w:val="95"/>
          <w:sz w:val="20"/>
        </w:rPr>
        <w:t>Revenue</w:t>
      </w:r>
      <w:r>
        <w:rPr>
          <w:rFonts w:ascii="Times New Roman"/>
          <w:sz w:val="20"/>
        </w:rPr>
        <w:tab/>
      </w:r>
      <w:r>
        <w:rPr>
          <w:rFonts w:ascii="Arial"/>
          <w:spacing w:val="-5"/>
          <w:sz w:val="20"/>
        </w:rPr>
        <w:t>50</w:t>
      </w:r>
    </w:p>
    <w:p w14:paraId="4F043F3F" w14:textId="77777777" w:rsidR="00141B97" w:rsidRDefault="00911D63">
      <w:pPr>
        <w:pStyle w:val="ListParagraph"/>
        <w:numPr>
          <w:ilvl w:val="2"/>
          <w:numId w:val="82"/>
        </w:numPr>
        <w:tabs>
          <w:tab w:val="left" w:pos="1928"/>
          <w:tab w:val="left" w:pos="1929"/>
          <w:tab w:val="right" w:leader="dot" w:pos="9902"/>
        </w:tabs>
        <w:spacing w:before="122"/>
        <w:rPr>
          <w:rFonts w:ascii="Arial"/>
          <w:sz w:val="20"/>
        </w:rPr>
      </w:pPr>
      <w:r>
        <w:rPr>
          <w:sz w:val="20"/>
        </w:rPr>
        <w:t>Summary</w:t>
      </w:r>
      <w:r>
        <w:rPr>
          <w:spacing w:val="-5"/>
          <w:sz w:val="20"/>
        </w:rPr>
        <w:t xml:space="preserve"> </w:t>
      </w:r>
      <w:r>
        <w:rPr>
          <w:sz w:val="20"/>
        </w:rPr>
        <w:t>Urban</w:t>
      </w:r>
      <w:r>
        <w:rPr>
          <w:spacing w:val="-4"/>
          <w:sz w:val="20"/>
        </w:rPr>
        <w:t xml:space="preserve"> </w:t>
      </w:r>
      <w:r>
        <w:rPr>
          <w:spacing w:val="-2"/>
          <w:sz w:val="20"/>
        </w:rPr>
        <w:t>Prices</w:t>
      </w:r>
      <w:r>
        <w:rPr>
          <w:rFonts w:ascii="Times New Roman"/>
          <w:sz w:val="20"/>
        </w:rPr>
        <w:tab/>
      </w:r>
      <w:r>
        <w:rPr>
          <w:rFonts w:ascii="Arial"/>
          <w:spacing w:val="-5"/>
          <w:sz w:val="20"/>
        </w:rPr>
        <w:t>51</w:t>
      </w:r>
    </w:p>
    <w:p w14:paraId="70FB3644" w14:textId="77777777" w:rsidR="00141B97" w:rsidRDefault="00911D63">
      <w:pPr>
        <w:pStyle w:val="ListParagraph"/>
        <w:numPr>
          <w:ilvl w:val="1"/>
          <w:numId w:val="82"/>
        </w:numPr>
        <w:tabs>
          <w:tab w:val="left" w:pos="1247"/>
          <w:tab w:val="left" w:pos="1248"/>
          <w:tab w:val="right" w:leader="dot" w:pos="9889"/>
        </w:tabs>
        <w:spacing w:before="158"/>
        <w:rPr>
          <w:rFonts w:ascii="Arial"/>
          <w:b/>
          <w:sz w:val="20"/>
        </w:rPr>
      </w:pPr>
      <w:r>
        <w:rPr>
          <w:sz w:val="20"/>
        </w:rPr>
        <w:t>Actual</w:t>
      </w:r>
      <w:r>
        <w:rPr>
          <w:spacing w:val="-5"/>
          <w:sz w:val="20"/>
        </w:rPr>
        <w:t xml:space="preserve"> </w:t>
      </w:r>
      <w:r>
        <w:rPr>
          <w:sz w:val="20"/>
        </w:rPr>
        <w:t>Operating</w:t>
      </w:r>
      <w:r>
        <w:rPr>
          <w:spacing w:val="-2"/>
          <w:sz w:val="20"/>
        </w:rPr>
        <w:t xml:space="preserve"> </w:t>
      </w:r>
      <w:r>
        <w:rPr>
          <w:sz w:val="20"/>
        </w:rPr>
        <w:t>Expenditure</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Delivery</w:t>
      </w:r>
      <w:r>
        <w:rPr>
          <w:spacing w:val="-2"/>
          <w:sz w:val="20"/>
        </w:rPr>
        <w:t xml:space="preserve"> </w:t>
      </w:r>
      <w:r>
        <w:rPr>
          <w:sz w:val="20"/>
        </w:rPr>
        <w:t>of</w:t>
      </w:r>
      <w:r>
        <w:rPr>
          <w:spacing w:val="-2"/>
          <w:sz w:val="20"/>
        </w:rPr>
        <w:t xml:space="preserve"> Outcomes</w:t>
      </w:r>
      <w:r>
        <w:rPr>
          <w:rFonts w:ascii="Times New Roman"/>
          <w:sz w:val="20"/>
        </w:rPr>
        <w:tab/>
      </w:r>
      <w:r>
        <w:rPr>
          <w:rFonts w:ascii="Arial"/>
          <w:b/>
          <w:spacing w:val="-5"/>
          <w:sz w:val="20"/>
        </w:rPr>
        <w:t>51</w:t>
      </w:r>
    </w:p>
    <w:p w14:paraId="705DBB7F" w14:textId="77777777" w:rsidR="00141B97" w:rsidRDefault="00911D63">
      <w:pPr>
        <w:pStyle w:val="ListParagraph"/>
        <w:numPr>
          <w:ilvl w:val="2"/>
          <w:numId w:val="82"/>
        </w:numPr>
        <w:tabs>
          <w:tab w:val="left" w:pos="1928"/>
          <w:tab w:val="left" w:pos="1929"/>
          <w:tab w:val="right" w:leader="dot" w:pos="9895"/>
        </w:tabs>
        <w:spacing w:before="121"/>
        <w:rPr>
          <w:rFonts w:ascii="Arial"/>
          <w:sz w:val="20"/>
        </w:rPr>
      </w:pPr>
      <w:r>
        <w:rPr>
          <w:spacing w:val="-2"/>
          <w:sz w:val="20"/>
        </w:rPr>
        <w:t>Summary</w:t>
      </w:r>
      <w:r>
        <w:rPr>
          <w:rFonts w:ascii="Times New Roman"/>
          <w:sz w:val="20"/>
        </w:rPr>
        <w:tab/>
      </w:r>
      <w:r>
        <w:rPr>
          <w:rFonts w:ascii="Arial"/>
          <w:spacing w:val="-5"/>
          <w:sz w:val="20"/>
        </w:rPr>
        <w:t>51</w:t>
      </w:r>
    </w:p>
    <w:p w14:paraId="56EEED73" w14:textId="77777777" w:rsidR="00141B97" w:rsidRDefault="00911D63">
      <w:pPr>
        <w:pStyle w:val="ListParagraph"/>
        <w:numPr>
          <w:ilvl w:val="2"/>
          <w:numId w:val="82"/>
        </w:numPr>
        <w:tabs>
          <w:tab w:val="left" w:pos="1928"/>
          <w:tab w:val="left" w:pos="1929"/>
          <w:tab w:val="right" w:leader="dot" w:pos="9903"/>
        </w:tabs>
        <w:spacing w:before="122"/>
        <w:rPr>
          <w:rFonts w:ascii="Arial"/>
          <w:sz w:val="20"/>
        </w:rPr>
      </w:pPr>
      <w:r>
        <w:rPr>
          <w:sz w:val="20"/>
        </w:rPr>
        <w:t>Labour</w:t>
      </w:r>
      <w:r>
        <w:rPr>
          <w:spacing w:val="-5"/>
          <w:sz w:val="20"/>
        </w:rPr>
        <w:t xml:space="preserve"> </w:t>
      </w:r>
      <w:r>
        <w:rPr>
          <w:spacing w:val="-2"/>
          <w:sz w:val="20"/>
        </w:rPr>
        <w:t>Costs</w:t>
      </w:r>
      <w:r>
        <w:rPr>
          <w:rFonts w:ascii="Times New Roman"/>
          <w:sz w:val="20"/>
        </w:rPr>
        <w:tab/>
      </w:r>
      <w:r>
        <w:rPr>
          <w:rFonts w:ascii="Arial"/>
          <w:spacing w:val="-5"/>
          <w:sz w:val="20"/>
        </w:rPr>
        <w:t>52</w:t>
      </w:r>
    </w:p>
    <w:p w14:paraId="2718276D" w14:textId="77777777" w:rsidR="00141B97" w:rsidRDefault="00911D63">
      <w:pPr>
        <w:pStyle w:val="ListParagraph"/>
        <w:numPr>
          <w:ilvl w:val="2"/>
          <w:numId w:val="82"/>
        </w:numPr>
        <w:tabs>
          <w:tab w:val="left" w:pos="1928"/>
          <w:tab w:val="left" w:pos="1929"/>
          <w:tab w:val="right" w:leader="dot" w:pos="9895"/>
        </w:tabs>
        <w:spacing w:before="121"/>
        <w:rPr>
          <w:rFonts w:ascii="Arial"/>
          <w:sz w:val="20"/>
        </w:rPr>
      </w:pPr>
      <w:r>
        <w:rPr>
          <w:sz w:val="20"/>
        </w:rPr>
        <w:t>ICT</w:t>
      </w:r>
      <w:r>
        <w:rPr>
          <w:spacing w:val="-2"/>
          <w:sz w:val="20"/>
        </w:rPr>
        <w:t xml:space="preserve"> </w:t>
      </w:r>
      <w:r>
        <w:rPr>
          <w:spacing w:val="-2"/>
          <w:w w:val="95"/>
          <w:sz w:val="20"/>
        </w:rPr>
        <w:t>Costs</w:t>
      </w:r>
      <w:r>
        <w:rPr>
          <w:rFonts w:ascii="Times New Roman"/>
          <w:sz w:val="20"/>
        </w:rPr>
        <w:tab/>
      </w:r>
      <w:r>
        <w:rPr>
          <w:rFonts w:ascii="Arial"/>
          <w:spacing w:val="-5"/>
          <w:sz w:val="20"/>
        </w:rPr>
        <w:t>53</w:t>
      </w:r>
    </w:p>
    <w:p w14:paraId="64AD417C" w14:textId="77777777" w:rsidR="00141B97" w:rsidRDefault="00911D63">
      <w:pPr>
        <w:pStyle w:val="ListParagraph"/>
        <w:numPr>
          <w:ilvl w:val="2"/>
          <w:numId w:val="82"/>
        </w:numPr>
        <w:tabs>
          <w:tab w:val="left" w:pos="1928"/>
          <w:tab w:val="left" w:pos="1929"/>
          <w:tab w:val="right" w:leader="dot" w:pos="9901"/>
        </w:tabs>
        <w:spacing w:before="122"/>
        <w:rPr>
          <w:rFonts w:ascii="Arial"/>
          <w:sz w:val="20"/>
        </w:rPr>
      </w:pPr>
      <w:r>
        <w:rPr>
          <w:sz w:val="20"/>
        </w:rPr>
        <w:t>Contractor</w:t>
      </w:r>
      <w:r>
        <w:rPr>
          <w:spacing w:val="-5"/>
          <w:sz w:val="20"/>
        </w:rPr>
        <w:t xml:space="preserve"> </w:t>
      </w:r>
      <w:r>
        <w:rPr>
          <w:sz w:val="20"/>
        </w:rPr>
        <w:t>and</w:t>
      </w:r>
      <w:r>
        <w:rPr>
          <w:spacing w:val="-7"/>
          <w:sz w:val="20"/>
        </w:rPr>
        <w:t xml:space="preserve"> </w:t>
      </w:r>
      <w:r>
        <w:rPr>
          <w:sz w:val="20"/>
        </w:rPr>
        <w:t>Consultant</w:t>
      </w:r>
      <w:r>
        <w:rPr>
          <w:spacing w:val="-6"/>
          <w:sz w:val="20"/>
        </w:rPr>
        <w:t xml:space="preserve"> </w:t>
      </w:r>
      <w:r>
        <w:rPr>
          <w:spacing w:val="-2"/>
          <w:w w:val="95"/>
          <w:sz w:val="20"/>
        </w:rPr>
        <w:t>Costs</w:t>
      </w:r>
      <w:r>
        <w:rPr>
          <w:rFonts w:ascii="Times New Roman"/>
          <w:sz w:val="20"/>
        </w:rPr>
        <w:tab/>
      </w:r>
      <w:r>
        <w:rPr>
          <w:rFonts w:ascii="Arial"/>
          <w:spacing w:val="-5"/>
          <w:sz w:val="20"/>
        </w:rPr>
        <w:t>54</w:t>
      </w:r>
    </w:p>
    <w:p w14:paraId="65B6176C" w14:textId="77777777" w:rsidR="00141B97" w:rsidRDefault="00911D63">
      <w:pPr>
        <w:pStyle w:val="ListParagraph"/>
        <w:numPr>
          <w:ilvl w:val="2"/>
          <w:numId w:val="82"/>
        </w:numPr>
        <w:tabs>
          <w:tab w:val="left" w:pos="1928"/>
          <w:tab w:val="left" w:pos="1929"/>
          <w:tab w:val="right" w:leader="dot" w:pos="9903"/>
        </w:tabs>
        <w:spacing w:before="123"/>
        <w:rPr>
          <w:rFonts w:ascii="Arial"/>
          <w:sz w:val="20"/>
        </w:rPr>
      </w:pPr>
      <w:r>
        <w:rPr>
          <w:sz w:val="20"/>
        </w:rPr>
        <w:t>Chemical</w:t>
      </w:r>
      <w:r>
        <w:rPr>
          <w:spacing w:val="-4"/>
          <w:sz w:val="20"/>
        </w:rPr>
        <w:t xml:space="preserve"> </w:t>
      </w:r>
      <w:r>
        <w:rPr>
          <w:spacing w:val="-2"/>
          <w:sz w:val="20"/>
        </w:rPr>
        <w:t>Costs</w:t>
      </w:r>
      <w:r>
        <w:rPr>
          <w:rFonts w:ascii="Times New Roman"/>
          <w:sz w:val="20"/>
        </w:rPr>
        <w:tab/>
      </w:r>
      <w:r>
        <w:rPr>
          <w:rFonts w:ascii="Arial"/>
          <w:spacing w:val="-5"/>
          <w:sz w:val="20"/>
        </w:rPr>
        <w:t>54</w:t>
      </w:r>
    </w:p>
    <w:p w14:paraId="15AD8139" w14:textId="77777777" w:rsidR="00141B97" w:rsidRDefault="00911D63">
      <w:pPr>
        <w:pStyle w:val="ListParagraph"/>
        <w:numPr>
          <w:ilvl w:val="2"/>
          <w:numId w:val="82"/>
        </w:numPr>
        <w:tabs>
          <w:tab w:val="left" w:pos="1928"/>
          <w:tab w:val="left" w:pos="1929"/>
          <w:tab w:val="right" w:leader="dot" w:pos="9903"/>
        </w:tabs>
        <w:spacing w:before="122"/>
        <w:rPr>
          <w:rFonts w:ascii="Arial"/>
          <w:sz w:val="20"/>
        </w:rPr>
      </w:pPr>
      <w:r>
        <w:rPr>
          <w:sz w:val="20"/>
        </w:rPr>
        <w:t>Compliance</w:t>
      </w:r>
      <w:r>
        <w:rPr>
          <w:spacing w:val="-10"/>
          <w:sz w:val="20"/>
        </w:rPr>
        <w:t xml:space="preserve"> </w:t>
      </w:r>
      <w:r>
        <w:rPr>
          <w:spacing w:val="-2"/>
          <w:sz w:val="20"/>
        </w:rPr>
        <w:t>Costs</w:t>
      </w:r>
      <w:r>
        <w:rPr>
          <w:rFonts w:ascii="Times New Roman"/>
          <w:sz w:val="20"/>
        </w:rPr>
        <w:tab/>
      </w:r>
      <w:r>
        <w:rPr>
          <w:rFonts w:ascii="Arial"/>
          <w:spacing w:val="-5"/>
          <w:sz w:val="20"/>
        </w:rPr>
        <w:t>54</w:t>
      </w:r>
    </w:p>
    <w:p w14:paraId="3C432C44" w14:textId="77777777" w:rsidR="00141B97" w:rsidRDefault="00911D63">
      <w:pPr>
        <w:pStyle w:val="ListParagraph"/>
        <w:numPr>
          <w:ilvl w:val="1"/>
          <w:numId w:val="82"/>
        </w:numPr>
        <w:tabs>
          <w:tab w:val="left" w:pos="1247"/>
          <w:tab w:val="left" w:pos="1248"/>
          <w:tab w:val="right" w:leader="dot" w:pos="9890"/>
        </w:tabs>
        <w:spacing w:before="158"/>
        <w:rPr>
          <w:rFonts w:ascii="Arial"/>
          <w:b/>
          <w:sz w:val="20"/>
        </w:rPr>
      </w:pPr>
      <w:r>
        <w:rPr>
          <w:sz w:val="20"/>
        </w:rPr>
        <w:t>Actual</w:t>
      </w:r>
      <w:r>
        <w:rPr>
          <w:spacing w:val="-3"/>
          <w:sz w:val="20"/>
        </w:rPr>
        <w:t xml:space="preserve"> </w:t>
      </w:r>
      <w:r>
        <w:rPr>
          <w:sz w:val="20"/>
        </w:rPr>
        <w:t>Capital</w:t>
      </w:r>
      <w:r>
        <w:rPr>
          <w:spacing w:val="-3"/>
          <w:sz w:val="20"/>
        </w:rPr>
        <w:t xml:space="preserve"> </w:t>
      </w:r>
      <w:r>
        <w:rPr>
          <w:sz w:val="20"/>
        </w:rPr>
        <w:t>Expenditure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Delivery</w:t>
      </w:r>
      <w:r>
        <w:rPr>
          <w:spacing w:val="-3"/>
          <w:sz w:val="20"/>
        </w:rPr>
        <w:t xml:space="preserve"> </w:t>
      </w:r>
      <w:r>
        <w:rPr>
          <w:sz w:val="20"/>
        </w:rPr>
        <w:t>of</w:t>
      </w:r>
      <w:r>
        <w:rPr>
          <w:spacing w:val="-2"/>
          <w:sz w:val="20"/>
        </w:rPr>
        <w:t xml:space="preserve"> Outcomes</w:t>
      </w:r>
      <w:r>
        <w:rPr>
          <w:rFonts w:ascii="Times New Roman"/>
          <w:sz w:val="20"/>
        </w:rPr>
        <w:tab/>
      </w:r>
      <w:r>
        <w:rPr>
          <w:rFonts w:ascii="Arial"/>
          <w:b/>
          <w:spacing w:val="-5"/>
          <w:sz w:val="20"/>
        </w:rPr>
        <w:t>54</w:t>
      </w:r>
    </w:p>
    <w:p w14:paraId="78060E42" w14:textId="77777777" w:rsidR="00141B97" w:rsidRDefault="00911D63">
      <w:pPr>
        <w:pStyle w:val="ListParagraph"/>
        <w:numPr>
          <w:ilvl w:val="2"/>
          <w:numId w:val="82"/>
        </w:numPr>
        <w:tabs>
          <w:tab w:val="left" w:pos="1928"/>
          <w:tab w:val="left" w:pos="1929"/>
          <w:tab w:val="right" w:leader="dot" w:pos="9895"/>
        </w:tabs>
        <w:spacing w:before="119"/>
        <w:rPr>
          <w:rFonts w:ascii="Arial"/>
          <w:sz w:val="20"/>
        </w:rPr>
      </w:pPr>
      <w:r>
        <w:rPr>
          <w:spacing w:val="-2"/>
          <w:sz w:val="20"/>
        </w:rPr>
        <w:t>Summary</w:t>
      </w:r>
      <w:r>
        <w:rPr>
          <w:rFonts w:ascii="Times New Roman"/>
          <w:sz w:val="20"/>
        </w:rPr>
        <w:tab/>
      </w:r>
      <w:r>
        <w:rPr>
          <w:rFonts w:ascii="Arial"/>
          <w:spacing w:val="-5"/>
          <w:sz w:val="20"/>
        </w:rPr>
        <w:t>54</w:t>
      </w:r>
    </w:p>
    <w:p w14:paraId="1B5DE6DA" w14:textId="77777777" w:rsidR="00141B97" w:rsidRDefault="00911D63">
      <w:pPr>
        <w:pStyle w:val="ListParagraph"/>
        <w:numPr>
          <w:ilvl w:val="2"/>
          <w:numId w:val="82"/>
        </w:numPr>
        <w:tabs>
          <w:tab w:val="left" w:pos="1928"/>
          <w:tab w:val="left" w:pos="1929"/>
          <w:tab w:val="right" w:leader="dot" w:pos="9902"/>
        </w:tabs>
        <w:spacing w:before="122"/>
        <w:rPr>
          <w:rFonts w:ascii="Arial"/>
          <w:sz w:val="20"/>
        </w:rPr>
      </w:pPr>
      <w:r>
        <w:rPr>
          <w:sz w:val="20"/>
        </w:rPr>
        <w:t>Major</w:t>
      </w:r>
      <w:r>
        <w:rPr>
          <w:spacing w:val="-3"/>
          <w:sz w:val="20"/>
        </w:rPr>
        <w:t xml:space="preserve"> </w:t>
      </w:r>
      <w:r>
        <w:rPr>
          <w:sz w:val="20"/>
        </w:rPr>
        <w:t>Urban</w:t>
      </w:r>
      <w:r>
        <w:rPr>
          <w:spacing w:val="-2"/>
          <w:sz w:val="20"/>
        </w:rPr>
        <w:t xml:space="preserve"> Projects</w:t>
      </w:r>
      <w:r>
        <w:rPr>
          <w:rFonts w:ascii="Times New Roman"/>
          <w:sz w:val="20"/>
        </w:rPr>
        <w:tab/>
      </w:r>
      <w:r>
        <w:rPr>
          <w:rFonts w:ascii="Arial"/>
          <w:spacing w:val="-5"/>
          <w:sz w:val="20"/>
        </w:rPr>
        <w:t>56</w:t>
      </w:r>
    </w:p>
    <w:p w14:paraId="7C6DE9D2" w14:textId="77777777" w:rsidR="00141B97" w:rsidRDefault="00911D63">
      <w:pPr>
        <w:pStyle w:val="Heading3"/>
        <w:numPr>
          <w:ilvl w:val="0"/>
          <w:numId w:val="82"/>
        </w:numPr>
        <w:tabs>
          <w:tab w:val="left" w:pos="681"/>
          <w:tab w:val="left" w:pos="682"/>
          <w:tab w:val="right" w:leader="dot" w:pos="9892"/>
        </w:tabs>
        <w:spacing w:before="243"/>
        <w:rPr>
          <w:rFonts w:ascii="Arial"/>
          <w:b/>
        </w:rPr>
      </w:pPr>
      <w:r>
        <w:rPr>
          <w:color w:val="009BAC"/>
        </w:rPr>
        <w:t>Customer</w:t>
      </w:r>
      <w:r>
        <w:rPr>
          <w:color w:val="009BAC"/>
          <w:spacing w:val="-3"/>
        </w:rPr>
        <w:t xml:space="preserve"> </w:t>
      </w:r>
      <w:r>
        <w:rPr>
          <w:color w:val="009BAC"/>
          <w:spacing w:val="-2"/>
        </w:rPr>
        <w:t>Outcomes</w:t>
      </w:r>
      <w:r>
        <w:rPr>
          <w:rFonts w:ascii="Times New Roman"/>
          <w:color w:val="009BAC"/>
        </w:rPr>
        <w:tab/>
      </w:r>
      <w:r>
        <w:rPr>
          <w:rFonts w:ascii="Arial"/>
          <w:b/>
          <w:color w:val="009BAC"/>
          <w:spacing w:val="-5"/>
          <w:w w:val="95"/>
        </w:rPr>
        <w:t>58</w:t>
      </w:r>
    </w:p>
    <w:p w14:paraId="1FB01913" w14:textId="77777777" w:rsidR="00141B97" w:rsidRDefault="00911D63">
      <w:pPr>
        <w:pStyle w:val="ListParagraph"/>
        <w:numPr>
          <w:ilvl w:val="1"/>
          <w:numId w:val="82"/>
        </w:numPr>
        <w:tabs>
          <w:tab w:val="left" w:pos="1247"/>
          <w:tab w:val="left" w:pos="1248"/>
          <w:tab w:val="right" w:leader="dot" w:pos="9892"/>
        </w:tabs>
        <w:spacing w:before="183"/>
        <w:rPr>
          <w:rFonts w:ascii="Arial"/>
          <w:b/>
          <w:sz w:val="20"/>
        </w:rPr>
      </w:pPr>
      <w:r>
        <w:rPr>
          <w:sz w:val="20"/>
        </w:rPr>
        <w:t>Outcomes</w:t>
      </w:r>
      <w:r>
        <w:rPr>
          <w:spacing w:val="-3"/>
          <w:sz w:val="20"/>
        </w:rPr>
        <w:t xml:space="preserve"> </w:t>
      </w:r>
      <w:r>
        <w:rPr>
          <w:sz w:val="20"/>
        </w:rPr>
        <w:t>Agreed</w:t>
      </w:r>
      <w:r>
        <w:rPr>
          <w:spacing w:val="-3"/>
          <w:sz w:val="20"/>
        </w:rPr>
        <w:t xml:space="preserve"> </w:t>
      </w:r>
      <w:r>
        <w:rPr>
          <w:sz w:val="20"/>
        </w:rPr>
        <w:t>with</w:t>
      </w:r>
      <w:r>
        <w:rPr>
          <w:spacing w:val="-3"/>
          <w:sz w:val="20"/>
        </w:rPr>
        <w:t xml:space="preserve"> </w:t>
      </w:r>
      <w:r>
        <w:rPr>
          <w:spacing w:val="-2"/>
          <w:sz w:val="20"/>
        </w:rPr>
        <w:t>Customers</w:t>
      </w:r>
      <w:r>
        <w:rPr>
          <w:rFonts w:ascii="Times New Roman"/>
          <w:sz w:val="20"/>
        </w:rPr>
        <w:tab/>
      </w:r>
      <w:r>
        <w:rPr>
          <w:rFonts w:ascii="Arial"/>
          <w:b/>
          <w:spacing w:val="-5"/>
          <w:sz w:val="20"/>
        </w:rPr>
        <w:t>58</w:t>
      </w:r>
    </w:p>
    <w:p w14:paraId="41BEA413" w14:textId="77777777" w:rsidR="00141B97" w:rsidRDefault="00911D63">
      <w:pPr>
        <w:pStyle w:val="ListParagraph"/>
        <w:numPr>
          <w:ilvl w:val="1"/>
          <w:numId w:val="82"/>
        </w:numPr>
        <w:tabs>
          <w:tab w:val="left" w:pos="1247"/>
          <w:tab w:val="left" w:pos="1248"/>
          <w:tab w:val="right" w:leader="dot" w:pos="9885"/>
        </w:tabs>
        <w:spacing w:before="155"/>
        <w:rPr>
          <w:rFonts w:ascii="Arial"/>
          <w:b/>
          <w:sz w:val="20"/>
        </w:rPr>
      </w:pPr>
      <w:r>
        <w:rPr>
          <w:sz w:val="20"/>
        </w:rPr>
        <w:t>Service</w:t>
      </w:r>
      <w:r>
        <w:rPr>
          <w:spacing w:val="-4"/>
          <w:sz w:val="20"/>
        </w:rPr>
        <w:t xml:space="preserve"> </w:t>
      </w:r>
      <w:r>
        <w:rPr>
          <w:spacing w:val="-2"/>
          <w:sz w:val="20"/>
        </w:rPr>
        <w:t>Standards</w:t>
      </w:r>
      <w:r>
        <w:rPr>
          <w:rFonts w:ascii="Times New Roman"/>
          <w:sz w:val="20"/>
        </w:rPr>
        <w:tab/>
      </w:r>
      <w:r>
        <w:rPr>
          <w:rFonts w:ascii="Arial"/>
          <w:b/>
          <w:spacing w:val="-5"/>
          <w:sz w:val="20"/>
        </w:rPr>
        <w:t>63</w:t>
      </w:r>
    </w:p>
    <w:p w14:paraId="49A95341" w14:textId="77777777" w:rsidR="00141B97" w:rsidRDefault="00911D63">
      <w:pPr>
        <w:pStyle w:val="ListParagraph"/>
        <w:numPr>
          <w:ilvl w:val="1"/>
          <w:numId w:val="82"/>
        </w:numPr>
        <w:tabs>
          <w:tab w:val="left" w:pos="1247"/>
          <w:tab w:val="left" w:pos="1248"/>
          <w:tab w:val="right" w:leader="dot" w:pos="9891"/>
        </w:tabs>
        <w:spacing w:before="156"/>
        <w:rPr>
          <w:rFonts w:ascii="Arial"/>
          <w:b/>
          <w:sz w:val="20"/>
        </w:rPr>
      </w:pPr>
      <w:r>
        <w:rPr>
          <w:sz w:val="20"/>
        </w:rPr>
        <w:t>Performance</w:t>
      </w:r>
      <w:r>
        <w:rPr>
          <w:spacing w:val="-4"/>
          <w:sz w:val="20"/>
        </w:rPr>
        <w:t xml:space="preserve"> </w:t>
      </w:r>
      <w:r>
        <w:rPr>
          <w:sz w:val="20"/>
        </w:rPr>
        <w:t>Measurement</w:t>
      </w:r>
      <w:r>
        <w:rPr>
          <w:spacing w:val="-4"/>
          <w:sz w:val="20"/>
        </w:rPr>
        <w:t xml:space="preserve"> </w:t>
      </w:r>
      <w:r>
        <w:rPr>
          <w:sz w:val="20"/>
        </w:rPr>
        <w:t>and</w:t>
      </w:r>
      <w:r>
        <w:rPr>
          <w:spacing w:val="-3"/>
          <w:sz w:val="20"/>
        </w:rPr>
        <w:t xml:space="preserve"> </w:t>
      </w:r>
      <w:r>
        <w:rPr>
          <w:spacing w:val="-2"/>
          <w:sz w:val="20"/>
        </w:rPr>
        <w:t>Reporting</w:t>
      </w:r>
      <w:r>
        <w:rPr>
          <w:rFonts w:ascii="Times New Roman"/>
          <w:sz w:val="20"/>
        </w:rPr>
        <w:tab/>
      </w:r>
      <w:r>
        <w:rPr>
          <w:rFonts w:ascii="Arial"/>
          <w:b/>
          <w:spacing w:val="-5"/>
          <w:sz w:val="20"/>
        </w:rPr>
        <w:t>64</w:t>
      </w:r>
    </w:p>
    <w:p w14:paraId="7FEBC318" w14:textId="77777777" w:rsidR="00141B97" w:rsidRDefault="00911D63">
      <w:pPr>
        <w:pStyle w:val="ListParagraph"/>
        <w:numPr>
          <w:ilvl w:val="2"/>
          <w:numId w:val="82"/>
        </w:numPr>
        <w:tabs>
          <w:tab w:val="left" w:pos="1928"/>
          <w:tab w:val="left" w:pos="1929"/>
          <w:tab w:val="right" w:leader="dot" w:pos="9898"/>
        </w:tabs>
        <w:spacing w:before="120"/>
        <w:rPr>
          <w:rFonts w:ascii="Arial"/>
          <w:sz w:val="20"/>
        </w:rPr>
      </w:pPr>
      <w:r>
        <w:rPr>
          <w:sz w:val="20"/>
        </w:rPr>
        <w:t>Proposed</w:t>
      </w:r>
      <w:r>
        <w:rPr>
          <w:spacing w:val="-7"/>
          <w:sz w:val="20"/>
        </w:rPr>
        <w:t xml:space="preserve"> </w:t>
      </w:r>
      <w:r>
        <w:rPr>
          <w:sz w:val="20"/>
        </w:rPr>
        <w:t>Outcomes,</w:t>
      </w:r>
      <w:r>
        <w:rPr>
          <w:spacing w:val="-5"/>
          <w:sz w:val="20"/>
        </w:rPr>
        <w:t xml:space="preserve"> </w:t>
      </w:r>
      <w:r>
        <w:rPr>
          <w:sz w:val="20"/>
        </w:rPr>
        <w:t>Outputs,</w:t>
      </w:r>
      <w:r>
        <w:rPr>
          <w:spacing w:val="-5"/>
          <w:sz w:val="20"/>
        </w:rPr>
        <w:t xml:space="preserve"> </w:t>
      </w:r>
      <w:r>
        <w:rPr>
          <w:sz w:val="20"/>
        </w:rPr>
        <w:t>Deliverables</w:t>
      </w:r>
      <w:r>
        <w:rPr>
          <w:spacing w:val="-6"/>
          <w:sz w:val="20"/>
        </w:rPr>
        <w:t xml:space="preserve"> </w:t>
      </w:r>
      <w:r>
        <w:rPr>
          <w:sz w:val="20"/>
        </w:rPr>
        <w:t>and</w:t>
      </w:r>
      <w:r>
        <w:rPr>
          <w:spacing w:val="-6"/>
          <w:sz w:val="20"/>
        </w:rPr>
        <w:t xml:space="preserve"> </w:t>
      </w:r>
      <w:r>
        <w:rPr>
          <w:spacing w:val="-2"/>
          <w:sz w:val="20"/>
        </w:rPr>
        <w:t>Targets</w:t>
      </w:r>
      <w:r>
        <w:rPr>
          <w:rFonts w:ascii="Times New Roman"/>
          <w:sz w:val="20"/>
        </w:rPr>
        <w:tab/>
      </w:r>
      <w:r>
        <w:rPr>
          <w:rFonts w:ascii="Arial"/>
          <w:spacing w:val="-5"/>
          <w:sz w:val="20"/>
        </w:rPr>
        <w:t>64</w:t>
      </w:r>
    </w:p>
    <w:p w14:paraId="12A871CC" w14:textId="77777777" w:rsidR="00141B97" w:rsidRDefault="00911D63">
      <w:pPr>
        <w:pStyle w:val="ListParagraph"/>
        <w:numPr>
          <w:ilvl w:val="1"/>
          <w:numId w:val="82"/>
        </w:numPr>
        <w:tabs>
          <w:tab w:val="left" w:pos="1247"/>
          <w:tab w:val="left" w:pos="1248"/>
          <w:tab w:val="right" w:leader="dot" w:pos="9892"/>
        </w:tabs>
        <w:spacing w:before="158"/>
        <w:rPr>
          <w:rFonts w:ascii="Arial"/>
          <w:b/>
          <w:sz w:val="20"/>
        </w:rPr>
      </w:pPr>
      <w:r>
        <w:rPr>
          <w:sz w:val="20"/>
        </w:rPr>
        <w:t>Delivery</w:t>
      </w:r>
      <w:r>
        <w:rPr>
          <w:spacing w:val="-3"/>
          <w:sz w:val="20"/>
        </w:rPr>
        <w:t xml:space="preserve"> </w:t>
      </w:r>
      <w:r>
        <w:rPr>
          <w:sz w:val="20"/>
        </w:rPr>
        <w:t>on</w:t>
      </w:r>
      <w:r>
        <w:rPr>
          <w:spacing w:val="-3"/>
          <w:sz w:val="20"/>
        </w:rPr>
        <w:t xml:space="preserve"> </w:t>
      </w:r>
      <w:r>
        <w:rPr>
          <w:sz w:val="20"/>
        </w:rPr>
        <w:t>Outcome</w:t>
      </w:r>
      <w:r>
        <w:rPr>
          <w:spacing w:val="-1"/>
          <w:sz w:val="20"/>
        </w:rPr>
        <w:t xml:space="preserve"> </w:t>
      </w:r>
      <w:r>
        <w:rPr>
          <w:spacing w:val="-2"/>
          <w:sz w:val="20"/>
        </w:rPr>
        <w:t>Commitments</w:t>
      </w:r>
      <w:r>
        <w:rPr>
          <w:rFonts w:ascii="Times New Roman"/>
          <w:sz w:val="20"/>
        </w:rPr>
        <w:tab/>
      </w:r>
      <w:r>
        <w:rPr>
          <w:rFonts w:ascii="Arial"/>
          <w:b/>
          <w:spacing w:val="-5"/>
          <w:sz w:val="20"/>
        </w:rPr>
        <w:t>64</w:t>
      </w:r>
    </w:p>
    <w:p w14:paraId="63225F2C" w14:textId="77777777" w:rsidR="00141B97" w:rsidRDefault="00911D63">
      <w:pPr>
        <w:pStyle w:val="ListParagraph"/>
        <w:numPr>
          <w:ilvl w:val="1"/>
          <w:numId w:val="82"/>
        </w:numPr>
        <w:tabs>
          <w:tab w:val="left" w:pos="1247"/>
          <w:tab w:val="left" w:pos="1248"/>
          <w:tab w:val="right" w:leader="dot" w:pos="9893"/>
        </w:tabs>
        <w:spacing w:before="156"/>
        <w:rPr>
          <w:rFonts w:ascii="Arial"/>
          <w:b/>
          <w:sz w:val="20"/>
        </w:rPr>
      </w:pPr>
      <w:r>
        <w:rPr>
          <w:sz w:val="20"/>
        </w:rPr>
        <w:t>Guaranteed</w:t>
      </w:r>
      <w:r>
        <w:rPr>
          <w:spacing w:val="-4"/>
          <w:sz w:val="20"/>
        </w:rPr>
        <w:t xml:space="preserve"> </w:t>
      </w:r>
      <w:r>
        <w:rPr>
          <w:sz w:val="20"/>
        </w:rPr>
        <w:t>Service</w:t>
      </w:r>
      <w:r>
        <w:rPr>
          <w:spacing w:val="-2"/>
          <w:sz w:val="20"/>
        </w:rPr>
        <w:t xml:space="preserve"> Levels</w:t>
      </w:r>
      <w:r>
        <w:rPr>
          <w:rFonts w:ascii="Times New Roman"/>
          <w:sz w:val="20"/>
        </w:rPr>
        <w:tab/>
      </w:r>
      <w:r>
        <w:rPr>
          <w:rFonts w:ascii="Arial"/>
          <w:b/>
          <w:spacing w:val="-5"/>
          <w:sz w:val="20"/>
        </w:rPr>
        <w:t>65</w:t>
      </w:r>
    </w:p>
    <w:p w14:paraId="38AA0070" w14:textId="77777777" w:rsidR="00141B97" w:rsidRDefault="00911D63">
      <w:pPr>
        <w:pStyle w:val="Heading3"/>
        <w:numPr>
          <w:ilvl w:val="0"/>
          <w:numId w:val="82"/>
        </w:numPr>
        <w:tabs>
          <w:tab w:val="left" w:pos="681"/>
          <w:tab w:val="left" w:pos="682"/>
          <w:tab w:val="right" w:leader="dot" w:pos="9891"/>
        </w:tabs>
        <w:spacing w:before="119"/>
        <w:rPr>
          <w:rFonts w:ascii="Arial"/>
          <w:b/>
        </w:rPr>
      </w:pPr>
      <w:r>
        <w:rPr>
          <w:color w:val="009BAC"/>
        </w:rPr>
        <w:t>Revenue</w:t>
      </w:r>
      <w:r>
        <w:rPr>
          <w:color w:val="009BAC"/>
          <w:spacing w:val="-2"/>
        </w:rPr>
        <w:t xml:space="preserve"> </w:t>
      </w:r>
      <w:r>
        <w:rPr>
          <w:color w:val="009BAC"/>
        </w:rPr>
        <w:t>and</w:t>
      </w:r>
      <w:r>
        <w:rPr>
          <w:color w:val="009BAC"/>
          <w:spacing w:val="-2"/>
        </w:rPr>
        <w:t xml:space="preserve"> </w:t>
      </w:r>
      <w:r>
        <w:rPr>
          <w:color w:val="009BAC"/>
        </w:rPr>
        <w:t>Financial</w:t>
      </w:r>
      <w:r>
        <w:rPr>
          <w:color w:val="009BAC"/>
          <w:spacing w:val="-2"/>
        </w:rPr>
        <w:t xml:space="preserve"> Parameters</w:t>
      </w:r>
      <w:r>
        <w:rPr>
          <w:rFonts w:ascii="Times New Roman"/>
          <w:color w:val="009BAC"/>
        </w:rPr>
        <w:tab/>
      </w:r>
      <w:r>
        <w:rPr>
          <w:rFonts w:ascii="Arial"/>
          <w:b/>
          <w:color w:val="009BAC"/>
          <w:spacing w:val="-5"/>
        </w:rPr>
        <w:t>67</w:t>
      </w:r>
    </w:p>
    <w:p w14:paraId="6CDFA047" w14:textId="77777777" w:rsidR="00141B97" w:rsidRDefault="00911D63">
      <w:pPr>
        <w:pStyle w:val="ListParagraph"/>
        <w:numPr>
          <w:ilvl w:val="1"/>
          <w:numId w:val="82"/>
        </w:numPr>
        <w:tabs>
          <w:tab w:val="left" w:pos="1247"/>
          <w:tab w:val="left" w:pos="1248"/>
          <w:tab w:val="right" w:leader="dot" w:pos="9892"/>
        </w:tabs>
        <w:spacing w:before="183"/>
        <w:rPr>
          <w:rFonts w:ascii="Arial"/>
          <w:b/>
          <w:sz w:val="20"/>
        </w:rPr>
      </w:pPr>
      <w:r>
        <w:rPr>
          <w:sz w:val="20"/>
        </w:rPr>
        <w:t>Overview</w:t>
      </w:r>
      <w:r>
        <w:rPr>
          <w:spacing w:val="-3"/>
          <w:sz w:val="20"/>
        </w:rPr>
        <w:t xml:space="preserve"> </w:t>
      </w:r>
      <w:r>
        <w:rPr>
          <w:sz w:val="20"/>
        </w:rPr>
        <w:t>of</w:t>
      </w:r>
      <w:r>
        <w:rPr>
          <w:spacing w:val="-1"/>
          <w:sz w:val="20"/>
        </w:rPr>
        <w:t xml:space="preserve"> </w:t>
      </w:r>
      <w:r>
        <w:rPr>
          <w:sz w:val="20"/>
        </w:rPr>
        <w:t>Revenue</w:t>
      </w:r>
      <w:r>
        <w:rPr>
          <w:spacing w:val="-2"/>
          <w:sz w:val="20"/>
        </w:rPr>
        <w:t xml:space="preserve"> Requirement</w:t>
      </w:r>
      <w:r>
        <w:rPr>
          <w:rFonts w:ascii="Times New Roman"/>
          <w:sz w:val="20"/>
        </w:rPr>
        <w:tab/>
      </w:r>
      <w:r>
        <w:rPr>
          <w:rFonts w:ascii="Arial"/>
          <w:b/>
          <w:spacing w:val="-5"/>
          <w:sz w:val="20"/>
        </w:rPr>
        <w:t>67</w:t>
      </w:r>
    </w:p>
    <w:p w14:paraId="5A14AA98" w14:textId="77777777" w:rsidR="00141B97" w:rsidRDefault="00911D63">
      <w:pPr>
        <w:pStyle w:val="ListParagraph"/>
        <w:numPr>
          <w:ilvl w:val="1"/>
          <w:numId w:val="82"/>
        </w:numPr>
        <w:tabs>
          <w:tab w:val="left" w:pos="1247"/>
          <w:tab w:val="left" w:pos="1248"/>
          <w:tab w:val="right" w:leader="dot" w:pos="9886"/>
        </w:tabs>
        <w:spacing w:before="156"/>
        <w:rPr>
          <w:rFonts w:ascii="Arial"/>
          <w:b/>
          <w:sz w:val="20"/>
        </w:rPr>
      </w:pPr>
      <w:r>
        <w:rPr>
          <w:spacing w:val="-2"/>
          <w:sz w:val="20"/>
        </w:rPr>
        <w:t>Demand</w:t>
      </w:r>
      <w:r>
        <w:rPr>
          <w:rFonts w:ascii="Times New Roman"/>
          <w:sz w:val="20"/>
        </w:rPr>
        <w:tab/>
      </w:r>
      <w:r>
        <w:rPr>
          <w:rFonts w:ascii="Arial"/>
          <w:b/>
          <w:spacing w:val="-5"/>
          <w:sz w:val="20"/>
        </w:rPr>
        <w:t>67</w:t>
      </w:r>
    </w:p>
    <w:p w14:paraId="65E16B26" w14:textId="77777777" w:rsidR="00141B97" w:rsidRDefault="00911D63">
      <w:pPr>
        <w:pStyle w:val="ListParagraph"/>
        <w:numPr>
          <w:ilvl w:val="2"/>
          <w:numId w:val="82"/>
        </w:numPr>
        <w:tabs>
          <w:tab w:val="left" w:pos="1928"/>
          <w:tab w:val="left" w:pos="1929"/>
          <w:tab w:val="right" w:leader="dot" w:pos="9901"/>
        </w:tabs>
        <w:spacing w:before="119"/>
        <w:rPr>
          <w:rFonts w:ascii="Arial"/>
          <w:sz w:val="20"/>
        </w:rPr>
      </w:pPr>
      <w:r>
        <w:rPr>
          <w:sz w:val="20"/>
        </w:rPr>
        <w:t>Demand</w:t>
      </w:r>
      <w:r>
        <w:rPr>
          <w:spacing w:val="-3"/>
          <w:sz w:val="20"/>
        </w:rPr>
        <w:t xml:space="preserve"> </w:t>
      </w:r>
      <w:r>
        <w:rPr>
          <w:sz w:val="20"/>
        </w:rPr>
        <w:t>Context</w:t>
      </w:r>
      <w:r>
        <w:rPr>
          <w:spacing w:val="-3"/>
          <w:sz w:val="20"/>
        </w:rPr>
        <w:t xml:space="preserve"> </w:t>
      </w:r>
      <w:r>
        <w:rPr>
          <w:sz w:val="20"/>
        </w:rPr>
        <w:t>and</w:t>
      </w:r>
      <w:r>
        <w:rPr>
          <w:spacing w:val="-3"/>
          <w:sz w:val="20"/>
        </w:rPr>
        <w:t xml:space="preserve"> </w:t>
      </w:r>
      <w:r>
        <w:rPr>
          <w:sz w:val="20"/>
        </w:rPr>
        <w:t>Key</w:t>
      </w:r>
      <w:r>
        <w:rPr>
          <w:spacing w:val="-2"/>
          <w:sz w:val="20"/>
        </w:rPr>
        <w:t xml:space="preserve"> Drivers</w:t>
      </w:r>
      <w:r>
        <w:rPr>
          <w:rFonts w:ascii="Times New Roman"/>
          <w:sz w:val="20"/>
        </w:rPr>
        <w:tab/>
      </w:r>
      <w:r>
        <w:rPr>
          <w:rFonts w:ascii="Arial"/>
          <w:spacing w:val="-5"/>
          <w:sz w:val="20"/>
        </w:rPr>
        <w:t>67</w:t>
      </w:r>
    </w:p>
    <w:p w14:paraId="13D87A28" w14:textId="77777777" w:rsidR="00141B97" w:rsidRDefault="00911D63">
      <w:pPr>
        <w:pStyle w:val="ListParagraph"/>
        <w:numPr>
          <w:ilvl w:val="2"/>
          <w:numId w:val="82"/>
        </w:numPr>
        <w:tabs>
          <w:tab w:val="left" w:pos="1928"/>
          <w:tab w:val="left" w:pos="1929"/>
          <w:tab w:val="right" w:leader="dot" w:pos="9899"/>
        </w:tabs>
        <w:spacing w:before="123"/>
        <w:rPr>
          <w:rFonts w:ascii="Arial"/>
          <w:sz w:val="20"/>
        </w:rPr>
      </w:pPr>
      <w:r>
        <w:rPr>
          <w:sz w:val="20"/>
        </w:rPr>
        <w:t>Summary</w:t>
      </w:r>
      <w:r>
        <w:rPr>
          <w:spacing w:val="-4"/>
          <w:sz w:val="20"/>
        </w:rPr>
        <w:t xml:space="preserve"> </w:t>
      </w:r>
      <w:r>
        <w:rPr>
          <w:sz w:val="20"/>
        </w:rPr>
        <w:t>of</w:t>
      </w:r>
      <w:r>
        <w:rPr>
          <w:spacing w:val="-3"/>
          <w:sz w:val="20"/>
        </w:rPr>
        <w:t xml:space="preserve"> </w:t>
      </w:r>
      <w:r>
        <w:rPr>
          <w:sz w:val="20"/>
        </w:rPr>
        <w:t>Approach</w:t>
      </w:r>
      <w:r>
        <w:rPr>
          <w:spacing w:val="-3"/>
          <w:sz w:val="20"/>
        </w:rPr>
        <w:t xml:space="preserve"> </w:t>
      </w:r>
      <w:r>
        <w:rPr>
          <w:sz w:val="20"/>
        </w:rPr>
        <w:t>to</w:t>
      </w:r>
      <w:r>
        <w:rPr>
          <w:spacing w:val="-4"/>
          <w:sz w:val="20"/>
        </w:rPr>
        <w:t xml:space="preserve"> </w:t>
      </w:r>
      <w:r>
        <w:rPr>
          <w:sz w:val="20"/>
        </w:rPr>
        <w:t>Demand</w:t>
      </w:r>
      <w:r>
        <w:rPr>
          <w:spacing w:val="-2"/>
          <w:sz w:val="20"/>
        </w:rPr>
        <w:t xml:space="preserve"> Forecasting</w:t>
      </w:r>
      <w:r>
        <w:rPr>
          <w:rFonts w:ascii="Times New Roman"/>
          <w:sz w:val="20"/>
        </w:rPr>
        <w:tab/>
      </w:r>
      <w:r>
        <w:rPr>
          <w:rFonts w:ascii="Arial"/>
          <w:spacing w:val="-5"/>
          <w:sz w:val="20"/>
        </w:rPr>
        <w:t>68</w:t>
      </w:r>
    </w:p>
    <w:p w14:paraId="72D312D7" w14:textId="77777777" w:rsidR="00141B97" w:rsidRDefault="00141B97">
      <w:pPr>
        <w:rPr>
          <w:rFonts w:ascii="Arial"/>
          <w:sz w:val="20"/>
        </w:rPr>
        <w:sectPr w:rsidR="00141B97">
          <w:footerReference w:type="default" r:id="rId72"/>
          <w:pgSz w:w="11910" w:h="16840"/>
          <w:pgMar w:top="860" w:right="40" w:bottom="760" w:left="1020" w:header="0" w:footer="579" w:gutter="0"/>
          <w:pgNumType w:start="42"/>
          <w:cols w:space="720"/>
        </w:sectPr>
      </w:pPr>
    </w:p>
    <w:p w14:paraId="2686B8CB" w14:textId="77777777" w:rsidR="00141B97" w:rsidRDefault="00911D63">
      <w:pPr>
        <w:pStyle w:val="ListParagraph"/>
        <w:numPr>
          <w:ilvl w:val="2"/>
          <w:numId w:val="82"/>
        </w:numPr>
        <w:tabs>
          <w:tab w:val="left" w:pos="1928"/>
          <w:tab w:val="left" w:pos="1929"/>
          <w:tab w:val="right" w:leader="dot" w:pos="9900"/>
        </w:tabs>
        <w:spacing w:before="71"/>
        <w:rPr>
          <w:rFonts w:ascii="Arial"/>
          <w:sz w:val="20"/>
        </w:rPr>
      </w:pPr>
      <w:r>
        <w:rPr>
          <w:sz w:val="20"/>
        </w:rPr>
        <w:lastRenderedPageBreak/>
        <w:t>Forecast</w:t>
      </w:r>
      <w:r>
        <w:rPr>
          <w:spacing w:val="-4"/>
          <w:sz w:val="20"/>
        </w:rPr>
        <w:t xml:space="preserve"> </w:t>
      </w:r>
      <w:r>
        <w:rPr>
          <w:sz w:val="20"/>
        </w:rPr>
        <w:t>Demand</w:t>
      </w:r>
      <w:r>
        <w:rPr>
          <w:spacing w:val="-2"/>
          <w:sz w:val="20"/>
        </w:rPr>
        <w:t xml:space="preserve"> </w:t>
      </w:r>
      <w:r>
        <w:rPr>
          <w:sz w:val="20"/>
        </w:rPr>
        <w:t>Basis</w:t>
      </w:r>
      <w:r>
        <w:rPr>
          <w:spacing w:val="-4"/>
          <w:sz w:val="20"/>
        </w:rPr>
        <w:t xml:space="preserve"> </w:t>
      </w:r>
      <w:r>
        <w:rPr>
          <w:sz w:val="20"/>
        </w:rPr>
        <w:t>and</w:t>
      </w:r>
      <w:r>
        <w:rPr>
          <w:spacing w:val="-2"/>
          <w:sz w:val="20"/>
        </w:rPr>
        <w:t xml:space="preserve"> </w:t>
      </w:r>
      <w:r>
        <w:rPr>
          <w:spacing w:val="-2"/>
          <w:w w:val="95"/>
          <w:sz w:val="20"/>
        </w:rPr>
        <w:t>Assumptions</w:t>
      </w:r>
      <w:r>
        <w:rPr>
          <w:rFonts w:ascii="Times New Roman"/>
          <w:sz w:val="20"/>
        </w:rPr>
        <w:tab/>
      </w:r>
      <w:r>
        <w:rPr>
          <w:rFonts w:ascii="Arial"/>
          <w:spacing w:val="-5"/>
          <w:sz w:val="20"/>
        </w:rPr>
        <w:t>68</w:t>
      </w:r>
    </w:p>
    <w:p w14:paraId="196C12CC" w14:textId="77777777" w:rsidR="00141B97" w:rsidRDefault="00911D63">
      <w:pPr>
        <w:pStyle w:val="ListParagraph"/>
        <w:numPr>
          <w:ilvl w:val="3"/>
          <w:numId w:val="82"/>
        </w:numPr>
        <w:tabs>
          <w:tab w:val="left" w:pos="2555"/>
          <w:tab w:val="right" w:leader="dot" w:pos="9885"/>
        </w:tabs>
        <w:spacing w:before="121"/>
        <w:rPr>
          <w:rFonts w:ascii="Calibri"/>
          <w:sz w:val="20"/>
        </w:rPr>
      </w:pPr>
      <w:r>
        <w:rPr>
          <w:i/>
          <w:sz w:val="20"/>
        </w:rPr>
        <w:t>Growth</w:t>
      </w:r>
      <w:r>
        <w:rPr>
          <w:i/>
          <w:spacing w:val="-3"/>
          <w:sz w:val="20"/>
        </w:rPr>
        <w:t xml:space="preserve"> </w:t>
      </w:r>
      <w:r>
        <w:rPr>
          <w:i/>
          <w:sz w:val="20"/>
        </w:rPr>
        <w:t>Rates</w:t>
      </w:r>
      <w:r>
        <w:rPr>
          <w:i/>
          <w:spacing w:val="-2"/>
          <w:sz w:val="20"/>
        </w:rPr>
        <w:t xml:space="preserve"> </w:t>
      </w:r>
      <w:r>
        <w:rPr>
          <w:i/>
          <w:sz w:val="20"/>
        </w:rPr>
        <w:t>and</w:t>
      </w:r>
      <w:r>
        <w:rPr>
          <w:i/>
          <w:spacing w:val="-1"/>
          <w:sz w:val="20"/>
        </w:rPr>
        <w:t xml:space="preserve"> </w:t>
      </w:r>
      <w:r>
        <w:rPr>
          <w:i/>
          <w:spacing w:val="-2"/>
          <w:w w:val="95"/>
          <w:sz w:val="20"/>
        </w:rPr>
        <w:t>Connections</w:t>
      </w:r>
      <w:r>
        <w:rPr>
          <w:rFonts w:ascii="Times New Roman"/>
          <w:sz w:val="20"/>
        </w:rPr>
        <w:tab/>
      </w:r>
      <w:r>
        <w:rPr>
          <w:rFonts w:ascii="Calibri"/>
          <w:spacing w:val="-5"/>
          <w:sz w:val="20"/>
        </w:rPr>
        <w:t>68</w:t>
      </w:r>
    </w:p>
    <w:p w14:paraId="6219E7C9"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z w:val="20"/>
        </w:rPr>
        <w:t>Weather</w:t>
      </w:r>
      <w:r>
        <w:rPr>
          <w:i/>
          <w:spacing w:val="-5"/>
          <w:sz w:val="20"/>
        </w:rPr>
        <w:t xml:space="preserve"> </w:t>
      </w:r>
      <w:r>
        <w:rPr>
          <w:i/>
          <w:sz w:val="20"/>
        </w:rPr>
        <w:t>and</w:t>
      </w:r>
      <w:r>
        <w:rPr>
          <w:i/>
          <w:spacing w:val="-5"/>
          <w:sz w:val="20"/>
        </w:rPr>
        <w:t xml:space="preserve"> </w:t>
      </w:r>
      <w:r>
        <w:rPr>
          <w:i/>
          <w:sz w:val="20"/>
        </w:rPr>
        <w:t>Water</w:t>
      </w:r>
      <w:r>
        <w:rPr>
          <w:i/>
          <w:spacing w:val="-5"/>
          <w:sz w:val="20"/>
        </w:rPr>
        <w:t xml:space="preserve"> </w:t>
      </w:r>
      <w:r>
        <w:rPr>
          <w:i/>
          <w:sz w:val="20"/>
        </w:rPr>
        <w:t>Restrictions</w:t>
      </w:r>
      <w:r>
        <w:rPr>
          <w:i/>
          <w:spacing w:val="-4"/>
          <w:sz w:val="20"/>
        </w:rPr>
        <w:t xml:space="preserve"> </w:t>
      </w:r>
      <w:r>
        <w:rPr>
          <w:i/>
          <w:spacing w:val="-2"/>
          <w:sz w:val="20"/>
        </w:rPr>
        <w:t>Influences</w:t>
      </w:r>
      <w:r>
        <w:rPr>
          <w:rFonts w:ascii="Times New Roman"/>
          <w:sz w:val="20"/>
        </w:rPr>
        <w:tab/>
      </w:r>
      <w:r>
        <w:rPr>
          <w:rFonts w:ascii="Calibri"/>
          <w:spacing w:val="-5"/>
          <w:sz w:val="20"/>
        </w:rPr>
        <w:t>69</w:t>
      </w:r>
    </w:p>
    <w:p w14:paraId="16DDF565" w14:textId="77777777" w:rsidR="00141B97" w:rsidRDefault="00911D63">
      <w:pPr>
        <w:pStyle w:val="ListParagraph"/>
        <w:numPr>
          <w:ilvl w:val="3"/>
          <w:numId w:val="82"/>
        </w:numPr>
        <w:tabs>
          <w:tab w:val="left" w:pos="2555"/>
          <w:tab w:val="right" w:leader="dot" w:pos="9885"/>
        </w:tabs>
        <w:spacing w:line="244" w:lineRule="exact"/>
        <w:rPr>
          <w:rFonts w:ascii="Calibri"/>
          <w:sz w:val="20"/>
        </w:rPr>
      </w:pPr>
      <w:r>
        <w:rPr>
          <w:i/>
          <w:sz w:val="20"/>
        </w:rPr>
        <w:t>Climate</w:t>
      </w:r>
      <w:r>
        <w:rPr>
          <w:i/>
          <w:spacing w:val="-6"/>
          <w:sz w:val="20"/>
        </w:rPr>
        <w:t xml:space="preserve"> </w:t>
      </w:r>
      <w:r>
        <w:rPr>
          <w:i/>
          <w:spacing w:val="-2"/>
          <w:sz w:val="20"/>
        </w:rPr>
        <w:t>change</w:t>
      </w:r>
      <w:r>
        <w:rPr>
          <w:rFonts w:ascii="Times New Roman"/>
          <w:sz w:val="20"/>
        </w:rPr>
        <w:tab/>
      </w:r>
      <w:r>
        <w:rPr>
          <w:rFonts w:ascii="Calibri"/>
          <w:spacing w:val="-5"/>
          <w:sz w:val="20"/>
        </w:rPr>
        <w:t>69</w:t>
      </w:r>
    </w:p>
    <w:p w14:paraId="5C1BE254" w14:textId="77777777" w:rsidR="00141B97" w:rsidRDefault="00911D63">
      <w:pPr>
        <w:pStyle w:val="ListParagraph"/>
        <w:numPr>
          <w:ilvl w:val="3"/>
          <w:numId w:val="82"/>
        </w:numPr>
        <w:tabs>
          <w:tab w:val="left" w:pos="2556"/>
          <w:tab w:val="right" w:leader="dot" w:pos="9885"/>
        </w:tabs>
        <w:spacing w:before="1" w:line="244" w:lineRule="exact"/>
        <w:ind w:left="2556" w:hanging="599"/>
        <w:rPr>
          <w:rFonts w:ascii="Calibri"/>
          <w:sz w:val="20"/>
        </w:rPr>
      </w:pPr>
      <w:r>
        <w:rPr>
          <w:i/>
          <w:sz w:val="20"/>
        </w:rPr>
        <w:t>Demand</w:t>
      </w:r>
      <w:r>
        <w:rPr>
          <w:i/>
          <w:spacing w:val="-4"/>
          <w:sz w:val="20"/>
        </w:rPr>
        <w:t xml:space="preserve"> </w:t>
      </w:r>
      <w:r>
        <w:rPr>
          <w:i/>
          <w:sz w:val="20"/>
        </w:rPr>
        <w:t>Management</w:t>
      </w:r>
      <w:r>
        <w:rPr>
          <w:i/>
          <w:spacing w:val="-4"/>
          <w:sz w:val="20"/>
        </w:rPr>
        <w:t xml:space="preserve"> </w:t>
      </w:r>
      <w:r>
        <w:rPr>
          <w:i/>
          <w:spacing w:val="-2"/>
          <w:sz w:val="20"/>
        </w:rPr>
        <w:t>Activities</w:t>
      </w:r>
      <w:r>
        <w:rPr>
          <w:rFonts w:ascii="Times New Roman"/>
          <w:sz w:val="20"/>
        </w:rPr>
        <w:tab/>
      </w:r>
      <w:r>
        <w:rPr>
          <w:rFonts w:ascii="Calibri"/>
          <w:spacing w:val="-5"/>
          <w:sz w:val="20"/>
        </w:rPr>
        <w:t>69</w:t>
      </w:r>
    </w:p>
    <w:p w14:paraId="34C6AB06" w14:textId="77777777" w:rsidR="00141B97" w:rsidRDefault="00911D63">
      <w:pPr>
        <w:pStyle w:val="ListParagraph"/>
        <w:numPr>
          <w:ilvl w:val="3"/>
          <w:numId w:val="82"/>
        </w:numPr>
        <w:tabs>
          <w:tab w:val="left" w:pos="2555"/>
          <w:tab w:val="right" w:leader="dot" w:pos="9885"/>
        </w:tabs>
        <w:spacing w:line="244" w:lineRule="exact"/>
        <w:rPr>
          <w:rFonts w:ascii="Calibri"/>
          <w:sz w:val="20"/>
        </w:rPr>
      </w:pPr>
      <w:r>
        <w:rPr>
          <w:i/>
          <w:sz w:val="20"/>
        </w:rPr>
        <w:t>Price</w:t>
      </w:r>
      <w:r>
        <w:rPr>
          <w:i/>
          <w:spacing w:val="-1"/>
          <w:sz w:val="20"/>
        </w:rPr>
        <w:t xml:space="preserve"> </w:t>
      </w:r>
      <w:r>
        <w:rPr>
          <w:i/>
          <w:spacing w:val="-2"/>
          <w:sz w:val="20"/>
        </w:rPr>
        <w:t>Elasticity</w:t>
      </w:r>
      <w:r>
        <w:rPr>
          <w:rFonts w:ascii="Times New Roman"/>
          <w:sz w:val="20"/>
        </w:rPr>
        <w:tab/>
      </w:r>
      <w:r>
        <w:rPr>
          <w:rFonts w:ascii="Calibri"/>
          <w:spacing w:val="-5"/>
          <w:sz w:val="20"/>
        </w:rPr>
        <w:t>70</w:t>
      </w:r>
    </w:p>
    <w:p w14:paraId="449BDE58" w14:textId="77777777" w:rsidR="00141B97" w:rsidRDefault="00911D63">
      <w:pPr>
        <w:pStyle w:val="ListParagraph"/>
        <w:numPr>
          <w:ilvl w:val="3"/>
          <w:numId w:val="82"/>
        </w:numPr>
        <w:tabs>
          <w:tab w:val="left" w:pos="2555"/>
          <w:tab w:val="right" w:leader="dot" w:pos="9885"/>
        </w:tabs>
        <w:spacing w:before="1"/>
        <w:rPr>
          <w:rFonts w:ascii="Calibri"/>
          <w:sz w:val="20"/>
        </w:rPr>
      </w:pPr>
      <w:r>
        <w:rPr>
          <w:i/>
          <w:sz w:val="20"/>
        </w:rPr>
        <w:t>Tariff</w:t>
      </w:r>
      <w:r>
        <w:rPr>
          <w:i/>
          <w:spacing w:val="-1"/>
          <w:sz w:val="20"/>
        </w:rPr>
        <w:t xml:space="preserve"> </w:t>
      </w:r>
      <w:r>
        <w:rPr>
          <w:i/>
          <w:spacing w:val="-2"/>
          <w:w w:val="95"/>
          <w:sz w:val="20"/>
        </w:rPr>
        <w:t>Changes</w:t>
      </w:r>
      <w:r>
        <w:rPr>
          <w:rFonts w:ascii="Times New Roman"/>
          <w:sz w:val="20"/>
        </w:rPr>
        <w:tab/>
      </w:r>
      <w:r>
        <w:rPr>
          <w:rFonts w:ascii="Calibri"/>
          <w:spacing w:val="-5"/>
          <w:w w:val="95"/>
          <w:sz w:val="20"/>
        </w:rPr>
        <w:t>70</w:t>
      </w:r>
    </w:p>
    <w:p w14:paraId="2AADB5A7" w14:textId="77777777" w:rsidR="00141B97" w:rsidRDefault="00911D63">
      <w:pPr>
        <w:pStyle w:val="ListParagraph"/>
        <w:numPr>
          <w:ilvl w:val="2"/>
          <w:numId w:val="82"/>
        </w:numPr>
        <w:tabs>
          <w:tab w:val="left" w:pos="1928"/>
          <w:tab w:val="left" w:pos="1929"/>
          <w:tab w:val="right" w:leader="dot" w:pos="9900"/>
        </w:tabs>
        <w:rPr>
          <w:rFonts w:ascii="Arial"/>
          <w:sz w:val="20"/>
        </w:rPr>
      </w:pPr>
      <w:r>
        <w:rPr>
          <w:sz w:val="20"/>
        </w:rPr>
        <w:t>Water</w:t>
      </w:r>
      <w:r>
        <w:rPr>
          <w:spacing w:val="-4"/>
          <w:sz w:val="20"/>
        </w:rPr>
        <w:t xml:space="preserve"> </w:t>
      </w:r>
      <w:r>
        <w:rPr>
          <w:sz w:val="20"/>
        </w:rPr>
        <w:t>&amp;</w:t>
      </w:r>
      <w:r>
        <w:rPr>
          <w:spacing w:val="-4"/>
          <w:sz w:val="20"/>
        </w:rPr>
        <w:t xml:space="preserve"> </w:t>
      </w:r>
      <w:r>
        <w:rPr>
          <w:sz w:val="20"/>
        </w:rPr>
        <w:t>Sewerage</w:t>
      </w:r>
      <w:r>
        <w:rPr>
          <w:spacing w:val="-3"/>
          <w:sz w:val="20"/>
        </w:rPr>
        <w:t xml:space="preserve"> </w:t>
      </w:r>
      <w:r>
        <w:rPr>
          <w:sz w:val="20"/>
        </w:rPr>
        <w:t>Demand</w:t>
      </w:r>
      <w:r>
        <w:rPr>
          <w:spacing w:val="-3"/>
          <w:sz w:val="20"/>
        </w:rPr>
        <w:t xml:space="preserve"> </w:t>
      </w:r>
      <w:r>
        <w:rPr>
          <w:spacing w:val="-2"/>
          <w:w w:val="95"/>
          <w:sz w:val="20"/>
        </w:rPr>
        <w:t>Forecasts</w:t>
      </w:r>
      <w:r>
        <w:rPr>
          <w:rFonts w:ascii="Times New Roman"/>
          <w:sz w:val="20"/>
        </w:rPr>
        <w:tab/>
      </w:r>
      <w:r>
        <w:rPr>
          <w:rFonts w:ascii="Arial"/>
          <w:spacing w:val="-5"/>
          <w:sz w:val="20"/>
        </w:rPr>
        <w:t>70</w:t>
      </w:r>
    </w:p>
    <w:p w14:paraId="651E9FC8" w14:textId="77777777" w:rsidR="00141B97" w:rsidRDefault="00911D63">
      <w:pPr>
        <w:pStyle w:val="ListParagraph"/>
        <w:numPr>
          <w:ilvl w:val="3"/>
          <w:numId w:val="82"/>
        </w:numPr>
        <w:tabs>
          <w:tab w:val="left" w:pos="2555"/>
          <w:tab w:val="right" w:leader="dot" w:pos="9885"/>
        </w:tabs>
        <w:spacing w:before="121"/>
        <w:rPr>
          <w:rFonts w:ascii="Calibri"/>
          <w:sz w:val="20"/>
        </w:rPr>
      </w:pPr>
      <w:r>
        <w:rPr>
          <w:i/>
          <w:sz w:val="20"/>
        </w:rPr>
        <w:t>Connection</w:t>
      </w:r>
      <w:r>
        <w:rPr>
          <w:i/>
          <w:spacing w:val="-7"/>
          <w:sz w:val="20"/>
        </w:rPr>
        <w:t xml:space="preserve"> </w:t>
      </w:r>
      <w:r>
        <w:rPr>
          <w:i/>
          <w:spacing w:val="-2"/>
          <w:sz w:val="20"/>
        </w:rPr>
        <w:t>Forecast</w:t>
      </w:r>
      <w:r>
        <w:rPr>
          <w:rFonts w:ascii="Times New Roman"/>
          <w:sz w:val="20"/>
        </w:rPr>
        <w:tab/>
      </w:r>
      <w:r>
        <w:rPr>
          <w:rFonts w:ascii="Calibri"/>
          <w:spacing w:val="-5"/>
          <w:sz w:val="20"/>
        </w:rPr>
        <w:t>70</w:t>
      </w:r>
    </w:p>
    <w:p w14:paraId="62E4ACDF"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z w:val="20"/>
        </w:rPr>
        <w:t>Water</w:t>
      </w:r>
      <w:r>
        <w:rPr>
          <w:i/>
          <w:spacing w:val="-6"/>
          <w:sz w:val="20"/>
        </w:rPr>
        <w:t xml:space="preserve"> </w:t>
      </w:r>
      <w:r>
        <w:rPr>
          <w:i/>
          <w:sz w:val="20"/>
        </w:rPr>
        <w:t>Volumetric</w:t>
      </w:r>
      <w:r>
        <w:rPr>
          <w:i/>
          <w:spacing w:val="-3"/>
          <w:sz w:val="20"/>
        </w:rPr>
        <w:t xml:space="preserve"> </w:t>
      </w:r>
      <w:r>
        <w:rPr>
          <w:i/>
          <w:spacing w:val="-2"/>
          <w:sz w:val="20"/>
        </w:rPr>
        <w:t>Demand</w:t>
      </w:r>
      <w:r>
        <w:rPr>
          <w:rFonts w:ascii="Times New Roman"/>
          <w:sz w:val="20"/>
        </w:rPr>
        <w:tab/>
      </w:r>
      <w:r>
        <w:rPr>
          <w:rFonts w:ascii="Calibri"/>
          <w:spacing w:val="-5"/>
          <w:sz w:val="20"/>
        </w:rPr>
        <w:t>70</w:t>
      </w:r>
    </w:p>
    <w:p w14:paraId="79C8D275"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z w:val="20"/>
        </w:rPr>
        <w:t>Wastewater</w:t>
      </w:r>
      <w:r>
        <w:rPr>
          <w:i/>
          <w:spacing w:val="-9"/>
          <w:sz w:val="20"/>
        </w:rPr>
        <w:t xml:space="preserve"> </w:t>
      </w:r>
      <w:r>
        <w:rPr>
          <w:i/>
          <w:spacing w:val="-2"/>
          <w:sz w:val="20"/>
        </w:rPr>
        <w:t>Flows</w:t>
      </w:r>
      <w:r>
        <w:rPr>
          <w:rFonts w:ascii="Times New Roman"/>
          <w:sz w:val="20"/>
        </w:rPr>
        <w:tab/>
      </w:r>
      <w:r>
        <w:rPr>
          <w:rFonts w:ascii="Calibri"/>
          <w:spacing w:val="-5"/>
          <w:sz w:val="20"/>
        </w:rPr>
        <w:t>72</w:t>
      </w:r>
    </w:p>
    <w:p w14:paraId="283EBE7A" w14:textId="77777777" w:rsidR="00141B97" w:rsidRDefault="00911D63">
      <w:pPr>
        <w:pStyle w:val="ListParagraph"/>
        <w:numPr>
          <w:ilvl w:val="3"/>
          <w:numId w:val="82"/>
        </w:numPr>
        <w:tabs>
          <w:tab w:val="left" w:pos="2556"/>
          <w:tab w:val="right" w:leader="dot" w:pos="9885"/>
        </w:tabs>
        <w:spacing w:before="1" w:line="244" w:lineRule="exact"/>
        <w:ind w:left="2556" w:hanging="599"/>
        <w:rPr>
          <w:rFonts w:ascii="Calibri"/>
          <w:sz w:val="20"/>
        </w:rPr>
      </w:pPr>
      <w:r>
        <w:rPr>
          <w:i/>
          <w:sz w:val="20"/>
        </w:rPr>
        <w:t>Recycled</w:t>
      </w:r>
      <w:r>
        <w:rPr>
          <w:i/>
          <w:spacing w:val="-9"/>
          <w:sz w:val="20"/>
        </w:rPr>
        <w:t xml:space="preserve"> </w:t>
      </w:r>
      <w:r>
        <w:rPr>
          <w:i/>
          <w:spacing w:val="-4"/>
          <w:sz w:val="20"/>
        </w:rPr>
        <w:t>Water</w:t>
      </w:r>
      <w:r>
        <w:rPr>
          <w:rFonts w:ascii="Times New Roman"/>
          <w:sz w:val="20"/>
        </w:rPr>
        <w:tab/>
      </w:r>
      <w:r>
        <w:rPr>
          <w:rFonts w:ascii="Calibri"/>
          <w:spacing w:val="-5"/>
          <w:sz w:val="20"/>
        </w:rPr>
        <w:t>72</w:t>
      </w:r>
    </w:p>
    <w:p w14:paraId="0A1E1E6C"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z w:val="20"/>
        </w:rPr>
        <w:t>Developed</w:t>
      </w:r>
      <w:r>
        <w:rPr>
          <w:i/>
          <w:spacing w:val="-8"/>
          <w:sz w:val="20"/>
        </w:rPr>
        <w:t xml:space="preserve"> </w:t>
      </w:r>
      <w:r>
        <w:rPr>
          <w:i/>
          <w:spacing w:val="-4"/>
          <w:sz w:val="20"/>
        </w:rPr>
        <w:t>Lots</w:t>
      </w:r>
      <w:r>
        <w:rPr>
          <w:rFonts w:ascii="Times New Roman"/>
          <w:sz w:val="20"/>
        </w:rPr>
        <w:tab/>
      </w:r>
      <w:r>
        <w:rPr>
          <w:rFonts w:ascii="Calibri"/>
          <w:spacing w:val="-5"/>
          <w:sz w:val="20"/>
        </w:rPr>
        <w:t>72</w:t>
      </w:r>
    </w:p>
    <w:p w14:paraId="4081CF61" w14:textId="77777777" w:rsidR="00141B97" w:rsidRDefault="00911D63">
      <w:pPr>
        <w:pStyle w:val="ListParagraph"/>
        <w:numPr>
          <w:ilvl w:val="1"/>
          <w:numId w:val="82"/>
        </w:numPr>
        <w:tabs>
          <w:tab w:val="left" w:pos="1247"/>
          <w:tab w:val="left" w:pos="1248"/>
          <w:tab w:val="right" w:leader="dot" w:pos="9893"/>
        </w:tabs>
        <w:spacing w:before="37"/>
        <w:rPr>
          <w:rFonts w:ascii="Arial"/>
          <w:b/>
          <w:sz w:val="20"/>
        </w:rPr>
      </w:pPr>
      <w:r>
        <w:rPr>
          <w:sz w:val="20"/>
        </w:rPr>
        <w:t>Forecast</w:t>
      </w:r>
      <w:r>
        <w:rPr>
          <w:spacing w:val="-7"/>
          <w:sz w:val="20"/>
        </w:rPr>
        <w:t xml:space="preserve"> </w:t>
      </w:r>
      <w:r>
        <w:rPr>
          <w:sz w:val="20"/>
        </w:rPr>
        <w:t>Operating</w:t>
      </w:r>
      <w:r>
        <w:rPr>
          <w:spacing w:val="-6"/>
          <w:sz w:val="20"/>
        </w:rPr>
        <w:t xml:space="preserve"> </w:t>
      </w:r>
      <w:r>
        <w:rPr>
          <w:spacing w:val="-2"/>
          <w:sz w:val="20"/>
        </w:rPr>
        <w:t>Expenditure</w:t>
      </w:r>
      <w:r>
        <w:rPr>
          <w:rFonts w:ascii="Times New Roman"/>
          <w:sz w:val="20"/>
        </w:rPr>
        <w:tab/>
      </w:r>
      <w:r>
        <w:rPr>
          <w:rFonts w:ascii="Arial"/>
          <w:b/>
          <w:spacing w:val="-5"/>
          <w:sz w:val="20"/>
        </w:rPr>
        <w:t>73</w:t>
      </w:r>
    </w:p>
    <w:p w14:paraId="4EFD9447" w14:textId="77777777" w:rsidR="00141B97" w:rsidRDefault="00911D63">
      <w:pPr>
        <w:pStyle w:val="ListParagraph"/>
        <w:numPr>
          <w:ilvl w:val="2"/>
          <w:numId w:val="82"/>
        </w:numPr>
        <w:tabs>
          <w:tab w:val="left" w:pos="1928"/>
          <w:tab w:val="left" w:pos="1929"/>
          <w:tab w:val="right" w:leader="dot" w:pos="9900"/>
        </w:tabs>
        <w:spacing w:before="120"/>
        <w:rPr>
          <w:rFonts w:ascii="Arial"/>
          <w:sz w:val="20"/>
        </w:rPr>
      </w:pPr>
      <w:r>
        <w:rPr>
          <w:sz w:val="20"/>
        </w:rPr>
        <w:t>Actual</w:t>
      </w:r>
      <w:r>
        <w:rPr>
          <w:spacing w:val="-4"/>
          <w:sz w:val="20"/>
        </w:rPr>
        <w:t xml:space="preserve"> </w:t>
      </w:r>
      <w:r>
        <w:rPr>
          <w:sz w:val="20"/>
        </w:rPr>
        <w:t>and</w:t>
      </w:r>
      <w:r>
        <w:rPr>
          <w:spacing w:val="-3"/>
          <w:sz w:val="20"/>
        </w:rPr>
        <w:t xml:space="preserve"> </w:t>
      </w:r>
      <w:r>
        <w:rPr>
          <w:sz w:val="20"/>
        </w:rPr>
        <w:t>Planned</w:t>
      </w:r>
      <w:r>
        <w:rPr>
          <w:spacing w:val="-4"/>
          <w:sz w:val="20"/>
        </w:rPr>
        <w:t xml:space="preserve"> </w:t>
      </w:r>
      <w:r>
        <w:rPr>
          <w:sz w:val="20"/>
        </w:rPr>
        <w:t>Operating</w:t>
      </w:r>
      <w:r>
        <w:rPr>
          <w:spacing w:val="-3"/>
          <w:sz w:val="20"/>
        </w:rPr>
        <w:t xml:space="preserve"> </w:t>
      </w:r>
      <w:r>
        <w:rPr>
          <w:spacing w:val="-2"/>
          <w:sz w:val="20"/>
        </w:rPr>
        <w:t>Expenditure</w:t>
      </w:r>
      <w:r>
        <w:rPr>
          <w:rFonts w:ascii="Times New Roman"/>
          <w:sz w:val="20"/>
        </w:rPr>
        <w:tab/>
      </w:r>
      <w:r>
        <w:rPr>
          <w:rFonts w:ascii="Arial"/>
          <w:spacing w:val="-5"/>
          <w:sz w:val="20"/>
        </w:rPr>
        <w:t>73</w:t>
      </w:r>
    </w:p>
    <w:p w14:paraId="712E520A" w14:textId="77777777" w:rsidR="00141B97" w:rsidRDefault="00911D63">
      <w:pPr>
        <w:pStyle w:val="ListParagraph"/>
        <w:numPr>
          <w:ilvl w:val="3"/>
          <w:numId w:val="82"/>
        </w:numPr>
        <w:tabs>
          <w:tab w:val="left" w:pos="2555"/>
          <w:tab w:val="right" w:leader="dot" w:pos="9885"/>
        </w:tabs>
        <w:spacing w:before="121" w:line="244" w:lineRule="exact"/>
        <w:rPr>
          <w:rFonts w:ascii="Calibri"/>
          <w:sz w:val="20"/>
        </w:rPr>
      </w:pPr>
      <w:r>
        <w:rPr>
          <w:i/>
          <w:spacing w:val="-2"/>
          <w:sz w:val="20"/>
        </w:rPr>
        <w:t>Electricity</w:t>
      </w:r>
      <w:r>
        <w:rPr>
          <w:rFonts w:ascii="Times New Roman"/>
          <w:sz w:val="20"/>
        </w:rPr>
        <w:tab/>
      </w:r>
      <w:r>
        <w:rPr>
          <w:rFonts w:ascii="Calibri"/>
          <w:spacing w:val="-5"/>
          <w:sz w:val="20"/>
        </w:rPr>
        <w:t>73</w:t>
      </w:r>
    </w:p>
    <w:p w14:paraId="190E3934"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pacing w:val="-2"/>
          <w:sz w:val="20"/>
        </w:rPr>
        <w:t>Labour</w:t>
      </w:r>
      <w:r>
        <w:rPr>
          <w:rFonts w:ascii="Times New Roman"/>
          <w:sz w:val="20"/>
        </w:rPr>
        <w:tab/>
      </w:r>
      <w:r>
        <w:rPr>
          <w:rFonts w:ascii="Calibri"/>
          <w:spacing w:val="-5"/>
          <w:sz w:val="20"/>
        </w:rPr>
        <w:t>74</w:t>
      </w:r>
    </w:p>
    <w:p w14:paraId="51B54533" w14:textId="77777777" w:rsidR="00141B97" w:rsidRDefault="00911D63">
      <w:pPr>
        <w:pStyle w:val="ListParagraph"/>
        <w:numPr>
          <w:ilvl w:val="3"/>
          <w:numId w:val="82"/>
        </w:numPr>
        <w:tabs>
          <w:tab w:val="left" w:pos="2555"/>
          <w:tab w:val="right" w:leader="dot" w:pos="9885"/>
        </w:tabs>
        <w:spacing w:before="1" w:line="244" w:lineRule="exact"/>
        <w:rPr>
          <w:rFonts w:ascii="Calibri"/>
          <w:sz w:val="20"/>
        </w:rPr>
      </w:pPr>
      <w:r>
        <w:rPr>
          <w:i/>
          <w:spacing w:val="-2"/>
          <w:sz w:val="20"/>
        </w:rPr>
        <w:t>Chemicals</w:t>
      </w:r>
      <w:r>
        <w:rPr>
          <w:rFonts w:ascii="Times New Roman"/>
          <w:sz w:val="20"/>
        </w:rPr>
        <w:tab/>
      </w:r>
      <w:r>
        <w:rPr>
          <w:rFonts w:ascii="Calibri"/>
          <w:spacing w:val="-5"/>
          <w:sz w:val="20"/>
        </w:rPr>
        <w:t>74</w:t>
      </w:r>
    </w:p>
    <w:p w14:paraId="322C900B"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z w:val="20"/>
        </w:rPr>
        <w:t>Water</w:t>
      </w:r>
      <w:r>
        <w:rPr>
          <w:i/>
          <w:spacing w:val="-4"/>
          <w:sz w:val="20"/>
        </w:rPr>
        <w:t xml:space="preserve"> </w:t>
      </w:r>
      <w:r>
        <w:rPr>
          <w:i/>
          <w:sz w:val="20"/>
        </w:rPr>
        <w:t>Quality</w:t>
      </w:r>
      <w:r>
        <w:rPr>
          <w:i/>
          <w:spacing w:val="-1"/>
          <w:sz w:val="20"/>
        </w:rPr>
        <w:t xml:space="preserve"> </w:t>
      </w:r>
      <w:r>
        <w:rPr>
          <w:i/>
          <w:sz w:val="20"/>
        </w:rPr>
        <w:t>&amp;</w:t>
      </w:r>
      <w:r>
        <w:rPr>
          <w:i/>
          <w:spacing w:val="-2"/>
          <w:sz w:val="20"/>
        </w:rPr>
        <w:t xml:space="preserve"> </w:t>
      </w:r>
      <w:r>
        <w:rPr>
          <w:i/>
          <w:sz w:val="20"/>
        </w:rPr>
        <w:t>UV</w:t>
      </w:r>
      <w:r>
        <w:rPr>
          <w:i/>
          <w:spacing w:val="-2"/>
          <w:sz w:val="20"/>
        </w:rPr>
        <w:t xml:space="preserve"> Disinfection</w:t>
      </w:r>
      <w:r>
        <w:rPr>
          <w:rFonts w:ascii="Times New Roman"/>
          <w:sz w:val="20"/>
        </w:rPr>
        <w:tab/>
      </w:r>
      <w:r>
        <w:rPr>
          <w:rFonts w:ascii="Calibri"/>
          <w:spacing w:val="-5"/>
          <w:sz w:val="20"/>
        </w:rPr>
        <w:t>75</w:t>
      </w:r>
    </w:p>
    <w:p w14:paraId="729EB9A7"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sz w:val="20"/>
        </w:rPr>
      </w:pPr>
      <w:r>
        <w:rPr>
          <w:i/>
          <w:sz w:val="20"/>
        </w:rPr>
        <w:t>ICT</w:t>
      </w:r>
      <w:r>
        <w:rPr>
          <w:i/>
          <w:spacing w:val="-4"/>
          <w:sz w:val="20"/>
        </w:rPr>
        <w:t xml:space="preserve"> </w:t>
      </w:r>
      <w:r>
        <w:rPr>
          <w:i/>
          <w:spacing w:val="-2"/>
          <w:sz w:val="20"/>
        </w:rPr>
        <w:t>Expenditure</w:t>
      </w:r>
      <w:r>
        <w:rPr>
          <w:rFonts w:ascii="Times New Roman"/>
          <w:sz w:val="20"/>
        </w:rPr>
        <w:tab/>
      </w:r>
      <w:r>
        <w:rPr>
          <w:rFonts w:ascii="Calibri"/>
          <w:spacing w:val="-5"/>
          <w:sz w:val="20"/>
        </w:rPr>
        <w:t>75</w:t>
      </w:r>
    </w:p>
    <w:p w14:paraId="4E453CB2" w14:textId="77777777" w:rsidR="00141B97" w:rsidRDefault="00911D63">
      <w:pPr>
        <w:pStyle w:val="ListParagraph"/>
        <w:numPr>
          <w:ilvl w:val="3"/>
          <w:numId w:val="82"/>
        </w:numPr>
        <w:tabs>
          <w:tab w:val="left" w:pos="2555"/>
          <w:tab w:val="right" w:leader="dot" w:pos="9885"/>
        </w:tabs>
        <w:spacing w:line="244" w:lineRule="exact"/>
        <w:rPr>
          <w:rFonts w:ascii="Calibri" w:hAnsi="Calibri"/>
          <w:sz w:val="20"/>
        </w:rPr>
      </w:pPr>
      <w:r>
        <w:rPr>
          <w:i/>
          <w:sz w:val="20"/>
        </w:rPr>
        <w:t>10‐year</w:t>
      </w:r>
      <w:r>
        <w:rPr>
          <w:i/>
          <w:spacing w:val="-8"/>
          <w:sz w:val="20"/>
        </w:rPr>
        <w:t xml:space="preserve"> </w:t>
      </w:r>
      <w:r>
        <w:rPr>
          <w:i/>
          <w:sz w:val="20"/>
        </w:rPr>
        <w:t>Operating</w:t>
      </w:r>
      <w:r>
        <w:rPr>
          <w:i/>
          <w:spacing w:val="-6"/>
          <w:sz w:val="20"/>
        </w:rPr>
        <w:t xml:space="preserve"> </w:t>
      </w:r>
      <w:r>
        <w:rPr>
          <w:i/>
          <w:sz w:val="20"/>
        </w:rPr>
        <w:t>Expenditure</w:t>
      </w:r>
      <w:r>
        <w:rPr>
          <w:i/>
          <w:spacing w:val="-5"/>
          <w:sz w:val="20"/>
        </w:rPr>
        <w:t xml:space="preserve"> </w:t>
      </w:r>
      <w:r>
        <w:rPr>
          <w:i/>
          <w:spacing w:val="-2"/>
          <w:sz w:val="20"/>
        </w:rPr>
        <w:t>Trend</w:t>
      </w:r>
      <w:r>
        <w:rPr>
          <w:rFonts w:ascii="Times New Roman" w:hAnsi="Times New Roman"/>
          <w:sz w:val="20"/>
        </w:rPr>
        <w:tab/>
      </w:r>
      <w:r>
        <w:rPr>
          <w:rFonts w:ascii="Calibri" w:hAnsi="Calibri"/>
          <w:spacing w:val="-5"/>
          <w:sz w:val="20"/>
        </w:rPr>
        <w:t>75</w:t>
      </w:r>
    </w:p>
    <w:p w14:paraId="51364A69" w14:textId="77777777" w:rsidR="00141B97" w:rsidRDefault="00911D63">
      <w:pPr>
        <w:pStyle w:val="ListParagraph"/>
        <w:numPr>
          <w:ilvl w:val="3"/>
          <w:numId w:val="82"/>
        </w:numPr>
        <w:tabs>
          <w:tab w:val="left" w:pos="2556"/>
          <w:tab w:val="right" w:leader="dot" w:pos="9885"/>
        </w:tabs>
        <w:spacing w:before="1"/>
        <w:ind w:left="2556" w:hanging="599"/>
        <w:rPr>
          <w:rFonts w:ascii="Calibri"/>
          <w:sz w:val="20"/>
        </w:rPr>
      </w:pPr>
      <w:r>
        <w:rPr>
          <w:i/>
          <w:sz w:val="20"/>
        </w:rPr>
        <w:t>Allocation</w:t>
      </w:r>
      <w:r>
        <w:rPr>
          <w:i/>
          <w:spacing w:val="-8"/>
          <w:sz w:val="20"/>
        </w:rPr>
        <w:t xml:space="preserve"> </w:t>
      </w:r>
      <w:r>
        <w:rPr>
          <w:i/>
          <w:sz w:val="20"/>
        </w:rPr>
        <w:t>of</w:t>
      </w:r>
      <w:r>
        <w:rPr>
          <w:i/>
          <w:spacing w:val="-6"/>
          <w:sz w:val="20"/>
        </w:rPr>
        <w:t xml:space="preserve"> </w:t>
      </w:r>
      <w:r>
        <w:rPr>
          <w:i/>
          <w:sz w:val="20"/>
        </w:rPr>
        <w:t>Shared</w:t>
      </w:r>
      <w:r>
        <w:rPr>
          <w:i/>
          <w:spacing w:val="-3"/>
          <w:sz w:val="20"/>
        </w:rPr>
        <w:t xml:space="preserve"> </w:t>
      </w:r>
      <w:r>
        <w:rPr>
          <w:i/>
          <w:spacing w:val="-4"/>
          <w:sz w:val="20"/>
        </w:rPr>
        <w:t>Costs</w:t>
      </w:r>
      <w:r>
        <w:rPr>
          <w:rFonts w:ascii="Times New Roman"/>
          <w:sz w:val="20"/>
        </w:rPr>
        <w:tab/>
      </w:r>
      <w:r>
        <w:rPr>
          <w:rFonts w:ascii="Calibri"/>
          <w:spacing w:val="-5"/>
          <w:sz w:val="20"/>
        </w:rPr>
        <w:t>76</w:t>
      </w:r>
    </w:p>
    <w:p w14:paraId="2AD17E81" w14:textId="77777777" w:rsidR="00141B97" w:rsidRDefault="00911D63">
      <w:pPr>
        <w:pStyle w:val="ListParagraph"/>
        <w:numPr>
          <w:ilvl w:val="2"/>
          <w:numId w:val="82"/>
        </w:numPr>
        <w:tabs>
          <w:tab w:val="left" w:pos="1928"/>
          <w:tab w:val="left" w:pos="1929"/>
          <w:tab w:val="right" w:leader="dot" w:pos="9900"/>
        </w:tabs>
        <w:spacing w:before="1"/>
        <w:rPr>
          <w:rFonts w:ascii="Arial"/>
          <w:sz w:val="20"/>
        </w:rPr>
      </w:pPr>
      <w:r>
        <w:rPr>
          <w:sz w:val="20"/>
        </w:rPr>
        <w:t>Baseline</w:t>
      </w:r>
      <w:r>
        <w:rPr>
          <w:spacing w:val="-4"/>
          <w:sz w:val="20"/>
        </w:rPr>
        <w:t xml:space="preserve"> </w:t>
      </w:r>
      <w:r>
        <w:rPr>
          <w:sz w:val="20"/>
        </w:rPr>
        <w:t>Controllable</w:t>
      </w:r>
      <w:r>
        <w:rPr>
          <w:spacing w:val="-5"/>
          <w:sz w:val="20"/>
        </w:rPr>
        <w:t xml:space="preserve"> </w:t>
      </w:r>
      <w:r>
        <w:rPr>
          <w:sz w:val="20"/>
        </w:rPr>
        <w:t>Operating</w:t>
      </w:r>
      <w:r>
        <w:rPr>
          <w:spacing w:val="-4"/>
          <w:sz w:val="20"/>
        </w:rPr>
        <w:t xml:space="preserve"> </w:t>
      </w:r>
      <w:r>
        <w:rPr>
          <w:spacing w:val="-2"/>
          <w:sz w:val="20"/>
        </w:rPr>
        <w:t>Expenditure</w:t>
      </w:r>
      <w:r>
        <w:rPr>
          <w:rFonts w:ascii="Times New Roman"/>
          <w:sz w:val="20"/>
        </w:rPr>
        <w:tab/>
      </w:r>
      <w:r>
        <w:rPr>
          <w:rFonts w:ascii="Arial"/>
          <w:spacing w:val="-5"/>
          <w:sz w:val="20"/>
        </w:rPr>
        <w:t>76</w:t>
      </w:r>
    </w:p>
    <w:p w14:paraId="41EEE4F8" w14:textId="77777777" w:rsidR="00141B97" w:rsidRDefault="00911D63">
      <w:pPr>
        <w:pStyle w:val="ListParagraph"/>
        <w:numPr>
          <w:ilvl w:val="3"/>
          <w:numId w:val="82"/>
        </w:numPr>
        <w:tabs>
          <w:tab w:val="left" w:pos="2560"/>
          <w:tab w:val="right" w:leader="dot" w:pos="9885"/>
        </w:tabs>
        <w:spacing w:before="120"/>
        <w:ind w:left="2559" w:hanging="603"/>
        <w:rPr>
          <w:rFonts w:ascii="Calibri" w:hAnsi="Calibri"/>
          <w:sz w:val="20"/>
        </w:rPr>
      </w:pPr>
      <w:r>
        <w:rPr>
          <w:i/>
          <w:sz w:val="20"/>
        </w:rPr>
        <w:t>Establishing</w:t>
      </w:r>
      <w:r>
        <w:rPr>
          <w:i/>
          <w:spacing w:val="-4"/>
          <w:sz w:val="20"/>
        </w:rPr>
        <w:t xml:space="preserve"> </w:t>
      </w:r>
      <w:r>
        <w:rPr>
          <w:i/>
          <w:sz w:val="20"/>
        </w:rPr>
        <w:t>the</w:t>
      </w:r>
      <w:r>
        <w:rPr>
          <w:i/>
          <w:spacing w:val="-4"/>
          <w:sz w:val="20"/>
        </w:rPr>
        <w:t xml:space="preserve"> </w:t>
      </w:r>
      <w:r>
        <w:rPr>
          <w:i/>
          <w:sz w:val="20"/>
        </w:rPr>
        <w:t>2021‐22</w:t>
      </w:r>
      <w:r>
        <w:rPr>
          <w:i/>
          <w:spacing w:val="-3"/>
          <w:sz w:val="20"/>
        </w:rPr>
        <w:t xml:space="preserve"> </w:t>
      </w:r>
      <w:r>
        <w:rPr>
          <w:i/>
          <w:spacing w:val="-2"/>
          <w:sz w:val="20"/>
        </w:rPr>
        <w:t>Baseline</w:t>
      </w:r>
      <w:r>
        <w:rPr>
          <w:rFonts w:ascii="Times New Roman" w:hAnsi="Times New Roman"/>
          <w:sz w:val="20"/>
        </w:rPr>
        <w:tab/>
      </w:r>
      <w:r>
        <w:rPr>
          <w:rFonts w:ascii="Calibri" w:hAnsi="Calibri"/>
          <w:spacing w:val="-5"/>
          <w:sz w:val="20"/>
        </w:rPr>
        <w:t>77</w:t>
      </w:r>
    </w:p>
    <w:p w14:paraId="04D2CA3A" w14:textId="77777777" w:rsidR="00141B97" w:rsidRDefault="00911D63">
      <w:pPr>
        <w:pStyle w:val="ListParagraph"/>
        <w:numPr>
          <w:ilvl w:val="3"/>
          <w:numId w:val="82"/>
        </w:numPr>
        <w:tabs>
          <w:tab w:val="left" w:pos="2555"/>
          <w:tab w:val="right" w:leader="dot" w:pos="9885"/>
        </w:tabs>
        <w:spacing w:before="1" w:line="244" w:lineRule="exact"/>
        <w:rPr>
          <w:rFonts w:ascii="Calibri"/>
          <w:sz w:val="20"/>
        </w:rPr>
      </w:pPr>
      <w:r>
        <w:rPr>
          <w:i/>
          <w:sz w:val="20"/>
        </w:rPr>
        <w:t>Projecting</w:t>
      </w:r>
      <w:r>
        <w:rPr>
          <w:i/>
          <w:spacing w:val="-4"/>
          <w:sz w:val="20"/>
        </w:rPr>
        <w:t xml:space="preserve"> </w:t>
      </w:r>
      <w:r>
        <w:rPr>
          <w:i/>
          <w:sz w:val="20"/>
        </w:rPr>
        <w:t>the</w:t>
      </w:r>
      <w:r>
        <w:rPr>
          <w:i/>
          <w:spacing w:val="-3"/>
          <w:sz w:val="20"/>
        </w:rPr>
        <w:t xml:space="preserve"> </w:t>
      </w:r>
      <w:r>
        <w:rPr>
          <w:i/>
          <w:sz w:val="20"/>
        </w:rPr>
        <w:t>Baseline</w:t>
      </w:r>
      <w:r>
        <w:rPr>
          <w:i/>
          <w:spacing w:val="-2"/>
          <w:sz w:val="20"/>
        </w:rPr>
        <w:t xml:space="preserve"> </w:t>
      </w:r>
      <w:r>
        <w:rPr>
          <w:i/>
          <w:spacing w:val="-2"/>
          <w:w w:val="95"/>
          <w:sz w:val="20"/>
        </w:rPr>
        <w:t>Forward</w:t>
      </w:r>
      <w:r>
        <w:rPr>
          <w:rFonts w:ascii="Times New Roman"/>
          <w:sz w:val="20"/>
        </w:rPr>
        <w:tab/>
      </w:r>
      <w:r>
        <w:rPr>
          <w:rFonts w:ascii="Calibri"/>
          <w:spacing w:val="-5"/>
          <w:sz w:val="20"/>
        </w:rPr>
        <w:t>77</w:t>
      </w:r>
    </w:p>
    <w:p w14:paraId="25A4B52A" w14:textId="77777777" w:rsidR="00141B97" w:rsidRDefault="00911D63">
      <w:pPr>
        <w:pStyle w:val="ListParagraph"/>
        <w:numPr>
          <w:ilvl w:val="3"/>
          <w:numId w:val="82"/>
        </w:numPr>
        <w:tabs>
          <w:tab w:val="left" w:pos="2555"/>
          <w:tab w:val="right" w:leader="dot" w:pos="9885"/>
        </w:tabs>
        <w:spacing w:line="244" w:lineRule="exact"/>
        <w:rPr>
          <w:rFonts w:ascii="Calibri"/>
          <w:sz w:val="20"/>
        </w:rPr>
      </w:pPr>
      <w:r>
        <w:rPr>
          <w:i/>
          <w:sz w:val="20"/>
        </w:rPr>
        <w:t>Variation</w:t>
      </w:r>
      <w:r>
        <w:rPr>
          <w:i/>
          <w:spacing w:val="-4"/>
          <w:sz w:val="20"/>
        </w:rPr>
        <w:t xml:space="preserve"> </w:t>
      </w:r>
      <w:r>
        <w:rPr>
          <w:i/>
          <w:sz w:val="20"/>
        </w:rPr>
        <w:t>to</w:t>
      </w:r>
      <w:r>
        <w:rPr>
          <w:i/>
          <w:spacing w:val="-4"/>
          <w:sz w:val="20"/>
        </w:rPr>
        <w:t xml:space="preserve"> </w:t>
      </w:r>
      <w:r>
        <w:rPr>
          <w:i/>
          <w:sz w:val="20"/>
        </w:rPr>
        <w:t>Baseline</w:t>
      </w:r>
      <w:r>
        <w:rPr>
          <w:i/>
          <w:spacing w:val="-5"/>
          <w:sz w:val="20"/>
        </w:rPr>
        <w:t xml:space="preserve"> </w:t>
      </w:r>
      <w:r>
        <w:rPr>
          <w:i/>
          <w:sz w:val="20"/>
        </w:rPr>
        <w:t>Costs</w:t>
      </w:r>
      <w:r>
        <w:rPr>
          <w:i/>
          <w:spacing w:val="-3"/>
          <w:sz w:val="20"/>
        </w:rPr>
        <w:t xml:space="preserve"> </w:t>
      </w:r>
      <w:r>
        <w:rPr>
          <w:i/>
          <w:sz w:val="20"/>
        </w:rPr>
        <w:t>for</w:t>
      </w:r>
      <w:r>
        <w:rPr>
          <w:i/>
          <w:spacing w:val="-3"/>
          <w:sz w:val="20"/>
        </w:rPr>
        <w:t xml:space="preserve"> </w:t>
      </w:r>
      <w:r>
        <w:rPr>
          <w:i/>
          <w:spacing w:val="-5"/>
          <w:sz w:val="20"/>
        </w:rPr>
        <w:t>PS5</w:t>
      </w:r>
      <w:r>
        <w:rPr>
          <w:rFonts w:ascii="Times New Roman"/>
          <w:sz w:val="20"/>
        </w:rPr>
        <w:tab/>
      </w:r>
      <w:r>
        <w:rPr>
          <w:rFonts w:ascii="Calibri"/>
          <w:spacing w:val="-5"/>
          <w:sz w:val="20"/>
        </w:rPr>
        <w:t>77</w:t>
      </w:r>
    </w:p>
    <w:p w14:paraId="3AC6D889" w14:textId="77777777" w:rsidR="00141B97" w:rsidRDefault="00911D63">
      <w:pPr>
        <w:pStyle w:val="ListParagraph"/>
        <w:numPr>
          <w:ilvl w:val="2"/>
          <w:numId w:val="82"/>
        </w:numPr>
        <w:tabs>
          <w:tab w:val="left" w:pos="1928"/>
          <w:tab w:val="left" w:pos="1929"/>
          <w:tab w:val="right" w:leader="dot" w:pos="9898"/>
        </w:tabs>
        <w:spacing w:before="2"/>
        <w:rPr>
          <w:rFonts w:ascii="Arial"/>
          <w:sz w:val="20"/>
        </w:rPr>
      </w:pPr>
      <w:r>
        <w:rPr>
          <w:sz w:val="20"/>
        </w:rPr>
        <w:t>Productivity</w:t>
      </w:r>
      <w:r>
        <w:rPr>
          <w:spacing w:val="-4"/>
          <w:sz w:val="20"/>
        </w:rPr>
        <w:t xml:space="preserve"> </w:t>
      </w:r>
      <w:r>
        <w:rPr>
          <w:sz w:val="20"/>
        </w:rPr>
        <w:t>Improvements</w:t>
      </w:r>
      <w:r>
        <w:rPr>
          <w:spacing w:val="-4"/>
          <w:sz w:val="20"/>
        </w:rPr>
        <w:t xml:space="preserve"> </w:t>
      </w:r>
      <w:r>
        <w:rPr>
          <w:sz w:val="20"/>
        </w:rPr>
        <w:t>for</w:t>
      </w:r>
      <w:r>
        <w:rPr>
          <w:spacing w:val="-2"/>
          <w:sz w:val="20"/>
        </w:rPr>
        <w:t xml:space="preserve"> </w:t>
      </w:r>
      <w:r>
        <w:rPr>
          <w:sz w:val="20"/>
        </w:rPr>
        <w:t>the</w:t>
      </w:r>
      <w:r>
        <w:rPr>
          <w:spacing w:val="-4"/>
          <w:sz w:val="20"/>
        </w:rPr>
        <w:t xml:space="preserve"> </w:t>
      </w:r>
      <w:r>
        <w:rPr>
          <w:sz w:val="20"/>
        </w:rPr>
        <w:t>Forthcoming</w:t>
      </w:r>
      <w:r>
        <w:rPr>
          <w:spacing w:val="-3"/>
          <w:sz w:val="20"/>
        </w:rPr>
        <w:t xml:space="preserve"> </w:t>
      </w:r>
      <w:r>
        <w:rPr>
          <w:spacing w:val="-2"/>
          <w:sz w:val="20"/>
        </w:rPr>
        <w:t>Period</w:t>
      </w:r>
      <w:r>
        <w:rPr>
          <w:rFonts w:ascii="Times New Roman"/>
          <w:sz w:val="20"/>
        </w:rPr>
        <w:tab/>
      </w:r>
      <w:r>
        <w:rPr>
          <w:rFonts w:ascii="Arial"/>
          <w:spacing w:val="-5"/>
          <w:sz w:val="20"/>
        </w:rPr>
        <w:t>77</w:t>
      </w:r>
    </w:p>
    <w:p w14:paraId="796DD629" w14:textId="77777777" w:rsidR="00141B97" w:rsidRDefault="00911D63">
      <w:pPr>
        <w:pStyle w:val="ListParagraph"/>
        <w:numPr>
          <w:ilvl w:val="2"/>
          <w:numId w:val="82"/>
        </w:numPr>
        <w:tabs>
          <w:tab w:val="left" w:pos="1928"/>
          <w:tab w:val="left" w:pos="1929"/>
          <w:tab w:val="right" w:leader="dot" w:pos="9902"/>
        </w:tabs>
        <w:spacing w:before="122"/>
        <w:rPr>
          <w:rFonts w:ascii="Arial"/>
          <w:sz w:val="20"/>
        </w:rPr>
      </w:pPr>
      <w:r>
        <w:rPr>
          <w:sz w:val="20"/>
        </w:rPr>
        <w:t>Potential</w:t>
      </w:r>
      <w:r>
        <w:rPr>
          <w:spacing w:val="-4"/>
          <w:sz w:val="20"/>
        </w:rPr>
        <w:t xml:space="preserve"> </w:t>
      </w:r>
      <w:r>
        <w:rPr>
          <w:sz w:val="20"/>
        </w:rPr>
        <w:t>Uncertain</w:t>
      </w:r>
      <w:r>
        <w:rPr>
          <w:spacing w:val="-4"/>
          <w:sz w:val="20"/>
        </w:rPr>
        <w:t xml:space="preserve"> </w:t>
      </w:r>
      <w:r>
        <w:rPr>
          <w:spacing w:val="-2"/>
          <w:sz w:val="20"/>
        </w:rPr>
        <w:t>Events</w:t>
      </w:r>
      <w:r>
        <w:rPr>
          <w:rFonts w:ascii="Times New Roman"/>
          <w:sz w:val="20"/>
        </w:rPr>
        <w:tab/>
      </w:r>
      <w:r>
        <w:rPr>
          <w:rFonts w:ascii="Arial"/>
          <w:spacing w:val="-5"/>
          <w:sz w:val="20"/>
        </w:rPr>
        <w:t>78</w:t>
      </w:r>
    </w:p>
    <w:p w14:paraId="05BDCD4C" w14:textId="77777777" w:rsidR="00141B97" w:rsidRDefault="00911D63">
      <w:pPr>
        <w:pStyle w:val="ListParagraph"/>
        <w:numPr>
          <w:ilvl w:val="1"/>
          <w:numId w:val="82"/>
        </w:numPr>
        <w:tabs>
          <w:tab w:val="left" w:pos="1247"/>
          <w:tab w:val="left" w:pos="1248"/>
          <w:tab w:val="right" w:leader="dot" w:pos="9893"/>
        </w:tabs>
        <w:spacing w:before="158"/>
        <w:rPr>
          <w:rFonts w:ascii="Arial"/>
          <w:b/>
          <w:sz w:val="20"/>
        </w:rPr>
      </w:pPr>
      <w:r>
        <w:rPr>
          <w:sz w:val="20"/>
        </w:rPr>
        <w:t>Forecast</w:t>
      </w:r>
      <w:r>
        <w:rPr>
          <w:spacing w:val="-6"/>
          <w:sz w:val="20"/>
        </w:rPr>
        <w:t xml:space="preserve"> </w:t>
      </w:r>
      <w:r>
        <w:rPr>
          <w:sz w:val="20"/>
        </w:rPr>
        <w:t>Capital</w:t>
      </w:r>
      <w:r>
        <w:rPr>
          <w:spacing w:val="-4"/>
          <w:sz w:val="20"/>
        </w:rPr>
        <w:t xml:space="preserve"> </w:t>
      </w:r>
      <w:r>
        <w:rPr>
          <w:spacing w:val="-2"/>
          <w:sz w:val="20"/>
        </w:rPr>
        <w:t>Expenditure</w:t>
      </w:r>
      <w:r>
        <w:rPr>
          <w:rFonts w:ascii="Times New Roman"/>
          <w:sz w:val="20"/>
        </w:rPr>
        <w:tab/>
      </w:r>
      <w:r>
        <w:rPr>
          <w:rFonts w:ascii="Arial"/>
          <w:b/>
          <w:spacing w:val="-5"/>
          <w:sz w:val="20"/>
        </w:rPr>
        <w:t>78</w:t>
      </w:r>
    </w:p>
    <w:p w14:paraId="5D798D63" w14:textId="77777777" w:rsidR="00141B97" w:rsidRDefault="00911D63">
      <w:pPr>
        <w:pStyle w:val="ListParagraph"/>
        <w:numPr>
          <w:ilvl w:val="2"/>
          <w:numId w:val="82"/>
        </w:numPr>
        <w:tabs>
          <w:tab w:val="left" w:pos="1928"/>
          <w:tab w:val="left" w:pos="1929"/>
          <w:tab w:val="right" w:leader="dot" w:pos="9902"/>
        </w:tabs>
        <w:spacing w:before="119"/>
        <w:rPr>
          <w:rFonts w:ascii="Arial"/>
          <w:sz w:val="20"/>
        </w:rPr>
      </w:pPr>
      <w:r>
        <w:rPr>
          <w:sz w:val="20"/>
        </w:rPr>
        <w:t>Forecast</w:t>
      </w:r>
      <w:r>
        <w:rPr>
          <w:spacing w:val="-4"/>
          <w:sz w:val="20"/>
        </w:rPr>
        <w:t xml:space="preserve"> </w:t>
      </w:r>
      <w:r>
        <w:rPr>
          <w:sz w:val="20"/>
        </w:rPr>
        <w:t>Capital</w:t>
      </w:r>
      <w:r>
        <w:rPr>
          <w:spacing w:val="-3"/>
          <w:sz w:val="20"/>
        </w:rPr>
        <w:t xml:space="preserve"> </w:t>
      </w:r>
      <w:r>
        <w:rPr>
          <w:spacing w:val="-2"/>
          <w:sz w:val="20"/>
        </w:rPr>
        <w:t>Expenditure</w:t>
      </w:r>
      <w:r>
        <w:rPr>
          <w:rFonts w:ascii="Times New Roman"/>
          <w:sz w:val="20"/>
        </w:rPr>
        <w:tab/>
      </w:r>
      <w:r>
        <w:rPr>
          <w:rFonts w:ascii="Arial"/>
          <w:spacing w:val="-5"/>
          <w:sz w:val="20"/>
        </w:rPr>
        <w:t>78</w:t>
      </w:r>
    </w:p>
    <w:p w14:paraId="1B31F253" w14:textId="77777777" w:rsidR="00141B97" w:rsidRDefault="00911D63">
      <w:pPr>
        <w:pStyle w:val="ListParagraph"/>
        <w:numPr>
          <w:ilvl w:val="2"/>
          <w:numId w:val="82"/>
        </w:numPr>
        <w:tabs>
          <w:tab w:val="left" w:pos="1928"/>
          <w:tab w:val="left" w:pos="1929"/>
          <w:tab w:val="right" w:leader="dot" w:pos="9902"/>
        </w:tabs>
        <w:spacing w:before="123"/>
        <w:rPr>
          <w:rFonts w:ascii="Arial"/>
          <w:sz w:val="20"/>
        </w:rPr>
      </w:pPr>
      <w:r>
        <w:rPr>
          <w:sz w:val="20"/>
        </w:rPr>
        <w:t>Major</w:t>
      </w:r>
      <w:r>
        <w:rPr>
          <w:spacing w:val="-3"/>
          <w:sz w:val="20"/>
        </w:rPr>
        <w:t xml:space="preserve"> </w:t>
      </w:r>
      <w:r>
        <w:rPr>
          <w:sz w:val="20"/>
        </w:rPr>
        <w:t>Projects</w:t>
      </w:r>
      <w:r>
        <w:rPr>
          <w:spacing w:val="-2"/>
          <w:sz w:val="20"/>
        </w:rPr>
        <w:t xml:space="preserve"> </w:t>
      </w:r>
      <w:r>
        <w:rPr>
          <w:sz w:val="20"/>
        </w:rPr>
        <w:t>and</w:t>
      </w:r>
      <w:r>
        <w:rPr>
          <w:spacing w:val="-2"/>
          <w:sz w:val="20"/>
        </w:rPr>
        <w:t xml:space="preserve"> Programs</w:t>
      </w:r>
      <w:r>
        <w:rPr>
          <w:rFonts w:ascii="Times New Roman"/>
          <w:sz w:val="20"/>
        </w:rPr>
        <w:tab/>
      </w:r>
      <w:r>
        <w:rPr>
          <w:rFonts w:ascii="Arial"/>
          <w:spacing w:val="-5"/>
          <w:sz w:val="20"/>
        </w:rPr>
        <w:t>79</w:t>
      </w:r>
    </w:p>
    <w:p w14:paraId="662A0815" w14:textId="77777777" w:rsidR="00141B97" w:rsidRDefault="00911D63">
      <w:pPr>
        <w:pStyle w:val="ListParagraph"/>
        <w:numPr>
          <w:ilvl w:val="2"/>
          <w:numId w:val="82"/>
        </w:numPr>
        <w:tabs>
          <w:tab w:val="left" w:pos="1928"/>
          <w:tab w:val="left" w:pos="1929"/>
          <w:tab w:val="right" w:leader="dot" w:pos="9903"/>
        </w:tabs>
        <w:spacing w:before="122"/>
        <w:rPr>
          <w:rFonts w:ascii="Arial"/>
          <w:sz w:val="20"/>
        </w:rPr>
      </w:pPr>
      <w:r>
        <w:rPr>
          <w:sz w:val="20"/>
        </w:rPr>
        <w:t>Uncertain</w:t>
      </w:r>
      <w:r>
        <w:rPr>
          <w:spacing w:val="-1"/>
          <w:sz w:val="20"/>
        </w:rPr>
        <w:t xml:space="preserve"> </w:t>
      </w:r>
      <w:r>
        <w:rPr>
          <w:spacing w:val="-2"/>
          <w:sz w:val="20"/>
        </w:rPr>
        <w:t>Projects</w:t>
      </w:r>
      <w:r>
        <w:rPr>
          <w:rFonts w:ascii="Times New Roman"/>
          <w:sz w:val="20"/>
        </w:rPr>
        <w:tab/>
      </w:r>
      <w:r>
        <w:rPr>
          <w:rFonts w:ascii="Arial"/>
          <w:spacing w:val="-5"/>
          <w:sz w:val="20"/>
        </w:rPr>
        <w:t>81</w:t>
      </w:r>
    </w:p>
    <w:p w14:paraId="7584F4BA" w14:textId="77777777" w:rsidR="00141B97" w:rsidRDefault="00911D63">
      <w:pPr>
        <w:pStyle w:val="ListParagraph"/>
        <w:numPr>
          <w:ilvl w:val="2"/>
          <w:numId w:val="82"/>
        </w:numPr>
        <w:tabs>
          <w:tab w:val="left" w:pos="1928"/>
          <w:tab w:val="left" w:pos="1929"/>
          <w:tab w:val="right" w:leader="dot" w:pos="9902"/>
        </w:tabs>
        <w:spacing w:before="122"/>
        <w:rPr>
          <w:rFonts w:ascii="Arial" w:hAnsi="Arial"/>
          <w:sz w:val="20"/>
        </w:rPr>
      </w:pPr>
      <w:r>
        <w:rPr>
          <w:sz w:val="20"/>
        </w:rPr>
        <w:t>Capex/Opex</w:t>
      </w:r>
      <w:r>
        <w:rPr>
          <w:spacing w:val="-8"/>
          <w:sz w:val="20"/>
        </w:rPr>
        <w:t xml:space="preserve"> </w:t>
      </w:r>
      <w:r>
        <w:rPr>
          <w:spacing w:val="-2"/>
          <w:sz w:val="20"/>
        </w:rPr>
        <w:t>Trade‐offs</w:t>
      </w:r>
      <w:r>
        <w:rPr>
          <w:rFonts w:ascii="Times New Roman" w:hAnsi="Times New Roman"/>
          <w:sz w:val="20"/>
        </w:rPr>
        <w:tab/>
      </w:r>
      <w:r>
        <w:rPr>
          <w:rFonts w:ascii="Arial" w:hAnsi="Arial"/>
          <w:spacing w:val="-5"/>
          <w:sz w:val="20"/>
        </w:rPr>
        <w:t>82</w:t>
      </w:r>
    </w:p>
    <w:p w14:paraId="08AD8161" w14:textId="77777777" w:rsidR="00141B97" w:rsidRDefault="00911D63">
      <w:pPr>
        <w:pStyle w:val="ListParagraph"/>
        <w:numPr>
          <w:ilvl w:val="1"/>
          <w:numId w:val="82"/>
        </w:numPr>
        <w:tabs>
          <w:tab w:val="left" w:pos="1247"/>
          <w:tab w:val="left" w:pos="1248"/>
          <w:tab w:val="right" w:leader="dot" w:pos="9885"/>
        </w:tabs>
        <w:spacing w:before="158"/>
        <w:rPr>
          <w:rFonts w:ascii="Arial"/>
          <w:b/>
          <w:sz w:val="20"/>
        </w:rPr>
      </w:pPr>
      <w:r>
        <w:rPr>
          <w:sz w:val="20"/>
        </w:rPr>
        <w:t>Return</w:t>
      </w:r>
      <w:r>
        <w:rPr>
          <w:spacing w:val="-2"/>
          <w:sz w:val="20"/>
        </w:rPr>
        <w:t xml:space="preserve"> </w:t>
      </w:r>
      <w:r>
        <w:rPr>
          <w:sz w:val="20"/>
        </w:rPr>
        <w:t>on</w:t>
      </w:r>
      <w:r>
        <w:rPr>
          <w:spacing w:val="-1"/>
          <w:sz w:val="20"/>
        </w:rPr>
        <w:t xml:space="preserve"> </w:t>
      </w:r>
      <w:r>
        <w:rPr>
          <w:sz w:val="20"/>
        </w:rPr>
        <w:t>the</w:t>
      </w:r>
      <w:r>
        <w:rPr>
          <w:spacing w:val="-2"/>
          <w:sz w:val="20"/>
        </w:rPr>
        <w:t xml:space="preserve"> </w:t>
      </w:r>
      <w:r>
        <w:rPr>
          <w:spacing w:val="-5"/>
          <w:sz w:val="20"/>
        </w:rPr>
        <w:t>RAB</w:t>
      </w:r>
      <w:r>
        <w:rPr>
          <w:rFonts w:ascii="Times New Roman"/>
          <w:sz w:val="20"/>
        </w:rPr>
        <w:tab/>
      </w:r>
      <w:r>
        <w:rPr>
          <w:rFonts w:ascii="Arial"/>
          <w:b/>
          <w:spacing w:val="-5"/>
          <w:sz w:val="20"/>
        </w:rPr>
        <w:t>82</w:t>
      </w:r>
    </w:p>
    <w:p w14:paraId="034918D2" w14:textId="77777777" w:rsidR="00141B97" w:rsidRDefault="00911D63">
      <w:pPr>
        <w:pStyle w:val="ListParagraph"/>
        <w:numPr>
          <w:ilvl w:val="2"/>
          <w:numId w:val="82"/>
        </w:numPr>
        <w:tabs>
          <w:tab w:val="left" w:pos="1928"/>
          <w:tab w:val="left" w:pos="1929"/>
          <w:tab w:val="right" w:leader="dot" w:pos="9902"/>
        </w:tabs>
        <w:spacing w:before="119"/>
        <w:rPr>
          <w:rFonts w:ascii="Arial"/>
          <w:sz w:val="20"/>
        </w:rPr>
      </w:pPr>
      <w:r>
        <w:rPr>
          <w:sz w:val="20"/>
        </w:rPr>
        <w:t>Regulatory</w:t>
      </w:r>
      <w:r>
        <w:rPr>
          <w:spacing w:val="-5"/>
          <w:sz w:val="20"/>
        </w:rPr>
        <w:t xml:space="preserve"> </w:t>
      </w:r>
      <w:r>
        <w:rPr>
          <w:spacing w:val="-2"/>
          <w:sz w:val="20"/>
        </w:rPr>
        <w:t>Depreciation</w:t>
      </w:r>
      <w:r>
        <w:rPr>
          <w:rFonts w:ascii="Times New Roman"/>
          <w:sz w:val="20"/>
        </w:rPr>
        <w:tab/>
      </w:r>
      <w:r>
        <w:rPr>
          <w:rFonts w:ascii="Arial"/>
          <w:spacing w:val="-5"/>
          <w:sz w:val="20"/>
        </w:rPr>
        <w:t>83</w:t>
      </w:r>
    </w:p>
    <w:p w14:paraId="2649D4B5" w14:textId="77777777" w:rsidR="00141B97" w:rsidRDefault="00911D63">
      <w:pPr>
        <w:pStyle w:val="ListParagraph"/>
        <w:numPr>
          <w:ilvl w:val="2"/>
          <w:numId w:val="82"/>
        </w:numPr>
        <w:tabs>
          <w:tab w:val="left" w:pos="1928"/>
          <w:tab w:val="left" w:pos="1929"/>
          <w:tab w:val="right" w:leader="dot" w:pos="9903"/>
        </w:tabs>
        <w:spacing w:before="123"/>
        <w:rPr>
          <w:rFonts w:ascii="Arial"/>
          <w:sz w:val="20"/>
        </w:rPr>
      </w:pPr>
      <w:r>
        <w:rPr>
          <w:sz w:val="20"/>
        </w:rPr>
        <w:t>Return</w:t>
      </w:r>
      <w:r>
        <w:rPr>
          <w:spacing w:val="-3"/>
          <w:sz w:val="20"/>
        </w:rPr>
        <w:t xml:space="preserve"> </w:t>
      </w:r>
      <w:r>
        <w:rPr>
          <w:sz w:val="20"/>
        </w:rPr>
        <w:t>on</w:t>
      </w:r>
      <w:r>
        <w:rPr>
          <w:spacing w:val="-3"/>
          <w:sz w:val="20"/>
        </w:rPr>
        <w:t xml:space="preserve"> </w:t>
      </w:r>
      <w:r>
        <w:rPr>
          <w:spacing w:val="-2"/>
          <w:sz w:val="20"/>
        </w:rPr>
        <w:t>Equity</w:t>
      </w:r>
      <w:r>
        <w:rPr>
          <w:rFonts w:ascii="Times New Roman"/>
          <w:sz w:val="20"/>
        </w:rPr>
        <w:tab/>
      </w:r>
      <w:r>
        <w:rPr>
          <w:rFonts w:ascii="Arial"/>
          <w:spacing w:val="-5"/>
          <w:sz w:val="20"/>
        </w:rPr>
        <w:t>83</w:t>
      </w:r>
    </w:p>
    <w:p w14:paraId="7971E1DE" w14:textId="77777777" w:rsidR="00141B97" w:rsidRDefault="00911D63">
      <w:pPr>
        <w:pStyle w:val="ListParagraph"/>
        <w:numPr>
          <w:ilvl w:val="0"/>
          <w:numId w:val="82"/>
        </w:numPr>
        <w:tabs>
          <w:tab w:val="left" w:pos="681"/>
          <w:tab w:val="left" w:pos="682"/>
          <w:tab w:val="right" w:leader="dot" w:pos="9884"/>
        </w:tabs>
        <w:spacing w:before="241"/>
        <w:rPr>
          <w:rFonts w:ascii="Arial"/>
          <w:b/>
          <w:sz w:val="24"/>
        </w:rPr>
      </w:pPr>
      <w:r>
        <w:rPr>
          <w:color w:val="009BAC"/>
          <w:spacing w:val="-2"/>
          <w:sz w:val="24"/>
        </w:rPr>
        <w:t>Prices</w:t>
      </w:r>
      <w:r>
        <w:rPr>
          <w:rFonts w:ascii="Times New Roman"/>
          <w:color w:val="009BAC"/>
          <w:sz w:val="24"/>
        </w:rPr>
        <w:tab/>
      </w:r>
      <w:r>
        <w:rPr>
          <w:rFonts w:ascii="Arial"/>
          <w:b/>
          <w:color w:val="009BAC"/>
          <w:spacing w:val="-5"/>
          <w:sz w:val="24"/>
        </w:rPr>
        <w:t>84</w:t>
      </w:r>
    </w:p>
    <w:p w14:paraId="20F308BF" w14:textId="77777777" w:rsidR="00141B97" w:rsidRDefault="00911D63">
      <w:pPr>
        <w:pStyle w:val="ListParagraph"/>
        <w:numPr>
          <w:ilvl w:val="1"/>
          <w:numId w:val="82"/>
        </w:numPr>
        <w:tabs>
          <w:tab w:val="left" w:pos="1247"/>
          <w:tab w:val="left" w:pos="1248"/>
          <w:tab w:val="right" w:leader="dot" w:pos="9894"/>
        </w:tabs>
        <w:spacing w:before="183"/>
        <w:rPr>
          <w:rFonts w:ascii="Arial"/>
          <w:b/>
          <w:sz w:val="20"/>
        </w:rPr>
      </w:pPr>
      <w:r>
        <w:rPr>
          <w:sz w:val="20"/>
        </w:rPr>
        <w:t>Form</w:t>
      </w:r>
      <w:r>
        <w:rPr>
          <w:spacing w:val="-2"/>
          <w:sz w:val="20"/>
        </w:rPr>
        <w:t xml:space="preserve"> </w:t>
      </w:r>
      <w:r>
        <w:rPr>
          <w:sz w:val="20"/>
        </w:rPr>
        <w:t>of</w:t>
      </w:r>
      <w:r>
        <w:rPr>
          <w:spacing w:val="-2"/>
          <w:sz w:val="20"/>
        </w:rPr>
        <w:t xml:space="preserve"> </w:t>
      </w:r>
      <w:r>
        <w:rPr>
          <w:sz w:val="20"/>
        </w:rPr>
        <w:t>Price</w:t>
      </w:r>
      <w:r>
        <w:rPr>
          <w:spacing w:val="-2"/>
          <w:sz w:val="20"/>
        </w:rPr>
        <w:t xml:space="preserve"> </w:t>
      </w:r>
      <w:r>
        <w:rPr>
          <w:spacing w:val="-2"/>
          <w:w w:val="95"/>
          <w:sz w:val="20"/>
        </w:rPr>
        <w:t>Control</w:t>
      </w:r>
      <w:r>
        <w:rPr>
          <w:rFonts w:ascii="Times New Roman"/>
          <w:sz w:val="20"/>
        </w:rPr>
        <w:tab/>
      </w:r>
      <w:r>
        <w:rPr>
          <w:rFonts w:ascii="Arial"/>
          <w:b/>
          <w:spacing w:val="-5"/>
          <w:sz w:val="20"/>
        </w:rPr>
        <w:t>84</w:t>
      </w:r>
    </w:p>
    <w:p w14:paraId="26A34E0C" w14:textId="77777777" w:rsidR="00141B97" w:rsidRDefault="00911D63">
      <w:pPr>
        <w:pStyle w:val="ListParagraph"/>
        <w:numPr>
          <w:ilvl w:val="1"/>
          <w:numId w:val="82"/>
        </w:numPr>
        <w:tabs>
          <w:tab w:val="left" w:pos="1247"/>
          <w:tab w:val="left" w:pos="1248"/>
          <w:tab w:val="right" w:leader="dot" w:pos="9893"/>
        </w:tabs>
        <w:spacing w:before="156"/>
        <w:rPr>
          <w:rFonts w:ascii="Arial"/>
          <w:b/>
          <w:sz w:val="20"/>
        </w:rPr>
      </w:pPr>
      <w:r>
        <w:rPr>
          <w:sz w:val="20"/>
        </w:rPr>
        <w:t>Prices</w:t>
      </w:r>
      <w:r>
        <w:rPr>
          <w:spacing w:val="-3"/>
          <w:sz w:val="20"/>
        </w:rPr>
        <w:t xml:space="preserve"> </w:t>
      </w:r>
      <w:r>
        <w:rPr>
          <w:sz w:val="20"/>
        </w:rPr>
        <w:t>and</w:t>
      </w:r>
      <w:r>
        <w:rPr>
          <w:spacing w:val="-3"/>
          <w:sz w:val="20"/>
        </w:rPr>
        <w:t xml:space="preserve"> </w:t>
      </w:r>
      <w:r>
        <w:rPr>
          <w:sz w:val="20"/>
        </w:rPr>
        <w:t>Tariff</w:t>
      </w:r>
      <w:r>
        <w:rPr>
          <w:spacing w:val="-2"/>
          <w:sz w:val="20"/>
        </w:rPr>
        <w:t xml:space="preserve"> Structure</w:t>
      </w:r>
      <w:r>
        <w:rPr>
          <w:rFonts w:ascii="Times New Roman"/>
          <w:sz w:val="20"/>
        </w:rPr>
        <w:tab/>
      </w:r>
      <w:r>
        <w:rPr>
          <w:rFonts w:ascii="Arial"/>
          <w:b/>
          <w:spacing w:val="-5"/>
          <w:sz w:val="20"/>
        </w:rPr>
        <w:t>84</w:t>
      </w:r>
    </w:p>
    <w:p w14:paraId="61F5E0D9" w14:textId="77777777" w:rsidR="00141B97" w:rsidRDefault="00911D63">
      <w:pPr>
        <w:pStyle w:val="ListParagraph"/>
        <w:numPr>
          <w:ilvl w:val="2"/>
          <w:numId w:val="82"/>
        </w:numPr>
        <w:tabs>
          <w:tab w:val="left" w:pos="1928"/>
          <w:tab w:val="left" w:pos="1929"/>
          <w:tab w:val="right" w:leader="dot" w:pos="9901"/>
        </w:tabs>
        <w:spacing w:before="120"/>
        <w:rPr>
          <w:rFonts w:ascii="Arial"/>
          <w:sz w:val="20"/>
        </w:rPr>
      </w:pPr>
      <w:r>
        <w:rPr>
          <w:spacing w:val="-2"/>
          <w:sz w:val="20"/>
        </w:rPr>
        <w:t>Introduction</w:t>
      </w:r>
      <w:r>
        <w:rPr>
          <w:rFonts w:ascii="Times New Roman"/>
          <w:sz w:val="20"/>
        </w:rPr>
        <w:tab/>
      </w:r>
      <w:r>
        <w:rPr>
          <w:rFonts w:ascii="Arial"/>
          <w:spacing w:val="-5"/>
          <w:sz w:val="20"/>
        </w:rPr>
        <w:t>84</w:t>
      </w:r>
    </w:p>
    <w:p w14:paraId="30BFD168" w14:textId="77777777" w:rsidR="00141B97" w:rsidRDefault="00911D63">
      <w:pPr>
        <w:pStyle w:val="ListParagraph"/>
        <w:numPr>
          <w:ilvl w:val="2"/>
          <w:numId w:val="82"/>
        </w:numPr>
        <w:tabs>
          <w:tab w:val="left" w:pos="1928"/>
          <w:tab w:val="left" w:pos="1929"/>
          <w:tab w:val="right" w:leader="dot" w:pos="9903"/>
        </w:tabs>
        <w:spacing w:before="122"/>
        <w:rPr>
          <w:rFonts w:ascii="Arial"/>
          <w:sz w:val="20"/>
        </w:rPr>
      </w:pPr>
      <w:r>
        <w:rPr>
          <w:sz w:val="20"/>
        </w:rPr>
        <w:t>Tariff</w:t>
      </w:r>
      <w:r>
        <w:rPr>
          <w:spacing w:val="-4"/>
          <w:sz w:val="20"/>
        </w:rPr>
        <w:t xml:space="preserve"> </w:t>
      </w:r>
      <w:r>
        <w:rPr>
          <w:spacing w:val="-2"/>
          <w:sz w:val="20"/>
        </w:rPr>
        <w:t>Structures</w:t>
      </w:r>
      <w:r>
        <w:rPr>
          <w:rFonts w:ascii="Times New Roman"/>
          <w:sz w:val="20"/>
        </w:rPr>
        <w:tab/>
      </w:r>
      <w:r>
        <w:rPr>
          <w:rFonts w:ascii="Arial"/>
          <w:spacing w:val="-5"/>
          <w:sz w:val="20"/>
        </w:rPr>
        <w:t>85</w:t>
      </w:r>
    </w:p>
    <w:p w14:paraId="49D13DD3" w14:textId="77777777" w:rsidR="00141B97" w:rsidRDefault="00911D63">
      <w:pPr>
        <w:pStyle w:val="ListParagraph"/>
        <w:numPr>
          <w:ilvl w:val="3"/>
          <w:numId w:val="82"/>
        </w:numPr>
        <w:tabs>
          <w:tab w:val="left" w:pos="2556"/>
          <w:tab w:val="right" w:leader="dot" w:pos="9885"/>
        </w:tabs>
        <w:spacing w:before="121" w:line="244" w:lineRule="exact"/>
        <w:ind w:left="2556" w:hanging="599"/>
        <w:rPr>
          <w:rFonts w:ascii="Calibri" w:hAnsi="Calibri"/>
          <w:sz w:val="20"/>
        </w:rPr>
      </w:pPr>
      <w:r>
        <w:rPr>
          <w:i/>
          <w:sz w:val="20"/>
        </w:rPr>
        <w:t>Water</w:t>
      </w:r>
      <w:r>
        <w:rPr>
          <w:i/>
          <w:spacing w:val="-8"/>
          <w:sz w:val="20"/>
        </w:rPr>
        <w:t xml:space="preserve"> </w:t>
      </w:r>
      <w:r>
        <w:rPr>
          <w:i/>
          <w:sz w:val="20"/>
        </w:rPr>
        <w:t>Service</w:t>
      </w:r>
      <w:r>
        <w:rPr>
          <w:i/>
          <w:spacing w:val="-3"/>
          <w:sz w:val="20"/>
        </w:rPr>
        <w:t xml:space="preserve"> </w:t>
      </w:r>
      <w:r>
        <w:rPr>
          <w:i/>
          <w:sz w:val="20"/>
        </w:rPr>
        <w:t>Charges</w:t>
      </w:r>
      <w:r>
        <w:rPr>
          <w:i/>
          <w:spacing w:val="-4"/>
          <w:sz w:val="20"/>
        </w:rPr>
        <w:t xml:space="preserve"> </w:t>
      </w:r>
      <w:r>
        <w:rPr>
          <w:i/>
          <w:sz w:val="20"/>
        </w:rPr>
        <w:t>(Residential</w:t>
      </w:r>
      <w:r>
        <w:rPr>
          <w:i/>
          <w:spacing w:val="-5"/>
          <w:sz w:val="20"/>
        </w:rPr>
        <w:t xml:space="preserve"> </w:t>
      </w:r>
      <w:r>
        <w:rPr>
          <w:i/>
          <w:sz w:val="20"/>
        </w:rPr>
        <w:t>and</w:t>
      </w:r>
      <w:r>
        <w:rPr>
          <w:i/>
          <w:spacing w:val="-4"/>
          <w:sz w:val="20"/>
        </w:rPr>
        <w:t xml:space="preserve"> </w:t>
      </w:r>
      <w:r>
        <w:rPr>
          <w:i/>
          <w:spacing w:val="-2"/>
          <w:sz w:val="20"/>
        </w:rPr>
        <w:t>Non‐Residential)</w:t>
      </w:r>
      <w:r>
        <w:rPr>
          <w:rFonts w:ascii="Times New Roman" w:hAnsi="Times New Roman"/>
          <w:sz w:val="20"/>
        </w:rPr>
        <w:tab/>
      </w:r>
      <w:r>
        <w:rPr>
          <w:rFonts w:ascii="Calibri" w:hAnsi="Calibri"/>
          <w:spacing w:val="-5"/>
          <w:sz w:val="20"/>
        </w:rPr>
        <w:t>85</w:t>
      </w:r>
    </w:p>
    <w:p w14:paraId="7B3DA695" w14:textId="77777777" w:rsidR="00141B97" w:rsidRDefault="00911D63">
      <w:pPr>
        <w:pStyle w:val="ListParagraph"/>
        <w:numPr>
          <w:ilvl w:val="3"/>
          <w:numId w:val="82"/>
        </w:numPr>
        <w:tabs>
          <w:tab w:val="left" w:pos="2556"/>
          <w:tab w:val="right" w:leader="dot" w:pos="9885"/>
        </w:tabs>
        <w:spacing w:line="244" w:lineRule="exact"/>
        <w:ind w:left="2556" w:hanging="599"/>
        <w:rPr>
          <w:rFonts w:ascii="Calibri" w:hAnsi="Calibri"/>
          <w:sz w:val="20"/>
        </w:rPr>
      </w:pPr>
      <w:r>
        <w:rPr>
          <w:i/>
          <w:sz w:val="20"/>
        </w:rPr>
        <w:t>Sewerage</w:t>
      </w:r>
      <w:r>
        <w:rPr>
          <w:i/>
          <w:spacing w:val="-8"/>
          <w:sz w:val="20"/>
        </w:rPr>
        <w:t xml:space="preserve"> </w:t>
      </w:r>
      <w:r>
        <w:rPr>
          <w:i/>
          <w:sz w:val="20"/>
        </w:rPr>
        <w:t>Service</w:t>
      </w:r>
      <w:r>
        <w:rPr>
          <w:i/>
          <w:spacing w:val="-5"/>
          <w:sz w:val="20"/>
        </w:rPr>
        <w:t xml:space="preserve"> </w:t>
      </w:r>
      <w:r>
        <w:rPr>
          <w:i/>
          <w:sz w:val="20"/>
        </w:rPr>
        <w:t>Charges</w:t>
      </w:r>
      <w:r>
        <w:rPr>
          <w:i/>
          <w:spacing w:val="-6"/>
          <w:sz w:val="20"/>
        </w:rPr>
        <w:t xml:space="preserve"> </w:t>
      </w:r>
      <w:r>
        <w:rPr>
          <w:i/>
          <w:sz w:val="20"/>
        </w:rPr>
        <w:t>(Residential</w:t>
      </w:r>
      <w:r>
        <w:rPr>
          <w:i/>
          <w:spacing w:val="-5"/>
          <w:sz w:val="20"/>
        </w:rPr>
        <w:t xml:space="preserve"> </w:t>
      </w:r>
      <w:r>
        <w:rPr>
          <w:i/>
          <w:sz w:val="20"/>
        </w:rPr>
        <w:t>and</w:t>
      </w:r>
      <w:r>
        <w:rPr>
          <w:i/>
          <w:spacing w:val="-5"/>
          <w:sz w:val="20"/>
        </w:rPr>
        <w:t xml:space="preserve"> </w:t>
      </w:r>
      <w:r>
        <w:rPr>
          <w:i/>
          <w:spacing w:val="-2"/>
          <w:sz w:val="20"/>
        </w:rPr>
        <w:t>Non‐Residential)</w:t>
      </w:r>
      <w:r>
        <w:rPr>
          <w:rFonts w:ascii="Times New Roman" w:hAnsi="Times New Roman"/>
          <w:sz w:val="20"/>
        </w:rPr>
        <w:tab/>
      </w:r>
      <w:r>
        <w:rPr>
          <w:rFonts w:ascii="Calibri" w:hAnsi="Calibri"/>
          <w:spacing w:val="-5"/>
          <w:sz w:val="20"/>
        </w:rPr>
        <w:t>85</w:t>
      </w:r>
    </w:p>
    <w:p w14:paraId="072CA7A8" w14:textId="77777777" w:rsidR="00141B97" w:rsidRDefault="00911D63">
      <w:pPr>
        <w:pStyle w:val="ListParagraph"/>
        <w:numPr>
          <w:ilvl w:val="3"/>
          <w:numId w:val="82"/>
        </w:numPr>
        <w:tabs>
          <w:tab w:val="left" w:pos="2560"/>
          <w:tab w:val="right" w:leader="dot" w:pos="9885"/>
        </w:tabs>
        <w:spacing w:before="1" w:line="244" w:lineRule="exact"/>
        <w:ind w:left="2559" w:hanging="603"/>
        <w:rPr>
          <w:rFonts w:ascii="Calibri"/>
          <w:sz w:val="20"/>
        </w:rPr>
      </w:pPr>
      <w:r>
        <w:rPr>
          <w:i/>
          <w:sz w:val="20"/>
        </w:rPr>
        <w:t>Water</w:t>
      </w:r>
      <w:r>
        <w:rPr>
          <w:i/>
          <w:spacing w:val="-5"/>
          <w:sz w:val="20"/>
        </w:rPr>
        <w:t xml:space="preserve"> </w:t>
      </w:r>
      <w:r>
        <w:rPr>
          <w:i/>
          <w:sz w:val="20"/>
        </w:rPr>
        <w:t>Volumetric</w:t>
      </w:r>
      <w:r>
        <w:rPr>
          <w:i/>
          <w:spacing w:val="-3"/>
          <w:sz w:val="20"/>
        </w:rPr>
        <w:t xml:space="preserve"> </w:t>
      </w:r>
      <w:r>
        <w:rPr>
          <w:i/>
          <w:sz w:val="20"/>
        </w:rPr>
        <w:t>Charges</w:t>
      </w:r>
      <w:r>
        <w:rPr>
          <w:i/>
          <w:spacing w:val="-2"/>
          <w:sz w:val="20"/>
        </w:rPr>
        <w:t xml:space="preserve"> (Residential)</w:t>
      </w:r>
      <w:r>
        <w:rPr>
          <w:rFonts w:ascii="Times New Roman"/>
          <w:sz w:val="20"/>
        </w:rPr>
        <w:tab/>
      </w:r>
      <w:r>
        <w:rPr>
          <w:rFonts w:ascii="Calibri"/>
          <w:spacing w:val="-5"/>
          <w:sz w:val="20"/>
        </w:rPr>
        <w:t>85</w:t>
      </w:r>
    </w:p>
    <w:p w14:paraId="57287F84" w14:textId="77777777" w:rsidR="00141B97" w:rsidRDefault="00911D63">
      <w:pPr>
        <w:pStyle w:val="ListParagraph"/>
        <w:numPr>
          <w:ilvl w:val="3"/>
          <w:numId w:val="82"/>
        </w:numPr>
        <w:tabs>
          <w:tab w:val="left" w:pos="2560"/>
          <w:tab w:val="right" w:leader="dot" w:pos="9885"/>
        </w:tabs>
        <w:spacing w:line="244" w:lineRule="exact"/>
        <w:ind w:left="2559" w:hanging="603"/>
        <w:rPr>
          <w:rFonts w:ascii="Calibri" w:hAnsi="Calibri"/>
          <w:sz w:val="20"/>
        </w:rPr>
      </w:pPr>
      <w:r>
        <w:rPr>
          <w:i/>
          <w:sz w:val="20"/>
        </w:rPr>
        <w:t>Water</w:t>
      </w:r>
      <w:r>
        <w:rPr>
          <w:i/>
          <w:spacing w:val="-5"/>
          <w:sz w:val="20"/>
        </w:rPr>
        <w:t xml:space="preserve"> </w:t>
      </w:r>
      <w:r>
        <w:rPr>
          <w:i/>
          <w:sz w:val="20"/>
        </w:rPr>
        <w:t>Volumetric</w:t>
      </w:r>
      <w:r>
        <w:rPr>
          <w:i/>
          <w:spacing w:val="-3"/>
          <w:sz w:val="20"/>
        </w:rPr>
        <w:t xml:space="preserve"> </w:t>
      </w:r>
      <w:r>
        <w:rPr>
          <w:i/>
          <w:sz w:val="20"/>
        </w:rPr>
        <w:t>Charges</w:t>
      </w:r>
      <w:r>
        <w:rPr>
          <w:i/>
          <w:spacing w:val="-2"/>
          <w:sz w:val="20"/>
        </w:rPr>
        <w:t xml:space="preserve"> </w:t>
      </w:r>
      <w:r>
        <w:rPr>
          <w:i/>
          <w:spacing w:val="-2"/>
          <w:w w:val="95"/>
          <w:sz w:val="20"/>
        </w:rPr>
        <w:t>(Non‐Residential)</w:t>
      </w:r>
      <w:r>
        <w:rPr>
          <w:rFonts w:ascii="Times New Roman" w:hAnsi="Times New Roman"/>
          <w:sz w:val="20"/>
        </w:rPr>
        <w:tab/>
      </w:r>
      <w:r>
        <w:rPr>
          <w:rFonts w:ascii="Calibri" w:hAnsi="Calibri"/>
          <w:spacing w:val="-5"/>
          <w:sz w:val="20"/>
        </w:rPr>
        <w:t>85</w:t>
      </w:r>
    </w:p>
    <w:p w14:paraId="47B0E097" w14:textId="77777777" w:rsidR="00141B97" w:rsidRDefault="00911D63">
      <w:pPr>
        <w:pStyle w:val="ListParagraph"/>
        <w:numPr>
          <w:ilvl w:val="2"/>
          <w:numId w:val="82"/>
        </w:numPr>
        <w:tabs>
          <w:tab w:val="left" w:pos="1928"/>
          <w:tab w:val="left" w:pos="1929"/>
          <w:tab w:val="right" w:leader="dot" w:pos="9903"/>
        </w:tabs>
        <w:spacing w:before="2"/>
        <w:rPr>
          <w:rFonts w:ascii="Arial"/>
          <w:sz w:val="20"/>
        </w:rPr>
      </w:pPr>
      <w:r>
        <w:rPr>
          <w:sz w:val="20"/>
        </w:rPr>
        <w:t>Proposed</w:t>
      </w:r>
      <w:r>
        <w:rPr>
          <w:spacing w:val="-4"/>
          <w:sz w:val="20"/>
        </w:rPr>
        <w:t xml:space="preserve"> </w:t>
      </w:r>
      <w:r>
        <w:rPr>
          <w:spacing w:val="-2"/>
          <w:sz w:val="20"/>
        </w:rPr>
        <w:t>Tariffs</w:t>
      </w:r>
      <w:r>
        <w:rPr>
          <w:rFonts w:ascii="Times New Roman"/>
          <w:sz w:val="20"/>
        </w:rPr>
        <w:tab/>
      </w:r>
      <w:r>
        <w:rPr>
          <w:rFonts w:ascii="Arial"/>
          <w:spacing w:val="-5"/>
          <w:sz w:val="20"/>
        </w:rPr>
        <w:t>86</w:t>
      </w:r>
    </w:p>
    <w:p w14:paraId="67A4E170" w14:textId="77777777" w:rsidR="00141B97" w:rsidRDefault="00911D63">
      <w:pPr>
        <w:pStyle w:val="ListParagraph"/>
        <w:numPr>
          <w:ilvl w:val="2"/>
          <w:numId w:val="82"/>
        </w:numPr>
        <w:tabs>
          <w:tab w:val="left" w:pos="1928"/>
          <w:tab w:val="left" w:pos="1929"/>
          <w:tab w:val="right" w:leader="dot" w:pos="9902"/>
        </w:tabs>
        <w:spacing w:before="121"/>
        <w:rPr>
          <w:rFonts w:ascii="Arial"/>
          <w:sz w:val="20"/>
        </w:rPr>
      </w:pPr>
      <w:r>
        <w:rPr>
          <w:sz w:val="20"/>
        </w:rPr>
        <w:t>New</w:t>
      </w:r>
      <w:r>
        <w:rPr>
          <w:spacing w:val="-4"/>
          <w:sz w:val="20"/>
        </w:rPr>
        <w:t xml:space="preserve"> </w:t>
      </w:r>
      <w:r>
        <w:rPr>
          <w:sz w:val="20"/>
        </w:rPr>
        <w:t>Customer</w:t>
      </w:r>
      <w:r>
        <w:rPr>
          <w:spacing w:val="-4"/>
          <w:sz w:val="20"/>
        </w:rPr>
        <w:t xml:space="preserve"> </w:t>
      </w:r>
      <w:r>
        <w:rPr>
          <w:spacing w:val="-2"/>
          <w:sz w:val="20"/>
        </w:rPr>
        <w:t>Contributions</w:t>
      </w:r>
      <w:r>
        <w:rPr>
          <w:rFonts w:ascii="Times New Roman"/>
          <w:sz w:val="20"/>
        </w:rPr>
        <w:tab/>
      </w:r>
      <w:r>
        <w:rPr>
          <w:rFonts w:ascii="Arial"/>
          <w:spacing w:val="-5"/>
          <w:sz w:val="20"/>
        </w:rPr>
        <w:t>87</w:t>
      </w:r>
    </w:p>
    <w:p w14:paraId="3B6964B2" w14:textId="77777777" w:rsidR="00141B97" w:rsidRDefault="00911D63">
      <w:pPr>
        <w:pStyle w:val="ListParagraph"/>
        <w:numPr>
          <w:ilvl w:val="2"/>
          <w:numId w:val="82"/>
        </w:numPr>
        <w:tabs>
          <w:tab w:val="left" w:pos="1928"/>
          <w:tab w:val="left" w:pos="1929"/>
          <w:tab w:val="right" w:leader="dot" w:pos="9902"/>
        </w:tabs>
        <w:spacing w:before="122"/>
        <w:rPr>
          <w:rFonts w:ascii="Arial"/>
          <w:sz w:val="20"/>
        </w:rPr>
      </w:pPr>
      <w:r>
        <w:rPr>
          <w:sz w:val="20"/>
        </w:rPr>
        <w:t>Negotiated</w:t>
      </w:r>
      <w:r>
        <w:rPr>
          <w:spacing w:val="-4"/>
          <w:sz w:val="20"/>
        </w:rPr>
        <w:t xml:space="preserve"> </w:t>
      </w:r>
      <w:r>
        <w:rPr>
          <w:sz w:val="20"/>
        </w:rPr>
        <w:t>Trade</w:t>
      </w:r>
      <w:r>
        <w:rPr>
          <w:spacing w:val="-3"/>
          <w:sz w:val="20"/>
        </w:rPr>
        <w:t xml:space="preserve"> </w:t>
      </w:r>
      <w:r>
        <w:rPr>
          <w:spacing w:val="-2"/>
          <w:sz w:val="20"/>
        </w:rPr>
        <w:t>Waste</w:t>
      </w:r>
      <w:r>
        <w:rPr>
          <w:rFonts w:ascii="Times New Roman"/>
          <w:sz w:val="20"/>
        </w:rPr>
        <w:tab/>
      </w:r>
      <w:r>
        <w:rPr>
          <w:rFonts w:ascii="Arial"/>
          <w:spacing w:val="-5"/>
          <w:sz w:val="20"/>
        </w:rPr>
        <w:t>87</w:t>
      </w:r>
    </w:p>
    <w:p w14:paraId="5548E6CA" w14:textId="77777777" w:rsidR="00141B97" w:rsidRDefault="00911D63">
      <w:pPr>
        <w:pStyle w:val="ListParagraph"/>
        <w:numPr>
          <w:ilvl w:val="2"/>
          <w:numId w:val="82"/>
        </w:numPr>
        <w:tabs>
          <w:tab w:val="left" w:pos="1928"/>
          <w:tab w:val="left" w:pos="1929"/>
          <w:tab w:val="right" w:leader="dot" w:pos="9899"/>
        </w:tabs>
        <w:spacing w:before="122"/>
        <w:rPr>
          <w:rFonts w:ascii="Arial"/>
          <w:sz w:val="20"/>
        </w:rPr>
      </w:pPr>
      <w:r>
        <w:rPr>
          <w:sz w:val="20"/>
        </w:rPr>
        <w:t>Miscellaneous</w:t>
      </w:r>
      <w:r>
        <w:rPr>
          <w:spacing w:val="-5"/>
          <w:sz w:val="20"/>
        </w:rPr>
        <w:t xml:space="preserve"> </w:t>
      </w:r>
      <w:r>
        <w:rPr>
          <w:sz w:val="20"/>
        </w:rPr>
        <w:t>Revenues</w:t>
      </w:r>
      <w:r>
        <w:rPr>
          <w:spacing w:val="-5"/>
          <w:sz w:val="20"/>
        </w:rPr>
        <w:t xml:space="preserve"> </w:t>
      </w:r>
      <w:r>
        <w:rPr>
          <w:sz w:val="20"/>
        </w:rPr>
        <w:t>for</w:t>
      </w:r>
      <w:r>
        <w:rPr>
          <w:spacing w:val="-5"/>
          <w:sz w:val="20"/>
        </w:rPr>
        <w:t xml:space="preserve"> </w:t>
      </w:r>
      <w:r>
        <w:rPr>
          <w:sz w:val="20"/>
        </w:rPr>
        <w:t>Prescribed</w:t>
      </w:r>
      <w:r>
        <w:rPr>
          <w:spacing w:val="-5"/>
          <w:sz w:val="20"/>
        </w:rPr>
        <w:t xml:space="preserve"> </w:t>
      </w:r>
      <w:r>
        <w:rPr>
          <w:spacing w:val="-2"/>
          <w:sz w:val="20"/>
        </w:rPr>
        <w:t>Services</w:t>
      </w:r>
      <w:r>
        <w:rPr>
          <w:rFonts w:ascii="Times New Roman"/>
          <w:sz w:val="20"/>
        </w:rPr>
        <w:tab/>
      </w:r>
      <w:r>
        <w:rPr>
          <w:rFonts w:ascii="Arial"/>
          <w:spacing w:val="-5"/>
          <w:sz w:val="20"/>
        </w:rPr>
        <w:t>88</w:t>
      </w:r>
    </w:p>
    <w:p w14:paraId="68CAC353" w14:textId="77777777" w:rsidR="00141B97" w:rsidRDefault="00141B97">
      <w:pPr>
        <w:rPr>
          <w:rFonts w:ascii="Arial"/>
          <w:sz w:val="20"/>
        </w:rPr>
        <w:sectPr w:rsidR="00141B97">
          <w:pgSz w:w="11910" w:h="16840"/>
          <w:pgMar w:top="780" w:right="40" w:bottom="760" w:left="1020" w:header="0" w:footer="579" w:gutter="0"/>
          <w:cols w:space="720"/>
        </w:sectPr>
      </w:pPr>
    </w:p>
    <w:p w14:paraId="45B42F3A" w14:textId="77777777" w:rsidR="00141B97" w:rsidRDefault="00911D63">
      <w:pPr>
        <w:pStyle w:val="ListParagraph"/>
        <w:numPr>
          <w:ilvl w:val="1"/>
          <w:numId w:val="82"/>
        </w:numPr>
        <w:tabs>
          <w:tab w:val="left" w:pos="1247"/>
          <w:tab w:val="left" w:pos="1248"/>
          <w:tab w:val="right" w:leader="dot" w:pos="9891"/>
        </w:tabs>
        <w:spacing w:before="67"/>
        <w:rPr>
          <w:rFonts w:ascii="Arial"/>
          <w:b/>
          <w:sz w:val="20"/>
        </w:rPr>
      </w:pPr>
      <w:r>
        <w:rPr>
          <w:sz w:val="20"/>
        </w:rPr>
        <w:lastRenderedPageBreak/>
        <w:t>Adjustment</w:t>
      </w:r>
      <w:r>
        <w:rPr>
          <w:spacing w:val="-1"/>
          <w:sz w:val="20"/>
        </w:rPr>
        <w:t xml:space="preserve"> </w:t>
      </w:r>
      <w:r>
        <w:rPr>
          <w:sz w:val="20"/>
        </w:rPr>
        <w:t>to</w:t>
      </w:r>
      <w:r>
        <w:rPr>
          <w:spacing w:val="-3"/>
          <w:sz w:val="20"/>
        </w:rPr>
        <w:t xml:space="preserve"> </w:t>
      </w:r>
      <w:r>
        <w:rPr>
          <w:spacing w:val="-2"/>
          <w:sz w:val="20"/>
        </w:rPr>
        <w:t>Prices</w:t>
      </w:r>
      <w:r>
        <w:rPr>
          <w:rFonts w:ascii="Times New Roman"/>
          <w:sz w:val="20"/>
        </w:rPr>
        <w:tab/>
      </w:r>
      <w:r>
        <w:rPr>
          <w:rFonts w:ascii="Arial"/>
          <w:b/>
          <w:spacing w:val="-5"/>
          <w:sz w:val="20"/>
        </w:rPr>
        <w:t>88</w:t>
      </w:r>
    </w:p>
    <w:p w14:paraId="2C84A960" w14:textId="77777777" w:rsidR="00141B97" w:rsidRDefault="00911D63">
      <w:pPr>
        <w:pStyle w:val="ListParagraph"/>
        <w:numPr>
          <w:ilvl w:val="2"/>
          <w:numId w:val="82"/>
        </w:numPr>
        <w:tabs>
          <w:tab w:val="left" w:pos="1928"/>
          <w:tab w:val="left" w:pos="1929"/>
          <w:tab w:val="right" w:leader="dot" w:pos="9901"/>
        </w:tabs>
        <w:spacing w:before="121"/>
        <w:rPr>
          <w:rFonts w:ascii="Arial"/>
          <w:sz w:val="20"/>
        </w:rPr>
      </w:pPr>
      <w:r>
        <w:rPr>
          <w:sz w:val="20"/>
        </w:rPr>
        <w:t>Uncertain</w:t>
      </w:r>
      <w:r>
        <w:rPr>
          <w:spacing w:val="-3"/>
          <w:sz w:val="20"/>
        </w:rPr>
        <w:t xml:space="preserve"> </w:t>
      </w:r>
      <w:r>
        <w:rPr>
          <w:sz w:val="20"/>
        </w:rPr>
        <w:t>or</w:t>
      </w:r>
      <w:r>
        <w:rPr>
          <w:spacing w:val="-3"/>
          <w:sz w:val="20"/>
        </w:rPr>
        <w:t xml:space="preserve"> </w:t>
      </w:r>
      <w:r>
        <w:rPr>
          <w:sz w:val="20"/>
        </w:rPr>
        <w:t>Unforeseen</w:t>
      </w:r>
      <w:r>
        <w:rPr>
          <w:spacing w:val="-3"/>
          <w:sz w:val="20"/>
        </w:rPr>
        <w:t xml:space="preserve"> </w:t>
      </w:r>
      <w:r>
        <w:rPr>
          <w:spacing w:val="-2"/>
          <w:sz w:val="20"/>
        </w:rPr>
        <w:t>Events</w:t>
      </w:r>
      <w:r>
        <w:rPr>
          <w:rFonts w:ascii="Times New Roman"/>
          <w:sz w:val="20"/>
        </w:rPr>
        <w:tab/>
      </w:r>
      <w:r>
        <w:rPr>
          <w:rFonts w:ascii="Arial"/>
          <w:spacing w:val="-5"/>
          <w:sz w:val="20"/>
        </w:rPr>
        <w:t>88</w:t>
      </w:r>
    </w:p>
    <w:p w14:paraId="78629187" w14:textId="77777777" w:rsidR="00141B97" w:rsidRDefault="00911D63">
      <w:pPr>
        <w:pStyle w:val="ListParagraph"/>
        <w:numPr>
          <w:ilvl w:val="2"/>
          <w:numId w:val="82"/>
        </w:numPr>
        <w:tabs>
          <w:tab w:val="left" w:pos="1928"/>
          <w:tab w:val="left" w:pos="1929"/>
          <w:tab w:val="right" w:leader="dot" w:pos="9903"/>
        </w:tabs>
        <w:spacing w:before="121"/>
        <w:rPr>
          <w:rFonts w:ascii="Arial"/>
          <w:sz w:val="20"/>
        </w:rPr>
      </w:pPr>
      <w:r>
        <w:rPr>
          <w:sz w:val="20"/>
        </w:rPr>
        <w:t>Trailing</w:t>
      </w:r>
      <w:r>
        <w:rPr>
          <w:spacing w:val="-2"/>
          <w:sz w:val="20"/>
        </w:rPr>
        <w:t xml:space="preserve"> </w:t>
      </w:r>
      <w:r>
        <w:rPr>
          <w:sz w:val="20"/>
        </w:rPr>
        <w:t>Cost</w:t>
      </w:r>
      <w:r>
        <w:rPr>
          <w:spacing w:val="-1"/>
          <w:sz w:val="20"/>
        </w:rPr>
        <w:t xml:space="preserve"> </w:t>
      </w:r>
      <w:r>
        <w:rPr>
          <w:sz w:val="20"/>
        </w:rPr>
        <w:t>of</w:t>
      </w:r>
      <w:r>
        <w:rPr>
          <w:spacing w:val="-2"/>
          <w:sz w:val="20"/>
        </w:rPr>
        <w:t xml:space="preserve"> </w:t>
      </w:r>
      <w:r>
        <w:rPr>
          <w:spacing w:val="-4"/>
          <w:sz w:val="20"/>
        </w:rPr>
        <w:t>Debt</w:t>
      </w:r>
      <w:r>
        <w:rPr>
          <w:rFonts w:ascii="Times New Roman"/>
          <w:sz w:val="20"/>
        </w:rPr>
        <w:tab/>
      </w:r>
      <w:r>
        <w:rPr>
          <w:rFonts w:ascii="Arial"/>
          <w:spacing w:val="-5"/>
          <w:sz w:val="20"/>
        </w:rPr>
        <w:t>88</w:t>
      </w:r>
    </w:p>
    <w:p w14:paraId="7875D715" w14:textId="77777777" w:rsidR="00141B97" w:rsidRDefault="00911D63">
      <w:pPr>
        <w:pStyle w:val="Heading3"/>
        <w:numPr>
          <w:ilvl w:val="0"/>
          <w:numId w:val="82"/>
        </w:numPr>
        <w:tabs>
          <w:tab w:val="left" w:pos="681"/>
          <w:tab w:val="left" w:pos="682"/>
          <w:tab w:val="right" w:leader="dot" w:pos="9892"/>
        </w:tabs>
        <w:spacing w:before="241"/>
        <w:rPr>
          <w:rFonts w:ascii="Arial" w:hAnsi="Arial"/>
          <w:b/>
        </w:rPr>
      </w:pPr>
      <w:r>
        <w:rPr>
          <w:color w:val="009BAC"/>
        </w:rPr>
        <w:t>Non‐Prescribed</w:t>
      </w:r>
      <w:r>
        <w:rPr>
          <w:color w:val="009BAC"/>
          <w:spacing w:val="-2"/>
        </w:rPr>
        <w:t xml:space="preserve"> Services</w:t>
      </w:r>
      <w:r>
        <w:rPr>
          <w:rFonts w:ascii="Times New Roman" w:hAnsi="Times New Roman"/>
          <w:color w:val="009BAC"/>
        </w:rPr>
        <w:tab/>
      </w:r>
      <w:r>
        <w:rPr>
          <w:rFonts w:ascii="Arial" w:hAnsi="Arial"/>
          <w:b/>
          <w:color w:val="009BAC"/>
          <w:spacing w:val="-5"/>
        </w:rPr>
        <w:t>89</w:t>
      </w:r>
    </w:p>
    <w:p w14:paraId="5BC94853" w14:textId="77777777" w:rsidR="00141B97" w:rsidRDefault="00911D63">
      <w:pPr>
        <w:pStyle w:val="ListParagraph"/>
        <w:numPr>
          <w:ilvl w:val="1"/>
          <w:numId w:val="82"/>
        </w:numPr>
        <w:tabs>
          <w:tab w:val="left" w:pos="1247"/>
          <w:tab w:val="left" w:pos="1248"/>
          <w:tab w:val="right" w:leader="dot" w:pos="9891"/>
        </w:tabs>
        <w:spacing w:before="183"/>
        <w:rPr>
          <w:rFonts w:ascii="Arial" w:hAnsi="Arial"/>
          <w:b/>
          <w:sz w:val="20"/>
        </w:rPr>
      </w:pPr>
      <w:r>
        <w:rPr>
          <w:sz w:val="20"/>
        </w:rPr>
        <w:t>Classification</w:t>
      </w:r>
      <w:r>
        <w:rPr>
          <w:spacing w:val="-3"/>
          <w:sz w:val="20"/>
        </w:rPr>
        <w:t xml:space="preserve"> </w:t>
      </w:r>
      <w:r>
        <w:rPr>
          <w:sz w:val="20"/>
        </w:rPr>
        <w:t>of</w:t>
      </w:r>
      <w:r>
        <w:rPr>
          <w:spacing w:val="-3"/>
          <w:sz w:val="20"/>
        </w:rPr>
        <w:t xml:space="preserve"> </w:t>
      </w:r>
      <w:r>
        <w:rPr>
          <w:sz w:val="20"/>
        </w:rPr>
        <w:t>Services</w:t>
      </w:r>
      <w:r>
        <w:rPr>
          <w:spacing w:val="-2"/>
          <w:sz w:val="20"/>
        </w:rPr>
        <w:t xml:space="preserve"> </w:t>
      </w:r>
      <w:r>
        <w:rPr>
          <w:sz w:val="20"/>
        </w:rPr>
        <w:t>as</w:t>
      </w:r>
      <w:r>
        <w:rPr>
          <w:spacing w:val="-3"/>
          <w:sz w:val="20"/>
        </w:rPr>
        <w:t xml:space="preserve"> </w:t>
      </w:r>
      <w:r>
        <w:rPr>
          <w:spacing w:val="-2"/>
          <w:w w:val="95"/>
          <w:sz w:val="20"/>
        </w:rPr>
        <w:t>Non‐Prescribed</w:t>
      </w:r>
      <w:r>
        <w:rPr>
          <w:rFonts w:ascii="Times New Roman" w:hAnsi="Times New Roman"/>
          <w:sz w:val="20"/>
        </w:rPr>
        <w:tab/>
      </w:r>
      <w:r>
        <w:rPr>
          <w:rFonts w:ascii="Arial" w:hAnsi="Arial"/>
          <w:b/>
          <w:spacing w:val="-5"/>
          <w:sz w:val="20"/>
        </w:rPr>
        <w:t>89</w:t>
      </w:r>
    </w:p>
    <w:p w14:paraId="53E87031" w14:textId="77777777" w:rsidR="00141B97" w:rsidRDefault="00911D63">
      <w:pPr>
        <w:pStyle w:val="ListParagraph"/>
        <w:numPr>
          <w:ilvl w:val="2"/>
          <w:numId w:val="82"/>
        </w:numPr>
        <w:tabs>
          <w:tab w:val="left" w:pos="1928"/>
          <w:tab w:val="left" w:pos="1929"/>
          <w:tab w:val="right" w:leader="dot" w:pos="9897"/>
        </w:tabs>
        <w:spacing w:before="120"/>
        <w:rPr>
          <w:rFonts w:ascii="Arial" w:hAnsi="Arial"/>
          <w:sz w:val="20"/>
        </w:rPr>
      </w:pPr>
      <w:r>
        <w:rPr>
          <w:sz w:val="20"/>
        </w:rPr>
        <w:t>Expenditure</w:t>
      </w:r>
      <w:r>
        <w:rPr>
          <w:spacing w:val="-7"/>
          <w:sz w:val="20"/>
        </w:rPr>
        <w:t xml:space="preserve"> </w:t>
      </w:r>
      <w:r>
        <w:rPr>
          <w:sz w:val="20"/>
        </w:rPr>
        <w:t>and</w:t>
      </w:r>
      <w:r>
        <w:rPr>
          <w:spacing w:val="-4"/>
          <w:sz w:val="20"/>
        </w:rPr>
        <w:t xml:space="preserve"> </w:t>
      </w:r>
      <w:r>
        <w:rPr>
          <w:sz w:val="20"/>
        </w:rPr>
        <w:t>Revenue</w:t>
      </w:r>
      <w:r>
        <w:rPr>
          <w:spacing w:val="-4"/>
          <w:sz w:val="20"/>
        </w:rPr>
        <w:t xml:space="preserve"> </w:t>
      </w:r>
      <w:r>
        <w:rPr>
          <w:sz w:val="20"/>
        </w:rPr>
        <w:t>Associated</w:t>
      </w:r>
      <w:r>
        <w:rPr>
          <w:spacing w:val="-4"/>
          <w:sz w:val="20"/>
        </w:rPr>
        <w:t xml:space="preserve"> </w:t>
      </w:r>
      <w:r>
        <w:rPr>
          <w:sz w:val="20"/>
        </w:rPr>
        <w:t>with</w:t>
      </w:r>
      <w:r>
        <w:rPr>
          <w:spacing w:val="-4"/>
          <w:sz w:val="20"/>
        </w:rPr>
        <w:t xml:space="preserve"> </w:t>
      </w:r>
      <w:r>
        <w:rPr>
          <w:sz w:val="20"/>
        </w:rPr>
        <w:t>Non‐Prescribed</w:t>
      </w:r>
      <w:r>
        <w:rPr>
          <w:spacing w:val="-5"/>
          <w:sz w:val="20"/>
        </w:rPr>
        <w:t xml:space="preserve"> </w:t>
      </w:r>
      <w:r>
        <w:rPr>
          <w:spacing w:val="-2"/>
          <w:sz w:val="20"/>
        </w:rPr>
        <w:t>Services</w:t>
      </w:r>
      <w:r>
        <w:rPr>
          <w:rFonts w:ascii="Times New Roman" w:hAnsi="Times New Roman"/>
          <w:sz w:val="20"/>
        </w:rPr>
        <w:tab/>
      </w:r>
      <w:r>
        <w:rPr>
          <w:rFonts w:ascii="Arial" w:hAnsi="Arial"/>
          <w:spacing w:val="-5"/>
          <w:sz w:val="20"/>
        </w:rPr>
        <w:t>89</w:t>
      </w:r>
    </w:p>
    <w:p w14:paraId="1724F20D" w14:textId="77777777" w:rsidR="00141B97" w:rsidRDefault="00141B97">
      <w:pPr>
        <w:rPr>
          <w:rFonts w:ascii="Arial" w:hAnsi="Arial"/>
          <w:sz w:val="20"/>
        </w:rPr>
        <w:sectPr w:rsidR="00141B97">
          <w:pgSz w:w="11910" w:h="16840"/>
          <w:pgMar w:top="820" w:right="40" w:bottom="760" w:left="1020" w:header="0" w:footer="579" w:gutter="0"/>
          <w:cols w:space="720"/>
        </w:sectPr>
      </w:pPr>
    </w:p>
    <w:p w14:paraId="7F66A5ED" w14:textId="77777777" w:rsidR="00141B97" w:rsidRDefault="00911D63">
      <w:pPr>
        <w:spacing w:line="577" w:lineRule="exact"/>
        <w:ind w:left="114"/>
        <w:rPr>
          <w:sz w:val="48"/>
        </w:rPr>
      </w:pPr>
      <w:r>
        <w:rPr>
          <w:color w:val="006CA3"/>
          <w:sz w:val="48"/>
        </w:rPr>
        <w:lastRenderedPageBreak/>
        <w:t xml:space="preserve">Tables and </w:t>
      </w:r>
      <w:r>
        <w:rPr>
          <w:color w:val="006CA3"/>
          <w:spacing w:val="-2"/>
          <w:sz w:val="48"/>
        </w:rPr>
        <w:t>Figures</w:t>
      </w:r>
    </w:p>
    <w:p w14:paraId="1FF860B2" w14:textId="77777777" w:rsidR="00141B97" w:rsidRDefault="00141B97">
      <w:pPr>
        <w:pStyle w:val="BodyText"/>
        <w:spacing w:before="2"/>
        <w:rPr>
          <w:sz w:val="2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8197"/>
        <w:gridCol w:w="1599"/>
      </w:tblGrid>
      <w:tr w:rsidR="00141B97" w14:paraId="51288658" w14:textId="77777777">
        <w:trPr>
          <w:trHeight w:val="220"/>
          <w:tblCellSpacing w:w="9" w:type="dxa"/>
        </w:trPr>
        <w:tc>
          <w:tcPr>
            <w:tcW w:w="8170" w:type="dxa"/>
            <w:tcBorders>
              <w:top w:val="nil"/>
              <w:left w:val="nil"/>
            </w:tcBorders>
            <w:shd w:val="clear" w:color="auto" w:fill="006CA3"/>
          </w:tcPr>
          <w:p w14:paraId="16A26036" w14:textId="77777777" w:rsidR="00141B97" w:rsidRDefault="00911D63">
            <w:pPr>
              <w:pStyle w:val="TableParagraph"/>
              <w:spacing w:before="1" w:line="199" w:lineRule="exact"/>
              <w:ind w:left="88"/>
              <w:rPr>
                <w:sz w:val="18"/>
              </w:rPr>
            </w:pPr>
            <w:r>
              <w:rPr>
                <w:color w:val="FFFFFF"/>
                <w:sz w:val="18"/>
              </w:rPr>
              <w:t>Table/Figure</w:t>
            </w:r>
            <w:r>
              <w:rPr>
                <w:color w:val="FFFFFF"/>
                <w:spacing w:val="-4"/>
                <w:sz w:val="18"/>
              </w:rPr>
              <w:t xml:space="preserve"> </w:t>
            </w:r>
            <w:r>
              <w:rPr>
                <w:color w:val="FFFFFF"/>
                <w:spacing w:val="-2"/>
                <w:sz w:val="18"/>
              </w:rPr>
              <w:t>Title</w:t>
            </w:r>
          </w:p>
        </w:tc>
        <w:tc>
          <w:tcPr>
            <w:tcW w:w="1572" w:type="dxa"/>
            <w:tcBorders>
              <w:top w:val="nil"/>
              <w:right w:val="nil"/>
            </w:tcBorders>
            <w:shd w:val="clear" w:color="auto" w:fill="006CA3"/>
          </w:tcPr>
          <w:p w14:paraId="6E51BF65" w14:textId="77777777" w:rsidR="00141B97" w:rsidRDefault="00911D63">
            <w:pPr>
              <w:pStyle w:val="TableParagraph"/>
              <w:spacing w:before="1" w:line="199" w:lineRule="exact"/>
              <w:ind w:right="87"/>
              <w:jc w:val="right"/>
              <w:rPr>
                <w:sz w:val="18"/>
              </w:rPr>
            </w:pPr>
            <w:r>
              <w:rPr>
                <w:color w:val="FFFFFF"/>
                <w:sz w:val="18"/>
              </w:rPr>
              <w:t>Page</w:t>
            </w:r>
            <w:r>
              <w:rPr>
                <w:color w:val="FFFFFF"/>
                <w:spacing w:val="-3"/>
                <w:sz w:val="18"/>
              </w:rPr>
              <w:t xml:space="preserve"> </w:t>
            </w:r>
            <w:r>
              <w:rPr>
                <w:color w:val="FFFFFF"/>
                <w:spacing w:val="-2"/>
                <w:sz w:val="18"/>
              </w:rPr>
              <w:t>Number</w:t>
            </w:r>
          </w:p>
        </w:tc>
      </w:tr>
      <w:tr w:rsidR="00141B97" w14:paraId="2E620C2E" w14:textId="77777777">
        <w:trPr>
          <w:trHeight w:val="220"/>
          <w:tblCellSpacing w:w="9" w:type="dxa"/>
        </w:trPr>
        <w:tc>
          <w:tcPr>
            <w:tcW w:w="8170" w:type="dxa"/>
            <w:tcBorders>
              <w:left w:val="nil"/>
            </w:tcBorders>
            <w:shd w:val="clear" w:color="auto" w:fill="CCE2ED"/>
          </w:tcPr>
          <w:p w14:paraId="1AB6B32A"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B1:</w:t>
            </w:r>
            <w:r>
              <w:rPr>
                <w:rFonts w:ascii="Calibri"/>
                <w:spacing w:val="-4"/>
                <w:sz w:val="18"/>
              </w:rPr>
              <w:t xml:space="preserve"> </w:t>
            </w:r>
            <w:r>
              <w:rPr>
                <w:rFonts w:ascii="Calibri"/>
                <w:sz w:val="18"/>
              </w:rPr>
              <w:t>Overall</w:t>
            </w:r>
            <w:r>
              <w:rPr>
                <w:rFonts w:ascii="Calibri"/>
                <w:spacing w:val="-4"/>
                <w:sz w:val="18"/>
              </w:rPr>
              <w:t xml:space="preserve"> </w:t>
            </w:r>
            <w:r>
              <w:rPr>
                <w:rFonts w:ascii="Calibri"/>
                <w:sz w:val="18"/>
              </w:rPr>
              <w:t>Urban</w:t>
            </w:r>
            <w:r>
              <w:rPr>
                <w:rFonts w:ascii="Calibri"/>
                <w:spacing w:val="-3"/>
                <w:sz w:val="18"/>
              </w:rPr>
              <w:t xml:space="preserve"> </w:t>
            </w:r>
            <w:r>
              <w:rPr>
                <w:rFonts w:ascii="Calibri"/>
                <w:sz w:val="18"/>
              </w:rPr>
              <w:t>Outcome</w:t>
            </w:r>
            <w:r>
              <w:rPr>
                <w:rFonts w:ascii="Calibri"/>
                <w:spacing w:val="-2"/>
                <w:sz w:val="18"/>
              </w:rPr>
              <w:t xml:space="preserve"> Summary</w:t>
            </w:r>
          </w:p>
        </w:tc>
        <w:tc>
          <w:tcPr>
            <w:tcW w:w="1572" w:type="dxa"/>
            <w:tcBorders>
              <w:right w:val="nil"/>
            </w:tcBorders>
            <w:shd w:val="clear" w:color="auto" w:fill="CCE2ED"/>
          </w:tcPr>
          <w:p w14:paraId="6E0419E3" w14:textId="77777777" w:rsidR="00141B97" w:rsidRDefault="00911D63">
            <w:pPr>
              <w:pStyle w:val="TableParagraph"/>
              <w:spacing w:before="1" w:line="199" w:lineRule="exact"/>
              <w:ind w:right="86"/>
              <w:jc w:val="right"/>
              <w:rPr>
                <w:rFonts w:ascii="Calibri"/>
                <w:sz w:val="18"/>
              </w:rPr>
            </w:pPr>
            <w:r>
              <w:rPr>
                <w:rFonts w:ascii="Calibri"/>
                <w:spacing w:val="-5"/>
                <w:sz w:val="18"/>
              </w:rPr>
              <w:t>47</w:t>
            </w:r>
          </w:p>
        </w:tc>
      </w:tr>
      <w:tr w:rsidR="00141B97" w14:paraId="2AB45956" w14:textId="77777777">
        <w:trPr>
          <w:trHeight w:val="219"/>
          <w:tblCellSpacing w:w="9" w:type="dxa"/>
        </w:trPr>
        <w:tc>
          <w:tcPr>
            <w:tcW w:w="8170" w:type="dxa"/>
            <w:tcBorders>
              <w:left w:val="nil"/>
            </w:tcBorders>
            <w:shd w:val="clear" w:color="auto" w:fill="CCE2ED"/>
          </w:tcPr>
          <w:p w14:paraId="027A1E27"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2"/>
                <w:sz w:val="18"/>
              </w:rPr>
              <w:t xml:space="preserve"> </w:t>
            </w:r>
            <w:r>
              <w:rPr>
                <w:rFonts w:ascii="Calibri"/>
                <w:sz w:val="18"/>
              </w:rPr>
              <w:t>B2:</w:t>
            </w:r>
            <w:r>
              <w:rPr>
                <w:rFonts w:ascii="Calibri"/>
                <w:spacing w:val="-2"/>
                <w:sz w:val="18"/>
              </w:rPr>
              <w:t xml:space="preserve"> </w:t>
            </w:r>
            <w:r>
              <w:rPr>
                <w:rFonts w:ascii="Calibri"/>
                <w:sz w:val="18"/>
              </w:rPr>
              <w:t>Urban</w:t>
            </w:r>
            <w:r>
              <w:rPr>
                <w:rFonts w:ascii="Calibri"/>
                <w:spacing w:val="-2"/>
                <w:sz w:val="18"/>
              </w:rPr>
              <w:t xml:space="preserve"> </w:t>
            </w:r>
            <w:r>
              <w:rPr>
                <w:rFonts w:ascii="Calibri"/>
                <w:sz w:val="18"/>
              </w:rPr>
              <w:t>Demand</w:t>
            </w:r>
            <w:r>
              <w:rPr>
                <w:rFonts w:ascii="Calibri"/>
                <w:spacing w:val="-1"/>
                <w:sz w:val="18"/>
              </w:rPr>
              <w:t xml:space="preserve"> </w:t>
            </w:r>
            <w:r>
              <w:rPr>
                <w:rFonts w:ascii="Calibri"/>
                <w:spacing w:val="-4"/>
                <w:sz w:val="18"/>
              </w:rPr>
              <w:t>(ML)</w:t>
            </w:r>
          </w:p>
        </w:tc>
        <w:tc>
          <w:tcPr>
            <w:tcW w:w="1572" w:type="dxa"/>
            <w:tcBorders>
              <w:right w:val="nil"/>
            </w:tcBorders>
            <w:shd w:val="clear" w:color="auto" w:fill="CCE2ED"/>
          </w:tcPr>
          <w:p w14:paraId="21E35EB0" w14:textId="77777777" w:rsidR="00141B97" w:rsidRDefault="00911D63">
            <w:pPr>
              <w:pStyle w:val="TableParagraph"/>
              <w:spacing w:before="1" w:line="199" w:lineRule="exact"/>
              <w:ind w:right="86"/>
              <w:jc w:val="right"/>
              <w:rPr>
                <w:rFonts w:ascii="Calibri"/>
                <w:sz w:val="18"/>
              </w:rPr>
            </w:pPr>
            <w:r>
              <w:rPr>
                <w:rFonts w:ascii="Calibri"/>
                <w:spacing w:val="-5"/>
                <w:sz w:val="18"/>
              </w:rPr>
              <w:t>50</w:t>
            </w:r>
          </w:p>
        </w:tc>
      </w:tr>
      <w:tr w:rsidR="00141B97" w14:paraId="7E599D7B" w14:textId="77777777">
        <w:trPr>
          <w:trHeight w:val="220"/>
          <w:tblCellSpacing w:w="9" w:type="dxa"/>
        </w:trPr>
        <w:tc>
          <w:tcPr>
            <w:tcW w:w="8170" w:type="dxa"/>
            <w:tcBorders>
              <w:left w:val="nil"/>
            </w:tcBorders>
            <w:shd w:val="clear" w:color="auto" w:fill="CCE2ED"/>
          </w:tcPr>
          <w:p w14:paraId="63D40917" w14:textId="77777777" w:rsidR="00141B97" w:rsidRDefault="00911D63">
            <w:pPr>
              <w:pStyle w:val="TableParagraph"/>
              <w:spacing w:line="200" w:lineRule="exact"/>
              <w:ind w:left="88"/>
              <w:rPr>
                <w:rFonts w:ascii="Calibri"/>
                <w:sz w:val="18"/>
              </w:rPr>
            </w:pPr>
            <w:r>
              <w:rPr>
                <w:rFonts w:ascii="Calibri"/>
                <w:sz w:val="18"/>
              </w:rPr>
              <w:t>Table</w:t>
            </w:r>
            <w:r>
              <w:rPr>
                <w:rFonts w:ascii="Calibri"/>
                <w:spacing w:val="-1"/>
                <w:sz w:val="18"/>
              </w:rPr>
              <w:t xml:space="preserve"> </w:t>
            </w:r>
            <w:r>
              <w:rPr>
                <w:rFonts w:ascii="Calibri"/>
                <w:sz w:val="18"/>
              </w:rPr>
              <w:t>B3:</w:t>
            </w:r>
            <w:r>
              <w:rPr>
                <w:rFonts w:ascii="Calibri"/>
                <w:spacing w:val="-2"/>
                <w:sz w:val="18"/>
              </w:rPr>
              <w:t xml:space="preserve"> </w:t>
            </w:r>
            <w:r>
              <w:rPr>
                <w:rFonts w:ascii="Calibri"/>
                <w:sz w:val="18"/>
              </w:rPr>
              <w:t>Urban</w:t>
            </w:r>
            <w:r>
              <w:rPr>
                <w:rFonts w:ascii="Calibri"/>
                <w:spacing w:val="-3"/>
                <w:sz w:val="18"/>
              </w:rPr>
              <w:t xml:space="preserve"> </w:t>
            </w:r>
            <w:r>
              <w:rPr>
                <w:rFonts w:ascii="Calibri"/>
                <w:sz w:val="18"/>
              </w:rPr>
              <w:t>Revenue</w:t>
            </w:r>
            <w:r>
              <w:rPr>
                <w:rFonts w:ascii="Calibri"/>
                <w:spacing w:val="-2"/>
                <w:sz w:val="18"/>
              </w:rPr>
              <w:t xml:space="preserve"> </w:t>
            </w:r>
            <w:r>
              <w:rPr>
                <w:rFonts w:ascii="Calibri"/>
                <w:sz w:val="18"/>
              </w:rPr>
              <w:t xml:space="preserve">($m </w:t>
            </w:r>
            <w:r>
              <w:rPr>
                <w:rFonts w:ascii="Calibri"/>
                <w:spacing w:val="-2"/>
                <w:sz w:val="18"/>
              </w:rPr>
              <w:t>1/1/23)</w:t>
            </w:r>
          </w:p>
        </w:tc>
        <w:tc>
          <w:tcPr>
            <w:tcW w:w="1572" w:type="dxa"/>
            <w:tcBorders>
              <w:right w:val="nil"/>
            </w:tcBorders>
            <w:shd w:val="clear" w:color="auto" w:fill="CCE2ED"/>
          </w:tcPr>
          <w:p w14:paraId="586D90D2" w14:textId="77777777" w:rsidR="00141B97" w:rsidRDefault="00911D63">
            <w:pPr>
              <w:pStyle w:val="TableParagraph"/>
              <w:spacing w:line="200" w:lineRule="exact"/>
              <w:ind w:right="86"/>
              <w:jc w:val="right"/>
              <w:rPr>
                <w:rFonts w:ascii="Calibri"/>
                <w:sz w:val="18"/>
              </w:rPr>
            </w:pPr>
            <w:r>
              <w:rPr>
                <w:rFonts w:ascii="Calibri"/>
                <w:spacing w:val="-5"/>
                <w:sz w:val="18"/>
              </w:rPr>
              <w:t>50</w:t>
            </w:r>
          </w:p>
        </w:tc>
      </w:tr>
      <w:tr w:rsidR="00141B97" w14:paraId="354EC1AD" w14:textId="77777777">
        <w:trPr>
          <w:trHeight w:val="218"/>
          <w:tblCellSpacing w:w="9" w:type="dxa"/>
        </w:trPr>
        <w:tc>
          <w:tcPr>
            <w:tcW w:w="8170" w:type="dxa"/>
            <w:tcBorders>
              <w:left w:val="nil"/>
            </w:tcBorders>
            <w:shd w:val="clear" w:color="auto" w:fill="CCE2ED"/>
          </w:tcPr>
          <w:p w14:paraId="4EFB65AE"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2"/>
                <w:sz w:val="18"/>
              </w:rPr>
              <w:t xml:space="preserve"> </w:t>
            </w:r>
            <w:r>
              <w:rPr>
                <w:rFonts w:ascii="Calibri"/>
                <w:sz w:val="18"/>
              </w:rPr>
              <w:t>B4:</w:t>
            </w:r>
            <w:r>
              <w:rPr>
                <w:rFonts w:ascii="Calibri"/>
                <w:spacing w:val="-1"/>
                <w:sz w:val="18"/>
              </w:rPr>
              <w:t xml:space="preserve"> </w:t>
            </w:r>
            <w:r>
              <w:rPr>
                <w:rFonts w:ascii="Calibri"/>
                <w:sz w:val="18"/>
              </w:rPr>
              <w:t>Urban</w:t>
            </w:r>
            <w:r>
              <w:rPr>
                <w:rFonts w:ascii="Calibri"/>
                <w:spacing w:val="-3"/>
                <w:sz w:val="18"/>
              </w:rPr>
              <w:t xml:space="preserve"> </w:t>
            </w:r>
            <w:r>
              <w:rPr>
                <w:rFonts w:ascii="Calibri"/>
                <w:sz w:val="18"/>
              </w:rPr>
              <w:t>Changes</w:t>
            </w:r>
            <w:r>
              <w:rPr>
                <w:rFonts w:ascii="Calibri"/>
                <w:spacing w:val="-1"/>
                <w:sz w:val="18"/>
              </w:rPr>
              <w:t xml:space="preserve"> </w:t>
            </w:r>
            <w:r>
              <w:rPr>
                <w:rFonts w:ascii="Calibri"/>
                <w:sz w:val="18"/>
              </w:rPr>
              <w:t>To</w:t>
            </w:r>
            <w:r>
              <w:rPr>
                <w:rFonts w:ascii="Calibri"/>
                <w:spacing w:val="-1"/>
                <w:sz w:val="18"/>
              </w:rPr>
              <w:t xml:space="preserve"> </w:t>
            </w:r>
            <w:r>
              <w:rPr>
                <w:rFonts w:ascii="Calibri"/>
                <w:sz w:val="18"/>
              </w:rPr>
              <w:t>Urban</w:t>
            </w:r>
            <w:r>
              <w:rPr>
                <w:rFonts w:ascii="Calibri"/>
                <w:spacing w:val="-2"/>
                <w:sz w:val="18"/>
              </w:rPr>
              <w:t xml:space="preserve"> </w:t>
            </w:r>
            <w:r>
              <w:rPr>
                <w:rFonts w:ascii="Calibri"/>
                <w:sz w:val="18"/>
              </w:rPr>
              <w:t>Approved</w:t>
            </w:r>
            <w:r>
              <w:rPr>
                <w:rFonts w:ascii="Calibri"/>
                <w:spacing w:val="-2"/>
                <w:sz w:val="18"/>
              </w:rPr>
              <w:t xml:space="preserve"> </w:t>
            </w:r>
            <w:r>
              <w:rPr>
                <w:rFonts w:ascii="Calibri"/>
                <w:sz w:val="18"/>
              </w:rPr>
              <w:t>Price</w:t>
            </w:r>
            <w:r>
              <w:rPr>
                <w:rFonts w:ascii="Calibri"/>
                <w:spacing w:val="-1"/>
                <w:sz w:val="18"/>
              </w:rPr>
              <w:t xml:space="preserve"> </w:t>
            </w:r>
            <w:r>
              <w:rPr>
                <w:rFonts w:ascii="Calibri"/>
                <w:spacing w:val="-4"/>
                <w:sz w:val="18"/>
              </w:rPr>
              <w:t>Path</w:t>
            </w:r>
          </w:p>
        </w:tc>
        <w:tc>
          <w:tcPr>
            <w:tcW w:w="1572" w:type="dxa"/>
            <w:tcBorders>
              <w:right w:val="nil"/>
            </w:tcBorders>
            <w:shd w:val="clear" w:color="auto" w:fill="CCE2ED"/>
          </w:tcPr>
          <w:p w14:paraId="1D789091" w14:textId="77777777" w:rsidR="00141B97" w:rsidRDefault="00911D63">
            <w:pPr>
              <w:pStyle w:val="TableParagraph"/>
              <w:spacing w:line="199" w:lineRule="exact"/>
              <w:ind w:right="86"/>
              <w:jc w:val="right"/>
              <w:rPr>
                <w:rFonts w:ascii="Calibri"/>
                <w:sz w:val="18"/>
              </w:rPr>
            </w:pPr>
            <w:r>
              <w:rPr>
                <w:rFonts w:ascii="Calibri"/>
                <w:spacing w:val="-5"/>
                <w:sz w:val="18"/>
              </w:rPr>
              <w:t>51</w:t>
            </w:r>
          </w:p>
        </w:tc>
      </w:tr>
      <w:tr w:rsidR="00141B97" w14:paraId="0E6D23E5" w14:textId="77777777">
        <w:trPr>
          <w:trHeight w:val="220"/>
          <w:tblCellSpacing w:w="9" w:type="dxa"/>
        </w:trPr>
        <w:tc>
          <w:tcPr>
            <w:tcW w:w="8170" w:type="dxa"/>
            <w:tcBorders>
              <w:left w:val="nil"/>
            </w:tcBorders>
            <w:shd w:val="clear" w:color="auto" w:fill="CCE2ED"/>
          </w:tcPr>
          <w:p w14:paraId="2968C9C3"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4"/>
                <w:sz w:val="18"/>
              </w:rPr>
              <w:t xml:space="preserve"> </w:t>
            </w:r>
            <w:r>
              <w:rPr>
                <w:rFonts w:ascii="Calibri"/>
                <w:sz w:val="18"/>
              </w:rPr>
              <w:t>B5:</w:t>
            </w:r>
            <w:r>
              <w:rPr>
                <w:rFonts w:ascii="Calibri"/>
                <w:spacing w:val="-3"/>
                <w:sz w:val="18"/>
              </w:rPr>
              <w:t xml:space="preserve"> </w:t>
            </w:r>
            <w:r>
              <w:rPr>
                <w:rFonts w:ascii="Calibri"/>
                <w:sz w:val="18"/>
              </w:rPr>
              <w:t>Approved</w:t>
            </w:r>
            <w:r>
              <w:rPr>
                <w:rFonts w:ascii="Calibri"/>
                <w:spacing w:val="-4"/>
                <w:sz w:val="18"/>
              </w:rPr>
              <w:t xml:space="preserve"> </w:t>
            </w:r>
            <w:r>
              <w:rPr>
                <w:rFonts w:ascii="Calibri"/>
                <w:sz w:val="18"/>
              </w:rPr>
              <w:t>Budget</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Actual</w:t>
            </w:r>
            <w:r>
              <w:rPr>
                <w:rFonts w:ascii="Calibri"/>
                <w:spacing w:val="-4"/>
                <w:sz w:val="18"/>
              </w:rPr>
              <w:t xml:space="preserve"> </w:t>
            </w:r>
            <w:r>
              <w:rPr>
                <w:rFonts w:ascii="Calibri"/>
                <w:sz w:val="18"/>
              </w:rPr>
              <w:t>Operating</w:t>
            </w:r>
            <w:r>
              <w:rPr>
                <w:rFonts w:ascii="Calibri"/>
                <w:spacing w:val="-2"/>
                <w:sz w:val="18"/>
              </w:rPr>
              <w:t xml:space="preserve"> </w:t>
            </w:r>
            <w:r>
              <w:rPr>
                <w:rFonts w:ascii="Calibri"/>
                <w:sz w:val="18"/>
              </w:rPr>
              <w:t>Expenditure</w:t>
            </w:r>
            <w:r>
              <w:rPr>
                <w:rFonts w:ascii="Calibri"/>
                <w:spacing w:val="-2"/>
                <w:sz w:val="18"/>
              </w:rPr>
              <w:t xml:space="preserve"> </w:t>
            </w:r>
            <w:r>
              <w:rPr>
                <w:rFonts w:ascii="Calibri"/>
                <w:sz w:val="18"/>
              </w:rPr>
              <w:t>($m</w:t>
            </w:r>
            <w:r>
              <w:rPr>
                <w:rFonts w:ascii="Calibri"/>
                <w:spacing w:val="-3"/>
                <w:sz w:val="18"/>
              </w:rPr>
              <w:t xml:space="preserve"> </w:t>
            </w:r>
            <w:r>
              <w:rPr>
                <w:rFonts w:ascii="Calibri"/>
                <w:spacing w:val="-2"/>
                <w:sz w:val="18"/>
              </w:rPr>
              <w:t>1/1/23)</w:t>
            </w:r>
          </w:p>
        </w:tc>
        <w:tc>
          <w:tcPr>
            <w:tcW w:w="1572" w:type="dxa"/>
            <w:tcBorders>
              <w:right w:val="nil"/>
            </w:tcBorders>
            <w:shd w:val="clear" w:color="auto" w:fill="CCE2ED"/>
          </w:tcPr>
          <w:p w14:paraId="3411155B" w14:textId="77777777" w:rsidR="00141B97" w:rsidRDefault="00911D63">
            <w:pPr>
              <w:pStyle w:val="TableParagraph"/>
              <w:spacing w:before="1" w:line="199" w:lineRule="exact"/>
              <w:ind w:right="86"/>
              <w:jc w:val="right"/>
              <w:rPr>
                <w:rFonts w:ascii="Calibri"/>
                <w:sz w:val="18"/>
              </w:rPr>
            </w:pPr>
            <w:r>
              <w:rPr>
                <w:rFonts w:ascii="Calibri"/>
                <w:spacing w:val="-5"/>
                <w:sz w:val="18"/>
              </w:rPr>
              <w:t>51</w:t>
            </w:r>
          </w:p>
        </w:tc>
      </w:tr>
      <w:tr w:rsidR="00141B97" w14:paraId="52159150" w14:textId="77777777">
        <w:trPr>
          <w:trHeight w:val="220"/>
          <w:tblCellSpacing w:w="9" w:type="dxa"/>
        </w:trPr>
        <w:tc>
          <w:tcPr>
            <w:tcW w:w="8170" w:type="dxa"/>
            <w:tcBorders>
              <w:left w:val="nil"/>
            </w:tcBorders>
            <w:shd w:val="clear" w:color="auto" w:fill="CCE2ED"/>
          </w:tcPr>
          <w:p w14:paraId="0C06C7E2" w14:textId="77777777" w:rsidR="00141B97" w:rsidRDefault="00911D63">
            <w:pPr>
              <w:pStyle w:val="TableParagraph"/>
              <w:spacing w:before="1" w:line="199" w:lineRule="exact"/>
              <w:ind w:left="88"/>
              <w:rPr>
                <w:rFonts w:ascii="Calibri"/>
                <w:sz w:val="18"/>
              </w:rPr>
            </w:pPr>
            <w:r>
              <w:rPr>
                <w:rFonts w:ascii="Calibri"/>
                <w:sz w:val="18"/>
              </w:rPr>
              <w:t>Figure</w:t>
            </w:r>
            <w:r>
              <w:rPr>
                <w:rFonts w:ascii="Calibri"/>
                <w:spacing w:val="-3"/>
                <w:sz w:val="18"/>
              </w:rPr>
              <w:t xml:space="preserve"> </w:t>
            </w:r>
            <w:r>
              <w:rPr>
                <w:rFonts w:ascii="Calibri"/>
                <w:sz w:val="18"/>
              </w:rPr>
              <w:t>B1:</w:t>
            </w:r>
            <w:r>
              <w:rPr>
                <w:rFonts w:ascii="Calibri"/>
                <w:spacing w:val="-4"/>
                <w:sz w:val="18"/>
              </w:rPr>
              <w:t xml:space="preserve"> </w:t>
            </w:r>
            <w:r>
              <w:rPr>
                <w:rFonts w:ascii="Calibri"/>
                <w:sz w:val="18"/>
              </w:rPr>
              <w:t>Approved</w:t>
            </w:r>
            <w:r>
              <w:rPr>
                <w:rFonts w:ascii="Calibri"/>
                <w:spacing w:val="-4"/>
                <w:sz w:val="18"/>
              </w:rPr>
              <w:t xml:space="preserve"> </w:t>
            </w:r>
            <w:r>
              <w:rPr>
                <w:rFonts w:ascii="Calibri"/>
                <w:sz w:val="18"/>
              </w:rPr>
              <w:t>Budget</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Actual</w:t>
            </w:r>
            <w:r>
              <w:rPr>
                <w:rFonts w:ascii="Calibri"/>
                <w:spacing w:val="-4"/>
                <w:sz w:val="18"/>
              </w:rPr>
              <w:t xml:space="preserve"> </w:t>
            </w:r>
            <w:r>
              <w:rPr>
                <w:rFonts w:ascii="Calibri"/>
                <w:sz w:val="18"/>
              </w:rPr>
              <w:t>Operating</w:t>
            </w:r>
            <w:r>
              <w:rPr>
                <w:rFonts w:ascii="Calibri"/>
                <w:spacing w:val="-2"/>
                <w:sz w:val="18"/>
              </w:rPr>
              <w:t xml:space="preserve"> </w:t>
            </w:r>
            <w:r>
              <w:rPr>
                <w:rFonts w:ascii="Calibri"/>
                <w:sz w:val="18"/>
              </w:rPr>
              <w:t>Expenditure</w:t>
            </w:r>
            <w:r>
              <w:rPr>
                <w:rFonts w:ascii="Calibri"/>
                <w:spacing w:val="-2"/>
                <w:sz w:val="18"/>
              </w:rPr>
              <w:t xml:space="preserve"> </w:t>
            </w:r>
            <w:r>
              <w:rPr>
                <w:rFonts w:ascii="Calibri"/>
                <w:sz w:val="18"/>
              </w:rPr>
              <w:t>($m</w:t>
            </w:r>
            <w:r>
              <w:rPr>
                <w:rFonts w:ascii="Calibri"/>
                <w:spacing w:val="-3"/>
                <w:sz w:val="18"/>
              </w:rPr>
              <w:t xml:space="preserve"> </w:t>
            </w:r>
            <w:r>
              <w:rPr>
                <w:rFonts w:ascii="Calibri"/>
                <w:spacing w:val="-2"/>
                <w:sz w:val="18"/>
              </w:rPr>
              <w:t>1/1/23)</w:t>
            </w:r>
          </w:p>
        </w:tc>
        <w:tc>
          <w:tcPr>
            <w:tcW w:w="1572" w:type="dxa"/>
            <w:tcBorders>
              <w:right w:val="nil"/>
            </w:tcBorders>
            <w:shd w:val="clear" w:color="auto" w:fill="CCE2ED"/>
          </w:tcPr>
          <w:p w14:paraId="7B2EEBB6" w14:textId="77777777" w:rsidR="00141B97" w:rsidRDefault="00911D63">
            <w:pPr>
              <w:pStyle w:val="TableParagraph"/>
              <w:spacing w:before="1" w:line="199" w:lineRule="exact"/>
              <w:ind w:right="86"/>
              <w:jc w:val="right"/>
              <w:rPr>
                <w:rFonts w:ascii="Calibri"/>
                <w:sz w:val="18"/>
              </w:rPr>
            </w:pPr>
            <w:r>
              <w:rPr>
                <w:rFonts w:ascii="Calibri"/>
                <w:spacing w:val="-5"/>
                <w:sz w:val="18"/>
              </w:rPr>
              <w:t>52</w:t>
            </w:r>
          </w:p>
        </w:tc>
      </w:tr>
      <w:tr w:rsidR="00141B97" w14:paraId="03BFE011" w14:textId="77777777">
        <w:trPr>
          <w:trHeight w:val="219"/>
          <w:tblCellSpacing w:w="9" w:type="dxa"/>
        </w:trPr>
        <w:tc>
          <w:tcPr>
            <w:tcW w:w="8170" w:type="dxa"/>
            <w:tcBorders>
              <w:left w:val="nil"/>
            </w:tcBorders>
            <w:shd w:val="clear" w:color="auto" w:fill="CCE2ED"/>
          </w:tcPr>
          <w:p w14:paraId="20748EFE"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4"/>
                <w:sz w:val="18"/>
              </w:rPr>
              <w:t xml:space="preserve"> </w:t>
            </w:r>
            <w:r>
              <w:rPr>
                <w:rFonts w:ascii="Calibri"/>
                <w:sz w:val="18"/>
              </w:rPr>
              <w:t>B6:</w:t>
            </w:r>
            <w:r>
              <w:rPr>
                <w:rFonts w:ascii="Calibri"/>
                <w:spacing w:val="-5"/>
                <w:sz w:val="18"/>
              </w:rPr>
              <w:t xml:space="preserve"> </w:t>
            </w:r>
            <w:r>
              <w:rPr>
                <w:rFonts w:ascii="Calibri"/>
                <w:sz w:val="18"/>
              </w:rPr>
              <w:t>Controllable</w:t>
            </w:r>
            <w:r>
              <w:rPr>
                <w:rFonts w:ascii="Calibri"/>
                <w:spacing w:val="-4"/>
                <w:sz w:val="18"/>
              </w:rPr>
              <w:t xml:space="preserve"> </w:t>
            </w:r>
            <w:r>
              <w:rPr>
                <w:rFonts w:ascii="Calibri"/>
                <w:sz w:val="18"/>
              </w:rPr>
              <w:t>Costs</w:t>
            </w:r>
            <w:r>
              <w:rPr>
                <w:rFonts w:ascii="Calibri"/>
                <w:spacing w:val="-4"/>
                <w:sz w:val="18"/>
              </w:rPr>
              <w:t xml:space="preserve"> </w:t>
            </w:r>
            <w:r>
              <w:rPr>
                <w:rFonts w:ascii="Calibri"/>
                <w:sz w:val="18"/>
              </w:rPr>
              <w:t>($m</w:t>
            </w:r>
            <w:r>
              <w:rPr>
                <w:rFonts w:ascii="Calibri"/>
                <w:spacing w:val="-4"/>
                <w:sz w:val="18"/>
              </w:rPr>
              <w:t xml:space="preserve"> </w:t>
            </w:r>
            <w:r>
              <w:rPr>
                <w:rFonts w:ascii="Calibri"/>
                <w:spacing w:val="-2"/>
                <w:sz w:val="18"/>
              </w:rPr>
              <w:t>1/1/23)</w:t>
            </w:r>
          </w:p>
        </w:tc>
        <w:tc>
          <w:tcPr>
            <w:tcW w:w="1572" w:type="dxa"/>
            <w:tcBorders>
              <w:right w:val="nil"/>
            </w:tcBorders>
            <w:shd w:val="clear" w:color="auto" w:fill="CCE2ED"/>
          </w:tcPr>
          <w:p w14:paraId="329E7373" w14:textId="77777777" w:rsidR="00141B97" w:rsidRDefault="00911D63">
            <w:pPr>
              <w:pStyle w:val="TableParagraph"/>
              <w:spacing w:before="1" w:line="199" w:lineRule="exact"/>
              <w:ind w:right="86"/>
              <w:jc w:val="right"/>
              <w:rPr>
                <w:rFonts w:ascii="Calibri"/>
                <w:sz w:val="18"/>
              </w:rPr>
            </w:pPr>
            <w:r>
              <w:rPr>
                <w:rFonts w:ascii="Calibri"/>
                <w:spacing w:val="-5"/>
                <w:sz w:val="18"/>
              </w:rPr>
              <w:t>52</w:t>
            </w:r>
          </w:p>
        </w:tc>
      </w:tr>
      <w:tr w:rsidR="00141B97" w14:paraId="23386417" w14:textId="77777777">
        <w:trPr>
          <w:trHeight w:val="218"/>
          <w:tblCellSpacing w:w="9" w:type="dxa"/>
        </w:trPr>
        <w:tc>
          <w:tcPr>
            <w:tcW w:w="8170" w:type="dxa"/>
            <w:tcBorders>
              <w:left w:val="nil"/>
            </w:tcBorders>
            <w:shd w:val="clear" w:color="auto" w:fill="CCE2ED"/>
          </w:tcPr>
          <w:p w14:paraId="7303A51E" w14:textId="77777777" w:rsidR="00141B97" w:rsidRDefault="00911D63">
            <w:pPr>
              <w:pStyle w:val="TableParagraph"/>
              <w:spacing w:line="199" w:lineRule="exact"/>
              <w:ind w:left="88"/>
              <w:rPr>
                <w:rFonts w:ascii="Calibri"/>
                <w:sz w:val="18"/>
              </w:rPr>
            </w:pPr>
            <w:r>
              <w:rPr>
                <w:rFonts w:ascii="Calibri"/>
                <w:sz w:val="18"/>
              </w:rPr>
              <w:t>Figure</w:t>
            </w:r>
            <w:r>
              <w:rPr>
                <w:rFonts w:ascii="Calibri"/>
                <w:spacing w:val="-2"/>
                <w:sz w:val="18"/>
              </w:rPr>
              <w:t xml:space="preserve"> </w:t>
            </w:r>
            <w:r>
              <w:rPr>
                <w:rFonts w:ascii="Calibri"/>
                <w:sz w:val="18"/>
              </w:rPr>
              <w:t>B2:</w:t>
            </w:r>
            <w:r>
              <w:rPr>
                <w:rFonts w:ascii="Calibri"/>
                <w:spacing w:val="-3"/>
                <w:sz w:val="18"/>
              </w:rPr>
              <w:t xml:space="preserve"> </w:t>
            </w:r>
            <w:r>
              <w:rPr>
                <w:rFonts w:ascii="Calibri"/>
                <w:sz w:val="18"/>
              </w:rPr>
              <w:t>FTE</w:t>
            </w:r>
            <w:r>
              <w:rPr>
                <w:rFonts w:ascii="Calibri"/>
                <w:spacing w:val="-4"/>
                <w:sz w:val="18"/>
              </w:rPr>
              <w:t xml:space="preserve"> </w:t>
            </w:r>
            <w:r>
              <w:rPr>
                <w:rFonts w:ascii="Calibri"/>
                <w:sz w:val="18"/>
              </w:rPr>
              <w:t>Water</w:t>
            </w:r>
            <w:r>
              <w:rPr>
                <w:rFonts w:ascii="Calibri"/>
                <w:spacing w:val="-4"/>
                <w:sz w:val="18"/>
              </w:rPr>
              <w:t xml:space="preserve"> </w:t>
            </w:r>
            <w:r>
              <w:rPr>
                <w:rFonts w:ascii="Calibri"/>
                <w:sz w:val="18"/>
              </w:rPr>
              <w:t>Sector</w:t>
            </w:r>
            <w:r>
              <w:rPr>
                <w:rFonts w:ascii="Calibri"/>
                <w:spacing w:val="-2"/>
                <w:sz w:val="18"/>
              </w:rPr>
              <w:t xml:space="preserve"> </w:t>
            </w:r>
            <w:r>
              <w:rPr>
                <w:rFonts w:ascii="Calibri"/>
                <w:sz w:val="18"/>
              </w:rPr>
              <w:t>Comparison</w:t>
            </w:r>
            <w:r>
              <w:rPr>
                <w:rFonts w:ascii="Calibri"/>
                <w:spacing w:val="-2"/>
                <w:sz w:val="18"/>
              </w:rPr>
              <w:t xml:space="preserve"> </w:t>
            </w:r>
            <w:r>
              <w:rPr>
                <w:rFonts w:ascii="Calibri"/>
                <w:sz w:val="18"/>
              </w:rPr>
              <w:t>To</w:t>
            </w:r>
            <w:r>
              <w:rPr>
                <w:rFonts w:ascii="Calibri"/>
                <w:spacing w:val="-2"/>
                <w:sz w:val="18"/>
              </w:rPr>
              <w:t xml:space="preserve"> </w:t>
            </w:r>
            <w:r>
              <w:rPr>
                <w:rFonts w:ascii="Calibri"/>
                <w:spacing w:val="-5"/>
                <w:sz w:val="18"/>
              </w:rPr>
              <w:t>LMW</w:t>
            </w:r>
          </w:p>
        </w:tc>
        <w:tc>
          <w:tcPr>
            <w:tcW w:w="1572" w:type="dxa"/>
            <w:tcBorders>
              <w:right w:val="nil"/>
            </w:tcBorders>
            <w:shd w:val="clear" w:color="auto" w:fill="CCE2ED"/>
          </w:tcPr>
          <w:p w14:paraId="6DE271E6" w14:textId="77777777" w:rsidR="00141B97" w:rsidRDefault="00911D63">
            <w:pPr>
              <w:pStyle w:val="TableParagraph"/>
              <w:spacing w:line="199" w:lineRule="exact"/>
              <w:ind w:right="86"/>
              <w:jc w:val="right"/>
              <w:rPr>
                <w:rFonts w:ascii="Calibri"/>
                <w:sz w:val="18"/>
              </w:rPr>
            </w:pPr>
            <w:r>
              <w:rPr>
                <w:rFonts w:ascii="Calibri"/>
                <w:spacing w:val="-5"/>
                <w:sz w:val="18"/>
              </w:rPr>
              <w:t>53</w:t>
            </w:r>
          </w:p>
        </w:tc>
      </w:tr>
      <w:tr w:rsidR="00141B97" w14:paraId="023334E1" w14:textId="77777777">
        <w:trPr>
          <w:trHeight w:val="220"/>
          <w:tblCellSpacing w:w="9" w:type="dxa"/>
        </w:trPr>
        <w:tc>
          <w:tcPr>
            <w:tcW w:w="8170" w:type="dxa"/>
            <w:tcBorders>
              <w:left w:val="nil"/>
            </w:tcBorders>
            <w:shd w:val="clear" w:color="auto" w:fill="CCE2ED"/>
          </w:tcPr>
          <w:p w14:paraId="4564909C"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4"/>
                <w:sz w:val="18"/>
              </w:rPr>
              <w:t xml:space="preserve"> </w:t>
            </w:r>
            <w:r>
              <w:rPr>
                <w:rFonts w:ascii="Calibri"/>
                <w:sz w:val="18"/>
              </w:rPr>
              <w:t>B7:</w:t>
            </w:r>
            <w:r>
              <w:rPr>
                <w:rFonts w:ascii="Calibri"/>
                <w:spacing w:val="-4"/>
                <w:sz w:val="18"/>
              </w:rPr>
              <w:t xml:space="preserve"> </w:t>
            </w:r>
            <w:r>
              <w:rPr>
                <w:rFonts w:ascii="Calibri"/>
                <w:sz w:val="18"/>
              </w:rPr>
              <w:t>Urban</w:t>
            </w:r>
            <w:r>
              <w:rPr>
                <w:rFonts w:ascii="Calibri"/>
                <w:spacing w:val="-5"/>
                <w:sz w:val="18"/>
              </w:rPr>
              <w:t xml:space="preserve"> </w:t>
            </w:r>
            <w:r>
              <w:rPr>
                <w:rFonts w:ascii="Calibri"/>
                <w:sz w:val="18"/>
              </w:rPr>
              <w:t>Capital</w:t>
            </w:r>
            <w:r>
              <w:rPr>
                <w:rFonts w:ascii="Calibri"/>
                <w:spacing w:val="-5"/>
                <w:sz w:val="18"/>
              </w:rPr>
              <w:t xml:space="preserve"> </w:t>
            </w:r>
            <w:r>
              <w:rPr>
                <w:rFonts w:ascii="Calibri"/>
                <w:sz w:val="18"/>
              </w:rPr>
              <w:t>Expenditure</w:t>
            </w:r>
            <w:r>
              <w:rPr>
                <w:rFonts w:ascii="Calibri"/>
                <w:spacing w:val="-2"/>
                <w:sz w:val="18"/>
              </w:rPr>
              <w:t xml:space="preserve"> </w:t>
            </w:r>
            <w:r>
              <w:rPr>
                <w:rFonts w:ascii="Calibri"/>
                <w:sz w:val="18"/>
              </w:rPr>
              <w:t>by</w:t>
            </w:r>
            <w:r>
              <w:rPr>
                <w:rFonts w:ascii="Calibri"/>
                <w:spacing w:val="-3"/>
                <w:sz w:val="18"/>
              </w:rPr>
              <w:t xml:space="preserve"> </w:t>
            </w:r>
            <w:r>
              <w:rPr>
                <w:rFonts w:ascii="Calibri"/>
                <w:sz w:val="18"/>
              </w:rPr>
              <w:t>Service</w:t>
            </w:r>
            <w:r>
              <w:rPr>
                <w:rFonts w:ascii="Calibri"/>
                <w:spacing w:val="-3"/>
                <w:sz w:val="18"/>
              </w:rPr>
              <w:t xml:space="preserve"> </w:t>
            </w:r>
            <w:r>
              <w:rPr>
                <w:rFonts w:ascii="Calibri"/>
                <w:sz w:val="18"/>
              </w:rPr>
              <w:t>Category</w:t>
            </w:r>
            <w:r>
              <w:rPr>
                <w:rFonts w:ascii="Calibri"/>
                <w:spacing w:val="-3"/>
                <w:sz w:val="18"/>
              </w:rPr>
              <w:t xml:space="preserve"> </w:t>
            </w:r>
            <w:r>
              <w:rPr>
                <w:rFonts w:ascii="Calibri"/>
                <w:sz w:val="18"/>
              </w:rPr>
              <w:t>($m</w:t>
            </w:r>
            <w:r>
              <w:rPr>
                <w:rFonts w:ascii="Calibri"/>
                <w:spacing w:val="-3"/>
                <w:sz w:val="18"/>
              </w:rPr>
              <w:t xml:space="preserve"> </w:t>
            </w:r>
            <w:r>
              <w:rPr>
                <w:rFonts w:ascii="Calibri"/>
                <w:spacing w:val="-2"/>
                <w:sz w:val="18"/>
              </w:rPr>
              <w:t>1/1/23)</w:t>
            </w:r>
          </w:p>
        </w:tc>
        <w:tc>
          <w:tcPr>
            <w:tcW w:w="1572" w:type="dxa"/>
            <w:tcBorders>
              <w:right w:val="nil"/>
            </w:tcBorders>
            <w:shd w:val="clear" w:color="auto" w:fill="CCE2ED"/>
          </w:tcPr>
          <w:p w14:paraId="3E0C8ABC" w14:textId="77777777" w:rsidR="00141B97" w:rsidRDefault="00911D63">
            <w:pPr>
              <w:pStyle w:val="TableParagraph"/>
              <w:spacing w:before="1" w:line="199" w:lineRule="exact"/>
              <w:ind w:right="86"/>
              <w:jc w:val="right"/>
              <w:rPr>
                <w:rFonts w:ascii="Calibri"/>
                <w:sz w:val="18"/>
              </w:rPr>
            </w:pPr>
            <w:r>
              <w:rPr>
                <w:rFonts w:ascii="Calibri"/>
                <w:spacing w:val="-5"/>
                <w:sz w:val="18"/>
              </w:rPr>
              <w:t>55</w:t>
            </w:r>
          </w:p>
        </w:tc>
      </w:tr>
      <w:tr w:rsidR="00141B97" w14:paraId="420EB5C0" w14:textId="77777777">
        <w:trPr>
          <w:trHeight w:val="220"/>
          <w:tblCellSpacing w:w="9" w:type="dxa"/>
        </w:trPr>
        <w:tc>
          <w:tcPr>
            <w:tcW w:w="8170" w:type="dxa"/>
            <w:tcBorders>
              <w:left w:val="nil"/>
            </w:tcBorders>
            <w:shd w:val="clear" w:color="auto" w:fill="CCE2ED"/>
          </w:tcPr>
          <w:p w14:paraId="01804268" w14:textId="77777777" w:rsidR="00141B97" w:rsidRDefault="00911D63">
            <w:pPr>
              <w:pStyle w:val="TableParagraph"/>
              <w:spacing w:before="1" w:line="199" w:lineRule="exact"/>
              <w:ind w:left="88"/>
              <w:rPr>
                <w:rFonts w:ascii="Calibri"/>
                <w:sz w:val="18"/>
              </w:rPr>
            </w:pPr>
            <w:r>
              <w:rPr>
                <w:rFonts w:ascii="Calibri"/>
                <w:sz w:val="18"/>
              </w:rPr>
              <w:t>Figure</w:t>
            </w:r>
            <w:r>
              <w:rPr>
                <w:rFonts w:ascii="Calibri"/>
                <w:spacing w:val="-3"/>
                <w:sz w:val="18"/>
              </w:rPr>
              <w:t xml:space="preserve"> </w:t>
            </w:r>
            <w:r>
              <w:rPr>
                <w:rFonts w:ascii="Calibri"/>
                <w:sz w:val="18"/>
              </w:rPr>
              <w:t>B3:</w:t>
            </w:r>
            <w:r>
              <w:rPr>
                <w:rFonts w:ascii="Calibri"/>
                <w:spacing w:val="-4"/>
                <w:sz w:val="18"/>
              </w:rPr>
              <w:t xml:space="preserve"> </w:t>
            </w:r>
            <w:r>
              <w:rPr>
                <w:rFonts w:ascii="Calibri"/>
                <w:sz w:val="18"/>
              </w:rPr>
              <w:t>Urban</w:t>
            </w:r>
            <w:r>
              <w:rPr>
                <w:rFonts w:ascii="Calibri"/>
                <w:spacing w:val="-6"/>
                <w:sz w:val="18"/>
              </w:rPr>
              <w:t xml:space="preserve"> </w:t>
            </w:r>
            <w:r>
              <w:rPr>
                <w:rFonts w:ascii="Calibri"/>
                <w:sz w:val="18"/>
              </w:rPr>
              <w:t>Capital</w:t>
            </w:r>
            <w:r>
              <w:rPr>
                <w:rFonts w:ascii="Calibri"/>
                <w:spacing w:val="-4"/>
                <w:sz w:val="18"/>
              </w:rPr>
              <w:t xml:space="preserve"> </w:t>
            </w:r>
            <w:r>
              <w:rPr>
                <w:rFonts w:ascii="Calibri"/>
                <w:sz w:val="18"/>
              </w:rPr>
              <w:t>Expenditure</w:t>
            </w:r>
            <w:r>
              <w:rPr>
                <w:rFonts w:ascii="Calibri"/>
                <w:spacing w:val="-3"/>
                <w:sz w:val="18"/>
              </w:rPr>
              <w:t xml:space="preserve"> </w:t>
            </w:r>
            <w:r>
              <w:rPr>
                <w:rFonts w:ascii="Calibri"/>
                <w:sz w:val="18"/>
              </w:rPr>
              <w:t>by</w:t>
            </w:r>
            <w:r>
              <w:rPr>
                <w:rFonts w:ascii="Calibri"/>
                <w:spacing w:val="-3"/>
                <w:sz w:val="18"/>
              </w:rPr>
              <w:t xml:space="preserve"> </w:t>
            </w:r>
            <w:r>
              <w:rPr>
                <w:rFonts w:ascii="Calibri"/>
                <w:sz w:val="18"/>
              </w:rPr>
              <w:t>Service</w:t>
            </w:r>
            <w:r>
              <w:rPr>
                <w:rFonts w:ascii="Calibri"/>
                <w:spacing w:val="-3"/>
                <w:sz w:val="18"/>
              </w:rPr>
              <w:t xml:space="preserve"> </w:t>
            </w:r>
            <w:r>
              <w:rPr>
                <w:rFonts w:ascii="Calibri"/>
                <w:sz w:val="18"/>
              </w:rPr>
              <w:t>Category</w:t>
            </w:r>
            <w:r>
              <w:rPr>
                <w:rFonts w:ascii="Calibri"/>
                <w:spacing w:val="-3"/>
                <w:sz w:val="18"/>
              </w:rPr>
              <w:t xml:space="preserve"> </w:t>
            </w:r>
            <w:r>
              <w:rPr>
                <w:rFonts w:ascii="Calibri"/>
                <w:sz w:val="18"/>
              </w:rPr>
              <w:t>($m</w:t>
            </w:r>
            <w:r>
              <w:rPr>
                <w:rFonts w:ascii="Calibri"/>
                <w:spacing w:val="-3"/>
                <w:sz w:val="18"/>
              </w:rPr>
              <w:t xml:space="preserve"> </w:t>
            </w:r>
            <w:r>
              <w:rPr>
                <w:rFonts w:ascii="Calibri"/>
                <w:spacing w:val="-2"/>
                <w:sz w:val="18"/>
              </w:rPr>
              <w:t>1/1/23)</w:t>
            </w:r>
          </w:p>
        </w:tc>
        <w:tc>
          <w:tcPr>
            <w:tcW w:w="1572" w:type="dxa"/>
            <w:tcBorders>
              <w:right w:val="nil"/>
            </w:tcBorders>
            <w:shd w:val="clear" w:color="auto" w:fill="CCE2ED"/>
          </w:tcPr>
          <w:p w14:paraId="308038C5" w14:textId="77777777" w:rsidR="00141B97" w:rsidRDefault="00911D63">
            <w:pPr>
              <w:pStyle w:val="TableParagraph"/>
              <w:spacing w:before="1" w:line="199" w:lineRule="exact"/>
              <w:ind w:right="86"/>
              <w:jc w:val="right"/>
              <w:rPr>
                <w:rFonts w:ascii="Calibri"/>
                <w:sz w:val="18"/>
              </w:rPr>
            </w:pPr>
            <w:r>
              <w:rPr>
                <w:rFonts w:ascii="Calibri"/>
                <w:spacing w:val="-5"/>
                <w:sz w:val="18"/>
              </w:rPr>
              <w:t>55</w:t>
            </w:r>
          </w:p>
        </w:tc>
      </w:tr>
      <w:tr w:rsidR="00141B97" w14:paraId="45D02506" w14:textId="77777777">
        <w:trPr>
          <w:trHeight w:val="219"/>
          <w:tblCellSpacing w:w="9" w:type="dxa"/>
        </w:trPr>
        <w:tc>
          <w:tcPr>
            <w:tcW w:w="8170" w:type="dxa"/>
            <w:tcBorders>
              <w:left w:val="nil"/>
            </w:tcBorders>
            <w:shd w:val="clear" w:color="auto" w:fill="CCE2ED"/>
          </w:tcPr>
          <w:p w14:paraId="495F6BCA"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2"/>
                <w:sz w:val="18"/>
              </w:rPr>
              <w:t xml:space="preserve"> </w:t>
            </w:r>
            <w:r>
              <w:rPr>
                <w:rFonts w:ascii="Calibri"/>
                <w:sz w:val="18"/>
              </w:rPr>
              <w:t>B8:</w:t>
            </w:r>
            <w:r>
              <w:rPr>
                <w:rFonts w:ascii="Calibri"/>
                <w:spacing w:val="-2"/>
                <w:sz w:val="18"/>
              </w:rPr>
              <w:t xml:space="preserve"> </w:t>
            </w:r>
            <w:r>
              <w:rPr>
                <w:rFonts w:ascii="Calibri"/>
                <w:sz w:val="18"/>
              </w:rPr>
              <w:t>Urban</w:t>
            </w:r>
            <w:r>
              <w:rPr>
                <w:rFonts w:ascii="Calibri"/>
                <w:spacing w:val="-3"/>
                <w:sz w:val="18"/>
              </w:rPr>
              <w:t xml:space="preserve"> </w:t>
            </w:r>
            <w:r>
              <w:rPr>
                <w:rFonts w:ascii="Calibri"/>
                <w:sz w:val="18"/>
              </w:rPr>
              <w:t>Projects</w:t>
            </w:r>
            <w:r>
              <w:rPr>
                <w:rFonts w:ascii="Calibri"/>
                <w:spacing w:val="-1"/>
                <w:sz w:val="18"/>
              </w:rPr>
              <w:t xml:space="preserve"> </w:t>
            </w:r>
            <w:r>
              <w:rPr>
                <w:rFonts w:ascii="Calibri"/>
                <w:sz w:val="18"/>
              </w:rPr>
              <w:t>in</w:t>
            </w:r>
            <w:r>
              <w:rPr>
                <w:rFonts w:ascii="Calibri"/>
                <w:spacing w:val="-1"/>
                <w:sz w:val="18"/>
              </w:rPr>
              <w:t xml:space="preserve"> </w:t>
            </w:r>
            <w:r>
              <w:rPr>
                <w:rFonts w:ascii="Calibri"/>
                <w:sz w:val="18"/>
              </w:rPr>
              <w:t>The</w:t>
            </w:r>
            <w:r>
              <w:rPr>
                <w:rFonts w:ascii="Calibri"/>
                <w:spacing w:val="-2"/>
                <w:sz w:val="18"/>
              </w:rPr>
              <w:t xml:space="preserve"> </w:t>
            </w:r>
            <w:r>
              <w:rPr>
                <w:rFonts w:ascii="Calibri"/>
                <w:sz w:val="18"/>
              </w:rPr>
              <w:t>LMW</w:t>
            </w:r>
            <w:r>
              <w:rPr>
                <w:rFonts w:ascii="Calibri"/>
                <w:spacing w:val="-2"/>
                <w:sz w:val="18"/>
              </w:rPr>
              <w:t xml:space="preserve"> </w:t>
            </w:r>
            <w:r>
              <w:rPr>
                <w:rFonts w:ascii="Calibri"/>
                <w:sz w:val="18"/>
              </w:rPr>
              <w:t>Top</w:t>
            </w:r>
            <w:r>
              <w:rPr>
                <w:rFonts w:ascii="Calibri"/>
                <w:spacing w:val="-1"/>
                <w:sz w:val="18"/>
              </w:rPr>
              <w:t xml:space="preserve"> </w:t>
            </w:r>
            <w:r>
              <w:rPr>
                <w:rFonts w:ascii="Calibri"/>
                <w:sz w:val="18"/>
              </w:rPr>
              <w:t>10</w:t>
            </w:r>
            <w:r>
              <w:rPr>
                <w:rFonts w:ascii="Calibri"/>
                <w:spacing w:val="-1"/>
                <w:sz w:val="18"/>
              </w:rPr>
              <w:t xml:space="preserve"> </w:t>
            </w:r>
            <w:r>
              <w:rPr>
                <w:rFonts w:ascii="Calibri"/>
                <w:sz w:val="18"/>
              </w:rPr>
              <w:t>($m</w:t>
            </w:r>
            <w:r>
              <w:rPr>
                <w:rFonts w:ascii="Calibri"/>
                <w:spacing w:val="-1"/>
                <w:sz w:val="18"/>
              </w:rPr>
              <w:t xml:space="preserve"> </w:t>
            </w:r>
            <w:r>
              <w:rPr>
                <w:rFonts w:ascii="Calibri"/>
                <w:spacing w:val="-2"/>
                <w:sz w:val="18"/>
              </w:rPr>
              <w:t>1/1/23)</w:t>
            </w:r>
          </w:p>
        </w:tc>
        <w:tc>
          <w:tcPr>
            <w:tcW w:w="1572" w:type="dxa"/>
            <w:tcBorders>
              <w:right w:val="nil"/>
            </w:tcBorders>
            <w:shd w:val="clear" w:color="auto" w:fill="CCE2ED"/>
          </w:tcPr>
          <w:p w14:paraId="6CB70F3A" w14:textId="77777777" w:rsidR="00141B97" w:rsidRDefault="00911D63">
            <w:pPr>
              <w:pStyle w:val="TableParagraph"/>
              <w:spacing w:before="1" w:line="199" w:lineRule="exact"/>
              <w:ind w:right="86"/>
              <w:jc w:val="right"/>
              <w:rPr>
                <w:rFonts w:ascii="Calibri"/>
                <w:sz w:val="18"/>
              </w:rPr>
            </w:pPr>
            <w:r>
              <w:rPr>
                <w:rFonts w:ascii="Calibri"/>
                <w:spacing w:val="-5"/>
                <w:sz w:val="18"/>
              </w:rPr>
              <w:t>56</w:t>
            </w:r>
          </w:p>
        </w:tc>
      </w:tr>
      <w:tr w:rsidR="00141B97" w14:paraId="0C882CE4" w14:textId="77777777">
        <w:trPr>
          <w:trHeight w:val="219"/>
          <w:tblCellSpacing w:w="9" w:type="dxa"/>
        </w:trPr>
        <w:tc>
          <w:tcPr>
            <w:tcW w:w="8170" w:type="dxa"/>
            <w:tcBorders>
              <w:left w:val="nil"/>
            </w:tcBorders>
            <w:shd w:val="clear" w:color="auto" w:fill="CCE2ED"/>
          </w:tcPr>
          <w:p w14:paraId="5D2921E2" w14:textId="77777777" w:rsidR="00141B97" w:rsidRDefault="00911D63">
            <w:pPr>
              <w:pStyle w:val="TableParagraph"/>
              <w:spacing w:line="200" w:lineRule="exact"/>
              <w:ind w:left="88"/>
              <w:rPr>
                <w:rFonts w:ascii="Calibri"/>
                <w:sz w:val="18"/>
              </w:rPr>
            </w:pPr>
            <w:r>
              <w:rPr>
                <w:rFonts w:ascii="Calibri"/>
                <w:sz w:val="18"/>
              </w:rPr>
              <w:t>Table</w:t>
            </w:r>
            <w:r>
              <w:rPr>
                <w:rFonts w:ascii="Calibri"/>
                <w:spacing w:val="-4"/>
                <w:sz w:val="18"/>
              </w:rPr>
              <w:t xml:space="preserve"> </w:t>
            </w:r>
            <w:r>
              <w:rPr>
                <w:rFonts w:ascii="Calibri"/>
                <w:sz w:val="18"/>
              </w:rPr>
              <w:t>B9:</w:t>
            </w:r>
            <w:r>
              <w:rPr>
                <w:rFonts w:ascii="Calibri"/>
                <w:spacing w:val="-4"/>
                <w:sz w:val="18"/>
              </w:rPr>
              <w:t xml:space="preserve"> </w:t>
            </w:r>
            <w:r>
              <w:rPr>
                <w:rFonts w:ascii="Calibri"/>
                <w:sz w:val="18"/>
              </w:rPr>
              <w:t>Outcome</w:t>
            </w:r>
            <w:r>
              <w:rPr>
                <w:rFonts w:ascii="Calibri"/>
                <w:spacing w:val="-3"/>
                <w:sz w:val="18"/>
              </w:rPr>
              <w:t xml:space="preserve"> </w:t>
            </w:r>
            <w:r>
              <w:rPr>
                <w:rFonts w:ascii="Calibri"/>
                <w:sz w:val="18"/>
              </w:rPr>
              <w:t>1:</w:t>
            </w:r>
            <w:r>
              <w:rPr>
                <w:rFonts w:ascii="Calibri"/>
                <w:spacing w:val="-4"/>
                <w:sz w:val="18"/>
              </w:rPr>
              <w:t xml:space="preserve"> </w:t>
            </w:r>
            <w:r>
              <w:rPr>
                <w:rFonts w:ascii="Calibri"/>
                <w:sz w:val="18"/>
              </w:rPr>
              <w:t>Services</w:t>
            </w:r>
            <w:r>
              <w:rPr>
                <w:rFonts w:ascii="Calibri"/>
                <w:spacing w:val="-4"/>
                <w:sz w:val="18"/>
              </w:rPr>
              <w:t xml:space="preserve"> </w:t>
            </w:r>
            <w:r>
              <w:rPr>
                <w:rFonts w:ascii="Calibri"/>
                <w:sz w:val="18"/>
              </w:rPr>
              <w:t>Provide</w:t>
            </w:r>
            <w:r>
              <w:rPr>
                <w:rFonts w:ascii="Calibri"/>
                <w:spacing w:val="-3"/>
                <w:sz w:val="18"/>
              </w:rPr>
              <w:t xml:space="preserve"> </w:t>
            </w:r>
            <w:r>
              <w:rPr>
                <w:rFonts w:ascii="Calibri"/>
                <w:sz w:val="18"/>
              </w:rPr>
              <w:t>Customers</w:t>
            </w:r>
            <w:r>
              <w:rPr>
                <w:rFonts w:ascii="Calibri"/>
                <w:spacing w:val="-3"/>
                <w:sz w:val="18"/>
              </w:rPr>
              <w:t xml:space="preserve"> </w:t>
            </w:r>
            <w:r>
              <w:rPr>
                <w:rFonts w:ascii="Calibri"/>
                <w:sz w:val="18"/>
              </w:rPr>
              <w:t>Value</w:t>
            </w:r>
            <w:r>
              <w:rPr>
                <w:rFonts w:ascii="Calibri"/>
                <w:spacing w:val="-3"/>
                <w:sz w:val="18"/>
              </w:rPr>
              <w:t xml:space="preserve"> </w:t>
            </w:r>
            <w:r>
              <w:rPr>
                <w:rFonts w:ascii="Calibri"/>
                <w:sz w:val="18"/>
              </w:rPr>
              <w:t>for</w:t>
            </w:r>
            <w:r>
              <w:rPr>
                <w:rFonts w:ascii="Calibri"/>
                <w:spacing w:val="-4"/>
                <w:sz w:val="18"/>
              </w:rPr>
              <w:t xml:space="preserve"> </w:t>
            </w:r>
            <w:r>
              <w:rPr>
                <w:rFonts w:ascii="Calibri"/>
                <w:spacing w:val="-2"/>
                <w:sz w:val="18"/>
              </w:rPr>
              <w:t>Money</w:t>
            </w:r>
          </w:p>
        </w:tc>
        <w:tc>
          <w:tcPr>
            <w:tcW w:w="1572" w:type="dxa"/>
            <w:tcBorders>
              <w:right w:val="nil"/>
            </w:tcBorders>
            <w:shd w:val="clear" w:color="auto" w:fill="CCE2ED"/>
          </w:tcPr>
          <w:p w14:paraId="0E05B89E" w14:textId="77777777" w:rsidR="00141B97" w:rsidRDefault="00911D63">
            <w:pPr>
              <w:pStyle w:val="TableParagraph"/>
              <w:spacing w:line="200" w:lineRule="exact"/>
              <w:ind w:right="86"/>
              <w:jc w:val="right"/>
              <w:rPr>
                <w:rFonts w:ascii="Calibri"/>
                <w:sz w:val="18"/>
              </w:rPr>
            </w:pPr>
            <w:r>
              <w:rPr>
                <w:rFonts w:ascii="Calibri"/>
                <w:spacing w:val="-5"/>
                <w:sz w:val="18"/>
              </w:rPr>
              <w:t>58</w:t>
            </w:r>
          </w:p>
        </w:tc>
      </w:tr>
      <w:tr w:rsidR="00141B97" w14:paraId="52333788" w14:textId="77777777">
        <w:trPr>
          <w:trHeight w:val="218"/>
          <w:tblCellSpacing w:w="9" w:type="dxa"/>
        </w:trPr>
        <w:tc>
          <w:tcPr>
            <w:tcW w:w="8170" w:type="dxa"/>
            <w:tcBorders>
              <w:left w:val="nil"/>
            </w:tcBorders>
            <w:shd w:val="clear" w:color="auto" w:fill="CCE2ED"/>
          </w:tcPr>
          <w:p w14:paraId="5F2ECFBD"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B10:</w:t>
            </w:r>
            <w:r>
              <w:rPr>
                <w:rFonts w:ascii="Calibri"/>
                <w:spacing w:val="-3"/>
                <w:sz w:val="18"/>
              </w:rPr>
              <w:t xml:space="preserve"> </w:t>
            </w:r>
            <w:r>
              <w:rPr>
                <w:rFonts w:ascii="Calibri"/>
                <w:sz w:val="18"/>
              </w:rPr>
              <w:t>Outcome</w:t>
            </w:r>
            <w:r>
              <w:rPr>
                <w:rFonts w:ascii="Calibri"/>
                <w:spacing w:val="-3"/>
                <w:sz w:val="18"/>
              </w:rPr>
              <w:t xml:space="preserve"> </w:t>
            </w:r>
            <w:r>
              <w:rPr>
                <w:rFonts w:ascii="Calibri"/>
                <w:sz w:val="18"/>
              </w:rPr>
              <w:t>2:</w:t>
            </w:r>
            <w:r>
              <w:rPr>
                <w:rFonts w:ascii="Calibri"/>
                <w:spacing w:val="-3"/>
                <w:sz w:val="18"/>
              </w:rPr>
              <w:t xml:space="preserve"> </w:t>
            </w:r>
            <w:r>
              <w:rPr>
                <w:rFonts w:ascii="Calibri"/>
                <w:sz w:val="18"/>
              </w:rPr>
              <w:t>Provide</w:t>
            </w:r>
            <w:r>
              <w:rPr>
                <w:rFonts w:ascii="Calibri"/>
                <w:spacing w:val="-4"/>
                <w:sz w:val="18"/>
              </w:rPr>
              <w:t xml:space="preserve"> </w:t>
            </w:r>
            <w:r>
              <w:rPr>
                <w:rFonts w:ascii="Calibri"/>
                <w:sz w:val="18"/>
              </w:rPr>
              <w:t>Customers</w:t>
            </w:r>
            <w:r>
              <w:rPr>
                <w:rFonts w:ascii="Calibri"/>
                <w:spacing w:val="-3"/>
                <w:sz w:val="18"/>
              </w:rPr>
              <w:t xml:space="preserve"> </w:t>
            </w:r>
            <w:r>
              <w:rPr>
                <w:rFonts w:ascii="Calibri"/>
                <w:sz w:val="18"/>
              </w:rPr>
              <w:t>Reliable</w:t>
            </w:r>
            <w:r>
              <w:rPr>
                <w:rFonts w:ascii="Calibri"/>
                <w:spacing w:val="-1"/>
                <w:sz w:val="18"/>
              </w:rPr>
              <w:t xml:space="preserve"> </w:t>
            </w:r>
            <w:r>
              <w:rPr>
                <w:rFonts w:ascii="Calibri"/>
                <w:sz w:val="18"/>
              </w:rPr>
              <w:t>and</w:t>
            </w:r>
            <w:r>
              <w:rPr>
                <w:rFonts w:ascii="Calibri"/>
                <w:spacing w:val="-3"/>
                <w:sz w:val="18"/>
              </w:rPr>
              <w:t xml:space="preserve"> </w:t>
            </w:r>
            <w:r>
              <w:rPr>
                <w:rFonts w:ascii="Calibri"/>
                <w:sz w:val="18"/>
              </w:rPr>
              <w:t>Safe</w:t>
            </w:r>
            <w:r>
              <w:rPr>
                <w:rFonts w:ascii="Calibri"/>
                <w:spacing w:val="-3"/>
                <w:sz w:val="18"/>
              </w:rPr>
              <w:t xml:space="preserve"> </w:t>
            </w:r>
            <w:r>
              <w:rPr>
                <w:rFonts w:ascii="Calibri"/>
                <w:sz w:val="18"/>
              </w:rPr>
              <w:t>Drinking</w:t>
            </w:r>
            <w:r>
              <w:rPr>
                <w:rFonts w:ascii="Calibri"/>
                <w:spacing w:val="-2"/>
                <w:sz w:val="18"/>
              </w:rPr>
              <w:t xml:space="preserve"> Water</w:t>
            </w:r>
          </w:p>
        </w:tc>
        <w:tc>
          <w:tcPr>
            <w:tcW w:w="1572" w:type="dxa"/>
            <w:tcBorders>
              <w:right w:val="nil"/>
            </w:tcBorders>
            <w:shd w:val="clear" w:color="auto" w:fill="CCE2ED"/>
          </w:tcPr>
          <w:p w14:paraId="21E4663F" w14:textId="77777777" w:rsidR="00141B97" w:rsidRDefault="00911D63">
            <w:pPr>
              <w:pStyle w:val="TableParagraph"/>
              <w:spacing w:line="199" w:lineRule="exact"/>
              <w:ind w:right="86"/>
              <w:jc w:val="right"/>
              <w:rPr>
                <w:rFonts w:ascii="Calibri"/>
                <w:sz w:val="18"/>
              </w:rPr>
            </w:pPr>
            <w:r>
              <w:rPr>
                <w:rFonts w:ascii="Calibri"/>
                <w:spacing w:val="-5"/>
                <w:sz w:val="18"/>
              </w:rPr>
              <w:t>59</w:t>
            </w:r>
          </w:p>
        </w:tc>
      </w:tr>
      <w:tr w:rsidR="00141B97" w14:paraId="32BE7D69" w14:textId="77777777">
        <w:trPr>
          <w:trHeight w:val="220"/>
          <w:tblCellSpacing w:w="9" w:type="dxa"/>
        </w:trPr>
        <w:tc>
          <w:tcPr>
            <w:tcW w:w="8170" w:type="dxa"/>
            <w:tcBorders>
              <w:left w:val="nil"/>
            </w:tcBorders>
            <w:shd w:val="clear" w:color="auto" w:fill="CCE2ED"/>
          </w:tcPr>
          <w:p w14:paraId="11E64289" w14:textId="77777777" w:rsidR="00141B97" w:rsidRDefault="00911D63">
            <w:pPr>
              <w:pStyle w:val="TableParagraph"/>
              <w:spacing w:before="1" w:line="199" w:lineRule="exact"/>
              <w:ind w:left="88"/>
              <w:rPr>
                <w:sz w:val="18"/>
              </w:rPr>
            </w:pPr>
            <w:r>
              <w:rPr>
                <w:rFonts w:ascii="Calibri"/>
                <w:sz w:val="18"/>
              </w:rPr>
              <w:t>Table</w:t>
            </w:r>
            <w:r>
              <w:rPr>
                <w:rFonts w:ascii="Calibri"/>
                <w:spacing w:val="-3"/>
                <w:sz w:val="18"/>
              </w:rPr>
              <w:t xml:space="preserve"> </w:t>
            </w:r>
            <w:r>
              <w:rPr>
                <w:rFonts w:ascii="Calibri"/>
                <w:sz w:val="18"/>
              </w:rPr>
              <w:t>B11:</w:t>
            </w:r>
            <w:r>
              <w:rPr>
                <w:rFonts w:ascii="Calibri"/>
                <w:spacing w:val="-2"/>
                <w:sz w:val="18"/>
              </w:rPr>
              <w:t xml:space="preserve"> </w:t>
            </w:r>
            <w:r>
              <w:rPr>
                <w:rFonts w:ascii="Calibri"/>
                <w:sz w:val="18"/>
              </w:rPr>
              <w:t>Outcome</w:t>
            </w:r>
            <w:r>
              <w:rPr>
                <w:rFonts w:ascii="Calibri"/>
                <w:spacing w:val="-3"/>
                <w:sz w:val="18"/>
              </w:rPr>
              <w:t xml:space="preserve"> </w:t>
            </w:r>
            <w:r>
              <w:rPr>
                <w:rFonts w:ascii="Calibri"/>
                <w:sz w:val="18"/>
              </w:rPr>
              <w:t>3:</w:t>
            </w:r>
            <w:r>
              <w:rPr>
                <w:rFonts w:ascii="Calibri"/>
                <w:spacing w:val="-3"/>
                <w:sz w:val="18"/>
              </w:rPr>
              <w:t xml:space="preserve"> </w:t>
            </w:r>
            <w:r>
              <w:rPr>
                <w:rFonts w:ascii="Calibri"/>
                <w:sz w:val="18"/>
              </w:rPr>
              <w:t>Provide</w:t>
            </w:r>
            <w:r>
              <w:rPr>
                <w:rFonts w:ascii="Calibri"/>
                <w:spacing w:val="-3"/>
                <w:sz w:val="18"/>
              </w:rPr>
              <w:t xml:space="preserve"> </w:t>
            </w:r>
            <w:r>
              <w:rPr>
                <w:rFonts w:ascii="Calibri"/>
                <w:sz w:val="18"/>
              </w:rPr>
              <w:t>Customers</w:t>
            </w:r>
            <w:r>
              <w:rPr>
                <w:rFonts w:ascii="Calibri"/>
                <w:spacing w:val="-3"/>
                <w:sz w:val="18"/>
              </w:rPr>
              <w:t xml:space="preserve"> </w:t>
            </w:r>
            <w:r>
              <w:rPr>
                <w:sz w:val="18"/>
              </w:rPr>
              <w:t>Reliable</w:t>
            </w:r>
            <w:r>
              <w:rPr>
                <w:spacing w:val="-2"/>
                <w:sz w:val="18"/>
              </w:rPr>
              <w:t xml:space="preserve"> </w:t>
            </w:r>
            <w:r>
              <w:rPr>
                <w:sz w:val="18"/>
              </w:rPr>
              <w:t>Sewerage</w:t>
            </w:r>
            <w:r>
              <w:rPr>
                <w:spacing w:val="-3"/>
                <w:sz w:val="18"/>
              </w:rPr>
              <w:t xml:space="preserve"> </w:t>
            </w:r>
            <w:r>
              <w:rPr>
                <w:spacing w:val="-2"/>
                <w:sz w:val="18"/>
              </w:rPr>
              <w:t>Services</w:t>
            </w:r>
          </w:p>
        </w:tc>
        <w:tc>
          <w:tcPr>
            <w:tcW w:w="1572" w:type="dxa"/>
            <w:tcBorders>
              <w:right w:val="nil"/>
            </w:tcBorders>
            <w:shd w:val="clear" w:color="auto" w:fill="CCE2ED"/>
          </w:tcPr>
          <w:p w14:paraId="49934B59" w14:textId="77777777" w:rsidR="00141B97" w:rsidRDefault="00911D63">
            <w:pPr>
              <w:pStyle w:val="TableParagraph"/>
              <w:spacing w:before="1" w:line="199" w:lineRule="exact"/>
              <w:ind w:right="86"/>
              <w:jc w:val="right"/>
              <w:rPr>
                <w:rFonts w:ascii="Calibri"/>
                <w:sz w:val="18"/>
              </w:rPr>
            </w:pPr>
            <w:r>
              <w:rPr>
                <w:rFonts w:ascii="Calibri"/>
                <w:spacing w:val="-5"/>
                <w:sz w:val="18"/>
              </w:rPr>
              <w:t>60</w:t>
            </w:r>
          </w:p>
        </w:tc>
      </w:tr>
      <w:tr w:rsidR="00141B97" w14:paraId="3EA74DFC" w14:textId="77777777">
        <w:trPr>
          <w:trHeight w:val="439"/>
          <w:tblCellSpacing w:w="9" w:type="dxa"/>
        </w:trPr>
        <w:tc>
          <w:tcPr>
            <w:tcW w:w="8170" w:type="dxa"/>
            <w:tcBorders>
              <w:left w:val="nil"/>
            </w:tcBorders>
            <w:shd w:val="clear" w:color="auto" w:fill="CCE2ED"/>
          </w:tcPr>
          <w:p w14:paraId="50DDE415" w14:textId="77777777" w:rsidR="00141B97" w:rsidRDefault="00911D63">
            <w:pPr>
              <w:pStyle w:val="TableParagraph"/>
              <w:spacing w:line="220" w:lineRule="atLeast"/>
              <w:ind w:left="88" w:right="137"/>
              <w:rPr>
                <w:rFonts w:ascii="Calibri"/>
                <w:sz w:val="18"/>
              </w:rPr>
            </w:pPr>
            <w:r>
              <w:rPr>
                <w:rFonts w:ascii="Calibri"/>
                <w:sz w:val="18"/>
              </w:rPr>
              <w:t>Table</w:t>
            </w:r>
            <w:r>
              <w:rPr>
                <w:rFonts w:ascii="Calibri"/>
                <w:spacing w:val="-2"/>
                <w:sz w:val="18"/>
              </w:rPr>
              <w:t xml:space="preserve"> </w:t>
            </w:r>
            <w:r>
              <w:rPr>
                <w:rFonts w:ascii="Calibri"/>
                <w:sz w:val="18"/>
              </w:rPr>
              <w:t>B12:</w:t>
            </w:r>
            <w:r>
              <w:rPr>
                <w:rFonts w:ascii="Calibri"/>
                <w:spacing w:val="-2"/>
                <w:sz w:val="18"/>
              </w:rPr>
              <w:t xml:space="preserve"> </w:t>
            </w:r>
            <w:r>
              <w:rPr>
                <w:rFonts w:ascii="Calibri"/>
                <w:sz w:val="18"/>
              </w:rPr>
              <w:t>Outcome</w:t>
            </w:r>
            <w:r>
              <w:rPr>
                <w:rFonts w:ascii="Calibri"/>
                <w:spacing w:val="-2"/>
                <w:sz w:val="18"/>
              </w:rPr>
              <w:t xml:space="preserve"> </w:t>
            </w:r>
            <w:r>
              <w:rPr>
                <w:rFonts w:ascii="Calibri"/>
                <w:sz w:val="18"/>
              </w:rPr>
              <w:t>4:</w:t>
            </w:r>
            <w:r>
              <w:rPr>
                <w:rFonts w:ascii="Calibri"/>
                <w:spacing w:val="-3"/>
                <w:sz w:val="18"/>
              </w:rPr>
              <w:t xml:space="preserve"> </w:t>
            </w:r>
            <w:r>
              <w:rPr>
                <w:rFonts w:ascii="Calibri"/>
                <w:sz w:val="18"/>
              </w:rPr>
              <w:t>Provide</w:t>
            </w:r>
            <w:r>
              <w:rPr>
                <w:rFonts w:ascii="Calibri"/>
                <w:spacing w:val="-3"/>
                <w:sz w:val="18"/>
              </w:rPr>
              <w:t xml:space="preserve"> </w:t>
            </w:r>
            <w:r>
              <w:rPr>
                <w:rFonts w:ascii="Calibri"/>
                <w:sz w:val="18"/>
              </w:rPr>
              <w:t>Customer</w:t>
            </w:r>
            <w:r>
              <w:rPr>
                <w:rFonts w:ascii="Calibri"/>
                <w:spacing w:val="-3"/>
                <w:sz w:val="18"/>
              </w:rPr>
              <w:t xml:space="preserve"> </w:t>
            </w:r>
            <w:r>
              <w:rPr>
                <w:rFonts w:ascii="Calibri"/>
                <w:sz w:val="18"/>
              </w:rPr>
              <w:t>Service</w:t>
            </w:r>
            <w:r>
              <w:rPr>
                <w:rFonts w:ascii="Calibri"/>
                <w:spacing w:val="-1"/>
                <w:sz w:val="18"/>
              </w:rPr>
              <w:t xml:space="preserve"> </w:t>
            </w:r>
            <w:r>
              <w:rPr>
                <w:rFonts w:ascii="Calibri"/>
                <w:sz w:val="18"/>
              </w:rPr>
              <w:t>Avenues</w:t>
            </w:r>
            <w:r>
              <w:rPr>
                <w:rFonts w:ascii="Calibri"/>
                <w:spacing w:val="-2"/>
                <w:sz w:val="18"/>
              </w:rPr>
              <w:t xml:space="preserve"> </w:t>
            </w:r>
            <w:r>
              <w:rPr>
                <w:rFonts w:ascii="Calibri"/>
                <w:sz w:val="18"/>
              </w:rPr>
              <w:t>That</w:t>
            </w:r>
            <w:r>
              <w:rPr>
                <w:rFonts w:ascii="Calibri"/>
                <w:spacing w:val="-4"/>
                <w:sz w:val="18"/>
              </w:rPr>
              <w:t xml:space="preserve"> </w:t>
            </w:r>
            <w:r>
              <w:rPr>
                <w:rFonts w:ascii="Calibri"/>
                <w:sz w:val="18"/>
              </w:rPr>
              <w:t>Are</w:t>
            </w:r>
            <w:r>
              <w:rPr>
                <w:rFonts w:ascii="Calibri"/>
                <w:spacing w:val="-2"/>
                <w:sz w:val="18"/>
              </w:rPr>
              <w:t xml:space="preserve"> </w:t>
            </w:r>
            <w:r>
              <w:rPr>
                <w:rFonts w:ascii="Calibri"/>
                <w:sz w:val="18"/>
              </w:rPr>
              <w:t>Responsive</w:t>
            </w:r>
            <w:r>
              <w:rPr>
                <w:rFonts w:ascii="Calibri"/>
                <w:spacing w:val="-3"/>
                <w:sz w:val="18"/>
              </w:rPr>
              <w:t xml:space="preserve"> </w:t>
            </w:r>
            <w:r>
              <w:rPr>
                <w:rFonts w:ascii="Calibri"/>
                <w:sz w:val="18"/>
              </w:rPr>
              <w:t>to</w:t>
            </w:r>
            <w:r>
              <w:rPr>
                <w:rFonts w:ascii="Calibri"/>
                <w:spacing w:val="-3"/>
                <w:sz w:val="18"/>
              </w:rPr>
              <w:t xml:space="preserve"> </w:t>
            </w:r>
            <w:r>
              <w:rPr>
                <w:rFonts w:ascii="Calibri"/>
                <w:sz w:val="18"/>
              </w:rPr>
              <w:t>Resolve Requests/Enquiries Within the Agreed KPIs</w:t>
            </w:r>
          </w:p>
        </w:tc>
        <w:tc>
          <w:tcPr>
            <w:tcW w:w="1572" w:type="dxa"/>
            <w:tcBorders>
              <w:right w:val="nil"/>
            </w:tcBorders>
            <w:shd w:val="clear" w:color="auto" w:fill="CCE2ED"/>
          </w:tcPr>
          <w:p w14:paraId="6B83E9A5" w14:textId="77777777" w:rsidR="00141B97" w:rsidRDefault="00911D63">
            <w:pPr>
              <w:pStyle w:val="TableParagraph"/>
              <w:spacing w:before="1"/>
              <w:ind w:right="86"/>
              <w:jc w:val="right"/>
              <w:rPr>
                <w:rFonts w:ascii="Calibri"/>
                <w:sz w:val="18"/>
              </w:rPr>
            </w:pPr>
            <w:r>
              <w:rPr>
                <w:rFonts w:ascii="Calibri"/>
                <w:spacing w:val="-5"/>
                <w:sz w:val="18"/>
              </w:rPr>
              <w:t>61</w:t>
            </w:r>
          </w:p>
        </w:tc>
      </w:tr>
      <w:tr w:rsidR="00141B97" w14:paraId="628F14AB" w14:textId="77777777">
        <w:trPr>
          <w:trHeight w:val="439"/>
          <w:tblCellSpacing w:w="9" w:type="dxa"/>
        </w:trPr>
        <w:tc>
          <w:tcPr>
            <w:tcW w:w="8170" w:type="dxa"/>
            <w:tcBorders>
              <w:left w:val="nil"/>
            </w:tcBorders>
            <w:shd w:val="clear" w:color="auto" w:fill="CCE2ED"/>
          </w:tcPr>
          <w:p w14:paraId="33679DE1" w14:textId="77777777" w:rsidR="00141B97" w:rsidRDefault="00911D63">
            <w:pPr>
              <w:pStyle w:val="TableParagraph"/>
              <w:spacing w:line="220" w:lineRule="atLeast"/>
              <w:ind w:left="88"/>
              <w:rPr>
                <w:rFonts w:ascii="Calibri"/>
                <w:sz w:val="18"/>
              </w:rPr>
            </w:pPr>
            <w:r>
              <w:rPr>
                <w:rFonts w:ascii="Calibri"/>
                <w:sz w:val="18"/>
              </w:rPr>
              <w:t>Table</w:t>
            </w:r>
            <w:r>
              <w:rPr>
                <w:rFonts w:ascii="Calibri"/>
                <w:spacing w:val="-2"/>
                <w:sz w:val="18"/>
              </w:rPr>
              <w:t xml:space="preserve"> </w:t>
            </w:r>
            <w:r>
              <w:rPr>
                <w:rFonts w:ascii="Calibri"/>
                <w:sz w:val="18"/>
              </w:rPr>
              <w:t>B13:</w:t>
            </w:r>
            <w:r>
              <w:rPr>
                <w:rFonts w:ascii="Calibri"/>
                <w:spacing w:val="-2"/>
                <w:sz w:val="18"/>
              </w:rPr>
              <w:t xml:space="preserve"> </w:t>
            </w:r>
            <w:r>
              <w:rPr>
                <w:rFonts w:ascii="Calibri"/>
                <w:sz w:val="18"/>
              </w:rPr>
              <w:t>Outcome</w:t>
            </w:r>
            <w:r>
              <w:rPr>
                <w:rFonts w:ascii="Calibri"/>
                <w:spacing w:val="-2"/>
                <w:sz w:val="18"/>
              </w:rPr>
              <w:t xml:space="preserve"> </w:t>
            </w:r>
            <w:r>
              <w:rPr>
                <w:rFonts w:ascii="Calibri"/>
                <w:sz w:val="18"/>
              </w:rPr>
              <w:t>5:</w:t>
            </w:r>
            <w:r>
              <w:rPr>
                <w:rFonts w:ascii="Calibri"/>
                <w:spacing w:val="-3"/>
                <w:sz w:val="18"/>
              </w:rPr>
              <w:t xml:space="preserve"> </w:t>
            </w:r>
            <w:r>
              <w:rPr>
                <w:rFonts w:ascii="Calibri"/>
                <w:sz w:val="18"/>
              </w:rPr>
              <w:t>Services</w:t>
            </w:r>
            <w:r>
              <w:rPr>
                <w:rFonts w:ascii="Calibri"/>
                <w:spacing w:val="-3"/>
                <w:sz w:val="18"/>
              </w:rPr>
              <w:t xml:space="preserve"> </w:t>
            </w:r>
            <w:r>
              <w:rPr>
                <w:rFonts w:ascii="Calibri"/>
                <w:sz w:val="18"/>
              </w:rPr>
              <w:t>Out</w:t>
            </w:r>
            <w:r>
              <w:rPr>
                <w:rFonts w:ascii="Calibri"/>
                <w:spacing w:val="-3"/>
                <w:sz w:val="18"/>
              </w:rPr>
              <w:t xml:space="preserve"> </w:t>
            </w:r>
            <w:r>
              <w:rPr>
                <w:rFonts w:ascii="Calibri"/>
                <w:sz w:val="18"/>
              </w:rPr>
              <w:t>Communities</w:t>
            </w:r>
            <w:r>
              <w:rPr>
                <w:rFonts w:ascii="Calibri"/>
                <w:spacing w:val="-2"/>
                <w:sz w:val="18"/>
              </w:rPr>
              <w:t xml:space="preserve"> </w:t>
            </w:r>
            <w:r>
              <w:rPr>
                <w:rFonts w:ascii="Calibri"/>
                <w:sz w:val="18"/>
              </w:rPr>
              <w:t>in</w:t>
            </w:r>
            <w:r>
              <w:rPr>
                <w:rFonts w:ascii="Calibri"/>
                <w:spacing w:val="-2"/>
                <w:sz w:val="18"/>
              </w:rPr>
              <w:t xml:space="preserve"> </w:t>
            </w:r>
            <w:r>
              <w:rPr>
                <w:rFonts w:ascii="Calibri"/>
                <w:sz w:val="18"/>
              </w:rPr>
              <w:t>A</w:t>
            </w:r>
            <w:r>
              <w:rPr>
                <w:rFonts w:ascii="Calibri"/>
                <w:spacing w:val="-2"/>
                <w:sz w:val="18"/>
              </w:rPr>
              <w:t xml:space="preserve"> </w:t>
            </w:r>
            <w:r>
              <w:rPr>
                <w:rFonts w:ascii="Calibri"/>
                <w:sz w:val="18"/>
              </w:rPr>
              <w:t>Socially</w:t>
            </w:r>
            <w:r>
              <w:rPr>
                <w:rFonts w:ascii="Calibri"/>
                <w:spacing w:val="-1"/>
                <w:sz w:val="18"/>
              </w:rPr>
              <w:t xml:space="preserve"> </w:t>
            </w:r>
            <w:r>
              <w:rPr>
                <w:rFonts w:ascii="Calibri"/>
                <w:sz w:val="18"/>
              </w:rPr>
              <w:t>Responsible</w:t>
            </w:r>
            <w:r>
              <w:rPr>
                <w:rFonts w:ascii="Calibri"/>
                <w:spacing w:val="-2"/>
                <w:sz w:val="18"/>
              </w:rPr>
              <w:t xml:space="preserve"> </w:t>
            </w:r>
            <w:r>
              <w:rPr>
                <w:rFonts w:ascii="Calibri"/>
                <w:sz w:val="18"/>
              </w:rPr>
              <w:t>and</w:t>
            </w:r>
            <w:r>
              <w:rPr>
                <w:rFonts w:ascii="Calibri"/>
                <w:spacing w:val="-2"/>
                <w:sz w:val="18"/>
              </w:rPr>
              <w:t xml:space="preserve"> </w:t>
            </w:r>
            <w:r>
              <w:rPr>
                <w:rFonts w:ascii="Calibri"/>
                <w:sz w:val="18"/>
              </w:rPr>
              <w:t>Environmental</w:t>
            </w:r>
            <w:r>
              <w:rPr>
                <w:rFonts w:ascii="Calibri"/>
                <w:spacing w:val="-3"/>
                <w:sz w:val="18"/>
              </w:rPr>
              <w:t xml:space="preserve"> </w:t>
            </w:r>
            <w:r>
              <w:rPr>
                <w:rFonts w:ascii="Calibri"/>
                <w:sz w:val="18"/>
              </w:rPr>
              <w:t xml:space="preserve">Sustainably </w:t>
            </w:r>
            <w:r>
              <w:rPr>
                <w:rFonts w:ascii="Calibri"/>
                <w:spacing w:val="-2"/>
                <w:sz w:val="18"/>
              </w:rPr>
              <w:t>Manor.</w:t>
            </w:r>
          </w:p>
        </w:tc>
        <w:tc>
          <w:tcPr>
            <w:tcW w:w="1572" w:type="dxa"/>
            <w:tcBorders>
              <w:right w:val="nil"/>
            </w:tcBorders>
            <w:shd w:val="clear" w:color="auto" w:fill="CCE2ED"/>
          </w:tcPr>
          <w:p w14:paraId="292098B5" w14:textId="77777777" w:rsidR="00141B97" w:rsidRDefault="00911D63">
            <w:pPr>
              <w:pStyle w:val="TableParagraph"/>
              <w:ind w:right="86"/>
              <w:jc w:val="right"/>
              <w:rPr>
                <w:rFonts w:ascii="Calibri"/>
                <w:sz w:val="18"/>
              </w:rPr>
            </w:pPr>
            <w:r>
              <w:rPr>
                <w:rFonts w:ascii="Calibri"/>
                <w:spacing w:val="-5"/>
                <w:sz w:val="18"/>
              </w:rPr>
              <w:t>62</w:t>
            </w:r>
          </w:p>
        </w:tc>
      </w:tr>
      <w:tr w:rsidR="00141B97" w14:paraId="28EF054E" w14:textId="77777777">
        <w:trPr>
          <w:trHeight w:val="219"/>
          <w:tblCellSpacing w:w="9" w:type="dxa"/>
        </w:trPr>
        <w:tc>
          <w:tcPr>
            <w:tcW w:w="8170" w:type="dxa"/>
            <w:tcBorders>
              <w:left w:val="nil"/>
            </w:tcBorders>
            <w:shd w:val="clear" w:color="auto" w:fill="CCE2ED"/>
          </w:tcPr>
          <w:p w14:paraId="2618D7D0" w14:textId="77777777" w:rsidR="00141B97" w:rsidRDefault="00911D63">
            <w:pPr>
              <w:pStyle w:val="TableParagraph"/>
              <w:spacing w:line="199" w:lineRule="exact"/>
              <w:ind w:left="88"/>
              <w:rPr>
                <w:rFonts w:ascii="Calibri" w:hAnsi="Calibri"/>
                <w:sz w:val="18"/>
              </w:rPr>
            </w:pPr>
            <w:r>
              <w:rPr>
                <w:rFonts w:ascii="Calibri" w:hAnsi="Calibri"/>
                <w:sz w:val="18"/>
              </w:rPr>
              <w:t>Table</w:t>
            </w:r>
            <w:r>
              <w:rPr>
                <w:rFonts w:ascii="Calibri" w:hAnsi="Calibri"/>
                <w:spacing w:val="-3"/>
                <w:sz w:val="18"/>
              </w:rPr>
              <w:t xml:space="preserve"> </w:t>
            </w:r>
            <w:r>
              <w:rPr>
                <w:rFonts w:ascii="Calibri" w:hAnsi="Calibri"/>
                <w:sz w:val="18"/>
              </w:rPr>
              <w:t>B14:</w:t>
            </w:r>
            <w:r>
              <w:rPr>
                <w:rFonts w:ascii="Calibri" w:hAnsi="Calibri"/>
                <w:spacing w:val="-3"/>
                <w:sz w:val="18"/>
              </w:rPr>
              <w:t xml:space="preserve"> </w:t>
            </w:r>
            <w:r>
              <w:rPr>
                <w:rFonts w:ascii="Calibri" w:hAnsi="Calibri"/>
                <w:sz w:val="18"/>
              </w:rPr>
              <w:t>Service</w:t>
            </w:r>
            <w:r>
              <w:rPr>
                <w:rFonts w:ascii="Calibri" w:hAnsi="Calibri"/>
                <w:spacing w:val="-3"/>
                <w:sz w:val="18"/>
              </w:rPr>
              <w:t xml:space="preserve"> </w:t>
            </w:r>
            <w:r>
              <w:rPr>
                <w:rFonts w:ascii="Calibri" w:hAnsi="Calibri"/>
                <w:sz w:val="18"/>
              </w:rPr>
              <w:t>Standards</w:t>
            </w:r>
            <w:r>
              <w:rPr>
                <w:rFonts w:ascii="Calibri" w:hAnsi="Calibri"/>
                <w:spacing w:val="-3"/>
                <w:sz w:val="18"/>
              </w:rPr>
              <w:t xml:space="preserve"> </w:t>
            </w:r>
            <w:r>
              <w:rPr>
                <w:rFonts w:ascii="Calibri" w:hAnsi="Calibri"/>
                <w:sz w:val="18"/>
              </w:rPr>
              <w:t>‐</w:t>
            </w:r>
            <w:r>
              <w:rPr>
                <w:rFonts w:ascii="Calibri" w:hAnsi="Calibri"/>
                <w:spacing w:val="-2"/>
                <w:sz w:val="18"/>
              </w:rPr>
              <w:t xml:space="preserve"> Urban</w:t>
            </w:r>
          </w:p>
        </w:tc>
        <w:tc>
          <w:tcPr>
            <w:tcW w:w="1572" w:type="dxa"/>
            <w:tcBorders>
              <w:right w:val="nil"/>
            </w:tcBorders>
            <w:shd w:val="clear" w:color="auto" w:fill="CCE2ED"/>
          </w:tcPr>
          <w:p w14:paraId="221C0B6C" w14:textId="77777777" w:rsidR="00141B97" w:rsidRDefault="00911D63">
            <w:pPr>
              <w:pStyle w:val="TableParagraph"/>
              <w:spacing w:line="199" w:lineRule="exact"/>
              <w:ind w:right="86"/>
              <w:jc w:val="right"/>
              <w:rPr>
                <w:rFonts w:ascii="Calibri"/>
                <w:sz w:val="18"/>
              </w:rPr>
            </w:pPr>
            <w:r>
              <w:rPr>
                <w:rFonts w:ascii="Calibri"/>
                <w:spacing w:val="-5"/>
                <w:sz w:val="18"/>
              </w:rPr>
              <w:t>63</w:t>
            </w:r>
          </w:p>
        </w:tc>
      </w:tr>
      <w:tr w:rsidR="00141B97" w14:paraId="72C8A477" w14:textId="77777777">
        <w:trPr>
          <w:trHeight w:val="218"/>
          <w:tblCellSpacing w:w="9" w:type="dxa"/>
        </w:trPr>
        <w:tc>
          <w:tcPr>
            <w:tcW w:w="8170" w:type="dxa"/>
            <w:tcBorders>
              <w:left w:val="nil"/>
            </w:tcBorders>
            <w:shd w:val="clear" w:color="auto" w:fill="CCE2ED"/>
          </w:tcPr>
          <w:p w14:paraId="74AB375B"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6"/>
                <w:sz w:val="18"/>
              </w:rPr>
              <w:t xml:space="preserve"> </w:t>
            </w:r>
            <w:r>
              <w:rPr>
                <w:rFonts w:ascii="Calibri"/>
                <w:sz w:val="18"/>
              </w:rPr>
              <w:t>B15:</w:t>
            </w:r>
            <w:r>
              <w:rPr>
                <w:rFonts w:ascii="Calibri"/>
                <w:spacing w:val="-3"/>
                <w:sz w:val="18"/>
              </w:rPr>
              <w:t xml:space="preserve"> </w:t>
            </w:r>
            <w:r>
              <w:rPr>
                <w:rFonts w:ascii="Calibri"/>
                <w:sz w:val="18"/>
              </w:rPr>
              <w:t>Proposed</w:t>
            </w:r>
            <w:r>
              <w:rPr>
                <w:rFonts w:ascii="Calibri"/>
                <w:spacing w:val="-4"/>
                <w:sz w:val="18"/>
              </w:rPr>
              <w:t xml:space="preserve"> </w:t>
            </w:r>
            <w:r>
              <w:rPr>
                <w:rFonts w:ascii="Calibri"/>
                <w:sz w:val="18"/>
              </w:rPr>
              <w:t>Performance</w:t>
            </w:r>
            <w:r>
              <w:rPr>
                <w:rFonts w:ascii="Calibri"/>
                <w:spacing w:val="-3"/>
                <w:sz w:val="18"/>
              </w:rPr>
              <w:t xml:space="preserve"> </w:t>
            </w:r>
            <w:r>
              <w:rPr>
                <w:rFonts w:ascii="Calibri"/>
                <w:sz w:val="18"/>
              </w:rPr>
              <w:t>Assessment</w:t>
            </w:r>
            <w:r>
              <w:rPr>
                <w:rFonts w:ascii="Calibri"/>
                <w:spacing w:val="-4"/>
                <w:sz w:val="18"/>
              </w:rPr>
              <w:t xml:space="preserve"> </w:t>
            </w:r>
            <w:r>
              <w:rPr>
                <w:rFonts w:ascii="Calibri"/>
                <w:spacing w:val="-2"/>
                <w:sz w:val="18"/>
              </w:rPr>
              <w:t>Criteria</w:t>
            </w:r>
          </w:p>
        </w:tc>
        <w:tc>
          <w:tcPr>
            <w:tcW w:w="1572" w:type="dxa"/>
            <w:tcBorders>
              <w:right w:val="nil"/>
            </w:tcBorders>
            <w:shd w:val="clear" w:color="auto" w:fill="CCE2ED"/>
          </w:tcPr>
          <w:p w14:paraId="67779CD6" w14:textId="77777777" w:rsidR="00141B97" w:rsidRDefault="00911D63">
            <w:pPr>
              <w:pStyle w:val="TableParagraph"/>
              <w:spacing w:line="199" w:lineRule="exact"/>
              <w:ind w:right="86"/>
              <w:jc w:val="right"/>
              <w:rPr>
                <w:rFonts w:ascii="Calibri"/>
                <w:sz w:val="18"/>
              </w:rPr>
            </w:pPr>
            <w:r>
              <w:rPr>
                <w:rFonts w:ascii="Calibri"/>
                <w:spacing w:val="-5"/>
                <w:sz w:val="18"/>
              </w:rPr>
              <w:t>64</w:t>
            </w:r>
          </w:p>
        </w:tc>
      </w:tr>
      <w:tr w:rsidR="00141B97" w14:paraId="6D9F3C20" w14:textId="77777777">
        <w:trPr>
          <w:trHeight w:val="220"/>
          <w:tblCellSpacing w:w="9" w:type="dxa"/>
        </w:trPr>
        <w:tc>
          <w:tcPr>
            <w:tcW w:w="8170" w:type="dxa"/>
            <w:tcBorders>
              <w:left w:val="nil"/>
            </w:tcBorders>
            <w:shd w:val="clear" w:color="auto" w:fill="CCE2ED"/>
          </w:tcPr>
          <w:p w14:paraId="165A6A8F"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B16:</w:t>
            </w:r>
            <w:r>
              <w:rPr>
                <w:rFonts w:ascii="Calibri"/>
                <w:spacing w:val="-2"/>
                <w:sz w:val="18"/>
              </w:rPr>
              <w:t xml:space="preserve"> </w:t>
            </w:r>
            <w:r>
              <w:rPr>
                <w:rFonts w:ascii="Calibri"/>
                <w:sz w:val="18"/>
              </w:rPr>
              <w:t>Proposed</w:t>
            </w:r>
            <w:r>
              <w:rPr>
                <w:rFonts w:ascii="Calibri"/>
                <w:spacing w:val="-2"/>
                <w:sz w:val="18"/>
              </w:rPr>
              <w:t xml:space="preserve"> </w:t>
            </w:r>
            <w:r>
              <w:rPr>
                <w:rFonts w:ascii="Calibri"/>
                <w:sz w:val="18"/>
              </w:rPr>
              <w:t>Guaranteed</w:t>
            </w:r>
            <w:r>
              <w:rPr>
                <w:rFonts w:ascii="Calibri"/>
                <w:spacing w:val="-3"/>
                <w:sz w:val="18"/>
              </w:rPr>
              <w:t xml:space="preserve"> </w:t>
            </w:r>
            <w:r>
              <w:rPr>
                <w:rFonts w:ascii="Calibri"/>
                <w:sz w:val="18"/>
              </w:rPr>
              <w:t>Service</w:t>
            </w:r>
            <w:r>
              <w:rPr>
                <w:rFonts w:ascii="Calibri"/>
                <w:spacing w:val="-2"/>
                <w:sz w:val="18"/>
              </w:rPr>
              <w:t xml:space="preserve"> </w:t>
            </w:r>
            <w:r>
              <w:rPr>
                <w:rFonts w:ascii="Calibri"/>
                <w:sz w:val="18"/>
              </w:rPr>
              <w:t>Level</w:t>
            </w:r>
            <w:r>
              <w:rPr>
                <w:rFonts w:ascii="Calibri"/>
                <w:spacing w:val="-2"/>
                <w:sz w:val="18"/>
              </w:rPr>
              <w:t xml:space="preserve"> Scheme</w:t>
            </w:r>
          </w:p>
        </w:tc>
        <w:tc>
          <w:tcPr>
            <w:tcW w:w="1572" w:type="dxa"/>
            <w:tcBorders>
              <w:right w:val="nil"/>
            </w:tcBorders>
            <w:shd w:val="clear" w:color="auto" w:fill="CCE2ED"/>
          </w:tcPr>
          <w:p w14:paraId="25B6B735" w14:textId="77777777" w:rsidR="00141B97" w:rsidRDefault="00911D63">
            <w:pPr>
              <w:pStyle w:val="TableParagraph"/>
              <w:spacing w:before="1" w:line="199" w:lineRule="exact"/>
              <w:ind w:right="86"/>
              <w:jc w:val="right"/>
              <w:rPr>
                <w:rFonts w:ascii="Calibri"/>
                <w:sz w:val="18"/>
              </w:rPr>
            </w:pPr>
            <w:r>
              <w:rPr>
                <w:rFonts w:ascii="Calibri"/>
                <w:spacing w:val="-5"/>
                <w:sz w:val="18"/>
              </w:rPr>
              <w:t>66</w:t>
            </w:r>
          </w:p>
        </w:tc>
      </w:tr>
      <w:tr w:rsidR="00141B97" w14:paraId="18318EF9" w14:textId="77777777">
        <w:trPr>
          <w:trHeight w:val="220"/>
          <w:tblCellSpacing w:w="9" w:type="dxa"/>
        </w:trPr>
        <w:tc>
          <w:tcPr>
            <w:tcW w:w="8170" w:type="dxa"/>
            <w:tcBorders>
              <w:left w:val="nil"/>
            </w:tcBorders>
            <w:shd w:val="clear" w:color="auto" w:fill="CCE2ED"/>
          </w:tcPr>
          <w:p w14:paraId="10D28998"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2"/>
                <w:sz w:val="18"/>
              </w:rPr>
              <w:t xml:space="preserve"> </w:t>
            </w:r>
            <w:r>
              <w:rPr>
                <w:rFonts w:ascii="Calibri"/>
                <w:sz w:val="18"/>
              </w:rPr>
              <w:t>B17:</w:t>
            </w:r>
            <w:r>
              <w:rPr>
                <w:rFonts w:ascii="Calibri"/>
                <w:spacing w:val="-2"/>
                <w:sz w:val="18"/>
              </w:rPr>
              <w:t xml:space="preserve"> </w:t>
            </w:r>
            <w:r>
              <w:rPr>
                <w:rFonts w:ascii="Calibri"/>
                <w:sz w:val="18"/>
              </w:rPr>
              <w:t>Revenue</w:t>
            </w:r>
            <w:r>
              <w:rPr>
                <w:rFonts w:ascii="Calibri"/>
                <w:spacing w:val="-1"/>
                <w:sz w:val="18"/>
              </w:rPr>
              <w:t xml:space="preserve"> </w:t>
            </w:r>
            <w:r>
              <w:rPr>
                <w:rFonts w:ascii="Calibri"/>
                <w:sz w:val="18"/>
              </w:rPr>
              <w:t>Requirement</w:t>
            </w:r>
            <w:r>
              <w:rPr>
                <w:rFonts w:ascii="Calibri"/>
                <w:spacing w:val="-3"/>
                <w:sz w:val="18"/>
              </w:rPr>
              <w:t xml:space="preserve"> </w:t>
            </w:r>
            <w:r>
              <w:rPr>
                <w:rFonts w:ascii="Calibri"/>
                <w:sz w:val="18"/>
              </w:rPr>
              <w:t>($m</w:t>
            </w:r>
            <w:r>
              <w:rPr>
                <w:rFonts w:ascii="Calibri"/>
                <w:spacing w:val="-1"/>
                <w:sz w:val="18"/>
              </w:rPr>
              <w:t xml:space="preserve"> </w:t>
            </w:r>
            <w:r>
              <w:rPr>
                <w:rFonts w:ascii="Calibri"/>
                <w:spacing w:val="-2"/>
                <w:sz w:val="18"/>
              </w:rPr>
              <w:t>1/1/23)</w:t>
            </w:r>
          </w:p>
        </w:tc>
        <w:tc>
          <w:tcPr>
            <w:tcW w:w="1572" w:type="dxa"/>
            <w:tcBorders>
              <w:right w:val="nil"/>
            </w:tcBorders>
            <w:shd w:val="clear" w:color="auto" w:fill="CCE2ED"/>
          </w:tcPr>
          <w:p w14:paraId="77F54A55" w14:textId="77777777" w:rsidR="00141B97" w:rsidRDefault="00911D63">
            <w:pPr>
              <w:pStyle w:val="TableParagraph"/>
              <w:spacing w:before="1" w:line="199" w:lineRule="exact"/>
              <w:ind w:right="86"/>
              <w:jc w:val="right"/>
              <w:rPr>
                <w:rFonts w:ascii="Calibri"/>
                <w:sz w:val="18"/>
              </w:rPr>
            </w:pPr>
            <w:r>
              <w:rPr>
                <w:rFonts w:ascii="Calibri"/>
                <w:spacing w:val="-5"/>
                <w:sz w:val="18"/>
              </w:rPr>
              <w:t>67</w:t>
            </w:r>
          </w:p>
        </w:tc>
      </w:tr>
      <w:tr w:rsidR="00141B97" w14:paraId="68A5636A" w14:textId="77777777">
        <w:trPr>
          <w:trHeight w:val="219"/>
          <w:tblCellSpacing w:w="9" w:type="dxa"/>
        </w:trPr>
        <w:tc>
          <w:tcPr>
            <w:tcW w:w="8170" w:type="dxa"/>
            <w:tcBorders>
              <w:left w:val="nil"/>
            </w:tcBorders>
            <w:shd w:val="clear" w:color="auto" w:fill="CCE2ED"/>
          </w:tcPr>
          <w:p w14:paraId="4046B61B" w14:textId="77777777" w:rsidR="00141B97" w:rsidRDefault="00911D63">
            <w:pPr>
              <w:pStyle w:val="TableParagraph"/>
              <w:spacing w:before="1" w:line="199" w:lineRule="exact"/>
              <w:ind w:left="88"/>
              <w:rPr>
                <w:rFonts w:ascii="Calibri"/>
                <w:sz w:val="18"/>
              </w:rPr>
            </w:pPr>
            <w:r>
              <w:rPr>
                <w:rFonts w:ascii="Calibri"/>
                <w:sz w:val="18"/>
              </w:rPr>
              <w:t>Figure</w:t>
            </w:r>
            <w:r>
              <w:rPr>
                <w:rFonts w:ascii="Calibri"/>
                <w:spacing w:val="-2"/>
                <w:sz w:val="18"/>
              </w:rPr>
              <w:t xml:space="preserve"> </w:t>
            </w:r>
            <w:r>
              <w:rPr>
                <w:rFonts w:ascii="Calibri"/>
                <w:sz w:val="18"/>
              </w:rPr>
              <w:t>B4:</w:t>
            </w:r>
            <w:r>
              <w:rPr>
                <w:rFonts w:ascii="Calibri"/>
                <w:spacing w:val="-3"/>
                <w:sz w:val="18"/>
              </w:rPr>
              <w:t xml:space="preserve"> </w:t>
            </w:r>
            <w:r>
              <w:rPr>
                <w:rFonts w:ascii="Calibri"/>
                <w:sz w:val="18"/>
              </w:rPr>
              <w:t>Revenue</w:t>
            </w:r>
            <w:r>
              <w:rPr>
                <w:rFonts w:ascii="Calibri"/>
                <w:spacing w:val="-2"/>
                <w:sz w:val="18"/>
              </w:rPr>
              <w:t xml:space="preserve"> </w:t>
            </w:r>
            <w:r>
              <w:rPr>
                <w:rFonts w:ascii="Calibri"/>
                <w:sz w:val="18"/>
              </w:rPr>
              <w:t>Requirement</w:t>
            </w:r>
            <w:r>
              <w:rPr>
                <w:rFonts w:ascii="Calibri"/>
                <w:spacing w:val="-3"/>
                <w:sz w:val="18"/>
              </w:rPr>
              <w:t xml:space="preserve"> </w:t>
            </w:r>
            <w:r>
              <w:rPr>
                <w:rFonts w:ascii="Calibri"/>
                <w:sz w:val="18"/>
              </w:rPr>
              <w:t>($m</w:t>
            </w:r>
            <w:r>
              <w:rPr>
                <w:rFonts w:ascii="Calibri"/>
                <w:spacing w:val="-2"/>
                <w:sz w:val="18"/>
              </w:rPr>
              <w:t xml:space="preserve"> 1/1/23)</w:t>
            </w:r>
          </w:p>
        </w:tc>
        <w:tc>
          <w:tcPr>
            <w:tcW w:w="1572" w:type="dxa"/>
            <w:tcBorders>
              <w:right w:val="nil"/>
            </w:tcBorders>
            <w:shd w:val="clear" w:color="auto" w:fill="CCE2ED"/>
          </w:tcPr>
          <w:p w14:paraId="73C506DE" w14:textId="77777777" w:rsidR="00141B97" w:rsidRDefault="00911D63">
            <w:pPr>
              <w:pStyle w:val="TableParagraph"/>
              <w:spacing w:before="1" w:line="199" w:lineRule="exact"/>
              <w:ind w:right="86"/>
              <w:jc w:val="right"/>
              <w:rPr>
                <w:rFonts w:ascii="Calibri"/>
                <w:sz w:val="18"/>
              </w:rPr>
            </w:pPr>
            <w:r>
              <w:rPr>
                <w:rFonts w:ascii="Calibri"/>
                <w:spacing w:val="-5"/>
                <w:sz w:val="18"/>
              </w:rPr>
              <w:t>67</w:t>
            </w:r>
          </w:p>
        </w:tc>
      </w:tr>
      <w:tr w:rsidR="00141B97" w14:paraId="4BAEA9FA" w14:textId="77777777">
        <w:trPr>
          <w:trHeight w:val="218"/>
          <w:tblCellSpacing w:w="9" w:type="dxa"/>
        </w:trPr>
        <w:tc>
          <w:tcPr>
            <w:tcW w:w="8170" w:type="dxa"/>
            <w:tcBorders>
              <w:left w:val="nil"/>
            </w:tcBorders>
            <w:shd w:val="clear" w:color="auto" w:fill="CCE2ED"/>
          </w:tcPr>
          <w:p w14:paraId="2BE3C196"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4"/>
                <w:sz w:val="18"/>
              </w:rPr>
              <w:t xml:space="preserve"> </w:t>
            </w:r>
            <w:r>
              <w:rPr>
                <w:rFonts w:ascii="Calibri"/>
                <w:sz w:val="18"/>
              </w:rPr>
              <w:t>B18:</w:t>
            </w:r>
            <w:r>
              <w:rPr>
                <w:rFonts w:ascii="Calibri"/>
                <w:spacing w:val="-4"/>
                <w:sz w:val="18"/>
              </w:rPr>
              <w:t xml:space="preserve"> </w:t>
            </w:r>
            <w:r>
              <w:rPr>
                <w:rFonts w:ascii="Calibri"/>
                <w:sz w:val="18"/>
              </w:rPr>
              <w:t>Price</w:t>
            </w:r>
            <w:r>
              <w:rPr>
                <w:rFonts w:ascii="Calibri"/>
                <w:spacing w:val="-4"/>
                <w:sz w:val="18"/>
              </w:rPr>
              <w:t xml:space="preserve"> </w:t>
            </w:r>
            <w:r>
              <w:rPr>
                <w:rFonts w:ascii="Calibri"/>
                <w:sz w:val="18"/>
              </w:rPr>
              <w:t>Elasticity</w:t>
            </w:r>
            <w:r>
              <w:rPr>
                <w:rFonts w:ascii="Calibri"/>
                <w:spacing w:val="-3"/>
                <w:sz w:val="18"/>
              </w:rPr>
              <w:t xml:space="preserve"> </w:t>
            </w:r>
            <w:r>
              <w:rPr>
                <w:rFonts w:ascii="Calibri"/>
                <w:spacing w:val="-2"/>
                <w:sz w:val="18"/>
              </w:rPr>
              <w:t>Assumptions</w:t>
            </w:r>
          </w:p>
        </w:tc>
        <w:tc>
          <w:tcPr>
            <w:tcW w:w="1572" w:type="dxa"/>
            <w:tcBorders>
              <w:right w:val="nil"/>
            </w:tcBorders>
            <w:shd w:val="clear" w:color="auto" w:fill="CCE2ED"/>
          </w:tcPr>
          <w:p w14:paraId="5B86566E" w14:textId="77777777" w:rsidR="00141B97" w:rsidRDefault="00911D63">
            <w:pPr>
              <w:pStyle w:val="TableParagraph"/>
              <w:spacing w:line="199" w:lineRule="exact"/>
              <w:ind w:right="86"/>
              <w:jc w:val="right"/>
              <w:rPr>
                <w:rFonts w:ascii="Calibri"/>
                <w:sz w:val="18"/>
              </w:rPr>
            </w:pPr>
            <w:r>
              <w:rPr>
                <w:rFonts w:ascii="Calibri"/>
                <w:spacing w:val="-5"/>
                <w:sz w:val="18"/>
              </w:rPr>
              <w:t>70</w:t>
            </w:r>
          </w:p>
        </w:tc>
      </w:tr>
      <w:tr w:rsidR="00141B97" w14:paraId="7242029F" w14:textId="77777777">
        <w:trPr>
          <w:trHeight w:val="220"/>
          <w:tblCellSpacing w:w="9" w:type="dxa"/>
        </w:trPr>
        <w:tc>
          <w:tcPr>
            <w:tcW w:w="8170" w:type="dxa"/>
            <w:tcBorders>
              <w:left w:val="nil"/>
            </w:tcBorders>
            <w:shd w:val="clear" w:color="auto" w:fill="CCE2ED"/>
          </w:tcPr>
          <w:p w14:paraId="06BBCADE"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B19:</w:t>
            </w:r>
            <w:r>
              <w:rPr>
                <w:rFonts w:ascii="Calibri"/>
                <w:spacing w:val="-3"/>
                <w:sz w:val="18"/>
              </w:rPr>
              <w:t xml:space="preserve"> </w:t>
            </w:r>
            <w:r>
              <w:rPr>
                <w:rFonts w:ascii="Calibri"/>
                <w:sz w:val="18"/>
              </w:rPr>
              <w:t>Connection</w:t>
            </w:r>
            <w:r>
              <w:rPr>
                <w:rFonts w:ascii="Calibri"/>
                <w:spacing w:val="-3"/>
                <w:sz w:val="18"/>
              </w:rPr>
              <w:t xml:space="preserve"> </w:t>
            </w:r>
            <w:r>
              <w:rPr>
                <w:rFonts w:ascii="Calibri"/>
                <w:spacing w:val="-2"/>
                <w:sz w:val="18"/>
              </w:rPr>
              <w:t>Forecasts</w:t>
            </w:r>
          </w:p>
        </w:tc>
        <w:tc>
          <w:tcPr>
            <w:tcW w:w="1572" w:type="dxa"/>
            <w:tcBorders>
              <w:right w:val="nil"/>
            </w:tcBorders>
            <w:shd w:val="clear" w:color="auto" w:fill="CCE2ED"/>
          </w:tcPr>
          <w:p w14:paraId="6D626177" w14:textId="77777777" w:rsidR="00141B97" w:rsidRDefault="00911D63">
            <w:pPr>
              <w:pStyle w:val="TableParagraph"/>
              <w:spacing w:before="1" w:line="199" w:lineRule="exact"/>
              <w:ind w:right="86"/>
              <w:jc w:val="right"/>
              <w:rPr>
                <w:rFonts w:ascii="Calibri"/>
                <w:sz w:val="18"/>
              </w:rPr>
            </w:pPr>
            <w:r>
              <w:rPr>
                <w:rFonts w:ascii="Calibri"/>
                <w:spacing w:val="-5"/>
                <w:sz w:val="18"/>
              </w:rPr>
              <w:t>70</w:t>
            </w:r>
          </w:p>
        </w:tc>
      </w:tr>
      <w:tr w:rsidR="00141B97" w14:paraId="5D7814DB" w14:textId="77777777">
        <w:trPr>
          <w:trHeight w:val="220"/>
          <w:tblCellSpacing w:w="9" w:type="dxa"/>
        </w:trPr>
        <w:tc>
          <w:tcPr>
            <w:tcW w:w="8170" w:type="dxa"/>
            <w:tcBorders>
              <w:left w:val="nil"/>
            </w:tcBorders>
            <w:shd w:val="clear" w:color="auto" w:fill="CCE2ED"/>
          </w:tcPr>
          <w:p w14:paraId="696B7948"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5"/>
                <w:sz w:val="18"/>
              </w:rPr>
              <w:t xml:space="preserve"> </w:t>
            </w:r>
            <w:r>
              <w:rPr>
                <w:rFonts w:ascii="Calibri"/>
                <w:sz w:val="18"/>
              </w:rPr>
              <w:t>B20:</w:t>
            </w:r>
            <w:r>
              <w:rPr>
                <w:rFonts w:ascii="Calibri"/>
                <w:spacing w:val="-2"/>
                <w:sz w:val="18"/>
              </w:rPr>
              <w:t xml:space="preserve"> </w:t>
            </w:r>
            <w:r>
              <w:rPr>
                <w:rFonts w:ascii="Calibri"/>
                <w:sz w:val="18"/>
              </w:rPr>
              <w:t>Forecast</w:t>
            </w:r>
            <w:r>
              <w:rPr>
                <w:rFonts w:ascii="Calibri"/>
                <w:spacing w:val="-3"/>
                <w:sz w:val="18"/>
              </w:rPr>
              <w:t xml:space="preserve"> </w:t>
            </w:r>
            <w:r>
              <w:rPr>
                <w:rFonts w:ascii="Calibri"/>
                <w:sz w:val="18"/>
              </w:rPr>
              <w:t>Annual</w:t>
            </w:r>
            <w:r>
              <w:rPr>
                <w:rFonts w:ascii="Calibri"/>
                <w:spacing w:val="-3"/>
                <w:sz w:val="18"/>
              </w:rPr>
              <w:t xml:space="preserve"> </w:t>
            </w:r>
            <w:r>
              <w:rPr>
                <w:rFonts w:ascii="Calibri"/>
                <w:sz w:val="18"/>
              </w:rPr>
              <w:t>Demand</w:t>
            </w:r>
            <w:r>
              <w:rPr>
                <w:rFonts w:ascii="Calibri"/>
                <w:spacing w:val="-3"/>
                <w:sz w:val="18"/>
              </w:rPr>
              <w:t xml:space="preserve"> </w:t>
            </w:r>
            <w:r>
              <w:rPr>
                <w:rFonts w:ascii="Calibri"/>
                <w:sz w:val="18"/>
              </w:rPr>
              <w:t>Per</w:t>
            </w:r>
            <w:r>
              <w:rPr>
                <w:rFonts w:ascii="Calibri"/>
                <w:spacing w:val="-3"/>
                <w:sz w:val="18"/>
              </w:rPr>
              <w:t xml:space="preserve"> </w:t>
            </w:r>
            <w:r>
              <w:rPr>
                <w:rFonts w:ascii="Calibri"/>
                <w:sz w:val="18"/>
              </w:rPr>
              <w:t>Equivalent</w:t>
            </w:r>
            <w:r>
              <w:rPr>
                <w:rFonts w:ascii="Calibri"/>
                <w:spacing w:val="-2"/>
                <w:sz w:val="18"/>
              </w:rPr>
              <w:t xml:space="preserve"> Connection</w:t>
            </w:r>
          </w:p>
        </w:tc>
        <w:tc>
          <w:tcPr>
            <w:tcW w:w="1572" w:type="dxa"/>
            <w:tcBorders>
              <w:right w:val="nil"/>
            </w:tcBorders>
            <w:shd w:val="clear" w:color="auto" w:fill="CCE2ED"/>
          </w:tcPr>
          <w:p w14:paraId="5B18B22B" w14:textId="77777777" w:rsidR="00141B97" w:rsidRDefault="00911D63">
            <w:pPr>
              <w:pStyle w:val="TableParagraph"/>
              <w:spacing w:before="1" w:line="199" w:lineRule="exact"/>
              <w:ind w:right="86"/>
              <w:jc w:val="right"/>
              <w:rPr>
                <w:rFonts w:ascii="Calibri"/>
                <w:sz w:val="18"/>
              </w:rPr>
            </w:pPr>
            <w:r>
              <w:rPr>
                <w:rFonts w:ascii="Calibri"/>
                <w:spacing w:val="-5"/>
                <w:sz w:val="18"/>
              </w:rPr>
              <w:t>71</w:t>
            </w:r>
          </w:p>
        </w:tc>
      </w:tr>
      <w:tr w:rsidR="00141B97" w14:paraId="1F727BDE" w14:textId="77777777">
        <w:trPr>
          <w:trHeight w:val="219"/>
          <w:tblCellSpacing w:w="9" w:type="dxa"/>
        </w:trPr>
        <w:tc>
          <w:tcPr>
            <w:tcW w:w="8170" w:type="dxa"/>
            <w:tcBorders>
              <w:left w:val="nil"/>
            </w:tcBorders>
            <w:shd w:val="clear" w:color="auto" w:fill="CCE2ED"/>
          </w:tcPr>
          <w:p w14:paraId="62C4EB5A"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3"/>
                <w:sz w:val="18"/>
              </w:rPr>
              <w:t xml:space="preserve"> </w:t>
            </w:r>
            <w:r>
              <w:rPr>
                <w:rFonts w:ascii="Calibri" w:hAnsi="Calibri"/>
                <w:sz w:val="18"/>
              </w:rPr>
              <w:t>B21:</w:t>
            </w:r>
            <w:r>
              <w:rPr>
                <w:rFonts w:ascii="Calibri" w:hAnsi="Calibri"/>
                <w:spacing w:val="-4"/>
                <w:sz w:val="18"/>
              </w:rPr>
              <w:t xml:space="preserve"> </w:t>
            </w:r>
            <w:r>
              <w:rPr>
                <w:rFonts w:ascii="Calibri" w:hAnsi="Calibri"/>
                <w:sz w:val="18"/>
              </w:rPr>
              <w:t>Water</w:t>
            </w:r>
            <w:r>
              <w:rPr>
                <w:rFonts w:ascii="Calibri" w:hAnsi="Calibri"/>
                <w:spacing w:val="-3"/>
                <w:sz w:val="18"/>
              </w:rPr>
              <w:t xml:space="preserve"> </w:t>
            </w:r>
            <w:r>
              <w:rPr>
                <w:rFonts w:ascii="Calibri" w:hAnsi="Calibri"/>
                <w:sz w:val="18"/>
              </w:rPr>
              <w:t>Volumetric</w:t>
            </w:r>
            <w:r>
              <w:rPr>
                <w:rFonts w:ascii="Calibri" w:hAnsi="Calibri"/>
                <w:spacing w:val="-3"/>
                <w:sz w:val="18"/>
              </w:rPr>
              <w:t xml:space="preserve"> </w:t>
            </w:r>
            <w:r>
              <w:rPr>
                <w:rFonts w:ascii="Calibri" w:hAnsi="Calibri"/>
                <w:sz w:val="18"/>
              </w:rPr>
              <w:t>Demand</w:t>
            </w:r>
            <w:r>
              <w:rPr>
                <w:rFonts w:ascii="Calibri" w:hAnsi="Calibri"/>
                <w:spacing w:val="-3"/>
                <w:sz w:val="18"/>
              </w:rPr>
              <w:t xml:space="preserve"> </w:t>
            </w:r>
            <w:r>
              <w:rPr>
                <w:rFonts w:ascii="Calibri" w:hAnsi="Calibri"/>
                <w:sz w:val="18"/>
              </w:rPr>
              <w:t>Forecast</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ML</w:t>
            </w:r>
            <w:r>
              <w:rPr>
                <w:rFonts w:ascii="Calibri" w:hAnsi="Calibri"/>
                <w:spacing w:val="-3"/>
                <w:sz w:val="18"/>
              </w:rPr>
              <w:t xml:space="preserve"> </w:t>
            </w:r>
            <w:r>
              <w:rPr>
                <w:rFonts w:ascii="Calibri" w:hAnsi="Calibri"/>
                <w:spacing w:val="-5"/>
                <w:sz w:val="18"/>
              </w:rPr>
              <w:t>Pa</w:t>
            </w:r>
          </w:p>
        </w:tc>
        <w:tc>
          <w:tcPr>
            <w:tcW w:w="1572" w:type="dxa"/>
            <w:tcBorders>
              <w:right w:val="nil"/>
            </w:tcBorders>
            <w:shd w:val="clear" w:color="auto" w:fill="CCE2ED"/>
          </w:tcPr>
          <w:p w14:paraId="3785B4B6" w14:textId="77777777" w:rsidR="00141B97" w:rsidRDefault="00911D63">
            <w:pPr>
              <w:pStyle w:val="TableParagraph"/>
              <w:spacing w:before="1" w:line="199" w:lineRule="exact"/>
              <w:ind w:right="86"/>
              <w:jc w:val="right"/>
              <w:rPr>
                <w:rFonts w:ascii="Calibri"/>
                <w:sz w:val="18"/>
              </w:rPr>
            </w:pPr>
            <w:r>
              <w:rPr>
                <w:rFonts w:ascii="Calibri"/>
                <w:spacing w:val="-5"/>
                <w:sz w:val="18"/>
              </w:rPr>
              <w:t>71</w:t>
            </w:r>
          </w:p>
        </w:tc>
      </w:tr>
      <w:tr w:rsidR="00141B97" w14:paraId="453E617D" w14:textId="77777777">
        <w:trPr>
          <w:trHeight w:val="220"/>
          <w:tblCellSpacing w:w="9" w:type="dxa"/>
        </w:trPr>
        <w:tc>
          <w:tcPr>
            <w:tcW w:w="8170" w:type="dxa"/>
            <w:tcBorders>
              <w:left w:val="nil"/>
            </w:tcBorders>
            <w:shd w:val="clear" w:color="auto" w:fill="CCE2ED"/>
          </w:tcPr>
          <w:p w14:paraId="0606ADA6" w14:textId="77777777" w:rsidR="00141B97" w:rsidRDefault="00911D63">
            <w:pPr>
              <w:pStyle w:val="TableParagraph"/>
              <w:spacing w:line="200" w:lineRule="exact"/>
              <w:ind w:left="88"/>
              <w:rPr>
                <w:rFonts w:ascii="Calibri"/>
                <w:sz w:val="18"/>
              </w:rPr>
            </w:pPr>
            <w:r>
              <w:rPr>
                <w:rFonts w:ascii="Calibri"/>
                <w:sz w:val="18"/>
              </w:rPr>
              <w:t>Figure</w:t>
            </w:r>
            <w:r>
              <w:rPr>
                <w:rFonts w:ascii="Calibri"/>
                <w:spacing w:val="-4"/>
                <w:sz w:val="18"/>
              </w:rPr>
              <w:t xml:space="preserve"> </w:t>
            </w:r>
            <w:r>
              <w:rPr>
                <w:rFonts w:ascii="Calibri"/>
                <w:sz w:val="18"/>
              </w:rPr>
              <w:t>B5:</w:t>
            </w:r>
            <w:r>
              <w:rPr>
                <w:rFonts w:ascii="Calibri"/>
                <w:spacing w:val="-5"/>
                <w:sz w:val="18"/>
              </w:rPr>
              <w:t xml:space="preserve"> </w:t>
            </w:r>
            <w:r>
              <w:rPr>
                <w:rFonts w:ascii="Calibri"/>
                <w:sz w:val="18"/>
              </w:rPr>
              <w:t>Actual</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Forecast</w:t>
            </w:r>
            <w:r>
              <w:rPr>
                <w:rFonts w:ascii="Calibri"/>
                <w:spacing w:val="-4"/>
                <w:sz w:val="18"/>
              </w:rPr>
              <w:t xml:space="preserve"> </w:t>
            </w:r>
            <w:r>
              <w:rPr>
                <w:rFonts w:ascii="Calibri"/>
                <w:sz w:val="18"/>
              </w:rPr>
              <w:t>Volumetric</w:t>
            </w:r>
            <w:r>
              <w:rPr>
                <w:rFonts w:ascii="Calibri"/>
                <w:spacing w:val="-4"/>
                <w:sz w:val="18"/>
              </w:rPr>
              <w:t xml:space="preserve"> </w:t>
            </w:r>
            <w:r>
              <w:rPr>
                <w:rFonts w:ascii="Calibri"/>
                <w:spacing w:val="-2"/>
                <w:sz w:val="18"/>
              </w:rPr>
              <w:t>Demand</w:t>
            </w:r>
          </w:p>
        </w:tc>
        <w:tc>
          <w:tcPr>
            <w:tcW w:w="1572" w:type="dxa"/>
            <w:tcBorders>
              <w:right w:val="nil"/>
            </w:tcBorders>
            <w:shd w:val="clear" w:color="auto" w:fill="CCE2ED"/>
          </w:tcPr>
          <w:p w14:paraId="49405D0C" w14:textId="77777777" w:rsidR="00141B97" w:rsidRDefault="00911D63">
            <w:pPr>
              <w:pStyle w:val="TableParagraph"/>
              <w:spacing w:line="200" w:lineRule="exact"/>
              <w:ind w:right="86"/>
              <w:jc w:val="right"/>
              <w:rPr>
                <w:rFonts w:ascii="Calibri"/>
                <w:sz w:val="18"/>
              </w:rPr>
            </w:pPr>
            <w:r>
              <w:rPr>
                <w:rFonts w:ascii="Calibri"/>
                <w:spacing w:val="-5"/>
                <w:sz w:val="18"/>
              </w:rPr>
              <w:t>72</w:t>
            </w:r>
          </w:p>
        </w:tc>
      </w:tr>
      <w:tr w:rsidR="00141B97" w14:paraId="26C0EA7E" w14:textId="77777777">
        <w:trPr>
          <w:trHeight w:val="218"/>
          <w:tblCellSpacing w:w="9" w:type="dxa"/>
        </w:trPr>
        <w:tc>
          <w:tcPr>
            <w:tcW w:w="8170" w:type="dxa"/>
            <w:tcBorders>
              <w:left w:val="nil"/>
            </w:tcBorders>
            <w:shd w:val="clear" w:color="auto" w:fill="CCE2ED"/>
          </w:tcPr>
          <w:p w14:paraId="052EC0DF"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4"/>
                <w:sz w:val="18"/>
              </w:rPr>
              <w:t xml:space="preserve"> </w:t>
            </w:r>
            <w:r>
              <w:rPr>
                <w:rFonts w:ascii="Calibri"/>
                <w:sz w:val="18"/>
              </w:rPr>
              <w:t>B22:</w:t>
            </w:r>
            <w:r>
              <w:rPr>
                <w:rFonts w:ascii="Calibri"/>
                <w:spacing w:val="-3"/>
                <w:sz w:val="18"/>
              </w:rPr>
              <w:t xml:space="preserve"> </w:t>
            </w:r>
            <w:r>
              <w:rPr>
                <w:rFonts w:ascii="Calibri"/>
                <w:sz w:val="18"/>
              </w:rPr>
              <w:t>Wastewater</w:t>
            </w:r>
            <w:r>
              <w:rPr>
                <w:rFonts w:ascii="Calibri"/>
                <w:spacing w:val="-3"/>
                <w:sz w:val="18"/>
              </w:rPr>
              <w:t xml:space="preserve"> </w:t>
            </w:r>
            <w:r>
              <w:rPr>
                <w:rFonts w:ascii="Calibri"/>
                <w:sz w:val="18"/>
              </w:rPr>
              <w:t>Connections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2"/>
                <w:sz w:val="18"/>
              </w:rPr>
              <w:t>Flows</w:t>
            </w:r>
          </w:p>
        </w:tc>
        <w:tc>
          <w:tcPr>
            <w:tcW w:w="1572" w:type="dxa"/>
            <w:tcBorders>
              <w:right w:val="nil"/>
            </w:tcBorders>
            <w:shd w:val="clear" w:color="auto" w:fill="CCE2ED"/>
          </w:tcPr>
          <w:p w14:paraId="6DA9D0EC" w14:textId="77777777" w:rsidR="00141B97" w:rsidRDefault="00911D63">
            <w:pPr>
              <w:pStyle w:val="TableParagraph"/>
              <w:spacing w:line="199" w:lineRule="exact"/>
              <w:ind w:right="86"/>
              <w:jc w:val="right"/>
              <w:rPr>
                <w:rFonts w:ascii="Calibri"/>
                <w:sz w:val="18"/>
              </w:rPr>
            </w:pPr>
            <w:r>
              <w:rPr>
                <w:rFonts w:ascii="Calibri"/>
                <w:spacing w:val="-5"/>
                <w:sz w:val="18"/>
              </w:rPr>
              <w:t>72</w:t>
            </w:r>
          </w:p>
        </w:tc>
      </w:tr>
      <w:tr w:rsidR="00141B97" w14:paraId="053561DB" w14:textId="77777777">
        <w:trPr>
          <w:trHeight w:val="220"/>
          <w:tblCellSpacing w:w="9" w:type="dxa"/>
        </w:trPr>
        <w:tc>
          <w:tcPr>
            <w:tcW w:w="8170" w:type="dxa"/>
            <w:tcBorders>
              <w:left w:val="nil"/>
            </w:tcBorders>
            <w:shd w:val="clear" w:color="auto" w:fill="CCE2ED"/>
          </w:tcPr>
          <w:p w14:paraId="51F0A7E2"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B23:</w:t>
            </w:r>
            <w:r>
              <w:rPr>
                <w:rFonts w:ascii="Calibri"/>
                <w:spacing w:val="-3"/>
                <w:sz w:val="18"/>
              </w:rPr>
              <w:t xml:space="preserve"> </w:t>
            </w:r>
            <w:r>
              <w:rPr>
                <w:rFonts w:ascii="Calibri"/>
                <w:sz w:val="18"/>
              </w:rPr>
              <w:t>Forecast</w:t>
            </w:r>
            <w:r>
              <w:rPr>
                <w:rFonts w:ascii="Calibri"/>
                <w:spacing w:val="-3"/>
                <w:sz w:val="18"/>
              </w:rPr>
              <w:t xml:space="preserve"> </w:t>
            </w:r>
            <w:r>
              <w:rPr>
                <w:rFonts w:ascii="Calibri"/>
                <w:sz w:val="18"/>
              </w:rPr>
              <w:t>Number</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Development</w:t>
            </w:r>
            <w:r>
              <w:rPr>
                <w:rFonts w:ascii="Calibri"/>
                <w:spacing w:val="-3"/>
                <w:sz w:val="18"/>
              </w:rPr>
              <w:t xml:space="preserve"> </w:t>
            </w:r>
            <w:r>
              <w:rPr>
                <w:rFonts w:ascii="Calibri"/>
                <w:spacing w:val="-4"/>
                <w:sz w:val="18"/>
              </w:rPr>
              <w:t>Lots</w:t>
            </w:r>
          </w:p>
        </w:tc>
        <w:tc>
          <w:tcPr>
            <w:tcW w:w="1572" w:type="dxa"/>
            <w:tcBorders>
              <w:right w:val="nil"/>
            </w:tcBorders>
            <w:shd w:val="clear" w:color="auto" w:fill="CCE2ED"/>
          </w:tcPr>
          <w:p w14:paraId="18656737" w14:textId="77777777" w:rsidR="00141B97" w:rsidRDefault="00911D63">
            <w:pPr>
              <w:pStyle w:val="TableParagraph"/>
              <w:spacing w:before="1" w:line="199" w:lineRule="exact"/>
              <w:ind w:right="86"/>
              <w:jc w:val="right"/>
              <w:rPr>
                <w:rFonts w:ascii="Calibri"/>
                <w:sz w:val="18"/>
              </w:rPr>
            </w:pPr>
            <w:r>
              <w:rPr>
                <w:rFonts w:ascii="Calibri"/>
                <w:spacing w:val="-5"/>
                <w:sz w:val="18"/>
              </w:rPr>
              <w:t>72</w:t>
            </w:r>
          </w:p>
        </w:tc>
      </w:tr>
      <w:tr w:rsidR="00141B97" w14:paraId="3E59008F" w14:textId="77777777">
        <w:trPr>
          <w:trHeight w:val="220"/>
          <w:tblCellSpacing w:w="9" w:type="dxa"/>
        </w:trPr>
        <w:tc>
          <w:tcPr>
            <w:tcW w:w="8170" w:type="dxa"/>
            <w:tcBorders>
              <w:left w:val="nil"/>
            </w:tcBorders>
            <w:shd w:val="clear" w:color="auto" w:fill="CCE2ED"/>
          </w:tcPr>
          <w:p w14:paraId="6BF7BCDD"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B24:</w:t>
            </w:r>
            <w:r>
              <w:rPr>
                <w:rFonts w:ascii="Calibri"/>
                <w:spacing w:val="-3"/>
                <w:sz w:val="18"/>
              </w:rPr>
              <w:t xml:space="preserve"> </w:t>
            </w:r>
            <w:r>
              <w:rPr>
                <w:rFonts w:ascii="Calibri"/>
                <w:sz w:val="18"/>
              </w:rPr>
              <w:t>Actual</w:t>
            </w:r>
            <w:r>
              <w:rPr>
                <w:rFonts w:ascii="Calibri"/>
                <w:spacing w:val="-4"/>
                <w:sz w:val="18"/>
              </w:rPr>
              <w:t xml:space="preserve"> </w:t>
            </w:r>
            <w:r>
              <w:rPr>
                <w:rFonts w:ascii="Calibri"/>
                <w:sz w:val="18"/>
              </w:rPr>
              <w:t>and</w:t>
            </w:r>
            <w:r>
              <w:rPr>
                <w:rFonts w:ascii="Calibri"/>
                <w:spacing w:val="-3"/>
                <w:sz w:val="18"/>
              </w:rPr>
              <w:t xml:space="preserve"> </w:t>
            </w:r>
            <w:r>
              <w:rPr>
                <w:rFonts w:ascii="Calibri"/>
                <w:sz w:val="18"/>
              </w:rPr>
              <w:t>Planned</w:t>
            </w:r>
            <w:r>
              <w:rPr>
                <w:rFonts w:ascii="Calibri"/>
                <w:spacing w:val="-5"/>
                <w:sz w:val="18"/>
              </w:rPr>
              <w:t xml:space="preserve"> </w:t>
            </w:r>
            <w:r>
              <w:rPr>
                <w:rFonts w:ascii="Calibri"/>
                <w:sz w:val="18"/>
              </w:rPr>
              <w:t>Operating</w:t>
            </w:r>
            <w:r>
              <w:rPr>
                <w:rFonts w:ascii="Calibri"/>
                <w:spacing w:val="-3"/>
                <w:sz w:val="18"/>
              </w:rPr>
              <w:t xml:space="preserve"> </w:t>
            </w:r>
            <w:r>
              <w:rPr>
                <w:rFonts w:ascii="Calibri"/>
                <w:sz w:val="18"/>
              </w:rPr>
              <w:t>Expenditure</w:t>
            </w:r>
            <w:r>
              <w:rPr>
                <w:rFonts w:ascii="Calibri"/>
                <w:spacing w:val="-2"/>
                <w:sz w:val="18"/>
              </w:rPr>
              <w:t xml:space="preserve"> </w:t>
            </w:r>
            <w:r>
              <w:rPr>
                <w:rFonts w:ascii="Calibri"/>
                <w:sz w:val="18"/>
              </w:rPr>
              <w:t>($m</w:t>
            </w:r>
            <w:r>
              <w:rPr>
                <w:rFonts w:ascii="Calibri"/>
                <w:spacing w:val="-2"/>
                <w:sz w:val="18"/>
              </w:rPr>
              <w:t xml:space="preserve"> 1/1/23)</w:t>
            </w:r>
          </w:p>
        </w:tc>
        <w:tc>
          <w:tcPr>
            <w:tcW w:w="1572" w:type="dxa"/>
            <w:tcBorders>
              <w:right w:val="nil"/>
            </w:tcBorders>
            <w:shd w:val="clear" w:color="auto" w:fill="CCE2ED"/>
          </w:tcPr>
          <w:p w14:paraId="1A154DDE" w14:textId="77777777" w:rsidR="00141B97" w:rsidRDefault="00911D63">
            <w:pPr>
              <w:pStyle w:val="TableParagraph"/>
              <w:spacing w:before="1" w:line="199" w:lineRule="exact"/>
              <w:ind w:right="86"/>
              <w:jc w:val="right"/>
              <w:rPr>
                <w:rFonts w:ascii="Calibri"/>
                <w:sz w:val="18"/>
              </w:rPr>
            </w:pPr>
            <w:r>
              <w:rPr>
                <w:rFonts w:ascii="Calibri"/>
                <w:spacing w:val="-5"/>
                <w:sz w:val="18"/>
              </w:rPr>
              <w:t>73</w:t>
            </w:r>
          </w:p>
        </w:tc>
      </w:tr>
      <w:tr w:rsidR="00141B97" w14:paraId="6F137B11" w14:textId="77777777">
        <w:trPr>
          <w:trHeight w:val="219"/>
          <w:tblCellSpacing w:w="9" w:type="dxa"/>
        </w:trPr>
        <w:tc>
          <w:tcPr>
            <w:tcW w:w="8170" w:type="dxa"/>
            <w:tcBorders>
              <w:left w:val="nil"/>
            </w:tcBorders>
            <w:shd w:val="clear" w:color="auto" w:fill="CCE2ED"/>
          </w:tcPr>
          <w:p w14:paraId="77774FA7"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5"/>
                <w:sz w:val="18"/>
              </w:rPr>
              <w:t xml:space="preserve"> </w:t>
            </w:r>
            <w:r>
              <w:rPr>
                <w:rFonts w:ascii="Calibri" w:hAnsi="Calibri"/>
                <w:sz w:val="18"/>
              </w:rPr>
              <w:t>B25:</w:t>
            </w:r>
            <w:r>
              <w:rPr>
                <w:rFonts w:ascii="Calibri" w:hAnsi="Calibri"/>
                <w:spacing w:val="-3"/>
                <w:sz w:val="18"/>
              </w:rPr>
              <w:t xml:space="preserve"> </w:t>
            </w:r>
            <w:r>
              <w:rPr>
                <w:rFonts w:ascii="Calibri" w:hAnsi="Calibri"/>
                <w:sz w:val="18"/>
              </w:rPr>
              <w:t>Mildura</w:t>
            </w:r>
            <w:r>
              <w:rPr>
                <w:rFonts w:ascii="Calibri" w:hAnsi="Calibri"/>
                <w:spacing w:val="-2"/>
                <w:sz w:val="18"/>
              </w:rPr>
              <w:t xml:space="preserve"> </w:t>
            </w:r>
            <w:r>
              <w:rPr>
                <w:rFonts w:ascii="Calibri" w:hAnsi="Calibri"/>
                <w:sz w:val="18"/>
              </w:rPr>
              <w:t>WTP’s</w:t>
            </w:r>
            <w:r>
              <w:rPr>
                <w:rFonts w:ascii="Calibri" w:hAnsi="Calibri"/>
                <w:spacing w:val="-3"/>
                <w:sz w:val="18"/>
              </w:rPr>
              <w:t xml:space="preserve"> </w:t>
            </w:r>
            <w:r>
              <w:rPr>
                <w:rFonts w:ascii="Calibri" w:hAnsi="Calibri"/>
                <w:sz w:val="18"/>
              </w:rPr>
              <w:t>Raw</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Average</w:t>
            </w:r>
            <w:r>
              <w:rPr>
                <w:rFonts w:ascii="Calibri" w:hAnsi="Calibri"/>
                <w:spacing w:val="-4"/>
                <w:sz w:val="18"/>
              </w:rPr>
              <w:t xml:space="preserve"> </w:t>
            </w:r>
            <w:r>
              <w:rPr>
                <w:rFonts w:ascii="Calibri" w:hAnsi="Calibri"/>
                <w:sz w:val="18"/>
              </w:rPr>
              <w:t>Data</w:t>
            </w:r>
            <w:r>
              <w:rPr>
                <w:rFonts w:ascii="Calibri" w:hAnsi="Calibri"/>
                <w:spacing w:val="-2"/>
                <w:sz w:val="18"/>
              </w:rPr>
              <w:t xml:space="preserve"> </w:t>
            </w:r>
            <w:r>
              <w:rPr>
                <w:rFonts w:ascii="Calibri" w:hAnsi="Calibri"/>
                <w:sz w:val="18"/>
              </w:rPr>
              <w:t>Per</w:t>
            </w:r>
            <w:r>
              <w:rPr>
                <w:rFonts w:ascii="Calibri" w:hAnsi="Calibri"/>
                <w:spacing w:val="-4"/>
                <w:sz w:val="18"/>
              </w:rPr>
              <w:t xml:space="preserve"> </w:t>
            </w:r>
            <w:r>
              <w:rPr>
                <w:rFonts w:ascii="Calibri" w:hAnsi="Calibri"/>
                <w:sz w:val="18"/>
              </w:rPr>
              <w:t>Financial</w:t>
            </w:r>
            <w:r>
              <w:rPr>
                <w:rFonts w:ascii="Calibri" w:hAnsi="Calibri"/>
                <w:spacing w:val="-2"/>
                <w:sz w:val="18"/>
              </w:rPr>
              <w:t xml:space="preserve"> </w:t>
            </w:r>
            <w:r>
              <w:rPr>
                <w:rFonts w:ascii="Calibri" w:hAnsi="Calibri"/>
                <w:sz w:val="18"/>
              </w:rPr>
              <w:t>Year</w:t>
            </w:r>
            <w:r>
              <w:rPr>
                <w:rFonts w:ascii="Calibri" w:hAnsi="Calibri"/>
                <w:spacing w:val="-4"/>
                <w:sz w:val="18"/>
              </w:rPr>
              <w:t xml:space="preserve"> </w:t>
            </w:r>
            <w:r>
              <w:rPr>
                <w:rFonts w:ascii="Calibri" w:hAnsi="Calibri"/>
                <w:sz w:val="18"/>
              </w:rPr>
              <w:t>for</w:t>
            </w:r>
            <w:r>
              <w:rPr>
                <w:rFonts w:ascii="Calibri" w:hAnsi="Calibri"/>
                <w:spacing w:val="-3"/>
                <w:sz w:val="18"/>
              </w:rPr>
              <w:t xml:space="preserve"> </w:t>
            </w:r>
            <w:r>
              <w:rPr>
                <w:rFonts w:ascii="Calibri" w:hAnsi="Calibri"/>
                <w:sz w:val="18"/>
              </w:rPr>
              <w:t>Previous</w:t>
            </w:r>
            <w:r>
              <w:rPr>
                <w:rFonts w:ascii="Calibri" w:hAnsi="Calibri"/>
                <w:spacing w:val="-3"/>
                <w:sz w:val="18"/>
              </w:rPr>
              <w:t xml:space="preserve"> </w:t>
            </w:r>
            <w:r>
              <w:rPr>
                <w:rFonts w:ascii="Calibri" w:hAnsi="Calibri"/>
                <w:sz w:val="18"/>
              </w:rPr>
              <w:t>Five</w:t>
            </w:r>
            <w:r>
              <w:rPr>
                <w:rFonts w:ascii="Calibri" w:hAnsi="Calibri"/>
                <w:spacing w:val="-2"/>
                <w:sz w:val="18"/>
              </w:rPr>
              <w:t xml:space="preserve"> Years.</w:t>
            </w:r>
          </w:p>
        </w:tc>
        <w:tc>
          <w:tcPr>
            <w:tcW w:w="1572" w:type="dxa"/>
            <w:tcBorders>
              <w:right w:val="nil"/>
            </w:tcBorders>
            <w:shd w:val="clear" w:color="auto" w:fill="CCE2ED"/>
          </w:tcPr>
          <w:p w14:paraId="3737B47A" w14:textId="77777777" w:rsidR="00141B97" w:rsidRDefault="00911D63">
            <w:pPr>
              <w:pStyle w:val="TableParagraph"/>
              <w:spacing w:before="1" w:line="199" w:lineRule="exact"/>
              <w:ind w:right="86"/>
              <w:jc w:val="right"/>
              <w:rPr>
                <w:rFonts w:ascii="Calibri"/>
                <w:sz w:val="18"/>
              </w:rPr>
            </w:pPr>
            <w:r>
              <w:rPr>
                <w:rFonts w:ascii="Calibri"/>
                <w:spacing w:val="-5"/>
                <w:sz w:val="18"/>
              </w:rPr>
              <w:t>74</w:t>
            </w:r>
          </w:p>
        </w:tc>
      </w:tr>
      <w:tr w:rsidR="00141B97" w14:paraId="5A114422" w14:textId="77777777">
        <w:trPr>
          <w:trHeight w:val="218"/>
          <w:tblCellSpacing w:w="9" w:type="dxa"/>
        </w:trPr>
        <w:tc>
          <w:tcPr>
            <w:tcW w:w="8170" w:type="dxa"/>
            <w:tcBorders>
              <w:left w:val="nil"/>
            </w:tcBorders>
            <w:shd w:val="clear" w:color="auto" w:fill="CCE2ED"/>
          </w:tcPr>
          <w:p w14:paraId="596537B5"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B26:</w:t>
            </w:r>
            <w:r>
              <w:rPr>
                <w:rFonts w:ascii="Calibri"/>
                <w:spacing w:val="-3"/>
                <w:sz w:val="18"/>
              </w:rPr>
              <w:t xml:space="preserve"> </w:t>
            </w:r>
            <w:r>
              <w:rPr>
                <w:rFonts w:ascii="Calibri"/>
                <w:sz w:val="18"/>
              </w:rPr>
              <w:t>Urban</w:t>
            </w:r>
            <w:r>
              <w:rPr>
                <w:rFonts w:ascii="Calibri"/>
                <w:spacing w:val="-3"/>
                <w:sz w:val="18"/>
              </w:rPr>
              <w:t xml:space="preserve"> </w:t>
            </w:r>
            <w:r>
              <w:rPr>
                <w:rFonts w:ascii="Calibri"/>
                <w:sz w:val="18"/>
              </w:rPr>
              <w:t>Software</w:t>
            </w:r>
            <w:r>
              <w:rPr>
                <w:rFonts w:ascii="Calibri"/>
                <w:spacing w:val="-3"/>
                <w:sz w:val="18"/>
              </w:rPr>
              <w:t xml:space="preserve"> </w:t>
            </w:r>
            <w:r>
              <w:rPr>
                <w:rFonts w:ascii="Calibri"/>
                <w:sz w:val="18"/>
              </w:rPr>
              <w:t>Licences</w:t>
            </w:r>
            <w:r>
              <w:rPr>
                <w:rFonts w:ascii="Calibri"/>
                <w:spacing w:val="-3"/>
                <w:sz w:val="18"/>
              </w:rPr>
              <w:t xml:space="preserve"> </w:t>
            </w:r>
            <w:r>
              <w:rPr>
                <w:rFonts w:ascii="Calibri"/>
                <w:sz w:val="18"/>
              </w:rPr>
              <w:t>($m</w:t>
            </w:r>
            <w:r>
              <w:rPr>
                <w:rFonts w:ascii="Calibri"/>
                <w:spacing w:val="-2"/>
                <w:sz w:val="18"/>
              </w:rPr>
              <w:t xml:space="preserve"> 1/1/23)</w:t>
            </w:r>
          </w:p>
        </w:tc>
        <w:tc>
          <w:tcPr>
            <w:tcW w:w="1572" w:type="dxa"/>
            <w:tcBorders>
              <w:right w:val="nil"/>
            </w:tcBorders>
            <w:shd w:val="clear" w:color="auto" w:fill="CCE2ED"/>
          </w:tcPr>
          <w:p w14:paraId="1B16F066" w14:textId="77777777" w:rsidR="00141B97" w:rsidRDefault="00911D63">
            <w:pPr>
              <w:pStyle w:val="TableParagraph"/>
              <w:spacing w:line="199" w:lineRule="exact"/>
              <w:ind w:right="86"/>
              <w:jc w:val="right"/>
              <w:rPr>
                <w:rFonts w:ascii="Calibri"/>
                <w:sz w:val="18"/>
              </w:rPr>
            </w:pPr>
            <w:r>
              <w:rPr>
                <w:rFonts w:ascii="Calibri"/>
                <w:spacing w:val="-5"/>
                <w:sz w:val="18"/>
              </w:rPr>
              <w:t>75</w:t>
            </w:r>
          </w:p>
        </w:tc>
      </w:tr>
      <w:tr w:rsidR="00141B97" w14:paraId="264C0A21" w14:textId="77777777">
        <w:trPr>
          <w:trHeight w:val="220"/>
          <w:tblCellSpacing w:w="9" w:type="dxa"/>
        </w:trPr>
        <w:tc>
          <w:tcPr>
            <w:tcW w:w="8170" w:type="dxa"/>
            <w:tcBorders>
              <w:left w:val="nil"/>
            </w:tcBorders>
            <w:shd w:val="clear" w:color="auto" w:fill="CCE2ED"/>
          </w:tcPr>
          <w:p w14:paraId="636FA657" w14:textId="77777777" w:rsidR="00141B97" w:rsidRDefault="00911D63">
            <w:pPr>
              <w:pStyle w:val="TableParagraph"/>
              <w:spacing w:before="1" w:line="199" w:lineRule="exact"/>
              <w:ind w:left="88"/>
              <w:rPr>
                <w:rFonts w:ascii="Calibri" w:hAnsi="Calibri"/>
                <w:sz w:val="18"/>
              </w:rPr>
            </w:pPr>
            <w:r>
              <w:rPr>
                <w:rFonts w:ascii="Calibri" w:hAnsi="Calibri"/>
                <w:sz w:val="18"/>
              </w:rPr>
              <w:t>Figure</w:t>
            </w:r>
            <w:r>
              <w:rPr>
                <w:rFonts w:ascii="Calibri" w:hAnsi="Calibri"/>
                <w:spacing w:val="-4"/>
                <w:sz w:val="18"/>
              </w:rPr>
              <w:t xml:space="preserve"> </w:t>
            </w:r>
            <w:r>
              <w:rPr>
                <w:rFonts w:ascii="Calibri" w:hAnsi="Calibri"/>
                <w:sz w:val="18"/>
              </w:rPr>
              <w:t>B6:</w:t>
            </w:r>
            <w:r>
              <w:rPr>
                <w:rFonts w:ascii="Calibri" w:hAnsi="Calibri"/>
                <w:spacing w:val="-5"/>
                <w:sz w:val="18"/>
              </w:rPr>
              <w:t xml:space="preserve"> </w:t>
            </w:r>
            <w:r>
              <w:rPr>
                <w:rFonts w:ascii="Calibri" w:hAnsi="Calibri"/>
                <w:sz w:val="18"/>
              </w:rPr>
              <w:t>Forecast</w:t>
            </w:r>
            <w:r>
              <w:rPr>
                <w:rFonts w:ascii="Calibri" w:hAnsi="Calibri"/>
                <w:spacing w:val="-4"/>
                <w:sz w:val="18"/>
              </w:rPr>
              <w:t xml:space="preserve"> </w:t>
            </w:r>
            <w:r>
              <w:rPr>
                <w:rFonts w:ascii="Calibri" w:hAnsi="Calibri"/>
                <w:sz w:val="18"/>
              </w:rPr>
              <w:t>Operating</w:t>
            </w:r>
            <w:r>
              <w:rPr>
                <w:rFonts w:ascii="Calibri" w:hAnsi="Calibri"/>
                <w:spacing w:val="-5"/>
                <w:sz w:val="18"/>
              </w:rPr>
              <w:t xml:space="preserve"> </w:t>
            </w:r>
            <w:r>
              <w:rPr>
                <w:rFonts w:ascii="Calibri" w:hAnsi="Calibri"/>
                <w:sz w:val="18"/>
              </w:rPr>
              <w:t>Expenditure</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($m</w:t>
            </w:r>
            <w:r>
              <w:rPr>
                <w:rFonts w:ascii="Calibri" w:hAnsi="Calibri"/>
                <w:spacing w:val="-5"/>
                <w:sz w:val="18"/>
              </w:rPr>
              <w:t xml:space="preserve"> </w:t>
            </w:r>
            <w:r>
              <w:rPr>
                <w:rFonts w:ascii="Calibri" w:hAnsi="Calibri"/>
                <w:spacing w:val="-2"/>
                <w:sz w:val="18"/>
              </w:rPr>
              <w:t>1/1/23)</w:t>
            </w:r>
          </w:p>
        </w:tc>
        <w:tc>
          <w:tcPr>
            <w:tcW w:w="1572" w:type="dxa"/>
            <w:tcBorders>
              <w:right w:val="nil"/>
            </w:tcBorders>
            <w:shd w:val="clear" w:color="auto" w:fill="CCE2ED"/>
          </w:tcPr>
          <w:p w14:paraId="4D4D3737" w14:textId="77777777" w:rsidR="00141B97" w:rsidRDefault="00911D63">
            <w:pPr>
              <w:pStyle w:val="TableParagraph"/>
              <w:spacing w:before="1" w:line="199" w:lineRule="exact"/>
              <w:ind w:right="86"/>
              <w:jc w:val="right"/>
              <w:rPr>
                <w:rFonts w:ascii="Calibri"/>
                <w:sz w:val="18"/>
              </w:rPr>
            </w:pPr>
            <w:r>
              <w:rPr>
                <w:rFonts w:ascii="Calibri"/>
                <w:spacing w:val="-5"/>
                <w:sz w:val="18"/>
              </w:rPr>
              <w:t>76</w:t>
            </w:r>
          </w:p>
        </w:tc>
      </w:tr>
      <w:tr w:rsidR="00141B97" w14:paraId="60DF522E" w14:textId="77777777">
        <w:trPr>
          <w:trHeight w:val="220"/>
          <w:tblCellSpacing w:w="9" w:type="dxa"/>
        </w:trPr>
        <w:tc>
          <w:tcPr>
            <w:tcW w:w="8170" w:type="dxa"/>
            <w:tcBorders>
              <w:left w:val="nil"/>
            </w:tcBorders>
            <w:shd w:val="clear" w:color="auto" w:fill="CCE2ED"/>
          </w:tcPr>
          <w:p w14:paraId="4E2D62F6"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5"/>
                <w:sz w:val="18"/>
              </w:rPr>
              <w:t xml:space="preserve"> </w:t>
            </w:r>
            <w:r>
              <w:rPr>
                <w:rFonts w:ascii="Calibri" w:hAnsi="Calibri"/>
                <w:sz w:val="18"/>
              </w:rPr>
              <w:t>B27:</w:t>
            </w:r>
            <w:r>
              <w:rPr>
                <w:rFonts w:ascii="Calibri" w:hAnsi="Calibri"/>
                <w:spacing w:val="-5"/>
                <w:sz w:val="18"/>
              </w:rPr>
              <w:t xml:space="preserve"> </w:t>
            </w:r>
            <w:r>
              <w:rPr>
                <w:rFonts w:ascii="Calibri" w:hAnsi="Calibri"/>
                <w:sz w:val="18"/>
              </w:rPr>
              <w:t>Baseline</w:t>
            </w:r>
            <w:r>
              <w:rPr>
                <w:rFonts w:ascii="Calibri" w:hAnsi="Calibri"/>
                <w:spacing w:val="-5"/>
                <w:sz w:val="18"/>
              </w:rPr>
              <w:t xml:space="preserve"> </w:t>
            </w:r>
            <w:r>
              <w:rPr>
                <w:rFonts w:ascii="Calibri" w:hAnsi="Calibri"/>
                <w:sz w:val="18"/>
              </w:rPr>
              <w:t>Controllable</w:t>
            </w:r>
            <w:r>
              <w:rPr>
                <w:rFonts w:ascii="Calibri" w:hAnsi="Calibri"/>
                <w:spacing w:val="-4"/>
                <w:sz w:val="18"/>
              </w:rPr>
              <w:t xml:space="preserve"> </w:t>
            </w:r>
            <w:r>
              <w:rPr>
                <w:rFonts w:ascii="Calibri" w:hAnsi="Calibri"/>
                <w:sz w:val="18"/>
              </w:rPr>
              <w:t>Operating</w:t>
            </w:r>
            <w:r>
              <w:rPr>
                <w:rFonts w:ascii="Calibri" w:hAnsi="Calibri"/>
                <w:spacing w:val="-5"/>
                <w:sz w:val="18"/>
              </w:rPr>
              <w:t xml:space="preserve"> </w:t>
            </w:r>
            <w:r>
              <w:rPr>
                <w:rFonts w:ascii="Calibri" w:hAnsi="Calibri"/>
                <w:sz w:val="18"/>
              </w:rPr>
              <w:t>Expenditure</w:t>
            </w:r>
            <w:r>
              <w:rPr>
                <w:rFonts w:ascii="Calibri" w:hAnsi="Calibri"/>
                <w:spacing w:val="-4"/>
                <w:sz w:val="18"/>
              </w:rPr>
              <w:t xml:space="preserve"> </w:t>
            </w:r>
            <w:r>
              <w:rPr>
                <w:rFonts w:ascii="Calibri" w:hAnsi="Calibri"/>
                <w:sz w:val="18"/>
              </w:rPr>
              <w:t>2021‐22</w:t>
            </w:r>
            <w:r>
              <w:rPr>
                <w:rFonts w:ascii="Calibri" w:hAnsi="Calibri"/>
                <w:spacing w:val="-5"/>
                <w:sz w:val="18"/>
              </w:rPr>
              <w:t xml:space="preserve"> </w:t>
            </w:r>
            <w:r>
              <w:rPr>
                <w:rFonts w:ascii="Calibri" w:hAnsi="Calibri"/>
                <w:sz w:val="18"/>
              </w:rPr>
              <w:t>($m</w:t>
            </w:r>
            <w:r>
              <w:rPr>
                <w:rFonts w:ascii="Calibri" w:hAnsi="Calibri"/>
                <w:spacing w:val="-4"/>
                <w:sz w:val="18"/>
              </w:rPr>
              <w:t xml:space="preserve"> </w:t>
            </w:r>
            <w:r>
              <w:rPr>
                <w:rFonts w:ascii="Calibri" w:hAnsi="Calibri"/>
                <w:spacing w:val="-2"/>
                <w:sz w:val="18"/>
              </w:rPr>
              <w:t>1/1/23)</w:t>
            </w:r>
          </w:p>
        </w:tc>
        <w:tc>
          <w:tcPr>
            <w:tcW w:w="1572" w:type="dxa"/>
            <w:tcBorders>
              <w:right w:val="nil"/>
            </w:tcBorders>
            <w:shd w:val="clear" w:color="auto" w:fill="CCE2ED"/>
          </w:tcPr>
          <w:p w14:paraId="3E3A6271" w14:textId="77777777" w:rsidR="00141B97" w:rsidRDefault="00911D63">
            <w:pPr>
              <w:pStyle w:val="TableParagraph"/>
              <w:spacing w:before="1" w:line="199" w:lineRule="exact"/>
              <w:ind w:right="86"/>
              <w:jc w:val="right"/>
              <w:rPr>
                <w:rFonts w:ascii="Calibri"/>
                <w:sz w:val="18"/>
              </w:rPr>
            </w:pPr>
            <w:r>
              <w:rPr>
                <w:rFonts w:ascii="Calibri"/>
                <w:spacing w:val="-5"/>
                <w:sz w:val="18"/>
              </w:rPr>
              <w:t>76</w:t>
            </w:r>
          </w:p>
        </w:tc>
      </w:tr>
      <w:tr w:rsidR="00141B97" w14:paraId="123E6CFD" w14:textId="77777777">
        <w:trPr>
          <w:trHeight w:val="219"/>
          <w:tblCellSpacing w:w="9" w:type="dxa"/>
        </w:trPr>
        <w:tc>
          <w:tcPr>
            <w:tcW w:w="8170" w:type="dxa"/>
            <w:tcBorders>
              <w:left w:val="nil"/>
            </w:tcBorders>
            <w:shd w:val="clear" w:color="auto" w:fill="CCE2ED"/>
          </w:tcPr>
          <w:p w14:paraId="72609356"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7"/>
                <w:sz w:val="18"/>
              </w:rPr>
              <w:t xml:space="preserve"> </w:t>
            </w:r>
            <w:r>
              <w:rPr>
                <w:rFonts w:ascii="Calibri"/>
                <w:sz w:val="18"/>
              </w:rPr>
              <w:t>B28:</w:t>
            </w:r>
            <w:r>
              <w:rPr>
                <w:rFonts w:ascii="Calibri"/>
                <w:spacing w:val="-4"/>
                <w:sz w:val="18"/>
              </w:rPr>
              <w:t xml:space="preserve"> </w:t>
            </w:r>
            <w:r>
              <w:rPr>
                <w:rFonts w:ascii="Calibri"/>
                <w:sz w:val="18"/>
              </w:rPr>
              <w:t>Forecast</w:t>
            </w:r>
            <w:r>
              <w:rPr>
                <w:rFonts w:ascii="Calibri"/>
                <w:spacing w:val="-5"/>
                <w:sz w:val="18"/>
              </w:rPr>
              <w:t xml:space="preserve"> </w:t>
            </w:r>
            <w:r>
              <w:rPr>
                <w:rFonts w:ascii="Calibri"/>
                <w:sz w:val="18"/>
              </w:rPr>
              <w:t>Capital</w:t>
            </w:r>
            <w:r>
              <w:rPr>
                <w:rFonts w:ascii="Calibri"/>
                <w:spacing w:val="-5"/>
                <w:sz w:val="18"/>
              </w:rPr>
              <w:t xml:space="preserve"> </w:t>
            </w:r>
            <w:r>
              <w:rPr>
                <w:rFonts w:ascii="Calibri"/>
                <w:sz w:val="18"/>
              </w:rPr>
              <w:t>Expenditure</w:t>
            </w:r>
            <w:r>
              <w:rPr>
                <w:rFonts w:ascii="Calibri"/>
                <w:spacing w:val="-4"/>
                <w:sz w:val="18"/>
              </w:rPr>
              <w:t xml:space="preserve"> </w:t>
            </w:r>
            <w:r>
              <w:rPr>
                <w:rFonts w:ascii="Calibri"/>
                <w:sz w:val="18"/>
              </w:rPr>
              <w:t>by</w:t>
            </w:r>
            <w:r>
              <w:rPr>
                <w:rFonts w:ascii="Calibri"/>
                <w:spacing w:val="-4"/>
                <w:sz w:val="18"/>
              </w:rPr>
              <w:t xml:space="preserve"> </w:t>
            </w:r>
            <w:r>
              <w:rPr>
                <w:rFonts w:ascii="Calibri"/>
                <w:sz w:val="18"/>
              </w:rPr>
              <w:t>Service</w:t>
            </w:r>
            <w:r>
              <w:rPr>
                <w:rFonts w:ascii="Calibri"/>
                <w:spacing w:val="-4"/>
                <w:sz w:val="18"/>
              </w:rPr>
              <w:t xml:space="preserve"> </w:t>
            </w:r>
            <w:r>
              <w:rPr>
                <w:rFonts w:ascii="Calibri"/>
                <w:sz w:val="18"/>
              </w:rPr>
              <w:t>Category</w:t>
            </w:r>
            <w:r>
              <w:rPr>
                <w:rFonts w:ascii="Calibri"/>
                <w:spacing w:val="-4"/>
                <w:sz w:val="18"/>
              </w:rPr>
              <w:t xml:space="preserve"> </w:t>
            </w:r>
            <w:r>
              <w:rPr>
                <w:rFonts w:ascii="Calibri"/>
                <w:sz w:val="18"/>
              </w:rPr>
              <w:t>($m</w:t>
            </w:r>
            <w:r>
              <w:rPr>
                <w:rFonts w:ascii="Calibri"/>
                <w:spacing w:val="-5"/>
                <w:sz w:val="18"/>
              </w:rPr>
              <w:t xml:space="preserve"> </w:t>
            </w:r>
            <w:r>
              <w:rPr>
                <w:rFonts w:ascii="Calibri"/>
                <w:spacing w:val="-2"/>
                <w:sz w:val="18"/>
              </w:rPr>
              <w:t>1/1/23)</w:t>
            </w:r>
          </w:p>
        </w:tc>
        <w:tc>
          <w:tcPr>
            <w:tcW w:w="1572" w:type="dxa"/>
            <w:tcBorders>
              <w:right w:val="nil"/>
            </w:tcBorders>
            <w:shd w:val="clear" w:color="auto" w:fill="CCE2ED"/>
          </w:tcPr>
          <w:p w14:paraId="7E014845" w14:textId="77777777" w:rsidR="00141B97" w:rsidRDefault="00911D63">
            <w:pPr>
              <w:pStyle w:val="TableParagraph"/>
              <w:spacing w:before="1" w:line="199" w:lineRule="exact"/>
              <w:ind w:right="86"/>
              <w:jc w:val="right"/>
              <w:rPr>
                <w:rFonts w:ascii="Calibri"/>
                <w:sz w:val="18"/>
              </w:rPr>
            </w:pPr>
            <w:r>
              <w:rPr>
                <w:rFonts w:ascii="Calibri"/>
                <w:spacing w:val="-5"/>
                <w:sz w:val="18"/>
              </w:rPr>
              <w:t>78</w:t>
            </w:r>
          </w:p>
        </w:tc>
      </w:tr>
      <w:tr w:rsidR="00141B97" w14:paraId="703C9883" w14:textId="77777777">
        <w:trPr>
          <w:trHeight w:val="218"/>
          <w:tblCellSpacing w:w="9" w:type="dxa"/>
        </w:trPr>
        <w:tc>
          <w:tcPr>
            <w:tcW w:w="8170" w:type="dxa"/>
            <w:tcBorders>
              <w:left w:val="nil"/>
            </w:tcBorders>
            <w:shd w:val="clear" w:color="auto" w:fill="CCE2ED"/>
          </w:tcPr>
          <w:p w14:paraId="7FE7EB5D" w14:textId="77777777" w:rsidR="00141B97" w:rsidRDefault="00911D63">
            <w:pPr>
              <w:pStyle w:val="TableParagraph"/>
              <w:spacing w:line="199" w:lineRule="exact"/>
              <w:ind w:left="88"/>
              <w:rPr>
                <w:rFonts w:ascii="Calibri"/>
                <w:sz w:val="18"/>
              </w:rPr>
            </w:pPr>
            <w:r>
              <w:rPr>
                <w:rFonts w:ascii="Calibri"/>
                <w:sz w:val="18"/>
              </w:rPr>
              <w:t>Figure</w:t>
            </w:r>
            <w:r>
              <w:rPr>
                <w:rFonts w:ascii="Calibri"/>
                <w:spacing w:val="-4"/>
                <w:sz w:val="18"/>
              </w:rPr>
              <w:t xml:space="preserve"> </w:t>
            </w:r>
            <w:r>
              <w:rPr>
                <w:rFonts w:ascii="Calibri"/>
                <w:sz w:val="18"/>
              </w:rPr>
              <w:t>B7:</w:t>
            </w:r>
            <w:r>
              <w:rPr>
                <w:rFonts w:ascii="Calibri"/>
                <w:spacing w:val="-6"/>
                <w:sz w:val="18"/>
              </w:rPr>
              <w:t xml:space="preserve"> </w:t>
            </w:r>
            <w:r>
              <w:rPr>
                <w:rFonts w:ascii="Calibri"/>
                <w:sz w:val="18"/>
              </w:rPr>
              <w:t>Forecast</w:t>
            </w:r>
            <w:r>
              <w:rPr>
                <w:rFonts w:ascii="Calibri"/>
                <w:spacing w:val="-4"/>
                <w:sz w:val="18"/>
              </w:rPr>
              <w:t xml:space="preserve"> </w:t>
            </w:r>
            <w:r>
              <w:rPr>
                <w:rFonts w:ascii="Calibri"/>
                <w:sz w:val="18"/>
              </w:rPr>
              <w:t>Capital</w:t>
            </w:r>
            <w:r>
              <w:rPr>
                <w:rFonts w:ascii="Calibri"/>
                <w:spacing w:val="-6"/>
                <w:sz w:val="18"/>
              </w:rPr>
              <w:t xml:space="preserve"> </w:t>
            </w:r>
            <w:r>
              <w:rPr>
                <w:rFonts w:ascii="Calibri"/>
                <w:sz w:val="18"/>
              </w:rPr>
              <w:t>Expenditure</w:t>
            </w:r>
            <w:r>
              <w:rPr>
                <w:rFonts w:ascii="Calibri"/>
                <w:spacing w:val="-4"/>
                <w:sz w:val="18"/>
              </w:rPr>
              <w:t xml:space="preserve"> </w:t>
            </w:r>
            <w:r>
              <w:rPr>
                <w:rFonts w:ascii="Calibri"/>
                <w:sz w:val="18"/>
              </w:rPr>
              <w:t>($m</w:t>
            </w:r>
            <w:r>
              <w:rPr>
                <w:rFonts w:ascii="Calibri"/>
                <w:spacing w:val="-4"/>
                <w:sz w:val="18"/>
              </w:rPr>
              <w:t xml:space="preserve"> </w:t>
            </w:r>
            <w:r>
              <w:rPr>
                <w:rFonts w:ascii="Calibri"/>
                <w:spacing w:val="-2"/>
                <w:sz w:val="18"/>
              </w:rPr>
              <w:t>1/1/23)</w:t>
            </w:r>
          </w:p>
        </w:tc>
        <w:tc>
          <w:tcPr>
            <w:tcW w:w="1572" w:type="dxa"/>
            <w:tcBorders>
              <w:right w:val="nil"/>
            </w:tcBorders>
            <w:shd w:val="clear" w:color="auto" w:fill="CCE2ED"/>
          </w:tcPr>
          <w:p w14:paraId="7F3D5D98" w14:textId="77777777" w:rsidR="00141B97" w:rsidRDefault="00911D63">
            <w:pPr>
              <w:pStyle w:val="TableParagraph"/>
              <w:spacing w:line="199" w:lineRule="exact"/>
              <w:ind w:right="86"/>
              <w:jc w:val="right"/>
              <w:rPr>
                <w:rFonts w:ascii="Calibri"/>
                <w:sz w:val="18"/>
              </w:rPr>
            </w:pPr>
            <w:r>
              <w:rPr>
                <w:rFonts w:ascii="Calibri"/>
                <w:spacing w:val="-5"/>
                <w:sz w:val="18"/>
              </w:rPr>
              <w:t>79</w:t>
            </w:r>
          </w:p>
        </w:tc>
      </w:tr>
      <w:tr w:rsidR="00141B97" w14:paraId="43AF8D5F" w14:textId="77777777">
        <w:trPr>
          <w:trHeight w:val="219"/>
          <w:tblCellSpacing w:w="9" w:type="dxa"/>
        </w:trPr>
        <w:tc>
          <w:tcPr>
            <w:tcW w:w="8170" w:type="dxa"/>
            <w:tcBorders>
              <w:left w:val="nil"/>
            </w:tcBorders>
            <w:shd w:val="clear" w:color="auto" w:fill="CCE2ED"/>
          </w:tcPr>
          <w:p w14:paraId="5FB3C303"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4"/>
                <w:sz w:val="18"/>
              </w:rPr>
              <w:t xml:space="preserve"> </w:t>
            </w:r>
            <w:r>
              <w:rPr>
                <w:rFonts w:ascii="Calibri" w:hAnsi="Calibri"/>
                <w:sz w:val="18"/>
              </w:rPr>
              <w:t>B29:</w:t>
            </w:r>
            <w:r>
              <w:rPr>
                <w:rFonts w:ascii="Calibri" w:hAnsi="Calibri"/>
                <w:spacing w:val="-3"/>
                <w:sz w:val="18"/>
              </w:rPr>
              <w:t xml:space="preserve"> </w:t>
            </w:r>
            <w:r>
              <w:rPr>
                <w:rFonts w:ascii="Calibri" w:hAnsi="Calibri"/>
                <w:sz w:val="18"/>
              </w:rPr>
              <w:t>Forecast</w:t>
            </w:r>
            <w:r>
              <w:rPr>
                <w:rFonts w:ascii="Calibri" w:hAnsi="Calibri"/>
                <w:spacing w:val="-3"/>
                <w:sz w:val="18"/>
              </w:rPr>
              <w:t xml:space="preserve"> </w:t>
            </w:r>
            <w:r>
              <w:rPr>
                <w:rFonts w:ascii="Calibri" w:hAnsi="Calibri"/>
                <w:sz w:val="18"/>
              </w:rPr>
              <w:t>Capital</w:t>
            </w:r>
            <w:r>
              <w:rPr>
                <w:rFonts w:ascii="Calibri" w:hAnsi="Calibri"/>
                <w:spacing w:val="-4"/>
                <w:sz w:val="18"/>
              </w:rPr>
              <w:t xml:space="preserve"> </w:t>
            </w:r>
            <w:r>
              <w:rPr>
                <w:rFonts w:ascii="Calibri" w:hAnsi="Calibri"/>
                <w:sz w:val="18"/>
              </w:rPr>
              <w:t>Expenditure</w:t>
            </w:r>
            <w:r>
              <w:rPr>
                <w:rFonts w:ascii="Calibri" w:hAnsi="Calibri"/>
                <w:spacing w:val="-3"/>
                <w:sz w:val="18"/>
              </w:rPr>
              <w:t xml:space="preserve"> </w:t>
            </w:r>
            <w:r>
              <w:rPr>
                <w:rFonts w:ascii="Calibri" w:hAnsi="Calibri"/>
                <w:sz w:val="18"/>
              </w:rPr>
              <w:t>by</w:t>
            </w:r>
            <w:r>
              <w:rPr>
                <w:rFonts w:ascii="Calibri" w:hAnsi="Calibri"/>
                <w:spacing w:val="-3"/>
                <w:sz w:val="18"/>
              </w:rPr>
              <w:t xml:space="preserve"> </w:t>
            </w:r>
            <w:r>
              <w:rPr>
                <w:rFonts w:ascii="Calibri" w:hAnsi="Calibri"/>
                <w:sz w:val="18"/>
              </w:rPr>
              <w:t>Cost</w:t>
            </w:r>
            <w:r>
              <w:rPr>
                <w:rFonts w:ascii="Calibri" w:hAnsi="Calibri"/>
                <w:spacing w:val="-5"/>
                <w:sz w:val="18"/>
              </w:rPr>
              <w:t xml:space="preserve"> </w:t>
            </w:r>
            <w:r>
              <w:rPr>
                <w:rFonts w:ascii="Calibri" w:hAnsi="Calibri"/>
                <w:sz w:val="18"/>
              </w:rPr>
              <w:t>Driver</w:t>
            </w:r>
            <w:r>
              <w:rPr>
                <w:rFonts w:ascii="Calibri" w:hAnsi="Calibri"/>
                <w:spacing w:val="-4"/>
                <w:sz w:val="18"/>
              </w:rPr>
              <w:t xml:space="preserve"> </w:t>
            </w:r>
            <w:r>
              <w:rPr>
                <w:rFonts w:ascii="Calibri" w:hAnsi="Calibri"/>
                <w:sz w:val="18"/>
              </w:rPr>
              <w:t>‐</w:t>
            </w:r>
            <w:r>
              <w:rPr>
                <w:rFonts w:ascii="Calibri" w:hAnsi="Calibri"/>
                <w:spacing w:val="-3"/>
                <w:sz w:val="18"/>
              </w:rPr>
              <w:t xml:space="preserve"> </w:t>
            </w:r>
            <w:r>
              <w:rPr>
                <w:rFonts w:ascii="Calibri" w:hAnsi="Calibri"/>
                <w:sz w:val="18"/>
              </w:rPr>
              <w:t>$m</w:t>
            </w:r>
            <w:r>
              <w:rPr>
                <w:rFonts w:ascii="Calibri" w:hAnsi="Calibri"/>
                <w:spacing w:val="-3"/>
                <w:sz w:val="18"/>
              </w:rPr>
              <w:t xml:space="preserve"> </w:t>
            </w:r>
            <w:r>
              <w:rPr>
                <w:rFonts w:ascii="Calibri" w:hAnsi="Calibri"/>
                <w:spacing w:val="-2"/>
                <w:sz w:val="18"/>
              </w:rPr>
              <w:t>1/1/23</w:t>
            </w:r>
          </w:p>
        </w:tc>
        <w:tc>
          <w:tcPr>
            <w:tcW w:w="1572" w:type="dxa"/>
            <w:tcBorders>
              <w:right w:val="nil"/>
            </w:tcBorders>
            <w:shd w:val="clear" w:color="auto" w:fill="CCE2ED"/>
          </w:tcPr>
          <w:p w14:paraId="0E4D39D0" w14:textId="77777777" w:rsidR="00141B97" w:rsidRDefault="00911D63">
            <w:pPr>
              <w:pStyle w:val="TableParagraph"/>
              <w:spacing w:before="1" w:line="199" w:lineRule="exact"/>
              <w:ind w:right="86"/>
              <w:jc w:val="right"/>
              <w:rPr>
                <w:rFonts w:ascii="Calibri"/>
                <w:sz w:val="18"/>
              </w:rPr>
            </w:pPr>
            <w:r>
              <w:rPr>
                <w:rFonts w:ascii="Calibri"/>
                <w:spacing w:val="-5"/>
                <w:sz w:val="18"/>
              </w:rPr>
              <w:t>79</w:t>
            </w:r>
          </w:p>
        </w:tc>
      </w:tr>
      <w:tr w:rsidR="00141B97" w14:paraId="2AF90DC0" w14:textId="77777777">
        <w:trPr>
          <w:trHeight w:val="219"/>
          <w:tblCellSpacing w:w="9" w:type="dxa"/>
        </w:trPr>
        <w:tc>
          <w:tcPr>
            <w:tcW w:w="8170" w:type="dxa"/>
            <w:tcBorders>
              <w:left w:val="nil"/>
            </w:tcBorders>
            <w:shd w:val="clear" w:color="auto" w:fill="CCE2ED"/>
          </w:tcPr>
          <w:p w14:paraId="40CF40D1"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B30:</w:t>
            </w:r>
            <w:r>
              <w:rPr>
                <w:rFonts w:ascii="Calibri"/>
                <w:spacing w:val="-3"/>
                <w:sz w:val="18"/>
              </w:rPr>
              <w:t xml:space="preserve"> </w:t>
            </w:r>
            <w:r>
              <w:rPr>
                <w:rFonts w:ascii="Calibri"/>
                <w:sz w:val="18"/>
              </w:rPr>
              <w:t>Top</w:t>
            </w:r>
            <w:r>
              <w:rPr>
                <w:rFonts w:ascii="Calibri"/>
                <w:spacing w:val="-2"/>
                <w:sz w:val="18"/>
              </w:rPr>
              <w:t xml:space="preserve"> </w:t>
            </w:r>
            <w:r>
              <w:rPr>
                <w:rFonts w:ascii="Calibri"/>
                <w:sz w:val="18"/>
              </w:rPr>
              <w:t>Ten</w:t>
            </w:r>
            <w:r>
              <w:rPr>
                <w:rFonts w:ascii="Calibri"/>
                <w:spacing w:val="-3"/>
                <w:sz w:val="18"/>
              </w:rPr>
              <w:t xml:space="preserve"> </w:t>
            </w:r>
            <w:r>
              <w:rPr>
                <w:rFonts w:ascii="Calibri"/>
                <w:sz w:val="18"/>
              </w:rPr>
              <w:t>Proposed</w:t>
            </w:r>
            <w:r>
              <w:rPr>
                <w:rFonts w:ascii="Calibri"/>
                <w:spacing w:val="-3"/>
                <w:sz w:val="18"/>
              </w:rPr>
              <w:t xml:space="preserve"> </w:t>
            </w:r>
            <w:r>
              <w:rPr>
                <w:rFonts w:ascii="Calibri"/>
                <w:sz w:val="18"/>
              </w:rPr>
              <w:t>Capital</w:t>
            </w:r>
            <w:r>
              <w:rPr>
                <w:rFonts w:ascii="Calibri"/>
                <w:spacing w:val="-3"/>
                <w:sz w:val="18"/>
              </w:rPr>
              <w:t xml:space="preserve"> </w:t>
            </w:r>
            <w:r>
              <w:rPr>
                <w:rFonts w:ascii="Calibri"/>
                <w:spacing w:val="-2"/>
                <w:sz w:val="18"/>
              </w:rPr>
              <w:t>Projects</w:t>
            </w:r>
          </w:p>
        </w:tc>
        <w:tc>
          <w:tcPr>
            <w:tcW w:w="1572" w:type="dxa"/>
            <w:tcBorders>
              <w:right w:val="nil"/>
            </w:tcBorders>
            <w:shd w:val="clear" w:color="auto" w:fill="CCE2ED"/>
          </w:tcPr>
          <w:p w14:paraId="69F65A74" w14:textId="77777777" w:rsidR="00141B97" w:rsidRDefault="00911D63">
            <w:pPr>
              <w:pStyle w:val="TableParagraph"/>
              <w:spacing w:before="1" w:line="199" w:lineRule="exact"/>
              <w:ind w:right="86"/>
              <w:jc w:val="right"/>
              <w:rPr>
                <w:rFonts w:ascii="Calibri"/>
                <w:sz w:val="18"/>
              </w:rPr>
            </w:pPr>
            <w:r>
              <w:rPr>
                <w:rFonts w:ascii="Calibri"/>
                <w:spacing w:val="-5"/>
                <w:sz w:val="18"/>
              </w:rPr>
              <w:t>80</w:t>
            </w:r>
          </w:p>
        </w:tc>
      </w:tr>
      <w:tr w:rsidR="00141B97" w14:paraId="073BCF7B" w14:textId="77777777">
        <w:trPr>
          <w:trHeight w:val="220"/>
          <w:tblCellSpacing w:w="9" w:type="dxa"/>
        </w:trPr>
        <w:tc>
          <w:tcPr>
            <w:tcW w:w="8170" w:type="dxa"/>
            <w:tcBorders>
              <w:left w:val="nil"/>
            </w:tcBorders>
            <w:shd w:val="clear" w:color="auto" w:fill="CCE2ED"/>
          </w:tcPr>
          <w:p w14:paraId="2F915106"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B31:</w:t>
            </w:r>
            <w:r>
              <w:rPr>
                <w:rFonts w:ascii="Calibri"/>
                <w:spacing w:val="-2"/>
                <w:sz w:val="18"/>
              </w:rPr>
              <w:t xml:space="preserve"> </w:t>
            </w:r>
            <w:r>
              <w:rPr>
                <w:rFonts w:ascii="Calibri"/>
                <w:sz w:val="18"/>
              </w:rPr>
              <w:t>Major</w:t>
            </w:r>
            <w:r>
              <w:rPr>
                <w:rFonts w:ascii="Calibri"/>
                <w:spacing w:val="-2"/>
                <w:sz w:val="18"/>
              </w:rPr>
              <w:t xml:space="preserve"> Programs</w:t>
            </w:r>
          </w:p>
        </w:tc>
        <w:tc>
          <w:tcPr>
            <w:tcW w:w="1572" w:type="dxa"/>
            <w:tcBorders>
              <w:right w:val="nil"/>
            </w:tcBorders>
            <w:shd w:val="clear" w:color="auto" w:fill="CCE2ED"/>
          </w:tcPr>
          <w:p w14:paraId="74DE1796" w14:textId="77777777" w:rsidR="00141B97" w:rsidRDefault="00911D63">
            <w:pPr>
              <w:pStyle w:val="TableParagraph"/>
              <w:spacing w:before="1" w:line="199" w:lineRule="exact"/>
              <w:ind w:right="86"/>
              <w:jc w:val="right"/>
              <w:rPr>
                <w:rFonts w:ascii="Calibri"/>
                <w:sz w:val="18"/>
              </w:rPr>
            </w:pPr>
            <w:r>
              <w:rPr>
                <w:rFonts w:ascii="Calibri"/>
                <w:spacing w:val="-5"/>
                <w:sz w:val="18"/>
              </w:rPr>
              <w:t>81</w:t>
            </w:r>
          </w:p>
        </w:tc>
      </w:tr>
      <w:tr w:rsidR="00141B97" w14:paraId="21437740" w14:textId="77777777">
        <w:trPr>
          <w:trHeight w:val="220"/>
          <w:tblCellSpacing w:w="9" w:type="dxa"/>
        </w:trPr>
        <w:tc>
          <w:tcPr>
            <w:tcW w:w="8170" w:type="dxa"/>
            <w:tcBorders>
              <w:left w:val="nil"/>
            </w:tcBorders>
            <w:shd w:val="clear" w:color="auto" w:fill="CCE2ED"/>
          </w:tcPr>
          <w:p w14:paraId="1C934A13" w14:textId="77777777" w:rsidR="00141B97" w:rsidRDefault="00911D63">
            <w:pPr>
              <w:pStyle w:val="TableParagraph"/>
              <w:spacing w:line="200" w:lineRule="exact"/>
              <w:ind w:left="88"/>
              <w:rPr>
                <w:rFonts w:ascii="Calibri"/>
                <w:sz w:val="18"/>
              </w:rPr>
            </w:pPr>
            <w:r>
              <w:rPr>
                <w:rFonts w:ascii="Calibri"/>
                <w:sz w:val="18"/>
              </w:rPr>
              <w:t>Table</w:t>
            </w:r>
            <w:r>
              <w:rPr>
                <w:rFonts w:ascii="Calibri"/>
                <w:spacing w:val="-3"/>
                <w:sz w:val="18"/>
              </w:rPr>
              <w:t xml:space="preserve"> </w:t>
            </w:r>
            <w:r>
              <w:rPr>
                <w:rFonts w:ascii="Calibri"/>
                <w:sz w:val="18"/>
              </w:rPr>
              <w:t>B32:</w:t>
            </w:r>
            <w:r>
              <w:rPr>
                <w:rFonts w:ascii="Calibri"/>
                <w:spacing w:val="-2"/>
                <w:sz w:val="18"/>
              </w:rPr>
              <w:t xml:space="preserve"> </w:t>
            </w:r>
            <w:r>
              <w:rPr>
                <w:rFonts w:ascii="Calibri"/>
                <w:sz w:val="18"/>
              </w:rPr>
              <w:t>Updating</w:t>
            </w:r>
            <w:r>
              <w:rPr>
                <w:rFonts w:ascii="Calibri"/>
                <w:spacing w:val="-3"/>
                <w:sz w:val="18"/>
              </w:rPr>
              <w:t xml:space="preserve"> </w:t>
            </w:r>
            <w:r>
              <w:rPr>
                <w:rFonts w:ascii="Calibri"/>
                <w:sz w:val="18"/>
              </w:rPr>
              <w:t>the</w:t>
            </w:r>
            <w:r>
              <w:rPr>
                <w:rFonts w:ascii="Calibri"/>
                <w:spacing w:val="-2"/>
                <w:sz w:val="18"/>
              </w:rPr>
              <w:t xml:space="preserve"> </w:t>
            </w:r>
            <w:r>
              <w:rPr>
                <w:rFonts w:ascii="Calibri"/>
                <w:sz w:val="18"/>
              </w:rPr>
              <w:t>Regulatory</w:t>
            </w:r>
            <w:r>
              <w:rPr>
                <w:rFonts w:ascii="Calibri"/>
                <w:spacing w:val="-1"/>
                <w:sz w:val="18"/>
              </w:rPr>
              <w:t xml:space="preserve"> </w:t>
            </w:r>
            <w:r>
              <w:rPr>
                <w:rFonts w:ascii="Calibri"/>
                <w:sz w:val="18"/>
              </w:rPr>
              <w:t>Asset</w:t>
            </w:r>
            <w:r>
              <w:rPr>
                <w:rFonts w:ascii="Calibri"/>
                <w:spacing w:val="-3"/>
                <w:sz w:val="18"/>
              </w:rPr>
              <w:t xml:space="preserve"> </w:t>
            </w:r>
            <w:r>
              <w:rPr>
                <w:rFonts w:ascii="Calibri"/>
                <w:spacing w:val="-4"/>
                <w:sz w:val="18"/>
              </w:rPr>
              <w:t>Base</w:t>
            </w:r>
          </w:p>
        </w:tc>
        <w:tc>
          <w:tcPr>
            <w:tcW w:w="1572" w:type="dxa"/>
            <w:tcBorders>
              <w:right w:val="nil"/>
            </w:tcBorders>
            <w:shd w:val="clear" w:color="auto" w:fill="CCE2ED"/>
          </w:tcPr>
          <w:p w14:paraId="598D6AB5" w14:textId="77777777" w:rsidR="00141B97" w:rsidRDefault="00911D63">
            <w:pPr>
              <w:pStyle w:val="TableParagraph"/>
              <w:spacing w:line="200" w:lineRule="exact"/>
              <w:ind w:right="86"/>
              <w:jc w:val="right"/>
              <w:rPr>
                <w:rFonts w:ascii="Calibri"/>
                <w:sz w:val="18"/>
              </w:rPr>
            </w:pPr>
            <w:r>
              <w:rPr>
                <w:rFonts w:ascii="Calibri"/>
                <w:spacing w:val="-5"/>
                <w:sz w:val="18"/>
              </w:rPr>
              <w:t>82</w:t>
            </w:r>
          </w:p>
        </w:tc>
      </w:tr>
      <w:tr w:rsidR="00141B97" w14:paraId="740B39CE" w14:textId="77777777">
        <w:trPr>
          <w:trHeight w:val="218"/>
          <w:tblCellSpacing w:w="9" w:type="dxa"/>
        </w:trPr>
        <w:tc>
          <w:tcPr>
            <w:tcW w:w="8170" w:type="dxa"/>
            <w:tcBorders>
              <w:left w:val="nil"/>
            </w:tcBorders>
            <w:shd w:val="clear" w:color="auto" w:fill="CCE2ED"/>
          </w:tcPr>
          <w:p w14:paraId="34428F64" w14:textId="77777777" w:rsidR="00141B97" w:rsidRDefault="00911D63">
            <w:pPr>
              <w:pStyle w:val="TableParagraph"/>
              <w:spacing w:line="199" w:lineRule="exact"/>
              <w:ind w:left="88"/>
              <w:rPr>
                <w:rFonts w:ascii="Calibri"/>
                <w:sz w:val="18"/>
              </w:rPr>
            </w:pPr>
            <w:r>
              <w:rPr>
                <w:rFonts w:ascii="Calibri"/>
                <w:sz w:val="18"/>
              </w:rPr>
              <w:t>Table</w:t>
            </w:r>
            <w:r>
              <w:rPr>
                <w:rFonts w:ascii="Calibri"/>
                <w:spacing w:val="-4"/>
                <w:sz w:val="18"/>
              </w:rPr>
              <w:t xml:space="preserve"> </w:t>
            </w:r>
            <w:r>
              <w:rPr>
                <w:rFonts w:ascii="Calibri"/>
                <w:sz w:val="18"/>
              </w:rPr>
              <w:t>B33:</w:t>
            </w:r>
            <w:r>
              <w:rPr>
                <w:rFonts w:ascii="Calibri"/>
                <w:spacing w:val="-3"/>
                <w:sz w:val="18"/>
              </w:rPr>
              <w:t xml:space="preserve"> </w:t>
            </w:r>
            <w:r>
              <w:rPr>
                <w:rFonts w:ascii="Calibri"/>
                <w:sz w:val="18"/>
              </w:rPr>
              <w:t>Rolling</w:t>
            </w:r>
            <w:r>
              <w:rPr>
                <w:rFonts w:ascii="Calibri"/>
                <w:spacing w:val="-3"/>
                <w:sz w:val="18"/>
              </w:rPr>
              <w:t xml:space="preserve"> </w:t>
            </w:r>
            <w:r>
              <w:rPr>
                <w:rFonts w:ascii="Calibri"/>
                <w:sz w:val="18"/>
              </w:rPr>
              <w:t>Forward</w:t>
            </w:r>
            <w:r>
              <w:rPr>
                <w:rFonts w:ascii="Calibri"/>
                <w:spacing w:val="-4"/>
                <w:sz w:val="18"/>
              </w:rPr>
              <w:t xml:space="preserve"> </w:t>
            </w:r>
            <w:r>
              <w:rPr>
                <w:rFonts w:ascii="Calibri"/>
                <w:sz w:val="18"/>
              </w:rPr>
              <w:t>the</w:t>
            </w:r>
            <w:r>
              <w:rPr>
                <w:rFonts w:ascii="Calibri"/>
                <w:spacing w:val="-3"/>
                <w:sz w:val="18"/>
              </w:rPr>
              <w:t xml:space="preserve"> </w:t>
            </w:r>
            <w:r>
              <w:rPr>
                <w:rFonts w:ascii="Calibri"/>
                <w:sz w:val="18"/>
              </w:rPr>
              <w:t>Regulatory</w:t>
            </w:r>
            <w:r>
              <w:rPr>
                <w:rFonts w:ascii="Calibri"/>
                <w:spacing w:val="-2"/>
                <w:sz w:val="18"/>
              </w:rPr>
              <w:t xml:space="preserve"> </w:t>
            </w:r>
            <w:r>
              <w:rPr>
                <w:rFonts w:ascii="Calibri"/>
                <w:sz w:val="18"/>
              </w:rPr>
              <w:t>Asset</w:t>
            </w:r>
            <w:r>
              <w:rPr>
                <w:rFonts w:ascii="Calibri"/>
                <w:spacing w:val="-4"/>
                <w:sz w:val="18"/>
              </w:rPr>
              <w:t xml:space="preserve"> Base</w:t>
            </w:r>
          </w:p>
        </w:tc>
        <w:tc>
          <w:tcPr>
            <w:tcW w:w="1572" w:type="dxa"/>
            <w:tcBorders>
              <w:right w:val="nil"/>
            </w:tcBorders>
            <w:shd w:val="clear" w:color="auto" w:fill="CCE2ED"/>
          </w:tcPr>
          <w:p w14:paraId="7883D18E" w14:textId="77777777" w:rsidR="00141B97" w:rsidRDefault="00911D63">
            <w:pPr>
              <w:pStyle w:val="TableParagraph"/>
              <w:spacing w:line="199" w:lineRule="exact"/>
              <w:ind w:right="86"/>
              <w:jc w:val="right"/>
              <w:rPr>
                <w:rFonts w:ascii="Calibri"/>
                <w:sz w:val="18"/>
              </w:rPr>
            </w:pPr>
            <w:r>
              <w:rPr>
                <w:rFonts w:ascii="Calibri"/>
                <w:spacing w:val="-5"/>
                <w:sz w:val="18"/>
              </w:rPr>
              <w:t>83</w:t>
            </w:r>
          </w:p>
        </w:tc>
      </w:tr>
      <w:tr w:rsidR="00141B97" w14:paraId="0FA9C4DC" w14:textId="77777777">
        <w:trPr>
          <w:trHeight w:val="220"/>
          <w:tblCellSpacing w:w="9" w:type="dxa"/>
        </w:trPr>
        <w:tc>
          <w:tcPr>
            <w:tcW w:w="8170" w:type="dxa"/>
            <w:tcBorders>
              <w:left w:val="nil"/>
            </w:tcBorders>
            <w:shd w:val="clear" w:color="auto" w:fill="CCE2ED"/>
          </w:tcPr>
          <w:p w14:paraId="6DB5928A" w14:textId="77777777" w:rsidR="00141B97" w:rsidRDefault="00911D63">
            <w:pPr>
              <w:pStyle w:val="TableParagraph"/>
              <w:spacing w:before="1" w:line="199" w:lineRule="exact"/>
              <w:ind w:left="88"/>
              <w:rPr>
                <w:rFonts w:ascii="Calibri" w:hAnsi="Calibri"/>
                <w:sz w:val="18"/>
              </w:rPr>
            </w:pPr>
            <w:r>
              <w:rPr>
                <w:rFonts w:ascii="Calibri" w:hAnsi="Calibri"/>
                <w:sz w:val="18"/>
              </w:rPr>
              <w:t>Figure</w:t>
            </w:r>
            <w:r>
              <w:rPr>
                <w:rFonts w:ascii="Calibri" w:hAnsi="Calibri"/>
                <w:spacing w:val="-4"/>
                <w:sz w:val="18"/>
              </w:rPr>
              <w:t xml:space="preserve"> </w:t>
            </w:r>
            <w:r>
              <w:rPr>
                <w:rFonts w:ascii="Calibri" w:hAnsi="Calibri"/>
                <w:sz w:val="18"/>
              </w:rPr>
              <w:t>B8:</w:t>
            </w:r>
            <w:r>
              <w:rPr>
                <w:rFonts w:ascii="Calibri" w:hAnsi="Calibri"/>
                <w:spacing w:val="-4"/>
                <w:sz w:val="18"/>
              </w:rPr>
              <w:t xml:space="preserve"> </w:t>
            </w:r>
            <w:r>
              <w:rPr>
                <w:rFonts w:ascii="Calibri" w:hAnsi="Calibri"/>
                <w:sz w:val="18"/>
              </w:rPr>
              <w:t>Rolling</w:t>
            </w:r>
            <w:r>
              <w:rPr>
                <w:rFonts w:ascii="Calibri" w:hAnsi="Calibri"/>
                <w:spacing w:val="-3"/>
                <w:sz w:val="18"/>
              </w:rPr>
              <w:t xml:space="preserve"> </w:t>
            </w:r>
            <w:r>
              <w:rPr>
                <w:rFonts w:ascii="Calibri" w:hAnsi="Calibri"/>
                <w:sz w:val="18"/>
              </w:rPr>
              <w:t>Forward</w:t>
            </w:r>
            <w:r>
              <w:rPr>
                <w:rFonts w:ascii="Calibri" w:hAnsi="Calibri"/>
                <w:spacing w:val="-3"/>
                <w:sz w:val="18"/>
              </w:rPr>
              <w:t xml:space="preserve"> </w:t>
            </w:r>
            <w:r>
              <w:rPr>
                <w:rFonts w:ascii="Calibri" w:hAnsi="Calibri"/>
                <w:sz w:val="18"/>
              </w:rPr>
              <w:t>the</w:t>
            </w:r>
            <w:r>
              <w:rPr>
                <w:rFonts w:ascii="Calibri" w:hAnsi="Calibri"/>
                <w:spacing w:val="-2"/>
                <w:sz w:val="18"/>
              </w:rPr>
              <w:t xml:space="preserve"> </w:t>
            </w:r>
            <w:r>
              <w:rPr>
                <w:rFonts w:ascii="Calibri" w:hAnsi="Calibri"/>
                <w:sz w:val="18"/>
              </w:rPr>
              <w:t>Regulatory</w:t>
            </w:r>
            <w:r>
              <w:rPr>
                <w:rFonts w:ascii="Calibri" w:hAnsi="Calibri"/>
                <w:spacing w:val="-2"/>
                <w:sz w:val="18"/>
              </w:rPr>
              <w:t xml:space="preserve"> </w:t>
            </w:r>
            <w:r>
              <w:rPr>
                <w:rFonts w:ascii="Calibri" w:hAnsi="Calibri"/>
                <w:sz w:val="18"/>
              </w:rPr>
              <w:t>Asset</w:t>
            </w:r>
            <w:r>
              <w:rPr>
                <w:rFonts w:ascii="Calibri" w:hAnsi="Calibri"/>
                <w:spacing w:val="-4"/>
                <w:sz w:val="18"/>
              </w:rPr>
              <w:t xml:space="preserve"> </w:t>
            </w:r>
            <w:r>
              <w:rPr>
                <w:rFonts w:ascii="Calibri" w:hAnsi="Calibri"/>
                <w:sz w:val="18"/>
              </w:rPr>
              <w:t>Base</w:t>
            </w:r>
            <w:r>
              <w:rPr>
                <w:rFonts w:ascii="Calibri" w:hAnsi="Calibri"/>
                <w:spacing w:val="-3"/>
                <w:sz w:val="18"/>
              </w:rPr>
              <w:t xml:space="preserve"> </w:t>
            </w:r>
            <w:r>
              <w:rPr>
                <w:rFonts w:ascii="Calibri" w:hAnsi="Calibri"/>
                <w:sz w:val="18"/>
              </w:rPr>
              <w:t>to</w:t>
            </w:r>
            <w:r>
              <w:rPr>
                <w:rFonts w:ascii="Calibri" w:hAnsi="Calibri"/>
                <w:spacing w:val="-3"/>
                <w:sz w:val="18"/>
              </w:rPr>
              <w:t xml:space="preserve"> </w:t>
            </w:r>
            <w:r>
              <w:rPr>
                <w:rFonts w:ascii="Calibri" w:hAnsi="Calibri"/>
                <w:spacing w:val="-2"/>
                <w:sz w:val="18"/>
              </w:rPr>
              <w:t>2028‐33</w:t>
            </w:r>
          </w:p>
        </w:tc>
        <w:tc>
          <w:tcPr>
            <w:tcW w:w="1572" w:type="dxa"/>
            <w:tcBorders>
              <w:right w:val="nil"/>
            </w:tcBorders>
            <w:shd w:val="clear" w:color="auto" w:fill="CCE2ED"/>
          </w:tcPr>
          <w:p w14:paraId="69C397F7" w14:textId="77777777" w:rsidR="00141B97" w:rsidRDefault="00911D63">
            <w:pPr>
              <w:pStyle w:val="TableParagraph"/>
              <w:spacing w:before="1" w:line="199" w:lineRule="exact"/>
              <w:ind w:right="86"/>
              <w:jc w:val="right"/>
              <w:rPr>
                <w:rFonts w:ascii="Calibri"/>
                <w:sz w:val="18"/>
              </w:rPr>
            </w:pPr>
            <w:r>
              <w:rPr>
                <w:rFonts w:ascii="Calibri"/>
                <w:spacing w:val="-5"/>
                <w:sz w:val="18"/>
              </w:rPr>
              <w:t>83</w:t>
            </w:r>
          </w:p>
        </w:tc>
      </w:tr>
      <w:tr w:rsidR="00141B97" w14:paraId="51E947C8" w14:textId="77777777">
        <w:trPr>
          <w:trHeight w:val="220"/>
          <w:tblCellSpacing w:w="9" w:type="dxa"/>
        </w:trPr>
        <w:tc>
          <w:tcPr>
            <w:tcW w:w="8170" w:type="dxa"/>
            <w:tcBorders>
              <w:left w:val="nil"/>
            </w:tcBorders>
            <w:shd w:val="clear" w:color="auto" w:fill="CCE2ED"/>
          </w:tcPr>
          <w:p w14:paraId="7EF1F57F"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2"/>
                <w:sz w:val="18"/>
              </w:rPr>
              <w:t xml:space="preserve"> </w:t>
            </w:r>
            <w:r>
              <w:rPr>
                <w:rFonts w:ascii="Calibri" w:hAnsi="Calibri"/>
                <w:sz w:val="18"/>
              </w:rPr>
              <w:t>B34:</w:t>
            </w:r>
            <w:r>
              <w:rPr>
                <w:rFonts w:ascii="Calibri" w:hAnsi="Calibri"/>
                <w:spacing w:val="-1"/>
                <w:sz w:val="18"/>
              </w:rPr>
              <w:t xml:space="preserve"> </w:t>
            </w:r>
            <w:r>
              <w:rPr>
                <w:rFonts w:ascii="Calibri" w:hAnsi="Calibri"/>
                <w:sz w:val="18"/>
              </w:rPr>
              <w:t>Proposed</w:t>
            </w:r>
            <w:r>
              <w:rPr>
                <w:rFonts w:ascii="Calibri" w:hAnsi="Calibri"/>
                <w:spacing w:val="-3"/>
                <w:sz w:val="18"/>
              </w:rPr>
              <w:t xml:space="preserve"> </w:t>
            </w:r>
            <w:r>
              <w:rPr>
                <w:rFonts w:ascii="Calibri" w:hAnsi="Calibri"/>
                <w:sz w:val="18"/>
              </w:rPr>
              <w:t>Urban</w:t>
            </w:r>
            <w:r>
              <w:rPr>
                <w:rFonts w:ascii="Calibri" w:hAnsi="Calibri"/>
                <w:spacing w:val="-1"/>
                <w:sz w:val="18"/>
              </w:rPr>
              <w:t xml:space="preserve"> </w:t>
            </w:r>
            <w:r>
              <w:rPr>
                <w:rFonts w:ascii="Calibri" w:hAnsi="Calibri"/>
                <w:sz w:val="18"/>
              </w:rPr>
              <w:t>Tariffs</w:t>
            </w:r>
            <w:r>
              <w:rPr>
                <w:rFonts w:ascii="Calibri" w:hAnsi="Calibri"/>
                <w:spacing w:val="-2"/>
                <w:sz w:val="18"/>
              </w:rPr>
              <w:t xml:space="preserve"> </w:t>
            </w:r>
            <w:r>
              <w:rPr>
                <w:rFonts w:ascii="Calibri" w:hAnsi="Calibri"/>
                <w:sz w:val="18"/>
              </w:rPr>
              <w:t>–</w:t>
            </w:r>
            <w:r>
              <w:rPr>
                <w:rFonts w:ascii="Calibri" w:hAnsi="Calibri"/>
                <w:spacing w:val="-1"/>
                <w:sz w:val="18"/>
              </w:rPr>
              <w:t xml:space="preserve"> </w:t>
            </w:r>
            <w:r>
              <w:rPr>
                <w:rFonts w:ascii="Calibri" w:hAnsi="Calibri"/>
                <w:sz w:val="18"/>
              </w:rPr>
              <w:t>$</w:t>
            </w:r>
            <w:r>
              <w:rPr>
                <w:rFonts w:ascii="Calibri" w:hAnsi="Calibri"/>
                <w:spacing w:val="-1"/>
                <w:sz w:val="18"/>
              </w:rPr>
              <w:t xml:space="preserve"> </w:t>
            </w:r>
            <w:r>
              <w:rPr>
                <w:rFonts w:ascii="Calibri" w:hAnsi="Calibri"/>
                <w:spacing w:val="-2"/>
                <w:sz w:val="18"/>
              </w:rPr>
              <w:t>1/1/23</w:t>
            </w:r>
          </w:p>
        </w:tc>
        <w:tc>
          <w:tcPr>
            <w:tcW w:w="1572" w:type="dxa"/>
            <w:tcBorders>
              <w:right w:val="nil"/>
            </w:tcBorders>
            <w:shd w:val="clear" w:color="auto" w:fill="CCE2ED"/>
          </w:tcPr>
          <w:p w14:paraId="23641794" w14:textId="77777777" w:rsidR="00141B97" w:rsidRDefault="00911D63">
            <w:pPr>
              <w:pStyle w:val="TableParagraph"/>
              <w:spacing w:before="1" w:line="199" w:lineRule="exact"/>
              <w:ind w:right="86"/>
              <w:jc w:val="right"/>
              <w:rPr>
                <w:rFonts w:ascii="Calibri"/>
                <w:sz w:val="18"/>
              </w:rPr>
            </w:pPr>
            <w:r>
              <w:rPr>
                <w:rFonts w:ascii="Calibri"/>
                <w:spacing w:val="-5"/>
                <w:sz w:val="18"/>
              </w:rPr>
              <w:t>86</w:t>
            </w:r>
          </w:p>
        </w:tc>
      </w:tr>
      <w:tr w:rsidR="00141B97" w14:paraId="31CE181D" w14:textId="77777777">
        <w:trPr>
          <w:trHeight w:val="220"/>
          <w:tblCellSpacing w:w="9" w:type="dxa"/>
        </w:trPr>
        <w:tc>
          <w:tcPr>
            <w:tcW w:w="8170" w:type="dxa"/>
            <w:tcBorders>
              <w:left w:val="nil"/>
            </w:tcBorders>
            <w:shd w:val="clear" w:color="auto" w:fill="CCE2ED"/>
          </w:tcPr>
          <w:p w14:paraId="7D739447"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2"/>
                <w:sz w:val="18"/>
              </w:rPr>
              <w:t xml:space="preserve"> </w:t>
            </w:r>
            <w:r>
              <w:rPr>
                <w:rFonts w:ascii="Calibri" w:hAnsi="Calibri"/>
                <w:sz w:val="18"/>
              </w:rPr>
              <w:t>B35:</w:t>
            </w:r>
            <w:r>
              <w:rPr>
                <w:rFonts w:ascii="Calibri" w:hAnsi="Calibri"/>
                <w:spacing w:val="36"/>
                <w:sz w:val="18"/>
              </w:rPr>
              <w:t xml:space="preserve"> </w:t>
            </w:r>
            <w:r>
              <w:rPr>
                <w:rFonts w:ascii="Calibri" w:hAnsi="Calibri"/>
                <w:sz w:val="18"/>
              </w:rPr>
              <w:t>Water</w:t>
            </w:r>
            <w:r>
              <w:rPr>
                <w:rFonts w:ascii="Calibri" w:hAnsi="Calibri"/>
                <w:spacing w:val="-3"/>
                <w:sz w:val="18"/>
              </w:rPr>
              <w:t xml:space="preserve"> </w:t>
            </w:r>
            <w:r>
              <w:rPr>
                <w:rFonts w:ascii="Calibri" w:hAnsi="Calibri"/>
                <w:sz w:val="18"/>
              </w:rPr>
              <w:t>Service</w:t>
            </w:r>
            <w:r>
              <w:rPr>
                <w:rFonts w:ascii="Calibri" w:hAnsi="Calibri"/>
                <w:spacing w:val="-1"/>
                <w:sz w:val="18"/>
              </w:rPr>
              <w:t xml:space="preserve"> </w:t>
            </w:r>
            <w:r>
              <w:rPr>
                <w:rFonts w:ascii="Calibri" w:hAnsi="Calibri"/>
                <w:sz w:val="18"/>
              </w:rPr>
              <w:t>Charge</w:t>
            </w:r>
            <w:r>
              <w:rPr>
                <w:rFonts w:ascii="Calibri" w:hAnsi="Calibri"/>
                <w:spacing w:val="-1"/>
                <w:sz w:val="18"/>
              </w:rPr>
              <w:t xml:space="preserve"> </w:t>
            </w:r>
            <w:r>
              <w:rPr>
                <w:rFonts w:ascii="Calibri" w:hAnsi="Calibri"/>
                <w:sz w:val="18"/>
              </w:rPr>
              <w:t>by</w:t>
            </w:r>
            <w:r>
              <w:rPr>
                <w:rFonts w:ascii="Calibri" w:hAnsi="Calibri"/>
                <w:spacing w:val="-2"/>
                <w:sz w:val="18"/>
              </w:rPr>
              <w:t xml:space="preserve"> </w:t>
            </w:r>
            <w:r>
              <w:rPr>
                <w:rFonts w:ascii="Calibri" w:hAnsi="Calibri"/>
                <w:sz w:val="18"/>
              </w:rPr>
              <w:t>Meter</w:t>
            </w:r>
            <w:r>
              <w:rPr>
                <w:rFonts w:ascii="Calibri" w:hAnsi="Calibri"/>
                <w:spacing w:val="-3"/>
                <w:sz w:val="18"/>
              </w:rPr>
              <w:t xml:space="preserve"> </w:t>
            </w:r>
            <w:r>
              <w:rPr>
                <w:rFonts w:ascii="Calibri" w:hAnsi="Calibri"/>
                <w:sz w:val="18"/>
              </w:rPr>
              <w:t>Size</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2022‐23</w:t>
            </w:r>
            <w:r>
              <w:rPr>
                <w:rFonts w:ascii="Calibri" w:hAnsi="Calibri"/>
                <w:spacing w:val="-2"/>
                <w:sz w:val="18"/>
              </w:rPr>
              <w:t xml:space="preserve"> charges</w:t>
            </w:r>
          </w:p>
        </w:tc>
        <w:tc>
          <w:tcPr>
            <w:tcW w:w="1572" w:type="dxa"/>
            <w:tcBorders>
              <w:right w:val="nil"/>
            </w:tcBorders>
            <w:shd w:val="clear" w:color="auto" w:fill="CCE2ED"/>
          </w:tcPr>
          <w:p w14:paraId="560C52B7" w14:textId="77777777" w:rsidR="00141B97" w:rsidRDefault="00911D63">
            <w:pPr>
              <w:pStyle w:val="TableParagraph"/>
              <w:spacing w:before="1" w:line="199" w:lineRule="exact"/>
              <w:ind w:right="86"/>
              <w:jc w:val="right"/>
              <w:rPr>
                <w:rFonts w:ascii="Calibri"/>
                <w:sz w:val="18"/>
              </w:rPr>
            </w:pPr>
            <w:r>
              <w:rPr>
                <w:rFonts w:ascii="Calibri"/>
                <w:spacing w:val="-5"/>
                <w:sz w:val="18"/>
              </w:rPr>
              <w:t>86</w:t>
            </w:r>
          </w:p>
        </w:tc>
      </w:tr>
      <w:tr w:rsidR="00141B97" w14:paraId="6E8A3249" w14:textId="77777777">
        <w:trPr>
          <w:trHeight w:val="218"/>
          <w:tblCellSpacing w:w="9" w:type="dxa"/>
        </w:trPr>
        <w:tc>
          <w:tcPr>
            <w:tcW w:w="8170" w:type="dxa"/>
            <w:tcBorders>
              <w:left w:val="nil"/>
            </w:tcBorders>
            <w:shd w:val="clear" w:color="auto" w:fill="CCE2ED"/>
          </w:tcPr>
          <w:p w14:paraId="4A7FDE03" w14:textId="77777777" w:rsidR="00141B97" w:rsidRDefault="00911D63">
            <w:pPr>
              <w:pStyle w:val="TableParagraph"/>
              <w:spacing w:line="199" w:lineRule="exact"/>
              <w:ind w:left="88"/>
              <w:rPr>
                <w:rFonts w:ascii="Calibri" w:hAnsi="Calibri"/>
                <w:sz w:val="18"/>
              </w:rPr>
            </w:pPr>
            <w:r>
              <w:rPr>
                <w:rFonts w:ascii="Calibri" w:hAnsi="Calibri"/>
                <w:sz w:val="18"/>
              </w:rPr>
              <w:t>Figure</w:t>
            </w:r>
            <w:r>
              <w:rPr>
                <w:rFonts w:ascii="Calibri" w:hAnsi="Calibri"/>
                <w:spacing w:val="-1"/>
                <w:sz w:val="18"/>
              </w:rPr>
              <w:t xml:space="preserve"> </w:t>
            </w:r>
            <w:r>
              <w:rPr>
                <w:rFonts w:ascii="Calibri" w:hAnsi="Calibri"/>
                <w:sz w:val="18"/>
              </w:rPr>
              <w:t>B9:</w:t>
            </w:r>
            <w:r>
              <w:rPr>
                <w:rFonts w:ascii="Calibri" w:hAnsi="Calibri"/>
                <w:spacing w:val="-3"/>
                <w:sz w:val="18"/>
              </w:rPr>
              <w:t xml:space="preserve"> </w:t>
            </w:r>
            <w:r>
              <w:rPr>
                <w:rFonts w:ascii="Calibri" w:hAnsi="Calibri"/>
                <w:sz w:val="18"/>
              </w:rPr>
              <w:t>Proposed</w:t>
            </w:r>
            <w:r>
              <w:rPr>
                <w:rFonts w:ascii="Calibri" w:hAnsi="Calibri"/>
                <w:spacing w:val="-2"/>
                <w:sz w:val="18"/>
              </w:rPr>
              <w:t xml:space="preserve"> </w:t>
            </w:r>
            <w:r>
              <w:rPr>
                <w:rFonts w:ascii="Calibri" w:hAnsi="Calibri"/>
                <w:sz w:val="18"/>
              </w:rPr>
              <w:t>Urban</w:t>
            </w:r>
            <w:r>
              <w:rPr>
                <w:rFonts w:ascii="Calibri" w:hAnsi="Calibri"/>
                <w:spacing w:val="-3"/>
                <w:sz w:val="18"/>
              </w:rPr>
              <w:t xml:space="preserve"> </w:t>
            </w:r>
            <w:r>
              <w:rPr>
                <w:rFonts w:ascii="Calibri" w:hAnsi="Calibri"/>
                <w:sz w:val="18"/>
              </w:rPr>
              <w:t>Price</w:t>
            </w:r>
            <w:r>
              <w:rPr>
                <w:rFonts w:ascii="Calibri" w:hAnsi="Calibri"/>
                <w:spacing w:val="-2"/>
                <w:sz w:val="18"/>
              </w:rPr>
              <w:t xml:space="preserve"> </w:t>
            </w:r>
            <w:r>
              <w:rPr>
                <w:rFonts w:ascii="Calibri" w:hAnsi="Calibri"/>
                <w:sz w:val="18"/>
              </w:rPr>
              <w:t>Changes</w:t>
            </w:r>
            <w:r>
              <w:rPr>
                <w:rFonts w:ascii="Calibri" w:hAnsi="Calibri"/>
                <w:spacing w:val="-2"/>
                <w:sz w:val="18"/>
              </w:rPr>
              <w:t xml:space="preserve"> </w:t>
            </w:r>
            <w:r>
              <w:rPr>
                <w:rFonts w:ascii="Calibri" w:hAnsi="Calibri"/>
                <w:sz w:val="18"/>
              </w:rPr>
              <w:t>–</w:t>
            </w:r>
            <w:r>
              <w:rPr>
                <w:rFonts w:ascii="Calibri" w:hAnsi="Calibri"/>
                <w:spacing w:val="-1"/>
                <w:sz w:val="18"/>
              </w:rPr>
              <w:t xml:space="preserve"> </w:t>
            </w:r>
            <w:r>
              <w:rPr>
                <w:rFonts w:ascii="Calibri" w:hAnsi="Calibri"/>
                <w:sz w:val="18"/>
              </w:rPr>
              <w:t>Average</w:t>
            </w:r>
            <w:r>
              <w:rPr>
                <w:rFonts w:ascii="Calibri" w:hAnsi="Calibri"/>
                <w:spacing w:val="-2"/>
                <w:sz w:val="18"/>
              </w:rPr>
              <w:t xml:space="preserve"> </w:t>
            </w:r>
            <w:r>
              <w:rPr>
                <w:rFonts w:ascii="Calibri" w:hAnsi="Calibri"/>
                <w:sz w:val="18"/>
              </w:rPr>
              <w:t>Residential</w:t>
            </w:r>
            <w:r>
              <w:rPr>
                <w:rFonts w:ascii="Calibri" w:hAnsi="Calibri"/>
                <w:spacing w:val="-3"/>
                <w:sz w:val="18"/>
              </w:rPr>
              <w:t xml:space="preserve"> </w:t>
            </w:r>
            <w:r>
              <w:rPr>
                <w:rFonts w:ascii="Calibri" w:hAnsi="Calibri"/>
                <w:sz w:val="18"/>
              </w:rPr>
              <w:t>Bill</w:t>
            </w:r>
            <w:r>
              <w:rPr>
                <w:rFonts w:ascii="Calibri" w:hAnsi="Calibri"/>
                <w:spacing w:val="-2"/>
                <w:sz w:val="18"/>
              </w:rPr>
              <w:t xml:space="preserve"> $1/1/23</w:t>
            </w:r>
          </w:p>
        </w:tc>
        <w:tc>
          <w:tcPr>
            <w:tcW w:w="1572" w:type="dxa"/>
            <w:tcBorders>
              <w:right w:val="nil"/>
            </w:tcBorders>
            <w:shd w:val="clear" w:color="auto" w:fill="CCE2ED"/>
          </w:tcPr>
          <w:p w14:paraId="2674EBE3" w14:textId="77777777" w:rsidR="00141B97" w:rsidRDefault="00911D63">
            <w:pPr>
              <w:pStyle w:val="TableParagraph"/>
              <w:spacing w:line="199" w:lineRule="exact"/>
              <w:ind w:right="86"/>
              <w:jc w:val="right"/>
              <w:rPr>
                <w:rFonts w:ascii="Calibri"/>
                <w:sz w:val="18"/>
              </w:rPr>
            </w:pPr>
            <w:r>
              <w:rPr>
                <w:rFonts w:ascii="Calibri"/>
                <w:spacing w:val="-5"/>
                <w:sz w:val="18"/>
              </w:rPr>
              <w:t>86</w:t>
            </w:r>
          </w:p>
        </w:tc>
      </w:tr>
      <w:tr w:rsidR="00141B97" w14:paraId="49403030" w14:textId="77777777">
        <w:trPr>
          <w:trHeight w:val="220"/>
          <w:tblCellSpacing w:w="9" w:type="dxa"/>
        </w:trPr>
        <w:tc>
          <w:tcPr>
            <w:tcW w:w="8170" w:type="dxa"/>
            <w:tcBorders>
              <w:left w:val="nil"/>
            </w:tcBorders>
            <w:shd w:val="clear" w:color="auto" w:fill="CCE2ED"/>
          </w:tcPr>
          <w:p w14:paraId="46B81E05"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B36:</w:t>
            </w:r>
            <w:r>
              <w:rPr>
                <w:rFonts w:ascii="Calibri"/>
                <w:spacing w:val="-2"/>
                <w:sz w:val="18"/>
              </w:rPr>
              <w:t xml:space="preserve"> </w:t>
            </w:r>
            <w:r>
              <w:rPr>
                <w:rFonts w:ascii="Calibri"/>
                <w:sz w:val="18"/>
              </w:rPr>
              <w:t>Water</w:t>
            </w:r>
            <w:r>
              <w:rPr>
                <w:rFonts w:ascii="Calibri"/>
                <w:spacing w:val="-3"/>
                <w:sz w:val="18"/>
              </w:rPr>
              <w:t xml:space="preserve"> </w:t>
            </w:r>
            <w:r>
              <w:rPr>
                <w:rFonts w:ascii="Calibri"/>
                <w:sz w:val="18"/>
              </w:rPr>
              <w:t>and</w:t>
            </w:r>
            <w:r>
              <w:rPr>
                <w:rFonts w:ascii="Calibri"/>
                <w:spacing w:val="-3"/>
                <w:sz w:val="18"/>
              </w:rPr>
              <w:t xml:space="preserve"> </w:t>
            </w:r>
            <w:r>
              <w:rPr>
                <w:rFonts w:ascii="Calibri"/>
                <w:sz w:val="18"/>
              </w:rPr>
              <w:t>Sewerage</w:t>
            </w:r>
            <w:r>
              <w:rPr>
                <w:rFonts w:ascii="Calibri"/>
                <w:spacing w:val="-2"/>
                <w:sz w:val="18"/>
              </w:rPr>
              <w:t xml:space="preserve"> </w:t>
            </w:r>
            <w:r>
              <w:rPr>
                <w:rFonts w:ascii="Calibri"/>
                <w:sz w:val="18"/>
              </w:rPr>
              <w:t>Bill</w:t>
            </w:r>
            <w:r>
              <w:rPr>
                <w:rFonts w:ascii="Calibri"/>
                <w:spacing w:val="-3"/>
                <w:sz w:val="18"/>
              </w:rPr>
              <w:t xml:space="preserve"> </w:t>
            </w:r>
            <w:r>
              <w:rPr>
                <w:rFonts w:ascii="Calibri"/>
                <w:sz w:val="18"/>
              </w:rPr>
              <w:t>Changes</w:t>
            </w:r>
            <w:r>
              <w:rPr>
                <w:rFonts w:ascii="Calibri"/>
                <w:spacing w:val="-2"/>
                <w:sz w:val="18"/>
              </w:rPr>
              <w:t xml:space="preserve"> $1/1/23</w:t>
            </w:r>
          </w:p>
        </w:tc>
        <w:tc>
          <w:tcPr>
            <w:tcW w:w="1572" w:type="dxa"/>
            <w:tcBorders>
              <w:right w:val="nil"/>
            </w:tcBorders>
            <w:shd w:val="clear" w:color="auto" w:fill="CCE2ED"/>
          </w:tcPr>
          <w:p w14:paraId="20647744" w14:textId="77777777" w:rsidR="00141B97" w:rsidRDefault="00911D63">
            <w:pPr>
              <w:pStyle w:val="TableParagraph"/>
              <w:spacing w:before="1" w:line="199" w:lineRule="exact"/>
              <w:ind w:right="86"/>
              <w:jc w:val="right"/>
              <w:rPr>
                <w:rFonts w:ascii="Calibri"/>
                <w:sz w:val="18"/>
              </w:rPr>
            </w:pPr>
            <w:r>
              <w:rPr>
                <w:rFonts w:ascii="Calibri"/>
                <w:spacing w:val="-5"/>
                <w:sz w:val="18"/>
              </w:rPr>
              <w:t>87</w:t>
            </w:r>
          </w:p>
        </w:tc>
      </w:tr>
      <w:tr w:rsidR="00141B97" w14:paraId="245EE587" w14:textId="77777777">
        <w:trPr>
          <w:trHeight w:val="220"/>
          <w:tblCellSpacing w:w="9" w:type="dxa"/>
        </w:trPr>
        <w:tc>
          <w:tcPr>
            <w:tcW w:w="8170" w:type="dxa"/>
            <w:tcBorders>
              <w:left w:val="nil"/>
            </w:tcBorders>
            <w:shd w:val="clear" w:color="auto" w:fill="CCE2ED"/>
          </w:tcPr>
          <w:p w14:paraId="3E857C07"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3"/>
                <w:sz w:val="18"/>
              </w:rPr>
              <w:t xml:space="preserve"> </w:t>
            </w:r>
            <w:r>
              <w:rPr>
                <w:rFonts w:ascii="Calibri"/>
                <w:sz w:val="18"/>
              </w:rPr>
              <w:t>B37:</w:t>
            </w:r>
            <w:r>
              <w:rPr>
                <w:rFonts w:ascii="Calibri"/>
                <w:spacing w:val="-3"/>
                <w:sz w:val="18"/>
              </w:rPr>
              <w:t xml:space="preserve"> </w:t>
            </w:r>
            <w:r>
              <w:rPr>
                <w:rFonts w:ascii="Calibri"/>
                <w:sz w:val="18"/>
              </w:rPr>
              <w:t>New</w:t>
            </w:r>
            <w:r>
              <w:rPr>
                <w:rFonts w:ascii="Calibri"/>
                <w:spacing w:val="-4"/>
                <w:sz w:val="18"/>
              </w:rPr>
              <w:t xml:space="preserve"> </w:t>
            </w:r>
            <w:r>
              <w:rPr>
                <w:rFonts w:ascii="Calibri"/>
                <w:sz w:val="18"/>
              </w:rPr>
              <w:t>Customer</w:t>
            </w:r>
            <w:r>
              <w:rPr>
                <w:rFonts w:ascii="Calibri"/>
                <w:spacing w:val="-4"/>
                <w:sz w:val="18"/>
              </w:rPr>
              <w:t xml:space="preserve"> </w:t>
            </w:r>
            <w:r>
              <w:rPr>
                <w:rFonts w:ascii="Calibri"/>
                <w:sz w:val="18"/>
              </w:rPr>
              <w:t>Contributions</w:t>
            </w:r>
            <w:r>
              <w:rPr>
                <w:rFonts w:ascii="Calibri"/>
                <w:spacing w:val="-3"/>
                <w:sz w:val="18"/>
              </w:rPr>
              <w:t xml:space="preserve"> </w:t>
            </w:r>
            <w:r>
              <w:rPr>
                <w:rFonts w:ascii="Calibri"/>
                <w:sz w:val="18"/>
              </w:rPr>
              <w:t>($</w:t>
            </w:r>
            <w:r>
              <w:rPr>
                <w:rFonts w:ascii="Calibri"/>
                <w:spacing w:val="-2"/>
                <w:sz w:val="18"/>
              </w:rPr>
              <w:t xml:space="preserve"> 1/1/23)</w:t>
            </w:r>
          </w:p>
        </w:tc>
        <w:tc>
          <w:tcPr>
            <w:tcW w:w="1572" w:type="dxa"/>
            <w:tcBorders>
              <w:right w:val="nil"/>
            </w:tcBorders>
            <w:shd w:val="clear" w:color="auto" w:fill="CCE2ED"/>
          </w:tcPr>
          <w:p w14:paraId="21F3E32C" w14:textId="77777777" w:rsidR="00141B97" w:rsidRDefault="00911D63">
            <w:pPr>
              <w:pStyle w:val="TableParagraph"/>
              <w:spacing w:before="1" w:line="199" w:lineRule="exact"/>
              <w:ind w:right="86"/>
              <w:jc w:val="right"/>
              <w:rPr>
                <w:rFonts w:ascii="Calibri"/>
                <w:sz w:val="18"/>
              </w:rPr>
            </w:pPr>
            <w:r>
              <w:rPr>
                <w:rFonts w:ascii="Calibri"/>
                <w:spacing w:val="-5"/>
                <w:sz w:val="18"/>
              </w:rPr>
              <w:t>87</w:t>
            </w:r>
          </w:p>
        </w:tc>
      </w:tr>
      <w:tr w:rsidR="00141B97" w14:paraId="6AB7D6CC" w14:textId="77777777">
        <w:trPr>
          <w:trHeight w:val="220"/>
          <w:tblCellSpacing w:w="9" w:type="dxa"/>
        </w:trPr>
        <w:tc>
          <w:tcPr>
            <w:tcW w:w="8170" w:type="dxa"/>
            <w:tcBorders>
              <w:left w:val="nil"/>
            </w:tcBorders>
            <w:shd w:val="clear" w:color="auto" w:fill="CCE2ED"/>
          </w:tcPr>
          <w:p w14:paraId="67983E03" w14:textId="77777777" w:rsidR="00141B97" w:rsidRDefault="00911D63">
            <w:pPr>
              <w:pStyle w:val="TableParagraph"/>
              <w:spacing w:before="1" w:line="199" w:lineRule="exact"/>
              <w:ind w:left="88"/>
              <w:rPr>
                <w:rFonts w:ascii="Calibri"/>
                <w:sz w:val="18"/>
              </w:rPr>
            </w:pPr>
            <w:r>
              <w:rPr>
                <w:rFonts w:ascii="Calibri"/>
                <w:sz w:val="18"/>
              </w:rPr>
              <w:t>Table</w:t>
            </w:r>
            <w:r>
              <w:rPr>
                <w:rFonts w:ascii="Calibri"/>
                <w:spacing w:val="-5"/>
                <w:sz w:val="18"/>
              </w:rPr>
              <w:t xml:space="preserve"> </w:t>
            </w:r>
            <w:r>
              <w:rPr>
                <w:rFonts w:ascii="Calibri"/>
                <w:sz w:val="18"/>
              </w:rPr>
              <w:t>B38:</w:t>
            </w:r>
            <w:r>
              <w:rPr>
                <w:rFonts w:ascii="Calibri"/>
                <w:spacing w:val="-5"/>
                <w:sz w:val="18"/>
              </w:rPr>
              <w:t xml:space="preserve"> </w:t>
            </w:r>
            <w:r>
              <w:rPr>
                <w:rFonts w:ascii="Calibri"/>
                <w:sz w:val="18"/>
              </w:rPr>
              <w:t>Miscellaneous</w:t>
            </w:r>
            <w:r>
              <w:rPr>
                <w:rFonts w:ascii="Calibri"/>
                <w:spacing w:val="-4"/>
                <w:sz w:val="18"/>
              </w:rPr>
              <w:t xml:space="preserve"> </w:t>
            </w:r>
            <w:r>
              <w:rPr>
                <w:rFonts w:ascii="Calibri"/>
                <w:spacing w:val="-2"/>
                <w:sz w:val="18"/>
              </w:rPr>
              <w:t>Revenue</w:t>
            </w:r>
          </w:p>
        </w:tc>
        <w:tc>
          <w:tcPr>
            <w:tcW w:w="1572" w:type="dxa"/>
            <w:tcBorders>
              <w:right w:val="nil"/>
            </w:tcBorders>
            <w:shd w:val="clear" w:color="auto" w:fill="CCE2ED"/>
          </w:tcPr>
          <w:p w14:paraId="568FEE5A" w14:textId="77777777" w:rsidR="00141B97" w:rsidRDefault="00911D63">
            <w:pPr>
              <w:pStyle w:val="TableParagraph"/>
              <w:spacing w:before="1" w:line="199" w:lineRule="exact"/>
              <w:ind w:right="86"/>
              <w:jc w:val="right"/>
              <w:rPr>
                <w:rFonts w:ascii="Calibri"/>
                <w:sz w:val="18"/>
              </w:rPr>
            </w:pPr>
            <w:r>
              <w:rPr>
                <w:rFonts w:ascii="Calibri"/>
                <w:spacing w:val="-5"/>
                <w:sz w:val="18"/>
              </w:rPr>
              <w:t>88</w:t>
            </w:r>
          </w:p>
        </w:tc>
      </w:tr>
      <w:tr w:rsidR="00141B97" w14:paraId="48512E0E" w14:textId="77777777">
        <w:trPr>
          <w:trHeight w:val="219"/>
          <w:tblCellSpacing w:w="9" w:type="dxa"/>
        </w:trPr>
        <w:tc>
          <w:tcPr>
            <w:tcW w:w="8170" w:type="dxa"/>
            <w:tcBorders>
              <w:left w:val="nil"/>
            </w:tcBorders>
            <w:shd w:val="clear" w:color="auto" w:fill="CCE2ED"/>
          </w:tcPr>
          <w:p w14:paraId="29B843BA" w14:textId="77777777" w:rsidR="00141B97" w:rsidRDefault="00911D63">
            <w:pPr>
              <w:pStyle w:val="TableParagraph"/>
              <w:spacing w:line="200" w:lineRule="exact"/>
              <w:ind w:left="88"/>
              <w:rPr>
                <w:rFonts w:ascii="Calibri"/>
                <w:sz w:val="18"/>
              </w:rPr>
            </w:pPr>
            <w:r>
              <w:rPr>
                <w:rFonts w:ascii="Calibri"/>
                <w:sz w:val="18"/>
              </w:rPr>
              <w:t>Table</w:t>
            </w:r>
            <w:r>
              <w:rPr>
                <w:rFonts w:ascii="Calibri"/>
                <w:spacing w:val="-6"/>
                <w:sz w:val="18"/>
              </w:rPr>
              <w:t xml:space="preserve"> </w:t>
            </w:r>
            <w:r>
              <w:rPr>
                <w:rFonts w:ascii="Calibri"/>
                <w:sz w:val="18"/>
              </w:rPr>
              <w:t>B39:</w:t>
            </w:r>
            <w:r>
              <w:rPr>
                <w:rFonts w:ascii="Calibri"/>
                <w:spacing w:val="-3"/>
                <w:sz w:val="18"/>
              </w:rPr>
              <w:t xml:space="preserve"> </w:t>
            </w:r>
            <w:r>
              <w:rPr>
                <w:rFonts w:ascii="Calibri"/>
                <w:sz w:val="18"/>
              </w:rPr>
              <w:t>Historical</w:t>
            </w:r>
            <w:r>
              <w:rPr>
                <w:rFonts w:ascii="Calibri"/>
                <w:spacing w:val="-3"/>
                <w:sz w:val="18"/>
              </w:rPr>
              <w:t xml:space="preserve"> </w:t>
            </w:r>
            <w:r>
              <w:rPr>
                <w:rFonts w:ascii="Calibri"/>
                <w:sz w:val="18"/>
              </w:rPr>
              <w:t>cost</w:t>
            </w:r>
            <w:r>
              <w:rPr>
                <w:rFonts w:ascii="Calibri"/>
                <w:spacing w:val="-4"/>
                <w:sz w:val="18"/>
              </w:rPr>
              <w:t xml:space="preserve"> </w:t>
            </w:r>
            <w:r>
              <w:rPr>
                <w:rFonts w:ascii="Calibri"/>
                <w:sz w:val="18"/>
              </w:rPr>
              <w:t>of</w:t>
            </w:r>
            <w:r>
              <w:rPr>
                <w:rFonts w:ascii="Calibri"/>
                <w:spacing w:val="-3"/>
                <w:sz w:val="18"/>
              </w:rPr>
              <w:t xml:space="preserve"> </w:t>
            </w:r>
            <w:r>
              <w:rPr>
                <w:rFonts w:ascii="Calibri"/>
                <w:sz w:val="18"/>
              </w:rPr>
              <w:t>debt</w:t>
            </w:r>
            <w:r>
              <w:rPr>
                <w:rFonts w:ascii="Calibri"/>
                <w:spacing w:val="-4"/>
                <w:sz w:val="18"/>
              </w:rPr>
              <w:t xml:space="preserve"> </w:t>
            </w:r>
            <w:r>
              <w:rPr>
                <w:rFonts w:ascii="Calibri"/>
                <w:sz w:val="18"/>
              </w:rPr>
              <w:t>(annual</w:t>
            </w:r>
            <w:r>
              <w:rPr>
                <w:rFonts w:ascii="Calibri"/>
                <w:spacing w:val="-4"/>
                <w:sz w:val="18"/>
              </w:rPr>
              <w:t xml:space="preserve"> </w:t>
            </w:r>
            <w:r>
              <w:rPr>
                <w:rFonts w:ascii="Calibri"/>
                <w:sz w:val="18"/>
              </w:rPr>
              <w:t>nominal</w:t>
            </w:r>
            <w:r>
              <w:rPr>
                <w:rFonts w:ascii="Calibri"/>
                <w:spacing w:val="-4"/>
                <w:sz w:val="18"/>
              </w:rPr>
              <w:t xml:space="preserve"> </w:t>
            </w:r>
            <w:r>
              <w:rPr>
                <w:rFonts w:ascii="Calibri"/>
                <w:sz w:val="18"/>
              </w:rPr>
              <w:t>values</w:t>
            </w:r>
            <w:r>
              <w:rPr>
                <w:rFonts w:ascii="Calibri"/>
                <w:spacing w:val="-4"/>
                <w:sz w:val="18"/>
              </w:rPr>
              <w:t xml:space="preserve"> </w:t>
            </w:r>
            <w:r>
              <w:rPr>
                <w:rFonts w:ascii="Calibri"/>
                <w:sz w:val="18"/>
              </w:rPr>
              <w:t>for</w:t>
            </w:r>
            <w:r>
              <w:rPr>
                <w:rFonts w:ascii="Calibri"/>
                <w:spacing w:val="-4"/>
                <w:sz w:val="18"/>
              </w:rPr>
              <w:t xml:space="preserve"> </w:t>
            </w:r>
            <w:r>
              <w:rPr>
                <w:rFonts w:ascii="Calibri"/>
                <w:sz w:val="18"/>
              </w:rPr>
              <w:t>calculating</w:t>
            </w:r>
            <w:r>
              <w:rPr>
                <w:rFonts w:ascii="Calibri"/>
                <w:spacing w:val="-3"/>
                <w:sz w:val="18"/>
              </w:rPr>
              <w:t xml:space="preserve"> </w:t>
            </w:r>
            <w:r>
              <w:rPr>
                <w:rFonts w:ascii="Calibri"/>
                <w:sz w:val="18"/>
              </w:rPr>
              <w:t>trailing</w:t>
            </w:r>
            <w:r>
              <w:rPr>
                <w:rFonts w:ascii="Calibri"/>
                <w:spacing w:val="-3"/>
                <w:sz w:val="18"/>
              </w:rPr>
              <w:t xml:space="preserve"> </w:t>
            </w:r>
            <w:r>
              <w:rPr>
                <w:rFonts w:ascii="Calibri"/>
                <w:spacing w:val="-2"/>
                <w:sz w:val="18"/>
              </w:rPr>
              <w:t>average)</w:t>
            </w:r>
          </w:p>
        </w:tc>
        <w:tc>
          <w:tcPr>
            <w:tcW w:w="1572" w:type="dxa"/>
            <w:tcBorders>
              <w:right w:val="nil"/>
            </w:tcBorders>
            <w:shd w:val="clear" w:color="auto" w:fill="CCE2ED"/>
          </w:tcPr>
          <w:p w14:paraId="1D0AF477" w14:textId="77777777" w:rsidR="00141B97" w:rsidRDefault="00911D63">
            <w:pPr>
              <w:pStyle w:val="TableParagraph"/>
              <w:spacing w:line="200" w:lineRule="exact"/>
              <w:ind w:right="86"/>
              <w:jc w:val="right"/>
              <w:rPr>
                <w:rFonts w:ascii="Calibri"/>
                <w:sz w:val="18"/>
              </w:rPr>
            </w:pPr>
            <w:r>
              <w:rPr>
                <w:rFonts w:ascii="Calibri"/>
                <w:spacing w:val="-5"/>
                <w:sz w:val="18"/>
              </w:rPr>
              <w:t>88</w:t>
            </w:r>
          </w:p>
        </w:tc>
      </w:tr>
      <w:tr w:rsidR="00141B97" w14:paraId="3B3D26DC" w14:textId="77777777">
        <w:trPr>
          <w:trHeight w:val="218"/>
          <w:tblCellSpacing w:w="9" w:type="dxa"/>
        </w:trPr>
        <w:tc>
          <w:tcPr>
            <w:tcW w:w="8170" w:type="dxa"/>
            <w:tcBorders>
              <w:left w:val="nil"/>
            </w:tcBorders>
            <w:shd w:val="clear" w:color="auto" w:fill="CCE2ED"/>
          </w:tcPr>
          <w:p w14:paraId="6D60AB18" w14:textId="77777777" w:rsidR="00141B97" w:rsidRDefault="00911D63">
            <w:pPr>
              <w:pStyle w:val="TableParagraph"/>
              <w:spacing w:line="199" w:lineRule="exact"/>
              <w:ind w:left="88"/>
              <w:rPr>
                <w:rFonts w:ascii="Calibri" w:hAnsi="Calibri"/>
                <w:sz w:val="18"/>
              </w:rPr>
            </w:pPr>
            <w:r>
              <w:rPr>
                <w:rFonts w:ascii="Calibri" w:hAnsi="Calibri"/>
                <w:sz w:val="18"/>
              </w:rPr>
              <w:t>Table</w:t>
            </w:r>
            <w:r>
              <w:rPr>
                <w:rFonts w:ascii="Calibri" w:hAnsi="Calibri"/>
                <w:spacing w:val="-4"/>
                <w:sz w:val="18"/>
              </w:rPr>
              <w:t xml:space="preserve"> </w:t>
            </w:r>
            <w:r>
              <w:rPr>
                <w:rFonts w:ascii="Calibri" w:hAnsi="Calibri"/>
                <w:sz w:val="18"/>
              </w:rPr>
              <w:t>B40:</w:t>
            </w:r>
            <w:r>
              <w:rPr>
                <w:rFonts w:ascii="Calibri" w:hAnsi="Calibri"/>
                <w:spacing w:val="-3"/>
                <w:sz w:val="18"/>
              </w:rPr>
              <w:t xml:space="preserve"> </w:t>
            </w:r>
            <w:r>
              <w:rPr>
                <w:rFonts w:ascii="Calibri" w:hAnsi="Calibri"/>
                <w:sz w:val="18"/>
              </w:rPr>
              <w:t>Non‐Prescribed</w:t>
            </w:r>
            <w:r>
              <w:rPr>
                <w:rFonts w:ascii="Calibri" w:hAnsi="Calibri"/>
                <w:spacing w:val="-3"/>
                <w:sz w:val="18"/>
              </w:rPr>
              <w:t xml:space="preserve"> </w:t>
            </w:r>
            <w:r>
              <w:rPr>
                <w:rFonts w:ascii="Calibri" w:hAnsi="Calibri"/>
                <w:spacing w:val="-2"/>
                <w:sz w:val="18"/>
              </w:rPr>
              <w:t>Revenues</w:t>
            </w:r>
          </w:p>
        </w:tc>
        <w:tc>
          <w:tcPr>
            <w:tcW w:w="1572" w:type="dxa"/>
            <w:tcBorders>
              <w:right w:val="nil"/>
            </w:tcBorders>
            <w:shd w:val="clear" w:color="auto" w:fill="CCE2ED"/>
          </w:tcPr>
          <w:p w14:paraId="3090BA05" w14:textId="77777777" w:rsidR="00141B97" w:rsidRDefault="00911D63">
            <w:pPr>
              <w:pStyle w:val="TableParagraph"/>
              <w:spacing w:line="199" w:lineRule="exact"/>
              <w:ind w:right="86"/>
              <w:jc w:val="right"/>
              <w:rPr>
                <w:rFonts w:ascii="Calibri"/>
                <w:sz w:val="18"/>
              </w:rPr>
            </w:pPr>
            <w:r>
              <w:rPr>
                <w:rFonts w:ascii="Calibri"/>
                <w:spacing w:val="-5"/>
                <w:sz w:val="18"/>
              </w:rPr>
              <w:t>89</w:t>
            </w:r>
          </w:p>
        </w:tc>
      </w:tr>
      <w:tr w:rsidR="00141B97" w14:paraId="50DE48E7" w14:textId="77777777">
        <w:trPr>
          <w:trHeight w:val="220"/>
          <w:tblCellSpacing w:w="9" w:type="dxa"/>
        </w:trPr>
        <w:tc>
          <w:tcPr>
            <w:tcW w:w="8170" w:type="dxa"/>
            <w:tcBorders>
              <w:left w:val="nil"/>
              <w:bottom w:val="nil"/>
            </w:tcBorders>
            <w:shd w:val="clear" w:color="auto" w:fill="CCE2ED"/>
          </w:tcPr>
          <w:p w14:paraId="3408A5FB" w14:textId="77777777" w:rsidR="00141B97" w:rsidRDefault="00911D63">
            <w:pPr>
              <w:pStyle w:val="TableParagraph"/>
              <w:spacing w:before="1" w:line="199" w:lineRule="exact"/>
              <w:ind w:left="88"/>
              <w:rPr>
                <w:rFonts w:ascii="Calibri" w:hAnsi="Calibri"/>
                <w:sz w:val="18"/>
              </w:rPr>
            </w:pPr>
            <w:r>
              <w:rPr>
                <w:rFonts w:ascii="Calibri" w:hAnsi="Calibri"/>
                <w:sz w:val="18"/>
              </w:rPr>
              <w:t>Table</w:t>
            </w:r>
            <w:r>
              <w:rPr>
                <w:rFonts w:ascii="Calibri" w:hAnsi="Calibri"/>
                <w:spacing w:val="-4"/>
                <w:sz w:val="18"/>
              </w:rPr>
              <w:t xml:space="preserve"> </w:t>
            </w:r>
            <w:r>
              <w:rPr>
                <w:rFonts w:ascii="Calibri" w:hAnsi="Calibri"/>
                <w:sz w:val="18"/>
              </w:rPr>
              <w:t>B41:</w:t>
            </w:r>
            <w:r>
              <w:rPr>
                <w:rFonts w:ascii="Calibri" w:hAnsi="Calibri"/>
                <w:spacing w:val="-3"/>
                <w:sz w:val="18"/>
              </w:rPr>
              <w:t xml:space="preserve"> </w:t>
            </w:r>
            <w:r>
              <w:rPr>
                <w:rFonts w:ascii="Calibri" w:hAnsi="Calibri"/>
                <w:sz w:val="18"/>
              </w:rPr>
              <w:t>Non‐Prescribed</w:t>
            </w:r>
            <w:r>
              <w:rPr>
                <w:rFonts w:ascii="Calibri" w:hAnsi="Calibri"/>
                <w:spacing w:val="-3"/>
                <w:sz w:val="18"/>
              </w:rPr>
              <w:t xml:space="preserve"> </w:t>
            </w:r>
            <w:r>
              <w:rPr>
                <w:rFonts w:ascii="Calibri" w:hAnsi="Calibri"/>
                <w:spacing w:val="-2"/>
                <w:sz w:val="18"/>
              </w:rPr>
              <w:t>Expenditure</w:t>
            </w:r>
          </w:p>
        </w:tc>
        <w:tc>
          <w:tcPr>
            <w:tcW w:w="1572" w:type="dxa"/>
            <w:tcBorders>
              <w:bottom w:val="nil"/>
              <w:right w:val="nil"/>
            </w:tcBorders>
            <w:shd w:val="clear" w:color="auto" w:fill="CCE2ED"/>
          </w:tcPr>
          <w:p w14:paraId="4AD462C7" w14:textId="77777777" w:rsidR="00141B97" w:rsidRDefault="00911D63">
            <w:pPr>
              <w:pStyle w:val="TableParagraph"/>
              <w:spacing w:before="1" w:line="199" w:lineRule="exact"/>
              <w:ind w:right="86"/>
              <w:jc w:val="right"/>
              <w:rPr>
                <w:rFonts w:ascii="Calibri"/>
                <w:sz w:val="18"/>
              </w:rPr>
            </w:pPr>
            <w:r>
              <w:rPr>
                <w:rFonts w:ascii="Calibri"/>
                <w:spacing w:val="-5"/>
                <w:sz w:val="18"/>
              </w:rPr>
              <w:t>89</w:t>
            </w:r>
          </w:p>
        </w:tc>
      </w:tr>
    </w:tbl>
    <w:p w14:paraId="7A9FB33C" w14:textId="77777777" w:rsidR="00141B97" w:rsidRDefault="00141B97">
      <w:pPr>
        <w:spacing w:line="199" w:lineRule="exact"/>
        <w:jc w:val="right"/>
        <w:rPr>
          <w:rFonts w:ascii="Calibri"/>
          <w:sz w:val="18"/>
        </w:rPr>
        <w:sectPr w:rsidR="00141B97">
          <w:footerReference w:type="default" r:id="rId73"/>
          <w:pgSz w:w="11910" w:h="16840"/>
          <w:pgMar w:top="860" w:right="40" w:bottom="760" w:left="1020" w:header="0" w:footer="580" w:gutter="0"/>
          <w:cols w:space="720"/>
        </w:sectPr>
      </w:pPr>
    </w:p>
    <w:p w14:paraId="5BAC0586" w14:textId="77777777" w:rsidR="00141B97" w:rsidRDefault="00911D63">
      <w:pPr>
        <w:pStyle w:val="ListParagraph"/>
        <w:numPr>
          <w:ilvl w:val="0"/>
          <w:numId w:val="81"/>
        </w:numPr>
        <w:tabs>
          <w:tab w:val="left" w:pos="1112"/>
          <w:tab w:val="left" w:pos="1113"/>
        </w:tabs>
        <w:spacing w:line="577" w:lineRule="exact"/>
        <w:rPr>
          <w:sz w:val="48"/>
        </w:rPr>
      </w:pPr>
      <w:r>
        <w:rPr>
          <w:color w:val="006CA3"/>
          <w:spacing w:val="-2"/>
          <w:sz w:val="48"/>
        </w:rPr>
        <w:lastRenderedPageBreak/>
        <w:t>Introduction</w:t>
      </w:r>
    </w:p>
    <w:p w14:paraId="715CC1EA" w14:textId="77777777" w:rsidR="00141B97" w:rsidRDefault="00911D63">
      <w:pPr>
        <w:pStyle w:val="BodyText"/>
        <w:spacing w:before="251" w:line="249" w:lineRule="auto"/>
        <w:ind w:left="113" w:right="948"/>
        <w:jc w:val="both"/>
      </w:pPr>
      <w:r>
        <w:t>This</w:t>
      </w:r>
      <w:r>
        <w:rPr>
          <w:spacing w:val="-12"/>
        </w:rPr>
        <w:t xml:space="preserve"> </w:t>
      </w:r>
      <w:r>
        <w:t>Part</w:t>
      </w:r>
      <w:r>
        <w:rPr>
          <w:spacing w:val="-13"/>
        </w:rPr>
        <w:t xml:space="preserve"> </w:t>
      </w:r>
      <w:r>
        <w:t>B</w:t>
      </w:r>
      <w:r>
        <w:rPr>
          <w:spacing w:val="-10"/>
        </w:rPr>
        <w:t xml:space="preserve"> </w:t>
      </w:r>
      <w:r>
        <w:t>of</w:t>
      </w:r>
      <w:r>
        <w:rPr>
          <w:spacing w:val="-11"/>
        </w:rPr>
        <w:t xml:space="preserve"> </w:t>
      </w:r>
      <w:r>
        <w:t>the</w:t>
      </w:r>
      <w:r>
        <w:rPr>
          <w:spacing w:val="-13"/>
        </w:rPr>
        <w:t xml:space="preserve"> </w:t>
      </w:r>
      <w:r>
        <w:t>2023‐28</w:t>
      </w:r>
      <w:r>
        <w:rPr>
          <w:spacing w:val="-11"/>
        </w:rPr>
        <w:t xml:space="preserve"> </w:t>
      </w:r>
      <w:r>
        <w:t>Price</w:t>
      </w:r>
      <w:r>
        <w:rPr>
          <w:spacing w:val="-13"/>
        </w:rPr>
        <w:t xml:space="preserve"> </w:t>
      </w:r>
      <w:r>
        <w:t>Submission</w:t>
      </w:r>
      <w:r>
        <w:rPr>
          <w:spacing w:val="-12"/>
        </w:rPr>
        <w:t xml:space="preserve"> </w:t>
      </w:r>
      <w:r>
        <w:t>(PS5)</w:t>
      </w:r>
      <w:r>
        <w:rPr>
          <w:spacing w:val="-12"/>
        </w:rPr>
        <w:t xml:space="preserve"> </w:t>
      </w:r>
      <w:r>
        <w:t>is</w:t>
      </w:r>
      <w:r>
        <w:rPr>
          <w:spacing w:val="-12"/>
        </w:rPr>
        <w:t xml:space="preserve"> </w:t>
      </w:r>
      <w:r>
        <w:t>specific</w:t>
      </w:r>
      <w:r>
        <w:rPr>
          <w:spacing w:val="-11"/>
        </w:rPr>
        <w:t xml:space="preserve"> </w:t>
      </w:r>
      <w:r>
        <w:t>to</w:t>
      </w:r>
      <w:r>
        <w:rPr>
          <w:spacing w:val="-13"/>
        </w:rPr>
        <w:t xml:space="preserve"> </w:t>
      </w:r>
      <w:r>
        <w:t>the</w:t>
      </w:r>
      <w:r>
        <w:rPr>
          <w:spacing w:val="-11"/>
        </w:rPr>
        <w:t xml:space="preserve"> </w:t>
      </w:r>
      <w:r>
        <w:t>urban</w:t>
      </w:r>
      <w:r>
        <w:rPr>
          <w:spacing w:val="-13"/>
        </w:rPr>
        <w:t xml:space="preserve"> </w:t>
      </w:r>
      <w:r>
        <w:t>business</w:t>
      </w:r>
      <w:r>
        <w:rPr>
          <w:spacing w:val="-11"/>
        </w:rPr>
        <w:t xml:space="preserve"> </w:t>
      </w:r>
      <w:r>
        <w:t>of</w:t>
      </w:r>
      <w:r>
        <w:rPr>
          <w:spacing w:val="-12"/>
        </w:rPr>
        <w:t xml:space="preserve"> </w:t>
      </w:r>
      <w:r>
        <w:t>Lower</w:t>
      </w:r>
      <w:r>
        <w:rPr>
          <w:spacing w:val="-13"/>
        </w:rPr>
        <w:t xml:space="preserve"> </w:t>
      </w:r>
      <w:r>
        <w:t>Murray</w:t>
      </w:r>
      <w:r>
        <w:rPr>
          <w:spacing w:val="-11"/>
        </w:rPr>
        <w:t xml:space="preserve"> </w:t>
      </w:r>
      <w:r>
        <w:t>Water</w:t>
      </w:r>
      <w:r>
        <w:rPr>
          <w:spacing w:val="-13"/>
        </w:rPr>
        <w:t xml:space="preserve"> </w:t>
      </w:r>
      <w:r>
        <w:t>(LMW) that provides urban drinking water supply and sewerage services. This Part B covers current regulatory period (2018‐23) performance, and proposed PS5 customer outcomes and service standards, demand, operating and capital</w:t>
      </w:r>
      <w:r>
        <w:rPr>
          <w:spacing w:val="-13"/>
        </w:rPr>
        <w:t xml:space="preserve"> </w:t>
      </w:r>
      <w:r>
        <w:t>expenditure,</w:t>
      </w:r>
      <w:r>
        <w:rPr>
          <w:spacing w:val="-12"/>
        </w:rPr>
        <w:t xml:space="preserve"> </w:t>
      </w:r>
      <w:r>
        <w:t>revenue</w:t>
      </w:r>
      <w:r>
        <w:rPr>
          <w:spacing w:val="-13"/>
        </w:rPr>
        <w:t xml:space="preserve"> </w:t>
      </w:r>
      <w:r>
        <w:t>requirement,</w:t>
      </w:r>
      <w:r>
        <w:rPr>
          <w:spacing w:val="-13"/>
        </w:rPr>
        <w:t xml:space="preserve"> </w:t>
      </w:r>
      <w:r>
        <w:t>tariff</w:t>
      </w:r>
      <w:r>
        <w:rPr>
          <w:spacing w:val="-12"/>
        </w:rPr>
        <w:t xml:space="preserve"> </w:t>
      </w:r>
      <w:r>
        <w:t>structures</w:t>
      </w:r>
      <w:r>
        <w:rPr>
          <w:spacing w:val="-13"/>
        </w:rPr>
        <w:t xml:space="preserve"> </w:t>
      </w:r>
      <w:r>
        <w:t>and</w:t>
      </w:r>
      <w:r>
        <w:rPr>
          <w:spacing w:val="-12"/>
        </w:rPr>
        <w:t xml:space="preserve"> </w:t>
      </w:r>
      <w:r>
        <w:t>prices.</w:t>
      </w:r>
      <w:r>
        <w:rPr>
          <w:spacing w:val="-13"/>
        </w:rPr>
        <w:t xml:space="preserve"> </w:t>
      </w:r>
      <w:r>
        <w:t>Part</w:t>
      </w:r>
      <w:r>
        <w:rPr>
          <w:spacing w:val="-12"/>
        </w:rPr>
        <w:t xml:space="preserve"> </w:t>
      </w:r>
      <w:r>
        <w:t>B</w:t>
      </w:r>
      <w:r>
        <w:rPr>
          <w:spacing w:val="-12"/>
        </w:rPr>
        <w:t xml:space="preserve"> </w:t>
      </w:r>
      <w:r>
        <w:t>should</w:t>
      </w:r>
      <w:r>
        <w:rPr>
          <w:spacing w:val="-13"/>
        </w:rPr>
        <w:t xml:space="preserve"> </w:t>
      </w:r>
      <w:r>
        <w:t>be</w:t>
      </w:r>
      <w:r>
        <w:rPr>
          <w:spacing w:val="-12"/>
        </w:rPr>
        <w:t xml:space="preserve"> </w:t>
      </w:r>
      <w:r>
        <w:t>read</w:t>
      </w:r>
      <w:r>
        <w:rPr>
          <w:spacing w:val="-13"/>
        </w:rPr>
        <w:t xml:space="preserve"> </w:t>
      </w:r>
      <w:r>
        <w:t>in</w:t>
      </w:r>
      <w:r>
        <w:rPr>
          <w:spacing w:val="-12"/>
        </w:rPr>
        <w:t xml:space="preserve"> </w:t>
      </w:r>
      <w:r>
        <w:t>conjunction</w:t>
      </w:r>
      <w:r>
        <w:rPr>
          <w:spacing w:val="-13"/>
        </w:rPr>
        <w:t xml:space="preserve"> </w:t>
      </w:r>
      <w:r>
        <w:t>with:</w:t>
      </w:r>
    </w:p>
    <w:p w14:paraId="0E881EDA" w14:textId="77777777" w:rsidR="00141B97" w:rsidRDefault="00911D63">
      <w:pPr>
        <w:pStyle w:val="ListParagraph"/>
        <w:numPr>
          <w:ilvl w:val="0"/>
          <w:numId w:val="79"/>
        </w:numPr>
        <w:tabs>
          <w:tab w:val="left" w:pos="835"/>
        </w:tabs>
        <w:spacing w:before="111" w:line="249" w:lineRule="auto"/>
        <w:ind w:right="949" w:hanging="361"/>
        <w:jc w:val="both"/>
      </w:pPr>
      <w:r>
        <w:t>Part A – covers LMW’s general business summary, governance and management, risk approach, customer</w:t>
      </w:r>
      <w:r>
        <w:rPr>
          <w:spacing w:val="-8"/>
        </w:rPr>
        <w:t xml:space="preserve"> </w:t>
      </w:r>
      <w:r>
        <w:t>views,</w:t>
      </w:r>
      <w:r>
        <w:rPr>
          <w:spacing w:val="-8"/>
        </w:rPr>
        <w:t xml:space="preserve"> </w:t>
      </w:r>
      <w:r>
        <w:t>strategic</w:t>
      </w:r>
      <w:r>
        <w:rPr>
          <w:spacing w:val="-8"/>
        </w:rPr>
        <w:t xml:space="preserve"> </w:t>
      </w:r>
      <w:r>
        <w:t>priorities</w:t>
      </w:r>
      <w:r>
        <w:rPr>
          <w:spacing w:val="-8"/>
        </w:rPr>
        <w:t xml:space="preserve"> </w:t>
      </w:r>
      <w:r>
        <w:t>and</w:t>
      </w:r>
      <w:r>
        <w:rPr>
          <w:spacing w:val="-8"/>
        </w:rPr>
        <w:t xml:space="preserve"> </w:t>
      </w:r>
      <w:r>
        <w:t>PREMO</w:t>
      </w:r>
      <w:r>
        <w:rPr>
          <w:spacing w:val="-7"/>
        </w:rPr>
        <w:t xml:space="preserve"> </w:t>
      </w:r>
      <w:r>
        <w:t>assessment</w:t>
      </w:r>
      <w:r>
        <w:rPr>
          <w:spacing w:val="-8"/>
        </w:rPr>
        <w:t xml:space="preserve"> </w:t>
      </w:r>
      <w:r>
        <w:t>that</w:t>
      </w:r>
      <w:r>
        <w:rPr>
          <w:spacing w:val="-8"/>
        </w:rPr>
        <w:t xml:space="preserve"> </w:t>
      </w:r>
      <w:r>
        <w:t>apply</w:t>
      </w:r>
      <w:r>
        <w:rPr>
          <w:spacing w:val="-8"/>
        </w:rPr>
        <w:t xml:space="preserve"> </w:t>
      </w:r>
      <w:r>
        <w:t>to</w:t>
      </w:r>
      <w:r>
        <w:rPr>
          <w:spacing w:val="-8"/>
        </w:rPr>
        <w:t xml:space="preserve"> </w:t>
      </w:r>
      <w:r>
        <w:t>both</w:t>
      </w:r>
      <w:r>
        <w:rPr>
          <w:spacing w:val="-8"/>
        </w:rPr>
        <w:t xml:space="preserve"> </w:t>
      </w:r>
      <w:r>
        <w:t>urban</w:t>
      </w:r>
      <w:r>
        <w:rPr>
          <w:spacing w:val="-8"/>
        </w:rPr>
        <w:t xml:space="preserve"> </w:t>
      </w:r>
      <w:r>
        <w:t>and</w:t>
      </w:r>
      <w:r>
        <w:rPr>
          <w:spacing w:val="-8"/>
        </w:rPr>
        <w:t xml:space="preserve"> </w:t>
      </w:r>
      <w:r>
        <w:t>rural</w:t>
      </w:r>
      <w:r>
        <w:rPr>
          <w:spacing w:val="-8"/>
        </w:rPr>
        <w:t xml:space="preserve"> </w:t>
      </w:r>
      <w:r>
        <w:t xml:space="preserve">business </w:t>
      </w:r>
      <w:r>
        <w:rPr>
          <w:spacing w:val="-2"/>
        </w:rPr>
        <w:t>units.</w:t>
      </w:r>
    </w:p>
    <w:p w14:paraId="171459F4" w14:textId="77777777" w:rsidR="00141B97" w:rsidRDefault="00911D63">
      <w:pPr>
        <w:pStyle w:val="ListParagraph"/>
        <w:numPr>
          <w:ilvl w:val="0"/>
          <w:numId w:val="79"/>
        </w:numPr>
        <w:tabs>
          <w:tab w:val="left" w:pos="835"/>
        </w:tabs>
        <w:spacing w:before="112" w:line="249" w:lineRule="auto"/>
        <w:ind w:left="833" w:right="949"/>
        <w:jc w:val="both"/>
      </w:pPr>
      <w:r>
        <w:t>Part</w:t>
      </w:r>
      <w:r>
        <w:rPr>
          <w:spacing w:val="-8"/>
        </w:rPr>
        <w:t xml:space="preserve"> </w:t>
      </w:r>
      <w:r>
        <w:t>C</w:t>
      </w:r>
      <w:r>
        <w:rPr>
          <w:spacing w:val="-6"/>
        </w:rPr>
        <w:t xml:space="preserve"> </w:t>
      </w:r>
      <w:r>
        <w:t>‐</w:t>
      </w:r>
      <w:r>
        <w:rPr>
          <w:spacing w:val="-8"/>
        </w:rPr>
        <w:t xml:space="preserve"> </w:t>
      </w:r>
      <w:r>
        <w:t>specific</w:t>
      </w:r>
      <w:r>
        <w:rPr>
          <w:spacing w:val="-8"/>
        </w:rPr>
        <w:t xml:space="preserve"> </w:t>
      </w:r>
      <w:r>
        <w:t>rural</w:t>
      </w:r>
      <w:r>
        <w:rPr>
          <w:spacing w:val="-8"/>
        </w:rPr>
        <w:t xml:space="preserve"> </w:t>
      </w:r>
      <w:r>
        <w:t>proposal</w:t>
      </w:r>
      <w:r>
        <w:rPr>
          <w:spacing w:val="-7"/>
        </w:rPr>
        <w:t xml:space="preserve"> </w:t>
      </w:r>
      <w:r>
        <w:t>covering</w:t>
      </w:r>
      <w:r>
        <w:rPr>
          <w:spacing w:val="-7"/>
        </w:rPr>
        <w:t xml:space="preserve"> </w:t>
      </w:r>
      <w:r>
        <w:t>current</w:t>
      </w:r>
      <w:r>
        <w:rPr>
          <w:spacing w:val="-8"/>
        </w:rPr>
        <w:t xml:space="preserve"> </w:t>
      </w:r>
      <w:r>
        <w:t>period</w:t>
      </w:r>
      <w:r>
        <w:rPr>
          <w:spacing w:val="-7"/>
        </w:rPr>
        <w:t xml:space="preserve"> </w:t>
      </w:r>
      <w:r>
        <w:t>(2018‐23)</w:t>
      </w:r>
      <w:r>
        <w:rPr>
          <w:spacing w:val="-7"/>
        </w:rPr>
        <w:t xml:space="preserve"> </w:t>
      </w:r>
      <w:r>
        <w:t>performance,</w:t>
      </w:r>
      <w:r>
        <w:rPr>
          <w:spacing w:val="-8"/>
        </w:rPr>
        <w:t xml:space="preserve"> </w:t>
      </w:r>
      <w:r>
        <w:t>and</w:t>
      </w:r>
      <w:r>
        <w:rPr>
          <w:spacing w:val="-8"/>
        </w:rPr>
        <w:t xml:space="preserve"> </w:t>
      </w:r>
      <w:r>
        <w:t>proposed</w:t>
      </w:r>
      <w:r>
        <w:rPr>
          <w:spacing w:val="-6"/>
        </w:rPr>
        <w:t xml:space="preserve"> </w:t>
      </w:r>
      <w:r>
        <w:t>customer outcomes and service standards, demand, operating and capital expenditure, revenue requirement, tariff structures and prices.</w:t>
      </w:r>
    </w:p>
    <w:p w14:paraId="02CBA76F" w14:textId="77777777" w:rsidR="00141B97" w:rsidRDefault="00141B97">
      <w:pPr>
        <w:pStyle w:val="BodyText"/>
        <w:spacing w:before="8"/>
        <w:rPr>
          <w:sz w:val="28"/>
        </w:rPr>
      </w:pPr>
    </w:p>
    <w:p w14:paraId="59E2ECDE" w14:textId="77777777" w:rsidR="00141B97" w:rsidRDefault="00911D63">
      <w:pPr>
        <w:pStyle w:val="Heading1"/>
        <w:numPr>
          <w:ilvl w:val="0"/>
          <w:numId w:val="81"/>
        </w:numPr>
        <w:tabs>
          <w:tab w:val="left" w:pos="1112"/>
          <w:tab w:val="left" w:pos="1113"/>
        </w:tabs>
        <w:spacing w:line="240" w:lineRule="auto"/>
      </w:pPr>
      <w:r>
        <w:rPr>
          <w:color w:val="006CA3"/>
          <w:spacing w:val="-2"/>
        </w:rPr>
        <w:t>Performance</w:t>
      </w:r>
    </w:p>
    <w:p w14:paraId="71A5EC8B" w14:textId="77777777" w:rsidR="00141B97" w:rsidRDefault="00911D63">
      <w:pPr>
        <w:pStyle w:val="BodyText"/>
        <w:spacing w:before="240"/>
        <w:ind w:left="113" w:right="962"/>
      </w:pPr>
      <w:r>
        <w:t>The review and assessment of LMW’s current regulatory period (PS4) performance largely sets the scene for this PS5 submission and serves the following specific purposes:</w:t>
      </w:r>
    </w:p>
    <w:p w14:paraId="057096EC" w14:textId="77777777" w:rsidR="00141B97" w:rsidRDefault="00911D63">
      <w:pPr>
        <w:pStyle w:val="ListParagraph"/>
        <w:numPr>
          <w:ilvl w:val="0"/>
          <w:numId w:val="80"/>
        </w:numPr>
        <w:tabs>
          <w:tab w:val="left" w:pos="833"/>
          <w:tab w:val="left" w:pos="834"/>
        </w:tabs>
        <w:spacing w:before="1" w:line="254" w:lineRule="auto"/>
        <w:ind w:right="1209"/>
      </w:pPr>
      <w:r>
        <w:t>Identifies</w:t>
      </w:r>
      <w:r>
        <w:rPr>
          <w:spacing w:val="-2"/>
        </w:rPr>
        <w:t xml:space="preserve"> </w:t>
      </w:r>
      <w:r>
        <w:t>the</w:t>
      </w:r>
      <w:r>
        <w:rPr>
          <w:spacing w:val="-3"/>
        </w:rPr>
        <w:t xml:space="preserve"> </w:t>
      </w:r>
      <w:r>
        <w:t>magnitude</w:t>
      </w:r>
      <w:r>
        <w:rPr>
          <w:spacing w:val="-2"/>
        </w:rPr>
        <w:t xml:space="preserve"> </w:t>
      </w:r>
      <w:r>
        <w:t>and</w:t>
      </w:r>
      <w:r>
        <w:rPr>
          <w:spacing w:val="-3"/>
        </w:rPr>
        <w:t xml:space="preserve"> </w:t>
      </w:r>
      <w:r>
        <w:t>nature</w:t>
      </w:r>
      <w:r>
        <w:rPr>
          <w:spacing w:val="-2"/>
        </w:rPr>
        <w:t xml:space="preserve"> </w:t>
      </w:r>
      <w:r>
        <w:t>of</w:t>
      </w:r>
      <w:r>
        <w:rPr>
          <w:spacing w:val="-3"/>
        </w:rPr>
        <w:t xml:space="preserve"> </w:t>
      </w:r>
      <w:r>
        <w:t>any</w:t>
      </w:r>
      <w:r>
        <w:rPr>
          <w:spacing w:val="-3"/>
        </w:rPr>
        <w:t xml:space="preserve"> </w:t>
      </w:r>
      <w:r>
        <w:t>variances</w:t>
      </w:r>
      <w:r>
        <w:rPr>
          <w:spacing w:val="-1"/>
        </w:rPr>
        <w:t xml:space="preserve"> </w:t>
      </w:r>
      <w:r>
        <w:t>between</w:t>
      </w:r>
      <w:r>
        <w:rPr>
          <w:spacing w:val="-3"/>
        </w:rPr>
        <w:t xml:space="preserve"> </w:t>
      </w:r>
      <w:r>
        <w:t>actual</w:t>
      </w:r>
      <w:r>
        <w:rPr>
          <w:spacing w:val="-4"/>
        </w:rPr>
        <w:t xml:space="preserve"> </w:t>
      </w:r>
      <w:r>
        <w:t>and</w:t>
      </w:r>
      <w:r>
        <w:rPr>
          <w:spacing w:val="-2"/>
        </w:rPr>
        <w:t xml:space="preserve"> </w:t>
      </w:r>
      <w:r>
        <w:t>planned</w:t>
      </w:r>
      <w:r>
        <w:rPr>
          <w:spacing w:val="-4"/>
        </w:rPr>
        <w:t xml:space="preserve"> </w:t>
      </w:r>
      <w:r>
        <w:t>PS4</w:t>
      </w:r>
      <w:r>
        <w:rPr>
          <w:spacing w:val="-3"/>
        </w:rPr>
        <w:t xml:space="preserve"> </w:t>
      </w:r>
      <w:r>
        <w:t>performance and the reasons for them.</w:t>
      </w:r>
    </w:p>
    <w:p w14:paraId="4B5A8A1D" w14:textId="77777777" w:rsidR="00141B97" w:rsidRDefault="00911D63">
      <w:pPr>
        <w:pStyle w:val="ListParagraph"/>
        <w:numPr>
          <w:ilvl w:val="0"/>
          <w:numId w:val="80"/>
        </w:numPr>
        <w:tabs>
          <w:tab w:val="left" w:pos="833"/>
          <w:tab w:val="left" w:pos="834"/>
        </w:tabs>
        <w:spacing w:line="252" w:lineRule="auto"/>
        <w:ind w:right="1056"/>
      </w:pPr>
      <w:r>
        <w:t>Enables</w:t>
      </w:r>
      <w:r>
        <w:rPr>
          <w:spacing w:val="-3"/>
        </w:rPr>
        <w:t xml:space="preserve"> </w:t>
      </w:r>
      <w:r>
        <w:t>LMW</w:t>
      </w:r>
      <w:r>
        <w:rPr>
          <w:spacing w:val="-3"/>
        </w:rPr>
        <w:t xml:space="preserve"> </w:t>
      </w:r>
      <w:r>
        <w:t>to</w:t>
      </w:r>
      <w:r>
        <w:rPr>
          <w:spacing w:val="-3"/>
        </w:rPr>
        <w:t xml:space="preserve"> </w:t>
      </w:r>
      <w:r>
        <w:t>make</w:t>
      </w:r>
      <w:r>
        <w:rPr>
          <w:spacing w:val="-3"/>
        </w:rPr>
        <w:t xml:space="preserve"> </w:t>
      </w:r>
      <w:r>
        <w:t>any</w:t>
      </w:r>
      <w:r>
        <w:rPr>
          <w:spacing w:val="-1"/>
        </w:rPr>
        <w:t xml:space="preserve"> </w:t>
      </w:r>
      <w:r>
        <w:t>changes</w:t>
      </w:r>
      <w:r>
        <w:rPr>
          <w:spacing w:val="-2"/>
        </w:rPr>
        <w:t xml:space="preserve"> </w:t>
      </w:r>
      <w:r>
        <w:t>in</w:t>
      </w:r>
      <w:r>
        <w:rPr>
          <w:spacing w:val="-3"/>
        </w:rPr>
        <w:t xml:space="preserve"> </w:t>
      </w:r>
      <w:r>
        <w:t>performance</w:t>
      </w:r>
      <w:r>
        <w:rPr>
          <w:spacing w:val="-5"/>
        </w:rPr>
        <w:t xml:space="preserve"> </w:t>
      </w:r>
      <w:r>
        <w:t>(outcomes/service</w:t>
      </w:r>
      <w:r>
        <w:rPr>
          <w:spacing w:val="-4"/>
        </w:rPr>
        <w:t xml:space="preserve"> </w:t>
      </w:r>
      <w:r>
        <w:t>performance,</w:t>
      </w:r>
      <w:r>
        <w:rPr>
          <w:spacing w:val="-4"/>
        </w:rPr>
        <w:t xml:space="preserve"> </w:t>
      </w:r>
      <w:r>
        <w:t>capex</w:t>
      </w:r>
      <w:r>
        <w:rPr>
          <w:spacing w:val="-2"/>
        </w:rPr>
        <w:t xml:space="preserve"> </w:t>
      </w:r>
      <w:r>
        <w:t>and</w:t>
      </w:r>
      <w:r>
        <w:rPr>
          <w:spacing w:val="-4"/>
        </w:rPr>
        <w:t xml:space="preserve"> </w:t>
      </w:r>
      <w:r>
        <w:t>opex) to seek to better align with PS4 commitments over the balance of the regulatory period.</w:t>
      </w:r>
    </w:p>
    <w:p w14:paraId="6B716515" w14:textId="77777777" w:rsidR="00141B97" w:rsidRDefault="00911D63">
      <w:pPr>
        <w:pStyle w:val="ListParagraph"/>
        <w:numPr>
          <w:ilvl w:val="0"/>
          <w:numId w:val="80"/>
        </w:numPr>
        <w:tabs>
          <w:tab w:val="left" w:pos="833"/>
          <w:tab w:val="left" w:pos="834"/>
        </w:tabs>
        <w:spacing w:before="3"/>
        <w:ind w:hanging="361"/>
      </w:pPr>
      <w:r>
        <w:t>Informs</w:t>
      </w:r>
      <w:r>
        <w:rPr>
          <w:spacing w:val="-6"/>
        </w:rPr>
        <w:t xml:space="preserve"> </w:t>
      </w:r>
      <w:r>
        <w:t>the</w:t>
      </w:r>
      <w:r>
        <w:rPr>
          <w:spacing w:val="-7"/>
        </w:rPr>
        <w:t xml:space="preserve"> </w:t>
      </w:r>
      <w:r>
        <w:t>PREMO</w:t>
      </w:r>
      <w:r>
        <w:rPr>
          <w:spacing w:val="-6"/>
        </w:rPr>
        <w:t xml:space="preserve"> </w:t>
      </w:r>
      <w:r>
        <w:t>rating</w:t>
      </w:r>
      <w:r>
        <w:rPr>
          <w:spacing w:val="-6"/>
        </w:rPr>
        <w:t xml:space="preserve"> </w:t>
      </w:r>
      <w:r>
        <w:t>for</w:t>
      </w:r>
      <w:r>
        <w:rPr>
          <w:spacing w:val="-7"/>
        </w:rPr>
        <w:t xml:space="preserve"> </w:t>
      </w:r>
      <w:r>
        <w:rPr>
          <w:spacing w:val="-4"/>
        </w:rPr>
        <w:t>PS5.</w:t>
      </w:r>
    </w:p>
    <w:p w14:paraId="783FBBB4" w14:textId="77777777" w:rsidR="00141B97" w:rsidRDefault="00911D63">
      <w:pPr>
        <w:pStyle w:val="ListParagraph"/>
        <w:numPr>
          <w:ilvl w:val="0"/>
          <w:numId w:val="80"/>
        </w:numPr>
        <w:tabs>
          <w:tab w:val="left" w:pos="833"/>
          <w:tab w:val="left" w:pos="834"/>
        </w:tabs>
        <w:spacing w:before="16" w:line="252" w:lineRule="auto"/>
        <w:ind w:right="1288"/>
      </w:pPr>
      <w:r>
        <w:t>Supports</w:t>
      </w:r>
      <w:r>
        <w:rPr>
          <w:spacing w:val="-2"/>
        </w:rPr>
        <w:t xml:space="preserve"> </w:t>
      </w:r>
      <w:r>
        <w:t>establishment</w:t>
      </w:r>
      <w:r>
        <w:rPr>
          <w:spacing w:val="-3"/>
        </w:rPr>
        <w:t xml:space="preserve"> </w:t>
      </w:r>
      <w:r>
        <w:t>of an</w:t>
      </w:r>
      <w:r>
        <w:rPr>
          <w:spacing w:val="-2"/>
        </w:rPr>
        <w:t xml:space="preserve"> </w:t>
      </w:r>
      <w:r>
        <w:t>efficient</w:t>
      </w:r>
      <w:r>
        <w:rPr>
          <w:spacing w:val="-2"/>
        </w:rPr>
        <w:t xml:space="preserve"> </w:t>
      </w:r>
      <w:r>
        <w:t>baseline</w:t>
      </w:r>
      <w:r>
        <w:rPr>
          <w:spacing w:val="-3"/>
        </w:rPr>
        <w:t xml:space="preserve"> </w:t>
      </w:r>
      <w:r>
        <w:t>opex</w:t>
      </w:r>
      <w:r>
        <w:rPr>
          <w:spacing w:val="-1"/>
        </w:rPr>
        <w:t xml:space="preserve"> </w:t>
      </w:r>
      <w:r>
        <w:t>for</w:t>
      </w:r>
      <w:r>
        <w:rPr>
          <w:spacing w:val="-3"/>
        </w:rPr>
        <w:t xml:space="preserve"> </w:t>
      </w:r>
      <w:r>
        <w:t>the</w:t>
      </w:r>
      <w:r>
        <w:rPr>
          <w:spacing w:val="-3"/>
        </w:rPr>
        <w:t xml:space="preserve"> </w:t>
      </w:r>
      <w:r>
        <w:t>2021/22</w:t>
      </w:r>
      <w:r>
        <w:rPr>
          <w:spacing w:val="-3"/>
        </w:rPr>
        <w:t xml:space="preserve"> </w:t>
      </w:r>
      <w:r>
        <w:t>year,</w:t>
      </w:r>
      <w:r>
        <w:rPr>
          <w:spacing w:val="-2"/>
        </w:rPr>
        <w:t xml:space="preserve"> </w:t>
      </w:r>
      <w:r>
        <w:t>as</w:t>
      </w:r>
      <w:r>
        <w:rPr>
          <w:spacing w:val="-3"/>
        </w:rPr>
        <w:t xml:space="preserve"> </w:t>
      </w:r>
      <w:r>
        <w:t>the</w:t>
      </w:r>
      <w:r>
        <w:rPr>
          <w:spacing w:val="-3"/>
        </w:rPr>
        <w:t xml:space="preserve"> </w:t>
      </w:r>
      <w:r>
        <w:t>base</w:t>
      </w:r>
      <w:r>
        <w:rPr>
          <w:spacing w:val="-3"/>
        </w:rPr>
        <w:t xml:space="preserve"> </w:t>
      </w:r>
      <w:r>
        <w:t>year</w:t>
      </w:r>
      <w:r>
        <w:rPr>
          <w:spacing w:val="-3"/>
        </w:rPr>
        <w:t xml:space="preserve"> </w:t>
      </w:r>
      <w:r>
        <w:t>for</w:t>
      </w:r>
      <w:r>
        <w:rPr>
          <w:spacing w:val="-2"/>
        </w:rPr>
        <w:t xml:space="preserve"> </w:t>
      </w:r>
      <w:r>
        <w:t xml:space="preserve">PS5 </w:t>
      </w:r>
      <w:r>
        <w:rPr>
          <w:spacing w:val="-2"/>
        </w:rPr>
        <w:t>forecasts.</w:t>
      </w:r>
    </w:p>
    <w:p w14:paraId="4010E9F1" w14:textId="77777777" w:rsidR="00141B97" w:rsidRDefault="00141B97">
      <w:pPr>
        <w:pStyle w:val="BodyText"/>
        <w:spacing w:before="4"/>
      </w:pPr>
    </w:p>
    <w:p w14:paraId="63EB9EA3" w14:textId="77777777" w:rsidR="00141B97" w:rsidRDefault="00911D63">
      <w:pPr>
        <w:pStyle w:val="BodyText"/>
        <w:ind w:left="113" w:right="962"/>
      </w:pPr>
      <w:r>
        <w:t>This</w:t>
      </w:r>
      <w:r>
        <w:rPr>
          <w:spacing w:val="-2"/>
        </w:rPr>
        <w:t xml:space="preserve"> </w:t>
      </w:r>
      <w:r>
        <w:t>section</w:t>
      </w:r>
      <w:r>
        <w:rPr>
          <w:spacing w:val="-3"/>
        </w:rPr>
        <w:t xml:space="preserve"> </w:t>
      </w:r>
      <w:r>
        <w:t>provides</w:t>
      </w:r>
      <w:r>
        <w:rPr>
          <w:spacing w:val="-3"/>
        </w:rPr>
        <w:t xml:space="preserve"> </w:t>
      </w:r>
      <w:r>
        <w:t>a</w:t>
      </w:r>
      <w:r>
        <w:rPr>
          <w:spacing w:val="-2"/>
        </w:rPr>
        <w:t xml:space="preserve"> </w:t>
      </w:r>
      <w:r>
        <w:t>summary</w:t>
      </w:r>
      <w:r>
        <w:rPr>
          <w:spacing w:val="-3"/>
        </w:rPr>
        <w:t xml:space="preserve"> </w:t>
      </w:r>
      <w:r>
        <w:t>of</w:t>
      </w:r>
      <w:r>
        <w:rPr>
          <w:spacing w:val="-1"/>
        </w:rPr>
        <w:t xml:space="preserve"> </w:t>
      </w:r>
      <w:r>
        <w:t>a</w:t>
      </w:r>
      <w:r>
        <w:rPr>
          <w:spacing w:val="-3"/>
        </w:rPr>
        <w:t xml:space="preserve"> </w:t>
      </w:r>
      <w:r>
        <w:t>more</w:t>
      </w:r>
      <w:r>
        <w:rPr>
          <w:spacing w:val="-4"/>
        </w:rPr>
        <w:t xml:space="preserve"> </w:t>
      </w:r>
      <w:r>
        <w:t>detailed</w:t>
      </w:r>
      <w:r>
        <w:rPr>
          <w:spacing w:val="-2"/>
        </w:rPr>
        <w:t xml:space="preserve"> </w:t>
      </w:r>
      <w:r>
        <w:t>assessment</w:t>
      </w:r>
      <w:r>
        <w:rPr>
          <w:spacing w:val="-2"/>
        </w:rPr>
        <w:t xml:space="preserve"> </w:t>
      </w:r>
      <w:r>
        <w:t>contained</w:t>
      </w:r>
      <w:r>
        <w:rPr>
          <w:spacing w:val="-3"/>
        </w:rPr>
        <w:t xml:space="preserve"> </w:t>
      </w:r>
      <w:r>
        <w:t>in</w:t>
      </w:r>
      <w:r>
        <w:rPr>
          <w:spacing w:val="-2"/>
        </w:rPr>
        <w:t xml:space="preserve"> </w:t>
      </w:r>
      <w:r>
        <w:t>a</w:t>
      </w:r>
      <w:r>
        <w:rPr>
          <w:spacing w:val="-3"/>
        </w:rPr>
        <w:t xml:space="preserve"> </w:t>
      </w:r>
      <w:r>
        <w:t>separate</w:t>
      </w:r>
      <w:r>
        <w:rPr>
          <w:spacing w:val="-4"/>
        </w:rPr>
        <w:t xml:space="preserve"> </w:t>
      </w:r>
      <w:r>
        <w:t>LMW</w:t>
      </w:r>
      <w:r>
        <w:rPr>
          <w:spacing w:val="-1"/>
        </w:rPr>
        <w:t xml:space="preserve"> </w:t>
      </w:r>
      <w:r>
        <w:t>PS4</w:t>
      </w:r>
      <w:r>
        <w:rPr>
          <w:spacing w:val="-3"/>
        </w:rPr>
        <w:t xml:space="preserve"> </w:t>
      </w:r>
      <w:r>
        <w:t>Outcomes Review</w:t>
      </w:r>
      <w:r>
        <w:rPr>
          <w:vertAlign w:val="superscript"/>
        </w:rPr>
        <w:t>1</w:t>
      </w:r>
      <w:r>
        <w:t xml:space="preserve"> and describes the performance of LMW’s urban business across the PS4 regulatory period with respect to four key areas of commitment:</w:t>
      </w:r>
    </w:p>
    <w:p w14:paraId="6131B61E" w14:textId="77777777" w:rsidR="00141B97" w:rsidRDefault="00911D63">
      <w:pPr>
        <w:pStyle w:val="ListParagraph"/>
        <w:numPr>
          <w:ilvl w:val="0"/>
          <w:numId w:val="80"/>
        </w:numPr>
        <w:tabs>
          <w:tab w:val="left" w:pos="833"/>
          <w:tab w:val="left" w:pos="834"/>
        </w:tabs>
        <w:spacing w:before="60"/>
        <w:ind w:left="834"/>
      </w:pPr>
      <w:r>
        <w:t>Service</w:t>
      </w:r>
      <w:r>
        <w:rPr>
          <w:spacing w:val="-8"/>
        </w:rPr>
        <w:t xml:space="preserve"> </w:t>
      </w:r>
      <w:r>
        <w:rPr>
          <w:spacing w:val="-2"/>
        </w:rPr>
        <w:t>Outcomes.</w:t>
      </w:r>
    </w:p>
    <w:p w14:paraId="4B24941C" w14:textId="77777777" w:rsidR="00141B97" w:rsidRDefault="00911D63">
      <w:pPr>
        <w:pStyle w:val="ListParagraph"/>
        <w:numPr>
          <w:ilvl w:val="0"/>
          <w:numId w:val="80"/>
        </w:numPr>
        <w:tabs>
          <w:tab w:val="left" w:pos="833"/>
          <w:tab w:val="left" w:pos="834"/>
        </w:tabs>
        <w:spacing w:before="59"/>
        <w:ind w:hanging="361"/>
      </w:pPr>
      <w:r>
        <w:t>Prices</w:t>
      </w:r>
      <w:r>
        <w:rPr>
          <w:spacing w:val="-7"/>
        </w:rPr>
        <w:t xml:space="preserve"> </w:t>
      </w:r>
      <w:r>
        <w:t>and</w:t>
      </w:r>
      <w:r>
        <w:rPr>
          <w:spacing w:val="-8"/>
        </w:rPr>
        <w:t xml:space="preserve"> </w:t>
      </w:r>
      <w:r>
        <w:rPr>
          <w:spacing w:val="-2"/>
        </w:rPr>
        <w:t>Revenues.</w:t>
      </w:r>
    </w:p>
    <w:p w14:paraId="5552CFA3" w14:textId="77777777" w:rsidR="00141B97" w:rsidRDefault="00911D63">
      <w:pPr>
        <w:pStyle w:val="ListParagraph"/>
        <w:numPr>
          <w:ilvl w:val="0"/>
          <w:numId w:val="80"/>
        </w:numPr>
        <w:tabs>
          <w:tab w:val="left" w:pos="833"/>
          <w:tab w:val="left" w:pos="834"/>
        </w:tabs>
        <w:spacing w:before="61"/>
        <w:ind w:hanging="361"/>
      </w:pPr>
      <w:r>
        <w:rPr>
          <w:spacing w:val="-2"/>
        </w:rPr>
        <w:t>Operating</w:t>
      </w:r>
      <w:r>
        <w:rPr>
          <w:spacing w:val="2"/>
        </w:rPr>
        <w:t xml:space="preserve"> </w:t>
      </w:r>
      <w:r>
        <w:rPr>
          <w:spacing w:val="-2"/>
        </w:rPr>
        <w:t>Expenditure.</w:t>
      </w:r>
    </w:p>
    <w:p w14:paraId="64F47568" w14:textId="77777777" w:rsidR="00141B97" w:rsidRDefault="00911D63">
      <w:pPr>
        <w:pStyle w:val="ListParagraph"/>
        <w:numPr>
          <w:ilvl w:val="0"/>
          <w:numId w:val="80"/>
        </w:numPr>
        <w:tabs>
          <w:tab w:val="left" w:pos="833"/>
          <w:tab w:val="left" w:pos="834"/>
        </w:tabs>
        <w:spacing w:before="59"/>
        <w:ind w:hanging="361"/>
      </w:pPr>
      <w:r>
        <w:t>Capital</w:t>
      </w:r>
      <w:r>
        <w:rPr>
          <w:spacing w:val="-7"/>
        </w:rPr>
        <w:t xml:space="preserve"> </w:t>
      </w:r>
      <w:r>
        <w:rPr>
          <w:spacing w:val="-2"/>
        </w:rPr>
        <w:t>Expenditure.</w:t>
      </w:r>
    </w:p>
    <w:p w14:paraId="114904C7" w14:textId="77777777" w:rsidR="00141B97" w:rsidRDefault="00141B97">
      <w:pPr>
        <w:pStyle w:val="BodyText"/>
        <w:spacing w:before="2"/>
        <w:rPr>
          <w:sz w:val="31"/>
        </w:rPr>
      </w:pPr>
    </w:p>
    <w:p w14:paraId="394912A5" w14:textId="77777777" w:rsidR="00141B97" w:rsidRDefault="00911D63">
      <w:pPr>
        <w:pStyle w:val="Heading2"/>
        <w:numPr>
          <w:ilvl w:val="1"/>
          <w:numId w:val="81"/>
        </w:numPr>
        <w:tabs>
          <w:tab w:val="left" w:pos="1112"/>
          <w:tab w:val="left" w:pos="1113"/>
        </w:tabs>
      </w:pPr>
      <w:r>
        <w:rPr>
          <w:color w:val="009BAC"/>
        </w:rPr>
        <w:t>PS4</w:t>
      </w:r>
      <w:r>
        <w:rPr>
          <w:color w:val="009BAC"/>
          <w:spacing w:val="-7"/>
        </w:rPr>
        <w:t xml:space="preserve"> </w:t>
      </w:r>
      <w:r>
        <w:rPr>
          <w:color w:val="009BAC"/>
        </w:rPr>
        <w:t>Service</w:t>
      </w:r>
      <w:r>
        <w:rPr>
          <w:color w:val="009BAC"/>
          <w:spacing w:val="-6"/>
        </w:rPr>
        <w:t xml:space="preserve"> </w:t>
      </w:r>
      <w:r>
        <w:rPr>
          <w:color w:val="009BAC"/>
          <w:spacing w:val="-2"/>
        </w:rPr>
        <w:t>Outcomes</w:t>
      </w:r>
    </w:p>
    <w:p w14:paraId="435D214D" w14:textId="77777777" w:rsidR="00141B97" w:rsidRDefault="00911D63">
      <w:pPr>
        <w:pStyle w:val="BodyText"/>
        <w:spacing w:before="132" w:line="249" w:lineRule="auto"/>
        <w:ind w:left="113" w:right="948"/>
        <w:jc w:val="both"/>
      </w:pPr>
      <w:r>
        <w:t>Consistent with the requirements of the newly introduced PREMO framework, LMW undertook extensive engagement</w:t>
      </w:r>
      <w:r>
        <w:rPr>
          <w:spacing w:val="-13"/>
        </w:rPr>
        <w:t xml:space="preserve"> </w:t>
      </w:r>
      <w:r>
        <w:t>with</w:t>
      </w:r>
      <w:r>
        <w:rPr>
          <w:spacing w:val="-12"/>
        </w:rPr>
        <w:t xml:space="preserve"> </w:t>
      </w:r>
      <w:r>
        <w:t>urban</w:t>
      </w:r>
      <w:r>
        <w:rPr>
          <w:spacing w:val="-13"/>
        </w:rPr>
        <w:t xml:space="preserve"> </w:t>
      </w:r>
      <w:r>
        <w:t>customers</w:t>
      </w:r>
      <w:r>
        <w:rPr>
          <w:spacing w:val="-12"/>
        </w:rPr>
        <w:t xml:space="preserve"> </w:t>
      </w:r>
      <w:r>
        <w:t>to</w:t>
      </w:r>
      <w:r>
        <w:rPr>
          <w:spacing w:val="-13"/>
        </w:rPr>
        <w:t xml:space="preserve"> </w:t>
      </w:r>
      <w:r>
        <w:t>develop,</w:t>
      </w:r>
      <w:r>
        <w:rPr>
          <w:spacing w:val="-12"/>
        </w:rPr>
        <w:t xml:space="preserve"> </w:t>
      </w:r>
      <w:r>
        <w:t>refine</w:t>
      </w:r>
      <w:r>
        <w:rPr>
          <w:spacing w:val="-13"/>
        </w:rPr>
        <w:t xml:space="preserve"> </w:t>
      </w:r>
      <w:r>
        <w:t>and</w:t>
      </w:r>
      <w:r>
        <w:rPr>
          <w:spacing w:val="-12"/>
        </w:rPr>
        <w:t xml:space="preserve"> </w:t>
      </w:r>
      <w:r>
        <w:t>agree</w:t>
      </w:r>
      <w:r>
        <w:rPr>
          <w:spacing w:val="-12"/>
        </w:rPr>
        <w:t xml:space="preserve"> </w:t>
      </w:r>
      <w:r>
        <w:t>upon</w:t>
      </w:r>
      <w:r>
        <w:rPr>
          <w:spacing w:val="-13"/>
        </w:rPr>
        <w:t xml:space="preserve"> </w:t>
      </w:r>
      <w:r>
        <w:t>a</w:t>
      </w:r>
      <w:r>
        <w:rPr>
          <w:spacing w:val="-12"/>
        </w:rPr>
        <w:t xml:space="preserve"> </w:t>
      </w:r>
      <w:r>
        <w:t>set</w:t>
      </w:r>
      <w:r>
        <w:rPr>
          <w:spacing w:val="-13"/>
        </w:rPr>
        <w:t xml:space="preserve"> </w:t>
      </w:r>
      <w:r>
        <w:t>of</w:t>
      </w:r>
      <w:r>
        <w:rPr>
          <w:spacing w:val="-12"/>
        </w:rPr>
        <w:t xml:space="preserve"> </w:t>
      </w:r>
      <w:r>
        <w:t>seven</w:t>
      </w:r>
      <w:r>
        <w:rPr>
          <w:spacing w:val="-13"/>
        </w:rPr>
        <w:t xml:space="preserve"> </w:t>
      </w:r>
      <w:r>
        <w:t>customer</w:t>
      </w:r>
      <w:r>
        <w:rPr>
          <w:spacing w:val="-12"/>
        </w:rPr>
        <w:t xml:space="preserve"> </w:t>
      </w:r>
      <w:r>
        <w:t>service</w:t>
      </w:r>
      <w:r>
        <w:rPr>
          <w:spacing w:val="-12"/>
        </w:rPr>
        <w:t xml:space="preserve"> </w:t>
      </w:r>
      <w:r>
        <w:t>outcomes. LMW</w:t>
      </w:r>
      <w:r>
        <w:rPr>
          <w:spacing w:val="-2"/>
        </w:rPr>
        <w:t xml:space="preserve"> </w:t>
      </w:r>
      <w:r>
        <w:t>has</w:t>
      </w:r>
      <w:r>
        <w:rPr>
          <w:spacing w:val="-2"/>
        </w:rPr>
        <w:t xml:space="preserve"> </w:t>
      </w:r>
      <w:r>
        <w:t>reported</w:t>
      </w:r>
      <w:r>
        <w:rPr>
          <w:spacing w:val="-2"/>
        </w:rPr>
        <w:t xml:space="preserve"> </w:t>
      </w:r>
      <w:r>
        <w:t>its</w:t>
      </w:r>
      <w:r>
        <w:rPr>
          <w:spacing w:val="-1"/>
        </w:rPr>
        <w:t xml:space="preserve"> </w:t>
      </w:r>
      <w:r>
        <w:t>self‐assessed</w:t>
      </w:r>
      <w:r>
        <w:rPr>
          <w:spacing w:val="-1"/>
        </w:rPr>
        <w:t xml:space="preserve"> </w:t>
      </w:r>
      <w:r>
        <w:t>performance</w:t>
      </w:r>
      <w:r>
        <w:rPr>
          <w:spacing w:val="-2"/>
        </w:rPr>
        <w:t xml:space="preserve"> </w:t>
      </w:r>
      <w:r>
        <w:t>against</w:t>
      </w:r>
      <w:r>
        <w:rPr>
          <w:spacing w:val="-2"/>
        </w:rPr>
        <w:t xml:space="preserve"> </w:t>
      </w:r>
      <w:r>
        <w:t>these</w:t>
      </w:r>
      <w:r>
        <w:rPr>
          <w:spacing w:val="-1"/>
        </w:rPr>
        <w:t xml:space="preserve"> </w:t>
      </w:r>
      <w:r>
        <w:t>outcomes and</w:t>
      </w:r>
      <w:r>
        <w:rPr>
          <w:spacing w:val="-2"/>
        </w:rPr>
        <w:t xml:space="preserve"> </w:t>
      </w:r>
      <w:r>
        <w:t>their</w:t>
      </w:r>
      <w:r>
        <w:rPr>
          <w:spacing w:val="-1"/>
        </w:rPr>
        <w:t xml:space="preserve"> </w:t>
      </w:r>
      <w:r>
        <w:t>underlying measures on an annual</w:t>
      </w:r>
      <w:r>
        <w:rPr>
          <w:spacing w:val="-13"/>
        </w:rPr>
        <w:t xml:space="preserve"> </w:t>
      </w:r>
      <w:r>
        <w:t>basis</w:t>
      </w:r>
      <w:r>
        <w:rPr>
          <w:spacing w:val="-12"/>
        </w:rPr>
        <w:t xml:space="preserve"> </w:t>
      </w:r>
      <w:r>
        <w:t>since</w:t>
      </w:r>
      <w:r>
        <w:rPr>
          <w:spacing w:val="-11"/>
        </w:rPr>
        <w:t xml:space="preserve"> </w:t>
      </w:r>
      <w:r>
        <w:t>2018,</w:t>
      </w:r>
      <w:r>
        <w:rPr>
          <w:spacing w:val="-13"/>
        </w:rPr>
        <w:t xml:space="preserve"> </w:t>
      </w:r>
      <w:r>
        <w:t>using</w:t>
      </w:r>
      <w:r>
        <w:rPr>
          <w:spacing w:val="-12"/>
        </w:rPr>
        <w:t xml:space="preserve"> </w:t>
      </w:r>
      <w:r>
        <w:t>the</w:t>
      </w:r>
      <w:r>
        <w:rPr>
          <w:spacing w:val="-11"/>
        </w:rPr>
        <w:t xml:space="preserve"> </w:t>
      </w:r>
      <w:r>
        <w:t>ESC’s</w:t>
      </w:r>
      <w:r>
        <w:rPr>
          <w:spacing w:val="-13"/>
        </w:rPr>
        <w:t xml:space="preserve"> </w:t>
      </w:r>
      <w:r>
        <w:t>“traffic</w:t>
      </w:r>
      <w:r>
        <w:rPr>
          <w:spacing w:val="-10"/>
        </w:rPr>
        <w:t xml:space="preserve"> </w:t>
      </w:r>
      <w:r>
        <w:t>light”</w:t>
      </w:r>
      <w:r>
        <w:rPr>
          <w:spacing w:val="-12"/>
        </w:rPr>
        <w:t xml:space="preserve"> </w:t>
      </w:r>
      <w:r>
        <w:t>rating</w:t>
      </w:r>
      <w:r>
        <w:rPr>
          <w:spacing w:val="-13"/>
        </w:rPr>
        <w:t xml:space="preserve"> </w:t>
      </w:r>
      <w:r>
        <w:t>(green</w:t>
      </w:r>
      <w:r>
        <w:rPr>
          <w:spacing w:val="-11"/>
        </w:rPr>
        <w:t xml:space="preserve"> </w:t>
      </w:r>
      <w:r>
        <w:t>=</w:t>
      </w:r>
      <w:r>
        <w:rPr>
          <w:spacing w:val="-12"/>
        </w:rPr>
        <w:t xml:space="preserve"> </w:t>
      </w:r>
      <w:r>
        <w:t>met,</w:t>
      </w:r>
      <w:r>
        <w:rPr>
          <w:spacing w:val="-11"/>
        </w:rPr>
        <w:t xml:space="preserve"> </w:t>
      </w:r>
      <w:r>
        <w:t>red</w:t>
      </w:r>
      <w:r>
        <w:rPr>
          <w:spacing w:val="-12"/>
        </w:rPr>
        <w:t xml:space="preserve"> </w:t>
      </w:r>
      <w:r>
        <w:t>=</w:t>
      </w:r>
      <w:r>
        <w:rPr>
          <w:spacing w:val="-12"/>
        </w:rPr>
        <w:t xml:space="preserve"> </w:t>
      </w:r>
      <w:r>
        <w:t>not</w:t>
      </w:r>
      <w:r>
        <w:rPr>
          <w:spacing w:val="-13"/>
        </w:rPr>
        <w:t xml:space="preserve"> </w:t>
      </w:r>
      <w:r>
        <w:t>met,</w:t>
      </w:r>
      <w:r>
        <w:rPr>
          <w:spacing w:val="-10"/>
        </w:rPr>
        <w:t xml:space="preserve"> </w:t>
      </w:r>
      <w:r>
        <w:t>yellow</w:t>
      </w:r>
      <w:r>
        <w:rPr>
          <w:spacing w:val="-11"/>
        </w:rPr>
        <w:t xml:space="preserve"> </w:t>
      </w:r>
      <w:r>
        <w:t>=</w:t>
      </w:r>
      <w:r>
        <w:rPr>
          <w:spacing w:val="-13"/>
        </w:rPr>
        <w:t xml:space="preserve"> </w:t>
      </w:r>
      <w:r>
        <w:t>close</w:t>
      </w:r>
      <w:r>
        <w:rPr>
          <w:spacing w:val="-11"/>
        </w:rPr>
        <w:t xml:space="preserve"> </w:t>
      </w:r>
      <w:r>
        <w:t>or</w:t>
      </w:r>
      <w:r>
        <w:rPr>
          <w:spacing w:val="-11"/>
        </w:rPr>
        <w:t xml:space="preserve"> </w:t>
      </w:r>
      <w:r>
        <w:t xml:space="preserve">largely </w:t>
      </w:r>
      <w:r>
        <w:rPr>
          <w:spacing w:val="-2"/>
        </w:rPr>
        <w:t>met).</w:t>
      </w:r>
    </w:p>
    <w:p w14:paraId="66D36D3F" w14:textId="77777777" w:rsidR="00141B97" w:rsidRDefault="00911D63">
      <w:pPr>
        <w:pStyle w:val="BodyText"/>
        <w:spacing w:before="123" w:line="249" w:lineRule="auto"/>
        <w:ind w:left="114" w:right="948" w:hanging="1"/>
        <w:jc w:val="both"/>
      </w:pPr>
      <w:r>
        <w:t>The</w:t>
      </w:r>
      <w:r>
        <w:rPr>
          <w:spacing w:val="-2"/>
        </w:rPr>
        <w:t xml:space="preserve"> </w:t>
      </w:r>
      <w:r>
        <w:t>annual</w:t>
      </w:r>
      <w:r>
        <w:rPr>
          <w:spacing w:val="-2"/>
        </w:rPr>
        <w:t xml:space="preserve"> </w:t>
      </w:r>
      <w:r>
        <w:t>performance on</w:t>
      </w:r>
      <w:r>
        <w:rPr>
          <w:spacing w:val="-2"/>
        </w:rPr>
        <w:t xml:space="preserve"> </w:t>
      </w:r>
      <w:r>
        <w:t>each</w:t>
      </w:r>
      <w:r>
        <w:rPr>
          <w:spacing w:val="-1"/>
        </w:rPr>
        <w:t xml:space="preserve"> </w:t>
      </w:r>
      <w:r>
        <w:t>outcome,</w:t>
      </w:r>
      <w:r>
        <w:rPr>
          <w:spacing w:val="-1"/>
        </w:rPr>
        <w:t xml:space="preserve"> </w:t>
      </w:r>
      <w:r>
        <w:t>and</w:t>
      </w:r>
      <w:r>
        <w:rPr>
          <w:spacing w:val="-1"/>
        </w:rPr>
        <w:t xml:space="preserve"> </w:t>
      </w:r>
      <w:r>
        <w:t>overall, is</w:t>
      </w:r>
      <w:r>
        <w:rPr>
          <w:spacing w:val="-2"/>
        </w:rPr>
        <w:t xml:space="preserve"> </w:t>
      </w:r>
      <w:r>
        <w:t>shown</w:t>
      </w:r>
      <w:r>
        <w:rPr>
          <w:spacing w:val="-1"/>
        </w:rPr>
        <w:t xml:space="preserve"> </w:t>
      </w:r>
      <w:r>
        <w:t>in</w:t>
      </w:r>
      <w:r>
        <w:rPr>
          <w:spacing w:val="-2"/>
        </w:rPr>
        <w:t xml:space="preserve"> </w:t>
      </w:r>
      <w:r>
        <w:t>Table</w:t>
      </w:r>
      <w:r>
        <w:rPr>
          <w:spacing w:val="-1"/>
        </w:rPr>
        <w:t xml:space="preserve"> </w:t>
      </w:r>
      <w:r>
        <w:t>B1</w:t>
      </w:r>
      <w:r>
        <w:rPr>
          <w:spacing w:val="-2"/>
        </w:rPr>
        <w:t xml:space="preserve"> </w:t>
      </w:r>
      <w:r>
        <w:t>below, and</w:t>
      </w:r>
      <w:r>
        <w:rPr>
          <w:spacing w:val="-1"/>
        </w:rPr>
        <w:t xml:space="preserve"> </w:t>
      </w:r>
      <w:r>
        <w:t>indicates</w:t>
      </w:r>
      <w:r>
        <w:rPr>
          <w:spacing w:val="-1"/>
        </w:rPr>
        <w:t xml:space="preserve"> </w:t>
      </w:r>
      <w:r>
        <w:t>that</w:t>
      </w:r>
      <w:r>
        <w:rPr>
          <w:spacing w:val="-2"/>
        </w:rPr>
        <w:t xml:space="preserve"> </w:t>
      </w:r>
      <w:r>
        <w:t>to</w:t>
      </w:r>
      <w:r>
        <w:rPr>
          <w:spacing w:val="-1"/>
        </w:rPr>
        <w:t xml:space="preserve"> </w:t>
      </w:r>
      <w:r>
        <w:t>date, LMW</w:t>
      </w:r>
      <w:r>
        <w:rPr>
          <w:spacing w:val="-7"/>
        </w:rPr>
        <w:t xml:space="preserve"> </w:t>
      </w:r>
      <w:r>
        <w:t>has</w:t>
      </w:r>
      <w:r>
        <w:rPr>
          <w:spacing w:val="-7"/>
        </w:rPr>
        <w:t xml:space="preserve"> </w:t>
      </w:r>
      <w:r>
        <w:t>consistently</w:t>
      </w:r>
      <w:r>
        <w:rPr>
          <w:spacing w:val="-7"/>
        </w:rPr>
        <w:t xml:space="preserve"> </w:t>
      </w:r>
      <w:r>
        <w:t>met</w:t>
      </w:r>
      <w:r>
        <w:rPr>
          <w:spacing w:val="-6"/>
        </w:rPr>
        <w:t xml:space="preserve"> </w:t>
      </w:r>
      <w:r>
        <w:t>64</w:t>
      </w:r>
      <w:r>
        <w:rPr>
          <w:spacing w:val="-6"/>
        </w:rPr>
        <w:t xml:space="preserve"> </w:t>
      </w:r>
      <w:r>
        <w:t>percent</w:t>
      </w:r>
      <w:r>
        <w:rPr>
          <w:spacing w:val="-6"/>
        </w:rPr>
        <w:t xml:space="preserve"> </w:t>
      </w:r>
      <w:r>
        <w:t>of</w:t>
      </w:r>
      <w:r>
        <w:rPr>
          <w:spacing w:val="-5"/>
        </w:rPr>
        <w:t xml:space="preserve"> </w:t>
      </w:r>
      <w:r>
        <w:t>its</w:t>
      </w:r>
      <w:r>
        <w:rPr>
          <w:spacing w:val="-5"/>
        </w:rPr>
        <w:t xml:space="preserve"> </w:t>
      </w:r>
      <w:r>
        <w:t>outcome</w:t>
      </w:r>
      <w:r>
        <w:rPr>
          <w:spacing w:val="-5"/>
        </w:rPr>
        <w:t xml:space="preserve"> </w:t>
      </w:r>
      <w:r>
        <w:t>targets,</w:t>
      </w:r>
      <w:r>
        <w:rPr>
          <w:spacing w:val="-7"/>
        </w:rPr>
        <w:t xml:space="preserve"> </w:t>
      </w:r>
      <w:r>
        <w:t>closely</w:t>
      </w:r>
      <w:r>
        <w:rPr>
          <w:spacing w:val="-6"/>
        </w:rPr>
        <w:t xml:space="preserve"> </w:t>
      </w:r>
      <w:r>
        <w:t>or</w:t>
      </w:r>
      <w:r>
        <w:rPr>
          <w:spacing w:val="-5"/>
        </w:rPr>
        <w:t xml:space="preserve"> </w:t>
      </w:r>
      <w:r>
        <w:t>largely</w:t>
      </w:r>
      <w:r>
        <w:rPr>
          <w:spacing w:val="-7"/>
        </w:rPr>
        <w:t xml:space="preserve"> </w:t>
      </w:r>
      <w:r>
        <w:t>met</w:t>
      </w:r>
      <w:r>
        <w:rPr>
          <w:spacing w:val="-7"/>
        </w:rPr>
        <w:t xml:space="preserve"> </w:t>
      </w:r>
      <w:r>
        <w:t>another</w:t>
      </w:r>
      <w:r>
        <w:rPr>
          <w:spacing w:val="-7"/>
        </w:rPr>
        <w:t xml:space="preserve"> </w:t>
      </w:r>
      <w:r>
        <w:t>29</w:t>
      </w:r>
      <w:r>
        <w:rPr>
          <w:spacing w:val="-5"/>
        </w:rPr>
        <w:t xml:space="preserve"> </w:t>
      </w:r>
      <w:r>
        <w:t>percent,</w:t>
      </w:r>
      <w:r>
        <w:rPr>
          <w:spacing w:val="-6"/>
        </w:rPr>
        <w:t xml:space="preserve"> </w:t>
      </w:r>
      <w:r>
        <w:t>and</w:t>
      </w:r>
      <w:r>
        <w:rPr>
          <w:spacing w:val="-4"/>
        </w:rPr>
        <w:t xml:space="preserve"> </w:t>
      </w:r>
      <w:r>
        <w:t>did not meet 7 percent (or two) of its outcomes – one in each of the first two years</w:t>
      </w:r>
      <w:r>
        <w:rPr>
          <w:vertAlign w:val="superscript"/>
        </w:rPr>
        <w:t>2</w:t>
      </w:r>
      <w:r>
        <w:t>.</w:t>
      </w:r>
      <w:r>
        <w:rPr>
          <w:spacing w:val="40"/>
        </w:rPr>
        <w:t xml:space="preserve"> </w:t>
      </w:r>
      <w:r>
        <w:t>The slight deterioration on some measures from 2020‐21 is largely explainable by constraints on engagement and personnel movement caused by the pandemic. In particular, the most critical customer outcome performance measures relating to</w:t>
      </w:r>
    </w:p>
    <w:p w14:paraId="581307C4" w14:textId="3CA964E9" w:rsidR="00141B97" w:rsidRDefault="00911D63">
      <w:pPr>
        <w:pStyle w:val="BodyText"/>
        <w:spacing w:before="9"/>
        <w:rPr>
          <w:sz w:val="28"/>
        </w:rPr>
      </w:pPr>
      <w:r>
        <w:rPr>
          <w:noProof/>
        </w:rPr>
        <mc:AlternateContent>
          <mc:Choice Requires="wps">
            <w:drawing>
              <wp:anchor distT="0" distB="0" distL="0" distR="0" simplePos="0" relativeHeight="487607296" behindDoc="1" locked="0" layoutInCell="1" allowOverlap="1" wp14:anchorId="0CBA4DE3" wp14:editId="6C420AE8">
                <wp:simplePos x="0" y="0"/>
                <wp:positionH relativeFrom="page">
                  <wp:posOffset>720090</wp:posOffset>
                </wp:positionH>
                <wp:positionV relativeFrom="paragraph">
                  <wp:posOffset>238125</wp:posOffset>
                </wp:positionV>
                <wp:extent cx="1828800" cy="6350"/>
                <wp:effectExtent l="0" t="0" r="0" b="0"/>
                <wp:wrapTopAndBottom/>
                <wp:docPr id="30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EF21" id="docshape110" o:spid="_x0000_s1026" style="position:absolute;margin-left:56.7pt;margin-top:18.75pt;width:2in;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" fillcolor="black" stroked="f">
                <w10:wrap type="topAndBottom" anchorx="page"/>
              </v:rect>
            </w:pict>
          </mc:Fallback>
        </mc:AlternateContent>
      </w:r>
    </w:p>
    <w:p w14:paraId="6D1DCA09" w14:textId="77777777" w:rsidR="00141B97" w:rsidRDefault="00141B97">
      <w:pPr>
        <w:pStyle w:val="BodyText"/>
        <w:spacing w:before="3"/>
        <w:rPr>
          <w:sz w:val="8"/>
        </w:rPr>
      </w:pPr>
    </w:p>
    <w:p w14:paraId="2ADCA153" w14:textId="77777777" w:rsidR="00141B97" w:rsidRDefault="00911D63">
      <w:pPr>
        <w:spacing w:before="83"/>
        <w:ind w:left="114"/>
        <w:rPr>
          <w:rFonts w:ascii="Calibri"/>
          <w:sz w:val="16"/>
        </w:rPr>
      </w:pPr>
      <w:r>
        <w:rPr>
          <w:rFonts w:ascii="Calibri"/>
          <w:sz w:val="16"/>
          <w:vertAlign w:val="superscript"/>
        </w:rPr>
        <w:t>1</w:t>
      </w:r>
      <w:r>
        <w:rPr>
          <w:rFonts w:ascii="Calibri"/>
          <w:spacing w:val="-7"/>
          <w:sz w:val="16"/>
        </w:rPr>
        <w:t xml:space="preserve"> </w:t>
      </w:r>
      <w:r>
        <w:rPr>
          <w:rFonts w:ascii="Calibri"/>
          <w:sz w:val="16"/>
        </w:rPr>
        <w:t>Lower</w:t>
      </w:r>
      <w:r>
        <w:rPr>
          <w:rFonts w:ascii="Calibri"/>
          <w:spacing w:val="-7"/>
          <w:sz w:val="16"/>
        </w:rPr>
        <w:t xml:space="preserve"> </w:t>
      </w:r>
      <w:r>
        <w:rPr>
          <w:rFonts w:ascii="Calibri"/>
          <w:sz w:val="16"/>
        </w:rPr>
        <w:t>Murray</w:t>
      </w:r>
      <w:r>
        <w:rPr>
          <w:rFonts w:ascii="Calibri"/>
          <w:spacing w:val="-5"/>
          <w:sz w:val="16"/>
        </w:rPr>
        <w:t xml:space="preserve"> </w:t>
      </w:r>
      <w:r>
        <w:rPr>
          <w:rFonts w:ascii="Calibri"/>
          <w:sz w:val="16"/>
        </w:rPr>
        <w:t>Water</w:t>
      </w:r>
      <w:r>
        <w:rPr>
          <w:rFonts w:ascii="Calibri"/>
          <w:spacing w:val="-7"/>
          <w:sz w:val="16"/>
        </w:rPr>
        <w:t xml:space="preserve"> </w:t>
      </w:r>
      <w:r>
        <w:rPr>
          <w:rFonts w:ascii="Calibri"/>
          <w:sz w:val="16"/>
        </w:rPr>
        <w:t>PS4</w:t>
      </w:r>
      <w:r>
        <w:rPr>
          <w:rFonts w:ascii="Calibri"/>
          <w:spacing w:val="-6"/>
          <w:sz w:val="16"/>
        </w:rPr>
        <w:t xml:space="preserve"> </w:t>
      </w:r>
      <w:r>
        <w:rPr>
          <w:rFonts w:ascii="Calibri"/>
          <w:sz w:val="16"/>
        </w:rPr>
        <w:t>Outcomes</w:t>
      </w:r>
      <w:r>
        <w:rPr>
          <w:rFonts w:ascii="Calibri"/>
          <w:spacing w:val="-5"/>
          <w:sz w:val="16"/>
        </w:rPr>
        <w:t xml:space="preserve"> </w:t>
      </w:r>
      <w:r>
        <w:rPr>
          <w:rFonts w:ascii="Calibri"/>
          <w:sz w:val="16"/>
        </w:rPr>
        <w:t>Review,</w:t>
      </w:r>
      <w:r>
        <w:rPr>
          <w:rFonts w:ascii="Calibri"/>
          <w:spacing w:val="-5"/>
          <w:sz w:val="16"/>
        </w:rPr>
        <w:t xml:space="preserve"> </w:t>
      </w:r>
      <w:r>
        <w:rPr>
          <w:rFonts w:ascii="Calibri"/>
          <w:sz w:val="16"/>
        </w:rPr>
        <w:t>23</w:t>
      </w:r>
      <w:r>
        <w:rPr>
          <w:rFonts w:ascii="Calibri"/>
          <w:spacing w:val="-7"/>
          <w:sz w:val="16"/>
        </w:rPr>
        <w:t xml:space="preserve"> </w:t>
      </w:r>
      <w:r>
        <w:rPr>
          <w:rFonts w:ascii="Calibri"/>
          <w:sz w:val="16"/>
        </w:rPr>
        <w:t>September</w:t>
      </w:r>
      <w:r>
        <w:rPr>
          <w:rFonts w:ascii="Calibri"/>
          <w:spacing w:val="-5"/>
          <w:sz w:val="16"/>
        </w:rPr>
        <w:t xml:space="preserve"> </w:t>
      </w:r>
      <w:r>
        <w:rPr>
          <w:rFonts w:ascii="Calibri"/>
          <w:spacing w:val="-4"/>
          <w:sz w:val="16"/>
        </w:rPr>
        <w:t>2022</w:t>
      </w:r>
    </w:p>
    <w:p w14:paraId="6D25AFE9" w14:textId="77777777" w:rsidR="00141B97" w:rsidRDefault="00911D63">
      <w:pPr>
        <w:spacing w:before="99"/>
        <w:ind w:left="113" w:right="962"/>
        <w:rPr>
          <w:sz w:val="14"/>
        </w:rPr>
      </w:pPr>
      <w:r>
        <w:rPr>
          <w:position w:val="4"/>
          <w:sz w:val="9"/>
        </w:rPr>
        <w:t>2</w:t>
      </w:r>
      <w:r>
        <w:rPr>
          <w:spacing w:val="10"/>
          <w:position w:val="4"/>
          <w:sz w:val="9"/>
        </w:rPr>
        <w:t xml:space="preserve"> </w:t>
      </w:r>
      <w:r>
        <w:rPr>
          <w:sz w:val="14"/>
        </w:rPr>
        <w:t>It</w:t>
      </w:r>
      <w:r>
        <w:rPr>
          <w:spacing w:val="-1"/>
          <w:sz w:val="14"/>
        </w:rPr>
        <w:t xml:space="preserve"> </w:t>
      </w:r>
      <w:r>
        <w:rPr>
          <w:sz w:val="14"/>
        </w:rPr>
        <w:t>should</w:t>
      </w:r>
      <w:r>
        <w:rPr>
          <w:spacing w:val="-1"/>
          <w:sz w:val="14"/>
        </w:rPr>
        <w:t xml:space="preserve"> </w:t>
      </w:r>
      <w:r>
        <w:rPr>
          <w:sz w:val="14"/>
        </w:rPr>
        <w:t>be</w:t>
      </w:r>
      <w:r>
        <w:rPr>
          <w:spacing w:val="-1"/>
          <w:sz w:val="14"/>
        </w:rPr>
        <w:t xml:space="preserve"> </w:t>
      </w:r>
      <w:r>
        <w:rPr>
          <w:sz w:val="14"/>
        </w:rPr>
        <w:t>noted</w:t>
      </w:r>
      <w:r>
        <w:rPr>
          <w:spacing w:val="-1"/>
          <w:sz w:val="14"/>
        </w:rPr>
        <w:t xml:space="preserve"> </w:t>
      </w:r>
      <w:r>
        <w:rPr>
          <w:sz w:val="14"/>
        </w:rPr>
        <w:t>that</w:t>
      </w:r>
      <w:r>
        <w:rPr>
          <w:spacing w:val="-2"/>
          <w:sz w:val="14"/>
        </w:rPr>
        <w:t xml:space="preserve"> </w:t>
      </w:r>
      <w:r>
        <w:rPr>
          <w:sz w:val="14"/>
        </w:rPr>
        <w:t>some</w:t>
      </w:r>
      <w:r>
        <w:rPr>
          <w:spacing w:val="-1"/>
          <w:sz w:val="14"/>
        </w:rPr>
        <w:t xml:space="preserve"> </w:t>
      </w:r>
      <w:r>
        <w:rPr>
          <w:sz w:val="14"/>
        </w:rPr>
        <w:t>of</w:t>
      </w:r>
      <w:r>
        <w:rPr>
          <w:spacing w:val="-1"/>
          <w:sz w:val="14"/>
        </w:rPr>
        <w:t xml:space="preserve"> </w:t>
      </w:r>
      <w:r>
        <w:rPr>
          <w:sz w:val="14"/>
        </w:rPr>
        <w:t>‘traffic</w:t>
      </w:r>
      <w:r>
        <w:rPr>
          <w:spacing w:val="-1"/>
          <w:sz w:val="14"/>
        </w:rPr>
        <w:t xml:space="preserve"> </w:t>
      </w:r>
      <w:r>
        <w:rPr>
          <w:sz w:val="14"/>
        </w:rPr>
        <w:t>light’</w:t>
      </w:r>
      <w:r>
        <w:rPr>
          <w:spacing w:val="-1"/>
          <w:sz w:val="14"/>
        </w:rPr>
        <w:t xml:space="preserve"> </w:t>
      </w:r>
      <w:r>
        <w:rPr>
          <w:sz w:val="14"/>
        </w:rPr>
        <w:t>ratings</w:t>
      </w:r>
      <w:r>
        <w:rPr>
          <w:spacing w:val="-2"/>
          <w:sz w:val="14"/>
        </w:rPr>
        <w:t xml:space="preserve"> </w:t>
      </w:r>
      <w:r>
        <w:rPr>
          <w:sz w:val="14"/>
        </w:rPr>
        <w:t>presented</w:t>
      </w:r>
      <w:r>
        <w:rPr>
          <w:spacing w:val="-1"/>
          <w:sz w:val="14"/>
        </w:rPr>
        <w:t xml:space="preserve"> </w:t>
      </w:r>
      <w:r>
        <w:rPr>
          <w:sz w:val="14"/>
        </w:rPr>
        <w:t>here</w:t>
      </w:r>
      <w:r>
        <w:rPr>
          <w:spacing w:val="-1"/>
          <w:sz w:val="14"/>
        </w:rPr>
        <w:t xml:space="preserve"> </w:t>
      </w:r>
      <w:r>
        <w:rPr>
          <w:sz w:val="14"/>
        </w:rPr>
        <w:t>differ</w:t>
      </w:r>
      <w:r>
        <w:rPr>
          <w:spacing w:val="-2"/>
          <w:sz w:val="14"/>
        </w:rPr>
        <w:t xml:space="preserve"> </w:t>
      </w:r>
      <w:r>
        <w:rPr>
          <w:sz w:val="14"/>
        </w:rPr>
        <w:t>slightly</w:t>
      </w:r>
      <w:r>
        <w:rPr>
          <w:spacing w:val="-1"/>
          <w:sz w:val="14"/>
        </w:rPr>
        <w:t xml:space="preserve"> </w:t>
      </w:r>
      <w:r>
        <w:rPr>
          <w:sz w:val="14"/>
        </w:rPr>
        <w:t>to</w:t>
      </w:r>
      <w:r>
        <w:rPr>
          <w:spacing w:val="-1"/>
          <w:sz w:val="14"/>
        </w:rPr>
        <w:t xml:space="preserve"> </w:t>
      </w:r>
      <w:r>
        <w:rPr>
          <w:sz w:val="14"/>
        </w:rPr>
        <w:t>those previously</w:t>
      </w:r>
      <w:r>
        <w:rPr>
          <w:spacing w:val="-1"/>
          <w:sz w:val="14"/>
        </w:rPr>
        <w:t xml:space="preserve"> </w:t>
      </w:r>
      <w:r>
        <w:rPr>
          <w:sz w:val="14"/>
        </w:rPr>
        <w:t>formally</w:t>
      </w:r>
      <w:r>
        <w:rPr>
          <w:spacing w:val="-1"/>
          <w:sz w:val="14"/>
        </w:rPr>
        <w:t xml:space="preserve"> </w:t>
      </w:r>
      <w:r>
        <w:rPr>
          <w:sz w:val="14"/>
        </w:rPr>
        <w:t>reported to</w:t>
      </w:r>
      <w:r>
        <w:rPr>
          <w:spacing w:val="-1"/>
          <w:sz w:val="14"/>
        </w:rPr>
        <w:t xml:space="preserve"> </w:t>
      </w:r>
      <w:r>
        <w:rPr>
          <w:sz w:val="14"/>
        </w:rPr>
        <w:t>the</w:t>
      </w:r>
      <w:r>
        <w:rPr>
          <w:spacing w:val="-1"/>
          <w:sz w:val="14"/>
        </w:rPr>
        <w:t xml:space="preserve"> </w:t>
      </w:r>
      <w:r>
        <w:rPr>
          <w:sz w:val="14"/>
        </w:rPr>
        <w:t>ESC</w:t>
      </w:r>
      <w:r>
        <w:rPr>
          <w:spacing w:val="-1"/>
          <w:sz w:val="14"/>
        </w:rPr>
        <w:t xml:space="preserve"> </w:t>
      </w:r>
      <w:r>
        <w:rPr>
          <w:sz w:val="14"/>
        </w:rPr>
        <w:t>due</w:t>
      </w:r>
      <w:r>
        <w:rPr>
          <w:spacing w:val="-1"/>
          <w:sz w:val="14"/>
        </w:rPr>
        <w:t xml:space="preserve"> </w:t>
      </w:r>
      <w:r>
        <w:rPr>
          <w:sz w:val="14"/>
        </w:rPr>
        <w:t>to</w:t>
      </w:r>
      <w:r>
        <w:rPr>
          <w:spacing w:val="-1"/>
          <w:sz w:val="14"/>
        </w:rPr>
        <w:t xml:space="preserve"> </w:t>
      </w:r>
      <w:r>
        <w:rPr>
          <w:sz w:val="14"/>
        </w:rPr>
        <w:t>realignment</w:t>
      </w:r>
      <w:r>
        <w:rPr>
          <w:spacing w:val="-2"/>
          <w:sz w:val="14"/>
        </w:rPr>
        <w:t xml:space="preserve"> </w:t>
      </w:r>
      <w:r>
        <w:rPr>
          <w:sz w:val="14"/>
        </w:rPr>
        <w:t>and</w:t>
      </w:r>
      <w:r>
        <w:rPr>
          <w:spacing w:val="-1"/>
          <w:sz w:val="14"/>
        </w:rPr>
        <w:t xml:space="preserve"> </w:t>
      </w:r>
      <w:r>
        <w:rPr>
          <w:sz w:val="14"/>
        </w:rPr>
        <w:t>re‐assessment</w:t>
      </w:r>
      <w:r>
        <w:rPr>
          <w:spacing w:val="-2"/>
          <w:sz w:val="14"/>
        </w:rPr>
        <w:t xml:space="preserve"> </w:t>
      </w:r>
      <w:r>
        <w:rPr>
          <w:sz w:val="14"/>
        </w:rPr>
        <w:t>in</w:t>
      </w:r>
      <w:r>
        <w:rPr>
          <w:spacing w:val="40"/>
          <w:sz w:val="14"/>
        </w:rPr>
        <w:t xml:space="preserve"> </w:t>
      </w:r>
      <w:r>
        <w:rPr>
          <w:sz w:val="14"/>
        </w:rPr>
        <w:t>the context of the availability of four years’ data, to improve the consistency and relativity of scores.</w:t>
      </w:r>
    </w:p>
    <w:p w14:paraId="59DA77C7" w14:textId="77777777" w:rsidR="00141B97" w:rsidRDefault="00141B97">
      <w:pPr>
        <w:rPr>
          <w:sz w:val="14"/>
        </w:rPr>
        <w:sectPr w:rsidR="00141B97">
          <w:pgSz w:w="11910" w:h="16840"/>
          <w:pgMar w:top="860" w:right="40" w:bottom="760" w:left="1020" w:header="0" w:footer="580" w:gutter="0"/>
          <w:cols w:space="720"/>
        </w:sectPr>
      </w:pPr>
    </w:p>
    <w:p w14:paraId="2D31EA21" w14:textId="30150B75" w:rsidR="00141B97" w:rsidRDefault="00911D63">
      <w:pPr>
        <w:pStyle w:val="BodyText"/>
        <w:spacing w:before="42" w:line="252" w:lineRule="auto"/>
        <w:ind w:left="114" w:right="962" w:hanging="1"/>
      </w:pPr>
      <w:r>
        <w:rPr>
          <w:noProof/>
        </w:rPr>
        <w:lastRenderedPageBreak/>
        <mc:AlternateContent>
          <mc:Choice Requires="wps">
            <w:drawing>
              <wp:anchor distT="0" distB="0" distL="114300" distR="114300" simplePos="0" relativeHeight="471446016" behindDoc="1" locked="0" layoutInCell="1" allowOverlap="1" wp14:anchorId="624AA267" wp14:editId="4747FF2C">
                <wp:simplePos x="0" y="0"/>
                <wp:positionH relativeFrom="page">
                  <wp:posOffset>5203190</wp:posOffset>
                </wp:positionH>
                <wp:positionV relativeFrom="paragraph">
                  <wp:posOffset>1172210</wp:posOffset>
                </wp:positionV>
                <wp:extent cx="1631950" cy="372110"/>
                <wp:effectExtent l="0" t="0" r="0" b="0"/>
                <wp:wrapNone/>
                <wp:docPr id="308"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0" cy="372110"/>
                        </a:xfrm>
                        <a:custGeom>
                          <a:avLst/>
                          <a:gdLst>
                            <a:gd name="T0" fmla="+- 0 9086 8194"/>
                            <a:gd name="T1" fmla="*/ T0 w 2570"/>
                            <a:gd name="T2" fmla="+- 0 1846 1846"/>
                            <a:gd name="T3" fmla="*/ 1846 h 586"/>
                            <a:gd name="T4" fmla="+- 0 8194 8194"/>
                            <a:gd name="T5" fmla="*/ T4 w 2570"/>
                            <a:gd name="T6" fmla="+- 0 1846 1846"/>
                            <a:gd name="T7" fmla="*/ 1846 h 586"/>
                            <a:gd name="T8" fmla="+- 0 8194 8194"/>
                            <a:gd name="T9" fmla="*/ T8 w 2570"/>
                            <a:gd name="T10" fmla="+- 0 2432 1846"/>
                            <a:gd name="T11" fmla="*/ 2432 h 586"/>
                            <a:gd name="T12" fmla="+- 0 9086 8194"/>
                            <a:gd name="T13" fmla="*/ T12 w 2570"/>
                            <a:gd name="T14" fmla="+- 0 2432 1846"/>
                            <a:gd name="T15" fmla="*/ 2432 h 586"/>
                            <a:gd name="T16" fmla="+- 0 9086 8194"/>
                            <a:gd name="T17" fmla="*/ T16 w 2570"/>
                            <a:gd name="T18" fmla="+- 0 1846 1846"/>
                            <a:gd name="T19" fmla="*/ 1846 h 586"/>
                            <a:gd name="T20" fmla="+- 0 9918 8194"/>
                            <a:gd name="T21" fmla="*/ T20 w 2570"/>
                            <a:gd name="T22" fmla="+- 0 1846 1846"/>
                            <a:gd name="T23" fmla="*/ 1846 h 586"/>
                            <a:gd name="T24" fmla="+- 0 9097 8194"/>
                            <a:gd name="T25" fmla="*/ T24 w 2570"/>
                            <a:gd name="T26" fmla="+- 0 1846 1846"/>
                            <a:gd name="T27" fmla="*/ 1846 h 586"/>
                            <a:gd name="T28" fmla="+- 0 9097 8194"/>
                            <a:gd name="T29" fmla="*/ T28 w 2570"/>
                            <a:gd name="T30" fmla="+- 0 2432 1846"/>
                            <a:gd name="T31" fmla="*/ 2432 h 586"/>
                            <a:gd name="T32" fmla="+- 0 9918 8194"/>
                            <a:gd name="T33" fmla="*/ T32 w 2570"/>
                            <a:gd name="T34" fmla="+- 0 2432 1846"/>
                            <a:gd name="T35" fmla="*/ 2432 h 586"/>
                            <a:gd name="T36" fmla="+- 0 9918 8194"/>
                            <a:gd name="T37" fmla="*/ T36 w 2570"/>
                            <a:gd name="T38" fmla="+- 0 1846 1846"/>
                            <a:gd name="T39" fmla="*/ 1846 h 586"/>
                            <a:gd name="T40" fmla="+- 0 10763 8194"/>
                            <a:gd name="T41" fmla="*/ T40 w 2570"/>
                            <a:gd name="T42" fmla="+- 0 1846 1846"/>
                            <a:gd name="T43" fmla="*/ 1846 h 586"/>
                            <a:gd name="T44" fmla="+- 0 9928 8194"/>
                            <a:gd name="T45" fmla="*/ T44 w 2570"/>
                            <a:gd name="T46" fmla="+- 0 1846 1846"/>
                            <a:gd name="T47" fmla="*/ 1846 h 586"/>
                            <a:gd name="T48" fmla="+- 0 9928 8194"/>
                            <a:gd name="T49" fmla="*/ T48 w 2570"/>
                            <a:gd name="T50" fmla="+- 0 2432 1846"/>
                            <a:gd name="T51" fmla="*/ 2432 h 586"/>
                            <a:gd name="T52" fmla="+- 0 10763 8194"/>
                            <a:gd name="T53" fmla="*/ T52 w 2570"/>
                            <a:gd name="T54" fmla="+- 0 2432 1846"/>
                            <a:gd name="T55" fmla="*/ 2432 h 586"/>
                            <a:gd name="T56" fmla="+- 0 10763 8194"/>
                            <a:gd name="T57" fmla="*/ T56 w 2570"/>
                            <a:gd name="T58" fmla="+- 0 1846 1846"/>
                            <a:gd name="T59" fmla="*/ 184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0" h="586">
                              <a:moveTo>
                                <a:pt x="892" y="0"/>
                              </a:moveTo>
                              <a:lnTo>
                                <a:pt x="0" y="0"/>
                              </a:lnTo>
                              <a:lnTo>
                                <a:pt x="0" y="586"/>
                              </a:lnTo>
                              <a:lnTo>
                                <a:pt x="892" y="586"/>
                              </a:lnTo>
                              <a:lnTo>
                                <a:pt x="892" y="0"/>
                              </a:lnTo>
                              <a:close/>
                              <a:moveTo>
                                <a:pt x="1724" y="0"/>
                              </a:moveTo>
                              <a:lnTo>
                                <a:pt x="903" y="0"/>
                              </a:lnTo>
                              <a:lnTo>
                                <a:pt x="903" y="586"/>
                              </a:lnTo>
                              <a:lnTo>
                                <a:pt x="1724" y="586"/>
                              </a:lnTo>
                              <a:lnTo>
                                <a:pt x="1724" y="0"/>
                              </a:lnTo>
                              <a:close/>
                              <a:moveTo>
                                <a:pt x="2569" y="0"/>
                              </a:moveTo>
                              <a:lnTo>
                                <a:pt x="1734" y="0"/>
                              </a:lnTo>
                              <a:lnTo>
                                <a:pt x="1734" y="586"/>
                              </a:lnTo>
                              <a:lnTo>
                                <a:pt x="2569" y="586"/>
                              </a:lnTo>
                              <a:lnTo>
                                <a:pt x="25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9600" id="docshape111" o:spid="_x0000_s1026" style="position:absolute;margin-left:409.7pt;margin-top:92.3pt;width:128.5pt;height:29.3pt;z-index:-31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7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" path="m892,l,,,586r892,l892,xm1724,l903,r,586l1724,586,1724,xm2569,l1734,r,586l2569,586,2569,xe" fillcolor="red" stroked="f">
                <v:path arrowok="t" o:connecttype="custom" o:connectlocs="566420,1172210;0,1172210;0,1544320;566420,1544320;566420,1172210;1094740,1172210;573405,1172210;573405,1544320;1094740,1544320;1094740,1172210;1631315,1172210;1101090,1172210;1101090,1544320;1631315,1544320;1631315,1172210" o:connectangles="0,0,0,0,0,0,0,0,0,0,0,0,0,0,0"/>
                <w10:wrap anchorx="page"/>
              </v:shape>
            </w:pict>
          </mc:Fallback>
        </mc:AlternateContent>
      </w:r>
      <w:r>
        <w:t>containing customer tariffs to within the approved price path, for delivering safe water quality, and water and sewerage service reliability were at or better than target in 91% of annually reported instances.</w:t>
      </w:r>
    </w:p>
    <w:p w14:paraId="6EEFCFD9" w14:textId="77777777" w:rsidR="00141B97" w:rsidRDefault="00141B97">
      <w:pPr>
        <w:pStyle w:val="BodyText"/>
        <w:spacing w:before="4" w:after="1"/>
        <w:rPr>
          <w:sz w:val="9"/>
        </w:rPr>
      </w:pPr>
    </w:p>
    <w:tbl>
      <w:tblPr>
        <w:tblW w:w="0" w:type="auto"/>
        <w:tblInd w:w="13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397"/>
        <w:gridCol w:w="4710"/>
        <w:gridCol w:w="1121"/>
        <w:gridCol w:w="817"/>
        <w:gridCol w:w="903"/>
        <w:gridCol w:w="831"/>
        <w:gridCol w:w="840"/>
      </w:tblGrid>
      <w:tr w:rsidR="00141B97" w14:paraId="2184C6C3" w14:textId="77777777">
        <w:trPr>
          <w:trHeight w:val="417"/>
        </w:trPr>
        <w:tc>
          <w:tcPr>
            <w:tcW w:w="6228" w:type="dxa"/>
            <w:gridSpan w:val="3"/>
            <w:tcBorders>
              <w:top w:val="nil"/>
              <w:left w:val="nil"/>
              <w:right w:val="single" w:sz="4" w:space="0" w:color="FFFFFF"/>
            </w:tcBorders>
            <w:shd w:val="clear" w:color="auto" w:fill="4886A0"/>
          </w:tcPr>
          <w:p w14:paraId="0105AC33" w14:textId="77777777" w:rsidR="00141B97" w:rsidRDefault="00911D63">
            <w:pPr>
              <w:pStyle w:val="TableParagraph"/>
              <w:spacing w:before="86"/>
              <w:ind w:left="1796"/>
              <w:rPr>
                <w:sz w:val="20"/>
              </w:rPr>
            </w:pPr>
            <w:r>
              <w:rPr>
                <w:color w:val="FFFFFF"/>
                <w:spacing w:val="-2"/>
                <w:sz w:val="20"/>
              </w:rPr>
              <w:t>Outcome/Performance</w:t>
            </w:r>
            <w:r>
              <w:rPr>
                <w:color w:val="FFFFFF"/>
                <w:spacing w:val="20"/>
                <w:sz w:val="20"/>
              </w:rPr>
              <w:t xml:space="preserve"> </w:t>
            </w:r>
            <w:r>
              <w:rPr>
                <w:color w:val="FFFFFF"/>
                <w:spacing w:val="-2"/>
                <w:sz w:val="20"/>
              </w:rPr>
              <w:t>Measure</w:t>
            </w:r>
          </w:p>
        </w:tc>
        <w:tc>
          <w:tcPr>
            <w:tcW w:w="817" w:type="dxa"/>
            <w:tcBorders>
              <w:top w:val="nil"/>
              <w:left w:val="single" w:sz="4" w:space="0" w:color="FFFFFF"/>
              <w:right w:val="nil"/>
            </w:tcBorders>
            <w:shd w:val="clear" w:color="auto" w:fill="4886A0"/>
          </w:tcPr>
          <w:p w14:paraId="51ABD773" w14:textId="77777777" w:rsidR="00141B97" w:rsidRDefault="00911D63">
            <w:pPr>
              <w:pStyle w:val="TableParagraph"/>
              <w:spacing w:before="101"/>
              <w:ind w:left="141" w:right="141"/>
              <w:jc w:val="center"/>
              <w:rPr>
                <w:sz w:val="18"/>
              </w:rPr>
            </w:pPr>
            <w:r>
              <w:rPr>
                <w:color w:val="FFFFFF"/>
                <w:spacing w:val="-2"/>
                <w:sz w:val="18"/>
              </w:rPr>
              <w:t>18‐19</w:t>
            </w:r>
          </w:p>
        </w:tc>
        <w:tc>
          <w:tcPr>
            <w:tcW w:w="903" w:type="dxa"/>
            <w:tcBorders>
              <w:top w:val="nil"/>
              <w:left w:val="nil"/>
            </w:tcBorders>
            <w:shd w:val="clear" w:color="auto" w:fill="4886A0"/>
          </w:tcPr>
          <w:p w14:paraId="48753616" w14:textId="77777777" w:rsidR="00141B97" w:rsidRDefault="00911D63">
            <w:pPr>
              <w:pStyle w:val="TableParagraph"/>
              <w:spacing w:before="101"/>
              <w:ind w:right="232"/>
              <w:jc w:val="right"/>
              <w:rPr>
                <w:sz w:val="18"/>
              </w:rPr>
            </w:pPr>
            <w:r>
              <w:rPr>
                <w:color w:val="FFFFFF"/>
                <w:spacing w:val="-2"/>
                <w:sz w:val="18"/>
              </w:rPr>
              <w:t>19‐20</w:t>
            </w:r>
          </w:p>
        </w:tc>
        <w:tc>
          <w:tcPr>
            <w:tcW w:w="831" w:type="dxa"/>
            <w:tcBorders>
              <w:top w:val="nil"/>
              <w:right w:val="nil"/>
            </w:tcBorders>
            <w:shd w:val="clear" w:color="auto" w:fill="4886A0"/>
          </w:tcPr>
          <w:p w14:paraId="53A8D118" w14:textId="77777777" w:rsidR="00141B97" w:rsidRDefault="00911D63">
            <w:pPr>
              <w:pStyle w:val="TableParagraph"/>
              <w:spacing w:before="101"/>
              <w:ind w:left="90" w:right="89"/>
              <w:jc w:val="center"/>
              <w:rPr>
                <w:sz w:val="18"/>
              </w:rPr>
            </w:pPr>
            <w:r>
              <w:rPr>
                <w:color w:val="FFFFFF"/>
                <w:spacing w:val="-2"/>
                <w:sz w:val="18"/>
              </w:rPr>
              <w:t>20‐21</w:t>
            </w:r>
          </w:p>
        </w:tc>
        <w:tc>
          <w:tcPr>
            <w:tcW w:w="840" w:type="dxa"/>
            <w:tcBorders>
              <w:top w:val="nil"/>
              <w:left w:val="nil"/>
              <w:right w:val="nil"/>
            </w:tcBorders>
            <w:shd w:val="clear" w:color="auto" w:fill="4886A0"/>
          </w:tcPr>
          <w:p w14:paraId="0E6A5D2A" w14:textId="77777777" w:rsidR="00141B97" w:rsidRDefault="00911D63">
            <w:pPr>
              <w:pStyle w:val="TableParagraph"/>
              <w:spacing w:before="101"/>
              <w:ind w:left="5"/>
              <w:jc w:val="center"/>
              <w:rPr>
                <w:sz w:val="18"/>
              </w:rPr>
            </w:pPr>
            <w:r>
              <w:rPr>
                <w:color w:val="FFFFFF"/>
                <w:spacing w:val="-2"/>
                <w:sz w:val="18"/>
              </w:rPr>
              <w:t>21‐22</w:t>
            </w:r>
          </w:p>
        </w:tc>
      </w:tr>
      <w:tr w:rsidR="00141B97" w14:paraId="28B74757" w14:textId="77777777">
        <w:trPr>
          <w:trHeight w:val="282"/>
        </w:trPr>
        <w:tc>
          <w:tcPr>
            <w:tcW w:w="6228" w:type="dxa"/>
            <w:gridSpan w:val="3"/>
            <w:tcBorders>
              <w:left w:val="nil"/>
              <w:bottom w:val="single" w:sz="4" w:space="0" w:color="FFFFFF"/>
              <w:right w:val="single" w:sz="4" w:space="0" w:color="FFFFFF"/>
            </w:tcBorders>
            <w:shd w:val="clear" w:color="auto" w:fill="D0CECE"/>
          </w:tcPr>
          <w:p w14:paraId="7DC9EAA6" w14:textId="77777777" w:rsidR="00141B97" w:rsidRDefault="00911D63">
            <w:pPr>
              <w:pStyle w:val="TableParagraph"/>
              <w:spacing w:line="218" w:lineRule="exact"/>
              <w:ind w:left="98"/>
              <w:rPr>
                <w:sz w:val="18"/>
              </w:rPr>
            </w:pPr>
            <w:r>
              <w:rPr>
                <w:sz w:val="18"/>
              </w:rPr>
              <w:t>#</w:t>
            </w:r>
            <w:r>
              <w:rPr>
                <w:spacing w:val="-1"/>
                <w:sz w:val="18"/>
              </w:rPr>
              <w:t xml:space="preserve"> </w:t>
            </w:r>
            <w:r>
              <w:rPr>
                <w:sz w:val="18"/>
              </w:rPr>
              <w:t>1:</w:t>
            </w:r>
            <w:r>
              <w:rPr>
                <w:spacing w:val="-2"/>
                <w:sz w:val="18"/>
              </w:rPr>
              <w:t xml:space="preserve"> </w:t>
            </w:r>
            <w:r>
              <w:rPr>
                <w:sz w:val="18"/>
              </w:rPr>
              <w:t>Keep my</w:t>
            </w:r>
            <w:r>
              <w:rPr>
                <w:spacing w:val="-2"/>
                <w:sz w:val="18"/>
              </w:rPr>
              <w:t xml:space="preserve"> </w:t>
            </w:r>
            <w:r>
              <w:rPr>
                <w:sz w:val="18"/>
              </w:rPr>
              <w:t>costs</w:t>
            </w:r>
            <w:r>
              <w:rPr>
                <w:spacing w:val="1"/>
                <w:sz w:val="18"/>
              </w:rPr>
              <w:t xml:space="preserve"> </w:t>
            </w:r>
            <w:r>
              <w:rPr>
                <w:sz w:val="18"/>
              </w:rPr>
              <w:t>to</w:t>
            </w:r>
            <w:r>
              <w:rPr>
                <w:spacing w:val="-2"/>
                <w:sz w:val="18"/>
              </w:rPr>
              <w:t xml:space="preserve"> </w:t>
            </w:r>
            <w:r>
              <w:rPr>
                <w:sz w:val="18"/>
              </w:rPr>
              <w:t xml:space="preserve">a </w:t>
            </w:r>
            <w:r>
              <w:rPr>
                <w:spacing w:val="-2"/>
                <w:sz w:val="18"/>
              </w:rPr>
              <w:t>minimum</w:t>
            </w:r>
          </w:p>
        </w:tc>
        <w:tc>
          <w:tcPr>
            <w:tcW w:w="817" w:type="dxa"/>
            <w:tcBorders>
              <w:left w:val="single" w:sz="4" w:space="0" w:color="FFFFFF"/>
              <w:bottom w:val="single" w:sz="4" w:space="0" w:color="FFFFFF"/>
              <w:right w:val="nil"/>
            </w:tcBorders>
            <w:shd w:val="clear" w:color="auto" w:fill="FFC000"/>
          </w:tcPr>
          <w:p w14:paraId="463BCAE8" w14:textId="77777777" w:rsidR="00141B97" w:rsidRDefault="00141B97">
            <w:pPr>
              <w:pStyle w:val="TableParagraph"/>
              <w:rPr>
                <w:rFonts w:ascii="Times New Roman"/>
                <w:sz w:val="16"/>
              </w:rPr>
            </w:pPr>
          </w:p>
        </w:tc>
        <w:tc>
          <w:tcPr>
            <w:tcW w:w="903" w:type="dxa"/>
            <w:tcBorders>
              <w:left w:val="nil"/>
              <w:bottom w:val="single" w:sz="4" w:space="0" w:color="FFFFFF"/>
            </w:tcBorders>
            <w:shd w:val="clear" w:color="auto" w:fill="FF0000"/>
          </w:tcPr>
          <w:p w14:paraId="7EE3EFA2" w14:textId="77777777" w:rsidR="00141B97" w:rsidRDefault="00141B97">
            <w:pPr>
              <w:pStyle w:val="TableParagraph"/>
              <w:rPr>
                <w:rFonts w:ascii="Times New Roman"/>
                <w:sz w:val="16"/>
              </w:rPr>
            </w:pPr>
          </w:p>
        </w:tc>
        <w:tc>
          <w:tcPr>
            <w:tcW w:w="831" w:type="dxa"/>
            <w:tcBorders>
              <w:bottom w:val="single" w:sz="4" w:space="0" w:color="FFFFFF"/>
              <w:right w:val="nil"/>
            </w:tcBorders>
            <w:shd w:val="clear" w:color="auto" w:fill="FFC000"/>
          </w:tcPr>
          <w:p w14:paraId="096D1364" w14:textId="77777777" w:rsidR="00141B97" w:rsidRDefault="00141B97">
            <w:pPr>
              <w:pStyle w:val="TableParagraph"/>
              <w:rPr>
                <w:rFonts w:ascii="Times New Roman"/>
                <w:sz w:val="16"/>
              </w:rPr>
            </w:pPr>
          </w:p>
        </w:tc>
        <w:tc>
          <w:tcPr>
            <w:tcW w:w="840" w:type="dxa"/>
            <w:tcBorders>
              <w:left w:val="nil"/>
              <w:bottom w:val="single" w:sz="4" w:space="0" w:color="FFFFFF"/>
              <w:right w:val="nil"/>
            </w:tcBorders>
            <w:shd w:val="clear" w:color="auto" w:fill="00B04F"/>
          </w:tcPr>
          <w:p w14:paraId="388D886B" w14:textId="77777777" w:rsidR="00141B97" w:rsidRDefault="00141B97">
            <w:pPr>
              <w:pStyle w:val="TableParagraph"/>
              <w:rPr>
                <w:rFonts w:ascii="Times New Roman"/>
                <w:sz w:val="16"/>
              </w:rPr>
            </w:pPr>
          </w:p>
        </w:tc>
      </w:tr>
      <w:tr w:rsidR="00141B97" w14:paraId="5AA8EE26" w14:textId="77777777">
        <w:trPr>
          <w:trHeight w:val="390"/>
        </w:trPr>
        <w:tc>
          <w:tcPr>
            <w:tcW w:w="397" w:type="dxa"/>
            <w:tcBorders>
              <w:top w:val="single" w:sz="4" w:space="0" w:color="FFFFFF"/>
              <w:left w:val="nil"/>
              <w:bottom w:val="single" w:sz="4" w:space="0" w:color="FFFFFF"/>
            </w:tcBorders>
            <w:shd w:val="clear" w:color="auto" w:fill="F1F1F1"/>
          </w:tcPr>
          <w:p w14:paraId="1A389F9C" w14:textId="77777777" w:rsidR="00141B97" w:rsidRDefault="00911D63">
            <w:pPr>
              <w:pStyle w:val="TableParagraph"/>
              <w:ind w:left="95"/>
              <w:rPr>
                <w:sz w:val="16"/>
              </w:rPr>
            </w:pPr>
            <w:r>
              <w:rPr>
                <w:w w:val="99"/>
                <w:sz w:val="16"/>
              </w:rPr>
              <w:t>a</w:t>
            </w:r>
          </w:p>
        </w:tc>
        <w:tc>
          <w:tcPr>
            <w:tcW w:w="4710" w:type="dxa"/>
            <w:tcBorders>
              <w:top w:val="single" w:sz="4" w:space="0" w:color="FFFFFF"/>
              <w:bottom w:val="single" w:sz="4" w:space="0" w:color="FFFFFF"/>
            </w:tcBorders>
            <w:shd w:val="clear" w:color="auto" w:fill="F1F1F1"/>
          </w:tcPr>
          <w:p w14:paraId="094FF6B2" w14:textId="77777777" w:rsidR="00141B97" w:rsidRDefault="00911D63">
            <w:pPr>
              <w:pStyle w:val="TableParagraph"/>
              <w:ind w:left="99"/>
              <w:rPr>
                <w:sz w:val="16"/>
              </w:rPr>
            </w:pPr>
            <w:r>
              <w:rPr>
                <w:sz w:val="16"/>
              </w:rPr>
              <w:t>Annual</w:t>
            </w:r>
            <w:r>
              <w:rPr>
                <w:spacing w:val="-7"/>
                <w:sz w:val="16"/>
              </w:rPr>
              <w:t xml:space="preserve"> </w:t>
            </w:r>
            <w:r>
              <w:rPr>
                <w:sz w:val="16"/>
              </w:rPr>
              <w:t>tariffs</w:t>
            </w:r>
            <w:r>
              <w:rPr>
                <w:spacing w:val="-6"/>
                <w:sz w:val="16"/>
              </w:rPr>
              <w:t xml:space="preserve"> </w:t>
            </w:r>
            <w:r>
              <w:rPr>
                <w:sz w:val="16"/>
              </w:rPr>
              <w:t>follow</w:t>
            </w:r>
            <w:r>
              <w:rPr>
                <w:spacing w:val="-6"/>
                <w:sz w:val="16"/>
              </w:rPr>
              <w:t xml:space="preserve"> </w:t>
            </w:r>
            <w:r>
              <w:rPr>
                <w:sz w:val="16"/>
              </w:rPr>
              <w:t>the</w:t>
            </w:r>
            <w:r>
              <w:rPr>
                <w:spacing w:val="-6"/>
                <w:sz w:val="16"/>
              </w:rPr>
              <w:t xml:space="preserve"> </w:t>
            </w:r>
            <w:r>
              <w:rPr>
                <w:sz w:val="16"/>
              </w:rPr>
              <w:t>proposed</w:t>
            </w:r>
            <w:r>
              <w:rPr>
                <w:spacing w:val="-7"/>
                <w:sz w:val="16"/>
              </w:rPr>
              <w:t xml:space="preserve"> </w:t>
            </w:r>
            <w:r>
              <w:rPr>
                <w:sz w:val="16"/>
              </w:rPr>
              <w:t>structures</w:t>
            </w:r>
            <w:r>
              <w:rPr>
                <w:spacing w:val="-6"/>
                <w:sz w:val="16"/>
              </w:rPr>
              <w:t xml:space="preserve"> </w:t>
            </w:r>
            <w:r>
              <w:rPr>
                <w:sz w:val="16"/>
              </w:rPr>
              <w:t>within</w:t>
            </w:r>
            <w:r>
              <w:rPr>
                <w:spacing w:val="-7"/>
                <w:sz w:val="16"/>
              </w:rPr>
              <w:t xml:space="preserve"> </w:t>
            </w:r>
            <w:r>
              <w:rPr>
                <w:sz w:val="16"/>
              </w:rPr>
              <w:t>the</w:t>
            </w:r>
            <w:r>
              <w:rPr>
                <w:spacing w:val="-5"/>
                <w:sz w:val="16"/>
              </w:rPr>
              <w:t xml:space="preserve"> </w:t>
            </w:r>
            <w:r>
              <w:rPr>
                <w:spacing w:val="-2"/>
                <w:sz w:val="16"/>
              </w:rPr>
              <w:t>ESC's</w:t>
            </w:r>
          </w:p>
          <w:p w14:paraId="5BB7C807" w14:textId="77777777" w:rsidR="00141B97" w:rsidRDefault="00911D63">
            <w:pPr>
              <w:pStyle w:val="TableParagraph"/>
              <w:spacing w:line="175" w:lineRule="exact"/>
              <w:ind w:left="99"/>
              <w:rPr>
                <w:sz w:val="16"/>
              </w:rPr>
            </w:pPr>
            <w:r>
              <w:rPr>
                <w:sz w:val="16"/>
              </w:rPr>
              <w:t>published</w:t>
            </w:r>
            <w:r>
              <w:rPr>
                <w:spacing w:val="-9"/>
                <w:sz w:val="16"/>
              </w:rPr>
              <w:t xml:space="preserve"> </w:t>
            </w:r>
            <w:r>
              <w:rPr>
                <w:sz w:val="16"/>
              </w:rPr>
              <w:t>price</w:t>
            </w:r>
            <w:r>
              <w:rPr>
                <w:spacing w:val="-8"/>
                <w:sz w:val="16"/>
              </w:rPr>
              <w:t xml:space="preserve"> </w:t>
            </w:r>
            <w:r>
              <w:rPr>
                <w:spacing w:val="-2"/>
                <w:sz w:val="16"/>
              </w:rPr>
              <w:t>determination</w:t>
            </w:r>
          </w:p>
        </w:tc>
        <w:tc>
          <w:tcPr>
            <w:tcW w:w="1121" w:type="dxa"/>
            <w:tcBorders>
              <w:top w:val="single" w:sz="4" w:space="0" w:color="FFFFFF"/>
              <w:bottom w:val="single" w:sz="4" w:space="0" w:color="FFFFFF"/>
              <w:right w:val="single" w:sz="4" w:space="0" w:color="FFFFFF"/>
            </w:tcBorders>
            <w:shd w:val="clear" w:color="auto" w:fill="F1F1F1"/>
          </w:tcPr>
          <w:p w14:paraId="3481ABAE" w14:textId="77777777" w:rsidR="00141B97" w:rsidRDefault="00911D63">
            <w:pPr>
              <w:pStyle w:val="TableParagraph"/>
              <w:ind w:left="99"/>
              <w:rPr>
                <w:sz w:val="16"/>
              </w:rPr>
            </w:pPr>
            <w:r>
              <w:rPr>
                <w:spacing w:val="-2"/>
                <w:sz w:val="16"/>
              </w:rPr>
              <w:t>Pass/Fail</w:t>
            </w:r>
          </w:p>
        </w:tc>
        <w:tc>
          <w:tcPr>
            <w:tcW w:w="817" w:type="dxa"/>
            <w:tcBorders>
              <w:top w:val="single" w:sz="4" w:space="0" w:color="FFFFFF"/>
              <w:left w:val="single" w:sz="4" w:space="0" w:color="FFFFFF"/>
              <w:bottom w:val="single" w:sz="4" w:space="0" w:color="FFFFFF"/>
              <w:right w:val="nil"/>
            </w:tcBorders>
            <w:shd w:val="clear" w:color="auto" w:fill="00B04F"/>
          </w:tcPr>
          <w:p w14:paraId="6DA404B4" w14:textId="77777777" w:rsidR="00141B97" w:rsidRDefault="00911D63">
            <w:pPr>
              <w:pStyle w:val="TableParagraph"/>
              <w:spacing w:before="86"/>
              <w:ind w:left="141" w:right="141"/>
              <w:jc w:val="center"/>
              <w:rPr>
                <w:sz w:val="18"/>
              </w:rPr>
            </w:pPr>
            <w:r>
              <w:rPr>
                <w:spacing w:val="-4"/>
                <w:sz w:val="18"/>
              </w:rPr>
              <w:t>Pass</w:t>
            </w:r>
          </w:p>
        </w:tc>
        <w:tc>
          <w:tcPr>
            <w:tcW w:w="903" w:type="dxa"/>
            <w:tcBorders>
              <w:top w:val="single" w:sz="4" w:space="0" w:color="FFFFFF"/>
              <w:left w:val="nil"/>
              <w:bottom w:val="single" w:sz="4" w:space="0" w:color="FFFFFF"/>
            </w:tcBorders>
            <w:shd w:val="clear" w:color="auto" w:fill="00B04F"/>
          </w:tcPr>
          <w:p w14:paraId="48556D11" w14:textId="77777777" w:rsidR="00141B97" w:rsidRDefault="00911D63">
            <w:pPr>
              <w:pStyle w:val="TableParagraph"/>
              <w:spacing w:before="86"/>
              <w:ind w:left="286"/>
              <w:rPr>
                <w:sz w:val="18"/>
              </w:rPr>
            </w:pPr>
            <w:r>
              <w:rPr>
                <w:spacing w:val="-4"/>
                <w:sz w:val="18"/>
              </w:rPr>
              <w:t>Pass</w:t>
            </w:r>
          </w:p>
        </w:tc>
        <w:tc>
          <w:tcPr>
            <w:tcW w:w="831" w:type="dxa"/>
            <w:tcBorders>
              <w:top w:val="single" w:sz="4" w:space="0" w:color="FFFFFF"/>
              <w:bottom w:val="single" w:sz="4" w:space="0" w:color="FFFFFF"/>
              <w:right w:val="nil"/>
            </w:tcBorders>
            <w:shd w:val="clear" w:color="auto" w:fill="00B04F"/>
          </w:tcPr>
          <w:p w14:paraId="104612CD" w14:textId="77777777" w:rsidR="00141B97" w:rsidRDefault="00911D63">
            <w:pPr>
              <w:pStyle w:val="TableParagraph"/>
              <w:spacing w:before="86"/>
              <w:ind w:left="90" w:right="88"/>
              <w:jc w:val="center"/>
              <w:rPr>
                <w:sz w:val="18"/>
              </w:rPr>
            </w:pPr>
            <w:r>
              <w:rPr>
                <w:spacing w:val="-4"/>
                <w:sz w:val="18"/>
              </w:rPr>
              <w:t>Pass</w:t>
            </w:r>
          </w:p>
        </w:tc>
        <w:tc>
          <w:tcPr>
            <w:tcW w:w="840" w:type="dxa"/>
            <w:tcBorders>
              <w:top w:val="single" w:sz="4" w:space="0" w:color="FFFFFF"/>
              <w:left w:val="nil"/>
              <w:bottom w:val="single" w:sz="4" w:space="0" w:color="FFFFFF"/>
              <w:right w:val="nil"/>
            </w:tcBorders>
            <w:shd w:val="clear" w:color="auto" w:fill="00B04F"/>
          </w:tcPr>
          <w:p w14:paraId="6B4BEBFB" w14:textId="77777777" w:rsidR="00141B97" w:rsidRDefault="00911D63">
            <w:pPr>
              <w:pStyle w:val="TableParagraph"/>
              <w:spacing w:before="86"/>
              <w:ind w:left="5" w:right="1"/>
              <w:jc w:val="center"/>
              <w:rPr>
                <w:sz w:val="18"/>
              </w:rPr>
            </w:pPr>
            <w:r>
              <w:rPr>
                <w:spacing w:val="-4"/>
                <w:sz w:val="18"/>
              </w:rPr>
              <w:t>Pass</w:t>
            </w:r>
          </w:p>
        </w:tc>
      </w:tr>
      <w:tr w:rsidR="00141B97" w14:paraId="6FE2E402" w14:textId="77777777">
        <w:trPr>
          <w:trHeight w:val="583"/>
        </w:trPr>
        <w:tc>
          <w:tcPr>
            <w:tcW w:w="397" w:type="dxa"/>
            <w:tcBorders>
              <w:top w:val="single" w:sz="4" w:space="0" w:color="FFFFFF"/>
              <w:left w:val="nil"/>
            </w:tcBorders>
            <w:shd w:val="clear" w:color="auto" w:fill="F1F1F1"/>
          </w:tcPr>
          <w:p w14:paraId="1DC50C49" w14:textId="77777777" w:rsidR="00141B97" w:rsidRDefault="00911D63">
            <w:pPr>
              <w:pStyle w:val="TableParagraph"/>
              <w:ind w:left="95"/>
              <w:rPr>
                <w:sz w:val="16"/>
              </w:rPr>
            </w:pPr>
            <w:r>
              <w:rPr>
                <w:w w:val="99"/>
                <w:sz w:val="16"/>
              </w:rPr>
              <w:t>b</w:t>
            </w:r>
          </w:p>
        </w:tc>
        <w:tc>
          <w:tcPr>
            <w:tcW w:w="4710" w:type="dxa"/>
            <w:tcBorders>
              <w:top w:val="single" w:sz="4" w:space="0" w:color="FFFFFF"/>
            </w:tcBorders>
            <w:shd w:val="clear" w:color="auto" w:fill="F1F1F1"/>
          </w:tcPr>
          <w:p w14:paraId="2B751640" w14:textId="77777777" w:rsidR="00141B97" w:rsidRDefault="00911D63">
            <w:pPr>
              <w:pStyle w:val="TableParagraph"/>
              <w:ind w:left="99" w:right="162"/>
              <w:rPr>
                <w:sz w:val="16"/>
              </w:rPr>
            </w:pPr>
            <w:r>
              <w:rPr>
                <w:sz w:val="16"/>
              </w:rPr>
              <w:t>Deliver</w:t>
            </w:r>
            <w:r>
              <w:rPr>
                <w:spacing w:val="-6"/>
                <w:sz w:val="16"/>
              </w:rPr>
              <w:t xml:space="preserve"> </w:t>
            </w:r>
            <w:r>
              <w:rPr>
                <w:sz w:val="16"/>
              </w:rPr>
              <w:t>1%</w:t>
            </w:r>
            <w:r>
              <w:rPr>
                <w:spacing w:val="-5"/>
                <w:sz w:val="16"/>
              </w:rPr>
              <w:t xml:space="preserve"> </w:t>
            </w:r>
            <w:r>
              <w:rPr>
                <w:sz w:val="16"/>
              </w:rPr>
              <w:t>per</w:t>
            </w:r>
            <w:r>
              <w:rPr>
                <w:spacing w:val="-6"/>
                <w:sz w:val="16"/>
              </w:rPr>
              <w:t xml:space="preserve"> </w:t>
            </w:r>
            <w:r>
              <w:rPr>
                <w:sz w:val="16"/>
              </w:rPr>
              <w:t>year</w:t>
            </w:r>
            <w:r>
              <w:rPr>
                <w:spacing w:val="-6"/>
                <w:sz w:val="16"/>
              </w:rPr>
              <w:t xml:space="preserve"> </w:t>
            </w:r>
            <w:r>
              <w:rPr>
                <w:sz w:val="16"/>
              </w:rPr>
              <w:t>efficiency</w:t>
            </w:r>
            <w:r>
              <w:rPr>
                <w:spacing w:val="-5"/>
                <w:sz w:val="16"/>
              </w:rPr>
              <w:t xml:space="preserve"> </w:t>
            </w:r>
            <w:r>
              <w:rPr>
                <w:sz w:val="16"/>
              </w:rPr>
              <w:t>improvement</w:t>
            </w:r>
            <w:r>
              <w:rPr>
                <w:spacing w:val="-5"/>
                <w:sz w:val="16"/>
              </w:rPr>
              <w:t xml:space="preserve"> </w:t>
            </w:r>
            <w:r>
              <w:rPr>
                <w:sz w:val="16"/>
              </w:rPr>
              <w:t>on</w:t>
            </w:r>
            <w:r>
              <w:rPr>
                <w:spacing w:val="-6"/>
                <w:sz w:val="16"/>
              </w:rPr>
              <w:t xml:space="preserve"> </w:t>
            </w:r>
            <w:r>
              <w:rPr>
                <w:sz w:val="16"/>
              </w:rPr>
              <w:t>controllable</w:t>
            </w:r>
            <w:r>
              <w:rPr>
                <w:spacing w:val="-5"/>
                <w:sz w:val="16"/>
              </w:rPr>
              <w:t xml:space="preserve"> </w:t>
            </w:r>
            <w:r>
              <w:rPr>
                <w:sz w:val="16"/>
              </w:rPr>
              <w:t>costs</w:t>
            </w:r>
            <w:r>
              <w:rPr>
                <w:spacing w:val="40"/>
                <w:sz w:val="16"/>
              </w:rPr>
              <w:t xml:space="preserve"> </w:t>
            </w:r>
            <w:r>
              <w:rPr>
                <w:sz w:val="16"/>
              </w:rPr>
              <w:t>from 2016‐17, measured net of growth, new obligations, and</w:t>
            </w:r>
          </w:p>
          <w:p w14:paraId="45E364E6" w14:textId="77777777" w:rsidR="00141B97" w:rsidRDefault="00911D63">
            <w:pPr>
              <w:pStyle w:val="TableParagraph"/>
              <w:spacing w:line="173" w:lineRule="exact"/>
              <w:ind w:left="99"/>
              <w:rPr>
                <w:sz w:val="16"/>
              </w:rPr>
            </w:pPr>
            <w:r>
              <w:rPr>
                <w:sz w:val="16"/>
              </w:rPr>
              <w:t>abnormal</w:t>
            </w:r>
            <w:r>
              <w:rPr>
                <w:spacing w:val="-8"/>
                <w:sz w:val="16"/>
              </w:rPr>
              <w:t xml:space="preserve"> </w:t>
            </w:r>
            <w:r>
              <w:rPr>
                <w:spacing w:val="-2"/>
                <w:sz w:val="16"/>
              </w:rPr>
              <w:t>events</w:t>
            </w:r>
          </w:p>
        </w:tc>
        <w:tc>
          <w:tcPr>
            <w:tcW w:w="1121" w:type="dxa"/>
            <w:tcBorders>
              <w:top w:val="single" w:sz="4" w:space="0" w:color="FFFFFF"/>
              <w:right w:val="single" w:sz="4" w:space="0" w:color="FFFFFF"/>
            </w:tcBorders>
            <w:shd w:val="clear" w:color="auto" w:fill="F1F1F1"/>
          </w:tcPr>
          <w:p w14:paraId="3FA2A89E" w14:textId="77777777" w:rsidR="00141B97" w:rsidRDefault="00911D63">
            <w:pPr>
              <w:pStyle w:val="TableParagraph"/>
              <w:ind w:left="99"/>
              <w:rPr>
                <w:sz w:val="16"/>
              </w:rPr>
            </w:pPr>
            <w:r>
              <w:rPr>
                <w:spacing w:val="-2"/>
                <w:sz w:val="16"/>
              </w:rPr>
              <w:t>Pass/Fail</w:t>
            </w:r>
          </w:p>
        </w:tc>
        <w:tc>
          <w:tcPr>
            <w:tcW w:w="817" w:type="dxa"/>
            <w:tcBorders>
              <w:top w:val="single" w:sz="4" w:space="0" w:color="FFFFFF"/>
              <w:left w:val="single" w:sz="4" w:space="0" w:color="FFFFFF"/>
              <w:right w:val="nil"/>
            </w:tcBorders>
            <w:shd w:val="clear" w:color="auto" w:fill="00B04F"/>
          </w:tcPr>
          <w:p w14:paraId="5E2B7FCD" w14:textId="77777777" w:rsidR="00141B97" w:rsidRDefault="00911D63">
            <w:pPr>
              <w:pStyle w:val="TableParagraph"/>
              <w:spacing w:before="73"/>
              <w:ind w:left="208" w:firstLine="88"/>
              <w:rPr>
                <w:sz w:val="18"/>
              </w:rPr>
            </w:pPr>
            <w:r>
              <w:rPr>
                <w:spacing w:val="-6"/>
                <w:sz w:val="18"/>
              </w:rPr>
              <w:t>On</w:t>
            </w:r>
            <w:r>
              <w:rPr>
                <w:sz w:val="18"/>
              </w:rPr>
              <w:t xml:space="preserve"> </w:t>
            </w:r>
            <w:r>
              <w:rPr>
                <w:spacing w:val="-2"/>
                <w:sz w:val="18"/>
              </w:rPr>
              <w:t>Track</w:t>
            </w:r>
          </w:p>
        </w:tc>
        <w:tc>
          <w:tcPr>
            <w:tcW w:w="903" w:type="dxa"/>
            <w:tcBorders>
              <w:top w:val="single" w:sz="4" w:space="0" w:color="FFFFFF"/>
              <w:left w:val="nil"/>
            </w:tcBorders>
            <w:shd w:val="clear" w:color="auto" w:fill="FF0000"/>
          </w:tcPr>
          <w:p w14:paraId="45D2C379" w14:textId="77777777" w:rsidR="00141B97" w:rsidRDefault="00141B97">
            <w:pPr>
              <w:pStyle w:val="TableParagraph"/>
              <w:rPr>
                <w:sz w:val="15"/>
              </w:rPr>
            </w:pPr>
          </w:p>
          <w:p w14:paraId="41A1D74B" w14:textId="77777777" w:rsidR="00141B97" w:rsidRDefault="00911D63">
            <w:pPr>
              <w:pStyle w:val="TableParagraph"/>
              <w:ind w:left="298" w:right="298"/>
              <w:jc w:val="center"/>
              <w:rPr>
                <w:sz w:val="18"/>
              </w:rPr>
            </w:pPr>
            <w:r>
              <w:rPr>
                <w:spacing w:val="-4"/>
                <w:sz w:val="18"/>
              </w:rPr>
              <w:t>Fail</w:t>
            </w:r>
          </w:p>
        </w:tc>
        <w:tc>
          <w:tcPr>
            <w:tcW w:w="831" w:type="dxa"/>
            <w:tcBorders>
              <w:top w:val="single" w:sz="4" w:space="0" w:color="FFFFFF"/>
              <w:right w:val="nil"/>
            </w:tcBorders>
          </w:tcPr>
          <w:p w14:paraId="78CD2605" w14:textId="77777777" w:rsidR="00141B97" w:rsidRDefault="00141B97">
            <w:pPr>
              <w:pStyle w:val="TableParagraph"/>
              <w:rPr>
                <w:sz w:val="15"/>
              </w:rPr>
            </w:pPr>
          </w:p>
          <w:p w14:paraId="71387C7C" w14:textId="77777777" w:rsidR="00141B97" w:rsidRDefault="00911D63">
            <w:pPr>
              <w:pStyle w:val="TableParagraph"/>
              <w:ind w:left="90" w:right="89"/>
              <w:jc w:val="center"/>
              <w:rPr>
                <w:sz w:val="18"/>
              </w:rPr>
            </w:pPr>
            <w:r>
              <w:rPr>
                <w:spacing w:val="-4"/>
                <w:sz w:val="18"/>
              </w:rPr>
              <w:t>Fail</w:t>
            </w:r>
          </w:p>
        </w:tc>
        <w:tc>
          <w:tcPr>
            <w:tcW w:w="840" w:type="dxa"/>
            <w:tcBorders>
              <w:top w:val="single" w:sz="4" w:space="0" w:color="FFFFFF"/>
              <w:left w:val="nil"/>
              <w:right w:val="nil"/>
            </w:tcBorders>
          </w:tcPr>
          <w:p w14:paraId="1F0C85D4" w14:textId="77777777" w:rsidR="00141B97" w:rsidRDefault="00141B97">
            <w:pPr>
              <w:pStyle w:val="TableParagraph"/>
              <w:rPr>
                <w:sz w:val="15"/>
              </w:rPr>
            </w:pPr>
          </w:p>
          <w:p w14:paraId="3E76D555" w14:textId="77777777" w:rsidR="00141B97" w:rsidRDefault="00911D63">
            <w:pPr>
              <w:pStyle w:val="TableParagraph"/>
              <w:ind w:left="5"/>
              <w:jc w:val="center"/>
              <w:rPr>
                <w:sz w:val="18"/>
              </w:rPr>
            </w:pPr>
            <w:r>
              <w:rPr>
                <w:spacing w:val="-4"/>
                <w:sz w:val="18"/>
              </w:rPr>
              <w:t>Fail</w:t>
            </w:r>
          </w:p>
        </w:tc>
      </w:tr>
      <w:tr w:rsidR="00141B97" w14:paraId="736B86C7" w14:textId="77777777">
        <w:trPr>
          <w:trHeight w:val="385"/>
        </w:trPr>
        <w:tc>
          <w:tcPr>
            <w:tcW w:w="397" w:type="dxa"/>
            <w:tcBorders>
              <w:left w:val="nil"/>
            </w:tcBorders>
            <w:shd w:val="clear" w:color="auto" w:fill="F1F1F1"/>
          </w:tcPr>
          <w:p w14:paraId="6E522187" w14:textId="77777777" w:rsidR="00141B97" w:rsidRDefault="00911D63">
            <w:pPr>
              <w:pStyle w:val="TableParagraph"/>
              <w:spacing w:line="193" w:lineRule="exact"/>
              <w:ind w:left="95"/>
              <w:rPr>
                <w:sz w:val="16"/>
              </w:rPr>
            </w:pPr>
            <w:r>
              <w:rPr>
                <w:w w:val="99"/>
                <w:sz w:val="16"/>
              </w:rPr>
              <w:t>c</w:t>
            </w:r>
          </w:p>
        </w:tc>
        <w:tc>
          <w:tcPr>
            <w:tcW w:w="4710" w:type="dxa"/>
            <w:shd w:val="clear" w:color="auto" w:fill="F1F1F1"/>
          </w:tcPr>
          <w:p w14:paraId="5FDD1B2C" w14:textId="77777777" w:rsidR="00141B97" w:rsidRDefault="00911D63">
            <w:pPr>
              <w:pStyle w:val="TableParagraph"/>
              <w:spacing w:line="193" w:lineRule="exact"/>
              <w:ind w:left="99"/>
              <w:rPr>
                <w:sz w:val="16"/>
              </w:rPr>
            </w:pPr>
            <w:r>
              <w:rPr>
                <w:sz w:val="16"/>
              </w:rPr>
              <w:t>Deliver</w:t>
            </w:r>
            <w:r>
              <w:rPr>
                <w:spacing w:val="-6"/>
                <w:sz w:val="16"/>
              </w:rPr>
              <w:t xml:space="preserve"> </w:t>
            </w:r>
            <w:r>
              <w:rPr>
                <w:sz w:val="16"/>
              </w:rPr>
              <w:t>major</w:t>
            </w:r>
            <w:r>
              <w:rPr>
                <w:spacing w:val="-5"/>
                <w:sz w:val="16"/>
              </w:rPr>
              <w:t xml:space="preserve"> </w:t>
            </w:r>
            <w:r>
              <w:rPr>
                <w:sz w:val="16"/>
              </w:rPr>
              <w:t>Capital</w:t>
            </w:r>
            <w:r>
              <w:rPr>
                <w:spacing w:val="-5"/>
                <w:sz w:val="16"/>
              </w:rPr>
              <w:t xml:space="preserve"> </w:t>
            </w:r>
            <w:r>
              <w:rPr>
                <w:sz w:val="16"/>
              </w:rPr>
              <w:t>Works</w:t>
            </w:r>
            <w:r>
              <w:rPr>
                <w:spacing w:val="-5"/>
                <w:sz w:val="16"/>
              </w:rPr>
              <w:t xml:space="preserve"> </w:t>
            </w:r>
            <w:r>
              <w:rPr>
                <w:sz w:val="16"/>
              </w:rPr>
              <w:t>projects</w:t>
            </w:r>
            <w:r>
              <w:rPr>
                <w:spacing w:val="-5"/>
                <w:sz w:val="16"/>
              </w:rPr>
              <w:t xml:space="preserve"> </w:t>
            </w:r>
            <w:r>
              <w:rPr>
                <w:sz w:val="16"/>
              </w:rPr>
              <w:t>&gt;$1m</w:t>
            </w:r>
            <w:r>
              <w:rPr>
                <w:spacing w:val="-6"/>
                <w:sz w:val="16"/>
              </w:rPr>
              <w:t xml:space="preserve"> </w:t>
            </w:r>
            <w:r>
              <w:rPr>
                <w:sz w:val="16"/>
              </w:rPr>
              <w:t>value</w:t>
            </w:r>
            <w:r>
              <w:rPr>
                <w:spacing w:val="-4"/>
                <w:sz w:val="16"/>
              </w:rPr>
              <w:t xml:space="preserve"> </w:t>
            </w:r>
            <w:r>
              <w:rPr>
                <w:sz w:val="16"/>
              </w:rPr>
              <w:t>within</w:t>
            </w:r>
            <w:r>
              <w:rPr>
                <w:spacing w:val="-5"/>
                <w:sz w:val="16"/>
              </w:rPr>
              <w:t xml:space="preserve"> </w:t>
            </w:r>
            <w:r>
              <w:rPr>
                <w:sz w:val="16"/>
              </w:rPr>
              <w:t>budget</w:t>
            </w:r>
            <w:r>
              <w:rPr>
                <w:spacing w:val="-5"/>
                <w:sz w:val="16"/>
              </w:rPr>
              <w:t xml:space="preserve"> and</w:t>
            </w:r>
          </w:p>
          <w:p w14:paraId="40684CD0" w14:textId="77777777" w:rsidR="00141B97" w:rsidRDefault="00911D63">
            <w:pPr>
              <w:pStyle w:val="TableParagraph"/>
              <w:spacing w:line="173" w:lineRule="exact"/>
              <w:ind w:left="99"/>
              <w:rPr>
                <w:sz w:val="16"/>
              </w:rPr>
            </w:pPr>
            <w:r>
              <w:rPr>
                <w:sz w:val="16"/>
              </w:rPr>
              <w:t>the</w:t>
            </w:r>
            <w:r>
              <w:rPr>
                <w:spacing w:val="-5"/>
                <w:sz w:val="16"/>
              </w:rPr>
              <w:t xml:space="preserve"> </w:t>
            </w:r>
            <w:r>
              <w:rPr>
                <w:sz w:val="16"/>
              </w:rPr>
              <w:t>regulatory</w:t>
            </w:r>
            <w:r>
              <w:rPr>
                <w:spacing w:val="-5"/>
                <w:sz w:val="16"/>
              </w:rPr>
              <w:t xml:space="preserve"> </w:t>
            </w:r>
            <w:r>
              <w:rPr>
                <w:spacing w:val="-2"/>
                <w:sz w:val="16"/>
              </w:rPr>
              <w:t>period</w:t>
            </w:r>
          </w:p>
        </w:tc>
        <w:tc>
          <w:tcPr>
            <w:tcW w:w="1121" w:type="dxa"/>
            <w:tcBorders>
              <w:right w:val="single" w:sz="4" w:space="0" w:color="FFFFFF"/>
            </w:tcBorders>
            <w:shd w:val="clear" w:color="auto" w:fill="F1F1F1"/>
          </w:tcPr>
          <w:p w14:paraId="7C579BA1" w14:textId="77777777" w:rsidR="00141B97" w:rsidRDefault="00911D63">
            <w:pPr>
              <w:pStyle w:val="TableParagraph"/>
              <w:spacing w:line="193" w:lineRule="exact"/>
              <w:ind w:left="99"/>
              <w:rPr>
                <w:sz w:val="16"/>
              </w:rPr>
            </w:pPr>
            <w:r>
              <w:rPr>
                <w:sz w:val="16"/>
              </w:rPr>
              <w:t>%</w:t>
            </w:r>
            <w:r>
              <w:rPr>
                <w:spacing w:val="-3"/>
                <w:sz w:val="16"/>
              </w:rPr>
              <w:t xml:space="preserve"> </w:t>
            </w:r>
            <w:r>
              <w:rPr>
                <w:spacing w:val="-2"/>
                <w:sz w:val="16"/>
              </w:rPr>
              <w:t>budget</w:t>
            </w:r>
          </w:p>
          <w:p w14:paraId="47FA680C" w14:textId="77777777" w:rsidR="00141B97" w:rsidRDefault="00911D63">
            <w:pPr>
              <w:pStyle w:val="TableParagraph"/>
              <w:spacing w:line="173" w:lineRule="exact"/>
              <w:ind w:left="99"/>
              <w:rPr>
                <w:sz w:val="16"/>
              </w:rPr>
            </w:pPr>
            <w:r>
              <w:rPr>
                <w:spacing w:val="-2"/>
                <w:sz w:val="16"/>
              </w:rPr>
              <w:t>spent</w:t>
            </w:r>
          </w:p>
        </w:tc>
        <w:tc>
          <w:tcPr>
            <w:tcW w:w="817" w:type="dxa"/>
            <w:tcBorders>
              <w:left w:val="single" w:sz="4" w:space="0" w:color="FFFFFF"/>
              <w:right w:val="nil"/>
            </w:tcBorders>
            <w:shd w:val="clear" w:color="auto" w:fill="FFC000"/>
          </w:tcPr>
          <w:p w14:paraId="6C76783D" w14:textId="77777777" w:rsidR="00141B97" w:rsidRDefault="00911D63">
            <w:pPr>
              <w:pStyle w:val="TableParagraph"/>
              <w:spacing w:before="83"/>
              <w:ind w:left="141" w:right="141"/>
              <w:jc w:val="center"/>
              <w:rPr>
                <w:sz w:val="18"/>
              </w:rPr>
            </w:pPr>
            <w:r>
              <w:rPr>
                <w:spacing w:val="-2"/>
                <w:sz w:val="18"/>
              </w:rPr>
              <w:t>32.2%</w:t>
            </w:r>
          </w:p>
        </w:tc>
        <w:tc>
          <w:tcPr>
            <w:tcW w:w="903" w:type="dxa"/>
            <w:tcBorders>
              <w:left w:val="nil"/>
            </w:tcBorders>
            <w:shd w:val="clear" w:color="auto" w:fill="FFC000"/>
          </w:tcPr>
          <w:p w14:paraId="17EF9ADF" w14:textId="77777777" w:rsidR="00141B97" w:rsidRDefault="00911D63">
            <w:pPr>
              <w:pStyle w:val="TableParagraph"/>
              <w:spacing w:before="83"/>
              <w:ind w:right="218"/>
              <w:jc w:val="right"/>
              <w:rPr>
                <w:sz w:val="18"/>
              </w:rPr>
            </w:pPr>
            <w:r>
              <w:rPr>
                <w:spacing w:val="-2"/>
                <w:sz w:val="18"/>
              </w:rPr>
              <w:t>53.7%</w:t>
            </w:r>
          </w:p>
        </w:tc>
        <w:tc>
          <w:tcPr>
            <w:tcW w:w="831" w:type="dxa"/>
            <w:tcBorders>
              <w:right w:val="nil"/>
            </w:tcBorders>
            <w:shd w:val="clear" w:color="auto" w:fill="FFC000"/>
          </w:tcPr>
          <w:p w14:paraId="5E152744" w14:textId="77777777" w:rsidR="00141B97" w:rsidRDefault="00911D63">
            <w:pPr>
              <w:pStyle w:val="TableParagraph"/>
              <w:spacing w:before="83"/>
              <w:ind w:left="90" w:right="88"/>
              <w:jc w:val="center"/>
              <w:rPr>
                <w:sz w:val="18"/>
              </w:rPr>
            </w:pPr>
            <w:r>
              <w:rPr>
                <w:spacing w:val="-2"/>
                <w:sz w:val="18"/>
              </w:rPr>
              <w:t>60.5%</w:t>
            </w:r>
          </w:p>
        </w:tc>
        <w:tc>
          <w:tcPr>
            <w:tcW w:w="840" w:type="dxa"/>
            <w:tcBorders>
              <w:left w:val="nil"/>
              <w:right w:val="nil"/>
            </w:tcBorders>
            <w:shd w:val="clear" w:color="auto" w:fill="00B04F"/>
          </w:tcPr>
          <w:p w14:paraId="6C9035C4" w14:textId="77777777" w:rsidR="00141B97" w:rsidRDefault="00911D63">
            <w:pPr>
              <w:pStyle w:val="TableParagraph"/>
              <w:spacing w:before="83"/>
              <w:ind w:left="5" w:right="1"/>
              <w:jc w:val="center"/>
              <w:rPr>
                <w:sz w:val="18"/>
              </w:rPr>
            </w:pPr>
            <w:r>
              <w:rPr>
                <w:spacing w:val="-2"/>
                <w:sz w:val="18"/>
              </w:rPr>
              <w:t>98.2%</w:t>
            </w:r>
          </w:p>
        </w:tc>
      </w:tr>
      <w:tr w:rsidR="00141B97" w14:paraId="701204BE" w14:textId="77777777">
        <w:trPr>
          <w:trHeight w:val="217"/>
        </w:trPr>
        <w:tc>
          <w:tcPr>
            <w:tcW w:w="6228" w:type="dxa"/>
            <w:gridSpan w:val="3"/>
            <w:tcBorders>
              <w:left w:val="nil"/>
              <w:bottom w:val="single" w:sz="4" w:space="0" w:color="FFFFFF"/>
              <w:right w:val="single" w:sz="4" w:space="0" w:color="FFFFFF"/>
            </w:tcBorders>
            <w:shd w:val="clear" w:color="auto" w:fill="D0CECE"/>
          </w:tcPr>
          <w:p w14:paraId="7F1E73C1" w14:textId="77777777" w:rsidR="00141B97" w:rsidRDefault="00911D63">
            <w:pPr>
              <w:pStyle w:val="TableParagraph"/>
              <w:spacing w:line="197" w:lineRule="exact"/>
              <w:ind w:left="98"/>
              <w:rPr>
                <w:sz w:val="18"/>
              </w:rPr>
            </w:pPr>
            <w:r>
              <w:rPr>
                <w:sz w:val="18"/>
              </w:rPr>
              <w:t>#</w:t>
            </w:r>
            <w:r>
              <w:rPr>
                <w:spacing w:val="-1"/>
                <w:sz w:val="18"/>
              </w:rPr>
              <w:t xml:space="preserve"> </w:t>
            </w:r>
            <w:r>
              <w:rPr>
                <w:sz w:val="18"/>
              </w:rPr>
              <w:t>2: Be</w:t>
            </w:r>
            <w:r>
              <w:rPr>
                <w:spacing w:val="-1"/>
                <w:sz w:val="18"/>
              </w:rPr>
              <w:t xml:space="preserve"> </w:t>
            </w:r>
            <w:r>
              <w:rPr>
                <w:sz w:val="18"/>
              </w:rPr>
              <w:t>easy to</w:t>
            </w:r>
            <w:r>
              <w:rPr>
                <w:spacing w:val="-1"/>
                <w:sz w:val="18"/>
              </w:rPr>
              <w:t xml:space="preserve"> </w:t>
            </w:r>
            <w:r>
              <w:rPr>
                <w:sz w:val="18"/>
              </w:rPr>
              <w:t>contact</w:t>
            </w:r>
            <w:r>
              <w:rPr>
                <w:spacing w:val="-2"/>
                <w:sz w:val="18"/>
              </w:rPr>
              <w:t xml:space="preserve"> </w:t>
            </w:r>
            <w:r>
              <w:rPr>
                <w:sz w:val="18"/>
              </w:rPr>
              <w:t>and quick</w:t>
            </w:r>
            <w:r>
              <w:rPr>
                <w:spacing w:val="-2"/>
                <w:sz w:val="18"/>
              </w:rPr>
              <w:t xml:space="preserve"> </w:t>
            </w:r>
            <w:r>
              <w:rPr>
                <w:sz w:val="18"/>
              </w:rPr>
              <w:t>to</w:t>
            </w:r>
            <w:r>
              <w:rPr>
                <w:spacing w:val="-1"/>
                <w:sz w:val="18"/>
              </w:rPr>
              <w:t xml:space="preserve"> </w:t>
            </w:r>
            <w:r>
              <w:rPr>
                <w:spacing w:val="-2"/>
                <w:sz w:val="18"/>
              </w:rPr>
              <w:t>respond</w:t>
            </w:r>
          </w:p>
        </w:tc>
        <w:tc>
          <w:tcPr>
            <w:tcW w:w="1720" w:type="dxa"/>
            <w:gridSpan w:val="2"/>
            <w:tcBorders>
              <w:left w:val="single" w:sz="4" w:space="0" w:color="FFFFFF"/>
              <w:bottom w:val="single" w:sz="4" w:space="0" w:color="FFFFFF"/>
            </w:tcBorders>
            <w:shd w:val="clear" w:color="auto" w:fill="00B04F"/>
          </w:tcPr>
          <w:p w14:paraId="4E4BAFDE" w14:textId="77777777" w:rsidR="00141B97" w:rsidRDefault="00141B97">
            <w:pPr>
              <w:pStyle w:val="TableParagraph"/>
              <w:rPr>
                <w:rFonts w:ascii="Times New Roman"/>
                <w:sz w:val="14"/>
              </w:rPr>
            </w:pPr>
          </w:p>
        </w:tc>
        <w:tc>
          <w:tcPr>
            <w:tcW w:w="831" w:type="dxa"/>
            <w:tcBorders>
              <w:bottom w:val="single" w:sz="4" w:space="0" w:color="FFFFFF"/>
              <w:right w:val="nil"/>
            </w:tcBorders>
            <w:shd w:val="clear" w:color="auto" w:fill="00B04F"/>
          </w:tcPr>
          <w:p w14:paraId="48A6C21F" w14:textId="77777777" w:rsidR="00141B97" w:rsidRDefault="00141B97">
            <w:pPr>
              <w:pStyle w:val="TableParagraph"/>
              <w:rPr>
                <w:rFonts w:ascii="Times New Roman"/>
                <w:sz w:val="14"/>
              </w:rPr>
            </w:pPr>
          </w:p>
        </w:tc>
        <w:tc>
          <w:tcPr>
            <w:tcW w:w="840" w:type="dxa"/>
            <w:tcBorders>
              <w:left w:val="nil"/>
              <w:bottom w:val="single" w:sz="4" w:space="0" w:color="FFFFFF"/>
              <w:right w:val="nil"/>
            </w:tcBorders>
            <w:shd w:val="clear" w:color="auto" w:fill="FFC000"/>
          </w:tcPr>
          <w:p w14:paraId="4071FD5F" w14:textId="77777777" w:rsidR="00141B97" w:rsidRDefault="00141B97">
            <w:pPr>
              <w:pStyle w:val="TableParagraph"/>
              <w:rPr>
                <w:rFonts w:ascii="Times New Roman"/>
                <w:sz w:val="14"/>
              </w:rPr>
            </w:pPr>
          </w:p>
        </w:tc>
      </w:tr>
      <w:tr w:rsidR="00141B97" w14:paraId="43E90FDA" w14:textId="77777777">
        <w:trPr>
          <w:trHeight w:val="390"/>
        </w:trPr>
        <w:tc>
          <w:tcPr>
            <w:tcW w:w="397" w:type="dxa"/>
            <w:tcBorders>
              <w:top w:val="single" w:sz="4" w:space="0" w:color="FFFFFF"/>
              <w:left w:val="nil"/>
              <w:bottom w:val="single" w:sz="4" w:space="0" w:color="FFFFFF"/>
            </w:tcBorders>
            <w:shd w:val="clear" w:color="auto" w:fill="F1F1F1"/>
          </w:tcPr>
          <w:p w14:paraId="7E4CE80D" w14:textId="77777777" w:rsidR="00141B97" w:rsidRDefault="00911D63">
            <w:pPr>
              <w:pStyle w:val="TableParagraph"/>
              <w:ind w:left="95"/>
              <w:rPr>
                <w:sz w:val="16"/>
              </w:rPr>
            </w:pPr>
            <w:r>
              <w:rPr>
                <w:w w:val="99"/>
                <w:sz w:val="16"/>
              </w:rPr>
              <w:t>a</w:t>
            </w:r>
          </w:p>
        </w:tc>
        <w:tc>
          <w:tcPr>
            <w:tcW w:w="4710" w:type="dxa"/>
            <w:tcBorders>
              <w:top w:val="single" w:sz="4" w:space="0" w:color="FFFFFF"/>
              <w:bottom w:val="single" w:sz="4" w:space="0" w:color="FFFFFF"/>
            </w:tcBorders>
            <w:shd w:val="clear" w:color="auto" w:fill="F1F1F1"/>
          </w:tcPr>
          <w:p w14:paraId="676F44D0" w14:textId="77777777" w:rsidR="00141B97" w:rsidRDefault="00911D63">
            <w:pPr>
              <w:pStyle w:val="TableParagraph"/>
              <w:ind w:left="99"/>
              <w:rPr>
                <w:sz w:val="16"/>
              </w:rPr>
            </w:pPr>
            <w:r>
              <w:rPr>
                <w:sz w:val="16"/>
              </w:rPr>
              <w:t>Post</w:t>
            </w:r>
            <w:r>
              <w:rPr>
                <w:spacing w:val="-8"/>
                <w:sz w:val="16"/>
              </w:rPr>
              <w:t xml:space="preserve"> </w:t>
            </w:r>
            <w:r>
              <w:rPr>
                <w:sz w:val="16"/>
              </w:rPr>
              <w:t>interaction</w:t>
            </w:r>
            <w:r>
              <w:rPr>
                <w:spacing w:val="-8"/>
                <w:sz w:val="16"/>
              </w:rPr>
              <w:t xml:space="preserve"> </w:t>
            </w:r>
            <w:r>
              <w:rPr>
                <w:sz w:val="16"/>
              </w:rPr>
              <w:t>satisfaction</w:t>
            </w:r>
            <w:r>
              <w:rPr>
                <w:spacing w:val="-8"/>
                <w:sz w:val="16"/>
              </w:rPr>
              <w:t xml:space="preserve"> </w:t>
            </w:r>
            <w:r>
              <w:rPr>
                <w:sz w:val="16"/>
              </w:rPr>
              <w:t>(phone,</w:t>
            </w:r>
            <w:r>
              <w:rPr>
                <w:spacing w:val="-8"/>
                <w:sz w:val="16"/>
              </w:rPr>
              <w:t xml:space="preserve"> </w:t>
            </w:r>
            <w:r>
              <w:rPr>
                <w:sz w:val="16"/>
              </w:rPr>
              <w:t>face‐to‐face,</w:t>
            </w:r>
            <w:r>
              <w:rPr>
                <w:spacing w:val="-7"/>
                <w:sz w:val="16"/>
              </w:rPr>
              <w:t xml:space="preserve"> </w:t>
            </w:r>
            <w:r>
              <w:rPr>
                <w:sz w:val="16"/>
              </w:rPr>
              <w:t>online):</w:t>
            </w:r>
            <w:r>
              <w:rPr>
                <w:spacing w:val="-7"/>
                <w:sz w:val="16"/>
              </w:rPr>
              <w:t xml:space="preserve"> </w:t>
            </w:r>
            <w:r>
              <w:rPr>
                <w:sz w:val="16"/>
              </w:rPr>
              <w:t>Number</w:t>
            </w:r>
            <w:r>
              <w:rPr>
                <w:spacing w:val="-7"/>
                <w:sz w:val="16"/>
              </w:rPr>
              <w:t xml:space="preserve"> </w:t>
            </w:r>
            <w:r>
              <w:rPr>
                <w:spacing w:val="-5"/>
                <w:sz w:val="16"/>
              </w:rPr>
              <w:t>of</w:t>
            </w:r>
          </w:p>
          <w:p w14:paraId="32AFD6C6" w14:textId="77777777" w:rsidR="00141B97" w:rsidRDefault="00911D63">
            <w:pPr>
              <w:pStyle w:val="TableParagraph"/>
              <w:spacing w:line="175" w:lineRule="exact"/>
              <w:ind w:left="99"/>
              <w:rPr>
                <w:sz w:val="16"/>
              </w:rPr>
            </w:pPr>
            <w:r>
              <w:rPr>
                <w:sz w:val="16"/>
              </w:rPr>
              <w:t>completed</w:t>
            </w:r>
            <w:r>
              <w:rPr>
                <w:spacing w:val="-9"/>
                <w:sz w:val="16"/>
              </w:rPr>
              <w:t xml:space="preserve"> </w:t>
            </w:r>
            <w:r>
              <w:rPr>
                <w:spacing w:val="-2"/>
                <w:sz w:val="16"/>
              </w:rPr>
              <w:t>surveys</w:t>
            </w:r>
          </w:p>
        </w:tc>
        <w:tc>
          <w:tcPr>
            <w:tcW w:w="1121" w:type="dxa"/>
            <w:tcBorders>
              <w:top w:val="single" w:sz="4" w:space="0" w:color="FFFFFF"/>
              <w:bottom w:val="single" w:sz="4" w:space="0" w:color="FFFFFF"/>
              <w:right w:val="single" w:sz="4" w:space="0" w:color="FFFFFF"/>
            </w:tcBorders>
            <w:shd w:val="clear" w:color="auto" w:fill="F1F1F1"/>
          </w:tcPr>
          <w:p w14:paraId="1ECF4365"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00B04F"/>
          </w:tcPr>
          <w:p w14:paraId="10594EE3" w14:textId="77777777" w:rsidR="00141B97" w:rsidRDefault="00911D63">
            <w:pPr>
              <w:pStyle w:val="TableParagraph"/>
              <w:spacing w:before="85"/>
              <w:ind w:left="141" w:right="141"/>
              <w:jc w:val="center"/>
              <w:rPr>
                <w:sz w:val="18"/>
              </w:rPr>
            </w:pPr>
            <w:r>
              <w:rPr>
                <w:spacing w:val="-5"/>
                <w:sz w:val="18"/>
              </w:rPr>
              <w:t>447</w:t>
            </w:r>
          </w:p>
        </w:tc>
        <w:tc>
          <w:tcPr>
            <w:tcW w:w="903" w:type="dxa"/>
            <w:tcBorders>
              <w:top w:val="single" w:sz="4" w:space="0" w:color="FFFFFF"/>
              <w:left w:val="nil"/>
              <w:bottom w:val="single" w:sz="4" w:space="0" w:color="FFFFFF"/>
            </w:tcBorders>
            <w:shd w:val="clear" w:color="auto" w:fill="00B04F"/>
          </w:tcPr>
          <w:p w14:paraId="4D342219" w14:textId="77777777" w:rsidR="00141B97" w:rsidRDefault="00911D63">
            <w:pPr>
              <w:pStyle w:val="TableParagraph"/>
              <w:spacing w:before="85"/>
              <w:ind w:left="298" w:right="298"/>
              <w:jc w:val="center"/>
              <w:rPr>
                <w:sz w:val="18"/>
              </w:rPr>
            </w:pPr>
            <w:r>
              <w:rPr>
                <w:spacing w:val="-5"/>
                <w:sz w:val="18"/>
              </w:rPr>
              <w:t>222</w:t>
            </w:r>
          </w:p>
        </w:tc>
        <w:tc>
          <w:tcPr>
            <w:tcW w:w="831" w:type="dxa"/>
            <w:tcBorders>
              <w:top w:val="single" w:sz="4" w:space="0" w:color="FFFFFF"/>
              <w:bottom w:val="single" w:sz="4" w:space="0" w:color="FFFFFF"/>
              <w:right w:val="nil"/>
            </w:tcBorders>
            <w:shd w:val="clear" w:color="auto" w:fill="FFC000"/>
          </w:tcPr>
          <w:p w14:paraId="640CE56F" w14:textId="77777777" w:rsidR="00141B97" w:rsidRDefault="00911D63">
            <w:pPr>
              <w:pStyle w:val="TableParagraph"/>
              <w:spacing w:before="85"/>
              <w:ind w:left="90" w:right="89"/>
              <w:jc w:val="center"/>
              <w:rPr>
                <w:sz w:val="18"/>
              </w:rPr>
            </w:pPr>
            <w:r>
              <w:rPr>
                <w:spacing w:val="-5"/>
                <w:sz w:val="18"/>
              </w:rPr>
              <w:t>67</w:t>
            </w:r>
          </w:p>
        </w:tc>
        <w:tc>
          <w:tcPr>
            <w:tcW w:w="840" w:type="dxa"/>
            <w:tcBorders>
              <w:top w:val="single" w:sz="4" w:space="0" w:color="FFFFFF"/>
              <w:left w:val="nil"/>
              <w:bottom w:val="single" w:sz="4" w:space="0" w:color="FFFFFF"/>
              <w:right w:val="nil"/>
            </w:tcBorders>
            <w:shd w:val="clear" w:color="auto" w:fill="FFC000"/>
          </w:tcPr>
          <w:p w14:paraId="5DCAB0AF" w14:textId="77777777" w:rsidR="00141B97" w:rsidRDefault="00911D63">
            <w:pPr>
              <w:pStyle w:val="TableParagraph"/>
              <w:spacing w:before="85"/>
              <w:ind w:left="5"/>
              <w:jc w:val="center"/>
              <w:rPr>
                <w:sz w:val="18"/>
              </w:rPr>
            </w:pPr>
            <w:r>
              <w:rPr>
                <w:spacing w:val="-5"/>
                <w:sz w:val="18"/>
              </w:rPr>
              <w:t>98</w:t>
            </w:r>
          </w:p>
        </w:tc>
      </w:tr>
      <w:tr w:rsidR="00141B97" w14:paraId="1DAF0656" w14:textId="77777777">
        <w:trPr>
          <w:trHeight w:val="387"/>
        </w:trPr>
        <w:tc>
          <w:tcPr>
            <w:tcW w:w="397" w:type="dxa"/>
            <w:tcBorders>
              <w:top w:val="single" w:sz="4" w:space="0" w:color="FFFFFF"/>
              <w:left w:val="nil"/>
            </w:tcBorders>
            <w:shd w:val="clear" w:color="auto" w:fill="F1F1F1"/>
          </w:tcPr>
          <w:p w14:paraId="5F11F5B6" w14:textId="77777777" w:rsidR="00141B97" w:rsidRDefault="00911D63">
            <w:pPr>
              <w:pStyle w:val="TableParagraph"/>
              <w:ind w:left="95"/>
              <w:rPr>
                <w:sz w:val="16"/>
              </w:rPr>
            </w:pPr>
            <w:r>
              <w:rPr>
                <w:w w:val="99"/>
                <w:sz w:val="16"/>
              </w:rPr>
              <w:t>b</w:t>
            </w:r>
          </w:p>
        </w:tc>
        <w:tc>
          <w:tcPr>
            <w:tcW w:w="4710" w:type="dxa"/>
            <w:tcBorders>
              <w:top w:val="single" w:sz="4" w:space="0" w:color="FFFFFF"/>
            </w:tcBorders>
            <w:shd w:val="clear" w:color="auto" w:fill="F1F1F1"/>
          </w:tcPr>
          <w:p w14:paraId="4F0C26F3" w14:textId="77777777" w:rsidR="00141B97" w:rsidRDefault="00911D63">
            <w:pPr>
              <w:pStyle w:val="TableParagraph"/>
              <w:spacing w:line="195" w:lineRule="exact"/>
              <w:ind w:left="99"/>
              <w:rPr>
                <w:sz w:val="16"/>
              </w:rPr>
            </w:pPr>
            <w:r>
              <w:rPr>
                <w:sz w:val="16"/>
              </w:rPr>
              <w:t>Post</w:t>
            </w:r>
            <w:r>
              <w:rPr>
                <w:spacing w:val="-8"/>
                <w:sz w:val="16"/>
              </w:rPr>
              <w:t xml:space="preserve"> </w:t>
            </w:r>
            <w:r>
              <w:rPr>
                <w:sz w:val="16"/>
              </w:rPr>
              <w:t>interaction</w:t>
            </w:r>
            <w:r>
              <w:rPr>
                <w:spacing w:val="-9"/>
                <w:sz w:val="16"/>
              </w:rPr>
              <w:t xml:space="preserve"> </w:t>
            </w:r>
            <w:r>
              <w:rPr>
                <w:sz w:val="16"/>
              </w:rPr>
              <w:t>satisfaction</w:t>
            </w:r>
            <w:r>
              <w:rPr>
                <w:spacing w:val="-7"/>
                <w:sz w:val="16"/>
              </w:rPr>
              <w:t xml:space="preserve"> </w:t>
            </w:r>
            <w:r>
              <w:rPr>
                <w:sz w:val="16"/>
              </w:rPr>
              <w:t>survey:</w:t>
            </w:r>
            <w:r>
              <w:rPr>
                <w:spacing w:val="-9"/>
                <w:sz w:val="16"/>
              </w:rPr>
              <w:t xml:space="preserve"> </w:t>
            </w:r>
            <w:r>
              <w:rPr>
                <w:sz w:val="16"/>
              </w:rPr>
              <w:t>Customers</w:t>
            </w:r>
            <w:r>
              <w:rPr>
                <w:spacing w:val="-8"/>
                <w:sz w:val="16"/>
              </w:rPr>
              <w:t xml:space="preserve"> </w:t>
            </w:r>
            <w:r>
              <w:rPr>
                <w:sz w:val="16"/>
              </w:rPr>
              <w:t>satisfied</w:t>
            </w:r>
            <w:r>
              <w:rPr>
                <w:spacing w:val="-7"/>
                <w:sz w:val="16"/>
              </w:rPr>
              <w:t xml:space="preserve"> </w:t>
            </w:r>
            <w:r>
              <w:rPr>
                <w:sz w:val="16"/>
              </w:rPr>
              <w:t>(rating</w:t>
            </w:r>
            <w:r>
              <w:rPr>
                <w:spacing w:val="-9"/>
                <w:sz w:val="16"/>
              </w:rPr>
              <w:t xml:space="preserve"> </w:t>
            </w:r>
            <w:r>
              <w:rPr>
                <w:spacing w:val="-5"/>
                <w:sz w:val="16"/>
              </w:rPr>
              <w:t>of</w:t>
            </w:r>
          </w:p>
          <w:p w14:paraId="203F1E55" w14:textId="77777777" w:rsidR="00141B97" w:rsidRDefault="00911D63">
            <w:pPr>
              <w:pStyle w:val="TableParagraph"/>
              <w:spacing w:line="173" w:lineRule="exact"/>
              <w:ind w:left="99"/>
              <w:rPr>
                <w:sz w:val="16"/>
              </w:rPr>
            </w:pPr>
            <w:r>
              <w:rPr>
                <w:sz w:val="16"/>
              </w:rPr>
              <w:t>satisfied,</w:t>
            </w:r>
            <w:r>
              <w:rPr>
                <w:spacing w:val="-7"/>
                <w:sz w:val="16"/>
              </w:rPr>
              <w:t xml:space="preserve"> </w:t>
            </w:r>
            <w:r>
              <w:rPr>
                <w:sz w:val="16"/>
              </w:rPr>
              <w:t>very</w:t>
            </w:r>
            <w:r>
              <w:rPr>
                <w:spacing w:val="-6"/>
                <w:sz w:val="16"/>
              </w:rPr>
              <w:t xml:space="preserve"> </w:t>
            </w:r>
            <w:r>
              <w:rPr>
                <w:sz w:val="16"/>
              </w:rPr>
              <w:t>satisfied</w:t>
            </w:r>
            <w:r>
              <w:rPr>
                <w:spacing w:val="-7"/>
                <w:sz w:val="16"/>
              </w:rPr>
              <w:t xml:space="preserve"> </w:t>
            </w:r>
            <w:r>
              <w:rPr>
                <w:sz w:val="16"/>
              </w:rPr>
              <w:t>and</w:t>
            </w:r>
            <w:r>
              <w:rPr>
                <w:spacing w:val="-7"/>
                <w:sz w:val="16"/>
              </w:rPr>
              <w:t xml:space="preserve"> </w:t>
            </w:r>
            <w:r>
              <w:rPr>
                <w:sz w:val="16"/>
              </w:rPr>
              <w:t>extremely</w:t>
            </w:r>
            <w:r>
              <w:rPr>
                <w:spacing w:val="-5"/>
                <w:sz w:val="16"/>
              </w:rPr>
              <w:t xml:space="preserve"> </w:t>
            </w:r>
            <w:r>
              <w:rPr>
                <w:spacing w:val="-2"/>
                <w:sz w:val="16"/>
              </w:rPr>
              <w:t>satisfied)</w:t>
            </w:r>
          </w:p>
        </w:tc>
        <w:tc>
          <w:tcPr>
            <w:tcW w:w="1121" w:type="dxa"/>
            <w:tcBorders>
              <w:top w:val="single" w:sz="4" w:space="0" w:color="FFFFFF"/>
              <w:right w:val="single" w:sz="4" w:space="0" w:color="FFFFFF"/>
            </w:tcBorders>
            <w:shd w:val="clear" w:color="auto" w:fill="F1F1F1"/>
          </w:tcPr>
          <w:p w14:paraId="307B657E" w14:textId="77777777" w:rsidR="00141B97" w:rsidRDefault="00911D63">
            <w:pPr>
              <w:pStyle w:val="TableParagraph"/>
              <w:spacing w:line="195" w:lineRule="exact"/>
              <w:ind w:left="99"/>
              <w:rPr>
                <w:sz w:val="16"/>
              </w:rPr>
            </w:pPr>
            <w:r>
              <w:rPr>
                <w:sz w:val="16"/>
              </w:rPr>
              <w:t>%</w:t>
            </w:r>
            <w:r>
              <w:rPr>
                <w:spacing w:val="-3"/>
                <w:sz w:val="16"/>
              </w:rPr>
              <w:t xml:space="preserve"> </w:t>
            </w:r>
            <w:r>
              <w:rPr>
                <w:spacing w:val="-2"/>
                <w:sz w:val="16"/>
              </w:rPr>
              <w:t>customers</w:t>
            </w:r>
          </w:p>
          <w:p w14:paraId="08F1589C" w14:textId="77777777" w:rsidR="00141B97" w:rsidRDefault="00911D63">
            <w:pPr>
              <w:pStyle w:val="TableParagraph"/>
              <w:spacing w:line="173" w:lineRule="exact"/>
              <w:ind w:left="99"/>
              <w:rPr>
                <w:sz w:val="16"/>
              </w:rPr>
            </w:pPr>
            <w:r>
              <w:rPr>
                <w:spacing w:val="-2"/>
                <w:sz w:val="16"/>
              </w:rPr>
              <w:t>surveyed</w:t>
            </w:r>
          </w:p>
        </w:tc>
        <w:tc>
          <w:tcPr>
            <w:tcW w:w="817" w:type="dxa"/>
            <w:tcBorders>
              <w:top w:val="single" w:sz="4" w:space="0" w:color="FFFFFF"/>
              <w:left w:val="single" w:sz="4" w:space="0" w:color="FFFFFF"/>
              <w:right w:val="nil"/>
            </w:tcBorders>
            <w:shd w:val="clear" w:color="auto" w:fill="00B04F"/>
          </w:tcPr>
          <w:p w14:paraId="2DE1173D" w14:textId="77777777" w:rsidR="00141B97" w:rsidRDefault="00911D63">
            <w:pPr>
              <w:pStyle w:val="TableParagraph"/>
              <w:spacing w:before="85"/>
              <w:ind w:left="141" w:right="141"/>
              <w:jc w:val="center"/>
              <w:rPr>
                <w:sz w:val="18"/>
              </w:rPr>
            </w:pPr>
            <w:r>
              <w:rPr>
                <w:spacing w:val="-5"/>
                <w:sz w:val="18"/>
              </w:rPr>
              <w:t>81%</w:t>
            </w:r>
          </w:p>
        </w:tc>
        <w:tc>
          <w:tcPr>
            <w:tcW w:w="903" w:type="dxa"/>
            <w:tcBorders>
              <w:top w:val="single" w:sz="4" w:space="0" w:color="FFFFFF"/>
              <w:left w:val="nil"/>
            </w:tcBorders>
            <w:shd w:val="clear" w:color="auto" w:fill="00B04F"/>
          </w:tcPr>
          <w:p w14:paraId="2F454C56" w14:textId="77777777" w:rsidR="00141B97" w:rsidRDefault="00911D63">
            <w:pPr>
              <w:pStyle w:val="TableParagraph"/>
              <w:spacing w:before="85"/>
              <w:ind w:left="289"/>
              <w:rPr>
                <w:sz w:val="18"/>
              </w:rPr>
            </w:pPr>
            <w:r>
              <w:rPr>
                <w:spacing w:val="-5"/>
                <w:sz w:val="18"/>
              </w:rPr>
              <w:t>97%</w:t>
            </w:r>
          </w:p>
        </w:tc>
        <w:tc>
          <w:tcPr>
            <w:tcW w:w="831" w:type="dxa"/>
            <w:tcBorders>
              <w:top w:val="single" w:sz="4" w:space="0" w:color="FFFFFF"/>
              <w:right w:val="nil"/>
            </w:tcBorders>
            <w:shd w:val="clear" w:color="auto" w:fill="00B04F"/>
          </w:tcPr>
          <w:p w14:paraId="108E5C88" w14:textId="77777777" w:rsidR="00141B97" w:rsidRDefault="00911D63">
            <w:pPr>
              <w:pStyle w:val="TableParagraph"/>
              <w:spacing w:before="85"/>
              <w:ind w:left="90" w:right="89"/>
              <w:jc w:val="center"/>
              <w:rPr>
                <w:sz w:val="18"/>
              </w:rPr>
            </w:pPr>
            <w:r>
              <w:rPr>
                <w:spacing w:val="-5"/>
                <w:sz w:val="18"/>
              </w:rPr>
              <w:t>98%</w:t>
            </w:r>
          </w:p>
        </w:tc>
        <w:tc>
          <w:tcPr>
            <w:tcW w:w="840" w:type="dxa"/>
            <w:tcBorders>
              <w:top w:val="single" w:sz="4" w:space="0" w:color="FFFFFF"/>
              <w:left w:val="nil"/>
              <w:right w:val="nil"/>
            </w:tcBorders>
            <w:shd w:val="clear" w:color="auto" w:fill="00B04F"/>
          </w:tcPr>
          <w:p w14:paraId="4080865A" w14:textId="77777777" w:rsidR="00141B97" w:rsidRDefault="00911D63">
            <w:pPr>
              <w:pStyle w:val="TableParagraph"/>
              <w:spacing w:before="85"/>
              <w:ind w:left="5"/>
              <w:jc w:val="center"/>
              <w:rPr>
                <w:sz w:val="18"/>
              </w:rPr>
            </w:pPr>
            <w:r>
              <w:rPr>
                <w:spacing w:val="-5"/>
                <w:sz w:val="18"/>
              </w:rPr>
              <w:t>97%</w:t>
            </w:r>
          </w:p>
        </w:tc>
      </w:tr>
      <w:tr w:rsidR="00141B97" w14:paraId="3846C1BC" w14:textId="77777777">
        <w:trPr>
          <w:trHeight w:val="217"/>
        </w:trPr>
        <w:tc>
          <w:tcPr>
            <w:tcW w:w="397" w:type="dxa"/>
            <w:tcBorders>
              <w:left w:val="nil"/>
              <w:bottom w:val="single" w:sz="4" w:space="0" w:color="FFFFFF"/>
            </w:tcBorders>
            <w:shd w:val="clear" w:color="auto" w:fill="F1F1F1"/>
          </w:tcPr>
          <w:p w14:paraId="5E92CA56" w14:textId="77777777" w:rsidR="00141B97" w:rsidRDefault="00911D63">
            <w:pPr>
              <w:pStyle w:val="TableParagraph"/>
              <w:spacing w:line="193" w:lineRule="exact"/>
              <w:ind w:left="95"/>
              <w:rPr>
                <w:sz w:val="16"/>
              </w:rPr>
            </w:pPr>
            <w:r>
              <w:rPr>
                <w:w w:val="99"/>
                <w:sz w:val="16"/>
              </w:rPr>
              <w:t>c</w:t>
            </w:r>
          </w:p>
        </w:tc>
        <w:tc>
          <w:tcPr>
            <w:tcW w:w="4710" w:type="dxa"/>
            <w:tcBorders>
              <w:bottom w:val="single" w:sz="4" w:space="0" w:color="FFFFFF"/>
            </w:tcBorders>
            <w:shd w:val="clear" w:color="auto" w:fill="F1F1F1"/>
          </w:tcPr>
          <w:p w14:paraId="40692ED1" w14:textId="77777777" w:rsidR="00141B97" w:rsidRDefault="00911D63">
            <w:pPr>
              <w:pStyle w:val="TableParagraph"/>
              <w:spacing w:line="193" w:lineRule="exact"/>
              <w:ind w:left="99"/>
              <w:rPr>
                <w:sz w:val="16"/>
              </w:rPr>
            </w:pPr>
            <w:r>
              <w:rPr>
                <w:sz w:val="16"/>
              </w:rPr>
              <w:t>Net</w:t>
            </w:r>
            <w:r>
              <w:rPr>
                <w:spacing w:val="-6"/>
                <w:sz w:val="16"/>
              </w:rPr>
              <w:t xml:space="preserve"> </w:t>
            </w:r>
            <w:r>
              <w:rPr>
                <w:sz w:val="16"/>
              </w:rPr>
              <w:t>promoter</w:t>
            </w:r>
            <w:r>
              <w:rPr>
                <w:spacing w:val="-6"/>
                <w:sz w:val="16"/>
              </w:rPr>
              <w:t xml:space="preserve"> </w:t>
            </w:r>
            <w:r>
              <w:rPr>
                <w:sz w:val="16"/>
              </w:rPr>
              <w:t>score</w:t>
            </w:r>
            <w:r>
              <w:rPr>
                <w:spacing w:val="-5"/>
                <w:sz w:val="16"/>
              </w:rPr>
              <w:t xml:space="preserve"> </w:t>
            </w:r>
            <w:r>
              <w:rPr>
                <w:sz w:val="16"/>
              </w:rPr>
              <w:t>(measure</w:t>
            </w:r>
            <w:r>
              <w:rPr>
                <w:spacing w:val="-7"/>
                <w:sz w:val="16"/>
              </w:rPr>
              <w:t xml:space="preserve"> </w:t>
            </w:r>
            <w:r>
              <w:rPr>
                <w:sz w:val="16"/>
              </w:rPr>
              <w:t>of</w:t>
            </w:r>
            <w:r>
              <w:rPr>
                <w:spacing w:val="-5"/>
                <w:sz w:val="16"/>
              </w:rPr>
              <w:t xml:space="preserve"> </w:t>
            </w:r>
            <w:r>
              <w:rPr>
                <w:sz w:val="16"/>
              </w:rPr>
              <w:t>customer</w:t>
            </w:r>
            <w:r>
              <w:rPr>
                <w:spacing w:val="-6"/>
                <w:sz w:val="16"/>
              </w:rPr>
              <w:t xml:space="preserve"> </w:t>
            </w:r>
            <w:r>
              <w:rPr>
                <w:spacing w:val="-2"/>
                <w:sz w:val="16"/>
              </w:rPr>
              <w:t>experience)</w:t>
            </w:r>
          </w:p>
        </w:tc>
        <w:tc>
          <w:tcPr>
            <w:tcW w:w="1121" w:type="dxa"/>
            <w:tcBorders>
              <w:bottom w:val="single" w:sz="4" w:space="0" w:color="FFFFFF"/>
              <w:right w:val="single" w:sz="4" w:space="0" w:color="FFFFFF"/>
            </w:tcBorders>
            <w:shd w:val="clear" w:color="auto" w:fill="F1F1F1"/>
          </w:tcPr>
          <w:p w14:paraId="1E35DF25" w14:textId="77777777" w:rsidR="00141B97" w:rsidRDefault="00911D63">
            <w:pPr>
              <w:pStyle w:val="TableParagraph"/>
              <w:spacing w:line="193" w:lineRule="exact"/>
              <w:ind w:left="99"/>
              <w:rPr>
                <w:sz w:val="16"/>
              </w:rPr>
            </w:pPr>
            <w:r>
              <w:rPr>
                <w:spacing w:val="-2"/>
                <w:sz w:val="16"/>
              </w:rPr>
              <w:t>Percentage</w:t>
            </w:r>
          </w:p>
        </w:tc>
        <w:tc>
          <w:tcPr>
            <w:tcW w:w="817" w:type="dxa"/>
            <w:tcBorders>
              <w:left w:val="single" w:sz="4" w:space="0" w:color="FFFFFF"/>
              <w:bottom w:val="single" w:sz="4" w:space="0" w:color="FFFFFF"/>
              <w:right w:val="nil"/>
            </w:tcBorders>
            <w:shd w:val="clear" w:color="auto" w:fill="00B04F"/>
          </w:tcPr>
          <w:p w14:paraId="13BE5268" w14:textId="77777777" w:rsidR="00141B97" w:rsidRDefault="00911D63">
            <w:pPr>
              <w:pStyle w:val="TableParagraph"/>
              <w:spacing w:line="197" w:lineRule="exact"/>
              <w:ind w:left="141" w:right="141"/>
              <w:jc w:val="center"/>
              <w:rPr>
                <w:sz w:val="18"/>
              </w:rPr>
            </w:pPr>
            <w:r>
              <w:rPr>
                <w:spacing w:val="-5"/>
                <w:sz w:val="18"/>
              </w:rPr>
              <w:t>81%</w:t>
            </w:r>
          </w:p>
        </w:tc>
        <w:tc>
          <w:tcPr>
            <w:tcW w:w="903" w:type="dxa"/>
            <w:tcBorders>
              <w:left w:val="nil"/>
              <w:bottom w:val="single" w:sz="4" w:space="0" w:color="FFFFFF"/>
            </w:tcBorders>
            <w:shd w:val="clear" w:color="auto" w:fill="00B04F"/>
          </w:tcPr>
          <w:p w14:paraId="076C0998" w14:textId="77777777" w:rsidR="00141B97" w:rsidRDefault="00911D63">
            <w:pPr>
              <w:pStyle w:val="TableParagraph"/>
              <w:spacing w:line="197" w:lineRule="exact"/>
              <w:ind w:left="289"/>
              <w:rPr>
                <w:sz w:val="18"/>
              </w:rPr>
            </w:pPr>
            <w:r>
              <w:rPr>
                <w:spacing w:val="-5"/>
                <w:sz w:val="18"/>
              </w:rPr>
              <w:t>97%</w:t>
            </w:r>
          </w:p>
        </w:tc>
        <w:tc>
          <w:tcPr>
            <w:tcW w:w="831" w:type="dxa"/>
            <w:tcBorders>
              <w:bottom w:val="single" w:sz="4" w:space="0" w:color="FFFFFF"/>
              <w:right w:val="nil"/>
            </w:tcBorders>
            <w:shd w:val="clear" w:color="auto" w:fill="00B04F"/>
          </w:tcPr>
          <w:p w14:paraId="56B8CD55" w14:textId="77777777" w:rsidR="00141B97" w:rsidRDefault="00911D63">
            <w:pPr>
              <w:pStyle w:val="TableParagraph"/>
              <w:spacing w:line="197" w:lineRule="exact"/>
              <w:ind w:left="90" w:right="89"/>
              <w:jc w:val="center"/>
              <w:rPr>
                <w:sz w:val="18"/>
              </w:rPr>
            </w:pPr>
            <w:r>
              <w:rPr>
                <w:spacing w:val="-5"/>
                <w:sz w:val="18"/>
              </w:rPr>
              <w:t>98%</w:t>
            </w:r>
          </w:p>
        </w:tc>
        <w:tc>
          <w:tcPr>
            <w:tcW w:w="840" w:type="dxa"/>
            <w:tcBorders>
              <w:left w:val="nil"/>
              <w:bottom w:val="single" w:sz="4" w:space="0" w:color="FFFFFF"/>
              <w:right w:val="nil"/>
            </w:tcBorders>
            <w:shd w:val="clear" w:color="auto" w:fill="00B04F"/>
          </w:tcPr>
          <w:p w14:paraId="0AAA09CD" w14:textId="77777777" w:rsidR="00141B97" w:rsidRDefault="00911D63">
            <w:pPr>
              <w:pStyle w:val="TableParagraph"/>
              <w:spacing w:line="197" w:lineRule="exact"/>
              <w:ind w:left="5"/>
              <w:jc w:val="center"/>
              <w:rPr>
                <w:sz w:val="18"/>
              </w:rPr>
            </w:pPr>
            <w:r>
              <w:rPr>
                <w:spacing w:val="-5"/>
                <w:sz w:val="18"/>
              </w:rPr>
              <w:t>97%</w:t>
            </w:r>
          </w:p>
        </w:tc>
      </w:tr>
      <w:tr w:rsidR="00141B97" w14:paraId="6DB6EDD1" w14:textId="77777777">
        <w:trPr>
          <w:trHeight w:val="390"/>
        </w:trPr>
        <w:tc>
          <w:tcPr>
            <w:tcW w:w="397" w:type="dxa"/>
            <w:tcBorders>
              <w:top w:val="single" w:sz="4" w:space="0" w:color="FFFFFF"/>
              <w:left w:val="nil"/>
              <w:bottom w:val="single" w:sz="4" w:space="0" w:color="FFFFFF"/>
            </w:tcBorders>
            <w:shd w:val="clear" w:color="auto" w:fill="F1F1F1"/>
          </w:tcPr>
          <w:p w14:paraId="0D830EFC" w14:textId="77777777" w:rsidR="00141B97" w:rsidRDefault="00911D63">
            <w:pPr>
              <w:pStyle w:val="TableParagraph"/>
              <w:ind w:left="95"/>
              <w:rPr>
                <w:sz w:val="16"/>
              </w:rPr>
            </w:pPr>
            <w:r>
              <w:rPr>
                <w:w w:val="99"/>
                <w:sz w:val="16"/>
              </w:rPr>
              <w:t>d</w:t>
            </w:r>
          </w:p>
        </w:tc>
        <w:tc>
          <w:tcPr>
            <w:tcW w:w="4710" w:type="dxa"/>
            <w:tcBorders>
              <w:top w:val="single" w:sz="4" w:space="0" w:color="FFFFFF"/>
              <w:bottom w:val="single" w:sz="4" w:space="0" w:color="FFFFFF"/>
            </w:tcBorders>
            <w:shd w:val="clear" w:color="auto" w:fill="F1F1F1"/>
          </w:tcPr>
          <w:p w14:paraId="77E28A2C" w14:textId="77777777" w:rsidR="00141B97" w:rsidRDefault="00911D63">
            <w:pPr>
              <w:pStyle w:val="TableParagraph"/>
              <w:ind w:left="99"/>
              <w:rPr>
                <w:sz w:val="16"/>
              </w:rPr>
            </w:pPr>
            <w:r>
              <w:rPr>
                <w:sz w:val="16"/>
              </w:rPr>
              <w:t>Urban</w:t>
            </w:r>
            <w:r>
              <w:rPr>
                <w:spacing w:val="-6"/>
                <w:sz w:val="16"/>
              </w:rPr>
              <w:t xml:space="preserve"> </w:t>
            </w:r>
            <w:r>
              <w:rPr>
                <w:sz w:val="16"/>
              </w:rPr>
              <w:t>customer</w:t>
            </w:r>
            <w:r>
              <w:rPr>
                <w:spacing w:val="-5"/>
                <w:sz w:val="16"/>
              </w:rPr>
              <w:t xml:space="preserve"> </w:t>
            </w:r>
            <w:r>
              <w:rPr>
                <w:sz w:val="16"/>
              </w:rPr>
              <w:t>complaints</w:t>
            </w:r>
            <w:r>
              <w:rPr>
                <w:spacing w:val="-6"/>
                <w:sz w:val="16"/>
              </w:rPr>
              <w:t xml:space="preserve"> </w:t>
            </w:r>
            <w:r>
              <w:rPr>
                <w:sz w:val="16"/>
              </w:rPr>
              <w:t>to</w:t>
            </w:r>
            <w:r>
              <w:rPr>
                <w:spacing w:val="-6"/>
                <w:sz w:val="16"/>
              </w:rPr>
              <w:t xml:space="preserve"> </w:t>
            </w:r>
            <w:r>
              <w:rPr>
                <w:sz w:val="16"/>
              </w:rPr>
              <w:t>Energy</w:t>
            </w:r>
            <w:r>
              <w:rPr>
                <w:spacing w:val="-4"/>
                <w:sz w:val="16"/>
              </w:rPr>
              <w:t xml:space="preserve"> </w:t>
            </w:r>
            <w:r>
              <w:rPr>
                <w:sz w:val="16"/>
              </w:rPr>
              <w:t>and</w:t>
            </w:r>
            <w:r>
              <w:rPr>
                <w:spacing w:val="-6"/>
                <w:sz w:val="16"/>
              </w:rPr>
              <w:t xml:space="preserve"> </w:t>
            </w:r>
            <w:r>
              <w:rPr>
                <w:sz w:val="16"/>
              </w:rPr>
              <w:t>Water</w:t>
            </w:r>
            <w:r>
              <w:rPr>
                <w:spacing w:val="-6"/>
                <w:sz w:val="16"/>
              </w:rPr>
              <w:t xml:space="preserve"> </w:t>
            </w:r>
            <w:r>
              <w:rPr>
                <w:spacing w:val="-2"/>
                <w:sz w:val="16"/>
              </w:rPr>
              <w:t>Ombudsman</w:t>
            </w:r>
          </w:p>
          <w:p w14:paraId="48DBB5C4" w14:textId="77777777" w:rsidR="00141B97" w:rsidRDefault="00911D63">
            <w:pPr>
              <w:pStyle w:val="TableParagraph"/>
              <w:spacing w:line="175" w:lineRule="exact"/>
              <w:ind w:left="99"/>
              <w:rPr>
                <w:sz w:val="16"/>
              </w:rPr>
            </w:pPr>
            <w:r>
              <w:rPr>
                <w:spacing w:val="-2"/>
                <w:sz w:val="16"/>
              </w:rPr>
              <w:t>Victoria</w:t>
            </w:r>
            <w:r>
              <w:rPr>
                <w:spacing w:val="6"/>
                <w:sz w:val="16"/>
              </w:rPr>
              <w:t xml:space="preserve"> </w:t>
            </w:r>
            <w:r>
              <w:rPr>
                <w:spacing w:val="-2"/>
                <w:sz w:val="16"/>
              </w:rPr>
              <w:t>(EWOV)</w:t>
            </w:r>
          </w:p>
        </w:tc>
        <w:tc>
          <w:tcPr>
            <w:tcW w:w="1121" w:type="dxa"/>
            <w:tcBorders>
              <w:top w:val="single" w:sz="4" w:space="0" w:color="FFFFFF"/>
              <w:bottom w:val="single" w:sz="4" w:space="0" w:color="FFFFFF"/>
              <w:right w:val="single" w:sz="4" w:space="0" w:color="FFFFFF"/>
            </w:tcBorders>
            <w:shd w:val="clear" w:color="auto" w:fill="F1F1F1"/>
          </w:tcPr>
          <w:p w14:paraId="2FD8FCBE"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FF0000"/>
          </w:tcPr>
          <w:p w14:paraId="3264C503" w14:textId="77777777" w:rsidR="00141B97" w:rsidRDefault="00911D63">
            <w:pPr>
              <w:pStyle w:val="TableParagraph"/>
              <w:spacing w:before="85"/>
              <w:ind w:left="141" w:right="141"/>
              <w:jc w:val="center"/>
              <w:rPr>
                <w:sz w:val="18"/>
              </w:rPr>
            </w:pPr>
            <w:r>
              <w:rPr>
                <w:spacing w:val="-5"/>
                <w:sz w:val="18"/>
              </w:rPr>
              <w:t>12</w:t>
            </w:r>
          </w:p>
        </w:tc>
        <w:tc>
          <w:tcPr>
            <w:tcW w:w="903" w:type="dxa"/>
            <w:tcBorders>
              <w:top w:val="single" w:sz="4" w:space="0" w:color="FFFFFF"/>
              <w:left w:val="nil"/>
              <w:bottom w:val="single" w:sz="4" w:space="0" w:color="FFFFFF"/>
            </w:tcBorders>
            <w:shd w:val="clear" w:color="auto" w:fill="00B04F"/>
          </w:tcPr>
          <w:p w14:paraId="5EE6E293" w14:textId="77777777" w:rsidR="00141B97" w:rsidRDefault="00911D63">
            <w:pPr>
              <w:pStyle w:val="TableParagraph"/>
              <w:spacing w:before="85"/>
              <w:jc w:val="center"/>
              <w:rPr>
                <w:sz w:val="18"/>
              </w:rPr>
            </w:pPr>
            <w:r>
              <w:rPr>
                <w:sz w:val="18"/>
              </w:rPr>
              <w:t>8</w:t>
            </w:r>
          </w:p>
        </w:tc>
        <w:tc>
          <w:tcPr>
            <w:tcW w:w="831" w:type="dxa"/>
            <w:tcBorders>
              <w:top w:val="single" w:sz="4" w:space="0" w:color="FFFFFF"/>
              <w:bottom w:val="single" w:sz="4" w:space="0" w:color="FFFFFF"/>
              <w:right w:val="nil"/>
            </w:tcBorders>
            <w:shd w:val="clear" w:color="auto" w:fill="00B04F"/>
          </w:tcPr>
          <w:p w14:paraId="5A8EFD1D" w14:textId="77777777" w:rsidR="00141B97" w:rsidRDefault="00911D63">
            <w:pPr>
              <w:pStyle w:val="TableParagraph"/>
              <w:spacing w:before="85"/>
              <w:ind w:left="1"/>
              <w:jc w:val="center"/>
              <w:rPr>
                <w:sz w:val="18"/>
              </w:rPr>
            </w:pPr>
            <w:r>
              <w:rPr>
                <w:sz w:val="18"/>
              </w:rPr>
              <w:t>6</w:t>
            </w:r>
          </w:p>
        </w:tc>
        <w:tc>
          <w:tcPr>
            <w:tcW w:w="840" w:type="dxa"/>
            <w:tcBorders>
              <w:top w:val="single" w:sz="4" w:space="0" w:color="FFFFFF"/>
              <w:left w:val="nil"/>
              <w:bottom w:val="single" w:sz="4" w:space="0" w:color="FFFFFF"/>
              <w:right w:val="nil"/>
            </w:tcBorders>
            <w:shd w:val="clear" w:color="auto" w:fill="FF0000"/>
          </w:tcPr>
          <w:p w14:paraId="3A9127F6" w14:textId="77777777" w:rsidR="00141B97" w:rsidRDefault="00911D63">
            <w:pPr>
              <w:pStyle w:val="TableParagraph"/>
              <w:spacing w:before="85"/>
              <w:ind w:left="5"/>
              <w:jc w:val="center"/>
              <w:rPr>
                <w:sz w:val="18"/>
              </w:rPr>
            </w:pPr>
            <w:r>
              <w:rPr>
                <w:spacing w:val="-5"/>
                <w:sz w:val="18"/>
              </w:rPr>
              <w:t>13</w:t>
            </w:r>
          </w:p>
        </w:tc>
      </w:tr>
      <w:tr w:rsidR="00141B97" w14:paraId="48345EBB" w14:textId="77777777">
        <w:trPr>
          <w:trHeight w:val="269"/>
        </w:trPr>
        <w:tc>
          <w:tcPr>
            <w:tcW w:w="6228" w:type="dxa"/>
            <w:gridSpan w:val="3"/>
            <w:tcBorders>
              <w:top w:val="single" w:sz="4" w:space="0" w:color="FFFFFF"/>
              <w:left w:val="nil"/>
              <w:bottom w:val="single" w:sz="4" w:space="0" w:color="FFFFFF"/>
              <w:right w:val="single" w:sz="4" w:space="0" w:color="FFFFFF"/>
            </w:tcBorders>
            <w:shd w:val="clear" w:color="auto" w:fill="D0CECE"/>
          </w:tcPr>
          <w:p w14:paraId="1DCE68E2" w14:textId="77777777" w:rsidR="00141B97" w:rsidRDefault="00911D63">
            <w:pPr>
              <w:pStyle w:val="TableParagraph"/>
              <w:ind w:left="98"/>
              <w:rPr>
                <w:sz w:val="18"/>
              </w:rPr>
            </w:pPr>
            <w:r>
              <w:rPr>
                <w:sz w:val="18"/>
              </w:rPr>
              <w:t>#</w:t>
            </w:r>
            <w:r>
              <w:rPr>
                <w:spacing w:val="-1"/>
                <w:sz w:val="18"/>
              </w:rPr>
              <w:t xml:space="preserve"> </w:t>
            </w:r>
            <w:r>
              <w:rPr>
                <w:sz w:val="18"/>
              </w:rPr>
              <w:t>3:</w:t>
            </w:r>
            <w:r>
              <w:rPr>
                <w:spacing w:val="-1"/>
                <w:sz w:val="18"/>
              </w:rPr>
              <w:t xml:space="preserve"> </w:t>
            </w:r>
            <w:r>
              <w:rPr>
                <w:sz w:val="18"/>
              </w:rPr>
              <w:t>Provide</w:t>
            </w:r>
            <w:r>
              <w:rPr>
                <w:spacing w:val="-1"/>
                <w:sz w:val="18"/>
              </w:rPr>
              <w:t xml:space="preserve"> </w:t>
            </w:r>
            <w:r>
              <w:rPr>
                <w:sz w:val="18"/>
              </w:rPr>
              <w:t>me</w:t>
            </w:r>
            <w:r>
              <w:rPr>
                <w:spacing w:val="-2"/>
                <w:sz w:val="18"/>
              </w:rPr>
              <w:t xml:space="preserve"> </w:t>
            </w:r>
            <w:r>
              <w:rPr>
                <w:sz w:val="18"/>
              </w:rPr>
              <w:t>with</w:t>
            </w:r>
            <w:r>
              <w:rPr>
                <w:spacing w:val="-1"/>
                <w:sz w:val="18"/>
              </w:rPr>
              <w:t xml:space="preserve"> </w:t>
            </w:r>
            <w:r>
              <w:rPr>
                <w:sz w:val="18"/>
              </w:rPr>
              <w:t>consistent, safe,</w:t>
            </w:r>
            <w:r>
              <w:rPr>
                <w:spacing w:val="-1"/>
                <w:sz w:val="18"/>
              </w:rPr>
              <w:t xml:space="preserve"> </w:t>
            </w:r>
            <w:r>
              <w:rPr>
                <w:sz w:val="18"/>
              </w:rPr>
              <w:t>clean</w:t>
            </w:r>
            <w:r>
              <w:rPr>
                <w:spacing w:val="-1"/>
                <w:sz w:val="18"/>
              </w:rPr>
              <w:t xml:space="preserve"> </w:t>
            </w:r>
            <w:r>
              <w:rPr>
                <w:sz w:val="18"/>
              </w:rPr>
              <w:t>drinking</w:t>
            </w:r>
            <w:r>
              <w:rPr>
                <w:spacing w:val="-1"/>
                <w:sz w:val="18"/>
              </w:rPr>
              <w:t xml:space="preserve"> </w:t>
            </w:r>
            <w:r>
              <w:rPr>
                <w:spacing w:val="-2"/>
                <w:sz w:val="18"/>
              </w:rPr>
              <w:t>water</w:t>
            </w:r>
          </w:p>
        </w:tc>
        <w:tc>
          <w:tcPr>
            <w:tcW w:w="817" w:type="dxa"/>
            <w:tcBorders>
              <w:top w:val="single" w:sz="4" w:space="0" w:color="FFFFFF"/>
              <w:left w:val="single" w:sz="4" w:space="0" w:color="FFFFFF"/>
              <w:bottom w:val="single" w:sz="4" w:space="0" w:color="FFFFFF"/>
              <w:right w:val="nil"/>
            </w:tcBorders>
            <w:shd w:val="clear" w:color="auto" w:fill="00B04F"/>
          </w:tcPr>
          <w:p w14:paraId="129A669E" w14:textId="77777777" w:rsidR="00141B97" w:rsidRDefault="00141B97">
            <w:pPr>
              <w:pStyle w:val="TableParagraph"/>
              <w:rPr>
                <w:rFonts w:ascii="Times New Roman"/>
                <w:sz w:val="16"/>
              </w:rPr>
            </w:pPr>
          </w:p>
        </w:tc>
        <w:tc>
          <w:tcPr>
            <w:tcW w:w="903" w:type="dxa"/>
            <w:tcBorders>
              <w:top w:val="single" w:sz="4" w:space="0" w:color="FFFFFF"/>
              <w:left w:val="nil"/>
              <w:bottom w:val="single" w:sz="4" w:space="0" w:color="FFFFFF"/>
            </w:tcBorders>
            <w:shd w:val="clear" w:color="auto" w:fill="FFC000"/>
          </w:tcPr>
          <w:p w14:paraId="485F7DEF" w14:textId="0A1652CB" w:rsidR="00141B97" w:rsidRDefault="00911D63">
            <w:pPr>
              <w:pStyle w:val="TableParagraph"/>
              <w:ind w:left="-3" w:right="-72"/>
              <w:rPr>
                <w:sz w:val="20"/>
              </w:rPr>
            </w:pPr>
            <w:r>
              <w:rPr>
                <w:noProof/>
                <w:sz w:val="20"/>
              </w:rPr>
              <mc:AlternateContent>
                <mc:Choice Requires="wpg">
                  <w:drawing>
                    <wp:inline distT="0" distB="0" distL="0" distR="0" wp14:anchorId="6445384F" wp14:editId="6E8F49FD">
                      <wp:extent cx="567055" cy="171450"/>
                      <wp:effectExtent l="0" t="0" r="0" b="3810"/>
                      <wp:docPr id="30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171450"/>
                                <a:chOff x="0" y="0"/>
                                <a:chExt cx="893" cy="270"/>
                              </a:xfrm>
                            </wpg:grpSpPr>
                            <wps:wsp>
                              <wps:cNvPr id="307" name="docshape113"/>
                              <wps:cNvSpPr>
                                <a:spLocks noChangeArrowheads="1"/>
                              </wps:cNvSpPr>
                              <wps:spPr bwMode="auto">
                                <a:xfrm>
                                  <a:off x="0" y="0"/>
                                  <a:ext cx="893" cy="27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1B4DFE" id="docshapegroup112" o:spid="_x0000_s1026" style="width:44.65pt;height:13.5pt;mso-position-horizontal-relative:char;mso-position-vertical-relative:line" coordsize="89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">
                      <v:rect id="docshape113" o:spid="_x0000_s1027" style="position:absolute;width:8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" fillcolor="#ffc000" stroked="f"/>
                      <w10:anchorlock/>
                    </v:group>
                  </w:pict>
                </mc:Fallback>
              </mc:AlternateContent>
            </w:r>
          </w:p>
        </w:tc>
        <w:tc>
          <w:tcPr>
            <w:tcW w:w="831" w:type="dxa"/>
            <w:tcBorders>
              <w:top w:val="single" w:sz="4" w:space="0" w:color="FFFFFF"/>
              <w:bottom w:val="single" w:sz="4" w:space="0" w:color="FFFFFF"/>
              <w:right w:val="nil"/>
            </w:tcBorders>
            <w:shd w:val="clear" w:color="auto" w:fill="00B04F"/>
          </w:tcPr>
          <w:p w14:paraId="126F1F0E" w14:textId="77777777" w:rsidR="00141B97" w:rsidRDefault="00141B97">
            <w:pPr>
              <w:pStyle w:val="TableParagraph"/>
              <w:rPr>
                <w:rFonts w:ascii="Times New Roman"/>
                <w:sz w:val="16"/>
              </w:rPr>
            </w:pPr>
          </w:p>
        </w:tc>
        <w:tc>
          <w:tcPr>
            <w:tcW w:w="840" w:type="dxa"/>
            <w:tcBorders>
              <w:top w:val="single" w:sz="4" w:space="0" w:color="FFFFFF"/>
              <w:left w:val="nil"/>
              <w:bottom w:val="single" w:sz="4" w:space="0" w:color="FFFFFF"/>
              <w:right w:val="nil"/>
            </w:tcBorders>
            <w:shd w:val="clear" w:color="auto" w:fill="FFC000"/>
          </w:tcPr>
          <w:p w14:paraId="4C071EC6" w14:textId="77777777" w:rsidR="00141B97" w:rsidRDefault="00141B97">
            <w:pPr>
              <w:pStyle w:val="TableParagraph"/>
              <w:rPr>
                <w:rFonts w:ascii="Times New Roman"/>
                <w:sz w:val="16"/>
              </w:rPr>
            </w:pPr>
          </w:p>
        </w:tc>
      </w:tr>
      <w:tr w:rsidR="00141B97" w14:paraId="0285F126" w14:textId="77777777">
        <w:trPr>
          <w:trHeight w:val="365"/>
        </w:trPr>
        <w:tc>
          <w:tcPr>
            <w:tcW w:w="397" w:type="dxa"/>
            <w:tcBorders>
              <w:top w:val="single" w:sz="4" w:space="0" w:color="FFFFFF"/>
              <w:left w:val="nil"/>
              <w:bottom w:val="single" w:sz="4" w:space="0" w:color="FFFFFF"/>
            </w:tcBorders>
            <w:shd w:val="clear" w:color="auto" w:fill="F1F1F1"/>
          </w:tcPr>
          <w:p w14:paraId="1C230CBE" w14:textId="77777777" w:rsidR="00141B97" w:rsidRDefault="00911D63">
            <w:pPr>
              <w:pStyle w:val="TableParagraph"/>
              <w:spacing w:line="170" w:lineRule="exact"/>
              <w:ind w:left="95"/>
              <w:rPr>
                <w:sz w:val="16"/>
              </w:rPr>
            </w:pPr>
            <w:r>
              <w:rPr>
                <w:w w:val="99"/>
                <w:sz w:val="16"/>
              </w:rPr>
              <w:t>a</w:t>
            </w:r>
          </w:p>
        </w:tc>
        <w:tc>
          <w:tcPr>
            <w:tcW w:w="4710" w:type="dxa"/>
            <w:tcBorders>
              <w:top w:val="single" w:sz="4" w:space="0" w:color="FFFFFF"/>
              <w:bottom w:val="single" w:sz="4" w:space="0" w:color="FFFFFF"/>
            </w:tcBorders>
            <w:shd w:val="clear" w:color="auto" w:fill="F1F1F1"/>
          </w:tcPr>
          <w:p w14:paraId="07ACA294" w14:textId="77777777" w:rsidR="00141B97" w:rsidRDefault="00911D63">
            <w:pPr>
              <w:pStyle w:val="TableParagraph"/>
              <w:spacing w:line="170" w:lineRule="exact"/>
              <w:ind w:left="99"/>
              <w:rPr>
                <w:sz w:val="16"/>
              </w:rPr>
            </w:pPr>
            <w:r>
              <w:rPr>
                <w:sz w:val="16"/>
              </w:rPr>
              <w:t>Number</w:t>
            </w:r>
            <w:r>
              <w:rPr>
                <w:spacing w:val="-5"/>
                <w:sz w:val="16"/>
              </w:rPr>
              <w:t xml:space="preserve"> </w:t>
            </w:r>
            <w:r>
              <w:rPr>
                <w:sz w:val="16"/>
              </w:rPr>
              <w:t>of</w:t>
            </w:r>
            <w:r>
              <w:rPr>
                <w:spacing w:val="-5"/>
                <w:sz w:val="16"/>
              </w:rPr>
              <w:t xml:space="preserve"> </w:t>
            </w:r>
            <w:r>
              <w:rPr>
                <w:sz w:val="16"/>
              </w:rPr>
              <w:t>Safe</w:t>
            </w:r>
            <w:r>
              <w:rPr>
                <w:spacing w:val="-6"/>
                <w:sz w:val="16"/>
              </w:rPr>
              <w:t xml:space="preserve"> </w:t>
            </w:r>
            <w:r>
              <w:rPr>
                <w:sz w:val="16"/>
              </w:rPr>
              <w:t>Drinking</w:t>
            </w:r>
            <w:r>
              <w:rPr>
                <w:spacing w:val="-7"/>
                <w:sz w:val="16"/>
              </w:rPr>
              <w:t xml:space="preserve"> </w:t>
            </w:r>
            <w:r>
              <w:rPr>
                <w:sz w:val="16"/>
              </w:rPr>
              <w:t>Water</w:t>
            </w:r>
            <w:r>
              <w:rPr>
                <w:spacing w:val="-6"/>
                <w:sz w:val="16"/>
              </w:rPr>
              <w:t xml:space="preserve"> </w:t>
            </w:r>
            <w:r>
              <w:rPr>
                <w:sz w:val="16"/>
              </w:rPr>
              <w:t>Act</w:t>
            </w:r>
            <w:r>
              <w:rPr>
                <w:spacing w:val="-5"/>
                <w:sz w:val="16"/>
              </w:rPr>
              <w:t xml:space="preserve"> </w:t>
            </w:r>
            <w:r>
              <w:rPr>
                <w:sz w:val="16"/>
              </w:rPr>
              <w:t>non‐compliances</w:t>
            </w:r>
            <w:r>
              <w:rPr>
                <w:spacing w:val="-6"/>
                <w:sz w:val="16"/>
              </w:rPr>
              <w:t xml:space="preserve"> </w:t>
            </w:r>
            <w:r>
              <w:rPr>
                <w:sz w:val="16"/>
              </w:rPr>
              <w:t>(water</w:t>
            </w:r>
            <w:r>
              <w:rPr>
                <w:spacing w:val="-7"/>
                <w:sz w:val="16"/>
              </w:rPr>
              <w:t xml:space="preserve"> </w:t>
            </w:r>
            <w:r>
              <w:rPr>
                <w:spacing w:val="-2"/>
                <w:sz w:val="16"/>
              </w:rPr>
              <w:t>sampling</w:t>
            </w:r>
          </w:p>
          <w:p w14:paraId="04E5BB2C" w14:textId="77777777" w:rsidR="00141B97" w:rsidRDefault="00911D63">
            <w:pPr>
              <w:pStyle w:val="TableParagraph"/>
              <w:spacing w:line="175" w:lineRule="exact"/>
              <w:ind w:left="99"/>
              <w:rPr>
                <w:sz w:val="16"/>
              </w:rPr>
            </w:pPr>
            <w:r>
              <w:rPr>
                <w:sz w:val="16"/>
              </w:rPr>
              <w:t>and</w:t>
            </w:r>
            <w:r>
              <w:rPr>
                <w:spacing w:val="-4"/>
                <w:sz w:val="16"/>
              </w:rPr>
              <w:t xml:space="preserve"> </w:t>
            </w:r>
            <w:r>
              <w:rPr>
                <w:spacing w:val="-2"/>
                <w:sz w:val="16"/>
              </w:rPr>
              <w:t>audit)</w:t>
            </w:r>
          </w:p>
        </w:tc>
        <w:tc>
          <w:tcPr>
            <w:tcW w:w="1121" w:type="dxa"/>
            <w:tcBorders>
              <w:top w:val="single" w:sz="4" w:space="0" w:color="FFFFFF"/>
              <w:bottom w:val="single" w:sz="4" w:space="0" w:color="FFFFFF"/>
              <w:right w:val="single" w:sz="4" w:space="0" w:color="FFFFFF"/>
            </w:tcBorders>
            <w:shd w:val="clear" w:color="auto" w:fill="F1F1F1"/>
          </w:tcPr>
          <w:p w14:paraId="7C4A2B52" w14:textId="77777777" w:rsidR="00141B97" w:rsidRDefault="00911D63">
            <w:pPr>
              <w:pStyle w:val="TableParagraph"/>
              <w:spacing w:line="170" w:lineRule="exact"/>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00B04F"/>
          </w:tcPr>
          <w:p w14:paraId="446CECAA" w14:textId="77777777" w:rsidR="00141B97" w:rsidRDefault="00911D63">
            <w:pPr>
              <w:pStyle w:val="TableParagraph"/>
              <w:spacing w:before="61"/>
              <w:jc w:val="center"/>
              <w:rPr>
                <w:sz w:val="18"/>
              </w:rPr>
            </w:pPr>
            <w:r>
              <w:rPr>
                <w:sz w:val="18"/>
              </w:rPr>
              <w:t>0</w:t>
            </w:r>
          </w:p>
        </w:tc>
        <w:tc>
          <w:tcPr>
            <w:tcW w:w="903" w:type="dxa"/>
            <w:tcBorders>
              <w:top w:val="single" w:sz="4" w:space="0" w:color="FFFFFF"/>
              <w:left w:val="nil"/>
              <w:bottom w:val="single" w:sz="4" w:space="0" w:color="FFFFFF"/>
            </w:tcBorders>
            <w:shd w:val="clear" w:color="auto" w:fill="00B04F"/>
          </w:tcPr>
          <w:p w14:paraId="21C0039C" w14:textId="77777777" w:rsidR="00141B97" w:rsidRDefault="00911D63">
            <w:pPr>
              <w:pStyle w:val="TableParagraph"/>
              <w:spacing w:before="61"/>
              <w:jc w:val="center"/>
              <w:rPr>
                <w:sz w:val="18"/>
              </w:rPr>
            </w:pPr>
            <w:r>
              <w:rPr>
                <w:sz w:val="18"/>
              </w:rPr>
              <w:t>0</w:t>
            </w:r>
          </w:p>
        </w:tc>
        <w:tc>
          <w:tcPr>
            <w:tcW w:w="831" w:type="dxa"/>
            <w:tcBorders>
              <w:top w:val="single" w:sz="4" w:space="0" w:color="FFFFFF"/>
              <w:bottom w:val="single" w:sz="4" w:space="0" w:color="FFFFFF"/>
              <w:right w:val="nil"/>
            </w:tcBorders>
            <w:shd w:val="clear" w:color="auto" w:fill="00B04F"/>
          </w:tcPr>
          <w:p w14:paraId="5E5746F2" w14:textId="77777777" w:rsidR="00141B97" w:rsidRDefault="00911D63">
            <w:pPr>
              <w:pStyle w:val="TableParagraph"/>
              <w:spacing w:before="61"/>
              <w:ind w:left="1"/>
              <w:jc w:val="center"/>
              <w:rPr>
                <w:sz w:val="18"/>
              </w:rPr>
            </w:pPr>
            <w:r>
              <w:rPr>
                <w:sz w:val="18"/>
              </w:rPr>
              <w:t>0</w:t>
            </w:r>
          </w:p>
        </w:tc>
        <w:tc>
          <w:tcPr>
            <w:tcW w:w="840" w:type="dxa"/>
            <w:tcBorders>
              <w:top w:val="single" w:sz="4" w:space="0" w:color="FFFFFF"/>
              <w:left w:val="nil"/>
              <w:bottom w:val="single" w:sz="4" w:space="0" w:color="FFFFFF"/>
              <w:right w:val="nil"/>
            </w:tcBorders>
            <w:shd w:val="clear" w:color="auto" w:fill="00B04F"/>
          </w:tcPr>
          <w:p w14:paraId="5549927F" w14:textId="77777777" w:rsidR="00141B97" w:rsidRDefault="00911D63">
            <w:pPr>
              <w:pStyle w:val="TableParagraph"/>
              <w:spacing w:before="61"/>
              <w:ind w:left="5"/>
              <w:jc w:val="center"/>
              <w:rPr>
                <w:sz w:val="18"/>
              </w:rPr>
            </w:pPr>
            <w:r>
              <w:rPr>
                <w:sz w:val="18"/>
              </w:rPr>
              <w:t>0</w:t>
            </w:r>
          </w:p>
        </w:tc>
      </w:tr>
      <w:tr w:rsidR="00141B97" w14:paraId="6BA2BF31" w14:textId="77777777">
        <w:trPr>
          <w:trHeight w:val="390"/>
        </w:trPr>
        <w:tc>
          <w:tcPr>
            <w:tcW w:w="397" w:type="dxa"/>
            <w:tcBorders>
              <w:top w:val="single" w:sz="4" w:space="0" w:color="FFFFFF"/>
              <w:left w:val="nil"/>
              <w:bottom w:val="single" w:sz="4" w:space="0" w:color="FFFFFF"/>
            </w:tcBorders>
            <w:shd w:val="clear" w:color="auto" w:fill="F1F1F1"/>
          </w:tcPr>
          <w:p w14:paraId="6780FE91" w14:textId="77777777" w:rsidR="00141B97" w:rsidRDefault="00911D63">
            <w:pPr>
              <w:pStyle w:val="TableParagraph"/>
              <w:ind w:left="95"/>
              <w:rPr>
                <w:sz w:val="16"/>
              </w:rPr>
            </w:pPr>
            <w:r>
              <w:rPr>
                <w:w w:val="99"/>
                <w:sz w:val="16"/>
              </w:rPr>
              <w:t>b</w:t>
            </w:r>
          </w:p>
        </w:tc>
        <w:tc>
          <w:tcPr>
            <w:tcW w:w="4710" w:type="dxa"/>
            <w:tcBorders>
              <w:top w:val="single" w:sz="4" w:space="0" w:color="FFFFFF"/>
              <w:bottom w:val="single" w:sz="4" w:space="0" w:color="FFFFFF"/>
            </w:tcBorders>
            <w:shd w:val="clear" w:color="auto" w:fill="F1F1F1"/>
          </w:tcPr>
          <w:p w14:paraId="5AB2F09F" w14:textId="77777777" w:rsidR="00141B97" w:rsidRDefault="00911D63">
            <w:pPr>
              <w:pStyle w:val="TableParagraph"/>
              <w:ind w:left="99"/>
              <w:rPr>
                <w:sz w:val="16"/>
              </w:rPr>
            </w:pPr>
            <w:r>
              <w:rPr>
                <w:sz w:val="16"/>
              </w:rPr>
              <w:t>Annual</w:t>
            </w:r>
            <w:r>
              <w:rPr>
                <w:spacing w:val="-7"/>
                <w:sz w:val="16"/>
              </w:rPr>
              <w:t xml:space="preserve"> </w:t>
            </w:r>
            <w:r>
              <w:rPr>
                <w:sz w:val="16"/>
              </w:rPr>
              <w:t>survey:</w:t>
            </w:r>
            <w:r>
              <w:rPr>
                <w:spacing w:val="-7"/>
                <w:sz w:val="16"/>
              </w:rPr>
              <w:t xml:space="preserve"> </w:t>
            </w:r>
            <w:r>
              <w:rPr>
                <w:sz w:val="16"/>
              </w:rPr>
              <w:t>Customers</w:t>
            </w:r>
            <w:r>
              <w:rPr>
                <w:spacing w:val="-6"/>
                <w:sz w:val="16"/>
              </w:rPr>
              <w:t xml:space="preserve"> </w:t>
            </w:r>
            <w:r>
              <w:rPr>
                <w:sz w:val="16"/>
              </w:rPr>
              <w:t>satisfied</w:t>
            </w:r>
            <w:r>
              <w:rPr>
                <w:spacing w:val="-7"/>
                <w:sz w:val="16"/>
              </w:rPr>
              <w:t xml:space="preserve"> </w:t>
            </w:r>
            <w:r>
              <w:rPr>
                <w:sz w:val="16"/>
              </w:rPr>
              <w:t>with</w:t>
            </w:r>
            <w:r>
              <w:rPr>
                <w:spacing w:val="-7"/>
                <w:sz w:val="16"/>
              </w:rPr>
              <w:t xml:space="preserve"> </w:t>
            </w:r>
            <w:r>
              <w:rPr>
                <w:sz w:val="16"/>
              </w:rPr>
              <w:t>water</w:t>
            </w:r>
            <w:r>
              <w:rPr>
                <w:spacing w:val="-7"/>
                <w:sz w:val="16"/>
              </w:rPr>
              <w:t xml:space="preserve"> </w:t>
            </w:r>
            <w:r>
              <w:rPr>
                <w:sz w:val="16"/>
              </w:rPr>
              <w:t>quality</w:t>
            </w:r>
            <w:r>
              <w:rPr>
                <w:spacing w:val="-7"/>
                <w:sz w:val="16"/>
              </w:rPr>
              <w:t xml:space="preserve"> </w:t>
            </w:r>
            <w:r>
              <w:rPr>
                <w:sz w:val="16"/>
              </w:rPr>
              <w:t>(rating</w:t>
            </w:r>
            <w:r>
              <w:rPr>
                <w:spacing w:val="-7"/>
                <w:sz w:val="16"/>
              </w:rPr>
              <w:t xml:space="preserve"> </w:t>
            </w:r>
            <w:r>
              <w:rPr>
                <w:spacing w:val="-5"/>
                <w:sz w:val="16"/>
              </w:rPr>
              <w:t>of</w:t>
            </w:r>
          </w:p>
          <w:p w14:paraId="1DC5DC7B" w14:textId="77777777" w:rsidR="00141B97" w:rsidRDefault="00911D63">
            <w:pPr>
              <w:pStyle w:val="TableParagraph"/>
              <w:spacing w:line="175" w:lineRule="exact"/>
              <w:ind w:left="99"/>
              <w:rPr>
                <w:sz w:val="16"/>
              </w:rPr>
            </w:pPr>
            <w:r>
              <w:rPr>
                <w:sz w:val="16"/>
              </w:rPr>
              <w:t>satisfied,</w:t>
            </w:r>
            <w:r>
              <w:rPr>
                <w:spacing w:val="-8"/>
                <w:sz w:val="16"/>
              </w:rPr>
              <w:t xml:space="preserve"> </w:t>
            </w:r>
            <w:r>
              <w:rPr>
                <w:sz w:val="16"/>
              </w:rPr>
              <w:t>very</w:t>
            </w:r>
            <w:r>
              <w:rPr>
                <w:spacing w:val="-6"/>
                <w:sz w:val="16"/>
              </w:rPr>
              <w:t xml:space="preserve"> </w:t>
            </w:r>
            <w:r>
              <w:rPr>
                <w:sz w:val="16"/>
              </w:rPr>
              <w:t>satisfied,</w:t>
            </w:r>
            <w:r>
              <w:rPr>
                <w:spacing w:val="-7"/>
                <w:sz w:val="16"/>
              </w:rPr>
              <w:t xml:space="preserve"> </w:t>
            </w:r>
            <w:r>
              <w:rPr>
                <w:sz w:val="16"/>
              </w:rPr>
              <w:t>and</w:t>
            </w:r>
            <w:r>
              <w:rPr>
                <w:spacing w:val="-7"/>
                <w:sz w:val="16"/>
              </w:rPr>
              <w:t xml:space="preserve"> </w:t>
            </w:r>
            <w:r>
              <w:rPr>
                <w:sz w:val="16"/>
              </w:rPr>
              <w:t>extremely</w:t>
            </w:r>
            <w:r>
              <w:rPr>
                <w:spacing w:val="-7"/>
                <w:sz w:val="16"/>
              </w:rPr>
              <w:t xml:space="preserve"> </w:t>
            </w:r>
            <w:r>
              <w:rPr>
                <w:spacing w:val="-2"/>
                <w:sz w:val="16"/>
              </w:rPr>
              <w:t>satisfied)</w:t>
            </w:r>
          </w:p>
        </w:tc>
        <w:tc>
          <w:tcPr>
            <w:tcW w:w="1121" w:type="dxa"/>
            <w:tcBorders>
              <w:top w:val="single" w:sz="4" w:space="0" w:color="FFFFFF"/>
              <w:bottom w:val="single" w:sz="4" w:space="0" w:color="FFFFFF"/>
              <w:right w:val="single" w:sz="4" w:space="0" w:color="FFFFFF"/>
            </w:tcBorders>
            <w:shd w:val="clear" w:color="auto" w:fill="F1F1F1"/>
          </w:tcPr>
          <w:p w14:paraId="4AA8108F" w14:textId="77777777" w:rsidR="00141B97" w:rsidRDefault="00911D63">
            <w:pPr>
              <w:pStyle w:val="TableParagraph"/>
              <w:ind w:left="99"/>
              <w:rPr>
                <w:sz w:val="16"/>
              </w:rPr>
            </w:pPr>
            <w:r>
              <w:rPr>
                <w:sz w:val="16"/>
              </w:rPr>
              <w:t>%</w:t>
            </w:r>
            <w:r>
              <w:rPr>
                <w:spacing w:val="-3"/>
                <w:sz w:val="16"/>
              </w:rPr>
              <w:t xml:space="preserve"> </w:t>
            </w:r>
            <w:r>
              <w:rPr>
                <w:spacing w:val="-2"/>
                <w:sz w:val="16"/>
              </w:rPr>
              <w:t>customers</w:t>
            </w:r>
          </w:p>
          <w:p w14:paraId="2C90086E" w14:textId="77777777" w:rsidR="00141B97" w:rsidRDefault="00911D63">
            <w:pPr>
              <w:pStyle w:val="TableParagraph"/>
              <w:spacing w:line="175" w:lineRule="exact"/>
              <w:ind w:left="99"/>
              <w:rPr>
                <w:sz w:val="16"/>
              </w:rPr>
            </w:pPr>
            <w:r>
              <w:rPr>
                <w:spacing w:val="-2"/>
                <w:sz w:val="16"/>
              </w:rPr>
              <w:t>surveyed</w:t>
            </w:r>
          </w:p>
        </w:tc>
        <w:tc>
          <w:tcPr>
            <w:tcW w:w="817" w:type="dxa"/>
            <w:tcBorders>
              <w:top w:val="single" w:sz="4" w:space="0" w:color="FFFFFF"/>
              <w:left w:val="single" w:sz="4" w:space="0" w:color="FFFFFF"/>
              <w:bottom w:val="single" w:sz="4" w:space="0" w:color="FFFFFF"/>
              <w:right w:val="nil"/>
            </w:tcBorders>
            <w:shd w:val="clear" w:color="auto" w:fill="00B04F"/>
          </w:tcPr>
          <w:p w14:paraId="2CA02C91" w14:textId="77777777" w:rsidR="00141B97" w:rsidRDefault="00911D63">
            <w:pPr>
              <w:pStyle w:val="TableParagraph"/>
              <w:spacing w:before="85"/>
              <w:ind w:left="141" w:right="141"/>
              <w:jc w:val="center"/>
              <w:rPr>
                <w:sz w:val="18"/>
              </w:rPr>
            </w:pPr>
            <w:r>
              <w:rPr>
                <w:spacing w:val="-5"/>
                <w:sz w:val="18"/>
              </w:rPr>
              <w:t>90%</w:t>
            </w:r>
          </w:p>
        </w:tc>
        <w:tc>
          <w:tcPr>
            <w:tcW w:w="903" w:type="dxa"/>
            <w:tcBorders>
              <w:top w:val="single" w:sz="4" w:space="0" w:color="FFFFFF"/>
              <w:left w:val="nil"/>
              <w:bottom w:val="single" w:sz="4" w:space="0" w:color="FFFFFF"/>
            </w:tcBorders>
            <w:shd w:val="clear" w:color="auto" w:fill="00B04F"/>
          </w:tcPr>
          <w:p w14:paraId="17DA90E4" w14:textId="77777777" w:rsidR="00141B97" w:rsidRDefault="00911D63">
            <w:pPr>
              <w:pStyle w:val="TableParagraph"/>
              <w:spacing w:before="85"/>
              <w:ind w:left="289"/>
              <w:rPr>
                <w:sz w:val="18"/>
              </w:rPr>
            </w:pPr>
            <w:r>
              <w:rPr>
                <w:spacing w:val="-5"/>
                <w:sz w:val="18"/>
              </w:rPr>
              <w:t>97%</w:t>
            </w:r>
          </w:p>
        </w:tc>
        <w:tc>
          <w:tcPr>
            <w:tcW w:w="831" w:type="dxa"/>
            <w:tcBorders>
              <w:top w:val="single" w:sz="4" w:space="0" w:color="FFFFFF"/>
              <w:bottom w:val="single" w:sz="4" w:space="0" w:color="FFFFFF"/>
              <w:right w:val="nil"/>
            </w:tcBorders>
            <w:shd w:val="clear" w:color="auto" w:fill="00B04F"/>
          </w:tcPr>
          <w:p w14:paraId="36F548FB" w14:textId="77777777" w:rsidR="00141B97" w:rsidRDefault="00911D63">
            <w:pPr>
              <w:pStyle w:val="TableParagraph"/>
              <w:spacing w:before="85"/>
              <w:ind w:left="90" w:right="89"/>
              <w:jc w:val="center"/>
              <w:rPr>
                <w:sz w:val="18"/>
              </w:rPr>
            </w:pPr>
            <w:r>
              <w:rPr>
                <w:spacing w:val="-5"/>
                <w:sz w:val="18"/>
              </w:rPr>
              <w:t>94%</w:t>
            </w:r>
          </w:p>
        </w:tc>
        <w:tc>
          <w:tcPr>
            <w:tcW w:w="840" w:type="dxa"/>
            <w:tcBorders>
              <w:top w:val="single" w:sz="4" w:space="0" w:color="FFFFFF"/>
              <w:left w:val="nil"/>
              <w:bottom w:val="single" w:sz="4" w:space="0" w:color="FFFFFF"/>
              <w:right w:val="nil"/>
            </w:tcBorders>
            <w:shd w:val="clear" w:color="auto" w:fill="00B04F"/>
          </w:tcPr>
          <w:p w14:paraId="7AFD89F7" w14:textId="77777777" w:rsidR="00141B97" w:rsidRDefault="00911D63">
            <w:pPr>
              <w:pStyle w:val="TableParagraph"/>
              <w:spacing w:before="85"/>
              <w:ind w:left="5"/>
              <w:jc w:val="center"/>
              <w:rPr>
                <w:sz w:val="18"/>
              </w:rPr>
            </w:pPr>
            <w:r>
              <w:rPr>
                <w:spacing w:val="-5"/>
                <w:sz w:val="18"/>
              </w:rPr>
              <w:t>96%</w:t>
            </w:r>
          </w:p>
        </w:tc>
      </w:tr>
      <w:tr w:rsidR="00141B97" w14:paraId="2C038618" w14:textId="77777777">
        <w:trPr>
          <w:trHeight w:val="217"/>
        </w:trPr>
        <w:tc>
          <w:tcPr>
            <w:tcW w:w="397" w:type="dxa"/>
            <w:tcBorders>
              <w:top w:val="single" w:sz="4" w:space="0" w:color="FFFFFF"/>
              <w:left w:val="nil"/>
            </w:tcBorders>
            <w:shd w:val="clear" w:color="auto" w:fill="F1F1F1"/>
          </w:tcPr>
          <w:p w14:paraId="5D8D9B62" w14:textId="77777777" w:rsidR="00141B97" w:rsidRDefault="00911D63">
            <w:pPr>
              <w:pStyle w:val="TableParagraph"/>
              <w:ind w:left="95"/>
              <w:rPr>
                <w:sz w:val="16"/>
              </w:rPr>
            </w:pPr>
            <w:r>
              <w:rPr>
                <w:w w:val="99"/>
                <w:sz w:val="16"/>
              </w:rPr>
              <w:t>c</w:t>
            </w:r>
          </w:p>
        </w:tc>
        <w:tc>
          <w:tcPr>
            <w:tcW w:w="4710" w:type="dxa"/>
            <w:tcBorders>
              <w:top w:val="single" w:sz="4" w:space="0" w:color="FFFFFF"/>
            </w:tcBorders>
            <w:shd w:val="clear" w:color="auto" w:fill="F1F1F1"/>
          </w:tcPr>
          <w:p w14:paraId="1C8EDDB0" w14:textId="77777777" w:rsidR="00141B97" w:rsidRDefault="00911D63">
            <w:pPr>
              <w:pStyle w:val="TableParagraph"/>
              <w:ind w:left="99"/>
              <w:rPr>
                <w:sz w:val="16"/>
              </w:rPr>
            </w:pPr>
            <w:r>
              <w:rPr>
                <w:sz w:val="16"/>
              </w:rPr>
              <w:t>Water</w:t>
            </w:r>
            <w:r>
              <w:rPr>
                <w:spacing w:val="-6"/>
                <w:sz w:val="16"/>
              </w:rPr>
              <w:t xml:space="preserve"> </w:t>
            </w:r>
            <w:r>
              <w:rPr>
                <w:sz w:val="16"/>
              </w:rPr>
              <w:t>quality</w:t>
            </w:r>
            <w:r>
              <w:rPr>
                <w:spacing w:val="-5"/>
                <w:sz w:val="16"/>
              </w:rPr>
              <w:t xml:space="preserve"> </w:t>
            </w:r>
            <w:r>
              <w:rPr>
                <w:spacing w:val="-2"/>
                <w:sz w:val="16"/>
              </w:rPr>
              <w:t>complaints</w:t>
            </w:r>
          </w:p>
        </w:tc>
        <w:tc>
          <w:tcPr>
            <w:tcW w:w="1121" w:type="dxa"/>
            <w:tcBorders>
              <w:top w:val="single" w:sz="4" w:space="0" w:color="FFFFFF"/>
              <w:right w:val="single" w:sz="4" w:space="0" w:color="FFFFFF"/>
            </w:tcBorders>
            <w:shd w:val="clear" w:color="auto" w:fill="F1F1F1"/>
          </w:tcPr>
          <w:p w14:paraId="2FDB6FAC"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right w:val="nil"/>
            </w:tcBorders>
            <w:shd w:val="clear" w:color="auto" w:fill="FF0000"/>
          </w:tcPr>
          <w:p w14:paraId="1057DEF2" w14:textId="77777777" w:rsidR="00141B97" w:rsidRDefault="00911D63">
            <w:pPr>
              <w:pStyle w:val="TableParagraph"/>
              <w:spacing w:line="197" w:lineRule="exact"/>
              <w:ind w:left="141" w:right="141"/>
              <w:jc w:val="center"/>
              <w:rPr>
                <w:sz w:val="18"/>
              </w:rPr>
            </w:pPr>
            <w:r>
              <w:rPr>
                <w:spacing w:val="-5"/>
                <w:sz w:val="18"/>
              </w:rPr>
              <w:t>56</w:t>
            </w:r>
          </w:p>
        </w:tc>
        <w:tc>
          <w:tcPr>
            <w:tcW w:w="903" w:type="dxa"/>
            <w:tcBorders>
              <w:top w:val="single" w:sz="4" w:space="0" w:color="FFFFFF"/>
              <w:left w:val="nil"/>
            </w:tcBorders>
            <w:shd w:val="clear" w:color="auto" w:fill="FF0000"/>
          </w:tcPr>
          <w:p w14:paraId="1610AC01" w14:textId="77777777" w:rsidR="00141B97" w:rsidRDefault="00911D63">
            <w:pPr>
              <w:pStyle w:val="TableParagraph"/>
              <w:spacing w:line="197" w:lineRule="exact"/>
              <w:ind w:left="298" w:right="298"/>
              <w:jc w:val="center"/>
              <w:rPr>
                <w:sz w:val="18"/>
              </w:rPr>
            </w:pPr>
            <w:r>
              <w:rPr>
                <w:spacing w:val="-5"/>
                <w:sz w:val="18"/>
              </w:rPr>
              <w:t>35</w:t>
            </w:r>
          </w:p>
        </w:tc>
        <w:tc>
          <w:tcPr>
            <w:tcW w:w="831" w:type="dxa"/>
            <w:tcBorders>
              <w:top w:val="single" w:sz="4" w:space="0" w:color="FFFFFF"/>
              <w:right w:val="nil"/>
            </w:tcBorders>
            <w:shd w:val="clear" w:color="auto" w:fill="FFC000"/>
          </w:tcPr>
          <w:p w14:paraId="18A35DC9" w14:textId="77777777" w:rsidR="00141B97" w:rsidRDefault="00911D63">
            <w:pPr>
              <w:pStyle w:val="TableParagraph"/>
              <w:spacing w:line="197" w:lineRule="exact"/>
              <w:ind w:left="90" w:right="89"/>
              <w:jc w:val="center"/>
              <w:rPr>
                <w:sz w:val="18"/>
              </w:rPr>
            </w:pPr>
            <w:r>
              <w:rPr>
                <w:spacing w:val="-5"/>
                <w:sz w:val="18"/>
              </w:rPr>
              <w:t>28</w:t>
            </w:r>
          </w:p>
        </w:tc>
        <w:tc>
          <w:tcPr>
            <w:tcW w:w="840" w:type="dxa"/>
            <w:tcBorders>
              <w:top w:val="single" w:sz="4" w:space="0" w:color="FFFFFF"/>
              <w:left w:val="nil"/>
              <w:right w:val="nil"/>
            </w:tcBorders>
            <w:shd w:val="clear" w:color="auto" w:fill="FFC000"/>
          </w:tcPr>
          <w:p w14:paraId="4E519D11" w14:textId="77777777" w:rsidR="00141B97" w:rsidRDefault="00911D63">
            <w:pPr>
              <w:pStyle w:val="TableParagraph"/>
              <w:spacing w:line="197" w:lineRule="exact"/>
              <w:ind w:left="5"/>
              <w:jc w:val="center"/>
              <w:rPr>
                <w:sz w:val="18"/>
              </w:rPr>
            </w:pPr>
            <w:r>
              <w:rPr>
                <w:spacing w:val="-5"/>
                <w:sz w:val="18"/>
              </w:rPr>
              <w:t>27</w:t>
            </w:r>
          </w:p>
        </w:tc>
      </w:tr>
      <w:tr w:rsidR="00141B97" w14:paraId="17EC5112" w14:textId="77777777">
        <w:trPr>
          <w:trHeight w:val="217"/>
        </w:trPr>
        <w:tc>
          <w:tcPr>
            <w:tcW w:w="397" w:type="dxa"/>
            <w:tcBorders>
              <w:left w:val="nil"/>
              <w:bottom w:val="single" w:sz="4" w:space="0" w:color="FFFFFF"/>
            </w:tcBorders>
            <w:shd w:val="clear" w:color="auto" w:fill="F1F1F1"/>
          </w:tcPr>
          <w:p w14:paraId="1E3C164C" w14:textId="77777777" w:rsidR="00141B97" w:rsidRDefault="00911D63">
            <w:pPr>
              <w:pStyle w:val="TableParagraph"/>
              <w:spacing w:line="192" w:lineRule="exact"/>
              <w:ind w:left="95"/>
              <w:rPr>
                <w:sz w:val="16"/>
              </w:rPr>
            </w:pPr>
            <w:r>
              <w:rPr>
                <w:w w:val="99"/>
                <w:sz w:val="16"/>
              </w:rPr>
              <w:t>d</w:t>
            </w:r>
          </w:p>
        </w:tc>
        <w:tc>
          <w:tcPr>
            <w:tcW w:w="4710" w:type="dxa"/>
            <w:tcBorders>
              <w:bottom w:val="single" w:sz="4" w:space="0" w:color="FFFFFF"/>
            </w:tcBorders>
            <w:shd w:val="clear" w:color="auto" w:fill="F1F1F1"/>
          </w:tcPr>
          <w:p w14:paraId="02301158" w14:textId="77777777" w:rsidR="00141B97" w:rsidRDefault="00911D63">
            <w:pPr>
              <w:pStyle w:val="TableParagraph"/>
              <w:spacing w:line="192" w:lineRule="exact"/>
              <w:ind w:left="99"/>
              <w:rPr>
                <w:sz w:val="16"/>
              </w:rPr>
            </w:pPr>
            <w:r>
              <w:rPr>
                <w:sz w:val="16"/>
              </w:rPr>
              <w:t>Boil</w:t>
            </w:r>
            <w:r>
              <w:rPr>
                <w:spacing w:val="-6"/>
                <w:sz w:val="16"/>
              </w:rPr>
              <w:t xml:space="preserve"> </w:t>
            </w:r>
            <w:r>
              <w:rPr>
                <w:sz w:val="16"/>
              </w:rPr>
              <w:t>Water</w:t>
            </w:r>
            <w:r>
              <w:rPr>
                <w:spacing w:val="-5"/>
                <w:sz w:val="16"/>
              </w:rPr>
              <w:t xml:space="preserve"> </w:t>
            </w:r>
            <w:r>
              <w:rPr>
                <w:sz w:val="16"/>
              </w:rPr>
              <w:t>Notices</w:t>
            </w:r>
            <w:r>
              <w:rPr>
                <w:spacing w:val="-5"/>
                <w:sz w:val="16"/>
              </w:rPr>
              <w:t xml:space="preserve"> </w:t>
            </w:r>
            <w:r>
              <w:rPr>
                <w:spacing w:val="-2"/>
                <w:sz w:val="16"/>
              </w:rPr>
              <w:t>issued</w:t>
            </w:r>
          </w:p>
        </w:tc>
        <w:tc>
          <w:tcPr>
            <w:tcW w:w="1121" w:type="dxa"/>
            <w:tcBorders>
              <w:bottom w:val="single" w:sz="4" w:space="0" w:color="FFFFFF"/>
              <w:right w:val="single" w:sz="4" w:space="0" w:color="FFFFFF"/>
            </w:tcBorders>
            <w:shd w:val="clear" w:color="auto" w:fill="F1F1F1"/>
          </w:tcPr>
          <w:p w14:paraId="09160522" w14:textId="77777777" w:rsidR="00141B97" w:rsidRDefault="00911D63">
            <w:pPr>
              <w:pStyle w:val="TableParagraph"/>
              <w:spacing w:line="192" w:lineRule="exact"/>
              <w:ind w:left="99"/>
              <w:rPr>
                <w:sz w:val="16"/>
              </w:rPr>
            </w:pPr>
            <w:r>
              <w:rPr>
                <w:spacing w:val="-2"/>
                <w:sz w:val="16"/>
              </w:rPr>
              <w:t>Number</w:t>
            </w:r>
          </w:p>
        </w:tc>
        <w:tc>
          <w:tcPr>
            <w:tcW w:w="817" w:type="dxa"/>
            <w:tcBorders>
              <w:left w:val="single" w:sz="4" w:space="0" w:color="FFFFFF"/>
              <w:bottom w:val="single" w:sz="4" w:space="0" w:color="FFFFFF"/>
              <w:right w:val="nil"/>
            </w:tcBorders>
            <w:shd w:val="clear" w:color="auto" w:fill="00B04F"/>
          </w:tcPr>
          <w:p w14:paraId="2CCFAA9E" w14:textId="77777777" w:rsidR="00141B97" w:rsidRDefault="00911D63">
            <w:pPr>
              <w:pStyle w:val="TableParagraph"/>
              <w:spacing w:line="197" w:lineRule="exact"/>
              <w:jc w:val="center"/>
              <w:rPr>
                <w:sz w:val="18"/>
              </w:rPr>
            </w:pPr>
            <w:r>
              <w:rPr>
                <w:sz w:val="18"/>
              </w:rPr>
              <w:t>0</w:t>
            </w:r>
          </w:p>
        </w:tc>
        <w:tc>
          <w:tcPr>
            <w:tcW w:w="903" w:type="dxa"/>
            <w:tcBorders>
              <w:left w:val="nil"/>
              <w:bottom w:val="single" w:sz="4" w:space="0" w:color="FFFFFF"/>
            </w:tcBorders>
            <w:shd w:val="clear" w:color="auto" w:fill="FF0000"/>
          </w:tcPr>
          <w:p w14:paraId="35D141E3" w14:textId="77777777" w:rsidR="00141B97" w:rsidRDefault="00911D63">
            <w:pPr>
              <w:pStyle w:val="TableParagraph"/>
              <w:spacing w:line="197" w:lineRule="exact"/>
              <w:jc w:val="center"/>
              <w:rPr>
                <w:sz w:val="18"/>
              </w:rPr>
            </w:pPr>
            <w:r>
              <w:rPr>
                <w:sz w:val="18"/>
              </w:rPr>
              <w:t>1</w:t>
            </w:r>
          </w:p>
        </w:tc>
        <w:tc>
          <w:tcPr>
            <w:tcW w:w="831" w:type="dxa"/>
            <w:tcBorders>
              <w:bottom w:val="single" w:sz="4" w:space="0" w:color="FFFFFF"/>
              <w:right w:val="nil"/>
            </w:tcBorders>
            <w:shd w:val="clear" w:color="auto" w:fill="00B04F"/>
          </w:tcPr>
          <w:p w14:paraId="37D96B88" w14:textId="77777777" w:rsidR="00141B97" w:rsidRDefault="00911D63">
            <w:pPr>
              <w:pStyle w:val="TableParagraph"/>
              <w:spacing w:line="197" w:lineRule="exact"/>
              <w:ind w:left="1"/>
              <w:jc w:val="center"/>
              <w:rPr>
                <w:sz w:val="18"/>
              </w:rPr>
            </w:pPr>
            <w:r>
              <w:rPr>
                <w:sz w:val="18"/>
              </w:rPr>
              <w:t>0</w:t>
            </w:r>
          </w:p>
        </w:tc>
        <w:tc>
          <w:tcPr>
            <w:tcW w:w="840" w:type="dxa"/>
            <w:tcBorders>
              <w:left w:val="nil"/>
              <w:bottom w:val="single" w:sz="4" w:space="0" w:color="FFFFFF"/>
              <w:right w:val="nil"/>
            </w:tcBorders>
            <w:shd w:val="clear" w:color="auto" w:fill="00B04F"/>
          </w:tcPr>
          <w:p w14:paraId="2AFF1C45" w14:textId="77777777" w:rsidR="00141B97" w:rsidRDefault="00911D63">
            <w:pPr>
              <w:pStyle w:val="TableParagraph"/>
              <w:spacing w:line="197" w:lineRule="exact"/>
              <w:ind w:left="5"/>
              <w:jc w:val="center"/>
              <w:rPr>
                <w:sz w:val="18"/>
              </w:rPr>
            </w:pPr>
            <w:r>
              <w:rPr>
                <w:sz w:val="18"/>
              </w:rPr>
              <w:t>0</w:t>
            </w:r>
          </w:p>
        </w:tc>
      </w:tr>
      <w:tr w:rsidR="00141B97" w14:paraId="4369FE25" w14:textId="77777777">
        <w:trPr>
          <w:trHeight w:val="219"/>
        </w:trPr>
        <w:tc>
          <w:tcPr>
            <w:tcW w:w="397" w:type="dxa"/>
            <w:tcBorders>
              <w:top w:val="single" w:sz="4" w:space="0" w:color="FFFFFF"/>
              <w:left w:val="nil"/>
              <w:bottom w:val="single" w:sz="4" w:space="0" w:color="FFFFFF"/>
            </w:tcBorders>
            <w:shd w:val="clear" w:color="auto" w:fill="F1F1F1"/>
          </w:tcPr>
          <w:p w14:paraId="5FEED663" w14:textId="77777777" w:rsidR="00141B97" w:rsidRDefault="00911D63">
            <w:pPr>
              <w:pStyle w:val="TableParagraph"/>
              <w:ind w:left="95"/>
              <w:rPr>
                <w:sz w:val="16"/>
              </w:rPr>
            </w:pPr>
            <w:r>
              <w:rPr>
                <w:w w:val="99"/>
                <w:sz w:val="16"/>
              </w:rPr>
              <w:t>e</w:t>
            </w:r>
          </w:p>
        </w:tc>
        <w:tc>
          <w:tcPr>
            <w:tcW w:w="4710" w:type="dxa"/>
            <w:tcBorders>
              <w:top w:val="single" w:sz="4" w:space="0" w:color="FFFFFF"/>
              <w:bottom w:val="single" w:sz="4" w:space="0" w:color="FFFFFF"/>
            </w:tcBorders>
            <w:shd w:val="clear" w:color="auto" w:fill="F1F1F1"/>
          </w:tcPr>
          <w:p w14:paraId="68A36C4E" w14:textId="77777777" w:rsidR="00141B97" w:rsidRDefault="00911D63">
            <w:pPr>
              <w:pStyle w:val="TableParagraph"/>
              <w:ind w:left="99"/>
              <w:rPr>
                <w:sz w:val="16"/>
              </w:rPr>
            </w:pPr>
            <w:r>
              <w:rPr>
                <w:sz w:val="16"/>
              </w:rPr>
              <w:t>Customers</w:t>
            </w:r>
            <w:r>
              <w:rPr>
                <w:spacing w:val="-6"/>
                <w:sz w:val="16"/>
              </w:rPr>
              <w:t xml:space="preserve"> </w:t>
            </w:r>
            <w:r>
              <w:rPr>
                <w:sz w:val="16"/>
              </w:rPr>
              <w:t>experiencing</w:t>
            </w:r>
            <w:r>
              <w:rPr>
                <w:spacing w:val="-6"/>
                <w:sz w:val="16"/>
              </w:rPr>
              <w:t xml:space="preserve"> </w:t>
            </w:r>
            <w:r>
              <w:rPr>
                <w:sz w:val="16"/>
              </w:rPr>
              <w:t>&gt;</w:t>
            </w:r>
            <w:r>
              <w:rPr>
                <w:spacing w:val="-7"/>
                <w:sz w:val="16"/>
              </w:rPr>
              <w:t xml:space="preserve"> </w:t>
            </w:r>
            <w:r>
              <w:rPr>
                <w:sz w:val="16"/>
              </w:rPr>
              <w:t>5</w:t>
            </w:r>
            <w:r>
              <w:rPr>
                <w:spacing w:val="-6"/>
                <w:sz w:val="16"/>
              </w:rPr>
              <w:t xml:space="preserve"> </w:t>
            </w:r>
            <w:r>
              <w:rPr>
                <w:sz w:val="16"/>
              </w:rPr>
              <w:t>unplanned</w:t>
            </w:r>
            <w:r>
              <w:rPr>
                <w:spacing w:val="-7"/>
                <w:sz w:val="16"/>
              </w:rPr>
              <w:t xml:space="preserve"> </w:t>
            </w:r>
            <w:r>
              <w:rPr>
                <w:sz w:val="16"/>
              </w:rPr>
              <w:t>water</w:t>
            </w:r>
            <w:r>
              <w:rPr>
                <w:spacing w:val="-7"/>
                <w:sz w:val="16"/>
              </w:rPr>
              <w:t xml:space="preserve"> </w:t>
            </w:r>
            <w:r>
              <w:rPr>
                <w:sz w:val="16"/>
              </w:rPr>
              <w:t>supply</w:t>
            </w:r>
            <w:r>
              <w:rPr>
                <w:spacing w:val="-6"/>
                <w:sz w:val="16"/>
              </w:rPr>
              <w:t xml:space="preserve"> </w:t>
            </w:r>
            <w:r>
              <w:rPr>
                <w:spacing w:val="-2"/>
                <w:sz w:val="16"/>
              </w:rPr>
              <w:t>interruptions</w:t>
            </w:r>
          </w:p>
        </w:tc>
        <w:tc>
          <w:tcPr>
            <w:tcW w:w="1121" w:type="dxa"/>
            <w:tcBorders>
              <w:top w:val="single" w:sz="4" w:space="0" w:color="FFFFFF"/>
              <w:bottom w:val="single" w:sz="4" w:space="0" w:color="FFFFFF"/>
              <w:right w:val="single" w:sz="4" w:space="0" w:color="FFFFFF"/>
            </w:tcBorders>
            <w:shd w:val="clear" w:color="auto" w:fill="F1F1F1"/>
          </w:tcPr>
          <w:p w14:paraId="607ECC18"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FF0000"/>
          </w:tcPr>
          <w:p w14:paraId="7B6893CD" w14:textId="77777777" w:rsidR="00141B97" w:rsidRDefault="00911D63">
            <w:pPr>
              <w:pStyle w:val="TableParagraph"/>
              <w:spacing w:line="199" w:lineRule="exact"/>
              <w:ind w:left="141" w:right="141"/>
              <w:jc w:val="center"/>
              <w:rPr>
                <w:sz w:val="18"/>
              </w:rPr>
            </w:pPr>
            <w:r>
              <w:rPr>
                <w:spacing w:val="-5"/>
                <w:sz w:val="18"/>
              </w:rPr>
              <w:t>46</w:t>
            </w:r>
          </w:p>
        </w:tc>
        <w:tc>
          <w:tcPr>
            <w:tcW w:w="903" w:type="dxa"/>
            <w:tcBorders>
              <w:top w:val="single" w:sz="4" w:space="0" w:color="FFFFFF"/>
              <w:left w:val="nil"/>
              <w:bottom w:val="single" w:sz="4" w:space="0" w:color="FFFFFF"/>
            </w:tcBorders>
            <w:shd w:val="clear" w:color="auto" w:fill="00B04F"/>
          </w:tcPr>
          <w:p w14:paraId="75FB0C91" w14:textId="77777777" w:rsidR="00141B97" w:rsidRDefault="00911D63">
            <w:pPr>
              <w:pStyle w:val="TableParagraph"/>
              <w:spacing w:line="199" w:lineRule="exact"/>
              <w:jc w:val="center"/>
              <w:rPr>
                <w:sz w:val="18"/>
              </w:rPr>
            </w:pPr>
            <w:r>
              <w:rPr>
                <w:sz w:val="18"/>
              </w:rPr>
              <w:t>0</w:t>
            </w:r>
          </w:p>
        </w:tc>
        <w:tc>
          <w:tcPr>
            <w:tcW w:w="831" w:type="dxa"/>
            <w:tcBorders>
              <w:top w:val="single" w:sz="4" w:space="0" w:color="FFFFFF"/>
              <w:bottom w:val="single" w:sz="4" w:space="0" w:color="FFFFFF"/>
              <w:right w:val="nil"/>
            </w:tcBorders>
            <w:shd w:val="clear" w:color="auto" w:fill="00B04F"/>
          </w:tcPr>
          <w:p w14:paraId="3B1E0280" w14:textId="77777777" w:rsidR="00141B97" w:rsidRDefault="00911D63">
            <w:pPr>
              <w:pStyle w:val="TableParagraph"/>
              <w:spacing w:line="199" w:lineRule="exact"/>
              <w:ind w:left="1"/>
              <w:jc w:val="center"/>
              <w:rPr>
                <w:sz w:val="18"/>
              </w:rPr>
            </w:pPr>
            <w:r>
              <w:rPr>
                <w:sz w:val="18"/>
              </w:rPr>
              <w:t>0</w:t>
            </w:r>
          </w:p>
        </w:tc>
        <w:tc>
          <w:tcPr>
            <w:tcW w:w="840" w:type="dxa"/>
            <w:tcBorders>
              <w:top w:val="single" w:sz="4" w:space="0" w:color="FFFFFF"/>
              <w:left w:val="nil"/>
              <w:bottom w:val="single" w:sz="4" w:space="0" w:color="FFFFFF"/>
              <w:right w:val="nil"/>
            </w:tcBorders>
          </w:tcPr>
          <w:p w14:paraId="0952AAAA" w14:textId="77777777" w:rsidR="00141B97" w:rsidRDefault="00911D63">
            <w:pPr>
              <w:pStyle w:val="TableParagraph"/>
              <w:tabs>
                <w:tab w:val="left" w:pos="331"/>
                <w:tab w:val="left" w:pos="840"/>
              </w:tabs>
              <w:spacing w:line="199" w:lineRule="exact"/>
              <w:ind w:left="5" w:right="-15"/>
              <w:jc w:val="center"/>
              <w:rPr>
                <w:sz w:val="18"/>
              </w:rPr>
            </w:pPr>
            <w:r>
              <w:rPr>
                <w:rFonts w:ascii="Times New Roman"/>
                <w:color w:val="000000"/>
                <w:sz w:val="18"/>
                <w:shd w:val="clear" w:color="auto" w:fill="FF0000"/>
              </w:rPr>
              <w:tab/>
            </w:r>
            <w:r>
              <w:rPr>
                <w:color w:val="000000"/>
                <w:spacing w:val="-5"/>
                <w:sz w:val="18"/>
                <w:shd w:val="clear" w:color="auto" w:fill="FF0000"/>
              </w:rPr>
              <w:t>12</w:t>
            </w:r>
            <w:r>
              <w:rPr>
                <w:color w:val="000000"/>
                <w:sz w:val="18"/>
                <w:shd w:val="clear" w:color="auto" w:fill="FF0000"/>
              </w:rPr>
              <w:tab/>
            </w:r>
          </w:p>
        </w:tc>
      </w:tr>
      <w:tr w:rsidR="00141B97" w14:paraId="7C956651" w14:textId="77777777">
        <w:trPr>
          <w:trHeight w:val="390"/>
        </w:trPr>
        <w:tc>
          <w:tcPr>
            <w:tcW w:w="397" w:type="dxa"/>
            <w:tcBorders>
              <w:top w:val="single" w:sz="4" w:space="0" w:color="FFFFFF"/>
              <w:left w:val="nil"/>
              <w:bottom w:val="single" w:sz="4" w:space="0" w:color="FFFFFF"/>
            </w:tcBorders>
            <w:shd w:val="clear" w:color="auto" w:fill="F1F1F1"/>
          </w:tcPr>
          <w:p w14:paraId="5447A8BB" w14:textId="77777777" w:rsidR="00141B97" w:rsidRDefault="00911D63">
            <w:pPr>
              <w:pStyle w:val="TableParagraph"/>
              <w:ind w:left="95"/>
              <w:rPr>
                <w:sz w:val="16"/>
              </w:rPr>
            </w:pPr>
            <w:r>
              <w:rPr>
                <w:w w:val="99"/>
                <w:sz w:val="16"/>
              </w:rPr>
              <w:t>f</w:t>
            </w:r>
          </w:p>
        </w:tc>
        <w:tc>
          <w:tcPr>
            <w:tcW w:w="4710" w:type="dxa"/>
            <w:tcBorders>
              <w:top w:val="single" w:sz="4" w:space="0" w:color="FFFFFF"/>
              <w:bottom w:val="single" w:sz="4" w:space="0" w:color="FFFFFF"/>
            </w:tcBorders>
            <w:shd w:val="clear" w:color="auto" w:fill="F1F1F1"/>
          </w:tcPr>
          <w:p w14:paraId="5C20FF39" w14:textId="77777777" w:rsidR="00141B97" w:rsidRDefault="00911D63">
            <w:pPr>
              <w:pStyle w:val="TableParagraph"/>
              <w:ind w:left="99"/>
              <w:rPr>
                <w:sz w:val="16"/>
              </w:rPr>
            </w:pPr>
            <w:r>
              <w:rPr>
                <w:sz w:val="16"/>
              </w:rPr>
              <w:t>Unplanned</w:t>
            </w:r>
            <w:r>
              <w:rPr>
                <w:spacing w:val="-6"/>
                <w:sz w:val="16"/>
              </w:rPr>
              <w:t xml:space="preserve"> </w:t>
            </w:r>
            <w:r>
              <w:rPr>
                <w:sz w:val="16"/>
              </w:rPr>
              <w:t>water</w:t>
            </w:r>
            <w:r>
              <w:rPr>
                <w:spacing w:val="-4"/>
                <w:sz w:val="16"/>
              </w:rPr>
              <w:t xml:space="preserve"> </w:t>
            </w:r>
            <w:r>
              <w:rPr>
                <w:sz w:val="16"/>
              </w:rPr>
              <w:t>supply</w:t>
            </w:r>
            <w:r>
              <w:rPr>
                <w:spacing w:val="-4"/>
                <w:sz w:val="16"/>
              </w:rPr>
              <w:t xml:space="preserve"> </w:t>
            </w:r>
            <w:r>
              <w:rPr>
                <w:spacing w:val="-2"/>
                <w:sz w:val="16"/>
              </w:rPr>
              <w:t>interruptions</w:t>
            </w:r>
          </w:p>
        </w:tc>
        <w:tc>
          <w:tcPr>
            <w:tcW w:w="1121" w:type="dxa"/>
            <w:tcBorders>
              <w:top w:val="single" w:sz="4" w:space="0" w:color="FFFFFF"/>
              <w:bottom w:val="single" w:sz="4" w:space="0" w:color="FFFFFF"/>
              <w:right w:val="single" w:sz="4" w:space="0" w:color="FFFFFF"/>
            </w:tcBorders>
            <w:shd w:val="clear" w:color="auto" w:fill="F1F1F1"/>
          </w:tcPr>
          <w:p w14:paraId="78EC201F" w14:textId="77777777" w:rsidR="00141B97" w:rsidRDefault="00911D63">
            <w:pPr>
              <w:pStyle w:val="TableParagraph"/>
              <w:ind w:left="99"/>
              <w:rPr>
                <w:sz w:val="16"/>
              </w:rPr>
            </w:pPr>
            <w:r>
              <w:rPr>
                <w:sz w:val="16"/>
              </w:rPr>
              <w:t>Number</w:t>
            </w:r>
            <w:r>
              <w:rPr>
                <w:spacing w:val="-7"/>
                <w:sz w:val="16"/>
              </w:rPr>
              <w:t xml:space="preserve"> </w:t>
            </w:r>
            <w:r>
              <w:rPr>
                <w:spacing w:val="-5"/>
                <w:sz w:val="16"/>
              </w:rPr>
              <w:t>per</w:t>
            </w:r>
          </w:p>
          <w:p w14:paraId="15992D1E" w14:textId="77777777" w:rsidR="00141B97" w:rsidRDefault="00911D63">
            <w:pPr>
              <w:pStyle w:val="TableParagraph"/>
              <w:spacing w:line="175" w:lineRule="exact"/>
              <w:ind w:left="99"/>
              <w:rPr>
                <w:sz w:val="16"/>
              </w:rPr>
            </w:pPr>
            <w:r>
              <w:rPr>
                <w:sz w:val="16"/>
              </w:rPr>
              <w:t>100</w:t>
            </w:r>
            <w:r>
              <w:rPr>
                <w:spacing w:val="-5"/>
                <w:sz w:val="16"/>
              </w:rPr>
              <w:t xml:space="preserve"> km</w:t>
            </w:r>
          </w:p>
        </w:tc>
        <w:tc>
          <w:tcPr>
            <w:tcW w:w="817" w:type="dxa"/>
            <w:tcBorders>
              <w:top w:val="single" w:sz="4" w:space="0" w:color="FFFFFF"/>
              <w:left w:val="single" w:sz="4" w:space="0" w:color="FFFFFF"/>
              <w:bottom w:val="single" w:sz="4" w:space="0" w:color="FFFFFF"/>
              <w:right w:val="nil"/>
            </w:tcBorders>
            <w:shd w:val="clear" w:color="auto" w:fill="00B04F"/>
          </w:tcPr>
          <w:p w14:paraId="30648216" w14:textId="77777777" w:rsidR="00141B97" w:rsidRDefault="00911D63">
            <w:pPr>
              <w:pStyle w:val="TableParagraph"/>
              <w:spacing w:before="86"/>
              <w:ind w:left="141" w:right="141"/>
              <w:jc w:val="center"/>
              <w:rPr>
                <w:sz w:val="18"/>
              </w:rPr>
            </w:pPr>
            <w:r>
              <w:rPr>
                <w:spacing w:val="-2"/>
                <w:sz w:val="18"/>
              </w:rPr>
              <w:t>20.39</w:t>
            </w:r>
          </w:p>
        </w:tc>
        <w:tc>
          <w:tcPr>
            <w:tcW w:w="903" w:type="dxa"/>
            <w:tcBorders>
              <w:top w:val="single" w:sz="4" w:space="0" w:color="FFFFFF"/>
              <w:left w:val="nil"/>
              <w:bottom w:val="single" w:sz="4" w:space="0" w:color="FFFFFF"/>
            </w:tcBorders>
            <w:shd w:val="clear" w:color="auto" w:fill="00B04F"/>
          </w:tcPr>
          <w:p w14:paraId="1ADF4396" w14:textId="77777777" w:rsidR="00141B97" w:rsidRDefault="00911D63">
            <w:pPr>
              <w:pStyle w:val="TableParagraph"/>
              <w:spacing w:before="86"/>
              <w:ind w:right="236"/>
              <w:jc w:val="right"/>
              <w:rPr>
                <w:sz w:val="18"/>
              </w:rPr>
            </w:pPr>
            <w:r>
              <w:rPr>
                <w:spacing w:val="-2"/>
                <w:sz w:val="18"/>
              </w:rPr>
              <w:t>15.17</w:t>
            </w:r>
          </w:p>
        </w:tc>
        <w:tc>
          <w:tcPr>
            <w:tcW w:w="831" w:type="dxa"/>
            <w:tcBorders>
              <w:top w:val="single" w:sz="4" w:space="0" w:color="FFFFFF"/>
              <w:bottom w:val="single" w:sz="4" w:space="0" w:color="FFFFFF"/>
              <w:right w:val="nil"/>
            </w:tcBorders>
            <w:shd w:val="clear" w:color="auto" w:fill="00B04F"/>
          </w:tcPr>
          <w:p w14:paraId="023090D0" w14:textId="77777777" w:rsidR="00141B97" w:rsidRDefault="00911D63">
            <w:pPr>
              <w:pStyle w:val="TableParagraph"/>
              <w:spacing w:before="86"/>
              <w:ind w:left="90" w:right="88"/>
              <w:jc w:val="center"/>
              <w:rPr>
                <w:sz w:val="18"/>
              </w:rPr>
            </w:pPr>
            <w:r>
              <w:rPr>
                <w:spacing w:val="-2"/>
                <w:sz w:val="18"/>
              </w:rPr>
              <w:t>15.00</w:t>
            </w:r>
          </w:p>
        </w:tc>
        <w:tc>
          <w:tcPr>
            <w:tcW w:w="840" w:type="dxa"/>
            <w:tcBorders>
              <w:top w:val="single" w:sz="4" w:space="0" w:color="FFFFFF"/>
              <w:left w:val="nil"/>
              <w:bottom w:val="single" w:sz="4" w:space="0" w:color="FFFFFF"/>
              <w:right w:val="nil"/>
            </w:tcBorders>
            <w:shd w:val="clear" w:color="auto" w:fill="00B04F"/>
          </w:tcPr>
          <w:p w14:paraId="1C301B56" w14:textId="77777777" w:rsidR="00141B97" w:rsidRDefault="00911D63">
            <w:pPr>
              <w:pStyle w:val="TableParagraph"/>
              <w:spacing w:before="86"/>
              <w:ind w:left="5" w:right="1"/>
              <w:jc w:val="center"/>
              <w:rPr>
                <w:sz w:val="18"/>
              </w:rPr>
            </w:pPr>
            <w:r>
              <w:rPr>
                <w:spacing w:val="-2"/>
                <w:sz w:val="18"/>
              </w:rPr>
              <w:t>14.90</w:t>
            </w:r>
          </w:p>
        </w:tc>
      </w:tr>
      <w:tr w:rsidR="00141B97" w14:paraId="5D0AB502" w14:textId="77777777">
        <w:trPr>
          <w:trHeight w:val="217"/>
        </w:trPr>
        <w:tc>
          <w:tcPr>
            <w:tcW w:w="6228" w:type="dxa"/>
            <w:gridSpan w:val="3"/>
            <w:tcBorders>
              <w:top w:val="single" w:sz="4" w:space="0" w:color="FFFFFF"/>
              <w:left w:val="nil"/>
              <w:right w:val="single" w:sz="4" w:space="0" w:color="FFFFFF"/>
            </w:tcBorders>
            <w:shd w:val="clear" w:color="auto" w:fill="D0CECE"/>
          </w:tcPr>
          <w:p w14:paraId="0A832B7D" w14:textId="77777777" w:rsidR="00141B97" w:rsidRDefault="00911D63">
            <w:pPr>
              <w:pStyle w:val="TableParagraph"/>
              <w:spacing w:line="197" w:lineRule="exact"/>
              <w:ind w:left="98"/>
              <w:rPr>
                <w:sz w:val="18"/>
              </w:rPr>
            </w:pPr>
            <w:r>
              <w:rPr>
                <w:sz w:val="18"/>
              </w:rPr>
              <w:t>#</w:t>
            </w:r>
            <w:r>
              <w:rPr>
                <w:spacing w:val="-1"/>
                <w:sz w:val="18"/>
              </w:rPr>
              <w:t xml:space="preserve"> </w:t>
            </w:r>
            <w:r>
              <w:rPr>
                <w:sz w:val="18"/>
              </w:rPr>
              <w:t>4: Provide</w:t>
            </w:r>
            <w:r>
              <w:rPr>
                <w:spacing w:val="-1"/>
                <w:sz w:val="18"/>
              </w:rPr>
              <w:t xml:space="preserve"> </w:t>
            </w:r>
            <w:r>
              <w:rPr>
                <w:sz w:val="18"/>
              </w:rPr>
              <w:t>me</w:t>
            </w:r>
            <w:r>
              <w:rPr>
                <w:spacing w:val="-2"/>
                <w:sz w:val="18"/>
              </w:rPr>
              <w:t xml:space="preserve"> </w:t>
            </w:r>
            <w:r>
              <w:rPr>
                <w:sz w:val="18"/>
              </w:rPr>
              <w:t>with reliable</w:t>
            </w:r>
            <w:r>
              <w:rPr>
                <w:spacing w:val="-1"/>
                <w:sz w:val="18"/>
              </w:rPr>
              <w:t xml:space="preserve"> </w:t>
            </w:r>
            <w:r>
              <w:rPr>
                <w:sz w:val="18"/>
              </w:rPr>
              <w:t>sewerage</w:t>
            </w:r>
            <w:r>
              <w:rPr>
                <w:spacing w:val="-1"/>
                <w:sz w:val="18"/>
              </w:rPr>
              <w:t xml:space="preserve"> </w:t>
            </w:r>
            <w:r>
              <w:rPr>
                <w:spacing w:val="-2"/>
                <w:sz w:val="18"/>
              </w:rPr>
              <w:t>services</w:t>
            </w:r>
          </w:p>
        </w:tc>
        <w:tc>
          <w:tcPr>
            <w:tcW w:w="1720" w:type="dxa"/>
            <w:gridSpan w:val="2"/>
            <w:tcBorders>
              <w:top w:val="single" w:sz="4" w:space="0" w:color="FFFFFF"/>
              <w:left w:val="single" w:sz="4" w:space="0" w:color="FFFFFF"/>
            </w:tcBorders>
            <w:shd w:val="clear" w:color="auto" w:fill="00B04F"/>
          </w:tcPr>
          <w:p w14:paraId="652809D6" w14:textId="77777777" w:rsidR="00141B97" w:rsidRDefault="00141B97">
            <w:pPr>
              <w:pStyle w:val="TableParagraph"/>
              <w:rPr>
                <w:rFonts w:ascii="Times New Roman"/>
                <w:sz w:val="14"/>
              </w:rPr>
            </w:pPr>
          </w:p>
        </w:tc>
        <w:tc>
          <w:tcPr>
            <w:tcW w:w="1671" w:type="dxa"/>
            <w:gridSpan w:val="2"/>
            <w:tcBorders>
              <w:top w:val="single" w:sz="4" w:space="0" w:color="FFFFFF"/>
              <w:right w:val="nil"/>
            </w:tcBorders>
            <w:shd w:val="clear" w:color="auto" w:fill="00B04F"/>
          </w:tcPr>
          <w:p w14:paraId="4C0E561F" w14:textId="77777777" w:rsidR="00141B97" w:rsidRDefault="00141B97">
            <w:pPr>
              <w:pStyle w:val="TableParagraph"/>
              <w:rPr>
                <w:rFonts w:ascii="Times New Roman"/>
                <w:sz w:val="14"/>
              </w:rPr>
            </w:pPr>
          </w:p>
        </w:tc>
      </w:tr>
      <w:tr w:rsidR="00141B97" w14:paraId="149C972F" w14:textId="77777777">
        <w:trPr>
          <w:trHeight w:val="385"/>
        </w:trPr>
        <w:tc>
          <w:tcPr>
            <w:tcW w:w="397" w:type="dxa"/>
            <w:tcBorders>
              <w:left w:val="nil"/>
            </w:tcBorders>
            <w:shd w:val="clear" w:color="auto" w:fill="F1F1F1"/>
          </w:tcPr>
          <w:p w14:paraId="7ECEEE15" w14:textId="77777777" w:rsidR="00141B97" w:rsidRDefault="00911D63">
            <w:pPr>
              <w:pStyle w:val="TableParagraph"/>
              <w:spacing w:line="193" w:lineRule="exact"/>
              <w:ind w:left="95"/>
              <w:rPr>
                <w:sz w:val="16"/>
              </w:rPr>
            </w:pPr>
            <w:r>
              <w:rPr>
                <w:w w:val="99"/>
                <w:sz w:val="16"/>
              </w:rPr>
              <w:t>a</w:t>
            </w:r>
          </w:p>
        </w:tc>
        <w:tc>
          <w:tcPr>
            <w:tcW w:w="4710" w:type="dxa"/>
            <w:shd w:val="clear" w:color="auto" w:fill="F1F1F1"/>
          </w:tcPr>
          <w:p w14:paraId="63908C18" w14:textId="77777777" w:rsidR="00141B97" w:rsidRDefault="00911D63">
            <w:pPr>
              <w:pStyle w:val="TableParagraph"/>
              <w:spacing w:line="193" w:lineRule="exact"/>
              <w:ind w:left="99"/>
              <w:rPr>
                <w:sz w:val="16"/>
              </w:rPr>
            </w:pPr>
            <w:r>
              <w:rPr>
                <w:sz w:val="16"/>
              </w:rPr>
              <w:t>Sewerage</w:t>
            </w:r>
            <w:r>
              <w:rPr>
                <w:spacing w:val="-7"/>
                <w:sz w:val="16"/>
              </w:rPr>
              <w:t xml:space="preserve"> </w:t>
            </w:r>
            <w:r>
              <w:rPr>
                <w:spacing w:val="-2"/>
                <w:sz w:val="16"/>
              </w:rPr>
              <w:t>blockages</w:t>
            </w:r>
          </w:p>
        </w:tc>
        <w:tc>
          <w:tcPr>
            <w:tcW w:w="1121" w:type="dxa"/>
            <w:tcBorders>
              <w:right w:val="single" w:sz="4" w:space="0" w:color="FFFFFF"/>
            </w:tcBorders>
            <w:shd w:val="clear" w:color="auto" w:fill="F1F1F1"/>
          </w:tcPr>
          <w:p w14:paraId="3B5B6749" w14:textId="77777777" w:rsidR="00141B97" w:rsidRDefault="00911D63">
            <w:pPr>
              <w:pStyle w:val="TableParagraph"/>
              <w:spacing w:line="193" w:lineRule="exact"/>
              <w:ind w:left="99"/>
              <w:rPr>
                <w:sz w:val="16"/>
              </w:rPr>
            </w:pPr>
            <w:r>
              <w:rPr>
                <w:sz w:val="16"/>
              </w:rPr>
              <w:t>Number</w:t>
            </w:r>
            <w:r>
              <w:rPr>
                <w:spacing w:val="-7"/>
                <w:sz w:val="16"/>
              </w:rPr>
              <w:t xml:space="preserve"> </w:t>
            </w:r>
            <w:r>
              <w:rPr>
                <w:spacing w:val="-5"/>
                <w:sz w:val="16"/>
              </w:rPr>
              <w:t>per</w:t>
            </w:r>
          </w:p>
          <w:p w14:paraId="3C962AF2" w14:textId="77777777" w:rsidR="00141B97" w:rsidRDefault="00911D63">
            <w:pPr>
              <w:pStyle w:val="TableParagraph"/>
              <w:spacing w:line="173" w:lineRule="exact"/>
              <w:ind w:left="99"/>
              <w:rPr>
                <w:sz w:val="16"/>
              </w:rPr>
            </w:pPr>
            <w:r>
              <w:rPr>
                <w:sz w:val="16"/>
              </w:rPr>
              <w:t>100</w:t>
            </w:r>
            <w:r>
              <w:rPr>
                <w:spacing w:val="-5"/>
                <w:sz w:val="16"/>
              </w:rPr>
              <w:t xml:space="preserve"> km</w:t>
            </w:r>
          </w:p>
        </w:tc>
        <w:tc>
          <w:tcPr>
            <w:tcW w:w="817" w:type="dxa"/>
            <w:tcBorders>
              <w:left w:val="single" w:sz="4" w:space="0" w:color="FFFFFF"/>
              <w:right w:val="nil"/>
            </w:tcBorders>
            <w:shd w:val="clear" w:color="auto" w:fill="00B04F"/>
          </w:tcPr>
          <w:p w14:paraId="67FA4E11" w14:textId="77777777" w:rsidR="00141B97" w:rsidRDefault="00911D63">
            <w:pPr>
              <w:pStyle w:val="TableParagraph"/>
              <w:spacing w:before="83"/>
              <w:ind w:left="141" w:right="141"/>
              <w:jc w:val="center"/>
              <w:rPr>
                <w:sz w:val="18"/>
              </w:rPr>
            </w:pPr>
            <w:r>
              <w:rPr>
                <w:spacing w:val="-2"/>
                <w:sz w:val="18"/>
              </w:rPr>
              <w:t>17.38</w:t>
            </w:r>
          </w:p>
        </w:tc>
        <w:tc>
          <w:tcPr>
            <w:tcW w:w="903" w:type="dxa"/>
            <w:tcBorders>
              <w:left w:val="nil"/>
            </w:tcBorders>
            <w:shd w:val="clear" w:color="auto" w:fill="00B04F"/>
          </w:tcPr>
          <w:p w14:paraId="0891DF4F" w14:textId="77777777" w:rsidR="00141B97" w:rsidRDefault="00911D63">
            <w:pPr>
              <w:pStyle w:val="TableParagraph"/>
              <w:spacing w:before="83"/>
              <w:ind w:right="236"/>
              <w:jc w:val="right"/>
              <w:rPr>
                <w:sz w:val="18"/>
              </w:rPr>
            </w:pPr>
            <w:r>
              <w:rPr>
                <w:spacing w:val="-2"/>
                <w:sz w:val="18"/>
              </w:rPr>
              <w:t>14.79</w:t>
            </w:r>
          </w:p>
        </w:tc>
        <w:tc>
          <w:tcPr>
            <w:tcW w:w="831" w:type="dxa"/>
            <w:tcBorders>
              <w:right w:val="nil"/>
            </w:tcBorders>
            <w:shd w:val="clear" w:color="auto" w:fill="00B04F"/>
          </w:tcPr>
          <w:p w14:paraId="5F309A36" w14:textId="77777777" w:rsidR="00141B97" w:rsidRDefault="00911D63">
            <w:pPr>
              <w:pStyle w:val="TableParagraph"/>
              <w:spacing w:before="83"/>
              <w:ind w:left="90" w:right="88"/>
              <w:jc w:val="center"/>
              <w:rPr>
                <w:sz w:val="18"/>
              </w:rPr>
            </w:pPr>
            <w:r>
              <w:rPr>
                <w:spacing w:val="-4"/>
                <w:sz w:val="18"/>
              </w:rPr>
              <w:t>17.3</w:t>
            </w:r>
          </w:p>
        </w:tc>
        <w:tc>
          <w:tcPr>
            <w:tcW w:w="840" w:type="dxa"/>
            <w:tcBorders>
              <w:left w:val="nil"/>
              <w:right w:val="nil"/>
            </w:tcBorders>
            <w:shd w:val="clear" w:color="auto" w:fill="00B04F"/>
          </w:tcPr>
          <w:p w14:paraId="6698F284" w14:textId="77777777" w:rsidR="00141B97" w:rsidRDefault="00911D63">
            <w:pPr>
              <w:pStyle w:val="TableParagraph"/>
              <w:spacing w:before="83"/>
              <w:ind w:left="5" w:right="1"/>
              <w:jc w:val="center"/>
              <w:rPr>
                <w:sz w:val="18"/>
              </w:rPr>
            </w:pPr>
            <w:r>
              <w:rPr>
                <w:spacing w:val="-4"/>
                <w:sz w:val="18"/>
              </w:rPr>
              <w:t>17.0</w:t>
            </w:r>
          </w:p>
        </w:tc>
      </w:tr>
      <w:tr w:rsidR="00141B97" w14:paraId="2030483C" w14:textId="77777777">
        <w:trPr>
          <w:trHeight w:val="217"/>
        </w:trPr>
        <w:tc>
          <w:tcPr>
            <w:tcW w:w="397" w:type="dxa"/>
            <w:tcBorders>
              <w:left w:val="nil"/>
              <w:bottom w:val="single" w:sz="4" w:space="0" w:color="FFFFFF"/>
            </w:tcBorders>
            <w:shd w:val="clear" w:color="auto" w:fill="F1F1F1"/>
          </w:tcPr>
          <w:p w14:paraId="5660A8C2" w14:textId="77777777" w:rsidR="00141B97" w:rsidRDefault="00911D63">
            <w:pPr>
              <w:pStyle w:val="TableParagraph"/>
              <w:spacing w:line="192" w:lineRule="exact"/>
              <w:ind w:left="95"/>
              <w:rPr>
                <w:sz w:val="16"/>
              </w:rPr>
            </w:pPr>
            <w:r>
              <w:rPr>
                <w:w w:val="99"/>
                <w:sz w:val="16"/>
              </w:rPr>
              <w:t>b</w:t>
            </w:r>
          </w:p>
        </w:tc>
        <w:tc>
          <w:tcPr>
            <w:tcW w:w="4710" w:type="dxa"/>
            <w:tcBorders>
              <w:bottom w:val="single" w:sz="4" w:space="0" w:color="FFFFFF"/>
            </w:tcBorders>
            <w:shd w:val="clear" w:color="auto" w:fill="F1F1F1"/>
          </w:tcPr>
          <w:p w14:paraId="55370DA4" w14:textId="77777777" w:rsidR="00141B97" w:rsidRDefault="00911D63">
            <w:pPr>
              <w:pStyle w:val="TableParagraph"/>
              <w:spacing w:line="192" w:lineRule="exact"/>
              <w:ind w:left="99"/>
              <w:rPr>
                <w:sz w:val="16"/>
              </w:rPr>
            </w:pPr>
            <w:r>
              <w:rPr>
                <w:sz w:val="16"/>
              </w:rPr>
              <w:t>Customers</w:t>
            </w:r>
            <w:r>
              <w:rPr>
                <w:spacing w:val="-6"/>
                <w:sz w:val="16"/>
              </w:rPr>
              <w:t xml:space="preserve"> </w:t>
            </w:r>
            <w:r>
              <w:rPr>
                <w:sz w:val="16"/>
              </w:rPr>
              <w:t>receiving</w:t>
            </w:r>
            <w:r>
              <w:rPr>
                <w:spacing w:val="-7"/>
                <w:sz w:val="16"/>
              </w:rPr>
              <w:t xml:space="preserve"> </w:t>
            </w:r>
            <w:r>
              <w:rPr>
                <w:sz w:val="16"/>
              </w:rPr>
              <w:t>more</w:t>
            </w:r>
            <w:r>
              <w:rPr>
                <w:spacing w:val="-6"/>
                <w:sz w:val="16"/>
              </w:rPr>
              <w:t xml:space="preserve"> </w:t>
            </w:r>
            <w:r>
              <w:rPr>
                <w:sz w:val="16"/>
              </w:rPr>
              <w:t>than</w:t>
            </w:r>
            <w:r>
              <w:rPr>
                <w:spacing w:val="-6"/>
                <w:sz w:val="16"/>
              </w:rPr>
              <w:t xml:space="preserve"> </w:t>
            </w:r>
            <w:r>
              <w:rPr>
                <w:sz w:val="16"/>
              </w:rPr>
              <w:t>3</w:t>
            </w:r>
            <w:r>
              <w:rPr>
                <w:spacing w:val="-7"/>
                <w:sz w:val="16"/>
              </w:rPr>
              <w:t xml:space="preserve"> </w:t>
            </w:r>
            <w:r>
              <w:rPr>
                <w:sz w:val="16"/>
              </w:rPr>
              <w:t>sewer</w:t>
            </w:r>
            <w:r>
              <w:rPr>
                <w:spacing w:val="-7"/>
                <w:sz w:val="16"/>
              </w:rPr>
              <w:t xml:space="preserve"> </w:t>
            </w:r>
            <w:r>
              <w:rPr>
                <w:spacing w:val="-2"/>
                <w:sz w:val="16"/>
              </w:rPr>
              <w:t>blockages</w:t>
            </w:r>
          </w:p>
        </w:tc>
        <w:tc>
          <w:tcPr>
            <w:tcW w:w="1121" w:type="dxa"/>
            <w:tcBorders>
              <w:bottom w:val="single" w:sz="4" w:space="0" w:color="FFFFFF"/>
              <w:right w:val="single" w:sz="4" w:space="0" w:color="FFFFFF"/>
            </w:tcBorders>
            <w:shd w:val="clear" w:color="auto" w:fill="F1F1F1"/>
          </w:tcPr>
          <w:p w14:paraId="3C132D63" w14:textId="77777777" w:rsidR="00141B97" w:rsidRDefault="00911D63">
            <w:pPr>
              <w:pStyle w:val="TableParagraph"/>
              <w:spacing w:line="192" w:lineRule="exact"/>
              <w:ind w:left="99"/>
              <w:rPr>
                <w:sz w:val="16"/>
              </w:rPr>
            </w:pPr>
            <w:r>
              <w:rPr>
                <w:spacing w:val="-2"/>
                <w:sz w:val="16"/>
              </w:rPr>
              <w:t>Number</w:t>
            </w:r>
          </w:p>
        </w:tc>
        <w:tc>
          <w:tcPr>
            <w:tcW w:w="817" w:type="dxa"/>
            <w:tcBorders>
              <w:left w:val="single" w:sz="4" w:space="0" w:color="FFFFFF"/>
              <w:bottom w:val="single" w:sz="4" w:space="0" w:color="FFFFFF"/>
              <w:right w:val="nil"/>
            </w:tcBorders>
            <w:shd w:val="clear" w:color="auto" w:fill="00B04F"/>
          </w:tcPr>
          <w:p w14:paraId="46C0FC84" w14:textId="77777777" w:rsidR="00141B97" w:rsidRDefault="00911D63">
            <w:pPr>
              <w:pStyle w:val="TableParagraph"/>
              <w:spacing w:line="197" w:lineRule="exact"/>
              <w:jc w:val="center"/>
              <w:rPr>
                <w:sz w:val="18"/>
              </w:rPr>
            </w:pPr>
            <w:r>
              <w:rPr>
                <w:sz w:val="18"/>
              </w:rPr>
              <w:t>0</w:t>
            </w:r>
          </w:p>
        </w:tc>
        <w:tc>
          <w:tcPr>
            <w:tcW w:w="903" w:type="dxa"/>
            <w:tcBorders>
              <w:left w:val="nil"/>
              <w:bottom w:val="single" w:sz="4" w:space="0" w:color="FFFFFF"/>
            </w:tcBorders>
            <w:shd w:val="clear" w:color="auto" w:fill="00B04F"/>
          </w:tcPr>
          <w:p w14:paraId="74A42DB7" w14:textId="77777777" w:rsidR="00141B97" w:rsidRDefault="00911D63">
            <w:pPr>
              <w:pStyle w:val="TableParagraph"/>
              <w:spacing w:line="197" w:lineRule="exact"/>
              <w:jc w:val="center"/>
              <w:rPr>
                <w:sz w:val="18"/>
              </w:rPr>
            </w:pPr>
            <w:r>
              <w:rPr>
                <w:sz w:val="18"/>
              </w:rPr>
              <w:t>0</w:t>
            </w:r>
          </w:p>
        </w:tc>
        <w:tc>
          <w:tcPr>
            <w:tcW w:w="831" w:type="dxa"/>
            <w:tcBorders>
              <w:bottom w:val="single" w:sz="4" w:space="0" w:color="FFFFFF"/>
              <w:right w:val="nil"/>
            </w:tcBorders>
            <w:shd w:val="clear" w:color="auto" w:fill="00B04F"/>
          </w:tcPr>
          <w:p w14:paraId="597AB68C" w14:textId="77777777" w:rsidR="00141B97" w:rsidRDefault="00911D63">
            <w:pPr>
              <w:pStyle w:val="TableParagraph"/>
              <w:spacing w:line="197" w:lineRule="exact"/>
              <w:ind w:left="1"/>
              <w:jc w:val="center"/>
              <w:rPr>
                <w:sz w:val="18"/>
              </w:rPr>
            </w:pPr>
            <w:r>
              <w:rPr>
                <w:sz w:val="18"/>
              </w:rPr>
              <w:t>0</w:t>
            </w:r>
          </w:p>
        </w:tc>
        <w:tc>
          <w:tcPr>
            <w:tcW w:w="840" w:type="dxa"/>
            <w:tcBorders>
              <w:left w:val="nil"/>
              <w:bottom w:val="single" w:sz="4" w:space="0" w:color="FFFFFF"/>
              <w:right w:val="nil"/>
            </w:tcBorders>
            <w:shd w:val="clear" w:color="auto" w:fill="00B04F"/>
          </w:tcPr>
          <w:p w14:paraId="53B9F672" w14:textId="77777777" w:rsidR="00141B97" w:rsidRDefault="00911D63">
            <w:pPr>
              <w:pStyle w:val="TableParagraph"/>
              <w:spacing w:line="197" w:lineRule="exact"/>
              <w:ind w:left="5"/>
              <w:jc w:val="center"/>
              <w:rPr>
                <w:sz w:val="18"/>
              </w:rPr>
            </w:pPr>
            <w:r>
              <w:rPr>
                <w:sz w:val="18"/>
              </w:rPr>
              <w:t>0</w:t>
            </w:r>
          </w:p>
        </w:tc>
      </w:tr>
      <w:tr w:rsidR="00141B97" w14:paraId="46F5FD8D" w14:textId="77777777">
        <w:trPr>
          <w:trHeight w:val="219"/>
        </w:trPr>
        <w:tc>
          <w:tcPr>
            <w:tcW w:w="397" w:type="dxa"/>
            <w:tcBorders>
              <w:top w:val="single" w:sz="4" w:space="0" w:color="FFFFFF"/>
              <w:left w:val="nil"/>
              <w:bottom w:val="single" w:sz="4" w:space="0" w:color="FFFFFF"/>
            </w:tcBorders>
            <w:shd w:val="clear" w:color="auto" w:fill="F1F1F1"/>
          </w:tcPr>
          <w:p w14:paraId="774FF0F2" w14:textId="77777777" w:rsidR="00141B97" w:rsidRDefault="00911D63">
            <w:pPr>
              <w:pStyle w:val="TableParagraph"/>
              <w:ind w:left="95"/>
              <w:rPr>
                <w:sz w:val="16"/>
              </w:rPr>
            </w:pPr>
            <w:r>
              <w:rPr>
                <w:w w:val="99"/>
                <w:sz w:val="16"/>
              </w:rPr>
              <w:t>c</w:t>
            </w:r>
          </w:p>
        </w:tc>
        <w:tc>
          <w:tcPr>
            <w:tcW w:w="4710" w:type="dxa"/>
            <w:tcBorders>
              <w:top w:val="single" w:sz="4" w:space="0" w:color="FFFFFF"/>
              <w:bottom w:val="single" w:sz="4" w:space="0" w:color="FFFFFF"/>
            </w:tcBorders>
            <w:shd w:val="clear" w:color="auto" w:fill="F1F1F1"/>
          </w:tcPr>
          <w:p w14:paraId="50DB7B3C" w14:textId="77777777" w:rsidR="00141B97" w:rsidRDefault="00911D63">
            <w:pPr>
              <w:pStyle w:val="TableParagraph"/>
              <w:ind w:left="99"/>
              <w:rPr>
                <w:sz w:val="16"/>
              </w:rPr>
            </w:pPr>
            <w:r>
              <w:rPr>
                <w:sz w:val="16"/>
              </w:rPr>
              <w:t>Spills</w:t>
            </w:r>
            <w:r>
              <w:rPr>
                <w:spacing w:val="-5"/>
                <w:sz w:val="16"/>
              </w:rPr>
              <w:t xml:space="preserve"> </w:t>
            </w:r>
            <w:r>
              <w:rPr>
                <w:sz w:val="16"/>
              </w:rPr>
              <w:t>in</w:t>
            </w:r>
            <w:r>
              <w:rPr>
                <w:spacing w:val="-4"/>
                <w:sz w:val="16"/>
              </w:rPr>
              <w:t xml:space="preserve"> </w:t>
            </w:r>
            <w:r>
              <w:rPr>
                <w:sz w:val="16"/>
              </w:rPr>
              <w:t>houses</w:t>
            </w:r>
            <w:r>
              <w:rPr>
                <w:spacing w:val="-6"/>
                <w:sz w:val="16"/>
              </w:rPr>
              <w:t xml:space="preserve"> </w:t>
            </w:r>
            <w:r>
              <w:rPr>
                <w:sz w:val="16"/>
              </w:rPr>
              <w:t>caused</w:t>
            </w:r>
            <w:r>
              <w:rPr>
                <w:spacing w:val="-4"/>
                <w:sz w:val="16"/>
              </w:rPr>
              <w:t xml:space="preserve"> </w:t>
            </w:r>
            <w:r>
              <w:rPr>
                <w:sz w:val="16"/>
              </w:rPr>
              <w:t>by</w:t>
            </w:r>
            <w:r>
              <w:rPr>
                <w:spacing w:val="-5"/>
                <w:sz w:val="16"/>
              </w:rPr>
              <w:t xml:space="preserve"> </w:t>
            </w:r>
            <w:r>
              <w:rPr>
                <w:sz w:val="16"/>
              </w:rPr>
              <w:t>LMW</w:t>
            </w:r>
            <w:r>
              <w:rPr>
                <w:spacing w:val="-5"/>
                <w:sz w:val="16"/>
              </w:rPr>
              <w:t xml:space="preserve"> </w:t>
            </w:r>
            <w:r>
              <w:rPr>
                <w:spacing w:val="-2"/>
                <w:sz w:val="16"/>
              </w:rPr>
              <w:t>assets</w:t>
            </w:r>
          </w:p>
        </w:tc>
        <w:tc>
          <w:tcPr>
            <w:tcW w:w="1121" w:type="dxa"/>
            <w:tcBorders>
              <w:top w:val="single" w:sz="4" w:space="0" w:color="FFFFFF"/>
              <w:bottom w:val="single" w:sz="4" w:space="0" w:color="FFFFFF"/>
              <w:right w:val="single" w:sz="4" w:space="0" w:color="FFFFFF"/>
            </w:tcBorders>
            <w:shd w:val="clear" w:color="auto" w:fill="F1F1F1"/>
          </w:tcPr>
          <w:p w14:paraId="0F138870"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00B04F"/>
          </w:tcPr>
          <w:p w14:paraId="7B65E9C8" w14:textId="77777777" w:rsidR="00141B97" w:rsidRDefault="00911D63">
            <w:pPr>
              <w:pStyle w:val="TableParagraph"/>
              <w:spacing w:line="199" w:lineRule="exact"/>
              <w:jc w:val="center"/>
              <w:rPr>
                <w:sz w:val="18"/>
              </w:rPr>
            </w:pPr>
            <w:r>
              <w:rPr>
                <w:sz w:val="18"/>
              </w:rPr>
              <w:t>0</w:t>
            </w:r>
          </w:p>
        </w:tc>
        <w:tc>
          <w:tcPr>
            <w:tcW w:w="903" w:type="dxa"/>
            <w:tcBorders>
              <w:top w:val="single" w:sz="4" w:space="0" w:color="FFFFFF"/>
              <w:left w:val="nil"/>
              <w:bottom w:val="single" w:sz="4" w:space="0" w:color="FFFFFF"/>
            </w:tcBorders>
            <w:shd w:val="clear" w:color="auto" w:fill="00B04F"/>
          </w:tcPr>
          <w:p w14:paraId="0FC6873C" w14:textId="77777777" w:rsidR="00141B97" w:rsidRDefault="00911D63">
            <w:pPr>
              <w:pStyle w:val="TableParagraph"/>
              <w:spacing w:line="199" w:lineRule="exact"/>
              <w:jc w:val="center"/>
              <w:rPr>
                <w:sz w:val="18"/>
              </w:rPr>
            </w:pPr>
            <w:r>
              <w:rPr>
                <w:sz w:val="18"/>
              </w:rPr>
              <w:t>0</w:t>
            </w:r>
          </w:p>
        </w:tc>
        <w:tc>
          <w:tcPr>
            <w:tcW w:w="831" w:type="dxa"/>
            <w:tcBorders>
              <w:top w:val="single" w:sz="4" w:space="0" w:color="FFFFFF"/>
              <w:bottom w:val="single" w:sz="4" w:space="0" w:color="FFFFFF"/>
              <w:right w:val="nil"/>
            </w:tcBorders>
            <w:shd w:val="clear" w:color="auto" w:fill="00B04F"/>
          </w:tcPr>
          <w:p w14:paraId="4E3EB9B9" w14:textId="77777777" w:rsidR="00141B97" w:rsidRDefault="00911D63">
            <w:pPr>
              <w:pStyle w:val="TableParagraph"/>
              <w:spacing w:line="199" w:lineRule="exact"/>
              <w:ind w:left="1"/>
              <w:jc w:val="center"/>
              <w:rPr>
                <w:sz w:val="18"/>
              </w:rPr>
            </w:pPr>
            <w:r>
              <w:rPr>
                <w:sz w:val="18"/>
              </w:rPr>
              <w:t>1</w:t>
            </w:r>
          </w:p>
        </w:tc>
        <w:tc>
          <w:tcPr>
            <w:tcW w:w="840" w:type="dxa"/>
            <w:tcBorders>
              <w:top w:val="single" w:sz="4" w:space="0" w:color="FFFFFF"/>
              <w:left w:val="nil"/>
              <w:bottom w:val="single" w:sz="4" w:space="0" w:color="FFFFFF"/>
              <w:right w:val="nil"/>
            </w:tcBorders>
            <w:shd w:val="clear" w:color="auto" w:fill="00B04F"/>
          </w:tcPr>
          <w:p w14:paraId="5767DF7F" w14:textId="77777777" w:rsidR="00141B97" w:rsidRDefault="00911D63">
            <w:pPr>
              <w:pStyle w:val="TableParagraph"/>
              <w:spacing w:line="199" w:lineRule="exact"/>
              <w:ind w:left="5"/>
              <w:jc w:val="center"/>
              <w:rPr>
                <w:sz w:val="18"/>
              </w:rPr>
            </w:pPr>
            <w:r>
              <w:rPr>
                <w:sz w:val="18"/>
              </w:rPr>
              <w:t>1</w:t>
            </w:r>
          </w:p>
        </w:tc>
      </w:tr>
      <w:tr w:rsidR="00141B97" w14:paraId="4AE8CCBB" w14:textId="77777777">
        <w:trPr>
          <w:trHeight w:val="390"/>
        </w:trPr>
        <w:tc>
          <w:tcPr>
            <w:tcW w:w="397" w:type="dxa"/>
            <w:tcBorders>
              <w:top w:val="single" w:sz="4" w:space="0" w:color="FFFFFF"/>
              <w:left w:val="nil"/>
              <w:bottom w:val="single" w:sz="4" w:space="0" w:color="FFFFFF"/>
            </w:tcBorders>
            <w:shd w:val="clear" w:color="auto" w:fill="F1F1F1"/>
          </w:tcPr>
          <w:p w14:paraId="660CF212" w14:textId="77777777" w:rsidR="00141B97" w:rsidRDefault="00911D63">
            <w:pPr>
              <w:pStyle w:val="TableParagraph"/>
              <w:ind w:left="95"/>
              <w:rPr>
                <w:sz w:val="16"/>
              </w:rPr>
            </w:pPr>
            <w:r>
              <w:rPr>
                <w:w w:val="99"/>
                <w:sz w:val="16"/>
              </w:rPr>
              <w:t>d</w:t>
            </w:r>
          </w:p>
        </w:tc>
        <w:tc>
          <w:tcPr>
            <w:tcW w:w="4710" w:type="dxa"/>
            <w:tcBorders>
              <w:top w:val="single" w:sz="4" w:space="0" w:color="FFFFFF"/>
              <w:bottom w:val="single" w:sz="4" w:space="0" w:color="FFFFFF"/>
            </w:tcBorders>
            <w:shd w:val="clear" w:color="auto" w:fill="F1F1F1"/>
          </w:tcPr>
          <w:p w14:paraId="19AF934E" w14:textId="77777777" w:rsidR="00141B97" w:rsidRDefault="00911D63">
            <w:pPr>
              <w:pStyle w:val="TableParagraph"/>
              <w:ind w:left="99"/>
              <w:rPr>
                <w:sz w:val="16"/>
              </w:rPr>
            </w:pPr>
            <w:r>
              <w:rPr>
                <w:sz w:val="16"/>
              </w:rPr>
              <w:t>Annual</w:t>
            </w:r>
            <w:r>
              <w:rPr>
                <w:spacing w:val="-8"/>
                <w:sz w:val="16"/>
              </w:rPr>
              <w:t xml:space="preserve"> </w:t>
            </w:r>
            <w:r>
              <w:rPr>
                <w:sz w:val="16"/>
              </w:rPr>
              <w:t>survey:</w:t>
            </w:r>
            <w:r>
              <w:rPr>
                <w:spacing w:val="-8"/>
                <w:sz w:val="16"/>
              </w:rPr>
              <w:t xml:space="preserve"> </w:t>
            </w:r>
            <w:r>
              <w:rPr>
                <w:sz w:val="16"/>
              </w:rPr>
              <w:t>Customers</w:t>
            </w:r>
            <w:r>
              <w:rPr>
                <w:spacing w:val="-8"/>
                <w:sz w:val="16"/>
              </w:rPr>
              <w:t xml:space="preserve"> </w:t>
            </w:r>
            <w:r>
              <w:rPr>
                <w:sz w:val="16"/>
              </w:rPr>
              <w:t>satisfied</w:t>
            </w:r>
            <w:r>
              <w:rPr>
                <w:spacing w:val="-8"/>
                <w:sz w:val="16"/>
              </w:rPr>
              <w:t xml:space="preserve"> </w:t>
            </w:r>
            <w:r>
              <w:rPr>
                <w:sz w:val="16"/>
              </w:rPr>
              <w:t>with</w:t>
            </w:r>
            <w:r>
              <w:rPr>
                <w:spacing w:val="-8"/>
                <w:sz w:val="16"/>
              </w:rPr>
              <w:t xml:space="preserve"> </w:t>
            </w:r>
            <w:r>
              <w:rPr>
                <w:sz w:val="16"/>
              </w:rPr>
              <w:t>sewerage</w:t>
            </w:r>
            <w:r>
              <w:rPr>
                <w:spacing w:val="-7"/>
                <w:sz w:val="16"/>
              </w:rPr>
              <w:t xml:space="preserve"> </w:t>
            </w:r>
            <w:r>
              <w:rPr>
                <w:sz w:val="16"/>
              </w:rPr>
              <w:t>service</w:t>
            </w:r>
            <w:r>
              <w:rPr>
                <w:spacing w:val="-8"/>
                <w:sz w:val="16"/>
              </w:rPr>
              <w:t xml:space="preserve"> </w:t>
            </w:r>
            <w:r>
              <w:rPr>
                <w:sz w:val="16"/>
              </w:rPr>
              <w:t>(rating</w:t>
            </w:r>
            <w:r>
              <w:rPr>
                <w:spacing w:val="-9"/>
                <w:sz w:val="16"/>
              </w:rPr>
              <w:t xml:space="preserve"> </w:t>
            </w:r>
            <w:r>
              <w:rPr>
                <w:spacing w:val="-5"/>
                <w:sz w:val="16"/>
              </w:rPr>
              <w:t>of</w:t>
            </w:r>
          </w:p>
          <w:p w14:paraId="7FB2C6FD" w14:textId="77777777" w:rsidR="00141B97" w:rsidRDefault="00911D63">
            <w:pPr>
              <w:pStyle w:val="TableParagraph"/>
              <w:spacing w:line="175" w:lineRule="exact"/>
              <w:ind w:left="99"/>
              <w:rPr>
                <w:sz w:val="16"/>
              </w:rPr>
            </w:pPr>
            <w:r>
              <w:rPr>
                <w:sz w:val="16"/>
              </w:rPr>
              <w:t>satisfied,</w:t>
            </w:r>
            <w:r>
              <w:rPr>
                <w:spacing w:val="-7"/>
                <w:sz w:val="16"/>
              </w:rPr>
              <w:t xml:space="preserve"> </w:t>
            </w:r>
            <w:r>
              <w:rPr>
                <w:sz w:val="16"/>
              </w:rPr>
              <w:t>very</w:t>
            </w:r>
            <w:r>
              <w:rPr>
                <w:spacing w:val="-6"/>
                <w:sz w:val="16"/>
              </w:rPr>
              <w:t xml:space="preserve"> </w:t>
            </w:r>
            <w:r>
              <w:rPr>
                <w:sz w:val="16"/>
              </w:rPr>
              <w:t>satisfied</w:t>
            </w:r>
            <w:r>
              <w:rPr>
                <w:spacing w:val="-7"/>
                <w:sz w:val="16"/>
              </w:rPr>
              <w:t xml:space="preserve"> </w:t>
            </w:r>
            <w:r>
              <w:rPr>
                <w:sz w:val="16"/>
              </w:rPr>
              <w:t>and</w:t>
            </w:r>
            <w:r>
              <w:rPr>
                <w:spacing w:val="-7"/>
                <w:sz w:val="16"/>
              </w:rPr>
              <w:t xml:space="preserve"> </w:t>
            </w:r>
            <w:r>
              <w:rPr>
                <w:sz w:val="16"/>
              </w:rPr>
              <w:t>extremely</w:t>
            </w:r>
            <w:r>
              <w:rPr>
                <w:spacing w:val="-5"/>
                <w:sz w:val="16"/>
              </w:rPr>
              <w:t xml:space="preserve"> </w:t>
            </w:r>
            <w:r>
              <w:rPr>
                <w:spacing w:val="-2"/>
                <w:sz w:val="16"/>
              </w:rPr>
              <w:t>satisfied)</w:t>
            </w:r>
          </w:p>
        </w:tc>
        <w:tc>
          <w:tcPr>
            <w:tcW w:w="1121" w:type="dxa"/>
            <w:tcBorders>
              <w:top w:val="single" w:sz="4" w:space="0" w:color="FFFFFF"/>
              <w:bottom w:val="single" w:sz="4" w:space="0" w:color="FFFFFF"/>
              <w:right w:val="single" w:sz="4" w:space="0" w:color="FFFFFF"/>
            </w:tcBorders>
            <w:shd w:val="clear" w:color="auto" w:fill="F1F1F1"/>
          </w:tcPr>
          <w:p w14:paraId="0888C5D5" w14:textId="77777777" w:rsidR="00141B97" w:rsidRDefault="00911D63">
            <w:pPr>
              <w:pStyle w:val="TableParagraph"/>
              <w:ind w:left="99"/>
              <w:rPr>
                <w:sz w:val="16"/>
              </w:rPr>
            </w:pPr>
            <w:r>
              <w:rPr>
                <w:sz w:val="16"/>
              </w:rPr>
              <w:t>%</w:t>
            </w:r>
            <w:r>
              <w:rPr>
                <w:spacing w:val="-3"/>
                <w:sz w:val="16"/>
              </w:rPr>
              <w:t xml:space="preserve"> </w:t>
            </w:r>
            <w:r>
              <w:rPr>
                <w:spacing w:val="-2"/>
                <w:sz w:val="16"/>
              </w:rPr>
              <w:t>customers</w:t>
            </w:r>
          </w:p>
          <w:p w14:paraId="021A41D7" w14:textId="77777777" w:rsidR="00141B97" w:rsidRDefault="00911D63">
            <w:pPr>
              <w:pStyle w:val="TableParagraph"/>
              <w:spacing w:line="175" w:lineRule="exact"/>
              <w:ind w:left="99"/>
              <w:rPr>
                <w:sz w:val="16"/>
              </w:rPr>
            </w:pPr>
            <w:r>
              <w:rPr>
                <w:spacing w:val="-2"/>
                <w:sz w:val="16"/>
              </w:rPr>
              <w:t>surveyed</w:t>
            </w:r>
          </w:p>
        </w:tc>
        <w:tc>
          <w:tcPr>
            <w:tcW w:w="817" w:type="dxa"/>
            <w:tcBorders>
              <w:top w:val="single" w:sz="4" w:space="0" w:color="FFFFFF"/>
              <w:left w:val="single" w:sz="4" w:space="0" w:color="FFFFFF"/>
              <w:bottom w:val="single" w:sz="4" w:space="0" w:color="FFFFFF"/>
              <w:right w:val="nil"/>
            </w:tcBorders>
            <w:shd w:val="clear" w:color="auto" w:fill="00B04F"/>
          </w:tcPr>
          <w:p w14:paraId="445C9731" w14:textId="77777777" w:rsidR="00141B97" w:rsidRDefault="00911D63">
            <w:pPr>
              <w:pStyle w:val="TableParagraph"/>
              <w:spacing w:before="86"/>
              <w:ind w:left="141" w:right="141"/>
              <w:jc w:val="center"/>
              <w:rPr>
                <w:sz w:val="18"/>
              </w:rPr>
            </w:pPr>
            <w:r>
              <w:rPr>
                <w:spacing w:val="-5"/>
                <w:sz w:val="18"/>
              </w:rPr>
              <w:t>90%</w:t>
            </w:r>
          </w:p>
        </w:tc>
        <w:tc>
          <w:tcPr>
            <w:tcW w:w="903" w:type="dxa"/>
            <w:tcBorders>
              <w:top w:val="single" w:sz="4" w:space="0" w:color="FFFFFF"/>
              <w:left w:val="nil"/>
              <w:bottom w:val="single" w:sz="4" w:space="0" w:color="FFFFFF"/>
            </w:tcBorders>
            <w:shd w:val="clear" w:color="auto" w:fill="00B04F"/>
          </w:tcPr>
          <w:p w14:paraId="2F211496" w14:textId="77777777" w:rsidR="00141B97" w:rsidRDefault="00911D63">
            <w:pPr>
              <w:pStyle w:val="TableParagraph"/>
              <w:spacing w:before="86"/>
              <w:ind w:left="289"/>
              <w:rPr>
                <w:sz w:val="18"/>
              </w:rPr>
            </w:pPr>
            <w:r>
              <w:rPr>
                <w:spacing w:val="-5"/>
                <w:sz w:val="18"/>
              </w:rPr>
              <w:t>98%</w:t>
            </w:r>
          </w:p>
        </w:tc>
        <w:tc>
          <w:tcPr>
            <w:tcW w:w="831" w:type="dxa"/>
            <w:tcBorders>
              <w:top w:val="single" w:sz="4" w:space="0" w:color="FFFFFF"/>
              <w:bottom w:val="single" w:sz="4" w:space="0" w:color="FFFFFF"/>
              <w:right w:val="nil"/>
            </w:tcBorders>
            <w:shd w:val="clear" w:color="auto" w:fill="FFC000"/>
          </w:tcPr>
          <w:p w14:paraId="231F8A8C" w14:textId="77777777" w:rsidR="00141B97" w:rsidRDefault="00911D63">
            <w:pPr>
              <w:pStyle w:val="TableParagraph"/>
              <w:spacing w:before="86"/>
              <w:ind w:left="90" w:right="89"/>
              <w:jc w:val="center"/>
              <w:rPr>
                <w:sz w:val="18"/>
              </w:rPr>
            </w:pPr>
            <w:r>
              <w:rPr>
                <w:spacing w:val="-5"/>
                <w:sz w:val="18"/>
              </w:rPr>
              <w:t>88%</w:t>
            </w:r>
          </w:p>
        </w:tc>
        <w:tc>
          <w:tcPr>
            <w:tcW w:w="840" w:type="dxa"/>
            <w:tcBorders>
              <w:top w:val="single" w:sz="4" w:space="0" w:color="FFFFFF"/>
              <w:left w:val="nil"/>
              <w:bottom w:val="single" w:sz="4" w:space="0" w:color="FFFFFF"/>
              <w:right w:val="nil"/>
            </w:tcBorders>
            <w:shd w:val="clear" w:color="auto" w:fill="00B04F"/>
          </w:tcPr>
          <w:p w14:paraId="0C12DE5A" w14:textId="77777777" w:rsidR="00141B97" w:rsidRDefault="00911D63">
            <w:pPr>
              <w:pStyle w:val="TableParagraph"/>
              <w:spacing w:before="86"/>
              <w:ind w:left="5"/>
              <w:jc w:val="center"/>
              <w:rPr>
                <w:sz w:val="18"/>
              </w:rPr>
            </w:pPr>
            <w:r>
              <w:rPr>
                <w:spacing w:val="-5"/>
                <w:sz w:val="18"/>
              </w:rPr>
              <w:t>94%</w:t>
            </w:r>
          </w:p>
        </w:tc>
      </w:tr>
      <w:tr w:rsidR="00141B97" w14:paraId="58032A4E" w14:textId="77777777">
        <w:trPr>
          <w:trHeight w:val="217"/>
        </w:trPr>
        <w:tc>
          <w:tcPr>
            <w:tcW w:w="397" w:type="dxa"/>
            <w:tcBorders>
              <w:top w:val="single" w:sz="4" w:space="0" w:color="FFFFFF"/>
              <w:left w:val="nil"/>
            </w:tcBorders>
            <w:shd w:val="clear" w:color="auto" w:fill="F1F1F1"/>
          </w:tcPr>
          <w:p w14:paraId="6002F7F3" w14:textId="77777777" w:rsidR="00141B97" w:rsidRDefault="00911D63">
            <w:pPr>
              <w:pStyle w:val="TableParagraph"/>
              <w:ind w:left="95"/>
              <w:rPr>
                <w:sz w:val="16"/>
              </w:rPr>
            </w:pPr>
            <w:r>
              <w:rPr>
                <w:w w:val="99"/>
                <w:sz w:val="16"/>
              </w:rPr>
              <w:t>e</w:t>
            </w:r>
          </w:p>
        </w:tc>
        <w:tc>
          <w:tcPr>
            <w:tcW w:w="4710" w:type="dxa"/>
            <w:tcBorders>
              <w:top w:val="single" w:sz="4" w:space="0" w:color="FFFFFF"/>
            </w:tcBorders>
            <w:shd w:val="clear" w:color="auto" w:fill="F1F1F1"/>
          </w:tcPr>
          <w:p w14:paraId="6CEF1332" w14:textId="77777777" w:rsidR="00141B97" w:rsidRDefault="00911D63">
            <w:pPr>
              <w:pStyle w:val="TableParagraph"/>
              <w:ind w:left="99"/>
              <w:rPr>
                <w:sz w:val="16"/>
              </w:rPr>
            </w:pPr>
            <w:r>
              <w:rPr>
                <w:sz w:val="16"/>
              </w:rPr>
              <w:t>Odour</w:t>
            </w:r>
            <w:r>
              <w:rPr>
                <w:spacing w:val="-8"/>
                <w:sz w:val="16"/>
              </w:rPr>
              <w:t xml:space="preserve"> </w:t>
            </w:r>
            <w:r>
              <w:rPr>
                <w:sz w:val="16"/>
              </w:rPr>
              <w:t>complaints</w:t>
            </w:r>
            <w:r>
              <w:rPr>
                <w:spacing w:val="-8"/>
                <w:sz w:val="16"/>
              </w:rPr>
              <w:t xml:space="preserve"> </w:t>
            </w:r>
            <w:r>
              <w:rPr>
                <w:sz w:val="16"/>
              </w:rPr>
              <w:t>(includes</w:t>
            </w:r>
            <w:r>
              <w:rPr>
                <w:spacing w:val="-9"/>
                <w:sz w:val="16"/>
              </w:rPr>
              <w:t xml:space="preserve"> </w:t>
            </w:r>
            <w:r>
              <w:rPr>
                <w:sz w:val="16"/>
              </w:rPr>
              <w:t>sewerage</w:t>
            </w:r>
            <w:r>
              <w:rPr>
                <w:spacing w:val="-8"/>
                <w:sz w:val="16"/>
              </w:rPr>
              <w:t xml:space="preserve"> </w:t>
            </w:r>
            <w:r>
              <w:rPr>
                <w:sz w:val="16"/>
              </w:rPr>
              <w:t>systems</w:t>
            </w:r>
            <w:r>
              <w:rPr>
                <w:spacing w:val="-9"/>
                <w:sz w:val="16"/>
              </w:rPr>
              <w:t xml:space="preserve"> </w:t>
            </w:r>
            <w:r>
              <w:rPr>
                <w:sz w:val="16"/>
              </w:rPr>
              <w:t>and</w:t>
            </w:r>
            <w:r>
              <w:rPr>
                <w:spacing w:val="-8"/>
                <w:sz w:val="16"/>
              </w:rPr>
              <w:t xml:space="preserve"> </w:t>
            </w:r>
            <w:r>
              <w:rPr>
                <w:sz w:val="16"/>
              </w:rPr>
              <w:t>treatment</w:t>
            </w:r>
            <w:r>
              <w:rPr>
                <w:spacing w:val="-9"/>
                <w:sz w:val="16"/>
              </w:rPr>
              <w:t xml:space="preserve"> </w:t>
            </w:r>
            <w:r>
              <w:rPr>
                <w:spacing w:val="-2"/>
                <w:sz w:val="16"/>
              </w:rPr>
              <w:t>plants)</w:t>
            </w:r>
          </w:p>
        </w:tc>
        <w:tc>
          <w:tcPr>
            <w:tcW w:w="1121" w:type="dxa"/>
            <w:tcBorders>
              <w:top w:val="single" w:sz="4" w:space="0" w:color="FFFFFF"/>
              <w:right w:val="single" w:sz="4" w:space="0" w:color="FFFFFF"/>
            </w:tcBorders>
            <w:shd w:val="clear" w:color="auto" w:fill="F1F1F1"/>
          </w:tcPr>
          <w:p w14:paraId="2AC050EA"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right w:val="nil"/>
            </w:tcBorders>
            <w:shd w:val="clear" w:color="auto" w:fill="00B04F"/>
          </w:tcPr>
          <w:p w14:paraId="2EECDC47" w14:textId="77777777" w:rsidR="00141B97" w:rsidRDefault="00911D63">
            <w:pPr>
              <w:pStyle w:val="TableParagraph"/>
              <w:spacing w:line="197" w:lineRule="exact"/>
              <w:jc w:val="center"/>
              <w:rPr>
                <w:sz w:val="18"/>
              </w:rPr>
            </w:pPr>
            <w:r>
              <w:rPr>
                <w:sz w:val="18"/>
              </w:rPr>
              <w:t>4</w:t>
            </w:r>
          </w:p>
        </w:tc>
        <w:tc>
          <w:tcPr>
            <w:tcW w:w="903" w:type="dxa"/>
            <w:tcBorders>
              <w:top w:val="single" w:sz="4" w:space="0" w:color="FFFFFF"/>
              <w:left w:val="nil"/>
            </w:tcBorders>
            <w:shd w:val="clear" w:color="auto" w:fill="FFC000"/>
          </w:tcPr>
          <w:p w14:paraId="4FCB5D45" w14:textId="77777777" w:rsidR="00141B97" w:rsidRDefault="00911D63">
            <w:pPr>
              <w:pStyle w:val="TableParagraph"/>
              <w:spacing w:line="197" w:lineRule="exact"/>
              <w:ind w:left="298" w:right="298"/>
              <w:jc w:val="center"/>
              <w:rPr>
                <w:sz w:val="18"/>
              </w:rPr>
            </w:pPr>
            <w:r>
              <w:rPr>
                <w:spacing w:val="-5"/>
                <w:sz w:val="18"/>
              </w:rPr>
              <w:t>10</w:t>
            </w:r>
          </w:p>
        </w:tc>
        <w:tc>
          <w:tcPr>
            <w:tcW w:w="831" w:type="dxa"/>
            <w:tcBorders>
              <w:top w:val="single" w:sz="4" w:space="0" w:color="FFFFFF"/>
              <w:right w:val="nil"/>
            </w:tcBorders>
            <w:shd w:val="clear" w:color="auto" w:fill="FFC000"/>
          </w:tcPr>
          <w:p w14:paraId="47C5F2DD" w14:textId="77777777" w:rsidR="00141B97" w:rsidRDefault="00911D63">
            <w:pPr>
              <w:pStyle w:val="TableParagraph"/>
              <w:spacing w:line="197" w:lineRule="exact"/>
              <w:ind w:left="90" w:right="89"/>
              <w:jc w:val="center"/>
              <w:rPr>
                <w:sz w:val="18"/>
              </w:rPr>
            </w:pPr>
            <w:r>
              <w:rPr>
                <w:spacing w:val="-5"/>
                <w:sz w:val="18"/>
              </w:rPr>
              <w:t>12</w:t>
            </w:r>
          </w:p>
        </w:tc>
        <w:tc>
          <w:tcPr>
            <w:tcW w:w="840" w:type="dxa"/>
            <w:tcBorders>
              <w:top w:val="single" w:sz="4" w:space="0" w:color="FFFFFF"/>
              <w:left w:val="nil"/>
              <w:right w:val="nil"/>
            </w:tcBorders>
            <w:shd w:val="clear" w:color="auto" w:fill="00B04F"/>
          </w:tcPr>
          <w:p w14:paraId="1002D71D" w14:textId="77777777" w:rsidR="00141B97" w:rsidRDefault="00911D63">
            <w:pPr>
              <w:pStyle w:val="TableParagraph"/>
              <w:spacing w:line="197" w:lineRule="exact"/>
              <w:ind w:left="5"/>
              <w:jc w:val="center"/>
              <w:rPr>
                <w:sz w:val="18"/>
              </w:rPr>
            </w:pPr>
            <w:r>
              <w:rPr>
                <w:sz w:val="18"/>
              </w:rPr>
              <w:t>4</w:t>
            </w:r>
          </w:p>
        </w:tc>
      </w:tr>
      <w:tr w:rsidR="00141B97" w14:paraId="0D1E6163" w14:textId="77777777">
        <w:trPr>
          <w:trHeight w:val="217"/>
        </w:trPr>
        <w:tc>
          <w:tcPr>
            <w:tcW w:w="6228" w:type="dxa"/>
            <w:gridSpan w:val="3"/>
            <w:tcBorders>
              <w:left w:val="nil"/>
              <w:bottom w:val="single" w:sz="4" w:space="0" w:color="FFFFFF"/>
              <w:right w:val="single" w:sz="4" w:space="0" w:color="FFFFFF"/>
            </w:tcBorders>
            <w:shd w:val="clear" w:color="auto" w:fill="D0CECE"/>
          </w:tcPr>
          <w:p w14:paraId="0C7AEA13" w14:textId="77777777" w:rsidR="00141B97" w:rsidRDefault="00911D63">
            <w:pPr>
              <w:pStyle w:val="TableParagraph"/>
              <w:spacing w:line="197" w:lineRule="exact"/>
              <w:ind w:left="98"/>
              <w:rPr>
                <w:sz w:val="18"/>
              </w:rPr>
            </w:pPr>
            <w:r>
              <w:rPr>
                <w:sz w:val="18"/>
              </w:rPr>
              <w:t>#</w:t>
            </w:r>
            <w:r>
              <w:rPr>
                <w:spacing w:val="-1"/>
                <w:sz w:val="18"/>
              </w:rPr>
              <w:t xml:space="preserve"> </w:t>
            </w:r>
            <w:r>
              <w:rPr>
                <w:sz w:val="18"/>
              </w:rPr>
              <w:t>5: Be</w:t>
            </w:r>
            <w:r>
              <w:rPr>
                <w:spacing w:val="-1"/>
                <w:sz w:val="18"/>
              </w:rPr>
              <w:t xml:space="preserve"> </w:t>
            </w:r>
            <w:r>
              <w:rPr>
                <w:sz w:val="18"/>
              </w:rPr>
              <w:t>present</w:t>
            </w:r>
            <w:r>
              <w:rPr>
                <w:spacing w:val="-1"/>
                <w:sz w:val="18"/>
              </w:rPr>
              <w:t xml:space="preserve"> </w:t>
            </w:r>
            <w:r>
              <w:rPr>
                <w:sz w:val="18"/>
              </w:rPr>
              <w:t>and</w:t>
            </w:r>
            <w:r>
              <w:rPr>
                <w:spacing w:val="-1"/>
                <w:sz w:val="18"/>
              </w:rPr>
              <w:t xml:space="preserve"> </w:t>
            </w:r>
            <w:r>
              <w:rPr>
                <w:sz w:val="18"/>
              </w:rPr>
              <w:t>active</w:t>
            </w:r>
            <w:r>
              <w:rPr>
                <w:spacing w:val="-1"/>
                <w:sz w:val="18"/>
              </w:rPr>
              <w:t xml:space="preserve"> </w:t>
            </w:r>
            <w:r>
              <w:rPr>
                <w:sz w:val="18"/>
              </w:rPr>
              <w:t>in the</w:t>
            </w:r>
            <w:r>
              <w:rPr>
                <w:spacing w:val="-1"/>
                <w:sz w:val="18"/>
              </w:rPr>
              <w:t xml:space="preserve"> </w:t>
            </w:r>
            <w:r>
              <w:rPr>
                <w:spacing w:val="-2"/>
                <w:sz w:val="18"/>
              </w:rPr>
              <w:t>community</w:t>
            </w:r>
          </w:p>
        </w:tc>
        <w:tc>
          <w:tcPr>
            <w:tcW w:w="1720" w:type="dxa"/>
            <w:gridSpan w:val="2"/>
            <w:tcBorders>
              <w:left w:val="single" w:sz="4" w:space="0" w:color="FFFFFF"/>
              <w:bottom w:val="single" w:sz="4" w:space="0" w:color="FFFFFF"/>
            </w:tcBorders>
            <w:shd w:val="clear" w:color="auto" w:fill="00B04F"/>
          </w:tcPr>
          <w:p w14:paraId="6272986B" w14:textId="77777777" w:rsidR="00141B97" w:rsidRDefault="00141B97">
            <w:pPr>
              <w:pStyle w:val="TableParagraph"/>
              <w:rPr>
                <w:rFonts w:ascii="Times New Roman"/>
                <w:sz w:val="14"/>
              </w:rPr>
            </w:pPr>
          </w:p>
        </w:tc>
        <w:tc>
          <w:tcPr>
            <w:tcW w:w="1671" w:type="dxa"/>
            <w:gridSpan w:val="2"/>
            <w:tcBorders>
              <w:bottom w:val="single" w:sz="4" w:space="0" w:color="FFFFFF"/>
              <w:right w:val="nil"/>
            </w:tcBorders>
            <w:shd w:val="clear" w:color="auto" w:fill="00B04F"/>
          </w:tcPr>
          <w:p w14:paraId="614E1F94" w14:textId="77777777" w:rsidR="00141B97" w:rsidRDefault="00141B97">
            <w:pPr>
              <w:pStyle w:val="TableParagraph"/>
              <w:rPr>
                <w:rFonts w:ascii="Times New Roman"/>
                <w:sz w:val="14"/>
              </w:rPr>
            </w:pPr>
          </w:p>
        </w:tc>
      </w:tr>
      <w:tr w:rsidR="00141B97" w14:paraId="5B9243F2" w14:textId="77777777">
        <w:trPr>
          <w:trHeight w:val="405"/>
        </w:trPr>
        <w:tc>
          <w:tcPr>
            <w:tcW w:w="397" w:type="dxa"/>
            <w:tcBorders>
              <w:top w:val="single" w:sz="4" w:space="0" w:color="FFFFFF"/>
              <w:left w:val="nil"/>
              <w:bottom w:val="single" w:sz="4" w:space="0" w:color="FFFFFF"/>
            </w:tcBorders>
            <w:shd w:val="clear" w:color="auto" w:fill="F1F1F1"/>
          </w:tcPr>
          <w:p w14:paraId="618AC6AA" w14:textId="77777777" w:rsidR="00141B97" w:rsidRDefault="00911D63">
            <w:pPr>
              <w:pStyle w:val="TableParagraph"/>
              <w:ind w:left="95"/>
              <w:rPr>
                <w:sz w:val="16"/>
              </w:rPr>
            </w:pPr>
            <w:r>
              <w:rPr>
                <w:w w:val="99"/>
                <w:sz w:val="16"/>
              </w:rPr>
              <w:t>a</w:t>
            </w:r>
          </w:p>
        </w:tc>
        <w:tc>
          <w:tcPr>
            <w:tcW w:w="4710" w:type="dxa"/>
            <w:tcBorders>
              <w:top w:val="single" w:sz="4" w:space="0" w:color="FFFFFF"/>
              <w:bottom w:val="single" w:sz="4" w:space="0" w:color="FFFFFF"/>
            </w:tcBorders>
            <w:shd w:val="clear" w:color="auto" w:fill="F1F1F1"/>
          </w:tcPr>
          <w:p w14:paraId="23F44E56" w14:textId="77777777" w:rsidR="00141B97" w:rsidRDefault="00911D63">
            <w:pPr>
              <w:pStyle w:val="TableParagraph"/>
              <w:ind w:left="99"/>
              <w:rPr>
                <w:sz w:val="16"/>
              </w:rPr>
            </w:pPr>
            <w:r>
              <w:rPr>
                <w:sz w:val="16"/>
              </w:rPr>
              <w:t>Annual</w:t>
            </w:r>
            <w:r>
              <w:rPr>
                <w:spacing w:val="-7"/>
                <w:sz w:val="16"/>
              </w:rPr>
              <w:t xml:space="preserve"> </w:t>
            </w:r>
            <w:r>
              <w:rPr>
                <w:sz w:val="16"/>
              </w:rPr>
              <w:t>survey:</w:t>
            </w:r>
            <w:r>
              <w:rPr>
                <w:spacing w:val="-7"/>
                <w:sz w:val="16"/>
              </w:rPr>
              <w:t xml:space="preserve"> </w:t>
            </w:r>
            <w:r>
              <w:rPr>
                <w:sz w:val="16"/>
              </w:rPr>
              <w:t>Customers</w:t>
            </w:r>
            <w:r>
              <w:rPr>
                <w:spacing w:val="-6"/>
                <w:sz w:val="16"/>
              </w:rPr>
              <w:t xml:space="preserve"> </w:t>
            </w:r>
            <w:r>
              <w:rPr>
                <w:sz w:val="16"/>
              </w:rPr>
              <w:t>satisfied</w:t>
            </w:r>
            <w:r>
              <w:rPr>
                <w:spacing w:val="-7"/>
                <w:sz w:val="16"/>
              </w:rPr>
              <w:t xml:space="preserve"> </w:t>
            </w:r>
            <w:r>
              <w:rPr>
                <w:sz w:val="16"/>
              </w:rPr>
              <w:t>with</w:t>
            </w:r>
            <w:r>
              <w:rPr>
                <w:spacing w:val="-7"/>
                <w:sz w:val="16"/>
              </w:rPr>
              <w:t xml:space="preserve"> </w:t>
            </w:r>
            <w:r>
              <w:rPr>
                <w:sz w:val="16"/>
              </w:rPr>
              <w:t>LMW's</w:t>
            </w:r>
            <w:r>
              <w:rPr>
                <w:spacing w:val="-7"/>
                <w:sz w:val="16"/>
              </w:rPr>
              <w:t xml:space="preserve"> </w:t>
            </w:r>
            <w:r>
              <w:rPr>
                <w:sz w:val="16"/>
              </w:rPr>
              <w:t>role</w:t>
            </w:r>
            <w:r>
              <w:rPr>
                <w:spacing w:val="-6"/>
                <w:sz w:val="16"/>
              </w:rPr>
              <w:t xml:space="preserve"> </w:t>
            </w:r>
            <w:r>
              <w:rPr>
                <w:sz w:val="16"/>
              </w:rPr>
              <w:t>in</w:t>
            </w:r>
            <w:r>
              <w:rPr>
                <w:spacing w:val="-7"/>
                <w:sz w:val="16"/>
              </w:rPr>
              <w:t xml:space="preserve"> </w:t>
            </w:r>
            <w:r>
              <w:rPr>
                <w:spacing w:val="-5"/>
                <w:sz w:val="16"/>
              </w:rPr>
              <w:t>the</w:t>
            </w:r>
          </w:p>
          <w:p w14:paraId="6E6E0644" w14:textId="77777777" w:rsidR="00141B97" w:rsidRDefault="00911D63">
            <w:pPr>
              <w:pStyle w:val="TableParagraph"/>
              <w:spacing w:line="190" w:lineRule="exact"/>
              <w:ind w:left="99"/>
              <w:rPr>
                <w:sz w:val="16"/>
              </w:rPr>
            </w:pPr>
            <w:r>
              <w:rPr>
                <w:sz w:val="16"/>
              </w:rPr>
              <w:t>community</w:t>
            </w:r>
            <w:r>
              <w:rPr>
                <w:spacing w:val="-6"/>
                <w:sz w:val="16"/>
              </w:rPr>
              <w:t xml:space="preserve"> </w:t>
            </w:r>
            <w:r>
              <w:rPr>
                <w:sz w:val="16"/>
              </w:rPr>
              <w:t>(rating</w:t>
            </w:r>
            <w:r>
              <w:rPr>
                <w:spacing w:val="-5"/>
                <w:sz w:val="16"/>
              </w:rPr>
              <w:t xml:space="preserve"> </w:t>
            </w:r>
            <w:r>
              <w:rPr>
                <w:sz w:val="16"/>
              </w:rPr>
              <w:t>of</w:t>
            </w:r>
            <w:r>
              <w:rPr>
                <w:spacing w:val="-5"/>
                <w:sz w:val="16"/>
              </w:rPr>
              <w:t xml:space="preserve"> </w:t>
            </w:r>
            <w:r>
              <w:rPr>
                <w:sz w:val="16"/>
              </w:rPr>
              <w:t>satisfied,</w:t>
            </w:r>
            <w:r>
              <w:rPr>
                <w:spacing w:val="-6"/>
                <w:sz w:val="16"/>
              </w:rPr>
              <w:t xml:space="preserve"> </w:t>
            </w:r>
            <w:r>
              <w:rPr>
                <w:sz w:val="16"/>
              </w:rPr>
              <w:t>very</w:t>
            </w:r>
            <w:r>
              <w:rPr>
                <w:spacing w:val="-6"/>
                <w:sz w:val="16"/>
              </w:rPr>
              <w:t xml:space="preserve"> </w:t>
            </w:r>
            <w:r>
              <w:rPr>
                <w:sz w:val="16"/>
              </w:rPr>
              <w:t>and</w:t>
            </w:r>
            <w:r>
              <w:rPr>
                <w:spacing w:val="-6"/>
                <w:sz w:val="16"/>
              </w:rPr>
              <w:t xml:space="preserve"> </w:t>
            </w:r>
            <w:r>
              <w:rPr>
                <w:sz w:val="16"/>
              </w:rPr>
              <w:t>extremely</w:t>
            </w:r>
            <w:r>
              <w:rPr>
                <w:spacing w:val="-6"/>
                <w:sz w:val="16"/>
              </w:rPr>
              <w:t xml:space="preserve"> </w:t>
            </w:r>
            <w:r>
              <w:rPr>
                <w:spacing w:val="-2"/>
                <w:sz w:val="16"/>
              </w:rPr>
              <w:t>satisfied)</w:t>
            </w:r>
          </w:p>
        </w:tc>
        <w:tc>
          <w:tcPr>
            <w:tcW w:w="1121" w:type="dxa"/>
            <w:tcBorders>
              <w:top w:val="single" w:sz="4" w:space="0" w:color="FFFFFF"/>
              <w:bottom w:val="single" w:sz="4" w:space="0" w:color="FFFFFF"/>
              <w:right w:val="single" w:sz="4" w:space="0" w:color="FFFFFF"/>
            </w:tcBorders>
            <w:shd w:val="clear" w:color="auto" w:fill="F1F1F1"/>
          </w:tcPr>
          <w:p w14:paraId="0DF3546B" w14:textId="77777777" w:rsidR="00141B97" w:rsidRDefault="00911D63">
            <w:pPr>
              <w:pStyle w:val="TableParagraph"/>
              <w:ind w:left="99"/>
              <w:rPr>
                <w:sz w:val="16"/>
              </w:rPr>
            </w:pPr>
            <w:r>
              <w:rPr>
                <w:sz w:val="16"/>
              </w:rPr>
              <w:t>%</w:t>
            </w:r>
            <w:r>
              <w:rPr>
                <w:spacing w:val="-3"/>
                <w:sz w:val="16"/>
              </w:rPr>
              <w:t xml:space="preserve"> </w:t>
            </w:r>
            <w:r>
              <w:rPr>
                <w:spacing w:val="-2"/>
                <w:sz w:val="16"/>
              </w:rPr>
              <w:t>customers</w:t>
            </w:r>
          </w:p>
          <w:p w14:paraId="4AFA4E22" w14:textId="77777777" w:rsidR="00141B97" w:rsidRDefault="00911D63">
            <w:pPr>
              <w:pStyle w:val="TableParagraph"/>
              <w:spacing w:line="190" w:lineRule="exact"/>
              <w:ind w:left="99"/>
              <w:rPr>
                <w:sz w:val="16"/>
              </w:rPr>
            </w:pPr>
            <w:r>
              <w:rPr>
                <w:spacing w:val="-2"/>
                <w:sz w:val="16"/>
              </w:rPr>
              <w:t>surveyed</w:t>
            </w:r>
          </w:p>
        </w:tc>
        <w:tc>
          <w:tcPr>
            <w:tcW w:w="817" w:type="dxa"/>
            <w:tcBorders>
              <w:top w:val="single" w:sz="4" w:space="0" w:color="FFFFFF"/>
              <w:left w:val="single" w:sz="4" w:space="0" w:color="FFFFFF"/>
              <w:bottom w:val="single" w:sz="4" w:space="0" w:color="FFFFFF"/>
              <w:right w:val="nil"/>
            </w:tcBorders>
            <w:shd w:val="clear" w:color="auto" w:fill="00B04F"/>
          </w:tcPr>
          <w:p w14:paraId="7F945034" w14:textId="77777777" w:rsidR="00141B97" w:rsidRDefault="00911D63">
            <w:pPr>
              <w:pStyle w:val="TableParagraph"/>
              <w:spacing w:before="92"/>
              <w:ind w:left="141" w:right="141"/>
              <w:jc w:val="center"/>
              <w:rPr>
                <w:sz w:val="18"/>
              </w:rPr>
            </w:pPr>
            <w:r>
              <w:rPr>
                <w:spacing w:val="-5"/>
                <w:sz w:val="18"/>
              </w:rPr>
              <w:t>95%</w:t>
            </w:r>
          </w:p>
        </w:tc>
        <w:tc>
          <w:tcPr>
            <w:tcW w:w="903" w:type="dxa"/>
            <w:tcBorders>
              <w:top w:val="single" w:sz="4" w:space="0" w:color="FFFFFF"/>
              <w:left w:val="nil"/>
              <w:bottom w:val="single" w:sz="4" w:space="0" w:color="FFFFFF"/>
            </w:tcBorders>
            <w:shd w:val="clear" w:color="auto" w:fill="00B04F"/>
          </w:tcPr>
          <w:p w14:paraId="77D5E3A2" w14:textId="77777777" w:rsidR="00141B97" w:rsidRDefault="00911D63">
            <w:pPr>
              <w:pStyle w:val="TableParagraph"/>
              <w:spacing w:before="92"/>
              <w:ind w:left="289"/>
              <w:rPr>
                <w:sz w:val="18"/>
              </w:rPr>
            </w:pPr>
            <w:r>
              <w:rPr>
                <w:spacing w:val="-5"/>
                <w:sz w:val="18"/>
              </w:rPr>
              <w:t>95%</w:t>
            </w:r>
          </w:p>
        </w:tc>
        <w:tc>
          <w:tcPr>
            <w:tcW w:w="831" w:type="dxa"/>
            <w:tcBorders>
              <w:top w:val="single" w:sz="4" w:space="0" w:color="FFFFFF"/>
              <w:bottom w:val="single" w:sz="4" w:space="0" w:color="FFFFFF"/>
              <w:right w:val="nil"/>
            </w:tcBorders>
            <w:shd w:val="clear" w:color="auto" w:fill="00B04F"/>
          </w:tcPr>
          <w:p w14:paraId="638AAAB8" w14:textId="77777777" w:rsidR="00141B97" w:rsidRDefault="00911D63">
            <w:pPr>
              <w:pStyle w:val="TableParagraph"/>
              <w:spacing w:before="92"/>
              <w:ind w:left="90" w:right="89"/>
              <w:jc w:val="center"/>
              <w:rPr>
                <w:sz w:val="18"/>
              </w:rPr>
            </w:pPr>
            <w:r>
              <w:rPr>
                <w:spacing w:val="-5"/>
                <w:sz w:val="18"/>
              </w:rPr>
              <w:t>94%</w:t>
            </w:r>
          </w:p>
        </w:tc>
        <w:tc>
          <w:tcPr>
            <w:tcW w:w="840" w:type="dxa"/>
            <w:tcBorders>
              <w:top w:val="single" w:sz="4" w:space="0" w:color="FFFFFF"/>
              <w:left w:val="nil"/>
              <w:bottom w:val="single" w:sz="4" w:space="0" w:color="FFFFFF"/>
              <w:right w:val="nil"/>
            </w:tcBorders>
            <w:shd w:val="clear" w:color="auto" w:fill="FFC000"/>
          </w:tcPr>
          <w:p w14:paraId="59C45233" w14:textId="77777777" w:rsidR="00141B97" w:rsidRDefault="00911D63">
            <w:pPr>
              <w:pStyle w:val="TableParagraph"/>
              <w:spacing w:before="92"/>
              <w:ind w:left="5"/>
              <w:jc w:val="center"/>
              <w:rPr>
                <w:sz w:val="18"/>
              </w:rPr>
            </w:pPr>
            <w:r>
              <w:rPr>
                <w:spacing w:val="-5"/>
                <w:sz w:val="18"/>
              </w:rPr>
              <w:t>93%</w:t>
            </w:r>
          </w:p>
        </w:tc>
      </w:tr>
      <w:tr w:rsidR="00141B97" w14:paraId="5F646136" w14:textId="77777777">
        <w:trPr>
          <w:trHeight w:val="219"/>
        </w:trPr>
        <w:tc>
          <w:tcPr>
            <w:tcW w:w="397" w:type="dxa"/>
            <w:tcBorders>
              <w:top w:val="single" w:sz="4" w:space="0" w:color="FFFFFF"/>
              <w:left w:val="nil"/>
              <w:bottom w:val="single" w:sz="4" w:space="0" w:color="FFFFFF"/>
            </w:tcBorders>
            <w:shd w:val="clear" w:color="auto" w:fill="F1F1F1"/>
          </w:tcPr>
          <w:p w14:paraId="15457774" w14:textId="77777777" w:rsidR="00141B97" w:rsidRDefault="00911D63">
            <w:pPr>
              <w:pStyle w:val="TableParagraph"/>
              <w:ind w:left="95"/>
              <w:rPr>
                <w:sz w:val="16"/>
              </w:rPr>
            </w:pPr>
            <w:r>
              <w:rPr>
                <w:w w:val="99"/>
                <w:sz w:val="16"/>
              </w:rPr>
              <w:t>b</w:t>
            </w:r>
          </w:p>
        </w:tc>
        <w:tc>
          <w:tcPr>
            <w:tcW w:w="4710" w:type="dxa"/>
            <w:tcBorders>
              <w:top w:val="single" w:sz="4" w:space="0" w:color="FFFFFF"/>
              <w:bottom w:val="single" w:sz="4" w:space="0" w:color="FFFFFF"/>
            </w:tcBorders>
            <w:shd w:val="clear" w:color="auto" w:fill="F1F1F1"/>
          </w:tcPr>
          <w:p w14:paraId="25045D22" w14:textId="77777777" w:rsidR="00141B97" w:rsidRDefault="00911D63">
            <w:pPr>
              <w:pStyle w:val="TableParagraph"/>
              <w:ind w:left="99"/>
              <w:rPr>
                <w:sz w:val="16"/>
              </w:rPr>
            </w:pPr>
            <w:r>
              <w:rPr>
                <w:sz w:val="16"/>
              </w:rPr>
              <w:t>LMW</w:t>
            </w:r>
            <w:r>
              <w:rPr>
                <w:spacing w:val="-6"/>
                <w:sz w:val="16"/>
              </w:rPr>
              <w:t xml:space="preserve"> </w:t>
            </w:r>
            <w:r>
              <w:rPr>
                <w:sz w:val="16"/>
              </w:rPr>
              <w:t>and</w:t>
            </w:r>
            <w:r>
              <w:rPr>
                <w:spacing w:val="-5"/>
                <w:sz w:val="16"/>
              </w:rPr>
              <w:t xml:space="preserve"> </w:t>
            </w:r>
            <w:r>
              <w:rPr>
                <w:sz w:val="16"/>
              </w:rPr>
              <w:t>local</w:t>
            </w:r>
            <w:r>
              <w:rPr>
                <w:spacing w:val="-6"/>
                <w:sz w:val="16"/>
              </w:rPr>
              <w:t xml:space="preserve"> </w:t>
            </w:r>
            <w:r>
              <w:rPr>
                <w:sz w:val="16"/>
              </w:rPr>
              <w:t>engagement</w:t>
            </w:r>
            <w:r>
              <w:rPr>
                <w:spacing w:val="-5"/>
                <w:sz w:val="16"/>
              </w:rPr>
              <w:t xml:space="preserve"> </w:t>
            </w:r>
            <w:r>
              <w:rPr>
                <w:sz w:val="16"/>
              </w:rPr>
              <w:t>groups</w:t>
            </w:r>
            <w:r>
              <w:rPr>
                <w:spacing w:val="-5"/>
                <w:sz w:val="16"/>
              </w:rPr>
              <w:t xml:space="preserve"> </w:t>
            </w:r>
            <w:r>
              <w:rPr>
                <w:sz w:val="16"/>
              </w:rPr>
              <w:t>to</w:t>
            </w:r>
            <w:r>
              <w:rPr>
                <w:spacing w:val="-5"/>
                <w:sz w:val="16"/>
              </w:rPr>
              <w:t xml:space="preserve"> </w:t>
            </w:r>
            <w:r>
              <w:rPr>
                <w:sz w:val="16"/>
              </w:rPr>
              <w:t>meet</w:t>
            </w:r>
            <w:r>
              <w:rPr>
                <w:spacing w:val="-5"/>
                <w:sz w:val="16"/>
              </w:rPr>
              <w:t xml:space="preserve"> </w:t>
            </w:r>
            <w:r>
              <w:rPr>
                <w:sz w:val="16"/>
              </w:rPr>
              <w:t>formally</w:t>
            </w:r>
            <w:r>
              <w:rPr>
                <w:spacing w:val="-5"/>
                <w:sz w:val="16"/>
              </w:rPr>
              <w:t xml:space="preserve"> </w:t>
            </w:r>
            <w:r>
              <w:rPr>
                <w:spacing w:val="-2"/>
                <w:sz w:val="16"/>
              </w:rPr>
              <w:t>annually</w:t>
            </w:r>
          </w:p>
        </w:tc>
        <w:tc>
          <w:tcPr>
            <w:tcW w:w="1121" w:type="dxa"/>
            <w:tcBorders>
              <w:top w:val="single" w:sz="4" w:space="0" w:color="FFFFFF"/>
              <w:bottom w:val="single" w:sz="4" w:space="0" w:color="FFFFFF"/>
              <w:right w:val="single" w:sz="4" w:space="0" w:color="FFFFFF"/>
            </w:tcBorders>
            <w:shd w:val="clear" w:color="auto" w:fill="F1F1F1"/>
          </w:tcPr>
          <w:p w14:paraId="33759979" w14:textId="77777777" w:rsidR="00141B97" w:rsidRDefault="00911D63">
            <w:pPr>
              <w:pStyle w:val="TableParagraph"/>
              <w:ind w:left="99"/>
              <w:rPr>
                <w:sz w:val="16"/>
              </w:rPr>
            </w:pPr>
            <w:r>
              <w:rPr>
                <w:sz w:val="16"/>
              </w:rPr>
              <w:t>#</w:t>
            </w:r>
            <w:r>
              <w:rPr>
                <w:spacing w:val="-2"/>
                <w:sz w:val="16"/>
              </w:rPr>
              <w:t xml:space="preserve"> meetings</w:t>
            </w:r>
          </w:p>
        </w:tc>
        <w:tc>
          <w:tcPr>
            <w:tcW w:w="817" w:type="dxa"/>
            <w:tcBorders>
              <w:top w:val="single" w:sz="4" w:space="0" w:color="FFFFFF"/>
              <w:left w:val="single" w:sz="4" w:space="0" w:color="FFFFFF"/>
              <w:bottom w:val="single" w:sz="4" w:space="0" w:color="FFFFFF"/>
              <w:right w:val="nil"/>
            </w:tcBorders>
            <w:shd w:val="clear" w:color="auto" w:fill="00B04F"/>
          </w:tcPr>
          <w:p w14:paraId="418D92AB" w14:textId="77777777" w:rsidR="00141B97" w:rsidRDefault="00911D63">
            <w:pPr>
              <w:pStyle w:val="TableParagraph"/>
              <w:spacing w:line="199" w:lineRule="exact"/>
              <w:jc w:val="center"/>
              <w:rPr>
                <w:sz w:val="18"/>
              </w:rPr>
            </w:pPr>
            <w:r>
              <w:rPr>
                <w:sz w:val="18"/>
              </w:rPr>
              <w:t>1</w:t>
            </w:r>
          </w:p>
        </w:tc>
        <w:tc>
          <w:tcPr>
            <w:tcW w:w="903" w:type="dxa"/>
            <w:tcBorders>
              <w:top w:val="single" w:sz="4" w:space="0" w:color="FFFFFF"/>
              <w:left w:val="nil"/>
              <w:bottom w:val="single" w:sz="4" w:space="0" w:color="FFFFFF"/>
            </w:tcBorders>
            <w:shd w:val="clear" w:color="auto" w:fill="00B04F"/>
          </w:tcPr>
          <w:p w14:paraId="6F40908C" w14:textId="77777777" w:rsidR="00141B97" w:rsidRDefault="00911D63">
            <w:pPr>
              <w:pStyle w:val="TableParagraph"/>
              <w:spacing w:line="199" w:lineRule="exact"/>
              <w:jc w:val="center"/>
              <w:rPr>
                <w:sz w:val="18"/>
              </w:rPr>
            </w:pPr>
            <w:r>
              <w:rPr>
                <w:sz w:val="18"/>
              </w:rPr>
              <w:t>1</w:t>
            </w:r>
          </w:p>
        </w:tc>
        <w:tc>
          <w:tcPr>
            <w:tcW w:w="831" w:type="dxa"/>
            <w:tcBorders>
              <w:top w:val="single" w:sz="4" w:space="0" w:color="FFFFFF"/>
              <w:bottom w:val="single" w:sz="4" w:space="0" w:color="FFFFFF"/>
              <w:right w:val="nil"/>
            </w:tcBorders>
            <w:shd w:val="clear" w:color="auto" w:fill="00B04F"/>
          </w:tcPr>
          <w:p w14:paraId="1AF63051" w14:textId="77777777" w:rsidR="00141B97" w:rsidRDefault="00911D63">
            <w:pPr>
              <w:pStyle w:val="TableParagraph"/>
              <w:spacing w:line="199" w:lineRule="exact"/>
              <w:ind w:left="1"/>
              <w:jc w:val="center"/>
              <w:rPr>
                <w:sz w:val="18"/>
              </w:rPr>
            </w:pPr>
            <w:r>
              <w:rPr>
                <w:sz w:val="18"/>
              </w:rPr>
              <w:t>1</w:t>
            </w:r>
          </w:p>
        </w:tc>
        <w:tc>
          <w:tcPr>
            <w:tcW w:w="840" w:type="dxa"/>
            <w:tcBorders>
              <w:top w:val="single" w:sz="4" w:space="0" w:color="FFFFFF"/>
              <w:left w:val="nil"/>
              <w:bottom w:val="single" w:sz="4" w:space="0" w:color="FFFFFF"/>
              <w:right w:val="nil"/>
            </w:tcBorders>
            <w:shd w:val="clear" w:color="auto" w:fill="00B04F"/>
          </w:tcPr>
          <w:p w14:paraId="71A844CD" w14:textId="77777777" w:rsidR="00141B97" w:rsidRDefault="00911D63">
            <w:pPr>
              <w:pStyle w:val="TableParagraph"/>
              <w:spacing w:line="199" w:lineRule="exact"/>
              <w:ind w:left="5"/>
              <w:jc w:val="center"/>
              <w:rPr>
                <w:sz w:val="18"/>
              </w:rPr>
            </w:pPr>
            <w:r>
              <w:rPr>
                <w:sz w:val="18"/>
              </w:rPr>
              <w:t>1</w:t>
            </w:r>
          </w:p>
        </w:tc>
      </w:tr>
      <w:tr w:rsidR="00141B97" w14:paraId="0DE660CF" w14:textId="77777777">
        <w:trPr>
          <w:trHeight w:val="390"/>
        </w:trPr>
        <w:tc>
          <w:tcPr>
            <w:tcW w:w="397" w:type="dxa"/>
            <w:tcBorders>
              <w:top w:val="single" w:sz="4" w:space="0" w:color="FFFFFF"/>
              <w:left w:val="nil"/>
              <w:bottom w:val="single" w:sz="4" w:space="0" w:color="FFFFFF"/>
            </w:tcBorders>
            <w:shd w:val="clear" w:color="auto" w:fill="F1F1F1"/>
          </w:tcPr>
          <w:p w14:paraId="28F22E75" w14:textId="77777777" w:rsidR="00141B97" w:rsidRDefault="00911D63">
            <w:pPr>
              <w:pStyle w:val="TableParagraph"/>
              <w:ind w:left="95"/>
              <w:rPr>
                <w:sz w:val="16"/>
              </w:rPr>
            </w:pPr>
            <w:r>
              <w:rPr>
                <w:w w:val="99"/>
                <w:sz w:val="16"/>
              </w:rPr>
              <w:t>c</w:t>
            </w:r>
          </w:p>
        </w:tc>
        <w:tc>
          <w:tcPr>
            <w:tcW w:w="4710" w:type="dxa"/>
            <w:tcBorders>
              <w:top w:val="single" w:sz="4" w:space="0" w:color="FFFFFF"/>
              <w:bottom w:val="single" w:sz="4" w:space="0" w:color="FFFFFF"/>
            </w:tcBorders>
            <w:shd w:val="clear" w:color="auto" w:fill="F1F1F1"/>
          </w:tcPr>
          <w:p w14:paraId="6DED102C" w14:textId="77777777" w:rsidR="00141B97" w:rsidRDefault="00911D63">
            <w:pPr>
              <w:pStyle w:val="TableParagraph"/>
              <w:ind w:left="99"/>
              <w:rPr>
                <w:sz w:val="16"/>
              </w:rPr>
            </w:pPr>
            <w:r>
              <w:rPr>
                <w:sz w:val="16"/>
              </w:rPr>
              <w:t>'Pop</w:t>
            </w:r>
            <w:r>
              <w:rPr>
                <w:spacing w:val="-6"/>
                <w:sz w:val="16"/>
              </w:rPr>
              <w:t xml:space="preserve"> </w:t>
            </w:r>
            <w:r>
              <w:rPr>
                <w:sz w:val="16"/>
              </w:rPr>
              <w:t>up</w:t>
            </w:r>
            <w:r>
              <w:rPr>
                <w:spacing w:val="-5"/>
                <w:sz w:val="16"/>
              </w:rPr>
              <w:t xml:space="preserve"> </w:t>
            </w:r>
            <w:r>
              <w:rPr>
                <w:sz w:val="16"/>
              </w:rPr>
              <w:t>kiosks'</w:t>
            </w:r>
            <w:r>
              <w:rPr>
                <w:spacing w:val="-4"/>
                <w:sz w:val="16"/>
              </w:rPr>
              <w:t xml:space="preserve"> </w:t>
            </w:r>
            <w:r>
              <w:rPr>
                <w:sz w:val="16"/>
              </w:rPr>
              <w:t>in</w:t>
            </w:r>
            <w:r>
              <w:rPr>
                <w:spacing w:val="-4"/>
                <w:sz w:val="16"/>
              </w:rPr>
              <w:t xml:space="preserve"> </w:t>
            </w:r>
            <w:r>
              <w:rPr>
                <w:sz w:val="16"/>
              </w:rPr>
              <w:t>major</w:t>
            </w:r>
            <w:r>
              <w:rPr>
                <w:spacing w:val="-5"/>
                <w:sz w:val="16"/>
              </w:rPr>
              <w:t xml:space="preserve"> </w:t>
            </w:r>
            <w:r>
              <w:rPr>
                <w:sz w:val="16"/>
              </w:rPr>
              <w:t>shopping</w:t>
            </w:r>
            <w:r>
              <w:rPr>
                <w:spacing w:val="-5"/>
                <w:sz w:val="16"/>
              </w:rPr>
              <w:t xml:space="preserve"> </w:t>
            </w:r>
            <w:r>
              <w:rPr>
                <w:sz w:val="16"/>
              </w:rPr>
              <w:t>centres</w:t>
            </w:r>
            <w:r>
              <w:rPr>
                <w:spacing w:val="-5"/>
                <w:sz w:val="16"/>
              </w:rPr>
              <w:t xml:space="preserve"> </w:t>
            </w:r>
            <w:r>
              <w:rPr>
                <w:sz w:val="16"/>
              </w:rPr>
              <w:t>and</w:t>
            </w:r>
            <w:r>
              <w:rPr>
                <w:spacing w:val="-5"/>
                <w:sz w:val="16"/>
              </w:rPr>
              <w:t xml:space="preserve"> </w:t>
            </w:r>
            <w:r>
              <w:rPr>
                <w:sz w:val="16"/>
              </w:rPr>
              <w:t>at</w:t>
            </w:r>
            <w:r>
              <w:rPr>
                <w:spacing w:val="-5"/>
                <w:sz w:val="16"/>
              </w:rPr>
              <w:t xml:space="preserve"> </w:t>
            </w:r>
            <w:r>
              <w:rPr>
                <w:sz w:val="16"/>
              </w:rPr>
              <w:t>community</w:t>
            </w:r>
            <w:r>
              <w:rPr>
                <w:spacing w:val="-5"/>
                <w:sz w:val="16"/>
              </w:rPr>
              <w:t xml:space="preserve"> </w:t>
            </w:r>
            <w:r>
              <w:rPr>
                <w:spacing w:val="-2"/>
                <w:sz w:val="16"/>
              </w:rPr>
              <w:t>events</w:t>
            </w:r>
          </w:p>
        </w:tc>
        <w:tc>
          <w:tcPr>
            <w:tcW w:w="1121" w:type="dxa"/>
            <w:tcBorders>
              <w:top w:val="single" w:sz="4" w:space="0" w:color="FFFFFF"/>
              <w:bottom w:val="single" w:sz="4" w:space="0" w:color="FFFFFF"/>
              <w:right w:val="single" w:sz="4" w:space="0" w:color="FFFFFF"/>
            </w:tcBorders>
            <w:shd w:val="clear" w:color="auto" w:fill="F1F1F1"/>
          </w:tcPr>
          <w:p w14:paraId="3A9267BD" w14:textId="77777777" w:rsidR="00141B97" w:rsidRDefault="00911D63">
            <w:pPr>
              <w:pStyle w:val="TableParagraph"/>
              <w:ind w:left="99"/>
              <w:rPr>
                <w:sz w:val="16"/>
              </w:rPr>
            </w:pPr>
            <w:r>
              <w:rPr>
                <w:sz w:val="16"/>
              </w:rPr>
              <w:t>Number</w:t>
            </w:r>
            <w:r>
              <w:rPr>
                <w:spacing w:val="-5"/>
                <w:sz w:val="16"/>
              </w:rPr>
              <w:t xml:space="preserve"> of</w:t>
            </w:r>
          </w:p>
          <w:p w14:paraId="1DA28BF6" w14:textId="77777777" w:rsidR="00141B97" w:rsidRDefault="00911D63">
            <w:pPr>
              <w:pStyle w:val="TableParagraph"/>
              <w:spacing w:line="175" w:lineRule="exact"/>
              <w:ind w:left="99"/>
              <w:rPr>
                <w:sz w:val="16"/>
              </w:rPr>
            </w:pPr>
            <w:r>
              <w:rPr>
                <w:spacing w:val="-2"/>
                <w:sz w:val="16"/>
              </w:rPr>
              <w:t>events</w:t>
            </w:r>
          </w:p>
        </w:tc>
        <w:tc>
          <w:tcPr>
            <w:tcW w:w="817" w:type="dxa"/>
            <w:tcBorders>
              <w:top w:val="single" w:sz="4" w:space="0" w:color="FFFFFF"/>
              <w:left w:val="single" w:sz="4" w:space="0" w:color="FFFFFF"/>
              <w:bottom w:val="single" w:sz="4" w:space="0" w:color="FFFFFF"/>
              <w:right w:val="nil"/>
            </w:tcBorders>
            <w:shd w:val="clear" w:color="auto" w:fill="00B04F"/>
          </w:tcPr>
          <w:p w14:paraId="7FE02F16" w14:textId="77777777" w:rsidR="00141B97" w:rsidRDefault="00911D63">
            <w:pPr>
              <w:pStyle w:val="TableParagraph"/>
              <w:spacing w:before="86"/>
              <w:jc w:val="center"/>
              <w:rPr>
                <w:sz w:val="18"/>
              </w:rPr>
            </w:pPr>
            <w:r>
              <w:rPr>
                <w:sz w:val="18"/>
              </w:rPr>
              <w:t>3</w:t>
            </w:r>
          </w:p>
        </w:tc>
        <w:tc>
          <w:tcPr>
            <w:tcW w:w="903" w:type="dxa"/>
            <w:tcBorders>
              <w:top w:val="single" w:sz="4" w:space="0" w:color="FFFFFF"/>
              <w:left w:val="nil"/>
              <w:bottom w:val="single" w:sz="4" w:space="0" w:color="FFFFFF"/>
            </w:tcBorders>
            <w:shd w:val="clear" w:color="auto" w:fill="00B04F"/>
          </w:tcPr>
          <w:p w14:paraId="567B4D36" w14:textId="77777777" w:rsidR="00141B97" w:rsidRDefault="00911D63">
            <w:pPr>
              <w:pStyle w:val="TableParagraph"/>
              <w:spacing w:before="86"/>
              <w:jc w:val="center"/>
              <w:rPr>
                <w:sz w:val="18"/>
              </w:rPr>
            </w:pPr>
            <w:r>
              <w:rPr>
                <w:sz w:val="18"/>
              </w:rPr>
              <w:t>3</w:t>
            </w:r>
          </w:p>
        </w:tc>
        <w:tc>
          <w:tcPr>
            <w:tcW w:w="831" w:type="dxa"/>
            <w:tcBorders>
              <w:top w:val="single" w:sz="4" w:space="0" w:color="FFFFFF"/>
              <w:bottom w:val="single" w:sz="4" w:space="0" w:color="FFFFFF"/>
              <w:right w:val="nil"/>
            </w:tcBorders>
            <w:shd w:val="clear" w:color="auto" w:fill="FFC000"/>
          </w:tcPr>
          <w:p w14:paraId="534DF1F3" w14:textId="77777777" w:rsidR="00141B97" w:rsidRDefault="00911D63">
            <w:pPr>
              <w:pStyle w:val="TableParagraph"/>
              <w:spacing w:before="86"/>
              <w:ind w:left="1"/>
              <w:jc w:val="center"/>
              <w:rPr>
                <w:sz w:val="18"/>
              </w:rPr>
            </w:pPr>
            <w:r>
              <w:rPr>
                <w:sz w:val="18"/>
              </w:rPr>
              <w:t>0</w:t>
            </w:r>
          </w:p>
        </w:tc>
        <w:tc>
          <w:tcPr>
            <w:tcW w:w="840" w:type="dxa"/>
            <w:tcBorders>
              <w:top w:val="single" w:sz="4" w:space="0" w:color="FFFFFF"/>
              <w:left w:val="nil"/>
              <w:bottom w:val="single" w:sz="4" w:space="0" w:color="FFFFFF"/>
              <w:right w:val="nil"/>
            </w:tcBorders>
            <w:shd w:val="clear" w:color="auto" w:fill="00B04F"/>
          </w:tcPr>
          <w:p w14:paraId="7047CF3E" w14:textId="77777777" w:rsidR="00141B97" w:rsidRDefault="00911D63">
            <w:pPr>
              <w:pStyle w:val="TableParagraph"/>
              <w:spacing w:before="86"/>
              <w:ind w:left="5"/>
              <w:jc w:val="center"/>
              <w:rPr>
                <w:sz w:val="18"/>
              </w:rPr>
            </w:pPr>
            <w:r>
              <w:rPr>
                <w:sz w:val="18"/>
              </w:rPr>
              <w:t>7</w:t>
            </w:r>
          </w:p>
        </w:tc>
      </w:tr>
      <w:tr w:rsidR="00141B97" w14:paraId="03026D87" w14:textId="77777777">
        <w:trPr>
          <w:trHeight w:val="390"/>
        </w:trPr>
        <w:tc>
          <w:tcPr>
            <w:tcW w:w="397" w:type="dxa"/>
            <w:tcBorders>
              <w:top w:val="single" w:sz="4" w:space="0" w:color="FFFFFF"/>
              <w:left w:val="nil"/>
              <w:bottom w:val="single" w:sz="4" w:space="0" w:color="FFFFFF"/>
            </w:tcBorders>
            <w:shd w:val="clear" w:color="auto" w:fill="F1F1F1"/>
          </w:tcPr>
          <w:p w14:paraId="5A1C8C3C" w14:textId="77777777" w:rsidR="00141B97" w:rsidRDefault="00911D63">
            <w:pPr>
              <w:pStyle w:val="TableParagraph"/>
              <w:ind w:left="95"/>
              <w:rPr>
                <w:sz w:val="16"/>
              </w:rPr>
            </w:pPr>
            <w:r>
              <w:rPr>
                <w:w w:val="99"/>
                <w:sz w:val="16"/>
              </w:rPr>
              <w:t>d</w:t>
            </w:r>
          </w:p>
        </w:tc>
        <w:tc>
          <w:tcPr>
            <w:tcW w:w="4710" w:type="dxa"/>
            <w:tcBorders>
              <w:top w:val="single" w:sz="4" w:space="0" w:color="FFFFFF"/>
              <w:bottom w:val="single" w:sz="4" w:space="0" w:color="FFFFFF"/>
            </w:tcBorders>
            <w:shd w:val="clear" w:color="auto" w:fill="F1F1F1"/>
          </w:tcPr>
          <w:p w14:paraId="143CCBFE" w14:textId="77777777" w:rsidR="00141B97" w:rsidRDefault="00911D63">
            <w:pPr>
              <w:pStyle w:val="TableParagraph"/>
              <w:ind w:left="99"/>
              <w:rPr>
                <w:sz w:val="16"/>
              </w:rPr>
            </w:pPr>
            <w:r>
              <w:rPr>
                <w:sz w:val="16"/>
              </w:rPr>
              <w:t>Publish</w:t>
            </w:r>
            <w:r>
              <w:rPr>
                <w:spacing w:val="-6"/>
                <w:sz w:val="16"/>
              </w:rPr>
              <w:t xml:space="preserve"> </w:t>
            </w:r>
            <w:r>
              <w:rPr>
                <w:sz w:val="16"/>
              </w:rPr>
              <w:t>monthly</w:t>
            </w:r>
            <w:r>
              <w:rPr>
                <w:spacing w:val="-6"/>
                <w:sz w:val="16"/>
              </w:rPr>
              <w:t xml:space="preserve"> </w:t>
            </w:r>
            <w:r>
              <w:rPr>
                <w:sz w:val="16"/>
              </w:rPr>
              <w:t>LMW</w:t>
            </w:r>
            <w:r>
              <w:rPr>
                <w:spacing w:val="-6"/>
                <w:sz w:val="16"/>
              </w:rPr>
              <w:t xml:space="preserve"> </w:t>
            </w:r>
            <w:r>
              <w:rPr>
                <w:sz w:val="16"/>
              </w:rPr>
              <w:t>newsletter</w:t>
            </w:r>
            <w:r>
              <w:rPr>
                <w:spacing w:val="-6"/>
                <w:sz w:val="16"/>
              </w:rPr>
              <w:t xml:space="preserve"> </w:t>
            </w:r>
            <w:r>
              <w:rPr>
                <w:sz w:val="16"/>
              </w:rPr>
              <w:t>'Inflow'</w:t>
            </w:r>
            <w:r>
              <w:rPr>
                <w:spacing w:val="-6"/>
                <w:sz w:val="16"/>
              </w:rPr>
              <w:t xml:space="preserve"> </w:t>
            </w:r>
            <w:r>
              <w:rPr>
                <w:sz w:val="16"/>
              </w:rPr>
              <w:t>on</w:t>
            </w:r>
            <w:r>
              <w:rPr>
                <w:spacing w:val="-4"/>
                <w:sz w:val="16"/>
              </w:rPr>
              <w:t xml:space="preserve"> </w:t>
            </w:r>
            <w:r>
              <w:rPr>
                <w:sz w:val="16"/>
              </w:rPr>
              <w:t>website</w:t>
            </w:r>
            <w:r>
              <w:rPr>
                <w:spacing w:val="-7"/>
                <w:sz w:val="16"/>
              </w:rPr>
              <w:t xml:space="preserve"> </w:t>
            </w:r>
            <w:r>
              <w:rPr>
                <w:sz w:val="16"/>
              </w:rPr>
              <w:t>&amp;</w:t>
            </w:r>
            <w:r>
              <w:rPr>
                <w:spacing w:val="-5"/>
                <w:sz w:val="16"/>
              </w:rPr>
              <w:t xml:space="preserve"> </w:t>
            </w:r>
            <w:r>
              <w:rPr>
                <w:spacing w:val="-2"/>
                <w:sz w:val="16"/>
              </w:rPr>
              <w:t>email</w:t>
            </w:r>
          </w:p>
          <w:p w14:paraId="7B6A7BDA" w14:textId="77777777" w:rsidR="00141B97" w:rsidRDefault="00911D63">
            <w:pPr>
              <w:pStyle w:val="TableParagraph"/>
              <w:spacing w:line="175" w:lineRule="exact"/>
              <w:ind w:left="99"/>
              <w:rPr>
                <w:sz w:val="16"/>
              </w:rPr>
            </w:pPr>
            <w:r>
              <w:rPr>
                <w:sz w:val="16"/>
              </w:rPr>
              <w:t>informing</w:t>
            </w:r>
            <w:r>
              <w:rPr>
                <w:spacing w:val="-8"/>
                <w:sz w:val="16"/>
              </w:rPr>
              <w:t xml:space="preserve"> </w:t>
            </w:r>
            <w:r>
              <w:rPr>
                <w:sz w:val="16"/>
              </w:rPr>
              <w:t>community</w:t>
            </w:r>
            <w:r>
              <w:rPr>
                <w:spacing w:val="-7"/>
                <w:sz w:val="16"/>
              </w:rPr>
              <w:t xml:space="preserve"> </w:t>
            </w:r>
            <w:r>
              <w:rPr>
                <w:sz w:val="16"/>
              </w:rPr>
              <w:t>on</w:t>
            </w:r>
            <w:r>
              <w:rPr>
                <w:spacing w:val="-8"/>
                <w:sz w:val="16"/>
              </w:rPr>
              <w:t xml:space="preserve"> </w:t>
            </w:r>
            <w:r>
              <w:rPr>
                <w:spacing w:val="-2"/>
                <w:sz w:val="16"/>
              </w:rPr>
              <w:t>activities</w:t>
            </w:r>
          </w:p>
        </w:tc>
        <w:tc>
          <w:tcPr>
            <w:tcW w:w="1121" w:type="dxa"/>
            <w:tcBorders>
              <w:top w:val="single" w:sz="4" w:space="0" w:color="FFFFFF"/>
              <w:bottom w:val="single" w:sz="4" w:space="0" w:color="FFFFFF"/>
              <w:right w:val="single" w:sz="4" w:space="0" w:color="FFFFFF"/>
            </w:tcBorders>
            <w:shd w:val="clear" w:color="auto" w:fill="F1F1F1"/>
          </w:tcPr>
          <w:p w14:paraId="3F1E5D52"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00B04F"/>
          </w:tcPr>
          <w:p w14:paraId="0AEEE7D6" w14:textId="77777777" w:rsidR="00141B97" w:rsidRDefault="00911D63">
            <w:pPr>
              <w:pStyle w:val="TableParagraph"/>
              <w:spacing w:before="86"/>
              <w:ind w:left="141" w:right="141"/>
              <w:jc w:val="center"/>
              <w:rPr>
                <w:sz w:val="18"/>
              </w:rPr>
            </w:pPr>
            <w:r>
              <w:rPr>
                <w:spacing w:val="-5"/>
                <w:sz w:val="18"/>
              </w:rPr>
              <w:t>12</w:t>
            </w:r>
          </w:p>
        </w:tc>
        <w:tc>
          <w:tcPr>
            <w:tcW w:w="903" w:type="dxa"/>
            <w:tcBorders>
              <w:top w:val="single" w:sz="4" w:space="0" w:color="FFFFFF"/>
              <w:left w:val="nil"/>
              <w:bottom w:val="single" w:sz="4" w:space="0" w:color="FFFFFF"/>
            </w:tcBorders>
            <w:shd w:val="clear" w:color="auto" w:fill="00B04F"/>
          </w:tcPr>
          <w:p w14:paraId="0A40B671" w14:textId="77777777" w:rsidR="00141B97" w:rsidRDefault="00911D63">
            <w:pPr>
              <w:pStyle w:val="TableParagraph"/>
              <w:spacing w:before="86"/>
              <w:ind w:left="298" w:right="298"/>
              <w:jc w:val="center"/>
              <w:rPr>
                <w:sz w:val="18"/>
              </w:rPr>
            </w:pPr>
            <w:r>
              <w:rPr>
                <w:spacing w:val="-5"/>
                <w:sz w:val="18"/>
              </w:rPr>
              <w:t>12</w:t>
            </w:r>
          </w:p>
        </w:tc>
        <w:tc>
          <w:tcPr>
            <w:tcW w:w="831" w:type="dxa"/>
            <w:tcBorders>
              <w:top w:val="single" w:sz="4" w:space="0" w:color="FFFFFF"/>
              <w:bottom w:val="single" w:sz="4" w:space="0" w:color="FFFFFF"/>
              <w:right w:val="nil"/>
            </w:tcBorders>
            <w:shd w:val="clear" w:color="auto" w:fill="FFC000"/>
          </w:tcPr>
          <w:p w14:paraId="6FA3BB47" w14:textId="77777777" w:rsidR="00141B97" w:rsidRDefault="00911D63">
            <w:pPr>
              <w:pStyle w:val="TableParagraph"/>
              <w:spacing w:before="86"/>
              <w:ind w:left="1"/>
              <w:jc w:val="center"/>
              <w:rPr>
                <w:sz w:val="18"/>
              </w:rPr>
            </w:pPr>
            <w:r>
              <w:rPr>
                <w:sz w:val="18"/>
              </w:rPr>
              <w:t>4</w:t>
            </w:r>
          </w:p>
        </w:tc>
        <w:tc>
          <w:tcPr>
            <w:tcW w:w="840" w:type="dxa"/>
            <w:tcBorders>
              <w:top w:val="single" w:sz="4" w:space="0" w:color="FFFFFF"/>
              <w:left w:val="nil"/>
              <w:bottom w:val="single" w:sz="4" w:space="0" w:color="FFFFFF"/>
              <w:right w:val="nil"/>
            </w:tcBorders>
            <w:shd w:val="clear" w:color="auto" w:fill="FFC000"/>
          </w:tcPr>
          <w:p w14:paraId="775495C4" w14:textId="77777777" w:rsidR="00141B97" w:rsidRDefault="00911D63">
            <w:pPr>
              <w:pStyle w:val="TableParagraph"/>
              <w:spacing w:before="86"/>
              <w:ind w:left="5"/>
              <w:jc w:val="center"/>
              <w:rPr>
                <w:sz w:val="18"/>
              </w:rPr>
            </w:pPr>
            <w:r>
              <w:rPr>
                <w:sz w:val="18"/>
              </w:rPr>
              <w:t>1</w:t>
            </w:r>
          </w:p>
        </w:tc>
      </w:tr>
      <w:tr w:rsidR="00141B97" w14:paraId="4D5CF9FA" w14:textId="77777777">
        <w:trPr>
          <w:trHeight w:val="217"/>
        </w:trPr>
        <w:tc>
          <w:tcPr>
            <w:tcW w:w="397" w:type="dxa"/>
            <w:tcBorders>
              <w:top w:val="single" w:sz="4" w:space="0" w:color="FFFFFF"/>
              <w:left w:val="nil"/>
            </w:tcBorders>
            <w:shd w:val="clear" w:color="auto" w:fill="F1F1F1"/>
          </w:tcPr>
          <w:p w14:paraId="0F30881F" w14:textId="77777777" w:rsidR="00141B97" w:rsidRDefault="00911D63">
            <w:pPr>
              <w:pStyle w:val="TableParagraph"/>
              <w:ind w:left="95"/>
              <w:rPr>
                <w:sz w:val="16"/>
              </w:rPr>
            </w:pPr>
            <w:r>
              <w:rPr>
                <w:w w:val="99"/>
                <w:sz w:val="16"/>
              </w:rPr>
              <w:t>e</w:t>
            </w:r>
          </w:p>
        </w:tc>
        <w:tc>
          <w:tcPr>
            <w:tcW w:w="4710" w:type="dxa"/>
            <w:tcBorders>
              <w:top w:val="single" w:sz="4" w:space="0" w:color="FFFFFF"/>
            </w:tcBorders>
            <w:shd w:val="clear" w:color="auto" w:fill="F1F1F1"/>
          </w:tcPr>
          <w:p w14:paraId="53E2C9F5" w14:textId="77777777" w:rsidR="00141B97" w:rsidRDefault="00911D63">
            <w:pPr>
              <w:pStyle w:val="TableParagraph"/>
              <w:ind w:left="99"/>
              <w:rPr>
                <w:sz w:val="16"/>
              </w:rPr>
            </w:pPr>
            <w:r>
              <w:rPr>
                <w:sz w:val="16"/>
              </w:rPr>
              <w:t>Open</w:t>
            </w:r>
            <w:r>
              <w:rPr>
                <w:spacing w:val="-5"/>
                <w:sz w:val="16"/>
              </w:rPr>
              <w:t xml:space="preserve"> </w:t>
            </w:r>
            <w:r>
              <w:rPr>
                <w:sz w:val="16"/>
              </w:rPr>
              <w:t>days</w:t>
            </w:r>
            <w:r>
              <w:rPr>
                <w:spacing w:val="-6"/>
                <w:sz w:val="16"/>
              </w:rPr>
              <w:t xml:space="preserve"> </w:t>
            </w:r>
            <w:r>
              <w:rPr>
                <w:sz w:val="16"/>
              </w:rPr>
              <w:t>at</w:t>
            </w:r>
            <w:r>
              <w:rPr>
                <w:spacing w:val="-4"/>
                <w:sz w:val="16"/>
              </w:rPr>
              <w:t xml:space="preserve"> </w:t>
            </w:r>
            <w:r>
              <w:rPr>
                <w:sz w:val="16"/>
              </w:rPr>
              <w:t>LMW's</w:t>
            </w:r>
            <w:r>
              <w:rPr>
                <w:spacing w:val="-5"/>
                <w:sz w:val="16"/>
              </w:rPr>
              <w:t xml:space="preserve"> </w:t>
            </w:r>
            <w:r>
              <w:rPr>
                <w:sz w:val="16"/>
              </w:rPr>
              <w:t>key</w:t>
            </w:r>
            <w:r>
              <w:rPr>
                <w:spacing w:val="-4"/>
                <w:sz w:val="16"/>
              </w:rPr>
              <w:t xml:space="preserve"> </w:t>
            </w:r>
            <w:r>
              <w:rPr>
                <w:sz w:val="16"/>
              </w:rPr>
              <w:t>local</w:t>
            </w:r>
            <w:r>
              <w:rPr>
                <w:spacing w:val="-5"/>
                <w:sz w:val="16"/>
              </w:rPr>
              <w:t xml:space="preserve"> </w:t>
            </w:r>
            <w:r>
              <w:rPr>
                <w:sz w:val="16"/>
              </w:rPr>
              <w:t>infrastructure</w:t>
            </w:r>
            <w:r>
              <w:rPr>
                <w:spacing w:val="-5"/>
                <w:sz w:val="16"/>
              </w:rPr>
              <w:t xml:space="preserve"> </w:t>
            </w:r>
            <w:r>
              <w:rPr>
                <w:spacing w:val="-2"/>
                <w:sz w:val="16"/>
              </w:rPr>
              <w:t>sites</w:t>
            </w:r>
          </w:p>
        </w:tc>
        <w:tc>
          <w:tcPr>
            <w:tcW w:w="1121" w:type="dxa"/>
            <w:tcBorders>
              <w:top w:val="single" w:sz="4" w:space="0" w:color="FFFFFF"/>
              <w:right w:val="single" w:sz="4" w:space="0" w:color="FFFFFF"/>
            </w:tcBorders>
            <w:shd w:val="clear" w:color="auto" w:fill="F1F1F1"/>
          </w:tcPr>
          <w:p w14:paraId="3E6A8B6E"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right w:val="nil"/>
            </w:tcBorders>
            <w:shd w:val="clear" w:color="auto" w:fill="00B04F"/>
          </w:tcPr>
          <w:p w14:paraId="1873C31F" w14:textId="77777777" w:rsidR="00141B97" w:rsidRDefault="00911D63">
            <w:pPr>
              <w:pStyle w:val="TableParagraph"/>
              <w:spacing w:line="197" w:lineRule="exact"/>
              <w:jc w:val="center"/>
              <w:rPr>
                <w:sz w:val="18"/>
              </w:rPr>
            </w:pPr>
            <w:r>
              <w:rPr>
                <w:sz w:val="18"/>
              </w:rPr>
              <w:t>9</w:t>
            </w:r>
          </w:p>
        </w:tc>
        <w:tc>
          <w:tcPr>
            <w:tcW w:w="903" w:type="dxa"/>
            <w:tcBorders>
              <w:top w:val="single" w:sz="4" w:space="0" w:color="FFFFFF"/>
              <w:left w:val="nil"/>
            </w:tcBorders>
            <w:shd w:val="clear" w:color="auto" w:fill="00B04F"/>
          </w:tcPr>
          <w:p w14:paraId="2C112CAB" w14:textId="77777777" w:rsidR="00141B97" w:rsidRDefault="00911D63">
            <w:pPr>
              <w:pStyle w:val="TableParagraph"/>
              <w:spacing w:line="197" w:lineRule="exact"/>
              <w:jc w:val="center"/>
              <w:rPr>
                <w:sz w:val="18"/>
              </w:rPr>
            </w:pPr>
            <w:r>
              <w:rPr>
                <w:sz w:val="18"/>
              </w:rPr>
              <w:t>2</w:t>
            </w:r>
          </w:p>
        </w:tc>
        <w:tc>
          <w:tcPr>
            <w:tcW w:w="831" w:type="dxa"/>
            <w:tcBorders>
              <w:top w:val="single" w:sz="4" w:space="0" w:color="FFFFFF"/>
              <w:right w:val="nil"/>
            </w:tcBorders>
            <w:shd w:val="clear" w:color="auto" w:fill="00B04F"/>
          </w:tcPr>
          <w:p w14:paraId="29EB5CA3" w14:textId="77777777" w:rsidR="00141B97" w:rsidRDefault="00911D63">
            <w:pPr>
              <w:pStyle w:val="TableParagraph"/>
              <w:spacing w:line="197" w:lineRule="exact"/>
              <w:ind w:left="1"/>
              <w:jc w:val="center"/>
              <w:rPr>
                <w:sz w:val="18"/>
              </w:rPr>
            </w:pPr>
            <w:r>
              <w:rPr>
                <w:sz w:val="18"/>
              </w:rPr>
              <w:t>2</w:t>
            </w:r>
          </w:p>
        </w:tc>
        <w:tc>
          <w:tcPr>
            <w:tcW w:w="840" w:type="dxa"/>
            <w:tcBorders>
              <w:top w:val="single" w:sz="4" w:space="0" w:color="FFFFFF"/>
              <w:left w:val="nil"/>
              <w:right w:val="nil"/>
            </w:tcBorders>
            <w:shd w:val="clear" w:color="auto" w:fill="00B04F"/>
          </w:tcPr>
          <w:p w14:paraId="454D9BC0" w14:textId="77777777" w:rsidR="00141B97" w:rsidRDefault="00911D63">
            <w:pPr>
              <w:pStyle w:val="TableParagraph"/>
              <w:spacing w:line="197" w:lineRule="exact"/>
              <w:ind w:left="5"/>
              <w:jc w:val="center"/>
              <w:rPr>
                <w:sz w:val="18"/>
              </w:rPr>
            </w:pPr>
            <w:r>
              <w:rPr>
                <w:sz w:val="18"/>
              </w:rPr>
              <w:t>1</w:t>
            </w:r>
          </w:p>
        </w:tc>
      </w:tr>
      <w:tr w:rsidR="00141B97" w14:paraId="4941C41F" w14:textId="77777777">
        <w:trPr>
          <w:trHeight w:val="436"/>
        </w:trPr>
        <w:tc>
          <w:tcPr>
            <w:tcW w:w="397" w:type="dxa"/>
            <w:tcBorders>
              <w:left w:val="nil"/>
              <w:bottom w:val="single" w:sz="4" w:space="0" w:color="FFFFFF"/>
            </w:tcBorders>
            <w:shd w:val="clear" w:color="auto" w:fill="F1F1F1"/>
          </w:tcPr>
          <w:p w14:paraId="02EED4E0" w14:textId="77777777" w:rsidR="00141B97" w:rsidRDefault="00911D63">
            <w:pPr>
              <w:pStyle w:val="TableParagraph"/>
              <w:spacing w:line="192" w:lineRule="exact"/>
              <w:ind w:left="95"/>
              <w:rPr>
                <w:sz w:val="16"/>
              </w:rPr>
            </w:pPr>
            <w:r>
              <w:rPr>
                <w:w w:val="99"/>
                <w:sz w:val="16"/>
              </w:rPr>
              <w:t>f</w:t>
            </w:r>
          </w:p>
        </w:tc>
        <w:tc>
          <w:tcPr>
            <w:tcW w:w="4710" w:type="dxa"/>
            <w:tcBorders>
              <w:bottom w:val="single" w:sz="4" w:space="0" w:color="FFFFFF"/>
            </w:tcBorders>
            <w:shd w:val="clear" w:color="auto" w:fill="F1F1F1"/>
          </w:tcPr>
          <w:p w14:paraId="1F693BD1" w14:textId="77777777" w:rsidR="00141B97" w:rsidRDefault="00911D63">
            <w:pPr>
              <w:pStyle w:val="TableParagraph"/>
              <w:ind w:left="135" w:right="1142" w:hanging="36"/>
              <w:rPr>
                <w:sz w:val="16"/>
              </w:rPr>
            </w:pPr>
            <w:r>
              <w:rPr>
                <w:sz w:val="16"/>
              </w:rPr>
              <w:t>Develop</w:t>
            </w:r>
            <w:r>
              <w:rPr>
                <w:spacing w:val="-7"/>
                <w:sz w:val="16"/>
              </w:rPr>
              <w:t xml:space="preserve"> </w:t>
            </w:r>
            <w:r>
              <w:rPr>
                <w:sz w:val="16"/>
              </w:rPr>
              <w:t>and</w:t>
            </w:r>
            <w:r>
              <w:rPr>
                <w:spacing w:val="-8"/>
                <w:sz w:val="16"/>
              </w:rPr>
              <w:t xml:space="preserve"> </w:t>
            </w:r>
            <w:r>
              <w:rPr>
                <w:sz w:val="16"/>
              </w:rPr>
              <w:t>deliver</w:t>
            </w:r>
            <w:r>
              <w:rPr>
                <w:spacing w:val="-8"/>
                <w:sz w:val="16"/>
              </w:rPr>
              <w:t xml:space="preserve"> </w:t>
            </w:r>
            <w:r>
              <w:rPr>
                <w:sz w:val="16"/>
              </w:rPr>
              <w:t>an</w:t>
            </w:r>
            <w:r>
              <w:rPr>
                <w:spacing w:val="-8"/>
                <w:sz w:val="16"/>
              </w:rPr>
              <w:t xml:space="preserve"> </w:t>
            </w:r>
            <w:r>
              <w:rPr>
                <w:sz w:val="16"/>
              </w:rPr>
              <w:t>Aboriginal</w:t>
            </w:r>
            <w:r>
              <w:rPr>
                <w:spacing w:val="-8"/>
                <w:sz w:val="16"/>
              </w:rPr>
              <w:t xml:space="preserve"> </w:t>
            </w:r>
            <w:r>
              <w:rPr>
                <w:sz w:val="16"/>
              </w:rPr>
              <w:t>Reconciliation</w:t>
            </w:r>
            <w:r>
              <w:rPr>
                <w:spacing w:val="40"/>
                <w:sz w:val="16"/>
              </w:rPr>
              <w:t xml:space="preserve"> </w:t>
            </w:r>
            <w:r>
              <w:rPr>
                <w:sz w:val="16"/>
              </w:rPr>
              <w:t>Action</w:t>
            </w:r>
            <w:r>
              <w:rPr>
                <w:spacing w:val="-9"/>
                <w:sz w:val="16"/>
              </w:rPr>
              <w:t xml:space="preserve"> </w:t>
            </w:r>
            <w:r>
              <w:rPr>
                <w:sz w:val="16"/>
              </w:rPr>
              <w:t>Plan</w:t>
            </w:r>
            <w:r>
              <w:rPr>
                <w:spacing w:val="-6"/>
                <w:sz w:val="16"/>
              </w:rPr>
              <w:t xml:space="preserve"> </w:t>
            </w:r>
            <w:r>
              <w:rPr>
                <w:sz w:val="16"/>
              </w:rPr>
              <w:t>and</w:t>
            </w:r>
            <w:r>
              <w:rPr>
                <w:spacing w:val="-6"/>
                <w:sz w:val="16"/>
              </w:rPr>
              <w:t xml:space="preserve"> </w:t>
            </w:r>
            <w:r>
              <w:rPr>
                <w:sz w:val="16"/>
              </w:rPr>
              <w:t>Diversity</w:t>
            </w:r>
            <w:r>
              <w:rPr>
                <w:spacing w:val="-5"/>
                <w:sz w:val="16"/>
              </w:rPr>
              <w:t xml:space="preserve"> </w:t>
            </w:r>
            <w:r>
              <w:rPr>
                <w:sz w:val="16"/>
              </w:rPr>
              <w:t>and</w:t>
            </w:r>
            <w:r>
              <w:rPr>
                <w:spacing w:val="-6"/>
                <w:sz w:val="16"/>
              </w:rPr>
              <w:t xml:space="preserve"> </w:t>
            </w:r>
            <w:r>
              <w:rPr>
                <w:sz w:val="16"/>
              </w:rPr>
              <w:t>Inclusion</w:t>
            </w:r>
            <w:r>
              <w:rPr>
                <w:spacing w:val="-6"/>
                <w:sz w:val="16"/>
              </w:rPr>
              <w:t xml:space="preserve"> </w:t>
            </w:r>
            <w:r>
              <w:rPr>
                <w:spacing w:val="-2"/>
                <w:sz w:val="16"/>
              </w:rPr>
              <w:t>Strategy</w:t>
            </w:r>
          </w:p>
        </w:tc>
        <w:tc>
          <w:tcPr>
            <w:tcW w:w="1121" w:type="dxa"/>
            <w:tcBorders>
              <w:bottom w:val="single" w:sz="4" w:space="0" w:color="FFFFFF"/>
              <w:right w:val="single" w:sz="4" w:space="0" w:color="FFFFFF"/>
            </w:tcBorders>
            <w:shd w:val="clear" w:color="auto" w:fill="F1F1F1"/>
          </w:tcPr>
          <w:p w14:paraId="23287B60" w14:textId="77777777" w:rsidR="00141B97" w:rsidRDefault="00911D63">
            <w:pPr>
              <w:pStyle w:val="TableParagraph"/>
              <w:spacing w:line="192" w:lineRule="exact"/>
              <w:ind w:left="99"/>
              <w:rPr>
                <w:sz w:val="16"/>
              </w:rPr>
            </w:pPr>
            <w:r>
              <w:rPr>
                <w:spacing w:val="-2"/>
                <w:sz w:val="16"/>
              </w:rPr>
              <w:t>Pass/Fail</w:t>
            </w:r>
          </w:p>
        </w:tc>
        <w:tc>
          <w:tcPr>
            <w:tcW w:w="817" w:type="dxa"/>
            <w:tcBorders>
              <w:left w:val="single" w:sz="4" w:space="0" w:color="FFFFFF"/>
              <w:bottom w:val="single" w:sz="4" w:space="0" w:color="FFFFFF"/>
              <w:right w:val="nil"/>
            </w:tcBorders>
            <w:shd w:val="clear" w:color="auto" w:fill="00B04F"/>
          </w:tcPr>
          <w:p w14:paraId="6311D010" w14:textId="77777777" w:rsidR="00141B97" w:rsidRDefault="00911D63">
            <w:pPr>
              <w:pStyle w:val="TableParagraph"/>
              <w:spacing w:line="218" w:lineRule="exact"/>
              <w:ind w:left="140" w:right="141"/>
              <w:jc w:val="center"/>
              <w:rPr>
                <w:sz w:val="18"/>
              </w:rPr>
            </w:pPr>
            <w:r>
              <w:rPr>
                <w:spacing w:val="-5"/>
                <w:sz w:val="18"/>
              </w:rPr>
              <w:t>On</w:t>
            </w:r>
          </w:p>
          <w:p w14:paraId="3D67ECE0" w14:textId="77777777" w:rsidR="00141B97" w:rsidRDefault="00911D63">
            <w:pPr>
              <w:pStyle w:val="TableParagraph"/>
              <w:spacing w:line="199" w:lineRule="exact"/>
              <w:ind w:left="141" w:right="141"/>
              <w:jc w:val="center"/>
              <w:rPr>
                <w:sz w:val="18"/>
              </w:rPr>
            </w:pPr>
            <w:r>
              <w:rPr>
                <w:spacing w:val="-2"/>
                <w:sz w:val="18"/>
              </w:rPr>
              <w:t>track</w:t>
            </w:r>
          </w:p>
        </w:tc>
        <w:tc>
          <w:tcPr>
            <w:tcW w:w="903" w:type="dxa"/>
            <w:tcBorders>
              <w:left w:val="nil"/>
              <w:bottom w:val="single" w:sz="4" w:space="0" w:color="FFFFFF"/>
            </w:tcBorders>
            <w:shd w:val="clear" w:color="auto" w:fill="00B04F"/>
          </w:tcPr>
          <w:p w14:paraId="56F718E7" w14:textId="77777777" w:rsidR="00141B97" w:rsidRDefault="00911D63">
            <w:pPr>
              <w:pStyle w:val="TableParagraph"/>
              <w:spacing w:before="107"/>
              <w:ind w:right="134"/>
              <w:jc w:val="right"/>
              <w:rPr>
                <w:sz w:val="18"/>
              </w:rPr>
            </w:pPr>
            <w:r>
              <w:rPr>
                <w:sz w:val="18"/>
              </w:rPr>
              <w:t>On</w:t>
            </w:r>
            <w:r>
              <w:rPr>
                <w:spacing w:val="-1"/>
                <w:sz w:val="18"/>
              </w:rPr>
              <w:t xml:space="preserve"> </w:t>
            </w:r>
            <w:r>
              <w:rPr>
                <w:spacing w:val="-2"/>
                <w:sz w:val="18"/>
              </w:rPr>
              <w:t>track</w:t>
            </w:r>
          </w:p>
        </w:tc>
        <w:tc>
          <w:tcPr>
            <w:tcW w:w="831" w:type="dxa"/>
            <w:tcBorders>
              <w:bottom w:val="single" w:sz="4" w:space="0" w:color="FFFFFF"/>
              <w:right w:val="nil"/>
            </w:tcBorders>
            <w:shd w:val="clear" w:color="auto" w:fill="00B04F"/>
          </w:tcPr>
          <w:p w14:paraId="6083335A" w14:textId="77777777" w:rsidR="00141B97" w:rsidRDefault="00911D63">
            <w:pPr>
              <w:pStyle w:val="TableParagraph"/>
              <w:spacing w:before="107"/>
              <w:ind w:left="90" w:right="89"/>
              <w:jc w:val="center"/>
              <w:rPr>
                <w:sz w:val="18"/>
              </w:rPr>
            </w:pPr>
            <w:r>
              <w:rPr>
                <w:sz w:val="18"/>
              </w:rPr>
              <w:t>On</w:t>
            </w:r>
            <w:r>
              <w:rPr>
                <w:spacing w:val="-1"/>
                <w:sz w:val="18"/>
              </w:rPr>
              <w:t xml:space="preserve"> </w:t>
            </w:r>
            <w:r>
              <w:rPr>
                <w:spacing w:val="-2"/>
                <w:sz w:val="18"/>
              </w:rPr>
              <w:t>track</w:t>
            </w:r>
          </w:p>
        </w:tc>
        <w:tc>
          <w:tcPr>
            <w:tcW w:w="840" w:type="dxa"/>
            <w:tcBorders>
              <w:left w:val="nil"/>
              <w:bottom w:val="single" w:sz="4" w:space="0" w:color="FFFFFF"/>
              <w:right w:val="nil"/>
            </w:tcBorders>
            <w:shd w:val="clear" w:color="auto" w:fill="00B04F"/>
          </w:tcPr>
          <w:p w14:paraId="2455F0F1" w14:textId="77777777" w:rsidR="00141B97" w:rsidRDefault="00911D63">
            <w:pPr>
              <w:pStyle w:val="TableParagraph"/>
              <w:spacing w:line="218" w:lineRule="exact"/>
              <w:ind w:left="5" w:right="1"/>
              <w:jc w:val="center"/>
              <w:rPr>
                <w:sz w:val="18"/>
              </w:rPr>
            </w:pPr>
            <w:r>
              <w:rPr>
                <w:spacing w:val="-5"/>
                <w:sz w:val="18"/>
              </w:rPr>
              <w:t>On</w:t>
            </w:r>
          </w:p>
          <w:p w14:paraId="100920F3" w14:textId="77777777" w:rsidR="00141B97" w:rsidRDefault="00911D63">
            <w:pPr>
              <w:pStyle w:val="TableParagraph"/>
              <w:spacing w:line="199" w:lineRule="exact"/>
              <w:ind w:left="5"/>
              <w:jc w:val="center"/>
              <w:rPr>
                <w:sz w:val="18"/>
              </w:rPr>
            </w:pPr>
            <w:r>
              <w:rPr>
                <w:spacing w:val="-2"/>
                <w:sz w:val="18"/>
              </w:rPr>
              <w:t>Track</w:t>
            </w:r>
          </w:p>
        </w:tc>
      </w:tr>
      <w:tr w:rsidR="00141B97" w14:paraId="57416782" w14:textId="77777777">
        <w:trPr>
          <w:trHeight w:val="297"/>
        </w:trPr>
        <w:tc>
          <w:tcPr>
            <w:tcW w:w="6228" w:type="dxa"/>
            <w:gridSpan w:val="3"/>
            <w:tcBorders>
              <w:top w:val="single" w:sz="4" w:space="0" w:color="FFFFFF"/>
              <w:left w:val="nil"/>
              <w:right w:val="single" w:sz="4" w:space="0" w:color="FFFFFF"/>
            </w:tcBorders>
            <w:shd w:val="clear" w:color="auto" w:fill="D0CECE"/>
          </w:tcPr>
          <w:p w14:paraId="7B0DBBCA" w14:textId="77777777" w:rsidR="00141B97" w:rsidRDefault="00911D63">
            <w:pPr>
              <w:pStyle w:val="TableParagraph"/>
              <w:spacing w:before="41"/>
              <w:ind w:left="98"/>
              <w:rPr>
                <w:sz w:val="18"/>
              </w:rPr>
            </w:pPr>
            <w:r>
              <w:rPr>
                <w:sz w:val="18"/>
              </w:rPr>
              <w:t>#</w:t>
            </w:r>
            <w:r>
              <w:rPr>
                <w:spacing w:val="-1"/>
                <w:sz w:val="18"/>
              </w:rPr>
              <w:t xml:space="preserve"> </w:t>
            </w:r>
            <w:r>
              <w:rPr>
                <w:sz w:val="18"/>
              </w:rPr>
              <w:t>6:</w:t>
            </w:r>
            <w:r>
              <w:rPr>
                <w:spacing w:val="-1"/>
                <w:sz w:val="18"/>
              </w:rPr>
              <w:t xml:space="preserve"> </w:t>
            </w:r>
            <w:r>
              <w:rPr>
                <w:sz w:val="18"/>
              </w:rPr>
              <w:t>Be mindful</w:t>
            </w:r>
            <w:r>
              <w:rPr>
                <w:spacing w:val="-1"/>
                <w:sz w:val="18"/>
              </w:rPr>
              <w:t xml:space="preserve"> </w:t>
            </w:r>
            <w:r>
              <w:rPr>
                <w:sz w:val="18"/>
              </w:rPr>
              <w:t>of</w:t>
            </w:r>
            <w:r>
              <w:rPr>
                <w:spacing w:val="-1"/>
                <w:sz w:val="18"/>
              </w:rPr>
              <w:t xml:space="preserve"> </w:t>
            </w:r>
            <w:r>
              <w:rPr>
                <w:sz w:val="18"/>
              </w:rPr>
              <w:t xml:space="preserve">our </w:t>
            </w:r>
            <w:r>
              <w:rPr>
                <w:spacing w:val="-2"/>
                <w:sz w:val="18"/>
              </w:rPr>
              <w:t>environment</w:t>
            </w:r>
          </w:p>
        </w:tc>
        <w:tc>
          <w:tcPr>
            <w:tcW w:w="817" w:type="dxa"/>
            <w:tcBorders>
              <w:top w:val="single" w:sz="4" w:space="0" w:color="FFFFFF"/>
              <w:left w:val="single" w:sz="4" w:space="0" w:color="FFFFFF"/>
              <w:right w:val="nil"/>
            </w:tcBorders>
            <w:shd w:val="clear" w:color="auto" w:fill="FF0000"/>
          </w:tcPr>
          <w:p w14:paraId="58EA2F1D" w14:textId="77777777" w:rsidR="00141B97" w:rsidRDefault="00141B97">
            <w:pPr>
              <w:pStyle w:val="TableParagraph"/>
              <w:rPr>
                <w:rFonts w:ascii="Times New Roman"/>
                <w:sz w:val="16"/>
              </w:rPr>
            </w:pPr>
          </w:p>
        </w:tc>
        <w:tc>
          <w:tcPr>
            <w:tcW w:w="903" w:type="dxa"/>
            <w:tcBorders>
              <w:top w:val="single" w:sz="4" w:space="0" w:color="FFFFFF"/>
              <w:left w:val="nil"/>
            </w:tcBorders>
            <w:shd w:val="clear" w:color="auto" w:fill="FFC000"/>
          </w:tcPr>
          <w:p w14:paraId="2B1E59C2" w14:textId="77777777" w:rsidR="00141B97" w:rsidRDefault="00141B97">
            <w:pPr>
              <w:pStyle w:val="TableParagraph"/>
              <w:rPr>
                <w:rFonts w:ascii="Times New Roman"/>
                <w:sz w:val="16"/>
              </w:rPr>
            </w:pPr>
          </w:p>
        </w:tc>
        <w:tc>
          <w:tcPr>
            <w:tcW w:w="1671" w:type="dxa"/>
            <w:gridSpan w:val="2"/>
            <w:tcBorders>
              <w:top w:val="single" w:sz="4" w:space="0" w:color="FFFFFF"/>
              <w:right w:val="nil"/>
            </w:tcBorders>
            <w:shd w:val="clear" w:color="auto" w:fill="FFC000"/>
          </w:tcPr>
          <w:p w14:paraId="4666225F" w14:textId="77777777" w:rsidR="00141B97" w:rsidRDefault="00141B97">
            <w:pPr>
              <w:pStyle w:val="TableParagraph"/>
              <w:rPr>
                <w:rFonts w:ascii="Times New Roman"/>
                <w:sz w:val="16"/>
              </w:rPr>
            </w:pPr>
          </w:p>
        </w:tc>
      </w:tr>
      <w:tr w:rsidR="00141B97" w14:paraId="3258B73D" w14:textId="77777777">
        <w:trPr>
          <w:trHeight w:val="217"/>
        </w:trPr>
        <w:tc>
          <w:tcPr>
            <w:tcW w:w="397" w:type="dxa"/>
            <w:tcBorders>
              <w:left w:val="nil"/>
              <w:bottom w:val="single" w:sz="4" w:space="0" w:color="FFFFFF"/>
            </w:tcBorders>
            <w:shd w:val="clear" w:color="auto" w:fill="F1F1F1"/>
          </w:tcPr>
          <w:p w14:paraId="032CCDA2" w14:textId="77777777" w:rsidR="00141B97" w:rsidRDefault="00911D63">
            <w:pPr>
              <w:pStyle w:val="TableParagraph"/>
              <w:spacing w:line="192" w:lineRule="exact"/>
              <w:ind w:left="95"/>
              <w:rPr>
                <w:sz w:val="16"/>
              </w:rPr>
            </w:pPr>
            <w:r>
              <w:rPr>
                <w:w w:val="99"/>
                <w:sz w:val="16"/>
              </w:rPr>
              <w:t>a</w:t>
            </w:r>
          </w:p>
        </w:tc>
        <w:tc>
          <w:tcPr>
            <w:tcW w:w="4710" w:type="dxa"/>
            <w:tcBorders>
              <w:bottom w:val="single" w:sz="4" w:space="0" w:color="FFFFFF"/>
            </w:tcBorders>
            <w:shd w:val="clear" w:color="auto" w:fill="F1F1F1"/>
          </w:tcPr>
          <w:p w14:paraId="68D96670" w14:textId="77777777" w:rsidR="00141B97" w:rsidRDefault="00911D63">
            <w:pPr>
              <w:pStyle w:val="TableParagraph"/>
              <w:spacing w:line="192" w:lineRule="exact"/>
              <w:ind w:left="99"/>
              <w:rPr>
                <w:sz w:val="16"/>
              </w:rPr>
            </w:pPr>
            <w:r>
              <w:rPr>
                <w:sz w:val="16"/>
              </w:rPr>
              <w:t>Number</w:t>
            </w:r>
            <w:r>
              <w:rPr>
                <w:spacing w:val="-5"/>
                <w:sz w:val="16"/>
              </w:rPr>
              <w:t xml:space="preserve"> </w:t>
            </w:r>
            <w:r>
              <w:rPr>
                <w:sz w:val="16"/>
              </w:rPr>
              <w:t>of</w:t>
            </w:r>
            <w:r>
              <w:rPr>
                <w:spacing w:val="-4"/>
                <w:sz w:val="16"/>
              </w:rPr>
              <w:t xml:space="preserve"> </w:t>
            </w:r>
            <w:r>
              <w:rPr>
                <w:sz w:val="16"/>
              </w:rPr>
              <w:t>EPA</w:t>
            </w:r>
            <w:r>
              <w:rPr>
                <w:spacing w:val="-6"/>
                <w:sz w:val="16"/>
              </w:rPr>
              <w:t xml:space="preserve"> </w:t>
            </w:r>
            <w:r>
              <w:rPr>
                <w:sz w:val="16"/>
              </w:rPr>
              <w:t>reportable</w:t>
            </w:r>
            <w:r>
              <w:rPr>
                <w:spacing w:val="-4"/>
                <w:sz w:val="16"/>
              </w:rPr>
              <w:t xml:space="preserve"> </w:t>
            </w:r>
            <w:r>
              <w:rPr>
                <w:sz w:val="16"/>
              </w:rPr>
              <w:t>sewerage</w:t>
            </w:r>
            <w:r>
              <w:rPr>
                <w:spacing w:val="-4"/>
                <w:sz w:val="16"/>
              </w:rPr>
              <w:t xml:space="preserve"> </w:t>
            </w:r>
            <w:r>
              <w:rPr>
                <w:sz w:val="16"/>
              </w:rPr>
              <w:t>spills</w:t>
            </w:r>
            <w:r>
              <w:rPr>
                <w:spacing w:val="-6"/>
                <w:sz w:val="16"/>
              </w:rPr>
              <w:t xml:space="preserve"> </w:t>
            </w:r>
            <w:r>
              <w:rPr>
                <w:sz w:val="16"/>
              </w:rPr>
              <w:t>per</w:t>
            </w:r>
            <w:r>
              <w:rPr>
                <w:spacing w:val="-6"/>
                <w:sz w:val="16"/>
              </w:rPr>
              <w:t xml:space="preserve"> </w:t>
            </w:r>
            <w:r>
              <w:rPr>
                <w:spacing w:val="-2"/>
                <w:sz w:val="16"/>
              </w:rPr>
              <w:t>annum</w:t>
            </w:r>
          </w:p>
        </w:tc>
        <w:tc>
          <w:tcPr>
            <w:tcW w:w="1121" w:type="dxa"/>
            <w:tcBorders>
              <w:bottom w:val="single" w:sz="4" w:space="0" w:color="FFFFFF"/>
              <w:right w:val="single" w:sz="4" w:space="0" w:color="FFFFFF"/>
            </w:tcBorders>
            <w:shd w:val="clear" w:color="auto" w:fill="F1F1F1"/>
          </w:tcPr>
          <w:p w14:paraId="773BC56E" w14:textId="77777777" w:rsidR="00141B97" w:rsidRDefault="00911D63">
            <w:pPr>
              <w:pStyle w:val="TableParagraph"/>
              <w:spacing w:line="192" w:lineRule="exact"/>
              <w:ind w:left="99"/>
              <w:rPr>
                <w:sz w:val="16"/>
              </w:rPr>
            </w:pPr>
            <w:r>
              <w:rPr>
                <w:spacing w:val="-2"/>
                <w:sz w:val="16"/>
              </w:rPr>
              <w:t>Number</w:t>
            </w:r>
          </w:p>
        </w:tc>
        <w:tc>
          <w:tcPr>
            <w:tcW w:w="817" w:type="dxa"/>
            <w:tcBorders>
              <w:left w:val="single" w:sz="4" w:space="0" w:color="FFFFFF"/>
              <w:bottom w:val="single" w:sz="4" w:space="0" w:color="FFFFFF"/>
              <w:right w:val="nil"/>
            </w:tcBorders>
            <w:shd w:val="clear" w:color="auto" w:fill="00B04F"/>
          </w:tcPr>
          <w:p w14:paraId="4B120FA3" w14:textId="77777777" w:rsidR="00141B97" w:rsidRDefault="00911D63">
            <w:pPr>
              <w:pStyle w:val="TableParagraph"/>
              <w:spacing w:line="197" w:lineRule="exact"/>
              <w:jc w:val="center"/>
              <w:rPr>
                <w:sz w:val="18"/>
              </w:rPr>
            </w:pPr>
            <w:r>
              <w:rPr>
                <w:sz w:val="18"/>
              </w:rPr>
              <w:t>0</w:t>
            </w:r>
          </w:p>
        </w:tc>
        <w:tc>
          <w:tcPr>
            <w:tcW w:w="903" w:type="dxa"/>
            <w:tcBorders>
              <w:left w:val="nil"/>
              <w:bottom w:val="single" w:sz="4" w:space="0" w:color="FFFFFF"/>
            </w:tcBorders>
            <w:shd w:val="clear" w:color="auto" w:fill="00B04F"/>
          </w:tcPr>
          <w:p w14:paraId="0EEEB1AA" w14:textId="77777777" w:rsidR="00141B97" w:rsidRDefault="00911D63">
            <w:pPr>
              <w:pStyle w:val="TableParagraph"/>
              <w:spacing w:line="197" w:lineRule="exact"/>
              <w:jc w:val="center"/>
              <w:rPr>
                <w:sz w:val="18"/>
              </w:rPr>
            </w:pPr>
            <w:r>
              <w:rPr>
                <w:sz w:val="18"/>
              </w:rPr>
              <w:t>2</w:t>
            </w:r>
          </w:p>
        </w:tc>
        <w:tc>
          <w:tcPr>
            <w:tcW w:w="831" w:type="dxa"/>
            <w:tcBorders>
              <w:bottom w:val="single" w:sz="4" w:space="0" w:color="FFFFFF"/>
              <w:right w:val="nil"/>
            </w:tcBorders>
            <w:shd w:val="clear" w:color="auto" w:fill="00B04F"/>
          </w:tcPr>
          <w:p w14:paraId="76228B3D" w14:textId="77777777" w:rsidR="00141B97" w:rsidRDefault="00911D63">
            <w:pPr>
              <w:pStyle w:val="TableParagraph"/>
              <w:spacing w:line="197" w:lineRule="exact"/>
              <w:ind w:left="1"/>
              <w:jc w:val="center"/>
              <w:rPr>
                <w:sz w:val="18"/>
              </w:rPr>
            </w:pPr>
            <w:r>
              <w:rPr>
                <w:sz w:val="18"/>
              </w:rPr>
              <w:t>0</w:t>
            </w:r>
          </w:p>
        </w:tc>
        <w:tc>
          <w:tcPr>
            <w:tcW w:w="840" w:type="dxa"/>
            <w:tcBorders>
              <w:left w:val="nil"/>
              <w:bottom w:val="single" w:sz="4" w:space="0" w:color="FFFFFF"/>
              <w:right w:val="nil"/>
            </w:tcBorders>
            <w:shd w:val="clear" w:color="auto" w:fill="00B04F"/>
          </w:tcPr>
          <w:p w14:paraId="2644A41D" w14:textId="77777777" w:rsidR="00141B97" w:rsidRDefault="00911D63">
            <w:pPr>
              <w:pStyle w:val="TableParagraph"/>
              <w:spacing w:line="197" w:lineRule="exact"/>
              <w:ind w:left="5"/>
              <w:jc w:val="center"/>
              <w:rPr>
                <w:sz w:val="18"/>
              </w:rPr>
            </w:pPr>
            <w:r>
              <w:rPr>
                <w:sz w:val="18"/>
              </w:rPr>
              <w:t>0</w:t>
            </w:r>
          </w:p>
        </w:tc>
      </w:tr>
      <w:tr w:rsidR="00141B97" w14:paraId="5D5333A3" w14:textId="77777777">
        <w:trPr>
          <w:trHeight w:val="219"/>
        </w:trPr>
        <w:tc>
          <w:tcPr>
            <w:tcW w:w="397" w:type="dxa"/>
            <w:tcBorders>
              <w:top w:val="single" w:sz="4" w:space="0" w:color="FFFFFF"/>
              <w:left w:val="nil"/>
              <w:bottom w:val="single" w:sz="4" w:space="0" w:color="FFFFFF"/>
            </w:tcBorders>
            <w:shd w:val="clear" w:color="auto" w:fill="F1F1F1"/>
          </w:tcPr>
          <w:p w14:paraId="107A7CAD" w14:textId="77777777" w:rsidR="00141B97" w:rsidRDefault="00911D63">
            <w:pPr>
              <w:pStyle w:val="TableParagraph"/>
              <w:ind w:left="95"/>
              <w:rPr>
                <w:sz w:val="16"/>
              </w:rPr>
            </w:pPr>
            <w:r>
              <w:rPr>
                <w:w w:val="99"/>
                <w:sz w:val="16"/>
              </w:rPr>
              <w:t>b</w:t>
            </w:r>
          </w:p>
        </w:tc>
        <w:tc>
          <w:tcPr>
            <w:tcW w:w="4710" w:type="dxa"/>
            <w:tcBorders>
              <w:top w:val="single" w:sz="4" w:space="0" w:color="FFFFFF"/>
              <w:bottom w:val="single" w:sz="4" w:space="0" w:color="FFFFFF"/>
            </w:tcBorders>
            <w:shd w:val="clear" w:color="auto" w:fill="F1F1F1"/>
          </w:tcPr>
          <w:p w14:paraId="460DA056" w14:textId="77777777" w:rsidR="00141B97" w:rsidRDefault="00911D63">
            <w:pPr>
              <w:pStyle w:val="TableParagraph"/>
              <w:ind w:left="99"/>
              <w:rPr>
                <w:sz w:val="16"/>
              </w:rPr>
            </w:pPr>
            <w:r>
              <w:rPr>
                <w:sz w:val="16"/>
              </w:rPr>
              <w:t>Number</w:t>
            </w:r>
            <w:r>
              <w:rPr>
                <w:spacing w:val="-6"/>
                <w:sz w:val="16"/>
              </w:rPr>
              <w:t xml:space="preserve"> </w:t>
            </w:r>
            <w:r>
              <w:rPr>
                <w:sz w:val="16"/>
              </w:rPr>
              <w:t>of</w:t>
            </w:r>
            <w:r>
              <w:rPr>
                <w:spacing w:val="-7"/>
                <w:sz w:val="16"/>
              </w:rPr>
              <w:t xml:space="preserve"> </w:t>
            </w:r>
            <w:r>
              <w:rPr>
                <w:sz w:val="16"/>
              </w:rPr>
              <w:t>EPA</w:t>
            </w:r>
            <w:r>
              <w:rPr>
                <w:spacing w:val="-7"/>
                <w:sz w:val="16"/>
              </w:rPr>
              <w:t xml:space="preserve"> </w:t>
            </w:r>
            <w:r>
              <w:rPr>
                <w:sz w:val="16"/>
              </w:rPr>
              <w:t>corporate</w:t>
            </w:r>
            <w:r>
              <w:rPr>
                <w:spacing w:val="-6"/>
                <w:sz w:val="16"/>
              </w:rPr>
              <w:t xml:space="preserve"> </w:t>
            </w:r>
            <w:r>
              <w:rPr>
                <w:sz w:val="16"/>
              </w:rPr>
              <w:t>licence</w:t>
            </w:r>
            <w:r>
              <w:rPr>
                <w:spacing w:val="-7"/>
                <w:sz w:val="16"/>
              </w:rPr>
              <w:t xml:space="preserve"> </w:t>
            </w:r>
            <w:r>
              <w:rPr>
                <w:sz w:val="16"/>
              </w:rPr>
              <w:t>conditions</w:t>
            </w:r>
            <w:r>
              <w:rPr>
                <w:spacing w:val="-6"/>
                <w:sz w:val="16"/>
              </w:rPr>
              <w:t xml:space="preserve"> </w:t>
            </w:r>
            <w:r>
              <w:rPr>
                <w:spacing w:val="-2"/>
                <w:sz w:val="16"/>
              </w:rPr>
              <w:t>non‐compliant</w:t>
            </w:r>
          </w:p>
        </w:tc>
        <w:tc>
          <w:tcPr>
            <w:tcW w:w="1121" w:type="dxa"/>
            <w:tcBorders>
              <w:top w:val="single" w:sz="4" w:space="0" w:color="FFFFFF"/>
              <w:bottom w:val="single" w:sz="4" w:space="0" w:color="FFFFFF"/>
              <w:right w:val="single" w:sz="4" w:space="0" w:color="FFFFFF"/>
            </w:tcBorders>
            <w:shd w:val="clear" w:color="auto" w:fill="F1F1F1"/>
          </w:tcPr>
          <w:p w14:paraId="13CCD285" w14:textId="77777777" w:rsidR="00141B97" w:rsidRDefault="00911D63">
            <w:pPr>
              <w:pStyle w:val="TableParagraph"/>
              <w:ind w:left="99"/>
              <w:rPr>
                <w:sz w:val="16"/>
              </w:rPr>
            </w:pPr>
            <w:r>
              <w:rPr>
                <w:spacing w:val="-2"/>
                <w:sz w:val="16"/>
              </w:rPr>
              <w:t>Number</w:t>
            </w:r>
          </w:p>
        </w:tc>
        <w:tc>
          <w:tcPr>
            <w:tcW w:w="817" w:type="dxa"/>
            <w:tcBorders>
              <w:top w:val="single" w:sz="4" w:space="0" w:color="FFFFFF"/>
              <w:left w:val="single" w:sz="4" w:space="0" w:color="FFFFFF"/>
              <w:bottom w:val="single" w:sz="4" w:space="0" w:color="FFFFFF"/>
              <w:right w:val="nil"/>
            </w:tcBorders>
            <w:shd w:val="clear" w:color="auto" w:fill="00B04F"/>
          </w:tcPr>
          <w:p w14:paraId="33B4F289" w14:textId="77777777" w:rsidR="00141B97" w:rsidRDefault="00911D63">
            <w:pPr>
              <w:pStyle w:val="TableParagraph"/>
              <w:spacing w:line="199" w:lineRule="exact"/>
              <w:jc w:val="center"/>
              <w:rPr>
                <w:sz w:val="18"/>
              </w:rPr>
            </w:pPr>
            <w:r>
              <w:rPr>
                <w:sz w:val="18"/>
              </w:rPr>
              <w:t>0</w:t>
            </w:r>
          </w:p>
        </w:tc>
        <w:tc>
          <w:tcPr>
            <w:tcW w:w="903" w:type="dxa"/>
            <w:tcBorders>
              <w:top w:val="single" w:sz="4" w:space="0" w:color="FFFFFF"/>
              <w:left w:val="nil"/>
              <w:bottom w:val="single" w:sz="4" w:space="0" w:color="FFFFFF"/>
            </w:tcBorders>
            <w:shd w:val="clear" w:color="auto" w:fill="FF0000"/>
          </w:tcPr>
          <w:p w14:paraId="3FC950C7" w14:textId="77777777" w:rsidR="00141B97" w:rsidRDefault="00911D63">
            <w:pPr>
              <w:pStyle w:val="TableParagraph"/>
              <w:spacing w:line="199" w:lineRule="exact"/>
              <w:jc w:val="center"/>
              <w:rPr>
                <w:sz w:val="18"/>
              </w:rPr>
            </w:pPr>
            <w:r>
              <w:rPr>
                <w:sz w:val="18"/>
              </w:rPr>
              <w:t>1</w:t>
            </w:r>
          </w:p>
        </w:tc>
        <w:tc>
          <w:tcPr>
            <w:tcW w:w="831" w:type="dxa"/>
            <w:tcBorders>
              <w:top w:val="single" w:sz="4" w:space="0" w:color="FFFFFF"/>
              <w:bottom w:val="single" w:sz="4" w:space="0" w:color="FFFFFF"/>
              <w:right w:val="nil"/>
            </w:tcBorders>
            <w:shd w:val="clear" w:color="auto" w:fill="00B04F"/>
          </w:tcPr>
          <w:p w14:paraId="292CC86C" w14:textId="77777777" w:rsidR="00141B97" w:rsidRDefault="00911D63">
            <w:pPr>
              <w:pStyle w:val="TableParagraph"/>
              <w:spacing w:line="199" w:lineRule="exact"/>
              <w:ind w:left="1"/>
              <w:jc w:val="center"/>
              <w:rPr>
                <w:sz w:val="18"/>
              </w:rPr>
            </w:pPr>
            <w:r>
              <w:rPr>
                <w:sz w:val="18"/>
              </w:rPr>
              <w:t>0</w:t>
            </w:r>
          </w:p>
        </w:tc>
        <w:tc>
          <w:tcPr>
            <w:tcW w:w="840" w:type="dxa"/>
            <w:tcBorders>
              <w:top w:val="single" w:sz="4" w:space="0" w:color="FFFFFF"/>
              <w:left w:val="nil"/>
              <w:bottom w:val="single" w:sz="4" w:space="0" w:color="FFFFFF"/>
              <w:right w:val="nil"/>
            </w:tcBorders>
            <w:shd w:val="clear" w:color="auto" w:fill="00B04F"/>
          </w:tcPr>
          <w:p w14:paraId="3611A0D1" w14:textId="77777777" w:rsidR="00141B97" w:rsidRDefault="00911D63">
            <w:pPr>
              <w:pStyle w:val="TableParagraph"/>
              <w:spacing w:line="199" w:lineRule="exact"/>
              <w:ind w:left="5"/>
              <w:jc w:val="center"/>
              <w:rPr>
                <w:sz w:val="18"/>
              </w:rPr>
            </w:pPr>
            <w:r>
              <w:rPr>
                <w:sz w:val="18"/>
              </w:rPr>
              <w:t>0</w:t>
            </w:r>
          </w:p>
        </w:tc>
      </w:tr>
      <w:tr w:rsidR="00141B97" w14:paraId="55A5BFCA" w14:textId="77777777">
        <w:trPr>
          <w:trHeight w:val="390"/>
        </w:trPr>
        <w:tc>
          <w:tcPr>
            <w:tcW w:w="397" w:type="dxa"/>
            <w:tcBorders>
              <w:top w:val="single" w:sz="4" w:space="0" w:color="FFFFFF"/>
              <w:left w:val="nil"/>
              <w:bottom w:val="single" w:sz="4" w:space="0" w:color="FFFFFF"/>
            </w:tcBorders>
            <w:shd w:val="clear" w:color="auto" w:fill="F1F1F1"/>
          </w:tcPr>
          <w:p w14:paraId="5BF0D984" w14:textId="77777777" w:rsidR="00141B97" w:rsidRDefault="00911D63">
            <w:pPr>
              <w:pStyle w:val="TableParagraph"/>
              <w:ind w:left="95"/>
              <w:rPr>
                <w:sz w:val="16"/>
              </w:rPr>
            </w:pPr>
            <w:r>
              <w:rPr>
                <w:w w:val="99"/>
                <w:sz w:val="16"/>
              </w:rPr>
              <w:t>c</w:t>
            </w:r>
          </w:p>
        </w:tc>
        <w:tc>
          <w:tcPr>
            <w:tcW w:w="4710" w:type="dxa"/>
            <w:tcBorders>
              <w:top w:val="single" w:sz="4" w:space="0" w:color="FFFFFF"/>
              <w:bottom w:val="single" w:sz="4" w:space="0" w:color="FFFFFF"/>
            </w:tcBorders>
            <w:shd w:val="clear" w:color="auto" w:fill="F1F1F1"/>
          </w:tcPr>
          <w:p w14:paraId="41D58CF9" w14:textId="77777777" w:rsidR="00141B97" w:rsidRDefault="00911D63">
            <w:pPr>
              <w:pStyle w:val="TableParagraph"/>
              <w:spacing w:line="186" w:lineRule="exact"/>
              <w:ind w:left="99"/>
              <w:rPr>
                <w:sz w:val="16"/>
              </w:rPr>
            </w:pPr>
            <w:r>
              <w:rPr>
                <w:position w:val="1"/>
                <w:sz w:val="16"/>
              </w:rPr>
              <w:t>Total</w:t>
            </w:r>
            <w:r>
              <w:rPr>
                <w:spacing w:val="-6"/>
                <w:position w:val="1"/>
                <w:sz w:val="16"/>
              </w:rPr>
              <w:t xml:space="preserve"> </w:t>
            </w:r>
            <w:r>
              <w:rPr>
                <w:position w:val="1"/>
                <w:sz w:val="16"/>
              </w:rPr>
              <w:t>CO</w:t>
            </w:r>
            <w:r>
              <w:rPr>
                <w:sz w:val="10"/>
              </w:rPr>
              <w:t>2</w:t>
            </w:r>
            <w:r>
              <w:rPr>
                <w:position w:val="1"/>
                <w:sz w:val="16"/>
              </w:rPr>
              <w:t>e</w:t>
            </w:r>
            <w:r>
              <w:rPr>
                <w:spacing w:val="-5"/>
                <w:position w:val="1"/>
                <w:sz w:val="16"/>
              </w:rPr>
              <w:t xml:space="preserve"> </w:t>
            </w:r>
            <w:r>
              <w:rPr>
                <w:position w:val="1"/>
                <w:sz w:val="16"/>
              </w:rPr>
              <w:t>emissions</w:t>
            </w:r>
            <w:r>
              <w:rPr>
                <w:spacing w:val="-6"/>
                <w:position w:val="1"/>
                <w:sz w:val="16"/>
              </w:rPr>
              <w:t xml:space="preserve"> </w:t>
            </w:r>
            <w:r>
              <w:rPr>
                <w:position w:val="1"/>
                <w:sz w:val="16"/>
              </w:rPr>
              <w:t>from</w:t>
            </w:r>
            <w:r>
              <w:rPr>
                <w:spacing w:val="-6"/>
                <w:position w:val="1"/>
                <w:sz w:val="16"/>
              </w:rPr>
              <w:t xml:space="preserve"> </w:t>
            </w:r>
            <w:r>
              <w:rPr>
                <w:position w:val="1"/>
                <w:sz w:val="16"/>
              </w:rPr>
              <w:t>urban</w:t>
            </w:r>
            <w:r>
              <w:rPr>
                <w:spacing w:val="-5"/>
                <w:position w:val="1"/>
                <w:sz w:val="16"/>
              </w:rPr>
              <w:t xml:space="preserve"> </w:t>
            </w:r>
            <w:r>
              <w:rPr>
                <w:position w:val="1"/>
                <w:sz w:val="16"/>
              </w:rPr>
              <w:t>operations</w:t>
            </w:r>
            <w:r>
              <w:rPr>
                <w:spacing w:val="-6"/>
                <w:position w:val="1"/>
                <w:sz w:val="16"/>
              </w:rPr>
              <w:t xml:space="preserve"> </w:t>
            </w:r>
            <w:r>
              <w:rPr>
                <w:position w:val="1"/>
                <w:sz w:val="16"/>
              </w:rPr>
              <w:t>(inclusive</w:t>
            </w:r>
            <w:r>
              <w:rPr>
                <w:spacing w:val="-4"/>
                <w:position w:val="1"/>
                <w:sz w:val="16"/>
              </w:rPr>
              <w:t xml:space="preserve"> </w:t>
            </w:r>
            <w:r>
              <w:rPr>
                <w:position w:val="1"/>
                <w:sz w:val="16"/>
              </w:rPr>
              <w:t>of</w:t>
            </w:r>
            <w:r>
              <w:rPr>
                <w:spacing w:val="-5"/>
                <w:position w:val="1"/>
                <w:sz w:val="16"/>
              </w:rPr>
              <w:t xml:space="preserve"> </w:t>
            </w:r>
            <w:r>
              <w:rPr>
                <w:position w:val="1"/>
                <w:sz w:val="16"/>
              </w:rPr>
              <w:t>urban</w:t>
            </w:r>
            <w:r>
              <w:rPr>
                <w:spacing w:val="40"/>
                <w:position w:val="1"/>
                <w:sz w:val="16"/>
              </w:rPr>
              <w:t xml:space="preserve"> </w:t>
            </w:r>
            <w:r>
              <w:rPr>
                <w:sz w:val="16"/>
              </w:rPr>
              <w:t>customer</w:t>
            </w:r>
            <w:r>
              <w:rPr>
                <w:spacing w:val="-3"/>
                <w:sz w:val="16"/>
              </w:rPr>
              <w:t xml:space="preserve"> </w:t>
            </w:r>
            <w:r>
              <w:rPr>
                <w:sz w:val="16"/>
              </w:rPr>
              <w:t>growth)</w:t>
            </w:r>
          </w:p>
        </w:tc>
        <w:tc>
          <w:tcPr>
            <w:tcW w:w="1121" w:type="dxa"/>
            <w:tcBorders>
              <w:top w:val="single" w:sz="4" w:space="0" w:color="FFFFFF"/>
              <w:bottom w:val="single" w:sz="4" w:space="0" w:color="FFFFFF"/>
              <w:right w:val="single" w:sz="4" w:space="0" w:color="FFFFFF"/>
            </w:tcBorders>
            <w:shd w:val="clear" w:color="auto" w:fill="F1F1F1"/>
          </w:tcPr>
          <w:p w14:paraId="388DF523" w14:textId="77777777" w:rsidR="00141B97" w:rsidRDefault="00911D63">
            <w:pPr>
              <w:pStyle w:val="TableParagraph"/>
              <w:spacing w:line="195" w:lineRule="exact"/>
              <w:ind w:left="99"/>
              <w:rPr>
                <w:sz w:val="16"/>
              </w:rPr>
            </w:pPr>
            <w:r>
              <w:rPr>
                <w:position w:val="1"/>
                <w:sz w:val="16"/>
              </w:rPr>
              <w:t>Tonnes</w:t>
            </w:r>
            <w:r>
              <w:rPr>
                <w:spacing w:val="-9"/>
                <w:position w:val="1"/>
                <w:sz w:val="16"/>
              </w:rPr>
              <w:t xml:space="preserve"> </w:t>
            </w:r>
            <w:r>
              <w:rPr>
                <w:spacing w:val="-4"/>
                <w:position w:val="1"/>
                <w:sz w:val="16"/>
              </w:rPr>
              <w:t>CO</w:t>
            </w:r>
            <w:r>
              <w:rPr>
                <w:spacing w:val="-4"/>
                <w:sz w:val="10"/>
              </w:rPr>
              <w:t>2</w:t>
            </w:r>
            <w:r>
              <w:rPr>
                <w:spacing w:val="-4"/>
                <w:position w:val="1"/>
                <w:sz w:val="16"/>
              </w:rPr>
              <w:t>e</w:t>
            </w:r>
          </w:p>
        </w:tc>
        <w:tc>
          <w:tcPr>
            <w:tcW w:w="817" w:type="dxa"/>
            <w:tcBorders>
              <w:top w:val="single" w:sz="4" w:space="0" w:color="FFFFFF"/>
              <w:left w:val="single" w:sz="4" w:space="0" w:color="FFFFFF"/>
              <w:bottom w:val="single" w:sz="4" w:space="0" w:color="FFFFFF"/>
              <w:right w:val="nil"/>
            </w:tcBorders>
            <w:shd w:val="clear" w:color="auto" w:fill="FF0000"/>
          </w:tcPr>
          <w:p w14:paraId="390220E6" w14:textId="77777777" w:rsidR="00141B97" w:rsidRDefault="00911D63">
            <w:pPr>
              <w:pStyle w:val="TableParagraph"/>
              <w:spacing w:before="86"/>
              <w:ind w:left="141" w:right="141"/>
              <w:jc w:val="center"/>
              <w:rPr>
                <w:sz w:val="18"/>
              </w:rPr>
            </w:pPr>
            <w:r>
              <w:rPr>
                <w:spacing w:val="-2"/>
                <w:sz w:val="18"/>
              </w:rPr>
              <w:t>20,207</w:t>
            </w:r>
          </w:p>
        </w:tc>
        <w:tc>
          <w:tcPr>
            <w:tcW w:w="903" w:type="dxa"/>
            <w:tcBorders>
              <w:top w:val="single" w:sz="4" w:space="0" w:color="FFFFFF"/>
              <w:left w:val="nil"/>
              <w:bottom w:val="single" w:sz="4" w:space="0" w:color="FFFFFF"/>
            </w:tcBorders>
            <w:shd w:val="clear" w:color="auto" w:fill="FF0000"/>
          </w:tcPr>
          <w:p w14:paraId="21B4E196" w14:textId="77777777" w:rsidR="00141B97" w:rsidRDefault="00911D63">
            <w:pPr>
              <w:pStyle w:val="TableParagraph"/>
              <w:spacing w:before="86"/>
              <w:ind w:right="191"/>
              <w:jc w:val="right"/>
              <w:rPr>
                <w:sz w:val="18"/>
              </w:rPr>
            </w:pPr>
            <w:r>
              <w:rPr>
                <w:spacing w:val="-2"/>
                <w:sz w:val="18"/>
              </w:rPr>
              <w:t>18,838</w:t>
            </w:r>
          </w:p>
        </w:tc>
        <w:tc>
          <w:tcPr>
            <w:tcW w:w="831" w:type="dxa"/>
            <w:tcBorders>
              <w:top w:val="single" w:sz="4" w:space="0" w:color="FFFFFF"/>
              <w:bottom w:val="single" w:sz="4" w:space="0" w:color="FFFFFF"/>
              <w:right w:val="nil"/>
            </w:tcBorders>
            <w:shd w:val="clear" w:color="auto" w:fill="FF0000"/>
          </w:tcPr>
          <w:p w14:paraId="333EFCA7" w14:textId="77777777" w:rsidR="00141B97" w:rsidRDefault="00911D63">
            <w:pPr>
              <w:pStyle w:val="TableParagraph"/>
              <w:spacing w:before="86"/>
              <w:ind w:left="90" w:right="88"/>
              <w:jc w:val="center"/>
              <w:rPr>
                <w:sz w:val="18"/>
              </w:rPr>
            </w:pPr>
            <w:r>
              <w:rPr>
                <w:spacing w:val="-2"/>
                <w:sz w:val="18"/>
              </w:rPr>
              <w:t>17,876</w:t>
            </w:r>
          </w:p>
        </w:tc>
        <w:tc>
          <w:tcPr>
            <w:tcW w:w="840" w:type="dxa"/>
            <w:tcBorders>
              <w:top w:val="single" w:sz="4" w:space="0" w:color="FFFFFF"/>
              <w:left w:val="nil"/>
              <w:bottom w:val="single" w:sz="4" w:space="0" w:color="FFFFFF"/>
              <w:right w:val="nil"/>
            </w:tcBorders>
            <w:shd w:val="clear" w:color="auto" w:fill="FF0000"/>
          </w:tcPr>
          <w:p w14:paraId="126F5F3F" w14:textId="77777777" w:rsidR="00141B97" w:rsidRDefault="00911D63">
            <w:pPr>
              <w:pStyle w:val="TableParagraph"/>
              <w:spacing w:before="86"/>
              <w:ind w:left="5" w:right="1"/>
              <w:jc w:val="center"/>
              <w:rPr>
                <w:sz w:val="18"/>
              </w:rPr>
            </w:pPr>
            <w:r>
              <w:rPr>
                <w:spacing w:val="-2"/>
                <w:sz w:val="18"/>
              </w:rPr>
              <w:t>18,401</w:t>
            </w:r>
          </w:p>
        </w:tc>
      </w:tr>
      <w:tr w:rsidR="00141B97" w14:paraId="0BBF5575" w14:textId="77777777">
        <w:trPr>
          <w:trHeight w:val="390"/>
        </w:trPr>
        <w:tc>
          <w:tcPr>
            <w:tcW w:w="397" w:type="dxa"/>
            <w:tcBorders>
              <w:top w:val="single" w:sz="4" w:space="0" w:color="FFFFFF"/>
              <w:left w:val="nil"/>
              <w:bottom w:val="single" w:sz="4" w:space="0" w:color="FFFFFF"/>
            </w:tcBorders>
            <w:shd w:val="clear" w:color="auto" w:fill="F1F1F1"/>
          </w:tcPr>
          <w:p w14:paraId="52BB824C" w14:textId="77777777" w:rsidR="00141B97" w:rsidRDefault="00911D63">
            <w:pPr>
              <w:pStyle w:val="TableParagraph"/>
              <w:ind w:left="95"/>
              <w:rPr>
                <w:sz w:val="16"/>
              </w:rPr>
            </w:pPr>
            <w:r>
              <w:rPr>
                <w:w w:val="99"/>
                <w:sz w:val="16"/>
              </w:rPr>
              <w:t>d</w:t>
            </w:r>
          </w:p>
        </w:tc>
        <w:tc>
          <w:tcPr>
            <w:tcW w:w="4710" w:type="dxa"/>
            <w:tcBorders>
              <w:top w:val="single" w:sz="4" w:space="0" w:color="FFFFFF"/>
              <w:bottom w:val="single" w:sz="4" w:space="0" w:color="FFFFFF"/>
            </w:tcBorders>
            <w:shd w:val="clear" w:color="auto" w:fill="F1F1F1"/>
          </w:tcPr>
          <w:p w14:paraId="7E82763F" w14:textId="77777777" w:rsidR="00141B97" w:rsidRDefault="00911D63">
            <w:pPr>
              <w:pStyle w:val="TableParagraph"/>
              <w:ind w:left="99"/>
              <w:rPr>
                <w:sz w:val="16"/>
              </w:rPr>
            </w:pPr>
            <w:r>
              <w:rPr>
                <w:sz w:val="16"/>
              </w:rPr>
              <w:t>All</w:t>
            </w:r>
            <w:r>
              <w:rPr>
                <w:spacing w:val="-5"/>
                <w:sz w:val="16"/>
              </w:rPr>
              <w:t xml:space="preserve"> </w:t>
            </w:r>
            <w:r>
              <w:rPr>
                <w:sz w:val="16"/>
              </w:rPr>
              <w:t>key</w:t>
            </w:r>
            <w:r>
              <w:rPr>
                <w:spacing w:val="-4"/>
                <w:sz w:val="16"/>
              </w:rPr>
              <w:t xml:space="preserve"> </w:t>
            </w:r>
            <w:r>
              <w:rPr>
                <w:sz w:val="16"/>
              </w:rPr>
              <w:t>sites</w:t>
            </w:r>
            <w:r>
              <w:rPr>
                <w:spacing w:val="-6"/>
                <w:sz w:val="16"/>
              </w:rPr>
              <w:t xml:space="preserve"> </w:t>
            </w:r>
            <w:r>
              <w:rPr>
                <w:sz w:val="16"/>
              </w:rPr>
              <w:t>(7)</w:t>
            </w:r>
            <w:r>
              <w:rPr>
                <w:spacing w:val="-4"/>
                <w:sz w:val="16"/>
              </w:rPr>
              <w:t xml:space="preserve"> </w:t>
            </w:r>
            <w:r>
              <w:rPr>
                <w:sz w:val="16"/>
              </w:rPr>
              <w:t>have</w:t>
            </w:r>
            <w:r>
              <w:rPr>
                <w:spacing w:val="-5"/>
                <w:sz w:val="16"/>
              </w:rPr>
              <w:t xml:space="preserve"> </w:t>
            </w:r>
            <w:r>
              <w:rPr>
                <w:sz w:val="16"/>
              </w:rPr>
              <w:t>generator</w:t>
            </w:r>
            <w:r>
              <w:rPr>
                <w:spacing w:val="-5"/>
                <w:sz w:val="16"/>
              </w:rPr>
              <w:t xml:space="preserve"> </w:t>
            </w:r>
            <w:r>
              <w:rPr>
                <w:sz w:val="16"/>
              </w:rPr>
              <w:t>availability</w:t>
            </w:r>
            <w:r>
              <w:rPr>
                <w:spacing w:val="-5"/>
                <w:sz w:val="16"/>
              </w:rPr>
              <w:t xml:space="preserve"> </w:t>
            </w:r>
            <w:r>
              <w:rPr>
                <w:sz w:val="16"/>
              </w:rPr>
              <w:t>or</w:t>
            </w:r>
            <w:r>
              <w:rPr>
                <w:spacing w:val="-4"/>
                <w:sz w:val="16"/>
              </w:rPr>
              <w:t xml:space="preserve"> </w:t>
            </w:r>
            <w:r>
              <w:rPr>
                <w:sz w:val="16"/>
              </w:rPr>
              <w:t>capability</w:t>
            </w:r>
            <w:r>
              <w:rPr>
                <w:spacing w:val="-4"/>
                <w:sz w:val="16"/>
              </w:rPr>
              <w:t xml:space="preserve"> </w:t>
            </w:r>
            <w:r>
              <w:rPr>
                <w:sz w:val="16"/>
              </w:rPr>
              <w:t>to</w:t>
            </w:r>
            <w:r>
              <w:rPr>
                <w:spacing w:val="-5"/>
                <w:sz w:val="16"/>
              </w:rPr>
              <w:t xml:space="preserve"> </w:t>
            </w:r>
            <w:r>
              <w:rPr>
                <w:spacing w:val="-2"/>
                <w:sz w:val="16"/>
              </w:rPr>
              <w:t>maintain</w:t>
            </w:r>
          </w:p>
          <w:p w14:paraId="6DFF4A84" w14:textId="77777777" w:rsidR="00141B97" w:rsidRDefault="00911D63">
            <w:pPr>
              <w:pStyle w:val="TableParagraph"/>
              <w:spacing w:line="175" w:lineRule="exact"/>
              <w:ind w:left="99"/>
              <w:rPr>
                <w:sz w:val="16"/>
              </w:rPr>
            </w:pPr>
            <w:r>
              <w:rPr>
                <w:sz w:val="16"/>
              </w:rPr>
              <w:t>services</w:t>
            </w:r>
            <w:r>
              <w:rPr>
                <w:spacing w:val="-6"/>
                <w:sz w:val="16"/>
              </w:rPr>
              <w:t xml:space="preserve"> </w:t>
            </w:r>
            <w:r>
              <w:rPr>
                <w:sz w:val="16"/>
              </w:rPr>
              <w:t>in</w:t>
            </w:r>
            <w:r>
              <w:rPr>
                <w:spacing w:val="-5"/>
                <w:sz w:val="16"/>
              </w:rPr>
              <w:t xml:space="preserve"> </w:t>
            </w:r>
            <w:r>
              <w:rPr>
                <w:sz w:val="16"/>
              </w:rPr>
              <w:t>event</w:t>
            </w:r>
            <w:r>
              <w:rPr>
                <w:spacing w:val="-5"/>
                <w:sz w:val="16"/>
              </w:rPr>
              <w:t xml:space="preserve"> </w:t>
            </w:r>
            <w:r>
              <w:rPr>
                <w:sz w:val="16"/>
              </w:rPr>
              <w:t>of</w:t>
            </w:r>
            <w:r>
              <w:rPr>
                <w:spacing w:val="-5"/>
                <w:sz w:val="16"/>
              </w:rPr>
              <w:t xml:space="preserve"> </w:t>
            </w:r>
            <w:r>
              <w:rPr>
                <w:sz w:val="16"/>
              </w:rPr>
              <w:t>sustained</w:t>
            </w:r>
            <w:r>
              <w:rPr>
                <w:spacing w:val="-6"/>
                <w:sz w:val="16"/>
              </w:rPr>
              <w:t xml:space="preserve"> </w:t>
            </w:r>
            <w:r>
              <w:rPr>
                <w:sz w:val="16"/>
              </w:rPr>
              <w:t>power</w:t>
            </w:r>
            <w:r>
              <w:rPr>
                <w:spacing w:val="-4"/>
                <w:sz w:val="16"/>
              </w:rPr>
              <w:t xml:space="preserve"> </w:t>
            </w:r>
            <w:r>
              <w:rPr>
                <w:spacing w:val="-2"/>
                <w:sz w:val="16"/>
              </w:rPr>
              <w:t>outage</w:t>
            </w:r>
          </w:p>
        </w:tc>
        <w:tc>
          <w:tcPr>
            <w:tcW w:w="1121" w:type="dxa"/>
            <w:tcBorders>
              <w:top w:val="single" w:sz="4" w:space="0" w:color="FFFFFF"/>
              <w:bottom w:val="single" w:sz="4" w:space="0" w:color="FFFFFF"/>
              <w:right w:val="single" w:sz="4" w:space="0" w:color="FFFFFF"/>
            </w:tcBorders>
            <w:shd w:val="clear" w:color="auto" w:fill="F1F1F1"/>
          </w:tcPr>
          <w:p w14:paraId="75DA9F10" w14:textId="77777777" w:rsidR="00141B97" w:rsidRDefault="00911D63">
            <w:pPr>
              <w:pStyle w:val="TableParagraph"/>
              <w:ind w:left="99"/>
              <w:rPr>
                <w:sz w:val="16"/>
              </w:rPr>
            </w:pPr>
            <w:r>
              <w:rPr>
                <w:spacing w:val="-2"/>
                <w:sz w:val="16"/>
              </w:rPr>
              <w:t>Pass/Fail</w:t>
            </w:r>
          </w:p>
        </w:tc>
        <w:tc>
          <w:tcPr>
            <w:tcW w:w="817" w:type="dxa"/>
            <w:tcBorders>
              <w:top w:val="single" w:sz="4" w:space="0" w:color="FFFFFF"/>
              <w:left w:val="single" w:sz="4" w:space="0" w:color="FFFFFF"/>
              <w:bottom w:val="single" w:sz="4" w:space="0" w:color="FFFFFF"/>
              <w:right w:val="nil"/>
            </w:tcBorders>
            <w:shd w:val="clear" w:color="auto" w:fill="FF0000"/>
          </w:tcPr>
          <w:p w14:paraId="5F15256B" w14:textId="77777777" w:rsidR="00141B97" w:rsidRDefault="00911D63">
            <w:pPr>
              <w:pStyle w:val="TableParagraph"/>
              <w:spacing w:before="85"/>
              <w:ind w:left="141" w:right="141"/>
              <w:jc w:val="center"/>
              <w:rPr>
                <w:sz w:val="18"/>
              </w:rPr>
            </w:pPr>
            <w:r>
              <w:rPr>
                <w:spacing w:val="-4"/>
                <w:sz w:val="18"/>
              </w:rPr>
              <w:t>Fail</w:t>
            </w:r>
          </w:p>
        </w:tc>
        <w:tc>
          <w:tcPr>
            <w:tcW w:w="903" w:type="dxa"/>
            <w:tcBorders>
              <w:top w:val="single" w:sz="4" w:space="0" w:color="FFFFFF"/>
              <w:left w:val="nil"/>
              <w:bottom w:val="single" w:sz="4" w:space="0" w:color="FFFFFF"/>
            </w:tcBorders>
            <w:shd w:val="clear" w:color="auto" w:fill="00B04F"/>
          </w:tcPr>
          <w:p w14:paraId="49495668" w14:textId="77777777" w:rsidR="00141B97" w:rsidRDefault="00911D63">
            <w:pPr>
              <w:pStyle w:val="TableParagraph"/>
              <w:spacing w:before="85"/>
              <w:ind w:left="286"/>
              <w:rPr>
                <w:sz w:val="18"/>
              </w:rPr>
            </w:pPr>
            <w:r>
              <w:rPr>
                <w:spacing w:val="-4"/>
                <w:sz w:val="18"/>
              </w:rPr>
              <w:t>Pass</w:t>
            </w:r>
          </w:p>
        </w:tc>
        <w:tc>
          <w:tcPr>
            <w:tcW w:w="831" w:type="dxa"/>
            <w:tcBorders>
              <w:top w:val="single" w:sz="4" w:space="0" w:color="FFFFFF"/>
              <w:bottom w:val="single" w:sz="4" w:space="0" w:color="FFFFFF"/>
              <w:right w:val="nil"/>
            </w:tcBorders>
            <w:shd w:val="clear" w:color="auto" w:fill="00B04F"/>
          </w:tcPr>
          <w:p w14:paraId="1D84BA23" w14:textId="77777777" w:rsidR="00141B97" w:rsidRDefault="00911D63">
            <w:pPr>
              <w:pStyle w:val="TableParagraph"/>
              <w:spacing w:before="85"/>
              <w:ind w:left="90" w:right="88"/>
              <w:jc w:val="center"/>
              <w:rPr>
                <w:sz w:val="18"/>
              </w:rPr>
            </w:pPr>
            <w:r>
              <w:rPr>
                <w:spacing w:val="-4"/>
                <w:sz w:val="18"/>
              </w:rPr>
              <w:t>Pass</w:t>
            </w:r>
          </w:p>
        </w:tc>
        <w:tc>
          <w:tcPr>
            <w:tcW w:w="840" w:type="dxa"/>
            <w:tcBorders>
              <w:top w:val="single" w:sz="4" w:space="0" w:color="FFFFFF"/>
              <w:left w:val="nil"/>
              <w:bottom w:val="single" w:sz="4" w:space="0" w:color="FFFFFF"/>
              <w:right w:val="nil"/>
            </w:tcBorders>
            <w:shd w:val="clear" w:color="auto" w:fill="00B04F"/>
          </w:tcPr>
          <w:p w14:paraId="07E588D7" w14:textId="77777777" w:rsidR="00141B97" w:rsidRDefault="00911D63">
            <w:pPr>
              <w:pStyle w:val="TableParagraph"/>
              <w:spacing w:before="85"/>
              <w:ind w:left="5" w:right="1"/>
              <w:jc w:val="center"/>
              <w:rPr>
                <w:sz w:val="18"/>
              </w:rPr>
            </w:pPr>
            <w:r>
              <w:rPr>
                <w:spacing w:val="-4"/>
                <w:sz w:val="18"/>
              </w:rPr>
              <w:t>Pass</w:t>
            </w:r>
          </w:p>
        </w:tc>
      </w:tr>
      <w:tr w:rsidR="00141B97" w14:paraId="0CFD8692" w14:textId="77777777">
        <w:trPr>
          <w:trHeight w:val="217"/>
        </w:trPr>
        <w:tc>
          <w:tcPr>
            <w:tcW w:w="6228" w:type="dxa"/>
            <w:gridSpan w:val="3"/>
            <w:tcBorders>
              <w:top w:val="single" w:sz="4" w:space="0" w:color="FFFFFF"/>
              <w:left w:val="nil"/>
              <w:right w:val="single" w:sz="4" w:space="0" w:color="FFFFFF"/>
            </w:tcBorders>
            <w:shd w:val="clear" w:color="auto" w:fill="D0CECE"/>
          </w:tcPr>
          <w:p w14:paraId="463E2991" w14:textId="77777777" w:rsidR="00141B97" w:rsidRDefault="00911D63">
            <w:pPr>
              <w:pStyle w:val="TableParagraph"/>
              <w:spacing w:line="197" w:lineRule="exact"/>
              <w:ind w:left="98"/>
              <w:rPr>
                <w:sz w:val="18"/>
              </w:rPr>
            </w:pPr>
            <w:r>
              <w:rPr>
                <w:sz w:val="18"/>
              </w:rPr>
              <w:t>#</w:t>
            </w:r>
            <w:r>
              <w:rPr>
                <w:spacing w:val="-2"/>
                <w:sz w:val="18"/>
              </w:rPr>
              <w:t xml:space="preserve"> </w:t>
            </w:r>
            <w:r>
              <w:rPr>
                <w:sz w:val="18"/>
              </w:rPr>
              <w:t>7:</w:t>
            </w:r>
            <w:r>
              <w:rPr>
                <w:spacing w:val="-2"/>
                <w:sz w:val="18"/>
              </w:rPr>
              <w:t xml:space="preserve"> </w:t>
            </w:r>
            <w:r>
              <w:rPr>
                <w:sz w:val="18"/>
              </w:rPr>
              <w:t>Comply</w:t>
            </w:r>
            <w:r>
              <w:rPr>
                <w:spacing w:val="-2"/>
                <w:sz w:val="18"/>
              </w:rPr>
              <w:t xml:space="preserve"> </w:t>
            </w:r>
            <w:r>
              <w:rPr>
                <w:sz w:val="18"/>
              </w:rPr>
              <w:t>with</w:t>
            </w:r>
            <w:r>
              <w:rPr>
                <w:spacing w:val="-2"/>
                <w:sz w:val="18"/>
              </w:rPr>
              <w:t xml:space="preserve"> </w:t>
            </w:r>
            <w:r>
              <w:rPr>
                <w:sz w:val="18"/>
              </w:rPr>
              <w:t>other</w:t>
            </w:r>
            <w:r>
              <w:rPr>
                <w:spacing w:val="-2"/>
                <w:sz w:val="18"/>
              </w:rPr>
              <w:t xml:space="preserve"> </w:t>
            </w:r>
            <w:r>
              <w:rPr>
                <w:sz w:val="18"/>
              </w:rPr>
              <w:t>government</w:t>
            </w:r>
            <w:r>
              <w:rPr>
                <w:spacing w:val="-2"/>
                <w:sz w:val="18"/>
              </w:rPr>
              <w:t xml:space="preserve"> obligations</w:t>
            </w:r>
          </w:p>
        </w:tc>
        <w:tc>
          <w:tcPr>
            <w:tcW w:w="1720" w:type="dxa"/>
            <w:gridSpan w:val="2"/>
            <w:tcBorders>
              <w:top w:val="single" w:sz="4" w:space="0" w:color="FFFFFF"/>
              <w:left w:val="single" w:sz="4" w:space="0" w:color="FFFFFF"/>
            </w:tcBorders>
            <w:shd w:val="clear" w:color="auto" w:fill="00B04F"/>
          </w:tcPr>
          <w:p w14:paraId="59CD8521" w14:textId="77777777" w:rsidR="00141B97" w:rsidRDefault="00141B97">
            <w:pPr>
              <w:pStyle w:val="TableParagraph"/>
              <w:rPr>
                <w:rFonts w:ascii="Times New Roman"/>
                <w:sz w:val="14"/>
              </w:rPr>
            </w:pPr>
          </w:p>
        </w:tc>
        <w:tc>
          <w:tcPr>
            <w:tcW w:w="1671" w:type="dxa"/>
            <w:gridSpan w:val="2"/>
            <w:tcBorders>
              <w:top w:val="single" w:sz="4" w:space="0" w:color="FFFFFF"/>
              <w:right w:val="nil"/>
            </w:tcBorders>
            <w:shd w:val="clear" w:color="auto" w:fill="00B04F"/>
          </w:tcPr>
          <w:p w14:paraId="3C791A94" w14:textId="77777777" w:rsidR="00141B97" w:rsidRDefault="00141B97">
            <w:pPr>
              <w:pStyle w:val="TableParagraph"/>
              <w:rPr>
                <w:rFonts w:ascii="Times New Roman"/>
                <w:sz w:val="14"/>
              </w:rPr>
            </w:pPr>
          </w:p>
        </w:tc>
      </w:tr>
      <w:tr w:rsidR="00141B97" w14:paraId="5AF78C79" w14:textId="77777777">
        <w:trPr>
          <w:trHeight w:val="387"/>
        </w:trPr>
        <w:tc>
          <w:tcPr>
            <w:tcW w:w="397" w:type="dxa"/>
            <w:tcBorders>
              <w:left w:val="nil"/>
              <w:bottom w:val="nil"/>
            </w:tcBorders>
            <w:shd w:val="clear" w:color="auto" w:fill="F1F1F1"/>
          </w:tcPr>
          <w:p w14:paraId="75204A9B" w14:textId="77777777" w:rsidR="00141B97" w:rsidRDefault="00911D63">
            <w:pPr>
              <w:pStyle w:val="TableParagraph"/>
              <w:spacing w:line="192" w:lineRule="exact"/>
              <w:ind w:left="95"/>
              <w:rPr>
                <w:sz w:val="16"/>
              </w:rPr>
            </w:pPr>
            <w:r>
              <w:rPr>
                <w:w w:val="99"/>
                <w:sz w:val="16"/>
              </w:rPr>
              <w:t>a</w:t>
            </w:r>
          </w:p>
        </w:tc>
        <w:tc>
          <w:tcPr>
            <w:tcW w:w="4710" w:type="dxa"/>
            <w:tcBorders>
              <w:bottom w:val="nil"/>
            </w:tcBorders>
            <w:shd w:val="clear" w:color="auto" w:fill="F1F1F1"/>
          </w:tcPr>
          <w:p w14:paraId="72DB05A8" w14:textId="77777777" w:rsidR="00141B97" w:rsidRDefault="00911D63">
            <w:pPr>
              <w:pStyle w:val="TableParagraph"/>
              <w:spacing w:line="192" w:lineRule="exact"/>
              <w:ind w:left="99"/>
              <w:rPr>
                <w:sz w:val="16"/>
              </w:rPr>
            </w:pPr>
            <w:r>
              <w:rPr>
                <w:sz w:val="16"/>
              </w:rPr>
              <w:t>Compliance</w:t>
            </w:r>
            <w:r>
              <w:rPr>
                <w:spacing w:val="-8"/>
                <w:sz w:val="16"/>
              </w:rPr>
              <w:t xml:space="preserve"> </w:t>
            </w:r>
            <w:r>
              <w:rPr>
                <w:sz w:val="16"/>
              </w:rPr>
              <w:t>with</w:t>
            </w:r>
            <w:r>
              <w:rPr>
                <w:spacing w:val="-8"/>
                <w:sz w:val="16"/>
              </w:rPr>
              <w:t xml:space="preserve"> </w:t>
            </w:r>
            <w:r>
              <w:rPr>
                <w:sz w:val="16"/>
              </w:rPr>
              <w:t>government</w:t>
            </w:r>
            <w:r>
              <w:rPr>
                <w:spacing w:val="-7"/>
                <w:sz w:val="16"/>
              </w:rPr>
              <w:t xml:space="preserve"> </w:t>
            </w:r>
            <w:r>
              <w:rPr>
                <w:sz w:val="16"/>
              </w:rPr>
              <w:t>reporting</w:t>
            </w:r>
            <w:r>
              <w:rPr>
                <w:spacing w:val="-8"/>
                <w:sz w:val="16"/>
              </w:rPr>
              <w:t xml:space="preserve"> </w:t>
            </w:r>
            <w:r>
              <w:rPr>
                <w:sz w:val="16"/>
              </w:rPr>
              <w:t>policy</w:t>
            </w:r>
            <w:r>
              <w:rPr>
                <w:spacing w:val="-7"/>
                <w:sz w:val="16"/>
              </w:rPr>
              <w:t xml:space="preserve"> </w:t>
            </w:r>
            <w:r>
              <w:rPr>
                <w:sz w:val="16"/>
              </w:rPr>
              <w:t>requirements</w:t>
            </w:r>
            <w:r>
              <w:rPr>
                <w:spacing w:val="-9"/>
                <w:sz w:val="16"/>
              </w:rPr>
              <w:t xml:space="preserve"> </w:t>
            </w:r>
            <w:r>
              <w:rPr>
                <w:sz w:val="16"/>
              </w:rPr>
              <w:t>–</w:t>
            </w:r>
            <w:r>
              <w:rPr>
                <w:spacing w:val="-8"/>
                <w:sz w:val="16"/>
              </w:rPr>
              <w:t xml:space="preserve"> </w:t>
            </w:r>
            <w:r>
              <w:rPr>
                <w:spacing w:val="-2"/>
                <w:sz w:val="16"/>
              </w:rPr>
              <w:t>timely</w:t>
            </w:r>
          </w:p>
          <w:p w14:paraId="5774E6DB" w14:textId="77777777" w:rsidR="00141B97" w:rsidRDefault="00911D63">
            <w:pPr>
              <w:pStyle w:val="TableParagraph"/>
              <w:spacing w:line="176" w:lineRule="exact"/>
              <w:ind w:left="99"/>
              <w:rPr>
                <w:sz w:val="16"/>
              </w:rPr>
            </w:pPr>
            <w:r>
              <w:rPr>
                <w:sz w:val="16"/>
              </w:rPr>
              <w:t>completion</w:t>
            </w:r>
            <w:r>
              <w:rPr>
                <w:spacing w:val="-6"/>
                <w:sz w:val="16"/>
              </w:rPr>
              <w:t xml:space="preserve"> </w:t>
            </w:r>
            <w:r>
              <w:rPr>
                <w:sz w:val="16"/>
              </w:rPr>
              <w:t>and</w:t>
            </w:r>
            <w:r>
              <w:rPr>
                <w:spacing w:val="-6"/>
                <w:sz w:val="16"/>
              </w:rPr>
              <w:t xml:space="preserve"> </w:t>
            </w:r>
            <w:r>
              <w:rPr>
                <w:sz w:val="16"/>
              </w:rPr>
              <w:t>lodgement</w:t>
            </w:r>
            <w:r>
              <w:rPr>
                <w:spacing w:val="-5"/>
                <w:sz w:val="16"/>
              </w:rPr>
              <w:t xml:space="preserve"> </w:t>
            </w:r>
            <w:r>
              <w:rPr>
                <w:sz w:val="16"/>
              </w:rPr>
              <w:t>of</w:t>
            </w:r>
            <w:r>
              <w:rPr>
                <w:spacing w:val="-5"/>
                <w:sz w:val="16"/>
              </w:rPr>
              <w:t xml:space="preserve"> </w:t>
            </w:r>
            <w:r>
              <w:rPr>
                <w:sz w:val="16"/>
              </w:rPr>
              <w:t>8</w:t>
            </w:r>
            <w:r>
              <w:rPr>
                <w:spacing w:val="-5"/>
                <w:sz w:val="16"/>
              </w:rPr>
              <w:t xml:space="preserve"> </w:t>
            </w:r>
            <w:r>
              <w:rPr>
                <w:sz w:val="16"/>
              </w:rPr>
              <w:t>major</w:t>
            </w:r>
            <w:r>
              <w:rPr>
                <w:spacing w:val="-6"/>
                <w:sz w:val="16"/>
              </w:rPr>
              <w:t xml:space="preserve"> </w:t>
            </w:r>
            <w:r>
              <w:rPr>
                <w:spacing w:val="-2"/>
                <w:sz w:val="16"/>
              </w:rPr>
              <w:t>reports</w:t>
            </w:r>
          </w:p>
        </w:tc>
        <w:tc>
          <w:tcPr>
            <w:tcW w:w="1121" w:type="dxa"/>
            <w:tcBorders>
              <w:bottom w:val="nil"/>
              <w:right w:val="single" w:sz="4" w:space="0" w:color="FFFFFF"/>
            </w:tcBorders>
            <w:shd w:val="clear" w:color="auto" w:fill="F1F1F1"/>
          </w:tcPr>
          <w:p w14:paraId="3AC93DE5" w14:textId="77777777" w:rsidR="00141B97" w:rsidRDefault="00911D63">
            <w:pPr>
              <w:pStyle w:val="TableParagraph"/>
              <w:spacing w:line="192" w:lineRule="exact"/>
              <w:ind w:left="99"/>
              <w:rPr>
                <w:sz w:val="16"/>
              </w:rPr>
            </w:pPr>
            <w:r>
              <w:rPr>
                <w:spacing w:val="-2"/>
                <w:sz w:val="16"/>
              </w:rPr>
              <w:t>Percentage</w:t>
            </w:r>
          </w:p>
          <w:p w14:paraId="555847F7" w14:textId="77777777" w:rsidR="00141B97" w:rsidRDefault="00911D63">
            <w:pPr>
              <w:pStyle w:val="TableParagraph"/>
              <w:spacing w:line="176" w:lineRule="exact"/>
              <w:ind w:left="99"/>
              <w:rPr>
                <w:sz w:val="16"/>
              </w:rPr>
            </w:pPr>
            <w:r>
              <w:rPr>
                <w:sz w:val="16"/>
              </w:rPr>
              <w:t>on</w:t>
            </w:r>
            <w:r>
              <w:rPr>
                <w:spacing w:val="-4"/>
                <w:sz w:val="16"/>
              </w:rPr>
              <w:t xml:space="preserve"> time</w:t>
            </w:r>
          </w:p>
        </w:tc>
        <w:tc>
          <w:tcPr>
            <w:tcW w:w="817" w:type="dxa"/>
            <w:tcBorders>
              <w:left w:val="single" w:sz="4" w:space="0" w:color="FFFFFF"/>
              <w:bottom w:val="nil"/>
              <w:right w:val="nil"/>
            </w:tcBorders>
            <w:shd w:val="clear" w:color="auto" w:fill="00B04F"/>
          </w:tcPr>
          <w:p w14:paraId="36CDBD67" w14:textId="77777777" w:rsidR="00141B97" w:rsidRDefault="00911D63">
            <w:pPr>
              <w:pStyle w:val="TableParagraph"/>
              <w:spacing w:before="83"/>
              <w:ind w:left="141" w:right="141"/>
              <w:jc w:val="center"/>
              <w:rPr>
                <w:sz w:val="18"/>
              </w:rPr>
            </w:pPr>
            <w:r>
              <w:rPr>
                <w:spacing w:val="-4"/>
                <w:sz w:val="18"/>
              </w:rPr>
              <w:t>100%</w:t>
            </w:r>
          </w:p>
        </w:tc>
        <w:tc>
          <w:tcPr>
            <w:tcW w:w="903" w:type="dxa"/>
            <w:tcBorders>
              <w:left w:val="nil"/>
              <w:bottom w:val="nil"/>
            </w:tcBorders>
            <w:shd w:val="clear" w:color="auto" w:fill="00B04F"/>
          </w:tcPr>
          <w:p w14:paraId="0DE7D6C3" w14:textId="77777777" w:rsidR="00141B97" w:rsidRDefault="00911D63">
            <w:pPr>
              <w:pStyle w:val="TableParagraph"/>
              <w:spacing w:before="83"/>
              <w:ind w:right="241"/>
              <w:jc w:val="right"/>
              <w:rPr>
                <w:sz w:val="18"/>
              </w:rPr>
            </w:pPr>
            <w:r>
              <w:rPr>
                <w:spacing w:val="-4"/>
                <w:sz w:val="18"/>
              </w:rPr>
              <w:t>100%</w:t>
            </w:r>
          </w:p>
        </w:tc>
        <w:tc>
          <w:tcPr>
            <w:tcW w:w="831" w:type="dxa"/>
            <w:tcBorders>
              <w:bottom w:val="nil"/>
              <w:right w:val="nil"/>
            </w:tcBorders>
            <w:shd w:val="clear" w:color="auto" w:fill="00B04F"/>
          </w:tcPr>
          <w:p w14:paraId="1226AF1D" w14:textId="77777777" w:rsidR="00141B97" w:rsidRDefault="00911D63">
            <w:pPr>
              <w:pStyle w:val="TableParagraph"/>
              <w:spacing w:before="83"/>
              <w:ind w:left="90" w:right="89"/>
              <w:jc w:val="center"/>
              <w:rPr>
                <w:sz w:val="18"/>
              </w:rPr>
            </w:pPr>
            <w:r>
              <w:rPr>
                <w:spacing w:val="-4"/>
                <w:sz w:val="18"/>
              </w:rPr>
              <w:t>100%</w:t>
            </w:r>
          </w:p>
        </w:tc>
        <w:tc>
          <w:tcPr>
            <w:tcW w:w="840" w:type="dxa"/>
            <w:tcBorders>
              <w:left w:val="nil"/>
              <w:bottom w:val="nil"/>
              <w:right w:val="nil"/>
            </w:tcBorders>
            <w:shd w:val="clear" w:color="auto" w:fill="00B04F"/>
          </w:tcPr>
          <w:p w14:paraId="7118AED1" w14:textId="77777777" w:rsidR="00141B97" w:rsidRDefault="00911D63">
            <w:pPr>
              <w:pStyle w:val="TableParagraph"/>
              <w:spacing w:before="83"/>
              <w:ind w:left="158" w:right="153"/>
              <w:jc w:val="center"/>
              <w:rPr>
                <w:sz w:val="18"/>
              </w:rPr>
            </w:pPr>
            <w:r>
              <w:rPr>
                <w:spacing w:val="-4"/>
                <w:sz w:val="18"/>
              </w:rPr>
              <w:t>100%</w:t>
            </w:r>
          </w:p>
        </w:tc>
      </w:tr>
    </w:tbl>
    <w:p w14:paraId="65D4E43B" w14:textId="12CC1441" w:rsidR="00141B97" w:rsidRDefault="00911D63">
      <w:pPr>
        <w:spacing w:before="29"/>
        <w:ind w:left="114"/>
        <w:rPr>
          <w:sz w:val="16"/>
        </w:rPr>
      </w:pPr>
      <w:r>
        <w:rPr>
          <w:noProof/>
        </w:rPr>
        <mc:AlternateContent>
          <mc:Choice Requires="wps">
            <w:drawing>
              <wp:anchor distT="0" distB="0" distL="114300" distR="114300" simplePos="0" relativeHeight="471446528" behindDoc="1" locked="0" layoutInCell="1" allowOverlap="1" wp14:anchorId="3EAD30F9" wp14:editId="7D03B88E">
                <wp:simplePos x="0" y="0"/>
                <wp:positionH relativeFrom="page">
                  <wp:posOffset>5203190</wp:posOffset>
                </wp:positionH>
                <wp:positionV relativeFrom="paragraph">
                  <wp:posOffset>-3020695</wp:posOffset>
                </wp:positionV>
                <wp:extent cx="567055" cy="139700"/>
                <wp:effectExtent l="0" t="0" r="0" b="0"/>
                <wp:wrapNone/>
                <wp:docPr id="305"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397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99EEA" id="docshape114" o:spid="_x0000_s1026" style="position:absolute;margin-left:409.7pt;margin-top:-237.85pt;width:44.65pt;height:11pt;z-index:-31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" fillcolor="#ffc000" stroked="f">
                <w10:wrap anchorx="page"/>
              </v:rect>
            </w:pict>
          </mc:Fallback>
        </mc:AlternateContent>
      </w:r>
      <w:r>
        <w:rPr>
          <w:noProof/>
        </w:rPr>
        <mc:AlternateContent>
          <mc:Choice Requires="wps">
            <w:drawing>
              <wp:anchor distT="0" distB="0" distL="114300" distR="114300" simplePos="0" relativeHeight="471447040" behindDoc="1" locked="0" layoutInCell="1" allowOverlap="1" wp14:anchorId="153C84DF" wp14:editId="2F870391">
                <wp:simplePos x="0" y="0"/>
                <wp:positionH relativeFrom="page">
                  <wp:posOffset>6304280</wp:posOffset>
                </wp:positionH>
                <wp:positionV relativeFrom="paragraph">
                  <wp:posOffset>-2728595</wp:posOffset>
                </wp:positionV>
                <wp:extent cx="530225" cy="257810"/>
                <wp:effectExtent l="0" t="0" r="0" b="0"/>
                <wp:wrapNone/>
                <wp:docPr id="304"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578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8FED8" id="docshape115" o:spid="_x0000_s1026" style="position:absolute;margin-left:496.4pt;margin-top:-214.85pt;width:41.75pt;height:20.3pt;z-index:-31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" fillcolor="#ffc000" stroked="f">
                <w10:wrap anchorx="page"/>
              </v:rect>
            </w:pict>
          </mc:Fallback>
        </mc:AlternateContent>
      </w:r>
      <w:r>
        <w:rPr>
          <w:sz w:val="16"/>
        </w:rPr>
        <w:t>Table</w:t>
      </w:r>
      <w:r>
        <w:rPr>
          <w:spacing w:val="-5"/>
          <w:sz w:val="16"/>
        </w:rPr>
        <w:t xml:space="preserve"> </w:t>
      </w:r>
      <w:r>
        <w:rPr>
          <w:sz w:val="16"/>
        </w:rPr>
        <w:t>B1:</w:t>
      </w:r>
      <w:r>
        <w:rPr>
          <w:spacing w:val="-5"/>
          <w:sz w:val="16"/>
        </w:rPr>
        <w:t xml:space="preserve"> </w:t>
      </w:r>
      <w:r>
        <w:rPr>
          <w:sz w:val="16"/>
        </w:rPr>
        <w:t>Overall</w:t>
      </w:r>
      <w:r>
        <w:rPr>
          <w:spacing w:val="-5"/>
          <w:sz w:val="16"/>
        </w:rPr>
        <w:t xml:space="preserve"> </w:t>
      </w:r>
      <w:r>
        <w:rPr>
          <w:sz w:val="16"/>
        </w:rPr>
        <w:t>Urban</w:t>
      </w:r>
      <w:r>
        <w:rPr>
          <w:spacing w:val="-6"/>
          <w:sz w:val="16"/>
        </w:rPr>
        <w:t xml:space="preserve"> </w:t>
      </w:r>
      <w:r>
        <w:rPr>
          <w:sz w:val="16"/>
        </w:rPr>
        <w:t>Outcome</w:t>
      </w:r>
      <w:r>
        <w:rPr>
          <w:spacing w:val="-5"/>
          <w:sz w:val="16"/>
        </w:rPr>
        <w:t xml:space="preserve"> </w:t>
      </w:r>
      <w:r>
        <w:rPr>
          <w:spacing w:val="-2"/>
          <w:sz w:val="16"/>
        </w:rPr>
        <w:t>Summary</w:t>
      </w:r>
    </w:p>
    <w:p w14:paraId="3344A950" w14:textId="77777777" w:rsidR="00141B97" w:rsidRDefault="00141B97">
      <w:pPr>
        <w:pStyle w:val="BodyText"/>
        <w:rPr>
          <w:sz w:val="16"/>
        </w:rPr>
      </w:pPr>
    </w:p>
    <w:p w14:paraId="6C2041E5" w14:textId="77777777" w:rsidR="00141B97" w:rsidRDefault="00141B97">
      <w:pPr>
        <w:pStyle w:val="BodyText"/>
        <w:spacing w:before="8"/>
      </w:pPr>
    </w:p>
    <w:p w14:paraId="2C8CD43F" w14:textId="77777777" w:rsidR="00141B97" w:rsidRDefault="00911D63">
      <w:pPr>
        <w:pStyle w:val="BodyText"/>
        <w:spacing w:before="1"/>
        <w:ind w:left="114"/>
      </w:pPr>
      <w:r>
        <w:t>A</w:t>
      </w:r>
      <w:r>
        <w:rPr>
          <w:spacing w:val="-8"/>
        </w:rPr>
        <w:t xml:space="preserve"> </w:t>
      </w:r>
      <w:r>
        <w:t>brief</w:t>
      </w:r>
      <w:r>
        <w:rPr>
          <w:spacing w:val="-8"/>
        </w:rPr>
        <w:t xml:space="preserve"> </w:t>
      </w:r>
      <w:r>
        <w:t>summary</w:t>
      </w:r>
      <w:r>
        <w:rPr>
          <w:spacing w:val="-8"/>
        </w:rPr>
        <w:t xml:space="preserve"> </w:t>
      </w:r>
      <w:r>
        <w:t>of</w:t>
      </w:r>
      <w:r>
        <w:rPr>
          <w:spacing w:val="-6"/>
        </w:rPr>
        <w:t xml:space="preserve"> </w:t>
      </w:r>
      <w:r>
        <w:t>performance</w:t>
      </w:r>
      <w:r>
        <w:rPr>
          <w:spacing w:val="-7"/>
        </w:rPr>
        <w:t xml:space="preserve"> </w:t>
      </w:r>
      <w:r>
        <w:t>results</w:t>
      </w:r>
      <w:r>
        <w:rPr>
          <w:spacing w:val="-8"/>
        </w:rPr>
        <w:t xml:space="preserve"> </w:t>
      </w:r>
      <w:r>
        <w:t>for</w:t>
      </w:r>
      <w:r>
        <w:rPr>
          <w:spacing w:val="-7"/>
        </w:rPr>
        <w:t xml:space="preserve"> </w:t>
      </w:r>
      <w:r>
        <w:t>each</w:t>
      </w:r>
      <w:r>
        <w:rPr>
          <w:spacing w:val="-6"/>
        </w:rPr>
        <w:t xml:space="preserve"> </w:t>
      </w:r>
      <w:r>
        <w:t>outcome</w:t>
      </w:r>
      <w:r>
        <w:rPr>
          <w:spacing w:val="-7"/>
        </w:rPr>
        <w:t xml:space="preserve"> </w:t>
      </w:r>
      <w:r>
        <w:t>is</w:t>
      </w:r>
      <w:r>
        <w:rPr>
          <w:spacing w:val="-7"/>
        </w:rPr>
        <w:t xml:space="preserve"> </w:t>
      </w:r>
      <w:r>
        <w:t>provided</w:t>
      </w:r>
      <w:r>
        <w:rPr>
          <w:spacing w:val="-7"/>
        </w:rPr>
        <w:t xml:space="preserve"> </w:t>
      </w:r>
      <w:r>
        <w:rPr>
          <w:spacing w:val="-2"/>
        </w:rPr>
        <w:t>below.</w:t>
      </w:r>
    </w:p>
    <w:p w14:paraId="31B737A6" w14:textId="77777777" w:rsidR="00141B97" w:rsidRDefault="00141B97">
      <w:pPr>
        <w:sectPr w:rsidR="00141B97">
          <w:pgSz w:w="11910" w:h="16840"/>
          <w:pgMar w:top="820" w:right="40" w:bottom="760" w:left="1020" w:header="0" w:footer="580" w:gutter="0"/>
          <w:cols w:space="720"/>
        </w:sectPr>
      </w:pPr>
    </w:p>
    <w:p w14:paraId="5CDEAF13" w14:textId="77777777" w:rsidR="00141B97" w:rsidRDefault="00911D63">
      <w:pPr>
        <w:pStyle w:val="ListParagraph"/>
        <w:numPr>
          <w:ilvl w:val="2"/>
          <w:numId w:val="81"/>
        </w:numPr>
        <w:tabs>
          <w:tab w:val="left" w:pos="1112"/>
          <w:tab w:val="left" w:pos="1113"/>
        </w:tabs>
        <w:spacing w:before="43"/>
        <w:jc w:val="both"/>
      </w:pPr>
      <w:r>
        <w:lastRenderedPageBreak/>
        <w:t>Outcome</w:t>
      </w:r>
      <w:r>
        <w:rPr>
          <w:spacing w:val="-4"/>
        </w:rPr>
        <w:t xml:space="preserve"> </w:t>
      </w:r>
      <w:r>
        <w:t>1:</w:t>
      </w:r>
      <w:r>
        <w:rPr>
          <w:spacing w:val="-3"/>
        </w:rPr>
        <w:t xml:space="preserve"> </w:t>
      </w:r>
      <w:r>
        <w:t>Keep</w:t>
      </w:r>
      <w:r>
        <w:rPr>
          <w:spacing w:val="-5"/>
        </w:rPr>
        <w:t xml:space="preserve"> </w:t>
      </w:r>
      <w:r>
        <w:t>my</w:t>
      </w:r>
      <w:r>
        <w:rPr>
          <w:spacing w:val="-3"/>
        </w:rPr>
        <w:t xml:space="preserve"> </w:t>
      </w:r>
      <w:r>
        <w:t>costs</w:t>
      </w:r>
      <w:r>
        <w:rPr>
          <w:spacing w:val="-4"/>
        </w:rPr>
        <w:t xml:space="preserve"> </w:t>
      </w:r>
      <w:r>
        <w:t>to</w:t>
      </w:r>
      <w:r>
        <w:rPr>
          <w:spacing w:val="-3"/>
        </w:rPr>
        <w:t xml:space="preserve"> </w:t>
      </w:r>
      <w:r>
        <w:t>a</w:t>
      </w:r>
      <w:r>
        <w:rPr>
          <w:spacing w:val="-4"/>
        </w:rPr>
        <w:t xml:space="preserve"> </w:t>
      </w:r>
      <w:r>
        <w:rPr>
          <w:spacing w:val="-2"/>
        </w:rPr>
        <w:t>minimum</w:t>
      </w:r>
    </w:p>
    <w:p w14:paraId="65EF4896" w14:textId="77777777" w:rsidR="00141B97" w:rsidRDefault="00911D63">
      <w:pPr>
        <w:pStyle w:val="BodyText"/>
        <w:spacing w:before="71" w:line="249" w:lineRule="auto"/>
        <w:ind w:left="114" w:right="949" w:hanging="1"/>
        <w:jc w:val="both"/>
      </w:pPr>
      <w:r>
        <w:t>Tariffs for urban services have consistently followed the agreed price path as determined for the PS4 period, resulting</w:t>
      </w:r>
      <w:r>
        <w:rPr>
          <w:spacing w:val="-1"/>
        </w:rPr>
        <w:t xml:space="preserve"> </w:t>
      </w:r>
      <w:r>
        <w:t>in</w:t>
      </w:r>
      <w:r>
        <w:rPr>
          <w:spacing w:val="-2"/>
        </w:rPr>
        <w:t xml:space="preserve"> </w:t>
      </w:r>
      <w:r>
        <w:t>a reduction</w:t>
      </w:r>
      <w:r>
        <w:rPr>
          <w:spacing w:val="-1"/>
        </w:rPr>
        <w:t xml:space="preserve"> </w:t>
      </w:r>
      <w:r>
        <w:t>of 0.35%</w:t>
      </w:r>
      <w:r>
        <w:rPr>
          <w:spacing w:val="-2"/>
        </w:rPr>
        <w:t xml:space="preserve"> </w:t>
      </w:r>
      <w:r>
        <w:t>in</w:t>
      </w:r>
      <w:r>
        <w:rPr>
          <w:spacing w:val="-1"/>
        </w:rPr>
        <w:t xml:space="preserve"> </w:t>
      </w:r>
      <w:r>
        <w:t>real</w:t>
      </w:r>
      <w:r>
        <w:rPr>
          <w:spacing w:val="-1"/>
        </w:rPr>
        <w:t xml:space="preserve"> </w:t>
      </w:r>
      <w:r>
        <w:t>terms.</w:t>
      </w:r>
      <w:r>
        <w:rPr>
          <w:spacing w:val="-2"/>
        </w:rPr>
        <w:t xml:space="preserve"> </w:t>
      </w:r>
      <w:r>
        <w:t>The</w:t>
      </w:r>
      <w:r>
        <w:rPr>
          <w:spacing w:val="-2"/>
        </w:rPr>
        <w:t xml:space="preserve"> </w:t>
      </w:r>
      <w:r>
        <w:t>LMW</w:t>
      </w:r>
      <w:r>
        <w:rPr>
          <w:spacing w:val="-2"/>
        </w:rPr>
        <w:t xml:space="preserve"> </w:t>
      </w:r>
      <w:r>
        <w:t>electricity</w:t>
      </w:r>
      <w:r>
        <w:rPr>
          <w:spacing w:val="-1"/>
        </w:rPr>
        <w:t xml:space="preserve"> </w:t>
      </w:r>
      <w:r>
        <w:t>collar price adjustment mechanism has</w:t>
      </w:r>
      <w:r>
        <w:rPr>
          <w:spacing w:val="-2"/>
        </w:rPr>
        <w:t xml:space="preserve"> </w:t>
      </w:r>
      <w:r>
        <w:t>not been triggered as electricity costs and prices have been contained within agreed limits.</w:t>
      </w:r>
    </w:p>
    <w:p w14:paraId="27C096C8" w14:textId="77777777" w:rsidR="00141B97" w:rsidRDefault="00911D63">
      <w:pPr>
        <w:pStyle w:val="BodyText"/>
        <w:spacing w:before="122" w:line="249" w:lineRule="auto"/>
        <w:ind w:left="113" w:right="948"/>
        <w:jc w:val="both"/>
      </w:pPr>
      <w:r>
        <w:t>LMW entered PS4 with a government‐mandated target to achieve 1% annual efficiency savings, and it is primarily performance against this measure which has brought down LMW’s rating on this outcome. The key drivers were increases in operating costs associated with the labour force required to deliver outcomes and compliance requirements, and uplift in ICT expenditure.</w:t>
      </w:r>
      <w:r>
        <w:rPr>
          <w:spacing w:val="40"/>
        </w:rPr>
        <w:t xml:space="preserve"> </w:t>
      </w:r>
      <w:r>
        <w:t>It should be noted that despite these expenditure increases, LMW is a highly efficient business when compared to its peers, as demonstrated in the opex benchmarking study undertaken by GHD</w:t>
      </w:r>
      <w:r>
        <w:rPr>
          <w:vertAlign w:val="superscript"/>
        </w:rPr>
        <w:t>3</w:t>
      </w:r>
      <w:r>
        <w:t>.</w:t>
      </w:r>
    </w:p>
    <w:p w14:paraId="22654CE7" w14:textId="77777777" w:rsidR="00141B97" w:rsidRDefault="00911D63">
      <w:pPr>
        <w:pStyle w:val="BodyText"/>
        <w:spacing w:before="124" w:line="249" w:lineRule="auto"/>
        <w:ind w:left="113" w:right="947"/>
        <w:jc w:val="both"/>
      </w:pPr>
      <w:r>
        <w:t>Additional</w:t>
      </w:r>
      <w:r>
        <w:rPr>
          <w:spacing w:val="-8"/>
        </w:rPr>
        <w:t xml:space="preserve"> </w:t>
      </w:r>
      <w:r>
        <w:t>ICT</w:t>
      </w:r>
      <w:r>
        <w:rPr>
          <w:spacing w:val="-5"/>
        </w:rPr>
        <w:t xml:space="preserve"> </w:t>
      </w:r>
      <w:r>
        <w:t>expenditure</w:t>
      </w:r>
      <w:r>
        <w:rPr>
          <w:spacing w:val="-5"/>
        </w:rPr>
        <w:t xml:space="preserve"> </w:t>
      </w:r>
      <w:r>
        <w:t>was</w:t>
      </w:r>
      <w:r>
        <w:rPr>
          <w:spacing w:val="-6"/>
        </w:rPr>
        <w:t xml:space="preserve"> </w:t>
      </w:r>
      <w:r>
        <w:t>mainly</w:t>
      </w:r>
      <w:r>
        <w:rPr>
          <w:spacing w:val="-5"/>
        </w:rPr>
        <w:t xml:space="preserve"> </w:t>
      </w:r>
      <w:r>
        <w:t>due</w:t>
      </w:r>
      <w:r>
        <w:rPr>
          <w:spacing w:val="-6"/>
        </w:rPr>
        <w:t xml:space="preserve"> </w:t>
      </w:r>
      <w:r>
        <w:t>to</w:t>
      </w:r>
      <w:r>
        <w:rPr>
          <w:spacing w:val="-6"/>
        </w:rPr>
        <w:t xml:space="preserve"> </w:t>
      </w:r>
      <w:r>
        <w:t>software</w:t>
      </w:r>
      <w:r>
        <w:rPr>
          <w:spacing w:val="-7"/>
        </w:rPr>
        <w:t xml:space="preserve"> </w:t>
      </w:r>
      <w:r>
        <w:t>licences</w:t>
      </w:r>
      <w:r>
        <w:rPr>
          <w:spacing w:val="-5"/>
        </w:rPr>
        <w:t xml:space="preserve"> </w:t>
      </w:r>
      <w:r>
        <w:t>moving</w:t>
      </w:r>
      <w:r>
        <w:rPr>
          <w:spacing w:val="-6"/>
        </w:rPr>
        <w:t xml:space="preserve"> </w:t>
      </w:r>
      <w:r>
        <w:t>from</w:t>
      </w:r>
      <w:r>
        <w:rPr>
          <w:spacing w:val="-4"/>
        </w:rPr>
        <w:t xml:space="preserve"> </w:t>
      </w:r>
      <w:r>
        <w:t>on‐premise</w:t>
      </w:r>
      <w:r>
        <w:rPr>
          <w:spacing w:val="-6"/>
        </w:rPr>
        <w:t xml:space="preserve"> </w:t>
      </w:r>
      <w:r>
        <w:t>servers</w:t>
      </w:r>
      <w:r>
        <w:rPr>
          <w:spacing w:val="-5"/>
        </w:rPr>
        <w:t xml:space="preserve"> </w:t>
      </w:r>
      <w:r>
        <w:t>to</w:t>
      </w:r>
      <w:r>
        <w:rPr>
          <w:spacing w:val="-6"/>
        </w:rPr>
        <w:t xml:space="preserve"> </w:t>
      </w:r>
      <w:r>
        <w:t>Software</w:t>
      </w:r>
      <w:r>
        <w:rPr>
          <w:spacing w:val="-6"/>
        </w:rPr>
        <w:t xml:space="preserve"> </w:t>
      </w:r>
      <w:r>
        <w:t>as a Service (SaaS) as a part of business transformation initiatives. This reduced capital investment but increased operational cost with Accounting Standard directions changing the recognition of SaaS implementation costs from capital to an operational cost.</w:t>
      </w:r>
    </w:p>
    <w:p w14:paraId="2343F005" w14:textId="77777777" w:rsidR="00141B97" w:rsidRDefault="00911D63">
      <w:pPr>
        <w:pStyle w:val="BodyText"/>
        <w:spacing w:before="123" w:line="249" w:lineRule="auto"/>
        <w:ind w:left="114" w:right="949" w:hanging="1"/>
        <w:jc w:val="both"/>
      </w:pPr>
      <w:r>
        <w:t>Water treatment and filtration costs increased due to frequent poor raw river water quality and additional chemical costs required to maintain delivered water quality at the required standards. Major challenges included</w:t>
      </w:r>
      <w:r>
        <w:rPr>
          <w:spacing w:val="-13"/>
        </w:rPr>
        <w:t xml:space="preserve"> </w:t>
      </w:r>
      <w:r>
        <w:t>repeated</w:t>
      </w:r>
      <w:r>
        <w:rPr>
          <w:spacing w:val="-12"/>
        </w:rPr>
        <w:t xml:space="preserve"> </w:t>
      </w:r>
      <w:r>
        <w:t>blue‐green</w:t>
      </w:r>
      <w:r>
        <w:rPr>
          <w:spacing w:val="-13"/>
        </w:rPr>
        <w:t xml:space="preserve"> </w:t>
      </w:r>
      <w:r>
        <w:t>algae</w:t>
      </w:r>
      <w:r>
        <w:rPr>
          <w:spacing w:val="-12"/>
        </w:rPr>
        <w:t xml:space="preserve"> </w:t>
      </w:r>
      <w:r>
        <w:t>(BGA)</w:t>
      </w:r>
      <w:r>
        <w:rPr>
          <w:spacing w:val="-13"/>
        </w:rPr>
        <w:t xml:space="preserve"> </w:t>
      </w:r>
      <w:r>
        <w:t>events</w:t>
      </w:r>
      <w:r>
        <w:rPr>
          <w:spacing w:val="-12"/>
        </w:rPr>
        <w:t xml:space="preserve"> </w:t>
      </w:r>
      <w:r>
        <w:t>requiring</w:t>
      </w:r>
      <w:r>
        <w:rPr>
          <w:spacing w:val="-13"/>
        </w:rPr>
        <w:t xml:space="preserve"> </w:t>
      </w:r>
      <w:r>
        <w:t>high</w:t>
      </w:r>
      <w:r>
        <w:rPr>
          <w:spacing w:val="-12"/>
        </w:rPr>
        <w:t xml:space="preserve"> </w:t>
      </w:r>
      <w:r>
        <w:t>chemical</w:t>
      </w:r>
      <w:r>
        <w:rPr>
          <w:spacing w:val="-12"/>
        </w:rPr>
        <w:t xml:space="preserve"> </w:t>
      </w:r>
      <w:r>
        <w:t>dosing</w:t>
      </w:r>
      <w:r>
        <w:rPr>
          <w:spacing w:val="-13"/>
        </w:rPr>
        <w:t xml:space="preserve"> </w:t>
      </w:r>
      <w:r>
        <w:t>rates</w:t>
      </w:r>
      <w:r>
        <w:rPr>
          <w:spacing w:val="-12"/>
        </w:rPr>
        <w:t xml:space="preserve"> </w:t>
      </w:r>
      <w:r>
        <w:t>to</w:t>
      </w:r>
      <w:r>
        <w:rPr>
          <w:spacing w:val="-13"/>
        </w:rPr>
        <w:t xml:space="preserve"> </w:t>
      </w:r>
      <w:r>
        <w:t>provide</w:t>
      </w:r>
      <w:r>
        <w:rPr>
          <w:spacing w:val="-12"/>
        </w:rPr>
        <w:t xml:space="preserve"> </w:t>
      </w:r>
      <w:r>
        <w:t>the</w:t>
      </w:r>
      <w:r>
        <w:rPr>
          <w:spacing w:val="-13"/>
        </w:rPr>
        <w:t xml:space="preserve"> </w:t>
      </w:r>
      <w:r>
        <w:t>community with access to safe drinking water.</w:t>
      </w:r>
    </w:p>
    <w:p w14:paraId="005BA8D7" w14:textId="77777777" w:rsidR="00141B97" w:rsidRDefault="00911D63">
      <w:pPr>
        <w:pStyle w:val="BodyText"/>
        <w:spacing w:before="122" w:line="249" w:lineRule="auto"/>
        <w:ind w:left="113" w:right="946"/>
        <w:jc w:val="both"/>
      </w:pPr>
      <w:r>
        <w:t>The PS4 period provided some of the most challenging economic and social environments experienced in Australia</w:t>
      </w:r>
      <w:r>
        <w:rPr>
          <w:spacing w:val="-13"/>
        </w:rPr>
        <w:t xml:space="preserve"> </w:t>
      </w:r>
      <w:r>
        <w:t>in</w:t>
      </w:r>
      <w:r>
        <w:rPr>
          <w:spacing w:val="-12"/>
        </w:rPr>
        <w:t xml:space="preserve"> </w:t>
      </w:r>
      <w:r>
        <w:t>recent</w:t>
      </w:r>
      <w:r>
        <w:rPr>
          <w:spacing w:val="-13"/>
        </w:rPr>
        <w:t xml:space="preserve"> </w:t>
      </w:r>
      <w:r>
        <w:t>decades,</w:t>
      </w:r>
      <w:r>
        <w:rPr>
          <w:spacing w:val="-11"/>
        </w:rPr>
        <w:t xml:space="preserve"> </w:t>
      </w:r>
      <w:r>
        <w:t>with</w:t>
      </w:r>
      <w:r>
        <w:rPr>
          <w:spacing w:val="-13"/>
        </w:rPr>
        <w:t xml:space="preserve"> </w:t>
      </w:r>
      <w:r>
        <w:t>the</w:t>
      </w:r>
      <w:r>
        <w:rPr>
          <w:spacing w:val="-12"/>
        </w:rPr>
        <w:t xml:space="preserve"> </w:t>
      </w:r>
      <w:r>
        <w:t>pandemic,</w:t>
      </w:r>
      <w:r>
        <w:rPr>
          <w:spacing w:val="-12"/>
        </w:rPr>
        <w:t xml:space="preserve"> </w:t>
      </w:r>
      <w:r>
        <w:t>climate</w:t>
      </w:r>
      <w:r>
        <w:rPr>
          <w:spacing w:val="-13"/>
        </w:rPr>
        <w:t xml:space="preserve"> </w:t>
      </w:r>
      <w:r>
        <w:t>change</w:t>
      </w:r>
      <w:r>
        <w:rPr>
          <w:spacing w:val="-12"/>
        </w:rPr>
        <w:t xml:space="preserve"> </w:t>
      </w:r>
      <w:r>
        <w:t>and</w:t>
      </w:r>
      <w:r>
        <w:rPr>
          <w:spacing w:val="-12"/>
        </w:rPr>
        <w:t xml:space="preserve"> </w:t>
      </w:r>
      <w:r>
        <w:t>more</w:t>
      </w:r>
      <w:r>
        <w:rPr>
          <w:spacing w:val="-12"/>
        </w:rPr>
        <w:t xml:space="preserve"> </w:t>
      </w:r>
      <w:r>
        <w:t>recently</w:t>
      </w:r>
      <w:r>
        <w:rPr>
          <w:spacing w:val="-12"/>
        </w:rPr>
        <w:t xml:space="preserve"> </w:t>
      </w:r>
      <w:r>
        <w:t>international</w:t>
      </w:r>
      <w:r>
        <w:rPr>
          <w:spacing w:val="-13"/>
        </w:rPr>
        <w:t xml:space="preserve"> </w:t>
      </w:r>
      <w:r>
        <w:t>conflict</w:t>
      </w:r>
      <w:r>
        <w:rPr>
          <w:spacing w:val="-11"/>
        </w:rPr>
        <w:t xml:space="preserve"> </w:t>
      </w:r>
      <w:r>
        <w:t>inflating many costs and constraining supply, increasing economic hardship, and causing social change. Against this backdrop, the maintenance of costs at even a flat trajectory would be difficult to maintain without major compromises to service outcomes and increased risk.</w:t>
      </w:r>
      <w:r>
        <w:rPr>
          <w:spacing w:val="40"/>
        </w:rPr>
        <w:t xml:space="preserve"> </w:t>
      </w:r>
      <w:r>
        <w:t>That LMW has been able to contain its costs to the moderate increases observed, indicates that it has, in fact, kept its costs to a minimum, despite not achieving the approved efficiency target in several years.</w:t>
      </w:r>
    </w:p>
    <w:p w14:paraId="5768FC59" w14:textId="77777777" w:rsidR="00141B97" w:rsidRDefault="00911D63">
      <w:pPr>
        <w:pStyle w:val="BodyText"/>
        <w:spacing w:before="114"/>
        <w:ind w:left="113" w:right="947"/>
        <w:jc w:val="both"/>
      </w:pPr>
      <w:r>
        <w:t>Despite</w:t>
      </w:r>
      <w:r>
        <w:rPr>
          <w:spacing w:val="-6"/>
        </w:rPr>
        <w:t xml:space="preserve"> </w:t>
      </w:r>
      <w:r>
        <w:t>some</w:t>
      </w:r>
      <w:r>
        <w:rPr>
          <w:spacing w:val="-6"/>
        </w:rPr>
        <w:t xml:space="preserve"> </w:t>
      </w:r>
      <w:r>
        <w:t>delays</w:t>
      </w:r>
      <w:r>
        <w:rPr>
          <w:spacing w:val="-4"/>
        </w:rPr>
        <w:t xml:space="preserve"> </w:t>
      </w:r>
      <w:r>
        <w:t>early</w:t>
      </w:r>
      <w:r>
        <w:rPr>
          <w:spacing w:val="-5"/>
        </w:rPr>
        <w:t xml:space="preserve"> </w:t>
      </w:r>
      <w:r>
        <w:t>in</w:t>
      </w:r>
      <w:r>
        <w:rPr>
          <w:spacing w:val="-7"/>
        </w:rPr>
        <w:t xml:space="preserve"> </w:t>
      </w:r>
      <w:r>
        <w:t>the</w:t>
      </w:r>
      <w:r>
        <w:rPr>
          <w:spacing w:val="-6"/>
        </w:rPr>
        <w:t xml:space="preserve"> </w:t>
      </w:r>
      <w:r>
        <w:t>period,</w:t>
      </w:r>
      <w:r>
        <w:rPr>
          <w:spacing w:val="-4"/>
        </w:rPr>
        <w:t xml:space="preserve"> </w:t>
      </w:r>
      <w:r>
        <w:t>LMW’s</w:t>
      </w:r>
      <w:r>
        <w:rPr>
          <w:spacing w:val="-6"/>
        </w:rPr>
        <w:t xml:space="preserve"> </w:t>
      </w:r>
      <w:r>
        <w:t>major</w:t>
      </w:r>
      <w:r>
        <w:rPr>
          <w:spacing w:val="-4"/>
        </w:rPr>
        <w:t xml:space="preserve"> </w:t>
      </w:r>
      <w:r>
        <w:t>capital</w:t>
      </w:r>
      <w:r>
        <w:rPr>
          <w:spacing w:val="-6"/>
        </w:rPr>
        <w:t xml:space="preserve"> </w:t>
      </w:r>
      <w:r>
        <w:t>projects</w:t>
      </w:r>
      <w:r>
        <w:rPr>
          <w:spacing w:val="-6"/>
        </w:rPr>
        <w:t xml:space="preserve"> </w:t>
      </w:r>
      <w:r>
        <w:t>saw</w:t>
      </w:r>
      <w:r>
        <w:rPr>
          <w:spacing w:val="-5"/>
        </w:rPr>
        <w:t xml:space="preserve"> </w:t>
      </w:r>
      <w:r>
        <w:t>an</w:t>
      </w:r>
      <w:r>
        <w:rPr>
          <w:spacing w:val="-6"/>
        </w:rPr>
        <w:t xml:space="preserve"> </w:t>
      </w:r>
      <w:r>
        <w:t>improving</w:t>
      </w:r>
      <w:r>
        <w:rPr>
          <w:spacing w:val="-5"/>
        </w:rPr>
        <w:t xml:space="preserve"> </w:t>
      </w:r>
      <w:r>
        <w:t>delivery</w:t>
      </w:r>
      <w:r>
        <w:rPr>
          <w:spacing w:val="-7"/>
        </w:rPr>
        <w:t xml:space="preserve"> </w:t>
      </w:r>
      <w:r>
        <w:t>trend</w:t>
      </w:r>
      <w:r>
        <w:rPr>
          <w:spacing w:val="-5"/>
        </w:rPr>
        <w:t xml:space="preserve"> </w:t>
      </w:r>
      <w:r>
        <w:t>over</w:t>
      </w:r>
      <w:r>
        <w:rPr>
          <w:spacing w:val="-5"/>
        </w:rPr>
        <w:t xml:space="preserve"> </w:t>
      </w:r>
      <w:r>
        <w:t>the PS4</w:t>
      </w:r>
      <w:r>
        <w:rPr>
          <w:spacing w:val="-7"/>
        </w:rPr>
        <w:t xml:space="preserve"> </w:t>
      </w:r>
      <w:r>
        <w:t>period</w:t>
      </w:r>
      <w:r>
        <w:rPr>
          <w:spacing w:val="-5"/>
        </w:rPr>
        <w:t xml:space="preserve"> </w:t>
      </w:r>
      <w:r>
        <w:t>and</w:t>
      </w:r>
      <w:r>
        <w:rPr>
          <w:spacing w:val="-7"/>
        </w:rPr>
        <w:t xml:space="preserve"> </w:t>
      </w:r>
      <w:r>
        <w:t>met</w:t>
      </w:r>
      <w:r>
        <w:rPr>
          <w:spacing w:val="-6"/>
        </w:rPr>
        <w:t xml:space="preserve"> </w:t>
      </w:r>
      <w:r>
        <w:t>target</w:t>
      </w:r>
      <w:r>
        <w:rPr>
          <w:spacing w:val="-5"/>
        </w:rPr>
        <w:t xml:space="preserve"> </w:t>
      </w:r>
      <w:r>
        <w:t>in</w:t>
      </w:r>
      <w:r>
        <w:rPr>
          <w:spacing w:val="-7"/>
        </w:rPr>
        <w:t xml:space="preserve"> </w:t>
      </w:r>
      <w:r>
        <w:t>the</w:t>
      </w:r>
      <w:r>
        <w:rPr>
          <w:spacing w:val="-6"/>
        </w:rPr>
        <w:t xml:space="preserve"> </w:t>
      </w:r>
      <w:r>
        <w:t>most</w:t>
      </w:r>
      <w:r>
        <w:rPr>
          <w:spacing w:val="-6"/>
        </w:rPr>
        <w:t xml:space="preserve"> </w:t>
      </w:r>
      <w:r>
        <w:t>recent</w:t>
      </w:r>
      <w:r>
        <w:rPr>
          <w:spacing w:val="-6"/>
        </w:rPr>
        <w:t xml:space="preserve"> </w:t>
      </w:r>
      <w:r>
        <w:t>year.</w:t>
      </w:r>
      <w:r>
        <w:rPr>
          <w:spacing w:val="-5"/>
        </w:rPr>
        <w:t xml:space="preserve"> </w:t>
      </w:r>
      <w:r>
        <w:t>The</w:t>
      </w:r>
      <w:r>
        <w:rPr>
          <w:spacing w:val="-6"/>
        </w:rPr>
        <w:t xml:space="preserve"> </w:t>
      </w:r>
      <w:r>
        <w:t>most</w:t>
      </w:r>
      <w:r>
        <w:rPr>
          <w:spacing w:val="-6"/>
        </w:rPr>
        <w:t xml:space="preserve"> </w:t>
      </w:r>
      <w:r>
        <w:t>significant</w:t>
      </w:r>
      <w:r>
        <w:rPr>
          <w:spacing w:val="-6"/>
        </w:rPr>
        <w:t xml:space="preserve"> </w:t>
      </w:r>
      <w:r>
        <w:t>delays</w:t>
      </w:r>
      <w:r>
        <w:rPr>
          <w:spacing w:val="-6"/>
        </w:rPr>
        <w:t xml:space="preserve"> </w:t>
      </w:r>
      <w:r>
        <w:t>were</w:t>
      </w:r>
      <w:r>
        <w:rPr>
          <w:spacing w:val="-5"/>
        </w:rPr>
        <w:t xml:space="preserve"> </w:t>
      </w:r>
      <w:r>
        <w:t>on</w:t>
      </w:r>
      <w:r>
        <w:rPr>
          <w:spacing w:val="-6"/>
        </w:rPr>
        <w:t xml:space="preserve"> </w:t>
      </w:r>
      <w:r>
        <w:t>Mildura</w:t>
      </w:r>
      <w:r>
        <w:rPr>
          <w:spacing w:val="-7"/>
        </w:rPr>
        <w:t xml:space="preserve"> </w:t>
      </w:r>
      <w:r>
        <w:t>Power</w:t>
      </w:r>
      <w:r>
        <w:rPr>
          <w:spacing w:val="-6"/>
        </w:rPr>
        <w:t xml:space="preserve"> </w:t>
      </w:r>
      <w:r>
        <w:t>Upgrade and</w:t>
      </w:r>
      <w:r>
        <w:rPr>
          <w:spacing w:val="-6"/>
        </w:rPr>
        <w:t xml:space="preserve"> </w:t>
      </w:r>
      <w:r>
        <w:t>UV</w:t>
      </w:r>
      <w:r>
        <w:rPr>
          <w:spacing w:val="-6"/>
        </w:rPr>
        <w:t xml:space="preserve"> </w:t>
      </w:r>
      <w:r>
        <w:t>Disinfection,</w:t>
      </w:r>
      <w:r>
        <w:rPr>
          <w:spacing w:val="-7"/>
        </w:rPr>
        <w:t xml:space="preserve"> </w:t>
      </w:r>
      <w:r>
        <w:t>and</w:t>
      </w:r>
      <w:r>
        <w:rPr>
          <w:spacing w:val="-6"/>
        </w:rPr>
        <w:t xml:space="preserve"> </w:t>
      </w:r>
      <w:r>
        <w:t>in</w:t>
      </w:r>
      <w:r>
        <w:rPr>
          <w:spacing w:val="-6"/>
        </w:rPr>
        <w:t xml:space="preserve"> </w:t>
      </w:r>
      <w:r>
        <w:t>the</w:t>
      </w:r>
      <w:r>
        <w:rPr>
          <w:spacing w:val="-7"/>
        </w:rPr>
        <w:t xml:space="preserve"> </w:t>
      </w:r>
      <w:r>
        <w:t>middle</w:t>
      </w:r>
      <w:r>
        <w:rPr>
          <w:spacing w:val="-6"/>
        </w:rPr>
        <w:t xml:space="preserve"> </w:t>
      </w:r>
      <w:r>
        <w:t>and</w:t>
      </w:r>
      <w:r>
        <w:rPr>
          <w:spacing w:val="-7"/>
        </w:rPr>
        <w:t xml:space="preserve"> </w:t>
      </w:r>
      <w:r>
        <w:t>later</w:t>
      </w:r>
      <w:r>
        <w:rPr>
          <w:spacing w:val="-6"/>
        </w:rPr>
        <w:t xml:space="preserve"> </w:t>
      </w:r>
      <w:r>
        <w:t>years,</w:t>
      </w:r>
      <w:r>
        <w:rPr>
          <w:spacing w:val="-6"/>
        </w:rPr>
        <w:t xml:space="preserve"> </w:t>
      </w:r>
      <w:r>
        <w:t>some</w:t>
      </w:r>
      <w:r>
        <w:rPr>
          <w:spacing w:val="-6"/>
        </w:rPr>
        <w:t xml:space="preserve"> </w:t>
      </w:r>
      <w:r>
        <w:t>delays</w:t>
      </w:r>
      <w:r>
        <w:rPr>
          <w:spacing w:val="-6"/>
        </w:rPr>
        <w:t xml:space="preserve"> </w:t>
      </w:r>
      <w:r>
        <w:t>were</w:t>
      </w:r>
      <w:r>
        <w:rPr>
          <w:spacing w:val="-8"/>
        </w:rPr>
        <w:t xml:space="preserve"> </w:t>
      </w:r>
      <w:r>
        <w:t>incurred</w:t>
      </w:r>
      <w:r>
        <w:rPr>
          <w:spacing w:val="-8"/>
        </w:rPr>
        <w:t xml:space="preserve"> </w:t>
      </w:r>
      <w:r>
        <w:t>due</w:t>
      </w:r>
      <w:r>
        <w:rPr>
          <w:spacing w:val="-7"/>
        </w:rPr>
        <w:t xml:space="preserve"> </w:t>
      </w:r>
      <w:r>
        <w:t>to</w:t>
      </w:r>
      <w:r>
        <w:rPr>
          <w:spacing w:val="-7"/>
        </w:rPr>
        <w:t xml:space="preserve"> </w:t>
      </w:r>
      <w:r>
        <w:t>COVID</w:t>
      </w:r>
      <w:r>
        <w:rPr>
          <w:spacing w:val="-6"/>
        </w:rPr>
        <w:t xml:space="preserve"> </w:t>
      </w:r>
      <w:r>
        <w:t>lockdowns</w:t>
      </w:r>
      <w:r>
        <w:rPr>
          <w:spacing w:val="-5"/>
        </w:rPr>
        <w:t xml:space="preserve"> </w:t>
      </w:r>
      <w:r>
        <w:t>and delays</w:t>
      </w:r>
      <w:r>
        <w:rPr>
          <w:spacing w:val="-7"/>
        </w:rPr>
        <w:t xml:space="preserve"> </w:t>
      </w:r>
      <w:r>
        <w:t>to</w:t>
      </w:r>
      <w:r>
        <w:rPr>
          <w:spacing w:val="-7"/>
        </w:rPr>
        <w:t xml:space="preserve"> </w:t>
      </w:r>
      <w:r>
        <w:t>materials/equipment</w:t>
      </w:r>
      <w:r>
        <w:rPr>
          <w:spacing w:val="-7"/>
        </w:rPr>
        <w:t xml:space="preserve"> </w:t>
      </w:r>
      <w:r>
        <w:t>supply</w:t>
      </w:r>
      <w:r>
        <w:rPr>
          <w:spacing w:val="-6"/>
        </w:rPr>
        <w:t xml:space="preserve"> </w:t>
      </w:r>
      <w:r>
        <w:t>during</w:t>
      </w:r>
      <w:r>
        <w:rPr>
          <w:spacing w:val="-7"/>
        </w:rPr>
        <w:t xml:space="preserve"> </w:t>
      </w:r>
      <w:r>
        <w:t>2020‐21</w:t>
      </w:r>
      <w:r>
        <w:rPr>
          <w:spacing w:val="-4"/>
        </w:rPr>
        <w:t xml:space="preserve"> </w:t>
      </w:r>
      <w:r>
        <w:t>and</w:t>
      </w:r>
      <w:r>
        <w:rPr>
          <w:spacing w:val="-7"/>
        </w:rPr>
        <w:t xml:space="preserve"> </w:t>
      </w:r>
      <w:r>
        <w:t>2021‐22.</w:t>
      </w:r>
      <w:r>
        <w:rPr>
          <w:spacing w:val="39"/>
        </w:rPr>
        <w:t xml:space="preserve"> </w:t>
      </w:r>
      <w:r>
        <w:t>Completion</w:t>
      </w:r>
      <w:r>
        <w:rPr>
          <w:spacing w:val="-4"/>
        </w:rPr>
        <w:t xml:space="preserve"> </w:t>
      </w:r>
      <w:r>
        <w:t>of</w:t>
      </w:r>
      <w:r>
        <w:rPr>
          <w:spacing w:val="-6"/>
        </w:rPr>
        <w:t xml:space="preserve"> </w:t>
      </w:r>
      <w:r>
        <w:t>all</w:t>
      </w:r>
      <w:r>
        <w:rPr>
          <w:spacing w:val="-6"/>
        </w:rPr>
        <w:t xml:space="preserve"> </w:t>
      </w:r>
      <w:r>
        <w:t>PS4</w:t>
      </w:r>
      <w:r>
        <w:rPr>
          <w:spacing w:val="-6"/>
        </w:rPr>
        <w:t xml:space="preserve"> </w:t>
      </w:r>
      <w:r>
        <w:t>major</w:t>
      </w:r>
      <w:r>
        <w:rPr>
          <w:spacing w:val="-6"/>
        </w:rPr>
        <w:t xml:space="preserve"> </w:t>
      </w:r>
      <w:r>
        <w:t>projects</w:t>
      </w:r>
      <w:r>
        <w:rPr>
          <w:spacing w:val="-6"/>
        </w:rPr>
        <w:t xml:space="preserve"> </w:t>
      </w:r>
      <w:r>
        <w:t>in</w:t>
      </w:r>
      <w:r>
        <w:rPr>
          <w:spacing w:val="-4"/>
        </w:rPr>
        <w:t xml:space="preserve"> </w:t>
      </w:r>
      <w:r>
        <w:t>the 2022‐23 year is expected.</w:t>
      </w:r>
    </w:p>
    <w:p w14:paraId="71A5BDAB" w14:textId="77777777" w:rsidR="00141B97" w:rsidRDefault="00141B97">
      <w:pPr>
        <w:pStyle w:val="BodyText"/>
        <w:spacing w:before="8"/>
        <w:rPr>
          <w:sz w:val="20"/>
        </w:rPr>
      </w:pPr>
    </w:p>
    <w:p w14:paraId="7E6A4174" w14:textId="77777777" w:rsidR="00141B97" w:rsidRDefault="00911D63">
      <w:pPr>
        <w:pStyle w:val="ListParagraph"/>
        <w:numPr>
          <w:ilvl w:val="2"/>
          <w:numId w:val="81"/>
        </w:numPr>
        <w:tabs>
          <w:tab w:val="left" w:pos="1112"/>
          <w:tab w:val="left" w:pos="1113"/>
        </w:tabs>
        <w:jc w:val="both"/>
      </w:pPr>
      <w:r>
        <w:t>Outcome</w:t>
      </w:r>
      <w:r>
        <w:rPr>
          <w:spacing w:val="-5"/>
        </w:rPr>
        <w:t xml:space="preserve"> </w:t>
      </w:r>
      <w:r>
        <w:t>2:</w:t>
      </w:r>
      <w:r>
        <w:rPr>
          <w:spacing w:val="-4"/>
        </w:rPr>
        <w:t xml:space="preserve"> </w:t>
      </w:r>
      <w:r>
        <w:t>Be</w:t>
      </w:r>
      <w:r>
        <w:rPr>
          <w:spacing w:val="-3"/>
        </w:rPr>
        <w:t xml:space="preserve"> </w:t>
      </w:r>
      <w:r>
        <w:t>easy</w:t>
      </w:r>
      <w:r>
        <w:rPr>
          <w:spacing w:val="-4"/>
        </w:rPr>
        <w:t xml:space="preserve"> </w:t>
      </w:r>
      <w:r>
        <w:t>to</w:t>
      </w:r>
      <w:r>
        <w:rPr>
          <w:spacing w:val="-6"/>
        </w:rPr>
        <w:t xml:space="preserve"> </w:t>
      </w:r>
      <w:r>
        <w:t>contact</w:t>
      </w:r>
      <w:r>
        <w:rPr>
          <w:spacing w:val="-4"/>
        </w:rPr>
        <w:t xml:space="preserve"> </w:t>
      </w:r>
      <w:r>
        <w:t>and</w:t>
      </w:r>
      <w:r>
        <w:rPr>
          <w:spacing w:val="-5"/>
        </w:rPr>
        <w:t xml:space="preserve"> </w:t>
      </w:r>
      <w:r>
        <w:t>quick</w:t>
      </w:r>
      <w:r>
        <w:rPr>
          <w:spacing w:val="-4"/>
        </w:rPr>
        <w:t xml:space="preserve"> </w:t>
      </w:r>
      <w:r>
        <w:t>to</w:t>
      </w:r>
      <w:r>
        <w:rPr>
          <w:spacing w:val="-4"/>
        </w:rPr>
        <w:t xml:space="preserve"> </w:t>
      </w:r>
      <w:r>
        <w:rPr>
          <w:spacing w:val="-2"/>
        </w:rPr>
        <w:t>respond</w:t>
      </w:r>
    </w:p>
    <w:p w14:paraId="4D5DF48E" w14:textId="77777777" w:rsidR="00141B97" w:rsidRDefault="00911D63">
      <w:pPr>
        <w:pStyle w:val="BodyText"/>
        <w:spacing w:before="71" w:line="252" w:lineRule="auto"/>
        <w:ind w:left="113" w:right="949"/>
        <w:jc w:val="both"/>
      </w:pPr>
      <w:r>
        <w:t>LMW has performed favourably on this outcome over PS4 with the two substantive measures – customer satisfaction and net promoter score – consistently scoring well above target.</w:t>
      </w:r>
    </w:p>
    <w:p w14:paraId="287BB757" w14:textId="77777777" w:rsidR="00141B97" w:rsidRDefault="00911D63">
      <w:pPr>
        <w:pStyle w:val="BodyText"/>
        <w:spacing w:before="115" w:line="252" w:lineRule="auto"/>
        <w:ind w:left="114" w:right="948" w:hanging="1"/>
        <w:jc w:val="both"/>
      </w:pPr>
      <w:r>
        <w:t>Post‐interaction survey counts have again proven challenging during the reporting period, with a modest increase on the 2022‐21 results masking a general reluctance by customers to undertake these survey processes, and survey participation and administration significantly hampered by COVID‐19 restrictions.</w:t>
      </w:r>
    </w:p>
    <w:p w14:paraId="2D355096" w14:textId="77777777" w:rsidR="00141B97" w:rsidRDefault="00911D63">
      <w:pPr>
        <w:pStyle w:val="BodyText"/>
        <w:spacing w:before="114" w:line="249" w:lineRule="auto"/>
        <w:ind w:left="113" w:right="948"/>
        <w:jc w:val="both"/>
      </w:pPr>
      <w:r>
        <w:t>Customer</w:t>
      </w:r>
      <w:r>
        <w:rPr>
          <w:spacing w:val="-2"/>
        </w:rPr>
        <w:t xml:space="preserve"> </w:t>
      </w:r>
      <w:r>
        <w:t>complaints</w:t>
      </w:r>
      <w:r>
        <w:rPr>
          <w:spacing w:val="-3"/>
        </w:rPr>
        <w:t xml:space="preserve"> </w:t>
      </w:r>
      <w:r>
        <w:t>made</w:t>
      </w:r>
      <w:r>
        <w:rPr>
          <w:spacing w:val="-4"/>
        </w:rPr>
        <w:t xml:space="preserve"> </w:t>
      </w:r>
      <w:r>
        <w:t>to</w:t>
      </w:r>
      <w:r>
        <w:rPr>
          <w:spacing w:val="-4"/>
        </w:rPr>
        <w:t xml:space="preserve"> </w:t>
      </w:r>
      <w:r>
        <w:t>the</w:t>
      </w:r>
      <w:r>
        <w:rPr>
          <w:spacing w:val="-3"/>
        </w:rPr>
        <w:t xml:space="preserve"> </w:t>
      </w:r>
      <w:r>
        <w:t>Energy</w:t>
      </w:r>
      <w:r>
        <w:rPr>
          <w:spacing w:val="-3"/>
        </w:rPr>
        <w:t xml:space="preserve"> </w:t>
      </w:r>
      <w:r>
        <w:t>and</w:t>
      </w:r>
      <w:r>
        <w:rPr>
          <w:spacing w:val="-2"/>
        </w:rPr>
        <w:t xml:space="preserve"> </w:t>
      </w:r>
      <w:r>
        <w:t>Water</w:t>
      </w:r>
      <w:r>
        <w:rPr>
          <w:spacing w:val="-2"/>
        </w:rPr>
        <w:t xml:space="preserve"> </w:t>
      </w:r>
      <w:r>
        <w:t>Ombudsman</w:t>
      </w:r>
      <w:r>
        <w:rPr>
          <w:spacing w:val="-1"/>
        </w:rPr>
        <w:t xml:space="preserve"> </w:t>
      </w:r>
      <w:r>
        <w:t>Victoria</w:t>
      </w:r>
      <w:r>
        <w:rPr>
          <w:spacing w:val="-3"/>
        </w:rPr>
        <w:t xml:space="preserve"> </w:t>
      </w:r>
      <w:r>
        <w:t>(EWOV)</w:t>
      </w:r>
      <w:r>
        <w:rPr>
          <w:spacing w:val="-3"/>
        </w:rPr>
        <w:t xml:space="preserve"> </w:t>
      </w:r>
      <w:r>
        <w:t>in</w:t>
      </w:r>
      <w:r>
        <w:rPr>
          <w:spacing w:val="-2"/>
        </w:rPr>
        <w:t xml:space="preserve"> </w:t>
      </w:r>
      <w:r>
        <w:t>the</w:t>
      </w:r>
      <w:r>
        <w:rPr>
          <w:spacing w:val="-4"/>
        </w:rPr>
        <w:t xml:space="preserve"> </w:t>
      </w:r>
      <w:r>
        <w:t>first</w:t>
      </w:r>
      <w:r>
        <w:rPr>
          <w:spacing w:val="-3"/>
        </w:rPr>
        <w:t xml:space="preserve"> </w:t>
      </w:r>
      <w:r>
        <w:t>and</w:t>
      </w:r>
      <w:r>
        <w:rPr>
          <w:spacing w:val="-2"/>
        </w:rPr>
        <w:t xml:space="preserve"> </w:t>
      </w:r>
      <w:r>
        <w:t>fourth</w:t>
      </w:r>
      <w:r>
        <w:rPr>
          <w:spacing w:val="-3"/>
        </w:rPr>
        <w:t xml:space="preserve"> </w:t>
      </w:r>
      <w:r>
        <w:t>years of</w:t>
      </w:r>
      <w:r>
        <w:rPr>
          <w:spacing w:val="-3"/>
        </w:rPr>
        <w:t xml:space="preserve"> </w:t>
      </w:r>
      <w:r>
        <w:t>the</w:t>
      </w:r>
      <w:r>
        <w:rPr>
          <w:spacing w:val="-3"/>
        </w:rPr>
        <w:t xml:space="preserve"> </w:t>
      </w:r>
      <w:r>
        <w:t>PS4</w:t>
      </w:r>
      <w:r>
        <w:rPr>
          <w:spacing w:val="-2"/>
        </w:rPr>
        <w:t xml:space="preserve"> </w:t>
      </w:r>
      <w:r>
        <w:t>period</w:t>
      </w:r>
      <w:r>
        <w:rPr>
          <w:spacing w:val="-2"/>
        </w:rPr>
        <w:t xml:space="preserve"> </w:t>
      </w:r>
      <w:r>
        <w:t>exceeded</w:t>
      </w:r>
      <w:r>
        <w:rPr>
          <w:spacing w:val="-3"/>
        </w:rPr>
        <w:t xml:space="preserve"> </w:t>
      </w:r>
      <w:r>
        <w:t>target,</w:t>
      </w:r>
      <w:r>
        <w:rPr>
          <w:spacing w:val="-3"/>
        </w:rPr>
        <w:t xml:space="preserve"> </w:t>
      </w:r>
      <w:r>
        <w:t>due</w:t>
      </w:r>
      <w:r>
        <w:rPr>
          <w:spacing w:val="-1"/>
        </w:rPr>
        <w:t xml:space="preserve"> </w:t>
      </w:r>
      <w:r>
        <w:t>to</w:t>
      </w:r>
      <w:r>
        <w:rPr>
          <w:spacing w:val="-2"/>
        </w:rPr>
        <w:t xml:space="preserve"> </w:t>
      </w:r>
      <w:r>
        <w:t>account</w:t>
      </w:r>
      <w:r>
        <w:rPr>
          <w:spacing w:val="-2"/>
        </w:rPr>
        <w:t xml:space="preserve"> </w:t>
      </w:r>
      <w:r>
        <w:t>billing</w:t>
      </w:r>
      <w:r>
        <w:rPr>
          <w:spacing w:val="-2"/>
        </w:rPr>
        <w:t xml:space="preserve"> </w:t>
      </w:r>
      <w:r>
        <w:t>complaints</w:t>
      </w:r>
      <w:r>
        <w:rPr>
          <w:spacing w:val="-3"/>
        </w:rPr>
        <w:t xml:space="preserve"> </w:t>
      </w:r>
      <w:r>
        <w:t>after</w:t>
      </w:r>
      <w:r>
        <w:rPr>
          <w:spacing w:val="-2"/>
        </w:rPr>
        <w:t xml:space="preserve"> </w:t>
      </w:r>
      <w:r>
        <w:t>an</w:t>
      </w:r>
      <w:r>
        <w:rPr>
          <w:spacing w:val="-2"/>
        </w:rPr>
        <w:t xml:space="preserve"> </w:t>
      </w:r>
      <w:r>
        <w:t>abnormal</w:t>
      </w:r>
      <w:r>
        <w:rPr>
          <w:spacing w:val="-2"/>
        </w:rPr>
        <w:t xml:space="preserve"> </w:t>
      </w:r>
      <w:r>
        <w:t>meter</w:t>
      </w:r>
      <w:r>
        <w:rPr>
          <w:spacing w:val="-2"/>
        </w:rPr>
        <w:t xml:space="preserve"> </w:t>
      </w:r>
      <w:r>
        <w:t>read</w:t>
      </w:r>
      <w:r>
        <w:rPr>
          <w:spacing w:val="-2"/>
        </w:rPr>
        <w:t xml:space="preserve"> </w:t>
      </w:r>
      <w:r>
        <w:t>in</w:t>
      </w:r>
      <w:r>
        <w:rPr>
          <w:spacing w:val="-3"/>
        </w:rPr>
        <w:t xml:space="preserve"> </w:t>
      </w:r>
      <w:r>
        <w:t>2018‐19. Of the thirteen cases in 2021‐22, 10 were resolved internally between LMW and the customers and three (3) cases</w:t>
      </w:r>
      <w:r>
        <w:rPr>
          <w:spacing w:val="-4"/>
        </w:rPr>
        <w:t xml:space="preserve"> </w:t>
      </w:r>
      <w:r>
        <w:t>were</w:t>
      </w:r>
      <w:r>
        <w:rPr>
          <w:spacing w:val="-3"/>
        </w:rPr>
        <w:t xml:space="preserve"> </w:t>
      </w:r>
      <w:r>
        <w:t>escalated</w:t>
      </w:r>
      <w:r>
        <w:rPr>
          <w:spacing w:val="-4"/>
        </w:rPr>
        <w:t xml:space="preserve"> </w:t>
      </w:r>
      <w:r>
        <w:t>to</w:t>
      </w:r>
      <w:r>
        <w:rPr>
          <w:spacing w:val="-5"/>
        </w:rPr>
        <w:t xml:space="preserve"> </w:t>
      </w:r>
      <w:r>
        <w:t>arbitration</w:t>
      </w:r>
      <w:r>
        <w:rPr>
          <w:spacing w:val="-5"/>
        </w:rPr>
        <w:t xml:space="preserve"> </w:t>
      </w:r>
      <w:r>
        <w:t>by</w:t>
      </w:r>
      <w:r>
        <w:rPr>
          <w:spacing w:val="-3"/>
        </w:rPr>
        <w:t xml:space="preserve"> </w:t>
      </w:r>
      <w:r>
        <w:t>EWOV</w:t>
      </w:r>
      <w:r>
        <w:rPr>
          <w:spacing w:val="-5"/>
        </w:rPr>
        <w:t xml:space="preserve"> </w:t>
      </w:r>
      <w:r>
        <w:t>regarding</w:t>
      </w:r>
      <w:r>
        <w:rPr>
          <w:spacing w:val="-4"/>
        </w:rPr>
        <w:t xml:space="preserve"> </w:t>
      </w:r>
      <w:r>
        <w:t>high</w:t>
      </w:r>
      <w:r>
        <w:rPr>
          <w:spacing w:val="-5"/>
        </w:rPr>
        <w:t xml:space="preserve"> </w:t>
      </w:r>
      <w:r>
        <w:t>consumption,</w:t>
      </w:r>
      <w:r>
        <w:rPr>
          <w:spacing w:val="-5"/>
        </w:rPr>
        <w:t xml:space="preserve"> </w:t>
      </w:r>
      <w:r>
        <w:t>billing,</w:t>
      </w:r>
      <w:r>
        <w:rPr>
          <w:spacing w:val="-4"/>
        </w:rPr>
        <w:t xml:space="preserve"> </w:t>
      </w:r>
      <w:r>
        <w:t>and</w:t>
      </w:r>
      <w:r>
        <w:rPr>
          <w:spacing w:val="-4"/>
        </w:rPr>
        <w:t xml:space="preserve"> </w:t>
      </w:r>
      <w:r>
        <w:t>water</w:t>
      </w:r>
      <w:r>
        <w:rPr>
          <w:spacing w:val="-3"/>
        </w:rPr>
        <w:t xml:space="preserve"> </w:t>
      </w:r>
      <w:r>
        <w:t>quality</w:t>
      </w:r>
      <w:r>
        <w:rPr>
          <w:spacing w:val="-4"/>
        </w:rPr>
        <w:t xml:space="preserve"> </w:t>
      </w:r>
      <w:r>
        <w:t>complaints during one billing cycle.</w:t>
      </w:r>
      <w:r>
        <w:rPr>
          <w:spacing w:val="40"/>
        </w:rPr>
        <w:t xml:space="preserve"> </w:t>
      </w:r>
      <w:r>
        <w:t>LMW strengthened its Hardship Program in PS4 recognising that from time‐to‐time customers may experience payment difficulties or financial hardship and may need additional assistance and flexibility to manage their water costs and usage.</w:t>
      </w:r>
    </w:p>
    <w:p w14:paraId="71614502" w14:textId="77777777" w:rsidR="00141B97" w:rsidRDefault="00141B97">
      <w:pPr>
        <w:pStyle w:val="BodyText"/>
        <w:spacing w:before="3"/>
        <w:rPr>
          <w:sz w:val="20"/>
        </w:rPr>
      </w:pPr>
    </w:p>
    <w:p w14:paraId="3BA1589C" w14:textId="77777777" w:rsidR="00141B97" w:rsidRDefault="00911D63">
      <w:pPr>
        <w:pStyle w:val="ListParagraph"/>
        <w:numPr>
          <w:ilvl w:val="2"/>
          <w:numId w:val="81"/>
        </w:numPr>
        <w:tabs>
          <w:tab w:val="left" w:pos="1112"/>
          <w:tab w:val="left" w:pos="1113"/>
        </w:tabs>
        <w:jc w:val="both"/>
      </w:pPr>
      <w:r>
        <w:t>Outcome</w:t>
      </w:r>
      <w:r>
        <w:rPr>
          <w:spacing w:val="-6"/>
        </w:rPr>
        <w:t xml:space="preserve"> </w:t>
      </w:r>
      <w:r>
        <w:t>3:</w:t>
      </w:r>
      <w:r>
        <w:rPr>
          <w:spacing w:val="-5"/>
        </w:rPr>
        <w:t xml:space="preserve"> </w:t>
      </w:r>
      <w:r>
        <w:t>Provide</w:t>
      </w:r>
      <w:r>
        <w:rPr>
          <w:spacing w:val="-7"/>
        </w:rPr>
        <w:t xml:space="preserve"> </w:t>
      </w:r>
      <w:r>
        <w:t>me</w:t>
      </w:r>
      <w:r>
        <w:rPr>
          <w:spacing w:val="-7"/>
        </w:rPr>
        <w:t xml:space="preserve"> </w:t>
      </w:r>
      <w:r>
        <w:t>with</w:t>
      </w:r>
      <w:r>
        <w:rPr>
          <w:spacing w:val="-5"/>
        </w:rPr>
        <w:t xml:space="preserve"> </w:t>
      </w:r>
      <w:r>
        <w:t>consistent,</w:t>
      </w:r>
      <w:r>
        <w:rPr>
          <w:spacing w:val="-5"/>
        </w:rPr>
        <w:t xml:space="preserve"> </w:t>
      </w:r>
      <w:r>
        <w:t>safe,</w:t>
      </w:r>
      <w:r>
        <w:rPr>
          <w:spacing w:val="-7"/>
        </w:rPr>
        <w:t xml:space="preserve"> </w:t>
      </w:r>
      <w:r>
        <w:t>clean</w:t>
      </w:r>
      <w:r>
        <w:rPr>
          <w:spacing w:val="-5"/>
        </w:rPr>
        <w:t xml:space="preserve"> </w:t>
      </w:r>
      <w:r>
        <w:t>drinking</w:t>
      </w:r>
      <w:r>
        <w:rPr>
          <w:spacing w:val="-5"/>
        </w:rPr>
        <w:t xml:space="preserve"> </w:t>
      </w:r>
      <w:r>
        <w:rPr>
          <w:spacing w:val="-2"/>
        </w:rPr>
        <w:t>water</w:t>
      </w:r>
    </w:p>
    <w:p w14:paraId="37D12E51" w14:textId="77777777" w:rsidR="00141B97" w:rsidRDefault="00911D63">
      <w:pPr>
        <w:pStyle w:val="BodyText"/>
        <w:spacing w:before="70" w:line="249" w:lineRule="auto"/>
        <w:ind w:left="113" w:right="948" w:hanging="1"/>
        <w:jc w:val="both"/>
      </w:pPr>
      <w:r>
        <w:t>LMW generally was close to meeting, met or bettered the substantive performance measures against this customer outcome. Water quality complaints, while on an improving trend, remained slightly above target, in large part due to a significant decline in raw water quality in the Murray River over the PS4 period which has</w:t>
      </w:r>
    </w:p>
    <w:p w14:paraId="6EEAA480" w14:textId="18708CE2" w:rsidR="00141B97" w:rsidRDefault="00911D63">
      <w:pPr>
        <w:pStyle w:val="BodyText"/>
        <w:spacing w:before="1"/>
        <w:rPr>
          <w:sz w:val="11"/>
        </w:rPr>
      </w:pPr>
      <w:r>
        <w:rPr>
          <w:noProof/>
        </w:rPr>
        <mc:AlternateContent>
          <mc:Choice Requires="wps">
            <w:drawing>
              <wp:anchor distT="0" distB="0" distL="0" distR="0" simplePos="0" relativeHeight="487609856" behindDoc="1" locked="0" layoutInCell="1" allowOverlap="1" wp14:anchorId="4DC20C45" wp14:editId="3DD7BCBE">
                <wp:simplePos x="0" y="0"/>
                <wp:positionH relativeFrom="page">
                  <wp:posOffset>720090</wp:posOffset>
                </wp:positionH>
                <wp:positionV relativeFrom="paragraph">
                  <wp:posOffset>101600</wp:posOffset>
                </wp:positionV>
                <wp:extent cx="1828800" cy="6350"/>
                <wp:effectExtent l="0" t="0" r="0" b="0"/>
                <wp:wrapTopAndBottom/>
                <wp:docPr id="303"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62514" id="docshape116" o:spid="_x0000_s1026" style="position:absolute;margin-left:56.7pt;margin-top:8pt;width:2in;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" fillcolor="black" stroked="f">
                <w10:wrap type="topAndBottom" anchorx="page"/>
              </v:rect>
            </w:pict>
          </mc:Fallback>
        </mc:AlternateContent>
      </w:r>
    </w:p>
    <w:p w14:paraId="3AB5C2DA" w14:textId="77777777" w:rsidR="00141B97" w:rsidRDefault="00911D63">
      <w:pPr>
        <w:spacing w:before="85"/>
        <w:ind w:left="114"/>
        <w:rPr>
          <w:sz w:val="14"/>
        </w:rPr>
      </w:pPr>
      <w:r>
        <w:rPr>
          <w:position w:val="4"/>
          <w:sz w:val="9"/>
        </w:rPr>
        <w:t>3</w:t>
      </w:r>
      <w:r>
        <w:rPr>
          <w:spacing w:val="8"/>
          <w:position w:val="4"/>
          <w:sz w:val="9"/>
        </w:rPr>
        <w:t xml:space="preserve"> </w:t>
      </w:r>
      <w:r>
        <w:rPr>
          <w:sz w:val="14"/>
        </w:rPr>
        <w:t>Opex</w:t>
      </w:r>
      <w:r>
        <w:rPr>
          <w:spacing w:val="-3"/>
          <w:sz w:val="14"/>
        </w:rPr>
        <w:t xml:space="preserve"> </w:t>
      </w:r>
      <w:r>
        <w:rPr>
          <w:sz w:val="14"/>
        </w:rPr>
        <w:t>Efficiency</w:t>
      </w:r>
      <w:r>
        <w:rPr>
          <w:spacing w:val="-3"/>
          <w:sz w:val="14"/>
        </w:rPr>
        <w:t xml:space="preserve"> </w:t>
      </w:r>
      <w:r>
        <w:rPr>
          <w:sz w:val="14"/>
        </w:rPr>
        <w:t>Benchmarking,</w:t>
      </w:r>
      <w:r>
        <w:rPr>
          <w:spacing w:val="-3"/>
          <w:sz w:val="14"/>
        </w:rPr>
        <w:t xml:space="preserve"> </w:t>
      </w:r>
      <w:r>
        <w:rPr>
          <w:sz w:val="14"/>
        </w:rPr>
        <w:t>GHD,</w:t>
      </w:r>
      <w:r>
        <w:rPr>
          <w:spacing w:val="-3"/>
          <w:sz w:val="14"/>
        </w:rPr>
        <w:t xml:space="preserve"> </w:t>
      </w:r>
      <w:r>
        <w:rPr>
          <w:sz w:val="14"/>
        </w:rPr>
        <w:t>10</w:t>
      </w:r>
      <w:r>
        <w:rPr>
          <w:spacing w:val="-2"/>
          <w:sz w:val="14"/>
        </w:rPr>
        <w:t xml:space="preserve"> </w:t>
      </w:r>
      <w:r>
        <w:rPr>
          <w:sz w:val="14"/>
        </w:rPr>
        <w:t>June</w:t>
      </w:r>
      <w:r>
        <w:rPr>
          <w:spacing w:val="-3"/>
          <w:sz w:val="14"/>
        </w:rPr>
        <w:t xml:space="preserve"> </w:t>
      </w:r>
      <w:r>
        <w:rPr>
          <w:spacing w:val="-4"/>
          <w:sz w:val="14"/>
        </w:rPr>
        <w:t>2022</w:t>
      </w:r>
    </w:p>
    <w:p w14:paraId="6A0104E0" w14:textId="77777777" w:rsidR="00141B97" w:rsidRDefault="00141B97">
      <w:pPr>
        <w:rPr>
          <w:sz w:val="14"/>
        </w:rPr>
        <w:sectPr w:rsidR="00141B97">
          <w:pgSz w:w="11910" w:h="16840"/>
          <w:pgMar w:top="820" w:right="40" w:bottom="760" w:left="1020" w:header="0" w:footer="580" w:gutter="0"/>
          <w:cols w:space="720"/>
        </w:sectPr>
      </w:pPr>
    </w:p>
    <w:p w14:paraId="442503DB" w14:textId="77777777" w:rsidR="00141B97" w:rsidRDefault="00911D63">
      <w:pPr>
        <w:pStyle w:val="BodyText"/>
        <w:spacing w:before="42" w:line="249" w:lineRule="auto"/>
        <w:ind w:left="113" w:right="949"/>
        <w:jc w:val="both"/>
      </w:pPr>
      <w:r>
        <w:lastRenderedPageBreak/>
        <w:t>made treatment of water more difficult and more expensive with increased chemical and process costs. Raw water</w:t>
      </w:r>
      <w:r>
        <w:rPr>
          <w:spacing w:val="-6"/>
        </w:rPr>
        <w:t xml:space="preserve"> </w:t>
      </w:r>
      <w:r>
        <w:t>turbidity</w:t>
      </w:r>
      <w:r>
        <w:rPr>
          <w:spacing w:val="-7"/>
        </w:rPr>
        <w:t xml:space="preserve"> </w:t>
      </w:r>
      <w:r>
        <w:t>limits</w:t>
      </w:r>
      <w:r>
        <w:rPr>
          <w:spacing w:val="-5"/>
        </w:rPr>
        <w:t xml:space="preserve"> </w:t>
      </w:r>
      <w:r>
        <w:t>were</w:t>
      </w:r>
      <w:r>
        <w:rPr>
          <w:spacing w:val="-5"/>
        </w:rPr>
        <w:t xml:space="preserve"> </w:t>
      </w:r>
      <w:r>
        <w:t>also</w:t>
      </w:r>
      <w:r>
        <w:rPr>
          <w:spacing w:val="-6"/>
        </w:rPr>
        <w:t xml:space="preserve"> </w:t>
      </w:r>
      <w:r>
        <w:t>responsible</w:t>
      </w:r>
      <w:r>
        <w:rPr>
          <w:spacing w:val="-6"/>
        </w:rPr>
        <w:t xml:space="preserve"> </w:t>
      </w:r>
      <w:r>
        <w:t>for</w:t>
      </w:r>
      <w:r>
        <w:rPr>
          <w:spacing w:val="-6"/>
        </w:rPr>
        <w:t xml:space="preserve"> </w:t>
      </w:r>
      <w:r>
        <w:t>the</w:t>
      </w:r>
      <w:r>
        <w:rPr>
          <w:spacing w:val="-6"/>
        </w:rPr>
        <w:t xml:space="preserve"> </w:t>
      </w:r>
      <w:r>
        <w:t>single</w:t>
      </w:r>
      <w:r>
        <w:rPr>
          <w:spacing w:val="-6"/>
        </w:rPr>
        <w:t xml:space="preserve"> </w:t>
      </w:r>
      <w:r>
        <w:t>precautionary</w:t>
      </w:r>
      <w:r>
        <w:rPr>
          <w:spacing w:val="-6"/>
        </w:rPr>
        <w:t xml:space="preserve"> </w:t>
      </w:r>
      <w:r>
        <w:t>Boil</w:t>
      </w:r>
      <w:r>
        <w:rPr>
          <w:spacing w:val="-6"/>
        </w:rPr>
        <w:t xml:space="preserve"> </w:t>
      </w:r>
      <w:r>
        <w:t>Water</w:t>
      </w:r>
      <w:r>
        <w:rPr>
          <w:spacing w:val="-7"/>
        </w:rPr>
        <w:t xml:space="preserve"> </w:t>
      </w:r>
      <w:r>
        <w:t>Notice</w:t>
      </w:r>
      <w:r>
        <w:rPr>
          <w:spacing w:val="-5"/>
        </w:rPr>
        <w:t xml:space="preserve"> </w:t>
      </w:r>
      <w:r>
        <w:t>issued</w:t>
      </w:r>
      <w:r>
        <w:rPr>
          <w:spacing w:val="-5"/>
        </w:rPr>
        <w:t xml:space="preserve"> </w:t>
      </w:r>
      <w:r>
        <w:t>at</w:t>
      </w:r>
      <w:r>
        <w:rPr>
          <w:spacing w:val="-6"/>
        </w:rPr>
        <w:t xml:space="preserve"> </w:t>
      </w:r>
      <w:r>
        <w:t>Red</w:t>
      </w:r>
      <w:r>
        <w:rPr>
          <w:spacing w:val="-5"/>
        </w:rPr>
        <w:t xml:space="preserve"> </w:t>
      </w:r>
      <w:r>
        <w:t>Cliffs</w:t>
      </w:r>
      <w:r>
        <w:rPr>
          <w:spacing w:val="-6"/>
        </w:rPr>
        <w:t xml:space="preserve"> </w:t>
      </w:r>
      <w:r>
        <w:t>in 2019‐20 as a result of a large blue‐green algae presence in the raw water, however management actions prevented non‐compliant water entering the Red Cliffs system.</w:t>
      </w:r>
    </w:p>
    <w:p w14:paraId="5B11B369" w14:textId="77777777" w:rsidR="00141B97" w:rsidRDefault="00911D63">
      <w:pPr>
        <w:pStyle w:val="BodyText"/>
        <w:spacing w:before="123" w:line="249" w:lineRule="auto"/>
        <w:ind w:left="113" w:right="947"/>
        <w:jc w:val="both"/>
      </w:pPr>
      <w:r>
        <w:t>Customers experiencing unplanned supply interruptions target was not met in the first and fourth years of the period.</w:t>
      </w:r>
      <w:r>
        <w:rPr>
          <w:spacing w:val="39"/>
        </w:rPr>
        <w:t xml:space="preserve"> </w:t>
      </w:r>
      <w:r>
        <w:t>These</w:t>
      </w:r>
      <w:r>
        <w:rPr>
          <w:spacing w:val="-6"/>
        </w:rPr>
        <w:t xml:space="preserve"> </w:t>
      </w:r>
      <w:r>
        <w:t>were</w:t>
      </w:r>
      <w:r>
        <w:rPr>
          <w:spacing w:val="-5"/>
        </w:rPr>
        <w:t xml:space="preserve"> </w:t>
      </w:r>
      <w:r>
        <w:t>due</w:t>
      </w:r>
      <w:r>
        <w:rPr>
          <w:spacing w:val="-5"/>
        </w:rPr>
        <w:t xml:space="preserve"> </w:t>
      </w:r>
      <w:r>
        <w:t>to</w:t>
      </w:r>
      <w:r>
        <w:rPr>
          <w:spacing w:val="-5"/>
        </w:rPr>
        <w:t xml:space="preserve"> </w:t>
      </w:r>
      <w:r>
        <w:t>rare</w:t>
      </w:r>
      <w:r>
        <w:rPr>
          <w:spacing w:val="-5"/>
        </w:rPr>
        <w:t xml:space="preserve"> </w:t>
      </w:r>
      <w:r>
        <w:t>events,</w:t>
      </w:r>
      <w:r>
        <w:rPr>
          <w:spacing w:val="-4"/>
        </w:rPr>
        <w:t xml:space="preserve"> </w:t>
      </w:r>
      <w:r>
        <w:t>in</w:t>
      </w:r>
      <w:r>
        <w:rPr>
          <w:spacing w:val="-6"/>
        </w:rPr>
        <w:t xml:space="preserve"> </w:t>
      </w:r>
      <w:r>
        <w:t>one</w:t>
      </w:r>
      <w:r>
        <w:rPr>
          <w:spacing w:val="-5"/>
        </w:rPr>
        <w:t xml:space="preserve"> </w:t>
      </w:r>
      <w:r>
        <w:t>instance</w:t>
      </w:r>
      <w:r>
        <w:rPr>
          <w:spacing w:val="-7"/>
        </w:rPr>
        <w:t xml:space="preserve"> </w:t>
      </w:r>
      <w:r>
        <w:t>where</w:t>
      </w:r>
      <w:r>
        <w:rPr>
          <w:spacing w:val="-6"/>
        </w:rPr>
        <w:t xml:space="preserve"> </w:t>
      </w:r>
      <w:r>
        <w:t>a</w:t>
      </w:r>
      <w:r>
        <w:rPr>
          <w:spacing w:val="-5"/>
        </w:rPr>
        <w:t xml:space="preserve"> </w:t>
      </w:r>
      <w:r>
        <w:t>water</w:t>
      </w:r>
      <w:r>
        <w:rPr>
          <w:spacing w:val="-6"/>
        </w:rPr>
        <w:t xml:space="preserve"> </w:t>
      </w:r>
      <w:r>
        <w:t>main</w:t>
      </w:r>
      <w:r>
        <w:rPr>
          <w:spacing w:val="-5"/>
        </w:rPr>
        <w:t xml:space="preserve"> </w:t>
      </w:r>
      <w:r>
        <w:t>identified</w:t>
      </w:r>
      <w:r>
        <w:rPr>
          <w:spacing w:val="-6"/>
        </w:rPr>
        <w:t xml:space="preserve"> </w:t>
      </w:r>
      <w:r>
        <w:t>for</w:t>
      </w:r>
      <w:r>
        <w:rPr>
          <w:spacing w:val="-6"/>
        </w:rPr>
        <w:t xml:space="preserve"> </w:t>
      </w:r>
      <w:r>
        <w:t>replacement</w:t>
      </w:r>
      <w:r>
        <w:rPr>
          <w:spacing w:val="-6"/>
        </w:rPr>
        <w:t xml:space="preserve"> </w:t>
      </w:r>
      <w:r>
        <w:t>suffered further deterioration and subsequent failures in rapid succession until it was replaced, and in the other due to a</w:t>
      </w:r>
      <w:r>
        <w:rPr>
          <w:spacing w:val="-4"/>
        </w:rPr>
        <w:t xml:space="preserve"> </w:t>
      </w:r>
      <w:r>
        <w:t>faulty</w:t>
      </w:r>
      <w:r>
        <w:rPr>
          <w:spacing w:val="-4"/>
        </w:rPr>
        <w:t xml:space="preserve"> </w:t>
      </w:r>
      <w:r>
        <w:t>water</w:t>
      </w:r>
      <w:r>
        <w:rPr>
          <w:spacing w:val="-3"/>
        </w:rPr>
        <w:t xml:space="preserve"> </w:t>
      </w:r>
      <w:r>
        <w:t>main</w:t>
      </w:r>
      <w:r>
        <w:rPr>
          <w:spacing w:val="-3"/>
        </w:rPr>
        <w:t xml:space="preserve"> </w:t>
      </w:r>
      <w:r>
        <w:t>installation</w:t>
      </w:r>
      <w:r>
        <w:rPr>
          <w:spacing w:val="-5"/>
        </w:rPr>
        <w:t xml:space="preserve"> </w:t>
      </w:r>
      <w:r>
        <w:t>where</w:t>
      </w:r>
      <w:r>
        <w:rPr>
          <w:spacing w:val="-5"/>
        </w:rPr>
        <w:t xml:space="preserve"> </w:t>
      </w:r>
      <w:r>
        <w:t>a</w:t>
      </w:r>
      <w:r>
        <w:rPr>
          <w:spacing w:val="-3"/>
        </w:rPr>
        <w:t xml:space="preserve"> </w:t>
      </w:r>
      <w:r>
        <w:t>water</w:t>
      </w:r>
      <w:r>
        <w:rPr>
          <w:spacing w:val="-3"/>
        </w:rPr>
        <w:t xml:space="preserve"> </w:t>
      </w:r>
      <w:r>
        <w:t>main</w:t>
      </w:r>
      <w:r>
        <w:rPr>
          <w:spacing w:val="-5"/>
        </w:rPr>
        <w:t xml:space="preserve"> </w:t>
      </w:r>
      <w:r>
        <w:t>scheduled</w:t>
      </w:r>
      <w:r>
        <w:rPr>
          <w:spacing w:val="-5"/>
        </w:rPr>
        <w:t xml:space="preserve"> </w:t>
      </w:r>
      <w:r>
        <w:t>for</w:t>
      </w:r>
      <w:r>
        <w:rPr>
          <w:spacing w:val="-2"/>
        </w:rPr>
        <w:t xml:space="preserve"> </w:t>
      </w:r>
      <w:r>
        <w:t>replacement</w:t>
      </w:r>
      <w:r>
        <w:rPr>
          <w:spacing w:val="-2"/>
        </w:rPr>
        <w:t xml:space="preserve"> </w:t>
      </w:r>
      <w:r>
        <w:t>failed</w:t>
      </w:r>
      <w:r>
        <w:rPr>
          <w:spacing w:val="-4"/>
        </w:rPr>
        <w:t xml:space="preserve"> </w:t>
      </w:r>
      <w:r>
        <w:t>as</w:t>
      </w:r>
      <w:r>
        <w:rPr>
          <w:spacing w:val="-3"/>
        </w:rPr>
        <w:t xml:space="preserve"> </w:t>
      </w:r>
      <w:r>
        <w:t>intervening</w:t>
      </w:r>
      <w:r>
        <w:rPr>
          <w:spacing w:val="-3"/>
        </w:rPr>
        <w:t xml:space="preserve"> </w:t>
      </w:r>
      <w:r>
        <w:t>repairs</w:t>
      </w:r>
      <w:r>
        <w:rPr>
          <w:spacing w:val="-4"/>
        </w:rPr>
        <w:t xml:space="preserve"> </w:t>
      </w:r>
      <w:r>
        <w:t>did not rectify the issue. The main is scheduled for the replacement program in 2022‐23. The Guaranteed Service Level Scheme was triggered as a result of the above interruptions.</w:t>
      </w:r>
    </w:p>
    <w:p w14:paraId="511CAE97" w14:textId="77777777" w:rsidR="00141B97" w:rsidRDefault="00141B97">
      <w:pPr>
        <w:pStyle w:val="BodyText"/>
        <w:spacing w:before="2"/>
        <w:rPr>
          <w:sz w:val="20"/>
        </w:rPr>
      </w:pPr>
    </w:p>
    <w:p w14:paraId="5462C2D4" w14:textId="77777777" w:rsidR="00141B97" w:rsidRDefault="00911D63">
      <w:pPr>
        <w:pStyle w:val="ListParagraph"/>
        <w:numPr>
          <w:ilvl w:val="2"/>
          <w:numId w:val="81"/>
        </w:numPr>
        <w:tabs>
          <w:tab w:val="left" w:pos="1112"/>
          <w:tab w:val="left" w:pos="1113"/>
        </w:tabs>
        <w:jc w:val="both"/>
      </w:pPr>
      <w:r>
        <w:t>Outcome</w:t>
      </w:r>
      <w:r>
        <w:rPr>
          <w:spacing w:val="-7"/>
        </w:rPr>
        <w:t xml:space="preserve"> </w:t>
      </w:r>
      <w:r>
        <w:t>4:</w:t>
      </w:r>
      <w:r>
        <w:rPr>
          <w:spacing w:val="-6"/>
        </w:rPr>
        <w:t xml:space="preserve"> </w:t>
      </w:r>
      <w:r>
        <w:t>Provide</w:t>
      </w:r>
      <w:r>
        <w:rPr>
          <w:spacing w:val="-6"/>
        </w:rPr>
        <w:t xml:space="preserve"> </w:t>
      </w:r>
      <w:r>
        <w:t>me</w:t>
      </w:r>
      <w:r>
        <w:rPr>
          <w:spacing w:val="-8"/>
        </w:rPr>
        <w:t xml:space="preserve"> </w:t>
      </w:r>
      <w:r>
        <w:t>with</w:t>
      </w:r>
      <w:r>
        <w:rPr>
          <w:spacing w:val="-6"/>
        </w:rPr>
        <w:t xml:space="preserve"> </w:t>
      </w:r>
      <w:r>
        <w:t>reliable</w:t>
      </w:r>
      <w:r>
        <w:rPr>
          <w:spacing w:val="-8"/>
        </w:rPr>
        <w:t xml:space="preserve"> </w:t>
      </w:r>
      <w:r>
        <w:t>sewerage</w:t>
      </w:r>
      <w:r>
        <w:rPr>
          <w:spacing w:val="-7"/>
        </w:rPr>
        <w:t xml:space="preserve"> </w:t>
      </w:r>
      <w:r>
        <w:rPr>
          <w:spacing w:val="-2"/>
        </w:rPr>
        <w:t>services</w:t>
      </w:r>
    </w:p>
    <w:p w14:paraId="6BD90F09" w14:textId="77777777" w:rsidR="00141B97" w:rsidRDefault="00911D63">
      <w:pPr>
        <w:pStyle w:val="BodyText"/>
        <w:spacing w:before="70" w:line="252" w:lineRule="auto"/>
        <w:ind w:left="113" w:right="947"/>
        <w:jc w:val="both"/>
      </w:pPr>
      <w:r>
        <w:t>LMW</w:t>
      </w:r>
      <w:r>
        <w:rPr>
          <w:spacing w:val="-9"/>
        </w:rPr>
        <w:t xml:space="preserve"> </w:t>
      </w:r>
      <w:r>
        <w:t>largely</w:t>
      </w:r>
      <w:r>
        <w:rPr>
          <w:spacing w:val="-7"/>
        </w:rPr>
        <w:t xml:space="preserve"> </w:t>
      </w:r>
      <w:r>
        <w:t>met</w:t>
      </w:r>
      <w:r>
        <w:rPr>
          <w:spacing w:val="-8"/>
        </w:rPr>
        <w:t xml:space="preserve"> </w:t>
      </w:r>
      <w:r>
        <w:t>or</w:t>
      </w:r>
      <w:r>
        <w:rPr>
          <w:spacing w:val="-7"/>
        </w:rPr>
        <w:t xml:space="preserve"> </w:t>
      </w:r>
      <w:r>
        <w:t>bettered</w:t>
      </w:r>
      <w:r>
        <w:rPr>
          <w:spacing w:val="-8"/>
        </w:rPr>
        <w:t xml:space="preserve"> </w:t>
      </w:r>
      <w:r>
        <w:t>customer</w:t>
      </w:r>
      <w:r>
        <w:rPr>
          <w:spacing w:val="-6"/>
        </w:rPr>
        <w:t xml:space="preserve"> </w:t>
      </w:r>
      <w:r>
        <w:t>satisfaction</w:t>
      </w:r>
      <w:r>
        <w:rPr>
          <w:spacing w:val="-8"/>
        </w:rPr>
        <w:t xml:space="preserve"> </w:t>
      </w:r>
      <w:r>
        <w:t>with</w:t>
      </w:r>
      <w:r>
        <w:rPr>
          <w:spacing w:val="-8"/>
        </w:rPr>
        <w:t xml:space="preserve"> </w:t>
      </w:r>
      <w:r>
        <w:t>sewerage</w:t>
      </w:r>
      <w:r>
        <w:rPr>
          <w:spacing w:val="-8"/>
        </w:rPr>
        <w:t xml:space="preserve"> </w:t>
      </w:r>
      <w:r>
        <w:t>services</w:t>
      </w:r>
      <w:r>
        <w:rPr>
          <w:spacing w:val="-6"/>
        </w:rPr>
        <w:t xml:space="preserve"> </w:t>
      </w:r>
      <w:r>
        <w:t>in</w:t>
      </w:r>
      <w:r>
        <w:rPr>
          <w:spacing w:val="-8"/>
        </w:rPr>
        <w:t xml:space="preserve"> </w:t>
      </w:r>
      <w:r>
        <w:t>all</w:t>
      </w:r>
      <w:r>
        <w:rPr>
          <w:spacing w:val="-7"/>
        </w:rPr>
        <w:t xml:space="preserve"> </w:t>
      </w:r>
      <w:r>
        <w:t>but</w:t>
      </w:r>
      <w:r>
        <w:rPr>
          <w:spacing w:val="-8"/>
        </w:rPr>
        <w:t xml:space="preserve"> </w:t>
      </w:r>
      <w:r>
        <w:t>the</w:t>
      </w:r>
      <w:r>
        <w:rPr>
          <w:spacing w:val="-9"/>
        </w:rPr>
        <w:t xml:space="preserve"> </w:t>
      </w:r>
      <w:r>
        <w:t>third</w:t>
      </w:r>
      <w:r>
        <w:rPr>
          <w:spacing w:val="-7"/>
        </w:rPr>
        <w:t xml:space="preserve"> </w:t>
      </w:r>
      <w:r>
        <w:t>year</w:t>
      </w:r>
      <w:r>
        <w:rPr>
          <w:spacing w:val="-8"/>
        </w:rPr>
        <w:t xml:space="preserve"> </w:t>
      </w:r>
      <w:r>
        <w:t>of</w:t>
      </w:r>
      <w:r>
        <w:rPr>
          <w:spacing w:val="-7"/>
        </w:rPr>
        <w:t xml:space="preserve"> </w:t>
      </w:r>
      <w:r>
        <w:t>the</w:t>
      </w:r>
      <w:r>
        <w:rPr>
          <w:spacing w:val="-9"/>
        </w:rPr>
        <w:t xml:space="preserve"> </w:t>
      </w:r>
      <w:r>
        <w:t>period where satisfaction results of the annual survey were 88%, but subsequently recovered to 94%.</w:t>
      </w:r>
    </w:p>
    <w:p w14:paraId="0122CC2D" w14:textId="77777777" w:rsidR="00141B97" w:rsidRDefault="00911D63">
      <w:pPr>
        <w:pStyle w:val="BodyText"/>
        <w:spacing w:before="116" w:line="249" w:lineRule="auto"/>
        <w:ind w:left="113" w:right="948" w:hanging="1"/>
        <w:jc w:val="both"/>
      </w:pPr>
      <w:r>
        <w:t>LMW encountered an increase in sewer odour complaints which exceeded the 2020‐21 target. Of these complaints</w:t>
      </w:r>
      <w:r>
        <w:rPr>
          <w:spacing w:val="-10"/>
        </w:rPr>
        <w:t xml:space="preserve"> </w:t>
      </w:r>
      <w:r>
        <w:t>four</w:t>
      </w:r>
      <w:r>
        <w:rPr>
          <w:spacing w:val="-11"/>
        </w:rPr>
        <w:t xml:space="preserve"> </w:t>
      </w:r>
      <w:r>
        <w:t>were</w:t>
      </w:r>
      <w:r>
        <w:rPr>
          <w:spacing w:val="-11"/>
        </w:rPr>
        <w:t xml:space="preserve"> </w:t>
      </w:r>
      <w:r>
        <w:t>attributed</w:t>
      </w:r>
      <w:r>
        <w:rPr>
          <w:spacing w:val="-11"/>
        </w:rPr>
        <w:t xml:space="preserve"> </w:t>
      </w:r>
      <w:r>
        <w:t>to</w:t>
      </w:r>
      <w:r>
        <w:rPr>
          <w:spacing w:val="-11"/>
        </w:rPr>
        <w:t xml:space="preserve"> </w:t>
      </w:r>
      <w:r>
        <w:t>one</w:t>
      </w:r>
      <w:r>
        <w:rPr>
          <w:spacing w:val="-11"/>
        </w:rPr>
        <w:t xml:space="preserve"> </w:t>
      </w:r>
      <w:r>
        <w:t>site</w:t>
      </w:r>
      <w:r>
        <w:rPr>
          <w:spacing w:val="-12"/>
        </w:rPr>
        <w:t xml:space="preserve"> </w:t>
      </w:r>
      <w:r>
        <w:t>where</w:t>
      </w:r>
      <w:r>
        <w:rPr>
          <w:spacing w:val="-12"/>
        </w:rPr>
        <w:t xml:space="preserve"> </w:t>
      </w:r>
      <w:r>
        <w:t>LMW</w:t>
      </w:r>
      <w:r>
        <w:rPr>
          <w:spacing w:val="-12"/>
        </w:rPr>
        <w:t xml:space="preserve"> </w:t>
      </w:r>
      <w:r>
        <w:t>was</w:t>
      </w:r>
      <w:r>
        <w:rPr>
          <w:spacing w:val="-10"/>
        </w:rPr>
        <w:t xml:space="preserve"> </w:t>
      </w:r>
      <w:r>
        <w:t>undertaking</w:t>
      </w:r>
      <w:r>
        <w:rPr>
          <w:spacing w:val="-12"/>
        </w:rPr>
        <w:t xml:space="preserve"> </w:t>
      </w:r>
      <w:r>
        <w:t>recirculation</w:t>
      </w:r>
      <w:r>
        <w:rPr>
          <w:spacing w:val="-12"/>
        </w:rPr>
        <w:t xml:space="preserve"> </w:t>
      </w:r>
      <w:r>
        <w:t>works</w:t>
      </w:r>
      <w:r>
        <w:rPr>
          <w:spacing w:val="-10"/>
        </w:rPr>
        <w:t xml:space="preserve"> </w:t>
      </w:r>
      <w:r>
        <w:t>to</w:t>
      </w:r>
      <w:r>
        <w:rPr>
          <w:spacing w:val="-12"/>
        </w:rPr>
        <w:t xml:space="preserve"> </w:t>
      </w:r>
      <w:r>
        <w:t>aerate</w:t>
      </w:r>
      <w:r>
        <w:rPr>
          <w:spacing w:val="-11"/>
        </w:rPr>
        <w:t xml:space="preserve"> </w:t>
      </w:r>
      <w:r>
        <w:t>a</w:t>
      </w:r>
      <w:r>
        <w:rPr>
          <w:spacing w:val="-10"/>
        </w:rPr>
        <w:t xml:space="preserve"> </w:t>
      </w:r>
      <w:r>
        <w:t xml:space="preserve">lagoon. Other complaints related to various sewer pump stations which were investigated by staff and minor works undertaken to eliminate the odours. Odour complaints dropped significantly in 2021‐22 due to the measures </w:t>
      </w:r>
      <w:r>
        <w:rPr>
          <w:spacing w:val="-2"/>
        </w:rPr>
        <w:t>taken.</w:t>
      </w:r>
    </w:p>
    <w:p w14:paraId="2EFF9039" w14:textId="77777777" w:rsidR="00141B97" w:rsidRDefault="00141B97">
      <w:pPr>
        <w:pStyle w:val="BodyText"/>
        <w:rPr>
          <w:sz w:val="20"/>
        </w:rPr>
      </w:pPr>
    </w:p>
    <w:p w14:paraId="1D4CA530" w14:textId="77777777" w:rsidR="00141B97" w:rsidRDefault="00911D63">
      <w:pPr>
        <w:pStyle w:val="ListParagraph"/>
        <w:numPr>
          <w:ilvl w:val="2"/>
          <w:numId w:val="81"/>
        </w:numPr>
        <w:tabs>
          <w:tab w:val="left" w:pos="1112"/>
          <w:tab w:val="left" w:pos="1113"/>
        </w:tabs>
        <w:jc w:val="both"/>
      </w:pPr>
      <w:r>
        <w:t>Outcome</w:t>
      </w:r>
      <w:r>
        <w:rPr>
          <w:spacing w:val="-5"/>
        </w:rPr>
        <w:t xml:space="preserve"> </w:t>
      </w:r>
      <w:r>
        <w:t>5:</w:t>
      </w:r>
      <w:r>
        <w:rPr>
          <w:spacing w:val="-4"/>
        </w:rPr>
        <w:t xml:space="preserve"> </w:t>
      </w:r>
      <w:r>
        <w:t>Be</w:t>
      </w:r>
      <w:r>
        <w:rPr>
          <w:spacing w:val="-3"/>
        </w:rPr>
        <w:t xml:space="preserve"> </w:t>
      </w:r>
      <w:r>
        <w:t>present</w:t>
      </w:r>
      <w:r>
        <w:rPr>
          <w:spacing w:val="-4"/>
        </w:rPr>
        <w:t xml:space="preserve"> </w:t>
      </w:r>
      <w:r>
        <w:t>and</w:t>
      </w:r>
      <w:r>
        <w:rPr>
          <w:spacing w:val="-4"/>
        </w:rPr>
        <w:t xml:space="preserve"> </w:t>
      </w:r>
      <w:r>
        <w:t>active</w:t>
      </w:r>
      <w:r>
        <w:rPr>
          <w:spacing w:val="-5"/>
        </w:rPr>
        <w:t xml:space="preserve"> </w:t>
      </w:r>
      <w:r>
        <w:t>in</w:t>
      </w:r>
      <w:r>
        <w:rPr>
          <w:spacing w:val="-5"/>
        </w:rPr>
        <w:t xml:space="preserve"> </w:t>
      </w:r>
      <w:r>
        <w:t>the</w:t>
      </w:r>
      <w:r>
        <w:rPr>
          <w:spacing w:val="-6"/>
        </w:rPr>
        <w:t xml:space="preserve"> </w:t>
      </w:r>
      <w:r>
        <w:rPr>
          <w:spacing w:val="-2"/>
        </w:rPr>
        <w:t>community</w:t>
      </w:r>
    </w:p>
    <w:p w14:paraId="2069F68C" w14:textId="77777777" w:rsidR="00141B97" w:rsidRDefault="00911D63">
      <w:pPr>
        <w:pStyle w:val="BodyText"/>
        <w:spacing w:before="71" w:line="252" w:lineRule="auto"/>
        <w:ind w:left="114" w:right="948" w:hanging="1"/>
        <w:jc w:val="both"/>
      </w:pPr>
      <w:r>
        <w:t>LMW has largely met or bettered its targets for this outcome throughout PS4 despite the pandemic and its associated impacts.</w:t>
      </w:r>
    </w:p>
    <w:p w14:paraId="1C241B5C" w14:textId="77777777" w:rsidR="00141B97" w:rsidRDefault="00911D63">
      <w:pPr>
        <w:pStyle w:val="BodyText"/>
        <w:spacing w:before="115" w:line="249" w:lineRule="auto"/>
        <w:ind w:left="113" w:right="948"/>
        <w:jc w:val="both"/>
      </w:pPr>
      <w:r>
        <w:t>During this period LMW was involved in many projects and events throughout the community including open days,</w:t>
      </w:r>
      <w:r>
        <w:rPr>
          <w:spacing w:val="-9"/>
        </w:rPr>
        <w:t xml:space="preserve"> </w:t>
      </w:r>
      <w:r>
        <w:t>school</w:t>
      </w:r>
      <w:r>
        <w:rPr>
          <w:spacing w:val="-8"/>
        </w:rPr>
        <w:t xml:space="preserve"> </w:t>
      </w:r>
      <w:r>
        <w:t>excursions,</w:t>
      </w:r>
      <w:r>
        <w:rPr>
          <w:spacing w:val="-9"/>
        </w:rPr>
        <w:t xml:space="preserve"> </w:t>
      </w:r>
      <w:r>
        <w:t>careers</w:t>
      </w:r>
      <w:r>
        <w:rPr>
          <w:spacing w:val="-8"/>
        </w:rPr>
        <w:t xml:space="preserve"> </w:t>
      </w:r>
      <w:r>
        <w:t>days,</w:t>
      </w:r>
      <w:r>
        <w:rPr>
          <w:spacing w:val="-9"/>
        </w:rPr>
        <w:t xml:space="preserve"> </w:t>
      </w:r>
      <w:r>
        <w:t>which</w:t>
      </w:r>
      <w:r>
        <w:rPr>
          <w:spacing w:val="-10"/>
        </w:rPr>
        <w:t xml:space="preserve"> </w:t>
      </w:r>
      <w:r>
        <w:t>provided</w:t>
      </w:r>
      <w:r>
        <w:rPr>
          <w:spacing w:val="-7"/>
        </w:rPr>
        <w:t xml:space="preserve"> </w:t>
      </w:r>
      <w:r>
        <w:t>opportunities</w:t>
      </w:r>
      <w:r>
        <w:rPr>
          <w:spacing w:val="-8"/>
        </w:rPr>
        <w:t xml:space="preserve"> </w:t>
      </w:r>
      <w:r>
        <w:t>to</w:t>
      </w:r>
      <w:r>
        <w:rPr>
          <w:spacing w:val="-10"/>
        </w:rPr>
        <w:t xml:space="preserve"> </w:t>
      </w:r>
      <w:r>
        <w:t>speak</w:t>
      </w:r>
      <w:r>
        <w:rPr>
          <w:spacing w:val="-9"/>
        </w:rPr>
        <w:t xml:space="preserve"> </w:t>
      </w:r>
      <w:r>
        <w:t>with</w:t>
      </w:r>
      <w:r>
        <w:rPr>
          <w:spacing w:val="-8"/>
        </w:rPr>
        <w:t xml:space="preserve"> </w:t>
      </w:r>
      <w:r>
        <w:t>customers</w:t>
      </w:r>
      <w:r>
        <w:rPr>
          <w:spacing w:val="-8"/>
        </w:rPr>
        <w:t xml:space="preserve"> </w:t>
      </w:r>
      <w:r>
        <w:t>and</w:t>
      </w:r>
      <w:r>
        <w:rPr>
          <w:spacing w:val="-9"/>
        </w:rPr>
        <w:t xml:space="preserve"> </w:t>
      </w:r>
      <w:r>
        <w:t>seek</w:t>
      </w:r>
      <w:r>
        <w:rPr>
          <w:spacing w:val="-8"/>
        </w:rPr>
        <w:t xml:space="preserve"> </w:t>
      </w:r>
      <w:r>
        <w:t>feedback on various topics and issues including water conservation and treatment processes, career opportunities, wastewater and flush facts information and environmental issues. Victorian Government policy and directives constrained</w:t>
      </w:r>
      <w:r>
        <w:rPr>
          <w:spacing w:val="-5"/>
        </w:rPr>
        <w:t xml:space="preserve"> </w:t>
      </w:r>
      <w:r>
        <w:t>LMW’s</w:t>
      </w:r>
      <w:r>
        <w:rPr>
          <w:spacing w:val="-5"/>
        </w:rPr>
        <w:t xml:space="preserve"> </w:t>
      </w:r>
      <w:r>
        <w:t>ability</w:t>
      </w:r>
      <w:r>
        <w:rPr>
          <w:spacing w:val="-4"/>
        </w:rPr>
        <w:t xml:space="preserve"> </w:t>
      </w:r>
      <w:r>
        <w:t>to</w:t>
      </w:r>
      <w:r>
        <w:rPr>
          <w:spacing w:val="-6"/>
        </w:rPr>
        <w:t xml:space="preserve"> </w:t>
      </w:r>
      <w:r>
        <w:t>undertake</w:t>
      </w:r>
      <w:r>
        <w:rPr>
          <w:spacing w:val="-5"/>
        </w:rPr>
        <w:t xml:space="preserve"> </w:t>
      </w:r>
      <w:r>
        <w:t>public</w:t>
      </w:r>
      <w:r>
        <w:rPr>
          <w:spacing w:val="-5"/>
        </w:rPr>
        <w:t xml:space="preserve"> </w:t>
      </w:r>
      <w:r>
        <w:t>face‐to‐face</w:t>
      </w:r>
      <w:r>
        <w:rPr>
          <w:spacing w:val="-5"/>
        </w:rPr>
        <w:t xml:space="preserve"> </w:t>
      </w:r>
      <w:r>
        <w:t>engagement</w:t>
      </w:r>
      <w:r>
        <w:rPr>
          <w:spacing w:val="-4"/>
        </w:rPr>
        <w:t xml:space="preserve"> </w:t>
      </w:r>
      <w:r>
        <w:t>activities</w:t>
      </w:r>
      <w:r>
        <w:rPr>
          <w:spacing w:val="-6"/>
        </w:rPr>
        <w:t xml:space="preserve"> </w:t>
      </w:r>
      <w:r>
        <w:t>during</w:t>
      </w:r>
      <w:r>
        <w:rPr>
          <w:spacing w:val="-4"/>
        </w:rPr>
        <w:t xml:space="preserve"> </w:t>
      </w:r>
      <w:r>
        <w:t>2019‐20</w:t>
      </w:r>
      <w:r>
        <w:rPr>
          <w:spacing w:val="-5"/>
        </w:rPr>
        <w:t xml:space="preserve"> </w:t>
      </w:r>
      <w:r>
        <w:t>and</w:t>
      </w:r>
      <w:r>
        <w:rPr>
          <w:spacing w:val="-5"/>
        </w:rPr>
        <w:t xml:space="preserve"> </w:t>
      </w:r>
      <w:r>
        <w:t>2020‐21, but</w:t>
      </w:r>
      <w:r>
        <w:rPr>
          <w:spacing w:val="-1"/>
        </w:rPr>
        <w:t xml:space="preserve"> </w:t>
      </w:r>
      <w:r>
        <w:t>as restrictions</w:t>
      </w:r>
      <w:r>
        <w:rPr>
          <w:spacing w:val="-1"/>
        </w:rPr>
        <w:t xml:space="preserve"> </w:t>
      </w:r>
      <w:r>
        <w:t>have</w:t>
      </w:r>
      <w:r>
        <w:rPr>
          <w:spacing w:val="-1"/>
        </w:rPr>
        <w:t xml:space="preserve"> </w:t>
      </w:r>
      <w:r>
        <w:t>eased</w:t>
      </w:r>
      <w:r>
        <w:rPr>
          <w:spacing w:val="-1"/>
        </w:rPr>
        <w:t xml:space="preserve"> </w:t>
      </w:r>
      <w:r>
        <w:t>these</w:t>
      </w:r>
      <w:r>
        <w:rPr>
          <w:spacing w:val="-1"/>
        </w:rPr>
        <w:t xml:space="preserve"> </w:t>
      </w:r>
      <w:r>
        <w:t>activities were</w:t>
      </w:r>
      <w:r>
        <w:rPr>
          <w:spacing w:val="-1"/>
        </w:rPr>
        <w:t xml:space="preserve"> </w:t>
      </w:r>
      <w:r>
        <w:t>re‐engaged</w:t>
      </w:r>
      <w:r>
        <w:rPr>
          <w:spacing w:val="-1"/>
        </w:rPr>
        <w:t xml:space="preserve"> </w:t>
      </w:r>
      <w:r>
        <w:t>where</w:t>
      </w:r>
      <w:r>
        <w:rPr>
          <w:spacing w:val="-1"/>
        </w:rPr>
        <w:t xml:space="preserve"> </w:t>
      </w:r>
      <w:r>
        <w:t>permitted,</w:t>
      </w:r>
      <w:r>
        <w:rPr>
          <w:spacing w:val="-2"/>
        </w:rPr>
        <w:t xml:space="preserve"> </w:t>
      </w:r>
      <w:r>
        <w:t>to</w:t>
      </w:r>
      <w:r>
        <w:rPr>
          <w:spacing w:val="-1"/>
        </w:rPr>
        <w:t xml:space="preserve"> </w:t>
      </w:r>
      <w:r>
        <w:t>recover in</w:t>
      </w:r>
      <w:r>
        <w:rPr>
          <w:spacing w:val="-1"/>
        </w:rPr>
        <w:t xml:space="preserve"> </w:t>
      </w:r>
      <w:r>
        <w:t>the</w:t>
      </w:r>
      <w:r>
        <w:rPr>
          <w:spacing w:val="-1"/>
        </w:rPr>
        <w:t xml:space="preserve"> </w:t>
      </w:r>
      <w:r>
        <w:t>current</w:t>
      </w:r>
      <w:r>
        <w:rPr>
          <w:spacing w:val="-1"/>
        </w:rPr>
        <w:t xml:space="preserve"> </w:t>
      </w:r>
      <w:r>
        <w:t>and expected final year of the period.</w:t>
      </w:r>
    </w:p>
    <w:p w14:paraId="303A66FC" w14:textId="77777777" w:rsidR="00141B97" w:rsidRDefault="00911D63">
      <w:pPr>
        <w:pStyle w:val="BodyText"/>
        <w:spacing w:before="126" w:line="249" w:lineRule="auto"/>
        <w:ind w:left="114" w:right="948" w:hanging="1"/>
        <w:jc w:val="both"/>
      </w:pPr>
      <w:r>
        <w:t>Reviews of the Pipeline Newsletter found limited customer reach and resulted in reduction in frequency of production</w:t>
      </w:r>
      <w:r>
        <w:rPr>
          <w:spacing w:val="-9"/>
        </w:rPr>
        <w:t xml:space="preserve"> </w:t>
      </w:r>
      <w:r>
        <w:t>and</w:t>
      </w:r>
      <w:r>
        <w:rPr>
          <w:spacing w:val="-10"/>
        </w:rPr>
        <w:t xml:space="preserve"> </w:t>
      </w:r>
      <w:r>
        <w:t>eventual</w:t>
      </w:r>
      <w:r>
        <w:rPr>
          <w:spacing w:val="-9"/>
        </w:rPr>
        <w:t xml:space="preserve"> </w:t>
      </w:r>
      <w:r>
        <w:t>discontinuation,</w:t>
      </w:r>
      <w:r>
        <w:rPr>
          <w:spacing w:val="-11"/>
        </w:rPr>
        <w:t xml:space="preserve"> </w:t>
      </w:r>
      <w:r>
        <w:t>in</w:t>
      </w:r>
      <w:r>
        <w:rPr>
          <w:spacing w:val="-10"/>
        </w:rPr>
        <w:t xml:space="preserve"> </w:t>
      </w:r>
      <w:r>
        <w:t>favour</w:t>
      </w:r>
      <w:r>
        <w:rPr>
          <w:spacing w:val="-9"/>
        </w:rPr>
        <w:t xml:space="preserve"> </w:t>
      </w:r>
      <w:r>
        <w:t>of</w:t>
      </w:r>
      <w:r>
        <w:rPr>
          <w:spacing w:val="-9"/>
        </w:rPr>
        <w:t xml:space="preserve"> </w:t>
      </w:r>
      <w:r>
        <w:t>more</w:t>
      </w:r>
      <w:r>
        <w:rPr>
          <w:spacing w:val="-11"/>
        </w:rPr>
        <w:t xml:space="preserve"> </w:t>
      </w:r>
      <w:r>
        <w:t>digital</w:t>
      </w:r>
      <w:r>
        <w:rPr>
          <w:spacing w:val="-11"/>
        </w:rPr>
        <w:t xml:space="preserve"> </w:t>
      </w:r>
      <w:r>
        <w:t>forms</w:t>
      </w:r>
      <w:r>
        <w:rPr>
          <w:spacing w:val="-9"/>
        </w:rPr>
        <w:t xml:space="preserve"> </w:t>
      </w:r>
      <w:r>
        <w:t>of</w:t>
      </w:r>
      <w:r>
        <w:rPr>
          <w:spacing w:val="-10"/>
        </w:rPr>
        <w:t xml:space="preserve"> </w:t>
      </w:r>
      <w:r>
        <w:t>communication</w:t>
      </w:r>
      <w:r>
        <w:rPr>
          <w:spacing w:val="-10"/>
        </w:rPr>
        <w:t xml:space="preserve"> </w:t>
      </w:r>
      <w:r>
        <w:t>such</w:t>
      </w:r>
      <w:r>
        <w:rPr>
          <w:spacing w:val="-10"/>
        </w:rPr>
        <w:t xml:space="preserve"> </w:t>
      </w:r>
      <w:r>
        <w:t>as</w:t>
      </w:r>
      <w:r>
        <w:rPr>
          <w:spacing w:val="-10"/>
        </w:rPr>
        <w:t xml:space="preserve"> </w:t>
      </w:r>
      <w:r>
        <w:t>social</w:t>
      </w:r>
      <w:r>
        <w:rPr>
          <w:spacing w:val="-10"/>
        </w:rPr>
        <w:t xml:space="preserve"> </w:t>
      </w:r>
      <w:r>
        <w:t>media with a focus on communicating news as it happens rather than the traditional newsletter method.</w:t>
      </w:r>
    </w:p>
    <w:p w14:paraId="4B8DA97A" w14:textId="77777777" w:rsidR="00141B97" w:rsidRDefault="00911D63">
      <w:pPr>
        <w:pStyle w:val="BodyText"/>
        <w:spacing w:before="122" w:line="249" w:lineRule="auto"/>
        <w:ind w:left="113" w:right="948" w:hanging="1"/>
        <w:jc w:val="both"/>
      </w:pPr>
      <w:r>
        <w:t>LMW</w:t>
      </w:r>
      <w:r>
        <w:rPr>
          <w:spacing w:val="-13"/>
        </w:rPr>
        <w:t xml:space="preserve"> </w:t>
      </w:r>
      <w:r>
        <w:t>has</w:t>
      </w:r>
      <w:r>
        <w:rPr>
          <w:spacing w:val="-12"/>
        </w:rPr>
        <w:t xml:space="preserve"> </w:t>
      </w:r>
      <w:r>
        <w:t>continued</w:t>
      </w:r>
      <w:r>
        <w:rPr>
          <w:spacing w:val="-13"/>
        </w:rPr>
        <w:t xml:space="preserve"> </w:t>
      </w:r>
      <w:r>
        <w:t>to</w:t>
      </w:r>
      <w:r>
        <w:rPr>
          <w:spacing w:val="-12"/>
        </w:rPr>
        <w:t xml:space="preserve"> </w:t>
      </w:r>
      <w:r>
        <w:t>progress</w:t>
      </w:r>
      <w:r>
        <w:rPr>
          <w:spacing w:val="-13"/>
        </w:rPr>
        <w:t xml:space="preserve"> </w:t>
      </w:r>
      <w:r>
        <w:t>its</w:t>
      </w:r>
      <w:r>
        <w:rPr>
          <w:spacing w:val="-11"/>
        </w:rPr>
        <w:t xml:space="preserve"> </w:t>
      </w:r>
      <w:r>
        <w:t>relationships</w:t>
      </w:r>
      <w:r>
        <w:rPr>
          <w:spacing w:val="-12"/>
        </w:rPr>
        <w:t xml:space="preserve"> </w:t>
      </w:r>
      <w:r>
        <w:t>with</w:t>
      </w:r>
      <w:r>
        <w:rPr>
          <w:spacing w:val="-12"/>
        </w:rPr>
        <w:t xml:space="preserve"> </w:t>
      </w:r>
      <w:r>
        <w:t>Traditional</w:t>
      </w:r>
      <w:r>
        <w:rPr>
          <w:spacing w:val="-12"/>
        </w:rPr>
        <w:t xml:space="preserve"> </w:t>
      </w:r>
      <w:r>
        <w:t>Owners</w:t>
      </w:r>
      <w:r>
        <w:rPr>
          <w:spacing w:val="-12"/>
        </w:rPr>
        <w:t xml:space="preserve"> </w:t>
      </w:r>
      <w:r>
        <w:t>in</w:t>
      </w:r>
      <w:r>
        <w:rPr>
          <w:spacing w:val="-12"/>
        </w:rPr>
        <w:t xml:space="preserve"> </w:t>
      </w:r>
      <w:r>
        <w:t>the</w:t>
      </w:r>
      <w:r>
        <w:rPr>
          <w:spacing w:val="-12"/>
        </w:rPr>
        <w:t xml:space="preserve"> </w:t>
      </w:r>
      <w:r>
        <w:t>region</w:t>
      </w:r>
      <w:r>
        <w:rPr>
          <w:spacing w:val="-12"/>
        </w:rPr>
        <w:t xml:space="preserve"> </w:t>
      </w:r>
      <w:r>
        <w:t>and</w:t>
      </w:r>
      <w:r>
        <w:rPr>
          <w:spacing w:val="-13"/>
        </w:rPr>
        <w:t xml:space="preserve"> </w:t>
      </w:r>
      <w:r>
        <w:t>LMW’s</w:t>
      </w:r>
      <w:r>
        <w:rPr>
          <w:spacing w:val="-12"/>
        </w:rPr>
        <w:t xml:space="preserve"> </w:t>
      </w:r>
      <w:r>
        <w:t>first</w:t>
      </w:r>
      <w:r>
        <w:rPr>
          <w:spacing w:val="-12"/>
        </w:rPr>
        <w:t xml:space="preserve"> </w:t>
      </w:r>
      <w:r>
        <w:t>(‘Reflect’) Reconciliation</w:t>
      </w:r>
      <w:r>
        <w:rPr>
          <w:spacing w:val="-8"/>
        </w:rPr>
        <w:t xml:space="preserve"> </w:t>
      </w:r>
      <w:r>
        <w:t>Action</w:t>
      </w:r>
      <w:r>
        <w:rPr>
          <w:spacing w:val="-5"/>
        </w:rPr>
        <w:t xml:space="preserve"> </w:t>
      </w:r>
      <w:r>
        <w:t>Plan</w:t>
      </w:r>
      <w:r>
        <w:rPr>
          <w:spacing w:val="-5"/>
        </w:rPr>
        <w:t xml:space="preserve"> </w:t>
      </w:r>
      <w:r>
        <w:t>was</w:t>
      </w:r>
      <w:r>
        <w:rPr>
          <w:spacing w:val="-5"/>
        </w:rPr>
        <w:t xml:space="preserve"> </w:t>
      </w:r>
      <w:r>
        <w:t>implemented</w:t>
      </w:r>
      <w:r>
        <w:rPr>
          <w:spacing w:val="-5"/>
        </w:rPr>
        <w:t xml:space="preserve"> </w:t>
      </w:r>
      <w:r>
        <w:t>in</w:t>
      </w:r>
      <w:r>
        <w:rPr>
          <w:spacing w:val="-6"/>
        </w:rPr>
        <w:t xml:space="preserve"> </w:t>
      </w:r>
      <w:r>
        <w:t>2019‐20.</w:t>
      </w:r>
      <w:r>
        <w:rPr>
          <w:spacing w:val="-6"/>
        </w:rPr>
        <w:t xml:space="preserve"> </w:t>
      </w:r>
      <w:r>
        <w:t>The</w:t>
      </w:r>
      <w:r>
        <w:rPr>
          <w:spacing w:val="-6"/>
        </w:rPr>
        <w:t xml:space="preserve"> </w:t>
      </w:r>
      <w:r>
        <w:t>final</w:t>
      </w:r>
      <w:r>
        <w:rPr>
          <w:spacing w:val="-6"/>
        </w:rPr>
        <w:t xml:space="preserve"> </w:t>
      </w:r>
      <w:r>
        <w:t>report</w:t>
      </w:r>
      <w:r>
        <w:rPr>
          <w:spacing w:val="-6"/>
        </w:rPr>
        <w:t xml:space="preserve"> </w:t>
      </w:r>
      <w:r>
        <w:t>for</w:t>
      </w:r>
      <w:r>
        <w:rPr>
          <w:spacing w:val="-6"/>
        </w:rPr>
        <w:t xml:space="preserve"> </w:t>
      </w:r>
      <w:r>
        <w:t>the</w:t>
      </w:r>
      <w:r>
        <w:rPr>
          <w:spacing w:val="-5"/>
        </w:rPr>
        <w:t xml:space="preserve"> </w:t>
      </w:r>
      <w:r>
        <w:t>2019‐20</w:t>
      </w:r>
      <w:r>
        <w:rPr>
          <w:spacing w:val="-6"/>
        </w:rPr>
        <w:t xml:space="preserve"> </w:t>
      </w:r>
      <w:r>
        <w:t>RAP</w:t>
      </w:r>
      <w:r>
        <w:rPr>
          <w:spacing w:val="-4"/>
        </w:rPr>
        <w:t xml:space="preserve"> </w:t>
      </w:r>
      <w:r>
        <w:t>was</w:t>
      </w:r>
      <w:r>
        <w:rPr>
          <w:spacing w:val="-6"/>
        </w:rPr>
        <w:t xml:space="preserve"> </w:t>
      </w:r>
      <w:r>
        <w:t>completed</w:t>
      </w:r>
      <w:r>
        <w:rPr>
          <w:spacing w:val="-7"/>
        </w:rPr>
        <w:t xml:space="preserve"> </w:t>
      </w:r>
      <w:r>
        <w:t>in September</w:t>
      </w:r>
      <w:r>
        <w:rPr>
          <w:spacing w:val="-4"/>
        </w:rPr>
        <w:t xml:space="preserve"> </w:t>
      </w:r>
      <w:r>
        <w:t>2021</w:t>
      </w:r>
      <w:r>
        <w:rPr>
          <w:spacing w:val="-5"/>
        </w:rPr>
        <w:t xml:space="preserve"> </w:t>
      </w:r>
      <w:r>
        <w:t>and</w:t>
      </w:r>
      <w:r>
        <w:rPr>
          <w:spacing w:val="-4"/>
        </w:rPr>
        <w:t xml:space="preserve"> </w:t>
      </w:r>
      <w:r>
        <w:t>the</w:t>
      </w:r>
      <w:r>
        <w:rPr>
          <w:spacing w:val="-5"/>
        </w:rPr>
        <w:t xml:space="preserve"> </w:t>
      </w:r>
      <w:r>
        <w:t>development</w:t>
      </w:r>
      <w:r>
        <w:rPr>
          <w:spacing w:val="-4"/>
        </w:rPr>
        <w:t xml:space="preserve"> </w:t>
      </w:r>
      <w:r>
        <w:t>of</w:t>
      </w:r>
      <w:r>
        <w:rPr>
          <w:spacing w:val="-5"/>
        </w:rPr>
        <w:t xml:space="preserve"> </w:t>
      </w:r>
      <w:r>
        <w:t>a</w:t>
      </w:r>
      <w:r>
        <w:rPr>
          <w:spacing w:val="-4"/>
        </w:rPr>
        <w:t xml:space="preserve"> </w:t>
      </w:r>
      <w:r>
        <w:t>new</w:t>
      </w:r>
      <w:r>
        <w:rPr>
          <w:spacing w:val="-4"/>
        </w:rPr>
        <w:t xml:space="preserve"> </w:t>
      </w:r>
      <w:r>
        <w:t>RAP</w:t>
      </w:r>
      <w:r>
        <w:rPr>
          <w:spacing w:val="-4"/>
        </w:rPr>
        <w:t xml:space="preserve"> </w:t>
      </w:r>
      <w:r>
        <w:t>was</w:t>
      </w:r>
      <w:r>
        <w:rPr>
          <w:spacing w:val="-5"/>
        </w:rPr>
        <w:t xml:space="preserve"> </w:t>
      </w:r>
      <w:r>
        <w:t>achieved</w:t>
      </w:r>
      <w:r>
        <w:rPr>
          <w:spacing w:val="-3"/>
        </w:rPr>
        <w:t xml:space="preserve"> </w:t>
      </w:r>
      <w:r>
        <w:t>in</w:t>
      </w:r>
      <w:r>
        <w:rPr>
          <w:spacing w:val="-4"/>
        </w:rPr>
        <w:t xml:space="preserve"> </w:t>
      </w:r>
      <w:r>
        <w:t>the</w:t>
      </w:r>
      <w:r>
        <w:rPr>
          <w:spacing w:val="-6"/>
        </w:rPr>
        <w:t xml:space="preserve"> </w:t>
      </w:r>
      <w:r>
        <w:t>first</w:t>
      </w:r>
      <w:r>
        <w:rPr>
          <w:spacing w:val="-5"/>
        </w:rPr>
        <w:t xml:space="preserve"> </w:t>
      </w:r>
      <w:r>
        <w:t>quarter</w:t>
      </w:r>
      <w:r>
        <w:rPr>
          <w:spacing w:val="-5"/>
        </w:rPr>
        <w:t xml:space="preserve"> </w:t>
      </w:r>
      <w:r>
        <w:t>of</w:t>
      </w:r>
      <w:r>
        <w:rPr>
          <w:spacing w:val="-4"/>
        </w:rPr>
        <w:t xml:space="preserve"> </w:t>
      </w:r>
      <w:r>
        <w:t>2022.</w:t>
      </w:r>
      <w:r>
        <w:rPr>
          <w:spacing w:val="-5"/>
        </w:rPr>
        <w:t xml:space="preserve"> </w:t>
      </w:r>
      <w:r>
        <w:t>Over</w:t>
      </w:r>
      <w:r>
        <w:rPr>
          <w:spacing w:val="-4"/>
        </w:rPr>
        <w:t xml:space="preserve"> </w:t>
      </w:r>
      <w:r>
        <w:t>the</w:t>
      </w:r>
      <w:r>
        <w:rPr>
          <w:spacing w:val="-5"/>
        </w:rPr>
        <w:t xml:space="preserve"> </w:t>
      </w:r>
      <w:r>
        <w:t>period, LMW completed its first Gender Equality Action Plan (GEAP) which was approved by the Gender Equality Commissioner without amendment.</w:t>
      </w:r>
    </w:p>
    <w:p w14:paraId="14AB79F0" w14:textId="77777777" w:rsidR="00141B97" w:rsidRDefault="00911D63">
      <w:pPr>
        <w:pStyle w:val="BodyText"/>
        <w:spacing w:before="123" w:line="252" w:lineRule="auto"/>
        <w:ind w:left="114" w:right="948" w:hanging="1"/>
        <w:jc w:val="both"/>
      </w:pPr>
      <w:r>
        <w:t>LMW</w:t>
      </w:r>
      <w:r>
        <w:rPr>
          <w:spacing w:val="-8"/>
        </w:rPr>
        <w:t xml:space="preserve"> </w:t>
      </w:r>
      <w:r>
        <w:t>reviewed</w:t>
      </w:r>
      <w:r>
        <w:rPr>
          <w:spacing w:val="-9"/>
        </w:rPr>
        <w:t xml:space="preserve"> </w:t>
      </w:r>
      <w:r>
        <w:t>the</w:t>
      </w:r>
      <w:r>
        <w:rPr>
          <w:spacing w:val="-8"/>
        </w:rPr>
        <w:t xml:space="preserve"> </w:t>
      </w:r>
      <w:r>
        <w:t>combined</w:t>
      </w:r>
      <w:r>
        <w:rPr>
          <w:spacing w:val="-8"/>
        </w:rPr>
        <w:t xml:space="preserve"> </w:t>
      </w:r>
      <w:r>
        <w:t>requirements</w:t>
      </w:r>
      <w:r>
        <w:rPr>
          <w:spacing w:val="-8"/>
        </w:rPr>
        <w:t xml:space="preserve"> </w:t>
      </w:r>
      <w:r>
        <w:t>of</w:t>
      </w:r>
      <w:r>
        <w:rPr>
          <w:spacing w:val="-7"/>
        </w:rPr>
        <w:t xml:space="preserve"> </w:t>
      </w:r>
      <w:r>
        <w:t>the</w:t>
      </w:r>
      <w:r>
        <w:rPr>
          <w:spacing w:val="-9"/>
        </w:rPr>
        <w:t xml:space="preserve"> </w:t>
      </w:r>
      <w:r>
        <w:t>GEAP</w:t>
      </w:r>
      <w:r>
        <w:rPr>
          <w:spacing w:val="-7"/>
        </w:rPr>
        <w:t xml:space="preserve"> </w:t>
      </w:r>
      <w:r>
        <w:t>and</w:t>
      </w:r>
      <w:r>
        <w:rPr>
          <w:spacing w:val="-7"/>
        </w:rPr>
        <w:t xml:space="preserve"> </w:t>
      </w:r>
      <w:r>
        <w:t>the</w:t>
      </w:r>
      <w:r>
        <w:rPr>
          <w:spacing w:val="-7"/>
        </w:rPr>
        <w:t xml:space="preserve"> </w:t>
      </w:r>
      <w:r>
        <w:t>RAP</w:t>
      </w:r>
      <w:r>
        <w:rPr>
          <w:spacing w:val="-8"/>
        </w:rPr>
        <w:t xml:space="preserve"> </w:t>
      </w:r>
      <w:r>
        <w:t>and</w:t>
      </w:r>
      <w:r>
        <w:rPr>
          <w:spacing w:val="-7"/>
        </w:rPr>
        <w:t xml:space="preserve"> </w:t>
      </w:r>
      <w:r>
        <w:t>established</w:t>
      </w:r>
      <w:r>
        <w:rPr>
          <w:spacing w:val="-7"/>
        </w:rPr>
        <w:t xml:space="preserve"> </w:t>
      </w:r>
      <w:r>
        <w:t>an</w:t>
      </w:r>
      <w:r>
        <w:rPr>
          <w:spacing w:val="-7"/>
        </w:rPr>
        <w:t xml:space="preserve"> </w:t>
      </w:r>
      <w:r>
        <w:t>Equality,</w:t>
      </w:r>
      <w:r>
        <w:rPr>
          <w:spacing w:val="-9"/>
        </w:rPr>
        <w:t xml:space="preserve"> </w:t>
      </w:r>
      <w:r>
        <w:t>Diversity,</w:t>
      </w:r>
      <w:r>
        <w:rPr>
          <w:spacing w:val="-8"/>
        </w:rPr>
        <w:t xml:space="preserve"> </w:t>
      </w:r>
      <w:r>
        <w:t>and Inclusion</w:t>
      </w:r>
      <w:r>
        <w:rPr>
          <w:spacing w:val="-13"/>
        </w:rPr>
        <w:t xml:space="preserve"> </w:t>
      </w:r>
      <w:r>
        <w:t>(ED&amp;I)</w:t>
      </w:r>
      <w:r>
        <w:rPr>
          <w:spacing w:val="-12"/>
        </w:rPr>
        <w:t xml:space="preserve"> </w:t>
      </w:r>
      <w:r>
        <w:t>Committee</w:t>
      </w:r>
      <w:r>
        <w:rPr>
          <w:spacing w:val="-13"/>
        </w:rPr>
        <w:t xml:space="preserve"> </w:t>
      </w:r>
      <w:r>
        <w:t>to</w:t>
      </w:r>
      <w:r>
        <w:rPr>
          <w:spacing w:val="-12"/>
        </w:rPr>
        <w:t xml:space="preserve"> </w:t>
      </w:r>
      <w:r>
        <w:t>replace</w:t>
      </w:r>
      <w:r>
        <w:rPr>
          <w:spacing w:val="-13"/>
        </w:rPr>
        <w:t xml:space="preserve"> </w:t>
      </w:r>
      <w:r>
        <w:t>the</w:t>
      </w:r>
      <w:r>
        <w:rPr>
          <w:spacing w:val="-12"/>
        </w:rPr>
        <w:t xml:space="preserve"> </w:t>
      </w:r>
      <w:r>
        <w:t>RAP</w:t>
      </w:r>
      <w:r>
        <w:rPr>
          <w:spacing w:val="-13"/>
        </w:rPr>
        <w:t xml:space="preserve"> </w:t>
      </w:r>
      <w:r>
        <w:t>working</w:t>
      </w:r>
      <w:r>
        <w:rPr>
          <w:spacing w:val="-12"/>
        </w:rPr>
        <w:t xml:space="preserve"> </w:t>
      </w:r>
      <w:r>
        <w:t>group</w:t>
      </w:r>
      <w:r>
        <w:rPr>
          <w:spacing w:val="-12"/>
        </w:rPr>
        <w:t xml:space="preserve"> </w:t>
      </w:r>
      <w:r>
        <w:t>and</w:t>
      </w:r>
      <w:r>
        <w:rPr>
          <w:spacing w:val="-13"/>
        </w:rPr>
        <w:t xml:space="preserve"> </w:t>
      </w:r>
      <w:r>
        <w:t>ensure</w:t>
      </w:r>
      <w:r>
        <w:rPr>
          <w:spacing w:val="-12"/>
        </w:rPr>
        <w:t xml:space="preserve"> </w:t>
      </w:r>
      <w:r>
        <w:t>momentum</w:t>
      </w:r>
      <w:r>
        <w:rPr>
          <w:spacing w:val="-13"/>
        </w:rPr>
        <w:t xml:space="preserve"> </w:t>
      </w:r>
      <w:r>
        <w:t>and</w:t>
      </w:r>
      <w:r>
        <w:rPr>
          <w:spacing w:val="-12"/>
        </w:rPr>
        <w:t xml:space="preserve"> </w:t>
      </w:r>
      <w:r>
        <w:t>reporting</w:t>
      </w:r>
      <w:r>
        <w:rPr>
          <w:spacing w:val="-13"/>
        </w:rPr>
        <w:t xml:space="preserve"> </w:t>
      </w:r>
      <w:r>
        <w:t>on</w:t>
      </w:r>
      <w:r>
        <w:rPr>
          <w:spacing w:val="-12"/>
        </w:rPr>
        <w:t xml:space="preserve"> </w:t>
      </w:r>
      <w:r>
        <w:t>progress is maintained.</w:t>
      </w:r>
    </w:p>
    <w:p w14:paraId="1171A86F" w14:textId="77777777" w:rsidR="00141B97" w:rsidRDefault="00141B97">
      <w:pPr>
        <w:pStyle w:val="BodyText"/>
        <w:spacing w:before="3"/>
        <w:rPr>
          <w:sz w:val="19"/>
        </w:rPr>
      </w:pPr>
    </w:p>
    <w:p w14:paraId="50575F4C" w14:textId="77777777" w:rsidR="00141B97" w:rsidRDefault="00911D63">
      <w:pPr>
        <w:pStyle w:val="ListParagraph"/>
        <w:numPr>
          <w:ilvl w:val="2"/>
          <w:numId w:val="81"/>
        </w:numPr>
        <w:tabs>
          <w:tab w:val="left" w:pos="1112"/>
          <w:tab w:val="left" w:pos="1113"/>
        </w:tabs>
        <w:jc w:val="both"/>
      </w:pPr>
      <w:r>
        <w:t>Outcome</w:t>
      </w:r>
      <w:r>
        <w:rPr>
          <w:spacing w:val="-4"/>
        </w:rPr>
        <w:t xml:space="preserve"> </w:t>
      </w:r>
      <w:r>
        <w:t>6:</w:t>
      </w:r>
      <w:r>
        <w:rPr>
          <w:spacing w:val="-4"/>
        </w:rPr>
        <w:t xml:space="preserve"> </w:t>
      </w:r>
      <w:r>
        <w:t>Be</w:t>
      </w:r>
      <w:r>
        <w:rPr>
          <w:spacing w:val="-4"/>
        </w:rPr>
        <w:t xml:space="preserve"> </w:t>
      </w:r>
      <w:r>
        <w:t>mindful</w:t>
      </w:r>
      <w:r>
        <w:rPr>
          <w:spacing w:val="-3"/>
        </w:rPr>
        <w:t xml:space="preserve"> </w:t>
      </w:r>
      <w:r>
        <w:t>of</w:t>
      </w:r>
      <w:r>
        <w:rPr>
          <w:spacing w:val="-5"/>
        </w:rPr>
        <w:t xml:space="preserve"> </w:t>
      </w:r>
      <w:r>
        <w:t>our</w:t>
      </w:r>
      <w:r>
        <w:rPr>
          <w:spacing w:val="-3"/>
        </w:rPr>
        <w:t xml:space="preserve"> </w:t>
      </w:r>
      <w:r>
        <w:rPr>
          <w:spacing w:val="-2"/>
        </w:rPr>
        <w:t>environment</w:t>
      </w:r>
    </w:p>
    <w:p w14:paraId="42EFD08F" w14:textId="77777777" w:rsidR="00141B97" w:rsidRDefault="00911D63">
      <w:pPr>
        <w:pStyle w:val="BodyText"/>
        <w:spacing w:before="71" w:line="249" w:lineRule="auto"/>
        <w:ind w:left="113" w:right="948" w:hanging="1"/>
        <w:jc w:val="both"/>
      </w:pPr>
      <w:r>
        <w:t>LMW performed favourably overall with two of the four targets usually being met or bettered during the PS4 period,</w:t>
      </w:r>
      <w:r>
        <w:rPr>
          <w:spacing w:val="17"/>
        </w:rPr>
        <w:t xml:space="preserve"> </w:t>
      </w:r>
      <w:r>
        <w:t>and</w:t>
      </w:r>
      <w:r>
        <w:rPr>
          <w:spacing w:val="17"/>
        </w:rPr>
        <w:t xml:space="preserve"> </w:t>
      </w:r>
      <w:r>
        <w:t>one</w:t>
      </w:r>
      <w:r>
        <w:rPr>
          <w:spacing w:val="17"/>
        </w:rPr>
        <w:t xml:space="preserve"> </w:t>
      </w:r>
      <w:r>
        <w:t>consistently</w:t>
      </w:r>
      <w:r>
        <w:rPr>
          <w:spacing w:val="17"/>
        </w:rPr>
        <w:t xml:space="preserve"> </w:t>
      </w:r>
      <w:r>
        <w:t>met,</w:t>
      </w:r>
      <w:r>
        <w:rPr>
          <w:spacing w:val="18"/>
        </w:rPr>
        <w:t xml:space="preserve"> </w:t>
      </w:r>
      <w:r>
        <w:t>being</w:t>
      </w:r>
      <w:r>
        <w:rPr>
          <w:spacing w:val="17"/>
        </w:rPr>
        <w:t xml:space="preserve"> </w:t>
      </w:r>
      <w:r>
        <w:t>notably</w:t>
      </w:r>
      <w:r>
        <w:rPr>
          <w:spacing w:val="16"/>
        </w:rPr>
        <w:t xml:space="preserve"> </w:t>
      </w:r>
      <w:r>
        <w:t>sewerage</w:t>
      </w:r>
      <w:r>
        <w:rPr>
          <w:spacing w:val="15"/>
        </w:rPr>
        <w:t xml:space="preserve"> </w:t>
      </w:r>
      <w:r>
        <w:t>spills.</w:t>
      </w:r>
      <w:r>
        <w:rPr>
          <w:spacing w:val="17"/>
        </w:rPr>
        <w:t xml:space="preserve"> </w:t>
      </w:r>
      <w:r>
        <w:t>Although</w:t>
      </w:r>
      <w:r>
        <w:rPr>
          <w:spacing w:val="18"/>
        </w:rPr>
        <w:t xml:space="preserve"> </w:t>
      </w:r>
      <w:r>
        <w:t>LMW</w:t>
      </w:r>
      <w:r>
        <w:rPr>
          <w:spacing w:val="16"/>
        </w:rPr>
        <w:t xml:space="preserve"> </w:t>
      </w:r>
      <w:r>
        <w:t>met</w:t>
      </w:r>
      <w:r>
        <w:rPr>
          <w:spacing w:val="17"/>
        </w:rPr>
        <w:t xml:space="preserve"> </w:t>
      </w:r>
      <w:r>
        <w:t>the</w:t>
      </w:r>
      <w:r>
        <w:rPr>
          <w:spacing w:val="17"/>
        </w:rPr>
        <w:t xml:space="preserve"> </w:t>
      </w:r>
      <w:r>
        <w:t>minimum</w:t>
      </w:r>
      <w:r>
        <w:rPr>
          <w:spacing w:val="17"/>
        </w:rPr>
        <w:t xml:space="preserve"> </w:t>
      </w:r>
      <w:r>
        <w:t>target</w:t>
      </w:r>
      <w:r>
        <w:rPr>
          <w:spacing w:val="17"/>
        </w:rPr>
        <w:t xml:space="preserve"> </w:t>
      </w:r>
      <w:r>
        <w:t>of</w:t>
      </w:r>
    </w:p>
    <w:p w14:paraId="0520D1A6" w14:textId="77777777" w:rsidR="00141B97" w:rsidRDefault="00911D63">
      <w:pPr>
        <w:pStyle w:val="BodyText"/>
        <w:spacing w:before="2"/>
        <w:ind w:left="114"/>
        <w:jc w:val="both"/>
      </w:pPr>
      <w:r>
        <w:t>=/&lt;2</w:t>
      </w:r>
      <w:r>
        <w:rPr>
          <w:spacing w:val="-7"/>
        </w:rPr>
        <w:t xml:space="preserve"> </w:t>
      </w:r>
      <w:r>
        <w:t>there</w:t>
      </w:r>
      <w:r>
        <w:rPr>
          <w:spacing w:val="-7"/>
        </w:rPr>
        <w:t xml:space="preserve"> </w:t>
      </w:r>
      <w:r>
        <w:t>were</w:t>
      </w:r>
      <w:r>
        <w:rPr>
          <w:spacing w:val="-8"/>
        </w:rPr>
        <w:t xml:space="preserve"> </w:t>
      </w:r>
      <w:r>
        <w:t>two</w:t>
      </w:r>
      <w:r>
        <w:rPr>
          <w:spacing w:val="-7"/>
        </w:rPr>
        <w:t xml:space="preserve"> </w:t>
      </w:r>
      <w:r>
        <w:t>EPA</w:t>
      </w:r>
      <w:r>
        <w:rPr>
          <w:spacing w:val="-6"/>
        </w:rPr>
        <w:t xml:space="preserve"> </w:t>
      </w:r>
      <w:r>
        <w:t>reportable</w:t>
      </w:r>
      <w:r>
        <w:rPr>
          <w:spacing w:val="-8"/>
        </w:rPr>
        <w:t xml:space="preserve"> </w:t>
      </w:r>
      <w:r>
        <w:t>breaches</w:t>
      </w:r>
      <w:r>
        <w:rPr>
          <w:spacing w:val="-5"/>
        </w:rPr>
        <w:t xml:space="preserve"> </w:t>
      </w:r>
      <w:r>
        <w:t>relating</w:t>
      </w:r>
      <w:r>
        <w:rPr>
          <w:spacing w:val="-8"/>
        </w:rPr>
        <w:t xml:space="preserve"> </w:t>
      </w:r>
      <w:r>
        <w:t>to</w:t>
      </w:r>
      <w:r>
        <w:rPr>
          <w:spacing w:val="-6"/>
        </w:rPr>
        <w:t xml:space="preserve"> </w:t>
      </w:r>
      <w:r>
        <w:t>sewerage</w:t>
      </w:r>
      <w:r>
        <w:rPr>
          <w:spacing w:val="-8"/>
        </w:rPr>
        <w:t xml:space="preserve"> </w:t>
      </w:r>
      <w:r>
        <w:t>attributable</w:t>
      </w:r>
      <w:r>
        <w:rPr>
          <w:spacing w:val="-8"/>
        </w:rPr>
        <w:t xml:space="preserve"> </w:t>
      </w:r>
      <w:r>
        <w:t>to</w:t>
      </w:r>
      <w:r>
        <w:rPr>
          <w:spacing w:val="-7"/>
        </w:rPr>
        <w:t xml:space="preserve"> </w:t>
      </w:r>
      <w:r>
        <w:t>asset</w:t>
      </w:r>
      <w:r>
        <w:rPr>
          <w:spacing w:val="-7"/>
        </w:rPr>
        <w:t xml:space="preserve"> </w:t>
      </w:r>
      <w:r>
        <w:rPr>
          <w:spacing w:val="-2"/>
        </w:rPr>
        <w:t>failure.</w:t>
      </w:r>
    </w:p>
    <w:p w14:paraId="57177CA9" w14:textId="77777777" w:rsidR="00141B97" w:rsidRDefault="00911D63">
      <w:pPr>
        <w:pStyle w:val="BodyText"/>
        <w:spacing w:before="131" w:line="249" w:lineRule="auto"/>
        <w:ind w:left="113" w:right="946"/>
        <w:jc w:val="both"/>
      </w:pPr>
      <w:r>
        <w:t>The target around CO</w:t>
      </w:r>
      <w:r>
        <w:rPr>
          <w:vertAlign w:val="subscript"/>
        </w:rPr>
        <w:t>2</w:t>
      </w:r>
      <w:r>
        <w:t xml:space="preserve"> emissions was not met, noting that much of what relates to energy procurement decisions is outside of LMW’s control, however actions are underway to address these issues both individually by LMW, and in conjunction with the State government through centralised energy procurement. The State Government’s review of the Statement of Obligations Emissions Reduction resulted in a new commitment to</w:t>
      </w:r>
    </w:p>
    <w:p w14:paraId="3B163171" w14:textId="77777777" w:rsidR="00141B97" w:rsidRDefault="00141B97">
      <w:pPr>
        <w:spacing w:line="249" w:lineRule="auto"/>
        <w:jc w:val="both"/>
        <w:sectPr w:rsidR="00141B97">
          <w:pgSz w:w="11910" w:h="16840"/>
          <w:pgMar w:top="820" w:right="40" w:bottom="760" w:left="1020" w:header="0" w:footer="580" w:gutter="0"/>
          <w:cols w:space="720"/>
        </w:sectPr>
      </w:pPr>
    </w:p>
    <w:p w14:paraId="5D7391EB" w14:textId="77777777" w:rsidR="00141B97" w:rsidRDefault="00911D63">
      <w:pPr>
        <w:pStyle w:val="BodyText"/>
        <w:spacing w:before="42" w:line="252" w:lineRule="auto"/>
        <w:ind w:left="114" w:right="950" w:hanging="1"/>
        <w:jc w:val="both"/>
      </w:pPr>
      <w:r>
        <w:lastRenderedPageBreak/>
        <w:t>source</w:t>
      </w:r>
      <w:r>
        <w:rPr>
          <w:spacing w:val="-13"/>
        </w:rPr>
        <w:t xml:space="preserve"> </w:t>
      </w:r>
      <w:r>
        <w:t>all</w:t>
      </w:r>
      <w:r>
        <w:rPr>
          <w:spacing w:val="-12"/>
        </w:rPr>
        <w:t xml:space="preserve"> </w:t>
      </w:r>
      <w:r>
        <w:t>electricity</w:t>
      </w:r>
      <w:r>
        <w:rPr>
          <w:spacing w:val="-13"/>
        </w:rPr>
        <w:t xml:space="preserve"> </w:t>
      </w:r>
      <w:r>
        <w:t>from</w:t>
      </w:r>
      <w:r>
        <w:rPr>
          <w:spacing w:val="-12"/>
        </w:rPr>
        <w:t xml:space="preserve"> </w:t>
      </w:r>
      <w:r>
        <w:t>renewables</w:t>
      </w:r>
      <w:r>
        <w:rPr>
          <w:spacing w:val="-13"/>
        </w:rPr>
        <w:t xml:space="preserve"> </w:t>
      </w:r>
      <w:r>
        <w:t>“green</w:t>
      </w:r>
      <w:r>
        <w:rPr>
          <w:spacing w:val="-12"/>
        </w:rPr>
        <w:t xml:space="preserve"> </w:t>
      </w:r>
      <w:r>
        <w:t>energy”</w:t>
      </w:r>
      <w:r>
        <w:rPr>
          <w:spacing w:val="-13"/>
        </w:rPr>
        <w:t xml:space="preserve"> </w:t>
      </w:r>
      <w:r>
        <w:t>by</w:t>
      </w:r>
      <w:r>
        <w:rPr>
          <w:spacing w:val="-12"/>
        </w:rPr>
        <w:t xml:space="preserve"> </w:t>
      </w:r>
      <w:r>
        <w:t>2025,</w:t>
      </w:r>
      <w:r>
        <w:rPr>
          <w:spacing w:val="-12"/>
        </w:rPr>
        <w:t xml:space="preserve"> </w:t>
      </w:r>
      <w:r>
        <w:t>easily</w:t>
      </w:r>
      <w:r>
        <w:rPr>
          <w:spacing w:val="-13"/>
        </w:rPr>
        <w:t xml:space="preserve"> </w:t>
      </w:r>
      <w:r>
        <w:t>bettering</w:t>
      </w:r>
      <w:r>
        <w:rPr>
          <w:spacing w:val="-12"/>
        </w:rPr>
        <w:t xml:space="preserve"> </w:t>
      </w:r>
      <w:r>
        <w:t>the</w:t>
      </w:r>
      <w:r>
        <w:rPr>
          <w:spacing w:val="-13"/>
        </w:rPr>
        <w:t xml:space="preserve"> </w:t>
      </w:r>
      <w:r>
        <w:t>current</w:t>
      </w:r>
      <w:r>
        <w:rPr>
          <w:spacing w:val="-12"/>
        </w:rPr>
        <w:t xml:space="preserve"> </w:t>
      </w:r>
      <w:r>
        <w:t>period</w:t>
      </w:r>
      <w:r>
        <w:rPr>
          <w:spacing w:val="-13"/>
        </w:rPr>
        <w:t xml:space="preserve"> </w:t>
      </w:r>
      <w:r>
        <w:t>39%</w:t>
      </w:r>
      <w:r>
        <w:rPr>
          <w:spacing w:val="-12"/>
        </w:rPr>
        <w:t xml:space="preserve"> </w:t>
      </w:r>
      <w:r>
        <w:t>emissions reduction pledge.</w:t>
      </w:r>
    </w:p>
    <w:p w14:paraId="35B1C45B" w14:textId="77777777" w:rsidR="00141B97" w:rsidRDefault="00141B97">
      <w:pPr>
        <w:pStyle w:val="BodyText"/>
        <w:spacing w:before="5"/>
        <w:rPr>
          <w:sz w:val="19"/>
        </w:rPr>
      </w:pPr>
    </w:p>
    <w:p w14:paraId="7FC6A4AE" w14:textId="77777777" w:rsidR="00141B97" w:rsidRDefault="00911D63">
      <w:pPr>
        <w:pStyle w:val="ListParagraph"/>
        <w:numPr>
          <w:ilvl w:val="2"/>
          <w:numId w:val="81"/>
        </w:numPr>
        <w:tabs>
          <w:tab w:val="left" w:pos="1112"/>
          <w:tab w:val="left" w:pos="1113"/>
        </w:tabs>
        <w:spacing w:before="1"/>
        <w:jc w:val="both"/>
      </w:pPr>
      <w:r>
        <w:t>Outcome</w:t>
      </w:r>
      <w:r>
        <w:rPr>
          <w:spacing w:val="-7"/>
        </w:rPr>
        <w:t xml:space="preserve"> </w:t>
      </w:r>
      <w:r>
        <w:t>7:</w:t>
      </w:r>
      <w:r>
        <w:rPr>
          <w:spacing w:val="-6"/>
        </w:rPr>
        <w:t xml:space="preserve"> </w:t>
      </w:r>
      <w:r>
        <w:t>Comply</w:t>
      </w:r>
      <w:r>
        <w:rPr>
          <w:spacing w:val="-6"/>
        </w:rPr>
        <w:t xml:space="preserve"> </w:t>
      </w:r>
      <w:r>
        <w:t>with</w:t>
      </w:r>
      <w:r>
        <w:rPr>
          <w:spacing w:val="-6"/>
        </w:rPr>
        <w:t xml:space="preserve"> </w:t>
      </w:r>
      <w:r>
        <w:t>other</w:t>
      </w:r>
      <w:r>
        <w:rPr>
          <w:spacing w:val="-6"/>
        </w:rPr>
        <w:t xml:space="preserve"> </w:t>
      </w:r>
      <w:r>
        <w:t>government</w:t>
      </w:r>
      <w:r>
        <w:rPr>
          <w:spacing w:val="-6"/>
        </w:rPr>
        <w:t xml:space="preserve"> </w:t>
      </w:r>
      <w:r>
        <w:rPr>
          <w:spacing w:val="-2"/>
        </w:rPr>
        <w:t>obligations</w:t>
      </w:r>
    </w:p>
    <w:p w14:paraId="02A8AE50" w14:textId="77777777" w:rsidR="00141B97" w:rsidRDefault="00911D63">
      <w:pPr>
        <w:pStyle w:val="BodyText"/>
        <w:spacing w:before="69" w:line="249" w:lineRule="auto"/>
        <w:ind w:left="114" w:right="947" w:hanging="1"/>
        <w:jc w:val="both"/>
      </w:pPr>
      <w:r>
        <w:t>LMW</w:t>
      </w:r>
      <w:r>
        <w:rPr>
          <w:spacing w:val="-11"/>
        </w:rPr>
        <w:t xml:space="preserve"> </w:t>
      </w:r>
      <w:r>
        <w:t>has</w:t>
      </w:r>
      <w:r>
        <w:rPr>
          <w:spacing w:val="-9"/>
        </w:rPr>
        <w:t xml:space="preserve"> </w:t>
      </w:r>
      <w:r>
        <w:t>fully</w:t>
      </w:r>
      <w:r>
        <w:rPr>
          <w:spacing w:val="-10"/>
        </w:rPr>
        <w:t xml:space="preserve"> </w:t>
      </w:r>
      <w:r>
        <w:t>met</w:t>
      </w:r>
      <w:r>
        <w:rPr>
          <w:spacing w:val="-9"/>
        </w:rPr>
        <w:t xml:space="preserve"> </w:t>
      </w:r>
      <w:r>
        <w:t>its</w:t>
      </w:r>
      <w:r>
        <w:rPr>
          <w:spacing w:val="-10"/>
        </w:rPr>
        <w:t xml:space="preserve"> </w:t>
      </w:r>
      <w:r>
        <w:t>compliance</w:t>
      </w:r>
      <w:r>
        <w:rPr>
          <w:spacing w:val="-10"/>
        </w:rPr>
        <w:t xml:space="preserve"> </w:t>
      </w:r>
      <w:r>
        <w:t>obligations</w:t>
      </w:r>
      <w:r>
        <w:rPr>
          <w:spacing w:val="-9"/>
        </w:rPr>
        <w:t xml:space="preserve"> </w:t>
      </w:r>
      <w:r>
        <w:t>and</w:t>
      </w:r>
      <w:r>
        <w:rPr>
          <w:spacing w:val="-9"/>
        </w:rPr>
        <w:t xml:space="preserve"> </w:t>
      </w:r>
      <w:r>
        <w:t>hence</w:t>
      </w:r>
      <w:r>
        <w:rPr>
          <w:spacing w:val="-11"/>
        </w:rPr>
        <w:t xml:space="preserve"> </w:t>
      </w:r>
      <w:r>
        <w:t>fully</w:t>
      </w:r>
      <w:r>
        <w:rPr>
          <w:spacing w:val="-9"/>
        </w:rPr>
        <w:t xml:space="preserve"> </w:t>
      </w:r>
      <w:r>
        <w:t>achieved</w:t>
      </w:r>
      <w:r>
        <w:rPr>
          <w:spacing w:val="-9"/>
        </w:rPr>
        <w:t xml:space="preserve"> </w:t>
      </w:r>
      <w:r>
        <w:t>this</w:t>
      </w:r>
      <w:r>
        <w:rPr>
          <w:spacing w:val="-9"/>
        </w:rPr>
        <w:t xml:space="preserve"> </w:t>
      </w:r>
      <w:r>
        <w:t>outcome</w:t>
      </w:r>
      <w:r>
        <w:rPr>
          <w:spacing w:val="-10"/>
        </w:rPr>
        <w:t xml:space="preserve"> </w:t>
      </w:r>
      <w:r>
        <w:t>throughout</w:t>
      </w:r>
      <w:r>
        <w:rPr>
          <w:spacing w:val="-11"/>
        </w:rPr>
        <w:t xml:space="preserve"> </w:t>
      </w:r>
      <w:r>
        <w:t>the</w:t>
      </w:r>
      <w:r>
        <w:rPr>
          <w:spacing w:val="-10"/>
        </w:rPr>
        <w:t xml:space="preserve"> </w:t>
      </w:r>
      <w:r>
        <w:t>PS4</w:t>
      </w:r>
      <w:r>
        <w:rPr>
          <w:spacing w:val="-9"/>
        </w:rPr>
        <w:t xml:space="preserve"> </w:t>
      </w:r>
      <w:r>
        <w:t>period, to comply with government mandated timelines to meet Ministerial and financial directions. All regulatory reports are subject to audit requirements and are independently verified. LMW’s 2020‐21 completion and lodgement</w:t>
      </w:r>
      <w:r>
        <w:rPr>
          <w:spacing w:val="-3"/>
        </w:rPr>
        <w:t xml:space="preserve"> </w:t>
      </w:r>
      <w:r>
        <w:t>results</w:t>
      </w:r>
      <w:r>
        <w:rPr>
          <w:spacing w:val="-3"/>
        </w:rPr>
        <w:t xml:space="preserve"> </w:t>
      </w:r>
      <w:r>
        <w:t>are</w:t>
      </w:r>
      <w:r>
        <w:rPr>
          <w:spacing w:val="-3"/>
        </w:rPr>
        <w:t xml:space="preserve"> </w:t>
      </w:r>
      <w:r>
        <w:t>reported</w:t>
      </w:r>
      <w:r>
        <w:rPr>
          <w:spacing w:val="-2"/>
        </w:rPr>
        <w:t xml:space="preserve"> </w:t>
      </w:r>
      <w:r>
        <w:t>in</w:t>
      </w:r>
      <w:r>
        <w:rPr>
          <w:spacing w:val="-3"/>
        </w:rPr>
        <w:t xml:space="preserve"> </w:t>
      </w:r>
      <w:r>
        <w:t>the</w:t>
      </w:r>
      <w:r>
        <w:rPr>
          <w:spacing w:val="-4"/>
        </w:rPr>
        <w:t xml:space="preserve"> </w:t>
      </w:r>
      <w:r>
        <w:t>2021‐22</w:t>
      </w:r>
      <w:r>
        <w:rPr>
          <w:spacing w:val="-3"/>
        </w:rPr>
        <w:t xml:space="preserve"> </w:t>
      </w:r>
      <w:r>
        <w:t>reporting</w:t>
      </w:r>
      <w:r>
        <w:rPr>
          <w:spacing w:val="-4"/>
        </w:rPr>
        <w:t xml:space="preserve"> </w:t>
      </w:r>
      <w:r>
        <w:t>year</w:t>
      </w:r>
      <w:r>
        <w:rPr>
          <w:spacing w:val="-3"/>
        </w:rPr>
        <w:t xml:space="preserve"> </w:t>
      </w:r>
      <w:r>
        <w:t>where</w:t>
      </w:r>
      <w:r>
        <w:rPr>
          <w:spacing w:val="-3"/>
        </w:rPr>
        <w:t xml:space="preserve"> </w:t>
      </w:r>
      <w:r>
        <w:t>appropriate</w:t>
      </w:r>
      <w:r>
        <w:rPr>
          <w:spacing w:val="-3"/>
        </w:rPr>
        <w:t xml:space="preserve"> </w:t>
      </w:r>
      <w:r>
        <w:t>and</w:t>
      </w:r>
      <w:r>
        <w:rPr>
          <w:spacing w:val="-3"/>
        </w:rPr>
        <w:t xml:space="preserve"> </w:t>
      </w:r>
      <w:r>
        <w:t>as</w:t>
      </w:r>
      <w:r>
        <w:rPr>
          <w:spacing w:val="-3"/>
        </w:rPr>
        <w:t xml:space="preserve"> </w:t>
      </w:r>
      <w:r>
        <w:t>such</w:t>
      </w:r>
      <w:r>
        <w:rPr>
          <w:spacing w:val="-4"/>
        </w:rPr>
        <w:t xml:space="preserve"> </w:t>
      </w:r>
      <w:r>
        <w:t>LMW</w:t>
      </w:r>
      <w:r>
        <w:rPr>
          <w:spacing w:val="-3"/>
        </w:rPr>
        <w:t xml:space="preserve"> </w:t>
      </w:r>
      <w:r>
        <w:t>is</w:t>
      </w:r>
      <w:r>
        <w:rPr>
          <w:spacing w:val="-3"/>
        </w:rPr>
        <w:t xml:space="preserve"> </w:t>
      </w:r>
      <w:r>
        <w:t>reporting 100% completion and lodgement rates by due dates.</w:t>
      </w:r>
    </w:p>
    <w:p w14:paraId="1C33D35C" w14:textId="77777777" w:rsidR="00141B97" w:rsidRDefault="00141B97">
      <w:pPr>
        <w:pStyle w:val="BodyText"/>
        <w:spacing w:before="1"/>
        <w:rPr>
          <w:sz w:val="20"/>
        </w:rPr>
      </w:pPr>
    </w:p>
    <w:p w14:paraId="0B402EEB" w14:textId="77777777" w:rsidR="00141B97" w:rsidRDefault="00911D63">
      <w:pPr>
        <w:pStyle w:val="ListParagraph"/>
        <w:numPr>
          <w:ilvl w:val="2"/>
          <w:numId w:val="81"/>
        </w:numPr>
        <w:tabs>
          <w:tab w:val="left" w:pos="1112"/>
          <w:tab w:val="left" w:pos="1113"/>
        </w:tabs>
      </w:pPr>
      <w:r>
        <w:t>Guaranteed</w:t>
      </w:r>
      <w:r>
        <w:rPr>
          <w:spacing w:val="-11"/>
        </w:rPr>
        <w:t xml:space="preserve"> </w:t>
      </w:r>
      <w:r>
        <w:t>Service</w:t>
      </w:r>
      <w:r>
        <w:rPr>
          <w:spacing w:val="-10"/>
        </w:rPr>
        <w:t xml:space="preserve"> </w:t>
      </w:r>
      <w:r>
        <w:rPr>
          <w:spacing w:val="-2"/>
        </w:rPr>
        <w:t>Levels</w:t>
      </w:r>
    </w:p>
    <w:p w14:paraId="3854A438" w14:textId="77777777" w:rsidR="00141B97" w:rsidRDefault="00911D63">
      <w:pPr>
        <w:pStyle w:val="BodyText"/>
        <w:spacing w:before="70" w:line="249" w:lineRule="auto"/>
        <w:ind w:left="113" w:right="962"/>
      </w:pPr>
      <w:r>
        <w:t>Guaranteed</w:t>
      </w:r>
      <w:r>
        <w:rPr>
          <w:spacing w:val="-2"/>
        </w:rPr>
        <w:t xml:space="preserve"> </w:t>
      </w:r>
      <w:r>
        <w:t>Service</w:t>
      </w:r>
      <w:r>
        <w:rPr>
          <w:spacing w:val="-3"/>
        </w:rPr>
        <w:t xml:space="preserve"> </w:t>
      </w:r>
      <w:r>
        <w:t>Level</w:t>
      </w:r>
      <w:r>
        <w:rPr>
          <w:spacing w:val="-3"/>
        </w:rPr>
        <w:t xml:space="preserve"> </w:t>
      </w:r>
      <w:r>
        <w:t>(GSL)</w:t>
      </w:r>
      <w:r>
        <w:rPr>
          <w:spacing w:val="-3"/>
        </w:rPr>
        <w:t xml:space="preserve"> </w:t>
      </w:r>
      <w:r>
        <w:t>payments</w:t>
      </w:r>
      <w:r>
        <w:rPr>
          <w:spacing w:val="-3"/>
        </w:rPr>
        <w:t xml:space="preserve"> </w:t>
      </w:r>
      <w:r>
        <w:t>were</w:t>
      </w:r>
      <w:r>
        <w:rPr>
          <w:spacing w:val="-3"/>
        </w:rPr>
        <w:t xml:space="preserve"> </w:t>
      </w:r>
      <w:r>
        <w:t>triggered</w:t>
      </w:r>
      <w:r>
        <w:rPr>
          <w:spacing w:val="-2"/>
        </w:rPr>
        <w:t xml:space="preserve"> </w:t>
      </w:r>
      <w:r>
        <w:t>in</w:t>
      </w:r>
      <w:r>
        <w:rPr>
          <w:spacing w:val="-2"/>
        </w:rPr>
        <w:t xml:space="preserve"> </w:t>
      </w:r>
      <w:r>
        <w:t>two</w:t>
      </w:r>
      <w:r>
        <w:rPr>
          <w:spacing w:val="-4"/>
        </w:rPr>
        <w:t xml:space="preserve"> </w:t>
      </w:r>
      <w:r>
        <w:t>instances</w:t>
      </w:r>
      <w:r>
        <w:rPr>
          <w:spacing w:val="-2"/>
        </w:rPr>
        <w:t xml:space="preserve"> </w:t>
      </w:r>
      <w:r>
        <w:t>for</w:t>
      </w:r>
      <w:r>
        <w:rPr>
          <w:spacing w:val="-2"/>
        </w:rPr>
        <w:t xml:space="preserve"> </w:t>
      </w:r>
      <w:r>
        <w:t>the</w:t>
      </w:r>
      <w:r>
        <w:rPr>
          <w:spacing w:val="-4"/>
        </w:rPr>
        <w:t xml:space="preserve"> </w:t>
      </w:r>
      <w:r>
        <w:t>GSL</w:t>
      </w:r>
      <w:r>
        <w:rPr>
          <w:spacing w:val="-2"/>
        </w:rPr>
        <w:t xml:space="preserve"> </w:t>
      </w:r>
      <w:r>
        <w:t>‘More</w:t>
      </w:r>
      <w:r>
        <w:rPr>
          <w:spacing w:val="-3"/>
        </w:rPr>
        <w:t xml:space="preserve"> </w:t>
      </w:r>
      <w:r>
        <w:t>than</w:t>
      </w:r>
      <w:r>
        <w:rPr>
          <w:spacing w:val="-3"/>
        </w:rPr>
        <w:t xml:space="preserve"> </w:t>
      </w:r>
      <w:r>
        <w:t>5</w:t>
      </w:r>
      <w:r>
        <w:rPr>
          <w:spacing w:val="-2"/>
        </w:rPr>
        <w:t xml:space="preserve"> </w:t>
      </w:r>
      <w:r>
        <w:t>unplanned water supply interruptions in a year’. Both related to unplanned water main breaks as noted in Outcome #2 above, for 46 and 12 customers each. Payment has been made for the first instance as a credit on customers’ bills, while the second occurred late in 2021‐22 and the credits are yet to be processed. No payments were triggered for the other GSLs.</w:t>
      </w:r>
    </w:p>
    <w:p w14:paraId="222CD0B0" w14:textId="77777777" w:rsidR="00141B97" w:rsidRDefault="00141B97">
      <w:pPr>
        <w:pStyle w:val="BodyText"/>
        <w:spacing w:before="7"/>
        <w:rPr>
          <w:sz w:val="30"/>
        </w:rPr>
      </w:pPr>
    </w:p>
    <w:p w14:paraId="2C4EA956" w14:textId="77777777" w:rsidR="00141B97" w:rsidRDefault="00911D63">
      <w:pPr>
        <w:pStyle w:val="Heading2"/>
        <w:numPr>
          <w:ilvl w:val="1"/>
          <w:numId w:val="81"/>
        </w:numPr>
        <w:tabs>
          <w:tab w:val="left" w:pos="1112"/>
          <w:tab w:val="left" w:pos="1113"/>
        </w:tabs>
      </w:pPr>
      <w:r>
        <w:rPr>
          <w:color w:val="009BAC"/>
        </w:rPr>
        <w:t>Price</w:t>
      </w:r>
      <w:r>
        <w:rPr>
          <w:color w:val="009BAC"/>
          <w:spacing w:val="-9"/>
        </w:rPr>
        <w:t xml:space="preserve"> </w:t>
      </w:r>
      <w:r>
        <w:rPr>
          <w:color w:val="009BAC"/>
        </w:rPr>
        <w:t>and</w:t>
      </w:r>
      <w:r>
        <w:rPr>
          <w:color w:val="009BAC"/>
          <w:spacing w:val="-7"/>
        </w:rPr>
        <w:t xml:space="preserve"> </w:t>
      </w:r>
      <w:r>
        <w:rPr>
          <w:color w:val="009BAC"/>
        </w:rPr>
        <w:t>Revenue</w:t>
      </w:r>
      <w:r>
        <w:rPr>
          <w:color w:val="009BAC"/>
          <w:spacing w:val="-7"/>
        </w:rPr>
        <w:t xml:space="preserve"> </w:t>
      </w:r>
      <w:r>
        <w:rPr>
          <w:color w:val="009BAC"/>
        </w:rPr>
        <w:t>Performance</w:t>
      </w:r>
      <w:r>
        <w:rPr>
          <w:color w:val="009BAC"/>
          <w:spacing w:val="-9"/>
        </w:rPr>
        <w:t xml:space="preserve"> </w:t>
      </w:r>
      <w:r>
        <w:rPr>
          <w:color w:val="009BAC"/>
        </w:rPr>
        <w:t>for</w:t>
      </w:r>
      <w:r>
        <w:rPr>
          <w:color w:val="009BAC"/>
          <w:spacing w:val="-6"/>
        </w:rPr>
        <w:t xml:space="preserve"> </w:t>
      </w:r>
      <w:r>
        <w:rPr>
          <w:color w:val="009BAC"/>
          <w:spacing w:val="-5"/>
        </w:rPr>
        <w:t>PS4</w:t>
      </w:r>
    </w:p>
    <w:p w14:paraId="60C300F6" w14:textId="77777777" w:rsidR="00141B97" w:rsidRDefault="00911D63">
      <w:pPr>
        <w:pStyle w:val="BodyText"/>
        <w:spacing w:before="119"/>
        <w:ind w:left="113" w:right="950"/>
        <w:jc w:val="both"/>
      </w:pPr>
      <w:r>
        <w:t>Tariffs for urban services continued to follow the approved price path as determined for the PS4 period, resulting in a reduction of 0.35% in real terms. LMW’s electricity collar price adjustment mechanism has not been triggered as electricity costs and price have been contained within agreed limits.</w:t>
      </w:r>
    </w:p>
    <w:p w14:paraId="3408CA77" w14:textId="77777777" w:rsidR="00141B97" w:rsidRDefault="00141B97">
      <w:pPr>
        <w:pStyle w:val="BodyText"/>
        <w:spacing w:before="9"/>
        <w:rPr>
          <w:sz w:val="20"/>
        </w:rPr>
      </w:pPr>
    </w:p>
    <w:p w14:paraId="504BFCB0" w14:textId="77777777" w:rsidR="00141B97" w:rsidRDefault="00911D63">
      <w:pPr>
        <w:pStyle w:val="ListParagraph"/>
        <w:numPr>
          <w:ilvl w:val="2"/>
          <w:numId w:val="81"/>
        </w:numPr>
        <w:tabs>
          <w:tab w:val="left" w:pos="1112"/>
          <w:tab w:val="left" w:pos="1113"/>
        </w:tabs>
        <w:jc w:val="both"/>
      </w:pPr>
      <w:r>
        <w:t>Urban</w:t>
      </w:r>
      <w:r>
        <w:rPr>
          <w:spacing w:val="-6"/>
        </w:rPr>
        <w:t xml:space="preserve"> </w:t>
      </w:r>
      <w:r>
        <w:rPr>
          <w:spacing w:val="-2"/>
        </w:rPr>
        <w:t>Demand</w:t>
      </w:r>
    </w:p>
    <w:p w14:paraId="0E29D464" w14:textId="77777777" w:rsidR="00141B97" w:rsidRDefault="00911D63">
      <w:pPr>
        <w:pStyle w:val="BodyText"/>
        <w:spacing w:before="70" w:line="252" w:lineRule="auto"/>
        <w:ind w:left="114" w:right="949" w:hanging="1"/>
        <w:jc w:val="both"/>
      </w:pPr>
      <w:r>
        <w:t>Urban customer water demand was within 1.1% of the forecast for the period to date, recognising annual fluctuations due to weather, supporting the validity of the PS4 demand and growth forecasts. Annual urban water demand and total for the PS4 period to date in shown in Table B2.</w:t>
      </w:r>
    </w:p>
    <w:p w14:paraId="75C5BBBE" w14:textId="77777777" w:rsidR="00141B97" w:rsidRDefault="00141B97">
      <w:pPr>
        <w:pStyle w:val="BodyText"/>
        <w:rPr>
          <w:sz w:val="10"/>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307"/>
        <w:gridCol w:w="747"/>
        <w:gridCol w:w="749"/>
        <w:gridCol w:w="747"/>
        <w:gridCol w:w="749"/>
        <w:gridCol w:w="748"/>
        <w:gridCol w:w="749"/>
        <w:gridCol w:w="747"/>
        <w:gridCol w:w="749"/>
        <w:gridCol w:w="747"/>
        <w:gridCol w:w="749"/>
        <w:gridCol w:w="569"/>
        <w:gridCol w:w="626"/>
      </w:tblGrid>
      <w:tr w:rsidR="00141B97" w14:paraId="078F4C90" w14:textId="77777777">
        <w:trPr>
          <w:trHeight w:val="559"/>
          <w:tblCellSpacing w:w="9" w:type="dxa"/>
        </w:trPr>
        <w:tc>
          <w:tcPr>
            <w:tcW w:w="1280" w:type="dxa"/>
            <w:tcBorders>
              <w:top w:val="nil"/>
              <w:left w:val="nil"/>
            </w:tcBorders>
            <w:shd w:val="clear" w:color="auto" w:fill="0064A4"/>
          </w:tcPr>
          <w:p w14:paraId="3DC069CD" w14:textId="77777777" w:rsidR="00141B97" w:rsidRDefault="00911D63">
            <w:pPr>
              <w:pStyle w:val="TableParagraph"/>
              <w:spacing w:line="280" w:lineRule="atLeast"/>
              <w:ind w:left="299" w:right="133" w:firstLine="66"/>
              <w:rPr>
                <w:sz w:val="18"/>
              </w:rPr>
            </w:pPr>
            <w:r>
              <w:rPr>
                <w:color w:val="FFFFFF"/>
                <w:spacing w:val="-2"/>
                <w:sz w:val="18"/>
              </w:rPr>
              <w:t>Service</w:t>
            </w:r>
            <w:r>
              <w:rPr>
                <w:color w:val="FFFFFF"/>
                <w:sz w:val="18"/>
              </w:rPr>
              <w:t xml:space="preserve"> </w:t>
            </w:r>
            <w:r>
              <w:rPr>
                <w:color w:val="FFFFFF"/>
                <w:spacing w:val="-2"/>
                <w:sz w:val="18"/>
              </w:rPr>
              <w:t>Category</w:t>
            </w:r>
          </w:p>
        </w:tc>
        <w:tc>
          <w:tcPr>
            <w:tcW w:w="1460" w:type="dxa"/>
            <w:gridSpan w:val="2"/>
            <w:tcBorders>
              <w:top w:val="nil"/>
            </w:tcBorders>
            <w:shd w:val="clear" w:color="auto" w:fill="0064A4"/>
          </w:tcPr>
          <w:p w14:paraId="19A7A807" w14:textId="77777777" w:rsidR="00141B97" w:rsidRDefault="00141B97">
            <w:pPr>
              <w:pStyle w:val="TableParagraph"/>
              <w:spacing w:before="5"/>
              <w:rPr>
                <w:sz w:val="16"/>
              </w:rPr>
            </w:pPr>
          </w:p>
          <w:p w14:paraId="4FE5E41E" w14:textId="77777777" w:rsidR="00141B97" w:rsidRDefault="00911D63">
            <w:pPr>
              <w:pStyle w:val="TableParagraph"/>
              <w:ind w:left="417"/>
              <w:rPr>
                <w:sz w:val="18"/>
              </w:rPr>
            </w:pPr>
            <w:r>
              <w:rPr>
                <w:color w:val="FFFFFF"/>
                <w:spacing w:val="-2"/>
                <w:sz w:val="18"/>
              </w:rPr>
              <w:t>2018‐19</w:t>
            </w:r>
          </w:p>
        </w:tc>
        <w:tc>
          <w:tcPr>
            <w:tcW w:w="1460" w:type="dxa"/>
            <w:gridSpan w:val="2"/>
            <w:tcBorders>
              <w:top w:val="nil"/>
            </w:tcBorders>
            <w:shd w:val="clear" w:color="auto" w:fill="0064A4"/>
          </w:tcPr>
          <w:p w14:paraId="416D28FE" w14:textId="77777777" w:rsidR="00141B97" w:rsidRDefault="00141B97">
            <w:pPr>
              <w:pStyle w:val="TableParagraph"/>
              <w:spacing w:before="5"/>
              <w:rPr>
                <w:sz w:val="16"/>
              </w:rPr>
            </w:pPr>
          </w:p>
          <w:p w14:paraId="13CA66CD" w14:textId="77777777" w:rsidR="00141B97" w:rsidRDefault="00911D63">
            <w:pPr>
              <w:pStyle w:val="TableParagraph"/>
              <w:ind w:left="420"/>
              <w:rPr>
                <w:sz w:val="18"/>
              </w:rPr>
            </w:pPr>
            <w:r>
              <w:rPr>
                <w:color w:val="FFFFFF"/>
                <w:spacing w:val="-2"/>
                <w:sz w:val="18"/>
              </w:rPr>
              <w:t>2019‐20</w:t>
            </w:r>
          </w:p>
        </w:tc>
        <w:tc>
          <w:tcPr>
            <w:tcW w:w="1461" w:type="dxa"/>
            <w:gridSpan w:val="2"/>
            <w:tcBorders>
              <w:top w:val="nil"/>
            </w:tcBorders>
            <w:shd w:val="clear" w:color="auto" w:fill="0064A4"/>
          </w:tcPr>
          <w:p w14:paraId="56D687BC" w14:textId="77777777" w:rsidR="00141B97" w:rsidRDefault="00141B97">
            <w:pPr>
              <w:pStyle w:val="TableParagraph"/>
              <w:spacing w:before="5"/>
              <w:rPr>
                <w:sz w:val="16"/>
              </w:rPr>
            </w:pPr>
          </w:p>
          <w:p w14:paraId="7F221926" w14:textId="77777777" w:rsidR="00141B97" w:rsidRDefault="00911D63">
            <w:pPr>
              <w:pStyle w:val="TableParagraph"/>
              <w:ind w:left="421"/>
              <w:rPr>
                <w:sz w:val="18"/>
              </w:rPr>
            </w:pPr>
            <w:r>
              <w:rPr>
                <w:color w:val="FFFFFF"/>
                <w:spacing w:val="-2"/>
                <w:sz w:val="18"/>
              </w:rPr>
              <w:t>2020‐21</w:t>
            </w:r>
          </w:p>
        </w:tc>
        <w:tc>
          <w:tcPr>
            <w:tcW w:w="1460" w:type="dxa"/>
            <w:gridSpan w:val="2"/>
            <w:tcBorders>
              <w:top w:val="nil"/>
            </w:tcBorders>
            <w:shd w:val="clear" w:color="auto" w:fill="0064A4"/>
          </w:tcPr>
          <w:p w14:paraId="5A2BCF8C" w14:textId="77777777" w:rsidR="00141B97" w:rsidRDefault="00141B97">
            <w:pPr>
              <w:pStyle w:val="TableParagraph"/>
              <w:spacing w:before="5"/>
              <w:rPr>
                <w:sz w:val="16"/>
              </w:rPr>
            </w:pPr>
          </w:p>
          <w:p w14:paraId="5DC61ABB" w14:textId="77777777" w:rsidR="00141B97" w:rsidRDefault="00911D63">
            <w:pPr>
              <w:pStyle w:val="TableParagraph"/>
              <w:ind w:left="422"/>
              <w:rPr>
                <w:sz w:val="18"/>
              </w:rPr>
            </w:pPr>
            <w:r>
              <w:rPr>
                <w:color w:val="FFFFFF"/>
                <w:spacing w:val="-2"/>
                <w:sz w:val="18"/>
              </w:rPr>
              <w:t>2021‐22</w:t>
            </w:r>
          </w:p>
        </w:tc>
        <w:tc>
          <w:tcPr>
            <w:tcW w:w="1460" w:type="dxa"/>
            <w:gridSpan w:val="2"/>
            <w:tcBorders>
              <w:top w:val="nil"/>
            </w:tcBorders>
            <w:shd w:val="clear" w:color="auto" w:fill="0064A4"/>
          </w:tcPr>
          <w:p w14:paraId="13FC4EDA" w14:textId="77777777" w:rsidR="00141B97" w:rsidRDefault="00911D63">
            <w:pPr>
              <w:pStyle w:val="TableParagraph"/>
              <w:spacing w:line="280" w:lineRule="atLeast"/>
              <w:ind w:left="529" w:hanging="327"/>
              <w:rPr>
                <w:sz w:val="18"/>
              </w:rPr>
            </w:pPr>
            <w:r>
              <w:rPr>
                <w:color w:val="FFFFFF"/>
                <w:sz w:val="18"/>
              </w:rPr>
              <w:t>Period</w:t>
            </w:r>
            <w:r>
              <w:rPr>
                <w:color w:val="FFFFFF"/>
                <w:spacing w:val="-7"/>
                <w:sz w:val="18"/>
              </w:rPr>
              <w:t xml:space="preserve"> </w:t>
            </w:r>
            <w:r>
              <w:rPr>
                <w:color w:val="FFFFFF"/>
                <w:sz w:val="18"/>
              </w:rPr>
              <w:t>to</w:t>
            </w:r>
            <w:r>
              <w:rPr>
                <w:color w:val="FFFFFF"/>
                <w:spacing w:val="-8"/>
                <w:sz w:val="18"/>
              </w:rPr>
              <w:t xml:space="preserve"> </w:t>
            </w:r>
            <w:r>
              <w:rPr>
                <w:color w:val="FFFFFF"/>
                <w:sz w:val="18"/>
              </w:rPr>
              <w:t xml:space="preserve">Date </w:t>
            </w:r>
            <w:r>
              <w:rPr>
                <w:color w:val="FFFFFF"/>
                <w:spacing w:val="-2"/>
                <w:sz w:val="18"/>
              </w:rPr>
              <w:t>Table</w:t>
            </w:r>
          </w:p>
        </w:tc>
        <w:tc>
          <w:tcPr>
            <w:tcW w:w="1150" w:type="dxa"/>
            <w:gridSpan w:val="2"/>
            <w:tcBorders>
              <w:top w:val="nil"/>
              <w:right w:val="nil"/>
            </w:tcBorders>
            <w:shd w:val="clear" w:color="auto" w:fill="0064A4"/>
          </w:tcPr>
          <w:p w14:paraId="5169CFA5" w14:textId="77777777" w:rsidR="00141B97" w:rsidRDefault="00141B97">
            <w:pPr>
              <w:pStyle w:val="TableParagraph"/>
              <w:spacing w:before="5"/>
              <w:rPr>
                <w:sz w:val="16"/>
              </w:rPr>
            </w:pPr>
          </w:p>
          <w:p w14:paraId="634FCD99" w14:textId="77777777" w:rsidR="00141B97" w:rsidRDefault="00911D63">
            <w:pPr>
              <w:pStyle w:val="TableParagraph"/>
              <w:ind w:left="263"/>
              <w:rPr>
                <w:sz w:val="18"/>
              </w:rPr>
            </w:pPr>
            <w:r>
              <w:rPr>
                <w:color w:val="FFFFFF"/>
                <w:spacing w:val="-2"/>
                <w:sz w:val="18"/>
              </w:rPr>
              <w:t>Variance</w:t>
            </w:r>
          </w:p>
        </w:tc>
      </w:tr>
      <w:tr w:rsidR="00141B97" w14:paraId="5C7726A2" w14:textId="77777777">
        <w:trPr>
          <w:trHeight w:val="400"/>
          <w:tblCellSpacing w:w="9" w:type="dxa"/>
        </w:trPr>
        <w:tc>
          <w:tcPr>
            <w:tcW w:w="1280" w:type="dxa"/>
            <w:tcBorders>
              <w:left w:val="nil"/>
            </w:tcBorders>
            <w:shd w:val="clear" w:color="auto" w:fill="0064A4"/>
          </w:tcPr>
          <w:p w14:paraId="1F78EBF5" w14:textId="77777777" w:rsidR="00141B97" w:rsidRDefault="00911D63">
            <w:pPr>
              <w:pStyle w:val="TableParagraph"/>
              <w:spacing w:before="61"/>
              <w:ind w:left="415" w:right="423"/>
              <w:jc w:val="center"/>
              <w:rPr>
                <w:sz w:val="18"/>
              </w:rPr>
            </w:pPr>
            <w:r>
              <w:rPr>
                <w:color w:val="FFFFFF"/>
                <w:spacing w:val="-5"/>
                <w:sz w:val="18"/>
              </w:rPr>
              <w:t>ML</w:t>
            </w:r>
            <w:r>
              <w:rPr>
                <w:color w:val="FFFFFF"/>
                <w:spacing w:val="-21"/>
                <w:sz w:val="18"/>
              </w:rPr>
              <w:t xml:space="preserve"> </w:t>
            </w:r>
            <w:r>
              <w:rPr>
                <w:color w:val="FFFFFF"/>
                <w:spacing w:val="-7"/>
                <w:sz w:val="18"/>
              </w:rPr>
              <w:t>pa</w:t>
            </w:r>
          </w:p>
        </w:tc>
        <w:tc>
          <w:tcPr>
            <w:tcW w:w="729" w:type="dxa"/>
            <w:shd w:val="clear" w:color="auto" w:fill="0064A4"/>
          </w:tcPr>
          <w:p w14:paraId="7D00DFF4" w14:textId="77777777" w:rsidR="00141B97" w:rsidRDefault="00911D63">
            <w:pPr>
              <w:pStyle w:val="TableParagraph"/>
              <w:spacing w:before="61"/>
              <w:ind w:left="92" w:right="92"/>
              <w:jc w:val="center"/>
              <w:rPr>
                <w:sz w:val="18"/>
              </w:rPr>
            </w:pPr>
            <w:r>
              <w:rPr>
                <w:color w:val="FFFFFF"/>
                <w:spacing w:val="-2"/>
                <w:sz w:val="18"/>
              </w:rPr>
              <w:t>Budget</w:t>
            </w:r>
          </w:p>
        </w:tc>
        <w:tc>
          <w:tcPr>
            <w:tcW w:w="731" w:type="dxa"/>
            <w:shd w:val="clear" w:color="auto" w:fill="0064A4"/>
          </w:tcPr>
          <w:p w14:paraId="259C9E8F" w14:textId="77777777" w:rsidR="00141B97" w:rsidRDefault="00911D63">
            <w:pPr>
              <w:pStyle w:val="TableParagraph"/>
              <w:spacing w:before="61"/>
              <w:ind w:right="153"/>
              <w:jc w:val="right"/>
              <w:rPr>
                <w:sz w:val="18"/>
              </w:rPr>
            </w:pPr>
            <w:r>
              <w:rPr>
                <w:color w:val="FFFFFF"/>
                <w:spacing w:val="-2"/>
                <w:sz w:val="18"/>
              </w:rPr>
              <w:t>Actual</w:t>
            </w:r>
          </w:p>
        </w:tc>
        <w:tc>
          <w:tcPr>
            <w:tcW w:w="729" w:type="dxa"/>
            <w:shd w:val="clear" w:color="auto" w:fill="0064A4"/>
          </w:tcPr>
          <w:p w14:paraId="047BA4CD" w14:textId="77777777" w:rsidR="00141B97" w:rsidRDefault="00911D63">
            <w:pPr>
              <w:pStyle w:val="TableParagraph"/>
              <w:spacing w:before="61"/>
              <w:ind w:right="120"/>
              <w:jc w:val="right"/>
              <w:rPr>
                <w:sz w:val="18"/>
              </w:rPr>
            </w:pPr>
            <w:r>
              <w:rPr>
                <w:color w:val="FFFFFF"/>
                <w:spacing w:val="-2"/>
                <w:sz w:val="18"/>
              </w:rPr>
              <w:t>Budget</w:t>
            </w:r>
          </w:p>
        </w:tc>
        <w:tc>
          <w:tcPr>
            <w:tcW w:w="731" w:type="dxa"/>
            <w:shd w:val="clear" w:color="auto" w:fill="0064A4"/>
          </w:tcPr>
          <w:p w14:paraId="166DFF94" w14:textId="77777777" w:rsidR="00141B97" w:rsidRDefault="00911D63">
            <w:pPr>
              <w:pStyle w:val="TableParagraph"/>
              <w:spacing w:before="61"/>
              <w:ind w:left="160"/>
              <w:rPr>
                <w:sz w:val="18"/>
              </w:rPr>
            </w:pPr>
            <w:r>
              <w:rPr>
                <w:color w:val="FFFFFF"/>
                <w:spacing w:val="-2"/>
                <w:sz w:val="18"/>
              </w:rPr>
              <w:t>Actual</w:t>
            </w:r>
          </w:p>
        </w:tc>
        <w:tc>
          <w:tcPr>
            <w:tcW w:w="730" w:type="dxa"/>
            <w:shd w:val="clear" w:color="auto" w:fill="0064A4"/>
          </w:tcPr>
          <w:p w14:paraId="14F27F99" w14:textId="77777777" w:rsidR="00141B97" w:rsidRDefault="00911D63">
            <w:pPr>
              <w:pStyle w:val="TableParagraph"/>
              <w:spacing w:before="61"/>
              <w:ind w:right="120"/>
              <w:jc w:val="right"/>
              <w:rPr>
                <w:sz w:val="18"/>
              </w:rPr>
            </w:pPr>
            <w:r>
              <w:rPr>
                <w:color w:val="FFFFFF"/>
                <w:spacing w:val="-2"/>
                <w:sz w:val="18"/>
              </w:rPr>
              <w:t>Budget</w:t>
            </w:r>
          </w:p>
        </w:tc>
        <w:tc>
          <w:tcPr>
            <w:tcW w:w="731" w:type="dxa"/>
            <w:shd w:val="clear" w:color="auto" w:fill="0064A4"/>
          </w:tcPr>
          <w:p w14:paraId="3615D837" w14:textId="77777777" w:rsidR="00141B97" w:rsidRDefault="00911D63">
            <w:pPr>
              <w:pStyle w:val="TableParagraph"/>
              <w:spacing w:before="61"/>
              <w:ind w:left="96" w:right="89"/>
              <w:jc w:val="center"/>
              <w:rPr>
                <w:sz w:val="18"/>
              </w:rPr>
            </w:pPr>
            <w:r>
              <w:rPr>
                <w:color w:val="FFFFFF"/>
                <w:spacing w:val="-2"/>
                <w:sz w:val="18"/>
              </w:rPr>
              <w:t>Actual</w:t>
            </w:r>
          </w:p>
        </w:tc>
        <w:tc>
          <w:tcPr>
            <w:tcW w:w="729" w:type="dxa"/>
            <w:shd w:val="clear" w:color="auto" w:fill="0064A4"/>
          </w:tcPr>
          <w:p w14:paraId="7F148254" w14:textId="77777777" w:rsidR="00141B97" w:rsidRDefault="00911D63">
            <w:pPr>
              <w:pStyle w:val="TableParagraph"/>
              <w:spacing w:before="61"/>
              <w:ind w:right="118"/>
              <w:jc w:val="right"/>
              <w:rPr>
                <w:sz w:val="18"/>
              </w:rPr>
            </w:pPr>
            <w:r>
              <w:rPr>
                <w:color w:val="FFFFFF"/>
                <w:spacing w:val="-2"/>
                <w:sz w:val="18"/>
              </w:rPr>
              <w:t>Budget</w:t>
            </w:r>
          </w:p>
        </w:tc>
        <w:tc>
          <w:tcPr>
            <w:tcW w:w="731" w:type="dxa"/>
            <w:shd w:val="clear" w:color="auto" w:fill="0064A4"/>
          </w:tcPr>
          <w:p w14:paraId="50D8D43D" w14:textId="77777777" w:rsidR="00141B97" w:rsidRDefault="00911D63">
            <w:pPr>
              <w:pStyle w:val="TableParagraph"/>
              <w:spacing w:before="61"/>
              <w:ind w:left="163"/>
              <w:rPr>
                <w:sz w:val="18"/>
              </w:rPr>
            </w:pPr>
            <w:r>
              <w:rPr>
                <w:color w:val="FFFFFF"/>
                <w:spacing w:val="-2"/>
                <w:sz w:val="18"/>
              </w:rPr>
              <w:t>Actual</w:t>
            </w:r>
          </w:p>
        </w:tc>
        <w:tc>
          <w:tcPr>
            <w:tcW w:w="729" w:type="dxa"/>
            <w:shd w:val="clear" w:color="auto" w:fill="0064A4"/>
          </w:tcPr>
          <w:p w14:paraId="29530E97" w14:textId="77777777" w:rsidR="00141B97" w:rsidRDefault="00911D63">
            <w:pPr>
              <w:pStyle w:val="TableParagraph"/>
              <w:spacing w:before="61"/>
              <w:ind w:left="133"/>
              <w:rPr>
                <w:sz w:val="18"/>
              </w:rPr>
            </w:pPr>
            <w:r>
              <w:rPr>
                <w:color w:val="FFFFFF"/>
                <w:spacing w:val="-2"/>
                <w:sz w:val="18"/>
              </w:rPr>
              <w:t>Budget</w:t>
            </w:r>
          </w:p>
        </w:tc>
        <w:tc>
          <w:tcPr>
            <w:tcW w:w="731" w:type="dxa"/>
            <w:shd w:val="clear" w:color="auto" w:fill="0064A4"/>
          </w:tcPr>
          <w:p w14:paraId="726375F1" w14:textId="77777777" w:rsidR="00141B97" w:rsidRDefault="00911D63">
            <w:pPr>
              <w:pStyle w:val="TableParagraph"/>
              <w:spacing w:before="61"/>
              <w:ind w:right="146"/>
              <w:jc w:val="right"/>
              <w:rPr>
                <w:sz w:val="18"/>
              </w:rPr>
            </w:pPr>
            <w:r>
              <w:rPr>
                <w:color w:val="FFFFFF"/>
                <w:spacing w:val="-2"/>
                <w:sz w:val="18"/>
              </w:rPr>
              <w:t>Actual</w:t>
            </w:r>
          </w:p>
        </w:tc>
        <w:tc>
          <w:tcPr>
            <w:tcW w:w="551" w:type="dxa"/>
            <w:shd w:val="clear" w:color="auto" w:fill="0064A4"/>
          </w:tcPr>
          <w:p w14:paraId="6CB09C81" w14:textId="77777777" w:rsidR="00141B97" w:rsidRDefault="00911D63">
            <w:pPr>
              <w:pStyle w:val="TableParagraph"/>
              <w:spacing w:before="61"/>
              <w:ind w:left="104" w:right="86"/>
              <w:jc w:val="center"/>
              <w:rPr>
                <w:sz w:val="18"/>
              </w:rPr>
            </w:pPr>
            <w:r>
              <w:rPr>
                <w:color w:val="FFFFFF"/>
                <w:spacing w:val="-5"/>
                <w:sz w:val="18"/>
              </w:rPr>
              <w:t>ML</w:t>
            </w:r>
          </w:p>
        </w:tc>
        <w:tc>
          <w:tcPr>
            <w:tcW w:w="599" w:type="dxa"/>
            <w:tcBorders>
              <w:right w:val="nil"/>
            </w:tcBorders>
            <w:shd w:val="clear" w:color="auto" w:fill="0064A4"/>
          </w:tcPr>
          <w:p w14:paraId="4E70E7BD" w14:textId="77777777" w:rsidR="00141B97" w:rsidRDefault="00911D63">
            <w:pPr>
              <w:pStyle w:val="TableParagraph"/>
              <w:spacing w:before="61"/>
              <w:ind w:left="37"/>
              <w:jc w:val="center"/>
              <w:rPr>
                <w:sz w:val="18"/>
              </w:rPr>
            </w:pPr>
            <w:r>
              <w:rPr>
                <w:color w:val="FFFFFF"/>
                <w:sz w:val="18"/>
              </w:rPr>
              <w:t>%</w:t>
            </w:r>
          </w:p>
        </w:tc>
      </w:tr>
      <w:tr w:rsidR="00141B97" w14:paraId="0B9D58AD" w14:textId="77777777">
        <w:trPr>
          <w:trHeight w:val="439"/>
          <w:tblCellSpacing w:w="9" w:type="dxa"/>
        </w:trPr>
        <w:tc>
          <w:tcPr>
            <w:tcW w:w="1280" w:type="dxa"/>
            <w:tcBorders>
              <w:left w:val="nil"/>
            </w:tcBorders>
            <w:shd w:val="clear" w:color="auto" w:fill="CCE2ED"/>
          </w:tcPr>
          <w:p w14:paraId="6212010C" w14:textId="77777777" w:rsidR="00141B97" w:rsidRDefault="00911D63">
            <w:pPr>
              <w:pStyle w:val="TableParagraph"/>
              <w:spacing w:line="220" w:lineRule="atLeast"/>
              <w:ind w:left="88" w:right="133"/>
              <w:rPr>
                <w:sz w:val="18"/>
              </w:rPr>
            </w:pPr>
            <w:r>
              <w:rPr>
                <w:spacing w:val="-2"/>
                <w:sz w:val="18"/>
              </w:rPr>
              <w:t>Residential</w:t>
            </w:r>
            <w:r>
              <w:rPr>
                <w:sz w:val="18"/>
              </w:rPr>
              <w:t xml:space="preserve"> </w:t>
            </w:r>
            <w:r>
              <w:rPr>
                <w:spacing w:val="-2"/>
                <w:sz w:val="18"/>
              </w:rPr>
              <w:t>demand</w:t>
            </w:r>
          </w:p>
        </w:tc>
        <w:tc>
          <w:tcPr>
            <w:tcW w:w="729" w:type="dxa"/>
            <w:shd w:val="clear" w:color="auto" w:fill="CCE2ED"/>
          </w:tcPr>
          <w:p w14:paraId="67BF0E49" w14:textId="77777777" w:rsidR="00141B97" w:rsidRDefault="00911D63">
            <w:pPr>
              <w:pStyle w:val="TableParagraph"/>
              <w:spacing w:before="56"/>
              <w:ind w:left="92" w:right="80"/>
              <w:jc w:val="center"/>
              <w:rPr>
                <w:sz w:val="18"/>
              </w:rPr>
            </w:pPr>
            <w:r>
              <w:rPr>
                <w:spacing w:val="-2"/>
                <w:sz w:val="18"/>
              </w:rPr>
              <w:t>14,680</w:t>
            </w:r>
          </w:p>
        </w:tc>
        <w:tc>
          <w:tcPr>
            <w:tcW w:w="731" w:type="dxa"/>
            <w:shd w:val="clear" w:color="auto" w:fill="CCE2ED"/>
          </w:tcPr>
          <w:p w14:paraId="2793FA10" w14:textId="77777777" w:rsidR="00141B97" w:rsidRDefault="00911D63">
            <w:pPr>
              <w:pStyle w:val="TableParagraph"/>
              <w:spacing w:before="56"/>
              <w:ind w:right="93"/>
              <w:jc w:val="right"/>
              <w:rPr>
                <w:sz w:val="18"/>
              </w:rPr>
            </w:pPr>
            <w:r>
              <w:rPr>
                <w:spacing w:val="-2"/>
                <w:sz w:val="18"/>
              </w:rPr>
              <w:t>15,637</w:t>
            </w:r>
          </w:p>
        </w:tc>
        <w:tc>
          <w:tcPr>
            <w:tcW w:w="729" w:type="dxa"/>
            <w:shd w:val="clear" w:color="auto" w:fill="CCE2ED"/>
          </w:tcPr>
          <w:p w14:paraId="72ECEEBB" w14:textId="77777777" w:rsidR="00141B97" w:rsidRDefault="00911D63">
            <w:pPr>
              <w:pStyle w:val="TableParagraph"/>
              <w:spacing w:before="56"/>
              <w:ind w:right="93"/>
              <w:jc w:val="right"/>
              <w:rPr>
                <w:sz w:val="18"/>
              </w:rPr>
            </w:pPr>
            <w:r>
              <w:rPr>
                <w:spacing w:val="-2"/>
                <w:sz w:val="18"/>
              </w:rPr>
              <w:t>14,811</w:t>
            </w:r>
          </w:p>
        </w:tc>
        <w:tc>
          <w:tcPr>
            <w:tcW w:w="731" w:type="dxa"/>
            <w:shd w:val="clear" w:color="auto" w:fill="CCE2ED"/>
          </w:tcPr>
          <w:p w14:paraId="068F819C" w14:textId="77777777" w:rsidR="00141B97" w:rsidRDefault="00911D63">
            <w:pPr>
              <w:pStyle w:val="TableParagraph"/>
              <w:spacing w:before="56"/>
              <w:ind w:left="116"/>
              <w:rPr>
                <w:sz w:val="18"/>
              </w:rPr>
            </w:pPr>
            <w:r>
              <w:rPr>
                <w:spacing w:val="-2"/>
                <w:sz w:val="18"/>
              </w:rPr>
              <w:t>14,879</w:t>
            </w:r>
          </w:p>
        </w:tc>
        <w:tc>
          <w:tcPr>
            <w:tcW w:w="730" w:type="dxa"/>
            <w:shd w:val="clear" w:color="auto" w:fill="CCE2ED"/>
          </w:tcPr>
          <w:p w14:paraId="4A6BF2F2" w14:textId="77777777" w:rsidR="00141B97" w:rsidRDefault="00911D63">
            <w:pPr>
              <w:pStyle w:val="TableParagraph"/>
              <w:spacing w:before="56"/>
              <w:ind w:right="92"/>
              <w:jc w:val="right"/>
              <w:rPr>
                <w:sz w:val="18"/>
              </w:rPr>
            </w:pPr>
            <w:r>
              <w:rPr>
                <w:spacing w:val="-2"/>
                <w:sz w:val="18"/>
              </w:rPr>
              <w:t>14,944</w:t>
            </w:r>
          </w:p>
        </w:tc>
        <w:tc>
          <w:tcPr>
            <w:tcW w:w="731" w:type="dxa"/>
            <w:shd w:val="clear" w:color="auto" w:fill="CCE2ED"/>
          </w:tcPr>
          <w:p w14:paraId="2A540D60" w14:textId="77777777" w:rsidR="00141B97" w:rsidRDefault="00911D63">
            <w:pPr>
              <w:pStyle w:val="TableParagraph"/>
              <w:spacing w:before="56"/>
              <w:ind w:left="112" w:right="89"/>
              <w:jc w:val="center"/>
              <w:rPr>
                <w:sz w:val="18"/>
              </w:rPr>
            </w:pPr>
            <w:r>
              <w:rPr>
                <w:spacing w:val="-2"/>
                <w:sz w:val="18"/>
              </w:rPr>
              <w:t>14,713</w:t>
            </w:r>
          </w:p>
        </w:tc>
        <w:tc>
          <w:tcPr>
            <w:tcW w:w="729" w:type="dxa"/>
            <w:shd w:val="clear" w:color="auto" w:fill="CCE2ED"/>
          </w:tcPr>
          <w:p w14:paraId="7591DF15" w14:textId="77777777" w:rsidR="00141B97" w:rsidRDefault="00911D63">
            <w:pPr>
              <w:pStyle w:val="TableParagraph"/>
              <w:spacing w:before="56"/>
              <w:ind w:right="91"/>
              <w:jc w:val="right"/>
              <w:rPr>
                <w:sz w:val="18"/>
              </w:rPr>
            </w:pPr>
            <w:r>
              <w:rPr>
                <w:spacing w:val="-2"/>
                <w:sz w:val="18"/>
              </w:rPr>
              <w:t>15,066</w:t>
            </w:r>
          </w:p>
        </w:tc>
        <w:tc>
          <w:tcPr>
            <w:tcW w:w="731" w:type="dxa"/>
            <w:shd w:val="clear" w:color="auto" w:fill="CCE2ED"/>
          </w:tcPr>
          <w:p w14:paraId="78282635" w14:textId="77777777" w:rsidR="00141B97" w:rsidRDefault="00911D63">
            <w:pPr>
              <w:pStyle w:val="TableParagraph"/>
              <w:spacing w:before="56"/>
              <w:ind w:left="119"/>
              <w:rPr>
                <w:sz w:val="18"/>
              </w:rPr>
            </w:pPr>
            <w:r>
              <w:rPr>
                <w:spacing w:val="-2"/>
                <w:sz w:val="18"/>
              </w:rPr>
              <w:t>14,384</w:t>
            </w:r>
          </w:p>
        </w:tc>
        <w:tc>
          <w:tcPr>
            <w:tcW w:w="729" w:type="dxa"/>
            <w:shd w:val="clear" w:color="auto" w:fill="CCE2ED"/>
          </w:tcPr>
          <w:p w14:paraId="374EA994" w14:textId="77777777" w:rsidR="00141B97" w:rsidRDefault="00911D63">
            <w:pPr>
              <w:pStyle w:val="TableParagraph"/>
              <w:spacing w:before="56"/>
              <w:ind w:left="118"/>
              <w:rPr>
                <w:sz w:val="18"/>
              </w:rPr>
            </w:pPr>
            <w:r>
              <w:rPr>
                <w:spacing w:val="-2"/>
                <w:sz w:val="18"/>
              </w:rPr>
              <w:t>59,501</w:t>
            </w:r>
          </w:p>
        </w:tc>
        <w:tc>
          <w:tcPr>
            <w:tcW w:w="731" w:type="dxa"/>
            <w:shd w:val="clear" w:color="auto" w:fill="CCE2ED"/>
          </w:tcPr>
          <w:p w14:paraId="5FCC6303" w14:textId="77777777" w:rsidR="00141B97" w:rsidRDefault="00911D63">
            <w:pPr>
              <w:pStyle w:val="TableParagraph"/>
              <w:spacing w:before="56"/>
              <w:ind w:right="87"/>
              <w:jc w:val="right"/>
              <w:rPr>
                <w:sz w:val="18"/>
              </w:rPr>
            </w:pPr>
            <w:r>
              <w:rPr>
                <w:spacing w:val="-2"/>
                <w:sz w:val="18"/>
              </w:rPr>
              <w:t>59,613</w:t>
            </w:r>
          </w:p>
        </w:tc>
        <w:tc>
          <w:tcPr>
            <w:tcW w:w="551" w:type="dxa"/>
            <w:shd w:val="clear" w:color="auto" w:fill="CCE2ED"/>
          </w:tcPr>
          <w:p w14:paraId="3EFF5889" w14:textId="77777777" w:rsidR="00141B97" w:rsidRDefault="00911D63">
            <w:pPr>
              <w:pStyle w:val="TableParagraph"/>
              <w:spacing w:before="56"/>
              <w:ind w:left="155" w:right="75"/>
              <w:jc w:val="center"/>
              <w:rPr>
                <w:sz w:val="18"/>
              </w:rPr>
            </w:pPr>
            <w:r>
              <w:rPr>
                <w:spacing w:val="-5"/>
                <w:sz w:val="18"/>
              </w:rPr>
              <w:t>112</w:t>
            </w:r>
          </w:p>
        </w:tc>
        <w:tc>
          <w:tcPr>
            <w:tcW w:w="599" w:type="dxa"/>
            <w:tcBorders>
              <w:right w:val="nil"/>
            </w:tcBorders>
            <w:shd w:val="clear" w:color="auto" w:fill="CCE2ED"/>
          </w:tcPr>
          <w:p w14:paraId="64F44F91" w14:textId="77777777" w:rsidR="00141B97" w:rsidRDefault="00911D63">
            <w:pPr>
              <w:pStyle w:val="TableParagraph"/>
              <w:spacing w:before="56"/>
              <w:ind w:left="144" w:right="77"/>
              <w:jc w:val="center"/>
              <w:rPr>
                <w:sz w:val="18"/>
              </w:rPr>
            </w:pPr>
            <w:r>
              <w:rPr>
                <w:spacing w:val="-4"/>
                <w:sz w:val="18"/>
              </w:rPr>
              <w:t>0.2%</w:t>
            </w:r>
          </w:p>
        </w:tc>
      </w:tr>
      <w:tr w:rsidR="00141B97" w14:paraId="53C510CD" w14:textId="77777777">
        <w:trPr>
          <w:trHeight w:val="659"/>
          <w:tblCellSpacing w:w="9" w:type="dxa"/>
        </w:trPr>
        <w:tc>
          <w:tcPr>
            <w:tcW w:w="1280" w:type="dxa"/>
            <w:tcBorders>
              <w:left w:val="nil"/>
            </w:tcBorders>
            <w:shd w:val="clear" w:color="auto" w:fill="CCE2ED"/>
          </w:tcPr>
          <w:p w14:paraId="2E5FA703" w14:textId="77777777" w:rsidR="00141B97" w:rsidRDefault="00911D63">
            <w:pPr>
              <w:pStyle w:val="TableParagraph"/>
              <w:spacing w:line="220" w:lineRule="atLeast"/>
              <w:ind w:left="88" w:right="133"/>
              <w:rPr>
                <w:sz w:val="18"/>
              </w:rPr>
            </w:pPr>
            <w:r>
              <w:rPr>
                <w:spacing w:val="-4"/>
                <w:sz w:val="18"/>
              </w:rPr>
              <w:t>Non‐</w:t>
            </w:r>
            <w:r>
              <w:rPr>
                <w:sz w:val="18"/>
              </w:rPr>
              <w:t xml:space="preserve"> </w:t>
            </w:r>
            <w:r>
              <w:rPr>
                <w:spacing w:val="-2"/>
                <w:sz w:val="18"/>
              </w:rPr>
              <w:t>residential</w:t>
            </w:r>
            <w:r>
              <w:rPr>
                <w:sz w:val="18"/>
              </w:rPr>
              <w:t xml:space="preserve"> </w:t>
            </w:r>
            <w:r>
              <w:rPr>
                <w:spacing w:val="-2"/>
                <w:sz w:val="18"/>
              </w:rPr>
              <w:t>demand</w:t>
            </w:r>
          </w:p>
        </w:tc>
        <w:tc>
          <w:tcPr>
            <w:tcW w:w="729" w:type="dxa"/>
            <w:shd w:val="clear" w:color="auto" w:fill="CCE2ED"/>
          </w:tcPr>
          <w:p w14:paraId="2696E07A" w14:textId="77777777" w:rsidR="00141B97" w:rsidRDefault="00141B97">
            <w:pPr>
              <w:pStyle w:val="TableParagraph"/>
              <w:spacing w:before="6"/>
              <w:rPr>
                <w:sz w:val="13"/>
              </w:rPr>
            </w:pPr>
          </w:p>
          <w:p w14:paraId="052E7F9E" w14:textId="77777777" w:rsidR="00141B97" w:rsidRDefault="00911D63">
            <w:pPr>
              <w:pStyle w:val="TableParagraph"/>
              <w:ind w:left="195" w:right="92"/>
              <w:jc w:val="center"/>
              <w:rPr>
                <w:sz w:val="18"/>
              </w:rPr>
            </w:pPr>
            <w:r>
              <w:rPr>
                <w:spacing w:val="-2"/>
                <w:sz w:val="18"/>
              </w:rPr>
              <w:t>4,299</w:t>
            </w:r>
          </w:p>
        </w:tc>
        <w:tc>
          <w:tcPr>
            <w:tcW w:w="731" w:type="dxa"/>
            <w:shd w:val="clear" w:color="auto" w:fill="CCE2ED"/>
          </w:tcPr>
          <w:p w14:paraId="63E274F6" w14:textId="77777777" w:rsidR="00141B97" w:rsidRDefault="00141B97">
            <w:pPr>
              <w:pStyle w:val="TableParagraph"/>
              <w:spacing w:before="6"/>
              <w:rPr>
                <w:sz w:val="13"/>
              </w:rPr>
            </w:pPr>
          </w:p>
          <w:p w14:paraId="01ADF3C9" w14:textId="77777777" w:rsidR="00141B97" w:rsidRDefault="00911D63">
            <w:pPr>
              <w:pStyle w:val="TableParagraph"/>
              <w:ind w:right="93"/>
              <w:jc w:val="right"/>
              <w:rPr>
                <w:sz w:val="18"/>
              </w:rPr>
            </w:pPr>
            <w:r>
              <w:rPr>
                <w:spacing w:val="-2"/>
                <w:sz w:val="18"/>
              </w:rPr>
              <w:t>4,861</w:t>
            </w:r>
          </w:p>
        </w:tc>
        <w:tc>
          <w:tcPr>
            <w:tcW w:w="729" w:type="dxa"/>
            <w:shd w:val="clear" w:color="auto" w:fill="CCE2ED"/>
          </w:tcPr>
          <w:p w14:paraId="096E2783" w14:textId="77777777" w:rsidR="00141B97" w:rsidRDefault="00141B97">
            <w:pPr>
              <w:pStyle w:val="TableParagraph"/>
              <w:spacing w:before="6"/>
              <w:rPr>
                <w:sz w:val="13"/>
              </w:rPr>
            </w:pPr>
          </w:p>
          <w:p w14:paraId="61EE76A0" w14:textId="77777777" w:rsidR="00141B97" w:rsidRDefault="00911D63">
            <w:pPr>
              <w:pStyle w:val="TableParagraph"/>
              <w:ind w:right="93"/>
              <w:jc w:val="right"/>
              <w:rPr>
                <w:sz w:val="18"/>
              </w:rPr>
            </w:pPr>
            <w:r>
              <w:rPr>
                <w:spacing w:val="-2"/>
                <w:sz w:val="18"/>
              </w:rPr>
              <w:t>4,346</w:t>
            </w:r>
          </w:p>
        </w:tc>
        <w:tc>
          <w:tcPr>
            <w:tcW w:w="731" w:type="dxa"/>
            <w:shd w:val="clear" w:color="auto" w:fill="CCE2ED"/>
          </w:tcPr>
          <w:p w14:paraId="1449C524" w14:textId="77777777" w:rsidR="00141B97" w:rsidRDefault="00141B97">
            <w:pPr>
              <w:pStyle w:val="TableParagraph"/>
              <w:spacing w:before="6"/>
              <w:rPr>
                <w:sz w:val="13"/>
              </w:rPr>
            </w:pPr>
          </w:p>
          <w:p w14:paraId="6D1CA548" w14:textId="77777777" w:rsidR="00141B97" w:rsidRDefault="00911D63">
            <w:pPr>
              <w:pStyle w:val="TableParagraph"/>
              <w:ind w:right="92"/>
              <w:jc w:val="right"/>
              <w:rPr>
                <w:sz w:val="18"/>
              </w:rPr>
            </w:pPr>
            <w:r>
              <w:rPr>
                <w:spacing w:val="-2"/>
                <w:sz w:val="18"/>
              </w:rPr>
              <w:t>4,571</w:t>
            </w:r>
          </w:p>
        </w:tc>
        <w:tc>
          <w:tcPr>
            <w:tcW w:w="730" w:type="dxa"/>
            <w:shd w:val="clear" w:color="auto" w:fill="CCE2ED"/>
          </w:tcPr>
          <w:p w14:paraId="7EFDA5A0" w14:textId="77777777" w:rsidR="00141B97" w:rsidRDefault="00141B97">
            <w:pPr>
              <w:pStyle w:val="TableParagraph"/>
              <w:spacing w:before="6"/>
              <w:rPr>
                <w:sz w:val="13"/>
              </w:rPr>
            </w:pPr>
          </w:p>
          <w:p w14:paraId="63C7EFAC" w14:textId="77777777" w:rsidR="00141B97" w:rsidRDefault="00911D63">
            <w:pPr>
              <w:pStyle w:val="TableParagraph"/>
              <w:ind w:right="92"/>
              <w:jc w:val="right"/>
              <w:rPr>
                <w:sz w:val="18"/>
              </w:rPr>
            </w:pPr>
            <w:r>
              <w:rPr>
                <w:spacing w:val="-2"/>
                <w:sz w:val="18"/>
              </w:rPr>
              <w:t>4,394</w:t>
            </w:r>
          </w:p>
        </w:tc>
        <w:tc>
          <w:tcPr>
            <w:tcW w:w="731" w:type="dxa"/>
            <w:shd w:val="clear" w:color="auto" w:fill="CCE2ED"/>
          </w:tcPr>
          <w:p w14:paraId="08427FC4" w14:textId="77777777" w:rsidR="00141B97" w:rsidRDefault="00141B97">
            <w:pPr>
              <w:pStyle w:val="TableParagraph"/>
              <w:spacing w:before="6"/>
              <w:rPr>
                <w:sz w:val="13"/>
              </w:rPr>
            </w:pPr>
          </w:p>
          <w:p w14:paraId="7A2C335A" w14:textId="77777777" w:rsidR="00141B97" w:rsidRDefault="00911D63">
            <w:pPr>
              <w:pStyle w:val="TableParagraph"/>
              <w:ind w:left="203" w:right="89"/>
              <w:jc w:val="center"/>
              <w:rPr>
                <w:sz w:val="18"/>
              </w:rPr>
            </w:pPr>
            <w:r>
              <w:rPr>
                <w:spacing w:val="-2"/>
                <w:sz w:val="18"/>
              </w:rPr>
              <w:t>4,398</w:t>
            </w:r>
          </w:p>
        </w:tc>
        <w:tc>
          <w:tcPr>
            <w:tcW w:w="729" w:type="dxa"/>
            <w:shd w:val="clear" w:color="auto" w:fill="CCE2ED"/>
          </w:tcPr>
          <w:p w14:paraId="0CBB09E5" w14:textId="77777777" w:rsidR="00141B97" w:rsidRDefault="00141B97">
            <w:pPr>
              <w:pStyle w:val="TableParagraph"/>
              <w:spacing w:before="6"/>
              <w:rPr>
                <w:sz w:val="13"/>
              </w:rPr>
            </w:pPr>
          </w:p>
          <w:p w14:paraId="7E7755F4" w14:textId="77777777" w:rsidR="00141B97" w:rsidRDefault="00911D63">
            <w:pPr>
              <w:pStyle w:val="TableParagraph"/>
              <w:ind w:right="91"/>
              <w:jc w:val="right"/>
              <w:rPr>
                <w:sz w:val="18"/>
              </w:rPr>
            </w:pPr>
            <w:r>
              <w:rPr>
                <w:spacing w:val="-2"/>
                <w:sz w:val="18"/>
              </w:rPr>
              <w:t>4,438</w:t>
            </w:r>
          </w:p>
        </w:tc>
        <w:tc>
          <w:tcPr>
            <w:tcW w:w="731" w:type="dxa"/>
            <w:shd w:val="clear" w:color="auto" w:fill="CCE2ED"/>
          </w:tcPr>
          <w:p w14:paraId="43296195" w14:textId="77777777" w:rsidR="00141B97" w:rsidRDefault="00141B97">
            <w:pPr>
              <w:pStyle w:val="TableParagraph"/>
              <w:spacing w:before="6"/>
              <w:rPr>
                <w:sz w:val="13"/>
              </w:rPr>
            </w:pPr>
          </w:p>
          <w:p w14:paraId="2591795B" w14:textId="77777777" w:rsidR="00141B97" w:rsidRDefault="00911D63">
            <w:pPr>
              <w:pStyle w:val="TableParagraph"/>
              <w:ind w:right="88"/>
              <w:jc w:val="right"/>
              <w:rPr>
                <w:sz w:val="18"/>
              </w:rPr>
            </w:pPr>
            <w:r>
              <w:rPr>
                <w:spacing w:val="-2"/>
                <w:sz w:val="18"/>
              </w:rPr>
              <w:t>4,351</w:t>
            </w:r>
          </w:p>
        </w:tc>
        <w:tc>
          <w:tcPr>
            <w:tcW w:w="729" w:type="dxa"/>
            <w:shd w:val="clear" w:color="auto" w:fill="CCE2ED"/>
          </w:tcPr>
          <w:p w14:paraId="58E964EF" w14:textId="77777777" w:rsidR="00141B97" w:rsidRDefault="00141B97">
            <w:pPr>
              <w:pStyle w:val="TableParagraph"/>
              <w:spacing w:before="6"/>
              <w:rPr>
                <w:sz w:val="13"/>
              </w:rPr>
            </w:pPr>
          </w:p>
          <w:p w14:paraId="0CD20C9A" w14:textId="77777777" w:rsidR="00141B97" w:rsidRDefault="00911D63">
            <w:pPr>
              <w:pStyle w:val="TableParagraph"/>
              <w:ind w:left="118"/>
              <w:rPr>
                <w:sz w:val="18"/>
              </w:rPr>
            </w:pPr>
            <w:r>
              <w:rPr>
                <w:spacing w:val="-2"/>
                <w:sz w:val="18"/>
              </w:rPr>
              <w:t>17,477</w:t>
            </w:r>
          </w:p>
        </w:tc>
        <w:tc>
          <w:tcPr>
            <w:tcW w:w="731" w:type="dxa"/>
            <w:shd w:val="clear" w:color="auto" w:fill="CCE2ED"/>
          </w:tcPr>
          <w:p w14:paraId="713A395F" w14:textId="77777777" w:rsidR="00141B97" w:rsidRDefault="00141B97">
            <w:pPr>
              <w:pStyle w:val="TableParagraph"/>
              <w:spacing w:before="6"/>
              <w:rPr>
                <w:sz w:val="13"/>
              </w:rPr>
            </w:pPr>
          </w:p>
          <w:p w14:paraId="61B7F203" w14:textId="77777777" w:rsidR="00141B97" w:rsidRDefault="00911D63">
            <w:pPr>
              <w:pStyle w:val="TableParagraph"/>
              <w:ind w:right="87"/>
              <w:jc w:val="right"/>
              <w:rPr>
                <w:sz w:val="18"/>
              </w:rPr>
            </w:pPr>
            <w:r>
              <w:rPr>
                <w:spacing w:val="-2"/>
                <w:sz w:val="18"/>
              </w:rPr>
              <w:t>18,181</w:t>
            </w:r>
          </w:p>
        </w:tc>
        <w:tc>
          <w:tcPr>
            <w:tcW w:w="551" w:type="dxa"/>
            <w:shd w:val="clear" w:color="auto" w:fill="CCE2ED"/>
          </w:tcPr>
          <w:p w14:paraId="68CC4AB5" w14:textId="77777777" w:rsidR="00141B97" w:rsidRDefault="00141B97">
            <w:pPr>
              <w:pStyle w:val="TableParagraph"/>
              <w:spacing w:before="6"/>
              <w:rPr>
                <w:sz w:val="13"/>
              </w:rPr>
            </w:pPr>
          </w:p>
          <w:p w14:paraId="005AF7FF" w14:textId="77777777" w:rsidR="00141B97" w:rsidRDefault="00911D63">
            <w:pPr>
              <w:pStyle w:val="TableParagraph"/>
              <w:ind w:left="155" w:right="75"/>
              <w:jc w:val="center"/>
              <w:rPr>
                <w:sz w:val="18"/>
              </w:rPr>
            </w:pPr>
            <w:r>
              <w:rPr>
                <w:spacing w:val="-5"/>
                <w:sz w:val="18"/>
              </w:rPr>
              <w:t>704</w:t>
            </w:r>
          </w:p>
        </w:tc>
        <w:tc>
          <w:tcPr>
            <w:tcW w:w="599" w:type="dxa"/>
            <w:tcBorders>
              <w:right w:val="nil"/>
            </w:tcBorders>
            <w:shd w:val="clear" w:color="auto" w:fill="CCE2ED"/>
          </w:tcPr>
          <w:p w14:paraId="3CE896E0" w14:textId="77777777" w:rsidR="00141B97" w:rsidRDefault="00141B97">
            <w:pPr>
              <w:pStyle w:val="TableParagraph"/>
              <w:spacing w:before="6"/>
              <w:rPr>
                <w:sz w:val="13"/>
              </w:rPr>
            </w:pPr>
          </w:p>
          <w:p w14:paraId="41F0F3C8" w14:textId="77777777" w:rsidR="00141B97" w:rsidRDefault="00911D63">
            <w:pPr>
              <w:pStyle w:val="TableParagraph"/>
              <w:ind w:left="144" w:right="77"/>
              <w:jc w:val="center"/>
              <w:rPr>
                <w:sz w:val="18"/>
              </w:rPr>
            </w:pPr>
            <w:r>
              <w:rPr>
                <w:spacing w:val="-4"/>
                <w:sz w:val="18"/>
              </w:rPr>
              <w:t>4.0%</w:t>
            </w:r>
          </w:p>
        </w:tc>
      </w:tr>
      <w:tr w:rsidR="00141B97" w14:paraId="21FE18E5" w14:textId="77777777">
        <w:trPr>
          <w:trHeight w:val="438"/>
          <w:tblCellSpacing w:w="9" w:type="dxa"/>
        </w:trPr>
        <w:tc>
          <w:tcPr>
            <w:tcW w:w="1280" w:type="dxa"/>
            <w:tcBorders>
              <w:left w:val="nil"/>
            </w:tcBorders>
            <w:shd w:val="clear" w:color="auto" w:fill="BFBFBF"/>
          </w:tcPr>
          <w:p w14:paraId="4A227DCF" w14:textId="77777777" w:rsidR="00141B97" w:rsidRDefault="00911D63">
            <w:pPr>
              <w:pStyle w:val="TableParagraph"/>
              <w:spacing w:line="220" w:lineRule="atLeast"/>
              <w:ind w:left="88" w:right="133"/>
              <w:rPr>
                <w:sz w:val="18"/>
              </w:rPr>
            </w:pPr>
            <w:r>
              <w:rPr>
                <w:sz w:val="18"/>
              </w:rPr>
              <w:t>Total</w:t>
            </w:r>
            <w:r>
              <w:rPr>
                <w:spacing w:val="-11"/>
                <w:sz w:val="18"/>
              </w:rPr>
              <w:t xml:space="preserve"> </w:t>
            </w:r>
            <w:r>
              <w:rPr>
                <w:sz w:val="18"/>
              </w:rPr>
              <w:t xml:space="preserve">water </w:t>
            </w:r>
            <w:r>
              <w:rPr>
                <w:spacing w:val="-2"/>
                <w:sz w:val="18"/>
              </w:rPr>
              <w:t>demand</w:t>
            </w:r>
          </w:p>
        </w:tc>
        <w:tc>
          <w:tcPr>
            <w:tcW w:w="729" w:type="dxa"/>
            <w:shd w:val="clear" w:color="auto" w:fill="BFBFBF"/>
          </w:tcPr>
          <w:p w14:paraId="28415946" w14:textId="77777777" w:rsidR="00141B97" w:rsidRDefault="00911D63">
            <w:pPr>
              <w:pStyle w:val="TableParagraph"/>
              <w:spacing w:before="55"/>
              <w:ind w:left="92" w:right="80"/>
              <w:jc w:val="center"/>
              <w:rPr>
                <w:sz w:val="18"/>
              </w:rPr>
            </w:pPr>
            <w:r>
              <w:rPr>
                <w:spacing w:val="-2"/>
                <w:sz w:val="18"/>
              </w:rPr>
              <w:t>18,979</w:t>
            </w:r>
          </w:p>
        </w:tc>
        <w:tc>
          <w:tcPr>
            <w:tcW w:w="731" w:type="dxa"/>
            <w:shd w:val="clear" w:color="auto" w:fill="BFBFBF"/>
          </w:tcPr>
          <w:p w14:paraId="6E0A9B8F" w14:textId="77777777" w:rsidR="00141B97" w:rsidRDefault="00911D63">
            <w:pPr>
              <w:pStyle w:val="TableParagraph"/>
              <w:spacing w:before="55"/>
              <w:ind w:right="93"/>
              <w:jc w:val="right"/>
              <w:rPr>
                <w:sz w:val="18"/>
              </w:rPr>
            </w:pPr>
            <w:r>
              <w:rPr>
                <w:spacing w:val="-2"/>
                <w:sz w:val="18"/>
              </w:rPr>
              <w:t>20,498</w:t>
            </w:r>
          </w:p>
        </w:tc>
        <w:tc>
          <w:tcPr>
            <w:tcW w:w="729" w:type="dxa"/>
            <w:shd w:val="clear" w:color="auto" w:fill="BFBFBF"/>
          </w:tcPr>
          <w:p w14:paraId="27FEA194" w14:textId="77777777" w:rsidR="00141B97" w:rsidRDefault="00911D63">
            <w:pPr>
              <w:pStyle w:val="TableParagraph"/>
              <w:spacing w:before="55"/>
              <w:ind w:right="93"/>
              <w:jc w:val="right"/>
              <w:rPr>
                <w:sz w:val="18"/>
              </w:rPr>
            </w:pPr>
            <w:r>
              <w:rPr>
                <w:spacing w:val="-2"/>
                <w:sz w:val="18"/>
              </w:rPr>
              <w:t>19,157</w:t>
            </w:r>
          </w:p>
        </w:tc>
        <w:tc>
          <w:tcPr>
            <w:tcW w:w="731" w:type="dxa"/>
            <w:shd w:val="clear" w:color="auto" w:fill="BFBFBF"/>
          </w:tcPr>
          <w:p w14:paraId="6E898281" w14:textId="77777777" w:rsidR="00141B97" w:rsidRDefault="00911D63">
            <w:pPr>
              <w:pStyle w:val="TableParagraph"/>
              <w:spacing w:before="55"/>
              <w:ind w:left="116"/>
              <w:rPr>
                <w:sz w:val="18"/>
              </w:rPr>
            </w:pPr>
            <w:r>
              <w:rPr>
                <w:spacing w:val="-2"/>
                <w:sz w:val="18"/>
              </w:rPr>
              <w:t>19,450</w:t>
            </w:r>
          </w:p>
        </w:tc>
        <w:tc>
          <w:tcPr>
            <w:tcW w:w="730" w:type="dxa"/>
            <w:shd w:val="clear" w:color="auto" w:fill="BFBFBF"/>
          </w:tcPr>
          <w:p w14:paraId="2C60839A" w14:textId="77777777" w:rsidR="00141B97" w:rsidRDefault="00911D63">
            <w:pPr>
              <w:pStyle w:val="TableParagraph"/>
              <w:spacing w:before="55"/>
              <w:ind w:right="92"/>
              <w:jc w:val="right"/>
              <w:rPr>
                <w:sz w:val="18"/>
              </w:rPr>
            </w:pPr>
            <w:r>
              <w:rPr>
                <w:spacing w:val="-2"/>
                <w:sz w:val="18"/>
              </w:rPr>
              <w:t>19,338</w:t>
            </w:r>
          </w:p>
        </w:tc>
        <w:tc>
          <w:tcPr>
            <w:tcW w:w="731" w:type="dxa"/>
            <w:shd w:val="clear" w:color="auto" w:fill="BFBFBF"/>
          </w:tcPr>
          <w:p w14:paraId="0DA584CA" w14:textId="77777777" w:rsidR="00141B97" w:rsidRDefault="00911D63">
            <w:pPr>
              <w:pStyle w:val="TableParagraph"/>
              <w:spacing w:before="55"/>
              <w:ind w:left="112" w:right="89"/>
              <w:jc w:val="center"/>
              <w:rPr>
                <w:sz w:val="18"/>
              </w:rPr>
            </w:pPr>
            <w:r>
              <w:rPr>
                <w:spacing w:val="-2"/>
                <w:sz w:val="18"/>
              </w:rPr>
              <w:t>19,111</w:t>
            </w:r>
          </w:p>
        </w:tc>
        <w:tc>
          <w:tcPr>
            <w:tcW w:w="729" w:type="dxa"/>
            <w:shd w:val="clear" w:color="auto" w:fill="BFBFBF"/>
          </w:tcPr>
          <w:p w14:paraId="21E3E4B2" w14:textId="77777777" w:rsidR="00141B97" w:rsidRDefault="00911D63">
            <w:pPr>
              <w:pStyle w:val="TableParagraph"/>
              <w:spacing w:before="55"/>
              <w:ind w:right="91"/>
              <w:jc w:val="right"/>
              <w:rPr>
                <w:sz w:val="18"/>
              </w:rPr>
            </w:pPr>
            <w:r>
              <w:rPr>
                <w:spacing w:val="-2"/>
                <w:sz w:val="18"/>
              </w:rPr>
              <w:t>19,504</w:t>
            </w:r>
          </w:p>
        </w:tc>
        <w:tc>
          <w:tcPr>
            <w:tcW w:w="731" w:type="dxa"/>
            <w:shd w:val="clear" w:color="auto" w:fill="BFBFBF"/>
          </w:tcPr>
          <w:p w14:paraId="3EC933B1" w14:textId="77777777" w:rsidR="00141B97" w:rsidRDefault="00911D63">
            <w:pPr>
              <w:pStyle w:val="TableParagraph"/>
              <w:spacing w:before="55"/>
              <w:ind w:left="119"/>
              <w:rPr>
                <w:sz w:val="18"/>
              </w:rPr>
            </w:pPr>
            <w:r>
              <w:rPr>
                <w:spacing w:val="-2"/>
                <w:sz w:val="18"/>
              </w:rPr>
              <w:t>18,735</w:t>
            </w:r>
          </w:p>
        </w:tc>
        <w:tc>
          <w:tcPr>
            <w:tcW w:w="729" w:type="dxa"/>
            <w:shd w:val="clear" w:color="auto" w:fill="BFBFBF"/>
          </w:tcPr>
          <w:p w14:paraId="47D0DB87" w14:textId="77777777" w:rsidR="00141B97" w:rsidRDefault="00911D63">
            <w:pPr>
              <w:pStyle w:val="TableParagraph"/>
              <w:spacing w:before="55"/>
              <w:ind w:left="118"/>
              <w:rPr>
                <w:sz w:val="18"/>
              </w:rPr>
            </w:pPr>
            <w:r>
              <w:rPr>
                <w:spacing w:val="-2"/>
                <w:sz w:val="18"/>
              </w:rPr>
              <w:t>76,978</w:t>
            </w:r>
          </w:p>
        </w:tc>
        <w:tc>
          <w:tcPr>
            <w:tcW w:w="731" w:type="dxa"/>
            <w:shd w:val="clear" w:color="auto" w:fill="BFBFBF"/>
          </w:tcPr>
          <w:p w14:paraId="328295CC" w14:textId="77777777" w:rsidR="00141B97" w:rsidRDefault="00911D63">
            <w:pPr>
              <w:pStyle w:val="TableParagraph"/>
              <w:spacing w:before="55"/>
              <w:ind w:right="87"/>
              <w:jc w:val="right"/>
              <w:rPr>
                <w:sz w:val="18"/>
              </w:rPr>
            </w:pPr>
            <w:r>
              <w:rPr>
                <w:spacing w:val="-2"/>
                <w:sz w:val="18"/>
              </w:rPr>
              <w:t>77,795</w:t>
            </w:r>
          </w:p>
        </w:tc>
        <w:tc>
          <w:tcPr>
            <w:tcW w:w="551" w:type="dxa"/>
            <w:shd w:val="clear" w:color="auto" w:fill="BFBFBF"/>
          </w:tcPr>
          <w:p w14:paraId="56B97F16" w14:textId="77777777" w:rsidR="00141B97" w:rsidRDefault="00911D63">
            <w:pPr>
              <w:pStyle w:val="TableParagraph"/>
              <w:spacing w:before="55"/>
              <w:ind w:left="155" w:right="75"/>
              <w:jc w:val="center"/>
              <w:rPr>
                <w:sz w:val="18"/>
              </w:rPr>
            </w:pPr>
            <w:r>
              <w:rPr>
                <w:spacing w:val="-5"/>
                <w:sz w:val="18"/>
              </w:rPr>
              <w:t>816</w:t>
            </w:r>
          </w:p>
        </w:tc>
        <w:tc>
          <w:tcPr>
            <w:tcW w:w="599" w:type="dxa"/>
            <w:tcBorders>
              <w:right w:val="nil"/>
            </w:tcBorders>
            <w:shd w:val="clear" w:color="auto" w:fill="BFBFBF"/>
          </w:tcPr>
          <w:p w14:paraId="254D4FE0" w14:textId="77777777" w:rsidR="00141B97" w:rsidRDefault="00911D63">
            <w:pPr>
              <w:pStyle w:val="TableParagraph"/>
              <w:spacing w:before="55"/>
              <w:ind w:left="144" w:right="77"/>
              <w:jc w:val="center"/>
              <w:rPr>
                <w:sz w:val="18"/>
              </w:rPr>
            </w:pPr>
            <w:r>
              <w:rPr>
                <w:spacing w:val="-4"/>
                <w:sz w:val="18"/>
              </w:rPr>
              <w:t>1.1%</w:t>
            </w:r>
          </w:p>
        </w:tc>
      </w:tr>
      <w:tr w:rsidR="00141B97" w14:paraId="2B263A29" w14:textId="77777777">
        <w:trPr>
          <w:trHeight w:val="327"/>
          <w:tblCellSpacing w:w="9" w:type="dxa"/>
        </w:trPr>
        <w:tc>
          <w:tcPr>
            <w:tcW w:w="1280" w:type="dxa"/>
            <w:tcBorders>
              <w:left w:val="nil"/>
              <w:bottom w:val="nil"/>
            </w:tcBorders>
            <w:shd w:val="clear" w:color="auto" w:fill="BFBFBF"/>
          </w:tcPr>
          <w:p w14:paraId="2C0DDED6" w14:textId="77777777" w:rsidR="00141B97" w:rsidRDefault="00911D63">
            <w:pPr>
              <w:pStyle w:val="TableParagraph"/>
              <w:spacing w:before="54"/>
              <w:ind w:left="88"/>
              <w:rPr>
                <w:sz w:val="18"/>
              </w:rPr>
            </w:pPr>
            <w:r>
              <w:rPr>
                <w:spacing w:val="-2"/>
                <w:sz w:val="18"/>
              </w:rPr>
              <w:t>Variance</w:t>
            </w:r>
          </w:p>
        </w:tc>
        <w:tc>
          <w:tcPr>
            <w:tcW w:w="729" w:type="dxa"/>
            <w:tcBorders>
              <w:bottom w:val="nil"/>
            </w:tcBorders>
            <w:shd w:val="clear" w:color="auto" w:fill="BFBFBF"/>
          </w:tcPr>
          <w:p w14:paraId="2B2A82D2" w14:textId="77777777" w:rsidR="00141B97" w:rsidRDefault="00141B97">
            <w:pPr>
              <w:pStyle w:val="TableParagraph"/>
              <w:rPr>
                <w:rFonts w:ascii="Times New Roman"/>
                <w:sz w:val="20"/>
              </w:rPr>
            </w:pPr>
          </w:p>
        </w:tc>
        <w:tc>
          <w:tcPr>
            <w:tcW w:w="731" w:type="dxa"/>
            <w:tcBorders>
              <w:bottom w:val="nil"/>
            </w:tcBorders>
            <w:shd w:val="clear" w:color="auto" w:fill="BFBFBF"/>
          </w:tcPr>
          <w:p w14:paraId="18E98C48" w14:textId="77777777" w:rsidR="00141B97" w:rsidRDefault="00911D63">
            <w:pPr>
              <w:pStyle w:val="TableParagraph"/>
              <w:spacing w:line="219" w:lineRule="exact"/>
              <w:ind w:right="93"/>
              <w:jc w:val="right"/>
              <w:rPr>
                <w:sz w:val="18"/>
              </w:rPr>
            </w:pPr>
            <w:r>
              <w:rPr>
                <w:spacing w:val="-2"/>
                <w:sz w:val="18"/>
              </w:rPr>
              <w:t>1,519</w:t>
            </w:r>
          </w:p>
        </w:tc>
        <w:tc>
          <w:tcPr>
            <w:tcW w:w="729" w:type="dxa"/>
            <w:tcBorders>
              <w:bottom w:val="nil"/>
            </w:tcBorders>
            <w:shd w:val="clear" w:color="auto" w:fill="BFBFBF"/>
          </w:tcPr>
          <w:p w14:paraId="52B75F67" w14:textId="77777777" w:rsidR="00141B97" w:rsidRDefault="00141B97">
            <w:pPr>
              <w:pStyle w:val="TableParagraph"/>
              <w:rPr>
                <w:rFonts w:ascii="Times New Roman"/>
                <w:sz w:val="20"/>
              </w:rPr>
            </w:pPr>
          </w:p>
        </w:tc>
        <w:tc>
          <w:tcPr>
            <w:tcW w:w="731" w:type="dxa"/>
            <w:tcBorders>
              <w:bottom w:val="nil"/>
            </w:tcBorders>
            <w:shd w:val="clear" w:color="auto" w:fill="BFBFBF"/>
          </w:tcPr>
          <w:p w14:paraId="5FD3C390" w14:textId="77777777" w:rsidR="00141B97" w:rsidRDefault="00911D63">
            <w:pPr>
              <w:pStyle w:val="TableParagraph"/>
              <w:spacing w:line="219" w:lineRule="exact"/>
              <w:ind w:right="92"/>
              <w:jc w:val="right"/>
              <w:rPr>
                <w:sz w:val="18"/>
              </w:rPr>
            </w:pPr>
            <w:r>
              <w:rPr>
                <w:spacing w:val="-5"/>
                <w:sz w:val="18"/>
              </w:rPr>
              <w:t>293</w:t>
            </w:r>
          </w:p>
        </w:tc>
        <w:tc>
          <w:tcPr>
            <w:tcW w:w="730" w:type="dxa"/>
            <w:tcBorders>
              <w:bottom w:val="nil"/>
            </w:tcBorders>
            <w:shd w:val="clear" w:color="auto" w:fill="BFBFBF"/>
          </w:tcPr>
          <w:p w14:paraId="5A0260A6" w14:textId="77777777" w:rsidR="00141B97" w:rsidRDefault="00141B97">
            <w:pPr>
              <w:pStyle w:val="TableParagraph"/>
              <w:rPr>
                <w:rFonts w:ascii="Times New Roman"/>
                <w:sz w:val="20"/>
              </w:rPr>
            </w:pPr>
          </w:p>
        </w:tc>
        <w:tc>
          <w:tcPr>
            <w:tcW w:w="731" w:type="dxa"/>
            <w:tcBorders>
              <w:bottom w:val="nil"/>
            </w:tcBorders>
            <w:shd w:val="clear" w:color="auto" w:fill="BFBFBF"/>
          </w:tcPr>
          <w:p w14:paraId="2842AB61" w14:textId="77777777" w:rsidR="00141B97" w:rsidRDefault="00911D63">
            <w:pPr>
              <w:pStyle w:val="TableParagraph"/>
              <w:spacing w:line="219" w:lineRule="exact"/>
              <w:ind w:left="203" w:right="9"/>
              <w:jc w:val="center"/>
              <w:rPr>
                <w:sz w:val="18"/>
              </w:rPr>
            </w:pPr>
            <w:r>
              <w:rPr>
                <w:spacing w:val="-4"/>
                <w:sz w:val="18"/>
              </w:rPr>
              <w:t>‐227</w:t>
            </w:r>
          </w:p>
        </w:tc>
        <w:tc>
          <w:tcPr>
            <w:tcW w:w="729" w:type="dxa"/>
            <w:tcBorders>
              <w:bottom w:val="nil"/>
            </w:tcBorders>
            <w:shd w:val="clear" w:color="auto" w:fill="BFBFBF"/>
          </w:tcPr>
          <w:p w14:paraId="20B5715F" w14:textId="77777777" w:rsidR="00141B97" w:rsidRDefault="00141B97">
            <w:pPr>
              <w:pStyle w:val="TableParagraph"/>
              <w:rPr>
                <w:rFonts w:ascii="Times New Roman"/>
                <w:sz w:val="20"/>
              </w:rPr>
            </w:pPr>
          </w:p>
        </w:tc>
        <w:tc>
          <w:tcPr>
            <w:tcW w:w="731" w:type="dxa"/>
            <w:tcBorders>
              <w:bottom w:val="nil"/>
            </w:tcBorders>
            <w:shd w:val="clear" w:color="auto" w:fill="BFBFBF"/>
          </w:tcPr>
          <w:p w14:paraId="6BCB07C6" w14:textId="77777777" w:rsidR="00141B97" w:rsidRDefault="00911D63">
            <w:pPr>
              <w:pStyle w:val="TableParagraph"/>
              <w:spacing w:line="219" w:lineRule="exact"/>
              <w:ind w:right="88"/>
              <w:jc w:val="right"/>
              <w:rPr>
                <w:sz w:val="18"/>
              </w:rPr>
            </w:pPr>
            <w:r>
              <w:rPr>
                <w:spacing w:val="-4"/>
                <w:sz w:val="18"/>
              </w:rPr>
              <w:t>‐769</w:t>
            </w:r>
          </w:p>
        </w:tc>
        <w:tc>
          <w:tcPr>
            <w:tcW w:w="729" w:type="dxa"/>
            <w:tcBorders>
              <w:bottom w:val="nil"/>
            </w:tcBorders>
            <w:shd w:val="clear" w:color="auto" w:fill="BFBFBF"/>
          </w:tcPr>
          <w:p w14:paraId="66F634F5" w14:textId="77777777" w:rsidR="00141B97" w:rsidRDefault="00141B97">
            <w:pPr>
              <w:pStyle w:val="TableParagraph"/>
              <w:rPr>
                <w:rFonts w:ascii="Times New Roman"/>
                <w:sz w:val="20"/>
              </w:rPr>
            </w:pPr>
          </w:p>
        </w:tc>
        <w:tc>
          <w:tcPr>
            <w:tcW w:w="731" w:type="dxa"/>
            <w:tcBorders>
              <w:bottom w:val="nil"/>
            </w:tcBorders>
            <w:shd w:val="clear" w:color="auto" w:fill="BFBFBF"/>
          </w:tcPr>
          <w:p w14:paraId="0E5A88ED" w14:textId="77777777" w:rsidR="00141B97" w:rsidRDefault="00911D63">
            <w:pPr>
              <w:pStyle w:val="TableParagraph"/>
              <w:spacing w:line="219" w:lineRule="exact"/>
              <w:ind w:right="87"/>
              <w:jc w:val="right"/>
              <w:rPr>
                <w:sz w:val="18"/>
              </w:rPr>
            </w:pPr>
            <w:r>
              <w:rPr>
                <w:spacing w:val="-5"/>
                <w:sz w:val="18"/>
              </w:rPr>
              <w:t>816</w:t>
            </w:r>
          </w:p>
        </w:tc>
        <w:tc>
          <w:tcPr>
            <w:tcW w:w="551" w:type="dxa"/>
            <w:tcBorders>
              <w:bottom w:val="nil"/>
            </w:tcBorders>
            <w:shd w:val="clear" w:color="auto" w:fill="BFBFBF"/>
          </w:tcPr>
          <w:p w14:paraId="4243B17B" w14:textId="77777777" w:rsidR="00141B97" w:rsidRDefault="00141B97">
            <w:pPr>
              <w:pStyle w:val="TableParagraph"/>
              <w:rPr>
                <w:rFonts w:ascii="Times New Roman"/>
                <w:sz w:val="20"/>
              </w:rPr>
            </w:pPr>
          </w:p>
        </w:tc>
        <w:tc>
          <w:tcPr>
            <w:tcW w:w="599" w:type="dxa"/>
            <w:tcBorders>
              <w:bottom w:val="nil"/>
              <w:right w:val="nil"/>
            </w:tcBorders>
            <w:shd w:val="clear" w:color="auto" w:fill="BFBFBF"/>
          </w:tcPr>
          <w:p w14:paraId="39FC9D2A" w14:textId="77777777" w:rsidR="00141B97" w:rsidRDefault="00141B97">
            <w:pPr>
              <w:pStyle w:val="TableParagraph"/>
              <w:rPr>
                <w:rFonts w:ascii="Times New Roman"/>
                <w:sz w:val="20"/>
              </w:rPr>
            </w:pPr>
          </w:p>
        </w:tc>
      </w:tr>
    </w:tbl>
    <w:p w14:paraId="749211EE" w14:textId="77777777" w:rsidR="00141B97" w:rsidRDefault="00911D63">
      <w:pPr>
        <w:spacing w:before="23"/>
        <w:ind w:left="114"/>
        <w:rPr>
          <w:sz w:val="16"/>
        </w:rPr>
      </w:pPr>
      <w:r>
        <w:rPr>
          <w:sz w:val="16"/>
        </w:rPr>
        <w:t>Table</w:t>
      </w:r>
      <w:r>
        <w:rPr>
          <w:spacing w:val="-4"/>
          <w:sz w:val="16"/>
        </w:rPr>
        <w:t xml:space="preserve"> </w:t>
      </w:r>
      <w:r>
        <w:rPr>
          <w:sz w:val="16"/>
        </w:rPr>
        <w:t>B2:</w:t>
      </w:r>
      <w:r>
        <w:rPr>
          <w:spacing w:val="-4"/>
          <w:sz w:val="16"/>
        </w:rPr>
        <w:t xml:space="preserve"> </w:t>
      </w:r>
      <w:r>
        <w:rPr>
          <w:sz w:val="16"/>
        </w:rPr>
        <w:t>Urban</w:t>
      </w:r>
      <w:r>
        <w:rPr>
          <w:spacing w:val="-6"/>
          <w:sz w:val="16"/>
        </w:rPr>
        <w:t xml:space="preserve"> </w:t>
      </w:r>
      <w:r>
        <w:rPr>
          <w:sz w:val="16"/>
        </w:rPr>
        <w:t>Demand</w:t>
      </w:r>
      <w:r>
        <w:rPr>
          <w:spacing w:val="-6"/>
          <w:sz w:val="16"/>
        </w:rPr>
        <w:t xml:space="preserve"> </w:t>
      </w:r>
      <w:r>
        <w:rPr>
          <w:spacing w:val="-4"/>
          <w:sz w:val="16"/>
        </w:rPr>
        <w:t>(ML)</w:t>
      </w:r>
    </w:p>
    <w:p w14:paraId="22C6CBE7" w14:textId="77777777" w:rsidR="00141B97" w:rsidRDefault="00141B97">
      <w:pPr>
        <w:pStyle w:val="BodyText"/>
        <w:spacing w:before="9"/>
        <w:rPr>
          <w:sz w:val="20"/>
        </w:rPr>
      </w:pPr>
    </w:p>
    <w:p w14:paraId="3F891AE2" w14:textId="77777777" w:rsidR="00141B97" w:rsidRDefault="00911D63">
      <w:pPr>
        <w:pStyle w:val="ListParagraph"/>
        <w:numPr>
          <w:ilvl w:val="2"/>
          <w:numId w:val="81"/>
        </w:numPr>
        <w:tabs>
          <w:tab w:val="left" w:pos="1112"/>
          <w:tab w:val="left" w:pos="1113"/>
        </w:tabs>
        <w:jc w:val="both"/>
      </w:pPr>
      <w:r>
        <w:t>Urban</w:t>
      </w:r>
      <w:r>
        <w:rPr>
          <w:spacing w:val="-6"/>
        </w:rPr>
        <w:t xml:space="preserve"> </w:t>
      </w:r>
      <w:r>
        <w:rPr>
          <w:spacing w:val="-2"/>
        </w:rPr>
        <w:t>Revenue</w:t>
      </w:r>
    </w:p>
    <w:p w14:paraId="09D93243" w14:textId="77777777" w:rsidR="00141B97" w:rsidRDefault="00911D63">
      <w:pPr>
        <w:pStyle w:val="BodyText"/>
        <w:spacing w:before="70" w:line="252" w:lineRule="auto"/>
        <w:ind w:left="114" w:right="947" w:hanging="1"/>
        <w:jc w:val="both"/>
      </w:pPr>
      <w:r>
        <w:t>Table</w:t>
      </w:r>
      <w:r>
        <w:rPr>
          <w:spacing w:val="-13"/>
        </w:rPr>
        <w:t xml:space="preserve"> </w:t>
      </w:r>
      <w:r>
        <w:t>B3</w:t>
      </w:r>
      <w:r>
        <w:rPr>
          <w:spacing w:val="-12"/>
        </w:rPr>
        <w:t xml:space="preserve"> </w:t>
      </w:r>
      <w:r>
        <w:t>shows</w:t>
      </w:r>
      <w:r>
        <w:rPr>
          <w:spacing w:val="-13"/>
        </w:rPr>
        <w:t xml:space="preserve"> </w:t>
      </w:r>
      <w:r>
        <w:t>urban</w:t>
      </w:r>
      <w:r>
        <w:rPr>
          <w:spacing w:val="-12"/>
        </w:rPr>
        <w:t xml:space="preserve"> </w:t>
      </w:r>
      <w:r>
        <w:t>prescribed</w:t>
      </w:r>
      <w:r>
        <w:rPr>
          <w:spacing w:val="-13"/>
        </w:rPr>
        <w:t xml:space="preserve"> </w:t>
      </w:r>
      <w:r>
        <w:t>revenue</w:t>
      </w:r>
      <w:r>
        <w:rPr>
          <w:spacing w:val="-12"/>
        </w:rPr>
        <w:t xml:space="preserve"> </w:t>
      </w:r>
      <w:r>
        <w:t>for</w:t>
      </w:r>
      <w:r>
        <w:rPr>
          <w:spacing w:val="-13"/>
        </w:rPr>
        <w:t xml:space="preserve"> </w:t>
      </w:r>
      <w:r>
        <w:t>each</w:t>
      </w:r>
      <w:r>
        <w:rPr>
          <w:spacing w:val="-12"/>
        </w:rPr>
        <w:t xml:space="preserve"> </w:t>
      </w:r>
      <w:r>
        <w:t>year</w:t>
      </w:r>
      <w:r>
        <w:rPr>
          <w:spacing w:val="-12"/>
        </w:rPr>
        <w:t xml:space="preserve"> </w:t>
      </w:r>
      <w:r>
        <w:t>and</w:t>
      </w:r>
      <w:r>
        <w:rPr>
          <w:spacing w:val="-13"/>
        </w:rPr>
        <w:t xml:space="preserve"> </w:t>
      </w:r>
      <w:r>
        <w:t>for</w:t>
      </w:r>
      <w:r>
        <w:rPr>
          <w:spacing w:val="-12"/>
        </w:rPr>
        <w:t xml:space="preserve"> </w:t>
      </w:r>
      <w:r>
        <w:t>the</w:t>
      </w:r>
      <w:r>
        <w:rPr>
          <w:spacing w:val="-13"/>
        </w:rPr>
        <w:t xml:space="preserve"> </w:t>
      </w:r>
      <w:r>
        <w:t>PS4</w:t>
      </w:r>
      <w:r>
        <w:rPr>
          <w:spacing w:val="-12"/>
        </w:rPr>
        <w:t xml:space="preserve"> </w:t>
      </w:r>
      <w:r>
        <w:t>period</w:t>
      </w:r>
      <w:r>
        <w:rPr>
          <w:spacing w:val="-13"/>
        </w:rPr>
        <w:t xml:space="preserve"> </w:t>
      </w:r>
      <w:r>
        <w:t>to</w:t>
      </w:r>
      <w:r>
        <w:rPr>
          <w:spacing w:val="-12"/>
        </w:rPr>
        <w:t xml:space="preserve"> </w:t>
      </w:r>
      <w:r>
        <w:t>date,</w:t>
      </w:r>
      <w:r>
        <w:rPr>
          <w:spacing w:val="-12"/>
        </w:rPr>
        <w:t xml:space="preserve"> </w:t>
      </w:r>
      <w:r>
        <w:t>showing</w:t>
      </w:r>
      <w:r>
        <w:rPr>
          <w:spacing w:val="-13"/>
        </w:rPr>
        <w:t xml:space="preserve"> </w:t>
      </w:r>
      <w:r>
        <w:t>revenues</w:t>
      </w:r>
      <w:r>
        <w:rPr>
          <w:spacing w:val="-12"/>
        </w:rPr>
        <w:t xml:space="preserve"> </w:t>
      </w:r>
      <w:r>
        <w:t>closely align</w:t>
      </w:r>
      <w:r>
        <w:rPr>
          <w:spacing w:val="-12"/>
        </w:rPr>
        <w:t xml:space="preserve"> </w:t>
      </w:r>
      <w:r>
        <w:t>to</w:t>
      </w:r>
      <w:r>
        <w:rPr>
          <w:spacing w:val="-11"/>
        </w:rPr>
        <w:t xml:space="preserve"> </w:t>
      </w:r>
      <w:r>
        <w:t>fluctuations</w:t>
      </w:r>
      <w:r>
        <w:rPr>
          <w:spacing w:val="-12"/>
        </w:rPr>
        <w:t xml:space="preserve"> </w:t>
      </w:r>
      <w:r>
        <w:t>in</w:t>
      </w:r>
      <w:r>
        <w:rPr>
          <w:spacing w:val="-12"/>
        </w:rPr>
        <w:t xml:space="preserve"> </w:t>
      </w:r>
      <w:r>
        <w:t>demand,</w:t>
      </w:r>
      <w:r>
        <w:rPr>
          <w:spacing w:val="-12"/>
        </w:rPr>
        <w:t xml:space="preserve"> </w:t>
      </w:r>
      <w:r>
        <w:t>with</w:t>
      </w:r>
      <w:r>
        <w:rPr>
          <w:spacing w:val="-12"/>
        </w:rPr>
        <w:t xml:space="preserve"> </w:t>
      </w:r>
      <w:r>
        <w:t>total</w:t>
      </w:r>
      <w:r>
        <w:rPr>
          <w:spacing w:val="-12"/>
        </w:rPr>
        <w:t xml:space="preserve"> </w:t>
      </w:r>
      <w:r>
        <w:t>revenue</w:t>
      </w:r>
      <w:r>
        <w:rPr>
          <w:spacing w:val="-13"/>
        </w:rPr>
        <w:t xml:space="preserve"> </w:t>
      </w:r>
      <w:r>
        <w:t>for</w:t>
      </w:r>
      <w:r>
        <w:rPr>
          <w:spacing w:val="-11"/>
        </w:rPr>
        <w:t xml:space="preserve"> </w:t>
      </w:r>
      <w:r>
        <w:t>the</w:t>
      </w:r>
      <w:r>
        <w:rPr>
          <w:spacing w:val="-12"/>
        </w:rPr>
        <w:t xml:space="preserve"> </w:t>
      </w:r>
      <w:r>
        <w:t>PS4</w:t>
      </w:r>
      <w:r>
        <w:rPr>
          <w:spacing w:val="-11"/>
        </w:rPr>
        <w:t xml:space="preserve"> </w:t>
      </w:r>
      <w:r>
        <w:t>period</w:t>
      </w:r>
      <w:r>
        <w:rPr>
          <w:spacing w:val="-11"/>
        </w:rPr>
        <w:t xml:space="preserve"> </w:t>
      </w:r>
      <w:r>
        <w:t>to</w:t>
      </w:r>
      <w:r>
        <w:rPr>
          <w:spacing w:val="-12"/>
        </w:rPr>
        <w:t xml:space="preserve"> </w:t>
      </w:r>
      <w:r>
        <w:t>date</w:t>
      </w:r>
      <w:r>
        <w:rPr>
          <w:spacing w:val="-12"/>
        </w:rPr>
        <w:t xml:space="preserve"> </w:t>
      </w:r>
      <w:r>
        <w:t>$1.1m</w:t>
      </w:r>
      <w:r>
        <w:rPr>
          <w:spacing w:val="-12"/>
        </w:rPr>
        <w:t xml:space="preserve"> </w:t>
      </w:r>
      <w:r>
        <w:t>or</w:t>
      </w:r>
      <w:r>
        <w:rPr>
          <w:spacing w:val="-12"/>
        </w:rPr>
        <w:t xml:space="preserve"> </w:t>
      </w:r>
      <w:r>
        <w:t>0.7%</w:t>
      </w:r>
      <w:r>
        <w:rPr>
          <w:spacing w:val="-11"/>
        </w:rPr>
        <w:t xml:space="preserve"> </w:t>
      </w:r>
      <w:r>
        <w:t>above</w:t>
      </w:r>
      <w:r>
        <w:rPr>
          <w:spacing w:val="-12"/>
        </w:rPr>
        <w:t xml:space="preserve"> </w:t>
      </w:r>
      <w:r>
        <w:t>the</w:t>
      </w:r>
      <w:r>
        <w:rPr>
          <w:spacing w:val="-11"/>
        </w:rPr>
        <w:t xml:space="preserve"> </w:t>
      </w:r>
      <w:r>
        <w:t xml:space="preserve">approved </w:t>
      </w:r>
      <w:r>
        <w:rPr>
          <w:spacing w:val="-2"/>
        </w:rPr>
        <w:t>forecast.</w:t>
      </w:r>
    </w:p>
    <w:p w14:paraId="6C69E5DD" w14:textId="77777777" w:rsidR="00141B97" w:rsidRDefault="00141B97">
      <w:pPr>
        <w:pStyle w:val="BodyText"/>
        <w:spacing w:before="11" w:after="1"/>
        <w:rPr>
          <w:sz w:val="9"/>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153"/>
        <w:gridCol w:w="752"/>
        <w:gridCol w:w="724"/>
        <w:gridCol w:w="750"/>
        <w:gridCol w:w="724"/>
        <w:gridCol w:w="752"/>
        <w:gridCol w:w="724"/>
        <w:gridCol w:w="752"/>
        <w:gridCol w:w="724"/>
        <w:gridCol w:w="752"/>
        <w:gridCol w:w="724"/>
        <w:gridCol w:w="752"/>
        <w:gridCol w:w="718"/>
      </w:tblGrid>
      <w:tr w:rsidR="00141B97" w14:paraId="35AAC0F5" w14:textId="77777777">
        <w:trPr>
          <w:trHeight w:val="285"/>
          <w:tblCellSpacing w:w="9" w:type="dxa"/>
        </w:trPr>
        <w:tc>
          <w:tcPr>
            <w:tcW w:w="1126" w:type="dxa"/>
            <w:tcBorders>
              <w:top w:val="nil"/>
              <w:left w:val="nil"/>
            </w:tcBorders>
            <w:shd w:val="clear" w:color="auto" w:fill="0064A4"/>
          </w:tcPr>
          <w:p w14:paraId="35A451F6" w14:textId="77777777" w:rsidR="00141B97" w:rsidRDefault="00141B97">
            <w:pPr>
              <w:pStyle w:val="TableParagraph"/>
              <w:rPr>
                <w:rFonts w:ascii="Times New Roman"/>
                <w:sz w:val="20"/>
              </w:rPr>
            </w:pPr>
          </w:p>
        </w:tc>
        <w:tc>
          <w:tcPr>
            <w:tcW w:w="2878" w:type="dxa"/>
            <w:gridSpan w:val="4"/>
            <w:tcBorders>
              <w:top w:val="nil"/>
            </w:tcBorders>
            <w:shd w:val="clear" w:color="auto" w:fill="0064A4"/>
          </w:tcPr>
          <w:p w14:paraId="7BE91BD0" w14:textId="77777777" w:rsidR="00141B97" w:rsidRDefault="00911D63">
            <w:pPr>
              <w:pStyle w:val="TableParagraph"/>
              <w:tabs>
                <w:tab w:val="left" w:pos="1843"/>
              </w:tabs>
              <w:spacing w:before="26"/>
              <w:ind w:left="405"/>
              <w:rPr>
                <w:sz w:val="18"/>
              </w:rPr>
            </w:pPr>
            <w:r>
              <w:rPr>
                <w:color w:val="FFFFFF"/>
                <w:spacing w:val="-2"/>
                <w:sz w:val="18"/>
              </w:rPr>
              <w:t>2018‐19</w:t>
            </w:r>
            <w:r>
              <w:rPr>
                <w:color w:val="FFFFFF"/>
                <w:sz w:val="18"/>
              </w:rPr>
              <w:tab/>
            </w:r>
            <w:r>
              <w:rPr>
                <w:color w:val="FFFFFF"/>
                <w:spacing w:val="-2"/>
                <w:sz w:val="18"/>
              </w:rPr>
              <w:t>2019‐20</w:t>
            </w:r>
          </w:p>
        </w:tc>
        <w:tc>
          <w:tcPr>
            <w:tcW w:w="1440" w:type="dxa"/>
            <w:gridSpan w:val="2"/>
            <w:tcBorders>
              <w:top w:val="nil"/>
            </w:tcBorders>
            <w:shd w:val="clear" w:color="auto" w:fill="0064A4"/>
          </w:tcPr>
          <w:p w14:paraId="38DCE569" w14:textId="77777777" w:rsidR="00141B97" w:rsidRDefault="00911D63">
            <w:pPr>
              <w:pStyle w:val="TableParagraph"/>
              <w:spacing w:before="26"/>
              <w:ind w:left="405"/>
              <w:rPr>
                <w:sz w:val="18"/>
              </w:rPr>
            </w:pPr>
            <w:r>
              <w:rPr>
                <w:color w:val="FFFFFF"/>
                <w:spacing w:val="-2"/>
                <w:sz w:val="18"/>
              </w:rPr>
              <w:t>2020‐21</w:t>
            </w:r>
          </w:p>
        </w:tc>
        <w:tc>
          <w:tcPr>
            <w:tcW w:w="1440" w:type="dxa"/>
            <w:gridSpan w:val="2"/>
            <w:tcBorders>
              <w:top w:val="nil"/>
            </w:tcBorders>
            <w:shd w:val="clear" w:color="auto" w:fill="0064A4"/>
          </w:tcPr>
          <w:p w14:paraId="0D59C7E3" w14:textId="77777777" w:rsidR="00141B97" w:rsidRDefault="00911D63">
            <w:pPr>
              <w:pStyle w:val="TableParagraph"/>
              <w:spacing w:before="26"/>
              <w:ind w:left="404"/>
              <w:rPr>
                <w:sz w:val="18"/>
              </w:rPr>
            </w:pPr>
            <w:r>
              <w:rPr>
                <w:color w:val="FFFFFF"/>
                <w:spacing w:val="-2"/>
                <w:sz w:val="18"/>
              </w:rPr>
              <w:t>2021‐22</w:t>
            </w:r>
          </w:p>
        </w:tc>
        <w:tc>
          <w:tcPr>
            <w:tcW w:w="1440" w:type="dxa"/>
            <w:gridSpan w:val="2"/>
            <w:tcBorders>
              <w:top w:val="nil"/>
            </w:tcBorders>
            <w:shd w:val="clear" w:color="auto" w:fill="0064A4"/>
          </w:tcPr>
          <w:p w14:paraId="485601AB" w14:textId="77777777" w:rsidR="00141B97" w:rsidRDefault="00911D63">
            <w:pPr>
              <w:pStyle w:val="TableParagraph"/>
              <w:spacing w:before="26"/>
              <w:ind w:left="231"/>
              <w:rPr>
                <w:sz w:val="18"/>
              </w:rPr>
            </w:pPr>
            <w:r>
              <w:rPr>
                <w:color w:val="FFFFFF"/>
                <w:sz w:val="18"/>
              </w:rPr>
              <w:t xml:space="preserve">Period </w:t>
            </w:r>
            <w:r>
              <w:rPr>
                <w:color w:val="FFFFFF"/>
                <w:spacing w:val="-2"/>
                <w:sz w:val="18"/>
              </w:rPr>
              <w:t>Totals</w:t>
            </w:r>
          </w:p>
        </w:tc>
        <w:tc>
          <w:tcPr>
            <w:tcW w:w="1425" w:type="dxa"/>
            <w:gridSpan w:val="2"/>
            <w:tcBorders>
              <w:top w:val="nil"/>
              <w:right w:val="nil"/>
            </w:tcBorders>
            <w:shd w:val="clear" w:color="auto" w:fill="0064A4"/>
          </w:tcPr>
          <w:p w14:paraId="268ACB6C" w14:textId="77777777" w:rsidR="00141B97" w:rsidRDefault="00911D63">
            <w:pPr>
              <w:pStyle w:val="TableParagraph"/>
              <w:spacing w:before="1"/>
              <w:ind w:left="383"/>
              <w:rPr>
                <w:sz w:val="18"/>
              </w:rPr>
            </w:pPr>
            <w:r>
              <w:rPr>
                <w:color w:val="FFFFFF"/>
                <w:spacing w:val="-2"/>
                <w:sz w:val="18"/>
              </w:rPr>
              <w:t>Variance</w:t>
            </w:r>
          </w:p>
        </w:tc>
      </w:tr>
      <w:tr w:rsidR="00141B97" w14:paraId="33DA1AED" w14:textId="77777777">
        <w:trPr>
          <w:trHeight w:val="480"/>
          <w:tblCellSpacing w:w="9" w:type="dxa"/>
        </w:trPr>
        <w:tc>
          <w:tcPr>
            <w:tcW w:w="1126" w:type="dxa"/>
            <w:tcBorders>
              <w:left w:val="nil"/>
            </w:tcBorders>
            <w:shd w:val="clear" w:color="auto" w:fill="0064A4"/>
          </w:tcPr>
          <w:p w14:paraId="72B93EDB" w14:textId="77777777" w:rsidR="00141B97" w:rsidRDefault="00911D63">
            <w:pPr>
              <w:pStyle w:val="TableParagraph"/>
              <w:spacing w:before="123"/>
              <w:ind w:left="162"/>
              <w:rPr>
                <w:sz w:val="18"/>
              </w:rPr>
            </w:pPr>
            <w:r>
              <w:rPr>
                <w:color w:val="FFFFFF"/>
                <w:sz w:val="18"/>
              </w:rPr>
              <w:t xml:space="preserve">$m </w:t>
            </w:r>
            <w:r>
              <w:rPr>
                <w:color w:val="FFFFFF"/>
                <w:spacing w:val="-2"/>
                <w:sz w:val="18"/>
              </w:rPr>
              <w:t>1/1/23</w:t>
            </w:r>
          </w:p>
        </w:tc>
        <w:tc>
          <w:tcPr>
            <w:tcW w:w="734" w:type="dxa"/>
            <w:shd w:val="clear" w:color="auto" w:fill="0064A4"/>
          </w:tcPr>
          <w:p w14:paraId="47AD5F2E" w14:textId="77777777" w:rsidR="00141B97" w:rsidRDefault="00911D63">
            <w:pPr>
              <w:pStyle w:val="TableParagraph"/>
              <w:spacing w:before="123"/>
              <w:ind w:right="98"/>
              <w:jc w:val="right"/>
              <w:rPr>
                <w:sz w:val="18"/>
              </w:rPr>
            </w:pPr>
            <w:r>
              <w:rPr>
                <w:color w:val="FFFFFF"/>
                <w:spacing w:val="-2"/>
                <w:sz w:val="18"/>
              </w:rPr>
              <w:t>Budget</w:t>
            </w:r>
          </w:p>
        </w:tc>
        <w:tc>
          <w:tcPr>
            <w:tcW w:w="706" w:type="dxa"/>
            <w:shd w:val="clear" w:color="auto" w:fill="0064A4"/>
          </w:tcPr>
          <w:p w14:paraId="612938DB" w14:textId="77777777" w:rsidR="00141B97" w:rsidRDefault="00911D63">
            <w:pPr>
              <w:pStyle w:val="TableParagraph"/>
              <w:spacing w:before="123"/>
              <w:ind w:right="115"/>
              <w:jc w:val="right"/>
              <w:rPr>
                <w:sz w:val="18"/>
              </w:rPr>
            </w:pPr>
            <w:r>
              <w:rPr>
                <w:color w:val="FFFFFF"/>
                <w:spacing w:val="-2"/>
                <w:sz w:val="18"/>
              </w:rPr>
              <w:t>Actual</w:t>
            </w:r>
          </w:p>
        </w:tc>
        <w:tc>
          <w:tcPr>
            <w:tcW w:w="732" w:type="dxa"/>
            <w:shd w:val="clear" w:color="auto" w:fill="0064A4"/>
          </w:tcPr>
          <w:p w14:paraId="05771EE6" w14:textId="77777777" w:rsidR="00141B97" w:rsidRDefault="00911D63">
            <w:pPr>
              <w:pStyle w:val="TableParagraph"/>
              <w:spacing w:before="123"/>
              <w:ind w:right="98"/>
              <w:jc w:val="right"/>
              <w:rPr>
                <w:sz w:val="18"/>
              </w:rPr>
            </w:pPr>
            <w:r>
              <w:rPr>
                <w:color w:val="FFFFFF"/>
                <w:spacing w:val="-2"/>
                <w:sz w:val="18"/>
              </w:rPr>
              <w:t>Budget</w:t>
            </w:r>
          </w:p>
        </w:tc>
        <w:tc>
          <w:tcPr>
            <w:tcW w:w="706" w:type="dxa"/>
            <w:shd w:val="clear" w:color="auto" w:fill="0064A4"/>
          </w:tcPr>
          <w:p w14:paraId="45E92244" w14:textId="77777777" w:rsidR="00141B97" w:rsidRDefault="00911D63">
            <w:pPr>
              <w:pStyle w:val="TableParagraph"/>
              <w:spacing w:before="123"/>
              <w:ind w:right="115"/>
              <w:jc w:val="right"/>
              <w:rPr>
                <w:sz w:val="18"/>
              </w:rPr>
            </w:pPr>
            <w:r>
              <w:rPr>
                <w:color w:val="FFFFFF"/>
                <w:spacing w:val="-2"/>
                <w:sz w:val="18"/>
              </w:rPr>
              <w:t>Actual</w:t>
            </w:r>
          </w:p>
        </w:tc>
        <w:tc>
          <w:tcPr>
            <w:tcW w:w="734" w:type="dxa"/>
            <w:shd w:val="clear" w:color="auto" w:fill="0064A4"/>
          </w:tcPr>
          <w:p w14:paraId="1BD453D6" w14:textId="77777777" w:rsidR="00141B97" w:rsidRDefault="00911D63">
            <w:pPr>
              <w:pStyle w:val="TableParagraph"/>
              <w:spacing w:before="123"/>
              <w:ind w:right="99"/>
              <w:jc w:val="right"/>
              <w:rPr>
                <w:sz w:val="18"/>
              </w:rPr>
            </w:pPr>
            <w:r>
              <w:rPr>
                <w:color w:val="FFFFFF"/>
                <w:spacing w:val="-2"/>
                <w:sz w:val="18"/>
              </w:rPr>
              <w:t>Budget</w:t>
            </w:r>
          </w:p>
        </w:tc>
        <w:tc>
          <w:tcPr>
            <w:tcW w:w="706" w:type="dxa"/>
            <w:shd w:val="clear" w:color="auto" w:fill="0064A4"/>
          </w:tcPr>
          <w:p w14:paraId="3BA0F702" w14:textId="77777777" w:rsidR="00141B97" w:rsidRDefault="00911D63">
            <w:pPr>
              <w:pStyle w:val="TableParagraph"/>
              <w:spacing w:before="123"/>
              <w:ind w:right="116"/>
              <w:jc w:val="right"/>
              <w:rPr>
                <w:sz w:val="18"/>
              </w:rPr>
            </w:pPr>
            <w:r>
              <w:rPr>
                <w:color w:val="FFFFFF"/>
                <w:spacing w:val="-2"/>
                <w:sz w:val="18"/>
              </w:rPr>
              <w:t>Actual</w:t>
            </w:r>
          </w:p>
        </w:tc>
        <w:tc>
          <w:tcPr>
            <w:tcW w:w="734" w:type="dxa"/>
            <w:shd w:val="clear" w:color="auto" w:fill="0064A4"/>
          </w:tcPr>
          <w:p w14:paraId="2930DF65" w14:textId="77777777" w:rsidR="00141B97" w:rsidRDefault="00911D63">
            <w:pPr>
              <w:pStyle w:val="TableParagraph"/>
              <w:spacing w:before="123"/>
              <w:ind w:right="101"/>
              <w:jc w:val="right"/>
              <w:rPr>
                <w:sz w:val="18"/>
              </w:rPr>
            </w:pPr>
            <w:r>
              <w:rPr>
                <w:color w:val="FFFFFF"/>
                <w:spacing w:val="-2"/>
                <w:sz w:val="18"/>
              </w:rPr>
              <w:t>Budget</w:t>
            </w:r>
          </w:p>
        </w:tc>
        <w:tc>
          <w:tcPr>
            <w:tcW w:w="706" w:type="dxa"/>
            <w:shd w:val="clear" w:color="auto" w:fill="0064A4"/>
          </w:tcPr>
          <w:p w14:paraId="52F6ED19" w14:textId="77777777" w:rsidR="00141B97" w:rsidRDefault="00911D63">
            <w:pPr>
              <w:pStyle w:val="TableParagraph"/>
              <w:spacing w:before="123"/>
              <w:ind w:right="117"/>
              <w:jc w:val="right"/>
              <w:rPr>
                <w:sz w:val="18"/>
              </w:rPr>
            </w:pPr>
            <w:r>
              <w:rPr>
                <w:color w:val="FFFFFF"/>
                <w:spacing w:val="-2"/>
                <w:sz w:val="18"/>
              </w:rPr>
              <w:t>Actual</w:t>
            </w:r>
          </w:p>
        </w:tc>
        <w:tc>
          <w:tcPr>
            <w:tcW w:w="734" w:type="dxa"/>
            <w:shd w:val="clear" w:color="auto" w:fill="0064A4"/>
          </w:tcPr>
          <w:p w14:paraId="65F2B5E4" w14:textId="77777777" w:rsidR="00141B97" w:rsidRDefault="00911D63">
            <w:pPr>
              <w:pStyle w:val="TableParagraph"/>
              <w:spacing w:before="123"/>
              <w:ind w:right="102"/>
              <w:jc w:val="right"/>
              <w:rPr>
                <w:sz w:val="18"/>
              </w:rPr>
            </w:pPr>
            <w:r>
              <w:rPr>
                <w:color w:val="FFFFFF"/>
                <w:spacing w:val="-2"/>
                <w:sz w:val="18"/>
              </w:rPr>
              <w:t>Budget</w:t>
            </w:r>
          </w:p>
        </w:tc>
        <w:tc>
          <w:tcPr>
            <w:tcW w:w="706" w:type="dxa"/>
            <w:shd w:val="clear" w:color="auto" w:fill="0064A4"/>
          </w:tcPr>
          <w:p w14:paraId="2B38D58E" w14:textId="77777777" w:rsidR="00141B97" w:rsidRDefault="00911D63">
            <w:pPr>
              <w:pStyle w:val="TableParagraph"/>
              <w:spacing w:before="123"/>
              <w:ind w:right="119"/>
              <w:jc w:val="right"/>
              <w:rPr>
                <w:sz w:val="18"/>
              </w:rPr>
            </w:pPr>
            <w:r>
              <w:rPr>
                <w:color w:val="FFFFFF"/>
                <w:spacing w:val="-2"/>
                <w:sz w:val="18"/>
              </w:rPr>
              <w:t>Actual</w:t>
            </w:r>
          </w:p>
        </w:tc>
        <w:tc>
          <w:tcPr>
            <w:tcW w:w="734" w:type="dxa"/>
            <w:shd w:val="clear" w:color="auto" w:fill="0064A4"/>
          </w:tcPr>
          <w:p w14:paraId="3E656760" w14:textId="77777777" w:rsidR="00141B97" w:rsidRDefault="00911D63">
            <w:pPr>
              <w:pStyle w:val="TableParagraph"/>
              <w:spacing w:before="123"/>
              <w:ind w:right="103"/>
              <w:jc w:val="right"/>
              <w:rPr>
                <w:sz w:val="18"/>
              </w:rPr>
            </w:pPr>
            <w:r>
              <w:rPr>
                <w:color w:val="FFFFFF"/>
                <w:spacing w:val="-2"/>
                <w:sz w:val="18"/>
              </w:rPr>
              <w:t>Budget</w:t>
            </w:r>
          </w:p>
        </w:tc>
        <w:tc>
          <w:tcPr>
            <w:tcW w:w="691" w:type="dxa"/>
            <w:tcBorders>
              <w:right w:val="nil"/>
            </w:tcBorders>
            <w:shd w:val="clear" w:color="auto" w:fill="0064A4"/>
          </w:tcPr>
          <w:p w14:paraId="533BAFF5" w14:textId="77777777" w:rsidR="00141B97" w:rsidRDefault="00911D63">
            <w:pPr>
              <w:pStyle w:val="TableParagraph"/>
              <w:spacing w:before="123"/>
              <w:ind w:left="269"/>
              <w:rPr>
                <w:sz w:val="18"/>
              </w:rPr>
            </w:pPr>
            <w:r>
              <w:rPr>
                <w:color w:val="FFFFFF"/>
                <w:sz w:val="18"/>
              </w:rPr>
              <w:t>%</w:t>
            </w:r>
          </w:p>
        </w:tc>
      </w:tr>
      <w:tr w:rsidR="00141B97" w14:paraId="1C7DCDD8" w14:textId="77777777">
        <w:trPr>
          <w:trHeight w:val="470"/>
          <w:tblCellSpacing w:w="9" w:type="dxa"/>
        </w:trPr>
        <w:tc>
          <w:tcPr>
            <w:tcW w:w="1126" w:type="dxa"/>
            <w:tcBorders>
              <w:left w:val="nil"/>
            </w:tcBorders>
            <w:shd w:val="clear" w:color="auto" w:fill="CCE2ED"/>
          </w:tcPr>
          <w:p w14:paraId="5147D688" w14:textId="77777777" w:rsidR="00141B97" w:rsidRDefault="00911D63">
            <w:pPr>
              <w:pStyle w:val="TableParagraph"/>
              <w:spacing w:before="1"/>
              <w:ind w:left="88"/>
              <w:rPr>
                <w:sz w:val="18"/>
              </w:rPr>
            </w:pPr>
            <w:r>
              <w:rPr>
                <w:spacing w:val="-2"/>
                <w:sz w:val="18"/>
              </w:rPr>
              <w:t>Prescribed</w:t>
            </w:r>
          </w:p>
          <w:p w14:paraId="4BFDF07A" w14:textId="77777777" w:rsidR="00141B97" w:rsidRDefault="00911D63">
            <w:pPr>
              <w:pStyle w:val="TableParagraph"/>
              <w:spacing w:before="15" w:line="215" w:lineRule="exact"/>
              <w:ind w:left="88"/>
              <w:rPr>
                <w:sz w:val="18"/>
              </w:rPr>
            </w:pPr>
            <w:r>
              <w:rPr>
                <w:spacing w:val="-2"/>
                <w:sz w:val="18"/>
              </w:rPr>
              <w:t>Revenue</w:t>
            </w:r>
          </w:p>
        </w:tc>
        <w:tc>
          <w:tcPr>
            <w:tcW w:w="734" w:type="dxa"/>
            <w:shd w:val="clear" w:color="auto" w:fill="CCE2ED"/>
          </w:tcPr>
          <w:p w14:paraId="67FF66B0" w14:textId="77777777" w:rsidR="00141B97" w:rsidRDefault="00911D63">
            <w:pPr>
              <w:pStyle w:val="TableParagraph"/>
              <w:spacing w:before="118"/>
              <w:ind w:right="98"/>
              <w:jc w:val="right"/>
              <w:rPr>
                <w:sz w:val="18"/>
              </w:rPr>
            </w:pPr>
            <w:r>
              <w:rPr>
                <w:spacing w:val="-4"/>
                <w:sz w:val="18"/>
              </w:rPr>
              <w:t>42.5</w:t>
            </w:r>
          </w:p>
        </w:tc>
        <w:tc>
          <w:tcPr>
            <w:tcW w:w="706" w:type="dxa"/>
            <w:shd w:val="clear" w:color="auto" w:fill="CCE2ED"/>
          </w:tcPr>
          <w:p w14:paraId="4C135D21" w14:textId="77777777" w:rsidR="00141B97" w:rsidRDefault="00911D63">
            <w:pPr>
              <w:pStyle w:val="TableParagraph"/>
              <w:spacing w:before="118"/>
              <w:ind w:right="98"/>
              <w:jc w:val="right"/>
              <w:rPr>
                <w:sz w:val="18"/>
              </w:rPr>
            </w:pPr>
            <w:r>
              <w:rPr>
                <w:spacing w:val="-4"/>
                <w:sz w:val="18"/>
              </w:rPr>
              <w:t>43.5</w:t>
            </w:r>
          </w:p>
        </w:tc>
        <w:tc>
          <w:tcPr>
            <w:tcW w:w="732" w:type="dxa"/>
            <w:shd w:val="clear" w:color="auto" w:fill="CCE2ED"/>
          </w:tcPr>
          <w:p w14:paraId="1DE8AA1C" w14:textId="77777777" w:rsidR="00141B97" w:rsidRDefault="00911D63">
            <w:pPr>
              <w:pStyle w:val="TableParagraph"/>
              <w:spacing w:before="118"/>
              <w:ind w:right="97"/>
              <w:jc w:val="right"/>
              <w:rPr>
                <w:sz w:val="18"/>
              </w:rPr>
            </w:pPr>
            <w:r>
              <w:rPr>
                <w:spacing w:val="-4"/>
                <w:sz w:val="18"/>
              </w:rPr>
              <w:t>41.9</w:t>
            </w:r>
          </w:p>
        </w:tc>
        <w:tc>
          <w:tcPr>
            <w:tcW w:w="706" w:type="dxa"/>
            <w:shd w:val="clear" w:color="auto" w:fill="CCE2ED"/>
          </w:tcPr>
          <w:p w14:paraId="01D2B5F7" w14:textId="77777777" w:rsidR="00141B97" w:rsidRDefault="00911D63">
            <w:pPr>
              <w:pStyle w:val="TableParagraph"/>
              <w:spacing w:before="118"/>
              <w:ind w:right="100"/>
              <w:jc w:val="right"/>
              <w:rPr>
                <w:sz w:val="18"/>
              </w:rPr>
            </w:pPr>
            <w:r>
              <w:rPr>
                <w:spacing w:val="-4"/>
                <w:sz w:val="18"/>
              </w:rPr>
              <w:t>42.4</w:t>
            </w:r>
          </w:p>
        </w:tc>
        <w:tc>
          <w:tcPr>
            <w:tcW w:w="734" w:type="dxa"/>
            <w:shd w:val="clear" w:color="auto" w:fill="CCE2ED"/>
          </w:tcPr>
          <w:p w14:paraId="0B9B6447" w14:textId="77777777" w:rsidR="00141B97" w:rsidRDefault="00911D63">
            <w:pPr>
              <w:pStyle w:val="TableParagraph"/>
              <w:spacing w:before="118"/>
              <w:ind w:right="98"/>
              <w:jc w:val="right"/>
              <w:rPr>
                <w:sz w:val="18"/>
              </w:rPr>
            </w:pPr>
            <w:r>
              <w:rPr>
                <w:spacing w:val="-4"/>
                <w:sz w:val="18"/>
              </w:rPr>
              <w:t>41.5</w:t>
            </w:r>
          </w:p>
        </w:tc>
        <w:tc>
          <w:tcPr>
            <w:tcW w:w="706" w:type="dxa"/>
            <w:shd w:val="clear" w:color="auto" w:fill="CCE2ED"/>
          </w:tcPr>
          <w:p w14:paraId="6362BD54" w14:textId="77777777" w:rsidR="00141B97" w:rsidRDefault="00911D63">
            <w:pPr>
              <w:pStyle w:val="TableParagraph"/>
              <w:spacing w:before="118"/>
              <w:ind w:right="100"/>
              <w:jc w:val="right"/>
              <w:rPr>
                <w:sz w:val="18"/>
              </w:rPr>
            </w:pPr>
            <w:r>
              <w:rPr>
                <w:spacing w:val="-4"/>
                <w:sz w:val="18"/>
              </w:rPr>
              <w:t>41.8</w:t>
            </w:r>
          </w:p>
        </w:tc>
        <w:tc>
          <w:tcPr>
            <w:tcW w:w="734" w:type="dxa"/>
            <w:shd w:val="clear" w:color="auto" w:fill="CCE2ED"/>
          </w:tcPr>
          <w:p w14:paraId="5E061F90" w14:textId="77777777" w:rsidR="00141B97" w:rsidRDefault="00911D63">
            <w:pPr>
              <w:pStyle w:val="TableParagraph"/>
              <w:spacing w:before="118"/>
              <w:ind w:right="99"/>
              <w:jc w:val="right"/>
              <w:rPr>
                <w:sz w:val="18"/>
              </w:rPr>
            </w:pPr>
            <w:r>
              <w:rPr>
                <w:spacing w:val="-4"/>
                <w:sz w:val="18"/>
              </w:rPr>
              <w:t>42.1</w:t>
            </w:r>
          </w:p>
        </w:tc>
        <w:tc>
          <w:tcPr>
            <w:tcW w:w="706" w:type="dxa"/>
            <w:shd w:val="clear" w:color="auto" w:fill="CCE2ED"/>
          </w:tcPr>
          <w:p w14:paraId="2BF5C2FC" w14:textId="77777777" w:rsidR="00141B97" w:rsidRDefault="00911D63">
            <w:pPr>
              <w:pStyle w:val="TableParagraph"/>
              <w:spacing w:before="118"/>
              <w:ind w:right="100"/>
              <w:jc w:val="right"/>
              <w:rPr>
                <w:sz w:val="18"/>
              </w:rPr>
            </w:pPr>
            <w:r>
              <w:rPr>
                <w:spacing w:val="-4"/>
                <w:sz w:val="18"/>
              </w:rPr>
              <w:t>41.7</w:t>
            </w:r>
          </w:p>
        </w:tc>
        <w:tc>
          <w:tcPr>
            <w:tcW w:w="734" w:type="dxa"/>
            <w:shd w:val="clear" w:color="auto" w:fill="CCE2ED"/>
          </w:tcPr>
          <w:p w14:paraId="0E461810" w14:textId="77777777" w:rsidR="00141B97" w:rsidRDefault="00911D63">
            <w:pPr>
              <w:pStyle w:val="TableParagraph"/>
              <w:spacing w:before="118"/>
              <w:ind w:right="100"/>
              <w:jc w:val="right"/>
              <w:rPr>
                <w:sz w:val="18"/>
              </w:rPr>
            </w:pPr>
            <w:r>
              <w:rPr>
                <w:spacing w:val="-2"/>
                <w:sz w:val="18"/>
              </w:rPr>
              <w:t>168.0</w:t>
            </w:r>
          </w:p>
        </w:tc>
        <w:tc>
          <w:tcPr>
            <w:tcW w:w="706" w:type="dxa"/>
            <w:shd w:val="clear" w:color="auto" w:fill="CCE2ED"/>
          </w:tcPr>
          <w:p w14:paraId="3215E179" w14:textId="77777777" w:rsidR="00141B97" w:rsidRDefault="00911D63">
            <w:pPr>
              <w:pStyle w:val="TableParagraph"/>
              <w:spacing w:before="118"/>
              <w:ind w:right="101"/>
              <w:jc w:val="right"/>
              <w:rPr>
                <w:sz w:val="18"/>
              </w:rPr>
            </w:pPr>
            <w:r>
              <w:rPr>
                <w:spacing w:val="-2"/>
                <w:sz w:val="18"/>
              </w:rPr>
              <w:t>169.4</w:t>
            </w:r>
          </w:p>
        </w:tc>
        <w:tc>
          <w:tcPr>
            <w:tcW w:w="734" w:type="dxa"/>
            <w:shd w:val="clear" w:color="auto" w:fill="CCE2ED"/>
          </w:tcPr>
          <w:p w14:paraId="0C77B9A0" w14:textId="77777777" w:rsidR="00141B97" w:rsidRDefault="00911D63">
            <w:pPr>
              <w:pStyle w:val="TableParagraph"/>
              <w:spacing w:before="118"/>
              <w:ind w:right="102"/>
              <w:jc w:val="right"/>
              <w:rPr>
                <w:sz w:val="18"/>
              </w:rPr>
            </w:pPr>
            <w:r>
              <w:rPr>
                <w:spacing w:val="-5"/>
                <w:sz w:val="18"/>
              </w:rPr>
              <w:t>1.4</w:t>
            </w:r>
          </w:p>
        </w:tc>
        <w:tc>
          <w:tcPr>
            <w:tcW w:w="691" w:type="dxa"/>
            <w:tcBorders>
              <w:right w:val="nil"/>
            </w:tcBorders>
            <w:shd w:val="clear" w:color="auto" w:fill="CCE2ED"/>
          </w:tcPr>
          <w:p w14:paraId="6818DA5B" w14:textId="77777777" w:rsidR="00141B97" w:rsidRDefault="00911D63">
            <w:pPr>
              <w:pStyle w:val="TableParagraph"/>
              <w:spacing w:before="118"/>
              <w:ind w:left="219"/>
              <w:rPr>
                <w:sz w:val="18"/>
              </w:rPr>
            </w:pPr>
            <w:r>
              <w:rPr>
                <w:spacing w:val="-4"/>
                <w:sz w:val="18"/>
              </w:rPr>
              <w:t>0.8%</w:t>
            </w:r>
          </w:p>
        </w:tc>
      </w:tr>
      <w:tr w:rsidR="00141B97" w14:paraId="3B99FF7A" w14:textId="77777777">
        <w:trPr>
          <w:trHeight w:val="345"/>
          <w:tblCellSpacing w:w="9" w:type="dxa"/>
        </w:trPr>
        <w:tc>
          <w:tcPr>
            <w:tcW w:w="1126" w:type="dxa"/>
            <w:tcBorders>
              <w:left w:val="nil"/>
              <w:bottom w:val="nil"/>
            </w:tcBorders>
            <w:shd w:val="clear" w:color="auto" w:fill="CCE2ED"/>
          </w:tcPr>
          <w:p w14:paraId="214EA9D1" w14:textId="77777777" w:rsidR="00141B97" w:rsidRDefault="00911D63">
            <w:pPr>
              <w:pStyle w:val="TableParagraph"/>
              <w:spacing w:before="55"/>
              <w:ind w:left="88"/>
              <w:rPr>
                <w:sz w:val="18"/>
              </w:rPr>
            </w:pPr>
            <w:r>
              <w:rPr>
                <w:spacing w:val="-2"/>
                <w:sz w:val="18"/>
              </w:rPr>
              <w:t>Variance</w:t>
            </w:r>
          </w:p>
        </w:tc>
        <w:tc>
          <w:tcPr>
            <w:tcW w:w="734" w:type="dxa"/>
            <w:tcBorders>
              <w:bottom w:val="nil"/>
            </w:tcBorders>
            <w:shd w:val="clear" w:color="auto" w:fill="CCE2ED"/>
          </w:tcPr>
          <w:p w14:paraId="61D5824D" w14:textId="77777777" w:rsidR="00141B97" w:rsidRDefault="00141B97">
            <w:pPr>
              <w:pStyle w:val="TableParagraph"/>
              <w:rPr>
                <w:rFonts w:ascii="Times New Roman"/>
                <w:sz w:val="20"/>
              </w:rPr>
            </w:pPr>
          </w:p>
        </w:tc>
        <w:tc>
          <w:tcPr>
            <w:tcW w:w="706" w:type="dxa"/>
            <w:tcBorders>
              <w:bottom w:val="nil"/>
            </w:tcBorders>
            <w:shd w:val="clear" w:color="auto" w:fill="CCE2ED"/>
          </w:tcPr>
          <w:p w14:paraId="56F4B9D5" w14:textId="77777777" w:rsidR="00141B97" w:rsidRDefault="00911D63">
            <w:pPr>
              <w:pStyle w:val="TableParagraph"/>
              <w:spacing w:before="55"/>
              <w:ind w:right="98"/>
              <w:jc w:val="right"/>
              <w:rPr>
                <w:sz w:val="18"/>
              </w:rPr>
            </w:pPr>
            <w:r>
              <w:rPr>
                <w:spacing w:val="-5"/>
                <w:sz w:val="18"/>
              </w:rPr>
              <w:t>2.3</w:t>
            </w:r>
          </w:p>
        </w:tc>
        <w:tc>
          <w:tcPr>
            <w:tcW w:w="732" w:type="dxa"/>
            <w:tcBorders>
              <w:bottom w:val="nil"/>
            </w:tcBorders>
            <w:shd w:val="clear" w:color="auto" w:fill="CCE2ED"/>
          </w:tcPr>
          <w:p w14:paraId="058A15DF" w14:textId="77777777" w:rsidR="00141B97" w:rsidRDefault="00141B97">
            <w:pPr>
              <w:pStyle w:val="TableParagraph"/>
              <w:rPr>
                <w:rFonts w:ascii="Times New Roman"/>
                <w:sz w:val="20"/>
              </w:rPr>
            </w:pPr>
          </w:p>
        </w:tc>
        <w:tc>
          <w:tcPr>
            <w:tcW w:w="706" w:type="dxa"/>
            <w:tcBorders>
              <w:bottom w:val="nil"/>
            </w:tcBorders>
            <w:shd w:val="clear" w:color="auto" w:fill="CCE2ED"/>
          </w:tcPr>
          <w:p w14:paraId="1D75B84C" w14:textId="77777777" w:rsidR="00141B97" w:rsidRDefault="00911D63">
            <w:pPr>
              <w:pStyle w:val="TableParagraph"/>
              <w:spacing w:before="55"/>
              <w:ind w:right="98"/>
              <w:jc w:val="right"/>
              <w:rPr>
                <w:sz w:val="18"/>
              </w:rPr>
            </w:pPr>
            <w:r>
              <w:rPr>
                <w:spacing w:val="-5"/>
                <w:sz w:val="18"/>
              </w:rPr>
              <w:t>0.6</w:t>
            </w:r>
          </w:p>
        </w:tc>
        <w:tc>
          <w:tcPr>
            <w:tcW w:w="734" w:type="dxa"/>
            <w:tcBorders>
              <w:bottom w:val="nil"/>
            </w:tcBorders>
            <w:shd w:val="clear" w:color="auto" w:fill="CCE2ED"/>
          </w:tcPr>
          <w:p w14:paraId="482BFC7F" w14:textId="77777777" w:rsidR="00141B97" w:rsidRDefault="00141B97">
            <w:pPr>
              <w:pStyle w:val="TableParagraph"/>
              <w:rPr>
                <w:rFonts w:ascii="Times New Roman"/>
                <w:sz w:val="20"/>
              </w:rPr>
            </w:pPr>
          </w:p>
        </w:tc>
        <w:tc>
          <w:tcPr>
            <w:tcW w:w="706" w:type="dxa"/>
            <w:tcBorders>
              <w:bottom w:val="nil"/>
            </w:tcBorders>
            <w:shd w:val="clear" w:color="auto" w:fill="CCE2ED"/>
          </w:tcPr>
          <w:p w14:paraId="5A827983" w14:textId="77777777" w:rsidR="00141B97" w:rsidRDefault="00911D63">
            <w:pPr>
              <w:pStyle w:val="TableParagraph"/>
              <w:spacing w:before="55"/>
              <w:ind w:right="98"/>
              <w:jc w:val="right"/>
              <w:rPr>
                <w:sz w:val="18"/>
              </w:rPr>
            </w:pPr>
            <w:r>
              <w:rPr>
                <w:spacing w:val="-4"/>
                <w:sz w:val="18"/>
              </w:rPr>
              <w:t>‐0.3</w:t>
            </w:r>
          </w:p>
        </w:tc>
        <w:tc>
          <w:tcPr>
            <w:tcW w:w="734" w:type="dxa"/>
            <w:tcBorders>
              <w:bottom w:val="nil"/>
            </w:tcBorders>
            <w:shd w:val="clear" w:color="auto" w:fill="CCE2ED"/>
          </w:tcPr>
          <w:p w14:paraId="5A7C8D93" w14:textId="77777777" w:rsidR="00141B97" w:rsidRDefault="00141B97">
            <w:pPr>
              <w:pStyle w:val="TableParagraph"/>
              <w:rPr>
                <w:rFonts w:ascii="Times New Roman"/>
                <w:sz w:val="20"/>
              </w:rPr>
            </w:pPr>
          </w:p>
        </w:tc>
        <w:tc>
          <w:tcPr>
            <w:tcW w:w="706" w:type="dxa"/>
            <w:tcBorders>
              <w:bottom w:val="nil"/>
            </w:tcBorders>
            <w:shd w:val="clear" w:color="auto" w:fill="CCE2ED"/>
          </w:tcPr>
          <w:p w14:paraId="77502B52" w14:textId="77777777" w:rsidR="00141B97" w:rsidRDefault="00911D63">
            <w:pPr>
              <w:pStyle w:val="TableParagraph"/>
              <w:spacing w:before="55"/>
              <w:ind w:right="100"/>
              <w:jc w:val="right"/>
              <w:rPr>
                <w:sz w:val="18"/>
              </w:rPr>
            </w:pPr>
            <w:r>
              <w:rPr>
                <w:spacing w:val="-4"/>
                <w:sz w:val="18"/>
              </w:rPr>
              <w:t>‐1.4</w:t>
            </w:r>
          </w:p>
        </w:tc>
        <w:tc>
          <w:tcPr>
            <w:tcW w:w="734" w:type="dxa"/>
            <w:tcBorders>
              <w:bottom w:val="nil"/>
            </w:tcBorders>
            <w:shd w:val="clear" w:color="auto" w:fill="CCE2ED"/>
          </w:tcPr>
          <w:p w14:paraId="599AF0B5" w14:textId="77777777" w:rsidR="00141B97" w:rsidRDefault="00141B97">
            <w:pPr>
              <w:pStyle w:val="TableParagraph"/>
              <w:rPr>
                <w:rFonts w:ascii="Times New Roman"/>
                <w:sz w:val="20"/>
              </w:rPr>
            </w:pPr>
          </w:p>
        </w:tc>
        <w:tc>
          <w:tcPr>
            <w:tcW w:w="706" w:type="dxa"/>
            <w:tcBorders>
              <w:bottom w:val="nil"/>
            </w:tcBorders>
            <w:shd w:val="clear" w:color="auto" w:fill="CCE2ED"/>
          </w:tcPr>
          <w:p w14:paraId="28113CC7" w14:textId="77777777" w:rsidR="00141B97" w:rsidRDefault="00911D63">
            <w:pPr>
              <w:pStyle w:val="TableParagraph"/>
              <w:spacing w:before="55"/>
              <w:ind w:right="101"/>
              <w:jc w:val="right"/>
              <w:rPr>
                <w:sz w:val="18"/>
              </w:rPr>
            </w:pPr>
            <w:r>
              <w:rPr>
                <w:spacing w:val="-5"/>
                <w:sz w:val="18"/>
              </w:rPr>
              <w:t>1.1</w:t>
            </w:r>
          </w:p>
        </w:tc>
        <w:tc>
          <w:tcPr>
            <w:tcW w:w="734" w:type="dxa"/>
            <w:tcBorders>
              <w:bottom w:val="nil"/>
            </w:tcBorders>
            <w:shd w:val="clear" w:color="auto" w:fill="CCE2ED"/>
          </w:tcPr>
          <w:p w14:paraId="38555CC9" w14:textId="77777777" w:rsidR="00141B97" w:rsidRDefault="00141B97">
            <w:pPr>
              <w:pStyle w:val="TableParagraph"/>
              <w:rPr>
                <w:rFonts w:ascii="Times New Roman"/>
                <w:sz w:val="20"/>
              </w:rPr>
            </w:pPr>
          </w:p>
        </w:tc>
        <w:tc>
          <w:tcPr>
            <w:tcW w:w="691" w:type="dxa"/>
            <w:tcBorders>
              <w:bottom w:val="nil"/>
              <w:right w:val="nil"/>
            </w:tcBorders>
            <w:shd w:val="clear" w:color="auto" w:fill="CCE2ED"/>
          </w:tcPr>
          <w:p w14:paraId="3DD5513A" w14:textId="77777777" w:rsidR="00141B97" w:rsidRDefault="00141B97">
            <w:pPr>
              <w:pStyle w:val="TableParagraph"/>
              <w:rPr>
                <w:rFonts w:ascii="Times New Roman"/>
                <w:sz w:val="20"/>
              </w:rPr>
            </w:pPr>
          </w:p>
        </w:tc>
      </w:tr>
    </w:tbl>
    <w:p w14:paraId="1DEACA42" w14:textId="77777777" w:rsidR="00141B97" w:rsidRDefault="00911D63">
      <w:pPr>
        <w:spacing w:before="21"/>
        <w:ind w:left="114"/>
        <w:rPr>
          <w:sz w:val="16"/>
        </w:rPr>
      </w:pPr>
      <w:r>
        <w:rPr>
          <w:sz w:val="16"/>
        </w:rPr>
        <w:t>Table</w:t>
      </w:r>
      <w:r>
        <w:rPr>
          <w:spacing w:val="-4"/>
          <w:sz w:val="16"/>
        </w:rPr>
        <w:t xml:space="preserve"> </w:t>
      </w:r>
      <w:r>
        <w:rPr>
          <w:sz w:val="16"/>
        </w:rPr>
        <w:t>B3:</w:t>
      </w:r>
      <w:r>
        <w:rPr>
          <w:spacing w:val="-3"/>
          <w:sz w:val="16"/>
        </w:rPr>
        <w:t xml:space="preserve"> </w:t>
      </w:r>
      <w:r>
        <w:rPr>
          <w:sz w:val="16"/>
        </w:rPr>
        <w:t>Urban</w:t>
      </w:r>
      <w:r>
        <w:rPr>
          <w:spacing w:val="-4"/>
          <w:sz w:val="16"/>
        </w:rPr>
        <w:t xml:space="preserve"> </w:t>
      </w:r>
      <w:r>
        <w:rPr>
          <w:sz w:val="16"/>
        </w:rPr>
        <w:t>Revenue</w:t>
      </w:r>
      <w:r>
        <w:rPr>
          <w:spacing w:val="-4"/>
          <w:sz w:val="16"/>
        </w:rPr>
        <w:t xml:space="preserve"> </w:t>
      </w:r>
      <w:r>
        <w:rPr>
          <w:sz w:val="16"/>
        </w:rPr>
        <w:t>($m</w:t>
      </w:r>
      <w:r>
        <w:rPr>
          <w:spacing w:val="-5"/>
          <w:sz w:val="16"/>
        </w:rPr>
        <w:t xml:space="preserve"> </w:t>
      </w:r>
      <w:r>
        <w:rPr>
          <w:spacing w:val="-2"/>
          <w:sz w:val="16"/>
        </w:rPr>
        <w:t>1/1/23)</w:t>
      </w:r>
    </w:p>
    <w:p w14:paraId="535DFEC5" w14:textId="77777777" w:rsidR="00141B97" w:rsidRDefault="00141B97">
      <w:pPr>
        <w:rPr>
          <w:sz w:val="16"/>
        </w:rPr>
        <w:sectPr w:rsidR="00141B97">
          <w:pgSz w:w="11910" w:h="16840"/>
          <w:pgMar w:top="820" w:right="40" w:bottom="760" w:left="1020" w:header="0" w:footer="580" w:gutter="0"/>
          <w:cols w:space="720"/>
        </w:sectPr>
      </w:pPr>
    </w:p>
    <w:p w14:paraId="5803BFA1" w14:textId="77777777" w:rsidR="00141B97" w:rsidRDefault="00911D63">
      <w:pPr>
        <w:pStyle w:val="ListParagraph"/>
        <w:numPr>
          <w:ilvl w:val="2"/>
          <w:numId w:val="81"/>
        </w:numPr>
        <w:tabs>
          <w:tab w:val="left" w:pos="1112"/>
          <w:tab w:val="left" w:pos="1113"/>
        </w:tabs>
        <w:spacing w:before="43"/>
      </w:pPr>
      <w:r>
        <w:lastRenderedPageBreak/>
        <w:t>Summary</w:t>
      </w:r>
      <w:r>
        <w:rPr>
          <w:spacing w:val="-7"/>
        </w:rPr>
        <w:t xml:space="preserve"> </w:t>
      </w:r>
      <w:r>
        <w:t>Urban</w:t>
      </w:r>
      <w:r>
        <w:rPr>
          <w:spacing w:val="-8"/>
        </w:rPr>
        <w:t xml:space="preserve"> </w:t>
      </w:r>
      <w:r>
        <w:rPr>
          <w:spacing w:val="-2"/>
        </w:rPr>
        <w:t>Prices</w:t>
      </w:r>
    </w:p>
    <w:p w14:paraId="22DB6B31" w14:textId="77777777" w:rsidR="00141B97" w:rsidRDefault="00911D63">
      <w:pPr>
        <w:pStyle w:val="BodyText"/>
        <w:spacing w:before="71" w:line="252" w:lineRule="auto"/>
        <w:ind w:left="113" w:right="962"/>
      </w:pPr>
      <w:r>
        <w:t>There were no changes to the urban approved price paths in any year for the PS4 period to date, as shown in Table B4. LMW absorbed the increased operating expenditure incurred without impact on customer prices.</w:t>
      </w:r>
    </w:p>
    <w:p w14:paraId="56ABF943" w14:textId="77777777" w:rsidR="00141B97" w:rsidRDefault="00141B97">
      <w:pPr>
        <w:pStyle w:val="BodyText"/>
        <w:spacing w:before="6"/>
        <w:rPr>
          <w:sz w:val="8"/>
        </w:rPr>
      </w:pPr>
    </w:p>
    <w:tbl>
      <w:tblPr>
        <w:tblW w:w="0" w:type="auto"/>
        <w:tblCellSpacing w:w="6" w:type="dxa"/>
        <w:tblInd w:w="127" w:type="dxa"/>
        <w:tblLayout w:type="fixed"/>
        <w:tblCellMar>
          <w:left w:w="0" w:type="dxa"/>
          <w:right w:w="0" w:type="dxa"/>
        </w:tblCellMar>
        <w:tblLook w:val="01E0" w:firstRow="1" w:lastRow="1" w:firstColumn="1" w:lastColumn="1" w:noHBand="0" w:noVBand="0"/>
      </w:tblPr>
      <w:tblGrid>
        <w:gridCol w:w="2013"/>
        <w:gridCol w:w="2012"/>
        <w:gridCol w:w="2011"/>
        <w:gridCol w:w="2011"/>
        <w:gridCol w:w="1785"/>
      </w:tblGrid>
      <w:tr w:rsidR="00141B97" w14:paraId="440FB812" w14:textId="77777777">
        <w:trPr>
          <w:trHeight w:val="396"/>
          <w:tblCellSpacing w:w="6" w:type="dxa"/>
        </w:trPr>
        <w:tc>
          <w:tcPr>
            <w:tcW w:w="1995" w:type="dxa"/>
            <w:tcBorders>
              <w:bottom w:val="nil"/>
            </w:tcBorders>
            <w:shd w:val="clear" w:color="auto" w:fill="0064A4"/>
          </w:tcPr>
          <w:p w14:paraId="1E865D9A" w14:textId="77777777" w:rsidR="00141B97" w:rsidRDefault="00911D63">
            <w:pPr>
              <w:pStyle w:val="TableParagraph"/>
              <w:spacing w:before="89"/>
              <w:ind w:left="100"/>
              <w:rPr>
                <w:sz w:val="18"/>
              </w:rPr>
            </w:pPr>
            <w:r>
              <w:rPr>
                <w:color w:val="FFFFFF"/>
                <w:sz w:val="18"/>
              </w:rPr>
              <w:t xml:space="preserve">Service </w:t>
            </w:r>
            <w:r>
              <w:rPr>
                <w:color w:val="FFFFFF"/>
                <w:spacing w:val="-2"/>
                <w:sz w:val="18"/>
              </w:rPr>
              <w:t>Category</w:t>
            </w:r>
          </w:p>
        </w:tc>
        <w:tc>
          <w:tcPr>
            <w:tcW w:w="2000" w:type="dxa"/>
            <w:tcBorders>
              <w:bottom w:val="nil"/>
              <w:right w:val="nil"/>
            </w:tcBorders>
            <w:shd w:val="clear" w:color="auto" w:fill="0064A4"/>
          </w:tcPr>
          <w:p w14:paraId="23C1A3C1" w14:textId="77777777" w:rsidR="00141B97" w:rsidRDefault="00911D63">
            <w:pPr>
              <w:pStyle w:val="TableParagraph"/>
              <w:spacing w:before="89"/>
              <w:ind w:left="569" w:right="595"/>
              <w:jc w:val="center"/>
              <w:rPr>
                <w:sz w:val="18"/>
              </w:rPr>
            </w:pPr>
            <w:r>
              <w:rPr>
                <w:color w:val="FFFFFF"/>
                <w:spacing w:val="-2"/>
                <w:sz w:val="18"/>
              </w:rPr>
              <w:t>2018‐19</w:t>
            </w:r>
          </w:p>
        </w:tc>
        <w:tc>
          <w:tcPr>
            <w:tcW w:w="1999" w:type="dxa"/>
            <w:tcBorders>
              <w:left w:val="nil"/>
              <w:bottom w:val="nil"/>
              <w:right w:val="nil"/>
            </w:tcBorders>
            <w:shd w:val="clear" w:color="auto" w:fill="0064A4"/>
          </w:tcPr>
          <w:p w14:paraId="56B3EF8A" w14:textId="77777777" w:rsidR="00141B97" w:rsidRDefault="00911D63">
            <w:pPr>
              <w:pStyle w:val="TableParagraph"/>
              <w:spacing w:before="89"/>
              <w:ind w:left="570" w:right="596"/>
              <w:jc w:val="center"/>
              <w:rPr>
                <w:sz w:val="18"/>
              </w:rPr>
            </w:pPr>
            <w:r>
              <w:rPr>
                <w:color w:val="FFFFFF"/>
                <w:spacing w:val="-2"/>
                <w:sz w:val="18"/>
              </w:rPr>
              <w:t>2019‐20</w:t>
            </w:r>
          </w:p>
        </w:tc>
        <w:tc>
          <w:tcPr>
            <w:tcW w:w="1999" w:type="dxa"/>
            <w:tcBorders>
              <w:left w:val="nil"/>
              <w:bottom w:val="nil"/>
              <w:right w:val="nil"/>
            </w:tcBorders>
            <w:shd w:val="clear" w:color="auto" w:fill="0064A4"/>
          </w:tcPr>
          <w:p w14:paraId="4FF96576" w14:textId="77777777" w:rsidR="00141B97" w:rsidRDefault="00911D63">
            <w:pPr>
              <w:pStyle w:val="TableParagraph"/>
              <w:spacing w:before="89"/>
              <w:ind w:left="570" w:right="596"/>
              <w:jc w:val="center"/>
              <w:rPr>
                <w:sz w:val="18"/>
              </w:rPr>
            </w:pPr>
            <w:r>
              <w:rPr>
                <w:color w:val="FFFFFF"/>
                <w:spacing w:val="-2"/>
                <w:sz w:val="18"/>
              </w:rPr>
              <w:t>2020‐21</w:t>
            </w:r>
          </w:p>
        </w:tc>
        <w:tc>
          <w:tcPr>
            <w:tcW w:w="1767" w:type="dxa"/>
            <w:tcBorders>
              <w:left w:val="nil"/>
              <w:bottom w:val="nil"/>
            </w:tcBorders>
            <w:shd w:val="clear" w:color="auto" w:fill="0064A4"/>
          </w:tcPr>
          <w:p w14:paraId="2DB64206" w14:textId="77777777" w:rsidR="00141B97" w:rsidRDefault="00911D63">
            <w:pPr>
              <w:pStyle w:val="TableParagraph"/>
              <w:spacing w:before="89"/>
              <w:ind w:left="455" w:right="477"/>
              <w:jc w:val="center"/>
              <w:rPr>
                <w:sz w:val="18"/>
              </w:rPr>
            </w:pPr>
            <w:r>
              <w:rPr>
                <w:color w:val="FFFFFF"/>
                <w:spacing w:val="-2"/>
                <w:sz w:val="18"/>
              </w:rPr>
              <w:t>2021‐22</w:t>
            </w:r>
          </w:p>
        </w:tc>
      </w:tr>
      <w:tr w:rsidR="00141B97" w14:paraId="38FDBEB8" w14:textId="77777777">
        <w:trPr>
          <w:trHeight w:val="314"/>
          <w:tblCellSpacing w:w="6" w:type="dxa"/>
        </w:trPr>
        <w:tc>
          <w:tcPr>
            <w:tcW w:w="1995" w:type="dxa"/>
            <w:tcBorders>
              <w:top w:val="nil"/>
              <w:bottom w:val="nil"/>
            </w:tcBorders>
            <w:shd w:val="clear" w:color="auto" w:fill="CCE2ED"/>
          </w:tcPr>
          <w:p w14:paraId="2A1566DA" w14:textId="77777777" w:rsidR="00141B97" w:rsidRDefault="00911D63">
            <w:pPr>
              <w:pStyle w:val="TableParagraph"/>
              <w:spacing w:before="48"/>
              <w:ind w:left="100"/>
              <w:rPr>
                <w:sz w:val="18"/>
              </w:rPr>
            </w:pPr>
            <w:r>
              <w:rPr>
                <w:sz w:val="18"/>
              </w:rPr>
              <w:t>Urban</w:t>
            </w:r>
            <w:r>
              <w:rPr>
                <w:spacing w:val="-1"/>
                <w:sz w:val="18"/>
              </w:rPr>
              <w:t xml:space="preserve"> </w:t>
            </w:r>
            <w:r>
              <w:rPr>
                <w:spacing w:val="-2"/>
                <w:sz w:val="18"/>
              </w:rPr>
              <w:t>Water</w:t>
            </w:r>
          </w:p>
        </w:tc>
        <w:tc>
          <w:tcPr>
            <w:tcW w:w="2000" w:type="dxa"/>
            <w:tcBorders>
              <w:top w:val="nil"/>
              <w:bottom w:val="nil"/>
              <w:right w:val="nil"/>
            </w:tcBorders>
            <w:shd w:val="clear" w:color="auto" w:fill="CCE2ED"/>
          </w:tcPr>
          <w:p w14:paraId="12178AA5" w14:textId="77777777" w:rsidR="00141B97" w:rsidRDefault="00911D63">
            <w:pPr>
              <w:pStyle w:val="TableParagraph"/>
              <w:spacing w:before="48"/>
              <w:ind w:left="605" w:right="595"/>
              <w:jc w:val="center"/>
              <w:rPr>
                <w:sz w:val="18"/>
              </w:rPr>
            </w:pPr>
            <w:r>
              <w:rPr>
                <w:sz w:val="18"/>
              </w:rPr>
              <w:t>No</w:t>
            </w:r>
            <w:r>
              <w:rPr>
                <w:spacing w:val="-1"/>
                <w:sz w:val="18"/>
              </w:rPr>
              <w:t xml:space="preserve"> </w:t>
            </w:r>
            <w:r>
              <w:rPr>
                <w:spacing w:val="-2"/>
                <w:sz w:val="18"/>
              </w:rPr>
              <w:t>change</w:t>
            </w:r>
          </w:p>
        </w:tc>
        <w:tc>
          <w:tcPr>
            <w:tcW w:w="1999" w:type="dxa"/>
            <w:tcBorders>
              <w:top w:val="nil"/>
              <w:left w:val="nil"/>
              <w:bottom w:val="nil"/>
              <w:right w:val="nil"/>
            </w:tcBorders>
            <w:shd w:val="clear" w:color="auto" w:fill="CCE2ED"/>
          </w:tcPr>
          <w:p w14:paraId="2C2EA06D" w14:textId="77777777" w:rsidR="00141B97" w:rsidRDefault="00911D63">
            <w:pPr>
              <w:pStyle w:val="TableParagraph"/>
              <w:spacing w:before="48"/>
              <w:ind w:left="603" w:right="596"/>
              <w:jc w:val="center"/>
              <w:rPr>
                <w:sz w:val="18"/>
              </w:rPr>
            </w:pPr>
            <w:r>
              <w:rPr>
                <w:sz w:val="18"/>
              </w:rPr>
              <w:t>No</w:t>
            </w:r>
            <w:r>
              <w:rPr>
                <w:spacing w:val="-1"/>
                <w:sz w:val="18"/>
              </w:rPr>
              <w:t xml:space="preserve"> </w:t>
            </w:r>
            <w:r>
              <w:rPr>
                <w:spacing w:val="-2"/>
                <w:sz w:val="18"/>
              </w:rPr>
              <w:t>change</w:t>
            </w:r>
          </w:p>
        </w:tc>
        <w:tc>
          <w:tcPr>
            <w:tcW w:w="1999" w:type="dxa"/>
            <w:tcBorders>
              <w:top w:val="nil"/>
              <w:left w:val="nil"/>
              <w:bottom w:val="nil"/>
              <w:right w:val="nil"/>
            </w:tcBorders>
            <w:shd w:val="clear" w:color="auto" w:fill="CCE2ED"/>
          </w:tcPr>
          <w:p w14:paraId="13CD5030" w14:textId="77777777" w:rsidR="00141B97" w:rsidRDefault="00911D63">
            <w:pPr>
              <w:pStyle w:val="TableParagraph"/>
              <w:spacing w:before="48"/>
              <w:ind w:left="603" w:right="595"/>
              <w:jc w:val="center"/>
              <w:rPr>
                <w:sz w:val="18"/>
              </w:rPr>
            </w:pPr>
            <w:r>
              <w:rPr>
                <w:sz w:val="18"/>
              </w:rPr>
              <w:t>No</w:t>
            </w:r>
            <w:r>
              <w:rPr>
                <w:spacing w:val="-1"/>
                <w:sz w:val="18"/>
              </w:rPr>
              <w:t xml:space="preserve"> </w:t>
            </w:r>
            <w:r>
              <w:rPr>
                <w:spacing w:val="-2"/>
                <w:sz w:val="18"/>
              </w:rPr>
              <w:t>change</w:t>
            </w:r>
          </w:p>
        </w:tc>
        <w:tc>
          <w:tcPr>
            <w:tcW w:w="1767" w:type="dxa"/>
            <w:tcBorders>
              <w:top w:val="nil"/>
              <w:left w:val="nil"/>
              <w:bottom w:val="nil"/>
            </w:tcBorders>
            <w:shd w:val="clear" w:color="auto" w:fill="CCE2ED"/>
          </w:tcPr>
          <w:p w14:paraId="468A0C11" w14:textId="77777777" w:rsidR="00141B97" w:rsidRDefault="00911D63">
            <w:pPr>
              <w:pStyle w:val="TableParagraph"/>
              <w:spacing w:before="48"/>
              <w:ind w:left="491" w:right="477"/>
              <w:jc w:val="center"/>
              <w:rPr>
                <w:sz w:val="18"/>
              </w:rPr>
            </w:pPr>
            <w:r>
              <w:rPr>
                <w:sz w:val="18"/>
              </w:rPr>
              <w:t>No</w:t>
            </w:r>
            <w:r>
              <w:rPr>
                <w:spacing w:val="-1"/>
                <w:sz w:val="18"/>
              </w:rPr>
              <w:t xml:space="preserve"> </w:t>
            </w:r>
            <w:r>
              <w:rPr>
                <w:spacing w:val="-2"/>
                <w:sz w:val="18"/>
              </w:rPr>
              <w:t>change</w:t>
            </w:r>
          </w:p>
        </w:tc>
      </w:tr>
      <w:tr w:rsidR="00141B97" w14:paraId="420D840B" w14:textId="77777777">
        <w:trPr>
          <w:trHeight w:val="315"/>
          <w:tblCellSpacing w:w="6" w:type="dxa"/>
        </w:trPr>
        <w:tc>
          <w:tcPr>
            <w:tcW w:w="1995" w:type="dxa"/>
            <w:tcBorders>
              <w:top w:val="nil"/>
            </w:tcBorders>
            <w:shd w:val="clear" w:color="auto" w:fill="CCE2ED"/>
          </w:tcPr>
          <w:p w14:paraId="798A6AD0" w14:textId="77777777" w:rsidR="00141B97" w:rsidRDefault="00911D63">
            <w:pPr>
              <w:pStyle w:val="TableParagraph"/>
              <w:spacing w:before="49"/>
              <w:ind w:left="100"/>
              <w:rPr>
                <w:sz w:val="18"/>
              </w:rPr>
            </w:pPr>
            <w:r>
              <w:rPr>
                <w:spacing w:val="-2"/>
                <w:sz w:val="18"/>
              </w:rPr>
              <w:t>Sewerage</w:t>
            </w:r>
          </w:p>
        </w:tc>
        <w:tc>
          <w:tcPr>
            <w:tcW w:w="2000" w:type="dxa"/>
            <w:tcBorders>
              <w:top w:val="nil"/>
              <w:right w:val="nil"/>
            </w:tcBorders>
            <w:shd w:val="clear" w:color="auto" w:fill="CCE2ED"/>
          </w:tcPr>
          <w:p w14:paraId="4E30A2D3" w14:textId="77777777" w:rsidR="00141B97" w:rsidRDefault="00911D63">
            <w:pPr>
              <w:pStyle w:val="TableParagraph"/>
              <w:spacing w:before="49"/>
              <w:ind w:left="605" w:right="595"/>
              <w:jc w:val="center"/>
              <w:rPr>
                <w:sz w:val="18"/>
              </w:rPr>
            </w:pPr>
            <w:r>
              <w:rPr>
                <w:sz w:val="18"/>
              </w:rPr>
              <w:t>No</w:t>
            </w:r>
            <w:r>
              <w:rPr>
                <w:spacing w:val="-1"/>
                <w:sz w:val="18"/>
              </w:rPr>
              <w:t xml:space="preserve"> </w:t>
            </w:r>
            <w:r>
              <w:rPr>
                <w:spacing w:val="-2"/>
                <w:sz w:val="18"/>
              </w:rPr>
              <w:t>change</w:t>
            </w:r>
          </w:p>
        </w:tc>
        <w:tc>
          <w:tcPr>
            <w:tcW w:w="1999" w:type="dxa"/>
            <w:tcBorders>
              <w:top w:val="nil"/>
              <w:left w:val="nil"/>
              <w:right w:val="nil"/>
            </w:tcBorders>
            <w:shd w:val="clear" w:color="auto" w:fill="CCE2ED"/>
          </w:tcPr>
          <w:p w14:paraId="3AE35CD5" w14:textId="77777777" w:rsidR="00141B97" w:rsidRDefault="00911D63">
            <w:pPr>
              <w:pStyle w:val="TableParagraph"/>
              <w:spacing w:before="49"/>
              <w:ind w:left="603" w:right="596"/>
              <w:jc w:val="center"/>
              <w:rPr>
                <w:sz w:val="18"/>
              </w:rPr>
            </w:pPr>
            <w:r>
              <w:rPr>
                <w:sz w:val="18"/>
              </w:rPr>
              <w:t>No</w:t>
            </w:r>
            <w:r>
              <w:rPr>
                <w:spacing w:val="-1"/>
                <w:sz w:val="18"/>
              </w:rPr>
              <w:t xml:space="preserve"> </w:t>
            </w:r>
            <w:r>
              <w:rPr>
                <w:spacing w:val="-2"/>
                <w:sz w:val="18"/>
              </w:rPr>
              <w:t>change</w:t>
            </w:r>
          </w:p>
        </w:tc>
        <w:tc>
          <w:tcPr>
            <w:tcW w:w="1999" w:type="dxa"/>
            <w:tcBorders>
              <w:top w:val="nil"/>
              <w:left w:val="nil"/>
              <w:right w:val="nil"/>
            </w:tcBorders>
            <w:shd w:val="clear" w:color="auto" w:fill="CCE2ED"/>
          </w:tcPr>
          <w:p w14:paraId="3F6D2B99" w14:textId="77777777" w:rsidR="00141B97" w:rsidRDefault="00911D63">
            <w:pPr>
              <w:pStyle w:val="TableParagraph"/>
              <w:spacing w:before="49"/>
              <w:ind w:left="603" w:right="595"/>
              <w:jc w:val="center"/>
              <w:rPr>
                <w:sz w:val="18"/>
              </w:rPr>
            </w:pPr>
            <w:r>
              <w:rPr>
                <w:sz w:val="18"/>
              </w:rPr>
              <w:t>No</w:t>
            </w:r>
            <w:r>
              <w:rPr>
                <w:spacing w:val="-1"/>
                <w:sz w:val="18"/>
              </w:rPr>
              <w:t xml:space="preserve"> </w:t>
            </w:r>
            <w:r>
              <w:rPr>
                <w:spacing w:val="-2"/>
                <w:sz w:val="18"/>
              </w:rPr>
              <w:t>change</w:t>
            </w:r>
          </w:p>
        </w:tc>
        <w:tc>
          <w:tcPr>
            <w:tcW w:w="1767" w:type="dxa"/>
            <w:tcBorders>
              <w:top w:val="nil"/>
              <w:left w:val="nil"/>
            </w:tcBorders>
            <w:shd w:val="clear" w:color="auto" w:fill="CCE2ED"/>
          </w:tcPr>
          <w:p w14:paraId="5A2E6CB7" w14:textId="77777777" w:rsidR="00141B97" w:rsidRDefault="00911D63">
            <w:pPr>
              <w:pStyle w:val="TableParagraph"/>
              <w:spacing w:before="49"/>
              <w:ind w:left="491" w:right="477"/>
              <w:jc w:val="center"/>
              <w:rPr>
                <w:sz w:val="18"/>
              </w:rPr>
            </w:pPr>
            <w:r>
              <w:rPr>
                <w:sz w:val="18"/>
              </w:rPr>
              <w:t>No</w:t>
            </w:r>
            <w:r>
              <w:rPr>
                <w:spacing w:val="-1"/>
                <w:sz w:val="18"/>
              </w:rPr>
              <w:t xml:space="preserve"> </w:t>
            </w:r>
            <w:r>
              <w:rPr>
                <w:spacing w:val="-2"/>
                <w:sz w:val="18"/>
              </w:rPr>
              <w:t>change</w:t>
            </w:r>
          </w:p>
        </w:tc>
      </w:tr>
    </w:tbl>
    <w:p w14:paraId="1B8F727D" w14:textId="77777777" w:rsidR="00141B97" w:rsidRDefault="00911D63">
      <w:pPr>
        <w:spacing w:before="22"/>
        <w:ind w:left="114"/>
        <w:rPr>
          <w:sz w:val="16"/>
        </w:rPr>
      </w:pPr>
      <w:r>
        <w:rPr>
          <w:sz w:val="16"/>
        </w:rPr>
        <w:t>Table</w:t>
      </w:r>
      <w:r>
        <w:rPr>
          <w:spacing w:val="-4"/>
          <w:sz w:val="16"/>
        </w:rPr>
        <w:t xml:space="preserve"> </w:t>
      </w:r>
      <w:r>
        <w:rPr>
          <w:sz w:val="16"/>
        </w:rPr>
        <w:t>B4:</w:t>
      </w:r>
      <w:r>
        <w:rPr>
          <w:spacing w:val="-3"/>
          <w:sz w:val="16"/>
        </w:rPr>
        <w:t xml:space="preserve"> </w:t>
      </w:r>
      <w:r>
        <w:rPr>
          <w:sz w:val="16"/>
        </w:rPr>
        <w:t>Urban</w:t>
      </w:r>
      <w:r>
        <w:rPr>
          <w:spacing w:val="-4"/>
          <w:sz w:val="16"/>
        </w:rPr>
        <w:t xml:space="preserve"> </w:t>
      </w:r>
      <w:r>
        <w:rPr>
          <w:sz w:val="16"/>
        </w:rPr>
        <w:t>Changes</w:t>
      </w:r>
      <w:r>
        <w:rPr>
          <w:spacing w:val="-6"/>
          <w:sz w:val="16"/>
        </w:rPr>
        <w:t xml:space="preserve"> </w:t>
      </w:r>
      <w:r>
        <w:rPr>
          <w:sz w:val="16"/>
        </w:rPr>
        <w:t>to</w:t>
      </w:r>
      <w:r>
        <w:rPr>
          <w:spacing w:val="-4"/>
          <w:sz w:val="16"/>
        </w:rPr>
        <w:t xml:space="preserve"> </w:t>
      </w:r>
      <w:r>
        <w:rPr>
          <w:sz w:val="16"/>
        </w:rPr>
        <w:t>Urban</w:t>
      </w:r>
      <w:r>
        <w:rPr>
          <w:spacing w:val="-5"/>
          <w:sz w:val="16"/>
        </w:rPr>
        <w:t xml:space="preserve"> </w:t>
      </w:r>
      <w:r>
        <w:rPr>
          <w:sz w:val="16"/>
        </w:rPr>
        <w:t>Approved</w:t>
      </w:r>
      <w:r>
        <w:rPr>
          <w:spacing w:val="-5"/>
          <w:sz w:val="16"/>
        </w:rPr>
        <w:t xml:space="preserve"> </w:t>
      </w:r>
      <w:r>
        <w:rPr>
          <w:sz w:val="16"/>
        </w:rPr>
        <w:t>Price</w:t>
      </w:r>
      <w:r>
        <w:rPr>
          <w:spacing w:val="-4"/>
          <w:sz w:val="16"/>
        </w:rPr>
        <w:t xml:space="preserve"> Path</w:t>
      </w:r>
    </w:p>
    <w:p w14:paraId="6927ECBD" w14:textId="77777777" w:rsidR="00141B97" w:rsidRDefault="00141B97">
      <w:pPr>
        <w:pStyle w:val="BodyText"/>
        <w:rPr>
          <w:sz w:val="16"/>
        </w:rPr>
      </w:pPr>
    </w:p>
    <w:p w14:paraId="3BB20BDE" w14:textId="77777777" w:rsidR="00141B97" w:rsidRDefault="00141B97">
      <w:pPr>
        <w:pStyle w:val="BodyText"/>
        <w:spacing w:before="2"/>
        <w:rPr>
          <w:sz w:val="15"/>
        </w:rPr>
      </w:pPr>
    </w:p>
    <w:p w14:paraId="387E0B21" w14:textId="77777777" w:rsidR="00141B97" w:rsidRDefault="00911D63">
      <w:pPr>
        <w:pStyle w:val="Heading2"/>
        <w:numPr>
          <w:ilvl w:val="1"/>
          <w:numId w:val="81"/>
        </w:numPr>
        <w:tabs>
          <w:tab w:val="left" w:pos="1112"/>
          <w:tab w:val="left" w:pos="1113"/>
        </w:tabs>
      </w:pPr>
      <w:r>
        <w:rPr>
          <w:color w:val="009BAC"/>
        </w:rPr>
        <w:t>Actual</w:t>
      </w:r>
      <w:r>
        <w:rPr>
          <w:color w:val="009BAC"/>
          <w:spacing w:val="-10"/>
        </w:rPr>
        <w:t xml:space="preserve"> </w:t>
      </w:r>
      <w:r>
        <w:rPr>
          <w:color w:val="009BAC"/>
        </w:rPr>
        <w:t>Operating</w:t>
      </w:r>
      <w:r>
        <w:rPr>
          <w:color w:val="009BAC"/>
          <w:spacing w:val="-8"/>
        </w:rPr>
        <w:t xml:space="preserve"> </w:t>
      </w:r>
      <w:r>
        <w:rPr>
          <w:color w:val="009BAC"/>
        </w:rPr>
        <w:t>Expenditure</w:t>
      </w:r>
      <w:r>
        <w:rPr>
          <w:color w:val="009BAC"/>
          <w:spacing w:val="-10"/>
        </w:rPr>
        <w:t xml:space="preserve"> </w:t>
      </w:r>
      <w:r>
        <w:rPr>
          <w:color w:val="009BAC"/>
        </w:rPr>
        <w:t>for</w:t>
      </w:r>
      <w:r>
        <w:rPr>
          <w:color w:val="009BAC"/>
          <w:spacing w:val="-9"/>
        </w:rPr>
        <w:t xml:space="preserve"> </w:t>
      </w:r>
      <w:r>
        <w:rPr>
          <w:color w:val="009BAC"/>
        </w:rPr>
        <w:t>the</w:t>
      </w:r>
      <w:r>
        <w:rPr>
          <w:color w:val="009BAC"/>
          <w:spacing w:val="-9"/>
        </w:rPr>
        <w:t xml:space="preserve"> </w:t>
      </w:r>
      <w:r>
        <w:rPr>
          <w:color w:val="009BAC"/>
        </w:rPr>
        <w:t>Delivery</w:t>
      </w:r>
      <w:r>
        <w:rPr>
          <w:color w:val="009BAC"/>
          <w:spacing w:val="-9"/>
        </w:rPr>
        <w:t xml:space="preserve"> </w:t>
      </w:r>
      <w:r>
        <w:rPr>
          <w:color w:val="009BAC"/>
        </w:rPr>
        <w:t>of</w:t>
      </w:r>
      <w:r>
        <w:rPr>
          <w:color w:val="009BAC"/>
          <w:spacing w:val="-8"/>
        </w:rPr>
        <w:t xml:space="preserve"> </w:t>
      </w:r>
      <w:r>
        <w:rPr>
          <w:color w:val="009BAC"/>
          <w:spacing w:val="-2"/>
        </w:rPr>
        <w:t>Outcomes</w:t>
      </w:r>
    </w:p>
    <w:p w14:paraId="567DD5C4" w14:textId="77777777" w:rsidR="00141B97" w:rsidRDefault="00911D63">
      <w:pPr>
        <w:pStyle w:val="ListParagraph"/>
        <w:numPr>
          <w:ilvl w:val="2"/>
          <w:numId w:val="81"/>
        </w:numPr>
        <w:tabs>
          <w:tab w:val="left" w:pos="1112"/>
          <w:tab w:val="left" w:pos="1113"/>
        </w:tabs>
        <w:spacing w:before="252"/>
      </w:pPr>
      <w:r>
        <w:rPr>
          <w:spacing w:val="-2"/>
        </w:rPr>
        <w:t>Summary</w:t>
      </w:r>
    </w:p>
    <w:p w14:paraId="347EA5CF" w14:textId="77777777" w:rsidR="00141B97" w:rsidRDefault="00911D63">
      <w:pPr>
        <w:spacing w:before="158"/>
        <w:ind w:left="113" w:right="812"/>
        <w:rPr>
          <w:sz w:val="24"/>
        </w:rPr>
      </w:pPr>
      <w:r>
        <w:rPr>
          <w:sz w:val="24"/>
        </w:rPr>
        <w:t>Table</w:t>
      </w:r>
      <w:r>
        <w:rPr>
          <w:spacing w:val="-3"/>
          <w:sz w:val="24"/>
        </w:rPr>
        <w:t xml:space="preserve"> </w:t>
      </w:r>
      <w:r>
        <w:rPr>
          <w:sz w:val="24"/>
        </w:rPr>
        <w:t>B5</w:t>
      </w:r>
      <w:r>
        <w:rPr>
          <w:spacing w:val="-4"/>
          <w:sz w:val="24"/>
        </w:rPr>
        <w:t xml:space="preserve"> </w:t>
      </w:r>
      <w:r>
        <w:rPr>
          <w:sz w:val="24"/>
        </w:rPr>
        <w:t>shows</w:t>
      </w:r>
      <w:r>
        <w:rPr>
          <w:spacing w:val="-5"/>
          <w:sz w:val="24"/>
        </w:rPr>
        <w:t xml:space="preserve"> </w:t>
      </w:r>
      <w:r>
        <w:rPr>
          <w:sz w:val="24"/>
        </w:rPr>
        <w:t>total</w:t>
      </w:r>
      <w:r>
        <w:rPr>
          <w:spacing w:val="-5"/>
          <w:sz w:val="24"/>
        </w:rPr>
        <w:t xml:space="preserve"> </w:t>
      </w:r>
      <w:r>
        <w:rPr>
          <w:sz w:val="24"/>
        </w:rPr>
        <w:t>prescribed</w:t>
      </w:r>
      <w:r>
        <w:rPr>
          <w:spacing w:val="-5"/>
          <w:sz w:val="24"/>
        </w:rPr>
        <w:t xml:space="preserve"> </w:t>
      </w:r>
      <w:r>
        <w:rPr>
          <w:sz w:val="24"/>
        </w:rPr>
        <w:t>operating</w:t>
      </w:r>
      <w:r>
        <w:rPr>
          <w:spacing w:val="-3"/>
          <w:sz w:val="24"/>
        </w:rPr>
        <w:t xml:space="preserve"> </w:t>
      </w:r>
      <w:r>
        <w:rPr>
          <w:sz w:val="24"/>
        </w:rPr>
        <w:t>costs</w:t>
      </w:r>
      <w:r>
        <w:rPr>
          <w:spacing w:val="-4"/>
          <w:sz w:val="24"/>
        </w:rPr>
        <w:t xml:space="preserve"> </w:t>
      </w:r>
      <w:r>
        <w:rPr>
          <w:sz w:val="24"/>
        </w:rPr>
        <w:t>over</w:t>
      </w:r>
      <w:r>
        <w:rPr>
          <w:spacing w:val="-3"/>
          <w:sz w:val="24"/>
        </w:rPr>
        <w:t xml:space="preserve"> </w:t>
      </w:r>
      <w:r>
        <w:rPr>
          <w:sz w:val="24"/>
        </w:rPr>
        <w:t>the</w:t>
      </w:r>
      <w:r>
        <w:rPr>
          <w:spacing w:val="-4"/>
          <w:sz w:val="24"/>
        </w:rPr>
        <w:t xml:space="preserve"> </w:t>
      </w:r>
      <w:r>
        <w:rPr>
          <w:sz w:val="24"/>
        </w:rPr>
        <w:t>PS4</w:t>
      </w:r>
      <w:r>
        <w:rPr>
          <w:spacing w:val="-4"/>
          <w:sz w:val="24"/>
        </w:rPr>
        <w:t xml:space="preserve"> </w:t>
      </w:r>
      <w:r>
        <w:rPr>
          <w:sz w:val="24"/>
        </w:rPr>
        <w:t>period</w:t>
      </w:r>
      <w:r>
        <w:rPr>
          <w:spacing w:val="-4"/>
          <w:sz w:val="24"/>
        </w:rPr>
        <w:t xml:space="preserve"> </w:t>
      </w:r>
      <w:r>
        <w:rPr>
          <w:sz w:val="24"/>
        </w:rPr>
        <w:t>to</w:t>
      </w:r>
      <w:r>
        <w:rPr>
          <w:spacing w:val="-4"/>
          <w:sz w:val="24"/>
        </w:rPr>
        <w:t xml:space="preserve"> </w:t>
      </w:r>
      <w:r>
        <w:rPr>
          <w:sz w:val="24"/>
        </w:rPr>
        <w:t>date</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$112.3m</w:t>
      </w:r>
      <w:r>
        <w:rPr>
          <w:spacing w:val="-4"/>
          <w:sz w:val="24"/>
        </w:rPr>
        <w:t xml:space="preserve"> </w:t>
      </w:r>
      <w:r>
        <w:rPr>
          <w:sz w:val="24"/>
        </w:rPr>
        <w:t>compared to the ESC budget of $104.3m, representing an overall increase of $8.0m or 8%.</w:t>
      </w:r>
    </w:p>
    <w:p w14:paraId="79ABB55C" w14:textId="77777777" w:rsidR="00141B97" w:rsidRDefault="00911D63">
      <w:pPr>
        <w:spacing w:before="120"/>
        <w:ind w:left="113"/>
        <w:rPr>
          <w:sz w:val="24"/>
        </w:rPr>
      </w:pPr>
      <w:r>
        <w:rPr>
          <w:sz w:val="24"/>
        </w:rPr>
        <w:t>This resulted</w:t>
      </w:r>
      <w:r>
        <w:rPr>
          <w:spacing w:val="-1"/>
          <w:sz w:val="24"/>
        </w:rPr>
        <w:t xml:space="preserve"> </w:t>
      </w:r>
      <w:r>
        <w:rPr>
          <w:sz w:val="24"/>
        </w:rPr>
        <w:t>primarily</w:t>
      </w:r>
      <w:r>
        <w:rPr>
          <w:spacing w:val="-1"/>
          <w:sz w:val="24"/>
        </w:rPr>
        <w:t xml:space="preserve"> </w:t>
      </w:r>
      <w:r>
        <w:rPr>
          <w:sz w:val="24"/>
        </w:rPr>
        <w:t>from</w:t>
      </w:r>
      <w:r>
        <w:rPr>
          <w:spacing w:val="-1"/>
          <w:sz w:val="24"/>
        </w:rPr>
        <w:t xml:space="preserve"> </w:t>
      </w:r>
      <w:r>
        <w:rPr>
          <w:sz w:val="24"/>
        </w:rPr>
        <w:t>unplanned</w:t>
      </w:r>
      <w:r>
        <w:rPr>
          <w:spacing w:val="-1"/>
          <w:sz w:val="24"/>
        </w:rPr>
        <w:t xml:space="preserve"> </w:t>
      </w:r>
      <w:r>
        <w:rPr>
          <w:sz w:val="24"/>
        </w:rPr>
        <w:t>increases</w:t>
      </w:r>
      <w:r>
        <w:rPr>
          <w:spacing w:val="-1"/>
          <w:sz w:val="24"/>
        </w:rPr>
        <w:t xml:space="preserve"> </w:t>
      </w:r>
      <w:r>
        <w:rPr>
          <w:sz w:val="24"/>
        </w:rPr>
        <w:t>in total</w:t>
      </w:r>
      <w:r>
        <w:rPr>
          <w:spacing w:val="-1"/>
          <w:sz w:val="24"/>
        </w:rPr>
        <w:t xml:space="preserve"> </w:t>
      </w:r>
      <w:r>
        <w:rPr>
          <w:sz w:val="24"/>
        </w:rPr>
        <w:t>controllable</w:t>
      </w:r>
      <w:r>
        <w:rPr>
          <w:spacing w:val="-1"/>
          <w:sz w:val="24"/>
        </w:rPr>
        <w:t xml:space="preserve"> </w:t>
      </w:r>
      <w:r>
        <w:rPr>
          <w:sz w:val="24"/>
        </w:rPr>
        <w:t>costs</w:t>
      </w:r>
      <w:r>
        <w:rPr>
          <w:spacing w:val="-1"/>
          <w:sz w:val="24"/>
        </w:rPr>
        <w:t xml:space="preserve"> </w:t>
      </w:r>
      <w:r>
        <w:rPr>
          <w:sz w:val="24"/>
        </w:rPr>
        <w:t>of 12% for water</w:t>
      </w:r>
      <w:r>
        <w:rPr>
          <w:spacing w:val="-1"/>
          <w:sz w:val="24"/>
        </w:rPr>
        <w:t xml:space="preserve"> </w:t>
      </w:r>
      <w:r>
        <w:rPr>
          <w:sz w:val="24"/>
        </w:rPr>
        <w:t>services, contributing $6.7m of the $8.0m variance.</w:t>
      </w:r>
    </w:p>
    <w:p w14:paraId="4B598F58" w14:textId="77777777" w:rsidR="00141B97" w:rsidRDefault="00911D63">
      <w:pPr>
        <w:spacing w:before="120"/>
        <w:ind w:left="113" w:right="812"/>
        <w:rPr>
          <w:sz w:val="24"/>
        </w:rPr>
      </w:pPr>
      <w:r>
        <w:rPr>
          <w:sz w:val="24"/>
        </w:rPr>
        <w:t>Non‐controllable</w:t>
      </w:r>
      <w:r>
        <w:rPr>
          <w:spacing w:val="24"/>
          <w:sz w:val="24"/>
        </w:rPr>
        <w:t xml:space="preserve"> </w:t>
      </w:r>
      <w:r>
        <w:rPr>
          <w:sz w:val="24"/>
        </w:rPr>
        <w:t>costs</w:t>
      </w:r>
      <w:r>
        <w:rPr>
          <w:spacing w:val="24"/>
          <w:sz w:val="24"/>
        </w:rPr>
        <w:t xml:space="preserve"> </w:t>
      </w:r>
      <w:r>
        <w:rPr>
          <w:sz w:val="24"/>
        </w:rPr>
        <w:t>have</w:t>
      </w:r>
      <w:r>
        <w:rPr>
          <w:spacing w:val="24"/>
          <w:sz w:val="24"/>
        </w:rPr>
        <w:t xml:space="preserve"> </w:t>
      </w:r>
      <w:r>
        <w:rPr>
          <w:sz w:val="24"/>
        </w:rPr>
        <w:t>a</w:t>
      </w:r>
      <w:r>
        <w:rPr>
          <w:spacing w:val="23"/>
          <w:sz w:val="24"/>
        </w:rPr>
        <w:t xml:space="preserve"> </w:t>
      </w:r>
      <w:r>
        <w:rPr>
          <w:sz w:val="24"/>
        </w:rPr>
        <w:t>net</w:t>
      </w:r>
      <w:r>
        <w:rPr>
          <w:spacing w:val="24"/>
          <w:sz w:val="24"/>
        </w:rPr>
        <w:t xml:space="preserve"> </w:t>
      </w:r>
      <w:r>
        <w:rPr>
          <w:sz w:val="24"/>
        </w:rPr>
        <w:t>reduction</w:t>
      </w:r>
      <w:r>
        <w:rPr>
          <w:spacing w:val="23"/>
          <w:sz w:val="24"/>
        </w:rPr>
        <w:t xml:space="preserve"> </w:t>
      </w:r>
      <w:r>
        <w:rPr>
          <w:sz w:val="24"/>
        </w:rPr>
        <w:t>overall,</w:t>
      </w:r>
      <w:r>
        <w:rPr>
          <w:spacing w:val="24"/>
          <w:sz w:val="24"/>
        </w:rPr>
        <w:t xml:space="preserve"> </w:t>
      </w:r>
      <w:r>
        <w:rPr>
          <w:sz w:val="24"/>
        </w:rPr>
        <w:t>with</w:t>
      </w:r>
      <w:r>
        <w:rPr>
          <w:spacing w:val="23"/>
          <w:sz w:val="24"/>
        </w:rPr>
        <w:t xml:space="preserve"> </w:t>
      </w:r>
      <w:r>
        <w:rPr>
          <w:sz w:val="24"/>
        </w:rPr>
        <w:t>small</w:t>
      </w:r>
      <w:r>
        <w:rPr>
          <w:spacing w:val="23"/>
          <w:sz w:val="24"/>
        </w:rPr>
        <w:t xml:space="preserve"> </w:t>
      </w:r>
      <w:r>
        <w:rPr>
          <w:sz w:val="24"/>
        </w:rPr>
        <w:t>reductions</w:t>
      </w:r>
      <w:r>
        <w:rPr>
          <w:spacing w:val="23"/>
          <w:sz w:val="24"/>
        </w:rPr>
        <w:t xml:space="preserve"> </w:t>
      </w:r>
      <w:r>
        <w:rPr>
          <w:sz w:val="24"/>
        </w:rPr>
        <w:t>in</w:t>
      </w:r>
      <w:r>
        <w:rPr>
          <w:spacing w:val="24"/>
          <w:sz w:val="24"/>
        </w:rPr>
        <w:t xml:space="preserve"> </w:t>
      </w:r>
      <w:r>
        <w:rPr>
          <w:sz w:val="24"/>
        </w:rPr>
        <w:t>each</w:t>
      </w:r>
      <w:r>
        <w:rPr>
          <w:spacing w:val="26"/>
          <w:sz w:val="24"/>
        </w:rPr>
        <w:t xml:space="preserve"> </w:t>
      </w:r>
      <w:r>
        <w:rPr>
          <w:sz w:val="24"/>
        </w:rPr>
        <w:t>of</w:t>
      </w:r>
      <w:r>
        <w:rPr>
          <w:spacing w:val="24"/>
          <w:sz w:val="24"/>
        </w:rPr>
        <w:t xml:space="preserve"> </w:t>
      </w:r>
      <w:r>
        <w:rPr>
          <w:sz w:val="24"/>
        </w:rPr>
        <w:t>external</w:t>
      </w:r>
      <w:r>
        <w:rPr>
          <w:spacing w:val="24"/>
          <w:sz w:val="24"/>
        </w:rPr>
        <w:t xml:space="preserve"> </w:t>
      </w:r>
      <w:r>
        <w:rPr>
          <w:sz w:val="24"/>
        </w:rPr>
        <w:t>bulk water charges and environmental contributions.</w:t>
      </w:r>
    </w:p>
    <w:p w14:paraId="45DD05CD" w14:textId="77777777" w:rsidR="00141B97" w:rsidRDefault="00141B97">
      <w:pPr>
        <w:pStyle w:val="BodyText"/>
        <w:spacing w:before="7" w:after="1"/>
        <w:rPr>
          <w:sz w:val="21"/>
        </w:rPr>
      </w:pPr>
    </w:p>
    <w:tbl>
      <w:tblPr>
        <w:tblW w:w="0" w:type="auto"/>
        <w:tblCellSpacing w:w="9" w:type="dxa"/>
        <w:tblInd w:w="130" w:type="dxa"/>
        <w:tblLayout w:type="fixed"/>
        <w:tblCellMar>
          <w:left w:w="0" w:type="dxa"/>
          <w:right w:w="0" w:type="dxa"/>
        </w:tblCellMar>
        <w:tblLook w:val="01E0" w:firstRow="1" w:lastRow="1" w:firstColumn="1" w:lastColumn="1" w:noHBand="0" w:noVBand="0"/>
      </w:tblPr>
      <w:tblGrid>
        <w:gridCol w:w="1947"/>
        <w:gridCol w:w="656"/>
        <w:gridCol w:w="723"/>
        <w:gridCol w:w="681"/>
        <w:gridCol w:w="695"/>
        <w:gridCol w:w="655"/>
        <w:gridCol w:w="666"/>
        <w:gridCol w:w="685"/>
        <w:gridCol w:w="639"/>
        <w:gridCol w:w="713"/>
        <w:gridCol w:w="754"/>
        <w:gridCol w:w="594"/>
        <w:gridCol w:w="587"/>
      </w:tblGrid>
      <w:tr w:rsidR="00141B97" w14:paraId="3723728D" w14:textId="77777777">
        <w:trPr>
          <w:trHeight w:val="240"/>
          <w:tblCellSpacing w:w="9" w:type="dxa"/>
        </w:trPr>
        <w:tc>
          <w:tcPr>
            <w:tcW w:w="1920" w:type="dxa"/>
            <w:tcBorders>
              <w:top w:val="nil"/>
              <w:left w:val="nil"/>
            </w:tcBorders>
            <w:shd w:val="clear" w:color="auto" w:fill="0064A4"/>
          </w:tcPr>
          <w:p w14:paraId="4B34535A" w14:textId="77777777" w:rsidR="00141B97" w:rsidRDefault="00141B97">
            <w:pPr>
              <w:pStyle w:val="TableParagraph"/>
              <w:rPr>
                <w:rFonts w:ascii="Times New Roman"/>
                <w:sz w:val="16"/>
              </w:rPr>
            </w:pPr>
          </w:p>
        </w:tc>
        <w:tc>
          <w:tcPr>
            <w:tcW w:w="1343" w:type="dxa"/>
            <w:gridSpan w:val="2"/>
            <w:tcBorders>
              <w:top w:val="nil"/>
              <w:right w:val="nil"/>
            </w:tcBorders>
            <w:shd w:val="clear" w:color="auto" w:fill="0064A4"/>
          </w:tcPr>
          <w:p w14:paraId="316E8148" w14:textId="77777777" w:rsidR="00141B97" w:rsidRDefault="00911D63">
            <w:pPr>
              <w:pStyle w:val="TableParagraph"/>
              <w:spacing w:before="23"/>
              <w:ind w:left="430"/>
              <w:rPr>
                <w:sz w:val="16"/>
              </w:rPr>
            </w:pPr>
            <w:r>
              <w:rPr>
                <w:color w:val="FFFFFF"/>
                <w:spacing w:val="-2"/>
                <w:sz w:val="16"/>
              </w:rPr>
              <w:t>2018‐19</w:t>
            </w:r>
          </w:p>
        </w:tc>
        <w:tc>
          <w:tcPr>
            <w:tcW w:w="1340" w:type="dxa"/>
            <w:gridSpan w:val="2"/>
            <w:tcBorders>
              <w:top w:val="nil"/>
              <w:left w:val="nil"/>
              <w:right w:val="nil"/>
            </w:tcBorders>
            <w:shd w:val="clear" w:color="auto" w:fill="0064A4"/>
          </w:tcPr>
          <w:p w14:paraId="77627BF9" w14:textId="77777777" w:rsidR="00141B97" w:rsidRDefault="00911D63">
            <w:pPr>
              <w:pStyle w:val="TableParagraph"/>
              <w:spacing w:before="23"/>
              <w:ind w:left="437"/>
              <w:rPr>
                <w:sz w:val="16"/>
              </w:rPr>
            </w:pPr>
            <w:r>
              <w:rPr>
                <w:color w:val="FFFFFF"/>
                <w:spacing w:val="-2"/>
                <w:sz w:val="16"/>
              </w:rPr>
              <w:t>2019‐20</w:t>
            </w:r>
          </w:p>
        </w:tc>
        <w:tc>
          <w:tcPr>
            <w:tcW w:w="1285" w:type="dxa"/>
            <w:gridSpan w:val="2"/>
            <w:tcBorders>
              <w:top w:val="nil"/>
              <w:left w:val="nil"/>
              <w:right w:val="nil"/>
            </w:tcBorders>
            <w:shd w:val="clear" w:color="auto" w:fill="0064A4"/>
          </w:tcPr>
          <w:p w14:paraId="183AF0FA" w14:textId="77777777" w:rsidR="00141B97" w:rsidRDefault="00911D63">
            <w:pPr>
              <w:pStyle w:val="TableParagraph"/>
              <w:spacing w:before="23"/>
              <w:ind w:left="412"/>
              <w:rPr>
                <w:sz w:val="16"/>
              </w:rPr>
            </w:pPr>
            <w:r>
              <w:rPr>
                <w:color w:val="FFFFFF"/>
                <w:spacing w:val="-2"/>
                <w:sz w:val="16"/>
              </w:rPr>
              <w:t>2020‐21</w:t>
            </w:r>
          </w:p>
        </w:tc>
        <w:tc>
          <w:tcPr>
            <w:tcW w:w="1288" w:type="dxa"/>
            <w:gridSpan w:val="2"/>
            <w:tcBorders>
              <w:top w:val="nil"/>
              <w:left w:val="nil"/>
              <w:right w:val="nil"/>
            </w:tcBorders>
            <w:shd w:val="clear" w:color="auto" w:fill="0064A4"/>
          </w:tcPr>
          <w:p w14:paraId="283B617E" w14:textId="77777777" w:rsidR="00141B97" w:rsidRDefault="00911D63">
            <w:pPr>
              <w:pStyle w:val="TableParagraph"/>
              <w:spacing w:before="23"/>
              <w:ind w:left="416"/>
              <w:rPr>
                <w:sz w:val="16"/>
              </w:rPr>
            </w:pPr>
            <w:r>
              <w:rPr>
                <w:color w:val="FFFFFF"/>
                <w:spacing w:val="-2"/>
                <w:sz w:val="16"/>
              </w:rPr>
              <w:t>2021‐22</w:t>
            </w:r>
          </w:p>
        </w:tc>
        <w:tc>
          <w:tcPr>
            <w:tcW w:w="1431" w:type="dxa"/>
            <w:gridSpan w:val="2"/>
            <w:tcBorders>
              <w:top w:val="nil"/>
              <w:left w:val="nil"/>
              <w:right w:val="nil"/>
            </w:tcBorders>
            <w:shd w:val="clear" w:color="auto" w:fill="0064A4"/>
          </w:tcPr>
          <w:p w14:paraId="0917DADF" w14:textId="77777777" w:rsidR="00141B97" w:rsidRDefault="00911D63">
            <w:pPr>
              <w:pStyle w:val="TableParagraph"/>
              <w:spacing w:before="23"/>
              <w:ind w:left="329"/>
              <w:rPr>
                <w:sz w:val="16"/>
              </w:rPr>
            </w:pPr>
            <w:r>
              <w:rPr>
                <w:color w:val="FFFFFF"/>
                <w:spacing w:val="-6"/>
                <w:w w:val="95"/>
                <w:sz w:val="16"/>
              </w:rPr>
              <w:t>Period</w:t>
            </w:r>
            <w:r>
              <w:rPr>
                <w:color w:val="FFFFFF"/>
                <w:spacing w:val="-13"/>
                <w:w w:val="95"/>
                <w:sz w:val="16"/>
              </w:rPr>
              <w:t xml:space="preserve"> </w:t>
            </w:r>
            <w:r>
              <w:rPr>
                <w:color w:val="FFFFFF"/>
                <w:spacing w:val="-6"/>
                <w:w w:val="95"/>
                <w:sz w:val="16"/>
              </w:rPr>
              <w:t>to</w:t>
            </w:r>
            <w:r>
              <w:rPr>
                <w:color w:val="FFFFFF"/>
                <w:spacing w:val="-16"/>
                <w:w w:val="95"/>
                <w:sz w:val="16"/>
              </w:rPr>
              <w:t xml:space="preserve"> </w:t>
            </w:r>
            <w:r>
              <w:rPr>
                <w:color w:val="FFFFFF"/>
                <w:spacing w:val="-6"/>
                <w:w w:val="95"/>
                <w:sz w:val="16"/>
              </w:rPr>
              <w:t>Date</w:t>
            </w:r>
          </w:p>
        </w:tc>
        <w:tc>
          <w:tcPr>
            <w:tcW w:w="1136" w:type="dxa"/>
            <w:gridSpan w:val="2"/>
            <w:tcBorders>
              <w:top w:val="nil"/>
              <w:left w:val="nil"/>
              <w:right w:val="nil"/>
            </w:tcBorders>
            <w:shd w:val="clear" w:color="auto" w:fill="0064A4"/>
          </w:tcPr>
          <w:p w14:paraId="7334440C" w14:textId="77777777" w:rsidR="00141B97" w:rsidRDefault="00911D63">
            <w:pPr>
              <w:pStyle w:val="TableParagraph"/>
              <w:spacing w:before="1"/>
              <w:ind w:left="318"/>
              <w:rPr>
                <w:sz w:val="16"/>
              </w:rPr>
            </w:pPr>
            <w:r>
              <w:rPr>
                <w:color w:val="FFFFFF"/>
                <w:spacing w:val="-2"/>
                <w:sz w:val="16"/>
              </w:rPr>
              <w:t>Variances</w:t>
            </w:r>
          </w:p>
        </w:tc>
      </w:tr>
      <w:tr w:rsidR="00141B97" w14:paraId="131CA2FA" w14:textId="77777777">
        <w:trPr>
          <w:trHeight w:val="420"/>
          <w:tblCellSpacing w:w="9" w:type="dxa"/>
        </w:trPr>
        <w:tc>
          <w:tcPr>
            <w:tcW w:w="1920" w:type="dxa"/>
            <w:tcBorders>
              <w:left w:val="nil"/>
            </w:tcBorders>
            <w:shd w:val="clear" w:color="auto" w:fill="0064A4"/>
          </w:tcPr>
          <w:p w14:paraId="65EE5E2B" w14:textId="77777777" w:rsidR="00141B97" w:rsidRDefault="00911D63">
            <w:pPr>
              <w:pStyle w:val="TableParagraph"/>
              <w:spacing w:before="112"/>
              <w:ind w:left="608" w:right="601"/>
              <w:jc w:val="center"/>
              <w:rPr>
                <w:sz w:val="16"/>
              </w:rPr>
            </w:pPr>
            <w:r>
              <w:rPr>
                <w:color w:val="FFFFFF"/>
                <w:spacing w:val="-5"/>
                <w:w w:val="95"/>
                <w:sz w:val="16"/>
              </w:rPr>
              <w:t>$m,</w:t>
            </w:r>
            <w:r>
              <w:rPr>
                <w:color w:val="FFFFFF"/>
                <w:spacing w:val="-12"/>
                <w:w w:val="95"/>
                <w:sz w:val="16"/>
              </w:rPr>
              <w:t xml:space="preserve"> </w:t>
            </w:r>
            <w:r>
              <w:rPr>
                <w:color w:val="FFFFFF"/>
                <w:spacing w:val="-2"/>
                <w:sz w:val="16"/>
              </w:rPr>
              <w:t>1/1/23</w:t>
            </w:r>
          </w:p>
        </w:tc>
        <w:tc>
          <w:tcPr>
            <w:tcW w:w="638" w:type="dxa"/>
            <w:shd w:val="clear" w:color="auto" w:fill="0064A4"/>
          </w:tcPr>
          <w:p w14:paraId="049F7463" w14:textId="77777777" w:rsidR="00141B97" w:rsidRDefault="00911D63">
            <w:pPr>
              <w:pStyle w:val="TableParagraph"/>
              <w:spacing w:before="112"/>
              <w:ind w:right="107"/>
              <w:jc w:val="right"/>
              <w:rPr>
                <w:sz w:val="16"/>
              </w:rPr>
            </w:pPr>
            <w:r>
              <w:rPr>
                <w:color w:val="FFFFFF"/>
                <w:spacing w:val="-2"/>
                <w:sz w:val="16"/>
              </w:rPr>
              <w:t>Budget</w:t>
            </w:r>
          </w:p>
        </w:tc>
        <w:tc>
          <w:tcPr>
            <w:tcW w:w="705" w:type="dxa"/>
            <w:tcBorders>
              <w:right w:val="nil"/>
            </w:tcBorders>
            <w:shd w:val="clear" w:color="auto" w:fill="0064A4"/>
          </w:tcPr>
          <w:p w14:paraId="7440A87E" w14:textId="77777777" w:rsidR="00141B97" w:rsidRDefault="00911D63">
            <w:pPr>
              <w:pStyle w:val="TableParagraph"/>
              <w:spacing w:before="112"/>
              <w:ind w:left="172"/>
              <w:rPr>
                <w:sz w:val="16"/>
              </w:rPr>
            </w:pPr>
            <w:r>
              <w:rPr>
                <w:color w:val="FFFFFF"/>
                <w:spacing w:val="-2"/>
                <w:sz w:val="16"/>
              </w:rPr>
              <w:t>Actual</w:t>
            </w:r>
          </w:p>
        </w:tc>
        <w:tc>
          <w:tcPr>
            <w:tcW w:w="663" w:type="dxa"/>
            <w:tcBorders>
              <w:left w:val="nil"/>
            </w:tcBorders>
            <w:shd w:val="clear" w:color="auto" w:fill="0064A4"/>
          </w:tcPr>
          <w:p w14:paraId="6F8CE241" w14:textId="77777777" w:rsidR="00141B97" w:rsidRDefault="00911D63">
            <w:pPr>
              <w:pStyle w:val="TableParagraph"/>
              <w:spacing w:before="112"/>
              <w:ind w:right="117"/>
              <w:jc w:val="right"/>
              <w:rPr>
                <w:sz w:val="16"/>
              </w:rPr>
            </w:pPr>
            <w:r>
              <w:rPr>
                <w:color w:val="FFFFFF"/>
                <w:spacing w:val="-2"/>
                <w:sz w:val="16"/>
              </w:rPr>
              <w:t>Budget</w:t>
            </w:r>
          </w:p>
        </w:tc>
        <w:tc>
          <w:tcPr>
            <w:tcW w:w="677" w:type="dxa"/>
            <w:tcBorders>
              <w:right w:val="nil"/>
            </w:tcBorders>
            <w:shd w:val="clear" w:color="auto" w:fill="0064A4"/>
          </w:tcPr>
          <w:p w14:paraId="0AD0DAD1" w14:textId="77777777" w:rsidR="00141B97" w:rsidRDefault="00911D63">
            <w:pPr>
              <w:pStyle w:val="TableParagraph"/>
              <w:spacing w:before="112"/>
              <w:ind w:right="150"/>
              <w:jc w:val="right"/>
              <w:rPr>
                <w:sz w:val="16"/>
              </w:rPr>
            </w:pPr>
            <w:r>
              <w:rPr>
                <w:color w:val="FFFFFF"/>
                <w:spacing w:val="-2"/>
                <w:sz w:val="16"/>
              </w:rPr>
              <w:t>Actual</w:t>
            </w:r>
          </w:p>
        </w:tc>
        <w:tc>
          <w:tcPr>
            <w:tcW w:w="637" w:type="dxa"/>
            <w:tcBorders>
              <w:left w:val="nil"/>
            </w:tcBorders>
            <w:shd w:val="clear" w:color="auto" w:fill="0064A4"/>
          </w:tcPr>
          <w:p w14:paraId="09673981" w14:textId="77777777" w:rsidR="00141B97" w:rsidRDefault="00911D63">
            <w:pPr>
              <w:pStyle w:val="TableParagraph"/>
              <w:spacing w:before="112"/>
              <w:ind w:right="101"/>
              <w:jc w:val="right"/>
              <w:rPr>
                <w:sz w:val="16"/>
              </w:rPr>
            </w:pPr>
            <w:r>
              <w:rPr>
                <w:color w:val="FFFFFF"/>
                <w:spacing w:val="-2"/>
                <w:sz w:val="16"/>
              </w:rPr>
              <w:t>Budget</w:t>
            </w:r>
          </w:p>
        </w:tc>
        <w:tc>
          <w:tcPr>
            <w:tcW w:w="648" w:type="dxa"/>
            <w:tcBorders>
              <w:right w:val="nil"/>
            </w:tcBorders>
            <w:shd w:val="clear" w:color="auto" w:fill="0064A4"/>
          </w:tcPr>
          <w:p w14:paraId="5815B878" w14:textId="77777777" w:rsidR="00141B97" w:rsidRDefault="00911D63">
            <w:pPr>
              <w:pStyle w:val="TableParagraph"/>
              <w:spacing w:before="112"/>
              <w:ind w:left="147"/>
              <w:rPr>
                <w:sz w:val="16"/>
              </w:rPr>
            </w:pPr>
            <w:r>
              <w:rPr>
                <w:color w:val="FFFFFF"/>
                <w:spacing w:val="-2"/>
                <w:sz w:val="16"/>
              </w:rPr>
              <w:t>Actual</w:t>
            </w:r>
          </w:p>
        </w:tc>
        <w:tc>
          <w:tcPr>
            <w:tcW w:w="667" w:type="dxa"/>
            <w:tcBorders>
              <w:left w:val="nil"/>
            </w:tcBorders>
            <w:shd w:val="clear" w:color="auto" w:fill="0064A4"/>
          </w:tcPr>
          <w:p w14:paraId="5452ACAF" w14:textId="77777777" w:rsidR="00141B97" w:rsidRDefault="00911D63">
            <w:pPr>
              <w:pStyle w:val="TableParagraph"/>
              <w:spacing w:before="112"/>
              <w:ind w:right="113"/>
              <w:jc w:val="right"/>
              <w:rPr>
                <w:sz w:val="16"/>
              </w:rPr>
            </w:pPr>
            <w:r>
              <w:rPr>
                <w:color w:val="FFFFFF"/>
                <w:spacing w:val="-2"/>
                <w:sz w:val="16"/>
              </w:rPr>
              <w:t>Budget</w:t>
            </w:r>
          </w:p>
        </w:tc>
        <w:tc>
          <w:tcPr>
            <w:tcW w:w="621" w:type="dxa"/>
            <w:tcBorders>
              <w:right w:val="nil"/>
            </w:tcBorders>
            <w:shd w:val="clear" w:color="auto" w:fill="0064A4"/>
          </w:tcPr>
          <w:p w14:paraId="02B78E4B" w14:textId="77777777" w:rsidR="00141B97" w:rsidRDefault="00911D63">
            <w:pPr>
              <w:pStyle w:val="TableParagraph"/>
              <w:spacing w:before="112"/>
              <w:ind w:right="115"/>
              <w:jc w:val="right"/>
              <w:rPr>
                <w:sz w:val="16"/>
              </w:rPr>
            </w:pPr>
            <w:r>
              <w:rPr>
                <w:color w:val="FFFFFF"/>
                <w:spacing w:val="-2"/>
                <w:sz w:val="16"/>
              </w:rPr>
              <w:t>Actual</w:t>
            </w:r>
          </w:p>
        </w:tc>
        <w:tc>
          <w:tcPr>
            <w:tcW w:w="695" w:type="dxa"/>
            <w:tcBorders>
              <w:left w:val="nil"/>
            </w:tcBorders>
            <w:shd w:val="clear" w:color="auto" w:fill="0064A4"/>
          </w:tcPr>
          <w:p w14:paraId="56DA891E" w14:textId="77777777" w:rsidR="00141B97" w:rsidRDefault="00911D63">
            <w:pPr>
              <w:pStyle w:val="TableParagraph"/>
              <w:spacing w:before="112"/>
              <w:ind w:right="124"/>
              <w:jc w:val="right"/>
              <w:rPr>
                <w:sz w:val="16"/>
              </w:rPr>
            </w:pPr>
            <w:r>
              <w:rPr>
                <w:color w:val="FFFFFF"/>
                <w:spacing w:val="-2"/>
                <w:sz w:val="16"/>
              </w:rPr>
              <w:t>Budget</w:t>
            </w:r>
          </w:p>
        </w:tc>
        <w:tc>
          <w:tcPr>
            <w:tcW w:w="736" w:type="dxa"/>
            <w:tcBorders>
              <w:right w:val="nil"/>
            </w:tcBorders>
            <w:shd w:val="clear" w:color="auto" w:fill="0064A4"/>
          </w:tcPr>
          <w:p w14:paraId="18CB34BF" w14:textId="77777777" w:rsidR="00141B97" w:rsidRDefault="00911D63">
            <w:pPr>
              <w:pStyle w:val="TableParagraph"/>
              <w:spacing w:before="112"/>
              <w:ind w:left="198"/>
              <w:rPr>
                <w:sz w:val="16"/>
              </w:rPr>
            </w:pPr>
            <w:r>
              <w:rPr>
                <w:color w:val="FFFFFF"/>
                <w:spacing w:val="-2"/>
                <w:sz w:val="16"/>
              </w:rPr>
              <w:t>Actual</w:t>
            </w:r>
          </w:p>
        </w:tc>
        <w:tc>
          <w:tcPr>
            <w:tcW w:w="576" w:type="dxa"/>
            <w:tcBorders>
              <w:left w:val="nil"/>
            </w:tcBorders>
            <w:shd w:val="clear" w:color="auto" w:fill="0064A4"/>
          </w:tcPr>
          <w:p w14:paraId="46B33CA2" w14:textId="77777777" w:rsidR="00141B97" w:rsidRDefault="00911D63">
            <w:pPr>
              <w:pStyle w:val="TableParagraph"/>
              <w:spacing w:before="112"/>
              <w:ind w:left="199"/>
              <w:rPr>
                <w:sz w:val="16"/>
              </w:rPr>
            </w:pPr>
            <w:r>
              <w:rPr>
                <w:color w:val="FFFFFF"/>
                <w:spacing w:val="-5"/>
                <w:sz w:val="16"/>
              </w:rPr>
              <w:t>$m</w:t>
            </w:r>
          </w:p>
        </w:tc>
        <w:tc>
          <w:tcPr>
            <w:tcW w:w="560" w:type="dxa"/>
            <w:tcBorders>
              <w:right w:val="nil"/>
            </w:tcBorders>
            <w:shd w:val="clear" w:color="auto" w:fill="0064A4"/>
          </w:tcPr>
          <w:p w14:paraId="6529E3FF" w14:textId="77777777" w:rsidR="00141B97" w:rsidRDefault="00911D63">
            <w:pPr>
              <w:pStyle w:val="TableParagraph"/>
              <w:spacing w:before="112"/>
              <w:ind w:left="238"/>
              <w:rPr>
                <w:sz w:val="16"/>
              </w:rPr>
            </w:pPr>
            <w:r>
              <w:rPr>
                <w:color w:val="FFFFFF"/>
                <w:w w:val="99"/>
                <w:sz w:val="16"/>
              </w:rPr>
              <w:t>%</w:t>
            </w:r>
          </w:p>
        </w:tc>
      </w:tr>
      <w:tr w:rsidR="00141B97" w14:paraId="7437CB89" w14:textId="77777777">
        <w:trPr>
          <w:trHeight w:val="269"/>
          <w:tblCellSpacing w:w="9" w:type="dxa"/>
        </w:trPr>
        <w:tc>
          <w:tcPr>
            <w:tcW w:w="9743" w:type="dxa"/>
            <w:gridSpan w:val="13"/>
            <w:tcBorders>
              <w:left w:val="nil"/>
              <w:right w:val="nil"/>
            </w:tcBorders>
            <w:shd w:val="clear" w:color="auto" w:fill="006CA3"/>
          </w:tcPr>
          <w:p w14:paraId="4CA51587" w14:textId="77777777" w:rsidR="00141B97" w:rsidRDefault="00911D63">
            <w:pPr>
              <w:pStyle w:val="TableParagraph"/>
              <w:spacing w:before="37"/>
              <w:ind w:left="117"/>
              <w:rPr>
                <w:i/>
                <w:sz w:val="16"/>
              </w:rPr>
            </w:pPr>
            <w:r>
              <w:rPr>
                <w:i/>
                <w:color w:val="FFFFFF"/>
                <w:sz w:val="16"/>
              </w:rPr>
              <w:t>Controllable</w:t>
            </w:r>
            <w:r>
              <w:rPr>
                <w:i/>
                <w:color w:val="FFFFFF"/>
                <w:spacing w:val="-9"/>
                <w:sz w:val="16"/>
              </w:rPr>
              <w:t xml:space="preserve"> </w:t>
            </w:r>
            <w:r>
              <w:rPr>
                <w:i/>
                <w:color w:val="FFFFFF"/>
                <w:spacing w:val="-4"/>
                <w:sz w:val="16"/>
              </w:rPr>
              <w:t>opex</w:t>
            </w:r>
          </w:p>
        </w:tc>
      </w:tr>
      <w:tr w:rsidR="00141B97" w14:paraId="5DE99BCD" w14:textId="77777777">
        <w:trPr>
          <w:trHeight w:val="270"/>
          <w:tblCellSpacing w:w="9" w:type="dxa"/>
        </w:trPr>
        <w:tc>
          <w:tcPr>
            <w:tcW w:w="1920" w:type="dxa"/>
            <w:tcBorders>
              <w:left w:val="nil"/>
            </w:tcBorders>
            <w:shd w:val="clear" w:color="auto" w:fill="CCE2ED"/>
          </w:tcPr>
          <w:p w14:paraId="1B882B67" w14:textId="77777777" w:rsidR="00141B97" w:rsidRDefault="00911D63">
            <w:pPr>
              <w:pStyle w:val="TableParagraph"/>
              <w:spacing w:before="38"/>
              <w:ind w:left="107"/>
              <w:rPr>
                <w:sz w:val="16"/>
              </w:rPr>
            </w:pPr>
            <w:r>
              <w:rPr>
                <w:spacing w:val="-2"/>
                <w:sz w:val="16"/>
              </w:rPr>
              <w:t>Water</w:t>
            </w:r>
          </w:p>
        </w:tc>
        <w:tc>
          <w:tcPr>
            <w:tcW w:w="638" w:type="dxa"/>
            <w:shd w:val="clear" w:color="auto" w:fill="CCE2ED"/>
          </w:tcPr>
          <w:p w14:paraId="51F5BFCC" w14:textId="77777777" w:rsidR="00141B97" w:rsidRDefault="00911D63">
            <w:pPr>
              <w:pStyle w:val="TableParagraph"/>
              <w:spacing w:before="38"/>
              <w:ind w:right="96"/>
              <w:jc w:val="right"/>
              <w:rPr>
                <w:sz w:val="16"/>
              </w:rPr>
            </w:pPr>
            <w:r>
              <w:rPr>
                <w:spacing w:val="-4"/>
                <w:sz w:val="16"/>
              </w:rPr>
              <w:t>15.1</w:t>
            </w:r>
          </w:p>
        </w:tc>
        <w:tc>
          <w:tcPr>
            <w:tcW w:w="705" w:type="dxa"/>
            <w:tcBorders>
              <w:right w:val="nil"/>
            </w:tcBorders>
            <w:shd w:val="clear" w:color="auto" w:fill="CCE2ED"/>
          </w:tcPr>
          <w:p w14:paraId="5BCBC37C" w14:textId="77777777" w:rsidR="00141B97" w:rsidRDefault="00911D63">
            <w:pPr>
              <w:pStyle w:val="TableParagraph"/>
              <w:spacing w:before="38"/>
              <w:ind w:right="89"/>
              <w:jc w:val="right"/>
              <w:rPr>
                <w:sz w:val="16"/>
              </w:rPr>
            </w:pPr>
            <w:r>
              <w:rPr>
                <w:spacing w:val="-4"/>
                <w:sz w:val="16"/>
              </w:rPr>
              <w:t>15.3</w:t>
            </w:r>
          </w:p>
        </w:tc>
        <w:tc>
          <w:tcPr>
            <w:tcW w:w="663" w:type="dxa"/>
            <w:tcBorders>
              <w:left w:val="nil"/>
            </w:tcBorders>
            <w:shd w:val="clear" w:color="auto" w:fill="CCE2ED"/>
          </w:tcPr>
          <w:p w14:paraId="331745BD" w14:textId="77777777" w:rsidR="00141B97" w:rsidRDefault="00911D63">
            <w:pPr>
              <w:pStyle w:val="TableParagraph"/>
              <w:spacing w:before="38"/>
              <w:ind w:right="96"/>
              <w:jc w:val="right"/>
              <w:rPr>
                <w:sz w:val="16"/>
              </w:rPr>
            </w:pPr>
            <w:r>
              <w:rPr>
                <w:spacing w:val="-4"/>
                <w:sz w:val="16"/>
              </w:rPr>
              <w:t>14.0</w:t>
            </w:r>
          </w:p>
        </w:tc>
        <w:tc>
          <w:tcPr>
            <w:tcW w:w="677" w:type="dxa"/>
            <w:tcBorders>
              <w:right w:val="nil"/>
            </w:tcBorders>
            <w:shd w:val="clear" w:color="auto" w:fill="CCE2ED"/>
          </w:tcPr>
          <w:p w14:paraId="1EDB2766" w14:textId="77777777" w:rsidR="00141B97" w:rsidRDefault="00911D63">
            <w:pPr>
              <w:pStyle w:val="TableParagraph"/>
              <w:spacing w:before="38"/>
              <w:ind w:right="90"/>
              <w:jc w:val="right"/>
              <w:rPr>
                <w:sz w:val="16"/>
              </w:rPr>
            </w:pPr>
            <w:r>
              <w:rPr>
                <w:spacing w:val="-4"/>
                <w:sz w:val="16"/>
              </w:rPr>
              <w:t>15.4</w:t>
            </w:r>
          </w:p>
        </w:tc>
        <w:tc>
          <w:tcPr>
            <w:tcW w:w="637" w:type="dxa"/>
            <w:tcBorders>
              <w:left w:val="nil"/>
            </w:tcBorders>
            <w:shd w:val="clear" w:color="auto" w:fill="CCE2ED"/>
          </w:tcPr>
          <w:p w14:paraId="58832F52" w14:textId="77777777" w:rsidR="00141B97" w:rsidRDefault="00911D63">
            <w:pPr>
              <w:pStyle w:val="TableParagraph"/>
              <w:spacing w:before="38"/>
              <w:ind w:right="92"/>
              <w:jc w:val="right"/>
              <w:rPr>
                <w:sz w:val="16"/>
              </w:rPr>
            </w:pPr>
            <w:r>
              <w:rPr>
                <w:spacing w:val="-4"/>
                <w:sz w:val="16"/>
              </w:rPr>
              <w:t>13.7</w:t>
            </w:r>
          </w:p>
        </w:tc>
        <w:tc>
          <w:tcPr>
            <w:tcW w:w="648" w:type="dxa"/>
            <w:tcBorders>
              <w:right w:val="nil"/>
            </w:tcBorders>
            <w:shd w:val="clear" w:color="auto" w:fill="CCE2ED"/>
          </w:tcPr>
          <w:p w14:paraId="3BBB50A1" w14:textId="77777777" w:rsidR="00141B97" w:rsidRDefault="00911D63">
            <w:pPr>
              <w:pStyle w:val="TableParagraph"/>
              <w:spacing w:before="38"/>
              <w:ind w:right="86"/>
              <w:jc w:val="right"/>
              <w:rPr>
                <w:sz w:val="16"/>
              </w:rPr>
            </w:pPr>
            <w:r>
              <w:rPr>
                <w:spacing w:val="-4"/>
                <w:sz w:val="16"/>
              </w:rPr>
              <w:t>15.8</w:t>
            </w:r>
          </w:p>
        </w:tc>
        <w:tc>
          <w:tcPr>
            <w:tcW w:w="667" w:type="dxa"/>
            <w:tcBorders>
              <w:left w:val="nil"/>
            </w:tcBorders>
            <w:shd w:val="clear" w:color="auto" w:fill="CCE2ED"/>
          </w:tcPr>
          <w:p w14:paraId="1C110349" w14:textId="77777777" w:rsidR="00141B97" w:rsidRDefault="00911D63">
            <w:pPr>
              <w:pStyle w:val="TableParagraph"/>
              <w:spacing w:before="38"/>
              <w:ind w:right="90"/>
              <w:jc w:val="right"/>
              <w:rPr>
                <w:sz w:val="16"/>
              </w:rPr>
            </w:pPr>
            <w:r>
              <w:rPr>
                <w:spacing w:val="-4"/>
                <w:sz w:val="16"/>
              </w:rPr>
              <w:t>13.9</w:t>
            </w:r>
          </w:p>
        </w:tc>
        <w:tc>
          <w:tcPr>
            <w:tcW w:w="621" w:type="dxa"/>
            <w:tcBorders>
              <w:right w:val="nil"/>
            </w:tcBorders>
            <w:shd w:val="clear" w:color="auto" w:fill="CCE2ED"/>
          </w:tcPr>
          <w:p w14:paraId="53B7D658" w14:textId="77777777" w:rsidR="00141B97" w:rsidRDefault="00911D63">
            <w:pPr>
              <w:pStyle w:val="TableParagraph"/>
              <w:spacing w:before="38"/>
              <w:ind w:right="83"/>
              <w:jc w:val="right"/>
              <w:rPr>
                <w:sz w:val="16"/>
              </w:rPr>
            </w:pPr>
            <w:r>
              <w:rPr>
                <w:spacing w:val="-4"/>
                <w:sz w:val="16"/>
              </w:rPr>
              <w:t>16.8</w:t>
            </w:r>
          </w:p>
        </w:tc>
        <w:tc>
          <w:tcPr>
            <w:tcW w:w="695" w:type="dxa"/>
            <w:tcBorders>
              <w:left w:val="nil"/>
            </w:tcBorders>
            <w:shd w:val="clear" w:color="auto" w:fill="CCE2ED"/>
          </w:tcPr>
          <w:p w14:paraId="4EA6CB1B" w14:textId="77777777" w:rsidR="00141B97" w:rsidRDefault="00911D63">
            <w:pPr>
              <w:pStyle w:val="TableParagraph"/>
              <w:spacing w:before="38"/>
              <w:ind w:right="84"/>
              <w:jc w:val="right"/>
              <w:rPr>
                <w:sz w:val="16"/>
              </w:rPr>
            </w:pPr>
            <w:r>
              <w:rPr>
                <w:spacing w:val="-4"/>
                <w:sz w:val="16"/>
              </w:rPr>
              <w:t>56.6</w:t>
            </w:r>
          </w:p>
        </w:tc>
        <w:tc>
          <w:tcPr>
            <w:tcW w:w="736" w:type="dxa"/>
            <w:tcBorders>
              <w:right w:val="nil"/>
            </w:tcBorders>
            <w:shd w:val="clear" w:color="auto" w:fill="CCE2ED"/>
          </w:tcPr>
          <w:p w14:paraId="6FCA9C2E" w14:textId="77777777" w:rsidR="00141B97" w:rsidRDefault="00911D63">
            <w:pPr>
              <w:pStyle w:val="TableParagraph"/>
              <w:spacing w:before="38"/>
              <w:ind w:right="80"/>
              <w:jc w:val="right"/>
              <w:rPr>
                <w:sz w:val="16"/>
              </w:rPr>
            </w:pPr>
            <w:r>
              <w:rPr>
                <w:spacing w:val="-4"/>
                <w:sz w:val="16"/>
              </w:rPr>
              <w:t>63.3</w:t>
            </w:r>
          </w:p>
        </w:tc>
        <w:tc>
          <w:tcPr>
            <w:tcW w:w="576" w:type="dxa"/>
            <w:tcBorders>
              <w:left w:val="nil"/>
            </w:tcBorders>
            <w:shd w:val="clear" w:color="auto" w:fill="CCE2ED"/>
          </w:tcPr>
          <w:p w14:paraId="4AD67497" w14:textId="77777777" w:rsidR="00141B97" w:rsidRDefault="00911D63">
            <w:pPr>
              <w:pStyle w:val="TableParagraph"/>
              <w:spacing w:before="38"/>
              <w:ind w:right="81"/>
              <w:jc w:val="right"/>
              <w:rPr>
                <w:sz w:val="16"/>
              </w:rPr>
            </w:pPr>
            <w:r>
              <w:rPr>
                <w:spacing w:val="-5"/>
                <w:sz w:val="16"/>
              </w:rPr>
              <w:t>6.7</w:t>
            </w:r>
          </w:p>
        </w:tc>
        <w:tc>
          <w:tcPr>
            <w:tcW w:w="560" w:type="dxa"/>
            <w:tcBorders>
              <w:right w:val="nil"/>
            </w:tcBorders>
            <w:shd w:val="clear" w:color="auto" w:fill="CCE2ED"/>
          </w:tcPr>
          <w:p w14:paraId="2043A3A4" w14:textId="77777777" w:rsidR="00141B97" w:rsidRDefault="00911D63">
            <w:pPr>
              <w:pStyle w:val="TableParagraph"/>
              <w:spacing w:before="38"/>
              <w:ind w:left="194"/>
              <w:rPr>
                <w:sz w:val="16"/>
              </w:rPr>
            </w:pPr>
            <w:r>
              <w:rPr>
                <w:spacing w:val="-5"/>
                <w:sz w:val="16"/>
              </w:rPr>
              <w:t>12%</w:t>
            </w:r>
          </w:p>
        </w:tc>
      </w:tr>
      <w:tr w:rsidR="00141B97" w14:paraId="41A3E759" w14:textId="77777777">
        <w:trPr>
          <w:trHeight w:val="254"/>
          <w:tblCellSpacing w:w="9" w:type="dxa"/>
        </w:trPr>
        <w:tc>
          <w:tcPr>
            <w:tcW w:w="1920" w:type="dxa"/>
            <w:tcBorders>
              <w:left w:val="nil"/>
            </w:tcBorders>
            <w:shd w:val="clear" w:color="auto" w:fill="CCE2ED"/>
          </w:tcPr>
          <w:p w14:paraId="660ADD6A" w14:textId="77777777" w:rsidR="00141B97" w:rsidRDefault="00911D63">
            <w:pPr>
              <w:pStyle w:val="TableParagraph"/>
              <w:spacing w:before="29"/>
              <w:ind w:left="107"/>
              <w:rPr>
                <w:sz w:val="16"/>
              </w:rPr>
            </w:pPr>
            <w:r>
              <w:rPr>
                <w:spacing w:val="-2"/>
                <w:sz w:val="16"/>
              </w:rPr>
              <w:t>Sewerage</w:t>
            </w:r>
          </w:p>
        </w:tc>
        <w:tc>
          <w:tcPr>
            <w:tcW w:w="638" w:type="dxa"/>
            <w:shd w:val="clear" w:color="auto" w:fill="CCE2ED"/>
          </w:tcPr>
          <w:p w14:paraId="49DD1276" w14:textId="77777777" w:rsidR="00141B97" w:rsidRDefault="00911D63">
            <w:pPr>
              <w:pStyle w:val="TableParagraph"/>
              <w:spacing w:before="29"/>
              <w:ind w:right="96"/>
              <w:jc w:val="right"/>
              <w:rPr>
                <w:sz w:val="16"/>
              </w:rPr>
            </w:pPr>
            <w:r>
              <w:rPr>
                <w:spacing w:val="-5"/>
                <w:sz w:val="16"/>
              </w:rPr>
              <w:t>9.4</w:t>
            </w:r>
          </w:p>
        </w:tc>
        <w:tc>
          <w:tcPr>
            <w:tcW w:w="705" w:type="dxa"/>
            <w:tcBorders>
              <w:right w:val="nil"/>
            </w:tcBorders>
            <w:shd w:val="clear" w:color="auto" w:fill="CCE2ED"/>
          </w:tcPr>
          <w:p w14:paraId="411A025F" w14:textId="77777777" w:rsidR="00141B97" w:rsidRDefault="00911D63">
            <w:pPr>
              <w:pStyle w:val="TableParagraph"/>
              <w:spacing w:before="29"/>
              <w:ind w:right="89"/>
              <w:jc w:val="right"/>
              <w:rPr>
                <w:sz w:val="16"/>
              </w:rPr>
            </w:pPr>
            <w:r>
              <w:rPr>
                <w:spacing w:val="-5"/>
                <w:sz w:val="16"/>
              </w:rPr>
              <w:t>9.2</w:t>
            </w:r>
          </w:p>
        </w:tc>
        <w:tc>
          <w:tcPr>
            <w:tcW w:w="663" w:type="dxa"/>
            <w:tcBorders>
              <w:left w:val="nil"/>
            </w:tcBorders>
            <w:shd w:val="clear" w:color="auto" w:fill="CCE2ED"/>
          </w:tcPr>
          <w:p w14:paraId="1DD9D79F" w14:textId="77777777" w:rsidR="00141B97" w:rsidRDefault="00911D63">
            <w:pPr>
              <w:pStyle w:val="TableParagraph"/>
              <w:spacing w:before="29"/>
              <w:ind w:right="96"/>
              <w:jc w:val="right"/>
              <w:rPr>
                <w:sz w:val="16"/>
              </w:rPr>
            </w:pPr>
            <w:r>
              <w:rPr>
                <w:spacing w:val="-5"/>
                <w:sz w:val="16"/>
              </w:rPr>
              <w:t>9.2</w:t>
            </w:r>
          </w:p>
        </w:tc>
        <w:tc>
          <w:tcPr>
            <w:tcW w:w="677" w:type="dxa"/>
            <w:tcBorders>
              <w:right w:val="nil"/>
            </w:tcBorders>
            <w:shd w:val="clear" w:color="auto" w:fill="CCE2ED"/>
          </w:tcPr>
          <w:p w14:paraId="4931B1D3" w14:textId="77777777" w:rsidR="00141B97" w:rsidRDefault="00911D63">
            <w:pPr>
              <w:pStyle w:val="TableParagraph"/>
              <w:spacing w:before="29"/>
              <w:ind w:right="90"/>
              <w:jc w:val="right"/>
              <w:rPr>
                <w:sz w:val="16"/>
              </w:rPr>
            </w:pPr>
            <w:r>
              <w:rPr>
                <w:spacing w:val="-5"/>
                <w:sz w:val="16"/>
              </w:rPr>
              <w:t>9.5</w:t>
            </w:r>
          </w:p>
        </w:tc>
        <w:tc>
          <w:tcPr>
            <w:tcW w:w="637" w:type="dxa"/>
            <w:tcBorders>
              <w:left w:val="nil"/>
            </w:tcBorders>
            <w:shd w:val="clear" w:color="auto" w:fill="CCE2ED"/>
          </w:tcPr>
          <w:p w14:paraId="127FB4EF" w14:textId="77777777" w:rsidR="00141B97" w:rsidRDefault="00911D63">
            <w:pPr>
              <w:pStyle w:val="TableParagraph"/>
              <w:spacing w:before="29"/>
              <w:ind w:right="92"/>
              <w:jc w:val="right"/>
              <w:rPr>
                <w:sz w:val="16"/>
              </w:rPr>
            </w:pPr>
            <w:r>
              <w:rPr>
                <w:spacing w:val="-5"/>
                <w:sz w:val="16"/>
              </w:rPr>
              <w:t>8.8</w:t>
            </w:r>
          </w:p>
        </w:tc>
        <w:tc>
          <w:tcPr>
            <w:tcW w:w="648" w:type="dxa"/>
            <w:tcBorders>
              <w:right w:val="nil"/>
            </w:tcBorders>
            <w:shd w:val="clear" w:color="auto" w:fill="CCE2ED"/>
          </w:tcPr>
          <w:p w14:paraId="484D0107" w14:textId="77777777" w:rsidR="00141B97" w:rsidRDefault="00911D63">
            <w:pPr>
              <w:pStyle w:val="TableParagraph"/>
              <w:spacing w:before="29"/>
              <w:ind w:right="86"/>
              <w:jc w:val="right"/>
              <w:rPr>
                <w:sz w:val="16"/>
              </w:rPr>
            </w:pPr>
            <w:r>
              <w:rPr>
                <w:spacing w:val="-5"/>
                <w:sz w:val="16"/>
              </w:rPr>
              <w:t>9.2</w:t>
            </w:r>
          </w:p>
        </w:tc>
        <w:tc>
          <w:tcPr>
            <w:tcW w:w="667" w:type="dxa"/>
            <w:tcBorders>
              <w:left w:val="nil"/>
            </w:tcBorders>
            <w:shd w:val="clear" w:color="auto" w:fill="CCE2ED"/>
          </w:tcPr>
          <w:p w14:paraId="4D2D38F7" w14:textId="77777777" w:rsidR="00141B97" w:rsidRDefault="00911D63">
            <w:pPr>
              <w:pStyle w:val="TableParagraph"/>
              <w:spacing w:before="29"/>
              <w:ind w:right="90"/>
              <w:jc w:val="right"/>
              <w:rPr>
                <w:sz w:val="16"/>
              </w:rPr>
            </w:pPr>
            <w:r>
              <w:rPr>
                <w:spacing w:val="-5"/>
                <w:sz w:val="16"/>
              </w:rPr>
              <w:t>8.9</w:t>
            </w:r>
          </w:p>
        </w:tc>
        <w:tc>
          <w:tcPr>
            <w:tcW w:w="621" w:type="dxa"/>
            <w:tcBorders>
              <w:right w:val="nil"/>
            </w:tcBorders>
            <w:shd w:val="clear" w:color="auto" w:fill="CCE2ED"/>
          </w:tcPr>
          <w:p w14:paraId="5AEF4A40" w14:textId="77777777" w:rsidR="00141B97" w:rsidRDefault="00911D63">
            <w:pPr>
              <w:pStyle w:val="TableParagraph"/>
              <w:spacing w:before="29"/>
              <w:ind w:right="83"/>
              <w:jc w:val="right"/>
              <w:rPr>
                <w:sz w:val="16"/>
              </w:rPr>
            </w:pPr>
            <w:r>
              <w:rPr>
                <w:spacing w:val="-4"/>
                <w:sz w:val="16"/>
              </w:rPr>
              <w:t>10.2</w:t>
            </w:r>
          </w:p>
        </w:tc>
        <w:tc>
          <w:tcPr>
            <w:tcW w:w="695" w:type="dxa"/>
            <w:tcBorders>
              <w:left w:val="nil"/>
            </w:tcBorders>
            <w:shd w:val="clear" w:color="auto" w:fill="CCE2ED"/>
          </w:tcPr>
          <w:p w14:paraId="29005005" w14:textId="77777777" w:rsidR="00141B97" w:rsidRDefault="00911D63">
            <w:pPr>
              <w:pStyle w:val="TableParagraph"/>
              <w:spacing w:before="29"/>
              <w:ind w:right="84"/>
              <w:jc w:val="right"/>
              <w:rPr>
                <w:sz w:val="16"/>
              </w:rPr>
            </w:pPr>
            <w:r>
              <w:rPr>
                <w:spacing w:val="-4"/>
                <w:sz w:val="16"/>
              </w:rPr>
              <w:t>36.3</w:t>
            </w:r>
          </w:p>
        </w:tc>
        <w:tc>
          <w:tcPr>
            <w:tcW w:w="736" w:type="dxa"/>
            <w:tcBorders>
              <w:right w:val="nil"/>
            </w:tcBorders>
            <w:shd w:val="clear" w:color="auto" w:fill="CCE2ED"/>
          </w:tcPr>
          <w:p w14:paraId="0C0A9055" w14:textId="77777777" w:rsidR="00141B97" w:rsidRDefault="00911D63">
            <w:pPr>
              <w:pStyle w:val="TableParagraph"/>
              <w:spacing w:before="29"/>
              <w:ind w:right="80"/>
              <w:jc w:val="right"/>
              <w:rPr>
                <w:sz w:val="16"/>
              </w:rPr>
            </w:pPr>
            <w:r>
              <w:rPr>
                <w:spacing w:val="-4"/>
                <w:sz w:val="16"/>
              </w:rPr>
              <w:t>38.1</w:t>
            </w:r>
          </w:p>
        </w:tc>
        <w:tc>
          <w:tcPr>
            <w:tcW w:w="576" w:type="dxa"/>
            <w:tcBorders>
              <w:left w:val="nil"/>
            </w:tcBorders>
            <w:shd w:val="clear" w:color="auto" w:fill="CCE2ED"/>
          </w:tcPr>
          <w:p w14:paraId="0C4FCF6B" w14:textId="77777777" w:rsidR="00141B97" w:rsidRDefault="00911D63">
            <w:pPr>
              <w:pStyle w:val="TableParagraph"/>
              <w:spacing w:before="29"/>
              <w:ind w:right="81"/>
              <w:jc w:val="right"/>
              <w:rPr>
                <w:sz w:val="16"/>
              </w:rPr>
            </w:pPr>
            <w:r>
              <w:rPr>
                <w:spacing w:val="-5"/>
                <w:sz w:val="16"/>
              </w:rPr>
              <w:t>1.8</w:t>
            </w:r>
          </w:p>
        </w:tc>
        <w:tc>
          <w:tcPr>
            <w:tcW w:w="560" w:type="dxa"/>
            <w:tcBorders>
              <w:right w:val="nil"/>
            </w:tcBorders>
            <w:shd w:val="clear" w:color="auto" w:fill="CCE2ED"/>
          </w:tcPr>
          <w:p w14:paraId="6CD4FABC" w14:textId="77777777" w:rsidR="00141B97" w:rsidRDefault="00911D63">
            <w:pPr>
              <w:pStyle w:val="TableParagraph"/>
              <w:spacing w:before="29"/>
              <w:ind w:left="275"/>
              <w:rPr>
                <w:sz w:val="16"/>
              </w:rPr>
            </w:pPr>
            <w:r>
              <w:rPr>
                <w:spacing w:val="-5"/>
                <w:sz w:val="16"/>
              </w:rPr>
              <w:t>5%</w:t>
            </w:r>
          </w:p>
        </w:tc>
      </w:tr>
      <w:tr w:rsidR="00141B97" w14:paraId="1686CD76" w14:textId="77777777">
        <w:trPr>
          <w:trHeight w:val="450"/>
          <w:tblCellSpacing w:w="9" w:type="dxa"/>
        </w:trPr>
        <w:tc>
          <w:tcPr>
            <w:tcW w:w="1920" w:type="dxa"/>
            <w:tcBorders>
              <w:left w:val="nil"/>
            </w:tcBorders>
            <w:shd w:val="clear" w:color="auto" w:fill="BFBFBF"/>
          </w:tcPr>
          <w:p w14:paraId="47EF0E49" w14:textId="77777777" w:rsidR="00141B97" w:rsidRDefault="00911D63">
            <w:pPr>
              <w:pStyle w:val="TableParagraph"/>
              <w:spacing w:before="128"/>
              <w:ind w:left="107"/>
              <w:rPr>
                <w:sz w:val="16"/>
              </w:rPr>
            </w:pPr>
            <w:r>
              <w:rPr>
                <w:sz w:val="16"/>
              </w:rPr>
              <w:t>Total</w:t>
            </w:r>
            <w:r>
              <w:rPr>
                <w:spacing w:val="-8"/>
                <w:sz w:val="16"/>
              </w:rPr>
              <w:t xml:space="preserve"> </w:t>
            </w:r>
            <w:r>
              <w:rPr>
                <w:sz w:val="16"/>
              </w:rPr>
              <w:t>controllable</w:t>
            </w:r>
            <w:r>
              <w:rPr>
                <w:spacing w:val="-8"/>
                <w:sz w:val="16"/>
              </w:rPr>
              <w:t xml:space="preserve"> </w:t>
            </w:r>
            <w:r>
              <w:rPr>
                <w:spacing w:val="-4"/>
                <w:sz w:val="16"/>
              </w:rPr>
              <w:t>opex</w:t>
            </w:r>
          </w:p>
        </w:tc>
        <w:tc>
          <w:tcPr>
            <w:tcW w:w="638" w:type="dxa"/>
            <w:shd w:val="clear" w:color="auto" w:fill="BFBFBF"/>
          </w:tcPr>
          <w:p w14:paraId="3903CEE7" w14:textId="77777777" w:rsidR="00141B97" w:rsidRDefault="00911D63">
            <w:pPr>
              <w:pStyle w:val="TableParagraph"/>
              <w:spacing w:before="128"/>
              <w:ind w:right="95"/>
              <w:jc w:val="right"/>
              <w:rPr>
                <w:sz w:val="16"/>
              </w:rPr>
            </w:pPr>
            <w:r>
              <w:rPr>
                <w:spacing w:val="-4"/>
                <w:sz w:val="16"/>
              </w:rPr>
              <w:t>24.4</w:t>
            </w:r>
          </w:p>
        </w:tc>
        <w:tc>
          <w:tcPr>
            <w:tcW w:w="705" w:type="dxa"/>
            <w:tcBorders>
              <w:right w:val="nil"/>
            </w:tcBorders>
            <w:shd w:val="clear" w:color="auto" w:fill="BFBFBF"/>
          </w:tcPr>
          <w:p w14:paraId="6225393A" w14:textId="77777777" w:rsidR="00141B97" w:rsidRDefault="00911D63">
            <w:pPr>
              <w:pStyle w:val="TableParagraph"/>
              <w:spacing w:before="128"/>
              <w:ind w:right="88"/>
              <w:jc w:val="right"/>
              <w:rPr>
                <w:sz w:val="16"/>
              </w:rPr>
            </w:pPr>
            <w:r>
              <w:rPr>
                <w:spacing w:val="-4"/>
                <w:sz w:val="16"/>
              </w:rPr>
              <w:t>24.6</w:t>
            </w:r>
          </w:p>
        </w:tc>
        <w:tc>
          <w:tcPr>
            <w:tcW w:w="663" w:type="dxa"/>
            <w:tcBorders>
              <w:left w:val="nil"/>
            </w:tcBorders>
            <w:shd w:val="clear" w:color="auto" w:fill="BFBFBF"/>
          </w:tcPr>
          <w:p w14:paraId="49114095" w14:textId="77777777" w:rsidR="00141B97" w:rsidRDefault="00911D63">
            <w:pPr>
              <w:pStyle w:val="TableParagraph"/>
              <w:spacing w:before="128"/>
              <w:ind w:right="95"/>
              <w:jc w:val="right"/>
              <w:rPr>
                <w:sz w:val="16"/>
              </w:rPr>
            </w:pPr>
            <w:r>
              <w:rPr>
                <w:spacing w:val="-4"/>
                <w:sz w:val="16"/>
              </w:rPr>
              <w:t>23.2</w:t>
            </w:r>
          </w:p>
        </w:tc>
        <w:tc>
          <w:tcPr>
            <w:tcW w:w="677" w:type="dxa"/>
            <w:tcBorders>
              <w:right w:val="nil"/>
            </w:tcBorders>
            <w:shd w:val="clear" w:color="auto" w:fill="BFBFBF"/>
          </w:tcPr>
          <w:p w14:paraId="35E77E27" w14:textId="77777777" w:rsidR="00141B97" w:rsidRDefault="00911D63">
            <w:pPr>
              <w:pStyle w:val="TableParagraph"/>
              <w:spacing w:before="128"/>
              <w:ind w:right="89"/>
              <w:jc w:val="right"/>
              <w:rPr>
                <w:sz w:val="16"/>
              </w:rPr>
            </w:pPr>
            <w:r>
              <w:rPr>
                <w:spacing w:val="-4"/>
                <w:sz w:val="16"/>
              </w:rPr>
              <w:t>24.9</w:t>
            </w:r>
          </w:p>
        </w:tc>
        <w:tc>
          <w:tcPr>
            <w:tcW w:w="637" w:type="dxa"/>
            <w:tcBorders>
              <w:left w:val="nil"/>
            </w:tcBorders>
            <w:shd w:val="clear" w:color="auto" w:fill="BFBFBF"/>
          </w:tcPr>
          <w:p w14:paraId="0CDF78D6" w14:textId="77777777" w:rsidR="00141B97" w:rsidRDefault="00911D63">
            <w:pPr>
              <w:pStyle w:val="TableParagraph"/>
              <w:spacing w:before="128"/>
              <w:ind w:right="91"/>
              <w:jc w:val="right"/>
              <w:rPr>
                <w:sz w:val="16"/>
              </w:rPr>
            </w:pPr>
            <w:r>
              <w:rPr>
                <w:spacing w:val="-4"/>
                <w:sz w:val="16"/>
              </w:rPr>
              <w:t>22.5</w:t>
            </w:r>
          </w:p>
        </w:tc>
        <w:tc>
          <w:tcPr>
            <w:tcW w:w="648" w:type="dxa"/>
            <w:tcBorders>
              <w:right w:val="nil"/>
            </w:tcBorders>
            <w:shd w:val="clear" w:color="auto" w:fill="BFBFBF"/>
          </w:tcPr>
          <w:p w14:paraId="742B54F9" w14:textId="77777777" w:rsidR="00141B97" w:rsidRDefault="00911D63">
            <w:pPr>
              <w:pStyle w:val="TableParagraph"/>
              <w:spacing w:before="128"/>
              <w:ind w:right="85"/>
              <w:jc w:val="right"/>
              <w:rPr>
                <w:sz w:val="16"/>
              </w:rPr>
            </w:pPr>
            <w:r>
              <w:rPr>
                <w:spacing w:val="-4"/>
                <w:sz w:val="16"/>
              </w:rPr>
              <w:t>25.0</w:t>
            </w:r>
          </w:p>
        </w:tc>
        <w:tc>
          <w:tcPr>
            <w:tcW w:w="667" w:type="dxa"/>
            <w:tcBorders>
              <w:left w:val="nil"/>
            </w:tcBorders>
            <w:shd w:val="clear" w:color="auto" w:fill="BFBFBF"/>
          </w:tcPr>
          <w:p w14:paraId="3D67CD3E" w14:textId="77777777" w:rsidR="00141B97" w:rsidRDefault="00911D63">
            <w:pPr>
              <w:pStyle w:val="TableParagraph"/>
              <w:spacing w:before="128"/>
              <w:ind w:right="88"/>
              <w:jc w:val="right"/>
              <w:rPr>
                <w:sz w:val="16"/>
              </w:rPr>
            </w:pPr>
            <w:r>
              <w:rPr>
                <w:spacing w:val="-4"/>
                <w:sz w:val="16"/>
              </w:rPr>
              <w:t>22.8</w:t>
            </w:r>
          </w:p>
        </w:tc>
        <w:tc>
          <w:tcPr>
            <w:tcW w:w="621" w:type="dxa"/>
            <w:tcBorders>
              <w:right w:val="nil"/>
            </w:tcBorders>
            <w:shd w:val="clear" w:color="auto" w:fill="BFBFBF"/>
          </w:tcPr>
          <w:p w14:paraId="523995DE" w14:textId="77777777" w:rsidR="00141B97" w:rsidRDefault="00911D63">
            <w:pPr>
              <w:pStyle w:val="TableParagraph"/>
              <w:spacing w:before="128"/>
              <w:ind w:right="82"/>
              <w:jc w:val="right"/>
              <w:rPr>
                <w:sz w:val="16"/>
              </w:rPr>
            </w:pPr>
            <w:r>
              <w:rPr>
                <w:spacing w:val="-4"/>
                <w:sz w:val="16"/>
              </w:rPr>
              <w:t>27.0</w:t>
            </w:r>
          </w:p>
        </w:tc>
        <w:tc>
          <w:tcPr>
            <w:tcW w:w="695" w:type="dxa"/>
            <w:tcBorders>
              <w:left w:val="nil"/>
            </w:tcBorders>
            <w:shd w:val="clear" w:color="auto" w:fill="BFBFBF"/>
          </w:tcPr>
          <w:p w14:paraId="06375765" w14:textId="77777777" w:rsidR="00141B97" w:rsidRDefault="00911D63">
            <w:pPr>
              <w:pStyle w:val="TableParagraph"/>
              <w:spacing w:before="128"/>
              <w:ind w:right="83"/>
              <w:jc w:val="right"/>
              <w:rPr>
                <w:sz w:val="16"/>
              </w:rPr>
            </w:pPr>
            <w:r>
              <w:rPr>
                <w:spacing w:val="-4"/>
                <w:sz w:val="16"/>
              </w:rPr>
              <w:t>92.9</w:t>
            </w:r>
          </w:p>
        </w:tc>
        <w:tc>
          <w:tcPr>
            <w:tcW w:w="736" w:type="dxa"/>
            <w:tcBorders>
              <w:right w:val="nil"/>
            </w:tcBorders>
            <w:shd w:val="clear" w:color="auto" w:fill="BFBFBF"/>
          </w:tcPr>
          <w:p w14:paraId="142066D4" w14:textId="77777777" w:rsidR="00141B97" w:rsidRDefault="00911D63">
            <w:pPr>
              <w:pStyle w:val="TableParagraph"/>
              <w:spacing w:before="128"/>
              <w:ind w:right="78"/>
              <w:jc w:val="right"/>
              <w:rPr>
                <w:sz w:val="16"/>
              </w:rPr>
            </w:pPr>
            <w:r>
              <w:rPr>
                <w:spacing w:val="-2"/>
                <w:sz w:val="16"/>
              </w:rPr>
              <w:t>101.4</w:t>
            </w:r>
          </w:p>
        </w:tc>
        <w:tc>
          <w:tcPr>
            <w:tcW w:w="576" w:type="dxa"/>
            <w:tcBorders>
              <w:left w:val="nil"/>
            </w:tcBorders>
            <w:shd w:val="clear" w:color="auto" w:fill="BFBFBF"/>
          </w:tcPr>
          <w:p w14:paraId="3A15A224" w14:textId="77777777" w:rsidR="00141B97" w:rsidRDefault="00911D63">
            <w:pPr>
              <w:pStyle w:val="TableParagraph"/>
              <w:spacing w:before="128"/>
              <w:ind w:right="80"/>
              <w:jc w:val="right"/>
              <w:rPr>
                <w:sz w:val="16"/>
              </w:rPr>
            </w:pPr>
            <w:r>
              <w:rPr>
                <w:spacing w:val="-5"/>
                <w:sz w:val="16"/>
              </w:rPr>
              <w:t>8.5</w:t>
            </w:r>
          </w:p>
        </w:tc>
        <w:tc>
          <w:tcPr>
            <w:tcW w:w="560" w:type="dxa"/>
            <w:tcBorders>
              <w:right w:val="nil"/>
            </w:tcBorders>
            <w:shd w:val="clear" w:color="auto" w:fill="BFBFBF"/>
          </w:tcPr>
          <w:p w14:paraId="6AFA11B9" w14:textId="77777777" w:rsidR="00141B97" w:rsidRDefault="00911D63">
            <w:pPr>
              <w:pStyle w:val="TableParagraph"/>
              <w:spacing w:before="128"/>
              <w:ind w:left="275"/>
              <w:rPr>
                <w:sz w:val="16"/>
              </w:rPr>
            </w:pPr>
            <w:r>
              <w:rPr>
                <w:spacing w:val="-5"/>
                <w:sz w:val="16"/>
              </w:rPr>
              <w:t>9%</w:t>
            </w:r>
          </w:p>
        </w:tc>
      </w:tr>
      <w:tr w:rsidR="00141B97" w14:paraId="219FFC78" w14:textId="77777777">
        <w:trPr>
          <w:trHeight w:val="246"/>
          <w:tblCellSpacing w:w="9" w:type="dxa"/>
        </w:trPr>
        <w:tc>
          <w:tcPr>
            <w:tcW w:w="9743" w:type="dxa"/>
            <w:gridSpan w:val="13"/>
            <w:tcBorders>
              <w:left w:val="nil"/>
              <w:right w:val="nil"/>
            </w:tcBorders>
            <w:shd w:val="clear" w:color="auto" w:fill="006CA3"/>
          </w:tcPr>
          <w:p w14:paraId="4C84E708" w14:textId="77777777" w:rsidR="00141B97" w:rsidRDefault="00911D63">
            <w:pPr>
              <w:pStyle w:val="TableParagraph"/>
              <w:spacing w:before="26"/>
              <w:ind w:left="117"/>
              <w:rPr>
                <w:i/>
                <w:sz w:val="16"/>
              </w:rPr>
            </w:pPr>
            <w:r>
              <w:rPr>
                <w:i/>
                <w:color w:val="FFFFFF"/>
                <w:sz w:val="16"/>
              </w:rPr>
              <w:t>Non</w:t>
            </w:r>
            <w:r>
              <w:rPr>
                <w:i/>
                <w:color w:val="FFFFFF"/>
                <w:spacing w:val="-8"/>
                <w:sz w:val="16"/>
              </w:rPr>
              <w:t xml:space="preserve"> </w:t>
            </w:r>
            <w:r>
              <w:rPr>
                <w:i/>
                <w:color w:val="FFFFFF"/>
                <w:sz w:val="16"/>
              </w:rPr>
              <w:t>controllable</w:t>
            </w:r>
            <w:r>
              <w:rPr>
                <w:i/>
                <w:color w:val="FFFFFF"/>
                <w:spacing w:val="-8"/>
                <w:sz w:val="16"/>
              </w:rPr>
              <w:t xml:space="preserve"> </w:t>
            </w:r>
            <w:r>
              <w:rPr>
                <w:i/>
                <w:color w:val="FFFFFF"/>
                <w:spacing w:val="-4"/>
                <w:sz w:val="16"/>
              </w:rPr>
              <w:t>opex</w:t>
            </w:r>
          </w:p>
        </w:tc>
      </w:tr>
      <w:tr w:rsidR="00141B97" w14:paraId="51E4B181" w14:textId="77777777">
        <w:trPr>
          <w:trHeight w:val="660"/>
          <w:tblCellSpacing w:w="9" w:type="dxa"/>
        </w:trPr>
        <w:tc>
          <w:tcPr>
            <w:tcW w:w="1920" w:type="dxa"/>
            <w:tcBorders>
              <w:left w:val="nil"/>
            </w:tcBorders>
            <w:shd w:val="clear" w:color="auto" w:fill="CCE2ED"/>
          </w:tcPr>
          <w:p w14:paraId="11A543EA" w14:textId="77777777" w:rsidR="00141B97" w:rsidRDefault="00911D63">
            <w:pPr>
              <w:pStyle w:val="TableParagraph"/>
              <w:spacing w:before="38"/>
              <w:ind w:left="107" w:right="126"/>
              <w:rPr>
                <w:sz w:val="16"/>
              </w:rPr>
            </w:pPr>
            <w:r>
              <w:rPr>
                <w:sz w:val="16"/>
              </w:rPr>
              <w:t>External bulk water</w:t>
            </w:r>
            <w:r>
              <w:rPr>
                <w:spacing w:val="40"/>
                <w:sz w:val="16"/>
              </w:rPr>
              <w:t xml:space="preserve"> </w:t>
            </w:r>
            <w:r>
              <w:rPr>
                <w:sz w:val="16"/>
              </w:rPr>
              <w:t>charges and water</w:t>
            </w:r>
            <w:r>
              <w:rPr>
                <w:spacing w:val="40"/>
                <w:sz w:val="16"/>
              </w:rPr>
              <w:t xml:space="preserve"> </w:t>
            </w:r>
            <w:r>
              <w:rPr>
                <w:sz w:val="16"/>
              </w:rPr>
              <w:t>allocation</w:t>
            </w:r>
            <w:r>
              <w:rPr>
                <w:spacing w:val="-10"/>
                <w:sz w:val="16"/>
              </w:rPr>
              <w:t xml:space="preserve"> </w:t>
            </w:r>
            <w:r>
              <w:rPr>
                <w:sz w:val="16"/>
              </w:rPr>
              <w:t>purchases</w:t>
            </w:r>
          </w:p>
        </w:tc>
        <w:tc>
          <w:tcPr>
            <w:tcW w:w="638" w:type="dxa"/>
            <w:shd w:val="clear" w:color="auto" w:fill="CCE2ED"/>
          </w:tcPr>
          <w:p w14:paraId="0C2B23F4" w14:textId="77777777" w:rsidR="00141B97" w:rsidRDefault="00141B97">
            <w:pPr>
              <w:pStyle w:val="TableParagraph"/>
              <w:rPr>
                <w:sz w:val="19"/>
              </w:rPr>
            </w:pPr>
          </w:p>
          <w:p w14:paraId="6E0F071A" w14:textId="77777777" w:rsidR="00141B97" w:rsidRDefault="00911D63">
            <w:pPr>
              <w:pStyle w:val="TableParagraph"/>
              <w:ind w:right="96"/>
              <w:jc w:val="right"/>
              <w:rPr>
                <w:sz w:val="16"/>
              </w:rPr>
            </w:pPr>
            <w:r>
              <w:rPr>
                <w:spacing w:val="-5"/>
                <w:sz w:val="16"/>
              </w:rPr>
              <w:t>0.8</w:t>
            </w:r>
          </w:p>
        </w:tc>
        <w:tc>
          <w:tcPr>
            <w:tcW w:w="705" w:type="dxa"/>
            <w:tcBorders>
              <w:right w:val="nil"/>
            </w:tcBorders>
            <w:shd w:val="clear" w:color="auto" w:fill="CCE2ED"/>
          </w:tcPr>
          <w:p w14:paraId="51906AE1" w14:textId="77777777" w:rsidR="00141B97" w:rsidRDefault="00141B97">
            <w:pPr>
              <w:pStyle w:val="TableParagraph"/>
              <w:rPr>
                <w:sz w:val="19"/>
              </w:rPr>
            </w:pPr>
          </w:p>
          <w:p w14:paraId="2C610C16" w14:textId="77777777" w:rsidR="00141B97" w:rsidRDefault="00911D63">
            <w:pPr>
              <w:pStyle w:val="TableParagraph"/>
              <w:ind w:right="89"/>
              <w:jc w:val="right"/>
              <w:rPr>
                <w:sz w:val="16"/>
              </w:rPr>
            </w:pPr>
            <w:r>
              <w:rPr>
                <w:spacing w:val="-5"/>
                <w:sz w:val="16"/>
              </w:rPr>
              <w:t>0.7</w:t>
            </w:r>
          </w:p>
        </w:tc>
        <w:tc>
          <w:tcPr>
            <w:tcW w:w="663" w:type="dxa"/>
            <w:tcBorders>
              <w:left w:val="nil"/>
            </w:tcBorders>
            <w:shd w:val="clear" w:color="auto" w:fill="CCE2ED"/>
          </w:tcPr>
          <w:p w14:paraId="2219735F" w14:textId="77777777" w:rsidR="00141B97" w:rsidRDefault="00141B97">
            <w:pPr>
              <w:pStyle w:val="TableParagraph"/>
              <w:rPr>
                <w:sz w:val="19"/>
              </w:rPr>
            </w:pPr>
          </w:p>
          <w:p w14:paraId="456BD303" w14:textId="77777777" w:rsidR="00141B97" w:rsidRDefault="00911D63">
            <w:pPr>
              <w:pStyle w:val="TableParagraph"/>
              <w:ind w:right="96"/>
              <w:jc w:val="right"/>
              <w:rPr>
                <w:sz w:val="16"/>
              </w:rPr>
            </w:pPr>
            <w:r>
              <w:rPr>
                <w:spacing w:val="-5"/>
                <w:sz w:val="16"/>
              </w:rPr>
              <w:t>0.8</w:t>
            </w:r>
          </w:p>
        </w:tc>
        <w:tc>
          <w:tcPr>
            <w:tcW w:w="677" w:type="dxa"/>
            <w:tcBorders>
              <w:right w:val="nil"/>
            </w:tcBorders>
            <w:shd w:val="clear" w:color="auto" w:fill="CCE2ED"/>
          </w:tcPr>
          <w:p w14:paraId="548AE937" w14:textId="77777777" w:rsidR="00141B97" w:rsidRDefault="00141B97">
            <w:pPr>
              <w:pStyle w:val="TableParagraph"/>
              <w:rPr>
                <w:sz w:val="19"/>
              </w:rPr>
            </w:pPr>
          </w:p>
          <w:p w14:paraId="7021B5A0" w14:textId="77777777" w:rsidR="00141B97" w:rsidRDefault="00911D63">
            <w:pPr>
              <w:pStyle w:val="TableParagraph"/>
              <w:ind w:right="90"/>
              <w:jc w:val="right"/>
              <w:rPr>
                <w:sz w:val="16"/>
              </w:rPr>
            </w:pPr>
            <w:r>
              <w:rPr>
                <w:spacing w:val="-5"/>
                <w:sz w:val="16"/>
              </w:rPr>
              <w:t>0.7</w:t>
            </w:r>
          </w:p>
        </w:tc>
        <w:tc>
          <w:tcPr>
            <w:tcW w:w="637" w:type="dxa"/>
            <w:tcBorders>
              <w:left w:val="nil"/>
            </w:tcBorders>
            <w:shd w:val="clear" w:color="auto" w:fill="CCE2ED"/>
          </w:tcPr>
          <w:p w14:paraId="5841A260" w14:textId="77777777" w:rsidR="00141B97" w:rsidRDefault="00141B97">
            <w:pPr>
              <w:pStyle w:val="TableParagraph"/>
              <w:rPr>
                <w:sz w:val="19"/>
              </w:rPr>
            </w:pPr>
          </w:p>
          <w:p w14:paraId="68FF2267" w14:textId="77777777" w:rsidR="00141B97" w:rsidRDefault="00911D63">
            <w:pPr>
              <w:pStyle w:val="TableParagraph"/>
              <w:ind w:right="92"/>
              <w:jc w:val="right"/>
              <w:rPr>
                <w:sz w:val="16"/>
              </w:rPr>
            </w:pPr>
            <w:r>
              <w:rPr>
                <w:spacing w:val="-5"/>
                <w:sz w:val="16"/>
              </w:rPr>
              <w:t>0.8</w:t>
            </w:r>
          </w:p>
        </w:tc>
        <w:tc>
          <w:tcPr>
            <w:tcW w:w="648" w:type="dxa"/>
            <w:tcBorders>
              <w:right w:val="nil"/>
            </w:tcBorders>
            <w:shd w:val="clear" w:color="auto" w:fill="CCE2ED"/>
          </w:tcPr>
          <w:p w14:paraId="1ED7A7FB" w14:textId="77777777" w:rsidR="00141B97" w:rsidRDefault="00141B97">
            <w:pPr>
              <w:pStyle w:val="TableParagraph"/>
              <w:rPr>
                <w:sz w:val="19"/>
              </w:rPr>
            </w:pPr>
          </w:p>
          <w:p w14:paraId="52540480" w14:textId="77777777" w:rsidR="00141B97" w:rsidRDefault="00911D63">
            <w:pPr>
              <w:pStyle w:val="TableParagraph"/>
              <w:ind w:right="86"/>
              <w:jc w:val="right"/>
              <w:rPr>
                <w:sz w:val="16"/>
              </w:rPr>
            </w:pPr>
            <w:r>
              <w:rPr>
                <w:spacing w:val="-5"/>
                <w:sz w:val="16"/>
              </w:rPr>
              <w:t>0.7</w:t>
            </w:r>
          </w:p>
        </w:tc>
        <w:tc>
          <w:tcPr>
            <w:tcW w:w="667" w:type="dxa"/>
            <w:tcBorders>
              <w:left w:val="nil"/>
            </w:tcBorders>
            <w:shd w:val="clear" w:color="auto" w:fill="CCE2ED"/>
          </w:tcPr>
          <w:p w14:paraId="7C3D84CD" w14:textId="77777777" w:rsidR="00141B97" w:rsidRDefault="00141B97">
            <w:pPr>
              <w:pStyle w:val="TableParagraph"/>
              <w:rPr>
                <w:sz w:val="19"/>
              </w:rPr>
            </w:pPr>
          </w:p>
          <w:p w14:paraId="5F1CB8A9" w14:textId="77777777" w:rsidR="00141B97" w:rsidRDefault="00911D63">
            <w:pPr>
              <w:pStyle w:val="TableParagraph"/>
              <w:ind w:right="90"/>
              <w:jc w:val="right"/>
              <w:rPr>
                <w:sz w:val="16"/>
              </w:rPr>
            </w:pPr>
            <w:r>
              <w:rPr>
                <w:spacing w:val="-5"/>
                <w:sz w:val="16"/>
              </w:rPr>
              <w:t>0.8</w:t>
            </w:r>
          </w:p>
        </w:tc>
        <w:tc>
          <w:tcPr>
            <w:tcW w:w="621" w:type="dxa"/>
            <w:tcBorders>
              <w:right w:val="nil"/>
            </w:tcBorders>
            <w:shd w:val="clear" w:color="auto" w:fill="CCE2ED"/>
          </w:tcPr>
          <w:p w14:paraId="6BE525E6" w14:textId="77777777" w:rsidR="00141B97" w:rsidRDefault="00141B97">
            <w:pPr>
              <w:pStyle w:val="TableParagraph"/>
              <w:rPr>
                <w:sz w:val="19"/>
              </w:rPr>
            </w:pPr>
          </w:p>
          <w:p w14:paraId="50EBE815" w14:textId="77777777" w:rsidR="00141B97" w:rsidRDefault="00911D63">
            <w:pPr>
              <w:pStyle w:val="TableParagraph"/>
              <w:ind w:right="83"/>
              <w:jc w:val="right"/>
              <w:rPr>
                <w:sz w:val="16"/>
              </w:rPr>
            </w:pPr>
            <w:r>
              <w:rPr>
                <w:spacing w:val="-5"/>
                <w:sz w:val="16"/>
              </w:rPr>
              <w:t>0.7</w:t>
            </w:r>
          </w:p>
        </w:tc>
        <w:tc>
          <w:tcPr>
            <w:tcW w:w="695" w:type="dxa"/>
            <w:tcBorders>
              <w:left w:val="nil"/>
            </w:tcBorders>
            <w:shd w:val="clear" w:color="auto" w:fill="CCE2ED"/>
          </w:tcPr>
          <w:p w14:paraId="05334D77" w14:textId="77777777" w:rsidR="00141B97" w:rsidRDefault="00141B97">
            <w:pPr>
              <w:pStyle w:val="TableParagraph"/>
              <w:rPr>
                <w:sz w:val="19"/>
              </w:rPr>
            </w:pPr>
          </w:p>
          <w:p w14:paraId="1C2F8DEC" w14:textId="77777777" w:rsidR="00141B97" w:rsidRDefault="00911D63">
            <w:pPr>
              <w:pStyle w:val="TableParagraph"/>
              <w:ind w:right="84"/>
              <w:jc w:val="right"/>
              <w:rPr>
                <w:sz w:val="16"/>
              </w:rPr>
            </w:pPr>
            <w:r>
              <w:rPr>
                <w:spacing w:val="-5"/>
                <w:sz w:val="16"/>
              </w:rPr>
              <w:t>3.1</w:t>
            </w:r>
          </w:p>
        </w:tc>
        <w:tc>
          <w:tcPr>
            <w:tcW w:w="736" w:type="dxa"/>
            <w:tcBorders>
              <w:right w:val="nil"/>
            </w:tcBorders>
            <w:shd w:val="clear" w:color="auto" w:fill="CCE2ED"/>
          </w:tcPr>
          <w:p w14:paraId="67645958" w14:textId="77777777" w:rsidR="00141B97" w:rsidRDefault="00141B97">
            <w:pPr>
              <w:pStyle w:val="TableParagraph"/>
              <w:rPr>
                <w:sz w:val="19"/>
              </w:rPr>
            </w:pPr>
          </w:p>
          <w:p w14:paraId="0FC4712B" w14:textId="77777777" w:rsidR="00141B97" w:rsidRDefault="00911D63">
            <w:pPr>
              <w:pStyle w:val="TableParagraph"/>
              <w:ind w:right="80"/>
              <w:jc w:val="right"/>
              <w:rPr>
                <w:sz w:val="16"/>
              </w:rPr>
            </w:pPr>
            <w:r>
              <w:rPr>
                <w:spacing w:val="-5"/>
                <w:sz w:val="16"/>
              </w:rPr>
              <w:t>2.9</w:t>
            </w:r>
          </w:p>
        </w:tc>
        <w:tc>
          <w:tcPr>
            <w:tcW w:w="576" w:type="dxa"/>
            <w:tcBorders>
              <w:left w:val="nil"/>
            </w:tcBorders>
            <w:shd w:val="clear" w:color="auto" w:fill="CCE2ED"/>
          </w:tcPr>
          <w:p w14:paraId="7E363D2F" w14:textId="77777777" w:rsidR="00141B97" w:rsidRDefault="00141B97">
            <w:pPr>
              <w:pStyle w:val="TableParagraph"/>
              <w:rPr>
                <w:sz w:val="19"/>
              </w:rPr>
            </w:pPr>
          </w:p>
          <w:p w14:paraId="01D6279E" w14:textId="77777777" w:rsidR="00141B97" w:rsidRDefault="00911D63">
            <w:pPr>
              <w:pStyle w:val="TableParagraph"/>
              <w:ind w:right="81"/>
              <w:jc w:val="right"/>
              <w:rPr>
                <w:sz w:val="16"/>
              </w:rPr>
            </w:pPr>
            <w:r>
              <w:rPr>
                <w:spacing w:val="-4"/>
                <w:sz w:val="16"/>
              </w:rPr>
              <w:t>‐0.2</w:t>
            </w:r>
          </w:p>
        </w:tc>
        <w:tc>
          <w:tcPr>
            <w:tcW w:w="560" w:type="dxa"/>
            <w:tcBorders>
              <w:right w:val="nil"/>
            </w:tcBorders>
            <w:shd w:val="clear" w:color="auto" w:fill="CCE2ED"/>
          </w:tcPr>
          <w:p w14:paraId="0FBA8F79" w14:textId="77777777" w:rsidR="00141B97" w:rsidRDefault="00141B97">
            <w:pPr>
              <w:pStyle w:val="TableParagraph"/>
              <w:rPr>
                <w:sz w:val="19"/>
              </w:rPr>
            </w:pPr>
          </w:p>
          <w:p w14:paraId="031EDBD8" w14:textId="77777777" w:rsidR="00141B97" w:rsidRDefault="00911D63">
            <w:pPr>
              <w:pStyle w:val="TableParagraph"/>
              <w:ind w:left="225"/>
              <w:rPr>
                <w:sz w:val="16"/>
              </w:rPr>
            </w:pPr>
            <w:r>
              <w:rPr>
                <w:spacing w:val="-5"/>
                <w:sz w:val="16"/>
              </w:rPr>
              <w:t>‐7%</w:t>
            </w:r>
          </w:p>
        </w:tc>
      </w:tr>
      <w:tr w:rsidR="00141B97" w14:paraId="384E0F20" w14:textId="77777777">
        <w:trPr>
          <w:trHeight w:val="210"/>
          <w:tblCellSpacing w:w="9" w:type="dxa"/>
        </w:trPr>
        <w:tc>
          <w:tcPr>
            <w:tcW w:w="1920" w:type="dxa"/>
            <w:tcBorders>
              <w:left w:val="nil"/>
            </w:tcBorders>
            <w:shd w:val="clear" w:color="auto" w:fill="CCE2ED"/>
          </w:tcPr>
          <w:p w14:paraId="4D7A7902" w14:textId="77777777" w:rsidR="00141B97" w:rsidRDefault="00911D63">
            <w:pPr>
              <w:pStyle w:val="TableParagraph"/>
              <w:spacing w:before="7" w:line="184" w:lineRule="exact"/>
              <w:ind w:left="107"/>
              <w:rPr>
                <w:sz w:val="16"/>
              </w:rPr>
            </w:pPr>
            <w:r>
              <w:rPr>
                <w:sz w:val="16"/>
              </w:rPr>
              <w:t>Licence</w:t>
            </w:r>
            <w:r>
              <w:rPr>
                <w:spacing w:val="-5"/>
                <w:sz w:val="16"/>
              </w:rPr>
              <w:t xml:space="preserve"> </w:t>
            </w:r>
            <w:r>
              <w:rPr>
                <w:spacing w:val="-4"/>
                <w:sz w:val="16"/>
              </w:rPr>
              <w:t>fees</w:t>
            </w:r>
          </w:p>
        </w:tc>
        <w:tc>
          <w:tcPr>
            <w:tcW w:w="638" w:type="dxa"/>
            <w:shd w:val="clear" w:color="auto" w:fill="CCE2ED"/>
          </w:tcPr>
          <w:p w14:paraId="6E8115B8" w14:textId="77777777" w:rsidR="00141B97" w:rsidRDefault="00911D63">
            <w:pPr>
              <w:pStyle w:val="TableParagraph"/>
              <w:spacing w:before="7" w:line="184" w:lineRule="exact"/>
              <w:ind w:right="96"/>
              <w:jc w:val="right"/>
              <w:rPr>
                <w:sz w:val="16"/>
              </w:rPr>
            </w:pPr>
            <w:r>
              <w:rPr>
                <w:spacing w:val="-5"/>
                <w:sz w:val="16"/>
              </w:rPr>
              <w:t>0.1</w:t>
            </w:r>
          </w:p>
        </w:tc>
        <w:tc>
          <w:tcPr>
            <w:tcW w:w="705" w:type="dxa"/>
            <w:tcBorders>
              <w:right w:val="nil"/>
            </w:tcBorders>
            <w:shd w:val="clear" w:color="auto" w:fill="CCE2ED"/>
          </w:tcPr>
          <w:p w14:paraId="692B256F" w14:textId="77777777" w:rsidR="00141B97" w:rsidRDefault="00911D63">
            <w:pPr>
              <w:pStyle w:val="TableParagraph"/>
              <w:spacing w:before="7" w:line="184" w:lineRule="exact"/>
              <w:ind w:right="89"/>
              <w:jc w:val="right"/>
              <w:rPr>
                <w:sz w:val="16"/>
              </w:rPr>
            </w:pPr>
            <w:r>
              <w:rPr>
                <w:spacing w:val="-5"/>
                <w:sz w:val="16"/>
              </w:rPr>
              <w:t>0.1</w:t>
            </w:r>
          </w:p>
        </w:tc>
        <w:tc>
          <w:tcPr>
            <w:tcW w:w="663" w:type="dxa"/>
            <w:tcBorders>
              <w:left w:val="nil"/>
            </w:tcBorders>
            <w:shd w:val="clear" w:color="auto" w:fill="CCE2ED"/>
          </w:tcPr>
          <w:p w14:paraId="3747FB40" w14:textId="77777777" w:rsidR="00141B97" w:rsidRDefault="00911D63">
            <w:pPr>
              <w:pStyle w:val="TableParagraph"/>
              <w:spacing w:before="7" w:line="184" w:lineRule="exact"/>
              <w:ind w:right="96"/>
              <w:jc w:val="right"/>
              <w:rPr>
                <w:sz w:val="16"/>
              </w:rPr>
            </w:pPr>
            <w:r>
              <w:rPr>
                <w:spacing w:val="-5"/>
                <w:sz w:val="16"/>
              </w:rPr>
              <w:t>0.1</w:t>
            </w:r>
          </w:p>
        </w:tc>
        <w:tc>
          <w:tcPr>
            <w:tcW w:w="677" w:type="dxa"/>
            <w:tcBorders>
              <w:right w:val="nil"/>
            </w:tcBorders>
            <w:shd w:val="clear" w:color="auto" w:fill="CCE2ED"/>
          </w:tcPr>
          <w:p w14:paraId="5F7E9D9D" w14:textId="77777777" w:rsidR="00141B97" w:rsidRDefault="00911D63">
            <w:pPr>
              <w:pStyle w:val="TableParagraph"/>
              <w:spacing w:before="7" w:line="184" w:lineRule="exact"/>
              <w:ind w:right="90"/>
              <w:jc w:val="right"/>
              <w:rPr>
                <w:sz w:val="16"/>
              </w:rPr>
            </w:pPr>
            <w:r>
              <w:rPr>
                <w:spacing w:val="-5"/>
                <w:sz w:val="16"/>
              </w:rPr>
              <w:t>0.0</w:t>
            </w:r>
          </w:p>
        </w:tc>
        <w:tc>
          <w:tcPr>
            <w:tcW w:w="637" w:type="dxa"/>
            <w:tcBorders>
              <w:left w:val="nil"/>
            </w:tcBorders>
            <w:shd w:val="clear" w:color="auto" w:fill="CCE2ED"/>
          </w:tcPr>
          <w:p w14:paraId="1771884C" w14:textId="77777777" w:rsidR="00141B97" w:rsidRDefault="00911D63">
            <w:pPr>
              <w:pStyle w:val="TableParagraph"/>
              <w:spacing w:before="7" w:line="184" w:lineRule="exact"/>
              <w:ind w:right="92"/>
              <w:jc w:val="right"/>
              <w:rPr>
                <w:sz w:val="16"/>
              </w:rPr>
            </w:pPr>
            <w:r>
              <w:rPr>
                <w:spacing w:val="-5"/>
                <w:sz w:val="16"/>
              </w:rPr>
              <w:t>0.1</w:t>
            </w:r>
          </w:p>
        </w:tc>
        <w:tc>
          <w:tcPr>
            <w:tcW w:w="648" w:type="dxa"/>
            <w:tcBorders>
              <w:right w:val="nil"/>
            </w:tcBorders>
            <w:shd w:val="clear" w:color="auto" w:fill="CCE2ED"/>
          </w:tcPr>
          <w:p w14:paraId="7986938A" w14:textId="77777777" w:rsidR="00141B97" w:rsidRDefault="00911D63">
            <w:pPr>
              <w:pStyle w:val="TableParagraph"/>
              <w:spacing w:before="7" w:line="184" w:lineRule="exact"/>
              <w:ind w:right="86"/>
              <w:jc w:val="right"/>
              <w:rPr>
                <w:sz w:val="16"/>
              </w:rPr>
            </w:pPr>
            <w:r>
              <w:rPr>
                <w:spacing w:val="-5"/>
                <w:sz w:val="16"/>
              </w:rPr>
              <w:t>0.1</w:t>
            </w:r>
          </w:p>
        </w:tc>
        <w:tc>
          <w:tcPr>
            <w:tcW w:w="667" w:type="dxa"/>
            <w:tcBorders>
              <w:left w:val="nil"/>
            </w:tcBorders>
            <w:shd w:val="clear" w:color="auto" w:fill="CCE2ED"/>
          </w:tcPr>
          <w:p w14:paraId="3AD6FD5C" w14:textId="77777777" w:rsidR="00141B97" w:rsidRDefault="00911D63">
            <w:pPr>
              <w:pStyle w:val="TableParagraph"/>
              <w:spacing w:before="7" w:line="184" w:lineRule="exact"/>
              <w:ind w:right="90"/>
              <w:jc w:val="right"/>
              <w:rPr>
                <w:sz w:val="16"/>
              </w:rPr>
            </w:pPr>
            <w:r>
              <w:rPr>
                <w:spacing w:val="-5"/>
                <w:sz w:val="16"/>
              </w:rPr>
              <w:t>0.1</w:t>
            </w:r>
          </w:p>
        </w:tc>
        <w:tc>
          <w:tcPr>
            <w:tcW w:w="621" w:type="dxa"/>
            <w:tcBorders>
              <w:right w:val="nil"/>
            </w:tcBorders>
            <w:shd w:val="clear" w:color="auto" w:fill="CCE2ED"/>
          </w:tcPr>
          <w:p w14:paraId="64C27F5F" w14:textId="77777777" w:rsidR="00141B97" w:rsidRDefault="00911D63">
            <w:pPr>
              <w:pStyle w:val="TableParagraph"/>
              <w:spacing w:before="7" w:line="184" w:lineRule="exact"/>
              <w:ind w:right="83"/>
              <w:jc w:val="right"/>
              <w:rPr>
                <w:sz w:val="16"/>
              </w:rPr>
            </w:pPr>
            <w:r>
              <w:rPr>
                <w:spacing w:val="-5"/>
                <w:sz w:val="16"/>
              </w:rPr>
              <w:t>0.1</w:t>
            </w:r>
          </w:p>
        </w:tc>
        <w:tc>
          <w:tcPr>
            <w:tcW w:w="695" w:type="dxa"/>
            <w:tcBorders>
              <w:left w:val="nil"/>
            </w:tcBorders>
            <w:shd w:val="clear" w:color="auto" w:fill="CCE2ED"/>
          </w:tcPr>
          <w:p w14:paraId="149D4E42" w14:textId="77777777" w:rsidR="00141B97" w:rsidRDefault="00911D63">
            <w:pPr>
              <w:pStyle w:val="TableParagraph"/>
              <w:spacing w:before="7" w:line="184" w:lineRule="exact"/>
              <w:ind w:right="84"/>
              <w:jc w:val="right"/>
              <w:rPr>
                <w:sz w:val="16"/>
              </w:rPr>
            </w:pPr>
            <w:r>
              <w:rPr>
                <w:spacing w:val="-5"/>
                <w:sz w:val="16"/>
              </w:rPr>
              <w:t>0.3</w:t>
            </w:r>
          </w:p>
        </w:tc>
        <w:tc>
          <w:tcPr>
            <w:tcW w:w="736" w:type="dxa"/>
            <w:tcBorders>
              <w:right w:val="nil"/>
            </w:tcBorders>
            <w:shd w:val="clear" w:color="auto" w:fill="CCE2ED"/>
          </w:tcPr>
          <w:p w14:paraId="71CFFF48" w14:textId="77777777" w:rsidR="00141B97" w:rsidRDefault="00911D63">
            <w:pPr>
              <w:pStyle w:val="TableParagraph"/>
              <w:spacing w:before="7" w:line="184" w:lineRule="exact"/>
              <w:ind w:right="80"/>
              <w:jc w:val="right"/>
              <w:rPr>
                <w:sz w:val="16"/>
              </w:rPr>
            </w:pPr>
            <w:r>
              <w:rPr>
                <w:spacing w:val="-5"/>
                <w:sz w:val="16"/>
              </w:rPr>
              <w:t>0.3</w:t>
            </w:r>
          </w:p>
        </w:tc>
        <w:tc>
          <w:tcPr>
            <w:tcW w:w="576" w:type="dxa"/>
            <w:tcBorders>
              <w:left w:val="nil"/>
            </w:tcBorders>
            <w:shd w:val="clear" w:color="auto" w:fill="CCE2ED"/>
          </w:tcPr>
          <w:p w14:paraId="53816E08" w14:textId="77777777" w:rsidR="00141B97" w:rsidRDefault="00911D63">
            <w:pPr>
              <w:pStyle w:val="TableParagraph"/>
              <w:spacing w:before="7" w:line="184" w:lineRule="exact"/>
              <w:ind w:right="81"/>
              <w:jc w:val="right"/>
              <w:rPr>
                <w:sz w:val="16"/>
              </w:rPr>
            </w:pPr>
            <w:r>
              <w:rPr>
                <w:spacing w:val="-5"/>
                <w:sz w:val="16"/>
              </w:rPr>
              <w:t>0.0</w:t>
            </w:r>
          </w:p>
        </w:tc>
        <w:tc>
          <w:tcPr>
            <w:tcW w:w="560" w:type="dxa"/>
            <w:tcBorders>
              <w:right w:val="nil"/>
            </w:tcBorders>
            <w:shd w:val="clear" w:color="auto" w:fill="CCE2ED"/>
          </w:tcPr>
          <w:p w14:paraId="276712EE" w14:textId="77777777" w:rsidR="00141B97" w:rsidRDefault="00911D63">
            <w:pPr>
              <w:pStyle w:val="TableParagraph"/>
              <w:spacing w:before="7" w:line="184" w:lineRule="exact"/>
              <w:ind w:left="225"/>
              <w:rPr>
                <w:sz w:val="16"/>
              </w:rPr>
            </w:pPr>
            <w:r>
              <w:rPr>
                <w:spacing w:val="-5"/>
                <w:sz w:val="16"/>
              </w:rPr>
              <w:t>‐3%</w:t>
            </w:r>
          </w:p>
        </w:tc>
      </w:tr>
      <w:tr w:rsidR="00141B97" w14:paraId="61B45D03" w14:textId="77777777">
        <w:trPr>
          <w:trHeight w:val="449"/>
          <w:tblCellSpacing w:w="9" w:type="dxa"/>
        </w:trPr>
        <w:tc>
          <w:tcPr>
            <w:tcW w:w="1920" w:type="dxa"/>
            <w:tcBorders>
              <w:left w:val="nil"/>
            </w:tcBorders>
            <w:shd w:val="clear" w:color="auto" w:fill="CCE2ED"/>
          </w:tcPr>
          <w:p w14:paraId="25A71039" w14:textId="77777777" w:rsidR="00141B97" w:rsidRDefault="00911D63">
            <w:pPr>
              <w:pStyle w:val="TableParagraph"/>
              <w:spacing w:before="29"/>
              <w:ind w:left="107" w:right="126"/>
              <w:rPr>
                <w:sz w:val="16"/>
              </w:rPr>
            </w:pPr>
            <w:r>
              <w:rPr>
                <w:spacing w:val="-2"/>
                <w:sz w:val="16"/>
              </w:rPr>
              <w:t>Environmental</w:t>
            </w:r>
            <w:r>
              <w:rPr>
                <w:spacing w:val="40"/>
                <w:sz w:val="16"/>
              </w:rPr>
              <w:t xml:space="preserve"> </w:t>
            </w:r>
            <w:r>
              <w:rPr>
                <w:spacing w:val="-2"/>
                <w:sz w:val="16"/>
              </w:rPr>
              <w:t>Contribution</w:t>
            </w:r>
          </w:p>
        </w:tc>
        <w:tc>
          <w:tcPr>
            <w:tcW w:w="638" w:type="dxa"/>
            <w:shd w:val="clear" w:color="auto" w:fill="CCE2ED"/>
          </w:tcPr>
          <w:p w14:paraId="15262D22" w14:textId="77777777" w:rsidR="00141B97" w:rsidRDefault="00911D63">
            <w:pPr>
              <w:pStyle w:val="TableParagraph"/>
              <w:spacing w:before="127"/>
              <w:ind w:right="96"/>
              <w:jc w:val="right"/>
              <w:rPr>
                <w:sz w:val="16"/>
              </w:rPr>
            </w:pPr>
            <w:r>
              <w:rPr>
                <w:spacing w:val="-5"/>
                <w:sz w:val="16"/>
              </w:rPr>
              <w:t>2.0</w:t>
            </w:r>
          </w:p>
        </w:tc>
        <w:tc>
          <w:tcPr>
            <w:tcW w:w="705" w:type="dxa"/>
            <w:tcBorders>
              <w:right w:val="nil"/>
            </w:tcBorders>
            <w:shd w:val="clear" w:color="auto" w:fill="CCE2ED"/>
          </w:tcPr>
          <w:p w14:paraId="749E1D55" w14:textId="77777777" w:rsidR="00141B97" w:rsidRDefault="00911D63">
            <w:pPr>
              <w:pStyle w:val="TableParagraph"/>
              <w:spacing w:before="127"/>
              <w:ind w:right="89"/>
              <w:jc w:val="right"/>
              <w:rPr>
                <w:sz w:val="16"/>
              </w:rPr>
            </w:pPr>
            <w:r>
              <w:rPr>
                <w:spacing w:val="-5"/>
                <w:sz w:val="16"/>
              </w:rPr>
              <w:t>1.9</w:t>
            </w:r>
          </w:p>
        </w:tc>
        <w:tc>
          <w:tcPr>
            <w:tcW w:w="663" w:type="dxa"/>
            <w:tcBorders>
              <w:left w:val="nil"/>
            </w:tcBorders>
            <w:shd w:val="clear" w:color="auto" w:fill="CCE2ED"/>
          </w:tcPr>
          <w:p w14:paraId="70D8379E" w14:textId="77777777" w:rsidR="00141B97" w:rsidRDefault="00911D63">
            <w:pPr>
              <w:pStyle w:val="TableParagraph"/>
              <w:spacing w:before="127"/>
              <w:ind w:right="96"/>
              <w:jc w:val="right"/>
              <w:rPr>
                <w:sz w:val="16"/>
              </w:rPr>
            </w:pPr>
            <w:r>
              <w:rPr>
                <w:spacing w:val="-5"/>
                <w:sz w:val="16"/>
              </w:rPr>
              <w:t>2.0</w:t>
            </w:r>
          </w:p>
        </w:tc>
        <w:tc>
          <w:tcPr>
            <w:tcW w:w="677" w:type="dxa"/>
            <w:tcBorders>
              <w:right w:val="nil"/>
            </w:tcBorders>
            <w:shd w:val="clear" w:color="auto" w:fill="CCE2ED"/>
          </w:tcPr>
          <w:p w14:paraId="31DA9E69" w14:textId="77777777" w:rsidR="00141B97" w:rsidRDefault="00911D63">
            <w:pPr>
              <w:pStyle w:val="TableParagraph"/>
              <w:spacing w:before="127"/>
              <w:ind w:right="90"/>
              <w:jc w:val="right"/>
              <w:rPr>
                <w:sz w:val="16"/>
              </w:rPr>
            </w:pPr>
            <w:r>
              <w:rPr>
                <w:spacing w:val="-5"/>
                <w:sz w:val="16"/>
              </w:rPr>
              <w:t>1.9</w:t>
            </w:r>
          </w:p>
        </w:tc>
        <w:tc>
          <w:tcPr>
            <w:tcW w:w="637" w:type="dxa"/>
            <w:tcBorders>
              <w:left w:val="nil"/>
            </w:tcBorders>
            <w:shd w:val="clear" w:color="auto" w:fill="CCE2ED"/>
          </w:tcPr>
          <w:p w14:paraId="2AFBFF48" w14:textId="77777777" w:rsidR="00141B97" w:rsidRDefault="00911D63">
            <w:pPr>
              <w:pStyle w:val="TableParagraph"/>
              <w:spacing w:before="127"/>
              <w:ind w:right="92"/>
              <w:jc w:val="right"/>
              <w:rPr>
                <w:sz w:val="16"/>
              </w:rPr>
            </w:pPr>
            <w:r>
              <w:rPr>
                <w:spacing w:val="-5"/>
                <w:sz w:val="16"/>
              </w:rPr>
              <w:t>2.0</w:t>
            </w:r>
          </w:p>
        </w:tc>
        <w:tc>
          <w:tcPr>
            <w:tcW w:w="648" w:type="dxa"/>
            <w:tcBorders>
              <w:right w:val="nil"/>
            </w:tcBorders>
            <w:shd w:val="clear" w:color="auto" w:fill="CCE2ED"/>
          </w:tcPr>
          <w:p w14:paraId="207D3E88" w14:textId="77777777" w:rsidR="00141B97" w:rsidRDefault="00911D63">
            <w:pPr>
              <w:pStyle w:val="TableParagraph"/>
              <w:spacing w:before="127"/>
              <w:ind w:right="86"/>
              <w:jc w:val="right"/>
              <w:rPr>
                <w:sz w:val="16"/>
              </w:rPr>
            </w:pPr>
            <w:r>
              <w:rPr>
                <w:spacing w:val="-5"/>
                <w:sz w:val="16"/>
              </w:rPr>
              <w:t>1.9</w:t>
            </w:r>
          </w:p>
        </w:tc>
        <w:tc>
          <w:tcPr>
            <w:tcW w:w="667" w:type="dxa"/>
            <w:tcBorders>
              <w:left w:val="nil"/>
            </w:tcBorders>
            <w:shd w:val="clear" w:color="auto" w:fill="CCE2ED"/>
          </w:tcPr>
          <w:p w14:paraId="7FD4A4EB" w14:textId="77777777" w:rsidR="00141B97" w:rsidRDefault="00911D63">
            <w:pPr>
              <w:pStyle w:val="TableParagraph"/>
              <w:spacing w:before="127"/>
              <w:ind w:right="90"/>
              <w:jc w:val="right"/>
              <w:rPr>
                <w:sz w:val="16"/>
              </w:rPr>
            </w:pPr>
            <w:r>
              <w:rPr>
                <w:spacing w:val="-5"/>
                <w:sz w:val="16"/>
              </w:rPr>
              <w:t>2.0</w:t>
            </w:r>
          </w:p>
        </w:tc>
        <w:tc>
          <w:tcPr>
            <w:tcW w:w="621" w:type="dxa"/>
            <w:tcBorders>
              <w:right w:val="nil"/>
            </w:tcBorders>
            <w:shd w:val="clear" w:color="auto" w:fill="CCE2ED"/>
          </w:tcPr>
          <w:p w14:paraId="1BC7D072" w14:textId="77777777" w:rsidR="00141B97" w:rsidRDefault="00911D63">
            <w:pPr>
              <w:pStyle w:val="TableParagraph"/>
              <w:spacing w:before="127"/>
              <w:ind w:right="83"/>
              <w:jc w:val="right"/>
              <w:rPr>
                <w:sz w:val="16"/>
              </w:rPr>
            </w:pPr>
            <w:r>
              <w:rPr>
                <w:spacing w:val="-5"/>
                <w:sz w:val="16"/>
              </w:rPr>
              <w:t>1.9</w:t>
            </w:r>
          </w:p>
        </w:tc>
        <w:tc>
          <w:tcPr>
            <w:tcW w:w="695" w:type="dxa"/>
            <w:tcBorders>
              <w:left w:val="nil"/>
            </w:tcBorders>
            <w:shd w:val="clear" w:color="auto" w:fill="CCE2ED"/>
          </w:tcPr>
          <w:p w14:paraId="5B946FAB" w14:textId="77777777" w:rsidR="00141B97" w:rsidRDefault="00911D63">
            <w:pPr>
              <w:pStyle w:val="TableParagraph"/>
              <w:spacing w:before="127"/>
              <w:ind w:right="84"/>
              <w:jc w:val="right"/>
              <w:rPr>
                <w:sz w:val="16"/>
              </w:rPr>
            </w:pPr>
            <w:r>
              <w:rPr>
                <w:spacing w:val="-5"/>
                <w:sz w:val="16"/>
              </w:rPr>
              <w:t>7.9</w:t>
            </w:r>
          </w:p>
        </w:tc>
        <w:tc>
          <w:tcPr>
            <w:tcW w:w="736" w:type="dxa"/>
            <w:tcBorders>
              <w:right w:val="nil"/>
            </w:tcBorders>
            <w:shd w:val="clear" w:color="auto" w:fill="CCE2ED"/>
          </w:tcPr>
          <w:p w14:paraId="688CCD2F" w14:textId="77777777" w:rsidR="00141B97" w:rsidRDefault="00911D63">
            <w:pPr>
              <w:pStyle w:val="TableParagraph"/>
              <w:spacing w:before="127"/>
              <w:ind w:right="80"/>
              <w:jc w:val="right"/>
              <w:rPr>
                <w:sz w:val="16"/>
              </w:rPr>
            </w:pPr>
            <w:r>
              <w:rPr>
                <w:spacing w:val="-5"/>
                <w:sz w:val="16"/>
              </w:rPr>
              <w:t>7.6</w:t>
            </w:r>
          </w:p>
        </w:tc>
        <w:tc>
          <w:tcPr>
            <w:tcW w:w="576" w:type="dxa"/>
            <w:tcBorders>
              <w:left w:val="nil"/>
            </w:tcBorders>
            <w:shd w:val="clear" w:color="auto" w:fill="CCE2ED"/>
          </w:tcPr>
          <w:p w14:paraId="7CA86AA6" w14:textId="77777777" w:rsidR="00141B97" w:rsidRDefault="00911D63">
            <w:pPr>
              <w:pStyle w:val="TableParagraph"/>
              <w:spacing w:before="127"/>
              <w:ind w:right="81"/>
              <w:jc w:val="right"/>
              <w:rPr>
                <w:sz w:val="16"/>
              </w:rPr>
            </w:pPr>
            <w:r>
              <w:rPr>
                <w:spacing w:val="-4"/>
                <w:sz w:val="16"/>
              </w:rPr>
              <w:t>‐0.3</w:t>
            </w:r>
          </w:p>
        </w:tc>
        <w:tc>
          <w:tcPr>
            <w:tcW w:w="560" w:type="dxa"/>
            <w:tcBorders>
              <w:right w:val="nil"/>
            </w:tcBorders>
            <w:shd w:val="clear" w:color="auto" w:fill="CCE2ED"/>
          </w:tcPr>
          <w:p w14:paraId="641055B1" w14:textId="77777777" w:rsidR="00141B97" w:rsidRDefault="00911D63">
            <w:pPr>
              <w:pStyle w:val="TableParagraph"/>
              <w:spacing w:before="127"/>
              <w:ind w:left="225"/>
              <w:rPr>
                <w:sz w:val="16"/>
              </w:rPr>
            </w:pPr>
            <w:r>
              <w:rPr>
                <w:spacing w:val="-5"/>
                <w:sz w:val="16"/>
              </w:rPr>
              <w:t>‐4%</w:t>
            </w:r>
          </w:p>
        </w:tc>
      </w:tr>
      <w:tr w:rsidR="00141B97" w14:paraId="7975AFA6" w14:textId="77777777">
        <w:trPr>
          <w:trHeight w:val="390"/>
          <w:tblCellSpacing w:w="9" w:type="dxa"/>
        </w:trPr>
        <w:tc>
          <w:tcPr>
            <w:tcW w:w="1920" w:type="dxa"/>
            <w:tcBorders>
              <w:left w:val="nil"/>
            </w:tcBorders>
            <w:shd w:val="clear" w:color="auto" w:fill="BFBFBF"/>
          </w:tcPr>
          <w:p w14:paraId="5F6123A4" w14:textId="77777777" w:rsidR="00141B97" w:rsidRDefault="00911D63">
            <w:pPr>
              <w:pStyle w:val="TableParagraph"/>
              <w:spacing w:before="1" w:line="195" w:lineRule="exact"/>
              <w:ind w:left="107"/>
              <w:rPr>
                <w:sz w:val="16"/>
              </w:rPr>
            </w:pPr>
            <w:r>
              <w:rPr>
                <w:sz w:val="16"/>
              </w:rPr>
              <w:t>Total</w:t>
            </w:r>
            <w:r>
              <w:rPr>
                <w:spacing w:val="-5"/>
                <w:sz w:val="16"/>
              </w:rPr>
              <w:t xml:space="preserve"> </w:t>
            </w:r>
            <w:r>
              <w:rPr>
                <w:spacing w:val="-2"/>
                <w:sz w:val="16"/>
              </w:rPr>
              <w:t>non‐controllable</w:t>
            </w:r>
          </w:p>
          <w:p w14:paraId="2CA12578" w14:textId="77777777" w:rsidR="00141B97" w:rsidRDefault="00911D63">
            <w:pPr>
              <w:pStyle w:val="TableParagraph"/>
              <w:spacing w:line="175" w:lineRule="exact"/>
              <w:ind w:left="107"/>
              <w:rPr>
                <w:sz w:val="16"/>
              </w:rPr>
            </w:pPr>
            <w:r>
              <w:rPr>
                <w:spacing w:val="-4"/>
                <w:sz w:val="16"/>
              </w:rPr>
              <w:t>opex</w:t>
            </w:r>
          </w:p>
        </w:tc>
        <w:tc>
          <w:tcPr>
            <w:tcW w:w="638" w:type="dxa"/>
            <w:shd w:val="clear" w:color="auto" w:fill="BFBFBF"/>
          </w:tcPr>
          <w:p w14:paraId="3D272CBC" w14:textId="77777777" w:rsidR="00141B97" w:rsidRDefault="00911D63">
            <w:pPr>
              <w:pStyle w:val="TableParagraph"/>
              <w:spacing w:before="98"/>
              <w:ind w:right="95"/>
              <w:jc w:val="right"/>
              <w:rPr>
                <w:sz w:val="16"/>
              </w:rPr>
            </w:pPr>
            <w:r>
              <w:rPr>
                <w:spacing w:val="-5"/>
                <w:sz w:val="16"/>
              </w:rPr>
              <w:t>2.8</w:t>
            </w:r>
          </w:p>
        </w:tc>
        <w:tc>
          <w:tcPr>
            <w:tcW w:w="705" w:type="dxa"/>
            <w:tcBorders>
              <w:right w:val="nil"/>
            </w:tcBorders>
            <w:shd w:val="clear" w:color="auto" w:fill="BFBFBF"/>
          </w:tcPr>
          <w:p w14:paraId="22EBEE5B" w14:textId="77777777" w:rsidR="00141B97" w:rsidRDefault="00911D63">
            <w:pPr>
              <w:pStyle w:val="TableParagraph"/>
              <w:spacing w:before="98"/>
              <w:ind w:right="88"/>
              <w:jc w:val="right"/>
              <w:rPr>
                <w:sz w:val="16"/>
              </w:rPr>
            </w:pPr>
            <w:r>
              <w:rPr>
                <w:spacing w:val="-5"/>
                <w:sz w:val="16"/>
              </w:rPr>
              <w:t>2.8</w:t>
            </w:r>
          </w:p>
        </w:tc>
        <w:tc>
          <w:tcPr>
            <w:tcW w:w="663" w:type="dxa"/>
            <w:tcBorders>
              <w:left w:val="nil"/>
            </w:tcBorders>
            <w:shd w:val="clear" w:color="auto" w:fill="BFBFBF"/>
          </w:tcPr>
          <w:p w14:paraId="5023EC87" w14:textId="77777777" w:rsidR="00141B97" w:rsidRDefault="00911D63">
            <w:pPr>
              <w:pStyle w:val="TableParagraph"/>
              <w:spacing w:before="98"/>
              <w:ind w:right="95"/>
              <w:jc w:val="right"/>
              <w:rPr>
                <w:sz w:val="16"/>
              </w:rPr>
            </w:pPr>
            <w:r>
              <w:rPr>
                <w:spacing w:val="-5"/>
                <w:sz w:val="16"/>
              </w:rPr>
              <w:t>2.8</w:t>
            </w:r>
          </w:p>
        </w:tc>
        <w:tc>
          <w:tcPr>
            <w:tcW w:w="677" w:type="dxa"/>
            <w:tcBorders>
              <w:right w:val="nil"/>
            </w:tcBorders>
            <w:shd w:val="clear" w:color="auto" w:fill="BFBFBF"/>
          </w:tcPr>
          <w:p w14:paraId="0D35DE39" w14:textId="77777777" w:rsidR="00141B97" w:rsidRDefault="00911D63">
            <w:pPr>
              <w:pStyle w:val="TableParagraph"/>
              <w:spacing w:before="98"/>
              <w:ind w:right="89"/>
              <w:jc w:val="right"/>
              <w:rPr>
                <w:sz w:val="16"/>
              </w:rPr>
            </w:pPr>
            <w:r>
              <w:rPr>
                <w:spacing w:val="-5"/>
                <w:sz w:val="16"/>
              </w:rPr>
              <w:t>2.7</w:t>
            </w:r>
          </w:p>
        </w:tc>
        <w:tc>
          <w:tcPr>
            <w:tcW w:w="637" w:type="dxa"/>
            <w:tcBorders>
              <w:left w:val="nil"/>
            </w:tcBorders>
            <w:shd w:val="clear" w:color="auto" w:fill="BFBFBF"/>
          </w:tcPr>
          <w:p w14:paraId="669AE8C0" w14:textId="77777777" w:rsidR="00141B97" w:rsidRDefault="00911D63">
            <w:pPr>
              <w:pStyle w:val="TableParagraph"/>
              <w:spacing w:before="98"/>
              <w:ind w:right="91"/>
              <w:jc w:val="right"/>
              <w:rPr>
                <w:sz w:val="16"/>
              </w:rPr>
            </w:pPr>
            <w:r>
              <w:rPr>
                <w:spacing w:val="-5"/>
                <w:sz w:val="16"/>
              </w:rPr>
              <w:t>2.8</w:t>
            </w:r>
          </w:p>
        </w:tc>
        <w:tc>
          <w:tcPr>
            <w:tcW w:w="648" w:type="dxa"/>
            <w:tcBorders>
              <w:right w:val="nil"/>
            </w:tcBorders>
            <w:shd w:val="clear" w:color="auto" w:fill="BFBFBF"/>
          </w:tcPr>
          <w:p w14:paraId="5FE008DB" w14:textId="77777777" w:rsidR="00141B97" w:rsidRDefault="00911D63">
            <w:pPr>
              <w:pStyle w:val="TableParagraph"/>
              <w:spacing w:before="98"/>
              <w:ind w:right="85"/>
              <w:jc w:val="right"/>
              <w:rPr>
                <w:sz w:val="16"/>
              </w:rPr>
            </w:pPr>
            <w:r>
              <w:rPr>
                <w:spacing w:val="-5"/>
                <w:sz w:val="16"/>
              </w:rPr>
              <w:t>2.7</w:t>
            </w:r>
          </w:p>
        </w:tc>
        <w:tc>
          <w:tcPr>
            <w:tcW w:w="667" w:type="dxa"/>
            <w:tcBorders>
              <w:left w:val="nil"/>
            </w:tcBorders>
            <w:shd w:val="clear" w:color="auto" w:fill="BFBFBF"/>
          </w:tcPr>
          <w:p w14:paraId="30C0A41C" w14:textId="77777777" w:rsidR="00141B97" w:rsidRDefault="00911D63">
            <w:pPr>
              <w:pStyle w:val="TableParagraph"/>
              <w:spacing w:before="98"/>
              <w:ind w:right="88"/>
              <w:jc w:val="right"/>
              <w:rPr>
                <w:sz w:val="16"/>
              </w:rPr>
            </w:pPr>
            <w:r>
              <w:rPr>
                <w:spacing w:val="-5"/>
                <w:sz w:val="16"/>
              </w:rPr>
              <w:t>2.9</w:t>
            </w:r>
          </w:p>
        </w:tc>
        <w:tc>
          <w:tcPr>
            <w:tcW w:w="621" w:type="dxa"/>
            <w:tcBorders>
              <w:right w:val="nil"/>
            </w:tcBorders>
            <w:shd w:val="clear" w:color="auto" w:fill="BFBFBF"/>
          </w:tcPr>
          <w:p w14:paraId="696484E2" w14:textId="77777777" w:rsidR="00141B97" w:rsidRDefault="00911D63">
            <w:pPr>
              <w:pStyle w:val="TableParagraph"/>
              <w:spacing w:before="98"/>
              <w:ind w:right="82"/>
              <w:jc w:val="right"/>
              <w:rPr>
                <w:sz w:val="16"/>
              </w:rPr>
            </w:pPr>
            <w:r>
              <w:rPr>
                <w:spacing w:val="-5"/>
                <w:sz w:val="16"/>
              </w:rPr>
              <w:t>2.7</w:t>
            </w:r>
          </w:p>
        </w:tc>
        <w:tc>
          <w:tcPr>
            <w:tcW w:w="695" w:type="dxa"/>
            <w:tcBorders>
              <w:left w:val="nil"/>
            </w:tcBorders>
            <w:shd w:val="clear" w:color="auto" w:fill="BFBFBF"/>
          </w:tcPr>
          <w:p w14:paraId="504AD394" w14:textId="77777777" w:rsidR="00141B97" w:rsidRDefault="00911D63">
            <w:pPr>
              <w:pStyle w:val="TableParagraph"/>
              <w:spacing w:before="98"/>
              <w:ind w:right="83"/>
              <w:jc w:val="right"/>
              <w:rPr>
                <w:sz w:val="16"/>
              </w:rPr>
            </w:pPr>
            <w:r>
              <w:rPr>
                <w:spacing w:val="-4"/>
                <w:sz w:val="16"/>
              </w:rPr>
              <w:t>11.4</w:t>
            </w:r>
          </w:p>
        </w:tc>
        <w:tc>
          <w:tcPr>
            <w:tcW w:w="736" w:type="dxa"/>
            <w:tcBorders>
              <w:right w:val="nil"/>
            </w:tcBorders>
            <w:shd w:val="clear" w:color="auto" w:fill="BFBFBF"/>
          </w:tcPr>
          <w:p w14:paraId="61A3A9CF" w14:textId="77777777" w:rsidR="00141B97" w:rsidRDefault="00911D63">
            <w:pPr>
              <w:pStyle w:val="TableParagraph"/>
              <w:spacing w:before="98"/>
              <w:ind w:right="79"/>
              <w:jc w:val="right"/>
              <w:rPr>
                <w:sz w:val="16"/>
              </w:rPr>
            </w:pPr>
            <w:r>
              <w:rPr>
                <w:spacing w:val="-4"/>
                <w:sz w:val="16"/>
              </w:rPr>
              <w:t>10.9</w:t>
            </w:r>
          </w:p>
        </w:tc>
        <w:tc>
          <w:tcPr>
            <w:tcW w:w="576" w:type="dxa"/>
            <w:tcBorders>
              <w:left w:val="nil"/>
            </w:tcBorders>
            <w:shd w:val="clear" w:color="auto" w:fill="BFBFBF"/>
          </w:tcPr>
          <w:p w14:paraId="5EB64A41" w14:textId="77777777" w:rsidR="00141B97" w:rsidRDefault="00911D63">
            <w:pPr>
              <w:pStyle w:val="TableParagraph"/>
              <w:spacing w:before="98"/>
              <w:ind w:right="80"/>
              <w:jc w:val="right"/>
              <w:rPr>
                <w:sz w:val="16"/>
              </w:rPr>
            </w:pPr>
            <w:r>
              <w:rPr>
                <w:spacing w:val="-4"/>
                <w:sz w:val="16"/>
              </w:rPr>
              <w:t>‐0.5</w:t>
            </w:r>
          </w:p>
        </w:tc>
        <w:tc>
          <w:tcPr>
            <w:tcW w:w="560" w:type="dxa"/>
            <w:tcBorders>
              <w:right w:val="nil"/>
            </w:tcBorders>
            <w:shd w:val="clear" w:color="auto" w:fill="BFBFBF"/>
          </w:tcPr>
          <w:p w14:paraId="124B9A93" w14:textId="77777777" w:rsidR="00141B97" w:rsidRDefault="00911D63">
            <w:pPr>
              <w:pStyle w:val="TableParagraph"/>
              <w:spacing w:before="98"/>
              <w:ind w:left="225"/>
              <w:rPr>
                <w:sz w:val="16"/>
              </w:rPr>
            </w:pPr>
            <w:r>
              <w:rPr>
                <w:spacing w:val="-5"/>
                <w:sz w:val="16"/>
              </w:rPr>
              <w:t>‐4%</w:t>
            </w:r>
          </w:p>
        </w:tc>
      </w:tr>
      <w:tr w:rsidR="00141B97" w14:paraId="24807A03" w14:textId="77777777">
        <w:trPr>
          <w:trHeight w:val="255"/>
          <w:tblCellSpacing w:w="9" w:type="dxa"/>
        </w:trPr>
        <w:tc>
          <w:tcPr>
            <w:tcW w:w="1920" w:type="dxa"/>
            <w:tcBorders>
              <w:left w:val="nil"/>
            </w:tcBorders>
            <w:shd w:val="clear" w:color="auto" w:fill="BFBFBF"/>
          </w:tcPr>
          <w:p w14:paraId="32E060A0" w14:textId="77777777" w:rsidR="00141B97" w:rsidRDefault="00911D63">
            <w:pPr>
              <w:pStyle w:val="TableParagraph"/>
              <w:spacing w:before="31"/>
              <w:ind w:left="107"/>
              <w:rPr>
                <w:sz w:val="16"/>
              </w:rPr>
            </w:pPr>
            <w:r>
              <w:rPr>
                <w:sz w:val="16"/>
              </w:rPr>
              <w:t>Total</w:t>
            </w:r>
            <w:r>
              <w:rPr>
                <w:spacing w:val="-7"/>
                <w:sz w:val="16"/>
              </w:rPr>
              <w:t xml:space="preserve"> </w:t>
            </w:r>
            <w:r>
              <w:rPr>
                <w:sz w:val="16"/>
              </w:rPr>
              <w:t>Prescribed</w:t>
            </w:r>
            <w:r>
              <w:rPr>
                <w:spacing w:val="-7"/>
                <w:sz w:val="16"/>
              </w:rPr>
              <w:t xml:space="preserve"> </w:t>
            </w:r>
            <w:r>
              <w:rPr>
                <w:spacing w:val="-4"/>
                <w:sz w:val="16"/>
              </w:rPr>
              <w:t>opex</w:t>
            </w:r>
          </w:p>
        </w:tc>
        <w:tc>
          <w:tcPr>
            <w:tcW w:w="638" w:type="dxa"/>
            <w:shd w:val="clear" w:color="auto" w:fill="BFBFBF"/>
          </w:tcPr>
          <w:p w14:paraId="64E7B490" w14:textId="77777777" w:rsidR="00141B97" w:rsidRDefault="00911D63">
            <w:pPr>
              <w:pStyle w:val="TableParagraph"/>
              <w:spacing w:before="31"/>
              <w:ind w:right="95"/>
              <w:jc w:val="right"/>
              <w:rPr>
                <w:sz w:val="16"/>
              </w:rPr>
            </w:pPr>
            <w:r>
              <w:rPr>
                <w:spacing w:val="-4"/>
                <w:sz w:val="16"/>
              </w:rPr>
              <w:t>27.2</w:t>
            </w:r>
          </w:p>
        </w:tc>
        <w:tc>
          <w:tcPr>
            <w:tcW w:w="705" w:type="dxa"/>
            <w:tcBorders>
              <w:right w:val="nil"/>
            </w:tcBorders>
            <w:shd w:val="clear" w:color="auto" w:fill="BFBFBF"/>
          </w:tcPr>
          <w:p w14:paraId="2806DB5F" w14:textId="77777777" w:rsidR="00141B97" w:rsidRDefault="00911D63">
            <w:pPr>
              <w:pStyle w:val="TableParagraph"/>
              <w:spacing w:before="31"/>
              <w:ind w:right="88"/>
              <w:jc w:val="right"/>
              <w:rPr>
                <w:sz w:val="16"/>
              </w:rPr>
            </w:pPr>
            <w:r>
              <w:rPr>
                <w:spacing w:val="-4"/>
                <w:sz w:val="16"/>
              </w:rPr>
              <w:t>27.3</w:t>
            </w:r>
          </w:p>
        </w:tc>
        <w:tc>
          <w:tcPr>
            <w:tcW w:w="663" w:type="dxa"/>
            <w:tcBorders>
              <w:left w:val="nil"/>
            </w:tcBorders>
            <w:shd w:val="clear" w:color="auto" w:fill="BFBFBF"/>
          </w:tcPr>
          <w:p w14:paraId="2A1A83EF" w14:textId="77777777" w:rsidR="00141B97" w:rsidRDefault="00911D63">
            <w:pPr>
              <w:pStyle w:val="TableParagraph"/>
              <w:spacing w:before="31"/>
              <w:ind w:right="95"/>
              <w:jc w:val="right"/>
              <w:rPr>
                <w:sz w:val="16"/>
              </w:rPr>
            </w:pPr>
            <w:r>
              <w:rPr>
                <w:spacing w:val="-4"/>
                <w:sz w:val="16"/>
              </w:rPr>
              <w:t>26.0</w:t>
            </w:r>
          </w:p>
        </w:tc>
        <w:tc>
          <w:tcPr>
            <w:tcW w:w="677" w:type="dxa"/>
            <w:tcBorders>
              <w:right w:val="nil"/>
            </w:tcBorders>
            <w:shd w:val="clear" w:color="auto" w:fill="BFBFBF"/>
          </w:tcPr>
          <w:p w14:paraId="5644390C" w14:textId="77777777" w:rsidR="00141B97" w:rsidRDefault="00911D63">
            <w:pPr>
              <w:pStyle w:val="TableParagraph"/>
              <w:spacing w:before="31"/>
              <w:ind w:right="89"/>
              <w:jc w:val="right"/>
              <w:rPr>
                <w:sz w:val="16"/>
              </w:rPr>
            </w:pPr>
            <w:r>
              <w:rPr>
                <w:spacing w:val="-4"/>
                <w:sz w:val="16"/>
              </w:rPr>
              <w:t>27.6</w:t>
            </w:r>
          </w:p>
        </w:tc>
        <w:tc>
          <w:tcPr>
            <w:tcW w:w="637" w:type="dxa"/>
            <w:tcBorders>
              <w:left w:val="nil"/>
            </w:tcBorders>
            <w:shd w:val="clear" w:color="auto" w:fill="BFBFBF"/>
          </w:tcPr>
          <w:p w14:paraId="124D574E" w14:textId="77777777" w:rsidR="00141B97" w:rsidRDefault="00911D63">
            <w:pPr>
              <w:pStyle w:val="TableParagraph"/>
              <w:spacing w:before="31"/>
              <w:ind w:right="91"/>
              <w:jc w:val="right"/>
              <w:rPr>
                <w:sz w:val="16"/>
              </w:rPr>
            </w:pPr>
            <w:r>
              <w:rPr>
                <w:spacing w:val="-4"/>
                <w:sz w:val="16"/>
              </w:rPr>
              <w:t>25.4</w:t>
            </w:r>
          </w:p>
        </w:tc>
        <w:tc>
          <w:tcPr>
            <w:tcW w:w="648" w:type="dxa"/>
            <w:tcBorders>
              <w:right w:val="nil"/>
            </w:tcBorders>
            <w:shd w:val="clear" w:color="auto" w:fill="BFBFBF"/>
          </w:tcPr>
          <w:p w14:paraId="3C1B0BED" w14:textId="77777777" w:rsidR="00141B97" w:rsidRDefault="00911D63">
            <w:pPr>
              <w:pStyle w:val="TableParagraph"/>
              <w:spacing w:before="31"/>
              <w:ind w:right="85"/>
              <w:jc w:val="right"/>
              <w:rPr>
                <w:sz w:val="16"/>
              </w:rPr>
            </w:pPr>
            <w:r>
              <w:rPr>
                <w:spacing w:val="-4"/>
                <w:sz w:val="16"/>
              </w:rPr>
              <w:t>27.7</w:t>
            </w:r>
          </w:p>
        </w:tc>
        <w:tc>
          <w:tcPr>
            <w:tcW w:w="667" w:type="dxa"/>
            <w:tcBorders>
              <w:left w:val="nil"/>
            </w:tcBorders>
            <w:shd w:val="clear" w:color="auto" w:fill="BFBFBF"/>
          </w:tcPr>
          <w:p w14:paraId="74A54C99" w14:textId="77777777" w:rsidR="00141B97" w:rsidRDefault="00911D63">
            <w:pPr>
              <w:pStyle w:val="TableParagraph"/>
              <w:spacing w:before="31"/>
              <w:ind w:right="88"/>
              <w:jc w:val="right"/>
              <w:rPr>
                <w:sz w:val="16"/>
              </w:rPr>
            </w:pPr>
            <w:r>
              <w:rPr>
                <w:spacing w:val="-4"/>
                <w:sz w:val="16"/>
              </w:rPr>
              <w:t>25.7</w:t>
            </w:r>
          </w:p>
        </w:tc>
        <w:tc>
          <w:tcPr>
            <w:tcW w:w="621" w:type="dxa"/>
            <w:tcBorders>
              <w:right w:val="nil"/>
            </w:tcBorders>
            <w:shd w:val="clear" w:color="auto" w:fill="BFBFBF"/>
          </w:tcPr>
          <w:p w14:paraId="0478910E" w14:textId="77777777" w:rsidR="00141B97" w:rsidRDefault="00911D63">
            <w:pPr>
              <w:pStyle w:val="TableParagraph"/>
              <w:spacing w:before="31"/>
              <w:ind w:right="82"/>
              <w:jc w:val="right"/>
              <w:rPr>
                <w:sz w:val="16"/>
              </w:rPr>
            </w:pPr>
            <w:r>
              <w:rPr>
                <w:spacing w:val="-4"/>
                <w:sz w:val="16"/>
              </w:rPr>
              <w:t>29.7</w:t>
            </w:r>
          </w:p>
        </w:tc>
        <w:tc>
          <w:tcPr>
            <w:tcW w:w="695" w:type="dxa"/>
            <w:tcBorders>
              <w:left w:val="nil"/>
            </w:tcBorders>
            <w:shd w:val="clear" w:color="auto" w:fill="BFBFBF"/>
          </w:tcPr>
          <w:p w14:paraId="20618926" w14:textId="77777777" w:rsidR="00141B97" w:rsidRDefault="00911D63">
            <w:pPr>
              <w:pStyle w:val="TableParagraph"/>
              <w:spacing w:before="31"/>
              <w:ind w:right="82"/>
              <w:jc w:val="right"/>
              <w:rPr>
                <w:sz w:val="16"/>
              </w:rPr>
            </w:pPr>
            <w:r>
              <w:rPr>
                <w:spacing w:val="-2"/>
                <w:sz w:val="16"/>
              </w:rPr>
              <w:t>104.3</w:t>
            </w:r>
          </w:p>
        </w:tc>
        <w:tc>
          <w:tcPr>
            <w:tcW w:w="736" w:type="dxa"/>
            <w:tcBorders>
              <w:right w:val="nil"/>
            </w:tcBorders>
            <w:shd w:val="clear" w:color="auto" w:fill="BFBFBF"/>
          </w:tcPr>
          <w:p w14:paraId="58D74015" w14:textId="77777777" w:rsidR="00141B97" w:rsidRDefault="00911D63">
            <w:pPr>
              <w:pStyle w:val="TableParagraph"/>
              <w:spacing w:before="31"/>
              <w:ind w:right="78"/>
              <w:jc w:val="right"/>
              <w:rPr>
                <w:sz w:val="16"/>
              </w:rPr>
            </w:pPr>
            <w:r>
              <w:rPr>
                <w:spacing w:val="-2"/>
                <w:sz w:val="16"/>
              </w:rPr>
              <w:t>112.3</w:t>
            </w:r>
          </w:p>
        </w:tc>
        <w:tc>
          <w:tcPr>
            <w:tcW w:w="576" w:type="dxa"/>
            <w:tcBorders>
              <w:left w:val="nil"/>
            </w:tcBorders>
            <w:shd w:val="clear" w:color="auto" w:fill="BFBFBF"/>
          </w:tcPr>
          <w:p w14:paraId="54C25831" w14:textId="77777777" w:rsidR="00141B97" w:rsidRDefault="00911D63">
            <w:pPr>
              <w:pStyle w:val="TableParagraph"/>
              <w:spacing w:before="31"/>
              <w:ind w:right="80"/>
              <w:jc w:val="right"/>
              <w:rPr>
                <w:sz w:val="16"/>
              </w:rPr>
            </w:pPr>
            <w:r>
              <w:rPr>
                <w:spacing w:val="-5"/>
                <w:sz w:val="16"/>
              </w:rPr>
              <w:t>8.0</w:t>
            </w:r>
          </w:p>
        </w:tc>
        <w:tc>
          <w:tcPr>
            <w:tcW w:w="560" w:type="dxa"/>
            <w:tcBorders>
              <w:right w:val="nil"/>
            </w:tcBorders>
            <w:shd w:val="clear" w:color="auto" w:fill="BFBFBF"/>
          </w:tcPr>
          <w:p w14:paraId="3EBE4597" w14:textId="77777777" w:rsidR="00141B97" w:rsidRDefault="00911D63">
            <w:pPr>
              <w:pStyle w:val="TableParagraph"/>
              <w:spacing w:before="31"/>
              <w:ind w:left="275"/>
              <w:rPr>
                <w:sz w:val="16"/>
              </w:rPr>
            </w:pPr>
            <w:r>
              <w:rPr>
                <w:spacing w:val="-5"/>
                <w:sz w:val="16"/>
              </w:rPr>
              <w:t>8%</w:t>
            </w:r>
          </w:p>
        </w:tc>
      </w:tr>
      <w:tr w:rsidR="00141B97" w14:paraId="41BA93E2" w14:textId="77777777">
        <w:trPr>
          <w:trHeight w:val="359"/>
          <w:tblCellSpacing w:w="9" w:type="dxa"/>
        </w:trPr>
        <w:tc>
          <w:tcPr>
            <w:tcW w:w="1920" w:type="dxa"/>
            <w:tcBorders>
              <w:left w:val="nil"/>
              <w:bottom w:val="nil"/>
            </w:tcBorders>
            <w:shd w:val="clear" w:color="auto" w:fill="BFBFBF"/>
          </w:tcPr>
          <w:p w14:paraId="6FD59BDB" w14:textId="77777777" w:rsidR="00141B97" w:rsidRDefault="00911D63">
            <w:pPr>
              <w:pStyle w:val="TableParagraph"/>
              <w:spacing w:before="82"/>
              <w:ind w:left="107"/>
              <w:rPr>
                <w:sz w:val="16"/>
              </w:rPr>
            </w:pPr>
            <w:r>
              <w:rPr>
                <w:spacing w:val="-2"/>
                <w:sz w:val="16"/>
              </w:rPr>
              <w:t>Variance</w:t>
            </w:r>
          </w:p>
        </w:tc>
        <w:tc>
          <w:tcPr>
            <w:tcW w:w="638" w:type="dxa"/>
            <w:tcBorders>
              <w:bottom w:val="nil"/>
            </w:tcBorders>
            <w:shd w:val="clear" w:color="auto" w:fill="BFBFBF"/>
          </w:tcPr>
          <w:p w14:paraId="70C9076F" w14:textId="77777777" w:rsidR="00141B97" w:rsidRDefault="00141B97">
            <w:pPr>
              <w:pStyle w:val="TableParagraph"/>
              <w:rPr>
                <w:rFonts w:ascii="Times New Roman"/>
                <w:sz w:val="18"/>
              </w:rPr>
            </w:pPr>
          </w:p>
        </w:tc>
        <w:tc>
          <w:tcPr>
            <w:tcW w:w="705" w:type="dxa"/>
            <w:tcBorders>
              <w:bottom w:val="nil"/>
              <w:right w:val="nil"/>
            </w:tcBorders>
            <w:shd w:val="clear" w:color="auto" w:fill="BFBFBF"/>
          </w:tcPr>
          <w:p w14:paraId="6B2F164C" w14:textId="77777777" w:rsidR="00141B97" w:rsidRDefault="00911D63">
            <w:pPr>
              <w:pStyle w:val="TableParagraph"/>
              <w:spacing w:before="82"/>
              <w:ind w:right="88"/>
              <w:jc w:val="right"/>
              <w:rPr>
                <w:sz w:val="16"/>
              </w:rPr>
            </w:pPr>
            <w:r>
              <w:rPr>
                <w:spacing w:val="-5"/>
                <w:sz w:val="16"/>
              </w:rPr>
              <w:t>0.1</w:t>
            </w:r>
          </w:p>
        </w:tc>
        <w:tc>
          <w:tcPr>
            <w:tcW w:w="663" w:type="dxa"/>
            <w:tcBorders>
              <w:left w:val="nil"/>
              <w:bottom w:val="nil"/>
            </w:tcBorders>
            <w:shd w:val="clear" w:color="auto" w:fill="BFBFBF"/>
          </w:tcPr>
          <w:p w14:paraId="08774DE2" w14:textId="77777777" w:rsidR="00141B97" w:rsidRDefault="00141B97">
            <w:pPr>
              <w:pStyle w:val="TableParagraph"/>
              <w:rPr>
                <w:rFonts w:ascii="Times New Roman"/>
                <w:sz w:val="18"/>
              </w:rPr>
            </w:pPr>
          </w:p>
        </w:tc>
        <w:tc>
          <w:tcPr>
            <w:tcW w:w="677" w:type="dxa"/>
            <w:tcBorders>
              <w:bottom w:val="nil"/>
              <w:right w:val="nil"/>
            </w:tcBorders>
            <w:shd w:val="clear" w:color="auto" w:fill="BFBFBF"/>
          </w:tcPr>
          <w:p w14:paraId="63F39CB5" w14:textId="77777777" w:rsidR="00141B97" w:rsidRDefault="00911D63">
            <w:pPr>
              <w:pStyle w:val="TableParagraph"/>
              <w:spacing w:before="82"/>
              <w:ind w:right="89"/>
              <w:jc w:val="right"/>
              <w:rPr>
                <w:sz w:val="16"/>
              </w:rPr>
            </w:pPr>
            <w:r>
              <w:rPr>
                <w:spacing w:val="-5"/>
                <w:sz w:val="16"/>
              </w:rPr>
              <w:t>1.6</w:t>
            </w:r>
          </w:p>
        </w:tc>
        <w:tc>
          <w:tcPr>
            <w:tcW w:w="637" w:type="dxa"/>
            <w:tcBorders>
              <w:left w:val="nil"/>
              <w:bottom w:val="nil"/>
            </w:tcBorders>
            <w:shd w:val="clear" w:color="auto" w:fill="BFBFBF"/>
          </w:tcPr>
          <w:p w14:paraId="13CFC225" w14:textId="77777777" w:rsidR="00141B97" w:rsidRDefault="00141B97">
            <w:pPr>
              <w:pStyle w:val="TableParagraph"/>
              <w:rPr>
                <w:rFonts w:ascii="Times New Roman"/>
                <w:sz w:val="18"/>
              </w:rPr>
            </w:pPr>
          </w:p>
        </w:tc>
        <w:tc>
          <w:tcPr>
            <w:tcW w:w="648" w:type="dxa"/>
            <w:tcBorders>
              <w:bottom w:val="nil"/>
              <w:right w:val="nil"/>
            </w:tcBorders>
            <w:shd w:val="clear" w:color="auto" w:fill="BFBFBF"/>
          </w:tcPr>
          <w:p w14:paraId="2457B89F" w14:textId="77777777" w:rsidR="00141B97" w:rsidRDefault="00911D63">
            <w:pPr>
              <w:pStyle w:val="TableParagraph"/>
              <w:spacing w:before="82"/>
              <w:ind w:right="85"/>
              <w:jc w:val="right"/>
              <w:rPr>
                <w:sz w:val="16"/>
              </w:rPr>
            </w:pPr>
            <w:r>
              <w:rPr>
                <w:spacing w:val="-5"/>
                <w:sz w:val="16"/>
              </w:rPr>
              <w:t>2.3</w:t>
            </w:r>
          </w:p>
        </w:tc>
        <w:tc>
          <w:tcPr>
            <w:tcW w:w="667" w:type="dxa"/>
            <w:tcBorders>
              <w:left w:val="nil"/>
              <w:bottom w:val="nil"/>
            </w:tcBorders>
            <w:shd w:val="clear" w:color="auto" w:fill="BFBFBF"/>
          </w:tcPr>
          <w:p w14:paraId="5452618F" w14:textId="77777777" w:rsidR="00141B97" w:rsidRDefault="00141B97">
            <w:pPr>
              <w:pStyle w:val="TableParagraph"/>
              <w:rPr>
                <w:rFonts w:ascii="Times New Roman"/>
                <w:sz w:val="18"/>
              </w:rPr>
            </w:pPr>
          </w:p>
        </w:tc>
        <w:tc>
          <w:tcPr>
            <w:tcW w:w="621" w:type="dxa"/>
            <w:tcBorders>
              <w:bottom w:val="nil"/>
              <w:right w:val="nil"/>
            </w:tcBorders>
            <w:shd w:val="clear" w:color="auto" w:fill="BFBFBF"/>
          </w:tcPr>
          <w:p w14:paraId="777594D2" w14:textId="77777777" w:rsidR="00141B97" w:rsidRDefault="00911D63">
            <w:pPr>
              <w:pStyle w:val="TableParagraph"/>
              <w:spacing w:before="82"/>
              <w:ind w:right="82"/>
              <w:jc w:val="right"/>
              <w:rPr>
                <w:sz w:val="16"/>
              </w:rPr>
            </w:pPr>
            <w:r>
              <w:rPr>
                <w:spacing w:val="-5"/>
                <w:sz w:val="16"/>
              </w:rPr>
              <w:t>4.0</w:t>
            </w:r>
          </w:p>
        </w:tc>
        <w:tc>
          <w:tcPr>
            <w:tcW w:w="695" w:type="dxa"/>
            <w:tcBorders>
              <w:left w:val="nil"/>
              <w:bottom w:val="nil"/>
            </w:tcBorders>
            <w:shd w:val="clear" w:color="auto" w:fill="BFBFBF"/>
          </w:tcPr>
          <w:p w14:paraId="74DB2F60" w14:textId="77777777" w:rsidR="00141B97" w:rsidRDefault="00141B97">
            <w:pPr>
              <w:pStyle w:val="TableParagraph"/>
              <w:rPr>
                <w:rFonts w:ascii="Times New Roman"/>
                <w:sz w:val="18"/>
              </w:rPr>
            </w:pPr>
          </w:p>
        </w:tc>
        <w:tc>
          <w:tcPr>
            <w:tcW w:w="736" w:type="dxa"/>
            <w:tcBorders>
              <w:bottom w:val="nil"/>
              <w:right w:val="nil"/>
            </w:tcBorders>
            <w:shd w:val="clear" w:color="auto" w:fill="BFBFBF"/>
          </w:tcPr>
          <w:p w14:paraId="17B57615" w14:textId="77777777" w:rsidR="00141B97" w:rsidRDefault="00911D63">
            <w:pPr>
              <w:pStyle w:val="TableParagraph"/>
              <w:spacing w:before="82"/>
              <w:ind w:right="79"/>
              <w:jc w:val="right"/>
              <w:rPr>
                <w:sz w:val="16"/>
              </w:rPr>
            </w:pPr>
            <w:r>
              <w:rPr>
                <w:spacing w:val="-5"/>
                <w:sz w:val="16"/>
              </w:rPr>
              <w:t>8.0</w:t>
            </w:r>
          </w:p>
        </w:tc>
        <w:tc>
          <w:tcPr>
            <w:tcW w:w="576" w:type="dxa"/>
            <w:tcBorders>
              <w:left w:val="nil"/>
              <w:bottom w:val="nil"/>
            </w:tcBorders>
            <w:shd w:val="clear" w:color="auto" w:fill="BFBFBF"/>
          </w:tcPr>
          <w:p w14:paraId="277FAF04" w14:textId="77777777" w:rsidR="00141B97" w:rsidRDefault="00141B97">
            <w:pPr>
              <w:pStyle w:val="TableParagraph"/>
              <w:rPr>
                <w:rFonts w:ascii="Times New Roman"/>
                <w:sz w:val="18"/>
              </w:rPr>
            </w:pPr>
          </w:p>
        </w:tc>
        <w:tc>
          <w:tcPr>
            <w:tcW w:w="560" w:type="dxa"/>
            <w:tcBorders>
              <w:bottom w:val="nil"/>
              <w:right w:val="nil"/>
            </w:tcBorders>
            <w:shd w:val="clear" w:color="auto" w:fill="BFBFBF"/>
          </w:tcPr>
          <w:p w14:paraId="6869E672" w14:textId="77777777" w:rsidR="00141B97" w:rsidRDefault="00141B97">
            <w:pPr>
              <w:pStyle w:val="TableParagraph"/>
              <w:rPr>
                <w:rFonts w:ascii="Times New Roman"/>
                <w:sz w:val="18"/>
              </w:rPr>
            </w:pPr>
          </w:p>
        </w:tc>
      </w:tr>
    </w:tbl>
    <w:p w14:paraId="2DC8113B" w14:textId="77777777" w:rsidR="00141B97" w:rsidRDefault="00911D63">
      <w:pPr>
        <w:spacing w:before="27"/>
        <w:ind w:left="114"/>
        <w:rPr>
          <w:sz w:val="16"/>
        </w:rPr>
      </w:pPr>
      <w:r>
        <w:rPr>
          <w:sz w:val="16"/>
        </w:rPr>
        <w:t>Table</w:t>
      </w:r>
      <w:r>
        <w:rPr>
          <w:spacing w:val="-5"/>
          <w:sz w:val="16"/>
        </w:rPr>
        <w:t xml:space="preserve"> </w:t>
      </w:r>
      <w:r>
        <w:rPr>
          <w:sz w:val="16"/>
        </w:rPr>
        <w:t>B5:</w:t>
      </w:r>
      <w:r>
        <w:rPr>
          <w:spacing w:val="-4"/>
          <w:sz w:val="16"/>
        </w:rPr>
        <w:t xml:space="preserve"> </w:t>
      </w:r>
      <w:r>
        <w:rPr>
          <w:sz w:val="16"/>
        </w:rPr>
        <w:t>Approved</w:t>
      </w:r>
      <w:r>
        <w:rPr>
          <w:spacing w:val="-5"/>
          <w:sz w:val="16"/>
        </w:rPr>
        <w:t xml:space="preserve"> </w:t>
      </w:r>
      <w:r>
        <w:rPr>
          <w:sz w:val="16"/>
        </w:rPr>
        <w:t>Budget</w:t>
      </w:r>
      <w:r>
        <w:rPr>
          <w:spacing w:val="-6"/>
          <w:sz w:val="16"/>
        </w:rPr>
        <w:t xml:space="preserve"> </w:t>
      </w:r>
      <w:r>
        <w:rPr>
          <w:sz w:val="16"/>
        </w:rPr>
        <w:t>and</w:t>
      </w:r>
      <w:r>
        <w:rPr>
          <w:spacing w:val="-6"/>
          <w:sz w:val="16"/>
        </w:rPr>
        <w:t xml:space="preserve"> </w:t>
      </w:r>
      <w:r>
        <w:rPr>
          <w:sz w:val="16"/>
        </w:rPr>
        <w:t>Actual</w:t>
      </w:r>
      <w:r>
        <w:rPr>
          <w:spacing w:val="-5"/>
          <w:sz w:val="16"/>
        </w:rPr>
        <w:t xml:space="preserve"> </w:t>
      </w:r>
      <w:r>
        <w:rPr>
          <w:sz w:val="16"/>
        </w:rPr>
        <w:t>Operating</w:t>
      </w:r>
      <w:r>
        <w:rPr>
          <w:spacing w:val="-5"/>
          <w:sz w:val="16"/>
        </w:rPr>
        <w:t xml:space="preserve"> </w:t>
      </w:r>
      <w:r>
        <w:rPr>
          <w:sz w:val="16"/>
        </w:rPr>
        <w:t>Expenditure</w:t>
      </w:r>
      <w:r>
        <w:rPr>
          <w:spacing w:val="-6"/>
          <w:sz w:val="16"/>
        </w:rPr>
        <w:t xml:space="preserve"> </w:t>
      </w:r>
      <w:r>
        <w:rPr>
          <w:sz w:val="16"/>
        </w:rPr>
        <w:t>($m</w:t>
      </w:r>
      <w:r>
        <w:rPr>
          <w:spacing w:val="-5"/>
          <w:sz w:val="16"/>
        </w:rPr>
        <w:t xml:space="preserve"> </w:t>
      </w:r>
      <w:r>
        <w:rPr>
          <w:sz w:val="16"/>
        </w:rPr>
        <w:t>1/1/23)</w:t>
      </w:r>
      <w:r>
        <w:rPr>
          <w:spacing w:val="-6"/>
          <w:sz w:val="16"/>
        </w:rPr>
        <w:t xml:space="preserve"> </w:t>
      </w:r>
      <w:r>
        <w:rPr>
          <w:spacing w:val="-10"/>
          <w:sz w:val="16"/>
          <w:vertAlign w:val="superscript"/>
        </w:rPr>
        <w:t>4</w:t>
      </w:r>
    </w:p>
    <w:p w14:paraId="6F49CCE3" w14:textId="77777777" w:rsidR="00141B97" w:rsidRDefault="00141B97">
      <w:pPr>
        <w:pStyle w:val="BodyText"/>
        <w:rPr>
          <w:sz w:val="20"/>
        </w:rPr>
      </w:pPr>
    </w:p>
    <w:p w14:paraId="7D46131A" w14:textId="77777777" w:rsidR="00141B97" w:rsidRDefault="00911D63">
      <w:pPr>
        <w:pStyle w:val="BodyText"/>
        <w:ind w:left="113" w:right="962"/>
      </w:pPr>
      <w:r>
        <w:t>Figure</w:t>
      </w:r>
      <w:r>
        <w:rPr>
          <w:spacing w:val="-4"/>
        </w:rPr>
        <w:t xml:space="preserve"> </w:t>
      </w:r>
      <w:r>
        <w:t>B1</w:t>
      </w:r>
      <w:r>
        <w:rPr>
          <w:spacing w:val="-2"/>
        </w:rPr>
        <w:t xml:space="preserve"> </w:t>
      </w:r>
      <w:r>
        <w:t>overleaf</w:t>
      </w:r>
      <w:r>
        <w:rPr>
          <w:spacing w:val="-3"/>
        </w:rPr>
        <w:t xml:space="preserve"> </w:t>
      </w:r>
      <w:r>
        <w:t>shows</w:t>
      </w:r>
      <w:r>
        <w:rPr>
          <w:spacing w:val="-3"/>
        </w:rPr>
        <w:t xml:space="preserve"> </w:t>
      </w:r>
      <w:r>
        <w:t>the</w:t>
      </w:r>
      <w:r>
        <w:rPr>
          <w:spacing w:val="-2"/>
        </w:rPr>
        <w:t xml:space="preserve"> </w:t>
      </w:r>
      <w:r>
        <w:t>profile</w:t>
      </w:r>
      <w:r>
        <w:rPr>
          <w:spacing w:val="-2"/>
        </w:rPr>
        <w:t xml:space="preserve"> </w:t>
      </w:r>
      <w:r>
        <w:t>of</w:t>
      </w:r>
      <w:r>
        <w:rPr>
          <w:spacing w:val="-1"/>
        </w:rPr>
        <w:t xml:space="preserve"> </w:t>
      </w:r>
      <w:r>
        <w:t>budget</w:t>
      </w:r>
      <w:r>
        <w:rPr>
          <w:spacing w:val="-2"/>
        </w:rPr>
        <w:t xml:space="preserve"> </w:t>
      </w:r>
      <w:r>
        <w:t>vs</w:t>
      </w:r>
      <w:r>
        <w:rPr>
          <w:spacing w:val="-3"/>
        </w:rPr>
        <w:t xml:space="preserve"> </w:t>
      </w:r>
      <w:r>
        <w:t>actual</w:t>
      </w:r>
      <w:r>
        <w:rPr>
          <w:spacing w:val="-3"/>
        </w:rPr>
        <w:t xml:space="preserve"> </w:t>
      </w:r>
      <w:r>
        <w:t>operating expenditure</w:t>
      </w:r>
      <w:r>
        <w:rPr>
          <w:spacing w:val="-1"/>
        </w:rPr>
        <w:t xml:space="preserve"> </w:t>
      </w:r>
      <w:r>
        <w:t>over</w:t>
      </w:r>
      <w:r>
        <w:rPr>
          <w:spacing w:val="-2"/>
        </w:rPr>
        <w:t xml:space="preserve"> </w:t>
      </w:r>
      <w:r>
        <w:t>the</w:t>
      </w:r>
      <w:r>
        <w:rPr>
          <w:spacing w:val="-4"/>
        </w:rPr>
        <w:t xml:space="preserve"> </w:t>
      </w:r>
      <w:r>
        <w:t>period</w:t>
      </w:r>
      <w:r>
        <w:rPr>
          <w:spacing w:val="-2"/>
        </w:rPr>
        <w:t xml:space="preserve"> </w:t>
      </w:r>
      <w:r>
        <w:t>to</w:t>
      </w:r>
      <w:r>
        <w:rPr>
          <w:spacing w:val="-2"/>
        </w:rPr>
        <w:t xml:space="preserve"> </w:t>
      </w:r>
      <w:r>
        <w:t>date</w:t>
      </w:r>
      <w:r>
        <w:rPr>
          <w:spacing w:val="-3"/>
        </w:rPr>
        <w:t xml:space="preserve"> </w:t>
      </w:r>
      <w:r>
        <w:t>and forecast for 2022‐23.</w:t>
      </w:r>
    </w:p>
    <w:p w14:paraId="0457C95B" w14:textId="77777777" w:rsidR="00141B97" w:rsidRDefault="00141B97">
      <w:pPr>
        <w:pStyle w:val="BodyText"/>
        <w:rPr>
          <w:sz w:val="20"/>
        </w:rPr>
      </w:pPr>
    </w:p>
    <w:p w14:paraId="36D453BE" w14:textId="77777777" w:rsidR="00141B97" w:rsidRDefault="00141B97">
      <w:pPr>
        <w:pStyle w:val="BodyText"/>
        <w:rPr>
          <w:sz w:val="20"/>
        </w:rPr>
      </w:pPr>
    </w:p>
    <w:p w14:paraId="0A9D75E5" w14:textId="77777777" w:rsidR="00141B97" w:rsidRDefault="00141B97">
      <w:pPr>
        <w:pStyle w:val="BodyText"/>
        <w:rPr>
          <w:sz w:val="20"/>
        </w:rPr>
      </w:pPr>
    </w:p>
    <w:p w14:paraId="55C08BCF" w14:textId="77777777" w:rsidR="00141B97" w:rsidRDefault="00141B97">
      <w:pPr>
        <w:pStyle w:val="BodyText"/>
        <w:rPr>
          <w:sz w:val="20"/>
        </w:rPr>
      </w:pPr>
    </w:p>
    <w:p w14:paraId="56C07830" w14:textId="77777777" w:rsidR="00141B97" w:rsidRDefault="00141B97">
      <w:pPr>
        <w:pStyle w:val="BodyText"/>
        <w:rPr>
          <w:sz w:val="20"/>
        </w:rPr>
      </w:pPr>
    </w:p>
    <w:p w14:paraId="30CFAA2C" w14:textId="77777777" w:rsidR="00141B97" w:rsidRDefault="00141B97">
      <w:pPr>
        <w:pStyle w:val="BodyText"/>
        <w:rPr>
          <w:sz w:val="20"/>
        </w:rPr>
      </w:pPr>
    </w:p>
    <w:p w14:paraId="29C02092" w14:textId="77777777" w:rsidR="00141B97" w:rsidRDefault="00141B97">
      <w:pPr>
        <w:pStyle w:val="BodyText"/>
        <w:rPr>
          <w:sz w:val="20"/>
        </w:rPr>
      </w:pPr>
    </w:p>
    <w:p w14:paraId="4AAE3890" w14:textId="77777777" w:rsidR="00141B97" w:rsidRDefault="00141B97">
      <w:pPr>
        <w:pStyle w:val="BodyText"/>
        <w:rPr>
          <w:sz w:val="20"/>
        </w:rPr>
      </w:pPr>
    </w:p>
    <w:p w14:paraId="18BCB6A5" w14:textId="77777777" w:rsidR="00141B97" w:rsidRDefault="00141B97">
      <w:pPr>
        <w:pStyle w:val="BodyText"/>
        <w:rPr>
          <w:sz w:val="20"/>
        </w:rPr>
      </w:pPr>
    </w:p>
    <w:p w14:paraId="1AB7929D" w14:textId="77777777" w:rsidR="00141B97" w:rsidRDefault="00141B97">
      <w:pPr>
        <w:pStyle w:val="BodyText"/>
        <w:rPr>
          <w:sz w:val="20"/>
        </w:rPr>
      </w:pPr>
    </w:p>
    <w:p w14:paraId="0F804D22" w14:textId="77777777" w:rsidR="00141B97" w:rsidRDefault="00141B97">
      <w:pPr>
        <w:pStyle w:val="BodyText"/>
        <w:rPr>
          <w:sz w:val="20"/>
        </w:rPr>
      </w:pPr>
    </w:p>
    <w:p w14:paraId="481BB864" w14:textId="77777777" w:rsidR="00141B97" w:rsidRDefault="00141B97">
      <w:pPr>
        <w:pStyle w:val="BodyText"/>
        <w:rPr>
          <w:sz w:val="20"/>
        </w:rPr>
      </w:pPr>
    </w:p>
    <w:p w14:paraId="6A7DA027" w14:textId="37B691A5" w:rsidR="00141B97" w:rsidRDefault="00911D63">
      <w:pPr>
        <w:pStyle w:val="BodyText"/>
        <w:spacing w:before="3"/>
        <w:rPr>
          <w:sz w:val="11"/>
        </w:rPr>
      </w:pPr>
      <w:r>
        <w:rPr>
          <w:noProof/>
        </w:rPr>
        <mc:AlternateContent>
          <mc:Choice Requires="wps">
            <w:drawing>
              <wp:anchor distT="0" distB="0" distL="0" distR="0" simplePos="0" relativeHeight="487610368" behindDoc="1" locked="0" layoutInCell="1" allowOverlap="1" wp14:anchorId="285D81D1" wp14:editId="3346A1B6">
                <wp:simplePos x="0" y="0"/>
                <wp:positionH relativeFrom="page">
                  <wp:posOffset>720090</wp:posOffset>
                </wp:positionH>
                <wp:positionV relativeFrom="paragraph">
                  <wp:posOffset>102870</wp:posOffset>
                </wp:positionV>
                <wp:extent cx="1828800" cy="6350"/>
                <wp:effectExtent l="0" t="0" r="0" b="0"/>
                <wp:wrapTopAndBottom/>
                <wp:docPr id="30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A3FF6" id="docshape117" o:spid="_x0000_s1026" style="position:absolute;margin-left:56.7pt;margin-top:8.1pt;width:2in;height:.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" fillcolor="black" stroked="f">
                <w10:wrap type="topAndBottom" anchorx="page"/>
              </v:rect>
            </w:pict>
          </mc:Fallback>
        </mc:AlternateContent>
      </w:r>
    </w:p>
    <w:p w14:paraId="7075F179" w14:textId="77777777" w:rsidR="00141B97" w:rsidRDefault="00911D63">
      <w:pPr>
        <w:spacing w:before="85"/>
        <w:ind w:left="114"/>
        <w:rPr>
          <w:sz w:val="14"/>
        </w:rPr>
      </w:pPr>
      <w:r>
        <w:rPr>
          <w:position w:val="4"/>
          <w:sz w:val="9"/>
        </w:rPr>
        <w:t>4</w:t>
      </w:r>
      <w:r>
        <w:rPr>
          <w:spacing w:val="8"/>
          <w:position w:val="4"/>
          <w:sz w:val="9"/>
        </w:rPr>
        <w:t xml:space="preserve"> </w:t>
      </w:r>
      <w:r>
        <w:rPr>
          <w:sz w:val="14"/>
        </w:rPr>
        <w:t>Note</w:t>
      </w:r>
      <w:r>
        <w:rPr>
          <w:spacing w:val="-2"/>
          <w:sz w:val="14"/>
        </w:rPr>
        <w:t xml:space="preserve"> </w:t>
      </w:r>
      <w:r>
        <w:rPr>
          <w:sz w:val="14"/>
        </w:rPr>
        <w:t>that</w:t>
      </w:r>
      <w:r>
        <w:rPr>
          <w:spacing w:val="-3"/>
          <w:sz w:val="14"/>
        </w:rPr>
        <w:t xml:space="preserve"> </w:t>
      </w:r>
      <w:r>
        <w:rPr>
          <w:sz w:val="14"/>
        </w:rPr>
        <w:t>some</w:t>
      </w:r>
      <w:r>
        <w:rPr>
          <w:spacing w:val="-2"/>
          <w:sz w:val="14"/>
        </w:rPr>
        <w:t xml:space="preserve"> </w:t>
      </w:r>
      <w:r>
        <w:rPr>
          <w:sz w:val="14"/>
        </w:rPr>
        <w:t>numbers</w:t>
      </w:r>
      <w:r>
        <w:rPr>
          <w:spacing w:val="-3"/>
          <w:sz w:val="14"/>
        </w:rPr>
        <w:t xml:space="preserve"> </w:t>
      </w:r>
      <w:r>
        <w:rPr>
          <w:sz w:val="14"/>
        </w:rPr>
        <w:t>are</w:t>
      </w:r>
      <w:r>
        <w:rPr>
          <w:spacing w:val="-3"/>
          <w:sz w:val="14"/>
        </w:rPr>
        <w:t xml:space="preserve"> </w:t>
      </w:r>
      <w:r>
        <w:rPr>
          <w:sz w:val="14"/>
        </w:rPr>
        <w:t>subject</w:t>
      </w:r>
      <w:r>
        <w:rPr>
          <w:spacing w:val="-3"/>
          <w:sz w:val="14"/>
        </w:rPr>
        <w:t xml:space="preserve"> </w:t>
      </w:r>
      <w:r>
        <w:rPr>
          <w:sz w:val="14"/>
        </w:rPr>
        <w:t>to</w:t>
      </w:r>
      <w:r>
        <w:rPr>
          <w:spacing w:val="-2"/>
          <w:sz w:val="14"/>
        </w:rPr>
        <w:t xml:space="preserve"> </w:t>
      </w:r>
      <w:r>
        <w:rPr>
          <w:sz w:val="14"/>
        </w:rPr>
        <w:t>minor</w:t>
      </w:r>
      <w:r>
        <w:rPr>
          <w:spacing w:val="-3"/>
          <w:sz w:val="14"/>
        </w:rPr>
        <w:t xml:space="preserve"> </w:t>
      </w:r>
      <w:r>
        <w:rPr>
          <w:sz w:val="14"/>
        </w:rPr>
        <w:t>rounding</w:t>
      </w:r>
      <w:r>
        <w:rPr>
          <w:spacing w:val="-2"/>
          <w:sz w:val="14"/>
        </w:rPr>
        <w:t xml:space="preserve"> variations</w:t>
      </w:r>
    </w:p>
    <w:p w14:paraId="77BDB214" w14:textId="77777777" w:rsidR="00141B97" w:rsidRDefault="00141B97">
      <w:pPr>
        <w:rPr>
          <w:sz w:val="14"/>
        </w:rPr>
        <w:sectPr w:rsidR="00141B97">
          <w:pgSz w:w="11910" w:h="16840"/>
          <w:pgMar w:top="820" w:right="40" w:bottom="760" w:left="1020" w:header="0" w:footer="580" w:gutter="0"/>
          <w:cols w:space="720"/>
        </w:sectPr>
      </w:pPr>
    </w:p>
    <w:p w14:paraId="4365A4AC" w14:textId="31C00EF7" w:rsidR="00141B97" w:rsidRDefault="00911D63">
      <w:pPr>
        <w:pStyle w:val="BodyText"/>
        <w:ind w:left="497"/>
        <w:rPr>
          <w:sz w:val="20"/>
        </w:rPr>
      </w:pPr>
      <w:r>
        <w:rPr>
          <w:noProof/>
        </w:rPr>
        <w:lastRenderedPageBreak/>
        <mc:AlternateContent>
          <mc:Choice Requires="wps">
            <w:drawing>
              <wp:anchor distT="0" distB="0" distL="114300" distR="114300" simplePos="0" relativeHeight="15752192" behindDoc="0" locked="0" layoutInCell="1" allowOverlap="1" wp14:anchorId="264A0518" wp14:editId="5ACAD0FB">
                <wp:simplePos x="0" y="0"/>
                <wp:positionH relativeFrom="page">
                  <wp:posOffset>745490</wp:posOffset>
                </wp:positionH>
                <wp:positionV relativeFrom="page">
                  <wp:posOffset>1134745</wp:posOffset>
                </wp:positionV>
                <wp:extent cx="139065" cy="481965"/>
                <wp:effectExtent l="0" t="0" r="0" b="0"/>
                <wp:wrapNone/>
                <wp:docPr id="30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7DCD" w14:textId="77777777" w:rsidR="00141B97" w:rsidRDefault="00911D63">
                            <w:pPr>
                              <w:spacing w:before="14"/>
                              <w:ind w:left="20"/>
                              <w:rPr>
                                <w:rFonts w:ascii="Arial"/>
                                <w:b/>
                                <w:sz w:val="16"/>
                              </w:rPr>
                            </w:pPr>
                            <w:r>
                              <w:rPr>
                                <w:rFonts w:ascii="Arial"/>
                                <w:b/>
                                <w:sz w:val="16"/>
                              </w:rPr>
                              <w:t>$m</w:t>
                            </w:r>
                            <w:r>
                              <w:rPr>
                                <w:rFonts w:ascii="Arial"/>
                                <w:b/>
                                <w:spacing w:val="-5"/>
                                <w:sz w:val="16"/>
                              </w:rPr>
                              <w:t xml:space="preserve"> </w:t>
                            </w:r>
                            <w:r>
                              <w:rPr>
                                <w:rFonts w:ascii="Arial"/>
                                <w:b/>
                                <w:spacing w:val="-2"/>
                                <w:sz w:val="16"/>
                              </w:rPr>
                              <w:t>1/1/23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A0518" id="docshape119" o:spid="_x0000_s1104" type="#_x0000_t202" style="position:absolute;left:0;text-align:left;margin-left:58.7pt;margin-top:89.35pt;width:10.95pt;height:37.9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" filled="f" stroked="f">
                <v:textbox style="layout-flow:vertical;mso-layout-flow-alt:bottom-to-top" inset="0,0,0,0">
                  <w:txbxContent>
                    <w:p w14:paraId="1D627DCD" w14:textId="77777777" w:rsidR="00141B97" w:rsidRDefault="00911D63">
                      <w:pPr>
                        <w:spacing w:before="14"/>
                        <w:ind w:left="20"/>
                        <w:rPr>
                          <w:rFonts w:ascii="Arial"/>
                          <w:b/>
                          <w:sz w:val="16"/>
                        </w:rPr>
                      </w:pPr>
                      <w:r>
                        <w:rPr>
                          <w:rFonts w:ascii="Arial"/>
                          <w:b/>
                          <w:sz w:val="16"/>
                        </w:rPr>
                        <w:t>$m</w:t>
                      </w:r>
                      <w:r>
                        <w:rPr>
                          <w:rFonts w:ascii="Arial"/>
                          <w:b/>
                          <w:spacing w:val="-5"/>
                          <w:sz w:val="16"/>
                        </w:rPr>
                        <w:t xml:space="preserve"> </w:t>
                      </w:r>
                      <w:r>
                        <w:rPr>
                          <w:rFonts w:ascii="Arial"/>
                          <w:b/>
                          <w:spacing w:val="-2"/>
                          <w:sz w:val="16"/>
                        </w:rPr>
                        <w:t>1/1/23</w:t>
                      </w:r>
                    </w:p>
                  </w:txbxContent>
                </v:textbox>
                <w10:wrap anchorx="page" anchory="page"/>
              </v:shape>
            </w:pict>
          </mc:Fallback>
        </mc:AlternateContent>
      </w:r>
      <w:r>
        <w:rPr>
          <w:noProof/>
          <w:sz w:val="20"/>
        </w:rPr>
        <w:drawing>
          <wp:inline distT="0" distB="0" distL="0" distR="0" wp14:anchorId="00B23F37" wp14:editId="512FDE1F">
            <wp:extent cx="5634661" cy="3171063"/>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74" cstate="email">
                      <a:extLst>
                        <a:ext uri="{28A0092B-C50C-407E-A947-70E740481C1C}">
                          <a14:useLocalDpi xmlns:a14="http://schemas.microsoft.com/office/drawing/2010/main"/>
                        </a:ext>
                      </a:extLst>
                    </a:blip>
                    <a:stretch>
                      <a:fillRect/>
                    </a:stretch>
                  </pic:blipFill>
                  <pic:spPr>
                    <a:xfrm>
                      <a:off x="0" y="0"/>
                      <a:ext cx="5634661" cy="3171063"/>
                    </a:xfrm>
                    <a:prstGeom prst="rect">
                      <a:avLst/>
                    </a:prstGeom>
                  </pic:spPr>
                </pic:pic>
              </a:graphicData>
            </a:graphic>
          </wp:inline>
        </w:drawing>
      </w:r>
    </w:p>
    <w:p w14:paraId="2D6B3A9E" w14:textId="77777777" w:rsidR="00141B97" w:rsidRDefault="00141B97">
      <w:pPr>
        <w:pStyle w:val="BodyText"/>
        <w:spacing w:before="8"/>
        <w:rPr>
          <w:sz w:val="7"/>
        </w:rPr>
      </w:pPr>
    </w:p>
    <w:p w14:paraId="05B49AF7" w14:textId="77777777" w:rsidR="00141B97" w:rsidRDefault="00911D63">
      <w:pPr>
        <w:spacing w:before="68"/>
        <w:ind w:left="114"/>
        <w:jc w:val="both"/>
        <w:rPr>
          <w:sz w:val="16"/>
        </w:rPr>
      </w:pPr>
      <w:r>
        <w:rPr>
          <w:sz w:val="16"/>
        </w:rPr>
        <w:t>Figure</w:t>
      </w:r>
      <w:r>
        <w:rPr>
          <w:spacing w:val="-6"/>
          <w:sz w:val="16"/>
        </w:rPr>
        <w:t xml:space="preserve"> </w:t>
      </w:r>
      <w:r>
        <w:rPr>
          <w:sz w:val="16"/>
        </w:rPr>
        <w:t>B1:</w:t>
      </w:r>
      <w:r>
        <w:rPr>
          <w:spacing w:val="-4"/>
          <w:sz w:val="16"/>
        </w:rPr>
        <w:t xml:space="preserve"> </w:t>
      </w:r>
      <w:r>
        <w:rPr>
          <w:sz w:val="16"/>
        </w:rPr>
        <w:t>Approved</w:t>
      </w:r>
      <w:r>
        <w:rPr>
          <w:spacing w:val="-4"/>
          <w:sz w:val="16"/>
        </w:rPr>
        <w:t xml:space="preserve"> </w:t>
      </w:r>
      <w:r>
        <w:rPr>
          <w:sz w:val="16"/>
        </w:rPr>
        <w:t>Budget</w:t>
      </w:r>
      <w:r>
        <w:rPr>
          <w:spacing w:val="-6"/>
          <w:sz w:val="16"/>
        </w:rPr>
        <w:t xml:space="preserve"> </w:t>
      </w:r>
      <w:r>
        <w:rPr>
          <w:sz w:val="16"/>
        </w:rPr>
        <w:t>and</w:t>
      </w:r>
      <w:r>
        <w:rPr>
          <w:spacing w:val="-6"/>
          <w:sz w:val="16"/>
        </w:rPr>
        <w:t xml:space="preserve"> </w:t>
      </w:r>
      <w:r>
        <w:rPr>
          <w:sz w:val="16"/>
        </w:rPr>
        <w:t>Actual</w:t>
      </w:r>
      <w:r>
        <w:rPr>
          <w:spacing w:val="-5"/>
          <w:sz w:val="16"/>
        </w:rPr>
        <w:t xml:space="preserve"> </w:t>
      </w:r>
      <w:r>
        <w:rPr>
          <w:sz w:val="16"/>
        </w:rPr>
        <w:t>Operating</w:t>
      </w:r>
      <w:r>
        <w:rPr>
          <w:spacing w:val="-6"/>
          <w:sz w:val="16"/>
        </w:rPr>
        <w:t xml:space="preserve"> </w:t>
      </w:r>
      <w:r>
        <w:rPr>
          <w:sz w:val="16"/>
        </w:rPr>
        <w:t>Expenditure</w:t>
      </w:r>
      <w:r>
        <w:rPr>
          <w:spacing w:val="-6"/>
          <w:sz w:val="16"/>
        </w:rPr>
        <w:t xml:space="preserve"> </w:t>
      </w:r>
      <w:r>
        <w:rPr>
          <w:sz w:val="16"/>
        </w:rPr>
        <w:t>($m</w:t>
      </w:r>
      <w:r>
        <w:rPr>
          <w:spacing w:val="-5"/>
          <w:sz w:val="16"/>
        </w:rPr>
        <w:t xml:space="preserve"> </w:t>
      </w:r>
      <w:r>
        <w:rPr>
          <w:spacing w:val="-2"/>
          <w:sz w:val="16"/>
        </w:rPr>
        <w:t>1/1/23)</w:t>
      </w:r>
    </w:p>
    <w:p w14:paraId="7CA9A7DB" w14:textId="77777777" w:rsidR="00141B97" w:rsidRDefault="00141B97">
      <w:pPr>
        <w:pStyle w:val="BodyText"/>
        <w:rPr>
          <w:sz w:val="16"/>
        </w:rPr>
      </w:pPr>
    </w:p>
    <w:p w14:paraId="13996A42" w14:textId="77777777" w:rsidR="00141B97" w:rsidRDefault="00911D63">
      <w:pPr>
        <w:pStyle w:val="BodyText"/>
        <w:spacing w:before="98"/>
        <w:ind w:left="113" w:right="949"/>
        <w:jc w:val="both"/>
      </w:pPr>
      <w:r>
        <w:t>The</w:t>
      </w:r>
      <w:r>
        <w:rPr>
          <w:spacing w:val="-6"/>
        </w:rPr>
        <w:t xml:space="preserve"> </w:t>
      </w:r>
      <w:r>
        <w:t>breakdown</w:t>
      </w:r>
      <w:r>
        <w:rPr>
          <w:spacing w:val="-5"/>
        </w:rPr>
        <w:t xml:space="preserve"> </w:t>
      </w:r>
      <w:r>
        <w:t>of</w:t>
      </w:r>
      <w:r>
        <w:rPr>
          <w:spacing w:val="-5"/>
        </w:rPr>
        <w:t xml:space="preserve"> </w:t>
      </w:r>
      <w:r>
        <w:t>controllable</w:t>
      </w:r>
      <w:r>
        <w:rPr>
          <w:spacing w:val="-6"/>
        </w:rPr>
        <w:t xml:space="preserve"> </w:t>
      </w:r>
      <w:r>
        <w:t>costs</w:t>
      </w:r>
      <w:r>
        <w:rPr>
          <w:spacing w:val="-4"/>
        </w:rPr>
        <w:t xml:space="preserve"> </w:t>
      </w:r>
      <w:r>
        <w:t>is</w:t>
      </w:r>
      <w:r>
        <w:rPr>
          <w:spacing w:val="-4"/>
        </w:rPr>
        <w:t xml:space="preserve"> </w:t>
      </w:r>
      <w:r>
        <w:t>shown</w:t>
      </w:r>
      <w:r>
        <w:rPr>
          <w:spacing w:val="-4"/>
        </w:rPr>
        <w:t xml:space="preserve"> </w:t>
      </w:r>
      <w:r>
        <w:t>in</w:t>
      </w:r>
      <w:r>
        <w:rPr>
          <w:spacing w:val="-6"/>
        </w:rPr>
        <w:t xml:space="preserve"> </w:t>
      </w:r>
      <w:r>
        <w:t>Table</w:t>
      </w:r>
      <w:r>
        <w:rPr>
          <w:spacing w:val="-6"/>
        </w:rPr>
        <w:t xml:space="preserve"> </w:t>
      </w:r>
      <w:r>
        <w:t>B6</w:t>
      </w:r>
      <w:r>
        <w:rPr>
          <w:spacing w:val="-4"/>
        </w:rPr>
        <w:t xml:space="preserve"> </w:t>
      </w:r>
      <w:r>
        <w:t>below.</w:t>
      </w:r>
      <w:r>
        <w:rPr>
          <w:spacing w:val="-4"/>
        </w:rPr>
        <w:t xml:space="preserve"> </w:t>
      </w:r>
      <w:r>
        <w:t>The</w:t>
      </w:r>
      <w:r>
        <w:rPr>
          <w:spacing w:val="-5"/>
        </w:rPr>
        <w:t xml:space="preserve"> </w:t>
      </w:r>
      <w:r>
        <w:t>leading</w:t>
      </w:r>
      <w:r>
        <w:rPr>
          <w:spacing w:val="-4"/>
        </w:rPr>
        <w:t xml:space="preserve"> </w:t>
      </w:r>
      <w:r>
        <w:t>contributor</w:t>
      </w:r>
      <w:r>
        <w:rPr>
          <w:spacing w:val="-4"/>
        </w:rPr>
        <w:t xml:space="preserve"> </w:t>
      </w:r>
      <w:r>
        <w:t>to</w:t>
      </w:r>
      <w:r>
        <w:rPr>
          <w:spacing w:val="-5"/>
        </w:rPr>
        <w:t xml:space="preserve"> </w:t>
      </w:r>
      <w:r>
        <w:t>the</w:t>
      </w:r>
      <w:r>
        <w:rPr>
          <w:spacing w:val="-5"/>
        </w:rPr>
        <w:t xml:space="preserve"> </w:t>
      </w:r>
      <w:r>
        <w:t>$8.5m</w:t>
      </w:r>
      <w:r>
        <w:rPr>
          <w:spacing w:val="-5"/>
        </w:rPr>
        <w:t xml:space="preserve"> </w:t>
      </w:r>
      <w:r>
        <w:t>variance was Labour ($3.0m), followed by Contractors/Consultants ($1.4m), Chemicals ($1.3m) and ICT ($1.2m). A</w:t>
      </w:r>
      <w:r>
        <w:rPr>
          <w:spacing w:val="-1"/>
        </w:rPr>
        <w:t xml:space="preserve"> </w:t>
      </w:r>
      <w:r>
        <w:t>brief explanation of the variance in each of these categories is provided below.</w:t>
      </w:r>
    </w:p>
    <w:p w14:paraId="7F8E1674" w14:textId="77777777" w:rsidR="00141B97" w:rsidRDefault="00141B97">
      <w:pPr>
        <w:pStyle w:val="BodyText"/>
        <w:spacing w:before="6"/>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808"/>
        <w:gridCol w:w="718"/>
        <w:gridCol w:w="684"/>
        <w:gridCol w:w="708"/>
        <w:gridCol w:w="673"/>
        <w:gridCol w:w="708"/>
        <w:gridCol w:w="674"/>
        <w:gridCol w:w="708"/>
        <w:gridCol w:w="674"/>
        <w:gridCol w:w="709"/>
        <w:gridCol w:w="675"/>
        <w:gridCol w:w="592"/>
        <w:gridCol w:w="517"/>
      </w:tblGrid>
      <w:tr w:rsidR="00141B97" w14:paraId="261DED83" w14:textId="77777777">
        <w:trPr>
          <w:trHeight w:val="195"/>
          <w:tblCellSpacing w:w="9" w:type="dxa"/>
        </w:trPr>
        <w:tc>
          <w:tcPr>
            <w:tcW w:w="1781" w:type="dxa"/>
            <w:tcBorders>
              <w:top w:val="nil"/>
              <w:left w:val="nil"/>
            </w:tcBorders>
            <w:shd w:val="clear" w:color="auto" w:fill="006CA3"/>
          </w:tcPr>
          <w:p w14:paraId="09004DFD" w14:textId="77777777" w:rsidR="00141B97" w:rsidRDefault="00911D63">
            <w:pPr>
              <w:pStyle w:val="TableParagraph"/>
              <w:spacing w:line="175" w:lineRule="exact"/>
              <w:ind w:left="88"/>
              <w:rPr>
                <w:sz w:val="16"/>
              </w:rPr>
            </w:pPr>
            <w:r>
              <w:rPr>
                <w:color w:val="FFFFFF"/>
                <w:spacing w:val="-2"/>
                <w:sz w:val="16"/>
              </w:rPr>
              <w:t>Controllable</w:t>
            </w:r>
            <w:r>
              <w:rPr>
                <w:color w:val="FFFFFF"/>
                <w:spacing w:val="11"/>
                <w:sz w:val="16"/>
              </w:rPr>
              <w:t xml:space="preserve"> </w:t>
            </w:r>
            <w:r>
              <w:rPr>
                <w:color w:val="FFFFFF"/>
                <w:spacing w:val="-4"/>
                <w:sz w:val="16"/>
              </w:rPr>
              <w:t>Opex</w:t>
            </w:r>
          </w:p>
        </w:tc>
        <w:tc>
          <w:tcPr>
            <w:tcW w:w="1366" w:type="dxa"/>
            <w:gridSpan w:val="2"/>
            <w:tcBorders>
              <w:top w:val="nil"/>
            </w:tcBorders>
            <w:shd w:val="clear" w:color="auto" w:fill="006CA3"/>
          </w:tcPr>
          <w:p w14:paraId="6BBCA179" w14:textId="77777777" w:rsidR="00141B97" w:rsidRDefault="00911D63">
            <w:pPr>
              <w:pStyle w:val="TableParagraph"/>
              <w:spacing w:line="175" w:lineRule="exact"/>
              <w:ind w:left="403"/>
              <w:rPr>
                <w:sz w:val="16"/>
              </w:rPr>
            </w:pPr>
            <w:r>
              <w:rPr>
                <w:color w:val="FFFFFF"/>
                <w:spacing w:val="-2"/>
                <w:sz w:val="16"/>
              </w:rPr>
              <w:t>2018‐19</w:t>
            </w:r>
          </w:p>
        </w:tc>
        <w:tc>
          <w:tcPr>
            <w:tcW w:w="1345" w:type="dxa"/>
            <w:gridSpan w:val="2"/>
            <w:tcBorders>
              <w:top w:val="nil"/>
            </w:tcBorders>
            <w:shd w:val="clear" w:color="auto" w:fill="006CA3"/>
          </w:tcPr>
          <w:p w14:paraId="3E8B927F" w14:textId="77777777" w:rsidR="00141B97" w:rsidRDefault="00911D63">
            <w:pPr>
              <w:pStyle w:val="TableParagraph"/>
              <w:spacing w:line="175" w:lineRule="exact"/>
              <w:ind w:left="392"/>
              <w:rPr>
                <w:sz w:val="16"/>
              </w:rPr>
            </w:pPr>
            <w:r>
              <w:rPr>
                <w:color w:val="FFFFFF"/>
                <w:spacing w:val="-2"/>
                <w:sz w:val="16"/>
              </w:rPr>
              <w:t>2019‐20</w:t>
            </w:r>
          </w:p>
        </w:tc>
        <w:tc>
          <w:tcPr>
            <w:tcW w:w="1346" w:type="dxa"/>
            <w:gridSpan w:val="2"/>
            <w:tcBorders>
              <w:top w:val="nil"/>
            </w:tcBorders>
            <w:shd w:val="clear" w:color="auto" w:fill="006CA3"/>
          </w:tcPr>
          <w:p w14:paraId="0B7FEF93" w14:textId="77777777" w:rsidR="00141B97" w:rsidRDefault="00911D63">
            <w:pPr>
              <w:pStyle w:val="TableParagraph"/>
              <w:spacing w:line="175" w:lineRule="exact"/>
              <w:ind w:left="393"/>
              <w:rPr>
                <w:sz w:val="16"/>
              </w:rPr>
            </w:pPr>
            <w:r>
              <w:rPr>
                <w:color w:val="FFFFFF"/>
                <w:spacing w:val="-2"/>
                <w:sz w:val="16"/>
              </w:rPr>
              <w:t>2020‐21</w:t>
            </w:r>
          </w:p>
        </w:tc>
        <w:tc>
          <w:tcPr>
            <w:tcW w:w="1346" w:type="dxa"/>
            <w:gridSpan w:val="2"/>
            <w:tcBorders>
              <w:top w:val="nil"/>
            </w:tcBorders>
            <w:shd w:val="clear" w:color="auto" w:fill="006CA3"/>
          </w:tcPr>
          <w:p w14:paraId="4616A149" w14:textId="77777777" w:rsidR="00141B97" w:rsidRDefault="00911D63">
            <w:pPr>
              <w:pStyle w:val="TableParagraph"/>
              <w:spacing w:line="175" w:lineRule="exact"/>
              <w:ind w:left="395"/>
              <w:rPr>
                <w:sz w:val="16"/>
              </w:rPr>
            </w:pPr>
            <w:r>
              <w:rPr>
                <w:color w:val="FFFFFF"/>
                <w:spacing w:val="-2"/>
                <w:sz w:val="16"/>
              </w:rPr>
              <w:t>2021‐22</w:t>
            </w:r>
          </w:p>
        </w:tc>
        <w:tc>
          <w:tcPr>
            <w:tcW w:w="1348" w:type="dxa"/>
            <w:gridSpan w:val="2"/>
            <w:tcBorders>
              <w:top w:val="nil"/>
            </w:tcBorders>
            <w:shd w:val="clear" w:color="auto" w:fill="006CA3"/>
          </w:tcPr>
          <w:p w14:paraId="6D3640EA" w14:textId="77777777" w:rsidR="00141B97" w:rsidRDefault="00911D63">
            <w:pPr>
              <w:pStyle w:val="TableParagraph"/>
              <w:spacing w:line="175" w:lineRule="exact"/>
              <w:ind w:left="197"/>
              <w:rPr>
                <w:sz w:val="16"/>
              </w:rPr>
            </w:pPr>
            <w:r>
              <w:rPr>
                <w:color w:val="FFFFFF"/>
                <w:sz w:val="16"/>
              </w:rPr>
              <w:t>Period</w:t>
            </w:r>
            <w:r>
              <w:rPr>
                <w:color w:val="FFFFFF"/>
                <w:spacing w:val="-4"/>
                <w:sz w:val="16"/>
              </w:rPr>
              <w:t xml:space="preserve"> </w:t>
            </w:r>
            <w:r>
              <w:rPr>
                <w:color w:val="FFFFFF"/>
                <w:sz w:val="16"/>
              </w:rPr>
              <w:t>to</w:t>
            </w:r>
            <w:r>
              <w:rPr>
                <w:color w:val="FFFFFF"/>
                <w:spacing w:val="-4"/>
                <w:sz w:val="16"/>
              </w:rPr>
              <w:t xml:space="preserve"> Date</w:t>
            </w:r>
          </w:p>
        </w:tc>
        <w:tc>
          <w:tcPr>
            <w:tcW w:w="1064" w:type="dxa"/>
            <w:gridSpan w:val="2"/>
            <w:tcBorders>
              <w:top w:val="nil"/>
              <w:right w:val="nil"/>
            </w:tcBorders>
            <w:shd w:val="clear" w:color="auto" w:fill="006CA3"/>
          </w:tcPr>
          <w:p w14:paraId="55653137" w14:textId="77777777" w:rsidR="00141B97" w:rsidRDefault="00911D63">
            <w:pPr>
              <w:pStyle w:val="TableParagraph"/>
              <w:spacing w:line="175" w:lineRule="exact"/>
              <w:ind w:left="217"/>
              <w:rPr>
                <w:sz w:val="16"/>
              </w:rPr>
            </w:pPr>
            <w:r>
              <w:rPr>
                <w:color w:val="FFFFFF"/>
                <w:spacing w:val="-2"/>
                <w:sz w:val="16"/>
              </w:rPr>
              <w:t>Variances</w:t>
            </w:r>
          </w:p>
        </w:tc>
      </w:tr>
      <w:tr w:rsidR="00141B97" w14:paraId="5DE4E4FF" w14:textId="77777777">
        <w:trPr>
          <w:trHeight w:val="195"/>
          <w:tblCellSpacing w:w="9" w:type="dxa"/>
        </w:trPr>
        <w:tc>
          <w:tcPr>
            <w:tcW w:w="1781" w:type="dxa"/>
            <w:tcBorders>
              <w:left w:val="nil"/>
            </w:tcBorders>
            <w:shd w:val="clear" w:color="auto" w:fill="006CA3"/>
          </w:tcPr>
          <w:p w14:paraId="652D8EF5" w14:textId="77777777" w:rsidR="00141B97" w:rsidRDefault="00911D63">
            <w:pPr>
              <w:pStyle w:val="TableParagraph"/>
              <w:spacing w:before="1" w:line="175" w:lineRule="exact"/>
              <w:ind w:left="88"/>
              <w:rPr>
                <w:sz w:val="16"/>
              </w:rPr>
            </w:pPr>
            <w:r>
              <w:rPr>
                <w:color w:val="FFFFFF"/>
                <w:sz w:val="16"/>
              </w:rPr>
              <w:t>$m,</w:t>
            </w:r>
            <w:r>
              <w:rPr>
                <w:color w:val="FFFFFF"/>
                <w:spacing w:val="-3"/>
                <w:sz w:val="16"/>
              </w:rPr>
              <w:t xml:space="preserve"> </w:t>
            </w:r>
            <w:r>
              <w:rPr>
                <w:color w:val="FFFFFF"/>
                <w:spacing w:val="-2"/>
                <w:sz w:val="16"/>
              </w:rPr>
              <w:t>1/1/23</w:t>
            </w:r>
          </w:p>
        </w:tc>
        <w:tc>
          <w:tcPr>
            <w:tcW w:w="700" w:type="dxa"/>
            <w:shd w:val="clear" w:color="auto" w:fill="006CA3"/>
          </w:tcPr>
          <w:p w14:paraId="1FD23B13" w14:textId="77777777" w:rsidR="00141B97" w:rsidRDefault="00911D63">
            <w:pPr>
              <w:pStyle w:val="TableParagraph"/>
              <w:spacing w:before="1" w:line="175" w:lineRule="exact"/>
              <w:ind w:left="106" w:right="106"/>
              <w:jc w:val="center"/>
              <w:rPr>
                <w:sz w:val="16"/>
              </w:rPr>
            </w:pPr>
            <w:r>
              <w:rPr>
                <w:color w:val="FFFFFF"/>
                <w:spacing w:val="-2"/>
                <w:sz w:val="16"/>
              </w:rPr>
              <w:t>Budget</w:t>
            </w:r>
          </w:p>
        </w:tc>
        <w:tc>
          <w:tcPr>
            <w:tcW w:w="666" w:type="dxa"/>
            <w:shd w:val="clear" w:color="auto" w:fill="006CA3"/>
          </w:tcPr>
          <w:p w14:paraId="5F311B39" w14:textId="77777777" w:rsidR="00141B97" w:rsidRDefault="00911D63">
            <w:pPr>
              <w:pStyle w:val="TableParagraph"/>
              <w:spacing w:before="1" w:line="175" w:lineRule="exact"/>
              <w:ind w:left="116" w:right="117"/>
              <w:jc w:val="center"/>
              <w:rPr>
                <w:sz w:val="16"/>
              </w:rPr>
            </w:pPr>
            <w:r>
              <w:rPr>
                <w:color w:val="FFFFFF"/>
                <w:spacing w:val="-2"/>
                <w:sz w:val="16"/>
              </w:rPr>
              <w:t>Actual</w:t>
            </w:r>
          </w:p>
        </w:tc>
        <w:tc>
          <w:tcPr>
            <w:tcW w:w="690" w:type="dxa"/>
            <w:shd w:val="clear" w:color="auto" w:fill="006CA3"/>
          </w:tcPr>
          <w:p w14:paraId="79EE32F2" w14:textId="77777777" w:rsidR="00141B97" w:rsidRDefault="00911D63">
            <w:pPr>
              <w:pStyle w:val="TableParagraph"/>
              <w:spacing w:before="1" w:line="175" w:lineRule="exact"/>
              <w:ind w:left="100" w:right="101"/>
              <w:jc w:val="center"/>
              <w:rPr>
                <w:sz w:val="16"/>
              </w:rPr>
            </w:pPr>
            <w:r>
              <w:rPr>
                <w:color w:val="FFFFFF"/>
                <w:spacing w:val="-2"/>
                <w:sz w:val="16"/>
              </w:rPr>
              <w:t>Budget</w:t>
            </w:r>
          </w:p>
        </w:tc>
        <w:tc>
          <w:tcPr>
            <w:tcW w:w="655" w:type="dxa"/>
            <w:shd w:val="clear" w:color="auto" w:fill="006CA3"/>
          </w:tcPr>
          <w:p w14:paraId="42255491" w14:textId="77777777" w:rsidR="00141B97" w:rsidRDefault="00911D63">
            <w:pPr>
              <w:pStyle w:val="TableParagraph"/>
              <w:spacing w:before="1" w:line="175" w:lineRule="exact"/>
              <w:ind w:right="113"/>
              <w:jc w:val="right"/>
              <w:rPr>
                <w:sz w:val="16"/>
              </w:rPr>
            </w:pPr>
            <w:r>
              <w:rPr>
                <w:color w:val="FFFFFF"/>
                <w:spacing w:val="-2"/>
                <w:sz w:val="16"/>
              </w:rPr>
              <w:t>Actual</w:t>
            </w:r>
          </w:p>
        </w:tc>
        <w:tc>
          <w:tcPr>
            <w:tcW w:w="690" w:type="dxa"/>
            <w:shd w:val="clear" w:color="auto" w:fill="006CA3"/>
          </w:tcPr>
          <w:p w14:paraId="2D2A12D2" w14:textId="77777777" w:rsidR="00141B97" w:rsidRDefault="00911D63">
            <w:pPr>
              <w:pStyle w:val="TableParagraph"/>
              <w:spacing w:before="1" w:line="175" w:lineRule="exact"/>
              <w:ind w:left="101" w:right="101"/>
              <w:jc w:val="center"/>
              <w:rPr>
                <w:sz w:val="16"/>
              </w:rPr>
            </w:pPr>
            <w:r>
              <w:rPr>
                <w:color w:val="FFFFFF"/>
                <w:spacing w:val="-2"/>
                <w:sz w:val="16"/>
              </w:rPr>
              <w:t>Budget</w:t>
            </w:r>
          </w:p>
        </w:tc>
        <w:tc>
          <w:tcPr>
            <w:tcW w:w="656" w:type="dxa"/>
            <w:shd w:val="clear" w:color="auto" w:fill="006CA3"/>
          </w:tcPr>
          <w:p w14:paraId="4220DB74" w14:textId="77777777" w:rsidR="00141B97" w:rsidRDefault="00911D63">
            <w:pPr>
              <w:pStyle w:val="TableParagraph"/>
              <w:spacing w:before="1" w:line="175" w:lineRule="exact"/>
              <w:ind w:left="111" w:right="111"/>
              <w:jc w:val="center"/>
              <w:rPr>
                <w:sz w:val="16"/>
              </w:rPr>
            </w:pPr>
            <w:r>
              <w:rPr>
                <w:color w:val="FFFFFF"/>
                <w:spacing w:val="-2"/>
                <w:sz w:val="16"/>
              </w:rPr>
              <w:t>Actual</w:t>
            </w:r>
          </w:p>
        </w:tc>
        <w:tc>
          <w:tcPr>
            <w:tcW w:w="690" w:type="dxa"/>
            <w:shd w:val="clear" w:color="auto" w:fill="006CA3"/>
          </w:tcPr>
          <w:p w14:paraId="018FD0D4" w14:textId="77777777" w:rsidR="00141B97" w:rsidRDefault="00911D63">
            <w:pPr>
              <w:pStyle w:val="TableParagraph"/>
              <w:spacing w:before="1" w:line="175" w:lineRule="exact"/>
              <w:ind w:left="101" w:right="101"/>
              <w:jc w:val="center"/>
              <w:rPr>
                <w:sz w:val="16"/>
              </w:rPr>
            </w:pPr>
            <w:r>
              <w:rPr>
                <w:color w:val="FFFFFF"/>
                <w:spacing w:val="-2"/>
                <w:sz w:val="16"/>
              </w:rPr>
              <w:t>Budget</w:t>
            </w:r>
          </w:p>
        </w:tc>
        <w:tc>
          <w:tcPr>
            <w:tcW w:w="656" w:type="dxa"/>
            <w:shd w:val="clear" w:color="auto" w:fill="006CA3"/>
          </w:tcPr>
          <w:p w14:paraId="054B06C6" w14:textId="77777777" w:rsidR="00141B97" w:rsidRDefault="00911D63">
            <w:pPr>
              <w:pStyle w:val="TableParagraph"/>
              <w:spacing w:before="1" w:line="175" w:lineRule="exact"/>
              <w:ind w:left="116"/>
              <w:rPr>
                <w:sz w:val="16"/>
              </w:rPr>
            </w:pPr>
            <w:r>
              <w:rPr>
                <w:color w:val="FFFFFF"/>
                <w:spacing w:val="-2"/>
                <w:sz w:val="16"/>
              </w:rPr>
              <w:t>Actual</w:t>
            </w:r>
          </w:p>
        </w:tc>
        <w:tc>
          <w:tcPr>
            <w:tcW w:w="691" w:type="dxa"/>
            <w:shd w:val="clear" w:color="auto" w:fill="006CA3"/>
          </w:tcPr>
          <w:p w14:paraId="2A4F7E6C" w14:textId="77777777" w:rsidR="00141B97" w:rsidRDefault="00911D63">
            <w:pPr>
              <w:pStyle w:val="TableParagraph"/>
              <w:spacing w:before="1" w:line="175" w:lineRule="exact"/>
              <w:ind w:left="103" w:right="101"/>
              <w:jc w:val="center"/>
              <w:rPr>
                <w:sz w:val="16"/>
              </w:rPr>
            </w:pPr>
            <w:r>
              <w:rPr>
                <w:color w:val="FFFFFF"/>
                <w:spacing w:val="-2"/>
                <w:sz w:val="16"/>
              </w:rPr>
              <w:t>Budget</w:t>
            </w:r>
          </w:p>
        </w:tc>
        <w:tc>
          <w:tcPr>
            <w:tcW w:w="657" w:type="dxa"/>
            <w:shd w:val="clear" w:color="auto" w:fill="006CA3"/>
          </w:tcPr>
          <w:p w14:paraId="46B1C5D1" w14:textId="77777777" w:rsidR="00141B97" w:rsidRDefault="00911D63">
            <w:pPr>
              <w:pStyle w:val="TableParagraph"/>
              <w:spacing w:before="1" w:line="175" w:lineRule="exact"/>
              <w:ind w:right="113"/>
              <w:jc w:val="right"/>
              <w:rPr>
                <w:sz w:val="16"/>
              </w:rPr>
            </w:pPr>
            <w:r>
              <w:rPr>
                <w:color w:val="FFFFFF"/>
                <w:spacing w:val="-2"/>
                <w:sz w:val="16"/>
              </w:rPr>
              <w:t>Actual</w:t>
            </w:r>
          </w:p>
        </w:tc>
        <w:tc>
          <w:tcPr>
            <w:tcW w:w="574" w:type="dxa"/>
            <w:shd w:val="clear" w:color="auto" w:fill="006CA3"/>
          </w:tcPr>
          <w:p w14:paraId="2CFEAF8B" w14:textId="77777777" w:rsidR="00141B97" w:rsidRDefault="00911D63">
            <w:pPr>
              <w:pStyle w:val="TableParagraph"/>
              <w:spacing w:before="1" w:line="175" w:lineRule="exact"/>
              <w:ind w:left="170" w:right="166"/>
              <w:jc w:val="center"/>
              <w:rPr>
                <w:sz w:val="16"/>
              </w:rPr>
            </w:pPr>
            <w:r>
              <w:rPr>
                <w:color w:val="FFFFFF"/>
                <w:spacing w:val="-5"/>
                <w:sz w:val="16"/>
              </w:rPr>
              <w:t>$m</w:t>
            </w:r>
          </w:p>
        </w:tc>
        <w:tc>
          <w:tcPr>
            <w:tcW w:w="490" w:type="dxa"/>
            <w:tcBorders>
              <w:right w:val="nil"/>
            </w:tcBorders>
            <w:shd w:val="clear" w:color="auto" w:fill="006CA3"/>
          </w:tcPr>
          <w:p w14:paraId="41A123BD" w14:textId="77777777" w:rsidR="00141B97" w:rsidRDefault="00911D63">
            <w:pPr>
              <w:pStyle w:val="TableParagraph"/>
              <w:spacing w:before="1" w:line="175" w:lineRule="exact"/>
              <w:ind w:left="186"/>
              <w:rPr>
                <w:sz w:val="16"/>
              </w:rPr>
            </w:pPr>
            <w:r>
              <w:rPr>
                <w:color w:val="FFFFFF"/>
                <w:w w:val="99"/>
                <w:sz w:val="16"/>
              </w:rPr>
              <w:t>%</w:t>
            </w:r>
          </w:p>
        </w:tc>
      </w:tr>
      <w:tr w:rsidR="00141B97" w14:paraId="6D54E329" w14:textId="77777777">
        <w:trPr>
          <w:trHeight w:val="194"/>
          <w:tblCellSpacing w:w="9" w:type="dxa"/>
        </w:trPr>
        <w:tc>
          <w:tcPr>
            <w:tcW w:w="1781" w:type="dxa"/>
            <w:tcBorders>
              <w:left w:val="nil"/>
            </w:tcBorders>
            <w:shd w:val="clear" w:color="auto" w:fill="CCE2ED"/>
          </w:tcPr>
          <w:p w14:paraId="3131F496" w14:textId="77777777" w:rsidR="00141B97" w:rsidRDefault="00911D63">
            <w:pPr>
              <w:pStyle w:val="TableParagraph"/>
              <w:spacing w:line="175" w:lineRule="exact"/>
              <w:ind w:left="88"/>
              <w:rPr>
                <w:sz w:val="16"/>
              </w:rPr>
            </w:pPr>
            <w:r>
              <w:rPr>
                <w:spacing w:val="-2"/>
                <w:sz w:val="16"/>
              </w:rPr>
              <w:t>Labour</w:t>
            </w:r>
          </w:p>
        </w:tc>
        <w:tc>
          <w:tcPr>
            <w:tcW w:w="700" w:type="dxa"/>
            <w:shd w:val="clear" w:color="auto" w:fill="CCE2ED"/>
          </w:tcPr>
          <w:p w14:paraId="6480F22F" w14:textId="77777777" w:rsidR="00141B97" w:rsidRDefault="00911D63">
            <w:pPr>
              <w:pStyle w:val="TableParagraph"/>
              <w:spacing w:line="175" w:lineRule="exact"/>
              <w:ind w:left="105" w:right="106"/>
              <w:jc w:val="center"/>
              <w:rPr>
                <w:sz w:val="16"/>
              </w:rPr>
            </w:pPr>
            <w:r>
              <w:rPr>
                <w:spacing w:val="-4"/>
                <w:sz w:val="16"/>
              </w:rPr>
              <w:t>11.5</w:t>
            </w:r>
          </w:p>
        </w:tc>
        <w:tc>
          <w:tcPr>
            <w:tcW w:w="666" w:type="dxa"/>
            <w:shd w:val="clear" w:color="auto" w:fill="CCE2ED"/>
          </w:tcPr>
          <w:p w14:paraId="41D7F128" w14:textId="77777777" w:rsidR="00141B97" w:rsidRDefault="00911D63">
            <w:pPr>
              <w:pStyle w:val="TableParagraph"/>
              <w:spacing w:line="175" w:lineRule="exact"/>
              <w:ind w:left="115" w:right="117"/>
              <w:jc w:val="center"/>
              <w:rPr>
                <w:sz w:val="16"/>
              </w:rPr>
            </w:pPr>
            <w:r>
              <w:rPr>
                <w:spacing w:val="-4"/>
                <w:sz w:val="16"/>
              </w:rPr>
              <w:t>11.2</w:t>
            </w:r>
          </w:p>
        </w:tc>
        <w:tc>
          <w:tcPr>
            <w:tcW w:w="690" w:type="dxa"/>
            <w:shd w:val="clear" w:color="auto" w:fill="CCE2ED"/>
          </w:tcPr>
          <w:p w14:paraId="144B5D95" w14:textId="77777777" w:rsidR="00141B97" w:rsidRDefault="00911D63">
            <w:pPr>
              <w:pStyle w:val="TableParagraph"/>
              <w:spacing w:line="175" w:lineRule="exact"/>
              <w:ind w:left="99" w:right="101"/>
              <w:jc w:val="center"/>
              <w:rPr>
                <w:sz w:val="16"/>
              </w:rPr>
            </w:pPr>
            <w:r>
              <w:rPr>
                <w:spacing w:val="-4"/>
                <w:sz w:val="16"/>
              </w:rPr>
              <w:t>11.4</w:t>
            </w:r>
          </w:p>
        </w:tc>
        <w:tc>
          <w:tcPr>
            <w:tcW w:w="655" w:type="dxa"/>
            <w:shd w:val="clear" w:color="auto" w:fill="CCE2ED"/>
          </w:tcPr>
          <w:p w14:paraId="2A51CCA3" w14:textId="77777777" w:rsidR="00141B97" w:rsidRDefault="00911D63">
            <w:pPr>
              <w:pStyle w:val="TableParagraph"/>
              <w:spacing w:line="175" w:lineRule="exact"/>
              <w:ind w:right="176"/>
              <w:jc w:val="right"/>
              <w:rPr>
                <w:sz w:val="16"/>
              </w:rPr>
            </w:pPr>
            <w:r>
              <w:rPr>
                <w:spacing w:val="-4"/>
                <w:sz w:val="16"/>
              </w:rPr>
              <w:t>12.2</w:t>
            </w:r>
          </w:p>
        </w:tc>
        <w:tc>
          <w:tcPr>
            <w:tcW w:w="690" w:type="dxa"/>
            <w:shd w:val="clear" w:color="auto" w:fill="CCE2ED"/>
          </w:tcPr>
          <w:p w14:paraId="1F2442D6" w14:textId="77777777" w:rsidR="00141B97" w:rsidRDefault="00911D63">
            <w:pPr>
              <w:pStyle w:val="TableParagraph"/>
              <w:spacing w:line="175" w:lineRule="exact"/>
              <w:ind w:left="100" w:right="101"/>
              <w:jc w:val="center"/>
              <w:rPr>
                <w:sz w:val="16"/>
              </w:rPr>
            </w:pPr>
            <w:r>
              <w:rPr>
                <w:spacing w:val="-4"/>
                <w:sz w:val="16"/>
              </w:rPr>
              <w:t>11.1</w:t>
            </w:r>
          </w:p>
        </w:tc>
        <w:tc>
          <w:tcPr>
            <w:tcW w:w="656" w:type="dxa"/>
            <w:shd w:val="clear" w:color="auto" w:fill="CCE2ED"/>
          </w:tcPr>
          <w:p w14:paraId="4D24D95E" w14:textId="77777777" w:rsidR="00141B97" w:rsidRDefault="00911D63">
            <w:pPr>
              <w:pStyle w:val="TableParagraph"/>
              <w:spacing w:line="175" w:lineRule="exact"/>
              <w:ind w:left="110" w:right="111"/>
              <w:jc w:val="center"/>
              <w:rPr>
                <w:sz w:val="16"/>
              </w:rPr>
            </w:pPr>
            <w:r>
              <w:rPr>
                <w:spacing w:val="-4"/>
                <w:sz w:val="16"/>
              </w:rPr>
              <w:t>12.3</w:t>
            </w:r>
          </w:p>
        </w:tc>
        <w:tc>
          <w:tcPr>
            <w:tcW w:w="690" w:type="dxa"/>
            <w:shd w:val="clear" w:color="auto" w:fill="CCE2ED"/>
          </w:tcPr>
          <w:p w14:paraId="19B3CBE2" w14:textId="77777777" w:rsidR="00141B97" w:rsidRDefault="00911D63">
            <w:pPr>
              <w:pStyle w:val="TableParagraph"/>
              <w:spacing w:line="175" w:lineRule="exact"/>
              <w:ind w:left="101" w:right="101"/>
              <w:jc w:val="center"/>
              <w:rPr>
                <w:sz w:val="16"/>
              </w:rPr>
            </w:pPr>
            <w:r>
              <w:rPr>
                <w:spacing w:val="-4"/>
                <w:sz w:val="16"/>
              </w:rPr>
              <w:t>11.0</w:t>
            </w:r>
          </w:p>
        </w:tc>
        <w:tc>
          <w:tcPr>
            <w:tcW w:w="656" w:type="dxa"/>
            <w:shd w:val="clear" w:color="auto" w:fill="CCE2ED"/>
          </w:tcPr>
          <w:p w14:paraId="21A163B0" w14:textId="77777777" w:rsidR="00141B97" w:rsidRDefault="00911D63">
            <w:pPr>
              <w:pStyle w:val="TableParagraph"/>
              <w:spacing w:line="175" w:lineRule="exact"/>
              <w:ind w:left="177"/>
              <w:rPr>
                <w:sz w:val="16"/>
              </w:rPr>
            </w:pPr>
            <w:r>
              <w:rPr>
                <w:spacing w:val="-4"/>
                <w:sz w:val="16"/>
              </w:rPr>
              <w:t>12.4</w:t>
            </w:r>
          </w:p>
        </w:tc>
        <w:tc>
          <w:tcPr>
            <w:tcW w:w="691" w:type="dxa"/>
            <w:shd w:val="clear" w:color="auto" w:fill="CCE2ED"/>
          </w:tcPr>
          <w:p w14:paraId="477A0E76" w14:textId="77777777" w:rsidR="00141B97" w:rsidRDefault="00911D63">
            <w:pPr>
              <w:pStyle w:val="TableParagraph"/>
              <w:spacing w:line="175" w:lineRule="exact"/>
              <w:ind w:left="101" w:right="101"/>
              <w:jc w:val="center"/>
              <w:rPr>
                <w:sz w:val="16"/>
              </w:rPr>
            </w:pPr>
            <w:r>
              <w:rPr>
                <w:spacing w:val="-4"/>
                <w:sz w:val="16"/>
              </w:rPr>
              <w:t>45.0</w:t>
            </w:r>
          </w:p>
        </w:tc>
        <w:tc>
          <w:tcPr>
            <w:tcW w:w="657" w:type="dxa"/>
            <w:shd w:val="clear" w:color="auto" w:fill="CCE2ED"/>
          </w:tcPr>
          <w:p w14:paraId="30898F33" w14:textId="77777777" w:rsidR="00141B97" w:rsidRDefault="00911D63">
            <w:pPr>
              <w:pStyle w:val="TableParagraph"/>
              <w:spacing w:line="175" w:lineRule="exact"/>
              <w:ind w:left="177"/>
              <w:rPr>
                <w:sz w:val="16"/>
              </w:rPr>
            </w:pPr>
            <w:r>
              <w:rPr>
                <w:spacing w:val="-4"/>
                <w:sz w:val="16"/>
              </w:rPr>
              <w:t>48.0</w:t>
            </w:r>
          </w:p>
        </w:tc>
        <w:tc>
          <w:tcPr>
            <w:tcW w:w="574" w:type="dxa"/>
            <w:shd w:val="clear" w:color="auto" w:fill="CCE2ED"/>
          </w:tcPr>
          <w:p w14:paraId="28475233" w14:textId="77777777" w:rsidR="00141B97" w:rsidRDefault="00911D63">
            <w:pPr>
              <w:pStyle w:val="TableParagraph"/>
              <w:spacing w:line="175" w:lineRule="exact"/>
              <w:ind w:left="167" w:right="166"/>
              <w:jc w:val="center"/>
              <w:rPr>
                <w:sz w:val="16"/>
              </w:rPr>
            </w:pPr>
            <w:r>
              <w:rPr>
                <w:spacing w:val="-5"/>
                <w:sz w:val="16"/>
              </w:rPr>
              <w:t>3.0</w:t>
            </w:r>
          </w:p>
        </w:tc>
        <w:tc>
          <w:tcPr>
            <w:tcW w:w="490" w:type="dxa"/>
            <w:tcBorders>
              <w:right w:val="nil"/>
            </w:tcBorders>
            <w:shd w:val="clear" w:color="auto" w:fill="CCE2ED"/>
          </w:tcPr>
          <w:p w14:paraId="53292A9E" w14:textId="77777777" w:rsidR="00141B97" w:rsidRDefault="00911D63">
            <w:pPr>
              <w:pStyle w:val="TableParagraph"/>
              <w:spacing w:line="175" w:lineRule="exact"/>
              <w:ind w:left="141"/>
              <w:rPr>
                <w:sz w:val="16"/>
              </w:rPr>
            </w:pPr>
            <w:r>
              <w:rPr>
                <w:spacing w:val="-5"/>
                <w:sz w:val="16"/>
              </w:rPr>
              <w:t>6.6</w:t>
            </w:r>
          </w:p>
        </w:tc>
      </w:tr>
      <w:tr w:rsidR="00141B97" w14:paraId="31532CDA" w14:textId="77777777">
        <w:trPr>
          <w:trHeight w:val="195"/>
          <w:tblCellSpacing w:w="9" w:type="dxa"/>
        </w:trPr>
        <w:tc>
          <w:tcPr>
            <w:tcW w:w="1781" w:type="dxa"/>
            <w:tcBorders>
              <w:left w:val="nil"/>
            </w:tcBorders>
            <w:shd w:val="clear" w:color="auto" w:fill="CCE2ED"/>
          </w:tcPr>
          <w:p w14:paraId="6C9B8E15" w14:textId="77777777" w:rsidR="00141B97" w:rsidRDefault="00911D63">
            <w:pPr>
              <w:pStyle w:val="TableParagraph"/>
              <w:spacing w:before="1" w:line="175" w:lineRule="exact"/>
              <w:ind w:left="88"/>
              <w:rPr>
                <w:sz w:val="16"/>
              </w:rPr>
            </w:pPr>
            <w:r>
              <w:rPr>
                <w:sz w:val="16"/>
              </w:rPr>
              <w:t>ICT</w:t>
            </w:r>
            <w:r>
              <w:rPr>
                <w:spacing w:val="-5"/>
                <w:sz w:val="16"/>
              </w:rPr>
              <w:t xml:space="preserve"> </w:t>
            </w:r>
            <w:r>
              <w:rPr>
                <w:sz w:val="16"/>
              </w:rPr>
              <w:t>Costs</w:t>
            </w:r>
            <w:r>
              <w:rPr>
                <w:spacing w:val="-5"/>
                <w:sz w:val="16"/>
              </w:rPr>
              <w:t xml:space="preserve"> </w:t>
            </w:r>
            <w:r>
              <w:rPr>
                <w:sz w:val="16"/>
              </w:rPr>
              <w:t>(Ex</w:t>
            </w:r>
            <w:r>
              <w:rPr>
                <w:spacing w:val="-4"/>
                <w:sz w:val="16"/>
              </w:rPr>
              <w:t xml:space="preserve"> </w:t>
            </w:r>
            <w:r>
              <w:rPr>
                <w:spacing w:val="-2"/>
                <w:sz w:val="16"/>
              </w:rPr>
              <w:t>Labour)</w:t>
            </w:r>
          </w:p>
        </w:tc>
        <w:tc>
          <w:tcPr>
            <w:tcW w:w="700" w:type="dxa"/>
            <w:shd w:val="clear" w:color="auto" w:fill="CCE2ED"/>
          </w:tcPr>
          <w:p w14:paraId="26A6B4F1" w14:textId="77777777" w:rsidR="00141B97" w:rsidRDefault="00911D63">
            <w:pPr>
              <w:pStyle w:val="TableParagraph"/>
              <w:spacing w:before="1" w:line="175" w:lineRule="exact"/>
              <w:ind w:left="106" w:right="106"/>
              <w:jc w:val="center"/>
              <w:rPr>
                <w:sz w:val="16"/>
              </w:rPr>
            </w:pPr>
            <w:r>
              <w:rPr>
                <w:spacing w:val="-5"/>
                <w:sz w:val="16"/>
              </w:rPr>
              <w:t>1.7</w:t>
            </w:r>
          </w:p>
        </w:tc>
        <w:tc>
          <w:tcPr>
            <w:tcW w:w="666" w:type="dxa"/>
            <w:shd w:val="clear" w:color="auto" w:fill="CCE2ED"/>
          </w:tcPr>
          <w:p w14:paraId="64783806" w14:textId="77777777" w:rsidR="00141B97" w:rsidRDefault="00911D63">
            <w:pPr>
              <w:pStyle w:val="TableParagraph"/>
              <w:spacing w:before="1" w:line="175" w:lineRule="exact"/>
              <w:ind w:left="116" w:right="117"/>
              <w:jc w:val="center"/>
              <w:rPr>
                <w:sz w:val="16"/>
              </w:rPr>
            </w:pPr>
            <w:r>
              <w:rPr>
                <w:spacing w:val="-5"/>
                <w:sz w:val="16"/>
              </w:rPr>
              <w:t>1.6</w:t>
            </w:r>
          </w:p>
        </w:tc>
        <w:tc>
          <w:tcPr>
            <w:tcW w:w="690" w:type="dxa"/>
            <w:shd w:val="clear" w:color="auto" w:fill="CCE2ED"/>
          </w:tcPr>
          <w:p w14:paraId="730A1A0A" w14:textId="77777777" w:rsidR="00141B97" w:rsidRDefault="00911D63">
            <w:pPr>
              <w:pStyle w:val="TableParagraph"/>
              <w:spacing w:before="1" w:line="175" w:lineRule="exact"/>
              <w:ind w:left="98" w:right="101"/>
              <w:jc w:val="center"/>
              <w:rPr>
                <w:sz w:val="16"/>
              </w:rPr>
            </w:pPr>
            <w:r>
              <w:rPr>
                <w:spacing w:val="-5"/>
                <w:sz w:val="16"/>
              </w:rPr>
              <w:t>1.7</w:t>
            </w:r>
          </w:p>
        </w:tc>
        <w:tc>
          <w:tcPr>
            <w:tcW w:w="655" w:type="dxa"/>
            <w:shd w:val="clear" w:color="auto" w:fill="CCE2ED"/>
          </w:tcPr>
          <w:p w14:paraId="6595E5FF" w14:textId="77777777" w:rsidR="00141B97" w:rsidRDefault="00911D63">
            <w:pPr>
              <w:pStyle w:val="TableParagraph"/>
              <w:spacing w:before="1" w:line="175" w:lineRule="exact"/>
              <w:ind w:right="217"/>
              <w:jc w:val="right"/>
              <w:rPr>
                <w:sz w:val="16"/>
              </w:rPr>
            </w:pPr>
            <w:r>
              <w:rPr>
                <w:spacing w:val="-5"/>
                <w:sz w:val="16"/>
              </w:rPr>
              <w:t>1.7</w:t>
            </w:r>
          </w:p>
        </w:tc>
        <w:tc>
          <w:tcPr>
            <w:tcW w:w="690" w:type="dxa"/>
            <w:shd w:val="clear" w:color="auto" w:fill="CCE2ED"/>
          </w:tcPr>
          <w:p w14:paraId="42A544EC" w14:textId="77777777" w:rsidR="00141B97" w:rsidRDefault="00911D63">
            <w:pPr>
              <w:pStyle w:val="TableParagraph"/>
              <w:spacing w:before="1" w:line="175" w:lineRule="exact"/>
              <w:ind w:left="101" w:right="101"/>
              <w:jc w:val="center"/>
              <w:rPr>
                <w:sz w:val="16"/>
              </w:rPr>
            </w:pPr>
            <w:r>
              <w:rPr>
                <w:spacing w:val="-5"/>
                <w:sz w:val="16"/>
              </w:rPr>
              <w:t>1.7</w:t>
            </w:r>
          </w:p>
        </w:tc>
        <w:tc>
          <w:tcPr>
            <w:tcW w:w="656" w:type="dxa"/>
            <w:shd w:val="clear" w:color="auto" w:fill="CCE2ED"/>
          </w:tcPr>
          <w:p w14:paraId="5951F10B" w14:textId="77777777" w:rsidR="00141B97" w:rsidRDefault="00911D63">
            <w:pPr>
              <w:pStyle w:val="TableParagraph"/>
              <w:spacing w:before="1" w:line="175" w:lineRule="exact"/>
              <w:ind w:left="111" w:right="111"/>
              <w:jc w:val="center"/>
              <w:rPr>
                <w:sz w:val="16"/>
              </w:rPr>
            </w:pPr>
            <w:r>
              <w:rPr>
                <w:spacing w:val="-5"/>
                <w:sz w:val="16"/>
              </w:rPr>
              <w:t>2.1</w:t>
            </w:r>
          </w:p>
        </w:tc>
        <w:tc>
          <w:tcPr>
            <w:tcW w:w="690" w:type="dxa"/>
            <w:shd w:val="clear" w:color="auto" w:fill="CCE2ED"/>
          </w:tcPr>
          <w:p w14:paraId="37990EA2" w14:textId="77777777" w:rsidR="00141B97" w:rsidRDefault="00911D63">
            <w:pPr>
              <w:pStyle w:val="TableParagraph"/>
              <w:spacing w:before="1" w:line="175" w:lineRule="exact"/>
              <w:ind w:left="100" w:right="101"/>
              <w:jc w:val="center"/>
              <w:rPr>
                <w:sz w:val="16"/>
              </w:rPr>
            </w:pPr>
            <w:r>
              <w:rPr>
                <w:spacing w:val="-5"/>
                <w:sz w:val="16"/>
              </w:rPr>
              <w:t>1.7</w:t>
            </w:r>
          </w:p>
        </w:tc>
        <w:tc>
          <w:tcPr>
            <w:tcW w:w="656" w:type="dxa"/>
            <w:shd w:val="clear" w:color="auto" w:fill="CCE2ED"/>
          </w:tcPr>
          <w:p w14:paraId="05D33C50" w14:textId="77777777" w:rsidR="00141B97" w:rsidRDefault="00911D63">
            <w:pPr>
              <w:pStyle w:val="TableParagraph"/>
              <w:spacing w:before="1" w:line="175" w:lineRule="exact"/>
              <w:ind w:left="217"/>
              <w:rPr>
                <w:sz w:val="16"/>
              </w:rPr>
            </w:pPr>
            <w:r>
              <w:rPr>
                <w:spacing w:val="-5"/>
                <w:sz w:val="16"/>
              </w:rPr>
              <w:t>2.6</w:t>
            </w:r>
          </w:p>
        </w:tc>
        <w:tc>
          <w:tcPr>
            <w:tcW w:w="691" w:type="dxa"/>
            <w:shd w:val="clear" w:color="auto" w:fill="CCE2ED"/>
          </w:tcPr>
          <w:p w14:paraId="13BD8C47" w14:textId="77777777" w:rsidR="00141B97" w:rsidRDefault="00911D63">
            <w:pPr>
              <w:pStyle w:val="TableParagraph"/>
              <w:spacing w:before="1" w:line="175" w:lineRule="exact"/>
              <w:ind w:left="101" w:right="101"/>
              <w:jc w:val="center"/>
              <w:rPr>
                <w:sz w:val="16"/>
              </w:rPr>
            </w:pPr>
            <w:r>
              <w:rPr>
                <w:spacing w:val="-5"/>
                <w:sz w:val="16"/>
              </w:rPr>
              <w:t>6.8</w:t>
            </w:r>
          </w:p>
        </w:tc>
        <w:tc>
          <w:tcPr>
            <w:tcW w:w="657" w:type="dxa"/>
            <w:shd w:val="clear" w:color="auto" w:fill="CCE2ED"/>
          </w:tcPr>
          <w:p w14:paraId="69BB30A5" w14:textId="77777777" w:rsidR="00141B97" w:rsidRDefault="00911D63">
            <w:pPr>
              <w:pStyle w:val="TableParagraph"/>
              <w:spacing w:before="1" w:line="175" w:lineRule="exact"/>
              <w:ind w:left="215" w:right="214"/>
              <w:jc w:val="center"/>
              <w:rPr>
                <w:sz w:val="16"/>
              </w:rPr>
            </w:pPr>
            <w:r>
              <w:rPr>
                <w:spacing w:val="-5"/>
                <w:sz w:val="16"/>
              </w:rPr>
              <w:t>8.0</w:t>
            </w:r>
          </w:p>
        </w:tc>
        <w:tc>
          <w:tcPr>
            <w:tcW w:w="574" w:type="dxa"/>
            <w:shd w:val="clear" w:color="auto" w:fill="CCE2ED"/>
          </w:tcPr>
          <w:p w14:paraId="4D461444" w14:textId="77777777" w:rsidR="00141B97" w:rsidRDefault="00911D63">
            <w:pPr>
              <w:pStyle w:val="TableParagraph"/>
              <w:spacing w:before="1" w:line="175" w:lineRule="exact"/>
              <w:ind w:left="167" w:right="166"/>
              <w:jc w:val="center"/>
              <w:rPr>
                <w:sz w:val="16"/>
              </w:rPr>
            </w:pPr>
            <w:r>
              <w:rPr>
                <w:spacing w:val="-5"/>
                <w:sz w:val="16"/>
              </w:rPr>
              <w:t>1.2</w:t>
            </w:r>
          </w:p>
        </w:tc>
        <w:tc>
          <w:tcPr>
            <w:tcW w:w="490" w:type="dxa"/>
            <w:tcBorders>
              <w:right w:val="nil"/>
            </w:tcBorders>
            <w:shd w:val="clear" w:color="auto" w:fill="CCE2ED"/>
          </w:tcPr>
          <w:p w14:paraId="148444E1" w14:textId="77777777" w:rsidR="00141B97" w:rsidRDefault="00911D63">
            <w:pPr>
              <w:pStyle w:val="TableParagraph"/>
              <w:spacing w:before="1" w:line="175" w:lineRule="exact"/>
              <w:ind w:left="101"/>
              <w:rPr>
                <w:sz w:val="16"/>
              </w:rPr>
            </w:pPr>
            <w:r>
              <w:rPr>
                <w:spacing w:val="-4"/>
                <w:sz w:val="16"/>
              </w:rPr>
              <w:t>18.0</w:t>
            </w:r>
          </w:p>
        </w:tc>
      </w:tr>
      <w:tr w:rsidR="00141B97" w14:paraId="62B5F82D" w14:textId="77777777">
        <w:trPr>
          <w:trHeight w:val="194"/>
          <w:tblCellSpacing w:w="9" w:type="dxa"/>
        </w:trPr>
        <w:tc>
          <w:tcPr>
            <w:tcW w:w="1781" w:type="dxa"/>
            <w:tcBorders>
              <w:left w:val="nil"/>
            </w:tcBorders>
            <w:shd w:val="clear" w:color="auto" w:fill="CCE2ED"/>
          </w:tcPr>
          <w:p w14:paraId="5EEC7B1D" w14:textId="77777777" w:rsidR="00141B97" w:rsidRDefault="00911D63">
            <w:pPr>
              <w:pStyle w:val="TableParagraph"/>
              <w:spacing w:line="175" w:lineRule="exact"/>
              <w:ind w:left="88"/>
              <w:rPr>
                <w:sz w:val="16"/>
              </w:rPr>
            </w:pPr>
            <w:r>
              <w:rPr>
                <w:spacing w:val="-2"/>
                <w:sz w:val="16"/>
              </w:rPr>
              <w:t>Chemicals</w:t>
            </w:r>
          </w:p>
        </w:tc>
        <w:tc>
          <w:tcPr>
            <w:tcW w:w="700" w:type="dxa"/>
            <w:shd w:val="clear" w:color="auto" w:fill="CCE2ED"/>
          </w:tcPr>
          <w:p w14:paraId="313BF229" w14:textId="77777777" w:rsidR="00141B97" w:rsidRDefault="00911D63">
            <w:pPr>
              <w:pStyle w:val="TableParagraph"/>
              <w:spacing w:line="175" w:lineRule="exact"/>
              <w:ind w:left="106" w:right="106"/>
              <w:jc w:val="center"/>
              <w:rPr>
                <w:sz w:val="16"/>
              </w:rPr>
            </w:pPr>
            <w:r>
              <w:rPr>
                <w:spacing w:val="-5"/>
                <w:sz w:val="16"/>
              </w:rPr>
              <w:t>1.1</w:t>
            </w:r>
          </w:p>
        </w:tc>
        <w:tc>
          <w:tcPr>
            <w:tcW w:w="666" w:type="dxa"/>
            <w:shd w:val="clear" w:color="auto" w:fill="CCE2ED"/>
          </w:tcPr>
          <w:p w14:paraId="63C5D493" w14:textId="77777777" w:rsidR="00141B97" w:rsidRDefault="00911D63">
            <w:pPr>
              <w:pStyle w:val="TableParagraph"/>
              <w:spacing w:line="175" w:lineRule="exact"/>
              <w:ind w:left="116" w:right="117"/>
              <w:jc w:val="center"/>
              <w:rPr>
                <w:sz w:val="16"/>
              </w:rPr>
            </w:pPr>
            <w:r>
              <w:rPr>
                <w:spacing w:val="-5"/>
                <w:sz w:val="16"/>
              </w:rPr>
              <w:t>1.2</w:t>
            </w:r>
          </w:p>
        </w:tc>
        <w:tc>
          <w:tcPr>
            <w:tcW w:w="690" w:type="dxa"/>
            <w:shd w:val="clear" w:color="auto" w:fill="CCE2ED"/>
          </w:tcPr>
          <w:p w14:paraId="377908C2" w14:textId="77777777" w:rsidR="00141B97" w:rsidRDefault="00911D63">
            <w:pPr>
              <w:pStyle w:val="TableParagraph"/>
              <w:spacing w:line="175" w:lineRule="exact"/>
              <w:ind w:left="98" w:right="101"/>
              <w:jc w:val="center"/>
              <w:rPr>
                <w:sz w:val="16"/>
              </w:rPr>
            </w:pPr>
            <w:r>
              <w:rPr>
                <w:spacing w:val="-5"/>
                <w:sz w:val="16"/>
              </w:rPr>
              <w:t>1.1</w:t>
            </w:r>
          </w:p>
        </w:tc>
        <w:tc>
          <w:tcPr>
            <w:tcW w:w="655" w:type="dxa"/>
            <w:shd w:val="clear" w:color="auto" w:fill="CCE2ED"/>
          </w:tcPr>
          <w:p w14:paraId="3951CFE5" w14:textId="77777777" w:rsidR="00141B97" w:rsidRDefault="00911D63">
            <w:pPr>
              <w:pStyle w:val="TableParagraph"/>
              <w:spacing w:line="175" w:lineRule="exact"/>
              <w:ind w:right="217"/>
              <w:jc w:val="right"/>
              <w:rPr>
                <w:sz w:val="16"/>
              </w:rPr>
            </w:pPr>
            <w:r>
              <w:rPr>
                <w:spacing w:val="-5"/>
                <w:sz w:val="16"/>
              </w:rPr>
              <w:t>1.4</w:t>
            </w:r>
          </w:p>
        </w:tc>
        <w:tc>
          <w:tcPr>
            <w:tcW w:w="690" w:type="dxa"/>
            <w:shd w:val="clear" w:color="auto" w:fill="CCE2ED"/>
          </w:tcPr>
          <w:p w14:paraId="12A160BB" w14:textId="77777777" w:rsidR="00141B97" w:rsidRDefault="00911D63">
            <w:pPr>
              <w:pStyle w:val="TableParagraph"/>
              <w:spacing w:line="175" w:lineRule="exact"/>
              <w:ind w:left="101" w:right="101"/>
              <w:jc w:val="center"/>
              <w:rPr>
                <w:sz w:val="16"/>
              </w:rPr>
            </w:pPr>
            <w:r>
              <w:rPr>
                <w:spacing w:val="-5"/>
                <w:sz w:val="16"/>
              </w:rPr>
              <w:t>1.1</w:t>
            </w:r>
          </w:p>
        </w:tc>
        <w:tc>
          <w:tcPr>
            <w:tcW w:w="656" w:type="dxa"/>
            <w:shd w:val="clear" w:color="auto" w:fill="CCE2ED"/>
          </w:tcPr>
          <w:p w14:paraId="5408A5EC" w14:textId="77777777" w:rsidR="00141B97" w:rsidRDefault="00911D63">
            <w:pPr>
              <w:pStyle w:val="TableParagraph"/>
              <w:spacing w:line="175" w:lineRule="exact"/>
              <w:ind w:left="111" w:right="111"/>
              <w:jc w:val="center"/>
              <w:rPr>
                <w:sz w:val="16"/>
              </w:rPr>
            </w:pPr>
            <w:r>
              <w:rPr>
                <w:spacing w:val="-5"/>
                <w:sz w:val="16"/>
              </w:rPr>
              <w:t>1.5</w:t>
            </w:r>
          </w:p>
        </w:tc>
        <w:tc>
          <w:tcPr>
            <w:tcW w:w="690" w:type="dxa"/>
            <w:shd w:val="clear" w:color="auto" w:fill="CCE2ED"/>
          </w:tcPr>
          <w:p w14:paraId="6AD22D37" w14:textId="77777777" w:rsidR="00141B97" w:rsidRDefault="00911D63">
            <w:pPr>
              <w:pStyle w:val="TableParagraph"/>
              <w:spacing w:line="175" w:lineRule="exact"/>
              <w:ind w:left="100" w:right="101"/>
              <w:jc w:val="center"/>
              <w:rPr>
                <w:sz w:val="16"/>
              </w:rPr>
            </w:pPr>
            <w:r>
              <w:rPr>
                <w:spacing w:val="-5"/>
                <w:sz w:val="16"/>
              </w:rPr>
              <w:t>1.1</w:t>
            </w:r>
          </w:p>
        </w:tc>
        <w:tc>
          <w:tcPr>
            <w:tcW w:w="656" w:type="dxa"/>
            <w:shd w:val="clear" w:color="auto" w:fill="CCE2ED"/>
          </w:tcPr>
          <w:p w14:paraId="1C1D990F" w14:textId="77777777" w:rsidR="00141B97" w:rsidRDefault="00911D63">
            <w:pPr>
              <w:pStyle w:val="TableParagraph"/>
              <w:spacing w:line="175" w:lineRule="exact"/>
              <w:ind w:left="217"/>
              <w:rPr>
                <w:sz w:val="16"/>
              </w:rPr>
            </w:pPr>
            <w:r>
              <w:rPr>
                <w:spacing w:val="-5"/>
                <w:sz w:val="16"/>
              </w:rPr>
              <w:t>1.5</w:t>
            </w:r>
          </w:p>
        </w:tc>
        <w:tc>
          <w:tcPr>
            <w:tcW w:w="691" w:type="dxa"/>
            <w:shd w:val="clear" w:color="auto" w:fill="CCE2ED"/>
          </w:tcPr>
          <w:p w14:paraId="36859484" w14:textId="77777777" w:rsidR="00141B97" w:rsidRDefault="00911D63">
            <w:pPr>
              <w:pStyle w:val="TableParagraph"/>
              <w:spacing w:line="175" w:lineRule="exact"/>
              <w:ind w:left="101" w:right="101"/>
              <w:jc w:val="center"/>
              <w:rPr>
                <w:sz w:val="16"/>
              </w:rPr>
            </w:pPr>
            <w:r>
              <w:rPr>
                <w:spacing w:val="-5"/>
                <w:sz w:val="16"/>
              </w:rPr>
              <w:t>4.3</w:t>
            </w:r>
          </w:p>
        </w:tc>
        <w:tc>
          <w:tcPr>
            <w:tcW w:w="657" w:type="dxa"/>
            <w:shd w:val="clear" w:color="auto" w:fill="CCE2ED"/>
          </w:tcPr>
          <w:p w14:paraId="3D9F4B0B" w14:textId="77777777" w:rsidR="00141B97" w:rsidRDefault="00911D63">
            <w:pPr>
              <w:pStyle w:val="TableParagraph"/>
              <w:spacing w:line="175" w:lineRule="exact"/>
              <w:ind w:left="215" w:right="214"/>
              <w:jc w:val="center"/>
              <w:rPr>
                <w:sz w:val="16"/>
              </w:rPr>
            </w:pPr>
            <w:r>
              <w:rPr>
                <w:spacing w:val="-5"/>
                <w:sz w:val="16"/>
              </w:rPr>
              <w:t>5.6</w:t>
            </w:r>
          </w:p>
        </w:tc>
        <w:tc>
          <w:tcPr>
            <w:tcW w:w="574" w:type="dxa"/>
            <w:shd w:val="clear" w:color="auto" w:fill="CCE2ED"/>
          </w:tcPr>
          <w:p w14:paraId="230EBC97" w14:textId="77777777" w:rsidR="00141B97" w:rsidRDefault="00911D63">
            <w:pPr>
              <w:pStyle w:val="TableParagraph"/>
              <w:spacing w:line="175" w:lineRule="exact"/>
              <w:ind w:left="167" w:right="166"/>
              <w:jc w:val="center"/>
              <w:rPr>
                <w:sz w:val="16"/>
              </w:rPr>
            </w:pPr>
            <w:r>
              <w:rPr>
                <w:spacing w:val="-5"/>
                <w:sz w:val="16"/>
              </w:rPr>
              <w:t>1.3</w:t>
            </w:r>
          </w:p>
        </w:tc>
        <w:tc>
          <w:tcPr>
            <w:tcW w:w="490" w:type="dxa"/>
            <w:tcBorders>
              <w:right w:val="nil"/>
            </w:tcBorders>
            <w:shd w:val="clear" w:color="auto" w:fill="CCE2ED"/>
          </w:tcPr>
          <w:p w14:paraId="0765AD4C" w14:textId="77777777" w:rsidR="00141B97" w:rsidRDefault="00911D63">
            <w:pPr>
              <w:pStyle w:val="TableParagraph"/>
              <w:spacing w:line="175" w:lineRule="exact"/>
              <w:ind w:left="101"/>
              <w:rPr>
                <w:sz w:val="16"/>
              </w:rPr>
            </w:pPr>
            <w:r>
              <w:rPr>
                <w:spacing w:val="-4"/>
                <w:sz w:val="16"/>
              </w:rPr>
              <w:t>31.0</w:t>
            </w:r>
          </w:p>
        </w:tc>
      </w:tr>
      <w:tr w:rsidR="00141B97" w14:paraId="2BC2FAEE" w14:textId="77777777">
        <w:trPr>
          <w:trHeight w:val="194"/>
          <w:tblCellSpacing w:w="9" w:type="dxa"/>
        </w:trPr>
        <w:tc>
          <w:tcPr>
            <w:tcW w:w="1781" w:type="dxa"/>
            <w:tcBorders>
              <w:left w:val="nil"/>
            </w:tcBorders>
            <w:shd w:val="clear" w:color="auto" w:fill="CCE2ED"/>
          </w:tcPr>
          <w:p w14:paraId="79FEBFB2" w14:textId="77777777" w:rsidR="00141B97" w:rsidRDefault="00911D63">
            <w:pPr>
              <w:pStyle w:val="TableParagraph"/>
              <w:spacing w:line="175" w:lineRule="exact"/>
              <w:ind w:left="88"/>
              <w:rPr>
                <w:sz w:val="16"/>
              </w:rPr>
            </w:pPr>
            <w:r>
              <w:rPr>
                <w:spacing w:val="-2"/>
                <w:sz w:val="16"/>
              </w:rPr>
              <w:t>Contractors/Consultants</w:t>
            </w:r>
          </w:p>
        </w:tc>
        <w:tc>
          <w:tcPr>
            <w:tcW w:w="700" w:type="dxa"/>
            <w:shd w:val="clear" w:color="auto" w:fill="CCE2ED"/>
          </w:tcPr>
          <w:p w14:paraId="3D0CF857" w14:textId="77777777" w:rsidR="00141B97" w:rsidRDefault="00911D63">
            <w:pPr>
              <w:pStyle w:val="TableParagraph"/>
              <w:spacing w:line="175" w:lineRule="exact"/>
              <w:ind w:left="106" w:right="106"/>
              <w:jc w:val="center"/>
              <w:rPr>
                <w:sz w:val="16"/>
              </w:rPr>
            </w:pPr>
            <w:r>
              <w:rPr>
                <w:spacing w:val="-5"/>
                <w:sz w:val="16"/>
              </w:rPr>
              <w:t>0.7</w:t>
            </w:r>
          </w:p>
        </w:tc>
        <w:tc>
          <w:tcPr>
            <w:tcW w:w="666" w:type="dxa"/>
            <w:shd w:val="clear" w:color="auto" w:fill="CCE2ED"/>
          </w:tcPr>
          <w:p w14:paraId="359FF201" w14:textId="77777777" w:rsidR="00141B97" w:rsidRDefault="00911D63">
            <w:pPr>
              <w:pStyle w:val="TableParagraph"/>
              <w:spacing w:line="175" w:lineRule="exact"/>
              <w:ind w:left="116" w:right="117"/>
              <w:jc w:val="center"/>
              <w:rPr>
                <w:sz w:val="16"/>
              </w:rPr>
            </w:pPr>
            <w:r>
              <w:rPr>
                <w:spacing w:val="-5"/>
                <w:sz w:val="16"/>
              </w:rPr>
              <w:t>0.9</w:t>
            </w:r>
          </w:p>
        </w:tc>
        <w:tc>
          <w:tcPr>
            <w:tcW w:w="690" w:type="dxa"/>
            <w:shd w:val="clear" w:color="auto" w:fill="CCE2ED"/>
          </w:tcPr>
          <w:p w14:paraId="5413E661" w14:textId="77777777" w:rsidR="00141B97" w:rsidRDefault="00911D63">
            <w:pPr>
              <w:pStyle w:val="TableParagraph"/>
              <w:spacing w:line="175" w:lineRule="exact"/>
              <w:ind w:left="98" w:right="101"/>
              <w:jc w:val="center"/>
              <w:rPr>
                <w:sz w:val="16"/>
              </w:rPr>
            </w:pPr>
            <w:r>
              <w:rPr>
                <w:spacing w:val="-5"/>
                <w:sz w:val="16"/>
              </w:rPr>
              <w:t>0.7</w:t>
            </w:r>
          </w:p>
        </w:tc>
        <w:tc>
          <w:tcPr>
            <w:tcW w:w="655" w:type="dxa"/>
            <w:shd w:val="clear" w:color="auto" w:fill="CCE2ED"/>
          </w:tcPr>
          <w:p w14:paraId="1A7A0529" w14:textId="77777777" w:rsidR="00141B97" w:rsidRDefault="00911D63">
            <w:pPr>
              <w:pStyle w:val="TableParagraph"/>
              <w:spacing w:line="175" w:lineRule="exact"/>
              <w:ind w:right="217"/>
              <w:jc w:val="right"/>
              <w:rPr>
                <w:sz w:val="16"/>
              </w:rPr>
            </w:pPr>
            <w:r>
              <w:rPr>
                <w:spacing w:val="-5"/>
                <w:sz w:val="16"/>
              </w:rPr>
              <w:t>0.6</w:t>
            </w:r>
          </w:p>
        </w:tc>
        <w:tc>
          <w:tcPr>
            <w:tcW w:w="690" w:type="dxa"/>
            <w:shd w:val="clear" w:color="auto" w:fill="CCE2ED"/>
          </w:tcPr>
          <w:p w14:paraId="5624BB47" w14:textId="77777777" w:rsidR="00141B97" w:rsidRDefault="00911D63">
            <w:pPr>
              <w:pStyle w:val="TableParagraph"/>
              <w:spacing w:line="175" w:lineRule="exact"/>
              <w:ind w:left="101" w:right="101"/>
              <w:jc w:val="center"/>
              <w:rPr>
                <w:sz w:val="16"/>
              </w:rPr>
            </w:pPr>
            <w:r>
              <w:rPr>
                <w:spacing w:val="-5"/>
                <w:sz w:val="16"/>
              </w:rPr>
              <w:t>0.8</w:t>
            </w:r>
          </w:p>
        </w:tc>
        <w:tc>
          <w:tcPr>
            <w:tcW w:w="656" w:type="dxa"/>
            <w:shd w:val="clear" w:color="auto" w:fill="CCE2ED"/>
          </w:tcPr>
          <w:p w14:paraId="5A317446" w14:textId="77777777" w:rsidR="00141B97" w:rsidRDefault="00911D63">
            <w:pPr>
              <w:pStyle w:val="TableParagraph"/>
              <w:spacing w:line="175" w:lineRule="exact"/>
              <w:ind w:left="111" w:right="111"/>
              <w:jc w:val="center"/>
              <w:rPr>
                <w:sz w:val="16"/>
              </w:rPr>
            </w:pPr>
            <w:r>
              <w:rPr>
                <w:spacing w:val="-5"/>
                <w:sz w:val="16"/>
              </w:rPr>
              <w:t>0.9</w:t>
            </w:r>
          </w:p>
        </w:tc>
        <w:tc>
          <w:tcPr>
            <w:tcW w:w="690" w:type="dxa"/>
            <w:shd w:val="clear" w:color="auto" w:fill="CCE2ED"/>
          </w:tcPr>
          <w:p w14:paraId="36468755" w14:textId="77777777" w:rsidR="00141B97" w:rsidRDefault="00911D63">
            <w:pPr>
              <w:pStyle w:val="TableParagraph"/>
              <w:spacing w:line="175" w:lineRule="exact"/>
              <w:ind w:left="100" w:right="101"/>
              <w:jc w:val="center"/>
              <w:rPr>
                <w:sz w:val="16"/>
              </w:rPr>
            </w:pPr>
            <w:r>
              <w:rPr>
                <w:spacing w:val="-5"/>
                <w:sz w:val="16"/>
              </w:rPr>
              <w:t>1.6</w:t>
            </w:r>
          </w:p>
        </w:tc>
        <w:tc>
          <w:tcPr>
            <w:tcW w:w="656" w:type="dxa"/>
            <w:shd w:val="clear" w:color="auto" w:fill="CCE2ED"/>
          </w:tcPr>
          <w:p w14:paraId="4AC2A2EB" w14:textId="77777777" w:rsidR="00141B97" w:rsidRDefault="00911D63">
            <w:pPr>
              <w:pStyle w:val="TableParagraph"/>
              <w:spacing w:line="175" w:lineRule="exact"/>
              <w:ind w:left="217"/>
              <w:rPr>
                <w:sz w:val="16"/>
              </w:rPr>
            </w:pPr>
            <w:r>
              <w:rPr>
                <w:spacing w:val="-5"/>
                <w:sz w:val="16"/>
              </w:rPr>
              <w:t>2.8</w:t>
            </w:r>
          </w:p>
        </w:tc>
        <w:tc>
          <w:tcPr>
            <w:tcW w:w="691" w:type="dxa"/>
            <w:shd w:val="clear" w:color="auto" w:fill="CCE2ED"/>
          </w:tcPr>
          <w:p w14:paraId="27F0DF73" w14:textId="77777777" w:rsidR="00141B97" w:rsidRDefault="00911D63">
            <w:pPr>
              <w:pStyle w:val="TableParagraph"/>
              <w:spacing w:line="175" w:lineRule="exact"/>
              <w:ind w:left="101" w:right="101"/>
              <w:jc w:val="center"/>
              <w:rPr>
                <w:sz w:val="16"/>
              </w:rPr>
            </w:pPr>
            <w:r>
              <w:rPr>
                <w:spacing w:val="-5"/>
                <w:sz w:val="16"/>
              </w:rPr>
              <w:t>2.8</w:t>
            </w:r>
          </w:p>
        </w:tc>
        <w:tc>
          <w:tcPr>
            <w:tcW w:w="657" w:type="dxa"/>
            <w:shd w:val="clear" w:color="auto" w:fill="CCE2ED"/>
          </w:tcPr>
          <w:p w14:paraId="5EB8FC97" w14:textId="77777777" w:rsidR="00141B97" w:rsidRDefault="00911D63">
            <w:pPr>
              <w:pStyle w:val="TableParagraph"/>
              <w:spacing w:line="175" w:lineRule="exact"/>
              <w:ind w:left="215" w:right="214"/>
              <w:jc w:val="center"/>
              <w:rPr>
                <w:sz w:val="16"/>
              </w:rPr>
            </w:pPr>
            <w:r>
              <w:rPr>
                <w:spacing w:val="-5"/>
                <w:sz w:val="16"/>
              </w:rPr>
              <w:t>4.2</w:t>
            </w:r>
          </w:p>
        </w:tc>
        <w:tc>
          <w:tcPr>
            <w:tcW w:w="574" w:type="dxa"/>
            <w:shd w:val="clear" w:color="auto" w:fill="CCE2ED"/>
          </w:tcPr>
          <w:p w14:paraId="79BF276F" w14:textId="77777777" w:rsidR="00141B97" w:rsidRDefault="00911D63">
            <w:pPr>
              <w:pStyle w:val="TableParagraph"/>
              <w:spacing w:line="175" w:lineRule="exact"/>
              <w:ind w:left="167" w:right="166"/>
              <w:jc w:val="center"/>
              <w:rPr>
                <w:sz w:val="16"/>
              </w:rPr>
            </w:pPr>
            <w:r>
              <w:rPr>
                <w:spacing w:val="-5"/>
                <w:sz w:val="16"/>
              </w:rPr>
              <w:t>1.4</w:t>
            </w:r>
          </w:p>
        </w:tc>
        <w:tc>
          <w:tcPr>
            <w:tcW w:w="490" w:type="dxa"/>
            <w:tcBorders>
              <w:right w:val="nil"/>
            </w:tcBorders>
            <w:shd w:val="clear" w:color="auto" w:fill="CCE2ED"/>
          </w:tcPr>
          <w:p w14:paraId="3558D3D2" w14:textId="77777777" w:rsidR="00141B97" w:rsidRDefault="00911D63">
            <w:pPr>
              <w:pStyle w:val="TableParagraph"/>
              <w:spacing w:line="175" w:lineRule="exact"/>
              <w:ind w:left="101"/>
              <w:rPr>
                <w:sz w:val="16"/>
              </w:rPr>
            </w:pPr>
            <w:r>
              <w:rPr>
                <w:spacing w:val="-4"/>
                <w:sz w:val="16"/>
              </w:rPr>
              <w:t>49.6</w:t>
            </w:r>
          </w:p>
        </w:tc>
      </w:tr>
      <w:tr w:rsidR="00141B97" w14:paraId="6829E3AA" w14:textId="77777777">
        <w:trPr>
          <w:trHeight w:val="196"/>
          <w:tblCellSpacing w:w="9" w:type="dxa"/>
        </w:trPr>
        <w:tc>
          <w:tcPr>
            <w:tcW w:w="1781" w:type="dxa"/>
            <w:tcBorders>
              <w:left w:val="nil"/>
            </w:tcBorders>
            <w:shd w:val="clear" w:color="auto" w:fill="CCE2ED"/>
          </w:tcPr>
          <w:p w14:paraId="7221358E" w14:textId="77777777" w:rsidR="00141B97" w:rsidRDefault="00911D63">
            <w:pPr>
              <w:pStyle w:val="TableParagraph"/>
              <w:spacing w:before="1" w:line="175" w:lineRule="exact"/>
              <w:ind w:left="88"/>
              <w:rPr>
                <w:sz w:val="16"/>
              </w:rPr>
            </w:pPr>
            <w:r>
              <w:rPr>
                <w:spacing w:val="-2"/>
                <w:sz w:val="16"/>
              </w:rPr>
              <w:t>Balance</w:t>
            </w:r>
          </w:p>
        </w:tc>
        <w:tc>
          <w:tcPr>
            <w:tcW w:w="700" w:type="dxa"/>
            <w:shd w:val="clear" w:color="auto" w:fill="CCE2ED"/>
          </w:tcPr>
          <w:p w14:paraId="7F107228" w14:textId="77777777" w:rsidR="00141B97" w:rsidRDefault="00911D63">
            <w:pPr>
              <w:pStyle w:val="TableParagraph"/>
              <w:spacing w:before="1" w:line="175" w:lineRule="exact"/>
              <w:ind w:left="106" w:right="106"/>
              <w:jc w:val="center"/>
              <w:rPr>
                <w:sz w:val="16"/>
              </w:rPr>
            </w:pPr>
            <w:r>
              <w:rPr>
                <w:spacing w:val="-5"/>
                <w:sz w:val="16"/>
              </w:rPr>
              <w:t>9.5</w:t>
            </w:r>
          </w:p>
        </w:tc>
        <w:tc>
          <w:tcPr>
            <w:tcW w:w="666" w:type="dxa"/>
            <w:shd w:val="clear" w:color="auto" w:fill="CCE2ED"/>
          </w:tcPr>
          <w:p w14:paraId="34F86630" w14:textId="77777777" w:rsidR="00141B97" w:rsidRDefault="00911D63">
            <w:pPr>
              <w:pStyle w:val="TableParagraph"/>
              <w:spacing w:before="1" w:line="175" w:lineRule="exact"/>
              <w:ind w:left="116" w:right="117"/>
              <w:jc w:val="center"/>
              <w:rPr>
                <w:sz w:val="16"/>
              </w:rPr>
            </w:pPr>
            <w:r>
              <w:rPr>
                <w:spacing w:val="-5"/>
                <w:sz w:val="16"/>
              </w:rPr>
              <w:t>9.6</w:t>
            </w:r>
          </w:p>
        </w:tc>
        <w:tc>
          <w:tcPr>
            <w:tcW w:w="690" w:type="dxa"/>
            <w:shd w:val="clear" w:color="auto" w:fill="CCE2ED"/>
          </w:tcPr>
          <w:p w14:paraId="38750A71" w14:textId="77777777" w:rsidR="00141B97" w:rsidRDefault="00911D63">
            <w:pPr>
              <w:pStyle w:val="TableParagraph"/>
              <w:spacing w:before="1" w:line="175" w:lineRule="exact"/>
              <w:ind w:left="98" w:right="101"/>
              <w:jc w:val="center"/>
              <w:rPr>
                <w:sz w:val="16"/>
              </w:rPr>
            </w:pPr>
            <w:r>
              <w:rPr>
                <w:spacing w:val="-5"/>
                <w:sz w:val="16"/>
              </w:rPr>
              <w:t>8.3</w:t>
            </w:r>
          </w:p>
        </w:tc>
        <w:tc>
          <w:tcPr>
            <w:tcW w:w="655" w:type="dxa"/>
            <w:shd w:val="clear" w:color="auto" w:fill="CCE2ED"/>
          </w:tcPr>
          <w:p w14:paraId="7D1E6411" w14:textId="77777777" w:rsidR="00141B97" w:rsidRDefault="00911D63">
            <w:pPr>
              <w:pStyle w:val="TableParagraph"/>
              <w:spacing w:before="1" w:line="175" w:lineRule="exact"/>
              <w:ind w:right="217"/>
              <w:jc w:val="right"/>
              <w:rPr>
                <w:sz w:val="16"/>
              </w:rPr>
            </w:pPr>
            <w:r>
              <w:rPr>
                <w:spacing w:val="-5"/>
                <w:sz w:val="16"/>
              </w:rPr>
              <w:t>8.8</w:t>
            </w:r>
          </w:p>
        </w:tc>
        <w:tc>
          <w:tcPr>
            <w:tcW w:w="690" w:type="dxa"/>
            <w:shd w:val="clear" w:color="auto" w:fill="CCE2ED"/>
          </w:tcPr>
          <w:p w14:paraId="11F1EA46" w14:textId="77777777" w:rsidR="00141B97" w:rsidRDefault="00911D63">
            <w:pPr>
              <w:pStyle w:val="TableParagraph"/>
              <w:spacing w:before="1" w:line="175" w:lineRule="exact"/>
              <w:ind w:left="101" w:right="101"/>
              <w:jc w:val="center"/>
              <w:rPr>
                <w:sz w:val="16"/>
              </w:rPr>
            </w:pPr>
            <w:r>
              <w:rPr>
                <w:spacing w:val="-5"/>
                <w:sz w:val="16"/>
              </w:rPr>
              <w:t>8.1</w:t>
            </w:r>
          </w:p>
        </w:tc>
        <w:tc>
          <w:tcPr>
            <w:tcW w:w="656" w:type="dxa"/>
            <w:shd w:val="clear" w:color="auto" w:fill="CCE2ED"/>
          </w:tcPr>
          <w:p w14:paraId="08B529EB" w14:textId="77777777" w:rsidR="00141B97" w:rsidRDefault="00911D63">
            <w:pPr>
              <w:pStyle w:val="TableParagraph"/>
              <w:spacing w:before="1" w:line="175" w:lineRule="exact"/>
              <w:ind w:left="111" w:right="111"/>
              <w:jc w:val="center"/>
              <w:rPr>
                <w:sz w:val="16"/>
              </w:rPr>
            </w:pPr>
            <w:r>
              <w:rPr>
                <w:spacing w:val="-5"/>
                <w:sz w:val="16"/>
              </w:rPr>
              <w:t>8.3</w:t>
            </w:r>
          </w:p>
        </w:tc>
        <w:tc>
          <w:tcPr>
            <w:tcW w:w="690" w:type="dxa"/>
            <w:shd w:val="clear" w:color="auto" w:fill="CCE2ED"/>
          </w:tcPr>
          <w:p w14:paraId="2915CF79" w14:textId="77777777" w:rsidR="00141B97" w:rsidRDefault="00911D63">
            <w:pPr>
              <w:pStyle w:val="TableParagraph"/>
              <w:spacing w:before="1" w:line="175" w:lineRule="exact"/>
              <w:ind w:left="100" w:right="101"/>
              <w:jc w:val="center"/>
              <w:rPr>
                <w:sz w:val="16"/>
              </w:rPr>
            </w:pPr>
            <w:r>
              <w:rPr>
                <w:spacing w:val="-5"/>
                <w:sz w:val="16"/>
              </w:rPr>
              <w:t>8.1</w:t>
            </w:r>
          </w:p>
        </w:tc>
        <w:tc>
          <w:tcPr>
            <w:tcW w:w="656" w:type="dxa"/>
            <w:shd w:val="clear" w:color="auto" w:fill="CCE2ED"/>
          </w:tcPr>
          <w:p w14:paraId="44C52A27" w14:textId="77777777" w:rsidR="00141B97" w:rsidRDefault="00911D63">
            <w:pPr>
              <w:pStyle w:val="TableParagraph"/>
              <w:spacing w:before="1" w:line="175" w:lineRule="exact"/>
              <w:ind w:left="217"/>
              <w:rPr>
                <w:sz w:val="16"/>
              </w:rPr>
            </w:pPr>
            <w:r>
              <w:rPr>
                <w:spacing w:val="-5"/>
                <w:sz w:val="16"/>
              </w:rPr>
              <w:t>8.9</w:t>
            </w:r>
          </w:p>
        </w:tc>
        <w:tc>
          <w:tcPr>
            <w:tcW w:w="691" w:type="dxa"/>
            <w:shd w:val="clear" w:color="auto" w:fill="CCE2ED"/>
          </w:tcPr>
          <w:p w14:paraId="5AEEE1CC" w14:textId="77777777" w:rsidR="00141B97" w:rsidRDefault="00911D63">
            <w:pPr>
              <w:pStyle w:val="TableParagraph"/>
              <w:spacing w:before="1" w:line="175" w:lineRule="exact"/>
              <w:ind w:left="101" w:right="101"/>
              <w:jc w:val="center"/>
              <w:rPr>
                <w:sz w:val="16"/>
              </w:rPr>
            </w:pPr>
            <w:r>
              <w:rPr>
                <w:spacing w:val="-4"/>
                <w:sz w:val="16"/>
              </w:rPr>
              <w:t>34.0</w:t>
            </w:r>
          </w:p>
        </w:tc>
        <w:tc>
          <w:tcPr>
            <w:tcW w:w="657" w:type="dxa"/>
            <w:shd w:val="clear" w:color="auto" w:fill="CCE2ED"/>
          </w:tcPr>
          <w:p w14:paraId="195941D4" w14:textId="77777777" w:rsidR="00141B97" w:rsidRDefault="00911D63">
            <w:pPr>
              <w:pStyle w:val="TableParagraph"/>
              <w:spacing w:before="1" w:line="175" w:lineRule="exact"/>
              <w:ind w:left="177"/>
              <w:rPr>
                <w:sz w:val="16"/>
              </w:rPr>
            </w:pPr>
            <w:r>
              <w:rPr>
                <w:spacing w:val="-4"/>
                <w:sz w:val="16"/>
              </w:rPr>
              <w:t>35.6</w:t>
            </w:r>
          </w:p>
        </w:tc>
        <w:tc>
          <w:tcPr>
            <w:tcW w:w="574" w:type="dxa"/>
            <w:shd w:val="clear" w:color="auto" w:fill="CCE2ED"/>
          </w:tcPr>
          <w:p w14:paraId="103F1904" w14:textId="77777777" w:rsidR="00141B97" w:rsidRDefault="00911D63">
            <w:pPr>
              <w:pStyle w:val="TableParagraph"/>
              <w:spacing w:before="1" w:line="175" w:lineRule="exact"/>
              <w:ind w:left="167" w:right="166"/>
              <w:jc w:val="center"/>
              <w:rPr>
                <w:sz w:val="16"/>
              </w:rPr>
            </w:pPr>
            <w:r>
              <w:rPr>
                <w:spacing w:val="-5"/>
                <w:sz w:val="16"/>
              </w:rPr>
              <w:t>1.6</w:t>
            </w:r>
          </w:p>
        </w:tc>
        <w:tc>
          <w:tcPr>
            <w:tcW w:w="490" w:type="dxa"/>
            <w:tcBorders>
              <w:right w:val="nil"/>
            </w:tcBorders>
            <w:shd w:val="clear" w:color="auto" w:fill="CCE2ED"/>
          </w:tcPr>
          <w:p w14:paraId="5FAF6E5E" w14:textId="77777777" w:rsidR="00141B97" w:rsidRDefault="00911D63">
            <w:pPr>
              <w:pStyle w:val="TableParagraph"/>
              <w:spacing w:before="1" w:line="175" w:lineRule="exact"/>
              <w:ind w:left="141"/>
              <w:rPr>
                <w:sz w:val="16"/>
              </w:rPr>
            </w:pPr>
            <w:r>
              <w:rPr>
                <w:spacing w:val="-5"/>
                <w:sz w:val="16"/>
              </w:rPr>
              <w:t>4.7</w:t>
            </w:r>
          </w:p>
        </w:tc>
      </w:tr>
      <w:tr w:rsidR="00141B97" w14:paraId="33D2424A" w14:textId="77777777">
        <w:trPr>
          <w:trHeight w:val="194"/>
          <w:tblCellSpacing w:w="9" w:type="dxa"/>
        </w:trPr>
        <w:tc>
          <w:tcPr>
            <w:tcW w:w="1781" w:type="dxa"/>
            <w:tcBorders>
              <w:left w:val="nil"/>
            </w:tcBorders>
            <w:shd w:val="clear" w:color="auto" w:fill="C0C0C0"/>
          </w:tcPr>
          <w:p w14:paraId="2A0FD098" w14:textId="77777777" w:rsidR="00141B97" w:rsidRDefault="00911D63">
            <w:pPr>
              <w:pStyle w:val="TableParagraph"/>
              <w:spacing w:line="175" w:lineRule="exact"/>
              <w:ind w:left="88"/>
              <w:rPr>
                <w:sz w:val="16"/>
              </w:rPr>
            </w:pPr>
            <w:r>
              <w:rPr>
                <w:sz w:val="16"/>
              </w:rPr>
              <w:t>Total</w:t>
            </w:r>
            <w:r>
              <w:rPr>
                <w:spacing w:val="-8"/>
                <w:sz w:val="16"/>
              </w:rPr>
              <w:t xml:space="preserve"> </w:t>
            </w:r>
            <w:r>
              <w:rPr>
                <w:sz w:val="16"/>
              </w:rPr>
              <w:t>Controllable</w:t>
            </w:r>
            <w:r>
              <w:rPr>
                <w:spacing w:val="-8"/>
                <w:sz w:val="16"/>
              </w:rPr>
              <w:t xml:space="preserve"> </w:t>
            </w:r>
            <w:r>
              <w:rPr>
                <w:spacing w:val="-4"/>
                <w:sz w:val="16"/>
              </w:rPr>
              <w:t>Opex</w:t>
            </w:r>
          </w:p>
        </w:tc>
        <w:tc>
          <w:tcPr>
            <w:tcW w:w="700" w:type="dxa"/>
            <w:shd w:val="clear" w:color="auto" w:fill="C0C0C0"/>
          </w:tcPr>
          <w:p w14:paraId="3BC216E9" w14:textId="77777777" w:rsidR="00141B97" w:rsidRDefault="00911D63">
            <w:pPr>
              <w:pStyle w:val="TableParagraph"/>
              <w:spacing w:line="175" w:lineRule="exact"/>
              <w:ind w:left="105" w:right="106"/>
              <w:jc w:val="center"/>
              <w:rPr>
                <w:sz w:val="16"/>
              </w:rPr>
            </w:pPr>
            <w:r>
              <w:rPr>
                <w:spacing w:val="-4"/>
                <w:sz w:val="16"/>
              </w:rPr>
              <w:t>24.4</w:t>
            </w:r>
          </w:p>
        </w:tc>
        <w:tc>
          <w:tcPr>
            <w:tcW w:w="666" w:type="dxa"/>
            <w:shd w:val="clear" w:color="auto" w:fill="C0C0C0"/>
          </w:tcPr>
          <w:p w14:paraId="1FF5AB42" w14:textId="77777777" w:rsidR="00141B97" w:rsidRDefault="00911D63">
            <w:pPr>
              <w:pStyle w:val="TableParagraph"/>
              <w:spacing w:line="175" w:lineRule="exact"/>
              <w:ind w:left="116" w:right="117"/>
              <w:jc w:val="center"/>
              <w:rPr>
                <w:sz w:val="16"/>
              </w:rPr>
            </w:pPr>
            <w:r>
              <w:rPr>
                <w:spacing w:val="-4"/>
                <w:sz w:val="16"/>
              </w:rPr>
              <w:t>24.6</w:t>
            </w:r>
          </w:p>
        </w:tc>
        <w:tc>
          <w:tcPr>
            <w:tcW w:w="690" w:type="dxa"/>
            <w:shd w:val="clear" w:color="auto" w:fill="C0C0C0"/>
          </w:tcPr>
          <w:p w14:paraId="2EB7C8D0" w14:textId="77777777" w:rsidR="00141B97" w:rsidRDefault="00911D63">
            <w:pPr>
              <w:pStyle w:val="TableParagraph"/>
              <w:spacing w:line="175" w:lineRule="exact"/>
              <w:ind w:left="99" w:right="101"/>
              <w:jc w:val="center"/>
              <w:rPr>
                <w:sz w:val="16"/>
              </w:rPr>
            </w:pPr>
            <w:r>
              <w:rPr>
                <w:spacing w:val="-4"/>
                <w:sz w:val="16"/>
              </w:rPr>
              <w:t>23.2</w:t>
            </w:r>
          </w:p>
        </w:tc>
        <w:tc>
          <w:tcPr>
            <w:tcW w:w="655" w:type="dxa"/>
            <w:shd w:val="clear" w:color="auto" w:fill="C0C0C0"/>
          </w:tcPr>
          <w:p w14:paraId="5B9F9220" w14:textId="77777777" w:rsidR="00141B97" w:rsidRDefault="00911D63">
            <w:pPr>
              <w:pStyle w:val="TableParagraph"/>
              <w:spacing w:line="175" w:lineRule="exact"/>
              <w:ind w:right="175"/>
              <w:jc w:val="right"/>
              <w:rPr>
                <w:sz w:val="16"/>
              </w:rPr>
            </w:pPr>
            <w:r>
              <w:rPr>
                <w:spacing w:val="-4"/>
                <w:sz w:val="16"/>
              </w:rPr>
              <w:t>24.9</w:t>
            </w:r>
          </w:p>
        </w:tc>
        <w:tc>
          <w:tcPr>
            <w:tcW w:w="690" w:type="dxa"/>
            <w:shd w:val="clear" w:color="auto" w:fill="C0C0C0"/>
          </w:tcPr>
          <w:p w14:paraId="13B5C92B" w14:textId="77777777" w:rsidR="00141B97" w:rsidRDefault="00911D63">
            <w:pPr>
              <w:pStyle w:val="TableParagraph"/>
              <w:spacing w:line="175" w:lineRule="exact"/>
              <w:ind w:left="100" w:right="101"/>
              <w:jc w:val="center"/>
              <w:rPr>
                <w:sz w:val="16"/>
              </w:rPr>
            </w:pPr>
            <w:r>
              <w:rPr>
                <w:spacing w:val="-4"/>
                <w:sz w:val="16"/>
              </w:rPr>
              <w:t>22.5</w:t>
            </w:r>
          </w:p>
        </w:tc>
        <w:tc>
          <w:tcPr>
            <w:tcW w:w="656" w:type="dxa"/>
            <w:shd w:val="clear" w:color="auto" w:fill="C0C0C0"/>
          </w:tcPr>
          <w:p w14:paraId="3FF32D8B" w14:textId="77777777" w:rsidR="00141B97" w:rsidRDefault="00911D63">
            <w:pPr>
              <w:pStyle w:val="TableParagraph"/>
              <w:spacing w:line="175" w:lineRule="exact"/>
              <w:ind w:left="110" w:right="111"/>
              <w:jc w:val="center"/>
              <w:rPr>
                <w:sz w:val="16"/>
              </w:rPr>
            </w:pPr>
            <w:r>
              <w:rPr>
                <w:spacing w:val="-4"/>
                <w:sz w:val="16"/>
              </w:rPr>
              <w:t>25.0</w:t>
            </w:r>
          </w:p>
        </w:tc>
        <w:tc>
          <w:tcPr>
            <w:tcW w:w="690" w:type="dxa"/>
            <w:shd w:val="clear" w:color="auto" w:fill="C0C0C0"/>
          </w:tcPr>
          <w:p w14:paraId="6F270CCD" w14:textId="77777777" w:rsidR="00141B97" w:rsidRDefault="00911D63">
            <w:pPr>
              <w:pStyle w:val="TableParagraph"/>
              <w:spacing w:line="175" w:lineRule="exact"/>
              <w:ind w:left="101" w:right="101"/>
              <w:jc w:val="center"/>
              <w:rPr>
                <w:sz w:val="16"/>
              </w:rPr>
            </w:pPr>
            <w:r>
              <w:rPr>
                <w:spacing w:val="-4"/>
                <w:sz w:val="16"/>
              </w:rPr>
              <w:t>22.8</w:t>
            </w:r>
          </w:p>
        </w:tc>
        <w:tc>
          <w:tcPr>
            <w:tcW w:w="656" w:type="dxa"/>
            <w:shd w:val="clear" w:color="auto" w:fill="C0C0C0"/>
          </w:tcPr>
          <w:p w14:paraId="48231679" w14:textId="77777777" w:rsidR="00141B97" w:rsidRDefault="00911D63">
            <w:pPr>
              <w:pStyle w:val="TableParagraph"/>
              <w:spacing w:line="175" w:lineRule="exact"/>
              <w:ind w:left="177"/>
              <w:rPr>
                <w:sz w:val="16"/>
              </w:rPr>
            </w:pPr>
            <w:r>
              <w:rPr>
                <w:spacing w:val="-4"/>
                <w:sz w:val="16"/>
              </w:rPr>
              <w:t>27.0</w:t>
            </w:r>
          </w:p>
        </w:tc>
        <w:tc>
          <w:tcPr>
            <w:tcW w:w="691" w:type="dxa"/>
            <w:shd w:val="clear" w:color="auto" w:fill="C0C0C0"/>
          </w:tcPr>
          <w:p w14:paraId="0521FF7F" w14:textId="77777777" w:rsidR="00141B97" w:rsidRDefault="00911D63">
            <w:pPr>
              <w:pStyle w:val="TableParagraph"/>
              <w:spacing w:line="175" w:lineRule="exact"/>
              <w:ind w:left="102" w:right="101"/>
              <w:jc w:val="center"/>
              <w:rPr>
                <w:sz w:val="16"/>
              </w:rPr>
            </w:pPr>
            <w:r>
              <w:rPr>
                <w:spacing w:val="-4"/>
                <w:sz w:val="16"/>
              </w:rPr>
              <w:t>92.9</w:t>
            </w:r>
          </w:p>
        </w:tc>
        <w:tc>
          <w:tcPr>
            <w:tcW w:w="657" w:type="dxa"/>
            <w:shd w:val="clear" w:color="auto" w:fill="C0C0C0"/>
          </w:tcPr>
          <w:p w14:paraId="04534EF5" w14:textId="77777777" w:rsidR="00141B97" w:rsidRDefault="00911D63">
            <w:pPr>
              <w:pStyle w:val="TableParagraph"/>
              <w:spacing w:line="175" w:lineRule="exact"/>
              <w:ind w:right="133"/>
              <w:jc w:val="right"/>
              <w:rPr>
                <w:sz w:val="16"/>
              </w:rPr>
            </w:pPr>
            <w:r>
              <w:rPr>
                <w:spacing w:val="-2"/>
                <w:sz w:val="16"/>
              </w:rPr>
              <w:t>101.4</w:t>
            </w:r>
          </w:p>
        </w:tc>
        <w:tc>
          <w:tcPr>
            <w:tcW w:w="574" w:type="dxa"/>
            <w:shd w:val="clear" w:color="auto" w:fill="C0C0C0"/>
          </w:tcPr>
          <w:p w14:paraId="0B08B9BD" w14:textId="77777777" w:rsidR="00141B97" w:rsidRDefault="00911D63">
            <w:pPr>
              <w:pStyle w:val="TableParagraph"/>
              <w:spacing w:line="175" w:lineRule="exact"/>
              <w:ind w:left="168" w:right="166"/>
              <w:jc w:val="center"/>
              <w:rPr>
                <w:sz w:val="16"/>
              </w:rPr>
            </w:pPr>
            <w:r>
              <w:rPr>
                <w:spacing w:val="-5"/>
                <w:sz w:val="16"/>
              </w:rPr>
              <w:t>8.5</w:t>
            </w:r>
          </w:p>
        </w:tc>
        <w:tc>
          <w:tcPr>
            <w:tcW w:w="490" w:type="dxa"/>
            <w:tcBorders>
              <w:right w:val="nil"/>
            </w:tcBorders>
            <w:shd w:val="clear" w:color="auto" w:fill="C0C0C0"/>
          </w:tcPr>
          <w:p w14:paraId="68CA4BFE" w14:textId="77777777" w:rsidR="00141B97" w:rsidRDefault="00911D63">
            <w:pPr>
              <w:pStyle w:val="TableParagraph"/>
              <w:spacing w:line="175" w:lineRule="exact"/>
              <w:ind w:left="141"/>
              <w:rPr>
                <w:sz w:val="16"/>
              </w:rPr>
            </w:pPr>
            <w:r>
              <w:rPr>
                <w:spacing w:val="-5"/>
                <w:sz w:val="16"/>
              </w:rPr>
              <w:t>9.2</w:t>
            </w:r>
          </w:p>
        </w:tc>
      </w:tr>
      <w:tr w:rsidR="00141B97" w14:paraId="7CD3C966" w14:textId="77777777">
        <w:trPr>
          <w:trHeight w:val="196"/>
          <w:tblCellSpacing w:w="9" w:type="dxa"/>
        </w:trPr>
        <w:tc>
          <w:tcPr>
            <w:tcW w:w="1781" w:type="dxa"/>
            <w:tcBorders>
              <w:left w:val="nil"/>
              <w:bottom w:val="nil"/>
            </w:tcBorders>
            <w:shd w:val="clear" w:color="auto" w:fill="C0C0C0"/>
          </w:tcPr>
          <w:p w14:paraId="2445E3C1" w14:textId="77777777" w:rsidR="00141B97" w:rsidRDefault="00911D63">
            <w:pPr>
              <w:pStyle w:val="TableParagraph"/>
              <w:spacing w:before="1" w:line="176" w:lineRule="exact"/>
              <w:ind w:left="88"/>
              <w:rPr>
                <w:sz w:val="16"/>
              </w:rPr>
            </w:pPr>
            <w:r>
              <w:rPr>
                <w:spacing w:val="-2"/>
                <w:sz w:val="16"/>
              </w:rPr>
              <w:t>Variance</w:t>
            </w:r>
          </w:p>
        </w:tc>
        <w:tc>
          <w:tcPr>
            <w:tcW w:w="700" w:type="dxa"/>
            <w:tcBorders>
              <w:bottom w:val="nil"/>
            </w:tcBorders>
            <w:shd w:val="clear" w:color="auto" w:fill="C0C0C0"/>
          </w:tcPr>
          <w:p w14:paraId="283F38E8" w14:textId="77777777" w:rsidR="00141B97" w:rsidRDefault="00141B97">
            <w:pPr>
              <w:pStyle w:val="TableParagraph"/>
              <w:rPr>
                <w:rFonts w:ascii="Times New Roman"/>
                <w:sz w:val="12"/>
              </w:rPr>
            </w:pPr>
          </w:p>
        </w:tc>
        <w:tc>
          <w:tcPr>
            <w:tcW w:w="666" w:type="dxa"/>
            <w:tcBorders>
              <w:bottom w:val="nil"/>
            </w:tcBorders>
            <w:shd w:val="clear" w:color="auto" w:fill="C0C0C0"/>
          </w:tcPr>
          <w:p w14:paraId="1C76F54C" w14:textId="77777777" w:rsidR="00141B97" w:rsidRDefault="00911D63">
            <w:pPr>
              <w:pStyle w:val="TableParagraph"/>
              <w:spacing w:before="1" w:line="176" w:lineRule="exact"/>
              <w:ind w:left="116" w:right="117"/>
              <w:jc w:val="center"/>
              <w:rPr>
                <w:sz w:val="16"/>
              </w:rPr>
            </w:pPr>
            <w:r>
              <w:rPr>
                <w:spacing w:val="-5"/>
                <w:sz w:val="16"/>
              </w:rPr>
              <w:t>0.1</w:t>
            </w:r>
          </w:p>
        </w:tc>
        <w:tc>
          <w:tcPr>
            <w:tcW w:w="690" w:type="dxa"/>
            <w:tcBorders>
              <w:bottom w:val="nil"/>
            </w:tcBorders>
            <w:shd w:val="clear" w:color="auto" w:fill="C0C0C0"/>
          </w:tcPr>
          <w:p w14:paraId="1AAD365C" w14:textId="77777777" w:rsidR="00141B97" w:rsidRDefault="00141B97">
            <w:pPr>
              <w:pStyle w:val="TableParagraph"/>
              <w:rPr>
                <w:rFonts w:ascii="Times New Roman"/>
                <w:sz w:val="12"/>
              </w:rPr>
            </w:pPr>
          </w:p>
        </w:tc>
        <w:tc>
          <w:tcPr>
            <w:tcW w:w="655" w:type="dxa"/>
            <w:tcBorders>
              <w:bottom w:val="nil"/>
            </w:tcBorders>
            <w:shd w:val="clear" w:color="auto" w:fill="C0C0C0"/>
          </w:tcPr>
          <w:p w14:paraId="020B216C" w14:textId="77777777" w:rsidR="00141B97" w:rsidRDefault="00911D63">
            <w:pPr>
              <w:pStyle w:val="TableParagraph"/>
              <w:spacing w:before="1" w:line="176" w:lineRule="exact"/>
              <w:ind w:right="215"/>
              <w:jc w:val="right"/>
              <w:rPr>
                <w:sz w:val="16"/>
              </w:rPr>
            </w:pPr>
            <w:r>
              <w:rPr>
                <w:spacing w:val="-5"/>
                <w:sz w:val="16"/>
              </w:rPr>
              <w:t>1.7</w:t>
            </w:r>
          </w:p>
        </w:tc>
        <w:tc>
          <w:tcPr>
            <w:tcW w:w="690" w:type="dxa"/>
            <w:tcBorders>
              <w:bottom w:val="nil"/>
            </w:tcBorders>
            <w:shd w:val="clear" w:color="auto" w:fill="C0C0C0"/>
          </w:tcPr>
          <w:p w14:paraId="000DCFFB" w14:textId="77777777" w:rsidR="00141B97" w:rsidRDefault="00141B97">
            <w:pPr>
              <w:pStyle w:val="TableParagraph"/>
              <w:rPr>
                <w:rFonts w:ascii="Times New Roman"/>
                <w:sz w:val="12"/>
              </w:rPr>
            </w:pPr>
          </w:p>
        </w:tc>
        <w:tc>
          <w:tcPr>
            <w:tcW w:w="656" w:type="dxa"/>
            <w:tcBorders>
              <w:bottom w:val="nil"/>
            </w:tcBorders>
            <w:shd w:val="clear" w:color="auto" w:fill="C0C0C0"/>
          </w:tcPr>
          <w:p w14:paraId="2CF075F4" w14:textId="77777777" w:rsidR="00141B97" w:rsidRDefault="00911D63">
            <w:pPr>
              <w:pStyle w:val="TableParagraph"/>
              <w:spacing w:before="1" w:line="176" w:lineRule="exact"/>
              <w:ind w:left="110" w:right="111"/>
              <w:jc w:val="center"/>
              <w:rPr>
                <w:sz w:val="16"/>
              </w:rPr>
            </w:pPr>
            <w:r>
              <w:rPr>
                <w:spacing w:val="-5"/>
                <w:sz w:val="16"/>
              </w:rPr>
              <w:t>2.5</w:t>
            </w:r>
          </w:p>
        </w:tc>
        <w:tc>
          <w:tcPr>
            <w:tcW w:w="690" w:type="dxa"/>
            <w:tcBorders>
              <w:bottom w:val="nil"/>
            </w:tcBorders>
            <w:shd w:val="clear" w:color="auto" w:fill="C0C0C0"/>
          </w:tcPr>
          <w:p w14:paraId="1FE9CABC" w14:textId="77777777" w:rsidR="00141B97" w:rsidRDefault="00141B97">
            <w:pPr>
              <w:pStyle w:val="TableParagraph"/>
              <w:rPr>
                <w:rFonts w:ascii="Times New Roman"/>
                <w:sz w:val="12"/>
              </w:rPr>
            </w:pPr>
          </w:p>
        </w:tc>
        <w:tc>
          <w:tcPr>
            <w:tcW w:w="656" w:type="dxa"/>
            <w:tcBorders>
              <w:bottom w:val="nil"/>
            </w:tcBorders>
            <w:shd w:val="clear" w:color="auto" w:fill="C0C0C0"/>
          </w:tcPr>
          <w:p w14:paraId="67134089" w14:textId="77777777" w:rsidR="00141B97" w:rsidRDefault="00911D63">
            <w:pPr>
              <w:pStyle w:val="TableParagraph"/>
              <w:spacing w:before="1" w:line="176" w:lineRule="exact"/>
              <w:ind w:left="217"/>
              <w:rPr>
                <w:sz w:val="16"/>
              </w:rPr>
            </w:pPr>
            <w:r>
              <w:rPr>
                <w:spacing w:val="-5"/>
                <w:sz w:val="16"/>
              </w:rPr>
              <w:t>4.2</w:t>
            </w:r>
          </w:p>
        </w:tc>
        <w:tc>
          <w:tcPr>
            <w:tcW w:w="691" w:type="dxa"/>
            <w:tcBorders>
              <w:bottom w:val="nil"/>
            </w:tcBorders>
            <w:shd w:val="clear" w:color="auto" w:fill="C0C0C0"/>
          </w:tcPr>
          <w:p w14:paraId="689FACBC" w14:textId="77777777" w:rsidR="00141B97" w:rsidRDefault="00141B97">
            <w:pPr>
              <w:pStyle w:val="TableParagraph"/>
              <w:rPr>
                <w:rFonts w:ascii="Times New Roman"/>
                <w:sz w:val="12"/>
              </w:rPr>
            </w:pPr>
          </w:p>
        </w:tc>
        <w:tc>
          <w:tcPr>
            <w:tcW w:w="657" w:type="dxa"/>
            <w:tcBorders>
              <w:bottom w:val="nil"/>
            </w:tcBorders>
            <w:shd w:val="clear" w:color="auto" w:fill="C0C0C0"/>
          </w:tcPr>
          <w:p w14:paraId="50B28C1A" w14:textId="77777777" w:rsidR="00141B97" w:rsidRDefault="00911D63">
            <w:pPr>
              <w:pStyle w:val="TableParagraph"/>
              <w:spacing w:before="1" w:line="176" w:lineRule="exact"/>
              <w:ind w:left="215" w:right="213"/>
              <w:jc w:val="center"/>
              <w:rPr>
                <w:sz w:val="16"/>
              </w:rPr>
            </w:pPr>
            <w:r>
              <w:rPr>
                <w:spacing w:val="-5"/>
                <w:sz w:val="16"/>
              </w:rPr>
              <w:t>8.5</w:t>
            </w:r>
          </w:p>
        </w:tc>
        <w:tc>
          <w:tcPr>
            <w:tcW w:w="574" w:type="dxa"/>
            <w:tcBorders>
              <w:bottom w:val="nil"/>
            </w:tcBorders>
            <w:shd w:val="clear" w:color="auto" w:fill="C0C0C0"/>
          </w:tcPr>
          <w:p w14:paraId="6CB5992F" w14:textId="77777777" w:rsidR="00141B97" w:rsidRDefault="00141B97">
            <w:pPr>
              <w:pStyle w:val="TableParagraph"/>
              <w:rPr>
                <w:rFonts w:ascii="Times New Roman"/>
                <w:sz w:val="12"/>
              </w:rPr>
            </w:pPr>
          </w:p>
        </w:tc>
        <w:tc>
          <w:tcPr>
            <w:tcW w:w="490" w:type="dxa"/>
            <w:tcBorders>
              <w:bottom w:val="nil"/>
              <w:right w:val="nil"/>
            </w:tcBorders>
            <w:shd w:val="clear" w:color="auto" w:fill="C0C0C0"/>
          </w:tcPr>
          <w:p w14:paraId="0DC294D1" w14:textId="77777777" w:rsidR="00141B97" w:rsidRDefault="00141B97">
            <w:pPr>
              <w:pStyle w:val="TableParagraph"/>
              <w:rPr>
                <w:rFonts w:ascii="Times New Roman"/>
                <w:sz w:val="12"/>
              </w:rPr>
            </w:pPr>
          </w:p>
        </w:tc>
      </w:tr>
    </w:tbl>
    <w:p w14:paraId="63E24617" w14:textId="77777777" w:rsidR="00141B97" w:rsidRDefault="00911D63">
      <w:pPr>
        <w:spacing w:before="25"/>
        <w:ind w:left="114"/>
        <w:jc w:val="both"/>
        <w:rPr>
          <w:sz w:val="16"/>
        </w:rPr>
      </w:pPr>
      <w:r>
        <w:rPr>
          <w:sz w:val="16"/>
        </w:rPr>
        <w:t>Table</w:t>
      </w:r>
      <w:r>
        <w:rPr>
          <w:spacing w:val="-5"/>
          <w:sz w:val="16"/>
        </w:rPr>
        <w:t xml:space="preserve"> </w:t>
      </w:r>
      <w:r>
        <w:rPr>
          <w:sz w:val="16"/>
        </w:rPr>
        <w:t>B6:</w:t>
      </w:r>
      <w:r>
        <w:rPr>
          <w:spacing w:val="-5"/>
          <w:sz w:val="16"/>
        </w:rPr>
        <w:t xml:space="preserve"> </w:t>
      </w:r>
      <w:r>
        <w:rPr>
          <w:sz w:val="16"/>
        </w:rPr>
        <w:t>Controllable</w:t>
      </w:r>
      <w:r>
        <w:rPr>
          <w:spacing w:val="-6"/>
          <w:sz w:val="16"/>
        </w:rPr>
        <w:t xml:space="preserve"> </w:t>
      </w:r>
      <w:r>
        <w:rPr>
          <w:sz w:val="16"/>
        </w:rPr>
        <w:t>Costs</w:t>
      </w:r>
      <w:r>
        <w:rPr>
          <w:spacing w:val="-6"/>
          <w:sz w:val="16"/>
        </w:rPr>
        <w:t xml:space="preserve"> </w:t>
      </w:r>
      <w:r>
        <w:rPr>
          <w:sz w:val="16"/>
        </w:rPr>
        <w:t>($m</w:t>
      </w:r>
      <w:r>
        <w:rPr>
          <w:spacing w:val="-6"/>
          <w:sz w:val="16"/>
        </w:rPr>
        <w:t xml:space="preserve"> </w:t>
      </w:r>
      <w:r>
        <w:rPr>
          <w:spacing w:val="-2"/>
          <w:sz w:val="16"/>
        </w:rPr>
        <w:t>1/1/23)</w:t>
      </w:r>
    </w:p>
    <w:p w14:paraId="7AA7B9E4" w14:textId="77777777" w:rsidR="00141B97" w:rsidRDefault="00141B97">
      <w:pPr>
        <w:pStyle w:val="BodyText"/>
        <w:spacing w:before="8"/>
        <w:rPr>
          <w:sz w:val="20"/>
        </w:rPr>
      </w:pPr>
    </w:p>
    <w:p w14:paraId="0F93625B" w14:textId="77777777" w:rsidR="00141B97" w:rsidRDefault="00911D63">
      <w:pPr>
        <w:pStyle w:val="ListParagraph"/>
        <w:numPr>
          <w:ilvl w:val="2"/>
          <w:numId w:val="81"/>
        </w:numPr>
        <w:tabs>
          <w:tab w:val="left" w:pos="1112"/>
          <w:tab w:val="left" w:pos="1113"/>
        </w:tabs>
        <w:jc w:val="both"/>
      </w:pPr>
      <w:r>
        <w:t>Labour</w:t>
      </w:r>
      <w:r>
        <w:rPr>
          <w:spacing w:val="-6"/>
        </w:rPr>
        <w:t xml:space="preserve"> </w:t>
      </w:r>
      <w:r>
        <w:rPr>
          <w:spacing w:val="-2"/>
        </w:rPr>
        <w:t>Costs</w:t>
      </w:r>
    </w:p>
    <w:p w14:paraId="243100B9" w14:textId="77777777" w:rsidR="00141B97" w:rsidRDefault="00911D63">
      <w:pPr>
        <w:pStyle w:val="BodyText"/>
        <w:spacing w:before="61" w:line="276" w:lineRule="auto"/>
        <w:ind w:left="113" w:right="947"/>
        <w:jc w:val="both"/>
      </w:pPr>
      <w:r>
        <w:t>Labour</w:t>
      </w:r>
      <w:r>
        <w:rPr>
          <w:spacing w:val="-7"/>
        </w:rPr>
        <w:t xml:space="preserve"> </w:t>
      </w:r>
      <w:r>
        <w:t>costs</w:t>
      </w:r>
      <w:r>
        <w:rPr>
          <w:spacing w:val="-6"/>
        </w:rPr>
        <w:t xml:space="preserve"> </w:t>
      </w:r>
      <w:r>
        <w:t>were</w:t>
      </w:r>
      <w:r>
        <w:rPr>
          <w:spacing w:val="-7"/>
        </w:rPr>
        <w:t xml:space="preserve"> </w:t>
      </w:r>
      <w:r>
        <w:t>higher</w:t>
      </w:r>
      <w:r>
        <w:rPr>
          <w:spacing w:val="-7"/>
        </w:rPr>
        <w:t xml:space="preserve"> </w:t>
      </w:r>
      <w:r>
        <w:t>than</w:t>
      </w:r>
      <w:r>
        <w:rPr>
          <w:spacing w:val="-7"/>
        </w:rPr>
        <w:t xml:space="preserve"> </w:t>
      </w:r>
      <w:r>
        <w:t>approved</w:t>
      </w:r>
      <w:r>
        <w:rPr>
          <w:spacing w:val="-7"/>
        </w:rPr>
        <w:t xml:space="preserve"> </w:t>
      </w:r>
      <w:r>
        <w:t>throughout</w:t>
      </w:r>
      <w:r>
        <w:rPr>
          <w:spacing w:val="-7"/>
        </w:rPr>
        <w:t xml:space="preserve"> </w:t>
      </w:r>
      <w:r>
        <w:t>PS4.</w:t>
      </w:r>
      <w:r>
        <w:rPr>
          <w:spacing w:val="-7"/>
        </w:rPr>
        <w:t xml:space="preserve"> </w:t>
      </w:r>
      <w:r>
        <w:t>The</w:t>
      </w:r>
      <w:r>
        <w:rPr>
          <w:spacing w:val="-7"/>
        </w:rPr>
        <w:t xml:space="preserve"> </w:t>
      </w:r>
      <w:r>
        <w:t>PS4</w:t>
      </w:r>
      <w:r>
        <w:rPr>
          <w:spacing w:val="-8"/>
        </w:rPr>
        <w:t xml:space="preserve"> </w:t>
      </w:r>
      <w:r>
        <w:t>submission</w:t>
      </w:r>
      <w:r>
        <w:rPr>
          <w:spacing w:val="-7"/>
        </w:rPr>
        <w:t xml:space="preserve"> </w:t>
      </w:r>
      <w:r>
        <w:t>identified</w:t>
      </w:r>
      <w:r>
        <w:rPr>
          <w:spacing w:val="-7"/>
        </w:rPr>
        <w:t xml:space="preserve"> </w:t>
      </w:r>
      <w:r>
        <w:t>that</w:t>
      </w:r>
      <w:r>
        <w:rPr>
          <w:spacing w:val="-7"/>
        </w:rPr>
        <w:t xml:space="preserve"> </w:t>
      </w:r>
      <w:r>
        <w:t>the</w:t>
      </w:r>
      <w:r>
        <w:rPr>
          <w:spacing w:val="-8"/>
        </w:rPr>
        <w:t xml:space="preserve"> </w:t>
      </w:r>
      <w:r>
        <w:t>key</w:t>
      </w:r>
      <w:r>
        <w:rPr>
          <w:spacing w:val="-7"/>
        </w:rPr>
        <w:t xml:space="preserve"> </w:t>
      </w:r>
      <w:r>
        <w:t>strategy</w:t>
      </w:r>
      <w:r>
        <w:rPr>
          <w:spacing w:val="-8"/>
        </w:rPr>
        <w:t xml:space="preserve"> </w:t>
      </w:r>
      <w:r>
        <w:t>to implement the 1% per annum efficiency improvement was investment in a Business Transformation Program (BTP). Investment in the form of two additional business analyst roles for the first two years was provided to support</w:t>
      </w:r>
      <w:r>
        <w:rPr>
          <w:spacing w:val="-1"/>
        </w:rPr>
        <w:t xml:space="preserve"> </w:t>
      </w:r>
      <w:r>
        <w:t>the</w:t>
      </w:r>
      <w:r>
        <w:rPr>
          <w:spacing w:val="-1"/>
        </w:rPr>
        <w:t xml:space="preserve"> </w:t>
      </w:r>
      <w:r>
        <w:t>capture of these</w:t>
      </w:r>
      <w:r>
        <w:rPr>
          <w:spacing w:val="-1"/>
        </w:rPr>
        <w:t xml:space="preserve"> </w:t>
      </w:r>
      <w:r>
        <w:t>efficiencies.</w:t>
      </w:r>
      <w:r>
        <w:rPr>
          <w:spacing w:val="-1"/>
        </w:rPr>
        <w:t xml:space="preserve"> </w:t>
      </w:r>
      <w:r>
        <w:t>Other labour</w:t>
      </w:r>
      <w:r>
        <w:rPr>
          <w:spacing w:val="-1"/>
        </w:rPr>
        <w:t xml:space="preserve"> </w:t>
      </w:r>
      <w:r>
        <w:t>efficiencies</w:t>
      </w:r>
      <w:r>
        <w:rPr>
          <w:spacing w:val="-1"/>
        </w:rPr>
        <w:t xml:space="preserve"> </w:t>
      </w:r>
      <w:r>
        <w:t>were</w:t>
      </w:r>
      <w:r>
        <w:rPr>
          <w:spacing w:val="-2"/>
        </w:rPr>
        <w:t xml:space="preserve"> </w:t>
      </w:r>
      <w:r>
        <w:t>to</w:t>
      </w:r>
      <w:r>
        <w:rPr>
          <w:spacing w:val="-1"/>
        </w:rPr>
        <w:t xml:space="preserve"> </w:t>
      </w:r>
      <w:r>
        <w:t>be derived</w:t>
      </w:r>
      <w:r>
        <w:rPr>
          <w:spacing w:val="-1"/>
        </w:rPr>
        <w:t xml:space="preserve"> </w:t>
      </w:r>
      <w:r>
        <w:t>from natural attrition of the workforce.</w:t>
      </w:r>
    </w:p>
    <w:p w14:paraId="06F56D83" w14:textId="77777777" w:rsidR="00141B97" w:rsidRDefault="00911D63">
      <w:pPr>
        <w:pStyle w:val="BodyText"/>
        <w:spacing w:before="119" w:line="276" w:lineRule="auto"/>
        <w:ind w:left="113" w:right="950" w:hanging="1"/>
        <w:jc w:val="both"/>
      </w:pPr>
      <w:r>
        <w:t xml:space="preserve">In implementation, these efficiencies were found to be impractical and somewhat immature, and therefore LMW was not able to deliver reductions in staff while maintaining essential services due to a combination of </w:t>
      </w:r>
      <w:r>
        <w:rPr>
          <w:spacing w:val="-2"/>
        </w:rPr>
        <w:t>circumstances.</w:t>
      </w:r>
    </w:p>
    <w:p w14:paraId="1076E5D4" w14:textId="77777777" w:rsidR="00141B97" w:rsidRDefault="00911D63">
      <w:pPr>
        <w:pStyle w:val="BodyText"/>
        <w:spacing w:before="130" w:line="249" w:lineRule="auto"/>
        <w:ind w:left="113" w:right="947"/>
        <w:jc w:val="both"/>
      </w:pPr>
      <w:r>
        <w:t>Notwithstanding these labour cost increases, workforce benchmarking reports conducted annually by the Victorian Public Sector Commission consistently demonstrate that LMW delivers services and meets customer outcomes</w:t>
      </w:r>
      <w:r>
        <w:rPr>
          <w:spacing w:val="-7"/>
        </w:rPr>
        <w:t xml:space="preserve"> </w:t>
      </w:r>
      <w:r>
        <w:t>with</w:t>
      </w:r>
      <w:r>
        <w:rPr>
          <w:spacing w:val="-10"/>
        </w:rPr>
        <w:t xml:space="preserve"> </w:t>
      </w:r>
      <w:r>
        <w:t>less</w:t>
      </w:r>
      <w:r>
        <w:rPr>
          <w:spacing w:val="-9"/>
        </w:rPr>
        <w:t xml:space="preserve"> </w:t>
      </w:r>
      <w:r>
        <w:t>FTE</w:t>
      </w:r>
      <w:r>
        <w:rPr>
          <w:spacing w:val="-10"/>
        </w:rPr>
        <w:t xml:space="preserve"> </w:t>
      </w:r>
      <w:r>
        <w:t>than</w:t>
      </w:r>
      <w:r>
        <w:rPr>
          <w:spacing w:val="-9"/>
        </w:rPr>
        <w:t xml:space="preserve"> </w:t>
      </w:r>
      <w:r>
        <w:t>the</w:t>
      </w:r>
      <w:r>
        <w:rPr>
          <w:spacing w:val="-10"/>
        </w:rPr>
        <w:t xml:space="preserve"> </w:t>
      </w:r>
      <w:r>
        <w:t>comparator</w:t>
      </w:r>
      <w:r>
        <w:rPr>
          <w:spacing w:val="-8"/>
        </w:rPr>
        <w:t xml:space="preserve"> </w:t>
      </w:r>
      <w:r>
        <w:t>average.</w:t>
      </w:r>
      <w:r>
        <w:rPr>
          <w:spacing w:val="35"/>
        </w:rPr>
        <w:t xml:space="preserve"> </w:t>
      </w:r>
      <w:r>
        <w:t>Figure</w:t>
      </w:r>
      <w:r>
        <w:rPr>
          <w:spacing w:val="-9"/>
        </w:rPr>
        <w:t xml:space="preserve"> </w:t>
      </w:r>
      <w:r>
        <w:t>B2</w:t>
      </w:r>
      <w:r>
        <w:rPr>
          <w:spacing w:val="-7"/>
        </w:rPr>
        <w:t xml:space="preserve"> </w:t>
      </w:r>
      <w:r>
        <w:t>demonstrates</w:t>
      </w:r>
      <w:r>
        <w:rPr>
          <w:spacing w:val="-8"/>
        </w:rPr>
        <w:t xml:space="preserve"> </w:t>
      </w:r>
      <w:r>
        <w:t>LMW’s</w:t>
      </w:r>
      <w:r>
        <w:rPr>
          <w:spacing w:val="-9"/>
        </w:rPr>
        <w:t xml:space="preserve"> </w:t>
      </w:r>
      <w:r>
        <w:t>annual</w:t>
      </w:r>
      <w:r>
        <w:rPr>
          <w:spacing w:val="-7"/>
        </w:rPr>
        <w:t xml:space="preserve"> </w:t>
      </w:r>
      <w:r>
        <w:t>FTE</w:t>
      </w:r>
      <w:r>
        <w:rPr>
          <w:spacing w:val="-10"/>
        </w:rPr>
        <w:t xml:space="preserve"> </w:t>
      </w:r>
      <w:r>
        <w:t>count</w:t>
      </w:r>
      <w:r>
        <w:rPr>
          <w:spacing w:val="-8"/>
        </w:rPr>
        <w:t xml:space="preserve"> </w:t>
      </w:r>
      <w:r>
        <w:t>against the comparator average noting that the VPSC benchmarking report</w:t>
      </w:r>
      <w:r>
        <w:rPr>
          <w:vertAlign w:val="superscript"/>
        </w:rPr>
        <w:t>5</w:t>
      </w:r>
      <w:r>
        <w:t xml:space="preserve"> includes all 19 Victorian Water </w:t>
      </w:r>
      <w:r>
        <w:rPr>
          <w:spacing w:val="-2"/>
        </w:rPr>
        <w:t>Corporations.</w:t>
      </w:r>
    </w:p>
    <w:p w14:paraId="3C5BA213" w14:textId="77777777" w:rsidR="00141B97" w:rsidRDefault="00141B97">
      <w:pPr>
        <w:pStyle w:val="BodyText"/>
        <w:rPr>
          <w:sz w:val="20"/>
        </w:rPr>
      </w:pPr>
    </w:p>
    <w:p w14:paraId="22658540" w14:textId="77777777" w:rsidR="00141B97" w:rsidRDefault="00141B97">
      <w:pPr>
        <w:pStyle w:val="BodyText"/>
        <w:rPr>
          <w:sz w:val="20"/>
        </w:rPr>
      </w:pPr>
    </w:p>
    <w:p w14:paraId="2BB5B3A1" w14:textId="77777777" w:rsidR="00141B97" w:rsidRDefault="00141B97">
      <w:pPr>
        <w:pStyle w:val="BodyText"/>
        <w:rPr>
          <w:sz w:val="20"/>
        </w:rPr>
      </w:pPr>
    </w:p>
    <w:p w14:paraId="74B8F6FC" w14:textId="240BFF81" w:rsidR="00141B97" w:rsidRDefault="00911D63">
      <w:pPr>
        <w:pStyle w:val="BodyText"/>
        <w:spacing w:before="8"/>
        <w:rPr>
          <w:sz w:val="27"/>
        </w:rPr>
      </w:pPr>
      <w:r>
        <w:rPr>
          <w:noProof/>
        </w:rPr>
        <mc:AlternateContent>
          <mc:Choice Requires="wps">
            <w:drawing>
              <wp:anchor distT="0" distB="0" distL="0" distR="0" simplePos="0" relativeHeight="487610880" behindDoc="1" locked="0" layoutInCell="1" allowOverlap="1" wp14:anchorId="34692D7F" wp14:editId="457E944C">
                <wp:simplePos x="0" y="0"/>
                <wp:positionH relativeFrom="page">
                  <wp:posOffset>720090</wp:posOffset>
                </wp:positionH>
                <wp:positionV relativeFrom="paragraph">
                  <wp:posOffset>229870</wp:posOffset>
                </wp:positionV>
                <wp:extent cx="1828800" cy="6350"/>
                <wp:effectExtent l="0" t="0" r="0" b="0"/>
                <wp:wrapTopAndBottom/>
                <wp:docPr id="30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A5F0E" id="docshape120" o:spid="_x0000_s1026" style="position:absolute;margin-left:56.7pt;margin-top:18.1pt;width:2in;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" fillcolor="black" stroked="f">
                <w10:wrap type="topAndBottom" anchorx="page"/>
              </v:rect>
            </w:pict>
          </mc:Fallback>
        </mc:AlternateContent>
      </w:r>
    </w:p>
    <w:p w14:paraId="76E81708" w14:textId="77777777" w:rsidR="00141B97" w:rsidRDefault="00911D63">
      <w:pPr>
        <w:spacing w:before="85"/>
        <w:ind w:left="114"/>
        <w:rPr>
          <w:sz w:val="14"/>
        </w:rPr>
      </w:pPr>
      <w:r>
        <w:rPr>
          <w:position w:val="4"/>
          <w:sz w:val="9"/>
        </w:rPr>
        <w:t>5</w:t>
      </w:r>
      <w:r>
        <w:rPr>
          <w:spacing w:val="7"/>
          <w:position w:val="4"/>
          <w:sz w:val="9"/>
        </w:rPr>
        <w:t xml:space="preserve"> </w:t>
      </w:r>
      <w:r>
        <w:rPr>
          <w:sz w:val="14"/>
        </w:rPr>
        <w:t>2021</w:t>
      </w:r>
      <w:r>
        <w:rPr>
          <w:spacing w:val="-4"/>
          <w:sz w:val="14"/>
        </w:rPr>
        <w:t xml:space="preserve"> </w:t>
      </w:r>
      <w:r>
        <w:rPr>
          <w:sz w:val="14"/>
        </w:rPr>
        <w:t>VPSC</w:t>
      </w:r>
      <w:r>
        <w:rPr>
          <w:spacing w:val="-2"/>
          <w:sz w:val="14"/>
        </w:rPr>
        <w:t xml:space="preserve"> </w:t>
      </w:r>
      <w:r>
        <w:rPr>
          <w:sz w:val="14"/>
        </w:rPr>
        <w:t>Benchmarking</w:t>
      </w:r>
      <w:r>
        <w:rPr>
          <w:spacing w:val="-4"/>
          <w:sz w:val="14"/>
        </w:rPr>
        <w:t xml:space="preserve"> </w:t>
      </w:r>
      <w:r>
        <w:rPr>
          <w:spacing w:val="-2"/>
          <w:sz w:val="14"/>
        </w:rPr>
        <w:t>Report</w:t>
      </w:r>
    </w:p>
    <w:p w14:paraId="40C886EA" w14:textId="77777777" w:rsidR="00141B97" w:rsidRDefault="00141B97">
      <w:pPr>
        <w:rPr>
          <w:sz w:val="14"/>
        </w:rPr>
        <w:sectPr w:rsidR="00141B97">
          <w:footerReference w:type="default" r:id="rId75"/>
          <w:pgSz w:w="11910" w:h="16840"/>
          <w:pgMar w:top="960" w:right="40" w:bottom="760" w:left="1020" w:header="0" w:footer="580" w:gutter="0"/>
          <w:cols w:space="720"/>
        </w:sectPr>
      </w:pPr>
    </w:p>
    <w:p w14:paraId="67ECA655" w14:textId="77777777" w:rsidR="00141B97" w:rsidRDefault="00911D63">
      <w:pPr>
        <w:pStyle w:val="BodyText"/>
        <w:ind w:left="108"/>
        <w:rPr>
          <w:sz w:val="20"/>
        </w:rPr>
      </w:pPr>
      <w:r>
        <w:rPr>
          <w:noProof/>
          <w:sz w:val="20"/>
        </w:rPr>
        <w:lastRenderedPageBreak/>
        <w:drawing>
          <wp:inline distT="0" distB="0" distL="0" distR="0" wp14:anchorId="42032519" wp14:editId="0DB30042">
            <wp:extent cx="4584191" cy="2749296"/>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76" cstate="email">
                      <a:extLst>
                        <a:ext uri="{28A0092B-C50C-407E-A947-70E740481C1C}">
                          <a14:useLocalDpi xmlns:a14="http://schemas.microsoft.com/office/drawing/2010/main"/>
                        </a:ext>
                      </a:extLst>
                    </a:blip>
                    <a:stretch>
                      <a:fillRect/>
                    </a:stretch>
                  </pic:blipFill>
                  <pic:spPr>
                    <a:xfrm>
                      <a:off x="0" y="0"/>
                      <a:ext cx="4584191" cy="2749296"/>
                    </a:xfrm>
                    <a:prstGeom prst="rect">
                      <a:avLst/>
                    </a:prstGeom>
                  </pic:spPr>
                </pic:pic>
              </a:graphicData>
            </a:graphic>
          </wp:inline>
        </w:drawing>
      </w:r>
    </w:p>
    <w:p w14:paraId="7CB5F739" w14:textId="77777777" w:rsidR="00141B97" w:rsidRDefault="00911D63">
      <w:pPr>
        <w:spacing w:before="1"/>
        <w:ind w:left="114"/>
        <w:jc w:val="both"/>
        <w:rPr>
          <w:sz w:val="16"/>
        </w:rPr>
      </w:pPr>
      <w:r>
        <w:rPr>
          <w:sz w:val="16"/>
        </w:rPr>
        <w:t>Figure</w:t>
      </w:r>
      <w:r>
        <w:rPr>
          <w:spacing w:val="-5"/>
          <w:sz w:val="16"/>
        </w:rPr>
        <w:t xml:space="preserve"> </w:t>
      </w:r>
      <w:r>
        <w:rPr>
          <w:sz w:val="16"/>
        </w:rPr>
        <w:t>B2:</w:t>
      </w:r>
      <w:r>
        <w:rPr>
          <w:spacing w:val="-3"/>
          <w:sz w:val="16"/>
        </w:rPr>
        <w:t xml:space="preserve"> </w:t>
      </w:r>
      <w:r>
        <w:rPr>
          <w:sz w:val="16"/>
        </w:rPr>
        <w:t>FTE</w:t>
      </w:r>
      <w:r>
        <w:rPr>
          <w:spacing w:val="-4"/>
          <w:sz w:val="16"/>
        </w:rPr>
        <w:t xml:space="preserve"> </w:t>
      </w:r>
      <w:r>
        <w:rPr>
          <w:sz w:val="16"/>
        </w:rPr>
        <w:t>Water</w:t>
      </w:r>
      <w:r>
        <w:rPr>
          <w:spacing w:val="-3"/>
          <w:sz w:val="16"/>
        </w:rPr>
        <w:t xml:space="preserve"> </w:t>
      </w:r>
      <w:r>
        <w:rPr>
          <w:sz w:val="16"/>
        </w:rPr>
        <w:t>Sector</w:t>
      </w:r>
      <w:r>
        <w:rPr>
          <w:spacing w:val="-5"/>
          <w:sz w:val="16"/>
        </w:rPr>
        <w:t xml:space="preserve"> </w:t>
      </w:r>
      <w:r>
        <w:rPr>
          <w:sz w:val="16"/>
        </w:rPr>
        <w:t>Comparison</w:t>
      </w:r>
      <w:r>
        <w:rPr>
          <w:spacing w:val="-5"/>
          <w:sz w:val="16"/>
        </w:rPr>
        <w:t xml:space="preserve"> </w:t>
      </w:r>
      <w:r>
        <w:rPr>
          <w:sz w:val="16"/>
        </w:rPr>
        <w:t>to</w:t>
      </w:r>
      <w:r>
        <w:rPr>
          <w:spacing w:val="-5"/>
          <w:sz w:val="16"/>
        </w:rPr>
        <w:t xml:space="preserve"> LMW</w:t>
      </w:r>
    </w:p>
    <w:p w14:paraId="6BDA3892" w14:textId="77777777" w:rsidR="00141B97" w:rsidRDefault="00141B97">
      <w:pPr>
        <w:pStyle w:val="BodyText"/>
      </w:pPr>
    </w:p>
    <w:p w14:paraId="2DB9246A" w14:textId="77777777" w:rsidR="00141B97" w:rsidRDefault="00911D63">
      <w:pPr>
        <w:pStyle w:val="BodyText"/>
        <w:spacing w:before="1"/>
        <w:ind w:left="113" w:right="947"/>
        <w:jc w:val="both"/>
      </w:pPr>
      <w:r>
        <w:t>Further, opex benchmarking</w:t>
      </w:r>
      <w:r>
        <w:rPr>
          <w:vertAlign w:val="superscript"/>
        </w:rPr>
        <w:t>6</w:t>
      </w:r>
      <w:r>
        <w:t xml:space="preserve"> undertaken by GHD clearly shows that when compared to an appropriate peer group of Victorian water corporations, LMW’s high level of operational efficiency is evident from the following </w:t>
      </w:r>
      <w:r>
        <w:rPr>
          <w:spacing w:val="-2"/>
        </w:rPr>
        <w:t>results:</w:t>
      </w:r>
    </w:p>
    <w:p w14:paraId="32B6B539" w14:textId="77777777" w:rsidR="00141B97" w:rsidRDefault="00911D63">
      <w:pPr>
        <w:pStyle w:val="ListParagraph"/>
        <w:numPr>
          <w:ilvl w:val="0"/>
          <w:numId w:val="78"/>
        </w:numPr>
        <w:tabs>
          <w:tab w:val="left" w:pos="834"/>
        </w:tabs>
        <w:ind w:right="949"/>
        <w:jc w:val="both"/>
      </w:pPr>
      <w:r>
        <w:t>LMW consistently had the lowest or second‐lowest operating costs for both water supply and wastewater, through the 2008‐2020 period.</w:t>
      </w:r>
    </w:p>
    <w:p w14:paraId="265326D2" w14:textId="77777777" w:rsidR="00141B97" w:rsidRDefault="00911D63">
      <w:pPr>
        <w:pStyle w:val="ListParagraph"/>
        <w:numPr>
          <w:ilvl w:val="0"/>
          <w:numId w:val="78"/>
        </w:numPr>
        <w:tabs>
          <w:tab w:val="left" w:pos="834"/>
        </w:tabs>
        <w:ind w:right="949"/>
        <w:jc w:val="both"/>
      </w:pPr>
      <w:r>
        <w:t xml:space="preserve">LMW consistently delivered one of the lowest operating costs per water connection, and </w:t>
      </w:r>
      <w:r>
        <w:rPr>
          <w:i/>
        </w:rPr>
        <w:t xml:space="preserve">the </w:t>
      </w:r>
      <w:r>
        <w:t>lowest wastewater</w:t>
      </w:r>
      <w:r>
        <w:rPr>
          <w:spacing w:val="-9"/>
        </w:rPr>
        <w:t xml:space="preserve"> </w:t>
      </w:r>
      <w:r>
        <w:t>operating</w:t>
      </w:r>
      <w:r>
        <w:rPr>
          <w:spacing w:val="-7"/>
        </w:rPr>
        <w:t xml:space="preserve"> </w:t>
      </w:r>
      <w:r>
        <w:t>costs</w:t>
      </w:r>
      <w:r>
        <w:rPr>
          <w:spacing w:val="-8"/>
        </w:rPr>
        <w:t xml:space="preserve"> </w:t>
      </w:r>
      <w:r>
        <w:t>per</w:t>
      </w:r>
      <w:r>
        <w:rPr>
          <w:spacing w:val="-8"/>
        </w:rPr>
        <w:t xml:space="preserve"> </w:t>
      </w:r>
      <w:r>
        <w:t>connection</w:t>
      </w:r>
      <w:r>
        <w:rPr>
          <w:spacing w:val="-7"/>
        </w:rPr>
        <w:t xml:space="preserve"> </w:t>
      </w:r>
      <w:r>
        <w:t>(residential</w:t>
      </w:r>
      <w:r>
        <w:rPr>
          <w:spacing w:val="-9"/>
        </w:rPr>
        <w:t xml:space="preserve"> </w:t>
      </w:r>
      <w:r>
        <w:t>and</w:t>
      </w:r>
      <w:r>
        <w:rPr>
          <w:spacing w:val="-9"/>
        </w:rPr>
        <w:t xml:space="preserve"> </w:t>
      </w:r>
      <w:r>
        <w:t>non‐residential)</w:t>
      </w:r>
      <w:r>
        <w:rPr>
          <w:spacing w:val="-9"/>
        </w:rPr>
        <w:t xml:space="preserve"> </w:t>
      </w:r>
      <w:r>
        <w:t>with</w:t>
      </w:r>
      <w:r>
        <w:rPr>
          <w:spacing w:val="-9"/>
        </w:rPr>
        <w:t xml:space="preserve"> </w:t>
      </w:r>
      <w:r>
        <w:t>the</w:t>
      </w:r>
      <w:r>
        <w:rPr>
          <w:spacing w:val="-8"/>
        </w:rPr>
        <w:t xml:space="preserve"> </w:t>
      </w:r>
      <w:r>
        <w:t>exception</w:t>
      </w:r>
      <w:r>
        <w:rPr>
          <w:spacing w:val="-7"/>
        </w:rPr>
        <w:t xml:space="preserve"> </w:t>
      </w:r>
      <w:r>
        <w:t>of</w:t>
      </w:r>
      <w:r>
        <w:rPr>
          <w:spacing w:val="-8"/>
        </w:rPr>
        <w:t xml:space="preserve"> </w:t>
      </w:r>
      <w:r>
        <w:t>FY11 and FY12 where blackwater events and flooding were issues for water supply.</w:t>
      </w:r>
    </w:p>
    <w:p w14:paraId="5F051B55" w14:textId="77777777" w:rsidR="00141B97" w:rsidRDefault="00911D63">
      <w:pPr>
        <w:pStyle w:val="ListParagraph"/>
        <w:numPr>
          <w:ilvl w:val="0"/>
          <w:numId w:val="78"/>
        </w:numPr>
        <w:tabs>
          <w:tab w:val="left" w:pos="834"/>
        </w:tabs>
        <w:ind w:right="947" w:hanging="361"/>
        <w:jc w:val="both"/>
      </w:pPr>
      <w:r>
        <w:t>Over the PS4 period LMW has been, by far, the most efficient supplier as measured by operating cost per megalitre of water supplied.</w:t>
      </w:r>
    </w:p>
    <w:p w14:paraId="61F66BEF" w14:textId="77777777" w:rsidR="00141B97" w:rsidRDefault="00911D63">
      <w:pPr>
        <w:pStyle w:val="ListParagraph"/>
        <w:numPr>
          <w:ilvl w:val="0"/>
          <w:numId w:val="78"/>
        </w:numPr>
        <w:tabs>
          <w:tab w:val="left" w:pos="834"/>
        </w:tabs>
        <w:ind w:right="949"/>
        <w:jc w:val="both"/>
      </w:pPr>
      <w:r>
        <w:t>LMW</w:t>
      </w:r>
      <w:r>
        <w:rPr>
          <w:spacing w:val="-9"/>
        </w:rPr>
        <w:t xml:space="preserve"> </w:t>
      </w:r>
      <w:r>
        <w:t>consistently</w:t>
      </w:r>
      <w:r>
        <w:rPr>
          <w:spacing w:val="-9"/>
        </w:rPr>
        <w:t xml:space="preserve"> </w:t>
      </w:r>
      <w:r>
        <w:t>provided</w:t>
      </w:r>
      <w:r>
        <w:rPr>
          <w:spacing w:val="-9"/>
        </w:rPr>
        <w:t xml:space="preserve"> </w:t>
      </w:r>
      <w:r>
        <w:t>the</w:t>
      </w:r>
      <w:r>
        <w:rPr>
          <w:spacing w:val="-8"/>
        </w:rPr>
        <w:t xml:space="preserve"> </w:t>
      </w:r>
      <w:r>
        <w:t>lowest</w:t>
      </w:r>
      <w:r>
        <w:rPr>
          <w:spacing w:val="-9"/>
        </w:rPr>
        <w:t xml:space="preserve"> </w:t>
      </w:r>
      <w:r>
        <w:t>annual</w:t>
      </w:r>
      <w:r>
        <w:rPr>
          <w:spacing w:val="-9"/>
        </w:rPr>
        <w:t xml:space="preserve"> </w:t>
      </w:r>
      <w:r>
        <w:t>water</w:t>
      </w:r>
      <w:r>
        <w:rPr>
          <w:spacing w:val="-8"/>
        </w:rPr>
        <w:t xml:space="preserve"> </w:t>
      </w:r>
      <w:r>
        <w:t>supply</w:t>
      </w:r>
      <w:r>
        <w:rPr>
          <w:spacing w:val="-8"/>
        </w:rPr>
        <w:t xml:space="preserve"> </w:t>
      </w:r>
      <w:r>
        <w:t>bill</w:t>
      </w:r>
      <w:r>
        <w:rPr>
          <w:spacing w:val="-8"/>
        </w:rPr>
        <w:t xml:space="preserve"> </w:t>
      </w:r>
      <w:r>
        <w:t>per</w:t>
      </w:r>
      <w:r>
        <w:rPr>
          <w:spacing w:val="-8"/>
        </w:rPr>
        <w:t xml:space="preserve"> </w:t>
      </w:r>
      <w:r>
        <w:t>200kL</w:t>
      </w:r>
      <w:r>
        <w:rPr>
          <w:spacing w:val="-9"/>
        </w:rPr>
        <w:t xml:space="preserve"> </w:t>
      </w:r>
      <w:r>
        <w:t>through</w:t>
      </w:r>
      <w:r>
        <w:rPr>
          <w:spacing w:val="-10"/>
        </w:rPr>
        <w:t xml:space="preserve"> </w:t>
      </w:r>
      <w:r>
        <w:t>2008‐2021</w:t>
      </w:r>
      <w:r>
        <w:rPr>
          <w:spacing w:val="-8"/>
        </w:rPr>
        <w:t xml:space="preserve"> </w:t>
      </w:r>
      <w:r>
        <w:t xml:space="preserve">according to both Bureau of Meteorology (BOM) National Performance Report data and the ESC’s water bill </w:t>
      </w:r>
      <w:r>
        <w:rPr>
          <w:spacing w:val="-2"/>
        </w:rPr>
        <w:t>estimator.</w:t>
      </w:r>
    </w:p>
    <w:p w14:paraId="4597AAC8" w14:textId="77777777" w:rsidR="00141B97" w:rsidRDefault="00911D63">
      <w:pPr>
        <w:pStyle w:val="ListParagraph"/>
        <w:numPr>
          <w:ilvl w:val="0"/>
          <w:numId w:val="78"/>
        </w:numPr>
        <w:tabs>
          <w:tab w:val="left" w:pos="834"/>
        </w:tabs>
        <w:ind w:right="946" w:hanging="361"/>
        <w:jc w:val="both"/>
      </w:pPr>
      <w:r>
        <w:t>The</w:t>
      </w:r>
      <w:r>
        <w:rPr>
          <w:spacing w:val="-8"/>
        </w:rPr>
        <w:t xml:space="preserve"> </w:t>
      </w:r>
      <w:r>
        <w:t>ESC</w:t>
      </w:r>
      <w:r>
        <w:rPr>
          <w:spacing w:val="-8"/>
        </w:rPr>
        <w:t xml:space="preserve"> </w:t>
      </w:r>
      <w:r>
        <w:t>identified</w:t>
      </w:r>
      <w:r>
        <w:rPr>
          <w:spacing w:val="-9"/>
        </w:rPr>
        <w:t xml:space="preserve"> </w:t>
      </w:r>
      <w:r>
        <w:t>that</w:t>
      </w:r>
      <w:r>
        <w:rPr>
          <w:spacing w:val="-8"/>
        </w:rPr>
        <w:t xml:space="preserve"> </w:t>
      </w:r>
      <w:r>
        <w:t>customers</w:t>
      </w:r>
      <w:r>
        <w:rPr>
          <w:spacing w:val="-8"/>
        </w:rPr>
        <w:t xml:space="preserve"> </w:t>
      </w:r>
      <w:r>
        <w:t>score</w:t>
      </w:r>
      <w:r>
        <w:rPr>
          <w:spacing w:val="-9"/>
        </w:rPr>
        <w:t xml:space="preserve"> </w:t>
      </w:r>
      <w:r>
        <w:t>LMW</w:t>
      </w:r>
      <w:r>
        <w:rPr>
          <w:spacing w:val="-9"/>
        </w:rPr>
        <w:t xml:space="preserve"> </w:t>
      </w:r>
      <w:r>
        <w:t>‘average’</w:t>
      </w:r>
      <w:r>
        <w:rPr>
          <w:spacing w:val="-9"/>
        </w:rPr>
        <w:t xml:space="preserve"> </w:t>
      </w:r>
      <w:r>
        <w:t>for</w:t>
      </w:r>
      <w:r>
        <w:rPr>
          <w:spacing w:val="-8"/>
        </w:rPr>
        <w:t xml:space="preserve"> </w:t>
      </w:r>
      <w:r>
        <w:t>value</w:t>
      </w:r>
      <w:r>
        <w:rPr>
          <w:spacing w:val="-10"/>
        </w:rPr>
        <w:t xml:space="preserve"> </w:t>
      </w:r>
      <w:r>
        <w:t>for</w:t>
      </w:r>
      <w:r>
        <w:rPr>
          <w:spacing w:val="-7"/>
        </w:rPr>
        <w:t xml:space="preserve"> </w:t>
      </w:r>
      <w:r>
        <w:t>money.</w:t>
      </w:r>
      <w:r>
        <w:rPr>
          <w:spacing w:val="-8"/>
        </w:rPr>
        <w:t xml:space="preserve"> </w:t>
      </w:r>
      <w:r>
        <w:t>This</w:t>
      </w:r>
      <w:r>
        <w:rPr>
          <w:spacing w:val="-6"/>
        </w:rPr>
        <w:t xml:space="preserve"> </w:t>
      </w:r>
      <w:r>
        <w:t>indicates</w:t>
      </w:r>
      <w:r>
        <w:rPr>
          <w:spacing w:val="-8"/>
        </w:rPr>
        <w:t xml:space="preserve"> </w:t>
      </w:r>
      <w:r>
        <w:t>a</w:t>
      </w:r>
      <w:r>
        <w:rPr>
          <w:spacing w:val="-8"/>
        </w:rPr>
        <w:t xml:space="preserve"> </w:t>
      </w:r>
      <w:r>
        <w:t>disconnect between customers’ perceived value/service, and LMW’s actual performance, and an opportunity for LMW to better communicate its superior performance to customers.</w:t>
      </w:r>
    </w:p>
    <w:p w14:paraId="667F9744" w14:textId="77777777" w:rsidR="00141B97" w:rsidRDefault="00911D63">
      <w:pPr>
        <w:pStyle w:val="ListParagraph"/>
        <w:numPr>
          <w:ilvl w:val="0"/>
          <w:numId w:val="78"/>
        </w:numPr>
        <w:tabs>
          <w:tab w:val="left" w:pos="834"/>
        </w:tabs>
        <w:ind w:right="949"/>
        <w:jc w:val="both"/>
      </w:pPr>
      <w:r>
        <w:t>LMW exhibits market‐leading labour productivity when measured against three key measures, being ranked</w:t>
      </w:r>
      <w:r>
        <w:rPr>
          <w:spacing w:val="-13"/>
        </w:rPr>
        <w:t xml:space="preserve"> </w:t>
      </w:r>
      <w:r>
        <w:t>by</w:t>
      </w:r>
      <w:r>
        <w:rPr>
          <w:spacing w:val="-12"/>
        </w:rPr>
        <w:t xml:space="preserve"> </w:t>
      </w:r>
      <w:r>
        <w:t>far</w:t>
      </w:r>
      <w:r>
        <w:rPr>
          <w:spacing w:val="-13"/>
        </w:rPr>
        <w:t xml:space="preserve"> </w:t>
      </w:r>
      <w:r>
        <w:t>the</w:t>
      </w:r>
      <w:r>
        <w:rPr>
          <w:spacing w:val="-12"/>
        </w:rPr>
        <w:t xml:space="preserve"> </w:t>
      </w:r>
      <w:r>
        <w:t>lowest</w:t>
      </w:r>
      <w:r>
        <w:rPr>
          <w:spacing w:val="-13"/>
        </w:rPr>
        <w:t xml:space="preserve"> </w:t>
      </w:r>
      <w:r>
        <w:t>in</w:t>
      </w:r>
      <w:r>
        <w:rPr>
          <w:spacing w:val="-12"/>
        </w:rPr>
        <w:t xml:space="preserve"> </w:t>
      </w:r>
      <w:r>
        <w:t>terms</w:t>
      </w:r>
      <w:r>
        <w:rPr>
          <w:spacing w:val="-13"/>
        </w:rPr>
        <w:t xml:space="preserve"> </w:t>
      </w:r>
      <w:r>
        <w:t>of</w:t>
      </w:r>
      <w:r>
        <w:rPr>
          <w:spacing w:val="-12"/>
        </w:rPr>
        <w:t xml:space="preserve"> </w:t>
      </w:r>
      <w:r>
        <w:t>FTEs</w:t>
      </w:r>
      <w:r>
        <w:rPr>
          <w:spacing w:val="-12"/>
        </w:rPr>
        <w:t xml:space="preserve"> </w:t>
      </w:r>
      <w:r>
        <w:t>per</w:t>
      </w:r>
      <w:r>
        <w:rPr>
          <w:spacing w:val="-13"/>
        </w:rPr>
        <w:t xml:space="preserve"> </w:t>
      </w:r>
      <w:r>
        <w:t>volume</w:t>
      </w:r>
      <w:r>
        <w:rPr>
          <w:spacing w:val="-12"/>
        </w:rPr>
        <w:t xml:space="preserve"> </w:t>
      </w:r>
      <w:r>
        <w:t>of</w:t>
      </w:r>
      <w:r>
        <w:rPr>
          <w:spacing w:val="-13"/>
        </w:rPr>
        <w:t xml:space="preserve"> </w:t>
      </w:r>
      <w:r>
        <w:t>water</w:t>
      </w:r>
      <w:r>
        <w:rPr>
          <w:spacing w:val="-12"/>
        </w:rPr>
        <w:t xml:space="preserve"> </w:t>
      </w:r>
      <w:r>
        <w:t>supplied,</w:t>
      </w:r>
      <w:r>
        <w:rPr>
          <w:spacing w:val="-13"/>
        </w:rPr>
        <w:t xml:space="preserve"> </w:t>
      </w:r>
      <w:r>
        <w:t>and</w:t>
      </w:r>
      <w:r>
        <w:rPr>
          <w:spacing w:val="-12"/>
        </w:rPr>
        <w:t xml:space="preserve"> </w:t>
      </w:r>
      <w:r>
        <w:t>roughly</w:t>
      </w:r>
      <w:r>
        <w:rPr>
          <w:spacing w:val="-12"/>
        </w:rPr>
        <w:t xml:space="preserve"> </w:t>
      </w:r>
      <w:r>
        <w:t>equal</w:t>
      </w:r>
      <w:r>
        <w:rPr>
          <w:spacing w:val="-13"/>
        </w:rPr>
        <w:t xml:space="preserve"> </w:t>
      </w:r>
      <w:r>
        <w:t>second</w:t>
      </w:r>
      <w:r>
        <w:rPr>
          <w:spacing w:val="-12"/>
        </w:rPr>
        <w:t xml:space="preserve"> </w:t>
      </w:r>
      <w:r>
        <w:t>lowest in terms of both FTEs per water connection and FTEs per wastewater connection.</w:t>
      </w:r>
    </w:p>
    <w:p w14:paraId="47DAF906" w14:textId="77777777" w:rsidR="00141B97" w:rsidRDefault="00141B97">
      <w:pPr>
        <w:pStyle w:val="BodyText"/>
        <w:spacing w:before="6"/>
        <w:rPr>
          <w:sz w:val="20"/>
        </w:rPr>
      </w:pPr>
    </w:p>
    <w:p w14:paraId="3690358B" w14:textId="77777777" w:rsidR="00141B97" w:rsidRDefault="00911D63">
      <w:pPr>
        <w:pStyle w:val="ListParagraph"/>
        <w:numPr>
          <w:ilvl w:val="2"/>
          <w:numId w:val="81"/>
        </w:numPr>
        <w:tabs>
          <w:tab w:val="left" w:pos="1112"/>
          <w:tab w:val="left" w:pos="1113"/>
        </w:tabs>
        <w:spacing w:before="1"/>
      </w:pPr>
      <w:r>
        <w:t>ICT</w:t>
      </w:r>
      <w:r>
        <w:rPr>
          <w:spacing w:val="-3"/>
        </w:rPr>
        <w:t xml:space="preserve"> </w:t>
      </w:r>
      <w:r>
        <w:rPr>
          <w:spacing w:val="-2"/>
        </w:rPr>
        <w:t>Costs</w:t>
      </w:r>
    </w:p>
    <w:p w14:paraId="5562F195" w14:textId="77777777" w:rsidR="00141B97" w:rsidRDefault="00911D63">
      <w:pPr>
        <w:pStyle w:val="BodyText"/>
        <w:spacing w:before="71" w:line="249" w:lineRule="auto"/>
        <w:ind w:left="113" w:right="947"/>
        <w:jc w:val="both"/>
      </w:pPr>
      <w:r>
        <w:t>ICT costs were higher than anticipated during the PS4 period due to a combination of higher software licence renewal</w:t>
      </w:r>
      <w:r>
        <w:rPr>
          <w:spacing w:val="-5"/>
        </w:rPr>
        <w:t xml:space="preserve"> </w:t>
      </w:r>
      <w:r>
        <w:t>fees</w:t>
      </w:r>
      <w:r>
        <w:rPr>
          <w:spacing w:val="-3"/>
        </w:rPr>
        <w:t xml:space="preserve"> </w:t>
      </w:r>
      <w:r>
        <w:t>charged</w:t>
      </w:r>
      <w:r>
        <w:rPr>
          <w:spacing w:val="-3"/>
        </w:rPr>
        <w:t xml:space="preserve"> </w:t>
      </w:r>
      <w:r>
        <w:t>by</w:t>
      </w:r>
      <w:r>
        <w:rPr>
          <w:spacing w:val="-4"/>
        </w:rPr>
        <w:t xml:space="preserve"> </w:t>
      </w:r>
      <w:r>
        <w:t>vendors,</w:t>
      </w:r>
      <w:r>
        <w:rPr>
          <w:spacing w:val="-4"/>
        </w:rPr>
        <w:t xml:space="preserve"> </w:t>
      </w:r>
      <w:r>
        <w:t>and</w:t>
      </w:r>
      <w:r>
        <w:rPr>
          <w:spacing w:val="-4"/>
        </w:rPr>
        <w:t xml:space="preserve"> </w:t>
      </w:r>
      <w:r>
        <w:t>significant</w:t>
      </w:r>
      <w:r>
        <w:rPr>
          <w:spacing w:val="-5"/>
        </w:rPr>
        <w:t xml:space="preserve"> </w:t>
      </w:r>
      <w:r>
        <w:t>cost</w:t>
      </w:r>
      <w:r>
        <w:rPr>
          <w:spacing w:val="-3"/>
        </w:rPr>
        <w:t xml:space="preserve"> </w:t>
      </w:r>
      <w:r>
        <w:t>increases</w:t>
      </w:r>
      <w:r>
        <w:rPr>
          <w:spacing w:val="-5"/>
        </w:rPr>
        <w:t xml:space="preserve"> </w:t>
      </w:r>
      <w:r>
        <w:t>associated</w:t>
      </w:r>
      <w:r>
        <w:rPr>
          <w:spacing w:val="-4"/>
        </w:rPr>
        <w:t xml:space="preserve"> </w:t>
      </w:r>
      <w:r>
        <w:t>with</w:t>
      </w:r>
      <w:r>
        <w:rPr>
          <w:spacing w:val="-4"/>
        </w:rPr>
        <w:t xml:space="preserve"> </w:t>
      </w:r>
      <w:r>
        <w:t>the</w:t>
      </w:r>
      <w:r>
        <w:rPr>
          <w:spacing w:val="-5"/>
        </w:rPr>
        <w:t xml:space="preserve"> </w:t>
      </w:r>
      <w:r>
        <w:t>movement</w:t>
      </w:r>
      <w:r>
        <w:rPr>
          <w:spacing w:val="-4"/>
        </w:rPr>
        <w:t xml:space="preserve"> </w:t>
      </w:r>
      <w:r>
        <w:t>of</w:t>
      </w:r>
      <w:r>
        <w:rPr>
          <w:spacing w:val="-4"/>
        </w:rPr>
        <w:t xml:space="preserve"> </w:t>
      </w:r>
      <w:r>
        <w:t>many</w:t>
      </w:r>
      <w:r>
        <w:rPr>
          <w:spacing w:val="-4"/>
        </w:rPr>
        <w:t xml:space="preserve"> </w:t>
      </w:r>
      <w:r>
        <w:t>vendor products</w:t>
      </w:r>
      <w:r>
        <w:rPr>
          <w:spacing w:val="-3"/>
        </w:rPr>
        <w:t xml:space="preserve"> </w:t>
      </w:r>
      <w:r>
        <w:t>from</w:t>
      </w:r>
      <w:r>
        <w:rPr>
          <w:spacing w:val="-3"/>
        </w:rPr>
        <w:t xml:space="preserve"> </w:t>
      </w:r>
      <w:r>
        <w:t>on‐premises</w:t>
      </w:r>
      <w:r>
        <w:rPr>
          <w:spacing w:val="-3"/>
        </w:rPr>
        <w:t xml:space="preserve"> </w:t>
      </w:r>
      <w:r>
        <w:t>licences</w:t>
      </w:r>
      <w:r>
        <w:rPr>
          <w:spacing w:val="-3"/>
        </w:rPr>
        <w:t xml:space="preserve"> </w:t>
      </w:r>
      <w:r>
        <w:t>to</w:t>
      </w:r>
      <w:r>
        <w:rPr>
          <w:spacing w:val="-2"/>
        </w:rPr>
        <w:t xml:space="preserve"> </w:t>
      </w:r>
      <w:r>
        <w:t>a</w:t>
      </w:r>
      <w:r>
        <w:rPr>
          <w:spacing w:val="-3"/>
        </w:rPr>
        <w:t xml:space="preserve"> </w:t>
      </w:r>
      <w:r>
        <w:t>Software</w:t>
      </w:r>
      <w:r>
        <w:rPr>
          <w:spacing w:val="-3"/>
        </w:rPr>
        <w:t xml:space="preserve"> </w:t>
      </w:r>
      <w:r>
        <w:t>as</w:t>
      </w:r>
      <w:r>
        <w:rPr>
          <w:spacing w:val="-3"/>
        </w:rPr>
        <w:t xml:space="preserve"> </w:t>
      </w:r>
      <w:r>
        <w:t>a</w:t>
      </w:r>
      <w:r>
        <w:rPr>
          <w:spacing w:val="-3"/>
        </w:rPr>
        <w:t xml:space="preserve"> </w:t>
      </w:r>
      <w:r>
        <w:t>Service</w:t>
      </w:r>
      <w:r>
        <w:rPr>
          <w:spacing w:val="-4"/>
        </w:rPr>
        <w:t xml:space="preserve"> </w:t>
      </w:r>
      <w:r>
        <w:t>(SaaS)</w:t>
      </w:r>
      <w:r>
        <w:rPr>
          <w:spacing w:val="-3"/>
        </w:rPr>
        <w:t xml:space="preserve"> </w:t>
      </w:r>
      <w:r>
        <w:t>cloud‐based</w:t>
      </w:r>
      <w:r>
        <w:rPr>
          <w:spacing w:val="-3"/>
        </w:rPr>
        <w:t xml:space="preserve"> </w:t>
      </w:r>
      <w:r>
        <w:t>model.</w:t>
      </w:r>
      <w:r>
        <w:rPr>
          <w:spacing w:val="-2"/>
        </w:rPr>
        <w:t xml:space="preserve"> </w:t>
      </w:r>
      <w:r>
        <w:t>As</w:t>
      </w:r>
      <w:r>
        <w:rPr>
          <w:spacing w:val="-3"/>
        </w:rPr>
        <w:t xml:space="preserve"> </w:t>
      </w:r>
      <w:r>
        <w:t>an</w:t>
      </w:r>
      <w:r>
        <w:rPr>
          <w:spacing w:val="-3"/>
        </w:rPr>
        <w:t xml:space="preserve"> </w:t>
      </w:r>
      <w:r>
        <w:t>example,</w:t>
      </w:r>
      <w:r>
        <w:rPr>
          <w:spacing w:val="-3"/>
        </w:rPr>
        <w:t xml:space="preserve"> </w:t>
      </w:r>
      <w:r>
        <w:t>in</w:t>
      </w:r>
      <w:r>
        <w:rPr>
          <w:spacing w:val="-3"/>
        </w:rPr>
        <w:t xml:space="preserve"> </w:t>
      </w:r>
      <w:r>
        <w:t>the case</w:t>
      </w:r>
      <w:r>
        <w:rPr>
          <w:spacing w:val="-6"/>
        </w:rPr>
        <w:t xml:space="preserve"> </w:t>
      </w:r>
      <w:r>
        <w:t>of</w:t>
      </w:r>
      <w:r>
        <w:rPr>
          <w:spacing w:val="-6"/>
        </w:rPr>
        <w:t xml:space="preserve"> </w:t>
      </w:r>
      <w:r>
        <w:t>two</w:t>
      </w:r>
      <w:r>
        <w:rPr>
          <w:spacing w:val="-6"/>
        </w:rPr>
        <w:t xml:space="preserve"> </w:t>
      </w:r>
      <w:r>
        <w:t>major</w:t>
      </w:r>
      <w:r>
        <w:rPr>
          <w:spacing w:val="-6"/>
        </w:rPr>
        <w:t xml:space="preserve"> </w:t>
      </w:r>
      <w:r>
        <w:t>Enterprise</w:t>
      </w:r>
      <w:r>
        <w:rPr>
          <w:spacing w:val="-7"/>
        </w:rPr>
        <w:t xml:space="preserve"> </w:t>
      </w:r>
      <w:r>
        <w:t>Resource</w:t>
      </w:r>
      <w:r>
        <w:rPr>
          <w:spacing w:val="-7"/>
        </w:rPr>
        <w:t xml:space="preserve"> </w:t>
      </w:r>
      <w:r>
        <w:t>Planning</w:t>
      </w:r>
      <w:r>
        <w:rPr>
          <w:spacing w:val="-6"/>
        </w:rPr>
        <w:t xml:space="preserve"> </w:t>
      </w:r>
      <w:r>
        <w:t>(ERP)</w:t>
      </w:r>
      <w:r>
        <w:rPr>
          <w:spacing w:val="-5"/>
        </w:rPr>
        <w:t xml:space="preserve"> </w:t>
      </w:r>
      <w:r>
        <w:t>products</w:t>
      </w:r>
      <w:r>
        <w:rPr>
          <w:spacing w:val="-7"/>
        </w:rPr>
        <w:t xml:space="preserve"> </w:t>
      </w:r>
      <w:r>
        <w:t>used</w:t>
      </w:r>
      <w:r>
        <w:rPr>
          <w:spacing w:val="-7"/>
        </w:rPr>
        <w:t xml:space="preserve"> </w:t>
      </w:r>
      <w:r>
        <w:t>by</w:t>
      </w:r>
      <w:r>
        <w:rPr>
          <w:spacing w:val="-7"/>
        </w:rPr>
        <w:t xml:space="preserve"> </w:t>
      </w:r>
      <w:r>
        <w:t>LMW</w:t>
      </w:r>
      <w:r>
        <w:rPr>
          <w:spacing w:val="-7"/>
        </w:rPr>
        <w:t xml:space="preserve"> </w:t>
      </w:r>
      <w:r>
        <w:t>this</w:t>
      </w:r>
      <w:r>
        <w:rPr>
          <w:spacing w:val="-7"/>
        </w:rPr>
        <w:t xml:space="preserve"> </w:t>
      </w:r>
      <w:r>
        <w:t>has</w:t>
      </w:r>
      <w:r>
        <w:rPr>
          <w:spacing w:val="-7"/>
        </w:rPr>
        <w:t xml:space="preserve"> </w:t>
      </w:r>
      <w:r>
        <w:t>seen</w:t>
      </w:r>
      <w:r>
        <w:rPr>
          <w:spacing w:val="-6"/>
        </w:rPr>
        <w:t xml:space="preserve"> </w:t>
      </w:r>
      <w:r>
        <w:t>a</w:t>
      </w:r>
      <w:r>
        <w:rPr>
          <w:spacing w:val="-7"/>
        </w:rPr>
        <w:t xml:space="preserve"> </w:t>
      </w:r>
      <w:r>
        <w:t>doubling</w:t>
      </w:r>
      <w:r>
        <w:rPr>
          <w:spacing w:val="-6"/>
        </w:rPr>
        <w:t xml:space="preserve"> </w:t>
      </w:r>
      <w:r>
        <w:t>of</w:t>
      </w:r>
      <w:r>
        <w:rPr>
          <w:spacing w:val="-5"/>
        </w:rPr>
        <w:t xml:space="preserve"> </w:t>
      </w:r>
      <w:r>
        <w:t>overall licence and support costs. Additional cloud hosting fees are only partially offset by a reduction in on‐premise maintenance and support costs and a reduction in capital hardware and server investment.</w:t>
      </w:r>
    </w:p>
    <w:p w14:paraId="4FDAC409" w14:textId="77777777" w:rsidR="00141B97" w:rsidRDefault="00911D63">
      <w:pPr>
        <w:pStyle w:val="BodyText"/>
        <w:spacing w:before="124" w:line="249" w:lineRule="auto"/>
        <w:ind w:left="113" w:right="949"/>
        <w:jc w:val="both"/>
      </w:pPr>
      <w:r>
        <w:t>The</w:t>
      </w:r>
      <w:r>
        <w:rPr>
          <w:spacing w:val="-5"/>
        </w:rPr>
        <w:t xml:space="preserve"> </w:t>
      </w:r>
      <w:r>
        <w:t>increasing</w:t>
      </w:r>
      <w:r>
        <w:rPr>
          <w:spacing w:val="-5"/>
        </w:rPr>
        <w:t xml:space="preserve"> </w:t>
      </w:r>
      <w:r>
        <w:t>overall</w:t>
      </w:r>
      <w:r>
        <w:rPr>
          <w:spacing w:val="-4"/>
        </w:rPr>
        <w:t xml:space="preserve"> </w:t>
      </w:r>
      <w:r>
        <w:t>trend</w:t>
      </w:r>
      <w:r>
        <w:rPr>
          <w:spacing w:val="-5"/>
        </w:rPr>
        <w:t xml:space="preserve"> </w:t>
      </w:r>
      <w:r>
        <w:t>to</w:t>
      </w:r>
      <w:r>
        <w:rPr>
          <w:spacing w:val="-5"/>
        </w:rPr>
        <w:t xml:space="preserve"> </w:t>
      </w:r>
      <w:r>
        <w:t>automation</w:t>
      </w:r>
      <w:r>
        <w:rPr>
          <w:spacing w:val="-3"/>
        </w:rPr>
        <w:t xml:space="preserve"> </w:t>
      </w:r>
      <w:r>
        <w:t>and</w:t>
      </w:r>
      <w:r>
        <w:rPr>
          <w:spacing w:val="-3"/>
        </w:rPr>
        <w:t xml:space="preserve"> </w:t>
      </w:r>
      <w:r>
        <w:t>digitisation</w:t>
      </w:r>
      <w:r>
        <w:rPr>
          <w:spacing w:val="-4"/>
        </w:rPr>
        <w:t xml:space="preserve"> </w:t>
      </w:r>
      <w:r>
        <w:t>of</w:t>
      </w:r>
      <w:r>
        <w:rPr>
          <w:spacing w:val="-4"/>
        </w:rPr>
        <w:t xml:space="preserve"> </w:t>
      </w:r>
      <w:r>
        <w:t>business</w:t>
      </w:r>
      <w:r>
        <w:rPr>
          <w:spacing w:val="-5"/>
        </w:rPr>
        <w:t xml:space="preserve"> </w:t>
      </w:r>
      <w:r>
        <w:t>processes</w:t>
      </w:r>
      <w:r>
        <w:rPr>
          <w:spacing w:val="-2"/>
        </w:rPr>
        <w:t xml:space="preserve"> </w:t>
      </w:r>
      <w:r>
        <w:t>will</w:t>
      </w:r>
      <w:r>
        <w:rPr>
          <w:spacing w:val="-4"/>
        </w:rPr>
        <w:t xml:space="preserve"> </w:t>
      </w:r>
      <w:r>
        <w:t>continue</w:t>
      </w:r>
      <w:r>
        <w:rPr>
          <w:spacing w:val="-3"/>
        </w:rPr>
        <w:t xml:space="preserve"> </w:t>
      </w:r>
      <w:r>
        <w:t>to</w:t>
      </w:r>
      <w:r>
        <w:rPr>
          <w:spacing w:val="-4"/>
        </w:rPr>
        <w:t xml:space="preserve"> </w:t>
      </w:r>
      <w:r>
        <w:t>place</w:t>
      </w:r>
      <w:r>
        <w:rPr>
          <w:spacing w:val="-4"/>
        </w:rPr>
        <w:t xml:space="preserve"> </w:t>
      </w:r>
      <w:r>
        <w:t>upward pressure on technology costs, albeit with the benefits of improved flexibility and business insights to enhance performance management to control operational costs. Labour efficiencies from increased automation and improved</w:t>
      </w:r>
      <w:r>
        <w:rPr>
          <w:spacing w:val="-2"/>
        </w:rPr>
        <w:t xml:space="preserve"> </w:t>
      </w:r>
      <w:r>
        <w:t>data</w:t>
      </w:r>
      <w:r>
        <w:rPr>
          <w:spacing w:val="-3"/>
        </w:rPr>
        <w:t xml:space="preserve"> </w:t>
      </w:r>
      <w:r>
        <w:t>integrity</w:t>
      </w:r>
      <w:r>
        <w:rPr>
          <w:spacing w:val="-3"/>
        </w:rPr>
        <w:t xml:space="preserve"> </w:t>
      </w:r>
      <w:r>
        <w:t>are</w:t>
      </w:r>
      <w:r>
        <w:rPr>
          <w:spacing w:val="-4"/>
        </w:rPr>
        <w:t xml:space="preserve"> </w:t>
      </w:r>
      <w:r>
        <w:t>forecast</w:t>
      </w:r>
      <w:r>
        <w:rPr>
          <w:spacing w:val="-2"/>
        </w:rPr>
        <w:t xml:space="preserve"> </w:t>
      </w:r>
      <w:r>
        <w:t>to</w:t>
      </w:r>
      <w:r>
        <w:rPr>
          <w:spacing w:val="-1"/>
        </w:rPr>
        <w:t xml:space="preserve"> </w:t>
      </w:r>
      <w:r>
        <w:t>be</w:t>
      </w:r>
      <w:r>
        <w:rPr>
          <w:spacing w:val="-2"/>
        </w:rPr>
        <w:t xml:space="preserve"> </w:t>
      </w:r>
      <w:r>
        <w:t>realised</w:t>
      </w:r>
      <w:r>
        <w:rPr>
          <w:spacing w:val="-2"/>
        </w:rPr>
        <w:t xml:space="preserve"> </w:t>
      </w:r>
      <w:r>
        <w:t>in</w:t>
      </w:r>
      <w:r>
        <w:rPr>
          <w:spacing w:val="-2"/>
        </w:rPr>
        <w:t xml:space="preserve"> </w:t>
      </w:r>
      <w:r>
        <w:t>the</w:t>
      </w:r>
      <w:r>
        <w:rPr>
          <w:spacing w:val="-2"/>
        </w:rPr>
        <w:t xml:space="preserve"> </w:t>
      </w:r>
      <w:r>
        <w:t>PS6</w:t>
      </w:r>
      <w:r>
        <w:rPr>
          <w:spacing w:val="-3"/>
        </w:rPr>
        <w:t xml:space="preserve"> </w:t>
      </w:r>
      <w:r>
        <w:t>period</w:t>
      </w:r>
      <w:r>
        <w:rPr>
          <w:spacing w:val="-2"/>
        </w:rPr>
        <w:t xml:space="preserve"> </w:t>
      </w:r>
      <w:r>
        <w:t>after</w:t>
      </w:r>
      <w:r>
        <w:rPr>
          <w:spacing w:val="-3"/>
        </w:rPr>
        <w:t xml:space="preserve"> </w:t>
      </w:r>
      <w:r>
        <w:t>core</w:t>
      </w:r>
      <w:r>
        <w:rPr>
          <w:spacing w:val="-2"/>
        </w:rPr>
        <w:t xml:space="preserve"> </w:t>
      </w:r>
      <w:r>
        <w:t>platforms</w:t>
      </w:r>
      <w:r>
        <w:rPr>
          <w:spacing w:val="-2"/>
        </w:rPr>
        <w:t xml:space="preserve"> </w:t>
      </w:r>
      <w:r>
        <w:t>are</w:t>
      </w:r>
      <w:r>
        <w:rPr>
          <w:spacing w:val="-2"/>
        </w:rPr>
        <w:t xml:space="preserve"> </w:t>
      </w:r>
      <w:r>
        <w:t>implemented</w:t>
      </w:r>
      <w:r>
        <w:rPr>
          <w:spacing w:val="-3"/>
        </w:rPr>
        <w:t xml:space="preserve"> </w:t>
      </w:r>
      <w:r>
        <w:t>and new ways of working are embedded in the organisation.</w:t>
      </w:r>
    </w:p>
    <w:p w14:paraId="169F5E1F" w14:textId="77777777" w:rsidR="00141B97" w:rsidRDefault="00141B97">
      <w:pPr>
        <w:pStyle w:val="BodyText"/>
        <w:rPr>
          <w:sz w:val="20"/>
        </w:rPr>
      </w:pPr>
    </w:p>
    <w:p w14:paraId="7AEA7E5C" w14:textId="77777777" w:rsidR="00141B97" w:rsidRDefault="00141B97">
      <w:pPr>
        <w:pStyle w:val="BodyText"/>
        <w:rPr>
          <w:sz w:val="20"/>
        </w:rPr>
      </w:pPr>
    </w:p>
    <w:p w14:paraId="10FE8AFB" w14:textId="77777777" w:rsidR="00141B97" w:rsidRDefault="00141B97">
      <w:pPr>
        <w:pStyle w:val="BodyText"/>
        <w:rPr>
          <w:sz w:val="20"/>
        </w:rPr>
      </w:pPr>
    </w:p>
    <w:p w14:paraId="102686E5" w14:textId="4AB842FF" w:rsidR="00141B97" w:rsidRDefault="00911D63">
      <w:pPr>
        <w:pStyle w:val="BodyText"/>
        <w:spacing w:before="2"/>
      </w:pPr>
      <w:r>
        <w:rPr>
          <w:noProof/>
        </w:rPr>
        <mc:AlternateContent>
          <mc:Choice Requires="wps">
            <w:drawing>
              <wp:anchor distT="0" distB="0" distL="0" distR="0" simplePos="0" relativeHeight="487611904" behindDoc="1" locked="0" layoutInCell="1" allowOverlap="1" wp14:anchorId="271DA517" wp14:editId="661B91E1">
                <wp:simplePos x="0" y="0"/>
                <wp:positionH relativeFrom="page">
                  <wp:posOffset>720090</wp:posOffset>
                </wp:positionH>
                <wp:positionV relativeFrom="paragraph">
                  <wp:posOffset>187325</wp:posOffset>
                </wp:positionV>
                <wp:extent cx="1828800" cy="6350"/>
                <wp:effectExtent l="0" t="0" r="0" b="0"/>
                <wp:wrapTopAndBottom/>
                <wp:docPr id="29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564C" id="docshape122" o:spid="_x0000_s1026" style="position:absolute;margin-left:56.7pt;margin-top:14.75pt;width:2in;height:.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" fillcolor="black" stroked="f">
                <w10:wrap type="topAndBottom" anchorx="page"/>
              </v:rect>
            </w:pict>
          </mc:Fallback>
        </mc:AlternateContent>
      </w:r>
    </w:p>
    <w:p w14:paraId="3111AC26" w14:textId="77777777" w:rsidR="00141B97" w:rsidRDefault="00911D63">
      <w:pPr>
        <w:spacing w:before="85"/>
        <w:ind w:left="114"/>
        <w:rPr>
          <w:sz w:val="14"/>
        </w:rPr>
      </w:pPr>
      <w:r>
        <w:rPr>
          <w:position w:val="4"/>
          <w:sz w:val="9"/>
        </w:rPr>
        <w:t>6</w:t>
      </w:r>
      <w:r>
        <w:rPr>
          <w:spacing w:val="7"/>
          <w:position w:val="4"/>
          <w:sz w:val="9"/>
        </w:rPr>
        <w:t xml:space="preserve"> </w:t>
      </w:r>
      <w:r>
        <w:rPr>
          <w:sz w:val="14"/>
        </w:rPr>
        <w:t>Opex</w:t>
      </w:r>
      <w:r>
        <w:rPr>
          <w:spacing w:val="-3"/>
          <w:sz w:val="14"/>
        </w:rPr>
        <w:t xml:space="preserve"> </w:t>
      </w:r>
      <w:r>
        <w:rPr>
          <w:sz w:val="14"/>
        </w:rPr>
        <w:t>Efficiency</w:t>
      </w:r>
      <w:r>
        <w:rPr>
          <w:spacing w:val="-3"/>
          <w:sz w:val="14"/>
        </w:rPr>
        <w:t xml:space="preserve"> </w:t>
      </w:r>
      <w:r>
        <w:rPr>
          <w:sz w:val="14"/>
        </w:rPr>
        <w:t>Benchmarking</w:t>
      </w:r>
      <w:r>
        <w:rPr>
          <w:spacing w:val="-3"/>
          <w:sz w:val="14"/>
        </w:rPr>
        <w:t xml:space="preserve"> </w:t>
      </w:r>
      <w:r>
        <w:rPr>
          <w:sz w:val="14"/>
        </w:rPr>
        <w:t>Final</w:t>
      </w:r>
      <w:r>
        <w:rPr>
          <w:spacing w:val="-4"/>
          <w:sz w:val="14"/>
        </w:rPr>
        <w:t xml:space="preserve"> </w:t>
      </w:r>
      <w:r>
        <w:rPr>
          <w:sz w:val="14"/>
        </w:rPr>
        <w:t>Report,</w:t>
      </w:r>
      <w:r>
        <w:rPr>
          <w:spacing w:val="-2"/>
          <w:sz w:val="14"/>
        </w:rPr>
        <w:t xml:space="preserve"> </w:t>
      </w:r>
      <w:r>
        <w:rPr>
          <w:sz w:val="14"/>
        </w:rPr>
        <w:t>GHD,</w:t>
      </w:r>
      <w:r>
        <w:rPr>
          <w:spacing w:val="-3"/>
          <w:sz w:val="14"/>
        </w:rPr>
        <w:t xml:space="preserve"> </w:t>
      </w:r>
      <w:r>
        <w:rPr>
          <w:sz w:val="14"/>
        </w:rPr>
        <w:t>09</w:t>
      </w:r>
      <w:r>
        <w:rPr>
          <w:spacing w:val="-3"/>
          <w:sz w:val="14"/>
        </w:rPr>
        <w:t xml:space="preserve"> </w:t>
      </w:r>
      <w:r>
        <w:rPr>
          <w:sz w:val="14"/>
        </w:rPr>
        <w:t>September</w:t>
      </w:r>
      <w:r>
        <w:rPr>
          <w:spacing w:val="-4"/>
          <w:sz w:val="14"/>
        </w:rPr>
        <w:t xml:space="preserve"> 2022</w:t>
      </w:r>
    </w:p>
    <w:p w14:paraId="0E06070C" w14:textId="77777777" w:rsidR="00141B97" w:rsidRDefault="00141B97">
      <w:pPr>
        <w:rPr>
          <w:sz w:val="14"/>
        </w:rPr>
        <w:sectPr w:rsidR="00141B97">
          <w:footerReference w:type="default" r:id="rId77"/>
          <w:pgSz w:w="11910" w:h="16840"/>
          <w:pgMar w:top="840" w:right="40" w:bottom="760" w:left="1020" w:header="0" w:footer="580" w:gutter="0"/>
          <w:pgNumType w:start="53"/>
          <w:cols w:space="720"/>
        </w:sectPr>
      </w:pPr>
    </w:p>
    <w:p w14:paraId="184917A7" w14:textId="77777777" w:rsidR="00141B97" w:rsidRDefault="00911D63">
      <w:pPr>
        <w:pStyle w:val="ListParagraph"/>
        <w:numPr>
          <w:ilvl w:val="2"/>
          <w:numId w:val="81"/>
        </w:numPr>
        <w:tabs>
          <w:tab w:val="left" w:pos="1112"/>
          <w:tab w:val="left" w:pos="1113"/>
        </w:tabs>
        <w:spacing w:before="43"/>
        <w:jc w:val="both"/>
      </w:pPr>
      <w:r>
        <w:lastRenderedPageBreak/>
        <w:t>Contractor</w:t>
      </w:r>
      <w:r>
        <w:rPr>
          <w:spacing w:val="-9"/>
        </w:rPr>
        <w:t xml:space="preserve"> </w:t>
      </w:r>
      <w:r>
        <w:t>and</w:t>
      </w:r>
      <w:r>
        <w:rPr>
          <w:spacing w:val="-8"/>
        </w:rPr>
        <w:t xml:space="preserve"> </w:t>
      </w:r>
      <w:r>
        <w:t>Consultant</w:t>
      </w:r>
      <w:r>
        <w:rPr>
          <w:spacing w:val="-9"/>
        </w:rPr>
        <w:t xml:space="preserve"> </w:t>
      </w:r>
      <w:r>
        <w:rPr>
          <w:spacing w:val="-4"/>
        </w:rPr>
        <w:t>Costs</w:t>
      </w:r>
    </w:p>
    <w:p w14:paraId="471D0F4D" w14:textId="77777777" w:rsidR="00141B97" w:rsidRDefault="00911D63">
      <w:pPr>
        <w:pStyle w:val="BodyText"/>
        <w:spacing w:before="71" w:line="249" w:lineRule="auto"/>
        <w:ind w:left="114" w:right="946" w:hanging="1"/>
        <w:jc w:val="both"/>
      </w:pPr>
      <w:r>
        <w:t>Contractor and consultancy costs were higher than budget throughout the regulatory period, primarily due to consulting fees increasing at higher rates than anticipated, but also due to a deliberate strategy of putting an increased</w:t>
      </w:r>
      <w:r>
        <w:rPr>
          <w:spacing w:val="-10"/>
        </w:rPr>
        <w:t xml:space="preserve"> </w:t>
      </w:r>
      <w:r>
        <w:t>focus</w:t>
      </w:r>
      <w:r>
        <w:rPr>
          <w:spacing w:val="-10"/>
        </w:rPr>
        <w:t xml:space="preserve"> </w:t>
      </w:r>
      <w:r>
        <w:t>on</w:t>
      </w:r>
      <w:r>
        <w:rPr>
          <w:spacing w:val="-10"/>
        </w:rPr>
        <w:t xml:space="preserve"> </w:t>
      </w:r>
      <w:r>
        <w:t>planning,</w:t>
      </w:r>
      <w:r>
        <w:rPr>
          <w:spacing w:val="-11"/>
        </w:rPr>
        <w:t xml:space="preserve"> </w:t>
      </w:r>
      <w:r>
        <w:t>options</w:t>
      </w:r>
      <w:r>
        <w:rPr>
          <w:spacing w:val="-10"/>
        </w:rPr>
        <w:t xml:space="preserve"> </w:t>
      </w:r>
      <w:r>
        <w:t>analysis,</w:t>
      </w:r>
      <w:r>
        <w:rPr>
          <w:spacing w:val="-11"/>
        </w:rPr>
        <w:t xml:space="preserve"> </w:t>
      </w:r>
      <w:r>
        <w:t>and</w:t>
      </w:r>
      <w:r>
        <w:rPr>
          <w:spacing w:val="-9"/>
        </w:rPr>
        <w:t xml:space="preserve"> </w:t>
      </w:r>
      <w:r>
        <w:t>preliminary</w:t>
      </w:r>
      <w:r>
        <w:rPr>
          <w:spacing w:val="-11"/>
        </w:rPr>
        <w:t xml:space="preserve"> </w:t>
      </w:r>
      <w:r>
        <w:t>design</w:t>
      </w:r>
      <w:r>
        <w:rPr>
          <w:spacing w:val="-11"/>
        </w:rPr>
        <w:t xml:space="preserve"> </w:t>
      </w:r>
      <w:r>
        <w:t>with</w:t>
      </w:r>
      <w:r>
        <w:rPr>
          <w:spacing w:val="-9"/>
        </w:rPr>
        <w:t xml:space="preserve"> </w:t>
      </w:r>
      <w:r>
        <w:t>the</w:t>
      </w:r>
      <w:r>
        <w:rPr>
          <w:spacing w:val="-10"/>
        </w:rPr>
        <w:t xml:space="preserve"> </w:t>
      </w:r>
      <w:r>
        <w:t>aim</w:t>
      </w:r>
      <w:r>
        <w:rPr>
          <w:spacing w:val="-10"/>
        </w:rPr>
        <w:t xml:space="preserve"> </w:t>
      </w:r>
      <w:r>
        <w:t>of</w:t>
      </w:r>
      <w:r>
        <w:rPr>
          <w:spacing w:val="-9"/>
        </w:rPr>
        <w:t xml:space="preserve"> </w:t>
      </w:r>
      <w:r>
        <w:t>producing</w:t>
      </w:r>
      <w:r>
        <w:rPr>
          <w:spacing w:val="-10"/>
        </w:rPr>
        <w:t xml:space="preserve"> </w:t>
      </w:r>
      <w:r>
        <w:t>superior</w:t>
      </w:r>
      <w:r>
        <w:rPr>
          <w:spacing w:val="-9"/>
        </w:rPr>
        <w:t xml:space="preserve"> </w:t>
      </w:r>
      <w:r>
        <w:t>project outcomes and reducing risk. Through the building of partnerships with contractors and consultants, this approach also served to build capability internally which can be utilised and leveraged on future projects.</w:t>
      </w:r>
    </w:p>
    <w:p w14:paraId="40E0C833" w14:textId="77777777" w:rsidR="00141B97" w:rsidRDefault="00911D63">
      <w:pPr>
        <w:pStyle w:val="BodyText"/>
        <w:spacing w:before="123" w:line="249" w:lineRule="auto"/>
        <w:ind w:left="113" w:right="947" w:hanging="1"/>
        <w:jc w:val="both"/>
      </w:pPr>
      <w:r>
        <w:t>More</w:t>
      </w:r>
      <w:r>
        <w:rPr>
          <w:spacing w:val="-2"/>
        </w:rPr>
        <w:t xml:space="preserve"> </w:t>
      </w:r>
      <w:r>
        <w:t>significant</w:t>
      </w:r>
      <w:r>
        <w:rPr>
          <w:spacing w:val="-2"/>
        </w:rPr>
        <w:t xml:space="preserve"> </w:t>
      </w:r>
      <w:r>
        <w:t>increases</w:t>
      </w:r>
      <w:r>
        <w:rPr>
          <w:spacing w:val="-1"/>
        </w:rPr>
        <w:t xml:space="preserve"> </w:t>
      </w:r>
      <w:r>
        <w:t>in</w:t>
      </w:r>
      <w:r>
        <w:rPr>
          <w:spacing w:val="-2"/>
        </w:rPr>
        <w:t xml:space="preserve"> </w:t>
      </w:r>
      <w:r>
        <w:t>actual</w:t>
      </w:r>
      <w:r>
        <w:rPr>
          <w:spacing w:val="-1"/>
        </w:rPr>
        <w:t xml:space="preserve"> </w:t>
      </w:r>
      <w:r>
        <w:t>expenditures</w:t>
      </w:r>
      <w:r>
        <w:rPr>
          <w:spacing w:val="-2"/>
        </w:rPr>
        <w:t xml:space="preserve"> </w:t>
      </w:r>
      <w:r>
        <w:t>have</w:t>
      </w:r>
      <w:r>
        <w:rPr>
          <w:spacing w:val="-1"/>
        </w:rPr>
        <w:t xml:space="preserve"> </w:t>
      </w:r>
      <w:r>
        <w:t>been</w:t>
      </w:r>
      <w:r>
        <w:rPr>
          <w:spacing w:val="-2"/>
        </w:rPr>
        <w:t xml:space="preserve"> </w:t>
      </w:r>
      <w:r>
        <w:t>manifest</w:t>
      </w:r>
      <w:r>
        <w:rPr>
          <w:spacing w:val="-2"/>
        </w:rPr>
        <w:t xml:space="preserve"> </w:t>
      </w:r>
      <w:r>
        <w:t>in</w:t>
      </w:r>
      <w:r>
        <w:rPr>
          <w:spacing w:val="-2"/>
        </w:rPr>
        <w:t xml:space="preserve"> </w:t>
      </w:r>
      <w:r>
        <w:t>2021‐22, and</w:t>
      </w:r>
      <w:r>
        <w:rPr>
          <w:spacing w:val="-2"/>
        </w:rPr>
        <w:t xml:space="preserve"> </w:t>
      </w:r>
      <w:r>
        <w:t>will</w:t>
      </w:r>
      <w:r>
        <w:rPr>
          <w:spacing w:val="-1"/>
        </w:rPr>
        <w:t xml:space="preserve"> </w:t>
      </w:r>
      <w:r>
        <w:t>continue</w:t>
      </w:r>
      <w:r>
        <w:rPr>
          <w:spacing w:val="-1"/>
        </w:rPr>
        <w:t xml:space="preserve"> </w:t>
      </w:r>
      <w:r>
        <w:t>in</w:t>
      </w:r>
      <w:r>
        <w:rPr>
          <w:spacing w:val="-2"/>
        </w:rPr>
        <w:t xml:space="preserve"> </w:t>
      </w:r>
      <w:r>
        <w:t>2022‐23, due to costs associated with the preparation of PS5. This includes both economic and advisory support for preparation</w:t>
      </w:r>
      <w:r>
        <w:rPr>
          <w:spacing w:val="-6"/>
        </w:rPr>
        <w:t xml:space="preserve"> </w:t>
      </w:r>
      <w:r>
        <w:t>of</w:t>
      </w:r>
      <w:r>
        <w:rPr>
          <w:spacing w:val="-6"/>
        </w:rPr>
        <w:t xml:space="preserve"> </w:t>
      </w:r>
      <w:r>
        <w:t>the</w:t>
      </w:r>
      <w:r>
        <w:rPr>
          <w:spacing w:val="-6"/>
        </w:rPr>
        <w:t xml:space="preserve"> </w:t>
      </w:r>
      <w:r>
        <w:t>submission</w:t>
      </w:r>
      <w:r>
        <w:rPr>
          <w:spacing w:val="-5"/>
        </w:rPr>
        <w:t xml:space="preserve"> </w:t>
      </w:r>
      <w:r>
        <w:t>itself,</w:t>
      </w:r>
      <w:r>
        <w:rPr>
          <w:spacing w:val="-5"/>
        </w:rPr>
        <w:t xml:space="preserve"> </w:t>
      </w:r>
      <w:r>
        <w:t>and</w:t>
      </w:r>
      <w:r>
        <w:rPr>
          <w:spacing w:val="-4"/>
        </w:rPr>
        <w:t xml:space="preserve"> </w:t>
      </w:r>
      <w:r>
        <w:t>technical</w:t>
      </w:r>
      <w:r>
        <w:rPr>
          <w:spacing w:val="-7"/>
        </w:rPr>
        <w:t xml:space="preserve"> </w:t>
      </w:r>
      <w:r>
        <w:t>services</w:t>
      </w:r>
      <w:r>
        <w:rPr>
          <w:spacing w:val="-5"/>
        </w:rPr>
        <w:t xml:space="preserve"> </w:t>
      </w:r>
      <w:r>
        <w:t>to</w:t>
      </w:r>
      <w:r>
        <w:rPr>
          <w:spacing w:val="-6"/>
        </w:rPr>
        <w:t xml:space="preserve"> </w:t>
      </w:r>
      <w:r>
        <w:t>develop</w:t>
      </w:r>
      <w:r>
        <w:rPr>
          <w:spacing w:val="-7"/>
        </w:rPr>
        <w:t xml:space="preserve"> </w:t>
      </w:r>
      <w:r>
        <w:t>system</w:t>
      </w:r>
      <w:r>
        <w:rPr>
          <w:spacing w:val="-5"/>
        </w:rPr>
        <w:t xml:space="preserve"> </w:t>
      </w:r>
      <w:r>
        <w:t>master</w:t>
      </w:r>
      <w:r>
        <w:rPr>
          <w:spacing w:val="-5"/>
        </w:rPr>
        <w:t xml:space="preserve"> </w:t>
      </w:r>
      <w:r>
        <w:t>plans,</w:t>
      </w:r>
      <w:r>
        <w:rPr>
          <w:spacing w:val="-6"/>
        </w:rPr>
        <w:t xml:space="preserve"> </w:t>
      </w:r>
      <w:r>
        <w:t>urban</w:t>
      </w:r>
      <w:r>
        <w:rPr>
          <w:spacing w:val="-7"/>
        </w:rPr>
        <w:t xml:space="preserve"> </w:t>
      </w:r>
      <w:r>
        <w:t>water</w:t>
      </w:r>
      <w:r>
        <w:rPr>
          <w:spacing w:val="-7"/>
        </w:rPr>
        <w:t xml:space="preserve"> </w:t>
      </w:r>
      <w:r>
        <w:t>supply strategy and wastewater strategy, business cases, and costs associated with asset condition assessments and investigation works required for major capital work project scope statements. The need to utilise external resources to accommodate peak workloads (including Price Submission preparation) is largely due to LMW’s very lean permanent workforce, described above, and turnover of key staff.</w:t>
      </w:r>
    </w:p>
    <w:p w14:paraId="0A6D3475" w14:textId="77777777" w:rsidR="00141B97" w:rsidRDefault="00141B97">
      <w:pPr>
        <w:pStyle w:val="BodyText"/>
        <w:spacing w:before="2"/>
        <w:rPr>
          <w:sz w:val="20"/>
        </w:rPr>
      </w:pPr>
    </w:p>
    <w:p w14:paraId="1A821D82" w14:textId="77777777" w:rsidR="00141B97" w:rsidRDefault="00911D63">
      <w:pPr>
        <w:pStyle w:val="ListParagraph"/>
        <w:numPr>
          <w:ilvl w:val="2"/>
          <w:numId w:val="81"/>
        </w:numPr>
        <w:tabs>
          <w:tab w:val="left" w:pos="1112"/>
          <w:tab w:val="left" w:pos="1113"/>
        </w:tabs>
        <w:spacing w:before="1"/>
        <w:jc w:val="both"/>
      </w:pPr>
      <w:r>
        <w:t>Chemical</w:t>
      </w:r>
      <w:r>
        <w:rPr>
          <w:spacing w:val="-9"/>
        </w:rPr>
        <w:t xml:space="preserve"> </w:t>
      </w:r>
      <w:r>
        <w:rPr>
          <w:spacing w:val="-2"/>
        </w:rPr>
        <w:t>Costs</w:t>
      </w:r>
    </w:p>
    <w:p w14:paraId="0CB2D620" w14:textId="77777777" w:rsidR="00141B97" w:rsidRDefault="00911D63">
      <w:pPr>
        <w:pStyle w:val="BodyText"/>
        <w:spacing w:before="69" w:line="249" w:lineRule="auto"/>
        <w:ind w:left="113" w:right="946"/>
        <w:jc w:val="both"/>
      </w:pPr>
      <w:r>
        <w:t>Chemical</w:t>
      </w:r>
      <w:r>
        <w:rPr>
          <w:spacing w:val="-8"/>
        </w:rPr>
        <w:t xml:space="preserve"> </w:t>
      </w:r>
      <w:r>
        <w:t>costs</w:t>
      </w:r>
      <w:r>
        <w:rPr>
          <w:spacing w:val="-9"/>
        </w:rPr>
        <w:t xml:space="preserve"> </w:t>
      </w:r>
      <w:r>
        <w:t>were</w:t>
      </w:r>
      <w:r>
        <w:rPr>
          <w:spacing w:val="-9"/>
        </w:rPr>
        <w:t xml:space="preserve"> </w:t>
      </w:r>
      <w:r>
        <w:t>forecast</w:t>
      </w:r>
      <w:r>
        <w:rPr>
          <w:spacing w:val="-9"/>
        </w:rPr>
        <w:t xml:space="preserve"> </w:t>
      </w:r>
      <w:r>
        <w:t>at</w:t>
      </w:r>
      <w:r>
        <w:rPr>
          <w:spacing w:val="-8"/>
        </w:rPr>
        <w:t xml:space="preserve"> </w:t>
      </w:r>
      <w:r>
        <w:t>normal</w:t>
      </w:r>
      <w:r>
        <w:rPr>
          <w:spacing w:val="-9"/>
        </w:rPr>
        <w:t xml:space="preserve"> </w:t>
      </w:r>
      <w:r>
        <w:t>levels</w:t>
      </w:r>
      <w:r>
        <w:rPr>
          <w:spacing w:val="-8"/>
        </w:rPr>
        <w:t xml:space="preserve"> </w:t>
      </w:r>
      <w:r>
        <w:t>for</w:t>
      </w:r>
      <w:r>
        <w:rPr>
          <w:spacing w:val="-8"/>
        </w:rPr>
        <w:t xml:space="preserve"> </w:t>
      </w:r>
      <w:r>
        <w:t>the</w:t>
      </w:r>
      <w:r>
        <w:rPr>
          <w:spacing w:val="-7"/>
        </w:rPr>
        <w:t xml:space="preserve"> </w:t>
      </w:r>
      <w:r>
        <w:t>PS4</w:t>
      </w:r>
      <w:r>
        <w:rPr>
          <w:spacing w:val="-9"/>
        </w:rPr>
        <w:t xml:space="preserve"> </w:t>
      </w:r>
      <w:r>
        <w:t>period.</w:t>
      </w:r>
      <w:r>
        <w:rPr>
          <w:spacing w:val="-7"/>
        </w:rPr>
        <w:t xml:space="preserve"> </w:t>
      </w:r>
      <w:r>
        <w:t>While</w:t>
      </w:r>
      <w:r>
        <w:rPr>
          <w:spacing w:val="-7"/>
        </w:rPr>
        <w:t xml:space="preserve"> </w:t>
      </w:r>
      <w:r>
        <w:t>efforts</w:t>
      </w:r>
      <w:r>
        <w:rPr>
          <w:spacing w:val="-6"/>
        </w:rPr>
        <w:t xml:space="preserve"> </w:t>
      </w:r>
      <w:r>
        <w:t>were</w:t>
      </w:r>
      <w:r>
        <w:rPr>
          <w:spacing w:val="-9"/>
        </w:rPr>
        <w:t xml:space="preserve"> </w:t>
      </w:r>
      <w:r>
        <w:t>made</w:t>
      </w:r>
      <w:r>
        <w:rPr>
          <w:spacing w:val="-8"/>
        </w:rPr>
        <w:t xml:space="preserve"> </w:t>
      </w:r>
      <w:r>
        <w:t>to</w:t>
      </w:r>
      <w:r>
        <w:rPr>
          <w:spacing w:val="-8"/>
        </w:rPr>
        <w:t xml:space="preserve"> </w:t>
      </w:r>
      <w:r>
        <w:t>reduce</w:t>
      </w:r>
      <w:r>
        <w:rPr>
          <w:spacing w:val="-10"/>
        </w:rPr>
        <w:t xml:space="preserve"> </w:t>
      </w:r>
      <w:r>
        <w:t>the</w:t>
      </w:r>
      <w:r>
        <w:rPr>
          <w:spacing w:val="-9"/>
        </w:rPr>
        <w:t xml:space="preserve"> </w:t>
      </w:r>
      <w:r>
        <w:t>impact of increasing chemical costs by entering into a purchasing contract, poor water quality resulted in an increase in costs over the PS4 period. Continual poor raw water quality combined with a significant blue‐green algae (BGA)</w:t>
      </w:r>
      <w:r>
        <w:rPr>
          <w:spacing w:val="-8"/>
        </w:rPr>
        <w:t xml:space="preserve"> </w:t>
      </w:r>
      <w:r>
        <w:t>event</w:t>
      </w:r>
      <w:r>
        <w:rPr>
          <w:spacing w:val="-8"/>
        </w:rPr>
        <w:t xml:space="preserve"> </w:t>
      </w:r>
      <w:r>
        <w:t>in</w:t>
      </w:r>
      <w:r>
        <w:rPr>
          <w:spacing w:val="-8"/>
        </w:rPr>
        <w:t xml:space="preserve"> </w:t>
      </w:r>
      <w:r>
        <w:t>December</w:t>
      </w:r>
      <w:r>
        <w:rPr>
          <w:spacing w:val="-7"/>
        </w:rPr>
        <w:t xml:space="preserve"> </w:t>
      </w:r>
      <w:r>
        <w:t>2019</w:t>
      </w:r>
      <w:r>
        <w:rPr>
          <w:spacing w:val="-8"/>
        </w:rPr>
        <w:t xml:space="preserve"> </w:t>
      </w:r>
      <w:r>
        <w:t>has</w:t>
      </w:r>
      <w:r>
        <w:rPr>
          <w:spacing w:val="-8"/>
        </w:rPr>
        <w:t xml:space="preserve"> </w:t>
      </w:r>
      <w:r>
        <w:t>resulted</w:t>
      </w:r>
      <w:r>
        <w:rPr>
          <w:spacing w:val="-9"/>
        </w:rPr>
        <w:t xml:space="preserve"> </w:t>
      </w:r>
      <w:r>
        <w:t>in</w:t>
      </w:r>
      <w:r>
        <w:rPr>
          <w:spacing w:val="-8"/>
        </w:rPr>
        <w:t xml:space="preserve"> </w:t>
      </w:r>
      <w:r>
        <w:t>high</w:t>
      </w:r>
      <w:r>
        <w:rPr>
          <w:spacing w:val="-8"/>
        </w:rPr>
        <w:t xml:space="preserve"> </w:t>
      </w:r>
      <w:r>
        <w:t>chemical</w:t>
      </w:r>
      <w:r>
        <w:rPr>
          <w:spacing w:val="-9"/>
        </w:rPr>
        <w:t xml:space="preserve"> </w:t>
      </w:r>
      <w:r>
        <w:t>dosing</w:t>
      </w:r>
      <w:r>
        <w:rPr>
          <w:spacing w:val="-8"/>
        </w:rPr>
        <w:t xml:space="preserve"> </w:t>
      </w:r>
      <w:r>
        <w:t>rates</w:t>
      </w:r>
      <w:r>
        <w:rPr>
          <w:spacing w:val="-8"/>
        </w:rPr>
        <w:t xml:space="preserve"> </w:t>
      </w:r>
      <w:r>
        <w:t>to</w:t>
      </w:r>
      <w:r>
        <w:rPr>
          <w:spacing w:val="-9"/>
        </w:rPr>
        <w:t xml:space="preserve"> </w:t>
      </w:r>
      <w:r>
        <w:t>provide</w:t>
      </w:r>
      <w:r>
        <w:rPr>
          <w:spacing w:val="-8"/>
        </w:rPr>
        <w:t xml:space="preserve"> </w:t>
      </w:r>
      <w:r>
        <w:t>the</w:t>
      </w:r>
      <w:r>
        <w:rPr>
          <w:spacing w:val="-8"/>
        </w:rPr>
        <w:t xml:space="preserve"> </w:t>
      </w:r>
      <w:r>
        <w:t>community</w:t>
      </w:r>
      <w:r>
        <w:rPr>
          <w:spacing w:val="-8"/>
        </w:rPr>
        <w:t xml:space="preserve"> </w:t>
      </w:r>
      <w:r>
        <w:t>with</w:t>
      </w:r>
      <w:r>
        <w:rPr>
          <w:spacing w:val="-7"/>
        </w:rPr>
        <w:t xml:space="preserve"> </w:t>
      </w:r>
      <w:r>
        <w:t>access to safe drinking water and comply with strict water quality standards.</w:t>
      </w:r>
      <w:r>
        <w:rPr>
          <w:spacing w:val="-2"/>
        </w:rPr>
        <w:t xml:space="preserve"> </w:t>
      </w:r>
      <w:r>
        <w:t>The BGA outbreak event triggered the assembly</w:t>
      </w:r>
      <w:r>
        <w:rPr>
          <w:spacing w:val="-5"/>
        </w:rPr>
        <w:t xml:space="preserve"> </w:t>
      </w:r>
      <w:r>
        <w:t>of</w:t>
      </w:r>
      <w:r>
        <w:rPr>
          <w:spacing w:val="-5"/>
        </w:rPr>
        <w:t xml:space="preserve"> </w:t>
      </w:r>
      <w:r>
        <w:t>the</w:t>
      </w:r>
      <w:r>
        <w:rPr>
          <w:spacing w:val="-7"/>
        </w:rPr>
        <w:t xml:space="preserve"> </w:t>
      </w:r>
      <w:r>
        <w:t>LMW</w:t>
      </w:r>
      <w:r>
        <w:rPr>
          <w:spacing w:val="-6"/>
        </w:rPr>
        <w:t xml:space="preserve"> </w:t>
      </w:r>
      <w:r>
        <w:t>Emergency</w:t>
      </w:r>
      <w:r>
        <w:rPr>
          <w:spacing w:val="-7"/>
        </w:rPr>
        <w:t xml:space="preserve"> </w:t>
      </w:r>
      <w:r>
        <w:t>Management</w:t>
      </w:r>
      <w:r>
        <w:rPr>
          <w:spacing w:val="-8"/>
        </w:rPr>
        <w:t xml:space="preserve"> </w:t>
      </w:r>
      <w:r>
        <w:t>Team</w:t>
      </w:r>
      <w:r>
        <w:rPr>
          <w:spacing w:val="-4"/>
        </w:rPr>
        <w:t xml:space="preserve"> </w:t>
      </w:r>
      <w:r>
        <w:t>(EMT)</w:t>
      </w:r>
      <w:r>
        <w:rPr>
          <w:spacing w:val="-6"/>
        </w:rPr>
        <w:t xml:space="preserve"> </w:t>
      </w:r>
      <w:r>
        <w:t>as</w:t>
      </w:r>
      <w:r>
        <w:rPr>
          <w:spacing w:val="-5"/>
        </w:rPr>
        <w:t xml:space="preserve"> </w:t>
      </w:r>
      <w:r>
        <w:t>the</w:t>
      </w:r>
      <w:r>
        <w:rPr>
          <w:spacing w:val="-6"/>
        </w:rPr>
        <w:t xml:space="preserve"> </w:t>
      </w:r>
      <w:r>
        <w:t>density</w:t>
      </w:r>
      <w:r>
        <w:rPr>
          <w:spacing w:val="-6"/>
        </w:rPr>
        <w:t xml:space="preserve"> </w:t>
      </w:r>
      <w:r>
        <w:t>of</w:t>
      </w:r>
      <w:r>
        <w:rPr>
          <w:spacing w:val="-6"/>
        </w:rPr>
        <w:t xml:space="preserve"> </w:t>
      </w:r>
      <w:r>
        <w:t>the</w:t>
      </w:r>
      <w:r>
        <w:rPr>
          <w:spacing w:val="-6"/>
        </w:rPr>
        <w:t xml:space="preserve"> </w:t>
      </w:r>
      <w:r>
        <w:t>BGA</w:t>
      </w:r>
      <w:r>
        <w:rPr>
          <w:spacing w:val="-6"/>
        </w:rPr>
        <w:t xml:space="preserve"> </w:t>
      </w:r>
      <w:r>
        <w:t>in</w:t>
      </w:r>
      <w:r>
        <w:rPr>
          <w:spacing w:val="-6"/>
        </w:rPr>
        <w:t xml:space="preserve"> </w:t>
      </w:r>
      <w:r>
        <w:t>the</w:t>
      </w:r>
      <w:r>
        <w:rPr>
          <w:spacing w:val="-6"/>
        </w:rPr>
        <w:t xml:space="preserve"> </w:t>
      </w:r>
      <w:r>
        <w:t>incoming</w:t>
      </w:r>
      <w:r>
        <w:rPr>
          <w:spacing w:val="-5"/>
        </w:rPr>
        <w:t xml:space="preserve"> </w:t>
      </w:r>
      <w:r>
        <w:t>raw</w:t>
      </w:r>
      <w:r>
        <w:rPr>
          <w:spacing w:val="-5"/>
        </w:rPr>
        <w:t xml:space="preserve"> </w:t>
      </w:r>
      <w:r>
        <w:t>river water to be treated clogged the Red Cliffs and Mildura Water Treatment Plants’ (WTP) water clarifiers.</w:t>
      </w:r>
    </w:p>
    <w:p w14:paraId="43CD518E" w14:textId="77777777" w:rsidR="00141B97" w:rsidRDefault="00141B97">
      <w:pPr>
        <w:pStyle w:val="BodyText"/>
        <w:spacing w:before="2"/>
        <w:rPr>
          <w:sz w:val="20"/>
        </w:rPr>
      </w:pPr>
    </w:p>
    <w:p w14:paraId="36BE9CD0" w14:textId="77777777" w:rsidR="00141B97" w:rsidRDefault="00911D63">
      <w:pPr>
        <w:pStyle w:val="ListParagraph"/>
        <w:numPr>
          <w:ilvl w:val="2"/>
          <w:numId w:val="81"/>
        </w:numPr>
        <w:tabs>
          <w:tab w:val="left" w:pos="1112"/>
          <w:tab w:val="left" w:pos="1113"/>
        </w:tabs>
        <w:jc w:val="both"/>
      </w:pPr>
      <w:r>
        <w:t>Compliance</w:t>
      </w:r>
      <w:r>
        <w:rPr>
          <w:spacing w:val="-11"/>
        </w:rPr>
        <w:t xml:space="preserve"> </w:t>
      </w:r>
      <w:r>
        <w:rPr>
          <w:spacing w:val="-2"/>
        </w:rPr>
        <w:t>Costs</w:t>
      </w:r>
    </w:p>
    <w:p w14:paraId="4992A470" w14:textId="77777777" w:rsidR="00141B97" w:rsidRDefault="00911D63">
      <w:pPr>
        <w:pStyle w:val="BodyText"/>
        <w:spacing w:before="60" w:line="259" w:lineRule="auto"/>
        <w:ind w:left="113" w:right="947"/>
        <w:jc w:val="both"/>
      </w:pPr>
      <w:r>
        <w:t>Compliance with legislative, regulatory, and other obligations is an essential part of ensuring water businesses meet the</w:t>
      </w:r>
      <w:r>
        <w:rPr>
          <w:spacing w:val="-1"/>
        </w:rPr>
        <w:t xml:space="preserve"> </w:t>
      </w:r>
      <w:r>
        <w:t>diverse range of standards</w:t>
      </w:r>
      <w:r>
        <w:rPr>
          <w:spacing w:val="-1"/>
        </w:rPr>
        <w:t xml:space="preserve"> </w:t>
      </w:r>
      <w:r>
        <w:t>and</w:t>
      </w:r>
      <w:r>
        <w:rPr>
          <w:spacing w:val="-1"/>
        </w:rPr>
        <w:t xml:space="preserve"> </w:t>
      </w:r>
      <w:r>
        <w:t>performance</w:t>
      </w:r>
      <w:r>
        <w:rPr>
          <w:spacing w:val="-1"/>
        </w:rPr>
        <w:t xml:space="preserve"> </w:t>
      </w:r>
      <w:r>
        <w:t>outcomes expected by stakeholders and</w:t>
      </w:r>
      <w:r>
        <w:rPr>
          <w:spacing w:val="-1"/>
        </w:rPr>
        <w:t xml:space="preserve"> </w:t>
      </w:r>
      <w:r>
        <w:t>society.</w:t>
      </w:r>
      <w:r>
        <w:rPr>
          <w:spacing w:val="-1"/>
        </w:rPr>
        <w:t xml:space="preserve"> </w:t>
      </w:r>
      <w:r>
        <w:t>It also, however,</w:t>
      </w:r>
      <w:r>
        <w:rPr>
          <w:spacing w:val="-12"/>
        </w:rPr>
        <w:t xml:space="preserve"> </w:t>
      </w:r>
      <w:r>
        <w:t>creates</w:t>
      </w:r>
      <w:r>
        <w:rPr>
          <w:spacing w:val="-10"/>
        </w:rPr>
        <w:t xml:space="preserve"> </w:t>
      </w:r>
      <w:r>
        <w:t>administrative</w:t>
      </w:r>
      <w:r>
        <w:rPr>
          <w:spacing w:val="-12"/>
        </w:rPr>
        <w:t xml:space="preserve"> </w:t>
      </w:r>
      <w:r>
        <w:t>burdens</w:t>
      </w:r>
      <w:r>
        <w:rPr>
          <w:spacing w:val="-12"/>
        </w:rPr>
        <w:t xml:space="preserve"> </w:t>
      </w:r>
      <w:r>
        <w:t>and</w:t>
      </w:r>
      <w:r>
        <w:rPr>
          <w:spacing w:val="-11"/>
        </w:rPr>
        <w:t xml:space="preserve"> </w:t>
      </w:r>
      <w:r>
        <w:t>costs</w:t>
      </w:r>
      <w:r>
        <w:rPr>
          <w:spacing w:val="-10"/>
        </w:rPr>
        <w:t xml:space="preserve"> </w:t>
      </w:r>
      <w:r>
        <w:t>for</w:t>
      </w:r>
      <w:r>
        <w:rPr>
          <w:spacing w:val="-12"/>
        </w:rPr>
        <w:t xml:space="preserve"> </w:t>
      </w:r>
      <w:r>
        <w:t>those</w:t>
      </w:r>
      <w:r>
        <w:rPr>
          <w:spacing w:val="-11"/>
        </w:rPr>
        <w:t xml:space="preserve"> </w:t>
      </w:r>
      <w:r>
        <w:t>that</w:t>
      </w:r>
      <w:r>
        <w:rPr>
          <w:spacing w:val="-12"/>
        </w:rPr>
        <w:t xml:space="preserve"> </w:t>
      </w:r>
      <w:r>
        <w:t>are</w:t>
      </w:r>
      <w:r>
        <w:rPr>
          <w:spacing w:val="-12"/>
        </w:rPr>
        <w:t xml:space="preserve"> </w:t>
      </w:r>
      <w:r>
        <w:t>subject</w:t>
      </w:r>
      <w:r>
        <w:rPr>
          <w:spacing w:val="-12"/>
        </w:rPr>
        <w:t xml:space="preserve"> </w:t>
      </w:r>
      <w:r>
        <w:t>to</w:t>
      </w:r>
      <w:r>
        <w:rPr>
          <w:spacing w:val="-12"/>
        </w:rPr>
        <w:t xml:space="preserve"> </w:t>
      </w:r>
      <w:r>
        <w:t>this</w:t>
      </w:r>
      <w:r>
        <w:rPr>
          <w:spacing w:val="-12"/>
        </w:rPr>
        <w:t xml:space="preserve"> </w:t>
      </w:r>
      <w:r>
        <w:t>compliance,</w:t>
      </w:r>
      <w:r>
        <w:rPr>
          <w:spacing w:val="-11"/>
        </w:rPr>
        <w:t xml:space="preserve"> </w:t>
      </w:r>
      <w:r>
        <w:t>and</w:t>
      </w:r>
      <w:r>
        <w:rPr>
          <w:spacing w:val="-12"/>
        </w:rPr>
        <w:t xml:space="preserve"> </w:t>
      </w:r>
      <w:r>
        <w:t>these</w:t>
      </w:r>
      <w:r>
        <w:rPr>
          <w:spacing w:val="-12"/>
        </w:rPr>
        <w:t xml:space="preserve"> </w:t>
      </w:r>
      <w:r>
        <w:t>costs extend</w:t>
      </w:r>
      <w:r>
        <w:rPr>
          <w:spacing w:val="-8"/>
        </w:rPr>
        <w:t xml:space="preserve"> </w:t>
      </w:r>
      <w:r>
        <w:t>across</w:t>
      </w:r>
      <w:r>
        <w:rPr>
          <w:spacing w:val="-7"/>
        </w:rPr>
        <w:t xml:space="preserve"> </w:t>
      </w:r>
      <w:r>
        <w:t>the</w:t>
      </w:r>
      <w:r>
        <w:rPr>
          <w:spacing w:val="-8"/>
        </w:rPr>
        <w:t xml:space="preserve"> </w:t>
      </w:r>
      <w:r>
        <w:t>business</w:t>
      </w:r>
      <w:r>
        <w:rPr>
          <w:spacing w:val="-7"/>
        </w:rPr>
        <w:t xml:space="preserve"> </w:t>
      </w:r>
      <w:r>
        <w:t>(both</w:t>
      </w:r>
      <w:r>
        <w:rPr>
          <w:spacing w:val="-8"/>
        </w:rPr>
        <w:t xml:space="preserve"> </w:t>
      </w:r>
      <w:r>
        <w:t>urban</w:t>
      </w:r>
      <w:r>
        <w:rPr>
          <w:spacing w:val="-7"/>
        </w:rPr>
        <w:t xml:space="preserve"> </w:t>
      </w:r>
      <w:r>
        <w:t>and</w:t>
      </w:r>
      <w:r>
        <w:rPr>
          <w:spacing w:val="-8"/>
        </w:rPr>
        <w:t xml:space="preserve"> </w:t>
      </w:r>
      <w:r>
        <w:t>rural)</w:t>
      </w:r>
      <w:r>
        <w:rPr>
          <w:spacing w:val="-8"/>
        </w:rPr>
        <w:t xml:space="preserve"> </w:t>
      </w:r>
      <w:r>
        <w:t>and</w:t>
      </w:r>
      <w:r>
        <w:rPr>
          <w:spacing w:val="-7"/>
        </w:rPr>
        <w:t xml:space="preserve"> </w:t>
      </w:r>
      <w:r>
        <w:t>are</w:t>
      </w:r>
      <w:r>
        <w:rPr>
          <w:spacing w:val="-7"/>
        </w:rPr>
        <w:t xml:space="preserve"> </w:t>
      </w:r>
      <w:r>
        <w:t>often</w:t>
      </w:r>
      <w:r>
        <w:rPr>
          <w:spacing w:val="-7"/>
        </w:rPr>
        <w:t xml:space="preserve"> </w:t>
      </w:r>
      <w:r>
        <w:t>not</w:t>
      </w:r>
      <w:r>
        <w:rPr>
          <w:spacing w:val="-7"/>
        </w:rPr>
        <w:t xml:space="preserve"> </w:t>
      </w:r>
      <w:r>
        <w:t>easily</w:t>
      </w:r>
      <w:r>
        <w:rPr>
          <w:spacing w:val="-8"/>
        </w:rPr>
        <w:t xml:space="preserve"> </w:t>
      </w:r>
      <w:r>
        <w:t>identifiable</w:t>
      </w:r>
      <w:r>
        <w:rPr>
          <w:spacing w:val="-9"/>
        </w:rPr>
        <w:t xml:space="preserve"> </w:t>
      </w:r>
      <w:r>
        <w:t>or</w:t>
      </w:r>
      <w:r>
        <w:rPr>
          <w:spacing w:val="-7"/>
        </w:rPr>
        <w:t xml:space="preserve"> </w:t>
      </w:r>
      <w:r>
        <w:t>measurable.</w:t>
      </w:r>
      <w:r>
        <w:rPr>
          <w:spacing w:val="35"/>
        </w:rPr>
        <w:t xml:space="preserve"> </w:t>
      </w:r>
      <w:r>
        <w:t>LMW</w:t>
      </w:r>
      <w:r>
        <w:rPr>
          <w:spacing w:val="-7"/>
        </w:rPr>
        <w:t xml:space="preserve"> </w:t>
      </w:r>
      <w:r>
        <w:t>has efficiently</w:t>
      </w:r>
      <w:r>
        <w:rPr>
          <w:spacing w:val="-13"/>
        </w:rPr>
        <w:t xml:space="preserve"> </w:t>
      </w:r>
      <w:r>
        <w:t>managed</w:t>
      </w:r>
      <w:r>
        <w:rPr>
          <w:spacing w:val="-12"/>
        </w:rPr>
        <w:t xml:space="preserve"> </w:t>
      </w:r>
      <w:r>
        <w:t>additional</w:t>
      </w:r>
      <w:r>
        <w:rPr>
          <w:spacing w:val="-13"/>
        </w:rPr>
        <w:t xml:space="preserve"> </w:t>
      </w:r>
      <w:r>
        <w:t>compliance</w:t>
      </w:r>
      <w:r>
        <w:rPr>
          <w:spacing w:val="-12"/>
        </w:rPr>
        <w:t xml:space="preserve"> </w:t>
      </w:r>
      <w:r>
        <w:t>obligations</w:t>
      </w:r>
      <w:r>
        <w:rPr>
          <w:spacing w:val="-13"/>
        </w:rPr>
        <w:t xml:space="preserve"> </w:t>
      </w:r>
      <w:r>
        <w:t>and</w:t>
      </w:r>
      <w:r>
        <w:rPr>
          <w:spacing w:val="-12"/>
        </w:rPr>
        <w:t xml:space="preserve"> </w:t>
      </w:r>
      <w:r>
        <w:t>expectations</w:t>
      </w:r>
      <w:r>
        <w:rPr>
          <w:spacing w:val="-13"/>
        </w:rPr>
        <w:t xml:space="preserve"> </w:t>
      </w:r>
      <w:r>
        <w:t>during</w:t>
      </w:r>
      <w:r>
        <w:rPr>
          <w:spacing w:val="-12"/>
        </w:rPr>
        <w:t xml:space="preserve"> </w:t>
      </w:r>
      <w:r>
        <w:t>the</w:t>
      </w:r>
      <w:r>
        <w:rPr>
          <w:spacing w:val="-12"/>
        </w:rPr>
        <w:t xml:space="preserve"> </w:t>
      </w:r>
      <w:r>
        <w:t>PS4</w:t>
      </w:r>
      <w:r>
        <w:rPr>
          <w:spacing w:val="-13"/>
        </w:rPr>
        <w:t xml:space="preserve"> </w:t>
      </w:r>
      <w:r>
        <w:t>period</w:t>
      </w:r>
      <w:r>
        <w:rPr>
          <w:spacing w:val="-12"/>
        </w:rPr>
        <w:t xml:space="preserve"> </w:t>
      </w:r>
      <w:r>
        <w:t>while</w:t>
      </w:r>
      <w:r>
        <w:rPr>
          <w:spacing w:val="-12"/>
        </w:rPr>
        <w:t xml:space="preserve"> </w:t>
      </w:r>
      <w:r>
        <w:t>maintaining agreed customer services, with compliance costs accepted as business‐as‐usual requirements.</w:t>
      </w:r>
    </w:p>
    <w:p w14:paraId="19BB4477" w14:textId="77777777" w:rsidR="00141B97" w:rsidRDefault="00141B97">
      <w:pPr>
        <w:pStyle w:val="BodyText"/>
        <w:spacing w:before="7"/>
        <w:rPr>
          <w:sz w:val="23"/>
        </w:rPr>
      </w:pPr>
    </w:p>
    <w:p w14:paraId="403E52A9" w14:textId="77777777" w:rsidR="00141B97" w:rsidRDefault="00911D63">
      <w:pPr>
        <w:pStyle w:val="BodyText"/>
        <w:spacing w:line="259" w:lineRule="auto"/>
        <w:ind w:left="113" w:right="948" w:hanging="1"/>
        <w:jc w:val="both"/>
      </w:pPr>
      <w:r>
        <w:t>The Victorian Water Industry Association (VicWater) recently commissioned a review by Inxure and Frontier Economics of the</w:t>
      </w:r>
      <w:r>
        <w:rPr>
          <w:spacing w:val="-1"/>
        </w:rPr>
        <w:t xml:space="preserve"> </w:t>
      </w:r>
      <w:r>
        <w:t>nature and</w:t>
      </w:r>
      <w:r>
        <w:rPr>
          <w:spacing w:val="-1"/>
        </w:rPr>
        <w:t xml:space="preserve"> </w:t>
      </w:r>
      <w:r>
        <w:t>costs of regulatory and other compliance obligations. The</w:t>
      </w:r>
      <w:r>
        <w:rPr>
          <w:spacing w:val="-1"/>
        </w:rPr>
        <w:t xml:space="preserve"> </w:t>
      </w:r>
      <w:r>
        <w:t>review</w:t>
      </w:r>
      <w:r>
        <w:rPr>
          <w:spacing w:val="-1"/>
        </w:rPr>
        <w:t xml:space="preserve"> </w:t>
      </w:r>
      <w:r>
        <w:t>found that</w:t>
      </w:r>
      <w:r>
        <w:rPr>
          <w:spacing w:val="-1"/>
        </w:rPr>
        <w:t xml:space="preserve"> </w:t>
      </w:r>
      <w:r>
        <w:t>over the five years to 2021/22 administrative compliance costs had almost doubled from $32m to $62m, and that this burden was most pronounced among the smaller water businesses. LMW has not attempted to estimate the quantum of these additional costs in the context of its PS4 performance but notes that they provide an unfavourable backdrop against which the containment of LMW’s overall cost increases to the levels achieved appears even more commendable.</w:t>
      </w:r>
    </w:p>
    <w:p w14:paraId="31F5F789" w14:textId="77777777" w:rsidR="00141B97" w:rsidRDefault="00141B97">
      <w:pPr>
        <w:pStyle w:val="BodyText"/>
        <w:spacing w:before="11"/>
        <w:rPr>
          <w:sz w:val="30"/>
        </w:rPr>
      </w:pPr>
    </w:p>
    <w:p w14:paraId="442609F4" w14:textId="77777777" w:rsidR="00141B97" w:rsidRDefault="00911D63">
      <w:pPr>
        <w:pStyle w:val="Heading2"/>
        <w:numPr>
          <w:ilvl w:val="1"/>
          <w:numId w:val="81"/>
        </w:numPr>
        <w:tabs>
          <w:tab w:val="left" w:pos="1113"/>
        </w:tabs>
        <w:jc w:val="both"/>
      </w:pPr>
      <w:r>
        <w:rPr>
          <w:color w:val="009BAC"/>
        </w:rPr>
        <w:t>Actual</w:t>
      </w:r>
      <w:r>
        <w:rPr>
          <w:color w:val="009BAC"/>
          <w:spacing w:val="-8"/>
        </w:rPr>
        <w:t xml:space="preserve"> </w:t>
      </w:r>
      <w:r>
        <w:rPr>
          <w:color w:val="009BAC"/>
        </w:rPr>
        <w:t>Capital</w:t>
      </w:r>
      <w:r>
        <w:rPr>
          <w:color w:val="009BAC"/>
          <w:spacing w:val="-7"/>
        </w:rPr>
        <w:t xml:space="preserve"> </w:t>
      </w:r>
      <w:r>
        <w:rPr>
          <w:color w:val="009BAC"/>
        </w:rPr>
        <w:t>Expenditure</w:t>
      </w:r>
      <w:r>
        <w:rPr>
          <w:color w:val="009BAC"/>
          <w:spacing w:val="-8"/>
        </w:rPr>
        <w:t xml:space="preserve"> </w:t>
      </w:r>
      <w:r>
        <w:rPr>
          <w:color w:val="009BAC"/>
        </w:rPr>
        <w:t>for</w:t>
      </w:r>
      <w:r>
        <w:rPr>
          <w:color w:val="009BAC"/>
          <w:spacing w:val="-7"/>
        </w:rPr>
        <w:t xml:space="preserve"> </w:t>
      </w:r>
      <w:r>
        <w:rPr>
          <w:color w:val="009BAC"/>
        </w:rPr>
        <w:t>the</w:t>
      </w:r>
      <w:r>
        <w:rPr>
          <w:color w:val="009BAC"/>
          <w:spacing w:val="-8"/>
        </w:rPr>
        <w:t xml:space="preserve"> </w:t>
      </w:r>
      <w:r>
        <w:rPr>
          <w:color w:val="009BAC"/>
        </w:rPr>
        <w:t>Delivery</w:t>
      </w:r>
      <w:r>
        <w:rPr>
          <w:color w:val="009BAC"/>
          <w:spacing w:val="-6"/>
        </w:rPr>
        <w:t xml:space="preserve"> </w:t>
      </w:r>
      <w:r>
        <w:rPr>
          <w:color w:val="009BAC"/>
        </w:rPr>
        <w:t>of</w:t>
      </w:r>
      <w:r>
        <w:rPr>
          <w:color w:val="009BAC"/>
          <w:spacing w:val="-6"/>
        </w:rPr>
        <w:t xml:space="preserve"> </w:t>
      </w:r>
      <w:r>
        <w:rPr>
          <w:color w:val="009BAC"/>
          <w:spacing w:val="-2"/>
        </w:rPr>
        <w:t>Outcomes</w:t>
      </w:r>
    </w:p>
    <w:p w14:paraId="02589E8D" w14:textId="77777777" w:rsidR="00141B97" w:rsidRDefault="00141B97">
      <w:pPr>
        <w:pStyle w:val="BodyText"/>
        <w:spacing w:before="9"/>
        <w:rPr>
          <w:sz w:val="20"/>
        </w:rPr>
      </w:pPr>
    </w:p>
    <w:p w14:paraId="1CC73096" w14:textId="77777777" w:rsidR="00141B97" w:rsidRDefault="00911D63">
      <w:pPr>
        <w:pStyle w:val="ListParagraph"/>
        <w:numPr>
          <w:ilvl w:val="2"/>
          <w:numId w:val="81"/>
        </w:numPr>
        <w:tabs>
          <w:tab w:val="left" w:pos="1112"/>
          <w:tab w:val="left" w:pos="1113"/>
        </w:tabs>
        <w:jc w:val="both"/>
      </w:pPr>
      <w:r>
        <w:rPr>
          <w:spacing w:val="-2"/>
        </w:rPr>
        <w:t>Summary</w:t>
      </w:r>
    </w:p>
    <w:p w14:paraId="209FA82A" w14:textId="77777777" w:rsidR="00141B97" w:rsidRDefault="00911D63">
      <w:pPr>
        <w:pStyle w:val="BodyText"/>
        <w:spacing w:before="59"/>
        <w:ind w:left="113" w:right="949"/>
        <w:jc w:val="both"/>
      </w:pPr>
      <w:r>
        <w:t>The PS4 urban capex program delivered period‐to‐date is $3.4m or 5.0% below budget as shown in Table B7 and also in Figure B3 overleaf.</w:t>
      </w:r>
    </w:p>
    <w:p w14:paraId="28030A2F" w14:textId="77777777" w:rsidR="00141B97" w:rsidRDefault="00141B97">
      <w:pPr>
        <w:pStyle w:val="BodyText"/>
        <w:spacing w:before="1"/>
      </w:pPr>
    </w:p>
    <w:p w14:paraId="17AA6606" w14:textId="77777777" w:rsidR="00141B97" w:rsidRDefault="00911D63">
      <w:pPr>
        <w:pStyle w:val="BodyText"/>
        <w:ind w:left="113" w:right="947"/>
        <w:jc w:val="both"/>
      </w:pPr>
      <w:r>
        <w:t>The</w:t>
      </w:r>
      <w:r>
        <w:rPr>
          <w:spacing w:val="-13"/>
        </w:rPr>
        <w:t xml:space="preserve"> </w:t>
      </w:r>
      <w:r>
        <w:t>capital</w:t>
      </w:r>
      <w:r>
        <w:rPr>
          <w:spacing w:val="-12"/>
        </w:rPr>
        <w:t xml:space="preserve"> </w:t>
      </w:r>
      <w:r>
        <w:t>cost</w:t>
      </w:r>
      <w:r>
        <w:rPr>
          <w:spacing w:val="-13"/>
        </w:rPr>
        <w:t xml:space="preserve"> </w:t>
      </w:r>
      <w:r>
        <w:t>for</w:t>
      </w:r>
      <w:r>
        <w:rPr>
          <w:spacing w:val="-11"/>
        </w:rPr>
        <w:t xml:space="preserve"> </w:t>
      </w:r>
      <w:r>
        <w:t>the</w:t>
      </w:r>
      <w:r>
        <w:rPr>
          <w:spacing w:val="-13"/>
        </w:rPr>
        <w:t xml:space="preserve"> </w:t>
      </w:r>
      <w:r>
        <w:t>service</w:t>
      </w:r>
      <w:r>
        <w:rPr>
          <w:spacing w:val="-11"/>
        </w:rPr>
        <w:t xml:space="preserve"> </w:t>
      </w:r>
      <w:r>
        <w:t>category</w:t>
      </w:r>
      <w:r>
        <w:rPr>
          <w:spacing w:val="-10"/>
        </w:rPr>
        <w:t xml:space="preserve"> </w:t>
      </w:r>
      <w:r>
        <w:t>of</w:t>
      </w:r>
      <w:r>
        <w:rPr>
          <w:spacing w:val="-12"/>
        </w:rPr>
        <w:t xml:space="preserve"> </w:t>
      </w:r>
      <w:r>
        <w:t>Water</w:t>
      </w:r>
      <w:r>
        <w:rPr>
          <w:spacing w:val="-12"/>
        </w:rPr>
        <w:t xml:space="preserve"> </w:t>
      </w:r>
      <w:r>
        <w:t>(including</w:t>
      </w:r>
      <w:r>
        <w:rPr>
          <w:spacing w:val="-13"/>
        </w:rPr>
        <w:t xml:space="preserve"> </w:t>
      </w:r>
      <w:r>
        <w:t>Purchase</w:t>
      </w:r>
      <w:r>
        <w:rPr>
          <w:spacing w:val="-11"/>
        </w:rPr>
        <w:t xml:space="preserve"> </w:t>
      </w:r>
      <w:r>
        <w:t>of</w:t>
      </w:r>
      <w:r>
        <w:rPr>
          <w:spacing w:val="-11"/>
        </w:rPr>
        <w:t xml:space="preserve"> </w:t>
      </w:r>
      <w:r>
        <w:t>Water</w:t>
      </w:r>
      <w:r>
        <w:rPr>
          <w:spacing w:val="-12"/>
        </w:rPr>
        <w:t xml:space="preserve"> </w:t>
      </w:r>
      <w:r>
        <w:t>Entitlements</w:t>
      </w:r>
      <w:r>
        <w:rPr>
          <w:spacing w:val="-11"/>
        </w:rPr>
        <w:t xml:space="preserve"> </w:t>
      </w:r>
      <w:r>
        <w:t>of</w:t>
      </w:r>
      <w:r>
        <w:rPr>
          <w:spacing w:val="-11"/>
        </w:rPr>
        <w:t xml:space="preserve"> </w:t>
      </w:r>
      <w:r>
        <w:t>$5.4m),</w:t>
      </w:r>
      <w:r>
        <w:rPr>
          <w:spacing w:val="-13"/>
        </w:rPr>
        <w:t xml:space="preserve"> </w:t>
      </w:r>
      <w:r>
        <w:t>has</w:t>
      </w:r>
      <w:r>
        <w:rPr>
          <w:spacing w:val="-12"/>
        </w:rPr>
        <w:t xml:space="preserve"> </w:t>
      </w:r>
      <w:r>
        <w:t>been the major contributor to overall</w:t>
      </w:r>
      <w:r>
        <w:rPr>
          <w:spacing w:val="-1"/>
        </w:rPr>
        <w:t xml:space="preserve"> </w:t>
      </w:r>
      <w:r>
        <w:t>variances in service category expenditure. The expenditure profile reflects</w:t>
      </w:r>
      <w:r>
        <w:rPr>
          <w:spacing w:val="-1"/>
        </w:rPr>
        <w:t xml:space="preserve"> </w:t>
      </w:r>
      <w:r>
        <w:t>the improvement of capital delivery processes as PS4 progressed.</w:t>
      </w:r>
    </w:p>
    <w:p w14:paraId="7F18A973" w14:textId="77777777" w:rsidR="00141B97" w:rsidRDefault="00141B97">
      <w:pPr>
        <w:jc w:val="both"/>
        <w:sectPr w:rsidR="00141B97">
          <w:pgSz w:w="11910" w:h="16840"/>
          <w:pgMar w:top="820" w:right="40" w:bottom="760" w:left="1020" w:header="0" w:footer="580" w:gutter="0"/>
          <w:cols w:space="720"/>
        </w:sect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154"/>
        <w:gridCol w:w="766"/>
        <w:gridCol w:w="683"/>
        <w:gridCol w:w="867"/>
        <w:gridCol w:w="710"/>
        <w:gridCol w:w="796"/>
        <w:gridCol w:w="738"/>
        <w:gridCol w:w="751"/>
        <w:gridCol w:w="666"/>
        <w:gridCol w:w="772"/>
        <w:gridCol w:w="836"/>
        <w:gridCol w:w="698"/>
        <w:gridCol w:w="562"/>
      </w:tblGrid>
      <w:tr w:rsidR="00141B97" w14:paraId="594DA397" w14:textId="77777777">
        <w:trPr>
          <w:trHeight w:val="390"/>
          <w:tblCellSpacing w:w="9" w:type="dxa"/>
        </w:trPr>
        <w:tc>
          <w:tcPr>
            <w:tcW w:w="1127" w:type="dxa"/>
            <w:tcBorders>
              <w:top w:val="nil"/>
              <w:left w:val="nil"/>
            </w:tcBorders>
            <w:shd w:val="clear" w:color="auto" w:fill="006CA3"/>
          </w:tcPr>
          <w:p w14:paraId="7029A699" w14:textId="77777777" w:rsidR="00141B97" w:rsidRDefault="00911D63">
            <w:pPr>
              <w:pStyle w:val="TableParagraph"/>
              <w:spacing w:before="1" w:line="195" w:lineRule="exact"/>
              <w:ind w:left="88"/>
              <w:rPr>
                <w:sz w:val="16"/>
              </w:rPr>
            </w:pPr>
            <w:r>
              <w:rPr>
                <w:color w:val="FFFFFF"/>
                <w:spacing w:val="-2"/>
                <w:sz w:val="16"/>
              </w:rPr>
              <w:lastRenderedPageBreak/>
              <w:t>Service</w:t>
            </w:r>
          </w:p>
          <w:p w14:paraId="08E9254F" w14:textId="77777777" w:rsidR="00141B97" w:rsidRDefault="00911D63">
            <w:pPr>
              <w:pStyle w:val="TableParagraph"/>
              <w:spacing w:line="175" w:lineRule="exact"/>
              <w:ind w:left="88"/>
              <w:rPr>
                <w:sz w:val="16"/>
              </w:rPr>
            </w:pPr>
            <w:r>
              <w:rPr>
                <w:color w:val="FFFFFF"/>
                <w:spacing w:val="-2"/>
                <w:sz w:val="16"/>
              </w:rPr>
              <w:t>Category</w:t>
            </w:r>
          </w:p>
        </w:tc>
        <w:tc>
          <w:tcPr>
            <w:tcW w:w="1413" w:type="dxa"/>
            <w:gridSpan w:val="2"/>
            <w:tcBorders>
              <w:top w:val="nil"/>
            </w:tcBorders>
            <w:shd w:val="clear" w:color="auto" w:fill="006CA3"/>
          </w:tcPr>
          <w:p w14:paraId="73490690" w14:textId="77777777" w:rsidR="00141B97" w:rsidRDefault="00911D63">
            <w:pPr>
              <w:pStyle w:val="TableParagraph"/>
              <w:spacing w:before="98"/>
              <w:ind w:left="427"/>
              <w:rPr>
                <w:sz w:val="16"/>
              </w:rPr>
            </w:pPr>
            <w:r>
              <w:rPr>
                <w:color w:val="FFFFFF"/>
                <w:spacing w:val="-2"/>
                <w:sz w:val="16"/>
              </w:rPr>
              <w:t>2018‐19</w:t>
            </w:r>
          </w:p>
        </w:tc>
        <w:tc>
          <w:tcPr>
            <w:tcW w:w="1541" w:type="dxa"/>
            <w:gridSpan w:val="2"/>
            <w:tcBorders>
              <w:top w:val="nil"/>
            </w:tcBorders>
            <w:shd w:val="clear" w:color="auto" w:fill="006CA3"/>
          </w:tcPr>
          <w:p w14:paraId="538DAB5C" w14:textId="77777777" w:rsidR="00141B97" w:rsidRDefault="00911D63">
            <w:pPr>
              <w:pStyle w:val="TableParagraph"/>
              <w:spacing w:before="98"/>
              <w:ind w:left="490"/>
              <w:rPr>
                <w:sz w:val="16"/>
              </w:rPr>
            </w:pPr>
            <w:r>
              <w:rPr>
                <w:color w:val="FFFFFF"/>
                <w:spacing w:val="-2"/>
                <w:sz w:val="16"/>
              </w:rPr>
              <w:t>2019‐20</w:t>
            </w:r>
          </w:p>
        </w:tc>
        <w:tc>
          <w:tcPr>
            <w:tcW w:w="2879" w:type="dxa"/>
            <w:gridSpan w:val="4"/>
            <w:tcBorders>
              <w:top w:val="nil"/>
            </w:tcBorders>
            <w:shd w:val="clear" w:color="auto" w:fill="006CA3"/>
          </w:tcPr>
          <w:p w14:paraId="7CF3DBBC" w14:textId="77777777" w:rsidR="00141B97" w:rsidRDefault="00911D63">
            <w:pPr>
              <w:pStyle w:val="TableParagraph"/>
              <w:tabs>
                <w:tab w:val="left" w:pos="1906"/>
              </w:tabs>
              <w:spacing w:before="98"/>
              <w:ind w:left="467"/>
              <w:rPr>
                <w:sz w:val="16"/>
              </w:rPr>
            </w:pPr>
            <w:r>
              <w:rPr>
                <w:color w:val="FFFFFF"/>
                <w:spacing w:val="-2"/>
                <w:sz w:val="16"/>
              </w:rPr>
              <w:t>2020‐21</w:t>
            </w:r>
            <w:r>
              <w:rPr>
                <w:color w:val="FFFFFF"/>
                <w:sz w:val="16"/>
              </w:rPr>
              <w:tab/>
            </w:r>
            <w:r>
              <w:rPr>
                <w:color w:val="FFFFFF"/>
                <w:spacing w:val="-2"/>
                <w:sz w:val="16"/>
              </w:rPr>
              <w:t>2021‐22</w:t>
            </w:r>
          </w:p>
        </w:tc>
        <w:tc>
          <w:tcPr>
            <w:tcW w:w="1572" w:type="dxa"/>
            <w:gridSpan w:val="2"/>
            <w:tcBorders>
              <w:top w:val="nil"/>
            </w:tcBorders>
            <w:shd w:val="clear" w:color="auto" w:fill="006CA3"/>
          </w:tcPr>
          <w:p w14:paraId="3241AA0B" w14:textId="77777777" w:rsidR="00141B97" w:rsidRDefault="00911D63">
            <w:pPr>
              <w:pStyle w:val="TableParagraph"/>
              <w:spacing w:before="98"/>
              <w:ind w:left="306"/>
              <w:rPr>
                <w:sz w:val="16"/>
              </w:rPr>
            </w:pPr>
            <w:r>
              <w:rPr>
                <w:color w:val="FFFFFF"/>
                <w:sz w:val="16"/>
              </w:rPr>
              <w:t>Period</w:t>
            </w:r>
            <w:r>
              <w:rPr>
                <w:color w:val="FFFFFF"/>
                <w:spacing w:val="-4"/>
                <w:sz w:val="16"/>
              </w:rPr>
              <w:t xml:space="preserve"> </w:t>
            </w:r>
            <w:r>
              <w:rPr>
                <w:color w:val="FFFFFF"/>
                <w:sz w:val="16"/>
              </w:rPr>
              <w:t>to</w:t>
            </w:r>
            <w:r>
              <w:rPr>
                <w:color w:val="FFFFFF"/>
                <w:spacing w:val="-4"/>
                <w:sz w:val="16"/>
              </w:rPr>
              <w:t xml:space="preserve"> Date</w:t>
            </w:r>
          </w:p>
        </w:tc>
        <w:tc>
          <w:tcPr>
            <w:tcW w:w="1215" w:type="dxa"/>
            <w:gridSpan w:val="2"/>
            <w:tcBorders>
              <w:top w:val="nil"/>
              <w:right w:val="nil"/>
            </w:tcBorders>
            <w:shd w:val="clear" w:color="auto" w:fill="006CA3"/>
          </w:tcPr>
          <w:p w14:paraId="1C252D75" w14:textId="77777777" w:rsidR="00141B97" w:rsidRDefault="00911D63">
            <w:pPr>
              <w:pStyle w:val="TableParagraph"/>
              <w:spacing w:before="98"/>
              <w:ind w:left="285"/>
              <w:rPr>
                <w:sz w:val="16"/>
              </w:rPr>
            </w:pPr>
            <w:r>
              <w:rPr>
                <w:color w:val="FFFFFF"/>
                <w:spacing w:val="-2"/>
                <w:sz w:val="16"/>
              </w:rPr>
              <w:t>Variances</w:t>
            </w:r>
          </w:p>
        </w:tc>
      </w:tr>
      <w:tr w:rsidR="00141B97" w14:paraId="60A18679" w14:textId="77777777">
        <w:trPr>
          <w:trHeight w:val="286"/>
          <w:tblCellSpacing w:w="9" w:type="dxa"/>
        </w:trPr>
        <w:tc>
          <w:tcPr>
            <w:tcW w:w="1127" w:type="dxa"/>
            <w:tcBorders>
              <w:left w:val="nil"/>
            </w:tcBorders>
            <w:shd w:val="clear" w:color="auto" w:fill="006CA3"/>
          </w:tcPr>
          <w:p w14:paraId="1289B9A4" w14:textId="77777777" w:rsidR="00141B97" w:rsidRDefault="00911D63">
            <w:pPr>
              <w:pStyle w:val="TableParagraph"/>
              <w:spacing w:before="45"/>
              <w:ind w:left="186"/>
              <w:rPr>
                <w:sz w:val="16"/>
              </w:rPr>
            </w:pPr>
            <w:r>
              <w:rPr>
                <w:color w:val="FFFFFF"/>
                <w:sz w:val="16"/>
              </w:rPr>
              <w:t>$m,</w:t>
            </w:r>
            <w:r>
              <w:rPr>
                <w:color w:val="FFFFFF"/>
                <w:spacing w:val="-3"/>
                <w:sz w:val="16"/>
              </w:rPr>
              <w:t xml:space="preserve"> </w:t>
            </w:r>
            <w:r>
              <w:rPr>
                <w:color w:val="FFFFFF"/>
                <w:spacing w:val="-2"/>
                <w:sz w:val="16"/>
              </w:rPr>
              <w:t>1/1/23</w:t>
            </w:r>
          </w:p>
        </w:tc>
        <w:tc>
          <w:tcPr>
            <w:tcW w:w="748" w:type="dxa"/>
            <w:shd w:val="clear" w:color="auto" w:fill="006CA3"/>
          </w:tcPr>
          <w:p w14:paraId="48A37DA1" w14:textId="77777777" w:rsidR="00141B97" w:rsidRDefault="00911D63">
            <w:pPr>
              <w:pStyle w:val="TableParagraph"/>
              <w:spacing w:before="45"/>
              <w:ind w:right="135"/>
              <w:jc w:val="right"/>
              <w:rPr>
                <w:sz w:val="16"/>
              </w:rPr>
            </w:pPr>
            <w:r>
              <w:rPr>
                <w:color w:val="FFFFFF"/>
                <w:spacing w:val="-2"/>
                <w:sz w:val="16"/>
              </w:rPr>
              <w:t>Budget</w:t>
            </w:r>
          </w:p>
        </w:tc>
        <w:tc>
          <w:tcPr>
            <w:tcW w:w="665" w:type="dxa"/>
            <w:shd w:val="clear" w:color="auto" w:fill="006CA3"/>
          </w:tcPr>
          <w:p w14:paraId="4317540B" w14:textId="77777777" w:rsidR="00141B97" w:rsidRDefault="00911D63">
            <w:pPr>
              <w:pStyle w:val="TableParagraph"/>
              <w:spacing w:before="45"/>
              <w:ind w:right="119"/>
              <w:jc w:val="right"/>
              <w:rPr>
                <w:sz w:val="16"/>
              </w:rPr>
            </w:pPr>
            <w:r>
              <w:rPr>
                <w:color w:val="FFFFFF"/>
                <w:spacing w:val="-2"/>
                <w:sz w:val="16"/>
              </w:rPr>
              <w:t>Actual</w:t>
            </w:r>
          </w:p>
        </w:tc>
        <w:tc>
          <w:tcPr>
            <w:tcW w:w="849" w:type="dxa"/>
            <w:shd w:val="clear" w:color="auto" w:fill="006CA3"/>
          </w:tcPr>
          <w:p w14:paraId="70FFF991" w14:textId="77777777" w:rsidR="00141B97" w:rsidRDefault="00911D63">
            <w:pPr>
              <w:pStyle w:val="TableParagraph"/>
              <w:spacing w:before="45"/>
              <w:ind w:left="183"/>
              <w:rPr>
                <w:sz w:val="16"/>
              </w:rPr>
            </w:pPr>
            <w:r>
              <w:rPr>
                <w:color w:val="FFFFFF"/>
                <w:spacing w:val="-2"/>
                <w:sz w:val="16"/>
              </w:rPr>
              <w:t>Budget</w:t>
            </w:r>
          </w:p>
        </w:tc>
        <w:tc>
          <w:tcPr>
            <w:tcW w:w="692" w:type="dxa"/>
            <w:shd w:val="clear" w:color="auto" w:fill="006CA3"/>
          </w:tcPr>
          <w:p w14:paraId="27162C22" w14:textId="77777777" w:rsidR="00141B97" w:rsidRDefault="00911D63">
            <w:pPr>
              <w:pStyle w:val="TableParagraph"/>
              <w:spacing w:before="45"/>
              <w:ind w:right="133"/>
              <w:jc w:val="right"/>
              <w:rPr>
                <w:sz w:val="16"/>
              </w:rPr>
            </w:pPr>
            <w:r>
              <w:rPr>
                <w:color w:val="FFFFFF"/>
                <w:spacing w:val="-2"/>
                <w:sz w:val="16"/>
              </w:rPr>
              <w:t>Actual</w:t>
            </w:r>
          </w:p>
        </w:tc>
        <w:tc>
          <w:tcPr>
            <w:tcW w:w="778" w:type="dxa"/>
            <w:shd w:val="clear" w:color="auto" w:fill="006CA3"/>
          </w:tcPr>
          <w:p w14:paraId="18A7E2F4" w14:textId="77777777" w:rsidR="00141B97" w:rsidRDefault="00911D63">
            <w:pPr>
              <w:pStyle w:val="TableParagraph"/>
              <w:spacing w:before="45"/>
              <w:ind w:right="151"/>
              <w:jc w:val="right"/>
              <w:rPr>
                <w:sz w:val="16"/>
              </w:rPr>
            </w:pPr>
            <w:r>
              <w:rPr>
                <w:color w:val="FFFFFF"/>
                <w:spacing w:val="-2"/>
                <w:sz w:val="16"/>
              </w:rPr>
              <w:t>Budget</w:t>
            </w:r>
          </w:p>
        </w:tc>
        <w:tc>
          <w:tcPr>
            <w:tcW w:w="720" w:type="dxa"/>
            <w:shd w:val="clear" w:color="auto" w:fill="006CA3"/>
          </w:tcPr>
          <w:p w14:paraId="7BBA72DE" w14:textId="77777777" w:rsidR="00141B97" w:rsidRDefault="00911D63">
            <w:pPr>
              <w:pStyle w:val="TableParagraph"/>
              <w:spacing w:before="45"/>
              <w:ind w:left="90" w:right="96"/>
              <w:jc w:val="center"/>
              <w:rPr>
                <w:sz w:val="16"/>
              </w:rPr>
            </w:pPr>
            <w:r>
              <w:rPr>
                <w:color w:val="FFFFFF"/>
                <w:spacing w:val="-2"/>
                <w:sz w:val="16"/>
              </w:rPr>
              <w:t>Actual</w:t>
            </w:r>
          </w:p>
        </w:tc>
        <w:tc>
          <w:tcPr>
            <w:tcW w:w="733" w:type="dxa"/>
            <w:shd w:val="clear" w:color="auto" w:fill="006CA3"/>
          </w:tcPr>
          <w:p w14:paraId="3AD5B2BF" w14:textId="77777777" w:rsidR="00141B97" w:rsidRDefault="00911D63">
            <w:pPr>
              <w:pStyle w:val="TableParagraph"/>
              <w:spacing w:before="45"/>
              <w:ind w:right="129"/>
              <w:jc w:val="right"/>
              <w:rPr>
                <w:sz w:val="16"/>
              </w:rPr>
            </w:pPr>
            <w:r>
              <w:rPr>
                <w:color w:val="FFFFFF"/>
                <w:spacing w:val="-2"/>
                <w:sz w:val="16"/>
              </w:rPr>
              <w:t>Budget</w:t>
            </w:r>
          </w:p>
        </w:tc>
        <w:tc>
          <w:tcPr>
            <w:tcW w:w="648" w:type="dxa"/>
            <w:shd w:val="clear" w:color="auto" w:fill="006CA3"/>
          </w:tcPr>
          <w:p w14:paraId="33372C38" w14:textId="77777777" w:rsidR="00141B97" w:rsidRDefault="00911D63">
            <w:pPr>
              <w:pStyle w:val="TableParagraph"/>
              <w:spacing w:before="45"/>
              <w:ind w:right="112"/>
              <w:jc w:val="right"/>
              <w:rPr>
                <w:sz w:val="16"/>
              </w:rPr>
            </w:pPr>
            <w:r>
              <w:rPr>
                <w:color w:val="FFFFFF"/>
                <w:spacing w:val="-2"/>
                <w:sz w:val="16"/>
              </w:rPr>
              <w:t>Actual</w:t>
            </w:r>
          </w:p>
        </w:tc>
        <w:tc>
          <w:tcPr>
            <w:tcW w:w="754" w:type="dxa"/>
            <w:shd w:val="clear" w:color="auto" w:fill="006CA3"/>
          </w:tcPr>
          <w:p w14:paraId="66A82A39" w14:textId="77777777" w:rsidR="00141B97" w:rsidRDefault="00911D63">
            <w:pPr>
              <w:pStyle w:val="TableParagraph"/>
              <w:spacing w:before="45"/>
              <w:ind w:right="139"/>
              <w:jc w:val="right"/>
              <w:rPr>
                <w:sz w:val="16"/>
              </w:rPr>
            </w:pPr>
            <w:r>
              <w:rPr>
                <w:color w:val="FFFFFF"/>
                <w:spacing w:val="-2"/>
                <w:sz w:val="16"/>
              </w:rPr>
              <w:t>Budget</w:t>
            </w:r>
          </w:p>
        </w:tc>
        <w:tc>
          <w:tcPr>
            <w:tcW w:w="818" w:type="dxa"/>
            <w:shd w:val="clear" w:color="auto" w:fill="006CA3"/>
          </w:tcPr>
          <w:p w14:paraId="5C68AA4B" w14:textId="77777777" w:rsidR="00141B97" w:rsidRDefault="00911D63">
            <w:pPr>
              <w:pStyle w:val="TableParagraph"/>
              <w:spacing w:before="38"/>
              <w:ind w:left="193"/>
              <w:rPr>
                <w:sz w:val="16"/>
              </w:rPr>
            </w:pPr>
            <w:r>
              <w:rPr>
                <w:color w:val="FFFFFF"/>
                <w:spacing w:val="-2"/>
                <w:sz w:val="16"/>
              </w:rPr>
              <w:t>Actual</w:t>
            </w:r>
          </w:p>
        </w:tc>
        <w:tc>
          <w:tcPr>
            <w:tcW w:w="680" w:type="dxa"/>
            <w:shd w:val="clear" w:color="auto" w:fill="006CA3"/>
          </w:tcPr>
          <w:p w14:paraId="3659D411" w14:textId="77777777" w:rsidR="00141B97" w:rsidRDefault="00911D63">
            <w:pPr>
              <w:pStyle w:val="TableParagraph"/>
              <w:spacing w:before="45"/>
              <w:ind w:left="221"/>
              <w:rPr>
                <w:sz w:val="16"/>
              </w:rPr>
            </w:pPr>
            <w:r>
              <w:rPr>
                <w:color w:val="FFFFFF"/>
                <w:spacing w:val="-5"/>
                <w:sz w:val="16"/>
              </w:rPr>
              <w:t>$m</w:t>
            </w:r>
          </w:p>
        </w:tc>
        <w:tc>
          <w:tcPr>
            <w:tcW w:w="535" w:type="dxa"/>
            <w:tcBorders>
              <w:right w:val="nil"/>
            </w:tcBorders>
            <w:shd w:val="clear" w:color="auto" w:fill="006CA3"/>
          </w:tcPr>
          <w:p w14:paraId="2F295B55" w14:textId="77777777" w:rsidR="00141B97" w:rsidRDefault="00911D63">
            <w:pPr>
              <w:pStyle w:val="TableParagraph"/>
              <w:spacing w:before="45"/>
              <w:ind w:right="1"/>
              <w:jc w:val="center"/>
              <w:rPr>
                <w:sz w:val="16"/>
              </w:rPr>
            </w:pPr>
            <w:r>
              <w:rPr>
                <w:color w:val="FFFFFF"/>
                <w:w w:val="99"/>
                <w:sz w:val="16"/>
              </w:rPr>
              <w:t>%</w:t>
            </w:r>
          </w:p>
        </w:tc>
      </w:tr>
      <w:tr w:rsidR="00141B97" w14:paraId="4B19CEBE" w14:textId="77777777">
        <w:trPr>
          <w:trHeight w:val="269"/>
          <w:tblCellSpacing w:w="9" w:type="dxa"/>
        </w:trPr>
        <w:tc>
          <w:tcPr>
            <w:tcW w:w="1127" w:type="dxa"/>
            <w:tcBorders>
              <w:left w:val="nil"/>
            </w:tcBorders>
            <w:shd w:val="clear" w:color="auto" w:fill="CCE2ED"/>
          </w:tcPr>
          <w:p w14:paraId="2FB0AB72" w14:textId="77777777" w:rsidR="00141B97" w:rsidRDefault="00911D63">
            <w:pPr>
              <w:pStyle w:val="TableParagraph"/>
              <w:spacing w:before="37"/>
              <w:ind w:left="88"/>
              <w:rPr>
                <w:sz w:val="16"/>
              </w:rPr>
            </w:pPr>
            <w:r>
              <w:rPr>
                <w:spacing w:val="-2"/>
                <w:sz w:val="16"/>
              </w:rPr>
              <w:t>Water</w:t>
            </w:r>
          </w:p>
        </w:tc>
        <w:tc>
          <w:tcPr>
            <w:tcW w:w="748" w:type="dxa"/>
            <w:shd w:val="clear" w:color="auto" w:fill="CCE2ED"/>
          </w:tcPr>
          <w:p w14:paraId="27AE05F0" w14:textId="77777777" w:rsidR="00141B97" w:rsidRDefault="00911D63">
            <w:pPr>
              <w:pStyle w:val="TableParagraph"/>
              <w:spacing w:before="37"/>
              <w:ind w:right="97"/>
              <w:jc w:val="right"/>
              <w:rPr>
                <w:sz w:val="16"/>
              </w:rPr>
            </w:pPr>
            <w:r>
              <w:rPr>
                <w:spacing w:val="-2"/>
                <w:sz w:val="16"/>
              </w:rPr>
              <w:t>10.55</w:t>
            </w:r>
          </w:p>
        </w:tc>
        <w:tc>
          <w:tcPr>
            <w:tcW w:w="665" w:type="dxa"/>
            <w:shd w:val="clear" w:color="auto" w:fill="CCE2ED"/>
          </w:tcPr>
          <w:p w14:paraId="5A2693A4" w14:textId="77777777" w:rsidR="00141B97" w:rsidRDefault="00911D63">
            <w:pPr>
              <w:pStyle w:val="TableParagraph"/>
              <w:spacing w:before="37"/>
              <w:ind w:right="99"/>
              <w:jc w:val="right"/>
              <w:rPr>
                <w:sz w:val="16"/>
              </w:rPr>
            </w:pPr>
            <w:r>
              <w:rPr>
                <w:spacing w:val="-4"/>
                <w:sz w:val="16"/>
              </w:rPr>
              <w:t>7.52</w:t>
            </w:r>
          </w:p>
        </w:tc>
        <w:tc>
          <w:tcPr>
            <w:tcW w:w="849" w:type="dxa"/>
            <w:shd w:val="clear" w:color="auto" w:fill="CCE2ED"/>
          </w:tcPr>
          <w:p w14:paraId="14FAD10C" w14:textId="77777777" w:rsidR="00141B97" w:rsidRDefault="00911D63">
            <w:pPr>
              <w:pStyle w:val="TableParagraph"/>
              <w:spacing w:before="37"/>
              <w:ind w:right="98"/>
              <w:jc w:val="right"/>
              <w:rPr>
                <w:sz w:val="16"/>
              </w:rPr>
            </w:pPr>
            <w:r>
              <w:rPr>
                <w:spacing w:val="-4"/>
                <w:sz w:val="16"/>
              </w:rPr>
              <w:t>4.41</w:t>
            </w:r>
          </w:p>
        </w:tc>
        <w:tc>
          <w:tcPr>
            <w:tcW w:w="692" w:type="dxa"/>
            <w:shd w:val="clear" w:color="auto" w:fill="CCE2ED"/>
          </w:tcPr>
          <w:p w14:paraId="7532845C" w14:textId="77777777" w:rsidR="00141B97" w:rsidRDefault="00911D63">
            <w:pPr>
              <w:pStyle w:val="TableParagraph"/>
              <w:spacing w:before="37"/>
              <w:ind w:right="99"/>
              <w:jc w:val="right"/>
              <w:rPr>
                <w:sz w:val="16"/>
              </w:rPr>
            </w:pPr>
            <w:r>
              <w:rPr>
                <w:spacing w:val="-4"/>
                <w:sz w:val="16"/>
              </w:rPr>
              <w:t>5.90</w:t>
            </w:r>
          </w:p>
        </w:tc>
        <w:tc>
          <w:tcPr>
            <w:tcW w:w="778" w:type="dxa"/>
            <w:shd w:val="clear" w:color="auto" w:fill="CCE2ED"/>
          </w:tcPr>
          <w:p w14:paraId="2E0CB6CF" w14:textId="77777777" w:rsidR="00141B97" w:rsidRDefault="00911D63">
            <w:pPr>
              <w:pStyle w:val="TableParagraph"/>
              <w:spacing w:before="37"/>
              <w:ind w:right="99"/>
              <w:jc w:val="right"/>
              <w:rPr>
                <w:sz w:val="16"/>
              </w:rPr>
            </w:pPr>
            <w:r>
              <w:rPr>
                <w:spacing w:val="-2"/>
                <w:sz w:val="16"/>
              </w:rPr>
              <w:t>10.41</w:t>
            </w:r>
          </w:p>
        </w:tc>
        <w:tc>
          <w:tcPr>
            <w:tcW w:w="720" w:type="dxa"/>
            <w:shd w:val="clear" w:color="auto" w:fill="CCE2ED"/>
          </w:tcPr>
          <w:p w14:paraId="38CDE091" w14:textId="77777777" w:rsidR="00141B97" w:rsidRDefault="00911D63">
            <w:pPr>
              <w:pStyle w:val="TableParagraph"/>
              <w:spacing w:before="37"/>
              <w:ind w:left="309" w:right="96"/>
              <w:jc w:val="center"/>
              <w:rPr>
                <w:sz w:val="16"/>
              </w:rPr>
            </w:pPr>
            <w:r>
              <w:rPr>
                <w:spacing w:val="-4"/>
                <w:sz w:val="16"/>
              </w:rPr>
              <w:t>6.95</w:t>
            </w:r>
          </w:p>
        </w:tc>
        <w:tc>
          <w:tcPr>
            <w:tcW w:w="733" w:type="dxa"/>
            <w:shd w:val="clear" w:color="auto" w:fill="CCE2ED"/>
          </w:tcPr>
          <w:p w14:paraId="4D2CEB73" w14:textId="77777777" w:rsidR="00141B97" w:rsidRDefault="00911D63">
            <w:pPr>
              <w:pStyle w:val="TableParagraph"/>
              <w:spacing w:before="37"/>
              <w:ind w:right="99"/>
              <w:jc w:val="right"/>
              <w:rPr>
                <w:sz w:val="16"/>
              </w:rPr>
            </w:pPr>
            <w:r>
              <w:rPr>
                <w:spacing w:val="-4"/>
                <w:sz w:val="16"/>
              </w:rPr>
              <w:t>7.21</w:t>
            </w:r>
          </w:p>
        </w:tc>
        <w:tc>
          <w:tcPr>
            <w:tcW w:w="648" w:type="dxa"/>
            <w:shd w:val="clear" w:color="auto" w:fill="CCE2ED"/>
          </w:tcPr>
          <w:p w14:paraId="4F516D46" w14:textId="77777777" w:rsidR="00141B97" w:rsidRDefault="00911D63">
            <w:pPr>
              <w:pStyle w:val="TableParagraph"/>
              <w:spacing w:before="37"/>
              <w:ind w:right="99"/>
              <w:jc w:val="right"/>
              <w:rPr>
                <w:sz w:val="16"/>
              </w:rPr>
            </w:pPr>
            <w:r>
              <w:rPr>
                <w:spacing w:val="-2"/>
                <w:sz w:val="16"/>
              </w:rPr>
              <w:t>18.66</w:t>
            </w:r>
          </w:p>
        </w:tc>
        <w:tc>
          <w:tcPr>
            <w:tcW w:w="754" w:type="dxa"/>
            <w:shd w:val="clear" w:color="auto" w:fill="CCE2ED"/>
          </w:tcPr>
          <w:p w14:paraId="01D9EFC0" w14:textId="77777777" w:rsidR="00141B97" w:rsidRDefault="00911D63">
            <w:pPr>
              <w:pStyle w:val="TableParagraph"/>
              <w:spacing w:before="37"/>
              <w:ind w:right="99"/>
              <w:jc w:val="right"/>
              <w:rPr>
                <w:sz w:val="16"/>
              </w:rPr>
            </w:pPr>
            <w:r>
              <w:rPr>
                <w:spacing w:val="-2"/>
                <w:sz w:val="16"/>
              </w:rPr>
              <w:t>32.57</w:t>
            </w:r>
          </w:p>
        </w:tc>
        <w:tc>
          <w:tcPr>
            <w:tcW w:w="818" w:type="dxa"/>
            <w:shd w:val="clear" w:color="auto" w:fill="CCE2ED"/>
          </w:tcPr>
          <w:p w14:paraId="20CF39A5" w14:textId="77777777" w:rsidR="00141B97" w:rsidRDefault="00911D63">
            <w:pPr>
              <w:pStyle w:val="TableParagraph"/>
              <w:spacing w:before="37"/>
              <w:ind w:right="99"/>
              <w:jc w:val="right"/>
              <w:rPr>
                <w:sz w:val="16"/>
              </w:rPr>
            </w:pPr>
            <w:r>
              <w:rPr>
                <w:spacing w:val="-2"/>
                <w:sz w:val="16"/>
              </w:rPr>
              <w:t>39.04</w:t>
            </w:r>
          </w:p>
        </w:tc>
        <w:tc>
          <w:tcPr>
            <w:tcW w:w="680" w:type="dxa"/>
            <w:shd w:val="clear" w:color="auto" w:fill="CCE2ED"/>
          </w:tcPr>
          <w:p w14:paraId="48E33ED1" w14:textId="77777777" w:rsidR="00141B97" w:rsidRDefault="00911D63">
            <w:pPr>
              <w:pStyle w:val="TableParagraph"/>
              <w:spacing w:before="37"/>
              <w:ind w:left="275"/>
              <w:rPr>
                <w:sz w:val="16"/>
              </w:rPr>
            </w:pPr>
            <w:r>
              <w:rPr>
                <w:spacing w:val="-4"/>
                <w:sz w:val="16"/>
              </w:rPr>
              <w:t>6.47</w:t>
            </w:r>
          </w:p>
        </w:tc>
        <w:tc>
          <w:tcPr>
            <w:tcW w:w="535" w:type="dxa"/>
            <w:tcBorders>
              <w:right w:val="nil"/>
            </w:tcBorders>
            <w:shd w:val="clear" w:color="auto" w:fill="CCE2ED"/>
          </w:tcPr>
          <w:p w14:paraId="50EDBA88" w14:textId="77777777" w:rsidR="00141B97" w:rsidRDefault="00911D63">
            <w:pPr>
              <w:pStyle w:val="TableParagraph"/>
              <w:spacing w:before="37"/>
              <w:ind w:left="93" w:right="42"/>
              <w:jc w:val="center"/>
              <w:rPr>
                <w:sz w:val="16"/>
              </w:rPr>
            </w:pPr>
            <w:r>
              <w:rPr>
                <w:spacing w:val="-5"/>
                <w:sz w:val="16"/>
              </w:rPr>
              <w:t>20%</w:t>
            </w:r>
          </w:p>
        </w:tc>
      </w:tr>
      <w:tr w:rsidR="00141B97" w14:paraId="422F116D" w14:textId="77777777">
        <w:trPr>
          <w:trHeight w:val="390"/>
          <w:tblCellSpacing w:w="9" w:type="dxa"/>
        </w:trPr>
        <w:tc>
          <w:tcPr>
            <w:tcW w:w="1127" w:type="dxa"/>
            <w:tcBorders>
              <w:left w:val="nil"/>
            </w:tcBorders>
            <w:shd w:val="clear" w:color="auto" w:fill="CCE2ED"/>
          </w:tcPr>
          <w:p w14:paraId="381D38F9" w14:textId="77777777" w:rsidR="00141B97" w:rsidRDefault="00911D63">
            <w:pPr>
              <w:pStyle w:val="TableParagraph"/>
              <w:spacing w:before="1" w:line="195" w:lineRule="exact"/>
              <w:ind w:left="88"/>
              <w:rPr>
                <w:sz w:val="16"/>
              </w:rPr>
            </w:pPr>
            <w:r>
              <w:rPr>
                <w:spacing w:val="-2"/>
                <w:sz w:val="16"/>
              </w:rPr>
              <w:t>Water</w:t>
            </w:r>
          </w:p>
          <w:p w14:paraId="541F7C27" w14:textId="77777777" w:rsidR="00141B97" w:rsidRDefault="00911D63">
            <w:pPr>
              <w:pStyle w:val="TableParagraph"/>
              <w:spacing w:line="175" w:lineRule="exact"/>
              <w:ind w:left="88"/>
              <w:rPr>
                <w:sz w:val="16"/>
              </w:rPr>
            </w:pPr>
            <w:r>
              <w:rPr>
                <w:spacing w:val="-2"/>
                <w:sz w:val="16"/>
              </w:rPr>
              <w:t>corporate</w:t>
            </w:r>
          </w:p>
        </w:tc>
        <w:tc>
          <w:tcPr>
            <w:tcW w:w="748" w:type="dxa"/>
            <w:shd w:val="clear" w:color="auto" w:fill="CCE2ED"/>
          </w:tcPr>
          <w:p w14:paraId="56EAB9E3" w14:textId="77777777" w:rsidR="00141B97" w:rsidRDefault="00911D63">
            <w:pPr>
              <w:pStyle w:val="TableParagraph"/>
              <w:spacing w:before="98"/>
              <w:ind w:right="97"/>
              <w:jc w:val="right"/>
              <w:rPr>
                <w:sz w:val="16"/>
              </w:rPr>
            </w:pPr>
            <w:r>
              <w:rPr>
                <w:spacing w:val="-4"/>
                <w:sz w:val="16"/>
              </w:rPr>
              <w:t>2.04</w:t>
            </w:r>
          </w:p>
        </w:tc>
        <w:tc>
          <w:tcPr>
            <w:tcW w:w="665" w:type="dxa"/>
            <w:shd w:val="clear" w:color="auto" w:fill="CCE2ED"/>
          </w:tcPr>
          <w:p w14:paraId="05EA0B84" w14:textId="77777777" w:rsidR="00141B97" w:rsidRDefault="00911D63">
            <w:pPr>
              <w:pStyle w:val="TableParagraph"/>
              <w:spacing w:before="98"/>
              <w:ind w:right="99"/>
              <w:jc w:val="right"/>
              <w:rPr>
                <w:sz w:val="16"/>
              </w:rPr>
            </w:pPr>
            <w:r>
              <w:rPr>
                <w:spacing w:val="-4"/>
                <w:sz w:val="16"/>
              </w:rPr>
              <w:t>0.80</w:t>
            </w:r>
          </w:p>
        </w:tc>
        <w:tc>
          <w:tcPr>
            <w:tcW w:w="849" w:type="dxa"/>
            <w:shd w:val="clear" w:color="auto" w:fill="CCE2ED"/>
          </w:tcPr>
          <w:p w14:paraId="7EC87674" w14:textId="77777777" w:rsidR="00141B97" w:rsidRDefault="00911D63">
            <w:pPr>
              <w:pStyle w:val="TableParagraph"/>
              <w:spacing w:before="98"/>
              <w:ind w:right="98"/>
              <w:jc w:val="right"/>
              <w:rPr>
                <w:sz w:val="16"/>
              </w:rPr>
            </w:pPr>
            <w:r>
              <w:rPr>
                <w:spacing w:val="-4"/>
                <w:sz w:val="16"/>
              </w:rPr>
              <w:t>1.72</w:t>
            </w:r>
          </w:p>
        </w:tc>
        <w:tc>
          <w:tcPr>
            <w:tcW w:w="692" w:type="dxa"/>
            <w:shd w:val="clear" w:color="auto" w:fill="CCE2ED"/>
          </w:tcPr>
          <w:p w14:paraId="6B75467C" w14:textId="77777777" w:rsidR="00141B97" w:rsidRDefault="00911D63">
            <w:pPr>
              <w:pStyle w:val="TableParagraph"/>
              <w:spacing w:before="98"/>
              <w:ind w:right="99"/>
              <w:jc w:val="right"/>
              <w:rPr>
                <w:sz w:val="16"/>
              </w:rPr>
            </w:pPr>
            <w:r>
              <w:rPr>
                <w:spacing w:val="-4"/>
                <w:sz w:val="16"/>
              </w:rPr>
              <w:t>1.04</w:t>
            </w:r>
          </w:p>
        </w:tc>
        <w:tc>
          <w:tcPr>
            <w:tcW w:w="778" w:type="dxa"/>
            <w:shd w:val="clear" w:color="auto" w:fill="CCE2ED"/>
          </w:tcPr>
          <w:p w14:paraId="0D1DF71D" w14:textId="77777777" w:rsidR="00141B97" w:rsidRDefault="00911D63">
            <w:pPr>
              <w:pStyle w:val="TableParagraph"/>
              <w:spacing w:before="98"/>
              <w:ind w:right="99"/>
              <w:jc w:val="right"/>
              <w:rPr>
                <w:sz w:val="16"/>
              </w:rPr>
            </w:pPr>
            <w:r>
              <w:rPr>
                <w:spacing w:val="-4"/>
                <w:sz w:val="16"/>
              </w:rPr>
              <w:t>1.50</w:t>
            </w:r>
          </w:p>
        </w:tc>
        <w:tc>
          <w:tcPr>
            <w:tcW w:w="720" w:type="dxa"/>
            <w:shd w:val="clear" w:color="auto" w:fill="CCE2ED"/>
          </w:tcPr>
          <w:p w14:paraId="519DD4F2" w14:textId="77777777" w:rsidR="00141B97" w:rsidRDefault="00911D63">
            <w:pPr>
              <w:pStyle w:val="TableParagraph"/>
              <w:spacing w:before="98"/>
              <w:ind w:left="309" w:right="96"/>
              <w:jc w:val="center"/>
              <w:rPr>
                <w:sz w:val="16"/>
              </w:rPr>
            </w:pPr>
            <w:r>
              <w:rPr>
                <w:spacing w:val="-4"/>
                <w:sz w:val="16"/>
              </w:rPr>
              <w:t>0.65</w:t>
            </w:r>
          </w:p>
        </w:tc>
        <w:tc>
          <w:tcPr>
            <w:tcW w:w="733" w:type="dxa"/>
            <w:shd w:val="clear" w:color="auto" w:fill="CCE2ED"/>
          </w:tcPr>
          <w:p w14:paraId="2EFF37B5" w14:textId="77777777" w:rsidR="00141B97" w:rsidRDefault="00911D63">
            <w:pPr>
              <w:pStyle w:val="TableParagraph"/>
              <w:spacing w:before="98"/>
              <w:ind w:right="99"/>
              <w:jc w:val="right"/>
              <w:rPr>
                <w:sz w:val="16"/>
              </w:rPr>
            </w:pPr>
            <w:r>
              <w:rPr>
                <w:spacing w:val="-4"/>
                <w:sz w:val="16"/>
              </w:rPr>
              <w:t>1.41</w:t>
            </w:r>
          </w:p>
        </w:tc>
        <w:tc>
          <w:tcPr>
            <w:tcW w:w="648" w:type="dxa"/>
            <w:shd w:val="clear" w:color="auto" w:fill="CCE2ED"/>
          </w:tcPr>
          <w:p w14:paraId="1008F4E5" w14:textId="77777777" w:rsidR="00141B97" w:rsidRDefault="00911D63">
            <w:pPr>
              <w:pStyle w:val="TableParagraph"/>
              <w:spacing w:before="98"/>
              <w:ind w:right="99"/>
              <w:jc w:val="right"/>
              <w:rPr>
                <w:sz w:val="16"/>
              </w:rPr>
            </w:pPr>
            <w:r>
              <w:rPr>
                <w:spacing w:val="-4"/>
                <w:sz w:val="16"/>
              </w:rPr>
              <w:t>1.44</w:t>
            </w:r>
          </w:p>
        </w:tc>
        <w:tc>
          <w:tcPr>
            <w:tcW w:w="754" w:type="dxa"/>
            <w:shd w:val="clear" w:color="auto" w:fill="CCE2ED"/>
          </w:tcPr>
          <w:p w14:paraId="42A7BC60" w14:textId="77777777" w:rsidR="00141B97" w:rsidRDefault="00911D63">
            <w:pPr>
              <w:pStyle w:val="TableParagraph"/>
              <w:spacing w:before="98"/>
              <w:ind w:right="99"/>
              <w:jc w:val="right"/>
              <w:rPr>
                <w:sz w:val="16"/>
              </w:rPr>
            </w:pPr>
            <w:r>
              <w:rPr>
                <w:spacing w:val="-4"/>
                <w:sz w:val="16"/>
              </w:rPr>
              <w:t>6.66</w:t>
            </w:r>
          </w:p>
        </w:tc>
        <w:tc>
          <w:tcPr>
            <w:tcW w:w="818" w:type="dxa"/>
            <w:shd w:val="clear" w:color="auto" w:fill="CCE2ED"/>
          </w:tcPr>
          <w:p w14:paraId="37F277C8" w14:textId="77777777" w:rsidR="00141B97" w:rsidRDefault="00911D63">
            <w:pPr>
              <w:pStyle w:val="TableParagraph"/>
              <w:spacing w:before="98"/>
              <w:ind w:right="99"/>
              <w:jc w:val="right"/>
              <w:rPr>
                <w:sz w:val="16"/>
              </w:rPr>
            </w:pPr>
            <w:r>
              <w:rPr>
                <w:spacing w:val="-4"/>
                <w:sz w:val="16"/>
              </w:rPr>
              <w:t>3.93</w:t>
            </w:r>
          </w:p>
        </w:tc>
        <w:tc>
          <w:tcPr>
            <w:tcW w:w="680" w:type="dxa"/>
            <w:shd w:val="clear" w:color="auto" w:fill="CCE2ED"/>
          </w:tcPr>
          <w:p w14:paraId="6BEA0361" w14:textId="77777777" w:rsidR="00141B97" w:rsidRDefault="00911D63">
            <w:pPr>
              <w:pStyle w:val="TableParagraph"/>
              <w:spacing w:before="98"/>
              <w:ind w:left="226"/>
              <w:rPr>
                <w:sz w:val="16"/>
              </w:rPr>
            </w:pPr>
            <w:r>
              <w:rPr>
                <w:spacing w:val="-2"/>
                <w:sz w:val="16"/>
              </w:rPr>
              <w:t>‐2.73</w:t>
            </w:r>
          </w:p>
        </w:tc>
        <w:tc>
          <w:tcPr>
            <w:tcW w:w="535" w:type="dxa"/>
            <w:tcBorders>
              <w:right w:val="nil"/>
            </w:tcBorders>
            <w:shd w:val="clear" w:color="auto" w:fill="CCE2ED"/>
          </w:tcPr>
          <w:p w14:paraId="0B908445" w14:textId="77777777" w:rsidR="00141B97" w:rsidRDefault="00911D63">
            <w:pPr>
              <w:pStyle w:val="TableParagraph"/>
              <w:spacing w:before="98"/>
              <w:ind w:left="90" w:right="89"/>
              <w:jc w:val="center"/>
              <w:rPr>
                <w:sz w:val="16"/>
              </w:rPr>
            </w:pPr>
            <w:r>
              <w:rPr>
                <w:spacing w:val="-4"/>
                <w:sz w:val="16"/>
              </w:rPr>
              <w:t>‐41%</w:t>
            </w:r>
          </w:p>
        </w:tc>
      </w:tr>
      <w:tr w:rsidR="00141B97" w14:paraId="2E44CE05" w14:textId="77777777">
        <w:trPr>
          <w:trHeight w:val="270"/>
          <w:tblCellSpacing w:w="9" w:type="dxa"/>
        </w:trPr>
        <w:tc>
          <w:tcPr>
            <w:tcW w:w="1127" w:type="dxa"/>
            <w:tcBorders>
              <w:left w:val="nil"/>
            </w:tcBorders>
            <w:shd w:val="clear" w:color="auto" w:fill="CCE2ED"/>
          </w:tcPr>
          <w:p w14:paraId="22BC4B94" w14:textId="77777777" w:rsidR="00141B97" w:rsidRDefault="00911D63">
            <w:pPr>
              <w:pStyle w:val="TableParagraph"/>
              <w:spacing w:before="38"/>
              <w:ind w:left="88"/>
              <w:rPr>
                <w:sz w:val="16"/>
              </w:rPr>
            </w:pPr>
            <w:r>
              <w:rPr>
                <w:spacing w:val="-2"/>
                <w:sz w:val="16"/>
              </w:rPr>
              <w:t>Sewerage</w:t>
            </w:r>
          </w:p>
        </w:tc>
        <w:tc>
          <w:tcPr>
            <w:tcW w:w="748" w:type="dxa"/>
            <w:shd w:val="clear" w:color="auto" w:fill="CCE2ED"/>
          </w:tcPr>
          <w:p w14:paraId="2CAC4376" w14:textId="77777777" w:rsidR="00141B97" w:rsidRDefault="00911D63">
            <w:pPr>
              <w:pStyle w:val="TableParagraph"/>
              <w:spacing w:before="38"/>
              <w:ind w:right="97"/>
              <w:jc w:val="right"/>
              <w:rPr>
                <w:sz w:val="16"/>
              </w:rPr>
            </w:pPr>
            <w:r>
              <w:rPr>
                <w:spacing w:val="-4"/>
                <w:sz w:val="16"/>
              </w:rPr>
              <w:t>9.43</w:t>
            </w:r>
          </w:p>
        </w:tc>
        <w:tc>
          <w:tcPr>
            <w:tcW w:w="665" w:type="dxa"/>
            <w:shd w:val="clear" w:color="auto" w:fill="CCE2ED"/>
          </w:tcPr>
          <w:p w14:paraId="67A4BF69" w14:textId="77777777" w:rsidR="00141B97" w:rsidRDefault="00911D63">
            <w:pPr>
              <w:pStyle w:val="TableParagraph"/>
              <w:spacing w:before="38"/>
              <w:ind w:right="99"/>
              <w:jc w:val="right"/>
              <w:rPr>
                <w:sz w:val="16"/>
              </w:rPr>
            </w:pPr>
            <w:r>
              <w:rPr>
                <w:spacing w:val="-4"/>
                <w:sz w:val="16"/>
              </w:rPr>
              <w:t>6.76</w:t>
            </w:r>
          </w:p>
        </w:tc>
        <w:tc>
          <w:tcPr>
            <w:tcW w:w="849" w:type="dxa"/>
            <w:shd w:val="clear" w:color="auto" w:fill="CCE2ED"/>
          </w:tcPr>
          <w:p w14:paraId="36500C2B" w14:textId="77777777" w:rsidR="00141B97" w:rsidRDefault="00911D63">
            <w:pPr>
              <w:pStyle w:val="TableParagraph"/>
              <w:spacing w:before="38"/>
              <w:ind w:right="98"/>
              <w:jc w:val="right"/>
              <w:rPr>
                <w:sz w:val="16"/>
              </w:rPr>
            </w:pPr>
            <w:r>
              <w:rPr>
                <w:spacing w:val="-4"/>
                <w:sz w:val="16"/>
              </w:rPr>
              <w:t>6.25</w:t>
            </w:r>
          </w:p>
        </w:tc>
        <w:tc>
          <w:tcPr>
            <w:tcW w:w="692" w:type="dxa"/>
            <w:shd w:val="clear" w:color="auto" w:fill="CCE2ED"/>
          </w:tcPr>
          <w:p w14:paraId="37EF8C1D" w14:textId="77777777" w:rsidR="00141B97" w:rsidRDefault="00911D63">
            <w:pPr>
              <w:pStyle w:val="TableParagraph"/>
              <w:spacing w:before="38"/>
              <w:ind w:right="99"/>
              <w:jc w:val="right"/>
              <w:rPr>
                <w:sz w:val="16"/>
              </w:rPr>
            </w:pPr>
            <w:r>
              <w:rPr>
                <w:spacing w:val="-4"/>
                <w:sz w:val="16"/>
              </w:rPr>
              <w:t>4.64</w:t>
            </w:r>
          </w:p>
        </w:tc>
        <w:tc>
          <w:tcPr>
            <w:tcW w:w="778" w:type="dxa"/>
            <w:shd w:val="clear" w:color="auto" w:fill="CCE2ED"/>
          </w:tcPr>
          <w:p w14:paraId="7BDEFABD" w14:textId="77777777" w:rsidR="00141B97" w:rsidRDefault="00911D63">
            <w:pPr>
              <w:pStyle w:val="TableParagraph"/>
              <w:spacing w:before="38"/>
              <w:ind w:right="99"/>
              <w:jc w:val="right"/>
              <w:rPr>
                <w:sz w:val="16"/>
              </w:rPr>
            </w:pPr>
            <w:r>
              <w:rPr>
                <w:spacing w:val="-4"/>
                <w:sz w:val="16"/>
              </w:rPr>
              <w:t>3.50</w:t>
            </w:r>
          </w:p>
        </w:tc>
        <w:tc>
          <w:tcPr>
            <w:tcW w:w="720" w:type="dxa"/>
            <w:shd w:val="clear" w:color="auto" w:fill="CCE2ED"/>
          </w:tcPr>
          <w:p w14:paraId="34462C6E" w14:textId="77777777" w:rsidR="00141B97" w:rsidRDefault="00911D63">
            <w:pPr>
              <w:pStyle w:val="TableParagraph"/>
              <w:spacing w:before="38"/>
              <w:ind w:left="309" w:right="96"/>
              <w:jc w:val="center"/>
              <w:rPr>
                <w:sz w:val="16"/>
              </w:rPr>
            </w:pPr>
            <w:r>
              <w:rPr>
                <w:spacing w:val="-4"/>
                <w:sz w:val="16"/>
              </w:rPr>
              <w:t>3.50</w:t>
            </w:r>
          </w:p>
        </w:tc>
        <w:tc>
          <w:tcPr>
            <w:tcW w:w="733" w:type="dxa"/>
            <w:shd w:val="clear" w:color="auto" w:fill="CCE2ED"/>
          </w:tcPr>
          <w:p w14:paraId="032356E6" w14:textId="77777777" w:rsidR="00141B97" w:rsidRDefault="00911D63">
            <w:pPr>
              <w:pStyle w:val="TableParagraph"/>
              <w:spacing w:before="38"/>
              <w:ind w:right="99"/>
              <w:jc w:val="right"/>
              <w:rPr>
                <w:sz w:val="16"/>
              </w:rPr>
            </w:pPr>
            <w:r>
              <w:rPr>
                <w:spacing w:val="-4"/>
                <w:sz w:val="16"/>
              </w:rPr>
              <w:t>3.39</w:t>
            </w:r>
          </w:p>
        </w:tc>
        <w:tc>
          <w:tcPr>
            <w:tcW w:w="648" w:type="dxa"/>
            <w:shd w:val="clear" w:color="auto" w:fill="CCE2ED"/>
          </w:tcPr>
          <w:p w14:paraId="7DC96E59" w14:textId="77777777" w:rsidR="00141B97" w:rsidRDefault="00911D63">
            <w:pPr>
              <w:pStyle w:val="TableParagraph"/>
              <w:spacing w:before="38"/>
              <w:ind w:right="99"/>
              <w:jc w:val="right"/>
              <w:rPr>
                <w:sz w:val="16"/>
              </w:rPr>
            </w:pPr>
            <w:r>
              <w:rPr>
                <w:spacing w:val="-4"/>
                <w:sz w:val="16"/>
              </w:rPr>
              <w:t>2.88</w:t>
            </w:r>
          </w:p>
        </w:tc>
        <w:tc>
          <w:tcPr>
            <w:tcW w:w="754" w:type="dxa"/>
            <w:shd w:val="clear" w:color="auto" w:fill="CCE2ED"/>
          </w:tcPr>
          <w:p w14:paraId="339B4066" w14:textId="77777777" w:rsidR="00141B97" w:rsidRDefault="00911D63">
            <w:pPr>
              <w:pStyle w:val="TableParagraph"/>
              <w:spacing w:before="38"/>
              <w:ind w:right="99"/>
              <w:jc w:val="right"/>
              <w:rPr>
                <w:sz w:val="16"/>
              </w:rPr>
            </w:pPr>
            <w:r>
              <w:rPr>
                <w:spacing w:val="-2"/>
                <w:sz w:val="16"/>
              </w:rPr>
              <w:t>22.58</w:t>
            </w:r>
          </w:p>
        </w:tc>
        <w:tc>
          <w:tcPr>
            <w:tcW w:w="818" w:type="dxa"/>
            <w:shd w:val="clear" w:color="auto" w:fill="CCE2ED"/>
          </w:tcPr>
          <w:p w14:paraId="66026165" w14:textId="77777777" w:rsidR="00141B97" w:rsidRDefault="00911D63">
            <w:pPr>
              <w:pStyle w:val="TableParagraph"/>
              <w:spacing w:before="38"/>
              <w:ind w:right="99"/>
              <w:jc w:val="right"/>
              <w:rPr>
                <w:sz w:val="16"/>
              </w:rPr>
            </w:pPr>
            <w:r>
              <w:rPr>
                <w:spacing w:val="-2"/>
                <w:sz w:val="16"/>
              </w:rPr>
              <w:t>17.79</w:t>
            </w:r>
          </w:p>
        </w:tc>
        <w:tc>
          <w:tcPr>
            <w:tcW w:w="680" w:type="dxa"/>
            <w:shd w:val="clear" w:color="auto" w:fill="CCE2ED"/>
          </w:tcPr>
          <w:p w14:paraId="045F3F74" w14:textId="77777777" w:rsidR="00141B97" w:rsidRDefault="00911D63">
            <w:pPr>
              <w:pStyle w:val="TableParagraph"/>
              <w:spacing w:before="38"/>
              <w:ind w:left="226"/>
              <w:rPr>
                <w:sz w:val="16"/>
              </w:rPr>
            </w:pPr>
            <w:r>
              <w:rPr>
                <w:spacing w:val="-2"/>
                <w:sz w:val="16"/>
              </w:rPr>
              <w:t>‐4.79</w:t>
            </w:r>
          </w:p>
        </w:tc>
        <w:tc>
          <w:tcPr>
            <w:tcW w:w="535" w:type="dxa"/>
            <w:tcBorders>
              <w:right w:val="nil"/>
            </w:tcBorders>
            <w:shd w:val="clear" w:color="auto" w:fill="CCE2ED"/>
          </w:tcPr>
          <w:p w14:paraId="5511FDDC" w14:textId="77777777" w:rsidR="00141B97" w:rsidRDefault="00911D63">
            <w:pPr>
              <w:pStyle w:val="TableParagraph"/>
              <w:spacing w:before="38"/>
              <w:ind w:left="90" w:right="89"/>
              <w:jc w:val="center"/>
              <w:rPr>
                <w:sz w:val="16"/>
              </w:rPr>
            </w:pPr>
            <w:r>
              <w:rPr>
                <w:spacing w:val="-4"/>
                <w:sz w:val="16"/>
              </w:rPr>
              <w:t>‐21%</w:t>
            </w:r>
          </w:p>
        </w:tc>
      </w:tr>
      <w:tr w:rsidR="00141B97" w14:paraId="741F71AA" w14:textId="77777777">
        <w:trPr>
          <w:trHeight w:val="390"/>
          <w:tblCellSpacing w:w="9" w:type="dxa"/>
        </w:trPr>
        <w:tc>
          <w:tcPr>
            <w:tcW w:w="1127" w:type="dxa"/>
            <w:tcBorders>
              <w:left w:val="nil"/>
            </w:tcBorders>
            <w:shd w:val="clear" w:color="auto" w:fill="CCE2ED"/>
          </w:tcPr>
          <w:p w14:paraId="20A05B47" w14:textId="77777777" w:rsidR="00141B97" w:rsidRDefault="00911D63">
            <w:pPr>
              <w:pStyle w:val="TableParagraph"/>
              <w:spacing w:line="195" w:lineRule="exact"/>
              <w:ind w:left="88"/>
              <w:rPr>
                <w:sz w:val="16"/>
              </w:rPr>
            </w:pPr>
            <w:r>
              <w:rPr>
                <w:spacing w:val="-2"/>
                <w:sz w:val="16"/>
              </w:rPr>
              <w:t>Sewerage</w:t>
            </w:r>
          </w:p>
          <w:p w14:paraId="42DA74E1" w14:textId="77777777" w:rsidR="00141B97" w:rsidRDefault="00911D63">
            <w:pPr>
              <w:pStyle w:val="TableParagraph"/>
              <w:spacing w:line="175" w:lineRule="exact"/>
              <w:ind w:left="88"/>
              <w:rPr>
                <w:sz w:val="16"/>
              </w:rPr>
            </w:pPr>
            <w:r>
              <w:rPr>
                <w:spacing w:val="-2"/>
                <w:sz w:val="16"/>
              </w:rPr>
              <w:t>corporate</w:t>
            </w:r>
          </w:p>
        </w:tc>
        <w:tc>
          <w:tcPr>
            <w:tcW w:w="748" w:type="dxa"/>
            <w:shd w:val="clear" w:color="auto" w:fill="CCE2ED"/>
          </w:tcPr>
          <w:p w14:paraId="51C2BD85" w14:textId="77777777" w:rsidR="00141B97" w:rsidRDefault="00911D63">
            <w:pPr>
              <w:pStyle w:val="TableParagraph"/>
              <w:spacing w:before="98"/>
              <w:ind w:right="97"/>
              <w:jc w:val="right"/>
              <w:rPr>
                <w:sz w:val="16"/>
              </w:rPr>
            </w:pPr>
            <w:r>
              <w:rPr>
                <w:spacing w:val="-4"/>
                <w:sz w:val="16"/>
              </w:rPr>
              <w:t>1.74</w:t>
            </w:r>
          </w:p>
        </w:tc>
        <w:tc>
          <w:tcPr>
            <w:tcW w:w="665" w:type="dxa"/>
            <w:shd w:val="clear" w:color="auto" w:fill="CCE2ED"/>
          </w:tcPr>
          <w:p w14:paraId="36ED72BB" w14:textId="77777777" w:rsidR="00141B97" w:rsidRDefault="00911D63">
            <w:pPr>
              <w:pStyle w:val="TableParagraph"/>
              <w:spacing w:before="98"/>
              <w:ind w:right="99"/>
              <w:jc w:val="right"/>
              <w:rPr>
                <w:sz w:val="16"/>
              </w:rPr>
            </w:pPr>
            <w:r>
              <w:rPr>
                <w:spacing w:val="-4"/>
                <w:sz w:val="16"/>
              </w:rPr>
              <w:t>0.68</w:t>
            </w:r>
          </w:p>
        </w:tc>
        <w:tc>
          <w:tcPr>
            <w:tcW w:w="849" w:type="dxa"/>
            <w:shd w:val="clear" w:color="auto" w:fill="CCE2ED"/>
          </w:tcPr>
          <w:p w14:paraId="4E573A7D" w14:textId="77777777" w:rsidR="00141B97" w:rsidRDefault="00911D63">
            <w:pPr>
              <w:pStyle w:val="TableParagraph"/>
              <w:spacing w:before="98"/>
              <w:ind w:right="98"/>
              <w:jc w:val="right"/>
              <w:rPr>
                <w:sz w:val="16"/>
              </w:rPr>
            </w:pPr>
            <w:r>
              <w:rPr>
                <w:spacing w:val="-4"/>
                <w:sz w:val="16"/>
              </w:rPr>
              <w:t>1.46</w:t>
            </w:r>
          </w:p>
        </w:tc>
        <w:tc>
          <w:tcPr>
            <w:tcW w:w="692" w:type="dxa"/>
            <w:shd w:val="clear" w:color="auto" w:fill="CCE2ED"/>
          </w:tcPr>
          <w:p w14:paraId="036B9CFD" w14:textId="77777777" w:rsidR="00141B97" w:rsidRDefault="00911D63">
            <w:pPr>
              <w:pStyle w:val="TableParagraph"/>
              <w:spacing w:before="98"/>
              <w:ind w:right="99"/>
              <w:jc w:val="right"/>
              <w:rPr>
                <w:sz w:val="16"/>
              </w:rPr>
            </w:pPr>
            <w:r>
              <w:rPr>
                <w:spacing w:val="-4"/>
                <w:sz w:val="16"/>
              </w:rPr>
              <w:t>0.89</w:t>
            </w:r>
          </w:p>
        </w:tc>
        <w:tc>
          <w:tcPr>
            <w:tcW w:w="778" w:type="dxa"/>
            <w:shd w:val="clear" w:color="auto" w:fill="CCE2ED"/>
          </w:tcPr>
          <w:p w14:paraId="527245A4" w14:textId="77777777" w:rsidR="00141B97" w:rsidRDefault="00911D63">
            <w:pPr>
              <w:pStyle w:val="TableParagraph"/>
              <w:spacing w:before="98"/>
              <w:ind w:right="99"/>
              <w:jc w:val="right"/>
              <w:rPr>
                <w:sz w:val="16"/>
              </w:rPr>
            </w:pPr>
            <w:r>
              <w:rPr>
                <w:spacing w:val="-4"/>
                <w:sz w:val="16"/>
              </w:rPr>
              <w:t>1.28</w:t>
            </w:r>
          </w:p>
        </w:tc>
        <w:tc>
          <w:tcPr>
            <w:tcW w:w="720" w:type="dxa"/>
            <w:shd w:val="clear" w:color="auto" w:fill="CCE2ED"/>
          </w:tcPr>
          <w:p w14:paraId="04E6731B" w14:textId="77777777" w:rsidR="00141B97" w:rsidRDefault="00911D63">
            <w:pPr>
              <w:pStyle w:val="TableParagraph"/>
              <w:spacing w:before="98"/>
              <w:ind w:left="309" w:right="96"/>
              <w:jc w:val="center"/>
              <w:rPr>
                <w:sz w:val="16"/>
              </w:rPr>
            </w:pPr>
            <w:r>
              <w:rPr>
                <w:spacing w:val="-4"/>
                <w:sz w:val="16"/>
              </w:rPr>
              <w:t>0.55</w:t>
            </w:r>
          </w:p>
        </w:tc>
        <w:tc>
          <w:tcPr>
            <w:tcW w:w="733" w:type="dxa"/>
            <w:shd w:val="clear" w:color="auto" w:fill="CCE2ED"/>
          </w:tcPr>
          <w:p w14:paraId="17DA9413" w14:textId="77777777" w:rsidR="00141B97" w:rsidRDefault="00911D63">
            <w:pPr>
              <w:pStyle w:val="TableParagraph"/>
              <w:spacing w:before="98"/>
              <w:ind w:right="99"/>
              <w:jc w:val="right"/>
              <w:rPr>
                <w:sz w:val="16"/>
              </w:rPr>
            </w:pPr>
            <w:r>
              <w:rPr>
                <w:spacing w:val="-4"/>
                <w:sz w:val="16"/>
              </w:rPr>
              <w:t>1.20</w:t>
            </w:r>
          </w:p>
        </w:tc>
        <w:tc>
          <w:tcPr>
            <w:tcW w:w="648" w:type="dxa"/>
            <w:shd w:val="clear" w:color="auto" w:fill="CCE2ED"/>
          </w:tcPr>
          <w:p w14:paraId="376F5865" w14:textId="77777777" w:rsidR="00141B97" w:rsidRDefault="00911D63">
            <w:pPr>
              <w:pStyle w:val="TableParagraph"/>
              <w:spacing w:before="98"/>
              <w:ind w:right="99"/>
              <w:jc w:val="right"/>
              <w:rPr>
                <w:sz w:val="16"/>
              </w:rPr>
            </w:pPr>
            <w:r>
              <w:rPr>
                <w:spacing w:val="-4"/>
                <w:sz w:val="16"/>
              </w:rPr>
              <w:t>1.23</w:t>
            </w:r>
          </w:p>
        </w:tc>
        <w:tc>
          <w:tcPr>
            <w:tcW w:w="754" w:type="dxa"/>
            <w:shd w:val="clear" w:color="auto" w:fill="CCE2ED"/>
          </w:tcPr>
          <w:p w14:paraId="459EFD12" w14:textId="77777777" w:rsidR="00141B97" w:rsidRDefault="00911D63">
            <w:pPr>
              <w:pStyle w:val="TableParagraph"/>
              <w:spacing w:before="98"/>
              <w:ind w:right="99"/>
              <w:jc w:val="right"/>
              <w:rPr>
                <w:sz w:val="16"/>
              </w:rPr>
            </w:pPr>
            <w:r>
              <w:rPr>
                <w:spacing w:val="-4"/>
                <w:sz w:val="16"/>
              </w:rPr>
              <w:t>5.67</w:t>
            </w:r>
          </w:p>
        </w:tc>
        <w:tc>
          <w:tcPr>
            <w:tcW w:w="818" w:type="dxa"/>
            <w:shd w:val="clear" w:color="auto" w:fill="CCE2ED"/>
          </w:tcPr>
          <w:p w14:paraId="7F5F8855" w14:textId="77777777" w:rsidR="00141B97" w:rsidRDefault="00911D63">
            <w:pPr>
              <w:pStyle w:val="TableParagraph"/>
              <w:spacing w:before="98"/>
              <w:ind w:right="99"/>
              <w:jc w:val="right"/>
              <w:rPr>
                <w:sz w:val="16"/>
              </w:rPr>
            </w:pPr>
            <w:r>
              <w:rPr>
                <w:spacing w:val="-4"/>
                <w:sz w:val="16"/>
              </w:rPr>
              <w:t>3.35</w:t>
            </w:r>
          </w:p>
        </w:tc>
        <w:tc>
          <w:tcPr>
            <w:tcW w:w="680" w:type="dxa"/>
            <w:shd w:val="clear" w:color="auto" w:fill="CCE2ED"/>
          </w:tcPr>
          <w:p w14:paraId="0EFE1B32" w14:textId="77777777" w:rsidR="00141B97" w:rsidRDefault="00911D63">
            <w:pPr>
              <w:pStyle w:val="TableParagraph"/>
              <w:spacing w:before="98"/>
              <w:ind w:left="226"/>
              <w:rPr>
                <w:sz w:val="16"/>
              </w:rPr>
            </w:pPr>
            <w:r>
              <w:rPr>
                <w:spacing w:val="-2"/>
                <w:sz w:val="16"/>
              </w:rPr>
              <w:t>‐2.32</w:t>
            </w:r>
          </w:p>
        </w:tc>
        <w:tc>
          <w:tcPr>
            <w:tcW w:w="535" w:type="dxa"/>
            <w:tcBorders>
              <w:right w:val="nil"/>
            </w:tcBorders>
            <w:shd w:val="clear" w:color="auto" w:fill="CCE2ED"/>
          </w:tcPr>
          <w:p w14:paraId="4565F972" w14:textId="77777777" w:rsidR="00141B97" w:rsidRDefault="00911D63">
            <w:pPr>
              <w:pStyle w:val="TableParagraph"/>
              <w:spacing w:before="98"/>
              <w:ind w:left="90" w:right="89"/>
              <w:jc w:val="center"/>
              <w:rPr>
                <w:sz w:val="16"/>
              </w:rPr>
            </w:pPr>
            <w:r>
              <w:rPr>
                <w:spacing w:val="-4"/>
                <w:sz w:val="16"/>
              </w:rPr>
              <w:t>‐41%</w:t>
            </w:r>
          </w:p>
        </w:tc>
      </w:tr>
      <w:tr w:rsidR="00141B97" w14:paraId="1745E8E1" w14:textId="77777777">
        <w:trPr>
          <w:trHeight w:val="390"/>
          <w:tblCellSpacing w:w="9" w:type="dxa"/>
        </w:trPr>
        <w:tc>
          <w:tcPr>
            <w:tcW w:w="1127" w:type="dxa"/>
            <w:tcBorders>
              <w:left w:val="nil"/>
            </w:tcBorders>
            <w:shd w:val="clear" w:color="auto" w:fill="CCE2ED"/>
          </w:tcPr>
          <w:p w14:paraId="75586C22" w14:textId="77777777" w:rsidR="00141B97" w:rsidRDefault="00911D63">
            <w:pPr>
              <w:pStyle w:val="TableParagraph"/>
              <w:spacing w:before="1" w:line="195" w:lineRule="exact"/>
              <w:ind w:left="88"/>
              <w:rPr>
                <w:sz w:val="16"/>
              </w:rPr>
            </w:pPr>
            <w:r>
              <w:rPr>
                <w:spacing w:val="-2"/>
                <w:sz w:val="16"/>
              </w:rPr>
              <w:t>Recycled</w:t>
            </w:r>
          </w:p>
          <w:p w14:paraId="5C394B69" w14:textId="77777777" w:rsidR="00141B97" w:rsidRDefault="00911D63">
            <w:pPr>
              <w:pStyle w:val="TableParagraph"/>
              <w:spacing w:line="175" w:lineRule="exact"/>
              <w:ind w:left="88"/>
              <w:rPr>
                <w:sz w:val="16"/>
              </w:rPr>
            </w:pPr>
            <w:r>
              <w:rPr>
                <w:spacing w:val="-2"/>
                <w:sz w:val="16"/>
              </w:rPr>
              <w:t>water</w:t>
            </w:r>
          </w:p>
        </w:tc>
        <w:tc>
          <w:tcPr>
            <w:tcW w:w="748" w:type="dxa"/>
            <w:shd w:val="clear" w:color="auto" w:fill="CCE2ED"/>
          </w:tcPr>
          <w:p w14:paraId="1D0EED1D" w14:textId="77777777" w:rsidR="00141B97" w:rsidRDefault="00911D63">
            <w:pPr>
              <w:pStyle w:val="TableParagraph"/>
              <w:spacing w:before="98"/>
              <w:ind w:right="97"/>
              <w:jc w:val="right"/>
              <w:rPr>
                <w:sz w:val="16"/>
              </w:rPr>
            </w:pPr>
            <w:r>
              <w:rPr>
                <w:spacing w:val="-4"/>
                <w:sz w:val="16"/>
              </w:rPr>
              <w:t>0.00</w:t>
            </w:r>
          </w:p>
        </w:tc>
        <w:tc>
          <w:tcPr>
            <w:tcW w:w="665" w:type="dxa"/>
            <w:shd w:val="clear" w:color="auto" w:fill="CCE2ED"/>
          </w:tcPr>
          <w:p w14:paraId="60AB2F93" w14:textId="77777777" w:rsidR="00141B97" w:rsidRDefault="00911D63">
            <w:pPr>
              <w:pStyle w:val="TableParagraph"/>
              <w:spacing w:before="98"/>
              <w:ind w:right="99"/>
              <w:jc w:val="right"/>
              <w:rPr>
                <w:sz w:val="16"/>
              </w:rPr>
            </w:pPr>
            <w:r>
              <w:rPr>
                <w:spacing w:val="-4"/>
                <w:sz w:val="16"/>
              </w:rPr>
              <w:t>0.00</w:t>
            </w:r>
          </w:p>
        </w:tc>
        <w:tc>
          <w:tcPr>
            <w:tcW w:w="849" w:type="dxa"/>
            <w:shd w:val="clear" w:color="auto" w:fill="CCE2ED"/>
          </w:tcPr>
          <w:p w14:paraId="224D0387" w14:textId="77777777" w:rsidR="00141B97" w:rsidRDefault="00911D63">
            <w:pPr>
              <w:pStyle w:val="TableParagraph"/>
              <w:spacing w:before="98"/>
              <w:ind w:right="98"/>
              <w:jc w:val="right"/>
              <w:rPr>
                <w:sz w:val="16"/>
              </w:rPr>
            </w:pPr>
            <w:r>
              <w:rPr>
                <w:spacing w:val="-4"/>
                <w:sz w:val="16"/>
              </w:rPr>
              <w:t>0.00</w:t>
            </w:r>
          </w:p>
        </w:tc>
        <w:tc>
          <w:tcPr>
            <w:tcW w:w="692" w:type="dxa"/>
            <w:shd w:val="clear" w:color="auto" w:fill="CCE2ED"/>
          </w:tcPr>
          <w:p w14:paraId="7F8D25CF" w14:textId="77777777" w:rsidR="00141B97" w:rsidRDefault="00911D63">
            <w:pPr>
              <w:pStyle w:val="TableParagraph"/>
              <w:spacing w:before="98"/>
              <w:ind w:right="99"/>
              <w:jc w:val="right"/>
              <w:rPr>
                <w:sz w:val="16"/>
              </w:rPr>
            </w:pPr>
            <w:r>
              <w:rPr>
                <w:spacing w:val="-4"/>
                <w:sz w:val="16"/>
              </w:rPr>
              <w:t>0.00</w:t>
            </w:r>
          </w:p>
        </w:tc>
        <w:tc>
          <w:tcPr>
            <w:tcW w:w="778" w:type="dxa"/>
            <w:shd w:val="clear" w:color="auto" w:fill="CCE2ED"/>
          </w:tcPr>
          <w:p w14:paraId="64F0793F" w14:textId="77777777" w:rsidR="00141B97" w:rsidRDefault="00911D63">
            <w:pPr>
              <w:pStyle w:val="TableParagraph"/>
              <w:spacing w:before="98"/>
              <w:ind w:right="99"/>
              <w:jc w:val="right"/>
              <w:rPr>
                <w:sz w:val="16"/>
              </w:rPr>
            </w:pPr>
            <w:r>
              <w:rPr>
                <w:spacing w:val="-4"/>
                <w:sz w:val="16"/>
              </w:rPr>
              <w:t>0.00</w:t>
            </w:r>
          </w:p>
        </w:tc>
        <w:tc>
          <w:tcPr>
            <w:tcW w:w="720" w:type="dxa"/>
            <w:shd w:val="clear" w:color="auto" w:fill="CCE2ED"/>
          </w:tcPr>
          <w:p w14:paraId="78685A3F" w14:textId="77777777" w:rsidR="00141B97" w:rsidRDefault="00911D63">
            <w:pPr>
              <w:pStyle w:val="TableParagraph"/>
              <w:spacing w:before="98"/>
              <w:ind w:left="309" w:right="96"/>
              <w:jc w:val="center"/>
              <w:rPr>
                <w:sz w:val="16"/>
              </w:rPr>
            </w:pPr>
            <w:r>
              <w:rPr>
                <w:spacing w:val="-4"/>
                <w:sz w:val="16"/>
              </w:rPr>
              <w:t>0.00</w:t>
            </w:r>
          </w:p>
        </w:tc>
        <w:tc>
          <w:tcPr>
            <w:tcW w:w="733" w:type="dxa"/>
            <w:shd w:val="clear" w:color="auto" w:fill="CCE2ED"/>
          </w:tcPr>
          <w:p w14:paraId="565B2676" w14:textId="77777777" w:rsidR="00141B97" w:rsidRDefault="00911D63">
            <w:pPr>
              <w:pStyle w:val="TableParagraph"/>
              <w:spacing w:before="98"/>
              <w:ind w:right="99"/>
              <w:jc w:val="right"/>
              <w:rPr>
                <w:sz w:val="16"/>
              </w:rPr>
            </w:pPr>
            <w:r>
              <w:rPr>
                <w:spacing w:val="-4"/>
                <w:sz w:val="16"/>
              </w:rPr>
              <w:t>0.00</w:t>
            </w:r>
          </w:p>
        </w:tc>
        <w:tc>
          <w:tcPr>
            <w:tcW w:w="648" w:type="dxa"/>
            <w:shd w:val="clear" w:color="auto" w:fill="CCE2ED"/>
          </w:tcPr>
          <w:p w14:paraId="01DF5536" w14:textId="77777777" w:rsidR="00141B97" w:rsidRDefault="00911D63">
            <w:pPr>
              <w:pStyle w:val="TableParagraph"/>
              <w:spacing w:before="98"/>
              <w:ind w:right="99"/>
              <w:jc w:val="right"/>
              <w:rPr>
                <w:sz w:val="16"/>
              </w:rPr>
            </w:pPr>
            <w:r>
              <w:rPr>
                <w:spacing w:val="-4"/>
                <w:sz w:val="16"/>
              </w:rPr>
              <w:t>0.00</w:t>
            </w:r>
          </w:p>
        </w:tc>
        <w:tc>
          <w:tcPr>
            <w:tcW w:w="754" w:type="dxa"/>
            <w:shd w:val="clear" w:color="auto" w:fill="CCE2ED"/>
          </w:tcPr>
          <w:p w14:paraId="6FD4B202" w14:textId="77777777" w:rsidR="00141B97" w:rsidRDefault="00911D63">
            <w:pPr>
              <w:pStyle w:val="TableParagraph"/>
              <w:spacing w:before="98"/>
              <w:ind w:right="99"/>
              <w:jc w:val="right"/>
              <w:rPr>
                <w:sz w:val="16"/>
              </w:rPr>
            </w:pPr>
            <w:r>
              <w:rPr>
                <w:spacing w:val="-4"/>
                <w:sz w:val="16"/>
              </w:rPr>
              <w:t>0.00</w:t>
            </w:r>
          </w:p>
        </w:tc>
        <w:tc>
          <w:tcPr>
            <w:tcW w:w="818" w:type="dxa"/>
            <w:shd w:val="clear" w:color="auto" w:fill="CCE2ED"/>
          </w:tcPr>
          <w:p w14:paraId="4DBDFC2D" w14:textId="77777777" w:rsidR="00141B97" w:rsidRDefault="00911D63">
            <w:pPr>
              <w:pStyle w:val="TableParagraph"/>
              <w:spacing w:before="98"/>
              <w:ind w:right="99"/>
              <w:jc w:val="right"/>
              <w:rPr>
                <w:sz w:val="16"/>
              </w:rPr>
            </w:pPr>
            <w:r>
              <w:rPr>
                <w:spacing w:val="-4"/>
                <w:sz w:val="16"/>
              </w:rPr>
              <w:t>0.00</w:t>
            </w:r>
          </w:p>
        </w:tc>
        <w:tc>
          <w:tcPr>
            <w:tcW w:w="680" w:type="dxa"/>
            <w:shd w:val="clear" w:color="auto" w:fill="CCE2ED"/>
          </w:tcPr>
          <w:p w14:paraId="0C802816" w14:textId="77777777" w:rsidR="00141B97" w:rsidRDefault="00911D63">
            <w:pPr>
              <w:pStyle w:val="TableParagraph"/>
              <w:spacing w:before="98"/>
              <w:ind w:left="275"/>
              <w:rPr>
                <w:sz w:val="16"/>
              </w:rPr>
            </w:pPr>
            <w:r>
              <w:rPr>
                <w:spacing w:val="-4"/>
                <w:sz w:val="16"/>
              </w:rPr>
              <w:t>0.00</w:t>
            </w:r>
          </w:p>
        </w:tc>
        <w:tc>
          <w:tcPr>
            <w:tcW w:w="535" w:type="dxa"/>
            <w:tcBorders>
              <w:right w:val="nil"/>
            </w:tcBorders>
            <w:shd w:val="clear" w:color="auto" w:fill="CCE2ED"/>
          </w:tcPr>
          <w:p w14:paraId="2B8E9063" w14:textId="77777777" w:rsidR="00141B97" w:rsidRDefault="00911D63">
            <w:pPr>
              <w:pStyle w:val="TableParagraph"/>
              <w:spacing w:before="98"/>
              <w:ind w:left="220" w:right="89"/>
              <w:jc w:val="center"/>
              <w:rPr>
                <w:sz w:val="16"/>
              </w:rPr>
            </w:pPr>
            <w:r>
              <w:rPr>
                <w:spacing w:val="-5"/>
                <w:sz w:val="16"/>
              </w:rPr>
              <w:t>0%</w:t>
            </w:r>
          </w:p>
        </w:tc>
      </w:tr>
      <w:tr w:rsidR="00141B97" w14:paraId="7D6722E5" w14:textId="77777777">
        <w:trPr>
          <w:trHeight w:val="391"/>
          <w:tblCellSpacing w:w="9" w:type="dxa"/>
        </w:trPr>
        <w:tc>
          <w:tcPr>
            <w:tcW w:w="1127" w:type="dxa"/>
            <w:tcBorders>
              <w:left w:val="nil"/>
              <w:bottom w:val="nil"/>
            </w:tcBorders>
            <w:shd w:val="clear" w:color="auto" w:fill="BFBFBF"/>
          </w:tcPr>
          <w:p w14:paraId="7003BB14" w14:textId="77777777" w:rsidR="00141B97" w:rsidRDefault="00911D63">
            <w:pPr>
              <w:pStyle w:val="TableParagraph"/>
              <w:spacing w:line="190" w:lineRule="atLeast"/>
              <w:ind w:left="88"/>
              <w:rPr>
                <w:sz w:val="16"/>
              </w:rPr>
            </w:pPr>
            <w:r>
              <w:rPr>
                <w:sz w:val="16"/>
              </w:rPr>
              <w:t>Total</w:t>
            </w:r>
            <w:r>
              <w:rPr>
                <w:spacing w:val="-10"/>
                <w:sz w:val="16"/>
              </w:rPr>
              <w:t xml:space="preserve"> </w:t>
            </w:r>
            <w:r>
              <w:rPr>
                <w:sz w:val="16"/>
              </w:rPr>
              <w:t>capital</w:t>
            </w:r>
            <w:r>
              <w:rPr>
                <w:spacing w:val="40"/>
                <w:sz w:val="16"/>
              </w:rPr>
              <w:t xml:space="preserve"> </w:t>
            </w:r>
            <w:r>
              <w:rPr>
                <w:spacing w:val="-2"/>
                <w:sz w:val="16"/>
              </w:rPr>
              <w:t>expenditure</w:t>
            </w:r>
          </w:p>
        </w:tc>
        <w:tc>
          <w:tcPr>
            <w:tcW w:w="748" w:type="dxa"/>
            <w:tcBorders>
              <w:bottom w:val="nil"/>
            </w:tcBorders>
            <w:shd w:val="clear" w:color="auto" w:fill="BFBFBF"/>
          </w:tcPr>
          <w:p w14:paraId="5A2CE912" w14:textId="77777777" w:rsidR="00141B97" w:rsidRDefault="00911D63">
            <w:pPr>
              <w:pStyle w:val="TableParagraph"/>
              <w:spacing w:before="98"/>
              <w:ind w:right="96"/>
              <w:jc w:val="right"/>
              <w:rPr>
                <w:sz w:val="16"/>
              </w:rPr>
            </w:pPr>
            <w:r>
              <w:rPr>
                <w:spacing w:val="-2"/>
                <w:sz w:val="16"/>
              </w:rPr>
              <w:t>23.75</w:t>
            </w:r>
          </w:p>
        </w:tc>
        <w:tc>
          <w:tcPr>
            <w:tcW w:w="665" w:type="dxa"/>
            <w:tcBorders>
              <w:bottom w:val="nil"/>
            </w:tcBorders>
            <w:shd w:val="clear" w:color="auto" w:fill="BFBFBF"/>
          </w:tcPr>
          <w:p w14:paraId="07F64CA8" w14:textId="77777777" w:rsidR="00141B97" w:rsidRDefault="00911D63">
            <w:pPr>
              <w:pStyle w:val="TableParagraph"/>
              <w:spacing w:before="98"/>
              <w:ind w:right="97"/>
              <w:jc w:val="right"/>
              <w:rPr>
                <w:sz w:val="16"/>
              </w:rPr>
            </w:pPr>
            <w:r>
              <w:rPr>
                <w:spacing w:val="-2"/>
                <w:sz w:val="16"/>
              </w:rPr>
              <w:t>15.76</w:t>
            </w:r>
          </w:p>
        </w:tc>
        <w:tc>
          <w:tcPr>
            <w:tcW w:w="849" w:type="dxa"/>
            <w:tcBorders>
              <w:bottom w:val="nil"/>
            </w:tcBorders>
            <w:shd w:val="clear" w:color="auto" w:fill="BFBFBF"/>
          </w:tcPr>
          <w:p w14:paraId="0EE778D7" w14:textId="77777777" w:rsidR="00141B97" w:rsidRDefault="00911D63">
            <w:pPr>
              <w:pStyle w:val="TableParagraph"/>
              <w:spacing w:before="98"/>
              <w:ind w:right="96"/>
              <w:jc w:val="right"/>
              <w:rPr>
                <w:sz w:val="16"/>
              </w:rPr>
            </w:pPr>
            <w:r>
              <w:rPr>
                <w:spacing w:val="-2"/>
                <w:sz w:val="16"/>
              </w:rPr>
              <w:t>13.84</w:t>
            </w:r>
          </w:p>
        </w:tc>
        <w:tc>
          <w:tcPr>
            <w:tcW w:w="692" w:type="dxa"/>
            <w:tcBorders>
              <w:bottom w:val="nil"/>
            </w:tcBorders>
            <w:shd w:val="clear" w:color="auto" w:fill="BFBFBF"/>
          </w:tcPr>
          <w:p w14:paraId="61137F3C" w14:textId="77777777" w:rsidR="00141B97" w:rsidRDefault="00911D63">
            <w:pPr>
              <w:pStyle w:val="TableParagraph"/>
              <w:spacing w:before="98"/>
              <w:ind w:right="97"/>
              <w:jc w:val="right"/>
              <w:rPr>
                <w:sz w:val="16"/>
              </w:rPr>
            </w:pPr>
            <w:r>
              <w:rPr>
                <w:spacing w:val="-2"/>
                <w:sz w:val="16"/>
              </w:rPr>
              <w:t>12.47</w:t>
            </w:r>
          </w:p>
        </w:tc>
        <w:tc>
          <w:tcPr>
            <w:tcW w:w="778" w:type="dxa"/>
            <w:tcBorders>
              <w:bottom w:val="nil"/>
            </w:tcBorders>
            <w:shd w:val="clear" w:color="auto" w:fill="BFBFBF"/>
          </w:tcPr>
          <w:p w14:paraId="4405044D" w14:textId="77777777" w:rsidR="00141B97" w:rsidRDefault="00911D63">
            <w:pPr>
              <w:pStyle w:val="TableParagraph"/>
              <w:spacing w:before="98"/>
              <w:ind w:right="98"/>
              <w:jc w:val="right"/>
              <w:rPr>
                <w:sz w:val="16"/>
              </w:rPr>
            </w:pPr>
            <w:r>
              <w:rPr>
                <w:spacing w:val="-2"/>
                <w:sz w:val="16"/>
              </w:rPr>
              <w:t>16.68</w:t>
            </w:r>
          </w:p>
        </w:tc>
        <w:tc>
          <w:tcPr>
            <w:tcW w:w="720" w:type="dxa"/>
            <w:tcBorders>
              <w:bottom w:val="nil"/>
            </w:tcBorders>
            <w:shd w:val="clear" w:color="auto" w:fill="BFBFBF"/>
          </w:tcPr>
          <w:p w14:paraId="0F82E035" w14:textId="77777777" w:rsidR="00141B97" w:rsidRDefault="00911D63">
            <w:pPr>
              <w:pStyle w:val="TableParagraph"/>
              <w:spacing w:before="98"/>
              <w:ind w:left="140" w:right="7"/>
              <w:jc w:val="center"/>
              <w:rPr>
                <w:sz w:val="16"/>
              </w:rPr>
            </w:pPr>
            <w:r>
              <w:rPr>
                <w:spacing w:val="-2"/>
                <w:sz w:val="16"/>
              </w:rPr>
              <w:t>11.65</w:t>
            </w:r>
          </w:p>
        </w:tc>
        <w:tc>
          <w:tcPr>
            <w:tcW w:w="733" w:type="dxa"/>
            <w:tcBorders>
              <w:bottom w:val="nil"/>
            </w:tcBorders>
            <w:shd w:val="clear" w:color="auto" w:fill="BFBFBF"/>
          </w:tcPr>
          <w:p w14:paraId="2AE009C0" w14:textId="77777777" w:rsidR="00141B97" w:rsidRDefault="00911D63">
            <w:pPr>
              <w:pStyle w:val="TableParagraph"/>
              <w:spacing w:before="98"/>
              <w:ind w:right="97"/>
              <w:jc w:val="right"/>
              <w:rPr>
                <w:sz w:val="16"/>
              </w:rPr>
            </w:pPr>
            <w:r>
              <w:rPr>
                <w:spacing w:val="-2"/>
                <w:sz w:val="16"/>
              </w:rPr>
              <w:t>13.21</w:t>
            </w:r>
          </w:p>
        </w:tc>
        <w:tc>
          <w:tcPr>
            <w:tcW w:w="648" w:type="dxa"/>
            <w:tcBorders>
              <w:bottom w:val="nil"/>
            </w:tcBorders>
            <w:shd w:val="clear" w:color="auto" w:fill="BFBFBF"/>
          </w:tcPr>
          <w:p w14:paraId="6FE2E2F0" w14:textId="77777777" w:rsidR="00141B97" w:rsidRDefault="00911D63">
            <w:pPr>
              <w:pStyle w:val="TableParagraph"/>
              <w:spacing w:before="98"/>
              <w:ind w:right="97"/>
              <w:jc w:val="right"/>
              <w:rPr>
                <w:sz w:val="16"/>
              </w:rPr>
            </w:pPr>
            <w:r>
              <w:rPr>
                <w:spacing w:val="-2"/>
                <w:sz w:val="16"/>
              </w:rPr>
              <w:t>24.22</w:t>
            </w:r>
          </w:p>
        </w:tc>
        <w:tc>
          <w:tcPr>
            <w:tcW w:w="754" w:type="dxa"/>
            <w:tcBorders>
              <w:bottom w:val="nil"/>
            </w:tcBorders>
            <w:shd w:val="clear" w:color="auto" w:fill="BFBFBF"/>
          </w:tcPr>
          <w:p w14:paraId="6E29095F" w14:textId="77777777" w:rsidR="00141B97" w:rsidRDefault="00911D63">
            <w:pPr>
              <w:pStyle w:val="TableParagraph"/>
              <w:spacing w:before="98"/>
              <w:ind w:right="98"/>
              <w:jc w:val="right"/>
              <w:rPr>
                <w:sz w:val="16"/>
              </w:rPr>
            </w:pPr>
            <w:r>
              <w:rPr>
                <w:spacing w:val="-2"/>
                <w:sz w:val="16"/>
              </w:rPr>
              <w:t>67.47</w:t>
            </w:r>
          </w:p>
        </w:tc>
        <w:tc>
          <w:tcPr>
            <w:tcW w:w="818" w:type="dxa"/>
            <w:tcBorders>
              <w:bottom w:val="nil"/>
            </w:tcBorders>
            <w:shd w:val="clear" w:color="auto" w:fill="BFBFBF"/>
          </w:tcPr>
          <w:p w14:paraId="375968D7" w14:textId="77777777" w:rsidR="00141B97" w:rsidRDefault="00911D63">
            <w:pPr>
              <w:pStyle w:val="TableParagraph"/>
              <w:spacing w:before="98"/>
              <w:ind w:right="97"/>
              <w:jc w:val="right"/>
              <w:rPr>
                <w:sz w:val="16"/>
              </w:rPr>
            </w:pPr>
            <w:r>
              <w:rPr>
                <w:spacing w:val="-2"/>
                <w:sz w:val="16"/>
              </w:rPr>
              <w:t>64.10</w:t>
            </w:r>
          </w:p>
        </w:tc>
        <w:tc>
          <w:tcPr>
            <w:tcW w:w="680" w:type="dxa"/>
            <w:tcBorders>
              <w:bottom w:val="nil"/>
            </w:tcBorders>
            <w:shd w:val="clear" w:color="auto" w:fill="BFBFBF"/>
          </w:tcPr>
          <w:p w14:paraId="7C17C629" w14:textId="77777777" w:rsidR="00141B97" w:rsidRDefault="00911D63">
            <w:pPr>
              <w:pStyle w:val="TableParagraph"/>
              <w:spacing w:before="98"/>
              <w:ind w:left="226"/>
              <w:rPr>
                <w:sz w:val="16"/>
              </w:rPr>
            </w:pPr>
            <w:r>
              <w:rPr>
                <w:spacing w:val="-2"/>
                <w:sz w:val="16"/>
              </w:rPr>
              <w:t>‐3.37</w:t>
            </w:r>
          </w:p>
        </w:tc>
        <w:tc>
          <w:tcPr>
            <w:tcW w:w="535" w:type="dxa"/>
            <w:tcBorders>
              <w:bottom w:val="nil"/>
              <w:right w:val="nil"/>
            </w:tcBorders>
            <w:shd w:val="clear" w:color="auto" w:fill="BFBFBF"/>
          </w:tcPr>
          <w:p w14:paraId="371A0CBB" w14:textId="77777777" w:rsidR="00141B97" w:rsidRDefault="00911D63">
            <w:pPr>
              <w:pStyle w:val="TableParagraph"/>
              <w:spacing w:before="98"/>
              <w:ind w:left="93" w:right="11"/>
              <w:jc w:val="center"/>
              <w:rPr>
                <w:sz w:val="16"/>
              </w:rPr>
            </w:pPr>
            <w:r>
              <w:rPr>
                <w:spacing w:val="-5"/>
                <w:sz w:val="16"/>
              </w:rPr>
              <w:t>‐5%</w:t>
            </w:r>
          </w:p>
        </w:tc>
      </w:tr>
    </w:tbl>
    <w:p w14:paraId="78B29789" w14:textId="77777777" w:rsidR="00141B97" w:rsidRDefault="00911D63">
      <w:pPr>
        <w:spacing w:before="33"/>
        <w:ind w:right="6168"/>
        <w:jc w:val="right"/>
        <w:rPr>
          <w:sz w:val="16"/>
        </w:rPr>
      </w:pPr>
      <w:r>
        <w:rPr>
          <w:sz w:val="16"/>
        </w:rPr>
        <w:t>Table</w:t>
      </w:r>
      <w:r>
        <w:rPr>
          <w:spacing w:val="-4"/>
          <w:sz w:val="16"/>
        </w:rPr>
        <w:t xml:space="preserve"> </w:t>
      </w:r>
      <w:r>
        <w:rPr>
          <w:sz w:val="16"/>
        </w:rPr>
        <w:t>B7:</w:t>
      </w:r>
      <w:r>
        <w:rPr>
          <w:spacing w:val="-3"/>
          <w:sz w:val="16"/>
        </w:rPr>
        <w:t xml:space="preserve"> </w:t>
      </w:r>
      <w:r>
        <w:rPr>
          <w:sz w:val="16"/>
        </w:rPr>
        <w:t>Urban</w:t>
      </w:r>
      <w:r>
        <w:rPr>
          <w:spacing w:val="-5"/>
          <w:sz w:val="16"/>
        </w:rPr>
        <w:t xml:space="preserve"> </w:t>
      </w:r>
      <w:r>
        <w:rPr>
          <w:sz w:val="16"/>
        </w:rPr>
        <w:t>Capital</w:t>
      </w:r>
      <w:r>
        <w:rPr>
          <w:spacing w:val="-5"/>
          <w:sz w:val="16"/>
        </w:rPr>
        <w:t xml:space="preserve"> </w:t>
      </w:r>
      <w:r>
        <w:rPr>
          <w:sz w:val="16"/>
        </w:rPr>
        <w:t>Expenditure</w:t>
      </w:r>
      <w:r>
        <w:rPr>
          <w:spacing w:val="-5"/>
          <w:sz w:val="16"/>
        </w:rPr>
        <w:t xml:space="preserve"> </w:t>
      </w:r>
      <w:r>
        <w:rPr>
          <w:sz w:val="16"/>
        </w:rPr>
        <w:t>by</w:t>
      </w:r>
      <w:r>
        <w:rPr>
          <w:spacing w:val="-5"/>
          <w:sz w:val="16"/>
        </w:rPr>
        <w:t xml:space="preserve"> </w:t>
      </w:r>
      <w:r>
        <w:rPr>
          <w:sz w:val="16"/>
        </w:rPr>
        <w:t>Service</w:t>
      </w:r>
      <w:r>
        <w:rPr>
          <w:spacing w:val="-5"/>
          <w:sz w:val="16"/>
        </w:rPr>
        <w:t xml:space="preserve"> </w:t>
      </w:r>
      <w:r>
        <w:rPr>
          <w:sz w:val="16"/>
        </w:rPr>
        <w:t>Category</w:t>
      </w:r>
      <w:r>
        <w:rPr>
          <w:spacing w:val="-4"/>
          <w:sz w:val="16"/>
        </w:rPr>
        <w:t xml:space="preserve"> </w:t>
      </w:r>
      <w:r>
        <w:rPr>
          <w:sz w:val="16"/>
        </w:rPr>
        <w:t>($m</w:t>
      </w:r>
      <w:r>
        <w:rPr>
          <w:spacing w:val="-5"/>
          <w:sz w:val="16"/>
        </w:rPr>
        <w:t xml:space="preserve"> </w:t>
      </w:r>
      <w:r>
        <w:rPr>
          <w:spacing w:val="-2"/>
          <w:sz w:val="16"/>
        </w:rPr>
        <w:t>1/1/23)</w:t>
      </w:r>
    </w:p>
    <w:p w14:paraId="766C55C8" w14:textId="77777777" w:rsidR="00141B97" w:rsidRDefault="00911D63">
      <w:pPr>
        <w:pStyle w:val="BodyText"/>
        <w:spacing w:before="10"/>
        <w:rPr>
          <w:sz w:val="27"/>
        </w:rPr>
      </w:pPr>
      <w:r>
        <w:rPr>
          <w:noProof/>
        </w:rPr>
        <w:drawing>
          <wp:anchor distT="0" distB="0" distL="0" distR="0" simplePos="0" relativeHeight="48" behindDoc="0" locked="0" layoutInCell="1" allowOverlap="1" wp14:anchorId="37533747" wp14:editId="0E7C630E">
            <wp:simplePos x="0" y="0"/>
            <wp:positionH relativeFrom="page">
              <wp:posOffset>765048</wp:posOffset>
            </wp:positionH>
            <wp:positionV relativeFrom="paragraph">
              <wp:posOffset>230941</wp:posOffset>
            </wp:positionV>
            <wp:extent cx="5535167" cy="3267455"/>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78" cstate="email">
                      <a:extLst>
                        <a:ext uri="{28A0092B-C50C-407E-A947-70E740481C1C}">
                          <a14:useLocalDpi xmlns:a14="http://schemas.microsoft.com/office/drawing/2010/main"/>
                        </a:ext>
                      </a:extLst>
                    </a:blip>
                    <a:stretch>
                      <a:fillRect/>
                    </a:stretch>
                  </pic:blipFill>
                  <pic:spPr>
                    <a:xfrm>
                      <a:off x="0" y="0"/>
                      <a:ext cx="5535167" cy="3267455"/>
                    </a:xfrm>
                    <a:prstGeom prst="rect">
                      <a:avLst/>
                    </a:prstGeom>
                  </pic:spPr>
                </pic:pic>
              </a:graphicData>
            </a:graphic>
          </wp:anchor>
        </w:drawing>
      </w:r>
    </w:p>
    <w:p w14:paraId="3523D2F7" w14:textId="77777777" w:rsidR="00141B97" w:rsidRDefault="00141B97">
      <w:pPr>
        <w:pStyle w:val="BodyText"/>
        <w:spacing w:before="6"/>
        <w:rPr>
          <w:sz w:val="17"/>
        </w:rPr>
      </w:pPr>
    </w:p>
    <w:p w14:paraId="3A612A91" w14:textId="77777777" w:rsidR="00141B97" w:rsidRDefault="00911D63">
      <w:pPr>
        <w:ind w:right="6234"/>
        <w:jc w:val="right"/>
        <w:rPr>
          <w:sz w:val="16"/>
        </w:rPr>
      </w:pPr>
      <w:r>
        <w:rPr>
          <w:sz w:val="16"/>
        </w:rPr>
        <w:t>Figure</w:t>
      </w:r>
      <w:r>
        <w:rPr>
          <w:spacing w:val="-4"/>
          <w:sz w:val="16"/>
        </w:rPr>
        <w:t xml:space="preserve"> </w:t>
      </w:r>
      <w:r>
        <w:rPr>
          <w:sz w:val="16"/>
        </w:rPr>
        <w:t>B3:</w:t>
      </w:r>
      <w:r>
        <w:rPr>
          <w:spacing w:val="-5"/>
          <w:sz w:val="16"/>
        </w:rPr>
        <w:t xml:space="preserve"> </w:t>
      </w:r>
      <w:r>
        <w:rPr>
          <w:sz w:val="16"/>
        </w:rPr>
        <w:t>Urban</w:t>
      </w:r>
      <w:r>
        <w:rPr>
          <w:spacing w:val="-5"/>
          <w:sz w:val="16"/>
        </w:rPr>
        <w:t xml:space="preserve"> </w:t>
      </w:r>
      <w:r>
        <w:rPr>
          <w:sz w:val="16"/>
        </w:rPr>
        <w:t>Capital</w:t>
      </w:r>
      <w:r>
        <w:rPr>
          <w:spacing w:val="-5"/>
          <w:sz w:val="16"/>
        </w:rPr>
        <w:t xml:space="preserve"> </w:t>
      </w:r>
      <w:r>
        <w:rPr>
          <w:sz w:val="16"/>
        </w:rPr>
        <w:t>Expenditure</w:t>
      </w:r>
      <w:r>
        <w:rPr>
          <w:spacing w:val="-5"/>
          <w:sz w:val="16"/>
        </w:rPr>
        <w:t xml:space="preserve"> </w:t>
      </w:r>
      <w:r>
        <w:rPr>
          <w:sz w:val="16"/>
        </w:rPr>
        <w:t>by</w:t>
      </w:r>
      <w:r>
        <w:rPr>
          <w:spacing w:val="-3"/>
          <w:sz w:val="16"/>
        </w:rPr>
        <w:t xml:space="preserve"> </w:t>
      </w:r>
      <w:r>
        <w:rPr>
          <w:sz w:val="16"/>
        </w:rPr>
        <w:t>Service</w:t>
      </w:r>
      <w:r>
        <w:rPr>
          <w:spacing w:val="-5"/>
          <w:sz w:val="16"/>
        </w:rPr>
        <w:t xml:space="preserve"> </w:t>
      </w:r>
      <w:r>
        <w:rPr>
          <w:sz w:val="16"/>
        </w:rPr>
        <w:t>Category</w:t>
      </w:r>
      <w:r>
        <w:rPr>
          <w:spacing w:val="-4"/>
          <w:sz w:val="16"/>
        </w:rPr>
        <w:t xml:space="preserve"> </w:t>
      </w:r>
      <w:r>
        <w:rPr>
          <w:sz w:val="16"/>
        </w:rPr>
        <w:t>($m</w:t>
      </w:r>
      <w:r>
        <w:rPr>
          <w:spacing w:val="-4"/>
          <w:sz w:val="16"/>
        </w:rPr>
        <w:t xml:space="preserve"> </w:t>
      </w:r>
      <w:r>
        <w:rPr>
          <w:spacing w:val="-2"/>
          <w:sz w:val="16"/>
        </w:rPr>
        <w:t>1/1/23)</w:t>
      </w:r>
    </w:p>
    <w:p w14:paraId="3CAAD88A" w14:textId="77777777" w:rsidR="00141B97" w:rsidRDefault="00141B97">
      <w:pPr>
        <w:pStyle w:val="BodyText"/>
        <w:spacing w:before="7"/>
        <w:rPr>
          <w:sz w:val="20"/>
        </w:rPr>
      </w:pPr>
    </w:p>
    <w:p w14:paraId="0141F423" w14:textId="77777777" w:rsidR="00141B97" w:rsidRDefault="00911D63">
      <w:pPr>
        <w:pStyle w:val="BodyText"/>
        <w:spacing w:line="249" w:lineRule="auto"/>
        <w:ind w:left="113" w:right="948"/>
        <w:jc w:val="both"/>
      </w:pPr>
      <w:r>
        <w:t>The negative variance in capex spend is due, in part, to the organisation being unable to sufficiently mobilise the necessary planning and delivery capability to implement the ambitious first year of the program and resultant</w:t>
      </w:r>
      <w:r>
        <w:rPr>
          <w:spacing w:val="-12"/>
        </w:rPr>
        <w:t xml:space="preserve"> </w:t>
      </w:r>
      <w:r>
        <w:t>slower</w:t>
      </w:r>
      <w:r>
        <w:rPr>
          <w:spacing w:val="-11"/>
        </w:rPr>
        <w:t xml:space="preserve"> </w:t>
      </w:r>
      <w:r>
        <w:t>than</w:t>
      </w:r>
      <w:r>
        <w:rPr>
          <w:spacing w:val="-11"/>
        </w:rPr>
        <w:t xml:space="preserve"> </w:t>
      </w:r>
      <w:r>
        <w:t>anticipated</w:t>
      </w:r>
      <w:r>
        <w:rPr>
          <w:spacing w:val="-12"/>
        </w:rPr>
        <w:t xml:space="preserve"> </w:t>
      </w:r>
      <w:r>
        <w:t>ramp‐up.</w:t>
      </w:r>
      <w:r>
        <w:rPr>
          <w:spacing w:val="-12"/>
        </w:rPr>
        <w:t xml:space="preserve"> </w:t>
      </w:r>
      <w:r>
        <w:t>Over‐reliance</w:t>
      </w:r>
      <w:r>
        <w:rPr>
          <w:spacing w:val="-12"/>
        </w:rPr>
        <w:t xml:space="preserve"> </w:t>
      </w:r>
      <w:r>
        <w:t>on</w:t>
      </w:r>
      <w:r>
        <w:rPr>
          <w:spacing w:val="-11"/>
        </w:rPr>
        <w:t xml:space="preserve"> </w:t>
      </w:r>
      <w:r>
        <w:t>external</w:t>
      </w:r>
      <w:r>
        <w:rPr>
          <w:spacing w:val="-12"/>
        </w:rPr>
        <w:t xml:space="preserve"> </w:t>
      </w:r>
      <w:r>
        <w:t>contractors</w:t>
      </w:r>
      <w:r>
        <w:rPr>
          <w:spacing w:val="-12"/>
        </w:rPr>
        <w:t xml:space="preserve"> </w:t>
      </w:r>
      <w:r>
        <w:t>for</w:t>
      </w:r>
      <w:r>
        <w:rPr>
          <w:spacing w:val="-11"/>
        </w:rPr>
        <w:t xml:space="preserve"> </w:t>
      </w:r>
      <w:r>
        <w:t>planning</w:t>
      </w:r>
      <w:r>
        <w:rPr>
          <w:spacing w:val="-12"/>
        </w:rPr>
        <w:t xml:space="preserve"> </w:t>
      </w:r>
      <w:r>
        <w:t>and</w:t>
      </w:r>
      <w:r>
        <w:rPr>
          <w:spacing w:val="-11"/>
        </w:rPr>
        <w:t xml:space="preserve"> </w:t>
      </w:r>
      <w:r>
        <w:t>delivery,</w:t>
      </w:r>
      <w:r>
        <w:rPr>
          <w:spacing w:val="-12"/>
        </w:rPr>
        <w:t xml:space="preserve"> </w:t>
      </w:r>
      <w:r>
        <w:t>high turnover of key personnel and consequent loss of knowledge and information were contributing factors. Delivery capabilities and volumes have demonstrably recovered since then, particularly in 2021‐22. While it is acknowledged</w:t>
      </w:r>
      <w:r>
        <w:rPr>
          <w:spacing w:val="-11"/>
        </w:rPr>
        <w:t xml:space="preserve"> </w:t>
      </w:r>
      <w:r>
        <w:t>that</w:t>
      </w:r>
      <w:r>
        <w:rPr>
          <w:spacing w:val="-11"/>
        </w:rPr>
        <w:t xml:space="preserve"> </w:t>
      </w:r>
      <w:r>
        <w:t>some</w:t>
      </w:r>
      <w:r>
        <w:rPr>
          <w:spacing w:val="-10"/>
        </w:rPr>
        <w:t xml:space="preserve"> </w:t>
      </w:r>
      <w:r>
        <w:t>of</w:t>
      </w:r>
      <w:r>
        <w:rPr>
          <w:spacing w:val="-10"/>
        </w:rPr>
        <w:t xml:space="preserve"> </w:t>
      </w:r>
      <w:r>
        <w:t>the</w:t>
      </w:r>
      <w:r>
        <w:rPr>
          <w:spacing w:val="-10"/>
        </w:rPr>
        <w:t xml:space="preserve"> </w:t>
      </w:r>
      <w:r>
        <w:t>increase</w:t>
      </w:r>
      <w:r>
        <w:rPr>
          <w:spacing w:val="-10"/>
        </w:rPr>
        <w:t xml:space="preserve"> </w:t>
      </w:r>
      <w:r>
        <w:t>in</w:t>
      </w:r>
      <w:r>
        <w:rPr>
          <w:spacing w:val="-10"/>
        </w:rPr>
        <w:t xml:space="preserve"> </w:t>
      </w:r>
      <w:r>
        <w:t>this</w:t>
      </w:r>
      <w:r>
        <w:rPr>
          <w:spacing w:val="-10"/>
        </w:rPr>
        <w:t xml:space="preserve"> </w:t>
      </w:r>
      <w:r>
        <w:t>recent</w:t>
      </w:r>
      <w:r>
        <w:rPr>
          <w:spacing w:val="-9"/>
        </w:rPr>
        <w:t xml:space="preserve"> </w:t>
      </w:r>
      <w:r>
        <w:t>year</w:t>
      </w:r>
      <w:r>
        <w:rPr>
          <w:spacing w:val="-9"/>
        </w:rPr>
        <w:t xml:space="preserve"> </w:t>
      </w:r>
      <w:r>
        <w:t>is</w:t>
      </w:r>
      <w:r>
        <w:rPr>
          <w:spacing w:val="-10"/>
        </w:rPr>
        <w:t xml:space="preserve"> </w:t>
      </w:r>
      <w:r>
        <w:t>a</w:t>
      </w:r>
      <w:r>
        <w:rPr>
          <w:spacing w:val="-10"/>
        </w:rPr>
        <w:t xml:space="preserve"> </w:t>
      </w:r>
      <w:r>
        <w:t>result</w:t>
      </w:r>
      <w:r>
        <w:rPr>
          <w:spacing w:val="-11"/>
        </w:rPr>
        <w:t xml:space="preserve"> </w:t>
      </w:r>
      <w:r>
        <w:t>of</w:t>
      </w:r>
      <w:r>
        <w:rPr>
          <w:spacing w:val="-10"/>
        </w:rPr>
        <w:t xml:space="preserve"> </w:t>
      </w:r>
      <w:r>
        <w:t>pandemic</w:t>
      </w:r>
      <w:r>
        <w:rPr>
          <w:spacing w:val="-9"/>
        </w:rPr>
        <w:t xml:space="preserve"> </w:t>
      </w:r>
      <w:r>
        <w:t>impacts</w:t>
      </w:r>
      <w:r>
        <w:rPr>
          <w:spacing w:val="-9"/>
        </w:rPr>
        <w:t xml:space="preserve"> </w:t>
      </w:r>
      <w:r>
        <w:t>and</w:t>
      </w:r>
      <w:r>
        <w:rPr>
          <w:spacing w:val="-9"/>
        </w:rPr>
        <w:t xml:space="preserve"> </w:t>
      </w:r>
      <w:r>
        <w:t>resultant</w:t>
      </w:r>
      <w:r>
        <w:rPr>
          <w:spacing w:val="-11"/>
        </w:rPr>
        <w:t xml:space="preserve"> </w:t>
      </w:r>
      <w:r>
        <w:t xml:space="preserve">market cost escalations, the growth in throughput has been primarily driven by improved capital program delivery </w:t>
      </w:r>
      <w:r>
        <w:rPr>
          <w:spacing w:val="-2"/>
        </w:rPr>
        <w:t>performance.</w:t>
      </w:r>
    </w:p>
    <w:p w14:paraId="5A3F9990" w14:textId="77777777" w:rsidR="00141B97" w:rsidRDefault="00911D63">
      <w:pPr>
        <w:pStyle w:val="BodyText"/>
        <w:spacing w:before="126" w:line="249" w:lineRule="auto"/>
        <w:ind w:left="113" w:right="946"/>
        <w:jc w:val="both"/>
      </w:pPr>
      <w:r>
        <w:t>Market cost escalations have resulted in some higher project costs than planned, and supply constraints have also</w:t>
      </w:r>
      <w:r>
        <w:rPr>
          <w:spacing w:val="-9"/>
        </w:rPr>
        <w:t xml:space="preserve"> </w:t>
      </w:r>
      <w:r>
        <w:t>caused</w:t>
      </w:r>
      <w:r>
        <w:rPr>
          <w:spacing w:val="-9"/>
        </w:rPr>
        <w:t xml:space="preserve"> </w:t>
      </w:r>
      <w:r>
        <w:t>some</w:t>
      </w:r>
      <w:r>
        <w:rPr>
          <w:spacing w:val="-9"/>
        </w:rPr>
        <w:t xml:space="preserve"> </w:t>
      </w:r>
      <w:r>
        <w:t>delays.</w:t>
      </w:r>
      <w:r>
        <w:rPr>
          <w:spacing w:val="-10"/>
        </w:rPr>
        <w:t xml:space="preserve"> </w:t>
      </w:r>
      <w:r>
        <w:t>LMW</w:t>
      </w:r>
      <w:r>
        <w:rPr>
          <w:spacing w:val="-9"/>
        </w:rPr>
        <w:t xml:space="preserve"> </w:t>
      </w:r>
      <w:r>
        <w:t>was</w:t>
      </w:r>
      <w:r>
        <w:rPr>
          <w:spacing w:val="-8"/>
        </w:rPr>
        <w:t xml:space="preserve"> </w:t>
      </w:r>
      <w:r>
        <w:t>able</w:t>
      </w:r>
      <w:r>
        <w:rPr>
          <w:spacing w:val="-9"/>
        </w:rPr>
        <w:t xml:space="preserve"> </w:t>
      </w:r>
      <w:r>
        <w:t>to</w:t>
      </w:r>
      <w:r>
        <w:rPr>
          <w:spacing w:val="-10"/>
        </w:rPr>
        <w:t xml:space="preserve"> </w:t>
      </w:r>
      <w:r>
        <w:t>manage</w:t>
      </w:r>
      <w:r>
        <w:rPr>
          <w:spacing w:val="-10"/>
        </w:rPr>
        <w:t xml:space="preserve"> </w:t>
      </w:r>
      <w:r>
        <w:t>these</w:t>
      </w:r>
      <w:r>
        <w:rPr>
          <w:spacing w:val="-9"/>
        </w:rPr>
        <w:t xml:space="preserve"> </w:t>
      </w:r>
      <w:r>
        <w:t>risks</w:t>
      </w:r>
      <w:r>
        <w:rPr>
          <w:spacing w:val="-9"/>
        </w:rPr>
        <w:t xml:space="preserve"> </w:t>
      </w:r>
      <w:r>
        <w:t>by</w:t>
      </w:r>
      <w:r>
        <w:rPr>
          <w:spacing w:val="-8"/>
        </w:rPr>
        <w:t xml:space="preserve"> </w:t>
      </w:r>
      <w:r>
        <w:t>prudent</w:t>
      </w:r>
      <w:r>
        <w:rPr>
          <w:spacing w:val="-10"/>
        </w:rPr>
        <w:t xml:space="preserve"> </w:t>
      </w:r>
      <w:r>
        <w:t>changes</w:t>
      </w:r>
      <w:r>
        <w:rPr>
          <w:spacing w:val="-9"/>
        </w:rPr>
        <w:t xml:space="preserve"> </w:t>
      </w:r>
      <w:r>
        <w:t>to</w:t>
      </w:r>
      <w:r>
        <w:rPr>
          <w:spacing w:val="-9"/>
        </w:rPr>
        <w:t xml:space="preserve"> </w:t>
      </w:r>
      <w:r>
        <w:t>the</w:t>
      </w:r>
      <w:r>
        <w:rPr>
          <w:spacing w:val="-10"/>
        </w:rPr>
        <w:t xml:space="preserve"> </w:t>
      </w:r>
      <w:r>
        <w:t>program</w:t>
      </w:r>
      <w:r>
        <w:rPr>
          <w:spacing w:val="-9"/>
        </w:rPr>
        <w:t xml:space="preserve"> </w:t>
      </w:r>
      <w:r>
        <w:t>and</w:t>
      </w:r>
      <w:r>
        <w:rPr>
          <w:spacing w:val="-8"/>
        </w:rPr>
        <w:t xml:space="preserve"> </w:t>
      </w:r>
      <w:r>
        <w:t>adaptive project</w:t>
      </w:r>
      <w:r>
        <w:rPr>
          <w:spacing w:val="-6"/>
        </w:rPr>
        <w:t xml:space="preserve"> </w:t>
      </w:r>
      <w:r>
        <w:t>delivery</w:t>
      </w:r>
      <w:r>
        <w:rPr>
          <w:spacing w:val="-7"/>
        </w:rPr>
        <w:t xml:space="preserve"> </w:t>
      </w:r>
      <w:r>
        <w:t>scheduling.</w:t>
      </w:r>
      <w:r>
        <w:rPr>
          <w:spacing w:val="-6"/>
        </w:rPr>
        <w:t xml:space="preserve"> </w:t>
      </w:r>
      <w:r>
        <w:t>Other</w:t>
      </w:r>
      <w:r>
        <w:rPr>
          <w:spacing w:val="-5"/>
        </w:rPr>
        <w:t xml:space="preserve"> </w:t>
      </w:r>
      <w:r>
        <w:t>variations</w:t>
      </w:r>
      <w:r>
        <w:rPr>
          <w:spacing w:val="-5"/>
        </w:rPr>
        <w:t xml:space="preserve"> </w:t>
      </w:r>
      <w:r>
        <w:t>involved</w:t>
      </w:r>
      <w:r>
        <w:rPr>
          <w:spacing w:val="-6"/>
        </w:rPr>
        <w:t xml:space="preserve"> </w:t>
      </w:r>
      <w:r>
        <w:t>essential</w:t>
      </w:r>
      <w:r>
        <w:rPr>
          <w:spacing w:val="-6"/>
        </w:rPr>
        <w:t xml:space="preserve"> </w:t>
      </w:r>
      <w:r>
        <w:t>cost/scope</w:t>
      </w:r>
      <w:r>
        <w:rPr>
          <w:spacing w:val="-6"/>
        </w:rPr>
        <w:t xml:space="preserve"> </w:t>
      </w:r>
      <w:r>
        <w:t>variations</w:t>
      </w:r>
      <w:r>
        <w:rPr>
          <w:spacing w:val="-5"/>
        </w:rPr>
        <w:t xml:space="preserve"> </w:t>
      </w:r>
      <w:r>
        <w:t>and</w:t>
      </w:r>
      <w:r>
        <w:rPr>
          <w:spacing w:val="-6"/>
        </w:rPr>
        <w:t xml:space="preserve"> </w:t>
      </w:r>
      <w:r>
        <w:t>some</w:t>
      </w:r>
      <w:r>
        <w:rPr>
          <w:spacing w:val="-6"/>
        </w:rPr>
        <w:t xml:space="preserve"> </w:t>
      </w:r>
      <w:r>
        <w:t>deferrals</w:t>
      </w:r>
      <w:r>
        <w:rPr>
          <w:spacing w:val="-6"/>
        </w:rPr>
        <w:t xml:space="preserve"> </w:t>
      </w:r>
      <w:r>
        <w:t>due</w:t>
      </w:r>
      <w:r>
        <w:rPr>
          <w:spacing w:val="-6"/>
        </w:rPr>
        <w:t xml:space="preserve"> </w:t>
      </w:r>
      <w:r>
        <w:t>to slowed growth in one area.</w:t>
      </w:r>
    </w:p>
    <w:p w14:paraId="54F301A7" w14:textId="77777777" w:rsidR="00141B97" w:rsidRDefault="00911D63">
      <w:pPr>
        <w:pStyle w:val="BodyText"/>
        <w:spacing w:before="123" w:line="249" w:lineRule="auto"/>
        <w:ind w:left="113" w:right="948" w:hanging="1"/>
        <w:jc w:val="both"/>
      </w:pPr>
      <w:r>
        <w:t>The</w:t>
      </w:r>
      <w:r>
        <w:rPr>
          <w:spacing w:val="-1"/>
        </w:rPr>
        <w:t xml:space="preserve"> </w:t>
      </w:r>
      <w:r>
        <w:t>Top 10 projects and</w:t>
      </w:r>
      <w:r>
        <w:rPr>
          <w:spacing w:val="-1"/>
        </w:rPr>
        <w:t xml:space="preserve"> </w:t>
      </w:r>
      <w:r>
        <w:t>renewals</w:t>
      </w:r>
      <w:r>
        <w:rPr>
          <w:spacing w:val="-1"/>
        </w:rPr>
        <w:t xml:space="preserve"> </w:t>
      </w:r>
      <w:r>
        <w:t>programs have</w:t>
      </w:r>
      <w:r>
        <w:rPr>
          <w:spacing w:val="-1"/>
        </w:rPr>
        <w:t xml:space="preserve"> </w:t>
      </w:r>
      <w:r>
        <w:t>largely been delivered on</w:t>
      </w:r>
      <w:r>
        <w:rPr>
          <w:spacing w:val="-1"/>
        </w:rPr>
        <w:t xml:space="preserve"> </w:t>
      </w:r>
      <w:r>
        <w:t>time and</w:t>
      </w:r>
      <w:r>
        <w:rPr>
          <w:spacing w:val="-1"/>
        </w:rPr>
        <w:t xml:space="preserve"> </w:t>
      </w:r>
      <w:r>
        <w:t>budget, with a</w:t>
      </w:r>
      <w:r>
        <w:rPr>
          <w:spacing w:val="-1"/>
        </w:rPr>
        <w:t xml:space="preserve"> </w:t>
      </w:r>
      <w:r>
        <w:t>significant and</w:t>
      </w:r>
      <w:r>
        <w:rPr>
          <w:spacing w:val="-7"/>
        </w:rPr>
        <w:t xml:space="preserve"> </w:t>
      </w:r>
      <w:r>
        <w:t>improving</w:t>
      </w:r>
      <w:r>
        <w:rPr>
          <w:spacing w:val="-7"/>
        </w:rPr>
        <w:t xml:space="preserve"> </w:t>
      </w:r>
      <w:r>
        <w:t>trend</w:t>
      </w:r>
      <w:r>
        <w:rPr>
          <w:spacing w:val="-7"/>
        </w:rPr>
        <w:t xml:space="preserve"> </w:t>
      </w:r>
      <w:r>
        <w:t>in</w:t>
      </w:r>
      <w:r>
        <w:rPr>
          <w:spacing w:val="-7"/>
        </w:rPr>
        <w:t xml:space="preserve"> </w:t>
      </w:r>
      <w:r>
        <w:t>the</w:t>
      </w:r>
      <w:r>
        <w:rPr>
          <w:spacing w:val="-6"/>
        </w:rPr>
        <w:t xml:space="preserve"> </w:t>
      </w:r>
      <w:r>
        <w:t>volume</w:t>
      </w:r>
      <w:r>
        <w:rPr>
          <w:spacing w:val="-8"/>
        </w:rPr>
        <w:t xml:space="preserve"> </w:t>
      </w:r>
      <w:r>
        <w:t>of</w:t>
      </w:r>
      <w:r>
        <w:rPr>
          <w:spacing w:val="-7"/>
        </w:rPr>
        <w:t xml:space="preserve"> </w:t>
      </w:r>
      <w:r>
        <w:t>capital</w:t>
      </w:r>
      <w:r>
        <w:rPr>
          <w:spacing w:val="-8"/>
        </w:rPr>
        <w:t xml:space="preserve"> </w:t>
      </w:r>
      <w:r>
        <w:t>works</w:t>
      </w:r>
      <w:r>
        <w:rPr>
          <w:spacing w:val="-7"/>
        </w:rPr>
        <w:t xml:space="preserve"> </w:t>
      </w:r>
      <w:r>
        <w:t>delivered</w:t>
      </w:r>
      <w:r>
        <w:rPr>
          <w:spacing w:val="-7"/>
        </w:rPr>
        <w:t xml:space="preserve"> </w:t>
      </w:r>
      <w:r>
        <w:t>each</w:t>
      </w:r>
      <w:r>
        <w:rPr>
          <w:spacing w:val="-7"/>
        </w:rPr>
        <w:t xml:space="preserve"> </w:t>
      </w:r>
      <w:r>
        <w:t>year</w:t>
      </w:r>
      <w:r>
        <w:rPr>
          <w:spacing w:val="-7"/>
        </w:rPr>
        <w:t xml:space="preserve"> </w:t>
      </w:r>
      <w:r>
        <w:t>of</w:t>
      </w:r>
      <w:r>
        <w:rPr>
          <w:spacing w:val="-6"/>
        </w:rPr>
        <w:t xml:space="preserve"> </w:t>
      </w:r>
      <w:r>
        <w:t>the</w:t>
      </w:r>
      <w:r>
        <w:rPr>
          <w:spacing w:val="-7"/>
        </w:rPr>
        <w:t xml:space="preserve"> </w:t>
      </w:r>
      <w:r>
        <w:t>PS4</w:t>
      </w:r>
      <w:r>
        <w:rPr>
          <w:spacing w:val="-8"/>
        </w:rPr>
        <w:t xml:space="preserve"> </w:t>
      </w:r>
      <w:r>
        <w:t>period.</w:t>
      </w:r>
      <w:r>
        <w:rPr>
          <w:spacing w:val="-8"/>
        </w:rPr>
        <w:t xml:space="preserve"> </w:t>
      </w:r>
      <w:r>
        <w:t>Moreover,</w:t>
      </w:r>
      <w:r>
        <w:rPr>
          <w:spacing w:val="-6"/>
        </w:rPr>
        <w:t xml:space="preserve"> </w:t>
      </w:r>
      <w:r>
        <w:t>some</w:t>
      </w:r>
      <w:r>
        <w:rPr>
          <w:spacing w:val="-7"/>
        </w:rPr>
        <w:t xml:space="preserve"> </w:t>
      </w:r>
      <w:r>
        <w:t>new justified projects were delivered. The effect of this program delivery was to maintain or meet regulatory obligations and customer outcomes commitments, as discussed above.</w:t>
      </w:r>
    </w:p>
    <w:p w14:paraId="09934EE5" w14:textId="77777777" w:rsidR="00141B97" w:rsidRDefault="00911D63">
      <w:pPr>
        <w:pStyle w:val="BodyText"/>
        <w:spacing w:before="111"/>
        <w:ind w:left="113" w:right="949"/>
        <w:jc w:val="both"/>
      </w:pPr>
      <w:r>
        <w:t>With all major projects now having either been completed or having contracts in place, and the expected continuation</w:t>
      </w:r>
      <w:r>
        <w:rPr>
          <w:spacing w:val="-5"/>
        </w:rPr>
        <w:t xml:space="preserve"> </w:t>
      </w:r>
      <w:r>
        <w:t>of</w:t>
      </w:r>
      <w:r>
        <w:rPr>
          <w:spacing w:val="-6"/>
        </w:rPr>
        <w:t xml:space="preserve"> </w:t>
      </w:r>
      <w:r>
        <w:t>recent</w:t>
      </w:r>
      <w:r>
        <w:rPr>
          <w:spacing w:val="-6"/>
        </w:rPr>
        <w:t xml:space="preserve"> </w:t>
      </w:r>
      <w:r>
        <w:t>delivery</w:t>
      </w:r>
      <w:r>
        <w:rPr>
          <w:spacing w:val="-7"/>
        </w:rPr>
        <w:t xml:space="preserve"> </w:t>
      </w:r>
      <w:r>
        <w:t>performance</w:t>
      </w:r>
      <w:r>
        <w:rPr>
          <w:spacing w:val="-7"/>
        </w:rPr>
        <w:t xml:space="preserve"> </w:t>
      </w:r>
      <w:r>
        <w:t>for</w:t>
      </w:r>
      <w:r>
        <w:rPr>
          <w:spacing w:val="-7"/>
        </w:rPr>
        <w:t xml:space="preserve"> </w:t>
      </w:r>
      <w:r>
        <w:t>the</w:t>
      </w:r>
      <w:r>
        <w:rPr>
          <w:spacing w:val="-7"/>
        </w:rPr>
        <w:t xml:space="preserve"> </w:t>
      </w:r>
      <w:r>
        <w:t>2022‐23</w:t>
      </w:r>
      <w:r>
        <w:rPr>
          <w:spacing w:val="-6"/>
        </w:rPr>
        <w:t xml:space="preserve"> </w:t>
      </w:r>
      <w:r>
        <w:t>year,</w:t>
      </w:r>
      <w:r>
        <w:rPr>
          <w:spacing w:val="-5"/>
        </w:rPr>
        <w:t xml:space="preserve"> </w:t>
      </w:r>
      <w:r>
        <w:t>LMW</w:t>
      </w:r>
      <w:r>
        <w:rPr>
          <w:spacing w:val="-7"/>
        </w:rPr>
        <w:t xml:space="preserve"> </w:t>
      </w:r>
      <w:r>
        <w:t>is</w:t>
      </w:r>
      <w:r>
        <w:rPr>
          <w:spacing w:val="-6"/>
        </w:rPr>
        <w:t xml:space="preserve"> </w:t>
      </w:r>
      <w:r>
        <w:t>confident</w:t>
      </w:r>
      <w:r>
        <w:rPr>
          <w:spacing w:val="-5"/>
        </w:rPr>
        <w:t xml:space="preserve"> </w:t>
      </w:r>
      <w:r>
        <w:t>of</w:t>
      </w:r>
      <w:r>
        <w:rPr>
          <w:spacing w:val="-6"/>
        </w:rPr>
        <w:t xml:space="preserve"> </w:t>
      </w:r>
      <w:r>
        <w:t>delivering</w:t>
      </w:r>
      <w:r>
        <w:rPr>
          <w:spacing w:val="-7"/>
        </w:rPr>
        <w:t xml:space="preserve"> </w:t>
      </w:r>
      <w:r>
        <w:t>the</w:t>
      </w:r>
      <w:r>
        <w:rPr>
          <w:spacing w:val="-6"/>
        </w:rPr>
        <w:t xml:space="preserve"> </w:t>
      </w:r>
      <w:r>
        <w:t>identified customer outcomes within 1‐1.5% of the overall PS4 budgeted expenditure.</w:t>
      </w:r>
    </w:p>
    <w:p w14:paraId="734657E4" w14:textId="77777777" w:rsidR="00141B97" w:rsidRDefault="00141B97">
      <w:pPr>
        <w:jc w:val="both"/>
        <w:sectPr w:rsidR="00141B97">
          <w:pgSz w:w="11910" w:h="16840"/>
          <w:pgMar w:top="860" w:right="40" w:bottom="760" w:left="1020" w:header="0" w:footer="580" w:gutter="0"/>
          <w:cols w:space="720"/>
        </w:sectPr>
      </w:pPr>
    </w:p>
    <w:p w14:paraId="6CA6C893" w14:textId="77777777" w:rsidR="00141B97" w:rsidRDefault="00911D63">
      <w:pPr>
        <w:pStyle w:val="ListParagraph"/>
        <w:numPr>
          <w:ilvl w:val="2"/>
          <w:numId w:val="81"/>
        </w:numPr>
        <w:tabs>
          <w:tab w:val="left" w:pos="1112"/>
          <w:tab w:val="left" w:pos="1113"/>
        </w:tabs>
        <w:spacing w:before="43"/>
        <w:jc w:val="both"/>
      </w:pPr>
      <w:r>
        <w:lastRenderedPageBreak/>
        <w:t>Major</w:t>
      </w:r>
      <w:r>
        <w:rPr>
          <w:spacing w:val="-7"/>
        </w:rPr>
        <w:t xml:space="preserve"> </w:t>
      </w:r>
      <w:r>
        <w:t>Urban</w:t>
      </w:r>
      <w:r>
        <w:rPr>
          <w:spacing w:val="-6"/>
        </w:rPr>
        <w:t xml:space="preserve"> </w:t>
      </w:r>
      <w:r>
        <w:rPr>
          <w:spacing w:val="-2"/>
        </w:rPr>
        <w:t>Projects</w:t>
      </w:r>
    </w:p>
    <w:p w14:paraId="5569AE41" w14:textId="77777777" w:rsidR="00141B97" w:rsidRDefault="00911D63">
      <w:pPr>
        <w:pStyle w:val="BodyText"/>
        <w:spacing w:before="59"/>
        <w:ind w:left="113" w:right="947"/>
        <w:jc w:val="both"/>
      </w:pPr>
      <w:r>
        <w:t>A summary of the nine urban projects featuring in LMW’s Top 10 capex projects is summarised in Table B8 overleaf. All major projects were commenced during the PS4 with the majority completed within reasonable limits</w:t>
      </w:r>
      <w:r>
        <w:rPr>
          <w:spacing w:val="-5"/>
        </w:rPr>
        <w:t xml:space="preserve"> </w:t>
      </w:r>
      <w:r>
        <w:t>of</w:t>
      </w:r>
      <w:r>
        <w:rPr>
          <w:spacing w:val="-5"/>
        </w:rPr>
        <w:t xml:space="preserve"> </w:t>
      </w:r>
      <w:r>
        <w:t>cost</w:t>
      </w:r>
      <w:r>
        <w:rPr>
          <w:spacing w:val="-4"/>
        </w:rPr>
        <w:t xml:space="preserve"> </w:t>
      </w:r>
      <w:r>
        <w:t>estimates.</w:t>
      </w:r>
      <w:r>
        <w:rPr>
          <w:spacing w:val="-5"/>
        </w:rPr>
        <w:t xml:space="preserve"> </w:t>
      </w:r>
      <w:r>
        <w:t>Renewals</w:t>
      </w:r>
      <w:r>
        <w:rPr>
          <w:spacing w:val="-6"/>
        </w:rPr>
        <w:t xml:space="preserve"> </w:t>
      </w:r>
      <w:r>
        <w:t>programs</w:t>
      </w:r>
      <w:r>
        <w:rPr>
          <w:spacing w:val="-5"/>
        </w:rPr>
        <w:t xml:space="preserve"> </w:t>
      </w:r>
      <w:r>
        <w:t>for</w:t>
      </w:r>
      <w:r>
        <w:rPr>
          <w:spacing w:val="-6"/>
        </w:rPr>
        <w:t xml:space="preserve"> </w:t>
      </w:r>
      <w:r>
        <w:t>water</w:t>
      </w:r>
      <w:r>
        <w:rPr>
          <w:spacing w:val="-5"/>
        </w:rPr>
        <w:t xml:space="preserve"> </w:t>
      </w:r>
      <w:r>
        <w:t>main</w:t>
      </w:r>
      <w:r>
        <w:rPr>
          <w:spacing w:val="-5"/>
        </w:rPr>
        <w:t xml:space="preserve"> </w:t>
      </w:r>
      <w:r>
        <w:t>pipelines</w:t>
      </w:r>
      <w:r>
        <w:rPr>
          <w:spacing w:val="-6"/>
        </w:rPr>
        <w:t xml:space="preserve"> </w:t>
      </w:r>
      <w:r>
        <w:t>and</w:t>
      </w:r>
      <w:r>
        <w:rPr>
          <w:spacing w:val="-6"/>
        </w:rPr>
        <w:t xml:space="preserve"> </w:t>
      </w:r>
      <w:r>
        <w:t>sewer</w:t>
      </w:r>
      <w:r>
        <w:rPr>
          <w:spacing w:val="-4"/>
        </w:rPr>
        <w:t xml:space="preserve"> </w:t>
      </w:r>
      <w:r>
        <w:t>rehabilitation</w:t>
      </w:r>
      <w:r>
        <w:rPr>
          <w:spacing w:val="-5"/>
        </w:rPr>
        <w:t xml:space="preserve"> </w:t>
      </w:r>
      <w:r>
        <w:t>were</w:t>
      </w:r>
      <w:r>
        <w:rPr>
          <w:spacing w:val="-6"/>
        </w:rPr>
        <w:t xml:space="preserve"> </w:t>
      </w:r>
      <w:r>
        <w:t>maintained at consistent levels throughout the period to replace/rehabilitate ageing assets that were not meeting service performance reliability requirements.</w:t>
      </w:r>
    </w:p>
    <w:p w14:paraId="524EE162" w14:textId="77777777" w:rsidR="00141B97" w:rsidRDefault="00141B97">
      <w:pPr>
        <w:pStyle w:val="BodyText"/>
        <w:spacing w:before="1"/>
        <w:rPr>
          <w:sz w:val="29"/>
        </w:rPr>
      </w:pPr>
    </w:p>
    <w:tbl>
      <w:tblPr>
        <w:tblW w:w="0" w:type="auto"/>
        <w:tblCellSpacing w:w="6" w:type="dxa"/>
        <w:tblInd w:w="142" w:type="dxa"/>
        <w:tblLayout w:type="fixed"/>
        <w:tblCellMar>
          <w:left w:w="0" w:type="dxa"/>
          <w:right w:w="0" w:type="dxa"/>
        </w:tblCellMar>
        <w:tblLook w:val="01E0" w:firstRow="1" w:lastRow="1" w:firstColumn="1" w:lastColumn="1" w:noHBand="0" w:noVBand="0"/>
      </w:tblPr>
      <w:tblGrid>
        <w:gridCol w:w="1243"/>
        <w:gridCol w:w="2096"/>
        <w:gridCol w:w="807"/>
        <w:gridCol w:w="829"/>
        <w:gridCol w:w="592"/>
        <w:gridCol w:w="719"/>
        <w:gridCol w:w="856"/>
        <w:gridCol w:w="2717"/>
      </w:tblGrid>
      <w:tr w:rsidR="00141B97" w14:paraId="235D0054" w14:textId="77777777">
        <w:trPr>
          <w:trHeight w:val="586"/>
          <w:tblCellSpacing w:w="6" w:type="dxa"/>
        </w:trPr>
        <w:tc>
          <w:tcPr>
            <w:tcW w:w="1225" w:type="dxa"/>
            <w:shd w:val="clear" w:color="auto" w:fill="0064A4"/>
          </w:tcPr>
          <w:p w14:paraId="37294A6A" w14:textId="77777777" w:rsidR="00141B97" w:rsidRDefault="00911D63">
            <w:pPr>
              <w:pStyle w:val="TableParagraph"/>
              <w:ind w:left="-8"/>
              <w:rPr>
                <w:sz w:val="16"/>
              </w:rPr>
            </w:pPr>
            <w:r>
              <w:rPr>
                <w:color w:val="FFFFFF"/>
                <w:sz w:val="16"/>
              </w:rPr>
              <w:t>Major</w:t>
            </w:r>
            <w:r>
              <w:rPr>
                <w:color w:val="FFFFFF"/>
                <w:spacing w:val="-6"/>
                <w:sz w:val="16"/>
              </w:rPr>
              <w:t xml:space="preserve"> </w:t>
            </w:r>
            <w:r>
              <w:rPr>
                <w:color w:val="FFFFFF"/>
                <w:spacing w:val="-2"/>
                <w:sz w:val="16"/>
              </w:rPr>
              <w:t>Project</w:t>
            </w:r>
          </w:p>
        </w:tc>
        <w:tc>
          <w:tcPr>
            <w:tcW w:w="2084" w:type="dxa"/>
            <w:shd w:val="clear" w:color="auto" w:fill="0064A4"/>
          </w:tcPr>
          <w:p w14:paraId="461887DE" w14:textId="77777777" w:rsidR="00141B97" w:rsidRDefault="00911D63">
            <w:pPr>
              <w:pStyle w:val="TableParagraph"/>
              <w:ind w:left="-2"/>
              <w:rPr>
                <w:sz w:val="16"/>
              </w:rPr>
            </w:pPr>
            <w:r>
              <w:rPr>
                <w:color w:val="FFFFFF"/>
                <w:spacing w:val="-2"/>
                <w:sz w:val="16"/>
              </w:rPr>
              <w:t>Purpose</w:t>
            </w:r>
          </w:p>
        </w:tc>
        <w:tc>
          <w:tcPr>
            <w:tcW w:w="795" w:type="dxa"/>
            <w:shd w:val="clear" w:color="auto" w:fill="0064A4"/>
          </w:tcPr>
          <w:p w14:paraId="362134CD" w14:textId="77777777" w:rsidR="00141B97" w:rsidRDefault="00911D63">
            <w:pPr>
              <w:pStyle w:val="TableParagraph"/>
              <w:ind w:left="-1"/>
              <w:rPr>
                <w:sz w:val="16"/>
              </w:rPr>
            </w:pPr>
            <w:r>
              <w:rPr>
                <w:color w:val="FFFFFF"/>
                <w:spacing w:val="-2"/>
                <w:sz w:val="16"/>
              </w:rPr>
              <w:t>Major</w:t>
            </w:r>
          </w:p>
          <w:p w14:paraId="32F37E8E" w14:textId="77777777" w:rsidR="00141B97" w:rsidRDefault="00911D63">
            <w:pPr>
              <w:pStyle w:val="TableParagraph"/>
              <w:spacing w:line="190" w:lineRule="atLeast"/>
              <w:ind w:left="-1"/>
              <w:rPr>
                <w:sz w:val="16"/>
              </w:rPr>
            </w:pPr>
            <w:r>
              <w:rPr>
                <w:color w:val="FFFFFF"/>
                <w:spacing w:val="-2"/>
                <w:sz w:val="16"/>
              </w:rPr>
              <w:t>Service</w:t>
            </w:r>
            <w:r>
              <w:rPr>
                <w:color w:val="FFFFFF"/>
                <w:spacing w:val="40"/>
                <w:sz w:val="16"/>
              </w:rPr>
              <w:t xml:space="preserve"> </w:t>
            </w:r>
            <w:r>
              <w:rPr>
                <w:color w:val="FFFFFF"/>
                <w:spacing w:val="-2"/>
                <w:sz w:val="16"/>
              </w:rPr>
              <w:t>Category</w:t>
            </w:r>
          </w:p>
        </w:tc>
        <w:tc>
          <w:tcPr>
            <w:tcW w:w="817" w:type="dxa"/>
            <w:shd w:val="clear" w:color="auto" w:fill="0064A4"/>
          </w:tcPr>
          <w:p w14:paraId="424ADE82" w14:textId="77777777" w:rsidR="00141B97" w:rsidRDefault="00911D63">
            <w:pPr>
              <w:pStyle w:val="TableParagraph"/>
              <w:ind w:left="-2"/>
              <w:rPr>
                <w:sz w:val="16"/>
              </w:rPr>
            </w:pPr>
            <w:r>
              <w:rPr>
                <w:color w:val="FFFFFF"/>
                <w:spacing w:val="-2"/>
                <w:sz w:val="16"/>
              </w:rPr>
              <w:t>Budget</w:t>
            </w:r>
          </w:p>
          <w:p w14:paraId="4D4701A9" w14:textId="77777777" w:rsidR="00141B97" w:rsidRDefault="00911D63">
            <w:pPr>
              <w:pStyle w:val="TableParagraph"/>
              <w:spacing w:line="190" w:lineRule="atLeast"/>
              <w:ind w:left="-2"/>
              <w:rPr>
                <w:sz w:val="16"/>
              </w:rPr>
            </w:pPr>
            <w:r>
              <w:rPr>
                <w:color w:val="FFFFFF"/>
                <w:sz w:val="16"/>
              </w:rPr>
              <w:t>Project</w:t>
            </w:r>
            <w:r>
              <w:rPr>
                <w:color w:val="FFFFFF"/>
                <w:spacing w:val="-10"/>
                <w:sz w:val="16"/>
              </w:rPr>
              <w:t xml:space="preserve"> </w:t>
            </w:r>
            <w:r>
              <w:rPr>
                <w:color w:val="FFFFFF"/>
                <w:sz w:val="16"/>
              </w:rPr>
              <w:t>Cost</w:t>
            </w:r>
            <w:r>
              <w:rPr>
                <w:color w:val="FFFFFF"/>
                <w:spacing w:val="40"/>
                <w:sz w:val="16"/>
              </w:rPr>
              <w:t xml:space="preserve"> </w:t>
            </w:r>
            <w:r>
              <w:rPr>
                <w:color w:val="FFFFFF"/>
                <w:spacing w:val="-4"/>
                <w:sz w:val="16"/>
              </w:rPr>
              <w:t>($m)</w:t>
            </w:r>
          </w:p>
        </w:tc>
        <w:tc>
          <w:tcPr>
            <w:tcW w:w="580" w:type="dxa"/>
            <w:shd w:val="clear" w:color="auto" w:fill="0064A4"/>
          </w:tcPr>
          <w:p w14:paraId="38178178" w14:textId="77777777" w:rsidR="00141B97" w:rsidRDefault="00911D63">
            <w:pPr>
              <w:pStyle w:val="TableParagraph"/>
              <w:ind w:left="-2"/>
              <w:rPr>
                <w:sz w:val="16"/>
              </w:rPr>
            </w:pPr>
            <w:r>
              <w:rPr>
                <w:color w:val="FFFFFF"/>
                <w:spacing w:val="-2"/>
                <w:sz w:val="16"/>
              </w:rPr>
              <w:t>Total</w:t>
            </w:r>
          </w:p>
          <w:p w14:paraId="78CEA099" w14:textId="77777777" w:rsidR="00141B97" w:rsidRDefault="00911D63">
            <w:pPr>
              <w:pStyle w:val="TableParagraph"/>
              <w:spacing w:line="190" w:lineRule="atLeast"/>
              <w:ind w:left="-2"/>
              <w:rPr>
                <w:sz w:val="16"/>
              </w:rPr>
            </w:pPr>
            <w:r>
              <w:rPr>
                <w:color w:val="FFFFFF"/>
                <w:sz w:val="16"/>
              </w:rPr>
              <w:t>Cost</w:t>
            </w:r>
            <w:r>
              <w:rPr>
                <w:color w:val="FFFFFF"/>
                <w:spacing w:val="-10"/>
                <w:sz w:val="16"/>
              </w:rPr>
              <w:t xml:space="preserve"> </w:t>
            </w:r>
            <w:r>
              <w:rPr>
                <w:color w:val="FFFFFF"/>
                <w:sz w:val="16"/>
              </w:rPr>
              <w:t>to</w:t>
            </w:r>
            <w:r>
              <w:rPr>
                <w:color w:val="FFFFFF"/>
                <w:spacing w:val="40"/>
                <w:sz w:val="16"/>
              </w:rPr>
              <w:t xml:space="preserve"> </w:t>
            </w:r>
            <w:r>
              <w:rPr>
                <w:color w:val="FFFFFF"/>
                <w:spacing w:val="-4"/>
                <w:sz w:val="16"/>
              </w:rPr>
              <w:t>Date</w:t>
            </w:r>
          </w:p>
        </w:tc>
        <w:tc>
          <w:tcPr>
            <w:tcW w:w="707" w:type="dxa"/>
            <w:shd w:val="clear" w:color="auto" w:fill="0064A4"/>
          </w:tcPr>
          <w:p w14:paraId="29F3FCC7" w14:textId="77777777" w:rsidR="00141B97" w:rsidRDefault="00911D63">
            <w:pPr>
              <w:pStyle w:val="TableParagraph"/>
              <w:ind w:left="-2"/>
              <w:rPr>
                <w:sz w:val="16"/>
              </w:rPr>
            </w:pPr>
            <w:r>
              <w:rPr>
                <w:color w:val="FFFFFF"/>
                <w:spacing w:val="-2"/>
                <w:sz w:val="16"/>
              </w:rPr>
              <w:t>Estimate</w:t>
            </w:r>
          </w:p>
          <w:p w14:paraId="1035270D" w14:textId="77777777" w:rsidR="00141B97" w:rsidRDefault="00911D63">
            <w:pPr>
              <w:pStyle w:val="TableParagraph"/>
              <w:spacing w:line="190" w:lineRule="atLeast"/>
              <w:ind w:left="-2"/>
              <w:rPr>
                <w:sz w:val="16"/>
              </w:rPr>
            </w:pPr>
            <w:r>
              <w:rPr>
                <w:color w:val="FFFFFF"/>
                <w:spacing w:val="-6"/>
                <w:sz w:val="16"/>
              </w:rPr>
              <w:t>to</w:t>
            </w:r>
            <w:r>
              <w:rPr>
                <w:color w:val="FFFFFF"/>
                <w:spacing w:val="40"/>
                <w:sz w:val="16"/>
              </w:rPr>
              <w:t xml:space="preserve"> </w:t>
            </w:r>
            <w:r>
              <w:rPr>
                <w:color w:val="FFFFFF"/>
                <w:spacing w:val="-2"/>
                <w:sz w:val="16"/>
              </w:rPr>
              <w:t>Complete</w:t>
            </w:r>
          </w:p>
        </w:tc>
        <w:tc>
          <w:tcPr>
            <w:tcW w:w="844" w:type="dxa"/>
            <w:shd w:val="clear" w:color="auto" w:fill="0064A4"/>
          </w:tcPr>
          <w:p w14:paraId="6227DF82" w14:textId="77777777" w:rsidR="00141B97" w:rsidRDefault="00911D63">
            <w:pPr>
              <w:pStyle w:val="TableParagraph"/>
              <w:ind w:left="-2"/>
              <w:rPr>
                <w:sz w:val="16"/>
              </w:rPr>
            </w:pPr>
            <w:r>
              <w:rPr>
                <w:color w:val="FFFFFF"/>
                <w:spacing w:val="-2"/>
                <w:sz w:val="16"/>
              </w:rPr>
              <w:t>Actual/</w:t>
            </w:r>
          </w:p>
          <w:p w14:paraId="2EB66A80" w14:textId="77777777" w:rsidR="00141B97" w:rsidRDefault="00911D63">
            <w:pPr>
              <w:pStyle w:val="TableParagraph"/>
              <w:spacing w:line="190" w:lineRule="atLeast"/>
              <w:ind w:left="-2"/>
              <w:rPr>
                <w:sz w:val="16"/>
              </w:rPr>
            </w:pPr>
            <w:r>
              <w:rPr>
                <w:color w:val="FFFFFF"/>
                <w:spacing w:val="-2"/>
                <w:sz w:val="16"/>
              </w:rPr>
              <w:t>Estimated</w:t>
            </w:r>
            <w:r>
              <w:rPr>
                <w:color w:val="FFFFFF"/>
                <w:spacing w:val="40"/>
                <w:sz w:val="16"/>
              </w:rPr>
              <w:t xml:space="preserve"> </w:t>
            </w:r>
            <w:r>
              <w:rPr>
                <w:color w:val="FFFFFF"/>
                <w:sz w:val="16"/>
              </w:rPr>
              <w:t>Final</w:t>
            </w:r>
            <w:r>
              <w:rPr>
                <w:color w:val="FFFFFF"/>
                <w:spacing w:val="-8"/>
                <w:sz w:val="16"/>
              </w:rPr>
              <w:t xml:space="preserve"> </w:t>
            </w:r>
            <w:r>
              <w:rPr>
                <w:color w:val="FFFFFF"/>
                <w:spacing w:val="-4"/>
                <w:sz w:val="16"/>
              </w:rPr>
              <w:t>Cost</w:t>
            </w:r>
          </w:p>
        </w:tc>
        <w:tc>
          <w:tcPr>
            <w:tcW w:w="2699" w:type="dxa"/>
            <w:shd w:val="clear" w:color="auto" w:fill="0064A4"/>
          </w:tcPr>
          <w:p w14:paraId="27207609" w14:textId="77777777" w:rsidR="00141B97" w:rsidRDefault="00911D63">
            <w:pPr>
              <w:pStyle w:val="TableParagraph"/>
              <w:ind w:left="-3"/>
              <w:rPr>
                <w:sz w:val="16"/>
              </w:rPr>
            </w:pPr>
            <w:r>
              <w:rPr>
                <w:color w:val="FFFFFF"/>
                <w:spacing w:val="-2"/>
                <w:sz w:val="16"/>
              </w:rPr>
              <w:t>Status/Outcome/Comment</w:t>
            </w:r>
          </w:p>
        </w:tc>
      </w:tr>
      <w:tr w:rsidR="00141B97" w14:paraId="2200B0AF" w14:textId="77777777">
        <w:trPr>
          <w:trHeight w:val="1561"/>
          <w:tblCellSpacing w:w="6" w:type="dxa"/>
        </w:trPr>
        <w:tc>
          <w:tcPr>
            <w:tcW w:w="1225" w:type="dxa"/>
            <w:shd w:val="clear" w:color="auto" w:fill="CCE2ED"/>
          </w:tcPr>
          <w:p w14:paraId="41E24DD0" w14:textId="77777777" w:rsidR="00141B97" w:rsidRDefault="00911D63">
            <w:pPr>
              <w:pStyle w:val="TableParagraph"/>
              <w:ind w:left="144" w:right="406"/>
              <w:rPr>
                <w:sz w:val="16"/>
              </w:rPr>
            </w:pPr>
            <w:r>
              <w:rPr>
                <w:sz w:val="16"/>
              </w:rPr>
              <w:t>1.</w:t>
            </w:r>
            <w:r>
              <w:rPr>
                <w:spacing w:val="-13"/>
                <w:sz w:val="16"/>
              </w:rPr>
              <w:t xml:space="preserve"> </w:t>
            </w:r>
            <w:r>
              <w:rPr>
                <w:sz w:val="16"/>
              </w:rPr>
              <w:t>Pipeline</w:t>
            </w:r>
            <w:r>
              <w:rPr>
                <w:spacing w:val="40"/>
                <w:sz w:val="16"/>
              </w:rPr>
              <w:t xml:space="preserve"> </w:t>
            </w:r>
            <w:r>
              <w:rPr>
                <w:spacing w:val="-2"/>
                <w:sz w:val="16"/>
              </w:rPr>
              <w:t>Renewals</w:t>
            </w:r>
          </w:p>
        </w:tc>
        <w:tc>
          <w:tcPr>
            <w:tcW w:w="2084" w:type="dxa"/>
            <w:shd w:val="clear" w:color="auto" w:fill="CCE2ED"/>
          </w:tcPr>
          <w:p w14:paraId="21D0005A" w14:textId="77777777" w:rsidR="00141B97" w:rsidRDefault="00911D63">
            <w:pPr>
              <w:pStyle w:val="TableParagraph"/>
              <w:ind w:left="-2" w:right="12"/>
              <w:rPr>
                <w:sz w:val="16"/>
              </w:rPr>
            </w:pPr>
            <w:r>
              <w:rPr>
                <w:sz w:val="16"/>
              </w:rPr>
              <w:t>ALL SITES Main Replacement</w:t>
            </w:r>
            <w:r>
              <w:rPr>
                <w:spacing w:val="40"/>
                <w:sz w:val="16"/>
              </w:rPr>
              <w:t xml:space="preserve"> </w:t>
            </w:r>
            <w:r>
              <w:rPr>
                <w:sz w:val="16"/>
              </w:rPr>
              <w:t>PIA</w:t>
            </w:r>
            <w:r>
              <w:rPr>
                <w:spacing w:val="-5"/>
                <w:sz w:val="16"/>
              </w:rPr>
              <w:t xml:space="preserve"> </w:t>
            </w:r>
            <w:r>
              <w:rPr>
                <w:sz w:val="16"/>
              </w:rPr>
              <w:t>–</w:t>
            </w:r>
            <w:r>
              <w:rPr>
                <w:spacing w:val="-5"/>
                <w:sz w:val="16"/>
              </w:rPr>
              <w:t xml:space="preserve"> </w:t>
            </w:r>
            <w:r>
              <w:rPr>
                <w:sz w:val="16"/>
              </w:rPr>
              <w:t>replace</w:t>
            </w:r>
            <w:r>
              <w:rPr>
                <w:spacing w:val="-5"/>
                <w:sz w:val="16"/>
              </w:rPr>
              <w:t xml:space="preserve"> </w:t>
            </w:r>
            <w:r>
              <w:rPr>
                <w:sz w:val="16"/>
              </w:rPr>
              <w:t>Main</w:t>
            </w:r>
            <w:r>
              <w:rPr>
                <w:spacing w:val="-4"/>
                <w:sz w:val="16"/>
              </w:rPr>
              <w:t xml:space="preserve"> </w:t>
            </w:r>
            <w:r>
              <w:rPr>
                <w:sz w:val="16"/>
              </w:rPr>
              <w:t>from</w:t>
            </w:r>
            <w:r>
              <w:rPr>
                <w:spacing w:val="-3"/>
                <w:sz w:val="16"/>
              </w:rPr>
              <w:t xml:space="preserve"> </w:t>
            </w:r>
            <w:r>
              <w:rPr>
                <w:sz w:val="16"/>
              </w:rPr>
              <w:t>WTP</w:t>
            </w:r>
            <w:r>
              <w:rPr>
                <w:spacing w:val="-4"/>
                <w:sz w:val="16"/>
              </w:rPr>
              <w:t xml:space="preserve"> </w:t>
            </w:r>
            <w:r>
              <w:rPr>
                <w:sz w:val="16"/>
              </w:rPr>
              <w:t>to</w:t>
            </w:r>
            <w:r>
              <w:rPr>
                <w:spacing w:val="40"/>
                <w:sz w:val="16"/>
              </w:rPr>
              <w:t xml:space="preserve"> </w:t>
            </w:r>
            <w:r>
              <w:rPr>
                <w:sz w:val="16"/>
              </w:rPr>
              <w:t>Town (Mallee Hwy) LB – Lake</w:t>
            </w:r>
            <w:r>
              <w:rPr>
                <w:spacing w:val="40"/>
                <w:sz w:val="16"/>
              </w:rPr>
              <w:t xml:space="preserve"> </w:t>
            </w:r>
            <w:r>
              <w:rPr>
                <w:sz w:val="16"/>
              </w:rPr>
              <w:t>Boga Trunk Main Replacement</w:t>
            </w:r>
            <w:r>
              <w:rPr>
                <w:spacing w:val="40"/>
                <w:sz w:val="16"/>
              </w:rPr>
              <w:t xml:space="preserve"> </w:t>
            </w:r>
            <w:r>
              <w:rPr>
                <w:sz w:val="16"/>
              </w:rPr>
              <w:t>Stage</w:t>
            </w:r>
            <w:r>
              <w:rPr>
                <w:spacing w:val="-7"/>
                <w:sz w:val="16"/>
              </w:rPr>
              <w:t xml:space="preserve"> </w:t>
            </w:r>
            <w:r>
              <w:rPr>
                <w:sz w:val="16"/>
              </w:rPr>
              <w:t>1</w:t>
            </w:r>
          </w:p>
        </w:tc>
        <w:tc>
          <w:tcPr>
            <w:tcW w:w="795" w:type="dxa"/>
            <w:shd w:val="clear" w:color="auto" w:fill="CCE2ED"/>
          </w:tcPr>
          <w:p w14:paraId="43AA43BA" w14:textId="77777777" w:rsidR="00141B97" w:rsidRDefault="00911D63">
            <w:pPr>
              <w:pStyle w:val="TableParagraph"/>
              <w:ind w:left="-1" w:right="34"/>
              <w:rPr>
                <w:sz w:val="16"/>
              </w:rPr>
            </w:pPr>
            <w:r>
              <w:rPr>
                <w:spacing w:val="-2"/>
                <w:sz w:val="16"/>
              </w:rPr>
              <w:t>Urban</w:t>
            </w:r>
            <w:r>
              <w:rPr>
                <w:spacing w:val="40"/>
                <w:sz w:val="16"/>
              </w:rPr>
              <w:t xml:space="preserve"> </w:t>
            </w:r>
            <w:r>
              <w:rPr>
                <w:spacing w:val="-2"/>
                <w:sz w:val="16"/>
              </w:rPr>
              <w:t>Water</w:t>
            </w:r>
          </w:p>
        </w:tc>
        <w:tc>
          <w:tcPr>
            <w:tcW w:w="817" w:type="dxa"/>
            <w:shd w:val="clear" w:color="auto" w:fill="CCE2ED"/>
          </w:tcPr>
          <w:p w14:paraId="75F517E6" w14:textId="77777777" w:rsidR="00141B97" w:rsidRDefault="00911D63">
            <w:pPr>
              <w:pStyle w:val="TableParagraph"/>
              <w:spacing w:line="195" w:lineRule="exact"/>
              <w:ind w:right="37"/>
              <w:jc w:val="right"/>
              <w:rPr>
                <w:sz w:val="16"/>
              </w:rPr>
            </w:pPr>
            <w:r>
              <w:rPr>
                <w:spacing w:val="-4"/>
                <w:sz w:val="16"/>
              </w:rPr>
              <w:t>5.51</w:t>
            </w:r>
          </w:p>
        </w:tc>
        <w:tc>
          <w:tcPr>
            <w:tcW w:w="580" w:type="dxa"/>
            <w:shd w:val="clear" w:color="auto" w:fill="CCE2ED"/>
          </w:tcPr>
          <w:p w14:paraId="56A2D0E2" w14:textId="77777777" w:rsidR="00141B97" w:rsidRDefault="00911D63">
            <w:pPr>
              <w:pStyle w:val="TableParagraph"/>
              <w:spacing w:line="195" w:lineRule="exact"/>
              <w:ind w:right="36"/>
              <w:jc w:val="right"/>
              <w:rPr>
                <w:sz w:val="16"/>
              </w:rPr>
            </w:pPr>
            <w:r>
              <w:rPr>
                <w:spacing w:val="-4"/>
                <w:sz w:val="16"/>
              </w:rPr>
              <w:t>4.89</w:t>
            </w:r>
          </w:p>
        </w:tc>
        <w:tc>
          <w:tcPr>
            <w:tcW w:w="707" w:type="dxa"/>
            <w:shd w:val="clear" w:color="auto" w:fill="CCE2ED"/>
          </w:tcPr>
          <w:p w14:paraId="3F345188" w14:textId="77777777" w:rsidR="00141B97" w:rsidRDefault="00911D63">
            <w:pPr>
              <w:pStyle w:val="TableParagraph"/>
              <w:spacing w:line="195" w:lineRule="exact"/>
              <w:ind w:right="36"/>
              <w:jc w:val="right"/>
              <w:rPr>
                <w:sz w:val="16"/>
              </w:rPr>
            </w:pPr>
            <w:r>
              <w:rPr>
                <w:spacing w:val="-4"/>
                <w:sz w:val="16"/>
              </w:rPr>
              <w:t>0.70</w:t>
            </w:r>
          </w:p>
        </w:tc>
        <w:tc>
          <w:tcPr>
            <w:tcW w:w="844" w:type="dxa"/>
            <w:shd w:val="clear" w:color="auto" w:fill="CCE2ED"/>
          </w:tcPr>
          <w:p w14:paraId="5528A9AB" w14:textId="77777777" w:rsidR="00141B97" w:rsidRDefault="00911D63">
            <w:pPr>
              <w:pStyle w:val="TableParagraph"/>
              <w:spacing w:line="195" w:lineRule="exact"/>
              <w:ind w:right="36"/>
              <w:jc w:val="right"/>
              <w:rPr>
                <w:sz w:val="16"/>
              </w:rPr>
            </w:pPr>
            <w:r>
              <w:rPr>
                <w:spacing w:val="-4"/>
                <w:sz w:val="16"/>
              </w:rPr>
              <w:t>5.59</w:t>
            </w:r>
          </w:p>
        </w:tc>
        <w:tc>
          <w:tcPr>
            <w:tcW w:w="2699" w:type="dxa"/>
            <w:shd w:val="clear" w:color="auto" w:fill="CCE2ED"/>
          </w:tcPr>
          <w:p w14:paraId="1401E81B" w14:textId="77777777" w:rsidR="00141B97" w:rsidRDefault="00911D63">
            <w:pPr>
              <w:pStyle w:val="TableParagraph"/>
              <w:ind w:left="-3" w:right="14"/>
              <w:rPr>
                <w:sz w:val="16"/>
              </w:rPr>
            </w:pPr>
            <w:r>
              <w:rPr>
                <w:sz w:val="16"/>
              </w:rPr>
              <w:t>Annual program of works on track to</w:t>
            </w:r>
            <w:r>
              <w:rPr>
                <w:spacing w:val="40"/>
                <w:sz w:val="16"/>
              </w:rPr>
              <w:t xml:space="preserve"> </w:t>
            </w:r>
            <w:r>
              <w:rPr>
                <w:sz w:val="16"/>
              </w:rPr>
              <w:t>complete by end of PS4. Piangil main</w:t>
            </w:r>
            <w:r>
              <w:rPr>
                <w:spacing w:val="40"/>
                <w:sz w:val="16"/>
              </w:rPr>
              <w:t xml:space="preserve"> </w:t>
            </w:r>
            <w:r>
              <w:rPr>
                <w:sz w:val="16"/>
              </w:rPr>
              <w:t>replacement from WTP to town</w:t>
            </w:r>
            <w:r>
              <w:rPr>
                <w:spacing w:val="40"/>
                <w:sz w:val="16"/>
              </w:rPr>
              <w:t xml:space="preserve"> </w:t>
            </w:r>
            <w:r>
              <w:rPr>
                <w:sz w:val="16"/>
              </w:rPr>
              <w:t>completed. Lake Boga trunk main</w:t>
            </w:r>
            <w:r>
              <w:rPr>
                <w:spacing w:val="40"/>
                <w:sz w:val="16"/>
              </w:rPr>
              <w:t xml:space="preserve"> </w:t>
            </w:r>
            <w:r>
              <w:rPr>
                <w:sz w:val="16"/>
              </w:rPr>
              <w:t>replacement had been deferred as</w:t>
            </w:r>
            <w:r>
              <w:rPr>
                <w:spacing w:val="40"/>
                <w:sz w:val="16"/>
              </w:rPr>
              <w:t xml:space="preserve"> </w:t>
            </w:r>
            <w:r>
              <w:rPr>
                <w:sz w:val="16"/>
              </w:rPr>
              <w:t>further investigation is required to assess</w:t>
            </w:r>
            <w:r>
              <w:rPr>
                <w:spacing w:val="40"/>
                <w:sz w:val="16"/>
              </w:rPr>
              <w:t xml:space="preserve"> </w:t>
            </w:r>
            <w:r>
              <w:rPr>
                <w:sz w:val="16"/>
              </w:rPr>
              <w:t>the</w:t>
            </w:r>
            <w:r>
              <w:rPr>
                <w:spacing w:val="-4"/>
                <w:sz w:val="16"/>
              </w:rPr>
              <w:t xml:space="preserve"> </w:t>
            </w:r>
            <w:r>
              <w:rPr>
                <w:sz w:val="16"/>
              </w:rPr>
              <w:t>hydraulic</w:t>
            </w:r>
            <w:r>
              <w:rPr>
                <w:spacing w:val="-4"/>
                <w:sz w:val="16"/>
              </w:rPr>
              <w:t xml:space="preserve"> </w:t>
            </w:r>
            <w:r>
              <w:rPr>
                <w:sz w:val="16"/>
              </w:rPr>
              <w:t>capacity</w:t>
            </w:r>
            <w:r>
              <w:rPr>
                <w:spacing w:val="-4"/>
                <w:sz w:val="16"/>
              </w:rPr>
              <w:t xml:space="preserve"> </w:t>
            </w:r>
            <w:r>
              <w:rPr>
                <w:sz w:val="16"/>
              </w:rPr>
              <w:t>to</w:t>
            </w:r>
            <w:r>
              <w:rPr>
                <w:spacing w:val="-4"/>
                <w:sz w:val="16"/>
              </w:rPr>
              <w:t xml:space="preserve"> </w:t>
            </w:r>
            <w:r>
              <w:rPr>
                <w:sz w:val="16"/>
              </w:rPr>
              <w:t>cater</w:t>
            </w:r>
            <w:r>
              <w:rPr>
                <w:spacing w:val="-4"/>
                <w:sz w:val="16"/>
              </w:rPr>
              <w:t xml:space="preserve"> </w:t>
            </w:r>
            <w:r>
              <w:rPr>
                <w:sz w:val="16"/>
              </w:rPr>
              <w:t>for</w:t>
            </w:r>
            <w:r>
              <w:rPr>
                <w:spacing w:val="-4"/>
                <w:sz w:val="16"/>
              </w:rPr>
              <w:t xml:space="preserve"> </w:t>
            </w:r>
            <w:r>
              <w:rPr>
                <w:spacing w:val="-2"/>
                <w:sz w:val="16"/>
              </w:rPr>
              <w:t>current</w:t>
            </w:r>
          </w:p>
          <w:p w14:paraId="28320543" w14:textId="77777777" w:rsidR="00141B97" w:rsidRDefault="00911D63">
            <w:pPr>
              <w:pStyle w:val="TableParagraph"/>
              <w:spacing w:line="175" w:lineRule="exact"/>
              <w:ind w:left="-3"/>
              <w:rPr>
                <w:sz w:val="16"/>
              </w:rPr>
            </w:pPr>
            <w:r>
              <w:rPr>
                <w:sz w:val="16"/>
              </w:rPr>
              <w:t>future</w:t>
            </w:r>
            <w:r>
              <w:rPr>
                <w:spacing w:val="-6"/>
                <w:sz w:val="16"/>
              </w:rPr>
              <w:t xml:space="preserve"> </w:t>
            </w:r>
            <w:r>
              <w:rPr>
                <w:spacing w:val="-2"/>
                <w:sz w:val="16"/>
              </w:rPr>
              <w:t>demands.</w:t>
            </w:r>
          </w:p>
        </w:tc>
      </w:tr>
      <w:tr w:rsidR="00141B97" w14:paraId="530D766F" w14:textId="77777777">
        <w:trPr>
          <w:trHeight w:val="2734"/>
          <w:tblCellSpacing w:w="6" w:type="dxa"/>
        </w:trPr>
        <w:tc>
          <w:tcPr>
            <w:tcW w:w="1225" w:type="dxa"/>
            <w:shd w:val="clear" w:color="auto" w:fill="CCE2ED"/>
          </w:tcPr>
          <w:p w14:paraId="0F86FF25" w14:textId="77777777" w:rsidR="00141B97" w:rsidRDefault="00911D63">
            <w:pPr>
              <w:pStyle w:val="TableParagraph"/>
              <w:spacing w:line="195" w:lineRule="exact"/>
              <w:ind w:left="144"/>
              <w:rPr>
                <w:sz w:val="16"/>
              </w:rPr>
            </w:pPr>
            <w:r>
              <w:rPr>
                <w:w w:val="95"/>
                <w:sz w:val="16"/>
              </w:rPr>
              <w:t>2.</w:t>
            </w:r>
            <w:r>
              <w:rPr>
                <w:spacing w:val="-8"/>
                <w:w w:val="95"/>
                <w:sz w:val="16"/>
              </w:rPr>
              <w:t xml:space="preserve"> </w:t>
            </w:r>
            <w:r>
              <w:rPr>
                <w:spacing w:val="-7"/>
                <w:w w:val="95"/>
                <w:sz w:val="16"/>
              </w:rPr>
              <w:t>UV</w:t>
            </w:r>
          </w:p>
          <w:p w14:paraId="48F6F28D" w14:textId="77777777" w:rsidR="00141B97" w:rsidRDefault="00911D63">
            <w:pPr>
              <w:pStyle w:val="TableParagraph"/>
              <w:ind w:left="144"/>
              <w:rPr>
                <w:sz w:val="16"/>
              </w:rPr>
            </w:pPr>
            <w:r>
              <w:rPr>
                <w:spacing w:val="-2"/>
                <w:sz w:val="16"/>
              </w:rPr>
              <w:t>Treatment</w:t>
            </w:r>
          </w:p>
        </w:tc>
        <w:tc>
          <w:tcPr>
            <w:tcW w:w="2084" w:type="dxa"/>
            <w:shd w:val="clear" w:color="auto" w:fill="CCE2ED"/>
          </w:tcPr>
          <w:p w14:paraId="44C3E955" w14:textId="77777777" w:rsidR="00141B97" w:rsidRDefault="00911D63">
            <w:pPr>
              <w:pStyle w:val="TableParagraph"/>
              <w:ind w:left="-2" w:right="35"/>
              <w:rPr>
                <w:sz w:val="16"/>
              </w:rPr>
            </w:pPr>
            <w:r>
              <w:rPr>
                <w:sz w:val="16"/>
              </w:rPr>
              <w:t>ALL SITES – UV Treatment</w:t>
            </w:r>
            <w:r>
              <w:rPr>
                <w:spacing w:val="40"/>
                <w:sz w:val="16"/>
              </w:rPr>
              <w:t xml:space="preserve"> </w:t>
            </w:r>
            <w:r>
              <w:rPr>
                <w:sz w:val="16"/>
              </w:rPr>
              <w:t>Plants</w:t>
            </w:r>
            <w:r>
              <w:rPr>
                <w:spacing w:val="-6"/>
                <w:sz w:val="16"/>
              </w:rPr>
              <w:t xml:space="preserve"> </w:t>
            </w:r>
            <w:r>
              <w:rPr>
                <w:sz w:val="16"/>
              </w:rPr>
              <w:t>MDA</w:t>
            </w:r>
            <w:r>
              <w:rPr>
                <w:spacing w:val="-4"/>
                <w:sz w:val="16"/>
              </w:rPr>
              <w:t xml:space="preserve"> </w:t>
            </w:r>
            <w:r>
              <w:rPr>
                <w:sz w:val="16"/>
              </w:rPr>
              <w:t>WTP</w:t>
            </w:r>
            <w:r>
              <w:rPr>
                <w:spacing w:val="-4"/>
                <w:sz w:val="16"/>
              </w:rPr>
              <w:t xml:space="preserve"> </w:t>
            </w:r>
            <w:r>
              <w:rPr>
                <w:sz w:val="16"/>
              </w:rPr>
              <w:t>7</w:t>
            </w:r>
            <w:r>
              <w:rPr>
                <w:sz w:val="16"/>
                <w:vertAlign w:val="superscript"/>
              </w:rPr>
              <w:t>th</w:t>
            </w:r>
            <w:r>
              <w:rPr>
                <w:spacing w:val="-6"/>
                <w:sz w:val="16"/>
              </w:rPr>
              <w:t xml:space="preserve"> </w:t>
            </w:r>
            <w:r>
              <w:rPr>
                <w:sz w:val="16"/>
              </w:rPr>
              <w:t>St</w:t>
            </w:r>
            <w:r>
              <w:rPr>
                <w:spacing w:val="-5"/>
                <w:sz w:val="16"/>
              </w:rPr>
              <w:t xml:space="preserve"> </w:t>
            </w:r>
            <w:r>
              <w:rPr>
                <w:sz w:val="16"/>
              </w:rPr>
              <w:t>Upgrade</w:t>
            </w:r>
            <w:r>
              <w:rPr>
                <w:spacing w:val="40"/>
                <w:sz w:val="16"/>
              </w:rPr>
              <w:t xml:space="preserve"> </w:t>
            </w:r>
            <w:r>
              <w:rPr>
                <w:sz w:val="16"/>
              </w:rPr>
              <w:t>Power</w:t>
            </w:r>
            <w:r>
              <w:rPr>
                <w:spacing w:val="-7"/>
                <w:sz w:val="16"/>
              </w:rPr>
              <w:t xml:space="preserve"> </w:t>
            </w:r>
            <w:r>
              <w:rPr>
                <w:sz w:val="16"/>
              </w:rPr>
              <w:t>Supply</w:t>
            </w:r>
          </w:p>
        </w:tc>
        <w:tc>
          <w:tcPr>
            <w:tcW w:w="795" w:type="dxa"/>
            <w:shd w:val="clear" w:color="auto" w:fill="CCE2ED"/>
          </w:tcPr>
          <w:p w14:paraId="2ADB411D" w14:textId="77777777" w:rsidR="00141B97" w:rsidRDefault="00911D63">
            <w:pPr>
              <w:pStyle w:val="TableParagraph"/>
              <w:ind w:left="-1" w:right="34"/>
              <w:rPr>
                <w:sz w:val="16"/>
              </w:rPr>
            </w:pPr>
            <w:r>
              <w:rPr>
                <w:spacing w:val="-2"/>
                <w:sz w:val="16"/>
              </w:rPr>
              <w:t>Urban</w:t>
            </w:r>
            <w:r>
              <w:rPr>
                <w:spacing w:val="40"/>
                <w:sz w:val="16"/>
              </w:rPr>
              <w:t xml:space="preserve"> </w:t>
            </w:r>
            <w:r>
              <w:rPr>
                <w:spacing w:val="-2"/>
                <w:sz w:val="16"/>
              </w:rPr>
              <w:t>Water</w:t>
            </w:r>
          </w:p>
        </w:tc>
        <w:tc>
          <w:tcPr>
            <w:tcW w:w="817" w:type="dxa"/>
            <w:shd w:val="clear" w:color="auto" w:fill="CCE2ED"/>
          </w:tcPr>
          <w:p w14:paraId="385DCA34" w14:textId="77777777" w:rsidR="00141B97" w:rsidRDefault="00911D63">
            <w:pPr>
              <w:pStyle w:val="TableParagraph"/>
              <w:spacing w:line="195" w:lineRule="exact"/>
              <w:ind w:right="72"/>
              <w:jc w:val="right"/>
              <w:rPr>
                <w:sz w:val="16"/>
              </w:rPr>
            </w:pPr>
            <w:r>
              <w:rPr>
                <w:spacing w:val="-2"/>
                <w:sz w:val="16"/>
              </w:rPr>
              <w:t>12.54</w:t>
            </w:r>
          </w:p>
          <w:p w14:paraId="01231079" w14:textId="77777777" w:rsidR="00141B97" w:rsidRDefault="00911D63">
            <w:pPr>
              <w:pStyle w:val="TableParagraph"/>
              <w:ind w:right="1"/>
              <w:jc w:val="right"/>
              <w:rPr>
                <w:sz w:val="16"/>
              </w:rPr>
            </w:pPr>
            <w:r>
              <w:rPr>
                <w:sz w:val="16"/>
              </w:rPr>
              <w:t>(11</w:t>
            </w:r>
            <w:r>
              <w:rPr>
                <w:spacing w:val="-5"/>
                <w:sz w:val="16"/>
              </w:rPr>
              <w:t xml:space="preserve"> </w:t>
            </w:r>
            <w:r>
              <w:rPr>
                <w:sz w:val="16"/>
              </w:rPr>
              <w:t>UV,</w:t>
            </w:r>
            <w:r>
              <w:rPr>
                <w:spacing w:val="-3"/>
                <w:sz w:val="16"/>
              </w:rPr>
              <w:t xml:space="preserve"> </w:t>
            </w:r>
            <w:r>
              <w:rPr>
                <w:spacing w:val="-4"/>
                <w:sz w:val="16"/>
              </w:rPr>
              <w:t>1.54</w:t>
            </w:r>
          </w:p>
          <w:p w14:paraId="393BB4CB" w14:textId="77777777" w:rsidR="00141B97" w:rsidRDefault="00911D63">
            <w:pPr>
              <w:pStyle w:val="TableParagraph"/>
              <w:ind w:left="164" w:right="1" w:firstLine="225"/>
              <w:jc w:val="right"/>
              <w:rPr>
                <w:sz w:val="16"/>
              </w:rPr>
            </w:pPr>
            <w:r>
              <w:rPr>
                <w:spacing w:val="-2"/>
                <w:sz w:val="16"/>
              </w:rPr>
              <w:t>Power</w:t>
            </w:r>
            <w:r>
              <w:rPr>
                <w:spacing w:val="40"/>
                <w:sz w:val="16"/>
              </w:rPr>
              <w:t xml:space="preserve"> </w:t>
            </w:r>
            <w:r>
              <w:rPr>
                <w:spacing w:val="-2"/>
                <w:sz w:val="16"/>
              </w:rPr>
              <w:t>Supply</w:t>
            </w:r>
            <w:r>
              <w:rPr>
                <w:spacing w:val="40"/>
                <w:sz w:val="16"/>
              </w:rPr>
              <w:t xml:space="preserve"> </w:t>
            </w:r>
            <w:r>
              <w:rPr>
                <w:spacing w:val="-2"/>
                <w:sz w:val="16"/>
              </w:rPr>
              <w:t>Upgrade)</w:t>
            </w:r>
          </w:p>
        </w:tc>
        <w:tc>
          <w:tcPr>
            <w:tcW w:w="580" w:type="dxa"/>
            <w:shd w:val="clear" w:color="auto" w:fill="CCE2ED"/>
          </w:tcPr>
          <w:p w14:paraId="4293AA7C" w14:textId="77777777" w:rsidR="00141B97" w:rsidRDefault="00911D63">
            <w:pPr>
              <w:pStyle w:val="TableParagraph"/>
              <w:spacing w:line="195" w:lineRule="exact"/>
              <w:ind w:right="35"/>
              <w:jc w:val="right"/>
              <w:rPr>
                <w:sz w:val="16"/>
              </w:rPr>
            </w:pPr>
            <w:r>
              <w:rPr>
                <w:spacing w:val="-2"/>
                <w:sz w:val="16"/>
              </w:rPr>
              <w:t>11.94</w:t>
            </w:r>
          </w:p>
        </w:tc>
        <w:tc>
          <w:tcPr>
            <w:tcW w:w="707" w:type="dxa"/>
            <w:shd w:val="clear" w:color="auto" w:fill="CCE2ED"/>
          </w:tcPr>
          <w:p w14:paraId="36003B14" w14:textId="77777777" w:rsidR="00141B97" w:rsidRDefault="00911D63">
            <w:pPr>
              <w:pStyle w:val="TableParagraph"/>
              <w:spacing w:line="195" w:lineRule="exact"/>
              <w:ind w:right="36"/>
              <w:jc w:val="right"/>
              <w:rPr>
                <w:sz w:val="16"/>
              </w:rPr>
            </w:pPr>
            <w:r>
              <w:rPr>
                <w:spacing w:val="-4"/>
                <w:sz w:val="16"/>
              </w:rPr>
              <w:t>8.08</w:t>
            </w:r>
          </w:p>
        </w:tc>
        <w:tc>
          <w:tcPr>
            <w:tcW w:w="844" w:type="dxa"/>
            <w:shd w:val="clear" w:color="auto" w:fill="CCE2ED"/>
          </w:tcPr>
          <w:p w14:paraId="41E7348C" w14:textId="77777777" w:rsidR="00141B97" w:rsidRDefault="00911D63">
            <w:pPr>
              <w:pStyle w:val="TableParagraph"/>
              <w:spacing w:line="195" w:lineRule="exact"/>
              <w:ind w:right="36"/>
              <w:jc w:val="right"/>
              <w:rPr>
                <w:sz w:val="16"/>
              </w:rPr>
            </w:pPr>
            <w:r>
              <w:rPr>
                <w:spacing w:val="-2"/>
                <w:sz w:val="16"/>
              </w:rPr>
              <w:t>20.02</w:t>
            </w:r>
          </w:p>
        </w:tc>
        <w:tc>
          <w:tcPr>
            <w:tcW w:w="2699" w:type="dxa"/>
            <w:shd w:val="clear" w:color="auto" w:fill="CCE2ED"/>
          </w:tcPr>
          <w:p w14:paraId="5DD7C73C" w14:textId="77777777" w:rsidR="00141B97" w:rsidRDefault="00911D63">
            <w:pPr>
              <w:pStyle w:val="TableParagraph"/>
              <w:ind w:left="-3" w:right="-13"/>
              <w:rPr>
                <w:sz w:val="16"/>
              </w:rPr>
            </w:pPr>
            <w:r>
              <w:rPr>
                <w:sz w:val="16"/>
              </w:rPr>
              <w:t>UV treatment – Four sites operational.</w:t>
            </w:r>
            <w:r>
              <w:rPr>
                <w:spacing w:val="40"/>
                <w:sz w:val="16"/>
              </w:rPr>
              <w:t xml:space="preserve"> </w:t>
            </w:r>
            <w:r>
              <w:rPr>
                <w:sz w:val="16"/>
              </w:rPr>
              <w:t>Stage 2 sites well advanced with</w:t>
            </w:r>
            <w:r>
              <w:rPr>
                <w:spacing w:val="40"/>
                <w:sz w:val="16"/>
              </w:rPr>
              <w:t xml:space="preserve"> </w:t>
            </w:r>
            <w:r>
              <w:rPr>
                <w:sz w:val="16"/>
              </w:rPr>
              <w:t>commissioning of Kerang WTP imminent.</w:t>
            </w:r>
            <w:r>
              <w:rPr>
                <w:spacing w:val="40"/>
                <w:sz w:val="16"/>
              </w:rPr>
              <w:t xml:space="preserve"> </w:t>
            </w:r>
            <w:r>
              <w:rPr>
                <w:sz w:val="16"/>
              </w:rPr>
              <w:t>Early works commenced at Swan Hill and</w:t>
            </w:r>
            <w:r>
              <w:rPr>
                <w:spacing w:val="40"/>
                <w:sz w:val="16"/>
              </w:rPr>
              <w:t xml:space="preserve"> </w:t>
            </w:r>
            <w:r>
              <w:rPr>
                <w:sz w:val="16"/>
              </w:rPr>
              <w:t>7</w:t>
            </w:r>
            <w:r>
              <w:rPr>
                <w:sz w:val="16"/>
                <w:vertAlign w:val="superscript"/>
              </w:rPr>
              <w:t>th</w:t>
            </w:r>
            <w:r>
              <w:rPr>
                <w:spacing w:val="-3"/>
                <w:sz w:val="16"/>
              </w:rPr>
              <w:t xml:space="preserve"> </w:t>
            </w:r>
            <w:r>
              <w:rPr>
                <w:sz w:val="16"/>
              </w:rPr>
              <w:t>Street</w:t>
            </w:r>
            <w:r>
              <w:rPr>
                <w:spacing w:val="-4"/>
                <w:sz w:val="16"/>
              </w:rPr>
              <w:t xml:space="preserve"> </w:t>
            </w:r>
            <w:r>
              <w:rPr>
                <w:sz w:val="16"/>
              </w:rPr>
              <w:t>WTPs.</w:t>
            </w:r>
            <w:r>
              <w:rPr>
                <w:spacing w:val="-2"/>
                <w:sz w:val="16"/>
              </w:rPr>
              <w:t xml:space="preserve"> </w:t>
            </w:r>
            <w:r>
              <w:rPr>
                <w:sz w:val="16"/>
              </w:rPr>
              <w:t>Construction</w:t>
            </w:r>
            <w:r>
              <w:rPr>
                <w:spacing w:val="-4"/>
                <w:sz w:val="16"/>
              </w:rPr>
              <w:t xml:space="preserve"> </w:t>
            </w:r>
            <w:r>
              <w:rPr>
                <w:sz w:val="16"/>
              </w:rPr>
              <w:t>contract</w:t>
            </w:r>
            <w:r>
              <w:rPr>
                <w:spacing w:val="-3"/>
                <w:sz w:val="16"/>
              </w:rPr>
              <w:t xml:space="preserve"> </w:t>
            </w:r>
            <w:r>
              <w:rPr>
                <w:sz w:val="16"/>
              </w:rPr>
              <w:t>for</w:t>
            </w:r>
            <w:r>
              <w:rPr>
                <w:spacing w:val="40"/>
                <w:sz w:val="16"/>
              </w:rPr>
              <w:t xml:space="preserve"> </w:t>
            </w:r>
            <w:r>
              <w:rPr>
                <w:sz w:val="16"/>
              </w:rPr>
              <w:t>Stage 3 sites awarded with construction</w:t>
            </w:r>
            <w:r>
              <w:rPr>
                <w:spacing w:val="40"/>
                <w:sz w:val="16"/>
              </w:rPr>
              <w:t xml:space="preserve"> </w:t>
            </w:r>
            <w:r>
              <w:rPr>
                <w:sz w:val="16"/>
              </w:rPr>
              <w:t>commenced at SH WTP. Program on</w:t>
            </w:r>
            <w:r>
              <w:rPr>
                <w:spacing w:val="40"/>
                <w:sz w:val="16"/>
              </w:rPr>
              <w:t xml:space="preserve"> </w:t>
            </w:r>
            <w:r>
              <w:rPr>
                <w:sz w:val="16"/>
              </w:rPr>
              <w:t>schedule to be completed within PS4.</w:t>
            </w:r>
          </w:p>
          <w:p w14:paraId="3A03239C" w14:textId="77777777" w:rsidR="00141B97" w:rsidRDefault="00911D63">
            <w:pPr>
              <w:pStyle w:val="TableParagraph"/>
              <w:spacing w:before="1"/>
              <w:ind w:left="-3" w:right="26"/>
              <w:rPr>
                <w:sz w:val="16"/>
              </w:rPr>
            </w:pPr>
            <w:r>
              <w:rPr>
                <w:sz w:val="16"/>
              </w:rPr>
              <w:t>The increase in UV cost was mainly due</w:t>
            </w:r>
            <w:r>
              <w:rPr>
                <w:spacing w:val="40"/>
                <w:sz w:val="16"/>
              </w:rPr>
              <w:t xml:space="preserve"> </w:t>
            </w:r>
            <w:r>
              <w:rPr>
                <w:sz w:val="16"/>
              </w:rPr>
              <w:t>to market cost escalation and design</w:t>
            </w:r>
            <w:r>
              <w:rPr>
                <w:spacing w:val="40"/>
                <w:sz w:val="16"/>
              </w:rPr>
              <w:t xml:space="preserve"> </w:t>
            </w:r>
            <w:r>
              <w:rPr>
                <w:sz w:val="16"/>
              </w:rPr>
              <w:t>changes to maintain hydraulic</w:t>
            </w:r>
            <w:r>
              <w:rPr>
                <w:spacing w:val="40"/>
                <w:sz w:val="16"/>
              </w:rPr>
              <w:t xml:space="preserve"> </w:t>
            </w:r>
            <w:r>
              <w:rPr>
                <w:sz w:val="16"/>
              </w:rPr>
              <w:t>performance.</w:t>
            </w:r>
            <w:r>
              <w:rPr>
                <w:spacing w:val="-7"/>
                <w:sz w:val="16"/>
              </w:rPr>
              <w:t xml:space="preserve"> </w:t>
            </w:r>
            <w:r>
              <w:rPr>
                <w:sz w:val="16"/>
              </w:rPr>
              <w:t>Mildura</w:t>
            </w:r>
            <w:r>
              <w:rPr>
                <w:spacing w:val="-6"/>
                <w:sz w:val="16"/>
              </w:rPr>
              <w:t xml:space="preserve"> </w:t>
            </w:r>
            <w:r>
              <w:rPr>
                <w:sz w:val="16"/>
              </w:rPr>
              <w:t>WTP</w:t>
            </w:r>
            <w:r>
              <w:rPr>
                <w:spacing w:val="-6"/>
                <w:sz w:val="16"/>
              </w:rPr>
              <w:t xml:space="preserve"> </w:t>
            </w:r>
            <w:r>
              <w:rPr>
                <w:sz w:val="16"/>
              </w:rPr>
              <w:t>Power</w:t>
            </w:r>
            <w:r>
              <w:rPr>
                <w:spacing w:val="-6"/>
                <w:sz w:val="16"/>
              </w:rPr>
              <w:t xml:space="preserve"> </w:t>
            </w:r>
            <w:r>
              <w:rPr>
                <w:sz w:val="16"/>
              </w:rPr>
              <w:t>Supply</w:t>
            </w:r>
            <w:r>
              <w:rPr>
                <w:spacing w:val="40"/>
                <w:sz w:val="16"/>
              </w:rPr>
              <w:t xml:space="preserve"> </w:t>
            </w:r>
            <w:r>
              <w:rPr>
                <w:sz w:val="16"/>
              </w:rPr>
              <w:t>Upgrade – Works 95% complete, on</w:t>
            </w:r>
          </w:p>
          <w:p w14:paraId="2579F735" w14:textId="77777777" w:rsidR="00141B97" w:rsidRDefault="00911D63">
            <w:pPr>
              <w:pStyle w:val="TableParagraph"/>
              <w:spacing w:line="174" w:lineRule="exact"/>
              <w:ind w:left="-3"/>
              <w:rPr>
                <w:sz w:val="16"/>
              </w:rPr>
            </w:pPr>
            <w:r>
              <w:rPr>
                <w:sz w:val="16"/>
              </w:rPr>
              <w:t>schedule</w:t>
            </w:r>
            <w:r>
              <w:rPr>
                <w:spacing w:val="-7"/>
                <w:sz w:val="16"/>
              </w:rPr>
              <w:t xml:space="preserve"> </w:t>
            </w:r>
            <w:r>
              <w:rPr>
                <w:sz w:val="16"/>
              </w:rPr>
              <w:t>to</w:t>
            </w:r>
            <w:r>
              <w:rPr>
                <w:spacing w:val="-6"/>
                <w:sz w:val="16"/>
              </w:rPr>
              <w:t xml:space="preserve"> </w:t>
            </w:r>
            <w:r>
              <w:rPr>
                <w:sz w:val="16"/>
              </w:rPr>
              <w:t>be</w:t>
            </w:r>
            <w:r>
              <w:rPr>
                <w:spacing w:val="-6"/>
                <w:sz w:val="16"/>
              </w:rPr>
              <w:t xml:space="preserve"> </w:t>
            </w:r>
            <w:r>
              <w:rPr>
                <w:sz w:val="16"/>
              </w:rPr>
              <w:t>completed</w:t>
            </w:r>
            <w:r>
              <w:rPr>
                <w:spacing w:val="-7"/>
                <w:sz w:val="16"/>
              </w:rPr>
              <w:t xml:space="preserve"> </w:t>
            </w:r>
            <w:r>
              <w:rPr>
                <w:sz w:val="16"/>
              </w:rPr>
              <w:t>within</w:t>
            </w:r>
            <w:r>
              <w:rPr>
                <w:spacing w:val="-6"/>
                <w:sz w:val="16"/>
              </w:rPr>
              <w:t xml:space="preserve"> </w:t>
            </w:r>
            <w:r>
              <w:rPr>
                <w:spacing w:val="-4"/>
                <w:sz w:val="16"/>
              </w:rPr>
              <w:t>PS4.</w:t>
            </w:r>
          </w:p>
        </w:tc>
      </w:tr>
      <w:tr w:rsidR="00141B97" w14:paraId="1998EE36" w14:textId="77777777">
        <w:trPr>
          <w:trHeight w:val="781"/>
          <w:tblCellSpacing w:w="6" w:type="dxa"/>
        </w:trPr>
        <w:tc>
          <w:tcPr>
            <w:tcW w:w="1225" w:type="dxa"/>
            <w:shd w:val="clear" w:color="auto" w:fill="CCE2ED"/>
          </w:tcPr>
          <w:p w14:paraId="4685536B" w14:textId="77777777" w:rsidR="00141B97" w:rsidRDefault="00911D63">
            <w:pPr>
              <w:pStyle w:val="TableParagraph"/>
              <w:spacing w:before="1"/>
              <w:ind w:left="144"/>
              <w:rPr>
                <w:sz w:val="16"/>
              </w:rPr>
            </w:pPr>
            <w:r>
              <w:rPr>
                <w:sz w:val="16"/>
              </w:rPr>
              <w:t>3.</w:t>
            </w:r>
            <w:r>
              <w:rPr>
                <w:spacing w:val="-13"/>
                <w:sz w:val="16"/>
              </w:rPr>
              <w:t xml:space="preserve"> </w:t>
            </w:r>
            <w:r>
              <w:rPr>
                <w:sz w:val="16"/>
              </w:rPr>
              <w:t>Purchase</w:t>
            </w:r>
            <w:r>
              <w:rPr>
                <w:spacing w:val="-10"/>
                <w:sz w:val="16"/>
              </w:rPr>
              <w:t xml:space="preserve"> </w:t>
            </w:r>
            <w:r>
              <w:rPr>
                <w:sz w:val="16"/>
              </w:rPr>
              <w:t>of</w:t>
            </w:r>
            <w:r>
              <w:rPr>
                <w:spacing w:val="40"/>
                <w:sz w:val="16"/>
              </w:rPr>
              <w:t xml:space="preserve"> </w:t>
            </w:r>
            <w:r>
              <w:rPr>
                <w:spacing w:val="-2"/>
                <w:sz w:val="16"/>
              </w:rPr>
              <w:t>Water</w:t>
            </w:r>
          </w:p>
        </w:tc>
        <w:tc>
          <w:tcPr>
            <w:tcW w:w="2084" w:type="dxa"/>
            <w:shd w:val="clear" w:color="auto" w:fill="CCE2ED"/>
          </w:tcPr>
          <w:p w14:paraId="03DE1A93" w14:textId="77777777" w:rsidR="00141B97" w:rsidRDefault="00911D63">
            <w:pPr>
              <w:pStyle w:val="TableParagraph"/>
              <w:spacing w:before="1"/>
              <w:ind w:left="-2"/>
              <w:rPr>
                <w:sz w:val="16"/>
              </w:rPr>
            </w:pPr>
            <w:r>
              <w:rPr>
                <w:sz w:val="16"/>
              </w:rPr>
              <w:t>Purchase</w:t>
            </w:r>
            <w:r>
              <w:rPr>
                <w:spacing w:val="-6"/>
                <w:sz w:val="16"/>
              </w:rPr>
              <w:t xml:space="preserve"> </w:t>
            </w:r>
            <w:r>
              <w:rPr>
                <w:sz w:val="16"/>
              </w:rPr>
              <w:t>of</w:t>
            </w:r>
            <w:r>
              <w:rPr>
                <w:spacing w:val="-5"/>
                <w:sz w:val="16"/>
              </w:rPr>
              <w:t xml:space="preserve"> </w:t>
            </w:r>
            <w:r>
              <w:rPr>
                <w:spacing w:val="-2"/>
                <w:sz w:val="16"/>
              </w:rPr>
              <w:t>Water</w:t>
            </w:r>
          </w:p>
        </w:tc>
        <w:tc>
          <w:tcPr>
            <w:tcW w:w="795" w:type="dxa"/>
            <w:shd w:val="clear" w:color="auto" w:fill="CCE2ED"/>
          </w:tcPr>
          <w:p w14:paraId="7AAE1FB0" w14:textId="77777777" w:rsidR="00141B97" w:rsidRDefault="00911D63">
            <w:pPr>
              <w:pStyle w:val="TableParagraph"/>
              <w:spacing w:before="1"/>
              <w:ind w:left="-1" w:right="34"/>
              <w:rPr>
                <w:sz w:val="16"/>
              </w:rPr>
            </w:pPr>
            <w:r>
              <w:rPr>
                <w:spacing w:val="-2"/>
                <w:sz w:val="16"/>
              </w:rPr>
              <w:t>Urban</w:t>
            </w:r>
            <w:r>
              <w:rPr>
                <w:spacing w:val="40"/>
                <w:sz w:val="16"/>
              </w:rPr>
              <w:t xml:space="preserve"> </w:t>
            </w:r>
            <w:r>
              <w:rPr>
                <w:spacing w:val="-2"/>
                <w:sz w:val="16"/>
              </w:rPr>
              <w:t>Water</w:t>
            </w:r>
          </w:p>
        </w:tc>
        <w:tc>
          <w:tcPr>
            <w:tcW w:w="817" w:type="dxa"/>
            <w:shd w:val="clear" w:color="auto" w:fill="CCE2ED"/>
          </w:tcPr>
          <w:p w14:paraId="05029C2D" w14:textId="77777777" w:rsidR="00141B97" w:rsidRDefault="00911D63">
            <w:pPr>
              <w:pStyle w:val="TableParagraph"/>
              <w:spacing w:before="1"/>
              <w:ind w:right="37"/>
              <w:jc w:val="right"/>
              <w:rPr>
                <w:sz w:val="16"/>
              </w:rPr>
            </w:pPr>
            <w:r>
              <w:rPr>
                <w:spacing w:val="-4"/>
                <w:sz w:val="16"/>
              </w:rPr>
              <w:t>5.95</w:t>
            </w:r>
          </w:p>
        </w:tc>
        <w:tc>
          <w:tcPr>
            <w:tcW w:w="580" w:type="dxa"/>
            <w:shd w:val="clear" w:color="auto" w:fill="CCE2ED"/>
          </w:tcPr>
          <w:p w14:paraId="502E19ED" w14:textId="77777777" w:rsidR="00141B97" w:rsidRDefault="00911D63">
            <w:pPr>
              <w:pStyle w:val="TableParagraph"/>
              <w:spacing w:before="1"/>
              <w:ind w:right="36"/>
              <w:jc w:val="right"/>
              <w:rPr>
                <w:sz w:val="16"/>
              </w:rPr>
            </w:pPr>
            <w:r>
              <w:rPr>
                <w:spacing w:val="-4"/>
                <w:sz w:val="16"/>
              </w:rPr>
              <w:t>5.66</w:t>
            </w:r>
          </w:p>
        </w:tc>
        <w:tc>
          <w:tcPr>
            <w:tcW w:w="707" w:type="dxa"/>
            <w:shd w:val="clear" w:color="auto" w:fill="CCE2ED"/>
          </w:tcPr>
          <w:p w14:paraId="13A5800D" w14:textId="77777777" w:rsidR="00141B97" w:rsidRDefault="00911D63">
            <w:pPr>
              <w:pStyle w:val="TableParagraph"/>
              <w:spacing w:before="1"/>
              <w:ind w:right="36"/>
              <w:jc w:val="right"/>
              <w:rPr>
                <w:sz w:val="16"/>
              </w:rPr>
            </w:pPr>
            <w:r>
              <w:rPr>
                <w:spacing w:val="-4"/>
                <w:sz w:val="16"/>
              </w:rPr>
              <w:t>0.00</w:t>
            </w:r>
          </w:p>
        </w:tc>
        <w:tc>
          <w:tcPr>
            <w:tcW w:w="844" w:type="dxa"/>
            <w:shd w:val="clear" w:color="auto" w:fill="CCE2ED"/>
          </w:tcPr>
          <w:p w14:paraId="4F2E3C3A" w14:textId="77777777" w:rsidR="00141B97" w:rsidRDefault="00911D63">
            <w:pPr>
              <w:pStyle w:val="TableParagraph"/>
              <w:spacing w:before="1"/>
              <w:ind w:right="36"/>
              <w:jc w:val="right"/>
              <w:rPr>
                <w:sz w:val="16"/>
              </w:rPr>
            </w:pPr>
            <w:r>
              <w:rPr>
                <w:spacing w:val="-4"/>
                <w:sz w:val="16"/>
              </w:rPr>
              <w:t>5.66</w:t>
            </w:r>
          </w:p>
        </w:tc>
        <w:tc>
          <w:tcPr>
            <w:tcW w:w="2699" w:type="dxa"/>
            <w:shd w:val="clear" w:color="auto" w:fill="CCE2ED"/>
          </w:tcPr>
          <w:p w14:paraId="3BC95E2E" w14:textId="77777777" w:rsidR="00141B97" w:rsidRDefault="00911D63">
            <w:pPr>
              <w:pStyle w:val="TableParagraph"/>
              <w:spacing w:before="1"/>
              <w:ind w:left="-3"/>
              <w:rPr>
                <w:sz w:val="16"/>
              </w:rPr>
            </w:pPr>
            <w:r>
              <w:rPr>
                <w:sz w:val="16"/>
              </w:rPr>
              <w:t>Completed. Procurement of Zone 7 Vic</w:t>
            </w:r>
            <w:r>
              <w:rPr>
                <w:spacing w:val="40"/>
                <w:sz w:val="16"/>
              </w:rPr>
              <w:t xml:space="preserve"> </w:t>
            </w:r>
            <w:r>
              <w:rPr>
                <w:sz w:val="16"/>
              </w:rPr>
              <w:t>High Reliability water entitlement</w:t>
            </w:r>
            <w:r>
              <w:rPr>
                <w:spacing w:val="40"/>
                <w:sz w:val="16"/>
              </w:rPr>
              <w:t xml:space="preserve"> </w:t>
            </w:r>
            <w:r>
              <w:rPr>
                <w:sz w:val="16"/>
              </w:rPr>
              <w:t>equivalent</w:t>
            </w:r>
            <w:r>
              <w:rPr>
                <w:spacing w:val="-4"/>
                <w:sz w:val="16"/>
              </w:rPr>
              <w:t xml:space="preserve"> </w:t>
            </w:r>
            <w:r>
              <w:rPr>
                <w:sz w:val="16"/>
              </w:rPr>
              <w:t>to</w:t>
            </w:r>
            <w:r>
              <w:rPr>
                <w:spacing w:val="-5"/>
                <w:sz w:val="16"/>
              </w:rPr>
              <w:t xml:space="preserve"> </w:t>
            </w:r>
            <w:r>
              <w:rPr>
                <w:sz w:val="16"/>
              </w:rPr>
              <w:t>the</w:t>
            </w:r>
            <w:r>
              <w:rPr>
                <w:spacing w:val="-3"/>
                <w:sz w:val="16"/>
              </w:rPr>
              <w:t xml:space="preserve"> </w:t>
            </w:r>
            <w:r>
              <w:rPr>
                <w:sz w:val="16"/>
              </w:rPr>
              <w:t>indexed</w:t>
            </w:r>
            <w:r>
              <w:rPr>
                <w:spacing w:val="-5"/>
                <w:sz w:val="16"/>
              </w:rPr>
              <w:t xml:space="preserve"> </w:t>
            </w:r>
            <w:r>
              <w:rPr>
                <w:sz w:val="16"/>
              </w:rPr>
              <w:t>PS4</w:t>
            </w:r>
            <w:r>
              <w:rPr>
                <w:spacing w:val="-4"/>
                <w:sz w:val="16"/>
              </w:rPr>
              <w:t xml:space="preserve"> </w:t>
            </w:r>
            <w:r>
              <w:rPr>
                <w:sz w:val="16"/>
              </w:rPr>
              <w:t>budget</w:t>
            </w:r>
            <w:r>
              <w:rPr>
                <w:spacing w:val="-5"/>
                <w:sz w:val="16"/>
              </w:rPr>
              <w:t xml:space="preserve"> </w:t>
            </w:r>
            <w:r>
              <w:rPr>
                <w:sz w:val="16"/>
              </w:rPr>
              <w:t>is</w:t>
            </w:r>
          </w:p>
          <w:p w14:paraId="372ECDC6" w14:textId="77777777" w:rsidR="00141B97" w:rsidRDefault="00911D63">
            <w:pPr>
              <w:pStyle w:val="TableParagraph"/>
              <w:spacing w:line="175" w:lineRule="exact"/>
              <w:ind w:left="-3"/>
              <w:rPr>
                <w:sz w:val="16"/>
              </w:rPr>
            </w:pPr>
            <w:r>
              <w:rPr>
                <w:spacing w:val="-2"/>
                <w:sz w:val="16"/>
              </w:rPr>
              <w:t>complete.</w:t>
            </w:r>
          </w:p>
        </w:tc>
      </w:tr>
      <w:tr w:rsidR="00141B97" w14:paraId="754781B4" w14:textId="77777777">
        <w:trPr>
          <w:trHeight w:val="780"/>
          <w:tblCellSpacing w:w="6" w:type="dxa"/>
        </w:trPr>
        <w:tc>
          <w:tcPr>
            <w:tcW w:w="1225" w:type="dxa"/>
            <w:shd w:val="clear" w:color="auto" w:fill="CCE2ED"/>
          </w:tcPr>
          <w:p w14:paraId="1AF759D2" w14:textId="77777777" w:rsidR="00141B97" w:rsidRDefault="00911D63">
            <w:pPr>
              <w:pStyle w:val="TableParagraph"/>
              <w:ind w:left="144" w:right="415"/>
              <w:rPr>
                <w:sz w:val="16"/>
              </w:rPr>
            </w:pPr>
            <w:r>
              <w:rPr>
                <w:sz w:val="16"/>
              </w:rPr>
              <w:t>4.</w:t>
            </w:r>
            <w:r>
              <w:rPr>
                <w:spacing w:val="-13"/>
                <w:sz w:val="16"/>
              </w:rPr>
              <w:t xml:space="preserve"> </w:t>
            </w:r>
            <w:r>
              <w:rPr>
                <w:sz w:val="16"/>
              </w:rPr>
              <w:t>Mildura</w:t>
            </w:r>
            <w:r>
              <w:rPr>
                <w:spacing w:val="40"/>
                <w:sz w:val="16"/>
              </w:rPr>
              <w:t xml:space="preserve"> </w:t>
            </w:r>
            <w:r>
              <w:rPr>
                <w:spacing w:val="-2"/>
                <w:sz w:val="16"/>
              </w:rPr>
              <w:t>Pipelines</w:t>
            </w:r>
          </w:p>
        </w:tc>
        <w:tc>
          <w:tcPr>
            <w:tcW w:w="2084" w:type="dxa"/>
            <w:shd w:val="clear" w:color="auto" w:fill="CCE2ED"/>
          </w:tcPr>
          <w:p w14:paraId="1E3D9CB7" w14:textId="77777777" w:rsidR="00141B97" w:rsidRDefault="00911D63">
            <w:pPr>
              <w:pStyle w:val="TableParagraph"/>
              <w:ind w:left="-2" w:right="26"/>
              <w:rPr>
                <w:sz w:val="16"/>
              </w:rPr>
            </w:pPr>
            <w:r>
              <w:rPr>
                <w:sz w:val="16"/>
              </w:rPr>
              <w:t>MDE</w:t>
            </w:r>
            <w:r>
              <w:rPr>
                <w:spacing w:val="-6"/>
                <w:sz w:val="16"/>
              </w:rPr>
              <w:t xml:space="preserve"> </w:t>
            </w:r>
            <w:r>
              <w:rPr>
                <w:sz w:val="16"/>
              </w:rPr>
              <w:t>ME</w:t>
            </w:r>
            <w:r>
              <w:rPr>
                <w:spacing w:val="-6"/>
                <w:sz w:val="16"/>
              </w:rPr>
              <w:t xml:space="preserve"> </w:t>
            </w:r>
            <w:r>
              <w:rPr>
                <w:sz w:val="16"/>
              </w:rPr>
              <w:t>DN225</w:t>
            </w:r>
            <w:r>
              <w:rPr>
                <w:spacing w:val="-6"/>
                <w:sz w:val="16"/>
              </w:rPr>
              <w:t xml:space="preserve"> </w:t>
            </w:r>
            <w:r>
              <w:rPr>
                <w:sz w:val="16"/>
              </w:rPr>
              <w:t>Merbein</w:t>
            </w:r>
            <w:r>
              <w:rPr>
                <w:spacing w:val="-6"/>
                <w:sz w:val="16"/>
              </w:rPr>
              <w:t xml:space="preserve"> </w:t>
            </w:r>
            <w:r>
              <w:rPr>
                <w:sz w:val="16"/>
              </w:rPr>
              <w:t>River</w:t>
            </w:r>
            <w:r>
              <w:rPr>
                <w:spacing w:val="40"/>
                <w:sz w:val="16"/>
              </w:rPr>
              <w:t xml:space="preserve"> </w:t>
            </w:r>
            <w:r>
              <w:rPr>
                <w:sz w:val="16"/>
              </w:rPr>
              <w:t>Ave – Reilly St to Charles Rd</w:t>
            </w:r>
            <w:r>
              <w:rPr>
                <w:spacing w:val="40"/>
                <w:sz w:val="16"/>
              </w:rPr>
              <w:t xml:space="preserve"> </w:t>
            </w:r>
            <w:r>
              <w:rPr>
                <w:sz w:val="16"/>
              </w:rPr>
              <w:t>MDA ME DN300 Trunk Main</w:t>
            </w:r>
          </w:p>
          <w:p w14:paraId="3CB1E0A3" w14:textId="77777777" w:rsidR="00141B97" w:rsidRDefault="00911D63">
            <w:pPr>
              <w:pStyle w:val="TableParagraph"/>
              <w:spacing w:line="175" w:lineRule="exact"/>
              <w:ind w:left="-2"/>
              <w:rPr>
                <w:sz w:val="16"/>
              </w:rPr>
            </w:pPr>
            <w:r>
              <w:rPr>
                <w:sz w:val="16"/>
              </w:rPr>
              <w:t>15</w:t>
            </w:r>
            <w:r>
              <w:rPr>
                <w:sz w:val="16"/>
                <w:vertAlign w:val="superscript"/>
              </w:rPr>
              <w:t>th</w:t>
            </w:r>
            <w:r>
              <w:rPr>
                <w:spacing w:val="-5"/>
                <w:sz w:val="16"/>
              </w:rPr>
              <w:t xml:space="preserve"> </w:t>
            </w:r>
            <w:r>
              <w:rPr>
                <w:sz w:val="16"/>
              </w:rPr>
              <w:t>St</w:t>
            </w:r>
            <w:r>
              <w:rPr>
                <w:spacing w:val="-3"/>
                <w:sz w:val="16"/>
              </w:rPr>
              <w:t xml:space="preserve"> </w:t>
            </w:r>
            <w:r>
              <w:rPr>
                <w:sz w:val="16"/>
              </w:rPr>
              <w:t>Benetook</w:t>
            </w:r>
            <w:r>
              <w:rPr>
                <w:spacing w:val="-4"/>
                <w:sz w:val="16"/>
              </w:rPr>
              <w:t xml:space="preserve"> </w:t>
            </w:r>
            <w:r>
              <w:rPr>
                <w:sz w:val="16"/>
              </w:rPr>
              <w:t>–</w:t>
            </w:r>
            <w:r>
              <w:rPr>
                <w:spacing w:val="-3"/>
                <w:sz w:val="16"/>
              </w:rPr>
              <w:t xml:space="preserve"> </w:t>
            </w:r>
            <w:r>
              <w:rPr>
                <w:spacing w:val="-2"/>
                <w:sz w:val="16"/>
              </w:rPr>
              <w:t>Sandilong</w:t>
            </w:r>
          </w:p>
        </w:tc>
        <w:tc>
          <w:tcPr>
            <w:tcW w:w="795" w:type="dxa"/>
            <w:shd w:val="clear" w:color="auto" w:fill="CCE2ED"/>
          </w:tcPr>
          <w:p w14:paraId="0F03A3FC" w14:textId="77777777" w:rsidR="00141B97" w:rsidRDefault="00911D63">
            <w:pPr>
              <w:pStyle w:val="TableParagraph"/>
              <w:ind w:left="-1" w:right="34"/>
              <w:rPr>
                <w:sz w:val="16"/>
              </w:rPr>
            </w:pPr>
            <w:r>
              <w:rPr>
                <w:spacing w:val="-2"/>
                <w:sz w:val="16"/>
              </w:rPr>
              <w:t>Urban</w:t>
            </w:r>
            <w:r>
              <w:rPr>
                <w:spacing w:val="40"/>
                <w:sz w:val="16"/>
              </w:rPr>
              <w:t xml:space="preserve"> </w:t>
            </w:r>
            <w:r>
              <w:rPr>
                <w:spacing w:val="-2"/>
                <w:sz w:val="16"/>
              </w:rPr>
              <w:t>Water</w:t>
            </w:r>
          </w:p>
        </w:tc>
        <w:tc>
          <w:tcPr>
            <w:tcW w:w="817" w:type="dxa"/>
            <w:shd w:val="clear" w:color="auto" w:fill="CCE2ED"/>
          </w:tcPr>
          <w:p w14:paraId="19B6BB10" w14:textId="77777777" w:rsidR="00141B97" w:rsidRDefault="00911D63">
            <w:pPr>
              <w:pStyle w:val="TableParagraph"/>
              <w:spacing w:line="195" w:lineRule="exact"/>
              <w:ind w:right="37"/>
              <w:jc w:val="right"/>
              <w:rPr>
                <w:sz w:val="16"/>
              </w:rPr>
            </w:pPr>
            <w:r>
              <w:rPr>
                <w:spacing w:val="-4"/>
                <w:sz w:val="16"/>
              </w:rPr>
              <w:t>1.50</w:t>
            </w:r>
          </w:p>
        </w:tc>
        <w:tc>
          <w:tcPr>
            <w:tcW w:w="580" w:type="dxa"/>
            <w:shd w:val="clear" w:color="auto" w:fill="CCE2ED"/>
          </w:tcPr>
          <w:p w14:paraId="1233175A" w14:textId="77777777" w:rsidR="00141B97" w:rsidRDefault="00911D63">
            <w:pPr>
              <w:pStyle w:val="TableParagraph"/>
              <w:spacing w:line="195" w:lineRule="exact"/>
              <w:ind w:right="36"/>
              <w:jc w:val="right"/>
              <w:rPr>
                <w:sz w:val="16"/>
              </w:rPr>
            </w:pPr>
            <w:r>
              <w:rPr>
                <w:spacing w:val="-4"/>
                <w:sz w:val="16"/>
              </w:rPr>
              <w:t>0.61</w:t>
            </w:r>
          </w:p>
        </w:tc>
        <w:tc>
          <w:tcPr>
            <w:tcW w:w="707" w:type="dxa"/>
            <w:shd w:val="clear" w:color="auto" w:fill="CCE2ED"/>
          </w:tcPr>
          <w:p w14:paraId="4D13968F" w14:textId="77777777" w:rsidR="00141B97" w:rsidRDefault="00911D63">
            <w:pPr>
              <w:pStyle w:val="TableParagraph"/>
              <w:spacing w:line="195" w:lineRule="exact"/>
              <w:ind w:right="36"/>
              <w:jc w:val="right"/>
              <w:rPr>
                <w:sz w:val="16"/>
              </w:rPr>
            </w:pPr>
            <w:r>
              <w:rPr>
                <w:spacing w:val="-4"/>
                <w:sz w:val="16"/>
              </w:rPr>
              <w:t>0.00</w:t>
            </w:r>
          </w:p>
        </w:tc>
        <w:tc>
          <w:tcPr>
            <w:tcW w:w="844" w:type="dxa"/>
            <w:shd w:val="clear" w:color="auto" w:fill="CCE2ED"/>
          </w:tcPr>
          <w:p w14:paraId="0383D501" w14:textId="77777777" w:rsidR="00141B97" w:rsidRDefault="00911D63">
            <w:pPr>
              <w:pStyle w:val="TableParagraph"/>
              <w:spacing w:line="195" w:lineRule="exact"/>
              <w:ind w:right="36"/>
              <w:jc w:val="right"/>
              <w:rPr>
                <w:sz w:val="16"/>
              </w:rPr>
            </w:pPr>
            <w:r>
              <w:rPr>
                <w:spacing w:val="-4"/>
                <w:sz w:val="16"/>
              </w:rPr>
              <w:t>0.61</w:t>
            </w:r>
          </w:p>
        </w:tc>
        <w:tc>
          <w:tcPr>
            <w:tcW w:w="2699" w:type="dxa"/>
            <w:shd w:val="clear" w:color="auto" w:fill="CCE2ED"/>
          </w:tcPr>
          <w:p w14:paraId="738F2DCC" w14:textId="77777777" w:rsidR="00141B97" w:rsidRDefault="00911D63">
            <w:pPr>
              <w:pStyle w:val="TableParagraph"/>
              <w:ind w:left="-3"/>
              <w:rPr>
                <w:sz w:val="16"/>
              </w:rPr>
            </w:pPr>
            <w:r>
              <w:rPr>
                <w:sz w:val="16"/>
              </w:rPr>
              <w:t>DN 300 16</w:t>
            </w:r>
            <w:r>
              <w:rPr>
                <w:sz w:val="16"/>
                <w:vertAlign w:val="superscript"/>
              </w:rPr>
              <w:t>th</w:t>
            </w:r>
            <w:r>
              <w:rPr>
                <w:sz w:val="16"/>
              </w:rPr>
              <w:t xml:space="preserve"> Street Water Main</w:t>
            </w:r>
            <w:r>
              <w:rPr>
                <w:spacing w:val="40"/>
                <w:sz w:val="16"/>
              </w:rPr>
              <w:t xml:space="preserve"> </w:t>
            </w:r>
            <w:r>
              <w:rPr>
                <w:sz w:val="16"/>
              </w:rPr>
              <w:t>completed.</w:t>
            </w:r>
            <w:r>
              <w:rPr>
                <w:spacing w:val="-6"/>
                <w:sz w:val="16"/>
              </w:rPr>
              <w:t xml:space="preserve"> </w:t>
            </w:r>
            <w:r>
              <w:rPr>
                <w:sz w:val="16"/>
              </w:rPr>
              <w:t>DN225</w:t>
            </w:r>
            <w:r>
              <w:rPr>
                <w:spacing w:val="-6"/>
                <w:sz w:val="16"/>
              </w:rPr>
              <w:t xml:space="preserve"> </w:t>
            </w:r>
            <w:r>
              <w:rPr>
                <w:sz w:val="16"/>
              </w:rPr>
              <w:t>Merbein</w:t>
            </w:r>
            <w:r>
              <w:rPr>
                <w:spacing w:val="-6"/>
                <w:sz w:val="16"/>
              </w:rPr>
              <w:t xml:space="preserve"> </w:t>
            </w:r>
            <w:r>
              <w:rPr>
                <w:sz w:val="16"/>
              </w:rPr>
              <w:t>trunk</w:t>
            </w:r>
            <w:r>
              <w:rPr>
                <w:spacing w:val="-6"/>
                <w:sz w:val="16"/>
              </w:rPr>
              <w:t xml:space="preserve"> </w:t>
            </w:r>
            <w:r>
              <w:rPr>
                <w:sz w:val="16"/>
              </w:rPr>
              <w:t>main</w:t>
            </w:r>
            <w:r>
              <w:rPr>
                <w:spacing w:val="40"/>
                <w:sz w:val="16"/>
              </w:rPr>
              <w:t xml:space="preserve"> </w:t>
            </w:r>
            <w:r>
              <w:rPr>
                <w:sz w:val="16"/>
              </w:rPr>
              <w:t>deferred to PS5 due to slower than</w:t>
            </w:r>
          </w:p>
          <w:p w14:paraId="56DCF247" w14:textId="77777777" w:rsidR="00141B97" w:rsidRDefault="00911D63">
            <w:pPr>
              <w:pStyle w:val="TableParagraph"/>
              <w:spacing w:line="175" w:lineRule="exact"/>
              <w:ind w:left="-3"/>
              <w:rPr>
                <w:sz w:val="16"/>
              </w:rPr>
            </w:pPr>
            <w:r>
              <w:rPr>
                <w:sz w:val="16"/>
              </w:rPr>
              <w:t>anticipated</w:t>
            </w:r>
            <w:r>
              <w:rPr>
                <w:spacing w:val="-9"/>
                <w:sz w:val="16"/>
              </w:rPr>
              <w:t xml:space="preserve"> </w:t>
            </w:r>
            <w:r>
              <w:rPr>
                <w:spacing w:val="-2"/>
                <w:sz w:val="16"/>
              </w:rPr>
              <w:t>growth.</w:t>
            </w:r>
          </w:p>
        </w:tc>
      </w:tr>
      <w:tr w:rsidR="00141B97" w14:paraId="6B8F2FCB" w14:textId="77777777">
        <w:trPr>
          <w:trHeight w:val="1367"/>
          <w:tblCellSpacing w:w="6" w:type="dxa"/>
        </w:trPr>
        <w:tc>
          <w:tcPr>
            <w:tcW w:w="1225" w:type="dxa"/>
            <w:shd w:val="clear" w:color="auto" w:fill="CCE2ED"/>
          </w:tcPr>
          <w:p w14:paraId="5347D684" w14:textId="77777777" w:rsidR="00141B97" w:rsidRDefault="00911D63">
            <w:pPr>
              <w:pStyle w:val="TableParagraph"/>
              <w:spacing w:before="1"/>
              <w:ind w:left="144" w:right="23"/>
              <w:rPr>
                <w:sz w:val="16"/>
              </w:rPr>
            </w:pPr>
            <w:r>
              <w:rPr>
                <w:sz w:val="16"/>
              </w:rPr>
              <w:t>5.</w:t>
            </w:r>
            <w:r>
              <w:rPr>
                <w:spacing w:val="-13"/>
                <w:sz w:val="16"/>
              </w:rPr>
              <w:t xml:space="preserve"> </w:t>
            </w:r>
            <w:r>
              <w:rPr>
                <w:sz w:val="16"/>
              </w:rPr>
              <w:t>Swan</w:t>
            </w:r>
            <w:r>
              <w:rPr>
                <w:spacing w:val="-10"/>
                <w:sz w:val="16"/>
              </w:rPr>
              <w:t xml:space="preserve"> </w:t>
            </w:r>
            <w:r>
              <w:rPr>
                <w:sz w:val="16"/>
              </w:rPr>
              <w:t>Hill</w:t>
            </w:r>
            <w:r>
              <w:rPr>
                <w:spacing w:val="40"/>
                <w:sz w:val="16"/>
              </w:rPr>
              <w:t xml:space="preserve"> </w:t>
            </w:r>
            <w:r>
              <w:rPr>
                <w:sz w:val="16"/>
              </w:rPr>
              <w:t>North</w:t>
            </w:r>
            <w:r>
              <w:rPr>
                <w:spacing w:val="-5"/>
                <w:sz w:val="16"/>
              </w:rPr>
              <w:t xml:space="preserve"> WTP</w:t>
            </w:r>
          </w:p>
        </w:tc>
        <w:tc>
          <w:tcPr>
            <w:tcW w:w="2084" w:type="dxa"/>
            <w:shd w:val="clear" w:color="auto" w:fill="CCE2ED"/>
          </w:tcPr>
          <w:p w14:paraId="05FD772C" w14:textId="77777777" w:rsidR="00141B97" w:rsidRDefault="00911D63">
            <w:pPr>
              <w:pStyle w:val="TableParagraph"/>
              <w:spacing w:before="1"/>
              <w:ind w:left="-2" w:right="227"/>
              <w:jc w:val="both"/>
              <w:rPr>
                <w:sz w:val="16"/>
              </w:rPr>
            </w:pPr>
            <w:r>
              <w:rPr>
                <w:sz w:val="16"/>
              </w:rPr>
              <w:t>SH North WTP 6 ML Ground</w:t>
            </w:r>
            <w:r>
              <w:rPr>
                <w:spacing w:val="40"/>
                <w:sz w:val="16"/>
              </w:rPr>
              <w:t xml:space="preserve"> </w:t>
            </w:r>
            <w:r>
              <w:rPr>
                <w:sz w:val="16"/>
              </w:rPr>
              <w:t>Level Storage SH North WTP</w:t>
            </w:r>
            <w:r>
              <w:rPr>
                <w:spacing w:val="40"/>
                <w:sz w:val="16"/>
              </w:rPr>
              <w:t xml:space="preserve"> </w:t>
            </w:r>
            <w:r>
              <w:rPr>
                <w:sz w:val="16"/>
              </w:rPr>
              <w:t>Treated</w:t>
            </w:r>
            <w:r>
              <w:rPr>
                <w:spacing w:val="-8"/>
                <w:sz w:val="16"/>
              </w:rPr>
              <w:t xml:space="preserve"> </w:t>
            </w:r>
            <w:r>
              <w:rPr>
                <w:sz w:val="16"/>
              </w:rPr>
              <w:t>Water</w:t>
            </w:r>
            <w:r>
              <w:rPr>
                <w:spacing w:val="-8"/>
                <w:sz w:val="16"/>
              </w:rPr>
              <w:t xml:space="preserve"> </w:t>
            </w:r>
            <w:r>
              <w:rPr>
                <w:sz w:val="16"/>
              </w:rPr>
              <w:t>Pump</w:t>
            </w:r>
            <w:r>
              <w:rPr>
                <w:spacing w:val="-8"/>
                <w:sz w:val="16"/>
              </w:rPr>
              <w:t xml:space="preserve"> </w:t>
            </w:r>
            <w:r>
              <w:rPr>
                <w:sz w:val="16"/>
              </w:rPr>
              <w:t>Station</w:t>
            </w:r>
            <w:r>
              <w:rPr>
                <w:spacing w:val="40"/>
                <w:sz w:val="16"/>
              </w:rPr>
              <w:t xml:space="preserve"> </w:t>
            </w:r>
            <w:r>
              <w:rPr>
                <w:sz w:val="16"/>
              </w:rPr>
              <w:t>(Stage</w:t>
            </w:r>
            <w:r>
              <w:rPr>
                <w:spacing w:val="-5"/>
                <w:sz w:val="16"/>
              </w:rPr>
              <w:t xml:space="preserve"> </w:t>
            </w:r>
            <w:r>
              <w:rPr>
                <w:sz w:val="16"/>
              </w:rPr>
              <w:t>1)</w:t>
            </w:r>
          </w:p>
        </w:tc>
        <w:tc>
          <w:tcPr>
            <w:tcW w:w="795" w:type="dxa"/>
            <w:shd w:val="clear" w:color="auto" w:fill="CCE2ED"/>
          </w:tcPr>
          <w:p w14:paraId="67D19811" w14:textId="77777777" w:rsidR="00141B97" w:rsidRDefault="00911D63">
            <w:pPr>
              <w:pStyle w:val="TableParagraph"/>
              <w:spacing w:before="1"/>
              <w:ind w:left="-1" w:right="34"/>
              <w:rPr>
                <w:sz w:val="16"/>
              </w:rPr>
            </w:pPr>
            <w:r>
              <w:rPr>
                <w:spacing w:val="-2"/>
                <w:sz w:val="16"/>
              </w:rPr>
              <w:t>Urban</w:t>
            </w:r>
            <w:r>
              <w:rPr>
                <w:spacing w:val="40"/>
                <w:sz w:val="16"/>
              </w:rPr>
              <w:t xml:space="preserve"> </w:t>
            </w:r>
            <w:r>
              <w:rPr>
                <w:spacing w:val="-2"/>
                <w:sz w:val="16"/>
              </w:rPr>
              <w:t>Water</w:t>
            </w:r>
          </w:p>
        </w:tc>
        <w:tc>
          <w:tcPr>
            <w:tcW w:w="817" w:type="dxa"/>
            <w:shd w:val="clear" w:color="auto" w:fill="CCE2ED"/>
          </w:tcPr>
          <w:p w14:paraId="6EC3B025" w14:textId="77777777" w:rsidR="00141B97" w:rsidRDefault="00911D63">
            <w:pPr>
              <w:pStyle w:val="TableParagraph"/>
              <w:spacing w:before="1"/>
              <w:ind w:right="37"/>
              <w:jc w:val="right"/>
              <w:rPr>
                <w:sz w:val="16"/>
              </w:rPr>
            </w:pPr>
            <w:r>
              <w:rPr>
                <w:spacing w:val="-4"/>
                <w:sz w:val="16"/>
              </w:rPr>
              <w:t>5.17</w:t>
            </w:r>
          </w:p>
        </w:tc>
        <w:tc>
          <w:tcPr>
            <w:tcW w:w="580" w:type="dxa"/>
            <w:shd w:val="clear" w:color="auto" w:fill="CCE2ED"/>
          </w:tcPr>
          <w:p w14:paraId="644971D4" w14:textId="77777777" w:rsidR="00141B97" w:rsidRDefault="00911D63">
            <w:pPr>
              <w:pStyle w:val="TableParagraph"/>
              <w:spacing w:before="1"/>
              <w:ind w:right="36"/>
              <w:jc w:val="right"/>
              <w:rPr>
                <w:sz w:val="16"/>
              </w:rPr>
            </w:pPr>
            <w:r>
              <w:rPr>
                <w:spacing w:val="-4"/>
                <w:sz w:val="16"/>
              </w:rPr>
              <w:t>3.20</w:t>
            </w:r>
          </w:p>
        </w:tc>
        <w:tc>
          <w:tcPr>
            <w:tcW w:w="707" w:type="dxa"/>
            <w:shd w:val="clear" w:color="auto" w:fill="CCE2ED"/>
          </w:tcPr>
          <w:p w14:paraId="70A0AB8D" w14:textId="77777777" w:rsidR="00141B97" w:rsidRDefault="00911D63">
            <w:pPr>
              <w:pStyle w:val="TableParagraph"/>
              <w:spacing w:before="1"/>
              <w:ind w:right="36"/>
              <w:jc w:val="right"/>
              <w:rPr>
                <w:sz w:val="16"/>
              </w:rPr>
            </w:pPr>
            <w:r>
              <w:rPr>
                <w:spacing w:val="-4"/>
                <w:sz w:val="16"/>
              </w:rPr>
              <w:t>0.00</w:t>
            </w:r>
          </w:p>
        </w:tc>
        <w:tc>
          <w:tcPr>
            <w:tcW w:w="844" w:type="dxa"/>
            <w:shd w:val="clear" w:color="auto" w:fill="CCE2ED"/>
          </w:tcPr>
          <w:p w14:paraId="5EE242BF" w14:textId="77777777" w:rsidR="00141B97" w:rsidRDefault="00911D63">
            <w:pPr>
              <w:pStyle w:val="TableParagraph"/>
              <w:spacing w:before="1"/>
              <w:ind w:right="36"/>
              <w:jc w:val="right"/>
              <w:rPr>
                <w:sz w:val="16"/>
              </w:rPr>
            </w:pPr>
            <w:r>
              <w:rPr>
                <w:spacing w:val="-4"/>
                <w:sz w:val="16"/>
              </w:rPr>
              <w:t>3.20</w:t>
            </w:r>
          </w:p>
        </w:tc>
        <w:tc>
          <w:tcPr>
            <w:tcW w:w="2699" w:type="dxa"/>
            <w:shd w:val="clear" w:color="auto" w:fill="CCE2ED"/>
          </w:tcPr>
          <w:p w14:paraId="29278369" w14:textId="77777777" w:rsidR="00141B97" w:rsidRDefault="00911D63">
            <w:pPr>
              <w:pStyle w:val="TableParagraph"/>
              <w:spacing w:before="1"/>
              <w:ind w:left="-3" w:right="18"/>
              <w:rPr>
                <w:sz w:val="16"/>
              </w:rPr>
            </w:pPr>
            <w:r>
              <w:rPr>
                <w:sz w:val="16"/>
              </w:rPr>
              <w:t>Tank</w:t>
            </w:r>
            <w:r>
              <w:rPr>
                <w:spacing w:val="-2"/>
                <w:sz w:val="16"/>
              </w:rPr>
              <w:t xml:space="preserve"> </w:t>
            </w:r>
            <w:r>
              <w:rPr>
                <w:sz w:val="16"/>
              </w:rPr>
              <w:t>is</w:t>
            </w:r>
            <w:r>
              <w:rPr>
                <w:spacing w:val="-2"/>
                <w:sz w:val="16"/>
              </w:rPr>
              <w:t xml:space="preserve"> </w:t>
            </w:r>
            <w:r>
              <w:rPr>
                <w:sz w:val="16"/>
              </w:rPr>
              <w:t>online</w:t>
            </w:r>
            <w:r>
              <w:rPr>
                <w:spacing w:val="-2"/>
                <w:sz w:val="16"/>
              </w:rPr>
              <w:t xml:space="preserve"> </w:t>
            </w:r>
            <w:r>
              <w:rPr>
                <w:sz w:val="16"/>
              </w:rPr>
              <w:t>and</w:t>
            </w:r>
            <w:r>
              <w:rPr>
                <w:spacing w:val="-2"/>
                <w:sz w:val="16"/>
              </w:rPr>
              <w:t xml:space="preserve"> </w:t>
            </w:r>
            <w:r>
              <w:rPr>
                <w:sz w:val="16"/>
              </w:rPr>
              <w:t>being</w:t>
            </w:r>
            <w:r>
              <w:rPr>
                <w:spacing w:val="-2"/>
                <w:sz w:val="16"/>
              </w:rPr>
              <w:t xml:space="preserve"> </w:t>
            </w:r>
            <w:r>
              <w:rPr>
                <w:sz w:val="16"/>
              </w:rPr>
              <w:t>utilised.</w:t>
            </w:r>
            <w:r>
              <w:rPr>
                <w:spacing w:val="-2"/>
                <w:sz w:val="16"/>
              </w:rPr>
              <w:t xml:space="preserve"> </w:t>
            </w:r>
            <w:r>
              <w:rPr>
                <w:sz w:val="16"/>
              </w:rPr>
              <w:t>Project</w:t>
            </w:r>
            <w:r>
              <w:rPr>
                <w:spacing w:val="40"/>
                <w:sz w:val="16"/>
              </w:rPr>
              <w:t xml:space="preserve"> </w:t>
            </w:r>
            <w:r>
              <w:rPr>
                <w:sz w:val="16"/>
              </w:rPr>
              <w:t>completed June 2022. Options</w:t>
            </w:r>
            <w:r>
              <w:rPr>
                <w:spacing w:val="40"/>
                <w:sz w:val="16"/>
              </w:rPr>
              <w:t xml:space="preserve"> </w:t>
            </w:r>
            <w:r>
              <w:rPr>
                <w:sz w:val="16"/>
              </w:rPr>
              <w:t>assessment concluded that additional</w:t>
            </w:r>
            <w:r>
              <w:rPr>
                <w:spacing w:val="40"/>
                <w:sz w:val="16"/>
              </w:rPr>
              <w:t xml:space="preserve"> </w:t>
            </w:r>
            <w:r>
              <w:rPr>
                <w:sz w:val="16"/>
              </w:rPr>
              <w:t>storage can be constructed within</w:t>
            </w:r>
            <w:r>
              <w:rPr>
                <w:spacing w:val="40"/>
                <w:sz w:val="16"/>
              </w:rPr>
              <w:t xml:space="preserve"> </w:t>
            </w:r>
            <w:r>
              <w:rPr>
                <w:sz w:val="16"/>
              </w:rPr>
              <w:t>reticulation</w:t>
            </w:r>
            <w:r>
              <w:rPr>
                <w:spacing w:val="-4"/>
                <w:sz w:val="16"/>
              </w:rPr>
              <w:t xml:space="preserve"> </w:t>
            </w:r>
            <w:r>
              <w:rPr>
                <w:sz w:val="16"/>
              </w:rPr>
              <w:t>reducing</w:t>
            </w:r>
            <w:r>
              <w:rPr>
                <w:spacing w:val="-5"/>
                <w:sz w:val="16"/>
              </w:rPr>
              <w:t xml:space="preserve"> </w:t>
            </w:r>
            <w:r>
              <w:rPr>
                <w:sz w:val="16"/>
              </w:rPr>
              <w:t>the</w:t>
            </w:r>
            <w:r>
              <w:rPr>
                <w:spacing w:val="-3"/>
                <w:sz w:val="16"/>
              </w:rPr>
              <w:t xml:space="preserve"> </w:t>
            </w:r>
            <w:r>
              <w:rPr>
                <w:sz w:val="16"/>
              </w:rPr>
              <w:t>need</w:t>
            </w:r>
            <w:r>
              <w:rPr>
                <w:spacing w:val="-4"/>
                <w:sz w:val="16"/>
              </w:rPr>
              <w:t xml:space="preserve"> </w:t>
            </w:r>
            <w:r>
              <w:rPr>
                <w:sz w:val="16"/>
              </w:rPr>
              <w:t>for</w:t>
            </w:r>
            <w:r>
              <w:rPr>
                <w:spacing w:val="-4"/>
                <w:sz w:val="16"/>
              </w:rPr>
              <w:t xml:space="preserve"> </w:t>
            </w:r>
            <w:r>
              <w:rPr>
                <w:sz w:val="16"/>
              </w:rPr>
              <w:t>a</w:t>
            </w:r>
            <w:r>
              <w:rPr>
                <w:spacing w:val="-3"/>
                <w:sz w:val="16"/>
              </w:rPr>
              <w:t xml:space="preserve"> </w:t>
            </w:r>
            <w:r>
              <w:rPr>
                <w:sz w:val="16"/>
              </w:rPr>
              <w:t>new</w:t>
            </w:r>
            <w:r>
              <w:rPr>
                <w:spacing w:val="40"/>
                <w:sz w:val="16"/>
              </w:rPr>
              <w:t xml:space="preserve"> </w:t>
            </w:r>
            <w:r>
              <w:rPr>
                <w:sz w:val="16"/>
              </w:rPr>
              <w:t>re</w:t>
            </w:r>
            <w:r>
              <w:rPr>
                <w:spacing w:val="-4"/>
                <w:sz w:val="16"/>
              </w:rPr>
              <w:t xml:space="preserve"> </w:t>
            </w:r>
            <w:r>
              <w:rPr>
                <w:sz w:val="16"/>
              </w:rPr>
              <w:t>lift</w:t>
            </w:r>
            <w:r>
              <w:rPr>
                <w:spacing w:val="-4"/>
                <w:sz w:val="16"/>
              </w:rPr>
              <w:t xml:space="preserve"> </w:t>
            </w:r>
            <w:r>
              <w:rPr>
                <w:sz w:val="16"/>
              </w:rPr>
              <w:t>pump</w:t>
            </w:r>
            <w:r>
              <w:rPr>
                <w:spacing w:val="-4"/>
                <w:sz w:val="16"/>
              </w:rPr>
              <w:t xml:space="preserve"> </w:t>
            </w:r>
            <w:r>
              <w:rPr>
                <w:sz w:val="16"/>
              </w:rPr>
              <w:t>station</w:t>
            </w:r>
            <w:r>
              <w:rPr>
                <w:spacing w:val="-5"/>
                <w:sz w:val="16"/>
              </w:rPr>
              <w:t xml:space="preserve"> </w:t>
            </w:r>
            <w:r>
              <w:rPr>
                <w:sz w:val="16"/>
              </w:rPr>
              <w:t>and</w:t>
            </w:r>
            <w:r>
              <w:rPr>
                <w:spacing w:val="-5"/>
                <w:sz w:val="16"/>
              </w:rPr>
              <w:t xml:space="preserve"> </w:t>
            </w:r>
            <w:r>
              <w:rPr>
                <w:spacing w:val="-2"/>
                <w:sz w:val="16"/>
              </w:rPr>
              <w:t>interconnecting</w:t>
            </w:r>
          </w:p>
          <w:p w14:paraId="6BE92DCE" w14:textId="77777777" w:rsidR="00141B97" w:rsidRDefault="00911D63">
            <w:pPr>
              <w:pStyle w:val="TableParagraph"/>
              <w:spacing w:line="175" w:lineRule="exact"/>
              <w:ind w:left="-3"/>
              <w:rPr>
                <w:sz w:val="16"/>
              </w:rPr>
            </w:pPr>
            <w:r>
              <w:rPr>
                <w:spacing w:val="-2"/>
                <w:sz w:val="16"/>
              </w:rPr>
              <w:t>main.</w:t>
            </w:r>
          </w:p>
        </w:tc>
      </w:tr>
      <w:tr w:rsidR="00141B97" w14:paraId="622A89DC" w14:textId="77777777">
        <w:trPr>
          <w:trHeight w:val="781"/>
          <w:tblCellSpacing w:w="6" w:type="dxa"/>
        </w:trPr>
        <w:tc>
          <w:tcPr>
            <w:tcW w:w="1225" w:type="dxa"/>
            <w:shd w:val="clear" w:color="auto" w:fill="CCE2ED"/>
          </w:tcPr>
          <w:p w14:paraId="6F29779A" w14:textId="77777777" w:rsidR="00141B97" w:rsidRDefault="00911D63">
            <w:pPr>
              <w:pStyle w:val="TableParagraph"/>
              <w:ind w:left="144" w:right="23"/>
              <w:rPr>
                <w:sz w:val="16"/>
              </w:rPr>
            </w:pPr>
            <w:r>
              <w:rPr>
                <w:sz w:val="16"/>
              </w:rPr>
              <w:t>6.</w:t>
            </w:r>
            <w:r>
              <w:rPr>
                <w:spacing w:val="-13"/>
                <w:sz w:val="16"/>
              </w:rPr>
              <w:t xml:space="preserve"> </w:t>
            </w:r>
            <w:r>
              <w:rPr>
                <w:sz w:val="16"/>
              </w:rPr>
              <w:t>Kerang</w:t>
            </w:r>
            <w:r>
              <w:rPr>
                <w:spacing w:val="40"/>
                <w:sz w:val="16"/>
              </w:rPr>
              <w:t xml:space="preserve"> </w:t>
            </w:r>
            <w:r>
              <w:rPr>
                <w:sz w:val="16"/>
              </w:rPr>
              <w:t>Treated</w:t>
            </w:r>
            <w:r>
              <w:rPr>
                <w:spacing w:val="-10"/>
                <w:sz w:val="16"/>
              </w:rPr>
              <w:t xml:space="preserve"> </w:t>
            </w:r>
            <w:r>
              <w:rPr>
                <w:sz w:val="16"/>
              </w:rPr>
              <w:t>Water</w:t>
            </w:r>
            <w:r>
              <w:rPr>
                <w:spacing w:val="40"/>
                <w:sz w:val="16"/>
              </w:rPr>
              <w:t xml:space="preserve"> </w:t>
            </w:r>
            <w:r>
              <w:rPr>
                <w:sz w:val="16"/>
              </w:rPr>
              <w:t>Pump</w:t>
            </w:r>
            <w:r>
              <w:rPr>
                <w:spacing w:val="-7"/>
                <w:sz w:val="16"/>
              </w:rPr>
              <w:t xml:space="preserve"> </w:t>
            </w:r>
            <w:r>
              <w:rPr>
                <w:sz w:val="16"/>
              </w:rPr>
              <w:t>Station</w:t>
            </w:r>
          </w:p>
        </w:tc>
        <w:tc>
          <w:tcPr>
            <w:tcW w:w="2084" w:type="dxa"/>
            <w:shd w:val="clear" w:color="auto" w:fill="CCE2ED"/>
          </w:tcPr>
          <w:p w14:paraId="24DE4EB3" w14:textId="77777777" w:rsidR="00141B97" w:rsidRDefault="00911D63">
            <w:pPr>
              <w:pStyle w:val="TableParagraph"/>
              <w:ind w:left="-2"/>
              <w:rPr>
                <w:sz w:val="16"/>
              </w:rPr>
            </w:pPr>
            <w:r>
              <w:rPr>
                <w:sz w:val="16"/>
              </w:rPr>
              <w:t>KER</w:t>
            </w:r>
            <w:r>
              <w:rPr>
                <w:spacing w:val="-5"/>
                <w:sz w:val="16"/>
              </w:rPr>
              <w:t xml:space="preserve"> </w:t>
            </w:r>
            <w:r>
              <w:rPr>
                <w:sz w:val="16"/>
              </w:rPr>
              <w:t>–</w:t>
            </w:r>
            <w:r>
              <w:rPr>
                <w:spacing w:val="-6"/>
                <w:sz w:val="16"/>
              </w:rPr>
              <w:t xml:space="preserve"> </w:t>
            </w:r>
            <w:r>
              <w:rPr>
                <w:sz w:val="16"/>
              </w:rPr>
              <w:t>Kerang</w:t>
            </w:r>
            <w:r>
              <w:rPr>
                <w:spacing w:val="-6"/>
                <w:sz w:val="16"/>
              </w:rPr>
              <w:t xml:space="preserve"> </w:t>
            </w:r>
            <w:r>
              <w:rPr>
                <w:sz w:val="16"/>
              </w:rPr>
              <w:t>Replace</w:t>
            </w:r>
            <w:r>
              <w:rPr>
                <w:spacing w:val="-5"/>
                <w:sz w:val="16"/>
              </w:rPr>
              <w:t xml:space="preserve"> </w:t>
            </w:r>
            <w:r>
              <w:rPr>
                <w:sz w:val="16"/>
              </w:rPr>
              <w:t>Treated</w:t>
            </w:r>
            <w:r>
              <w:rPr>
                <w:spacing w:val="40"/>
                <w:sz w:val="16"/>
              </w:rPr>
              <w:t xml:space="preserve"> </w:t>
            </w:r>
            <w:r>
              <w:rPr>
                <w:sz w:val="16"/>
              </w:rPr>
              <w:t>Water Pump Station</w:t>
            </w:r>
          </w:p>
        </w:tc>
        <w:tc>
          <w:tcPr>
            <w:tcW w:w="795" w:type="dxa"/>
            <w:shd w:val="clear" w:color="auto" w:fill="CCE2ED"/>
          </w:tcPr>
          <w:p w14:paraId="7F7DF753" w14:textId="77777777" w:rsidR="00141B97" w:rsidRDefault="00911D63">
            <w:pPr>
              <w:pStyle w:val="TableParagraph"/>
              <w:ind w:left="-1" w:right="34"/>
              <w:rPr>
                <w:sz w:val="16"/>
              </w:rPr>
            </w:pPr>
            <w:r>
              <w:rPr>
                <w:spacing w:val="-2"/>
                <w:sz w:val="16"/>
              </w:rPr>
              <w:t>Urban</w:t>
            </w:r>
            <w:r>
              <w:rPr>
                <w:spacing w:val="40"/>
                <w:sz w:val="16"/>
              </w:rPr>
              <w:t xml:space="preserve"> </w:t>
            </w:r>
            <w:r>
              <w:rPr>
                <w:spacing w:val="-2"/>
                <w:sz w:val="16"/>
              </w:rPr>
              <w:t>Water</w:t>
            </w:r>
          </w:p>
        </w:tc>
        <w:tc>
          <w:tcPr>
            <w:tcW w:w="817" w:type="dxa"/>
            <w:shd w:val="clear" w:color="auto" w:fill="CCE2ED"/>
          </w:tcPr>
          <w:p w14:paraId="1E86243D" w14:textId="77777777" w:rsidR="00141B97" w:rsidRDefault="00911D63">
            <w:pPr>
              <w:pStyle w:val="TableParagraph"/>
              <w:spacing w:line="195" w:lineRule="exact"/>
              <w:ind w:right="1"/>
              <w:jc w:val="right"/>
              <w:rPr>
                <w:sz w:val="16"/>
              </w:rPr>
            </w:pPr>
            <w:r>
              <w:rPr>
                <w:spacing w:val="-4"/>
                <w:sz w:val="16"/>
              </w:rPr>
              <w:t>0.83</w:t>
            </w:r>
          </w:p>
          <w:p w14:paraId="1B290005" w14:textId="77777777" w:rsidR="00141B97" w:rsidRDefault="00911D63">
            <w:pPr>
              <w:pStyle w:val="TableParagraph"/>
              <w:jc w:val="right"/>
              <w:rPr>
                <w:sz w:val="16"/>
              </w:rPr>
            </w:pPr>
            <w:r>
              <w:rPr>
                <w:spacing w:val="-4"/>
                <w:sz w:val="16"/>
              </w:rPr>
              <w:t>(50%</w:t>
            </w:r>
          </w:p>
          <w:p w14:paraId="0EF27AB7" w14:textId="77777777" w:rsidR="00141B97" w:rsidRDefault="00911D63">
            <w:pPr>
              <w:pStyle w:val="TableParagraph"/>
              <w:jc w:val="right"/>
              <w:rPr>
                <w:sz w:val="16"/>
              </w:rPr>
            </w:pPr>
            <w:r>
              <w:rPr>
                <w:sz w:val="16"/>
              </w:rPr>
              <w:t>incurring</w:t>
            </w:r>
            <w:r>
              <w:rPr>
                <w:spacing w:val="-6"/>
                <w:sz w:val="16"/>
              </w:rPr>
              <w:t xml:space="preserve"> </w:t>
            </w:r>
            <w:r>
              <w:rPr>
                <w:spacing w:val="-5"/>
                <w:sz w:val="16"/>
              </w:rPr>
              <w:t>in</w:t>
            </w:r>
          </w:p>
          <w:p w14:paraId="075A691E" w14:textId="77777777" w:rsidR="00141B97" w:rsidRDefault="00911D63">
            <w:pPr>
              <w:pStyle w:val="TableParagraph"/>
              <w:spacing w:before="1" w:line="175" w:lineRule="exact"/>
              <w:ind w:left="480"/>
              <w:rPr>
                <w:sz w:val="16"/>
              </w:rPr>
            </w:pPr>
            <w:r>
              <w:rPr>
                <w:spacing w:val="-4"/>
                <w:sz w:val="16"/>
              </w:rPr>
              <w:t>PS3)</w:t>
            </w:r>
          </w:p>
        </w:tc>
        <w:tc>
          <w:tcPr>
            <w:tcW w:w="580" w:type="dxa"/>
            <w:shd w:val="clear" w:color="auto" w:fill="CCE2ED"/>
          </w:tcPr>
          <w:p w14:paraId="327F64F0" w14:textId="77777777" w:rsidR="00141B97" w:rsidRDefault="00911D63">
            <w:pPr>
              <w:pStyle w:val="TableParagraph"/>
              <w:spacing w:line="195" w:lineRule="exact"/>
              <w:ind w:right="36"/>
              <w:jc w:val="right"/>
              <w:rPr>
                <w:sz w:val="16"/>
              </w:rPr>
            </w:pPr>
            <w:r>
              <w:rPr>
                <w:spacing w:val="-4"/>
                <w:sz w:val="16"/>
              </w:rPr>
              <w:t>1.02</w:t>
            </w:r>
          </w:p>
        </w:tc>
        <w:tc>
          <w:tcPr>
            <w:tcW w:w="707" w:type="dxa"/>
            <w:shd w:val="clear" w:color="auto" w:fill="CCE2ED"/>
          </w:tcPr>
          <w:p w14:paraId="5C501823" w14:textId="77777777" w:rsidR="00141B97" w:rsidRDefault="00911D63">
            <w:pPr>
              <w:pStyle w:val="TableParagraph"/>
              <w:spacing w:line="195" w:lineRule="exact"/>
              <w:ind w:right="36"/>
              <w:jc w:val="right"/>
              <w:rPr>
                <w:sz w:val="16"/>
              </w:rPr>
            </w:pPr>
            <w:r>
              <w:rPr>
                <w:spacing w:val="-4"/>
                <w:sz w:val="16"/>
              </w:rPr>
              <w:t>0.00</w:t>
            </w:r>
          </w:p>
        </w:tc>
        <w:tc>
          <w:tcPr>
            <w:tcW w:w="844" w:type="dxa"/>
            <w:shd w:val="clear" w:color="auto" w:fill="CCE2ED"/>
          </w:tcPr>
          <w:p w14:paraId="07BAE576" w14:textId="77777777" w:rsidR="00141B97" w:rsidRDefault="00911D63">
            <w:pPr>
              <w:pStyle w:val="TableParagraph"/>
              <w:spacing w:line="195" w:lineRule="exact"/>
              <w:ind w:right="36"/>
              <w:jc w:val="right"/>
              <w:rPr>
                <w:sz w:val="16"/>
              </w:rPr>
            </w:pPr>
            <w:r>
              <w:rPr>
                <w:spacing w:val="-4"/>
                <w:sz w:val="16"/>
              </w:rPr>
              <w:t>1.02</w:t>
            </w:r>
          </w:p>
        </w:tc>
        <w:tc>
          <w:tcPr>
            <w:tcW w:w="2699" w:type="dxa"/>
            <w:shd w:val="clear" w:color="auto" w:fill="CCE2ED"/>
          </w:tcPr>
          <w:p w14:paraId="2801A52D" w14:textId="77777777" w:rsidR="00141B97" w:rsidRDefault="00911D63">
            <w:pPr>
              <w:pStyle w:val="TableParagraph"/>
              <w:spacing w:line="195" w:lineRule="exact"/>
              <w:ind w:left="-3"/>
              <w:rPr>
                <w:sz w:val="16"/>
              </w:rPr>
            </w:pPr>
            <w:r>
              <w:rPr>
                <w:sz w:val="16"/>
              </w:rPr>
              <w:t>Project</w:t>
            </w:r>
            <w:r>
              <w:rPr>
                <w:spacing w:val="-6"/>
                <w:sz w:val="16"/>
              </w:rPr>
              <w:t xml:space="preserve"> </w:t>
            </w:r>
            <w:r>
              <w:rPr>
                <w:sz w:val="16"/>
              </w:rPr>
              <w:t>completed</w:t>
            </w:r>
            <w:r>
              <w:rPr>
                <w:spacing w:val="-6"/>
                <w:sz w:val="16"/>
              </w:rPr>
              <w:t xml:space="preserve"> </w:t>
            </w:r>
            <w:r>
              <w:rPr>
                <w:sz w:val="16"/>
              </w:rPr>
              <w:t>on</w:t>
            </w:r>
            <w:r>
              <w:rPr>
                <w:spacing w:val="-7"/>
                <w:sz w:val="16"/>
              </w:rPr>
              <w:t xml:space="preserve"> </w:t>
            </w:r>
            <w:r>
              <w:rPr>
                <w:spacing w:val="-2"/>
                <w:sz w:val="16"/>
              </w:rPr>
              <w:t>time.</w:t>
            </w:r>
          </w:p>
        </w:tc>
      </w:tr>
      <w:tr w:rsidR="00141B97" w14:paraId="691743B7" w14:textId="77777777">
        <w:trPr>
          <w:trHeight w:val="780"/>
          <w:tblCellSpacing w:w="6" w:type="dxa"/>
        </w:trPr>
        <w:tc>
          <w:tcPr>
            <w:tcW w:w="1225" w:type="dxa"/>
            <w:shd w:val="clear" w:color="auto" w:fill="CCE2ED"/>
          </w:tcPr>
          <w:p w14:paraId="14F7A6F3" w14:textId="77777777" w:rsidR="00141B97" w:rsidRDefault="00911D63">
            <w:pPr>
              <w:pStyle w:val="TableParagraph"/>
              <w:ind w:left="144" w:right="23"/>
              <w:rPr>
                <w:sz w:val="16"/>
              </w:rPr>
            </w:pPr>
            <w:r>
              <w:rPr>
                <w:sz w:val="16"/>
              </w:rPr>
              <w:t>7.</w:t>
            </w:r>
            <w:r>
              <w:rPr>
                <w:spacing w:val="-13"/>
                <w:sz w:val="16"/>
              </w:rPr>
              <w:t xml:space="preserve"> </w:t>
            </w:r>
            <w:r>
              <w:rPr>
                <w:sz w:val="16"/>
              </w:rPr>
              <w:t>Rehabilitation</w:t>
            </w:r>
            <w:r>
              <w:rPr>
                <w:spacing w:val="40"/>
                <w:sz w:val="16"/>
              </w:rPr>
              <w:t xml:space="preserve"> </w:t>
            </w:r>
            <w:r>
              <w:rPr>
                <w:sz w:val="16"/>
              </w:rPr>
              <w:t>of</w:t>
            </w:r>
            <w:r>
              <w:rPr>
                <w:spacing w:val="-5"/>
                <w:sz w:val="16"/>
              </w:rPr>
              <w:t xml:space="preserve"> </w:t>
            </w:r>
            <w:r>
              <w:rPr>
                <w:sz w:val="16"/>
              </w:rPr>
              <w:t>Sewers</w:t>
            </w:r>
          </w:p>
        </w:tc>
        <w:tc>
          <w:tcPr>
            <w:tcW w:w="2084" w:type="dxa"/>
            <w:shd w:val="clear" w:color="auto" w:fill="CCE2ED"/>
          </w:tcPr>
          <w:p w14:paraId="7BCC6C93" w14:textId="77777777" w:rsidR="00141B97" w:rsidRDefault="00911D63">
            <w:pPr>
              <w:pStyle w:val="TableParagraph"/>
              <w:ind w:left="-2"/>
              <w:rPr>
                <w:sz w:val="16"/>
              </w:rPr>
            </w:pPr>
            <w:r>
              <w:rPr>
                <w:sz w:val="16"/>
              </w:rPr>
              <w:t>Northern – Sewer Rehab</w:t>
            </w:r>
            <w:r>
              <w:rPr>
                <w:spacing w:val="40"/>
                <w:sz w:val="16"/>
              </w:rPr>
              <w:t xml:space="preserve"> </w:t>
            </w:r>
            <w:r>
              <w:rPr>
                <w:sz w:val="16"/>
              </w:rPr>
              <w:t>Program</w:t>
            </w:r>
            <w:r>
              <w:rPr>
                <w:spacing w:val="-8"/>
                <w:sz w:val="16"/>
              </w:rPr>
              <w:t xml:space="preserve"> </w:t>
            </w:r>
            <w:r>
              <w:rPr>
                <w:sz w:val="16"/>
              </w:rPr>
              <w:t>Southern</w:t>
            </w:r>
            <w:r>
              <w:rPr>
                <w:spacing w:val="-7"/>
                <w:sz w:val="16"/>
              </w:rPr>
              <w:t xml:space="preserve"> </w:t>
            </w:r>
            <w:r>
              <w:rPr>
                <w:sz w:val="16"/>
              </w:rPr>
              <w:t>–</w:t>
            </w:r>
            <w:r>
              <w:rPr>
                <w:spacing w:val="-8"/>
                <w:sz w:val="16"/>
              </w:rPr>
              <w:t xml:space="preserve"> </w:t>
            </w:r>
            <w:r>
              <w:rPr>
                <w:sz w:val="16"/>
              </w:rPr>
              <w:t>Sewer</w:t>
            </w:r>
            <w:r>
              <w:rPr>
                <w:spacing w:val="40"/>
                <w:sz w:val="16"/>
              </w:rPr>
              <w:t xml:space="preserve"> </w:t>
            </w:r>
            <w:r>
              <w:rPr>
                <w:sz w:val="16"/>
              </w:rPr>
              <w:t>Rehab</w:t>
            </w:r>
            <w:r>
              <w:rPr>
                <w:spacing w:val="-7"/>
                <w:sz w:val="16"/>
              </w:rPr>
              <w:t xml:space="preserve"> </w:t>
            </w:r>
            <w:r>
              <w:rPr>
                <w:sz w:val="16"/>
              </w:rPr>
              <w:t>Program</w:t>
            </w:r>
          </w:p>
        </w:tc>
        <w:tc>
          <w:tcPr>
            <w:tcW w:w="795" w:type="dxa"/>
            <w:shd w:val="clear" w:color="auto" w:fill="CCE2ED"/>
          </w:tcPr>
          <w:p w14:paraId="6C6E3B5C" w14:textId="77777777" w:rsidR="00141B97" w:rsidRDefault="00911D63">
            <w:pPr>
              <w:pStyle w:val="TableParagraph"/>
              <w:ind w:left="-1"/>
              <w:rPr>
                <w:sz w:val="16"/>
              </w:rPr>
            </w:pPr>
            <w:r>
              <w:rPr>
                <w:spacing w:val="-2"/>
                <w:sz w:val="16"/>
              </w:rPr>
              <w:t>Urban</w:t>
            </w:r>
            <w:r>
              <w:rPr>
                <w:spacing w:val="40"/>
                <w:sz w:val="16"/>
              </w:rPr>
              <w:t xml:space="preserve"> </w:t>
            </w:r>
            <w:r>
              <w:rPr>
                <w:spacing w:val="-2"/>
                <w:sz w:val="16"/>
              </w:rPr>
              <w:t>Sewerage</w:t>
            </w:r>
          </w:p>
        </w:tc>
        <w:tc>
          <w:tcPr>
            <w:tcW w:w="817" w:type="dxa"/>
            <w:shd w:val="clear" w:color="auto" w:fill="CCE2ED"/>
          </w:tcPr>
          <w:p w14:paraId="5BE83148" w14:textId="77777777" w:rsidR="00141B97" w:rsidRDefault="00911D63">
            <w:pPr>
              <w:pStyle w:val="TableParagraph"/>
              <w:spacing w:line="195" w:lineRule="exact"/>
              <w:ind w:right="37"/>
              <w:jc w:val="right"/>
              <w:rPr>
                <w:sz w:val="16"/>
              </w:rPr>
            </w:pPr>
            <w:r>
              <w:rPr>
                <w:spacing w:val="-4"/>
                <w:sz w:val="16"/>
              </w:rPr>
              <w:t>5.79</w:t>
            </w:r>
          </w:p>
        </w:tc>
        <w:tc>
          <w:tcPr>
            <w:tcW w:w="580" w:type="dxa"/>
            <w:shd w:val="clear" w:color="auto" w:fill="CCE2ED"/>
          </w:tcPr>
          <w:p w14:paraId="75B7708B" w14:textId="77777777" w:rsidR="00141B97" w:rsidRDefault="00911D63">
            <w:pPr>
              <w:pStyle w:val="TableParagraph"/>
              <w:spacing w:line="195" w:lineRule="exact"/>
              <w:ind w:right="36"/>
              <w:jc w:val="right"/>
              <w:rPr>
                <w:sz w:val="16"/>
              </w:rPr>
            </w:pPr>
            <w:r>
              <w:rPr>
                <w:spacing w:val="-4"/>
                <w:sz w:val="16"/>
              </w:rPr>
              <w:t>3.50</w:t>
            </w:r>
          </w:p>
        </w:tc>
        <w:tc>
          <w:tcPr>
            <w:tcW w:w="707" w:type="dxa"/>
            <w:shd w:val="clear" w:color="auto" w:fill="CCE2ED"/>
          </w:tcPr>
          <w:p w14:paraId="19657916" w14:textId="77777777" w:rsidR="00141B97" w:rsidRDefault="00911D63">
            <w:pPr>
              <w:pStyle w:val="TableParagraph"/>
              <w:spacing w:line="195" w:lineRule="exact"/>
              <w:ind w:right="36"/>
              <w:jc w:val="right"/>
              <w:rPr>
                <w:sz w:val="16"/>
              </w:rPr>
            </w:pPr>
            <w:r>
              <w:rPr>
                <w:spacing w:val="-4"/>
                <w:sz w:val="16"/>
              </w:rPr>
              <w:t>1.17</w:t>
            </w:r>
          </w:p>
        </w:tc>
        <w:tc>
          <w:tcPr>
            <w:tcW w:w="844" w:type="dxa"/>
            <w:shd w:val="clear" w:color="auto" w:fill="CCE2ED"/>
          </w:tcPr>
          <w:p w14:paraId="64E30CBE" w14:textId="77777777" w:rsidR="00141B97" w:rsidRDefault="00911D63">
            <w:pPr>
              <w:pStyle w:val="TableParagraph"/>
              <w:spacing w:line="195" w:lineRule="exact"/>
              <w:ind w:right="36"/>
              <w:jc w:val="right"/>
              <w:rPr>
                <w:sz w:val="16"/>
              </w:rPr>
            </w:pPr>
            <w:r>
              <w:rPr>
                <w:spacing w:val="-4"/>
                <w:sz w:val="16"/>
              </w:rPr>
              <w:t>4.67</w:t>
            </w:r>
          </w:p>
        </w:tc>
        <w:tc>
          <w:tcPr>
            <w:tcW w:w="2699" w:type="dxa"/>
            <w:shd w:val="clear" w:color="auto" w:fill="CCE2ED"/>
          </w:tcPr>
          <w:p w14:paraId="756CC75C" w14:textId="77777777" w:rsidR="00141B97" w:rsidRDefault="00911D63">
            <w:pPr>
              <w:pStyle w:val="TableParagraph"/>
              <w:ind w:left="-3"/>
              <w:rPr>
                <w:sz w:val="16"/>
              </w:rPr>
            </w:pPr>
            <w:r>
              <w:rPr>
                <w:sz w:val="16"/>
              </w:rPr>
              <w:t>Ongoing</w:t>
            </w:r>
            <w:r>
              <w:rPr>
                <w:spacing w:val="-6"/>
                <w:sz w:val="16"/>
              </w:rPr>
              <w:t xml:space="preserve"> </w:t>
            </w:r>
            <w:r>
              <w:rPr>
                <w:sz w:val="16"/>
              </w:rPr>
              <w:t>program.</w:t>
            </w:r>
            <w:r>
              <w:rPr>
                <w:spacing w:val="-4"/>
                <w:sz w:val="16"/>
              </w:rPr>
              <w:t xml:space="preserve"> </w:t>
            </w:r>
            <w:r>
              <w:rPr>
                <w:sz w:val="16"/>
              </w:rPr>
              <w:t>Contract</w:t>
            </w:r>
            <w:r>
              <w:rPr>
                <w:spacing w:val="-5"/>
                <w:sz w:val="16"/>
              </w:rPr>
              <w:t xml:space="preserve"> </w:t>
            </w:r>
            <w:r>
              <w:rPr>
                <w:sz w:val="16"/>
              </w:rPr>
              <w:t>in</w:t>
            </w:r>
            <w:r>
              <w:rPr>
                <w:spacing w:val="-6"/>
                <w:sz w:val="16"/>
              </w:rPr>
              <w:t xml:space="preserve"> </w:t>
            </w:r>
            <w:r>
              <w:rPr>
                <w:sz w:val="16"/>
              </w:rPr>
              <w:t>place</w:t>
            </w:r>
            <w:r>
              <w:rPr>
                <w:spacing w:val="-6"/>
                <w:sz w:val="16"/>
              </w:rPr>
              <w:t xml:space="preserve"> </w:t>
            </w:r>
            <w:r>
              <w:rPr>
                <w:sz w:val="16"/>
              </w:rPr>
              <w:t>for</w:t>
            </w:r>
            <w:r>
              <w:rPr>
                <w:spacing w:val="40"/>
                <w:sz w:val="16"/>
              </w:rPr>
              <w:t xml:space="preserve"> </w:t>
            </w:r>
            <w:r>
              <w:rPr>
                <w:sz w:val="16"/>
              </w:rPr>
              <w:t>delivery of annual works packages. On</w:t>
            </w:r>
            <w:r>
              <w:rPr>
                <w:spacing w:val="40"/>
                <w:sz w:val="16"/>
              </w:rPr>
              <w:t xml:space="preserve"> </w:t>
            </w:r>
            <w:r>
              <w:rPr>
                <w:sz w:val="16"/>
              </w:rPr>
              <w:t>track to complete final year of current</w:t>
            </w:r>
          </w:p>
          <w:p w14:paraId="69291BAA" w14:textId="77777777" w:rsidR="00141B97" w:rsidRDefault="00911D63">
            <w:pPr>
              <w:pStyle w:val="TableParagraph"/>
              <w:spacing w:line="175" w:lineRule="exact"/>
              <w:ind w:left="-3"/>
              <w:rPr>
                <w:sz w:val="16"/>
              </w:rPr>
            </w:pPr>
            <w:r>
              <w:rPr>
                <w:sz w:val="16"/>
              </w:rPr>
              <w:t>contract</w:t>
            </w:r>
            <w:r>
              <w:rPr>
                <w:spacing w:val="-5"/>
                <w:sz w:val="16"/>
              </w:rPr>
              <w:t xml:space="preserve"> </w:t>
            </w:r>
            <w:r>
              <w:rPr>
                <w:sz w:val="16"/>
              </w:rPr>
              <w:t>by</w:t>
            </w:r>
            <w:r>
              <w:rPr>
                <w:spacing w:val="-3"/>
                <w:sz w:val="16"/>
              </w:rPr>
              <w:t xml:space="preserve"> </w:t>
            </w:r>
            <w:r>
              <w:rPr>
                <w:sz w:val="16"/>
              </w:rPr>
              <w:t>end</w:t>
            </w:r>
            <w:r>
              <w:rPr>
                <w:spacing w:val="-5"/>
                <w:sz w:val="16"/>
              </w:rPr>
              <w:t xml:space="preserve"> </w:t>
            </w:r>
            <w:r>
              <w:rPr>
                <w:sz w:val="16"/>
              </w:rPr>
              <w:t>of</w:t>
            </w:r>
            <w:r>
              <w:rPr>
                <w:spacing w:val="-2"/>
                <w:sz w:val="16"/>
              </w:rPr>
              <w:t xml:space="preserve"> </w:t>
            </w:r>
            <w:r>
              <w:rPr>
                <w:spacing w:val="-4"/>
                <w:sz w:val="16"/>
              </w:rPr>
              <w:t>PS4.</w:t>
            </w:r>
          </w:p>
        </w:tc>
      </w:tr>
      <w:tr w:rsidR="00141B97" w14:paraId="43E876BE" w14:textId="77777777">
        <w:trPr>
          <w:trHeight w:val="586"/>
          <w:tblCellSpacing w:w="6" w:type="dxa"/>
        </w:trPr>
        <w:tc>
          <w:tcPr>
            <w:tcW w:w="1225" w:type="dxa"/>
            <w:shd w:val="clear" w:color="auto" w:fill="CCE2ED"/>
          </w:tcPr>
          <w:p w14:paraId="3C8DA018" w14:textId="77777777" w:rsidR="00141B97" w:rsidRDefault="00911D63">
            <w:pPr>
              <w:pStyle w:val="TableParagraph"/>
              <w:spacing w:before="1"/>
              <w:ind w:left="144"/>
              <w:rPr>
                <w:sz w:val="16"/>
              </w:rPr>
            </w:pPr>
            <w:r>
              <w:rPr>
                <w:sz w:val="16"/>
              </w:rPr>
              <w:t>8.</w:t>
            </w:r>
            <w:r>
              <w:rPr>
                <w:spacing w:val="-13"/>
                <w:sz w:val="16"/>
              </w:rPr>
              <w:t xml:space="preserve"> </w:t>
            </w:r>
            <w:r>
              <w:rPr>
                <w:sz w:val="16"/>
              </w:rPr>
              <w:t>Koorlong</w:t>
            </w:r>
            <w:r>
              <w:rPr>
                <w:spacing w:val="-10"/>
                <w:sz w:val="16"/>
              </w:rPr>
              <w:t xml:space="preserve"> </w:t>
            </w:r>
            <w:r>
              <w:rPr>
                <w:sz w:val="16"/>
              </w:rPr>
              <w:t>Wet</w:t>
            </w:r>
            <w:r>
              <w:rPr>
                <w:spacing w:val="40"/>
                <w:sz w:val="16"/>
              </w:rPr>
              <w:t xml:space="preserve"> </w:t>
            </w:r>
            <w:r>
              <w:rPr>
                <w:spacing w:val="-2"/>
                <w:sz w:val="16"/>
              </w:rPr>
              <w:t>Weather</w:t>
            </w:r>
          </w:p>
          <w:p w14:paraId="20437FAE" w14:textId="77777777" w:rsidR="00141B97" w:rsidRDefault="00911D63">
            <w:pPr>
              <w:pStyle w:val="TableParagraph"/>
              <w:spacing w:line="175" w:lineRule="exact"/>
              <w:ind w:left="144"/>
              <w:rPr>
                <w:sz w:val="16"/>
              </w:rPr>
            </w:pPr>
            <w:r>
              <w:rPr>
                <w:spacing w:val="-2"/>
                <w:sz w:val="16"/>
              </w:rPr>
              <w:t>Storage</w:t>
            </w:r>
          </w:p>
        </w:tc>
        <w:tc>
          <w:tcPr>
            <w:tcW w:w="2084" w:type="dxa"/>
            <w:shd w:val="clear" w:color="auto" w:fill="CCE2ED"/>
          </w:tcPr>
          <w:p w14:paraId="5885EA36" w14:textId="77777777" w:rsidR="00141B97" w:rsidRDefault="00911D63">
            <w:pPr>
              <w:pStyle w:val="TableParagraph"/>
              <w:spacing w:before="1"/>
              <w:ind w:left="-2"/>
              <w:rPr>
                <w:sz w:val="16"/>
              </w:rPr>
            </w:pPr>
            <w:r>
              <w:rPr>
                <w:sz w:val="16"/>
              </w:rPr>
              <w:t>KLG</w:t>
            </w:r>
            <w:r>
              <w:rPr>
                <w:spacing w:val="-6"/>
                <w:sz w:val="16"/>
              </w:rPr>
              <w:t xml:space="preserve"> </w:t>
            </w:r>
            <w:r>
              <w:rPr>
                <w:sz w:val="16"/>
              </w:rPr>
              <w:t>–</w:t>
            </w:r>
            <w:r>
              <w:rPr>
                <w:spacing w:val="-5"/>
                <w:sz w:val="16"/>
              </w:rPr>
              <w:t xml:space="preserve"> </w:t>
            </w:r>
            <w:r>
              <w:rPr>
                <w:sz w:val="16"/>
              </w:rPr>
              <w:t>WWTP</w:t>
            </w:r>
            <w:r>
              <w:rPr>
                <w:spacing w:val="-5"/>
                <w:sz w:val="16"/>
              </w:rPr>
              <w:t xml:space="preserve"> </w:t>
            </w:r>
            <w:r>
              <w:rPr>
                <w:sz w:val="16"/>
              </w:rPr>
              <w:t>Construct</w:t>
            </w:r>
            <w:r>
              <w:rPr>
                <w:spacing w:val="-6"/>
                <w:sz w:val="16"/>
              </w:rPr>
              <w:t xml:space="preserve"> </w:t>
            </w:r>
            <w:r>
              <w:rPr>
                <w:sz w:val="16"/>
              </w:rPr>
              <w:t>400</w:t>
            </w:r>
            <w:r>
              <w:rPr>
                <w:spacing w:val="-5"/>
                <w:sz w:val="16"/>
              </w:rPr>
              <w:t xml:space="preserve"> </w:t>
            </w:r>
            <w:r>
              <w:rPr>
                <w:sz w:val="16"/>
              </w:rPr>
              <w:t>ML</w:t>
            </w:r>
            <w:r>
              <w:rPr>
                <w:spacing w:val="40"/>
                <w:sz w:val="16"/>
              </w:rPr>
              <w:t xml:space="preserve"> </w:t>
            </w:r>
            <w:r>
              <w:rPr>
                <w:sz w:val="16"/>
              </w:rPr>
              <w:t>Wet Weather Storage No 1</w:t>
            </w:r>
          </w:p>
        </w:tc>
        <w:tc>
          <w:tcPr>
            <w:tcW w:w="795" w:type="dxa"/>
            <w:shd w:val="clear" w:color="auto" w:fill="CCE2ED"/>
          </w:tcPr>
          <w:p w14:paraId="2476F5B5" w14:textId="77777777" w:rsidR="00141B97" w:rsidRDefault="00911D63">
            <w:pPr>
              <w:pStyle w:val="TableParagraph"/>
              <w:spacing w:before="1"/>
              <w:ind w:left="-1"/>
              <w:rPr>
                <w:sz w:val="16"/>
              </w:rPr>
            </w:pPr>
            <w:r>
              <w:rPr>
                <w:spacing w:val="-2"/>
                <w:sz w:val="16"/>
              </w:rPr>
              <w:t>Urban</w:t>
            </w:r>
            <w:r>
              <w:rPr>
                <w:spacing w:val="40"/>
                <w:sz w:val="16"/>
              </w:rPr>
              <w:t xml:space="preserve"> </w:t>
            </w:r>
            <w:r>
              <w:rPr>
                <w:spacing w:val="-2"/>
                <w:sz w:val="16"/>
              </w:rPr>
              <w:t>Sewerage</w:t>
            </w:r>
          </w:p>
        </w:tc>
        <w:tc>
          <w:tcPr>
            <w:tcW w:w="817" w:type="dxa"/>
            <w:shd w:val="clear" w:color="auto" w:fill="CCE2ED"/>
          </w:tcPr>
          <w:p w14:paraId="02BCDD4D" w14:textId="77777777" w:rsidR="00141B97" w:rsidRDefault="00911D63">
            <w:pPr>
              <w:pStyle w:val="TableParagraph"/>
              <w:spacing w:before="1"/>
              <w:ind w:right="37"/>
              <w:jc w:val="right"/>
              <w:rPr>
                <w:sz w:val="16"/>
              </w:rPr>
            </w:pPr>
            <w:r>
              <w:rPr>
                <w:spacing w:val="-4"/>
                <w:sz w:val="16"/>
              </w:rPr>
              <w:t>4.95</w:t>
            </w:r>
          </w:p>
        </w:tc>
        <w:tc>
          <w:tcPr>
            <w:tcW w:w="580" w:type="dxa"/>
            <w:shd w:val="clear" w:color="auto" w:fill="CCE2ED"/>
          </w:tcPr>
          <w:p w14:paraId="22827D76" w14:textId="77777777" w:rsidR="00141B97" w:rsidRDefault="00911D63">
            <w:pPr>
              <w:pStyle w:val="TableParagraph"/>
              <w:spacing w:before="1"/>
              <w:ind w:right="36"/>
              <w:jc w:val="right"/>
              <w:rPr>
                <w:sz w:val="16"/>
              </w:rPr>
            </w:pPr>
            <w:r>
              <w:rPr>
                <w:spacing w:val="-4"/>
                <w:sz w:val="16"/>
              </w:rPr>
              <w:t>4.34</w:t>
            </w:r>
          </w:p>
        </w:tc>
        <w:tc>
          <w:tcPr>
            <w:tcW w:w="707" w:type="dxa"/>
            <w:shd w:val="clear" w:color="auto" w:fill="CCE2ED"/>
          </w:tcPr>
          <w:p w14:paraId="0313CAFA" w14:textId="77777777" w:rsidR="00141B97" w:rsidRDefault="00911D63">
            <w:pPr>
              <w:pStyle w:val="TableParagraph"/>
              <w:spacing w:before="1"/>
              <w:ind w:right="36"/>
              <w:jc w:val="right"/>
              <w:rPr>
                <w:sz w:val="16"/>
              </w:rPr>
            </w:pPr>
            <w:r>
              <w:rPr>
                <w:spacing w:val="-4"/>
                <w:sz w:val="16"/>
              </w:rPr>
              <w:t>0.00</w:t>
            </w:r>
          </w:p>
        </w:tc>
        <w:tc>
          <w:tcPr>
            <w:tcW w:w="844" w:type="dxa"/>
            <w:shd w:val="clear" w:color="auto" w:fill="CCE2ED"/>
          </w:tcPr>
          <w:p w14:paraId="295E784B" w14:textId="77777777" w:rsidR="00141B97" w:rsidRDefault="00911D63">
            <w:pPr>
              <w:pStyle w:val="TableParagraph"/>
              <w:spacing w:before="1"/>
              <w:ind w:right="36"/>
              <w:jc w:val="right"/>
              <w:rPr>
                <w:sz w:val="16"/>
              </w:rPr>
            </w:pPr>
            <w:r>
              <w:rPr>
                <w:spacing w:val="-4"/>
                <w:sz w:val="16"/>
              </w:rPr>
              <w:t>4.34</w:t>
            </w:r>
          </w:p>
        </w:tc>
        <w:tc>
          <w:tcPr>
            <w:tcW w:w="2699" w:type="dxa"/>
            <w:shd w:val="clear" w:color="auto" w:fill="CCE2ED"/>
          </w:tcPr>
          <w:p w14:paraId="283993D1" w14:textId="77777777" w:rsidR="00141B97" w:rsidRDefault="00911D63">
            <w:pPr>
              <w:pStyle w:val="TableParagraph"/>
              <w:spacing w:before="1"/>
              <w:ind w:left="-3"/>
              <w:rPr>
                <w:sz w:val="16"/>
              </w:rPr>
            </w:pPr>
            <w:r>
              <w:rPr>
                <w:sz w:val="16"/>
              </w:rPr>
              <w:t>Project</w:t>
            </w:r>
            <w:r>
              <w:rPr>
                <w:spacing w:val="-6"/>
                <w:sz w:val="16"/>
              </w:rPr>
              <w:t xml:space="preserve"> </w:t>
            </w:r>
            <w:r>
              <w:rPr>
                <w:spacing w:val="-2"/>
                <w:sz w:val="16"/>
              </w:rPr>
              <w:t>completed.</w:t>
            </w:r>
          </w:p>
        </w:tc>
      </w:tr>
      <w:tr w:rsidR="00141B97" w14:paraId="75B380ED" w14:textId="77777777">
        <w:trPr>
          <w:trHeight w:val="586"/>
          <w:tblCellSpacing w:w="6" w:type="dxa"/>
        </w:trPr>
        <w:tc>
          <w:tcPr>
            <w:tcW w:w="1225" w:type="dxa"/>
            <w:shd w:val="clear" w:color="auto" w:fill="CCE2ED"/>
          </w:tcPr>
          <w:p w14:paraId="48202B3E" w14:textId="77777777" w:rsidR="00141B97" w:rsidRDefault="00911D63">
            <w:pPr>
              <w:pStyle w:val="TableParagraph"/>
              <w:ind w:left="144"/>
              <w:rPr>
                <w:sz w:val="16"/>
              </w:rPr>
            </w:pPr>
            <w:r>
              <w:rPr>
                <w:sz w:val="16"/>
              </w:rPr>
              <w:t>9.</w:t>
            </w:r>
            <w:r>
              <w:rPr>
                <w:spacing w:val="-13"/>
                <w:sz w:val="16"/>
              </w:rPr>
              <w:t xml:space="preserve"> </w:t>
            </w:r>
            <w:r>
              <w:rPr>
                <w:sz w:val="16"/>
              </w:rPr>
              <w:t>Replace</w:t>
            </w:r>
            <w:r>
              <w:rPr>
                <w:spacing w:val="-10"/>
                <w:sz w:val="16"/>
              </w:rPr>
              <w:t xml:space="preserve"> </w:t>
            </w:r>
            <w:r>
              <w:rPr>
                <w:sz w:val="16"/>
              </w:rPr>
              <w:t>Swan</w:t>
            </w:r>
            <w:r>
              <w:rPr>
                <w:spacing w:val="40"/>
                <w:sz w:val="16"/>
              </w:rPr>
              <w:t xml:space="preserve"> </w:t>
            </w:r>
            <w:r>
              <w:rPr>
                <w:sz w:val="16"/>
              </w:rPr>
              <w:t>Hill</w:t>
            </w:r>
            <w:r>
              <w:rPr>
                <w:spacing w:val="-7"/>
                <w:sz w:val="16"/>
              </w:rPr>
              <w:t xml:space="preserve"> </w:t>
            </w:r>
            <w:r>
              <w:rPr>
                <w:sz w:val="16"/>
              </w:rPr>
              <w:t>WWTP</w:t>
            </w:r>
          </w:p>
          <w:p w14:paraId="1527C9A9" w14:textId="77777777" w:rsidR="00141B97" w:rsidRDefault="00911D63">
            <w:pPr>
              <w:pStyle w:val="TableParagraph"/>
              <w:spacing w:line="176" w:lineRule="exact"/>
              <w:ind w:left="144"/>
              <w:rPr>
                <w:sz w:val="16"/>
              </w:rPr>
            </w:pPr>
            <w:r>
              <w:rPr>
                <w:sz w:val="16"/>
              </w:rPr>
              <w:t>Rising</w:t>
            </w:r>
            <w:r>
              <w:rPr>
                <w:spacing w:val="-9"/>
                <w:sz w:val="16"/>
              </w:rPr>
              <w:t xml:space="preserve"> </w:t>
            </w:r>
            <w:r>
              <w:rPr>
                <w:spacing w:val="-4"/>
                <w:sz w:val="16"/>
              </w:rPr>
              <w:t>Main</w:t>
            </w:r>
          </w:p>
        </w:tc>
        <w:tc>
          <w:tcPr>
            <w:tcW w:w="2084" w:type="dxa"/>
            <w:shd w:val="clear" w:color="auto" w:fill="CCE2ED"/>
          </w:tcPr>
          <w:p w14:paraId="32700D98" w14:textId="77777777" w:rsidR="00141B97" w:rsidRDefault="00911D63">
            <w:pPr>
              <w:pStyle w:val="TableParagraph"/>
              <w:ind w:left="-2" w:right="26"/>
              <w:rPr>
                <w:sz w:val="16"/>
              </w:rPr>
            </w:pPr>
            <w:r>
              <w:rPr>
                <w:sz w:val="16"/>
              </w:rPr>
              <w:t>S/H</w:t>
            </w:r>
            <w:r>
              <w:rPr>
                <w:spacing w:val="-6"/>
                <w:sz w:val="16"/>
              </w:rPr>
              <w:t xml:space="preserve"> </w:t>
            </w:r>
            <w:r>
              <w:rPr>
                <w:sz w:val="16"/>
              </w:rPr>
              <w:t>–</w:t>
            </w:r>
            <w:r>
              <w:rPr>
                <w:spacing w:val="-7"/>
                <w:sz w:val="16"/>
              </w:rPr>
              <w:t xml:space="preserve"> </w:t>
            </w:r>
            <w:r>
              <w:rPr>
                <w:sz w:val="16"/>
              </w:rPr>
              <w:t>Replace</w:t>
            </w:r>
            <w:r>
              <w:rPr>
                <w:spacing w:val="-6"/>
                <w:sz w:val="16"/>
              </w:rPr>
              <w:t xml:space="preserve"> </w:t>
            </w:r>
            <w:r>
              <w:rPr>
                <w:sz w:val="16"/>
              </w:rPr>
              <w:t>WWTP</w:t>
            </w:r>
            <w:r>
              <w:rPr>
                <w:spacing w:val="-6"/>
                <w:sz w:val="16"/>
              </w:rPr>
              <w:t xml:space="preserve"> </w:t>
            </w:r>
            <w:r>
              <w:rPr>
                <w:sz w:val="16"/>
              </w:rPr>
              <w:t>Rising</w:t>
            </w:r>
            <w:r>
              <w:rPr>
                <w:spacing w:val="40"/>
                <w:sz w:val="16"/>
              </w:rPr>
              <w:t xml:space="preserve"> </w:t>
            </w:r>
            <w:r>
              <w:rPr>
                <w:sz w:val="16"/>
              </w:rPr>
              <w:t>Main Stage 2</w:t>
            </w:r>
          </w:p>
        </w:tc>
        <w:tc>
          <w:tcPr>
            <w:tcW w:w="795" w:type="dxa"/>
            <w:shd w:val="clear" w:color="auto" w:fill="CCE2ED"/>
          </w:tcPr>
          <w:p w14:paraId="0FC658B6" w14:textId="77777777" w:rsidR="00141B97" w:rsidRDefault="00911D63">
            <w:pPr>
              <w:pStyle w:val="TableParagraph"/>
              <w:ind w:left="-1"/>
              <w:rPr>
                <w:sz w:val="16"/>
              </w:rPr>
            </w:pPr>
            <w:r>
              <w:rPr>
                <w:spacing w:val="-2"/>
                <w:sz w:val="16"/>
              </w:rPr>
              <w:t>Urban</w:t>
            </w:r>
            <w:r>
              <w:rPr>
                <w:spacing w:val="40"/>
                <w:sz w:val="16"/>
              </w:rPr>
              <w:t xml:space="preserve"> </w:t>
            </w:r>
            <w:r>
              <w:rPr>
                <w:spacing w:val="-2"/>
                <w:sz w:val="16"/>
              </w:rPr>
              <w:t>Sewerage</w:t>
            </w:r>
          </w:p>
        </w:tc>
        <w:tc>
          <w:tcPr>
            <w:tcW w:w="817" w:type="dxa"/>
            <w:shd w:val="clear" w:color="auto" w:fill="CCE2ED"/>
          </w:tcPr>
          <w:p w14:paraId="47460573" w14:textId="77777777" w:rsidR="00141B97" w:rsidRDefault="00911D63">
            <w:pPr>
              <w:pStyle w:val="TableParagraph"/>
              <w:spacing w:line="195" w:lineRule="exact"/>
              <w:ind w:right="37"/>
              <w:jc w:val="right"/>
              <w:rPr>
                <w:sz w:val="16"/>
              </w:rPr>
            </w:pPr>
            <w:r>
              <w:rPr>
                <w:spacing w:val="-4"/>
                <w:sz w:val="16"/>
              </w:rPr>
              <w:t>1.98</w:t>
            </w:r>
          </w:p>
        </w:tc>
        <w:tc>
          <w:tcPr>
            <w:tcW w:w="580" w:type="dxa"/>
            <w:shd w:val="clear" w:color="auto" w:fill="CCE2ED"/>
          </w:tcPr>
          <w:p w14:paraId="644BE39E" w14:textId="77777777" w:rsidR="00141B97" w:rsidRDefault="00911D63">
            <w:pPr>
              <w:pStyle w:val="TableParagraph"/>
              <w:spacing w:line="195" w:lineRule="exact"/>
              <w:ind w:right="36"/>
              <w:jc w:val="right"/>
              <w:rPr>
                <w:sz w:val="16"/>
              </w:rPr>
            </w:pPr>
            <w:r>
              <w:rPr>
                <w:spacing w:val="-4"/>
                <w:sz w:val="16"/>
              </w:rPr>
              <w:t>1.21</w:t>
            </w:r>
          </w:p>
        </w:tc>
        <w:tc>
          <w:tcPr>
            <w:tcW w:w="707" w:type="dxa"/>
            <w:shd w:val="clear" w:color="auto" w:fill="CCE2ED"/>
          </w:tcPr>
          <w:p w14:paraId="4E68123E" w14:textId="77777777" w:rsidR="00141B97" w:rsidRDefault="00911D63">
            <w:pPr>
              <w:pStyle w:val="TableParagraph"/>
              <w:spacing w:line="195" w:lineRule="exact"/>
              <w:ind w:right="36"/>
              <w:jc w:val="right"/>
              <w:rPr>
                <w:sz w:val="16"/>
              </w:rPr>
            </w:pPr>
            <w:r>
              <w:rPr>
                <w:spacing w:val="-4"/>
                <w:sz w:val="16"/>
              </w:rPr>
              <w:t>0.00</w:t>
            </w:r>
          </w:p>
        </w:tc>
        <w:tc>
          <w:tcPr>
            <w:tcW w:w="844" w:type="dxa"/>
            <w:shd w:val="clear" w:color="auto" w:fill="CCE2ED"/>
          </w:tcPr>
          <w:p w14:paraId="0990B94E" w14:textId="77777777" w:rsidR="00141B97" w:rsidRDefault="00911D63">
            <w:pPr>
              <w:pStyle w:val="TableParagraph"/>
              <w:spacing w:line="195" w:lineRule="exact"/>
              <w:ind w:right="36"/>
              <w:jc w:val="right"/>
              <w:rPr>
                <w:sz w:val="16"/>
              </w:rPr>
            </w:pPr>
            <w:r>
              <w:rPr>
                <w:spacing w:val="-4"/>
                <w:sz w:val="16"/>
              </w:rPr>
              <w:t>1.21</w:t>
            </w:r>
          </w:p>
        </w:tc>
        <w:tc>
          <w:tcPr>
            <w:tcW w:w="2699" w:type="dxa"/>
            <w:shd w:val="clear" w:color="auto" w:fill="CCE2ED"/>
          </w:tcPr>
          <w:p w14:paraId="1021A494" w14:textId="77777777" w:rsidR="00141B97" w:rsidRDefault="00911D63">
            <w:pPr>
              <w:pStyle w:val="TableParagraph"/>
              <w:spacing w:line="195" w:lineRule="exact"/>
              <w:ind w:left="-3"/>
              <w:rPr>
                <w:sz w:val="16"/>
              </w:rPr>
            </w:pPr>
            <w:r>
              <w:rPr>
                <w:sz w:val="16"/>
              </w:rPr>
              <w:t>Project</w:t>
            </w:r>
            <w:r>
              <w:rPr>
                <w:spacing w:val="-6"/>
                <w:sz w:val="16"/>
              </w:rPr>
              <w:t xml:space="preserve"> </w:t>
            </w:r>
            <w:r>
              <w:rPr>
                <w:sz w:val="16"/>
              </w:rPr>
              <w:t>completed</w:t>
            </w:r>
            <w:r>
              <w:rPr>
                <w:spacing w:val="-6"/>
                <w:sz w:val="16"/>
              </w:rPr>
              <w:t xml:space="preserve"> </w:t>
            </w:r>
            <w:r>
              <w:rPr>
                <w:sz w:val="16"/>
              </w:rPr>
              <w:t>on</w:t>
            </w:r>
            <w:r>
              <w:rPr>
                <w:spacing w:val="-7"/>
                <w:sz w:val="16"/>
              </w:rPr>
              <w:t xml:space="preserve"> </w:t>
            </w:r>
            <w:r>
              <w:rPr>
                <w:spacing w:val="-2"/>
                <w:sz w:val="16"/>
              </w:rPr>
              <w:t>time.</w:t>
            </w:r>
          </w:p>
        </w:tc>
      </w:tr>
    </w:tbl>
    <w:p w14:paraId="02660906" w14:textId="77777777" w:rsidR="00141B97" w:rsidRDefault="00911D63">
      <w:pPr>
        <w:spacing w:before="20"/>
        <w:ind w:left="114"/>
        <w:jc w:val="both"/>
        <w:rPr>
          <w:sz w:val="16"/>
        </w:rPr>
      </w:pPr>
      <w:r>
        <w:rPr>
          <w:sz w:val="16"/>
        </w:rPr>
        <w:t>Table</w:t>
      </w:r>
      <w:r>
        <w:rPr>
          <w:spacing w:val="-3"/>
          <w:sz w:val="16"/>
        </w:rPr>
        <w:t xml:space="preserve"> </w:t>
      </w:r>
      <w:r>
        <w:rPr>
          <w:sz w:val="16"/>
        </w:rPr>
        <w:t>B8:</w:t>
      </w:r>
      <w:r>
        <w:rPr>
          <w:spacing w:val="-2"/>
          <w:sz w:val="16"/>
        </w:rPr>
        <w:t xml:space="preserve"> </w:t>
      </w:r>
      <w:r>
        <w:rPr>
          <w:sz w:val="16"/>
        </w:rPr>
        <w:t>Urban</w:t>
      </w:r>
      <w:r>
        <w:rPr>
          <w:spacing w:val="-5"/>
          <w:sz w:val="16"/>
        </w:rPr>
        <w:t xml:space="preserve"> </w:t>
      </w:r>
      <w:r>
        <w:rPr>
          <w:sz w:val="16"/>
        </w:rPr>
        <w:t>Projects</w:t>
      </w:r>
      <w:r>
        <w:rPr>
          <w:spacing w:val="-4"/>
          <w:sz w:val="16"/>
        </w:rPr>
        <w:t xml:space="preserve"> </w:t>
      </w:r>
      <w:r>
        <w:rPr>
          <w:sz w:val="16"/>
        </w:rPr>
        <w:t>in</w:t>
      </w:r>
      <w:r>
        <w:rPr>
          <w:spacing w:val="-4"/>
          <w:sz w:val="16"/>
        </w:rPr>
        <w:t xml:space="preserve"> </w:t>
      </w:r>
      <w:r>
        <w:rPr>
          <w:sz w:val="16"/>
        </w:rPr>
        <w:t>the</w:t>
      </w:r>
      <w:r>
        <w:rPr>
          <w:spacing w:val="-3"/>
          <w:sz w:val="16"/>
        </w:rPr>
        <w:t xml:space="preserve"> </w:t>
      </w:r>
      <w:r>
        <w:rPr>
          <w:sz w:val="16"/>
        </w:rPr>
        <w:t>LMW</w:t>
      </w:r>
      <w:r>
        <w:rPr>
          <w:spacing w:val="-5"/>
          <w:sz w:val="16"/>
        </w:rPr>
        <w:t xml:space="preserve"> </w:t>
      </w:r>
      <w:r>
        <w:rPr>
          <w:sz w:val="16"/>
        </w:rPr>
        <w:t>Top</w:t>
      </w:r>
      <w:r>
        <w:rPr>
          <w:spacing w:val="-2"/>
          <w:sz w:val="16"/>
        </w:rPr>
        <w:t xml:space="preserve"> </w:t>
      </w:r>
      <w:r>
        <w:rPr>
          <w:sz w:val="16"/>
        </w:rPr>
        <w:t>10</w:t>
      </w:r>
      <w:r>
        <w:rPr>
          <w:spacing w:val="-4"/>
          <w:sz w:val="16"/>
        </w:rPr>
        <w:t xml:space="preserve"> </w:t>
      </w:r>
      <w:r>
        <w:rPr>
          <w:sz w:val="16"/>
        </w:rPr>
        <w:t>($m</w:t>
      </w:r>
      <w:r>
        <w:rPr>
          <w:spacing w:val="-4"/>
          <w:sz w:val="16"/>
        </w:rPr>
        <w:t xml:space="preserve"> </w:t>
      </w:r>
      <w:r>
        <w:rPr>
          <w:spacing w:val="-2"/>
          <w:sz w:val="16"/>
        </w:rPr>
        <w:t>1/1/23)</w:t>
      </w:r>
    </w:p>
    <w:p w14:paraId="1F74E7A6" w14:textId="77777777" w:rsidR="00141B97" w:rsidRDefault="00141B97">
      <w:pPr>
        <w:jc w:val="both"/>
        <w:rPr>
          <w:sz w:val="16"/>
        </w:rPr>
        <w:sectPr w:rsidR="00141B97">
          <w:pgSz w:w="11910" w:h="16840"/>
          <w:pgMar w:top="820" w:right="40" w:bottom="760" w:left="1020" w:header="0" w:footer="580" w:gutter="0"/>
          <w:cols w:space="720"/>
        </w:sectPr>
      </w:pPr>
    </w:p>
    <w:p w14:paraId="62E7952F" w14:textId="77777777" w:rsidR="00141B97" w:rsidRDefault="00911D63">
      <w:pPr>
        <w:pStyle w:val="BodyText"/>
        <w:spacing w:before="42" w:line="249" w:lineRule="auto"/>
        <w:ind w:left="114" w:right="947" w:hanging="1"/>
        <w:jc w:val="both"/>
      </w:pPr>
      <w:r>
        <w:lastRenderedPageBreak/>
        <w:t>The PS4 UV Treatment project budget consisted of $1.54m ($1/1/23) for a power upgrade at the Mildura 7th Street WTP and $11.0m ($1/1/23) for the installation of secondary disinfection barriers (UV) at nine water treatment</w:t>
      </w:r>
      <w:r>
        <w:rPr>
          <w:spacing w:val="16"/>
        </w:rPr>
        <w:t xml:space="preserve"> </w:t>
      </w:r>
      <w:r>
        <w:t>plants.</w:t>
      </w:r>
      <w:r>
        <w:rPr>
          <w:spacing w:val="16"/>
        </w:rPr>
        <w:t xml:space="preserve"> </w:t>
      </w:r>
      <w:r>
        <w:t>The</w:t>
      </w:r>
      <w:r>
        <w:rPr>
          <w:spacing w:val="17"/>
        </w:rPr>
        <w:t xml:space="preserve"> </w:t>
      </w:r>
      <w:r>
        <w:t>UV</w:t>
      </w:r>
      <w:r>
        <w:rPr>
          <w:spacing w:val="17"/>
        </w:rPr>
        <w:t xml:space="preserve"> </w:t>
      </w:r>
      <w:r>
        <w:t>Treatment</w:t>
      </w:r>
      <w:r>
        <w:rPr>
          <w:spacing w:val="16"/>
        </w:rPr>
        <w:t xml:space="preserve"> </w:t>
      </w:r>
      <w:r>
        <w:t>project</w:t>
      </w:r>
      <w:r>
        <w:rPr>
          <w:spacing w:val="16"/>
        </w:rPr>
        <w:t xml:space="preserve"> </w:t>
      </w:r>
      <w:r>
        <w:t>is</w:t>
      </w:r>
      <w:r>
        <w:rPr>
          <w:spacing w:val="18"/>
        </w:rPr>
        <w:t xml:space="preserve"> </w:t>
      </w:r>
      <w:r>
        <w:t>estimated</w:t>
      </w:r>
      <w:r>
        <w:rPr>
          <w:spacing w:val="17"/>
        </w:rPr>
        <w:t xml:space="preserve"> </w:t>
      </w:r>
      <w:r>
        <w:t>to</w:t>
      </w:r>
      <w:r>
        <w:rPr>
          <w:spacing w:val="17"/>
        </w:rPr>
        <w:t xml:space="preserve"> </w:t>
      </w:r>
      <w:r>
        <w:t>cost</w:t>
      </w:r>
      <w:r>
        <w:rPr>
          <w:spacing w:val="18"/>
        </w:rPr>
        <w:t xml:space="preserve"> </w:t>
      </w:r>
      <w:r>
        <w:t>some</w:t>
      </w:r>
      <w:r>
        <w:rPr>
          <w:spacing w:val="15"/>
        </w:rPr>
        <w:t xml:space="preserve"> </w:t>
      </w:r>
      <w:r>
        <w:t>$20.02m</w:t>
      </w:r>
      <w:r>
        <w:rPr>
          <w:spacing w:val="16"/>
        </w:rPr>
        <w:t xml:space="preserve"> </w:t>
      </w:r>
      <w:r>
        <w:t>compared</w:t>
      </w:r>
      <w:r>
        <w:rPr>
          <w:spacing w:val="19"/>
        </w:rPr>
        <w:t xml:space="preserve"> </w:t>
      </w:r>
      <w:r>
        <w:t>to</w:t>
      </w:r>
      <w:r>
        <w:rPr>
          <w:spacing w:val="16"/>
        </w:rPr>
        <w:t xml:space="preserve"> </w:t>
      </w:r>
      <w:r>
        <w:t>the</w:t>
      </w:r>
      <w:r>
        <w:rPr>
          <w:spacing w:val="17"/>
        </w:rPr>
        <w:t xml:space="preserve"> </w:t>
      </w:r>
      <w:r>
        <w:t>budget</w:t>
      </w:r>
      <w:r>
        <w:rPr>
          <w:spacing w:val="15"/>
        </w:rPr>
        <w:t xml:space="preserve"> </w:t>
      </w:r>
      <w:r>
        <w:t>of</w:t>
      </w:r>
    </w:p>
    <w:p w14:paraId="695320A9" w14:textId="77777777" w:rsidR="00141B97" w:rsidRDefault="00911D63">
      <w:pPr>
        <w:pStyle w:val="BodyText"/>
        <w:spacing w:before="2" w:line="249" w:lineRule="auto"/>
        <w:ind w:left="114" w:right="948"/>
        <w:jc w:val="both"/>
      </w:pPr>
      <w:r>
        <w:t>$12.54m due to significant scope changes and staging of the program, increases in material prices and market cost</w:t>
      </w:r>
      <w:r>
        <w:rPr>
          <w:spacing w:val="-8"/>
        </w:rPr>
        <w:t xml:space="preserve"> </w:t>
      </w:r>
      <w:r>
        <w:t>escalation,</w:t>
      </w:r>
      <w:r>
        <w:rPr>
          <w:spacing w:val="-9"/>
        </w:rPr>
        <w:t xml:space="preserve"> </w:t>
      </w:r>
      <w:r>
        <w:t>limited</w:t>
      </w:r>
      <w:r>
        <w:rPr>
          <w:spacing w:val="-8"/>
        </w:rPr>
        <w:t xml:space="preserve"> </w:t>
      </w:r>
      <w:r>
        <w:t>pool</w:t>
      </w:r>
      <w:r>
        <w:rPr>
          <w:spacing w:val="-9"/>
        </w:rPr>
        <w:t xml:space="preserve"> </w:t>
      </w:r>
      <w:r>
        <w:t>of</w:t>
      </w:r>
      <w:r>
        <w:rPr>
          <w:spacing w:val="-9"/>
        </w:rPr>
        <w:t xml:space="preserve"> </w:t>
      </w:r>
      <w:r>
        <w:t>contractors</w:t>
      </w:r>
      <w:r>
        <w:rPr>
          <w:spacing w:val="-8"/>
        </w:rPr>
        <w:t xml:space="preserve"> </w:t>
      </w:r>
      <w:r>
        <w:t>and</w:t>
      </w:r>
      <w:r>
        <w:rPr>
          <w:spacing w:val="-8"/>
        </w:rPr>
        <w:t xml:space="preserve"> </w:t>
      </w:r>
      <w:r>
        <w:t>contractor</w:t>
      </w:r>
      <w:r>
        <w:rPr>
          <w:spacing w:val="-8"/>
        </w:rPr>
        <w:t xml:space="preserve"> </w:t>
      </w:r>
      <w:r>
        <w:t>availability,</w:t>
      </w:r>
      <w:r>
        <w:rPr>
          <w:spacing w:val="-10"/>
        </w:rPr>
        <w:t xml:space="preserve"> </w:t>
      </w:r>
      <w:r>
        <w:t>impacts</w:t>
      </w:r>
      <w:r>
        <w:rPr>
          <w:spacing w:val="-8"/>
        </w:rPr>
        <w:t xml:space="preserve"> </w:t>
      </w:r>
      <w:r>
        <w:t>of</w:t>
      </w:r>
      <w:r>
        <w:rPr>
          <w:spacing w:val="-7"/>
        </w:rPr>
        <w:t xml:space="preserve"> </w:t>
      </w:r>
      <w:r>
        <w:t>the</w:t>
      </w:r>
      <w:r>
        <w:rPr>
          <w:spacing w:val="-8"/>
        </w:rPr>
        <w:t xml:space="preserve"> </w:t>
      </w:r>
      <w:r>
        <w:t>pandemic,</w:t>
      </w:r>
      <w:r>
        <w:rPr>
          <w:spacing w:val="-9"/>
        </w:rPr>
        <w:t xml:space="preserve"> </w:t>
      </w:r>
      <w:r>
        <w:t>and</w:t>
      </w:r>
      <w:r>
        <w:rPr>
          <w:spacing w:val="-8"/>
        </w:rPr>
        <w:t xml:space="preserve"> </w:t>
      </w:r>
      <w:r>
        <w:t>redirection of materials and contractors to flood‐damaged regions. $3.77m has been included in the first year of PS5 to capture this expenditure in the Regulatory Asset Base (RAB) for 2023/24.</w:t>
      </w:r>
    </w:p>
    <w:p w14:paraId="3518E583" w14:textId="77777777" w:rsidR="00141B97" w:rsidRDefault="00911D63">
      <w:pPr>
        <w:pStyle w:val="BodyText"/>
        <w:spacing w:before="124" w:line="249" w:lineRule="auto"/>
        <w:ind w:left="114" w:right="947" w:hanging="1"/>
        <w:jc w:val="both"/>
      </w:pPr>
      <w:r>
        <w:t>One growth project (Mildura Pipelines) was deferred due to slower growth in one area of Merbein to ensure that</w:t>
      </w:r>
      <w:r>
        <w:rPr>
          <w:spacing w:val="-13"/>
        </w:rPr>
        <w:t xml:space="preserve"> </w:t>
      </w:r>
      <w:r>
        <w:t>expenditure</w:t>
      </w:r>
      <w:r>
        <w:rPr>
          <w:spacing w:val="-12"/>
        </w:rPr>
        <w:t xml:space="preserve"> </w:t>
      </w:r>
      <w:r>
        <w:t>was</w:t>
      </w:r>
      <w:r>
        <w:rPr>
          <w:spacing w:val="-13"/>
        </w:rPr>
        <w:t xml:space="preserve"> </w:t>
      </w:r>
      <w:r>
        <w:t>not</w:t>
      </w:r>
      <w:r>
        <w:rPr>
          <w:spacing w:val="-12"/>
        </w:rPr>
        <w:t xml:space="preserve"> </w:t>
      </w:r>
      <w:r>
        <w:t>incurred</w:t>
      </w:r>
      <w:r>
        <w:rPr>
          <w:spacing w:val="-13"/>
        </w:rPr>
        <w:t xml:space="preserve"> </w:t>
      </w:r>
      <w:r>
        <w:t>earlier</w:t>
      </w:r>
      <w:r>
        <w:rPr>
          <w:spacing w:val="-12"/>
        </w:rPr>
        <w:t xml:space="preserve"> </w:t>
      </w:r>
      <w:r>
        <w:t>than</w:t>
      </w:r>
      <w:r>
        <w:rPr>
          <w:spacing w:val="-13"/>
        </w:rPr>
        <w:t xml:space="preserve"> </w:t>
      </w:r>
      <w:r>
        <w:t>necessary.</w:t>
      </w:r>
      <w:r>
        <w:rPr>
          <w:spacing w:val="-12"/>
        </w:rPr>
        <w:t xml:space="preserve"> </w:t>
      </w:r>
      <w:r>
        <w:t>Purchases</w:t>
      </w:r>
      <w:r>
        <w:rPr>
          <w:spacing w:val="-12"/>
        </w:rPr>
        <w:t xml:space="preserve"> </w:t>
      </w:r>
      <w:r>
        <w:t>of</w:t>
      </w:r>
      <w:r>
        <w:rPr>
          <w:spacing w:val="-13"/>
        </w:rPr>
        <w:t xml:space="preserve"> </w:t>
      </w:r>
      <w:r>
        <w:t>Bulk</w:t>
      </w:r>
      <w:r>
        <w:rPr>
          <w:spacing w:val="-12"/>
        </w:rPr>
        <w:t xml:space="preserve"> </w:t>
      </w:r>
      <w:r>
        <w:t>Water</w:t>
      </w:r>
      <w:r>
        <w:rPr>
          <w:spacing w:val="-13"/>
        </w:rPr>
        <w:t xml:space="preserve"> </w:t>
      </w:r>
      <w:r>
        <w:t>Entitlements</w:t>
      </w:r>
      <w:r>
        <w:rPr>
          <w:spacing w:val="-12"/>
        </w:rPr>
        <w:t xml:space="preserve"> </w:t>
      </w:r>
      <w:r>
        <w:t>were</w:t>
      </w:r>
      <w:r>
        <w:rPr>
          <w:spacing w:val="-13"/>
        </w:rPr>
        <w:t xml:space="preserve"> </w:t>
      </w:r>
      <w:r>
        <w:t>judiciously timed for advantageous market conditions to achieve the required additional entitlement within budget.</w:t>
      </w:r>
    </w:p>
    <w:p w14:paraId="17299E92" w14:textId="77777777" w:rsidR="00141B97" w:rsidRDefault="00141B97">
      <w:pPr>
        <w:spacing w:line="249" w:lineRule="auto"/>
        <w:jc w:val="both"/>
        <w:sectPr w:rsidR="00141B97">
          <w:pgSz w:w="11910" w:h="16840"/>
          <w:pgMar w:top="820" w:right="40" w:bottom="760" w:left="1020" w:header="0" w:footer="580" w:gutter="0"/>
          <w:cols w:space="720"/>
        </w:sectPr>
      </w:pPr>
    </w:p>
    <w:p w14:paraId="32B5018F" w14:textId="77777777" w:rsidR="00141B97" w:rsidRDefault="00911D63">
      <w:pPr>
        <w:pStyle w:val="Heading1"/>
        <w:numPr>
          <w:ilvl w:val="0"/>
          <w:numId w:val="81"/>
        </w:numPr>
        <w:tabs>
          <w:tab w:val="left" w:pos="1112"/>
          <w:tab w:val="left" w:pos="1113"/>
        </w:tabs>
      </w:pPr>
      <w:r>
        <w:rPr>
          <w:color w:val="006CA3"/>
        </w:rPr>
        <w:lastRenderedPageBreak/>
        <w:t>Customer</w:t>
      </w:r>
      <w:r>
        <w:rPr>
          <w:color w:val="006CA3"/>
          <w:spacing w:val="-13"/>
        </w:rPr>
        <w:t xml:space="preserve"> </w:t>
      </w:r>
      <w:r>
        <w:rPr>
          <w:color w:val="006CA3"/>
          <w:spacing w:val="-2"/>
        </w:rPr>
        <w:t>Outcomes</w:t>
      </w:r>
    </w:p>
    <w:p w14:paraId="65099F77" w14:textId="77777777" w:rsidR="00141B97" w:rsidRDefault="00911D63">
      <w:pPr>
        <w:pStyle w:val="Heading2"/>
        <w:numPr>
          <w:ilvl w:val="1"/>
          <w:numId w:val="81"/>
        </w:numPr>
        <w:tabs>
          <w:tab w:val="left" w:pos="1112"/>
          <w:tab w:val="left" w:pos="1113"/>
        </w:tabs>
        <w:spacing w:before="379"/>
      </w:pPr>
      <w:r>
        <w:rPr>
          <w:color w:val="009BAC"/>
        </w:rPr>
        <w:t>Outcomes</w:t>
      </w:r>
      <w:r>
        <w:rPr>
          <w:color w:val="009BAC"/>
          <w:spacing w:val="-8"/>
        </w:rPr>
        <w:t xml:space="preserve"> </w:t>
      </w:r>
      <w:r>
        <w:rPr>
          <w:color w:val="009BAC"/>
        </w:rPr>
        <w:t>Agreed</w:t>
      </w:r>
      <w:r>
        <w:rPr>
          <w:color w:val="009BAC"/>
          <w:spacing w:val="-8"/>
        </w:rPr>
        <w:t xml:space="preserve"> </w:t>
      </w:r>
      <w:r>
        <w:rPr>
          <w:color w:val="009BAC"/>
        </w:rPr>
        <w:t>with</w:t>
      </w:r>
      <w:r>
        <w:rPr>
          <w:color w:val="009BAC"/>
          <w:spacing w:val="-9"/>
        </w:rPr>
        <w:t xml:space="preserve"> </w:t>
      </w:r>
      <w:r>
        <w:rPr>
          <w:color w:val="009BAC"/>
          <w:spacing w:val="-2"/>
        </w:rPr>
        <w:t>Customers</w:t>
      </w:r>
    </w:p>
    <w:p w14:paraId="3D37943D" w14:textId="77777777" w:rsidR="00141B97" w:rsidRDefault="00911D63">
      <w:pPr>
        <w:pStyle w:val="BodyText"/>
        <w:spacing w:before="132" w:line="252" w:lineRule="auto"/>
        <w:ind w:left="114" w:right="948" w:hanging="1"/>
        <w:jc w:val="both"/>
      </w:pPr>
      <w:r>
        <w:t>Following extensive engagement, debate, and revision with its customers, LMW adopted the following five customer outcomes along with the associated performance measures and targets:</w:t>
      </w:r>
    </w:p>
    <w:p w14:paraId="183EB33E" w14:textId="77777777" w:rsidR="00141B97" w:rsidRDefault="00141B97">
      <w:pPr>
        <w:pStyle w:val="BodyText"/>
        <w:spacing w:before="7"/>
        <w:rPr>
          <w:sz w:val="16"/>
        </w:rPr>
      </w:pPr>
    </w:p>
    <w:p w14:paraId="386F0526" w14:textId="77777777" w:rsidR="00141B97" w:rsidRDefault="00911D63">
      <w:pPr>
        <w:ind w:left="543"/>
        <w:rPr>
          <w:sz w:val="20"/>
        </w:rPr>
      </w:pPr>
      <w:r>
        <w:rPr>
          <w:sz w:val="20"/>
        </w:rPr>
        <w:t>Customer</w:t>
      </w:r>
      <w:r>
        <w:rPr>
          <w:spacing w:val="-8"/>
          <w:sz w:val="20"/>
        </w:rPr>
        <w:t xml:space="preserve"> </w:t>
      </w:r>
      <w:r>
        <w:rPr>
          <w:spacing w:val="-2"/>
          <w:sz w:val="20"/>
        </w:rPr>
        <w:t>Outcomes</w:t>
      </w:r>
    </w:p>
    <w:p w14:paraId="1625626B" w14:textId="77777777" w:rsidR="00141B97" w:rsidRDefault="00911D63">
      <w:pPr>
        <w:spacing w:before="126" w:line="304" w:lineRule="auto"/>
        <w:ind w:left="543" w:right="5003"/>
        <w:rPr>
          <w:sz w:val="20"/>
        </w:rPr>
      </w:pPr>
      <w:r>
        <w:rPr>
          <w:sz w:val="20"/>
        </w:rPr>
        <w:t>Outcome 1: Services provide customers value for money. Outcome</w:t>
      </w:r>
      <w:r>
        <w:rPr>
          <w:spacing w:val="-3"/>
          <w:sz w:val="20"/>
        </w:rPr>
        <w:t xml:space="preserve"> </w:t>
      </w:r>
      <w:r>
        <w:rPr>
          <w:sz w:val="20"/>
        </w:rPr>
        <w:t>2:</w:t>
      </w:r>
      <w:r>
        <w:rPr>
          <w:spacing w:val="-4"/>
          <w:sz w:val="20"/>
        </w:rPr>
        <w:t xml:space="preserve"> </w:t>
      </w:r>
      <w:r>
        <w:rPr>
          <w:sz w:val="20"/>
        </w:rPr>
        <w:t>Provide</w:t>
      </w:r>
      <w:r>
        <w:rPr>
          <w:spacing w:val="-4"/>
          <w:sz w:val="20"/>
        </w:rPr>
        <w:t xml:space="preserve"> </w:t>
      </w:r>
      <w:r>
        <w:rPr>
          <w:sz w:val="20"/>
        </w:rPr>
        <w:t>customers</w:t>
      </w:r>
      <w:r>
        <w:rPr>
          <w:spacing w:val="-5"/>
          <w:sz w:val="20"/>
        </w:rPr>
        <w:t xml:space="preserve"> </w:t>
      </w:r>
      <w:r>
        <w:rPr>
          <w:sz w:val="20"/>
        </w:rPr>
        <w:t>reliable</w:t>
      </w:r>
      <w:r>
        <w:rPr>
          <w:spacing w:val="-5"/>
          <w:sz w:val="20"/>
        </w:rPr>
        <w:t xml:space="preserve"> </w:t>
      </w:r>
      <w:r>
        <w:rPr>
          <w:sz w:val="20"/>
        </w:rPr>
        <w:t>and</w:t>
      </w:r>
      <w:r>
        <w:rPr>
          <w:spacing w:val="-5"/>
          <w:sz w:val="20"/>
        </w:rPr>
        <w:t xml:space="preserve"> </w:t>
      </w:r>
      <w:r>
        <w:rPr>
          <w:sz w:val="20"/>
        </w:rPr>
        <w:t>safe</w:t>
      </w:r>
      <w:r>
        <w:rPr>
          <w:spacing w:val="-5"/>
          <w:sz w:val="20"/>
        </w:rPr>
        <w:t xml:space="preserve"> </w:t>
      </w:r>
      <w:r>
        <w:rPr>
          <w:sz w:val="20"/>
        </w:rPr>
        <w:t>drinking</w:t>
      </w:r>
      <w:r>
        <w:rPr>
          <w:spacing w:val="-6"/>
          <w:sz w:val="20"/>
        </w:rPr>
        <w:t xml:space="preserve"> </w:t>
      </w:r>
      <w:r>
        <w:rPr>
          <w:sz w:val="20"/>
        </w:rPr>
        <w:t>water. Outcome 3: Provide customers reliable sewerage services.</w:t>
      </w:r>
    </w:p>
    <w:p w14:paraId="333D4DA8" w14:textId="77777777" w:rsidR="00141B97" w:rsidRDefault="00911D63">
      <w:pPr>
        <w:spacing w:line="304" w:lineRule="auto"/>
        <w:ind w:left="543" w:right="1505"/>
        <w:rPr>
          <w:sz w:val="20"/>
        </w:rPr>
      </w:pPr>
      <w:r>
        <w:rPr>
          <w:sz w:val="20"/>
        </w:rPr>
        <w:t>Outcome 4: Provide customer service avenues that are responsive to resolve requests and enquiries. Outcome</w:t>
      </w:r>
      <w:r>
        <w:rPr>
          <w:spacing w:val="-1"/>
          <w:sz w:val="20"/>
        </w:rPr>
        <w:t xml:space="preserve"> </w:t>
      </w:r>
      <w:r>
        <w:rPr>
          <w:sz w:val="20"/>
        </w:rPr>
        <w:t>5:</w:t>
      </w:r>
      <w:r>
        <w:rPr>
          <w:spacing w:val="-3"/>
          <w:sz w:val="20"/>
        </w:rPr>
        <w:t xml:space="preserve"> </w:t>
      </w:r>
      <w:r>
        <w:rPr>
          <w:sz w:val="20"/>
        </w:rPr>
        <w:t>Service</w:t>
      </w:r>
      <w:r>
        <w:rPr>
          <w:spacing w:val="-3"/>
          <w:sz w:val="20"/>
        </w:rPr>
        <w:t xml:space="preserve"> </w:t>
      </w:r>
      <w:r>
        <w:rPr>
          <w:sz w:val="20"/>
        </w:rPr>
        <w:t>our</w:t>
      </w:r>
      <w:r>
        <w:rPr>
          <w:spacing w:val="-1"/>
          <w:sz w:val="20"/>
        </w:rPr>
        <w:t xml:space="preserve"> </w:t>
      </w:r>
      <w:r>
        <w:rPr>
          <w:sz w:val="20"/>
        </w:rPr>
        <w:t>communities</w:t>
      </w:r>
      <w:r>
        <w:rPr>
          <w:spacing w:val="-1"/>
          <w:sz w:val="20"/>
        </w:rPr>
        <w:t xml:space="preserve"> </w:t>
      </w:r>
      <w:r>
        <w:rPr>
          <w:sz w:val="20"/>
        </w:rPr>
        <w:t>in</w:t>
      </w:r>
      <w:r>
        <w:rPr>
          <w:spacing w:val="-3"/>
          <w:sz w:val="20"/>
        </w:rPr>
        <w:t xml:space="preserve"> </w:t>
      </w:r>
      <w:r>
        <w:rPr>
          <w:sz w:val="20"/>
        </w:rPr>
        <w:t>a</w:t>
      </w:r>
      <w:r>
        <w:rPr>
          <w:spacing w:val="-3"/>
          <w:sz w:val="20"/>
        </w:rPr>
        <w:t xml:space="preserve"> </w:t>
      </w:r>
      <w:r>
        <w:rPr>
          <w:sz w:val="20"/>
        </w:rPr>
        <w:t>socially</w:t>
      </w:r>
      <w:r>
        <w:rPr>
          <w:spacing w:val="-3"/>
          <w:sz w:val="20"/>
        </w:rPr>
        <w:t xml:space="preserve"> </w:t>
      </w:r>
      <w:r>
        <w:rPr>
          <w:sz w:val="20"/>
        </w:rPr>
        <w:t>responsible</w:t>
      </w:r>
      <w:r>
        <w:rPr>
          <w:spacing w:val="-3"/>
          <w:sz w:val="20"/>
        </w:rPr>
        <w:t xml:space="preserve"> </w:t>
      </w:r>
      <w:r>
        <w:rPr>
          <w:sz w:val="20"/>
        </w:rPr>
        <w:t>and</w:t>
      </w:r>
      <w:r>
        <w:rPr>
          <w:spacing w:val="-3"/>
          <w:sz w:val="20"/>
        </w:rPr>
        <w:t xml:space="preserve"> </w:t>
      </w:r>
      <w:r>
        <w:rPr>
          <w:sz w:val="20"/>
        </w:rPr>
        <w:t>environmentally</w:t>
      </w:r>
      <w:r>
        <w:rPr>
          <w:spacing w:val="-5"/>
          <w:sz w:val="20"/>
        </w:rPr>
        <w:t xml:space="preserve"> </w:t>
      </w:r>
      <w:r>
        <w:rPr>
          <w:sz w:val="20"/>
        </w:rPr>
        <w:t>sustainable</w:t>
      </w:r>
      <w:r>
        <w:rPr>
          <w:spacing w:val="-3"/>
          <w:sz w:val="20"/>
        </w:rPr>
        <w:t xml:space="preserve"> </w:t>
      </w:r>
      <w:r>
        <w:rPr>
          <w:sz w:val="20"/>
        </w:rPr>
        <w:t>manner.</w:t>
      </w:r>
    </w:p>
    <w:p w14:paraId="51D8F501" w14:textId="77777777" w:rsidR="00141B97" w:rsidRDefault="00141B97">
      <w:pPr>
        <w:pStyle w:val="BodyText"/>
        <w:rPr>
          <w:sz w:val="28"/>
        </w:rPr>
      </w:pPr>
    </w:p>
    <w:p w14:paraId="0B3C1270" w14:textId="77777777" w:rsidR="00141B97" w:rsidRDefault="00911D63">
      <w:pPr>
        <w:pStyle w:val="BodyText"/>
        <w:ind w:left="113" w:right="948"/>
        <w:jc w:val="both"/>
      </w:pPr>
      <w:r>
        <w:t>Throughout the engagement process, LMW gained agreement from customers to the major change projects, key operational activities, and inputs in terms of cost movements and resources required to achieve these customer</w:t>
      </w:r>
      <w:r>
        <w:rPr>
          <w:spacing w:val="-2"/>
        </w:rPr>
        <w:t xml:space="preserve"> </w:t>
      </w:r>
      <w:r>
        <w:t>outcomes.</w:t>
      </w:r>
      <w:r>
        <w:rPr>
          <w:spacing w:val="-2"/>
        </w:rPr>
        <w:t xml:space="preserve"> </w:t>
      </w:r>
      <w:r>
        <w:t>Each</w:t>
      </w:r>
      <w:r>
        <w:rPr>
          <w:spacing w:val="-2"/>
        </w:rPr>
        <w:t xml:space="preserve"> </w:t>
      </w:r>
      <w:r>
        <w:t>customer</w:t>
      </w:r>
      <w:r>
        <w:rPr>
          <w:spacing w:val="-2"/>
        </w:rPr>
        <w:t xml:space="preserve"> </w:t>
      </w:r>
      <w:r>
        <w:t>outcome</w:t>
      </w:r>
      <w:r>
        <w:rPr>
          <w:spacing w:val="-3"/>
        </w:rPr>
        <w:t xml:space="preserve"> </w:t>
      </w:r>
      <w:r>
        <w:t>and</w:t>
      </w:r>
      <w:r>
        <w:rPr>
          <w:spacing w:val="-3"/>
        </w:rPr>
        <w:t xml:space="preserve"> </w:t>
      </w:r>
      <w:r>
        <w:t>the</w:t>
      </w:r>
      <w:r>
        <w:rPr>
          <w:spacing w:val="-3"/>
        </w:rPr>
        <w:t xml:space="preserve"> </w:t>
      </w:r>
      <w:r>
        <w:t>associated</w:t>
      </w:r>
      <w:r>
        <w:rPr>
          <w:spacing w:val="-3"/>
        </w:rPr>
        <w:t xml:space="preserve"> </w:t>
      </w:r>
      <w:r>
        <w:t>measures</w:t>
      </w:r>
      <w:r>
        <w:rPr>
          <w:spacing w:val="-3"/>
        </w:rPr>
        <w:t xml:space="preserve"> </w:t>
      </w:r>
      <w:r>
        <w:t>and</w:t>
      </w:r>
      <w:r>
        <w:rPr>
          <w:spacing w:val="-3"/>
        </w:rPr>
        <w:t xml:space="preserve"> </w:t>
      </w:r>
      <w:r>
        <w:t>activities</w:t>
      </w:r>
      <w:r>
        <w:rPr>
          <w:spacing w:val="-3"/>
        </w:rPr>
        <w:t xml:space="preserve"> </w:t>
      </w:r>
      <w:r>
        <w:t>are</w:t>
      </w:r>
      <w:r>
        <w:rPr>
          <w:spacing w:val="-3"/>
        </w:rPr>
        <w:t xml:space="preserve"> </w:t>
      </w:r>
      <w:r>
        <w:t>detailed</w:t>
      </w:r>
      <w:r>
        <w:rPr>
          <w:spacing w:val="-3"/>
        </w:rPr>
        <w:t xml:space="preserve"> </w:t>
      </w:r>
      <w:r>
        <w:t>in</w:t>
      </w:r>
      <w:r>
        <w:rPr>
          <w:spacing w:val="-3"/>
        </w:rPr>
        <w:t xml:space="preserve"> </w:t>
      </w:r>
      <w:r>
        <w:t>Tables B9 to B13 which are easily understood and were agreed with customers through the detailed engagement process outlined in Part A.</w:t>
      </w:r>
    </w:p>
    <w:p w14:paraId="1A9C1BD2" w14:textId="77777777" w:rsidR="00141B97" w:rsidRDefault="00141B97">
      <w:pPr>
        <w:pStyle w:val="BodyText"/>
        <w:spacing w:before="2"/>
        <w:rPr>
          <w:sz w:val="30"/>
        </w:rPr>
      </w:pPr>
    </w:p>
    <w:p w14:paraId="71E4058D" w14:textId="77777777" w:rsidR="00141B97" w:rsidRDefault="00911D63">
      <w:pPr>
        <w:pStyle w:val="BodyText"/>
        <w:spacing w:before="1"/>
        <w:ind w:left="114"/>
        <w:jc w:val="both"/>
      </w:pPr>
      <w:r>
        <w:t>Outcome</w:t>
      </w:r>
      <w:r>
        <w:rPr>
          <w:spacing w:val="-7"/>
        </w:rPr>
        <w:t xml:space="preserve"> </w:t>
      </w:r>
      <w:r>
        <w:t>1:</w:t>
      </w:r>
      <w:r>
        <w:rPr>
          <w:spacing w:val="-7"/>
        </w:rPr>
        <w:t xml:space="preserve"> </w:t>
      </w:r>
      <w:r>
        <w:t>Services</w:t>
      </w:r>
      <w:r>
        <w:rPr>
          <w:spacing w:val="-6"/>
        </w:rPr>
        <w:t xml:space="preserve"> </w:t>
      </w:r>
      <w:r>
        <w:t>provide</w:t>
      </w:r>
      <w:r>
        <w:rPr>
          <w:spacing w:val="-7"/>
        </w:rPr>
        <w:t xml:space="preserve"> </w:t>
      </w:r>
      <w:r>
        <w:t>customers</w:t>
      </w:r>
      <w:r>
        <w:rPr>
          <w:spacing w:val="-7"/>
        </w:rPr>
        <w:t xml:space="preserve"> </w:t>
      </w:r>
      <w:r>
        <w:t>value</w:t>
      </w:r>
      <w:r>
        <w:rPr>
          <w:spacing w:val="-7"/>
        </w:rPr>
        <w:t xml:space="preserve"> </w:t>
      </w:r>
      <w:r>
        <w:t>for</w:t>
      </w:r>
      <w:r>
        <w:rPr>
          <w:spacing w:val="-8"/>
        </w:rPr>
        <w:t xml:space="preserve"> </w:t>
      </w:r>
      <w:r>
        <w:rPr>
          <w:spacing w:val="-4"/>
        </w:rPr>
        <w:t>money</w:t>
      </w:r>
    </w:p>
    <w:p w14:paraId="53B5F040" w14:textId="77777777" w:rsidR="00141B97" w:rsidRDefault="00141B97">
      <w:pPr>
        <w:pStyle w:val="BodyText"/>
        <w:spacing w:before="8"/>
        <w:rPr>
          <w:sz w:val="9"/>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314"/>
        <w:gridCol w:w="7481"/>
      </w:tblGrid>
      <w:tr w:rsidR="00141B97" w14:paraId="06DEDDA2" w14:textId="77777777">
        <w:trPr>
          <w:trHeight w:val="555"/>
          <w:tblCellSpacing w:w="9" w:type="dxa"/>
        </w:trPr>
        <w:tc>
          <w:tcPr>
            <w:tcW w:w="2287" w:type="dxa"/>
            <w:tcBorders>
              <w:top w:val="nil"/>
              <w:left w:val="nil"/>
            </w:tcBorders>
            <w:shd w:val="clear" w:color="auto" w:fill="0064A4"/>
          </w:tcPr>
          <w:p w14:paraId="05CEB52C" w14:textId="77777777" w:rsidR="00141B97" w:rsidRDefault="00911D63">
            <w:pPr>
              <w:pStyle w:val="TableParagraph"/>
              <w:spacing w:before="154"/>
              <w:ind w:left="88"/>
              <w:rPr>
                <w:sz w:val="18"/>
              </w:rPr>
            </w:pPr>
            <w:r>
              <w:rPr>
                <w:color w:val="FFFFFF"/>
                <w:sz w:val="18"/>
              </w:rPr>
              <w:t>What</w:t>
            </w:r>
            <w:r>
              <w:rPr>
                <w:color w:val="FFFFFF"/>
                <w:spacing w:val="-1"/>
                <w:sz w:val="18"/>
              </w:rPr>
              <w:t xml:space="preserve"> </w:t>
            </w:r>
            <w:r>
              <w:rPr>
                <w:color w:val="FFFFFF"/>
                <w:sz w:val="18"/>
              </w:rPr>
              <w:t>customers will</w:t>
            </w:r>
            <w:r>
              <w:rPr>
                <w:color w:val="FFFFFF"/>
                <w:spacing w:val="-1"/>
                <w:sz w:val="18"/>
              </w:rPr>
              <w:t xml:space="preserve"> </w:t>
            </w:r>
            <w:r>
              <w:rPr>
                <w:color w:val="FFFFFF"/>
                <w:spacing w:val="-2"/>
                <w:sz w:val="18"/>
              </w:rPr>
              <w:t>receive</w:t>
            </w:r>
          </w:p>
        </w:tc>
        <w:tc>
          <w:tcPr>
            <w:tcW w:w="7454" w:type="dxa"/>
            <w:tcBorders>
              <w:top w:val="nil"/>
              <w:right w:val="nil"/>
            </w:tcBorders>
            <w:shd w:val="clear" w:color="auto" w:fill="0064A4"/>
          </w:tcPr>
          <w:p w14:paraId="66091E5E" w14:textId="77777777" w:rsidR="00141B97" w:rsidRDefault="00911D63">
            <w:pPr>
              <w:pStyle w:val="TableParagraph"/>
              <w:spacing w:before="154"/>
              <w:ind w:left="98"/>
              <w:rPr>
                <w:sz w:val="18"/>
              </w:rPr>
            </w:pPr>
            <w:r>
              <w:rPr>
                <w:color w:val="FFFFFF"/>
                <w:sz w:val="18"/>
              </w:rPr>
              <w:t>Outcome</w:t>
            </w:r>
            <w:r>
              <w:rPr>
                <w:color w:val="FFFFFF"/>
                <w:spacing w:val="-2"/>
                <w:sz w:val="18"/>
              </w:rPr>
              <w:t xml:space="preserve"> </w:t>
            </w:r>
            <w:r>
              <w:rPr>
                <w:color w:val="FFFFFF"/>
                <w:sz w:val="18"/>
              </w:rPr>
              <w:t>1:</w:t>
            </w:r>
            <w:r>
              <w:rPr>
                <w:color w:val="FFFFFF"/>
                <w:spacing w:val="-2"/>
                <w:sz w:val="18"/>
              </w:rPr>
              <w:t xml:space="preserve"> </w:t>
            </w:r>
            <w:r>
              <w:rPr>
                <w:color w:val="FFFFFF"/>
                <w:sz w:val="18"/>
              </w:rPr>
              <w:t>Services</w:t>
            </w:r>
            <w:r>
              <w:rPr>
                <w:color w:val="FFFFFF"/>
                <w:spacing w:val="-2"/>
                <w:sz w:val="18"/>
              </w:rPr>
              <w:t xml:space="preserve"> </w:t>
            </w:r>
            <w:r>
              <w:rPr>
                <w:color w:val="FFFFFF"/>
                <w:sz w:val="18"/>
              </w:rPr>
              <w:t>provide</w:t>
            </w:r>
            <w:r>
              <w:rPr>
                <w:color w:val="FFFFFF"/>
                <w:spacing w:val="-2"/>
                <w:sz w:val="18"/>
              </w:rPr>
              <w:t xml:space="preserve"> </w:t>
            </w:r>
            <w:r>
              <w:rPr>
                <w:color w:val="FFFFFF"/>
                <w:sz w:val="18"/>
              </w:rPr>
              <w:t>customers</w:t>
            </w:r>
            <w:r>
              <w:rPr>
                <w:color w:val="FFFFFF"/>
                <w:spacing w:val="-1"/>
                <w:sz w:val="18"/>
              </w:rPr>
              <w:t xml:space="preserve"> </w:t>
            </w:r>
            <w:r>
              <w:rPr>
                <w:color w:val="FFFFFF"/>
                <w:sz w:val="18"/>
              </w:rPr>
              <w:t>value</w:t>
            </w:r>
            <w:r>
              <w:rPr>
                <w:color w:val="FFFFFF"/>
                <w:spacing w:val="-2"/>
                <w:sz w:val="18"/>
              </w:rPr>
              <w:t xml:space="preserve"> </w:t>
            </w:r>
            <w:r>
              <w:rPr>
                <w:color w:val="FFFFFF"/>
                <w:sz w:val="18"/>
              </w:rPr>
              <w:t>for</w:t>
            </w:r>
            <w:r>
              <w:rPr>
                <w:color w:val="FFFFFF"/>
                <w:spacing w:val="-1"/>
                <w:sz w:val="18"/>
              </w:rPr>
              <w:t xml:space="preserve"> </w:t>
            </w:r>
            <w:r>
              <w:rPr>
                <w:color w:val="FFFFFF"/>
                <w:spacing w:val="-2"/>
                <w:sz w:val="18"/>
              </w:rPr>
              <w:t>money</w:t>
            </w:r>
          </w:p>
        </w:tc>
      </w:tr>
      <w:tr w:rsidR="00141B97" w14:paraId="668284AF" w14:textId="77777777">
        <w:trPr>
          <w:trHeight w:val="1307"/>
          <w:tblCellSpacing w:w="9" w:type="dxa"/>
        </w:trPr>
        <w:tc>
          <w:tcPr>
            <w:tcW w:w="2287" w:type="dxa"/>
            <w:tcBorders>
              <w:left w:val="nil"/>
            </w:tcBorders>
            <w:shd w:val="clear" w:color="auto" w:fill="CCE2ED"/>
          </w:tcPr>
          <w:p w14:paraId="2EE94F64" w14:textId="77777777" w:rsidR="00141B97" w:rsidRDefault="00911D63">
            <w:pPr>
              <w:pStyle w:val="TableParagraph"/>
              <w:spacing w:before="2" w:line="276" w:lineRule="auto"/>
              <w:ind w:left="88"/>
              <w:rPr>
                <w:sz w:val="18"/>
              </w:rPr>
            </w:pPr>
            <w:r>
              <w:rPr>
                <w:sz w:val="18"/>
              </w:rPr>
              <w:t>Performance</w:t>
            </w:r>
            <w:r>
              <w:rPr>
                <w:spacing w:val="-9"/>
                <w:sz w:val="18"/>
              </w:rPr>
              <w:t xml:space="preserve"> </w:t>
            </w:r>
            <w:r>
              <w:rPr>
                <w:sz w:val="18"/>
              </w:rPr>
              <w:t>measures</w:t>
            </w:r>
            <w:r>
              <w:rPr>
                <w:spacing w:val="-7"/>
                <w:sz w:val="18"/>
              </w:rPr>
              <w:t xml:space="preserve"> </w:t>
            </w:r>
            <w:r>
              <w:rPr>
                <w:sz w:val="18"/>
              </w:rPr>
              <w:t xml:space="preserve">and </w:t>
            </w:r>
            <w:r>
              <w:rPr>
                <w:spacing w:val="-2"/>
                <w:sz w:val="18"/>
              </w:rPr>
              <w:t>targets</w:t>
            </w:r>
          </w:p>
        </w:tc>
        <w:tc>
          <w:tcPr>
            <w:tcW w:w="7454" w:type="dxa"/>
            <w:tcBorders>
              <w:right w:val="nil"/>
            </w:tcBorders>
            <w:shd w:val="clear" w:color="auto" w:fill="CCE2ED"/>
          </w:tcPr>
          <w:p w14:paraId="47978A5E" w14:textId="77777777" w:rsidR="00141B97" w:rsidRDefault="00911D63">
            <w:pPr>
              <w:pStyle w:val="TableParagraph"/>
              <w:numPr>
                <w:ilvl w:val="0"/>
                <w:numId w:val="77"/>
              </w:numPr>
              <w:tabs>
                <w:tab w:val="left" w:pos="375"/>
                <w:tab w:val="left" w:pos="376"/>
              </w:tabs>
              <w:spacing w:before="61"/>
              <w:ind w:right="126"/>
              <w:rPr>
                <w:sz w:val="18"/>
              </w:rPr>
            </w:pPr>
            <w:r>
              <w:rPr>
                <w:sz w:val="18"/>
              </w:rPr>
              <w:t>Customer</w:t>
            </w:r>
            <w:r>
              <w:rPr>
                <w:spacing w:val="-1"/>
                <w:sz w:val="18"/>
              </w:rPr>
              <w:t xml:space="preserve"> </w:t>
            </w:r>
            <w:r>
              <w:rPr>
                <w:sz w:val="18"/>
              </w:rPr>
              <w:t>satisfaction</w:t>
            </w:r>
            <w:r>
              <w:rPr>
                <w:spacing w:val="-1"/>
                <w:sz w:val="18"/>
              </w:rPr>
              <w:t xml:space="preserve"> </w:t>
            </w:r>
            <w:r>
              <w:rPr>
                <w:sz w:val="18"/>
              </w:rPr>
              <w:t>for</w:t>
            </w:r>
            <w:r>
              <w:rPr>
                <w:spacing w:val="-1"/>
                <w:sz w:val="18"/>
              </w:rPr>
              <w:t xml:space="preserve"> </w:t>
            </w:r>
            <w:r>
              <w:rPr>
                <w:sz w:val="18"/>
              </w:rPr>
              <w:t>overall</w:t>
            </w:r>
            <w:r>
              <w:rPr>
                <w:spacing w:val="-1"/>
                <w:sz w:val="18"/>
              </w:rPr>
              <w:t xml:space="preserve"> </w:t>
            </w:r>
            <w:r>
              <w:rPr>
                <w:sz w:val="18"/>
              </w:rPr>
              <w:t>services</w:t>
            </w:r>
            <w:r>
              <w:rPr>
                <w:spacing w:val="-2"/>
                <w:sz w:val="18"/>
              </w:rPr>
              <w:t xml:space="preserve"> </w:t>
            </w:r>
            <w:r>
              <w:rPr>
                <w:sz w:val="18"/>
              </w:rPr>
              <w:t>value</w:t>
            </w:r>
            <w:r>
              <w:rPr>
                <w:spacing w:val="-2"/>
                <w:sz w:val="18"/>
              </w:rPr>
              <w:t xml:space="preserve"> </w:t>
            </w:r>
            <w:r>
              <w:rPr>
                <w:sz w:val="18"/>
              </w:rPr>
              <w:t>for</w:t>
            </w:r>
            <w:r>
              <w:rPr>
                <w:spacing w:val="-1"/>
                <w:sz w:val="18"/>
              </w:rPr>
              <w:t xml:space="preserve"> </w:t>
            </w:r>
            <w:r>
              <w:rPr>
                <w:sz w:val="18"/>
              </w:rPr>
              <w:t>money</w:t>
            </w:r>
            <w:r>
              <w:rPr>
                <w:spacing w:val="-2"/>
                <w:sz w:val="18"/>
              </w:rPr>
              <w:t xml:space="preserve"> </w:t>
            </w:r>
            <w:r>
              <w:rPr>
                <w:sz w:val="18"/>
              </w:rPr>
              <w:t>‐</w:t>
            </w:r>
            <w:r>
              <w:rPr>
                <w:spacing w:val="-1"/>
                <w:sz w:val="18"/>
              </w:rPr>
              <w:t xml:space="preserve"> </w:t>
            </w:r>
            <w:r>
              <w:rPr>
                <w:sz w:val="18"/>
              </w:rPr>
              <w:t>Target</w:t>
            </w:r>
            <w:r>
              <w:rPr>
                <w:spacing w:val="-2"/>
                <w:sz w:val="18"/>
              </w:rPr>
              <w:t xml:space="preserve"> </w:t>
            </w:r>
            <w:r>
              <w:rPr>
                <w:sz w:val="18"/>
              </w:rPr>
              <w:t>=</w:t>
            </w:r>
            <w:r>
              <w:rPr>
                <w:spacing w:val="-1"/>
                <w:sz w:val="18"/>
              </w:rPr>
              <w:t xml:space="preserve"> </w:t>
            </w:r>
            <w:r>
              <w:rPr>
                <w:sz w:val="18"/>
              </w:rPr>
              <w:t>&gt;/=</w:t>
            </w:r>
            <w:r>
              <w:rPr>
                <w:spacing w:val="-1"/>
                <w:sz w:val="18"/>
              </w:rPr>
              <w:t xml:space="preserve"> </w:t>
            </w:r>
            <w:r>
              <w:rPr>
                <w:sz w:val="18"/>
              </w:rPr>
              <w:t>prior</w:t>
            </w:r>
            <w:r>
              <w:rPr>
                <w:spacing w:val="-1"/>
                <w:sz w:val="18"/>
              </w:rPr>
              <w:t xml:space="preserve"> </w:t>
            </w:r>
            <w:r>
              <w:rPr>
                <w:sz w:val="18"/>
              </w:rPr>
              <w:t>year</w:t>
            </w:r>
            <w:r>
              <w:rPr>
                <w:spacing w:val="-2"/>
                <w:sz w:val="18"/>
              </w:rPr>
              <w:t xml:space="preserve"> </w:t>
            </w:r>
            <w:r>
              <w:rPr>
                <w:sz w:val="18"/>
              </w:rPr>
              <w:t>performance of annual survey respondents</w:t>
            </w:r>
          </w:p>
          <w:p w14:paraId="1BA4063A" w14:textId="77777777" w:rsidR="00141B97" w:rsidRDefault="00911D63">
            <w:pPr>
              <w:pStyle w:val="TableParagraph"/>
              <w:numPr>
                <w:ilvl w:val="0"/>
                <w:numId w:val="77"/>
              </w:numPr>
              <w:tabs>
                <w:tab w:val="left" w:pos="375"/>
                <w:tab w:val="left" w:pos="376"/>
              </w:tabs>
              <w:spacing w:before="59"/>
              <w:ind w:hanging="361"/>
              <w:rPr>
                <w:sz w:val="18"/>
              </w:rPr>
            </w:pPr>
            <w:r>
              <w:rPr>
                <w:sz w:val="18"/>
              </w:rPr>
              <w:t>Delivery</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approved</w:t>
            </w:r>
            <w:r>
              <w:rPr>
                <w:spacing w:val="-2"/>
                <w:sz w:val="18"/>
              </w:rPr>
              <w:t xml:space="preserve"> </w:t>
            </w:r>
            <w:r>
              <w:rPr>
                <w:sz w:val="18"/>
              </w:rPr>
              <w:t>PS5</w:t>
            </w:r>
            <w:r>
              <w:rPr>
                <w:spacing w:val="-2"/>
                <w:sz w:val="18"/>
              </w:rPr>
              <w:t xml:space="preserve"> </w:t>
            </w:r>
            <w:r>
              <w:rPr>
                <w:sz w:val="18"/>
              </w:rPr>
              <w:t>price</w:t>
            </w:r>
            <w:r>
              <w:rPr>
                <w:spacing w:val="-2"/>
                <w:sz w:val="18"/>
              </w:rPr>
              <w:t xml:space="preserve"> determination</w:t>
            </w:r>
          </w:p>
          <w:p w14:paraId="7E8F9CE2" w14:textId="77777777" w:rsidR="00141B97" w:rsidRDefault="00911D63">
            <w:pPr>
              <w:pStyle w:val="TableParagraph"/>
              <w:numPr>
                <w:ilvl w:val="0"/>
                <w:numId w:val="77"/>
              </w:numPr>
              <w:tabs>
                <w:tab w:val="left" w:pos="375"/>
                <w:tab w:val="left" w:pos="376"/>
              </w:tabs>
              <w:spacing w:before="40" w:line="220" w:lineRule="atLeast"/>
              <w:ind w:right="397"/>
              <w:rPr>
                <w:sz w:val="18"/>
              </w:rPr>
            </w:pPr>
            <w:r>
              <w:rPr>
                <w:sz w:val="18"/>
              </w:rPr>
              <w:t>Delivery</w:t>
            </w:r>
            <w:r>
              <w:rPr>
                <w:spacing w:val="-2"/>
                <w:sz w:val="18"/>
              </w:rPr>
              <w:t xml:space="preserve"> </w:t>
            </w:r>
            <w:r>
              <w:rPr>
                <w:sz w:val="18"/>
              </w:rPr>
              <w:t>of</w:t>
            </w:r>
            <w:r>
              <w:rPr>
                <w:spacing w:val="-1"/>
                <w:sz w:val="18"/>
              </w:rPr>
              <w:t xml:space="preserve"> </w:t>
            </w:r>
            <w:r>
              <w:rPr>
                <w:sz w:val="18"/>
              </w:rPr>
              <w:t>top</w:t>
            </w:r>
            <w:r>
              <w:rPr>
                <w:spacing w:val="-1"/>
                <w:sz w:val="18"/>
              </w:rPr>
              <w:t xml:space="preserve"> </w:t>
            </w:r>
            <w:r>
              <w:rPr>
                <w:sz w:val="18"/>
              </w:rPr>
              <w:t>10</w:t>
            </w:r>
            <w:r>
              <w:rPr>
                <w:spacing w:val="-1"/>
                <w:sz w:val="18"/>
              </w:rPr>
              <w:t xml:space="preserve"> </w:t>
            </w:r>
            <w:r>
              <w:rPr>
                <w:sz w:val="18"/>
              </w:rPr>
              <w:t>capital</w:t>
            </w:r>
            <w:r>
              <w:rPr>
                <w:spacing w:val="-1"/>
                <w:sz w:val="18"/>
              </w:rPr>
              <w:t xml:space="preserve"> </w:t>
            </w:r>
            <w:r>
              <w:rPr>
                <w:sz w:val="18"/>
              </w:rPr>
              <w:t>projects</w:t>
            </w:r>
            <w:r>
              <w:rPr>
                <w:spacing w:val="-2"/>
                <w:sz w:val="18"/>
              </w:rPr>
              <w:t xml:space="preserve"> </w:t>
            </w:r>
            <w:r>
              <w:rPr>
                <w:sz w:val="18"/>
              </w:rPr>
              <w:t>on</w:t>
            </w:r>
            <w:r>
              <w:rPr>
                <w:spacing w:val="-1"/>
                <w:sz w:val="18"/>
              </w:rPr>
              <w:t xml:space="preserve"> </w:t>
            </w:r>
            <w:r>
              <w:rPr>
                <w:sz w:val="18"/>
              </w:rPr>
              <w:t>time</w:t>
            </w:r>
            <w:r>
              <w:rPr>
                <w:spacing w:val="-2"/>
                <w:sz w:val="18"/>
              </w:rPr>
              <w:t xml:space="preserve"> </w:t>
            </w:r>
            <w:r>
              <w:rPr>
                <w:sz w:val="18"/>
              </w:rPr>
              <w:t>and</w:t>
            </w:r>
            <w:r>
              <w:rPr>
                <w:spacing w:val="-1"/>
                <w:sz w:val="18"/>
              </w:rPr>
              <w:t xml:space="preserve"> </w:t>
            </w:r>
            <w:r>
              <w:rPr>
                <w:sz w:val="18"/>
              </w:rPr>
              <w:t>budget</w:t>
            </w:r>
            <w:r>
              <w:rPr>
                <w:spacing w:val="-2"/>
                <w:sz w:val="18"/>
              </w:rPr>
              <w:t xml:space="preserve"> </w:t>
            </w:r>
            <w:r>
              <w:rPr>
                <w:sz w:val="18"/>
              </w:rPr>
              <w:t>(budget</w:t>
            </w:r>
            <w:r>
              <w:rPr>
                <w:spacing w:val="-2"/>
                <w:sz w:val="18"/>
              </w:rPr>
              <w:t xml:space="preserve"> </w:t>
            </w:r>
            <w:r>
              <w:rPr>
                <w:sz w:val="18"/>
              </w:rPr>
              <w:t>set</w:t>
            </w:r>
            <w:r>
              <w:rPr>
                <w:spacing w:val="-1"/>
                <w:sz w:val="18"/>
              </w:rPr>
              <w:t xml:space="preserve"> </w:t>
            </w:r>
            <w:r>
              <w:rPr>
                <w:sz w:val="18"/>
              </w:rPr>
              <w:t>by</w:t>
            </w:r>
            <w:r>
              <w:rPr>
                <w:spacing w:val="-2"/>
                <w:sz w:val="18"/>
              </w:rPr>
              <w:t xml:space="preserve"> </w:t>
            </w:r>
            <w:r>
              <w:rPr>
                <w:sz w:val="18"/>
              </w:rPr>
              <w:t>annual</w:t>
            </w:r>
            <w:r>
              <w:rPr>
                <w:spacing w:val="-2"/>
                <w:sz w:val="18"/>
              </w:rPr>
              <w:t xml:space="preserve"> </w:t>
            </w:r>
            <w:r>
              <w:rPr>
                <w:sz w:val="18"/>
              </w:rPr>
              <w:t>corporate</w:t>
            </w:r>
            <w:r>
              <w:rPr>
                <w:spacing w:val="-1"/>
                <w:sz w:val="18"/>
              </w:rPr>
              <w:t xml:space="preserve"> </w:t>
            </w:r>
            <w:r>
              <w:rPr>
                <w:sz w:val="18"/>
              </w:rPr>
              <w:t>plan, timing set by pricing submission)</w:t>
            </w:r>
          </w:p>
        </w:tc>
      </w:tr>
      <w:tr w:rsidR="00141B97" w14:paraId="01B55FEC" w14:textId="77777777">
        <w:trPr>
          <w:trHeight w:val="487"/>
          <w:tblCellSpacing w:w="9" w:type="dxa"/>
        </w:trPr>
        <w:tc>
          <w:tcPr>
            <w:tcW w:w="2287" w:type="dxa"/>
            <w:tcBorders>
              <w:left w:val="nil"/>
            </w:tcBorders>
            <w:shd w:val="clear" w:color="auto" w:fill="CCE2ED"/>
          </w:tcPr>
          <w:p w14:paraId="38290DB5" w14:textId="77777777" w:rsidR="00141B97" w:rsidRDefault="00911D63">
            <w:pPr>
              <w:pStyle w:val="TableParagraph"/>
              <w:spacing w:before="2"/>
              <w:ind w:left="88"/>
              <w:rPr>
                <w:sz w:val="18"/>
              </w:rPr>
            </w:pPr>
            <w:r>
              <w:rPr>
                <w:sz w:val="18"/>
              </w:rPr>
              <w:t>ESC</w:t>
            </w:r>
            <w:r>
              <w:rPr>
                <w:spacing w:val="-3"/>
                <w:sz w:val="18"/>
              </w:rPr>
              <w:t xml:space="preserve"> </w:t>
            </w:r>
            <w:r>
              <w:rPr>
                <w:spacing w:val="-2"/>
                <w:sz w:val="18"/>
              </w:rPr>
              <w:t>Measures</w:t>
            </w:r>
          </w:p>
        </w:tc>
        <w:tc>
          <w:tcPr>
            <w:tcW w:w="7454" w:type="dxa"/>
            <w:tcBorders>
              <w:right w:val="nil"/>
            </w:tcBorders>
            <w:shd w:val="clear" w:color="auto" w:fill="CCE2ED"/>
          </w:tcPr>
          <w:p w14:paraId="19FFB452" w14:textId="77777777" w:rsidR="00141B97" w:rsidRDefault="00911D63">
            <w:pPr>
              <w:pStyle w:val="TableParagraph"/>
              <w:numPr>
                <w:ilvl w:val="0"/>
                <w:numId w:val="76"/>
              </w:numPr>
              <w:tabs>
                <w:tab w:val="left" w:pos="375"/>
                <w:tab w:val="left" w:pos="376"/>
              </w:tabs>
              <w:spacing w:before="1"/>
              <w:ind w:hanging="361"/>
              <w:rPr>
                <w:sz w:val="18"/>
              </w:rPr>
            </w:pPr>
            <w:r>
              <w:rPr>
                <w:sz w:val="18"/>
              </w:rPr>
              <w:t>How</w:t>
            </w:r>
            <w:r>
              <w:rPr>
                <w:spacing w:val="-2"/>
                <w:sz w:val="18"/>
              </w:rPr>
              <w:t xml:space="preserve"> </w:t>
            </w:r>
            <w:r>
              <w:rPr>
                <w:sz w:val="18"/>
              </w:rPr>
              <w:t>customers</w:t>
            </w:r>
            <w:r>
              <w:rPr>
                <w:spacing w:val="-2"/>
                <w:sz w:val="18"/>
              </w:rPr>
              <w:t xml:space="preserve"> </w:t>
            </w:r>
            <w:r>
              <w:rPr>
                <w:sz w:val="18"/>
              </w:rPr>
              <w:t>rated</w:t>
            </w:r>
            <w:r>
              <w:rPr>
                <w:spacing w:val="-3"/>
                <w:sz w:val="18"/>
              </w:rPr>
              <w:t xml:space="preserve"> </w:t>
            </w:r>
            <w:r>
              <w:rPr>
                <w:sz w:val="18"/>
              </w:rPr>
              <w:t>their</w:t>
            </w:r>
            <w:r>
              <w:rPr>
                <w:spacing w:val="-1"/>
                <w:sz w:val="18"/>
              </w:rPr>
              <w:t xml:space="preserve"> </w:t>
            </w:r>
            <w:r>
              <w:rPr>
                <w:sz w:val="18"/>
              </w:rPr>
              <w:t>business</w:t>
            </w:r>
            <w:r>
              <w:rPr>
                <w:spacing w:val="-3"/>
                <w:sz w:val="18"/>
              </w:rPr>
              <w:t xml:space="preserve"> </w:t>
            </w:r>
            <w:r>
              <w:rPr>
                <w:sz w:val="18"/>
              </w:rPr>
              <w:t>for</w:t>
            </w:r>
            <w:r>
              <w:rPr>
                <w:spacing w:val="-1"/>
                <w:sz w:val="18"/>
              </w:rPr>
              <w:t xml:space="preserve"> </w:t>
            </w:r>
            <w:r>
              <w:rPr>
                <w:sz w:val="18"/>
              </w:rPr>
              <w:t>value</w:t>
            </w:r>
            <w:r>
              <w:rPr>
                <w:spacing w:val="-3"/>
                <w:sz w:val="18"/>
              </w:rPr>
              <w:t xml:space="preserve"> </w:t>
            </w:r>
            <w:r>
              <w:rPr>
                <w:sz w:val="18"/>
              </w:rPr>
              <w:t>for</w:t>
            </w:r>
            <w:r>
              <w:rPr>
                <w:spacing w:val="-2"/>
                <w:sz w:val="18"/>
              </w:rPr>
              <w:t xml:space="preserve"> </w:t>
            </w:r>
            <w:r>
              <w:rPr>
                <w:sz w:val="18"/>
              </w:rPr>
              <w:t>money</w:t>
            </w:r>
            <w:r>
              <w:rPr>
                <w:spacing w:val="-2"/>
                <w:sz w:val="18"/>
              </w:rPr>
              <w:t xml:space="preserve"> </w:t>
            </w:r>
            <w:r>
              <w:rPr>
                <w:sz w:val="18"/>
              </w:rPr>
              <w:t>(ESC</w:t>
            </w:r>
            <w:r>
              <w:rPr>
                <w:spacing w:val="-3"/>
                <w:sz w:val="18"/>
              </w:rPr>
              <w:t xml:space="preserve"> </w:t>
            </w:r>
            <w:r>
              <w:rPr>
                <w:sz w:val="18"/>
              </w:rPr>
              <w:t>Figure</w:t>
            </w:r>
            <w:r>
              <w:rPr>
                <w:spacing w:val="-2"/>
                <w:sz w:val="18"/>
              </w:rPr>
              <w:t xml:space="preserve"> </w:t>
            </w:r>
            <w:r>
              <w:rPr>
                <w:sz w:val="18"/>
              </w:rPr>
              <w:t>2.2</w:t>
            </w:r>
            <w:r>
              <w:rPr>
                <w:spacing w:val="-2"/>
                <w:sz w:val="18"/>
              </w:rPr>
              <w:t xml:space="preserve"> </w:t>
            </w:r>
            <w:r>
              <w:rPr>
                <w:sz w:val="18"/>
              </w:rPr>
              <w:t>2021</w:t>
            </w:r>
            <w:r>
              <w:rPr>
                <w:spacing w:val="-1"/>
                <w:sz w:val="18"/>
              </w:rPr>
              <w:t xml:space="preserve"> </w:t>
            </w:r>
            <w:r>
              <w:rPr>
                <w:sz w:val="18"/>
              </w:rPr>
              <w:t>ESC</w:t>
            </w:r>
            <w:r>
              <w:rPr>
                <w:spacing w:val="-2"/>
                <w:sz w:val="18"/>
              </w:rPr>
              <w:t xml:space="preserve"> report)</w:t>
            </w:r>
          </w:p>
        </w:tc>
      </w:tr>
      <w:tr w:rsidR="00141B97" w14:paraId="2D2D3914" w14:textId="77777777">
        <w:trPr>
          <w:trHeight w:val="1346"/>
          <w:tblCellSpacing w:w="9" w:type="dxa"/>
        </w:trPr>
        <w:tc>
          <w:tcPr>
            <w:tcW w:w="2287" w:type="dxa"/>
            <w:tcBorders>
              <w:left w:val="nil"/>
            </w:tcBorders>
            <w:shd w:val="clear" w:color="auto" w:fill="CCE2ED"/>
          </w:tcPr>
          <w:p w14:paraId="262D81B4" w14:textId="77777777" w:rsidR="00141B97" w:rsidRDefault="00911D63">
            <w:pPr>
              <w:pStyle w:val="TableParagraph"/>
              <w:spacing w:before="1"/>
              <w:ind w:left="88"/>
              <w:rPr>
                <w:sz w:val="18"/>
              </w:rPr>
            </w:pPr>
            <w:r>
              <w:rPr>
                <w:sz w:val="18"/>
              </w:rPr>
              <w:t>Major</w:t>
            </w:r>
            <w:r>
              <w:rPr>
                <w:spacing w:val="-4"/>
                <w:sz w:val="18"/>
              </w:rPr>
              <w:t xml:space="preserve"> </w:t>
            </w:r>
            <w:r>
              <w:rPr>
                <w:sz w:val="18"/>
              </w:rPr>
              <w:t>change</w:t>
            </w:r>
            <w:r>
              <w:rPr>
                <w:spacing w:val="-2"/>
                <w:sz w:val="18"/>
              </w:rPr>
              <w:t xml:space="preserve"> projects</w:t>
            </w:r>
          </w:p>
        </w:tc>
        <w:tc>
          <w:tcPr>
            <w:tcW w:w="7454" w:type="dxa"/>
            <w:tcBorders>
              <w:right w:val="nil"/>
            </w:tcBorders>
            <w:shd w:val="clear" w:color="auto" w:fill="CCE2ED"/>
          </w:tcPr>
          <w:p w14:paraId="3AD5AD3C" w14:textId="77777777" w:rsidR="00141B97" w:rsidRDefault="00911D63">
            <w:pPr>
              <w:pStyle w:val="TableParagraph"/>
              <w:numPr>
                <w:ilvl w:val="0"/>
                <w:numId w:val="75"/>
              </w:numPr>
              <w:tabs>
                <w:tab w:val="left" w:pos="375"/>
                <w:tab w:val="left" w:pos="376"/>
              </w:tabs>
              <w:ind w:right="696"/>
              <w:rPr>
                <w:sz w:val="18"/>
              </w:rPr>
            </w:pPr>
            <w:r>
              <w:rPr>
                <w:sz w:val="18"/>
              </w:rPr>
              <w:t>Deliver</w:t>
            </w:r>
            <w:r>
              <w:rPr>
                <w:spacing w:val="-2"/>
                <w:sz w:val="18"/>
              </w:rPr>
              <w:t xml:space="preserve"> </w:t>
            </w:r>
            <w:r>
              <w:rPr>
                <w:sz w:val="18"/>
              </w:rPr>
              <w:t>projects</w:t>
            </w:r>
            <w:r>
              <w:rPr>
                <w:spacing w:val="-3"/>
                <w:sz w:val="18"/>
              </w:rPr>
              <w:t xml:space="preserve"> </w:t>
            </w:r>
            <w:r>
              <w:rPr>
                <w:sz w:val="18"/>
              </w:rPr>
              <w:t>in</w:t>
            </w:r>
            <w:r>
              <w:rPr>
                <w:spacing w:val="-2"/>
                <w:sz w:val="18"/>
              </w:rPr>
              <w:t xml:space="preserve"> </w:t>
            </w:r>
            <w:r>
              <w:rPr>
                <w:sz w:val="18"/>
              </w:rPr>
              <w:t>Horizon</w:t>
            </w:r>
            <w:r>
              <w:rPr>
                <w:spacing w:val="-2"/>
                <w:sz w:val="18"/>
              </w:rPr>
              <w:t xml:space="preserve"> </w:t>
            </w:r>
            <w:r>
              <w:rPr>
                <w:sz w:val="18"/>
              </w:rPr>
              <w:t>2</w:t>
            </w:r>
            <w:r>
              <w:rPr>
                <w:spacing w:val="-2"/>
                <w:sz w:val="18"/>
              </w:rPr>
              <w:t xml:space="preserve"> </w:t>
            </w:r>
            <w:r>
              <w:rPr>
                <w:sz w:val="18"/>
              </w:rPr>
              <w:t>of</w:t>
            </w:r>
            <w:r>
              <w:rPr>
                <w:spacing w:val="-2"/>
                <w:sz w:val="18"/>
              </w:rPr>
              <w:t xml:space="preserve"> </w:t>
            </w:r>
            <w:r>
              <w:rPr>
                <w:sz w:val="18"/>
              </w:rPr>
              <w:t>Business</w:t>
            </w:r>
            <w:r>
              <w:rPr>
                <w:spacing w:val="-2"/>
                <w:sz w:val="18"/>
              </w:rPr>
              <w:t xml:space="preserve"> </w:t>
            </w:r>
            <w:r>
              <w:rPr>
                <w:sz w:val="18"/>
              </w:rPr>
              <w:t>Transformation</w:t>
            </w:r>
            <w:r>
              <w:rPr>
                <w:spacing w:val="-1"/>
                <w:sz w:val="18"/>
              </w:rPr>
              <w:t xml:space="preserve"> </w:t>
            </w:r>
            <w:r>
              <w:rPr>
                <w:sz w:val="18"/>
              </w:rPr>
              <w:t>Program</w:t>
            </w:r>
            <w:r>
              <w:rPr>
                <w:spacing w:val="-3"/>
                <w:sz w:val="18"/>
              </w:rPr>
              <w:t xml:space="preserve"> </w:t>
            </w:r>
            <w:r>
              <w:rPr>
                <w:sz w:val="18"/>
              </w:rPr>
              <w:t>to</w:t>
            </w:r>
            <w:r>
              <w:rPr>
                <w:spacing w:val="-3"/>
                <w:sz w:val="18"/>
              </w:rPr>
              <w:t xml:space="preserve"> </w:t>
            </w:r>
            <w:r>
              <w:rPr>
                <w:sz w:val="18"/>
              </w:rPr>
              <w:t>drive</w:t>
            </w:r>
            <w:r>
              <w:rPr>
                <w:spacing w:val="-3"/>
                <w:sz w:val="18"/>
              </w:rPr>
              <w:t xml:space="preserve"> </w:t>
            </w:r>
            <w:r>
              <w:rPr>
                <w:sz w:val="18"/>
              </w:rPr>
              <w:t>efficiency</w:t>
            </w:r>
            <w:r>
              <w:rPr>
                <w:spacing w:val="-3"/>
                <w:sz w:val="18"/>
              </w:rPr>
              <w:t xml:space="preserve"> </w:t>
            </w:r>
            <w:r>
              <w:rPr>
                <w:sz w:val="18"/>
              </w:rPr>
              <w:t>and improve service delivery</w:t>
            </w:r>
          </w:p>
          <w:p w14:paraId="3263B548" w14:textId="77777777" w:rsidR="00141B97" w:rsidRDefault="00911D63">
            <w:pPr>
              <w:pStyle w:val="TableParagraph"/>
              <w:numPr>
                <w:ilvl w:val="0"/>
                <w:numId w:val="75"/>
              </w:numPr>
              <w:tabs>
                <w:tab w:val="left" w:pos="375"/>
                <w:tab w:val="left" w:pos="376"/>
              </w:tabs>
              <w:ind w:right="308"/>
              <w:rPr>
                <w:sz w:val="18"/>
              </w:rPr>
            </w:pPr>
            <w:r>
              <w:rPr>
                <w:sz w:val="18"/>
              </w:rPr>
              <w:t>Embed</w:t>
            </w:r>
            <w:r>
              <w:rPr>
                <w:spacing w:val="-1"/>
                <w:sz w:val="18"/>
              </w:rPr>
              <w:t xml:space="preserve"> </w:t>
            </w:r>
            <w:r>
              <w:rPr>
                <w:sz w:val="18"/>
              </w:rPr>
              <w:t>LMW’s</w:t>
            </w:r>
            <w:r>
              <w:rPr>
                <w:spacing w:val="-1"/>
                <w:sz w:val="18"/>
              </w:rPr>
              <w:t xml:space="preserve"> </w:t>
            </w:r>
            <w:r>
              <w:rPr>
                <w:sz w:val="18"/>
              </w:rPr>
              <w:t>Leadership</w:t>
            </w:r>
            <w:r>
              <w:rPr>
                <w:spacing w:val="-2"/>
                <w:sz w:val="18"/>
              </w:rPr>
              <w:t xml:space="preserve"> </w:t>
            </w:r>
            <w:r>
              <w:rPr>
                <w:sz w:val="18"/>
              </w:rPr>
              <w:t>and</w:t>
            </w:r>
            <w:r>
              <w:rPr>
                <w:spacing w:val="-3"/>
                <w:sz w:val="18"/>
              </w:rPr>
              <w:t xml:space="preserve"> </w:t>
            </w:r>
            <w:r>
              <w:rPr>
                <w:sz w:val="18"/>
              </w:rPr>
              <w:t>Talent</w:t>
            </w:r>
            <w:r>
              <w:rPr>
                <w:spacing w:val="-2"/>
                <w:sz w:val="18"/>
              </w:rPr>
              <w:t xml:space="preserve"> </w:t>
            </w:r>
            <w:r>
              <w:rPr>
                <w:sz w:val="18"/>
              </w:rPr>
              <w:t>Management</w:t>
            </w:r>
            <w:r>
              <w:rPr>
                <w:spacing w:val="-2"/>
                <w:sz w:val="18"/>
              </w:rPr>
              <w:t xml:space="preserve"> </w:t>
            </w:r>
            <w:r>
              <w:rPr>
                <w:sz w:val="18"/>
              </w:rPr>
              <w:t>Framework</w:t>
            </w:r>
            <w:r>
              <w:rPr>
                <w:spacing w:val="-2"/>
                <w:sz w:val="18"/>
              </w:rPr>
              <w:t xml:space="preserve"> </w:t>
            </w:r>
            <w:r>
              <w:rPr>
                <w:sz w:val="18"/>
              </w:rPr>
              <w:t>to</w:t>
            </w:r>
            <w:r>
              <w:rPr>
                <w:spacing w:val="-3"/>
                <w:sz w:val="18"/>
              </w:rPr>
              <w:t xml:space="preserve"> </w:t>
            </w:r>
            <w:r>
              <w:rPr>
                <w:sz w:val="18"/>
              </w:rPr>
              <w:t>ensure</w:t>
            </w:r>
            <w:r>
              <w:rPr>
                <w:spacing w:val="-2"/>
                <w:sz w:val="18"/>
              </w:rPr>
              <w:t xml:space="preserve"> </w:t>
            </w:r>
            <w:r>
              <w:rPr>
                <w:sz w:val="18"/>
              </w:rPr>
              <w:t>LMW</w:t>
            </w:r>
            <w:r>
              <w:rPr>
                <w:spacing w:val="-2"/>
                <w:sz w:val="18"/>
              </w:rPr>
              <w:t xml:space="preserve"> </w:t>
            </w:r>
            <w:r>
              <w:rPr>
                <w:sz w:val="18"/>
              </w:rPr>
              <w:t>staff</w:t>
            </w:r>
            <w:r>
              <w:rPr>
                <w:spacing w:val="-1"/>
                <w:sz w:val="18"/>
              </w:rPr>
              <w:t xml:space="preserve"> </w:t>
            </w:r>
            <w:r>
              <w:rPr>
                <w:sz w:val="18"/>
              </w:rPr>
              <w:t>have</w:t>
            </w:r>
            <w:r>
              <w:rPr>
                <w:spacing w:val="-2"/>
                <w:sz w:val="18"/>
              </w:rPr>
              <w:t xml:space="preserve"> </w:t>
            </w:r>
            <w:r>
              <w:rPr>
                <w:sz w:val="18"/>
              </w:rPr>
              <w:t>the right skills and capabilities</w:t>
            </w:r>
          </w:p>
          <w:p w14:paraId="362E66DF" w14:textId="77777777" w:rsidR="00141B97" w:rsidRDefault="00911D63">
            <w:pPr>
              <w:pStyle w:val="TableParagraph"/>
              <w:numPr>
                <w:ilvl w:val="0"/>
                <w:numId w:val="75"/>
              </w:numPr>
              <w:tabs>
                <w:tab w:val="left" w:pos="375"/>
                <w:tab w:val="left" w:pos="376"/>
              </w:tabs>
              <w:spacing w:line="220" w:lineRule="exact"/>
              <w:ind w:right="468"/>
              <w:rPr>
                <w:sz w:val="18"/>
              </w:rPr>
            </w:pPr>
            <w:r>
              <w:rPr>
                <w:sz w:val="18"/>
              </w:rPr>
              <w:t>Deliver</w:t>
            </w:r>
            <w:r>
              <w:rPr>
                <w:spacing w:val="-1"/>
                <w:sz w:val="18"/>
              </w:rPr>
              <w:t xml:space="preserve"> </w:t>
            </w:r>
            <w:r>
              <w:rPr>
                <w:sz w:val="18"/>
              </w:rPr>
              <w:t>efficient</w:t>
            </w:r>
            <w:r>
              <w:rPr>
                <w:spacing w:val="-2"/>
                <w:sz w:val="18"/>
              </w:rPr>
              <w:t xml:space="preserve"> </w:t>
            </w:r>
            <w:r>
              <w:rPr>
                <w:sz w:val="18"/>
              </w:rPr>
              <w:t>renewals</w:t>
            </w:r>
            <w:r>
              <w:rPr>
                <w:spacing w:val="-2"/>
                <w:sz w:val="18"/>
              </w:rPr>
              <w:t xml:space="preserve"> </w:t>
            </w:r>
            <w:r>
              <w:rPr>
                <w:sz w:val="18"/>
              </w:rPr>
              <w:t>program</w:t>
            </w:r>
            <w:r>
              <w:rPr>
                <w:spacing w:val="-1"/>
                <w:sz w:val="18"/>
              </w:rPr>
              <w:t xml:space="preserve"> </w:t>
            </w:r>
            <w:r>
              <w:rPr>
                <w:sz w:val="18"/>
              </w:rPr>
              <w:t>to</w:t>
            </w:r>
            <w:r>
              <w:rPr>
                <w:spacing w:val="-2"/>
                <w:sz w:val="18"/>
              </w:rPr>
              <w:t xml:space="preserve"> </w:t>
            </w:r>
            <w:r>
              <w:rPr>
                <w:sz w:val="18"/>
              </w:rPr>
              <w:t>maintain</w:t>
            </w:r>
            <w:r>
              <w:rPr>
                <w:spacing w:val="-1"/>
                <w:sz w:val="18"/>
              </w:rPr>
              <w:t xml:space="preserve"> </w:t>
            </w:r>
            <w:r>
              <w:rPr>
                <w:sz w:val="18"/>
              </w:rPr>
              <w:t>/</w:t>
            </w:r>
            <w:r>
              <w:rPr>
                <w:spacing w:val="-2"/>
                <w:sz w:val="18"/>
              </w:rPr>
              <w:t xml:space="preserve"> </w:t>
            </w:r>
            <w:r>
              <w:rPr>
                <w:sz w:val="18"/>
              </w:rPr>
              <w:t>improve</w:t>
            </w:r>
            <w:r>
              <w:rPr>
                <w:spacing w:val="-2"/>
                <w:sz w:val="18"/>
              </w:rPr>
              <w:t xml:space="preserve"> </w:t>
            </w:r>
            <w:r>
              <w:rPr>
                <w:sz w:val="18"/>
              </w:rPr>
              <w:t>service</w:t>
            </w:r>
            <w:r>
              <w:rPr>
                <w:spacing w:val="-3"/>
                <w:sz w:val="18"/>
              </w:rPr>
              <w:t xml:space="preserve"> </w:t>
            </w:r>
            <w:r>
              <w:rPr>
                <w:sz w:val="18"/>
              </w:rPr>
              <w:t>delivery</w:t>
            </w:r>
            <w:r>
              <w:rPr>
                <w:spacing w:val="-2"/>
                <w:sz w:val="18"/>
              </w:rPr>
              <w:t xml:space="preserve"> </w:t>
            </w:r>
            <w:r>
              <w:rPr>
                <w:sz w:val="18"/>
              </w:rPr>
              <w:t>and</w:t>
            </w:r>
            <w:r>
              <w:rPr>
                <w:spacing w:val="-1"/>
                <w:sz w:val="18"/>
              </w:rPr>
              <w:t xml:space="preserve"> </w:t>
            </w:r>
            <w:r>
              <w:rPr>
                <w:sz w:val="18"/>
              </w:rPr>
              <w:t>ensure</w:t>
            </w:r>
            <w:r>
              <w:rPr>
                <w:spacing w:val="-2"/>
                <w:sz w:val="18"/>
              </w:rPr>
              <w:t xml:space="preserve"> </w:t>
            </w:r>
            <w:r>
              <w:rPr>
                <w:sz w:val="18"/>
              </w:rPr>
              <w:t xml:space="preserve">water </w:t>
            </w:r>
            <w:r>
              <w:rPr>
                <w:spacing w:val="-2"/>
                <w:sz w:val="18"/>
              </w:rPr>
              <w:t>reliability</w:t>
            </w:r>
          </w:p>
        </w:tc>
      </w:tr>
      <w:tr w:rsidR="00141B97" w14:paraId="47F10A67" w14:textId="77777777">
        <w:trPr>
          <w:trHeight w:val="1136"/>
          <w:tblCellSpacing w:w="9" w:type="dxa"/>
        </w:trPr>
        <w:tc>
          <w:tcPr>
            <w:tcW w:w="2287" w:type="dxa"/>
            <w:tcBorders>
              <w:left w:val="nil"/>
            </w:tcBorders>
            <w:shd w:val="clear" w:color="auto" w:fill="CCE2ED"/>
          </w:tcPr>
          <w:p w14:paraId="3AF3735B" w14:textId="77777777" w:rsidR="00141B97" w:rsidRDefault="00911D63">
            <w:pPr>
              <w:pStyle w:val="TableParagraph"/>
              <w:spacing w:before="2"/>
              <w:ind w:left="88"/>
              <w:rPr>
                <w:sz w:val="18"/>
              </w:rPr>
            </w:pPr>
            <w:r>
              <w:rPr>
                <w:sz w:val="18"/>
              </w:rPr>
              <w:t>Key</w:t>
            </w:r>
            <w:r>
              <w:rPr>
                <w:spacing w:val="-5"/>
                <w:sz w:val="18"/>
              </w:rPr>
              <w:t xml:space="preserve"> </w:t>
            </w:r>
            <w:r>
              <w:rPr>
                <w:sz w:val="18"/>
              </w:rPr>
              <w:t>operational</w:t>
            </w:r>
            <w:r>
              <w:rPr>
                <w:spacing w:val="-5"/>
                <w:sz w:val="18"/>
              </w:rPr>
              <w:t xml:space="preserve"> </w:t>
            </w:r>
            <w:r>
              <w:rPr>
                <w:spacing w:val="-2"/>
                <w:sz w:val="18"/>
              </w:rPr>
              <w:t>activities</w:t>
            </w:r>
          </w:p>
        </w:tc>
        <w:tc>
          <w:tcPr>
            <w:tcW w:w="7454" w:type="dxa"/>
            <w:tcBorders>
              <w:right w:val="nil"/>
            </w:tcBorders>
            <w:shd w:val="clear" w:color="auto" w:fill="CCE2ED"/>
          </w:tcPr>
          <w:p w14:paraId="289D41A7" w14:textId="77777777" w:rsidR="00141B97" w:rsidRDefault="00911D63">
            <w:pPr>
              <w:pStyle w:val="TableParagraph"/>
              <w:numPr>
                <w:ilvl w:val="0"/>
                <w:numId w:val="74"/>
              </w:numPr>
              <w:tabs>
                <w:tab w:val="left" w:pos="375"/>
                <w:tab w:val="left" w:pos="376"/>
              </w:tabs>
              <w:spacing w:before="1"/>
              <w:ind w:hanging="361"/>
              <w:rPr>
                <w:sz w:val="18"/>
              </w:rPr>
            </w:pPr>
            <w:r>
              <w:rPr>
                <w:sz w:val="18"/>
              </w:rPr>
              <w:t>Improve</w:t>
            </w:r>
            <w:r>
              <w:rPr>
                <w:spacing w:val="-4"/>
                <w:sz w:val="18"/>
              </w:rPr>
              <w:t xml:space="preserve"> </w:t>
            </w:r>
            <w:r>
              <w:rPr>
                <w:sz w:val="18"/>
              </w:rPr>
              <w:t>capability</w:t>
            </w:r>
            <w:r>
              <w:rPr>
                <w:spacing w:val="-2"/>
                <w:sz w:val="18"/>
              </w:rPr>
              <w:t xml:space="preserve"> </w:t>
            </w:r>
            <w:r>
              <w:rPr>
                <w:sz w:val="18"/>
              </w:rPr>
              <w:t>of</w:t>
            </w:r>
            <w:r>
              <w:rPr>
                <w:spacing w:val="-2"/>
                <w:sz w:val="18"/>
              </w:rPr>
              <w:t xml:space="preserve"> </w:t>
            </w:r>
            <w:r>
              <w:rPr>
                <w:sz w:val="18"/>
              </w:rPr>
              <w:t>LMW’s</w:t>
            </w:r>
            <w:r>
              <w:rPr>
                <w:spacing w:val="-1"/>
                <w:sz w:val="18"/>
              </w:rPr>
              <w:t xml:space="preserve"> </w:t>
            </w:r>
            <w:r>
              <w:rPr>
                <w:sz w:val="18"/>
              </w:rPr>
              <w:t>workforce</w:t>
            </w:r>
            <w:r>
              <w:rPr>
                <w:spacing w:val="-3"/>
                <w:sz w:val="18"/>
              </w:rPr>
              <w:t xml:space="preserve"> </w:t>
            </w:r>
            <w:r>
              <w:rPr>
                <w:sz w:val="18"/>
              </w:rPr>
              <w:t>to</w:t>
            </w:r>
            <w:r>
              <w:rPr>
                <w:spacing w:val="-3"/>
                <w:sz w:val="18"/>
              </w:rPr>
              <w:t xml:space="preserve"> </w:t>
            </w:r>
            <w:r>
              <w:rPr>
                <w:sz w:val="18"/>
              </w:rPr>
              <w:t>ensure</w:t>
            </w:r>
            <w:r>
              <w:rPr>
                <w:spacing w:val="-2"/>
                <w:sz w:val="18"/>
              </w:rPr>
              <w:t xml:space="preserve"> </w:t>
            </w:r>
            <w:r>
              <w:rPr>
                <w:sz w:val="18"/>
              </w:rPr>
              <w:t>services</w:t>
            </w:r>
            <w:r>
              <w:rPr>
                <w:spacing w:val="-3"/>
                <w:sz w:val="18"/>
              </w:rPr>
              <w:t xml:space="preserve"> </w:t>
            </w:r>
            <w:r>
              <w:rPr>
                <w:sz w:val="18"/>
              </w:rPr>
              <w:t>are</w:t>
            </w:r>
            <w:r>
              <w:rPr>
                <w:spacing w:val="-3"/>
                <w:sz w:val="18"/>
              </w:rPr>
              <w:t xml:space="preserve"> </w:t>
            </w:r>
            <w:r>
              <w:rPr>
                <w:sz w:val="18"/>
              </w:rPr>
              <w:t>delivered</w:t>
            </w:r>
            <w:r>
              <w:rPr>
                <w:spacing w:val="-2"/>
                <w:sz w:val="18"/>
              </w:rPr>
              <w:t xml:space="preserve"> </w:t>
            </w:r>
            <w:r>
              <w:rPr>
                <w:sz w:val="18"/>
              </w:rPr>
              <w:t>first</w:t>
            </w:r>
            <w:r>
              <w:rPr>
                <w:spacing w:val="-3"/>
                <w:sz w:val="18"/>
              </w:rPr>
              <w:t xml:space="preserve"> </w:t>
            </w:r>
            <w:r>
              <w:rPr>
                <w:sz w:val="18"/>
              </w:rPr>
              <w:t>time</w:t>
            </w:r>
            <w:r>
              <w:rPr>
                <w:spacing w:val="-2"/>
                <w:sz w:val="18"/>
              </w:rPr>
              <w:t xml:space="preserve"> right</w:t>
            </w:r>
          </w:p>
          <w:p w14:paraId="33EC641B" w14:textId="77777777" w:rsidR="00141B97" w:rsidRDefault="00911D63">
            <w:pPr>
              <w:pStyle w:val="TableParagraph"/>
              <w:numPr>
                <w:ilvl w:val="0"/>
                <w:numId w:val="74"/>
              </w:numPr>
              <w:tabs>
                <w:tab w:val="left" w:pos="375"/>
                <w:tab w:val="left" w:pos="376"/>
              </w:tabs>
              <w:ind w:hanging="361"/>
              <w:rPr>
                <w:sz w:val="18"/>
              </w:rPr>
            </w:pPr>
            <w:r>
              <w:rPr>
                <w:sz w:val="18"/>
              </w:rPr>
              <w:t>Collaborate</w:t>
            </w:r>
            <w:r>
              <w:rPr>
                <w:spacing w:val="-5"/>
                <w:sz w:val="18"/>
              </w:rPr>
              <w:t xml:space="preserve"> </w:t>
            </w:r>
            <w:r>
              <w:rPr>
                <w:sz w:val="18"/>
              </w:rPr>
              <w:t>with</w:t>
            </w:r>
            <w:r>
              <w:rPr>
                <w:spacing w:val="-2"/>
                <w:sz w:val="18"/>
              </w:rPr>
              <w:t xml:space="preserve"> </w:t>
            </w:r>
            <w:r>
              <w:rPr>
                <w:sz w:val="18"/>
              </w:rPr>
              <w:t>other</w:t>
            </w:r>
            <w:r>
              <w:rPr>
                <w:spacing w:val="-3"/>
                <w:sz w:val="18"/>
              </w:rPr>
              <w:t xml:space="preserve"> </w:t>
            </w:r>
            <w:r>
              <w:rPr>
                <w:sz w:val="18"/>
              </w:rPr>
              <w:t>agencies</w:t>
            </w:r>
            <w:r>
              <w:rPr>
                <w:spacing w:val="-3"/>
                <w:sz w:val="18"/>
              </w:rPr>
              <w:t xml:space="preserve"> </w:t>
            </w:r>
            <w:r>
              <w:rPr>
                <w:sz w:val="18"/>
              </w:rPr>
              <w:t>to</w:t>
            </w:r>
            <w:r>
              <w:rPr>
                <w:spacing w:val="-4"/>
                <w:sz w:val="18"/>
              </w:rPr>
              <w:t xml:space="preserve"> </w:t>
            </w:r>
            <w:r>
              <w:rPr>
                <w:sz w:val="18"/>
              </w:rPr>
              <w:t>reduce</w:t>
            </w:r>
            <w:r>
              <w:rPr>
                <w:spacing w:val="-3"/>
                <w:sz w:val="18"/>
              </w:rPr>
              <w:t xml:space="preserve"> </w:t>
            </w:r>
            <w:r>
              <w:rPr>
                <w:sz w:val="18"/>
              </w:rPr>
              <w:t>costs</w:t>
            </w:r>
            <w:r>
              <w:rPr>
                <w:spacing w:val="-2"/>
                <w:sz w:val="18"/>
              </w:rPr>
              <w:t xml:space="preserve"> </w:t>
            </w:r>
            <w:r>
              <w:rPr>
                <w:sz w:val="18"/>
              </w:rPr>
              <w:t>through</w:t>
            </w:r>
            <w:r>
              <w:rPr>
                <w:spacing w:val="-4"/>
                <w:sz w:val="18"/>
              </w:rPr>
              <w:t xml:space="preserve"> </w:t>
            </w:r>
            <w:r>
              <w:rPr>
                <w:sz w:val="18"/>
              </w:rPr>
              <w:t>bulk</w:t>
            </w:r>
            <w:r>
              <w:rPr>
                <w:spacing w:val="-3"/>
                <w:sz w:val="18"/>
              </w:rPr>
              <w:t xml:space="preserve"> </w:t>
            </w:r>
            <w:r>
              <w:rPr>
                <w:sz w:val="18"/>
              </w:rPr>
              <w:t>purchasing</w:t>
            </w:r>
            <w:r>
              <w:rPr>
                <w:spacing w:val="-4"/>
                <w:sz w:val="18"/>
              </w:rPr>
              <w:t xml:space="preserve"> </w:t>
            </w:r>
            <w:r>
              <w:rPr>
                <w:sz w:val="18"/>
              </w:rPr>
              <w:t>and</w:t>
            </w:r>
            <w:r>
              <w:rPr>
                <w:spacing w:val="-2"/>
                <w:sz w:val="18"/>
              </w:rPr>
              <w:t xml:space="preserve"> </w:t>
            </w:r>
            <w:r>
              <w:rPr>
                <w:sz w:val="18"/>
              </w:rPr>
              <w:t>shared</w:t>
            </w:r>
            <w:r>
              <w:rPr>
                <w:spacing w:val="-3"/>
                <w:sz w:val="18"/>
              </w:rPr>
              <w:t xml:space="preserve"> </w:t>
            </w:r>
            <w:r>
              <w:rPr>
                <w:spacing w:val="-2"/>
                <w:sz w:val="18"/>
              </w:rPr>
              <w:t>services</w:t>
            </w:r>
          </w:p>
          <w:p w14:paraId="0EC941BE" w14:textId="77777777" w:rsidR="00141B97" w:rsidRDefault="00911D63">
            <w:pPr>
              <w:pStyle w:val="TableParagraph"/>
              <w:numPr>
                <w:ilvl w:val="0"/>
                <w:numId w:val="74"/>
              </w:numPr>
              <w:tabs>
                <w:tab w:val="left" w:pos="375"/>
                <w:tab w:val="left" w:pos="376"/>
              </w:tabs>
              <w:ind w:right="296"/>
              <w:rPr>
                <w:sz w:val="18"/>
              </w:rPr>
            </w:pPr>
            <w:r>
              <w:rPr>
                <w:sz w:val="18"/>
              </w:rPr>
              <w:t>Maintain</w:t>
            </w:r>
            <w:r>
              <w:rPr>
                <w:spacing w:val="-2"/>
                <w:sz w:val="18"/>
              </w:rPr>
              <w:t xml:space="preserve"> </w:t>
            </w:r>
            <w:r>
              <w:rPr>
                <w:sz w:val="18"/>
              </w:rPr>
              <w:t>long</w:t>
            </w:r>
            <w:r>
              <w:rPr>
                <w:spacing w:val="-3"/>
                <w:sz w:val="18"/>
              </w:rPr>
              <w:t xml:space="preserve"> </w:t>
            </w:r>
            <w:r>
              <w:rPr>
                <w:sz w:val="18"/>
              </w:rPr>
              <w:t>term</w:t>
            </w:r>
            <w:r>
              <w:rPr>
                <w:spacing w:val="-2"/>
                <w:sz w:val="18"/>
              </w:rPr>
              <w:t xml:space="preserve"> </w:t>
            </w:r>
            <w:r>
              <w:rPr>
                <w:sz w:val="18"/>
              </w:rPr>
              <w:t>financial</w:t>
            </w:r>
            <w:r>
              <w:rPr>
                <w:spacing w:val="-3"/>
                <w:sz w:val="18"/>
              </w:rPr>
              <w:t xml:space="preserve"> </w:t>
            </w:r>
            <w:r>
              <w:rPr>
                <w:sz w:val="18"/>
              </w:rPr>
              <w:t>viability</w:t>
            </w:r>
            <w:r>
              <w:rPr>
                <w:spacing w:val="-3"/>
                <w:sz w:val="18"/>
              </w:rPr>
              <w:t xml:space="preserve"> </w:t>
            </w:r>
            <w:r>
              <w:rPr>
                <w:sz w:val="18"/>
              </w:rPr>
              <w:t>and</w:t>
            </w:r>
            <w:r>
              <w:rPr>
                <w:spacing w:val="-2"/>
                <w:sz w:val="18"/>
              </w:rPr>
              <w:t xml:space="preserve"> </w:t>
            </w:r>
            <w:r>
              <w:rPr>
                <w:sz w:val="18"/>
              </w:rPr>
              <w:t>sustainability</w:t>
            </w:r>
            <w:r>
              <w:rPr>
                <w:spacing w:val="-3"/>
                <w:sz w:val="18"/>
              </w:rPr>
              <w:t xml:space="preserve"> </w:t>
            </w:r>
            <w:r>
              <w:rPr>
                <w:sz w:val="18"/>
              </w:rPr>
              <w:t>and</w:t>
            </w:r>
            <w:r>
              <w:rPr>
                <w:spacing w:val="-2"/>
                <w:sz w:val="18"/>
              </w:rPr>
              <w:t xml:space="preserve"> </w:t>
            </w:r>
            <w:r>
              <w:rPr>
                <w:sz w:val="18"/>
              </w:rPr>
              <w:t>explore</w:t>
            </w:r>
            <w:r>
              <w:rPr>
                <w:spacing w:val="-2"/>
                <w:sz w:val="18"/>
              </w:rPr>
              <w:t xml:space="preserve"> </w:t>
            </w:r>
            <w:r>
              <w:rPr>
                <w:sz w:val="18"/>
              </w:rPr>
              <w:t>opportunities</w:t>
            </w:r>
            <w:r>
              <w:rPr>
                <w:spacing w:val="-1"/>
                <w:sz w:val="18"/>
              </w:rPr>
              <w:t xml:space="preserve"> </w:t>
            </w:r>
            <w:r>
              <w:rPr>
                <w:sz w:val="18"/>
              </w:rPr>
              <w:t>for</w:t>
            </w:r>
            <w:r>
              <w:rPr>
                <w:spacing w:val="-2"/>
                <w:sz w:val="18"/>
              </w:rPr>
              <w:t xml:space="preserve"> </w:t>
            </w:r>
            <w:r>
              <w:rPr>
                <w:sz w:val="18"/>
              </w:rPr>
              <w:t xml:space="preserve">business </w:t>
            </w:r>
            <w:r>
              <w:rPr>
                <w:spacing w:val="-2"/>
                <w:sz w:val="18"/>
              </w:rPr>
              <w:t>efficiency</w:t>
            </w:r>
          </w:p>
          <w:p w14:paraId="59EBD902" w14:textId="77777777" w:rsidR="00141B97" w:rsidRDefault="00911D63">
            <w:pPr>
              <w:pStyle w:val="TableParagraph"/>
              <w:numPr>
                <w:ilvl w:val="0"/>
                <w:numId w:val="74"/>
              </w:numPr>
              <w:tabs>
                <w:tab w:val="left" w:pos="375"/>
                <w:tab w:val="left" w:pos="376"/>
              </w:tabs>
              <w:spacing w:line="208" w:lineRule="exact"/>
              <w:ind w:hanging="361"/>
              <w:rPr>
                <w:sz w:val="18"/>
              </w:rPr>
            </w:pPr>
            <w:r>
              <w:rPr>
                <w:sz w:val="18"/>
              </w:rPr>
              <w:t>Manage</w:t>
            </w:r>
            <w:r>
              <w:rPr>
                <w:spacing w:val="-2"/>
                <w:sz w:val="18"/>
              </w:rPr>
              <w:t xml:space="preserve"> </w:t>
            </w:r>
            <w:r>
              <w:rPr>
                <w:sz w:val="18"/>
              </w:rPr>
              <w:t>assets</w:t>
            </w:r>
            <w:r>
              <w:rPr>
                <w:spacing w:val="-2"/>
                <w:sz w:val="18"/>
              </w:rPr>
              <w:t xml:space="preserve"> </w:t>
            </w:r>
            <w:r>
              <w:rPr>
                <w:sz w:val="18"/>
              </w:rPr>
              <w:t>to</w:t>
            </w:r>
            <w:r>
              <w:rPr>
                <w:spacing w:val="-3"/>
                <w:sz w:val="18"/>
              </w:rPr>
              <w:t xml:space="preserve"> </w:t>
            </w:r>
            <w:r>
              <w:rPr>
                <w:sz w:val="18"/>
              </w:rPr>
              <w:t>optimise</w:t>
            </w:r>
            <w:r>
              <w:rPr>
                <w:spacing w:val="-2"/>
                <w:sz w:val="18"/>
              </w:rPr>
              <w:t xml:space="preserve"> </w:t>
            </w:r>
            <w:r>
              <w:rPr>
                <w:sz w:val="18"/>
              </w:rPr>
              <w:t>whole</w:t>
            </w:r>
            <w:r>
              <w:rPr>
                <w:spacing w:val="-3"/>
                <w:sz w:val="18"/>
              </w:rPr>
              <w:t xml:space="preserve"> </w:t>
            </w:r>
            <w:r>
              <w:rPr>
                <w:sz w:val="18"/>
              </w:rPr>
              <w:t>of</w:t>
            </w:r>
            <w:r>
              <w:rPr>
                <w:spacing w:val="-2"/>
                <w:sz w:val="18"/>
              </w:rPr>
              <w:t xml:space="preserve"> </w:t>
            </w:r>
            <w:r>
              <w:rPr>
                <w:sz w:val="18"/>
              </w:rPr>
              <w:t>life</w:t>
            </w:r>
            <w:r>
              <w:rPr>
                <w:spacing w:val="-3"/>
                <w:sz w:val="18"/>
              </w:rPr>
              <w:t xml:space="preserve"> </w:t>
            </w:r>
            <w:r>
              <w:rPr>
                <w:sz w:val="18"/>
              </w:rPr>
              <w:t>cycle</w:t>
            </w:r>
            <w:r>
              <w:rPr>
                <w:spacing w:val="-1"/>
                <w:sz w:val="18"/>
              </w:rPr>
              <w:t xml:space="preserve"> </w:t>
            </w:r>
            <w:r>
              <w:rPr>
                <w:spacing w:val="-2"/>
                <w:sz w:val="18"/>
              </w:rPr>
              <w:t>costs</w:t>
            </w:r>
          </w:p>
        </w:tc>
      </w:tr>
      <w:tr w:rsidR="00141B97" w14:paraId="6F2307FC" w14:textId="77777777">
        <w:trPr>
          <w:trHeight w:val="778"/>
          <w:tblCellSpacing w:w="9" w:type="dxa"/>
        </w:trPr>
        <w:tc>
          <w:tcPr>
            <w:tcW w:w="2287" w:type="dxa"/>
            <w:tcBorders>
              <w:left w:val="nil"/>
              <w:bottom w:val="nil"/>
            </w:tcBorders>
            <w:shd w:val="clear" w:color="auto" w:fill="CCE2ED"/>
          </w:tcPr>
          <w:p w14:paraId="0528E1BF" w14:textId="77777777" w:rsidR="00141B97" w:rsidRDefault="00911D63">
            <w:pPr>
              <w:pStyle w:val="TableParagraph"/>
              <w:spacing w:before="2"/>
              <w:ind w:left="88"/>
              <w:rPr>
                <w:sz w:val="18"/>
              </w:rPr>
            </w:pPr>
            <w:r>
              <w:rPr>
                <w:spacing w:val="-2"/>
                <w:sz w:val="18"/>
              </w:rPr>
              <w:t>Inputs</w:t>
            </w:r>
          </w:p>
          <w:p w14:paraId="0C690514" w14:textId="77777777" w:rsidR="00141B97" w:rsidRDefault="00911D63">
            <w:pPr>
              <w:pStyle w:val="TableParagraph"/>
              <w:numPr>
                <w:ilvl w:val="0"/>
                <w:numId w:val="73"/>
              </w:numPr>
              <w:tabs>
                <w:tab w:val="left" w:pos="448"/>
                <w:tab w:val="left" w:pos="449"/>
              </w:tabs>
              <w:spacing w:before="32"/>
              <w:ind w:hanging="361"/>
              <w:rPr>
                <w:sz w:val="18"/>
              </w:rPr>
            </w:pPr>
            <w:r>
              <w:rPr>
                <w:sz w:val="18"/>
              </w:rPr>
              <w:t>Cost</w:t>
            </w:r>
            <w:r>
              <w:rPr>
                <w:spacing w:val="-4"/>
                <w:sz w:val="18"/>
              </w:rPr>
              <w:t xml:space="preserve"> </w:t>
            </w:r>
            <w:r>
              <w:rPr>
                <w:spacing w:val="-2"/>
                <w:sz w:val="18"/>
              </w:rPr>
              <w:t>movements</w:t>
            </w:r>
          </w:p>
          <w:p w14:paraId="33F47595" w14:textId="77777777" w:rsidR="00141B97" w:rsidRDefault="00911D63">
            <w:pPr>
              <w:pStyle w:val="TableParagraph"/>
              <w:numPr>
                <w:ilvl w:val="0"/>
                <w:numId w:val="73"/>
              </w:numPr>
              <w:tabs>
                <w:tab w:val="left" w:pos="448"/>
                <w:tab w:val="left" w:pos="449"/>
              </w:tabs>
              <w:spacing w:before="34"/>
              <w:ind w:hanging="361"/>
              <w:rPr>
                <w:sz w:val="18"/>
              </w:rPr>
            </w:pPr>
            <w:r>
              <w:rPr>
                <w:sz w:val="18"/>
              </w:rPr>
              <w:t xml:space="preserve">Resources </w:t>
            </w:r>
            <w:r>
              <w:rPr>
                <w:spacing w:val="-2"/>
                <w:sz w:val="18"/>
              </w:rPr>
              <w:t>req’d</w:t>
            </w:r>
          </w:p>
        </w:tc>
        <w:tc>
          <w:tcPr>
            <w:tcW w:w="7454" w:type="dxa"/>
            <w:tcBorders>
              <w:bottom w:val="nil"/>
              <w:right w:val="nil"/>
            </w:tcBorders>
            <w:shd w:val="clear" w:color="auto" w:fill="CCE2ED"/>
          </w:tcPr>
          <w:p w14:paraId="444F9A23" w14:textId="77777777" w:rsidR="00141B97" w:rsidRDefault="00911D63">
            <w:pPr>
              <w:pStyle w:val="TableParagraph"/>
              <w:numPr>
                <w:ilvl w:val="0"/>
                <w:numId w:val="72"/>
              </w:numPr>
              <w:tabs>
                <w:tab w:val="left" w:pos="375"/>
                <w:tab w:val="left" w:pos="376"/>
              </w:tabs>
              <w:spacing w:before="1"/>
              <w:ind w:hanging="361"/>
              <w:rPr>
                <w:sz w:val="18"/>
              </w:rPr>
            </w:pPr>
            <w:r>
              <w:rPr>
                <w:sz w:val="18"/>
              </w:rPr>
              <w:t>Business</w:t>
            </w:r>
            <w:r>
              <w:rPr>
                <w:spacing w:val="-4"/>
                <w:sz w:val="18"/>
              </w:rPr>
              <w:t xml:space="preserve"> </w:t>
            </w:r>
            <w:r>
              <w:rPr>
                <w:sz w:val="18"/>
              </w:rPr>
              <w:t>Transformation</w:t>
            </w:r>
            <w:r>
              <w:rPr>
                <w:spacing w:val="-2"/>
                <w:sz w:val="18"/>
              </w:rPr>
              <w:t xml:space="preserve"> </w:t>
            </w:r>
            <w:r>
              <w:rPr>
                <w:sz w:val="18"/>
              </w:rPr>
              <w:t>Horizon</w:t>
            </w:r>
            <w:r>
              <w:rPr>
                <w:spacing w:val="-4"/>
                <w:sz w:val="18"/>
              </w:rPr>
              <w:t xml:space="preserve"> </w:t>
            </w:r>
            <w:r>
              <w:rPr>
                <w:sz w:val="18"/>
              </w:rPr>
              <w:t>2</w:t>
            </w:r>
            <w:r>
              <w:rPr>
                <w:spacing w:val="-3"/>
                <w:sz w:val="18"/>
              </w:rPr>
              <w:t xml:space="preserve"> </w:t>
            </w:r>
            <w:r>
              <w:rPr>
                <w:sz w:val="18"/>
              </w:rPr>
              <w:t>total</w:t>
            </w:r>
            <w:r>
              <w:rPr>
                <w:spacing w:val="-4"/>
                <w:sz w:val="18"/>
              </w:rPr>
              <w:t xml:space="preserve"> </w:t>
            </w:r>
            <w:r>
              <w:rPr>
                <w:sz w:val="18"/>
              </w:rPr>
              <w:t>investment</w:t>
            </w:r>
            <w:r>
              <w:rPr>
                <w:spacing w:val="-4"/>
                <w:sz w:val="18"/>
              </w:rPr>
              <w:t xml:space="preserve"> </w:t>
            </w:r>
            <w:r>
              <w:rPr>
                <w:sz w:val="18"/>
              </w:rPr>
              <w:t>of</w:t>
            </w:r>
            <w:r>
              <w:rPr>
                <w:spacing w:val="-3"/>
                <w:sz w:val="18"/>
              </w:rPr>
              <w:t xml:space="preserve"> </w:t>
            </w:r>
            <w:r>
              <w:rPr>
                <w:spacing w:val="-2"/>
                <w:sz w:val="18"/>
              </w:rPr>
              <w:t>$10.16m</w:t>
            </w:r>
          </w:p>
          <w:p w14:paraId="3CD915B8" w14:textId="77777777" w:rsidR="00141B97" w:rsidRDefault="00911D63">
            <w:pPr>
              <w:pStyle w:val="TableParagraph"/>
              <w:numPr>
                <w:ilvl w:val="0"/>
                <w:numId w:val="72"/>
              </w:numPr>
              <w:tabs>
                <w:tab w:val="left" w:pos="375"/>
                <w:tab w:val="left" w:pos="376"/>
              </w:tabs>
              <w:ind w:right="697"/>
              <w:rPr>
                <w:sz w:val="18"/>
              </w:rPr>
            </w:pPr>
            <w:r>
              <w:rPr>
                <w:sz w:val="18"/>
              </w:rPr>
              <w:t>Infrastructure</w:t>
            </w:r>
            <w:r>
              <w:rPr>
                <w:spacing w:val="-1"/>
                <w:sz w:val="18"/>
              </w:rPr>
              <w:t xml:space="preserve"> </w:t>
            </w:r>
            <w:r>
              <w:rPr>
                <w:sz w:val="18"/>
              </w:rPr>
              <w:t>renewal</w:t>
            </w:r>
            <w:r>
              <w:rPr>
                <w:spacing w:val="-2"/>
                <w:sz w:val="18"/>
              </w:rPr>
              <w:t xml:space="preserve"> </w:t>
            </w:r>
            <w:r>
              <w:rPr>
                <w:sz w:val="18"/>
              </w:rPr>
              <w:t>program</w:t>
            </w:r>
            <w:r>
              <w:rPr>
                <w:spacing w:val="-3"/>
                <w:sz w:val="18"/>
              </w:rPr>
              <w:t xml:space="preserve"> </w:t>
            </w:r>
            <w:r>
              <w:rPr>
                <w:sz w:val="18"/>
              </w:rPr>
              <w:t>investment</w:t>
            </w:r>
            <w:r>
              <w:rPr>
                <w:spacing w:val="-2"/>
                <w:sz w:val="18"/>
              </w:rPr>
              <w:t xml:space="preserve"> </w:t>
            </w:r>
            <w:r>
              <w:rPr>
                <w:sz w:val="18"/>
              </w:rPr>
              <w:t>of</w:t>
            </w:r>
            <w:r>
              <w:rPr>
                <w:spacing w:val="-1"/>
                <w:sz w:val="18"/>
              </w:rPr>
              <w:t xml:space="preserve"> </w:t>
            </w:r>
            <w:r>
              <w:rPr>
                <w:sz w:val="18"/>
              </w:rPr>
              <w:t>$33.12m</w:t>
            </w:r>
            <w:r>
              <w:rPr>
                <w:spacing w:val="-1"/>
                <w:sz w:val="18"/>
              </w:rPr>
              <w:t xml:space="preserve"> </w:t>
            </w:r>
            <w:r>
              <w:rPr>
                <w:sz w:val="18"/>
              </w:rPr>
              <w:t>over</w:t>
            </w:r>
            <w:r>
              <w:rPr>
                <w:spacing w:val="-1"/>
                <w:sz w:val="18"/>
              </w:rPr>
              <w:t xml:space="preserve"> </w:t>
            </w:r>
            <w:r>
              <w:rPr>
                <w:sz w:val="18"/>
              </w:rPr>
              <w:t>the</w:t>
            </w:r>
            <w:r>
              <w:rPr>
                <w:spacing w:val="-2"/>
                <w:sz w:val="18"/>
              </w:rPr>
              <w:t xml:space="preserve"> </w:t>
            </w:r>
            <w:r>
              <w:rPr>
                <w:sz w:val="18"/>
              </w:rPr>
              <w:t>price</w:t>
            </w:r>
            <w:r>
              <w:rPr>
                <w:spacing w:val="-2"/>
                <w:sz w:val="18"/>
              </w:rPr>
              <w:t xml:space="preserve"> </w:t>
            </w:r>
            <w:r>
              <w:rPr>
                <w:sz w:val="18"/>
              </w:rPr>
              <w:t>period</w:t>
            </w:r>
            <w:r>
              <w:rPr>
                <w:spacing w:val="-1"/>
                <w:sz w:val="18"/>
              </w:rPr>
              <w:t xml:space="preserve"> </w:t>
            </w:r>
            <w:r>
              <w:rPr>
                <w:sz w:val="18"/>
              </w:rPr>
              <w:t>(excluding corporate capex)</w:t>
            </w:r>
          </w:p>
        </w:tc>
      </w:tr>
    </w:tbl>
    <w:p w14:paraId="2DF64E14" w14:textId="77777777" w:rsidR="00141B97" w:rsidRDefault="00911D63">
      <w:pPr>
        <w:spacing w:before="22"/>
        <w:ind w:left="114"/>
        <w:jc w:val="both"/>
        <w:rPr>
          <w:sz w:val="16"/>
        </w:rPr>
      </w:pPr>
      <w:r>
        <w:rPr>
          <w:sz w:val="16"/>
        </w:rPr>
        <w:t>Table</w:t>
      </w:r>
      <w:r>
        <w:rPr>
          <w:spacing w:val="-4"/>
          <w:sz w:val="16"/>
        </w:rPr>
        <w:t xml:space="preserve"> </w:t>
      </w:r>
      <w:r>
        <w:rPr>
          <w:sz w:val="16"/>
        </w:rPr>
        <w:t>B9:</w:t>
      </w:r>
      <w:r>
        <w:rPr>
          <w:spacing w:val="-4"/>
          <w:sz w:val="16"/>
        </w:rPr>
        <w:t xml:space="preserve"> </w:t>
      </w:r>
      <w:r>
        <w:rPr>
          <w:sz w:val="16"/>
        </w:rPr>
        <w:t>Outcome</w:t>
      </w:r>
      <w:r>
        <w:rPr>
          <w:spacing w:val="-4"/>
          <w:sz w:val="16"/>
        </w:rPr>
        <w:t xml:space="preserve"> </w:t>
      </w:r>
      <w:r>
        <w:rPr>
          <w:sz w:val="16"/>
        </w:rPr>
        <w:t>1</w:t>
      </w:r>
      <w:r>
        <w:rPr>
          <w:spacing w:val="-6"/>
          <w:sz w:val="16"/>
        </w:rPr>
        <w:t xml:space="preserve"> </w:t>
      </w:r>
      <w:r>
        <w:rPr>
          <w:sz w:val="16"/>
        </w:rPr>
        <w:t>‐</w:t>
      </w:r>
      <w:r>
        <w:rPr>
          <w:spacing w:val="-4"/>
          <w:sz w:val="16"/>
        </w:rPr>
        <w:t xml:space="preserve"> </w:t>
      </w:r>
      <w:r>
        <w:rPr>
          <w:sz w:val="16"/>
        </w:rPr>
        <w:t>Services</w:t>
      </w:r>
      <w:r>
        <w:rPr>
          <w:spacing w:val="-6"/>
          <w:sz w:val="16"/>
        </w:rPr>
        <w:t xml:space="preserve"> </w:t>
      </w:r>
      <w:r>
        <w:rPr>
          <w:sz w:val="16"/>
        </w:rPr>
        <w:t>Provide</w:t>
      </w:r>
      <w:r>
        <w:rPr>
          <w:spacing w:val="-4"/>
          <w:sz w:val="16"/>
        </w:rPr>
        <w:t xml:space="preserve"> </w:t>
      </w:r>
      <w:r>
        <w:rPr>
          <w:sz w:val="16"/>
        </w:rPr>
        <w:t>Customers</w:t>
      </w:r>
      <w:r>
        <w:rPr>
          <w:spacing w:val="-5"/>
          <w:sz w:val="16"/>
        </w:rPr>
        <w:t xml:space="preserve"> </w:t>
      </w:r>
      <w:r>
        <w:rPr>
          <w:sz w:val="16"/>
        </w:rPr>
        <w:t>Value</w:t>
      </w:r>
      <w:r>
        <w:rPr>
          <w:spacing w:val="-5"/>
          <w:sz w:val="16"/>
        </w:rPr>
        <w:t xml:space="preserve"> </w:t>
      </w:r>
      <w:r>
        <w:rPr>
          <w:sz w:val="16"/>
        </w:rPr>
        <w:t>for</w:t>
      </w:r>
      <w:r>
        <w:rPr>
          <w:spacing w:val="-4"/>
          <w:sz w:val="16"/>
        </w:rPr>
        <w:t xml:space="preserve"> </w:t>
      </w:r>
      <w:r>
        <w:rPr>
          <w:spacing w:val="-2"/>
          <w:sz w:val="16"/>
        </w:rPr>
        <w:t>Money</w:t>
      </w:r>
    </w:p>
    <w:p w14:paraId="5D1E0EBC" w14:textId="77777777" w:rsidR="00141B97" w:rsidRDefault="00141B97">
      <w:pPr>
        <w:jc w:val="both"/>
        <w:rPr>
          <w:sz w:val="16"/>
        </w:rPr>
        <w:sectPr w:rsidR="00141B97">
          <w:pgSz w:w="11910" w:h="16840"/>
          <w:pgMar w:top="860" w:right="40" w:bottom="760" w:left="1020" w:header="0" w:footer="580" w:gutter="0"/>
          <w:cols w:space="720"/>
        </w:sectPr>
      </w:pPr>
    </w:p>
    <w:p w14:paraId="65282859" w14:textId="77777777" w:rsidR="00141B97" w:rsidRDefault="00911D63">
      <w:pPr>
        <w:pStyle w:val="BodyText"/>
        <w:spacing w:before="43"/>
        <w:ind w:left="114"/>
      </w:pPr>
      <w:r>
        <w:lastRenderedPageBreak/>
        <w:t>Outcome</w:t>
      </w:r>
      <w:r>
        <w:rPr>
          <w:spacing w:val="-7"/>
        </w:rPr>
        <w:t xml:space="preserve"> </w:t>
      </w:r>
      <w:r>
        <w:t>2:</w:t>
      </w:r>
      <w:r>
        <w:rPr>
          <w:spacing w:val="-7"/>
        </w:rPr>
        <w:t xml:space="preserve"> </w:t>
      </w:r>
      <w:r>
        <w:t>Provide</w:t>
      </w:r>
      <w:r>
        <w:rPr>
          <w:spacing w:val="-8"/>
        </w:rPr>
        <w:t xml:space="preserve"> </w:t>
      </w:r>
      <w:r>
        <w:t>Customers</w:t>
      </w:r>
      <w:r>
        <w:rPr>
          <w:spacing w:val="-6"/>
        </w:rPr>
        <w:t xml:space="preserve"> </w:t>
      </w:r>
      <w:r>
        <w:t>reliable</w:t>
      </w:r>
      <w:r>
        <w:rPr>
          <w:spacing w:val="-8"/>
        </w:rPr>
        <w:t xml:space="preserve"> </w:t>
      </w:r>
      <w:r>
        <w:t>and</w:t>
      </w:r>
      <w:r>
        <w:rPr>
          <w:spacing w:val="-7"/>
        </w:rPr>
        <w:t xml:space="preserve"> </w:t>
      </w:r>
      <w:r>
        <w:t>safe</w:t>
      </w:r>
      <w:r>
        <w:rPr>
          <w:spacing w:val="-8"/>
        </w:rPr>
        <w:t xml:space="preserve"> </w:t>
      </w:r>
      <w:r>
        <w:t>drinking</w:t>
      </w:r>
      <w:r>
        <w:rPr>
          <w:spacing w:val="-7"/>
        </w:rPr>
        <w:t xml:space="preserve"> </w:t>
      </w:r>
      <w:r>
        <w:rPr>
          <w:spacing w:val="-2"/>
        </w:rPr>
        <w:t>water</w:t>
      </w:r>
    </w:p>
    <w:p w14:paraId="50A0C74E" w14:textId="77777777" w:rsidR="00141B97" w:rsidRDefault="00141B97">
      <w:pPr>
        <w:pStyle w:val="BodyText"/>
        <w:spacing w:before="4" w:after="1"/>
        <w:rPr>
          <w:sz w:val="1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314"/>
        <w:gridCol w:w="7481"/>
      </w:tblGrid>
      <w:tr w:rsidR="00141B97" w14:paraId="03FF90EB" w14:textId="77777777">
        <w:trPr>
          <w:trHeight w:val="555"/>
          <w:tblCellSpacing w:w="9" w:type="dxa"/>
        </w:trPr>
        <w:tc>
          <w:tcPr>
            <w:tcW w:w="2287" w:type="dxa"/>
            <w:tcBorders>
              <w:top w:val="nil"/>
              <w:left w:val="nil"/>
            </w:tcBorders>
            <w:shd w:val="clear" w:color="auto" w:fill="0064A4"/>
          </w:tcPr>
          <w:p w14:paraId="430AE788" w14:textId="77777777" w:rsidR="00141B97" w:rsidRDefault="00141B97">
            <w:pPr>
              <w:pStyle w:val="TableParagraph"/>
              <w:spacing w:before="9"/>
              <w:rPr>
                <w:sz w:val="13"/>
              </w:rPr>
            </w:pPr>
          </w:p>
          <w:p w14:paraId="14613156" w14:textId="77777777" w:rsidR="00141B97" w:rsidRDefault="00911D63">
            <w:pPr>
              <w:pStyle w:val="TableParagraph"/>
              <w:ind w:left="88"/>
              <w:rPr>
                <w:sz w:val="18"/>
              </w:rPr>
            </w:pPr>
            <w:r>
              <w:rPr>
                <w:color w:val="FFFFFF"/>
                <w:sz w:val="18"/>
              </w:rPr>
              <w:t>What</w:t>
            </w:r>
            <w:r>
              <w:rPr>
                <w:color w:val="FFFFFF"/>
                <w:spacing w:val="-1"/>
                <w:sz w:val="18"/>
              </w:rPr>
              <w:t xml:space="preserve"> </w:t>
            </w:r>
            <w:r>
              <w:rPr>
                <w:color w:val="FFFFFF"/>
                <w:sz w:val="18"/>
              </w:rPr>
              <w:t>customers will</w:t>
            </w:r>
            <w:r>
              <w:rPr>
                <w:color w:val="FFFFFF"/>
                <w:spacing w:val="-1"/>
                <w:sz w:val="18"/>
              </w:rPr>
              <w:t xml:space="preserve"> </w:t>
            </w:r>
            <w:r>
              <w:rPr>
                <w:color w:val="FFFFFF"/>
                <w:spacing w:val="-2"/>
                <w:sz w:val="18"/>
              </w:rPr>
              <w:t>receive</w:t>
            </w:r>
          </w:p>
        </w:tc>
        <w:tc>
          <w:tcPr>
            <w:tcW w:w="7454" w:type="dxa"/>
            <w:tcBorders>
              <w:top w:val="nil"/>
              <w:right w:val="nil"/>
            </w:tcBorders>
            <w:shd w:val="clear" w:color="auto" w:fill="0064A4"/>
          </w:tcPr>
          <w:p w14:paraId="6FAE7D6A" w14:textId="77777777" w:rsidR="00141B97" w:rsidRDefault="00141B97">
            <w:pPr>
              <w:pStyle w:val="TableParagraph"/>
              <w:spacing w:before="9"/>
              <w:rPr>
                <w:sz w:val="13"/>
              </w:rPr>
            </w:pPr>
          </w:p>
          <w:p w14:paraId="140E4F29" w14:textId="77777777" w:rsidR="00141B97" w:rsidRDefault="00911D63">
            <w:pPr>
              <w:pStyle w:val="TableParagraph"/>
              <w:ind w:left="98"/>
              <w:rPr>
                <w:sz w:val="18"/>
              </w:rPr>
            </w:pPr>
            <w:r>
              <w:rPr>
                <w:color w:val="FFFFFF"/>
                <w:sz w:val="18"/>
              </w:rPr>
              <w:t>Outcome</w:t>
            </w:r>
            <w:r>
              <w:rPr>
                <w:color w:val="FFFFFF"/>
                <w:spacing w:val="-2"/>
                <w:sz w:val="18"/>
              </w:rPr>
              <w:t xml:space="preserve"> </w:t>
            </w:r>
            <w:r>
              <w:rPr>
                <w:color w:val="FFFFFF"/>
                <w:sz w:val="18"/>
              </w:rPr>
              <w:t>2:</w:t>
            </w:r>
            <w:r>
              <w:rPr>
                <w:color w:val="FFFFFF"/>
                <w:spacing w:val="-2"/>
                <w:sz w:val="18"/>
              </w:rPr>
              <w:t xml:space="preserve"> </w:t>
            </w:r>
            <w:r>
              <w:rPr>
                <w:color w:val="FFFFFF"/>
                <w:sz w:val="18"/>
              </w:rPr>
              <w:t>Provide</w:t>
            </w:r>
            <w:r>
              <w:rPr>
                <w:color w:val="FFFFFF"/>
                <w:spacing w:val="-1"/>
                <w:sz w:val="18"/>
              </w:rPr>
              <w:t xml:space="preserve"> </w:t>
            </w:r>
            <w:r>
              <w:rPr>
                <w:color w:val="FFFFFF"/>
                <w:sz w:val="18"/>
              </w:rPr>
              <w:t>customers</w:t>
            </w:r>
            <w:r>
              <w:rPr>
                <w:color w:val="FFFFFF"/>
                <w:spacing w:val="-1"/>
                <w:sz w:val="18"/>
              </w:rPr>
              <w:t xml:space="preserve"> </w:t>
            </w:r>
            <w:r>
              <w:rPr>
                <w:color w:val="FFFFFF"/>
                <w:sz w:val="18"/>
              </w:rPr>
              <w:t>with reliable</w:t>
            </w:r>
            <w:r>
              <w:rPr>
                <w:color w:val="FFFFFF"/>
                <w:spacing w:val="-2"/>
                <w:sz w:val="18"/>
              </w:rPr>
              <w:t xml:space="preserve"> </w:t>
            </w:r>
            <w:r>
              <w:rPr>
                <w:color w:val="FFFFFF"/>
                <w:sz w:val="18"/>
              </w:rPr>
              <w:t>and safe</w:t>
            </w:r>
            <w:r>
              <w:rPr>
                <w:color w:val="FFFFFF"/>
                <w:spacing w:val="-2"/>
                <w:sz w:val="18"/>
              </w:rPr>
              <w:t xml:space="preserve"> </w:t>
            </w:r>
            <w:r>
              <w:rPr>
                <w:color w:val="FFFFFF"/>
                <w:sz w:val="18"/>
              </w:rPr>
              <w:t>drinking</w:t>
            </w:r>
            <w:r>
              <w:rPr>
                <w:color w:val="FFFFFF"/>
                <w:spacing w:val="-1"/>
                <w:sz w:val="18"/>
              </w:rPr>
              <w:t xml:space="preserve"> </w:t>
            </w:r>
            <w:r>
              <w:rPr>
                <w:color w:val="FFFFFF"/>
                <w:spacing w:val="-4"/>
                <w:sz w:val="18"/>
              </w:rPr>
              <w:t>water</w:t>
            </w:r>
          </w:p>
        </w:tc>
      </w:tr>
      <w:tr w:rsidR="00141B97" w14:paraId="64ABB027" w14:textId="77777777">
        <w:trPr>
          <w:trHeight w:val="1576"/>
          <w:tblCellSpacing w:w="9" w:type="dxa"/>
        </w:trPr>
        <w:tc>
          <w:tcPr>
            <w:tcW w:w="2287" w:type="dxa"/>
            <w:tcBorders>
              <w:left w:val="nil"/>
            </w:tcBorders>
            <w:shd w:val="clear" w:color="auto" w:fill="CCE2ED"/>
          </w:tcPr>
          <w:p w14:paraId="7E67439C" w14:textId="77777777" w:rsidR="00141B97" w:rsidRDefault="00911D63">
            <w:pPr>
              <w:pStyle w:val="TableParagraph"/>
              <w:ind w:left="88"/>
              <w:rPr>
                <w:sz w:val="18"/>
              </w:rPr>
            </w:pPr>
            <w:r>
              <w:rPr>
                <w:sz w:val="18"/>
              </w:rPr>
              <w:t>Performance</w:t>
            </w:r>
            <w:r>
              <w:rPr>
                <w:spacing w:val="-9"/>
                <w:sz w:val="18"/>
              </w:rPr>
              <w:t xml:space="preserve"> </w:t>
            </w:r>
            <w:r>
              <w:rPr>
                <w:sz w:val="18"/>
              </w:rPr>
              <w:t>measures</w:t>
            </w:r>
            <w:r>
              <w:rPr>
                <w:spacing w:val="-7"/>
                <w:sz w:val="18"/>
              </w:rPr>
              <w:t xml:space="preserve"> </w:t>
            </w:r>
            <w:r>
              <w:rPr>
                <w:sz w:val="18"/>
              </w:rPr>
              <w:t xml:space="preserve">and </w:t>
            </w:r>
            <w:r>
              <w:rPr>
                <w:spacing w:val="-2"/>
                <w:sz w:val="18"/>
              </w:rPr>
              <w:t>targets</w:t>
            </w:r>
          </w:p>
        </w:tc>
        <w:tc>
          <w:tcPr>
            <w:tcW w:w="7454" w:type="dxa"/>
            <w:tcBorders>
              <w:right w:val="nil"/>
            </w:tcBorders>
            <w:shd w:val="clear" w:color="auto" w:fill="CCE2ED"/>
          </w:tcPr>
          <w:p w14:paraId="5A99B95F" w14:textId="77777777" w:rsidR="00141B97" w:rsidRDefault="00911D63">
            <w:pPr>
              <w:pStyle w:val="TableParagraph"/>
              <w:numPr>
                <w:ilvl w:val="0"/>
                <w:numId w:val="71"/>
              </w:numPr>
              <w:tabs>
                <w:tab w:val="left" w:pos="412"/>
                <w:tab w:val="left" w:pos="413"/>
              </w:tabs>
              <w:ind w:right="483"/>
              <w:rPr>
                <w:sz w:val="18"/>
              </w:rPr>
            </w:pPr>
            <w:r>
              <w:rPr>
                <w:sz w:val="18"/>
              </w:rPr>
              <w:t>Compliance</w:t>
            </w:r>
            <w:r>
              <w:rPr>
                <w:spacing w:val="-1"/>
                <w:sz w:val="18"/>
              </w:rPr>
              <w:t xml:space="preserve"> </w:t>
            </w:r>
            <w:r>
              <w:rPr>
                <w:sz w:val="18"/>
              </w:rPr>
              <w:t>with</w:t>
            </w:r>
            <w:r>
              <w:rPr>
                <w:spacing w:val="-1"/>
                <w:sz w:val="18"/>
              </w:rPr>
              <w:t xml:space="preserve"> </w:t>
            </w:r>
            <w:r>
              <w:rPr>
                <w:sz w:val="18"/>
              </w:rPr>
              <w:t>Schedule</w:t>
            </w:r>
            <w:r>
              <w:rPr>
                <w:spacing w:val="-2"/>
                <w:sz w:val="18"/>
              </w:rPr>
              <w:t xml:space="preserve"> </w:t>
            </w:r>
            <w:r>
              <w:rPr>
                <w:sz w:val="18"/>
              </w:rPr>
              <w:t>2</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Safe</w:t>
            </w:r>
            <w:r>
              <w:rPr>
                <w:spacing w:val="-2"/>
                <w:sz w:val="18"/>
              </w:rPr>
              <w:t xml:space="preserve"> </w:t>
            </w:r>
            <w:r>
              <w:rPr>
                <w:sz w:val="18"/>
              </w:rPr>
              <w:t>Drinking</w:t>
            </w:r>
            <w:r>
              <w:rPr>
                <w:spacing w:val="-2"/>
                <w:sz w:val="18"/>
              </w:rPr>
              <w:t xml:space="preserve"> </w:t>
            </w:r>
            <w:r>
              <w:rPr>
                <w:sz w:val="18"/>
              </w:rPr>
              <w:t>Water</w:t>
            </w:r>
            <w:r>
              <w:rPr>
                <w:spacing w:val="-1"/>
                <w:sz w:val="18"/>
              </w:rPr>
              <w:t xml:space="preserve"> </w:t>
            </w:r>
            <w:r>
              <w:rPr>
                <w:sz w:val="18"/>
              </w:rPr>
              <w:t>Regulations</w:t>
            </w:r>
            <w:r>
              <w:rPr>
                <w:spacing w:val="-1"/>
                <w:sz w:val="18"/>
              </w:rPr>
              <w:t xml:space="preserve"> </w:t>
            </w:r>
            <w:r>
              <w:rPr>
                <w:sz w:val="18"/>
              </w:rPr>
              <w:t>(schedule</w:t>
            </w:r>
            <w:r>
              <w:rPr>
                <w:spacing w:val="-2"/>
                <w:sz w:val="18"/>
              </w:rPr>
              <w:t xml:space="preserve"> </w:t>
            </w:r>
            <w:r>
              <w:rPr>
                <w:sz w:val="18"/>
              </w:rPr>
              <w:t>2)</w:t>
            </w:r>
            <w:r>
              <w:rPr>
                <w:spacing w:val="-1"/>
                <w:sz w:val="18"/>
              </w:rPr>
              <w:t xml:space="preserve"> </w:t>
            </w:r>
            <w:r>
              <w:rPr>
                <w:sz w:val="18"/>
              </w:rPr>
              <w:t>‐</w:t>
            </w:r>
            <w:r>
              <w:rPr>
                <w:spacing w:val="-2"/>
                <w:sz w:val="18"/>
              </w:rPr>
              <w:t xml:space="preserve"> </w:t>
            </w:r>
            <w:r>
              <w:rPr>
                <w:sz w:val="18"/>
              </w:rPr>
              <w:t>Target</w:t>
            </w:r>
            <w:r>
              <w:rPr>
                <w:spacing w:val="-1"/>
                <w:sz w:val="18"/>
              </w:rPr>
              <w:t xml:space="preserve"> </w:t>
            </w:r>
            <w:r>
              <w:rPr>
                <w:sz w:val="18"/>
              </w:rPr>
              <w:t>= 100% (No reportable incidents)</w:t>
            </w:r>
          </w:p>
          <w:p w14:paraId="56695B89" w14:textId="77777777" w:rsidR="00141B97" w:rsidRDefault="00911D63">
            <w:pPr>
              <w:pStyle w:val="TableParagraph"/>
              <w:numPr>
                <w:ilvl w:val="0"/>
                <w:numId w:val="71"/>
              </w:numPr>
              <w:tabs>
                <w:tab w:val="left" w:pos="412"/>
                <w:tab w:val="left" w:pos="413"/>
              </w:tabs>
              <w:ind w:right="733"/>
              <w:rPr>
                <w:sz w:val="18"/>
              </w:rPr>
            </w:pPr>
            <w:r>
              <w:rPr>
                <w:sz w:val="18"/>
              </w:rPr>
              <w:t>Customer</w:t>
            </w:r>
            <w:r>
              <w:rPr>
                <w:spacing w:val="-1"/>
                <w:sz w:val="18"/>
              </w:rPr>
              <w:t xml:space="preserve"> </w:t>
            </w:r>
            <w:r>
              <w:rPr>
                <w:sz w:val="18"/>
              </w:rPr>
              <w:t>satisfaction</w:t>
            </w:r>
            <w:r>
              <w:rPr>
                <w:spacing w:val="-1"/>
                <w:sz w:val="18"/>
              </w:rPr>
              <w:t xml:space="preserve"> </w:t>
            </w:r>
            <w:r>
              <w:rPr>
                <w:sz w:val="18"/>
              </w:rPr>
              <w:t>of</w:t>
            </w:r>
            <w:r>
              <w:rPr>
                <w:spacing w:val="-1"/>
                <w:sz w:val="18"/>
              </w:rPr>
              <w:t xml:space="preserve"> </w:t>
            </w:r>
            <w:r>
              <w:rPr>
                <w:sz w:val="18"/>
              </w:rPr>
              <w:t>water</w:t>
            </w:r>
            <w:r>
              <w:rPr>
                <w:spacing w:val="-1"/>
                <w:sz w:val="18"/>
              </w:rPr>
              <w:t xml:space="preserve"> </w:t>
            </w:r>
            <w:r>
              <w:rPr>
                <w:sz w:val="18"/>
              </w:rPr>
              <w:t>services</w:t>
            </w:r>
            <w:r>
              <w:rPr>
                <w:spacing w:val="-2"/>
                <w:sz w:val="18"/>
              </w:rPr>
              <w:t xml:space="preserve"> </w:t>
            </w:r>
            <w:r>
              <w:rPr>
                <w:sz w:val="18"/>
              </w:rPr>
              <w:t>‐</w:t>
            </w:r>
            <w:r>
              <w:rPr>
                <w:spacing w:val="-1"/>
                <w:sz w:val="18"/>
              </w:rPr>
              <w:t xml:space="preserve"> </w:t>
            </w:r>
            <w:r>
              <w:rPr>
                <w:sz w:val="18"/>
              </w:rPr>
              <w:t>Target</w:t>
            </w:r>
            <w:r>
              <w:rPr>
                <w:spacing w:val="-2"/>
                <w:sz w:val="18"/>
              </w:rPr>
              <w:t xml:space="preserve"> </w:t>
            </w:r>
            <w:r>
              <w:rPr>
                <w:sz w:val="18"/>
              </w:rPr>
              <w:t>=</w:t>
            </w:r>
            <w:r>
              <w:rPr>
                <w:spacing w:val="-1"/>
                <w:sz w:val="18"/>
              </w:rPr>
              <w:t xml:space="preserve"> </w:t>
            </w:r>
            <w:r>
              <w:rPr>
                <w:sz w:val="18"/>
              </w:rPr>
              <w:t>&gt;/=</w:t>
            </w:r>
            <w:r>
              <w:rPr>
                <w:spacing w:val="-1"/>
                <w:sz w:val="18"/>
              </w:rPr>
              <w:t xml:space="preserve"> </w:t>
            </w:r>
            <w:r>
              <w:rPr>
                <w:sz w:val="18"/>
              </w:rPr>
              <w:t>prior</w:t>
            </w:r>
            <w:r>
              <w:rPr>
                <w:spacing w:val="-1"/>
                <w:sz w:val="18"/>
              </w:rPr>
              <w:t xml:space="preserve"> </w:t>
            </w:r>
            <w:r>
              <w:rPr>
                <w:sz w:val="18"/>
              </w:rPr>
              <w:t>year</w:t>
            </w:r>
            <w:r>
              <w:rPr>
                <w:spacing w:val="-1"/>
                <w:sz w:val="18"/>
              </w:rPr>
              <w:t xml:space="preserve"> </w:t>
            </w:r>
            <w:r>
              <w:rPr>
                <w:sz w:val="18"/>
              </w:rPr>
              <w:t>performance</w:t>
            </w:r>
            <w:r>
              <w:rPr>
                <w:spacing w:val="-2"/>
                <w:sz w:val="18"/>
              </w:rPr>
              <w:t xml:space="preserve"> </w:t>
            </w:r>
            <w:r>
              <w:rPr>
                <w:sz w:val="18"/>
              </w:rPr>
              <w:t>of</w:t>
            </w:r>
            <w:r>
              <w:rPr>
                <w:spacing w:val="-1"/>
                <w:sz w:val="18"/>
              </w:rPr>
              <w:t xml:space="preserve"> </w:t>
            </w:r>
            <w:r>
              <w:rPr>
                <w:sz w:val="18"/>
              </w:rPr>
              <w:t xml:space="preserve">survey </w:t>
            </w:r>
            <w:r>
              <w:rPr>
                <w:spacing w:val="-2"/>
                <w:sz w:val="18"/>
              </w:rPr>
              <w:t>respondents</w:t>
            </w:r>
          </w:p>
          <w:p w14:paraId="22E9716F" w14:textId="77777777" w:rsidR="00141B97" w:rsidRDefault="00911D63">
            <w:pPr>
              <w:pStyle w:val="TableParagraph"/>
              <w:numPr>
                <w:ilvl w:val="0"/>
                <w:numId w:val="71"/>
              </w:numPr>
              <w:tabs>
                <w:tab w:val="left" w:pos="412"/>
                <w:tab w:val="left" w:pos="413"/>
              </w:tabs>
              <w:ind w:right="723"/>
              <w:rPr>
                <w:sz w:val="18"/>
              </w:rPr>
            </w:pPr>
            <w:r>
              <w:rPr>
                <w:sz w:val="18"/>
              </w:rPr>
              <w:t>Customer</w:t>
            </w:r>
            <w:r>
              <w:rPr>
                <w:spacing w:val="-1"/>
                <w:sz w:val="18"/>
              </w:rPr>
              <w:t xml:space="preserve"> </w:t>
            </w:r>
            <w:r>
              <w:rPr>
                <w:sz w:val="18"/>
              </w:rPr>
              <w:t>satisfaction</w:t>
            </w:r>
            <w:r>
              <w:rPr>
                <w:spacing w:val="-1"/>
                <w:sz w:val="18"/>
              </w:rPr>
              <w:t xml:space="preserve"> </w:t>
            </w:r>
            <w:r>
              <w:rPr>
                <w:sz w:val="18"/>
              </w:rPr>
              <w:t>of</w:t>
            </w:r>
            <w:r>
              <w:rPr>
                <w:spacing w:val="-1"/>
                <w:sz w:val="18"/>
              </w:rPr>
              <w:t xml:space="preserve"> </w:t>
            </w:r>
            <w:r>
              <w:rPr>
                <w:sz w:val="18"/>
              </w:rPr>
              <w:t>Water</w:t>
            </w:r>
            <w:r>
              <w:rPr>
                <w:spacing w:val="-1"/>
                <w:sz w:val="18"/>
              </w:rPr>
              <w:t xml:space="preserve"> </w:t>
            </w:r>
            <w:r>
              <w:rPr>
                <w:sz w:val="18"/>
              </w:rPr>
              <w:t>quality</w:t>
            </w:r>
            <w:r>
              <w:rPr>
                <w:spacing w:val="-2"/>
                <w:sz w:val="18"/>
              </w:rPr>
              <w:t xml:space="preserve"> </w:t>
            </w:r>
            <w:r>
              <w:rPr>
                <w:sz w:val="18"/>
              </w:rPr>
              <w:t>‐</w:t>
            </w:r>
            <w:r>
              <w:rPr>
                <w:spacing w:val="-1"/>
                <w:sz w:val="18"/>
              </w:rPr>
              <w:t xml:space="preserve"> </w:t>
            </w:r>
            <w:r>
              <w:rPr>
                <w:sz w:val="18"/>
              </w:rPr>
              <w:t>Target</w:t>
            </w:r>
            <w:r>
              <w:rPr>
                <w:spacing w:val="-1"/>
                <w:sz w:val="18"/>
              </w:rPr>
              <w:t xml:space="preserve"> </w:t>
            </w:r>
            <w:r>
              <w:rPr>
                <w:sz w:val="18"/>
              </w:rPr>
              <w:t>=</w:t>
            </w:r>
            <w:r>
              <w:rPr>
                <w:spacing w:val="-2"/>
                <w:sz w:val="18"/>
              </w:rPr>
              <w:t xml:space="preserve"> </w:t>
            </w:r>
            <w:r>
              <w:rPr>
                <w:sz w:val="18"/>
              </w:rPr>
              <w:t>&gt;/=</w:t>
            </w:r>
            <w:r>
              <w:rPr>
                <w:spacing w:val="-1"/>
                <w:sz w:val="18"/>
              </w:rPr>
              <w:t xml:space="preserve"> </w:t>
            </w:r>
            <w:r>
              <w:rPr>
                <w:sz w:val="18"/>
              </w:rPr>
              <w:t>prior</w:t>
            </w:r>
            <w:r>
              <w:rPr>
                <w:spacing w:val="-1"/>
                <w:sz w:val="18"/>
              </w:rPr>
              <w:t xml:space="preserve"> </w:t>
            </w:r>
            <w:r>
              <w:rPr>
                <w:sz w:val="18"/>
              </w:rPr>
              <w:t>year</w:t>
            </w:r>
            <w:r>
              <w:rPr>
                <w:spacing w:val="-1"/>
                <w:sz w:val="18"/>
              </w:rPr>
              <w:t xml:space="preserve"> </w:t>
            </w:r>
            <w:r>
              <w:rPr>
                <w:sz w:val="18"/>
              </w:rPr>
              <w:t>performance</w:t>
            </w:r>
            <w:r>
              <w:rPr>
                <w:spacing w:val="-2"/>
                <w:sz w:val="18"/>
              </w:rPr>
              <w:t xml:space="preserve"> </w:t>
            </w:r>
            <w:r>
              <w:rPr>
                <w:sz w:val="18"/>
              </w:rPr>
              <w:t>for</w:t>
            </w:r>
            <w:r>
              <w:rPr>
                <w:spacing w:val="-1"/>
                <w:sz w:val="18"/>
              </w:rPr>
              <w:t xml:space="preserve"> </w:t>
            </w:r>
            <w:r>
              <w:rPr>
                <w:sz w:val="18"/>
              </w:rPr>
              <w:t xml:space="preserve">survey </w:t>
            </w:r>
            <w:r>
              <w:rPr>
                <w:spacing w:val="-2"/>
                <w:sz w:val="18"/>
              </w:rPr>
              <w:t>respondents</w:t>
            </w:r>
          </w:p>
          <w:p w14:paraId="70B180EB" w14:textId="77777777" w:rsidR="00141B97" w:rsidRDefault="00911D63">
            <w:pPr>
              <w:pStyle w:val="TableParagraph"/>
              <w:numPr>
                <w:ilvl w:val="0"/>
                <w:numId w:val="71"/>
              </w:numPr>
              <w:tabs>
                <w:tab w:val="left" w:pos="412"/>
                <w:tab w:val="left" w:pos="413"/>
              </w:tabs>
              <w:spacing w:line="208" w:lineRule="exact"/>
              <w:rPr>
                <w:sz w:val="18"/>
              </w:rPr>
            </w:pPr>
            <w:r>
              <w:rPr>
                <w:sz w:val="18"/>
              </w:rPr>
              <w:t>Taste</w:t>
            </w:r>
            <w:r>
              <w:rPr>
                <w:spacing w:val="-5"/>
                <w:sz w:val="18"/>
              </w:rPr>
              <w:t xml:space="preserve"> </w:t>
            </w:r>
            <w:r>
              <w:rPr>
                <w:sz w:val="18"/>
              </w:rPr>
              <w:t>and</w:t>
            </w:r>
            <w:r>
              <w:rPr>
                <w:spacing w:val="-2"/>
                <w:sz w:val="18"/>
              </w:rPr>
              <w:t xml:space="preserve"> </w:t>
            </w:r>
            <w:r>
              <w:rPr>
                <w:sz w:val="18"/>
              </w:rPr>
              <w:t>odour</w:t>
            </w:r>
            <w:r>
              <w:rPr>
                <w:spacing w:val="-3"/>
                <w:sz w:val="18"/>
              </w:rPr>
              <w:t xml:space="preserve"> </w:t>
            </w:r>
            <w:r>
              <w:rPr>
                <w:sz w:val="18"/>
              </w:rPr>
              <w:t>complaints</w:t>
            </w:r>
            <w:r>
              <w:rPr>
                <w:spacing w:val="-2"/>
                <w:sz w:val="18"/>
              </w:rPr>
              <w:t xml:space="preserve"> </w:t>
            </w:r>
            <w:r>
              <w:rPr>
                <w:sz w:val="18"/>
              </w:rPr>
              <w:t>–</w:t>
            </w:r>
            <w:r>
              <w:rPr>
                <w:spacing w:val="-2"/>
                <w:sz w:val="18"/>
              </w:rPr>
              <w:t xml:space="preserve"> </w:t>
            </w:r>
            <w:r>
              <w:rPr>
                <w:sz w:val="18"/>
              </w:rPr>
              <w:t>Target</w:t>
            </w:r>
            <w:r>
              <w:rPr>
                <w:spacing w:val="-3"/>
                <w:sz w:val="18"/>
              </w:rPr>
              <w:t xml:space="preserve"> </w:t>
            </w:r>
            <w:r>
              <w:rPr>
                <w:sz w:val="18"/>
              </w:rPr>
              <w:t>=</w:t>
            </w:r>
            <w:r>
              <w:rPr>
                <w:spacing w:val="-2"/>
                <w:sz w:val="18"/>
              </w:rPr>
              <w:t xml:space="preserve"> </w:t>
            </w:r>
            <w:r>
              <w:rPr>
                <w:sz w:val="18"/>
              </w:rPr>
              <w:t>25</w:t>
            </w:r>
            <w:r>
              <w:rPr>
                <w:spacing w:val="-2"/>
                <w:sz w:val="18"/>
              </w:rPr>
              <w:t xml:space="preserve"> </w:t>
            </w:r>
            <w:r>
              <w:rPr>
                <w:sz w:val="18"/>
              </w:rPr>
              <w:t>or</w:t>
            </w:r>
            <w:r>
              <w:rPr>
                <w:spacing w:val="-2"/>
                <w:sz w:val="18"/>
              </w:rPr>
              <w:t xml:space="preserve"> </w:t>
            </w:r>
            <w:r>
              <w:rPr>
                <w:spacing w:val="-4"/>
                <w:sz w:val="18"/>
              </w:rPr>
              <w:t>less</w:t>
            </w:r>
          </w:p>
        </w:tc>
      </w:tr>
      <w:tr w:rsidR="00141B97" w14:paraId="6098A565" w14:textId="77777777">
        <w:trPr>
          <w:trHeight w:val="439"/>
          <w:tblCellSpacing w:w="9" w:type="dxa"/>
        </w:trPr>
        <w:tc>
          <w:tcPr>
            <w:tcW w:w="2287" w:type="dxa"/>
            <w:tcBorders>
              <w:left w:val="nil"/>
            </w:tcBorders>
            <w:shd w:val="clear" w:color="auto" w:fill="CCE2ED"/>
          </w:tcPr>
          <w:p w14:paraId="2991C0E1" w14:textId="77777777" w:rsidR="00141B97" w:rsidRDefault="00911D63">
            <w:pPr>
              <w:pStyle w:val="TableParagraph"/>
              <w:spacing w:line="220" w:lineRule="atLeast"/>
              <w:ind w:left="88"/>
              <w:rPr>
                <w:sz w:val="18"/>
              </w:rPr>
            </w:pPr>
            <w:r>
              <w:rPr>
                <w:sz w:val="18"/>
              </w:rPr>
              <w:t>Guaranteed</w:t>
            </w:r>
            <w:r>
              <w:rPr>
                <w:spacing w:val="-8"/>
                <w:sz w:val="18"/>
              </w:rPr>
              <w:t xml:space="preserve"> </w:t>
            </w:r>
            <w:r>
              <w:rPr>
                <w:sz w:val="18"/>
              </w:rPr>
              <w:t>Service</w:t>
            </w:r>
            <w:r>
              <w:rPr>
                <w:spacing w:val="-10"/>
                <w:sz w:val="18"/>
              </w:rPr>
              <w:t xml:space="preserve"> </w:t>
            </w:r>
            <w:r>
              <w:rPr>
                <w:sz w:val="18"/>
              </w:rPr>
              <w:t xml:space="preserve">Levels </w:t>
            </w:r>
            <w:r>
              <w:rPr>
                <w:spacing w:val="-2"/>
                <w:sz w:val="18"/>
              </w:rPr>
              <w:t>(GSL)</w:t>
            </w:r>
          </w:p>
        </w:tc>
        <w:tc>
          <w:tcPr>
            <w:tcW w:w="7454" w:type="dxa"/>
            <w:tcBorders>
              <w:right w:val="nil"/>
            </w:tcBorders>
            <w:shd w:val="clear" w:color="auto" w:fill="CCE2ED"/>
          </w:tcPr>
          <w:p w14:paraId="57A1431D" w14:textId="77777777" w:rsidR="00141B97" w:rsidRDefault="00911D63">
            <w:pPr>
              <w:pStyle w:val="TableParagraph"/>
              <w:numPr>
                <w:ilvl w:val="0"/>
                <w:numId w:val="70"/>
              </w:numPr>
              <w:tabs>
                <w:tab w:val="left" w:pos="412"/>
                <w:tab w:val="left" w:pos="413"/>
              </w:tabs>
              <w:spacing w:before="1"/>
              <w:rPr>
                <w:sz w:val="18"/>
              </w:rPr>
            </w:pPr>
            <w:r>
              <w:rPr>
                <w:sz w:val="18"/>
              </w:rPr>
              <w:t>Greater</w:t>
            </w:r>
            <w:r>
              <w:rPr>
                <w:spacing w:val="-4"/>
                <w:sz w:val="18"/>
              </w:rPr>
              <w:t xml:space="preserve"> </w:t>
            </w:r>
            <w:r>
              <w:rPr>
                <w:sz w:val="18"/>
              </w:rPr>
              <w:t>than</w:t>
            </w:r>
            <w:r>
              <w:rPr>
                <w:spacing w:val="-2"/>
                <w:sz w:val="18"/>
              </w:rPr>
              <w:t xml:space="preserve"> </w:t>
            </w:r>
            <w:r>
              <w:rPr>
                <w:sz w:val="18"/>
              </w:rPr>
              <w:t>5</w:t>
            </w:r>
            <w:r>
              <w:rPr>
                <w:spacing w:val="-1"/>
                <w:sz w:val="18"/>
              </w:rPr>
              <w:t xml:space="preserve"> </w:t>
            </w:r>
            <w:r>
              <w:rPr>
                <w:sz w:val="18"/>
              </w:rPr>
              <w:t>unplanned</w:t>
            </w:r>
            <w:r>
              <w:rPr>
                <w:spacing w:val="-2"/>
                <w:sz w:val="18"/>
              </w:rPr>
              <w:t xml:space="preserve"> </w:t>
            </w:r>
            <w:r>
              <w:rPr>
                <w:sz w:val="18"/>
              </w:rPr>
              <w:t>water</w:t>
            </w:r>
            <w:r>
              <w:rPr>
                <w:spacing w:val="-2"/>
                <w:sz w:val="18"/>
              </w:rPr>
              <w:t xml:space="preserve"> </w:t>
            </w:r>
            <w:r>
              <w:rPr>
                <w:sz w:val="18"/>
              </w:rPr>
              <w:t>supply</w:t>
            </w:r>
            <w:r>
              <w:rPr>
                <w:spacing w:val="-2"/>
                <w:sz w:val="18"/>
              </w:rPr>
              <w:t xml:space="preserve"> </w:t>
            </w:r>
            <w:r>
              <w:rPr>
                <w:sz w:val="18"/>
              </w:rPr>
              <w:t>service</w:t>
            </w:r>
            <w:r>
              <w:rPr>
                <w:spacing w:val="-1"/>
                <w:sz w:val="18"/>
              </w:rPr>
              <w:t xml:space="preserve"> </w:t>
            </w:r>
            <w:r>
              <w:rPr>
                <w:sz w:val="18"/>
              </w:rPr>
              <w:t>interruptions</w:t>
            </w:r>
            <w:r>
              <w:rPr>
                <w:spacing w:val="-2"/>
                <w:sz w:val="18"/>
              </w:rPr>
              <w:t xml:space="preserve"> ($75)</w:t>
            </w:r>
          </w:p>
        </w:tc>
      </w:tr>
      <w:tr w:rsidR="00141B97" w14:paraId="7018164F" w14:textId="77777777">
        <w:trPr>
          <w:trHeight w:val="280"/>
          <w:tblCellSpacing w:w="9" w:type="dxa"/>
        </w:trPr>
        <w:tc>
          <w:tcPr>
            <w:tcW w:w="2287" w:type="dxa"/>
            <w:tcBorders>
              <w:left w:val="nil"/>
            </w:tcBorders>
            <w:shd w:val="clear" w:color="auto" w:fill="CCE2ED"/>
          </w:tcPr>
          <w:p w14:paraId="5B0E092D" w14:textId="77777777" w:rsidR="00141B97" w:rsidRDefault="00911D63">
            <w:pPr>
              <w:pStyle w:val="TableParagraph"/>
              <w:ind w:left="88"/>
              <w:rPr>
                <w:sz w:val="18"/>
              </w:rPr>
            </w:pPr>
            <w:r>
              <w:rPr>
                <w:sz w:val="18"/>
              </w:rPr>
              <w:t>ESC</w:t>
            </w:r>
            <w:r>
              <w:rPr>
                <w:spacing w:val="-3"/>
                <w:sz w:val="18"/>
              </w:rPr>
              <w:t xml:space="preserve"> </w:t>
            </w:r>
            <w:r>
              <w:rPr>
                <w:spacing w:val="-2"/>
                <w:sz w:val="18"/>
              </w:rPr>
              <w:t>Measures</w:t>
            </w:r>
          </w:p>
        </w:tc>
        <w:tc>
          <w:tcPr>
            <w:tcW w:w="7454" w:type="dxa"/>
            <w:tcBorders>
              <w:right w:val="nil"/>
            </w:tcBorders>
            <w:shd w:val="clear" w:color="auto" w:fill="CCE2ED"/>
          </w:tcPr>
          <w:p w14:paraId="4482FC5B" w14:textId="77777777" w:rsidR="00141B97" w:rsidRDefault="00911D63">
            <w:pPr>
              <w:pStyle w:val="TableParagraph"/>
              <w:numPr>
                <w:ilvl w:val="0"/>
                <w:numId w:val="69"/>
              </w:numPr>
              <w:tabs>
                <w:tab w:val="left" w:pos="412"/>
                <w:tab w:val="left" w:pos="413"/>
              </w:tabs>
              <w:rPr>
                <w:sz w:val="18"/>
              </w:rPr>
            </w:pPr>
            <w:r>
              <w:rPr>
                <w:sz w:val="18"/>
              </w:rPr>
              <w:t>Zero</w:t>
            </w:r>
            <w:r>
              <w:rPr>
                <w:spacing w:val="-2"/>
                <w:sz w:val="18"/>
              </w:rPr>
              <w:t xml:space="preserve"> </w:t>
            </w:r>
            <w:r>
              <w:rPr>
                <w:sz w:val="18"/>
              </w:rPr>
              <w:t>boil</w:t>
            </w:r>
            <w:r>
              <w:rPr>
                <w:spacing w:val="-2"/>
                <w:sz w:val="18"/>
              </w:rPr>
              <w:t xml:space="preserve"> </w:t>
            </w:r>
            <w:r>
              <w:rPr>
                <w:sz w:val="18"/>
              </w:rPr>
              <w:t>water</w:t>
            </w:r>
            <w:r>
              <w:rPr>
                <w:spacing w:val="-1"/>
                <w:sz w:val="18"/>
              </w:rPr>
              <w:t xml:space="preserve"> </w:t>
            </w:r>
            <w:r>
              <w:rPr>
                <w:sz w:val="18"/>
              </w:rPr>
              <w:t>notices</w:t>
            </w:r>
            <w:r>
              <w:rPr>
                <w:spacing w:val="-2"/>
                <w:sz w:val="18"/>
              </w:rPr>
              <w:t xml:space="preserve"> </w:t>
            </w:r>
            <w:r>
              <w:rPr>
                <w:sz w:val="18"/>
              </w:rPr>
              <w:t xml:space="preserve">per </w:t>
            </w:r>
            <w:r>
              <w:rPr>
                <w:spacing w:val="-4"/>
                <w:sz w:val="18"/>
              </w:rPr>
              <w:t>annum</w:t>
            </w:r>
          </w:p>
        </w:tc>
      </w:tr>
      <w:tr w:rsidR="00141B97" w14:paraId="3CEB5A95" w14:textId="77777777">
        <w:trPr>
          <w:trHeight w:val="2245"/>
          <w:tblCellSpacing w:w="9" w:type="dxa"/>
        </w:trPr>
        <w:tc>
          <w:tcPr>
            <w:tcW w:w="2287" w:type="dxa"/>
            <w:tcBorders>
              <w:left w:val="nil"/>
            </w:tcBorders>
            <w:shd w:val="clear" w:color="auto" w:fill="CCE2ED"/>
          </w:tcPr>
          <w:p w14:paraId="671CBA13" w14:textId="77777777" w:rsidR="00141B97" w:rsidRDefault="00911D63">
            <w:pPr>
              <w:pStyle w:val="TableParagraph"/>
              <w:spacing w:before="1"/>
              <w:ind w:left="88"/>
              <w:rPr>
                <w:sz w:val="18"/>
              </w:rPr>
            </w:pPr>
            <w:r>
              <w:rPr>
                <w:sz w:val="18"/>
              </w:rPr>
              <w:t>Major</w:t>
            </w:r>
            <w:r>
              <w:rPr>
                <w:spacing w:val="-4"/>
                <w:sz w:val="18"/>
              </w:rPr>
              <w:t xml:space="preserve"> </w:t>
            </w:r>
            <w:r>
              <w:rPr>
                <w:sz w:val="18"/>
              </w:rPr>
              <w:t>change</w:t>
            </w:r>
            <w:r>
              <w:rPr>
                <w:spacing w:val="-2"/>
                <w:sz w:val="18"/>
              </w:rPr>
              <w:t xml:space="preserve"> projects</w:t>
            </w:r>
          </w:p>
        </w:tc>
        <w:tc>
          <w:tcPr>
            <w:tcW w:w="7454" w:type="dxa"/>
            <w:tcBorders>
              <w:right w:val="nil"/>
            </w:tcBorders>
            <w:shd w:val="clear" w:color="auto" w:fill="CCE2ED"/>
          </w:tcPr>
          <w:p w14:paraId="541B61F6" w14:textId="77777777" w:rsidR="00141B97" w:rsidRDefault="00911D63">
            <w:pPr>
              <w:pStyle w:val="TableParagraph"/>
              <w:numPr>
                <w:ilvl w:val="0"/>
                <w:numId w:val="68"/>
              </w:numPr>
              <w:tabs>
                <w:tab w:val="left" w:pos="412"/>
                <w:tab w:val="left" w:pos="413"/>
              </w:tabs>
              <w:spacing w:before="1"/>
              <w:ind w:right="315"/>
              <w:rPr>
                <w:sz w:val="18"/>
              </w:rPr>
            </w:pPr>
            <w:r>
              <w:rPr>
                <w:sz w:val="18"/>
              </w:rPr>
              <w:t>Improve</w:t>
            </w:r>
            <w:r>
              <w:rPr>
                <w:spacing w:val="-1"/>
                <w:sz w:val="18"/>
              </w:rPr>
              <w:t xml:space="preserve"> </w:t>
            </w:r>
            <w:r>
              <w:rPr>
                <w:sz w:val="18"/>
              </w:rPr>
              <w:t>water</w:t>
            </w:r>
            <w:r>
              <w:rPr>
                <w:spacing w:val="-2"/>
                <w:sz w:val="18"/>
              </w:rPr>
              <w:t xml:space="preserve"> </w:t>
            </w:r>
            <w:r>
              <w:rPr>
                <w:sz w:val="18"/>
              </w:rPr>
              <w:t>quality</w:t>
            </w:r>
            <w:r>
              <w:rPr>
                <w:spacing w:val="-2"/>
                <w:sz w:val="18"/>
              </w:rPr>
              <w:t xml:space="preserve"> </w:t>
            </w:r>
            <w:r>
              <w:rPr>
                <w:sz w:val="18"/>
              </w:rPr>
              <w:t>process</w:t>
            </w:r>
            <w:r>
              <w:rPr>
                <w:spacing w:val="-2"/>
                <w:sz w:val="18"/>
              </w:rPr>
              <w:t xml:space="preserve"> </w:t>
            </w:r>
            <w:r>
              <w:rPr>
                <w:sz w:val="18"/>
              </w:rPr>
              <w:t>under</w:t>
            </w:r>
            <w:r>
              <w:rPr>
                <w:spacing w:val="-1"/>
                <w:sz w:val="18"/>
              </w:rPr>
              <w:t xml:space="preserve"> </w:t>
            </w:r>
            <w:r>
              <w:rPr>
                <w:sz w:val="18"/>
              </w:rPr>
              <w:t>stressed</w:t>
            </w:r>
            <w:r>
              <w:rPr>
                <w:spacing w:val="-2"/>
                <w:sz w:val="18"/>
              </w:rPr>
              <w:t xml:space="preserve"> </w:t>
            </w:r>
            <w:r>
              <w:rPr>
                <w:sz w:val="18"/>
              </w:rPr>
              <w:t>river</w:t>
            </w:r>
            <w:r>
              <w:rPr>
                <w:spacing w:val="-1"/>
                <w:sz w:val="18"/>
              </w:rPr>
              <w:t xml:space="preserve"> </w:t>
            </w:r>
            <w:r>
              <w:rPr>
                <w:sz w:val="18"/>
              </w:rPr>
              <w:t>conditions</w:t>
            </w:r>
            <w:r>
              <w:rPr>
                <w:spacing w:val="-1"/>
                <w:sz w:val="18"/>
              </w:rPr>
              <w:t xml:space="preserve"> </w:t>
            </w:r>
            <w:r>
              <w:rPr>
                <w:sz w:val="18"/>
              </w:rPr>
              <w:t>at</w:t>
            </w:r>
            <w:r>
              <w:rPr>
                <w:spacing w:val="-2"/>
                <w:sz w:val="18"/>
              </w:rPr>
              <w:t xml:space="preserve"> </w:t>
            </w:r>
            <w:r>
              <w:rPr>
                <w:sz w:val="18"/>
              </w:rPr>
              <w:t>WTPs</w:t>
            </w:r>
            <w:r>
              <w:rPr>
                <w:spacing w:val="-1"/>
                <w:sz w:val="18"/>
              </w:rPr>
              <w:t xml:space="preserve"> </w:t>
            </w:r>
            <w:r>
              <w:rPr>
                <w:sz w:val="18"/>
              </w:rPr>
              <w:t>to</w:t>
            </w:r>
            <w:r>
              <w:rPr>
                <w:spacing w:val="-2"/>
                <w:sz w:val="18"/>
              </w:rPr>
              <w:t xml:space="preserve"> </w:t>
            </w:r>
            <w:r>
              <w:rPr>
                <w:sz w:val="18"/>
              </w:rPr>
              <w:t>meet</w:t>
            </w:r>
            <w:r>
              <w:rPr>
                <w:spacing w:val="-2"/>
                <w:sz w:val="18"/>
              </w:rPr>
              <w:t xml:space="preserve"> </w:t>
            </w:r>
            <w:r>
              <w:rPr>
                <w:sz w:val="18"/>
              </w:rPr>
              <w:t xml:space="preserve">health‐based </w:t>
            </w:r>
            <w:r>
              <w:rPr>
                <w:spacing w:val="-2"/>
                <w:sz w:val="18"/>
              </w:rPr>
              <w:t>targets</w:t>
            </w:r>
          </w:p>
          <w:p w14:paraId="398A0C42" w14:textId="77777777" w:rsidR="00141B97" w:rsidRDefault="00911D63">
            <w:pPr>
              <w:pStyle w:val="TableParagraph"/>
              <w:numPr>
                <w:ilvl w:val="0"/>
                <w:numId w:val="68"/>
              </w:numPr>
              <w:tabs>
                <w:tab w:val="left" w:pos="412"/>
                <w:tab w:val="left" w:pos="413"/>
              </w:tabs>
              <w:ind w:right="101"/>
              <w:rPr>
                <w:sz w:val="18"/>
              </w:rPr>
            </w:pPr>
            <w:r>
              <w:rPr>
                <w:sz w:val="18"/>
              </w:rPr>
              <w:t>Invest</w:t>
            </w:r>
            <w:r>
              <w:rPr>
                <w:spacing w:val="-2"/>
                <w:sz w:val="18"/>
              </w:rPr>
              <w:t xml:space="preserve"> </w:t>
            </w:r>
            <w:r>
              <w:rPr>
                <w:sz w:val="18"/>
              </w:rPr>
              <w:t>$5.4m</w:t>
            </w:r>
            <w:r>
              <w:rPr>
                <w:spacing w:val="-1"/>
                <w:sz w:val="18"/>
              </w:rPr>
              <w:t xml:space="preserve"> </w:t>
            </w:r>
            <w:r>
              <w:rPr>
                <w:sz w:val="18"/>
              </w:rPr>
              <w:t>in</w:t>
            </w:r>
            <w:r>
              <w:rPr>
                <w:spacing w:val="-1"/>
                <w:sz w:val="18"/>
              </w:rPr>
              <w:t xml:space="preserve"> </w:t>
            </w:r>
            <w:r>
              <w:rPr>
                <w:sz w:val="18"/>
              </w:rPr>
              <w:t>renewals</w:t>
            </w:r>
            <w:r>
              <w:rPr>
                <w:spacing w:val="-2"/>
                <w:sz w:val="18"/>
              </w:rPr>
              <w:t xml:space="preserve"> </w:t>
            </w:r>
            <w:r>
              <w:rPr>
                <w:sz w:val="18"/>
              </w:rPr>
              <w:t>and</w:t>
            </w:r>
            <w:r>
              <w:rPr>
                <w:spacing w:val="-1"/>
                <w:sz w:val="18"/>
              </w:rPr>
              <w:t xml:space="preserve"> </w:t>
            </w:r>
            <w:r>
              <w:rPr>
                <w:sz w:val="18"/>
              </w:rPr>
              <w:t>replacement</w:t>
            </w:r>
            <w:r>
              <w:rPr>
                <w:spacing w:val="-2"/>
                <w:sz w:val="18"/>
              </w:rPr>
              <w:t xml:space="preserve"> </w:t>
            </w:r>
            <w:r>
              <w:rPr>
                <w:sz w:val="18"/>
              </w:rPr>
              <w:t>of</w:t>
            </w:r>
            <w:r>
              <w:rPr>
                <w:spacing w:val="-1"/>
                <w:sz w:val="18"/>
              </w:rPr>
              <w:t xml:space="preserve"> </w:t>
            </w:r>
            <w:r>
              <w:rPr>
                <w:sz w:val="18"/>
              </w:rPr>
              <w:t>pumping</w:t>
            </w:r>
            <w:r>
              <w:rPr>
                <w:spacing w:val="-2"/>
                <w:sz w:val="18"/>
              </w:rPr>
              <w:t xml:space="preserve"> </w:t>
            </w:r>
            <w:r>
              <w:rPr>
                <w:sz w:val="18"/>
              </w:rPr>
              <w:t>and</w:t>
            </w:r>
            <w:r>
              <w:rPr>
                <w:spacing w:val="-1"/>
                <w:sz w:val="18"/>
              </w:rPr>
              <w:t xml:space="preserve"> </w:t>
            </w:r>
            <w:r>
              <w:rPr>
                <w:sz w:val="18"/>
              </w:rPr>
              <w:t>treatment</w:t>
            </w:r>
            <w:r>
              <w:rPr>
                <w:spacing w:val="-2"/>
                <w:sz w:val="18"/>
              </w:rPr>
              <w:t xml:space="preserve"> </w:t>
            </w:r>
            <w:r>
              <w:rPr>
                <w:sz w:val="18"/>
              </w:rPr>
              <w:t>equipment,</w:t>
            </w:r>
            <w:r>
              <w:rPr>
                <w:spacing w:val="-1"/>
                <w:sz w:val="18"/>
              </w:rPr>
              <w:t xml:space="preserve"> </w:t>
            </w:r>
            <w:r>
              <w:rPr>
                <w:sz w:val="18"/>
              </w:rPr>
              <w:t>switchboards and structures over the period to maintain water quality and system capability</w:t>
            </w:r>
          </w:p>
          <w:p w14:paraId="00051D6B" w14:textId="77777777" w:rsidR="00141B97" w:rsidRDefault="00911D63">
            <w:pPr>
              <w:pStyle w:val="TableParagraph"/>
              <w:numPr>
                <w:ilvl w:val="0"/>
                <w:numId w:val="68"/>
              </w:numPr>
              <w:tabs>
                <w:tab w:val="left" w:pos="412"/>
                <w:tab w:val="left" w:pos="413"/>
              </w:tabs>
              <w:spacing w:line="229" w:lineRule="exact"/>
              <w:rPr>
                <w:sz w:val="18"/>
              </w:rPr>
            </w:pPr>
            <w:r>
              <w:rPr>
                <w:sz w:val="18"/>
              </w:rPr>
              <w:t>Deliver</w:t>
            </w:r>
            <w:r>
              <w:rPr>
                <w:spacing w:val="-2"/>
                <w:sz w:val="18"/>
              </w:rPr>
              <w:t xml:space="preserve"> </w:t>
            </w:r>
            <w:r>
              <w:rPr>
                <w:sz w:val="18"/>
              </w:rPr>
              <w:t>major</w:t>
            </w:r>
            <w:r>
              <w:rPr>
                <w:spacing w:val="-3"/>
                <w:sz w:val="18"/>
              </w:rPr>
              <w:t xml:space="preserve"> </w:t>
            </w:r>
            <w:r>
              <w:rPr>
                <w:sz w:val="18"/>
              </w:rPr>
              <w:t>capital</w:t>
            </w:r>
            <w:r>
              <w:rPr>
                <w:spacing w:val="-3"/>
                <w:sz w:val="18"/>
              </w:rPr>
              <w:t xml:space="preserve"> </w:t>
            </w:r>
            <w:r>
              <w:rPr>
                <w:sz w:val="18"/>
              </w:rPr>
              <w:t>projects</w:t>
            </w:r>
            <w:r>
              <w:rPr>
                <w:spacing w:val="-2"/>
                <w:sz w:val="18"/>
              </w:rPr>
              <w:t xml:space="preserve"> </w:t>
            </w:r>
            <w:r>
              <w:rPr>
                <w:sz w:val="18"/>
              </w:rPr>
              <w:t>on</w:t>
            </w:r>
            <w:r>
              <w:rPr>
                <w:spacing w:val="-3"/>
                <w:sz w:val="18"/>
              </w:rPr>
              <w:t xml:space="preserve"> </w:t>
            </w:r>
            <w:r>
              <w:rPr>
                <w:sz w:val="18"/>
              </w:rPr>
              <w:t>time</w:t>
            </w:r>
            <w:r>
              <w:rPr>
                <w:spacing w:val="-3"/>
                <w:sz w:val="18"/>
              </w:rPr>
              <w:t xml:space="preserve"> </w:t>
            </w:r>
            <w:r>
              <w:rPr>
                <w:sz w:val="18"/>
              </w:rPr>
              <w:t>and</w:t>
            </w:r>
            <w:r>
              <w:rPr>
                <w:spacing w:val="-2"/>
                <w:sz w:val="18"/>
              </w:rPr>
              <w:t xml:space="preserve"> </w:t>
            </w:r>
            <w:r>
              <w:rPr>
                <w:sz w:val="18"/>
              </w:rPr>
              <w:t>budget,</w:t>
            </w:r>
            <w:r>
              <w:rPr>
                <w:spacing w:val="-1"/>
                <w:sz w:val="18"/>
              </w:rPr>
              <w:t xml:space="preserve"> </w:t>
            </w:r>
            <w:r>
              <w:rPr>
                <w:spacing w:val="-2"/>
                <w:sz w:val="18"/>
              </w:rPr>
              <w:t>including:</w:t>
            </w:r>
          </w:p>
          <w:p w14:paraId="5F463263" w14:textId="77777777" w:rsidR="00141B97" w:rsidRDefault="00911D63">
            <w:pPr>
              <w:pStyle w:val="TableParagraph"/>
              <w:numPr>
                <w:ilvl w:val="1"/>
                <w:numId w:val="68"/>
              </w:numPr>
              <w:tabs>
                <w:tab w:val="left" w:pos="979"/>
              </w:tabs>
              <w:spacing w:line="222" w:lineRule="exact"/>
              <w:rPr>
                <w:sz w:val="18"/>
              </w:rPr>
            </w:pPr>
            <w:r>
              <w:rPr>
                <w:sz w:val="18"/>
              </w:rPr>
              <w:t>Red</w:t>
            </w:r>
            <w:r>
              <w:rPr>
                <w:spacing w:val="-2"/>
                <w:sz w:val="18"/>
              </w:rPr>
              <w:t xml:space="preserve"> </w:t>
            </w:r>
            <w:r>
              <w:rPr>
                <w:sz w:val="18"/>
              </w:rPr>
              <w:t>Cliffs</w:t>
            </w:r>
            <w:r>
              <w:rPr>
                <w:spacing w:val="-1"/>
                <w:sz w:val="18"/>
              </w:rPr>
              <w:t xml:space="preserve"> </w:t>
            </w:r>
            <w:r>
              <w:rPr>
                <w:sz w:val="18"/>
              </w:rPr>
              <w:t>water</w:t>
            </w:r>
            <w:r>
              <w:rPr>
                <w:spacing w:val="-2"/>
                <w:sz w:val="18"/>
              </w:rPr>
              <w:t xml:space="preserve"> </w:t>
            </w:r>
            <w:r>
              <w:rPr>
                <w:sz w:val="18"/>
              </w:rPr>
              <w:t>and</w:t>
            </w:r>
            <w:r>
              <w:rPr>
                <w:spacing w:val="-1"/>
                <w:sz w:val="18"/>
              </w:rPr>
              <w:t xml:space="preserve"> </w:t>
            </w:r>
            <w:r>
              <w:rPr>
                <w:sz w:val="18"/>
              </w:rPr>
              <w:t>pressure</w:t>
            </w:r>
            <w:r>
              <w:rPr>
                <w:spacing w:val="-2"/>
                <w:sz w:val="18"/>
              </w:rPr>
              <w:t xml:space="preserve"> </w:t>
            </w:r>
            <w:r>
              <w:rPr>
                <w:sz w:val="18"/>
              </w:rPr>
              <w:t>upgrade</w:t>
            </w:r>
            <w:r>
              <w:rPr>
                <w:spacing w:val="-2"/>
                <w:sz w:val="18"/>
              </w:rPr>
              <w:t xml:space="preserve"> ($9.4m)</w:t>
            </w:r>
          </w:p>
          <w:p w14:paraId="2307F9BA" w14:textId="77777777" w:rsidR="00141B97" w:rsidRDefault="00911D63">
            <w:pPr>
              <w:pStyle w:val="TableParagraph"/>
              <w:numPr>
                <w:ilvl w:val="1"/>
                <w:numId w:val="68"/>
              </w:numPr>
              <w:tabs>
                <w:tab w:val="left" w:pos="979"/>
              </w:tabs>
              <w:spacing w:line="220" w:lineRule="exact"/>
              <w:rPr>
                <w:sz w:val="18"/>
              </w:rPr>
            </w:pPr>
            <w:r>
              <w:rPr>
                <w:sz w:val="18"/>
              </w:rPr>
              <w:t>Water</w:t>
            </w:r>
            <w:r>
              <w:rPr>
                <w:spacing w:val="-3"/>
                <w:sz w:val="18"/>
              </w:rPr>
              <w:t xml:space="preserve"> </w:t>
            </w:r>
            <w:r>
              <w:rPr>
                <w:sz w:val="18"/>
              </w:rPr>
              <w:t>mains</w:t>
            </w:r>
            <w:r>
              <w:rPr>
                <w:spacing w:val="-2"/>
                <w:sz w:val="18"/>
              </w:rPr>
              <w:t xml:space="preserve"> </w:t>
            </w:r>
            <w:r>
              <w:rPr>
                <w:sz w:val="18"/>
              </w:rPr>
              <w:t>replacements</w:t>
            </w:r>
            <w:r>
              <w:rPr>
                <w:spacing w:val="-3"/>
                <w:sz w:val="18"/>
              </w:rPr>
              <w:t xml:space="preserve"> </w:t>
            </w:r>
            <w:r>
              <w:rPr>
                <w:sz w:val="18"/>
              </w:rPr>
              <w:t>and</w:t>
            </w:r>
            <w:r>
              <w:rPr>
                <w:spacing w:val="-2"/>
                <w:sz w:val="18"/>
              </w:rPr>
              <w:t xml:space="preserve"> </w:t>
            </w:r>
            <w:r>
              <w:rPr>
                <w:sz w:val="18"/>
              </w:rPr>
              <w:t>renewals</w:t>
            </w:r>
            <w:r>
              <w:rPr>
                <w:spacing w:val="-3"/>
                <w:sz w:val="18"/>
              </w:rPr>
              <w:t xml:space="preserve"> </w:t>
            </w:r>
            <w:r>
              <w:rPr>
                <w:spacing w:val="-2"/>
                <w:sz w:val="18"/>
              </w:rPr>
              <w:t>($6.1m)</w:t>
            </w:r>
          </w:p>
          <w:p w14:paraId="04041C48" w14:textId="77777777" w:rsidR="00141B97" w:rsidRDefault="00911D63">
            <w:pPr>
              <w:pStyle w:val="TableParagraph"/>
              <w:numPr>
                <w:ilvl w:val="1"/>
                <w:numId w:val="68"/>
              </w:numPr>
              <w:tabs>
                <w:tab w:val="left" w:pos="979"/>
              </w:tabs>
              <w:spacing w:line="220" w:lineRule="exact"/>
              <w:rPr>
                <w:sz w:val="18"/>
              </w:rPr>
            </w:pPr>
            <w:r>
              <w:rPr>
                <w:sz w:val="18"/>
              </w:rPr>
              <w:t>Mildura</w:t>
            </w:r>
            <w:r>
              <w:rPr>
                <w:spacing w:val="-4"/>
                <w:sz w:val="18"/>
              </w:rPr>
              <w:t xml:space="preserve"> </w:t>
            </w:r>
            <w:r>
              <w:rPr>
                <w:sz w:val="18"/>
              </w:rPr>
              <w:t>mains</w:t>
            </w:r>
            <w:r>
              <w:rPr>
                <w:spacing w:val="-3"/>
                <w:sz w:val="18"/>
              </w:rPr>
              <w:t xml:space="preserve"> </w:t>
            </w:r>
            <w:r>
              <w:rPr>
                <w:sz w:val="18"/>
              </w:rPr>
              <w:t>augmentation</w:t>
            </w:r>
            <w:r>
              <w:rPr>
                <w:spacing w:val="-4"/>
                <w:sz w:val="18"/>
              </w:rPr>
              <w:t xml:space="preserve"> </w:t>
            </w:r>
            <w:r>
              <w:rPr>
                <w:sz w:val="18"/>
              </w:rPr>
              <w:t>to</w:t>
            </w:r>
            <w:r>
              <w:rPr>
                <w:spacing w:val="-4"/>
                <w:sz w:val="18"/>
              </w:rPr>
              <w:t xml:space="preserve"> </w:t>
            </w:r>
            <w:r>
              <w:rPr>
                <w:sz w:val="18"/>
              </w:rPr>
              <w:t>service</w:t>
            </w:r>
            <w:r>
              <w:rPr>
                <w:spacing w:val="-4"/>
                <w:sz w:val="18"/>
              </w:rPr>
              <w:t xml:space="preserve"> </w:t>
            </w:r>
            <w:r>
              <w:rPr>
                <w:sz w:val="18"/>
              </w:rPr>
              <w:t>growth</w:t>
            </w:r>
            <w:r>
              <w:rPr>
                <w:spacing w:val="-3"/>
                <w:sz w:val="18"/>
              </w:rPr>
              <w:t xml:space="preserve"> </w:t>
            </w:r>
            <w:r>
              <w:rPr>
                <w:spacing w:val="-2"/>
                <w:sz w:val="18"/>
              </w:rPr>
              <w:t>($3.8m)</w:t>
            </w:r>
          </w:p>
          <w:p w14:paraId="2CBDA31D" w14:textId="77777777" w:rsidR="00141B97" w:rsidRDefault="00911D63">
            <w:pPr>
              <w:pStyle w:val="TableParagraph"/>
              <w:numPr>
                <w:ilvl w:val="0"/>
                <w:numId w:val="68"/>
              </w:numPr>
              <w:tabs>
                <w:tab w:val="left" w:pos="412"/>
                <w:tab w:val="left" w:pos="413"/>
              </w:tabs>
              <w:spacing w:line="226" w:lineRule="exact"/>
              <w:rPr>
                <w:sz w:val="18"/>
              </w:rPr>
            </w:pPr>
            <w:r>
              <w:rPr>
                <w:sz w:val="18"/>
              </w:rPr>
              <w:t>Invest</w:t>
            </w:r>
            <w:r>
              <w:rPr>
                <w:spacing w:val="-5"/>
                <w:sz w:val="18"/>
              </w:rPr>
              <w:t xml:space="preserve"> </w:t>
            </w:r>
            <w:r>
              <w:rPr>
                <w:sz w:val="18"/>
              </w:rPr>
              <w:t>$3.4m</w:t>
            </w:r>
            <w:r>
              <w:rPr>
                <w:spacing w:val="-2"/>
                <w:sz w:val="18"/>
              </w:rPr>
              <w:t xml:space="preserve"> </w:t>
            </w:r>
            <w:r>
              <w:rPr>
                <w:sz w:val="18"/>
              </w:rPr>
              <w:t>to</w:t>
            </w:r>
            <w:r>
              <w:rPr>
                <w:spacing w:val="-2"/>
                <w:sz w:val="18"/>
              </w:rPr>
              <w:t xml:space="preserve"> </w:t>
            </w:r>
            <w:r>
              <w:rPr>
                <w:sz w:val="18"/>
              </w:rPr>
              <w:t>improve</w:t>
            </w:r>
            <w:r>
              <w:rPr>
                <w:spacing w:val="-3"/>
                <w:sz w:val="18"/>
              </w:rPr>
              <w:t xml:space="preserve"> </w:t>
            </w:r>
            <w:r>
              <w:rPr>
                <w:sz w:val="18"/>
              </w:rPr>
              <w:t>performance</w:t>
            </w:r>
            <w:r>
              <w:rPr>
                <w:spacing w:val="-3"/>
                <w:sz w:val="18"/>
              </w:rPr>
              <w:t xml:space="preserve"> </w:t>
            </w:r>
            <w:r>
              <w:rPr>
                <w:sz w:val="18"/>
              </w:rPr>
              <w:t>monitoring</w:t>
            </w:r>
            <w:r>
              <w:rPr>
                <w:spacing w:val="-2"/>
                <w:sz w:val="18"/>
              </w:rPr>
              <w:t xml:space="preserve"> </w:t>
            </w:r>
            <w:r>
              <w:rPr>
                <w:sz w:val="18"/>
              </w:rPr>
              <w:t>and</w:t>
            </w:r>
            <w:r>
              <w:rPr>
                <w:spacing w:val="-2"/>
                <w:sz w:val="18"/>
              </w:rPr>
              <w:t xml:space="preserve"> </w:t>
            </w:r>
            <w:r>
              <w:rPr>
                <w:sz w:val="18"/>
              </w:rPr>
              <w:t>control</w:t>
            </w:r>
            <w:r>
              <w:rPr>
                <w:spacing w:val="-2"/>
                <w:sz w:val="18"/>
              </w:rPr>
              <w:t xml:space="preserve"> </w:t>
            </w:r>
            <w:r>
              <w:rPr>
                <w:sz w:val="18"/>
              </w:rPr>
              <w:t>systems</w:t>
            </w:r>
            <w:r>
              <w:rPr>
                <w:spacing w:val="-2"/>
                <w:sz w:val="18"/>
              </w:rPr>
              <w:t xml:space="preserve"> </w:t>
            </w:r>
            <w:r>
              <w:rPr>
                <w:sz w:val="18"/>
              </w:rPr>
              <w:t>and</w:t>
            </w:r>
            <w:r>
              <w:rPr>
                <w:spacing w:val="-2"/>
                <w:sz w:val="18"/>
              </w:rPr>
              <w:t xml:space="preserve"> </w:t>
            </w:r>
            <w:r>
              <w:rPr>
                <w:sz w:val="18"/>
              </w:rPr>
              <w:t>data</w:t>
            </w:r>
            <w:r>
              <w:rPr>
                <w:spacing w:val="-1"/>
                <w:sz w:val="18"/>
              </w:rPr>
              <w:t xml:space="preserve"> </w:t>
            </w:r>
            <w:r>
              <w:rPr>
                <w:spacing w:val="-2"/>
                <w:sz w:val="18"/>
              </w:rPr>
              <w:t>collection</w:t>
            </w:r>
          </w:p>
          <w:p w14:paraId="022768C7" w14:textId="77777777" w:rsidR="00141B97" w:rsidRDefault="00911D63">
            <w:pPr>
              <w:pStyle w:val="TableParagraph"/>
              <w:numPr>
                <w:ilvl w:val="0"/>
                <w:numId w:val="68"/>
              </w:numPr>
              <w:tabs>
                <w:tab w:val="left" w:pos="412"/>
                <w:tab w:val="left" w:pos="413"/>
              </w:tabs>
              <w:spacing w:line="210" w:lineRule="exact"/>
              <w:rPr>
                <w:sz w:val="18"/>
              </w:rPr>
            </w:pPr>
            <w:r>
              <w:rPr>
                <w:sz w:val="18"/>
              </w:rPr>
              <w:t>Purchase</w:t>
            </w:r>
            <w:r>
              <w:rPr>
                <w:spacing w:val="-5"/>
                <w:sz w:val="18"/>
              </w:rPr>
              <w:t xml:space="preserve"> </w:t>
            </w:r>
            <w:r>
              <w:rPr>
                <w:sz w:val="18"/>
              </w:rPr>
              <w:t>mobile</w:t>
            </w:r>
            <w:r>
              <w:rPr>
                <w:spacing w:val="-4"/>
                <w:sz w:val="18"/>
              </w:rPr>
              <w:t xml:space="preserve"> </w:t>
            </w:r>
            <w:r>
              <w:rPr>
                <w:sz w:val="18"/>
              </w:rPr>
              <w:t>generators</w:t>
            </w:r>
            <w:r>
              <w:rPr>
                <w:spacing w:val="-3"/>
                <w:sz w:val="18"/>
              </w:rPr>
              <w:t xml:space="preserve"> </w:t>
            </w:r>
            <w:r>
              <w:rPr>
                <w:sz w:val="18"/>
              </w:rPr>
              <w:t>for</w:t>
            </w:r>
            <w:r>
              <w:rPr>
                <w:spacing w:val="-2"/>
                <w:sz w:val="18"/>
              </w:rPr>
              <w:t xml:space="preserve"> </w:t>
            </w:r>
            <w:r>
              <w:rPr>
                <w:sz w:val="18"/>
              </w:rPr>
              <w:t>service</w:t>
            </w:r>
            <w:r>
              <w:rPr>
                <w:spacing w:val="-2"/>
                <w:sz w:val="18"/>
              </w:rPr>
              <w:t xml:space="preserve"> resilience</w:t>
            </w:r>
          </w:p>
        </w:tc>
      </w:tr>
      <w:tr w:rsidR="00141B97" w14:paraId="195382E8" w14:textId="77777777">
        <w:trPr>
          <w:trHeight w:val="2034"/>
          <w:tblCellSpacing w:w="9" w:type="dxa"/>
        </w:trPr>
        <w:tc>
          <w:tcPr>
            <w:tcW w:w="2287" w:type="dxa"/>
            <w:tcBorders>
              <w:left w:val="nil"/>
            </w:tcBorders>
            <w:shd w:val="clear" w:color="auto" w:fill="CCE2ED"/>
          </w:tcPr>
          <w:p w14:paraId="2BFEDA21" w14:textId="77777777" w:rsidR="00141B97" w:rsidRDefault="00911D63">
            <w:pPr>
              <w:pStyle w:val="TableParagraph"/>
              <w:ind w:left="88"/>
              <w:rPr>
                <w:sz w:val="18"/>
              </w:rPr>
            </w:pPr>
            <w:r>
              <w:rPr>
                <w:sz w:val="18"/>
              </w:rPr>
              <w:t>Key</w:t>
            </w:r>
            <w:r>
              <w:rPr>
                <w:spacing w:val="-5"/>
                <w:sz w:val="18"/>
              </w:rPr>
              <w:t xml:space="preserve"> </w:t>
            </w:r>
            <w:r>
              <w:rPr>
                <w:sz w:val="18"/>
              </w:rPr>
              <w:t>operational</w:t>
            </w:r>
            <w:r>
              <w:rPr>
                <w:spacing w:val="-5"/>
                <w:sz w:val="18"/>
              </w:rPr>
              <w:t xml:space="preserve"> </w:t>
            </w:r>
            <w:r>
              <w:rPr>
                <w:spacing w:val="-2"/>
                <w:sz w:val="18"/>
              </w:rPr>
              <w:t>activities</w:t>
            </w:r>
          </w:p>
        </w:tc>
        <w:tc>
          <w:tcPr>
            <w:tcW w:w="7454" w:type="dxa"/>
            <w:tcBorders>
              <w:right w:val="nil"/>
            </w:tcBorders>
            <w:shd w:val="clear" w:color="auto" w:fill="CCE2ED"/>
          </w:tcPr>
          <w:p w14:paraId="6B02DFDB" w14:textId="77777777" w:rsidR="00141B97" w:rsidRDefault="00911D63">
            <w:pPr>
              <w:pStyle w:val="TableParagraph"/>
              <w:numPr>
                <w:ilvl w:val="0"/>
                <w:numId w:val="67"/>
              </w:numPr>
              <w:tabs>
                <w:tab w:val="left" w:pos="412"/>
                <w:tab w:val="left" w:pos="413"/>
              </w:tabs>
              <w:rPr>
                <w:sz w:val="18"/>
              </w:rPr>
            </w:pPr>
            <w:r>
              <w:rPr>
                <w:sz w:val="18"/>
              </w:rPr>
              <w:t>Provide</w:t>
            </w:r>
            <w:r>
              <w:rPr>
                <w:spacing w:val="-4"/>
                <w:sz w:val="18"/>
              </w:rPr>
              <w:t xml:space="preserve"> </w:t>
            </w:r>
            <w:r>
              <w:rPr>
                <w:sz w:val="18"/>
              </w:rPr>
              <w:t>river‐to‐tap</w:t>
            </w:r>
            <w:r>
              <w:rPr>
                <w:spacing w:val="-1"/>
                <w:sz w:val="18"/>
              </w:rPr>
              <w:t xml:space="preserve"> </w:t>
            </w:r>
            <w:r>
              <w:rPr>
                <w:sz w:val="18"/>
              </w:rPr>
              <w:t>water</w:t>
            </w:r>
            <w:r>
              <w:rPr>
                <w:spacing w:val="-2"/>
                <w:sz w:val="18"/>
              </w:rPr>
              <w:t xml:space="preserve"> </w:t>
            </w:r>
            <w:r>
              <w:rPr>
                <w:sz w:val="18"/>
              </w:rPr>
              <w:t>quality</w:t>
            </w:r>
            <w:r>
              <w:rPr>
                <w:spacing w:val="-1"/>
                <w:sz w:val="18"/>
              </w:rPr>
              <w:t xml:space="preserve"> </w:t>
            </w:r>
            <w:r>
              <w:rPr>
                <w:spacing w:val="-2"/>
                <w:sz w:val="18"/>
              </w:rPr>
              <w:t>management</w:t>
            </w:r>
          </w:p>
          <w:p w14:paraId="6852B36A" w14:textId="77777777" w:rsidR="00141B97" w:rsidRDefault="00911D63">
            <w:pPr>
              <w:pStyle w:val="TableParagraph"/>
              <w:numPr>
                <w:ilvl w:val="0"/>
                <w:numId w:val="67"/>
              </w:numPr>
              <w:tabs>
                <w:tab w:val="left" w:pos="412"/>
                <w:tab w:val="left" w:pos="413"/>
              </w:tabs>
              <w:rPr>
                <w:sz w:val="18"/>
              </w:rPr>
            </w:pPr>
            <w:r>
              <w:rPr>
                <w:sz w:val="18"/>
              </w:rPr>
              <w:t>Manage</w:t>
            </w:r>
            <w:r>
              <w:rPr>
                <w:spacing w:val="-2"/>
                <w:sz w:val="18"/>
              </w:rPr>
              <w:t xml:space="preserve"> </w:t>
            </w:r>
            <w:r>
              <w:rPr>
                <w:sz w:val="18"/>
              </w:rPr>
              <w:t>water</w:t>
            </w:r>
            <w:r>
              <w:rPr>
                <w:spacing w:val="-2"/>
                <w:sz w:val="18"/>
              </w:rPr>
              <w:t xml:space="preserve"> </w:t>
            </w:r>
            <w:r>
              <w:rPr>
                <w:sz w:val="18"/>
              </w:rPr>
              <w:t>taste</w:t>
            </w:r>
            <w:r>
              <w:rPr>
                <w:spacing w:val="-2"/>
                <w:sz w:val="18"/>
              </w:rPr>
              <w:t xml:space="preserve"> </w:t>
            </w:r>
            <w:r>
              <w:rPr>
                <w:sz w:val="18"/>
              </w:rPr>
              <w:t>and</w:t>
            </w:r>
            <w:r>
              <w:rPr>
                <w:spacing w:val="-1"/>
                <w:sz w:val="18"/>
              </w:rPr>
              <w:t xml:space="preserve"> </w:t>
            </w:r>
            <w:r>
              <w:rPr>
                <w:sz w:val="18"/>
              </w:rPr>
              <w:t>odour</w:t>
            </w:r>
            <w:r>
              <w:rPr>
                <w:spacing w:val="-2"/>
                <w:sz w:val="18"/>
              </w:rPr>
              <w:t xml:space="preserve"> </w:t>
            </w:r>
            <w:r>
              <w:rPr>
                <w:sz w:val="18"/>
              </w:rPr>
              <w:t>issues</w:t>
            </w:r>
            <w:r>
              <w:rPr>
                <w:spacing w:val="-2"/>
                <w:sz w:val="18"/>
              </w:rPr>
              <w:t xml:space="preserve"> </w:t>
            </w:r>
            <w:r>
              <w:rPr>
                <w:sz w:val="18"/>
              </w:rPr>
              <w:t>and</w:t>
            </w:r>
            <w:r>
              <w:rPr>
                <w:spacing w:val="-2"/>
                <w:sz w:val="18"/>
              </w:rPr>
              <w:t xml:space="preserve"> </w:t>
            </w:r>
            <w:r>
              <w:rPr>
                <w:sz w:val="18"/>
              </w:rPr>
              <w:t>follow</w:t>
            </w:r>
            <w:r>
              <w:rPr>
                <w:spacing w:val="-1"/>
                <w:sz w:val="18"/>
              </w:rPr>
              <w:t xml:space="preserve"> </w:t>
            </w:r>
            <w:r>
              <w:rPr>
                <w:sz w:val="18"/>
              </w:rPr>
              <w:t>up</w:t>
            </w:r>
            <w:r>
              <w:rPr>
                <w:spacing w:val="-2"/>
                <w:sz w:val="18"/>
              </w:rPr>
              <w:t xml:space="preserve"> </w:t>
            </w:r>
            <w:r>
              <w:rPr>
                <w:sz w:val="18"/>
              </w:rPr>
              <w:t>on</w:t>
            </w:r>
            <w:r>
              <w:rPr>
                <w:spacing w:val="-2"/>
                <w:sz w:val="18"/>
              </w:rPr>
              <w:t xml:space="preserve"> </w:t>
            </w:r>
            <w:r>
              <w:rPr>
                <w:sz w:val="18"/>
              </w:rPr>
              <w:t>water</w:t>
            </w:r>
            <w:r>
              <w:rPr>
                <w:spacing w:val="-1"/>
                <w:sz w:val="18"/>
              </w:rPr>
              <w:t xml:space="preserve"> </w:t>
            </w:r>
            <w:r>
              <w:rPr>
                <w:sz w:val="18"/>
              </w:rPr>
              <w:t>quality</w:t>
            </w:r>
            <w:r>
              <w:rPr>
                <w:spacing w:val="-2"/>
                <w:sz w:val="18"/>
              </w:rPr>
              <w:t xml:space="preserve"> complaints</w:t>
            </w:r>
          </w:p>
          <w:p w14:paraId="47B9E836" w14:textId="77777777" w:rsidR="00141B97" w:rsidRDefault="00911D63">
            <w:pPr>
              <w:pStyle w:val="TableParagraph"/>
              <w:numPr>
                <w:ilvl w:val="0"/>
                <w:numId w:val="67"/>
              </w:numPr>
              <w:tabs>
                <w:tab w:val="left" w:pos="412"/>
                <w:tab w:val="left" w:pos="413"/>
              </w:tabs>
              <w:rPr>
                <w:sz w:val="18"/>
              </w:rPr>
            </w:pPr>
            <w:r>
              <w:rPr>
                <w:sz w:val="18"/>
              </w:rPr>
              <w:t>Periodically</w:t>
            </w:r>
            <w:r>
              <w:rPr>
                <w:spacing w:val="-2"/>
                <w:sz w:val="18"/>
              </w:rPr>
              <w:t xml:space="preserve"> </w:t>
            </w:r>
            <w:r>
              <w:rPr>
                <w:sz w:val="18"/>
              </w:rPr>
              <w:t>clean water</w:t>
            </w:r>
            <w:r>
              <w:rPr>
                <w:spacing w:val="-1"/>
                <w:sz w:val="18"/>
              </w:rPr>
              <w:t xml:space="preserve"> </w:t>
            </w:r>
            <w:r>
              <w:rPr>
                <w:sz w:val="18"/>
              </w:rPr>
              <w:t>mains</w:t>
            </w:r>
            <w:r>
              <w:rPr>
                <w:spacing w:val="-2"/>
                <w:sz w:val="18"/>
              </w:rPr>
              <w:t xml:space="preserve"> </w:t>
            </w:r>
            <w:r>
              <w:rPr>
                <w:sz w:val="18"/>
              </w:rPr>
              <w:t xml:space="preserve">and </w:t>
            </w:r>
            <w:r>
              <w:rPr>
                <w:spacing w:val="-2"/>
                <w:sz w:val="18"/>
              </w:rPr>
              <w:t>tanks</w:t>
            </w:r>
          </w:p>
          <w:p w14:paraId="420E3F60" w14:textId="77777777" w:rsidR="00141B97" w:rsidRDefault="00911D63">
            <w:pPr>
              <w:pStyle w:val="TableParagraph"/>
              <w:numPr>
                <w:ilvl w:val="0"/>
                <w:numId w:val="67"/>
              </w:numPr>
              <w:tabs>
                <w:tab w:val="left" w:pos="412"/>
                <w:tab w:val="left" w:pos="413"/>
              </w:tabs>
              <w:rPr>
                <w:sz w:val="18"/>
              </w:rPr>
            </w:pPr>
            <w:r>
              <w:rPr>
                <w:sz w:val="18"/>
              </w:rPr>
              <w:t>Support</w:t>
            </w:r>
            <w:r>
              <w:rPr>
                <w:spacing w:val="-4"/>
                <w:sz w:val="18"/>
              </w:rPr>
              <w:t xml:space="preserve"> </w:t>
            </w:r>
            <w:r>
              <w:rPr>
                <w:sz w:val="18"/>
              </w:rPr>
              <w:t>reliability</w:t>
            </w:r>
            <w:r>
              <w:rPr>
                <w:spacing w:val="-1"/>
                <w:sz w:val="18"/>
              </w:rPr>
              <w:t xml:space="preserve"> </w:t>
            </w:r>
            <w:r>
              <w:rPr>
                <w:sz w:val="18"/>
              </w:rPr>
              <w:t>with</w:t>
            </w:r>
            <w:r>
              <w:rPr>
                <w:spacing w:val="-1"/>
                <w:sz w:val="18"/>
              </w:rPr>
              <w:t xml:space="preserve"> </w:t>
            </w:r>
            <w:r>
              <w:rPr>
                <w:sz w:val="18"/>
              </w:rPr>
              <w:t>solar</w:t>
            </w:r>
            <w:r>
              <w:rPr>
                <w:spacing w:val="-1"/>
                <w:sz w:val="18"/>
              </w:rPr>
              <w:t xml:space="preserve"> </w:t>
            </w:r>
            <w:r>
              <w:rPr>
                <w:sz w:val="18"/>
              </w:rPr>
              <w:t>and</w:t>
            </w:r>
            <w:r>
              <w:rPr>
                <w:spacing w:val="-2"/>
                <w:sz w:val="18"/>
              </w:rPr>
              <w:t xml:space="preserve"> </w:t>
            </w:r>
            <w:r>
              <w:rPr>
                <w:sz w:val="18"/>
              </w:rPr>
              <w:t>backup</w:t>
            </w:r>
            <w:r>
              <w:rPr>
                <w:spacing w:val="-1"/>
                <w:sz w:val="18"/>
              </w:rPr>
              <w:t xml:space="preserve"> </w:t>
            </w:r>
            <w:r>
              <w:rPr>
                <w:spacing w:val="-2"/>
                <w:sz w:val="18"/>
              </w:rPr>
              <w:t>generators.</w:t>
            </w:r>
          </w:p>
          <w:p w14:paraId="37A224F6" w14:textId="77777777" w:rsidR="00141B97" w:rsidRDefault="00911D63">
            <w:pPr>
              <w:pStyle w:val="TableParagraph"/>
              <w:numPr>
                <w:ilvl w:val="0"/>
                <w:numId w:val="67"/>
              </w:numPr>
              <w:tabs>
                <w:tab w:val="left" w:pos="412"/>
                <w:tab w:val="left" w:pos="413"/>
              </w:tabs>
              <w:ind w:right="112"/>
              <w:rPr>
                <w:sz w:val="18"/>
              </w:rPr>
            </w:pPr>
            <w:r>
              <w:rPr>
                <w:sz w:val="18"/>
              </w:rPr>
              <w:t>Meet</w:t>
            </w:r>
            <w:r>
              <w:rPr>
                <w:spacing w:val="-2"/>
                <w:sz w:val="18"/>
              </w:rPr>
              <w:t xml:space="preserve"> </w:t>
            </w:r>
            <w:r>
              <w:rPr>
                <w:sz w:val="18"/>
              </w:rPr>
              <w:t>government</w:t>
            </w:r>
            <w:r>
              <w:rPr>
                <w:spacing w:val="-2"/>
                <w:sz w:val="18"/>
              </w:rPr>
              <w:t xml:space="preserve"> </w:t>
            </w:r>
            <w:r>
              <w:rPr>
                <w:sz w:val="18"/>
              </w:rPr>
              <w:t>compliance</w:t>
            </w:r>
            <w:r>
              <w:rPr>
                <w:spacing w:val="-1"/>
                <w:sz w:val="18"/>
              </w:rPr>
              <w:t xml:space="preserve"> </w:t>
            </w:r>
            <w:r>
              <w:rPr>
                <w:sz w:val="18"/>
              </w:rPr>
              <w:t>requirements</w:t>
            </w:r>
            <w:r>
              <w:rPr>
                <w:spacing w:val="-3"/>
                <w:sz w:val="18"/>
              </w:rPr>
              <w:t xml:space="preserve"> </w:t>
            </w:r>
            <w:r>
              <w:rPr>
                <w:sz w:val="18"/>
              </w:rPr>
              <w:t>for</w:t>
            </w:r>
            <w:r>
              <w:rPr>
                <w:spacing w:val="-2"/>
                <w:sz w:val="18"/>
              </w:rPr>
              <w:t xml:space="preserve"> </w:t>
            </w:r>
            <w:r>
              <w:rPr>
                <w:sz w:val="18"/>
              </w:rPr>
              <w:t>water</w:t>
            </w:r>
            <w:r>
              <w:rPr>
                <w:spacing w:val="-1"/>
                <w:sz w:val="18"/>
              </w:rPr>
              <w:t xml:space="preserve"> </w:t>
            </w:r>
            <w:r>
              <w:rPr>
                <w:sz w:val="18"/>
              </w:rPr>
              <w:t>quality</w:t>
            </w:r>
            <w:r>
              <w:rPr>
                <w:spacing w:val="-2"/>
                <w:sz w:val="18"/>
              </w:rPr>
              <w:t xml:space="preserve"> </w:t>
            </w:r>
            <w:r>
              <w:rPr>
                <w:sz w:val="18"/>
              </w:rPr>
              <w:t>planning,</w:t>
            </w:r>
            <w:r>
              <w:rPr>
                <w:spacing w:val="-2"/>
                <w:sz w:val="18"/>
              </w:rPr>
              <w:t xml:space="preserve"> </w:t>
            </w:r>
            <w:r>
              <w:rPr>
                <w:sz w:val="18"/>
              </w:rPr>
              <w:t>reporting,</w:t>
            </w:r>
            <w:r>
              <w:rPr>
                <w:spacing w:val="-1"/>
                <w:sz w:val="18"/>
              </w:rPr>
              <w:t xml:space="preserve"> </w:t>
            </w:r>
            <w:r>
              <w:rPr>
                <w:sz w:val="18"/>
              </w:rPr>
              <w:t>auditing,</w:t>
            </w:r>
            <w:r>
              <w:rPr>
                <w:spacing w:val="-1"/>
                <w:sz w:val="18"/>
              </w:rPr>
              <w:t xml:space="preserve"> </w:t>
            </w:r>
            <w:r>
              <w:rPr>
                <w:sz w:val="18"/>
              </w:rPr>
              <w:t>and training, e.g., publish Annual Drinking Water Quality Report and prepare Water Quality Management</w:t>
            </w:r>
            <w:r>
              <w:rPr>
                <w:spacing w:val="-2"/>
                <w:sz w:val="18"/>
              </w:rPr>
              <w:t xml:space="preserve"> </w:t>
            </w:r>
            <w:r>
              <w:rPr>
                <w:sz w:val="18"/>
              </w:rPr>
              <w:t>Plan</w:t>
            </w:r>
          </w:p>
          <w:p w14:paraId="6270B819" w14:textId="77777777" w:rsidR="00141B97" w:rsidRDefault="00911D63">
            <w:pPr>
              <w:pStyle w:val="TableParagraph"/>
              <w:numPr>
                <w:ilvl w:val="0"/>
                <w:numId w:val="67"/>
              </w:numPr>
              <w:tabs>
                <w:tab w:val="left" w:pos="412"/>
                <w:tab w:val="left" w:pos="413"/>
              </w:tabs>
              <w:spacing w:line="220" w:lineRule="exact"/>
              <w:ind w:right="656"/>
              <w:rPr>
                <w:sz w:val="18"/>
              </w:rPr>
            </w:pPr>
            <w:r>
              <w:rPr>
                <w:sz w:val="18"/>
              </w:rPr>
              <w:t>Maintain</w:t>
            </w:r>
            <w:r>
              <w:rPr>
                <w:spacing w:val="-2"/>
                <w:sz w:val="18"/>
              </w:rPr>
              <w:t xml:space="preserve"> </w:t>
            </w:r>
            <w:r>
              <w:rPr>
                <w:sz w:val="18"/>
              </w:rPr>
              <w:t>blue‐green</w:t>
            </w:r>
            <w:r>
              <w:rPr>
                <w:spacing w:val="-3"/>
                <w:sz w:val="18"/>
              </w:rPr>
              <w:t xml:space="preserve"> </w:t>
            </w:r>
            <w:r>
              <w:rPr>
                <w:sz w:val="18"/>
              </w:rPr>
              <w:t>algae</w:t>
            </w:r>
            <w:r>
              <w:rPr>
                <w:spacing w:val="-3"/>
                <w:sz w:val="18"/>
              </w:rPr>
              <w:t xml:space="preserve"> </w:t>
            </w:r>
            <w:r>
              <w:rPr>
                <w:sz w:val="18"/>
              </w:rPr>
              <w:t>regional</w:t>
            </w:r>
            <w:r>
              <w:rPr>
                <w:spacing w:val="-3"/>
                <w:sz w:val="18"/>
              </w:rPr>
              <w:t xml:space="preserve"> </w:t>
            </w:r>
            <w:r>
              <w:rPr>
                <w:sz w:val="18"/>
              </w:rPr>
              <w:t>coordination,</w:t>
            </w:r>
            <w:r>
              <w:rPr>
                <w:spacing w:val="-3"/>
                <w:sz w:val="18"/>
              </w:rPr>
              <w:t xml:space="preserve"> </w:t>
            </w:r>
            <w:r>
              <w:rPr>
                <w:sz w:val="18"/>
              </w:rPr>
              <w:t>contingency</w:t>
            </w:r>
            <w:r>
              <w:rPr>
                <w:spacing w:val="-2"/>
                <w:sz w:val="18"/>
              </w:rPr>
              <w:t xml:space="preserve"> </w:t>
            </w:r>
            <w:r>
              <w:rPr>
                <w:sz w:val="18"/>
              </w:rPr>
              <w:t>planning,</w:t>
            </w:r>
            <w:r>
              <w:rPr>
                <w:spacing w:val="-3"/>
                <w:sz w:val="18"/>
              </w:rPr>
              <w:t xml:space="preserve"> </w:t>
            </w:r>
            <w:r>
              <w:rPr>
                <w:sz w:val="18"/>
              </w:rPr>
              <w:t>monitoring,</w:t>
            </w:r>
            <w:r>
              <w:rPr>
                <w:spacing w:val="-2"/>
                <w:sz w:val="18"/>
              </w:rPr>
              <w:t xml:space="preserve"> </w:t>
            </w:r>
            <w:r>
              <w:rPr>
                <w:sz w:val="18"/>
              </w:rPr>
              <w:t xml:space="preserve">and </w:t>
            </w:r>
            <w:r>
              <w:rPr>
                <w:spacing w:val="-2"/>
                <w:sz w:val="18"/>
              </w:rPr>
              <w:t>reporting</w:t>
            </w:r>
          </w:p>
        </w:tc>
      </w:tr>
      <w:tr w:rsidR="00141B97" w14:paraId="4E53624F" w14:textId="77777777">
        <w:trPr>
          <w:trHeight w:val="1127"/>
          <w:tblCellSpacing w:w="9" w:type="dxa"/>
        </w:trPr>
        <w:tc>
          <w:tcPr>
            <w:tcW w:w="2287" w:type="dxa"/>
            <w:tcBorders>
              <w:left w:val="nil"/>
              <w:bottom w:val="nil"/>
            </w:tcBorders>
            <w:shd w:val="clear" w:color="auto" w:fill="CCE2ED"/>
          </w:tcPr>
          <w:p w14:paraId="33D1C05E" w14:textId="77777777" w:rsidR="00141B97" w:rsidRDefault="00911D63">
            <w:pPr>
              <w:pStyle w:val="TableParagraph"/>
              <w:spacing w:before="1"/>
              <w:ind w:left="88"/>
              <w:rPr>
                <w:sz w:val="18"/>
              </w:rPr>
            </w:pPr>
            <w:r>
              <w:rPr>
                <w:spacing w:val="-2"/>
                <w:sz w:val="18"/>
              </w:rPr>
              <w:t>Inputs</w:t>
            </w:r>
          </w:p>
          <w:p w14:paraId="10CDB7EF" w14:textId="77777777" w:rsidR="00141B97" w:rsidRDefault="00911D63">
            <w:pPr>
              <w:pStyle w:val="TableParagraph"/>
              <w:numPr>
                <w:ilvl w:val="0"/>
                <w:numId w:val="66"/>
              </w:numPr>
              <w:tabs>
                <w:tab w:val="left" w:pos="448"/>
                <w:tab w:val="left" w:pos="449"/>
              </w:tabs>
              <w:ind w:hanging="361"/>
              <w:rPr>
                <w:sz w:val="18"/>
              </w:rPr>
            </w:pPr>
            <w:r>
              <w:rPr>
                <w:sz w:val="18"/>
              </w:rPr>
              <w:t>Cost</w:t>
            </w:r>
            <w:r>
              <w:rPr>
                <w:spacing w:val="-4"/>
                <w:sz w:val="18"/>
              </w:rPr>
              <w:t xml:space="preserve"> </w:t>
            </w:r>
            <w:r>
              <w:rPr>
                <w:spacing w:val="-2"/>
                <w:sz w:val="18"/>
              </w:rPr>
              <w:t>movements</w:t>
            </w:r>
          </w:p>
          <w:p w14:paraId="3F1600E0" w14:textId="77777777" w:rsidR="00141B97" w:rsidRDefault="00911D63">
            <w:pPr>
              <w:pStyle w:val="TableParagraph"/>
              <w:numPr>
                <w:ilvl w:val="0"/>
                <w:numId w:val="66"/>
              </w:numPr>
              <w:tabs>
                <w:tab w:val="left" w:pos="448"/>
                <w:tab w:val="left" w:pos="449"/>
              </w:tabs>
              <w:ind w:hanging="361"/>
              <w:rPr>
                <w:sz w:val="18"/>
              </w:rPr>
            </w:pPr>
            <w:r>
              <w:rPr>
                <w:sz w:val="18"/>
              </w:rPr>
              <w:t xml:space="preserve">Resources </w:t>
            </w:r>
            <w:r>
              <w:rPr>
                <w:spacing w:val="-2"/>
                <w:sz w:val="18"/>
              </w:rPr>
              <w:t>required</w:t>
            </w:r>
          </w:p>
        </w:tc>
        <w:tc>
          <w:tcPr>
            <w:tcW w:w="7454" w:type="dxa"/>
            <w:tcBorders>
              <w:bottom w:val="nil"/>
              <w:right w:val="nil"/>
            </w:tcBorders>
            <w:shd w:val="clear" w:color="auto" w:fill="CCE2ED"/>
          </w:tcPr>
          <w:p w14:paraId="4A2C5BEE" w14:textId="77777777" w:rsidR="00141B97" w:rsidRDefault="00911D63">
            <w:pPr>
              <w:pStyle w:val="TableParagraph"/>
              <w:numPr>
                <w:ilvl w:val="0"/>
                <w:numId w:val="65"/>
              </w:numPr>
              <w:tabs>
                <w:tab w:val="left" w:pos="412"/>
                <w:tab w:val="left" w:pos="413"/>
              </w:tabs>
              <w:spacing w:before="1"/>
              <w:rPr>
                <w:sz w:val="18"/>
              </w:rPr>
            </w:pPr>
            <w:r>
              <w:rPr>
                <w:sz w:val="18"/>
              </w:rPr>
              <w:t>Additional</w:t>
            </w:r>
            <w:r>
              <w:rPr>
                <w:spacing w:val="-5"/>
                <w:sz w:val="18"/>
              </w:rPr>
              <w:t xml:space="preserve"> </w:t>
            </w:r>
            <w:r>
              <w:rPr>
                <w:sz w:val="18"/>
              </w:rPr>
              <w:t>operating</w:t>
            </w:r>
            <w:r>
              <w:rPr>
                <w:spacing w:val="-2"/>
                <w:sz w:val="18"/>
              </w:rPr>
              <w:t xml:space="preserve"> </w:t>
            </w:r>
            <w:r>
              <w:rPr>
                <w:sz w:val="18"/>
              </w:rPr>
              <w:t>costs</w:t>
            </w:r>
            <w:r>
              <w:rPr>
                <w:spacing w:val="-2"/>
                <w:sz w:val="18"/>
              </w:rPr>
              <w:t xml:space="preserve"> </w:t>
            </w:r>
            <w:r>
              <w:rPr>
                <w:sz w:val="18"/>
              </w:rPr>
              <w:t>of</w:t>
            </w:r>
            <w:r>
              <w:rPr>
                <w:spacing w:val="-2"/>
                <w:sz w:val="18"/>
              </w:rPr>
              <w:t xml:space="preserve"> </w:t>
            </w:r>
            <w:r>
              <w:rPr>
                <w:sz w:val="18"/>
              </w:rPr>
              <w:t>$0.98m</w:t>
            </w:r>
            <w:r>
              <w:rPr>
                <w:spacing w:val="-2"/>
                <w:sz w:val="18"/>
              </w:rPr>
              <w:t xml:space="preserve"> </w:t>
            </w:r>
            <w:r>
              <w:rPr>
                <w:sz w:val="18"/>
              </w:rPr>
              <w:t>associated</w:t>
            </w:r>
            <w:r>
              <w:rPr>
                <w:spacing w:val="-4"/>
                <w:sz w:val="18"/>
              </w:rPr>
              <w:t xml:space="preserve"> </w:t>
            </w:r>
            <w:r>
              <w:rPr>
                <w:sz w:val="18"/>
              </w:rPr>
              <w:t>with</w:t>
            </w:r>
            <w:r>
              <w:rPr>
                <w:spacing w:val="-2"/>
                <w:sz w:val="18"/>
              </w:rPr>
              <w:t xml:space="preserve"> </w:t>
            </w:r>
            <w:r>
              <w:rPr>
                <w:sz w:val="18"/>
              </w:rPr>
              <w:t>UV</w:t>
            </w:r>
            <w:r>
              <w:rPr>
                <w:spacing w:val="-3"/>
                <w:sz w:val="18"/>
              </w:rPr>
              <w:t xml:space="preserve"> </w:t>
            </w:r>
            <w:r>
              <w:rPr>
                <w:spacing w:val="-2"/>
                <w:sz w:val="18"/>
              </w:rPr>
              <w:t>operation.</w:t>
            </w:r>
          </w:p>
          <w:p w14:paraId="22CF8909" w14:textId="77777777" w:rsidR="00141B97" w:rsidRDefault="00911D63">
            <w:pPr>
              <w:pStyle w:val="TableParagraph"/>
              <w:numPr>
                <w:ilvl w:val="0"/>
                <w:numId w:val="65"/>
              </w:numPr>
              <w:tabs>
                <w:tab w:val="left" w:pos="412"/>
                <w:tab w:val="left" w:pos="413"/>
              </w:tabs>
              <w:ind w:right="518"/>
              <w:rPr>
                <w:sz w:val="18"/>
              </w:rPr>
            </w:pPr>
            <w:r>
              <w:rPr>
                <w:sz w:val="18"/>
              </w:rPr>
              <w:t>Proposed</w:t>
            </w:r>
            <w:r>
              <w:rPr>
                <w:spacing w:val="-1"/>
                <w:sz w:val="18"/>
              </w:rPr>
              <w:t xml:space="preserve"> </w:t>
            </w:r>
            <w:r>
              <w:rPr>
                <w:sz w:val="18"/>
              </w:rPr>
              <w:t>capex</w:t>
            </w:r>
            <w:r>
              <w:rPr>
                <w:spacing w:val="-2"/>
                <w:sz w:val="18"/>
              </w:rPr>
              <w:t xml:space="preserve"> </w:t>
            </w:r>
            <w:r>
              <w:rPr>
                <w:sz w:val="18"/>
              </w:rPr>
              <w:t>of</w:t>
            </w:r>
            <w:r>
              <w:rPr>
                <w:spacing w:val="-1"/>
                <w:sz w:val="18"/>
              </w:rPr>
              <w:t xml:space="preserve"> </w:t>
            </w:r>
            <w:r>
              <w:rPr>
                <w:sz w:val="18"/>
              </w:rPr>
              <w:t>$42.65m</w:t>
            </w:r>
            <w:r>
              <w:rPr>
                <w:spacing w:val="-1"/>
                <w:sz w:val="18"/>
              </w:rPr>
              <w:t xml:space="preserve"> </w:t>
            </w:r>
            <w:r>
              <w:rPr>
                <w:sz w:val="18"/>
              </w:rPr>
              <w:t>total</w:t>
            </w:r>
            <w:r>
              <w:rPr>
                <w:spacing w:val="-2"/>
                <w:sz w:val="18"/>
              </w:rPr>
              <w:t xml:space="preserve"> </w:t>
            </w:r>
            <w:r>
              <w:rPr>
                <w:sz w:val="18"/>
              </w:rPr>
              <w:t>for</w:t>
            </w:r>
            <w:r>
              <w:rPr>
                <w:spacing w:val="-1"/>
                <w:sz w:val="18"/>
              </w:rPr>
              <w:t xml:space="preserve"> </w:t>
            </w:r>
            <w:r>
              <w:rPr>
                <w:sz w:val="18"/>
              </w:rPr>
              <w:t>drinking</w:t>
            </w:r>
            <w:r>
              <w:rPr>
                <w:spacing w:val="-2"/>
                <w:sz w:val="18"/>
              </w:rPr>
              <w:t xml:space="preserve"> </w:t>
            </w:r>
            <w:r>
              <w:rPr>
                <w:sz w:val="18"/>
              </w:rPr>
              <w:t>water</w:t>
            </w:r>
            <w:r>
              <w:rPr>
                <w:spacing w:val="-1"/>
                <w:sz w:val="18"/>
              </w:rPr>
              <w:t xml:space="preserve"> </w:t>
            </w:r>
            <w:r>
              <w:rPr>
                <w:sz w:val="18"/>
              </w:rPr>
              <w:t>supply</w:t>
            </w:r>
            <w:r>
              <w:rPr>
                <w:spacing w:val="-2"/>
                <w:sz w:val="18"/>
              </w:rPr>
              <w:t xml:space="preserve"> </w:t>
            </w:r>
            <w:r>
              <w:rPr>
                <w:sz w:val="18"/>
              </w:rPr>
              <w:t>(excluding</w:t>
            </w:r>
            <w:r>
              <w:rPr>
                <w:spacing w:val="-2"/>
                <w:sz w:val="18"/>
              </w:rPr>
              <w:t xml:space="preserve"> </w:t>
            </w:r>
            <w:r>
              <w:rPr>
                <w:sz w:val="18"/>
              </w:rPr>
              <w:t>water</w:t>
            </w:r>
            <w:r>
              <w:rPr>
                <w:spacing w:val="-1"/>
                <w:sz w:val="18"/>
              </w:rPr>
              <w:t xml:space="preserve"> </w:t>
            </w:r>
            <w:r>
              <w:rPr>
                <w:sz w:val="18"/>
              </w:rPr>
              <w:t>purchase</w:t>
            </w:r>
            <w:r>
              <w:rPr>
                <w:spacing w:val="-2"/>
                <w:sz w:val="18"/>
              </w:rPr>
              <w:t xml:space="preserve"> </w:t>
            </w:r>
            <w:r>
              <w:rPr>
                <w:sz w:val="18"/>
              </w:rPr>
              <w:t>and corporate capex)</w:t>
            </w:r>
          </w:p>
          <w:p w14:paraId="0EC8F45E" w14:textId="77777777" w:rsidR="00141B97" w:rsidRDefault="00911D63">
            <w:pPr>
              <w:pStyle w:val="TableParagraph"/>
              <w:numPr>
                <w:ilvl w:val="0"/>
                <w:numId w:val="65"/>
              </w:numPr>
              <w:tabs>
                <w:tab w:val="left" w:pos="412"/>
                <w:tab w:val="left" w:pos="413"/>
              </w:tabs>
              <w:spacing w:line="220" w:lineRule="exact"/>
              <w:ind w:right="761"/>
              <w:rPr>
                <w:sz w:val="18"/>
              </w:rPr>
            </w:pPr>
            <w:r>
              <w:rPr>
                <w:sz w:val="18"/>
              </w:rPr>
              <w:t>Establish</w:t>
            </w:r>
            <w:r>
              <w:rPr>
                <w:spacing w:val="-3"/>
                <w:sz w:val="18"/>
              </w:rPr>
              <w:t xml:space="preserve"> </w:t>
            </w:r>
            <w:r>
              <w:rPr>
                <w:sz w:val="18"/>
              </w:rPr>
              <w:t>combined</w:t>
            </w:r>
            <w:r>
              <w:rPr>
                <w:spacing w:val="-2"/>
                <w:sz w:val="18"/>
              </w:rPr>
              <w:t xml:space="preserve"> </w:t>
            </w:r>
            <w:r>
              <w:rPr>
                <w:sz w:val="18"/>
              </w:rPr>
              <w:t>Operation</w:t>
            </w:r>
            <w:r>
              <w:rPr>
                <w:spacing w:val="-2"/>
                <w:sz w:val="18"/>
              </w:rPr>
              <w:t xml:space="preserve"> </w:t>
            </w:r>
            <w:r>
              <w:rPr>
                <w:sz w:val="18"/>
              </w:rPr>
              <w:t>Technology</w:t>
            </w:r>
            <w:r>
              <w:rPr>
                <w:spacing w:val="-2"/>
                <w:sz w:val="18"/>
              </w:rPr>
              <w:t xml:space="preserve"> </w:t>
            </w:r>
            <w:r>
              <w:rPr>
                <w:sz w:val="18"/>
              </w:rPr>
              <w:t>/</w:t>
            </w:r>
            <w:r>
              <w:rPr>
                <w:spacing w:val="-3"/>
                <w:sz w:val="18"/>
              </w:rPr>
              <w:t xml:space="preserve"> </w:t>
            </w:r>
            <w:r>
              <w:rPr>
                <w:sz w:val="18"/>
              </w:rPr>
              <w:t>Information</w:t>
            </w:r>
            <w:r>
              <w:rPr>
                <w:spacing w:val="-2"/>
                <w:sz w:val="18"/>
              </w:rPr>
              <w:t xml:space="preserve"> </w:t>
            </w:r>
            <w:r>
              <w:rPr>
                <w:sz w:val="18"/>
              </w:rPr>
              <w:t>Technology</w:t>
            </w:r>
            <w:r>
              <w:rPr>
                <w:spacing w:val="-2"/>
                <w:sz w:val="18"/>
              </w:rPr>
              <w:t xml:space="preserve"> </w:t>
            </w:r>
            <w:r>
              <w:rPr>
                <w:sz w:val="18"/>
              </w:rPr>
              <w:t>team</w:t>
            </w:r>
            <w:r>
              <w:rPr>
                <w:spacing w:val="-3"/>
                <w:sz w:val="18"/>
              </w:rPr>
              <w:t xml:space="preserve"> </w:t>
            </w:r>
            <w:r>
              <w:rPr>
                <w:sz w:val="18"/>
              </w:rPr>
              <w:t>to</w:t>
            </w:r>
            <w:r>
              <w:rPr>
                <w:spacing w:val="-3"/>
                <w:sz w:val="18"/>
              </w:rPr>
              <w:t xml:space="preserve"> </w:t>
            </w:r>
            <w:r>
              <w:rPr>
                <w:sz w:val="18"/>
              </w:rPr>
              <w:t>maximise performance and system reliance</w:t>
            </w:r>
          </w:p>
        </w:tc>
      </w:tr>
    </w:tbl>
    <w:p w14:paraId="6FEF5853" w14:textId="77777777" w:rsidR="00141B97" w:rsidRDefault="00911D63">
      <w:pPr>
        <w:spacing w:before="23"/>
        <w:ind w:left="114"/>
        <w:rPr>
          <w:sz w:val="16"/>
        </w:rPr>
      </w:pPr>
      <w:r>
        <w:rPr>
          <w:sz w:val="16"/>
        </w:rPr>
        <w:t>Table</w:t>
      </w:r>
      <w:r>
        <w:rPr>
          <w:spacing w:val="-4"/>
          <w:sz w:val="16"/>
        </w:rPr>
        <w:t xml:space="preserve"> </w:t>
      </w:r>
      <w:r>
        <w:rPr>
          <w:sz w:val="16"/>
        </w:rPr>
        <w:t>B10:</w:t>
      </w:r>
      <w:r>
        <w:rPr>
          <w:spacing w:val="-4"/>
          <w:sz w:val="16"/>
        </w:rPr>
        <w:t xml:space="preserve"> </w:t>
      </w:r>
      <w:r>
        <w:rPr>
          <w:sz w:val="16"/>
        </w:rPr>
        <w:t>Outcome</w:t>
      </w:r>
      <w:r>
        <w:rPr>
          <w:spacing w:val="-4"/>
          <w:sz w:val="16"/>
        </w:rPr>
        <w:t xml:space="preserve"> </w:t>
      </w:r>
      <w:r>
        <w:rPr>
          <w:sz w:val="16"/>
        </w:rPr>
        <w:t>2</w:t>
      </w:r>
      <w:r>
        <w:rPr>
          <w:spacing w:val="-4"/>
          <w:sz w:val="16"/>
        </w:rPr>
        <w:t xml:space="preserve"> </w:t>
      </w:r>
      <w:r>
        <w:rPr>
          <w:sz w:val="16"/>
        </w:rPr>
        <w:t>‐</w:t>
      </w:r>
      <w:r>
        <w:rPr>
          <w:spacing w:val="-6"/>
          <w:sz w:val="16"/>
        </w:rPr>
        <w:t xml:space="preserve"> </w:t>
      </w:r>
      <w:r>
        <w:rPr>
          <w:sz w:val="16"/>
        </w:rPr>
        <w:t>Provide</w:t>
      </w:r>
      <w:r>
        <w:rPr>
          <w:spacing w:val="-5"/>
          <w:sz w:val="16"/>
        </w:rPr>
        <w:t xml:space="preserve"> </w:t>
      </w:r>
      <w:r>
        <w:rPr>
          <w:sz w:val="16"/>
        </w:rPr>
        <w:t>Customers</w:t>
      </w:r>
      <w:r>
        <w:rPr>
          <w:spacing w:val="-6"/>
          <w:sz w:val="16"/>
        </w:rPr>
        <w:t xml:space="preserve"> </w:t>
      </w:r>
      <w:r>
        <w:rPr>
          <w:sz w:val="16"/>
        </w:rPr>
        <w:t>Reliable</w:t>
      </w:r>
      <w:r>
        <w:rPr>
          <w:spacing w:val="-3"/>
          <w:sz w:val="16"/>
        </w:rPr>
        <w:t xml:space="preserve"> </w:t>
      </w:r>
      <w:r>
        <w:rPr>
          <w:sz w:val="16"/>
        </w:rPr>
        <w:t>and</w:t>
      </w:r>
      <w:r>
        <w:rPr>
          <w:spacing w:val="-4"/>
          <w:sz w:val="16"/>
        </w:rPr>
        <w:t xml:space="preserve"> </w:t>
      </w:r>
      <w:r>
        <w:rPr>
          <w:sz w:val="16"/>
        </w:rPr>
        <w:t>Safe</w:t>
      </w:r>
      <w:r>
        <w:rPr>
          <w:spacing w:val="-6"/>
          <w:sz w:val="16"/>
        </w:rPr>
        <w:t xml:space="preserve"> </w:t>
      </w:r>
      <w:r>
        <w:rPr>
          <w:sz w:val="16"/>
        </w:rPr>
        <w:t>Drinking</w:t>
      </w:r>
      <w:r>
        <w:rPr>
          <w:spacing w:val="-6"/>
          <w:sz w:val="16"/>
        </w:rPr>
        <w:t xml:space="preserve"> </w:t>
      </w:r>
      <w:r>
        <w:rPr>
          <w:spacing w:val="-4"/>
          <w:sz w:val="16"/>
        </w:rPr>
        <w:t>Water</w:t>
      </w:r>
    </w:p>
    <w:p w14:paraId="4C1C4A02" w14:textId="77777777" w:rsidR="00141B97" w:rsidRDefault="00141B97">
      <w:pPr>
        <w:rPr>
          <w:sz w:val="16"/>
        </w:rPr>
        <w:sectPr w:rsidR="00141B97">
          <w:pgSz w:w="11910" w:h="16840"/>
          <w:pgMar w:top="820" w:right="40" w:bottom="760" w:left="1020" w:header="0" w:footer="580" w:gutter="0"/>
          <w:cols w:space="720"/>
        </w:sectPr>
      </w:pPr>
    </w:p>
    <w:p w14:paraId="74501141" w14:textId="77777777" w:rsidR="00141B97" w:rsidRDefault="00911D63">
      <w:pPr>
        <w:pStyle w:val="BodyText"/>
        <w:spacing w:before="31"/>
        <w:ind w:left="114"/>
      </w:pPr>
      <w:r>
        <w:lastRenderedPageBreak/>
        <w:t>Outcome</w:t>
      </w:r>
      <w:r>
        <w:rPr>
          <w:spacing w:val="-8"/>
        </w:rPr>
        <w:t xml:space="preserve"> </w:t>
      </w:r>
      <w:r>
        <w:t>3:</w:t>
      </w:r>
      <w:r>
        <w:rPr>
          <w:spacing w:val="-7"/>
        </w:rPr>
        <w:t xml:space="preserve"> </w:t>
      </w:r>
      <w:r>
        <w:t>Provide</w:t>
      </w:r>
      <w:r>
        <w:rPr>
          <w:spacing w:val="-8"/>
        </w:rPr>
        <w:t xml:space="preserve"> </w:t>
      </w:r>
      <w:r>
        <w:t>customers</w:t>
      </w:r>
      <w:r>
        <w:rPr>
          <w:spacing w:val="-6"/>
        </w:rPr>
        <w:t xml:space="preserve"> </w:t>
      </w:r>
      <w:r>
        <w:t>with</w:t>
      </w:r>
      <w:r>
        <w:rPr>
          <w:spacing w:val="-7"/>
        </w:rPr>
        <w:t xml:space="preserve"> </w:t>
      </w:r>
      <w:r>
        <w:t>reliable</w:t>
      </w:r>
      <w:r>
        <w:rPr>
          <w:spacing w:val="-9"/>
        </w:rPr>
        <w:t xml:space="preserve"> </w:t>
      </w:r>
      <w:r>
        <w:t>sewerage</w:t>
      </w:r>
      <w:r>
        <w:rPr>
          <w:spacing w:val="-8"/>
        </w:rPr>
        <w:t xml:space="preserve"> </w:t>
      </w:r>
      <w:r>
        <w:rPr>
          <w:spacing w:val="-2"/>
        </w:rPr>
        <w:t>services</w:t>
      </w:r>
    </w:p>
    <w:p w14:paraId="3EB2E559" w14:textId="77777777" w:rsidR="00141B97" w:rsidRDefault="00141B97">
      <w:pPr>
        <w:pStyle w:val="BodyText"/>
        <w:spacing w:before="7"/>
        <w:rPr>
          <w:sz w:val="1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314"/>
        <w:gridCol w:w="7481"/>
      </w:tblGrid>
      <w:tr w:rsidR="00141B97" w14:paraId="3D2722B7" w14:textId="77777777">
        <w:trPr>
          <w:trHeight w:val="555"/>
          <w:tblCellSpacing w:w="9" w:type="dxa"/>
        </w:trPr>
        <w:tc>
          <w:tcPr>
            <w:tcW w:w="2287" w:type="dxa"/>
            <w:tcBorders>
              <w:top w:val="nil"/>
              <w:left w:val="nil"/>
            </w:tcBorders>
            <w:shd w:val="clear" w:color="auto" w:fill="0064A4"/>
          </w:tcPr>
          <w:p w14:paraId="70154F30" w14:textId="77777777" w:rsidR="00141B97" w:rsidRDefault="00141B97">
            <w:pPr>
              <w:pStyle w:val="TableParagraph"/>
              <w:spacing w:before="9"/>
              <w:rPr>
                <w:sz w:val="13"/>
              </w:rPr>
            </w:pPr>
          </w:p>
          <w:p w14:paraId="7C8BC5B1" w14:textId="77777777" w:rsidR="00141B97" w:rsidRDefault="00911D63">
            <w:pPr>
              <w:pStyle w:val="TableParagraph"/>
              <w:ind w:left="88"/>
              <w:rPr>
                <w:sz w:val="18"/>
              </w:rPr>
            </w:pPr>
            <w:r>
              <w:rPr>
                <w:color w:val="FFFFFF"/>
                <w:sz w:val="18"/>
              </w:rPr>
              <w:t>What</w:t>
            </w:r>
            <w:r>
              <w:rPr>
                <w:color w:val="FFFFFF"/>
                <w:spacing w:val="-1"/>
                <w:sz w:val="18"/>
              </w:rPr>
              <w:t xml:space="preserve"> </w:t>
            </w:r>
            <w:r>
              <w:rPr>
                <w:color w:val="FFFFFF"/>
                <w:sz w:val="18"/>
              </w:rPr>
              <w:t>customers will</w:t>
            </w:r>
            <w:r>
              <w:rPr>
                <w:color w:val="FFFFFF"/>
                <w:spacing w:val="-1"/>
                <w:sz w:val="18"/>
              </w:rPr>
              <w:t xml:space="preserve"> </w:t>
            </w:r>
            <w:r>
              <w:rPr>
                <w:color w:val="FFFFFF"/>
                <w:spacing w:val="-2"/>
                <w:sz w:val="18"/>
              </w:rPr>
              <w:t>receive</w:t>
            </w:r>
          </w:p>
        </w:tc>
        <w:tc>
          <w:tcPr>
            <w:tcW w:w="7454" w:type="dxa"/>
            <w:tcBorders>
              <w:top w:val="nil"/>
              <w:right w:val="nil"/>
            </w:tcBorders>
            <w:shd w:val="clear" w:color="auto" w:fill="0064A4"/>
          </w:tcPr>
          <w:p w14:paraId="192C0ED0" w14:textId="77777777" w:rsidR="00141B97" w:rsidRDefault="00141B97">
            <w:pPr>
              <w:pStyle w:val="TableParagraph"/>
              <w:spacing w:before="9"/>
              <w:rPr>
                <w:sz w:val="13"/>
              </w:rPr>
            </w:pPr>
          </w:p>
          <w:p w14:paraId="4A41109D" w14:textId="77777777" w:rsidR="00141B97" w:rsidRDefault="00911D63">
            <w:pPr>
              <w:pStyle w:val="TableParagraph"/>
              <w:ind w:left="98"/>
              <w:rPr>
                <w:sz w:val="18"/>
              </w:rPr>
            </w:pPr>
            <w:r>
              <w:rPr>
                <w:color w:val="FFFFFF"/>
                <w:sz w:val="18"/>
              </w:rPr>
              <w:t>Outcome</w:t>
            </w:r>
            <w:r>
              <w:rPr>
                <w:color w:val="FFFFFF"/>
                <w:spacing w:val="-2"/>
                <w:sz w:val="18"/>
              </w:rPr>
              <w:t xml:space="preserve"> </w:t>
            </w:r>
            <w:r>
              <w:rPr>
                <w:color w:val="FFFFFF"/>
                <w:sz w:val="18"/>
              </w:rPr>
              <w:t>3:</w:t>
            </w:r>
            <w:r>
              <w:rPr>
                <w:color w:val="FFFFFF"/>
                <w:spacing w:val="-1"/>
                <w:sz w:val="18"/>
              </w:rPr>
              <w:t xml:space="preserve"> </w:t>
            </w:r>
            <w:r>
              <w:rPr>
                <w:color w:val="FFFFFF"/>
                <w:sz w:val="18"/>
              </w:rPr>
              <w:t>Provide</w:t>
            </w:r>
            <w:r>
              <w:rPr>
                <w:color w:val="FFFFFF"/>
                <w:spacing w:val="-2"/>
                <w:sz w:val="18"/>
              </w:rPr>
              <w:t xml:space="preserve"> </w:t>
            </w:r>
            <w:r>
              <w:rPr>
                <w:color w:val="FFFFFF"/>
                <w:sz w:val="18"/>
              </w:rPr>
              <w:t>customers with</w:t>
            </w:r>
            <w:r>
              <w:rPr>
                <w:color w:val="FFFFFF"/>
                <w:spacing w:val="-1"/>
                <w:sz w:val="18"/>
              </w:rPr>
              <w:t xml:space="preserve"> </w:t>
            </w:r>
            <w:r>
              <w:rPr>
                <w:color w:val="FFFFFF"/>
                <w:sz w:val="18"/>
              </w:rPr>
              <w:t>reliable</w:t>
            </w:r>
            <w:r>
              <w:rPr>
                <w:color w:val="FFFFFF"/>
                <w:spacing w:val="-1"/>
                <w:sz w:val="18"/>
              </w:rPr>
              <w:t xml:space="preserve"> </w:t>
            </w:r>
            <w:r>
              <w:rPr>
                <w:color w:val="FFFFFF"/>
                <w:sz w:val="18"/>
              </w:rPr>
              <w:t>sewerage</w:t>
            </w:r>
            <w:r>
              <w:rPr>
                <w:color w:val="FFFFFF"/>
                <w:spacing w:val="-1"/>
                <w:sz w:val="18"/>
              </w:rPr>
              <w:t xml:space="preserve"> </w:t>
            </w:r>
            <w:r>
              <w:rPr>
                <w:color w:val="FFFFFF"/>
                <w:spacing w:val="-2"/>
                <w:sz w:val="18"/>
              </w:rPr>
              <w:t>services</w:t>
            </w:r>
          </w:p>
        </w:tc>
      </w:tr>
      <w:tr w:rsidR="00141B97" w14:paraId="67494F36" w14:textId="77777777">
        <w:trPr>
          <w:trHeight w:val="907"/>
          <w:tblCellSpacing w:w="9" w:type="dxa"/>
        </w:trPr>
        <w:tc>
          <w:tcPr>
            <w:tcW w:w="2287" w:type="dxa"/>
            <w:tcBorders>
              <w:left w:val="nil"/>
            </w:tcBorders>
            <w:shd w:val="clear" w:color="auto" w:fill="CCE2ED"/>
          </w:tcPr>
          <w:p w14:paraId="216B8B7E" w14:textId="77777777" w:rsidR="00141B97" w:rsidRDefault="00911D63">
            <w:pPr>
              <w:pStyle w:val="TableParagraph"/>
              <w:spacing w:before="1"/>
              <w:ind w:left="88"/>
              <w:rPr>
                <w:sz w:val="18"/>
              </w:rPr>
            </w:pPr>
            <w:r>
              <w:rPr>
                <w:sz w:val="18"/>
              </w:rPr>
              <w:t>Performance</w:t>
            </w:r>
            <w:r>
              <w:rPr>
                <w:spacing w:val="-9"/>
                <w:sz w:val="18"/>
              </w:rPr>
              <w:t xml:space="preserve"> </w:t>
            </w:r>
            <w:r>
              <w:rPr>
                <w:sz w:val="18"/>
              </w:rPr>
              <w:t>measures</w:t>
            </w:r>
            <w:r>
              <w:rPr>
                <w:spacing w:val="-7"/>
                <w:sz w:val="18"/>
              </w:rPr>
              <w:t xml:space="preserve"> </w:t>
            </w:r>
            <w:r>
              <w:rPr>
                <w:sz w:val="18"/>
              </w:rPr>
              <w:t xml:space="preserve">and </w:t>
            </w:r>
            <w:r>
              <w:rPr>
                <w:spacing w:val="-2"/>
                <w:sz w:val="18"/>
              </w:rPr>
              <w:t>targets</w:t>
            </w:r>
          </w:p>
        </w:tc>
        <w:tc>
          <w:tcPr>
            <w:tcW w:w="7454" w:type="dxa"/>
            <w:tcBorders>
              <w:right w:val="nil"/>
            </w:tcBorders>
            <w:shd w:val="clear" w:color="auto" w:fill="CCE2ED"/>
          </w:tcPr>
          <w:p w14:paraId="35D31F6A" w14:textId="77777777" w:rsidR="00141B97" w:rsidRDefault="00911D63">
            <w:pPr>
              <w:pStyle w:val="TableParagraph"/>
              <w:numPr>
                <w:ilvl w:val="0"/>
                <w:numId w:val="64"/>
              </w:numPr>
              <w:tabs>
                <w:tab w:val="left" w:pos="375"/>
                <w:tab w:val="left" w:pos="376"/>
              </w:tabs>
              <w:spacing w:before="1"/>
              <w:ind w:hanging="361"/>
              <w:rPr>
                <w:sz w:val="18"/>
              </w:rPr>
            </w:pPr>
            <w:r>
              <w:rPr>
                <w:sz w:val="18"/>
              </w:rPr>
              <w:t>Sewerage</w:t>
            </w:r>
            <w:r>
              <w:rPr>
                <w:spacing w:val="-3"/>
                <w:sz w:val="18"/>
              </w:rPr>
              <w:t xml:space="preserve"> </w:t>
            </w:r>
            <w:r>
              <w:rPr>
                <w:sz w:val="18"/>
              </w:rPr>
              <w:t>supply</w:t>
            </w:r>
            <w:r>
              <w:rPr>
                <w:spacing w:val="-2"/>
                <w:sz w:val="18"/>
              </w:rPr>
              <w:t xml:space="preserve"> </w:t>
            </w:r>
            <w:r>
              <w:rPr>
                <w:sz w:val="18"/>
              </w:rPr>
              <w:t>customer</w:t>
            </w:r>
            <w:r>
              <w:rPr>
                <w:spacing w:val="-2"/>
                <w:sz w:val="18"/>
              </w:rPr>
              <w:t xml:space="preserve"> </w:t>
            </w:r>
            <w:r>
              <w:rPr>
                <w:sz w:val="18"/>
              </w:rPr>
              <w:t>interruptions</w:t>
            </w:r>
            <w:r>
              <w:rPr>
                <w:spacing w:val="-3"/>
                <w:sz w:val="18"/>
              </w:rPr>
              <w:t xml:space="preserve"> </w:t>
            </w:r>
            <w:r>
              <w:rPr>
                <w:sz w:val="18"/>
              </w:rPr>
              <w:t>per</w:t>
            </w:r>
            <w:r>
              <w:rPr>
                <w:spacing w:val="-2"/>
                <w:sz w:val="18"/>
              </w:rPr>
              <w:t xml:space="preserve"> </w:t>
            </w:r>
            <w:r>
              <w:rPr>
                <w:sz w:val="18"/>
              </w:rPr>
              <w:t>1000</w:t>
            </w:r>
            <w:r>
              <w:rPr>
                <w:spacing w:val="-1"/>
                <w:sz w:val="18"/>
              </w:rPr>
              <w:t xml:space="preserve"> </w:t>
            </w:r>
            <w:r>
              <w:rPr>
                <w:sz w:val="18"/>
              </w:rPr>
              <w:t>customers</w:t>
            </w:r>
            <w:r>
              <w:rPr>
                <w:spacing w:val="-1"/>
                <w:sz w:val="18"/>
              </w:rPr>
              <w:t xml:space="preserve"> </w:t>
            </w:r>
            <w:r>
              <w:rPr>
                <w:sz w:val="18"/>
              </w:rPr>
              <w:t>(LMW</w:t>
            </w:r>
            <w:r>
              <w:rPr>
                <w:spacing w:val="-3"/>
                <w:sz w:val="18"/>
              </w:rPr>
              <w:t xml:space="preserve"> </w:t>
            </w:r>
            <w:r>
              <w:rPr>
                <w:sz w:val="18"/>
              </w:rPr>
              <w:t>main)</w:t>
            </w:r>
            <w:r>
              <w:rPr>
                <w:spacing w:val="-1"/>
                <w:sz w:val="18"/>
              </w:rPr>
              <w:t xml:space="preserve"> </w:t>
            </w:r>
            <w:r>
              <w:rPr>
                <w:sz w:val="18"/>
              </w:rPr>
              <w:t>–</w:t>
            </w:r>
            <w:r>
              <w:rPr>
                <w:spacing w:val="-3"/>
                <w:sz w:val="18"/>
              </w:rPr>
              <w:t xml:space="preserve"> </w:t>
            </w:r>
            <w:r>
              <w:rPr>
                <w:sz w:val="18"/>
              </w:rPr>
              <w:t>Target</w:t>
            </w:r>
            <w:r>
              <w:rPr>
                <w:spacing w:val="-2"/>
                <w:sz w:val="18"/>
              </w:rPr>
              <w:t xml:space="preserve"> </w:t>
            </w:r>
            <w:r>
              <w:rPr>
                <w:sz w:val="18"/>
              </w:rPr>
              <w:t>=</w:t>
            </w:r>
            <w:r>
              <w:rPr>
                <w:spacing w:val="-2"/>
                <w:sz w:val="18"/>
              </w:rPr>
              <w:t xml:space="preserve"> </w:t>
            </w:r>
            <w:r>
              <w:rPr>
                <w:sz w:val="18"/>
              </w:rPr>
              <w:t>5</w:t>
            </w:r>
            <w:r>
              <w:rPr>
                <w:spacing w:val="-1"/>
                <w:sz w:val="18"/>
              </w:rPr>
              <w:t xml:space="preserve"> </w:t>
            </w:r>
            <w:r>
              <w:rPr>
                <w:sz w:val="18"/>
              </w:rPr>
              <w:t>or</w:t>
            </w:r>
            <w:r>
              <w:rPr>
                <w:spacing w:val="-1"/>
                <w:sz w:val="18"/>
              </w:rPr>
              <w:t xml:space="preserve"> </w:t>
            </w:r>
            <w:r>
              <w:rPr>
                <w:spacing w:val="-4"/>
                <w:sz w:val="18"/>
              </w:rPr>
              <w:t>less</w:t>
            </w:r>
          </w:p>
          <w:p w14:paraId="7F68F9A6" w14:textId="77777777" w:rsidR="00141B97" w:rsidRDefault="00911D63">
            <w:pPr>
              <w:pStyle w:val="TableParagraph"/>
              <w:numPr>
                <w:ilvl w:val="0"/>
                <w:numId w:val="64"/>
              </w:numPr>
              <w:tabs>
                <w:tab w:val="left" w:pos="375"/>
                <w:tab w:val="left" w:pos="376"/>
              </w:tabs>
              <w:ind w:right="502"/>
              <w:rPr>
                <w:sz w:val="18"/>
              </w:rPr>
            </w:pPr>
            <w:r>
              <w:rPr>
                <w:sz w:val="18"/>
              </w:rPr>
              <w:t>Customer</w:t>
            </w:r>
            <w:r>
              <w:rPr>
                <w:spacing w:val="-1"/>
                <w:sz w:val="18"/>
              </w:rPr>
              <w:t xml:space="preserve"> </w:t>
            </w:r>
            <w:r>
              <w:rPr>
                <w:sz w:val="18"/>
              </w:rPr>
              <w:t>satisfaction</w:t>
            </w:r>
            <w:r>
              <w:rPr>
                <w:spacing w:val="-1"/>
                <w:sz w:val="18"/>
              </w:rPr>
              <w:t xml:space="preserve"> </w:t>
            </w:r>
            <w:r>
              <w:rPr>
                <w:sz w:val="18"/>
              </w:rPr>
              <w:t>of</w:t>
            </w:r>
            <w:r>
              <w:rPr>
                <w:spacing w:val="-1"/>
                <w:sz w:val="18"/>
              </w:rPr>
              <w:t xml:space="preserve"> </w:t>
            </w:r>
            <w:r>
              <w:rPr>
                <w:sz w:val="18"/>
              </w:rPr>
              <w:t>Sewerage</w:t>
            </w:r>
            <w:r>
              <w:rPr>
                <w:spacing w:val="-2"/>
                <w:sz w:val="18"/>
              </w:rPr>
              <w:t xml:space="preserve"> </w:t>
            </w:r>
            <w:r>
              <w:rPr>
                <w:sz w:val="18"/>
              </w:rPr>
              <w:t>service</w:t>
            </w:r>
            <w:r>
              <w:rPr>
                <w:spacing w:val="-2"/>
                <w:sz w:val="18"/>
              </w:rPr>
              <w:t xml:space="preserve"> </w:t>
            </w:r>
            <w:r>
              <w:rPr>
                <w:sz w:val="18"/>
              </w:rPr>
              <w:t>–</w:t>
            </w:r>
            <w:r>
              <w:rPr>
                <w:spacing w:val="-1"/>
                <w:sz w:val="18"/>
              </w:rPr>
              <w:t xml:space="preserve"> </w:t>
            </w:r>
            <w:r>
              <w:rPr>
                <w:sz w:val="18"/>
              </w:rPr>
              <w:t>Target</w:t>
            </w:r>
            <w:r>
              <w:rPr>
                <w:spacing w:val="-2"/>
                <w:sz w:val="18"/>
              </w:rPr>
              <w:t xml:space="preserve"> </w:t>
            </w:r>
            <w:r>
              <w:rPr>
                <w:sz w:val="18"/>
              </w:rPr>
              <w:t>=</w:t>
            </w:r>
            <w:r>
              <w:rPr>
                <w:spacing w:val="-1"/>
                <w:sz w:val="18"/>
              </w:rPr>
              <w:t xml:space="preserve"> </w:t>
            </w:r>
            <w:r>
              <w:rPr>
                <w:sz w:val="18"/>
              </w:rPr>
              <w:t>&gt;/=</w:t>
            </w:r>
            <w:r>
              <w:rPr>
                <w:spacing w:val="-1"/>
                <w:sz w:val="18"/>
              </w:rPr>
              <w:t xml:space="preserve"> </w:t>
            </w:r>
            <w:r>
              <w:rPr>
                <w:sz w:val="18"/>
              </w:rPr>
              <w:t>prior</w:t>
            </w:r>
            <w:r>
              <w:rPr>
                <w:spacing w:val="-1"/>
                <w:sz w:val="18"/>
              </w:rPr>
              <w:t xml:space="preserve"> </w:t>
            </w:r>
            <w:r>
              <w:rPr>
                <w:sz w:val="18"/>
              </w:rPr>
              <w:t>year</w:t>
            </w:r>
            <w:r>
              <w:rPr>
                <w:spacing w:val="-3"/>
                <w:sz w:val="18"/>
              </w:rPr>
              <w:t xml:space="preserve"> </w:t>
            </w:r>
            <w:r>
              <w:rPr>
                <w:sz w:val="18"/>
              </w:rPr>
              <w:t>performance</w:t>
            </w:r>
            <w:r>
              <w:rPr>
                <w:spacing w:val="-2"/>
                <w:sz w:val="18"/>
              </w:rPr>
              <w:t xml:space="preserve"> </w:t>
            </w:r>
            <w:r>
              <w:rPr>
                <w:sz w:val="18"/>
              </w:rPr>
              <w:t>of</w:t>
            </w:r>
            <w:r>
              <w:rPr>
                <w:spacing w:val="-2"/>
                <w:sz w:val="18"/>
              </w:rPr>
              <w:t xml:space="preserve"> </w:t>
            </w:r>
            <w:r>
              <w:rPr>
                <w:sz w:val="18"/>
              </w:rPr>
              <w:t>annual survey</w:t>
            </w:r>
            <w:r>
              <w:rPr>
                <w:spacing w:val="-2"/>
                <w:sz w:val="18"/>
              </w:rPr>
              <w:t xml:space="preserve"> </w:t>
            </w:r>
            <w:r>
              <w:rPr>
                <w:sz w:val="18"/>
              </w:rPr>
              <w:t>respondents</w:t>
            </w:r>
          </w:p>
          <w:p w14:paraId="793E54D4" w14:textId="77777777" w:rsidR="00141B97" w:rsidRDefault="00911D63">
            <w:pPr>
              <w:pStyle w:val="TableParagraph"/>
              <w:numPr>
                <w:ilvl w:val="0"/>
                <w:numId w:val="64"/>
              </w:numPr>
              <w:tabs>
                <w:tab w:val="left" w:pos="375"/>
                <w:tab w:val="left" w:pos="376"/>
              </w:tabs>
              <w:spacing w:line="208" w:lineRule="exact"/>
              <w:ind w:hanging="361"/>
              <w:rPr>
                <w:sz w:val="18"/>
              </w:rPr>
            </w:pPr>
            <w:r>
              <w:rPr>
                <w:sz w:val="18"/>
              </w:rPr>
              <w:t>Odour</w:t>
            </w:r>
            <w:r>
              <w:rPr>
                <w:spacing w:val="-4"/>
                <w:sz w:val="18"/>
              </w:rPr>
              <w:t xml:space="preserve"> </w:t>
            </w:r>
            <w:r>
              <w:rPr>
                <w:sz w:val="18"/>
              </w:rPr>
              <w:t>complaints</w:t>
            </w:r>
            <w:r>
              <w:rPr>
                <w:spacing w:val="-1"/>
                <w:sz w:val="18"/>
              </w:rPr>
              <w:t xml:space="preserve"> </w:t>
            </w:r>
            <w:r>
              <w:rPr>
                <w:sz w:val="18"/>
              </w:rPr>
              <w:t>–</w:t>
            </w:r>
            <w:r>
              <w:rPr>
                <w:spacing w:val="-1"/>
                <w:sz w:val="18"/>
              </w:rPr>
              <w:t xml:space="preserve"> </w:t>
            </w:r>
            <w:r>
              <w:rPr>
                <w:sz w:val="18"/>
              </w:rPr>
              <w:t>Target</w:t>
            </w:r>
            <w:r>
              <w:rPr>
                <w:spacing w:val="-3"/>
                <w:sz w:val="18"/>
              </w:rPr>
              <w:t xml:space="preserve"> </w:t>
            </w:r>
            <w:r>
              <w:rPr>
                <w:sz w:val="18"/>
              </w:rPr>
              <w:t>=</w:t>
            </w:r>
            <w:r>
              <w:rPr>
                <w:spacing w:val="-1"/>
                <w:sz w:val="18"/>
              </w:rPr>
              <w:t xml:space="preserve"> </w:t>
            </w:r>
            <w:r>
              <w:rPr>
                <w:sz w:val="18"/>
              </w:rPr>
              <w:t>10</w:t>
            </w:r>
            <w:r>
              <w:rPr>
                <w:spacing w:val="-1"/>
                <w:sz w:val="18"/>
              </w:rPr>
              <w:t xml:space="preserve"> </w:t>
            </w:r>
            <w:r>
              <w:rPr>
                <w:sz w:val="18"/>
              </w:rPr>
              <w:t>or</w:t>
            </w:r>
            <w:r>
              <w:rPr>
                <w:spacing w:val="-1"/>
                <w:sz w:val="18"/>
              </w:rPr>
              <w:t xml:space="preserve"> </w:t>
            </w:r>
            <w:r>
              <w:rPr>
                <w:spacing w:val="-4"/>
                <w:sz w:val="18"/>
              </w:rPr>
              <w:t>less</w:t>
            </w:r>
          </w:p>
        </w:tc>
      </w:tr>
      <w:tr w:rsidR="00141B97" w14:paraId="082E5225" w14:textId="77777777">
        <w:trPr>
          <w:trHeight w:val="458"/>
          <w:tblCellSpacing w:w="9" w:type="dxa"/>
        </w:trPr>
        <w:tc>
          <w:tcPr>
            <w:tcW w:w="2287" w:type="dxa"/>
            <w:tcBorders>
              <w:left w:val="nil"/>
            </w:tcBorders>
            <w:shd w:val="clear" w:color="auto" w:fill="CCE2ED"/>
          </w:tcPr>
          <w:p w14:paraId="0270B0C0" w14:textId="77777777" w:rsidR="00141B97" w:rsidRDefault="00911D63">
            <w:pPr>
              <w:pStyle w:val="TableParagraph"/>
              <w:spacing w:line="220" w:lineRule="atLeast"/>
              <w:ind w:left="88"/>
              <w:rPr>
                <w:sz w:val="18"/>
              </w:rPr>
            </w:pPr>
            <w:r>
              <w:rPr>
                <w:sz w:val="18"/>
              </w:rPr>
              <w:t>Guaranteed</w:t>
            </w:r>
            <w:r>
              <w:rPr>
                <w:spacing w:val="-8"/>
                <w:sz w:val="18"/>
              </w:rPr>
              <w:t xml:space="preserve"> </w:t>
            </w:r>
            <w:r>
              <w:rPr>
                <w:sz w:val="18"/>
              </w:rPr>
              <w:t>Service</w:t>
            </w:r>
            <w:r>
              <w:rPr>
                <w:spacing w:val="-10"/>
                <w:sz w:val="18"/>
              </w:rPr>
              <w:t xml:space="preserve"> </w:t>
            </w:r>
            <w:r>
              <w:rPr>
                <w:sz w:val="18"/>
              </w:rPr>
              <w:t xml:space="preserve">Levels </w:t>
            </w:r>
            <w:r>
              <w:rPr>
                <w:spacing w:val="-2"/>
                <w:sz w:val="18"/>
              </w:rPr>
              <w:t>(GSL)</w:t>
            </w:r>
          </w:p>
        </w:tc>
        <w:tc>
          <w:tcPr>
            <w:tcW w:w="7454" w:type="dxa"/>
            <w:tcBorders>
              <w:right w:val="nil"/>
            </w:tcBorders>
            <w:shd w:val="clear" w:color="auto" w:fill="CCE2ED"/>
          </w:tcPr>
          <w:p w14:paraId="383958F8" w14:textId="77777777" w:rsidR="00141B97" w:rsidRDefault="00911D63">
            <w:pPr>
              <w:pStyle w:val="TableParagraph"/>
              <w:numPr>
                <w:ilvl w:val="0"/>
                <w:numId w:val="63"/>
              </w:numPr>
              <w:tabs>
                <w:tab w:val="left" w:pos="375"/>
                <w:tab w:val="left" w:pos="376"/>
              </w:tabs>
              <w:spacing w:before="1"/>
              <w:ind w:hanging="361"/>
              <w:rPr>
                <w:sz w:val="18"/>
              </w:rPr>
            </w:pPr>
            <w:r>
              <w:rPr>
                <w:sz w:val="18"/>
              </w:rPr>
              <w:t>Number</w:t>
            </w:r>
            <w:r>
              <w:rPr>
                <w:spacing w:val="-2"/>
                <w:sz w:val="18"/>
              </w:rPr>
              <w:t xml:space="preserve"> </w:t>
            </w:r>
            <w:r>
              <w:rPr>
                <w:sz w:val="18"/>
              </w:rPr>
              <w:t>of</w:t>
            </w:r>
            <w:r>
              <w:rPr>
                <w:spacing w:val="-1"/>
                <w:sz w:val="18"/>
              </w:rPr>
              <w:t xml:space="preserve"> </w:t>
            </w:r>
            <w:r>
              <w:rPr>
                <w:sz w:val="18"/>
              </w:rPr>
              <w:t>customers</w:t>
            </w:r>
            <w:r>
              <w:rPr>
                <w:spacing w:val="-1"/>
                <w:sz w:val="18"/>
              </w:rPr>
              <w:t xml:space="preserve"> </w:t>
            </w:r>
            <w:r>
              <w:rPr>
                <w:sz w:val="18"/>
              </w:rPr>
              <w:t>receiving</w:t>
            </w:r>
            <w:r>
              <w:rPr>
                <w:spacing w:val="-3"/>
                <w:sz w:val="18"/>
              </w:rPr>
              <w:t xml:space="preserve"> </w:t>
            </w:r>
            <w:r>
              <w:rPr>
                <w:sz w:val="18"/>
              </w:rPr>
              <w:t>more</w:t>
            </w:r>
            <w:r>
              <w:rPr>
                <w:spacing w:val="-2"/>
                <w:sz w:val="18"/>
              </w:rPr>
              <w:t xml:space="preserve"> </w:t>
            </w:r>
            <w:r>
              <w:rPr>
                <w:sz w:val="18"/>
              </w:rPr>
              <w:t>than</w:t>
            </w:r>
            <w:r>
              <w:rPr>
                <w:spacing w:val="-2"/>
                <w:sz w:val="18"/>
              </w:rPr>
              <w:t xml:space="preserve"> </w:t>
            </w:r>
            <w:r>
              <w:rPr>
                <w:sz w:val="18"/>
              </w:rPr>
              <w:t>3</w:t>
            </w:r>
            <w:r>
              <w:rPr>
                <w:spacing w:val="-2"/>
                <w:sz w:val="18"/>
              </w:rPr>
              <w:t xml:space="preserve"> </w:t>
            </w:r>
            <w:r>
              <w:rPr>
                <w:sz w:val="18"/>
              </w:rPr>
              <w:t>sewer</w:t>
            </w:r>
            <w:r>
              <w:rPr>
                <w:spacing w:val="-1"/>
                <w:sz w:val="18"/>
              </w:rPr>
              <w:t xml:space="preserve"> </w:t>
            </w:r>
            <w:r>
              <w:rPr>
                <w:sz w:val="18"/>
              </w:rPr>
              <w:t>blockages</w:t>
            </w:r>
            <w:r>
              <w:rPr>
                <w:spacing w:val="-2"/>
                <w:sz w:val="18"/>
              </w:rPr>
              <w:t xml:space="preserve"> </w:t>
            </w:r>
            <w:r>
              <w:rPr>
                <w:sz w:val="18"/>
              </w:rPr>
              <w:t>in</w:t>
            </w:r>
            <w:r>
              <w:rPr>
                <w:spacing w:val="-1"/>
                <w:sz w:val="18"/>
              </w:rPr>
              <w:t xml:space="preserve"> </w:t>
            </w:r>
            <w:r>
              <w:rPr>
                <w:sz w:val="18"/>
              </w:rPr>
              <w:t>the</w:t>
            </w:r>
            <w:r>
              <w:rPr>
                <w:spacing w:val="-2"/>
                <w:sz w:val="18"/>
              </w:rPr>
              <w:t xml:space="preserve"> </w:t>
            </w:r>
            <w:r>
              <w:rPr>
                <w:sz w:val="18"/>
              </w:rPr>
              <w:t>year</w:t>
            </w:r>
            <w:r>
              <w:rPr>
                <w:spacing w:val="-1"/>
                <w:sz w:val="18"/>
              </w:rPr>
              <w:t xml:space="preserve"> </w:t>
            </w:r>
            <w:r>
              <w:rPr>
                <w:spacing w:val="-2"/>
                <w:sz w:val="18"/>
              </w:rPr>
              <w:t>($75)</w:t>
            </w:r>
          </w:p>
          <w:p w14:paraId="0B16E3D0" w14:textId="77777777" w:rsidR="00141B97" w:rsidRDefault="00911D63">
            <w:pPr>
              <w:pStyle w:val="TableParagraph"/>
              <w:numPr>
                <w:ilvl w:val="0"/>
                <w:numId w:val="63"/>
              </w:numPr>
              <w:tabs>
                <w:tab w:val="left" w:pos="375"/>
                <w:tab w:val="left" w:pos="376"/>
              </w:tabs>
              <w:spacing w:line="208" w:lineRule="exact"/>
              <w:ind w:hanging="359"/>
              <w:rPr>
                <w:sz w:val="18"/>
              </w:rPr>
            </w:pPr>
            <w:r>
              <w:rPr>
                <w:sz w:val="18"/>
              </w:rPr>
              <w:t>Sewer</w:t>
            </w:r>
            <w:r>
              <w:rPr>
                <w:spacing w:val="-1"/>
                <w:sz w:val="18"/>
              </w:rPr>
              <w:t xml:space="preserve"> </w:t>
            </w:r>
            <w:r>
              <w:rPr>
                <w:sz w:val="18"/>
              </w:rPr>
              <w:t>spill</w:t>
            </w:r>
            <w:r>
              <w:rPr>
                <w:spacing w:val="-2"/>
                <w:sz w:val="18"/>
              </w:rPr>
              <w:t xml:space="preserve"> </w:t>
            </w:r>
            <w:r>
              <w:rPr>
                <w:sz w:val="18"/>
              </w:rPr>
              <w:t>within</w:t>
            </w:r>
            <w:r>
              <w:rPr>
                <w:spacing w:val="-1"/>
                <w:sz w:val="18"/>
              </w:rPr>
              <w:t xml:space="preserve"> </w:t>
            </w:r>
            <w:r>
              <w:rPr>
                <w:sz w:val="18"/>
              </w:rPr>
              <w:t>house</w:t>
            </w:r>
            <w:r>
              <w:rPr>
                <w:spacing w:val="-1"/>
                <w:sz w:val="18"/>
              </w:rPr>
              <w:t xml:space="preserve"> </w:t>
            </w:r>
            <w:r>
              <w:rPr>
                <w:sz w:val="18"/>
              </w:rPr>
              <w:t>caused</w:t>
            </w:r>
            <w:r>
              <w:rPr>
                <w:spacing w:val="-2"/>
                <w:sz w:val="18"/>
              </w:rPr>
              <w:t xml:space="preserve"> </w:t>
            </w:r>
            <w:r>
              <w:rPr>
                <w:sz w:val="18"/>
              </w:rPr>
              <w:t>by</w:t>
            </w:r>
            <w:r>
              <w:rPr>
                <w:spacing w:val="-2"/>
                <w:sz w:val="18"/>
              </w:rPr>
              <w:t xml:space="preserve"> </w:t>
            </w:r>
            <w:r>
              <w:rPr>
                <w:sz w:val="18"/>
              </w:rPr>
              <w:t>LMW</w:t>
            </w:r>
            <w:r>
              <w:rPr>
                <w:spacing w:val="-1"/>
                <w:sz w:val="18"/>
              </w:rPr>
              <w:t xml:space="preserve"> </w:t>
            </w:r>
            <w:r>
              <w:rPr>
                <w:spacing w:val="-2"/>
                <w:sz w:val="18"/>
              </w:rPr>
              <w:t>($1,500)</w:t>
            </w:r>
          </w:p>
        </w:tc>
      </w:tr>
      <w:tr w:rsidR="00141B97" w14:paraId="2769BD81" w14:textId="77777777">
        <w:trPr>
          <w:trHeight w:val="1786"/>
          <w:tblCellSpacing w:w="9" w:type="dxa"/>
        </w:trPr>
        <w:tc>
          <w:tcPr>
            <w:tcW w:w="2287" w:type="dxa"/>
            <w:tcBorders>
              <w:left w:val="nil"/>
            </w:tcBorders>
            <w:shd w:val="clear" w:color="auto" w:fill="CCE2ED"/>
          </w:tcPr>
          <w:p w14:paraId="74121607" w14:textId="77777777" w:rsidR="00141B97" w:rsidRDefault="00911D63">
            <w:pPr>
              <w:pStyle w:val="TableParagraph"/>
              <w:ind w:left="88"/>
              <w:rPr>
                <w:sz w:val="18"/>
              </w:rPr>
            </w:pPr>
            <w:r>
              <w:rPr>
                <w:sz w:val="18"/>
              </w:rPr>
              <w:t>Major</w:t>
            </w:r>
            <w:r>
              <w:rPr>
                <w:spacing w:val="-4"/>
                <w:sz w:val="18"/>
              </w:rPr>
              <w:t xml:space="preserve"> </w:t>
            </w:r>
            <w:r>
              <w:rPr>
                <w:sz w:val="18"/>
              </w:rPr>
              <w:t>change</w:t>
            </w:r>
            <w:r>
              <w:rPr>
                <w:spacing w:val="-2"/>
                <w:sz w:val="18"/>
              </w:rPr>
              <w:t xml:space="preserve"> projects</w:t>
            </w:r>
          </w:p>
        </w:tc>
        <w:tc>
          <w:tcPr>
            <w:tcW w:w="7454" w:type="dxa"/>
            <w:tcBorders>
              <w:right w:val="nil"/>
            </w:tcBorders>
            <w:shd w:val="clear" w:color="auto" w:fill="CCE2ED"/>
          </w:tcPr>
          <w:p w14:paraId="74E3FA68" w14:textId="77777777" w:rsidR="00141B97" w:rsidRDefault="00911D63">
            <w:pPr>
              <w:pStyle w:val="TableParagraph"/>
              <w:numPr>
                <w:ilvl w:val="0"/>
                <w:numId w:val="62"/>
              </w:numPr>
              <w:tabs>
                <w:tab w:val="left" w:pos="375"/>
                <w:tab w:val="left" w:pos="376"/>
              </w:tabs>
              <w:ind w:right="87"/>
              <w:rPr>
                <w:sz w:val="18"/>
              </w:rPr>
            </w:pPr>
            <w:r>
              <w:rPr>
                <w:sz w:val="18"/>
              </w:rPr>
              <w:t>Invest $3.6m in wastewater facilities renewals and generators to maintain quality and system</w:t>
            </w:r>
            <w:r>
              <w:rPr>
                <w:spacing w:val="40"/>
                <w:sz w:val="18"/>
              </w:rPr>
              <w:t xml:space="preserve"> </w:t>
            </w:r>
            <w:r>
              <w:rPr>
                <w:spacing w:val="-2"/>
                <w:sz w:val="18"/>
              </w:rPr>
              <w:t>capability</w:t>
            </w:r>
          </w:p>
          <w:p w14:paraId="690A6F53" w14:textId="77777777" w:rsidR="00141B97" w:rsidRDefault="00911D63">
            <w:pPr>
              <w:pStyle w:val="TableParagraph"/>
              <w:numPr>
                <w:ilvl w:val="0"/>
                <w:numId w:val="62"/>
              </w:numPr>
              <w:tabs>
                <w:tab w:val="left" w:pos="375"/>
                <w:tab w:val="left" w:pos="376"/>
              </w:tabs>
              <w:ind w:hanging="361"/>
              <w:rPr>
                <w:sz w:val="18"/>
              </w:rPr>
            </w:pPr>
            <w:r>
              <w:rPr>
                <w:sz w:val="18"/>
              </w:rPr>
              <w:t>Deliver</w:t>
            </w:r>
            <w:r>
              <w:rPr>
                <w:spacing w:val="-2"/>
                <w:sz w:val="18"/>
              </w:rPr>
              <w:t xml:space="preserve"> </w:t>
            </w:r>
            <w:r>
              <w:rPr>
                <w:sz w:val="18"/>
              </w:rPr>
              <w:t>major</w:t>
            </w:r>
            <w:r>
              <w:rPr>
                <w:spacing w:val="-3"/>
                <w:sz w:val="18"/>
              </w:rPr>
              <w:t xml:space="preserve"> </w:t>
            </w:r>
            <w:r>
              <w:rPr>
                <w:sz w:val="18"/>
              </w:rPr>
              <w:t>capital</w:t>
            </w:r>
            <w:r>
              <w:rPr>
                <w:spacing w:val="-3"/>
                <w:sz w:val="18"/>
              </w:rPr>
              <w:t xml:space="preserve"> </w:t>
            </w:r>
            <w:r>
              <w:rPr>
                <w:sz w:val="18"/>
              </w:rPr>
              <w:t>projects</w:t>
            </w:r>
            <w:r>
              <w:rPr>
                <w:spacing w:val="-2"/>
                <w:sz w:val="18"/>
              </w:rPr>
              <w:t xml:space="preserve"> </w:t>
            </w:r>
            <w:r>
              <w:rPr>
                <w:sz w:val="18"/>
              </w:rPr>
              <w:t>on</w:t>
            </w:r>
            <w:r>
              <w:rPr>
                <w:spacing w:val="-3"/>
                <w:sz w:val="18"/>
              </w:rPr>
              <w:t xml:space="preserve"> </w:t>
            </w:r>
            <w:r>
              <w:rPr>
                <w:sz w:val="18"/>
              </w:rPr>
              <w:t>time</w:t>
            </w:r>
            <w:r>
              <w:rPr>
                <w:spacing w:val="-3"/>
                <w:sz w:val="18"/>
              </w:rPr>
              <w:t xml:space="preserve"> </w:t>
            </w:r>
            <w:r>
              <w:rPr>
                <w:sz w:val="18"/>
              </w:rPr>
              <w:t>and</w:t>
            </w:r>
            <w:r>
              <w:rPr>
                <w:spacing w:val="-2"/>
                <w:sz w:val="18"/>
              </w:rPr>
              <w:t xml:space="preserve"> </w:t>
            </w:r>
            <w:r>
              <w:rPr>
                <w:sz w:val="18"/>
              </w:rPr>
              <w:t>budget,</w:t>
            </w:r>
            <w:r>
              <w:rPr>
                <w:spacing w:val="-1"/>
                <w:sz w:val="18"/>
              </w:rPr>
              <w:t xml:space="preserve"> </w:t>
            </w:r>
            <w:r>
              <w:rPr>
                <w:spacing w:val="-2"/>
                <w:sz w:val="18"/>
              </w:rPr>
              <w:t>including:</w:t>
            </w:r>
          </w:p>
          <w:p w14:paraId="505DB39E" w14:textId="77777777" w:rsidR="00141B97" w:rsidRDefault="00911D63">
            <w:pPr>
              <w:pStyle w:val="TableParagraph"/>
              <w:numPr>
                <w:ilvl w:val="1"/>
                <w:numId w:val="62"/>
              </w:numPr>
              <w:tabs>
                <w:tab w:val="left" w:pos="801"/>
              </w:tabs>
              <w:spacing w:line="222" w:lineRule="exact"/>
              <w:ind w:hanging="361"/>
              <w:rPr>
                <w:sz w:val="18"/>
              </w:rPr>
            </w:pPr>
            <w:r>
              <w:rPr>
                <w:sz w:val="18"/>
              </w:rPr>
              <w:t>Koorlong</w:t>
            </w:r>
            <w:r>
              <w:rPr>
                <w:spacing w:val="-2"/>
                <w:sz w:val="18"/>
              </w:rPr>
              <w:t xml:space="preserve"> </w:t>
            </w:r>
            <w:r>
              <w:rPr>
                <w:sz w:val="18"/>
              </w:rPr>
              <w:t>wet</w:t>
            </w:r>
            <w:r>
              <w:rPr>
                <w:spacing w:val="-3"/>
                <w:sz w:val="18"/>
              </w:rPr>
              <w:t xml:space="preserve"> </w:t>
            </w:r>
            <w:r>
              <w:rPr>
                <w:sz w:val="18"/>
              </w:rPr>
              <w:t>weather</w:t>
            </w:r>
            <w:r>
              <w:rPr>
                <w:spacing w:val="-2"/>
                <w:sz w:val="18"/>
              </w:rPr>
              <w:t xml:space="preserve"> </w:t>
            </w:r>
            <w:r>
              <w:rPr>
                <w:sz w:val="18"/>
              </w:rPr>
              <w:t>storage</w:t>
            </w:r>
            <w:r>
              <w:rPr>
                <w:spacing w:val="-2"/>
                <w:sz w:val="18"/>
              </w:rPr>
              <w:t xml:space="preserve"> ($6.1m)</w:t>
            </w:r>
          </w:p>
          <w:p w14:paraId="35C0A6E4" w14:textId="77777777" w:rsidR="00141B97" w:rsidRDefault="00911D63">
            <w:pPr>
              <w:pStyle w:val="TableParagraph"/>
              <w:numPr>
                <w:ilvl w:val="1"/>
                <w:numId w:val="62"/>
              </w:numPr>
              <w:tabs>
                <w:tab w:val="left" w:pos="801"/>
              </w:tabs>
              <w:spacing w:line="220" w:lineRule="exact"/>
              <w:ind w:hanging="361"/>
              <w:rPr>
                <w:sz w:val="18"/>
              </w:rPr>
            </w:pPr>
            <w:r>
              <w:rPr>
                <w:sz w:val="18"/>
              </w:rPr>
              <w:t>Replacement</w:t>
            </w:r>
            <w:r>
              <w:rPr>
                <w:spacing w:val="-1"/>
                <w:sz w:val="18"/>
              </w:rPr>
              <w:t xml:space="preserve"> </w:t>
            </w:r>
            <w:r>
              <w:rPr>
                <w:sz w:val="18"/>
              </w:rPr>
              <w:t>and</w:t>
            </w:r>
            <w:r>
              <w:rPr>
                <w:spacing w:val="-1"/>
                <w:sz w:val="18"/>
              </w:rPr>
              <w:t xml:space="preserve"> </w:t>
            </w:r>
            <w:r>
              <w:rPr>
                <w:sz w:val="18"/>
              </w:rPr>
              <w:t>renewal</w:t>
            </w:r>
            <w:r>
              <w:rPr>
                <w:spacing w:val="-2"/>
                <w:sz w:val="18"/>
              </w:rPr>
              <w:t xml:space="preserve"> </w:t>
            </w:r>
            <w:r>
              <w:rPr>
                <w:sz w:val="18"/>
              </w:rPr>
              <w:t>of</w:t>
            </w:r>
            <w:r>
              <w:rPr>
                <w:spacing w:val="-1"/>
                <w:sz w:val="18"/>
              </w:rPr>
              <w:t xml:space="preserve"> </w:t>
            </w:r>
            <w:r>
              <w:rPr>
                <w:sz w:val="18"/>
              </w:rPr>
              <w:t>sewer</w:t>
            </w:r>
            <w:r>
              <w:rPr>
                <w:spacing w:val="-1"/>
                <w:sz w:val="18"/>
              </w:rPr>
              <w:t xml:space="preserve"> </w:t>
            </w:r>
            <w:r>
              <w:rPr>
                <w:sz w:val="18"/>
              </w:rPr>
              <w:t xml:space="preserve">mains </w:t>
            </w:r>
            <w:r>
              <w:rPr>
                <w:spacing w:val="-2"/>
                <w:sz w:val="18"/>
              </w:rPr>
              <w:t>($6.1m)</w:t>
            </w:r>
          </w:p>
          <w:p w14:paraId="3ACF4149" w14:textId="77777777" w:rsidR="00141B97" w:rsidRDefault="00911D63">
            <w:pPr>
              <w:pStyle w:val="TableParagraph"/>
              <w:numPr>
                <w:ilvl w:val="1"/>
                <w:numId w:val="62"/>
              </w:numPr>
              <w:tabs>
                <w:tab w:val="left" w:pos="801"/>
              </w:tabs>
              <w:spacing w:line="220" w:lineRule="exact"/>
              <w:ind w:hanging="361"/>
              <w:rPr>
                <w:sz w:val="18"/>
              </w:rPr>
            </w:pPr>
            <w:r>
              <w:rPr>
                <w:sz w:val="18"/>
              </w:rPr>
              <w:t>Augmentation</w:t>
            </w:r>
            <w:r>
              <w:rPr>
                <w:spacing w:val="-4"/>
                <w:sz w:val="18"/>
              </w:rPr>
              <w:t xml:space="preserve"> </w:t>
            </w:r>
            <w:r>
              <w:rPr>
                <w:sz w:val="18"/>
              </w:rPr>
              <w:t>of</w:t>
            </w:r>
            <w:r>
              <w:rPr>
                <w:spacing w:val="-2"/>
                <w:sz w:val="18"/>
              </w:rPr>
              <w:t xml:space="preserve"> </w:t>
            </w:r>
            <w:r>
              <w:rPr>
                <w:sz w:val="18"/>
              </w:rPr>
              <w:t>sewerage</w:t>
            </w:r>
            <w:r>
              <w:rPr>
                <w:spacing w:val="-4"/>
                <w:sz w:val="18"/>
              </w:rPr>
              <w:t xml:space="preserve"> </w:t>
            </w:r>
            <w:r>
              <w:rPr>
                <w:sz w:val="18"/>
              </w:rPr>
              <w:t>pumps</w:t>
            </w:r>
            <w:r>
              <w:rPr>
                <w:spacing w:val="-3"/>
                <w:sz w:val="18"/>
              </w:rPr>
              <w:t xml:space="preserve"> </w:t>
            </w:r>
            <w:r>
              <w:rPr>
                <w:sz w:val="18"/>
              </w:rPr>
              <w:t>stations</w:t>
            </w:r>
            <w:r>
              <w:rPr>
                <w:spacing w:val="-3"/>
                <w:sz w:val="18"/>
              </w:rPr>
              <w:t xml:space="preserve"> </w:t>
            </w:r>
            <w:r>
              <w:rPr>
                <w:spacing w:val="-2"/>
                <w:sz w:val="18"/>
              </w:rPr>
              <w:t>($3.0m)</w:t>
            </w:r>
          </w:p>
          <w:p w14:paraId="3C0859CC" w14:textId="77777777" w:rsidR="00141B97" w:rsidRDefault="00911D63">
            <w:pPr>
              <w:pStyle w:val="TableParagraph"/>
              <w:numPr>
                <w:ilvl w:val="0"/>
                <w:numId w:val="62"/>
              </w:numPr>
              <w:tabs>
                <w:tab w:val="left" w:pos="375"/>
                <w:tab w:val="left" w:pos="376"/>
              </w:tabs>
              <w:spacing w:line="220" w:lineRule="exact"/>
              <w:ind w:right="694"/>
              <w:rPr>
                <w:sz w:val="18"/>
              </w:rPr>
            </w:pPr>
            <w:r>
              <w:rPr>
                <w:sz w:val="18"/>
              </w:rPr>
              <w:t>Manage</w:t>
            </w:r>
            <w:r>
              <w:rPr>
                <w:spacing w:val="-1"/>
                <w:sz w:val="18"/>
              </w:rPr>
              <w:t xml:space="preserve"> </w:t>
            </w:r>
            <w:r>
              <w:rPr>
                <w:sz w:val="18"/>
              </w:rPr>
              <w:t>sewer</w:t>
            </w:r>
            <w:r>
              <w:rPr>
                <w:spacing w:val="-1"/>
                <w:sz w:val="18"/>
              </w:rPr>
              <w:t xml:space="preserve"> </w:t>
            </w:r>
            <w:r>
              <w:rPr>
                <w:sz w:val="18"/>
              </w:rPr>
              <w:t>network</w:t>
            </w:r>
            <w:r>
              <w:rPr>
                <w:spacing w:val="-2"/>
                <w:sz w:val="18"/>
              </w:rPr>
              <w:t xml:space="preserve"> </w:t>
            </w:r>
            <w:r>
              <w:rPr>
                <w:sz w:val="18"/>
              </w:rPr>
              <w:t>performance</w:t>
            </w:r>
            <w:r>
              <w:rPr>
                <w:spacing w:val="-2"/>
                <w:sz w:val="18"/>
              </w:rPr>
              <w:t xml:space="preserve"> </w:t>
            </w:r>
            <w:r>
              <w:rPr>
                <w:sz w:val="18"/>
              </w:rPr>
              <w:t>and</w:t>
            </w:r>
            <w:r>
              <w:rPr>
                <w:spacing w:val="-3"/>
                <w:sz w:val="18"/>
              </w:rPr>
              <w:t xml:space="preserve"> </w:t>
            </w:r>
            <w:r>
              <w:rPr>
                <w:sz w:val="18"/>
              </w:rPr>
              <w:t>minimise</w:t>
            </w:r>
            <w:r>
              <w:rPr>
                <w:spacing w:val="-2"/>
                <w:sz w:val="18"/>
              </w:rPr>
              <w:t xml:space="preserve"> </w:t>
            </w:r>
            <w:r>
              <w:rPr>
                <w:sz w:val="18"/>
              </w:rPr>
              <w:t>critical</w:t>
            </w:r>
            <w:r>
              <w:rPr>
                <w:spacing w:val="-1"/>
                <w:sz w:val="18"/>
              </w:rPr>
              <w:t xml:space="preserve"> </w:t>
            </w:r>
            <w:r>
              <w:rPr>
                <w:sz w:val="18"/>
              </w:rPr>
              <w:t>sewer</w:t>
            </w:r>
            <w:r>
              <w:rPr>
                <w:spacing w:val="-2"/>
                <w:sz w:val="18"/>
              </w:rPr>
              <w:t xml:space="preserve"> </w:t>
            </w:r>
            <w:r>
              <w:rPr>
                <w:sz w:val="18"/>
              </w:rPr>
              <w:t>failures</w:t>
            </w:r>
            <w:r>
              <w:rPr>
                <w:spacing w:val="-2"/>
                <w:sz w:val="18"/>
              </w:rPr>
              <w:t xml:space="preserve"> </w:t>
            </w:r>
            <w:r>
              <w:rPr>
                <w:sz w:val="18"/>
              </w:rPr>
              <w:t>through</w:t>
            </w:r>
            <w:r>
              <w:rPr>
                <w:spacing w:val="-2"/>
                <w:sz w:val="18"/>
              </w:rPr>
              <w:t xml:space="preserve"> </w:t>
            </w:r>
            <w:r>
              <w:rPr>
                <w:sz w:val="18"/>
              </w:rPr>
              <w:t>sewer rehabilitation</w:t>
            </w:r>
            <w:r>
              <w:rPr>
                <w:spacing w:val="-2"/>
                <w:sz w:val="18"/>
              </w:rPr>
              <w:t xml:space="preserve"> </w:t>
            </w:r>
            <w:r>
              <w:rPr>
                <w:sz w:val="18"/>
              </w:rPr>
              <w:t>program</w:t>
            </w:r>
          </w:p>
        </w:tc>
      </w:tr>
      <w:tr w:rsidR="00141B97" w14:paraId="1323DA8D" w14:textId="77777777">
        <w:trPr>
          <w:trHeight w:val="1375"/>
          <w:tblCellSpacing w:w="9" w:type="dxa"/>
        </w:trPr>
        <w:tc>
          <w:tcPr>
            <w:tcW w:w="2287" w:type="dxa"/>
            <w:tcBorders>
              <w:left w:val="nil"/>
            </w:tcBorders>
            <w:shd w:val="clear" w:color="auto" w:fill="CCE2ED"/>
          </w:tcPr>
          <w:p w14:paraId="1E97C1E7" w14:textId="77777777" w:rsidR="00141B97" w:rsidRDefault="00911D63">
            <w:pPr>
              <w:pStyle w:val="TableParagraph"/>
              <w:spacing w:before="1"/>
              <w:ind w:left="88"/>
              <w:rPr>
                <w:sz w:val="18"/>
              </w:rPr>
            </w:pPr>
            <w:r>
              <w:rPr>
                <w:sz w:val="18"/>
              </w:rPr>
              <w:t>Key</w:t>
            </w:r>
            <w:r>
              <w:rPr>
                <w:spacing w:val="-5"/>
                <w:sz w:val="18"/>
              </w:rPr>
              <w:t xml:space="preserve"> </w:t>
            </w:r>
            <w:r>
              <w:rPr>
                <w:sz w:val="18"/>
              </w:rPr>
              <w:t>operational</w:t>
            </w:r>
            <w:r>
              <w:rPr>
                <w:spacing w:val="-5"/>
                <w:sz w:val="18"/>
              </w:rPr>
              <w:t xml:space="preserve"> </w:t>
            </w:r>
            <w:r>
              <w:rPr>
                <w:spacing w:val="-2"/>
                <w:sz w:val="18"/>
              </w:rPr>
              <w:t>activities</w:t>
            </w:r>
          </w:p>
        </w:tc>
        <w:tc>
          <w:tcPr>
            <w:tcW w:w="7454" w:type="dxa"/>
            <w:tcBorders>
              <w:right w:val="nil"/>
            </w:tcBorders>
            <w:shd w:val="clear" w:color="auto" w:fill="CCE2ED"/>
          </w:tcPr>
          <w:p w14:paraId="3EF66BB2" w14:textId="77777777" w:rsidR="00141B97" w:rsidRDefault="00911D63">
            <w:pPr>
              <w:pStyle w:val="TableParagraph"/>
              <w:numPr>
                <w:ilvl w:val="0"/>
                <w:numId w:val="61"/>
              </w:numPr>
              <w:tabs>
                <w:tab w:val="left" w:pos="375"/>
                <w:tab w:val="left" w:pos="376"/>
              </w:tabs>
              <w:spacing w:before="1"/>
              <w:ind w:hanging="361"/>
              <w:rPr>
                <w:sz w:val="18"/>
              </w:rPr>
            </w:pPr>
            <w:r>
              <w:rPr>
                <w:sz w:val="18"/>
              </w:rPr>
              <w:t>Well</w:t>
            </w:r>
            <w:r>
              <w:rPr>
                <w:spacing w:val="-4"/>
                <w:sz w:val="18"/>
              </w:rPr>
              <w:t xml:space="preserve"> </w:t>
            </w:r>
            <w:r>
              <w:rPr>
                <w:sz w:val="18"/>
              </w:rPr>
              <w:t>maintained</w:t>
            </w:r>
            <w:r>
              <w:rPr>
                <w:spacing w:val="-2"/>
                <w:sz w:val="18"/>
              </w:rPr>
              <w:t xml:space="preserve"> </w:t>
            </w:r>
            <w:r>
              <w:rPr>
                <w:sz w:val="18"/>
              </w:rPr>
              <w:t>assets</w:t>
            </w:r>
            <w:r>
              <w:rPr>
                <w:spacing w:val="-2"/>
                <w:sz w:val="18"/>
              </w:rPr>
              <w:t xml:space="preserve"> </w:t>
            </w:r>
            <w:r>
              <w:rPr>
                <w:sz w:val="18"/>
              </w:rPr>
              <w:t>that</w:t>
            </w:r>
            <w:r>
              <w:rPr>
                <w:spacing w:val="-3"/>
                <w:sz w:val="18"/>
              </w:rPr>
              <w:t xml:space="preserve"> </w:t>
            </w:r>
            <w:r>
              <w:rPr>
                <w:sz w:val="18"/>
              </w:rPr>
              <w:t>are</w:t>
            </w:r>
            <w:r>
              <w:rPr>
                <w:spacing w:val="-3"/>
                <w:sz w:val="18"/>
              </w:rPr>
              <w:t xml:space="preserve"> </w:t>
            </w:r>
            <w:r>
              <w:rPr>
                <w:sz w:val="18"/>
              </w:rPr>
              <w:t>correctly</w:t>
            </w:r>
            <w:r>
              <w:rPr>
                <w:spacing w:val="-3"/>
                <w:sz w:val="18"/>
              </w:rPr>
              <w:t xml:space="preserve"> </w:t>
            </w:r>
            <w:r>
              <w:rPr>
                <w:sz w:val="18"/>
              </w:rPr>
              <w:t>sized</w:t>
            </w:r>
            <w:r>
              <w:rPr>
                <w:spacing w:val="-3"/>
                <w:sz w:val="18"/>
              </w:rPr>
              <w:t xml:space="preserve"> </w:t>
            </w:r>
            <w:r>
              <w:rPr>
                <w:sz w:val="18"/>
              </w:rPr>
              <w:t>to</w:t>
            </w:r>
            <w:r>
              <w:rPr>
                <w:spacing w:val="-3"/>
                <w:sz w:val="18"/>
              </w:rPr>
              <w:t xml:space="preserve"> </w:t>
            </w:r>
            <w:r>
              <w:rPr>
                <w:sz w:val="18"/>
              </w:rPr>
              <w:t>deal</w:t>
            </w:r>
            <w:r>
              <w:rPr>
                <w:spacing w:val="-3"/>
                <w:sz w:val="18"/>
              </w:rPr>
              <w:t xml:space="preserve"> </w:t>
            </w:r>
            <w:r>
              <w:rPr>
                <w:sz w:val="18"/>
              </w:rPr>
              <w:t>with</w:t>
            </w:r>
            <w:r>
              <w:rPr>
                <w:spacing w:val="-2"/>
                <w:sz w:val="18"/>
              </w:rPr>
              <w:t xml:space="preserve"> </w:t>
            </w:r>
            <w:r>
              <w:rPr>
                <w:sz w:val="18"/>
              </w:rPr>
              <w:t>growth</w:t>
            </w:r>
            <w:r>
              <w:rPr>
                <w:spacing w:val="-2"/>
                <w:sz w:val="18"/>
              </w:rPr>
              <w:t xml:space="preserve"> </w:t>
            </w:r>
            <w:r>
              <w:rPr>
                <w:sz w:val="18"/>
              </w:rPr>
              <w:t>and</w:t>
            </w:r>
            <w:r>
              <w:rPr>
                <w:spacing w:val="-2"/>
                <w:sz w:val="18"/>
              </w:rPr>
              <w:t xml:space="preserve"> </w:t>
            </w:r>
            <w:r>
              <w:rPr>
                <w:sz w:val="18"/>
              </w:rPr>
              <w:t>storm</w:t>
            </w:r>
            <w:r>
              <w:rPr>
                <w:spacing w:val="-2"/>
                <w:sz w:val="18"/>
              </w:rPr>
              <w:t xml:space="preserve"> events</w:t>
            </w:r>
          </w:p>
          <w:p w14:paraId="0E8E6F06" w14:textId="77777777" w:rsidR="00141B97" w:rsidRDefault="00911D63">
            <w:pPr>
              <w:pStyle w:val="TableParagraph"/>
              <w:numPr>
                <w:ilvl w:val="0"/>
                <w:numId w:val="61"/>
              </w:numPr>
              <w:tabs>
                <w:tab w:val="left" w:pos="375"/>
                <w:tab w:val="left" w:pos="376"/>
              </w:tabs>
              <w:ind w:hanging="361"/>
              <w:rPr>
                <w:sz w:val="18"/>
              </w:rPr>
            </w:pPr>
            <w:r>
              <w:rPr>
                <w:sz w:val="18"/>
              </w:rPr>
              <w:t>WWTP’s</w:t>
            </w:r>
            <w:r>
              <w:rPr>
                <w:spacing w:val="-3"/>
                <w:sz w:val="18"/>
              </w:rPr>
              <w:t xml:space="preserve"> </w:t>
            </w:r>
            <w:r>
              <w:rPr>
                <w:sz w:val="18"/>
              </w:rPr>
              <w:t>that</w:t>
            </w:r>
            <w:r>
              <w:rPr>
                <w:spacing w:val="-3"/>
                <w:sz w:val="18"/>
              </w:rPr>
              <w:t xml:space="preserve"> </w:t>
            </w:r>
            <w:r>
              <w:rPr>
                <w:sz w:val="18"/>
              </w:rPr>
              <w:t>operate</w:t>
            </w:r>
            <w:r>
              <w:rPr>
                <w:spacing w:val="-2"/>
                <w:sz w:val="18"/>
              </w:rPr>
              <w:t xml:space="preserve"> effectively</w:t>
            </w:r>
          </w:p>
          <w:p w14:paraId="0945E71D" w14:textId="77777777" w:rsidR="00141B97" w:rsidRDefault="00911D63">
            <w:pPr>
              <w:pStyle w:val="TableParagraph"/>
              <w:numPr>
                <w:ilvl w:val="0"/>
                <w:numId w:val="61"/>
              </w:numPr>
              <w:tabs>
                <w:tab w:val="left" w:pos="375"/>
                <w:tab w:val="left" w:pos="376"/>
              </w:tabs>
              <w:ind w:hanging="361"/>
              <w:rPr>
                <w:sz w:val="18"/>
              </w:rPr>
            </w:pPr>
            <w:r>
              <w:rPr>
                <w:sz w:val="18"/>
              </w:rPr>
              <w:t>Support</w:t>
            </w:r>
            <w:r>
              <w:rPr>
                <w:spacing w:val="-4"/>
                <w:sz w:val="18"/>
              </w:rPr>
              <w:t xml:space="preserve"> </w:t>
            </w:r>
            <w:r>
              <w:rPr>
                <w:sz w:val="18"/>
              </w:rPr>
              <w:t>reliability</w:t>
            </w:r>
            <w:r>
              <w:rPr>
                <w:spacing w:val="-2"/>
                <w:sz w:val="18"/>
              </w:rPr>
              <w:t xml:space="preserve"> </w:t>
            </w:r>
            <w:r>
              <w:rPr>
                <w:sz w:val="18"/>
              </w:rPr>
              <w:t>with</w:t>
            </w:r>
            <w:r>
              <w:rPr>
                <w:spacing w:val="-1"/>
                <w:sz w:val="18"/>
              </w:rPr>
              <w:t xml:space="preserve"> </w:t>
            </w:r>
            <w:r>
              <w:rPr>
                <w:sz w:val="18"/>
              </w:rPr>
              <w:t>backup</w:t>
            </w:r>
            <w:r>
              <w:rPr>
                <w:spacing w:val="-1"/>
                <w:sz w:val="18"/>
              </w:rPr>
              <w:t xml:space="preserve"> </w:t>
            </w:r>
            <w:r>
              <w:rPr>
                <w:spacing w:val="-2"/>
                <w:sz w:val="18"/>
              </w:rPr>
              <w:t>generators</w:t>
            </w:r>
          </w:p>
          <w:p w14:paraId="59C00446" w14:textId="77777777" w:rsidR="00141B97" w:rsidRDefault="00911D63">
            <w:pPr>
              <w:pStyle w:val="TableParagraph"/>
              <w:numPr>
                <w:ilvl w:val="0"/>
                <w:numId w:val="61"/>
              </w:numPr>
              <w:tabs>
                <w:tab w:val="left" w:pos="375"/>
                <w:tab w:val="left" w:pos="376"/>
              </w:tabs>
              <w:ind w:hanging="361"/>
              <w:rPr>
                <w:sz w:val="18"/>
              </w:rPr>
            </w:pPr>
            <w:r>
              <w:rPr>
                <w:sz w:val="18"/>
              </w:rPr>
              <w:t>Upgrade</w:t>
            </w:r>
            <w:r>
              <w:rPr>
                <w:spacing w:val="-3"/>
                <w:sz w:val="18"/>
              </w:rPr>
              <w:t xml:space="preserve"> </w:t>
            </w:r>
            <w:r>
              <w:rPr>
                <w:sz w:val="18"/>
              </w:rPr>
              <w:t>asset</w:t>
            </w:r>
            <w:r>
              <w:rPr>
                <w:spacing w:val="-2"/>
                <w:sz w:val="18"/>
              </w:rPr>
              <w:t xml:space="preserve"> </w:t>
            </w:r>
            <w:r>
              <w:rPr>
                <w:sz w:val="18"/>
              </w:rPr>
              <w:t>performance</w:t>
            </w:r>
            <w:r>
              <w:rPr>
                <w:spacing w:val="-4"/>
                <w:sz w:val="18"/>
              </w:rPr>
              <w:t xml:space="preserve"> </w:t>
            </w:r>
            <w:r>
              <w:rPr>
                <w:sz w:val="18"/>
              </w:rPr>
              <w:t>and</w:t>
            </w:r>
            <w:r>
              <w:rPr>
                <w:spacing w:val="-4"/>
                <w:sz w:val="18"/>
              </w:rPr>
              <w:t xml:space="preserve"> </w:t>
            </w:r>
            <w:r>
              <w:rPr>
                <w:sz w:val="18"/>
              </w:rPr>
              <w:t>condition</w:t>
            </w:r>
            <w:r>
              <w:rPr>
                <w:spacing w:val="-1"/>
                <w:sz w:val="18"/>
              </w:rPr>
              <w:t xml:space="preserve"> </w:t>
            </w:r>
            <w:r>
              <w:rPr>
                <w:sz w:val="18"/>
              </w:rPr>
              <w:t>monitoring</w:t>
            </w:r>
            <w:r>
              <w:rPr>
                <w:spacing w:val="-2"/>
                <w:sz w:val="18"/>
              </w:rPr>
              <w:t xml:space="preserve"> systems</w:t>
            </w:r>
          </w:p>
          <w:p w14:paraId="3670C8DF" w14:textId="77777777" w:rsidR="00141B97" w:rsidRDefault="00911D63">
            <w:pPr>
              <w:pStyle w:val="TableParagraph"/>
              <w:numPr>
                <w:ilvl w:val="0"/>
                <w:numId w:val="61"/>
              </w:numPr>
              <w:tabs>
                <w:tab w:val="left" w:pos="375"/>
                <w:tab w:val="left" w:pos="376"/>
              </w:tabs>
              <w:ind w:hanging="361"/>
              <w:rPr>
                <w:sz w:val="18"/>
              </w:rPr>
            </w:pPr>
            <w:r>
              <w:rPr>
                <w:sz w:val="18"/>
              </w:rPr>
              <w:t>Manage</w:t>
            </w:r>
            <w:r>
              <w:rPr>
                <w:spacing w:val="-2"/>
                <w:sz w:val="18"/>
              </w:rPr>
              <w:t xml:space="preserve"> </w:t>
            </w:r>
            <w:r>
              <w:rPr>
                <w:sz w:val="18"/>
              </w:rPr>
              <w:t>pump</w:t>
            </w:r>
            <w:r>
              <w:rPr>
                <w:spacing w:val="-3"/>
                <w:sz w:val="18"/>
              </w:rPr>
              <w:t xml:space="preserve"> </w:t>
            </w:r>
            <w:r>
              <w:rPr>
                <w:sz w:val="18"/>
              </w:rPr>
              <w:t>stations</w:t>
            </w:r>
            <w:r>
              <w:rPr>
                <w:spacing w:val="-3"/>
                <w:sz w:val="18"/>
              </w:rPr>
              <w:t xml:space="preserve"> </w:t>
            </w:r>
            <w:r>
              <w:rPr>
                <w:sz w:val="18"/>
              </w:rPr>
              <w:t>and</w:t>
            </w:r>
            <w:r>
              <w:rPr>
                <w:spacing w:val="-2"/>
                <w:sz w:val="18"/>
              </w:rPr>
              <w:t xml:space="preserve"> </w:t>
            </w:r>
            <w:r>
              <w:rPr>
                <w:sz w:val="18"/>
              </w:rPr>
              <w:t>manhole</w:t>
            </w:r>
            <w:r>
              <w:rPr>
                <w:spacing w:val="-1"/>
                <w:sz w:val="18"/>
              </w:rPr>
              <w:t xml:space="preserve"> </w:t>
            </w:r>
            <w:r>
              <w:rPr>
                <w:sz w:val="18"/>
              </w:rPr>
              <w:t>inspection</w:t>
            </w:r>
            <w:r>
              <w:rPr>
                <w:spacing w:val="-3"/>
                <w:sz w:val="18"/>
              </w:rPr>
              <w:t xml:space="preserve"> </w:t>
            </w:r>
            <w:r>
              <w:rPr>
                <w:sz w:val="18"/>
              </w:rPr>
              <w:t>program</w:t>
            </w:r>
            <w:r>
              <w:rPr>
                <w:spacing w:val="-2"/>
                <w:sz w:val="18"/>
              </w:rPr>
              <w:t xml:space="preserve"> </w:t>
            </w:r>
            <w:r>
              <w:rPr>
                <w:sz w:val="18"/>
              </w:rPr>
              <w:t>to</w:t>
            </w:r>
            <w:r>
              <w:rPr>
                <w:spacing w:val="-3"/>
                <w:sz w:val="18"/>
              </w:rPr>
              <w:t xml:space="preserve"> </w:t>
            </w:r>
            <w:r>
              <w:rPr>
                <w:sz w:val="18"/>
              </w:rPr>
              <w:t>manage</w:t>
            </w:r>
            <w:r>
              <w:rPr>
                <w:spacing w:val="-1"/>
                <w:sz w:val="18"/>
              </w:rPr>
              <w:t xml:space="preserve"> </w:t>
            </w:r>
            <w:r>
              <w:rPr>
                <w:spacing w:val="-2"/>
                <w:sz w:val="18"/>
              </w:rPr>
              <w:t>performance</w:t>
            </w:r>
          </w:p>
          <w:p w14:paraId="1FD6EBE1" w14:textId="77777777" w:rsidR="00141B97" w:rsidRDefault="00911D63">
            <w:pPr>
              <w:pStyle w:val="TableParagraph"/>
              <w:numPr>
                <w:ilvl w:val="0"/>
                <w:numId w:val="61"/>
              </w:numPr>
              <w:tabs>
                <w:tab w:val="left" w:pos="375"/>
                <w:tab w:val="left" w:pos="376"/>
              </w:tabs>
              <w:spacing w:line="208" w:lineRule="exact"/>
              <w:ind w:hanging="361"/>
              <w:rPr>
                <w:sz w:val="18"/>
              </w:rPr>
            </w:pPr>
            <w:r>
              <w:rPr>
                <w:sz w:val="18"/>
              </w:rPr>
              <w:t>Investigate</w:t>
            </w:r>
            <w:r>
              <w:rPr>
                <w:spacing w:val="-6"/>
                <w:sz w:val="18"/>
              </w:rPr>
              <w:t xml:space="preserve"> </w:t>
            </w:r>
            <w:r>
              <w:rPr>
                <w:sz w:val="18"/>
              </w:rPr>
              <w:t>odour</w:t>
            </w:r>
            <w:r>
              <w:rPr>
                <w:spacing w:val="-6"/>
                <w:sz w:val="18"/>
              </w:rPr>
              <w:t xml:space="preserve"> </w:t>
            </w:r>
            <w:r>
              <w:rPr>
                <w:spacing w:val="-2"/>
                <w:sz w:val="18"/>
              </w:rPr>
              <w:t>complaints</w:t>
            </w:r>
          </w:p>
        </w:tc>
      </w:tr>
      <w:tr w:rsidR="00141B97" w14:paraId="50DD194A" w14:textId="77777777">
        <w:trPr>
          <w:trHeight w:val="678"/>
          <w:tblCellSpacing w:w="9" w:type="dxa"/>
        </w:trPr>
        <w:tc>
          <w:tcPr>
            <w:tcW w:w="2287" w:type="dxa"/>
            <w:tcBorders>
              <w:left w:val="nil"/>
              <w:bottom w:val="nil"/>
            </w:tcBorders>
            <w:shd w:val="clear" w:color="auto" w:fill="CCE2ED"/>
          </w:tcPr>
          <w:p w14:paraId="61841575" w14:textId="77777777" w:rsidR="00141B97" w:rsidRDefault="00911D63">
            <w:pPr>
              <w:pStyle w:val="TableParagraph"/>
              <w:spacing w:before="1"/>
              <w:ind w:left="88"/>
              <w:rPr>
                <w:sz w:val="18"/>
              </w:rPr>
            </w:pPr>
            <w:r>
              <w:rPr>
                <w:spacing w:val="-2"/>
                <w:sz w:val="18"/>
              </w:rPr>
              <w:t>Inputs</w:t>
            </w:r>
          </w:p>
          <w:p w14:paraId="23381939" w14:textId="77777777" w:rsidR="00141B97" w:rsidRDefault="00911D63">
            <w:pPr>
              <w:pStyle w:val="TableParagraph"/>
              <w:numPr>
                <w:ilvl w:val="0"/>
                <w:numId w:val="60"/>
              </w:numPr>
              <w:tabs>
                <w:tab w:val="left" w:pos="448"/>
                <w:tab w:val="left" w:pos="449"/>
              </w:tabs>
              <w:ind w:hanging="361"/>
              <w:rPr>
                <w:sz w:val="18"/>
              </w:rPr>
            </w:pPr>
            <w:r>
              <w:rPr>
                <w:sz w:val="18"/>
              </w:rPr>
              <w:t>Cost</w:t>
            </w:r>
            <w:r>
              <w:rPr>
                <w:spacing w:val="-4"/>
                <w:sz w:val="18"/>
              </w:rPr>
              <w:t xml:space="preserve"> </w:t>
            </w:r>
            <w:r>
              <w:rPr>
                <w:spacing w:val="-2"/>
                <w:sz w:val="18"/>
              </w:rPr>
              <w:t>movements</w:t>
            </w:r>
          </w:p>
          <w:p w14:paraId="3A2C72E1" w14:textId="77777777" w:rsidR="00141B97" w:rsidRDefault="00911D63">
            <w:pPr>
              <w:pStyle w:val="TableParagraph"/>
              <w:numPr>
                <w:ilvl w:val="0"/>
                <w:numId w:val="60"/>
              </w:numPr>
              <w:tabs>
                <w:tab w:val="left" w:pos="448"/>
                <w:tab w:val="left" w:pos="449"/>
              </w:tabs>
              <w:spacing w:line="209" w:lineRule="exact"/>
              <w:ind w:hanging="361"/>
              <w:rPr>
                <w:sz w:val="18"/>
              </w:rPr>
            </w:pPr>
            <w:r>
              <w:rPr>
                <w:sz w:val="18"/>
              </w:rPr>
              <w:t xml:space="preserve">Resources </w:t>
            </w:r>
            <w:r>
              <w:rPr>
                <w:spacing w:val="-2"/>
                <w:sz w:val="18"/>
              </w:rPr>
              <w:t>required</w:t>
            </w:r>
          </w:p>
        </w:tc>
        <w:tc>
          <w:tcPr>
            <w:tcW w:w="7454" w:type="dxa"/>
            <w:tcBorders>
              <w:bottom w:val="nil"/>
              <w:right w:val="nil"/>
            </w:tcBorders>
            <w:shd w:val="clear" w:color="auto" w:fill="CCE2ED"/>
          </w:tcPr>
          <w:p w14:paraId="563FED0A" w14:textId="77777777" w:rsidR="00141B97" w:rsidRDefault="00911D63">
            <w:pPr>
              <w:pStyle w:val="TableParagraph"/>
              <w:numPr>
                <w:ilvl w:val="0"/>
                <w:numId w:val="59"/>
              </w:numPr>
              <w:tabs>
                <w:tab w:val="left" w:pos="375"/>
                <w:tab w:val="left" w:pos="376"/>
              </w:tabs>
              <w:spacing w:before="1"/>
              <w:ind w:hanging="361"/>
              <w:rPr>
                <w:sz w:val="18"/>
              </w:rPr>
            </w:pPr>
            <w:r>
              <w:rPr>
                <w:sz w:val="18"/>
              </w:rPr>
              <w:t>Proposed</w:t>
            </w:r>
            <w:r>
              <w:rPr>
                <w:spacing w:val="-4"/>
                <w:sz w:val="18"/>
              </w:rPr>
              <w:t xml:space="preserve"> </w:t>
            </w:r>
            <w:r>
              <w:rPr>
                <w:sz w:val="18"/>
              </w:rPr>
              <w:t>capex</w:t>
            </w:r>
            <w:r>
              <w:rPr>
                <w:spacing w:val="-3"/>
                <w:sz w:val="18"/>
              </w:rPr>
              <w:t xml:space="preserve"> </w:t>
            </w:r>
            <w:r>
              <w:rPr>
                <w:sz w:val="18"/>
              </w:rPr>
              <w:t>of</w:t>
            </w:r>
            <w:r>
              <w:rPr>
                <w:spacing w:val="-2"/>
                <w:sz w:val="18"/>
              </w:rPr>
              <w:t xml:space="preserve"> </w:t>
            </w:r>
            <w:r>
              <w:rPr>
                <w:sz w:val="18"/>
              </w:rPr>
              <w:t>$25.89m</w:t>
            </w:r>
            <w:r>
              <w:rPr>
                <w:spacing w:val="-2"/>
                <w:sz w:val="18"/>
              </w:rPr>
              <w:t xml:space="preserve"> </w:t>
            </w:r>
            <w:r>
              <w:rPr>
                <w:sz w:val="18"/>
              </w:rPr>
              <w:t>total</w:t>
            </w:r>
            <w:r>
              <w:rPr>
                <w:spacing w:val="-2"/>
                <w:sz w:val="18"/>
              </w:rPr>
              <w:t xml:space="preserve"> </w:t>
            </w:r>
            <w:r>
              <w:rPr>
                <w:sz w:val="18"/>
              </w:rPr>
              <w:t>for</w:t>
            </w:r>
            <w:r>
              <w:rPr>
                <w:spacing w:val="-2"/>
                <w:sz w:val="18"/>
              </w:rPr>
              <w:t xml:space="preserve"> </w:t>
            </w:r>
            <w:r>
              <w:rPr>
                <w:sz w:val="18"/>
              </w:rPr>
              <w:t>sewerage</w:t>
            </w:r>
            <w:r>
              <w:rPr>
                <w:spacing w:val="-3"/>
                <w:sz w:val="18"/>
              </w:rPr>
              <w:t xml:space="preserve"> </w:t>
            </w:r>
            <w:r>
              <w:rPr>
                <w:sz w:val="18"/>
              </w:rPr>
              <w:t>(excluding</w:t>
            </w:r>
            <w:r>
              <w:rPr>
                <w:spacing w:val="-2"/>
                <w:sz w:val="18"/>
              </w:rPr>
              <w:t xml:space="preserve"> </w:t>
            </w:r>
            <w:r>
              <w:rPr>
                <w:sz w:val="18"/>
              </w:rPr>
              <w:t>corporate</w:t>
            </w:r>
            <w:r>
              <w:rPr>
                <w:spacing w:val="-1"/>
                <w:sz w:val="18"/>
              </w:rPr>
              <w:t xml:space="preserve"> </w:t>
            </w:r>
            <w:r>
              <w:rPr>
                <w:spacing w:val="-2"/>
                <w:sz w:val="18"/>
              </w:rPr>
              <w:t>capex)</w:t>
            </w:r>
          </w:p>
          <w:p w14:paraId="6D758786" w14:textId="77777777" w:rsidR="00141B97" w:rsidRDefault="00911D63">
            <w:pPr>
              <w:pStyle w:val="TableParagraph"/>
              <w:numPr>
                <w:ilvl w:val="0"/>
                <w:numId w:val="59"/>
              </w:numPr>
              <w:tabs>
                <w:tab w:val="left" w:pos="375"/>
                <w:tab w:val="left" w:pos="376"/>
              </w:tabs>
              <w:ind w:hanging="361"/>
              <w:rPr>
                <w:sz w:val="18"/>
              </w:rPr>
            </w:pPr>
            <w:r>
              <w:rPr>
                <w:sz w:val="18"/>
              </w:rPr>
              <w:t>Proposed</w:t>
            </w:r>
            <w:r>
              <w:rPr>
                <w:spacing w:val="-7"/>
                <w:sz w:val="18"/>
              </w:rPr>
              <w:t xml:space="preserve"> </w:t>
            </w:r>
            <w:r>
              <w:rPr>
                <w:sz w:val="18"/>
              </w:rPr>
              <w:t>controllable</w:t>
            </w:r>
            <w:r>
              <w:rPr>
                <w:spacing w:val="-4"/>
                <w:sz w:val="18"/>
              </w:rPr>
              <w:t xml:space="preserve"> </w:t>
            </w:r>
            <w:r>
              <w:rPr>
                <w:sz w:val="18"/>
              </w:rPr>
              <w:t>opex</w:t>
            </w:r>
            <w:r>
              <w:rPr>
                <w:spacing w:val="-5"/>
                <w:sz w:val="18"/>
              </w:rPr>
              <w:t xml:space="preserve"> </w:t>
            </w:r>
            <w:r>
              <w:rPr>
                <w:sz w:val="18"/>
              </w:rPr>
              <w:t>of</w:t>
            </w:r>
            <w:r>
              <w:rPr>
                <w:spacing w:val="-4"/>
                <w:sz w:val="18"/>
              </w:rPr>
              <w:t xml:space="preserve"> </w:t>
            </w:r>
            <w:r>
              <w:rPr>
                <w:sz w:val="18"/>
              </w:rPr>
              <w:t>$52.54</w:t>
            </w:r>
            <w:r>
              <w:rPr>
                <w:spacing w:val="-4"/>
                <w:sz w:val="18"/>
              </w:rPr>
              <w:t xml:space="preserve"> </w:t>
            </w:r>
            <w:r>
              <w:rPr>
                <w:spacing w:val="-2"/>
                <w:sz w:val="18"/>
              </w:rPr>
              <w:t>million</w:t>
            </w:r>
          </w:p>
        </w:tc>
      </w:tr>
    </w:tbl>
    <w:p w14:paraId="4D1FFE3B" w14:textId="77777777" w:rsidR="00141B97" w:rsidRDefault="00911D63">
      <w:pPr>
        <w:spacing w:before="23"/>
        <w:ind w:left="114"/>
        <w:rPr>
          <w:sz w:val="16"/>
        </w:rPr>
      </w:pPr>
      <w:r>
        <w:rPr>
          <w:sz w:val="16"/>
        </w:rPr>
        <w:t>Table</w:t>
      </w:r>
      <w:r>
        <w:rPr>
          <w:spacing w:val="-4"/>
          <w:sz w:val="16"/>
        </w:rPr>
        <w:t xml:space="preserve"> </w:t>
      </w:r>
      <w:r>
        <w:rPr>
          <w:sz w:val="16"/>
        </w:rPr>
        <w:t>B11:</w:t>
      </w:r>
      <w:r>
        <w:rPr>
          <w:spacing w:val="-4"/>
          <w:sz w:val="16"/>
        </w:rPr>
        <w:t xml:space="preserve"> </w:t>
      </w:r>
      <w:r>
        <w:rPr>
          <w:sz w:val="16"/>
        </w:rPr>
        <w:t>Outcome</w:t>
      </w:r>
      <w:r>
        <w:rPr>
          <w:spacing w:val="-4"/>
          <w:sz w:val="16"/>
        </w:rPr>
        <w:t xml:space="preserve"> </w:t>
      </w:r>
      <w:r>
        <w:rPr>
          <w:sz w:val="16"/>
        </w:rPr>
        <w:t>3</w:t>
      </w:r>
      <w:r>
        <w:rPr>
          <w:spacing w:val="-5"/>
          <w:sz w:val="16"/>
        </w:rPr>
        <w:t xml:space="preserve"> </w:t>
      </w:r>
      <w:r>
        <w:rPr>
          <w:sz w:val="16"/>
        </w:rPr>
        <w:t>‐</w:t>
      </w:r>
      <w:r>
        <w:rPr>
          <w:spacing w:val="-6"/>
          <w:sz w:val="16"/>
        </w:rPr>
        <w:t xml:space="preserve"> </w:t>
      </w:r>
      <w:r>
        <w:rPr>
          <w:sz w:val="16"/>
        </w:rPr>
        <w:t>Provide</w:t>
      </w:r>
      <w:r>
        <w:rPr>
          <w:spacing w:val="-6"/>
          <w:sz w:val="16"/>
        </w:rPr>
        <w:t xml:space="preserve"> </w:t>
      </w:r>
      <w:r>
        <w:rPr>
          <w:sz w:val="16"/>
        </w:rPr>
        <w:t>Customers</w:t>
      </w:r>
      <w:r>
        <w:rPr>
          <w:spacing w:val="-5"/>
          <w:sz w:val="16"/>
        </w:rPr>
        <w:t xml:space="preserve"> </w:t>
      </w:r>
      <w:r>
        <w:rPr>
          <w:sz w:val="16"/>
        </w:rPr>
        <w:t>with</w:t>
      </w:r>
      <w:r>
        <w:rPr>
          <w:spacing w:val="-6"/>
          <w:sz w:val="16"/>
        </w:rPr>
        <w:t xml:space="preserve"> </w:t>
      </w:r>
      <w:r>
        <w:rPr>
          <w:sz w:val="16"/>
        </w:rPr>
        <w:t>Reliable</w:t>
      </w:r>
      <w:r>
        <w:rPr>
          <w:spacing w:val="-3"/>
          <w:sz w:val="16"/>
        </w:rPr>
        <w:t xml:space="preserve"> </w:t>
      </w:r>
      <w:r>
        <w:rPr>
          <w:sz w:val="16"/>
        </w:rPr>
        <w:t>Sewerage</w:t>
      </w:r>
      <w:r>
        <w:rPr>
          <w:spacing w:val="-5"/>
          <w:sz w:val="16"/>
        </w:rPr>
        <w:t xml:space="preserve"> </w:t>
      </w:r>
      <w:r>
        <w:rPr>
          <w:spacing w:val="-2"/>
          <w:sz w:val="16"/>
        </w:rPr>
        <w:t>Services</w:t>
      </w:r>
    </w:p>
    <w:p w14:paraId="5F68E8CF" w14:textId="77777777" w:rsidR="00141B97" w:rsidRDefault="00141B97">
      <w:pPr>
        <w:rPr>
          <w:sz w:val="16"/>
        </w:rPr>
        <w:sectPr w:rsidR="00141B97">
          <w:pgSz w:w="11910" w:h="16840"/>
          <w:pgMar w:top="820" w:right="40" w:bottom="760" w:left="1020" w:header="0" w:footer="580" w:gutter="0"/>
          <w:cols w:space="720"/>
        </w:sectPr>
      </w:pPr>
    </w:p>
    <w:p w14:paraId="56B8430F" w14:textId="77777777" w:rsidR="00141B97" w:rsidRDefault="00911D63">
      <w:pPr>
        <w:pStyle w:val="BodyText"/>
        <w:spacing w:before="31"/>
        <w:ind w:left="113" w:right="962"/>
      </w:pPr>
      <w:r>
        <w:lastRenderedPageBreak/>
        <w:t>Outcome</w:t>
      </w:r>
      <w:r>
        <w:rPr>
          <w:spacing w:val="-2"/>
        </w:rPr>
        <w:t xml:space="preserve"> </w:t>
      </w:r>
      <w:r>
        <w:t>4:</w:t>
      </w:r>
      <w:r>
        <w:rPr>
          <w:spacing w:val="-2"/>
        </w:rPr>
        <w:t xml:space="preserve"> </w:t>
      </w:r>
      <w:r>
        <w:t>Provide</w:t>
      </w:r>
      <w:r>
        <w:rPr>
          <w:spacing w:val="-3"/>
        </w:rPr>
        <w:t xml:space="preserve"> </w:t>
      </w:r>
      <w:r>
        <w:t>Customer</w:t>
      </w:r>
      <w:r>
        <w:rPr>
          <w:spacing w:val="-1"/>
        </w:rPr>
        <w:t xml:space="preserve"> </w:t>
      </w:r>
      <w:r>
        <w:t>Service</w:t>
      </w:r>
      <w:r>
        <w:rPr>
          <w:spacing w:val="-2"/>
        </w:rPr>
        <w:t xml:space="preserve"> </w:t>
      </w:r>
      <w:r>
        <w:t>avenues</w:t>
      </w:r>
      <w:r>
        <w:rPr>
          <w:spacing w:val="-2"/>
        </w:rPr>
        <w:t xml:space="preserve"> </w:t>
      </w:r>
      <w:r>
        <w:t>that</w:t>
      </w:r>
      <w:r>
        <w:rPr>
          <w:spacing w:val="-2"/>
        </w:rPr>
        <w:t xml:space="preserve"> </w:t>
      </w:r>
      <w:r>
        <w:t>are</w:t>
      </w:r>
      <w:r>
        <w:rPr>
          <w:spacing w:val="-2"/>
        </w:rPr>
        <w:t xml:space="preserve"> </w:t>
      </w:r>
      <w:r>
        <w:t>responsive</w:t>
      </w:r>
      <w:r>
        <w:rPr>
          <w:spacing w:val="-2"/>
        </w:rPr>
        <w:t xml:space="preserve"> </w:t>
      </w:r>
      <w:r>
        <w:t>to</w:t>
      </w:r>
      <w:r>
        <w:rPr>
          <w:spacing w:val="-4"/>
        </w:rPr>
        <w:t xml:space="preserve"> </w:t>
      </w:r>
      <w:r>
        <w:t>resolve</w:t>
      </w:r>
      <w:r>
        <w:rPr>
          <w:spacing w:val="-3"/>
        </w:rPr>
        <w:t xml:space="preserve"> </w:t>
      </w:r>
      <w:r>
        <w:t>requests/enquiries</w:t>
      </w:r>
      <w:r>
        <w:rPr>
          <w:spacing w:val="-3"/>
        </w:rPr>
        <w:t xml:space="preserve"> </w:t>
      </w:r>
      <w:r>
        <w:t>within</w:t>
      </w:r>
      <w:r>
        <w:rPr>
          <w:spacing w:val="-2"/>
        </w:rPr>
        <w:t xml:space="preserve"> </w:t>
      </w:r>
      <w:r>
        <w:t>the agreed KPIs</w:t>
      </w:r>
    </w:p>
    <w:p w14:paraId="75F18BEF"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314"/>
        <w:gridCol w:w="7481"/>
      </w:tblGrid>
      <w:tr w:rsidR="00141B97" w14:paraId="099EB7BE" w14:textId="77777777">
        <w:trPr>
          <w:trHeight w:val="555"/>
          <w:tblCellSpacing w:w="9" w:type="dxa"/>
        </w:trPr>
        <w:tc>
          <w:tcPr>
            <w:tcW w:w="2287" w:type="dxa"/>
            <w:tcBorders>
              <w:top w:val="nil"/>
              <w:left w:val="nil"/>
            </w:tcBorders>
            <w:shd w:val="clear" w:color="auto" w:fill="0064A4"/>
          </w:tcPr>
          <w:p w14:paraId="4E9248D5" w14:textId="77777777" w:rsidR="00141B97" w:rsidRDefault="00911D63">
            <w:pPr>
              <w:pStyle w:val="TableParagraph"/>
              <w:ind w:left="88"/>
              <w:rPr>
                <w:sz w:val="18"/>
              </w:rPr>
            </w:pPr>
            <w:r>
              <w:rPr>
                <w:color w:val="FFFFFF"/>
                <w:sz w:val="18"/>
              </w:rPr>
              <w:t>What</w:t>
            </w:r>
            <w:r>
              <w:rPr>
                <w:color w:val="FFFFFF"/>
                <w:spacing w:val="-1"/>
                <w:sz w:val="18"/>
              </w:rPr>
              <w:t xml:space="preserve"> </w:t>
            </w:r>
            <w:r>
              <w:rPr>
                <w:color w:val="FFFFFF"/>
                <w:sz w:val="18"/>
              </w:rPr>
              <w:t>customers will</w:t>
            </w:r>
            <w:r>
              <w:rPr>
                <w:color w:val="FFFFFF"/>
                <w:spacing w:val="-1"/>
                <w:sz w:val="18"/>
              </w:rPr>
              <w:t xml:space="preserve"> </w:t>
            </w:r>
            <w:r>
              <w:rPr>
                <w:color w:val="FFFFFF"/>
                <w:spacing w:val="-2"/>
                <w:sz w:val="18"/>
              </w:rPr>
              <w:t>receive</w:t>
            </w:r>
          </w:p>
        </w:tc>
        <w:tc>
          <w:tcPr>
            <w:tcW w:w="7454" w:type="dxa"/>
            <w:tcBorders>
              <w:top w:val="nil"/>
              <w:right w:val="nil"/>
            </w:tcBorders>
            <w:shd w:val="clear" w:color="auto" w:fill="0064A4"/>
          </w:tcPr>
          <w:p w14:paraId="5D00FAB4" w14:textId="77777777" w:rsidR="00141B97" w:rsidRDefault="00911D63">
            <w:pPr>
              <w:pStyle w:val="TableParagraph"/>
              <w:ind w:left="98" w:right="31"/>
              <w:rPr>
                <w:sz w:val="18"/>
              </w:rPr>
            </w:pPr>
            <w:r>
              <w:rPr>
                <w:color w:val="FFFFFF"/>
                <w:sz w:val="18"/>
              </w:rPr>
              <w:t>Outcome</w:t>
            </w:r>
            <w:r>
              <w:rPr>
                <w:color w:val="FFFFFF"/>
                <w:spacing w:val="-2"/>
                <w:sz w:val="18"/>
              </w:rPr>
              <w:t xml:space="preserve"> </w:t>
            </w:r>
            <w:r>
              <w:rPr>
                <w:color w:val="FFFFFF"/>
                <w:sz w:val="18"/>
              </w:rPr>
              <w:t>4:</w:t>
            </w:r>
            <w:r>
              <w:rPr>
                <w:color w:val="FFFFFF"/>
                <w:spacing w:val="-2"/>
                <w:sz w:val="18"/>
              </w:rPr>
              <w:t xml:space="preserve"> </w:t>
            </w:r>
            <w:r>
              <w:rPr>
                <w:color w:val="FFFFFF"/>
                <w:sz w:val="18"/>
              </w:rPr>
              <w:t>Provide</w:t>
            </w:r>
            <w:r>
              <w:rPr>
                <w:color w:val="FFFFFF"/>
                <w:spacing w:val="-2"/>
                <w:sz w:val="18"/>
              </w:rPr>
              <w:t xml:space="preserve"> </w:t>
            </w:r>
            <w:r>
              <w:rPr>
                <w:color w:val="FFFFFF"/>
                <w:sz w:val="18"/>
              </w:rPr>
              <w:t>customer</w:t>
            </w:r>
            <w:r>
              <w:rPr>
                <w:color w:val="FFFFFF"/>
                <w:spacing w:val="-1"/>
                <w:sz w:val="18"/>
              </w:rPr>
              <w:t xml:space="preserve"> </w:t>
            </w:r>
            <w:r>
              <w:rPr>
                <w:color w:val="FFFFFF"/>
                <w:sz w:val="18"/>
              </w:rPr>
              <w:t>service</w:t>
            </w:r>
            <w:r>
              <w:rPr>
                <w:color w:val="FFFFFF"/>
                <w:spacing w:val="-2"/>
                <w:sz w:val="18"/>
              </w:rPr>
              <w:t xml:space="preserve"> </w:t>
            </w:r>
            <w:r>
              <w:rPr>
                <w:color w:val="FFFFFF"/>
                <w:sz w:val="18"/>
              </w:rPr>
              <w:t>avenues</w:t>
            </w:r>
            <w:r>
              <w:rPr>
                <w:color w:val="FFFFFF"/>
                <w:spacing w:val="-1"/>
                <w:sz w:val="18"/>
              </w:rPr>
              <w:t xml:space="preserve"> </w:t>
            </w:r>
            <w:r>
              <w:rPr>
                <w:color w:val="FFFFFF"/>
                <w:sz w:val="18"/>
              </w:rPr>
              <w:t>that</w:t>
            </w:r>
            <w:r>
              <w:rPr>
                <w:color w:val="FFFFFF"/>
                <w:spacing w:val="-2"/>
                <w:sz w:val="18"/>
              </w:rPr>
              <w:t xml:space="preserve"> </w:t>
            </w:r>
            <w:r>
              <w:rPr>
                <w:color w:val="FFFFFF"/>
                <w:sz w:val="18"/>
              </w:rPr>
              <w:t>are</w:t>
            </w:r>
            <w:r>
              <w:rPr>
                <w:color w:val="FFFFFF"/>
                <w:spacing w:val="-2"/>
                <w:sz w:val="18"/>
              </w:rPr>
              <w:t xml:space="preserve"> </w:t>
            </w:r>
            <w:r>
              <w:rPr>
                <w:color w:val="FFFFFF"/>
                <w:sz w:val="18"/>
              </w:rPr>
              <w:t>responsive</w:t>
            </w:r>
            <w:r>
              <w:rPr>
                <w:color w:val="FFFFFF"/>
                <w:spacing w:val="-2"/>
                <w:sz w:val="18"/>
              </w:rPr>
              <w:t xml:space="preserve"> </w:t>
            </w:r>
            <w:r>
              <w:rPr>
                <w:color w:val="FFFFFF"/>
                <w:sz w:val="18"/>
              </w:rPr>
              <w:t>to</w:t>
            </w:r>
            <w:r>
              <w:rPr>
                <w:color w:val="FFFFFF"/>
                <w:spacing w:val="-2"/>
                <w:sz w:val="18"/>
              </w:rPr>
              <w:t xml:space="preserve"> </w:t>
            </w:r>
            <w:r>
              <w:rPr>
                <w:color w:val="FFFFFF"/>
                <w:sz w:val="18"/>
              </w:rPr>
              <w:t>resolve</w:t>
            </w:r>
            <w:r>
              <w:rPr>
                <w:color w:val="FFFFFF"/>
                <w:spacing w:val="-2"/>
                <w:sz w:val="18"/>
              </w:rPr>
              <w:t xml:space="preserve"> </w:t>
            </w:r>
            <w:r>
              <w:rPr>
                <w:color w:val="FFFFFF"/>
                <w:sz w:val="18"/>
              </w:rPr>
              <w:t>requests/enquiries within the agreed KPIs</w:t>
            </w:r>
          </w:p>
        </w:tc>
      </w:tr>
      <w:tr w:rsidR="00141B97" w14:paraId="1F3D8129" w14:textId="77777777">
        <w:trPr>
          <w:trHeight w:val="1795"/>
          <w:tblCellSpacing w:w="9" w:type="dxa"/>
        </w:trPr>
        <w:tc>
          <w:tcPr>
            <w:tcW w:w="2287" w:type="dxa"/>
            <w:tcBorders>
              <w:left w:val="nil"/>
            </w:tcBorders>
            <w:shd w:val="clear" w:color="auto" w:fill="CCE2ED"/>
          </w:tcPr>
          <w:p w14:paraId="28FB9A2A" w14:textId="77777777" w:rsidR="00141B97" w:rsidRDefault="00911D63">
            <w:pPr>
              <w:pStyle w:val="TableParagraph"/>
              <w:ind w:left="88"/>
              <w:rPr>
                <w:sz w:val="18"/>
              </w:rPr>
            </w:pPr>
            <w:r>
              <w:rPr>
                <w:sz w:val="18"/>
              </w:rPr>
              <w:t>Performance</w:t>
            </w:r>
            <w:r>
              <w:rPr>
                <w:spacing w:val="-9"/>
                <w:sz w:val="18"/>
              </w:rPr>
              <w:t xml:space="preserve"> </w:t>
            </w:r>
            <w:r>
              <w:rPr>
                <w:sz w:val="18"/>
              </w:rPr>
              <w:t>measures</w:t>
            </w:r>
            <w:r>
              <w:rPr>
                <w:spacing w:val="-7"/>
                <w:sz w:val="18"/>
              </w:rPr>
              <w:t xml:space="preserve"> </w:t>
            </w:r>
            <w:r>
              <w:rPr>
                <w:sz w:val="18"/>
              </w:rPr>
              <w:t xml:space="preserve">and </w:t>
            </w:r>
            <w:r>
              <w:rPr>
                <w:spacing w:val="-2"/>
                <w:sz w:val="18"/>
              </w:rPr>
              <w:t>targets</w:t>
            </w:r>
          </w:p>
        </w:tc>
        <w:tc>
          <w:tcPr>
            <w:tcW w:w="7454" w:type="dxa"/>
            <w:tcBorders>
              <w:right w:val="nil"/>
            </w:tcBorders>
            <w:shd w:val="clear" w:color="auto" w:fill="CCE2ED"/>
          </w:tcPr>
          <w:p w14:paraId="57560231" w14:textId="77777777" w:rsidR="00141B97" w:rsidRDefault="00911D63">
            <w:pPr>
              <w:pStyle w:val="TableParagraph"/>
              <w:numPr>
                <w:ilvl w:val="0"/>
                <w:numId w:val="58"/>
              </w:numPr>
              <w:tabs>
                <w:tab w:val="left" w:pos="412"/>
                <w:tab w:val="left" w:pos="413"/>
              </w:tabs>
              <w:ind w:right="709"/>
              <w:rPr>
                <w:sz w:val="18"/>
              </w:rPr>
            </w:pPr>
            <w:r>
              <w:rPr>
                <w:sz w:val="18"/>
              </w:rPr>
              <w:t>Resolve</w:t>
            </w:r>
            <w:r>
              <w:rPr>
                <w:spacing w:val="-1"/>
                <w:sz w:val="18"/>
              </w:rPr>
              <w:t xml:space="preserve"> </w:t>
            </w:r>
            <w:r>
              <w:rPr>
                <w:sz w:val="18"/>
              </w:rPr>
              <w:t>customer</w:t>
            </w:r>
            <w:r>
              <w:rPr>
                <w:spacing w:val="-1"/>
                <w:sz w:val="18"/>
              </w:rPr>
              <w:t xml:space="preserve"> </w:t>
            </w:r>
            <w:r>
              <w:rPr>
                <w:sz w:val="18"/>
              </w:rPr>
              <w:t>requests</w:t>
            </w:r>
            <w:r>
              <w:rPr>
                <w:spacing w:val="-2"/>
                <w:sz w:val="18"/>
              </w:rPr>
              <w:t xml:space="preserve"> </w:t>
            </w:r>
            <w:r>
              <w:rPr>
                <w:sz w:val="18"/>
              </w:rPr>
              <w:t>/</w:t>
            </w:r>
            <w:r>
              <w:rPr>
                <w:spacing w:val="-2"/>
                <w:sz w:val="18"/>
              </w:rPr>
              <w:t xml:space="preserve"> </w:t>
            </w:r>
            <w:r>
              <w:rPr>
                <w:sz w:val="18"/>
              </w:rPr>
              <w:t>enquiries</w:t>
            </w:r>
            <w:r>
              <w:rPr>
                <w:spacing w:val="-1"/>
                <w:sz w:val="18"/>
              </w:rPr>
              <w:t xml:space="preserve"> </w:t>
            </w:r>
            <w:r>
              <w:rPr>
                <w:sz w:val="18"/>
              </w:rPr>
              <w:t>within</w:t>
            </w:r>
            <w:r>
              <w:rPr>
                <w:spacing w:val="-1"/>
                <w:sz w:val="18"/>
              </w:rPr>
              <w:t xml:space="preserve"> </w:t>
            </w:r>
            <w:r>
              <w:rPr>
                <w:sz w:val="18"/>
              </w:rPr>
              <w:t>the</w:t>
            </w:r>
            <w:r>
              <w:rPr>
                <w:spacing w:val="-2"/>
                <w:sz w:val="18"/>
              </w:rPr>
              <w:t xml:space="preserve"> </w:t>
            </w:r>
            <w:r>
              <w:rPr>
                <w:sz w:val="18"/>
              </w:rPr>
              <w:t>defined</w:t>
            </w:r>
            <w:r>
              <w:rPr>
                <w:spacing w:val="-2"/>
                <w:sz w:val="18"/>
              </w:rPr>
              <w:t xml:space="preserve"> </w:t>
            </w:r>
            <w:r>
              <w:rPr>
                <w:sz w:val="18"/>
              </w:rPr>
              <w:t>response</w:t>
            </w:r>
            <w:r>
              <w:rPr>
                <w:spacing w:val="-2"/>
                <w:sz w:val="18"/>
              </w:rPr>
              <w:t xml:space="preserve"> </w:t>
            </w:r>
            <w:r>
              <w:rPr>
                <w:sz w:val="18"/>
              </w:rPr>
              <w:t>time</w:t>
            </w:r>
            <w:r>
              <w:rPr>
                <w:spacing w:val="-2"/>
                <w:sz w:val="18"/>
              </w:rPr>
              <w:t xml:space="preserve"> </w:t>
            </w:r>
            <w:r>
              <w:rPr>
                <w:sz w:val="18"/>
              </w:rPr>
              <w:t>(Mean</w:t>
            </w:r>
            <w:r>
              <w:rPr>
                <w:spacing w:val="-1"/>
                <w:sz w:val="18"/>
              </w:rPr>
              <w:t xml:space="preserve"> </w:t>
            </w:r>
            <w:r>
              <w:rPr>
                <w:sz w:val="18"/>
              </w:rPr>
              <w:t>Time</w:t>
            </w:r>
            <w:r>
              <w:rPr>
                <w:spacing w:val="-1"/>
                <w:sz w:val="18"/>
              </w:rPr>
              <w:t xml:space="preserve"> </w:t>
            </w:r>
            <w:r>
              <w:rPr>
                <w:sz w:val="18"/>
              </w:rPr>
              <w:t>to Resolve) – Target = % =/&gt; per year from 2024/25</w:t>
            </w:r>
          </w:p>
          <w:p w14:paraId="199EEFD7" w14:textId="77777777" w:rsidR="00141B97" w:rsidRDefault="00911D63">
            <w:pPr>
              <w:pStyle w:val="TableParagraph"/>
              <w:numPr>
                <w:ilvl w:val="0"/>
                <w:numId w:val="58"/>
              </w:numPr>
              <w:tabs>
                <w:tab w:val="left" w:pos="412"/>
                <w:tab w:val="left" w:pos="413"/>
              </w:tabs>
              <w:ind w:right="686"/>
              <w:rPr>
                <w:sz w:val="18"/>
              </w:rPr>
            </w:pPr>
            <w:r>
              <w:rPr>
                <w:sz w:val="18"/>
              </w:rPr>
              <w:t>Resolve</w:t>
            </w:r>
            <w:r>
              <w:rPr>
                <w:spacing w:val="-1"/>
                <w:sz w:val="18"/>
              </w:rPr>
              <w:t xml:space="preserve"> </w:t>
            </w:r>
            <w:r>
              <w:rPr>
                <w:sz w:val="18"/>
              </w:rPr>
              <w:t>customer</w:t>
            </w:r>
            <w:r>
              <w:rPr>
                <w:spacing w:val="-1"/>
                <w:sz w:val="18"/>
              </w:rPr>
              <w:t xml:space="preserve"> </w:t>
            </w:r>
            <w:r>
              <w:rPr>
                <w:sz w:val="18"/>
              </w:rPr>
              <w:t>requests</w:t>
            </w:r>
            <w:r>
              <w:rPr>
                <w:spacing w:val="-2"/>
                <w:sz w:val="18"/>
              </w:rPr>
              <w:t xml:space="preserve"> </w:t>
            </w:r>
            <w:r>
              <w:rPr>
                <w:sz w:val="18"/>
              </w:rPr>
              <w:t>/</w:t>
            </w:r>
            <w:r>
              <w:rPr>
                <w:spacing w:val="-2"/>
                <w:sz w:val="18"/>
              </w:rPr>
              <w:t xml:space="preserve"> </w:t>
            </w:r>
            <w:r>
              <w:rPr>
                <w:sz w:val="18"/>
              </w:rPr>
              <w:t>enquiries</w:t>
            </w:r>
            <w:r>
              <w:rPr>
                <w:spacing w:val="-1"/>
                <w:sz w:val="18"/>
              </w:rPr>
              <w:t xml:space="preserve"> </w:t>
            </w:r>
            <w:r>
              <w:rPr>
                <w:sz w:val="18"/>
              </w:rPr>
              <w:t>“First</w:t>
            </w:r>
            <w:r>
              <w:rPr>
                <w:spacing w:val="-2"/>
                <w:sz w:val="18"/>
              </w:rPr>
              <w:t xml:space="preserve"> </w:t>
            </w:r>
            <w:r>
              <w:rPr>
                <w:sz w:val="18"/>
              </w:rPr>
              <w:t>Time</w:t>
            </w:r>
            <w:r>
              <w:rPr>
                <w:spacing w:val="-1"/>
                <w:sz w:val="18"/>
              </w:rPr>
              <w:t xml:space="preserve"> </w:t>
            </w:r>
            <w:r>
              <w:rPr>
                <w:sz w:val="18"/>
              </w:rPr>
              <w:t>Right”</w:t>
            </w:r>
            <w:r>
              <w:rPr>
                <w:spacing w:val="-1"/>
                <w:sz w:val="18"/>
              </w:rPr>
              <w:t xml:space="preserve"> </w:t>
            </w:r>
            <w:r>
              <w:rPr>
                <w:sz w:val="18"/>
              </w:rPr>
              <w:t>–</w:t>
            </w:r>
            <w:r>
              <w:rPr>
                <w:spacing w:val="-1"/>
                <w:sz w:val="18"/>
              </w:rPr>
              <w:t xml:space="preserve"> </w:t>
            </w:r>
            <w:r>
              <w:rPr>
                <w:sz w:val="18"/>
              </w:rPr>
              <w:t>Target</w:t>
            </w:r>
            <w:r>
              <w:rPr>
                <w:spacing w:val="-1"/>
                <w:sz w:val="18"/>
              </w:rPr>
              <w:t xml:space="preserve"> </w:t>
            </w:r>
            <w:r>
              <w:rPr>
                <w:sz w:val="18"/>
              </w:rPr>
              <w:t>=</w:t>
            </w:r>
            <w:r>
              <w:rPr>
                <w:spacing w:val="-1"/>
                <w:sz w:val="18"/>
              </w:rPr>
              <w:t xml:space="preserve"> </w:t>
            </w:r>
            <w:r>
              <w:rPr>
                <w:sz w:val="18"/>
              </w:rPr>
              <w:t>%</w:t>
            </w:r>
            <w:r>
              <w:rPr>
                <w:spacing w:val="-1"/>
                <w:sz w:val="18"/>
              </w:rPr>
              <w:t xml:space="preserve"> </w:t>
            </w:r>
            <w:r>
              <w:rPr>
                <w:sz w:val="18"/>
              </w:rPr>
              <w:t>=/&gt;</w:t>
            </w:r>
            <w:r>
              <w:rPr>
                <w:spacing w:val="-1"/>
                <w:sz w:val="18"/>
              </w:rPr>
              <w:t xml:space="preserve"> </w:t>
            </w:r>
            <w:r>
              <w:rPr>
                <w:sz w:val="18"/>
              </w:rPr>
              <w:t>per</w:t>
            </w:r>
            <w:r>
              <w:rPr>
                <w:spacing w:val="-1"/>
                <w:sz w:val="18"/>
              </w:rPr>
              <w:t xml:space="preserve"> </w:t>
            </w:r>
            <w:r>
              <w:rPr>
                <w:sz w:val="18"/>
              </w:rPr>
              <w:t>year</w:t>
            </w:r>
            <w:r>
              <w:rPr>
                <w:spacing w:val="-2"/>
                <w:sz w:val="18"/>
              </w:rPr>
              <w:t xml:space="preserve"> </w:t>
            </w:r>
            <w:r>
              <w:rPr>
                <w:sz w:val="18"/>
              </w:rPr>
              <w:t xml:space="preserve">from </w:t>
            </w:r>
            <w:r>
              <w:rPr>
                <w:spacing w:val="-2"/>
                <w:sz w:val="18"/>
              </w:rPr>
              <w:t>2024/25</w:t>
            </w:r>
          </w:p>
          <w:p w14:paraId="0163BD03" w14:textId="77777777" w:rsidR="00141B97" w:rsidRDefault="00911D63">
            <w:pPr>
              <w:pStyle w:val="TableParagraph"/>
              <w:numPr>
                <w:ilvl w:val="0"/>
                <w:numId w:val="58"/>
              </w:numPr>
              <w:tabs>
                <w:tab w:val="left" w:pos="412"/>
                <w:tab w:val="left" w:pos="413"/>
              </w:tabs>
              <w:ind w:right="322"/>
              <w:rPr>
                <w:sz w:val="18"/>
              </w:rPr>
            </w:pPr>
            <w:r>
              <w:rPr>
                <w:sz w:val="18"/>
              </w:rPr>
              <w:t>Customers</w:t>
            </w:r>
            <w:r>
              <w:rPr>
                <w:spacing w:val="-1"/>
                <w:sz w:val="18"/>
              </w:rPr>
              <w:t xml:space="preserve"> </w:t>
            </w:r>
            <w:r>
              <w:rPr>
                <w:sz w:val="18"/>
              </w:rPr>
              <w:t>registered</w:t>
            </w:r>
            <w:r>
              <w:rPr>
                <w:spacing w:val="-1"/>
                <w:sz w:val="18"/>
              </w:rPr>
              <w:t xml:space="preserve"> </w:t>
            </w:r>
            <w:r>
              <w:rPr>
                <w:sz w:val="18"/>
              </w:rPr>
              <w:t>for</w:t>
            </w:r>
            <w:r>
              <w:rPr>
                <w:spacing w:val="-1"/>
                <w:sz w:val="18"/>
              </w:rPr>
              <w:t xml:space="preserve"> </w:t>
            </w:r>
            <w:r>
              <w:rPr>
                <w:sz w:val="18"/>
              </w:rPr>
              <w:t>self‐service</w:t>
            </w:r>
            <w:r>
              <w:rPr>
                <w:spacing w:val="-2"/>
                <w:sz w:val="18"/>
              </w:rPr>
              <w:t xml:space="preserve"> </w:t>
            </w:r>
            <w:r>
              <w:rPr>
                <w:sz w:val="18"/>
              </w:rPr>
              <w:t>portal</w:t>
            </w:r>
            <w:r>
              <w:rPr>
                <w:spacing w:val="-2"/>
                <w:sz w:val="18"/>
              </w:rPr>
              <w:t xml:space="preserve"> </w:t>
            </w:r>
            <w:r>
              <w:rPr>
                <w:sz w:val="18"/>
              </w:rPr>
              <w:t>–</w:t>
            </w:r>
            <w:r>
              <w:rPr>
                <w:spacing w:val="-1"/>
                <w:sz w:val="18"/>
              </w:rPr>
              <w:t xml:space="preserve"> </w:t>
            </w:r>
            <w:r>
              <w:rPr>
                <w:sz w:val="18"/>
              </w:rPr>
              <w:t>Target</w:t>
            </w:r>
            <w:r>
              <w:rPr>
                <w:spacing w:val="-2"/>
                <w:sz w:val="18"/>
              </w:rPr>
              <w:t xml:space="preserve"> </w:t>
            </w:r>
            <w:r>
              <w:rPr>
                <w:sz w:val="18"/>
              </w:rPr>
              <w:t>=</w:t>
            </w:r>
            <w:r>
              <w:rPr>
                <w:spacing w:val="-1"/>
                <w:sz w:val="18"/>
              </w:rPr>
              <w:t xml:space="preserve"> </w:t>
            </w:r>
            <w:r>
              <w:rPr>
                <w:sz w:val="18"/>
              </w:rPr>
              <w:t>20%</w:t>
            </w:r>
            <w:r>
              <w:rPr>
                <w:spacing w:val="-1"/>
                <w:sz w:val="18"/>
              </w:rPr>
              <w:t xml:space="preserve"> </w:t>
            </w:r>
            <w:r>
              <w:rPr>
                <w:sz w:val="18"/>
              </w:rPr>
              <w:t>in</w:t>
            </w:r>
            <w:r>
              <w:rPr>
                <w:spacing w:val="-1"/>
                <w:sz w:val="18"/>
              </w:rPr>
              <w:t xml:space="preserve"> </w:t>
            </w:r>
            <w:r>
              <w:rPr>
                <w:sz w:val="18"/>
              </w:rPr>
              <w:t>first</w:t>
            </w:r>
            <w:r>
              <w:rPr>
                <w:spacing w:val="-2"/>
                <w:sz w:val="18"/>
              </w:rPr>
              <w:t xml:space="preserve"> </w:t>
            </w:r>
            <w:r>
              <w:rPr>
                <w:sz w:val="18"/>
              </w:rPr>
              <w:t>year</w:t>
            </w:r>
            <w:r>
              <w:rPr>
                <w:spacing w:val="-1"/>
                <w:sz w:val="18"/>
              </w:rPr>
              <w:t xml:space="preserve"> </w:t>
            </w:r>
            <w:r>
              <w:rPr>
                <w:sz w:val="18"/>
              </w:rPr>
              <w:t>and</w:t>
            </w:r>
            <w:r>
              <w:rPr>
                <w:spacing w:val="-1"/>
                <w:sz w:val="18"/>
              </w:rPr>
              <w:t xml:space="preserve"> </w:t>
            </w:r>
            <w:r>
              <w:rPr>
                <w:sz w:val="18"/>
              </w:rPr>
              <w:t>10%</w:t>
            </w:r>
            <w:r>
              <w:rPr>
                <w:spacing w:val="-1"/>
                <w:sz w:val="18"/>
              </w:rPr>
              <w:t xml:space="preserve"> </w:t>
            </w:r>
            <w:r>
              <w:rPr>
                <w:sz w:val="18"/>
              </w:rPr>
              <w:t>increase</w:t>
            </w:r>
            <w:r>
              <w:rPr>
                <w:spacing w:val="-1"/>
                <w:sz w:val="18"/>
              </w:rPr>
              <w:t xml:space="preserve"> </w:t>
            </w:r>
            <w:r>
              <w:rPr>
                <w:sz w:val="18"/>
              </w:rPr>
              <w:t>per year for subsequent years</w:t>
            </w:r>
          </w:p>
          <w:p w14:paraId="6A56CE84" w14:textId="77777777" w:rsidR="00141B97" w:rsidRDefault="00911D63">
            <w:pPr>
              <w:pStyle w:val="TableParagraph"/>
              <w:numPr>
                <w:ilvl w:val="0"/>
                <w:numId w:val="58"/>
              </w:numPr>
              <w:tabs>
                <w:tab w:val="left" w:pos="412"/>
                <w:tab w:val="left" w:pos="413"/>
              </w:tabs>
              <w:spacing w:line="220" w:lineRule="exact"/>
              <w:ind w:right="675"/>
              <w:rPr>
                <w:sz w:val="18"/>
              </w:rPr>
            </w:pPr>
            <w:r>
              <w:rPr>
                <w:sz w:val="18"/>
              </w:rPr>
              <w:t>Customer</w:t>
            </w:r>
            <w:r>
              <w:rPr>
                <w:spacing w:val="-1"/>
                <w:sz w:val="18"/>
              </w:rPr>
              <w:t xml:space="preserve"> </w:t>
            </w:r>
            <w:r>
              <w:rPr>
                <w:sz w:val="18"/>
              </w:rPr>
              <w:t>satisfaction</w:t>
            </w:r>
            <w:r>
              <w:rPr>
                <w:spacing w:val="-1"/>
                <w:sz w:val="18"/>
              </w:rPr>
              <w:t xml:space="preserve"> </w:t>
            </w:r>
            <w:r>
              <w:rPr>
                <w:sz w:val="18"/>
              </w:rPr>
              <w:t>for</w:t>
            </w:r>
            <w:r>
              <w:rPr>
                <w:spacing w:val="-1"/>
                <w:sz w:val="18"/>
              </w:rPr>
              <w:t xml:space="preserve"> </w:t>
            </w:r>
            <w:r>
              <w:rPr>
                <w:sz w:val="18"/>
              </w:rPr>
              <w:t>responsiveness</w:t>
            </w:r>
            <w:r>
              <w:rPr>
                <w:spacing w:val="-2"/>
                <w:sz w:val="18"/>
              </w:rPr>
              <w:t xml:space="preserve"> </w:t>
            </w:r>
            <w:r>
              <w:rPr>
                <w:sz w:val="18"/>
              </w:rPr>
              <w:t>to</w:t>
            </w:r>
            <w:r>
              <w:rPr>
                <w:spacing w:val="-2"/>
                <w:sz w:val="18"/>
              </w:rPr>
              <w:t xml:space="preserve"> </w:t>
            </w:r>
            <w:r>
              <w:rPr>
                <w:sz w:val="18"/>
              </w:rPr>
              <w:t>enquiry</w:t>
            </w:r>
            <w:r>
              <w:rPr>
                <w:spacing w:val="-2"/>
                <w:sz w:val="18"/>
              </w:rPr>
              <w:t xml:space="preserve"> </w:t>
            </w:r>
            <w:r>
              <w:rPr>
                <w:sz w:val="18"/>
              </w:rPr>
              <w:t>or</w:t>
            </w:r>
            <w:r>
              <w:rPr>
                <w:spacing w:val="-1"/>
                <w:sz w:val="18"/>
              </w:rPr>
              <w:t xml:space="preserve"> </w:t>
            </w:r>
            <w:r>
              <w:rPr>
                <w:sz w:val="18"/>
              </w:rPr>
              <w:t>request</w:t>
            </w:r>
            <w:r>
              <w:rPr>
                <w:spacing w:val="-2"/>
                <w:sz w:val="18"/>
              </w:rPr>
              <w:t xml:space="preserve"> </w:t>
            </w:r>
            <w:r>
              <w:rPr>
                <w:sz w:val="18"/>
              </w:rPr>
              <w:t>–</w:t>
            </w:r>
            <w:r>
              <w:rPr>
                <w:spacing w:val="-1"/>
                <w:sz w:val="18"/>
              </w:rPr>
              <w:t xml:space="preserve"> </w:t>
            </w:r>
            <w:r>
              <w:rPr>
                <w:sz w:val="18"/>
              </w:rPr>
              <w:t>Target</w:t>
            </w:r>
            <w:r>
              <w:rPr>
                <w:spacing w:val="-2"/>
                <w:sz w:val="18"/>
              </w:rPr>
              <w:t xml:space="preserve"> </w:t>
            </w:r>
            <w:r>
              <w:rPr>
                <w:sz w:val="18"/>
              </w:rPr>
              <w:t>=</w:t>
            </w:r>
            <w:r>
              <w:rPr>
                <w:spacing w:val="-1"/>
                <w:sz w:val="18"/>
              </w:rPr>
              <w:t xml:space="preserve"> </w:t>
            </w:r>
            <w:r>
              <w:rPr>
                <w:sz w:val="18"/>
              </w:rPr>
              <w:t>=/&gt;</w:t>
            </w:r>
            <w:r>
              <w:rPr>
                <w:spacing w:val="-1"/>
                <w:sz w:val="18"/>
              </w:rPr>
              <w:t xml:space="preserve"> </w:t>
            </w:r>
            <w:r>
              <w:rPr>
                <w:sz w:val="18"/>
              </w:rPr>
              <w:t>prior</w:t>
            </w:r>
            <w:r>
              <w:rPr>
                <w:spacing w:val="-3"/>
                <w:sz w:val="18"/>
              </w:rPr>
              <w:t xml:space="preserve"> </w:t>
            </w:r>
            <w:r>
              <w:rPr>
                <w:sz w:val="18"/>
              </w:rPr>
              <w:t>year performance of survey respondents</w:t>
            </w:r>
          </w:p>
        </w:tc>
      </w:tr>
      <w:tr w:rsidR="00141B97" w14:paraId="3CA09D2F" w14:textId="77777777">
        <w:trPr>
          <w:trHeight w:val="306"/>
          <w:tblCellSpacing w:w="9" w:type="dxa"/>
        </w:trPr>
        <w:tc>
          <w:tcPr>
            <w:tcW w:w="2287" w:type="dxa"/>
            <w:tcBorders>
              <w:left w:val="nil"/>
            </w:tcBorders>
            <w:shd w:val="clear" w:color="auto" w:fill="CCE2ED"/>
          </w:tcPr>
          <w:p w14:paraId="1590D3B8" w14:textId="77777777" w:rsidR="00141B97" w:rsidRDefault="00911D63">
            <w:pPr>
              <w:pStyle w:val="TableParagraph"/>
              <w:spacing w:before="1"/>
              <w:ind w:left="88"/>
              <w:rPr>
                <w:sz w:val="18"/>
              </w:rPr>
            </w:pPr>
            <w:r>
              <w:rPr>
                <w:sz w:val="18"/>
              </w:rPr>
              <w:t>ESC</w:t>
            </w:r>
            <w:r>
              <w:rPr>
                <w:spacing w:val="-3"/>
                <w:sz w:val="18"/>
              </w:rPr>
              <w:t xml:space="preserve"> </w:t>
            </w:r>
            <w:r>
              <w:rPr>
                <w:spacing w:val="-2"/>
                <w:sz w:val="18"/>
              </w:rPr>
              <w:t>Measures</w:t>
            </w:r>
          </w:p>
        </w:tc>
        <w:tc>
          <w:tcPr>
            <w:tcW w:w="7454" w:type="dxa"/>
            <w:tcBorders>
              <w:right w:val="nil"/>
            </w:tcBorders>
            <w:shd w:val="clear" w:color="auto" w:fill="CCE2ED"/>
          </w:tcPr>
          <w:p w14:paraId="7016FACE" w14:textId="77777777" w:rsidR="00141B97" w:rsidRDefault="00911D63">
            <w:pPr>
              <w:pStyle w:val="TableParagraph"/>
              <w:numPr>
                <w:ilvl w:val="0"/>
                <w:numId w:val="57"/>
              </w:numPr>
              <w:tabs>
                <w:tab w:val="left" w:pos="412"/>
                <w:tab w:val="left" w:pos="413"/>
              </w:tabs>
              <w:spacing w:before="1"/>
              <w:ind w:hanging="361"/>
              <w:rPr>
                <w:sz w:val="18"/>
              </w:rPr>
            </w:pPr>
            <w:r>
              <w:rPr>
                <w:sz w:val="18"/>
              </w:rPr>
              <w:t>How</w:t>
            </w:r>
            <w:r>
              <w:rPr>
                <w:spacing w:val="-2"/>
                <w:sz w:val="18"/>
              </w:rPr>
              <w:t xml:space="preserve"> </w:t>
            </w:r>
            <w:r>
              <w:rPr>
                <w:sz w:val="18"/>
              </w:rPr>
              <w:t>customers</w:t>
            </w:r>
            <w:r>
              <w:rPr>
                <w:spacing w:val="-3"/>
                <w:sz w:val="18"/>
              </w:rPr>
              <w:t xml:space="preserve"> </w:t>
            </w:r>
            <w:r>
              <w:rPr>
                <w:sz w:val="18"/>
              </w:rPr>
              <w:t>rated</w:t>
            </w:r>
            <w:r>
              <w:rPr>
                <w:spacing w:val="-2"/>
                <w:sz w:val="18"/>
              </w:rPr>
              <w:t xml:space="preserve"> </w:t>
            </w:r>
            <w:r>
              <w:rPr>
                <w:sz w:val="18"/>
              </w:rPr>
              <w:t>their</w:t>
            </w:r>
            <w:r>
              <w:rPr>
                <w:spacing w:val="-2"/>
                <w:sz w:val="18"/>
              </w:rPr>
              <w:t xml:space="preserve"> </w:t>
            </w:r>
            <w:r>
              <w:rPr>
                <w:sz w:val="18"/>
              </w:rPr>
              <w:t>water</w:t>
            </w:r>
            <w:r>
              <w:rPr>
                <w:spacing w:val="-1"/>
                <w:sz w:val="18"/>
              </w:rPr>
              <w:t xml:space="preserve"> </w:t>
            </w:r>
            <w:r>
              <w:rPr>
                <w:sz w:val="18"/>
              </w:rPr>
              <w:t>business</w:t>
            </w:r>
            <w:r>
              <w:rPr>
                <w:spacing w:val="-3"/>
                <w:sz w:val="18"/>
              </w:rPr>
              <w:t xml:space="preserve"> </w:t>
            </w:r>
            <w:r>
              <w:rPr>
                <w:sz w:val="18"/>
              </w:rPr>
              <w:t>for</w:t>
            </w:r>
            <w:r>
              <w:rPr>
                <w:spacing w:val="-1"/>
                <w:sz w:val="18"/>
              </w:rPr>
              <w:t xml:space="preserve"> </w:t>
            </w:r>
            <w:r>
              <w:rPr>
                <w:sz w:val="18"/>
              </w:rPr>
              <w:t>level</w:t>
            </w:r>
            <w:r>
              <w:rPr>
                <w:spacing w:val="-3"/>
                <w:sz w:val="18"/>
              </w:rPr>
              <w:t xml:space="preserve"> </w:t>
            </w:r>
            <w:r>
              <w:rPr>
                <w:sz w:val="18"/>
              </w:rPr>
              <w:t>of</w:t>
            </w:r>
            <w:r>
              <w:rPr>
                <w:spacing w:val="-1"/>
                <w:sz w:val="18"/>
              </w:rPr>
              <w:t xml:space="preserve"> </w:t>
            </w:r>
            <w:r>
              <w:rPr>
                <w:sz w:val="18"/>
              </w:rPr>
              <w:t>trust</w:t>
            </w:r>
            <w:r>
              <w:rPr>
                <w:spacing w:val="-3"/>
                <w:sz w:val="18"/>
              </w:rPr>
              <w:t xml:space="preserve"> </w:t>
            </w:r>
            <w:r>
              <w:rPr>
                <w:sz w:val="18"/>
              </w:rPr>
              <w:t>(ESC</w:t>
            </w:r>
            <w:r>
              <w:rPr>
                <w:spacing w:val="-2"/>
                <w:sz w:val="18"/>
              </w:rPr>
              <w:t xml:space="preserve"> </w:t>
            </w:r>
            <w:r>
              <w:rPr>
                <w:sz w:val="18"/>
              </w:rPr>
              <w:t>Figure</w:t>
            </w:r>
            <w:r>
              <w:rPr>
                <w:spacing w:val="-3"/>
                <w:sz w:val="18"/>
              </w:rPr>
              <w:t xml:space="preserve"> </w:t>
            </w:r>
            <w:r>
              <w:rPr>
                <w:sz w:val="18"/>
              </w:rPr>
              <w:t>2.4</w:t>
            </w:r>
            <w:r>
              <w:rPr>
                <w:spacing w:val="-1"/>
                <w:sz w:val="18"/>
              </w:rPr>
              <w:t xml:space="preserve"> </w:t>
            </w:r>
            <w:r>
              <w:rPr>
                <w:sz w:val="18"/>
              </w:rPr>
              <w:t>2021</w:t>
            </w:r>
            <w:r>
              <w:rPr>
                <w:spacing w:val="-2"/>
                <w:sz w:val="18"/>
              </w:rPr>
              <w:t xml:space="preserve"> </w:t>
            </w:r>
            <w:r>
              <w:rPr>
                <w:sz w:val="18"/>
              </w:rPr>
              <w:t>ESC</w:t>
            </w:r>
            <w:r>
              <w:rPr>
                <w:spacing w:val="-2"/>
                <w:sz w:val="18"/>
              </w:rPr>
              <w:t xml:space="preserve"> report)</w:t>
            </w:r>
          </w:p>
        </w:tc>
      </w:tr>
      <w:tr w:rsidR="00141B97" w14:paraId="4878AF82" w14:textId="77777777">
        <w:trPr>
          <w:trHeight w:val="1136"/>
          <w:tblCellSpacing w:w="9" w:type="dxa"/>
        </w:trPr>
        <w:tc>
          <w:tcPr>
            <w:tcW w:w="2287" w:type="dxa"/>
            <w:tcBorders>
              <w:left w:val="nil"/>
            </w:tcBorders>
            <w:shd w:val="clear" w:color="auto" w:fill="CCE2ED"/>
          </w:tcPr>
          <w:p w14:paraId="78BAE0B9" w14:textId="77777777" w:rsidR="00141B97" w:rsidRDefault="00911D63">
            <w:pPr>
              <w:pStyle w:val="TableParagraph"/>
              <w:ind w:left="88"/>
              <w:rPr>
                <w:sz w:val="18"/>
              </w:rPr>
            </w:pPr>
            <w:r>
              <w:rPr>
                <w:sz w:val="18"/>
              </w:rPr>
              <w:t>Major</w:t>
            </w:r>
            <w:r>
              <w:rPr>
                <w:spacing w:val="-4"/>
                <w:sz w:val="18"/>
              </w:rPr>
              <w:t xml:space="preserve"> </w:t>
            </w:r>
            <w:r>
              <w:rPr>
                <w:sz w:val="18"/>
              </w:rPr>
              <w:t>change</w:t>
            </w:r>
            <w:r>
              <w:rPr>
                <w:spacing w:val="-2"/>
                <w:sz w:val="18"/>
              </w:rPr>
              <w:t xml:space="preserve"> projects</w:t>
            </w:r>
          </w:p>
        </w:tc>
        <w:tc>
          <w:tcPr>
            <w:tcW w:w="7454" w:type="dxa"/>
            <w:tcBorders>
              <w:right w:val="nil"/>
            </w:tcBorders>
            <w:shd w:val="clear" w:color="auto" w:fill="CCE2ED"/>
          </w:tcPr>
          <w:p w14:paraId="344C1271" w14:textId="77777777" w:rsidR="00141B97" w:rsidRDefault="00911D63">
            <w:pPr>
              <w:pStyle w:val="TableParagraph"/>
              <w:numPr>
                <w:ilvl w:val="0"/>
                <w:numId w:val="56"/>
              </w:numPr>
              <w:tabs>
                <w:tab w:val="left" w:pos="412"/>
                <w:tab w:val="left" w:pos="413"/>
              </w:tabs>
              <w:ind w:right="495"/>
              <w:rPr>
                <w:sz w:val="18"/>
              </w:rPr>
            </w:pPr>
            <w:r>
              <w:rPr>
                <w:sz w:val="18"/>
              </w:rPr>
              <w:t>Deliver</w:t>
            </w:r>
            <w:r>
              <w:rPr>
                <w:spacing w:val="-2"/>
                <w:sz w:val="18"/>
              </w:rPr>
              <w:t xml:space="preserve"> </w:t>
            </w:r>
            <w:r>
              <w:rPr>
                <w:sz w:val="18"/>
              </w:rPr>
              <w:t>Horizon</w:t>
            </w:r>
            <w:r>
              <w:rPr>
                <w:spacing w:val="-2"/>
                <w:sz w:val="18"/>
              </w:rPr>
              <w:t xml:space="preserve"> </w:t>
            </w:r>
            <w:r>
              <w:rPr>
                <w:sz w:val="18"/>
              </w:rPr>
              <w:t>2</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Business</w:t>
            </w:r>
            <w:r>
              <w:rPr>
                <w:spacing w:val="-2"/>
                <w:sz w:val="18"/>
              </w:rPr>
              <w:t xml:space="preserve"> </w:t>
            </w:r>
            <w:r>
              <w:rPr>
                <w:sz w:val="18"/>
              </w:rPr>
              <w:t>Transformation</w:t>
            </w:r>
            <w:r>
              <w:rPr>
                <w:spacing w:val="-2"/>
                <w:sz w:val="18"/>
              </w:rPr>
              <w:t xml:space="preserve"> </w:t>
            </w:r>
            <w:r>
              <w:rPr>
                <w:sz w:val="18"/>
              </w:rPr>
              <w:t>Program</w:t>
            </w:r>
            <w:r>
              <w:rPr>
                <w:spacing w:val="-2"/>
                <w:sz w:val="18"/>
              </w:rPr>
              <w:t xml:space="preserve"> </w:t>
            </w:r>
            <w:r>
              <w:rPr>
                <w:sz w:val="18"/>
              </w:rPr>
              <w:t>to</w:t>
            </w:r>
            <w:r>
              <w:rPr>
                <w:spacing w:val="-3"/>
                <w:sz w:val="18"/>
              </w:rPr>
              <w:t xml:space="preserve"> </w:t>
            </w:r>
            <w:r>
              <w:rPr>
                <w:sz w:val="18"/>
              </w:rPr>
              <w:t>improve</w:t>
            </w:r>
            <w:r>
              <w:rPr>
                <w:spacing w:val="-3"/>
                <w:sz w:val="18"/>
              </w:rPr>
              <w:t xml:space="preserve"> </w:t>
            </w:r>
            <w:r>
              <w:rPr>
                <w:sz w:val="18"/>
              </w:rPr>
              <w:t>the</w:t>
            </w:r>
            <w:r>
              <w:rPr>
                <w:spacing w:val="-3"/>
                <w:sz w:val="18"/>
              </w:rPr>
              <w:t xml:space="preserve"> </w:t>
            </w:r>
            <w:r>
              <w:rPr>
                <w:sz w:val="18"/>
              </w:rPr>
              <w:t>digital</w:t>
            </w:r>
            <w:r>
              <w:rPr>
                <w:spacing w:val="-3"/>
                <w:sz w:val="18"/>
              </w:rPr>
              <w:t xml:space="preserve"> </w:t>
            </w:r>
            <w:r>
              <w:rPr>
                <w:sz w:val="18"/>
              </w:rPr>
              <w:t xml:space="preserve">customer </w:t>
            </w:r>
            <w:r>
              <w:rPr>
                <w:spacing w:val="-2"/>
                <w:sz w:val="18"/>
              </w:rPr>
              <w:t>experience</w:t>
            </w:r>
          </w:p>
          <w:p w14:paraId="656C4EFE" w14:textId="77777777" w:rsidR="00141B97" w:rsidRDefault="00911D63">
            <w:pPr>
              <w:pStyle w:val="TableParagraph"/>
              <w:numPr>
                <w:ilvl w:val="0"/>
                <w:numId w:val="56"/>
              </w:numPr>
              <w:tabs>
                <w:tab w:val="left" w:pos="412"/>
                <w:tab w:val="left" w:pos="413"/>
              </w:tabs>
              <w:ind w:hanging="361"/>
              <w:rPr>
                <w:sz w:val="18"/>
              </w:rPr>
            </w:pPr>
            <w:r>
              <w:rPr>
                <w:sz w:val="18"/>
              </w:rPr>
              <w:t>Expand</w:t>
            </w:r>
            <w:r>
              <w:rPr>
                <w:spacing w:val="-3"/>
                <w:sz w:val="18"/>
              </w:rPr>
              <w:t xml:space="preserve"> </w:t>
            </w:r>
            <w:r>
              <w:rPr>
                <w:sz w:val="18"/>
              </w:rPr>
              <w:t>Customer</w:t>
            </w:r>
            <w:r>
              <w:rPr>
                <w:spacing w:val="-2"/>
                <w:sz w:val="18"/>
              </w:rPr>
              <w:t xml:space="preserve"> </w:t>
            </w:r>
            <w:r>
              <w:rPr>
                <w:sz w:val="18"/>
              </w:rPr>
              <w:t>Portal</w:t>
            </w:r>
            <w:r>
              <w:rPr>
                <w:spacing w:val="-3"/>
                <w:sz w:val="18"/>
              </w:rPr>
              <w:t xml:space="preserve"> </w:t>
            </w:r>
            <w:r>
              <w:rPr>
                <w:spacing w:val="-2"/>
                <w:sz w:val="18"/>
              </w:rPr>
              <w:t>functionality</w:t>
            </w:r>
          </w:p>
          <w:p w14:paraId="071F4D3B" w14:textId="77777777" w:rsidR="00141B97" w:rsidRDefault="00911D63">
            <w:pPr>
              <w:pStyle w:val="TableParagraph"/>
              <w:numPr>
                <w:ilvl w:val="0"/>
                <w:numId w:val="56"/>
              </w:numPr>
              <w:tabs>
                <w:tab w:val="left" w:pos="412"/>
                <w:tab w:val="left" w:pos="413"/>
              </w:tabs>
              <w:ind w:hanging="361"/>
              <w:rPr>
                <w:sz w:val="18"/>
              </w:rPr>
            </w:pPr>
            <w:r>
              <w:rPr>
                <w:sz w:val="18"/>
              </w:rPr>
              <w:t>Invest</w:t>
            </w:r>
            <w:r>
              <w:rPr>
                <w:spacing w:val="-6"/>
                <w:sz w:val="18"/>
              </w:rPr>
              <w:t xml:space="preserve"> </w:t>
            </w:r>
            <w:r>
              <w:rPr>
                <w:sz w:val="18"/>
              </w:rPr>
              <w:t>in</w:t>
            </w:r>
            <w:r>
              <w:rPr>
                <w:spacing w:val="-3"/>
                <w:sz w:val="18"/>
              </w:rPr>
              <w:t xml:space="preserve"> </w:t>
            </w:r>
            <w:r>
              <w:rPr>
                <w:sz w:val="18"/>
              </w:rPr>
              <w:t>mobility</w:t>
            </w:r>
            <w:r>
              <w:rPr>
                <w:spacing w:val="-4"/>
                <w:sz w:val="18"/>
              </w:rPr>
              <w:t xml:space="preserve"> </w:t>
            </w:r>
            <w:r>
              <w:rPr>
                <w:sz w:val="18"/>
              </w:rPr>
              <w:t>to</w:t>
            </w:r>
            <w:r>
              <w:rPr>
                <w:spacing w:val="-4"/>
                <w:sz w:val="18"/>
              </w:rPr>
              <w:t xml:space="preserve"> </w:t>
            </w:r>
            <w:r>
              <w:rPr>
                <w:sz w:val="18"/>
              </w:rPr>
              <w:t>allow</w:t>
            </w:r>
            <w:r>
              <w:rPr>
                <w:spacing w:val="-3"/>
                <w:sz w:val="18"/>
              </w:rPr>
              <w:t xml:space="preserve"> </w:t>
            </w:r>
            <w:r>
              <w:rPr>
                <w:sz w:val="18"/>
              </w:rPr>
              <w:t>in‐field</w:t>
            </w:r>
            <w:r>
              <w:rPr>
                <w:spacing w:val="-3"/>
                <w:sz w:val="18"/>
              </w:rPr>
              <w:t xml:space="preserve"> </w:t>
            </w:r>
            <w:r>
              <w:rPr>
                <w:sz w:val="18"/>
              </w:rPr>
              <w:t>resolution</w:t>
            </w:r>
            <w:r>
              <w:rPr>
                <w:spacing w:val="-4"/>
                <w:sz w:val="18"/>
              </w:rPr>
              <w:t xml:space="preserve"> </w:t>
            </w:r>
            <w:r>
              <w:rPr>
                <w:sz w:val="18"/>
              </w:rPr>
              <w:t>of</w:t>
            </w:r>
            <w:r>
              <w:rPr>
                <w:spacing w:val="-3"/>
                <w:sz w:val="18"/>
              </w:rPr>
              <w:t xml:space="preserve"> </w:t>
            </w:r>
            <w:r>
              <w:rPr>
                <w:spacing w:val="-2"/>
                <w:sz w:val="18"/>
              </w:rPr>
              <w:t>issues</w:t>
            </w:r>
          </w:p>
          <w:p w14:paraId="56E27393" w14:textId="77777777" w:rsidR="00141B97" w:rsidRDefault="00911D63">
            <w:pPr>
              <w:pStyle w:val="TableParagraph"/>
              <w:numPr>
                <w:ilvl w:val="0"/>
                <w:numId w:val="56"/>
              </w:numPr>
              <w:tabs>
                <w:tab w:val="left" w:pos="412"/>
                <w:tab w:val="left" w:pos="413"/>
              </w:tabs>
              <w:spacing w:line="208" w:lineRule="exact"/>
              <w:ind w:hanging="361"/>
              <w:rPr>
                <w:sz w:val="18"/>
              </w:rPr>
            </w:pPr>
            <w:r>
              <w:rPr>
                <w:sz w:val="18"/>
              </w:rPr>
              <w:t>Expand</w:t>
            </w:r>
            <w:r>
              <w:rPr>
                <w:spacing w:val="-5"/>
                <w:sz w:val="18"/>
              </w:rPr>
              <w:t xml:space="preserve"> </w:t>
            </w:r>
            <w:r>
              <w:rPr>
                <w:sz w:val="18"/>
              </w:rPr>
              <w:t>and</w:t>
            </w:r>
            <w:r>
              <w:rPr>
                <w:spacing w:val="-2"/>
                <w:sz w:val="18"/>
              </w:rPr>
              <w:t xml:space="preserve"> </w:t>
            </w:r>
            <w:r>
              <w:rPr>
                <w:sz w:val="18"/>
              </w:rPr>
              <w:t>enhance</w:t>
            </w:r>
            <w:r>
              <w:rPr>
                <w:spacing w:val="-2"/>
                <w:sz w:val="18"/>
              </w:rPr>
              <w:t xml:space="preserve"> </w:t>
            </w:r>
            <w:r>
              <w:rPr>
                <w:sz w:val="18"/>
              </w:rPr>
              <w:t>customer</w:t>
            </w:r>
            <w:r>
              <w:rPr>
                <w:spacing w:val="-3"/>
                <w:sz w:val="18"/>
              </w:rPr>
              <w:t xml:space="preserve"> </w:t>
            </w:r>
            <w:r>
              <w:rPr>
                <w:sz w:val="18"/>
              </w:rPr>
              <w:t>feedback</w:t>
            </w:r>
            <w:r>
              <w:rPr>
                <w:spacing w:val="-2"/>
                <w:sz w:val="18"/>
              </w:rPr>
              <w:t xml:space="preserve"> mechanisms</w:t>
            </w:r>
          </w:p>
        </w:tc>
      </w:tr>
      <w:tr w:rsidR="00141B97" w14:paraId="2F17DFDD" w14:textId="77777777">
        <w:trPr>
          <w:trHeight w:val="2053"/>
          <w:tblCellSpacing w:w="9" w:type="dxa"/>
        </w:trPr>
        <w:tc>
          <w:tcPr>
            <w:tcW w:w="2287" w:type="dxa"/>
            <w:tcBorders>
              <w:left w:val="nil"/>
            </w:tcBorders>
            <w:shd w:val="clear" w:color="auto" w:fill="CCE2ED"/>
          </w:tcPr>
          <w:p w14:paraId="58F1F7A6" w14:textId="77777777" w:rsidR="00141B97" w:rsidRDefault="00911D63">
            <w:pPr>
              <w:pStyle w:val="TableParagraph"/>
              <w:spacing w:before="1"/>
              <w:ind w:left="88"/>
              <w:rPr>
                <w:sz w:val="18"/>
              </w:rPr>
            </w:pPr>
            <w:r>
              <w:rPr>
                <w:sz w:val="18"/>
              </w:rPr>
              <w:t>Key</w:t>
            </w:r>
            <w:r>
              <w:rPr>
                <w:spacing w:val="-5"/>
                <w:sz w:val="18"/>
              </w:rPr>
              <w:t xml:space="preserve"> </w:t>
            </w:r>
            <w:r>
              <w:rPr>
                <w:sz w:val="18"/>
              </w:rPr>
              <w:t>operational</w:t>
            </w:r>
            <w:r>
              <w:rPr>
                <w:spacing w:val="-5"/>
                <w:sz w:val="18"/>
              </w:rPr>
              <w:t xml:space="preserve"> </w:t>
            </w:r>
            <w:r>
              <w:rPr>
                <w:spacing w:val="-2"/>
                <w:sz w:val="18"/>
              </w:rPr>
              <w:t>activities</w:t>
            </w:r>
          </w:p>
        </w:tc>
        <w:tc>
          <w:tcPr>
            <w:tcW w:w="7454" w:type="dxa"/>
            <w:tcBorders>
              <w:right w:val="nil"/>
            </w:tcBorders>
            <w:shd w:val="clear" w:color="auto" w:fill="CCE2ED"/>
          </w:tcPr>
          <w:p w14:paraId="55B68AF2" w14:textId="77777777" w:rsidR="00141B97" w:rsidRDefault="00911D63">
            <w:pPr>
              <w:pStyle w:val="TableParagraph"/>
              <w:numPr>
                <w:ilvl w:val="0"/>
                <w:numId w:val="55"/>
              </w:numPr>
              <w:tabs>
                <w:tab w:val="left" w:pos="412"/>
                <w:tab w:val="left" w:pos="413"/>
              </w:tabs>
              <w:spacing w:before="1"/>
              <w:ind w:hanging="361"/>
              <w:rPr>
                <w:sz w:val="18"/>
              </w:rPr>
            </w:pPr>
            <w:r>
              <w:rPr>
                <w:sz w:val="18"/>
              </w:rPr>
              <w:t>Responsive</w:t>
            </w:r>
            <w:r>
              <w:rPr>
                <w:spacing w:val="-3"/>
                <w:sz w:val="18"/>
              </w:rPr>
              <w:t xml:space="preserve"> </w:t>
            </w:r>
            <w:r>
              <w:rPr>
                <w:sz w:val="18"/>
              </w:rPr>
              <w:t>service</w:t>
            </w:r>
            <w:r>
              <w:rPr>
                <w:spacing w:val="-3"/>
                <w:sz w:val="18"/>
              </w:rPr>
              <w:t xml:space="preserve"> </w:t>
            </w:r>
            <w:r>
              <w:rPr>
                <w:sz w:val="18"/>
              </w:rPr>
              <w:t>avenues</w:t>
            </w:r>
            <w:r>
              <w:rPr>
                <w:spacing w:val="-3"/>
                <w:sz w:val="18"/>
              </w:rPr>
              <w:t xml:space="preserve"> </w:t>
            </w:r>
            <w:r>
              <w:rPr>
                <w:sz w:val="18"/>
              </w:rPr>
              <w:t>and</w:t>
            </w:r>
            <w:r>
              <w:rPr>
                <w:spacing w:val="-4"/>
                <w:sz w:val="18"/>
              </w:rPr>
              <w:t xml:space="preserve"> </w:t>
            </w:r>
            <w:r>
              <w:rPr>
                <w:spacing w:val="-2"/>
                <w:sz w:val="18"/>
              </w:rPr>
              <w:t>channels</w:t>
            </w:r>
          </w:p>
          <w:p w14:paraId="56FD587A" w14:textId="77777777" w:rsidR="00141B97" w:rsidRDefault="00911D63">
            <w:pPr>
              <w:pStyle w:val="TableParagraph"/>
              <w:numPr>
                <w:ilvl w:val="0"/>
                <w:numId w:val="55"/>
              </w:numPr>
              <w:tabs>
                <w:tab w:val="left" w:pos="412"/>
                <w:tab w:val="left" w:pos="413"/>
              </w:tabs>
              <w:ind w:hanging="361"/>
              <w:rPr>
                <w:sz w:val="18"/>
              </w:rPr>
            </w:pPr>
            <w:r>
              <w:rPr>
                <w:sz w:val="18"/>
              </w:rPr>
              <w:t>Customer</w:t>
            </w:r>
            <w:r>
              <w:rPr>
                <w:spacing w:val="-4"/>
                <w:sz w:val="18"/>
              </w:rPr>
              <w:t xml:space="preserve"> </w:t>
            </w:r>
            <w:r>
              <w:rPr>
                <w:sz w:val="18"/>
              </w:rPr>
              <w:t>Portal</w:t>
            </w:r>
            <w:r>
              <w:rPr>
                <w:spacing w:val="-3"/>
                <w:sz w:val="18"/>
              </w:rPr>
              <w:t xml:space="preserve"> </w:t>
            </w:r>
            <w:r>
              <w:rPr>
                <w:sz w:val="18"/>
              </w:rPr>
              <w:t>(Self‐Service,</w:t>
            </w:r>
            <w:r>
              <w:rPr>
                <w:spacing w:val="-1"/>
                <w:sz w:val="18"/>
              </w:rPr>
              <w:t xml:space="preserve"> </w:t>
            </w:r>
            <w:r>
              <w:rPr>
                <w:sz w:val="18"/>
              </w:rPr>
              <w:t>Self‐Enablement</w:t>
            </w:r>
            <w:r>
              <w:rPr>
                <w:spacing w:val="-3"/>
                <w:sz w:val="18"/>
              </w:rPr>
              <w:t xml:space="preserve"> </w:t>
            </w:r>
            <w:r>
              <w:rPr>
                <w:sz w:val="18"/>
              </w:rPr>
              <w:t>/</w:t>
            </w:r>
            <w:r>
              <w:rPr>
                <w:spacing w:val="-2"/>
                <w:sz w:val="18"/>
              </w:rPr>
              <w:t xml:space="preserve"> </w:t>
            </w:r>
            <w:r>
              <w:rPr>
                <w:sz w:val="18"/>
              </w:rPr>
              <w:t>Service</w:t>
            </w:r>
            <w:r>
              <w:rPr>
                <w:spacing w:val="-2"/>
                <w:sz w:val="18"/>
              </w:rPr>
              <w:t xml:space="preserve"> Request)</w:t>
            </w:r>
          </w:p>
          <w:p w14:paraId="5038361B" w14:textId="77777777" w:rsidR="00141B97" w:rsidRDefault="00911D63">
            <w:pPr>
              <w:pStyle w:val="TableParagraph"/>
              <w:numPr>
                <w:ilvl w:val="0"/>
                <w:numId w:val="55"/>
              </w:numPr>
              <w:tabs>
                <w:tab w:val="left" w:pos="412"/>
                <w:tab w:val="left" w:pos="413"/>
              </w:tabs>
              <w:ind w:hanging="361"/>
              <w:rPr>
                <w:sz w:val="18"/>
              </w:rPr>
            </w:pPr>
            <w:r>
              <w:rPr>
                <w:sz w:val="18"/>
              </w:rPr>
              <w:t>Contact</w:t>
            </w:r>
            <w:r>
              <w:rPr>
                <w:spacing w:val="-5"/>
                <w:sz w:val="18"/>
              </w:rPr>
              <w:t xml:space="preserve"> </w:t>
            </w:r>
            <w:r>
              <w:rPr>
                <w:sz w:val="18"/>
              </w:rPr>
              <w:t>Centre</w:t>
            </w:r>
            <w:r>
              <w:rPr>
                <w:spacing w:val="-4"/>
                <w:sz w:val="18"/>
              </w:rPr>
              <w:t xml:space="preserve"> </w:t>
            </w:r>
            <w:r>
              <w:rPr>
                <w:sz w:val="18"/>
              </w:rPr>
              <w:t>(Phone,</w:t>
            </w:r>
            <w:r>
              <w:rPr>
                <w:spacing w:val="-4"/>
                <w:sz w:val="18"/>
              </w:rPr>
              <w:t xml:space="preserve"> </w:t>
            </w:r>
            <w:r>
              <w:rPr>
                <w:sz w:val="18"/>
              </w:rPr>
              <w:t>Walk‐In,</w:t>
            </w:r>
            <w:r>
              <w:rPr>
                <w:spacing w:val="-4"/>
                <w:sz w:val="18"/>
              </w:rPr>
              <w:t xml:space="preserve"> </w:t>
            </w:r>
            <w:r>
              <w:rPr>
                <w:sz w:val="18"/>
              </w:rPr>
              <w:t>Online</w:t>
            </w:r>
            <w:r>
              <w:rPr>
                <w:spacing w:val="-3"/>
                <w:sz w:val="18"/>
              </w:rPr>
              <w:t xml:space="preserve"> </w:t>
            </w:r>
            <w:r>
              <w:rPr>
                <w:spacing w:val="-2"/>
                <w:sz w:val="18"/>
              </w:rPr>
              <w:t>Chat)</w:t>
            </w:r>
          </w:p>
          <w:p w14:paraId="17809855" w14:textId="77777777" w:rsidR="00141B97" w:rsidRDefault="00911D63">
            <w:pPr>
              <w:pStyle w:val="TableParagraph"/>
              <w:numPr>
                <w:ilvl w:val="0"/>
                <w:numId w:val="55"/>
              </w:numPr>
              <w:tabs>
                <w:tab w:val="left" w:pos="412"/>
                <w:tab w:val="left" w:pos="413"/>
              </w:tabs>
              <w:ind w:hanging="361"/>
              <w:rPr>
                <w:sz w:val="18"/>
              </w:rPr>
            </w:pPr>
            <w:r>
              <w:rPr>
                <w:sz w:val="18"/>
              </w:rPr>
              <w:t>Afterhours</w:t>
            </w:r>
            <w:r>
              <w:rPr>
                <w:spacing w:val="-1"/>
                <w:sz w:val="18"/>
              </w:rPr>
              <w:t xml:space="preserve"> </w:t>
            </w:r>
            <w:r>
              <w:rPr>
                <w:sz w:val="18"/>
              </w:rPr>
              <w:t>Services</w:t>
            </w:r>
            <w:r>
              <w:rPr>
                <w:spacing w:val="-1"/>
                <w:sz w:val="18"/>
              </w:rPr>
              <w:t xml:space="preserve"> </w:t>
            </w:r>
            <w:r>
              <w:rPr>
                <w:sz w:val="18"/>
              </w:rPr>
              <w:t>(Fault</w:t>
            </w:r>
            <w:r>
              <w:rPr>
                <w:spacing w:val="-2"/>
                <w:sz w:val="18"/>
              </w:rPr>
              <w:t xml:space="preserve"> </w:t>
            </w:r>
            <w:r>
              <w:rPr>
                <w:sz w:val="18"/>
              </w:rPr>
              <w:t xml:space="preserve">&amp; </w:t>
            </w:r>
            <w:r>
              <w:rPr>
                <w:spacing w:val="-2"/>
                <w:sz w:val="18"/>
              </w:rPr>
              <w:t>Emergency)</w:t>
            </w:r>
          </w:p>
          <w:p w14:paraId="3B60A548" w14:textId="77777777" w:rsidR="00141B97" w:rsidRDefault="00911D63">
            <w:pPr>
              <w:pStyle w:val="TableParagraph"/>
              <w:numPr>
                <w:ilvl w:val="0"/>
                <w:numId w:val="55"/>
              </w:numPr>
              <w:tabs>
                <w:tab w:val="left" w:pos="412"/>
                <w:tab w:val="left" w:pos="413"/>
              </w:tabs>
              <w:ind w:hanging="361"/>
              <w:rPr>
                <w:sz w:val="18"/>
              </w:rPr>
            </w:pPr>
            <w:r>
              <w:rPr>
                <w:sz w:val="18"/>
              </w:rPr>
              <w:t>Capture</w:t>
            </w:r>
            <w:r>
              <w:rPr>
                <w:spacing w:val="-4"/>
                <w:sz w:val="18"/>
              </w:rPr>
              <w:t xml:space="preserve"> </w:t>
            </w:r>
            <w:r>
              <w:rPr>
                <w:sz w:val="18"/>
              </w:rPr>
              <w:t>all</w:t>
            </w:r>
            <w:r>
              <w:rPr>
                <w:spacing w:val="-4"/>
                <w:sz w:val="18"/>
              </w:rPr>
              <w:t xml:space="preserve"> </w:t>
            </w:r>
            <w:r>
              <w:rPr>
                <w:sz w:val="18"/>
              </w:rPr>
              <w:t>customer</w:t>
            </w:r>
            <w:r>
              <w:rPr>
                <w:spacing w:val="-3"/>
                <w:sz w:val="18"/>
              </w:rPr>
              <w:t xml:space="preserve"> </w:t>
            </w:r>
            <w:r>
              <w:rPr>
                <w:sz w:val="18"/>
              </w:rPr>
              <w:t>interactions</w:t>
            </w:r>
            <w:r>
              <w:rPr>
                <w:spacing w:val="-6"/>
                <w:sz w:val="18"/>
              </w:rPr>
              <w:t xml:space="preserve"> </w:t>
            </w:r>
            <w:r>
              <w:rPr>
                <w:sz w:val="18"/>
              </w:rPr>
              <w:t>in</w:t>
            </w:r>
            <w:r>
              <w:rPr>
                <w:spacing w:val="-3"/>
                <w:sz w:val="18"/>
              </w:rPr>
              <w:t xml:space="preserve"> </w:t>
            </w:r>
            <w:r>
              <w:rPr>
                <w:sz w:val="18"/>
              </w:rPr>
              <w:t>a</w:t>
            </w:r>
            <w:r>
              <w:rPr>
                <w:spacing w:val="-3"/>
                <w:sz w:val="18"/>
              </w:rPr>
              <w:t xml:space="preserve"> </w:t>
            </w:r>
            <w:r>
              <w:rPr>
                <w:sz w:val="18"/>
              </w:rPr>
              <w:t>Customer</w:t>
            </w:r>
            <w:r>
              <w:rPr>
                <w:spacing w:val="-4"/>
                <w:sz w:val="18"/>
              </w:rPr>
              <w:t xml:space="preserve"> </w:t>
            </w:r>
            <w:r>
              <w:rPr>
                <w:sz w:val="18"/>
              </w:rPr>
              <w:t>Relationship</w:t>
            </w:r>
            <w:r>
              <w:rPr>
                <w:spacing w:val="-3"/>
                <w:sz w:val="18"/>
              </w:rPr>
              <w:t xml:space="preserve"> </w:t>
            </w:r>
            <w:r>
              <w:rPr>
                <w:sz w:val="18"/>
              </w:rPr>
              <w:t>Management</w:t>
            </w:r>
            <w:r>
              <w:rPr>
                <w:spacing w:val="-4"/>
                <w:sz w:val="18"/>
              </w:rPr>
              <w:t xml:space="preserve"> </w:t>
            </w:r>
            <w:r>
              <w:rPr>
                <w:sz w:val="18"/>
              </w:rPr>
              <w:t>System</w:t>
            </w:r>
            <w:r>
              <w:rPr>
                <w:spacing w:val="-3"/>
                <w:sz w:val="18"/>
              </w:rPr>
              <w:t xml:space="preserve"> </w:t>
            </w:r>
            <w:r>
              <w:rPr>
                <w:spacing w:val="-2"/>
                <w:sz w:val="18"/>
              </w:rPr>
              <w:t>(CRM)</w:t>
            </w:r>
          </w:p>
          <w:p w14:paraId="05B1A209" w14:textId="77777777" w:rsidR="00141B97" w:rsidRDefault="00911D63">
            <w:pPr>
              <w:pStyle w:val="TableParagraph"/>
              <w:numPr>
                <w:ilvl w:val="0"/>
                <w:numId w:val="55"/>
              </w:numPr>
              <w:tabs>
                <w:tab w:val="left" w:pos="412"/>
                <w:tab w:val="left" w:pos="413"/>
              </w:tabs>
              <w:ind w:right="137"/>
              <w:rPr>
                <w:sz w:val="18"/>
              </w:rPr>
            </w:pPr>
            <w:r>
              <w:rPr>
                <w:sz w:val="18"/>
              </w:rPr>
              <w:t>Respond</w:t>
            </w:r>
            <w:r>
              <w:rPr>
                <w:spacing w:val="-1"/>
                <w:sz w:val="18"/>
              </w:rPr>
              <w:t xml:space="preserve"> </w:t>
            </w:r>
            <w:r>
              <w:rPr>
                <w:sz w:val="18"/>
              </w:rPr>
              <w:t>promptly</w:t>
            </w:r>
            <w:r>
              <w:rPr>
                <w:spacing w:val="-2"/>
                <w:sz w:val="18"/>
              </w:rPr>
              <w:t xml:space="preserve"> </w:t>
            </w:r>
            <w:r>
              <w:rPr>
                <w:sz w:val="18"/>
              </w:rPr>
              <w:t>and</w:t>
            </w:r>
            <w:r>
              <w:rPr>
                <w:spacing w:val="-1"/>
                <w:sz w:val="18"/>
              </w:rPr>
              <w:t xml:space="preserve"> </w:t>
            </w:r>
            <w:r>
              <w:rPr>
                <w:sz w:val="18"/>
              </w:rPr>
              <w:t>effectively</w:t>
            </w:r>
            <w:r>
              <w:rPr>
                <w:spacing w:val="-1"/>
                <w:sz w:val="18"/>
              </w:rPr>
              <w:t xml:space="preserve"> </w:t>
            </w:r>
            <w:r>
              <w:rPr>
                <w:sz w:val="18"/>
              </w:rPr>
              <w:t>to</w:t>
            </w:r>
            <w:r>
              <w:rPr>
                <w:spacing w:val="-2"/>
                <w:sz w:val="18"/>
              </w:rPr>
              <w:t xml:space="preserve"> </w:t>
            </w:r>
            <w:r>
              <w:rPr>
                <w:sz w:val="18"/>
              </w:rPr>
              <w:t>service</w:t>
            </w:r>
            <w:r>
              <w:rPr>
                <w:spacing w:val="-2"/>
                <w:sz w:val="18"/>
              </w:rPr>
              <w:t xml:space="preserve"> </w:t>
            </w:r>
            <w:r>
              <w:rPr>
                <w:sz w:val="18"/>
              </w:rPr>
              <w:t>requests</w:t>
            </w:r>
            <w:r>
              <w:rPr>
                <w:spacing w:val="-2"/>
                <w:sz w:val="18"/>
              </w:rPr>
              <w:t xml:space="preserve"> </w:t>
            </w:r>
            <w:r>
              <w:rPr>
                <w:sz w:val="18"/>
              </w:rPr>
              <w:t>and</w:t>
            </w:r>
            <w:r>
              <w:rPr>
                <w:spacing w:val="-1"/>
                <w:sz w:val="18"/>
              </w:rPr>
              <w:t xml:space="preserve"> </w:t>
            </w:r>
            <w:r>
              <w:rPr>
                <w:sz w:val="18"/>
              </w:rPr>
              <w:t>complaints</w:t>
            </w:r>
            <w:r>
              <w:rPr>
                <w:spacing w:val="-1"/>
                <w:sz w:val="18"/>
              </w:rPr>
              <w:t xml:space="preserve"> </w:t>
            </w:r>
            <w:r>
              <w:rPr>
                <w:sz w:val="18"/>
              </w:rPr>
              <w:t>within</w:t>
            </w:r>
            <w:r>
              <w:rPr>
                <w:spacing w:val="-1"/>
                <w:sz w:val="18"/>
              </w:rPr>
              <w:t xml:space="preserve"> </w:t>
            </w:r>
            <w:r>
              <w:rPr>
                <w:sz w:val="18"/>
              </w:rPr>
              <w:t>agreed</w:t>
            </w:r>
            <w:r>
              <w:rPr>
                <w:spacing w:val="-1"/>
                <w:sz w:val="18"/>
              </w:rPr>
              <w:t xml:space="preserve"> </w:t>
            </w:r>
            <w:r>
              <w:rPr>
                <w:sz w:val="18"/>
              </w:rPr>
              <w:t>Mean</w:t>
            </w:r>
            <w:r>
              <w:rPr>
                <w:spacing w:val="-2"/>
                <w:sz w:val="18"/>
              </w:rPr>
              <w:t xml:space="preserve"> </w:t>
            </w:r>
            <w:r>
              <w:rPr>
                <w:sz w:val="18"/>
              </w:rPr>
              <w:t>Time to Resolve (MTTR)</w:t>
            </w:r>
          </w:p>
          <w:p w14:paraId="0AA1F5CF" w14:textId="77777777" w:rsidR="00141B97" w:rsidRDefault="00911D63">
            <w:pPr>
              <w:pStyle w:val="TableParagraph"/>
              <w:numPr>
                <w:ilvl w:val="0"/>
                <w:numId w:val="55"/>
              </w:numPr>
              <w:tabs>
                <w:tab w:val="left" w:pos="412"/>
                <w:tab w:val="left" w:pos="413"/>
              </w:tabs>
              <w:spacing w:line="229" w:lineRule="exact"/>
              <w:ind w:hanging="361"/>
              <w:rPr>
                <w:sz w:val="18"/>
              </w:rPr>
            </w:pPr>
            <w:r>
              <w:rPr>
                <w:sz w:val="18"/>
              </w:rPr>
              <w:t>Deliver</w:t>
            </w:r>
            <w:r>
              <w:rPr>
                <w:spacing w:val="-6"/>
                <w:sz w:val="18"/>
              </w:rPr>
              <w:t xml:space="preserve"> </w:t>
            </w:r>
            <w:r>
              <w:rPr>
                <w:sz w:val="18"/>
              </w:rPr>
              <w:t>open</w:t>
            </w:r>
            <w:r>
              <w:rPr>
                <w:spacing w:val="-4"/>
                <w:sz w:val="18"/>
              </w:rPr>
              <w:t xml:space="preserve"> </w:t>
            </w:r>
            <w:r>
              <w:rPr>
                <w:sz w:val="18"/>
              </w:rPr>
              <w:t>and</w:t>
            </w:r>
            <w:r>
              <w:rPr>
                <w:spacing w:val="-3"/>
                <w:sz w:val="18"/>
              </w:rPr>
              <w:t xml:space="preserve"> </w:t>
            </w:r>
            <w:r>
              <w:rPr>
                <w:sz w:val="18"/>
              </w:rPr>
              <w:t>transparent</w:t>
            </w:r>
            <w:r>
              <w:rPr>
                <w:spacing w:val="-5"/>
                <w:sz w:val="18"/>
              </w:rPr>
              <w:t xml:space="preserve"> </w:t>
            </w:r>
            <w:r>
              <w:rPr>
                <w:sz w:val="18"/>
              </w:rPr>
              <w:t>customer</w:t>
            </w:r>
            <w:r>
              <w:rPr>
                <w:spacing w:val="-4"/>
                <w:sz w:val="18"/>
              </w:rPr>
              <w:t xml:space="preserve"> </w:t>
            </w:r>
            <w:r>
              <w:rPr>
                <w:sz w:val="18"/>
              </w:rPr>
              <w:t>and</w:t>
            </w:r>
            <w:r>
              <w:rPr>
                <w:spacing w:val="-3"/>
                <w:sz w:val="18"/>
              </w:rPr>
              <w:t xml:space="preserve"> </w:t>
            </w:r>
            <w:r>
              <w:rPr>
                <w:sz w:val="18"/>
              </w:rPr>
              <w:t>community</w:t>
            </w:r>
            <w:r>
              <w:rPr>
                <w:spacing w:val="-4"/>
                <w:sz w:val="18"/>
              </w:rPr>
              <w:t xml:space="preserve"> </w:t>
            </w:r>
            <w:r>
              <w:rPr>
                <w:sz w:val="18"/>
              </w:rPr>
              <w:t>engagement</w:t>
            </w:r>
            <w:r>
              <w:rPr>
                <w:spacing w:val="-4"/>
                <w:sz w:val="18"/>
              </w:rPr>
              <w:t xml:space="preserve"> </w:t>
            </w:r>
            <w:r>
              <w:rPr>
                <w:spacing w:val="-2"/>
                <w:sz w:val="18"/>
              </w:rPr>
              <w:t>programs</w:t>
            </w:r>
          </w:p>
          <w:p w14:paraId="025FC511" w14:textId="77777777" w:rsidR="00141B97" w:rsidRDefault="00911D63">
            <w:pPr>
              <w:pStyle w:val="TableParagraph"/>
              <w:numPr>
                <w:ilvl w:val="0"/>
                <w:numId w:val="55"/>
              </w:numPr>
              <w:tabs>
                <w:tab w:val="left" w:pos="412"/>
                <w:tab w:val="left" w:pos="413"/>
              </w:tabs>
              <w:spacing w:line="209" w:lineRule="exact"/>
              <w:ind w:hanging="361"/>
              <w:rPr>
                <w:sz w:val="18"/>
              </w:rPr>
            </w:pPr>
            <w:r>
              <w:rPr>
                <w:sz w:val="18"/>
              </w:rPr>
              <w:t>Manage</w:t>
            </w:r>
            <w:r>
              <w:rPr>
                <w:spacing w:val="-4"/>
                <w:sz w:val="18"/>
              </w:rPr>
              <w:t xml:space="preserve"> </w:t>
            </w:r>
            <w:r>
              <w:rPr>
                <w:sz w:val="18"/>
              </w:rPr>
              <w:t>customer</w:t>
            </w:r>
            <w:r>
              <w:rPr>
                <w:spacing w:val="-2"/>
                <w:sz w:val="18"/>
              </w:rPr>
              <w:t xml:space="preserve"> </w:t>
            </w:r>
            <w:r>
              <w:rPr>
                <w:sz w:val="18"/>
              </w:rPr>
              <w:t>services</w:t>
            </w:r>
            <w:r>
              <w:rPr>
                <w:spacing w:val="-4"/>
                <w:sz w:val="18"/>
              </w:rPr>
              <w:t xml:space="preserve"> </w:t>
            </w:r>
            <w:r>
              <w:rPr>
                <w:sz w:val="18"/>
              </w:rPr>
              <w:t>to</w:t>
            </w:r>
            <w:r>
              <w:rPr>
                <w:spacing w:val="-3"/>
                <w:sz w:val="18"/>
              </w:rPr>
              <w:t xml:space="preserve"> </w:t>
            </w:r>
            <w:r>
              <w:rPr>
                <w:sz w:val="18"/>
              </w:rPr>
              <w:t>comply</w:t>
            </w:r>
            <w:r>
              <w:rPr>
                <w:spacing w:val="-3"/>
                <w:sz w:val="18"/>
              </w:rPr>
              <w:t xml:space="preserve"> </w:t>
            </w:r>
            <w:r>
              <w:rPr>
                <w:sz w:val="18"/>
              </w:rPr>
              <w:t>with</w:t>
            </w:r>
            <w:r>
              <w:rPr>
                <w:spacing w:val="-4"/>
                <w:sz w:val="18"/>
              </w:rPr>
              <w:t xml:space="preserve"> </w:t>
            </w:r>
            <w:r>
              <w:rPr>
                <w:sz w:val="18"/>
              </w:rPr>
              <w:t>Water</w:t>
            </w:r>
            <w:r>
              <w:rPr>
                <w:spacing w:val="-3"/>
                <w:sz w:val="18"/>
              </w:rPr>
              <w:t xml:space="preserve"> </w:t>
            </w:r>
            <w:r>
              <w:rPr>
                <w:sz w:val="18"/>
              </w:rPr>
              <w:t>Customer</w:t>
            </w:r>
            <w:r>
              <w:rPr>
                <w:spacing w:val="-3"/>
                <w:sz w:val="18"/>
              </w:rPr>
              <w:t xml:space="preserve"> </w:t>
            </w:r>
            <w:r>
              <w:rPr>
                <w:sz w:val="18"/>
              </w:rPr>
              <w:t>Service</w:t>
            </w:r>
            <w:r>
              <w:rPr>
                <w:spacing w:val="-3"/>
                <w:sz w:val="18"/>
              </w:rPr>
              <w:t xml:space="preserve"> </w:t>
            </w:r>
            <w:r>
              <w:rPr>
                <w:spacing w:val="-4"/>
                <w:sz w:val="18"/>
              </w:rPr>
              <w:t>Code</w:t>
            </w:r>
          </w:p>
        </w:tc>
      </w:tr>
      <w:tr w:rsidR="00141B97" w14:paraId="7AD82FC5" w14:textId="77777777">
        <w:trPr>
          <w:trHeight w:val="688"/>
          <w:tblCellSpacing w:w="9" w:type="dxa"/>
        </w:trPr>
        <w:tc>
          <w:tcPr>
            <w:tcW w:w="2287" w:type="dxa"/>
            <w:tcBorders>
              <w:left w:val="nil"/>
              <w:bottom w:val="nil"/>
            </w:tcBorders>
            <w:shd w:val="clear" w:color="auto" w:fill="CCE2ED"/>
          </w:tcPr>
          <w:p w14:paraId="41F3EE17" w14:textId="77777777" w:rsidR="00141B97" w:rsidRDefault="00911D63">
            <w:pPr>
              <w:pStyle w:val="TableParagraph"/>
              <w:spacing w:before="1"/>
              <w:ind w:left="88"/>
              <w:rPr>
                <w:sz w:val="18"/>
              </w:rPr>
            </w:pPr>
            <w:r>
              <w:rPr>
                <w:spacing w:val="-2"/>
                <w:sz w:val="18"/>
              </w:rPr>
              <w:t>Inputs</w:t>
            </w:r>
          </w:p>
          <w:p w14:paraId="4601B9CD" w14:textId="77777777" w:rsidR="00141B97" w:rsidRDefault="00911D63">
            <w:pPr>
              <w:pStyle w:val="TableParagraph"/>
              <w:numPr>
                <w:ilvl w:val="0"/>
                <w:numId w:val="54"/>
              </w:numPr>
              <w:tabs>
                <w:tab w:val="left" w:pos="448"/>
                <w:tab w:val="left" w:pos="449"/>
              </w:tabs>
              <w:ind w:hanging="361"/>
              <w:rPr>
                <w:sz w:val="18"/>
              </w:rPr>
            </w:pPr>
            <w:r>
              <w:rPr>
                <w:sz w:val="18"/>
              </w:rPr>
              <w:t>Cost</w:t>
            </w:r>
            <w:r>
              <w:rPr>
                <w:spacing w:val="-4"/>
                <w:sz w:val="18"/>
              </w:rPr>
              <w:t xml:space="preserve"> </w:t>
            </w:r>
            <w:r>
              <w:rPr>
                <w:spacing w:val="-2"/>
                <w:sz w:val="18"/>
              </w:rPr>
              <w:t>movements</w:t>
            </w:r>
          </w:p>
          <w:p w14:paraId="4B41D852" w14:textId="77777777" w:rsidR="00141B97" w:rsidRDefault="00911D63">
            <w:pPr>
              <w:pStyle w:val="TableParagraph"/>
              <w:numPr>
                <w:ilvl w:val="0"/>
                <w:numId w:val="54"/>
              </w:numPr>
              <w:tabs>
                <w:tab w:val="left" w:pos="448"/>
                <w:tab w:val="left" w:pos="449"/>
              </w:tabs>
              <w:spacing w:line="218" w:lineRule="exact"/>
              <w:ind w:hanging="361"/>
              <w:rPr>
                <w:sz w:val="18"/>
              </w:rPr>
            </w:pPr>
            <w:r>
              <w:rPr>
                <w:sz w:val="18"/>
              </w:rPr>
              <w:t xml:space="preserve">Resources </w:t>
            </w:r>
            <w:r>
              <w:rPr>
                <w:spacing w:val="-2"/>
                <w:sz w:val="18"/>
              </w:rPr>
              <w:t>required</w:t>
            </w:r>
          </w:p>
        </w:tc>
        <w:tc>
          <w:tcPr>
            <w:tcW w:w="7454" w:type="dxa"/>
            <w:tcBorders>
              <w:bottom w:val="nil"/>
              <w:right w:val="nil"/>
            </w:tcBorders>
            <w:shd w:val="clear" w:color="auto" w:fill="CCE2ED"/>
          </w:tcPr>
          <w:p w14:paraId="38149C61" w14:textId="77777777" w:rsidR="00141B97" w:rsidRDefault="00911D63">
            <w:pPr>
              <w:pStyle w:val="TableParagraph"/>
              <w:numPr>
                <w:ilvl w:val="0"/>
                <w:numId w:val="53"/>
              </w:numPr>
              <w:tabs>
                <w:tab w:val="left" w:pos="412"/>
                <w:tab w:val="left" w:pos="413"/>
              </w:tabs>
              <w:spacing w:before="1"/>
              <w:ind w:hanging="361"/>
              <w:rPr>
                <w:sz w:val="18"/>
              </w:rPr>
            </w:pPr>
            <w:r>
              <w:rPr>
                <w:sz w:val="18"/>
              </w:rPr>
              <w:t>Horizon</w:t>
            </w:r>
            <w:r>
              <w:rPr>
                <w:spacing w:val="-4"/>
                <w:sz w:val="18"/>
              </w:rPr>
              <w:t xml:space="preserve"> </w:t>
            </w:r>
            <w:r>
              <w:rPr>
                <w:sz w:val="18"/>
              </w:rPr>
              <w:t>2</w:t>
            </w:r>
            <w:r>
              <w:rPr>
                <w:spacing w:val="-3"/>
                <w:sz w:val="18"/>
              </w:rPr>
              <w:t xml:space="preserve"> </w:t>
            </w:r>
            <w:r>
              <w:rPr>
                <w:sz w:val="18"/>
              </w:rPr>
              <w:t>Business</w:t>
            </w:r>
            <w:r>
              <w:rPr>
                <w:spacing w:val="-3"/>
                <w:sz w:val="18"/>
              </w:rPr>
              <w:t xml:space="preserve"> </w:t>
            </w:r>
            <w:r>
              <w:rPr>
                <w:sz w:val="18"/>
              </w:rPr>
              <w:t>Transformation</w:t>
            </w:r>
            <w:r>
              <w:rPr>
                <w:spacing w:val="-2"/>
                <w:sz w:val="18"/>
              </w:rPr>
              <w:t xml:space="preserve"> </w:t>
            </w:r>
            <w:r>
              <w:rPr>
                <w:sz w:val="18"/>
              </w:rPr>
              <w:t>$10.16m</w:t>
            </w:r>
            <w:r>
              <w:rPr>
                <w:spacing w:val="-3"/>
                <w:sz w:val="18"/>
              </w:rPr>
              <w:t xml:space="preserve"> </w:t>
            </w:r>
            <w:r>
              <w:rPr>
                <w:sz w:val="18"/>
              </w:rPr>
              <w:t>over</w:t>
            </w:r>
            <w:r>
              <w:rPr>
                <w:spacing w:val="-4"/>
                <w:sz w:val="18"/>
              </w:rPr>
              <w:t xml:space="preserve"> </w:t>
            </w:r>
            <w:r>
              <w:rPr>
                <w:sz w:val="18"/>
              </w:rPr>
              <w:t>5</w:t>
            </w:r>
            <w:r>
              <w:rPr>
                <w:spacing w:val="-3"/>
                <w:sz w:val="18"/>
              </w:rPr>
              <w:t xml:space="preserve"> </w:t>
            </w:r>
            <w:r>
              <w:rPr>
                <w:spacing w:val="-2"/>
                <w:sz w:val="18"/>
              </w:rPr>
              <w:t>years</w:t>
            </w:r>
          </w:p>
          <w:p w14:paraId="09BFFFDF" w14:textId="77777777" w:rsidR="00141B97" w:rsidRDefault="00911D63">
            <w:pPr>
              <w:pStyle w:val="TableParagraph"/>
              <w:numPr>
                <w:ilvl w:val="0"/>
                <w:numId w:val="53"/>
              </w:numPr>
              <w:tabs>
                <w:tab w:val="left" w:pos="412"/>
                <w:tab w:val="left" w:pos="413"/>
              </w:tabs>
              <w:ind w:hanging="361"/>
              <w:rPr>
                <w:sz w:val="18"/>
              </w:rPr>
            </w:pPr>
            <w:r>
              <w:rPr>
                <w:sz w:val="18"/>
              </w:rPr>
              <w:t>Redesign</w:t>
            </w:r>
            <w:r>
              <w:rPr>
                <w:spacing w:val="-3"/>
                <w:sz w:val="18"/>
              </w:rPr>
              <w:t xml:space="preserve"> </w:t>
            </w:r>
            <w:r>
              <w:rPr>
                <w:sz w:val="18"/>
              </w:rPr>
              <w:t>of</w:t>
            </w:r>
            <w:r>
              <w:rPr>
                <w:spacing w:val="-2"/>
                <w:sz w:val="18"/>
              </w:rPr>
              <w:t xml:space="preserve"> </w:t>
            </w:r>
            <w:r>
              <w:rPr>
                <w:sz w:val="18"/>
              </w:rPr>
              <w:t>positions</w:t>
            </w:r>
            <w:r>
              <w:rPr>
                <w:spacing w:val="-4"/>
                <w:sz w:val="18"/>
              </w:rPr>
              <w:t xml:space="preserve"> </w:t>
            </w:r>
            <w:r>
              <w:rPr>
                <w:sz w:val="18"/>
              </w:rPr>
              <w:t>to</w:t>
            </w:r>
            <w:r>
              <w:rPr>
                <w:spacing w:val="-3"/>
                <w:sz w:val="18"/>
              </w:rPr>
              <w:t xml:space="preserve"> </w:t>
            </w:r>
            <w:r>
              <w:rPr>
                <w:sz w:val="18"/>
              </w:rPr>
              <w:t>reflect</w:t>
            </w:r>
            <w:r>
              <w:rPr>
                <w:spacing w:val="-3"/>
                <w:sz w:val="18"/>
              </w:rPr>
              <w:t xml:space="preserve"> </w:t>
            </w:r>
            <w:r>
              <w:rPr>
                <w:sz w:val="18"/>
              </w:rPr>
              <w:t>changed</w:t>
            </w:r>
            <w:r>
              <w:rPr>
                <w:spacing w:val="-3"/>
                <w:sz w:val="18"/>
              </w:rPr>
              <w:t xml:space="preserve"> </w:t>
            </w:r>
            <w:r>
              <w:rPr>
                <w:sz w:val="18"/>
              </w:rPr>
              <w:t>ways</w:t>
            </w:r>
            <w:r>
              <w:rPr>
                <w:spacing w:val="-2"/>
                <w:sz w:val="18"/>
              </w:rPr>
              <w:t xml:space="preserve"> </w:t>
            </w:r>
            <w:r>
              <w:rPr>
                <w:sz w:val="18"/>
              </w:rPr>
              <w:t>of</w:t>
            </w:r>
            <w:r>
              <w:rPr>
                <w:spacing w:val="-3"/>
                <w:sz w:val="18"/>
              </w:rPr>
              <w:t xml:space="preserve"> </w:t>
            </w:r>
            <w:r>
              <w:rPr>
                <w:spacing w:val="-2"/>
                <w:sz w:val="18"/>
              </w:rPr>
              <w:t>working</w:t>
            </w:r>
          </w:p>
          <w:p w14:paraId="25C7BE31" w14:textId="77777777" w:rsidR="00141B97" w:rsidRDefault="00911D63">
            <w:pPr>
              <w:pStyle w:val="TableParagraph"/>
              <w:numPr>
                <w:ilvl w:val="0"/>
                <w:numId w:val="53"/>
              </w:numPr>
              <w:tabs>
                <w:tab w:val="left" w:pos="412"/>
                <w:tab w:val="left" w:pos="413"/>
              </w:tabs>
              <w:spacing w:line="209" w:lineRule="exact"/>
              <w:ind w:hanging="361"/>
              <w:rPr>
                <w:sz w:val="18"/>
              </w:rPr>
            </w:pPr>
            <w:r>
              <w:rPr>
                <w:sz w:val="18"/>
              </w:rPr>
              <w:t>Leadership</w:t>
            </w:r>
            <w:r>
              <w:rPr>
                <w:spacing w:val="-1"/>
                <w:sz w:val="18"/>
              </w:rPr>
              <w:t xml:space="preserve"> </w:t>
            </w:r>
            <w:r>
              <w:rPr>
                <w:sz w:val="18"/>
              </w:rPr>
              <w:t>and</w:t>
            </w:r>
            <w:r>
              <w:rPr>
                <w:spacing w:val="-3"/>
                <w:sz w:val="18"/>
              </w:rPr>
              <w:t xml:space="preserve"> </w:t>
            </w:r>
            <w:r>
              <w:rPr>
                <w:sz w:val="18"/>
              </w:rPr>
              <w:t>Talent Management</w:t>
            </w:r>
            <w:r>
              <w:rPr>
                <w:spacing w:val="-2"/>
                <w:sz w:val="18"/>
              </w:rPr>
              <w:t xml:space="preserve"> </w:t>
            </w:r>
            <w:r>
              <w:rPr>
                <w:sz w:val="18"/>
              </w:rPr>
              <w:t>investment</w:t>
            </w:r>
            <w:r>
              <w:rPr>
                <w:spacing w:val="-1"/>
                <w:sz w:val="18"/>
              </w:rPr>
              <w:t xml:space="preserve"> </w:t>
            </w:r>
            <w:r>
              <w:rPr>
                <w:sz w:val="18"/>
              </w:rPr>
              <w:t>in</w:t>
            </w:r>
            <w:r>
              <w:rPr>
                <w:spacing w:val="-1"/>
                <w:sz w:val="18"/>
              </w:rPr>
              <w:t xml:space="preserve"> </w:t>
            </w:r>
            <w:r>
              <w:rPr>
                <w:sz w:val="18"/>
              </w:rPr>
              <w:t>LMW</w:t>
            </w:r>
            <w:r>
              <w:rPr>
                <w:spacing w:val="-2"/>
                <w:sz w:val="18"/>
              </w:rPr>
              <w:t xml:space="preserve"> </w:t>
            </w:r>
            <w:r>
              <w:rPr>
                <w:sz w:val="18"/>
              </w:rPr>
              <w:t>people</w:t>
            </w:r>
            <w:r>
              <w:rPr>
                <w:spacing w:val="-1"/>
                <w:sz w:val="18"/>
              </w:rPr>
              <w:t xml:space="preserve"> </w:t>
            </w:r>
            <w:r>
              <w:rPr>
                <w:sz w:val="18"/>
              </w:rPr>
              <w:t>of</w:t>
            </w:r>
            <w:r>
              <w:rPr>
                <w:spacing w:val="-1"/>
                <w:sz w:val="18"/>
              </w:rPr>
              <w:t xml:space="preserve"> </w:t>
            </w:r>
            <w:r>
              <w:rPr>
                <w:sz w:val="18"/>
              </w:rPr>
              <w:t>$1.80m over</w:t>
            </w:r>
            <w:r>
              <w:rPr>
                <w:spacing w:val="-1"/>
                <w:sz w:val="18"/>
              </w:rPr>
              <w:t xml:space="preserve"> </w:t>
            </w:r>
            <w:r>
              <w:rPr>
                <w:sz w:val="18"/>
              </w:rPr>
              <w:t>5</w:t>
            </w:r>
            <w:r>
              <w:rPr>
                <w:spacing w:val="-2"/>
                <w:sz w:val="18"/>
              </w:rPr>
              <w:t xml:space="preserve"> years</w:t>
            </w:r>
          </w:p>
        </w:tc>
      </w:tr>
    </w:tbl>
    <w:p w14:paraId="52AD8DD4" w14:textId="77777777" w:rsidR="00141B97" w:rsidRDefault="00911D63">
      <w:pPr>
        <w:spacing w:before="23"/>
        <w:ind w:left="114"/>
        <w:rPr>
          <w:sz w:val="16"/>
        </w:rPr>
      </w:pPr>
      <w:r>
        <w:rPr>
          <w:sz w:val="16"/>
        </w:rPr>
        <w:t>Table</w:t>
      </w:r>
      <w:r>
        <w:rPr>
          <w:spacing w:val="-5"/>
          <w:sz w:val="16"/>
        </w:rPr>
        <w:t xml:space="preserve"> </w:t>
      </w:r>
      <w:r>
        <w:rPr>
          <w:sz w:val="16"/>
        </w:rPr>
        <w:t>B12:</w:t>
      </w:r>
      <w:r>
        <w:rPr>
          <w:spacing w:val="-5"/>
          <w:sz w:val="16"/>
        </w:rPr>
        <w:t xml:space="preserve"> </w:t>
      </w:r>
      <w:r>
        <w:rPr>
          <w:sz w:val="16"/>
        </w:rPr>
        <w:t>Outcome</w:t>
      </w:r>
      <w:r>
        <w:rPr>
          <w:spacing w:val="-4"/>
          <w:sz w:val="16"/>
        </w:rPr>
        <w:t xml:space="preserve"> </w:t>
      </w:r>
      <w:r>
        <w:rPr>
          <w:sz w:val="16"/>
        </w:rPr>
        <w:t>4</w:t>
      </w:r>
      <w:r>
        <w:rPr>
          <w:spacing w:val="-6"/>
          <w:sz w:val="16"/>
        </w:rPr>
        <w:t xml:space="preserve"> </w:t>
      </w:r>
      <w:r>
        <w:rPr>
          <w:sz w:val="16"/>
        </w:rPr>
        <w:t>‐</w:t>
      </w:r>
      <w:r>
        <w:rPr>
          <w:spacing w:val="-6"/>
          <w:sz w:val="16"/>
        </w:rPr>
        <w:t xml:space="preserve"> </w:t>
      </w:r>
      <w:r>
        <w:rPr>
          <w:sz w:val="16"/>
        </w:rPr>
        <w:t>Provide</w:t>
      </w:r>
      <w:r>
        <w:rPr>
          <w:spacing w:val="-7"/>
          <w:sz w:val="16"/>
        </w:rPr>
        <w:t xml:space="preserve"> </w:t>
      </w:r>
      <w:r>
        <w:rPr>
          <w:sz w:val="16"/>
        </w:rPr>
        <w:t>Customer</w:t>
      </w:r>
      <w:r>
        <w:rPr>
          <w:spacing w:val="-4"/>
          <w:sz w:val="16"/>
        </w:rPr>
        <w:t xml:space="preserve"> </w:t>
      </w:r>
      <w:r>
        <w:rPr>
          <w:sz w:val="16"/>
        </w:rPr>
        <w:t>Service</w:t>
      </w:r>
      <w:r>
        <w:rPr>
          <w:spacing w:val="-6"/>
          <w:sz w:val="16"/>
        </w:rPr>
        <w:t xml:space="preserve"> </w:t>
      </w:r>
      <w:r>
        <w:rPr>
          <w:sz w:val="16"/>
        </w:rPr>
        <w:t>Avenues</w:t>
      </w:r>
      <w:r>
        <w:rPr>
          <w:spacing w:val="-7"/>
          <w:sz w:val="16"/>
        </w:rPr>
        <w:t xml:space="preserve"> </w:t>
      </w:r>
      <w:r>
        <w:rPr>
          <w:sz w:val="16"/>
        </w:rPr>
        <w:t>that</w:t>
      </w:r>
      <w:r>
        <w:rPr>
          <w:spacing w:val="-5"/>
          <w:sz w:val="16"/>
        </w:rPr>
        <w:t xml:space="preserve"> </w:t>
      </w:r>
      <w:r>
        <w:rPr>
          <w:sz w:val="16"/>
        </w:rPr>
        <w:t>are</w:t>
      </w:r>
      <w:r>
        <w:rPr>
          <w:spacing w:val="-6"/>
          <w:sz w:val="16"/>
        </w:rPr>
        <w:t xml:space="preserve"> </w:t>
      </w:r>
      <w:r>
        <w:rPr>
          <w:sz w:val="16"/>
        </w:rPr>
        <w:t>Responsive</w:t>
      </w:r>
      <w:r>
        <w:rPr>
          <w:spacing w:val="-6"/>
          <w:sz w:val="16"/>
        </w:rPr>
        <w:t xml:space="preserve"> </w:t>
      </w:r>
      <w:r>
        <w:rPr>
          <w:sz w:val="16"/>
        </w:rPr>
        <w:t>to</w:t>
      </w:r>
      <w:r>
        <w:rPr>
          <w:spacing w:val="-6"/>
          <w:sz w:val="16"/>
        </w:rPr>
        <w:t xml:space="preserve"> </w:t>
      </w:r>
      <w:r>
        <w:rPr>
          <w:sz w:val="16"/>
        </w:rPr>
        <w:t>Resolve</w:t>
      </w:r>
      <w:r>
        <w:rPr>
          <w:spacing w:val="-5"/>
          <w:sz w:val="16"/>
        </w:rPr>
        <w:t xml:space="preserve"> </w:t>
      </w:r>
      <w:r>
        <w:rPr>
          <w:sz w:val="16"/>
        </w:rPr>
        <w:t>Requests/Enquiries</w:t>
      </w:r>
      <w:r>
        <w:rPr>
          <w:spacing w:val="-6"/>
          <w:sz w:val="16"/>
        </w:rPr>
        <w:t xml:space="preserve"> </w:t>
      </w:r>
      <w:r>
        <w:rPr>
          <w:sz w:val="16"/>
        </w:rPr>
        <w:t>Within</w:t>
      </w:r>
      <w:r>
        <w:rPr>
          <w:spacing w:val="-6"/>
          <w:sz w:val="16"/>
        </w:rPr>
        <w:t xml:space="preserve"> </w:t>
      </w:r>
      <w:r>
        <w:rPr>
          <w:sz w:val="16"/>
        </w:rPr>
        <w:t>the</w:t>
      </w:r>
      <w:r>
        <w:rPr>
          <w:spacing w:val="-4"/>
          <w:sz w:val="16"/>
        </w:rPr>
        <w:t xml:space="preserve"> </w:t>
      </w:r>
      <w:r>
        <w:rPr>
          <w:sz w:val="16"/>
        </w:rPr>
        <w:t>Agreed</w:t>
      </w:r>
      <w:r>
        <w:rPr>
          <w:spacing w:val="-5"/>
          <w:sz w:val="16"/>
        </w:rPr>
        <w:t xml:space="preserve"> </w:t>
      </w:r>
      <w:r>
        <w:rPr>
          <w:spacing w:val="-4"/>
          <w:sz w:val="16"/>
        </w:rPr>
        <w:t>KPIs</w:t>
      </w:r>
    </w:p>
    <w:p w14:paraId="6726E231" w14:textId="77777777" w:rsidR="00141B97" w:rsidRDefault="00141B97">
      <w:pPr>
        <w:rPr>
          <w:sz w:val="16"/>
        </w:rPr>
        <w:sectPr w:rsidR="00141B97">
          <w:pgSz w:w="11910" w:h="16840"/>
          <w:pgMar w:top="820" w:right="40" w:bottom="760" w:left="1020" w:header="0" w:footer="580" w:gutter="0"/>
          <w:cols w:space="720"/>
        </w:sectPr>
      </w:pPr>
    </w:p>
    <w:p w14:paraId="59C06C62" w14:textId="77777777" w:rsidR="00141B97" w:rsidRDefault="00911D63">
      <w:pPr>
        <w:pStyle w:val="BodyText"/>
        <w:spacing w:before="31"/>
        <w:ind w:left="114"/>
      </w:pPr>
      <w:r>
        <w:lastRenderedPageBreak/>
        <w:t>Outcome</w:t>
      </w:r>
      <w:r>
        <w:rPr>
          <w:spacing w:val="-8"/>
        </w:rPr>
        <w:t xml:space="preserve"> </w:t>
      </w:r>
      <w:r>
        <w:t>5:</w:t>
      </w:r>
      <w:r>
        <w:rPr>
          <w:spacing w:val="-7"/>
        </w:rPr>
        <w:t xml:space="preserve"> </w:t>
      </w:r>
      <w:r>
        <w:t>Service</w:t>
      </w:r>
      <w:r>
        <w:rPr>
          <w:spacing w:val="-8"/>
        </w:rPr>
        <w:t xml:space="preserve"> </w:t>
      </w:r>
      <w:r>
        <w:t>our</w:t>
      </w:r>
      <w:r>
        <w:rPr>
          <w:spacing w:val="-8"/>
        </w:rPr>
        <w:t xml:space="preserve"> </w:t>
      </w:r>
      <w:r>
        <w:t>communities</w:t>
      </w:r>
      <w:r>
        <w:rPr>
          <w:spacing w:val="-7"/>
        </w:rPr>
        <w:t xml:space="preserve"> </w:t>
      </w:r>
      <w:r>
        <w:t>in</w:t>
      </w:r>
      <w:r>
        <w:rPr>
          <w:spacing w:val="-7"/>
        </w:rPr>
        <w:t xml:space="preserve"> </w:t>
      </w:r>
      <w:r>
        <w:t>a</w:t>
      </w:r>
      <w:r>
        <w:rPr>
          <w:spacing w:val="-8"/>
        </w:rPr>
        <w:t xml:space="preserve"> </w:t>
      </w:r>
      <w:r>
        <w:t>socially</w:t>
      </w:r>
      <w:r>
        <w:rPr>
          <w:spacing w:val="-8"/>
        </w:rPr>
        <w:t xml:space="preserve"> </w:t>
      </w:r>
      <w:r>
        <w:t>responsible</w:t>
      </w:r>
      <w:r>
        <w:rPr>
          <w:spacing w:val="-8"/>
        </w:rPr>
        <w:t xml:space="preserve"> </w:t>
      </w:r>
      <w:r>
        <w:t>and</w:t>
      </w:r>
      <w:r>
        <w:rPr>
          <w:spacing w:val="-8"/>
        </w:rPr>
        <w:t xml:space="preserve"> </w:t>
      </w:r>
      <w:r>
        <w:t>environmentally</w:t>
      </w:r>
      <w:r>
        <w:rPr>
          <w:spacing w:val="-7"/>
        </w:rPr>
        <w:t xml:space="preserve"> </w:t>
      </w:r>
      <w:r>
        <w:t>sustainable</w:t>
      </w:r>
      <w:r>
        <w:rPr>
          <w:spacing w:val="-8"/>
        </w:rPr>
        <w:t xml:space="preserve"> </w:t>
      </w:r>
      <w:r>
        <w:rPr>
          <w:spacing w:val="-2"/>
        </w:rPr>
        <w:t>manner</w:t>
      </w:r>
    </w:p>
    <w:p w14:paraId="460ACBBC"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314"/>
        <w:gridCol w:w="7481"/>
      </w:tblGrid>
      <w:tr w:rsidR="00141B97" w14:paraId="3BD0AFD7" w14:textId="77777777">
        <w:trPr>
          <w:trHeight w:val="555"/>
          <w:tblCellSpacing w:w="9" w:type="dxa"/>
        </w:trPr>
        <w:tc>
          <w:tcPr>
            <w:tcW w:w="2287" w:type="dxa"/>
            <w:tcBorders>
              <w:top w:val="nil"/>
              <w:left w:val="nil"/>
            </w:tcBorders>
            <w:shd w:val="clear" w:color="auto" w:fill="0064A4"/>
          </w:tcPr>
          <w:p w14:paraId="2736C6DC" w14:textId="77777777" w:rsidR="00141B97" w:rsidRDefault="00911D63">
            <w:pPr>
              <w:pStyle w:val="TableParagraph"/>
              <w:spacing w:before="1"/>
              <w:ind w:left="88"/>
              <w:rPr>
                <w:sz w:val="18"/>
              </w:rPr>
            </w:pPr>
            <w:r>
              <w:rPr>
                <w:color w:val="FFFFFF"/>
                <w:sz w:val="18"/>
              </w:rPr>
              <w:t>What</w:t>
            </w:r>
            <w:r>
              <w:rPr>
                <w:color w:val="FFFFFF"/>
                <w:spacing w:val="-1"/>
                <w:sz w:val="18"/>
              </w:rPr>
              <w:t xml:space="preserve"> </w:t>
            </w:r>
            <w:r>
              <w:rPr>
                <w:color w:val="FFFFFF"/>
                <w:sz w:val="18"/>
              </w:rPr>
              <w:t>customers will</w:t>
            </w:r>
            <w:r>
              <w:rPr>
                <w:color w:val="FFFFFF"/>
                <w:spacing w:val="-1"/>
                <w:sz w:val="18"/>
              </w:rPr>
              <w:t xml:space="preserve"> </w:t>
            </w:r>
            <w:r>
              <w:rPr>
                <w:color w:val="FFFFFF"/>
                <w:spacing w:val="-2"/>
                <w:sz w:val="18"/>
              </w:rPr>
              <w:t>receive</w:t>
            </w:r>
          </w:p>
        </w:tc>
        <w:tc>
          <w:tcPr>
            <w:tcW w:w="7454" w:type="dxa"/>
            <w:tcBorders>
              <w:top w:val="nil"/>
              <w:right w:val="nil"/>
            </w:tcBorders>
            <w:shd w:val="clear" w:color="auto" w:fill="0064A4"/>
          </w:tcPr>
          <w:p w14:paraId="7B77BE69" w14:textId="77777777" w:rsidR="00141B97" w:rsidRDefault="00911D63">
            <w:pPr>
              <w:pStyle w:val="TableParagraph"/>
              <w:spacing w:before="1" w:line="276" w:lineRule="auto"/>
              <w:ind w:left="98" w:right="31"/>
              <w:rPr>
                <w:sz w:val="18"/>
              </w:rPr>
            </w:pPr>
            <w:r>
              <w:rPr>
                <w:color w:val="FFFFFF"/>
                <w:sz w:val="18"/>
              </w:rPr>
              <w:t>Outcome</w:t>
            </w:r>
            <w:r>
              <w:rPr>
                <w:color w:val="FFFFFF"/>
                <w:spacing w:val="-2"/>
                <w:sz w:val="18"/>
              </w:rPr>
              <w:t xml:space="preserve"> </w:t>
            </w:r>
            <w:r>
              <w:rPr>
                <w:color w:val="FFFFFF"/>
                <w:sz w:val="18"/>
              </w:rPr>
              <w:t>5:</w:t>
            </w:r>
            <w:r>
              <w:rPr>
                <w:color w:val="FFFFFF"/>
                <w:spacing w:val="-2"/>
                <w:sz w:val="18"/>
              </w:rPr>
              <w:t xml:space="preserve"> </w:t>
            </w:r>
            <w:r>
              <w:rPr>
                <w:color w:val="FFFFFF"/>
                <w:sz w:val="18"/>
              </w:rPr>
              <w:t>Service</w:t>
            </w:r>
            <w:r>
              <w:rPr>
                <w:color w:val="FFFFFF"/>
                <w:spacing w:val="-1"/>
                <w:sz w:val="18"/>
              </w:rPr>
              <w:t xml:space="preserve"> </w:t>
            </w:r>
            <w:r>
              <w:rPr>
                <w:color w:val="FFFFFF"/>
                <w:sz w:val="18"/>
              </w:rPr>
              <w:t>our</w:t>
            </w:r>
            <w:r>
              <w:rPr>
                <w:color w:val="FFFFFF"/>
                <w:spacing w:val="-1"/>
                <w:sz w:val="18"/>
              </w:rPr>
              <w:t xml:space="preserve"> </w:t>
            </w:r>
            <w:r>
              <w:rPr>
                <w:color w:val="FFFFFF"/>
                <w:sz w:val="18"/>
              </w:rPr>
              <w:t>communities</w:t>
            </w:r>
            <w:r>
              <w:rPr>
                <w:color w:val="FFFFFF"/>
                <w:spacing w:val="-1"/>
                <w:sz w:val="18"/>
              </w:rPr>
              <w:t xml:space="preserve"> </w:t>
            </w:r>
            <w:r>
              <w:rPr>
                <w:color w:val="FFFFFF"/>
                <w:sz w:val="18"/>
              </w:rPr>
              <w:t>in</w:t>
            </w:r>
            <w:r>
              <w:rPr>
                <w:color w:val="FFFFFF"/>
                <w:spacing w:val="-1"/>
                <w:sz w:val="18"/>
              </w:rPr>
              <w:t xml:space="preserve"> </w:t>
            </w:r>
            <w:r>
              <w:rPr>
                <w:color w:val="FFFFFF"/>
                <w:sz w:val="18"/>
              </w:rPr>
              <w:t>a</w:t>
            </w:r>
            <w:r>
              <w:rPr>
                <w:color w:val="FFFFFF"/>
                <w:spacing w:val="-1"/>
                <w:sz w:val="18"/>
              </w:rPr>
              <w:t xml:space="preserve"> </w:t>
            </w:r>
            <w:r>
              <w:rPr>
                <w:color w:val="FFFFFF"/>
                <w:sz w:val="18"/>
              </w:rPr>
              <w:t>socially</w:t>
            </w:r>
            <w:r>
              <w:rPr>
                <w:color w:val="FFFFFF"/>
                <w:spacing w:val="-2"/>
                <w:sz w:val="18"/>
              </w:rPr>
              <w:t xml:space="preserve"> </w:t>
            </w:r>
            <w:r>
              <w:rPr>
                <w:color w:val="FFFFFF"/>
                <w:sz w:val="18"/>
              </w:rPr>
              <w:t>responsible</w:t>
            </w:r>
            <w:r>
              <w:rPr>
                <w:color w:val="FFFFFF"/>
                <w:spacing w:val="-1"/>
                <w:sz w:val="18"/>
              </w:rPr>
              <w:t xml:space="preserve"> </w:t>
            </w:r>
            <w:r>
              <w:rPr>
                <w:color w:val="FFFFFF"/>
                <w:sz w:val="18"/>
              </w:rPr>
              <w:t>and</w:t>
            </w:r>
            <w:r>
              <w:rPr>
                <w:color w:val="FFFFFF"/>
                <w:spacing w:val="-1"/>
                <w:sz w:val="18"/>
              </w:rPr>
              <w:t xml:space="preserve"> </w:t>
            </w:r>
            <w:r>
              <w:rPr>
                <w:color w:val="FFFFFF"/>
                <w:sz w:val="18"/>
              </w:rPr>
              <w:t>environmentally</w:t>
            </w:r>
            <w:r>
              <w:rPr>
                <w:color w:val="FFFFFF"/>
                <w:spacing w:val="-1"/>
                <w:sz w:val="18"/>
              </w:rPr>
              <w:t xml:space="preserve"> </w:t>
            </w:r>
            <w:r>
              <w:rPr>
                <w:color w:val="FFFFFF"/>
                <w:sz w:val="18"/>
              </w:rPr>
              <w:t xml:space="preserve">sustainable </w:t>
            </w:r>
            <w:r>
              <w:rPr>
                <w:color w:val="FFFFFF"/>
                <w:spacing w:val="-2"/>
                <w:sz w:val="18"/>
              </w:rPr>
              <w:t>manner</w:t>
            </w:r>
          </w:p>
        </w:tc>
      </w:tr>
      <w:tr w:rsidR="00141B97" w14:paraId="632CAF82" w14:textId="77777777">
        <w:trPr>
          <w:trHeight w:val="688"/>
          <w:tblCellSpacing w:w="9" w:type="dxa"/>
        </w:trPr>
        <w:tc>
          <w:tcPr>
            <w:tcW w:w="2287" w:type="dxa"/>
            <w:tcBorders>
              <w:left w:val="nil"/>
            </w:tcBorders>
            <w:shd w:val="clear" w:color="auto" w:fill="CCE2ED"/>
          </w:tcPr>
          <w:p w14:paraId="4FF6A1F2" w14:textId="77777777" w:rsidR="00141B97" w:rsidRDefault="00911D63">
            <w:pPr>
              <w:pStyle w:val="TableParagraph"/>
              <w:spacing w:before="2" w:line="276" w:lineRule="auto"/>
              <w:ind w:left="88"/>
              <w:rPr>
                <w:sz w:val="18"/>
              </w:rPr>
            </w:pPr>
            <w:r>
              <w:rPr>
                <w:sz w:val="18"/>
              </w:rPr>
              <w:t>Performance</w:t>
            </w:r>
            <w:r>
              <w:rPr>
                <w:spacing w:val="-9"/>
                <w:sz w:val="18"/>
              </w:rPr>
              <w:t xml:space="preserve"> </w:t>
            </w:r>
            <w:r>
              <w:rPr>
                <w:sz w:val="18"/>
              </w:rPr>
              <w:t>measures</w:t>
            </w:r>
            <w:r>
              <w:rPr>
                <w:spacing w:val="-7"/>
                <w:sz w:val="18"/>
              </w:rPr>
              <w:t xml:space="preserve"> </w:t>
            </w:r>
            <w:r>
              <w:rPr>
                <w:sz w:val="18"/>
              </w:rPr>
              <w:t xml:space="preserve">and </w:t>
            </w:r>
            <w:r>
              <w:rPr>
                <w:spacing w:val="-2"/>
                <w:sz w:val="18"/>
              </w:rPr>
              <w:t>targets</w:t>
            </w:r>
          </w:p>
        </w:tc>
        <w:tc>
          <w:tcPr>
            <w:tcW w:w="7454" w:type="dxa"/>
            <w:tcBorders>
              <w:right w:val="nil"/>
            </w:tcBorders>
            <w:shd w:val="clear" w:color="auto" w:fill="CCE2ED"/>
          </w:tcPr>
          <w:p w14:paraId="43AFAEC2" w14:textId="77777777" w:rsidR="00141B97" w:rsidRDefault="00911D63">
            <w:pPr>
              <w:pStyle w:val="TableParagraph"/>
              <w:numPr>
                <w:ilvl w:val="0"/>
                <w:numId w:val="52"/>
              </w:numPr>
              <w:tabs>
                <w:tab w:val="left" w:pos="375"/>
                <w:tab w:val="left" w:pos="376"/>
              </w:tabs>
              <w:spacing w:before="1"/>
              <w:ind w:hanging="359"/>
              <w:rPr>
                <w:sz w:val="18"/>
              </w:rPr>
            </w:pPr>
            <w:r>
              <w:rPr>
                <w:sz w:val="18"/>
              </w:rPr>
              <w:t>Percentage</w:t>
            </w:r>
            <w:r>
              <w:rPr>
                <w:spacing w:val="-2"/>
                <w:sz w:val="18"/>
              </w:rPr>
              <w:t xml:space="preserve"> </w:t>
            </w:r>
            <w:r>
              <w:rPr>
                <w:sz w:val="18"/>
              </w:rPr>
              <w:t>Compliance</w:t>
            </w:r>
            <w:r>
              <w:rPr>
                <w:spacing w:val="-1"/>
                <w:sz w:val="18"/>
              </w:rPr>
              <w:t xml:space="preserve"> </w:t>
            </w:r>
            <w:r>
              <w:rPr>
                <w:sz w:val="18"/>
              </w:rPr>
              <w:t>with</w:t>
            </w:r>
            <w:r>
              <w:rPr>
                <w:spacing w:val="-1"/>
                <w:sz w:val="18"/>
              </w:rPr>
              <w:t xml:space="preserve"> </w:t>
            </w:r>
            <w:r>
              <w:rPr>
                <w:sz w:val="18"/>
              </w:rPr>
              <w:t>EPA</w:t>
            </w:r>
            <w:r>
              <w:rPr>
                <w:spacing w:val="-1"/>
                <w:sz w:val="18"/>
              </w:rPr>
              <w:t xml:space="preserve"> </w:t>
            </w:r>
            <w:r>
              <w:rPr>
                <w:sz w:val="18"/>
              </w:rPr>
              <w:t>license</w:t>
            </w:r>
            <w:r>
              <w:rPr>
                <w:spacing w:val="-1"/>
                <w:sz w:val="18"/>
              </w:rPr>
              <w:t xml:space="preserve"> </w:t>
            </w:r>
            <w:r>
              <w:rPr>
                <w:sz w:val="18"/>
              </w:rPr>
              <w:t>conditions</w:t>
            </w:r>
            <w:r>
              <w:rPr>
                <w:spacing w:val="-1"/>
                <w:sz w:val="18"/>
              </w:rPr>
              <w:t xml:space="preserve"> </w:t>
            </w:r>
            <w:r>
              <w:rPr>
                <w:sz w:val="18"/>
              </w:rPr>
              <w:t>–</w:t>
            </w:r>
            <w:r>
              <w:rPr>
                <w:spacing w:val="-1"/>
                <w:sz w:val="18"/>
              </w:rPr>
              <w:t xml:space="preserve"> </w:t>
            </w:r>
            <w:r>
              <w:rPr>
                <w:sz w:val="18"/>
              </w:rPr>
              <w:t>Target</w:t>
            </w:r>
            <w:r>
              <w:rPr>
                <w:spacing w:val="-2"/>
                <w:sz w:val="18"/>
              </w:rPr>
              <w:t xml:space="preserve"> </w:t>
            </w:r>
            <w:r>
              <w:rPr>
                <w:sz w:val="18"/>
              </w:rPr>
              <w:t xml:space="preserve">= </w:t>
            </w:r>
            <w:r>
              <w:rPr>
                <w:spacing w:val="-4"/>
                <w:sz w:val="18"/>
              </w:rPr>
              <w:t>100%</w:t>
            </w:r>
          </w:p>
          <w:p w14:paraId="45D02D41" w14:textId="77777777" w:rsidR="00141B97" w:rsidRDefault="00911D63">
            <w:pPr>
              <w:pStyle w:val="TableParagraph"/>
              <w:numPr>
                <w:ilvl w:val="0"/>
                <w:numId w:val="52"/>
              </w:numPr>
              <w:tabs>
                <w:tab w:val="left" w:pos="375"/>
                <w:tab w:val="left" w:pos="376"/>
              </w:tabs>
              <w:ind w:hanging="359"/>
              <w:rPr>
                <w:sz w:val="18"/>
              </w:rPr>
            </w:pPr>
            <w:r>
              <w:rPr>
                <w:sz w:val="18"/>
              </w:rPr>
              <w:t>Percentage</w:t>
            </w:r>
            <w:r>
              <w:rPr>
                <w:spacing w:val="-2"/>
                <w:sz w:val="18"/>
              </w:rPr>
              <w:t xml:space="preserve"> </w:t>
            </w:r>
            <w:r>
              <w:rPr>
                <w:sz w:val="18"/>
              </w:rPr>
              <w:t>of</w:t>
            </w:r>
            <w:r>
              <w:rPr>
                <w:spacing w:val="-1"/>
                <w:sz w:val="18"/>
              </w:rPr>
              <w:t xml:space="preserve"> </w:t>
            </w:r>
            <w:r>
              <w:rPr>
                <w:sz w:val="18"/>
              </w:rPr>
              <w:t>electrical</w:t>
            </w:r>
            <w:r>
              <w:rPr>
                <w:spacing w:val="-2"/>
                <w:sz w:val="18"/>
              </w:rPr>
              <w:t xml:space="preserve"> </w:t>
            </w:r>
            <w:r>
              <w:rPr>
                <w:sz w:val="18"/>
              </w:rPr>
              <w:t>energy</w:t>
            </w:r>
            <w:r>
              <w:rPr>
                <w:spacing w:val="-1"/>
                <w:sz w:val="18"/>
              </w:rPr>
              <w:t xml:space="preserve"> </w:t>
            </w:r>
            <w:r>
              <w:rPr>
                <w:sz w:val="18"/>
              </w:rPr>
              <w:t>from</w:t>
            </w:r>
            <w:r>
              <w:rPr>
                <w:spacing w:val="-2"/>
                <w:sz w:val="18"/>
              </w:rPr>
              <w:t xml:space="preserve"> </w:t>
            </w:r>
            <w:r>
              <w:rPr>
                <w:sz w:val="18"/>
              </w:rPr>
              <w:t>renewable</w:t>
            </w:r>
            <w:r>
              <w:rPr>
                <w:spacing w:val="-1"/>
                <w:sz w:val="18"/>
              </w:rPr>
              <w:t xml:space="preserve"> </w:t>
            </w:r>
            <w:r>
              <w:rPr>
                <w:sz w:val="18"/>
              </w:rPr>
              <w:t>sources</w:t>
            </w:r>
            <w:r>
              <w:rPr>
                <w:spacing w:val="-2"/>
                <w:sz w:val="18"/>
              </w:rPr>
              <w:t xml:space="preserve"> </w:t>
            </w:r>
            <w:r>
              <w:rPr>
                <w:sz w:val="18"/>
              </w:rPr>
              <w:t>by</w:t>
            </w:r>
            <w:r>
              <w:rPr>
                <w:spacing w:val="-2"/>
                <w:sz w:val="18"/>
              </w:rPr>
              <w:t xml:space="preserve"> </w:t>
            </w:r>
            <w:r>
              <w:rPr>
                <w:sz w:val="18"/>
              </w:rPr>
              <w:t>2025</w:t>
            </w:r>
            <w:r>
              <w:rPr>
                <w:spacing w:val="-1"/>
                <w:sz w:val="18"/>
              </w:rPr>
              <w:t xml:space="preserve"> </w:t>
            </w:r>
            <w:r>
              <w:rPr>
                <w:sz w:val="18"/>
              </w:rPr>
              <w:t>–</w:t>
            </w:r>
            <w:r>
              <w:rPr>
                <w:spacing w:val="-1"/>
                <w:sz w:val="18"/>
              </w:rPr>
              <w:t xml:space="preserve"> </w:t>
            </w:r>
            <w:r>
              <w:rPr>
                <w:sz w:val="18"/>
              </w:rPr>
              <w:t>Target</w:t>
            </w:r>
            <w:r>
              <w:rPr>
                <w:spacing w:val="-2"/>
                <w:sz w:val="18"/>
              </w:rPr>
              <w:t xml:space="preserve"> </w:t>
            </w:r>
            <w:r>
              <w:rPr>
                <w:sz w:val="18"/>
              </w:rPr>
              <w:t>=</w:t>
            </w:r>
            <w:r>
              <w:rPr>
                <w:spacing w:val="-1"/>
                <w:sz w:val="18"/>
              </w:rPr>
              <w:t xml:space="preserve"> </w:t>
            </w:r>
            <w:r>
              <w:rPr>
                <w:sz w:val="18"/>
              </w:rPr>
              <w:t>100%</w:t>
            </w:r>
            <w:r>
              <w:rPr>
                <w:spacing w:val="-2"/>
                <w:sz w:val="18"/>
              </w:rPr>
              <w:t xml:space="preserve"> </w:t>
            </w:r>
            <w:r>
              <w:rPr>
                <w:sz w:val="18"/>
              </w:rPr>
              <w:t>from</w:t>
            </w:r>
            <w:r>
              <w:rPr>
                <w:spacing w:val="-1"/>
                <w:sz w:val="18"/>
              </w:rPr>
              <w:t xml:space="preserve"> </w:t>
            </w:r>
            <w:r>
              <w:rPr>
                <w:spacing w:val="-2"/>
                <w:sz w:val="18"/>
              </w:rPr>
              <w:t>2024/25</w:t>
            </w:r>
          </w:p>
          <w:p w14:paraId="5E64FC37" w14:textId="77777777" w:rsidR="00141B97" w:rsidRDefault="00911D63">
            <w:pPr>
              <w:pStyle w:val="TableParagraph"/>
              <w:numPr>
                <w:ilvl w:val="0"/>
                <w:numId w:val="52"/>
              </w:numPr>
              <w:tabs>
                <w:tab w:val="left" w:pos="375"/>
                <w:tab w:val="left" w:pos="376"/>
              </w:tabs>
              <w:spacing w:line="208" w:lineRule="exact"/>
              <w:ind w:hanging="359"/>
              <w:rPr>
                <w:sz w:val="18"/>
              </w:rPr>
            </w:pPr>
            <w:r>
              <w:rPr>
                <w:sz w:val="18"/>
              </w:rPr>
              <w:t>Recycled</w:t>
            </w:r>
            <w:r>
              <w:rPr>
                <w:spacing w:val="-2"/>
                <w:sz w:val="18"/>
              </w:rPr>
              <w:t xml:space="preserve"> </w:t>
            </w:r>
            <w:r>
              <w:rPr>
                <w:sz w:val="18"/>
              </w:rPr>
              <w:t>Water</w:t>
            </w:r>
            <w:r>
              <w:rPr>
                <w:spacing w:val="-2"/>
                <w:sz w:val="18"/>
              </w:rPr>
              <w:t xml:space="preserve"> </w:t>
            </w:r>
            <w:r>
              <w:rPr>
                <w:sz w:val="18"/>
              </w:rPr>
              <w:t>‐</w:t>
            </w:r>
            <w:r>
              <w:rPr>
                <w:spacing w:val="-2"/>
                <w:sz w:val="18"/>
              </w:rPr>
              <w:t xml:space="preserve"> </w:t>
            </w:r>
            <w:r>
              <w:rPr>
                <w:sz w:val="18"/>
              </w:rPr>
              <w:t>Percentage</w:t>
            </w:r>
            <w:r>
              <w:rPr>
                <w:spacing w:val="-2"/>
                <w:sz w:val="18"/>
              </w:rPr>
              <w:t xml:space="preserve"> </w:t>
            </w:r>
            <w:r>
              <w:rPr>
                <w:sz w:val="18"/>
              </w:rPr>
              <w:t>of</w:t>
            </w:r>
            <w:r>
              <w:rPr>
                <w:spacing w:val="-2"/>
                <w:sz w:val="18"/>
              </w:rPr>
              <w:t xml:space="preserve"> </w:t>
            </w:r>
            <w:r>
              <w:rPr>
                <w:sz w:val="18"/>
              </w:rPr>
              <w:t>wastewater</w:t>
            </w:r>
            <w:r>
              <w:rPr>
                <w:spacing w:val="-1"/>
                <w:sz w:val="18"/>
              </w:rPr>
              <w:t xml:space="preserve"> </w:t>
            </w:r>
            <w:r>
              <w:rPr>
                <w:sz w:val="18"/>
              </w:rPr>
              <w:t>received</w:t>
            </w:r>
            <w:r>
              <w:rPr>
                <w:spacing w:val="-2"/>
                <w:sz w:val="18"/>
              </w:rPr>
              <w:t xml:space="preserve"> </w:t>
            </w:r>
            <w:r>
              <w:rPr>
                <w:sz w:val="18"/>
              </w:rPr>
              <w:t>by</w:t>
            </w:r>
            <w:r>
              <w:rPr>
                <w:spacing w:val="-3"/>
                <w:sz w:val="18"/>
              </w:rPr>
              <w:t xml:space="preserve"> </w:t>
            </w:r>
            <w:r>
              <w:rPr>
                <w:sz w:val="18"/>
              </w:rPr>
              <w:t>LMW</w:t>
            </w:r>
            <w:r>
              <w:rPr>
                <w:spacing w:val="-2"/>
                <w:sz w:val="18"/>
              </w:rPr>
              <w:t xml:space="preserve"> </w:t>
            </w:r>
            <w:r>
              <w:rPr>
                <w:sz w:val="18"/>
              </w:rPr>
              <w:t>that</w:t>
            </w:r>
            <w:r>
              <w:rPr>
                <w:spacing w:val="-2"/>
                <w:sz w:val="18"/>
              </w:rPr>
              <w:t xml:space="preserve"> </w:t>
            </w:r>
            <w:r>
              <w:rPr>
                <w:sz w:val="18"/>
              </w:rPr>
              <w:t>is</w:t>
            </w:r>
            <w:r>
              <w:rPr>
                <w:spacing w:val="-2"/>
                <w:sz w:val="18"/>
              </w:rPr>
              <w:t xml:space="preserve"> </w:t>
            </w:r>
            <w:r>
              <w:rPr>
                <w:sz w:val="18"/>
              </w:rPr>
              <w:t>recycled</w:t>
            </w:r>
            <w:r>
              <w:rPr>
                <w:spacing w:val="-2"/>
                <w:sz w:val="18"/>
              </w:rPr>
              <w:t xml:space="preserve"> </w:t>
            </w:r>
            <w:r>
              <w:rPr>
                <w:sz w:val="18"/>
              </w:rPr>
              <w:t>‐</w:t>
            </w:r>
            <w:r>
              <w:rPr>
                <w:spacing w:val="-2"/>
                <w:sz w:val="18"/>
              </w:rPr>
              <w:t xml:space="preserve"> </w:t>
            </w:r>
            <w:r>
              <w:rPr>
                <w:sz w:val="18"/>
              </w:rPr>
              <w:t>Target</w:t>
            </w:r>
            <w:r>
              <w:rPr>
                <w:spacing w:val="-2"/>
                <w:sz w:val="18"/>
              </w:rPr>
              <w:t xml:space="preserve"> </w:t>
            </w:r>
            <w:r>
              <w:rPr>
                <w:sz w:val="18"/>
              </w:rPr>
              <w:t>=</w:t>
            </w:r>
            <w:r>
              <w:rPr>
                <w:spacing w:val="-1"/>
                <w:sz w:val="18"/>
              </w:rPr>
              <w:t xml:space="preserve"> </w:t>
            </w:r>
            <w:r>
              <w:rPr>
                <w:spacing w:val="-5"/>
                <w:sz w:val="18"/>
              </w:rPr>
              <w:t>60%</w:t>
            </w:r>
          </w:p>
        </w:tc>
      </w:tr>
      <w:tr w:rsidR="00141B97" w14:paraId="069F5E56" w14:textId="77777777">
        <w:trPr>
          <w:trHeight w:val="449"/>
          <w:tblCellSpacing w:w="9" w:type="dxa"/>
        </w:trPr>
        <w:tc>
          <w:tcPr>
            <w:tcW w:w="2287" w:type="dxa"/>
            <w:tcBorders>
              <w:left w:val="nil"/>
            </w:tcBorders>
            <w:shd w:val="clear" w:color="auto" w:fill="CCE2ED"/>
          </w:tcPr>
          <w:p w14:paraId="4455ECC9" w14:textId="77777777" w:rsidR="00141B97" w:rsidRDefault="00911D63">
            <w:pPr>
              <w:pStyle w:val="TableParagraph"/>
              <w:spacing w:before="2"/>
              <w:ind w:left="88"/>
              <w:rPr>
                <w:sz w:val="18"/>
              </w:rPr>
            </w:pPr>
            <w:r>
              <w:rPr>
                <w:sz w:val="18"/>
              </w:rPr>
              <w:t>Guaranteed</w:t>
            </w:r>
            <w:r>
              <w:rPr>
                <w:spacing w:val="-5"/>
                <w:sz w:val="18"/>
              </w:rPr>
              <w:t xml:space="preserve"> </w:t>
            </w:r>
            <w:r>
              <w:rPr>
                <w:sz w:val="18"/>
              </w:rPr>
              <w:t>Service</w:t>
            </w:r>
            <w:r>
              <w:rPr>
                <w:spacing w:val="-6"/>
                <w:sz w:val="18"/>
              </w:rPr>
              <w:t xml:space="preserve"> </w:t>
            </w:r>
            <w:r>
              <w:rPr>
                <w:spacing w:val="-2"/>
                <w:sz w:val="18"/>
              </w:rPr>
              <w:t>Levels</w:t>
            </w:r>
          </w:p>
        </w:tc>
        <w:tc>
          <w:tcPr>
            <w:tcW w:w="7454" w:type="dxa"/>
            <w:tcBorders>
              <w:right w:val="nil"/>
            </w:tcBorders>
            <w:shd w:val="clear" w:color="auto" w:fill="CCE2ED"/>
          </w:tcPr>
          <w:p w14:paraId="2F69BDB4" w14:textId="77777777" w:rsidR="00141B97" w:rsidRDefault="00911D63">
            <w:pPr>
              <w:pStyle w:val="TableParagraph"/>
              <w:numPr>
                <w:ilvl w:val="0"/>
                <w:numId w:val="51"/>
              </w:numPr>
              <w:tabs>
                <w:tab w:val="left" w:pos="375"/>
                <w:tab w:val="left" w:pos="376"/>
              </w:tabs>
              <w:spacing w:line="220" w:lineRule="atLeast"/>
              <w:ind w:right="479"/>
              <w:rPr>
                <w:sz w:val="18"/>
              </w:rPr>
            </w:pPr>
            <w:r>
              <w:rPr>
                <w:sz w:val="18"/>
              </w:rPr>
              <w:t>Hardship</w:t>
            </w:r>
            <w:r>
              <w:rPr>
                <w:spacing w:val="-1"/>
                <w:sz w:val="18"/>
              </w:rPr>
              <w:t xml:space="preserve"> </w:t>
            </w:r>
            <w:r>
              <w:rPr>
                <w:sz w:val="18"/>
              </w:rPr>
              <w:t>‐</w:t>
            </w:r>
            <w:r>
              <w:rPr>
                <w:spacing w:val="-1"/>
                <w:sz w:val="18"/>
              </w:rPr>
              <w:t xml:space="preserve"> </w:t>
            </w:r>
            <w:r>
              <w:rPr>
                <w:sz w:val="18"/>
              </w:rPr>
              <w:t>Restricting</w:t>
            </w:r>
            <w:r>
              <w:rPr>
                <w:spacing w:val="-2"/>
                <w:sz w:val="18"/>
              </w:rPr>
              <w:t xml:space="preserve"> </w:t>
            </w:r>
            <w:r>
              <w:rPr>
                <w:sz w:val="18"/>
              </w:rPr>
              <w:t>the</w:t>
            </w:r>
            <w:r>
              <w:rPr>
                <w:spacing w:val="-2"/>
                <w:sz w:val="18"/>
              </w:rPr>
              <w:t xml:space="preserve"> </w:t>
            </w:r>
            <w:r>
              <w:rPr>
                <w:sz w:val="18"/>
              </w:rPr>
              <w:t>water</w:t>
            </w:r>
            <w:r>
              <w:rPr>
                <w:spacing w:val="-1"/>
                <w:sz w:val="18"/>
              </w:rPr>
              <w:t xml:space="preserve"> </w:t>
            </w:r>
            <w:r>
              <w:rPr>
                <w:sz w:val="18"/>
              </w:rPr>
              <w:t>supply</w:t>
            </w:r>
            <w:r>
              <w:rPr>
                <w:spacing w:val="-2"/>
                <w:sz w:val="18"/>
              </w:rPr>
              <w:t xml:space="preserve"> </w:t>
            </w:r>
            <w:r>
              <w:rPr>
                <w:sz w:val="18"/>
              </w:rPr>
              <w:t>of,</w:t>
            </w:r>
            <w:r>
              <w:rPr>
                <w:spacing w:val="-1"/>
                <w:sz w:val="18"/>
              </w:rPr>
              <w:t xml:space="preserve"> </w:t>
            </w:r>
            <w:r>
              <w:rPr>
                <w:sz w:val="18"/>
              </w:rPr>
              <w:t>or</w:t>
            </w:r>
            <w:r>
              <w:rPr>
                <w:spacing w:val="-1"/>
                <w:sz w:val="18"/>
              </w:rPr>
              <w:t xml:space="preserve"> </w:t>
            </w:r>
            <w:r>
              <w:rPr>
                <w:sz w:val="18"/>
              </w:rPr>
              <w:t>taking</w:t>
            </w:r>
            <w:r>
              <w:rPr>
                <w:spacing w:val="-1"/>
                <w:sz w:val="18"/>
              </w:rPr>
              <w:t xml:space="preserve"> </w:t>
            </w:r>
            <w:r>
              <w:rPr>
                <w:sz w:val="18"/>
              </w:rPr>
              <w:t>legal</w:t>
            </w:r>
            <w:r>
              <w:rPr>
                <w:spacing w:val="-2"/>
                <w:sz w:val="18"/>
              </w:rPr>
              <w:t xml:space="preserve"> </w:t>
            </w:r>
            <w:r>
              <w:rPr>
                <w:sz w:val="18"/>
              </w:rPr>
              <w:t>action</w:t>
            </w:r>
            <w:r>
              <w:rPr>
                <w:spacing w:val="-1"/>
                <w:sz w:val="18"/>
              </w:rPr>
              <w:t xml:space="preserve"> </w:t>
            </w:r>
            <w:r>
              <w:rPr>
                <w:sz w:val="18"/>
              </w:rPr>
              <w:t>against</w:t>
            </w:r>
            <w:r>
              <w:rPr>
                <w:spacing w:val="-2"/>
                <w:sz w:val="18"/>
              </w:rPr>
              <w:t xml:space="preserve"> </w:t>
            </w:r>
            <w:r>
              <w:rPr>
                <w:sz w:val="18"/>
              </w:rPr>
              <w:t>a</w:t>
            </w:r>
            <w:r>
              <w:rPr>
                <w:spacing w:val="-1"/>
                <w:sz w:val="18"/>
              </w:rPr>
              <w:t xml:space="preserve"> </w:t>
            </w:r>
            <w:r>
              <w:rPr>
                <w:sz w:val="18"/>
              </w:rPr>
              <w:t>customer</w:t>
            </w:r>
            <w:r>
              <w:rPr>
                <w:spacing w:val="-2"/>
                <w:sz w:val="18"/>
              </w:rPr>
              <w:t xml:space="preserve"> </w:t>
            </w:r>
            <w:r>
              <w:rPr>
                <w:sz w:val="18"/>
              </w:rPr>
              <w:t>prior</w:t>
            </w:r>
            <w:r>
              <w:rPr>
                <w:spacing w:val="-1"/>
                <w:sz w:val="18"/>
              </w:rPr>
              <w:t xml:space="preserve"> </w:t>
            </w:r>
            <w:r>
              <w:rPr>
                <w:sz w:val="18"/>
              </w:rPr>
              <w:t>to taking reasonable endeavors to identify hardship status ($300)</w:t>
            </w:r>
          </w:p>
        </w:tc>
      </w:tr>
      <w:tr w:rsidR="00141B97" w14:paraId="0BB4CBA4" w14:textId="77777777">
        <w:trPr>
          <w:trHeight w:val="678"/>
          <w:tblCellSpacing w:w="9" w:type="dxa"/>
        </w:trPr>
        <w:tc>
          <w:tcPr>
            <w:tcW w:w="2287" w:type="dxa"/>
            <w:tcBorders>
              <w:left w:val="nil"/>
            </w:tcBorders>
            <w:shd w:val="clear" w:color="auto" w:fill="CCE2ED"/>
          </w:tcPr>
          <w:p w14:paraId="2AF2C8B5" w14:textId="77777777" w:rsidR="00141B97" w:rsidRDefault="00911D63">
            <w:pPr>
              <w:pStyle w:val="TableParagraph"/>
              <w:spacing w:before="1"/>
              <w:ind w:left="88"/>
              <w:rPr>
                <w:sz w:val="18"/>
              </w:rPr>
            </w:pPr>
            <w:r>
              <w:rPr>
                <w:sz w:val="18"/>
              </w:rPr>
              <w:t>ESC</w:t>
            </w:r>
            <w:r>
              <w:rPr>
                <w:spacing w:val="-3"/>
                <w:sz w:val="18"/>
              </w:rPr>
              <w:t xml:space="preserve"> </w:t>
            </w:r>
            <w:r>
              <w:rPr>
                <w:spacing w:val="-2"/>
                <w:sz w:val="18"/>
              </w:rPr>
              <w:t>Measures</w:t>
            </w:r>
          </w:p>
        </w:tc>
        <w:tc>
          <w:tcPr>
            <w:tcW w:w="7454" w:type="dxa"/>
            <w:tcBorders>
              <w:right w:val="nil"/>
            </w:tcBorders>
            <w:shd w:val="clear" w:color="auto" w:fill="CCE2ED"/>
          </w:tcPr>
          <w:p w14:paraId="3F0A9BD3" w14:textId="77777777" w:rsidR="00141B97" w:rsidRDefault="00911D63">
            <w:pPr>
              <w:pStyle w:val="TableParagraph"/>
              <w:numPr>
                <w:ilvl w:val="0"/>
                <w:numId w:val="50"/>
              </w:numPr>
              <w:tabs>
                <w:tab w:val="left" w:pos="375"/>
                <w:tab w:val="left" w:pos="376"/>
              </w:tabs>
              <w:ind w:right="118"/>
              <w:rPr>
                <w:sz w:val="18"/>
              </w:rPr>
            </w:pPr>
            <w:r>
              <w:rPr>
                <w:sz w:val="18"/>
              </w:rPr>
              <w:t>How</w:t>
            </w:r>
            <w:r>
              <w:rPr>
                <w:spacing w:val="-1"/>
                <w:sz w:val="18"/>
              </w:rPr>
              <w:t xml:space="preserve"> </w:t>
            </w:r>
            <w:r>
              <w:rPr>
                <w:sz w:val="18"/>
              </w:rPr>
              <w:t>customers</w:t>
            </w:r>
            <w:r>
              <w:rPr>
                <w:spacing w:val="-2"/>
                <w:sz w:val="18"/>
              </w:rPr>
              <w:t xml:space="preserve"> </w:t>
            </w:r>
            <w:r>
              <w:rPr>
                <w:sz w:val="18"/>
              </w:rPr>
              <w:t>rated</w:t>
            </w:r>
            <w:r>
              <w:rPr>
                <w:spacing w:val="-2"/>
                <w:sz w:val="18"/>
              </w:rPr>
              <w:t xml:space="preserve"> </w:t>
            </w:r>
            <w:r>
              <w:rPr>
                <w:sz w:val="18"/>
              </w:rPr>
              <w:t>their</w:t>
            </w:r>
            <w:r>
              <w:rPr>
                <w:spacing w:val="-1"/>
                <w:sz w:val="18"/>
              </w:rPr>
              <w:t xml:space="preserve"> </w:t>
            </w:r>
            <w:r>
              <w:rPr>
                <w:sz w:val="18"/>
              </w:rPr>
              <w:t>water</w:t>
            </w:r>
            <w:r>
              <w:rPr>
                <w:spacing w:val="-1"/>
                <w:sz w:val="18"/>
              </w:rPr>
              <w:t xml:space="preserve"> </w:t>
            </w:r>
            <w:r>
              <w:rPr>
                <w:sz w:val="18"/>
              </w:rPr>
              <w:t>business</w:t>
            </w:r>
            <w:r>
              <w:rPr>
                <w:spacing w:val="-2"/>
                <w:sz w:val="18"/>
              </w:rPr>
              <w:t xml:space="preserve"> </w:t>
            </w:r>
            <w:r>
              <w:rPr>
                <w:sz w:val="18"/>
              </w:rPr>
              <w:t>on</w:t>
            </w:r>
            <w:r>
              <w:rPr>
                <w:spacing w:val="-1"/>
                <w:sz w:val="18"/>
              </w:rPr>
              <w:t xml:space="preserve"> </w:t>
            </w:r>
            <w:r>
              <w:rPr>
                <w:sz w:val="18"/>
              </w:rPr>
              <w:t>reputation</w:t>
            </w:r>
            <w:r>
              <w:rPr>
                <w:spacing w:val="-2"/>
                <w:sz w:val="18"/>
              </w:rPr>
              <w:t xml:space="preserve"> </w:t>
            </w:r>
            <w:r>
              <w:rPr>
                <w:sz w:val="18"/>
              </w:rPr>
              <w:t>in</w:t>
            </w:r>
            <w:r>
              <w:rPr>
                <w:spacing w:val="-1"/>
                <w:sz w:val="18"/>
              </w:rPr>
              <w:t xml:space="preserve"> </w:t>
            </w:r>
            <w:r>
              <w:rPr>
                <w:sz w:val="18"/>
              </w:rPr>
              <w:t>the</w:t>
            </w:r>
            <w:r>
              <w:rPr>
                <w:spacing w:val="-2"/>
                <w:sz w:val="18"/>
              </w:rPr>
              <w:t xml:space="preserve"> </w:t>
            </w:r>
            <w:r>
              <w:rPr>
                <w:sz w:val="18"/>
              </w:rPr>
              <w:t>community</w:t>
            </w:r>
            <w:r>
              <w:rPr>
                <w:spacing w:val="-1"/>
                <w:sz w:val="18"/>
              </w:rPr>
              <w:t xml:space="preserve"> </w:t>
            </w:r>
            <w:r>
              <w:rPr>
                <w:sz w:val="18"/>
              </w:rPr>
              <w:t>(ESC</w:t>
            </w:r>
            <w:r>
              <w:rPr>
                <w:spacing w:val="-2"/>
                <w:sz w:val="18"/>
              </w:rPr>
              <w:t xml:space="preserve"> </w:t>
            </w:r>
            <w:r>
              <w:rPr>
                <w:sz w:val="18"/>
              </w:rPr>
              <w:t>Figure</w:t>
            </w:r>
            <w:r>
              <w:rPr>
                <w:spacing w:val="-2"/>
                <w:sz w:val="18"/>
              </w:rPr>
              <w:t xml:space="preserve"> </w:t>
            </w:r>
            <w:r>
              <w:rPr>
                <w:sz w:val="18"/>
              </w:rPr>
              <w:t>2.3</w:t>
            </w:r>
            <w:r>
              <w:rPr>
                <w:spacing w:val="-1"/>
                <w:sz w:val="18"/>
              </w:rPr>
              <w:t xml:space="preserve"> </w:t>
            </w:r>
            <w:r>
              <w:rPr>
                <w:sz w:val="18"/>
              </w:rPr>
              <w:t>2021 ESC</w:t>
            </w:r>
            <w:r>
              <w:rPr>
                <w:spacing w:val="-2"/>
                <w:sz w:val="18"/>
              </w:rPr>
              <w:t xml:space="preserve"> </w:t>
            </w:r>
            <w:r>
              <w:rPr>
                <w:sz w:val="18"/>
              </w:rPr>
              <w:t>report)</w:t>
            </w:r>
          </w:p>
          <w:p w14:paraId="1508BFDA" w14:textId="77777777" w:rsidR="00141B97" w:rsidRDefault="00911D63">
            <w:pPr>
              <w:pStyle w:val="TableParagraph"/>
              <w:numPr>
                <w:ilvl w:val="0"/>
                <w:numId w:val="50"/>
              </w:numPr>
              <w:tabs>
                <w:tab w:val="left" w:pos="375"/>
                <w:tab w:val="left" w:pos="376"/>
              </w:tabs>
              <w:spacing w:line="209" w:lineRule="exact"/>
              <w:ind w:hanging="359"/>
              <w:rPr>
                <w:sz w:val="18"/>
              </w:rPr>
            </w:pPr>
            <w:r>
              <w:rPr>
                <w:sz w:val="18"/>
              </w:rPr>
              <w:t>Number</w:t>
            </w:r>
            <w:r>
              <w:rPr>
                <w:spacing w:val="-3"/>
                <w:sz w:val="18"/>
              </w:rPr>
              <w:t xml:space="preserve"> </w:t>
            </w:r>
            <w:r>
              <w:rPr>
                <w:sz w:val="18"/>
              </w:rPr>
              <w:t>of</w:t>
            </w:r>
            <w:r>
              <w:rPr>
                <w:spacing w:val="-1"/>
                <w:sz w:val="18"/>
              </w:rPr>
              <w:t xml:space="preserve"> </w:t>
            </w:r>
            <w:r>
              <w:rPr>
                <w:sz w:val="18"/>
              </w:rPr>
              <w:t>sewer</w:t>
            </w:r>
            <w:r>
              <w:rPr>
                <w:spacing w:val="-1"/>
                <w:sz w:val="18"/>
              </w:rPr>
              <w:t xml:space="preserve"> </w:t>
            </w:r>
            <w:r>
              <w:rPr>
                <w:spacing w:val="-2"/>
                <w:sz w:val="18"/>
              </w:rPr>
              <w:t>spills</w:t>
            </w:r>
          </w:p>
        </w:tc>
      </w:tr>
      <w:tr w:rsidR="00141B97" w14:paraId="1F3114B6" w14:textId="77777777">
        <w:trPr>
          <w:trHeight w:val="1814"/>
          <w:tblCellSpacing w:w="9" w:type="dxa"/>
        </w:trPr>
        <w:tc>
          <w:tcPr>
            <w:tcW w:w="2287" w:type="dxa"/>
            <w:tcBorders>
              <w:left w:val="nil"/>
            </w:tcBorders>
            <w:shd w:val="clear" w:color="auto" w:fill="CCE2ED"/>
          </w:tcPr>
          <w:p w14:paraId="31F503F5" w14:textId="77777777" w:rsidR="00141B97" w:rsidRDefault="00911D63">
            <w:pPr>
              <w:pStyle w:val="TableParagraph"/>
              <w:spacing w:before="1"/>
              <w:ind w:left="88"/>
              <w:rPr>
                <w:sz w:val="18"/>
              </w:rPr>
            </w:pPr>
            <w:r>
              <w:rPr>
                <w:sz w:val="18"/>
              </w:rPr>
              <w:t>Major</w:t>
            </w:r>
            <w:r>
              <w:rPr>
                <w:spacing w:val="-4"/>
                <w:sz w:val="18"/>
              </w:rPr>
              <w:t xml:space="preserve"> </w:t>
            </w:r>
            <w:r>
              <w:rPr>
                <w:sz w:val="18"/>
              </w:rPr>
              <w:t>change</w:t>
            </w:r>
            <w:r>
              <w:rPr>
                <w:spacing w:val="-2"/>
                <w:sz w:val="18"/>
              </w:rPr>
              <w:t xml:space="preserve"> projects</w:t>
            </w:r>
          </w:p>
        </w:tc>
        <w:tc>
          <w:tcPr>
            <w:tcW w:w="7454" w:type="dxa"/>
            <w:tcBorders>
              <w:right w:val="nil"/>
            </w:tcBorders>
            <w:shd w:val="clear" w:color="auto" w:fill="CCE2ED"/>
          </w:tcPr>
          <w:p w14:paraId="1FA59C62" w14:textId="77777777" w:rsidR="00141B97" w:rsidRDefault="00911D63">
            <w:pPr>
              <w:pStyle w:val="TableParagraph"/>
              <w:numPr>
                <w:ilvl w:val="0"/>
                <w:numId w:val="49"/>
              </w:numPr>
              <w:tabs>
                <w:tab w:val="left" w:pos="375"/>
                <w:tab w:val="left" w:pos="376"/>
              </w:tabs>
              <w:ind w:hanging="359"/>
              <w:rPr>
                <w:sz w:val="18"/>
              </w:rPr>
            </w:pPr>
            <w:r>
              <w:rPr>
                <w:sz w:val="18"/>
              </w:rPr>
              <w:t>Invest</w:t>
            </w:r>
            <w:r>
              <w:rPr>
                <w:spacing w:val="-2"/>
                <w:sz w:val="18"/>
              </w:rPr>
              <w:t xml:space="preserve"> </w:t>
            </w:r>
            <w:r>
              <w:rPr>
                <w:sz w:val="18"/>
              </w:rPr>
              <w:t>in blueprint</w:t>
            </w:r>
            <w:r>
              <w:rPr>
                <w:spacing w:val="-2"/>
                <w:sz w:val="18"/>
              </w:rPr>
              <w:t xml:space="preserve"> </w:t>
            </w:r>
            <w:r>
              <w:rPr>
                <w:sz w:val="18"/>
              </w:rPr>
              <w:t>and business</w:t>
            </w:r>
            <w:r>
              <w:rPr>
                <w:spacing w:val="-3"/>
                <w:sz w:val="18"/>
              </w:rPr>
              <w:t xml:space="preserve"> </w:t>
            </w:r>
            <w:r>
              <w:rPr>
                <w:sz w:val="18"/>
              </w:rPr>
              <w:t>case for</w:t>
            </w:r>
            <w:r>
              <w:rPr>
                <w:spacing w:val="-1"/>
                <w:sz w:val="18"/>
              </w:rPr>
              <w:t xml:space="preserve"> </w:t>
            </w:r>
            <w:r>
              <w:rPr>
                <w:sz w:val="18"/>
              </w:rPr>
              <w:t>urban</w:t>
            </w:r>
            <w:r>
              <w:rPr>
                <w:spacing w:val="-1"/>
                <w:sz w:val="18"/>
              </w:rPr>
              <w:t xml:space="preserve"> </w:t>
            </w:r>
            <w:r>
              <w:rPr>
                <w:sz w:val="18"/>
              </w:rPr>
              <w:t>digital</w:t>
            </w:r>
            <w:r>
              <w:rPr>
                <w:spacing w:val="-2"/>
                <w:sz w:val="18"/>
              </w:rPr>
              <w:t xml:space="preserve"> </w:t>
            </w:r>
            <w:r>
              <w:rPr>
                <w:sz w:val="18"/>
              </w:rPr>
              <w:t>metering</w:t>
            </w:r>
            <w:r>
              <w:rPr>
                <w:spacing w:val="-1"/>
                <w:sz w:val="18"/>
              </w:rPr>
              <w:t xml:space="preserve"> </w:t>
            </w:r>
            <w:r>
              <w:rPr>
                <w:sz w:val="18"/>
              </w:rPr>
              <w:t>to</w:t>
            </w:r>
            <w:r>
              <w:rPr>
                <w:spacing w:val="-1"/>
                <w:sz w:val="18"/>
              </w:rPr>
              <w:t xml:space="preserve"> </w:t>
            </w:r>
            <w:r>
              <w:rPr>
                <w:sz w:val="18"/>
              </w:rPr>
              <w:t>promote</w:t>
            </w:r>
            <w:r>
              <w:rPr>
                <w:spacing w:val="-1"/>
                <w:sz w:val="18"/>
              </w:rPr>
              <w:t xml:space="preserve"> </w:t>
            </w:r>
            <w:r>
              <w:rPr>
                <w:sz w:val="18"/>
              </w:rPr>
              <w:t>water</w:t>
            </w:r>
            <w:r>
              <w:rPr>
                <w:spacing w:val="-1"/>
                <w:sz w:val="18"/>
              </w:rPr>
              <w:t xml:space="preserve"> </w:t>
            </w:r>
            <w:r>
              <w:rPr>
                <w:spacing w:val="-2"/>
                <w:sz w:val="18"/>
              </w:rPr>
              <w:t>efficiency</w:t>
            </w:r>
          </w:p>
          <w:p w14:paraId="2F6D0EEE" w14:textId="77777777" w:rsidR="00141B97" w:rsidRDefault="00911D63">
            <w:pPr>
              <w:pStyle w:val="TableParagraph"/>
              <w:numPr>
                <w:ilvl w:val="0"/>
                <w:numId w:val="49"/>
              </w:numPr>
              <w:tabs>
                <w:tab w:val="left" w:pos="375"/>
                <w:tab w:val="left" w:pos="376"/>
              </w:tabs>
              <w:ind w:hanging="359"/>
              <w:rPr>
                <w:sz w:val="18"/>
              </w:rPr>
            </w:pPr>
            <w:r>
              <w:rPr>
                <w:sz w:val="18"/>
              </w:rPr>
              <w:t>Embed</w:t>
            </w:r>
            <w:r>
              <w:rPr>
                <w:spacing w:val="-4"/>
                <w:sz w:val="18"/>
              </w:rPr>
              <w:t xml:space="preserve"> </w:t>
            </w:r>
            <w:r>
              <w:rPr>
                <w:sz w:val="18"/>
              </w:rPr>
              <w:t>Compliance</w:t>
            </w:r>
            <w:r>
              <w:rPr>
                <w:spacing w:val="-1"/>
                <w:sz w:val="18"/>
              </w:rPr>
              <w:t xml:space="preserve"> </w:t>
            </w:r>
            <w:r>
              <w:rPr>
                <w:sz w:val="18"/>
              </w:rPr>
              <w:t>Framework</w:t>
            </w:r>
            <w:r>
              <w:rPr>
                <w:spacing w:val="-2"/>
                <w:sz w:val="18"/>
              </w:rPr>
              <w:t xml:space="preserve"> </w:t>
            </w:r>
            <w:r>
              <w:rPr>
                <w:sz w:val="18"/>
              </w:rPr>
              <w:t>to</w:t>
            </w:r>
            <w:r>
              <w:rPr>
                <w:spacing w:val="-2"/>
                <w:sz w:val="18"/>
              </w:rPr>
              <w:t xml:space="preserve"> </w:t>
            </w:r>
            <w:r>
              <w:rPr>
                <w:sz w:val="18"/>
              </w:rPr>
              <w:t>ensure</w:t>
            </w:r>
            <w:r>
              <w:rPr>
                <w:spacing w:val="-2"/>
                <w:sz w:val="18"/>
              </w:rPr>
              <w:t xml:space="preserve"> </w:t>
            </w:r>
            <w:r>
              <w:rPr>
                <w:sz w:val="18"/>
              </w:rPr>
              <w:t>all</w:t>
            </w:r>
            <w:r>
              <w:rPr>
                <w:spacing w:val="-2"/>
                <w:sz w:val="18"/>
              </w:rPr>
              <w:t xml:space="preserve"> </w:t>
            </w:r>
            <w:r>
              <w:rPr>
                <w:sz w:val="18"/>
              </w:rPr>
              <w:t>customers</w:t>
            </w:r>
            <w:r>
              <w:rPr>
                <w:spacing w:val="-1"/>
                <w:sz w:val="18"/>
              </w:rPr>
              <w:t xml:space="preserve"> </w:t>
            </w:r>
            <w:r>
              <w:rPr>
                <w:sz w:val="18"/>
              </w:rPr>
              <w:t>are</w:t>
            </w:r>
            <w:r>
              <w:rPr>
                <w:spacing w:val="-2"/>
                <w:sz w:val="18"/>
              </w:rPr>
              <w:t xml:space="preserve"> </w:t>
            </w:r>
            <w:r>
              <w:rPr>
                <w:sz w:val="18"/>
              </w:rPr>
              <w:t>treated</w:t>
            </w:r>
            <w:r>
              <w:rPr>
                <w:spacing w:val="-1"/>
                <w:sz w:val="18"/>
              </w:rPr>
              <w:t xml:space="preserve"> </w:t>
            </w:r>
            <w:r>
              <w:rPr>
                <w:sz w:val="18"/>
              </w:rPr>
              <w:t>fairly</w:t>
            </w:r>
            <w:r>
              <w:rPr>
                <w:spacing w:val="-1"/>
                <w:sz w:val="18"/>
              </w:rPr>
              <w:t xml:space="preserve"> </w:t>
            </w:r>
            <w:r>
              <w:rPr>
                <w:sz w:val="18"/>
              </w:rPr>
              <w:t>and</w:t>
            </w:r>
            <w:r>
              <w:rPr>
                <w:spacing w:val="-3"/>
                <w:sz w:val="18"/>
              </w:rPr>
              <w:t xml:space="preserve"> </w:t>
            </w:r>
            <w:r>
              <w:rPr>
                <w:spacing w:val="-2"/>
                <w:sz w:val="18"/>
              </w:rPr>
              <w:t>appropriately</w:t>
            </w:r>
          </w:p>
          <w:p w14:paraId="05E28433" w14:textId="77777777" w:rsidR="00141B97" w:rsidRDefault="00911D63">
            <w:pPr>
              <w:pStyle w:val="TableParagraph"/>
              <w:numPr>
                <w:ilvl w:val="0"/>
                <w:numId w:val="49"/>
              </w:numPr>
              <w:tabs>
                <w:tab w:val="left" w:pos="375"/>
                <w:tab w:val="left" w:pos="376"/>
              </w:tabs>
              <w:spacing w:before="1"/>
              <w:ind w:right="318"/>
              <w:rPr>
                <w:sz w:val="18"/>
              </w:rPr>
            </w:pPr>
            <w:r>
              <w:rPr>
                <w:sz w:val="18"/>
              </w:rPr>
              <w:t>Extend</w:t>
            </w:r>
            <w:r>
              <w:rPr>
                <w:spacing w:val="-2"/>
                <w:sz w:val="18"/>
              </w:rPr>
              <w:t xml:space="preserve"> </w:t>
            </w:r>
            <w:r>
              <w:rPr>
                <w:sz w:val="18"/>
              </w:rPr>
              <w:t>community</w:t>
            </w:r>
            <w:r>
              <w:rPr>
                <w:spacing w:val="-1"/>
                <w:sz w:val="18"/>
              </w:rPr>
              <w:t xml:space="preserve"> </w:t>
            </w:r>
            <w:r>
              <w:rPr>
                <w:sz w:val="18"/>
              </w:rPr>
              <w:t>engagement</w:t>
            </w:r>
            <w:r>
              <w:rPr>
                <w:spacing w:val="-2"/>
                <w:sz w:val="18"/>
              </w:rPr>
              <w:t xml:space="preserve"> </w:t>
            </w:r>
            <w:r>
              <w:rPr>
                <w:sz w:val="18"/>
              </w:rPr>
              <w:t>to</w:t>
            </w:r>
            <w:r>
              <w:rPr>
                <w:spacing w:val="-2"/>
                <w:sz w:val="18"/>
              </w:rPr>
              <w:t xml:space="preserve"> </w:t>
            </w:r>
            <w:r>
              <w:rPr>
                <w:sz w:val="18"/>
              </w:rPr>
              <w:t>recreational</w:t>
            </w:r>
            <w:r>
              <w:rPr>
                <w:spacing w:val="-2"/>
                <w:sz w:val="18"/>
              </w:rPr>
              <w:t xml:space="preserve"> </w:t>
            </w:r>
            <w:r>
              <w:rPr>
                <w:sz w:val="18"/>
              </w:rPr>
              <w:t>water</w:t>
            </w:r>
            <w:r>
              <w:rPr>
                <w:spacing w:val="-1"/>
                <w:sz w:val="18"/>
              </w:rPr>
              <w:t xml:space="preserve"> </w:t>
            </w:r>
            <w:r>
              <w:rPr>
                <w:sz w:val="18"/>
              </w:rPr>
              <w:t>to</w:t>
            </w:r>
            <w:r>
              <w:rPr>
                <w:spacing w:val="-2"/>
                <w:sz w:val="18"/>
              </w:rPr>
              <w:t xml:space="preserve"> </w:t>
            </w:r>
            <w:r>
              <w:rPr>
                <w:sz w:val="18"/>
              </w:rPr>
              <w:t>consider</w:t>
            </w:r>
            <w:r>
              <w:rPr>
                <w:spacing w:val="-1"/>
                <w:sz w:val="18"/>
              </w:rPr>
              <w:t xml:space="preserve"> </w:t>
            </w:r>
            <w:r>
              <w:rPr>
                <w:sz w:val="18"/>
              </w:rPr>
              <w:t>shared</w:t>
            </w:r>
            <w:r>
              <w:rPr>
                <w:spacing w:val="-1"/>
                <w:sz w:val="18"/>
              </w:rPr>
              <w:t xml:space="preserve"> </w:t>
            </w:r>
            <w:r>
              <w:rPr>
                <w:sz w:val="18"/>
              </w:rPr>
              <w:t>benefits</w:t>
            </w:r>
            <w:r>
              <w:rPr>
                <w:spacing w:val="-3"/>
                <w:sz w:val="18"/>
              </w:rPr>
              <w:t xml:space="preserve"> </w:t>
            </w:r>
            <w:r>
              <w:rPr>
                <w:sz w:val="18"/>
              </w:rPr>
              <w:t>and</w:t>
            </w:r>
            <w:r>
              <w:rPr>
                <w:spacing w:val="-1"/>
                <w:sz w:val="18"/>
              </w:rPr>
              <w:t xml:space="preserve"> </w:t>
            </w:r>
            <w:r>
              <w:rPr>
                <w:sz w:val="18"/>
              </w:rPr>
              <w:t>deliver project for recreational water</w:t>
            </w:r>
          </w:p>
          <w:p w14:paraId="5DF653CB" w14:textId="77777777" w:rsidR="00141B97" w:rsidRDefault="00911D63">
            <w:pPr>
              <w:pStyle w:val="TableParagraph"/>
              <w:numPr>
                <w:ilvl w:val="0"/>
                <w:numId w:val="49"/>
              </w:numPr>
              <w:tabs>
                <w:tab w:val="left" w:pos="375"/>
                <w:tab w:val="left" w:pos="376"/>
              </w:tabs>
              <w:spacing w:line="229" w:lineRule="exact"/>
              <w:ind w:hanging="359"/>
              <w:rPr>
                <w:sz w:val="18"/>
              </w:rPr>
            </w:pPr>
            <w:r>
              <w:rPr>
                <w:sz w:val="18"/>
              </w:rPr>
              <w:t>Develop/deliver</w:t>
            </w:r>
            <w:r>
              <w:rPr>
                <w:spacing w:val="-6"/>
                <w:sz w:val="18"/>
              </w:rPr>
              <w:t xml:space="preserve"> </w:t>
            </w:r>
            <w:r>
              <w:rPr>
                <w:sz w:val="18"/>
              </w:rPr>
              <w:t>strategy</w:t>
            </w:r>
            <w:r>
              <w:rPr>
                <w:spacing w:val="-5"/>
                <w:sz w:val="18"/>
              </w:rPr>
              <w:t xml:space="preserve"> </w:t>
            </w:r>
            <w:r>
              <w:rPr>
                <w:sz w:val="18"/>
              </w:rPr>
              <w:t>for</w:t>
            </w:r>
            <w:r>
              <w:rPr>
                <w:spacing w:val="-4"/>
                <w:sz w:val="18"/>
              </w:rPr>
              <w:t xml:space="preserve"> </w:t>
            </w:r>
            <w:r>
              <w:rPr>
                <w:sz w:val="18"/>
              </w:rPr>
              <w:t>gender</w:t>
            </w:r>
            <w:r>
              <w:rPr>
                <w:spacing w:val="-4"/>
                <w:sz w:val="18"/>
              </w:rPr>
              <w:t xml:space="preserve"> </w:t>
            </w:r>
            <w:r>
              <w:rPr>
                <w:sz w:val="18"/>
              </w:rPr>
              <w:t>equity</w:t>
            </w:r>
            <w:r>
              <w:rPr>
                <w:spacing w:val="-4"/>
                <w:sz w:val="18"/>
              </w:rPr>
              <w:t xml:space="preserve"> </w:t>
            </w:r>
            <w:r>
              <w:rPr>
                <w:sz w:val="18"/>
              </w:rPr>
              <w:t>and</w:t>
            </w:r>
            <w:r>
              <w:rPr>
                <w:spacing w:val="-4"/>
                <w:sz w:val="18"/>
              </w:rPr>
              <w:t xml:space="preserve"> </w:t>
            </w:r>
            <w:r>
              <w:rPr>
                <w:sz w:val="18"/>
              </w:rPr>
              <w:t>Aboriginal</w:t>
            </w:r>
            <w:r>
              <w:rPr>
                <w:spacing w:val="-4"/>
                <w:sz w:val="18"/>
              </w:rPr>
              <w:t xml:space="preserve"> </w:t>
            </w:r>
            <w:r>
              <w:rPr>
                <w:sz w:val="18"/>
              </w:rPr>
              <w:t>and</w:t>
            </w:r>
            <w:r>
              <w:rPr>
                <w:spacing w:val="-4"/>
                <w:sz w:val="18"/>
              </w:rPr>
              <w:t xml:space="preserve"> </w:t>
            </w:r>
            <w:r>
              <w:rPr>
                <w:sz w:val="18"/>
              </w:rPr>
              <w:t>Torres</w:t>
            </w:r>
            <w:r>
              <w:rPr>
                <w:spacing w:val="-4"/>
                <w:sz w:val="18"/>
              </w:rPr>
              <w:t xml:space="preserve"> </w:t>
            </w:r>
            <w:r>
              <w:rPr>
                <w:sz w:val="18"/>
              </w:rPr>
              <w:t>Strait</w:t>
            </w:r>
            <w:r>
              <w:rPr>
                <w:spacing w:val="-5"/>
                <w:sz w:val="18"/>
              </w:rPr>
              <w:t xml:space="preserve"> </w:t>
            </w:r>
            <w:r>
              <w:rPr>
                <w:sz w:val="18"/>
              </w:rPr>
              <w:t>Islander</w:t>
            </w:r>
            <w:r>
              <w:rPr>
                <w:spacing w:val="-4"/>
                <w:sz w:val="18"/>
              </w:rPr>
              <w:t xml:space="preserve"> </w:t>
            </w:r>
            <w:r>
              <w:rPr>
                <w:spacing w:val="-2"/>
                <w:sz w:val="18"/>
              </w:rPr>
              <w:t>inclusion</w:t>
            </w:r>
          </w:p>
          <w:p w14:paraId="4DF98696" w14:textId="77777777" w:rsidR="00141B97" w:rsidRDefault="00911D63">
            <w:pPr>
              <w:pStyle w:val="TableParagraph"/>
              <w:numPr>
                <w:ilvl w:val="0"/>
                <w:numId w:val="49"/>
              </w:numPr>
              <w:tabs>
                <w:tab w:val="left" w:pos="375"/>
                <w:tab w:val="left" w:pos="376"/>
              </w:tabs>
              <w:ind w:hanging="359"/>
              <w:rPr>
                <w:sz w:val="18"/>
              </w:rPr>
            </w:pPr>
            <w:r>
              <w:rPr>
                <w:sz w:val="18"/>
              </w:rPr>
              <w:t>Prepare</w:t>
            </w:r>
            <w:r>
              <w:rPr>
                <w:spacing w:val="-5"/>
                <w:sz w:val="18"/>
              </w:rPr>
              <w:t xml:space="preserve"> </w:t>
            </w:r>
            <w:r>
              <w:rPr>
                <w:sz w:val="18"/>
              </w:rPr>
              <w:t>for</w:t>
            </w:r>
            <w:r>
              <w:rPr>
                <w:spacing w:val="-1"/>
                <w:sz w:val="18"/>
              </w:rPr>
              <w:t xml:space="preserve"> </w:t>
            </w:r>
            <w:r>
              <w:rPr>
                <w:sz w:val="18"/>
              </w:rPr>
              <w:t>drought</w:t>
            </w:r>
            <w:r>
              <w:rPr>
                <w:spacing w:val="-2"/>
                <w:sz w:val="18"/>
              </w:rPr>
              <w:t xml:space="preserve"> </w:t>
            </w:r>
            <w:r>
              <w:rPr>
                <w:sz w:val="18"/>
              </w:rPr>
              <w:t>by</w:t>
            </w:r>
            <w:r>
              <w:rPr>
                <w:spacing w:val="-2"/>
                <w:sz w:val="18"/>
              </w:rPr>
              <w:t xml:space="preserve"> </w:t>
            </w:r>
            <w:r>
              <w:rPr>
                <w:sz w:val="18"/>
              </w:rPr>
              <w:t>implementing</w:t>
            </w:r>
            <w:r>
              <w:rPr>
                <w:spacing w:val="-3"/>
                <w:sz w:val="18"/>
              </w:rPr>
              <w:t xml:space="preserve"> </w:t>
            </w:r>
            <w:r>
              <w:rPr>
                <w:sz w:val="18"/>
              </w:rPr>
              <w:t>the</w:t>
            </w:r>
            <w:r>
              <w:rPr>
                <w:spacing w:val="-2"/>
                <w:sz w:val="18"/>
              </w:rPr>
              <w:t xml:space="preserve"> </w:t>
            </w:r>
            <w:r>
              <w:rPr>
                <w:sz w:val="18"/>
              </w:rPr>
              <w:t>Urban</w:t>
            </w:r>
            <w:r>
              <w:rPr>
                <w:spacing w:val="-2"/>
                <w:sz w:val="18"/>
              </w:rPr>
              <w:t xml:space="preserve"> </w:t>
            </w:r>
            <w:r>
              <w:rPr>
                <w:sz w:val="18"/>
              </w:rPr>
              <w:t>Water</w:t>
            </w:r>
            <w:r>
              <w:rPr>
                <w:spacing w:val="-1"/>
                <w:sz w:val="18"/>
              </w:rPr>
              <w:t xml:space="preserve"> </w:t>
            </w:r>
            <w:r>
              <w:rPr>
                <w:spacing w:val="-2"/>
                <w:sz w:val="18"/>
              </w:rPr>
              <w:t>Strategy</w:t>
            </w:r>
          </w:p>
          <w:p w14:paraId="78ACFB49" w14:textId="77777777" w:rsidR="00141B97" w:rsidRDefault="00911D63">
            <w:pPr>
              <w:pStyle w:val="TableParagraph"/>
              <w:numPr>
                <w:ilvl w:val="0"/>
                <w:numId w:val="49"/>
              </w:numPr>
              <w:tabs>
                <w:tab w:val="left" w:pos="375"/>
                <w:tab w:val="left" w:pos="376"/>
              </w:tabs>
              <w:spacing w:line="220" w:lineRule="atLeast"/>
              <w:ind w:right="236"/>
              <w:rPr>
                <w:sz w:val="18"/>
              </w:rPr>
            </w:pPr>
            <w:r>
              <w:rPr>
                <w:sz w:val="18"/>
              </w:rPr>
              <w:t>Manage trade waste to protect sewerage systems, treatment works, the health and safety of the</w:t>
            </w:r>
            <w:r>
              <w:rPr>
                <w:spacing w:val="-2"/>
                <w:sz w:val="18"/>
              </w:rPr>
              <w:t xml:space="preserve"> </w:t>
            </w:r>
            <w:r>
              <w:rPr>
                <w:sz w:val="18"/>
              </w:rPr>
              <w:t>public</w:t>
            </w:r>
            <w:r>
              <w:rPr>
                <w:spacing w:val="-1"/>
                <w:sz w:val="18"/>
              </w:rPr>
              <w:t xml:space="preserve"> </w:t>
            </w:r>
            <w:r>
              <w:rPr>
                <w:sz w:val="18"/>
              </w:rPr>
              <w:t>and</w:t>
            </w:r>
            <w:r>
              <w:rPr>
                <w:spacing w:val="-1"/>
                <w:sz w:val="18"/>
              </w:rPr>
              <w:t xml:space="preserve"> </w:t>
            </w:r>
            <w:r>
              <w:rPr>
                <w:sz w:val="18"/>
              </w:rPr>
              <w:t>workers,</w:t>
            </w:r>
            <w:r>
              <w:rPr>
                <w:spacing w:val="-1"/>
                <w:sz w:val="18"/>
              </w:rPr>
              <w:t xml:space="preserve"> </w:t>
            </w:r>
            <w:r>
              <w:rPr>
                <w:sz w:val="18"/>
              </w:rPr>
              <w:t>minimise</w:t>
            </w:r>
            <w:r>
              <w:rPr>
                <w:spacing w:val="-3"/>
                <w:sz w:val="18"/>
              </w:rPr>
              <w:t xml:space="preserve"> </w:t>
            </w:r>
            <w:r>
              <w:rPr>
                <w:sz w:val="18"/>
              </w:rPr>
              <w:t>environmental</w:t>
            </w:r>
            <w:r>
              <w:rPr>
                <w:spacing w:val="-1"/>
                <w:sz w:val="18"/>
              </w:rPr>
              <w:t xml:space="preserve"> </w:t>
            </w:r>
            <w:r>
              <w:rPr>
                <w:sz w:val="18"/>
              </w:rPr>
              <w:t>impacts,</w:t>
            </w:r>
            <w:r>
              <w:rPr>
                <w:spacing w:val="-2"/>
                <w:sz w:val="18"/>
              </w:rPr>
              <w:t xml:space="preserve"> </w:t>
            </w:r>
            <w:r>
              <w:rPr>
                <w:sz w:val="18"/>
              </w:rPr>
              <w:t>and</w:t>
            </w:r>
            <w:r>
              <w:rPr>
                <w:spacing w:val="-1"/>
                <w:sz w:val="18"/>
              </w:rPr>
              <w:t xml:space="preserve"> </w:t>
            </w:r>
            <w:r>
              <w:rPr>
                <w:sz w:val="18"/>
              </w:rPr>
              <w:t>not</w:t>
            </w:r>
            <w:r>
              <w:rPr>
                <w:spacing w:val="-2"/>
                <w:sz w:val="18"/>
              </w:rPr>
              <w:t xml:space="preserve"> </w:t>
            </w:r>
            <w:r>
              <w:rPr>
                <w:sz w:val="18"/>
              </w:rPr>
              <w:t>present</w:t>
            </w:r>
            <w:r>
              <w:rPr>
                <w:spacing w:val="-2"/>
                <w:sz w:val="18"/>
              </w:rPr>
              <w:t xml:space="preserve"> </w:t>
            </w:r>
            <w:r>
              <w:rPr>
                <w:sz w:val="18"/>
              </w:rPr>
              <w:t>barriers</w:t>
            </w:r>
            <w:r>
              <w:rPr>
                <w:spacing w:val="-3"/>
                <w:sz w:val="18"/>
              </w:rPr>
              <w:t xml:space="preserve"> </w:t>
            </w:r>
            <w:r>
              <w:rPr>
                <w:sz w:val="18"/>
              </w:rPr>
              <w:t>to</w:t>
            </w:r>
            <w:r>
              <w:rPr>
                <w:spacing w:val="-2"/>
                <w:sz w:val="18"/>
              </w:rPr>
              <w:t xml:space="preserve"> </w:t>
            </w:r>
            <w:r>
              <w:rPr>
                <w:sz w:val="18"/>
              </w:rPr>
              <w:t>recycling</w:t>
            </w:r>
          </w:p>
        </w:tc>
      </w:tr>
      <w:tr w:rsidR="00141B97" w14:paraId="065E0253" w14:textId="77777777">
        <w:trPr>
          <w:trHeight w:val="2502"/>
          <w:tblCellSpacing w:w="9" w:type="dxa"/>
        </w:trPr>
        <w:tc>
          <w:tcPr>
            <w:tcW w:w="2287" w:type="dxa"/>
            <w:tcBorders>
              <w:left w:val="nil"/>
            </w:tcBorders>
            <w:shd w:val="clear" w:color="auto" w:fill="CCE2ED"/>
          </w:tcPr>
          <w:p w14:paraId="38F440E4" w14:textId="77777777" w:rsidR="00141B97" w:rsidRDefault="00911D63">
            <w:pPr>
              <w:pStyle w:val="TableParagraph"/>
              <w:ind w:left="88"/>
              <w:rPr>
                <w:sz w:val="18"/>
              </w:rPr>
            </w:pPr>
            <w:r>
              <w:rPr>
                <w:sz w:val="18"/>
              </w:rPr>
              <w:t>Key</w:t>
            </w:r>
            <w:r>
              <w:rPr>
                <w:spacing w:val="-5"/>
                <w:sz w:val="18"/>
              </w:rPr>
              <w:t xml:space="preserve"> </w:t>
            </w:r>
            <w:r>
              <w:rPr>
                <w:sz w:val="18"/>
              </w:rPr>
              <w:t>operational</w:t>
            </w:r>
            <w:r>
              <w:rPr>
                <w:spacing w:val="-5"/>
                <w:sz w:val="18"/>
              </w:rPr>
              <w:t xml:space="preserve"> </w:t>
            </w:r>
            <w:r>
              <w:rPr>
                <w:spacing w:val="-2"/>
                <w:sz w:val="18"/>
              </w:rPr>
              <w:t>activities</w:t>
            </w:r>
          </w:p>
        </w:tc>
        <w:tc>
          <w:tcPr>
            <w:tcW w:w="7454" w:type="dxa"/>
            <w:tcBorders>
              <w:right w:val="nil"/>
            </w:tcBorders>
            <w:shd w:val="clear" w:color="auto" w:fill="CCE2ED"/>
          </w:tcPr>
          <w:p w14:paraId="0D6A3C34" w14:textId="77777777" w:rsidR="00141B97" w:rsidRDefault="00911D63">
            <w:pPr>
              <w:pStyle w:val="TableParagraph"/>
              <w:numPr>
                <w:ilvl w:val="0"/>
                <w:numId w:val="48"/>
              </w:numPr>
              <w:tabs>
                <w:tab w:val="left" w:pos="375"/>
                <w:tab w:val="left" w:pos="376"/>
              </w:tabs>
              <w:spacing w:line="229" w:lineRule="exact"/>
              <w:ind w:hanging="359"/>
              <w:rPr>
                <w:sz w:val="18"/>
              </w:rPr>
            </w:pPr>
            <w:r>
              <w:rPr>
                <w:sz w:val="18"/>
              </w:rPr>
              <w:t>Support</w:t>
            </w:r>
            <w:r>
              <w:rPr>
                <w:spacing w:val="-4"/>
                <w:sz w:val="18"/>
              </w:rPr>
              <w:t xml:space="preserve"> </w:t>
            </w:r>
            <w:r>
              <w:rPr>
                <w:sz w:val="18"/>
              </w:rPr>
              <w:t>sustainable</w:t>
            </w:r>
            <w:r>
              <w:rPr>
                <w:spacing w:val="-3"/>
                <w:sz w:val="18"/>
              </w:rPr>
              <w:t xml:space="preserve"> </w:t>
            </w:r>
            <w:r>
              <w:rPr>
                <w:sz w:val="18"/>
              </w:rPr>
              <w:t>and</w:t>
            </w:r>
            <w:r>
              <w:rPr>
                <w:spacing w:val="-2"/>
                <w:sz w:val="18"/>
              </w:rPr>
              <w:t xml:space="preserve"> </w:t>
            </w:r>
            <w:r>
              <w:rPr>
                <w:sz w:val="18"/>
              </w:rPr>
              <w:t>liveable</w:t>
            </w:r>
            <w:r>
              <w:rPr>
                <w:spacing w:val="-4"/>
                <w:sz w:val="18"/>
              </w:rPr>
              <w:t xml:space="preserve"> </w:t>
            </w:r>
            <w:r>
              <w:rPr>
                <w:sz w:val="18"/>
              </w:rPr>
              <w:t>communities</w:t>
            </w:r>
            <w:r>
              <w:rPr>
                <w:spacing w:val="-2"/>
                <w:sz w:val="18"/>
              </w:rPr>
              <w:t xml:space="preserve"> </w:t>
            </w:r>
            <w:r>
              <w:rPr>
                <w:sz w:val="18"/>
              </w:rPr>
              <w:t>(SoO</w:t>
            </w:r>
            <w:r>
              <w:rPr>
                <w:spacing w:val="-2"/>
                <w:sz w:val="18"/>
              </w:rPr>
              <w:t xml:space="preserve"> 1.6.1)</w:t>
            </w:r>
          </w:p>
          <w:p w14:paraId="3F945468" w14:textId="77777777" w:rsidR="00141B97" w:rsidRDefault="00911D63">
            <w:pPr>
              <w:pStyle w:val="TableParagraph"/>
              <w:numPr>
                <w:ilvl w:val="0"/>
                <w:numId w:val="48"/>
              </w:numPr>
              <w:tabs>
                <w:tab w:val="left" w:pos="375"/>
                <w:tab w:val="left" w:pos="376"/>
              </w:tabs>
              <w:ind w:hanging="359"/>
              <w:rPr>
                <w:sz w:val="18"/>
              </w:rPr>
            </w:pPr>
            <w:r>
              <w:rPr>
                <w:sz w:val="18"/>
              </w:rPr>
              <w:t>Promote</w:t>
            </w:r>
            <w:r>
              <w:rPr>
                <w:spacing w:val="-4"/>
                <w:sz w:val="18"/>
              </w:rPr>
              <w:t xml:space="preserve"> </w:t>
            </w:r>
            <w:r>
              <w:rPr>
                <w:sz w:val="18"/>
              </w:rPr>
              <w:t>water</w:t>
            </w:r>
            <w:r>
              <w:rPr>
                <w:spacing w:val="-3"/>
                <w:sz w:val="18"/>
              </w:rPr>
              <w:t xml:space="preserve"> </w:t>
            </w:r>
            <w:r>
              <w:rPr>
                <w:sz w:val="18"/>
              </w:rPr>
              <w:t>efficiency</w:t>
            </w:r>
            <w:r>
              <w:rPr>
                <w:spacing w:val="-4"/>
                <w:sz w:val="18"/>
              </w:rPr>
              <w:t xml:space="preserve"> </w:t>
            </w:r>
            <w:r>
              <w:rPr>
                <w:sz w:val="18"/>
              </w:rPr>
              <w:t>through</w:t>
            </w:r>
            <w:r>
              <w:rPr>
                <w:spacing w:val="-4"/>
                <w:sz w:val="18"/>
              </w:rPr>
              <w:t xml:space="preserve"> </w:t>
            </w:r>
            <w:r>
              <w:rPr>
                <w:sz w:val="18"/>
              </w:rPr>
              <w:t>education</w:t>
            </w:r>
            <w:r>
              <w:rPr>
                <w:spacing w:val="-2"/>
                <w:sz w:val="18"/>
              </w:rPr>
              <w:t xml:space="preserve"> programs</w:t>
            </w:r>
          </w:p>
          <w:p w14:paraId="3876F87E" w14:textId="77777777" w:rsidR="00141B97" w:rsidRDefault="00911D63">
            <w:pPr>
              <w:pStyle w:val="TableParagraph"/>
              <w:numPr>
                <w:ilvl w:val="0"/>
                <w:numId w:val="48"/>
              </w:numPr>
              <w:tabs>
                <w:tab w:val="left" w:pos="375"/>
                <w:tab w:val="left" w:pos="376"/>
              </w:tabs>
              <w:ind w:right="114"/>
              <w:rPr>
                <w:sz w:val="18"/>
              </w:rPr>
            </w:pPr>
            <w:r>
              <w:rPr>
                <w:sz w:val="18"/>
              </w:rPr>
              <w:t>Embed</w:t>
            </w:r>
            <w:r>
              <w:rPr>
                <w:spacing w:val="-1"/>
                <w:sz w:val="18"/>
              </w:rPr>
              <w:t xml:space="preserve"> </w:t>
            </w:r>
            <w:r>
              <w:rPr>
                <w:sz w:val="18"/>
              </w:rPr>
              <w:t>Leadership</w:t>
            </w:r>
            <w:r>
              <w:rPr>
                <w:spacing w:val="-1"/>
                <w:sz w:val="18"/>
              </w:rPr>
              <w:t xml:space="preserve"> </w:t>
            </w:r>
            <w:r>
              <w:rPr>
                <w:sz w:val="18"/>
              </w:rPr>
              <w:t>and</w:t>
            </w:r>
            <w:r>
              <w:rPr>
                <w:spacing w:val="-1"/>
                <w:sz w:val="18"/>
              </w:rPr>
              <w:t xml:space="preserve"> </w:t>
            </w:r>
            <w:r>
              <w:rPr>
                <w:sz w:val="18"/>
              </w:rPr>
              <w:t>Talent</w:t>
            </w:r>
            <w:r>
              <w:rPr>
                <w:spacing w:val="-2"/>
                <w:sz w:val="18"/>
              </w:rPr>
              <w:t xml:space="preserve"> </w:t>
            </w:r>
            <w:r>
              <w:rPr>
                <w:sz w:val="18"/>
              </w:rPr>
              <w:t>Management</w:t>
            </w:r>
            <w:r>
              <w:rPr>
                <w:spacing w:val="-2"/>
                <w:sz w:val="18"/>
              </w:rPr>
              <w:t xml:space="preserve"> </w:t>
            </w:r>
            <w:r>
              <w:rPr>
                <w:sz w:val="18"/>
              </w:rPr>
              <w:t>to</w:t>
            </w:r>
            <w:r>
              <w:rPr>
                <w:spacing w:val="-2"/>
                <w:sz w:val="18"/>
              </w:rPr>
              <w:t xml:space="preserve"> </w:t>
            </w:r>
            <w:r>
              <w:rPr>
                <w:sz w:val="18"/>
              </w:rPr>
              <w:t>establish</w:t>
            </w:r>
            <w:r>
              <w:rPr>
                <w:spacing w:val="-2"/>
                <w:sz w:val="18"/>
              </w:rPr>
              <w:t xml:space="preserve"> </w:t>
            </w:r>
            <w:r>
              <w:rPr>
                <w:sz w:val="18"/>
              </w:rPr>
              <w:t>a</w:t>
            </w:r>
            <w:r>
              <w:rPr>
                <w:spacing w:val="-1"/>
                <w:sz w:val="18"/>
              </w:rPr>
              <w:t xml:space="preserve"> </w:t>
            </w:r>
            <w:r>
              <w:rPr>
                <w:sz w:val="18"/>
              </w:rPr>
              <w:t>leadership</w:t>
            </w:r>
            <w:r>
              <w:rPr>
                <w:spacing w:val="-2"/>
                <w:sz w:val="18"/>
              </w:rPr>
              <w:t xml:space="preserve"> </w:t>
            </w:r>
            <w:r>
              <w:rPr>
                <w:sz w:val="18"/>
              </w:rPr>
              <w:t>and</w:t>
            </w:r>
            <w:r>
              <w:rPr>
                <w:spacing w:val="-1"/>
                <w:sz w:val="18"/>
              </w:rPr>
              <w:t xml:space="preserve"> </w:t>
            </w:r>
            <w:r>
              <w:rPr>
                <w:sz w:val="18"/>
              </w:rPr>
              <w:t>learning</w:t>
            </w:r>
            <w:r>
              <w:rPr>
                <w:spacing w:val="-2"/>
                <w:sz w:val="18"/>
              </w:rPr>
              <w:t xml:space="preserve"> </w:t>
            </w:r>
            <w:r>
              <w:rPr>
                <w:sz w:val="18"/>
              </w:rPr>
              <w:t>culture</w:t>
            </w:r>
            <w:r>
              <w:rPr>
                <w:spacing w:val="-1"/>
                <w:sz w:val="18"/>
              </w:rPr>
              <w:t xml:space="preserve"> </w:t>
            </w:r>
            <w:r>
              <w:rPr>
                <w:sz w:val="18"/>
              </w:rPr>
              <w:t>across a diverse workforce</w:t>
            </w:r>
          </w:p>
          <w:p w14:paraId="4727C407" w14:textId="77777777" w:rsidR="00141B97" w:rsidRDefault="00911D63">
            <w:pPr>
              <w:pStyle w:val="TableParagraph"/>
              <w:numPr>
                <w:ilvl w:val="0"/>
                <w:numId w:val="48"/>
              </w:numPr>
              <w:tabs>
                <w:tab w:val="left" w:pos="375"/>
                <w:tab w:val="left" w:pos="376"/>
              </w:tabs>
              <w:spacing w:line="229" w:lineRule="exact"/>
              <w:ind w:hanging="359"/>
              <w:rPr>
                <w:sz w:val="18"/>
              </w:rPr>
            </w:pPr>
            <w:r>
              <w:rPr>
                <w:sz w:val="18"/>
              </w:rPr>
              <w:t>Maintain</w:t>
            </w:r>
            <w:r>
              <w:rPr>
                <w:spacing w:val="-1"/>
                <w:sz w:val="18"/>
              </w:rPr>
              <w:t xml:space="preserve"> </w:t>
            </w:r>
            <w:r>
              <w:rPr>
                <w:sz w:val="18"/>
              </w:rPr>
              <w:t>and</w:t>
            </w:r>
            <w:r>
              <w:rPr>
                <w:spacing w:val="-1"/>
                <w:sz w:val="18"/>
              </w:rPr>
              <w:t xml:space="preserve"> </w:t>
            </w:r>
            <w:r>
              <w:rPr>
                <w:sz w:val="18"/>
              </w:rPr>
              <w:t>enhance</w:t>
            </w:r>
            <w:r>
              <w:rPr>
                <w:spacing w:val="-2"/>
                <w:sz w:val="18"/>
              </w:rPr>
              <w:t xml:space="preserve"> </w:t>
            </w:r>
            <w:r>
              <w:rPr>
                <w:sz w:val="18"/>
              </w:rPr>
              <w:t>hardship</w:t>
            </w:r>
            <w:r>
              <w:rPr>
                <w:spacing w:val="-2"/>
                <w:sz w:val="18"/>
              </w:rPr>
              <w:t xml:space="preserve"> </w:t>
            </w:r>
            <w:r>
              <w:rPr>
                <w:sz w:val="18"/>
              </w:rPr>
              <w:t>programs</w:t>
            </w:r>
            <w:r>
              <w:rPr>
                <w:spacing w:val="-2"/>
                <w:sz w:val="18"/>
              </w:rPr>
              <w:t xml:space="preserve"> </w:t>
            </w:r>
            <w:r>
              <w:rPr>
                <w:sz w:val="18"/>
              </w:rPr>
              <w:t>for</w:t>
            </w:r>
            <w:r>
              <w:rPr>
                <w:spacing w:val="-1"/>
                <w:sz w:val="18"/>
              </w:rPr>
              <w:t xml:space="preserve"> </w:t>
            </w:r>
            <w:r>
              <w:rPr>
                <w:sz w:val="18"/>
              </w:rPr>
              <w:t xml:space="preserve">vulnerable </w:t>
            </w:r>
            <w:r>
              <w:rPr>
                <w:spacing w:val="-2"/>
                <w:sz w:val="18"/>
              </w:rPr>
              <w:t>customers</w:t>
            </w:r>
          </w:p>
          <w:p w14:paraId="5B981A9B" w14:textId="77777777" w:rsidR="00141B97" w:rsidRDefault="00911D63">
            <w:pPr>
              <w:pStyle w:val="TableParagraph"/>
              <w:numPr>
                <w:ilvl w:val="0"/>
                <w:numId w:val="48"/>
              </w:numPr>
              <w:tabs>
                <w:tab w:val="left" w:pos="375"/>
                <w:tab w:val="left" w:pos="376"/>
              </w:tabs>
              <w:ind w:hanging="359"/>
              <w:rPr>
                <w:sz w:val="18"/>
              </w:rPr>
            </w:pPr>
            <w:r>
              <w:rPr>
                <w:sz w:val="18"/>
              </w:rPr>
              <w:t>Deliver</w:t>
            </w:r>
            <w:r>
              <w:rPr>
                <w:spacing w:val="-5"/>
                <w:sz w:val="18"/>
              </w:rPr>
              <w:t xml:space="preserve"> </w:t>
            </w:r>
            <w:r>
              <w:rPr>
                <w:sz w:val="18"/>
              </w:rPr>
              <w:t>LMW’s</w:t>
            </w:r>
            <w:r>
              <w:rPr>
                <w:spacing w:val="-5"/>
                <w:sz w:val="18"/>
              </w:rPr>
              <w:t xml:space="preserve"> </w:t>
            </w:r>
            <w:r>
              <w:rPr>
                <w:sz w:val="18"/>
              </w:rPr>
              <w:t>Reconciliation</w:t>
            </w:r>
            <w:r>
              <w:rPr>
                <w:spacing w:val="-5"/>
                <w:sz w:val="18"/>
              </w:rPr>
              <w:t xml:space="preserve"> </w:t>
            </w:r>
            <w:r>
              <w:rPr>
                <w:sz w:val="18"/>
              </w:rPr>
              <w:t>Action</w:t>
            </w:r>
            <w:r>
              <w:rPr>
                <w:spacing w:val="-5"/>
                <w:sz w:val="18"/>
              </w:rPr>
              <w:t xml:space="preserve"> </w:t>
            </w:r>
            <w:r>
              <w:rPr>
                <w:sz w:val="18"/>
              </w:rPr>
              <w:t>Plan</w:t>
            </w:r>
            <w:r>
              <w:rPr>
                <w:spacing w:val="-5"/>
                <w:sz w:val="18"/>
              </w:rPr>
              <w:t xml:space="preserve"> </w:t>
            </w:r>
            <w:r>
              <w:rPr>
                <w:spacing w:val="-2"/>
                <w:sz w:val="18"/>
              </w:rPr>
              <w:t>(RAP)</w:t>
            </w:r>
          </w:p>
          <w:p w14:paraId="754192E2" w14:textId="77777777" w:rsidR="00141B97" w:rsidRDefault="00911D63">
            <w:pPr>
              <w:pStyle w:val="TableParagraph"/>
              <w:numPr>
                <w:ilvl w:val="0"/>
                <w:numId w:val="48"/>
              </w:numPr>
              <w:tabs>
                <w:tab w:val="left" w:pos="375"/>
                <w:tab w:val="left" w:pos="376"/>
              </w:tabs>
              <w:ind w:right="648"/>
              <w:rPr>
                <w:sz w:val="18"/>
              </w:rPr>
            </w:pPr>
            <w:r>
              <w:rPr>
                <w:sz w:val="18"/>
              </w:rPr>
              <w:t>Increase</w:t>
            </w:r>
            <w:r>
              <w:rPr>
                <w:spacing w:val="-2"/>
                <w:sz w:val="18"/>
              </w:rPr>
              <w:t xml:space="preserve"> </w:t>
            </w:r>
            <w:r>
              <w:rPr>
                <w:sz w:val="18"/>
              </w:rPr>
              <w:t>diversity,</w:t>
            </w:r>
            <w:r>
              <w:rPr>
                <w:spacing w:val="-2"/>
                <w:sz w:val="18"/>
              </w:rPr>
              <w:t xml:space="preserve"> </w:t>
            </w:r>
            <w:r>
              <w:rPr>
                <w:sz w:val="18"/>
              </w:rPr>
              <w:t>inclusion</w:t>
            </w:r>
            <w:r>
              <w:rPr>
                <w:spacing w:val="-2"/>
                <w:sz w:val="18"/>
              </w:rPr>
              <w:t xml:space="preserve"> </w:t>
            </w:r>
            <w:r>
              <w:rPr>
                <w:sz w:val="18"/>
              </w:rPr>
              <w:t>and</w:t>
            </w:r>
            <w:r>
              <w:rPr>
                <w:spacing w:val="-3"/>
                <w:sz w:val="18"/>
              </w:rPr>
              <w:t xml:space="preserve"> </w:t>
            </w:r>
            <w:r>
              <w:rPr>
                <w:sz w:val="18"/>
              </w:rPr>
              <w:t>equality</w:t>
            </w:r>
            <w:r>
              <w:rPr>
                <w:spacing w:val="-2"/>
                <w:sz w:val="18"/>
              </w:rPr>
              <w:t xml:space="preserve"> </w:t>
            </w:r>
            <w:r>
              <w:rPr>
                <w:sz w:val="18"/>
              </w:rPr>
              <w:t>through</w:t>
            </w:r>
            <w:r>
              <w:rPr>
                <w:spacing w:val="-2"/>
                <w:sz w:val="18"/>
              </w:rPr>
              <w:t xml:space="preserve"> </w:t>
            </w:r>
            <w:r>
              <w:rPr>
                <w:sz w:val="18"/>
              </w:rPr>
              <w:t>the</w:t>
            </w:r>
            <w:r>
              <w:rPr>
                <w:spacing w:val="-2"/>
                <w:sz w:val="18"/>
              </w:rPr>
              <w:t xml:space="preserve"> </w:t>
            </w:r>
            <w:r>
              <w:rPr>
                <w:sz w:val="18"/>
              </w:rPr>
              <w:t>effective</w:t>
            </w:r>
            <w:r>
              <w:rPr>
                <w:spacing w:val="-2"/>
                <w:sz w:val="18"/>
              </w:rPr>
              <w:t xml:space="preserve"> </w:t>
            </w:r>
            <w:r>
              <w:rPr>
                <w:sz w:val="18"/>
              </w:rPr>
              <w:t>delivery</w:t>
            </w:r>
            <w:r>
              <w:rPr>
                <w:spacing w:val="-2"/>
                <w:sz w:val="18"/>
              </w:rPr>
              <w:t xml:space="preserve"> </w:t>
            </w:r>
            <w:r>
              <w:rPr>
                <w:sz w:val="18"/>
              </w:rPr>
              <w:t>of</w:t>
            </w:r>
            <w:r>
              <w:rPr>
                <w:spacing w:val="-2"/>
                <w:sz w:val="18"/>
              </w:rPr>
              <w:t xml:space="preserve"> </w:t>
            </w:r>
            <w:r>
              <w:rPr>
                <w:sz w:val="18"/>
              </w:rPr>
              <w:t>LMW’s</w:t>
            </w:r>
            <w:r>
              <w:rPr>
                <w:spacing w:val="-3"/>
                <w:sz w:val="18"/>
              </w:rPr>
              <w:t xml:space="preserve"> </w:t>
            </w:r>
            <w:r>
              <w:rPr>
                <w:sz w:val="18"/>
              </w:rPr>
              <w:t>Gender Equality Action Plan (GEAP)</w:t>
            </w:r>
          </w:p>
          <w:p w14:paraId="6FACDB7D" w14:textId="77777777" w:rsidR="00141B97" w:rsidRDefault="00911D63">
            <w:pPr>
              <w:pStyle w:val="TableParagraph"/>
              <w:numPr>
                <w:ilvl w:val="0"/>
                <w:numId w:val="48"/>
              </w:numPr>
              <w:tabs>
                <w:tab w:val="left" w:pos="375"/>
                <w:tab w:val="left" w:pos="376"/>
              </w:tabs>
              <w:spacing w:line="229" w:lineRule="exact"/>
              <w:ind w:hanging="359"/>
              <w:rPr>
                <w:sz w:val="18"/>
              </w:rPr>
            </w:pPr>
            <w:r>
              <w:rPr>
                <w:sz w:val="18"/>
              </w:rPr>
              <w:t>Improve</w:t>
            </w:r>
            <w:r>
              <w:rPr>
                <w:spacing w:val="-5"/>
                <w:sz w:val="18"/>
              </w:rPr>
              <w:t xml:space="preserve"> </w:t>
            </w:r>
            <w:r>
              <w:rPr>
                <w:sz w:val="18"/>
              </w:rPr>
              <w:t>mechanisms</w:t>
            </w:r>
            <w:r>
              <w:rPr>
                <w:spacing w:val="-3"/>
                <w:sz w:val="18"/>
              </w:rPr>
              <w:t xml:space="preserve"> </w:t>
            </w:r>
            <w:r>
              <w:rPr>
                <w:sz w:val="18"/>
              </w:rPr>
              <w:t>to</w:t>
            </w:r>
            <w:r>
              <w:rPr>
                <w:spacing w:val="-2"/>
                <w:sz w:val="18"/>
              </w:rPr>
              <w:t xml:space="preserve"> </w:t>
            </w:r>
            <w:r>
              <w:rPr>
                <w:sz w:val="18"/>
              </w:rPr>
              <w:t>collect</w:t>
            </w:r>
            <w:r>
              <w:rPr>
                <w:spacing w:val="-3"/>
                <w:sz w:val="18"/>
              </w:rPr>
              <w:t xml:space="preserve"> </w:t>
            </w:r>
            <w:r>
              <w:rPr>
                <w:sz w:val="18"/>
              </w:rPr>
              <w:t>feedback</w:t>
            </w:r>
            <w:r>
              <w:rPr>
                <w:spacing w:val="-3"/>
                <w:sz w:val="18"/>
              </w:rPr>
              <w:t xml:space="preserve"> </w:t>
            </w:r>
            <w:r>
              <w:rPr>
                <w:sz w:val="18"/>
              </w:rPr>
              <w:t>to</w:t>
            </w:r>
            <w:r>
              <w:rPr>
                <w:spacing w:val="-3"/>
                <w:sz w:val="18"/>
              </w:rPr>
              <w:t xml:space="preserve"> </w:t>
            </w:r>
            <w:r>
              <w:rPr>
                <w:sz w:val="18"/>
              </w:rPr>
              <w:t>ensure</w:t>
            </w:r>
            <w:r>
              <w:rPr>
                <w:spacing w:val="-3"/>
                <w:sz w:val="18"/>
              </w:rPr>
              <w:t xml:space="preserve"> </w:t>
            </w:r>
            <w:r>
              <w:rPr>
                <w:sz w:val="18"/>
              </w:rPr>
              <w:t>continuous</w:t>
            </w:r>
            <w:r>
              <w:rPr>
                <w:spacing w:val="-2"/>
                <w:sz w:val="18"/>
              </w:rPr>
              <w:t xml:space="preserve"> </w:t>
            </w:r>
            <w:r>
              <w:rPr>
                <w:sz w:val="18"/>
              </w:rPr>
              <w:t>improvement</w:t>
            </w:r>
            <w:r>
              <w:rPr>
                <w:spacing w:val="-3"/>
                <w:sz w:val="18"/>
              </w:rPr>
              <w:t xml:space="preserve"> </w:t>
            </w:r>
            <w:r>
              <w:rPr>
                <w:sz w:val="18"/>
              </w:rPr>
              <w:t>of</w:t>
            </w:r>
            <w:r>
              <w:rPr>
                <w:spacing w:val="-3"/>
                <w:sz w:val="18"/>
              </w:rPr>
              <w:t xml:space="preserve"> </w:t>
            </w:r>
            <w:r>
              <w:rPr>
                <w:sz w:val="18"/>
              </w:rPr>
              <w:t>service</w:t>
            </w:r>
            <w:r>
              <w:rPr>
                <w:spacing w:val="-2"/>
                <w:sz w:val="18"/>
              </w:rPr>
              <w:t xml:space="preserve"> delivery</w:t>
            </w:r>
          </w:p>
          <w:p w14:paraId="556D401F" w14:textId="77777777" w:rsidR="00141B97" w:rsidRDefault="00911D63">
            <w:pPr>
              <w:pStyle w:val="TableParagraph"/>
              <w:numPr>
                <w:ilvl w:val="0"/>
                <w:numId w:val="48"/>
              </w:numPr>
              <w:tabs>
                <w:tab w:val="left" w:pos="375"/>
                <w:tab w:val="left" w:pos="376"/>
              </w:tabs>
              <w:ind w:hanging="359"/>
              <w:rPr>
                <w:sz w:val="18"/>
              </w:rPr>
            </w:pPr>
            <w:r>
              <w:rPr>
                <w:sz w:val="18"/>
              </w:rPr>
              <w:t>Identify</w:t>
            </w:r>
            <w:r>
              <w:rPr>
                <w:spacing w:val="-5"/>
                <w:sz w:val="18"/>
              </w:rPr>
              <w:t xml:space="preserve"> </w:t>
            </w:r>
            <w:r>
              <w:rPr>
                <w:sz w:val="18"/>
              </w:rPr>
              <w:t>and</w:t>
            </w:r>
            <w:r>
              <w:rPr>
                <w:spacing w:val="-1"/>
                <w:sz w:val="18"/>
              </w:rPr>
              <w:t xml:space="preserve"> </w:t>
            </w:r>
            <w:r>
              <w:rPr>
                <w:sz w:val="18"/>
              </w:rPr>
              <w:t>deliver</w:t>
            </w:r>
            <w:r>
              <w:rPr>
                <w:spacing w:val="-1"/>
                <w:sz w:val="18"/>
              </w:rPr>
              <w:t xml:space="preserve"> </w:t>
            </w:r>
            <w:r>
              <w:rPr>
                <w:sz w:val="18"/>
              </w:rPr>
              <w:t>Cultural</w:t>
            </w:r>
            <w:r>
              <w:rPr>
                <w:spacing w:val="-2"/>
                <w:sz w:val="18"/>
              </w:rPr>
              <w:t xml:space="preserve"> </w:t>
            </w:r>
            <w:r>
              <w:rPr>
                <w:sz w:val="18"/>
              </w:rPr>
              <w:t>Heritage</w:t>
            </w:r>
            <w:r>
              <w:rPr>
                <w:spacing w:val="-2"/>
                <w:sz w:val="18"/>
              </w:rPr>
              <w:t xml:space="preserve"> programs</w:t>
            </w:r>
          </w:p>
          <w:p w14:paraId="5B41CCE3" w14:textId="77777777" w:rsidR="00141B97" w:rsidRDefault="00911D63">
            <w:pPr>
              <w:pStyle w:val="TableParagraph"/>
              <w:numPr>
                <w:ilvl w:val="0"/>
                <w:numId w:val="48"/>
              </w:numPr>
              <w:tabs>
                <w:tab w:val="left" w:pos="375"/>
                <w:tab w:val="left" w:pos="376"/>
              </w:tabs>
              <w:spacing w:line="208" w:lineRule="exact"/>
              <w:ind w:hanging="359"/>
              <w:rPr>
                <w:sz w:val="18"/>
              </w:rPr>
            </w:pPr>
            <w:r>
              <w:rPr>
                <w:sz w:val="18"/>
              </w:rPr>
              <w:t>Provide</w:t>
            </w:r>
            <w:r>
              <w:rPr>
                <w:spacing w:val="-4"/>
                <w:sz w:val="18"/>
              </w:rPr>
              <w:t xml:space="preserve"> </w:t>
            </w:r>
            <w:r>
              <w:rPr>
                <w:sz w:val="18"/>
              </w:rPr>
              <w:t>sponsorship</w:t>
            </w:r>
            <w:r>
              <w:rPr>
                <w:spacing w:val="-3"/>
                <w:sz w:val="18"/>
              </w:rPr>
              <w:t xml:space="preserve"> </w:t>
            </w:r>
            <w:r>
              <w:rPr>
                <w:sz w:val="18"/>
              </w:rPr>
              <w:t>to</w:t>
            </w:r>
            <w:r>
              <w:rPr>
                <w:spacing w:val="-3"/>
                <w:sz w:val="18"/>
              </w:rPr>
              <w:t xml:space="preserve"> </w:t>
            </w:r>
            <w:r>
              <w:rPr>
                <w:sz w:val="18"/>
              </w:rPr>
              <w:t>key</w:t>
            </w:r>
            <w:r>
              <w:rPr>
                <w:spacing w:val="-3"/>
                <w:sz w:val="18"/>
              </w:rPr>
              <w:t xml:space="preserve"> </w:t>
            </w:r>
            <w:r>
              <w:rPr>
                <w:sz w:val="18"/>
              </w:rPr>
              <w:t>community</w:t>
            </w:r>
            <w:r>
              <w:rPr>
                <w:spacing w:val="-2"/>
                <w:sz w:val="18"/>
              </w:rPr>
              <w:t xml:space="preserve"> events</w:t>
            </w:r>
          </w:p>
        </w:tc>
      </w:tr>
      <w:tr w:rsidR="00141B97" w14:paraId="6D5853A1" w14:textId="77777777">
        <w:trPr>
          <w:trHeight w:val="1146"/>
          <w:tblCellSpacing w:w="9" w:type="dxa"/>
        </w:trPr>
        <w:tc>
          <w:tcPr>
            <w:tcW w:w="2287" w:type="dxa"/>
            <w:tcBorders>
              <w:left w:val="nil"/>
              <w:bottom w:val="nil"/>
            </w:tcBorders>
            <w:shd w:val="clear" w:color="auto" w:fill="CCE2ED"/>
          </w:tcPr>
          <w:p w14:paraId="5F8BE62B" w14:textId="77777777" w:rsidR="00141B97" w:rsidRDefault="00911D63">
            <w:pPr>
              <w:pStyle w:val="TableParagraph"/>
              <w:spacing w:before="1"/>
              <w:ind w:left="88"/>
              <w:rPr>
                <w:sz w:val="18"/>
              </w:rPr>
            </w:pPr>
            <w:r>
              <w:rPr>
                <w:spacing w:val="-2"/>
                <w:sz w:val="18"/>
              </w:rPr>
              <w:t>Inputs</w:t>
            </w:r>
          </w:p>
          <w:p w14:paraId="1509EC6B" w14:textId="77777777" w:rsidR="00141B97" w:rsidRDefault="00911D63">
            <w:pPr>
              <w:pStyle w:val="TableParagraph"/>
              <w:numPr>
                <w:ilvl w:val="0"/>
                <w:numId w:val="47"/>
              </w:numPr>
              <w:tabs>
                <w:tab w:val="left" w:pos="448"/>
                <w:tab w:val="left" w:pos="449"/>
              </w:tabs>
              <w:spacing w:before="33"/>
              <w:ind w:hanging="361"/>
              <w:rPr>
                <w:sz w:val="18"/>
              </w:rPr>
            </w:pPr>
            <w:r>
              <w:rPr>
                <w:sz w:val="18"/>
              </w:rPr>
              <w:t>Cost</w:t>
            </w:r>
            <w:r>
              <w:rPr>
                <w:spacing w:val="-4"/>
                <w:sz w:val="18"/>
              </w:rPr>
              <w:t xml:space="preserve"> </w:t>
            </w:r>
            <w:r>
              <w:rPr>
                <w:spacing w:val="-2"/>
                <w:sz w:val="18"/>
              </w:rPr>
              <w:t>movements</w:t>
            </w:r>
          </w:p>
          <w:p w14:paraId="38BF94D2" w14:textId="77777777" w:rsidR="00141B97" w:rsidRDefault="00911D63">
            <w:pPr>
              <w:pStyle w:val="TableParagraph"/>
              <w:numPr>
                <w:ilvl w:val="0"/>
                <w:numId w:val="47"/>
              </w:numPr>
              <w:tabs>
                <w:tab w:val="left" w:pos="448"/>
                <w:tab w:val="left" w:pos="449"/>
              </w:tabs>
              <w:spacing w:before="34"/>
              <w:ind w:hanging="361"/>
              <w:rPr>
                <w:sz w:val="18"/>
              </w:rPr>
            </w:pPr>
            <w:r>
              <w:rPr>
                <w:sz w:val="18"/>
              </w:rPr>
              <w:t xml:space="preserve">Resources </w:t>
            </w:r>
            <w:r>
              <w:rPr>
                <w:spacing w:val="-2"/>
                <w:sz w:val="18"/>
              </w:rPr>
              <w:t>required</w:t>
            </w:r>
          </w:p>
        </w:tc>
        <w:tc>
          <w:tcPr>
            <w:tcW w:w="7454" w:type="dxa"/>
            <w:tcBorders>
              <w:bottom w:val="nil"/>
              <w:right w:val="nil"/>
            </w:tcBorders>
            <w:shd w:val="clear" w:color="auto" w:fill="CCE2ED"/>
          </w:tcPr>
          <w:p w14:paraId="28BD0EDD" w14:textId="77777777" w:rsidR="00141B97" w:rsidRDefault="00911D63">
            <w:pPr>
              <w:pStyle w:val="TableParagraph"/>
              <w:numPr>
                <w:ilvl w:val="0"/>
                <w:numId w:val="46"/>
              </w:numPr>
              <w:tabs>
                <w:tab w:val="left" w:pos="375"/>
                <w:tab w:val="left" w:pos="376"/>
              </w:tabs>
              <w:ind w:hanging="359"/>
              <w:rPr>
                <w:sz w:val="18"/>
              </w:rPr>
            </w:pPr>
            <w:r>
              <w:rPr>
                <w:sz w:val="18"/>
              </w:rPr>
              <w:t>Urban</w:t>
            </w:r>
            <w:r>
              <w:rPr>
                <w:spacing w:val="-2"/>
                <w:sz w:val="18"/>
              </w:rPr>
              <w:t xml:space="preserve"> </w:t>
            </w:r>
            <w:r>
              <w:rPr>
                <w:sz w:val="18"/>
              </w:rPr>
              <w:t>digital</w:t>
            </w:r>
            <w:r>
              <w:rPr>
                <w:spacing w:val="-1"/>
                <w:sz w:val="18"/>
              </w:rPr>
              <w:t xml:space="preserve"> </w:t>
            </w:r>
            <w:r>
              <w:rPr>
                <w:sz w:val="18"/>
              </w:rPr>
              <w:t>metering</w:t>
            </w:r>
            <w:r>
              <w:rPr>
                <w:spacing w:val="-1"/>
                <w:sz w:val="18"/>
              </w:rPr>
              <w:t xml:space="preserve"> </w:t>
            </w:r>
            <w:r>
              <w:rPr>
                <w:sz w:val="18"/>
              </w:rPr>
              <w:t>business</w:t>
            </w:r>
            <w:r>
              <w:rPr>
                <w:spacing w:val="-1"/>
                <w:sz w:val="18"/>
              </w:rPr>
              <w:t xml:space="preserve"> </w:t>
            </w:r>
            <w:r>
              <w:rPr>
                <w:sz w:val="18"/>
              </w:rPr>
              <w:t>case</w:t>
            </w:r>
            <w:r>
              <w:rPr>
                <w:spacing w:val="-1"/>
                <w:sz w:val="18"/>
              </w:rPr>
              <w:t xml:space="preserve"> </w:t>
            </w:r>
            <w:r>
              <w:rPr>
                <w:sz w:val="18"/>
              </w:rPr>
              <w:t>and blueprint</w:t>
            </w:r>
            <w:r>
              <w:rPr>
                <w:spacing w:val="-1"/>
                <w:sz w:val="18"/>
              </w:rPr>
              <w:t xml:space="preserve"> </w:t>
            </w:r>
            <w:r>
              <w:rPr>
                <w:sz w:val="18"/>
              </w:rPr>
              <w:t>development</w:t>
            </w:r>
            <w:r>
              <w:rPr>
                <w:spacing w:val="-2"/>
                <w:sz w:val="18"/>
              </w:rPr>
              <w:t xml:space="preserve"> </w:t>
            </w:r>
            <w:r>
              <w:rPr>
                <w:sz w:val="18"/>
              </w:rPr>
              <w:t xml:space="preserve">‐ </w:t>
            </w:r>
            <w:r>
              <w:rPr>
                <w:spacing w:val="-2"/>
                <w:sz w:val="18"/>
              </w:rPr>
              <w:t>$0.23m</w:t>
            </w:r>
          </w:p>
          <w:p w14:paraId="77EFEE34" w14:textId="77777777" w:rsidR="00141B97" w:rsidRDefault="00911D63">
            <w:pPr>
              <w:pStyle w:val="TableParagraph"/>
              <w:numPr>
                <w:ilvl w:val="0"/>
                <w:numId w:val="46"/>
              </w:numPr>
              <w:tabs>
                <w:tab w:val="left" w:pos="375"/>
                <w:tab w:val="left" w:pos="376"/>
              </w:tabs>
              <w:spacing w:before="1"/>
              <w:ind w:hanging="359"/>
              <w:rPr>
                <w:sz w:val="18"/>
              </w:rPr>
            </w:pPr>
            <w:r>
              <w:rPr>
                <w:sz w:val="18"/>
              </w:rPr>
              <w:t>Maintain</w:t>
            </w:r>
            <w:r>
              <w:rPr>
                <w:spacing w:val="-5"/>
                <w:sz w:val="18"/>
              </w:rPr>
              <w:t xml:space="preserve"> </w:t>
            </w:r>
            <w:r>
              <w:rPr>
                <w:sz w:val="18"/>
              </w:rPr>
              <w:t>a</w:t>
            </w:r>
            <w:r>
              <w:rPr>
                <w:spacing w:val="-2"/>
                <w:sz w:val="18"/>
              </w:rPr>
              <w:t xml:space="preserve"> </w:t>
            </w:r>
            <w:r>
              <w:rPr>
                <w:sz w:val="18"/>
              </w:rPr>
              <w:t>minimum</w:t>
            </w:r>
            <w:r>
              <w:rPr>
                <w:spacing w:val="-2"/>
                <w:sz w:val="18"/>
              </w:rPr>
              <w:t xml:space="preserve"> </w:t>
            </w:r>
            <w:r>
              <w:rPr>
                <w:sz w:val="18"/>
              </w:rPr>
              <w:t>of</w:t>
            </w:r>
            <w:r>
              <w:rPr>
                <w:spacing w:val="-2"/>
                <w:sz w:val="18"/>
              </w:rPr>
              <w:t xml:space="preserve"> </w:t>
            </w:r>
            <w:r>
              <w:rPr>
                <w:sz w:val="18"/>
              </w:rPr>
              <w:t>one</w:t>
            </w:r>
            <w:r>
              <w:rPr>
                <w:spacing w:val="-3"/>
                <w:sz w:val="18"/>
              </w:rPr>
              <w:t xml:space="preserve"> </w:t>
            </w:r>
            <w:r>
              <w:rPr>
                <w:sz w:val="18"/>
              </w:rPr>
              <w:t>identified</w:t>
            </w:r>
            <w:r>
              <w:rPr>
                <w:spacing w:val="-2"/>
                <w:sz w:val="18"/>
              </w:rPr>
              <w:t xml:space="preserve"> </w:t>
            </w:r>
            <w:r>
              <w:rPr>
                <w:sz w:val="18"/>
              </w:rPr>
              <w:t>Aboriginal</w:t>
            </w:r>
            <w:r>
              <w:rPr>
                <w:spacing w:val="-2"/>
                <w:sz w:val="18"/>
              </w:rPr>
              <w:t xml:space="preserve"> position</w:t>
            </w:r>
          </w:p>
          <w:p w14:paraId="4A922A64" w14:textId="77777777" w:rsidR="00141B97" w:rsidRDefault="00911D63">
            <w:pPr>
              <w:pStyle w:val="TableParagraph"/>
              <w:numPr>
                <w:ilvl w:val="0"/>
                <w:numId w:val="46"/>
              </w:numPr>
              <w:tabs>
                <w:tab w:val="left" w:pos="375"/>
                <w:tab w:val="left" w:pos="376"/>
              </w:tabs>
              <w:ind w:hanging="359"/>
              <w:rPr>
                <w:sz w:val="18"/>
              </w:rPr>
            </w:pPr>
            <w:r>
              <w:rPr>
                <w:sz w:val="18"/>
              </w:rPr>
              <w:t>Maintain</w:t>
            </w:r>
            <w:r>
              <w:rPr>
                <w:spacing w:val="-2"/>
                <w:sz w:val="18"/>
              </w:rPr>
              <w:t xml:space="preserve"> </w:t>
            </w:r>
            <w:r>
              <w:rPr>
                <w:sz w:val="18"/>
              </w:rPr>
              <w:t>a</w:t>
            </w:r>
            <w:r>
              <w:rPr>
                <w:spacing w:val="-2"/>
                <w:sz w:val="18"/>
              </w:rPr>
              <w:t xml:space="preserve"> </w:t>
            </w:r>
            <w:r>
              <w:rPr>
                <w:sz w:val="18"/>
              </w:rPr>
              <w:t>Diversity</w:t>
            </w:r>
            <w:r>
              <w:rPr>
                <w:spacing w:val="-3"/>
                <w:sz w:val="18"/>
              </w:rPr>
              <w:t xml:space="preserve"> </w:t>
            </w:r>
            <w:r>
              <w:rPr>
                <w:sz w:val="18"/>
              </w:rPr>
              <w:t>and</w:t>
            </w:r>
            <w:r>
              <w:rPr>
                <w:spacing w:val="-1"/>
                <w:sz w:val="18"/>
              </w:rPr>
              <w:t xml:space="preserve"> </w:t>
            </w:r>
            <w:r>
              <w:rPr>
                <w:sz w:val="18"/>
              </w:rPr>
              <w:t>Inclusion</w:t>
            </w:r>
            <w:r>
              <w:rPr>
                <w:spacing w:val="-2"/>
                <w:sz w:val="18"/>
              </w:rPr>
              <w:t xml:space="preserve"> </w:t>
            </w:r>
            <w:r>
              <w:rPr>
                <w:sz w:val="18"/>
              </w:rPr>
              <w:t>Officer</w:t>
            </w:r>
            <w:r>
              <w:rPr>
                <w:spacing w:val="-2"/>
                <w:sz w:val="18"/>
              </w:rPr>
              <w:t xml:space="preserve"> </w:t>
            </w:r>
            <w:r>
              <w:rPr>
                <w:sz w:val="18"/>
              </w:rPr>
              <w:t>to</w:t>
            </w:r>
            <w:r>
              <w:rPr>
                <w:spacing w:val="-3"/>
                <w:sz w:val="18"/>
              </w:rPr>
              <w:t xml:space="preserve"> </w:t>
            </w:r>
            <w:r>
              <w:rPr>
                <w:sz w:val="18"/>
              </w:rPr>
              <w:t>support</w:t>
            </w:r>
            <w:r>
              <w:rPr>
                <w:spacing w:val="-2"/>
                <w:sz w:val="18"/>
              </w:rPr>
              <w:t xml:space="preserve"> </w:t>
            </w:r>
            <w:r>
              <w:rPr>
                <w:sz w:val="18"/>
              </w:rPr>
              <w:t>the</w:t>
            </w:r>
            <w:r>
              <w:rPr>
                <w:spacing w:val="-3"/>
                <w:sz w:val="18"/>
              </w:rPr>
              <w:t xml:space="preserve"> </w:t>
            </w:r>
            <w:r>
              <w:rPr>
                <w:sz w:val="18"/>
              </w:rPr>
              <w:t>delivery</w:t>
            </w:r>
            <w:r>
              <w:rPr>
                <w:spacing w:val="-3"/>
                <w:sz w:val="18"/>
              </w:rPr>
              <w:t xml:space="preserve"> </w:t>
            </w:r>
            <w:r>
              <w:rPr>
                <w:sz w:val="18"/>
              </w:rPr>
              <w:t>of</w:t>
            </w:r>
            <w:r>
              <w:rPr>
                <w:spacing w:val="-1"/>
                <w:sz w:val="18"/>
              </w:rPr>
              <w:t xml:space="preserve"> </w:t>
            </w:r>
            <w:r>
              <w:rPr>
                <w:sz w:val="18"/>
              </w:rPr>
              <w:t>LMW’s</w:t>
            </w:r>
            <w:r>
              <w:rPr>
                <w:spacing w:val="-2"/>
                <w:sz w:val="18"/>
              </w:rPr>
              <w:t xml:space="preserve"> </w:t>
            </w:r>
            <w:r>
              <w:rPr>
                <w:sz w:val="18"/>
              </w:rPr>
              <w:t>RAP</w:t>
            </w:r>
            <w:r>
              <w:rPr>
                <w:spacing w:val="-4"/>
                <w:sz w:val="18"/>
              </w:rPr>
              <w:t xml:space="preserve"> </w:t>
            </w:r>
            <w:r>
              <w:rPr>
                <w:sz w:val="18"/>
              </w:rPr>
              <w:t>and</w:t>
            </w:r>
            <w:r>
              <w:rPr>
                <w:spacing w:val="-1"/>
                <w:sz w:val="18"/>
              </w:rPr>
              <w:t xml:space="preserve"> </w:t>
            </w:r>
            <w:r>
              <w:rPr>
                <w:spacing w:val="-4"/>
                <w:sz w:val="18"/>
              </w:rPr>
              <w:t>GEAP</w:t>
            </w:r>
          </w:p>
          <w:p w14:paraId="64710E93" w14:textId="77777777" w:rsidR="00141B97" w:rsidRDefault="00911D63">
            <w:pPr>
              <w:pStyle w:val="TableParagraph"/>
              <w:numPr>
                <w:ilvl w:val="0"/>
                <w:numId w:val="46"/>
              </w:numPr>
              <w:tabs>
                <w:tab w:val="left" w:pos="375"/>
                <w:tab w:val="left" w:pos="376"/>
              </w:tabs>
              <w:ind w:hanging="359"/>
              <w:rPr>
                <w:sz w:val="18"/>
              </w:rPr>
            </w:pPr>
            <w:r>
              <w:rPr>
                <w:sz w:val="18"/>
              </w:rPr>
              <w:t>Diversity</w:t>
            </w:r>
            <w:r>
              <w:rPr>
                <w:spacing w:val="-5"/>
                <w:sz w:val="18"/>
              </w:rPr>
              <w:t xml:space="preserve"> </w:t>
            </w:r>
            <w:r>
              <w:rPr>
                <w:sz w:val="18"/>
              </w:rPr>
              <w:t>investment</w:t>
            </w:r>
            <w:r>
              <w:rPr>
                <w:spacing w:val="-2"/>
                <w:sz w:val="18"/>
              </w:rPr>
              <w:t xml:space="preserve"> </w:t>
            </w:r>
            <w:r>
              <w:rPr>
                <w:sz w:val="18"/>
              </w:rPr>
              <w:t>of</w:t>
            </w:r>
            <w:r>
              <w:rPr>
                <w:spacing w:val="-1"/>
                <w:sz w:val="18"/>
              </w:rPr>
              <w:t xml:space="preserve"> </w:t>
            </w:r>
            <w:r>
              <w:rPr>
                <w:sz w:val="18"/>
              </w:rPr>
              <w:t>$0.04m</w:t>
            </w:r>
            <w:r>
              <w:rPr>
                <w:spacing w:val="-2"/>
                <w:sz w:val="18"/>
              </w:rPr>
              <w:t xml:space="preserve"> </w:t>
            </w:r>
            <w:r>
              <w:rPr>
                <w:sz w:val="18"/>
              </w:rPr>
              <w:t>per</w:t>
            </w:r>
            <w:r>
              <w:rPr>
                <w:spacing w:val="-1"/>
                <w:sz w:val="18"/>
              </w:rPr>
              <w:t xml:space="preserve"> </w:t>
            </w:r>
            <w:r>
              <w:rPr>
                <w:sz w:val="18"/>
              </w:rPr>
              <w:t>annum</w:t>
            </w:r>
            <w:r>
              <w:rPr>
                <w:spacing w:val="-1"/>
                <w:sz w:val="18"/>
              </w:rPr>
              <w:t xml:space="preserve"> </w:t>
            </w:r>
            <w:r>
              <w:rPr>
                <w:sz w:val="18"/>
              </w:rPr>
              <w:t>to</w:t>
            </w:r>
            <w:r>
              <w:rPr>
                <w:spacing w:val="-2"/>
                <w:sz w:val="18"/>
              </w:rPr>
              <w:t xml:space="preserve"> </w:t>
            </w:r>
            <w:r>
              <w:rPr>
                <w:sz w:val="18"/>
              </w:rPr>
              <w:t>support</w:t>
            </w:r>
            <w:r>
              <w:rPr>
                <w:spacing w:val="-2"/>
                <w:sz w:val="18"/>
              </w:rPr>
              <w:t xml:space="preserve"> </w:t>
            </w:r>
            <w:r>
              <w:rPr>
                <w:sz w:val="18"/>
              </w:rPr>
              <w:t>delivery</w:t>
            </w:r>
            <w:r>
              <w:rPr>
                <w:spacing w:val="-2"/>
                <w:sz w:val="18"/>
              </w:rPr>
              <w:t xml:space="preserve"> </w:t>
            </w:r>
            <w:r>
              <w:rPr>
                <w:sz w:val="18"/>
              </w:rPr>
              <w:t>of</w:t>
            </w:r>
            <w:r>
              <w:rPr>
                <w:spacing w:val="-1"/>
                <w:sz w:val="18"/>
              </w:rPr>
              <w:t xml:space="preserve"> </w:t>
            </w:r>
            <w:r>
              <w:rPr>
                <w:sz w:val="18"/>
              </w:rPr>
              <w:t>RAP</w:t>
            </w:r>
            <w:r>
              <w:rPr>
                <w:spacing w:val="-2"/>
                <w:sz w:val="18"/>
              </w:rPr>
              <w:t xml:space="preserve"> </w:t>
            </w:r>
            <w:r>
              <w:rPr>
                <w:sz w:val="18"/>
              </w:rPr>
              <w:t>and</w:t>
            </w:r>
            <w:r>
              <w:rPr>
                <w:spacing w:val="-1"/>
                <w:sz w:val="18"/>
              </w:rPr>
              <w:t xml:space="preserve"> </w:t>
            </w:r>
            <w:r>
              <w:rPr>
                <w:spacing w:val="-4"/>
                <w:sz w:val="18"/>
              </w:rPr>
              <w:t>GEAP</w:t>
            </w:r>
          </w:p>
          <w:p w14:paraId="60490BD8" w14:textId="77777777" w:rsidR="00141B97" w:rsidRDefault="00911D63">
            <w:pPr>
              <w:pStyle w:val="TableParagraph"/>
              <w:numPr>
                <w:ilvl w:val="0"/>
                <w:numId w:val="46"/>
              </w:numPr>
              <w:tabs>
                <w:tab w:val="left" w:pos="375"/>
                <w:tab w:val="left" w:pos="376"/>
              </w:tabs>
              <w:spacing w:line="209" w:lineRule="exact"/>
              <w:ind w:hanging="359"/>
              <w:rPr>
                <w:sz w:val="18"/>
              </w:rPr>
            </w:pPr>
            <w:r>
              <w:rPr>
                <w:sz w:val="18"/>
              </w:rPr>
              <w:t>Victorian</w:t>
            </w:r>
            <w:r>
              <w:rPr>
                <w:spacing w:val="-3"/>
                <w:sz w:val="18"/>
              </w:rPr>
              <w:t xml:space="preserve"> </w:t>
            </w:r>
            <w:r>
              <w:rPr>
                <w:sz w:val="18"/>
              </w:rPr>
              <w:t>Protective</w:t>
            </w:r>
            <w:r>
              <w:rPr>
                <w:spacing w:val="-4"/>
                <w:sz w:val="18"/>
              </w:rPr>
              <w:t xml:space="preserve"> </w:t>
            </w:r>
            <w:r>
              <w:rPr>
                <w:sz w:val="18"/>
              </w:rPr>
              <w:t>Data</w:t>
            </w:r>
            <w:r>
              <w:rPr>
                <w:spacing w:val="-3"/>
                <w:sz w:val="18"/>
              </w:rPr>
              <w:t xml:space="preserve"> </w:t>
            </w:r>
            <w:r>
              <w:rPr>
                <w:sz w:val="18"/>
              </w:rPr>
              <w:t>Security</w:t>
            </w:r>
            <w:r>
              <w:rPr>
                <w:spacing w:val="-3"/>
                <w:sz w:val="18"/>
              </w:rPr>
              <w:t xml:space="preserve"> </w:t>
            </w:r>
            <w:r>
              <w:rPr>
                <w:sz w:val="18"/>
              </w:rPr>
              <w:t>Standards</w:t>
            </w:r>
            <w:r>
              <w:rPr>
                <w:spacing w:val="-4"/>
                <w:sz w:val="18"/>
              </w:rPr>
              <w:t xml:space="preserve"> </w:t>
            </w:r>
            <w:r>
              <w:rPr>
                <w:sz w:val="18"/>
              </w:rPr>
              <w:t>(VPDSS)</w:t>
            </w:r>
            <w:r>
              <w:rPr>
                <w:spacing w:val="-2"/>
                <w:sz w:val="18"/>
              </w:rPr>
              <w:t xml:space="preserve"> </w:t>
            </w:r>
            <w:r>
              <w:rPr>
                <w:sz w:val="18"/>
              </w:rPr>
              <w:t>‐</w:t>
            </w:r>
            <w:r>
              <w:rPr>
                <w:spacing w:val="-3"/>
                <w:sz w:val="18"/>
              </w:rPr>
              <w:t xml:space="preserve"> </w:t>
            </w:r>
            <w:r>
              <w:rPr>
                <w:sz w:val="18"/>
              </w:rPr>
              <w:t>$0.09m</w:t>
            </w:r>
            <w:r>
              <w:rPr>
                <w:spacing w:val="-3"/>
                <w:sz w:val="18"/>
              </w:rPr>
              <w:t xml:space="preserve"> </w:t>
            </w:r>
            <w:r>
              <w:rPr>
                <w:sz w:val="18"/>
              </w:rPr>
              <w:t>per</w:t>
            </w:r>
            <w:r>
              <w:rPr>
                <w:spacing w:val="-3"/>
                <w:sz w:val="18"/>
              </w:rPr>
              <w:t xml:space="preserve"> </w:t>
            </w:r>
            <w:r>
              <w:rPr>
                <w:spacing w:val="-2"/>
                <w:sz w:val="18"/>
              </w:rPr>
              <w:t>annum</w:t>
            </w:r>
          </w:p>
        </w:tc>
      </w:tr>
    </w:tbl>
    <w:p w14:paraId="708D327C" w14:textId="77777777" w:rsidR="00141B97" w:rsidRDefault="00911D63">
      <w:pPr>
        <w:spacing w:before="22"/>
        <w:ind w:left="114"/>
        <w:rPr>
          <w:sz w:val="16"/>
        </w:rPr>
      </w:pPr>
      <w:r>
        <w:rPr>
          <w:sz w:val="16"/>
        </w:rPr>
        <w:t>Table</w:t>
      </w:r>
      <w:r>
        <w:rPr>
          <w:spacing w:val="-5"/>
          <w:sz w:val="16"/>
        </w:rPr>
        <w:t xml:space="preserve"> </w:t>
      </w:r>
      <w:r>
        <w:rPr>
          <w:sz w:val="16"/>
        </w:rPr>
        <w:t>B13:</w:t>
      </w:r>
      <w:r>
        <w:rPr>
          <w:spacing w:val="-5"/>
          <w:sz w:val="16"/>
        </w:rPr>
        <w:t xml:space="preserve"> </w:t>
      </w:r>
      <w:r>
        <w:rPr>
          <w:sz w:val="16"/>
        </w:rPr>
        <w:t>Outcome</w:t>
      </w:r>
      <w:r>
        <w:rPr>
          <w:spacing w:val="-5"/>
          <w:sz w:val="16"/>
        </w:rPr>
        <w:t xml:space="preserve"> </w:t>
      </w:r>
      <w:r>
        <w:rPr>
          <w:sz w:val="16"/>
        </w:rPr>
        <w:t>5</w:t>
      </w:r>
      <w:r>
        <w:rPr>
          <w:spacing w:val="-5"/>
          <w:sz w:val="16"/>
        </w:rPr>
        <w:t xml:space="preserve"> </w:t>
      </w:r>
      <w:r>
        <w:rPr>
          <w:sz w:val="16"/>
        </w:rPr>
        <w:t>‐</w:t>
      </w:r>
      <w:r>
        <w:rPr>
          <w:spacing w:val="-6"/>
          <w:sz w:val="16"/>
        </w:rPr>
        <w:t xml:space="preserve"> </w:t>
      </w:r>
      <w:r>
        <w:rPr>
          <w:sz w:val="16"/>
        </w:rPr>
        <w:t>Service</w:t>
      </w:r>
      <w:r>
        <w:rPr>
          <w:spacing w:val="-6"/>
          <w:sz w:val="16"/>
        </w:rPr>
        <w:t xml:space="preserve"> </w:t>
      </w:r>
      <w:r>
        <w:rPr>
          <w:sz w:val="16"/>
        </w:rPr>
        <w:t>our</w:t>
      </w:r>
      <w:r>
        <w:rPr>
          <w:spacing w:val="-5"/>
          <w:sz w:val="16"/>
        </w:rPr>
        <w:t xml:space="preserve"> </w:t>
      </w:r>
      <w:r>
        <w:rPr>
          <w:sz w:val="16"/>
        </w:rPr>
        <w:t>Communities</w:t>
      </w:r>
      <w:r>
        <w:rPr>
          <w:spacing w:val="-6"/>
          <w:sz w:val="16"/>
        </w:rPr>
        <w:t xml:space="preserve"> </w:t>
      </w:r>
      <w:r>
        <w:rPr>
          <w:sz w:val="16"/>
        </w:rPr>
        <w:t>in</w:t>
      </w:r>
      <w:r>
        <w:rPr>
          <w:spacing w:val="-6"/>
          <w:sz w:val="16"/>
        </w:rPr>
        <w:t xml:space="preserve"> </w:t>
      </w:r>
      <w:r>
        <w:rPr>
          <w:sz w:val="16"/>
        </w:rPr>
        <w:t>a</w:t>
      </w:r>
      <w:r>
        <w:rPr>
          <w:spacing w:val="-6"/>
          <w:sz w:val="16"/>
        </w:rPr>
        <w:t xml:space="preserve"> </w:t>
      </w:r>
      <w:r>
        <w:rPr>
          <w:sz w:val="16"/>
        </w:rPr>
        <w:t>Socially</w:t>
      </w:r>
      <w:r>
        <w:rPr>
          <w:spacing w:val="-5"/>
          <w:sz w:val="16"/>
        </w:rPr>
        <w:t xml:space="preserve"> </w:t>
      </w:r>
      <w:r>
        <w:rPr>
          <w:sz w:val="16"/>
        </w:rPr>
        <w:t>Responsible</w:t>
      </w:r>
      <w:r>
        <w:rPr>
          <w:spacing w:val="-6"/>
          <w:sz w:val="16"/>
        </w:rPr>
        <w:t xml:space="preserve"> </w:t>
      </w:r>
      <w:r>
        <w:rPr>
          <w:sz w:val="16"/>
        </w:rPr>
        <w:t>and</w:t>
      </w:r>
      <w:r>
        <w:rPr>
          <w:spacing w:val="-6"/>
          <w:sz w:val="16"/>
        </w:rPr>
        <w:t xml:space="preserve"> </w:t>
      </w:r>
      <w:r>
        <w:rPr>
          <w:sz w:val="16"/>
        </w:rPr>
        <w:t>Environmentally</w:t>
      </w:r>
      <w:r>
        <w:rPr>
          <w:spacing w:val="-7"/>
          <w:sz w:val="16"/>
        </w:rPr>
        <w:t xml:space="preserve"> </w:t>
      </w:r>
      <w:r>
        <w:rPr>
          <w:sz w:val="16"/>
        </w:rPr>
        <w:t>Sustainable</w:t>
      </w:r>
      <w:r>
        <w:rPr>
          <w:spacing w:val="-5"/>
          <w:sz w:val="16"/>
        </w:rPr>
        <w:t xml:space="preserve"> </w:t>
      </w:r>
      <w:r>
        <w:rPr>
          <w:spacing w:val="-2"/>
          <w:sz w:val="16"/>
        </w:rPr>
        <w:t>Manner</w:t>
      </w:r>
    </w:p>
    <w:p w14:paraId="73D6A792" w14:textId="77777777" w:rsidR="00141B97" w:rsidRDefault="00141B97">
      <w:pPr>
        <w:rPr>
          <w:sz w:val="16"/>
        </w:rPr>
        <w:sectPr w:rsidR="00141B97">
          <w:pgSz w:w="11910" w:h="16840"/>
          <w:pgMar w:top="820" w:right="40" w:bottom="760" w:left="1020" w:header="0" w:footer="580" w:gutter="0"/>
          <w:cols w:space="720"/>
        </w:sectPr>
      </w:pPr>
    </w:p>
    <w:p w14:paraId="0CE774DE" w14:textId="77777777" w:rsidR="00141B97" w:rsidRDefault="00911D63">
      <w:pPr>
        <w:pStyle w:val="Heading2"/>
        <w:numPr>
          <w:ilvl w:val="1"/>
          <w:numId w:val="81"/>
        </w:numPr>
        <w:tabs>
          <w:tab w:val="left" w:pos="1112"/>
          <w:tab w:val="left" w:pos="1113"/>
        </w:tabs>
        <w:spacing w:before="31"/>
      </w:pPr>
      <w:r>
        <w:rPr>
          <w:color w:val="009BAC"/>
        </w:rPr>
        <w:lastRenderedPageBreak/>
        <w:t>Service</w:t>
      </w:r>
      <w:r>
        <w:rPr>
          <w:color w:val="009BAC"/>
          <w:spacing w:val="-10"/>
        </w:rPr>
        <w:t xml:space="preserve"> </w:t>
      </w:r>
      <w:r>
        <w:rPr>
          <w:color w:val="009BAC"/>
          <w:spacing w:val="-2"/>
        </w:rPr>
        <w:t>Standards</w:t>
      </w:r>
    </w:p>
    <w:p w14:paraId="267B209F" w14:textId="77777777" w:rsidR="00141B97" w:rsidRDefault="00911D63">
      <w:pPr>
        <w:pStyle w:val="BodyText"/>
        <w:spacing w:before="131" w:line="249" w:lineRule="auto"/>
        <w:ind w:left="113" w:right="947"/>
        <w:jc w:val="both"/>
      </w:pPr>
      <w:r>
        <w:t>During the review and development of customer outcomes for PS5, relevant service standards were also discussed and reviewed, explaining that they related to reliability and attending to faults under the provisions in the ESC urban water Customer Service Code. Further, it was explained that any proposed changes in service levels or targets must relate to equivalent service levels or targets in the current regulatory period. LMW does not propose any changes to current service standards as outlined in the urban customer charter, which was supported</w:t>
      </w:r>
      <w:r>
        <w:rPr>
          <w:spacing w:val="-13"/>
        </w:rPr>
        <w:t xml:space="preserve"> </w:t>
      </w:r>
      <w:r>
        <w:t>by</w:t>
      </w:r>
      <w:r>
        <w:rPr>
          <w:spacing w:val="-10"/>
        </w:rPr>
        <w:t xml:space="preserve"> </w:t>
      </w:r>
      <w:r>
        <w:t>customers</w:t>
      </w:r>
      <w:r>
        <w:rPr>
          <w:spacing w:val="-10"/>
        </w:rPr>
        <w:t xml:space="preserve"> </w:t>
      </w:r>
      <w:r>
        <w:t>who</w:t>
      </w:r>
      <w:r>
        <w:rPr>
          <w:spacing w:val="-12"/>
        </w:rPr>
        <w:t xml:space="preserve"> </w:t>
      </w:r>
      <w:r>
        <w:t>confirmed</w:t>
      </w:r>
      <w:r>
        <w:rPr>
          <w:spacing w:val="-9"/>
        </w:rPr>
        <w:t xml:space="preserve"> </w:t>
      </w:r>
      <w:r>
        <w:t>they</w:t>
      </w:r>
      <w:r>
        <w:rPr>
          <w:spacing w:val="-11"/>
        </w:rPr>
        <w:t xml:space="preserve"> </w:t>
      </w:r>
      <w:r>
        <w:t>are</w:t>
      </w:r>
      <w:r>
        <w:rPr>
          <w:spacing w:val="-11"/>
        </w:rPr>
        <w:t xml:space="preserve"> </w:t>
      </w:r>
      <w:r>
        <w:t>satisfied</w:t>
      </w:r>
      <w:r>
        <w:rPr>
          <w:spacing w:val="-11"/>
        </w:rPr>
        <w:t xml:space="preserve"> </w:t>
      </w:r>
      <w:r>
        <w:t>with</w:t>
      </w:r>
      <w:r>
        <w:rPr>
          <w:spacing w:val="-12"/>
        </w:rPr>
        <w:t xml:space="preserve"> </w:t>
      </w:r>
      <w:r>
        <w:t>LMW’s</w:t>
      </w:r>
      <w:r>
        <w:rPr>
          <w:spacing w:val="-11"/>
        </w:rPr>
        <w:t xml:space="preserve"> </w:t>
      </w:r>
      <w:r>
        <w:t>current</w:t>
      </w:r>
      <w:r>
        <w:rPr>
          <w:spacing w:val="-11"/>
        </w:rPr>
        <w:t xml:space="preserve"> </w:t>
      </w:r>
      <w:r>
        <w:t>services</w:t>
      </w:r>
      <w:r>
        <w:rPr>
          <w:spacing w:val="-11"/>
        </w:rPr>
        <w:t xml:space="preserve"> </w:t>
      </w:r>
      <w:r>
        <w:t>standards.</w:t>
      </w:r>
      <w:r>
        <w:rPr>
          <w:spacing w:val="-12"/>
        </w:rPr>
        <w:t xml:space="preserve"> </w:t>
      </w:r>
      <w:r>
        <w:t>Proposed</w:t>
      </w:r>
      <w:r>
        <w:rPr>
          <w:spacing w:val="-10"/>
        </w:rPr>
        <w:t xml:space="preserve"> </w:t>
      </w:r>
      <w:r>
        <w:t>and agreed Service Standards are outlined in Table B14:</w:t>
      </w:r>
    </w:p>
    <w:p w14:paraId="5C9F4189" w14:textId="77777777" w:rsidR="00141B97" w:rsidRDefault="00141B97">
      <w:pPr>
        <w:pStyle w:val="BodyText"/>
        <w:rPr>
          <w:sz w:val="20"/>
        </w:rPr>
      </w:pPr>
    </w:p>
    <w:p w14:paraId="64A21370" w14:textId="77777777" w:rsidR="00141B97" w:rsidRDefault="00141B97">
      <w:pPr>
        <w:pStyle w:val="BodyText"/>
        <w:spacing w:before="10" w:after="1"/>
        <w:rPr>
          <w:sz w:val="12"/>
        </w:rPr>
      </w:pPr>
    </w:p>
    <w:tbl>
      <w:tblPr>
        <w:tblW w:w="0" w:type="auto"/>
        <w:tblInd w:w="1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6990"/>
        <w:gridCol w:w="2771"/>
      </w:tblGrid>
      <w:tr w:rsidR="00141B97" w14:paraId="1BB42D05" w14:textId="77777777">
        <w:trPr>
          <w:trHeight w:val="439"/>
        </w:trPr>
        <w:tc>
          <w:tcPr>
            <w:tcW w:w="6990" w:type="dxa"/>
            <w:tcBorders>
              <w:top w:val="nil"/>
              <w:left w:val="nil"/>
              <w:right w:val="single" w:sz="8" w:space="0" w:color="FFFFFF"/>
            </w:tcBorders>
            <w:shd w:val="clear" w:color="auto" w:fill="0064A4"/>
          </w:tcPr>
          <w:p w14:paraId="38D09464" w14:textId="77777777" w:rsidR="00141B97" w:rsidRDefault="00911D63">
            <w:pPr>
              <w:pStyle w:val="TableParagraph"/>
              <w:spacing w:before="98"/>
              <w:ind w:left="75"/>
              <w:rPr>
                <w:sz w:val="18"/>
              </w:rPr>
            </w:pPr>
            <w:r>
              <w:rPr>
                <w:color w:val="FFFFFF"/>
                <w:sz w:val="18"/>
              </w:rPr>
              <w:t>Service</w:t>
            </w:r>
            <w:r>
              <w:rPr>
                <w:color w:val="FFFFFF"/>
                <w:spacing w:val="-2"/>
                <w:sz w:val="18"/>
              </w:rPr>
              <w:t xml:space="preserve"> </w:t>
            </w:r>
            <w:r>
              <w:rPr>
                <w:color w:val="FFFFFF"/>
                <w:sz w:val="18"/>
              </w:rPr>
              <w:t>Standards</w:t>
            </w:r>
            <w:r>
              <w:rPr>
                <w:color w:val="FFFFFF"/>
                <w:spacing w:val="-2"/>
                <w:sz w:val="18"/>
              </w:rPr>
              <w:t xml:space="preserve"> </w:t>
            </w:r>
            <w:r>
              <w:rPr>
                <w:color w:val="FFFFFF"/>
                <w:sz w:val="18"/>
              </w:rPr>
              <w:t xml:space="preserve">‐ </w:t>
            </w:r>
            <w:r>
              <w:rPr>
                <w:color w:val="FFFFFF"/>
                <w:spacing w:val="-2"/>
                <w:sz w:val="18"/>
              </w:rPr>
              <w:t>Urban</w:t>
            </w:r>
          </w:p>
        </w:tc>
        <w:tc>
          <w:tcPr>
            <w:tcW w:w="2771" w:type="dxa"/>
            <w:tcBorders>
              <w:top w:val="nil"/>
              <w:left w:val="single" w:sz="8" w:space="0" w:color="FFFFFF"/>
              <w:right w:val="nil"/>
            </w:tcBorders>
            <w:shd w:val="clear" w:color="auto" w:fill="0064A4"/>
          </w:tcPr>
          <w:p w14:paraId="34D99EF7" w14:textId="77777777" w:rsidR="00141B97" w:rsidRDefault="00911D63">
            <w:pPr>
              <w:pStyle w:val="TableParagraph"/>
              <w:spacing w:before="98"/>
              <w:ind w:left="75"/>
              <w:rPr>
                <w:sz w:val="18"/>
              </w:rPr>
            </w:pPr>
            <w:r>
              <w:rPr>
                <w:color w:val="FFFFFF"/>
                <w:spacing w:val="-2"/>
                <w:sz w:val="18"/>
              </w:rPr>
              <w:t>Target</w:t>
            </w:r>
          </w:p>
        </w:tc>
      </w:tr>
      <w:tr w:rsidR="00141B97" w14:paraId="4763E36B" w14:textId="77777777">
        <w:trPr>
          <w:trHeight w:val="372"/>
        </w:trPr>
        <w:tc>
          <w:tcPr>
            <w:tcW w:w="9761" w:type="dxa"/>
            <w:gridSpan w:val="2"/>
            <w:tcBorders>
              <w:left w:val="nil"/>
              <w:right w:val="nil"/>
            </w:tcBorders>
            <w:shd w:val="clear" w:color="auto" w:fill="BFBFBF"/>
          </w:tcPr>
          <w:p w14:paraId="6A2FD0A3" w14:textId="77777777" w:rsidR="00141B97" w:rsidRDefault="00911D63">
            <w:pPr>
              <w:pStyle w:val="TableParagraph"/>
              <w:spacing w:before="85"/>
              <w:ind w:left="85"/>
              <w:rPr>
                <w:sz w:val="18"/>
              </w:rPr>
            </w:pPr>
            <w:r>
              <w:rPr>
                <w:sz w:val="18"/>
              </w:rPr>
              <w:t>Water</w:t>
            </w:r>
            <w:r>
              <w:rPr>
                <w:spacing w:val="-4"/>
                <w:sz w:val="18"/>
              </w:rPr>
              <w:t xml:space="preserve"> </w:t>
            </w:r>
            <w:r>
              <w:rPr>
                <w:spacing w:val="-2"/>
                <w:sz w:val="18"/>
              </w:rPr>
              <w:t>Supply</w:t>
            </w:r>
          </w:p>
        </w:tc>
      </w:tr>
      <w:tr w:rsidR="00141B97" w14:paraId="2A9897DE" w14:textId="77777777">
        <w:trPr>
          <w:trHeight w:val="1061"/>
        </w:trPr>
        <w:tc>
          <w:tcPr>
            <w:tcW w:w="6990" w:type="dxa"/>
            <w:tcBorders>
              <w:left w:val="nil"/>
              <w:bottom w:val="single" w:sz="8" w:space="0" w:color="FFFFFF"/>
              <w:right w:val="single" w:sz="8" w:space="0" w:color="FFFFFF"/>
            </w:tcBorders>
            <w:shd w:val="clear" w:color="auto" w:fill="CCE2ED"/>
          </w:tcPr>
          <w:p w14:paraId="5E18506B" w14:textId="77777777" w:rsidR="00141B97" w:rsidRDefault="00911D63">
            <w:pPr>
              <w:pStyle w:val="TableParagraph"/>
              <w:spacing w:before="25" w:line="276" w:lineRule="auto"/>
              <w:ind w:left="411" w:right="3105" w:hanging="336"/>
              <w:rPr>
                <w:sz w:val="18"/>
              </w:rPr>
            </w:pPr>
            <w:r>
              <w:rPr>
                <w:sz w:val="18"/>
              </w:rPr>
              <w:t>Average</w:t>
            </w:r>
            <w:r>
              <w:rPr>
                <w:spacing w:val="-4"/>
                <w:sz w:val="18"/>
              </w:rPr>
              <w:t xml:space="preserve"> </w:t>
            </w:r>
            <w:r>
              <w:rPr>
                <w:sz w:val="18"/>
              </w:rPr>
              <w:t>time</w:t>
            </w:r>
            <w:r>
              <w:rPr>
                <w:spacing w:val="-5"/>
                <w:sz w:val="18"/>
              </w:rPr>
              <w:t xml:space="preserve"> </w:t>
            </w:r>
            <w:r>
              <w:rPr>
                <w:sz w:val="18"/>
              </w:rPr>
              <w:t>taken</w:t>
            </w:r>
            <w:r>
              <w:rPr>
                <w:spacing w:val="-4"/>
                <w:sz w:val="18"/>
              </w:rPr>
              <w:t xml:space="preserve"> </w:t>
            </w:r>
            <w:r>
              <w:rPr>
                <w:sz w:val="18"/>
              </w:rPr>
              <w:t>to</w:t>
            </w:r>
            <w:r>
              <w:rPr>
                <w:spacing w:val="-5"/>
                <w:sz w:val="18"/>
              </w:rPr>
              <w:t xml:space="preserve"> </w:t>
            </w:r>
            <w:r>
              <w:rPr>
                <w:sz w:val="18"/>
              </w:rPr>
              <w:t>attend</w:t>
            </w:r>
            <w:r>
              <w:rPr>
                <w:spacing w:val="-5"/>
                <w:sz w:val="18"/>
              </w:rPr>
              <w:t xml:space="preserve"> </w:t>
            </w:r>
            <w:r>
              <w:rPr>
                <w:sz w:val="18"/>
              </w:rPr>
              <w:t>bursts</w:t>
            </w:r>
            <w:r>
              <w:rPr>
                <w:spacing w:val="-5"/>
                <w:sz w:val="18"/>
              </w:rPr>
              <w:t xml:space="preserve"> </w:t>
            </w:r>
            <w:r>
              <w:rPr>
                <w:sz w:val="18"/>
              </w:rPr>
              <w:t>and</w:t>
            </w:r>
            <w:r>
              <w:rPr>
                <w:spacing w:val="-4"/>
                <w:sz w:val="18"/>
              </w:rPr>
              <w:t xml:space="preserve"> </w:t>
            </w:r>
            <w:r>
              <w:rPr>
                <w:sz w:val="18"/>
              </w:rPr>
              <w:t>leaks Priority</w:t>
            </w:r>
            <w:r>
              <w:rPr>
                <w:spacing w:val="-2"/>
                <w:sz w:val="18"/>
              </w:rPr>
              <w:t xml:space="preserve"> </w:t>
            </w:r>
            <w:r>
              <w:rPr>
                <w:sz w:val="18"/>
              </w:rPr>
              <w:t>1</w:t>
            </w:r>
          </w:p>
          <w:p w14:paraId="65D1FCD3" w14:textId="77777777" w:rsidR="00141B97" w:rsidRDefault="00911D63">
            <w:pPr>
              <w:pStyle w:val="TableParagraph"/>
              <w:ind w:left="411"/>
              <w:rPr>
                <w:sz w:val="18"/>
              </w:rPr>
            </w:pPr>
            <w:r>
              <w:rPr>
                <w:sz w:val="18"/>
              </w:rPr>
              <w:t>Priority</w:t>
            </w:r>
            <w:r>
              <w:rPr>
                <w:spacing w:val="-10"/>
                <w:sz w:val="18"/>
              </w:rPr>
              <w:t xml:space="preserve"> 2</w:t>
            </w:r>
          </w:p>
          <w:p w14:paraId="43DD1055" w14:textId="77777777" w:rsidR="00141B97" w:rsidRDefault="00911D63">
            <w:pPr>
              <w:pStyle w:val="TableParagraph"/>
              <w:spacing w:before="32"/>
              <w:ind w:left="411"/>
              <w:rPr>
                <w:sz w:val="18"/>
              </w:rPr>
            </w:pPr>
            <w:r>
              <w:rPr>
                <w:sz w:val="18"/>
              </w:rPr>
              <w:t>Priority</w:t>
            </w:r>
            <w:r>
              <w:rPr>
                <w:spacing w:val="-10"/>
                <w:sz w:val="18"/>
              </w:rPr>
              <w:t xml:space="preserve"> 3</w:t>
            </w:r>
          </w:p>
        </w:tc>
        <w:tc>
          <w:tcPr>
            <w:tcW w:w="2771" w:type="dxa"/>
            <w:tcBorders>
              <w:left w:val="single" w:sz="8" w:space="0" w:color="FFFFFF"/>
              <w:bottom w:val="single" w:sz="8" w:space="0" w:color="FFFFFF"/>
              <w:right w:val="nil"/>
            </w:tcBorders>
            <w:shd w:val="clear" w:color="auto" w:fill="CCE2ED"/>
          </w:tcPr>
          <w:p w14:paraId="12C85304" w14:textId="77777777" w:rsidR="00141B97" w:rsidRDefault="00141B97">
            <w:pPr>
              <w:pStyle w:val="TableParagraph"/>
              <w:rPr>
                <w:sz w:val="18"/>
              </w:rPr>
            </w:pPr>
          </w:p>
          <w:p w14:paraId="2A257488" w14:textId="77777777" w:rsidR="00141B97" w:rsidRDefault="00141B97">
            <w:pPr>
              <w:pStyle w:val="TableParagraph"/>
              <w:spacing w:before="7"/>
              <w:rPr>
                <w:sz w:val="17"/>
              </w:rPr>
            </w:pPr>
          </w:p>
          <w:p w14:paraId="79F44218" w14:textId="77777777" w:rsidR="00141B97" w:rsidRDefault="00911D63">
            <w:pPr>
              <w:pStyle w:val="TableParagraph"/>
              <w:ind w:left="75"/>
              <w:rPr>
                <w:sz w:val="18"/>
              </w:rPr>
            </w:pPr>
            <w:r>
              <w:rPr>
                <w:sz w:val="18"/>
              </w:rPr>
              <w:t xml:space="preserve">20 </w:t>
            </w:r>
            <w:r>
              <w:rPr>
                <w:spacing w:val="-2"/>
                <w:sz w:val="18"/>
              </w:rPr>
              <w:t>minutes</w:t>
            </w:r>
          </w:p>
        </w:tc>
      </w:tr>
      <w:tr w:rsidR="00141B97" w14:paraId="4E67917B" w14:textId="77777777">
        <w:trPr>
          <w:trHeight w:val="381"/>
        </w:trPr>
        <w:tc>
          <w:tcPr>
            <w:tcW w:w="6990" w:type="dxa"/>
            <w:tcBorders>
              <w:top w:val="single" w:sz="8" w:space="0" w:color="FFFFFF"/>
              <w:left w:val="nil"/>
              <w:bottom w:val="single" w:sz="8" w:space="0" w:color="FFFFFF"/>
              <w:right w:val="single" w:sz="8" w:space="0" w:color="FFFFFF"/>
            </w:tcBorders>
            <w:shd w:val="clear" w:color="auto" w:fill="CCE2ED"/>
          </w:tcPr>
          <w:p w14:paraId="3B06F0F2" w14:textId="77777777" w:rsidR="00141B97" w:rsidRDefault="00911D63">
            <w:pPr>
              <w:pStyle w:val="TableParagraph"/>
              <w:spacing w:before="67"/>
              <w:ind w:left="75"/>
              <w:rPr>
                <w:sz w:val="18"/>
              </w:rPr>
            </w:pPr>
            <w:r>
              <w:rPr>
                <w:sz w:val="18"/>
              </w:rPr>
              <w:t>Average</w:t>
            </w:r>
            <w:r>
              <w:rPr>
                <w:spacing w:val="-1"/>
                <w:sz w:val="18"/>
              </w:rPr>
              <w:t xml:space="preserve"> </w:t>
            </w:r>
            <w:r>
              <w:rPr>
                <w:sz w:val="18"/>
              </w:rPr>
              <w:t>duration</w:t>
            </w:r>
            <w:r>
              <w:rPr>
                <w:spacing w:val="-1"/>
                <w:sz w:val="18"/>
              </w:rPr>
              <w:t xml:space="preserve"> </w:t>
            </w:r>
            <w:r>
              <w:rPr>
                <w:sz w:val="18"/>
              </w:rPr>
              <w:t>of</w:t>
            </w:r>
            <w:r>
              <w:rPr>
                <w:spacing w:val="-1"/>
                <w:sz w:val="18"/>
              </w:rPr>
              <w:t xml:space="preserve"> </w:t>
            </w:r>
            <w:r>
              <w:rPr>
                <w:sz w:val="18"/>
              </w:rPr>
              <w:t>unplanned</w:t>
            </w:r>
            <w:r>
              <w:rPr>
                <w:spacing w:val="-2"/>
                <w:sz w:val="18"/>
              </w:rPr>
              <w:t xml:space="preserve"> </w:t>
            </w:r>
            <w:r>
              <w:rPr>
                <w:sz w:val="18"/>
              </w:rPr>
              <w:t>water</w:t>
            </w:r>
            <w:r>
              <w:rPr>
                <w:spacing w:val="-1"/>
                <w:sz w:val="18"/>
              </w:rPr>
              <w:t xml:space="preserve"> </w:t>
            </w:r>
            <w:r>
              <w:rPr>
                <w:sz w:val="18"/>
              </w:rPr>
              <w:t>supply</w:t>
            </w:r>
            <w:r>
              <w:rPr>
                <w:spacing w:val="-1"/>
                <w:sz w:val="18"/>
              </w:rPr>
              <w:t xml:space="preserve"> </w:t>
            </w:r>
            <w:r>
              <w:rPr>
                <w:spacing w:val="-2"/>
                <w:sz w:val="18"/>
              </w:rPr>
              <w:t>interruptions</w:t>
            </w:r>
          </w:p>
        </w:tc>
        <w:tc>
          <w:tcPr>
            <w:tcW w:w="2771" w:type="dxa"/>
            <w:tcBorders>
              <w:top w:val="single" w:sz="8" w:space="0" w:color="FFFFFF"/>
              <w:left w:val="single" w:sz="8" w:space="0" w:color="FFFFFF"/>
              <w:bottom w:val="single" w:sz="8" w:space="0" w:color="FFFFFF"/>
              <w:right w:val="nil"/>
            </w:tcBorders>
            <w:shd w:val="clear" w:color="auto" w:fill="CCE2ED"/>
          </w:tcPr>
          <w:p w14:paraId="145650D4" w14:textId="77777777" w:rsidR="00141B97" w:rsidRDefault="00911D63">
            <w:pPr>
              <w:pStyle w:val="TableParagraph"/>
              <w:spacing w:before="97"/>
              <w:ind w:left="75"/>
              <w:rPr>
                <w:sz w:val="18"/>
              </w:rPr>
            </w:pPr>
            <w:r>
              <w:rPr>
                <w:sz w:val="18"/>
              </w:rPr>
              <w:t xml:space="preserve">60 </w:t>
            </w:r>
            <w:r>
              <w:rPr>
                <w:spacing w:val="-2"/>
                <w:sz w:val="18"/>
              </w:rPr>
              <w:t>minutes</w:t>
            </w:r>
          </w:p>
        </w:tc>
      </w:tr>
      <w:tr w:rsidR="00141B97" w14:paraId="3474EE78" w14:textId="77777777">
        <w:trPr>
          <w:trHeight w:val="381"/>
        </w:trPr>
        <w:tc>
          <w:tcPr>
            <w:tcW w:w="6990" w:type="dxa"/>
            <w:tcBorders>
              <w:top w:val="single" w:sz="8" w:space="0" w:color="FFFFFF"/>
              <w:left w:val="nil"/>
              <w:bottom w:val="single" w:sz="8" w:space="0" w:color="FFFFFF"/>
              <w:right w:val="single" w:sz="8" w:space="0" w:color="FFFFFF"/>
            </w:tcBorders>
            <w:shd w:val="clear" w:color="auto" w:fill="CCE2ED"/>
          </w:tcPr>
          <w:p w14:paraId="76450BEC" w14:textId="77777777" w:rsidR="00141B97" w:rsidRDefault="00911D63">
            <w:pPr>
              <w:pStyle w:val="TableParagraph"/>
              <w:spacing w:before="67"/>
              <w:ind w:left="75"/>
              <w:rPr>
                <w:sz w:val="18"/>
              </w:rPr>
            </w:pPr>
            <w:r>
              <w:rPr>
                <w:sz w:val="18"/>
              </w:rPr>
              <w:t>Average</w:t>
            </w:r>
            <w:r>
              <w:rPr>
                <w:spacing w:val="-2"/>
                <w:sz w:val="18"/>
              </w:rPr>
              <w:t xml:space="preserve"> </w:t>
            </w:r>
            <w:r>
              <w:rPr>
                <w:sz w:val="18"/>
              </w:rPr>
              <w:t>duration</w:t>
            </w:r>
            <w:r>
              <w:rPr>
                <w:spacing w:val="-1"/>
                <w:sz w:val="18"/>
              </w:rPr>
              <w:t xml:space="preserve"> </w:t>
            </w:r>
            <w:r>
              <w:rPr>
                <w:sz w:val="18"/>
              </w:rPr>
              <w:t>of</w:t>
            </w:r>
            <w:r>
              <w:rPr>
                <w:spacing w:val="-2"/>
                <w:sz w:val="18"/>
              </w:rPr>
              <w:t xml:space="preserve"> </w:t>
            </w:r>
            <w:r>
              <w:rPr>
                <w:sz w:val="18"/>
              </w:rPr>
              <w:t>planned</w:t>
            </w:r>
            <w:r>
              <w:rPr>
                <w:spacing w:val="-1"/>
                <w:sz w:val="18"/>
              </w:rPr>
              <w:t xml:space="preserve"> </w:t>
            </w:r>
            <w:r>
              <w:rPr>
                <w:sz w:val="18"/>
              </w:rPr>
              <w:t>water</w:t>
            </w:r>
            <w:r>
              <w:rPr>
                <w:spacing w:val="-2"/>
                <w:sz w:val="18"/>
              </w:rPr>
              <w:t xml:space="preserve"> </w:t>
            </w:r>
            <w:r>
              <w:rPr>
                <w:sz w:val="18"/>
              </w:rPr>
              <w:t>supply</w:t>
            </w:r>
            <w:r>
              <w:rPr>
                <w:spacing w:val="-1"/>
                <w:sz w:val="18"/>
              </w:rPr>
              <w:t xml:space="preserve"> </w:t>
            </w:r>
            <w:r>
              <w:rPr>
                <w:spacing w:val="-2"/>
                <w:sz w:val="18"/>
              </w:rPr>
              <w:t>interruptions</w:t>
            </w:r>
          </w:p>
        </w:tc>
        <w:tc>
          <w:tcPr>
            <w:tcW w:w="2771" w:type="dxa"/>
            <w:tcBorders>
              <w:top w:val="single" w:sz="8" w:space="0" w:color="FFFFFF"/>
              <w:left w:val="single" w:sz="8" w:space="0" w:color="FFFFFF"/>
              <w:bottom w:val="single" w:sz="8" w:space="0" w:color="FFFFFF"/>
              <w:right w:val="nil"/>
            </w:tcBorders>
            <w:shd w:val="clear" w:color="auto" w:fill="CCE2ED"/>
          </w:tcPr>
          <w:p w14:paraId="51E760AF" w14:textId="77777777" w:rsidR="00141B97" w:rsidRDefault="00911D63">
            <w:pPr>
              <w:pStyle w:val="TableParagraph"/>
              <w:spacing w:before="97"/>
              <w:ind w:left="75"/>
              <w:rPr>
                <w:sz w:val="18"/>
              </w:rPr>
            </w:pPr>
            <w:r>
              <w:rPr>
                <w:sz w:val="18"/>
              </w:rPr>
              <w:t xml:space="preserve">85 </w:t>
            </w:r>
            <w:r>
              <w:rPr>
                <w:spacing w:val="-2"/>
                <w:sz w:val="18"/>
              </w:rPr>
              <w:t>minutes</w:t>
            </w:r>
          </w:p>
        </w:tc>
      </w:tr>
      <w:tr w:rsidR="00141B97" w14:paraId="79521F49" w14:textId="77777777">
        <w:trPr>
          <w:trHeight w:val="360"/>
        </w:trPr>
        <w:tc>
          <w:tcPr>
            <w:tcW w:w="6990" w:type="dxa"/>
            <w:tcBorders>
              <w:top w:val="single" w:sz="8" w:space="0" w:color="FFFFFF"/>
              <w:left w:val="nil"/>
              <w:bottom w:val="nil"/>
              <w:right w:val="single" w:sz="8" w:space="0" w:color="FFFFFF"/>
            </w:tcBorders>
            <w:shd w:val="clear" w:color="auto" w:fill="CCE2ED"/>
          </w:tcPr>
          <w:p w14:paraId="04ED43B8" w14:textId="77777777" w:rsidR="00141B97" w:rsidRDefault="00911D63">
            <w:pPr>
              <w:pStyle w:val="TableParagraph"/>
              <w:spacing w:before="30"/>
              <w:ind w:left="75"/>
              <w:rPr>
                <w:sz w:val="18"/>
              </w:rPr>
            </w:pPr>
            <w:r>
              <w:rPr>
                <w:sz w:val="18"/>
              </w:rPr>
              <w:t>Minimum</w:t>
            </w:r>
            <w:r>
              <w:rPr>
                <w:spacing w:val="-3"/>
                <w:sz w:val="18"/>
              </w:rPr>
              <w:t xml:space="preserve"> </w:t>
            </w:r>
            <w:r>
              <w:rPr>
                <w:sz w:val="18"/>
              </w:rPr>
              <w:t>pressure</w:t>
            </w:r>
            <w:r>
              <w:rPr>
                <w:spacing w:val="-2"/>
                <w:sz w:val="18"/>
              </w:rPr>
              <w:t xml:space="preserve"> </w:t>
            </w:r>
            <w:r>
              <w:rPr>
                <w:sz w:val="18"/>
              </w:rPr>
              <w:t>/</w:t>
            </w:r>
            <w:r>
              <w:rPr>
                <w:spacing w:val="-2"/>
                <w:sz w:val="18"/>
              </w:rPr>
              <w:t xml:space="preserve"> </w:t>
            </w:r>
            <w:r>
              <w:rPr>
                <w:sz w:val="18"/>
              </w:rPr>
              <w:t>flow</w:t>
            </w:r>
            <w:r>
              <w:rPr>
                <w:spacing w:val="-1"/>
                <w:sz w:val="18"/>
              </w:rPr>
              <w:t xml:space="preserve"> </w:t>
            </w:r>
            <w:r>
              <w:rPr>
                <w:sz w:val="18"/>
              </w:rPr>
              <w:t>(within</w:t>
            </w:r>
            <w:r>
              <w:rPr>
                <w:spacing w:val="-1"/>
                <w:sz w:val="18"/>
              </w:rPr>
              <w:t xml:space="preserve"> </w:t>
            </w:r>
            <w:r>
              <w:rPr>
                <w:sz w:val="18"/>
              </w:rPr>
              <w:t>urban</w:t>
            </w:r>
            <w:r>
              <w:rPr>
                <w:spacing w:val="-1"/>
                <w:sz w:val="18"/>
              </w:rPr>
              <w:t xml:space="preserve"> </w:t>
            </w:r>
            <w:r>
              <w:rPr>
                <w:spacing w:val="-2"/>
                <w:sz w:val="18"/>
              </w:rPr>
              <w:t>district)</w:t>
            </w:r>
          </w:p>
        </w:tc>
        <w:tc>
          <w:tcPr>
            <w:tcW w:w="2771" w:type="dxa"/>
            <w:tcBorders>
              <w:top w:val="single" w:sz="8" w:space="0" w:color="FFFFFF"/>
              <w:left w:val="single" w:sz="8" w:space="0" w:color="FFFFFF"/>
              <w:bottom w:val="nil"/>
              <w:right w:val="nil"/>
            </w:tcBorders>
            <w:shd w:val="clear" w:color="auto" w:fill="CCE2ED"/>
          </w:tcPr>
          <w:p w14:paraId="1D4BA052" w14:textId="77777777" w:rsidR="00141B97" w:rsidRDefault="00141B97">
            <w:pPr>
              <w:pStyle w:val="TableParagraph"/>
              <w:rPr>
                <w:rFonts w:ascii="Times New Roman"/>
                <w:sz w:val="18"/>
              </w:rPr>
            </w:pPr>
          </w:p>
        </w:tc>
      </w:tr>
      <w:tr w:rsidR="00141B97" w14:paraId="03C04347" w14:textId="77777777">
        <w:trPr>
          <w:trHeight w:val="398"/>
        </w:trPr>
        <w:tc>
          <w:tcPr>
            <w:tcW w:w="6990" w:type="dxa"/>
            <w:tcBorders>
              <w:top w:val="nil"/>
              <w:left w:val="nil"/>
              <w:bottom w:val="nil"/>
              <w:right w:val="single" w:sz="8" w:space="0" w:color="FFFFFF"/>
            </w:tcBorders>
            <w:shd w:val="clear" w:color="auto" w:fill="CCE2ED"/>
          </w:tcPr>
          <w:p w14:paraId="5E8727E2" w14:textId="77777777" w:rsidR="00141B97" w:rsidRDefault="00911D63">
            <w:pPr>
              <w:pStyle w:val="TableParagraph"/>
              <w:spacing w:before="78"/>
              <w:ind w:left="411"/>
              <w:rPr>
                <w:sz w:val="18"/>
              </w:rPr>
            </w:pPr>
            <w:r>
              <w:rPr>
                <w:spacing w:val="-4"/>
                <w:sz w:val="18"/>
              </w:rPr>
              <w:t>20mm</w:t>
            </w:r>
          </w:p>
        </w:tc>
        <w:tc>
          <w:tcPr>
            <w:tcW w:w="2771" w:type="dxa"/>
            <w:tcBorders>
              <w:top w:val="nil"/>
              <w:left w:val="single" w:sz="8" w:space="0" w:color="FFFFFF"/>
              <w:bottom w:val="nil"/>
              <w:right w:val="nil"/>
            </w:tcBorders>
            <w:shd w:val="clear" w:color="auto" w:fill="CCE2ED"/>
          </w:tcPr>
          <w:p w14:paraId="0211E664" w14:textId="77777777" w:rsidR="00141B97" w:rsidRDefault="00911D63">
            <w:pPr>
              <w:pStyle w:val="TableParagraph"/>
              <w:spacing w:before="98"/>
              <w:ind w:left="75"/>
              <w:rPr>
                <w:sz w:val="18"/>
              </w:rPr>
            </w:pPr>
            <w:r>
              <w:rPr>
                <w:sz w:val="18"/>
              </w:rPr>
              <w:t xml:space="preserve">20 </w:t>
            </w:r>
            <w:r>
              <w:rPr>
                <w:spacing w:val="-2"/>
                <w:sz w:val="18"/>
              </w:rPr>
              <w:t>litres/minute</w:t>
            </w:r>
          </w:p>
        </w:tc>
      </w:tr>
      <w:tr w:rsidR="00141B97" w14:paraId="26365BBE" w14:textId="77777777">
        <w:trPr>
          <w:trHeight w:val="368"/>
        </w:trPr>
        <w:tc>
          <w:tcPr>
            <w:tcW w:w="6990" w:type="dxa"/>
            <w:tcBorders>
              <w:top w:val="nil"/>
              <w:left w:val="nil"/>
              <w:bottom w:val="nil"/>
              <w:right w:val="single" w:sz="8" w:space="0" w:color="FFFFFF"/>
            </w:tcBorders>
            <w:shd w:val="clear" w:color="auto" w:fill="CCE2ED"/>
          </w:tcPr>
          <w:p w14:paraId="01E1B013" w14:textId="77777777" w:rsidR="00141B97" w:rsidRDefault="00911D63">
            <w:pPr>
              <w:pStyle w:val="TableParagraph"/>
              <w:spacing w:before="47"/>
              <w:ind w:left="411"/>
              <w:rPr>
                <w:sz w:val="18"/>
              </w:rPr>
            </w:pPr>
            <w:r>
              <w:rPr>
                <w:spacing w:val="-4"/>
                <w:sz w:val="18"/>
              </w:rPr>
              <w:t>25mm</w:t>
            </w:r>
          </w:p>
        </w:tc>
        <w:tc>
          <w:tcPr>
            <w:tcW w:w="2771" w:type="dxa"/>
            <w:tcBorders>
              <w:top w:val="nil"/>
              <w:left w:val="single" w:sz="8" w:space="0" w:color="FFFFFF"/>
              <w:bottom w:val="nil"/>
              <w:right w:val="nil"/>
            </w:tcBorders>
            <w:shd w:val="clear" w:color="auto" w:fill="CCE2ED"/>
          </w:tcPr>
          <w:p w14:paraId="4A2C72A1" w14:textId="77777777" w:rsidR="00141B97" w:rsidRDefault="00911D63">
            <w:pPr>
              <w:pStyle w:val="TableParagraph"/>
              <w:spacing w:before="68"/>
              <w:ind w:left="75"/>
              <w:rPr>
                <w:sz w:val="18"/>
              </w:rPr>
            </w:pPr>
            <w:r>
              <w:rPr>
                <w:sz w:val="18"/>
              </w:rPr>
              <w:t xml:space="preserve">35 </w:t>
            </w:r>
            <w:r>
              <w:rPr>
                <w:spacing w:val="-2"/>
                <w:sz w:val="18"/>
              </w:rPr>
              <w:t>litres/minute</w:t>
            </w:r>
          </w:p>
        </w:tc>
      </w:tr>
      <w:tr w:rsidR="00141B97" w14:paraId="770931AA" w14:textId="77777777">
        <w:trPr>
          <w:trHeight w:val="368"/>
        </w:trPr>
        <w:tc>
          <w:tcPr>
            <w:tcW w:w="6990" w:type="dxa"/>
            <w:tcBorders>
              <w:top w:val="nil"/>
              <w:left w:val="nil"/>
              <w:bottom w:val="nil"/>
              <w:right w:val="single" w:sz="8" w:space="0" w:color="FFFFFF"/>
            </w:tcBorders>
            <w:shd w:val="clear" w:color="auto" w:fill="CCE2ED"/>
          </w:tcPr>
          <w:p w14:paraId="0E6A5607" w14:textId="77777777" w:rsidR="00141B97" w:rsidRDefault="00911D63">
            <w:pPr>
              <w:pStyle w:val="TableParagraph"/>
              <w:spacing w:before="47"/>
              <w:ind w:left="411"/>
              <w:rPr>
                <w:sz w:val="18"/>
              </w:rPr>
            </w:pPr>
            <w:r>
              <w:rPr>
                <w:spacing w:val="-4"/>
                <w:sz w:val="18"/>
              </w:rPr>
              <w:t>32mm</w:t>
            </w:r>
          </w:p>
        </w:tc>
        <w:tc>
          <w:tcPr>
            <w:tcW w:w="2771" w:type="dxa"/>
            <w:tcBorders>
              <w:top w:val="nil"/>
              <w:left w:val="single" w:sz="8" w:space="0" w:color="FFFFFF"/>
              <w:bottom w:val="nil"/>
              <w:right w:val="nil"/>
            </w:tcBorders>
            <w:shd w:val="clear" w:color="auto" w:fill="CCE2ED"/>
          </w:tcPr>
          <w:p w14:paraId="20730165" w14:textId="77777777" w:rsidR="00141B97" w:rsidRDefault="00911D63">
            <w:pPr>
              <w:pStyle w:val="TableParagraph"/>
              <w:spacing w:before="68"/>
              <w:ind w:left="75"/>
              <w:rPr>
                <w:sz w:val="18"/>
              </w:rPr>
            </w:pPr>
            <w:r>
              <w:rPr>
                <w:sz w:val="18"/>
              </w:rPr>
              <w:t xml:space="preserve">60 </w:t>
            </w:r>
            <w:r>
              <w:rPr>
                <w:spacing w:val="-2"/>
                <w:sz w:val="18"/>
              </w:rPr>
              <w:t>litres/minute</w:t>
            </w:r>
          </w:p>
        </w:tc>
      </w:tr>
      <w:tr w:rsidR="00141B97" w14:paraId="634F0DD4" w14:textId="77777777">
        <w:trPr>
          <w:trHeight w:val="655"/>
        </w:trPr>
        <w:tc>
          <w:tcPr>
            <w:tcW w:w="6990" w:type="dxa"/>
            <w:tcBorders>
              <w:top w:val="nil"/>
              <w:left w:val="nil"/>
              <w:bottom w:val="single" w:sz="8" w:space="0" w:color="FFFFFF"/>
              <w:right w:val="single" w:sz="8" w:space="0" w:color="FFFFFF"/>
            </w:tcBorders>
            <w:shd w:val="clear" w:color="auto" w:fill="CCE2ED"/>
          </w:tcPr>
          <w:p w14:paraId="36C34CE1" w14:textId="77777777" w:rsidR="00141B97" w:rsidRDefault="00911D63">
            <w:pPr>
              <w:pStyle w:val="TableParagraph"/>
              <w:spacing w:before="47"/>
              <w:ind w:left="411"/>
              <w:rPr>
                <w:sz w:val="18"/>
              </w:rPr>
            </w:pPr>
            <w:r>
              <w:rPr>
                <w:spacing w:val="-4"/>
                <w:sz w:val="18"/>
              </w:rPr>
              <w:t>40mm</w:t>
            </w:r>
          </w:p>
          <w:p w14:paraId="7D6932F8" w14:textId="77777777" w:rsidR="00141B97" w:rsidRDefault="00911D63">
            <w:pPr>
              <w:pStyle w:val="TableParagraph"/>
              <w:spacing w:before="111"/>
              <w:ind w:left="411"/>
              <w:rPr>
                <w:sz w:val="18"/>
              </w:rPr>
            </w:pPr>
            <w:r>
              <w:rPr>
                <w:spacing w:val="-4"/>
                <w:sz w:val="18"/>
              </w:rPr>
              <w:t>50mm</w:t>
            </w:r>
          </w:p>
        </w:tc>
        <w:tc>
          <w:tcPr>
            <w:tcW w:w="2771" w:type="dxa"/>
            <w:tcBorders>
              <w:top w:val="nil"/>
              <w:left w:val="single" w:sz="8" w:space="0" w:color="FFFFFF"/>
              <w:bottom w:val="single" w:sz="8" w:space="0" w:color="FFFFFF"/>
              <w:right w:val="nil"/>
            </w:tcBorders>
            <w:shd w:val="clear" w:color="auto" w:fill="CCE2ED"/>
          </w:tcPr>
          <w:p w14:paraId="47D54F20" w14:textId="77777777" w:rsidR="00141B97" w:rsidRDefault="00911D63">
            <w:pPr>
              <w:pStyle w:val="TableParagraph"/>
              <w:spacing w:before="68"/>
              <w:ind w:left="75"/>
              <w:rPr>
                <w:sz w:val="18"/>
              </w:rPr>
            </w:pPr>
            <w:r>
              <w:rPr>
                <w:sz w:val="18"/>
              </w:rPr>
              <w:t xml:space="preserve">90 </w:t>
            </w:r>
            <w:r>
              <w:rPr>
                <w:spacing w:val="-2"/>
                <w:sz w:val="18"/>
              </w:rPr>
              <w:t>litres/minute</w:t>
            </w:r>
          </w:p>
          <w:p w14:paraId="5D49625A" w14:textId="77777777" w:rsidR="00141B97" w:rsidRDefault="00911D63">
            <w:pPr>
              <w:pStyle w:val="TableParagraph"/>
              <w:spacing w:before="90"/>
              <w:ind w:left="75"/>
              <w:rPr>
                <w:sz w:val="18"/>
              </w:rPr>
            </w:pPr>
            <w:r>
              <w:rPr>
                <w:sz w:val="18"/>
              </w:rPr>
              <w:t xml:space="preserve">160 </w:t>
            </w:r>
            <w:r>
              <w:rPr>
                <w:spacing w:val="-2"/>
                <w:sz w:val="18"/>
              </w:rPr>
              <w:t>litres/minute</w:t>
            </w:r>
          </w:p>
        </w:tc>
      </w:tr>
      <w:tr w:rsidR="00141B97" w14:paraId="272748B1" w14:textId="77777777">
        <w:trPr>
          <w:trHeight w:val="381"/>
        </w:trPr>
        <w:tc>
          <w:tcPr>
            <w:tcW w:w="9761" w:type="dxa"/>
            <w:gridSpan w:val="2"/>
            <w:tcBorders>
              <w:top w:val="single" w:sz="8" w:space="0" w:color="FFFFFF"/>
              <w:left w:val="nil"/>
              <w:bottom w:val="single" w:sz="8" w:space="0" w:color="FFFFFF"/>
              <w:right w:val="nil"/>
            </w:tcBorders>
            <w:shd w:val="clear" w:color="auto" w:fill="BFBFBF"/>
          </w:tcPr>
          <w:p w14:paraId="6AD276DF" w14:textId="77777777" w:rsidR="00141B97" w:rsidRDefault="00911D63">
            <w:pPr>
              <w:pStyle w:val="TableParagraph"/>
              <w:spacing w:before="97"/>
              <w:ind w:left="85"/>
              <w:rPr>
                <w:sz w:val="18"/>
              </w:rPr>
            </w:pPr>
            <w:r>
              <w:rPr>
                <w:sz w:val="18"/>
              </w:rPr>
              <w:t>Sewerage</w:t>
            </w:r>
            <w:r>
              <w:rPr>
                <w:spacing w:val="-1"/>
                <w:sz w:val="18"/>
              </w:rPr>
              <w:t xml:space="preserve"> </w:t>
            </w:r>
            <w:r>
              <w:rPr>
                <w:spacing w:val="-2"/>
                <w:sz w:val="18"/>
              </w:rPr>
              <w:t>Supply</w:t>
            </w:r>
          </w:p>
        </w:tc>
      </w:tr>
      <w:tr w:rsidR="00141B97" w14:paraId="20637042" w14:textId="77777777">
        <w:trPr>
          <w:trHeight w:val="382"/>
        </w:trPr>
        <w:tc>
          <w:tcPr>
            <w:tcW w:w="6990" w:type="dxa"/>
            <w:tcBorders>
              <w:top w:val="single" w:sz="8" w:space="0" w:color="FFFFFF"/>
              <w:left w:val="nil"/>
              <w:bottom w:val="single" w:sz="8" w:space="0" w:color="FFFFFF"/>
              <w:right w:val="single" w:sz="8" w:space="0" w:color="FFFFFF"/>
            </w:tcBorders>
            <w:shd w:val="clear" w:color="auto" w:fill="CCE2ED"/>
          </w:tcPr>
          <w:p w14:paraId="291C758F" w14:textId="77777777" w:rsidR="00141B97" w:rsidRDefault="00911D63">
            <w:pPr>
              <w:pStyle w:val="TableParagraph"/>
              <w:spacing w:before="67"/>
              <w:ind w:left="75"/>
              <w:rPr>
                <w:sz w:val="18"/>
              </w:rPr>
            </w:pPr>
            <w:r>
              <w:rPr>
                <w:sz w:val="18"/>
              </w:rPr>
              <w:t>Customers</w:t>
            </w:r>
            <w:r>
              <w:rPr>
                <w:spacing w:val="-2"/>
                <w:sz w:val="18"/>
              </w:rPr>
              <w:t xml:space="preserve"> </w:t>
            </w:r>
            <w:r>
              <w:rPr>
                <w:sz w:val="18"/>
              </w:rPr>
              <w:t>receiving</w:t>
            </w:r>
            <w:r>
              <w:rPr>
                <w:spacing w:val="-2"/>
                <w:sz w:val="18"/>
              </w:rPr>
              <w:t xml:space="preserve"> </w:t>
            </w:r>
            <w:r>
              <w:rPr>
                <w:sz w:val="18"/>
              </w:rPr>
              <w:t>more</w:t>
            </w:r>
            <w:r>
              <w:rPr>
                <w:spacing w:val="-2"/>
                <w:sz w:val="18"/>
              </w:rPr>
              <w:t xml:space="preserve"> </w:t>
            </w:r>
            <w:r>
              <w:rPr>
                <w:sz w:val="18"/>
              </w:rPr>
              <w:t>than</w:t>
            </w:r>
            <w:r>
              <w:rPr>
                <w:spacing w:val="-3"/>
                <w:sz w:val="18"/>
              </w:rPr>
              <w:t xml:space="preserve"> </w:t>
            </w:r>
            <w:r>
              <w:rPr>
                <w:sz w:val="18"/>
              </w:rPr>
              <w:t>3</w:t>
            </w:r>
            <w:r>
              <w:rPr>
                <w:spacing w:val="-1"/>
                <w:sz w:val="18"/>
              </w:rPr>
              <w:t xml:space="preserve"> </w:t>
            </w:r>
            <w:r>
              <w:rPr>
                <w:sz w:val="18"/>
              </w:rPr>
              <w:t>sewer</w:t>
            </w:r>
            <w:r>
              <w:rPr>
                <w:spacing w:val="-1"/>
                <w:sz w:val="18"/>
              </w:rPr>
              <w:t xml:space="preserve"> </w:t>
            </w:r>
            <w:r>
              <w:rPr>
                <w:sz w:val="18"/>
              </w:rPr>
              <w:t>blockages</w:t>
            </w:r>
            <w:r>
              <w:rPr>
                <w:spacing w:val="-2"/>
                <w:sz w:val="18"/>
              </w:rPr>
              <w:t xml:space="preserve"> </w:t>
            </w:r>
            <w:r>
              <w:rPr>
                <w:sz w:val="18"/>
              </w:rPr>
              <w:t>in</w:t>
            </w:r>
            <w:r>
              <w:rPr>
                <w:spacing w:val="-1"/>
                <w:sz w:val="18"/>
              </w:rPr>
              <w:t xml:space="preserve"> </w:t>
            </w:r>
            <w:r>
              <w:rPr>
                <w:sz w:val="18"/>
              </w:rPr>
              <w:t>the</w:t>
            </w:r>
            <w:r>
              <w:rPr>
                <w:spacing w:val="-2"/>
                <w:sz w:val="18"/>
              </w:rPr>
              <w:t xml:space="preserve"> </w:t>
            </w:r>
            <w:r>
              <w:rPr>
                <w:sz w:val="18"/>
              </w:rPr>
              <w:t>year</w:t>
            </w:r>
            <w:r>
              <w:rPr>
                <w:spacing w:val="-1"/>
                <w:sz w:val="18"/>
              </w:rPr>
              <w:t xml:space="preserve"> </w:t>
            </w:r>
            <w:r>
              <w:rPr>
                <w:spacing w:val="-2"/>
                <w:sz w:val="18"/>
              </w:rPr>
              <w:t>(number)</w:t>
            </w:r>
          </w:p>
        </w:tc>
        <w:tc>
          <w:tcPr>
            <w:tcW w:w="2771" w:type="dxa"/>
            <w:tcBorders>
              <w:top w:val="single" w:sz="8" w:space="0" w:color="FFFFFF"/>
              <w:left w:val="single" w:sz="8" w:space="0" w:color="FFFFFF"/>
              <w:bottom w:val="single" w:sz="8" w:space="0" w:color="FFFFFF"/>
              <w:right w:val="nil"/>
            </w:tcBorders>
            <w:shd w:val="clear" w:color="auto" w:fill="CCE2ED"/>
          </w:tcPr>
          <w:p w14:paraId="43D6BED3" w14:textId="77777777" w:rsidR="00141B97" w:rsidRDefault="00911D63">
            <w:pPr>
              <w:pStyle w:val="TableParagraph"/>
              <w:spacing w:before="97"/>
              <w:ind w:left="75"/>
              <w:rPr>
                <w:sz w:val="18"/>
              </w:rPr>
            </w:pPr>
            <w:r>
              <w:rPr>
                <w:sz w:val="18"/>
              </w:rPr>
              <w:t>0</w:t>
            </w:r>
          </w:p>
        </w:tc>
      </w:tr>
      <w:tr w:rsidR="00141B97" w14:paraId="6A279D89" w14:textId="77777777">
        <w:trPr>
          <w:trHeight w:val="382"/>
        </w:trPr>
        <w:tc>
          <w:tcPr>
            <w:tcW w:w="6990" w:type="dxa"/>
            <w:tcBorders>
              <w:top w:val="single" w:sz="8" w:space="0" w:color="FFFFFF"/>
              <w:left w:val="nil"/>
              <w:bottom w:val="single" w:sz="8" w:space="0" w:color="FFFFFF"/>
              <w:right w:val="single" w:sz="8" w:space="0" w:color="FFFFFF"/>
            </w:tcBorders>
            <w:shd w:val="clear" w:color="auto" w:fill="CCE2ED"/>
          </w:tcPr>
          <w:p w14:paraId="21D65205" w14:textId="77777777" w:rsidR="00141B97" w:rsidRDefault="00911D63">
            <w:pPr>
              <w:pStyle w:val="TableParagraph"/>
              <w:spacing w:before="67"/>
              <w:ind w:left="75"/>
              <w:rPr>
                <w:sz w:val="18"/>
              </w:rPr>
            </w:pPr>
            <w:r>
              <w:rPr>
                <w:sz w:val="18"/>
              </w:rPr>
              <w:t>Average</w:t>
            </w:r>
            <w:r>
              <w:rPr>
                <w:spacing w:val="-2"/>
                <w:sz w:val="18"/>
              </w:rPr>
              <w:t xml:space="preserve"> </w:t>
            </w:r>
            <w:r>
              <w:rPr>
                <w:sz w:val="18"/>
              </w:rPr>
              <w:t>time</w:t>
            </w:r>
            <w:r>
              <w:rPr>
                <w:spacing w:val="-1"/>
                <w:sz w:val="18"/>
              </w:rPr>
              <w:t xml:space="preserve"> </w:t>
            </w:r>
            <w:r>
              <w:rPr>
                <w:sz w:val="18"/>
              </w:rPr>
              <w:t>to</w:t>
            </w:r>
            <w:r>
              <w:rPr>
                <w:spacing w:val="-2"/>
                <w:sz w:val="18"/>
              </w:rPr>
              <w:t xml:space="preserve"> </w:t>
            </w:r>
            <w:r>
              <w:rPr>
                <w:sz w:val="18"/>
              </w:rPr>
              <w:t>attend</w:t>
            </w:r>
            <w:r>
              <w:rPr>
                <w:spacing w:val="-2"/>
                <w:sz w:val="18"/>
              </w:rPr>
              <w:t xml:space="preserve"> </w:t>
            </w:r>
            <w:r>
              <w:rPr>
                <w:sz w:val="18"/>
              </w:rPr>
              <w:t>sewer</w:t>
            </w:r>
            <w:r>
              <w:rPr>
                <w:spacing w:val="-1"/>
                <w:sz w:val="18"/>
              </w:rPr>
              <w:t xml:space="preserve"> </w:t>
            </w:r>
            <w:r>
              <w:rPr>
                <w:sz w:val="18"/>
              </w:rPr>
              <w:t>spills</w:t>
            </w:r>
            <w:r>
              <w:rPr>
                <w:spacing w:val="-2"/>
                <w:sz w:val="18"/>
              </w:rPr>
              <w:t xml:space="preserve"> </w:t>
            </w:r>
            <w:r>
              <w:rPr>
                <w:sz w:val="18"/>
              </w:rPr>
              <w:t>and</w:t>
            </w:r>
            <w:r>
              <w:rPr>
                <w:spacing w:val="-1"/>
                <w:sz w:val="18"/>
              </w:rPr>
              <w:t xml:space="preserve"> </w:t>
            </w:r>
            <w:r>
              <w:rPr>
                <w:spacing w:val="-2"/>
                <w:sz w:val="18"/>
              </w:rPr>
              <w:t>blockages</w:t>
            </w:r>
          </w:p>
        </w:tc>
        <w:tc>
          <w:tcPr>
            <w:tcW w:w="2771" w:type="dxa"/>
            <w:tcBorders>
              <w:top w:val="single" w:sz="8" w:space="0" w:color="FFFFFF"/>
              <w:left w:val="single" w:sz="8" w:space="0" w:color="FFFFFF"/>
              <w:bottom w:val="single" w:sz="8" w:space="0" w:color="FFFFFF"/>
              <w:right w:val="nil"/>
            </w:tcBorders>
            <w:shd w:val="clear" w:color="auto" w:fill="CCE2ED"/>
          </w:tcPr>
          <w:p w14:paraId="36154C94" w14:textId="77777777" w:rsidR="00141B97" w:rsidRDefault="00911D63">
            <w:pPr>
              <w:pStyle w:val="TableParagraph"/>
              <w:spacing w:before="97"/>
              <w:ind w:left="75"/>
              <w:rPr>
                <w:sz w:val="18"/>
              </w:rPr>
            </w:pPr>
            <w:r>
              <w:rPr>
                <w:sz w:val="18"/>
              </w:rPr>
              <w:t xml:space="preserve">20 </w:t>
            </w:r>
            <w:r>
              <w:rPr>
                <w:spacing w:val="-2"/>
                <w:sz w:val="18"/>
              </w:rPr>
              <w:t>minutes</w:t>
            </w:r>
          </w:p>
        </w:tc>
      </w:tr>
      <w:tr w:rsidR="00141B97" w14:paraId="72602533" w14:textId="77777777">
        <w:trPr>
          <w:trHeight w:val="381"/>
        </w:trPr>
        <w:tc>
          <w:tcPr>
            <w:tcW w:w="6990" w:type="dxa"/>
            <w:tcBorders>
              <w:top w:val="single" w:sz="8" w:space="0" w:color="FFFFFF"/>
              <w:left w:val="nil"/>
              <w:bottom w:val="single" w:sz="8" w:space="0" w:color="FFFFFF"/>
              <w:right w:val="single" w:sz="8" w:space="0" w:color="FFFFFF"/>
            </w:tcBorders>
            <w:shd w:val="clear" w:color="auto" w:fill="CCE2ED"/>
          </w:tcPr>
          <w:p w14:paraId="0CD36D76" w14:textId="77777777" w:rsidR="00141B97" w:rsidRDefault="00911D63">
            <w:pPr>
              <w:pStyle w:val="TableParagraph"/>
              <w:spacing w:before="67"/>
              <w:ind w:left="75"/>
              <w:rPr>
                <w:sz w:val="18"/>
              </w:rPr>
            </w:pPr>
            <w:r>
              <w:rPr>
                <w:sz w:val="18"/>
              </w:rPr>
              <w:t>Average</w:t>
            </w:r>
            <w:r>
              <w:rPr>
                <w:spacing w:val="-1"/>
                <w:sz w:val="18"/>
              </w:rPr>
              <w:t xml:space="preserve"> </w:t>
            </w:r>
            <w:r>
              <w:rPr>
                <w:sz w:val="18"/>
              </w:rPr>
              <w:t>time</w:t>
            </w:r>
            <w:r>
              <w:rPr>
                <w:spacing w:val="-1"/>
                <w:sz w:val="18"/>
              </w:rPr>
              <w:t xml:space="preserve"> </w:t>
            </w:r>
            <w:r>
              <w:rPr>
                <w:sz w:val="18"/>
              </w:rPr>
              <w:t>to</w:t>
            </w:r>
            <w:r>
              <w:rPr>
                <w:spacing w:val="-1"/>
                <w:sz w:val="18"/>
              </w:rPr>
              <w:t xml:space="preserve"> </w:t>
            </w:r>
            <w:r>
              <w:rPr>
                <w:sz w:val="18"/>
              </w:rPr>
              <w:t>rectify</w:t>
            </w:r>
            <w:r>
              <w:rPr>
                <w:spacing w:val="-2"/>
                <w:sz w:val="18"/>
              </w:rPr>
              <w:t xml:space="preserve"> </w:t>
            </w:r>
            <w:r>
              <w:rPr>
                <w:sz w:val="18"/>
              </w:rPr>
              <w:t xml:space="preserve">a sewer </w:t>
            </w:r>
            <w:r>
              <w:rPr>
                <w:spacing w:val="-2"/>
                <w:sz w:val="18"/>
              </w:rPr>
              <w:t>blockage</w:t>
            </w:r>
          </w:p>
        </w:tc>
        <w:tc>
          <w:tcPr>
            <w:tcW w:w="2771" w:type="dxa"/>
            <w:tcBorders>
              <w:top w:val="single" w:sz="8" w:space="0" w:color="FFFFFF"/>
              <w:left w:val="single" w:sz="8" w:space="0" w:color="FFFFFF"/>
              <w:bottom w:val="single" w:sz="8" w:space="0" w:color="FFFFFF"/>
              <w:right w:val="nil"/>
            </w:tcBorders>
            <w:shd w:val="clear" w:color="auto" w:fill="CCE2ED"/>
          </w:tcPr>
          <w:p w14:paraId="261AEF6E" w14:textId="77777777" w:rsidR="00141B97" w:rsidRDefault="00911D63">
            <w:pPr>
              <w:pStyle w:val="TableParagraph"/>
              <w:spacing w:before="97"/>
              <w:ind w:left="75"/>
              <w:rPr>
                <w:sz w:val="18"/>
              </w:rPr>
            </w:pPr>
            <w:r>
              <w:rPr>
                <w:sz w:val="18"/>
              </w:rPr>
              <w:t xml:space="preserve">70 </w:t>
            </w:r>
            <w:r>
              <w:rPr>
                <w:spacing w:val="-2"/>
                <w:sz w:val="18"/>
              </w:rPr>
              <w:t>minutes</w:t>
            </w:r>
          </w:p>
        </w:tc>
      </w:tr>
      <w:tr w:rsidR="00141B97" w14:paraId="509BE5B0" w14:textId="77777777">
        <w:trPr>
          <w:trHeight w:val="382"/>
        </w:trPr>
        <w:tc>
          <w:tcPr>
            <w:tcW w:w="6990" w:type="dxa"/>
            <w:tcBorders>
              <w:top w:val="single" w:sz="8" w:space="0" w:color="FFFFFF"/>
              <w:left w:val="nil"/>
              <w:bottom w:val="single" w:sz="8" w:space="0" w:color="FFFFFF"/>
              <w:right w:val="single" w:sz="8" w:space="0" w:color="FFFFFF"/>
            </w:tcBorders>
            <w:shd w:val="clear" w:color="auto" w:fill="CCE2ED"/>
          </w:tcPr>
          <w:p w14:paraId="6D80185A" w14:textId="77777777" w:rsidR="00141B97" w:rsidRDefault="00911D63">
            <w:pPr>
              <w:pStyle w:val="TableParagraph"/>
              <w:spacing w:before="67"/>
              <w:ind w:left="75"/>
              <w:rPr>
                <w:sz w:val="18"/>
              </w:rPr>
            </w:pPr>
            <w:r>
              <w:rPr>
                <w:sz w:val="18"/>
              </w:rPr>
              <w:t>Spills</w:t>
            </w:r>
            <w:r>
              <w:rPr>
                <w:spacing w:val="-4"/>
                <w:sz w:val="18"/>
              </w:rPr>
              <w:t xml:space="preserve"> </w:t>
            </w:r>
            <w:r>
              <w:rPr>
                <w:sz w:val="18"/>
              </w:rPr>
              <w:t>contained</w:t>
            </w:r>
            <w:r>
              <w:rPr>
                <w:spacing w:val="-3"/>
                <w:sz w:val="18"/>
              </w:rPr>
              <w:t xml:space="preserve"> </w:t>
            </w:r>
            <w:r>
              <w:rPr>
                <w:sz w:val="18"/>
              </w:rPr>
              <w:t>within</w:t>
            </w:r>
            <w:r>
              <w:rPr>
                <w:spacing w:val="-2"/>
                <w:sz w:val="18"/>
              </w:rPr>
              <w:t xml:space="preserve"> </w:t>
            </w:r>
            <w:r>
              <w:rPr>
                <w:sz w:val="18"/>
              </w:rPr>
              <w:t>five</w:t>
            </w:r>
            <w:r>
              <w:rPr>
                <w:spacing w:val="-4"/>
                <w:sz w:val="18"/>
              </w:rPr>
              <w:t xml:space="preserve"> </w:t>
            </w:r>
            <w:r>
              <w:rPr>
                <w:sz w:val="18"/>
              </w:rPr>
              <w:t>hours</w:t>
            </w:r>
            <w:r>
              <w:rPr>
                <w:spacing w:val="-3"/>
                <w:sz w:val="18"/>
              </w:rPr>
              <w:t xml:space="preserve"> </w:t>
            </w:r>
            <w:r>
              <w:rPr>
                <w:spacing w:val="-5"/>
                <w:sz w:val="18"/>
              </w:rPr>
              <w:t>(%)</w:t>
            </w:r>
          </w:p>
        </w:tc>
        <w:tc>
          <w:tcPr>
            <w:tcW w:w="2771" w:type="dxa"/>
            <w:tcBorders>
              <w:top w:val="single" w:sz="8" w:space="0" w:color="FFFFFF"/>
              <w:left w:val="single" w:sz="8" w:space="0" w:color="FFFFFF"/>
              <w:bottom w:val="single" w:sz="8" w:space="0" w:color="FFFFFF"/>
              <w:right w:val="nil"/>
            </w:tcBorders>
            <w:shd w:val="clear" w:color="auto" w:fill="CCE2ED"/>
          </w:tcPr>
          <w:p w14:paraId="6633143A" w14:textId="77777777" w:rsidR="00141B97" w:rsidRDefault="00911D63">
            <w:pPr>
              <w:pStyle w:val="TableParagraph"/>
              <w:spacing w:before="97"/>
              <w:ind w:left="75"/>
              <w:rPr>
                <w:sz w:val="18"/>
              </w:rPr>
            </w:pPr>
            <w:r>
              <w:rPr>
                <w:spacing w:val="-5"/>
                <w:sz w:val="18"/>
              </w:rPr>
              <w:t>97%</w:t>
            </w:r>
          </w:p>
        </w:tc>
      </w:tr>
      <w:tr w:rsidR="00141B97" w14:paraId="0860C595" w14:textId="77777777">
        <w:trPr>
          <w:trHeight w:val="381"/>
        </w:trPr>
        <w:tc>
          <w:tcPr>
            <w:tcW w:w="9761" w:type="dxa"/>
            <w:gridSpan w:val="2"/>
            <w:tcBorders>
              <w:top w:val="single" w:sz="8" w:space="0" w:color="FFFFFF"/>
              <w:left w:val="nil"/>
              <w:bottom w:val="single" w:sz="8" w:space="0" w:color="FFFFFF"/>
              <w:right w:val="nil"/>
            </w:tcBorders>
            <w:shd w:val="clear" w:color="auto" w:fill="BFBFBF"/>
          </w:tcPr>
          <w:p w14:paraId="07C76B01" w14:textId="77777777" w:rsidR="00141B97" w:rsidRDefault="00911D63">
            <w:pPr>
              <w:pStyle w:val="TableParagraph"/>
              <w:spacing w:before="97"/>
              <w:ind w:left="85"/>
              <w:rPr>
                <w:sz w:val="18"/>
              </w:rPr>
            </w:pPr>
            <w:r>
              <w:rPr>
                <w:sz w:val="18"/>
              </w:rPr>
              <w:t>Customer</w:t>
            </w:r>
            <w:r>
              <w:rPr>
                <w:spacing w:val="-5"/>
                <w:sz w:val="18"/>
              </w:rPr>
              <w:t xml:space="preserve"> </w:t>
            </w:r>
            <w:r>
              <w:rPr>
                <w:spacing w:val="-2"/>
                <w:sz w:val="18"/>
              </w:rPr>
              <w:t>Service</w:t>
            </w:r>
          </w:p>
        </w:tc>
      </w:tr>
      <w:tr w:rsidR="00141B97" w14:paraId="2E5B1245" w14:textId="77777777">
        <w:trPr>
          <w:trHeight w:val="382"/>
        </w:trPr>
        <w:tc>
          <w:tcPr>
            <w:tcW w:w="6990" w:type="dxa"/>
            <w:tcBorders>
              <w:top w:val="single" w:sz="8" w:space="0" w:color="FFFFFF"/>
              <w:left w:val="nil"/>
              <w:bottom w:val="single" w:sz="8" w:space="0" w:color="FFFFFF"/>
              <w:right w:val="single" w:sz="8" w:space="0" w:color="FFFFFF"/>
            </w:tcBorders>
            <w:shd w:val="clear" w:color="auto" w:fill="CCE2ED"/>
          </w:tcPr>
          <w:p w14:paraId="03888BCC" w14:textId="77777777" w:rsidR="00141B97" w:rsidRDefault="00911D63">
            <w:pPr>
              <w:pStyle w:val="TableParagraph"/>
              <w:spacing w:before="67"/>
              <w:ind w:left="75"/>
              <w:rPr>
                <w:sz w:val="18"/>
              </w:rPr>
            </w:pPr>
            <w:r>
              <w:rPr>
                <w:sz w:val="18"/>
              </w:rPr>
              <w:t>Average</w:t>
            </w:r>
            <w:r>
              <w:rPr>
                <w:spacing w:val="-1"/>
                <w:sz w:val="18"/>
              </w:rPr>
              <w:t xml:space="preserve"> </w:t>
            </w:r>
            <w:r>
              <w:rPr>
                <w:sz w:val="18"/>
              </w:rPr>
              <w:t>time</w:t>
            </w:r>
            <w:r>
              <w:rPr>
                <w:spacing w:val="-1"/>
                <w:sz w:val="18"/>
              </w:rPr>
              <w:t xml:space="preserve"> </w:t>
            </w:r>
            <w:r>
              <w:rPr>
                <w:sz w:val="18"/>
              </w:rPr>
              <w:t>for</w:t>
            </w:r>
            <w:r>
              <w:rPr>
                <w:spacing w:val="-1"/>
                <w:sz w:val="18"/>
              </w:rPr>
              <w:t xml:space="preserve"> </w:t>
            </w:r>
            <w:r>
              <w:rPr>
                <w:sz w:val="18"/>
              </w:rPr>
              <w:t>calls</w:t>
            </w:r>
            <w:r>
              <w:rPr>
                <w:spacing w:val="-1"/>
                <w:sz w:val="18"/>
              </w:rPr>
              <w:t xml:space="preserve"> </w:t>
            </w:r>
            <w:r>
              <w:rPr>
                <w:sz w:val="18"/>
              </w:rPr>
              <w:t>to</w:t>
            </w:r>
            <w:r>
              <w:rPr>
                <w:spacing w:val="-1"/>
                <w:sz w:val="18"/>
              </w:rPr>
              <w:t xml:space="preserve"> </w:t>
            </w:r>
            <w:r>
              <w:rPr>
                <w:sz w:val="18"/>
              </w:rPr>
              <w:t>be</w:t>
            </w:r>
            <w:r>
              <w:rPr>
                <w:spacing w:val="-1"/>
                <w:sz w:val="18"/>
              </w:rPr>
              <w:t xml:space="preserve"> </w:t>
            </w:r>
            <w:r>
              <w:rPr>
                <w:spacing w:val="-2"/>
                <w:sz w:val="18"/>
              </w:rPr>
              <w:t>answered</w:t>
            </w:r>
          </w:p>
        </w:tc>
        <w:tc>
          <w:tcPr>
            <w:tcW w:w="2771" w:type="dxa"/>
            <w:tcBorders>
              <w:top w:val="single" w:sz="8" w:space="0" w:color="FFFFFF"/>
              <w:left w:val="single" w:sz="8" w:space="0" w:color="FFFFFF"/>
              <w:bottom w:val="single" w:sz="8" w:space="0" w:color="FFFFFF"/>
              <w:right w:val="nil"/>
            </w:tcBorders>
            <w:shd w:val="clear" w:color="auto" w:fill="CCE2ED"/>
          </w:tcPr>
          <w:p w14:paraId="2867BA19" w14:textId="77777777" w:rsidR="00141B97" w:rsidRDefault="00911D63">
            <w:pPr>
              <w:pStyle w:val="TableParagraph"/>
              <w:spacing w:before="97"/>
              <w:ind w:left="75"/>
              <w:rPr>
                <w:sz w:val="18"/>
              </w:rPr>
            </w:pPr>
            <w:r>
              <w:rPr>
                <w:sz w:val="18"/>
              </w:rPr>
              <w:t xml:space="preserve">30 </w:t>
            </w:r>
            <w:r>
              <w:rPr>
                <w:spacing w:val="-2"/>
                <w:sz w:val="18"/>
              </w:rPr>
              <w:t>seconds</w:t>
            </w:r>
          </w:p>
        </w:tc>
      </w:tr>
      <w:tr w:rsidR="00141B97" w14:paraId="15D2850C" w14:textId="77777777">
        <w:trPr>
          <w:trHeight w:val="562"/>
        </w:trPr>
        <w:tc>
          <w:tcPr>
            <w:tcW w:w="6990" w:type="dxa"/>
            <w:tcBorders>
              <w:top w:val="single" w:sz="8" w:space="0" w:color="FFFFFF"/>
              <w:left w:val="nil"/>
              <w:bottom w:val="single" w:sz="8" w:space="0" w:color="FFFFFF"/>
              <w:right w:val="single" w:sz="8" w:space="0" w:color="FFFFFF"/>
            </w:tcBorders>
            <w:shd w:val="clear" w:color="auto" w:fill="CCE2ED"/>
          </w:tcPr>
          <w:p w14:paraId="76D8BBF4" w14:textId="77777777" w:rsidR="00141B97" w:rsidRDefault="00911D63">
            <w:pPr>
              <w:pStyle w:val="TableParagraph"/>
              <w:spacing w:before="30" w:line="276" w:lineRule="auto"/>
              <w:ind w:left="75"/>
              <w:rPr>
                <w:sz w:val="18"/>
              </w:rPr>
            </w:pPr>
            <w:r>
              <w:rPr>
                <w:sz w:val="18"/>
              </w:rPr>
              <w:t>Maximum time to process a property Information Statement (upon receipt of fully completed application and payment)</w:t>
            </w:r>
          </w:p>
        </w:tc>
        <w:tc>
          <w:tcPr>
            <w:tcW w:w="2771" w:type="dxa"/>
            <w:tcBorders>
              <w:top w:val="single" w:sz="8" w:space="0" w:color="FFFFFF"/>
              <w:left w:val="single" w:sz="8" w:space="0" w:color="FFFFFF"/>
              <w:bottom w:val="single" w:sz="8" w:space="0" w:color="FFFFFF"/>
              <w:right w:val="nil"/>
            </w:tcBorders>
            <w:shd w:val="clear" w:color="auto" w:fill="CCE2ED"/>
          </w:tcPr>
          <w:p w14:paraId="73AF6624" w14:textId="77777777" w:rsidR="00141B97" w:rsidRDefault="00141B97">
            <w:pPr>
              <w:pStyle w:val="TableParagraph"/>
              <w:spacing w:before="3"/>
              <w:rPr>
                <w:sz w:val="15"/>
              </w:rPr>
            </w:pPr>
          </w:p>
          <w:p w14:paraId="2AEE5F80" w14:textId="77777777" w:rsidR="00141B97" w:rsidRDefault="00911D63">
            <w:pPr>
              <w:pStyle w:val="TableParagraph"/>
              <w:spacing w:before="1"/>
              <w:ind w:left="75"/>
              <w:rPr>
                <w:sz w:val="18"/>
              </w:rPr>
            </w:pPr>
            <w:r>
              <w:rPr>
                <w:sz w:val="18"/>
              </w:rPr>
              <w:t>10 business</w:t>
            </w:r>
            <w:r>
              <w:rPr>
                <w:spacing w:val="-1"/>
                <w:sz w:val="18"/>
              </w:rPr>
              <w:t xml:space="preserve"> </w:t>
            </w:r>
            <w:r>
              <w:rPr>
                <w:spacing w:val="-4"/>
                <w:sz w:val="18"/>
              </w:rPr>
              <w:t>days</w:t>
            </w:r>
          </w:p>
        </w:tc>
      </w:tr>
      <w:tr w:rsidR="00141B97" w14:paraId="62D1705D" w14:textId="77777777">
        <w:trPr>
          <w:trHeight w:val="381"/>
        </w:trPr>
        <w:tc>
          <w:tcPr>
            <w:tcW w:w="9761" w:type="dxa"/>
            <w:gridSpan w:val="2"/>
            <w:tcBorders>
              <w:top w:val="single" w:sz="8" w:space="0" w:color="FFFFFF"/>
              <w:left w:val="nil"/>
              <w:bottom w:val="single" w:sz="8" w:space="0" w:color="FFFFFF"/>
              <w:right w:val="nil"/>
            </w:tcBorders>
            <w:shd w:val="clear" w:color="auto" w:fill="BFBFBF"/>
          </w:tcPr>
          <w:p w14:paraId="4846E524" w14:textId="77777777" w:rsidR="00141B97" w:rsidRDefault="00911D63">
            <w:pPr>
              <w:pStyle w:val="TableParagraph"/>
              <w:spacing w:before="96"/>
              <w:ind w:left="85"/>
              <w:rPr>
                <w:sz w:val="18"/>
              </w:rPr>
            </w:pPr>
            <w:r>
              <w:rPr>
                <w:spacing w:val="-2"/>
                <w:sz w:val="18"/>
              </w:rPr>
              <w:t>Complaints</w:t>
            </w:r>
          </w:p>
        </w:tc>
      </w:tr>
      <w:tr w:rsidR="00141B97" w14:paraId="3A2EE468" w14:textId="77777777">
        <w:trPr>
          <w:trHeight w:val="382"/>
        </w:trPr>
        <w:tc>
          <w:tcPr>
            <w:tcW w:w="6990" w:type="dxa"/>
            <w:tcBorders>
              <w:top w:val="single" w:sz="8" w:space="0" w:color="FFFFFF"/>
              <w:left w:val="nil"/>
              <w:bottom w:val="nil"/>
              <w:right w:val="single" w:sz="8" w:space="0" w:color="FFFFFF"/>
            </w:tcBorders>
            <w:shd w:val="clear" w:color="auto" w:fill="CCE2ED"/>
          </w:tcPr>
          <w:p w14:paraId="17D09B45" w14:textId="77777777" w:rsidR="00141B97" w:rsidRDefault="00911D63">
            <w:pPr>
              <w:pStyle w:val="TableParagraph"/>
              <w:spacing w:before="66"/>
              <w:ind w:left="75"/>
              <w:rPr>
                <w:sz w:val="18"/>
              </w:rPr>
            </w:pPr>
            <w:r>
              <w:rPr>
                <w:sz w:val="18"/>
              </w:rPr>
              <w:t>Maximum</w:t>
            </w:r>
            <w:r>
              <w:rPr>
                <w:spacing w:val="-1"/>
                <w:sz w:val="18"/>
              </w:rPr>
              <w:t xml:space="preserve"> </w:t>
            </w:r>
            <w:r>
              <w:rPr>
                <w:sz w:val="18"/>
              </w:rPr>
              <w:t>time</w:t>
            </w:r>
            <w:r>
              <w:rPr>
                <w:spacing w:val="-2"/>
                <w:sz w:val="18"/>
              </w:rPr>
              <w:t xml:space="preserve"> </w:t>
            </w:r>
            <w:r>
              <w:rPr>
                <w:sz w:val="18"/>
              </w:rPr>
              <w:t>to</w:t>
            </w:r>
            <w:r>
              <w:rPr>
                <w:spacing w:val="-1"/>
                <w:sz w:val="18"/>
              </w:rPr>
              <w:t xml:space="preserve"> </w:t>
            </w:r>
            <w:r>
              <w:rPr>
                <w:sz w:val="18"/>
              </w:rPr>
              <w:t>respond</w:t>
            </w:r>
            <w:r>
              <w:rPr>
                <w:spacing w:val="-2"/>
                <w:sz w:val="18"/>
              </w:rPr>
              <w:t xml:space="preserve"> </w:t>
            </w:r>
            <w:r>
              <w:rPr>
                <w:sz w:val="18"/>
              </w:rPr>
              <w:t>to</w:t>
            </w:r>
            <w:r>
              <w:rPr>
                <w:spacing w:val="-2"/>
                <w:sz w:val="18"/>
              </w:rPr>
              <w:t xml:space="preserve"> </w:t>
            </w:r>
            <w:r>
              <w:rPr>
                <w:sz w:val="18"/>
              </w:rPr>
              <w:t xml:space="preserve">a </w:t>
            </w:r>
            <w:r>
              <w:rPr>
                <w:spacing w:val="-2"/>
                <w:sz w:val="18"/>
              </w:rPr>
              <w:t>complaint</w:t>
            </w:r>
          </w:p>
        </w:tc>
        <w:tc>
          <w:tcPr>
            <w:tcW w:w="2771" w:type="dxa"/>
            <w:tcBorders>
              <w:top w:val="single" w:sz="8" w:space="0" w:color="FFFFFF"/>
              <w:left w:val="single" w:sz="8" w:space="0" w:color="FFFFFF"/>
              <w:bottom w:val="nil"/>
              <w:right w:val="nil"/>
            </w:tcBorders>
            <w:shd w:val="clear" w:color="auto" w:fill="CCE2ED"/>
          </w:tcPr>
          <w:p w14:paraId="38E166BB" w14:textId="77777777" w:rsidR="00141B97" w:rsidRDefault="00911D63">
            <w:pPr>
              <w:pStyle w:val="TableParagraph"/>
              <w:spacing w:before="96"/>
              <w:ind w:left="75"/>
              <w:rPr>
                <w:sz w:val="18"/>
              </w:rPr>
            </w:pPr>
            <w:r>
              <w:rPr>
                <w:sz w:val="18"/>
              </w:rPr>
              <w:t>10 business</w:t>
            </w:r>
            <w:r>
              <w:rPr>
                <w:spacing w:val="-1"/>
                <w:sz w:val="18"/>
              </w:rPr>
              <w:t xml:space="preserve"> </w:t>
            </w:r>
            <w:r>
              <w:rPr>
                <w:spacing w:val="-4"/>
                <w:sz w:val="18"/>
              </w:rPr>
              <w:t>days</w:t>
            </w:r>
          </w:p>
        </w:tc>
      </w:tr>
    </w:tbl>
    <w:p w14:paraId="33FD46C5" w14:textId="77777777" w:rsidR="00141B97" w:rsidRDefault="00911D63">
      <w:pPr>
        <w:spacing w:before="29"/>
        <w:ind w:left="114"/>
        <w:rPr>
          <w:sz w:val="16"/>
        </w:rPr>
      </w:pPr>
      <w:r>
        <w:rPr>
          <w:sz w:val="16"/>
        </w:rPr>
        <w:t>Table</w:t>
      </w:r>
      <w:r>
        <w:rPr>
          <w:spacing w:val="-4"/>
          <w:sz w:val="16"/>
        </w:rPr>
        <w:t xml:space="preserve"> </w:t>
      </w:r>
      <w:r>
        <w:rPr>
          <w:sz w:val="16"/>
        </w:rPr>
        <w:t>B14:</w:t>
      </w:r>
      <w:r>
        <w:rPr>
          <w:spacing w:val="-3"/>
          <w:sz w:val="16"/>
        </w:rPr>
        <w:t xml:space="preserve"> </w:t>
      </w:r>
      <w:r>
        <w:rPr>
          <w:sz w:val="16"/>
        </w:rPr>
        <w:t>Service</w:t>
      </w:r>
      <w:r>
        <w:rPr>
          <w:spacing w:val="-5"/>
          <w:sz w:val="16"/>
        </w:rPr>
        <w:t xml:space="preserve"> </w:t>
      </w:r>
      <w:r>
        <w:rPr>
          <w:sz w:val="16"/>
        </w:rPr>
        <w:t>Standards</w:t>
      </w:r>
      <w:r>
        <w:rPr>
          <w:spacing w:val="-5"/>
          <w:sz w:val="16"/>
        </w:rPr>
        <w:t xml:space="preserve"> </w:t>
      </w:r>
      <w:r>
        <w:rPr>
          <w:sz w:val="16"/>
        </w:rPr>
        <w:t>‐</w:t>
      </w:r>
      <w:r>
        <w:rPr>
          <w:spacing w:val="-5"/>
          <w:sz w:val="16"/>
        </w:rPr>
        <w:t xml:space="preserve"> </w:t>
      </w:r>
      <w:r>
        <w:rPr>
          <w:spacing w:val="-2"/>
          <w:sz w:val="16"/>
        </w:rPr>
        <w:t>Urban</w:t>
      </w:r>
    </w:p>
    <w:p w14:paraId="1690B701" w14:textId="77777777" w:rsidR="00141B97" w:rsidRDefault="00141B97">
      <w:pPr>
        <w:rPr>
          <w:sz w:val="16"/>
        </w:rPr>
        <w:sectPr w:rsidR="00141B97">
          <w:pgSz w:w="11910" w:h="16840"/>
          <w:pgMar w:top="820" w:right="40" w:bottom="760" w:left="1020" w:header="0" w:footer="580" w:gutter="0"/>
          <w:cols w:space="720"/>
        </w:sectPr>
      </w:pPr>
    </w:p>
    <w:p w14:paraId="48C9671F" w14:textId="77777777" w:rsidR="00141B97" w:rsidRDefault="00911D63">
      <w:pPr>
        <w:pStyle w:val="Heading2"/>
        <w:numPr>
          <w:ilvl w:val="1"/>
          <w:numId w:val="81"/>
        </w:numPr>
        <w:tabs>
          <w:tab w:val="left" w:pos="1113"/>
        </w:tabs>
        <w:spacing w:before="31"/>
        <w:jc w:val="both"/>
      </w:pPr>
      <w:r>
        <w:rPr>
          <w:color w:val="009BAC"/>
        </w:rPr>
        <w:lastRenderedPageBreak/>
        <w:t>Performance</w:t>
      </w:r>
      <w:r>
        <w:rPr>
          <w:color w:val="009BAC"/>
          <w:spacing w:val="-13"/>
        </w:rPr>
        <w:t xml:space="preserve"> </w:t>
      </w:r>
      <w:r>
        <w:rPr>
          <w:color w:val="009BAC"/>
        </w:rPr>
        <w:t>Measurement</w:t>
      </w:r>
      <w:r>
        <w:rPr>
          <w:color w:val="009BAC"/>
          <w:spacing w:val="-12"/>
        </w:rPr>
        <w:t xml:space="preserve"> </w:t>
      </w:r>
      <w:r>
        <w:rPr>
          <w:color w:val="009BAC"/>
        </w:rPr>
        <w:t>and</w:t>
      </w:r>
      <w:r>
        <w:rPr>
          <w:color w:val="009BAC"/>
          <w:spacing w:val="-12"/>
        </w:rPr>
        <w:t xml:space="preserve"> </w:t>
      </w:r>
      <w:r>
        <w:rPr>
          <w:color w:val="009BAC"/>
          <w:spacing w:val="-2"/>
        </w:rPr>
        <w:t>Reporting</w:t>
      </w:r>
    </w:p>
    <w:p w14:paraId="7185EE38" w14:textId="77777777" w:rsidR="00141B97" w:rsidRDefault="00141B97">
      <w:pPr>
        <w:pStyle w:val="BodyText"/>
        <w:spacing w:before="8"/>
        <w:rPr>
          <w:sz w:val="20"/>
        </w:rPr>
      </w:pPr>
    </w:p>
    <w:p w14:paraId="3A10D201" w14:textId="77777777" w:rsidR="00141B97" w:rsidRDefault="00911D63">
      <w:pPr>
        <w:pStyle w:val="ListParagraph"/>
        <w:numPr>
          <w:ilvl w:val="2"/>
          <w:numId w:val="81"/>
        </w:numPr>
        <w:tabs>
          <w:tab w:val="left" w:pos="1040"/>
          <w:tab w:val="left" w:pos="1041"/>
        </w:tabs>
        <w:ind w:left="1040" w:hanging="927"/>
        <w:jc w:val="both"/>
      </w:pPr>
      <w:r>
        <w:t>Proposed</w:t>
      </w:r>
      <w:r>
        <w:rPr>
          <w:spacing w:val="-10"/>
        </w:rPr>
        <w:t xml:space="preserve"> </w:t>
      </w:r>
      <w:r>
        <w:t>Outcomes,</w:t>
      </w:r>
      <w:r>
        <w:rPr>
          <w:spacing w:val="-9"/>
        </w:rPr>
        <w:t xml:space="preserve"> </w:t>
      </w:r>
      <w:r>
        <w:t>Outputs,</w:t>
      </w:r>
      <w:r>
        <w:rPr>
          <w:spacing w:val="-10"/>
        </w:rPr>
        <w:t xml:space="preserve"> </w:t>
      </w:r>
      <w:r>
        <w:t>Deliverables</w:t>
      </w:r>
      <w:r>
        <w:rPr>
          <w:spacing w:val="-9"/>
        </w:rPr>
        <w:t xml:space="preserve"> </w:t>
      </w:r>
      <w:r>
        <w:t>and</w:t>
      </w:r>
      <w:r>
        <w:rPr>
          <w:spacing w:val="-10"/>
        </w:rPr>
        <w:t xml:space="preserve"> </w:t>
      </w:r>
      <w:r>
        <w:rPr>
          <w:spacing w:val="-2"/>
        </w:rPr>
        <w:t>Targets</w:t>
      </w:r>
    </w:p>
    <w:p w14:paraId="32554D5A" w14:textId="77777777" w:rsidR="00141B97" w:rsidRDefault="00911D63">
      <w:pPr>
        <w:pStyle w:val="BodyText"/>
        <w:spacing w:before="59"/>
        <w:ind w:left="113" w:right="947"/>
        <w:jc w:val="both"/>
      </w:pPr>
      <w:r>
        <w:t>Proposed performance standards and targets for reporting to customers are derived from the customer outcomes</w:t>
      </w:r>
      <w:r>
        <w:rPr>
          <w:spacing w:val="-8"/>
        </w:rPr>
        <w:t xml:space="preserve"> </w:t>
      </w:r>
      <w:r>
        <w:t>detailed</w:t>
      </w:r>
      <w:r>
        <w:rPr>
          <w:spacing w:val="-9"/>
        </w:rPr>
        <w:t xml:space="preserve"> </w:t>
      </w:r>
      <w:r>
        <w:t>in</w:t>
      </w:r>
      <w:r>
        <w:rPr>
          <w:spacing w:val="-10"/>
        </w:rPr>
        <w:t xml:space="preserve"> </w:t>
      </w:r>
      <w:r>
        <w:t>Section</w:t>
      </w:r>
      <w:r>
        <w:rPr>
          <w:spacing w:val="-10"/>
        </w:rPr>
        <w:t xml:space="preserve"> </w:t>
      </w:r>
      <w:r>
        <w:t>3.1.</w:t>
      </w:r>
      <w:r>
        <w:rPr>
          <w:spacing w:val="-10"/>
        </w:rPr>
        <w:t xml:space="preserve"> </w:t>
      </w:r>
      <w:r>
        <w:t>Where</w:t>
      </w:r>
      <w:r>
        <w:rPr>
          <w:spacing w:val="-8"/>
        </w:rPr>
        <w:t xml:space="preserve"> </w:t>
      </w:r>
      <w:r>
        <w:t>possible</w:t>
      </w:r>
      <w:r>
        <w:rPr>
          <w:spacing w:val="-10"/>
        </w:rPr>
        <w:t xml:space="preserve"> </w:t>
      </w:r>
      <w:r>
        <w:t>and</w:t>
      </w:r>
      <w:r>
        <w:rPr>
          <w:spacing w:val="-8"/>
        </w:rPr>
        <w:t xml:space="preserve"> </w:t>
      </w:r>
      <w:r>
        <w:t>appropriate,</w:t>
      </w:r>
      <w:r>
        <w:rPr>
          <w:spacing w:val="-8"/>
        </w:rPr>
        <w:t xml:space="preserve"> </w:t>
      </w:r>
      <w:r>
        <w:t>LMW</w:t>
      </w:r>
      <w:r>
        <w:rPr>
          <w:spacing w:val="-11"/>
        </w:rPr>
        <w:t xml:space="preserve"> </w:t>
      </w:r>
      <w:r>
        <w:t>has</w:t>
      </w:r>
      <w:r>
        <w:rPr>
          <w:spacing w:val="-10"/>
        </w:rPr>
        <w:t xml:space="preserve"> </w:t>
      </w:r>
      <w:r>
        <w:t>utilised</w:t>
      </w:r>
      <w:r>
        <w:rPr>
          <w:spacing w:val="-11"/>
        </w:rPr>
        <w:t xml:space="preserve"> </w:t>
      </w:r>
      <w:r>
        <w:t>measures</w:t>
      </w:r>
      <w:r>
        <w:rPr>
          <w:spacing w:val="-9"/>
        </w:rPr>
        <w:t xml:space="preserve"> </w:t>
      </w:r>
      <w:r>
        <w:t>from</w:t>
      </w:r>
      <w:r>
        <w:rPr>
          <w:spacing w:val="-10"/>
        </w:rPr>
        <w:t xml:space="preserve"> </w:t>
      </w:r>
      <w:r>
        <w:t>the</w:t>
      </w:r>
      <w:r>
        <w:rPr>
          <w:spacing w:val="-11"/>
        </w:rPr>
        <w:t xml:space="preserve"> </w:t>
      </w:r>
      <w:r>
        <w:t>current ESC performance reporting suite to track performance and demonstrate improvement over time. These are supplemented by a range of new measures agreed with customers such as ‘Resolve customer requests / enquiries</w:t>
      </w:r>
      <w:r>
        <w:rPr>
          <w:spacing w:val="-5"/>
        </w:rPr>
        <w:t xml:space="preserve"> </w:t>
      </w:r>
      <w:r>
        <w:t>within</w:t>
      </w:r>
      <w:r>
        <w:rPr>
          <w:spacing w:val="-6"/>
        </w:rPr>
        <w:t xml:space="preserve"> </w:t>
      </w:r>
      <w:r>
        <w:t>the</w:t>
      </w:r>
      <w:r>
        <w:rPr>
          <w:spacing w:val="-5"/>
        </w:rPr>
        <w:t xml:space="preserve"> </w:t>
      </w:r>
      <w:r>
        <w:t>defined</w:t>
      </w:r>
      <w:r>
        <w:rPr>
          <w:spacing w:val="-6"/>
        </w:rPr>
        <w:t xml:space="preserve"> </w:t>
      </w:r>
      <w:r>
        <w:t>response</w:t>
      </w:r>
      <w:r>
        <w:rPr>
          <w:spacing w:val="-6"/>
        </w:rPr>
        <w:t xml:space="preserve"> </w:t>
      </w:r>
      <w:r>
        <w:t>time</w:t>
      </w:r>
      <w:r>
        <w:rPr>
          <w:spacing w:val="-6"/>
        </w:rPr>
        <w:t xml:space="preserve"> </w:t>
      </w:r>
      <w:r>
        <w:t>(Mean</w:t>
      </w:r>
      <w:r>
        <w:rPr>
          <w:spacing w:val="-6"/>
        </w:rPr>
        <w:t xml:space="preserve"> </w:t>
      </w:r>
      <w:r>
        <w:t>Time</w:t>
      </w:r>
      <w:r>
        <w:rPr>
          <w:spacing w:val="-5"/>
        </w:rPr>
        <w:t xml:space="preserve"> </w:t>
      </w:r>
      <w:r>
        <w:t>to</w:t>
      </w:r>
      <w:r>
        <w:rPr>
          <w:spacing w:val="-6"/>
        </w:rPr>
        <w:t xml:space="preserve"> </w:t>
      </w:r>
      <w:r>
        <w:t>Resolve)</w:t>
      </w:r>
      <w:r>
        <w:rPr>
          <w:spacing w:val="-5"/>
        </w:rPr>
        <w:t xml:space="preserve"> </w:t>
      </w:r>
      <w:r>
        <w:t>–</w:t>
      </w:r>
      <w:r>
        <w:rPr>
          <w:spacing w:val="-6"/>
        </w:rPr>
        <w:t xml:space="preserve"> </w:t>
      </w:r>
      <w:r>
        <w:t>Target</w:t>
      </w:r>
      <w:r>
        <w:rPr>
          <w:spacing w:val="-4"/>
        </w:rPr>
        <w:t xml:space="preserve"> </w:t>
      </w:r>
      <w:r>
        <w:t>%</w:t>
      </w:r>
      <w:r>
        <w:rPr>
          <w:spacing w:val="-5"/>
        </w:rPr>
        <w:t xml:space="preserve"> </w:t>
      </w:r>
      <w:r>
        <w:t>=/&gt;</w:t>
      </w:r>
      <w:r>
        <w:rPr>
          <w:spacing w:val="-4"/>
        </w:rPr>
        <w:t xml:space="preserve"> </w:t>
      </w:r>
      <w:r>
        <w:t>per</w:t>
      </w:r>
      <w:r>
        <w:rPr>
          <w:spacing w:val="-5"/>
        </w:rPr>
        <w:t xml:space="preserve"> </w:t>
      </w:r>
      <w:r>
        <w:t>year’</w:t>
      </w:r>
      <w:r>
        <w:rPr>
          <w:spacing w:val="-3"/>
        </w:rPr>
        <w:t xml:space="preserve"> </w:t>
      </w:r>
      <w:r>
        <w:t>from</w:t>
      </w:r>
      <w:r>
        <w:rPr>
          <w:spacing w:val="-5"/>
        </w:rPr>
        <w:t xml:space="preserve"> </w:t>
      </w:r>
      <w:r>
        <w:t>2024/25.</w:t>
      </w:r>
      <w:r>
        <w:rPr>
          <w:spacing w:val="-6"/>
        </w:rPr>
        <w:t xml:space="preserve"> </w:t>
      </w:r>
      <w:r>
        <w:t>The proposed</w:t>
      </w:r>
      <w:r>
        <w:rPr>
          <w:spacing w:val="-8"/>
        </w:rPr>
        <w:t xml:space="preserve"> </w:t>
      </w:r>
      <w:r>
        <w:t>Performance</w:t>
      </w:r>
      <w:r>
        <w:rPr>
          <w:spacing w:val="-7"/>
        </w:rPr>
        <w:t xml:space="preserve"> </w:t>
      </w:r>
      <w:r>
        <w:t>Assessment</w:t>
      </w:r>
      <w:r>
        <w:rPr>
          <w:spacing w:val="-6"/>
        </w:rPr>
        <w:t xml:space="preserve"> </w:t>
      </w:r>
      <w:r>
        <w:t>Criteria</w:t>
      </w:r>
      <w:r>
        <w:rPr>
          <w:spacing w:val="-7"/>
        </w:rPr>
        <w:t xml:space="preserve"> </w:t>
      </w:r>
      <w:r>
        <w:t>along</w:t>
      </w:r>
      <w:r>
        <w:rPr>
          <w:spacing w:val="-7"/>
        </w:rPr>
        <w:t xml:space="preserve"> </w:t>
      </w:r>
      <w:r>
        <w:t>with</w:t>
      </w:r>
      <w:r>
        <w:rPr>
          <w:spacing w:val="-7"/>
        </w:rPr>
        <w:t xml:space="preserve"> </w:t>
      </w:r>
      <w:r>
        <w:t>their</w:t>
      </w:r>
      <w:r>
        <w:rPr>
          <w:spacing w:val="-7"/>
        </w:rPr>
        <w:t xml:space="preserve"> </w:t>
      </w:r>
      <w:r>
        <w:t>annual</w:t>
      </w:r>
      <w:r>
        <w:rPr>
          <w:spacing w:val="-9"/>
        </w:rPr>
        <w:t xml:space="preserve"> </w:t>
      </w:r>
      <w:r>
        <w:t>targets</w:t>
      </w:r>
      <w:r>
        <w:rPr>
          <w:spacing w:val="-7"/>
        </w:rPr>
        <w:t xml:space="preserve"> </w:t>
      </w:r>
      <w:r>
        <w:t>are</w:t>
      </w:r>
      <w:r>
        <w:rPr>
          <w:spacing w:val="-8"/>
        </w:rPr>
        <w:t xml:space="preserve"> </w:t>
      </w:r>
      <w:r>
        <w:t>summarised</w:t>
      </w:r>
      <w:r>
        <w:rPr>
          <w:spacing w:val="-7"/>
        </w:rPr>
        <w:t xml:space="preserve"> </w:t>
      </w:r>
      <w:r>
        <w:t>in</w:t>
      </w:r>
      <w:r>
        <w:rPr>
          <w:spacing w:val="-6"/>
        </w:rPr>
        <w:t xml:space="preserve"> </w:t>
      </w:r>
      <w:r>
        <w:t>Table</w:t>
      </w:r>
      <w:r>
        <w:rPr>
          <w:spacing w:val="-7"/>
        </w:rPr>
        <w:t xml:space="preserve"> </w:t>
      </w:r>
      <w:r>
        <w:t>B15</w:t>
      </w:r>
      <w:r>
        <w:rPr>
          <w:spacing w:val="-6"/>
        </w:rPr>
        <w:t xml:space="preserve"> </w:t>
      </w:r>
      <w:r>
        <w:t>below:</w:t>
      </w:r>
    </w:p>
    <w:p w14:paraId="0D853922" w14:textId="77777777" w:rsidR="00141B97" w:rsidRDefault="00141B97">
      <w:pPr>
        <w:pStyle w:val="BodyText"/>
        <w:spacing w:before="10"/>
        <w:rPr>
          <w:sz w:val="21"/>
        </w:rPr>
      </w:pPr>
    </w:p>
    <w:tbl>
      <w:tblPr>
        <w:tblW w:w="0" w:type="auto"/>
        <w:tblCellSpacing w:w="9" w:type="dxa"/>
        <w:tblInd w:w="131" w:type="dxa"/>
        <w:tblLayout w:type="fixed"/>
        <w:tblCellMar>
          <w:left w:w="0" w:type="dxa"/>
          <w:right w:w="0" w:type="dxa"/>
        </w:tblCellMar>
        <w:tblLook w:val="01E0" w:firstRow="1" w:lastRow="1" w:firstColumn="1" w:lastColumn="1" w:noHBand="0" w:noVBand="0"/>
      </w:tblPr>
      <w:tblGrid>
        <w:gridCol w:w="4708"/>
        <w:gridCol w:w="914"/>
        <w:gridCol w:w="886"/>
        <w:gridCol w:w="845"/>
        <w:gridCol w:w="845"/>
        <w:gridCol w:w="857"/>
        <w:gridCol w:w="844"/>
      </w:tblGrid>
      <w:tr w:rsidR="00141B97" w14:paraId="1CEED138" w14:textId="77777777">
        <w:trPr>
          <w:trHeight w:val="585"/>
          <w:tblCellSpacing w:w="9" w:type="dxa"/>
        </w:trPr>
        <w:tc>
          <w:tcPr>
            <w:tcW w:w="9755" w:type="dxa"/>
            <w:gridSpan w:val="7"/>
            <w:tcBorders>
              <w:top w:val="nil"/>
              <w:left w:val="nil"/>
              <w:right w:val="nil"/>
            </w:tcBorders>
            <w:shd w:val="clear" w:color="auto" w:fill="0064A4"/>
          </w:tcPr>
          <w:p w14:paraId="4AED931C" w14:textId="77777777" w:rsidR="00141B97" w:rsidRDefault="00911D63">
            <w:pPr>
              <w:pStyle w:val="TableParagraph"/>
              <w:tabs>
                <w:tab w:val="left" w:pos="6393"/>
              </w:tabs>
              <w:ind w:left="4708"/>
              <w:rPr>
                <w:sz w:val="16"/>
              </w:rPr>
            </w:pPr>
            <w:r>
              <w:rPr>
                <w:color w:val="FFFFFF"/>
                <w:sz w:val="16"/>
              </w:rPr>
              <w:t>Average</w:t>
            </w:r>
            <w:r>
              <w:rPr>
                <w:color w:val="FFFFFF"/>
                <w:spacing w:val="-5"/>
                <w:sz w:val="16"/>
              </w:rPr>
              <w:t xml:space="preserve"> </w:t>
            </w:r>
            <w:r>
              <w:rPr>
                <w:color w:val="FFFFFF"/>
                <w:spacing w:val="-10"/>
                <w:sz w:val="16"/>
              </w:rPr>
              <w:t>/</w:t>
            </w:r>
            <w:r>
              <w:rPr>
                <w:color w:val="FFFFFF"/>
                <w:sz w:val="16"/>
              </w:rPr>
              <w:tab/>
              <w:t>Annual</w:t>
            </w:r>
            <w:r>
              <w:rPr>
                <w:color w:val="FFFFFF"/>
                <w:spacing w:val="-5"/>
                <w:sz w:val="16"/>
              </w:rPr>
              <w:t xml:space="preserve"> </w:t>
            </w:r>
            <w:r>
              <w:rPr>
                <w:color w:val="FFFFFF"/>
                <w:sz w:val="16"/>
              </w:rPr>
              <w:t>target</w:t>
            </w:r>
            <w:r>
              <w:rPr>
                <w:color w:val="FFFFFF"/>
                <w:spacing w:val="-5"/>
                <w:sz w:val="16"/>
              </w:rPr>
              <w:t xml:space="preserve"> </w:t>
            </w:r>
            <w:r>
              <w:rPr>
                <w:color w:val="FFFFFF"/>
                <w:sz w:val="16"/>
              </w:rPr>
              <w:t>for</w:t>
            </w:r>
            <w:r>
              <w:rPr>
                <w:color w:val="FFFFFF"/>
                <w:spacing w:val="-5"/>
                <w:sz w:val="16"/>
              </w:rPr>
              <w:t xml:space="preserve"> </w:t>
            </w:r>
            <w:r>
              <w:rPr>
                <w:color w:val="FFFFFF"/>
                <w:sz w:val="16"/>
              </w:rPr>
              <w:t>fifth</w:t>
            </w:r>
            <w:r>
              <w:rPr>
                <w:color w:val="FFFFFF"/>
                <w:spacing w:val="-4"/>
                <w:sz w:val="16"/>
              </w:rPr>
              <w:t xml:space="preserve"> </w:t>
            </w:r>
            <w:r>
              <w:rPr>
                <w:color w:val="FFFFFF"/>
                <w:sz w:val="16"/>
              </w:rPr>
              <w:t>regulatory</w:t>
            </w:r>
            <w:r>
              <w:rPr>
                <w:color w:val="FFFFFF"/>
                <w:spacing w:val="-5"/>
                <w:sz w:val="16"/>
              </w:rPr>
              <w:t xml:space="preserve"> </w:t>
            </w:r>
            <w:r>
              <w:rPr>
                <w:color w:val="FFFFFF"/>
                <w:spacing w:val="-2"/>
                <w:sz w:val="16"/>
              </w:rPr>
              <w:t>period</w:t>
            </w:r>
          </w:p>
          <w:p w14:paraId="17317723" w14:textId="77777777" w:rsidR="00141B97" w:rsidRDefault="00911D63">
            <w:pPr>
              <w:pStyle w:val="TableParagraph"/>
              <w:tabs>
                <w:tab w:val="left" w:pos="4708"/>
              </w:tabs>
              <w:spacing w:line="151" w:lineRule="exact"/>
              <w:ind w:left="27"/>
              <w:rPr>
                <w:sz w:val="16"/>
              </w:rPr>
            </w:pPr>
            <w:r>
              <w:rPr>
                <w:color w:val="FFFFFF"/>
                <w:spacing w:val="-2"/>
                <w:sz w:val="16"/>
              </w:rPr>
              <w:t>Performance</w:t>
            </w:r>
            <w:r>
              <w:rPr>
                <w:color w:val="FFFFFF"/>
                <w:spacing w:val="10"/>
                <w:sz w:val="16"/>
              </w:rPr>
              <w:t xml:space="preserve"> </w:t>
            </w:r>
            <w:r>
              <w:rPr>
                <w:color w:val="FFFFFF"/>
                <w:spacing w:val="-2"/>
                <w:sz w:val="16"/>
              </w:rPr>
              <w:t>Assessment</w:t>
            </w:r>
            <w:r>
              <w:rPr>
                <w:color w:val="FFFFFF"/>
                <w:spacing w:val="13"/>
                <w:sz w:val="16"/>
              </w:rPr>
              <w:t xml:space="preserve"> </w:t>
            </w:r>
            <w:r>
              <w:rPr>
                <w:color w:val="FFFFFF"/>
                <w:spacing w:val="-2"/>
                <w:sz w:val="16"/>
              </w:rPr>
              <w:t>Criteria</w:t>
            </w:r>
            <w:r>
              <w:rPr>
                <w:color w:val="FFFFFF"/>
                <w:sz w:val="16"/>
              </w:rPr>
              <w:tab/>
              <w:t>Target</w:t>
            </w:r>
            <w:r>
              <w:rPr>
                <w:color w:val="FFFFFF"/>
                <w:spacing w:val="-7"/>
                <w:sz w:val="16"/>
              </w:rPr>
              <w:t xml:space="preserve"> </w:t>
            </w:r>
            <w:r>
              <w:rPr>
                <w:color w:val="FFFFFF"/>
                <w:spacing w:val="-5"/>
                <w:sz w:val="16"/>
              </w:rPr>
              <w:t>for</w:t>
            </w:r>
          </w:p>
          <w:p w14:paraId="5FB424A6" w14:textId="77777777" w:rsidR="00141B97" w:rsidRDefault="00911D63">
            <w:pPr>
              <w:pStyle w:val="TableParagraph"/>
              <w:tabs>
                <w:tab w:val="left" w:pos="5744"/>
                <w:tab w:val="left" w:pos="6591"/>
                <w:tab w:val="left" w:pos="7419"/>
                <w:tab w:val="left" w:pos="8253"/>
                <w:tab w:val="left" w:pos="9087"/>
              </w:tabs>
              <w:spacing w:line="168" w:lineRule="auto"/>
              <w:ind w:left="4708"/>
              <w:rPr>
                <w:sz w:val="16"/>
              </w:rPr>
            </w:pPr>
            <w:r>
              <w:rPr>
                <w:color w:val="FFFFFF"/>
                <w:spacing w:val="-5"/>
                <w:position w:val="-8"/>
                <w:sz w:val="16"/>
              </w:rPr>
              <w:t>PS4</w:t>
            </w:r>
            <w:r>
              <w:rPr>
                <w:color w:val="FFFFFF"/>
                <w:position w:val="-8"/>
                <w:sz w:val="16"/>
              </w:rPr>
              <w:tab/>
            </w:r>
            <w:r>
              <w:rPr>
                <w:color w:val="FFFFFF"/>
                <w:spacing w:val="-2"/>
                <w:sz w:val="16"/>
              </w:rPr>
              <w:t>2023‐24</w:t>
            </w:r>
            <w:r>
              <w:rPr>
                <w:color w:val="FFFFFF"/>
                <w:sz w:val="16"/>
              </w:rPr>
              <w:tab/>
            </w:r>
            <w:r>
              <w:rPr>
                <w:color w:val="FFFFFF"/>
                <w:spacing w:val="-2"/>
                <w:sz w:val="16"/>
              </w:rPr>
              <w:t>2024‐25</w:t>
            </w:r>
            <w:r>
              <w:rPr>
                <w:color w:val="FFFFFF"/>
                <w:sz w:val="16"/>
              </w:rPr>
              <w:tab/>
            </w:r>
            <w:r>
              <w:rPr>
                <w:color w:val="FFFFFF"/>
                <w:spacing w:val="-2"/>
                <w:sz w:val="16"/>
              </w:rPr>
              <w:t>2025‐26</w:t>
            </w:r>
            <w:r>
              <w:rPr>
                <w:color w:val="FFFFFF"/>
                <w:sz w:val="16"/>
              </w:rPr>
              <w:tab/>
            </w:r>
            <w:r>
              <w:rPr>
                <w:color w:val="FFFFFF"/>
                <w:spacing w:val="-2"/>
                <w:sz w:val="16"/>
              </w:rPr>
              <w:t>2026‐27</w:t>
            </w:r>
            <w:r>
              <w:rPr>
                <w:color w:val="FFFFFF"/>
                <w:sz w:val="16"/>
              </w:rPr>
              <w:tab/>
            </w:r>
            <w:r>
              <w:rPr>
                <w:color w:val="FFFFFF"/>
                <w:spacing w:val="-2"/>
                <w:sz w:val="16"/>
              </w:rPr>
              <w:t>2027‐28</w:t>
            </w:r>
          </w:p>
        </w:tc>
      </w:tr>
      <w:tr w:rsidR="00141B97" w14:paraId="0B67AE72" w14:textId="77777777">
        <w:trPr>
          <w:trHeight w:val="195"/>
          <w:tblCellSpacing w:w="9" w:type="dxa"/>
        </w:trPr>
        <w:tc>
          <w:tcPr>
            <w:tcW w:w="9755" w:type="dxa"/>
            <w:gridSpan w:val="7"/>
            <w:tcBorders>
              <w:left w:val="nil"/>
              <w:right w:val="nil"/>
            </w:tcBorders>
            <w:shd w:val="clear" w:color="auto" w:fill="BFBFBF"/>
          </w:tcPr>
          <w:p w14:paraId="10DD0DD0" w14:textId="77777777" w:rsidR="00141B97" w:rsidRDefault="00911D63">
            <w:pPr>
              <w:pStyle w:val="TableParagraph"/>
              <w:spacing w:before="1" w:line="175" w:lineRule="exact"/>
              <w:ind w:left="27"/>
              <w:rPr>
                <w:sz w:val="16"/>
              </w:rPr>
            </w:pPr>
            <w:r>
              <w:rPr>
                <w:sz w:val="16"/>
              </w:rPr>
              <w:t>Outcome</w:t>
            </w:r>
            <w:r>
              <w:rPr>
                <w:spacing w:val="-3"/>
                <w:sz w:val="16"/>
              </w:rPr>
              <w:t xml:space="preserve"> </w:t>
            </w:r>
            <w:r>
              <w:rPr>
                <w:sz w:val="16"/>
              </w:rPr>
              <w:t>1:</w:t>
            </w:r>
            <w:r>
              <w:rPr>
                <w:spacing w:val="-2"/>
                <w:sz w:val="16"/>
              </w:rPr>
              <w:t xml:space="preserve"> </w:t>
            </w:r>
            <w:r>
              <w:rPr>
                <w:sz w:val="16"/>
              </w:rPr>
              <w:t>Keep</w:t>
            </w:r>
            <w:r>
              <w:rPr>
                <w:spacing w:val="-4"/>
                <w:sz w:val="16"/>
              </w:rPr>
              <w:t xml:space="preserve"> </w:t>
            </w:r>
            <w:r>
              <w:rPr>
                <w:sz w:val="16"/>
              </w:rPr>
              <w:t>my</w:t>
            </w:r>
            <w:r>
              <w:rPr>
                <w:spacing w:val="-2"/>
                <w:sz w:val="16"/>
              </w:rPr>
              <w:t xml:space="preserve"> </w:t>
            </w:r>
            <w:r>
              <w:rPr>
                <w:sz w:val="16"/>
              </w:rPr>
              <w:t>costs</w:t>
            </w:r>
            <w:r>
              <w:rPr>
                <w:spacing w:val="-4"/>
                <w:sz w:val="16"/>
              </w:rPr>
              <w:t xml:space="preserve"> </w:t>
            </w:r>
            <w:r>
              <w:rPr>
                <w:sz w:val="16"/>
              </w:rPr>
              <w:t>to</w:t>
            </w:r>
            <w:r>
              <w:rPr>
                <w:spacing w:val="-4"/>
                <w:sz w:val="16"/>
              </w:rPr>
              <w:t xml:space="preserve"> </w:t>
            </w:r>
            <w:r>
              <w:rPr>
                <w:sz w:val="16"/>
              </w:rPr>
              <w:t>a</w:t>
            </w:r>
            <w:r>
              <w:rPr>
                <w:spacing w:val="-2"/>
                <w:sz w:val="16"/>
              </w:rPr>
              <w:t xml:space="preserve"> minimum</w:t>
            </w:r>
          </w:p>
        </w:tc>
      </w:tr>
      <w:tr w:rsidR="00141B97" w14:paraId="6D9F53B4" w14:textId="77777777">
        <w:trPr>
          <w:trHeight w:val="390"/>
          <w:tblCellSpacing w:w="9" w:type="dxa"/>
        </w:trPr>
        <w:tc>
          <w:tcPr>
            <w:tcW w:w="4681" w:type="dxa"/>
            <w:tcBorders>
              <w:left w:val="nil"/>
            </w:tcBorders>
            <w:shd w:val="clear" w:color="auto" w:fill="CCE2ED"/>
          </w:tcPr>
          <w:p w14:paraId="239C02A3" w14:textId="77777777" w:rsidR="00141B97" w:rsidRDefault="00911D63">
            <w:pPr>
              <w:pStyle w:val="TableParagraph"/>
              <w:spacing w:line="195" w:lineRule="exact"/>
              <w:ind w:left="17"/>
              <w:rPr>
                <w:sz w:val="16"/>
              </w:rPr>
            </w:pPr>
            <w:r>
              <w:rPr>
                <w:sz w:val="16"/>
              </w:rPr>
              <w:t>Customer</w:t>
            </w:r>
            <w:r>
              <w:rPr>
                <w:spacing w:val="-5"/>
                <w:sz w:val="16"/>
              </w:rPr>
              <w:t xml:space="preserve"> </w:t>
            </w:r>
            <w:r>
              <w:rPr>
                <w:sz w:val="16"/>
              </w:rPr>
              <w:t>satisfaction</w:t>
            </w:r>
            <w:r>
              <w:rPr>
                <w:spacing w:val="-7"/>
                <w:sz w:val="16"/>
              </w:rPr>
              <w:t xml:space="preserve"> </w:t>
            </w:r>
            <w:r>
              <w:rPr>
                <w:sz w:val="16"/>
              </w:rPr>
              <w:t>for</w:t>
            </w:r>
            <w:r>
              <w:rPr>
                <w:spacing w:val="-6"/>
                <w:sz w:val="16"/>
              </w:rPr>
              <w:t xml:space="preserve"> </w:t>
            </w:r>
            <w:r>
              <w:rPr>
                <w:sz w:val="16"/>
              </w:rPr>
              <w:t>overall</w:t>
            </w:r>
            <w:r>
              <w:rPr>
                <w:spacing w:val="-5"/>
                <w:sz w:val="16"/>
              </w:rPr>
              <w:t xml:space="preserve"> </w:t>
            </w:r>
            <w:r>
              <w:rPr>
                <w:sz w:val="16"/>
              </w:rPr>
              <w:t>services</w:t>
            </w:r>
            <w:r>
              <w:rPr>
                <w:spacing w:val="-6"/>
                <w:sz w:val="16"/>
              </w:rPr>
              <w:t xml:space="preserve"> </w:t>
            </w:r>
            <w:r>
              <w:rPr>
                <w:sz w:val="16"/>
              </w:rPr>
              <w:t>value</w:t>
            </w:r>
            <w:r>
              <w:rPr>
                <w:spacing w:val="-6"/>
                <w:sz w:val="16"/>
              </w:rPr>
              <w:t xml:space="preserve"> </w:t>
            </w:r>
            <w:r>
              <w:rPr>
                <w:sz w:val="16"/>
              </w:rPr>
              <w:t>for</w:t>
            </w:r>
            <w:r>
              <w:rPr>
                <w:spacing w:val="-5"/>
                <w:sz w:val="16"/>
              </w:rPr>
              <w:t xml:space="preserve"> </w:t>
            </w:r>
            <w:r>
              <w:rPr>
                <w:sz w:val="16"/>
              </w:rPr>
              <w:t>money</w:t>
            </w:r>
            <w:r>
              <w:rPr>
                <w:spacing w:val="-5"/>
                <w:sz w:val="16"/>
              </w:rPr>
              <w:t xml:space="preserve"> </w:t>
            </w:r>
            <w:r>
              <w:rPr>
                <w:sz w:val="16"/>
              </w:rPr>
              <w:t>‐</w:t>
            </w:r>
            <w:r>
              <w:rPr>
                <w:spacing w:val="-7"/>
                <w:sz w:val="16"/>
              </w:rPr>
              <w:t xml:space="preserve"> </w:t>
            </w:r>
            <w:r>
              <w:rPr>
                <w:sz w:val="16"/>
              </w:rPr>
              <w:t>Target</w:t>
            </w:r>
            <w:r>
              <w:rPr>
                <w:spacing w:val="-5"/>
                <w:sz w:val="16"/>
              </w:rPr>
              <w:t xml:space="preserve"> </w:t>
            </w:r>
            <w:r>
              <w:rPr>
                <w:sz w:val="16"/>
              </w:rPr>
              <w:t>=</w:t>
            </w:r>
            <w:r>
              <w:rPr>
                <w:spacing w:val="-7"/>
                <w:sz w:val="16"/>
              </w:rPr>
              <w:t xml:space="preserve"> </w:t>
            </w:r>
            <w:r>
              <w:rPr>
                <w:spacing w:val="-5"/>
                <w:sz w:val="16"/>
              </w:rPr>
              <w:t>&gt;/=</w:t>
            </w:r>
          </w:p>
          <w:p w14:paraId="331DFC09" w14:textId="77777777" w:rsidR="00141B97" w:rsidRDefault="00911D63">
            <w:pPr>
              <w:pStyle w:val="TableParagraph"/>
              <w:spacing w:line="175" w:lineRule="exact"/>
              <w:ind w:left="17"/>
              <w:rPr>
                <w:sz w:val="16"/>
              </w:rPr>
            </w:pPr>
            <w:r>
              <w:rPr>
                <w:sz w:val="16"/>
              </w:rPr>
              <w:t>prior</w:t>
            </w:r>
            <w:r>
              <w:rPr>
                <w:spacing w:val="-6"/>
                <w:sz w:val="16"/>
              </w:rPr>
              <w:t xml:space="preserve"> </w:t>
            </w:r>
            <w:r>
              <w:rPr>
                <w:sz w:val="16"/>
              </w:rPr>
              <w:t>year</w:t>
            </w:r>
            <w:r>
              <w:rPr>
                <w:spacing w:val="-6"/>
                <w:sz w:val="16"/>
              </w:rPr>
              <w:t xml:space="preserve"> </w:t>
            </w:r>
            <w:r>
              <w:rPr>
                <w:sz w:val="16"/>
              </w:rPr>
              <w:t>performance</w:t>
            </w:r>
            <w:r>
              <w:rPr>
                <w:spacing w:val="-6"/>
                <w:sz w:val="16"/>
              </w:rPr>
              <w:t xml:space="preserve"> </w:t>
            </w:r>
            <w:r>
              <w:rPr>
                <w:sz w:val="16"/>
              </w:rPr>
              <w:t>of</w:t>
            </w:r>
            <w:r>
              <w:rPr>
                <w:spacing w:val="-5"/>
                <w:sz w:val="16"/>
              </w:rPr>
              <w:t xml:space="preserve"> </w:t>
            </w:r>
            <w:r>
              <w:rPr>
                <w:sz w:val="16"/>
              </w:rPr>
              <w:t>annual</w:t>
            </w:r>
            <w:r>
              <w:rPr>
                <w:spacing w:val="-5"/>
                <w:sz w:val="16"/>
              </w:rPr>
              <w:t xml:space="preserve"> </w:t>
            </w:r>
            <w:r>
              <w:rPr>
                <w:sz w:val="16"/>
              </w:rPr>
              <w:t>survey</w:t>
            </w:r>
            <w:r>
              <w:rPr>
                <w:spacing w:val="-5"/>
                <w:sz w:val="16"/>
              </w:rPr>
              <w:t xml:space="preserve"> </w:t>
            </w:r>
            <w:r>
              <w:rPr>
                <w:spacing w:val="-2"/>
                <w:sz w:val="16"/>
              </w:rPr>
              <w:t>respondents</w:t>
            </w:r>
          </w:p>
        </w:tc>
        <w:tc>
          <w:tcPr>
            <w:tcW w:w="896" w:type="dxa"/>
            <w:shd w:val="clear" w:color="auto" w:fill="CCE2ED"/>
          </w:tcPr>
          <w:p w14:paraId="205AB06D" w14:textId="77777777" w:rsidR="00141B97" w:rsidRDefault="00911D63">
            <w:pPr>
              <w:pStyle w:val="TableParagraph"/>
              <w:spacing w:before="98"/>
              <w:ind w:left="17"/>
              <w:rPr>
                <w:sz w:val="16"/>
              </w:rPr>
            </w:pPr>
            <w:r>
              <w:rPr>
                <w:spacing w:val="-5"/>
                <w:sz w:val="16"/>
              </w:rPr>
              <w:t>NA</w:t>
            </w:r>
          </w:p>
        </w:tc>
        <w:tc>
          <w:tcPr>
            <w:tcW w:w="868" w:type="dxa"/>
            <w:shd w:val="clear" w:color="auto" w:fill="CCE2ED"/>
          </w:tcPr>
          <w:p w14:paraId="522F0031" w14:textId="77777777" w:rsidR="00141B97" w:rsidRDefault="00911D63">
            <w:pPr>
              <w:pStyle w:val="TableParagraph"/>
              <w:spacing w:before="98"/>
              <w:ind w:right="120"/>
              <w:jc w:val="right"/>
              <w:rPr>
                <w:sz w:val="16"/>
              </w:rPr>
            </w:pPr>
            <w:r>
              <w:rPr>
                <w:spacing w:val="-2"/>
                <w:sz w:val="16"/>
              </w:rPr>
              <w:t>=/&gt;22/23</w:t>
            </w:r>
          </w:p>
        </w:tc>
        <w:tc>
          <w:tcPr>
            <w:tcW w:w="827" w:type="dxa"/>
            <w:shd w:val="clear" w:color="auto" w:fill="CCE2ED"/>
          </w:tcPr>
          <w:p w14:paraId="70273349" w14:textId="77777777" w:rsidR="00141B97" w:rsidRDefault="00911D63">
            <w:pPr>
              <w:pStyle w:val="TableParagraph"/>
              <w:spacing w:before="98"/>
              <w:ind w:left="102" w:right="101"/>
              <w:jc w:val="center"/>
              <w:rPr>
                <w:sz w:val="16"/>
              </w:rPr>
            </w:pPr>
            <w:r>
              <w:rPr>
                <w:spacing w:val="-2"/>
                <w:sz w:val="16"/>
              </w:rPr>
              <w:t>=/&gt;23/24</w:t>
            </w:r>
          </w:p>
        </w:tc>
        <w:tc>
          <w:tcPr>
            <w:tcW w:w="827" w:type="dxa"/>
            <w:shd w:val="clear" w:color="auto" w:fill="CCE2ED"/>
          </w:tcPr>
          <w:p w14:paraId="2AE76F68" w14:textId="77777777" w:rsidR="00141B97" w:rsidRDefault="00911D63">
            <w:pPr>
              <w:pStyle w:val="TableParagraph"/>
              <w:spacing w:before="98"/>
              <w:ind w:right="99"/>
              <w:jc w:val="right"/>
              <w:rPr>
                <w:sz w:val="16"/>
              </w:rPr>
            </w:pPr>
            <w:r>
              <w:rPr>
                <w:spacing w:val="-2"/>
                <w:sz w:val="16"/>
              </w:rPr>
              <w:t>=/&gt;24/25</w:t>
            </w:r>
          </w:p>
        </w:tc>
        <w:tc>
          <w:tcPr>
            <w:tcW w:w="839" w:type="dxa"/>
            <w:shd w:val="clear" w:color="auto" w:fill="CCE2ED"/>
          </w:tcPr>
          <w:p w14:paraId="0BA9B43D" w14:textId="77777777" w:rsidR="00141B97" w:rsidRDefault="00911D63">
            <w:pPr>
              <w:pStyle w:val="TableParagraph"/>
              <w:spacing w:before="98"/>
              <w:ind w:right="104"/>
              <w:jc w:val="right"/>
              <w:rPr>
                <w:sz w:val="16"/>
              </w:rPr>
            </w:pPr>
            <w:r>
              <w:rPr>
                <w:spacing w:val="-2"/>
                <w:sz w:val="16"/>
              </w:rPr>
              <w:t>=/&gt;25/26</w:t>
            </w:r>
          </w:p>
        </w:tc>
        <w:tc>
          <w:tcPr>
            <w:tcW w:w="817" w:type="dxa"/>
            <w:tcBorders>
              <w:right w:val="nil"/>
            </w:tcBorders>
            <w:shd w:val="clear" w:color="auto" w:fill="CCE2ED"/>
          </w:tcPr>
          <w:p w14:paraId="08743845" w14:textId="77777777" w:rsidR="00141B97" w:rsidRDefault="00911D63">
            <w:pPr>
              <w:pStyle w:val="TableParagraph"/>
              <w:spacing w:before="98"/>
              <w:ind w:right="87"/>
              <w:jc w:val="right"/>
              <w:rPr>
                <w:sz w:val="16"/>
              </w:rPr>
            </w:pPr>
            <w:r>
              <w:rPr>
                <w:spacing w:val="-2"/>
                <w:sz w:val="16"/>
              </w:rPr>
              <w:t>=/&gt;26/27</w:t>
            </w:r>
          </w:p>
        </w:tc>
      </w:tr>
      <w:tr w:rsidR="00141B97" w14:paraId="3E931C1E" w14:textId="77777777">
        <w:trPr>
          <w:trHeight w:val="194"/>
          <w:tblCellSpacing w:w="9" w:type="dxa"/>
        </w:trPr>
        <w:tc>
          <w:tcPr>
            <w:tcW w:w="4681" w:type="dxa"/>
            <w:tcBorders>
              <w:left w:val="nil"/>
            </w:tcBorders>
            <w:shd w:val="clear" w:color="auto" w:fill="CCE2ED"/>
          </w:tcPr>
          <w:p w14:paraId="145B19C7" w14:textId="77777777" w:rsidR="00141B97" w:rsidRDefault="00911D63">
            <w:pPr>
              <w:pStyle w:val="TableParagraph"/>
              <w:spacing w:line="175" w:lineRule="exact"/>
              <w:ind w:left="17"/>
              <w:rPr>
                <w:sz w:val="16"/>
              </w:rPr>
            </w:pPr>
            <w:r>
              <w:rPr>
                <w:sz w:val="16"/>
              </w:rPr>
              <w:t>Delivery</w:t>
            </w:r>
            <w:r>
              <w:rPr>
                <w:spacing w:val="-4"/>
                <w:sz w:val="16"/>
              </w:rPr>
              <w:t xml:space="preserve"> </w:t>
            </w:r>
            <w:r>
              <w:rPr>
                <w:sz w:val="16"/>
              </w:rPr>
              <w:t>of</w:t>
            </w:r>
            <w:r>
              <w:rPr>
                <w:spacing w:val="-4"/>
                <w:sz w:val="16"/>
              </w:rPr>
              <w:t xml:space="preserve"> </w:t>
            </w:r>
            <w:r>
              <w:rPr>
                <w:sz w:val="16"/>
              </w:rPr>
              <w:t>the</w:t>
            </w:r>
            <w:r>
              <w:rPr>
                <w:spacing w:val="-3"/>
                <w:sz w:val="16"/>
              </w:rPr>
              <w:t xml:space="preserve"> </w:t>
            </w:r>
            <w:r>
              <w:rPr>
                <w:sz w:val="16"/>
              </w:rPr>
              <w:t>approved</w:t>
            </w:r>
            <w:r>
              <w:rPr>
                <w:spacing w:val="-5"/>
                <w:sz w:val="16"/>
              </w:rPr>
              <w:t xml:space="preserve"> </w:t>
            </w:r>
            <w:r>
              <w:rPr>
                <w:sz w:val="16"/>
              </w:rPr>
              <w:t>PS5</w:t>
            </w:r>
            <w:r>
              <w:rPr>
                <w:spacing w:val="-4"/>
                <w:sz w:val="16"/>
              </w:rPr>
              <w:t xml:space="preserve"> </w:t>
            </w:r>
            <w:r>
              <w:rPr>
                <w:sz w:val="16"/>
              </w:rPr>
              <w:t>price</w:t>
            </w:r>
            <w:r>
              <w:rPr>
                <w:spacing w:val="-5"/>
                <w:sz w:val="16"/>
              </w:rPr>
              <w:t xml:space="preserve"> </w:t>
            </w:r>
            <w:r>
              <w:rPr>
                <w:spacing w:val="-2"/>
                <w:sz w:val="16"/>
              </w:rPr>
              <w:t>determination</w:t>
            </w:r>
          </w:p>
        </w:tc>
        <w:tc>
          <w:tcPr>
            <w:tcW w:w="896" w:type="dxa"/>
            <w:shd w:val="clear" w:color="auto" w:fill="CCE2ED"/>
          </w:tcPr>
          <w:p w14:paraId="05F8A4AA" w14:textId="77777777" w:rsidR="00141B97" w:rsidRDefault="00911D63">
            <w:pPr>
              <w:pStyle w:val="TableParagraph"/>
              <w:spacing w:line="175" w:lineRule="exact"/>
              <w:ind w:left="17"/>
              <w:rPr>
                <w:sz w:val="16"/>
              </w:rPr>
            </w:pPr>
            <w:r>
              <w:rPr>
                <w:spacing w:val="-4"/>
                <w:sz w:val="16"/>
              </w:rPr>
              <w:t>Pass</w:t>
            </w:r>
          </w:p>
        </w:tc>
        <w:tc>
          <w:tcPr>
            <w:tcW w:w="4178" w:type="dxa"/>
            <w:gridSpan w:val="5"/>
            <w:tcBorders>
              <w:right w:val="nil"/>
            </w:tcBorders>
            <w:shd w:val="clear" w:color="auto" w:fill="CCE2ED"/>
          </w:tcPr>
          <w:p w14:paraId="2ED1B82B" w14:textId="77777777" w:rsidR="00141B97" w:rsidRDefault="00911D63">
            <w:pPr>
              <w:pStyle w:val="TableParagraph"/>
              <w:spacing w:line="175" w:lineRule="exact"/>
              <w:ind w:left="1818" w:right="1802"/>
              <w:jc w:val="center"/>
              <w:rPr>
                <w:sz w:val="16"/>
              </w:rPr>
            </w:pPr>
            <w:r>
              <w:rPr>
                <w:sz w:val="16"/>
              </w:rPr>
              <w:t>Yes</w:t>
            </w:r>
            <w:r>
              <w:rPr>
                <w:spacing w:val="-3"/>
                <w:sz w:val="16"/>
              </w:rPr>
              <w:t xml:space="preserve"> </w:t>
            </w:r>
            <w:r>
              <w:rPr>
                <w:sz w:val="16"/>
              </w:rPr>
              <w:t>/</w:t>
            </w:r>
            <w:r>
              <w:rPr>
                <w:spacing w:val="-2"/>
                <w:sz w:val="16"/>
              </w:rPr>
              <w:t xml:space="preserve"> </w:t>
            </w:r>
            <w:r>
              <w:rPr>
                <w:spacing w:val="-5"/>
                <w:sz w:val="16"/>
              </w:rPr>
              <w:t>No</w:t>
            </w:r>
          </w:p>
        </w:tc>
      </w:tr>
      <w:tr w:rsidR="00141B97" w14:paraId="2B5DE6A3" w14:textId="77777777">
        <w:trPr>
          <w:trHeight w:val="391"/>
          <w:tblCellSpacing w:w="9" w:type="dxa"/>
        </w:trPr>
        <w:tc>
          <w:tcPr>
            <w:tcW w:w="4681" w:type="dxa"/>
            <w:tcBorders>
              <w:left w:val="nil"/>
            </w:tcBorders>
            <w:shd w:val="clear" w:color="auto" w:fill="CCE2ED"/>
          </w:tcPr>
          <w:p w14:paraId="2CAA8437" w14:textId="77777777" w:rsidR="00141B97" w:rsidRDefault="00911D63">
            <w:pPr>
              <w:pStyle w:val="TableParagraph"/>
              <w:spacing w:line="190" w:lineRule="atLeast"/>
              <w:ind w:left="17"/>
              <w:rPr>
                <w:sz w:val="16"/>
              </w:rPr>
            </w:pPr>
            <w:r>
              <w:rPr>
                <w:sz w:val="16"/>
              </w:rPr>
              <w:t>Delivery</w:t>
            </w:r>
            <w:r>
              <w:rPr>
                <w:spacing w:val="-2"/>
                <w:sz w:val="16"/>
              </w:rPr>
              <w:t xml:space="preserve"> </w:t>
            </w:r>
            <w:r>
              <w:rPr>
                <w:sz w:val="16"/>
              </w:rPr>
              <w:t>of</w:t>
            </w:r>
            <w:r>
              <w:rPr>
                <w:spacing w:val="-2"/>
                <w:sz w:val="16"/>
              </w:rPr>
              <w:t xml:space="preserve"> </w:t>
            </w:r>
            <w:r>
              <w:rPr>
                <w:sz w:val="16"/>
              </w:rPr>
              <w:t>top</w:t>
            </w:r>
            <w:r>
              <w:rPr>
                <w:spacing w:val="-2"/>
                <w:sz w:val="16"/>
              </w:rPr>
              <w:t xml:space="preserve"> </w:t>
            </w:r>
            <w:r>
              <w:rPr>
                <w:sz w:val="16"/>
              </w:rPr>
              <w:t>10</w:t>
            </w:r>
            <w:r>
              <w:rPr>
                <w:spacing w:val="-2"/>
                <w:sz w:val="16"/>
              </w:rPr>
              <w:t xml:space="preserve"> </w:t>
            </w:r>
            <w:r>
              <w:rPr>
                <w:sz w:val="16"/>
              </w:rPr>
              <w:t>capital</w:t>
            </w:r>
            <w:r>
              <w:rPr>
                <w:spacing w:val="-3"/>
                <w:sz w:val="16"/>
              </w:rPr>
              <w:t xml:space="preserve"> </w:t>
            </w:r>
            <w:r>
              <w:rPr>
                <w:sz w:val="16"/>
              </w:rPr>
              <w:t>projects</w:t>
            </w:r>
            <w:r>
              <w:rPr>
                <w:spacing w:val="-4"/>
                <w:sz w:val="16"/>
              </w:rPr>
              <w:t xml:space="preserve"> </w:t>
            </w:r>
            <w:r>
              <w:rPr>
                <w:sz w:val="16"/>
              </w:rPr>
              <w:t>on</w:t>
            </w:r>
            <w:r>
              <w:rPr>
                <w:spacing w:val="-1"/>
                <w:sz w:val="16"/>
              </w:rPr>
              <w:t xml:space="preserve"> </w:t>
            </w:r>
            <w:r>
              <w:rPr>
                <w:sz w:val="16"/>
              </w:rPr>
              <w:t>time</w:t>
            </w:r>
            <w:r>
              <w:rPr>
                <w:spacing w:val="-2"/>
                <w:sz w:val="16"/>
              </w:rPr>
              <w:t xml:space="preserve"> </w:t>
            </w:r>
            <w:r>
              <w:rPr>
                <w:sz w:val="16"/>
              </w:rPr>
              <w:t>and</w:t>
            </w:r>
            <w:r>
              <w:rPr>
                <w:spacing w:val="-3"/>
                <w:sz w:val="16"/>
              </w:rPr>
              <w:t xml:space="preserve"> </w:t>
            </w:r>
            <w:r>
              <w:rPr>
                <w:sz w:val="16"/>
              </w:rPr>
              <w:t>budget</w:t>
            </w:r>
            <w:r>
              <w:rPr>
                <w:spacing w:val="-3"/>
                <w:sz w:val="16"/>
              </w:rPr>
              <w:t xml:space="preserve"> </w:t>
            </w:r>
            <w:r>
              <w:rPr>
                <w:sz w:val="16"/>
              </w:rPr>
              <w:t>(budget</w:t>
            </w:r>
            <w:r>
              <w:rPr>
                <w:spacing w:val="-2"/>
                <w:sz w:val="16"/>
              </w:rPr>
              <w:t xml:space="preserve"> </w:t>
            </w:r>
            <w:r>
              <w:rPr>
                <w:sz w:val="16"/>
              </w:rPr>
              <w:t>set</w:t>
            </w:r>
            <w:r>
              <w:rPr>
                <w:spacing w:val="-2"/>
                <w:sz w:val="16"/>
              </w:rPr>
              <w:t xml:space="preserve"> </w:t>
            </w:r>
            <w:r>
              <w:rPr>
                <w:sz w:val="16"/>
              </w:rPr>
              <w:t>by</w:t>
            </w:r>
            <w:r>
              <w:rPr>
                <w:spacing w:val="40"/>
                <w:sz w:val="16"/>
              </w:rPr>
              <w:t xml:space="preserve"> </w:t>
            </w:r>
            <w:r>
              <w:rPr>
                <w:sz w:val="16"/>
              </w:rPr>
              <w:t>annual corporate plan, timing set by pricing submission)</w:t>
            </w:r>
          </w:p>
        </w:tc>
        <w:tc>
          <w:tcPr>
            <w:tcW w:w="896" w:type="dxa"/>
            <w:shd w:val="clear" w:color="auto" w:fill="CCE2ED"/>
          </w:tcPr>
          <w:p w14:paraId="249EF93D" w14:textId="77777777" w:rsidR="00141B97" w:rsidRDefault="00911D63">
            <w:pPr>
              <w:pStyle w:val="TableParagraph"/>
              <w:spacing w:before="1"/>
              <w:ind w:left="17"/>
              <w:rPr>
                <w:sz w:val="16"/>
              </w:rPr>
            </w:pPr>
            <w:r>
              <w:rPr>
                <w:spacing w:val="-5"/>
                <w:sz w:val="16"/>
              </w:rPr>
              <w:t>NA</w:t>
            </w:r>
          </w:p>
        </w:tc>
        <w:tc>
          <w:tcPr>
            <w:tcW w:w="3361" w:type="dxa"/>
            <w:gridSpan w:val="4"/>
            <w:shd w:val="clear" w:color="auto" w:fill="CCE2ED"/>
          </w:tcPr>
          <w:p w14:paraId="01CC690A" w14:textId="77777777" w:rsidR="00141B97" w:rsidRDefault="00911D63">
            <w:pPr>
              <w:pStyle w:val="TableParagraph"/>
              <w:spacing w:before="98"/>
              <w:ind w:left="362"/>
              <w:rPr>
                <w:sz w:val="16"/>
              </w:rPr>
            </w:pPr>
            <w:r>
              <w:rPr>
                <w:sz w:val="16"/>
              </w:rPr>
              <w:t>=/&gt;</w:t>
            </w:r>
            <w:r>
              <w:rPr>
                <w:spacing w:val="-7"/>
                <w:sz w:val="16"/>
              </w:rPr>
              <w:t xml:space="preserve"> </w:t>
            </w:r>
            <w:r>
              <w:rPr>
                <w:sz w:val="16"/>
              </w:rPr>
              <w:t>progress</w:t>
            </w:r>
            <w:r>
              <w:rPr>
                <w:spacing w:val="-7"/>
                <w:sz w:val="16"/>
              </w:rPr>
              <w:t xml:space="preserve"> </w:t>
            </w:r>
            <w:r>
              <w:rPr>
                <w:sz w:val="16"/>
              </w:rPr>
              <w:t>against</w:t>
            </w:r>
            <w:r>
              <w:rPr>
                <w:spacing w:val="-7"/>
                <w:sz w:val="16"/>
              </w:rPr>
              <w:t xml:space="preserve"> </w:t>
            </w:r>
            <w:r>
              <w:rPr>
                <w:sz w:val="16"/>
              </w:rPr>
              <w:t>capital</w:t>
            </w:r>
            <w:r>
              <w:rPr>
                <w:spacing w:val="-8"/>
                <w:sz w:val="16"/>
              </w:rPr>
              <w:t xml:space="preserve"> </w:t>
            </w:r>
            <w:r>
              <w:rPr>
                <w:sz w:val="16"/>
              </w:rPr>
              <w:t>delivery</w:t>
            </w:r>
            <w:r>
              <w:rPr>
                <w:spacing w:val="-6"/>
                <w:sz w:val="16"/>
              </w:rPr>
              <w:t xml:space="preserve"> </w:t>
            </w:r>
            <w:r>
              <w:rPr>
                <w:spacing w:val="-4"/>
                <w:sz w:val="16"/>
              </w:rPr>
              <w:t>plan</w:t>
            </w:r>
          </w:p>
        </w:tc>
        <w:tc>
          <w:tcPr>
            <w:tcW w:w="817" w:type="dxa"/>
            <w:tcBorders>
              <w:right w:val="nil"/>
            </w:tcBorders>
            <w:shd w:val="clear" w:color="auto" w:fill="CCE2ED"/>
          </w:tcPr>
          <w:p w14:paraId="19E649E0" w14:textId="77777777" w:rsidR="00141B97" w:rsidRDefault="00911D63">
            <w:pPr>
              <w:pStyle w:val="TableParagraph"/>
              <w:spacing w:before="1"/>
              <w:ind w:left="229"/>
              <w:rPr>
                <w:sz w:val="16"/>
              </w:rPr>
            </w:pPr>
            <w:r>
              <w:rPr>
                <w:spacing w:val="-4"/>
                <w:sz w:val="16"/>
              </w:rPr>
              <w:t>100%</w:t>
            </w:r>
          </w:p>
          <w:p w14:paraId="32ACD46B" w14:textId="77777777" w:rsidR="00141B97" w:rsidRDefault="00911D63">
            <w:pPr>
              <w:pStyle w:val="TableParagraph"/>
              <w:spacing w:line="175" w:lineRule="exact"/>
              <w:ind w:left="153"/>
              <w:rPr>
                <w:sz w:val="16"/>
              </w:rPr>
            </w:pPr>
            <w:r>
              <w:rPr>
                <w:spacing w:val="-2"/>
                <w:sz w:val="16"/>
              </w:rPr>
              <w:t>delivery</w:t>
            </w:r>
          </w:p>
        </w:tc>
      </w:tr>
      <w:tr w:rsidR="00141B97" w14:paraId="7766A5E1" w14:textId="77777777">
        <w:trPr>
          <w:trHeight w:val="194"/>
          <w:tblCellSpacing w:w="9" w:type="dxa"/>
        </w:trPr>
        <w:tc>
          <w:tcPr>
            <w:tcW w:w="9755" w:type="dxa"/>
            <w:gridSpan w:val="7"/>
            <w:tcBorders>
              <w:left w:val="nil"/>
              <w:right w:val="nil"/>
            </w:tcBorders>
            <w:shd w:val="clear" w:color="auto" w:fill="BFBFBF"/>
          </w:tcPr>
          <w:p w14:paraId="4C65C5EB" w14:textId="77777777" w:rsidR="00141B97" w:rsidRDefault="00911D63">
            <w:pPr>
              <w:pStyle w:val="TableParagraph"/>
              <w:spacing w:line="175" w:lineRule="exact"/>
              <w:ind w:left="27"/>
              <w:rPr>
                <w:sz w:val="16"/>
              </w:rPr>
            </w:pPr>
            <w:r>
              <w:rPr>
                <w:sz w:val="16"/>
              </w:rPr>
              <w:t>Outcome</w:t>
            </w:r>
            <w:r>
              <w:rPr>
                <w:spacing w:val="-5"/>
                <w:sz w:val="16"/>
              </w:rPr>
              <w:t xml:space="preserve"> </w:t>
            </w:r>
            <w:r>
              <w:rPr>
                <w:sz w:val="16"/>
              </w:rPr>
              <w:t>2:</w:t>
            </w:r>
            <w:r>
              <w:rPr>
                <w:spacing w:val="-6"/>
                <w:sz w:val="16"/>
              </w:rPr>
              <w:t xml:space="preserve"> </w:t>
            </w:r>
            <w:r>
              <w:rPr>
                <w:sz w:val="16"/>
              </w:rPr>
              <w:t>Provide</w:t>
            </w:r>
            <w:r>
              <w:rPr>
                <w:spacing w:val="-5"/>
                <w:sz w:val="16"/>
              </w:rPr>
              <w:t xml:space="preserve"> </w:t>
            </w:r>
            <w:r>
              <w:rPr>
                <w:sz w:val="16"/>
              </w:rPr>
              <w:t>customers</w:t>
            </w:r>
            <w:r>
              <w:rPr>
                <w:spacing w:val="-5"/>
                <w:sz w:val="16"/>
              </w:rPr>
              <w:t xml:space="preserve"> </w:t>
            </w:r>
            <w:r>
              <w:rPr>
                <w:sz w:val="16"/>
              </w:rPr>
              <w:t>reliable</w:t>
            </w:r>
            <w:r>
              <w:rPr>
                <w:spacing w:val="-5"/>
                <w:sz w:val="16"/>
              </w:rPr>
              <w:t xml:space="preserve"> </w:t>
            </w:r>
            <w:r>
              <w:rPr>
                <w:sz w:val="16"/>
              </w:rPr>
              <w:t>and</w:t>
            </w:r>
            <w:r>
              <w:rPr>
                <w:spacing w:val="-6"/>
                <w:sz w:val="16"/>
              </w:rPr>
              <w:t xml:space="preserve"> </w:t>
            </w:r>
            <w:r>
              <w:rPr>
                <w:sz w:val="16"/>
              </w:rPr>
              <w:t>safe</w:t>
            </w:r>
            <w:r>
              <w:rPr>
                <w:spacing w:val="-4"/>
                <w:sz w:val="16"/>
              </w:rPr>
              <w:t xml:space="preserve"> </w:t>
            </w:r>
            <w:r>
              <w:rPr>
                <w:sz w:val="16"/>
              </w:rPr>
              <w:t>drinking</w:t>
            </w:r>
            <w:r>
              <w:rPr>
                <w:spacing w:val="-6"/>
                <w:sz w:val="16"/>
              </w:rPr>
              <w:t xml:space="preserve"> </w:t>
            </w:r>
            <w:r>
              <w:rPr>
                <w:spacing w:val="-2"/>
                <w:sz w:val="16"/>
              </w:rPr>
              <w:t>water</w:t>
            </w:r>
          </w:p>
        </w:tc>
      </w:tr>
      <w:tr w:rsidR="00141B97" w14:paraId="0B3219C2" w14:textId="77777777">
        <w:trPr>
          <w:trHeight w:val="196"/>
          <w:tblCellSpacing w:w="9" w:type="dxa"/>
        </w:trPr>
        <w:tc>
          <w:tcPr>
            <w:tcW w:w="4681" w:type="dxa"/>
            <w:tcBorders>
              <w:left w:val="nil"/>
            </w:tcBorders>
            <w:shd w:val="clear" w:color="auto" w:fill="CCE2ED"/>
          </w:tcPr>
          <w:p w14:paraId="37F69CF4" w14:textId="77777777" w:rsidR="00141B97" w:rsidRDefault="00911D63">
            <w:pPr>
              <w:pStyle w:val="TableParagraph"/>
              <w:spacing w:before="1" w:line="175" w:lineRule="exact"/>
              <w:ind w:left="17"/>
              <w:rPr>
                <w:sz w:val="16"/>
              </w:rPr>
            </w:pPr>
            <w:r>
              <w:rPr>
                <w:sz w:val="16"/>
              </w:rPr>
              <w:t>%</w:t>
            </w:r>
            <w:r>
              <w:rPr>
                <w:spacing w:val="-5"/>
                <w:sz w:val="16"/>
              </w:rPr>
              <w:t xml:space="preserve"> </w:t>
            </w:r>
            <w:r>
              <w:rPr>
                <w:sz w:val="16"/>
              </w:rPr>
              <w:t>Compliance</w:t>
            </w:r>
            <w:r>
              <w:rPr>
                <w:spacing w:val="-4"/>
                <w:sz w:val="16"/>
              </w:rPr>
              <w:t xml:space="preserve"> </w:t>
            </w:r>
            <w:r>
              <w:rPr>
                <w:sz w:val="16"/>
              </w:rPr>
              <w:t>with</w:t>
            </w:r>
            <w:r>
              <w:rPr>
                <w:spacing w:val="-4"/>
                <w:sz w:val="16"/>
              </w:rPr>
              <w:t xml:space="preserve"> </w:t>
            </w:r>
            <w:r>
              <w:rPr>
                <w:sz w:val="16"/>
              </w:rPr>
              <w:t>Schedule</w:t>
            </w:r>
            <w:r>
              <w:rPr>
                <w:spacing w:val="-3"/>
                <w:sz w:val="16"/>
              </w:rPr>
              <w:t xml:space="preserve"> </w:t>
            </w:r>
            <w:r>
              <w:rPr>
                <w:sz w:val="16"/>
              </w:rPr>
              <w:t>2</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Safe</w:t>
            </w:r>
            <w:r>
              <w:rPr>
                <w:spacing w:val="-4"/>
                <w:sz w:val="16"/>
              </w:rPr>
              <w:t xml:space="preserve"> </w:t>
            </w:r>
            <w:r>
              <w:rPr>
                <w:sz w:val="16"/>
              </w:rPr>
              <w:t>Drinking</w:t>
            </w:r>
            <w:r>
              <w:rPr>
                <w:spacing w:val="-6"/>
                <w:sz w:val="16"/>
              </w:rPr>
              <w:t xml:space="preserve"> </w:t>
            </w:r>
            <w:r>
              <w:rPr>
                <w:sz w:val="16"/>
              </w:rPr>
              <w:t>Water</w:t>
            </w:r>
            <w:r>
              <w:rPr>
                <w:spacing w:val="-4"/>
                <w:sz w:val="16"/>
              </w:rPr>
              <w:t xml:space="preserve"> </w:t>
            </w:r>
            <w:r>
              <w:rPr>
                <w:spacing w:val="-2"/>
                <w:sz w:val="16"/>
              </w:rPr>
              <w:t>Regulations</w:t>
            </w:r>
          </w:p>
        </w:tc>
        <w:tc>
          <w:tcPr>
            <w:tcW w:w="896" w:type="dxa"/>
            <w:shd w:val="clear" w:color="auto" w:fill="CCE2ED"/>
          </w:tcPr>
          <w:p w14:paraId="0AF00BFE" w14:textId="77777777" w:rsidR="00141B97" w:rsidRDefault="00911D63">
            <w:pPr>
              <w:pStyle w:val="TableParagraph"/>
              <w:spacing w:before="1" w:line="175" w:lineRule="exact"/>
              <w:ind w:left="17"/>
              <w:rPr>
                <w:sz w:val="16"/>
              </w:rPr>
            </w:pPr>
            <w:r>
              <w:rPr>
                <w:spacing w:val="-4"/>
                <w:sz w:val="16"/>
              </w:rPr>
              <w:t>100%</w:t>
            </w:r>
          </w:p>
        </w:tc>
        <w:tc>
          <w:tcPr>
            <w:tcW w:w="4178" w:type="dxa"/>
            <w:gridSpan w:val="5"/>
            <w:tcBorders>
              <w:right w:val="nil"/>
            </w:tcBorders>
            <w:shd w:val="clear" w:color="auto" w:fill="CCE2ED"/>
          </w:tcPr>
          <w:p w14:paraId="3608D076" w14:textId="77777777" w:rsidR="00141B97" w:rsidRDefault="00911D63">
            <w:pPr>
              <w:pStyle w:val="TableParagraph"/>
              <w:spacing w:before="1" w:line="175" w:lineRule="exact"/>
              <w:ind w:left="1817" w:right="1802"/>
              <w:jc w:val="center"/>
              <w:rPr>
                <w:sz w:val="16"/>
              </w:rPr>
            </w:pPr>
            <w:r>
              <w:rPr>
                <w:spacing w:val="-4"/>
                <w:sz w:val="16"/>
              </w:rPr>
              <w:t>100%</w:t>
            </w:r>
          </w:p>
        </w:tc>
      </w:tr>
      <w:tr w:rsidR="00141B97" w14:paraId="3ECC0BB6" w14:textId="77777777">
        <w:trPr>
          <w:trHeight w:val="390"/>
          <w:tblCellSpacing w:w="9" w:type="dxa"/>
        </w:trPr>
        <w:tc>
          <w:tcPr>
            <w:tcW w:w="4681" w:type="dxa"/>
            <w:tcBorders>
              <w:left w:val="nil"/>
            </w:tcBorders>
            <w:shd w:val="clear" w:color="auto" w:fill="CCE2ED"/>
          </w:tcPr>
          <w:p w14:paraId="1C12E79E" w14:textId="77777777" w:rsidR="00141B97" w:rsidRDefault="00911D63">
            <w:pPr>
              <w:pStyle w:val="TableParagraph"/>
              <w:spacing w:line="195" w:lineRule="exact"/>
              <w:ind w:left="17"/>
              <w:rPr>
                <w:sz w:val="16"/>
              </w:rPr>
            </w:pPr>
            <w:r>
              <w:rPr>
                <w:sz w:val="16"/>
              </w:rPr>
              <w:t>Customer</w:t>
            </w:r>
            <w:r>
              <w:rPr>
                <w:spacing w:val="-5"/>
                <w:sz w:val="16"/>
              </w:rPr>
              <w:t xml:space="preserve"> </w:t>
            </w:r>
            <w:r>
              <w:rPr>
                <w:sz w:val="16"/>
              </w:rPr>
              <w:t>overall</w:t>
            </w:r>
            <w:r>
              <w:rPr>
                <w:spacing w:val="-6"/>
                <w:sz w:val="16"/>
              </w:rPr>
              <w:t xml:space="preserve"> </w:t>
            </w:r>
            <w:r>
              <w:rPr>
                <w:sz w:val="16"/>
              </w:rPr>
              <w:t>satisfaction</w:t>
            </w:r>
            <w:r>
              <w:rPr>
                <w:spacing w:val="-4"/>
                <w:sz w:val="16"/>
              </w:rPr>
              <w:t xml:space="preserve"> </w:t>
            </w:r>
            <w:r>
              <w:rPr>
                <w:sz w:val="16"/>
              </w:rPr>
              <w:t>of</w:t>
            </w:r>
            <w:r>
              <w:rPr>
                <w:spacing w:val="-6"/>
                <w:sz w:val="16"/>
              </w:rPr>
              <w:t xml:space="preserve"> </w:t>
            </w:r>
            <w:r>
              <w:rPr>
                <w:sz w:val="16"/>
              </w:rPr>
              <w:t>water</w:t>
            </w:r>
            <w:r>
              <w:rPr>
                <w:spacing w:val="-6"/>
                <w:sz w:val="16"/>
              </w:rPr>
              <w:t xml:space="preserve"> </w:t>
            </w:r>
            <w:r>
              <w:rPr>
                <w:sz w:val="16"/>
              </w:rPr>
              <w:t>services</w:t>
            </w:r>
            <w:r>
              <w:rPr>
                <w:spacing w:val="-6"/>
                <w:sz w:val="16"/>
              </w:rPr>
              <w:t xml:space="preserve"> </w:t>
            </w:r>
            <w:r>
              <w:rPr>
                <w:sz w:val="16"/>
              </w:rPr>
              <w:t>‐</w:t>
            </w:r>
            <w:r>
              <w:rPr>
                <w:spacing w:val="-6"/>
                <w:sz w:val="16"/>
              </w:rPr>
              <w:t xml:space="preserve"> </w:t>
            </w:r>
            <w:r>
              <w:rPr>
                <w:sz w:val="16"/>
              </w:rPr>
              <w:t>Target</w:t>
            </w:r>
            <w:r>
              <w:rPr>
                <w:spacing w:val="-5"/>
                <w:sz w:val="16"/>
              </w:rPr>
              <w:t xml:space="preserve"> </w:t>
            </w:r>
            <w:r>
              <w:rPr>
                <w:sz w:val="16"/>
              </w:rPr>
              <w:t>=</w:t>
            </w:r>
            <w:r>
              <w:rPr>
                <w:spacing w:val="-6"/>
                <w:sz w:val="16"/>
              </w:rPr>
              <w:t xml:space="preserve"> </w:t>
            </w:r>
            <w:r>
              <w:rPr>
                <w:sz w:val="16"/>
              </w:rPr>
              <w:t>&gt;/=</w:t>
            </w:r>
            <w:r>
              <w:rPr>
                <w:spacing w:val="-6"/>
                <w:sz w:val="16"/>
              </w:rPr>
              <w:t xml:space="preserve"> </w:t>
            </w:r>
            <w:r>
              <w:rPr>
                <w:sz w:val="16"/>
              </w:rPr>
              <w:t>prior</w:t>
            </w:r>
            <w:r>
              <w:rPr>
                <w:spacing w:val="-6"/>
                <w:sz w:val="16"/>
              </w:rPr>
              <w:t xml:space="preserve"> </w:t>
            </w:r>
            <w:r>
              <w:rPr>
                <w:spacing w:val="-4"/>
                <w:sz w:val="16"/>
              </w:rPr>
              <w:t>year</w:t>
            </w:r>
          </w:p>
          <w:p w14:paraId="1C4C5E75" w14:textId="77777777" w:rsidR="00141B97" w:rsidRDefault="00911D63">
            <w:pPr>
              <w:pStyle w:val="TableParagraph"/>
              <w:spacing w:line="175" w:lineRule="exact"/>
              <w:ind w:left="17"/>
              <w:rPr>
                <w:sz w:val="16"/>
              </w:rPr>
            </w:pPr>
            <w:r>
              <w:rPr>
                <w:sz w:val="16"/>
              </w:rPr>
              <w:t>performance</w:t>
            </w:r>
            <w:r>
              <w:rPr>
                <w:spacing w:val="-7"/>
                <w:sz w:val="16"/>
              </w:rPr>
              <w:t xml:space="preserve"> </w:t>
            </w:r>
            <w:r>
              <w:rPr>
                <w:sz w:val="16"/>
              </w:rPr>
              <w:t>of</w:t>
            </w:r>
            <w:r>
              <w:rPr>
                <w:spacing w:val="-4"/>
                <w:sz w:val="16"/>
              </w:rPr>
              <w:t xml:space="preserve"> </w:t>
            </w:r>
            <w:r>
              <w:rPr>
                <w:sz w:val="16"/>
              </w:rPr>
              <w:t>survey</w:t>
            </w:r>
            <w:r>
              <w:rPr>
                <w:spacing w:val="-5"/>
                <w:sz w:val="16"/>
              </w:rPr>
              <w:t xml:space="preserve"> </w:t>
            </w:r>
            <w:r>
              <w:rPr>
                <w:spacing w:val="-2"/>
                <w:sz w:val="16"/>
              </w:rPr>
              <w:t>respondents</w:t>
            </w:r>
          </w:p>
        </w:tc>
        <w:tc>
          <w:tcPr>
            <w:tcW w:w="896" w:type="dxa"/>
            <w:shd w:val="clear" w:color="auto" w:fill="CCE2ED"/>
          </w:tcPr>
          <w:p w14:paraId="38D081FA" w14:textId="77777777" w:rsidR="00141B97" w:rsidRDefault="00911D63">
            <w:pPr>
              <w:pStyle w:val="TableParagraph"/>
              <w:spacing w:before="97"/>
              <w:ind w:left="17"/>
              <w:rPr>
                <w:sz w:val="16"/>
              </w:rPr>
            </w:pPr>
            <w:r>
              <w:rPr>
                <w:spacing w:val="-5"/>
                <w:sz w:val="16"/>
              </w:rPr>
              <w:t>NA</w:t>
            </w:r>
          </w:p>
        </w:tc>
        <w:tc>
          <w:tcPr>
            <w:tcW w:w="868" w:type="dxa"/>
            <w:shd w:val="clear" w:color="auto" w:fill="CCE2ED"/>
          </w:tcPr>
          <w:p w14:paraId="321714A2" w14:textId="77777777" w:rsidR="00141B97" w:rsidRDefault="00911D63">
            <w:pPr>
              <w:pStyle w:val="TableParagraph"/>
              <w:spacing w:before="97"/>
              <w:ind w:left="19"/>
              <w:rPr>
                <w:sz w:val="16"/>
              </w:rPr>
            </w:pPr>
            <w:r>
              <w:rPr>
                <w:spacing w:val="-2"/>
                <w:sz w:val="16"/>
              </w:rPr>
              <w:t>=/&gt;22/23</w:t>
            </w:r>
          </w:p>
        </w:tc>
        <w:tc>
          <w:tcPr>
            <w:tcW w:w="827" w:type="dxa"/>
            <w:shd w:val="clear" w:color="auto" w:fill="CCE2ED"/>
          </w:tcPr>
          <w:p w14:paraId="3A7F6943" w14:textId="77777777" w:rsidR="00141B97" w:rsidRDefault="00911D63">
            <w:pPr>
              <w:pStyle w:val="TableParagraph"/>
              <w:spacing w:before="97"/>
              <w:ind w:left="102" w:right="101"/>
              <w:jc w:val="center"/>
              <w:rPr>
                <w:sz w:val="16"/>
              </w:rPr>
            </w:pPr>
            <w:r>
              <w:rPr>
                <w:spacing w:val="-2"/>
                <w:sz w:val="16"/>
              </w:rPr>
              <w:t>=/&gt;23/24</w:t>
            </w:r>
          </w:p>
        </w:tc>
        <w:tc>
          <w:tcPr>
            <w:tcW w:w="827" w:type="dxa"/>
            <w:shd w:val="clear" w:color="auto" w:fill="CCE2ED"/>
          </w:tcPr>
          <w:p w14:paraId="44F60415" w14:textId="77777777" w:rsidR="00141B97" w:rsidRDefault="00911D63">
            <w:pPr>
              <w:pStyle w:val="TableParagraph"/>
              <w:spacing w:before="97"/>
              <w:ind w:left="20"/>
              <w:rPr>
                <w:sz w:val="16"/>
              </w:rPr>
            </w:pPr>
            <w:r>
              <w:rPr>
                <w:spacing w:val="-2"/>
                <w:sz w:val="16"/>
              </w:rPr>
              <w:t>=/&gt;24/25</w:t>
            </w:r>
          </w:p>
        </w:tc>
        <w:tc>
          <w:tcPr>
            <w:tcW w:w="839" w:type="dxa"/>
            <w:shd w:val="clear" w:color="auto" w:fill="CCE2ED"/>
          </w:tcPr>
          <w:p w14:paraId="2D07842E" w14:textId="77777777" w:rsidR="00141B97" w:rsidRDefault="00911D63">
            <w:pPr>
              <w:pStyle w:val="TableParagraph"/>
              <w:spacing w:before="97"/>
              <w:ind w:left="20"/>
              <w:rPr>
                <w:sz w:val="16"/>
              </w:rPr>
            </w:pPr>
            <w:r>
              <w:rPr>
                <w:spacing w:val="-2"/>
                <w:sz w:val="16"/>
              </w:rPr>
              <w:t>=/&gt;25/26</w:t>
            </w:r>
          </w:p>
        </w:tc>
        <w:tc>
          <w:tcPr>
            <w:tcW w:w="817" w:type="dxa"/>
            <w:tcBorders>
              <w:right w:val="nil"/>
            </w:tcBorders>
            <w:shd w:val="clear" w:color="auto" w:fill="CCE2ED"/>
          </w:tcPr>
          <w:p w14:paraId="1466976E" w14:textId="77777777" w:rsidR="00141B97" w:rsidRDefault="00911D63">
            <w:pPr>
              <w:pStyle w:val="TableParagraph"/>
              <w:spacing w:before="97"/>
              <w:ind w:right="172"/>
              <w:jc w:val="right"/>
              <w:rPr>
                <w:sz w:val="16"/>
              </w:rPr>
            </w:pPr>
            <w:r>
              <w:rPr>
                <w:spacing w:val="-2"/>
                <w:sz w:val="16"/>
              </w:rPr>
              <w:t>=/&gt;26/27</w:t>
            </w:r>
          </w:p>
        </w:tc>
      </w:tr>
      <w:tr w:rsidR="00141B97" w14:paraId="19AC9164" w14:textId="77777777">
        <w:trPr>
          <w:trHeight w:val="390"/>
          <w:tblCellSpacing w:w="9" w:type="dxa"/>
        </w:trPr>
        <w:tc>
          <w:tcPr>
            <w:tcW w:w="4681" w:type="dxa"/>
            <w:tcBorders>
              <w:left w:val="nil"/>
            </w:tcBorders>
            <w:shd w:val="clear" w:color="auto" w:fill="CCE2ED"/>
          </w:tcPr>
          <w:p w14:paraId="34EA1A29" w14:textId="77777777" w:rsidR="00141B97" w:rsidRDefault="00911D63">
            <w:pPr>
              <w:pStyle w:val="TableParagraph"/>
              <w:spacing w:line="195" w:lineRule="exact"/>
              <w:ind w:left="17"/>
              <w:rPr>
                <w:sz w:val="16"/>
              </w:rPr>
            </w:pPr>
            <w:r>
              <w:rPr>
                <w:sz w:val="16"/>
              </w:rPr>
              <w:t>Customer</w:t>
            </w:r>
            <w:r>
              <w:rPr>
                <w:spacing w:val="-5"/>
                <w:sz w:val="16"/>
              </w:rPr>
              <w:t xml:space="preserve"> </w:t>
            </w:r>
            <w:r>
              <w:rPr>
                <w:sz w:val="16"/>
              </w:rPr>
              <w:t>satisfaction</w:t>
            </w:r>
            <w:r>
              <w:rPr>
                <w:spacing w:val="-5"/>
                <w:sz w:val="16"/>
              </w:rPr>
              <w:t xml:space="preserve"> </w:t>
            </w:r>
            <w:r>
              <w:rPr>
                <w:sz w:val="16"/>
              </w:rPr>
              <w:t>of</w:t>
            </w:r>
            <w:r>
              <w:rPr>
                <w:spacing w:val="-5"/>
                <w:sz w:val="16"/>
              </w:rPr>
              <w:t xml:space="preserve"> </w:t>
            </w:r>
            <w:r>
              <w:rPr>
                <w:sz w:val="16"/>
              </w:rPr>
              <w:t>Water</w:t>
            </w:r>
            <w:r>
              <w:rPr>
                <w:spacing w:val="-6"/>
                <w:sz w:val="16"/>
              </w:rPr>
              <w:t xml:space="preserve"> </w:t>
            </w:r>
            <w:r>
              <w:rPr>
                <w:sz w:val="16"/>
              </w:rPr>
              <w:t>quality</w:t>
            </w:r>
            <w:r>
              <w:rPr>
                <w:spacing w:val="-5"/>
                <w:sz w:val="16"/>
              </w:rPr>
              <w:t xml:space="preserve"> </w:t>
            </w:r>
            <w:r>
              <w:rPr>
                <w:sz w:val="16"/>
              </w:rPr>
              <w:t>‐</w:t>
            </w:r>
            <w:r>
              <w:rPr>
                <w:spacing w:val="-6"/>
                <w:sz w:val="16"/>
              </w:rPr>
              <w:t xml:space="preserve"> </w:t>
            </w:r>
            <w:r>
              <w:rPr>
                <w:sz w:val="16"/>
              </w:rPr>
              <w:t>Target</w:t>
            </w:r>
            <w:r>
              <w:rPr>
                <w:spacing w:val="-5"/>
                <w:sz w:val="16"/>
              </w:rPr>
              <w:t xml:space="preserve"> </w:t>
            </w:r>
            <w:r>
              <w:rPr>
                <w:sz w:val="16"/>
              </w:rPr>
              <w:t>=</w:t>
            </w:r>
            <w:r>
              <w:rPr>
                <w:spacing w:val="-6"/>
                <w:sz w:val="16"/>
              </w:rPr>
              <w:t xml:space="preserve"> </w:t>
            </w:r>
            <w:r>
              <w:rPr>
                <w:sz w:val="16"/>
              </w:rPr>
              <w:t>&gt;/=</w:t>
            </w:r>
            <w:r>
              <w:rPr>
                <w:spacing w:val="-6"/>
                <w:sz w:val="16"/>
              </w:rPr>
              <w:t xml:space="preserve"> </w:t>
            </w:r>
            <w:r>
              <w:rPr>
                <w:sz w:val="16"/>
              </w:rPr>
              <w:t>prior</w:t>
            </w:r>
            <w:r>
              <w:rPr>
                <w:spacing w:val="-6"/>
                <w:sz w:val="16"/>
              </w:rPr>
              <w:t xml:space="preserve"> </w:t>
            </w:r>
            <w:r>
              <w:rPr>
                <w:spacing w:val="-4"/>
                <w:sz w:val="16"/>
              </w:rPr>
              <w:t>year</w:t>
            </w:r>
          </w:p>
          <w:p w14:paraId="13FA76F5" w14:textId="77777777" w:rsidR="00141B97" w:rsidRDefault="00911D63">
            <w:pPr>
              <w:pStyle w:val="TableParagraph"/>
              <w:spacing w:line="175" w:lineRule="exact"/>
              <w:ind w:left="17"/>
              <w:rPr>
                <w:sz w:val="16"/>
              </w:rPr>
            </w:pPr>
            <w:r>
              <w:rPr>
                <w:sz w:val="16"/>
              </w:rPr>
              <w:t>performance</w:t>
            </w:r>
            <w:r>
              <w:rPr>
                <w:spacing w:val="-7"/>
                <w:sz w:val="16"/>
              </w:rPr>
              <w:t xml:space="preserve"> </w:t>
            </w:r>
            <w:r>
              <w:rPr>
                <w:sz w:val="16"/>
              </w:rPr>
              <w:t>for</w:t>
            </w:r>
            <w:r>
              <w:rPr>
                <w:spacing w:val="-4"/>
                <w:sz w:val="16"/>
              </w:rPr>
              <w:t xml:space="preserve"> </w:t>
            </w:r>
            <w:r>
              <w:rPr>
                <w:sz w:val="16"/>
              </w:rPr>
              <w:t>survey</w:t>
            </w:r>
            <w:r>
              <w:rPr>
                <w:spacing w:val="-6"/>
                <w:sz w:val="16"/>
              </w:rPr>
              <w:t xml:space="preserve"> </w:t>
            </w:r>
            <w:r>
              <w:rPr>
                <w:spacing w:val="-2"/>
                <w:sz w:val="16"/>
              </w:rPr>
              <w:t>respondents</w:t>
            </w:r>
          </w:p>
        </w:tc>
        <w:tc>
          <w:tcPr>
            <w:tcW w:w="896" w:type="dxa"/>
            <w:shd w:val="clear" w:color="auto" w:fill="CCE2ED"/>
          </w:tcPr>
          <w:p w14:paraId="0AB2433D" w14:textId="77777777" w:rsidR="00141B97" w:rsidRDefault="00911D63">
            <w:pPr>
              <w:pStyle w:val="TableParagraph"/>
              <w:spacing w:line="195" w:lineRule="exact"/>
              <w:ind w:left="17"/>
              <w:rPr>
                <w:sz w:val="16"/>
              </w:rPr>
            </w:pPr>
            <w:r>
              <w:rPr>
                <w:spacing w:val="-2"/>
                <w:sz w:val="16"/>
              </w:rPr>
              <w:t>90/94%</w:t>
            </w:r>
          </w:p>
        </w:tc>
        <w:tc>
          <w:tcPr>
            <w:tcW w:w="868" w:type="dxa"/>
            <w:shd w:val="clear" w:color="auto" w:fill="CCE2ED"/>
          </w:tcPr>
          <w:p w14:paraId="73CA3168" w14:textId="77777777" w:rsidR="00141B97" w:rsidRDefault="00911D63">
            <w:pPr>
              <w:pStyle w:val="TableParagraph"/>
              <w:spacing w:before="98"/>
              <w:ind w:left="19"/>
              <w:rPr>
                <w:sz w:val="16"/>
              </w:rPr>
            </w:pPr>
            <w:r>
              <w:rPr>
                <w:spacing w:val="-2"/>
                <w:sz w:val="16"/>
              </w:rPr>
              <w:t>=/&gt;22/23</w:t>
            </w:r>
          </w:p>
        </w:tc>
        <w:tc>
          <w:tcPr>
            <w:tcW w:w="827" w:type="dxa"/>
            <w:shd w:val="clear" w:color="auto" w:fill="CCE2ED"/>
          </w:tcPr>
          <w:p w14:paraId="2ED6501A" w14:textId="77777777" w:rsidR="00141B97" w:rsidRDefault="00911D63">
            <w:pPr>
              <w:pStyle w:val="TableParagraph"/>
              <w:spacing w:before="98"/>
              <w:ind w:left="102" w:right="101"/>
              <w:jc w:val="center"/>
              <w:rPr>
                <w:sz w:val="16"/>
              </w:rPr>
            </w:pPr>
            <w:r>
              <w:rPr>
                <w:spacing w:val="-2"/>
                <w:sz w:val="16"/>
              </w:rPr>
              <w:t>=/&gt;23/24</w:t>
            </w:r>
          </w:p>
        </w:tc>
        <w:tc>
          <w:tcPr>
            <w:tcW w:w="827" w:type="dxa"/>
            <w:shd w:val="clear" w:color="auto" w:fill="CCE2ED"/>
          </w:tcPr>
          <w:p w14:paraId="6ECBCFE2" w14:textId="77777777" w:rsidR="00141B97" w:rsidRDefault="00911D63">
            <w:pPr>
              <w:pStyle w:val="TableParagraph"/>
              <w:spacing w:before="98"/>
              <w:ind w:left="20"/>
              <w:rPr>
                <w:sz w:val="16"/>
              </w:rPr>
            </w:pPr>
            <w:r>
              <w:rPr>
                <w:spacing w:val="-2"/>
                <w:sz w:val="16"/>
              </w:rPr>
              <w:t>=/&gt;24/25</w:t>
            </w:r>
          </w:p>
        </w:tc>
        <w:tc>
          <w:tcPr>
            <w:tcW w:w="839" w:type="dxa"/>
            <w:shd w:val="clear" w:color="auto" w:fill="CCE2ED"/>
          </w:tcPr>
          <w:p w14:paraId="1BF2F429" w14:textId="77777777" w:rsidR="00141B97" w:rsidRDefault="00911D63">
            <w:pPr>
              <w:pStyle w:val="TableParagraph"/>
              <w:spacing w:before="98"/>
              <w:ind w:left="20"/>
              <w:rPr>
                <w:sz w:val="16"/>
              </w:rPr>
            </w:pPr>
            <w:r>
              <w:rPr>
                <w:spacing w:val="-2"/>
                <w:sz w:val="16"/>
              </w:rPr>
              <w:t>=/&gt;25/26</w:t>
            </w:r>
          </w:p>
        </w:tc>
        <w:tc>
          <w:tcPr>
            <w:tcW w:w="817" w:type="dxa"/>
            <w:tcBorders>
              <w:right w:val="nil"/>
            </w:tcBorders>
            <w:shd w:val="clear" w:color="auto" w:fill="CCE2ED"/>
          </w:tcPr>
          <w:p w14:paraId="528D8177" w14:textId="77777777" w:rsidR="00141B97" w:rsidRDefault="00911D63">
            <w:pPr>
              <w:pStyle w:val="TableParagraph"/>
              <w:spacing w:before="98"/>
              <w:ind w:right="172"/>
              <w:jc w:val="right"/>
              <w:rPr>
                <w:sz w:val="16"/>
              </w:rPr>
            </w:pPr>
            <w:r>
              <w:rPr>
                <w:spacing w:val="-2"/>
                <w:sz w:val="16"/>
              </w:rPr>
              <w:t>=/&gt;26/27</w:t>
            </w:r>
          </w:p>
        </w:tc>
      </w:tr>
      <w:tr w:rsidR="00141B97" w14:paraId="1469A298" w14:textId="77777777">
        <w:trPr>
          <w:trHeight w:val="194"/>
          <w:tblCellSpacing w:w="9" w:type="dxa"/>
        </w:trPr>
        <w:tc>
          <w:tcPr>
            <w:tcW w:w="4681" w:type="dxa"/>
            <w:tcBorders>
              <w:left w:val="nil"/>
            </w:tcBorders>
            <w:shd w:val="clear" w:color="auto" w:fill="CCE2ED"/>
          </w:tcPr>
          <w:p w14:paraId="0C527708" w14:textId="77777777" w:rsidR="00141B97" w:rsidRDefault="00911D63">
            <w:pPr>
              <w:pStyle w:val="TableParagraph"/>
              <w:spacing w:line="175" w:lineRule="exact"/>
              <w:ind w:left="17"/>
              <w:rPr>
                <w:sz w:val="16"/>
              </w:rPr>
            </w:pPr>
            <w:r>
              <w:rPr>
                <w:sz w:val="16"/>
              </w:rPr>
              <w:t>Number</w:t>
            </w:r>
            <w:r>
              <w:rPr>
                <w:spacing w:val="-4"/>
                <w:sz w:val="16"/>
              </w:rPr>
              <w:t xml:space="preserve"> </w:t>
            </w:r>
            <w:r>
              <w:rPr>
                <w:sz w:val="16"/>
              </w:rPr>
              <w:t>of</w:t>
            </w:r>
            <w:r>
              <w:rPr>
                <w:spacing w:val="-5"/>
                <w:sz w:val="16"/>
              </w:rPr>
              <w:t xml:space="preserve"> </w:t>
            </w:r>
            <w:r>
              <w:rPr>
                <w:sz w:val="16"/>
              </w:rPr>
              <w:t>Taste</w:t>
            </w:r>
            <w:r>
              <w:rPr>
                <w:spacing w:val="-4"/>
                <w:sz w:val="16"/>
              </w:rPr>
              <w:t xml:space="preserve"> </w:t>
            </w:r>
            <w:r>
              <w:rPr>
                <w:sz w:val="16"/>
              </w:rPr>
              <w:t>and</w:t>
            </w:r>
            <w:r>
              <w:rPr>
                <w:spacing w:val="-6"/>
                <w:sz w:val="16"/>
              </w:rPr>
              <w:t xml:space="preserve"> </w:t>
            </w:r>
            <w:r>
              <w:rPr>
                <w:sz w:val="16"/>
              </w:rPr>
              <w:t>Odour</w:t>
            </w:r>
            <w:r>
              <w:rPr>
                <w:spacing w:val="-4"/>
                <w:sz w:val="16"/>
              </w:rPr>
              <w:t xml:space="preserve"> </w:t>
            </w:r>
            <w:r>
              <w:rPr>
                <w:sz w:val="16"/>
              </w:rPr>
              <w:t>complaints</w:t>
            </w:r>
            <w:r>
              <w:rPr>
                <w:spacing w:val="-6"/>
                <w:sz w:val="16"/>
              </w:rPr>
              <w:t xml:space="preserve"> </w:t>
            </w:r>
            <w:r>
              <w:rPr>
                <w:sz w:val="16"/>
              </w:rPr>
              <w:t>per</w:t>
            </w:r>
            <w:r>
              <w:rPr>
                <w:spacing w:val="-5"/>
                <w:sz w:val="16"/>
              </w:rPr>
              <w:t xml:space="preserve"> </w:t>
            </w:r>
            <w:r>
              <w:rPr>
                <w:spacing w:val="-2"/>
                <w:sz w:val="16"/>
              </w:rPr>
              <w:t>year.</w:t>
            </w:r>
          </w:p>
        </w:tc>
        <w:tc>
          <w:tcPr>
            <w:tcW w:w="896" w:type="dxa"/>
            <w:shd w:val="clear" w:color="auto" w:fill="CCE2ED"/>
          </w:tcPr>
          <w:p w14:paraId="52AD2F3E" w14:textId="77777777" w:rsidR="00141B97" w:rsidRDefault="00911D63">
            <w:pPr>
              <w:pStyle w:val="TableParagraph"/>
              <w:spacing w:line="175" w:lineRule="exact"/>
              <w:ind w:left="17"/>
              <w:rPr>
                <w:sz w:val="16"/>
              </w:rPr>
            </w:pPr>
            <w:r>
              <w:rPr>
                <w:spacing w:val="-5"/>
                <w:sz w:val="16"/>
              </w:rPr>
              <w:t>13</w:t>
            </w:r>
          </w:p>
        </w:tc>
        <w:tc>
          <w:tcPr>
            <w:tcW w:w="4178" w:type="dxa"/>
            <w:gridSpan w:val="5"/>
            <w:tcBorders>
              <w:right w:val="nil"/>
            </w:tcBorders>
            <w:shd w:val="clear" w:color="auto" w:fill="CCE2ED"/>
          </w:tcPr>
          <w:p w14:paraId="58FA4659" w14:textId="77777777" w:rsidR="00141B97" w:rsidRDefault="00911D63">
            <w:pPr>
              <w:pStyle w:val="TableParagraph"/>
              <w:spacing w:line="175" w:lineRule="exact"/>
              <w:ind w:left="1816" w:right="1802"/>
              <w:jc w:val="center"/>
              <w:rPr>
                <w:sz w:val="16"/>
              </w:rPr>
            </w:pPr>
            <w:r>
              <w:rPr>
                <w:sz w:val="16"/>
              </w:rPr>
              <w:t>=&lt;</w:t>
            </w:r>
            <w:r>
              <w:rPr>
                <w:spacing w:val="-3"/>
                <w:sz w:val="16"/>
              </w:rPr>
              <w:t xml:space="preserve"> </w:t>
            </w:r>
            <w:r>
              <w:rPr>
                <w:spacing w:val="-5"/>
                <w:sz w:val="16"/>
              </w:rPr>
              <w:t>25</w:t>
            </w:r>
          </w:p>
        </w:tc>
      </w:tr>
      <w:tr w:rsidR="00141B97" w14:paraId="4BC3C764" w14:textId="77777777">
        <w:trPr>
          <w:trHeight w:val="195"/>
          <w:tblCellSpacing w:w="9" w:type="dxa"/>
        </w:trPr>
        <w:tc>
          <w:tcPr>
            <w:tcW w:w="4681" w:type="dxa"/>
            <w:tcBorders>
              <w:left w:val="nil"/>
            </w:tcBorders>
            <w:shd w:val="clear" w:color="auto" w:fill="CCE2ED"/>
          </w:tcPr>
          <w:p w14:paraId="338F6807" w14:textId="77777777" w:rsidR="00141B97" w:rsidRDefault="00911D63">
            <w:pPr>
              <w:pStyle w:val="TableParagraph"/>
              <w:spacing w:before="1" w:line="175" w:lineRule="exact"/>
              <w:ind w:left="17"/>
              <w:rPr>
                <w:sz w:val="16"/>
              </w:rPr>
            </w:pPr>
            <w:r>
              <w:rPr>
                <w:sz w:val="16"/>
              </w:rPr>
              <w:t>Number</w:t>
            </w:r>
            <w:r>
              <w:rPr>
                <w:spacing w:val="-3"/>
                <w:sz w:val="16"/>
              </w:rPr>
              <w:t xml:space="preserve"> </w:t>
            </w:r>
            <w:r>
              <w:rPr>
                <w:sz w:val="16"/>
              </w:rPr>
              <w:t>of</w:t>
            </w:r>
            <w:r>
              <w:rPr>
                <w:spacing w:val="-4"/>
                <w:sz w:val="16"/>
              </w:rPr>
              <w:t xml:space="preserve"> </w:t>
            </w:r>
            <w:r>
              <w:rPr>
                <w:sz w:val="16"/>
              </w:rPr>
              <w:t>boil</w:t>
            </w:r>
            <w:r>
              <w:rPr>
                <w:spacing w:val="-4"/>
                <w:sz w:val="16"/>
              </w:rPr>
              <w:t xml:space="preserve"> </w:t>
            </w:r>
            <w:r>
              <w:rPr>
                <w:sz w:val="16"/>
              </w:rPr>
              <w:t>water</w:t>
            </w:r>
            <w:r>
              <w:rPr>
                <w:spacing w:val="-5"/>
                <w:sz w:val="16"/>
              </w:rPr>
              <w:t xml:space="preserve"> </w:t>
            </w:r>
            <w:r>
              <w:rPr>
                <w:sz w:val="16"/>
              </w:rPr>
              <w:t>notices</w:t>
            </w:r>
            <w:r>
              <w:rPr>
                <w:spacing w:val="-5"/>
                <w:sz w:val="16"/>
              </w:rPr>
              <w:t xml:space="preserve"> </w:t>
            </w:r>
            <w:r>
              <w:rPr>
                <w:sz w:val="16"/>
              </w:rPr>
              <w:t>per</w:t>
            </w:r>
            <w:r>
              <w:rPr>
                <w:spacing w:val="-5"/>
                <w:sz w:val="16"/>
              </w:rPr>
              <w:t xml:space="preserve"> </w:t>
            </w:r>
            <w:r>
              <w:rPr>
                <w:spacing w:val="-4"/>
                <w:sz w:val="16"/>
              </w:rPr>
              <w:t>year.</w:t>
            </w:r>
          </w:p>
        </w:tc>
        <w:tc>
          <w:tcPr>
            <w:tcW w:w="896" w:type="dxa"/>
            <w:shd w:val="clear" w:color="auto" w:fill="CCE2ED"/>
          </w:tcPr>
          <w:p w14:paraId="1F96A0F9" w14:textId="77777777" w:rsidR="00141B97" w:rsidRDefault="00911D63">
            <w:pPr>
              <w:pStyle w:val="TableParagraph"/>
              <w:spacing w:before="1" w:line="175" w:lineRule="exact"/>
              <w:ind w:left="17"/>
              <w:rPr>
                <w:sz w:val="16"/>
              </w:rPr>
            </w:pPr>
            <w:r>
              <w:rPr>
                <w:w w:val="99"/>
                <w:sz w:val="16"/>
              </w:rPr>
              <w:t>0</w:t>
            </w:r>
          </w:p>
        </w:tc>
        <w:tc>
          <w:tcPr>
            <w:tcW w:w="4178" w:type="dxa"/>
            <w:gridSpan w:val="5"/>
            <w:tcBorders>
              <w:right w:val="nil"/>
            </w:tcBorders>
            <w:shd w:val="clear" w:color="auto" w:fill="CCE2ED"/>
          </w:tcPr>
          <w:p w14:paraId="70AA2E6C" w14:textId="77777777" w:rsidR="00141B97" w:rsidRDefault="00911D63">
            <w:pPr>
              <w:pStyle w:val="TableParagraph"/>
              <w:spacing w:before="1" w:line="175" w:lineRule="exact"/>
              <w:ind w:left="15"/>
              <w:jc w:val="center"/>
              <w:rPr>
                <w:sz w:val="16"/>
              </w:rPr>
            </w:pPr>
            <w:r>
              <w:rPr>
                <w:w w:val="99"/>
                <w:sz w:val="16"/>
              </w:rPr>
              <w:t>0</w:t>
            </w:r>
          </w:p>
        </w:tc>
      </w:tr>
      <w:tr w:rsidR="00141B97" w14:paraId="15514366" w14:textId="77777777">
        <w:trPr>
          <w:trHeight w:val="194"/>
          <w:tblCellSpacing w:w="9" w:type="dxa"/>
        </w:trPr>
        <w:tc>
          <w:tcPr>
            <w:tcW w:w="9755" w:type="dxa"/>
            <w:gridSpan w:val="7"/>
            <w:tcBorders>
              <w:left w:val="nil"/>
              <w:right w:val="nil"/>
            </w:tcBorders>
            <w:shd w:val="clear" w:color="auto" w:fill="BFBFBF"/>
          </w:tcPr>
          <w:p w14:paraId="30C51F5F" w14:textId="77777777" w:rsidR="00141B97" w:rsidRDefault="00911D63">
            <w:pPr>
              <w:pStyle w:val="TableParagraph"/>
              <w:spacing w:line="175" w:lineRule="exact"/>
              <w:ind w:left="27"/>
              <w:rPr>
                <w:sz w:val="16"/>
              </w:rPr>
            </w:pPr>
            <w:r>
              <w:rPr>
                <w:sz w:val="16"/>
              </w:rPr>
              <w:t>Outcome</w:t>
            </w:r>
            <w:r>
              <w:rPr>
                <w:spacing w:val="-6"/>
                <w:sz w:val="16"/>
              </w:rPr>
              <w:t xml:space="preserve"> </w:t>
            </w:r>
            <w:r>
              <w:rPr>
                <w:sz w:val="16"/>
              </w:rPr>
              <w:t>3:</w:t>
            </w:r>
            <w:r>
              <w:rPr>
                <w:spacing w:val="-8"/>
                <w:sz w:val="16"/>
              </w:rPr>
              <w:t xml:space="preserve"> </w:t>
            </w:r>
            <w:r>
              <w:rPr>
                <w:sz w:val="16"/>
              </w:rPr>
              <w:t>Provide</w:t>
            </w:r>
            <w:r>
              <w:rPr>
                <w:spacing w:val="-6"/>
                <w:sz w:val="16"/>
              </w:rPr>
              <w:t xml:space="preserve"> </w:t>
            </w:r>
            <w:r>
              <w:rPr>
                <w:sz w:val="16"/>
              </w:rPr>
              <w:t>customers</w:t>
            </w:r>
            <w:r>
              <w:rPr>
                <w:spacing w:val="-7"/>
                <w:sz w:val="16"/>
              </w:rPr>
              <w:t xml:space="preserve"> </w:t>
            </w:r>
            <w:r>
              <w:rPr>
                <w:sz w:val="16"/>
              </w:rPr>
              <w:t>reliable</w:t>
            </w:r>
            <w:r>
              <w:rPr>
                <w:spacing w:val="-5"/>
                <w:sz w:val="16"/>
              </w:rPr>
              <w:t xml:space="preserve"> </w:t>
            </w:r>
            <w:r>
              <w:rPr>
                <w:sz w:val="16"/>
              </w:rPr>
              <w:t>sewerage</w:t>
            </w:r>
            <w:r>
              <w:rPr>
                <w:spacing w:val="-6"/>
                <w:sz w:val="16"/>
              </w:rPr>
              <w:t xml:space="preserve"> </w:t>
            </w:r>
            <w:r>
              <w:rPr>
                <w:spacing w:val="-2"/>
                <w:sz w:val="16"/>
              </w:rPr>
              <w:t>services</w:t>
            </w:r>
          </w:p>
        </w:tc>
      </w:tr>
      <w:tr w:rsidR="00141B97" w14:paraId="0F6B31BE" w14:textId="77777777">
        <w:trPr>
          <w:trHeight w:val="390"/>
          <w:tblCellSpacing w:w="9" w:type="dxa"/>
        </w:trPr>
        <w:tc>
          <w:tcPr>
            <w:tcW w:w="4681" w:type="dxa"/>
            <w:tcBorders>
              <w:left w:val="nil"/>
            </w:tcBorders>
            <w:shd w:val="clear" w:color="auto" w:fill="CCE2ED"/>
          </w:tcPr>
          <w:p w14:paraId="69936942" w14:textId="77777777" w:rsidR="00141B97" w:rsidRDefault="00911D63">
            <w:pPr>
              <w:pStyle w:val="TableParagraph"/>
              <w:spacing w:before="1" w:line="195" w:lineRule="exact"/>
              <w:ind w:left="17"/>
              <w:rPr>
                <w:sz w:val="16"/>
              </w:rPr>
            </w:pPr>
            <w:r>
              <w:rPr>
                <w:sz w:val="16"/>
              </w:rPr>
              <w:t>Unplanned</w:t>
            </w:r>
            <w:r>
              <w:rPr>
                <w:spacing w:val="-6"/>
                <w:sz w:val="16"/>
              </w:rPr>
              <w:t xml:space="preserve"> </w:t>
            </w:r>
            <w:r>
              <w:rPr>
                <w:sz w:val="16"/>
              </w:rPr>
              <w:t>interruptions</w:t>
            </w:r>
            <w:r>
              <w:rPr>
                <w:spacing w:val="-8"/>
                <w:sz w:val="16"/>
              </w:rPr>
              <w:t xml:space="preserve"> </w:t>
            </w:r>
            <w:r>
              <w:rPr>
                <w:sz w:val="16"/>
              </w:rPr>
              <w:t>to</w:t>
            </w:r>
            <w:r>
              <w:rPr>
                <w:spacing w:val="-6"/>
                <w:sz w:val="16"/>
              </w:rPr>
              <w:t xml:space="preserve"> </w:t>
            </w:r>
            <w:r>
              <w:rPr>
                <w:sz w:val="16"/>
              </w:rPr>
              <w:t>sewerage</w:t>
            </w:r>
            <w:r>
              <w:rPr>
                <w:spacing w:val="-5"/>
                <w:sz w:val="16"/>
              </w:rPr>
              <w:t xml:space="preserve"> </w:t>
            </w:r>
            <w:r>
              <w:rPr>
                <w:sz w:val="16"/>
              </w:rPr>
              <w:t>services</w:t>
            </w:r>
            <w:r>
              <w:rPr>
                <w:spacing w:val="-7"/>
                <w:sz w:val="16"/>
              </w:rPr>
              <w:t xml:space="preserve"> </w:t>
            </w:r>
            <w:r>
              <w:rPr>
                <w:sz w:val="16"/>
              </w:rPr>
              <w:t>(per</w:t>
            </w:r>
            <w:r>
              <w:rPr>
                <w:spacing w:val="-5"/>
                <w:sz w:val="16"/>
              </w:rPr>
              <w:t xml:space="preserve"> </w:t>
            </w:r>
            <w:r>
              <w:rPr>
                <w:sz w:val="16"/>
              </w:rPr>
              <w:t>1000</w:t>
            </w:r>
            <w:r>
              <w:rPr>
                <w:spacing w:val="-6"/>
                <w:sz w:val="16"/>
              </w:rPr>
              <w:t xml:space="preserve"> </w:t>
            </w:r>
            <w:r>
              <w:rPr>
                <w:spacing w:val="-2"/>
                <w:sz w:val="16"/>
              </w:rPr>
              <w:t>customers,</w:t>
            </w:r>
          </w:p>
          <w:p w14:paraId="5739F493" w14:textId="77777777" w:rsidR="00141B97" w:rsidRDefault="00911D63">
            <w:pPr>
              <w:pStyle w:val="TableParagraph"/>
              <w:spacing w:line="175" w:lineRule="exact"/>
              <w:ind w:left="17"/>
              <w:rPr>
                <w:sz w:val="16"/>
              </w:rPr>
            </w:pPr>
            <w:r>
              <w:rPr>
                <w:sz w:val="16"/>
              </w:rPr>
              <w:t>LMW</w:t>
            </w:r>
            <w:r>
              <w:rPr>
                <w:spacing w:val="-6"/>
                <w:sz w:val="16"/>
              </w:rPr>
              <w:t xml:space="preserve"> </w:t>
            </w:r>
            <w:r>
              <w:rPr>
                <w:spacing w:val="-2"/>
                <w:sz w:val="16"/>
              </w:rPr>
              <w:t>main)</w:t>
            </w:r>
          </w:p>
        </w:tc>
        <w:tc>
          <w:tcPr>
            <w:tcW w:w="896" w:type="dxa"/>
            <w:shd w:val="clear" w:color="auto" w:fill="CCE2ED"/>
          </w:tcPr>
          <w:p w14:paraId="65687EF2" w14:textId="77777777" w:rsidR="00141B97" w:rsidRDefault="00911D63">
            <w:pPr>
              <w:pStyle w:val="TableParagraph"/>
              <w:spacing w:before="98"/>
              <w:ind w:left="17"/>
              <w:rPr>
                <w:sz w:val="16"/>
              </w:rPr>
            </w:pPr>
            <w:r>
              <w:rPr>
                <w:spacing w:val="-5"/>
                <w:sz w:val="16"/>
              </w:rPr>
              <w:t>NA</w:t>
            </w:r>
          </w:p>
        </w:tc>
        <w:tc>
          <w:tcPr>
            <w:tcW w:w="4178" w:type="dxa"/>
            <w:gridSpan w:val="5"/>
            <w:tcBorders>
              <w:right w:val="nil"/>
            </w:tcBorders>
            <w:shd w:val="clear" w:color="auto" w:fill="CCE2ED"/>
          </w:tcPr>
          <w:p w14:paraId="74DAF80E" w14:textId="77777777" w:rsidR="00141B97" w:rsidRDefault="00911D63">
            <w:pPr>
              <w:pStyle w:val="TableParagraph"/>
              <w:spacing w:before="98"/>
              <w:ind w:left="1818" w:right="1802"/>
              <w:jc w:val="center"/>
              <w:rPr>
                <w:sz w:val="16"/>
              </w:rPr>
            </w:pPr>
            <w:r>
              <w:rPr>
                <w:spacing w:val="-4"/>
                <w:sz w:val="16"/>
              </w:rPr>
              <w:t>=/&lt;5</w:t>
            </w:r>
          </w:p>
        </w:tc>
      </w:tr>
      <w:tr w:rsidR="00141B97" w14:paraId="0E9AE415" w14:textId="77777777">
        <w:trPr>
          <w:trHeight w:val="391"/>
          <w:tblCellSpacing w:w="9" w:type="dxa"/>
        </w:trPr>
        <w:tc>
          <w:tcPr>
            <w:tcW w:w="4681" w:type="dxa"/>
            <w:tcBorders>
              <w:left w:val="nil"/>
            </w:tcBorders>
            <w:shd w:val="clear" w:color="auto" w:fill="CCE2ED"/>
          </w:tcPr>
          <w:p w14:paraId="1E5FF4DB" w14:textId="77777777" w:rsidR="00141B97" w:rsidRDefault="00911D63">
            <w:pPr>
              <w:pStyle w:val="TableParagraph"/>
              <w:spacing w:line="190" w:lineRule="atLeast"/>
              <w:ind w:left="17"/>
              <w:rPr>
                <w:sz w:val="16"/>
              </w:rPr>
            </w:pPr>
            <w:r>
              <w:rPr>
                <w:sz w:val="16"/>
              </w:rPr>
              <w:t>Customer</w:t>
            </w:r>
            <w:r>
              <w:rPr>
                <w:spacing w:val="-1"/>
                <w:sz w:val="16"/>
              </w:rPr>
              <w:t xml:space="preserve"> </w:t>
            </w:r>
            <w:r>
              <w:rPr>
                <w:sz w:val="16"/>
              </w:rPr>
              <w:t>satisfaction</w:t>
            </w:r>
            <w:r>
              <w:rPr>
                <w:spacing w:val="-2"/>
                <w:sz w:val="16"/>
              </w:rPr>
              <w:t xml:space="preserve"> </w:t>
            </w:r>
            <w:r>
              <w:rPr>
                <w:sz w:val="16"/>
              </w:rPr>
              <w:t>of</w:t>
            </w:r>
            <w:r>
              <w:rPr>
                <w:spacing w:val="-2"/>
                <w:sz w:val="16"/>
              </w:rPr>
              <w:t xml:space="preserve"> </w:t>
            </w:r>
            <w:r>
              <w:rPr>
                <w:sz w:val="16"/>
              </w:rPr>
              <w:t>sewerage</w:t>
            </w:r>
            <w:r>
              <w:rPr>
                <w:spacing w:val="-3"/>
                <w:sz w:val="16"/>
              </w:rPr>
              <w:t xml:space="preserve"> </w:t>
            </w:r>
            <w:r>
              <w:rPr>
                <w:sz w:val="16"/>
              </w:rPr>
              <w:t>service</w:t>
            </w:r>
            <w:r>
              <w:rPr>
                <w:spacing w:val="-3"/>
                <w:sz w:val="16"/>
              </w:rPr>
              <w:t xml:space="preserve"> </w:t>
            </w:r>
            <w:r>
              <w:rPr>
                <w:sz w:val="16"/>
              </w:rPr>
              <w:t>–</w:t>
            </w:r>
            <w:r>
              <w:rPr>
                <w:spacing w:val="-3"/>
                <w:sz w:val="16"/>
              </w:rPr>
              <w:t xml:space="preserve"> </w:t>
            </w:r>
            <w:r>
              <w:rPr>
                <w:sz w:val="16"/>
              </w:rPr>
              <w:t>Target</w:t>
            </w:r>
            <w:r>
              <w:rPr>
                <w:spacing w:val="-2"/>
                <w:sz w:val="16"/>
              </w:rPr>
              <w:t xml:space="preserve"> </w:t>
            </w:r>
            <w:r>
              <w:rPr>
                <w:sz w:val="16"/>
              </w:rPr>
              <w:t>=</w:t>
            </w:r>
            <w:r>
              <w:rPr>
                <w:spacing w:val="-2"/>
                <w:sz w:val="16"/>
              </w:rPr>
              <w:t xml:space="preserve"> </w:t>
            </w:r>
            <w:r>
              <w:rPr>
                <w:sz w:val="16"/>
              </w:rPr>
              <w:t>&gt;/=</w:t>
            </w:r>
            <w:r>
              <w:rPr>
                <w:spacing w:val="-3"/>
                <w:sz w:val="16"/>
              </w:rPr>
              <w:t xml:space="preserve"> </w:t>
            </w:r>
            <w:r>
              <w:rPr>
                <w:sz w:val="16"/>
              </w:rPr>
              <w:t>prior</w:t>
            </w:r>
            <w:r>
              <w:rPr>
                <w:spacing w:val="-3"/>
                <w:sz w:val="16"/>
              </w:rPr>
              <w:t xml:space="preserve"> </w:t>
            </w:r>
            <w:r>
              <w:rPr>
                <w:sz w:val="16"/>
              </w:rPr>
              <w:t>year</w:t>
            </w:r>
            <w:r>
              <w:rPr>
                <w:spacing w:val="40"/>
                <w:sz w:val="16"/>
              </w:rPr>
              <w:t xml:space="preserve"> </w:t>
            </w:r>
            <w:r>
              <w:rPr>
                <w:sz w:val="16"/>
              </w:rPr>
              <w:t>performance of annual survey respondents</w:t>
            </w:r>
          </w:p>
        </w:tc>
        <w:tc>
          <w:tcPr>
            <w:tcW w:w="896" w:type="dxa"/>
            <w:shd w:val="clear" w:color="auto" w:fill="CCE2ED"/>
          </w:tcPr>
          <w:p w14:paraId="62413D30" w14:textId="77777777" w:rsidR="00141B97" w:rsidRDefault="00911D63">
            <w:pPr>
              <w:pStyle w:val="TableParagraph"/>
              <w:spacing w:before="98"/>
              <w:ind w:left="17"/>
              <w:rPr>
                <w:sz w:val="16"/>
              </w:rPr>
            </w:pPr>
            <w:r>
              <w:rPr>
                <w:spacing w:val="-2"/>
                <w:sz w:val="16"/>
              </w:rPr>
              <w:t>90%/91%</w:t>
            </w:r>
          </w:p>
        </w:tc>
        <w:tc>
          <w:tcPr>
            <w:tcW w:w="868" w:type="dxa"/>
            <w:shd w:val="clear" w:color="auto" w:fill="CCE2ED"/>
          </w:tcPr>
          <w:p w14:paraId="7BD54D26" w14:textId="77777777" w:rsidR="00141B97" w:rsidRDefault="00911D63">
            <w:pPr>
              <w:pStyle w:val="TableParagraph"/>
              <w:spacing w:before="98"/>
              <w:ind w:right="120"/>
              <w:jc w:val="right"/>
              <w:rPr>
                <w:sz w:val="16"/>
              </w:rPr>
            </w:pPr>
            <w:r>
              <w:rPr>
                <w:spacing w:val="-2"/>
                <w:sz w:val="16"/>
              </w:rPr>
              <w:t>=/&gt;22/23</w:t>
            </w:r>
          </w:p>
        </w:tc>
        <w:tc>
          <w:tcPr>
            <w:tcW w:w="827" w:type="dxa"/>
            <w:shd w:val="clear" w:color="auto" w:fill="CCE2ED"/>
          </w:tcPr>
          <w:p w14:paraId="40FDAE87" w14:textId="77777777" w:rsidR="00141B97" w:rsidRDefault="00911D63">
            <w:pPr>
              <w:pStyle w:val="TableParagraph"/>
              <w:spacing w:before="98"/>
              <w:ind w:left="102" w:right="101"/>
              <w:jc w:val="center"/>
              <w:rPr>
                <w:sz w:val="16"/>
              </w:rPr>
            </w:pPr>
            <w:r>
              <w:rPr>
                <w:spacing w:val="-2"/>
                <w:sz w:val="16"/>
              </w:rPr>
              <w:t>=/&gt;23/24</w:t>
            </w:r>
          </w:p>
        </w:tc>
        <w:tc>
          <w:tcPr>
            <w:tcW w:w="827" w:type="dxa"/>
            <w:shd w:val="clear" w:color="auto" w:fill="CCE2ED"/>
          </w:tcPr>
          <w:p w14:paraId="5F1D5778" w14:textId="77777777" w:rsidR="00141B97" w:rsidRDefault="00911D63">
            <w:pPr>
              <w:pStyle w:val="TableParagraph"/>
              <w:spacing w:before="98"/>
              <w:ind w:right="99"/>
              <w:jc w:val="right"/>
              <w:rPr>
                <w:sz w:val="16"/>
              </w:rPr>
            </w:pPr>
            <w:r>
              <w:rPr>
                <w:spacing w:val="-2"/>
                <w:sz w:val="16"/>
              </w:rPr>
              <w:t>=/&gt;24/25</w:t>
            </w:r>
          </w:p>
        </w:tc>
        <w:tc>
          <w:tcPr>
            <w:tcW w:w="839" w:type="dxa"/>
            <w:shd w:val="clear" w:color="auto" w:fill="CCE2ED"/>
          </w:tcPr>
          <w:p w14:paraId="03B17C0D" w14:textId="77777777" w:rsidR="00141B97" w:rsidRDefault="00911D63">
            <w:pPr>
              <w:pStyle w:val="TableParagraph"/>
              <w:spacing w:before="98"/>
              <w:ind w:right="104"/>
              <w:jc w:val="right"/>
              <w:rPr>
                <w:sz w:val="16"/>
              </w:rPr>
            </w:pPr>
            <w:r>
              <w:rPr>
                <w:spacing w:val="-2"/>
                <w:sz w:val="16"/>
              </w:rPr>
              <w:t>=/&gt;25/26</w:t>
            </w:r>
          </w:p>
        </w:tc>
        <w:tc>
          <w:tcPr>
            <w:tcW w:w="817" w:type="dxa"/>
            <w:tcBorders>
              <w:right w:val="nil"/>
            </w:tcBorders>
            <w:shd w:val="clear" w:color="auto" w:fill="CCE2ED"/>
          </w:tcPr>
          <w:p w14:paraId="4AF0AFF3" w14:textId="77777777" w:rsidR="00141B97" w:rsidRDefault="00911D63">
            <w:pPr>
              <w:pStyle w:val="TableParagraph"/>
              <w:spacing w:before="98"/>
              <w:ind w:right="87"/>
              <w:jc w:val="right"/>
              <w:rPr>
                <w:sz w:val="16"/>
              </w:rPr>
            </w:pPr>
            <w:r>
              <w:rPr>
                <w:spacing w:val="-2"/>
                <w:sz w:val="16"/>
              </w:rPr>
              <w:t>=/&gt;26/27</w:t>
            </w:r>
          </w:p>
        </w:tc>
      </w:tr>
      <w:tr w:rsidR="00141B97" w14:paraId="16BC8B07" w14:textId="77777777">
        <w:trPr>
          <w:trHeight w:val="194"/>
          <w:tblCellSpacing w:w="9" w:type="dxa"/>
        </w:trPr>
        <w:tc>
          <w:tcPr>
            <w:tcW w:w="4681" w:type="dxa"/>
            <w:tcBorders>
              <w:left w:val="nil"/>
            </w:tcBorders>
            <w:shd w:val="clear" w:color="auto" w:fill="CCE2ED"/>
          </w:tcPr>
          <w:p w14:paraId="672CB532" w14:textId="77777777" w:rsidR="00141B97" w:rsidRDefault="00911D63">
            <w:pPr>
              <w:pStyle w:val="TableParagraph"/>
              <w:spacing w:line="175" w:lineRule="exact"/>
              <w:ind w:left="17"/>
              <w:rPr>
                <w:sz w:val="16"/>
              </w:rPr>
            </w:pPr>
            <w:r>
              <w:rPr>
                <w:sz w:val="16"/>
              </w:rPr>
              <w:t>Odour</w:t>
            </w:r>
            <w:r>
              <w:rPr>
                <w:spacing w:val="-7"/>
                <w:sz w:val="16"/>
              </w:rPr>
              <w:t xml:space="preserve"> </w:t>
            </w:r>
            <w:r>
              <w:rPr>
                <w:sz w:val="16"/>
              </w:rPr>
              <w:t>complaints</w:t>
            </w:r>
            <w:r>
              <w:rPr>
                <w:spacing w:val="-6"/>
                <w:sz w:val="16"/>
              </w:rPr>
              <w:t xml:space="preserve"> </w:t>
            </w:r>
            <w:r>
              <w:rPr>
                <w:sz w:val="16"/>
              </w:rPr>
              <w:t>per</w:t>
            </w:r>
            <w:r>
              <w:rPr>
                <w:spacing w:val="-8"/>
                <w:sz w:val="16"/>
              </w:rPr>
              <w:t xml:space="preserve"> </w:t>
            </w:r>
            <w:r>
              <w:rPr>
                <w:spacing w:val="-4"/>
                <w:sz w:val="16"/>
              </w:rPr>
              <w:t>year</w:t>
            </w:r>
          </w:p>
        </w:tc>
        <w:tc>
          <w:tcPr>
            <w:tcW w:w="896" w:type="dxa"/>
            <w:shd w:val="clear" w:color="auto" w:fill="CCE2ED"/>
          </w:tcPr>
          <w:p w14:paraId="39302884" w14:textId="77777777" w:rsidR="00141B97" w:rsidRDefault="00911D63">
            <w:pPr>
              <w:pStyle w:val="TableParagraph"/>
              <w:spacing w:line="175" w:lineRule="exact"/>
              <w:ind w:left="53"/>
              <w:rPr>
                <w:sz w:val="16"/>
              </w:rPr>
            </w:pPr>
            <w:r>
              <w:rPr>
                <w:spacing w:val="-4"/>
                <w:sz w:val="16"/>
              </w:rPr>
              <w:t>=&lt;10</w:t>
            </w:r>
          </w:p>
        </w:tc>
        <w:tc>
          <w:tcPr>
            <w:tcW w:w="4178" w:type="dxa"/>
            <w:gridSpan w:val="5"/>
            <w:tcBorders>
              <w:right w:val="nil"/>
            </w:tcBorders>
            <w:shd w:val="clear" w:color="auto" w:fill="CCE2ED"/>
          </w:tcPr>
          <w:p w14:paraId="078F1245" w14:textId="77777777" w:rsidR="00141B97" w:rsidRDefault="00911D63">
            <w:pPr>
              <w:pStyle w:val="TableParagraph"/>
              <w:spacing w:line="175" w:lineRule="exact"/>
              <w:ind w:left="1817" w:right="1802"/>
              <w:jc w:val="center"/>
              <w:rPr>
                <w:sz w:val="16"/>
              </w:rPr>
            </w:pPr>
            <w:r>
              <w:rPr>
                <w:spacing w:val="-4"/>
                <w:sz w:val="16"/>
              </w:rPr>
              <w:t>=&lt;10</w:t>
            </w:r>
          </w:p>
        </w:tc>
      </w:tr>
      <w:tr w:rsidR="00141B97" w14:paraId="2522A951" w14:textId="77777777">
        <w:trPr>
          <w:trHeight w:val="194"/>
          <w:tblCellSpacing w:w="9" w:type="dxa"/>
        </w:trPr>
        <w:tc>
          <w:tcPr>
            <w:tcW w:w="4681" w:type="dxa"/>
            <w:tcBorders>
              <w:left w:val="nil"/>
            </w:tcBorders>
            <w:shd w:val="clear" w:color="auto" w:fill="CCE2ED"/>
          </w:tcPr>
          <w:p w14:paraId="5A2E5A97" w14:textId="77777777" w:rsidR="00141B97" w:rsidRDefault="00911D63">
            <w:pPr>
              <w:pStyle w:val="TableParagraph"/>
              <w:spacing w:line="175" w:lineRule="exact"/>
              <w:ind w:left="17"/>
              <w:rPr>
                <w:sz w:val="16"/>
              </w:rPr>
            </w:pPr>
            <w:r>
              <w:rPr>
                <w:sz w:val="16"/>
              </w:rPr>
              <w:t>Number</w:t>
            </w:r>
            <w:r>
              <w:rPr>
                <w:spacing w:val="-4"/>
                <w:sz w:val="16"/>
              </w:rPr>
              <w:t xml:space="preserve"> </w:t>
            </w:r>
            <w:r>
              <w:rPr>
                <w:sz w:val="16"/>
              </w:rPr>
              <w:t>of</w:t>
            </w:r>
            <w:r>
              <w:rPr>
                <w:spacing w:val="-4"/>
                <w:sz w:val="16"/>
              </w:rPr>
              <w:t xml:space="preserve"> </w:t>
            </w:r>
            <w:r>
              <w:rPr>
                <w:sz w:val="16"/>
              </w:rPr>
              <w:t>spills</w:t>
            </w:r>
            <w:r>
              <w:rPr>
                <w:spacing w:val="-4"/>
                <w:sz w:val="16"/>
              </w:rPr>
              <w:t xml:space="preserve"> </w:t>
            </w:r>
            <w:r>
              <w:rPr>
                <w:sz w:val="16"/>
              </w:rPr>
              <w:t>in</w:t>
            </w:r>
            <w:r>
              <w:rPr>
                <w:spacing w:val="-4"/>
                <w:sz w:val="16"/>
              </w:rPr>
              <w:t xml:space="preserve"> </w:t>
            </w:r>
            <w:r>
              <w:rPr>
                <w:sz w:val="16"/>
              </w:rPr>
              <w:t>houses</w:t>
            </w:r>
            <w:r>
              <w:rPr>
                <w:spacing w:val="-6"/>
                <w:sz w:val="16"/>
              </w:rPr>
              <w:t xml:space="preserve"> </w:t>
            </w:r>
            <w:r>
              <w:rPr>
                <w:sz w:val="16"/>
              </w:rPr>
              <w:t>caused</w:t>
            </w:r>
            <w:r>
              <w:rPr>
                <w:spacing w:val="-5"/>
                <w:sz w:val="16"/>
              </w:rPr>
              <w:t xml:space="preserve"> </w:t>
            </w:r>
            <w:r>
              <w:rPr>
                <w:sz w:val="16"/>
              </w:rPr>
              <w:t>by</w:t>
            </w:r>
            <w:r>
              <w:rPr>
                <w:spacing w:val="-3"/>
                <w:sz w:val="16"/>
              </w:rPr>
              <w:t xml:space="preserve"> </w:t>
            </w:r>
            <w:r>
              <w:rPr>
                <w:sz w:val="16"/>
              </w:rPr>
              <w:t>LMW</w:t>
            </w:r>
            <w:r>
              <w:rPr>
                <w:spacing w:val="-5"/>
                <w:sz w:val="16"/>
              </w:rPr>
              <w:t xml:space="preserve"> </w:t>
            </w:r>
            <w:r>
              <w:rPr>
                <w:spacing w:val="-2"/>
                <w:sz w:val="16"/>
              </w:rPr>
              <w:t>assets</w:t>
            </w:r>
          </w:p>
        </w:tc>
        <w:tc>
          <w:tcPr>
            <w:tcW w:w="896" w:type="dxa"/>
            <w:shd w:val="clear" w:color="auto" w:fill="CCE2ED"/>
          </w:tcPr>
          <w:p w14:paraId="3F5644E6" w14:textId="77777777" w:rsidR="00141B97" w:rsidRDefault="00911D63">
            <w:pPr>
              <w:pStyle w:val="TableParagraph"/>
              <w:spacing w:line="175" w:lineRule="exact"/>
              <w:ind w:left="17"/>
              <w:rPr>
                <w:sz w:val="16"/>
              </w:rPr>
            </w:pPr>
            <w:r>
              <w:rPr>
                <w:spacing w:val="-5"/>
                <w:sz w:val="16"/>
              </w:rPr>
              <w:t>&lt;=2</w:t>
            </w:r>
          </w:p>
        </w:tc>
        <w:tc>
          <w:tcPr>
            <w:tcW w:w="4178" w:type="dxa"/>
            <w:gridSpan w:val="5"/>
            <w:tcBorders>
              <w:right w:val="nil"/>
            </w:tcBorders>
            <w:shd w:val="clear" w:color="auto" w:fill="CCE2ED"/>
          </w:tcPr>
          <w:p w14:paraId="6B9DF090" w14:textId="77777777" w:rsidR="00141B97" w:rsidRDefault="00911D63">
            <w:pPr>
              <w:pStyle w:val="TableParagraph"/>
              <w:spacing w:line="175" w:lineRule="exact"/>
              <w:ind w:left="1818" w:right="1802"/>
              <w:jc w:val="center"/>
              <w:rPr>
                <w:sz w:val="16"/>
              </w:rPr>
            </w:pPr>
            <w:r>
              <w:rPr>
                <w:sz w:val="16"/>
              </w:rPr>
              <w:t>&lt;/=</w:t>
            </w:r>
            <w:r>
              <w:rPr>
                <w:spacing w:val="-5"/>
                <w:sz w:val="16"/>
              </w:rPr>
              <w:t xml:space="preserve"> </w:t>
            </w:r>
            <w:r>
              <w:rPr>
                <w:spacing w:val="-10"/>
                <w:sz w:val="16"/>
              </w:rPr>
              <w:t>3</w:t>
            </w:r>
          </w:p>
        </w:tc>
      </w:tr>
      <w:tr w:rsidR="00141B97" w14:paraId="3B367798" w14:textId="77777777">
        <w:trPr>
          <w:trHeight w:val="391"/>
          <w:tblCellSpacing w:w="9" w:type="dxa"/>
        </w:trPr>
        <w:tc>
          <w:tcPr>
            <w:tcW w:w="4681" w:type="dxa"/>
            <w:tcBorders>
              <w:left w:val="nil"/>
            </w:tcBorders>
            <w:shd w:val="clear" w:color="auto" w:fill="CCE2ED"/>
          </w:tcPr>
          <w:p w14:paraId="3DC65C92" w14:textId="77777777" w:rsidR="00141B97" w:rsidRDefault="00911D63">
            <w:pPr>
              <w:pStyle w:val="TableParagraph"/>
              <w:spacing w:line="190" w:lineRule="atLeast"/>
              <w:ind w:left="17" w:right="52"/>
              <w:rPr>
                <w:sz w:val="16"/>
              </w:rPr>
            </w:pPr>
            <w:r>
              <w:rPr>
                <w:sz w:val="16"/>
              </w:rPr>
              <w:t>Number</w:t>
            </w:r>
            <w:r>
              <w:rPr>
                <w:spacing w:val="-1"/>
                <w:sz w:val="16"/>
              </w:rPr>
              <w:t xml:space="preserve"> </w:t>
            </w:r>
            <w:r>
              <w:rPr>
                <w:sz w:val="16"/>
              </w:rPr>
              <w:t>of</w:t>
            </w:r>
            <w:r>
              <w:rPr>
                <w:spacing w:val="-2"/>
                <w:sz w:val="16"/>
              </w:rPr>
              <w:t xml:space="preserve"> </w:t>
            </w:r>
            <w:r>
              <w:rPr>
                <w:sz w:val="16"/>
              </w:rPr>
              <w:t>customers</w:t>
            </w:r>
            <w:r>
              <w:rPr>
                <w:spacing w:val="-3"/>
                <w:sz w:val="16"/>
              </w:rPr>
              <w:t xml:space="preserve"> </w:t>
            </w:r>
            <w:r>
              <w:rPr>
                <w:sz w:val="16"/>
              </w:rPr>
              <w:t>receiving</w:t>
            </w:r>
            <w:r>
              <w:rPr>
                <w:spacing w:val="-2"/>
                <w:sz w:val="16"/>
              </w:rPr>
              <w:t xml:space="preserve"> </w:t>
            </w:r>
            <w:r>
              <w:rPr>
                <w:sz w:val="16"/>
              </w:rPr>
              <w:t>more</w:t>
            </w:r>
            <w:r>
              <w:rPr>
                <w:spacing w:val="-1"/>
                <w:sz w:val="16"/>
              </w:rPr>
              <w:t xml:space="preserve"> </w:t>
            </w:r>
            <w:r>
              <w:rPr>
                <w:sz w:val="16"/>
              </w:rPr>
              <w:t>than</w:t>
            </w:r>
            <w:r>
              <w:rPr>
                <w:spacing w:val="-3"/>
                <w:sz w:val="16"/>
              </w:rPr>
              <w:t xml:space="preserve"> </w:t>
            </w:r>
            <w:r>
              <w:rPr>
                <w:sz w:val="16"/>
              </w:rPr>
              <w:t>3</w:t>
            </w:r>
            <w:r>
              <w:rPr>
                <w:spacing w:val="-2"/>
                <w:sz w:val="16"/>
              </w:rPr>
              <w:t xml:space="preserve"> </w:t>
            </w:r>
            <w:r>
              <w:rPr>
                <w:sz w:val="16"/>
              </w:rPr>
              <w:t>sewer</w:t>
            </w:r>
            <w:r>
              <w:rPr>
                <w:spacing w:val="-3"/>
                <w:sz w:val="16"/>
              </w:rPr>
              <w:t xml:space="preserve"> </w:t>
            </w:r>
            <w:r>
              <w:rPr>
                <w:sz w:val="16"/>
              </w:rPr>
              <w:t>blockages</w:t>
            </w:r>
            <w:r>
              <w:rPr>
                <w:spacing w:val="-3"/>
                <w:sz w:val="16"/>
              </w:rPr>
              <w:t xml:space="preserve"> </w:t>
            </w:r>
            <w:r>
              <w:rPr>
                <w:sz w:val="16"/>
              </w:rPr>
              <w:t>in</w:t>
            </w:r>
            <w:r>
              <w:rPr>
                <w:spacing w:val="-3"/>
                <w:sz w:val="16"/>
              </w:rPr>
              <w:t xml:space="preserve"> </w:t>
            </w:r>
            <w:r>
              <w:rPr>
                <w:sz w:val="16"/>
              </w:rPr>
              <w:t>the</w:t>
            </w:r>
            <w:r>
              <w:rPr>
                <w:spacing w:val="40"/>
                <w:sz w:val="16"/>
              </w:rPr>
              <w:t xml:space="preserve"> </w:t>
            </w:r>
            <w:r>
              <w:rPr>
                <w:spacing w:val="-2"/>
                <w:sz w:val="16"/>
              </w:rPr>
              <w:t>year.</w:t>
            </w:r>
          </w:p>
        </w:tc>
        <w:tc>
          <w:tcPr>
            <w:tcW w:w="896" w:type="dxa"/>
            <w:shd w:val="clear" w:color="auto" w:fill="CCE2ED"/>
          </w:tcPr>
          <w:p w14:paraId="7DDA2633" w14:textId="77777777" w:rsidR="00141B97" w:rsidRDefault="00911D63">
            <w:pPr>
              <w:pStyle w:val="TableParagraph"/>
              <w:spacing w:before="98"/>
              <w:ind w:left="17"/>
              <w:rPr>
                <w:sz w:val="16"/>
              </w:rPr>
            </w:pPr>
            <w:r>
              <w:rPr>
                <w:w w:val="99"/>
                <w:sz w:val="16"/>
              </w:rPr>
              <w:t>0</w:t>
            </w:r>
          </w:p>
        </w:tc>
        <w:tc>
          <w:tcPr>
            <w:tcW w:w="4178" w:type="dxa"/>
            <w:gridSpan w:val="5"/>
            <w:tcBorders>
              <w:right w:val="nil"/>
            </w:tcBorders>
            <w:shd w:val="clear" w:color="auto" w:fill="CCE2ED"/>
          </w:tcPr>
          <w:p w14:paraId="34F87893" w14:textId="77777777" w:rsidR="00141B97" w:rsidRDefault="00911D63">
            <w:pPr>
              <w:pStyle w:val="TableParagraph"/>
              <w:spacing w:before="98"/>
              <w:ind w:left="15"/>
              <w:jc w:val="center"/>
              <w:rPr>
                <w:sz w:val="16"/>
              </w:rPr>
            </w:pPr>
            <w:r>
              <w:rPr>
                <w:w w:val="99"/>
                <w:sz w:val="16"/>
              </w:rPr>
              <w:t>0</w:t>
            </w:r>
          </w:p>
        </w:tc>
      </w:tr>
      <w:tr w:rsidR="00141B97" w14:paraId="3C516AF6" w14:textId="77777777">
        <w:trPr>
          <w:trHeight w:val="194"/>
          <w:tblCellSpacing w:w="9" w:type="dxa"/>
        </w:trPr>
        <w:tc>
          <w:tcPr>
            <w:tcW w:w="9755" w:type="dxa"/>
            <w:gridSpan w:val="7"/>
            <w:tcBorders>
              <w:left w:val="nil"/>
              <w:right w:val="nil"/>
            </w:tcBorders>
            <w:shd w:val="clear" w:color="auto" w:fill="BFBFBF"/>
          </w:tcPr>
          <w:p w14:paraId="3396D40B" w14:textId="77777777" w:rsidR="00141B97" w:rsidRDefault="00911D63">
            <w:pPr>
              <w:pStyle w:val="TableParagraph"/>
              <w:spacing w:line="175" w:lineRule="exact"/>
              <w:ind w:left="27"/>
              <w:rPr>
                <w:sz w:val="16"/>
              </w:rPr>
            </w:pPr>
            <w:r>
              <w:rPr>
                <w:sz w:val="16"/>
              </w:rPr>
              <w:t>Outcome</w:t>
            </w:r>
            <w:r>
              <w:rPr>
                <w:spacing w:val="-5"/>
                <w:sz w:val="16"/>
              </w:rPr>
              <w:t xml:space="preserve"> </w:t>
            </w:r>
            <w:r>
              <w:rPr>
                <w:sz w:val="16"/>
              </w:rPr>
              <w:t>4:</w:t>
            </w:r>
            <w:r>
              <w:rPr>
                <w:spacing w:val="-6"/>
                <w:sz w:val="16"/>
              </w:rPr>
              <w:t xml:space="preserve"> </w:t>
            </w:r>
            <w:r>
              <w:rPr>
                <w:sz w:val="16"/>
              </w:rPr>
              <w:t>Provide</w:t>
            </w:r>
            <w:r>
              <w:rPr>
                <w:spacing w:val="-5"/>
                <w:sz w:val="16"/>
              </w:rPr>
              <w:t xml:space="preserve"> </w:t>
            </w:r>
            <w:r>
              <w:rPr>
                <w:sz w:val="16"/>
              </w:rPr>
              <w:t>customer</w:t>
            </w:r>
            <w:r>
              <w:rPr>
                <w:spacing w:val="-5"/>
                <w:sz w:val="16"/>
              </w:rPr>
              <w:t xml:space="preserve"> </w:t>
            </w:r>
            <w:r>
              <w:rPr>
                <w:sz w:val="16"/>
              </w:rPr>
              <w:t>service</w:t>
            </w:r>
            <w:r>
              <w:rPr>
                <w:spacing w:val="-6"/>
                <w:sz w:val="16"/>
              </w:rPr>
              <w:t xml:space="preserve"> </w:t>
            </w:r>
            <w:r>
              <w:rPr>
                <w:sz w:val="16"/>
              </w:rPr>
              <w:t>avenues</w:t>
            </w:r>
            <w:r>
              <w:rPr>
                <w:spacing w:val="-6"/>
                <w:sz w:val="16"/>
              </w:rPr>
              <w:t xml:space="preserve"> </w:t>
            </w:r>
            <w:r>
              <w:rPr>
                <w:sz w:val="16"/>
              </w:rPr>
              <w:t>that</w:t>
            </w:r>
            <w:r>
              <w:rPr>
                <w:spacing w:val="-6"/>
                <w:sz w:val="16"/>
              </w:rPr>
              <w:t xml:space="preserve"> </w:t>
            </w:r>
            <w:r>
              <w:rPr>
                <w:sz w:val="16"/>
              </w:rPr>
              <w:t>are</w:t>
            </w:r>
            <w:r>
              <w:rPr>
                <w:spacing w:val="-5"/>
                <w:sz w:val="16"/>
              </w:rPr>
              <w:t xml:space="preserve"> </w:t>
            </w:r>
            <w:r>
              <w:rPr>
                <w:sz w:val="16"/>
              </w:rPr>
              <w:t>responsive</w:t>
            </w:r>
            <w:r>
              <w:rPr>
                <w:spacing w:val="-5"/>
                <w:sz w:val="16"/>
              </w:rPr>
              <w:t xml:space="preserve"> </w:t>
            </w:r>
            <w:r>
              <w:rPr>
                <w:sz w:val="16"/>
              </w:rPr>
              <w:t>to</w:t>
            </w:r>
            <w:r>
              <w:rPr>
                <w:spacing w:val="-6"/>
                <w:sz w:val="16"/>
              </w:rPr>
              <w:t xml:space="preserve"> </w:t>
            </w:r>
            <w:r>
              <w:rPr>
                <w:sz w:val="16"/>
              </w:rPr>
              <w:t>resolve</w:t>
            </w:r>
            <w:r>
              <w:rPr>
                <w:spacing w:val="-5"/>
                <w:sz w:val="16"/>
              </w:rPr>
              <w:t xml:space="preserve"> </w:t>
            </w:r>
            <w:r>
              <w:rPr>
                <w:sz w:val="16"/>
              </w:rPr>
              <w:t>requests</w:t>
            </w:r>
            <w:r>
              <w:rPr>
                <w:spacing w:val="-6"/>
                <w:sz w:val="16"/>
              </w:rPr>
              <w:t xml:space="preserve"> </w:t>
            </w:r>
            <w:r>
              <w:rPr>
                <w:sz w:val="16"/>
              </w:rPr>
              <w:t>and</w:t>
            </w:r>
            <w:r>
              <w:rPr>
                <w:spacing w:val="-6"/>
                <w:sz w:val="16"/>
              </w:rPr>
              <w:t xml:space="preserve"> </w:t>
            </w:r>
            <w:r>
              <w:rPr>
                <w:spacing w:val="-2"/>
                <w:sz w:val="16"/>
              </w:rPr>
              <w:t>enquiries</w:t>
            </w:r>
          </w:p>
        </w:tc>
      </w:tr>
      <w:tr w:rsidR="00141B97" w14:paraId="6136EB6B" w14:textId="77777777">
        <w:trPr>
          <w:trHeight w:val="685"/>
          <w:tblCellSpacing w:w="9" w:type="dxa"/>
        </w:trPr>
        <w:tc>
          <w:tcPr>
            <w:tcW w:w="4681" w:type="dxa"/>
            <w:tcBorders>
              <w:left w:val="nil"/>
            </w:tcBorders>
            <w:shd w:val="clear" w:color="auto" w:fill="CCE2ED"/>
          </w:tcPr>
          <w:p w14:paraId="1A81255A" w14:textId="77777777" w:rsidR="00141B97" w:rsidRDefault="00911D63">
            <w:pPr>
              <w:pStyle w:val="TableParagraph"/>
              <w:ind w:left="17"/>
              <w:rPr>
                <w:sz w:val="16"/>
              </w:rPr>
            </w:pPr>
            <w:r>
              <w:rPr>
                <w:sz w:val="16"/>
              </w:rPr>
              <w:t>Resolve customer charter requests / enquiries within the defined</w:t>
            </w:r>
            <w:r>
              <w:rPr>
                <w:spacing w:val="40"/>
                <w:sz w:val="16"/>
              </w:rPr>
              <w:t xml:space="preserve"> </w:t>
            </w:r>
            <w:r>
              <w:rPr>
                <w:sz w:val="16"/>
              </w:rPr>
              <w:t>response</w:t>
            </w:r>
            <w:r>
              <w:rPr>
                <w:spacing w:val="-2"/>
                <w:sz w:val="16"/>
              </w:rPr>
              <w:t xml:space="preserve"> </w:t>
            </w:r>
            <w:r>
              <w:rPr>
                <w:sz w:val="16"/>
              </w:rPr>
              <w:t>time</w:t>
            </w:r>
            <w:r>
              <w:rPr>
                <w:spacing w:val="-1"/>
                <w:sz w:val="16"/>
              </w:rPr>
              <w:t xml:space="preserve"> </w:t>
            </w:r>
            <w:r>
              <w:rPr>
                <w:sz w:val="16"/>
              </w:rPr>
              <w:t>(Mean</w:t>
            </w:r>
            <w:r>
              <w:rPr>
                <w:spacing w:val="-2"/>
                <w:sz w:val="16"/>
              </w:rPr>
              <w:t xml:space="preserve"> </w:t>
            </w:r>
            <w:r>
              <w:rPr>
                <w:sz w:val="16"/>
              </w:rPr>
              <w:t>Time</w:t>
            </w:r>
            <w:r>
              <w:rPr>
                <w:spacing w:val="-1"/>
                <w:sz w:val="16"/>
              </w:rPr>
              <w:t xml:space="preserve"> </w:t>
            </w:r>
            <w:r>
              <w:rPr>
                <w:sz w:val="16"/>
              </w:rPr>
              <w:t>to</w:t>
            </w:r>
            <w:r>
              <w:rPr>
                <w:spacing w:val="-2"/>
                <w:sz w:val="16"/>
              </w:rPr>
              <w:t xml:space="preserve"> </w:t>
            </w:r>
            <w:r>
              <w:rPr>
                <w:sz w:val="16"/>
              </w:rPr>
              <w:t>Resolve)</w:t>
            </w:r>
            <w:r>
              <w:rPr>
                <w:spacing w:val="-1"/>
                <w:sz w:val="16"/>
              </w:rPr>
              <w:t xml:space="preserve"> </w:t>
            </w:r>
            <w:r>
              <w:rPr>
                <w:sz w:val="16"/>
              </w:rPr>
              <w:t>–</w:t>
            </w:r>
            <w:r>
              <w:rPr>
                <w:spacing w:val="-2"/>
                <w:sz w:val="16"/>
              </w:rPr>
              <w:t xml:space="preserve"> </w:t>
            </w:r>
            <w:r>
              <w:rPr>
                <w:sz w:val="16"/>
              </w:rPr>
              <w:t>Target</w:t>
            </w:r>
            <w:r>
              <w:rPr>
                <w:spacing w:val="-1"/>
                <w:sz w:val="16"/>
              </w:rPr>
              <w:t xml:space="preserve"> </w:t>
            </w:r>
            <w:r>
              <w:rPr>
                <w:sz w:val="16"/>
              </w:rPr>
              <w:t>‐</w:t>
            </w:r>
            <w:r>
              <w:rPr>
                <w:spacing w:val="-2"/>
                <w:sz w:val="16"/>
              </w:rPr>
              <w:t xml:space="preserve"> </w:t>
            </w:r>
            <w:r>
              <w:rPr>
                <w:sz w:val="16"/>
              </w:rPr>
              <w:t>% =/&gt;</w:t>
            </w:r>
            <w:r>
              <w:rPr>
                <w:spacing w:val="-2"/>
                <w:sz w:val="16"/>
              </w:rPr>
              <w:t xml:space="preserve"> </w:t>
            </w:r>
            <w:r>
              <w:rPr>
                <w:sz w:val="16"/>
              </w:rPr>
              <w:t>per</w:t>
            </w:r>
            <w:r>
              <w:rPr>
                <w:spacing w:val="-2"/>
                <w:sz w:val="16"/>
              </w:rPr>
              <w:t xml:space="preserve"> </w:t>
            </w:r>
            <w:r>
              <w:rPr>
                <w:sz w:val="16"/>
              </w:rPr>
              <w:t>year</w:t>
            </w:r>
            <w:r>
              <w:rPr>
                <w:spacing w:val="-2"/>
                <w:sz w:val="16"/>
              </w:rPr>
              <w:t xml:space="preserve"> </w:t>
            </w:r>
            <w:r>
              <w:rPr>
                <w:sz w:val="16"/>
              </w:rPr>
              <w:t>from</w:t>
            </w:r>
            <w:r>
              <w:rPr>
                <w:spacing w:val="40"/>
                <w:sz w:val="16"/>
              </w:rPr>
              <w:t xml:space="preserve"> </w:t>
            </w:r>
            <w:r>
              <w:rPr>
                <w:spacing w:val="-2"/>
                <w:sz w:val="16"/>
              </w:rPr>
              <w:t>2024/25</w:t>
            </w:r>
          </w:p>
        </w:tc>
        <w:tc>
          <w:tcPr>
            <w:tcW w:w="896" w:type="dxa"/>
            <w:shd w:val="clear" w:color="auto" w:fill="CCE2ED"/>
          </w:tcPr>
          <w:p w14:paraId="6782BA32" w14:textId="77777777" w:rsidR="00141B97" w:rsidRDefault="00141B97">
            <w:pPr>
              <w:pStyle w:val="TableParagraph"/>
              <w:spacing w:before="1"/>
              <w:rPr>
                <w:sz w:val="20"/>
              </w:rPr>
            </w:pPr>
          </w:p>
          <w:p w14:paraId="1D2DFB77" w14:textId="77777777" w:rsidR="00141B97" w:rsidRDefault="00911D63">
            <w:pPr>
              <w:pStyle w:val="TableParagraph"/>
              <w:ind w:left="17"/>
              <w:rPr>
                <w:sz w:val="16"/>
              </w:rPr>
            </w:pPr>
            <w:r>
              <w:rPr>
                <w:spacing w:val="-5"/>
                <w:sz w:val="16"/>
              </w:rPr>
              <w:t>NA</w:t>
            </w:r>
          </w:p>
        </w:tc>
        <w:tc>
          <w:tcPr>
            <w:tcW w:w="868" w:type="dxa"/>
            <w:shd w:val="clear" w:color="auto" w:fill="CCE2ED"/>
          </w:tcPr>
          <w:p w14:paraId="0814BBE8" w14:textId="77777777" w:rsidR="00141B97" w:rsidRDefault="00141B97">
            <w:pPr>
              <w:pStyle w:val="TableParagraph"/>
              <w:spacing w:before="1"/>
              <w:rPr>
                <w:sz w:val="20"/>
              </w:rPr>
            </w:pPr>
          </w:p>
          <w:p w14:paraId="1E796530" w14:textId="77777777" w:rsidR="00141B97" w:rsidRDefault="00911D63">
            <w:pPr>
              <w:pStyle w:val="TableParagraph"/>
              <w:ind w:left="284" w:right="282"/>
              <w:jc w:val="center"/>
              <w:rPr>
                <w:sz w:val="16"/>
              </w:rPr>
            </w:pPr>
            <w:r>
              <w:rPr>
                <w:spacing w:val="-5"/>
                <w:sz w:val="16"/>
              </w:rPr>
              <w:t>NA</w:t>
            </w:r>
          </w:p>
        </w:tc>
        <w:tc>
          <w:tcPr>
            <w:tcW w:w="827" w:type="dxa"/>
            <w:shd w:val="clear" w:color="auto" w:fill="CCE2ED"/>
          </w:tcPr>
          <w:p w14:paraId="322B94DE" w14:textId="77777777" w:rsidR="00141B97" w:rsidRDefault="00141B97">
            <w:pPr>
              <w:pStyle w:val="TableParagraph"/>
              <w:spacing w:before="1"/>
              <w:rPr>
                <w:sz w:val="20"/>
              </w:rPr>
            </w:pPr>
          </w:p>
          <w:p w14:paraId="4CFAC57D" w14:textId="77777777" w:rsidR="00141B97" w:rsidRDefault="00911D63">
            <w:pPr>
              <w:pStyle w:val="TableParagraph"/>
              <w:ind w:left="102" w:right="101"/>
              <w:jc w:val="center"/>
              <w:rPr>
                <w:sz w:val="16"/>
              </w:rPr>
            </w:pPr>
            <w:r>
              <w:rPr>
                <w:spacing w:val="-2"/>
                <w:sz w:val="16"/>
              </w:rPr>
              <w:t>=/&gt;60%</w:t>
            </w:r>
          </w:p>
        </w:tc>
        <w:tc>
          <w:tcPr>
            <w:tcW w:w="827" w:type="dxa"/>
            <w:shd w:val="clear" w:color="auto" w:fill="CCE2ED"/>
          </w:tcPr>
          <w:p w14:paraId="4B773921" w14:textId="77777777" w:rsidR="00141B97" w:rsidRDefault="00141B97">
            <w:pPr>
              <w:pStyle w:val="TableParagraph"/>
              <w:spacing w:before="1"/>
              <w:rPr>
                <w:sz w:val="20"/>
              </w:rPr>
            </w:pPr>
          </w:p>
          <w:p w14:paraId="37D79655" w14:textId="77777777" w:rsidR="00141B97" w:rsidRDefault="00911D63">
            <w:pPr>
              <w:pStyle w:val="TableParagraph"/>
              <w:ind w:left="159"/>
              <w:rPr>
                <w:sz w:val="16"/>
              </w:rPr>
            </w:pPr>
            <w:r>
              <w:rPr>
                <w:spacing w:val="-2"/>
                <w:sz w:val="16"/>
              </w:rPr>
              <w:t>=/&gt;65%</w:t>
            </w:r>
          </w:p>
        </w:tc>
        <w:tc>
          <w:tcPr>
            <w:tcW w:w="839" w:type="dxa"/>
            <w:shd w:val="clear" w:color="auto" w:fill="CCE2ED"/>
          </w:tcPr>
          <w:p w14:paraId="64AF1192" w14:textId="77777777" w:rsidR="00141B97" w:rsidRDefault="00141B97">
            <w:pPr>
              <w:pStyle w:val="TableParagraph"/>
              <w:spacing w:before="1"/>
              <w:rPr>
                <w:sz w:val="20"/>
              </w:rPr>
            </w:pPr>
          </w:p>
          <w:p w14:paraId="2B41EDF3" w14:textId="77777777" w:rsidR="00141B97" w:rsidRDefault="00911D63">
            <w:pPr>
              <w:pStyle w:val="TableParagraph"/>
              <w:ind w:right="158"/>
              <w:jc w:val="right"/>
              <w:rPr>
                <w:sz w:val="16"/>
              </w:rPr>
            </w:pPr>
            <w:r>
              <w:rPr>
                <w:spacing w:val="-2"/>
                <w:sz w:val="16"/>
              </w:rPr>
              <w:t>=/&gt;70%</w:t>
            </w:r>
          </w:p>
        </w:tc>
        <w:tc>
          <w:tcPr>
            <w:tcW w:w="817" w:type="dxa"/>
            <w:tcBorders>
              <w:right w:val="nil"/>
            </w:tcBorders>
            <w:shd w:val="clear" w:color="auto" w:fill="CCE2ED"/>
          </w:tcPr>
          <w:p w14:paraId="1B5249F0" w14:textId="77777777" w:rsidR="00141B97" w:rsidRDefault="00141B97">
            <w:pPr>
              <w:pStyle w:val="TableParagraph"/>
              <w:spacing w:before="1"/>
              <w:rPr>
                <w:sz w:val="20"/>
              </w:rPr>
            </w:pPr>
          </w:p>
          <w:p w14:paraId="3EEB3AAE" w14:textId="77777777" w:rsidR="00141B97" w:rsidRDefault="00911D63">
            <w:pPr>
              <w:pStyle w:val="TableParagraph"/>
              <w:ind w:right="141"/>
              <w:jc w:val="right"/>
              <w:rPr>
                <w:sz w:val="16"/>
              </w:rPr>
            </w:pPr>
            <w:r>
              <w:rPr>
                <w:spacing w:val="-2"/>
                <w:sz w:val="16"/>
              </w:rPr>
              <w:t>=/&gt;75%</w:t>
            </w:r>
          </w:p>
        </w:tc>
      </w:tr>
      <w:tr w:rsidR="00141B97" w14:paraId="32147717" w14:textId="77777777">
        <w:trPr>
          <w:trHeight w:val="391"/>
          <w:tblCellSpacing w:w="9" w:type="dxa"/>
        </w:trPr>
        <w:tc>
          <w:tcPr>
            <w:tcW w:w="4681" w:type="dxa"/>
            <w:tcBorders>
              <w:left w:val="nil"/>
            </w:tcBorders>
            <w:shd w:val="clear" w:color="auto" w:fill="CCE2ED"/>
          </w:tcPr>
          <w:p w14:paraId="12F24948" w14:textId="77777777" w:rsidR="00141B97" w:rsidRDefault="00911D63">
            <w:pPr>
              <w:pStyle w:val="TableParagraph"/>
              <w:spacing w:line="190" w:lineRule="atLeast"/>
              <w:ind w:left="17" w:right="52"/>
              <w:rPr>
                <w:sz w:val="16"/>
              </w:rPr>
            </w:pPr>
            <w:r>
              <w:rPr>
                <w:sz w:val="16"/>
              </w:rPr>
              <w:t>Resolve</w:t>
            </w:r>
            <w:r>
              <w:rPr>
                <w:spacing w:val="-2"/>
                <w:sz w:val="16"/>
              </w:rPr>
              <w:t xml:space="preserve"> </w:t>
            </w:r>
            <w:r>
              <w:rPr>
                <w:sz w:val="16"/>
              </w:rPr>
              <w:t>customer</w:t>
            </w:r>
            <w:r>
              <w:rPr>
                <w:spacing w:val="-2"/>
                <w:sz w:val="16"/>
              </w:rPr>
              <w:t xml:space="preserve"> </w:t>
            </w:r>
            <w:r>
              <w:rPr>
                <w:sz w:val="16"/>
              </w:rPr>
              <w:t>charter</w:t>
            </w:r>
            <w:r>
              <w:rPr>
                <w:spacing w:val="-2"/>
                <w:sz w:val="16"/>
              </w:rPr>
              <w:t xml:space="preserve"> </w:t>
            </w:r>
            <w:r>
              <w:rPr>
                <w:sz w:val="16"/>
              </w:rPr>
              <w:t>requests</w:t>
            </w:r>
            <w:r>
              <w:rPr>
                <w:spacing w:val="-3"/>
                <w:sz w:val="16"/>
              </w:rPr>
              <w:t xml:space="preserve"> </w:t>
            </w:r>
            <w:r>
              <w:rPr>
                <w:sz w:val="16"/>
              </w:rPr>
              <w:t>/</w:t>
            </w:r>
            <w:r>
              <w:rPr>
                <w:spacing w:val="-2"/>
                <w:sz w:val="16"/>
              </w:rPr>
              <w:t xml:space="preserve"> </w:t>
            </w:r>
            <w:r>
              <w:rPr>
                <w:sz w:val="16"/>
              </w:rPr>
              <w:t>enquiries</w:t>
            </w:r>
            <w:r>
              <w:rPr>
                <w:spacing w:val="-2"/>
                <w:sz w:val="16"/>
              </w:rPr>
              <w:t xml:space="preserve"> </w:t>
            </w:r>
            <w:r>
              <w:rPr>
                <w:sz w:val="16"/>
              </w:rPr>
              <w:t>“First</w:t>
            </w:r>
            <w:r>
              <w:rPr>
                <w:spacing w:val="-2"/>
                <w:sz w:val="16"/>
              </w:rPr>
              <w:t xml:space="preserve"> </w:t>
            </w:r>
            <w:r>
              <w:rPr>
                <w:sz w:val="16"/>
              </w:rPr>
              <w:t>Time</w:t>
            </w:r>
            <w:r>
              <w:rPr>
                <w:spacing w:val="-2"/>
                <w:sz w:val="16"/>
              </w:rPr>
              <w:t xml:space="preserve"> </w:t>
            </w:r>
            <w:r>
              <w:rPr>
                <w:sz w:val="16"/>
              </w:rPr>
              <w:t>Right”</w:t>
            </w:r>
            <w:r>
              <w:rPr>
                <w:spacing w:val="-2"/>
                <w:sz w:val="16"/>
              </w:rPr>
              <w:t xml:space="preserve"> </w:t>
            </w:r>
            <w:r>
              <w:rPr>
                <w:sz w:val="16"/>
              </w:rPr>
              <w:t>–</w:t>
            </w:r>
            <w:r>
              <w:rPr>
                <w:spacing w:val="40"/>
                <w:sz w:val="16"/>
              </w:rPr>
              <w:t xml:space="preserve"> </w:t>
            </w:r>
            <w:r>
              <w:rPr>
                <w:sz w:val="16"/>
              </w:rPr>
              <w:t>Target ‐ % =/&gt; per year from 2024/25</w:t>
            </w:r>
          </w:p>
        </w:tc>
        <w:tc>
          <w:tcPr>
            <w:tcW w:w="896" w:type="dxa"/>
            <w:shd w:val="clear" w:color="auto" w:fill="CCE2ED"/>
          </w:tcPr>
          <w:p w14:paraId="73F207B9" w14:textId="77777777" w:rsidR="00141B97" w:rsidRDefault="00911D63">
            <w:pPr>
              <w:pStyle w:val="TableParagraph"/>
              <w:spacing w:before="98"/>
              <w:ind w:left="17"/>
              <w:rPr>
                <w:sz w:val="16"/>
              </w:rPr>
            </w:pPr>
            <w:r>
              <w:rPr>
                <w:spacing w:val="-5"/>
                <w:sz w:val="16"/>
              </w:rPr>
              <w:t>NA</w:t>
            </w:r>
          </w:p>
        </w:tc>
        <w:tc>
          <w:tcPr>
            <w:tcW w:w="868" w:type="dxa"/>
            <w:shd w:val="clear" w:color="auto" w:fill="CCE2ED"/>
          </w:tcPr>
          <w:p w14:paraId="271F49BB" w14:textId="77777777" w:rsidR="00141B97" w:rsidRDefault="00911D63">
            <w:pPr>
              <w:pStyle w:val="TableParagraph"/>
              <w:spacing w:before="98"/>
              <w:ind w:left="284" w:right="282"/>
              <w:jc w:val="center"/>
              <w:rPr>
                <w:sz w:val="16"/>
              </w:rPr>
            </w:pPr>
            <w:r>
              <w:rPr>
                <w:spacing w:val="-5"/>
                <w:sz w:val="16"/>
              </w:rPr>
              <w:t>NA</w:t>
            </w:r>
          </w:p>
        </w:tc>
        <w:tc>
          <w:tcPr>
            <w:tcW w:w="827" w:type="dxa"/>
            <w:shd w:val="clear" w:color="auto" w:fill="CCE2ED"/>
          </w:tcPr>
          <w:p w14:paraId="765C58C8" w14:textId="77777777" w:rsidR="00141B97" w:rsidRDefault="00911D63">
            <w:pPr>
              <w:pStyle w:val="TableParagraph"/>
              <w:spacing w:before="98"/>
              <w:ind w:left="102" w:right="101"/>
              <w:jc w:val="center"/>
              <w:rPr>
                <w:sz w:val="16"/>
              </w:rPr>
            </w:pPr>
            <w:r>
              <w:rPr>
                <w:spacing w:val="-2"/>
                <w:sz w:val="16"/>
              </w:rPr>
              <w:t>=/&gt;60%</w:t>
            </w:r>
          </w:p>
        </w:tc>
        <w:tc>
          <w:tcPr>
            <w:tcW w:w="827" w:type="dxa"/>
            <w:shd w:val="clear" w:color="auto" w:fill="CCE2ED"/>
          </w:tcPr>
          <w:p w14:paraId="4FC6E64B" w14:textId="77777777" w:rsidR="00141B97" w:rsidRDefault="00911D63">
            <w:pPr>
              <w:pStyle w:val="TableParagraph"/>
              <w:spacing w:before="98"/>
              <w:ind w:left="159"/>
              <w:rPr>
                <w:sz w:val="16"/>
              </w:rPr>
            </w:pPr>
            <w:r>
              <w:rPr>
                <w:spacing w:val="-2"/>
                <w:sz w:val="16"/>
              </w:rPr>
              <w:t>=/&gt;65%</w:t>
            </w:r>
          </w:p>
        </w:tc>
        <w:tc>
          <w:tcPr>
            <w:tcW w:w="839" w:type="dxa"/>
            <w:shd w:val="clear" w:color="auto" w:fill="CCE2ED"/>
          </w:tcPr>
          <w:p w14:paraId="1C7DABFB" w14:textId="77777777" w:rsidR="00141B97" w:rsidRDefault="00911D63">
            <w:pPr>
              <w:pStyle w:val="TableParagraph"/>
              <w:spacing w:before="98"/>
              <w:ind w:right="158"/>
              <w:jc w:val="right"/>
              <w:rPr>
                <w:sz w:val="16"/>
              </w:rPr>
            </w:pPr>
            <w:r>
              <w:rPr>
                <w:spacing w:val="-2"/>
                <w:sz w:val="16"/>
              </w:rPr>
              <w:t>=/&gt;70%</w:t>
            </w:r>
          </w:p>
        </w:tc>
        <w:tc>
          <w:tcPr>
            <w:tcW w:w="817" w:type="dxa"/>
            <w:tcBorders>
              <w:right w:val="nil"/>
            </w:tcBorders>
            <w:shd w:val="clear" w:color="auto" w:fill="CCE2ED"/>
          </w:tcPr>
          <w:p w14:paraId="1C3B82C5" w14:textId="77777777" w:rsidR="00141B97" w:rsidRDefault="00911D63">
            <w:pPr>
              <w:pStyle w:val="TableParagraph"/>
              <w:spacing w:before="98"/>
              <w:ind w:right="141"/>
              <w:jc w:val="right"/>
              <w:rPr>
                <w:sz w:val="16"/>
              </w:rPr>
            </w:pPr>
            <w:r>
              <w:rPr>
                <w:spacing w:val="-2"/>
                <w:sz w:val="16"/>
              </w:rPr>
              <w:t>=/&gt;75%</w:t>
            </w:r>
          </w:p>
        </w:tc>
      </w:tr>
      <w:tr w:rsidR="00141B97" w14:paraId="053866E9" w14:textId="77777777">
        <w:trPr>
          <w:trHeight w:val="390"/>
          <w:tblCellSpacing w:w="9" w:type="dxa"/>
        </w:trPr>
        <w:tc>
          <w:tcPr>
            <w:tcW w:w="4681" w:type="dxa"/>
            <w:tcBorders>
              <w:left w:val="nil"/>
            </w:tcBorders>
            <w:shd w:val="clear" w:color="auto" w:fill="CCE2ED"/>
          </w:tcPr>
          <w:p w14:paraId="562977AF" w14:textId="77777777" w:rsidR="00141B97" w:rsidRDefault="00911D63">
            <w:pPr>
              <w:pStyle w:val="TableParagraph"/>
              <w:spacing w:line="195" w:lineRule="exact"/>
              <w:ind w:left="17"/>
              <w:rPr>
                <w:sz w:val="16"/>
              </w:rPr>
            </w:pPr>
            <w:r>
              <w:rPr>
                <w:sz w:val="16"/>
              </w:rPr>
              <w:t>Customers</w:t>
            </w:r>
            <w:r>
              <w:rPr>
                <w:spacing w:val="-5"/>
                <w:sz w:val="16"/>
              </w:rPr>
              <w:t xml:space="preserve"> </w:t>
            </w:r>
            <w:r>
              <w:rPr>
                <w:sz w:val="16"/>
              </w:rPr>
              <w:t>registered</w:t>
            </w:r>
            <w:r>
              <w:rPr>
                <w:spacing w:val="-5"/>
                <w:sz w:val="16"/>
              </w:rPr>
              <w:t xml:space="preserve"> </w:t>
            </w:r>
            <w:r>
              <w:rPr>
                <w:sz w:val="16"/>
              </w:rPr>
              <w:t>for</w:t>
            </w:r>
            <w:r>
              <w:rPr>
                <w:spacing w:val="-6"/>
                <w:sz w:val="16"/>
              </w:rPr>
              <w:t xml:space="preserve"> </w:t>
            </w:r>
            <w:r>
              <w:rPr>
                <w:sz w:val="16"/>
              </w:rPr>
              <w:t>self‐service</w:t>
            </w:r>
            <w:r>
              <w:rPr>
                <w:spacing w:val="-4"/>
                <w:sz w:val="16"/>
              </w:rPr>
              <w:t xml:space="preserve"> </w:t>
            </w:r>
            <w:r>
              <w:rPr>
                <w:sz w:val="16"/>
              </w:rPr>
              <w:t>portal</w:t>
            </w:r>
            <w:r>
              <w:rPr>
                <w:spacing w:val="-7"/>
                <w:sz w:val="16"/>
              </w:rPr>
              <w:t xml:space="preserve"> </w:t>
            </w:r>
            <w:r>
              <w:rPr>
                <w:sz w:val="16"/>
              </w:rPr>
              <w:t>–</w:t>
            </w:r>
            <w:r>
              <w:rPr>
                <w:spacing w:val="-5"/>
                <w:sz w:val="16"/>
              </w:rPr>
              <w:t xml:space="preserve"> </w:t>
            </w:r>
            <w:r>
              <w:rPr>
                <w:sz w:val="16"/>
              </w:rPr>
              <w:t>Target</w:t>
            </w:r>
            <w:r>
              <w:rPr>
                <w:spacing w:val="-5"/>
                <w:sz w:val="16"/>
              </w:rPr>
              <w:t xml:space="preserve"> </w:t>
            </w:r>
            <w:r>
              <w:rPr>
                <w:sz w:val="16"/>
              </w:rPr>
              <w:t>‐</w:t>
            </w:r>
            <w:r>
              <w:rPr>
                <w:spacing w:val="-6"/>
                <w:sz w:val="16"/>
              </w:rPr>
              <w:t xml:space="preserve"> </w:t>
            </w:r>
            <w:r>
              <w:rPr>
                <w:sz w:val="16"/>
              </w:rPr>
              <w:t>20%</w:t>
            </w:r>
            <w:r>
              <w:rPr>
                <w:spacing w:val="-6"/>
                <w:sz w:val="16"/>
              </w:rPr>
              <w:t xml:space="preserve"> </w:t>
            </w:r>
            <w:r>
              <w:rPr>
                <w:sz w:val="16"/>
              </w:rPr>
              <w:t>in</w:t>
            </w:r>
            <w:r>
              <w:rPr>
                <w:spacing w:val="-6"/>
                <w:sz w:val="16"/>
              </w:rPr>
              <w:t xml:space="preserve"> </w:t>
            </w:r>
            <w:r>
              <w:rPr>
                <w:sz w:val="16"/>
              </w:rPr>
              <w:t>first</w:t>
            </w:r>
            <w:r>
              <w:rPr>
                <w:spacing w:val="-5"/>
                <w:sz w:val="16"/>
              </w:rPr>
              <w:t xml:space="preserve"> </w:t>
            </w:r>
            <w:r>
              <w:rPr>
                <w:spacing w:val="-4"/>
                <w:sz w:val="16"/>
              </w:rPr>
              <w:t>year</w:t>
            </w:r>
          </w:p>
          <w:p w14:paraId="0FE1559C" w14:textId="77777777" w:rsidR="00141B97" w:rsidRDefault="00911D63">
            <w:pPr>
              <w:pStyle w:val="TableParagraph"/>
              <w:spacing w:line="175" w:lineRule="exact"/>
              <w:ind w:left="17"/>
              <w:rPr>
                <w:sz w:val="16"/>
              </w:rPr>
            </w:pPr>
            <w:r>
              <w:rPr>
                <w:sz w:val="16"/>
              </w:rPr>
              <w:t>and</w:t>
            </w:r>
            <w:r>
              <w:rPr>
                <w:spacing w:val="-6"/>
                <w:sz w:val="16"/>
              </w:rPr>
              <w:t xml:space="preserve"> </w:t>
            </w:r>
            <w:r>
              <w:rPr>
                <w:sz w:val="16"/>
              </w:rPr>
              <w:t>10%</w:t>
            </w:r>
            <w:r>
              <w:rPr>
                <w:spacing w:val="-6"/>
                <w:sz w:val="16"/>
              </w:rPr>
              <w:t xml:space="preserve"> </w:t>
            </w:r>
            <w:r>
              <w:rPr>
                <w:sz w:val="16"/>
              </w:rPr>
              <w:t>increase</w:t>
            </w:r>
            <w:r>
              <w:rPr>
                <w:spacing w:val="-5"/>
                <w:sz w:val="16"/>
              </w:rPr>
              <w:t xml:space="preserve"> </w:t>
            </w:r>
            <w:r>
              <w:rPr>
                <w:sz w:val="16"/>
              </w:rPr>
              <w:t>per</w:t>
            </w:r>
            <w:r>
              <w:rPr>
                <w:spacing w:val="-6"/>
                <w:sz w:val="16"/>
              </w:rPr>
              <w:t xml:space="preserve"> </w:t>
            </w:r>
            <w:r>
              <w:rPr>
                <w:sz w:val="16"/>
              </w:rPr>
              <w:t>year</w:t>
            </w:r>
            <w:r>
              <w:rPr>
                <w:spacing w:val="-5"/>
                <w:sz w:val="16"/>
              </w:rPr>
              <w:t xml:space="preserve"> </w:t>
            </w:r>
            <w:r>
              <w:rPr>
                <w:sz w:val="16"/>
              </w:rPr>
              <w:t>for</w:t>
            </w:r>
            <w:r>
              <w:rPr>
                <w:spacing w:val="-6"/>
                <w:sz w:val="16"/>
              </w:rPr>
              <w:t xml:space="preserve"> </w:t>
            </w:r>
            <w:r>
              <w:rPr>
                <w:sz w:val="16"/>
              </w:rPr>
              <w:t>subsequent</w:t>
            </w:r>
            <w:r>
              <w:rPr>
                <w:spacing w:val="-6"/>
                <w:sz w:val="16"/>
              </w:rPr>
              <w:t xml:space="preserve"> </w:t>
            </w:r>
            <w:r>
              <w:rPr>
                <w:spacing w:val="-2"/>
                <w:sz w:val="16"/>
              </w:rPr>
              <w:t>years</w:t>
            </w:r>
          </w:p>
        </w:tc>
        <w:tc>
          <w:tcPr>
            <w:tcW w:w="896" w:type="dxa"/>
            <w:shd w:val="clear" w:color="auto" w:fill="CCE2ED"/>
          </w:tcPr>
          <w:p w14:paraId="529DFDC3" w14:textId="77777777" w:rsidR="00141B97" w:rsidRDefault="00911D63">
            <w:pPr>
              <w:pStyle w:val="TableParagraph"/>
              <w:spacing w:before="97"/>
              <w:ind w:left="17"/>
              <w:rPr>
                <w:sz w:val="16"/>
              </w:rPr>
            </w:pPr>
            <w:r>
              <w:rPr>
                <w:spacing w:val="-5"/>
                <w:sz w:val="16"/>
              </w:rPr>
              <w:t>NA</w:t>
            </w:r>
          </w:p>
        </w:tc>
        <w:tc>
          <w:tcPr>
            <w:tcW w:w="868" w:type="dxa"/>
            <w:shd w:val="clear" w:color="auto" w:fill="CCE2ED"/>
          </w:tcPr>
          <w:p w14:paraId="121D159B" w14:textId="77777777" w:rsidR="00141B97" w:rsidRDefault="00911D63">
            <w:pPr>
              <w:pStyle w:val="TableParagraph"/>
              <w:spacing w:before="97"/>
              <w:ind w:left="284" w:right="283"/>
              <w:jc w:val="center"/>
              <w:rPr>
                <w:sz w:val="16"/>
              </w:rPr>
            </w:pPr>
            <w:r>
              <w:rPr>
                <w:spacing w:val="-5"/>
                <w:sz w:val="16"/>
              </w:rPr>
              <w:t>20%</w:t>
            </w:r>
          </w:p>
        </w:tc>
        <w:tc>
          <w:tcPr>
            <w:tcW w:w="827" w:type="dxa"/>
            <w:shd w:val="clear" w:color="auto" w:fill="CCE2ED"/>
          </w:tcPr>
          <w:p w14:paraId="00D2A724" w14:textId="77777777" w:rsidR="00141B97" w:rsidRDefault="00911D63">
            <w:pPr>
              <w:pStyle w:val="TableParagraph"/>
              <w:spacing w:before="97"/>
              <w:ind w:left="102" w:right="101"/>
              <w:jc w:val="center"/>
              <w:rPr>
                <w:sz w:val="16"/>
              </w:rPr>
            </w:pPr>
            <w:r>
              <w:rPr>
                <w:spacing w:val="-5"/>
                <w:sz w:val="16"/>
              </w:rPr>
              <w:t>30%</w:t>
            </w:r>
          </w:p>
        </w:tc>
        <w:tc>
          <w:tcPr>
            <w:tcW w:w="827" w:type="dxa"/>
            <w:shd w:val="clear" w:color="auto" w:fill="CCE2ED"/>
          </w:tcPr>
          <w:p w14:paraId="2C62BCA9" w14:textId="77777777" w:rsidR="00141B97" w:rsidRDefault="00911D63">
            <w:pPr>
              <w:pStyle w:val="TableParagraph"/>
              <w:spacing w:before="97"/>
              <w:ind w:left="268"/>
              <w:rPr>
                <w:sz w:val="16"/>
              </w:rPr>
            </w:pPr>
            <w:r>
              <w:rPr>
                <w:spacing w:val="-5"/>
                <w:sz w:val="16"/>
              </w:rPr>
              <w:t>40%</w:t>
            </w:r>
          </w:p>
        </w:tc>
        <w:tc>
          <w:tcPr>
            <w:tcW w:w="839" w:type="dxa"/>
            <w:shd w:val="clear" w:color="auto" w:fill="CCE2ED"/>
          </w:tcPr>
          <w:p w14:paraId="62EC7C28" w14:textId="77777777" w:rsidR="00141B97" w:rsidRDefault="00911D63">
            <w:pPr>
              <w:pStyle w:val="TableParagraph"/>
              <w:spacing w:before="97"/>
              <w:ind w:left="275"/>
              <w:rPr>
                <w:sz w:val="16"/>
              </w:rPr>
            </w:pPr>
            <w:r>
              <w:rPr>
                <w:spacing w:val="-5"/>
                <w:sz w:val="16"/>
              </w:rPr>
              <w:t>50%</w:t>
            </w:r>
          </w:p>
        </w:tc>
        <w:tc>
          <w:tcPr>
            <w:tcW w:w="817" w:type="dxa"/>
            <w:tcBorders>
              <w:right w:val="nil"/>
            </w:tcBorders>
            <w:shd w:val="clear" w:color="auto" w:fill="CCE2ED"/>
          </w:tcPr>
          <w:p w14:paraId="2563EAEE" w14:textId="77777777" w:rsidR="00141B97" w:rsidRDefault="00911D63">
            <w:pPr>
              <w:pStyle w:val="TableParagraph"/>
              <w:spacing w:before="97"/>
              <w:ind w:left="270"/>
              <w:rPr>
                <w:sz w:val="16"/>
              </w:rPr>
            </w:pPr>
            <w:r>
              <w:rPr>
                <w:spacing w:val="-5"/>
                <w:sz w:val="16"/>
              </w:rPr>
              <w:t>60%</w:t>
            </w:r>
          </w:p>
        </w:tc>
      </w:tr>
      <w:tr w:rsidR="00141B97" w14:paraId="4B5D300A" w14:textId="77777777">
        <w:trPr>
          <w:trHeight w:val="390"/>
          <w:tblCellSpacing w:w="9" w:type="dxa"/>
        </w:trPr>
        <w:tc>
          <w:tcPr>
            <w:tcW w:w="4681" w:type="dxa"/>
            <w:tcBorders>
              <w:left w:val="nil"/>
            </w:tcBorders>
            <w:shd w:val="clear" w:color="auto" w:fill="CCE2ED"/>
          </w:tcPr>
          <w:p w14:paraId="5FD09FD5" w14:textId="77777777" w:rsidR="00141B97" w:rsidRDefault="00911D63">
            <w:pPr>
              <w:pStyle w:val="TableParagraph"/>
              <w:spacing w:line="195" w:lineRule="exact"/>
              <w:ind w:left="17"/>
              <w:rPr>
                <w:sz w:val="16"/>
              </w:rPr>
            </w:pPr>
            <w:r>
              <w:rPr>
                <w:sz w:val="16"/>
              </w:rPr>
              <w:t>Customer</w:t>
            </w:r>
            <w:r>
              <w:rPr>
                <w:spacing w:val="-6"/>
                <w:sz w:val="16"/>
              </w:rPr>
              <w:t xml:space="preserve"> </w:t>
            </w:r>
            <w:r>
              <w:rPr>
                <w:sz w:val="16"/>
              </w:rPr>
              <w:t>satisfaction</w:t>
            </w:r>
            <w:r>
              <w:rPr>
                <w:spacing w:val="-8"/>
                <w:sz w:val="16"/>
              </w:rPr>
              <w:t xml:space="preserve"> </w:t>
            </w:r>
            <w:r>
              <w:rPr>
                <w:sz w:val="16"/>
              </w:rPr>
              <w:t>for</w:t>
            </w:r>
            <w:r>
              <w:rPr>
                <w:spacing w:val="-7"/>
                <w:sz w:val="16"/>
              </w:rPr>
              <w:t xml:space="preserve"> </w:t>
            </w:r>
            <w:r>
              <w:rPr>
                <w:sz w:val="16"/>
              </w:rPr>
              <w:t>responsiveness</w:t>
            </w:r>
            <w:r>
              <w:rPr>
                <w:spacing w:val="-9"/>
                <w:sz w:val="16"/>
              </w:rPr>
              <w:t xml:space="preserve"> </w:t>
            </w:r>
            <w:r>
              <w:rPr>
                <w:sz w:val="16"/>
              </w:rPr>
              <w:t>to</w:t>
            </w:r>
            <w:r>
              <w:rPr>
                <w:spacing w:val="-7"/>
                <w:sz w:val="16"/>
              </w:rPr>
              <w:t xml:space="preserve"> </w:t>
            </w:r>
            <w:r>
              <w:rPr>
                <w:sz w:val="16"/>
              </w:rPr>
              <w:t>enquiry</w:t>
            </w:r>
            <w:r>
              <w:rPr>
                <w:spacing w:val="-7"/>
                <w:sz w:val="16"/>
              </w:rPr>
              <w:t xml:space="preserve"> </w:t>
            </w:r>
            <w:r>
              <w:rPr>
                <w:sz w:val="16"/>
              </w:rPr>
              <w:t>or</w:t>
            </w:r>
            <w:r>
              <w:rPr>
                <w:spacing w:val="-5"/>
                <w:sz w:val="16"/>
              </w:rPr>
              <w:t xml:space="preserve"> </w:t>
            </w:r>
            <w:r>
              <w:rPr>
                <w:sz w:val="16"/>
              </w:rPr>
              <w:t>request</w:t>
            </w:r>
            <w:r>
              <w:rPr>
                <w:spacing w:val="-6"/>
                <w:sz w:val="16"/>
              </w:rPr>
              <w:t xml:space="preserve"> </w:t>
            </w:r>
            <w:r>
              <w:rPr>
                <w:sz w:val="16"/>
              </w:rPr>
              <w:t>–</w:t>
            </w:r>
            <w:r>
              <w:rPr>
                <w:spacing w:val="-7"/>
                <w:sz w:val="16"/>
              </w:rPr>
              <w:t xml:space="preserve"> </w:t>
            </w:r>
            <w:r>
              <w:rPr>
                <w:spacing w:val="-2"/>
                <w:sz w:val="16"/>
              </w:rPr>
              <w:t>Target</w:t>
            </w:r>
          </w:p>
          <w:p w14:paraId="61908824" w14:textId="77777777" w:rsidR="00141B97" w:rsidRDefault="00911D63">
            <w:pPr>
              <w:pStyle w:val="TableParagraph"/>
              <w:spacing w:line="175" w:lineRule="exact"/>
              <w:ind w:left="17"/>
              <w:rPr>
                <w:sz w:val="16"/>
              </w:rPr>
            </w:pPr>
            <w:r>
              <w:rPr>
                <w:sz w:val="16"/>
              </w:rPr>
              <w:t>=</w:t>
            </w:r>
            <w:r>
              <w:rPr>
                <w:spacing w:val="-5"/>
                <w:sz w:val="16"/>
              </w:rPr>
              <w:t xml:space="preserve"> </w:t>
            </w:r>
            <w:r>
              <w:rPr>
                <w:sz w:val="16"/>
              </w:rPr>
              <w:t>=/&gt;</w:t>
            </w:r>
            <w:r>
              <w:rPr>
                <w:spacing w:val="-5"/>
                <w:sz w:val="16"/>
              </w:rPr>
              <w:t xml:space="preserve"> </w:t>
            </w:r>
            <w:r>
              <w:rPr>
                <w:sz w:val="16"/>
              </w:rPr>
              <w:t>prior</w:t>
            </w:r>
            <w:r>
              <w:rPr>
                <w:spacing w:val="-5"/>
                <w:sz w:val="16"/>
              </w:rPr>
              <w:t xml:space="preserve"> </w:t>
            </w:r>
            <w:r>
              <w:rPr>
                <w:sz w:val="16"/>
              </w:rPr>
              <w:t>year</w:t>
            </w:r>
            <w:r>
              <w:rPr>
                <w:spacing w:val="-5"/>
                <w:sz w:val="16"/>
              </w:rPr>
              <w:t xml:space="preserve"> </w:t>
            </w:r>
            <w:r>
              <w:rPr>
                <w:sz w:val="16"/>
              </w:rPr>
              <w:t>performance</w:t>
            </w:r>
            <w:r>
              <w:rPr>
                <w:spacing w:val="-5"/>
                <w:sz w:val="16"/>
              </w:rPr>
              <w:t xml:space="preserve"> </w:t>
            </w:r>
            <w:r>
              <w:rPr>
                <w:sz w:val="16"/>
              </w:rPr>
              <w:t>of</w:t>
            </w:r>
            <w:r>
              <w:rPr>
                <w:spacing w:val="-3"/>
                <w:sz w:val="16"/>
              </w:rPr>
              <w:t xml:space="preserve"> </w:t>
            </w:r>
            <w:r>
              <w:rPr>
                <w:sz w:val="16"/>
              </w:rPr>
              <w:t>survey</w:t>
            </w:r>
            <w:r>
              <w:rPr>
                <w:spacing w:val="-5"/>
                <w:sz w:val="16"/>
              </w:rPr>
              <w:t xml:space="preserve"> </w:t>
            </w:r>
            <w:r>
              <w:rPr>
                <w:spacing w:val="-2"/>
                <w:sz w:val="16"/>
              </w:rPr>
              <w:t>respondents</w:t>
            </w:r>
          </w:p>
        </w:tc>
        <w:tc>
          <w:tcPr>
            <w:tcW w:w="896" w:type="dxa"/>
            <w:shd w:val="clear" w:color="auto" w:fill="CCE2ED"/>
          </w:tcPr>
          <w:p w14:paraId="00C3BE26" w14:textId="77777777" w:rsidR="00141B97" w:rsidRDefault="00911D63">
            <w:pPr>
              <w:pStyle w:val="TableParagraph"/>
              <w:spacing w:before="98"/>
              <w:ind w:left="17"/>
              <w:rPr>
                <w:sz w:val="16"/>
              </w:rPr>
            </w:pPr>
            <w:r>
              <w:rPr>
                <w:spacing w:val="-5"/>
                <w:sz w:val="16"/>
              </w:rPr>
              <w:t>NA</w:t>
            </w:r>
          </w:p>
        </w:tc>
        <w:tc>
          <w:tcPr>
            <w:tcW w:w="868" w:type="dxa"/>
            <w:shd w:val="clear" w:color="auto" w:fill="CCE2ED"/>
          </w:tcPr>
          <w:p w14:paraId="70626EF3" w14:textId="77777777" w:rsidR="00141B97" w:rsidRDefault="00911D63">
            <w:pPr>
              <w:pStyle w:val="TableParagraph"/>
              <w:spacing w:line="195" w:lineRule="exact"/>
              <w:ind w:left="153"/>
              <w:rPr>
                <w:sz w:val="16"/>
              </w:rPr>
            </w:pPr>
            <w:r>
              <w:rPr>
                <w:spacing w:val="-2"/>
                <w:sz w:val="16"/>
              </w:rPr>
              <w:t>2022/23</w:t>
            </w:r>
          </w:p>
          <w:p w14:paraId="0B47547F" w14:textId="77777777" w:rsidR="00141B97" w:rsidRDefault="00911D63">
            <w:pPr>
              <w:pStyle w:val="TableParagraph"/>
              <w:spacing w:line="175" w:lineRule="exact"/>
              <w:ind w:left="230"/>
              <w:rPr>
                <w:sz w:val="16"/>
              </w:rPr>
            </w:pPr>
            <w:r>
              <w:rPr>
                <w:spacing w:val="-2"/>
                <w:sz w:val="16"/>
              </w:rPr>
              <w:t>actual</w:t>
            </w:r>
          </w:p>
        </w:tc>
        <w:tc>
          <w:tcPr>
            <w:tcW w:w="827" w:type="dxa"/>
            <w:shd w:val="clear" w:color="auto" w:fill="CCE2ED"/>
          </w:tcPr>
          <w:p w14:paraId="4A8140A9" w14:textId="77777777" w:rsidR="00141B97" w:rsidRDefault="00911D63">
            <w:pPr>
              <w:pStyle w:val="TableParagraph"/>
              <w:spacing w:before="98"/>
              <w:ind w:left="102" w:right="101"/>
              <w:jc w:val="center"/>
              <w:rPr>
                <w:sz w:val="16"/>
              </w:rPr>
            </w:pPr>
            <w:r>
              <w:rPr>
                <w:spacing w:val="-2"/>
                <w:sz w:val="16"/>
              </w:rPr>
              <w:t>=/&gt;23/24</w:t>
            </w:r>
          </w:p>
        </w:tc>
        <w:tc>
          <w:tcPr>
            <w:tcW w:w="827" w:type="dxa"/>
            <w:shd w:val="clear" w:color="auto" w:fill="CCE2ED"/>
          </w:tcPr>
          <w:p w14:paraId="5B9A79E5" w14:textId="77777777" w:rsidR="00141B97" w:rsidRDefault="00911D63">
            <w:pPr>
              <w:pStyle w:val="TableParagraph"/>
              <w:spacing w:before="98"/>
              <w:ind w:right="99"/>
              <w:jc w:val="right"/>
              <w:rPr>
                <w:sz w:val="16"/>
              </w:rPr>
            </w:pPr>
            <w:r>
              <w:rPr>
                <w:spacing w:val="-2"/>
                <w:sz w:val="16"/>
              </w:rPr>
              <w:t>=/&gt;24/25</w:t>
            </w:r>
          </w:p>
        </w:tc>
        <w:tc>
          <w:tcPr>
            <w:tcW w:w="839" w:type="dxa"/>
            <w:shd w:val="clear" w:color="auto" w:fill="CCE2ED"/>
          </w:tcPr>
          <w:p w14:paraId="5043329D" w14:textId="77777777" w:rsidR="00141B97" w:rsidRDefault="00911D63">
            <w:pPr>
              <w:pStyle w:val="TableParagraph"/>
              <w:spacing w:before="98"/>
              <w:ind w:right="104"/>
              <w:jc w:val="right"/>
              <w:rPr>
                <w:sz w:val="16"/>
              </w:rPr>
            </w:pPr>
            <w:r>
              <w:rPr>
                <w:spacing w:val="-2"/>
                <w:sz w:val="16"/>
              </w:rPr>
              <w:t>=/&gt;25/26</w:t>
            </w:r>
          </w:p>
        </w:tc>
        <w:tc>
          <w:tcPr>
            <w:tcW w:w="817" w:type="dxa"/>
            <w:tcBorders>
              <w:right w:val="nil"/>
            </w:tcBorders>
            <w:shd w:val="clear" w:color="auto" w:fill="CCE2ED"/>
          </w:tcPr>
          <w:p w14:paraId="3CF98481" w14:textId="77777777" w:rsidR="00141B97" w:rsidRDefault="00911D63">
            <w:pPr>
              <w:pStyle w:val="TableParagraph"/>
              <w:spacing w:before="98"/>
              <w:ind w:right="87"/>
              <w:jc w:val="right"/>
              <w:rPr>
                <w:sz w:val="16"/>
              </w:rPr>
            </w:pPr>
            <w:r>
              <w:rPr>
                <w:spacing w:val="-2"/>
                <w:sz w:val="16"/>
              </w:rPr>
              <w:t>=/&gt;26/27</w:t>
            </w:r>
          </w:p>
        </w:tc>
      </w:tr>
      <w:tr w:rsidR="00141B97" w14:paraId="59D550BD" w14:textId="77777777">
        <w:trPr>
          <w:trHeight w:val="194"/>
          <w:tblCellSpacing w:w="9" w:type="dxa"/>
        </w:trPr>
        <w:tc>
          <w:tcPr>
            <w:tcW w:w="9755" w:type="dxa"/>
            <w:gridSpan w:val="7"/>
            <w:tcBorders>
              <w:left w:val="nil"/>
              <w:right w:val="nil"/>
            </w:tcBorders>
            <w:shd w:val="clear" w:color="auto" w:fill="BFBFBF"/>
          </w:tcPr>
          <w:p w14:paraId="5108CE0B" w14:textId="77777777" w:rsidR="00141B97" w:rsidRDefault="00911D63">
            <w:pPr>
              <w:pStyle w:val="TableParagraph"/>
              <w:spacing w:line="175" w:lineRule="exact"/>
              <w:ind w:left="27"/>
              <w:rPr>
                <w:sz w:val="16"/>
              </w:rPr>
            </w:pPr>
            <w:r>
              <w:rPr>
                <w:sz w:val="16"/>
              </w:rPr>
              <w:t>Outcome</w:t>
            </w:r>
            <w:r>
              <w:rPr>
                <w:spacing w:val="-5"/>
                <w:sz w:val="16"/>
              </w:rPr>
              <w:t xml:space="preserve"> </w:t>
            </w:r>
            <w:r>
              <w:rPr>
                <w:sz w:val="16"/>
              </w:rPr>
              <w:t>5:</w:t>
            </w:r>
            <w:r>
              <w:rPr>
                <w:spacing w:val="-5"/>
                <w:sz w:val="16"/>
              </w:rPr>
              <w:t xml:space="preserve"> </w:t>
            </w:r>
            <w:r>
              <w:rPr>
                <w:sz w:val="16"/>
              </w:rPr>
              <w:t>Service</w:t>
            </w:r>
            <w:r>
              <w:rPr>
                <w:spacing w:val="-6"/>
                <w:sz w:val="16"/>
              </w:rPr>
              <w:t xml:space="preserve"> </w:t>
            </w:r>
            <w:r>
              <w:rPr>
                <w:sz w:val="16"/>
              </w:rPr>
              <w:t>our</w:t>
            </w:r>
            <w:r>
              <w:rPr>
                <w:spacing w:val="-6"/>
                <w:sz w:val="16"/>
              </w:rPr>
              <w:t xml:space="preserve"> </w:t>
            </w:r>
            <w:r>
              <w:rPr>
                <w:sz w:val="16"/>
              </w:rPr>
              <w:t>communities</w:t>
            </w:r>
            <w:r>
              <w:rPr>
                <w:spacing w:val="-6"/>
                <w:sz w:val="16"/>
              </w:rPr>
              <w:t xml:space="preserve"> </w:t>
            </w:r>
            <w:r>
              <w:rPr>
                <w:sz w:val="16"/>
              </w:rPr>
              <w:t>in</w:t>
            </w:r>
            <w:r>
              <w:rPr>
                <w:spacing w:val="-6"/>
                <w:sz w:val="16"/>
              </w:rPr>
              <w:t xml:space="preserve"> </w:t>
            </w:r>
            <w:r>
              <w:rPr>
                <w:sz w:val="16"/>
              </w:rPr>
              <w:t>a</w:t>
            </w:r>
            <w:r>
              <w:rPr>
                <w:spacing w:val="-5"/>
                <w:sz w:val="16"/>
              </w:rPr>
              <w:t xml:space="preserve"> </w:t>
            </w:r>
            <w:r>
              <w:rPr>
                <w:sz w:val="16"/>
              </w:rPr>
              <w:t>socially</w:t>
            </w:r>
            <w:r>
              <w:rPr>
                <w:spacing w:val="-7"/>
                <w:sz w:val="16"/>
              </w:rPr>
              <w:t xml:space="preserve"> </w:t>
            </w:r>
            <w:r>
              <w:rPr>
                <w:sz w:val="16"/>
              </w:rPr>
              <w:t>responsible</w:t>
            </w:r>
            <w:r>
              <w:rPr>
                <w:spacing w:val="-6"/>
                <w:sz w:val="16"/>
              </w:rPr>
              <w:t xml:space="preserve"> </w:t>
            </w:r>
            <w:r>
              <w:rPr>
                <w:sz w:val="16"/>
              </w:rPr>
              <w:t>and</w:t>
            </w:r>
            <w:r>
              <w:rPr>
                <w:spacing w:val="-6"/>
                <w:sz w:val="16"/>
              </w:rPr>
              <w:t xml:space="preserve"> </w:t>
            </w:r>
            <w:r>
              <w:rPr>
                <w:sz w:val="16"/>
              </w:rPr>
              <w:t>environmentally</w:t>
            </w:r>
            <w:r>
              <w:rPr>
                <w:spacing w:val="-6"/>
                <w:sz w:val="16"/>
              </w:rPr>
              <w:t xml:space="preserve"> </w:t>
            </w:r>
            <w:r>
              <w:rPr>
                <w:sz w:val="16"/>
              </w:rPr>
              <w:t>sustainable</w:t>
            </w:r>
            <w:r>
              <w:rPr>
                <w:spacing w:val="-6"/>
                <w:sz w:val="16"/>
              </w:rPr>
              <w:t xml:space="preserve"> </w:t>
            </w:r>
            <w:r>
              <w:rPr>
                <w:spacing w:val="-2"/>
                <w:sz w:val="16"/>
              </w:rPr>
              <w:t>manner</w:t>
            </w:r>
          </w:p>
        </w:tc>
      </w:tr>
      <w:tr w:rsidR="00141B97" w14:paraId="400F4751" w14:textId="77777777">
        <w:trPr>
          <w:trHeight w:val="195"/>
          <w:tblCellSpacing w:w="9" w:type="dxa"/>
        </w:trPr>
        <w:tc>
          <w:tcPr>
            <w:tcW w:w="4681" w:type="dxa"/>
            <w:tcBorders>
              <w:left w:val="nil"/>
            </w:tcBorders>
            <w:shd w:val="clear" w:color="auto" w:fill="CCE2ED"/>
          </w:tcPr>
          <w:p w14:paraId="67874D35" w14:textId="77777777" w:rsidR="00141B97" w:rsidRDefault="00911D63">
            <w:pPr>
              <w:pStyle w:val="TableParagraph"/>
              <w:spacing w:before="1" w:line="175" w:lineRule="exact"/>
              <w:ind w:left="17"/>
              <w:rPr>
                <w:sz w:val="16"/>
              </w:rPr>
            </w:pPr>
            <w:r>
              <w:rPr>
                <w:sz w:val="16"/>
              </w:rPr>
              <w:t>Number</w:t>
            </w:r>
            <w:r>
              <w:rPr>
                <w:spacing w:val="-4"/>
                <w:sz w:val="16"/>
              </w:rPr>
              <w:t xml:space="preserve"> </w:t>
            </w:r>
            <w:r>
              <w:rPr>
                <w:sz w:val="16"/>
              </w:rPr>
              <w:t>of</w:t>
            </w:r>
            <w:r>
              <w:rPr>
                <w:spacing w:val="-5"/>
                <w:sz w:val="16"/>
              </w:rPr>
              <w:t xml:space="preserve"> </w:t>
            </w:r>
            <w:r>
              <w:rPr>
                <w:sz w:val="16"/>
              </w:rPr>
              <w:t>EPA</w:t>
            </w:r>
            <w:r>
              <w:rPr>
                <w:spacing w:val="-5"/>
                <w:sz w:val="16"/>
              </w:rPr>
              <w:t xml:space="preserve"> </w:t>
            </w:r>
            <w:r>
              <w:rPr>
                <w:sz w:val="16"/>
              </w:rPr>
              <w:t>reportable</w:t>
            </w:r>
            <w:r>
              <w:rPr>
                <w:spacing w:val="-4"/>
                <w:sz w:val="16"/>
              </w:rPr>
              <w:t xml:space="preserve"> </w:t>
            </w:r>
            <w:r>
              <w:rPr>
                <w:sz w:val="16"/>
              </w:rPr>
              <w:t>sewage</w:t>
            </w:r>
            <w:r>
              <w:rPr>
                <w:spacing w:val="-5"/>
                <w:sz w:val="16"/>
              </w:rPr>
              <w:t xml:space="preserve"> </w:t>
            </w:r>
            <w:r>
              <w:rPr>
                <w:sz w:val="16"/>
              </w:rPr>
              <w:t>spills</w:t>
            </w:r>
            <w:r>
              <w:rPr>
                <w:spacing w:val="-5"/>
                <w:sz w:val="16"/>
              </w:rPr>
              <w:t xml:space="preserve"> </w:t>
            </w:r>
            <w:r>
              <w:rPr>
                <w:sz w:val="16"/>
              </w:rPr>
              <w:t>per</w:t>
            </w:r>
            <w:r>
              <w:rPr>
                <w:spacing w:val="-6"/>
                <w:sz w:val="16"/>
              </w:rPr>
              <w:t xml:space="preserve"> </w:t>
            </w:r>
            <w:r>
              <w:rPr>
                <w:spacing w:val="-2"/>
                <w:sz w:val="16"/>
              </w:rPr>
              <w:t>annum</w:t>
            </w:r>
          </w:p>
        </w:tc>
        <w:tc>
          <w:tcPr>
            <w:tcW w:w="896" w:type="dxa"/>
            <w:shd w:val="clear" w:color="auto" w:fill="CCE2ED"/>
          </w:tcPr>
          <w:p w14:paraId="4CA9CF55" w14:textId="77777777" w:rsidR="00141B97" w:rsidRDefault="00911D63">
            <w:pPr>
              <w:pStyle w:val="TableParagraph"/>
              <w:spacing w:before="1" w:line="175" w:lineRule="exact"/>
              <w:ind w:left="17"/>
              <w:rPr>
                <w:sz w:val="16"/>
              </w:rPr>
            </w:pPr>
            <w:r>
              <w:rPr>
                <w:spacing w:val="-5"/>
                <w:sz w:val="16"/>
              </w:rPr>
              <w:t>&lt;=2</w:t>
            </w:r>
          </w:p>
        </w:tc>
        <w:tc>
          <w:tcPr>
            <w:tcW w:w="4178" w:type="dxa"/>
            <w:gridSpan w:val="5"/>
            <w:tcBorders>
              <w:right w:val="nil"/>
            </w:tcBorders>
            <w:shd w:val="clear" w:color="auto" w:fill="CCE2ED"/>
          </w:tcPr>
          <w:p w14:paraId="2983CAFE" w14:textId="77777777" w:rsidR="00141B97" w:rsidRDefault="00911D63">
            <w:pPr>
              <w:pStyle w:val="TableParagraph"/>
              <w:spacing w:before="1" w:line="175" w:lineRule="exact"/>
              <w:ind w:left="1818" w:right="1802"/>
              <w:jc w:val="center"/>
              <w:rPr>
                <w:sz w:val="16"/>
              </w:rPr>
            </w:pPr>
            <w:r>
              <w:rPr>
                <w:sz w:val="16"/>
              </w:rPr>
              <w:t>&lt;/=</w:t>
            </w:r>
            <w:r>
              <w:rPr>
                <w:spacing w:val="-5"/>
                <w:sz w:val="16"/>
              </w:rPr>
              <w:t xml:space="preserve"> </w:t>
            </w:r>
            <w:r>
              <w:rPr>
                <w:spacing w:val="-10"/>
                <w:sz w:val="16"/>
              </w:rPr>
              <w:t>2</w:t>
            </w:r>
          </w:p>
        </w:tc>
      </w:tr>
      <w:tr w:rsidR="00141B97" w14:paraId="365B45C2" w14:textId="77777777">
        <w:trPr>
          <w:trHeight w:val="194"/>
          <w:tblCellSpacing w:w="9" w:type="dxa"/>
        </w:trPr>
        <w:tc>
          <w:tcPr>
            <w:tcW w:w="4681" w:type="dxa"/>
            <w:tcBorders>
              <w:left w:val="nil"/>
            </w:tcBorders>
            <w:shd w:val="clear" w:color="auto" w:fill="CCE2ED"/>
          </w:tcPr>
          <w:p w14:paraId="252FCE7C" w14:textId="77777777" w:rsidR="00141B97" w:rsidRDefault="00911D63">
            <w:pPr>
              <w:pStyle w:val="TableParagraph"/>
              <w:spacing w:line="175" w:lineRule="exact"/>
              <w:ind w:left="17"/>
              <w:rPr>
                <w:sz w:val="16"/>
              </w:rPr>
            </w:pPr>
            <w:r>
              <w:rPr>
                <w:sz w:val="16"/>
              </w:rPr>
              <w:t>%</w:t>
            </w:r>
            <w:r>
              <w:rPr>
                <w:spacing w:val="-6"/>
                <w:sz w:val="16"/>
              </w:rPr>
              <w:t xml:space="preserve"> </w:t>
            </w:r>
            <w:r>
              <w:rPr>
                <w:sz w:val="16"/>
              </w:rPr>
              <w:t>compliance</w:t>
            </w:r>
            <w:r>
              <w:rPr>
                <w:spacing w:val="-4"/>
                <w:sz w:val="16"/>
              </w:rPr>
              <w:t xml:space="preserve"> </w:t>
            </w:r>
            <w:r>
              <w:rPr>
                <w:sz w:val="16"/>
              </w:rPr>
              <w:t>of</w:t>
            </w:r>
            <w:r>
              <w:rPr>
                <w:spacing w:val="-5"/>
                <w:sz w:val="16"/>
              </w:rPr>
              <w:t xml:space="preserve"> </w:t>
            </w:r>
            <w:r>
              <w:rPr>
                <w:sz w:val="16"/>
              </w:rPr>
              <w:t>WWTPs</w:t>
            </w:r>
            <w:r>
              <w:rPr>
                <w:spacing w:val="-6"/>
                <w:sz w:val="16"/>
              </w:rPr>
              <w:t xml:space="preserve"> </w:t>
            </w:r>
            <w:r>
              <w:rPr>
                <w:sz w:val="16"/>
              </w:rPr>
              <w:t>with</w:t>
            </w:r>
            <w:r>
              <w:rPr>
                <w:spacing w:val="-5"/>
                <w:sz w:val="16"/>
              </w:rPr>
              <w:t xml:space="preserve"> </w:t>
            </w:r>
            <w:r>
              <w:rPr>
                <w:sz w:val="16"/>
              </w:rPr>
              <w:t>EPA</w:t>
            </w:r>
            <w:r>
              <w:rPr>
                <w:spacing w:val="-5"/>
                <w:sz w:val="16"/>
              </w:rPr>
              <w:t xml:space="preserve"> </w:t>
            </w:r>
            <w:r>
              <w:rPr>
                <w:sz w:val="16"/>
              </w:rPr>
              <w:t>license</w:t>
            </w:r>
            <w:r>
              <w:rPr>
                <w:spacing w:val="-5"/>
                <w:sz w:val="16"/>
              </w:rPr>
              <w:t xml:space="preserve"> </w:t>
            </w:r>
            <w:r>
              <w:rPr>
                <w:spacing w:val="-2"/>
                <w:sz w:val="16"/>
              </w:rPr>
              <w:t>conditions</w:t>
            </w:r>
          </w:p>
        </w:tc>
        <w:tc>
          <w:tcPr>
            <w:tcW w:w="896" w:type="dxa"/>
            <w:shd w:val="clear" w:color="auto" w:fill="CCE2ED"/>
          </w:tcPr>
          <w:p w14:paraId="36113FA4" w14:textId="77777777" w:rsidR="00141B97" w:rsidRDefault="00911D63">
            <w:pPr>
              <w:pStyle w:val="TableParagraph"/>
              <w:spacing w:line="175" w:lineRule="exact"/>
              <w:ind w:left="17"/>
              <w:rPr>
                <w:sz w:val="16"/>
              </w:rPr>
            </w:pPr>
            <w:r>
              <w:rPr>
                <w:spacing w:val="-4"/>
                <w:sz w:val="16"/>
              </w:rPr>
              <w:t>100%</w:t>
            </w:r>
          </w:p>
        </w:tc>
        <w:tc>
          <w:tcPr>
            <w:tcW w:w="4178" w:type="dxa"/>
            <w:gridSpan w:val="5"/>
            <w:tcBorders>
              <w:right w:val="nil"/>
            </w:tcBorders>
            <w:shd w:val="clear" w:color="auto" w:fill="CCE2ED"/>
          </w:tcPr>
          <w:p w14:paraId="4EC35330" w14:textId="77777777" w:rsidR="00141B97" w:rsidRDefault="00911D63">
            <w:pPr>
              <w:pStyle w:val="TableParagraph"/>
              <w:spacing w:line="175" w:lineRule="exact"/>
              <w:ind w:left="1817" w:right="1802"/>
              <w:jc w:val="center"/>
              <w:rPr>
                <w:sz w:val="16"/>
              </w:rPr>
            </w:pPr>
            <w:r>
              <w:rPr>
                <w:spacing w:val="-4"/>
                <w:sz w:val="16"/>
              </w:rPr>
              <w:t>100%</w:t>
            </w:r>
          </w:p>
        </w:tc>
      </w:tr>
      <w:tr w:rsidR="00141B97" w14:paraId="478AC957" w14:textId="77777777">
        <w:trPr>
          <w:trHeight w:val="390"/>
          <w:tblCellSpacing w:w="9" w:type="dxa"/>
        </w:trPr>
        <w:tc>
          <w:tcPr>
            <w:tcW w:w="4681" w:type="dxa"/>
            <w:tcBorders>
              <w:left w:val="nil"/>
            </w:tcBorders>
            <w:shd w:val="clear" w:color="auto" w:fill="CCE2ED"/>
          </w:tcPr>
          <w:p w14:paraId="668FFDD7" w14:textId="77777777" w:rsidR="00141B97" w:rsidRDefault="00911D63">
            <w:pPr>
              <w:pStyle w:val="TableParagraph"/>
              <w:spacing w:before="1" w:line="195" w:lineRule="exact"/>
              <w:ind w:left="17"/>
              <w:rPr>
                <w:sz w:val="16"/>
              </w:rPr>
            </w:pPr>
            <w:r>
              <w:rPr>
                <w:sz w:val="16"/>
              </w:rPr>
              <w:t>Percentage</w:t>
            </w:r>
            <w:r>
              <w:rPr>
                <w:spacing w:val="-7"/>
                <w:sz w:val="16"/>
              </w:rPr>
              <w:t xml:space="preserve"> </w:t>
            </w:r>
            <w:r>
              <w:rPr>
                <w:sz w:val="16"/>
              </w:rPr>
              <w:t>of</w:t>
            </w:r>
            <w:r>
              <w:rPr>
                <w:spacing w:val="-6"/>
                <w:sz w:val="16"/>
              </w:rPr>
              <w:t xml:space="preserve"> </w:t>
            </w:r>
            <w:r>
              <w:rPr>
                <w:sz w:val="16"/>
              </w:rPr>
              <w:t>electrical</w:t>
            </w:r>
            <w:r>
              <w:rPr>
                <w:spacing w:val="-6"/>
                <w:sz w:val="16"/>
              </w:rPr>
              <w:t xml:space="preserve"> </w:t>
            </w:r>
            <w:r>
              <w:rPr>
                <w:sz w:val="16"/>
              </w:rPr>
              <w:t>energy</w:t>
            </w:r>
            <w:r>
              <w:rPr>
                <w:spacing w:val="-6"/>
                <w:sz w:val="16"/>
              </w:rPr>
              <w:t xml:space="preserve"> </w:t>
            </w:r>
            <w:r>
              <w:rPr>
                <w:sz w:val="16"/>
              </w:rPr>
              <w:t>from</w:t>
            </w:r>
            <w:r>
              <w:rPr>
                <w:spacing w:val="-4"/>
                <w:sz w:val="16"/>
              </w:rPr>
              <w:t xml:space="preserve"> </w:t>
            </w:r>
            <w:r>
              <w:rPr>
                <w:sz w:val="16"/>
              </w:rPr>
              <w:t>renewable</w:t>
            </w:r>
            <w:r>
              <w:rPr>
                <w:spacing w:val="-6"/>
                <w:sz w:val="16"/>
              </w:rPr>
              <w:t xml:space="preserve"> </w:t>
            </w:r>
            <w:r>
              <w:rPr>
                <w:sz w:val="16"/>
              </w:rPr>
              <w:t>sources</w:t>
            </w:r>
            <w:r>
              <w:rPr>
                <w:spacing w:val="-7"/>
                <w:sz w:val="16"/>
              </w:rPr>
              <w:t xml:space="preserve"> </w:t>
            </w:r>
            <w:r>
              <w:rPr>
                <w:sz w:val="16"/>
              </w:rPr>
              <w:t>–</w:t>
            </w:r>
            <w:r>
              <w:rPr>
                <w:spacing w:val="-6"/>
                <w:sz w:val="16"/>
              </w:rPr>
              <w:t xml:space="preserve"> </w:t>
            </w:r>
            <w:r>
              <w:rPr>
                <w:sz w:val="16"/>
              </w:rPr>
              <w:t>Target</w:t>
            </w:r>
            <w:r>
              <w:rPr>
                <w:spacing w:val="-5"/>
                <w:sz w:val="16"/>
              </w:rPr>
              <w:t xml:space="preserve"> </w:t>
            </w:r>
            <w:r>
              <w:rPr>
                <w:spacing w:val="-10"/>
                <w:sz w:val="16"/>
              </w:rPr>
              <w:t>=</w:t>
            </w:r>
          </w:p>
          <w:p w14:paraId="3D09FD31" w14:textId="77777777" w:rsidR="00141B97" w:rsidRDefault="00911D63">
            <w:pPr>
              <w:pStyle w:val="TableParagraph"/>
              <w:spacing w:line="175" w:lineRule="exact"/>
              <w:ind w:left="17"/>
              <w:rPr>
                <w:sz w:val="16"/>
              </w:rPr>
            </w:pPr>
            <w:r>
              <w:rPr>
                <w:spacing w:val="-4"/>
                <w:sz w:val="16"/>
              </w:rPr>
              <w:t>100%</w:t>
            </w:r>
          </w:p>
        </w:tc>
        <w:tc>
          <w:tcPr>
            <w:tcW w:w="896" w:type="dxa"/>
            <w:shd w:val="clear" w:color="auto" w:fill="CCE2ED"/>
          </w:tcPr>
          <w:p w14:paraId="434323B5" w14:textId="77777777" w:rsidR="00141B97" w:rsidRDefault="00911D63">
            <w:pPr>
              <w:pStyle w:val="TableParagraph"/>
              <w:spacing w:before="98"/>
              <w:ind w:left="17"/>
              <w:rPr>
                <w:sz w:val="16"/>
              </w:rPr>
            </w:pPr>
            <w:r>
              <w:rPr>
                <w:spacing w:val="-5"/>
                <w:sz w:val="16"/>
              </w:rPr>
              <w:t>NA</w:t>
            </w:r>
          </w:p>
        </w:tc>
        <w:tc>
          <w:tcPr>
            <w:tcW w:w="1695" w:type="dxa"/>
            <w:gridSpan w:val="2"/>
            <w:shd w:val="clear" w:color="auto" w:fill="CCE2ED"/>
          </w:tcPr>
          <w:p w14:paraId="01BDA79B" w14:textId="77777777" w:rsidR="00141B97" w:rsidRDefault="00911D63">
            <w:pPr>
              <w:pStyle w:val="TableParagraph"/>
              <w:spacing w:before="98"/>
              <w:ind w:left="737" w:right="734"/>
              <w:jc w:val="center"/>
              <w:rPr>
                <w:sz w:val="16"/>
              </w:rPr>
            </w:pPr>
            <w:r>
              <w:rPr>
                <w:spacing w:val="-5"/>
                <w:sz w:val="16"/>
              </w:rPr>
              <w:t>NA</w:t>
            </w:r>
          </w:p>
        </w:tc>
        <w:tc>
          <w:tcPr>
            <w:tcW w:w="2483" w:type="dxa"/>
            <w:gridSpan w:val="3"/>
            <w:tcBorders>
              <w:right w:val="nil"/>
            </w:tcBorders>
            <w:shd w:val="clear" w:color="auto" w:fill="CCE2ED"/>
          </w:tcPr>
          <w:p w14:paraId="63D39868" w14:textId="77777777" w:rsidR="00141B97" w:rsidRDefault="00911D63">
            <w:pPr>
              <w:pStyle w:val="TableParagraph"/>
              <w:spacing w:before="98"/>
              <w:ind w:left="1058" w:right="1043"/>
              <w:jc w:val="center"/>
              <w:rPr>
                <w:sz w:val="16"/>
              </w:rPr>
            </w:pPr>
            <w:r>
              <w:rPr>
                <w:spacing w:val="-4"/>
                <w:sz w:val="16"/>
              </w:rPr>
              <w:t>100%</w:t>
            </w:r>
          </w:p>
        </w:tc>
      </w:tr>
      <w:tr w:rsidR="00141B97" w14:paraId="1896E2CE" w14:textId="77777777">
        <w:trPr>
          <w:trHeight w:val="392"/>
          <w:tblCellSpacing w:w="9" w:type="dxa"/>
        </w:trPr>
        <w:tc>
          <w:tcPr>
            <w:tcW w:w="4681" w:type="dxa"/>
            <w:tcBorders>
              <w:left w:val="nil"/>
              <w:bottom w:val="nil"/>
            </w:tcBorders>
            <w:shd w:val="clear" w:color="auto" w:fill="CCE2ED"/>
          </w:tcPr>
          <w:p w14:paraId="325AED3E" w14:textId="77777777" w:rsidR="00141B97" w:rsidRDefault="00911D63">
            <w:pPr>
              <w:pStyle w:val="TableParagraph"/>
              <w:spacing w:line="190" w:lineRule="atLeast"/>
              <w:ind w:left="17"/>
              <w:rPr>
                <w:sz w:val="16"/>
              </w:rPr>
            </w:pPr>
            <w:r>
              <w:rPr>
                <w:sz w:val="16"/>
              </w:rPr>
              <w:t>Recycled</w:t>
            </w:r>
            <w:r>
              <w:rPr>
                <w:spacing w:val="-2"/>
                <w:sz w:val="16"/>
              </w:rPr>
              <w:t xml:space="preserve"> </w:t>
            </w:r>
            <w:r>
              <w:rPr>
                <w:sz w:val="16"/>
              </w:rPr>
              <w:t>Water</w:t>
            </w:r>
            <w:r>
              <w:rPr>
                <w:spacing w:val="-1"/>
                <w:sz w:val="16"/>
              </w:rPr>
              <w:t xml:space="preserve"> </w:t>
            </w:r>
            <w:r>
              <w:rPr>
                <w:sz w:val="16"/>
              </w:rPr>
              <w:t>‐</w:t>
            </w:r>
            <w:r>
              <w:rPr>
                <w:spacing w:val="-2"/>
                <w:sz w:val="16"/>
              </w:rPr>
              <w:t xml:space="preserve"> </w:t>
            </w:r>
            <w:r>
              <w:rPr>
                <w:sz w:val="16"/>
              </w:rPr>
              <w:t>Percentage</w:t>
            </w:r>
            <w:r>
              <w:rPr>
                <w:spacing w:val="-2"/>
                <w:sz w:val="16"/>
              </w:rPr>
              <w:t xml:space="preserve"> </w:t>
            </w:r>
            <w:r>
              <w:rPr>
                <w:sz w:val="16"/>
              </w:rPr>
              <w:t>of</w:t>
            </w:r>
            <w:r>
              <w:rPr>
                <w:spacing w:val="-1"/>
                <w:sz w:val="16"/>
              </w:rPr>
              <w:t xml:space="preserve"> </w:t>
            </w:r>
            <w:r>
              <w:rPr>
                <w:sz w:val="16"/>
              </w:rPr>
              <w:t>wastewater</w:t>
            </w:r>
            <w:r>
              <w:rPr>
                <w:spacing w:val="-2"/>
                <w:sz w:val="16"/>
              </w:rPr>
              <w:t xml:space="preserve"> </w:t>
            </w:r>
            <w:r>
              <w:rPr>
                <w:sz w:val="16"/>
              </w:rPr>
              <w:t>received</w:t>
            </w:r>
            <w:r>
              <w:rPr>
                <w:spacing w:val="-2"/>
                <w:sz w:val="16"/>
              </w:rPr>
              <w:t xml:space="preserve"> </w:t>
            </w:r>
            <w:r>
              <w:rPr>
                <w:sz w:val="16"/>
              </w:rPr>
              <w:t>by</w:t>
            </w:r>
            <w:r>
              <w:rPr>
                <w:spacing w:val="-3"/>
                <w:sz w:val="16"/>
              </w:rPr>
              <w:t xml:space="preserve"> </w:t>
            </w:r>
            <w:r>
              <w:rPr>
                <w:sz w:val="16"/>
              </w:rPr>
              <w:t>LMW</w:t>
            </w:r>
            <w:r>
              <w:rPr>
                <w:spacing w:val="-2"/>
                <w:sz w:val="16"/>
              </w:rPr>
              <w:t xml:space="preserve"> </w:t>
            </w:r>
            <w:r>
              <w:rPr>
                <w:sz w:val="16"/>
              </w:rPr>
              <w:t>that</w:t>
            </w:r>
            <w:r>
              <w:rPr>
                <w:spacing w:val="-2"/>
                <w:sz w:val="16"/>
              </w:rPr>
              <w:t xml:space="preserve"> </w:t>
            </w:r>
            <w:r>
              <w:rPr>
                <w:sz w:val="16"/>
              </w:rPr>
              <w:t>is</w:t>
            </w:r>
            <w:r>
              <w:rPr>
                <w:spacing w:val="40"/>
                <w:sz w:val="16"/>
              </w:rPr>
              <w:t xml:space="preserve"> </w:t>
            </w:r>
            <w:r>
              <w:rPr>
                <w:spacing w:val="-2"/>
                <w:sz w:val="16"/>
              </w:rPr>
              <w:t>recycled</w:t>
            </w:r>
          </w:p>
        </w:tc>
        <w:tc>
          <w:tcPr>
            <w:tcW w:w="896" w:type="dxa"/>
            <w:tcBorders>
              <w:bottom w:val="nil"/>
            </w:tcBorders>
            <w:shd w:val="clear" w:color="auto" w:fill="CCE2ED"/>
          </w:tcPr>
          <w:p w14:paraId="654C26CF" w14:textId="77777777" w:rsidR="00141B97" w:rsidRDefault="00911D63">
            <w:pPr>
              <w:pStyle w:val="TableParagraph"/>
              <w:spacing w:before="98"/>
              <w:ind w:left="17"/>
              <w:rPr>
                <w:sz w:val="16"/>
              </w:rPr>
            </w:pPr>
            <w:r>
              <w:rPr>
                <w:spacing w:val="-5"/>
                <w:sz w:val="16"/>
              </w:rPr>
              <w:t>60%</w:t>
            </w:r>
          </w:p>
        </w:tc>
        <w:tc>
          <w:tcPr>
            <w:tcW w:w="4178" w:type="dxa"/>
            <w:gridSpan w:val="5"/>
            <w:tcBorders>
              <w:bottom w:val="nil"/>
              <w:right w:val="nil"/>
            </w:tcBorders>
            <w:shd w:val="clear" w:color="auto" w:fill="CCE2ED"/>
          </w:tcPr>
          <w:p w14:paraId="3579B163" w14:textId="77777777" w:rsidR="00141B97" w:rsidRDefault="00911D63">
            <w:pPr>
              <w:pStyle w:val="TableParagraph"/>
              <w:spacing w:before="98"/>
              <w:ind w:left="1817" w:right="1802"/>
              <w:jc w:val="center"/>
              <w:rPr>
                <w:sz w:val="16"/>
              </w:rPr>
            </w:pPr>
            <w:r>
              <w:rPr>
                <w:spacing w:val="-5"/>
                <w:sz w:val="16"/>
              </w:rPr>
              <w:t>60%</w:t>
            </w:r>
          </w:p>
        </w:tc>
      </w:tr>
    </w:tbl>
    <w:p w14:paraId="6F87C962" w14:textId="77777777" w:rsidR="00141B97" w:rsidRDefault="00911D63">
      <w:pPr>
        <w:spacing w:before="35"/>
        <w:ind w:left="114"/>
        <w:jc w:val="both"/>
        <w:rPr>
          <w:sz w:val="16"/>
        </w:rPr>
      </w:pPr>
      <w:r>
        <w:rPr>
          <w:sz w:val="16"/>
        </w:rPr>
        <w:t>Table</w:t>
      </w:r>
      <w:r>
        <w:rPr>
          <w:spacing w:val="-7"/>
          <w:sz w:val="16"/>
        </w:rPr>
        <w:t xml:space="preserve"> </w:t>
      </w:r>
      <w:r>
        <w:rPr>
          <w:sz w:val="16"/>
        </w:rPr>
        <w:t>B15:</w:t>
      </w:r>
      <w:r>
        <w:rPr>
          <w:spacing w:val="-8"/>
          <w:sz w:val="16"/>
        </w:rPr>
        <w:t xml:space="preserve"> </w:t>
      </w:r>
      <w:r>
        <w:rPr>
          <w:sz w:val="16"/>
        </w:rPr>
        <w:t>Proposed</w:t>
      </w:r>
      <w:r>
        <w:rPr>
          <w:spacing w:val="-8"/>
          <w:sz w:val="16"/>
        </w:rPr>
        <w:t xml:space="preserve"> </w:t>
      </w:r>
      <w:r>
        <w:rPr>
          <w:sz w:val="16"/>
        </w:rPr>
        <w:t>Performance</w:t>
      </w:r>
      <w:r>
        <w:rPr>
          <w:spacing w:val="-7"/>
          <w:sz w:val="16"/>
        </w:rPr>
        <w:t xml:space="preserve"> </w:t>
      </w:r>
      <w:r>
        <w:rPr>
          <w:sz w:val="16"/>
        </w:rPr>
        <w:t>Assessment</w:t>
      </w:r>
      <w:r>
        <w:rPr>
          <w:spacing w:val="-7"/>
          <w:sz w:val="16"/>
        </w:rPr>
        <w:t xml:space="preserve"> </w:t>
      </w:r>
      <w:r>
        <w:rPr>
          <w:spacing w:val="-2"/>
          <w:sz w:val="16"/>
        </w:rPr>
        <w:t>Criteria</w:t>
      </w:r>
    </w:p>
    <w:p w14:paraId="4745988E" w14:textId="77777777" w:rsidR="00141B97" w:rsidRDefault="00141B97">
      <w:pPr>
        <w:pStyle w:val="BodyText"/>
        <w:rPr>
          <w:sz w:val="16"/>
        </w:rPr>
      </w:pPr>
    </w:p>
    <w:p w14:paraId="53FA656A" w14:textId="77777777" w:rsidR="00141B97" w:rsidRDefault="00141B97">
      <w:pPr>
        <w:pStyle w:val="BodyText"/>
        <w:spacing w:before="2"/>
        <w:rPr>
          <w:sz w:val="15"/>
        </w:rPr>
      </w:pPr>
    </w:p>
    <w:p w14:paraId="48116794" w14:textId="77777777" w:rsidR="00141B97" w:rsidRDefault="00911D63">
      <w:pPr>
        <w:pStyle w:val="Heading2"/>
        <w:numPr>
          <w:ilvl w:val="1"/>
          <w:numId w:val="81"/>
        </w:numPr>
        <w:tabs>
          <w:tab w:val="left" w:pos="1113"/>
        </w:tabs>
        <w:jc w:val="both"/>
      </w:pPr>
      <w:r>
        <w:rPr>
          <w:color w:val="009BAC"/>
        </w:rPr>
        <w:t>Delivery</w:t>
      </w:r>
      <w:r>
        <w:rPr>
          <w:color w:val="009BAC"/>
          <w:spacing w:val="-11"/>
        </w:rPr>
        <w:t xml:space="preserve"> </w:t>
      </w:r>
      <w:r>
        <w:rPr>
          <w:color w:val="009BAC"/>
        </w:rPr>
        <w:t>on</w:t>
      </w:r>
      <w:r>
        <w:rPr>
          <w:color w:val="009BAC"/>
          <w:spacing w:val="-8"/>
        </w:rPr>
        <w:t xml:space="preserve"> </w:t>
      </w:r>
      <w:r>
        <w:rPr>
          <w:color w:val="009BAC"/>
        </w:rPr>
        <w:t>Outcome</w:t>
      </w:r>
      <w:r>
        <w:rPr>
          <w:color w:val="009BAC"/>
          <w:spacing w:val="-9"/>
        </w:rPr>
        <w:t xml:space="preserve"> </w:t>
      </w:r>
      <w:r>
        <w:rPr>
          <w:color w:val="009BAC"/>
          <w:spacing w:val="-2"/>
        </w:rPr>
        <w:t>Commitments</w:t>
      </w:r>
    </w:p>
    <w:p w14:paraId="5EBF6AF6" w14:textId="77777777" w:rsidR="00141B97" w:rsidRDefault="00911D63">
      <w:pPr>
        <w:pStyle w:val="BodyText"/>
        <w:spacing w:before="131" w:line="252" w:lineRule="auto"/>
        <w:ind w:left="113" w:right="949"/>
        <w:jc w:val="both"/>
      </w:pPr>
      <w:r>
        <w:t>LMW’s</w:t>
      </w:r>
      <w:r>
        <w:rPr>
          <w:spacing w:val="-3"/>
        </w:rPr>
        <w:t xml:space="preserve"> </w:t>
      </w:r>
      <w:r>
        <w:t>Board</w:t>
      </w:r>
      <w:r>
        <w:rPr>
          <w:spacing w:val="-2"/>
        </w:rPr>
        <w:t xml:space="preserve"> </w:t>
      </w:r>
      <w:r>
        <w:t>adopted</w:t>
      </w:r>
      <w:r>
        <w:rPr>
          <w:spacing w:val="-2"/>
        </w:rPr>
        <w:t xml:space="preserve"> </w:t>
      </w:r>
      <w:r>
        <w:t>the</w:t>
      </w:r>
      <w:r>
        <w:rPr>
          <w:spacing w:val="-3"/>
        </w:rPr>
        <w:t xml:space="preserve"> </w:t>
      </w:r>
      <w:r>
        <w:t>Customer</w:t>
      </w:r>
      <w:r>
        <w:rPr>
          <w:spacing w:val="-1"/>
        </w:rPr>
        <w:t xml:space="preserve"> </w:t>
      </w:r>
      <w:r>
        <w:t>Engagement</w:t>
      </w:r>
      <w:r>
        <w:rPr>
          <w:spacing w:val="-4"/>
        </w:rPr>
        <w:t xml:space="preserve"> </w:t>
      </w:r>
      <w:r>
        <w:t>Strategy</w:t>
      </w:r>
      <w:r>
        <w:rPr>
          <w:spacing w:val="-2"/>
        </w:rPr>
        <w:t xml:space="preserve"> </w:t>
      </w:r>
      <w:r>
        <w:t>in</w:t>
      </w:r>
      <w:r>
        <w:rPr>
          <w:spacing w:val="-2"/>
        </w:rPr>
        <w:t xml:space="preserve"> </w:t>
      </w:r>
      <w:r>
        <w:t>2021</w:t>
      </w:r>
      <w:r>
        <w:rPr>
          <w:spacing w:val="-3"/>
        </w:rPr>
        <w:t xml:space="preserve"> </w:t>
      </w:r>
      <w:r>
        <w:t>which</w:t>
      </w:r>
      <w:r>
        <w:rPr>
          <w:spacing w:val="-3"/>
        </w:rPr>
        <w:t xml:space="preserve"> </w:t>
      </w:r>
      <w:r>
        <w:t>included</w:t>
      </w:r>
      <w:r>
        <w:rPr>
          <w:spacing w:val="-2"/>
        </w:rPr>
        <w:t xml:space="preserve"> </w:t>
      </w:r>
      <w:r>
        <w:t>the</w:t>
      </w:r>
      <w:r>
        <w:rPr>
          <w:spacing w:val="-2"/>
        </w:rPr>
        <w:t xml:space="preserve"> </w:t>
      </w:r>
      <w:r>
        <w:t>principles</w:t>
      </w:r>
      <w:r>
        <w:rPr>
          <w:spacing w:val="-2"/>
        </w:rPr>
        <w:t xml:space="preserve"> </w:t>
      </w:r>
      <w:r>
        <w:t>articulated</w:t>
      </w:r>
      <w:r>
        <w:rPr>
          <w:spacing w:val="-3"/>
        </w:rPr>
        <w:t xml:space="preserve"> </w:t>
      </w:r>
      <w:r>
        <w:t>by the IAP2. The key aim of this is to ensure a better level of trust, service and appreciation between customers, stakeholders and LMW.</w:t>
      </w:r>
    </w:p>
    <w:p w14:paraId="7077432B" w14:textId="77777777" w:rsidR="00141B97" w:rsidRDefault="00911D63">
      <w:pPr>
        <w:pStyle w:val="BodyText"/>
        <w:spacing w:before="114" w:line="249" w:lineRule="auto"/>
        <w:ind w:left="114" w:right="948" w:hanging="1"/>
        <w:jc w:val="both"/>
      </w:pPr>
      <w:r>
        <w:t>LMW’s</w:t>
      </w:r>
      <w:r>
        <w:rPr>
          <w:spacing w:val="-13"/>
        </w:rPr>
        <w:t xml:space="preserve"> </w:t>
      </w:r>
      <w:r>
        <w:t>review</w:t>
      </w:r>
      <w:r>
        <w:rPr>
          <w:spacing w:val="-12"/>
        </w:rPr>
        <w:t xml:space="preserve"> </w:t>
      </w:r>
      <w:r>
        <w:t>of</w:t>
      </w:r>
      <w:r>
        <w:rPr>
          <w:spacing w:val="-13"/>
        </w:rPr>
        <w:t xml:space="preserve"> </w:t>
      </w:r>
      <w:r>
        <w:t>its</w:t>
      </w:r>
      <w:r>
        <w:rPr>
          <w:spacing w:val="-12"/>
        </w:rPr>
        <w:t xml:space="preserve"> </w:t>
      </w:r>
      <w:r>
        <w:t>People,</w:t>
      </w:r>
      <w:r>
        <w:rPr>
          <w:spacing w:val="-13"/>
        </w:rPr>
        <w:t xml:space="preserve"> </w:t>
      </w:r>
      <w:r>
        <w:t>Customer</w:t>
      </w:r>
      <w:r>
        <w:rPr>
          <w:spacing w:val="-12"/>
        </w:rPr>
        <w:t xml:space="preserve"> </w:t>
      </w:r>
      <w:r>
        <w:t>and</w:t>
      </w:r>
      <w:r>
        <w:rPr>
          <w:spacing w:val="-13"/>
        </w:rPr>
        <w:t xml:space="preserve"> </w:t>
      </w:r>
      <w:r>
        <w:t>Stakeholder</w:t>
      </w:r>
      <w:r>
        <w:rPr>
          <w:spacing w:val="-12"/>
        </w:rPr>
        <w:t xml:space="preserve"> </w:t>
      </w:r>
      <w:r>
        <w:t>functions</w:t>
      </w:r>
      <w:r>
        <w:rPr>
          <w:spacing w:val="-12"/>
        </w:rPr>
        <w:t xml:space="preserve"> </w:t>
      </w:r>
      <w:r>
        <w:t>in</w:t>
      </w:r>
      <w:r>
        <w:rPr>
          <w:spacing w:val="-13"/>
        </w:rPr>
        <w:t xml:space="preserve"> </w:t>
      </w:r>
      <w:r>
        <w:t>2021</w:t>
      </w:r>
      <w:r>
        <w:rPr>
          <w:spacing w:val="-12"/>
        </w:rPr>
        <w:t xml:space="preserve"> </w:t>
      </w:r>
      <w:r>
        <w:t>to</w:t>
      </w:r>
      <w:r>
        <w:rPr>
          <w:spacing w:val="-13"/>
        </w:rPr>
        <w:t xml:space="preserve"> </w:t>
      </w:r>
      <w:r>
        <w:t>strengthen</w:t>
      </w:r>
      <w:r>
        <w:rPr>
          <w:spacing w:val="-12"/>
        </w:rPr>
        <w:t xml:space="preserve"> </w:t>
      </w:r>
      <w:r>
        <w:t>the</w:t>
      </w:r>
      <w:r>
        <w:rPr>
          <w:spacing w:val="-13"/>
        </w:rPr>
        <w:t xml:space="preserve"> </w:t>
      </w:r>
      <w:r>
        <w:t>link</w:t>
      </w:r>
      <w:r>
        <w:rPr>
          <w:spacing w:val="-12"/>
        </w:rPr>
        <w:t xml:space="preserve"> </w:t>
      </w:r>
      <w:r>
        <w:t>between</w:t>
      </w:r>
      <w:r>
        <w:rPr>
          <w:spacing w:val="-12"/>
        </w:rPr>
        <w:t xml:space="preserve"> </w:t>
      </w:r>
      <w:r>
        <w:t>internal and</w:t>
      </w:r>
      <w:r>
        <w:rPr>
          <w:spacing w:val="-9"/>
        </w:rPr>
        <w:t xml:space="preserve"> </w:t>
      </w:r>
      <w:r>
        <w:t>external</w:t>
      </w:r>
      <w:r>
        <w:rPr>
          <w:spacing w:val="-10"/>
        </w:rPr>
        <w:t xml:space="preserve"> </w:t>
      </w:r>
      <w:r>
        <w:t>customers</w:t>
      </w:r>
      <w:r>
        <w:rPr>
          <w:spacing w:val="-8"/>
        </w:rPr>
        <w:t xml:space="preserve"> </w:t>
      </w:r>
      <w:r>
        <w:t>has</w:t>
      </w:r>
      <w:r>
        <w:rPr>
          <w:spacing w:val="-10"/>
        </w:rPr>
        <w:t xml:space="preserve"> </w:t>
      </w:r>
      <w:r>
        <w:t>enabled</w:t>
      </w:r>
      <w:r>
        <w:rPr>
          <w:spacing w:val="-9"/>
        </w:rPr>
        <w:t xml:space="preserve"> </w:t>
      </w:r>
      <w:r>
        <w:t>LMW</w:t>
      </w:r>
      <w:r>
        <w:rPr>
          <w:spacing w:val="-11"/>
        </w:rPr>
        <w:t xml:space="preserve"> </w:t>
      </w:r>
      <w:r>
        <w:t>to</w:t>
      </w:r>
      <w:r>
        <w:rPr>
          <w:spacing w:val="-10"/>
        </w:rPr>
        <w:t xml:space="preserve"> </w:t>
      </w:r>
      <w:r>
        <w:t>engage</w:t>
      </w:r>
      <w:r>
        <w:rPr>
          <w:spacing w:val="-9"/>
        </w:rPr>
        <w:t xml:space="preserve"> </w:t>
      </w:r>
      <w:r>
        <w:t>more</w:t>
      </w:r>
      <w:r>
        <w:rPr>
          <w:spacing w:val="-10"/>
        </w:rPr>
        <w:t xml:space="preserve"> </w:t>
      </w:r>
      <w:r>
        <w:t>authentically</w:t>
      </w:r>
      <w:r>
        <w:rPr>
          <w:spacing w:val="-10"/>
        </w:rPr>
        <w:t xml:space="preserve"> </w:t>
      </w:r>
      <w:r>
        <w:t>with</w:t>
      </w:r>
      <w:r>
        <w:rPr>
          <w:spacing w:val="-9"/>
        </w:rPr>
        <w:t xml:space="preserve"> </w:t>
      </w:r>
      <w:r>
        <w:t>the</w:t>
      </w:r>
      <w:r>
        <w:rPr>
          <w:spacing w:val="-10"/>
        </w:rPr>
        <w:t xml:space="preserve"> </w:t>
      </w:r>
      <w:r>
        <w:t>urban</w:t>
      </w:r>
      <w:r>
        <w:rPr>
          <w:spacing w:val="-11"/>
        </w:rPr>
        <w:t xml:space="preserve"> </w:t>
      </w:r>
      <w:r>
        <w:t>customer</w:t>
      </w:r>
      <w:r>
        <w:rPr>
          <w:spacing w:val="-9"/>
        </w:rPr>
        <w:t xml:space="preserve"> </w:t>
      </w:r>
      <w:r>
        <w:t>base,</w:t>
      </w:r>
      <w:r>
        <w:rPr>
          <w:spacing w:val="-9"/>
        </w:rPr>
        <w:t xml:space="preserve"> </w:t>
      </w:r>
      <w:r>
        <w:t>creating better</w:t>
      </w:r>
      <w:r>
        <w:rPr>
          <w:spacing w:val="-5"/>
        </w:rPr>
        <w:t xml:space="preserve"> </w:t>
      </w:r>
      <w:r>
        <w:t>understanding</w:t>
      </w:r>
      <w:r>
        <w:rPr>
          <w:spacing w:val="-5"/>
        </w:rPr>
        <w:t xml:space="preserve"> </w:t>
      </w:r>
      <w:r>
        <w:t>of</w:t>
      </w:r>
      <w:r>
        <w:rPr>
          <w:spacing w:val="-4"/>
        </w:rPr>
        <w:t xml:space="preserve"> </w:t>
      </w:r>
      <w:r>
        <w:t>the</w:t>
      </w:r>
      <w:r>
        <w:rPr>
          <w:spacing w:val="-5"/>
        </w:rPr>
        <w:t xml:space="preserve"> </w:t>
      </w:r>
      <w:r>
        <w:t>diverse</w:t>
      </w:r>
      <w:r>
        <w:rPr>
          <w:spacing w:val="-5"/>
        </w:rPr>
        <w:t xml:space="preserve"> </w:t>
      </w:r>
      <w:r>
        <w:t>needs</w:t>
      </w:r>
      <w:r>
        <w:rPr>
          <w:spacing w:val="-5"/>
        </w:rPr>
        <w:t xml:space="preserve"> </w:t>
      </w:r>
      <w:r>
        <w:t>of</w:t>
      </w:r>
      <w:r>
        <w:rPr>
          <w:spacing w:val="-4"/>
        </w:rPr>
        <w:t xml:space="preserve"> </w:t>
      </w:r>
      <w:r>
        <w:t>this</w:t>
      </w:r>
      <w:r>
        <w:rPr>
          <w:spacing w:val="-4"/>
        </w:rPr>
        <w:t xml:space="preserve"> </w:t>
      </w:r>
      <w:r>
        <w:t>cohort.</w:t>
      </w:r>
      <w:r>
        <w:rPr>
          <w:spacing w:val="-4"/>
        </w:rPr>
        <w:t xml:space="preserve"> </w:t>
      </w:r>
      <w:r>
        <w:t>Early</w:t>
      </w:r>
      <w:r>
        <w:rPr>
          <w:spacing w:val="-4"/>
        </w:rPr>
        <w:t xml:space="preserve"> </w:t>
      </w:r>
      <w:r>
        <w:t>engagement</w:t>
      </w:r>
      <w:r>
        <w:rPr>
          <w:spacing w:val="-4"/>
        </w:rPr>
        <w:t xml:space="preserve"> </w:t>
      </w:r>
      <w:r>
        <w:t>undertaken</w:t>
      </w:r>
      <w:r>
        <w:rPr>
          <w:spacing w:val="-5"/>
        </w:rPr>
        <w:t xml:space="preserve"> </w:t>
      </w:r>
      <w:r>
        <w:t>for</w:t>
      </w:r>
      <w:r>
        <w:rPr>
          <w:spacing w:val="-4"/>
        </w:rPr>
        <w:t xml:space="preserve"> </w:t>
      </w:r>
      <w:r>
        <w:t>PS5</w:t>
      </w:r>
      <w:r>
        <w:rPr>
          <w:spacing w:val="-5"/>
        </w:rPr>
        <w:t xml:space="preserve"> </w:t>
      </w:r>
      <w:r>
        <w:t>has</w:t>
      </w:r>
      <w:r>
        <w:rPr>
          <w:spacing w:val="-4"/>
        </w:rPr>
        <w:t xml:space="preserve"> </w:t>
      </w:r>
      <w:r>
        <w:t>formed</w:t>
      </w:r>
      <w:r>
        <w:rPr>
          <w:spacing w:val="-6"/>
        </w:rPr>
        <w:t xml:space="preserve"> </w:t>
      </w:r>
      <w:r>
        <w:t>the foundation</w:t>
      </w:r>
      <w:r>
        <w:rPr>
          <w:spacing w:val="39"/>
        </w:rPr>
        <w:t xml:space="preserve"> </w:t>
      </w:r>
      <w:r>
        <w:t>to</w:t>
      </w:r>
      <w:r>
        <w:rPr>
          <w:spacing w:val="39"/>
        </w:rPr>
        <w:t xml:space="preserve"> </w:t>
      </w:r>
      <w:r>
        <w:t>maintain</w:t>
      </w:r>
      <w:r>
        <w:rPr>
          <w:spacing w:val="40"/>
        </w:rPr>
        <w:t xml:space="preserve"> </w:t>
      </w:r>
      <w:r>
        <w:t>momentum</w:t>
      </w:r>
      <w:r>
        <w:rPr>
          <w:spacing w:val="40"/>
        </w:rPr>
        <w:t xml:space="preserve"> </w:t>
      </w:r>
      <w:r>
        <w:t>with</w:t>
      </w:r>
      <w:r>
        <w:rPr>
          <w:spacing w:val="39"/>
        </w:rPr>
        <w:t xml:space="preserve"> </w:t>
      </w:r>
      <w:r>
        <w:t>customers</w:t>
      </w:r>
      <w:r>
        <w:rPr>
          <w:spacing w:val="40"/>
        </w:rPr>
        <w:t xml:space="preserve"> </w:t>
      </w:r>
      <w:r>
        <w:t>and</w:t>
      </w:r>
      <w:r>
        <w:rPr>
          <w:spacing w:val="39"/>
        </w:rPr>
        <w:t xml:space="preserve"> </w:t>
      </w:r>
      <w:r>
        <w:t>strengthen</w:t>
      </w:r>
      <w:r>
        <w:rPr>
          <w:spacing w:val="40"/>
        </w:rPr>
        <w:t xml:space="preserve"> </w:t>
      </w:r>
      <w:r>
        <w:t>trust</w:t>
      </w:r>
      <w:r>
        <w:rPr>
          <w:spacing w:val="39"/>
        </w:rPr>
        <w:t xml:space="preserve"> </w:t>
      </w:r>
      <w:r>
        <w:t>and</w:t>
      </w:r>
      <w:r>
        <w:rPr>
          <w:spacing w:val="39"/>
        </w:rPr>
        <w:t xml:space="preserve"> </w:t>
      </w:r>
      <w:r>
        <w:t>deeper</w:t>
      </w:r>
      <w:r>
        <w:rPr>
          <w:spacing w:val="39"/>
        </w:rPr>
        <w:t xml:space="preserve"> </w:t>
      </w:r>
      <w:r>
        <w:t>engagement</w:t>
      </w:r>
      <w:r>
        <w:rPr>
          <w:spacing w:val="39"/>
        </w:rPr>
        <w:t xml:space="preserve"> </w:t>
      </w:r>
      <w:r>
        <w:t>as</w:t>
      </w:r>
      <w:r>
        <w:rPr>
          <w:spacing w:val="40"/>
        </w:rPr>
        <w:t xml:space="preserve"> </w:t>
      </w:r>
      <w:r>
        <w:t>the</w:t>
      </w:r>
    </w:p>
    <w:p w14:paraId="2A58C6BA" w14:textId="77777777" w:rsidR="00141B97" w:rsidRDefault="00141B97">
      <w:pPr>
        <w:spacing w:line="249" w:lineRule="auto"/>
        <w:jc w:val="both"/>
        <w:sectPr w:rsidR="00141B97">
          <w:pgSz w:w="11910" w:h="16840"/>
          <w:pgMar w:top="820" w:right="40" w:bottom="760" w:left="1020" w:header="0" w:footer="580" w:gutter="0"/>
          <w:cols w:space="720"/>
        </w:sectPr>
      </w:pPr>
    </w:p>
    <w:p w14:paraId="2ACC9C06" w14:textId="77777777" w:rsidR="00141B97" w:rsidRDefault="00911D63">
      <w:pPr>
        <w:pStyle w:val="BodyText"/>
        <w:spacing w:before="42" w:line="252" w:lineRule="auto"/>
        <w:ind w:left="114" w:right="947" w:hanging="1"/>
        <w:jc w:val="both"/>
      </w:pPr>
      <w:r>
        <w:lastRenderedPageBreak/>
        <w:t>transition</w:t>
      </w:r>
      <w:r>
        <w:rPr>
          <w:spacing w:val="-5"/>
        </w:rPr>
        <w:t xml:space="preserve"> </w:t>
      </w:r>
      <w:r>
        <w:t>into</w:t>
      </w:r>
      <w:r>
        <w:rPr>
          <w:spacing w:val="-5"/>
        </w:rPr>
        <w:t xml:space="preserve"> </w:t>
      </w:r>
      <w:r>
        <w:t>the</w:t>
      </w:r>
      <w:r>
        <w:rPr>
          <w:spacing w:val="-5"/>
        </w:rPr>
        <w:t xml:space="preserve"> </w:t>
      </w:r>
      <w:r>
        <w:t>next</w:t>
      </w:r>
      <w:r>
        <w:rPr>
          <w:spacing w:val="-5"/>
        </w:rPr>
        <w:t xml:space="preserve"> </w:t>
      </w:r>
      <w:r>
        <w:t>regulatory</w:t>
      </w:r>
      <w:r>
        <w:rPr>
          <w:spacing w:val="-4"/>
        </w:rPr>
        <w:t xml:space="preserve"> </w:t>
      </w:r>
      <w:r>
        <w:t>period</w:t>
      </w:r>
      <w:r>
        <w:rPr>
          <w:spacing w:val="-5"/>
        </w:rPr>
        <w:t xml:space="preserve"> </w:t>
      </w:r>
      <w:r>
        <w:t>begins.</w:t>
      </w:r>
      <w:r>
        <w:rPr>
          <w:spacing w:val="-4"/>
        </w:rPr>
        <w:t xml:space="preserve"> </w:t>
      </w:r>
      <w:r>
        <w:t>It</w:t>
      </w:r>
      <w:r>
        <w:rPr>
          <w:spacing w:val="-3"/>
        </w:rPr>
        <w:t xml:space="preserve"> </w:t>
      </w:r>
      <w:r>
        <w:t>will</w:t>
      </w:r>
      <w:r>
        <w:rPr>
          <w:spacing w:val="-4"/>
        </w:rPr>
        <w:t xml:space="preserve"> </w:t>
      </w:r>
      <w:r>
        <w:t>also</w:t>
      </w:r>
      <w:r>
        <w:rPr>
          <w:spacing w:val="-5"/>
        </w:rPr>
        <w:t xml:space="preserve"> </w:t>
      </w:r>
      <w:r>
        <w:t>enable</w:t>
      </w:r>
      <w:r>
        <w:rPr>
          <w:spacing w:val="-5"/>
        </w:rPr>
        <w:t xml:space="preserve"> </w:t>
      </w:r>
      <w:r>
        <w:t>better</w:t>
      </w:r>
      <w:r>
        <w:rPr>
          <w:spacing w:val="-5"/>
        </w:rPr>
        <w:t xml:space="preserve"> </w:t>
      </w:r>
      <w:r>
        <w:t>customer</w:t>
      </w:r>
      <w:r>
        <w:rPr>
          <w:spacing w:val="-3"/>
        </w:rPr>
        <w:t xml:space="preserve"> </w:t>
      </w:r>
      <w:r>
        <w:t>reporting</w:t>
      </w:r>
      <w:r>
        <w:rPr>
          <w:spacing w:val="-6"/>
        </w:rPr>
        <w:t xml:space="preserve"> </w:t>
      </w:r>
      <w:r>
        <w:t>arrangements</w:t>
      </w:r>
      <w:r>
        <w:rPr>
          <w:spacing w:val="-4"/>
        </w:rPr>
        <w:t xml:space="preserve"> </w:t>
      </w:r>
      <w:r>
        <w:t>on the customer outcomes.</w:t>
      </w:r>
    </w:p>
    <w:p w14:paraId="068A4C7A" w14:textId="77777777" w:rsidR="00141B97" w:rsidRDefault="00911D63">
      <w:pPr>
        <w:pStyle w:val="BodyText"/>
        <w:spacing w:before="116" w:line="249" w:lineRule="auto"/>
        <w:ind w:left="113" w:right="949"/>
        <w:jc w:val="both"/>
      </w:pPr>
      <w:r>
        <w:t>Internal reporting to the Board and management for tracking of progress was established during PS4 and will continue to be refined to support stringent monitoring of progress, performance, and management of challenges throughout the PS5 period. This includes a strong link between LMW’s strategic plan, PS5 determination, and corporate plan.</w:t>
      </w:r>
    </w:p>
    <w:p w14:paraId="02A4A3F0" w14:textId="77777777" w:rsidR="00141B97" w:rsidRDefault="00911D63">
      <w:pPr>
        <w:pStyle w:val="BodyText"/>
        <w:spacing w:before="123" w:line="249" w:lineRule="auto"/>
        <w:ind w:left="113" w:right="949"/>
        <w:jc w:val="both"/>
      </w:pPr>
      <w:r>
        <w:t>The strategic scorecard will cascade key performance indicators throughout the business to allow all staff to have</w:t>
      </w:r>
      <w:r>
        <w:rPr>
          <w:spacing w:val="-5"/>
        </w:rPr>
        <w:t xml:space="preserve"> </w:t>
      </w:r>
      <w:r>
        <w:t>‘line</w:t>
      </w:r>
      <w:r>
        <w:rPr>
          <w:spacing w:val="-4"/>
        </w:rPr>
        <w:t xml:space="preserve"> </w:t>
      </w:r>
      <w:r>
        <w:t>of</w:t>
      </w:r>
      <w:r>
        <w:rPr>
          <w:spacing w:val="-4"/>
        </w:rPr>
        <w:t xml:space="preserve"> </w:t>
      </w:r>
      <w:r>
        <w:t>sight’</w:t>
      </w:r>
      <w:r>
        <w:rPr>
          <w:spacing w:val="-4"/>
        </w:rPr>
        <w:t xml:space="preserve"> </w:t>
      </w:r>
      <w:r>
        <w:t>of</w:t>
      </w:r>
      <w:r>
        <w:rPr>
          <w:spacing w:val="-4"/>
        </w:rPr>
        <w:t xml:space="preserve"> </w:t>
      </w:r>
      <w:r>
        <w:t>where</w:t>
      </w:r>
      <w:r>
        <w:rPr>
          <w:spacing w:val="-5"/>
        </w:rPr>
        <w:t xml:space="preserve"> </w:t>
      </w:r>
      <w:r>
        <w:t>their</w:t>
      </w:r>
      <w:r>
        <w:rPr>
          <w:spacing w:val="-3"/>
        </w:rPr>
        <w:t xml:space="preserve"> </w:t>
      </w:r>
      <w:r>
        <w:t>actions</w:t>
      </w:r>
      <w:r>
        <w:rPr>
          <w:spacing w:val="-4"/>
        </w:rPr>
        <w:t xml:space="preserve"> </w:t>
      </w:r>
      <w:r>
        <w:t>and</w:t>
      </w:r>
      <w:r>
        <w:rPr>
          <w:spacing w:val="-4"/>
        </w:rPr>
        <w:t xml:space="preserve"> </w:t>
      </w:r>
      <w:r>
        <w:t>performance</w:t>
      </w:r>
      <w:r>
        <w:rPr>
          <w:spacing w:val="-4"/>
        </w:rPr>
        <w:t xml:space="preserve"> </w:t>
      </w:r>
      <w:r>
        <w:t>indicators</w:t>
      </w:r>
      <w:r>
        <w:rPr>
          <w:spacing w:val="-5"/>
        </w:rPr>
        <w:t xml:space="preserve"> </w:t>
      </w:r>
      <w:r>
        <w:t>influence</w:t>
      </w:r>
      <w:r>
        <w:rPr>
          <w:spacing w:val="-4"/>
        </w:rPr>
        <w:t xml:space="preserve"> </w:t>
      </w:r>
      <w:r>
        <w:t>the</w:t>
      </w:r>
      <w:r>
        <w:rPr>
          <w:spacing w:val="-4"/>
        </w:rPr>
        <w:t xml:space="preserve"> </w:t>
      </w:r>
      <w:r>
        <w:t>outputs</w:t>
      </w:r>
      <w:r>
        <w:rPr>
          <w:spacing w:val="-3"/>
        </w:rPr>
        <w:t xml:space="preserve"> </w:t>
      </w:r>
      <w:r>
        <w:t>of</w:t>
      </w:r>
      <w:r>
        <w:rPr>
          <w:spacing w:val="-4"/>
        </w:rPr>
        <w:t xml:space="preserve"> </w:t>
      </w:r>
      <w:r>
        <w:t>the</w:t>
      </w:r>
      <w:r>
        <w:rPr>
          <w:spacing w:val="-4"/>
        </w:rPr>
        <w:t xml:space="preserve"> </w:t>
      </w:r>
      <w:r>
        <w:t>business</w:t>
      </w:r>
      <w:r>
        <w:rPr>
          <w:spacing w:val="-5"/>
        </w:rPr>
        <w:t xml:space="preserve"> </w:t>
      </w:r>
      <w:r>
        <w:t>and the</w:t>
      </w:r>
      <w:r>
        <w:rPr>
          <w:spacing w:val="-13"/>
        </w:rPr>
        <w:t xml:space="preserve"> </w:t>
      </w:r>
      <w:r>
        <w:t>overall</w:t>
      </w:r>
      <w:r>
        <w:rPr>
          <w:spacing w:val="-12"/>
        </w:rPr>
        <w:t xml:space="preserve"> </w:t>
      </w:r>
      <w:r>
        <w:t>achievement</w:t>
      </w:r>
      <w:r>
        <w:rPr>
          <w:spacing w:val="-13"/>
        </w:rPr>
        <w:t xml:space="preserve"> </w:t>
      </w:r>
      <w:r>
        <w:t>of</w:t>
      </w:r>
      <w:r>
        <w:rPr>
          <w:spacing w:val="-12"/>
        </w:rPr>
        <w:t xml:space="preserve"> </w:t>
      </w:r>
      <w:r>
        <w:t>customer</w:t>
      </w:r>
      <w:r>
        <w:rPr>
          <w:spacing w:val="-13"/>
        </w:rPr>
        <w:t xml:space="preserve"> </w:t>
      </w:r>
      <w:r>
        <w:t>outcomes.</w:t>
      </w:r>
      <w:r>
        <w:rPr>
          <w:spacing w:val="-12"/>
        </w:rPr>
        <w:t xml:space="preserve"> </w:t>
      </w:r>
      <w:r>
        <w:t>The</w:t>
      </w:r>
      <w:r>
        <w:rPr>
          <w:spacing w:val="-12"/>
        </w:rPr>
        <w:t xml:space="preserve"> </w:t>
      </w:r>
      <w:r>
        <w:t>strategic</w:t>
      </w:r>
      <w:r>
        <w:rPr>
          <w:spacing w:val="-13"/>
        </w:rPr>
        <w:t xml:space="preserve"> </w:t>
      </w:r>
      <w:r>
        <w:t>scorecard</w:t>
      </w:r>
      <w:r>
        <w:rPr>
          <w:spacing w:val="-12"/>
        </w:rPr>
        <w:t xml:space="preserve"> </w:t>
      </w:r>
      <w:r>
        <w:t>will</w:t>
      </w:r>
      <w:r>
        <w:rPr>
          <w:spacing w:val="-12"/>
        </w:rPr>
        <w:t xml:space="preserve"> </w:t>
      </w:r>
      <w:r>
        <w:t>become</w:t>
      </w:r>
      <w:r>
        <w:rPr>
          <w:spacing w:val="-13"/>
        </w:rPr>
        <w:t xml:space="preserve"> </w:t>
      </w:r>
      <w:r>
        <w:t>a</w:t>
      </w:r>
      <w:r>
        <w:rPr>
          <w:spacing w:val="-12"/>
        </w:rPr>
        <w:t xml:space="preserve"> </w:t>
      </w:r>
      <w:r>
        <w:t>key</w:t>
      </w:r>
      <w:r>
        <w:rPr>
          <w:spacing w:val="-11"/>
        </w:rPr>
        <w:t xml:space="preserve"> </w:t>
      </w:r>
      <w:r>
        <w:t>business</w:t>
      </w:r>
      <w:r>
        <w:rPr>
          <w:spacing w:val="-13"/>
        </w:rPr>
        <w:t xml:space="preserve"> </w:t>
      </w:r>
      <w:r>
        <w:t>process</w:t>
      </w:r>
      <w:r>
        <w:rPr>
          <w:spacing w:val="-11"/>
        </w:rPr>
        <w:t xml:space="preserve"> </w:t>
      </w:r>
      <w:r>
        <w:t>with at</w:t>
      </w:r>
      <w:r>
        <w:rPr>
          <w:spacing w:val="-2"/>
        </w:rPr>
        <w:t xml:space="preserve"> </w:t>
      </w:r>
      <w:r>
        <w:t>least</w:t>
      </w:r>
      <w:r>
        <w:rPr>
          <w:spacing w:val="-2"/>
        </w:rPr>
        <w:t xml:space="preserve"> </w:t>
      </w:r>
      <w:r>
        <w:t>quarterly</w:t>
      </w:r>
      <w:r>
        <w:rPr>
          <w:spacing w:val="-2"/>
        </w:rPr>
        <w:t xml:space="preserve"> </w:t>
      </w:r>
      <w:r>
        <w:t>review</w:t>
      </w:r>
      <w:r>
        <w:rPr>
          <w:spacing w:val="-2"/>
        </w:rPr>
        <w:t xml:space="preserve"> </w:t>
      </w:r>
      <w:r>
        <w:t>at</w:t>
      </w:r>
      <w:r>
        <w:rPr>
          <w:spacing w:val="-2"/>
        </w:rPr>
        <w:t xml:space="preserve"> </w:t>
      </w:r>
      <w:r>
        <w:t>Board</w:t>
      </w:r>
      <w:r>
        <w:rPr>
          <w:spacing w:val="-2"/>
        </w:rPr>
        <w:t xml:space="preserve"> </w:t>
      </w:r>
      <w:r>
        <w:t>and</w:t>
      </w:r>
      <w:r>
        <w:rPr>
          <w:spacing w:val="-2"/>
        </w:rPr>
        <w:t xml:space="preserve"> </w:t>
      </w:r>
      <w:r>
        <w:t>Executive</w:t>
      </w:r>
      <w:r>
        <w:rPr>
          <w:spacing w:val="-2"/>
        </w:rPr>
        <w:t xml:space="preserve"> </w:t>
      </w:r>
      <w:r>
        <w:t>level.</w:t>
      </w:r>
      <w:r>
        <w:rPr>
          <w:spacing w:val="-1"/>
        </w:rPr>
        <w:t xml:space="preserve"> </w:t>
      </w:r>
      <w:r>
        <w:t>This</w:t>
      </w:r>
      <w:r>
        <w:rPr>
          <w:spacing w:val="-2"/>
        </w:rPr>
        <w:t xml:space="preserve"> </w:t>
      </w:r>
      <w:r>
        <w:t>means</w:t>
      </w:r>
      <w:r>
        <w:rPr>
          <w:spacing w:val="-2"/>
        </w:rPr>
        <w:t xml:space="preserve"> </w:t>
      </w:r>
      <w:r>
        <w:t>that</w:t>
      </w:r>
      <w:r>
        <w:rPr>
          <w:spacing w:val="-2"/>
        </w:rPr>
        <w:t xml:space="preserve"> </w:t>
      </w:r>
      <w:r>
        <w:t>there</w:t>
      </w:r>
      <w:r>
        <w:rPr>
          <w:spacing w:val="-3"/>
        </w:rPr>
        <w:t xml:space="preserve"> </w:t>
      </w:r>
      <w:r>
        <w:t>will</w:t>
      </w:r>
      <w:r>
        <w:rPr>
          <w:spacing w:val="-3"/>
        </w:rPr>
        <w:t xml:space="preserve"> </w:t>
      </w:r>
      <w:r>
        <w:t>be</w:t>
      </w:r>
      <w:r>
        <w:rPr>
          <w:spacing w:val="-2"/>
        </w:rPr>
        <w:t xml:space="preserve"> </w:t>
      </w:r>
      <w:r>
        <w:t>a</w:t>
      </w:r>
      <w:r>
        <w:rPr>
          <w:spacing w:val="-2"/>
        </w:rPr>
        <w:t xml:space="preserve"> </w:t>
      </w:r>
      <w:r>
        <w:t>greater</w:t>
      </w:r>
      <w:r>
        <w:rPr>
          <w:spacing w:val="-2"/>
        </w:rPr>
        <w:t xml:space="preserve"> </w:t>
      </w:r>
      <w:r>
        <w:t>level</w:t>
      </w:r>
      <w:r>
        <w:rPr>
          <w:spacing w:val="-3"/>
        </w:rPr>
        <w:t xml:space="preserve"> </w:t>
      </w:r>
      <w:r>
        <w:t>of</w:t>
      </w:r>
      <w:r>
        <w:rPr>
          <w:spacing w:val="-1"/>
        </w:rPr>
        <w:t xml:space="preserve"> </w:t>
      </w:r>
      <w:r>
        <w:t>customer engagement embedded throughout the entire organisation.</w:t>
      </w:r>
    </w:p>
    <w:p w14:paraId="0131E9D6" w14:textId="77777777" w:rsidR="00141B97" w:rsidRDefault="00911D63">
      <w:pPr>
        <w:pStyle w:val="BodyText"/>
        <w:spacing w:before="124" w:line="249" w:lineRule="auto"/>
        <w:ind w:left="113" w:right="947" w:hanging="1"/>
        <w:jc w:val="both"/>
      </w:pPr>
      <w:r>
        <w:t>LMW</w:t>
      </w:r>
      <w:r>
        <w:rPr>
          <w:spacing w:val="-12"/>
        </w:rPr>
        <w:t xml:space="preserve"> </w:t>
      </w:r>
      <w:r>
        <w:t>will</w:t>
      </w:r>
      <w:r>
        <w:rPr>
          <w:spacing w:val="-10"/>
        </w:rPr>
        <w:t xml:space="preserve"> </w:t>
      </w:r>
      <w:r>
        <w:t>re‐establish</w:t>
      </w:r>
      <w:r>
        <w:rPr>
          <w:spacing w:val="-10"/>
        </w:rPr>
        <w:t xml:space="preserve"> </w:t>
      </w:r>
      <w:r>
        <w:t>its</w:t>
      </w:r>
      <w:r>
        <w:rPr>
          <w:spacing w:val="-11"/>
        </w:rPr>
        <w:t xml:space="preserve"> </w:t>
      </w:r>
      <w:r>
        <w:t>Customer</w:t>
      </w:r>
      <w:r>
        <w:rPr>
          <w:spacing w:val="-11"/>
        </w:rPr>
        <w:t xml:space="preserve"> </w:t>
      </w:r>
      <w:r>
        <w:t>Committee</w:t>
      </w:r>
      <w:r>
        <w:rPr>
          <w:spacing w:val="-11"/>
        </w:rPr>
        <w:t xml:space="preserve"> </w:t>
      </w:r>
      <w:r>
        <w:t>structure</w:t>
      </w:r>
      <w:r>
        <w:rPr>
          <w:spacing w:val="-11"/>
        </w:rPr>
        <w:t xml:space="preserve"> </w:t>
      </w:r>
      <w:r>
        <w:t>across</w:t>
      </w:r>
      <w:r>
        <w:rPr>
          <w:spacing w:val="-11"/>
        </w:rPr>
        <w:t xml:space="preserve"> </w:t>
      </w:r>
      <w:r>
        <w:t>the</w:t>
      </w:r>
      <w:r>
        <w:rPr>
          <w:spacing w:val="-12"/>
        </w:rPr>
        <w:t xml:space="preserve"> </w:t>
      </w:r>
      <w:r>
        <w:t>urban</w:t>
      </w:r>
      <w:r>
        <w:rPr>
          <w:spacing w:val="-11"/>
        </w:rPr>
        <w:t xml:space="preserve"> </w:t>
      </w:r>
      <w:r>
        <w:t>customer</w:t>
      </w:r>
      <w:r>
        <w:rPr>
          <w:spacing w:val="-10"/>
        </w:rPr>
        <w:t xml:space="preserve"> </w:t>
      </w:r>
      <w:r>
        <w:t>base</w:t>
      </w:r>
      <w:r>
        <w:rPr>
          <w:spacing w:val="-11"/>
        </w:rPr>
        <w:t xml:space="preserve"> </w:t>
      </w:r>
      <w:r>
        <w:t>and</w:t>
      </w:r>
      <w:r>
        <w:rPr>
          <w:spacing w:val="-9"/>
        </w:rPr>
        <w:t xml:space="preserve"> </w:t>
      </w:r>
      <w:r>
        <w:t>will</w:t>
      </w:r>
      <w:r>
        <w:rPr>
          <w:spacing w:val="-11"/>
        </w:rPr>
        <w:t xml:space="preserve"> </w:t>
      </w:r>
      <w:r>
        <w:t>develop</w:t>
      </w:r>
      <w:r>
        <w:rPr>
          <w:spacing w:val="-11"/>
        </w:rPr>
        <w:t xml:space="preserve"> </w:t>
      </w:r>
      <w:r>
        <w:t>a</w:t>
      </w:r>
      <w:r>
        <w:rPr>
          <w:spacing w:val="-10"/>
        </w:rPr>
        <w:t xml:space="preserve"> </w:t>
      </w:r>
      <w:r>
        <w:t>new digital communication method to ensure continual updates on achievements can be provided to the community. This is to ensure accountability in meeting the outcomes agreed with the community and that the actions LMW has articulated over the 5‐year period are being completed.</w:t>
      </w:r>
    </w:p>
    <w:p w14:paraId="72E45A55" w14:textId="77777777" w:rsidR="00141B97" w:rsidRDefault="00911D63">
      <w:pPr>
        <w:pStyle w:val="BodyText"/>
        <w:spacing w:before="122" w:line="252" w:lineRule="auto"/>
        <w:ind w:left="113" w:right="949"/>
        <w:jc w:val="both"/>
      </w:pPr>
      <w:r>
        <w:t>Commitments have been made to customers to further engage and adapt to changing circumstances and changing customer preferences by:</w:t>
      </w:r>
    </w:p>
    <w:p w14:paraId="3D6A6A6E" w14:textId="77777777" w:rsidR="00141B97" w:rsidRDefault="00911D63">
      <w:pPr>
        <w:pStyle w:val="ListParagraph"/>
        <w:numPr>
          <w:ilvl w:val="0"/>
          <w:numId w:val="45"/>
        </w:numPr>
        <w:tabs>
          <w:tab w:val="left" w:pos="828"/>
        </w:tabs>
        <w:spacing w:before="105"/>
        <w:ind w:right="950"/>
        <w:jc w:val="both"/>
      </w:pPr>
      <w:r>
        <w:t>Re‐establishing the Urban Customer Advisory Committee and conduct, as a minimum, annual briefing sessions to advise on progress against the customer outcomes and PS5 delivery.</w:t>
      </w:r>
    </w:p>
    <w:p w14:paraId="3681D8DA" w14:textId="77777777" w:rsidR="00141B97" w:rsidRDefault="00911D63">
      <w:pPr>
        <w:pStyle w:val="ListParagraph"/>
        <w:numPr>
          <w:ilvl w:val="0"/>
          <w:numId w:val="45"/>
        </w:numPr>
        <w:tabs>
          <w:tab w:val="left" w:pos="828"/>
        </w:tabs>
        <w:spacing w:before="1"/>
        <w:ind w:left="827" w:right="950"/>
        <w:jc w:val="both"/>
      </w:pPr>
      <w:r>
        <w:t>Through business transformation and the implementation of the customer portal, establish electronic means to collect continuous feedback throughout the year which can be discussed with the customer committee at least annually.</w:t>
      </w:r>
    </w:p>
    <w:p w14:paraId="2E68E356" w14:textId="77777777" w:rsidR="00141B97" w:rsidRDefault="00911D63">
      <w:pPr>
        <w:pStyle w:val="ListParagraph"/>
        <w:numPr>
          <w:ilvl w:val="0"/>
          <w:numId w:val="45"/>
        </w:numPr>
        <w:tabs>
          <w:tab w:val="left" w:pos="828"/>
        </w:tabs>
        <w:ind w:left="827" w:right="948"/>
        <w:jc w:val="both"/>
      </w:pPr>
      <w:r>
        <w:t>Providing</w:t>
      </w:r>
      <w:r>
        <w:rPr>
          <w:spacing w:val="-3"/>
        </w:rPr>
        <w:t xml:space="preserve"> </w:t>
      </w:r>
      <w:r>
        <w:t>opportunities</w:t>
      </w:r>
      <w:r>
        <w:rPr>
          <w:spacing w:val="-5"/>
        </w:rPr>
        <w:t xml:space="preserve"> </w:t>
      </w:r>
      <w:r>
        <w:t>for</w:t>
      </w:r>
      <w:r>
        <w:rPr>
          <w:spacing w:val="-3"/>
        </w:rPr>
        <w:t xml:space="preserve"> </w:t>
      </w:r>
      <w:r>
        <w:t>indigenous</w:t>
      </w:r>
      <w:r>
        <w:rPr>
          <w:spacing w:val="-3"/>
        </w:rPr>
        <w:t xml:space="preserve"> </w:t>
      </w:r>
      <w:r>
        <w:t>engagement</w:t>
      </w:r>
      <w:r>
        <w:rPr>
          <w:spacing w:val="-3"/>
        </w:rPr>
        <w:t xml:space="preserve"> </w:t>
      </w:r>
      <w:r>
        <w:t>as</w:t>
      </w:r>
      <w:r>
        <w:rPr>
          <w:spacing w:val="-4"/>
        </w:rPr>
        <w:t xml:space="preserve"> </w:t>
      </w:r>
      <w:r>
        <w:t>LMW’s</w:t>
      </w:r>
      <w:r>
        <w:rPr>
          <w:spacing w:val="-4"/>
        </w:rPr>
        <w:t xml:space="preserve"> </w:t>
      </w:r>
      <w:r>
        <w:t>Reconciliation</w:t>
      </w:r>
      <w:r>
        <w:rPr>
          <w:spacing w:val="-3"/>
        </w:rPr>
        <w:t xml:space="preserve"> </w:t>
      </w:r>
      <w:r>
        <w:t>Action</w:t>
      </w:r>
      <w:r>
        <w:rPr>
          <w:spacing w:val="-5"/>
        </w:rPr>
        <w:t xml:space="preserve"> </w:t>
      </w:r>
      <w:r>
        <w:t>Plan</w:t>
      </w:r>
      <w:r>
        <w:rPr>
          <w:spacing w:val="-4"/>
        </w:rPr>
        <w:t xml:space="preserve"> </w:t>
      </w:r>
      <w:r>
        <w:t>develops,</w:t>
      </w:r>
      <w:r>
        <w:rPr>
          <w:spacing w:val="-4"/>
        </w:rPr>
        <w:t xml:space="preserve"> </w:t>
      </w:r>
      <w:r>
        <w:t>and relationships with these communities strengthen.</w:t>
      </w:r>
    </w:p>
    <w:p w14:paraId="08E6204E" w14:textId="77777777" w:rsidR="00141B97" w:rsidRDefault="00911D63">
      <w:pPr>
        <w:pStyle w:val="ListParagraph"/>
        <w:numPr>
          <w:ilvl w:val="0"/>
          <w:numId w:val="45"/>
        </w:numPr>
        <w:tabs>
          <w:tab w:val="left" w:pos="828"/>
        </w:tabs>
        <w:ind w:right="947"/>
        <w:jc w:val="both"/>
      </w:pPr>
      <w:r>
        <w:t>Develop enhanced understanding regarding the profile of vulnerable customers utilising service organisations as a conduit when reviewing the tiered pricing structure during PS5.</w:t>
      </w:r>
    </w:p>
    <w:p w14:paraId="7F71FD70" w14:textId="77777777" w:rsidR="00141B97" w:rsidRDefault="00911D63">
      <w:pPr>
        <w:pStyle w:val="BodyText"/>
        <w:spacing w:before="70" w:line="252" w:lineRule="auto"/>
        <w:ind w:left="113" w:right="951"/>
        <w:jc w:val="both"/>
      </w:pPr>
      <w:r>
        <w:t>In this way, the relevance of the outcomes and measures can be tested and refined as PS5 progresses. It is anticipated that this process will feed directly into PS6 and influence the annual business planning process.</w:t>
      </w:r>
    </w:p>
    <w:p w14:paraId="5314BF3A" w14:textId="77777777" w:rsidR="00141B97" w:rsidRDefault="00911D63">
      <w:pPr>
        <w:pStyle w:val="BodyText"/>
        <w:spacing w:before="117" w:line="249" w:lineRule="auto"/>
        <w:ind w:left="113" w:right="949" w:hanging="1"/>
        <w:jc w:val="both"/>
      </w:pPr>
      <w:r>
        <w:t>LMW is confident that it will deliver on the outcomes included in this submission. Should LMW underperform on outcome delivery, it will engage with its customers and determine a suitable response. Responses could range</w:t>
      </w:r>
      <w:r>
        <w:rPr>
          <w:spacing w:val="-10"/>
        </w:rPr>
        <w:t xml:space="preserve"> </w:t>
      </w:r>
      <w:r>
        <w:t>from</w:t>
      </w:r>
      <w:r>
        <w:rPr>
          <w:spacing w:val="-8"/>
        </w:rPr>
        <w:t xml:space="preserve"> </w:t>
      </w:r>
      <w:r>
        <w:t>customers</w:t>
      </w:r>
      <w:r>
        <w:rPr>
          <w:spacing w:val="-9"/>
        </w:rPr>
        <w:t xml:space="preserve"> </w:t>
      </w:r>
      <w:r>
        <w:t>determining</w:t>
      </w:r>
      <w:r>
        <w:rPr>
          <w:spacing w:val="-9"/>
        </w:rPr>
        <w:t xml:space="preserve"> </w:t>
      </w:r>
      <w:r>
        <w:t>that</w:t>
      </w:r>
      <w:r>
        <w:rPr>
          <w:spacing w:val="-9"/>
        </w:rPr>
        <w:t xml:space="preserve"> </w:t>
      </w:r>
      <w:r>
        <w:t>the</w:t>
      </w:r>
      <w:r>
        <w:rPr>
          <w:spacing w:val="-10"/>
        </w:rPr>
        <w:t xml:space="preserve"> </w:t>
      </w:r>
      <w:r>
        <w:t>identified</w:t>
      </w:r>
      <w:r>
        <w:rPr>
          <w:spacing w:val="-10"/>
        </w:rPr>
        <w:t xml:space="preserve"> </w:t>
      </w:r>
      <w:r>
        <w:t>area</w:t>
      </w:r>
      <w:r>
        <w:rPr>
          <w:spacing w:val="-8"/>
        </w:rPr>
        <w:t xml:space="preserve"> </w:t>
      </w:r>
      <w:r>
        <w:t>is</w:t>
      </w:r>
      <w:r>
        <w:rPr>
          <w:spacing w:val="-9"/>
        </w:rPr>
        <w:t xml:space="preserve"> </w:t>
      </w:r>
      <w:r>
        <w:t>a</w:t>
      </w:r>
      <w:r>
        <w:rPr>
          <w:spacing w:val="-9"/>
        </w:rPr>
        <w:t xml:space="preserve"> </w:t>
      </w:r>
      <w:r>
        <w:t>priority</w:t>
      </w:r>
      <w:r>
        <w:rPr>
          <w:spacing w:val="-9"/>
        </w:rPr>
        <w:t xml:space="preserve"> </w:t>
      </w:r>
      <w:r>
        <w:t>issue</w:t>
      </w:r>
      <w:r>
        <w:rPr>
          <w:spacing w:val="-10"/>
        </w:rPr>
        <w:t xml:space="preserve"> </w:t>
      </w:r>
      <w:r>
        <w:t>and</w:t>
      </w:r>
      <w:r>
        <w:rPr>
          <w:spacing w:val="-8"/>
        </w:rPr>
        <w:t xml:space="preserve"> </w:t>
      </w:r>
      <w:r>
        <w:t>resources</w:t>
      </w:r>
      <w:r>
        <w:rPr>
          <w:spacing w:val="-9"/>
        </w:rPr>
        <w:t xml:space="preserve"> </w:t>
      </w:r>
      <w:r>
        <w:t>should</w:t>
      </w:r>
      <w:r>
        <w:rPr>
          <w:spacing w:val="-9"/>
        </w:rPr>
        <w:t xml:space="preserve"> </w:t>
      </w:r>
      <w:r>
        <w:t>be</w:t>
      </w:r>
      <w:r>
        <w:rPr>
          <w:spacing w:val="-10"/>
        </w:rPr>
        <w:t xml:space="preserve"> </w:t>
      </w:r>
      <w:r>
        <w:t>redirected to focus on achieving this outcome or deciding that the current level of performance is adequate.</w:t>
      </w:r>
    </w:p>
    <w:p w14:paraId="5DF8F28E" w14:textId="77777777" w:rsidR="00141B97" w:rsidRDefault="00141B97">
      <w:pPr>
        <w:pStyle w:val="BodyText"/>
        <w:spacing w:before="5"/>
        <w:rPr>
          <w:sz w:val="30"/>
        </w:rPr>
      </w:pPr>
    </w:p>
    <w:p w14:paraId="327E0D4D" w14:textId="77777777" w:rsidR="00141B97" w:rsidRDefault="00911D63">
      <w:pPr>
        <w:pStyle w:val="Heading2"/>
        <w:numPr>
          <w:ilvl w:val="1"/>
          <w:numId w:val="81"/>
        </w:numPr>
        <w:tabs>
          <w:tab w:val="left" w:pos="1112"/>
          <w:tab w:val="left" w:pos="1113"/>
        </w:tabs>
      </w:pPr>
      <w:r>
        <w:rPr>
          <w:color w:val="009BAC"/>
        </w:rPr>
        <w:t>Guaranteed</w:t>
      </w:r>
      <w:r>
        <w:rPr>
          <w:color w:val="009BAC"/>
          <w:spacing w:val="-13"/>
        </w:rPr>
        <w:t xml:space="preserve"> </w:t>
      </w:r>
      <w:r>
        <w:rPr>
          <w:color w:val="009BAC"/>
        </w:rPr>
        <w:t>Service</w:t>
      </w:r>
      <w:r>
        <w:rPr>
          <w:color w:val="009BAC"/>
          <w:spacing w:val="-13"/>
        </w:rPr>
        <w:t xml:space="preserve"> </w:t>
      </w:r>
      <w:r>
        <w:rPr>
          <w:color w:val="009BAC"/>
          <w:spacing w:val="-2"/>
        </w:rPr>
        <w:t>Levels</w:t>
      </w:r>
    </w:p>
    <w:p w14:paraId="28D1030A" w14:textId="77777777" w:rsidR="00141B97" w:rsidRDefault="00911D63">
      <w:pPr>
        <w:pStyle w:val="BodyText"/>
        <w:spacing w:before="131" w:line="249" w:lineRule="auto"/>
        <w:ind w:left="113" w:right="948"/>
        <w:jc w:val="both"/>
      </w:pPr>
      <w:r>
        <w:t>Customer</w:t>
      </w:r>
      <w:r>
        <w:rPr>
          <w:spacing w:val="-6"/>
        </w:rPr>
        <w:t xml:space="preserve"> </w:t>
      </w:r>
      <w:r>
        <w:t>engagement</w:t>
      </w:r>
      <w:r>
        <w:rPr>
          <w:spacing w:val="-6"/>
        </w:rPr>
        <w:t xml:space="preserve"> </w:t>
      </w:r>
      <w:r>
        <w:t>regarding</w:t>
      </w:r>
      <w:r>
        <w:rPr>
          <w:spacing w:val="-7"/>
        </w:rPr>
        <w:t xml:space="preserve"> </w:t>
      </w:r>
      <w:r>
        <w:t>Guaranteed</w:t>
      </w:r>
      <w:r>
        <w:rPr>
          <w:spacing w:val="-8"/>
        </w:rPr>
        <w:t xml:space="preserve"> </w:t>
      </w:r>
      <w:r>
        <w:t>Service</w:t>
      </w:r>
      <w:r>
        <w:rPr>
          <w:spacing w:val="-7"/>
        </w:rPr>
        <w:t xml:space="preserve"> </w:t>
      </w:r>
      <w:r>
        <w:t>Levels</w:t>
      </w:r>
      <w:r>
        <w:rPr>
          <w:spacing w:val="-7"/>
        </w:rPr>
        <w:t xml:space="preserve"> </w:t>
      </w:r>
      <w:r>
        <w:t>(GSLs)</w:t>
      </w:r>
      <w:r>
        <w:rPr>
          <w:spacing w:val="-6"/>
        </w:rPr>
        <w:t xml:space="preserve"> </w:t>
      </w:r>
      <w:r>
        <w:t>revealed</w:t>
      </w:r>
      <w:r>
        <w:rPr>
          <w:spacing w:val="-9"/>
        </w:rPr>
        <w:t xml:space="preserve"> </w:t>
      </w:r>
      <w:r>
        <w:t>that</w:t>
      </w:r>
      <w:r>
        <w:rPr>
          <w:spacing w:val="-6"/>
        </w:rPr>
        <w:t xml:space="preserve"> </w:t>
      </w:r>
      <w:r>
        <w:t>customers</w:t>
      </w:r>
      <w:r>
        <w:rPr>
          <w:spacing w:val="-7"/>
        </w:rPr>
        <w:t xml:space="preserve"> </w:t>
      </w:r>
      <w:r>
        <w:t>value</w:t>
      </w:r>
      <w:r>
        <w:rPr>
          <w:spacing w:val="-7"/>
        </w:rPr>
        <w:t xml:space="preserve"> </w:t>
      </w:r>
      <w:r>
        <w:t>the</w:t>
      </w:r>
      <w:r>
        <w:rPr>
          <w:spacing w:val="-7"/>
        </w:rPr>
        <w:t xml:space="preserve"> </w:t>
      </w:r>
      <w:r>
        <w:t>reliability of the key services of water and sewerage. Consistent with overall feedback, customers were very happy with the service levels that they currently receive. When combined with explanations regarding continued investment in renewals and operating expenditure and given LMW’s strong historical performance, customers did not think that lower thresholds or higher payments were required. However, customers did support the current GSLs remaining in place for the PS5 period. Customer feedback reiterated the desire for LMW to focus on</w:t>
      </w:r>
      <w:r>
        <w:rPr>
          <w:spacing w:val="-13"/>
        </w:rPr>
        <w:t xml:space="preserve"> </w:t>
      </w:r>
      <w:r>
        <w:t>continuous</w:t>
      </w:r>
      <w:r>
        <w:rPr>
          <w:spacing w:val="-12"/>
        </w:rPr>
        <w:t xml:space="preserve"> </w:t>
      </w:r>
      <w:r>
        <w:t>improvement</w:t>
      </w:r>
      <w:r>
        <w:rPr>
          <w:spacing w:val="-13"/>
        </w:rPr>
        <w:t xml:space="preserve"> </w:t>
      </w:r>
      <w:r>
        <w:t>initiatives</w:t>
      </w:r>
      <w:r>
        <w:rPr>
          <w:spacing w:val="-12"/>
        </w:rPr>
        <w:t xml:space="preserve"> </w:t>
      </w:r>
      <w:r>
        <w:t>that</w:t>
      </w:r>
      <w:r>
        <w:rPr>
          <w:spacing w:val="-13"/>
        </w:rPr>
        <w:t xml:space="preserve"> </w:t>
      </w:r>
      <w:r>
        <w:t>would</w:t>
      </w:r>
      <w:r>
        <w:rPr>
          <w:spacing w:val="-12"/>
        </w:rPr>
        <w:t xml:space="preserve"> </w:t>
      </w:r>
      <w:r>
        <w:t>enable</w:t>
      </w:r>
      <w:r>
        <w:rPr>
          <w:spacing w:val="-13"/>
        </w:rPr>
        <w:t xml:space="preserve"> </w:t>
      </w:r>
      <w:r>
        <w:t>the</w:t>
      </w:r>
      <w:r>
        <w:rPr>
          <w:spacing w:val="-12"/>
        </w:rPr>
        <w:t xml:space="preserve"> </w:t>
      </w:r>
      <w:r>
        <w:t>resolution</w:t>
      </w:r>
      <w:r>
        <w:rPr>
          <w:spacing w:val="-12"/>
        </w:rPr>
        <w:t xml:space="preserve"> </w:t>
      </w:r>
      <w:r>
        <w:t>of</w:t>
      </w:r>
      <w:r>
        <w:rPr>
          <w:spacing w:val="-13"/>
        </w:rPr>
        <w:t xml:space="preserve"> </w:t>
      </w:r>
      <w:r>
        <w:t>customer</w:t>
      </w:r>
      <w:r>
        <w:rPr>
          <w:spacing w:val="-12"/>
        </w:rPr>
        <w:t xml:space="preserve"> </w:t>
      </w:r>
      <w:r>
        <w:t>issues</w:t>
      </w:r>
      <w:r>
        <w:rPr>
          <w:spacing w:val="-13"/>
        </w:rPr>
        <w:t xml:space="preserve"> </w:t>
      </w:r>
      <w:r>
        <w:t>as</w:t>
      </w:r>
      <w:r>
        <w:rPr>
          <w:spacing w:val="-12"/>
        </w:rPr>
        <w:t xml:space="preserve"> </w:t>
      </w:r>
      <w:r>
        <w:t>quickly</w:t>
      </w:r>
      <w:r>
        <w:rPr>
          <w:spacing w:val="-13"/>
        </w:rPr>
        <w:t xml:space="preserve"> </w:t>
      </w:r>
      <w:r>
        <w:t>as</w:t>
      </w:r>
      <w:r>
        <w:rPr>
          <w:spacing w:val="-12"/>
        </w:rPr>
        <w:t xml:space="preserve"> </w:t>
      </w:r>
      <w:r>
        <w:t>possible when they occur.</w:t>
      </w:r>
    </w:p>
    <w:p w14:paraId="756E55B8" w14:textId="77777777" w:rsidR="00141B97" w:rsidRDefault="00911D63">
      <w:pPr>
        <w:pStyle w:val="BodyText"/>
        <w:spacing w:before="125" w:line="249" w:lineRule="auto"/>
        <w:ind w:left="113" w:right="948"/>
        <w:jc w:val="both"/>
      </w:pPr>
      <w:r>
        <w:t>While</w:t>
      </w:r>
      <w:r>
        <w:rPr>
          <w:spacing w:val="-4"/>
        </w:rPr>
        <w:t xml:space="preserve"> </w:t>
      </w:r>
      <w:r>
        <w:t>customers</w:t>
      </w:r>
      <w:r>
        <w:rPr>
          <w:spacing w:val="-2"/>
        </w:rPr>
        <w:t xml:space="preserve"> </w:t>
      </w:r>
      <w:r>
        <w:t>confirmed</w:t>
      </w:r>
      <w:r>
        <w:rPr>
          <w:spacing w:val="-3"/>
        </w:rPr>
        <w:t xml:space="preserve"> </w:t>
      </w:r>
      <w:r>
        <w:t>overall</w:t>
      </w:r>
      <w:r>
        <w:rPr>
          <w:spacing w:val="-3"/>
        </w:rPr>
        <w:t xml:space="preserve"> </w:t>
      </w:r>
      <w:r>
        <w:t>performance</w:t>
      </w:r>
      <w:r>
        <w:rPr>
          <w:spacing w:val="-4"/>
        </w:rPr>
        <w:t xml:space="preserve"> </w:t>
      </w:r>
      <w:r>
        <w:t>targets,</w:t>
      </w:r>
      <w:r>
        <w:rPr>
          <w:spacing w:val="-3"/>
        </w:rPr>
        <w:t xml:space="preserve"> </w:t>
      </w:r>
      <w:r>
        <w:t>they</w:t>
      </w:r>
      <w:r>
        <w:rPr>
          <w:spacing w:val="-3"/>
        </w:rPr>
        <w:t xml:space="preserve"> </w:t>
      </w:r>
      <w:r>
        <w:t>placed</w:t>
      </w:r>
      <w:r>
        <w:rPr>
          <w:spacing w:val="-3"/>
        </w:rPr>
        <w:t xml:space="preserve"> </w:t>
      </w:r>
      <w:r>
        <w:t>little</w:t>
      </w:r>
      <w:r>
        <w:rPr>
          <w:spacing w:val="-4"/>
        </w:rPr>
        <w:t xml:space="preserve"> </w:t>
      </w:r>
      <w:r>
        <w:t>focus</w:t>
      </w:r>
      <w:r>
        <w:rPr>
          <w:spacing w:val="-2"/>
        </w:rPr>
        <w:t xml:space="preserve"> </w:t>
      </w:r>
      <w:r>
        <w:t>on</w:t>
      </w:r>
      <w:r>
        <w:rPr>
          <w:spacing w:val="-3"/>
        </w:rPr>
        <w:t xml:space="preserve"> </w:t>
      </w:r>
      <w:r>
        <w:t>the</w:t>
      </w:r>
      <w:r>
        <w:rPr>
          <w:spacing w:val="-4"/>
        </w:rPr>
        <w:t xml:space="preserve"> </w:t>
      </w:r>
      <w:r>
        <w:t>need</w:t>
      </w:r>
      <w:r>
        <w:rPr>
          <w:spacing w:val="-2"/>
        </w:rPr>
        <w:t xml:space="preserve"> </w:t>
      </w:r>
      <w:r>
        <w:t>for</w:t>
      </w:r>
      <w:r>
        <w:rPr>
          <w:spacing w:val="-3"/>
        </w:rPr>
        <w:t xml:space="preserve"> </w:t>
      </w:r>
      <w:r>
        <w:t>GSL</w:t>
      </w:r>
      <w:r>
        <w:rPr>
          <w:spacing w:val="-2"/>
        </w:rPr>
        <w:t xml:space="preserve"> </w:t>
      </w:r>
      <w:r>
        <w:t>payments but reaffirmed that the high level of inconvenience associated with a sewage spill into a customer home warranted compensation. To this effect LMW maintains the GSL rebate for sewer spills demonstrating LMW’s commitment to drive improved performance in areas which have high customer impact and reputational consequences for LMW.</w:t>
      </w:r>
    </w:p>
    <w:p w14:paraId="24DB71CD" w14:textId="77777777" w:rsidR="00141B97" w:rsidRDefault="00141B97">
      <w:pPr>
        <w:spacing w:line="249" w:lineRule="auto"/>
        <w:jc w:val="both"/>
        <w:sectPr w:rsidR="00141B97">
          <w:pgSz w:w="11910" w:h="16840"/>
          <w:pgMar w:top="820" w:right="40" w:bottom="760" w:left="1020" w:header="0" w:footer="580" w:gutter="0"/>
          <w:cols w:space="720"/>
        </w:sectPr>
      </w:pPr>
    </w:p>
    <w:p w14:paraId="11A985FD" w14:textId="77777777" w:rsidR="00141B97" w:rsidRDefault="00911D63">
      <w:pPr>
        <w:pStyle w:val="BodyText"/>
        <w:spacing w:before="42" w:line="252" w:lineRule="auto"/>
        <w:ind w:left="113" w:right="948"/>
        <w:jc w:val="both"/>
      </w:pPr>
      <w:r>
        <w:lastRenderedPageBreak/>
        <w:t>Customers felt very strongly that the current arrangement where rebates are paid as an account credit should continue and these should not be made as cash payments. This was supported by feedback from service organisations</w:t>
      </w:r>
      <w:r>
        <w:rPr>
          <w:spacing w:val="-10"/>
        </w:rPr>
        <w:t xml:space="preserve"> </w:t>
      </w:r>
      <w:r>
        <w:t>that</w:t>
      </w:r>
      <w:r>
        <w:rPr>
          <w:spacing w:val="-11"/>
        </w:rPr>
        <w:t xml:space="preserve"> </w:t>
      </w:r>
      <w:r>
        <w:t>engage</w:t>
      </w:r>
      <w:r>
        <w:rPr>
          <w:spacing w:val="-12"/>
        </w:rPr>
        <w:t xml:space="preserve"> </w:t>
      </w:r>
      <w:r>
        <w:t>with</w:t>
      </w:r>
      <w:r>
        <w:rPr>
          <w:spacing w:val="-12"/>
        </w:rPr>
        <w:t xml:space="preserve"> </w:t>
      </w:r>
      <w:r>
        <w:t>vulnerable</w:t>
      </w:r>
      <w:r>
        <w:rPr>
          <w:spacing w:val="-11"/>
        </w:rPr>
        <w:t xml:space="preserve"> </w:t>
      </w:r>
      <w:r>
        <w:t>customers</w:t>
      </w:r>
      <w:r>
        <w:rPr>
          <w:spacing w:val="-10"/>
        </w:rPr>
        <w:t xml:space="preserve"> </w:t>
      </w:r>
      <w:r>
        <w:t>across</w:t>
      </w:r>
      <w:r>
        <w:rPr>
          <w:spacing w:val="-12"/>
        </w:rPr>
        <w:t xml:space="preserve"> </w:t>
      </w:r>
      <w:r>
        <w:t>the</w:t>
      </w:r>
      <w:r>
        <w:rPr>
          <w:spacing w:val="-12"/>
        </w:rPr>
        <w:t xml:space="preserve"> </w:t>
      </w:r>
      <w:r>
        <w:t>LMW</w:t>
      </w:r>
      <w:r>
        <w:rPr>
          <w:spacing w:val="-13"/>
        </w:rPr>
        <w:t xml:space="preserve"> </w:t>
      </w:r>
      <w:r>
        <w:t>service</w:t>
      </w:r>
      <w:r>
        <w:rPr>
          <w:spacing w:val="-12"/>
        </w:rPr>
        <w:t xml:space="preserve"> </w:t>
      </w:r>
      <w:r>
        <w:t>area</w:t>
      </w:r>
      <w:r>
        <w:rPr>
          <w:spacing w:val="-13"/>
        </w:rPr>
        <w:t xml:space="preserve"> </w:t>
      </w:r>
      <w:r>
        <w:t>throughout</w:t>
      </w:r>
      <w:r>
        <w:rPr>
          <w:spacing w:val="-11"/>
        </w:rPr>
        <w:t xml:space="preserve"> </w:t>
      </w:r>
      <w:r>
        <w:t>PS5</w:t>
      </w:r>
      <w:r>
        <w:rPr>
          <w:spacing w:val="-12"/>
        </w:rPr>
        <w:t xml:space="preserve"> </w:t>
      </w:r>
      <w:r>
        <w:t>consultation.</w:t>
      </w:r>
    </w:p>
    <w:p w14:paraId="2F85FD73" w14:textId="77777777" w:rsidR="00141B97" w:rsidRDefault="00911D63">
      <w:pPr>
        <w:pStyle w:val="BodyText"/>
        <w:spacing w:before="103"/>
        <w:ind w:left="114" w:right="947"/>
        <w:jc w:val="both"/>
      </w:pPr>
      <w:r>
        <w:t>Consequently,</w:t>
      </w:r>
      <w:r>
        <w:rPr>
          <w:spacing w:val="-7"/>
        </w:rPr>
        <w:t xml:space="preserve"> </w:t>
      </w:r>
      <w:r>
        <w:t>with</w:t>
      </w:r>
      <w:r>
        <w:rPr>
          <w:spacing w:val="-7"/>
        </w:rPr>
        <w:t xml:space="preserve"> </w:t>
      </w:r>
      <w:r>
        <w:t>support</w:t>
      </w:r>
      <w:r>
        <w:rPr>
          <w:spacing w:val="-7"/>
        </w:rPr>
        <w:t xml:space="preserve"> </w:t>
      </w:r>
      <w:r>
        <w:t>from</w:t>
      </w:r>
      <w:r>
        <w:rPr>
          <w:spacing w:val="-7"/>
        </w:rPr>
        <w:t xml:space="preserve"> </w:t>
      </w:r>
      <w:r>
        <w:t>customers</w:t>
      </w:r>
      <w:r>
        <w:rPr>
          <w:spacing w:val="-6"/>
        </w:rPr>
        <w:t xml:space="preserve"> </w:t>
      </w:r>
      <w:r>
        <w:t>and</w:t>
      </w:r>
      <w:r>
        <w:rPr>
          <w:spacing w:val="-6"/>
        </w:rPr>
        <w:t xml:space="preserve"> </w:t>
      </w:r>
      <w:r>
        <w:t>endorsement</w:t>
      </w:r>
      <w:r>
        <w:rPr>
          <w:spacing w:val="-6"/>
        </w:rPr>
        <w:t xml:space="preserve"> </w:t>
      </w:r>
      <w:r>
        <w:t>by</w:t>
      </w:r>
      <w:r>
        <w:rPr>
          <w:spacing w:val="-6"/>
        </w:rPr>
        <w:t xml:space="preserve"> </w:t>
      </w:r>
      <w:r>
        <w:t>the</w:t>
      </w:r>
      <w:r>
        <w:rPr>
          <w:spacing w:val="-7"/>
        </w:rPr>
        <w:t xml:space="preserve"> </w:t>
      </w:r>
      <w:r>
        <w:t>Board,</w:t>
      </w:r>
      <w:r>
        <w:rPr>
          <w:spacing w:val="-6"/>
        </w:rPr>
        <w:t xml:space="preserve"> </w:t>
      </w:r>
      <w:r>
        <w:t>the</w:t>
      </w:r>
      <w:r>
        <w:rPr>
          <w:spacing w:val="-7"/>
        </w:rPr>
        <w:t xml:space="preserve"> </w:t>
      </w:r>
      <w:r>
        <w:t>agreed</w:t>
      </w:r>
      <w:r>
        <w:rPr>
          <w:spacing w:val="-7"/>
        </w:rPr>
        <w:t xml:space="preserve"> </w:t>
      </w:r>
      <w:r>
        <w:t>GSL</w:t>
      </w:r>
      <w:r>
        <w:rPr>
          <w:spacing w:val="-6"/>
        </w:rPr>
        <w:t xml:space="preserve"> </w:t>
      </w:r>
      <w:r>
        <w:t>outcomes</w:t>
      </w:r>
      <w:r>
        <w:rPr>
          <w:spacing w:val="-6"/>
        </w:rPr>
        <w:t xml:space="preserve"> </w:t>
      </w:r>
      <w:r>
        <w:t>detailed in Table B16 are proposed and remain consistent with the GSLs in the current regulatory period.</w:t>
      </w:r>
    </w:p>
    <w:p w14:paraId="4258E3A4" w14:textId="77777777" w:rsidR="00141B97" w:rsidRDefault="00141B97">
      <w:pPr>
        <w:pStyle w:val="BodyText"/>
        <w:rPr>
          <w:sz w:val="20"/>
        </w:rPr>
      </w:pPr>
    </w:p>
    <w:p w14:paraId="6721F3A0" w14:textId="77777777" w:rsidR="00141B97" w:rsidRDefault="00141B97">
      <w:pPr>
        <w:pStyle w:val="BodyText"/>
        <w:spacing w:before="5"/>
        <w:rPr>
          <w:sz w:val="18"/>
        </w:rPr>
      </w:pPr>
    </w:p>
    <w:tbl>
      <w:tblPr>
        <w:tblW w:w="0" w:type="auto"/>
        <w:tblInd w:w="12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812"/>
        <w:gridCol w:w="4525"/>
        <w:gridCol w:w="1559"/>
        <w:gridCol w:w="1875"/>
      </w:tblGrid>
      <w:tr w:rsidR="00141B97" w14:paraId="166564FA" w14:textId="77777777">
        <w:trPr>
          <w:trHeight w:val="793"/>
        </w:trPr>
        <w:tc>
          <w:tcPr>
            <w:tcW w:w="1812" w:type="dxa"/>
            <w:tcBorders>
              <w:top w:val="nil"/>
              <w:left w:val="nil"/>
              <w:right w:val="single" w:sz="4" w:space="0" w:color="FFFFFF"/>
            </w:tcBorders>
            <w:shd w:val="clear" w:color="auto" w:fill="0064A4"/>
          </w:tcPr>
          <w:p w14:paraId="1C8C344B" w14:textId="77777777" w:rsidR="00141B97" w:rsidRDefault="00141B97">
            <w:pPr>
              <w:pStyle w:val="TableParagraph"/>
              <w:spacing w:before="7"/>
              <w:rPr>
                <w:sz w:val="23"/>
              </w:rPr>
            </w:pPr>
          </w:p>
          <w:p w14:paraId="49BEDBB1" w14:textId="77777777" w:rsidR="00141B97" w:rsidRDefault="00911D63">
            <w:pPr>
              <w:pStyle w:val="TableParagraph"/>
              <w:ind w:left="632" w:right="632"/>
              <w:jc w:val="center"/>
              <w:rPr>
                <w:sz w:val="18"/>
              </w:rPr>
            </w:pPr>
            <w:r>
              <w:rPr>
                <w:color w:val="FFFFFF"/>
                <w:spacing w:val="-2"/>
                <w:sz w:val="18"/>
              </w:rPr>
              <w:t>Service</w:t>
            </w:r>
          </w:p>
        </w:tc>
        <w:tc>
          <w:tcPr>
            <w:tcW w:w="4525" w:type="dxa"/>
            <w:tcBorders>
              <w:top w:val="nil"/>
              <w:left w:val="single" w:sz="4" w:space="0" w:color="FFFFFF"/>
              <w:right w:val="single" w:sz="4" w:space="0" w:color="FFFFFF"/>
            </w:tcBorders>
            <w:shd w:val="clear" w:color="auto" w:fill="0064A4"/>
          </w:tcPr>
          <w:p w14:paraId="39FEE2DA" w14:textId="77777777" w:rsidR="00141B97" w:rsidRDefault="00141B97">
            <w:pPr>
              <w:pStyle w:val="TableParagraph"/>
              <w:spacing w:before="7"/>
              <w:rPr>
                <w:sz w:val="23"/>
              </w:rPr>
            </w:pPr>
          </w:p>
          <w:p w14:paraId="02519EF7" w14:textId="77777777" w:rsidR="00141B97" w:rsidRDefault="00911D63">
            <w:pPr>
              <w:pStyle w:val="TableParagraph"/>
              <w:ind w:left="644"/>
              <w:rPr>
                <w:sz w:val="18"/>
              </w:rPr>
            </w:pPr>
            <w:r>
              <w:rPr>
                <w:color w:val="FFFFFF"/>
                <w:sz w:val="18"/>
              </w:rPr>
              <w:t>Rebate</w:t>
            </w:r>
            <w:r>
              <w:rPr>
                <w:color w:val="FFFFFF"/>
                <w:spacing w:val="-4"/>
                <w:sz w:val="18"/>
              </w:rPr>
              <w:t xml:space="preserve"> </w:t>
            </w:r>
            <w:r>
              <w:rPr>
                <w:color w:val="FFFFFF"/>
                <w:sz w:val="18"/>
              </w:rPr>
              <w:t>Applies</w:t>
            </w:r>
            <w:r>
              <w:rPr>
                <w:color w:val="FFFFFF"/>
                <w:spacing w:val="-3"/>
                <w:sz w:val="18"/>
              </w:rPr>
              <w:t xml:space="preserve"> </w:t>
            </w:r>
            <w:r>
              <w:rPr>
                <w:color w:val="FFFFFF"/>
                <w:sz w:val="18"/>
              </w:rPr>
              <w:t>Under</w:t>
            </w:r>
            <w:r>
              <w:rPr>
                <w:color w:val="FFFFFF"/>
                <w:spacing w:val="-3"/>
                <w:sz w:val="18"/>
              </w:rPr>
              <w:t xml:space="preserve"> </w:t>
            </w:r>
            <w:r>
              <w:rPr>
                <w:color w:val="FFFFFF"/>
                <w:sz w:val="18"/>
              </w:rPr>
              <w:t>Service</w:t>
            </w:r>
            <w:r>
              <w:rPr>
                <w:color w:val="FFFFFF"/>
                <w:spacing w:val="-3"/>
                <w:sz w:val="18"/>
              </w:rPr>
              <w:t xml:space="preserve"> </w:t>
            </w:r>
            <w:r>
              <w:rPr>
                <w:color w:val="FFFFFF"/>
                <w:spacing w:val="-2"/>
                <w:sz w:val="18"/>
              </w:rPr>
              <w:t>Circumstances</w:t>
            </w:r>
          </w:p>
        </w:tc>
        <w:tc>
          <w:tcPr>
            <w:tcW w:w="1559" w:type="dxa"/>
            <w:tcBorders>
              <w:top w:val="nil"/>
              <w:left w:val="single" w:sz="4" w:space="0" w:color="FFFFFF"/>
              <w:right w:val="single" w:sz="4" w:space="0" w:color="FFFFFF"/>
            </w:tcBorders>
            <w:shd w:val="clear" w:color="auto" w:fill="0064A4"/>
          </w:tcPr>
          <w:p w14:paraId="104C0E13" w14:textId="77777777" w:rsidR="00141B97" w:rsidRDefault="00141B97">
            <w:pPr>
              <w:pStyle w:val="TableParagraph"/>
              <w:spacing w:before="7"/>
              <w:rPr>
                <w:sz w:val="23"/>
              </w:rPr>
            </w:pPr>
          </w:p>
          <w:p w14:paraId="50C4A60D" w14:textId="77777777" w:rsidR="00141B97" w:rsidRDefault="00911D63">
            <w:pPr>
              <w:pStyle w:val="TableParagraph"/>
              <w:ind w:left="154"/>
              <w:rPr>
                <w:sz w:val="18"/>
              </w:rPr>
            </w:pPr>
            <w:r>
              <w:rPr>
                <w:color w:val="FFFFFF"/>
                <w:sz w:val="18"/>
              </w:rPr>
              <w:t>Proposed</w:t>
            </w:r>
            <w:r>
              <w:rPr>
                <w:color w:val="FFFFFF"/>
                <w:spacing w:val="-5"/>
                <w:sz w:val="18"/>
              </w:rPr>
              <w:t xml:space="preserve"> </w:t>
            </w:r>
            <w:r>
              <w:rPr>
                <w:color w:val="FFFFFF"/>
                <w:spacing w:val="-2"/>
                <w:sz w:val="18"/>
              </w:rPr>
              <w:t>Rebate</w:t>
            </w:r>
          </w:p>
        </w:tc>
        <w:tc>
          <w:tcPr>
            <w:tcW w:w="1875" w:type="dxa"/>
            <w:tcBorders>
              <w:top w:val="nil"/>
              <w:left w:val="single" w:sz="4" w:space="0" w:color="FFFFFF"/>
              <w:right w:val="nil"/>
            </w:tcBorders>
            <w:shd w:val="clear" w:color="auto" w:fill="0064A4"/>
          </w:tcPr>
          <w:p w14:paraId="23232594" w14:textId="77777777" w:rsidR="00141B97" w:rsidRDefault="00911D63">
            <w:pPr>
              <w:pStyle w:val="TableParagraph"/>
              <w:spacing w:before="149" w:line="304" w:lineRule="auto"/>
              <w:ind w:left="697" w:hanging="563"/>
              <w:rPr>
                <w:sz w:val="18"/>
              </w:rPr>
            </w:pPr>
            <w:r>
              <w:rPr>
                <w:color w:val="FFFFFF"/>
                <w:sz w:val="18"/>
              </w:rPr>
              <w:t>Change</w:t>
            </w:r>
            <w:r>
              <w:rPr>
                <w:color w:val="FFFFFF"/>
                <w:spacing w:val="-11"/>
                <w:sz w:val="18"/>
              </w:rPr>
              <w:t xml:space="preserve"> </w:t>
            </w:r>
            <w:r>
              <w:rPr>
                <w:color w:val="FFFFFF"/>
                <w:sz w:val="18"/>
              </w:rPr>
              <w:t>from</w:t>
            </w:r>
            <w:r>
              <w:rPr>
                <w:color w:val="FFFFFF"/>
                <w:spacing w:val="-10"/>
                <w:sz w:val="18"/>
              </w:rPr>
              <w:t xml:space="preserve"> </w:t>
            </w:r>
            <w:r>
              <w:rPr>
                <w:color w:val="FFFFFF"/>
                <w:sz w:val="18"/>
              </w:rPr>
              <w:t xml:space="preserve">Previous </w:t>
            </w:r>
            <w:r>
              <w:rPr>
                <w:color w:val="FFFFFF"/>
                <w:spacing w:val="-2"/>
                <w:sz w:val="18"/>
              </w:rPr>
              <w:t>Period</w:t>
            </w:r>
          </w:p>
        </w:tc>
      </w:tr>
      <w:tr w:rsidR="00141B97" w14:paraId="72AFE59C" w14:textId="77777777">
        <w:trPr>
          <w:trHeight w:val="793"/>
        </w:trPr>
        <w:tc>
          <w:tcPr>
            <w:tcW w:w="1812" w:type="dxa"/>
            <w:tcBorders>
              <w:left w:val="nil"/>
              <w:bottom w:val="single" w:sz="4" w:space="0" w:color="FFFFFF"/>
              <w:right w:val="single" w:sz="4" w:space="0" w:color="FFFFFF"/>
            </w:tcBorders>
            <w:shd w:val="clear" w:color="auto" w:fill="CCE2ED"/>
          </w:tcPr>
          <w:p w14:paraId="4ADF85DD" w14:textId="77777777" w:rsidR="00141B97" w:rsidRDefault="00141B97">
            <w:pPr>
              <w:pStyle w:val="TableParagraph"/>
              <w:spacing w:before="5"/>
              <w:rPr>
                <w:sz w:val="23"/>
              </w:rPr>
            </w:pPr>
          </w:p>
          <w:p w14:paraId="7C1F4E37" w14:textId="77777777" w:rsidR="00141B97" w:rsidRDefault="00911D63">
            <w:pPr>
              <w:pStyle w:val="TableParagraph"/>
              <w:ind w:left="80"/>
              <w:rPr>
                <w:sz w:val="18"/>
              </w:rPr>
            </w:pPr>
            <w:r>
              <w:rPr>
                <w:sz w:val="18"/>
              </w:rPr>
              <w:t>Water</w:t>
            </w:r>
            <w:r>
              <w:rPr>
                <w:spacing w:val="-4"/>
                <w:sz w:val="18"/>
              </w:rPr>
              <w:t xml:space="preserve"> </w:t>
            </w:r>
            <w:r>
              <w:rPr>
                <w:spacing w:val="-2"/>
                <w:sz w:val="18"/>
              </w:rPr>
              <w:t>Supply</w:t>
            </w:r>
          </w:p>
        </w:tc>
        <w:tc>
          <w:tcPr>
            <w:tcW w:w="4525" w:type="dxa"/>
            <w:tcBorders>
              <w:left w:val="single" w:sz="4" w:space="0" w:color="FFFFFF"/>
              <w:bottom w:val="single" w:sz="4" w:space="0" w:color="FFFFFF"/>
              <w:right w:val="single" w:sz="4" w:space="0" w:color="FFFFFF"/>
            </w:tcBorders>
            <w:shd w:val="clear" w:color="auto" w:fill="CCE2ED"/>
          </w:tcPr>
          <w:p w14:paraId="58089980" w14:textId="77777777" w:rsidR="00141B97" w:rsidRDefault="00911D63">
            <w:pPr>
              <w:pStyle w:val="TableParagraph"/>
              <w:spacing w:before="145" w:line="307" w:lineRule="auto"/>
              <w:ind w:left="80" w:right="175"/>
              <w:rPr>
                <w:sz w:val="18"/>
              </w:rPr>
            </w:pPr>
            <w:r>
              <w:rPr>
                <w:sz w:val="18"/>
              </w:rPr>
              <w:t>More</w:t>
            </w:r>
            <w:r>
              <w:rPr>
                <w:spacing w:val="-6"/>
                <w:sz w:val="18"/>
              </w:rPr>
              <w:t xml:space="preserve"> </w:t>
            </w:r>
            <w:r>
              <w:rPr>
                <w:sz w:val="18"/>
              </w:rPr>
              <w:t>than</w:t>
            </w:r>
            <w:r>
              <w:rPr>
                <w:spacing w:val="-6"/>
                <w:sz w:val="18"/>
              </w:rPr>
              <w:t xml:space="preserve"> </w:t>
            </w:r>
            <w:r>
              <w:rPr>
                <w:sz w:val="18"/>
              </w:rPr>
              <w:t>5</w:t>
            </w:r>
            <w:r>
              <w:rPr>
                <w:spacing w:val="-5"/>
                <w:sz w:val="18"/>
              </w:rPr>
              <w:t xml:space="preserve"> </w:t>
            </w:r>
            <w:r>
              <w:rPr>
                <w:sz w:val="18"/>
              </w:rPr>
              <w:t>unplanned</w:t>
            </w:r>
            <w:r>
              <w:rPr>
                <w:spacing w:val="-6"/>
                <w:sz w:val="18"/>
              </w:rPr>
              <w:t xml:space="preserve"> </w:t>
            </w:r>
            <w:r>
              <w:rPr>
                <w:sz w:val="18"/>
              </w:rPr>
              <w:t>water</w:t>
            </w:r>
            <w:r>
              <w:rPr>
                <w:spacing w:val="-5"/>
                <w:sz w:val="18"/>
              </w:rPr>
              <w:t xml:space="preserve"> </w:t>
            </w:r>
            <w:r>
              <w:rPr>
                <w:sz w:val="18"/>
              </w:rPr>
              <w:t>supply</w:t>
            </w:r>
            <w:r>
              <w:rPr>
                <w:spacing w:val="-6"/>
                <w:sz w:val="18"/>
              </w:rPr>
              <w:t xml:space="preserve"> </w:t>
            </w:r>
            <w:r>
              <w:rPr>
                <w:sz w:val="18"/>
              </w:rPr>
              <w:t>interruptions</w:t>
            </w:r>
            <w:r>
              <w:rPr>
                <w:spacing w:val="-6"/>
                <w:sz w:val="18"/>
              </w:rPr>
              <w:t xml:space="preserve"> </w:t>
            </w:r>
            <w:r>
              <w:rPr>
                <w:sz w:val="18"/>
              </w:rPr>
              <w:t>in</w:t>
            </w:r>
            <w:r>
              <w:rPr>
                <w:spacing w:val="-5"/>
                <w:sz w:val="18"/>
              </w:rPr>
              <w:t xml:space="preserve"> </w:t>
            </w:r>
            <w:r>
              <w:rPr>
                <w:sz w:val="18"/>
              </w:rPr>
              <w:t xml:space="preserve">a </w:t>
            </w:r>
            <w:r>
              <w:rPr>
                <w:spacing w:val="-2"/>
                <w:sz w:val="18"/>
              </w:rPr>
              <w:t>year.</w:t>
            </w:r>
          </w:p>
        </w:tc>
        <w:tc>
          <w:tcPr>
            <w:tcW w:w="1559" w:type="dxa"/>
            <w:tcBorders>
              <w:left w:val="single" w:sz="4" w:space="0" w:color="FFFFFF"/>
              <w:bottom w:val="single" w:sz="4" w:space="0" w:color="FFFFFF"/>
              <w:right w:val="single" w:sz="4" w:space="0" w:color="FFFFFF"/>
            </w:tcBorders>
            <w:shd w:val="clear" w:color="auto" w:fill="CCE2ED"/>
          </w:tcPr>
          <w:p w14:paraId="5CF5B7B6" w14:textId="77777777" w:rsidR="00141B97" w:rsidRDefault="00141B97">
            <w:pPr>
              <w:pStyle w:val="TableParagraph"/>
              <w:spacing w:before="5"/>
              <w:rPr>
                <w:sz w:val="23"/>
              </w:rPr>
            </w:pPr>
          </w:p>
          <w:p w14:paraId="5995B6C1" w14:textId="77777777" w:rsidR="00141B97" w:rsidRDefault="00911D63">
            <w:pPr>
              <w:pStyle w:val="TableParagraph"/>
              <w:ind w:right="78"/>
              <w:jc w:val="right"/>
              <w:rPr>
                <w:sz w:val="18"/>
              </w:rPr>
            </w:pPr>
            <w:r>
              <w:rPr>
                <w:spacing w:val="-5"/>
                <w:sz w:val="18"/>
              </w:rPr>
              <w:t>$75</w:t>
            </w:r>
          </w:p>
        </w:tc>
        <w:tc>
          <w:tcPr>
            <w:tcW w:w="1875" w:type="dxa"/>
            <w:tcBorders>
              <w:left w:val="single" w:sz="4" w:space="0" w:color="FFFFFF"/>
              <w:bottom w:val="single" w:sz="4" w:space="0" w:color="FFFFFF"/>
              <w:right w:val="nil"/>
            </w:tcBorders>
            <w:shd w:val="clear" w:color="auto" w:fill="CCE2ED"/>
          </w:tcPr>
          <w:p w14:paraId="5F90EAB2" w14:textId="77777777" w:rsidR="00141B97" w:rsidRDefault="00141B97">
            <w:pPr>
              <w:pStyle w:val="TableParagraph"/>
              <w:spacing w:before="5"/>
              <w:rPr>
                <w:sz w:val="23"/>
              </w:rPr>
            </w:pPr>
          </w:p>
          <w:p w14:paraId="55888DAC" w14:textId="77777777" w:rsidR="00141B97" w:rsidRDefault="00911D63">
            <w:pPr>
              <w:pStyle w:val="TableParagraph"/>
              <w:ind w:right="79"/>
              <w:jc w:val="right"/>
              <w:rPr>
                <w:sz w:val="18"/>
              </w:rPr>
            </w:pPr>
            <w:r>
              <w:rPr>
                <w:sz w:val="18"/>
              </w:rPr>
              <w:t>No</w:t>
            </w:r>
            <w:r>
              <w:rPr>
                <w:spacing w:val="-1"/>
                <w:sz w:val="18"/>
              </w:rPr>
              <w:t xml:space="preserve"> </w:t>
            </w:r>
            <w:r>
              <w:rPr>
                <w:spacing w:val="-2"/>
                <w:sz w:val="18"/>
              </w:rPr>
              <w:t>change</w:t>
            </w:r>
          </w:p>
        </w:tc>
      </w:tr>
      <w:tr w:rsidR="00141B97" w14:paraId="5F4697E8" w14:textId="77777777">
        <w:trPr>
          <w:trHeight w:val="513"/>
        </w:trPr>
        <w:tc>
          <w:tcPr>
            <w:tcW w:w="1812" w:type="dxa"/>
            <w:tcBorders>
              <w:top w:val="single" w:sz="4" w:space="0" w:color="FFFFFF"/>
              <w:left w:val="nil"/>
              <w:right w:val="single" w:sz="4" w:space="0" w:color="FFFFFF"/>
            </w:tcBorders>
            <w:shd w:val="clear" w:color="auto" w:fill="CCE2ED"/>
          </w:tcPr>
          <w:p w14:paraId="6108819D" w14:textId="77777777" w:rsidR="00141B97" w:rsidRDefault="00911D63">
            <w:pPr>
              <w:pStyle w:val="TableParagraph"/>
              <w:spacing w:before="149"/>
              <w:ind w:left="80"/>
              <w:rPr>
                <w:sz w:val="18"/>
              </w:rPr>
            </w:pPr>
            <w:r>
              <w:rPr>
                <w:spacing w:val="-2"/>
                <w:sz w:val="18"/>
              </w:rPr>
              <w:t>Sewerage</w:t>
            </w:r>
          </w:p>
        </w:tc>
        <w:tc>
          <w:tcPr>
            <w:tcW w:w="4525" w:type="dxa"/>
            <w:tcBorders>
              <w:top w:val="single" w:sz="4" w:space="0" w:color="FFFFFF"/>
              <w:left w:val="single" w:sz="4" w:space="0" w:color="FFFFFF"/>
              <w:right w:val="single" w:sz="4" w:space="0" w:color="FFFFFF"/>
            </w:tcBorders>
            <w:shd w:val="clear" w:color="auto" w:fill="CCE2ED"/>
          </w:tcPr>
          <w:p w14:paraId="1E614C43" w14:textId="77777777" w:rsidR="00141B97" w:rsidRDefault="00911D63">
            <w:pPr>
              <w:pStyle w:val="TableParagraph"/>
              <w:spacing w:before="149"/>
              <w:ind w:left="80"/>
              <w:rPr>
                <w:sz w:val="18"/>
              </w:rPr>
            </w:pPr>
            <w:r>
              <w:rPr>
                <w:sz w:val="18"/>
              </w:rPr>
              <w:t>More</w:t>
            </w:r>
            <w:r>
              <w:rPr>
                <w:spacing w:val="-2"/>
                <w:sz w:val="18"/>
              </w:rPr>
              <w:t xml:space="preserve"> </w:t>
            </w:r>
            <w:r>
              <w:rPr>
                <w:sz w:val="18"/>
              </w:rPr>
              <w:t>than</w:t>
            </w:r>
            <w:r>
              <w:rPr>
                <w:spacing w:val="-2"/>
                <w:sz w:val="18"/>
              </w:rPr>
              <w:t xml:space="preserve"> </w:t>
            </w:r>
            <w:r>
              <w:rPr>
                <w:sz w:val="18"/>
              </w:rPr>
              <w:t>3</w:t>
            </w:r>
            <w:r>
              <w:rPr>
                <w:spacing w:val="-1"/>
                <w:sz w:val="18"/>
              </w:rPr>
              <w:t xml:space="preserve"> </w:t>
            </w:r>
            <w:r>
              <w:rPr>
                <w:sz w:val="18"/>
              </w:rPr>
              <w:t>sewer blockages</w:t>
            </w:r>
            <w:r>
              <w:rPr>
                <w:spacing w:val="-2"/>
                <w:sz w:val="18"/>
              </w:rPr>
              <w:t xml:space="preserve"> </w:t>
            </w:r>
            <w:r>
              <w:rPr>
                <w:sz w:val="18"/>
              </w:rPr>
              <w:t>in</w:t>
            </w:r>
            <w:r>
              <w:rPr>
                <w:spacing w:val="-1"/>
                <w:sz w:val="18"/>
              </w:rPr>
              <w:t xml:space="preserve"> </w:t>
            </w:r>
            <w:r>
              <w:rPr>
                <w:sz w:val="18"/>
              </w:rPr>
              <w:t>a</w:t>
            </w:r>
            <w:r>
              <w:rPr>
                <w:spacing w:val="-1"/>
                <w:sz w:val="18"/>
              </w:rPr>
              <w:t xml:space="preserve"> </w:t>
            </w:r>
            <w:r>
              <w:rPr>
                <w:spacing w:val="-4"/>
                <w:sz w:val="18"/>
              </w:rPr>
              <w:t>year</w:t>
            </w:r>
          </w:p>
        </w:tc>
        <w:tc>
          <w:tcPr>
            <w:tcW w:w="1559" w:type="dxa"/>
            <w:tcBorders>
              <w:top w:val="single" w:sz="4" w:space="0" w:color="FFFFFF"/>
              <w:left w:val="single" w:sz="4" w:space="0" w:color="FFFFFF"/>
              <w:right w:val="single" w:sz="4" w:space="0" w:color="FFFFFF"/>
            </w:tcBorders>
            <w:shd w:val="clear" w:color="auto" w:fill="CCE2ED"/>
          </w:tcPr>
          <w:p w14:paraId="15B77338" w14:textId="77777777" w:rsidR="00141B97" w:rsidRDefault="00911D63">
            <w:pPr>
              <w:pStyle w:val="TableParagraph"/>
              <w:spacing w:before="149"/>
              <w:ind w:right="78"/>
              <w:jc w:val="right"/>
              <w:rPr>
                <w:sz w:val="18"/>
              </w:rPr>
            </w:pPr>
            <w:r>
              <w:rPr>
                <w:spacing w:val="-5"/>
                <w:sz w:val="18"/>
              </w:rPr>
              <w:t>$75</w:t>
            </w:r>
          </w:p>
        </w:tc>
        <w:tc>
          <w:tcPr>
            <w:tcW w:w="1875" w:type="dxa"/>
            <w:tcBorders>
              <w:top w:val="single" w:sz="4" w:space="0" w:color="FFFFFF"/>
              <w:left w:val="single" w:sz="4" w:space="0" w:color="FFFFFF"/>
              <w:right w:val="nil"/>
            </w:tcBorders>
            <w:shd w:val="clear" w:color="auto" w:fill="CCE2ED"/>
          </w:tcPr>
          <w:p w14:paraId="39CBECC2" w14:textId="77777777" w:rsidR="00141B97" w:rsidRDefault="00911D63">
            <w:pPr>
              <w:pStyle w:val="TableParagraph"/>
              <w:spacing w:before="149"/>
              <w:ind w:right="79"/>
              <w:jc w:val="right"/>
              <w:rPr>
                <w:sz w:val="18"/>
              </w:rPr>
            </w:pPr>
            <w:r>
              <w:rPr>
                <w:sz w:val="18"/>
              </w:rPr>
              <w:t>No</w:t>
            </w:r>
            <w:r>
              <w:rPr>
                <w:spacing w:val="-1"/>
                <w:sz w:val="18"/>
              </w:rPr>
              <w:t xml:space="preserve"> </w:t>
            </w:r>
            <w:r>
              <w:rPr>
                <w:spacing w:val="-2"/>
                <w:sz w:val="18"/>
              </w:rPr>
              <w:t>change</w:t>
            </w:r>
          </w:p>
        </w:tc>
      </w:tr>
      <w:tr w:rsidR="00141B97" w14:paraId="6178AB67" w14:textId="77777777">
        <w:trPr>
          <w:trHeight w:val="793"/>
        </w:trPr>
        <w:tc>
          <w:tcPr>
            <w:tcW w:w="1812" w:type="dxa"/>
            <w:tcBorders>
              <w:left w:val="nil"/>
              <w:bottom w:val="single" w:sz="4" w:space="0" w:color="FFFFFF"/>
              <w:right w:val="single" w:sz="4" w:space="0" w:color="FFFFFF"/>
            </w:tcBorders>
            <w:shd w:val="clear" w:color="auto" w:fill="CCE2ED"/>
          </w:tcPr>
          <w:p w14:paraId="323E796C" w14:textId="77777777" w:rsidR="00141B97" w:rsidRDefault="00141B97">
            <w:pPr>
              <w:pStyle w:val="TableParagraph"/>
              <w:spacing w:before="5"/>
              <w:rPr>
                <w:sz w:val="23"/>
              </w:rPr>
            </w:pPr>
          </w:p>
          <w:p w14:paraId="21C4EB6B" w14:textId="77777777" w:rsidR="00141B97" w:rsidRDefault="00911D63">
            <w:pPr>
              <w:pStyle w:val="TableParagraph"/>
              <w:ind w:left="80"/>
              <w:rPr>
                <w:sz w:val="18"/>
              </w:rPr>
            </w:pPr>
            <w:r>
              <w:rPr>
                <w:spacing w:val="-2"/>
                <w:sz w:val="18"/>
              </w:rPr>
              <w:t>Sewerage</w:t>
            </w:r>
          </w:p>
        </w:tc>
        <w:tc>
          <w:tcPr>
            <w:tcW w:w="4525" w:type="dxa"/>
            <w:tcBorders>
              <w:left w:val="single" w:sz="4" w:space="0" w:color="FFFFFF"/>
              <w:bottom w:val="single" w:sz="4" w:space="0" w:color="FFFFFF"/>
              <w:right w:val="single" w:sz="4" w:space="0" w:color="FFFFFF"/>
            </w:tcBorders>
            <w:shd w:val="clear" w:color="auto" w:fill="CCE2ED"/>
          </w:tcPr>
          <w:p w14:paraId="1A8830C7" w14:textId="77777777" w:rsidR="00141B97" w:rsidRDefault="00911D63">
            <w:pPr>
              <w:pStyle w:val="TableParagraph"/>
              <w:spacing w:before="145" w:line="307" w:lineRule="auto"/>
              <w:ind w:left="80"/>
              <w:rPr>
                <w:sz w:val="18"/>
              </w:rPr>
            </w:pPr>
            <w:r>
              <w:rPr>
                <w:sz w:val="18"/>
              </w:rPr>
              <w:t>Sewage</w:t>
            </w:r>
            <w:r>
              <w:rPr>
                <w:spacing w:val="-5"/>
                <w:sz w:val="18"/>
              </w:rPr>
              <w:t xml:space="preserve"> </w:t>
            </w:r>
            <w:r>
              <w:rPr>
                <w:sz w:val="18"/>
              </w:rPr>
              <w:t>spill</w:t>
            </w:r>
            <w:r>
              <w:rPr>
                <w:spacing w:val="-5"/>
                <w:sz w:val="18"/>
              </w:rPr>
              <w:t xml:space="preserve"> </w:t>
            </w:r>
            <w:r>
              <w:rPr>
                <w:sz w:val="18"/>
              </w:rPr>
              <w:t>within</w:t>
            </w:r>
            <w:r>
              <w:rPr>
                <w:spacing w:val="-5"/>
                <w:sz w:val="18"/>
              </w:rPr>
              <w:t xml:space="preserve"> </w:t>
            </w:r>
            <w:r>
              <w:rPr>
                <w:sz w:val="18"/>
              </w:rPr>
              <w:t>house</w:t>
            </w:r>
            <w:r>
              <w:rPr>
                <w:spacing w:val="-5"/>
                <w:sz w:val="18"/>
              </w:rPr>
              <w:t xml:space="preserve"> </w:t>
            </w:r>
            <w:r>
              <w:rPr>
                <w:sz w:val="18"/>
              </w:rPr>
              <w:t>caused</w:t>
            </w:r>
            <w:r>
              <w:rPr>
                <w:spacing w:val="-5"/>
                <w:sz w:val="18"/>
              </w:rPr>
              <w:t xml:space="preserve"> </w:t>
            </w:r>
            <w:r>
              <w:rPr>
                <w:sz w:val="18"/>
              </w:rPr>
              <w:t>by</w:t>
            </w:r>
            <w:r>
              <w:rPr>
                <w:spacing w:val="-5"/>
                <w:sz w:val="18"/>
              </w:rPr>
              <w:t xml:space="preserve"> </w:t>
            </w:r>
            <w:r>
              <w:rPr>
                <w:sz w:val="18"/>
              </w:rPr>
              <w:t>LMW</w:t>
            </w:r>
            <w:r>
              <w:rPr>
                <w:spacing w:val="-5"/>
                <w:sz w:val="18"/>
              </w:rPr>
              <w:t xml:space="preserve"> </w:t>
            </w:r>
            <w:r>
              <w:rPr>
                <w:sz w:val="18"/>
              </w:rPr>
              <w:t>assets</w:t>
            </w:r>
            <w:r>
              <w:rPr>
                <w:spacing w:val="-6"/>
                <w:sz w:val="18"/>
              </w:rPr>
              <w:t xml:space="preserve"> </w:t>
            </w:r>
            <w:r>
              <w:rPr>
                <w:sz w:val="18"/>
              </w:rPr>
              <w:t>where customers internal plumbing is functioning correctly.</w:t>
            </w:r>
          </w:p>
        </w:tc>
        <w:tc>
          <w:tcPr>
            <w:tcW w:w="1559" w:type="dxa"/>
            <w:tcBorders>
              <w:left w:val="single" w:sz="4" w:space="0" w:color="FFFFFF"/>
              <w:bottom w:val="single" w:sz="4" w:space="0" w:color="FFFFFF"/>
              <w:right w:val="single" w:sz="4" w:space="0" w:color="FFFFFF"/>
            </w:tcBorders>
            <w:shd w:val="clear" w:color="auto" w:fill="CCE2ED"/>
          </w:tcPr>
          <w:p w14:paraId="75C41204" w14:textId="77777777" w:rsidR="00141B97" w:rsidRDefault="00141B97">
            <w:pPr>
              <w:pStyle w:val="TableParagraph"/>
              <w:spacing w:before="5"/>
              <w:rPr>
                <w:sz w:val="23"/>
              </w:rPr>
            </w:pPr>
          </w:p>
          <w:p w14:paraId="7DF4077B" w14:textId="77777777" w:rsidR="00141B97" w:rsidRDefault="00911D63">
            <w:pPr>
              <w:pStyle w:val="TableParagraph"/>
              <w:ind w:right="78"/>
              <w:jc w:val="right"/>
              <w:rPr>
                <w:sz w:val="18"/>
              </w:rPr>
            </w:pPr>
            <w:r>
              <w:rPr>
                <w:spacing w:val="-2"/>
                <w:sz w:val="18"/>
              </w:rPr>
              <w:t>$1500</w:t>
            </w:r>
          </w:p>
        </w:tc>
        <w:tc>
          <w:tcPr>
            <w:tcW w:w="1875" w:type="dxa"/>
            <w:tcBorders>
              <w:left w:val="single" w:sz="4" w:space="0" w:color="FFFFFF"/>
              <w:bottom w:val="single" w:sz="4" w:space="0" w:color="FFFFFF"/>
              <w:right w:val="nil"/>
            </w:tcBorders>
            <w:shd w:val="clear" w:color="auto" w:fill="CCE2ED"/>
          </w:tcPr>
          <w:p w14:paraId="15CFE668" w14:textId="77777777" w:rsidR="00141B97" w:rsidRDefault="00141B97">
            <w:pPr>
              <w:pStyle w:val="TableParagraph"/>
              <w:spacing w:before="5"/>
              <w:rPr>
                <w:sz w:val="23"/>
              </w:rPr>
            </w:pPr>
          </w:p>
          <w:p w14:paraId="63C6ECD6" w14:textId="77777777" w:rsidR="00141B97" w:rsidRDefault="00911D63">
            <w:pPr>
              <w:pStyle w:val="TableParagraph"/>
              <w:ind w:right="79"/>
              <w:jc w:val="right"/>
              <w:rPr>
                <w:sz w:val="18"/>
              </w:rPr>
            </w:pPr>
            <w:r>
              <w:rPr>
                <w:sz w:val="18"/>
              </w:rPr>
              <w:t>No</w:t>
            </w:r>
            <w:r>
              <w:rPr>
                <w:spacing w:val="-1"/>
                <w:sz w:val="18"/>
              </w:rPr>
              <w:t xml:space="preserve"> </w:t>
            </w:r>
            <w:r>
              <w:rPr>
                <w:spacing w:val="-2"/>
                <w:sz w:val="18"/>
              </w:rPr>
              <w:t>change</w:t>
            </w:r>
          </w:p>
        </w:tc>
      </w:tr>
      <w:tr w:rsidR="00141B97" w14:paraId="024B6D25" w14:textId="77777777">
        <w:trPr>
          <w:trHeight w:val="1355"/>
        </w:trPr>
        <w:tc>
          <w:tcPr>
            <w:tcW w:w="1812" w:type="dxa"/>
            <w:tcBorders>
              <w:top w:val="single" w:sz="4" w:space="0" w:color="FFFFFF"/>
              <w:left w:val="nil"/>
              <w:bottom w:val="nil"/>
              <w:right w:val="single" w:sz="4" w:space="0" w:color="FFFFFF"/>
            </w:tcBorders>
            <w:shd w:val="clear" w:color="auto" w:fill="CCE2ED"/>
          </w:tcPr>
          <w:p w14:paraId="6D546A34" w14:textId="77777777" w:rsidR="00141B97" w:rsidRDefault="00141B97">
            <w:pPr>
              <w:pStyle w:val="TableParagraph"/>
              <w:rPr>
                <w:sz w:val="18"/>
              </w:rPr>
            </w:pPr>
          </w:p>
          <w:p w14:paraId="5A7B3A49" w14:textId="77777777" w:rsidR="00141B97" w:rsidRDefault="00141B97">
            <w:pPr>
              <w:pStyle w:val="TableParagraph"/>
              <w:spacing w:before="1"/>
              <w:rPr>
                <w:sz w:val="17"/>
              </w:rPr>
            </w:pPr>
          </w:p>
          <w:p w14:paraId="4477E3DA" w14:textId="77777777" w:rsidR="00141B97" w:rsidRDefault="00911D63">
            <w:pPr>
              <w:pStyle w:val="TableParagraph"/>
              <w:ind w:left="80"/>
              <w:rPr>
                <w:sz w:val="18"/>
              </w:rPr>
            </w:pPr>
            <w:r>
              <w:rPr>
                <w:sz w:val="18"/>
              </w:rPr>
              <w:t>Payment</w:t>
            </w:r>
            <w:r>
              <w:rPr>
                <w:spacing w:val="-3"/>
                <w:sz w:val="18"/>
              </w:rPr>
              <w:t xml:space="preserve"> </w:t>
            </w:r>
            <w:r>
              <w:rPr>
                <w:sz w:val="18"/>
              </w:rPr>
              <w:t>difficulty</w:t>
            </w:r>
            <w:r>
              <w:rPr>
                <w:spacing w:val="-2"/>
                <w:sz w:val="18"/>
              </w:rPr>
              <w:t xml:space="preserve"> </w:t>
            </w:r>
            <w:r>
              <w:rPr>
                <w:spacing w:val="-10"/>
                <w:sz w:val="18"/>
              </w:rPr>
              <w:t>‐</w:t>
            </w:r>
          </w:p>
          <w:p w14:paraId="466CFA29" w14:textId="77777777" w:rsidR="00141B97" w:rsidRDefault="00911D63">
            <w:pPr>
              <w:pStyle w:val="TableParagraph"/>
              <w:spacing w:before="61"/>
              <w:ind w:left="80"/>
              <w:rPr>
                <w:sz w:val="18"/>
              </w:rPr>
            </w:pPr>
            <w:r>
              <w:rPr>
                <w:spacing w:val="-2"/>
                <w:sz w:val="18"/>
              </w:rPr>
              <w:t>Hardship</w:t>
            </w:r>
          </w:p>
        </w:tc>
        <w:tc>
          <w:tcPr>
            <w:tcW w:w="4525" w:type="dxa"/>
            <w:tcBorders>
              <w:top w:val="single" w:sz="4" w:space="0" w:color="FFFFFF"/>
              <w:left w:val="single" w:sz="4" w:space="0" w:color="FFFFFF"/>
              <w:bottom w:val="nil"/>
              <w:right w:val="single" w:sz="4" w:space="0" w:color="FFFFFF"/>
            </w:tcBorders>
            <w:shd w:val="clear" w:color="auto" w:fill="CCE2ED"/>
          </w:tcPr>
          <w:p w14:paraId="5DC5DA2C" w14:textId="77777777" w:rsidR="00141B97" w:rsidRDefault="00911D63">
            <w:pPr>
              <w:pStyle w:val="TableParagraph"/>
              <w:spacing w:before="149" w:line="304" w:lineRule="auto"/>
              <w:ind w:left="80" w:right="82"/>
              <w:rPr>
                <w:sz w:val="18"/>
              </w:rPr>
            </w:pPr>
            <w:r>
              <w:rPr>
                <w:sz w:val="18"/>
              </w:rPr>
              <w:t>Restricting the water supply of, or taking legal action against, a customer prior to taking reasonable endeavours (as</w:t>
            </w:r>
            <w:r>
              <w:rPr>
                <w:spacing w:val="-5"/>
                <w:sz w:val="18"/>
              </w:rPr>
              <w:t xml:space="preserve"> </w:t>
            </w:r>
            <w:r>
              <w:rPr>
                <w:sz w:val="18"/>
              </w:rPr>
              <w:t>defined</w:t>
            </w:r>
            <w:r>
              <w:rPr>
                <w:spacing w:val="-5"/>
                <w:sz w:val="18"/>
              </w:rPr>
              <w:t xml:space="preserve"> </w:t>
            </w:r>
            <w:r>
              <w:rPr>
                <w:sz w:val="18"/>
              </w:rPr>
              <w:t>by</w:t>
            </w:r>
            <w:r>
              <w:rPr>
                <w:spacing w:val="-5"/>
                <w:sz w:val="18"/>
              </w:rPr>
              <w:t xml:space="preserve"> </w:t>
            </w:r>
            <w:r>
              <w:rPr>
                <w:sz w:val="18"/>
              </w:rPr>
              <w:t>the</w:t>
            </w:r>
            <w:r>
              <w:rPr>
                <w:spacing w:val="-5"/>
                <w:sz w:val="18"/>
              </w:rPr>
              <w:t xml:space="preserve"> </w:t>
            </w:r>
            <w:r>
              <w:rPr>
                <w:sz w:val="18"/>
              </w:rPr>
              <w:t>Essential</w:t>
            </w:r>
            <w:r>
              <w:rPr>
                <w:spacing w:val="-5"/>
                <w:sz w:val="18"/>
              </w:rPr>
              <w:t xml:space="preserve"> </w:t>
            </w:r>
            <w:r>
              <w:rPr>
                <w:sz w:val="18"/>
              </w:rPr>
              <w:t>Services</w:t>
            </w:r>
            <w:r>
              <w:rPr>
                <w:spacing w:val="-5"/>
                <w:sz w:val="18"/>
              </w:rPr>
              <w:t xml:space="preserve"> </w:t>
            </w:r>
            <w:r>
              <w:rPr>
                <w:sz w:val="18"/>
              </w:rPr>
              <w:t>Commission)</w:t>
            </w:r>
            <w:r>
              <w:rPr>
                <w:spacing w:val="-5"/>
                <w:sz w:val="18"/>
              </w:rPr>
              <w:t xml:space="preserve"> </w:t>
            </w:r>
            <w:r>
              <w:rPr>
                <w:sz w:val="18"/>
              </w:rPr>
              <w:t>to</w:t>
            </w:r>
            <w:r>
              <w:rPr>
                <w:spacing w:val="-5"/>
                <w:sz w:val="18"/>
              </w:rPr>
              <w:t xml:space="preserve"> </w:t>
            </w:r>
            <w:r>
              <w:rPr>
                <w:sz w:val="18"/>
              </w:rPr>
              <w:t>contact the customer to test for hardship.</w:t>
            </w:r>
          </w:p>
        </w:tc>
        <w:tc>
          <w:tcPr>
            <w:tcW w:w="1559" w:type="dxa"/>
            <w:tcBorders>
              <w:top w:val="single" w:sz="4" w:space="0" w:color="FFFFFF"/>
              <w:left w:val="single" w:sz="4" w:space="0" w:color="FFFFFF"/>
              <w:bottom w:val="nil"/>
              <w:right w:val="single" w:sz="4" w:space="0" w:color="FFFFFF"/>
            </w:tcBorders>
            <w:shd w:val="clear" w:color="auto" w:fill="CCE2ED"/>
          </w:tcPr>
          <w:p w14:paraId="0A4FBDAD" w14:textId="77777777" w:rsidR="00141B97" w:rsidRDefault="00141B97">
            <w:pPr>
              <w:pStyle w:val="TableParagraph"/>
              <w:rPr>
                <w:sz w:val="18"/>
              </w:rPr>
            </w:pPr>
          </w:p>
          <w:p w14:paraId="302C5AB5" w14:textId="77777777" w:rsidR="00141B97" w:rsidRDefault="00141B97">
            <w:pPr>
              <w:pStyle w:val="TableParagraph"/>
              <w:rPr>
                <w:sz w:val="18"/>
              </w:rPr>
            </w:pPr>
          </w:p>
          <w:p w14:paraId="30A0A8D2" w14:textId="77777777" w:rsidR="00141B97" w:rsidRDefault="00911D63">
            <w:pPr>
              <w:pStyle w:val="TableParagraph"/>
              <w:spacing w:before="129"/>
              <w:ind w:right="78"/>
              <w:jc w:val="right"/>
              <w:rPr>
                <w:sz w:val="18"/>
              </w:rPr>
            </w:pPr>
            <w:r>
              <w:rPr>
                <w:spacing w:val="-4"/>
                <w:sz w:val="18"/>
              </w:rPr>
              <w:t>$300</w:t>
            </w:r>
          </w:p>
        </w:tc>
        <w:tc>
          <w:tcPr>
            <w:tcW w:w="1875" w:type="dxa"/>
            <w:tcBorders>
              <w:top w:val="single" w:sz="4" w:space="0" w:color="FFFFFF"/>
              <w:left w:val="single" w:sz="4" w:space="0" w:color="FFFFFF"/>
              <w:bottom w:val="nil"/>
              <w:right w:val="nil"/>
            </w:tcBorders>
            <w:shd w:val="clear" w:color="auto" w:fill="CCE2ED"/>
          </w:tcPr>
          <w:p w14:paraId="1E795CAE" w14:textId="77777777" w:rsidR="00141B97" w:rsidRDefault="00141B97">
            <w:pPr>
              <w:pStyle w:val="TableParagraph"/>
              <w:rPr>
                <w:sz w:val="18"/>
              </w:rPr>
            </w:pPr>
          </w:p>
          <w:p w14:paraId="30E53144" w14:textId="77777777" w:rsidR="00141B97" w:rsidRDefault="00141B97">
            <w:pPr>
              <w:pStyle w:val="TableParagraph"/>
              <w:rPr>
                <w:sz w:val="18"/>
              </w:rPr>
            </w:pPr>
          </w:p>
          <w:p w14:paraId="639FBE11" w14:textId="77777777" w:rsidR="00141B97" w:rsidRDefault="00911D63">
            <w:pPr>
              <w:pStyle w:val="TableParagraph"/>
              <w:spacing w:before="129"/>
              <w:ind w:right="79"/>
              <w:jc w:val="right"/>
              <w:rPr>
                <w:sz w:val="18"/>
              </w:rPr>
            </w:pPr>
            <w:r>
              <w:rPr>
                <w:sz w:val="18"/>
              </w:rPr>
              <w:t>No</w:t>
            </w:r>
            <w:r>
              <w:rPr>
                <w:spacing w:val="-1"/>
                <w:sz w:val="18"/>
              </w:rPr>
              <w:t xml:space="preserve"> </w:t>
            </w:r>
            <w:r>
              <w:rPr>
                <w:spacing w:val="-2"/>
                <w:sz w:val="18"/>
              </w:rPr>
              <w:t>change</w:t>
            </w:r>
          </w:p>
        </w:tc>
      </w:tr>
    </w:tbl>
    <w:p w14:paraId="22A6C530" w14:textId="77777777" w:rsidR="00141B97" w:rsidRDefault="00911D63">
      <w:pPr>
        <w:spacing w:before="13"/>
        <w:ind w:left="114"/>
        <w:rPr>
          <w:sz w:val="16"/>
        </w:rPr>
      </w:pPr>
      <w:r>
        <w:rPr>
          <w:sz w:val="16"/>
        </w:rPr>
        <w:t>Table</w:t>
      </w:r>
      <w:r>
        <w:rPr>
          <w:spacing w:val="-5"/>
          <w:sz w:val="16"/>
        </w:rPr>
        <w:t xml:space="preserve"> </w:t>
      </w:r>
      <w:r>
        <w:rPr>
          <w:sz w:val="16"/>
        </w:rPr>
        <w:t>B16:</w:t>
      </w:r>
      <w:r>
        <w:rPr>
          <w:spacing w:val="-7"/>
          <w:sz w:val="16"/>
        </w:rPr>
        <w:t xml:space="preserve"> </w:t>
      </w:r>
      <w:r>
        <w:rPr>
          <w:sz w:val="16"/>
        </w:rPr>
        <w:t>Proposed</w:t>
      </w:r>
      <w:r>
        <w:rPr>
          <w:spacing w:val="-6"/>
          <w:sz w:val="16"/>
        </w:rPr>
        <w:t xml:space="preserve"> </w:t>
      </w:r>
      <w:r>
        <w:rPr>
          <w:sz w:val="16"/>
        </w:rPr>
        <w:t>Guaranteed</w:t>
      </w:r>
      <w:r>
        <w:rPr>
          <w:spacing w:val="-5"/>
          <w:sz w:val="16"/>
        </w:rPr>
        <w:t xml:space="preserve"> </w:t>
      </w:r>
      <w:r>
        <w:rPr>
          <w:sz w:val="16"/>
        </w:rPr>
        <w:t>Service</w:t>
      </w:r>
      <w:r>
        <w:rPr>
          <w:spacing w:val="-7"/>
          <w:sz w:val="16"/>
        </w:rPr>
        <w:t xml:space="preserve"> </w:t>
      </w:r>
      <w:r>
        <w:rPr>
          <w:sz w:val="16"/>
        </w:rPr>
        <w:t>Level</w:t>
      </w:r>
      <w:r>
        <w:rPr>
          <w:spacing w:val="-6"/>
          <w:sz w:val="16"/>
        </w:rPr>
        <w:t xml:space="preserve"> </w:t>
      </w:r>
      <w:r>
        <w:rPr>
          <w:spacing w:val="-2"/>
          <w:sz w:val="16"/>
        </w:rPr>
        <w:t>Scheme</w:t>
      </w:r>
    </w:p>
    <w:p w14:paraId="72E78460" w14:textId="77777777" w:rsidR="00141B97" w:rsidRDefault="00141B97">
      <w:pPr>
        <w:rPr>
          <w:sz w:val="16"/>
        </w:rPr>
        <w:sectPr w:rsidR="00141B97">
          <w:pgSz w:w="11910" w:h="16840"/>
          <w:pgMar w:top="820" w:right="40" w:bottom="760" w:left="1020" w:header="0" w:footer="580" w:gutter="0"/>
          <w:cols w:space="720"/>
        </w:sectPr>
      </w:pPr>
    </w:p>
    <w:p w14:paraId="36CE41B9" w14:textId="77777777" w:rsidR="00141B97" w:rsidRDefault="00911D63">
      <w:pPr>
        <w:pStyle w:val="Heading1"/>
        <w:numPr>
          <w:ilvl w:val="0"/>
          <w:numId w:val="81"/>
        </w:numPr>
        <w:tabs>
          <w:tab w:val="left" w:pos="1113"/>
        </w:tabs>
        <w:jc w:val="both"/>
      </w:pPr>
      <w:r>
        <w:rPr>
          <w:color w:val="006CA3"/>
        </w:rPr>
        <w:lastRenderedPageBreak/>
        <w:t>Revenue</w:t>
      </w:r>
      <w:r>
        <w:rPr>
          <w:color w:val="006CA3"/>
          <w:spacing w:val="-20"/>
        </w:rPr>
        <w:t xml:space="preserve"> </w:t>
      </w:r>
      <w:r>
        <w:rPr>
          <w:color w:val="006CA3"/>
        </w:rPr>
        <w:t>and</w:t>
      </w:r>
      <w:r>
        <w:rPr>
          <w:color w:val="006CA3"/>
          <w:spacing w:val="-19"/>
        </w:rPr>
        <w:t xml:space="preserve"> </w:t>
      </w:r>
      <w:r>
        <w:rPr>
          <w:color w:val="006CA3"/>
        </w:rPr>
        <w:t>Financial</w:t>
      </w:r>
      <w:r>
        <w:rPr>
          <w:color w:val="006CA3"/>
          <w:spacing w:val="-21"/>
        </w:rPr>
        <w:t xml:space="preserve"> </w:t>
      </w:r>
      <w:r>
        <w:rPr>
          <w:color w:val="006CA3"/>
          <w:spacing w:val="-2"/>
        </w:rPr>
        <w:t>Parameters</w:t>
      </w:r>
    </w:p>
    <w:p w14:paraId="21BC30F3" w14:textId="77777777" w:rsidR="00141B97" w:rsidRDefault="00911D63">
      <w:pPr>
        <w:pStyle w:val="Heading2"/>
        <w:numPr>
          <w:ilvl w:val="1"/>
          <w:numId w:val="81"/>
        </w:numPr>
        <w:tabs>
          <w:tab w:val="left" w:pos="1113"/>
        </w:tabs>
        <w:spacing w:before="379"/>
        <w:jc w:val="both"/>
      </w:pPr>
      <w:r>
        <w:rPr>
          <w:color w:val="009BAC"/>
        </w:rPr>
        <w:t>Overview</w:t>
      </w:r>
      <w:r>
        <w:rPr>
          <w:color w:val="009BAC"/>
          <w:spacing w:val="-7"/>
        </w:rPr>
        <w:t xml:space="preserve"> </w:t>
      </w:r>
      <w:r>
        <w:rPr>
          <w:color w:val="009BAC"/>
        </w:rPr>
        <w:t>of</w:t>
      </w:r>
      <w:r>
        <w:rPr>
          <w:color w:val="009BAC"/>
          <w:spacing w:val="-8"/>
        </w:rPr>
        <w:t xml:space="preserve"> </w:t>
      </w:r>
      <w:r>
        <w:rPr>
          <w:color w:val="009BAC"/>
        </w:rPr>
        <w:t>Revenue</w:t>
      </w:r>
      <w:r>
        <w:rPr>
          <w:color w:val="009BAC"/>
          <w:spacing w:val="-6"/>
        </w:rPr>
        <w:t xml:space="preserve"> </w:t>
      </w:r>
      <w:r>
        <w:rPr>
          <w:color w:val="009BAC"/>
          <w:spacing w:val="-2"/>
        </w:rPr>
        <w:t>Requirement</w:t>
      </w:r>
    </w:p>
    <w:p w14:paraId="4BAE8C7B" w14:textId="77777777" w:rsidR="00141B97" w:rsidRDefault="00911D63">
      <w:pPr>
        <w:pStyle w:val="BodyText"/>
        <w:spacing w:before="121"/>
        <w:ind w:left="113" w:right="948"/>
        <w:jc w:val="both"/>
      </w:pPr>
      <w:r>
        <w:t>Table B17 summarises the revenue requirement from the last year of the PS4 period through the forthcoming PS5</w:t>
      </w:r>
      <w:r>
        <w:rPr>
          <w:spacing w:val="-3"/>
        </w:rPr>
        <w:t xml:space="preserve"> </w:t>
      </w:r>
      <w:r>
        <w:t>period</w:t>
      </w:r>
      <w:r>
        <w:rPr>
          <w:spacing w:val="-2"/>
        </w:rPr>
        <w:t xml:space="preserve"> </w:t>
      </w:r>
      <w:r>
        <w:t>showing</w:t>
      </w:r>
      <w:r>
        <w:rPr>
          <w:spacing w:val="-2"/>
        </w:rPr>
        <w:t xml:space="preserve"> </w:t>
      </w:r>
      <w:r>
        <w:t>a</w:t>
      </w:r>
      <w:r>
        <w:rPr>
          <w:spacing w:val="-2"/>
        </w:rPr>
        <w:t xml:space="preserve"> </w:t>
      </w:r>
      <w:r>
        <w:t>total</w:t>
      </w:r>
      <w:r>
        <w:rPr>
          <w:spacing w:val="-1"/>
        </w:rPr>
        <w:t xml:space="preserve"> </w:t>
      </w:r>
      <w:r>
        <w:t>revenue</w:t>
      </w:r>
      <w:r>
        <w:rPr>
          <w:spacing w:val="-3"/>
        </w:rPr>
        <w:t xml:space="preserve"> </w:t>
      </w:r>
      <w:r>
        <w:t>of</w:t>
      </w:r>
      <w:r>
        <w:rPr>
          <w:spacing w:val="-1"/>
        </w:rPr>
        <w:t xml:space="preserve"> </w:t>
      </w:r>
      <w:r>
        <w:t>$219.27m.</w:t>
      </w:r>
      <w:r>
        <w:rPr>
          <w:spacing w:val="-3"/>
        </w:rPr>
        <w:t xml:space="preserve"> </w:t>
      </w:r>
      <w:r>
        <w:t>This</w:t>
      </w:r>
      <w:r>
        <w:rPr>
          <w:spacing w:val="-2"/>
        </w:rPr>
        <w:t xml:space="preserve"> </w:t>
      </w:r>
      <w:r>
        <w:t>reflects</w:t>
      </w:r>
      <w:r>
        <w:rPr>
          <w:spacing w:val="-2"/>
        </w:rPr>
        <w:t xml:space="preserve"> </w:t>
      </w:r>
      <w:r>
        <w:t>a</w:t>
      </w:r>
      <w:r>
        <w:rPr>
          <w:spacing w:val="-2"/>
        </w:rPr>
        <w:t xml:space="preserve"> </w:t>
      </w:r>
      <w:r>
        <w:t>step‐change</w:t>
      </w:r>
      <w:r>
        <w:rPr>
          <w:spacing w:val="-1"/>
        </w:rPr>
        <w:t xml:space="preserve"> </w:t>
      </w:r>
      <w:r>
        <w:t>of</w:t>
      </w:r>
      <w:r>
        <w:rPr>
          <w:spacing w:val="-1"/>
        </w:rPr>
        <w:t xml:space="preserve"> </w:t>
      </w:r>
      <w:r>
        <w:t>$1.83m</w:t>
      </w:r>
      <w:r>
        <w:rPr>
          <w:spacing w:val="-3"/>
        </w:rPr>
        <w:t xml:space="preserve"> </w:t>
      </w:r>
      <w:r>
        <w:t>from</w:t>
      </w:r>
      <w:r>
        <w:rPr>
          <w:spacing w:val="-1"/>
        </w:rPr>
        <w:t xml:space="preserve"> </w:t>
      </w:r>
      <w:r>
        <w:t>2022‐23</w:t>
      </w:r>
      <w:r>
        <w:rPr>
          <w:spacing w:val="-3"/>
        </w:rPr>
        <w:t xml:space="preserve"> </w:t>
      </w:r>
      <w:r>
        <w:t>to</w:t>
      </w:r>
      <w:r>
        <w:rPr>
          <w:spacing w:val="-2"/>
        </w:rPr>
        <w:t xml:space="preserve"> </w:t>
      </w:r>
      <w:r>
        <w:t>2023‐ 24, due to an increase in operational expenditure ($4.24m) and a decrease in return on assets ($2.41m).</w:t>
      </w:r>
    </w:p>
    <w:p w14:paraId="025018FD" w14:textId="77777777" w:rsidR="00141B97" w:rsidRDefault="00141B97">
      <w:pPr>
        <w:pStyle w:val="BodyText"/>
      </w:pPr>
    </w:p>
    <w:p w14:paraId="55DB4E44" w14:textId="77777777" w:rsidR="00141B97" w:rsidRDefault="00911D63">
      <w:pPr>
        <w:pStyle w:val="BodyText"/>
        <w:ind w:left="113" w:right="950" w:hanging="1"/>
        <w:jc w:val="both"/>
      </w:pPr>
      <w:r>
        <w:t>The increase operating expenditure in 2023‐24 is attributable to significant increases in software licences expenditure for new (SaaS) agreements and change in the corporate cost allocation methodology.</w:t>
      </w:r>
    </w:p>
    <w:p w14:paraId="595674EC" w14:textId="77777777" w:rsidR="00141B97" w:rsidRDefault="00141B97">
      <w:pPr>
        <w:pStyle w:val="BodyText"/>
        <w:spacing w:before="12"/>
        <w:rPr>
          <w:sz w:val="21"/>
        </w:rPr>
      </w:pPr>
    </w:p>
    <w:p w14:paraId="64D079FE" w14:textId="77777777" w:rsidR="00141B97" w:rsidRDefault="00911D63">
      <w:pPr>
        <w:pStyle w:val="BodyText"/>
        <w:ind w:left="113" w:right="951" w:hanging="1"/>
        <w:jc w:val="both"/>
      </w:pPr>
      <w:r>
        <w:t>The return on assets is lower in 2023‐24 due to a reduction in the real rate of return driven by lower cost of debt and an increase in forecast CPI.</w:t>
      </w:r>
    </w:p>
    <w:p w14:paraId="2CE4F392" w14:textId="77777777" w:rsidR="00141B97" w:rsidRDefault="00141B97">
      <w:pPr>
        <w:pStyle w:val="BodyText"/>
        <w:spacing w:before="7"/>
        <w:rPr>
          <w:sz w:val="21"/>
        </w:rPr>
      </w:pPr>
    </w:p>
    <w:tbl>
      <w:tblPr>
        <w:tblW w:w="0" w:type="auto"/>
        <w:tblCellSpacing w:w="10" w:type="dxa"/>
        <w:tblInd w:w="150" w:type="dxa"/>
        <w:tblLayout w:type="fixed"/>
        <w:tblCellMar>
          <w:left w:w="0" w:type="dxa"/>
          <w:right w:w="0" w:type="dxa"/>
        </w:tblCellMar>
        <w:tblLook w:val="01E0" w:firstRow="1" w:lastRow="1" w:firstColumn="1" w:lastColumn="1" w:noHBand="0" w:noVBand="0"/>
      </w:tblPr>
      <w:tblGrid>
        <w:gridCol w:w="2735"/>
        <w:gridCol w:w="995"/>
        <w:gridCol w:w="1033"/>
        <w:gridCol w:w="1034"/>
        <w:gridCol w:w="1034"/>
        <w:gridCol w:w="1033"/>
        <w:gridCol w:w="1033"/>
        <w:gridCol w:w="1028"/>
      </w:tblGrid>
      <w:tr w:rsidR="00141B97" w14:paraId="1898CC1D" w14:textId="77777777">
        <w:trPr>
          <w:trHeight w:val="255"/>
          <w:tblCellSpacing w:w="10" w:type="dxa"/>
        </w:trPr>
        <w:tc>
          <w:tcPr>
            <w:tcW w:w="2705" w:type="dxa"/>
            <w:vMerge w:val="restart"/>
            <w:tcBorders>
              <w:top w:val="nil"/>
              <w:left w:val="nil"/>
              <w:bottom w:val="nil"/>
            </w:tcBorders>
            <w:shd w:val="clear" w:color="auto" w:fill="0064A4"/>
          </w:tcPr>
          <w:p w14:paraId="6660E9E6" w14:textId="77777777" w:rsidR="00141B97" w:rsidRDefault="00141B97">
            <w:pPr>
              <w:pStyle w:val="TableParagraph"/>
              <w:rPr>
                <w:rFonts w:ascii="Times New Roman"/>
                <w:sz w:val="20"/>
              </w:rPr>
            </w:pPr>
          </w:p>
        </w:tc>
        <w:tc>
          <w:tcPr>
            <w:tcW w:w="975" w:type="dxa"/>
            <w:tcBorders>
              <w:top w:val="nil"/>
            </w:tcBorders>
            <w:shd w:val="clear" w:color="auto" w:fill="0064A4"/>
          </w:tcPr>
          <w:p w14:paraId="2EFA0FCC" w14:textId="77777777" w:rsidR="00141B97" w:rsidRDefault="00911D63">
            <w:pPr>
              <w:pStyle w:val="TableParagraph"/>
              <w:spacing w:before="18" w:line="217" w:lineRule="exact"/>
              <w:ind w:left="198"/>
              <w:rPr>
                <w:sz w:val="18"/>
              </w:rPr>
            </w:pPr>
            <w:r>
              <w:rPr>
                <w:color w:val="FFFFFF"/>
                <w:spacing w:val="-2"/>
                <w:sz w:val="18"/>
              </w:rPr>
              <w:t>Current</w:t>
            </w:r>
          </w:p>
        </w:tc>
        <w:tc>
          <w:tcPr>
            <w:tcW w:w="6065" w:type="dxa"/>
            <w:gridSpan w:val="6"/>
            <w:tcBorders>
              <w:top w:val="nil"/>
              <w:right w:val="nil"/>
            </w:tcBorders>
            <w:shd w:val="clear" w:color="auto" w:fill="0064A4"/>
          </w:tcPr>
          <w:p w14:paraId="4A3CC685" w14:textId="77777777" w:rsidR="00141B97" w:rsidRDefault="00911D63">
            <w:pPr>
              <w:pStyle w:val="TableParagraph"/>
              <w:spacing w:before="18" w:line="217" w:lineRule="exact"/>
              <w:ind w:left="2197" w:right="2192"/>
              <w:jc w:val="center"/>
              <w:rPr>
                <w:sz w:val="18"/>
              </w:rPr>
            </w:pPr>
            <w:r>
              <w:rPr>
                <w:color w:val="FFFFFF"/>
                <w:sz w:val="18"/>
              </w:rPr>
              <w:t>Fifth</w:t>
            </w:r>
            <w:r>
              <w:rPr>
                <w:color w:val="FFFFFF"/>
                <w:spacing w:val="-7"/>
                <w:sz w:val="18"/>
              </w:rPr>
              <w:t xml:space="preserve"> </w:t>
            </w:r>
            <w:r>
              <w:rPr>
                <w:color w:val="FFFFFF"/>
                <w:sz w:val="18"/>
              </w:rPr>
              <w:t>Regulatory</w:t>
            </w:r>
            <w:r>
              <w:rPr>
                <w:color w:val="FFFFFF"/>
                <w:spacing w:val="-7"/>
                <w:sz w:val="18"/>
              </w:rPr>
              <w:t xml:space="preserve"> </w:t>
            </w:r>
            <w:r>
              <w:rPr>
                <w:color w:val="FFFFFF"/>
                <w:spacing w:val="-2"/>
                <w:sz w:val="18"/>
              </w:rPr>
              <w:t>Period</w:t>
            </w:r>
          </w:p>
        </w:tc>
      </w:tr>
      <w:tr w:rsidR="00141B97" w14:paraId="41200D81" w14:textId="77777777">
        <w:trPr>
          <w:trHeight w:val="255"/>
          <w:tblCellSpacing w:w="10" w:type="dxa"/>
        </w:trPr>
        <w:tc>
          <w:tcPr>
            <w:tcW w:w="2705" w:type="dxa"/>
            <w:vMerge/>
            <w:tcBorders>
              <w:top w:val="nil"/>
              <w:left w:val="nil"/>
              <w:bottom w:val="nil"/>
            </w:tcBorders>
            <w:shd w:val="clear" w:color="auto" w:fill="0064A4"/>
          </w:tcPr>
          <w:p w14:paraId="38DB2850" w14:textId="77777777" w:rsidR="00141B97" w:rsidRDefault="00141B97">
            <w:pPr>
              <w:rPr>
                <w:sz w:val="2"/>
                <w:szCs w:val="2"/>
              </w:rPr>
            </w:pPr>
          </w:p>
        </w:tc>
        <w:tc>
          <w:tcPr>
            <w:tcW w:w="975" w:type="dxa"/>
            <w:tcBorders>
              <w:bottom w:val="nil"/>
            </w:tcBorders>
            <w:shd w:val="clear" w:color="auto" w:fill="0064A4"/>
          </w:tcPr>
          <w:p w14:paraId="4AA64C3E" w14:textId="77777777" w:rsidR="00141B97" w:rsidRDefault="00911D63">
            <w:pPr>
              <w:pStyle w:val="TableParagraph"/>
              <w:spacing w:before="18" w:line="217" w:lineRule="exact"/>
              <w:ind w:left="174"/>
              <w:rPr>
                <w:sz w:val="18"/>
              </w:rPr>
            </w:pPr>
            <w:r>
              <w:rPr>
                <w:color w:val="FFFFFF"/>
                <w:spacing w:val="-2"/>
                <w:sz w:val="18"/>
              </w:rPr>
              <w:t>2022‐23</w:t>
            </w:r>
          </w:p>
        </w:tc>
        <w:tc>
          <w:tcPr>
            <w:tcW w:w="1013" w:type="dxa"/>
            <w:tcBorders>
              <w:bottom w:val="nil"/>
              <w:right w:val="nil"/>
            </w:tcBorders>
            <w:shd w:val="clear" w:color="auto" w:fill="0064A4"/>
          </w:tcPr>
          <w:p w14:paraId="68C7D5CA" w14:textId="77777777" w:rsidR="00141B97" w:rsidRDefault="00911D63">
            <w:pPr>
              <w:pStyle w:val="TableParagraph"/>
              <w:spacing w:before="18" w:line="217" w:lineRule="exact"/>
              <w:ind w:left="188"/>
              <w:rPr>
                <w:sz w:val="18"/>
              </w:rPr>
            </w:pPr>
            <w:r>
              <w:rPr>
                <w:color w:val="FFFFFF"/>
                <w:spacing w:val="-2"/>
                <w:sz w:val="18"/>
              </w:rPr>
              <w:t>2023‐24</w:t>
            </w:r>
          </w:p>
        </w:tc>
        <w:tc>
          <w:tcPr>
            <w:tcW w:w="1014" w:type="dxa"/>
            <w:tcBorders>
              <w:left w:val="nil"/>
              <w:bottom w:val="nil"/>
            </w:tcBorders>
            <w:shd w:val="clear" w:color="auto" w:fill="0064A4"/>
          </w:tcPr>
          <w:p w14:paraId="55619C78" w14:textId="77777777" w:rsidR="00141B97" w:rsidRDefault="00911D63">
            <w:pPr>
              <w:pStyle w:val="TableParagraph"/>
              <w:spacing w:before="18" w:line="217" w:lineRule="exact"/>
              <w:ind w:left="187"/>
              <w:rPr>
                <w:sz w:val="18"/>
              </w:rPr>
            </w:pPr>
            <w:r>
              <w:rPr>
                <w:color w:val="FFFFFF"/>
                <w:spacing w:val="-2"/>
                <w:sz w:val="18"/>
              </w:rPr>
              <w:t>2024‐25</w:t>
            </w:r>
          </w:p>
        </w:tc>
        <w:tc>
          <w:tcPr>
            <w:tcW w:w="1014" w:type="dxa"/>
            <w:tcBorders>
              <w:bottom w:val="nil"/>
              <w:right w:val="nil"/>
            </w:tcBorders>
            <w:shd w:val="clear" w:color="auto" w:fill="0064A4"/>
          </w:tcPr>
          <w:p w14:paraId="1CBC8BA0" w14:textId="77777777" w:rsidR="00141B97" w:rsidRDefault="00911D63">
            <w:pPr>
              <w:pStyle w:val="TableParagraph"/>
              <w:spacing w:before="18" w:line="217" w:lineRule="exact"/>
              <w:ind w:left="186"/>
              <w:rPr>
                <w:sz w:val="18"/>
              </w:rPr>
            </w:pPr>
            <w:r>
              <w:rPr>
                <w:color w:val="FFFFFF"/>
                <w:spacing w:val="-2"/>
                <w:sz w:val="18"/>
              </w:rPr>
              <w:t>2025‐26</w:t>
            </w:r>
          </w:p>
        </w:tc>
        <w:tc>
          <w:tcPr>
            <w:tcW w:w="1013" w:type="dxa"/>
            <w:tcBorders>
              <w:left w:val="nil"/>
              <w:bottom w:val="nil"/>
              <w:right w:val="nil"/>
            </w:tcBorders>
            <w:shd w:val="clear" w:color="auto" w:fill="0064A4"/>
          </w:tcPr>
          <w:p w14:paraId="08453F69" w14:textId="77777777" w:rsidR="00141B97" w:rsidRDefault="00911D63">
            <w:pPr>
              <w:pStyle w:val="TableParagraph"/>
              <w:spacing w:before="18" w:line="217" w:lineRule="exact"/>
              <w:ind w:left="185"/>
              <w:rPr>
                <w:sz w:val="18"/>
              </w:rPr>
            </w:pPr>
            <w:r>
              <w:rPr>
                <w:color w:val="FFFFFF"/>
                <w:spacing w:val="-2"/>
                <w:sz w:val="18"/>
              </w:rPr>
              <w:t>2026‐27</w:t>
            </w:r>
          </w:p>
        </w:tc>
        <w:tc>
          <w:tcPr>
            <w:tcW w:w="1013" w:type="dxa"/>
            <w:tcBorders>
              <w:left w:val="nil"/>
              <w:bottom w:val="nil"/>
              <w:right w:val="nil"/>
            </w:tcBorders>
            <w:shd w:val="clear" w:color="auto" w:fill="0064A4"/>
          </w:tcPr>
          <w:p w14:paraId="639E6128" w14:textId="77777777" w:rsidR="00141B97" w:rsidRDefault="00911D63">
            <w:pPr>
              <w:pStyle w:val="TableParagraph"/>
              <w:spacing w:before="18" w:line="217" w:lineRule="exact"/>
              <w:ind w:left="185"/>
              <w:rPr>
                <w:sz w:val="18"/>
              </w:rPr>
            </w:pPr>
            <w:r>
              <w:rPr>
                <w:color w:val="FFFFFF"/>
                <w:spacing w:val="-2"/>
                <w:sz w:val="18"/>
              </w:rPr>
              <w:t>2027‐28</w:t>
            </w:r>
          </w:p>
        </w:tc>
        <w:tc>
          <w:tcPr>
            <w:tcW w:w="998" w:type="dxa"/>
            <w:tcBorders>
              <w:left w:val="nil"/>
              <w:bottom w:val="nil"/>
              <w:right w:val="nil"/>
            </w:tcBorders>
            <w:shd w:val="clear" w:color="auto" w:fill="0064A4"/>
          </w:tcPr>
          <w:p w14:paraId="4E021658" w14:textId="77777777" w:rsidR="00141B97" w:rsidRDefault="00911D63">
            <w:pPr>
              <w:pStyle w:val="TableParagraph"/>
              <w:spacing w:before="18" w:line="217" w:lineRule="exact"/>
              <w:ind w:left="249"/>
              <w:rPr>
                <w:sz w:val="18"/>
              </w:rPr>
            </w:pPr>
            <w:r>
              <w:rPr>
                <w:color w:val="FFFFFF"/>
                <w:spacing w:val="-2"/>
                <w:sz w:val="18"/>
              </w:rPr>
              <w:t>TOTAL</w:t>
            </w:r>
          </w:p>
        </w:tc>
      </w:tr>
      <w:tr w:rsidR="00141B97" w14:paraId="7363615C" w14:textId="77777777">
        <w:trPr>
          <w:trHeight w:val="269"/>
          <w:tblCellSpacing w:w="10" w:type="dxa"/>
        </w:trPr>
        <w:tc>
          <w:tcPr>
            <w:tcW w:w="2705" w:type="dxa"/>
            <w:tcBorders>
              <w:top w:val="nil"/>
              <w:left w:val="nil"/>
            </w:tcBorders>
            <w:shd w:val="clear" w:color="auto" w:fill="CCE2ED"/>
          </w:tcPr>
          <w:p w14:paraId="05B2D80C" w14:textId="77777777" w:rsidR="00141B97" w:rsidRDefault="00911D63">
            <w:pPr>
              <w:pStyle w:val="TableParagraph"/>
              <w:spacing w:before="25"/>
              <w:ind w:left="88"/>
              <w:rPr>
                <w:sz w:val="18"/>
              </w:rPr>
            </w:pPr>
            <w:r>
              <w:rPr>
                <w:sz w:val="18"/>
              </w:rPr>
              <w:t>Operating</w:t>
            </w:r>
            <w:r>
              <w:rPr>
                <w:spacing w:val="-8"/>
                <w:sz w:val="18"/>
              </w:rPr>
              <w:t xml:space="preserve"> </w:t>
            </w:r>
            <w:r>
              <w:rPr>
                <w:spacing w:val="-2"/>
                <w:sz w:val="18"/>
              </w:rPr>
              <w:t>expenditure</w:t>
            </w:r>
          </w:p>
        </w:tc>
        <w:tc>
          <w:tcPr>
            <w:tcW w:w="975" w:type="dxa"/>
            <w:tcBorders>
              <w:top w:val="nil"/>
            </w:tcBorders>
            <w:shd w:val="clear" w:color="auto" w:fill="CCE2ED"/>
          </w:tcPr>
          <w:p w14:paraId="3916F118" w14:textId="77777777" w:rsidR="00141B97" w:rsidRDefault="00911D63">
            <w:pPr>
              <w:pStyle w:val="TableParagraph"/>
              <w:spacing w:before="25"/>
              <w:ind w:right="96"/>
              <w:jc w:val="right"/>
              <w:rPr>
                <w:sz w:val="18"/>
              </w:rPr>
            </w:pPr>
            <w:r>
              <w:rPr>
                <w:spacing w:val="-2"/>
                <w:sz w:val="18"/>
              </w:rPr>
              <w:t>25.31</w:t>
            </w:r>
          </w:p>
        </w:tc>
        <w:tc>
          <w:tcPr>
            <w:tcW w:w="1013" w:type="dxa"/>
            <w:tcBorders>
              <w:top w:val="nil"/>
              <w:right w:val="nil"/>
            </w:tcBorders>
            <w:shd w:val="clear" w:color="auto" w:fill="CCE2ED"/>
          </w:tcPr>
          <w:p w14:paraId="402BEA0E" w14:textId="77777777" w:rsidR="00141B97" w:rsidRDefault="00911D63">
            <w:pPr>
              <w:pStyle w:val="TableParagraph"/>
              <w:spacing w:before="25"/>
              <w:ind w:right="91"/>
              <w:jc w:val="right"/>
              <w:rPr>
                <w:sz w:val="18"/>
              </w:rPr>
            </w:pPr>
            <w:r>
              <w:rPr>
                <w:spacing w:val="-2"/>
                <w:sz w:val="18"/>
              </w:rPr>
              <w:t>29.55</w:t>
            </w:r>
          </w:p>
        </w:tc>
        <w:tc>
          <w:tcPr>
            <w:tcW w:w="1014" w:type="dxa"/>
            <w:tcBorders>
              <w:top w:val="nil"/>
              <w:left w:val="nil"/>
            </w:tcBorders>
            <w:shd w:val="clear" w:color="auto" w:fill="CCE2ED"/>
          </w:tcPr>
          <w:p w14:paraId="6FBEE7BC" w14:textId="77777777" w:rsidR="00141B97" w:rsidRDefault="00911D63">
            <w:pPr>
              <w:pStyle w:val="TableParagraph"/>
              <w:spacing w:before="25"/>
              <w:ind w:right="93"/>
              <w:jc w:val="right"/>
              <w:rPr>
                <w:sz w:val="18"/>
              </w:rPr>
            </w:pPr>
            <w:r>
              <w:rPr>
                <w:spacing w:val="-2"/>
                <w:sz w:val="18"/>
              </w:rPr>
              <w:t>29.71</w:t>
            </w:r>
          </w:p>
        </w:tc>
        <w:tc>
          <w:tcPr>
            <w:tcW w:w="1014" w:type="dxa"/>
            <w:tcBorders>
              <w:top w:val="nil"/>
              <w:right w:val="nil"/>
            </w:tcBorders>
            <w:shd w:val="clear" w:color="auto" w:fill="CCE2ED"/>
          </w:tcPr>
          <w:p w14:paraId="09CD1089" w14:textId="77777777" w:rsidR="00141B97" w:rsidRDefault="00911D63">
            <w:pPr>
              <w:pStyle w:val="TableParagraph"/>
              <w:spacing w:before="25"/>
              <w:ind w:right="94"/>
              <w:jc w:val="right"/>
              <w:rPr>
                <w:sz w:val="18"/>
              </w:rPr>
            </w:pPr>
            <w:r>
              <w:rPr>
                <w:spacing w:val="-2"/>
                <w:sz w:val="18"/>
              </w:rPr>
              <w:t>29.84</w:t>
            </w:r>
          </w:p>
        </w:tc>
        <w:tc>
          <w:tcPr>
            <w:tcW w:w="1013" w:type="dxa"/>
            <w:tcBorders>
              <w:top w:val="nil"/>
              <w:left w:val="nil"/>
              <w:right w:val="nil"/>
            </w:tcBorders>
            <w:shd w:val="clear" w:color="auto" w:fill="CCE2ED"/>
          </w:tcPr>
          <w:p w14:paraId="1B00075A" w14:textId="77777777" w:rsidR="00141B97" w:rsidRDefault="00911D63">
            <w:pPr>
              <w:pStyle w:val="TableParagraph"/>
              <w:spacing w:before="25"/>
              <w:ind w:right="94"/>
              <w:jc w:val="right"/>
              <w:rPr>
                <w:sz w:val="18"/>
              </w:rPr>
            </w:pPr>
            <w:r>
              <w:rPr>
                <w:spacing w:val="-2"/>
                <w:sz w:val="18"/>
              </w:rPr>
              <w:t>30.33</w:t>
            </w:r>
          </w:p>
        </w:tc>
        <w:tc>
          <w:tcPr>
            <w:tcW w:w="1013" w:type="dxa"/>
            <w:tcBorders>
              <w:top w:val="nil"/>
              <w:left w:val="nil"/>
              <w:right w:val="nil"/>
            </w:tcBorders>
            <w:shd w:val="clear" w:color="auto" w:fill="CCE2ED"/>
          </w:tcPr>
          <w:p w14:paraId="6B26C848" w14:textId="77777777" w:rsidR="00141B97" w:rsidRDefault="00911D63">
            <w:pPr>
              <w:pStyle w:val="TableParagraph"/>
              <w:spacing w:before="25"/>
              <w:ind w:right="94"/>
              <w:jc w:val="right"/>
              <w:rPr>
                <w:sz w:val="18"/>
              </w:rPr>
            </w:pPr>
            <w:r>
              <w:rPr>
                <w:spacing w:val="-2"/>
                <w:sz w:val="18"/>
              </w:rPr>
              <w:t>29.77</w:t>
            </w:r>
          </w:p>
        </w:tc>
        <w:tc>
          <w:tcPr>
            <w:tcW w:w="998" w:type="dxa"/>
            <w:tcBorders>
              <w:top w:val="nil"/>
              <w:left w:val="nil"/>
              <w:right w:val="nil"/>
            </w:tcBorders>
            <w:shd w:val="clear" w:color="auto" w:fill="CCE2ED"/>
          </w:tcPr>
          <w:p w14:paraId="49DE6206" w14:textId="77777777" w:rsidR="00141B97" w:rsidRDefault="00911D63">
            <w:pPr>
              <w:pStyle w:val="TableParagraph"/>
              <w:spacing w:before="25"/>
              <w:ind w:right="85"/>
              <w:jc w:val="right"/>
              <w:rPr>
                <w:sz w:val="18"/>
              </w:rPr>
            </w:pPr>
            <w:r>
              <w:rPr>
                <w:spacing w:val="-2"/>
                <w:sz w:val="18"/>
              </w:rPr>
              <w:t>149.21</w:t>
            </w:r>
          </w:p>
        </w:tc>
      </w:tr>
      <w:tr w:rsidR="00141B97" w14:paraId="3C2F87B5" w14:textId="77777777">
        <w:trPr>
          <w:trHeight w:val="254"/>
          <w:tblCellSpacing w:w="10" w:type="dxa"/>
        </w:trPr>
        <w:tc>
          <w:tcPr>
            <w:tcW w:w="2705" w:type="dxa"/>
            <w:tcBorders>
              <w:left w:val="nil"/>
            </w:tcBorders>
            <w:shd w:val="clear" w:color="auto" w:fill="CCE2ED"/>
          </w:tcPr>
          <w:p w14:paraId="469AF6D0" w14:textId="77777777" w:rsidR="00141B97" w:rsidRDefault="00911D63">
            <w:pPr>
              <w:pStyle w:val="TableParagraph"/>
              <w:spacing w:before="19" w:line="216" w:lineRule="exact"/>
              <w:ind w:left="88"/>
              <w:rPr>
                <w:sz w:val="18"/>
              </w:rPr>
            </w:pPr>
            <w:r>
              <w:rPr>
                <w:sz w:val="18"/>
              </w:rPr>
              <w:t>Return</w:t>
            </w:r>
            <w:r>
              <w:rPr>
                <w:spacing w:val="-4"/>
                <w:sz w:val="18"/>
              </w:rPr>
              <w:t xml:space="preserve"> </w:t>
            </w:r>
            <w:r>
              <w:rPr>
                <w:sz w:val="18"/>
              </w:rPr>
              <w:t>on</w:t>
            </w:r>
            <w:r>
              <w:rPr>
                <w:spacing w:val="-4"/>
                <w:sz w:val="18"/>
              </w:rPr>
              <w:t xml:space="preserve"> </w:t>
            </w:r>
            <w:r>
              <w:rPr>
                <w:spacing w:val="-2"/>
                <w:sz w:val="18"/>
              </w:rPr>
              <w:t>assets</w:t>
            </w:r>
          </w:p>
        </w:tc>
        <w:tc>
          <w:tcPr>
            <w:tcW w:w="975" w:type="dxa"/>
            <w:shd w:val="clear" w:color="auto" w:fill="CCE2ED"/>
          </w:tcPr>
          <w:p w14:paraId="41FB7516" w14:textId="77777777" w:rsidR="00141B97" w:rsidRDefault="00911D63">
            <w:pPr>
              <w:pStyle w:val="TableParagraph"/>
              <w:spacing w:before="19" w:line="216" w:lineRule="exact"/>
              <w:ind w:right="96"/>
              <w:jc w:val="right"/>
              <w:rPr>
                <w:sz w:val="18"/>
              </w:rPr>
            </w:pPr>
            <w:r>
              <w:rPr>
                <w:spacing w:val="-4"/>
                <w:sz w:val="18"/>
              </w:rPr>
              <w:t>7.92</w:t>
            </w:r>
          </w:p>
        </w:tc>
        <w:tc>
          <w:tcPr>
            <w:tcW w:w="1013" w:type="dxa"/>
            <w:tcBorders>
              <w:right w:val="nil"/>
            </w:tcBorders>
            <w:shd w:val="clear" w:color="auto" w:fill="CCE2ED"/>
          </w:tcPr>
          <w:p w14:paraId="66C79991" w14:textId="77777777" w:rsidR="00141B97" w:rsidRDefault="00911D63">
            <w:pPr>
              <w:pStyle w:val="TableParagraph"/>
              <w:spacing w:before="19" w:line="216" w:lineRule="exact"/>
              <w:ind w:right="91"/>
              <w:jc w:val="right"/>
              <w:rPr>
                <w:sz w:val="18"/>
              </w:rPr>
            </w:pPr>
            <w:r>
              <w:rPr>
                <w:spacing w:val="-4"/>
                <w:sz w:val="18"/>
              </w:rPr>
              <w:t>5.22</w:t>
            </w:r>
          </w:p>
        </w:tc>
        <w:tc>
          <w:tcPr>
            <w:tcW w:w="1014" w:type="dxa"/>
            <w:tcBorders>
              <w:left w:val="nil"/>
            </w:tcBorders>
            <w:shd w:val="clear" w:color="auto" w:fill="CCE2ED"/>
          </w:tcPr>
          <w:p w14:paraId="125B41F2" w14:textId="77777777" w:rsidR="00141B97" w:rsidRDefault="00911D63">
            <w:pPr>
              <w:pStyle w:val="TableParagraph"/>
              <w:spacing w:before="19" w:line="216" w:lineRule="exact"/>
              <w:ind w:right="93"/>
              <w:jc w:val="right"/>
              <w:rPr>
                <w:sz w:val="18"/>
              </w:rPr>
            </w:pPr>
            <w:r>
              <w:rPr>
                <w:spacing w:val="-4"/>
                <w:sz w:val="18"/>
              </w:rPr>
              <w:t>5.10</w:t>
            </w:r>
          </w:p>
        </w:tc>
        <w:tc>
          <w:tcPr>
            <w:tcW w:w="1014" w:type="dxa"/>
            <w:tcBorders>
              <w:right w:val="nil"/>
            </w:tcBorders>
            <w:shd w:val="clear" w:color="auto" w:fill="CCE2ED"/>
          </w:tcPr>
          <w:p w14:paraId="51FD9477" w14:textId="77777777" w:rsidR="00141B97" w:rsidRDefault="00911D63">
            <w:pPr>
              <w:pStyle w:val="TableParagraph"/>
              <w:spacing w:before="19" w:line="216" w:lineRule="exact"/>
              <w:ind w:right="94"/>
              <w:jc w:val="right"/>
              <w:rPr>
                <w:sz w:val="18"/>
              </w:rPr>
            </w:pPr>
            <w:r>
              <w:rPr>
                <w:spacing w:val="-4"/>
                <w:sz w:val="18"/>
              </w:rPr>
              <w:t>5.07</w:t>
            </w:r>
          </w:p>
        </w:tc>
        <w:tc>
          <w:tcPr>
            <w:tcW w:w="1013" w:type="dxa"/>
            <w:tcBorders>
              <w:left w:val="nil"/>
              <w:right w:val="nil"/>
            </w:tcBorders>
            <w:shd w:val="clear" w:color="auto" w:fill="CCE2ED"/>
          </w:tcPr>
          <w:p w14:paraId="083571E0" w14:textId="77777777" w:rsidR="00141B97" w:rsidRDefault="00911D63">
            <w:pPr>
              <w:pStyle w:val="TableParagraph"/>
              <w:spacing w:before="19" w:line="216" w:lineRule="exact"/>
              <w:ind w:right="94"/>
              <w:jc w:val="right"/>
              <w:rPr>
                <w:sz w:val="18"/>
              </w:rPr>
            </w:pPr>
            <w:r>
              <w:rPr>
                <w:spacing w:val="-4"/>
                <w:sz w:val="18"/>
              </w:rPr>
              <w:t>4.99</w:t>
            </w:r>
          </w:p>
        </w:tc>
        <w:tc>
          <w:tcPr>
            <w:tcW w:w="1013" w:type="dxa"/>
            <w:tcBorders>
              <w:left w:val="nil"/>
              <w:right w:val="nil"/>
            </w:tcBorders>
            <w:shd w:val="clear" w:color="auto" w:fill="CCE2ED"/>
          </w:tcPr>
          <w:p w14:paraId="055E4D49" w14:textId="77777777" w:rsidR="00141B97" w:rsidRDefault="00911D63">
            <w:pPr>
              <w:pStyle w:val="TableParagraph"/>
              <w:spacing w:before="19" w:line="216" w:lineRule="exact"/>
              <w:ind w:right="94"/>
              <w:jc w:val="right"/>
              <w:rPr>
                <w:sz w:val="18"/>
              </w:rPr>
            </w:pPr>
            <w:r>
              <w:rPr>
                <w:spacing w:val="-4"/>
                <w:sz w:val="18"/>
              </w:rPr>
              <w:t>4.95</w:t>
            </w:r>
          </w:p>
        </w:tc>
        <w:tc>
          <w:tcPr>
            <w:tcW w:w="998" w:type="dxa"/>
            <w:tcBorders>
              <w:left w:val="nil"/>
              <w:right w:val="nil"/>
            </w:tcBorders>
            <w:shd w:val="clear" w:color="auto" w:fill="CCE2ED"/>
          </w:tcPr>
          <w:p w14:paraId="0DC791C2" w14:textId="77777777" w:rsidR="00141B97" w:rsidRDefault="00911D63">
            <w:pPr>
              <w:pStyle w:val="TableParagraph"/>
              <w:spacing w:before="19" w:line="216" w:lineRule="exact"/>
              <w:ind w:right="85"/>
              <w:jc w:val="right"/>
              <w:rPr>
                <w:sz w:val="18"/>
              </w:rPr>
            </w:pPr>
            <w:r>
              <w:rPr>
                <w:spacing w:val="-2"/>
                <w:sz w:val="18"/>
              </w:rPr>
              <w:t>25.32</w:t>
            </w:r>
          </w:p>
        </w:tc>
      </w:tr>
      <w:tr w:rsidR="00141B97" w14:paraId="4E40D869" w14:textId="77777777">
        <w:trPr>
          <w:trHeight w:val="255"/>
          <w:tblCellSpacing w:w="10" w:type="dxa"/>
        </w:trPr>
        <w:tc>
          <w:tcPr>
            <w:tcW w:w="2705" w:type="dxa"/>
            <w:tcBorders>
              <w:left w:val="nil"/>
            </w:tcBorders>
            <w:shd w:val="clear" w:color="auto" w:fill="CCE2ED"/>
          </w:tcPr>
          <w:p w14:paraId="0676087E" w14:textId="77777777" w:rsidR="00141B97" w:rsidRDefault="00911D63">
            <w:pPr>
              <w:pStyle w:val="TableParagraph"/>
              <w:spacing w:before="19" w:line="217" w:lineRule="exact"/>
              <w:ind w:left="88"/>
              <w:rPr>
                <w:sz w:val="18"/>
              </w:rPr>
            </w:pPr>
            <w:r>
              <w:rPr>
                <w:sz w:val="18"/>
              </w:rPr>
              <w:t>Regulatory</w:t>
            </w:r>
            <w:r>
              <w:rPr>
                <w:spacing w:val="-8"/>
                <w:sz w:val="18"/>
              </w:rPr>
              <w:t xml:space="preserve"> </w:t>
            </w:r>
            <w:r>
              <w:rPr>
                <w:spacing w:val="-2"/>
                <w:sz w:val="18"/>
              </w:rPr>
              <w:t>depreciation</w:t>
            </w:r>
          </w:p>
        </w:tc>
        <w:tc>
          <w:tcPr>
            <w:tcW w:w="975" w:type="dxa"/>
            <w:shd w:val="clear" w:color="auto" w:fill="CCE2ED"/>
          </w:tcPr>
          <w:p w14:paraId="7930862A" w14:textId="77777777" w:rsidR="00141B97" w:rsidRDefault="00911D63">
            <w:pPr>
              <w:pStyle w:val="TableParagraph"/>
              <w:spacing w:before="19" w:line="217" w:lineRule="exact"/>
              <w:ind w:right="96"/>
              <w:jc w:val="right"/>
              <w:rPr>
                <w:sz w:val="18"/>
              </w:rPr>
            </w:pPr>
            <w:r>
              <w:rPr>
                <w:spacing w:val="-2"/>
                <w:sz w:val="18"/>
              </w:rPr>
              <w:t>10.12</w:t>
            </w:r>
          </w:p>
        </w:tc>
        <w:tc>
          <w:tcPr>
            <w:tcW w:w="1013" w:type="dxa"/>
            <w:tcBorders>
              <w:right w:val="nil"/>
            </w:tcBorders>
            <w:shd w:val="clear" w:color="auto" w:fill="CCE2ED"/>
          </w:tcPr>
          <w:p w14:paraId="5597E288" w14:textId="77777777" w:rsidR="00141B97" w:rsidRDefault="00911D63">
            <w:pPr>
              <w:pStyle w:val="TableParagraph"/>
              <w:spacing w:before="19" w:line="217" w:lineRule="exact"/>
              <w:ind w:right="91"/>
              <w:jc w:val="right"/>
              <w:rPr>
                <w:sz w:val="18"/>
              </w:rPr>
            </w:pPr>
            <w:r>
              <w:rPr>
                <w:spacing w:val="-2"/>
                <w:sz w:val="18"/>
              </w:rPr>
              <w:t>10.41</w:t>
            </w:r>
          </w:p>
        </w:tc>
        <w:tc>
          <w:tcPr>
            <w:tcW w:w="1014" w:type="dxa"/>
            <w:tcBorders>
              <w:left w:val="nil"/>
            </w:tcBorders>
            <w:shd w:val="clear" w:color="auto" w:fill="CCE2ED"/>
          </w:tcPr>
          <w:p w14:paraId="3EDA5D30" w14:textId="77777777" w:rsidR="00141B97" w:rsidRDefault="00911D63">
            <w:pPr>
              <w:pStyle w:val="TableParagraph"/>
              <w:spacing w:before="19" w:line="217" w:lineRule="exact"/>
              <w:ind w:right="93"/>
              <w:jc w:val="right"/>
              <w:rPr>
                <w:sz w:val="18"/>
              </w:rPr>
            </w:pPr>
            <w:r>
              <w:rPr>
                <w:spacing w:val="-2"/>
                <w:sz w:val="18"/>
              </w:rPr>
              <w:t>11.02</w:t>
            </w:r>
          </w:p>
        </w:tc>
        <w:tc>
          <w:tcPr>
            <w:tcW w:w="1014" w:type="dxa"/>
            <w:tcBorders>
              <w:right w:val="nil"/>
            </w:tcBorders>
            <w:shd w:val="clear" w:color="auto" w:fill="CCE2ED"/>
          </w:tcPr>
          <w:p w14:paraId="5A35D5D9" w14:textId="77777777" w:rsidR="00141B97" w:rsidRDefault="00911D63">
            <w:pPr>
              <w:pStyle w:val="TableParagraph"/>
              <w:spacing w:before="19" w:line="217" w:lineRule="exact"/>
              <w:ind w:right="94"/>
              <w:jc w:val="right"/>
              <w:rPr>
                <w:sz w:val="18"/>
              </w:rPr>
            </w:pPr>
            <w:r>
              <w:rPr>
                <w:spacing w:val="-4"/>
                <w:sz w:val="18"/>
              </w:rPr>
              <w:t>9.65</w:t>
            </w:r>
          </w:p>
        </w:tc>
        <w:tc>
          <w:tcPr>
            <w:tcW w:w="1013" w:type="dxa"/>
            <w:tcBorders>
              <w:left w:val="nil"/>
              <w:right w:val="nil"/>
            </w:tcBorders>
            <w:shd w:val="clear" w:color="auto" w:fill="CCE2ED"/>
          </w:tcPr>
          <w:p w14:paraId="5E59D6BF" w14:textId="77777777" w:rsidR="00141B97" w:rsidRDefault="00911D63">
            <w:pPr>
              <w:pStyle w:val="TableParagraph"/>
              <w:spacing w:before="19" w:line="217" w:lineRule="exact"/>
              <w:ind w:right="94"/>
              <w:jc w:val="right"/>
              <w:rPr>
                <w:sz w:val="18"/>
              </w:rPr>
            </w:pPr>
            <w:r>
              <w:rPr>
                <w:spacing w:val="-4"/>
                <w:sz w:val="18"/>
              </w:rPr>
              <w:t>9.66</w:t>
            </w:r>
          </w:p>
        </w:tc>
        <w:tc>
          <w:tcPr>
            <w:tcW w:w="1013" w:type="dxa"/>
            <w:tcBorders>
              <w:left w:val="nil"/>
              <w:right w:val="nil"/>
            </w:tcBorders>
            <w:shd w:val="clear" w:color="auto" w:fill="CCE2ED"/>
          </w:tcPr>
          <w:p w14:paraId="37905353" w14:textId="77777777" w:rsidR="00141B97" w:rsidRDefault="00911D63">
            <w:pPr>
              <w:pStyle w:val="TableParagraph"/>
              <w:spacing w:before="19" w:line="217" w:lineRule="exact"/>
              <w:ind w:right="94"/>
              <w:jc w:val="right"/>
              <w:rPr>
                <w:sz w:val="18"/>
              </w:rPr>
            </w:pPr>
            <w:r>
              <w:rPr>
                <w:spacing w:val="-4"/>
                <w:sz w:val="18"/>
              </w:rPr>
              <w:t>9.50</w:t>
            </w:r>
          </w:p>
        </w:tc>
        <w:tc>
          <w:tcPr>
            <w:tcW w:w="998" w:type="dxa"/>
            <w:tcBorders>
              <w:left w:val="nil"/>
              <w:right w:val="nil"/>
            </w:tcBorders>
            <w:shd w:val="clear" w:color="auto" w:fill="CCE2ED"/>
          </w:tcPr>
          <w:p w14:paraId="36D96D3F" w14:textId="77777777" w:rsidR="00141B97" w:rsidRDefault="00911D63">
            <w:pPr>
              <w:pStyle w:val="TableParagraph"/>
              <w:spacing w:before="19" w:line="217" w:lineRule="exact"/>
              <w:ind w:right="85"/>
              <w:jc w:val="right"/>
              <w:rPr>
                <w:sz w:val="18"/>
              </w:rPr>
            </w:pPr>
            <w:r>
              <w:rPr>
                <w:spacing w:val="-2"/>
                <w:sz w:val="18"/>
              </w:rPr>
              <w:t>50.24</w:t>
            </w:r>
          </w:p>
        </w:tc>
      </w:tr>
      <w:tr w:rsidR="00141B97" w14:paraId="462E6AA7" w14:textId="77777777">
        <w:trPr>
          <w:trHeight w:val="254"/>
          <w:tblCellSpacing w:w="10" w:type="dxa"/>
        </w:trPr>
        <w:tc>
          <w:tcPr>
            <w:tcW w:w="2705" w:type="dxa"/>
            <w:tcBorders>
              <w:left w:val="nil"/>
            </w:tcBorders>
            <w:shd w:val="clear" w:color="auto" w:fill="CCE2ED"/>
          </w:tcPr>
          <w:p w14:paraId="28BB1BC6" w14:textId="77777777" w:rsidR="00141B97" w:rsidRDefault="00911D63">
            <w:pPr>
              <w:pStyle w:val="TableParagraph"/>
              <w:spacing w:before="18" w:line="217" w:lineRule="exact"/>
              <w:ind w:left="88"/>
              <w:rPr>
                <w:sz w:val="18"/>
              </w:rPr>
            </w:pPr>
            <w:r>
              <w:rPr>
                <w:sz w:val="18"/>
              </w:rPr>
              <w:t>Adjustments</w:t>
            </w:r>
            <w:r>
              <w:rPr>
                <w:spacing w:val="-7"/>
                <w:sz w:val="18"/>
              </w:rPr>
              <w:t xml:space="preserve"> </w:t>
            </w:r>
            <w:r>
              <w:rPr>
                <w:sz w:val="18"/>
              </w:rPr>
              <w:t>from</w:t>
            </w:r>
            <w:r>
              <w:rPr>
                <w:spacing w:val="-6"/>
                <w:sz w:val="18"/>
              </w:rPr>
              <w:t xml:space="preserve"> </w:t>
            </w:r>
            <w:r>
              <w:rPr>
                <w:sz w:val="18"/>
              </w:rPr>
              <w:t>last</w:t>
            </w:r>
            <w:r>
              <w:rPr>
                <w:spacing w:val="-8"/>
                <w:sz w:val="18"/>
              </w:rPr>
              <w:t xml:space="preserve"> </w:t>
            </w:r>
            <w:r>
              <w:rPr>
                <w:spacing w:val="-2"/>
                <w:sz w:val="18"/>
              </w:rPr>
              <w:t>period</w:t>
            </w:r>
          </w:p>
        </w:tc>
        <w:tc>
          <w:tcPr>
            <w:tcW w:w="975" w:type="dxa"/>
            <w:shd w:val="clear" w:color="auto" w:fill="CCE2ED"/>
          </w:tcPr>
          <w:p w14:paraId="2D25366D" w14:textId="77777777" w:rsidR="00141B97" w:rsidRDefault="00911D63">
            <w:pPr>
              <w:pStyle w:val="TableParagraph"/>
              <w:spacing w:before="18" w:line="217" w:lineRule="exact"/>
              <w:ind w:right="96"/>
              <w:jc w:val="right"/>
              <w:rPr>
                <w:sz w:val="18"/>
              </w:rPr>
            </w:pPr>
            <w:r>
              <w:rPr>
                <w:w w:val="99"/>
                <w:sz w:val="18"/>
              </w:rPr>
              <w:t>‐</w:t>
            </w:r>
          </w:p>
        </w:tc>
        <w:tc>
          <w:tcPr>
            <w:tcW w:w="1013" w:type="dxa"/>
            <w:tcBorders>
              <w:right w:val="nil"/>
            </w:tcBorders>
            <w:shd w:val="clear" w:color="auto" w:fill="CCE2ED"/>
          </w:tcPr>
          <w:p w14:paraId="07A5AF9E" w14:textId="77777777" w:rsidR="00141B97" w:rsidRDefault="00911D63">
            <w:pPr>
              <w:pStyle w:val="TableParagraph"/>
              <w:spacing w:before="18" w:line="217" w:lineRule="exact"/>
              <w:ind w:right="92"/>
              <w:jc w:val="right"/>
              <w:rPr>
                <w:sz w:val="18"/>
              </w:rPr>
            </w:pPr>
            <w:r>
              <w:rPr>
                <w:w w:val="99"/>
                <w:sz w:val="18"/>
              </w:rPr>
              <w:t>‐</w:t>
            </w:r>
          </w:p>
        </w:tc>
        <w:tc>
          <w:tcPr>
            <w:tcW w:w="1014" w:type="dxa"/>
            <w:tcBorders>
              <w:left w:val="nil"/>
            </w:tcBorders>
            <w:shd w:val="clear" w:color="auto" w:fill="CCE2ED"/>
          </w:tcPr>
          <w:p w14:paraId="7A4F06D4" w14:textId="77777777" w:rsidR="00141B97" w:rsidRDefault="00911D63">
            <w:pPr>
              <w:pStyle w:val="TableParagraph"/>
              <w:spacing w:before="18" w:line="217" w:lineRule="exact"/>
              <w:ind w:right="93"/>
              <w:jc w:val="right"/>
              <w:rPr>
                <w:sz w:val="18"/>
              </w:rPr>
            </w:pPr>
            <w:r>
              <w:rPr>
                <w:w w:val="99"/>
                <w:sz w:val="18"/>
              </w:rPr>
              <w:t>‐</w:t>
            </w:r>
          </w:p>
        </w:tc>
        <w:tc>
          <w:tcPr>
            <w:tcW w:w="1014" w:type="dxa"/>
            <w:tcBorders>
              <w:right w:val="nil"/>
            </w:tcBorders>
            <w:shd w:val="clear" w:color="auto" w:fill="CCE2ED"/>
          </w:tcPr>
          <w:p w14:paraId="44C5E954" w14:textId="77777777" w:rsidR="00141B97" w:rsidRDefault="00911D63">
            <w:pPr>
              <w:pStyle w:val="TableParagraph"/>
              <w:spacing w:before="18" w:line="217" w:lineRule="exact"/>
              <w:ind w:right="94"/>
              <w:jc w:val="right"/>
              <w:rPr>
                <w:sz w:val="18"/>
              </w:rPr>
            </w:pPr>
            <w:r>
              <w:rPr>
                <w:w w:val="99"/>
                <w:sz w:val="18"/>
              </w:rPr>
              <w:t>‐</w:t>
            </w:r>
          </w:p>
        </w:tc>
        <w:tc>
          <w:tcPr>
            <w:tcW w:w="1013" w:type="dxa"/>
            <w:tcBorders>
              <w:left w:val="nil"/>
              <w:right w:val="nil"/>
            </w:tcBorders>
            <w:shd w:val="clear" w:color="auto" w:fill="CCE2ED"/>
          </w:tcPr>
          <w:p w14:paraId="77950E29" w14:textId="77777777" w:rsidR="00141B97" w:rsidRDefault="00911D63">
            <w:pPr>
              <w:pStyle w:val="TableParagraph"/>
              <w:spacing w:before="18" w:line="217" w:lineRule="exact"/>
              <w:ind w:right="94"/>
              <w:jc w:val="right"/>
              <w:rPr>
                <w:sz w:val="18"/>
              </w:rPr>
            </w:pPr>
            <w:r>
              <w:rPr>
                <w:w w:val="99"/>
                <w:sz w:val="18"/>
              </w:rPr>
              <w:t>‐</w:t>
            </w:r>
          </w:p>
        </w:tc>
        <w:tc>
          <w:tcPr>
            <w:tcW w:w="1013" w:type="dxa"/>
            <w:tcBorders>
              <w:left w:val="nil"/>
              <w:right w:val="nil"/>
            </w:tcBorders>
            <w:shd w:val="clear" w:color="auto" w:fill="CCE2ED"/>
          </w:tcPr>
          <w:p w14:paraId="2C4D2226" w14:textId="77777777" w:rsidR="00141B97" w:rsidRDefault="00911D63">
            <w:pPr>
              <w:pStyle w:val="TableParagraph"/>
              <w:spacing w:before="18" w:line="217" w:lineRule="exact"/>
              <w:ind w:right="94"/>
              <w:jc w:val="right"/>
              <w:rPr>
                <w:sz w:val="18"/>
              </w:rPr>
            </w:pPr>
            <w:r>
              <w:rPr>
                <w:w w:val="99"/>
                <w:sz w:val="18"/>
              </w:rPr>
              <w:t>‐</w:t>
            </w:r>
          </w:p>
        </w:tc>
        <w:tc>
          <w:tcPr>
            <w:tcW w:w="998" w:type="dxa"/>
            <w:tcBorders>
              <w:left w:val="nil"/>
              <w:right w:val="nil"/>
            </w:tcBorders>
            <w:shd w:val="clear" w:color="auto" w:fill="CCE2ED"/>
          </w:tcPr>
          <w:p w14:paraId="2623CAF9" w14:textId="77777777" w:rsidR="00141B97" w:rsidRDefault="00911D63">
            <w:pPr>
              <w:pStyle w:val="TableParagraph"/>
              <w:spacing w:before="18" w:line="217" w:lineRule="exact"/>
              <w:ind w:right="86"/>
              <w:jc w:val="right"/>
              <w:rPr>
                <w:sz w:val="18"/>
              </w:rPr>
            </w:pPr>
            <w:r>
              <w:rPr>
                <w:w w:val="99"/>
                <w:sz w:val="18"/>
              </w:rPr>
              <w:t>‐</w:t>
            </w:r>
          </w:p>
        </w:tc>
      </w:tr>
      <w:tr w:rsidR="00141B97" w14:paraId="6B2CE2EF" w14:textId="77777777">
        <w:trPr>
          <w:trHeight w:val="439"/>
          <w:tblCellSpacing w:w="10" w:type="dxa"/>
        </w:trPr>
        <w:tc>
          <w:tcPr>
            <w:tcW w:w="2705" w:type="dxa"/>
            <w:tcBorders>
              <w:left w:val="nil"/>
            </w:tcBorders>
            <w:shd w:val="clear" w:color="auto" w:fill="CCE2ED"/>
          </w:tcPr>
          <w:p w14:paraId="7DBE6B58" w14:textId="77777777" w:rsidR="00141B97" w:rsidRDefault="00911D63">
            <w:pPr>
              <w:pStyle w:val="TableParagraph"/>
              <w:spacing w:line="220" w:lineRule="atLeast"/>
              <w:ind w:left="88"/>
              <w:rPr>
                <w:sz w:val="18"/>
              </w:rPr>
            </w:pPr>
            <w:r>
              <w:rPr>
                <w:sz w:val="18"/>
              </w:rPr>
              <w:t>Non‐prescribed</w:t>
            </w:r>
            <w:r>
              <w:rPr>
                <w:spacing w:val="-6"/>
                <w:sz w:val="18"/>
              </w:rPr>
              <w:t xml:space="preserve"> </w:t>
            </w:r>
            <w:r>
              <w:rPr>
                <w:sz w:val="18"/>
              </w:rPr>
              <w:t>rev</w:t>
            </w:r>
            <w:r>
              <w:rPr>
                <w:spacing w:val="-4"/>
                <w:sz w:val="18"/>
              </w:rPr>
              <w:t xml:space="preserve"> </w:t>
            </w:r>
            <w:r>
              <w:rPr>
                <w:sz w:val="18"/>
              </w:rPr>
              <w:t>offset</w:t>
            </w:r>
            <w:r>
              <w:rPr>
                <w:spacing w:val="-4"/>
                <w:sz w:val="18"/>
              </w:rPr>
              <w:t xml:space="preserve"> </w:t>
            </w:r>
            <w:r>
              <w:rPr>
                <w:sz w:val="18"/>
              </w:rPr>
              <w:t>of</w:t>
            </w:r>
            <w:r>
              <w:rPr>
                <w:spacing w:val="-4"/>
                <w:sz w:val="18"/>
              </w:rPr>
              <w:t xml:space="preserve"> </w:t>
            </w:r>
            <w:r>
              <w:rPr>
                <w:sz w:val="18"/>
              </w:rPr>
              <w:t xml:space="preserve">rev </w:t>
            </w:r>
            <w:r>
              <w:rPr>
                <w:spacing w:val="-2"/>
                <w:sz w:val="18"/>
              </w:rPr>
              <w:t>requirement</w:t>
            </w:r>
          </w:p>
        </w:tc>
        <w:tc>
          <w:tcPr>
            <w:tcW w:w="975" w:type="dxa"/>
            <w:shd w:val="clear" w:color="auto" w:fill="CCE2ED"/>
          </w:tcPr>
          <w:p w14:paraId="0D2917A4" w14:textId="77777777" w:rsidR="00141B97" w:rsidRDefault="00911D63">
            <w:pPr>
              <w:pStyle w:val="TableParagraph"/>
              <w:spacing w:before="110"/>
              <w:ind w:right="95"/>
              <w:jc w:val="right"/>
              <w:rPr>
                <w:sz w:val="18"/>
              </w:rPr>
            </w:pPr>
            <w:r>
              <w:rPr>
                <w:spacing w:val="-2"/>
                <w:sz w:val="18"/>
              </w:rPr>
              <w:t>(1.10)</w:t>
            </w:r>
          </w:p>
        </w:tc>
        <w:tc>
          <w:tcPr>
            <w:tcW w:w="1013" w:type="dxa"/>
            <w:tcBorders>
              <w:right w:val="nil"/>
            </w:tcBorders>
            <w:shd w:val="clear" w:color="auto" w:fill="CCE2ED"/>
          </w:tcPr>
          <w:p w14:paraId="7C7CAE0A" w14:textId="77777777" w:rsidR="00141B97" w:rsidRDefault="00911D63">
            <w:pPr>
              <w:pStyle w:val="TableParagraph"/>
              <w:spacing w:before="110"/>
              <w:ind w:right="90"/>
              <w:jc w:val="right"/>
              <w:rPr>
                <w:sz w:val="18"/>
              </w:rPr>
            </w:pPr>
            <w:r>
              <w:rPr>
                <w:spacing w:val="-2"/>
                <w:sz w:val="18"/>
              </w:rPr>
              <w:t>(1.10)</w:t>
            </w:r>
          </w:p>
        </w:tc>
        <w:tc>
          <w:tcPr>
            <w:tcW w:w="1014" w:type="dxa"/>
            <w:tcBorders>
              <w:left w:val="nil"/>
            </w:tcBorders>
            <w:shd w:val="clear" w:color="auto" w:fill="CCE2ED"/>
          </w:tcPr>
          <w:p w14:paraId="562DB011" w14:textId="77777777" w:rsidR="00141B97" w:rsidRDefault="00911D63">
            <w:pPr>
              <w:pStyle w:val="TableParagraph"/>
              <w:spacing w:before="110"/>
              <w:ind w:right="92"/>
              <w:jc w:val="right"/>
              <w:rPr>
                <w:sz w:val="18"/>
              </w:rPr>
            </w:pPr>
            <w:r>
              <w:rPr>
                <w:spacing w:val="-2"/>
                <w:sz w:val="18"/>
              </w:rPr>
              <w:t>(1.10)</w:t>
            </w:r>
          </w:p>
        </w:tc>
        <w:tc>
          <w:tcPr>
            <w:tcW w:w="1014" w:type="dxa"/>
            <w:tcBorders>
              <w:right w:val="nil"/>
            </w:tcBorders>
            <w:shd w:val="clear" w:color="auto" w:fill="CCE2ED"/>
          </w:tcPr>
          <w:p w14:paraId="31C84E86" w14:textId="77777777" w:rsidR="00141B97" w:rsidRDefault="00911D63">
            <w:pPr>
              <w:pStyle w:val="TableParagraph"/>
              <w:spacing w:before="110"/>
              <w:ind w:right="93"/>
              <w:jc w:val="right"/>
              <w:rPr>
                <w:sz w:val="18"/>
              </w:rPr>
            </w:pPr>
            <w:r>
              <w:rPr>
                <w:spacing w:val="-2"/>
                <w:sz w:val="18"/>
              </w:rPr>
              <w:t>(1.10)</w:t>
            </w:r>
          </w:p>
        </w:tc>
        <w:tc>
          <w:tcPr>
            <w:tcW w:w="1013" w:type="dxa"/>
            <w:tcBorders>
              <w:left w:val="nil"/>
              <w:right w:val="nil"/>
            </w:tcBorders>
            <w:shd w:val="clear" w:color="auto" w:fill="CCE2ED"/>
          </w:tcPr>
          <w:p w14:paraId="6C79360E" w14:textId="77777777" w:rsidR="00141B97" w:rsidRDefault="00911D63">
            <w:pPr>
              <w:pStyle w:val="TableParagraph"/>
              <w:spacing w:before="110"/>
              <w:ind w:right="93"/>
              <w:jc w:val="right"/>
              <w:rPr>
                <w:sz w:val="18"/>
              </w:rPr>
            </w:pPr>
            <w:r>
              <w:rPr>
                <w:spacing w:val="-2"/>
                <w:sz w:val="18"/>
              </w:rPr>
              <w:t>(1.10)</w:t>
            </w:r>
          </w:p>
        </w:tc>
        <w:tc>
          <w:tcPr>
            <w:tcW w:w="1013" w:type="dxa"/>
            <w:tcBorders>
              <w:left w:val="nil"/>
              <w:right w:val="nil"/>
            </w:tcBorders>
            <w:shd w:val="clear" w:color="auto" w:fill="CCE2ED"/>
          </w:tcPr>
          <w:p w14:paraId="011BACF4" w14:textId="77777777" w:rsidR="00141B97" w:rsidRDefault="00911D63">
            <w:pPr>
              <w:pStyle w:val="TableParagraph"/>
              <w:spacing w:before="110"/>
              <w:ind w:right="93"/>
              <w:jc w:val="right"/>
              <w:rPr>
                <w:sz w:val="18"/>
              </w:rPr>
            </w:pPr>
            <w:r>
              <w:rPr>
                <w:spacing w:val="-2"/>
                <w:sz w:val="18"/>
              </w:rPr>
              <w:t>(1.10)</w:t>
            </w:r>
          </w:p>
        </w:tc>
        <w:tc>
          <w:tcPr>
            <w:tcW w:w="998" w:type="dxa"/>
            <w:tcBorders>
              <w:left w:val="nil"/>
              <w:right w:val="nil"/>
            </w:tcBorders>
            <w:shd w:val="clear" w:color="auto" w:fill="CCE2ED"/>
          </w:tcPr>
          <w:p w14:paraId="1DC6B57B" w14:textId="77777777" w:rsidR="00141B97" w:rsidRDefault="00911D63">
            <w:pPr>
              <w:pStyle w:val="TableParagraph"/>
              <w:spacing w:before="110"/>
              <w:ind w:right="86"/>
              <w:jc w:val="right"/>
              <w:rPr>
                <w:sz w:val="18"/>
              </w:rPr>
            </w:pPr>
            <w:r>
              <w:rPr>
                <w:spacing w:val="-2"/>
                <w:sz w:val="18"/>
              </w:rPr>
              <w:t>(5.50)</w:t>
            </w:r>
          </w:p>
        </w:tc>
      </w:tr>
      <w:tr w:rsidR="00141B97" w14:paraId="4D247FB2" w14:textId="77777777">
        <w:trPr>
          <w:trHeight w:val="254"/>
          <w:tblCellSpacing w:w="10" w:type="dxa"/>
        </w:trPr>
        <w:tc>
          <w:tcPr>
            <w:tcW w:w="2705" w:type="dxa"/>
            <w:tcBorders>
              <w:left w:val="nil"/>
            </w:tcBorders>
            <w:shd w:val="clear" w:color="auto" w:fill="CCE2ED"/>
          </w:tcPr>
          <w:p w14:paraId="340AD975" w14:textId="77777777" w:rsidR="00141B97" w:rsidRDefault="00911D63">
            <w:pPr>
              <w:pStyle w:val="TableParagraph"/>
              <w:spacing w:before="17" w:line="217" w:lineRule="exact"/>
              <w:ind w:left="88"/>
              <w:rPr>
                <w:sz w:val="18"/>
              </w:rPr>
            </w:pPr>
            <w:r>
              <w:rPr>
                <w:sz w:val="18"/>
              </w:rPr>
              <w:t>Benchmark</w:t>
            </w:r>
            <w:r>
              <w:rPr>
                <w:spacing w:val="-6"/>
                <w:sz w:val="18"/>
              </w:rPr>
              <w:t xml:space="preserve"> </w:t>
            </w:r>
            <w:r>
              <w:rPr>
                <w:sz w:val="18"/>
              </w:rPr>
              <w:t>tax</w:t>
            </w:r>
            <w:r>
              <w:rPr>
                <w:spacing w:val="-5"/>
                <w:sz w:val="18"/>
              </w:rPr>
              <w:t xml:space="preserve"> </w:t>
            </w:r>
            <w:r>
              <w:rPr>
                <w:spacing w:val="-2"/>
                <w:sz w:val="18"/>
              </w:rPr>
              <w:t>liability</w:t>
            </w:r>
          </w:p>
        </w:tc>
        <w:tc>
          <w:tcPr>
            <w:tcW w:w="975" w:type="dxa"/>
            <w:shd w:val="clear" w:color="auto" w:fill="CCE2ED"/>
          </w:tcPr>
          <w:p w14:paraId="1F452BA8" w14:textId="77777777" w:rsidR="00141B97" w:rsidRDefault="00911D63">
            <w:pPr>
              <w:pStyle w:val="TableParagraph"/>
              <w:spacing w:before="17" w:line="217" w:lineRule="exact"/>
              <w:ind w:right="96"/>
              <w:jc w:val="right"/>
              <w:rPr>
                <w:sz w:val="18"/>
              </w:rPr>
            </w:pPr>
            <w:r>
              <w:rPr>
                <w:w w:val="99"/>
                <w:sz w:val="18"/>
              </w:rPr>
              <w:t>‐</w:t>
            </w:r>
          </w:p>
        </w:tc>
        <w:tc>
          <w:tcPr>
            <w:tcW w:w="1013" w:type="dxa"/>
            <w:tcBorders>
              <w:right w:val="nil"/>
            </w:tcBorders>
            <w:shd w:val="clear" w:color="auto" w:fill="CCE2ED"/>
          </w:tcPr>
          <w:p w14:paraId="3BA890D1" w14:textId="77777777" w:rsidR="00141B97" w:rsidRDefault="00911D63">
            <w:pPr>
              <w:pStyle w:val="TableParagraph"/>
              <w:spacing w:before="17" w:line="217" w:lineRule="exact"/>
              <w:ind w:right="92"/>
              <w:jc w:val="right"/>
              <w:rPr>
                <w:sz w:val="18"/>
              </w:rPr>
            </w:pPr>
            <w:r>
              <w:rPr>
                <w:w w:val="99"/>
                <w:sz w:val="18"/>
              </w:rPr>
              <w:t>‐</w:t>
            </w:r>
          </w:p>
        </w:tc>
        <w:tc>
          <w:tcPr>
            <w:tcW w:w="1014" w:type="dxa"/>
            <w:tcBorders>
              <w:left w:val="nil"/>
            </w:tcBorders>
            <w:shd w:val="clear" w:color="auto" w:fill="CCE2ED"/>
          </w:tcPr>
          <w:p w14:paraId="4CC87206" w14:textId="77777777" w:rsidR="00141B97" w:rsidRDefault="00911D63">
            <w:pPr>
              <w:pStyle w:val="TableParagraph"/>
              <w:spacing w:before="17" w:line="217" w:lineRule="exact"/>
              <w:ind w:right="93"/>
              <w:jc w:val="right"/>
              <w:rPr>
                <w:sz w:val="18"/>
              </w:rPr>
            </w:pPr>
            <w:r>
              <w:rPr>
                <w:w w:val="99"/>
                <w:sz w:val="18"/>
              </w:rPr>
              <w:t>‐</w:t>
            </w:r>
          </w:p>
        </w:tc>
        <w:tc>
          <w:tcPr>
            <w:tcW w:w="1014" w:type="dxa"/>
            <w:tcBorders>
              <w:right w:val="nil"/>
            </w:tcBorders>
            <w:shd w:val="clear" w:color="auto" w:fill="CCE2ED"/>
          </w:tcPr>
          <w:p w14:paraId="40CB30B0" w14:textId="77777777" w:rsidR="00141B97" w:rsidRDefault="00911D63">
            <w:pPr>
              <w:pStyle w:val="TableParagraph"/>
              <w:spacing w:before="17" w:line="217" w:lineRule="exact"/>
              <w:ind w:right="94"/>
              <w:jc w:val="right"/>
              <w:rPr>
                <w:sz w:val="18"/>
              </w:rPr>
            </w:pPr>
            <w:r>
              <w:rPr>
                <w:w w:val="99"/>
                <w:sz w:val="18"/>
              </w:rPr>
              <w:t>‐</w:t>
            </w:r>
          </w:p>
        </w:tc>
        <w:tc>
          <w:tcPr>
            <w:tcW w:w="1013" w:type="dxa"/>
            <w:tcBorders>
              <w:left w:val="nil"/>
              <w:right w:val="nil"/>
            </w:tcBorders>
            <w:shd w:val="clear" w:color="auto" w:fill="CCE2ED"/>
          </w:tcPr>
          <w:p w14:paraId="4E17A7FA" w14:textId="77777777" w:rsidR="00141B97" w:rsidRDefault="00911D63">
            <w:pPr>
              <w:pStyle w:val="TableParagraph"/>
              <w:spacing w:before="17" w:line="217" w:lineRule="exact"/>
              <w:ind w:right="94"/>
              <w:jc w:val="right"/>
              <w:rPr>
                <w:sz w:val="18"/>
              </w:rPr>
            </w:pPr>
            <w:r>
              <w:rPr>
                <w:w w:val="99"/>
                <w:sz w:val="18"/>
              </w:rPr>
              <w:t>‐</w:t>
            </w:r>
          </w:p>
        </w:tc>
        <w:tc>
          <w:tcPr>
            <w:tcW w:w="1013" w:type="dxa"/>
            <w:tcBorders>
              <w:left w:val="nil"/>
              <w:right w:val="nil"/>
            </w:tcBorders>
            <w:shd w:val="clear" w:color="auto" w:fill="CCE2ED"/>
          </w:tcPr>
          <w:p w14:paraId="7C940C11" w14:textId="77777777" w:rsidR="00141B97" w:rsidRDefault="00911D63">
            <w:pPr>
              <w:pStyle w:val="TableParagraph"/>
              <w:spacing w:before="17" w:line="217" w:lineRule="exact"/>
              <w:ind w:right="94"/>
              <w:jc w:val="right"/>
              <w:rPr>
                <w:sz w:val="18"/>
              </w:rPr>
            </w:pPr>
            <w:r>
              <w:rPr>
                <w:w w:val="99"/>
                <w:sz w:val="18"/>
              </w:rPr>
              <w:t>‐</w:t>
            </w:r>
          </w:p>
        </w:tc>
        <w:tc>
          <w:tcPr>
            <w:tcW w:w="998" w:type="dxa"/>
            <w:tcBorders>
              <w:left w:val="nil"/>
              <w:right w:val="nil"/>
            </w:tcBorders>
            <w:shd w:val="clear" w:color="auto" w:fill="CCE2ED"/>
          </w:tcPr>
          <w:p w14:paraId="569FD7BE" w14:textId="77777777" w:rsidR="00141B97" w:rsidRDefault="00911D63">
            <w:pPr>
              <w:pStyle w:val="TableParagraph"/>
              <w:spacing w:before="17" w:line="217" w:lineRule="exact"/>
              <w:ind w:right="86"/>
              <w:jc w:val="right"/>
              <w:rPr>
                <w:sz w:val="18"/>
              </w:rPr>
            </w:pPr>
            <w:r>
              <w:rPr>
                <w:w w:val="99"/>
                <w:sz w:val="18"/>
              </w:rPr>
              <w:t>‐</w:t>
            </w:r>
          </w:p>
        </w:tc>
      </w:tr>
      <w:tr w:rsidR="00141B97" w14:paraId="23BA4ABC" w14:textId="77777777">
        <w:trPr>
          <w:trHeight w:val="255"/>
          <w:tblCellSpacing w:w="10" w:type="dxa"/>
        </w:trPr>
        <w:tc>
          <w:tcPr>
            <w:tcW w:w="2705" w:type="dxa"/>
            <w:tcBorders>
              <w:left w:val="nil"/>
              <w:bottom w:val="nil"/>
            </w:tcBorders>
            <w:shd w:val="clear" w:color="auto" w:fill="BFBFBF"/>
          </w:tcPr>
          <w:p w14:paraId="0C43AA2E" w14:textId="77777777" w:rsidR="00141B97" w:rsidRDefault="00911D63">
            <w:pPr>
              <w:pStyle w:val="TableParagraph"/>
              <w:spacing w:before="18" w:line="217" w:lineRule="exact"/>
              <w:ind w:left="88"/>
              <w:rPr>
                <w:sz w:val="18"/>
              </w:rPr>
            </w:pPr>
            <w:r>
              <w:rPr>
                <w:sz w:val="18"/>
              </w:rPr>
              <w:t>Total</w:t>
            </w:r>
            <w:r>
              <w:rPr>
                <w:spacing w:val="-6"/>
                <w:sz w:val="18"/>
              </w:rPr>
              <w:t xml:space="preserve"> </w:t>
            </w:r>
            <w:r>
              <w:rPr>
                <w:sz w:val="18"/>
              </w:rPr>
              <w:t>revenue</w:t>
            </w:r>
            <w:r>
              <w:rPr>
                <w:spacing w:val="-6"/>
                <w:sz w:val="18"/>
              </w:rPr>
              <w:t xml:space="preserve"> </w:t>
            </w:r>
            <w:r>
              <w:rPr>
                <w:spacing w:val="-2"/>
                <w:sz w:val="18"/>
              </w:rPr>
              <w:t>requirement</w:t>
            </w:r>
          </w:p>
        </w:tc>
        <w:tc>
          <w:tcPr>
            <w:tcW w:w="975" w:type="dxa"/>
            <w:tcBorders>
              <w:bottom w:val="nil"/>
            </w:tcBorders>
            <w:shd w:val="clear" w:color="auto" w:fill="BFBFBF"/>
          </w:tcPr>
          <w:p w14:paraId="1AE46A60" w14:textId="77777777" w:rsidR="00141B97" w:rsidRDefault="00911D63">
            <w:pPr>
              <w:pStyle w:val="TableParagraph"/>
              <w:spacing w:before="18" w:line="217" w:lineRule="exact"/>
              <w:ind w:right="96"/>
              <w:jc w:val="right"/>
              <w:rPr>
                <w:sz w:val="18"/>
              </w:rPr>
            </w:pPr>
            <w:r>
              <w:rPr>
                <w:spacing w:val="-2"/>
                <w:sz w:val="18"/>
              </w:rPr>
              <w:t>42.25</w:t>
            </w:r>
          </w:p>
        </w:tc>
        <w:tc>
          <w:tcPr>
            <w:tcW w:w="1013" w:type="dxa"/>
            <w:tcBorders>
              <w:bottom w:val="nil"/>
              <w:right w:val="nil"/>
            </w:tcBorders>
            <w:shd w:val="clear" w:color="auto" w:fill="BFBFBF"/>
          </w:tcPr>
          <w:p w14:paraId="47D1992D" w14:textId="77777777" w:rsidR="00141B97" w:rsidRDefault="00911D63">
            <w:pPr>
              <w:pStyle w:val="TableParagraph"/>
              <w:spacing w:before="18" w:line="217" w:lineRule="exact"/>
              <w:ind w:right="91"/>
              <w:jc w:val="right"/>
              <w:rPr>
                <w:sz w:val="18"/>
              </w:rPr>
            </w:pPr>
            <w:r>
              <w:rPr>
                <w:spacing w:val="-2"/>
                <w:sz w:val="18"/>
              </w:rPr>
              <w:t>44.08</w:t>
            </w:r>
          </w:p>
        </w:tc>
        <w:tc>
          <w:tcPr>
            <w:tcW w:w="1014" w:type="dxa"/>
            <w:tcBorders>
              <w:left w:val="nil"/>
              <w:bottom w:val="nil"/>
            </w:tcBorders>
            <w:shd w:val="clear" w:color="auto" w:fill="BFBFBF"/>
          </w:tcPr>
          <w:p w14:paraId="4EEE24F2" w14:textId="77777777" w:rsidR="00141B97" w:rsidRDefault="00911D63">
            <w:pPr>
              <w:pStyle w:val="TableParagraph"/>
              <w:spacing w:before="18" w:line="217" w:lineRule="exact"/>
              <w:ind w:right="93"/>
              <w:jc w:val="right"/>
              <w:rPr>
                <w:sz w:val="18"/>
              </w:rPr>
            </w:pPr>
            <w:r>
              <w:rPr>
                <w:spacing w:val="-2"/>
                <w:sz w:val="18"/>
              </w:rPr>
              <w:t>44.73</w:t>
            </w:r>
          </w:p>
        </w:tc>
        <w:tc>
          <w:tcPr>
            <w:tcW w:w="1014" w:type="dxa"/>
            <w:tcBorders>
              <w:bottom w:val="nil"/>
              <w:right w:val="nil"/>
            </w:tcBorders>
            <w:shd w:val="clear" w:color="auto" w:fill="BFBFBF"/>
          </w:tcPr>
          <w:p w14:paraId="210C2A56" w14:textId="77777777" w:rsidR="00141B97" w:rsidRDefault="00911D63">
            <w:pPr>
              <w:pStyle w:val="TableParagraph"/>
              <w:spacing w:before="18" w:line="217" w:lineRule="exact"/>
              <w:ind w:right="94"/>
              <w:jc w:val="right"/>
              <w:rPr>
                <w:sz w:val="18"/>
              </w:rPr>
            </w:pPr>
            <w:r>
              <w:rPr>
                <w:spacing w:val="-2"/>
                <w:sz w:val="18"/>
              </w:rPr>
              <w:t>43.46</w:t>
            </w:r>
          </w:p>
        </w:tc>
        <w:tc>
          <w:tcPr>
            <w:tcW w:w="1013" w:type="dxa"/>
            <w:tcBorders>
              <w:left w:val="nil"/>
              <w:bottom w:val="nil"/>
              <w:right w:val="nil"/>
            </w:tcBorders>
            <w:shd w:val="clear" w:color="auto" w:fill="BFBFBF"/>
          </w:tcPr>
          <w:p w14:paraId="6AC0F796" w14:textId="77777777" w:rsidR="00141B97" w:rsidRDefault="00911D63">
            <w:pPr>
              <w:pStyle w:val="TableParagraph"/>
              <w:spacing w:before="18" w:line="217" w:lineRule="exact"/>
              <w:ind w:right="94"/>
              <w:jc w:val="right"/>
              <w:rPr>
                <w:sz w:val="18"/>
              </w:rPr>
            </w:pPr>
            <w:r>
              <w:rPr>
                <w:spacing w:val="-2"/>
                <w:sz w:val="18"/>
              </w:rPr>
              <w:t>43.88</w:t>
            </w:r>
          </w:p>
        </w:tc>
        <w:tc>
          <w:tcPr>
            <w:tcW w:w="1013" w:type="dxa"/>
            <w:tcBorders>
              <w:left w:val="nil"/>
              <w:bottom w:val="nil"/>
              <w:right w:val="nil"/>
            </w:tcBorders>
            <w:shd w:val="clear" w:color="auto" w:fill="BFBFBF"/>
          </w:tcPr>
          <w:p w14:paraId="07E7273D" w14:textId="77777777" w:rsidR="00141B97" w:rsidRDefault="00911D63">
            <w:pPr>
              <w:pStyle w:val="TableParagraph"/>
              <w:spacing w:before="18" w:line="217" w:lineRule="exact"/>
              <w:ind w:right="94"/>
              <w:jc w:val="right"/>
              <w:rPr>
                <w:sz w:val="18"/>
              </w:rPr>
            </w:pPr>
            <w:r>
              <w:rPr>
                <w:spacing w:val="-2"/>
                <w:sz w:val="18"/>
              </w:rPr>
              <w:t>43.12</w:t>
            </w:r>
          </w:p>
        </w:tc>
        <w:tc>
          <w:tcPr>
            <w:tcW w:w="998" w:type="dxa"/>
            <w:tcBorders>
              <w:left w:val="nil"/>
              <w:bottom w:val="nil"/>
              <w:right w:val="nil"/>
            </w:tcBorders>
            <w:shd w:val="clear" w:color="auto" w:fill="BFBFBF"/>
          </w:tcPr>
          <w:p w14:paraId="49D8F84C" w14:textId="77777777" w:rsidR="00141B97" w:rsidRDefault="00911D63">
            <w:pPr>
              <w:pStyle w:val="TableParagraph"/>
              <w:spacing w:before="18" w:line="217" w:lineRule="exact"/>
              <w:ind w:right="85"/>
              <w:jc w:val="right"/>
              <w:rPr>
                <w:sz w:val="18"/>
              </w:rPr>
            </w:pPr>
            <w:r>
              <w:rPr>
                <w:spacing w:val="-2"/>
                <w:sz w:val="18"/>
              </w:rPr>
              <w:t>219.27</w:t>
            </w:r>
          </w:p>
        </w:tc>
      </w:tr>
    </w:tbl>
    <w:p w14:paraId="3CD1E0F1" w14:textId="77777777" w:rsidR="00141B97" w:rsidRDefault="00911D63">
      <w:pPr>
        <w:spacing w:before="24"/>
        <w:ind w:left="114"/>
        <w:jc w:val="both"/>
        <w:rPr>
          <w:sz w:val="16"/>
        </w:rPr>
      </w:pPr>
      <w:r>
        <w:rPr>
          <w:sz w:val="16"/>
        </w:rPr>
        <w:t>Table</w:t>
      </w:r>
      <w:r>
        <w:rPr>
          <w:spacing w:val="-5"/>
          <w:sz w:val="16"/>
        </w:rPr>
        <w:t xml:space="preserve"> </w:t>
      </w:r>
      <w:r>
        <w:rPr>
          <w:sz w:val="16"/>
        </w:rPr>
        <w:t>B17:</w:t>
      </w:r>
      <w:r>
        <w:rPr>
          <w:spacing w:val="-6"/>
          <w:sz w:val="16"/>
        </w:rPr>
        <w:t xml:space="preserve"> </w:t>
      </w:r>
      <w:r>
        <w:rPr>
          <w:sz w:val="16"/>
        </w:rPr>
        <w:t>Revenue</w:t>
      </w:r>
      <w:r>
        <w:rPr>
          <w:spacing w:val="-5"/>
          <w:sz w:val="16"/>
        </w:rPr>
        <w:t xml:space="preserve"> </w:t>
      </w:r>
      <w:r>
        <w:rPr>
          <w:sz w:val="16"/>
        </w:rPr>
        <w:t>Requirement</w:t>
      </w:r>
      <w:r>
        <w:rPr>
          <w:spacing w:val="-5"/>
          <w:sz w:val="16"/>
        </w:rPr>
        <w:t xml:space="preserve"> </w:t>
      </w:r>
      <w:r>
        <w:rPr>
          <w:sz w:val="16"/>
        </w:rPr>
        <w:t>($m</w:t>
      </w:r>
      <w:r>
        <w:rPr>
          <w:spacing w:val="-5"/>
          <w:sz w:val="16"/>
        </w:rPr>
        <w:t xml:space="preserve"> </w:t>
      </w:r>
      <w:r>
        <w:rPr>
          <w:spacing w:val="-2"/>
          <w:sz w:val="16"/>
        </w:rPr>
        <w:t>1/1/23)</w:t>
      </w:r>
    </w:p>
    <w:p w14:paraId="5AAF64CD" w14:textId="77777777" w:rsidR="00141B97" w:rsidRDefault="00141B97">
      <w:pPr>
        <w:pStyle w:val="BodyText"/>
        <w:rPr>
          <w:sz w:val="16"/>
        </w:rPr>
      </w:pPr>
    </w:p>
    <w:p w14:paraId="15BAF1DB" w14:textId="77777777" w:rsidR="00141B97" w:rsidRDefault="00911D63">
      <w:pPr>
        <w:pStyle w:val="BodyText"/>
        <w:spacing w:before="98"/>
        <w:ind w:left="113" w:right="949"/>
        <w:jc w:val="both"/>
      </w:pPr>
      <w:r>
        <w:t>Figure</w:t>
      </w:r>
      <w:r>
        <w:rPr>
          <w:spacing w:val="-8"/>
        </w:rPr>
        <w:t xml:space="preserve"> </w:t>
      </w:r>
      <w:r>
        <w:t>B4</w:t>
      </w:r>
      <w:r>
        <w:rPr>
          <w:spacing w:val="-7"/>
        </w:rPr>
        <w:t xml:space="preserve"> </w:t>
      </w:r>
      <w:r>
        <w:t>depicts</w:t>
      </w:r>
      <w:r>
        <w:rPr>
          <w:spacing w:val="-8"/>
        </w:rPr>
        <w:t xml:space="preserve"> </w:t>
      </w:r>
      <w:r>
        <w:t>both</w:t>
      </w:r>
      <w:r>
        <w:rPr>
          <w:spacing w:val="-8"/>
        </w:rPr>
        <w:t xml:space="preserve"> </w:t>
      </w:r>
      <w:r>
        <w:t>the</w:t>
      </w:r>
      <w:r>
        <w:rPr>
          <w:spacing w:val="-7"/>
        </w:rPr>
        <w:t xml:space="preserve"> </w:t>
      </w:r>
      <w:r>
        <w:t>current</w:t>
      </w:r>
      <w:r>
        <w:rPr>
          <w:spacing w:val="-8"/>
        </w:rPr>
        <w:t xml:space="preserve"> </w:t>
      </w:r>
      <w:r>
        <w:t>period</w:t>
      </w:r>
      <w:r>
        <w:rPr>
          <w:spacing w:val="-10"/>
        </w:rPr>
        <w:t xml:space="preserve"> </w:t>
      </w:r>
      <w:r>
        <w:t>and</w:t>
      </w:r>
      <w:r>
        <w:rPr>
          <w:spacing w:val="-8"/>
        </w:rPr>
        <w:t xml:space="preserve"> </w:t>
      </w:r>
      <w:r>
        <w:t>10‐year</w:t>
      </w:r>
      <w:r>
        <w:rPr>
          <w:spacing w:val="-8"/>
        </w:rPr>
        <w:t xml:space="preserve"> </w:t>
      </w:r>
      <w:r>
        <w:t>forecast</w:t>
      </w:r>
      <w:r>
        <w:rPr>
          <w:spacing w:val="-8"/>
        </w:rPr>
        <w:t xml:space="preserve"> </w:t>
      </w:r>
      <w:r>
        <w:t>revenue</w:t>
      </w:r>
      <w:r>
        <w:rPr>
          <w:spacing w:val="-8"/>
        </w:rPr>
        <w:t xml:space="preserve"> </w:t>
      </w:r>
      <w:r>
        <w:t>requirement</w:t>
      </w:r>
      <w:r>
        <w:rPr>
          <w:spacing w:val="-8"/>
        </w:rPr>
        <w:t xml:space="preserve"> </w:t>
      </w:r>
      <w:r>
        <w:t>through</w:t>
      </w:r>
      <w:r>
        <w:rPr>
          <w:spacing w:val="-8"/>
        </w:rPr>
        <w:t xml:space="preserve"> </w:t>
      </w:r>
      <w:r>
        <w:t>to</w:t>
      </w:r>
      <w:r>
        <w:rPr>
          <w:spacing w:val="-8"/>
        </w:rPr>
        <w:t xml:space="preserve"> </w:t>
      </w:r>
      <w:r>
        <w:t>the</w:t>
      </w:r>
      <w:r>
        <w:rPr>
          <w:spacing w:val="-8"/>
        </w:rPr>
        <w:t xml:space="preserve"> </w:t>
      </w:r>
      <w:r>
        <w:t>PS6</w:t>
      </w:r>
      <w:r>
        <w:rPr>
          <w:spacing w:val="-8"/>
        </w:rPr>
        <w:t xml:space="preserve"> </w:t>
      </w:r>
      <w:r>
        <w:t>period, showing relatively minor increases in PS6 due to customer growth.</w:t>
      </w:r>
    </w:p>
    <w:p w14:paraId="3FDD08D2" w14:textId="77777777" w:rsidR="00141B97" w:rsidRDefault="00141B97">
      <w:pPr>
        <w:pStyle w:val="BodyText"/>
        <w:rPr>
          <w:sz w:val="20"/>
        </w:rPr>
      </w:pPr>
    </w:p>
    <w:p w14:paraId="1DA824DA" w14:textId="77777777" w:rsidR="00141B97" w:rsidRDefault="00911D63">
      <w:pPr>
        <w:pStyle w:val="BodyText"/>
        <w:spacing w:before="11"/>
        <w:rPr>
          <w:sz w:val="18"/>
        </w:rPr>
      </w:pPr>
      <w:r>
        <w:rPr>
          <w:noProof/>
        </w:rPr>
        <w:drawing>
          <wp:anchor distT="0" distB="0" distL="0" distR="0" simplePos="0" relativeHeight="49" behindDoc="0" locked="0" layoutInCell="1" allowOverlap="1" wp14:anchorId="54F0D5C5" wp14:editId="3645BD8F">
            <wp:simplePos x="0" y="0"/>
            <wp:positionH relativeFrom="page">
              <wp:posOffset>740663</wp:posOffset>
            </wp:positionH>
            <wp:positionV relativeFrom="paragraph">
              <wp:posOffset>162263</wp:posOffset>
            </wp:positionV>
            <wp:extent cx="6063411" cy="2121408"/>
            <wp:effectExtent l="0" t="0" r="0" b="0"/>
            <wp:wrapTopAndBottom/>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79" cstate="email">
                      <a:extLst>
                        <a:ext uri="{28A0092B-C50C-407E-A947-70E740481C1C}">
                          <a14:useLocalDpi xmlns:a14="http://schemas.microsoft.com/office/drawing/2010/main"/>
                        </a:ext>
                      </a:extLst>
                    </a:blip>
                    <a:stretch>
                      <a:fillRect/>
                    </a:stretch>
                  </pic:blipFill>
                  <pic:spPr>
                    <a:xfrm>
                      <a:off x="0" y="0"/>
                      <a:ext cx="6063411" cy="2121408"/>
                    </a:xfrm>
                    <a:prstGeom prst="rect">
                      <a:avLst/>
                    </a:prstGeom>
                  </pic:spPr>
                </pic:pic>
              </a:graphicData>
            </a:graphic>
          </wp:anchor>
        </w:drawing>
      </w:r>
    </w:p>
    <w:p w14:paraId="569A7A63" w14:textId="77777777" w:rsidR="00141B97" w:rsidRDefault="00911D63">
      <w:pPr>
        <w:spacing w:before="172"/>
        <w:ind w:left="114"/>
        <w:jc w:val="both"/>
        <w:rPr>
          <w:sz w:val="16"/>
        </w:rPr>
      </w:pPr>
      <w:r>
        <w:rPr>
          <w:sz w:val="16"/>
        </w:rPr>
        <w:t>Figure</w:t>
      </w:r>
      <w:r>
        <w:rPr>
          <w:spacing w:val="-5"/>
          <w:sz w:val="16"/>
        </w:rPr>
        <w:t xml:space="preserve"> </w:t>
      </w:r>
      <w:r>
        <w:rPr>
          <w:sz w:val="16"/>
        </w:rPr>
        <w:t>B4</w:t>
      </w:r>
      <w:r>
        <w:rPr>
          <w:sz w:val="12"/>
        </w:rPr>
        <w:t>:</w:t>
      </w:r>
      <w:r>
        <w:rPr>
          <w:spacing w:val="-4"/>
          <w:sz w:val="12"/>
        </w:rPr>
        <w:t xml:space="preserve"> </w:t>
      </w:r>
      <w:r>
        <w:rPr>
          <w:sz w:val="16"/>
        </w:rPr>
        <w:t>Revenue</w:t>
      </w:r>
      <w:r>
        <w:rPr>
          <w:spacing w:val="-5"/>
          <w:sz w:val="16"/>
        </w:rPr>
        <w:t xml:space="preserve"> </w:t>
      </w:r>
      <w:r>
        <w:rPr>
          <w:sz w:val="16"/>
        </w:rPr>
        <w:t>Requirement</w:t>
      </w:r>
      <w:r>
        <w:rPr>
          <w:spacing w:val="-5"/>
          <w:sz w:val="16"/>
        </w:rPr>
        <w:t xml:space="preserve"> </w:t>
      </w:r>
      <w:r>
        <w:rPr>
          <w:sz w:val="16"/>
        </w:rPr>
        <w:t>($m</w:t>
      </w:r>
      <w:r>
        <w:rPr>
          <w:spacing w:val="-6"/>
          <w:sz w:val="16"/>
        </w:rPr>
        <w:t xml:space="preserve"> </w:t>
      </w:r>
      <w:r>
        <w:rPr>
          <w:spacing w:val="-2"/>
          <w:sz w:val="16"/>
        </w:rPr>
        <w:t>1/1/23)</w:t>
      </w:r>
    </w:p>
    <w:p w14:paraId="7F5614D5" w14:textId="77777777" w:rsidR="00141B97" w:rsidRDefault="00141B97">
      <w:pPr>
        <w:pStyle w:val="BodyText"/>
        <w:rPr>
          <w:sz w:val="16"/>
        </w:rPr>
      </w:pPr>
    </w:p>
    <w:p w14:paraId="246A2CA9" w14:textId="77777777" w:rsidR="00141B97" w:rsidRDefault="00141B97">
      <w:pPr>
        <w:pStyle w:val="BodyText"/>
        <w:spacing w:before="2"/>
        <w:rPr>
          <w:sz w:val="15"/>
        </w:rPr>
      </w:pPr>
    </w:p>
    <w:p w14:paraId="18401DD9" w14:textId="77777777" w:rsidR="00141B97" w:rsidRDefault="00911D63">
      <w:pPr>
        <w:pStyle w:val="Heading2"/>
        <w:numPr>
          <w:ilvl w:val="1"/>
          <w:numId w:val="81"/>
        </w:numPr>
        <w:tabs>
          <w:tab w:val="left" w:pos="1113"/>
        </w:tabs>
        <w:jc w:val="both"/>
      </w:pPr>
      <w:r>
        <w:rPr>
          <w:color w:val="009BAC"/>
          <w:spacing w:val="-2"/>
        </w:rPr>
        <w:t>Demand</w:t>
      </w:r>
    </w:p>
    <w:p w14:paraId="6EC5C820" w14:textId="77777777" w:rsidR="00141B97" w:rsidRDefault="00141B97">
      <w:pPr>
        <w:pStyle w:val="BodyText"/>
        <w:spacing w:before="8"/>
        <w:rPr>
          <w:sz w:val="20"/>
        </w:rPr>
      </w:pPr>
    </w:p>
    <w:p w14:paraId="349B599A" w14:textId="77777777" w:rsidR="00141B97" w:rsidRDefault="00911D63">
      <w:pPr>
        <w:pStyle w:val="ListParagraph"/>
        <w:numPr>
          <w:ilvl w:val="2"/>
          <w:numId w:val="81"/>
        </w:numPr>
        <w:tabs>
          <w:tab w:val="left" w:pos="1112"/>
          <w:tab w:val="left" w:pos="1113"/>
        </w:tabs>
        <w:jc w:val="both"/>
      </w:pPr>
      <w:r>
        <w:t>Demand</w:t>
      </w:r>
      <w:r>
        <w:rPr>
          <w:spacing w:val="-7"/>
        </w:rPr>
        <w:t xml:space="preserve"> </w:t>
      </w:r>
      <w:r>
        <w:t>Context</w:t>
      </w:r>
      <w:r>
        <w:rPr>
          <w:spacing w:val="-6"/>
        </w:rPr>
        <w:t xml:space="preserve"> </w:t>
      </w:r>
      <w:r>
        <w:t>and</w:t>
      </w:r>
      <w:r>
        <w:rPr>
          <w:spacing w:val="-6"/>
        </w:rPr>
        <w:t xml:space="preserve"> </w:t>
      </w:r>
      <w:r>
        <w:t>Key</w:t>
      </w:r>
      <w:r>
        <w:rPr>
          <w:spacing w:val="-5"/>
        </w:rPr>
        <w:t xml:space="preserve"> </w:t>
      </w:r>
      <w:r>
        <w:rPr>
          <w:spacing w:val="-2"/>
        </w:rPr>
        <w:t>Drivers</w:t>
      </w:r>
    </w:p>
    <w:p w14:paraId="46C94B07" w14:textId="77777777" w:rsidR="00141B97" w:rsidRDefault="00911D63">
      <w:pPr>
        <w:pStyle w:val="BodyText"/>
        <w:spacing w:before="60"/>
        <w:ind w:left="113" w:right="947"/>
        <w:jc w:val="both"/>
      </w:pPr>
      <w:r>
        <w:t>The</w:t>
      </w:r>
      <w:r>
        <w:rPr>
          <w:spacing w:val="-6"/>
        </w:rPr>
        <w:t xml:space="preserve"> </w:t>
      </w:r>
      <w:r>
        <w:t>LMW</w:t>
      </w:r>
      <w:r>
        <w:rPr>
          <w:spacing w:val="-4"/>
        </w:rPr>
        <w:t xml:space="preserve"> </w:t>
      </w:r>
      <w:r>
        <w:t>region</w:t>
      </w:r>
      <w:r>
        <w:rPr>
          <w:spacing w:val="-4"/>
        </w:rPr>
        <w:t xml:space="preserve"> </w:t>
      </w:r>
      <w:r>
        <w:t>is</w:t>
      </w:r>
      <w:r>
        <w:rPr>
          <w:spacing w:val="-4"/>
        </w:rPr>
        <w:t xml:space="preserve"> </w:t>
      </w:r>
      <w:r>
        <w:t>one</w:t>
      </w:r>
      <w:r>
        <w:rPr>
          <w:spacing w:val="-5"/>
        </w:rPr>
        <w:t xml:space="preserve"> </w:t>
      </w:r>
      <w:r>
        <w:t>of</w:t>
      </w:r>
      <w:r>
        <w:rPr>
          <w:spacing w:val="-4"/>
        </w:rPr>
        <w:t xml:space="preserve"> </w:t>
      </w:r>
      <w:r>
        <w:t>the</w:t>
      </w:r>
      <w:r>
        <w:rPr>
          <w:spacing w:val="-5"/>
        </w:rPr>
        <w:t xml:space="preserve"> </w:t>
      </w:r>
      <w:r>
        <w:t>driest</w:t>
      </w:r>
      <w:r>
        <w:rPr>
          <w:spacing w:val="-5"/>
        </w:rPr>
        <w:t xml:space="preserve"> </w:t>
      </w:r>
      <w:r>
        <w:t>regions</w:t>
      </w:r>
      <w:r>
        <w:rPr>
          <w:spacing w:val="-4"/>
        </w:rPr>
        <w:t xml:space="preserve"> </w:t>
      </w:r>
      <w:r>
        <w:t>in</w:t>
      </w:r>
      <w:r>
        <w:rPr>
          <w:spacing w:val="-4"/>
        </w:rPr>
        <w:t xml:space="preserve"> </w:t>
      </w:r>
      <w:r>
        <w:t>Victoria,</w:t>
      </w:r>
      <w:r>
        <w:rPr>
          <w:spacing w:val="-5"/>
        </w:rPr>
        <w:t xml:space="preserve"> </w:t>
      </w:r>
      <w:r>
        <w:t>receiving</w:t>
      </w:r>
      <w:r>
        <w:rPr>
          <w:spacing w:val="-5"/>
        </w:rPr>
        <w:t xml:space="preserve"> </w:t>
      </w:r>
      <w:r>
        <w:t>an</w:t>
      </w:r>
      <w:r>
        <w:rPr>
          <w:spacing w:val="-6"/>
        </w:rPr>
        <w:t xml:space="preserve"> </w:t>
      </w:r>
      <w:r>
        <w:t>average</w:t>
      </w:r>
      <w:r>
        <w:rPr>
          <w:spacing w:val="-5"/>
        </w:rPr>
        <w:t xml:space="preserve"> </w:t>
      </w:r>
      <w:r>
        <w:t>annual</w:t>
      </w:r>
      <w:r>
        <w:rPr>
          <w:spacing w:val="-5"/>
        </w:rPr>
        <w:t xml:space="preserve"> </w:t>
      </w:r>
      <w:r>
        <w:t>rainfall</w:t>
      </w:r>
      <w:r>
        <w:rPr>
          <w:spacing w:val="-6"/>
        </w:rPr>
        <w:t xml:space="preserve"> </w:t>
      </w:r>
      <w:r>
        <w:t>of</w:t>
      </w:r>
      <w:r>
        <w:rPr>
          <w:spacing w:val="-5"/>
        </w:rPr>
        <w:t xml:space="preserve"> </w:t>
      </w:r>
      <w:r>
        <w:t>about</w:t>
      </w:r>
      <w:r>
        <w:rPr>
          <w:spacing w:val="-6"/>
        </w:rPr>
        <w:t xml:space="preserve"> </w:t>
      </w:r>
      <w:r>
        <w:t>300</w:t>
      </w:r>
      <w:r>
        <w:rPr>
          <w:spacing w:val="-3"/>
        </w:rPr>
        <w:t xml:space="preserve"> </w:t>
      </w:r>
      <w:r>
        <w:t>mm</w:t>
      </w:r>
      <w:r>
        <w:rPr>
          <w:spacing w:val="-5"/>
        </w:rPr>
        <w:t xml:space="preserve"> </w:t>
      </w:r>
      <w:r>
        <w:t>in comparison to the 400‐600 mm of rainfall received per year in most other non‐alpine regions of Victoria. In addition, the region experiences about 1,800 mm of evaporation per year on average, compared to 1,400 mm or lower experienced in other regions. The drier climate significantly influences water consumption and the community’s dependence on reliable water sources, reflected in higher water consumption per household for LMW customers, compared to its Victorian counterparts.</w:t>
      </w:r>
    </w:p>
    <w:p w14:paraId="33501C77" w14:textId="77777777" w:rsidR="00141B97" w:rsidRDefault="00141B97">
      <w:pPr>
        <w:jc w:val="both"/>
        <w:sectPr w:rsidR="00141B97">
          <w:pgSz w:w="11910" w:h="16840"/>
          <w:pgMar w:top="860" w:right="40" w:bottom="760" w:left="1020" w:header="0" w:footer="580" w:gutter="0"/>
          <w:cols w:space="720"/>
        </w:sectPr>
      </w:pPr>
    </w:p>
    <w:p w14:paraId="2360E1AA" w14:textId="77777777" w:rsidR="00141B97" w:rsidRDefault="00911D63">
      <w:pPr>
        <w:pStyle w:val="BodyText"/>
        <w:spacing w:before="40"/>
        <w:ind w:left="114" w:right="948" w:hanging="1"/>
        <w:jc w:val="both"/>
      </w:pPr>
      <w:r>
        <w:lastRenderedPageBreak/>
        <w:t>Over the last 60 years, average temperature has increased, and average rainfall has declined, similar to most parts of Victoria. This trend is projected to continue over the rest of this century.</w:t>
      </w:r>
    </w:p>
    <w:p w14:paraId="56BE07D4" w14:textId="77777777" w:rsidR="00141B97" w:rsidRDefault="00911D63">
      <w:pPr>
        <w:pStyle w:val="BodyText"/>
        <w:spacing w:before="71" w:line="252" w:lineRule="auto"/>
        <w:ind w:left="114" w:right="949" w:hanging="1"/>
        <w:jc w:val="both"/>
      </w:pPr>
      <w:r>
        <w:t>The</w:t>
      </w:r>
      <w:r>
        <w:rPr>
          <w:spacing w:val="-5"/>
        </w:rPr>
        <w:t xml:space="preserve"> </w:t>
      </w:r>
      <w:r>
        <w:t>key</w:t>
      </w:r>
      <w:r>
        <w:rPr>
          <w:spacing w:val="-4"/>
        </w:rPr>
        <w:t xml:space="preserve"> </w:t>
      </w:r>
      <w:r>
        <w:t>factors</w:t>
      </w:r>
      <w:r>
        <w:rPr>
          <w:spacing w:val="-4"/>
        </w:rPr>
        <w:t xml:space="preserve"> </w:t>
      </w:r>
      <w:r>
        <w:t>influencing</w:t>
      </w:r>
      <w:r>
        <w:rPr>
          <w:spacing w:val="-3"/>
        </w:rPr>
        <w:t xml:space="preserve"> </w:t>
      </w:r>
      <w:r>
        <w:t>and</w:t>
      </w:r>
      <w:r>
        <w:rPr>
          <w:spacing w:val="-3"/>
        </w:rPr>
        <w:t xml:space="preserve"> </w:t>
      </w:r>
      <w:r>
        <w:t>impacted</w:t>
      </w:r>
      <w:r>
        <w:rPr>
          <w:spacing w:val="-5"/>
        </w:rPr>
        <w:t xml:space="preserve"> </w:t>
      </w:r>
      <w:r>
        <w:t>by</w:t>
      </w:r>
      <w:r>
        <w:rPr>
          <w:spacing w:val="-4"/>
        </w:rPr>
        <w:t xml:space="preserve"> </w:t>
      </w:r>
      <w:r>
        <w:t>demand</w:t>
      </w:r>
      <w:r>
        <w:rPr>
          <w:spacing w:val="-4"/>
        </w:rPr>
        <w:t xml:space="preserve"> </w:t>
      </w:r>
      <w:r>
        <w:t>for</w:t>
      </w:r>
      <w:r>
        <w:rPr>
          <w:spacing w:val="-4"/>
        </w:rPr>
        <w:t xml:space="preserve"> </w:t>
      </w:r>
      <w:r>
        <w:t>water</w:t>
      </w:r>
      <w:r>
        <w:rPr>
          <w:spacing w:val="-3"/>
        </w:rPr>
        <w:t xml:space="preserve"> </w:t>
      </w:r>
      <w:r>
        <w:t>and</w:t>
      </w:r>
      <w:r>
        <w:rPr>
          <w:spacing w:val="-3"/>
        </w:rPr>
        <w:t xml:space="preserve"> </w:t>
      </w:r>
      <w:r>
        <w:t>sewerage</w:t>
      </w:r>
      <w:r>
        <w:rPr>
          <w:spacing w:val="-4"/>
        </w:rPr>
        <w:t xml:space="preserve"> </w:t>
      </w:r>
      <w:r>
        <w:t>services</w:t>
      </w:r>
      <w:r>
        <w:rPr>
          <w:spacing w:val="-4"/>
        </w:rPr>
        <w:t xml:space="preserve"> </w:t>
      </w:r>
      <w:r>
        <w:t>are</w:t>
      </w:r>
      <w:r>
        <w:rPr>
          <w:spacing w:val="-5"/>
        </w:rPr>
        <w:t xml:space="preserve"> </w:t>
      </w:r>
      <w:r>
        <w:t>include</w:t>
      </w:r>
      <w:r>
        <w:rPr>
          <w:spacing w:val="-5"/>
        </w:rPr>
        <w:t xml:space="preserve"> </w:t>
      </w:r>
      <w:r>
        <w:t>the</w:t>
      </w:r>
      <w:r>
        <w:rPr>
          <w:spacing w:val="-5"/>
        </w:rPr>
        <w:t xml:space="preserve"> </w:t>
      </w:r>
      <w:r>
        <w:t>following which are also detailed below.</w:t>
      </w:r>
    </w:p>
    <w:p w14:paraId="533F3E62" w14:textId="77777777" w:rsidR="00141B97" w:rsidRDefault="00911D63">
      <w:pPr>
        <w:pStyle w:val="ListParagraph"/>
        <w:numPr>
          <w:ilvl w:val="0"/>
          <w:numId w:val="44"/>
        </w:numPr>
        <w:tabs>
          <w:tab w:val="left" w:pos="827"/>
          <w:tab w:val="left" w:pos="829"/>
        </w:tabs>
        <w:spacing w:before="105"/>
        <w:ind w:hanging="359"/>
      </w:pPr>
      <w:r>
        <w:t>Growth</w:t>
      </w:r>
      <w:r>
        <w:rPr>
          <w:spacing w:val="-7"/>
        </w:rPr>
        <w:t xml:space="preserve"> </w:t>
      </w:r>
      <w:r>
        <w:t>in</w:t>
      </w:r>
      <w:r>
        <w:rPr>
          <w:spacing w:val="-8"/>
        </w:rPr>
        <w:t xml:space="preserve"> </w:t>
      </w:r>
      <w:r>
        <w:t>customer</w:t>
      </w:r>
      <w:r>
        <w:rPr>
          <w:spacing w:val="-9"/>
        </w:rPr>
        <w:t xml:space="preserve"> </w:t>
      </w:r>
      <w:r>
        <w:t>numbers</w:t>
      </w:r>
      <w:r>
        <w:rPr>
          <w:spacing w:val="-8"/>
        </w:rPr>
        <w:t xml:space="preserve"> </w:t>
      </w:r>
      <w:r>
        <w:t>and</w:t>
      </w:r>
      <w:r>
        <w:rPr>
          <w:spacing w:val="-7"/>
        </w:rPr>
        <w:t xml:space="preserve"> </w:t>
      </w:r>
      <w:r>
        <w:rPr>
          <w:spacing w:val="-2"/>
        </w:rPr>
        <w:t>connections.</w:t>
      </w:r>
    </w:p>
    <w:p w14:paraId="3C4924CC" w14:textId="77777777" w:rsidR="00141B97" w:rsidRDefault="00911D63">
      <w:pPr>
        <w:pStyle w:val="ListParagraph"/>
        <w:numPr>
          <w:ilvl w:val="0"/>
          <w:numId w:val="44"/>
        </w:numPr>
        <w:tabs>
          <w:tab w:val="left" w:pos="827"/>
          <w:tab w:val="left" w:pos="828"/>
        </w:tabs>
        <w:spacing w:before="120"/>
      </w:pPr>
      <w:r>
        <w:t>Weather</w:t>
      </w:r>
      <w:r>
        <w:rPr>
          <w:spacing w:val="-10"/>
        </w:rPr>
        <w:t xml:space="preserve"> </w:t>
      </w:r>
      <w:r>
        <w:t>and</w:t>
      </w:r>
      <w:r>
        <w:rPr>
          <w:spacing w:val="-7"/>
        </w:rPr>
        <w:t xml:space="preserve"> </w:t>
      </w:r>
      <w:r>
        <w:t>water</w:t>
      </w:r>
      <w:r>
        <w:rPr>
          <w:spacing w:val="-8"/>
        </w:rPr>
        <w:t xml:space="preserve"> </w:t>
      </w:r>
      <w:r>
        <w:rPr>
          <w:spacing w:val="-2"/>
        </w:rPr>
        <w:t>restrictions.</w:t>
      </w:r>
    </w:p>
    <w:p w14:paraId="5D156EDD" w14:textId="77777777" w:rsidR="00141B97" w:rsidRDefault="00911D63">
      <w:pPr>
        <w:pStyle w:val="ListParagraph"/>
        <w:numPr>
          <w:ilvl w:val="0"/>
          <w:numId w:val="44"/>
        </w:numPr>
        <w:tabs>
          <w:tab w:val="left" w:pos="827"/>
          <w:tab w:val="left" w:pos="828"/>
        </w:tabs>
        <w:spacing w:before="120"/>
        <w:ind w:left="827"/>
      </w:pPr>
      <w:r>
        <w:t>Climate</w:t>
      </w:r>
      <w:r>
        <w:rPr>
          <w:spacing w:val="-11"/>
        </w:rPr>
        <w:t xml:space="preserve"> </w:t>
      </w:r>
      <w:r>
        <w:rPr>
          <w:spacing w:val="-2"/>
        </w:rPr>
        <w:t>change.</w:t>
      </w:r>
    </w:p>
    <w:p w14:paraId="1A4AFC70" w14:textId="77777777" w:rsidR="00141B97" w:rsidRDefault="00911D63">
      <w:pPr>
        <w:pStyle w:val="ListParagraph"/>
        <w:numPr>
          <w:ilvl w:val="0"/>
          <w:numId w:val="44"/>
        </w:numPr>
        <w:tabs>
          <w:tab w:val="left" w:pos="827"/>
          <w:tab w:val="left" w:pos="828"/>
        </w:tabs>
        <w:spacing w:before="120"/>
        <w:ind w:left="827"/>
      </w:pPr>
      <w:r>
        <w:t>Demand</w:t>
      </w:r>
      <w:r>
        <w:rPr>
          <w:spacing w:val="-13"/>
        </w:rPr>
        <w:t xml:space="preserve"> </w:t>
      </w:r>
      <w:r>
        <w:t>management</w:t>
      </w:r>
      <w:r>
        <w:rPr>
          <w:spacing w:val="-12"/>
        </w:rPr>
        <w:t xml:space="preserve"> </w:t>
      </w:r>
      <w:r>
        <w:rPr>
          <w:spacing w:val="-2"/>
        </w:rPr>
        <w:t>measures.</w:t>
      </w:r>
    </w:p>
    <w:p w14:paraId="49C31A98" w14:textId="77777777" w:rsidR="00141B97" w:rsidRDefault="00911D63">
      <w:pPr>
        <w:pStyle w:val="ListParagraph"/>
        <w:numPr>
          <w:ilvl w:val="0"/>
          <w:numId w:val="44"/>
        </w:numPr>
        <w:tabs>
          <w:tab w:val="left" w:pos="827"/>
          <w:tab w:val="left" w:pos="828"/>
        </w:tabs>
        <w:spacing w:before="120"/>
        <w:ind w:left="827"/>
      </w:pPr>
      <w:r>
        <w:t>Urban</w:t>
      </w:r>
      <w:r>
        <w:rPr>
          <w:spacing w:val="-8"/>
        </w:rPr>
        <w:t xml:space="preserve"> </w:t>
      </w:r>
      <w:r>
        <w:t>Water</w:t>
      </w:r>
      <w:r>
        <w:rPr>
          <w:spacing w:val="-7"/>
        </w:rPr>
        <w:t xml:space="preserve"> </w:t>
      </w:r>
      <w:r>
        <w:rPr>
          <w:spacing w:val="-2"/>
        </w:rPr>
        <w:t>Strategy.</w:t>
      </w:r>
    </w:p>
    <w:p w14:paraId="5CE0251D" w14:textId="77777777" w:rsidR="00141B97" w:rsidRDefault="00911D63">
      <w:pPr>
        <w:pStyle w:val="ListParagraph"/>
        <w:numPr>
          <w:ilvl w:val="0"/>
          <w:numId w:val="44"/>
        </w:numPr>
        <w:tabs>
          <w:tab w:val="left" w:pos="827"/>
          <w:tab w:val="left" w:pos="828"/>
        </w:tabs>
        <w:spacing w:before="120"/>
        <w:ind w:left="827"/>
      </w:pPr>
      <w:r>
        <w:rPr>
          <w:spacing w:val="-2"/>
        </w:rPr>
        <w:t>Prices.</w:t>
      </w:r>
    </w:p>
    <w:p w14:paraId="1DFCB8F5" w14:textId="77777777" w:rsidR="00141B97" w:rsidRDefault="00141B97">
      <w:pPr>
        <w:pStyle w:val="BodyText"/>
        <w:spacing w:before="8"/>
        <w:rPr>
          <w:sz w:val="20"/>
        </w:rPr>
      </w:pPr>
    </w:p>
    <w:p w14:paraId="0350464E" w14:textId="77777777" w:rsidR="00141B97" w:rsidRDefault="00911D63">
      <w:pPr>
        <w:pStyle w:val="ListParagraph"/>
        <w:numPr>
          <w:ilvl w:val="2"/>
          <w:numId w:val="81"/>
        </w:numPr>
        <w:tabs>
          <w:tab w:val="left" w:pos="1112"/>
          <w:tab w:val="left" w:pos="1113"/>
        </w:tabs>
        <w:jc w:val="both"/>
      </w:pPr>
      <w:r>
        <w:t>Summary</w:t>
      </w:r>
      <w:r>
        <w:rPr>
          <w:spacing w:val="-7"/>
        </w:rPr>
        <w:t xml:space="preserve"> </w:t>
      </w:r>
      <w:r>
        <w:t>of</w:t>
      </w:r>
      <w:r>
        <w:rPr>
          <w:spacing w:val="-5"/>
        </w:rPr>
        <w:t xml:space="preserve"> </w:t>
      </w:r>
      <w:r>
        <w:t>Approach</w:t>
      </w:r>
      <w:r>
        <w:rPr>
          <w:spacing w:val="-7"/>
        </w:rPr>
        <w:t xml:space="preserve"> </w:t>
      </w:r>
      <w:r>
        <w:t>to</w:t>
      </w:r>
      <w:r>
        <w:rPr>
          <w:spacing w:val="-6"/>
        </w:rPr>
        <w:t xml:space="preserve"> </w:t>
      </w:r>
      <w:r>
        <w:t>Demand</w:t>
      </w:r>
      <w:r>
        <w:rPr>
          <w:spacing w:val="-7"/>
        </w:rPr>
        <w:t xml:space="preserve"> </w:t>
      </w:r>
      <w:r>
        <w:rPr>
          <w:spacing w:val="-2"/>
        </w:rPr>
        <w:t>Forecasting</w:t>
      </w:r>
    </w:p>
    <w:p w14:paraId="39A5D3C3" w14:textId="77777777" w:rsidR="00141B97" w:rsidRDefault="00911D63">
      <w:pPr>
        <w:pStyle w:val="BodyText"/>
        <w:spacing w:before="59" w:line="259" w:lineRule="auto"/>
        <w:ind w:left="113" w:right="949"/>
        <w:jc w:val="both"/>
      </w:pPr>
      <w:r>
        <w:t>Econometric techniques were used to identify the key statistical factors that influence residential water demand.</w:t>
      </w:r>
      <w:r>
        <w:rPr>
          <w:spacing w:val="-3"/>
        </w:rPr>
        <w:t xml:space="preserve"> </w:t>
      </w:r>
      <w:r>
        <w:t>Predictions</w:t>
      </w:r>
      <w:r>
        <w:rPr>
          <w:spacing w:val="-2"/>
        </w:rPr>
        <w:t xml:space="preserve"> </w:t>
      </w:r>
      <w:r>
        <w:t>of</w:t>
      </w:r>
      <w:r>
        <w:rPr>
          <w:spacing w:val="-1"/>
        </w:rPr>
        <w:t xml:space="preserve"> </w:t>
      </w:r>
      <w:r>
        <w:t>the</w:t>
      </w:r>
      <w:r>
        <w:rPr>
          <w:spacing w:val="-4"/>
        </w:rPr>
        <w:t xml:space="preserve"> </w:t>
      </w:r>
      <w:r>
        <w:t>future</w:t>
      </w:r>
      <w:r>
        <w:rPr>
          <w:spacing w:val="-2"/>
        </w:rPr>
        <w:t xml:space="preserve"> </w:t>
      </w:r>
      <w:r>
        <w:t>course</w:t>
      </w:r>
      <w:r>
        <w:rPr>
          <w:spacing w:val="-2"/>
        </w:rPr>
        <w:t xml:space="preserve"> </w:t>
      </w:r>
      <w:r>
        <w:t>of</w:t>
      </w:r>
      <w:r>
        <w:rPr>
          <w:spacing w:val="-3"/>
        </w:rPr>
        <w:t xml:space="preserve"> </w:t>
      </w:r>
      <w:r>
        <w:t>these</w:t>
      </w:r>
      <w:r>
        <w:rPr>
          <w:spacing w:val="-2"/>
        </w:rPr>
        <w:t xml:space="preserve"> </w:t>
      </w:r>
      <w:r>
        <w:t>factors</w:t>
      </w:r>
      <w:r>
        <w:rPr>
          <w:spacing w:val="-2"/>
        </w:rPr>
        <w:t xml:space="preserve"> </w:t>
      </w:r>
      <w:r>
        <w:t>are</w:t>
      </w:r>
      <w:r>
        <w:rPr>
          <w:spacing w:val="-2"/>
        </w:rPr>
        <w:t xml:space="preserve"> </w:t>
      </w:r>
      <w:r>
        <w:t>then</w:t>
      </w:r>
      <w:r>
        <w:rPr>
          <w:spacing w:val="-3"/>
        </w:rPr>
        <w:t xml:space="preserve"> </w:t>
      </w:r>
      <w:r>
        <w:t>applied</w:t>
      </w:r>
      <w:r>
        <w:rPr>
          <w:spacing w:val="-2"/>
        </w:rPr>
        <w:t xml:space="preserve"> </w:t>
      </w:r>
      <w:r>
        <w:t>using</w:t>
      </w:r>
      <w:r>
        <w:rPr>
          <w:spacing w:val="-3"/>
        </w:rPr>
        <w:t xml:space="preserve"> </w:t>
      </w:r>
      <w:r>
        <w:t>regression</w:t>
      </w:r>
      <w:r>
        <w:rPr>
          <w:spacing w:val="-2"/>
        </w:rPr>
        <w:t xml:space="preserve"> </w:t>
      </w:r>
      <w:r>
        <w:t>analysis</w:t>
      </w:r>
      <w:r>
        <w:rPr>
          <w:spacing w:val="-3"/>
        </w:rPr>
        <w:t xml:space="preserve"> </w:t>
      </w:r>
      <w:r>
        <w:t>to</w:t>
      </w:r>
      <w:r>
        <w:rPr>
          <w:spacing w:val="-2"/>
        </w:rPr>
        <w:t xml:space="preserve"> </w:t>
      </w:r>
      <w:r>
        <w:t>derive</w:t>
      </w:r>
      <w:r>
        <w:rPr>
          <w:spacing w:val="-3"/>
        </w:rPr>
        <w:t xml:space="preserve"> </w:t>
      </w:r>
      <w:r>
        <w:t>a forecast level of residential demand per connection.</w:t>
      </w:r>
    </w:p>
    <w:p w14:paraId="29B9A6E0" w14:textId="77777777" w:rsidR="00141B97" w:rsidRDefault="00141B97">
      <w:pPr>
        <w:pStyle w:val="BodyText"/>
        <w:spacing w:before="8"/>
        <w:rPr>
          <w:sz w:val="23"/>
        </w:rPr>
      </w:pPr>
    </w:p>
    <w:p w14:paraId="5243B159" w14:textId="77777777" w:rsidR="00141B97" w:rsidRDefault="00911D63">
      <w:pPr>
        <w:pStyle w:val="BodyText"/>
        <w:spacing w:before="1" w:line="259" w:lineRule="auto"/>
        <w:ind w:left="114" w:right="948" w:hanging="1"/>
        <w:jc w:val="both"/>
      </w:pPr>
      <w:r>
        <w:t>Twenty years of quarterly urban water consumption and water and sewerage connection data were used for analysis, with Permanent Water Saving Rules (PWSR) applying throughout the current and immediate past regulatory periods, with these periods also being free of staged drought restrictions.</w:t>
      </w:r>
    </w:p>
    <w:p w14:paraId="09F7723C" w14:textId="77777777" w:rsidR="00141B97" w:rsidRDefault="00141B97">
      <w:pPr>
        <w:pStyle w:val="BodyText"/>
        <w:spacing w:before="8"/>
        <w:rPr>
          <w:sz w:val="23"/>
        </w:rPr>
      </w:pPr>
    </w:p>
    <w:p w14:paraId="74E62589" w14:textId="77777777" w:rsidR="00141B97" w:rsidRDefault="00911D63">
      <w:pPr>
        <w:pStyle w:val="BodyText"/>
        <w:spacing w:line="259" w:lineRule="auto"/>
        <w:ind w:left="113" w:right="948" w:hanging="1"/>
        <w:jc w:val="both"/>
      </w:pPr>
      <w:r>
        <w:t>For the first time, Mallee Climate Projections</w:t>
      </w:r>
      <w:r>
        <w:rPr>
          <w:vertAlign w:val="superscript"/>
        </w:rPr>
        <w:t>7</w:t>
      </w:r>
      <w:r>
        <w:t xml:space="preserve"> data were available via CSIRO and DELWP and updated in 2021. This information was compared to historic data for daily maximum temperature and average monthly rainfall, enabling modelling of a range of scenarios to determine average forecast consumption.</w:t>
      </w:r>
    </w:p>
    <w:p w14:paraId="3C3AEC62" w14:textId="77777777" w:rsidR="00141B97" w:rsidRDefault="00141B97">
      <w:pPr>
        <w:pStyle w:val="BodyText"/>
        <w:spacing w:before="8"/>
        <w:rPr>
          <w:sz w:val="23"/>
        </w:rPr>
      </w:pPr>
    </w:p>
    <w:p w14:paraId="3B8B4FEE" w14:textId="77777777" w:rsidR="00141B97" w:rsidRDefault="00911D63">
      <w:pPr>
        <w:pStyle w:val="BodyText"/>
        <w:spacing w:line="259" w:lineRule="auto"/>
        <w:ind w:left="113" w:right="948" w:hanging="1"/>
        <w:jc w:val="both"/>
      </w:pPr>
      <w:r>
        <w:t xml:space="preserve">Forecast demand per connection was then combined with forecasts of the number of residential connections to derive a forecast of total billed residential water consumption. This included review of forecast demand for new connections compared to existing connections. Similarly, total non‐residential water consumption is forecast by combining likely non‐residential customer numbers with likely non‐residential demand per </w:t>
      </w:r>
      <w:r>
        <w:rPr>
          <w:spacing w:val="-2"/>
        </w:rPr>
        <w:t>connection.</w:t>
      </w:r>
    </w:p>
    <w:p w14:paraId="6A863F9D" w14:textId="77777777" w:rsidR="00141B97" w:rsidRDefault="00141B97">
      <w:pPr>
        <w:pStyle w:val="BodyText"/>
        <w:spacing w:before="8"/>
        <w:rPr>
          <w:sz w:val="23"/>
        </w:rPr>
      </w:pPr>
    </w:p>
    <w:p w14:paraId="3B43684A" w14:textId="77777777" w:rsidR="00141B97" w:rsidRDefault="00911D63">
      <w:pPr>
        <w:pStyle w:val="BodyText"/>
        <w:ind w:left="113" w:right="949"/>
        <w:jc w:val="both"/>
      </w:pPr>
      <w:r>
        <w:t>Supporting</w:t>
      </w:r>
      <w:r>
        <w:rPr>
          <w:spacing w:val="-1"/>
        </w:rPr>
        <w:t xml:space="preserve"> </w:t>
      </w:r>
      <w:r>
        <w:t>documentation</w:t>
      </w:r>
      <w:r>
        <w:rPr>
          <w:spacing w:val="-2"/>
        </w:rPr>
        <w:t xml:space="preserve"> </w:t>
      </w:r>
      <w:r>
        <w:t>by ACIL Allen</w:t>
      </w:r>
      <w:r>
        <w:rPr>
          <w:vertAlign w:val="superscript"/>
        </w:rPr>
        <w:t>8</w:t>
      </w:r>
      <w:r>
        <w:rPr>
          <w:spacing w:val="-2"/>
        </w:rPr>
        <w:t xml:space="preserve"> </w:t>
      </w:r>
      <w:r>
        <w:t>provides LMW’s</w:t>
      </w:r>
      <w:r>
        <w:rPr>
          <w:spacing w:val="-1"/>
        </w:rPr>
        <w:t xml:space="preserve"> </w:t>
      </w:r>
      <w:r>
        <w:t>demand</w:t>
      </w:r>
      <w:r>
        <w:rPr>
          <w:spacing w:val="-2"/>
        </w:rPr>
        <w:t xml:space="preserve"> </w:t>
      </w:r>
      <w:r>
        <w:t>forecasting methodology, assumptions</w:t>
      </w:r>
      <w:r>
        <w:rPr>
          <w:spacing w:val="-1"/>
        </w:rPr>
        <w:t xml:space="preserve"> </w:t>
      </w:r>
      <w:r>
        <w:t>and analysis that underpin the forecasts of water demand per connection. This is supplemented by Board papers that provide further detail on the growth projections in the forecasts</w:t>
      </w:r>
      <w:r>
        <w:rPr>
          <w:vertAlign w:val="superscript"/>
        </w:rPr>
        <w:t>9</w:t>
      </w:r>
      <w:r>
        <w:t>.</w:t>
      </w:r>
    </w:p>
    <w:p w14:paraId="2404BB32" w14:textId="77777777" w:rsidR="00141B97" w:rsidRDefault="00141B97">
      <w:pPr>
        <w:pStyle w:val="BodyText"/>
        <w:spacing w:before="7"/>
        <w:rPr>
          <w:sz w:val="20"/>
        </w:rPr>
      </w:pPr>
    </w:p>
    <w:p w14:paraId="648E3E9C" w14:textId="77777777" w:rsidR="00141B97" w:rsidRDefault="00911D63">
      <w:pPr>
        <w:pStyle w:val="ListParagraph"/>
        <w:numPr>
          <w:ilvl w:val="2"/>
          <w:numId w:val="81"/>
        </w:numPr>
        <w:tabs>
          <w:tab w:val="left" w:pos="1112"/>
          <w:tab w:val="left" w:pos="1113"/>
        </w:tabs>
        <w:jc w:val="both"/>
      </w:pPr>
      <w:r>
        <w:t>Forecast</w:t>
      </w:r>
      <w:r>
        <w:rPr>
          <w:spacing w:val="-8"/>
        </w:rPr>
        <w:t xml:space="preserve"> </w:t>
      </w:r>
      <w:r>
        <w:t>Demand</w:t>
      </w:r>
      <w:r>
        <w:rPr>
          <w:spacing w:val="-7"/>
        </w:rPr>
        <w:t xml:space="preserve"> </w:t>
      </w:r>
      <w:r>
        <w:t>Basis</w:t>
      </w:r>
      <w:r>
        <w:rPr>
          <w:spacing w:val="-8"/>
        </w:rPr>
        <w:t xml:space="preserve"> </w:t>
      </w:r>
      <w:r>
        <w:t>and</w:t>
      </w:r>
      <w:r>
        <w:rPr>
          <w:spacing w:val="-7"/>
        </w:rPr>
        <w:t xml:space="preserve"> </w:t>
      </w:r>
      <w:r>
        <w:rPr>
          <w:spacing w:val="-2"/>
        </w:rPr>
        <w:t>Assumptions</w:t>
      </w:r>
    </w:p>
    <w:p w14:paraId="4004D185" w14:textId="77777777" w:rsidR="00141B97" w:rsidRDefault="00141B97">
      <w:pPr>
        <w:pStyle w:val="BodyText"/>
        <w:spacing w:before="8"/>
        <w:rPr>
          <w:sz w:val="19"/>
        </w:rPr>
      </w:pPr>
    </w:p>
    <w:p w14:paraId="13E6B5E8" w14:textId="77777777" w:rsidR="00141B97" w:rsidRDefault="00911D63">
      <w:pPr>
        <w:pStyle w:val="ListParagraph"/>
        <w:numPr>
          <w:ilvl w:val="3"/>
          <w:numId w:val="81"/>
        </w:numPr>
        <w:tabs>
          <w:tab w:val="left" w:pos="1107"/>
        </w:tabs>
        <w:spacing w:before="1"/>
        <w:jc w:val="both"/>
        <w:rPr>
          <w:i/>
          <w:sz w:val="20"/>
        </w:rPr>
      </w:pPr>
      <w:r>
        <w:rPr>
          <w:i/>
          <w:sz w:val="20"/>
        </w:rPr>
        <w:t>Growth</w:t>
      </w:r>
      <w:r>
        <w:rPr>
          <w:i/>
          <w:spacing w:val="-3"/>
          <w:sz w:val="20"/>
        </w:rPr>
        <w:t xml:space="preserve"> </w:t>
      </w:r>
      <w:r>
        <w:rPr>
          <w:i/>
          <w:sz w:val="20"/>
        </w:rPr>
        <w:t>Rates</w:t>
      </w:r>
      <w:r>
        <w:rPr>
          <w:i/>
          <w:spacing w:val="-3"/>
          <w:sz w:val="20"/>
        </w:rPr>
        <w:t xml:space="preserve"> </w:t>
      </w:r>
      <w:r>
        <w:rPr>
          <w:i/>
          <w:sz w:val="20"/>
        </w:rPr>
        <w:t>and</w:t>
      </w:r>
      <w:r>
        <w:rPr>
          <w:i/>
          <w:spacing w:val="-2"/>
          <w:sz w:val="20"/>
        </w:rPr>
        <w:t xml:space="preserve"> Connections</w:t>
      </w:r>
    </w:p>
    <w:p w14:paraId="14DD4FEA" w14:textId="77777777" w:rsidR="00141B97" w:rsidRDefault="00911D63">
      <w:pPr>
        <w:pStyle w:val="BodyText"/>
        <w:spacing w:before="59" w:line="259" w:lineRule="auto"/>
        <w:ind w:left="113" w:right="948"/>
        <w:jc w:val="both"/>
      </w:pPr>
      <w:r>
        <w:t>LMW</w:t>
      </w:r>
      <w:r>
        <w:rPr>
          <w:spacing w:val="-9"/>
        </w:rPr>
        <w:t xml:space="preserve"> </w:t>
      </w:r>
      <w:r>
        <w:t>considered</w:t>
      </w:r>
      <w:r>
        <w:rPr>
          <w:spacing w:val="-7"/>
        </w:rPr>
        <w:t xml:space="preserve"> </w:t>
      </w:r>
      <w:r>
        <w:t>future</w:t>
      </w:r>
      <w:r>
        <w:rPr>
          <w:spacing w:val="-10"/>
        </w:rPr>
        <w:t xml:space="preserve"> </w:t>
      </w:r>
      <w:r>
        <w:t>growth</w:t>
      </w:r>
      <w:r>
        <w:rPr>
          <w:spacing w:val="-8"/>
        </w:rPr>
        <w:t xml:space="preserve"> </w:t>
      </w:r>
      <w:r>
        <w:t>in</w:t>
      </w:r>
      <w:r>
        <w:rPr>
          <w:spacing w:val="-8"/>
        </w:rPr>
        <w:t xml:space="preserve"> </w:t>
      </w:r>
      <w:r>
        <w:t>numbers</w:t>
      </w:r>
      <w:r>
        <w:rPr>
          <w:spacing w:val="-8"/>
        </w:rPr>
        <w:t xml:space="preserve"> </w:t>
      </w:r>
      <w:r>
        <w:t>of</w:t>
      </w:r>
      <w:r>
        <w:rPr>
          <w:spacing w:val="-9"/>
        </w:rPr>
        <w:t xml:space="preserve"> </w:t>
      </w:r>
      <w:r>
        <w:t>households</w:t>
      </w:r>
      <w:r>
        <w:rPr>
          <w:spacing w:val="-8"/>
        </w:rPr>
        <w:t xml:space="preserve"> </w:t>
      </w:r>
      <w:r>
        <w:t>from</w:t>
      </w:r>
      <w:r>
        <w:rPr>
          <w:spacing w:val="-7"/>
        </w:rPr>
        <w:t xml:space="preserve"> </w:t>
      </w:r>
      <w:r>
        <w:t>Victoria</w:t>
      </w:r>
      <w:r>
        <w:rPr>
          <w:spacing w:val="-8"/>
        </w:rPr>
        <w:t xml:space="preserve"> </w:t>
      </w:r>
      <w:r>
        <w:t>in</w:t>
      </w:r>
      <w:r>
        <w:rPr>
          <w:spacing w:val="-8"/>
        </w:rPr>
        <w:t xml:space="preserve"> </w:t>
      </w:r>
      <w:r>
        <w:t>Future</w:t>
      </w:r>
      <w:r>
        <w:rPr>
          <w:spacing w:val="-7"/>
        </w:rPr>
        <w:t xml:space="preserve"> </w:t>
      </w:r>
      <w:r>
        <w:t>2021</w:t>
      </w:r>
      <w:r>
        <w:rPr>
          <w:spacing w:val="-9"/>
        </w:rPr>
        <w:t xml:space="preserve"> </w:t>
      </w:r>
      <w:r>
        <w:t>(VIF2021)</w:t>
      </w:r>
      <w:r>
        <w:rPr>
          <w:spacing w:val="-9"/>
        </w:rPr>
        <w:t xml:space="preserve"> </w:t>
      </w:r>
      <w:r>
        <w:t>data</w:t>
      </w:r>
      <w:r>
        <w:rPr>
          <w:spacing w:val="-8"/>
        </w:rPr>
        <w:t xml:space="preserve"> </w:t>
      </w:r>
      <w:r>
        <w:t>obtained through</w:t>
      </w:r>
      <w:r>
        <w:rPr>
          <w:spacing w:val="-8"/>
        </w:rPr>
        <w:t xml:space="preserve"> </w:t>
      </w:r>
      <w:r>
        <w:t>DELWP,</w:t>
      </w:r>
      <w:r>
        <w:rPr>
          <w:spacing w:val="-8"/>
        </w:rPr>
        <w:t xml:space="preserve"> </w:t>
      </w:r>
      <w:r>
        <w:t>in</w:t>
      </w:r>
      <w:r>
        <w:rPr>
          <w:spacing w:val="-8"/>
        </w:rPr>
        <w:t xml:space="preserve"> </w:t>
      </w:r>
      <w:r>
        <w:t>conjunction</w:t>
      </w:r>
      <w:r>
        <w:rPr>
          <w:spacing w:val="-8"/>
        </w:rPr>
        <w:t xml:space="preserve"> </w:t>
      </w:r>
      <w:r>
        <w:t>with</w:t>
      </w:r>
      <w:r>
        <w:rPr>
          <w:spacing w:val="-7"/>
        </w:rPr>
        <w:t xml:space="preserve"> </w:t>
      </w:r>
      <w:r>
        <w:t>historic</w:t>
      </w:r>
      <w:r>
        <w:rPr>
          <w:spacing w:val="-9"/>
        </w:rPr>
        <w:t xml:space="preserve"> </w:t>
      </w:r>
      <w:r>
        <w:t>connections</w:t>
      </w:r>
      <w:r>
        <w:rPr>
          <w:spacing w:val="-8"/>
        </w:rPr>
        <w:t xml:space="preserve"> </w:t>
      </w:r>
      <w:r>
        <w:t>data,</w:t>
      </w:r>
      <w:r>
        <w:rPr>
          <w:spacing w:val="-9"/>
        </w:rPr>
        <w:t xml:space="preserve"> </w:t>
      </w:r>
      <w:r>
        <w:t>2021</w:t>
      </w:r>
      <w:r>
        <w:rPr>
          <w:spacing w:val="-9"/>
        </w:rPr>
        <w:t xml:space="preserve"> </w:t>
      </w:r>
      <w:r>
        <w:t>ABS</w:t>
      </w:r>
      <w:r>
        <w:rPr>
          <w:spacing w:val="-7"/>
        </w:rPr>
        <w:t xml:space="preserve"> </w:t>
      </w:r>
      <w:r>
        <w:t>census</w:t>
      </w:r>
      <w:r>
        <w:rPr>
          <w:spacing w:val="-6"/>
        </w:rPr>
        <w:t xml:space="preserve"> </w:t>
      </w:r>
      <w:r>
        <w:t>data,</w:t>
      </w:r>
      <w:r>
        <w:rPr>
          <w:spacing w:val="-8"/>
        </w:rPr>
        <w:t xml:space="preserve"> </w:t>
      </w:r>
      <w:r>
        <w:t>and</w:t>
      </w:r>
      <w:r>
        <w:rPr>
          <w:spacing w:val="-8"/>
        </w:rPr>
        <w:t xml:space="preserve"> </w:t>
      </w:r>
      <w:r>
        <w:t>through</w:t>
      </w:r>
      <w:r>
        <w:rPr>
          <w:spacing w:val="-8"/>
        </w:rPr>
        <w:t xml:space="preserve"> </w:t>
      </w:r>
      <w:r>
        <w:t>engagement with councils (growth forecasts and planning permits), landowners/developers and consultants. Information from</w:t>
      </w:r>
      <w:r>
        <w:rPr>
          <w:spacing w:val="-4"/>
        </w:rPr>
        <w:t xml:space="preserve"> </w:t>
      </w:r>
      <w:r>
        <w:t>diverse</w:t>
      </w:r>
      <w:r>
        <w:rPr>
          <w:spacing w:val="-3"/>
        </w:rPr>
        <w:t xml:space="preserve"> </w:t>
      </w:r>
      <w:r>
        <w:t>sources</w:t>
      </w:r>
      <w:r>
        <w:rPr>
          <w:spacing w:val="-3"/>
        </w:rPr>
        <w:t xml:space="preserve"> </w:t>
      </w:r>
      <w:r>
        <w:t>can</w:t>
      </w:r>
      <w:r>
        <w:rPr>
          <w:spacing w:val="-4"/>
        </w:rPr>
        <w:t xml:space="preserve"> </w:t>
      </w:r>
      <w:r>
        <w:t>be</w:t>
      </w:r>
      <w:r>
        <w:rPr>
          <w:spacing w:val="-5"/>
        </w:rPr>
        <w:t xml:space="preserve"> </w:t>
      </w:r>
      <w:r>
        <w:t>contradictory</w:t>
      </w:r>
      <w:r>
        <w:rPr>
          <w:spacing w:val="-4"/>
        </w:rPr>
        <w:t xml:space="preserve"> </w:t>
      </w:r>
      <w:r>
        <w:t>with</w:t>
      </w:r>
      <w:r>
        <w:rPr>
          <w:spacing w:val="-3"/>
        </w:rPr>
        <w:t xml:space="preserve"> </w:t>
      </w:r>
      <w:r>
        <w:t>the</w:t>
      </w:r>
      <w:r>
        <w:rPr>
          <w:spacing w:val="-4"/>
        </w:rPr>
        <w:t xml:space="preserve"> </w:t>
      </w:r>
      <w:r>
        <w:t>granularity</w:t>
      </w:r>
      <w:r>
        <w:rPr>
          <w:spacing w:val="-4"/>
        </w:rPr>
        <w:t xml:space="preserve"> </w:t>
      </w:r>
      <w:r>
        <w:t>required</w:t>
      </w:r>
      <w:r>
        <w:rPr>
          <w:spacing w:val="-5"/>
        </w:rPr>
        <w:t xml:space="preserve"> </w:t>
      </w:r>
      <w:r>
        <w:t>to</w:t>
      </w:r>
      <w:r>
        <w:rPr>
          <w:spacing w:val="-5"/>
        </w:rPr>
        <w:t xml:space="preserve"> </w:t>
      </w:r>
      <w:r>
        <w:t>understand</w:t>
      </w:r>
      <w:r>
        <w:rPr>
          <w:spacing w:val="-5"/>
        </w:rPr>
        <w:t xml:space="preserve"> </w:t>
      </w:r>
      <w:r>
        <w:t>growth</w:t>
      </w:r>
      <w:r>
        <w:rPr>
          <w:spacing w:val="-5"/>
        </w:rPr>
        <w:t xml:space="preserve"> </w:t>
      </w:r>
      <w:r>
        <w:t>in</w:t>
      </w:r>
      <w:r>
        <w:rPr>
          <w:spacing w:val="-4"/>
        </w:rPr>
        <w:t xml:space="preserve"> </w:t>
      </w:r>
      <w:r>
        <w:t>smaller</w:t>
      </w:r>
      <w:r>
        <w:rPr>
          <w:spacing w:val="-3"/>
        </w:rPr>
        <w:t xml:space="preserve"> </w:t>
      </w:r>
      <w:r>
        <w:t>towns particularly difficult to access from data for larger geographic areas</w:t>
      </w:r>
      <w:r>
        <w:rPr>
          <w:color w:val="0064A4"/>
        </w:rPr>
        <w:t>.</w:t>
      </w:r>
    </w:p>
    <w:p w14:paraId="094F7431" w14:textId="77777777" w:rsidR="00141B97" w:rsidRDefault="00141B97">
      <w:pPr>
        <w:pStyle w:val="BodyText"/>
        <w:spacing w:before="8"/>
        <w:rPr>
          <w:sz w:val="23"/>
        </w:rPr>
      </w:pPr>
    </w:p>
    <w:p w14:paraId="48292769" w14:textId="77777777" w:rsidR="00141B97" w:rsidRDefault="00911D63">
      <w:pPr>
        <w:pStyle w:val="BodyText"/>
        <w:spacing w:line="259" w:lineRule="auto"/>
        <w:ind w:left="114" w:right="948" w:hanging="1"/>
        <w:jc w:val="both"/>
      </w:pPr>
      <w:r>
        <w:t>The net urban residential connections growth forecast assumption for the PS5 period is 1.1%. This growth forecast</w:t>
      </w:r>
      <w:r>
        <w:rPr>
          <w:spacing w:val="40"/>
        </w:rPr>
        <w:t xml:space="preserve"> </w:t>
      </w:r>
      <w:r>
        <w:t>primarily</w:t>
      </w:r>
      <w:r>
        <w:rPr>
          <w:spacing w:val="40"/>
        </w:rPr>
        <w:t xml:space="preserve"> </w:t>
      </w:r>
      <w:r>
        <w:t>is</w:t>
      </w:r>
      <w:r>
        <w:rPr>
          <w:spacing w:val="40"/>
        </w:rPr>
        <w:t xml:space="preserve"> </w:t>
      </w:r>
      <w:r>
        <w:t>driven</w:t>
      </w:r>
      <w:r>
        <w:rPr>
          <w:spacing w:val="40"/>
        </w:rPr>
        <w:t xml:space="preserve"> </w:t>
      </w:r>
      <w:r>
        <w:t>by</w:t>
      </w:r>
      <w:r>
        <w:rPr>
          <w:spacing w:val="40"/>
        </w:rPr>
        <w:t xml:space="preserve"> </w:t>
      </w:r>
      <w:r>
        <w:t>LMW’s</w:t>
      </w:r>
      <w:r>
        <w:rPr>
          <w:spacing w:val="40"/>
        </w:rPr>
        <w:t xml:space="preserve"> </w:t>
      </w:r>
      <w:r>
        <w:t>historical</w:t>
      </w:r>
      <w:r>
        <w:rPr>
          <w:spacing w:val="40"/>
        </w:rPr>
        <w:t xml:space="preserve"> </w:t>
      </w:r>
      <w:r>
        <w:t>connections</w:t>
      </w:r>
      <w:r>
        <w:rPr>
          <w:spacing w:val="40"/>
        </w:rPr>
        <w:t xml:space="preserve"> </w:t>
      </w:r>
      <w:r>
        <w:t>data</w:t>
      </w:r>
      <w:r>
        <w:rPr>
          <w:spacing w:val="40"/>
        </w:rPr>
        <w:t xml:space="preserve"> </w:t>
      </w:r>
      <w:r>
        <w:t>and</w:t>
      </w:r>
      <w:r>
        <w:rPr>
          <w:spacing w:val="40"/>
        </w:rPr>
        <w:t xml:space="preserve"> </w:t>
      </w:r>
      <w:r>
        <w:t>understanding</w:t>
      </w:r>
      <w:r>
        <w:rPr>
          <w:spacing w:val="40"/>
        </w:rPr>
        <w:t xml:space="preserve"> </w:t>
      </w:r>
      <w:r>
        <w:t>of</w:t>
      </w:r>
      <w:r>
        <w:rPr>
          <w:spacing w:val="40"/>
        </w:rPr>
        <w:t xml:space="preserve"> </w:t>
      </w:r>
      <w:r>
        <w:t>new</w:t>
      </w:r>
      <w:r>
        <w:rPr>
          <w:spacing w:val="40"/>
        </w:rPr>
        <w:t xml:space="preserve"> </w:t>
      </w:r>
      <w:r>
        <w:t>residential</w:t>
      </w:r>
    </w:p>
    <w:p w14:paraId="6DD9B60B" w14:textId="77777777" w:rsidR="00141B97" w:rsidRDefault="00141B97">
      <w:pPr>
        <w:pStyle w:val="BodyText"/>
        <w:rPr>
          <w:sz w:val="20"/>
        </w:rPr>
      </w:pPr>
    </w:p>
    <w:p w14:paraId="5429A819" w14:textId="496AFE7F" w:rsidR="00141B97" w:rsidRDefault="00911D63">
      <w:pPr>
        <w:pStyle w:val="BodyText"/>
        <w:spacing w:before="2"/>
        <w:rPr>
          <w:sz w:val="12"/>
        </w:rPr>
      </w:pPr>
      <w:r>
        <w:rPr>
          <w:noProof/>
        </w:rPr>
        <mc:AlternateContent>
          <mc:Choice Requires="wps">
            <w:drawing>
              <wp:anchor distT="0" distB="0" distL="0" distR="0" simplePos="0" relativeHeight="487613440" behindDoc="1" locked="0" layoutInCell="1" allowOverlap="1" wp14:anchorId="2C85EC5E" wp14:editId="0EE384D1">
                <wp:simplePos x="0" y="0"/>
                <wp:positionH relativeFrom="page">
                  <wp:posOffset>720090</wp:posOffset>
                </wp:positionH>
                <wp:positionV relativeFrom="paragraph">
                  <wp:posOffset>109855</wp:posOffset>
                </wp:positionV>
                <wp:extent cx="1828800" cy="6350"/>
                <wp:effectExtent l="0" t="0" r="0" b="0"/>
                <wp:wrapTopAndBottom/>
                <wp:docPr id="29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56F44" id="docshape123" o:spid="_x0000_s1026" style="position:absolute;margin-left:56.7pt;margin-top:8.65pt;width:2in;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" fillcolor="black" stroked="f">
                <w10:wrap type="topAndBottom" anchorx="page"/>
              </v:rect>
            </w:pict>
          </mc:Fallback>
        </mc:AlternateContent>
      </w:r>
    </w:p>
    <w:p w14:paraId="5D22BAB2" w14:textId="77777777" w:rsidR="00141B97" w:rsidRDefault="00911D63">
      <w:pPr>
        <w:spacing w:before="85"/>
        <w:ind w:left="114"/>
        <w:rPr>
          <w:sz w:val="14"/>
        </w:rPr>
      </w:pPr>
      <w:r>
        <w:rPr>
          <w:position w:val="4"/>
          <w:sz w:val="9"/>
        </w:rPr>
        <w:t>7</w:t>
      </w:r>
      <w:r>
        <w:rPr>
          <w:spacing w:val="7"/>
          <w:position w:val="4"/>
          <w:sz w:val="9"/>
        </w:rPr>
        <w:t xml:space="preserve"> </w:t>
      </w:r>
      <w:r>
        <w:rPr>
          <w:sz w:val="14"/>
        </w:rPr>
        <w:t>Mallee</w:t>
      </w:r>
      <w:r>
        <w:rPr>
          <w:spacing w:val="-5"/>
          <w:sz w:val="14"/>
        </w:rPr>
        <w:t xml:space="preserve"> </w:t>
      </w:r>
      <w:r>
        <w:rPr>
          <w:sz w:val="14"/>
        </w:rPr>
        <w:t>Climate</w:t>
      </w:r>
      <w:r>
        <w:rPr>
          <w:spacing w:val="-3"/>
          <w:sz w:val="14"/>
        </w:rPr>
        <w:t xml:space="preserve"> </w:t>
      </w:r>
      <w:r>
        <w:rPr>
          <w:sz w:val="14"/>
        </w:rPr>
        <w:t>Projections</w:t>
      </w:r>
      <w:r>
        <w:rPr>
          <w:spacing w:val="-5"/>
          <w:sz w:val="14"/>
        </w:rPr>
        <w:t xml:space="preserve"> </w:t>
      </w:r>
      <w:r>
        <w:rPr>
          <w:sz w:val="14"/>
        </w:rPr>
        <w:t>2019,</w:t>
      </w:r>
      <w:r>
        <w:rPr>
          <w:spacing w:val="-4"/>
          <w:sz w:val="14"/>
        </w:rPr>
        <w:t xml:space="preserve"> </w:t>
      </w:r>
      <w:r>
        <w:rPr>
          <w:sz w:val="14"/>
        </w:rPr>
        <w:t>CSIRO</w:t>
      </w:r>
      <w:r>
        <w:rPr>
          <w:spacing w:val="-2"/>
          <w:sz w:val="14"/>
        </w:rPr>
        <w:t xml:space="preserve"> </w:t>
      </w:r>
      <w:r>
        <w:rPr>
          <w:sz w:val="14"/>
        </w:rPr>
        <w:t>and</w:t>
      </w:r>
      <w:r>
        <w:rPr>
          <w:spacing w:val="-4"/>
          <w:sz w:val="14"/>
        </w:rPr>
        <w:t xml:space="preserve"> </w:t>
      </w:r>
      <w:r>
        <w:rPr>
          <w:sz w:val="14"/>
        </w:rPr>
        <w:t>State</w:t>
      </w:r>
      <w:r>
        <w:rPr>
          <w:spacing w:val="-4"/>
          <w:sz w:val="14"/>
        </w:rPr>
        <w:t xml:space="preserve"> </w:t>
      </w:r>
      <w:r>
        <w:rPr>
          <w:sz w:val="14"/>
        </w:rPr>
        <w:t>of</w:t>
      </w:r>
      <w:r>
        <w:rPr>
          <w:spacing w:val="-3"/>
          <w:sz w:val="14"/>
        </w:rPr>
        <w:t xml:space="preserve"> </w:t>
      </w:r>
      <w:r>
        <w:rPr>
          <w:spacing w:val="-2"/>
          <w:sz w:val="14"/>
        </w:rPr>
        <w:t>Victoria.</w:t>
      </w:r>
    </w:p>
    <w:p w14:paraId="186122EC" w14:textId="77777777" w:rsidR="00141B97" w:rsidRDefault="00911D63">
      <w:pPr>
        <w:spacing w:before="99"/>
        <w:ind w:left="114"/>
        <w:rPr>
          <w:sz w:val="14"/>
        </w:rPr>
      </w:pPr>
      <w:r>
        <w:rPr>
          <w:position w:val="4"/>
          <w:sz w:val="9"/>
        </w:rPr>
        <w:t>8</w:t>
      </w:r>
      <w:r>
        <w:rPr>
          <w:spacing w:val="4"/>
          <w:position w:val="4"/>
          <w:sz w:val="9"/>
        </w:rPr>
        <w:t xml:space="preserve"> </w:t>
      </w:r>
      <w:r>
        <w:rPr>
          <w:sz w:val="14"/>
        </w:rPr>
        <w:t>Urban</w:t>
      </w:r>
      <w:r>
        <w:rPr>
          <w:spacing w:val="-4"/>
          <w:sz w:val="14"/>
        </w:rPr>
        <w:t xml:space="preserve"> </w:t>
      </w:r>
      <w:r>
        <w:rPr>
          <w:sz w:val="14"/>
        </w:rPr>
        <w:t>Residential</w:t>
      </w:r>
      <w:r>
        <w:rPr>
          <w:spacing w:val="-4"/>
          <w:sz w:val="14"/>
        </w:rPr>
        <w:t xml:space="preserve"> </w:t>
      </w:r>
      <w:r>
        <w:rPr>
          <w:sz w:val="14"/>
        </w:rPr>
        <w:t>Demand</w:t>
      </w:r>
      <w:r>
        <w:rPr>
          <w:spacing w:val="-4"/>
          <w:sz w:val="14"/>
        </w:rPr>
        <w:t xml:space="preserve"> </w:t>
      </w:r>
      <w:r>
        <w:rPr>
          <w:sz w:val="14"/>
        </w:rPr>
        <w:t>Forecasting</w:t>
      </w:r>
      <w:r>
        <w:rPr>
          <w:spacing w:val="-4"/>
          <w:sz w:val="14"/>
        </w:rPr>
        <w:t xml:space="preserve"> </w:t>
      </w:r>
      <w:r>
        <w:rPr>
          <w:sz w:val="14"/>
        </w:rPr>
        <w:t>Report,</w:t>
      </w:r>
      <w:r>
        <w:rPr>
          <w:spacing w:val="-4"/>
          <w:sz w:val="14"/>
        </w:rPr>
        <w:t xml:space="preserve"> </w:t>
      </w:r>
      <w:r>
        <w:rPr>
          <w:sz w:val="14"/>
        </w:rPr>
        <w:t>ACIL</w:t>
      </w:r>
      <w:r>
        <w:rPr>
          <w:spacing w:val="-4"/>
          <w:sz w:val="14"/>
        </w:rPr>
        <w:t xml:space="preserve"> </w:t>
      </w:r>
      <w:r>
        <w:rPr>
          <w:sz w:val="14"/>
        </w:rPr>
        <w:t>Allen,</w:t>
      </w:r>
      <w:r>
        <w:rPr>
          <w:spacing w:val="-3"/>
          <w:sz w:val="14"/>
        </w:rPr>
        <w:t xml:space="preserve"> </w:t>
      </w:r>
      <w:r>
        <w:rPr>
          <w:sz w:val="14"/>
        </w:rPr>
        <w:t>February</w:t>
      </w:r>
      <w:r>
        <w:rPr>
          <w:spacing w:val="-4"/>
          <w:sz w:val="14"/>
        </w:rPr>
        <w:t xml:space="preserve"> 2022</w:t>
      </w:r>
    </w:p>
    <w:p w14:paraId="61856C8F" w14:textId="77777777" w:rsidR="00141B97" w:rsidRDefault="00911D63">
      <w:pPr>
        <w:spacing w:before="100"/>
        <w:ind w:left="114"/>
        <w:rPr>
          <w:sz w:val="14"/>
        </w:rPr>
      </w:pPr>
      <w:r>
        <w:rPr>
          <w:position w:val="4"/>
          <w:sz w:val="9"/>
        </w:rPr>
        <w:t>9</w:t>
      </w:r>
      <w:r>
        <w:rPr>
          <w:spacing w:val="8"/>
          <w:position w:val="4"/>
          <w:sz w:val="9"/>
        </w:rPr>
        <w:t xml:space="preserve"> </w:t>
      </w:r>
      <w:r>
        <w:rPr>
          <w:sz w:val="14"/>
        </w:rPr>
        <w:t>Finance</w:t>
      </w:r>
      <w:r>
        <w:rPr>
          <w:spacing w:val="-3"/>
          <w:sz w:val="14"/>
        </w:rPr>
        <w:t xml:space="preserve"> </w:t>
      </w:r>
      <w:r>
        <w:rPr>
          <w:sz w:val="14"/>
        </w:rPr>
        <w:t>and</w:t>
      </w:r>
      <w:r>
        <w:rPr>
          <w:spacing w:val="-2"/>
          <w:sz w:val="14"/>
        </w:rPr>
        <w:t xml:space="preserve"> </w:t>
      </w:r>
      <w:r>
        <w:rPr>
          <w:sz w:val="14"/>
        </w:rPr>
        <w:t>Audit</w:t>
      </w:r>
      <w:r>
        <w:rPr>
          <w:spacing w:val="-4"/>
          <w:sz w:val="14"/>
        </w:rPr>
        <w:t xml:space="preserve"> </w:t>
      </w:r>
      <w:r>
        <w:rPr>
          <w:sz w:val="14"/>
        </w:rPr>
        <w:t>Committee</w:t>
      </w:r>
      <w:r>
        <w:rPr>
          <w:spacing w:val="-3"/>
          <w:sz w:val="14"/>
        </w:rPr>
        <w:t xml:space="preserve"> </w:t>
      </w:r>
      <w:r>
        <w:rPr>
          <w:sz w:val="14"/>
        </w:rPr>
        <w:t>07</w:t>
      </w:r>
      <w:r>
        <w:rPr>
          <w:spacing w:val="-2"/>
          <w:sz w:val="14"/>
        </w:rPr>
        <w:t xml:space="preserve"> </w:t>
      </w:r>
      <w:r>
        <w:rPr>
          <w:sz w:val="14"/>
        </w:rPr>
        <w:t>June</w:t>
      </w:r>
      <w:r>
        <w:rPr>
          <w:spacing w:val="-3"/>
          <w:sz w:val="14"/>
        </w:rPr>
        <w:t xml:space="preserve"> </w:t>
      </w:r>
      <w:r>
        <w:rPr>
          <w:sz w:val="14"/>
        </w:rPr>
        <w:t>2022</w:t>
      </w:r>
      <w:r>
        <w:rPr>
          <w:spacing w:val="-3"/>
          <w:sz w:val="14"/>
        </w:rPr>
        <w:t xml:space="preserve"> </w:t>
      </w:r>
      <w:r>
        <w:rPr>
          <w:sz w:val="14"/>
        </w:rPr>
        <w:t>Item</w:t>
      </w:r>
      <w:r>
        <w:rPr>
          <w:spacing w:val="-1"/>
          <w:sz w:val="14"/>
        </w:rPr>
        <w:t xml:space="preserve"> </w:t>
      </w:r>
      <w:r>
        <w:rPr>
          <w:sz w:val="14"/>
        </w:rPr>
        <w:t>4.1.1</w:t>
      </w:r>
      <w:r>
        <w:rPr>
          <w:spacing w:val="-3"/>
          <w:sz w:val="14"/>
        </w:rPr>
        <w:t xml:space="preserve"> </w:t>
      </w:r>
      <w:r>
        <w:rPr>
          <w:sz w:val="14"/>
        </w:rPr>
        <w:t>LMW</w:t>
      </w:r>
      <w:r>
        <w:rPr>
          <w:spacing w:val="-3"/>
          <w:sz w:val="14"/>
        </w:rPr>
        <w:t xml:space="preserve"> </w:t>
      </w:r>
      <w:r>
        <w:rPr>
          <w:sz w:val="14"/>
        </w:rPr>
        <w:t>Urban</w:t>
      </w:r>
      <w:r>
        <w:rPr>
          <w:spacing w:val="-2"/>
          <w:sz w:val="14"/>
        </w:rPr>
        <w:t xml:space="preserve"> Demand</w:t>
      </w:r>
    </w:p>
    <w:p w14:paraId="56A285F6" w14:textId="77777777" w:rsidR="00141B97" w:rsidRDefault="00141B97">
      <w:pPr>
        <w:rPr>
          <w:sz w:val="14"/>
        </w:rPr>
        <w:sectPr w:rsidR="00141B97">
          <w:pgSz w:w="11910" w:h="16840"/>
          <w:pgMar w:top="1080" w:right="40" w:bottom="760" w:left="1020" w:header="0" w:footer="580" w:gutter="0"/>
          <w:cols w:space="720"/>
        </w:sectPr>
      </w:pPr>
    </w:p>
    <w:p w14:paraId="33FA0A4E" w14:textId="77777777" w:rsidR="00141B97" w:rsidRDefault="00911D63">
      <w:pPr>
        <w:pStyle w:val="BodyText"/>
        <w:spacing w:before="31" w:line="259" w:lineRule="auto"/>
        <w:ind w:left="113" w:right="947"/>
        <w:jc w:val="both"/>
      </w:pPr>
      <w:r>
        <w:lastRenderedPageBreak/>
        <w:t>developments under construction or which have full planning and design approvals and are highly likely to proceed within PS5. The VIF2021 estimate of 0.48% is lower than the PS5 estimate of 1.1%, however after extensive consultation with planning officers from all three municipalities within LMW’s service area and developers,</w:t>
      </w:r>
      <w:r>
        <w:rPr>
          <w:spacing w:val="-1"/>
        </w:rPr>
        <w:t xml:space="preserve"> </w:t>
      </w:r>
      <w:r>
        <w:t>LMW</w:t>
      </w:r>
      <w:r>
        <w:rPr>
          <w:spacing w:val="-1"/>
        </w:rPr>
        <w:t xml:space="preserve"> </w:t>
      </w:r>
      <w:r>
        <w:t>is</w:t>
      </w:r>
      <w:r>
        <w:rPr>
          <w:spacing w:val="-1"/>
        </w:rPr>
        <w:t xml:space="preserve"> </w:t>
      </w:r>
      <w:r>
        <w:t>confident</w:t>
      </w:r>
      <w:r>
        <w:rPr>
          <w:spacing w:val="-1"/>
        </w:rPr>
        <w:t xml:space="preserve"> </w:t>
      </w:r>
      <w:r>
        <w:t>the</w:t>
      </w:r>
      <w:r>
        <w:rPr>
          <w:spacing w:val="-1"/>
        </w:rPr>
        <w:t xml:space="preserve"> </w:t>
      </w:r>
      <w:r>
        <w:t>forecast</w:t>
      </w:r>
      <w:r>
        <w:rPr>
          <w:spacing w:val="-1"/>
        </w:rPr>
        <w:t xml:space="preserve"> </w:t>
      </w:r>
      <w:r>
        <w:t>is based on</w:t>
      </w:r>
      <w:r>
        <w:rPr>
          <w:spacing w:val="-1"/>
        </w:rPr>
        <w:t xml:space="preserve"> </w:t>
      </w:r>
      <w:r>
        <w:t>the best</w:t>
      </w:r>
      <w:r>
        <w:rPr>
          <w:spacing w:val="-1"/>
        </w:rPr>
        <w:t xml:space="preserve"> </w:t>
      </w:r>
      <w:r>
        <w:t>and</w:t>
      </w:r>
      <w:r>
        <w:rPr>
          <w:spacing w:val="-1"/>
        </w:rPr>
        <w:t xml:space="preserve"> </w:t>
      </w:r>
      <w:r>
        <w:t>most</w:t>
      </w:r>
      <w:r>
        <w:rPr>
          <w:spacing w:val="-1"/>
        </w:rPr>
        <w:t xml:space="preserve"> </w:t>
      </w:r>
      <w:r>
        <w:t>current</w:t>
      </w:r>
      <w:r>
        <w:rPr>
          <w:spacing w:val="-1"/>
        </w:rPr>
        <w:t xml:space="preserve"> </w:t>
      </w:r>
      <w:r>
        <w:t>information</w:t>
      </w:r>
      <w:r>
        <w:rPr>
          <w:spacing w:val="-1"/>
        </w:rPr>
        <w:t xml:space="preserve"> </w:t>
      </w:r>
      <w:r>
        <w:t>and, in</w:t>
      </w:r>
      <w:r>
        <w:rPr>
          <w:spacing w:val="-1"/>
        </w:rPr>
        <w:t xml:space="preserve"> </w:t>
      </w:r>
      <w:r>
        <w:t>any case, bears the risk of revenue shortfalls if growth does not match the forecast.</w:t>
      </w:r>
    </w:p>
    <w:p w14:paraId="1A6A274F" w14:textId="77777777" w:rsidR="00141B97" w:rsidRDefault="00141B97">
      <w:pPr>
        <w:pStyle w:val="BodyText"/>
        <w:spacing w:before="8"/>
        <w:rPr>
          <w:sz w:val="23"/>
        </w:rPr>
      </w:pPr>
    </w:p>
    <w:p w14:paraId="7572B46C" w14:textId="77777777" w:rsidR="00141B97" w:rsidRDefault="00911D63">
      <w:pPr>
        <w:pStyle w:val="BodyText"/>
        <w:spacing w:line="259" w:lineRule="auto"/>
        <w:ind w:left="113" w:right="947"/>
        <w:jc w:val="both"/>
      </w:pPr>
      <w:r>
        <w:t>LMW uses a graduated service charge, which varies according to the diameter of the connecting water supply pipe.</w:t>
      </w:r>
      <w:r>
        <w:rPr>
          <w:spacing w:val="-13"/>
        </w:rPr>
        <w:t xml:space="preserve"> </w:t>
      </w:r>
      <w:r>
        <w:t>To</w:t>
      </w:r>
      <w:r>
        <w:rPr>
          <w:spacing w:val="-12"/>
        </w:rPr>
        <w:t xml:space="preserve"> </w:t>
      </w:r>
      <w:r>
        <w:t>allow</w:t>
      </w:r>
      <w:r>
        <w:rPr>
          <w:spacing w:val="-13"/>
        </w:rPr>
        <w:t xml:space="preserve"> </w:t>
      </w:r>
      <w:r>
        <w:t>for</w:t>
      </w:r>
      <w:r>
        <w:rPr>
          <w:spacing w:val="-12"/>
        </w:rPr>
        <w:t xml:space="preserve"> </w:t>
      </w:r>
      <w:r>
        <w:t>this</w:t>
      </w:r>
      <w:r>
        <w:rPr>
          <w:spacing w:val="-13"/>
        </w:rPr>
        <w:t xml:space="preserve"> </w:t>
      </w:r>
      <w:r>
        <w:t>graduated</w:t>
      </w:r>
      <w:r>
        <w:rPr>
          <w:spacing w:val="-12"/>
        </w:rPr>
        <w:t xml:space="preserve"> </w:t>
      </w:r>
      <w:r>
        <w:t>charge,</w:t>
      </w:r>
      <w:r>
        <w:rPr>
          <w:spacing w:val="-13"/>
        </w:rPr>
        <w:t xml:space="preserve"> </w:t>
      </w:r>
      <w:r>
        <w:t>LMW</w:t>
      </w:r>
      <w:r>
        <w:rPr>
          <w:spacing w:val="-12"/>
        </w:rPr>
        <w:t xml:space="preserve"> </w:t>
      </w:r>
      <w:r>
        <w:t>assesses</w:t>
      </w:r>
      <w:r>
        <w:rPr>
          <w:spacing w:val="-12"/>
        </w:rPr>
        <w:t xml:space="preserve"> </w:t>
      </w:r>
      <w:r>
        <w:t>the</w:t>
      </w:r>
      <w:r>
        <w:rPr>
          <w:spacing w:val="-13"/>
        </w:rPr>
        <w:t xml:space="preserve"> </w:t>
      </w:r>
      <w:r>
        <w:t>number</w:t>
      </w:r>
      <w:r>
        <w:rPr>
          <w:spacing w:val="-12"/>
        </w:rPr>
        <w:t xml:space="preserve"> </w:t>
      </w:r>
      <w:r>
        <w:t>of</w:t>
      </w:r>
      <w:r>
        <w:rPr>
          <w:spacing w:val="-13"/>
        </w:rPr>
        <w:t xml:space="preserve"> </w:t>
      </w:r>
      <w:r>
        <w:t>connections</w:t>
      </w:r>
      <w:r>
        <w:rPr>
          <w:spacing w:val="-12"/>
        </w:rPr>
        <w:t xml:space="preserve"> </w:t>
      </w:r>
      <w:r>
        <w:t>in</w:t>
      </w:r>
      <w:r>
        <w:rPr>
          <w:spacing w:val="-13"/>
        </w:rPr>
        <w:t xml:space="preserve"> </w:t>
      </w:r>
      <w:r>
        <w:t>terms</w:t>
      </w:r>
      <w:r>
        <w:rPr>
          <w:spacing w:val="-12"/>
        </w:rPr>
        <w:t xml:space="preserve"> </w:t>
      </w:r>
      <w:r>
        <w:t>of</w:t>
      </w:r>
      <w:r>
        <w:rPr>
          <w:spacing w:val="-12"/>
        </w:rPr>
        <w:t xml:space="preserve"> </w:t>
      </w:r>
      <w:r>
        <w:t>20</w:t>
      </w:r>
      <w:r>
        <w:rPr>
          <w:spacing w:val="-13"/>
        </w:rPr>
        <w:t xml:space="preserve"> </w:t>
      </w:r>
      <w:r>
        <w:t>mm</w:t>
      </w:r>
      <w:r>
        <w:rPr>
          <w:spacing w:val="-12"/>
        </w:rPr>
        <w:t xml:space="preserve"> </w:t>
      </w:r>
      <w:r>
        <w:t>equivalent connections,</w:t>
      </w:r>
      <w:r>
        <w:rPr>
          <w:spacing w:val="-2"/>
        </w:rPr>
        <w:t xml:space="preserve"> </w:t>
      </w:r>
      <w:r>
        <w:t>which</w:t>
      </w:r>
      <w:r>
        <w:rPr>
          <w:spacing w:val="-5"/>
        </w:rPr>
        <w:t xml:space="preserve"> </w:t>
      </w:r>
      <w:r>
        <w:t>count</w:t>
      </w:r>
      <w:r>
        <w:rPr>
          <w:spacing w:val="-4"/>
        </w:rPr>
        <w:t xml:space="preserve"> </w:t>
      </w:r>
      <w:r>
        <w:t>larger</w:t>
      </w:r>
      <w:r>
        <w:rPr>
          <w:spacing w:val="-3"/>
        </w:rPr>
        <w:t xml:space="preserve"> </w:t>
      </w:r>
      <w:r>
        <w:t>connections</w:t>
      </w:r>
      <w:r>
        <w:rPr>
          <w:spacing w:val="-2"/>
        </w:rPr>
        <w:t xml:space="preserve"> </w:t>
      </w:r>
      <w:r>
        <w:t>as</w:t>
      </w:r>
      <w:r>
        <w:rPr>
          <w:spacing w:val="-4"/>
        </w:rPr>
        <w:t xml:space="preserve"> </w:t>
      </w:r>
      <w:r>
        <w:t>a</w:t>
      </w:r>
      <w:r>
        <w:rPr>
          <w:spacing w:val="-3"/>
        </w:rPr>
        <w:t xml:space="preserve"> </w:t>
      </w:r>
      <w:r>
        <w:t>multiple</w:t>
      </w:r>
      <w:r>
        <w:rPr>
          <w:spacing w:val="-4"/>
        </w:rPr>
        <w:t xml:space="preserve"> </w:t>
      </w:r>
      <w:r>
        <w:t>of</w:t>
      </w:r>
      <w:r>
        <w:rPr>
          <w:spacing w:val="-4"/>
        </w:rPr>
        <w:t xml:space="preserve"> </w:t>
      </w:r>
      <w:r>
        <w:t>the</w:t>
      </w:r>
      <w:r>
        <w:rPr>
          <w:spacing w:val="-5"/>
        </w:rPr>
        <w:t xml:space="preserve"> </w:t>
      </w:r>
      <w:r>
        <w:t>standard</w:t>
      </w:r>
      <w:r>
        <w:rPr>
          <w:spacing w:val="-4"/>
        </w:rPr>
        <w:t xml:space="preserve"> </w:t>
      </w:r>
      <w:r>
        <w:t>20</w:t>
      </w:r>
      <w:r>
        <w:rPr>
          <w:spacing w:val="-4"/>
        </w:rPr>
        <w:t xml:space="preserve"> </w:t>
      </w:r>
      <w:r>
        <w:t>mm</w:t>
      </w:r>
      <w:r>
        <w:rPr>
          <w:spacing w:val="-3"/>
        </w:rPr>
        <w:t xml:space="preserve"> </w:t>
      </w:r>
      <w:r>
        <w:t>connection</w:t>
      </w:r>
      <w:r>
        <w:rPr>
          <w:spacing w:val="-3"/>
        </w:rPr>
        <w:t xml:space="preserve"> </w:t>
      </w:r>
      <w:r>
        <w:t>with</w:t>
      </w:r>
      <w:r>
        <w:rPr>
          <w:spacing w:val="-3"/>
        </w:rPr>
        <w:t xml:space="preserve"> </w:t>
      </w:r>
      <w:r>
        <w:t>the</w:t>
      </w:r>
      <w:r>
        <w:rPr>
          <w:spacing w:val="-4"/>
        </w:rPr>
        <w:t xml:space="preserve"> </w:t>
      </w:r>
      <w:r>
        <w:t>multiple reflecting the pricing structure. Information on numbers of equivalent connections for residential and non‐ residential customers is sourced from LMW’s billing system. Growth in equivalent connections is assumed to reflect the growth forecast for occupied private dwellings.</w:t>
      </w:r>
    </w:p>
    <w:p w14:paraId="4C809250" w14:textId="77777777" w:rsidR="00141B97" w:rsidRDefault="00141B97">
      <w:pPr>
        <w:pStyle w:val="BodyText"/>
        <w:spacing w:before="8"/>
        <w:rPr>
          <w:sz w:val="23"/>
        </w:rPr>
      </w:pPr>
    </w:p>
    <w:p w14:paraId="7B79E34C" w14:textId="77777777" w:rsidR="00141B97" w:rsidRDefault="00911D63">
      <w:pPr>
        <w:pStyle w:val="BodyText"/>
        <w:spacing w:line="259" w:lineRule="auto"/>
        <w:ind w:left="113" w:right="950" w:hanging="1"/>
        <w:jc w:val="both"/>
      </w:pPr>
      <w:r>
        <w:t>Growth in the number of non‐residential customers is assumed to mirror the growth of residential customers and to maintain the existing relationship between actual and equivalent connections.</w:t>
      </w:r>
    </w:p>
    <w:p w14:paraId="0E11CB74" w14:textId="77777777" w:rsidR="00141B97" w:rsidRDefault="00141B97">
      <w:pPr>
        <w:pStyle w:val="BodyText"/>
        <w:spacing w:before="7"/>
        <w:rPr>
          <w:sz w:val="19"/>
        </w:rPr>
      </w:pPr>
    </w:p>
    <w:p w14:paraId="5BB6E9E5" w14:textId="77777777" w:rsidR="00141B97" w:rsidRDefault="00911D63">
      <w:pPr>
        <w:pStyle w:val="ListParagraph"/>
        <w:numPr>
          <w:ilvl w:val="3"/>
          <w:numId w:val="81"/>
        </w:numPr>
        <w:tabs>
          <w:tab w:val="left" w:pos="1107"/>
        </w:tabs>
        <w:spacing w:before="1"/>
        <w:jc w:val="both"/>
        <w:rPr>
          <w:i/>
        </w:rPr>
      </w:pPr>
      <w:r>
        <w:rPr>
          <w:i/>
        </w:rPr>
        <w:t>Weather</w:t>
      </w:r>
      <w:r>
        <w:rPr>
          <w:i/>
          <w:spacing w:val="-10"/>
        </w:rPr>
        <w:t xml:space="preserve"> </w:t>
      </w:r>
      <w:r>
        <w:rPr>
          <w:i/>
        </w:rPr>
        <w:t>and</w:t>
      </w:r>
      <w:r>
        <w:rPr>
          <w:i/>
          <w:spacing w:val="-8"/>
        </w:rPr>
        <w:t xml:space="preserve"> </w:t>
      </w:r>
      <w:r>
        <w:rPr>
          <w:i/>
        </w:rPr>
        <w:t>Water</w:t>
      </w:r>
      <w:r>
        <w:rPr>
          <w:i/>
          <w:spacing w:val="-8"/>
        </w:rPr>
        <w:t xml:space="preserve"> </w:t>
      </w:r>
      <w:r>
        <w:rPr>
          <w:i/>
        </w:rPr>
        <w:t>Restrictions</w:t>
      </w:r>
      <w:r>
        <w:rPr>
          <w:i/>
          <w:spacing w:val="-9"/>
        </w:rPr>
        <w:t xml:space="preserve"> </w:t>
      </w:r>
      <w:r>
        <w:rPr>
          <w:i/>
          <w:spacing w:val="-2"/>
        </w:rPr>
        <w:t>Influences</w:t>
      </w:r>
    </w:p>
    <w:p w14:paraId="1337DE58" w14:textId="77777777" w:rsidR="00141B97" w:rsidRDefault="00911D63">
      <w:pPr>
        <w:pStyle w:val="BodyText"/>
        <w:spacing w:before="59"/>
        <w:ind w:left="114" w:right="948" w:hanging="1"/>
        <w:jc w:val="both"/>
      </w:pPr>
      <w:r>
        <w:t>A</w:t>
      </w:r>
      <w:r>
        <w:rPr>
          <w:spacing w:val="-6"/>
        </w:rPr>
        <w:t xml:space="preserve"> </w:t>
      </w:r>
      <w:r>
        <w:t>regression</w:t>
      </w:r>
      <w:r>
        <w:rPr>
          <w:spacing w:val="-4"/>
        </w:rPr>
        <w:t xml:space="preserve"> </w:t>
      </w:r>
      <w:r>
        <w:t>analysis</w:t>
      </w:r>
      <w:r>
        <w:rPr>
          <w:spacing w:val="-4"/>
        </w:rPr>
        <w:t xml:space="preserve"> </w:t>
      </w:r>
      <w:r>
        <w:t>was</w:t>
      </w:r>
      <w:r>
        <w:rPr>
          <w:spacing w:val="-4"/>
        </w:rPr>
        <w:t xml:space="preserve"> </w:t>
      </w:r>
      <w:r>
        <w:t>used</w:t>
      </w:r>
      <w:r>
        <w:rPr>
          <w:spacing w:val="-6"/>
        </w:rPr>
        <w:t xml:space="preserve"> </w:t>
      </w:r>
      <w:r>
        <w:t>to</w:t>
      </w:r>
      <w:r>
        <w:rPr>
          <w:spacing w:val="-6"/>
        </w:rPr>
        <w:t xml:space="preserve"> </w:t>
      </w:r>
      <w:r>
        <w:t>relate</w:t>
      </w:r>
      <w:r>
        <w:rPr>
          <w:spacing w:val="-5"/>
        </w:rPr>
        <w:t xml:space="preserve"> </w:t>
      </w:r>
      <w:r>
        <w:t>demand</w:t>
      </w:r>
      <w:r>
        <w:rPr>
          <w:spacing w:val="-6"/>
        </w:rPr>
        <w:t xml:space="preserve"> </w:t>
      </w:r>
      <w:r>
        <w:t>per</w:t>
      </w:r>
      <w:r>
        <w:rPr>
          <w:spacing w:val="-5"/>
        </w:rPr>
        <w:t xml:space="preserve"> </w:t>
      </w:r>
      <w:r>
        <w:t>equivalent</w:t>
      </w:r>
      <w:r>
        <w:rPr>
          <w:spacing w:val="-6"/>
        </w:rPr>
        <w:t xml:space="preserve"> </w:t>
      </w:r>
      <w:r>
        <w:t>connection</w:t>
      </w:r>
      <w:r>
        <w:rPr>
          <w:spacing w:val="-6"/>
        </w:rPr>
        <w:t xml:space="preserve"> </w:t>
      </w:r>
      <w:r>
        <w:t>to</w:t>
      </w:r>
      <w:r>
        <w:rPr>
          <w:spacing w:val="-6"/>
        </w:rPr>
        <w:t xml:space="preserve"> </w:t>
      </w:r>
      <w:r>
        <w:t>weather</w:t>
      </w:r>
      <w:r>
        <w:rPr>
          <w:spacing w:val="-6"/>
        </w:rPr>
        <w:t xml:space="preserve"> </w:t>
      </w:r>
      <w:r>
        <w:t>conditions</w:t>
      </w:r>
      <w:r>
        <w:rPr>
          <w:spacing w:val="-4"/>
        </w:rPr>
        <w:t xml:space="preserve"> </w:t>
      </w:r>
      <w:r>
        <w:t>and</w:t>
      </w:r>
      <w:r>
        <w:rPr>
          <w:spacing w:val="-6"/>
        </w:rPr>
        <w:t xml:space="preserve"> </w:t>
      </w:r>
      <w:r>
        <w:t>the</w:t>
      </w:r>
      <w:r>
        <w:rPr>
          <w:spacing w:val="-5"/>
        </w:rPr>
        <w:t xml:space="preserve"> </w:t>
      </w:r>
      <w:r>
        <w:t>level of water restrictions, based on quarterly consumption data for the period from 2000‐01 to 2020‐21 inclusive.</w:t>
      </w:r>
    </w:p>
    <w:p w14:paraId="61599BE0" w14:textId="77777777" w:rsidR="00141B97" w:rsidRDefault="00141B97">
      <w:pPr>
        <w:pStyle w:val="BodyText"/>
      </w:pPr>
    </w:p>
    <w:p w14:paraId="45BDCC46" w14:textId="77777777" w:rsidR="00141B97" w:rsidRDefault="00911D63">
      <w:pPr>
        <w:pStyle w:val="BodyText"/>
        <w:ind w:left="114" w:right="948" w:hanging="1"/>
        <w:jc w:val="both"/>
      </w:pPr>
      <w:r>
        <w:t>The analysis involved regressing average consumption per equivalent connection against average daily maximum temperature</w:t>
      </w:r>
      <w:r>
        <w:rPr>
          <w:spacing w:val="-2"/>
        </w:rPr>
        <w:t xml:space="preserve"> </w:t>
      </w:r>
      <w:r>
        <w:t>and</w:t>
      </w:r>
      <w:r>
        <w:rPr>
          <w:spacing w:val="-1"/>
        </w:rPr>
        <w:t xml:space="preserve"> </w:t>
      </w:r>
      <w:r>
        <w:t>average</w:t>
      </w:r>
      <w:r>
        <w:rPr>
          <w:spacing w:val="-1"/>
        </w:rPr>
        <w:t xml:space="preserve"> </w:t>
      </w:r>
      <w:r>
        <w:t>monthly rainfall</w:t>
      </w:r>
      <w:r>
        <w:rPr>
          <w:spacing w:val="-1"/>
        </w:rPr>
        <w:t xml:space="preserve"> </w:t>
      </w:r>
      <w:r>
        <w:t>per quarter. The</w:t>
      </w:r>
      <w:r>
        <w:rPr>
          <w:spacing w:val="-1"/>
        </w:rPr>
        <w:t xml:space="preserve"> </w:t>
      </w:r>
      <w:r>
        <w:t>analysis</w:t>
      </w:r>
      <w:r>
        <w:rPr>
          <w:spacing w:val="-1"/>
        </w:rPr>
        <w:t xml:space="preserve"> </w:t>
      </w:r>
      <w:r>
        <w:t>accounted for the</w:t>
      </w:r>
      <w:r>
        <w:rPr>
          <w:spacing w:val="-1"/>
        </w:rPr>
        <w:t xml:space="preserve"> </w:t>
      </w:r>
      <w:r>
        <w:t xml:space="preserve">varying water </w:t>
      </w:r>
      <w:r>
        <w:rPr>
          <w:spacing w:val="-2"/>
        </w:rPr>
        <w:t>restrictions</w:t>
      </w:r>
      <w:r>
        <w:rPr>
          <w:spacing w:val="-3"/>
        </w:rPr>
        <w:t xml:space="preserve"> </w:t>
      </w:r>
      <w:r>
        <w:rPr>
          <w:spacing w:val="-2"/>
        </w:rPr>
        <w:t>that</w:t>
      </w:r>
      <w:r>
        <w:rPr>
          <w:spacing w:val="-3"/>
        </w:rPr>
        <w:t xml:space="preserve"> </w:t>
      </w:r>
      <w:r>
        <w:rPr>
          <w:spacing w:val="-2"/>
        </w:rPr>
        <w:t>were in</w:t>
      </w:r>
      <w:r>
        <w:rPr>
          <w:spacing w:val="-3"/>
        </w:rPr>
        <w:t xml:space="preserve"> </w:t>
      </w:r>
      <w:r>
        <w:rPr>
          <w:spacing w:val="-2"/>
        </w:rPr>
        <w:t>place</w:t>
      </w:r>
      <w:r>
        <w:rPr>
          <w:spacing w:val="-4"/>
        </w:rPr>
        <w:t xml:space="preserve"> </w:t>
      </w:r>
      <w:r>
        <w:rPr>
          <w:spacing w:val="-2"/>
        </w:rPr>
        <w:t>previously, and ongoing PWSR,</w:t>
      </w:r>
      <w:r>
        <w:rPr>
          <w:spacing w:val="-3"/>
        </w:rPr>
        <w:t xml:space="preserve"> </w:t>
      </w:r>
      <w:r>
        <w:rPr>
          <w:spacing w:val="-2"/>
        </w:rPr>
        <w:t>by including</w:t>
      </w:r>
      <w:r>
        <w:rPr>
          <w:spacing w:val="-3"/>
        </w:rPr>
        <w:t xml:space="preserve"> </w:t>
      </w:r>
      <w:r>
        <w:rPr>
          <w:spacing w:val="-2"/>
        </w:rPr>
        <w:t>the</w:t>
      </w:r>
      <w:r>
        <w:rPr>
          <w:spacing w:val="-4"/>
        </w:rPr>
        <w:t xml:space="preserve"> </w:t>
      </w:r>
      <w:r>
        <w:rPr>
          <w:spacing w:val="-2"/>
        </w:rPr>
        <w:t>stages</w:t>
      </w:r>
      <w:r>
        <w:rPr>
          <w:spacing w:val="-3"/>
        </w:rPr>
        <w:t xml:space="preserve"> </w:t>
      </w:r>
      <w:r>
        <w:rPr>
          <w:spacing w:val="-2"/>
        </w:rPr>
        <w:t>of</w:t>
      </w:r>
      <w:r>
        <w:rPr>
          <w:spacing w:val="-3"/>
        </w:rPr>
        <w:t xml:space="preserve"> </w:t>
      </w:r>
      <w:r>
        <w:rPr>
          <w:spacing w:val="-2"/>
        </w:rPr>
        <w:t>restrictions.</w:t>
      </w:r>
      <w:r>
        <w:rPr>
          <w:spacing w:val="-3"/>
        </w:rPr>
        <w:t xml:space="preserve"> </w:t>
      </w:r>
      <w:r>
        <w:rPr>
          <w:spacing w:val="-2"/>
        </w:rPr>
        <w:t xml:space="preserve">As expected, </w:t>
      </w:r>
      <w:r>
        <w:t>higher</w:t>
      </w:r>
      <w:r>
        <w:rPr>
          <w:spacing w:val="-5"/>
        </w:rPr>
        <w:t xml:space="preserve"> </w:t>
      </w:r>
      <w:r>
        <w:t>temperatures</w:t>
      </w:r>
      <w:r>
        <w:rPr>
          <w:spacing w:val="-4"/>
        </w:rPr>
        <w:t xml:space="preserve"> </w:t>
      </w:r>
      <w:r>
        <w:t>result</w:t>
      </w:r>
      <w:r>
        <w:rPr>
          <w:spacing w:val="-5"/>
        </w:rPr>
        <w:t xml:space="preserve"> </w:t>
      </w:r>
      <w:r>
        <w:t>in</w:t>
      </w:r>
      <w:r>
        <w:rPr>
          <w:spacing w:val="-3"/>
        </w:rPr>
        <w:t xml:space="preserve"> </w:t>
      </w:r>
      <w:r>
        <w:t>increased</w:t>
      </w:r>
      <w:r>
        <w:rPr>
          <w:spacing w:val="-5"/>
        </w:rPr>
        <w:t xml:space="preserve"> </w:t>
      </w:r>
      <w:r>
        <w:t>demand</w:t>
      </w:r>
      <w:r>
        <w:rPr>
          <w:spacing w:val="-6"/>
        </w:rPr>
        <w:t xml:space="preserve"> </w:t>
      </w:r>
      <w:r>
        <w:t>for</w:t>
      </w:r>
      <w:r>
        <w:rPr>
          <w:spacing w:val="-3"/>
        </w:rPr>
        <w:t xml:space="preserve"> </w:t>
      </w:r>
      <w:r>
        <w:t>water,</w:t>
      </w:r>
      <w:r>
        <w:rPr>
          <w:spacing w:val="-4"/>
        </w:rPr>
        <w:t xml:space="preserve"> </w:t>
      </w:r>
      <w:r>
        <w:t>and</w:t>
      </w:r>
      <w:r>
        <w:rPr>
          <w:spacing w:val="-4"/>
        </w:rPr>
        <w:t xml:space="preserve"> </w:t>
      </w:r>
      <w:r>
        <w:t>higher</w:t>
      </w:r>
      <w:r>
        <w:rPr>
          <w:spacing w:val="-4"/>
        </w:rPr>
        <w:t xml:space="preserve"> </w:t>
      </w:r>
      <w:r>
        <w:t>rainfall</w:t>
      </w:r>
      <w:r>
        <w:rPr>
          <w:spacing w:val="-6"/>
        </w:rPr>
        <w:t xml:space="preserve"> </w:t>
      </w:r>
      <w:r>
        <w:t>results</w:t>
      </w:r>
      <w:r>
        <w:rPr>
          <w:spacing w:val="-3"/>
        </w:rPr>
        <w:t xml:space="preserve"> </w:t>
      </w:r>
      <w:r>
        <w:t>in</w:t>
      </w:r>
      <w:r>
        <w:rPr>
          <w:spacing w:val="-4"/>
        </w:rPr>
        <w:t xml:space="preserve"> </w:t>
      </w:r>
      <w:r>
        <w:t>a</w:t>
      </w:r>
      <w:r>
        <w:rPr>
          <w:spacing w:val="-4"/>
        </w:rPr>
        <w:t xml:space="preserve"> </w:t>
      </w:r>
      <w:r>
        <w:t>reduction</w:t>
      </w:r>
      <w:r>
        <w:rPr>
          <w:spacing w:val="-4"/>
        </w:rPr>
        <w:t xml:space="preserve"> </w:t>
      </w:r>
      <w:r>
        <w:t>in</w:t>
      </w:r>
      <w:r>
        <w:rPr>
          <w:spacing w:val="-4"/>
        </w:rPr>
        <w:t xml:space="preserve"> </w:t>
      </w:r>
      <w:r>
        <w:t>demand. Similarly, there is a steady decrease in demand as restrictions become tighter.</w:t>
      </w:r>
    </w:p>
    <w:p w14:paraId="1D52627D" w14:textId="77777777" w:rsidR="00141B97" w:rsidRDefault="00141B97">
      <w:pPr>
        <w:pStyle w:val="BodyText"/>
        <w:spacing w:before="1"/>
      </w:pPr>
    </w:p>
    <w:p w14:paraId="7C990CB4" w14:textId="77777777" w:rsidR="00141B97" w:rsidRDefault="00911D63">
      <w:pPr>
        <w:pStyle w:val="BodyText"/>
        <w:ind w:left="113" w:right="947" w:hanging="1"/>
        <w:jc w:val="both"/>
      </w:pPr>
      <w:r>
        <w:t>The</w:t>
      </w:r>
      <w:r>
        <w:rPr>
          <w:spacing w:val="-1"/>
        </w:rPr>
        <w:t xml:space="preserve"> </w:t>
      </w:r>
      <w:r>
        <w:t>impact</w:t>
      </w:r>
      <w:r>
        <w:rPr>
          <w:spacing w:val="-1"/>
        </w:rPr>
        <w:t xml:space="preserve"> </w:t>
      </w:r>
      <w:r>
        <w:t>of permanent water</w:t>
      </w:r>
      <w:r>
        <w:rPr>
          <w:spacing w:val="-1"/>
        </w:rPr>
        <w:t xml:space="preserve"> </w:t>
      </w:r>
      <w:r>
        <w:t>savings</w:t>
      </w:r>
      <w:r>
        <w:rPr>
          <w:spacing w:val="-1"/>
        </w:rPr>
        <w:t xml:space="preserve"> </w:t>
      </w:r>
      <w:r>
        <w:t>is significant,</w:t>
      </w:r>
      <w:r>
        <w:rPr>
          <w:spacing w:val="-1"/>
        </w:rPr>
        <w:t xml:space="preserve"> </w:t>
      </w:r>
      <w:r>
        <w:t>and</w:t>
      </w:r>
      <w:r>
        <w:rPr>
          <w:spacing w:val="-1"/>
        </w:rPr>
        <w:t xml:space="preserve"> </w:t>
      </w:r>
      <w:r>
        <w:t>the</w:t>
      </w:r>
      <w:r>
        <w:rPr>
          <w:spacing w:val="-1"/>
        </w:rPr>
        <w:t xml:space="preserve"> </w:t>
      </w:r>
      <w:r>
        <w:t>analysis</w:t>
      </w:r>
      <w:r>
        <w:rPr>
          <w:spacing w:val="-1"/>
        </w:rPr>
        <w:t xml:space="preserve"> </w:t>
      </w:r>
      <w:r>
        <w:t>suggests</w:t>
      </w:r>
      <w:r>
        <w:rPr>
          <w:spacing w:val="-1"/>
        </w:rPr>
        <w:t xml:space="preserve"> </w:t>
      </w:r>
      <w:r>
        <w:t>that</w:t>
      </w:r>
      <w:r>
        <w:rPr>
          <w:spacing w:val="-1"/>
        </w:rPr>
        <w:t xml:space="preserve"> </w:t>
      </w:r>
      <w:r>
        <w:t>quarterly</w:t>
      </w:r>
      <w:r>
        <w:rPr>
          <w:spacing w:val="-1"/>
        </w:rPr>
        <w:t xml:space="preserve"> </w:t>
      </w:r>
      <w:r>
        <w:t>water</w:t>
      </w:r>
      <w:r>
        <w:rPr>
          <w:spacing w:val="-1"/>
        </w:rPr>
        <w:t xml:space="preserve"> </w:t>
      </w:r>
      <w:r>
        <w:t>demand</w:t>
      </w:r>
      <w:r>
        <w:rPr>
          <w:spacing w:val="-1"/>
        </w:rPr>
        <w:t xml:space="preserve"> </w:t>
      </w:r>
      <w:r>
        <w:t>is on average 25.4 kilolitres less than the period prior to the introduction of water restrictions during the Millennium</w:t>
      </w:r>
      <w:r>
        <w:rPr>
          <w:spacing w:val="-1"/>
        </w:rPr>
        <w:t xml:space="preserve"> </w:t>
      </w:r>
      <w:r>
        <w:t>drought.</w:t>
      </w:r>
      <w:r>
        <w:rPr>
          <w:spacing w:val="-1"/>
        </w:rPr>
        <w:t xml:space="preserve"> </w:t>
      </w:r>
      <w:r>
        <w:t>This result</w:t>
      </w:r>
      <w:r>
        <w:rPr>
          <w:spacing w:val="-1"/>
        </w:rPr>
        <w:t xml:space="preserve"> </w:t>
      </w:r>
      <w:r>
        <w:t>suggests</w:t>
      </w:r>
      <w:r>
        <w:rPr>
          <w:spacing w:val="-1"/>
        </w:rPr>
        <w:t xml:space="preserve"> </w:t>
      </w:r>
      <w:r>
        <w:t>that</w:t>
      </w:r>
      <w:r>
        <w:rPr>
          <w:spacing w:val="-1"/>
        </w:rPr>
        <w:t xml:space="preserve"> </w:t>
      </w:r>
      <w:r>
        <w:t>demand</w:t>
      </w:r>
      <w:r>
        <w:rPr>
          <w:spacing w:val="-1"/>
        </w:rPr>
        <w:t xml:space="preserve"> </w:t>
      </w:r>
      <w:r>
        <w:t>has</w:t>
      </w:r>
      <w:r>
        <w:rPr>
          <w:spacing w:val="-1"/>
        </w:rPr>
        <w:t xml:space="preserve"> </w:t>
      </w:r>
      <w:r>
        <w:t>“bounced back”</w:t>
      </w:r>
      <w:r>
        <w:rPr>
          <w:spacing w:val="-1"/>
        </w:rPr>
        <w:t xml:space="preserve"> </w:t>
      </w:r>
      <w:r>
        <w:t>to</w:t>
      </w:r>
      <w:r>
        <w:rPr>
          <w:spacing w:val="-1"/>
        </w:rPr>
        <w:t xml:space="preserve"> </w:t>
      </w:r>
      <w:r>
        <w:t>around</w:t>
      </w:r>
      <w:r>
        <w:rPr>
          <w:spacing w:val="-1"/>
        </w:rPr>
        <w:t xml:space="preserve"> </w:t>
      </w:r>
      <w:r>
        <w:t>79% of its pre‐restriction level; however, the actual level of bounce back depends on the weather assumptions that are made when calculating the forecasts. Less than full bounce back is to be expected given that LMW continues to support water conservation measures, and some households have made long‐term changes to their water use.</w:t>
      </w:r>
    </w:p>
    <w:p w14:paraId="1689578B" w14:textId="77777777" w:rsidR="00141B97" w:rsidRDefault="00141B97">
      <w:pPr>
        <w:pStyle w:val="BodyText"/>
        <w:spacing w:before="8"/>
        <w:rPr>
          <w:sz w:val="19"/>
        </w:rPr>
      </w:pPr>
    </w:p>
    <w:p w14:paraId="2DF0369B" w14:textId="77777777" w:rsidR="00141B97" w:rsidRDefault="00911D63">
      <w:pPr>
        <w:pStyle w:val="ListParagraph"/>
        <w:numPr>
          <w:ilvl w:val="3"/>
          <w:numId w:val="81"/>
        </w:numPr>
        <w:tabs>
          <w:tab w:val="left" w:pos="1107"/>
        </w:tabs>
        <w:jc w:val="both"/>
        <w:rPr>
          <w:i/>
        </w:rPr>
      </w:pPr>
      <w:r>
        <w:rPr>
          <w:i/>
          <w:spacing w:val="-2"/>
        </w:rPr>
        <w:t>Climate</w:t>
      </w:r>
      <w:r>
        <w:rPr>
          <w:i/>
          <w:spacing w:val="1"/>
        </w:rPr>
        <w:t xml:space="preserve"> </w:t>
      </w:r>
      <w:r>
        <w:rPr>
          <w:i/>
          <w:spacing w:val="-2"/>
        </w:rPr>
        <w:t>change</w:t>
      </w:r>
    </w:p>
    <w:p w14:paraId="736B9A3E" w14:textId="77777777" w:rsidR="00141B97" w:rsidRDefault="00911D63">
      <w:pPr>
        <w:pStyle w:val="BodyText"/>
        <w:spacing w:before="59"/>
        <w:ind w:left="114" w:right="949" w:hanging="1"/>
        <w:jc w:val="both"/>
      </w:pPr>
      <w:r>
        <w:t>Drawing</w:t>
      </w:r>
      <w:r>
        <w:rPr>
          <w:spacing w:val="-9"/>
        </w:rPr>
        <w:t xml:space="preserve"> </w:t>
      </w:r>
      <w:r>
        <w:t>on</w:t>
      </w:r>
      <w:r>
        <w:rPr>
          <w:spacing w:val="-9"/>
        </w:rPr>
        <w:t xml:space="preserve"> </w:t>
      </w:r>
      <w:r>
        <w:t>the</w:t>
      </w:r>
      <w:r>
        <w:rPr>
          <w:spacing w:val="-10"/>
        </w:rPr>
        <w:t xml:space="preserve"> </w:t>
      </w:r>
      <w:r>
        <w:t>results</w:t>
      </w:r>
      <w:r>
        <w:rPr>
          <w:spacing w:val="-10"/>
        </w:rPr>
        <w:t xml:space="preserve"> </w:t>
      </w:r>
      <w:r>
        <w:t>of</w:t>
      </w:r>
      <w:r>
        <w:rPr>
          <w:spacing w:val="-9"/>
        </w:rPr>
        <w:t xml:space="preserve"> </w:t>
      </w:r>
      <w:r>
        <w:t>the</w:t>
      </w:r>
      <w:r>
        <w:rPr>
          <w:spacing w:val="-11"/>
        </w:rPr>
        <w:t xml:space="preserve"> </w:t>
      </w:r>
      <w:r>
        <w:t>Mallee</w:t>
      </w:r>
      <w:r>
        <w:rPr>
          <w:spacing w:val="-11"/>
        </w:rPr>
        <w:t xml:space="preserve"> </w:t>
      </w:r>
      <w:r>
        <w:t>Climate</w:t>
      </w:r>
      <w:r>
        <w:rPr>
          <w:spacing w:val="-10"/>
        </w:rPr>
        <w:t xml:space="preserve"> </w:t>
      </w:r>
      <w:r>
        <w:t>Projections</w:t>
      </w:r>
      <w:r>
        <w:rPr>
          <w:spacing w:val="-8"/>
        </w:rPr>
        <w:t xml:space="preserve"> </w:t>
      </w:r>
      <w:r>
        <w:t>and</w:t>
      </w:r>
      <w:r>
        <w:rPr>
          <w:spacing w:val="-9"/>
        </w:rPr>
        <w:t xml:space="preserve"> </w:t>
      </w:r>
      <w:r>
        <w:t>considering</w:t>
      </w:r>
      <w:r>
        <w:rPr>
          <w:spacing w:val="-8"/>
        </w:rPr>
        <w:t xml:space="preserve"> </w:t>
      </w:r>
      <w:r>
        <w:t>historical</w:t>
      </w:r>
      <w:r>
        <w:rPr>
          <w:spacing w:val="-11"/>
        </w:rPr>
        <w:t xml:space="preserve"> </w:t>
      </w:r>
      <w:r>
        <w:t>weather</w:t>
      </w:r>
      <w:r>
        <w:rPr>
          <w:spacing w:val="-11"/>
        </w:rPr>
        <w:t xml:space="preserve"> </w:t>
      </w:r>
      <w:r>
        <w:t>patterns</w:t>
      </w:r>
      <w:r>
        <w:rPr>
          <w:spacing w:val="-9"/>
        </w:rPr>
        <w:t xml:space="preserve"> </w:t>
      </w:r>
      <w:r>
        <w:t>in</w:t>
      </w:r>
      <w:r>
        <w:rPr>
          <w:spacing w:val="-9"/>
        </w:rPr>
        <w:t xml:space="preserve"> </w:t>
      </w:r>
      <w:r>
        <w:t>Mildura, a range of scenarios were tested in the regression analysis including both Medium and High emissions projections, and varying lengths of historical data. The Medium emissions scenario was consistent with recent (5‐year) average maximum temperature and longer‐term (20 and 30 year) and more variable rainfall and was consequently adopted.</w:t>
      </w:r>
    </w:p>
    <w:p w14:paraId="020936BC" w14:textId="77777777" w:rsidR="00141B97" w:rsidRDefault="00141B97">
      <w:pPr>
        <w:pStyle w:val="BodyText"/>
        <w:spacing w:before="8"/>
        <w:rPr>
          <w:sz w:val="19"/>
        </w:rPr>
      </w:pPr>
    </w:p>
    <w:p w14:paraId="368587AA" w14:textId="77777777" w:rsidR="00141B97" w:rsidRDefault="00911D63">
      <w:pPr>
        <w:pStyle w:val="ListParagraph"/>
        <w:numPr>
          <w:ilvl w:val="3"/>
          <w:numId w:val="81"/>
        </w:numPr>
        <w:tabs>
          <w:tab w:val="left" w:pos="1107"/>
        </w:tabs>
        <w:jc w:val="both"/>
        <w:rPr>
          <w:i/>
        </w:rPr>
      </w:pPr>
      <w:r>
        <w:rPr>
          <w:i/>
        </w:rPr>
        <w:t>Demand</w:t>
      </w:r>
      <w:r>
        <w:rPr>
          <w:i/>
          <w:spacing w:val="-11"/>
        </w:rPr>
        <w:t xml:space="preserve"> </w:t>
      </w:r>
      <w:r>
        <w:rPr>
          <w:i/>
        </w:rPr>
        <w:t>Management</w:t>
      </w:r>
      <w:r>
        <w:rPr>
          <w:i/>
          <w:spacing w:val="-12"/>
        </w:rPr>
        <w:t xml:space="preserve"> </w:t>
      </w:r>
      <w:r>
        <w:rPr>
          <w:i/>
          <w:spacing w:val="-2"/>
        </w:rPr>
        <w:t>Activities</w:t>
      </w:r>
    </w:p>
    <w:p w14:paraId="3BB25589" w14:textId="77777777" w:rsidR="00141B97" w:rsidRDefault="00911D63">
      <w:pPr>
        <w:pStyle w:val="BodyText"/>
        <w:spacing w:before="60" w:line="256" w:lineRule="auto"/>
        <w:ind w:left="113" w:right="948" w:hanging="1"/>
        <w:jc w:val="both"/>
      </w:pPr>
      <w:r>
        <w:t>LMW</w:t>
      </w:r>
      <w:r>
        <w:rPr>
          <w:spacing w:val="-13"/>
        </w:rPr>
        <w:t xml:space="preserve"> </w:t>
      </w:r>
      <w:r>
        <w:t>has</w:t>
      </w:r>
      <w:r>
        <w:rPr>
          <w:spacing w:val="-12"/>
        </w:rPr>
        <w:t xml:space="preserve"> </w:t>
      </w:r>
      <w:r>
        <w:t>historically</w:t>
      </w:r>
      <w:r>
        <w:rPr>
          <w:spacing w:val="-13"/>
        </w:rPr>
        <w:t xml:space="preserve"> </w:t>
      </w:r>
      <w:r>
        <w:t>offered</w:t>
      </w:r>
      <w:r>
        <w:rPr>
          <w:spacing w:val="-12"/>
        </w:rPr>
        <w:t xml:space="preserve"> </w:t>
      </w:r>
      <w:r>
        <w:t>a</w:t>
      </w:r>
      <w:r>
        <w:rPr>
          <w:spacing w:val="-13"/>
        </w:rPr>
        <w:t xml:space="preserve"> </w:t>
      </w:r>
      <w:r>
        <w:t>range</w:t>
      </w:r>
      <w:r>
        <w:rPr>
          <w:spacing w:val="-12"/>
        </w:rPr>
        <w:t xml:space="preserve"> </w:t>
      </w:r>
      <w:r>
        <w:t>of</w:t>
      </w:r>
      <w:r>
        <w:rPr>
          <w:spacing w:val="-13"/>
        </w:rPr>
        <w:t xml:space="preserve"> </w:t>
      </w:r>
      <w:r>
        <w:t>water</w:t>
      </w:r>
      <w:r>
        <w:rPr>
          <w:spacing w:val="-12"/>
        </w:rPr>
        <w:t xml:space="preserve"> </w:t>
      </w:r>
      <w:r>
        <w:t>savings</w:t>
      </w:r>
      <w:r>
        <w:rPr>
          <w:spacing w:val="-12"/>
        </w:rPr>
        <w:t xml:space="preserve"> </w:t>
      </w:r>
      <w:r>
        <w:t>programs.</w:t>
      </w:r>
      <w:r>
        <w:rPr>
          <w:spacing w:val="-13"/>
        </w:rPr>
        <w:t xml:space="preserve"> </w:t>
      </w:r>
      <w:r>
        <w:t>These</w:t>
      </w:r>
      <w:r>
        <w:rPr>
          <w:spacing w:val="-12"/>
        </w:rPr>
        <w:t xml:space="preserve"> </w:t>
      </w:r>
      <w:r>
        <w:t>have</w:t>
      </w:r>
      <w:r>
        <w:rPr>
          <w:spacing w:val="-13"/>
        </w:rPr>
        <w:t xml:space="preserve"> </w:t>
      </w:r>
      <w:r>
        <w:t>been</w:t>
      </w:r>
      <w:r>
        <w:rPr>
          <w:spacing w:val="-12"/>
        </w:rPr>
        <w:t xml:space="preserve"> </w:t>
      </w:r>
      <w:r>
        <w:t>a</w:t>
      </w:r>
      <w:r>
        <w:rPr>
          <w:spacing w:val="-13"/>
        </w:rPr>
        <w:t xml:space="preserve"> </w:t>
      </w:r>
      <w:r>
        <w:t>mix</w:t>
      </w:r>
      <w:r>
        <w:rPr>
          <w:spacing w:val="-12"/>
        </w:rPr>
        <w:t xml:space="preserve"> </w:t>
      </w:r>
      <w:r>
        <w:t>of</w:t>
      </w:r>
      <w:r>
        <w:rPr>
          <w:spacing w:val="-12"/>
        </w:rPr>
        <w:t xml:space="preserve"> </w:t>
      </w:r>
      <w:r>
        <w:t>Victorian</w:t>
      </w:r>
      <w:r>
        <w:rPr>
          <w:spacing w:val="-13"/>
        </w:rPr>
        <w:t xml:space="preserve"> </w:t>
      </w:r>
      <w:r>
        <w:t>Government sponsored programs and LMW’s own programs that work alongside the PWSR to reduce water demand. The programs have included several rebate schemes for efficient water using appliances such rainwater tanks and WELS‐rated products for private residential housing, small businesses and housing provided by not‐for‐profit organisations as well as exchanges and giveaways of water saving devices such as garden hose trigger nozzles.</w:t>
      </w:r>
    </w:p>
    <w:p w14:paraId="43882BE8" w14:textId="77777777" w:rsidR="00141B97" w:rsidRDefault="00141B97">
      <w:pPr>
        <w:pStyle w:val="BodyText"/>
        <w:spacing w:before="8"/>
        <w:rPr>
          <w:sz w:val="23"/>
        </w:rPr>
      </w:pPr>
    </w:p>
    <w:p w14:paraId="5A093387" w14:textId="77777777" w:rsidR="00141B97" w:rsidRDefault="00911D63">
      <w:pPr>
        <w:pStyle w:val="BodyText"/>
        <w:spacing w:before="1" w:line="256" w:lineRule="auto"/>
        <w:ind w:left="113" w:right="948" w:hanging="1"/>
        <w:jc w:val="both"/>
      </w:pPr>
      <w:r>
        <w:t>LMW will continue to maintain a focus on water conservation and awareness through a range of measures across its service region. These measures include enhancing its water conservation education and awareness campaign</w:t>
      </w:r>
      <w:r>
        <w:rPr>
          <w:spacing w:val="-10"/>
        </w:rPr>
        <w:t xml:space="preserve"> </w:t>
      </w:r>
      <w:r>
        <w:t>with</w:t>
      </w:r>
      <w:r>
        <w:rPr>
          <w:spacing w:val="-12"/>
        </w:rPr>
        <w:t xml:space="preserve"> </w:t>
      </w:r>
      <w:r>
        <w:t>a</w:t>
      </w:r>
      <w:r>
        <w:rPr>
          <w:spacing w:val="-12"/>
        </w:rPr>
        <w:t xml:space="preserve"> </w:t>
      </w:r>
      <w:r>
        <w:t>focus</w:t>
      </w:r>
      <w:r>
        <w:rPr>
          <w:spacing w:val="-10"/>
        </w:rPr>
        <w:t xml:space="preserve"> </w:t>
      </w:r>
      <w:r>
        <w:t>on</w:t>
      </w:r>
      <w:r>
        <w:rPr>
          <w:spacing w:val="-11"/>
        </w:rPr>
        <w:t xml:space="preserve"> </w:t>
      </w:r>
      <w:r>
        <w:t>school</w:t>
      </w:r>
      <w:r>
        <w:rPr>
          <w:spacing w:val="-12"/>
        </w:rPr>
        <w:t xml:space="preserve"> </w:t>
      </w:r>
      <w:r>
        <w:t>students</w:t>
      </w:r>
      <w:r>
        <w:rPr>
          <w:spacing w:val="-12"/>
        </w:rPr>
        <w:t xml:space="preserve"> </w:t>
      </w:r>
      <w:r>
        <w:t>and</w:t>
      </w:r>
      <w:r>
        <w:rPr>
          <w:spacing w:val="-10"/>
        </w:rPr>
        <w:t xml:space="preserve"> </w:t>
      </w:r>
      <w:r>
        <w:t>the</w:t>
      </w:r>
      <w:r>
        <w:rPr>
          <w:spacing w:val="-12"/>
        </w:rPr>
        <w:t xml:space="preserve"> </w:t>
      </w:r>
      <w:r>
        <w:t>broader</w:t>
      </w:r>
      <w:r>
        <w:rPr>
          <w:spacing w:val="-10"/>
        </w:rPr>
        <w:t xml:space="preserve"> </w:t>
      </w:r>
      <w:r>
        <w:t>community</w:t>
      </w:r>
      <w:r>
        <w:rPr>
          <w:spacing w:val="-11"/>
        </w:rPr>
        <w:t xml:space="preserve"> </w:t>
      </w:r>
      <w:r>
        <w:t>and</w:t>
      </w:r>
      <w:r>
        <w:rPr>
          <w:spacing w:val="-10"/>
        </w:rPr>
        <w:t xml:space="preserve"> </w:t>
      </w:r>
      <w:r>
        <w:t>increasing</w:t>
      </w:r>
      <w:r>
        <w:rPr>
          <w:spacing w:val="-11"/>
        </w:rPr>
        <w:t xml:space="preserve"> </w:t>
      </w:r>
      <w:r>
        <w:t>access</w:t>
      </w:r>
      <w:r>
        <w:rPr>
          <w:spacing w:val="-12"/>
        </w:rPr>
        <w:t xml:space="preserve"> </w:t>
      </w:r>
      <w:r>
        <w:t>to</w:t>
      </w:r>
      <w:r>
        <w:rPr>
          <w:spacing w:val="-12"/>
        </w:rPr>
        <w:t xml:space="preserve"> </w:t>
      </w:r>
      <w:r>
        <w:t>resources</w:t>
      </w:r>
      <w:r>
        <w:rPr>
          <w:spacing w:val="-10"/>
        </w:rPr>
        <w:t xml:space="preserve"> </w:t>
      </w:r>
      <w:r>
        <w:t>online and continuing to deliver the Victorian Government rebate programs.</w:t>
      </w:r>
    </w:p>
    <w:p w14:paraId="2E0AB07D" w14:textId="77777777" w:rsidR="00141B97" w:rsidRDefault="00141B97">
      <w:pPr>
        <w:spacing w:line="256" w:lineRule="auto"/>
        <w:jc w:val="both"/>
        <w:sectPr w:rsidR="00141B97">
          <w:pgSz w:w="11910" w:h="16840"/>
          <w:pgMar w:top="820" w:right="40" w:bottom="760" w:left="1020" w:header="0" w:footer="580" w:gutter="0"/>
          <w:cols w:space="720"/>
        </w:sectPr>
      </w:pPr>
    </w:p>
    <w:p w14:paraId="6B217B35" w14:textId="77777777" w:rsidR="00141B97" w:rsidRDefault="00911D63">
      <w:pPr>
        <w:pStyle w:val="BodyText"/>
        <w:spacing w:before="31" w:line="256" w:lineRule="auto"/>
        <w:ind w:left="114" w:right="948" w:hanging="1"/>
        <w:jc w:val="both"/>
      </w:pPr>
      <w:r>
        <w:lastRenderedPageBreak/>
        <w:t>While</w:t>
      </w:r>
      <w:r>
        <w:rPr>
          <w:spacing w:val="-7"/>
        </w:rPr>
        <w:t xml:space="preserve"> </w:t>
      </w:r>
      <w:r>
        <w:t>it</w:t>
      </w:r>
      <w:r>
        <w:rPr>
          <w:spacing w:val="-7"/>
        </w:rPr>
        <w:t xml:space="preserve"> </w:t>
      </w:r>
      <w:r>
        <w:t>is</w:t>
      </w:r>
      <w:r>
        <w:rPr>
          <w:spacing w:val="-8"/>
        </w:rPr>
        <w:t xml:space="preserve"> </w:t>
      </w:r>
      <w:r>
        <w:t>not</w:t>
      </w:r>
      <w:r>
        <w:rPr>
          <w:spacing w:val="-7"/>
        </w:rPr>
        <w:t xml:space="preserve"> </w:t>
      </w:r>
      <w:r>
        <w:t>possible</w:t>
      </w:r>
      <w:r>
        <w:rPr>
          <w:spacing w:val="-9"/>
        </w:rPr>
        <w:t xml:space="preserve"> </w:t>
      </w:r>
      <w:r>
        <w:t>to</w:t>
      </w:r>
      <w:r>
        <w:rPr>
          <w:spacing w:val="-7"/>
        </w:rPr>
        <w:t xml:space="preserve"> </w:t>
      </w:r>
      <w:r>
        <w:t>estimate</w:t>
      </w:r>
      <w:r>
        <w:rPr>
          <w:spacing w:val="-8"/>
        </w:rPr>
        <w:t xml:space="preserve"> </w:t>
      </w:r>
      <w:r>
        <w:t>the</w:t>
      </w:r>
      <w:r>
        <w:rPr>
          <w:spacing w:val="-7"/>
        </w:rPr>
        <w:t xml:space="preserve"> </w:t>
      </w:r>
      <w:r>
        <w:t>direct</w:t>
      </w:r>
      <w:r>
        <w:rPr>
          <w:spacing w:val="-9"/>
        </w:rPr>
        <w:t xml:space="preserve"> </w:t>
      </w:r>
      <w:r>
        <w:t>water</w:t>
      </w:r>
      <w:r>
        <w:rPr>
          <w:spacing w:val="-8"/>
        </w:rPr>
        <w:t xml:space="preserve"> </w:t>
      </w:r>
      <w:r>
        <w:t>savings</w:t>
      </w:r>
      <w:r>
        <w:rPr>
          <w:spacing w:val="-8"/>
        </w:rPr>
        <w:t xml:space="preserve"> </w:t>
      </w:r>
      <w:r>
        <w:t>from</w:t>
      </w:r>
      <w:r>
        <w:rPr>
          <w:spacing w:val="-6"/>
        </w:rPr>
        <w:t xml:space="preserve"> </w:t>
      </w:r>
      <w:r>
        <w:t>these</w:t>
      </w:r>
      <w:r>
        <w:rPr>
          <w:spacing w:val="-8"/>
        </w:rPr>
        <w:t xml:space="preserve"> </w:t>
      </w:r>
      <w:r>
        <w:t>measures</w:t>
      </w:r>
      <w:r>
        <w:rPr>
          <w:spacing w:val="-7"/>
        </w:rPr>
        <w:t xml:space="preserve"> </w:t>
      </w:r>
      <w:r>
        <w:t>over</w:t>
      </w:r>
      <w:r>
        <w:rPr>
          <w:spacing w:val="-6"/>
        </w:rPr>
        <w:t xml:space="preserve"> </w:t>
      </w:r>
      <w:r>
        <w:t>the</w:t>
      </w:r>
      <w:r>
        <w:rPr>
          <w:spacing w:val="-9"/>
        </w:rPr>
        <w:t xml:space="preserve"> </w:t>
      </w:r>
      <w:r>
        <w:t>years,</w:t>
      </w:r>
      <w:r>
        <w:rPr>
          <w:spacing w:val="-7"/>
        </w:rPr>
        <w:t xml:space="preserve"> </w:t>
      </w:r>
      <w:r>
        <w:t>it</w:t>
      </w:r>
      <w:r>
        <w:rPr>
          <w:spacing w:val="-8"/>
        </w:rPr>
        <w:t xml:space="preserve"> </w:t>
      </w:r>
      <w:r>
        <w:t>is</w:t>
      </w:r>
      <w:r>
        <w:rPr>
          <w:spacing w:val="-6"/>
        </w:rPr>
        <w:t xml:space="preserve"> </w:t>
      </w:r>
      <w:r>
        <w:t>reasonable to assume that they are playing a part in achieving water savings.</w:t>
      </w:r>
    </w:p>
    <w:p w14:paraId="7E808B3F" w14:textId="77777777" w:rsidR="00141B97" w:rsidRDefault="00141B97">
      <w:pPr>
        <w:pStyle w:val="BodyText"/>
        <w:spacing w:before="8"/>
        <w:rPr>
          <w:sz w:val="19"/>
        </w:rPr>
      </w:pPr>
    </w:p>
    <w:p w14:paraId="246AFEC7" w14:textId="77777777" w:rsidR="00141B97" w:rsidRDefault="00911D63">
      <w:pPr>
        <w:pStyle w:val="ListParagraph"/>
        <w:numPr>
          <w:ilvl w:val="3"/>
          <w:numId w:val="81"/>
        </w:numPr>
        <w:tabs>
          <w:tab w:val="left" w:pos="1107"/>
        </w:tabs>
        <w:jc w:val="both"/>
        <w:rPr>
          <w:i/>
        </w:rPr>
      </w:pPr>
      <w:r>
        <w:rPr>
          <w:i/>
        </w:rPr>
        <w:t>Price</w:t>
      </w:r>
      <w:r>
        <w:rPr>
          <w:i/>
          <w:spacing w:val="-6"/>
        </w:rPr>
        <w:t xml:space="preserve"> </w:t>
      </w:r>
      <w:r>
        <w:rPr>
          <w:i/>
          <w:spacing w:val="-2"/>
        </w:rPr>
        <w:t>Elasticity</w:t>
      </w:r>
    </w:p>
    <w:p w14:paraId="37BCDAC1" w14:textId="77777777" w:rsidR="00141B97" w:rsidRDefault="00911D63">
      <w:pPr>
        <w:pStyle w:val="BodyText"/>
        <w:spacing w:before="60"/>
        <w:ind w:left="113" w:right="949"/>
        <w:jc w:val="both"/>
      </w:pPr>
      <w:r>
        <w:t>LMW</w:t>
      </w:r>
      <w:r>
        <w:rPr>
          <w:spacing w:val="-5"/>
        </w:rPr>
        <w:t xml:space="preserve"> </w:t>
      </w:r>
      <w:r>
        <w:t>proposes</w:t>
      </w:r>
      <w:r>
        <w:rPr>
          <w:spacing w:val="-2"/>
        </w:rPr>
        <w:t xml:space="preserve"> </w:t>
      </w:r>
      <w:r>
        <w:t>to</w:t>
      </w:r>
      <w:r>
        <w:rPr>
          <w:spacing w:val="-4"/>
        </w:rPr>
        <w:t xml:space="preserve"> </w:t>
      </w:r>
      <w:r>
        <w:t>continue</w:t>
      </w:r>
      <w:r>
        <w:rPr>
          <w:spacing w:val="-4"/>
        </w:rPr>
        <w:t xml:space="preserve"> </w:t>
      </w:r>
      <w:r>
        <w:t>applying</w:t>
      </w:r>
      <w:r>
        <w:rPr>
          <w:spacing w:val="-3"/>
        </w:rPr>
        <w:t xml:space="preserve"> </w:t>
      </w:r>
      <w:r>
        <w:t>an</w:t>
      </w:r>
      <w:r>
        <w:rPr>
          <w:spacing w:val="-2"/>
        </w:rPr>
        <w:t xml:space="preserve"> </w:t>
      </w:r>
      <w:r>
        <w:t>adjustment</w:t>
      </w:r>
      <w:r>
        <w:rPr>
          <w:spacing w:val="-3"/>
        </w:rPr>
        <w:t xml:space="preserve"> </w:t>
      </w:r>
      <w:r>
        <w:t>of</w:t>
      </w:r>
      <w:r>
        <w:rPr>
          <w:spacing w:val="-4"/>
        </w:rPr>
        <w:t xml:space="preserve"> </w:t>
      </w:r>
      <w:r>
        <w:t>demand</w:t>
      </w:r>
      <w:r>
        <w:rPr>
          <w:spacing w:val="-4"/>
        </w:rPr>
        <w:t xml:space="preserve"> </w:t>
      </w:r>
      <w:r>
        <w:t>for</w:t>
      </w:r>
      <w:r>
        <w:rPr>
          <w:spacing w:val="-3"/>
        </w:rPr>
        <w:t xml:space="preserve"> </w:t>
      </w:r>
      <w:r>
        <w:t>price</w:t>
      </w:r>
      <w:r>
        <w:rPr>
          <w:spacing w:val="-4"/>
        </w:rPr>
        <w:t xml:space="preserve"> </w:t>
      </w:r>
      <w:r>
        <w:t>responsiveness</w:t>
      </w:r>
      <w:r>
        <w:rPr>
          <w:spacing w:val="-5"/>
        </w:rPr>
        <w:t xml:space="preserve"> </w:t>
      </w:r>
      <w:r>
        <w:t>based</w:t>
      </w:r>
      <w:r>
        <w:rPr>
          <w:spacing w:val="-3"/>
        </w:rPr>
        <w:t xml:space="preserve"> </w:t>
      </w:r>
      <w:r>
        <w:t>on</w:t>
      </w:r>
      <w:r>
        <w:rPr>
          <w:spacing w:val="-3"/>
        </w:rPr>
        <w:t xml:space="preserve"> </w:t>
      </w:r>
      <w:r>
        <w:t>the</w:t>
      </w:r>
      <w:r>
        <w:rPr>
          <w:spacing w:val="-4"/>
        </w:rPr>
        <w:t xml:space="preserve"> </w:t>
      </w:r>
      <w:r>
        <w:t>results</w:t>
      </w:r>
      <w:r>
        <w:rPr>
          <w:spacing w:val="-5"/>
        </w:rPr>
        <w:t xml:space="preserve"> </w:t>
      </w:r>
      <w:r>
        <w:t>of published</w:t>
      </w:r>
      <w:r>
        <w:rPr>
          <w:spacing w:val="-13"/>
        </w:rPr>
        <w:t xml:space="preserve"> </w:t>
      </w:r>
      <w:r>
        <w:t>empirical</w:t>
      </w:r>
      <w:r>
        <w:rPr>
          <w:spacing w:val="-12"/>
        </w:rPr>
        <w:t xml:space="preserve"> </w:t>
      </w:r>
      <w:r>
        <w:t>studies</w:t>
      </w:r>
      <w:r>
        <w:rPr>
          <w:spacing w:val="-13"/>
        </w:rPr>
        <w:t xml:space="preserve"> </w:t>
      </w:r>
      <w:r>
        <w:t>of</w:t>
      </w:r>
      <w:r>
        <w:rPr>
          <w:spacing w:val="-12"/>
        </w:rPr>
        <w:t xml:space="preserve"> </w:t>
      </w:r>
      <w:r>
        <w:t>the</w:t>
      </w:r>
      <w:r>
        <w:rPr>
          <w:spacing w:val="-13"/>
        </w:rPr>
        <w:t xml:space="preserve"> </w:t>
      </w:r>
      <w:r>
        <w:t>demand</w:t>
      </w:r>
      <w:r>
        <w:rPr>
          <w:spacing w:val="-12"/>
        </w:rPr>
        <w:t xml:space="preserve"> </w:t>
      </w:r>
      <w:r>
        <w:t>for</w:t>
      </w:r>
      <w:r>
        <w:rPr>
          <w:spacing w:val="-13"/>
        </w:rPr>
        <w:t xml:space="preserve"> </w:t>
      </w:r>
      <w:r>
        <w:t>water</w:t>
      </w:r>
      <w:r>
        <w:rPr>
          <w:spacing w:val="-12"/>
        </w:rPr>
        <w:t xml:space="preserve"> </w:t>
      </w:r>
      <w:r>
        <w:t>for</w:t>
      </w:r>
      <w:r>
        <w:rPr>
          <w:spacing w:val="-12"/>
        </w:rPr>
        <w:t xml:space="preserve"> </w:t>
      </w:r>
      <w:r>
        <w:t>residential</w:t>
      </w:r>
      <w:r>
        <w:rPr>
          <w:spacing w:val="-13"/>
        </w:rPr>
        <w:t xml:space="preserve"> </w:t>
      </w:r>
      <w:r>
        <w:t>use.</w:t>
      </w:r>
      <w:r>
        <w:rPr>
          <w:spacing w:val="-12"/>
        </w:rPr>
        <w:t xml:space="preserve"> </w:t>
      </w:r>
      <w:r>
        <w:t>This</w:t>
      </w:r>
      <w:r>
        <w:rPr>
          <w:spacing w:val="-13"/>
        </w:rPr>
        <w:t xml:space="preserve"> </w:t>
      </w:r>
      <w:r>
        <w:t>approach</w:t>
      </w:r>
      <w:r>
        <w:rPr>
          <w:spacing w:val="-12"/>
        </w:rPr>
        <w:t xml:space="preserve"> </w:t>
      </w:r>
      <w:r>
        <w:t>assumes</w:t>
      </w:r>
      <w:r>
        <w:rPr>
          <w:spacing w:val="-12"/>
        </w:rPr>
        <w:t xml:space="preserve"> </w:t>
      </w:r>
      <w:r>
        <w:t>that</w:t>
      </w:r>
      <w:r>
        <w:rPr>
          <w:spacing w:val="-12"/>
        </w:rPr>
        <w:t xml:space="preserve"> </w:t>
      </w:r>
      <w:r>
        <w:t>the</w:t>
      </w:r>
      <w:r>
        <w:rPr>
          <w:spacing w:val="-12"/>
        </w:rPr>
        <w:t xml:space="preserve"> </w:t>
      </w:r>
      <w:r>
        <w:t>forecast consumption</w:t>
      </w:r>
      <w:r>
        <w:rPr>
          <w:spacing w:val="-13"/>
        </w:rPr>
        <w:t xml:space="preserve"> </w:t>
      </w:r>
      <w:r>
        <w:t>derived</w:t>
      </w:r>
      <w:r>
        <w:rPr>
          <w:spacing w:val="-12"/>
        </w:rPr>
        <w:t xml:space="preserve"> </w:t>
      </w:r>
      <w:r>
        <w:t>from</w:t>
      </w:r>
      <w:r>
        <w:rPr>
          <w:spacing w:val="-13"/>
        </w:rPr>
        <w:t xml:space="preserve"> </w:t>
      </w:r>
      <w:r>
        <w:t>the</w:t>
      </w:r>
      <w:r>
        <w:rPr>
          <w:spacing w:val="-12"/>
        </w:rPr>
        <w:t xml:space="preserve"> </w:t>
      </w:r>
      <w:r>
        <w:t>regression</w:t>
      </w:r>
      <w:r>
        <w:rPr>
          <w:spacing w:val="-13"/>
        </w:rPr>
        <w:t xml:space="preserve"> </w:t>
      </w:r>
      <w:r>
        <w:t>analysis</w:t>
      </w:r>
      <w:r>
        <w:rPr>
          <w:spacing w:val="-12"/>
        </w:rPr>
        <w:t xml:space="preserve"> </w:t>
      </w:r>
      <w:r>
        <w:t>provides</w:t>
      </w:r>
      <w:r>
        <w:rPr>
          <w:spacing w:val="-13"/>
        </w:rPr>
        <w:t xml:space="preserve"> </w:t>
      </w:r>
      <w:r>
        <w:t>an</w:t>
      </w:r>
      <w:r>
        <w:rPr>
          <w:spacing w:val="-12"/>
        </w:rPr>
        <w:t xml:space="preserve"> </w:t>
      </w:r>
      <w:r>
        <w:t>estimate</w:t>
      </w:r>
      <w:r>
        <w:rPr>
          <w:spacing w:val="-12"/>
        </w:rPr>
        <w:t xml:space="preserve"> </w:t>
      </w:r>
      <w:r>
        <w:t>of</w:t>
      </w:r>
      <w:r>
        <w:rPr>
          <w:spacing w:val="-13"/>
        </w:rPr>
        <w:t xml:space="preserve"> </w:t>
      </w:r>
      <w:r>
        <w:t>‘base</w:t>
      </w:r>
      <w:r>
        <w:rPr>
          <w:spacing w:val="-12"/>
        </w:rPr>
        <w:t xml:space="preserve"> </w:t>
      </w:r>
      <w:r>
        <w:t>demand’</w:t>
      </w:r>
      <w:r>
        <w:rPr>
          <w:spacing w:val="-13"/>
        </w:rPr>
        <w:t xml:space="preserve"> </w:t>
      </w:r>
      <w:r>
        <w:t>prior</w:t>
      </w:r>
      <w:r>
        <w:rPr>
          <w:spacing w:val="-12"/>
        </w:rPr>
        <w:t xml:space="preserve"> </w:t>
      </w:r>
      <w:r>
        <w:t>to</w:t>
      </w:r>
      <w:r>
        <w:rPr>
          <w:spacing w:val="-13"/>
        </w:rPr>
        <w:t xml:space="preserve"> </w:t>
      </w:r>
      <w:r>
        <w:t>taking</w:t>
      </w:r>
      <w:r>
        <w:rPr>
          <w:spacing w:val="-12"/>
        </w:rPr>
        <w:t xml:space="preserve"> </w:t>
      </w:r>
      <w:r>
        <w:t>account of any price changes.</w:t>
      </w:r>
    </w:p>
    <w:p w14:paraId="6320FC5F" w14:textId="77777777" w:rsidR="00141B97" w:rsidRDefault="00141B97">
      <w:pPr>
        <w:pStyle w:val="BodyText"/>
      </w:pPr>
    </w:p>
    <w:p w14:paraId="037EB5B0" w14:textId="77777777" w:rsidR="00141B97" w:rsidRDefault="00911D63">
      <w:pPr>
        <w:pStyle w:val="BodyText"/>
        <w:ind w:left="114" w:right="948" w:hanging="1"/>
        <w:jc w:val="both"/>
      </w:pPr>
      <w:r>
        <w:t>Taking into account LMW’s tiered volumetric charges, extent of outdoor use, lack of volumetric charges for sewerage</w:t>
      </w:r>
      <w:r>
        <w:rPr>
          <w:spacing w:val="-7"/>
        </w:rPr>
        <w:t xml:space="preserve"> </w:t>
      </w:r>
      <w:r>
        <w:t>and</w:t>
      </w:r>
      <w:r>
        <w:rPr>
          <w:spacing w:val="-6"/>
        </w:rPr>
        <w:t xml:space="preserve"> </w:t>
      </w:r>
      <w:r>
        <w:t>lower</w:t>
      </w:r>
      <w:r>
        <w:rPr>
          <w:spacing w:val="-6"/>
        </w:rPr>
        <w:t xml:space="preserve"> </w:t>
      </w:r>
      <w:r>
        <w:t>price</w:t>
      </w:r>
      <w:r>
        <w:rPr>
          <w:spacing w:val="-5"/>
        </w:rPr>
        <w:t xml:space="preserve"> </w:t>
      </w:r>
      <w:r>
        <w:t>elasticities</w:t>
      </w:r>
      <w:r>
        <w:rPr>
          <w:spacing w:val="-5"/>
        </w:rPr>
        <w:t xml:space="preserve"> </w:t>
      </w:r>
      <w:r>
        <w:t>for</w:t>
      </w:r>
      <w:r>
        <w:rPr>
          <w:spacing w:val="-4"/>
        </w:rPr>
        <w:t xml:space="preserve"> </w:t>
      </w:r>
      <w:r>
        <w:t>households</w:t>
      </w:r>
      <w:r>
        <w:rPr>
          <w:spacing w:val="-2"/>
        </w:rPr>
        <w:t xml:space="preserve"> </w:t>
      </w:r>
      <w:r>
        <w:t>which</w:t>
      </w:r>
      <w:r>
        <w:rPr>
          <w:spacing w:val="-6"/>
        </w:rPr>
        <w:t xml:space="preserve"> </w:t>
      </w:r>
      <w:r>
        <w:t>have</w:t>
      </w:r>
      <w:r>
        <w:rPr>
          <w:spacing w:val="-6"/>
        </w:rPr>
        <w:t xml:space="preserve"> </w:t>
      </w:r>
      <w:r>
        <w:t>implemented</w:t>
      </w:r>
      <w:r>
        <w:rPr>
          <w:spacing w:val="-5"/>
        </w:rPr>
        <w:t xml:space="preserve"> </w:t>
      </w:r>
      <w:r>
        <w:t>water</w:t>
      </w:r>
      <w:r>
        <w:rPr>
          <w:spacing w:val="-6"/>
        </w:rPr>
        <w:t xml:space="preserve"> </w:t>
      </w:r>
      <w:r>
        <w:t>savings</w:t>
      </w:r>
      <w:r>
        <w:rPr>
          <w:spacing w:val="-6"/>
        </w:rPr>
        <w:t xml:space="preserve"> </w:t>
      </w:r>
      <w:r>
        <w:t>measures;</w:t>
      </w:r>
      <w:r>
        <w:rPr>
          <w:spacing w:val="-6"/>
        </w:rPr>
        <w:t xml:space="preserve"> </w:t>
      </w:r>
      <w:r>
        <w:t>a</w:t>
      </w:r>
      <w:r>
        <w:rPr>
          <w:spacing w:val="-6"/>
        </w:rPr>
        <w:t xml:space="preserve"> </w:t>
      </w:r>
      <w:r>
        <w:t>range of price elasticity assumptions were made, as set out in Table B18:</w:t>
      </w:r>
    </w:p>
    <w:p w14:paraId="2F0CC701" w14:textId="77777777" w:rsidR="00141B97" w:rsidRDefault="00141B97">
      <w:pPr>
        <w:pStyle w:val="BodyText"/>
        <w:spacing w:before="7"/>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5648"/>
        <w:gridCol w:w="4207"/>
      </w:tblGrid>
      <w:tr w:rsidR="00141B97" w14:paraId="04621D61" w14:textId="77777777">
        <w:trPr>
          <w:trHeight w:val="283"/>
          <w:tblCellSpacing w:w="9" w:type="dxa"/>
        </w:trPr>
        <w:tc>
          <w:tcPr>
            <w:tcW w:w="5621" w:type="dxa"/>
            <w:tcBorders>
              <w:top w:val="nil"/>
              <w:left w:val="nil"/>
            </w:tcBorders>
            <w:shd w:val="clear" w:color="auto" w:fill="0064A4"/>
          </w:tcPr>
          <w:p w14:paraId="183B2F55" w14:textId="77777777" w:rsidR="00141B97" w:rsidRDefault="00911D63">
            <w:pPr>
              <w:pStyle w:val="TableParagraph"/>
              <w:ind w:left="88"/>
              <w:rPr>
                <w:sz w:val="20"/>
              </w:rPr>
            </w:pPr>
            <w:r>
              <w:rPr>
                <w:color w:val="FFFFFF"/>
                <w:sz w:val="20"/>
              </w:rPr>
              <w:t>Volumetric</w:t>
            </w:r>
            <w:r>
              <w:rPr>
                <w:color w:val="FFFFFF"/>
                <w:spacing w:val="-3"/>
                <w:sz w:val="20"/>
              </w:rPr>
              <w:t xml:space="preserve"> </w:t>
            </w:r>
            <w:r>
              <w:rPr>
                <w:color w:val="FFFFFF"/>
                <w:spacing w:val="-4"/>
                <w:sz w:val="20"/>
              </w:rPr>
              <w:t>tier</w:t>
            </w:r>
          </w:p>
        </w:tc>
        <w:tc>
          <w:tcPr>
            <w:tcW w:w="4180" w:type="dxa"/>
            <w:tcBorders>
              <w:top w:val="nil"/>
              <w:right w:val="nil"/>
            </w:tcBorders>
            <w:shd w:val="clear" w:color="auto" w:fill="0064A4"/>
          </w:tcPr>
          <w:p w14:paraId="31938BAC" w14:textId="77777777" w:rsidR="00141B97" w:rsidRDefault="00911D63">
            <w:pPr>
              <w:pStyle w:val="TableParagraph"/>
              <w:spacing w:before="19"/>
              <w:ind w:left="1093" w:right="1141"/>
              <w:jc w:val="center"/>
              <w:rPr>
                <w:sz w:val="20"/>
              </w:rPr>
            </w:pPr>
            <w:r>
              <w:rPr>
                <w:color w:val="FFFFFF"/>
                <w:sz w:val="20"/>
              </w:rPr>
              <w:t>Assumed</w:t>
            </w:r>
            <w:r>
              <w:rPr>
                <w:color w:val="FFFFFF"/>
                <w:spacing w:val="-3"/>
                <w:sz w:val="20"/>
              </w:rPr>
              <w:t xml:space="preserve"> </w:t>
            </w:r>
            <w:r>
              <w:rPr>
                <w:color w:val="FFFFFF"/>
                <w:sz w:val="20"/>
              </w:rPr>
              <w:t>price</w:t>
            </w:r>
            <w:r>
              <w:rPr>
                <w:color w:val="FFFFFF"/>
                <w:spacing w:val="-3"/>
                <w:sz w:val="20"/>
              </w:rPr>
              <w:t xml:space="preserve"> </w:t>
            </w:r>
            <w:r>
              <w:rPr>
                <w:color w:val="FFFFFF"/>
                <w:spacing w:val="-2"/>
                <w:sz w:val="20"/>
              </w:rPr>
              <w:t>elasticity</w:t>
            </w:r>
          </w:p>
        </w:tc>
      </w:tr>
      <w:tr w:rsidR="00141B97" w14:paraId="74398AF2" w14:textId="77777777">
        <w:trPr>
          <w:trHeight w:val="282"/>
          <w:tblCellSpacing w:w="9" w:type="dxa"/>
        </w:trPr>
        <w:tc>
          <w:tcPr>
            <w:tcW w:w="5621" w:type="dxa"/>
            <w:tcBorders>
              <w:left w:val="nil"/>
            </w:tcBorders>
            <w:shd w:val="clear" w:color="auto" w:fill="CCE2ED"/>
          </w:tcPr>
          <w:p w14:paraId="430DC830" w14:textId="77777777" w:rsidR="00141B97" w:rsidRDefault="00911D63">
            <w:pPr>
              <w:pStyle w:val="TableParagraph"/>
              <w:spacing w:line="243" w:lineRule="exact"/>
              <w:ind w:left="88"/>
              <w:rPr>
                <w:sz w:val="20"/>
              </w:rPr>
            </w:pPr>
            <w:r>
              <w:rPr>
                <w:color w:val="000100"/>
                <w:sz w:val="20"/>
              </w:rPr>
              <w:t>First</w:t>
            </w:r>
            <w:r>
              <w:rPr>
                <w:color w:val="000100"/>
                <w:spacing w:val="-2"/>
                <w:sz w:val="20"/>
              </w:rPr>
              <w:t xml:space="preserve"> </w:t>
            </w:r>
            <w:r>
              <w:rPr>
                <w:color w:val="000100"/>
                <w:sz w:val="20"/>
              </w:rPr>
              <w:t>tier</w:t>
            </w:r>
            <w:r>
              <w:rPr>
                <w:color w:val="000100"/>
                <w:spacing w:val="-1"/>
                <w:sz w:val="20"/>
              </w:rPr>
              <w:t xml:space="preserve"> </w:t>
            </w:r>
            <w:r>
              <w:rPr>
                <w:color w:val="000100"/>
                <w:spacing w:val="-2"/>
                <w:sz w:val="20"/>
              </w:rPr>
              <w:t>volumes</w:t>
            </w:r>
          </w:p>
        </w:tc>
        <w:tc>
          <w:tcPr>
            <w:tcW w:w="4180" w:type="dxa"/>
            <w:tcBorders>
              <w:right w:val="nil"/>
            </w:tcBorders>
            <w:shd w:val="clear" w:color="auto" w:fill="CCE2ED"/>
          </w:tcPr>
          <w:p w14:paraId="02C5AAE3" w14:textId="77777777" w:rsidR="00141B97" w:rsidRDefault="00911D63">
            <w:pPr>
              <w:pStyle w:val="TableParagraph"/>
              <w:spacing w:before="18"/>
              <w:ind w:left="1093" w:right="1139"/>
              <w:jc w:val="center"/>
              <w:rPr>
                <w:sz w:val="20"/>
              </w:rPr>
            </w:pPr>
            <w:r>
              <w:rPr>
                <w:color w:val="000100"/>
                <w:spacing w:val="-5"/>
                <w:sz w:val="20"/>
              </w:rPr>
              <w:t>Nil</w:t>
            </w:r>
          </w:p>
        </w:tc>
      </w:tr>
      <w:tr w:rsidR="00141B97" w14:paraId="40517BA2" w14:textId="77777777">
        <w:trPr>
          <w:trHeight w:val="283"/>
          <w:tblCellSpacing w:w="9" w:type="dxa"/>
        </w:trPr>
        <w:tc>
          <w:tcPr>
            <w:tcW w:w="5621" w:type="dxa"/>
            <w:tcBorders>
              <w:left w:val="nil"/>
            </w:tcBorders>
            <w:shd w:val="clear" w:color="auto" w:fill="CCE2ED"/>
          </w:tcPr>
          <w:p w14:paraId="5E9466DE" w14:textId="77777777" w:rsidR="00141B97" w:rsidRDefault="00911D63">
            <w:pPr>
              <w:pStyle w:val="TableParagraph"/>
              <w:ind w:left="88"/>
              <w:rPr>
                <w:sz w:val="20"/>
              </w:rPr>
            </w:pPr>
            <w:r>
              <w:rPr>
                <w:color w:val="000100"/>
                <w:sz w:val="20"/>
              </w:rPr>
              <w:t>Second</w:t>
            </w:r>
            <w:r>
              <w:rPr>
                <w:color w:val="000100"/>
                <w:spacing w:val="-3"/>
                <w:sz w:val="20"/>
              </w:rPr>
              <w:t xml:space="preserve"> </w:t>
            </w:r>
            <w:r>
              <w:rPr>
                <w:color w:val="000100"/>
                <w:sz w:val="20"/>
              </w:rPr>
              <w:t>tier</w:t>
            </w:r>
            <w:r>
              <w:rPr>
                <w:color w:val="000100"/>
                <w:spacing w:val="-2"/>
                <w:sz w:val="20"/>
              </w:rPr>
              <w:t xml:space="preserve"> volumes</w:t>
            </w:r>
          </w:p>
        </w:tc>
        <w:tc>
          <w:tcPr>
            <w:tcW w:w="4180" w:type="dxa"/>
            <w:tcBorders>
              <w:right w:val="nil"/>
            </w:tcBorders>
            <w:shd w:val="clear" w:color="auto" w:fill="CCE2ED"/>
          </w:tcPr>
          <w:p w14:paraId="7E3B3447" w14:textId="77777777" w:rsidR="00141B97" w:rsidRDefault="00911D63">
            <w:pPr>
              <w:pStyle w:val="TableParagraph"/>
              <w:spacing w:before="19"/>
              <w:ind w:left="1093" w:right="1139"/>
              <w:jc w:val="center"/>
              <w:rPr>
                <w:sz w:val="20"/>
              </w:rPr>
            </w:pPr>
            <w:r>
              <w:rPr>
                <w:color w:val="000100"/>
                <w:spacing w:val="-5"/>
                <w:sz w:val="20"/>
              </w:rPr>
              <w:t>Nil</w:t>
            </w:r>
          </w:p>
        </w:tc>
      </w:tr>
      <w:tr w:rsidR="00141B97" w14:paraId="118E3DE9" w14:textId="77777777">
        <w:trPr>
          <w:trHeight w:val="282"/>
          <w:tblCellSpacing w:w="9" w:type="dxa"/>
        </w:trPr>
        <w:tc>
          <w:tcPr>
            <w:tcW w:w="5621" w:type="dxa"/>
            <w:tcBorders>
              <w:left w:val="nil"/>
              <w:bottom w:val="nil"/>
            </w:tcBorders>
            <w:shd w:val="clear" w:color="auto" w:fill="CCE2ED"/>
          </w:tcPr>
          <w:p w14:paraId="1100C8CD" w14:textId="77777777" w:rsidR="00141B97" w:rsidRDefault="00911D63">
            <w:pPr>
              <w:pStyle w:val="TableParagraph"/>
              <w:spacing w:line="243" w:lineRule="exact"/>
              <w:ind w:left="88"/>
              <w:rPr>
                <w:sz w:val="20"/>
              </w:rPr>
            </w:pPr>
            <w:r>
              <w:rPr>
                <w:color w:val="000100"/>
                <w:sz w:val="20"/>
              </w:rPr>
              <w:t>Third</w:t>
            </w:r>
            <w:r>
              <w:rPr>
                <w:color w:val="000100"/>
                <w:spacing w:val="-4"/>
                <w:sz w:val="20"/>
              </w:rPr>
              <w:t xml:space="preserve"> </w:t>
            </w:r>
            <w:r>
              <w:rPr>
                <w:color w:val="000100"/>
                <w:sz w:val="20"/>
              </w:rPr>
              <w:t>tier</w:t>
            </w:r>
            <w:r>
              <w:rPr>
                <w:color w:val="000100"/>
                <w:spacing w:val="-3"/>
                <w:sz w:val="20"/>
              </w:rPr>
              <w:t xml:space="preserve"> </w:t>
            </w:r>
            <w:r>
              <w:rPr>
                <w:color w:val="000100"/>
                <w:spacing w:val="-2"/>
                <w:sz w:val="20"/>
              </w:rPr>
              <w:t>volumes</w:t>
            </w:r>
          </w:p>
        </w:tc>
        <w:tc>
          <w:tcPr>
            <w:tcW w:w="4180" w:type="dxa"/>
            <w:tcBorders>
              <w:bottom w:val="nil"/>
              <w:right w:val="nil"/>
            </w:tcBorders>
            <w:shd w:val="clear" w:color="auto" w:fill="CCE2ED"/>
          </w:tcPr>
          <w:p w14:paraId="662416DE" w14:textId="77777777" w:rsidR="00141B97" w:rsidRDefault="00911D63">
            <w:pPr>
              <w:pStyle w:val="TableParagraph"/>
              <w:spacing w:before="18"/>
              <w:ind w:left="1093" w:right="1141"/>
              <w:jc w:val="center"/>
              <w:rPr>
                <w:sz w:val="20"/>
              </w:rPr>
            </w:pPr>
            <w:r>
              <w:rPr>
                <w:color w:val="000100"/>
                <w:spacing w:val="-2"/>
                <w:sz w:val="20"/>
              </w:rPr>
              <w:t>‐0.20</w:t>
            </w:r>
          </w:p>
        </w:tc>
      </w:tr>
    </w:tbl>
    <w:p w14:paraId="18E9BF68" w14:textId="77777777" w:rsidR="00141B97" w:rsidRDefault="00911D63">
      <w:pPr>
        <w:spacing w:before="22"/>
        <w:ind w:left="114"/>
        <w:jc w:val="both"/>
        <w:rPr>
          <w:sz w:val="16"/>
        </w:rPr>
      </w:pPr>
      <w:r>
        <w:rPr>
          <w:sz w:val="16"/>
        </w:rPr>
        <w:t>Table</w:t>
      </w:r>
      <w:r>
        <w:rPr>
          <w:spacing w:val="-6"/>
          <w:sz w:val="16"/>
        </w:rPr>
        <w:t xml:space="preserve"> </w:t>
      </w:r>
      <w:r>
        <w:rPr>
          <w:sz w:val="16"/>
        </w:rPr>
        <w:t>B18</w:t>
      </w:r>
      <w:r>
        <w:rPr>
          <w:sz w:val="12"/>
        </w:rPr>
        <w:t>:</w:t>
      </w:r>
      <w:r>
        <w:rPr>
          <w:spacing w:val="-6"/>
          <w:sz w:val="12"/>
        </w:rPr>
        <w:t xml:space="preserve"> </w:t>
      </w:r>
      <w:r>
        <w:rPr>
          <w:sz w:val="16"/>
        </w:rPr>
        <w:t>Price</w:t>
      </w:r>
      <w:r>
        <w:rPr>
          <w:spacing w:val="-5"/>
          <w:sz w:val="16"/>
        </w:rPr>
        <w:t xml:space="preserve"> </w:t>
      </w:r>
      <w:r>
        <w:rPr>
          <w:sz w:val="16"/>
        </w:rPr>
        <w:t>Elasticity</w:t>
      </w:r>
      <w:r>
        <w:rPr>
          <w:spacing w:val="-6"/>
          <w:sz w:val="16"/>
        </w:rPr>
        <w:t xml:space="preserve"> </w:t>
      </w:r>
      <w:r>
        <w:rPr>
          <w:spacing w:val="-2"/>
          <w:sz w:val="16"/>
        </w:rPr>
        <w:t>Assumptions</w:t>
      </w:r>
    </w:p>
    <w:p w14:paraId="5A60AF41" w14:textId="77777777" w:rsidR="00141B97" w:rsidRDefault="00141B97">
      <w:pPr>
        <w:pStyle w:val="BodyText"/>
        <w:rPr>
          <w:sz w:val="16"/>
        </w:rPr>
      </w:pPr>
    </w:p>
    <w:p w14:paraId="4A302C7A" w14:textId="77777777" w:rsidR="00141B97" w:rsidRDefault="00911D63">
      <w:pPr>
        <w:pStyle w:val="BodyText"/>
        <w:spacing w:before="98"/>
        <w:ind w:left="113" w:right="948"/>
        <w:jc w:val="both"/>
      </w:pPr>
      <w:r>
        <w:t>LMW has not assumed any impact on non‐residential demand due to price elasticity. Published studies on the price sensitivity of non‐residential demand are difficult to implement, since they are specific to the nature of the industrial and commercial activity being undertaken, the price of water in alternative locations and the ability of the relevant industries to reduce their water usage.</w:t>
      </w:r>
    </w:p>
    <w:p w14:paraId="35271252" w14:textId="77777777" w:rsidR="00141B97" w:rsidRDefault="00141B97">
      <w:pPr>
        <w:pStyle w:val="BodyText"/>
        <w:spacing w:before="9"/>
        <w:rPr>
          <w:sz w:val="19"/>
        </w:rPr>
      </w:pPr>
    </w:p>
    <w:p w14:paraId="36F6B100" w14:textId="77777777" w:rsidR="00141B97" w:rsidRDefault="00911D63">
      <w:pPr>
        <w:pStyle w:val="ListParagraph"/>
        <w:numPr>
          <w:ilvl w:val="3"/>
          <w:numId w:val="81"/>
        </w:numPr>
        <w:tabs>
          <w:tab w:val="left" w:pos="1107"/>
        </w:tabs>
        <w:jc w:val="both"/>
        <w:rPr>
          <w:i/>
        </w:rPr>
      </w:pPr>
      <w:r>
        <w:rPr>
          <w:i/>
        </w:rPr>
        <w:t>Tariff</w:t>
      </w:r>
      <w:r>
        <w:rPr>
          <w:i/>
          <w:spacing w:val="-5"/>
        </w:rPr>
        <w:t xml:space="preserve"> </w:t>
      </w:r>
      <w:r>
        <w:rPr>
          <w:i/>
          <w:spacing w:val="-2"/>
        </w:rPr>
        <w:t>Changes</w:t>
      </w:r>
    </w:p>
    <w:p w14:paraId="30F12557" w14:textId="77777777" w:rsidR="00141B97" w:rsidRDefault="00911D63">
      <w:pPr>
        <w:pStyle w:val="BodyText"/>
        <w:spacing w:before="72"/>
        <w:ind w:left="113"/>
        <w:jc w:val="both"/>
      </w:pPr>
      <w:r>
        <w:t>No</w:t>
      </w:r>
      <w:r>
        <w:rPr>
          <w:spacing w:val="-8"/>
        </w:rPr>
        <w:t xml:space="preserve"> </w:t>
      </w:r>
      <w:r>
        <w:t>changes</w:t>
      </w:r>
      <w:r>
        <w:rPr>
          <w:spacing w:val="-5"/>
        </w:rPr>
        <w:t xml:space="preserve"> </w:t>
      </w:r>
      <w:r>
        <w:t>are</w:t>
      </w:r>
      <w:r>
        <w:rPr>
          <w:spacing w:val="-7"/>
        </w:rPr>
        <w:t xml:space="preserve"> </w:t>
      </w:r>
      <w:r>
        <w:t>proposed</w:t>
      </w:r>
      <w:r>
        <w:rPr>
          <w:spacing w:val="-6"/>
        </w:rPr>
        <w:t xml:space="preserve"> </w:t>
      </w:r>
      <w:r>
        <w:t>to</w:t>
      </w:r>
      <w:r>
        <w:rPr>
          <w:spacing w:val="-7"/>
        </w:rPr>
        <w:t xml:space="preserve"> </w:t>
      </w:r>
      <w:r>
        <w:t>the</w:t>
      </w:r>
      <w:r>
        <w:rPr>
          <w:spacing w:val="-7"/>
        </w:rPr>
        <w:t xml:space="preserve"> </w:t>
      </w:r>
      <w:r>
        <w:t>water</w:t>
      </w:r>
      <w:r>
        <w:rPr>
          <w:spacing w:val="-5"/>
        </w:rPr>
        <w:t xml:space="preserve"> </w:t>
      </w:r>
      <w:r>
        <w:t>tariff</w:t>
      </w:r>
      <w:r>
        <w:rPr>
          <w:spacing w:val="-7"/>
        </w:rPr>
        <w:t xml:space="preserve"> </w:t>
      </w:r>
      <w:r>
        <w:t>structures</w:t>
      </w:r>
      <w:r>
        <w:rPr>
          <w:spacing w:val="-7"/>
        </w:rPr>
        <w:t xml:space="preserve"> </w:t>
      </w:r>
      <w:r>
        <w:t>or</w:t>
      </w:r>
      <w:r>
        <w:rPr>
          <w:spacing w:val="-6"/>
        </w:rPr>
        <w:t xml:space="preserve"> </w:t>
      </w:r>
      <w:r>
        <w:t>the</w:t>
      </w:r>
      <w:r>
        <w:rPr>
          <w:spacing w:val="-7"/>
        </w:rPr>
        <w:t xml:space="preserve"> </w:t>
      </w:r>
      <w:r>
        <w:t>three‐tier</w:t>
      </w:r>
      <w:r>
        <w:rPr>
          <w:spacing w:val="-8"/>
        </w:rPr>
        <w:t xml:space="preserve"> </w:t>
      </w:r>
      <w:r>
        <w:t>volumetric</w:t>
      </w:r>
      <w:r>
        <w:rPr>
          <w:spacing w:val="-7"/>
        </w:rPr>
        <w:t xml:space="preserve"> </w:t>
      </w:r>
      <w:r>
        <w:t>charge</w:t>
      </w:r>
      <w:r>
        <w:rPr>
          <w:spacing w:val="-6"/>
        </w:rPr>
        <w:t xml:space="preserve"> </w:t>
      </w:r>
      <w:r>
        <w:rPr>
          <w:spacing w:val="-2"/>
        </w:rPr>
        <w:t>ratios.</w:t>
      </w:r>
    </w:p>
    <w:p w14:paraId="2E325A5E" w14:textId="77777777" w:rsidR="00141B97" w:rsidRDefault="00141B97">
      <w:pPr>
        <w:pStyle w:val="BodyText"/>
        <w:spacing w:before="7"/>
        <w:rPr>
          <w:sz w:val="20"/>
        </w:rPr>
      </w:pPr>
    </w:p>
    <w:p w14:paraId="5CC180DE" w14:textId="77777777" w:rsidR="00141B97" w:rsidRDefault="00911D63">
      <w:pPr>
        <w:pStyle w:val="ListParagraph"/>
        <w:numPr>
          <w:ilvl w:val="2"/>
          <w:numId w:val="81"/>
        </w:numPr>
        <w:tabs>
          <w:tab w:val="left" w:pos="1112"/>
          <w:tab w:val="left" w:pos="1113"/>
        </w:tabs>
        <w:jc w:val="both"/>
      </w:pPr>
      <w:r>
        <w:t>Water</w:t>
      </w:r>
      <w:r>
        <w:rPr>
          <w:spacing w:val="-7"/>
        </w:rPr>
        <w:t xml:space="preserve"> </w:t>
      </w:r>
      <w:r>
        <w:t>&amp;</w:t>
      </w:r>
      <w:r>
        <w:rPr>
          <w:spacing w:val="-8"/>
        </w:rPr>
        <w:t xml:space="preserve"> </w:t>
      </w:r>
      <w:r>
        <w:t>Sewerage</w:t>
      </w:r>
      <w:r>
        <w:rPr>
          <w:spacing w:val="-7"/>
        </w:rPr>
        <w:t xml:space="preserve"> </w:t>
      </w:r>
      <w:r>
        <w:t>Demand</w:t>
      </w:r>
      <w:r>
        <w:rPr>
          <w:spacing w:val="-7"/>
        </w:rPr>
        <w:t xml:space="preserve"> </w:t>
      </w:r>
      <w:r>
        <w:rPr>
          <w:spacing w:val="-2"/>
        </w:rPr>
        <w:t>Forecasts</w:t>
      </w:r>
    </w:p>
    <w:p w14:paraId="0679B1BF" w14:textId="77777777" w:rsidR="00141B97" w:rsidRDefault="00141B97">
      <w:pPr>
        <w:pStyle w:val="BodyText"/>
        <w:spacing w:before="7"/>
        <w:rPr>
          <w:sz w:val="19"/>
        </w:rPr>
      </w:pPr>
    </w:p>
    <w:p w14:paraId="05A4B1D9" w14:textId="77777777" w:rsidR="00141B97" w:rsidRDefault="00911D63">
      <w:pPr>
        <w:pStyle w:val="ListParagraph"/>
        <w:numPr>
          <w:ilvl w:val="3"/>
          <w:numId w:val="81"/>
        </w:numPr>
        <w:tabs>
          <w:tab w:val="left" w:pos="1107"/>
        </w:tabs>
        <w:jc w:val="both"/>
        <w:rPr>
          <w:i/>
          <w:sz w:val="20"/>
        </w:rPr>
      </w:pPr>
      <w:r>
        <w:rPr>
          <w:i/>
          <w:sz w:val="20"/>
        </w:rPr>
        <w:t>Connection</w:t>
      </w:r>
      <w:r>
        <w:rPr>
          <w:i/>
          <w:spacing w:val="-5"/>
          <w:sz w:val="20"/>
        </w:rPr>
        <w:t xml:space="preserve"> </w:t>
      </w:r>
      <w:r>
        <w:rPr>
          <w:i/>
          <w:spacing w:val="-2"/>
          <w:sz w:val="20"/>
        </w:rPr>
        <w:t>Forecast</w:t>
      </w:r>
    </w:p>
    <w:p w14:paraId="1A4793EC" w14:textId="77777777" w:rsidR="00141B97" w:rsidRDefault="00911D63">
      <w:pPr>
        <w:pStyle w:val="BodyText"/>
        <w:spacing w:before="61"/>
        <w:ind w:left="113" w:right="948"/>
        <w:jc w:val="both"/>
      </w:pPr>
      <w:r>
        <w:t>Table B19 shows forecast water and sewerage connections for the PS5 period, based on actual 2021‐22 connections converted to ‘equivalent connections’, for both residential and non‐residential connections, with growth as detailed in Section 4.2.3.1.</w:t>
      </w:r>
    </w:p>
    <w:p w14:paraId="47028027" w14:textId="77777777" w:rsidR="00141B97" w:rsidRDefault="00141B97">
      <w:pPr>
        <w:pStyle w:val="BodyText"/>
      </w:pPr>
    </w:p>
    <w:p w14:paraId="45FB3395" w14:textId="77777777" w:rsidR="00141B97" w:rsidRDefault="00911D63">
      <w:pPr>
        <w:pStyle w:val="BodyText"/>
        <w:ind w:left="114" w:right="946" w:hanging="1"/>
        <w:jc w:val="both"/>
      </w:pPr>
      <w:r>
        <w:t>Whilst historically the aggregate number of residential sewerage connections has been lower than water, the forecasts assume that the growth in water and sewerage connections will be the same in terms of absolute numbers of equivalent connections. For non‐residential sewerage connections, growth has been based on an average increase in connections over the past five years.</w:t>
      </w:r>
    </w:p>
    <w:p w14:paraId="50F6A5AF" w14:textId="77777777" w:rsidR="00141B97" w:rsidRDefault="00141B97">
      <w:pPr>
        <w:pStyle w:val="BodyText"/>
        <w:spacing w:before="6" w:after="1"/>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453"/>
        <w:gridCol w:w="1082"/>
        <w:gridCol w:w="1081"/>
        <w:gridCol w:w="1082"/>
        <w:gridCol w:w="1082"/>
        <w:gridCol w:w="1081"/>
        <w:gridCol w:w="1082"/>
      </w:tblGrid>
      <w:tr w:rsidR="00141B97" w14:paraId="0F6235E5" w14:textId="77777777">
        <w:trPr>
          <w:trHeight w:val="282"/>
          <w:tblCellSpacing w:w="9" w:type="dxa"/>
        </w:trPr>
        <w:tc>
          <w:tcPr>
            <w:tcW w:w="3426" w:type="dxa"/>
            <w:vMerge w:val="restart"/>
            <w:tcBorders>
              <w:top w:val="nil"/>
              <w:left w:val="nil"/>
            </w:tcBorders>
            <w:shd w:val="clear" w:color="auto" w:fill="0064A4"/>
          </w:tcPr>
          <w:p w14:paraId="213EFA26" w14:textId="77777777" w:rsidR="00141B97" w:rsidRDefault="00911D63">
            <w:pPr>
              <w:pStyle w:val="TableParagraph"/>
              <w:spacing w:before="170"/>
              <w:ind w:left="88"/>
              <w:rPr>
                <w:sz w:val="20"/>
              </w:rPr>
            </w:pPr>
            <w:r>
              <w:rPr>
                <w:color w:val="FFFFFF"/>
                <w:spacing w:val="-2"/>
                <w:sz w:val="20"/>
              </w:rPr>
              <w:t>Service</w:t>
            </w:r>
          </w:p>
        </w:tc>
        <w:tc>
          <w:tcPr>
            <w:tcW w:w="1064" w:type="dxa"/>
            <w:tcBorders>
              <w:top w:val="nil"/>
            </w:tcBorders>
            <w:shd w:val="clear" w:color="auto" w:fill="0064A4"/>
          </w:tcPr>
          <w:p w14:paraId="080F59E7" w14:textId="77777777" w:rsidR="00141B97" w:rsidRDefault="00911D63">
            <w:pPr>
              <w:pStyle w:val="TableParagraph"/>
              <w:spacing w:before="18"/>
              <w:ind w:left="213"/>
              <w:rPr>
                <w:sz w:val="20"/>
              </w:rPr>
            </w:pPr>
            <w:r>
              <w:rPr>
                <w:color w:val="FFFFFF"/>
                <w:spacing w:val="-2"/>
                <w:sz w:val="20"/>
              </w:rPr>
              <w:t>Current</w:t>
            </w:r>
          </w:p>
        </w:tc>
        <w:tc>
          <w:tcPr>
            <w:tcW w:w="5309" w:type="dxa"/>
            <w:gridSpan w:val="5"/>
            <w:tcBorders>
              <w:top w:val="nil"/>
              <w:right w:val="nil"/>
            </w:tcBorders>
            <w:shd w:val="clear" w:color="auto" w:fill="0064A4"/>
          </w:tcPr>
          <w:p w14:paraId="4FF89B14" w14:textId="77777777" w:rsidR="00141B97" w:rsidRDefault="00911D63">
            <w:pPr>
              <w:pStyle w:val="TableParagraph"/>
              <w:spacing w:before="18"/>
              <w:ind w:left="1742"/>
              <w:rPr>
                <w:sz w:val="20"/>
              </w:rPr>
            </w:pPr>
            <w:r>
              <w:rPr>
                <w:color w:val="FFFFFF"/>
                <w:sz w:val="20"/>
              </w:rPr>
              <w:t>Fifth</w:t>
            </w:r>
            <w:r>
              <w:rPr>
                <w:color w:val="FFFFFF"/>
                <w:spacing w:val="-3"/>
                <w:sz w:val="20"/>
              </w:rPr>
              <w:t xml:space="preserve"> </w:t>
            </w:r>
            <w:r>
              <w:rPr>
                <w:color w:val="FFFFFF"/>
                <w:sz w:val="20"/>
              </w:rPr>
              <w:t>regulatory</w:t>
            </w:r>
            <w:r>
              <w:rPr>
                <w:color w:val="FFFFFF"/>
                <w:spacing w:val="-2"/>
                <w:sz w:val="20"/>
              </w:rPr>
              <w:t xml:space="preserve"> period</w:t>
            </w:r>
          </w:p>
        </w:tc>
      </w:tr>
      <w:tr w:rsidR="00141B97" w14:paraId="25C4F035" w14:textId="77777777">
        <w:trPr>
          <w:trHeight w:val="283"/>
          <w:tblCellSpacing w:w="9" w:type="dxa"/>
        </w:trPr>
        <w:tc>
          <w:tcPr>
            <w:tcW w:w="3426" w:type="dxa"/>
            <w:vMerge/>
            <w:tcBorders>
              <w:top w:val="nil"/>
              <w:left w:val="nil"/>
            </w:tcBorders>
            <w:shd w:val="clear" w:color="auto" w:fill="0064A4"/>
          </w:tcPr>
          <w:p w14:paraId="45BA4DAF" w14:textId="77777777" w:rsidR="00141B97" w:rsidRDefault="00141B97">
            <w:pPr>
              <w:rPr>
                <w:sz w:val="2"/>
                <w:szCs w:val="2"/>
              </w:rPr>
            </w:pPr>
          </w:p>
        </w:tc>
        <w:tc>
          <w:tcPr>
            <w:tcW w:w="1064" w:type="dxa"/>
            <w:shd w:val="clear" w:color="auto" w:fill="0064A4"/>
          </w:tcPr>
          <w:p w14:paraId="174314F5" w14:textId="77777777" w:rsidR="00141B97" w:rsidRDefault="00911D63">
            <w:pPr>
              <w:pStyle w:val="TableParagraph"/>
              <w:spacing w:before="19"/>
              <w:ind w:left="186"/>
              <w:rPr>
                <w:sz w:val="20"/>
              </w:rPr>
            </w:pPr>
            <w:r>
              <w:rPr>
                <w:color w:val="FFFFFF"/>
                <w:spacing w:val="-2"/>
                <w:sz w:val="20"/>
              </w:rPr>
              <w:t>2022‐23</w:t>
            </w:r>
          </w:p>
        </w:tc>
        <w:tc>
          <w:tcPr>
            <w:tcW w:w="1063" w:type="dxa"/>
            <w:shd w:val="clear" w:color="auto" w:fill="0064A4"/>
          </w:tcPr>
          <w:p w14:paraId="0387C171" w14:textId="77777777" w:rsidR="00141B97" w:rsidRDefault="00911D63">
            <w:pPr>
              <w:pStyle w:val="TableParagraph"/>
              <w:spacing w:before="19"/>
              <w:ind w:left="185"/>
              <w:rPr>
                <w:sz w:val="20"/>
              </w:rPr>
            </w:pPr>
            <w:r>
              <w:rPr>
                <w:color w:val="FFFFFF"/>
                <w:spacing w:val="-2"/>
                <w:sz w:val="20"/>
              </w:rPr>
              <w:t>2023‐24</w:t>
            </w:r>
          </w:p>
        </w:tc>
        <w:tc>
          <w:tcPr>
            <w:tcW w:w="1064" w:type="dxa"/>
            <w:shd w:val="clear" w:color="auto" w:fill="0064A4"/>
          </w:tcPr>
          <w:p w14:paraId="0A14B5A4" w14:textId="77777777" w:rsidR="00141B97" w:rsidRDefault="00911D63">
            <w:pPr>
              <w:pStyle w:val="TableParagraph"/>
              <w:spacing w:before="19"/>
              <w:ind w:left="187"/>
              <w:rPr>
                <w:sz w:val="20"/>
              </w:rPr>
            </w:pPr>
            <w:r>
              <w:rPr>
                <w:color w:val="FFFFFF"/>
                <w:spacing w:val="-2"/>
                <w:sz w:val="20"/>
              </w:rPr>
              <w:t>2024‐25</w:t>
            </w:r>
          </w:p>
        </w:tc>
        <w:tc>
          <w:tcPr>
            <w:tcW w:w="1064" w:type="dxa"/>
            <w:shd w:val="clear" w:color="auto" w:fill="0064A4"/>
          </w:tcPr>
          <w:p w14:paraId="578900C9" w14:textId="77777777" w:rsidR="00141B97" w:rsidRDefault="00911D63">
            <w:pPr>
              <w:pStyle w:val="TableParagraph"/>
              <w:spacing w:before="19"/>
              <w:ind w:left="187"/>
              <w:rPr>
                <w:sz w:val="20"/>
              </w:rPr>
            </w:pPr>
            <w:r>
              <w:rPr>
                <w:color w:val="FFFFFF"/>
                <w:spacing w:val="-2"/>
                <w:sz w:val="20"/>
              </w:rPr>
              <w:t>2025‐26</w:t>
            </w:r>
          </w:p>
        </w:tc>
        <w:tc>
          <w:tcPr>
            <w:tcW w:w="1063" w:type="dxa"/>
            <w:shd w:val="clear" w:color="auto" w:fill="0064A4"/>
          </w:tcPr>
          <w:p w14:paraId="3DEFFF4E" w14:textId="77777777" w:rsidR="00141B97" w:rsidRDefault="00911D63">
            <w:pPr>
              <w:pStyle w:val="TableParagraph"/>
              <w:spacing w:before="19"/>
              <w:ind w:left="187"/>
              <w:rPr>
                <w:sz w:val="20"/>
              </w:rPr>
            </w:pPr>
            <w:r>
              <w:rPr>
                <w:color w:val="FFFFFF"/>
                <w:spacing w:val="-2"/>
                <w:sz w:val="20"/>
              </w:rPr>
              <w:t>2026‐27</w:t>
            </w:r>
          </w:p>
        </w:tc>
        <w:tc>
          <w:tcPr>
            <w:tcW w:w="1055" w:type="dxa"/>
            <w:tcBorders>
              <w:right w:val="nil"/>
            </w:tcBorders>
            <w:shd w:val="clear" w:color="auto" w:fill="0064A4"/>
          </w:tcPr>
          <w:p w14:paraId="3B221679" w14:textId="77777777" w:rsidR="00141B97" w:rsidRDefault="00911D63">
            <w:pPr>
              <w:pStyle w:val="TableParagraph"/>
              <w:spacing w:before="19"/>
              <w:ind w:left="188"/>
              <w:rPr>
                <w:sz w:val="20"/>
              </w:rPr>
            </w:pPr>
            <w:r>
              <w:rPr>
                <w:color w:val="FFFFFF"/>
                <w:spacing w:val="-2"/>
                <w:sz w:val="20"/>
              </w:rPr>
              <w:t>2027‐28</w:t>
            </w:r>
          </w:p>
        </w:tc>
      </w:tr>
      <w:tr w:rsidR="00141B97" w14:paraId="21E7580B" w14:textId="77777777">
        <w:trPr>
          <w:trHeight w:val="282"/>
          <w:tblCellSpacing w:w="9" w:type="dxa"/>
        </w:trPr>
        <w:tc>
          <w:tcPr>
            <w:tcW w:w="9799" w:type="dxa"/>
            <w:gridSpan w:val="7"/>
            <w:tcBorders>
              <w:left w:val="nil"/>
              <w:right w:val="nil"/>
            </w:tcBorders>
            <w:shd w:val="clear" w:color="auto" w:fill="006CA3"/>
          </w:tcPr>
          <w:p w14:paraId="0F3FE957" w14:textId="77777777" w:rsidR="00141B97" w:rsidRDefault="00911D63">
            <w:pPr>
              <w:pStyle w:val="TableParagraph"/>
              <w:spacing w:before="18"/>
              <w:ind w:left="98"/>
              <w:rPr>
                <w:sz w:val="20"/>
              </w:rPr>
            </w:pPr>
            <w:r>
              <w:rPr>
                <w:color w:val="FFFFFF"/>
                <w:spacing w:val="-2"/>
                <w:sz w:val="20"/>
              </w:rPr>
              <w:t>Water</w:t>
            </w:r>
          </w:p>
        </w:tc>
      </w:tr>
      <w:tr w:rsidR="00141B97" w14:paraId="5EFDE2B9" w14:textId="77777777">
        <w:trPr>
          <w:trHeight w:val="283"/>
          <w:tblCellSpacing w:w="9" w:type="dxa"/>
        </w:trPr>
        <w:tc>
          <w:tcPr>
            <w:tcW w:w="3426" w:type="dxa"/>
            <w:tcBorders>
              <w:left w:val="nil"/>
            </w:tcBorders>
            <w:shd w:val="clear" w:color="auto" w:fill="CCE2ED"/>
          </w:tcPr>
          <w:p w14:paraId="432962A1" w14:textId="77777777" w:rsidR="00141B97" w:rsidRDefault="00911D63">
            <w:pPr>
              <w:pStyle w:val="TableParagraph"/>
              <w:spacing w:before="19"/>
              <w:ind w:left="88"/>
              <w:rPr>
                <w:sz w:val="20"/>
              </w:rPr>
            </w:pPr>
            <w:r>
              <w:rPr>
                <w:sz w:val="20"/>
              </w:rPr>
              <w:t>Residential</w:t>
            </w:r>
            <w:r>
              <w:rPr>
                <w:spacing w:val="-4"/>
                <w:sz w:val="20"/>
              </w:rPr>
              <w:t xml:space="preserve"> </w:t>
            </w:r>
            <w:r>
              <w:rPr>
                <w:sz w:val="20"/>
              </w:rPr>
              <w:t>equivalent</w:t>
            </w:r>
            <w:r>
              <w:rPr>
                <w:spacing w:val="-3"/>
                <w:sz w:val="20"/>
              </w:rPr>
              <w:t xml:space="preserve"> </w:t>
            </w:r>
            <w:r>
              <w:rPr>
                <w:spacing w:val="-2"/>
                <w:sz w:val="20"/>
              </w:rPr>
              <w:t>connections</w:t>
            </w:r>
          </w:p>
        </w:tc>
        <w:tc>
          <w:tcPr>
            <w:tcW w:w="1064" w:type="dxa"/>
            <w:shd w:val="clear" w:color="auto" w:fill="CCE2ED"/>
          </w:tcPr>
          <w:p w14:paraId="25B9A304" w14:textId="77777777" w:rsidR="00141B97" w:rsidRDefault="00911D63">
            <w:pPr>
              <w:pStyle w:val="TableParagraph"/>
              <w:spacing w:before="19"/>
              <w:ind w:right="94"/>
              <w:jc w:val="right"/>
              <w:rPr>
                <w:sz w:val="20"/>
              </w:rPr>
            </w:pPr>
            <w:r>
              <w:rPr>
                <w:spacing w:val="-2"/>
                <w:sz w:val="20"/>
              </w:rPr>
              <w:t>31,970</w:t>
            </w:r>
          </w:p>
        </w:tc>
        <w:tc>
          <w:tcPr>
            <w:tcW w:w="1063" w:type="dxa"/>
            <w:shd w:val="clear" w:color="auto" w:fill="CCE2ED"/>
          </w:tcPr>
          <w:p w14:paraId="5DAF92D7" w14:textId="77777777" w:rsidR="00141B97" w:rsidRDefault="00911D63">
            <w:pPr>
              <w:pStyle w:val="TableParagraph"/>
              <w:spacing w:before="19"/>
              <w:ind w:right="94"/>
              <w:jc w:val="right"/>
              <w:rPr>
                <w:sz w:val="20"/>
              </w:rPr>
            </w:pPr>
            <w:r>
              <w:rPr>
                <w:spacing w:val="-2"/>
                <w:sz w:val="20"/>
              </w:rPr>
              <w:t>32,322</w:t>
            </w:r>
          </w:p>
        </w:tc>
        <w:tc>
          <w:tcPr>
            <w:tcW w:w="1064" w:type="dxa"/>
            <w:shd w:val="clear" w:color="auto" w:fill="CCE2ED"/>
          </w:tcPr>
          <w:p w14:paraId="33A11966" w14:textId="77777777" w:rsidR="00141B97" w:rsidRDefault="00911D63">
            <w:pPr>
              <w:pStyle w:val="TableParagraph"/>
              <w:spacing w:before="19"/>
              <w:ind w:right="94"/>
              <w:jc w:val="right"/>
              <w:rPr>
                <w:sz w:val="20"/>
              </w:rPr>
            </w:pPr>
            <w:r>
              <w:rPr>
                <w:spacing w:val="-2"/>
                <w:sz w:val="20"/>
              </w:rPr>
              <w:t>32,677</w:t>
            </w:r>
          </w:p>
        </w:tc>
        <w:tc>
          <w:tcPr>
            <w:tcW w:w="1064" w:type="dxa"/>
            <w:shd w:val="clear" w:color="auto" w:fill="CCE2ED"/>
          </w:tcPr>
          <w:p w14:paraId="465828FC" w14:textId="77777777" w:rsidR="00141B97" w:rsidRDefault="00911D63">
            <w:pPr>
              <w:pStyle w:val="TableParagraph"/>
              <w:spacing w:before="19"/>
              <w:ind w:right="93"/>
              <w:jc w:val="right"/>
              <w:rPr>
                <w:sz w:val="20"/>
              </w:rPr>
            </w:pPr>
            <w:r>
              <w:rPr>
                <w:spacing w:val="-2"/>
                <w:sz w:val="20"/>
              </w:rPr>
              <w:t>33,037</w:t>
            </w:r>
          </w:p>
        </w:tc>
        <w:tc>
          <w:tcPr>
            <w:tcW w:w="1063" w:type="dxa"/>
            <w:shd w:val="clear" w:color="auto" w:fill="CCE2ED"/>
          </w:tcPr>
          <w:p w14:paraId="3F291799" w14:textId="77777777" w:rsidR="00141B97" w:rsidRDefault="00911D63">
            <w:pPr>
              <w:pStyle w:val="TableParagraph"/>
              <w:spacing w:before="19"/>
              <w:ind w:right="93"/>
              <w:jc w:val="right"/>
              <w:rPr>
                <w:sz w:val="20"/>
              </w:rPr>
            </w:pPr>
            <w:r>
              <w:rPr>
                <w:spacing w:val="-2"/>
                <w:sz w:val="20"/>
              </w:rPr>
              <w:t>33,400</w:t>
            </w:r>
          </w:p>
        </w:tc>
        <w:tc>
          <w:tcPr>
            <w:tcW w:w="1055" w:type="dxa"/>
            <w:tcBorders>
              <w:right w:val="nil"/>
            </w:tcBorders>
            <w:shd w:val="clear" w:color="auto" w:fill="CCE2ED"/>
          </w:tcPr>
          <w:p w14:paraId="267B306F" w14:textId="77777777" w:rsidR="00141B97" w:rsidRDefault="00911D63">
            <w:pPr>
              <w:pStyle w:val="TableParagraph"/>
              <w:spacing w:before="19"/>
              <w:ind w:right="84"/>
              <w:jc w:val="right"/>
              <w:rPr>
                <w:sz w:val="20"/>
              </w:rPr>
            </w:pPr>
            <w:r>
              <w:rPr>
                <w:spacing w:val="-2"/>
                <w:sz w:val="20"/>
              </w:rPr>
              <w:t>33,767</w:t>
            </w:r>
          </w:p>
        </w:tc>
      </w:tr>
      <w:tr w:rsidR="00141B97" w14:paraId="1DE0A050" w14:textId="77777777">
        <w:trPr>
          <w:trHeight w:val="282"/>
          <w:tblCellSpacing w:w="9" w:type="dxa"/>
        </w:trPr>
        <w:tc>
          <w:tcPr>
            <w:tcW w:w="3426" w:type="dxa"/>
            <w:tcBorders>
              <w:left w:val="nil"/>
            </w:tcBorders>
            <w:shd w:val="clear" w:color="auto" w:fill="CCE2ED"/>
          </w:tcPr>
          <w:p w14:paraId="4CEFA939" w14:textId="77777777" w:rsidR="00141B97" w:rsidRDefault="00911D63">
            <w:pPr>
              <w:pStyle w:val="TableParagraph"/>
              <w:spacing w:before="18"/>
              <w:ind w:left="88"/>
              <w:rPr>
                <w:sz w:val="20"/>
              </w:rPr>
            </w:pPr>
            <w:r>
              <w:rPr>
                <w:sz w:val="20"/>
              </w:rPr>
              <w:t>Non‐residential</w:t>
            </w:r>
            <w:r>
              <w:rPr>
                <w:spacing w:val="-6"/>
                <w:sz w:val="20"/>
              </w:rPr>
              <w:t xml:space="preserve"> </w:t>
            </w:r>
            <w:r>
              <w:rPr>
                <w:sz w:val="20"/>
              </w:rPr>
              <w:t>equiv</w:t>
            </w:r>
            <w:r>
              <w:rPr>
                <w:spacing w:val="-4"/>
                <w:sz w:val="20"/>
              </w:rPr>
              <w:t xml:space="preserve"> </w:t>
            </w:r>
            <w:r>
              <w:rPr>
                <w:spacing w:val="-2"/>
                <w:sz w:val="20"/>
              </w:rPr>
              <w:t>connections</w:t>
            </w:r>
          </w:p>
        </w:tc>
        <w:tc>
          <w:tcPr>
            <w:tcW w:w="1064" w:type="dxa"/>
            <w:shd w:val="clear" w:color="auto" w:fill="CCE2ED"/>
          </w:tcPr>
          <w:p w14:paraId="213BDDA1" w14:textId="77777777" w:rsidR="00141B97" w:rsidRDefault="00911D63">
            <w:pPr>
              <w:pStyle w:val="TableParagraph"/>
              <w:spacing w:before="18"/>
              <w:ind w:right="94"/>
              <w:jc w:val="right"/>
              <w:rPr>
                <w:sz w:val="20"/>
              </w:rPr>
            </w:pPr>
            <w:r>
              <w:rPr>
                <w:spacing w:val="-2"/>
                <w:sz w:val="20"/>
              </w:rPr>
              <w:t>7,197</w:t>
            </w:r>
          </w:p>
        </w:tc>
        <w:tc>
          <w:tcPr>
            <w:tcW w:w="1063" w:type="dxa"/>
            <w:shd w:val="clear" w:color="auto" w:fill="CCE2ED"/>
          </w:tcPr>
          <w:p w14:paraId="10B22EE0" w14:textId="77777777" w:rsidR="00141B97" w:rsidRDefault="00911D63">
            <w:pPr>
              <w:pStyle w:val="TableParagraph"/>
              <w:spacing w:before="18"/>
              <w:ind w:right="94"/>
              <w:jc w:val="right"/>
              <w:rPr>
                <w:sz w:val="20"/>
              </w:rPr>
            </w:pPr>
            <w:r>
              <w:rPr>
                <w:spacing w:val="-2"/>
                <w:sz w:val="20"/>
              </w:rPr>
              <w:t>7,276</w:t>
            </w:r>
          </w:p>
        </w:tc>
        <w:tc>
          <w:tcPr>
            <w:tcW w:w="1064" w:type="dxa"/>
            <w:shd w:val="clear" w:color="auto" w:fill="CCE2ED"/>
          </w:tcPr>
          <w:p w14:paraId="1EBD027F" w14:textId="77777777" w:rsidR="00141B97" w:rsidRDefault="00911D63">
            <w:pPr>
              <w:pStyle w:val="TableParagraph"/>
              <w:spacing w:before="18"/>
              <w:ind w:right="94"/>
              <w:jc w:val="right"/>
              <w:rPr>
                <w:sz w:val="20"/>
              </w:rPr>
            </w:pPr>
            <w:r>
              <w:rPr>
                <w:spacing w:val="-2"/>
                <w:sz w:val="20"/>
              </w:rPr>
              <w:t>7,356</w:t>
            </w:r>
          </w:p>
        </w:tc>
        <w:tc>
          <w:tcPr>
            <w:tcW w:w="1064" w:type="dxa"/>
            <w:shd w:val="clear" w:color="auto" w:fill="CCE2ED"/>
          </w:tcPr>
          <w:p w14:paraId="541581AD" w14:textId="77777777" w:rsidR="00141B97" w:rsidRDefault="00911D63">
            <w:pPr>
              <w:pStyle w:val="TableParagraph"/>
              <w:spacing w:before="18"/>
              <w:ind w:right="93"/>
              <w:jc w:val="right"/>
              <w:rPr>
                <w:sz w:val="20"/>
              </w:rPr>
            </w:pPr>
            <w:r>
              <w:rPr>
                <w:spacing w:val="-2"/>
                <w:sz w:val="20"/>
              </w:rPr>
              <w:t>7,437</w:t>
            </w:r>
          </w:p>
        </w:tc>
        <w:tc>
          <w:tcPr>
            <w:tcW w:w="1063" w:type="dxa"/>
            <w:shd w:val="clear" w:color="auto" w:fill="CCE2ED"/>
          </w:tcPr>
          <w:p w14:paraId="581CA4E2" w14:textId="77777777" w:rsidR="00141B97" w:rsidRDefault="00911D63">
            <w:pPr>
              <w:pStyle w:val="TableParagraph"/>
              <w:spacing w:before="18"/>
              <w:ind w:right="93"/>
              <w:jc w:val="right"/>
              <w:rPr>
                <w:sz w:val="20"/>
              </w:rPr>
            </w:pPr>
            <w:r>
              <w:rPr>
                <w:spacing w:val="-2"/>
                <w:sz w:val="20"/>
              </w:rPr>
              <w:t>7,519</w:t>
            </w:r>
          </w:p>
        </w:tc>
        <w:tc>
          <w:tcPr>
            <w:tcW w:w="1055" w:type="dxa"/>
            <w:tcBorders>
              <w:right w:val="nil"/>
            </w:tcBorders>
            <w:shd w:val="clear" w:color="auto" w:fill="CCE2ED"/>
          </w:tcPr>
          <w:p w14:paraId="5DEE668A" w14:textId="77777777" w:rsidR="00141B97" w:rsidRDefault="00911D63">
            <w:pPr>
              <w:pStyle w:val="TableParagraph"/>
              <w:spacing w:before="18"/>
              <w:ind w:right="84"/>
              <w:jc w:val="right"/>
              <w:rPr>
                <w:sz w:val="20"/>
              </w:rPr>
            </w:pPr>
            <w:r>
              <w:rPr>
                <w:spacing w:val="-2"/>
                <w:sz w:val="20"/>
              </w:rPr>
              <w:t>7,601</w:t>
            </w:r>
          </w:p>
        </w:tc>
      </w:tr>
      <w:tr w:rsidR="00141B97" w14:paraId="26C45E54" w14:textId="77777777">
        <w:trPr>
          <w:trHeight w:val="283"/>
          <w:tblCellSpacing w:w="9" w:type="dxa"/>
        </w:trPr>
        <w:tc>
          <w:tcPr>
            <w:tcW w:w="3426" w:type="dxa"/>
            <w:tcBorders>
              <w:left w:val="nil"/>
            </w:tcBorders>
            <w:shd w:val="clear" w:color="auto" w:fill="BFBFBF"/>
          </w:tcPr>
          <w:p w14:paraId="4D72F148" w14:textId="77777777" w:rsidR="00141B97" w:rsidRDefault="00911D63">
            <w:pPr>
              <w:pStyle w:val="TableParagraph"/>
              <w:spacing w:before="19"/>
              <w:ind w:left="88"/>
              <w:rPr>
                <w:sz w:val="20"/>
              </w:rPr>
            </w:pPr>
            <w:r>
              <w:rPr>
                <w:sz w:val="20"/>
              </w:rPr>
              <w:t>Total</w:t>
            </w:r>
            <w:r>
              <w:rPr>
                <w:spacing w:val="-1"/>
                <w:sz w:val="20"/>
              </w:rPr>
              <w:t xml:space="preserve"> </w:t>
            </w:r>
            <w:r>
              <w:rPr>
                <w:spacing w:val="-2"/>
                <w:sz w:val="20"/>
              </w:rPr>
              <w:t>water</w:t>
            </w:r>
          </w:p>
        </w:tc>
        <w:tc>
          <w:tcPr>
            <w:tcW w:w="1064" w:type="dxa"/>
            <w:shd w:val="clear" w:color="auto" w:fill="BFBFBF"/>
          </w:tcPr>
          <w:p w14:paraId="4D9F374A" w14:textId="77777777" w:rsidR="00141B97" w:rsidRDefault="00911D63">
            <w:pPr>
              <w:pStyle w:val="TableParagraph"/>
              <w:spacing w:before="19"/>
              <w:ind w:right="94"/>
              <w:jc w:val="right"/>
              <w:rPr>
                <w:sz w:val="20"/>
              </w:rPr>
            </w:pPr>
            <w:r>
              <w:rPr>
                <w:spacing w:val="-2"/>
                <w:sz w:val="20"/>
              </w:rPr>
              <w:t>39,167</w:t>
            </w:r>
          </w:p>
        </w:tc>
        <w:tc>
          <w:tcPr>
            <w:tcW w:w="1063" w:type="dxa"/>
            <w:shd w:val="clear" w:color="auto" w:fill="BFBFBF"/>
          </w:tcPr>
          <w:p w14:paraId="7018ED71" w14:textId="77777777" w:rsidR="00141B97" w:rsidRDefault="00911D63">
            <w:pPr>
              <w:pStyle w:val="TableParagraph"/>
              <w:spacing w:before="19"/>
              <w:ind w:right="94"/>
              <w:jc w:val="right"/>
              <w:rPr>
                <w:sz w:val="20"/>
              </w:rPr>
            </w:pPr>
            <w:r>
              <w:rPr>
                <w:spacing w:val="-2"/>
                <w:sz w:val="20"/>
              </w:rPr>
              <w:t>39,598</w:t>
            </w:r>
          </w:p>
        </w:tc>
        <w:tc>
          <w:tcPr>
            <w:tcW w:w="1064" w:type="dxa"/>
            <w:shd w:val="clear" w:color="auto" w:fill="BFBFBF"/>
          </w:tcPr>
          <w:p w14:paraId="075A06E8" w14:textId="77777777" w:rsidR="00141B97" w:rsidRDefault="00911D63">
            <w:pPr>
              <w:pStyle w:val="TableParagraph"/>
              <w:spacing w:before="19"/>
              <w:ind w:right="94"/>
              <w:jc w:val="right"/>
              <w:rPr>
                <w:sz w:val="20"/>
              </w:rPr>
            </w:pPr>
            <w:r>
              <w:rPr>
                <w:spacing w:val="-2"/>
                <w:sz w:val="20"/>
              </w:rPr>
              <w:t>40,033</w:t>
            </w:r>
          </w:p>
        </w:tc>
        <w:tc>
          <w:tcPr>
            <w:tcW w:w="1064" w:type="dxa"/>
            <w:shd w:val="clear" w:color="auto" w:fill="BFBFBF"/>
          </w:tcPr>
          <w:p w14:paraId="23C7B9B1" w14:textId="77777777" w:rsidR="00141B97" w:rsidRDefault="00911D63">
            <w:pPr>
              <w:pStyle w:val="TableParagraph"/>
              <w:spacing w:before="19"/>
              <w:ind w:right="93"/>
              <w:jc w:val="right"/>
              <w:rPr>
                <w:sz w:val="20"/>
              </w:rPr>
            </w:pPr>
            <w:r>
              <w:rPr>
                <w:spacing w:val="-2"/>
                <w:sz w:val="20"/>
              </w:rPr>
              <w:t>40,474</w:t>
            </w:r>
          </w:p>
        </w:tc>
        <w:tc>
          <w:tcPr>
            <w:tcW w:w="1063" w:type="dxa"/>
            <w:shd w:val="clear" w:color="auto" w:fill="BFBFBF"/>
          </w:tcPr>
          <w:p w14:paraId="402B72BF" w14:textId="77777777" w:rsidR="00141B97" w:rsidRDefault="00911D63">
            <w:pPr>
              <w:pStyle w:val="TableParagraph"/>
              <w:spacing w:before="19"/>
              <w:ind w:right="93"/>
              <w:jc w:val="right"/>
              <w:rPr>
                <w:sz w:val="20"/>
              </w:rPr>
            </w:pPr>
            <w:r>
              <w:rPr>
                <w:spacing w:val="-2"/>
                <w:sz w:val="20"/>
              </w:rPr>
              <w:t>40,919</w:t>
            </w:r>
          </w:p>
        </w:tc>
        <w:tc>
          <w:tcPr>
            <w:tcW w:w="1055" w:type="dxa"/>
            <w:tcBorders>
              <w:right w:val="nil"/>
            </w:tcBorders>
            <w:shd w:val="clear" w:color="auto" w:fill="BFBFBF"/>
          </w:tcPr>
          <w:p w14:paraId="5DDDF31C" w14:textId="77777777" w:rsidR="00141B97" w:rsidRDefault="00911D63">
            <w:pPr>
              <w:pStyle w:val="TableParagraph"/>
              <w:spacing w:before="19"/>
              <w:ind w:right="83"/>
              <w:jc w:val="right"/>
              <w:rPr>
                <w:sz w:val="20"/>
              </w:rPr>
            </w:pPr>
            <w:r>
              <w:rPr>
                <w:spacing w:val="-2"/>
                <w:sz w:val="20"/>
              </w:rPr>
              <w:t>41,369</w:t>
            </w:r>
          </w:p>
        </w:tc>
      </w:tr>
      <w:tr w:rsidR="00141B97" w14:paraId="410866B8" w14:textId="77777777">
        <w:trPr>
          <w:trHeight w:val="282"/>
          <w:tblCellSpacing w:w="9" w:type="dxa"/>
        </w:trPr>
        <w:tc>
          <w:tcPr>
            <w:tcW w:w="9799" w:type="dxa"/>
            <w:gridSpan w:val="7"/>
            <w:tcBorders>
              <w:left w:val="nil"/>
              <w:right w:val="nil"/>
            </w:tcBorders>
            <w:shd w:val="clear" w:color="auto" w:fill="006CA3"/>
          </w:tcPr>
          <w:p w14:paraId="5663783C" w14:textId="77777777" w:rsidR="00141B97" w:rsidRDefault="00911D63">
            <w:pPr>
              <w:pStyle w:val="TableParagraph"/>
              <w:spacing w:before="18"/>
              <w:ind w:left="98"/>
              <w:rPr>
                <w:sz w:val="20"/>
              </w:rPr>
            </w:pPr>
            <w:r>
              <w:rPr>
                <w:color w:val="FFFFFF"/>
                <w:spacing w:val="-2"/>
                <w:sz w:val="20"/>
              </w:rPr>
              <w:t>Sewerage</w:t>
            </w:r>
          </w:p>
        </w:tc>
      </w:tr>
      <w:tr w:rsidR="00141B97" w14:paraId="3CD335CF" w14:textId="77777777">
        <w:trPr>
          <w:trHeight w:val="283"/>
          <w:tblCellSpacing w:w="9" w:type="dxa"/>
        </w:trPr>
        <w:tc>
          <w:tcPr>
            <w:tcW w:w="3426" w:type="dxa"/>
            <w:tcBorders>
              <w:left w:val="nil"/>
            </w:tcBorders>
            <w:shd w:val="clear" w:color="auto" w:fill="CCE2ED"/>
          </w:tcPr>
          <w:p w14:paraId="7A598146" w14:textId="77777777" w:rsidR="00141B97" w:rsidRDefault="00911D63">
            <w:pPr>
              <w:pStyle w:val="TableParagraph"/>
              <w:spacing w:before="19"/>
              <w:ind w:left="88"/>
              <w:rPr>
                <w:sz w:val="20"/>
              </w:rPr>
            </w:pPr>
            <w:r>
              <w:rPr>
                <w:sz w:val="20"/>
              </w:rPr>
              <w:t>Residential</w:t>
            </w:r>
            <w:r>
              <w:rPr>
                <w:spacing w:val="-4"/>
                <w:sz w:val="20"/>
              </w:rPr>
              <w:t xml:space="preserve"> </w:t>
            </w:r>
            <w:r>
              <w:rPr>
                <w:sz w:val="20"/>
              </w:rPr>
              <w:t>equiv</w:t>
            </w:r>
            <w:r>
              <w:rPr>
                <w:spacing w:val="-4"/>
                <w:sz w:val="20"/>
              </w:rPr>
              <w:t xml:space="preserve"> </w:t>
            </w:r>
            <w:r>
              <w:rPr>
                <w:spacing w:val="-2"/>
                <w:sz w:val="20"/>
              </w:rPr>
              <w:t>connections</w:t>
            </w:r>
          </w:p>
        </w:tc>
        <w:tc>
          <w:tcPr>
            <w:tcW w:w="1064" w:type="dxa"/>
            <w:shd w:val="clear" w:color="auto" w:fill="CCE2ED"/>
          </w:tcPr>
          <w:p w14:paraId="56C151DD" w14:textId="77777777" w:rsidR="00141B97" w:rsidRDefault="00911D63">
            <w:pPr>
              <w:pStyle w:val="TableParagraph"/>
              <w:spacing w:before="19"/>
              <w:ind w:right="94"/>
              <w:jc w:val="right"/>
              <w:rPr>
                <w:sz w:val="20"/>
              </w:rPr>
            </w:pPr>
            <w:r>
              <w:rPr>
                <w:spacing w:val="-2"/>
                <w:sz w:val="20"/>
              </w:rPr>
              <w:t>28,070</w:t>
            </w:r>
          </w:p>
        </w:tc>
        <w:tc>
          <w:tcPr>
            <w:tcW w:w="1063" w:type="dxa"/>
            <w:shd w:val="clear" w:color="auto" w:fill="CCE2ED"/>
          </w:tcPr>
          <w:p w14:paraId="516E79CE" w14:textId="77777777" w:rsidR="00141B97" w:rsidRDefault="00911D63">
            <w:pPr>
              <w:pStyle w:val="TableParagraph"/>
              <w:spacing w:before="19"/>
              <w:ind w:right="94"/>
              <w:jc w:val="right"/>
              <w:rPr>
                <w:sz w:val="20"/>
              </w:rPr>
            </w:pPr>
            <w:r>
              <w:rPr>
                <w:spacing w:val="-2"/>
                <w:sz w:val="20"/>
              </w:rPr>
              <w:t>28,421</w:t>
            </w:r>
          </w:p>
        </w:tc>
        <w:tc>
          <w:tcPr>
            <w:tcW w:w="1064" w:type="dxa"/>
            <w:shd w:val="clear" w:color="auto" w:fill="CCE2ED"/>
          </w:tcPr>
          <w:p w14:paraId="1643AA9B" w14:textId="77777777" w:rsidR="00141B97" w:rsidRDefault="00911D63">
            <w:pPr>
              <w:pStyle w:val="TableParagraph"/>
              <w:spacing w:before="19"/>
              <w:ind w:right="94"/>
              <w:jc w:val="right"/>
              <w:rPr>
                <w:sz w:val="20"/>
              </w:rPr>
            </w:pPr>
            <w:r>
              <w:rPr>
                <w:spacing w:val="-2"/>
                <w:sz w:val="20"/>
              </w:rPr>
              <w:t>28,777</w:t>
            </w:r>
          </w:p>
        </w:tc>
        <w:tc>
          <w:tcPr>
            <w:tcW w:w="1064" w:type="dxa"/>
            <w:shd w:val="clear" w:color="auto" w:fill="CCE2ED"/>
          </w:tcPr>
          <w:p w14:paraId="3CF4BCD3" w14:textId="77777777" w:rsidR="00141B97" w:rsidRDefault="00911D63">
            <w:pPr>
              <w:pStyle w:val="TableParagraph"/>
              <w:spacing w:before="19"/>
              <w:ind w:right="93"/>
              <w:jc w:val="right"/>
              <w:rPr>
                <w:sz w:val="20"/>
              </w:rPr>
            </w:pPr>
            <w:r>
              <w:rPr>
                <w:spacing w:val="-2"/>
                <w:sz w:val="20"/>
              </w:rPr>
              <w:t>29,136</w:t>
            </w:r>
          </w:p>
        </w:tc>
        <w:tc>
          <w:tcPr>
            <w:tcW w:w="1063" w:type="dxa"/>
            <w:shd w:val="clear" w:color="auto" w:fill="CCE2ED"/>
          </w:tcPr>
          <w:p w14:paraId="13FCAD31" w14:textId="77777777" w:rsidR="00141B97" w:rsidRDefault="00911D63">
            <w:pPr>
              <w:pStyle w:val="TableParagraph"/>
              <w:spacing w:before="19"/>
              <w:ind w:right="93"/>
              <w:jc w:val="right"/>
              <w:rPr>
                <w:sz w:val="20"/>
              </w:rPr>
            </w:pPr>
            <w:r>
              <w:rPr>
                <w:spacing w:val="-2"/>
                <w:sz w:val="20"/>
              </w:rPr>
              <w:t>29,500</w:t>
            </w:r>
          </w:p>
        </w:tc>
        <w:tc>
          <w:tcPr>
            <w:tcW w:w="1055" w:type="dxa"/>
            <w:tcBorders>
              <w:right w:val="nil"/>
            </w:tcBorders>
            <w:shd w:val="clear" w:color="auto" w:fill="CCE2ED"/>
          </w:tcPr>
          <w:p w14:paraId="5F8CEFAA" w14:textId="77777777" w:rsidR="00141B97" w:rsidRDefault="00911D63">
            <w:pPr>
              <w:pStyle w:val="TableParagraph"/>
              <w:spacing w:before="19"/>
              <w:ind w:right="84"/>
              <w:jc w:val="right"/>
              <w:rPr>
                <w:sz w:val="20"/>
              </w:rPr>
            </w:pPr>
            <w:r>
              <w:rPr>
                <w:spacing w:val="-2"/>
                <w:sz w:val="20"/>
              </w:rPr>
              <w:t>29,867</w:t>
            </w:r>
          </w:p>
        </w:tc>
      </w:tr>
      <w:tr w:rsidR="00141B97" w14:paraId="0988C580" w14:textId="77777777">
        <w:trPr>
          <w:trHeight w:val="282"/>
          <w:tblCellSpacing w:w="9" w:type="dxa"/>
        </w:trPr>
        <w:tc>
          <w:tcPr>
            <w:tcW w:w="3426" w:type="dxa"/>
            <w:tcBorders>
              <w:left w:val="nil"/>
            </w:tcBorders>
            <w:shd w:val="clear" w:color="auto" w:fill="CCE2ED"/>
          </w:tcPr>
          <w:p w14:paraId="0DC41301" w14:textId="77777777" w:rsidR="00141B97" w:rsidRDefault="00911D63">
            <w:pPr>
              <w:pStyle w:val="TableParagraph"/>
              <w:spacing w:before="18"/>
              <w:ind w:left="88"/>
              <w:rPr>
                <w:sz w:val="20"/>
              </w:rPr>
            </w:pPr>
            <w:r>
              <w:rPr>
                <w:sz w:val="20"/>
              </w:rPr>
              <w:t>Non‐residential</w:t>
            </w:r>
            <w:r>
              <w:rPr>
                <w:spacing w:val="-6"/>
                <w:sz w:val="20"/>
              </w:rPr>
              <w:t xml:space="preserve"> </w:t>
            </w:r>
            <w:r>
              <w:rPr>
                <w:sz w:val="20"/>
              </w:rPr>
              <w:t>equiv</w:t>
            </w:r>
            <w:r>
              <w:rPr>
                <w:spacing w:val="-4"/>
                <w:sz w:val="20"/>
              </w:rPr>
              <w:t xml:space="preserve"> </w:t>
            </w:r>
            <w:r>
              <w:rPr>
                <w:spacing w:val="-2"/>
                <w:sz w:val="20"/>
              </w:rPr>
              <w:t>connections</w:t>
            </w:r>
          </w:p>
        </w:tc>
        <w:tc>
          <w:tcPr>
            <w:tcW w:w="1064" w:type="dxa"/>
            <w:shd w:val="clear" w:color="auto" w:fill="CCE2ED"/>
          </w:tcPr>
          <w:p w14:paraId="3619C7CF" w14:textId="77777777" w:rsidR="00141B97" w:rsidRDefault="00911D63">
            <w:pPr>
              <w:pStyle w:val="TableParagraph"/>
              <w:spacing w:before="18"/>
              <w:ind w:right="94"/>
              <w:jc w:val="right"/>
              <w:rPr>
                <w:sz w:val="20"/>
              </w:rPr>
            </w:pPr>
            <w:r>
              <w:rPr>
                <w:spacing w:val="-2"/>
                <w:sz w:val="20"/>
              </w:rPr>
              <w:t>4,728</w:t>
            </w:r>
          </w:p>
        </w:tc>
        <w:tc>
          <w:tcPr>
            <w:tcW w:w="1063" w:type="dxa"/>
            <w:shd w:val="clear" w:color="auto" w:fill="CCE2ED"/>
          </w:tcPr>
          <w:p w14:paraId="16131DC1" w14:textId="77777777" w:rsidR="00141B97" w:rsidRDefault="00911D63">
            <w:pPr>
              <w:pStyle w:val="TableParagraph"/>
              <w:spacing w:before="18"/>
              <w:ind w:right="94"/>
              <w:jc w:val="right"/>
              <w:rPr>
                <w:sz w:val="20"/>
              </w:rPr>
            </w:pPr>
            <w:r>
              <w:rPr>
                <w:spacing w:val="-2"/>
                <w:sz w:val="20"/>
              </w:rPr>
              <w:t>4,763</w:t>
            </w:r>
          </w:p>
        </w:tc>
        <w:tc>
          <w:tcPr>
            <w:tcW w:w="1064" w:type="dxa"/>
            <w:shd w:val="clear" w:color="auto" w:fill="CCE2ED"/>
          </w:tcPr>
          <w:p w14:paraId="76692883" w14:textId="77777777" w:rsidR="00141B97" w:rsidRDefault="00911D63">
            <w:pPr>
              <w:pStyle w:val="TableParagraph"/>
              <w:spacing w:before="18"/>
              <w:ind w:right="94"/>
              <w:jc w:val="right"/>
              <w:rPr>
                <w:sz w:val="20"/>
              </w:rPr>
            </w:pPr>
            <w:r>
              <w:rPr>
                <w:spacing w:val="-2"/>
                <w:sz w:val="20"/>
              </w:rPr>
              <w:t>4,798</w:t>
            </w:r>
          </w:p>
        </w:tc>
        <w:tc>
          <w:tcPr>
            <w:tcW w:w="1064" w:type="dxa"/>
            <w:shd w:val="clear" w:color="auto" w:fill="CCE2ED"/>
          </w:tcPr>
          <w:p w14:paraId="3B441AA8" w14:textId="77777777" w:rsidR="00141B97" w:rsidRDefault="00911D63">
            <w:pPr>
              <w:pStyle w:val="TableParagraph"/>
              <w:spacing w:before="18"/>
              <w:ind w:right="93"/>
              <w:jc w:val="right"/>
              <w:rPr>
                <w:sz w:val="20"/>
              </w:rPr>
            </w:pPr>
            <w:r>
              <w:rPr>
                <w:spacing w:val="-2"/>
                <w:sz w:val="20"/>
              </w:rPr>
              <w:t>4,833</w:t>
            </w:r>
          </w:p>
        </w:tc>
        <w:tc>
          <w:tcPr>
            <w:tcW w:w="1063" w:type="dxa"/>
            <w:shd w:val="clear" w:color="auto" w:fill="CCE2ED"/>
          </w:tcPr>
          <w:p w14:paraId="3EBF7C9E" w14:textId="77777777" w:rsidR="00141B97" w:rsidRDefault="00911D63">
            <w:pPr>
              <w:pStyle w:val="TableParagraph"/>
              <w:spacing w:before="18"/>
              <w:ind w:right="93"/>
              <w:jc w:val="right"/>
              <w:rPr>
                <w:sz w:val="20"/>
              </w:rPr>
            </w:pPr>
            <w:r>
              <w:rPr>
                <w:spacing w:val="-2"/>
                <w:sz w:val="20"/>
              </w:rPr>
              <w:t>4,868</w:t>
            </w:r>
          </w:p>
        </w:tc>
        <w:tc>
          <w:tcPr>
            <w:tcW w:w="1055" w:type="dxa"/>
            <w:tcBorders>
              <w:right w:val="nil"/>
            </w:tcBorders>
            <w:shd w:val="clear" w:color="auto" w:fill="CCE2ED"/>
          </w:tcPr>
          <w:p w14:paraId="531C8E37" w14:textId="77777777" w:rsidR="00141B97" w:rsidRDefault="00911D63">
            <w:pPr>
              <w:pStyle w:val="TableParagraph"/>
              <w:spacing w:before="18"/>
              <w:ind w:right="84"/>
              <w:jc w:val="right"/>
              <w:rPr>
                <w:sz w:val="20"/>
              </w:rPr>
            </w:pPr>
            <w:r>
              <w:rPr>
                <w:spacing w:val="-2"/>
                <w:sz w:val="20"/>
              </w:rPr>
              <w:t>4,903</w:t>
            </w:r>
          </w:p>
        </w:tc>
      </w:tr>
      <w:tr w:rsidR="00141B97" w14:paraId="31A33DD0" w14:textId="77777777">
        <w:trPr>
          <w:trHeight w:val="244"/>
          <w:tblCellSpacing w:w="9" w:type="dxa"/>
        </w:trPr>
        <w:tc>
          <w:tcPr>
            <w:tcW w:w="3426" w:type="dxa"/>
            <w:tcBorders>
              <w:left w:val="nil"/>
              <w:bottom w:val="nil"/>
            </w:tcBorders>
            <w:shd w:val="clear" w:color="auto" w:fill="BFBFBF"/>
          </w:tcPr>
          <w:p w14:paraId="5F0D7A18" w14:textId="77777777" w:rsidR="00141B97" w:rsidRDefault="00911D63">
            <w:pPr>
              <w:pStyle w:val="TableParagraph"/>
              <w:spacing w:line="224" w:lineRule="exact"/>
              <w:ind w:left="88"/>
              <w:rPr>
                <w:sz w:val="20"/>
              </w:rPr>
            </w:pPr>
            <w:r>
              <w:rPr>
                <w:sz w:val="20"/>
              </w:rPr>
              <w:t>Total</w:t>
            </w:r>
            <w:r>
              <w:rPr>
                <w:spacing w:val="-3"/>
                <w:sz w:val="20"/>
              </w:rPr>
              <w:t xml:space="preserve"> </w:t>
            </w:r>
            <w:r>
              <w:rPr>
                <w:spacing w:val="-2"/>
                <w:sz w:val="20"/>
              </w:rPr>
              <w:t>sewerage</w:t>
            </w:r>
          </w:p>
        </w:tc>
        <w:tc>
          <w:tcPr>
            <w:tcW w:w="1064" w:type="dxa"/>
            <w:tcBorders>
              <w:bottom w:val="nil"/>
            </w:tcBorders>
            <w:shd w:val="clear" w:color="auto" w:fill="BFBFBF"/>
          </w:tcPr>
          <w:p w14:paraId="2311C635" w14:textId="77777777" w:rsidR="00141B97" w:rsidRDefault="00911D63">
            <w:pPr>
              <w:pStyle w:val="TableParagraph"/>
              <w:spacing w:line="224" w:lineRule="exact"/>
              <w:ind w:right="94"/>
              <w:jc w:val="right"/>
              <w:rPr>
                <w:sz w:val="20"/>
              </w:rPr>
            </w:pPr>
            <w:r>
              <w:rPr>
                <w:spacing w:val="-2"/>
                <w:sz w:val="20"/>
              </w:rPr>
              <w:t>32,798</w:t>
            </w:r>
          </w:p>
        </w:tc>
        <w:tc>
          <w:tcPr>
            <w:tcW w:w="1063" w:type="dxa"/>
            <w:tcBorders>
              <w:bottom w:val="nil"/>
            </w:tcBorders>
            <w:shd w:val="clear" w:color="auto" w:fill="BFBFBF"/>
          </w:tcPr>
          <w:p w14:paraId="7BEDB0C6" w14:textId="77777777" w:rsidR="00141B97" w:rsidRDefault="00911D63">
            <w:pPr>
              <w:pStyle w:val="TableParagraph"/>
              <w:spacing w:line="224" w:lineRule="exact"/>
              <w:ind w:right="94"/>
              <w:jc w:val="right"/>
              <w:rPr>
                <w:sz w:val="20"/>
              </w:rPr>
            </w:pPr>
            <w:r>
              <w:rPr>
                <w:spacing w:val="-2"/>
                <w:sz w:val="20"/>
              </w:rPr>
              <w:t>33,184</w:t>
            </w:r>
          </w:p>
        </w:tc>
        <w:tc>
          <w:tcPr>
            <w:tcW w:w="1064" w:type="dxa"/>
            <w:tcBorders>
              <w:bottom w:val="nil"/>
            </w:tcBorders>
            <w:shd w:val="clear" w:color="auto" w:fill="BFBFBF"/>
          </w:tcPr>
          <w:p w14:paraId="68A38DBE" w14:textId="77777777" w:rsidR="00141B97" w:rsidRDefault="00911D63">
            <w:pPr>
              <w:pStyle w:val="TableParagraph"/>
              <w:spacing w:line="224" w:lineRule="exact"/>
              <w:ind w:right="94"/>
              <w:jc w:val="right"/>
              <w:rPr>
                <w:sz w:val="20"/>
              </w:rPr>
            </w:pPr>
            <w:r>
              <w:rPr>
                <w:spacing w:val="-2"/>
                <w:sz w:val="20"/>
              </w:rPr>
              <w:t>33,575</w:t>
            </w:r>
          </w:p>
        </w:tc>
        <w:tc>
          <w:tcPr>
            <w:tcW w:w="1064" w:type="dxa"/>
            <w:tcBorders>
              <w:bottom w:val="nil"/>
            </w:tcBorders>
            <w:shd w:val="clear" w:color="auto" w:fill="BFBFBF"/>
          </w:tcPr>
          <w:p w14:paraId="6581AEED" w14:textId="77777777" w:rsidR="00141B97" w:rsidRDefault="00911D63">
            <w:pPr>
              <w:pStyle w:val="TableParagraph"/>
              <w:spacing w:line="224" w:lineRule="exact"/>
              <w:ind w:right="93"/>
              <w:jc w:val="right"/>
              <w:rPr>
                <w:sz w:val="20"/>
              </w:rPr>
            </w:pPr>
            <w:r>
              <w:rPr>
                <w:spacing w:val="-2"/>
                <w:sz w:val="20"/>
              </w:rPr>
              <w:t>33,969</w:t>
            </w:r>
          </w:p>
        </w:tc>
        <w:tc>
          <w:tcPr>
            <w:tcW w:w="1063" w:type="dxa"/>
            <w:tcBorders>
              <w:bottom w:val="nil"/>
            </w:tcBorders>
            <w:shd w:val="clear" w:color="auto" w:fill="BFBFBF"/>
          </w:tcPr>
          <w:p w14:paraId="3B20B26F" w14:textId="77777777" w:rsidR="00141B97" w:rsidRDefault="00911D63">
            <w:pPr>
              <w:pStyle w:val="TableParagraph"/>
              <w:spacing w:line="224" w:lineRule="exact"/>
              <w:ind w:right="93"/>
              <w:jc w:val="right"/>
              <w:rPr>
                <w:sz w:val="20"/>
              </w:rPr>
            </w:pPr>
            <w:r>
              <w:rPr>
                <w:spacing w:val="-2"/>
                <w:sz w:val="20"/>
              </w:rPr>
              <w:t>34,368</w:t>
            </w:r>
          </w:p>
        </w:tc>
        <w:tc>
          <w:tcPr>
            <w:tcW w:w="1055" w:type="dxa"/>
            <w:tcBorders>
              <w:bottom w:val="nil"/>
              <w:right w:val="nil"/>
            </w:tcBorders>
            <w:shd w:val="clear" w:color="auto" w:fill="BFBFBF"/>
          </w:tcPr>
          <w:p w14:paraId="706A1B39" w14:textId="77777777" w:rsidR="00141B97" w:rsidRDefault="00911D63">
            <w:pPr>
              <w:pStyle w:val="TableParagraph"/>
              <w:spacing w:line="224" w:lineRule="exact"/>
              <w:ind w:right="83"/>
              <w:jc w:val="right"/>
              <w:rPr>
                <w:sz w:val="20"/>
              </w:rPr>
            </w:pPr>
            <w:r>
              <w:rPr>
                <w:spacing w:val="-2"/>
                <w:sz w:val="20"/>
              </w:rPr>
              <w:t>34,770</w:t>
            </w:r>
          </w:p>
        </w:tc>
      </w:tr>
    </w:tbl>
    <w:p w14:paraId="5E8721D0" w14:textId="77777777" w:rsidR="00141B97" w:rsidRDefault="00911D63">
      <w:pPr>
        <w:spacing w:before="25"/>
        <w:ind w:left="114"/>
        <w:jc w:val="both"/>
        <w:rPr>
          <w:sz w:val="16"/>
        </w:rPr>
      </w:pPr>
      <w:r>
        <w:rPr>
          <w:sz w:val="16"/>
        </w:rPr>
        <w:t>Table</w:t>
      </w:r>
      <w:r>
        <w:rPr>
          <w:spacing w:val="-6"/>
          <w:sz w:val="16"/>
        </w:rPr>
        <w:t xml:space="preserve"> </w:t>
      </w:r>
      <w:r>
        <w:rPr>
          <w:sz w:val="16"/>
        </w:rPr>
        <w:t>B19:</w:t>
      </w:r>
      <w:r>
        <w:rPr>
          <w:spacing w:val="-5"/>
          <w:sz w:val="16"/>
        </w:rPr>
        <w:t xml:space="preserve"> </w:t>
      </w:r>
      <w:r>
        <w:rPr>
          <w:sz w:val="16"/>
        </w:rPr>
        <w:t>Connection</w:t>
      </w:r>
      <w:r>
        <w:rPr>
          <w:spacing w:val="-6"/>
          <w:sz w:val="16"/>
        </w:rPr>
        <w:t xml:space="preserve"> </w:t>
      </w:r>
      <w:r>
        <w:rPr>
          <w:spacing w:val="-2"/>
          <w:sz w:val="16"/>
        </w:rPr>
        <w:t>Forecasts</w:t>
      </w:r>
    </w:p>
    <w:p w14:paraId="01290CD2" w14:textId="77777777" w:rsidR="00141B97" w:rsidRDefault="00141B97">
      <w:pPr>
        <w:pStyle w:val="BodyText"/>
        <w:spacing w:before="9"/>
        <w:rPr>
          <w:sz w:val="19"/>
        </w:rPr>
      </w:pPr>
    </w:p>
    <w:p w14:paraId="1EDD891E" w14:textId="77777777" w:rsidR="00141B97" w:rsidRDefault="00911D63">
      <w:pPr>
        <w:pStyle w:val="ListParagraph"/>
        <w:numPr>
          <w:ilvl w:val="3"/>
          <w:numId w:val="81"/>
        </w:numPr>
        <w:tabs>
          <w:tab w:val="left" w:pos="1107"/>
        </w:tabs>
        <w:jc w:val="both"/>
        <w:rPr>
          <w:i/>
        </w:rPr>
      </w:pPr>
      <w:r>
        <w:rPr>
          <w:i/>
        </w:rPr>
        <w:t>Water</w:t>
      </w:r>
      <w:r>
        <w:rPr>
          <w:i/>
          <w:spacing w:val="-11"/>
        </w:rPr>
        <w:t xml:space="preserve"> </w:t>
      </w:r>
      <w:r>
        <w:rPr>
          <w:i/>
        </w:rPr>
        <w:t>Volumetric</w:t>
      </w:r>
      <w:r>
        <w:rPr>
          <w:i/>
          <w:spacing w:val="-11"/>
        </w:rPr>
        <w:t xml:space="preserve"> </w:t>
      </w:r>
      <w:r>
        <w:rPr>
          <w:i/>
          <w:spacing w:val="-2"/>
        </w:rPr>
        <w:t>Demand</w:t>
      </w:r>
    </w:p>
    <w:p w14:paraId="33E1F98D" w14:textId="77777777" w:rsidR="00141B97" w:rsidRDefault="00911D63">
      <w:pPr>
        <w:pStyle w:val="BodyText"/>
        <w:spacing w:before="59"/>
        <w:ind w:left="114" w:right="947" w:hanging="1"/>
        <w:jc w:val="both"/>
      </w:pPr>
      <w:r>
        <w:t>The</w:t>
      </w:r>
      <w:r>
        <w:rPr>
          <w:spacing w:val="-1"/>
        </w:rPr>
        <w:t xml:space="preserve"> </w:t>
      </w:r>
      <w:r>
        <w:t>forecast average</w:t>
      </w:r>
      <w:r>
        <w:rPr>
          <w:spacing w:val="-1"/>
        </w:rPr>
        <w:t xml:space="preserve"> </w:t>
      </w:r>
      <w:r>
        <w:t>water</w:t>
      </w:r>
      <w:r>
        <w:rPr>
          <w:spacing w:val="-1"/>
        </w:rPr>
        <w:t xml:space="preserve"> </w:t>
      </w:r>
      <w:r>
        <w:t>demand per equivalent connection was developed utilising regression analysis and scenario testing</w:t>
      </w:r>
      <w:r>
        <w:rPr>
          <w:spacing w:val="-1"/>
        </w:rPr>
        <w:t xml:space="preserve"> </w:t>
      </w:r>
      <w:r>
        <w:t>the historic</w:t>
      </w:r>
      <w:r>
        <w:rPr>
          <w:spacing w:val="-1"/>
        </w:rPr>
        <w:t xml:space="preserve"> </w:t>
      </w:r>
      <w:r>
        <w:t>data and</w:t>
      </w:r>
      <w:r>
        <w:rPr>
          <w:spacing w:val="-1"/>
        </w:rPr>
        <w:t xml:space="preserve"> </w:t>
      </w:r>
      <w:r>
        <w:t>applying the assumptions</w:t>
      </w:r>
      <w:r>
        <w:rPr>
          <w:spacing w:val="-1"/>
        </w:rPr>
        <w:t xml:space="preserve"> </w:t>
      </w:r>
      <w:r>
        <w:t>discussed</w:t>
      </w:r>
      <w:r>
        <w:rPr>
          <w:spacing w:val="-1"/>
        </w:rPr>
        <w:t xml:space="preserve"> </w:t>
      </w:r>
      <w:r>
        <w:t>above. Table</w:t>
      </w:r>
      <w:r>
        <w:rPr>
          <w:spacing w:val="-1"/>
        </w:rPr>
        <w:t xml:space="preserve"> </w:t>
      </w:r>
      <w:r>
        <w:t>B20 shows the</w:t>
      </w:r>
      <w:r>
        <w:rPr>
          <w:spacing w:val="-1"/>
        </w:rPr>
        <w:t xml:space="preserve"> </w:t>
      </w:r>
      <w:r>
        <w:t>forecast</w:t>
      </w:r>
    </w:p>
    <w:p w14:paraId="7F2F574B" w14:textId="77777777" w:rsidR="00141B97" w:rsidRDefault="00141B97">
      <w:pPr>
        <w:jc w:val="both"/>
        <w:sectPr w:rsidR="00141B97">
          <w:pgSz w:w="11910" w:h="16840"/>
          <w:pgMar w:top="820" w:right="40" w:bottom="760" w:left="1020" w:header="0" w:footer="580" w:gutter="0"/>
          <w:cols w:space="720"/>
        </w:sectPr>
      </w:pPr>
    </w:p>
    <w:p w14:paraId="5634E23A" w14:textId="77777777" w:rsidR="00141B97" w:rsidRDefault="00911D63">
      <w:pPr>
        <w:pStyle w:val="BodyText"/>
        <w:spacing w:before="31"/>
        <w:ind w:left="114" w:right="948" w:hanging="1"/>
        <w:jc w:val="both"/>
      </w:pPr>
      <w:r>
        <w:lastRenderedPageBreak/>
        <w:t>annual</w:t>
      </w:r>
      <w:r>
        <w:rPr>
          <w:spacing w:val="-10"/>
        </w:rPr>
        <w:t xml:space="preserve"> </w:t>
      </w:r>
      <w:r>
        <w:t>water</w:t>
      </w:r>
      <w:r>
        <w:rPr>
          <w:spacing w:val="-9"/>
        </w:rPr>
        <w:t xml:space="preserve"> </w:t>
      </w:r>
      <w:r>
        <w:t>demand</w:t>
      </w:r>
      <w:r>
        <w:rPr>
          <w:spacing w:val="-10"/>
        </w:rPr>
        <w:t xml:space="preserve"> </w:t>
      </w:r>
      <w:r>
        <w:t>per</w:t>
      </w:r>
      <w:r>
        <w:rPr>
          <w:spacing w:val="-8"/>
        </w:rPr>
        <w:t xml:space="preserve"> </w:t>
      </w:r>
      <w:r>
        <w:t>equivalent</w:t>
      </w:r>
      <w:r>
        <w:rPr>
          <w:spacing w:val="-9"/>
        </w:rPr>
        <w:t xml:space="preserve"> </w:t>
      </w:r>
      <w:r>
        <w:t>connection</w:t>
      </w:r>
      <w:r>
        <w:rPr>
          <w:spacing w:val="-9"/>
        </w:rPr>
        <w:t xml:space="preserve"> </w:t>
      </w:r>
      <w:r>
        <w:t>using</w:t>
      </w:r>
      <w:r>
        <w:rPr>
          <w:spacing w:val="-9"/>
        </w:rPr>
        <w:t xml:space="preserve"> </w:t>
      </w:r>
      <w:r>
        <w:t>a</w:t>
      </w:r>
      <w:r>
        <w:rPr>
          <w:spacing w:val="-10"/>
        </w:rPr>
        <w:t xml:space="preserve"> </w:t>
      </w:r>
      <w:r>
        <w:t>range</w:t>
      </w:r>
      <w:r>
        <w:rPr>
          <w:spacing w:val="-10"/>
        </w:rPr>
        <w:t xml:space="preserve"> </w:t>
      </w:r>
      <w:r>
        <w:t>of</w:t>
      </w:r>
      <w:r>
        <w:rPr>
          <w:spacing w:val="-9"/>
        </w:rPr>
        <w:t xml:space="preserve"> </w:t>
      </w:r>
      <w:r>
        <w:t>time</w:t>
      </w:r>
      <w:r>
        <w:rPr>
          <w:spacing w:val="-11"/>
        </w:rPr>
        <w:t xml:space="preserve"> </w:t>
      </w:r>
      <w:r>
        <w:t>periods</w:t>
      </w:r>
      <w:r>
        <w:rPr>
          <w:spacing w:val="-10"/>
        </w:rPr>
        <w:t xml:space="preserve"> </w:t>
      </w:r>
      <w:r>
        <w:t>for</w:t>
      </w:r>
      <w:r>
        <w:rPr>
          <w:spacing w:val="-9"/>
        </w:rPr>
        <w:t xml:space="preserve"> </w:t>
      </w:r>
      <w:r>
        <w:t>historically</w:t>
      </w:r>
      <w:r>
        <w:rPr>
          <w:spacing w:val="-9"/>
        </w:rPr>
        <w:t xml:space="preserve"> </w:t>
      </w:r>
      <w:r>
        <w:t>averaged</w:t>
      </w:r>
      <w:r>
        <w:rPr>
          <w:spacing w:val="-9"/>
        </w:rPr>
        <w:t xml:space="preserve"> </w:t>
      </w:r>
      <w:r>
        <w:t>weather as well as the Mallee Climate Projections for Medium and High emissions scenarios.</w:t>
      </w:r>
    </w:p>
    <w:p w14:paraId="45D7A49C" w14:textId="77777777" w:rsidR="00141B97" w:rsidRDefault="00141B97">
      <w:pPr>
        <w:pStyle w:val="BodyText"/>
        <w:spacing w:before="1"/>
      </w:pPr>
    </w:p>
    <w:p w14:paraId="7CD2D0D5" w14:textId="77777777" w:rsidR="00141B97" w:rsidRDefault="00911D63">
      <w:pPr>
        <w:pStyle w:val="BodyText"/>
        <w:spacing w:line="259" w:lineRule="auto"/>
        <w:ind w:left="114" w:right="948" w:hanging="1"/>
        <w:jc w:val="both"/>
      </w:pPr>
      <w:r>
        <w:t>The</w:t>
      </w:r>
      <w:r>
        <w:rPr>
          <w:spacing w:val="-7"/>
        </w:rPr>
        <w:t xml:space="preserve"> </w:t>
      </w:r>
      <w:r>
        <w:t>Medium</w:t>
      </w:r>
      <w:r>
        <w:rPr>
          <w:spacing w:val="-4"/>
        </w:rPr>
        <w:t xml:space="preserve"> </w:t>
      </w:r>
      <w:r>
        <w:t>emissions</w:t>
      </w:r>
      <w:r>
        <w:rPr>
          <w:spacing w:val="-6"/>
        </w:rPr>
        <w:t xml:space="preserve"> </w:t>
      </w:r>
      <w:r>
        <w:t>scenario</w:t>
      </w:r>
      <w:r>
        <w:rPr>
          <w:spacing w:val="-6"/>
        </w:rPr>
        <w:t xml:space="preserve"> </w:t>
      </w:r>
      <w:r>
        <w:t>of</w:t>
      </w:r>
      <w:r>
        <w:rPr>
          <w:spacing w:val="-6"/>
        </w:rPr>
        <w:t xml:space="preserve"> </w:t>
      </w:r>
      <w:r>
        <w:t>480.6kL</w:t>
      </w:r>
      <w:r>
        <w:rPr>
          <w:spacing w:val="-6"/>
        </w:rPr>
        <w:t xml:space="preserve"> </w:t>
      </w:r>
      <w:r>
        <w:t>per</w:t>
      </w:r>
      <w:r>
        <w:rPr>
          <w:spacing w:val="-6"/>
        </w:rPr>
        <w:t xml:space="preserve"> </w:t>
      </w:r>
      <w:r>
        <w:t>equivalent</w:t>
      </w:r>
      <w:r>
        <w:rPr>
          <w:spacing w:val="-7"/>
        </w:rPr>
        <w:t xml:space="preserve"> </w:t>
      </w:r>
      <w:r>
        <w:t>connection</w:t>
      </w:r>
      <w:r>
        <w:rPr>
          <w:spacing w:val="-6"/>
        </w:rPr>
        <w:t xml:space="preserve"> </w:t>
      </w:r>
      <w:r>
        <w:t>was</w:t>
      </w:r>
      <w:r>
        <w:rPr>
          <w:spacing w:val="-6"/>
        </w:rPr>
        <w:t xml:space="preserve"> </w:t>
      </w:r>
      <w:r>
        <w:t>consistent</w:t>
      </w:r>
      <w:r>
        <w:rPr>
          <w:spacing w:val="-6"/>
        </w:rPr>
        <w:t xml:space="preserve"> </w:t>
      </w:r>
      <w:r>
        <w:t>with</w:t>
      </w:r>
      <w:r>
        <w:rPr>
          <w:spacing w:val="-7"/>
        </w:rPr>
        <w:t xml:space="preserve"> </w:t>
      </w:r>
      <w:r>
        <w:t>the</w:t>
      </w:r>
      <w:r>
        <w:rPr>
          <w:spacing w:val="-7"/>
        </w:rPr>
        <w:t xml:space="preserve"> </w:t>
      </w:r>
      <w:r>
        <w:t>average</w:t>
      </w:r>
      <w:r>
        <w:rPr>
          <w:spacing w:val="-6"/>
        </w:rPr>
        <w:t xml:space="preserve"> </w:t>
      </w:r>
      <w:r>
        <w:t>demand per connection estimated using a 50:50 weighting of 5‐ and 30‐year weather patterns (479.74). 480kL per equivalent connection was adopted as the basis for the forecast.</w:t>
      </w:r>
    </w:p>
    <w:p w14:paraId="3EA26541" w14:textId="77777777" w:rsidR="00141B97" w:rsidRDefault="00141B97">
      <w:pPr>
        <w:pStyle w:val="BodyText"/>
        <w:spacing w:before="2"/>
        <w:rPr>
          <w:sz w:val="25"/>
        </w:rPr>
      </w:pPr>
    </w:p>
    <w:tbl>
      <w:tblPr>
        <w:tblW w:w="0" w:type="auto"/>
        <w:tblCellSpacing w:w="9" w:type="dxa"/>
        <w:tblInd w:w="140" w:type="dxa"/>
        <w:tblLayout w:type="fixed"/>
        <w:tblCellMar>
          <w:left w:w="0" w:type="dxa"/>
          <w:right w:w="0" w:type="dxa"/>
        </w:tblCellMar>
        <w:tblLook w:val="01E0" w:firstRow="1" w:lastRow="1" w:firstColumn="1" w:lastColumn="1" w:noHBand="0" w:noVBand="0"/>
      </w:tblPr>
      <w:tblGrid>
        <w:gridCol w:w="3823"/>
        <w:gridCol w:w="2590"/>
        <w:gridCol w:w="3281"/>
      </w:tblGrid>
      <w:tr w:rsidR="00141B97" w14:paraId="40C77E6B" w14:textId="77777777">
        <w:trPr>
          <w:trHeight w:val="732"/>
          <w:tblCellSpacing w:w="9" w:type="dxa"/>
        </w:trPr>
        <w:tc>
          <w:tcPr>
            <w:tcW w:w="3796" w:type="dxa"/>
            <w:tcBorders>
              <w:top w:val="nil"/>
              <w:left w:val="nil"/>
            </w:tcBorders>
            <w:shd w:val="clear" w:color="auto" w:fill="0064A4"/>
          </w:tcPr>
          <w:p w14:paraId="77133B69" w14:textId="77777777" w:rsidR="00141B97" w:rsidRDefault="00911D63">
            <w:pPr>
              <w:pStyle w:val="TableParagraph"/>
              <w:spacing w:before="121"/>
              <w:ind w:left="1467" w:hanging="1098"/>
              <w:rPr>
                <w:sz w:val="20"/>
              </w:rPr>
            </w:pPr>
            <w:r>
              <w:rPr>
                <w:color w:val="FFFFFF"/>
                <w:sz w:val="20"/>
              </w:rPr>
              <w:t>Basis</w:t>
            </w:r>
            <w:r>
              <w:rPr>
                <w:color w:val="FFFFFF"/>
                <w:spacing w:val="-4"/>
                <w:sz w:val="20"/>
              </w:rPr>
              <w:t xml:space="preserve"> </w:t>
            </w:r>
            <w:r>
              <w:rPr>
                <w:color w:val="FFFFFF"/>
                <w:sz w:val="20"/>
              </w:rPr>
              <w:t>of</w:t>
            </w:r>
            <w:r>
              <w:rPr>
                <w:color w:val="FFFFFF"/>
                <w:spacing w:val="-3"/>
                <w:sz w:val="20"/>
              </w:rPr>
              <w:t xml:space="preserve"> </w:t>
            </w:r>
            <w:r>
              <w:rPr>
                <w:color w:val="FFFFFF"/>
                <w:sz w:val="20"/>
              </w:rPr>
              <w:t>weather</w:t>
            </w:r>
            <w:r>
              <w:rPr>
                <w:color w:val="FFFFFF"/>
                <w:spacing w:val="-4"/>
                <w:sz w:val="20"/>
              </w:rPr>
              <w:t xml:space="preserve"> </w:t>
            </w:r>
            <w:r>
              <w:rPr>
                <w:color w:val="FFFFFF"/>
                <w:sz w:val="20"/>
              </w:rPr>
              <w:t>prediction</w:t>
            </w:r>
            <w:r>
              <w:rPr>
                <w:color w:val="FFFFFF"/>
                <w:spacing w:val="-4"/>
                <w:sz w:val="20"/>
              </w:rPr>
              <w:t xml:space="preserve"> </w:t>
            </w:r>
            <w:r>
              <w:rPr>
                <w:color w:val="FFFFFF"/>
                <w:sz w:val="20"/>
              </w:rPr>
              <w:t>(period</w:t>
            </w:r>
            <w:r>
              <w:rPr>
                <w:color w:val="FFFFFF"/>
                <w:spacing w:val="-3"/>
                <w:sz w:val="20"/>
              </w:rPr>
              <w:t xml:space="preserve"> </w:t>
            </w:r>
            <w:r>
              <w:rPr>
                <w:color w:val="FFFFFF"/>
                <w:sz w:val="20"/>
              </w:rPr>
              <w:t xml:space="preserve">of </w:t>
            </w:r>
            <w:r>
              <w:rPr>
                <w:color w:val="FFFFFF"/>
                <w:spacing w:val="-2"/>
                <w:sz w:val="20"/>
              </w:rPr>
              <w:t>averaging)</w:t>
            </w:r>
          </w:p>
        </w:tc>
        <w:tc>
          <w:tcPr>
            <w:tcW w:w="2572" w:type="dxa"/>
            <w:tcBorders>
              <w:top w:val="nil"/>
            </w:tcBorders>
            <w:shd w:val="clear" w:color="auto" w:fill="0064A4"/>
          </w:tcPr>
          <w:p w14:paraId="37DB3251" w14:textId="77777777" w:rsidR="00141B97" w:rsidRDefault="00911D63">
            <w:pPr>
              <w:pStyle w:val="TableParagraph"/>
              <w:ind w:left="220" w:right="219"/>
              <w:jc w:val="center"/>
              <w:rPr>
                <w:sz w:val="20"/>
              </w:rPr>
            </w:pPr>
            <w:r>
              <w:rPr>
                <w:color w:val="FFFFFF"/>
                <w:sz w:val="20"/>
              </w:rPr>
              <w:t>Average annual demand per</w:t>
            </w:r>
            <w:r>
              <w:rPr>
                <w:color w:val="FFFFFF"/>
                <w:spacing w:val="-7"/>
                <w:sz w:val="20"/>
              </w:rPr>
              <w:t xml:space="preserve"> </w:t>
            </w:r>
            <w:r>
              <w:rPr>
                <w:color w:val="FFFFFF"/>
                <w:sz w:val="20"/>
              </w:rPr>
              <w:t>equivalent</w:t>
            </w:r>
            <w:r>
              <w:rPr>
                <w:color w:val="FFFFFF"/>
                <w:spacing w:val="-7"/>
                <w:sz w:val="20"/>
              </w:rPr>
              <w:t xml:space="preserve"> </w:t>
            </w:r>
            <w:r>
              <w:rPr>
                <w:color w:val="FFFFFF"/>
                <w:sz w:val="20"/>
              </w:rPr>
              <w:t>connection</w:t>
            </w:r>
          </w:p>
          <w:p w14:paraId="6F261AF9" w14:textId="77777777" w:rsidR="00141B97" w:rsidRDefault="00911D63">
            <w:pPr>
              <w:pStyle w:val="TableParagraph"/>
              <w:spacing w:line="225" w:lineRule="exact"/>
              <w:ind w:left="219" w:right="219"/>
              <w:jc w:val="center"/>
              <w:rPr>
                <w:sz w:val="20"/>
              </w:rPr>
            </w:pPr>
            <w:r>
              <w:rPr>
                <w:color w:val="FFFFFF"/>
                <w:spacing w:val="-4"/>
                <w:sz w:val="20"/>
              </w:rPr>
              <w:t>(kL)</w:t>
            </w:r>
          </w:p>
        </w:tc>
        <w:tc>
          <w:tcPr>
            <w:tcW w:w="3254" w:type="dxa"/>
            <w:tcBorders>
              <w:top w:val="nil"/>
              <w:right w:val="nil"/>
            </w:tcBorders>
            <w:shd w:val="clear" w:color="auto" w:fill="0064A4"/>
          </w:tcPr>
          <w:p w14:paraId="23E5C296" w14:textId="77777777" w:rsidR="00141B97" w:rsidRDefault="00911D63">
            <w:pPr>
              <w:pStyle w:val="TableParagraph"/>
              <w:ind w:left="97" w:right="87" w:hanging="3"/>
              <w:jc w:val="center"/>
              <w:rPr>
                <w:sz w:val="20"/>
              </w:rPr>
            </w:pPr>
            <w:r>
              <w:rPr>
                <w:color w:val="FFFFFF"/>
                <w:sz w:val="20"/>
              </w:rPr>
              <w:t>Average annual demand for weather period</w:t>
            </w:r>
            <w:r>
              <w:rPr>
                <w:color w:val="FFFFFF"/>
                <w:spacing w:val="-4"/>
                <w:sz w:val="20"/>
              </w:rPr>
              <w:t xml:space="preserve"> </w:t>
            </w:r>
            <w:r>
              <w:rPr>
                <w:color w:val="FFFFFF"/>
                <w:sz w:val="20"/>
              </w:rPr>
              <w:t>averaged</w:t>
            </w:r>
            <w:r>
              <w:rPr>
                <w:color w:val="FFFFFF"/>
                <w:spacing w:val="-3"/>
                <w:sz w:val="20"/>
              </w:rPr>
              <w:t xml:space="preserve"> </w:t>
            </w:r>
            <w:r>
              <w:rPr>
                <w:color w:val="FFFFFF"/>
                <w:sz w:val="20"/>
              </w:rPr>
              <w:t>with</w:t>
            </w:r>
            <w:r>
              <w:rPr>
                <w:color w:val="FFFFFF"/>
                <w:spacing w:val="-3"/>
                <w:sz w:val="20"/>
              </w:rPr>
              <w:t xml:space="preserve"> </w:t>
            </w:r>
            <w:r>
              <w:rPr>
                <w:color w:val="FFFFFF"/>
                <w:sz w:val="20"/>
              </w:rPr>
              <w:t>5</w:t>
            </w:r>
            <w:r>
              <w:rPr>
                <w:color w:val="FFFFFF"/>
                <w:spacing w:val="-4"/>
                <w:sz w:val="20"/>
              </w:rPr>
              <w:t xml:space="preserve"> </w:t>
            </w:r>
            <w:r>
              <w:rPr>
                <w:color w:val="FFFFFF"/>
                <w:sz w:val="20"/>
              </w:rPr>
              <w:t>years</w:t>
            </w:r>
            <w:r>
              <w:rPr>
                <w:color w:val="FFFFFF"/>
                <w:spacing w:val="-4"/>
                <w:sz w:val="20"/>
              </w:rPr>
              <w:t xml:space="preserve"> </w:t>
            </w:r>
            <w:r>
              <w:rPr>
                <w:color w:val="FFFFFF"/>
                <w:sz w:val="20"/>
              </w:rPr>
              <w:t>weather</w:t>
            </w:r>
          </w:p>
          <w:p w14:paraId="4066BF59" w14:textId="77777777" w:rsidR="00141B97" w:rsidRDefault="00911D63">
            <w:pPr>
              <w:pStyle w:val="TableParagraph"/>
              <w:spacing w:line="225" w:lineRule="exact"/>
              <w:ind w:left="1339" w:right="1331"/>
              <w:jc w:val="center"/>
              <w:rPr>
                <w:sz w:val="20"/>
              </w:rPr>
            </w:pPr>
            <w:r>
              <w:rPr>
                <w:color w:val="FFFFFF"/>
                <w:spacing w:val="-4"/>
                <w:sz w:val="20"/>
              </w:rPr>
              <w:t>(kL)</w:t>
            </w:r>
          </w:p>
        </w:tc>
      </w:tr>
      <w:tr w:rsidR="00141B97" w14:paraId="3EF12069" w14:textId="77777777">
        <w:trPr>
          <w:trHeight w:val="282"/>
          <w:tblCellSpacing w:w="9" w:type="dxa"/>
        </w:trPr>
        <w:tc>
          <w:tcPr>
            <w:tcW w:w="3796" w:type="dxa"/>
            <w:tcBorders>
              <w:left w:val="nil"/>
            </w:tcBorders>
            <w:shd w:val="clear" w:color="auto" w:fill="CCE2ED"/>
          </w:tcPr>
          <w:p w14:paraId="4049947B" w14:textId="77777777" w:rsidR="00141B97" w:rsidRDefault="00911D63">
            <w:pPr>
              <w:pStyle w:val="TableParagraph"/>
              <w:spacing w:before="18"/>
              <w:ind w:left="97"/>
              <w:rPr>
                <w:sz w:val="20"/>
              </w:rPr>
            </w:pPr>
            <w:r>
              <w:rPr>
                <w:color w:val="000100"/>
                <w:sz w:val="20"/>
              </w:rPr>
              <w:t>Victorian</w:t>
            </w:r>
            <w:r>
              <w:rPr>
                <w:color w:val="000100"/>
                <w:spacing w:val="-4"/>
                <w:sz w:val="20"/>
              </w:rPr>
              <w:t xml:space="preserve"> </w:t>
            </w:r>
            <w:r>
              <w:rPr>
                <w:color w:val="000100"/>
                <w:sz w:val="20"/>
              </w:rPr>
              <w:t>Climate</w:t>
            </w:r>
            <w:r>
              <w:rPr>
                <w:color w:val="000100"/>
                <w:spacing w:val="-3"/>
                <w:sz w:val="20"/>
              </w:rPr>
              <w:t xml:space="preserve"> </w:t>
            </w:r>
            <w:r>
              <w:rPr>
                <w:color w:val="000100"/>
                <w:sz w:val="20"/>
              </w:rPr>
              <w:t>Projections</w:t>
            </w:r>
            <w:r>
              <w:rPr>
                <w:color w:val="000100"/>
                <w:spacing w:val="-2"/>
                <w:sz w:val="20"/>
              </w:rPr>
              <w:t xml:space="preserve"> </w:t>
            </w:r>
            <w:r>
              <w:rPr>
                <w:color w:val="000100"/>
                <w:sz w:val="20"/>
              </w:rPr>
              <w:t>‐</w:t>
            </w:r>
            <w:r>
              <w:rPr>
                <w:color w:val="000100"/>
                <w:spacing w:val="-4"/>
                <w:sz w:val="20"/>
              </w:rPr>
              <w:t xml:space="preserve"> </w:t>
            </w:r>
            <w:r>
              <w:rPr>
                <w:color w:val="000100"/>
                <w:spacing w:val="-2"/>
                <w:sz w:val="20"/>
              </w:rPr>
              <w:t>Medium</w:t>
            </w:r>
          </w:p>
        </w:tc>
        <w:tc>
          <w:tcPr>
            <w:tcW w:w="2572" w:type="dxa"/>
            <w:shd w:val="clear" w:color="auto" w:fill="CCE2ED"/>
          </w:tcPr>
          <w:p w14:paraId="61D202B5" w14:textId="77777777" w:rsidR="00141B97" w:rsidRDefault="00911D63">
            <w:pPr>
              <w:pStyle w:val="TableParagraph"/>
              <w:spacing w:before="18"/>
              <w:ind w:left="219" w:right="219"/>
              <w:jc w:val="center"/>
              <w:rPr>
                <w:sz w:val="20"/>
              </w:rPr>
            </w:pPr>
            <w:r>
              <w:rPr>
                <w:color w:val="000100"/>
                <w:spacing w:val="-2"/>
                <w:sz w:val="20"/>
              </w:rPr>
              <w:t>480.6</w:t>
            </w:r>
          </w:p>
        </w:tc>
        <w:tc>
          <w:tcPr>
            <w:tcW w:w="3254" w:type="dxa"/>
            <w:tcBorders>
              <w:right w:val="nil"/>
            </w:tcBorders>
            <w:shd w:val="clear" w:color="auto" w:fill="CCE2ED"/>
          </w:tcPr>
          <w:p w14:paraId="50BEB34B" w14:textId="77777777" w:rsidR="00141B97" w:rsidRDefault="00141B97">
            <w:pPr>
              <w:pStyle w:val="TableParagraph"/>
              <w:rPr>
                <w:rFonts w:ascii="Times New Roman"/>
                <w:sz w:val="20"/>
              </w:rPr>
            </w:pPr>
          </w:p>
        </w:tc>
      </w:tr>
      <w:tr w:rsidR="00141B97" w14:paraId="3182CD2C" w14:textId="77777777">
        <w:trPr>
          <w:trHeight w:val="283"/>
          <w:tblCellSpacing w:w="9" w:type="dxa"/>
        </w:trPr>
        <w:tc>
          <w:tcPr>
            <w:tcW w:w="3796" w:type="dxa"/>
            <w:tcBorders>
              <w:left w:val="nil"/>
            </w:tcBorders>
            <w:shd w:val="clear" w:color="auto" w:fill="CCE2ED"/>
          </w:tcPr>
          <w:p w14:paraId="43751FA8" w14:textId="77777777" w:rsidR="00141B97" w:rsidRDefault="00911D63">
            <w:pPr>
              <w:pStyle w:val="TableParagraph"/>
              <w:spacing w:before="19"/>
              <w:ind w:left="97"/>
              <w:rPr>
                <w:sz w:val="20"/>
              </w:rPr>
            </w:pPr>
            <w:r>
              <w:rPr>
                <w:color w:val="000100"/>
                <w:sz w:val="20"/>
              </w:rPr>
              <w:t>Victorian</w:t>
            </w:r>
            <w:r>
              <w:rPr>
                <w:color w:val="000100"/>
                <w:spacing w:val="-4"/>
                <w:sz w:val="20"/>
              </w:rPr>
              <w:t xml:space="preserve"> </w:t>
            </w:r>
            <w:r>
              <w:rPr>
                <w:color w:val="000100"/>
                <w:sz w:val="20"/>
              </w:rPr>
              <w:t>Climate</w:t>
            </w:r>
            <w:r>
              <w:rPr>
                <w:color w:val="000100"/>
                <w:spacing w:val="-3"/>
                <w:sz w:val="20"/>
              </w:rPr>
              <w:t xml:space="preserve"> </w:t>
            </w:r>
            <w:r>
              <w:rPr>
                <w:color w:val="000100"/>
                <w:sz w:val="20"/>
              </w:rPr>
              <w:t>Projections</w:t>
            </w:r>
            <w:r>
              <w:rPr>
                <w:color w:val="000100"/>
                <w:spacing w:val="-2"/>
                <w:sz w:val="20"/>
              </w:rPr>
              <w:t xml:space="preserve"> </w:t>
            </w:r>
            <w:r>
              <w:rPr>
                <w:color w:val="000100"/>
                <w:sz w:val="20"/>
              </w:rPr>
              <w:t>‐</w:t>
            </w:r>
            <w:r>
              <w:rPr>
                <w:color w:val="000100"/>
                <w:spacing w:val="-4"/>
                <w:sz w:val="20"/>
              </w:rPr>
              <w:t xml:space="preserve"> High</w:t>
            </w:r>
          </w:p>
        </w:tc>
        <w:tc>
          <w:tcPr>
            <w:tcW w:w="2572" w:type="dxa"/>
            <w:shd w:val="clear" w:color="auto" w:fill="CCE2ED"/>
          </w:tcPr>
          <w:p w14:paraId="7F4C3CC1" w14:textId="77777777" w:rsidR="00141B97" w:rsidRDefault="00911D63">
            <w:pPr>
              <w:pStyle w:val="TableParagraph"/>
              <w:spacing w:before="19"/>
              <w:ind w:left="219" w:right="219"/>
              <w:jc w:val="center"/>
              <w:rPr>
                <w:sz w:val="20"/>
              </w:rPr>
            </w:pPr>
            <w:r>
              <w:rPr>
                <w:color w:val="000100"/>
                <w:spacing w:val="-2"/>
                <w:sz w:val="20"/>
              </w:rPr>
              <w:t>486.7</w:t>
            </w:r>
          </w:p>
        </w:tc>
        <w:tc>
          <w:tcPr>
            <w:tcW w:w="3254" w:type="dxa"/>
            <w:tcBorders>
              <w:right w:val="nil"/>
            </w:tcBorders>
            <w:shd w:val="clear" w:color="auto" w:fill="CCE2ED"/>
          </w:tcPr>
          <w:p w14:paraId="2AC3B851" w14:textId="77777777" w:rsidR="00141B97" w:rsidRDefault="00141B97">
            <w:pPr>
              <w:pStyle w:val="TableParagraph"/>
              <w:rPr>
                <w:rFonts w:ascii="Times New Roman"/>
                <w:sz w:val="20"/>
              </w:rPr>
            </w:pPr>
          </w:p>
        </w:tc>
      </w:tr>
      <w:tr w:rsidR="00141B97" w14:paraId="0E98025E" w14:textId="77777777">
        <w:trPr>
          <w:trHeight w:val="282"/>
          <w:tblCellSpacing w:w="9" w:type="dxa"/>
        </w:trPr>
        <w:tc>
          <w:tcPr>
            <w:tcW w:w="3796" w:type="dxa"/>
            <w:tcBorders>
              <w:left w:val="nil"/>
            </w:tcBorders>
            <w:shd w:val="clear" w:color="auto" w:fill="CCE2ED"/>
          </w:tcPr>
          <w:p w14:paraId="0205F159" w14:textId="77777777" w:rsidR="00141B97" w:rsidRDefault="00911D63">
            <w:pPr>
              <w:pStyle w:val="TableParagraph"/>
              <w:spacing w:before="18"/>
              <w:ind w:left="97"/>
              <w:rPr>
                <w:sz w:val="20"/>
              </w:rPr>
            </w:pPr>
            <w:r>
              <w:rPr>
                <w:color w:val="000100"/>
                <w:sz w:val="20"/>
              </w:rPr>
              <w:t>5</w:t>
            </w:r>
            <w:r>
              <w:rPr>
                <w:color w:val="000100"/>
                <w:spacing w:val="-3"/>
                <w:sz w:val="20"/>
              </w:rPr>
              <w:t xml:space="preserve"> </w:t>
            </w:r>
            <w:r>
              <w:rPr>
                <w:color w:val="000100"/>
                <w:sz w:val="20"/>
              </w:rPr>
              <w:t>years</w:t>
            </w:r>
            <w:r>
              <w:rPr>
                <w:color w:val="000100"/>
                <w:spacing w:val="-2"/>
                <w:sz w:val="20"/>
              </w:rPr>
              <w:t xml:space="preserve"> </w:t>
            </w:r>
            <w:r>
              <w:rPr>
                <w:color w:val="000100"/>
                <w:sz w:val="20"/>
              </w:rPr>
              <w:t>historic</w:t>
            </w:r>
            <w:r>
              <w:rPr>
                <w:color w:val="000100"/>
                <w:spacing w:val="-4"/>
                <w:sz w:val="20"/>
              </w:rPr>
              <w:t xml:space="preserve"> </w:t>
            </w:r>
            <w:r>
              <w:rPr>
                <w:color w:val="000100"/>
                <w:spacing w:val="-2"/>
                <w:sz w:val="20"/>
              </w:rPr>
              <w:t>weather</w:t>
            </w:r>
          </w:p>
        </w:tc>
        <w:tc>
          <w:tcPr>
            <w:tcW w:w="2572" w:type="dxa"/>
            <w:shd w:val="clear" w:color="auto" w:fill="CCE2ED"/>
          </w:tcPr>
          <w:p w14:paraId="39088713" w14:textId="77777777" w:rsidR="00141B97" w:rsidRDefault="00911D63">
            <w:pPr>
              <w:pStyle w:val="TableParagraph"/>
              <w:spacing w:before="18"/>
              <w:ind w:left="219" w:right="219"/>
              <w:jc w:val="center"/>
              <w:rPr>
                <w:sz w:val="20"/>
              </w:rPr>
            </w:pPr>
            <w:r>
              <w:rPr>
                <w:color w:val="000100"/>
                <w:spacing w:val="-2"/>
                <w:sz w:val="20"/>
              </w:rPr>
              <w:t>496.3</w:t>
            </w:r>
          </w:p>
        </w:tc>
        <w:tc>
          <w:tcPr>
            <w:tcW w:w="3254" w:type="dxa"/>
            <w:tcBorders>
              <w:right w:val="nil"/>
            </w:tcBorders>
            <w:shd w:val="clear" w:color="auto" w:fill="CCE2ED"/>
          </w:tcPr>
          <w:p w14:paraId="1732B009" w14:textId="77777777" w:rsidR="00141B97" w:rsidRDefault="00141B97">
            <w:pPr>
              <w:pStyle w:val="TableParagraph"/>
              <w:rPr>
                <w:rFonts w:ascii="Times New Roman"/>
                <w:sz w:val="20"/>
              </w:rPr>
            </w:pPr>
          </w:p>
        </w:tc>
      </w:tr>
      <w:tr w:rsidR="00141B97" w14:paraId="0199984F" w14:textId="77777777">
        <w:trPr>
          <w:trHeight w:val="283"/>
          <w:tblCellSpacing w:w="9" w:type="dxa"/>
        </w:trPr>
        <w:tc>
          <w:tcPr>
            <w:tcW w:w="3796" w:type="dxa"/>
            <w:tcBorders>
              <w:left w:val="nil"/>
            </w:tcBorders>
            <w:shd w:val="clear" w:color="auto" w:fill="CCE2ED"/>
          </w:tcPr>
          <w:p w14:paraId="789F935B" w14:textId="77777777" w:rsidR="00141B97" w:rsidRDefault="00911D63">
            <w:pPr>
              <w:pStyle w:val="TableParagraph"/>
              <w:spacing w:before="19"/>
              <w:ind w:left="97"/>
              <w:rPr>
                <w:sz w:val="20"/>
              </w:rPr>
            </w:pPr>
            <w:r>
              <w:rPr>
                <w:color w:val="000100"/>
                <w:sz w:val="20"/>
              </w:rPr>
              <w:t>10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shd w:val="clear" w:color="auto" w:fill="CCE2ED"/>
          </w:tcPr>
          <w:p w14:paraId="1CE507A4" w14:textId="77777777" w:rsidR="00141B97" w:rsidRDefault="00911D63">
            <w:pPr>
              <w:pStyle w:val="TableParagraph"/>
              <w:spacing w:before="19"/>
              <w:ind w:left="219" w:right="219"/>
              <w:jc w:val="center"/>
              <w:rPr>
                <w:sz w:val="20"/>
              </w:rPr>
            </w:pPr>
            <w:r>
              <w:rPr>
                <w:color w:val="000100"/>
                <w:spacing w:val="-2"/>
                <w:sz w:val="20"/>
              </w:rPr>
              <w:t>493.4</w:t>
            </w:r>
          </w:p>
        </w:tc>
        <w:tc>
          <w:tcPr>
            <w:tcW w:w="3254" w:type="dxa"/>
            <w:tcBorders>
              <w:right w:val="nil"/>
            </w:tcBorders>
            <w:shd w:val="clear" w:color="auto" w:fill="CCE2ED"/>
          </w:tcPr>
          <w:p w14:paraId="1962E28A" w14:textId="77777777" w:rsidR="00141B97" w:rsidRDefault="00141B97">
            <w:pPr>
              <w:pStyle w:val="TableParagraph"/>
              <w:rPr>
                <w:rFonts w:ascii="Times New Roman"/>
                <w:sz w:val="20"/>
              </w:rPr>
            </w:pPr>
          </w:p>
        </w:tc>
      </w:tr>
      <w:tr w:rsidR="00141B97" w14:paraId="7D3ADF77" w14:textId="77777777">
        <w:trPr>
          <w:trHeight w:val="282"/>
          <w:tblCellSpacing w:w="9" w:type="dxa"/>
        </w:trPr>
        <w:tc>
          <w:tcPr>
            <w:tcW w:w="3796" w:type="dxa"/>
            <w:tcBorders>
              <w:left w:val="nil"/>
            </w:tcBorders>
            <w:shd w:val="clear" w:color="auto" w:fill="CCE2ED"/>
          </w:tcPr>
          <w:p w14:paraId="7C74CFCF" w14:textId="77777777" w:rsidR="00141B97" w:rsidRDefault="00911D63">
            <w:pPr>
              <w:pStyle w:val="TableParagraph"/>
              <w:spacing w:before="18"/>
              <w:ind w:left="97"/>
              <w:rPr>
                <w:sz w:val="20"/>
              </w:rPr>
            </w:pPr>
            <w:r>
              <w:rPr>
                <w:color w:val="000100"/>
                <w:sz w:val="20"/>
              </w:rPr>
              <w:t>20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shd w:val="clear" w:color="auto" w:fill="CCE2ED"/>
          </w:tcPr>
          <w:p w14:paraId="2855327C" w14:textId="77777777" w:rsidR="00141B97" w:rsidRDefault="00911D63">
            <w:pPr>
              <w:pStyle w:val="TableParagraph"/>
              <w:spacing w:before="9"/>
              <w:ind w:left="219" w:right="219"/>
              <w:jc w:val="center"/>
              <w:rPr>
                <w:sz w:val="20"/>
              </w:rPr>
            </w:pPr>
            <w:r>
              <w:rPr>
                <w:color w:val="000100"/>
                <w:spacing w:val="-2"/>
                <w:sz w:val="20"/>
              </w:rPr>
              <w:t>478.6</w:t>
            </w:r>
          </w:p>
        </w:tc>
        <w:tc>
          <w:tcPr>
            <w:tcW w:w="3254" w:type="dxa"/>
            <w:tcBorders>
              <w:right w:val="nil"/>
            </w:tcBorders>
            <w:shd w:val="clear" w:color="auto" w:fill="CCE2ED"/>
          </w:tcPr>
          <w:p w14:paraId="677E8ED8" w14:textId="77777777" w:rsidR="00141B97" w:rsidRDefault="00911D63">
            <w:pPr>
              <w:pStyle w:val="TableParagraph"/>
              <w:spacing w:before="18"/>
              <w:ind w:left="1339" w:right="1331"/>
              <w:jc w:val="center"/>
              <w:rPr>
                <w:sz w:val="20"/>
              </w:rPr>
            </w:pPr>
            <w:r>
              <w:rPr>
                <w:color w:val="000100"/>
                <w:spacing w:val="-2"/>
                <w:sz w:val="20"/>
              </w:rPr>
              <w:t>487.43</w:t>
            </w:r>
          </w:p>
        </w:tc>
      </w:tr>
      <w:tr w:rsidR="00141B97" w14:paraId="3BDF9796" w14:textId="77777777">
        <w:trPr>
          <w:trHeight w:val="283"/>
          <w:tblCellSpacing w:w="9" w:type="dxa"/>
        </w:trPr>
        <w:tc>
          <w:tcPr>
            <w:tcW w:w="3796" w:type="dxa"/>
            <w:tcBorders>
              <w:left w:val="nil"/>
            </w:tcBorders>
            <w:shd w:val="clear" w:color="auto" w:fill="CCE2ED"/>
          </w:tcPr>
          <w:p w14:paraId="569BC0C1" w14:textId="77777777" w:rsidR="00141B97" w:rsidRDefault="00911D63">
            <w:pPr>
              <w:pStyle w:val="TableParagraph"/>
              <w:spacing w:before="19"/>
              <w:ind w:left="97"/>
              <w:rPr>
                <w:sz w:val="20"/>
              </w:rPr>
            </w:pPr>
            <w:r>
              <w:rPr>
                <w:color w:val="000100"/>
                <w:sz w:val="20"/>
              </w:rPr>
              <w:t>30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shd w:val="clear" w:color="auto" w:fill="CCE2ED"/>
          </w:tcPr>
          <w:p w14:paraId="303E94F0" w14:textId="77777777" w:rsidR="00141B97" w:rsidRDefault="00911D63">
            <w:pPr>
              <w:pStyle w:val="TableParagraph"/>
              <w:spacing w:before="10"/>
              <w:ind w:left="219" w:right="219"/>
              <w:jc w:val="center"/>
              <w:rPr>
                <w:sz w:val="20"/>
              </w:rPr>
            </w:pPr>
            <w:r>
              <w:rPr>
                <w:color w:val="000100"/>
                <w:spacing w:val="-2"/>
                <w:sz w:val="20"/>
              </w:rPr>
              <w:t>463.2</w:t>
            </w:r>
          </w:p>
        </w:tc>
        <w:tc>
          <w:tcPr>
            <w:tcW w:w="3254" w:type="dxa"/>
            <w:tcBorders>
              <w:right w:val="nil"/>
            </w:tcBorders>
            <w:shd w:val="clear" w:color="auto" w:fill="CCE2ED"/>
          </w:tcPr>
          <w:p w14:paraId="6BE49972" w14:textId="77777777" w:rsidR="00141B97" w:rsidRDefault="00911D63">
            <w:pPr>
              <w:pStyle w:val="TableParagraph"/>
              <w:spacing w:before="19"/>
              <w:ind w:left="1339" w:right="1331"/>
              <w:jc w:val="center"/>
              <w:rPr>
                <w:sz w:val="20"/>
              </w:rPr>
            </w:pPr>
            <w:r>
              <w:rPr>
                <w:color w:val="000100"/>
                <w:spacing w:val="-2"/>
                <w:sz w:val="20"/>
              </w:rPr>
              <w:t>479.74</w:t>
            </w:r>
          </w:p>
        </w:tc>
      </w:tr>
      <w:tr w:rsidR="00141B97" w14:paraId="620ACC3E" w14:textId="77777777">
        <w:trPr>
          <w:trHeight w:val="282"/>
          <w:tblCellSpacing w:w="9" w:type="dxa"/>
        </w:trPr>
        <w:tc>
          <w:tcPr>
            <w:tcW w:w="3796" w:type="dxa"/>
            <w:tcBorders>
              <w:left w:val="nil"/>
            </w:tcBorders>
            <w:shd w:val="clear" w:color="auto" w:fill="CCE2ED"/>
          </w:tcPr>
          <w:p w14:paraId="0BC721FF" w14:textId="77777777" w:rsidR="00141B97" w:rsidRDefault="00911D63">
            <w:pPr>
              <w:pStyle w:val="TableParagraph"/>
              <w:spacing w:before="18"/>
              <w:ind w:left="97"/>
              <w:rPr>
                <w:sz w:val="20"/>
              </w:rPr>
            </w:pPr>
            <w:r>
              <w:rPr>
                <w:color w:val="000100"/>
                <w:sz w:val="20"/>
              </w:rPr>
              <w:t>40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shd w:val="clear" w:color="auto" w:fill="CCE2ED"/>
          </w:tcPr>
          <w:p w14:paraId="716FF891" w14:textId="77777777" w:rsidR="00141B97" w:rsidRDefault="00911D63">
            <w:pPr>
              <w:pStyle w:val="TableParagraph"/>
              <w:spacing w:before="18"/>
              <w:ind w:left="219" w:right="219"/>
              <w:jc w:val="center"/>
              <w:rPr>
                <w:sz w:val="20"/>
              </w:rPr>
            </w:pPr>
            <w:r>
              <w:rPr>
                <w:color w:val="000100"/>
                <w:spacing w:val="-2"/>
                <w:sz w:val="20"/>
              </w:rPr>
              <w:t>459.3</w:t>
            </w:r>
          </w:p>
        </w:tc>
        <w:tc>
          <w:tcPr>
            <w:tcW w:w="3254" w:type="dxa"/>
            <w:tcBorders>
              <w:right w:val="nil"/>
            </w:tcBorders>
            <w:shd w:val="clear" w:color="auto" w:fill="CCE2ED"/>
          </w:tcPr>
          <w:p w14:paraId="6F9FD712" w14:textId="77777777" w:rsidR="00141B97" w:rsidRDefault="00141B97">
            <w:pPr>
              <w:pStyle w:val="TableParagraph"/>
              <w:rPr>
                <w:rFonts w:ascii="Times New Roman"/>
                <w:sz w:val="20"/>
              </w:rPr>
            </w:pPr>
          </w:p>
        </w:tc>
      </w:tr>
      <w:tr w:rsidR="00141B97" w14:paraId="696935A3" w14:textId="77777777">
        <w:trPr>
          <w:trHeight w:val="283"/>
          <w:tblCellSpacing w:w="9" w:type="dxa"/>
        </w:trPr>
        <w:tc>
          <w:tcPr>
            <w:tcW w:w="3796" w:type="dxa"/>
            <w:tcBorders>
              <w:left w:val="nil"/>
            </w:tcBorders>
            <w:shd w:val="clear" w:color="auto" w:fill="CCE2ED"/>
          </w:tcPr>
          <w:p w14:paraId="534A465B" w14:textId="77777777" w:rsidR="00141B97" w:rsidRDefault="00911D63">
            <w:pPr>
              <w:pStyle w:val="TableParagraph"/>
              <w:spacing w:before="19"/>
              <w:ind w:left="97"/>
              <w:rPr>
                <w:sz w:val="20"/>
              </w:rPr>
            </w:pPr>
            <w:r>
              <w:rPr>
                <w:color w:val="000100"/>
                <w:sz w:val="20"/>
              </w:rPr>
              <w:t>50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shd w:val="clear" w:color="auto" w:fill="CCE2ED"/>
          </w:tcPr>
          <w:p w14:paraId="6379F71C" w14:textId="77777777" w:rsidR="00141B97" w:rsidRDefault="00911D63">
            <w:pPr>
              <w:pStyle w:val="TableParagraph"/>
              <w:spacing w:before="19"/>
              <w:ind w:left="219" w:right="219"/>
              <w:jc w:val="center"/>
              <w:rPr>
                <w:sz w:val="20"/>
              </w:rPr>
            </w:pPr>
            <w:r>
              <w:rPr>
                <w:color w:val="000100"/>
                <w:spacing w:val="-2"/>
                <w:sz w:val="20"/>
              </w:rPr>
              <w:t>453.3</w:t>
            </w:r>
          </w:p>
        </w:tc>
        <w:tc>
          <w:tcPr>
            <w:tcW w:w="3254" w:type="dxa"/>
            <w:tcBorders>
              <w:right w:val="nil"/>
            </w:tcBorders>
            <w:shd w:val="clear" w:color="auto" w:fill="CCE2ED"/>
          </w:tcPr>
          <w:p w14:paraId="5909D625" w14:textId="77777777" w:rsidR="00141B97" w:rsidRDefault="00141B97">
            <w:pPr>
              <w:pStyle w:val="TableParagraph"/>
              <w:rPr>
                <w:rFonts w:ascii="Times New Roman"/>
                <w:sz w:val="20"/>
              </w:rPr>
            </w:pPr>
          </w:p>
        </w:tc>
      </w:tr>
      <w:tr w:rsidR="00141B97" w14:paraId="214A31F6" w14:textId="77777777">
        <w:trPr>
          <w:trHeight w:val="282"/>
          <w:tblCellSpacing w:w="9" w:type="dxa"/>
        </w:trPr>
        <w:tc>
          <w:tcPr>
            <w:tcW w:w="3796" w:type="dxa"/>
            <w:tcBorders>
              <w:left w:val="nil"/>
            </w:tcBorders>
            <w:shd w:val="clear" w:color="auto" w:fill="CCE2ED"/>
          </w:tcPr>
          <w:p w14:paraId="043B9326" w14:textId="77777777" w:rsidR="00141B97" w:rsidRDefault="00911D63">
            <w:pPr>
              <w:pStyle w:val="TableParagraph"/>
              <w:spacing w:before="18"/>
              <w:ind w:left="97"/>
              <w:rPr>
                <w:sz w:val="20"/>
              </w:rPr>
            </w:pPr>
            <w:r>
              <w:rPr>
                <w:color w:val="000100"/>
                <w:sz w:val="20"/>
              </w:rPr>
              <w:t>60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shd w:val="clear" w:color="auto" w:fill="CCE2ED"/>
          </w:tcPr>
          <w:p w14:paraId="7C88BF9D" w14:textId="77777777" w:rsidR="00141B97" w:rsidRDefault="00911D63">
            <w:pPr>
              <w:pStyle w:val="TableParagraph"/>
              <w:spacing w:before="18"/>
              <w:ind w:left="219" w:right="219"/>
              <w:jc w:val="center"/>
              <w:rPr>
                <w:sz w:val="20"/>
              </w:rPr>
            </w:pPr>
            <w:r>
              <w:rPr>
                <w:color w:val="000100"/>
                <w:spacing w:val="-2"/>
                <w:sz w:val="20"/>
              </w:rPr>
              <w:t>450.9</w:t>
            </w:r>
          </w:p>
        </w:tc>
        <w:tc>
          <w:tcPr>
            <w:tcW w:w="3254" w:type="dxa"/>
            <w:tcBorders>
              <w:right w:val="nil"/>
            </w:tcBorders>
            <w:shd w:val="clear" w:color="auto" w:fill="CCE2ED"/>
          </w:tcPr>
          <w:p w14:paraId="252BEDB0" w14:textId="77777777" w:rsidR="00141B97" w:rsidRDefault="00141B97">
            <w:pPr>
              <w:pStyle w:val="TableParagraph"/>
              <w:rPr>
                <w:rFonts w:ascii="Times New Roman"/>
                <w:sz w:val="20"/>
              </w:rPr>
            </w:pPr>
          </w:p>
        </w:tc>
      </w:tr>
      <w:tr w:rsidR="00141B97" w14:paraId="427F788B" w14:textId="77777777">
        <w:trPr>
          <w:trHeight w:val="283"/>
          <w:tblCellSpacing w:w="9" w:type="dxa"/>
        </w:trPr>
        <w:tc>
          <w:tcPr>
            <w:tcW w:w="3796" w:type="dxa"/>
            <w:tcBorders>
              <w:left w:val="nil"/>
              <w:bottom w:val="nil"/>
            </w:tcBorders>
            <w:shd w:val="clear" w:color="auto" w:fill="CCE2ED"/>
          </w:tcPr>
          <w:p w14:paraId="366B669C" w14:textId="77777777" w:rsidR="00141B97" w:rsidRDefault="00911D63">
            <w:pPr>
              <w:pStyle w:val="TableParagraph"/>
              <w:spacing w:before="19"/>
              <w:ind w:left="97"/>
              <w:rPr>
                <w:sz w:val="20"/>
              </w:rPr>
            </w:pPr>
            <w:r>
              <w:rPr>
                <w:color w:val="000100"/>
                <w:sz w:val="20"/>
              </w:rPr>
              <w:t>70</w:t>
            </w:r>
            <w:r>
              <w:rPr>
                <w:color w:val="000100"/>
                <w:spacing w:val="-3"/>
                <w:sz w:val="20"/>
              </w:rPr>
              <w:t xml:space="preserve"> </w:t>
            </w:r>
            <w:r>
              <w:rPr>
                <w:color w:val="000100"/>
                <w:sz w:val="20"/>
              </w:rPr>
              <w:t>years</w:t>
            </w:r>
            <w:r>
              <w:rPr>
                <w:color w:val="000100"/>
                <w:spacing w:val="-3"/>
                <w:sz w:val="20"/>
              </w:rPr>
              <w:t xml:space="preserve"> </w:t>
            </w:r>
            <w:r>
              <w:rPr>
                <w:color w:val="000100"/>
                <w:sz w:val="20"/>
              </w:rPr>
              <w:t>historic</w:t>
            </w:r>
            <w:r>
              <w:rPr>
                <w:color w:val="000100"/>
                <w:spacing w:val="-3"/>
                <w:sz w:val="20"/>
              </w:rPr>
              <w:t xml:space="preserve"> </w:t>
            </w:r>
            <w:r>
              <w:rPr>
                <w:color w:val="000100"/>
                <w:spacing w:val="-2"/>
                <w:sz w:val="20"/>
              </w:rPr>
              <w:t>weather</w:t>
            </w:r>
          </w:p>
        </w:tc>
        <w:tc>
          <w:tcPr>
            <w:tcW w:w="2572" w:type="dxa"/>
            <w:tcBorders>
              <w:bottom w:val="nil"/>
            </w:tcBorders>
            <w:shd w:val="clear" w:color="auto" w:fill="CCE2ED"/>
          </w:tcPr>
          <w:p w14:paraId="514C4A02" w14:textId="77777777" w:rsidR="00141B97" w:rsidRDefault="00911D63">
            <w:pPr>
              <w:pStyle w:val="TableParagraph"/>
              <w:spacing w:before="19"/>
              <w:ind w:left="219" w:right="219"/>
              <w:jc w:val="center"/>
              <w:rPr>
                <w:sz w:val="20"/>
              </w:rPr>
            </w:pPr>
            <w:r>
              <w:rPr>
                <w:color w:val="000100"/>
                <w:spacing w:val="-2"/>
                <w:sz w:val="20"/>
              </w:rPr>
              <w:t>447.9</w:t>
            </w:r>
          </w:p>
        </w:tc>
        <w:tc>
          <w:tcPr>
            <w:tcW w:w="3254" w:type="dxa"/>
            <w:tcBorders>
              <w:bottom w:val="nil"/>
              <w:right w:val="nil"/>
            </w:tcBorders>
            <w:shd w:val="clear" w:color="auto" w:fill="CCE2ED"/>
          </w:tcPr>
          <w:p w14:paraId="76C018AC" w14:textId="77777777" w:rsidR="00141B97" w:rsidRDefault="00911D63">
            <w:pPr>
              <w:pStyle w:val="TableParagraph"/>
              <w:spacing w:before="19"/>
              <w:ind w:left="1339" w:right="1331"/>
              <w:jc w:val="center"/>
              <w:rPr>
                <w:sz w:val="20"/>
              </w:rPr>
            </w:pPr>
            <w:r>
              <w:rPr>
                <w:color w:val="000100"/>
                <w:spacing w:val="-2"/>
                <w:sz w:val="20"/>
              </w:rPr>
              <w:t>472.12</w:t>
            </w:r>
          </w:p>
        </w:tc>
      </w:tr>
    </w:tbl>
    <w:p w14:paraId="2F40424A" w14:textId="77777777" w:rsidR="00141B97" w:rsidRDefault="00911D63">
      <w:pPr>
        <w:spacing w:before="25"/>
        <w:ind w:left="150"/>
        <w:jc w:val="both"/>
        <w:rPr>
          <w:sz w:val="16"/>
        </w:rPr>
      </w:pPr>
      <w:r>
        <w:rPr>
          <w:sz w:val="16"/>
        </w:rPr>
        <w:t>Table</w:t>
      </w:r>
      <w:r>
        <w:rPr>
          <w:spacing w:val="-4"/>
          <w:sz w:val="16"/>
        </w:rPr>
        <w:t xml:space="preserve"> </w:t>
      </w:r>
      <w:r>
        <w:rPr>
          <w:sz w:val="16"/>
        </w:rPr>
        <w:t>B20:</w:t>
      </w:r>
      <w:r>
        <w:rPr>
          <w:spacing w:val="-4"/>
          <w:sz w:val="16"/>
        </w:rPr>
        <w:t xml:space="preserve"> </w:t>
      </w:r>
      <w:r>
        <w:rPr>
          <w:sz w:val="16"/>
        </w:rPr>
        <w:t>Forecast</w:t>
      </w:r>
      <w:r>
        <w:rPr>
          <w:spacing w:val="-5"/>
          <w:sz w:val="16"/>
        </w:rPr>
        <w:t xml:space="preserve"> </w:t>
      </w:r>
      <w:r>
        <w:rPr>
          <w:sz w:val="16"/>
        </w:rPr>
        <w:t>Annual</w:t>
      </w:r>
      <w:r>
        <w:rPr>
          <w:spacing w:val="-5"/>
          <w:sz w:val="16"/>
        </w:rPr>
        <w:t xml:space="preserve"> </w:t>
      </w:r>
      <w:r>
        <w:rPr>
          <w:sz w:val="16"/>
        </w:rPr>
        <w:t>Demand</w:t>
      </w:r>
      <w:r>
        <w:rPr>
          <w:spacing w:val="-5"/>
          <w:sz w:val="16"/>
        </w:rPr>
        <w:t xml:space="preserve"> </w:t>
      </w:r>
      <w:r>
        <w:rPr>
          <w:sz w:val="16"/>
        </w:rPr>
        <w:t>per</w:t>
      </w:r>
      <w:r>
        <w:rPr>
          <w:spacing w:val="-4"/>
          <w:sz w:val="16"/>
        </w:rPr>
        <w:t xml:space="preserve"> </w:t>
      </w:r>
      <w:r>
        <w:rPr>
          <w:sz w:val="16"/>
        </w:rPr>
        <w:t>Equivalent</w:t>
      </w:r>
      <w:r>
        <w:rPr>
          <w:spacing w:val="-3"/>
          <w:sz w:val="16"/>
        </w:rPr>
        <w:t xml:space="preserve"> </w:t>
      </w:r>
      <w:r>
        <w:rPr>
          <w:spacing w:val="-2"/>
          <w:sz w:val="16"/>
        </w:rPr>
        <w:t>Connection</w:t>
      </w:r>
    </w:p>
    <w:p w14:paraId="4F3BE9E6" w14:textId="77777777" w:rsidR="00141B97" w:rsidRDefault="00141B97">
      <w:pPr>
        <w:pStyle w:val="BodyText"/>
        <w:rPr>
          <w:sz w:val="16"/>
        </w:rPr>
      </w:pPr>
    </w:p>
    <w:p w14:paraId="4888EE4D" w14:textId="77777777" w:rsidR="00141B97" w:rsidRDefault="00911D63">
      <w:pPr>
        <w:pStyle w:val="BodyText"/>
        <w:spacing w:before="98"/>
        <w:ind w:left="113" w:right="948"/>
        <w:jc w:val="both"/>
      </w:pPr>
      <w:r>
        <w:t>New properties have measured lower consumption due to typically smaller lots and use of water efficient appliances and based on recent data a lower demand per equivalent connection of 85% of that for existing properties is assumed.</w:t>
      </w:r>
    </w:p>
    <w:p w14:paraId="482AE055" w14:textId="77777777" w:rsidR="00141B97" w:rsidRDefault="00141B97">
      <w:pPr>
        <w:pStyle w:val="BodyText"/>
      </w:pPr>
    </w:p>
    <w:p w14:paraId="2FECE6FC" w14:textId="77777777" w:rsidR="00141B97" w:rsidRDefault="00911D63">
      <w:pPr>
        <w:pStyle w:val="BodyText"/>
        <w:ind w:left="114" w:right="949"/>
        <w:jc w:val="both"/>
      </w:pPr>
      <w:r>
        <w:t>Non‐residential</w:t>
      </w:r>
      <w:r>
        <w:rPr>
          <w:spacing w:val="-5"/>
        </w:rPr>
        <w:t xml:space="preserve"> </w:t>
      </w:r>
      <w:r>
        <w:t>consumption</w:t>
      </w:r>
      <w:r>
        <w:rPr>
          <w:spacing w:val="-5"/>
        </w:rPr>
        <w:t xml:space="preserve"> </w:t>
      </w:r>
      <w:r>
        <w:t>per</w:t>
      </w:r>
      <w:r>
        <w:rPr>
          <w:spacing w:val="-3"/>
        </w:rPr>
        <w:t xml:space="preserve"> </w:t>
      </w:r>
      <w:r>
        <w:t>equivalent</w:t>
      </w:r>
      <w:r>
        <w:rPr>
          <w:spacing w:val="-5"/>
        </w:rPr>
        <w:t xml:space="preserve"> </w:t>
      </w:r>
      <w:r>
        <w:t>connection</w:t>
      </w:r>
      <w:r>
        <w:rPr>
          <w:spacing w:val="-2"/>
        </w:rPr>
        <w:t xml:space="preserve"> </w:t>
      </w:r>
      <w:r>
        <w:t>is</w:t>
      </w:r>
      <w:r>
        <w:rPr>
          <w:spacing w:val="-4"/>
        </w:rPr>
        <w:t xml:space="preserve"> </w:t>
      </w:r>
      <w:r>
        <w:t>assumed</w:t>
      </w:r>
      <w:r>
        <w:rPr>
          <w:spacing w:val="-5"/>
        </w:rPr>
        <w:t xml:space="preserve"> </w:t>
      </w:r>
      <w:r>
        <w:t>to</w:t>
      </w:r>
      <w:r>
        <w:rPr>
          <w:spacing w:val="-4"/>
        </w:rPr>
        <w:t xml:space="preserve"> </w:t>
      </w:r>
      <w:r>
        <w:t>stay</w:t>
      </w:r>
      <w:r>
        <w:rPr>
          <w:spacing w:val="-3"/>
        </w:rPr>
        <w:t xml:space="preserve"> </w:t>
      </w:r>
      <w:r>
        <w:t>at</w:t>
      </w:r>
      <w:r>
        <w:rPr>
          <w:spacing w:val="-4"/>
        </w:rPr>
        <w:t xml:space="preserve"> </w:t>
      </w:r>
      <w:r>
        <w:t>2021‐22</w:t>
      </w:r>
      <w:r>
        <w:rPr>
          <w:spacing w:val="-4"/>
        </w:rPr>
        <w:t xml:space="preserve"> </w:t>
      </w:r>
      <w:r>
        <w:t>levels,</w:t>
      </w:r>
      <w:r>
        <w:rPr>
          <w:spacing w:val="-4"/>
        </w:rPr>
        <w:t xml:space="preserve"> </w:t>
      </w:r>
      <w:r>
        <w:t>so</w:t>
      </w:r>
      <w:r>
        <w:rPr>
          <w:spacing w:val="-5"/>
        </w:rPr>
        <w:t xml:space="preserve"> </w:t>
      </w:r>
      <w:r>
        <w:t>that</w:t>
      </w:r>
      <w:r>
        <w:rPr>
          <w:spacing w:val="-3"/>
        </w:rPr>
        <w:t xml:space="preserve"> </w:t>
      </w:r>
      <w:r>
        <w:t>total</w:t>
      </w:r>
      <w:r>
        <w:rPr>
          <w:spacing w:val="-3"/>
        </w:rPr>
        <w:t xml:space="preserve"> </w:t>
      </w:r>
      <w:r>
        <w:t>non‐ residential water consumption grows in line with the number of new non‐residential connections.</w:t>
      </w:r>
    </w:p>
    <w:p w14:paraId="2E661DAD" w14:textId="77777777" w:rsidR="00141B97" w:rsidRDefault="00141B97">
      <w:pPr>
        <w:pStyle w:val="BodyText"/>
        <w:spacing w:before="1"/>
      </w:pPr>
    </w:p>
    <w:p w14:paraId="1E8D3E4E" w14:textId="77777777" w:rsidR="00141B97" w:rsidRDefault="00911D63">
      <w:pPr>
        <w:pStyle w:val="BodyText"/>
        <w:ind w:left="114" w:right="950" w:hanging="1"/>
        <w:jc w:val="both"/>
      </w:pPr>
      <w:r>
        <w:t>Table B21 shows the water volumetric demand forecast for the fifth regulatory period, based on the above connection forecasts and equivalent connections demand.</w:t>
      </w:r>
    </w:p>
    <w:p w14:paraId="2B9C029D" w14:textId="77777777" w:rsidR="00141B97" w:rsidRDefault="00141B97">
      <w:pPr>
        <w:pStyle w:val="BodyText"/>
        <w:spacing w:before="6"/>
        <w:rPr>
          <w:sz w:val="23"/>
        </w:rPr>
      </w:pPr>
    </w:p>
    <w:tbl>
      <w:tblPr>
        <w:tblW w:w="0" w:type="auto"/>
        <w:tblCellSpacing w:w="9" w:type="dxa"/>
        <w:tblInd w:w="140" w:type="dxa"/>
        <w:tblLayout w:type="fixed"/>
        <w:tblCellMar>
          <w:left w:w="0" w:type="dxa"/>
          <w:right w:w="0" w:type="dxa"/>
        </w:tblCellMar>
        <w:tblLook w:val="01E0" w:firstRow="1" w:lastRow="1" w:firstColumn="1" w:lastColumn="1" w:noHBand="0" w:noVBand="0"/>
      </w:tblPr>
      <w:tblGrid>
        <w:gridCol w:w="3412"/>
        <w:gridCol w:w="1158"/>
        <w:gridCol w:w="1038"/>
        <w:gridCol w:w="1038"/>
        <w:gridCol w:w="1038"/>
        <w:gridCol w:w="1038"/>
        <w:gridCol w:w="1042"/>
      </w:tblGrid>
      <w:tr w:rsidR="00141B97" w14:paraId="29A758A6" w14:textId="77777777">
        <w:trPr>
          <w:trHeight w:val="283"/>
          <w:tblCellSpacing w:w="9" w:type="dxa"/>
        </w:trPr>
        <w:tc>
          <w:tcPr>
            <w:tcW w:w="3385" w:type="dxa"/>
            <w:vMerge w:val="restart"/>
            <w:tcBorders>
              <w:top w:val="nil"/>
              <w:left w:val="nil"/>
              <w:bottom w:val="nil"/>
              <w:right w:val="nil"/>
            </w:tcBorders>
            <w:shd w:val="clear" w:color="auto" w:fill="0064A4"/>
          </w:tcPr>
          <w:p w14:paraId="1B1D176E" w14:textId="77777777" w:rsidR="00141B97" w:rsidRDefault="00141B97">
            <w:pPr>
              <w:pStyle w:val="TableParagraph"/>
              <w:rPr>
                <w:rFonts w:ascii="Times New Roman"/>
                <w:sz w:val="20"/>
              </w:rPr>
            </w:pPr>
          </w:p>
        </w:tc>
        <w:tc>
          <w:tcPr>
            <w:tcW w:w="1140" w:type="dxa"/>
            <w:tcBorders>
              <w:top w:val="nil"/>
              <w:left w:val="nil"/>
            </w:tcBorders>
            <w:shd w:val="clear" w:color="auto" w:fill="0064A4"/>
          </w:tcPr>
          <w:p w14:paraId="46189AFF" w14:textId="77777777" w:rsidR="00141B97" w:rsidRDefault="00911D63">
            <w:pPr>
              <w:pStyle w:val="TableParagraph"/>
              <w:spacing w:before="19"/>
              <w:ind w:left="250"/>
              <w:rPr>
                <w:sz w:val="20"/>
              </w:rPr>
            </w:pPr>
            <w:r>
              <w:rPr>
                <w:color w:val="FFFFFF"/>
                <w:spacing w:val="-2"/>
                <w:sz w:val="20"/>
              </w:rPr>
              <w:t>Current</w:t>
            </w:r>
          </w:p>
        </w:tc>
        <w:tc>
          <w:tcPr>
            <w:tcW w:w="5095" w:type="dxa"/>
            <w:gridSpan w:val="5"/>
            <w:tcBorders>
              <w:top w:val="nil"/>
              <w:right w:val="nil"/>
            </w:tcBorders>
            <w:shd w:val="clear" w:color="auto" w:fill="0064A4"/>
          </w:tcPr>
          <w:p w14:paraId="38FEFFC7" w14:textId="77777777" w:rsidR="00141B97" w:rsidRDefault="00911D63">
            <w:pPr>
              <w:pStyle w:val="TableParagraph"/>
              <w:spacing w:before="19"/>
              <w:ind w:left="1615"/>
              <w:rPr>
                <w:sz w:val="20"/>
              </w:rPr>
            </w:pPr>
            <w:r>
              <w:rPr>
                <w:color w:val="FFFFFF"/>
                <w:sz w:val="20"/>
              </w:rPr>
              <w:t>Fifth</w:t>
            </w:r>
            <w:r>
              <w:rPr>
                <w:color w:val="FFFFFF"/>
                <w:spacing w:val="-3"/>
                <w:sz w:val="20"/>
              </w:rPr>
              <w:t xml:space="preserve"> </w:t>
            </w:r>
            <w:r>
              <w:rPr>
                <w:color w:val="FFFFFF"/>
                <w:sz w:val="20"/>
              </w:rPr>
              <w:t>Regulatory</w:t>
            </w:r>
            <w:r>
              <w:rPr>
                <w:color w:val="FFFFFF"/>
                <w:spacing w:val="-2"/>
                <w:sz w:val="20"/>
              </w:rPr>
              <w:t xml:space="preserve"> Period</w:t>
            </w:r>
          </w:p>
        </w:tc>
      </w:tr>
      <w:tr w:rsidR="00141B97" w14:paraId="08911081" w14:textId="77777777">
        <w:trPr>
          <w:trHeight w:val="282"/>
          <w:tblCellSpacing w:w="9" w:type="dxa"/>
        </w:trPr>
        <w:tc>
          <w:tcPr>
            <w:tcW w:w="3385" w:type="dxa"/>
            <w:vMerge/>
            <w:tcBorders>
              <w:top w:val="nil"/>
              <w:left w:val="nil"/>
              <w:bottom w:val="nil"/>
              <w:right w:val="nil"/>
            </w:tcBorders>
            <w:shd w:val="clear" w:color="auto" w:fill="0064A4"/>
          </w:tcPr>
          <w:p w14:paraId="1400AC9A" w14:textId="77777777" w:rsidR="00141B97" w:rsidRDefault="00141B97">
            <w:pPr>
              <w:rPr>
                <w:sz w:val="2"/>
                <w:szCs w:val="2"/>
              </w:rPr>
            </w:pPr>
          </w:p>
        </w:tc>
        <w:tc>
          <w:tcPr>
            <w:tcW w:w="1140" w:type="dxa"/>
            <w:tcBorders>
              <w:left w:val="nil"/>
              <w:bottom w:val="nil"/>
            </w:tcBorders>
            <w:shd w:val="clear" w:color="auto" w:fill="0064A4"/>
          </w:tcPr>
          <w:p w14:paraId="78EA50AE" w14:textId="77777777" w:rsidR="00141B97" w:rsidRDefault="00911D63">
            <w:pPr>
              <w:pStyle w:val="TableParagraph"/>
              <w:spacing w:before="18"/>
              <w:ind w:left="225"/>
              <w:rPr>
                <w:sz w:val="20"/>
              </w:rPr>
            </w:pPr>
            <w:r>
              <w:rPr>
                <w:color w:val="FFFFFF"/>
                <w:spacing w:val="-2"/>
                <w:sz w:val="20"/>
              </w:rPr>
              <w:t>2022‐23</w:t>
            </w:r>
          </w:p>
        </w:tc>
        <w:tc>
          <w:tcPr>
            <w:tcW w:w="1020" w:type="dxa"/>
            <w:tcBorders>
              <w:bottom w:val="nil"/>
            </w:tcBorders>
            <w:shd w:val="clear" w:color="auto" w:fill="0064A4"/>
          </w:tcPr>
          <w:p w14:paraId="50262104" w14:textId="77777777" w:rsidR="00141B97" w:rsidRDefault="00911D63">
            <w:pPr>
              <w:pStyle w:val="TableParagraph"/>
              <w:spacing w:before="18"/>
              <w:ind w:left="165"/>
              <w:rPr>
                <w:sz w:val="20"/>
              </w:rPr>
            </w:pPr>
            <w:r>
              <w:rPr>
                <w:color w:val="FFFFFF"/>
                <w:spacing w:val="-2"/>
                <w:sz w:val="20"/>
              </w:rPr>
              <w:t>2023‐24</w:t>
            </w:r>
          </w:p>
        </w:tc>
        <w:tc>
          <w:tcPr>
            <w:tcW w:w="1020" w:type="dxa"/>
            <w:tcBorders>
              <w:bottom w:val="nil"/>
            </w:tcBorders>
            <w:shd w:val="clear" w:color="auto" w:fill="0064A4"/>
          </w:tcPr>
          <w:p w14:paraId="61CD6F64" w14:textId="77777777" w:rsidR="00141B97" w:rsidRDefault="00911D63">
            <w:pPr>
              <w:pStyle w:val="TableParagraph"/>
              <w:spacing w:before="18"/>
              <w:ind w:left="165"/>
              <w:rPr>
                <w:sz w:val="20"/>
              </w:rPr>
            </w:pPr>
            <w:r>
              <w:rPr>
                <w:color w:val="FFFFFF"/>
                <w:spacing w:val="-2"/>
                <w:sz w:val="20"/>
              </w:rPr>
              <w:t>2024‐25</w:t>
            </w:r>
          </w:p>
        </w:tc>
        <w:tc>
          <w:tcPr>
            <w:tcW w:w="1020" w:type="dxa"/>
            <w:tcBorders>
              <w:bottom w:val="nil"/>
            </w:tcBorders>
            <w:shd w:val="clear" w:color="auto" w:fill="0064A4"/>
          </w:tcPr>
          <w:p w14:paraId="21374079" w14:textId="77777777" w:rsidR="00141B97" w:rsidRDefault="00911D63">
            <w:pPr>
              <w:pStyle w:val="TableParagraph"/>
              <w:spacing w:before="18"/>
              <w:ind w:left="165"/>
              <w:rPr>
                <w:sz w:val="20"/>
              </w:rPr>
            </w:pPr>
            <w:r>
              <w:rPr>
                <w:color w:val="FFFFFF"/>
                <w:spacing w:val="-2"/>
                <w:sz w:val="20"/>
              </w:rPr>
              <w:t>2025‐26</w:t>
            </w:r>
          </w:p>
        </w:tc>
        <w:tc>
          <w:tcPr>
            <w:tcW w:w="1020" w:type="dxa"/>
            <w:tcBorders>
              <w:bottom w:val="nil"/>
            </w:tcBorders>
            <w:shd w:val="clear" w:color="auto" w:fill="0064A4"/>
          </w:tcPr>
          <w:p w14:paraId="5FB12012" w14:textId="77777777" w:rsidR="00141B97" w:rsidRDefault="00911D63">
            <w:pPr>
              <w:pStyle w:val="TableParagraph"/>
              <w:spacing w:before="18"/>
              <w:ind w:left="165"/>
              <w:rPr>
                <w:sz w:val="20"/>
              </w:rPr>
            </w:pPr>
            <w:r>
              <w:rPr>
                <w:color w:val="FFFFFF"/>
                <w:spacing w:val="-2"/>
                <w:sz w:val="20"/>
              </w:rPr>
              <w:t>2026‐27</w:t>
            </w:r>
          </w:p>
        </w:tc>
        <w:tc>
          <w:tcPr>
            <w:tcW w:w="1015" w:type="dxa"/>
            <w:tcBorders>
              <w:bottom w:val="nil"/>
              <w:right w:val="nil"/>
            </w:tcBorders>
            <w:shd w:val="clear" w:color="auto" w:fill="0064A4"/>
          </w:tcPr>
          <w:p w14:paraId="292842A2" w14:textId="77777777" w:rsidR="00141B97" w:rsidRDefault="00911D63">
            <w:pPr>
              <w:pStyle w:val="TableParagraph"/>
              <w:spacing w:before="18"/>
              <w:ind w:left="165"/>
              <w:rPr>
                <w:sz w:val="20"/>
              </w:rPr>
            </w:pPr>
            <w:r>
              <w:rPr>
                <w:color w:val="FFFFFF"/>
                <w:spacing w:val="-2"/>
                <w:sz w:val="20"/>
              </w:rPr>
              <w:t>2027‐28</w:t>
            </w:r>
          </w:p>
        </w:tc>
      </w:tr>
      <w:tr w:rsidR="00141B97" w14:paraId="0503B12F" w14:textId="77777777">
        <w:trPr>
          <w:trHeight w:val="293"/>
          <w:tblCellSpacing w:w="9" w:type="dxa"/>
        </w:trPr>
        <w:tc>
          <w:tcPr>
            <w:tcW w:w="3385" w:type="dxa"/>
            <w:tcBorders>
              <w:top w:val="nil"/>
              <w:left w:val="nil"/>
              <w:right w:val="nil"/>
            </w:tcBorders>
            <w:shd w:val="clear" w:color="auto" w:fill="CCE2ED"/>
          </w:tcPr>
          <w:p w14:paraId="4032DB90" w14:textId="77777777" w:rsidR="00141B97" w:rsidRDefault="00911D63">
            <w:pPr>
              <w:pStyle w:val="TableParagraph"/>
              <w:spacing w:before="29"/>
              <w:ind w:left="98"/>
              <w:rPr>
                <w:sz w:val="20"/>
              </w:rPr>
            </w:pPr>
            <w:r>
              <w:rPr>
                <w:sz w:val="20"/>
              </w:rPr>
              <w:t>Residential</w:t>
            </w:r>
            <w:r>
              <w:rPr>
                <w:spacing w:val="-3"/>
                <w:sz w:val="20"/>
              </w:rPr>
              <w:t xml:space="preserve"> </w:t>
            </w:r>
            <w:r>
              <w:rPr>
                <w:spacing w:val="-2"/>
                <w:sz w:val="20"/>
              </w:rPr>
              <w:t>demand</w:t>
            </w:r>
          </w:p>
        </w:tc>
        <w:tc>
          <w:tcPr>
            <w:tcW w:w="1140" w:type="dxa"/>
            <w:tcBorders>
              <w:top w:val="nil"/>
              <w:left w:val="nil"/>
            </w:tcBorders>
            <w:shd w:val="clear" w:color="auto" w:fill="CCE2ED"/>
          </w:tcPr>
          <w:p w14:paraId="7A1DEDB7" w14:textId="77777777" w:rsidR="00141B97" w:rsidRDefault="00911D63">
            <w:pPr>
              <w:pStyle w:val="TableParagraph"/>
              <w:spacing w:before="29"/>
              <w:ind w:right="94"/>
              <w:jc w:val="right"/>
              <w:rPr>
                <w:sz w:val="20"/>
              </w:rPr>
            </w:pPr>
            <w:r>
              <w:rPr>
                <w:spacing w:val="-2"/>
                <w:sz w:val="20"/>
              </w:rPr>
              <w:t>15,329</w:t>
            </w:r>
          </w:p>
        </w:tc>
        <w:tc>
          <w:tcPr>
            <w:tcW w:w="1020" w:type="dxa"/>
            <w:tcBorders>
              <w:top w:val="nil"/>
            </w:tcBorders>
            <w:shd w:val="clear" w:color="auto" w:fill="CCE2ED"/>
          </w:tcPr>
          <w:p w14:paraId="69356D7B" w14:textId="77777777" w:rsidR="00141B97" w:rsidRDefault="00911D63">
            <w:pPr>
              <w:pStyle w:val="TableParagraph"/>
              <w:spacing w:before="29"/>
              <w:ind w:right="94"/>
              <w:jc w:val="right"/>
              <w:rPr>
                <w:sz w:val="20"/>
              </w:rPr>
            </w:pPr>
            <w:r>
              <w:rPr>
                <w:spacing w:val="-2"/>
                <w:sz w:val="20"/>
              </w:rPr>
              <w:t>15,469</w:t>
            </w:r>
          </w:p>
        </w:tc>
        <w:tc>
          <w:tcPr>
            <w:tcW w:w="1020" w:type="dxa"/>
            <w:tcBorders>
              <w:top w:val="nil"/>
            </w:tcBorders>
            <w:shd w:val="clear" w:color="auto" w:fill="CCE2ED"/>
          </w:tcPr>
          <w:p w14:paraId="41B5E605" w14:textId="77777777" w:rsidR="00141B97" w:rsidRDefault="00911D63">
            <w:pPr>
              <w:pStyle w:val="TableParagraph"/>
              <w:spacing w:before="29"/>
              <w:ind w:right="94"/>
              <w:jc w:val="right"/>
              <w:rPr>
                <w:sz w:val="20"/>
              </w:rPr>
            </w:pPr>
            <w:r>
              <w:rPr>
                <w:spacing w:val="-2"/>
                <w:sz w:val="20"/>
              </w:rPr>
              <w:t>15,610</w:t>
            </w:r>
          </w:p>
        </w:tc>
        <w:tc>
          <w:tcPr>
            <w:tcW w:w="1020" w:type="dxa"/>
            <w:tcBorders>
              <w:top w:val="nil"/>
            </w:tcBorders>
            <w:shd w:val="clear" w:color="auto" w:fill="CCE2ED"/>
          </w:tcPr>
          <w:p w14:paraId="7A461B97" w14:textId="77777777" w:rsidR="00141B97" w:rsidRDefault="00911D63">
            <w:pPr>
              <w:pStyle w:val="TableParagraph"/>
              <w:spacing w:before="29"/>
              <w:ind w:right="94"/>
              <w:jc w:val="right"/>
              <w:rPr>
                <w:sz w:val="20"/>
              </w:rPr>
            </w:pPr>
            <w:r>
              <w:rPr>
                <w:spacing w:val="-2"/>
                <w:sz w:val="20"/>
              </w:rPr>
              <w:t>15,753</w:t>
            </w:r>
          </w:p>
        </w:tc>
        <w:tc>
          <w:tcPr>
            <w:tcW w:w="1020" w:type="dxa"/>
            <w:tcBorders>
              <w:top w:val="nil"/>
            </w:tcBorders>
            <w:shd w:val="clear" w:color="auto" w:fill="CCE2ED"/>
          </w:tcPr>
          <w:p w14:paraId="6E9D5E86" w14:textId="77777777" w:rsidR="00141B97" w:rsidRDefault="00911D63">
            <w:pPr>
              <w:pStyle w:val="TableParagraph"/>
              <w:spacing w:before="29"/>
              <w:ind w:right="94"/>
              <w:jc w:val="right"/>
              <w:rPr>
                <w:sz w:val="20"/>
              </w:rPr>
            </w:pPr>
            <w:r>
              <w:rPr>
                <w:spacing w:val="-2"/>
                <w:sz w:val="20"/>
              </w:rPr>
              <w:t>15,898</w:t>
            </w:r>
          </w:p>
        </w:tc>
        <w:tc>
          <w:tcPr>
            <w:tcW w:w="1015" w:type="dxa"/>
            <w:tcBorders>
              <w:top w:val="nil"/>
              <w:right w:val="nil"/>
            </w:tcBorders>
            <w:shd w:val="clear" w:color="auto" w:fill="CCE2ED"/>
          </w:tcPr>
          <w:p w14:paraId="26401F76" w14:textId="77777777" w:rsidR="00141B97" w:rsidRDefault="00911D63">
            <w:pPr>
              <w:pStyle w:val="TableParagraph"/>
              <w:spacing w:before="29"/>
              <w:ind w:right="89"/>
              <w:jc w:val="right"/>
              <w:rPr>
                <w:sz w:val="20"/>
              </w:rPr>
            </w:pPr>
            <w:r>
              <w:rPr>
                <w:spacing w:val="-2"/>
                <w:sz w:val="20"/>
              </w:rPr>
              <w:t>16,044</w:t>
            </w:r>
          </w:p>
        </w:tc>
      </w:tr>
      <w:tr w:rsidR="00141B97" w14:paraId="1E2C17BC" w14:textId="77777777">
        <w:trPr>
          <w:trHeight w:val="282"/>
          <w:tblCellSpacing w:w="9" w:type="dxa"/>
        </w:trPr>
        <w:tc>
          <w:tcPr>
            <w:tcW w:w="3385" w:type="dxa"/>
            <w:tcBorders>
              <w:left w:val="nil"/>
              <w:right w:val="nil"/>
            </w:tcBorders>
            <w:shd w:val="clear" w:color="auto" w:fill="CCE2ED"/>
          </w:tcPr>
          <w:p w14:paraId="79B11E34" w14:textId="77777777" w:rsidR="00141B97" w:rsidRDefault="00911D63">
            <w:pPr>
              <w:pStyle w:val="TableParagraph"/>
              <w:spacing w:before="18"/>
              <w:ind w:left="98"/>
              <w:rPr>
                <w:sz w:val="20"/>
              </w:rPr>
            </w:pPr>
            <w:r>
              <w:rPr>
                <w:sz w:val="20"/>
              </w:rPr>
              <w:t>Non‐residential</w:t>
            </w:r>
            <w:r>
              <w:rPr>
                <w:spacing w:val="-8"/>
                <w:sz w:val="20"/>
              </w:rPr>
              <w:t xml:space="preserve"> </w:t>
            </w:r>
            <w:r>
              <w:rPr>
                <w:spacing w:val="-2"/>
                <w:sz w:val="20"/>
              </w:rPr>
              <w:t>demand</w:t>
            </w:r>
          </w:p>
        </w:tc>
        <w:tc>
          <w:tcPr>
            <w:tcW w:w="1140" w:type="dxa"/>
            <w:tcBorders>
              <w:left w:val="nil"/>
            </w:tcBorders>
            <w:shd w:val="clear" w:color="auto" w:fill="CCE2ED"/>
          </w:tcPr>
          <w:p w14:paraId="1AE0B1B2" w14:textId="77777777" w:rsidR="00141B97" w:rsidRDefault="00911D63">
            <w:pPr>
              <w:pStyle w:val="TableParagraph"/>
              <w:spacing w:before="18"/>
              <w:ind w:right="94"/>
              <w:jc w:val="right"/>
              <w:rPr>
                <w:sz w:val="20"/>
              </w:rPr>
            </w:pPr>
            <w:r>
              <w:rPr>
                <w:spacing w:val="-2"/>
                <w:sz w:val="20"/>
              </w:rPr>
              <w:t>4,512</w:t>
            </w:r>
          </w:p>
        </w:tc>
        <w:tc>
          <w:tcPr>
            <w:tcW w:w="1020" w:type="dxa"/>
            <w:shd w:val="clear" w:color="auto" w:fill="CCE2ED"/>
          </w:tcPr>
          <w:p w14:paraId="390DB66F" w14:textId="77777777" w:rsidR="00141B97" w:rsidRDefault="00911D63">
            <w:pPr>
              <w:pStyle w:val="TableParagraph"/>
              <w:spacing w:before="18"/>
              <w:ind w:right="94"/>
              <w:jc w:val="right"/>
              <w:rPr>
                <w:sz w:val="20"/>
              </w:rPr>
            </w:pPr>
            <w:r>
              <w:rPr>
                <w:spacing w:val="-2"/>
                <w:sz w:val="20"/>
              </w:rPr>
              <w:t>4,562</w:t>
            </w:r>
          </w:p>
        </w:tc>
        <w:tc>
          <w:tcPr>
            <w:tcW w:w="1020" w:type="dxa"/>
            <w:shd w:val="clear" w:color="auto" w:fill="CCE2ED"/>
          </w:tcPr>
          <w:p w14:paraId="5E1C7FB6" w14:textId="77777777" w:rsidR="00141B97" w:rsidRDefault="00911D63">
            <w:pPr>
              <w:pStyle w:val="TableParagraph"/>
              <w:spacing w:before="18"/>
              <w:ind w:right="94"/>
              <w:jc w:val="right"/>
              <w:rPr>
                <w:sz w:val="20"/>
              </w:rPr>
            </w:pPr>
            <w:r>
              <w:rPr>
                <w:spacing w:val="-2"/>
                <w:sz w:val="20"/>
              </w:rPr>
              <w:t>4,612</w:t>
            </w:r>
          </w:p>
        </w:tc>
        <w:tc>
          <w:tcPr>
            <w:tcW w:w="1020" w:type="dxa"/>
            <w:shd w:val="clear" w:color="auto" w:fill="CCE2ED"/>
          </w:tcPr>
          <w:p w14:paraId="065C5C96" w14:textId="77777777" w:rsidR="00141B97" w:rsidRDefault="00911D63">
            <w:pPr>
              <w:pStyle w:val="TableParagraph"/>
              <w:spacing w:before="18"/>
              <w:ind w:right="94"/>
              <w:jc w:val="right"/>
              <w:rPr>
                <w:sz w:val="20"/>
              </w:rPr>
            </w:pPr>
            <w:r>
              <w:rPr>
                <w:spacing w:val="-2"/>
                <w:sz w:val="20"/>
              </w:rPr>
              <w:t>4,663</w:t>
            </w:r>
          </w:p>
        </w:tc>
        <w:tc>
          <w:tcPr>
            <w:tcW w:w="1020" w:type="dxa"/>
            <w:shd w:val="clear" w:color="auto" w:fill="CCE2ED"/>
          </w:tcPr>
          <w:p w14:paraId="20589673" w14:textId="77777777" w:rsidR="00141B97" w:rsidRDefault="00911D63">
            <w:pPr>
              <w:pStyle w:val="TableParagraph"/>
              <w:spacing w:before="18"/>
              <w:ind w:right="94"/>
              <w:jc w:val="right"/>
              <w:rPr>
                <w:sz w:val="20"/>
              </w:rPr>
            </w:pPr>
            <w:r>
              <w:rPr>
                <w:spacing w:val="-2"/>
                <w:sz w:val="20"/>
              </w:rPr>
              <w:t>4,714</w:t>
            </w:r>
          </w:p>
        </w:tc>
        <w:tc>
          <w:tcPr>
            <w:tcW w:w="1015" w:type="dxa"/>
            <w:tcBorders>
              <w:right w:val="nil"/>
            </w:tcBorders>
            <w:shd w:val="clear" w:color="auto" w:fill="CCE2ED"/>
          </w:tcPr>
          <w:p w14:paraId="019076D9" w14:textId="77777777" w:rsidR="00141B97" w:rsidRDefault="00911D63">
            <w:pPr>
              <w:pStyle w:val="TableParagraph"/>
              <w:spacing w:before="18"/>
              <w:ind w:right="89"/>
              <w:jc w:val="right"/>
              <w:rPr>
                <w:sz w:val="20"/>
              </w:rPr>
            </w:pPr>
            <w:r>
              <w:rPr>
                <w:spacing w:val="-2"/>
                <w:sz w:val="20"/>
              </w:rPr>
              <w:t>4,766</w:t>
            </w:r>
          </w:p>
        </w:tc>
      </w:tr>
      <w:tr w:rsidR="00141B97" w14:paraId="12D8DCE7" w14:textId="77777777">
        <w:trPr>
          <w:trHeight w:val="283"/>
          <w:tblCellSpacing w:w="9" w:type="dxa"/>
        </w:trPr>
        <w:tc>
          <w:tcPr>
            <w:tcW w:w="3385" w:type="dxa"/>
            <w:tcBorders>
              <w:left w:val="nil"/>
              <w:bottom w:val="nil"/>
              <w:right w:val="nil"/>
            </w:tcBorders>
            <w:shd w:val="clear" w:color="auto" w:fill="BFBFBF"/>
          </w:tcPr>
          <w:p w14:paraId="1C9743EB" w14:textId="77777777" w:rsidR="00141B97" w:rsidRDefault="00911D63">
            <w:pPr>
              <w:pStyle w:val="TableParagraph"/>
              <w:spacing w:before="19"/>
              <w:ind w:left="98"/>
              <w:rPr>
                <w:sz w:val="20"/>
              </w:rPr>
            </w:pPr>
            <w:r>
              <w:rPr>
                <w:sz w:val="20"/>
              </w:rPr>
              <w:t>Total</w:t>
            </w:r>
            <w:r>
              <w:rPr>
                <w:spacing w:val="-2"/>
                <w:sz w:val="20"/>
              </w:rPr>
              <w:t xml:space="preserve"> </w:t>
            </w:r>
            <w:r>
              <w:rPr>
                <w:sz w:val="20"/>
              </w:rPr>
              <w:t>water</w:t>
            </w:r>
            <w:r>
              <w:rPr>
                <w:spacing w:val="-1"/>
                <w:sz w:val="20"/>
              </w:rPr>
              <w:t xml:space="preserve"> </w:t>
            </w:r>
            <w:r>
              <w:rPr>
                <w:spacing w:val="-2"/>
                <w:sz w:val="20"/>
              </w:rPr>
              <w:t>demand</w:t>
            </w:r>
          </w:p>
        </w:tc>
        <w:tc>
          <w:tcPr>
            <w:tcW w:w="1140" w:type="dxa"/>
            <w:tcBorders>
              <w:left w:val="nil"/>
              <w:bottom w:val="nil"/>
            </w:tcBorders>
            <w:shd w:val="clear" w:color="auto" w:fill="BFBFBF"/>
          </w:tcPr>
          <w:p w14:paraId="72154B53" w14:textId="77777777" w:rsidR="00141B97" w:rsidRDefault="00911D63">
            <w:pPr>
              <w:pStyle w:val="TableParagraph"/>
              <w:spacing w:before="19"/>
              <w:ind w:right="94"/>
              <w:jc w:val="right"/>
              <w:rPr>
                <w:sz w:val="20"/>
              </w:rPr>
            </w:pPr>
            <w:r>
              <w:rPr>
                <w:spacing w:val="-2"/>
                <w:sz w:val="20"/>
              </w:rPr>
              <w:t>19,841</w:t>
            </w:r>
          </w:p>
        </w:tc>
        <w:tc>
          <w:tcPr>
            <w:tcW w:w="1020" w:type="dxa"/>
            <w:tcBorders>
              <w:bottom w:val="nil"/>
            </w:tcBorders>
            <w:shd w:val="clear" w:color="auto" w:fill="BFBFBF"/>
          </w:tcPr>
          <w:p w14:paraId="35F79325" w14:textId="77777777" w:rsidR="00141B97" w:rsidRDefault="00911D63">
            <w:pPr>
              <w:pStyle w:val="TableParagraph"/>
              <w:spacing w:before="19"/>
              <w:ind w:right="94"/>
              <w:jc w:val="right"/>
              <w:rPr>
                <w:sz w:val="20"/>
              </w:rPr>
            </w:pPr>
            <w:r>
              <w:rPr>
                <w:spacing w:val="-2"/>
                <w:sz w:val="20"/>
              </w:rPr>
              <w:t>20,031</w:t>
            </w:r>
          </w:p>
        </w:tc>
        <w:tc>
          <w:tcPr>
            <w:tcW w:w="1020" w:type="dxa"/>
            <w:tcBorders>
              <w:bottom w:val="nil"/>
            </w:tcBorders>
            <w:shd w:val="clear" w:color="auto" w:fill="BFBFBF"/>
          </w:tcPr>
          <w:p w14:paraId="75D4C888" w14:textId="77777777" w:rsidR="00141B97" w:rsidRDefault="00911D63">
            <w:pPr>
              <w:pStyle w:val="TableParagraph"/>
              <w:spacing w:before="19"/>
              <w:ind w:right="94"/>
              <w:jc w:val="right"/>
              <w:rPr>
                <w:sz w:val="20"/>
              </w:rPr>
            </w:pPr>
            <w:r>
              <w:rPr>
                <w:spacing w:val="-2"/>
                <w:sz w:val="20"/>
              </w:rPr>
              <w:t>20,222</w:t>
            </w:r>
          </w:p>
        </w:tc>
        <w:tc>
          <w:tcPr>
            <w:tcW w:w="1020" w:type="dxa"/>
            <w:tcBorders>
              <w:bottom w:val="nil"/>
            </w:tcBorders>
            <w:shd w:val="clear" w:color="auto" w:fill="BFBFBF"/>
          </w:tcPr>
          <w:p w14:paraId="7F1DFE4A" w14:textId="77777777" w:rsidR="00141B97" w:rsidRDefault="00911D63">
            <w:pPr>
              <w:pStyle w:val="TableParagraph"/>
              <w:spacing w:before="19"/>
              <w:ind w:right="94"/>
              <w:jc w:val="right"/>
              <w:rPr>
                <w:sz w:val="20"/>
              </w:rPr>
            </w:pPr>
            <w:r>
              <w:rPr>
                <w:spacing w:val="-2"/>
                <w:sz w:val="20"/>
              </w:rPr>
              <w:t>20,416</w:t>
            </w:r>
          </w:p>
        </w:tc>
        <w:tc>
          <w:tcPr>
            <w:tcW w:w="1020" w:type="dxa"/>
            <w:tcBorders>
              <w:bottom w:val="nil"/>
            </w:tcBorders>
            <w:shd w:val="clear" w:color="auto" w:fill="BFBFBF"/>
          </w:tcPr>
          <w:p w14:paraId="3CB16ADF" w14:textId="77777777" w:rsidR="00141B97" w:rsidRDefault="00911D63">
            <w:pPr>
              <w:pStyle w:val="TableParagraph"/>
              <w:spacing w:before="19"/>
              <w:ind w:right="94"/>
              <w:jc w:val="right"/>
              <w:rPr>
                <w:sz w:val="20"/>
              </w:rPr>
            </w:pPr>
            <w:r>
              <w:rPr>
                <w:spacing w:val="-2"/>
                <w:sz w:val="20"/>
              </w:rPr>
              <w:t>20,612</w:t>
            </w:r>
          </w:p>
        </w:tc>
        <w:tc>
          <w:tcPr>
            <w:tcW w:w="1015" w:type="dxa"/>
            <w:tcBorders>
              <w:bottom w:val="nil"/>
              <w:right w:val="nil"/>
            </w:tcBorders>
            <w:shd w:val="clear" w:color="auto" w:fill="BFBFBF"/>
          </w:tcPr>
          <w:p w14:paraId="7D5DCEF1" w14:textId="77777777" w:rsidR="00141B97" w:rsidRDefault="00911D63">
            <w:pPr>
              <w:pStyle w:val="TableParagraph"/>
              <w:spacing w:before="19"/>
              <w:ind w:right="89"/>
              <w:jc w:val="right"/>
              <w:rPr>
                <w:sz w:val="20"/>
              </w:rPr>
            </w:pPr>
            <w:r>
              <w:rPr>
                <w:spacing w:val="-2"/>
                <w:sz w:val="20"/>
              </w:rPr>
              <w:t>20,810</w:t>
            </w:r>
          </w:p>
        </w:tc>
      </w:tr>
    </w:tbl>
    <w:p w14:paraId="249F4C62" w14:textId="77777777" w:rsidR="00141B97" w:rsidRDefault="00911D63">
      <w:pPr>
        <w:spacing w:before="22"/>
        <w:ind w:left="114"/>
        <w:jc w:val="both"/>
        <w:rPr>
          <w:sz w:val="16"/>
        </w:rPr>
      </w:pPr>
      <w:r>
        <w:rPr>
          <w:sz w:val="16"/>
        </w:rPr>
        <w:t>Table</w:t>
      </w:r>
      <w:r>
        <w:rPr>
          <w:spacing w:val="-5"/>
          <w:sz w:val="16"/>
        </w:rPr>
        <w:t xml:space="preserve"> </w:t>
      </w:r>
      <w:r>
        <w:rPr>
          <w:sz w:val="16"/>
        </w:rPr>
        <w:t>B21:</w:t>
      </w:r>
      <w:r>
        <w:rPr>
          <w:spacing w:val="-6"/>
          <w:sz w:val="16"/>
        </w:rPr>
        <w:t xml:space="preserve"> </w:t>
      </w:r>
      <w:r>
        <w:rPr>
          <w:sz w:val="16"/>
        </w:rPr>
        <w:t>Water</w:t>
      </w:r>
      <w:r>
        <w:rPr>
          <w:spacing w:val="-6"/>
          <w:sz w:val="16"/>
        </w:rPr>
        <w:t xml:space="preserve"> </w:t>
      </w:r>
      <w:r>
        <w:rPr>
          <w:sz w:val="16"/>
        </w:rPr>
        <w:t>Volumetric</w:t>
      </w:r>
      <w:r>
        <w:rPr>
          <w:spacing w:val="-4"/>
          <w:sz w:val="16"/>
        </w:rPr>
        <w:t xml:space="preserve"> </w:t>
      </w:r>
      <w:r>
        <w:rPr>
          <w:sz w:val="16"/>
        </w:rPr>
        <w:t>Demand</w:t>
      </w:r>
      <w:r>
        <w:rPr>
          <w:spacing w:val="-5"/>
          <w:sz w:val="16"/>
        </w:rPr>
        <w:t xml:space="preserve"> </w:t>
      </w:r>
      <w:r>
        <w:rPr>
          <w:sz w:val="16"/>
        </w:rPr>
        <w:t>Forecast</w:t>
      </w:r>
      <w:r>
        <w:rPr>
          <w:spacing w:val="-5"/>
          <w:sz w:val="16"/>
        </w:rPr>
        <w:t xml:space="preserve"> </w:t>
      </w:r>
      <w:r>
        <w:rPr>
          <w:sz w:val="16"/>
        </w:rPr>
        <w:t>–</w:t>
      </w:r>
      <w:r>
        <w:rPr>
          <w:spacing w:val="-5"/>
          <w:sz w:val="16"/>
        </w:rPr>
        <w:t xml:space="preserve"> </w:t>
      </w:r>
      <w:r>
        <w:rPr>
          <w:sz w:val="16"/>
        </w:rPr>
        <w:t>ML</w:t>
      </w:r>
      <w:r>
        <w:rPr>
          <w:spacing w:val="-5"/>
          <w:sz w:val="16"/>
        </w:rPr>
        <w:t xml:space="preserve"> pa</w:t>
      </w:r>
    </w:p>
    <w:p w14:paraId="0E420380" w14:textId="77777777" w:rsidR="00141B97" w:rsidRDefault="00141B97">
      <w:pPr>
        <w:pStyle w:val="BodyText"/>
        <w:rPr>
          <w:sz w:val="16"/>
        </w:rPr>
      </w:pPr>
    </w:p>
    <w:p w14:paraId="158D0C4F" w14:textId="77777777" w:rsidR="00141B97" w:rsidRDefault="00911D63">
      <w:pPr>
        <w:pStyle w:val="BodyText"/>
        <w:spacing w:before="99"/>
        <w:ind w:left="113" w:right="948"/>
        <w:jc w:val="both"/>
      </w:pPr>
      <w:r>
        <w:t>Figure</w:t>
      </w:r>
      <w:r>
        <w:rPr>
          <w:spacing w:val="-2"/>
        </w:rPr>
        <w:t xml:space="preserve"> </w:t>
      </w:r>
      <w:r>
        <w:t>B5</w:t>
      </w:r>
      <w:r>
        <w:rPr>
          <w:spacing w:val="-2"/>
        </w:rPr>
        <w:t xml:space="preserve"> </w:t>
      </w:r>
      <w:r>
        <w:t>shows</w:t>
      </w:r>
      <w:r>
        <w:rPr>
          <w:spacing w:val="-2"/>
        </w:rPr>
        <w:t xml:space="preserve"> </w:t>
      </w:r>
      <w:r>
        <w:t>the</w:t>
      </w:r>
      <w:r>
        <w:rPr>
          <w:spacing w:val="-2"/>
        </w:rPr>
        <w:t xml:space="preserve"> </w:t>
      </w:r>
      <w:r>
        <w:t>historic</w:t>
      </w:r>
      <w:r>
        <w:rPr>
          <w:spacing w:val="-2"/>
        </w:rPr>
        <w:t xml:space="preserve"> </w:t>
      </w:r>
      <w:r>
        <w:t>actual</w:t>
      </w:r>
      <w:r>
        <w:rPr>
          <w:spacing w:val="-1"/>
        </w:rPr>
        <w:t xml:space="preserve"> </w:t>
      </w:r>
      <w:r>
        <w:t>and</w:t>
      </w:r>
      <w:r>
        <w:rPr>
          <w:spacing w:val="-2"/>
        </w:rPr>
        <w:t xml:space="preserve"> </w:t>
      </w:r>
      <w:r>
        <w:t>forecast</w:t>
      </w:r>
      <w:r>
        <w:rPr>
          <w:spacing w:val="-2"/>
        </w:rPr>
        <w:t xml:space="preserve"> </w:t>
      </w:r>
      <w:r>
        <w:t>residential</w:t>
      </w:r>
      <w:r>
        <w:rPr>
          <w:spacing w:val="-2"/>
        </w:rPr>
        <w:t xml:space="preserve"> </w:t>
      </w:r>
      <w:r>
        <w:t>and</w:t>
      </w:r>
      <w:r>
        <w:rPr>
          <w:spacing w:val="-2"/>
        </w:rPr>
        <w:t xml:space="preserve"> </w:t>
      </w:r>
      <w:r>
        <w:t>non‐residential</w:t>
      </w:r>
      <w:r>
        <w:rPr>
          <w:spacing w:val="-2"/>
        </w:rPr>
        <w:t xml:space="preserve"> </w:t>
      </w:r>
      <w:r>
        <w:t>demand</w:t>
      </w:r>
      <w:r>
        <w:rPr>
          <w:spacing w:val="-2"/>
        </w:rPr>
        <w:t xml:space="preserve"> </w:t>
      </w:r>
      <w:r>
        <w:t>from 2008‐09</w:t>
      </w:r>
      <w:r>
        <w:rPr>
          <w:spacing w:val="-2"/>
        </w:rPr>
        <w:t xml:space="preserve"> </w:t>
      </w:r>
      <w:r>
        <w:t>through to 2028‐33 and indicates the steady growth in customers and consequently demand over the period.</w:t>
      </w:r>
    </w:p>
    <w:p w14:paraId="5F1DFF20" w14:textId="77777777" w:rsidR="00141B97" w:rsidRDefault="00141B97">
      <w:pPr>
        <w:jc w:val="both"/>
        <w:sectPr w:rsidR="00141B97">
          <w:pgSz w:w="11910" w:h="16840"/>
          <w:pgMar w:top="820" w:right="40" w:bottom="760" w:left="1020" w:header="0" w:footer="580" w:gutter="0"/>
          <w:cols w:space="720"/>
        </w:sectPr>
      </w:pPr>
    </w:p>
    <w:p w14:paraId="1CD152F5" w14:textId="55C42EFC" w:rsidR="00141B97" w:rsidRDefault="00911D63">
      <w:pPr>
        <w:pStyle w:val="BodyText"/>
        <w:ind w:left="113"/>
        <w:rPr>
          <w:sz w:val="20"/>
        </w:rPr>
      </w:pPr>
      <w:r>
        <w:rPr>
          <w:noProof/>
          <w:sz w:val="20"/>
        </w:rPr>
        <w:lastRenderedPageBreak/>
        <mc:AlternateContent>
          <mc:Choice Requires="wpg">
            <w:drawing>
              <wp:inline distT="0" distB="0" distL="0" distR="0" wp14:anchorId="28C9AEB0" wp14:editId="4E455B16">
                <wp:extent cx="6191885" cy="2219325"/>
                <wp:effectExtent l="635" t="6350" r="8255" b="3175"/>
                <wp:docPr id="295"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2219325"/>
                          <a:chOff x="0" y="0"/>
                          <a:chExt cx="9751" cy="3495"/>
                        </a:xfrm>
                      </wpg:grpSpPr>
                      <pic:pic xmlns:pic="http://schemas.openxmlformats.org/drawingml/2006/picture">
                        <pic:nvPicPr>
                          <pic:cNvPr id="296" name="docshape1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5" y="75"/>
                            <a:ext cx="9447"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docshape126"/>
                        <wps:cNvSpPr>
                          <a:spLocks noChangeArrowheads="1"/>
                        </wps:cNvSpPr>
                        <wps:spPr bwMode="auto">
                          <a:xfrm>
                            <a:off x="22" y="22"/>
                            <a:ext cx="9706" cy="345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21DE96" id="docshapegroup124" o:spid="_x0000_s1026" style="width:487.55pt;height:174.75pt;mso-position-horizontal-relative:char;mso-position-vertical-relative:line" coordsize="9751,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">
                <v:shape id="docshape125" o:spid="_x0000_s1027" type="#_x0000_t75" style="position:absolute;left:195;top:75;width:9447;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">
                  <v:imagedata r:id="rId81" o:title=""/>
                </v:shape>
                <v:rect id="docshape126" o:spid="_x0000_s1028" style="position:absolute;left:22;top:22;width:970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" filled="f" strokecolor="white" strokeweight="2.25pt"/>
                <w10:anchorlock/>
              </v:group>
            </w:pict>
          </mc:Fallback>
        </mc:AlternateContent>
      </w:r>
    </w:p>
    <w:p w14:paraId="25683CCC" w14:textId="77777777" w:rsidR="00141B97" w:rsidRDefault="00911D63">
      <w:pPr>
        <w:spacing w:line="151" w:lineRule="exact"/>
        <w:ind w:left="114"/>
        <w:rPr>
          <w:sz w:val="16"/>
        </w:rPr>
      </w:pPr>
      <w:r>
        <w:rPr>
          <w:sz w:val="16"/>
        </w:rPr>
        <w:t>Figure</w:t>
      </w:r>
      <w:r>
        <w:rPr>
          <w:spacing w:val="-5"/>
          <w:sz w:val="16"/>
        </w:rPr>
        <w:t xml:space="preserve"> </w:t>
      </w:r>
      <w:r>
        <w:rPr>
          <w:sz w:val="16"/>
        </w:rPr>
        <w:t>B5</w:t>
      </w:r>
      <w:r>
        <w:rPr>
          <w:sz w:val="12"/>
        </w:rPr>
        <w:t>:</w:t>
      </w:r>
      <w:r>
        <w:rPr>
          <w:spacing w:val="-6"/>
          <w:sz w:val="12"/>
        </w:rPr>
        <w:t xml:space="preserve"> </w:t>
      </w:r>
      <w:r>
        <w:rPr>
          <w:sz w:val="16"/>
        </w:rPr>
        <w:t>Actual</w:t>
      </w:r>
      <w:r>
        <w:rPr>
          <w:spacing w:val="-5"/>
          <w:sz w:val="16"/>
        </w:rPr>
        <w:t xml:space="preserve"> </w:t>
      </w:r>
      <w:r>
        <w:rPr>
          <w:sz w:val="16"/>
        </w:rPr>
        <w:t>and</w:t>
      </w:r>
      <w:r>
        <w:rPr>
          <w:spacing w:val="-6"/>
          <w:sz w:val="16"/>
        </w:rPr>
        <w:t xml:space="preserve"> </w:t>
      </w:r>
      <w:r>
        <w:rPr>
          <w:sz w:val="16"/>
        </w:rPr>
        <w:t>Forecast</w:t>
      </w:r>
      <w:r>
        <w:rPr>
          <w:spacing w:val="-5"/>
          <w:sz w:val="16"/>
        </w:rPr>
        <w:t xml:space="preserve"> </w:t>
      </w:r>
      <w:r>
        <w:rPr>
          <w:sz w:val="16"/>
        </w:rPr>
        <w:t>Volumetric</w:t>
      </w:r>
      <w:r>
        <w:rPr>
          <w:spacing w:val="-5"/>
          <w:sz w:val="16"/>
        </w:rPr>
        <w:t xml:space="preserve"> </w:t>
      </w:r>
      <w:r>
        <w:rPr>
          <w:spacing w:val="-2"/>
          <w:sz w:val="16"/>
        </w:rPr>
        <w:t>Demand</w:t>
      </w:r>
    </w:p>
    <w:p w14:paraId="2AF13600" w14:textId="77777777" w:rsidR="00141B97" w:rsidRDefault="00141B97">
      <w:pPr>
        <w:pStyle w:val="BodyText"/>
        <w:spacing w:before="1"/>
        <w:rPr>
          <w:sz w:val="20"/>
        </w:rPr>
      </w:pPr>
    </w:p>
    <w:p w14:paraId="02B17A51" w14:textId="77777777" w:rsidR="00141B97" w:rsidRDefault="00911D63">
      <w:pPr>
        <w:pStyle w:val="BodyText"/>
        <w:ind w:left="113" w:right="948"/>
        <w:jc w:val="both"/>
      </w:pPr>
      <w:r>
        <w:t>The supporting documentation available to the ESC provides details of the analysis for the three tiers of the volumetric tariff structure.</w:t>
      </w:r>
    </w:p>
    <w:p w14:paraId="6DAE2082" w14:textId="77777777" w:rsidR="00141B97" w:rsidRDefault="00141B97">
      <w:pPr>
        <w:pStyle w:val="BodyText"/>
        <w:spacing w:before="7"/>
        <w:rPr>
          <w:sz w:val="19"/>
        </w:rPr>
      </w:pPr>
    </w:p>
    <w:p w14:paraId="4C220614" w14:textId="77777777" w:rsidR="00141B97" w:rsidRDefault="00911D63">
      <w:pPr>
        <w:pStyle w:val="ListParagraph"/>
        <w:numPr>
          <w:ilvl w:val="3"/>
          <w:numId w:val="81"/>
        </w:numPr>
        <w:tabs>
          <w:tab w:val="left" w:pos="1107"/>
        </w:tabs>
        <w:jc w:val="both"/>
        <w:rPr>
          <w:i/>
        </w:rPr>
      </w:pPr>
      <w:r>
        <w:rPr>
          <w:i/>
        </w:rPr>
        <w:t>Wastewater</w:t>
      </w:r>
      <w:r>
        <w:rPr>
          <w:i/>
          <w:spacing w:val="-11"/>
        </w:rPr>
        <w:t xml:space="preserve"> </w:t>
      </w:r>
      <w:r>
        <w:rPr>
          <w:i/>
          <w:spacing w:val="-2"/>
        </w:rPr>
        <w:t>Flows</w:t>
      </w:r>
    </w:p>
    <w:p w14:paraId="504FF891" w14:textId="77777777" w:rsidR="00141B97" w:rsidRDefault="00911D63">
      <w:pPr>
        <w:pStyle w:val="BodyText"/>
        <w:spacing w:before="61"/>
        <w:ind w:left="113" w:right="945"/>
        <w:jc w:val="both"/>
      </w:pPr>
      <w:r>
        <w:t>Wastewater</w:t>
      </w:r>
      <w:r>
        <w:rPr>
          <w:spacing w:val="-9"/>
        </w:rPr>
        <w:t xml:space="preserve"> </w:t>
      </w:r>
      <w:r>
        <w:t>flows</w:t>
      </w:r>
      <w:r>
        <w:rPr>
          <w:spacing w:val="-8"/>
        </w:rPr>
        <w:t xml:space="preserve"> </w:t>
      </w:r>
      <w:r>
        <w:t>are</w:t>
      </w:r>
      <w:r>
        <w:rPr>
          <w:spacing w:val="-8"/>
        </w:rPr>
        <w:t xml:space="preserve"> </w:t>
      </w:r>
      <w:r>
        <w:t>not</w:t>
      </w:r>
      <w:r>
        <w:rPr>
          <w:spacing w:val="-9"/>
        </w:rPr>
        <w:t xml:space="preserve"> </w:t>
      </w:r>
      <w:r>
        <w:t>relevant</w:t>
      </w:r>
      <w:r>
        <w:rPr>
          <w:spacing w:val="-9"/>
        </w:rPr>
        <w:t xml:space="preserve"> </w:t>
      </w:r>
      <w:r>
        <w:t>for</w:t>
      </w:r>
      <w:r>
        <w:rPr>
          <w:spacing w:val="-9"/>
        </w:rPr>
        <w:t xml:space="preserve"> </w:t>
      </w:r>
      <w:r>
        <w:t>pricing,</w:t>
      </w:r>
      <w:r>
        <w:rPr>
          <w:spacing w:val="-9"/>
        </w:rPr>
        <w:t xml:space="preserve"> </w:t>
      </w:r>
      <w:r>
        <w:t>as</w:t>
      </w:r>
      <w:r>
        <w:rPr>
          <w:spacing w:val="-8"/>
        </w:rPr>
        <w:t xml:space="preserve"> </w:t>
      </w:r>
      <w:r>
        <w:t>there</w:t>
      </w:r>
      <w:r>
        <w:rPr>
          <w:spacing w:val="-8"/>
        </w:rPr>
        <w:t xml:space="preserve"> </w:t>
      </w:r>
      <w:r>
        <w:t>is</w:t>
      </w:r>
      <w:r>
        <w:rPr>
          <w:spacing w:val="-9"/>
        </w:rPr>
        <w:t xml:space="preserve"> </w:t>
      </w:r>
      <w:r>
        <w:t>no</w:t>
      </w:r>
      <w:r>
        <w:rPr>
          <w:spacing w:val="-9"/>
        </w:rPr>
        <w:t xml:space="preserve"> </w:t>
      </w:r>
      <w:r>
        <w:t>volumetric</w:t>
      </w:r>
      <w:r>
        <w:rPr>
          <w:spacing w:val="-9"/>
        </w:rPr>
        <w:t xml:space="preserve"> </w:t>
      </w:r>
      <w:r>
        <w:t>tariff</w:t>
      </w:r>
      <w:r>
        <w:rPr>
          <w:spacing w:val="-9"/>
        </w:rPr>
        <w:t xml:space="preserve"> </w:t>
      </w:r>
      <w:r>
        <w:t>for</w:t>
      </w:r>
      <w:r>
        <w:rPr>
          <w:spacing w:val="-9"/>
        </w:rPr>
        <w:t xml:space="preserve"> </w:t>
      </w:r>
      <w:r>
        <w:t>wastewater,</w:t>
      </w:r>
      <w:r>
        <w:rPr>
          <w:spacing w:val="-8"/>
        </w:rPr>
        <w:t xml:space="preserve"> </w:t>
      </w:r>
      <w:r>
        <w:t>but</w:t>
      </w:r>
      <w:r>
        <w:rPr>
          <w:spacing w:val="-9"/>
        </w:rPr>
        <w:t xml:space="preserve"> </w:t>
      </w:r>
      <w:r>
        <w:t>they</w:t>
      </w:r>
      <w:r>
        <w:rPr>
          <w:spacing w:val="-9"/>
        </w:rPr>
        <w:t xml:space="preserve"> </w:t>
      </w:r>
      <w:r>
        <w:t>influence operating costs, which have been prepared taking into account:</w:t>
      </w:r>
    </w:p>
    <w:p w14:paraId="26FFC192" w14:textId="77777777" w:rsidR="00141B97" w:rsidRDefault="00911D63">
      <w:pPr>
        <w:pStyle w:val="ListParagraph"/>
        <w:numPr>
          <w:ilvl w:val="4"/>
          <w:numId w:val="81"/>
        </w:numPr>
        <w:tabs>
          <w:tab w:val="left" w:pos="833"/>
          <w:tab w:val="left" w:pos="834"/>
        </w:tabs>
        <w:spacing w:line="280" w:lineRule="exact"/>
        <w:ind w:hanging="361"/>
      </w:pPr>
      <w:r>
        <w:t>Historic</w:t>
      </w:r>
      <w:r>
        <w:rPr>
          <w:spacing w:val="-6"/>
        </w:rPr>
        <w:t xml:space="preserve"> </w:t>
      </w:r>
      <w:r>
        <w:t>and</w:t>
      </w:r>
      <w:r>
        <w:rPr>
          <w:spacing w:val="-7"/>
        </w:rPr>
        <w:t xml:space="preserve"> </w:t>
      </w:r>
      <w:r>
        <w:t>expected</w:t>
      </w:r>
      <w:r>
        <w:rPr>
          <w:spacing w:val="-7"/>
        </w:rPr>
        <w:t xml:space="preserve"> </w:t>
      </w:r>
      <w:r>
        <w:t>growth</w:t>
      </w:r>
      <w:r>
        <w:rPr>
          <w:spacing w:val="-8"/>
        </w:rPr>
        <w:t xml:space="preserve"> </w:t>
      </w:r>
      <w:r>
        <w:t>in</w:t>
      </w:r>
      <w:r>
        <w:rPr>
          <w:spacing w:val="-7"/>
        </w:rPr>
        <w:t xml:space="preserve"> </w:t>
      </w:r>
      <w:r>
        <w:t>number</w:t>
      </w:r>
      <w:r>
        <w:rPr>
          <w:spacing w:val="-7"/>
        </w:rPr>
        <w:t xml:space="preserve"> </w:t>
      </w:r>
      <w:r>
        <w:t>of</w:t>
      </w:r>
      <w:r>
        <w:rPr>
          <w:spacing w:val="-7"/>
        </w:rPr>
        <w:t xml:space="preserve"> </w:t>
      </w:r>
      <w:r>
        <w:t>wastewater</w:t>
      </w:r>
      <w:r>
        <w:rPr>
          <w:spacing w:val="-9"/>
        </w:rPr>
        <w:t xml:space="preserve"> </w:t>
      </w:r>
      <w:r>
        <w:rPr>
          <w:spacing w:val="-2"/>
        </w:rPr>
        <w:t>connections.</w:t>
      </w:r>
    </w:p>
    <w:p w14:paraId="3CB1D149" w14:textId="77777777" w:rsidR="00141B97" w:rsidRDefault="00911D63">
      <w:pPr>
        <w:pStyle w:val="ListParagraph"/>
        <w:numPr>
          <w:ilvl w:val="4"/>
          <w:numId w:val="81"/>
        </w:numPr>
        <w:tabs>
          <w:tab w:val="left" w:pos="833"/>
          <w:tab w:val="left" w:pos="834"/>
        </w:tabs>
        <w:ind w:right="949" w:hanging="361"/>
      </w:pPr>
      <w:r>
        <w:t>Historic wastewater flow patterns and influences noting water demand management measures in the LMW</w:t>
      </w:r>
      <w:r>
        <w:rPr>
          <w:spacing w:val="-8"/>
        </w:rPr>
        <w:t xml:space="preserve"> </w:t>
      </w:r>
      <w:r>
        <w:t>region</w:t>
      </w:r>
      <w:r>
        <w:rPr>
          <w:spacing w:val="-7"/>
        </w:rPr>
        <w:t xml:space="preserve"> </w:t>
      </w:r>
      <w:r>
        <w:t>mainly</w:t>
      </w:r>
      <w:r>
        <w:rPr>
          <w:spacing w:val="-6"/>
        </w:rPr>
        <w:t xml:space="preserve"> </w:t>
      </w:r>
      <w:r>
        <w:t>impact</w:t>
      </w:r>
      <w:r>
        <w:rPr>
          <w:spacing w:val="-8"/>
        </w:rPr>
        <w:t xml:space="preserve"> </w:t>
      </w:r>
      <w:r>
        <w:t>on</w:t>
      </w:r>
      <w:r>
        <w:rPr>
          <w:spacing w:val="-8"/>
        </w:rPr>
        <w:t xml:space="preserve"> </w:t>
      </w:r>
      <w:r>
        <w:t>garden</w:t>
      </w:r>
      <w:r>
        <w:rPr>
          <w:spacing w:val="-8"/>
        </w:rPr>
        <w:t xml:space="preserve"> </w:t>
      </w:r>
      <w:r>
        <w:t>watering</w:t>
      </w:r>
      <w:r>
        <w:rPr>
          <w:spacing w:val="-7"/>
        </w:rPr>
        <w:t xml:space="preserve"> </w:t>
      </w:r>
      <w:r>
        <w:t>and</w:t>
      </w:r>
      <w:r>
        <w:rPr>
          <w:spacing w:val="-7"/>
        </w:rPr>
        <w:t xml:space="preserve"> </w:t>
      </w:r>
      <w:r>
        <w:t>consequently</w:t>
      </w:r>
      <w:r>
        <w:rPr>
          <w:spacing w:val="-5"/>
        </w:rPr>
        <w:t xml:space="preserve"> </w:t>
      </w:r>
      <w:r>
        <w:t>have</w:t>
      </w:r>
      <w:r>
        <w:rPr>
          <w:spacing w:val="-8"/>
        </w:rPr>
        <w:t xml:space="preserve"> </w:t>
      </w:r>
      <w:r>
        <w:t>less</w:t>
      </w:r>
      <w:r>
        <w:rPr>
          <w:spacing w:val="-7"/>
        </w:rPr>
        <w:t xml:space="preserve"> </w:t>
      </w:r>
      <w:r>
        <w:t>effect</w:t>
      </w:r>
      <w:r>
        <w:rPr>
          <w:spacing w:val="-8"/>
        </w:rPr>
        <w:t xml:space="preserve"> </w:t>
      </w:r>
      <w:r>
        <w:t>on</w:t>
      </w:r>
      <w:r>
        <w:rPr>
          <w:spacing w:val="-8"/>
        </w:rPr>
        <w:t xml:space="preserve"> </w:t>
      </w:r>
      <w:r>
        <w:t>wastewater</w:t>
      </w:r>
      <w:r>
        <w:rPr>
          <w:spacing w:val="-7"/>
        </w:rPr>
        <w:t xml:space="preserve"> </w:t>
      </w:r>
      <w:r>
        <w:t>flows.</w:t>
      </w:r>
    </w:p>
    <w:p w14:paraId="0CB6AFCB" w14:textId="77777777" w:rsidR="00141B97" w:rsidRDefault="00141B97">
      <w:pPr>
        <w:pStyle w:val="BodyText"/>
      </w:pPr>
    </w:p>
    <w:p w14:paraId="5782C328" w14:textId="77777777" w:rsidR="00141B97" w:rsidRDefault="00911D63">
      <w:pPr>
        <w:pStyle w:val="BodyText"/>
        <w:ind w:left="114"/>
        <w:jc w:val="both"/>
      </w:pPr>
      <w:r>
        <w:t>Table</w:t>
      </w:r>
      <w:r>
        <w:rPr>
          <w:spacing w:val="-7"/>
        </w:rPr>
        <w:t xml:space="preserve"> </w:t>
      </w:r>
      <w:r>
        <w:t>B22</w:t>
      </w:r>
      <w:r>
        <w:rPr>
          <w:spacing w:val="-7"/>
        </w:rPr>
        <w:t xml:space="preserve"> </w:t>
      </w:r>
      <w:r>
        <w:t>shows</w:t>
      </w:r>
      <w:r>
        <w:rPr>
          <w:spacing w:val="-6"/>
        </w:rPr>
        <w:t xml:space="preserve"> </w:t>
      </w:r>
      <w:r>
        <w:t>a</w:t>
      </w:r>
      <w:r>
        <w:rPr>
          <w:spacing w:val="-7"/>
        </w:rPr>
        <w:t xml:space="preserve"> </w:t>
      </w:r>
      <w:r>
        <w:t>summary</w:t>
      </w:r>
      <w:r>
        <w:rPr>
          <w:spacing w:val="-6"/>
        </w:rPr>
        <w:t xml:space="preserve"> </w:t>
      </w:r>
      <w:r>
        <w:t>of</w:t>
      </w:r>
      <w:r>
        <w:rPr>
          <w:spacing w:val="-6"/>
        </w:rPr>
        <w:t xml:space="preserve"> </w:t>
      </w:r>
      <w:r>
        <w:t>estimated</w:t>
      </w:r>
      <w:r>
        <w:rPr>
          <w:spacing w:val="-7"/>
        </w:rPr>
        <w:t xml:space="preserve"> </w:t>
      </w:r>
      <w:r>
        <w:t>wastewater</w:t>
      </w:r>
      <w:r>
        <w:rPr>
          <w:spacing w:val="-6"/>
        </w:rPr>
        <w:t xml:space="preserve"> </w:t>
      </w:r>
      <w:r>
        <w:t>flows</w:t>
      </w:r>
      <w:r>
        <w:rPr>
          <w:spacing w:val="-6"/>
        </w:rPr>
        <w:t xml:space="preserve"> </w:t>
      </w:r>
      <w:r>
        <w:t>based</w:t>
      </w:r>
      <w:r>
        <w:rPr>
          <w:spacing w:val="-6"/>
        </w:rPr>
        <w:t xml:space="preserve"> </w:t>
      </w:r>
      <w:r>
        <w:t>on</w:t>
      </w:r>
      <w:r>
        <w:rPr>
          <w:spacing w:val="-6"/>
        </w:rPr>
        <w:t xml:space="preserve"> </w:t>
      </w:r>
      <w:r>
        <w:t>the</w:t>
      </w:r>
      <w:r>
        <w:rPr>
          <w:spacing w:val="-6"/>
        </w:rPr>
        <w:t xml:space="preserve"> </w:t>
      </w:r>
      <w:r>
        <w:t>above</w:t>
      </w:r>
      <w:r>
        <w:rPr>
          <w:spacing w:val="-5"/>
        </w:rPr>
        <w:t xml:space="preserve"> </w:t>
      </w:r>
      <w:r>
        <w:rPr>
          <w:spacing w:val="-2"/>
        </w:rPr>
        <w:t>factors.</w:t>
      </w:r>
    </w:p>
    <w:p w14:paraId="4E85A927" w14:textId="77777777" w:rsidR="00141B97" w:rsidRDefault="00141B97">
      <w:pPr>
        <w:pStyle w:val="BodyText"/>
      </w:pPr>
    </w:p>
    <w:tbl>
      <w:tblPr>
        <w:tblW w:w="0" w:type="auto"/>
        <w:tblCellSpacing w:w="9" w:type="dxa"/>
        <w:tblInd w:w="140" w:type="dxa"/>
        <w:tblLayout w:type="fixed"/>
        <w:tblCellMar>
          <w:left w:w="0" w:type="dxa"/>
          <w:right w:w="0" w:type="dxa"/>
        </w:tblCellMar>
        <w:tblLook w:val="01E0" w:firstRow="1" w:lastRow="1" w:firstColumn="1" w:lastColumn="1" w:noHBand="0" w:noVBand="0"/>
      </w:tblPr>
      <w:tblGrid>
        <w:gridCol w:w="3398"/>
        <w:gridCol w:w="1173"/>
        <w:gridCol w:w="1039"/>
        <w:gridCol w:w="1039"/>
        <w:gridCol w:w="1039"/>
        <w:gridCol w:w="1039"/>
        <w:gridCol w:w="1043"/>
      </w:tblGrid>
      <w:tr w:rsidR="00141B97" w14:paraId="6247A05F" w14:textId="77777777">
        <w:trPr>
          <w:trHeight w:val="303"/>
          <w:tblCellSpacing w:w="9" w:type="dxa"/>
        </w:trPr>
        <w:tc>
          <w:tcPr>
            <w:tcW w:w="3371" w:type="dxa"/>
            <w:vMerge w:val="restart"/>
            <w:tcBorders>
              <w:top w:val="nil"/>
              <w:left w:val="nil"/>
              <w:right w:val="nil"/>
            </w:tcBorders>
            <w:shd w:val="clear" w:color="auto" w:fill="0064A4"/>
          </w:tcPr>
          <w:p w14:paraId="78B70BEA" w14:textId="77777777" w:rsidR="00141B97" w:rsidRDefault="00141B97">
            <w:pPr>
              <w:pStyle w:val="TableParagraph"/>
              <w:rPr>
                <w:rFonts w:ascii="Times New Roman"/>
                <w:sz w:val="20"/>
              </w:rPr>
            </w:pPr>
          </w:p>
        </w:tc>
        <w:tc>
          <w:tcPr>
            <w:tcW w:w="1155" w:type="dxa"/>
            <w:tcBorders>
              <w:top w:val="nil"/>
              <w:left w:val="nil"/>
            </w:tcBorders>
            <w:shd w:val="clear" w:color="auto" w:fill="0064A4"/>
          </w:tcPr>
          <w:p w14:paraId="21510C8A" w14:textId="77777777" w:rsidR="00141B97" w:rsidRDefault="00911D63">
            <w:pPr>
              <w:pStyle w:val="TableParagraph"/>
              <w:spacing w:before="38"/>
              <w:ind w:left="257"/>
              <w:rPr>
                <w:sz w:val="20"/>
              </w:rPr>
            </w:pPr>
            <w:r>
              <w:rPr>
                <w:color w:val="FFFFFF"/>
                <w:spacing w:val="-2"/>
                <w:sz w:val="20"/>
              </w:rPr>
              <w:t>Current</w:t>
            </w:r>
          </w:p>
        </w:tc>
        <w:tc>
          <w:tcPr>
            <w:tcW w:w="5100" w:type="dxa"/>
            <w:gridSpan w:val="5"/>
            <w:tcBorders>
              <w:top w:val="nil"/>
              <w:right w:val="nil"/>
            </w:tcBorders>
            <w:shd w:val="clear" w:color="auto" w:fill="0064A4"/>
          </w:tcPr>
          <w:p w14:paraId="3D5ADFC7" w14:textId="77777777" w:rsidR="00141B97" w:rsidRDefault="00911D63">
            <w:pPr>
              <w:pStyle w:val="TableParagraph"/>
              <w:spacing w:before="38"/>
              <w:ind w:left="1613"/>
              <w:rPr>
                <w:sz w:val="20"/>
              </w:rPr>
            </w:pPr>
            <w:r>
              <w:rPr>
                <w:color w:val="FFFFFF"/>
                <w:sz w:val="20"/>
              </w:rPr>
              <w:t>Fifth</w:t>
            </w:r>
            <w:r>
              <w:rPr>
                <w:color w:val="FFFFFF"/>
                <w:spacing w:val="-3"/>
                <w:sz w:val="20"/>
              </w:rPr>
              <w:t xml:space="preserve"> </w:t>
            </w:r>
            <w:r>
              <w:rPr>
                <w:color w:val="FFFFFF"/>
                <w:sz w:val="20"/>
              </w:rPr>
              <w:t>Regulatory</w:t>
            </w:r>
            <w:r>
              <w:rPr>
                <w:color w:val="FFFFFF"/>
                <w:spacing w:val="-2"/>
                <w:sz w:val="20"/>
              </w:rPr>
              <w:t xml:space="preserve"> Period</w:t>
            </w:r>
          </w:p>
        </w:tc>
      </w:tr>
      <w:tr w:rsidR="00141B97" w14:paraId="7A39C2A2" w14:textId="77777777">
        <w:trPr>
          <w:trHeight w:val="282"/>
          <w:tblCellSpacing w:w="9" w:type="dxa"/>
        </w:trPr>
        <w:tc>
          <w:tcPr>
            <w:tcW w:w="3371" w:type="dxa"/>
            <w:vMerge/>
            <w:tcBorders>
              <w:top w:val="nil"/>
              <w:left w:val="nil"/>
              <w:right w:val="nil"/>
            </w:tcBorders>
            <w:shd w:val="clear" w:color="auto" w:fill="0064A4"/>
          </w:tcPr>
          <w:p w14:paraId="70E0367F" w14:textId="77777777" w:rsidR="00141B97" w:rsidRDefault="00141B97">
            <w:pPr>
              <w:rPr>
                <w:sz w:val="2"/>
                <w:szCs w:val="2"/>
              </w:rPr>
            </w:pPr>
          </w:p>
        </w:tc>
        <w:tc>
          <w:tcPr>
            <w:tcW w:w="1155" w:type="dxa"/>
            <w:tcBorders>
              <w:left w:val="nil"/>
            </w:tcBorders>
            <w:shd w:val="clear" w:color="auto" w:fill="0064A4"/>
          </w:tcPr>
          <w:p w14:paraId="6497AC1B" w14:textId="77777777" w:rsidR="00141B97" w:rsidRDefault="00911D63">
            <w:pPr>
              <w:pStyle w:val="TableParagraph"/>
              <w:spacing w:before="19" w:line="243" w:lineRule="exact"/>
              <w:ind w:left="232"/>
              <w:rPr>
                <w:sz w:val="20"/>
              </w:rPr>
            </w:pPr>
            <w:r>
              <w:rPr>
                <w:color w:val="FFFFFF"/>
                <w:spacing w:val="-2"/>
                <w:sz w:val="20"/>
              </w:rPr>
              <w:t>2022‐23</w:t>
            </w:r>
          </w:p>
        </w:tc>
        <w:tc>
          <w:tcPr>
            <w:tcW w:w="1021" w:type="dxa"/>
            <w:shd w:val="clear" w:color="auto" w:fill="0064A4"/>
          </w:tcPr>
          <w:p w14:paraId="29B27F52" w14:textId="77777777" w:rsidR="00141B97" w:rsidRDefault="00911D63">
            <w:pPr>
              <w:pStyle w:val="TableParagraph"/>
              <w:spacing w:before="19" w:line="243" w:lineRule="exact"/>
              <w:ind w:left="164"/>
              <w:rPr>
                <w:sz w:val="20"/>
              </w:rPr>
            </w:pPr>
            <w:r>
              <w:rPr>
                <w:color w:val="FFFFFF"/>
                <w:spacing w:val="-2"/>
                <w:sz w:val="20"/>
              </w:rPr>
              <w:t>2023‐24</w:t>
            </w:r>
          </w:p>
        </w:tc>
        <w:tc>
          <w:tcPr>
            <w:tcW w:w="1021" w:type="dxa"/>
            <w:shd w:val="clear" w:color="auto" w:fill="0064A4"/>
          </w:tcPr>
          <w:p w14:paraId="3FCB3BC4" w14:textId="77777777" w:rsidR="00141B97" w:rsidRDefault="00911D63">
            <w:pPr>
              <w:pStyle w:val="TableParagraph"/>
              <w:spacing w:before="19" w:line="243" w:lineRule="exact"/>
              <w:ind w:left="163"/>
              <w:rPr>
                <w:sz w:val="20"/>
              </w:rPr>
            </w:pPr>
            <w:r>
              <w:rPr>
                <w:color w:val="FFFFFF"/>
                <w:spacing w:val="-2"/>
                <w:sz w:val="20"/>
              </w:rPr>
              <w:t>2024‐25</w:t>
            </w:r>
          </w:p>
        </w:tc>
        <w:tc>
          <w:tcPr>
            <w:tcW w:w="1021" w:type="dxa"/>
            <w:shd w:val="clear" w:color="auto" w:fill="0064A4"/>
          </w:tcPr>
          <w:p w14:paraId="72C092E9" w14:textId="77777777" w:rsidR="00141B97" w:rsidRDefault="00911D63">
            <w:pPr>
              <w:pStyle w:val="TableParagraph"/>
              <w:spacing w:before="19" w:line="243" w:lineRule="exact"/>
              <w:ind w:left="162"/>
              <w:rPr>
                <w:sz w:val="20"/>
              </w:rPr>
            </w:pPr>
            <w:r>
              <w:rPr>
                <w:color w:val="FFFFFF"/>
                <w:spacing w:val="-2"/>
                <w:sz w:val="20"/>
              </w:rPr>
              <w:t>2025‐26</w:t>
            </w:r>
          </w:p>
        </w:tc>
        <w:tc>
          <w:tcPr>
            <w:tcW w:w="1021" w:type="dxa"/>
            <w:shd w:val="clear" w:color="auto" w:fill="0064A4"/>
          </w:tcPr>
          <w:p w14:paraId="60D0E423" w14:textId="77777777" w:rsidR="00141B97" w:rsidRDefault="00911D63">
            <w:pPr>
              <w:pStyle w:val="TableParagraph"/>
              <w:spacing w:before="19" w:line="243" w:lineRule="exact"/>
              <w:ind w:left="161"/>
              <w:rPr>
                <w:sz w:val="20"/>
              </w:rPr>
            </w:pPr>
            <w:r>
              <w:rPr>
                <w:color w:val="FFFFFF"/>
                <w:spacing w:val="-2"/>
                <w:sz w:val="20"/>
              </w:rPr>
              <w:t>2026‐27</w:t>
            </w:r>
          </w:p>
        </w:tc>
        <w:tc>
          <w:tcPr>
            <w:tcW w:w="1016" w:type="dxa"/>
            <w:tcBorders>
              <w:right w:val="nil"/>
            </w:tcBorders>
            <w:shd w:val="clear" w:color="auto" w:fill="0064A4"/>
          </w:tcPr>
          <w:p w14:paraId="48CCF758" w14:textId="77777777" w:rsidR="00141B97" w:rsidRDefault="00911D63">
            <w:pPr>
              <w:pStyle w:val="TableParagraph"/>
              <w:spacing w:before="19" w:line="243" w:lineRule="exact"/>
              <w:ind w:left="160"/>
              <w:rPr>
                <w:sz w:val="20"/>
              </w:rPr>
            </w:pPr>
            <w:r>
              <w:rPr>
                <w:color w:val="FFFFFF"/>
                <w:spacing w:val="-2"/>
                <w:sz w:val="20"/>
              </w:rPr>
              <w:t>2027‐28</w:t>
            </w:r>
          </w:p>
        </w:tc>
      </w:tr>
      <w:tr w:rsidR="00141B97" w14:paraId="3FF3EAA0" w14:textId="77777777">
        <w:trPr>
          <w:trHeight w:val="283"/>
          <w:tblCellSpacing w:w="9" w:type="dxa"/>
        </w:trPr>
        <w:tc>
          <w:tcPr>
            <w:tcW w:w="3371" w:type="dxa"/>
            <w:tcBorders>
              <w:left w:val="nil"/>
              <w:right w:val="nil"/>
            </w:tcBorders>
            <w:shd w:val="clear" w:color="auto" w:fill="CCE2ED"/>
          </w:tcPr>
          <w:p w14:paraId="14ECAEA0" w14:textId="77777777" w:rsidR="00141B97" w:rsidRDefault="00911D63">
            <w:pPr>
              <w:pStyle w:val="TableParagraph"/>
              <w:spacing w:before="19"/>
              <w:ind w:left="98"/>
              <w:rPr>
                <w:sz w:val="20"/>
              </w:rPr>
            </w:pPr>
            <w:r>
              <w:rPr>
                <w:sz w:val="20"/>
              </w:rPr>
              <w:t>Residential</w:t>
            </w:r>
            <w:r>
              <w:rPr>
                <w:spacing w:val="-4"/>
                <w:sz w:val="20"/>
              </w:rPr>
              <w:t xml:space="preserve"> </w:t>
            </w:r>
            <w:r>
              <w:rPr>
                <w:sz w:val="20"/>
              </w:rPr>
              <w:t>equiv</w:t>
            </w:r>
            <w:r>
              <w:rPr>
                <w:spacing w:val="-4"/>
                <w:sz w:val="20"/>
              </w:rPr>
              <w:t xml:space="preserve"> </w:t>
            </w:r>
            <w:r>
              <w:rPr>
                <w:spacing w:val="-2"/>
                <w:sz w:val="20"/>
              </w:rPr>
              <w:t>connections</w:t>
            </w:r>
          </w:p>
        </w:tc>
        <w:tc>
          <w:tcPr>
            <w:tcW w:w="1155" w:type="dxa"/>
            <w:tcBorders>
              <w:left w:val="nil"/>
            </w:tcBorders>
            <w:shd w:val="clear" w:color="auto" w:fill="CCE2ED"/>
          </w:tcPr>
          <w:p w14:paraId="56F3E7A5" w14:textId="77777777" w:rsidR="00141B97" w:rsidRDefault="00911D63">
            <w:pPr>
              <w:pStyle w:val="TableParagraph"/>
              <w:spacing w:before="19"/>
              <w:ind w:right="95"/>
              <w:jc w:val="right"/>
              <w:rPr>
                <w:sz w:val="20"/>
              </w:rPr>
            </w:pPr>
            <w:r>
              <w:rPr>
                <w:spacing w:val="-2"/>
                <w:sz w:val="20"/>
              </w:rPr>
              <w:t>28,070</w:t>
            </w:r>
          </w:p>
        </w:tc>
        <w:tc>
          <w:tcPr>
            <w:tcW w:w="1021" w:type="dxa"/>
            <w:shd w:val="clear" w:color="auto" w:fill="CCE2ED"/>
          </w:tcPr>
          <w:p w14:paraId="660A95A2" w14:textId="77777777" w:rsidR="00141B97" w:rsidRDefault="00911D63">
            <w:pPr>
              <w:pStyle w:val="TableParagraph"/>
              <w:spacing w:before="19"/>
              <w:ind w:right="96"/>
              <w:jc w:val="right"/>
              <w:rPr>
                <w:sz w:val="20"/>
              </w:rPr>
            </w:pPr>
            <w:r>
              <w:rPr>
                <w:spacing w:val="-2"/>
                <w:sz w:val="20"/>
              </w:rPr>
              <w:t>28,421</w:t>
            </w:r>
          </w:p>
        </w:tc>
        <w:tc>
          <w:tcPr>
            <w:tcW w:w="1021" w:type="dxa"/>
            <w:shd w:val="clear" w:color="auto" w:fill="CCE2ED"/>
          </w:tcPr>
          <w:p w14:paraId="3F1B48E2" w14:textId="77777777" w:rsidR="00141B97" w:rsidRDefault="00911D63">
            <w:pPr>
              <w:pStyle w:val="TableParagraph"/>
              <w:spacing w:before="19"/>
              <w:ind w:right="97"/>
              <w:jc w:val="right"/>
              <w:rPr>
                <w:sz w:val="20"/>
              </w:rPr>
            </w:pPr>
            <w:r>
              <w:rPr>
                <w:spacing w:val="-2"/>
                <w:sz w:val="20"/>
              </w:rPr>
              <w:t>28,777</w:t>
            </w:r>
          </w:p>
        </w:tc>
        <w:tc>
          <w:tcPr>
            <w:tcW w:w="1021" w:type="dxa"/>
            <w:shd w:val="clear" w:color="auto" w:fill="CCE2ED"/>
          </w:tcPr>
          <w:p w14:paraId="14C7E88F" w14:textId="77777777" w:rsidR="00141B97" w:rsidRDefault="00911D63">
            <w:pPr>
              <w:pStyle w:val="TableParagraph"/>
              <w:spacing w:before="19"/>
              <w:ind w:right="98"/>
              <w:jc w:val="right"/>
              <w:rPr>
                <w:sz w:val="20"/>
              </w:rPr>
            </w:pPr>
            <w:r>
              <w:rPr>
                <w:spacing w:val="-2"/>
                <w:sz w:val="20"/>
              </w:rPr>
              <w:t>29,136</w:t>
            </w:r>
          </w:p>
        </w:tc>
        <w:tc>
          <w:tcPr>
            <w:tcW w:w="1021" w:type="dxa"/>
            <w:shd w:val="clear" w:color="auto" w:fill="CCE2ED"/>
          </w:tcPr>
          <w:p w14:paraId="54318359" w14:textId="77777777" w:rsidR="00141B97" w:rsidRDefault="00911D63">
            <w:pPr>
              <w:pStyle w:val="TableParagraph"/>
              <w:spacing w:before="19"/>
              <w:ind w:right="99"/>
              <w:jc w:val="right"/>
              <w:rPr>
                <w:sz w:val="20"/>
              </w:rPr>
            </w:pPr>
            <w:r>
              <w:rPr>
                <w:spacing w:val="-2"/>
                <w:sz w:val="20"/>
              </w:rPr>
              <w:t>29,500</w:t>
            </w:r>
          </w:p>
        </w:tc>
        <w:tc>
          <w:tcPr>
            <w:tcW w:w="1016" w:type="dxa"/>
            <w:tcBorders>
              <w:right w:val="nil"/>
            </w:tcBorders>
            <w:shd w:val="clear" w:color="auto" w:fill="CCE2ED"/>
          </w:tcPr>
          <w:p w14:paraId="0A88DF87" w14:textId="77777777" w:rsidR="00141B97" w:rsidRDefault="00911D63">
            <w:pPr>
              <w:pStyle w:val="TableParagraph"/>
              <w:spacing w:before="19"/>
              <w:ind w:right="95"/>
              <w:jc w:val="right"/>
              <w:rPr>
                <w:sz w:val="20"/>
              </w:rPr>
            </w:pPr>
            <w:r>
              <w:rPr>
                <w:spacing w:val="-2"/>
                <w:sz w:val="20"/>
              </w:rPr>
              <w:t>29,867</w:t>
            </w:r>
          </w:p>
        </w:tc>
      </w:tr>
      <w:tr w:rsidR="00141B97" w14:paraId="4B184BAB" w14:textId="77777777">
        <w:trPr>
          <w:trHeight w:val="282"/>
          <w:tblCellSpacing w:w="9" w:type="dxa"/>
        </w:trPr>
        <w:tc>
          <w:tcPr>
            <w:tcW w:w="3371" w:type="dxa"/>
            <w:tcBorders>
              <w:left w:val="nil"/>
              <w:right w:val="nil"/>
            </w:tcBorders>
            <w:shd w:val="clear" w:color="auto" w:fill="CCE2ED"/>
          </w:tcPr>
          <w:p w14:paraId="0B7CD8E4" w14:textId="77777777" w:rsidR="00141B97" w:rsidRDefault="00911D63">
            <w:pPr>
              <w:pStyle w:val="TableParagraph"/>
              <w:spacing w:before="18"/>
              <w:ind w:left="98"/>
              <w:rPr>
                <w:sz w:val="20"/>
              </w:rPr>
            </w:pPr>
            <w:r>
              <w:rPr>
                <w:sz w:val="20"/>
              </w:rPr>
              <w:t>Non</w:t>
            </w:r>
            <w:r>
              <w:rPr>
                <w:spacing w:val="-3"/>
                <w:sz w:val="20"/>
              </w:rPr>
              <w:t xml:space="preserve"> </w:t>
            </w:r>
            <w:r>
              <w:rPr>
                <w:sz w:val="20"/>
              </w:rPr>
              <w:t>residential</w:t>
            </w:r>
            <w:r>
              <w:rPr>
                <w:spacing w:val="-3"/>
                <w:sz w:val="20"/>
              </w:rPr>
              <w:t xml:space="preserve"> </w:t>
            </w:r>
            <w:r>
              <w:rPr>
                <w:sz w:val="20"/>
              </w:rPr>
              <w:t>equiv</w:t>
            </w:r>
            <w:r>
              <w:rPr>
                <w:spacing w:val="-1"/>
                <w:sz w:val="20"/>
              </w:rPr>
              <w:t xml:space="preserve"> </w:t>
            </w:r>
            <w:r>
              <w:rPr>
                <w:spacing w:val="-2"/>
                <w:sz w:val="20"/>
              </w:rPr>
              <w:t>connections</w:t>
            </w:r>
          </w:p>
        </w:tc>
        <w:tc>
          <w:tcPr>
            <w:tcW w:w="1155" w:type="dxa"/>
            <w:tcBorders>
              <w:left w:val="nil"/>
            </w:tcBorders>
            <w:shd w:val="clear" w:color="auto" w:fill="CCE2ED"/>
          </w:tcPr>
          <w:p w14:paraId="4F99515C" w14:textId="77777777" w:rsidR="00141B97" w:rsidRDefault="00911D63">
            <w:pPr>
              <w:pStyle w:val="TableParagraph"/>
              <w:spacing w:before="18"/>
              <w:ind w:right="95"/>
              <w:jc w:val="right"/>
              <w:rPr>
                <w:sz w:val="20"/>
              </w:rPr>
            </w:pPr>
            <w:r>
              <w:rPr>
                <w:spacing w:val="-2"/>
                <w:sz w:val="20"/>
              </w:rPr>
              <w:t>4,728</w:t>
            </w:r>
          </w:p>
        </w:tc>
        <w:tc>
          <w:tcPr>
            <w:tcW w:w="1021" w:type="dxa"/>
            <w:shd w:val="clear" w:color="auto" w:fill="CCE2ED"/>
          </w:tcPr>
          <w:p w14:paraId="47D3088B" w14:textId="77777777" w:rsidR="00141B97" w:rsidRDefault="00911D63">
            <w:pPr>
              <w:pStyle w:val="TableParagraph"/>
              <w:spacing w:before="18"/>
              <w:ind w:right="96"/>
              <w:jc w:val="right"/>
              <w:rPr>
                <w:sz w:val="20"/>
              </w:rPr>
            </w:pPr>
            <w:r>
              <w:rPr>
                <w:spacing w:val="-2"/>
                <w:sz w:val="20"/>
              </w:rPr>
              <w:t>4,763</w:t>
            </w:r>
          </w:p>
        </w:tc>
        <w:tc>
          <w:tcPr>
            <w:tcW w:w="1021" w:type="dxa"/>
            <w:shd w:val="clear" w:color="auto" w:fill="CCE2ED"/>
          </w:tcPr>
          <w:p w14:paraId="05FB9956" w14:textId="77777777" w:rsidR="00141B97" w:rsidRDefault="00911D63">
            <w:pPr>
              <w:pStyle w:val="TableParagraph"/>
              <w:spacing w:before="18"/>
              <w:ind w:right="97"/>
              <w:jc w:val="right"/>
              <w:rPr>
                <w:sz w:val="20"/>
              </w:rPr>
            </w:pPr>
            <w:r>
              <w:rPr>
                <w:spacing w:val="-2"/>
                <w:sz w:val="20"/>
              </w:rPr>
              <w:t>4,798</w:t>
            </w:r>
          </w:p>
        </w:tc>
        <w:tc>
          <w:tcPr>
            <w:tcW w:w="1021" w:type="dxa"/>
            <w:shd w:val="clear" w:color="auto" w:fill="CCE2ED"/>
          </w:tcPr>
          <w:p w14:paraId="20362DBE" w14:textId="77777777" w:rsidR="00141B97" w:rsidRDefault="00911D63">
            <w:pPr>
              <w:pStyle w:val="TableParagraph"/>
              <w:spacing w:before="18"/>
              <w:ind w:right="98"/>
              <w:jc w:val="right"/>
              <w:rPr>
                <w:sz w:val="20"/>
              </w:rPr>
            </w:pPr>
            <w:r>
              <w:rPr>
                <w:spacing w:val="-2"/>
                <w:sz w:val="20"/>
              </w:rPr>
              <w:t>4,833</w:t>
            </w:r>
          </w:p>
        </w:tc>
        <w:tc>
          <w:tcPr>
            <w:tcW w:w="1021" w:type="dxa"/>
            <w:shd w:val="clear" w:color="auto" w:fill="CCE2ED"/>
          </w:tcPr>
          <w:p w14:paraId="5985A006" w14:textId="77777777" w:rsidR="00141B97" w:rsidRDefault="00911D63">
            <w:pPr>
              <w:pStyle w:val="TableParagraph"/>
              <w:spacing w:before="18"/>
              <w:ind w:right="99"/>
              <w:jc w:val="right"/>
              <w:rPr>
                <w:sz w:val="20"/>
              </w:rPr>
            </w:pPr>
            <w:r>
              <w:rPr>
                <w:spacing w:val="-2"/>
                <w:sz w:val="20"/>
              </w:rPr>
              <w:t>4,868</w:t>
            </w:r>
          </w:p>
        </w:tc>
        <w:tc>
          <w:tcPr>
            <w:tcW w:w="1016" w:type="dxa"/>
            <w:tcBorders>
              <w:right w:val="nil"/>
            </w:tcBorders>
            <w:shd w:val="clear" w:color="auto" w:fill="CCE2ED"/>
          </w:tcPr>
          <w:p w14:paraId="7658E363" w14:textId="77777777" w:rsidR="00141B97" w:rsidRDefault="00911D63">
            <w:pPr>
              <w:pStyle w:val="TableParagraph"/>
              <w:spacing w:before="18"/>
              <w:ind w:right="95"/>
              <w:jc w:val="right"/>
              <w:rPr>
                <w:sz w:val="20"/>
              </w:rPr>
            </w:pPr>
            <w:r>
              <w:rPr>
                <w:spacing w:val="-2"/>
                <w:sz w:val="20"/>
              </w:rPr>
              <w:t>4,903</w:t>
            </w:r>
          </w:p>
        </w:tc>
      </w:tr>
      <w:tr w:rsidR="00141B97" w14:paraId="15433D24" w14:textId="77777777">
        <w:trPr>
          <w:trHeight w:val="283"/>
          <w:tblCellSpacing w:w="9" w:type="dxa"/>
        </w:trPr>
        <w:tc>
          <w:tcPr>
            <w:tcW w:w="3371" w:type="dxa"/>
            <w:tcBorders>
              <w:left w:val="nil"/>
              <w:right w:val="nil"/>
            </w:tcBorders>
            <w:shd w:val="clear" w:color="auto" w:fill="BFBFBF"/>
          </w:tcPr>
          <w:p w14:paraId="7E1BBEF3" w14:textId="77777777" w:rsidR="00141B97" w:rsidRDefault="00911D63">
            <w:pPr>
              <w:pStyle w:val="TableParagraph"/>
              <w:spacing w:before="19"/>
              <w:ind w:left="98"/>
              <w:rPr>
                <w:sz w:val="20"/>
              </w:rPr>
            </w:pPr>
            <w:r>
              <w:rPr>
                <w:sz w:val="20"/>
              </w:rPr>
              <w:t>Total</w:t>
            </w:r>
            <w:r>
              <w:rPr>
                <w:spacing w:val="-3"/>
                <w:sz w:val="20"/>
              </w:rPr>
              <w:t xml:space="preserve"> </w:t>
            </w:r>
            <w:r>
              <w:rPr>
                <w:sz w:val="20"/>
              </w:rPr>
              <w:t>equivalent</w:t>
            </w:r>
            <w:r>
              <w:rPr>
                <w:spacing w:val="-2"/>
                <w:sz w:val="20"/>
              </w:rPr>
              <w:t xml:space="preserve"> connections</w:t>
            </w:r>
          </w:p>
        </w:tc>
        <w:tc>
          <w:tcPr>
            <w:tcW w:w="1155" w:type="dxa"/>
            <w:tcBorders>
              <w:left w:val="nil"/>
            </w:tcBorders>
            <w:shd w:val="clear" w:color="auto" w:fill="BFBFBF"/>
          </w:tcPr>
          <w:p w14:paraId="09797CB2" w14:textId="77777777" w:rsidR="00141B97" w:rsidRDefault="00911D63">
            <w:pPr>
              <w:pStyle w:val="TableParagraph"/>
              <w:spacing w:before="19"/>
              <w:ind w:right="95"/>
              <w:jc w:val="right"/>
              <w:rPr>
                <w:sz w:val="20"/>
              </w:rPr>
            </w:pPr>
            <w:r>
              <w:rPr>
                <w:spacing w:val="-2"/>
                <w:sz w:val="20"/>
              </w:rPr>
              <w:t>32,798</w:t>
            </w:r>
          </w:p>
        </w:tc>
        <w:tc>
          <w:tcPr>
            <w:tcW w:w="1021" w:type="dxa"/>
            <w:shd w:val="clear" w:color="auto" w:fill="BFBFBF"/>
          </w:tcPr>
          <w:p w14:paraId="14B17B6E" w14:textId="77777777" w:rsidR="00141B97" w:rsidRDefault="00911D63">
            <w:pPr>
              <w:pStyle w:val="TableParagraph"/>
              <w:spacing w:before="19"/>
              <w:ind w:right="96"/>
              <w:jc w:val="right"/>
              <w:rPr>
                <w:sz w:val="20"/>
              </w:rPr>
            </w:pPr>
            <w:r>
              <w:rPr>
                <w:spacing w:val="-2"/>
                <w:sz w:val="20"/>
              </w:rPr>
              <w:t>33,184</w:t>
            </w:r>
          </w:p>
        </w:tc>
        <w:tc>
          <w:tcPr>
            <w:tcW w:w="1021" w:type="dxa"/>
            <w:shd w:val="clear" w:color="auto" w:fill="BFBFBF"/>
          </w:tcPr>
          <w:p w14:paraId="77D8D85D" w14:textId="77777777" w:rsidR="00141B97" w:rsidRDefault="00911D63">
            <w:pPr>
              <w:pStyle w:val="TableParagraph"/>
              <w:spacing w:before="19"/>
              <w:ind w:right="97"/>
              <w:jc w:val="right"/>
              <w:rPr>
                <w:sz w:val="20"/>
              </w:rPr>
            </w:pPr>
            <w:r>
              <w:rPr>
                <w:spacing w:val="-2"/>
                <w:sz w:val="20"/>
              </w:rPr>
              <w:t>33,575</w:t>
            </w:r>
          </w:p>
        </w:tc>
        <w:tc>
          <w:tcPr>
            <w:tcW w:w="1021" w:type="dxa"/>
            <w:shd w:val="clear" w:color="auto" w:fill="BFBFBF"/>
          </w:tcPr>
          <w:p w14:paraId="54F16AD5" w14:textId="77777777" w:rsidR="00141B97" w:rsidRDefault="00911D63">
            <w:pPr>
              <w:pStyle w:val="TableParagraph"/>
              <w:spacing w:before="19"/>
              <w:ind w:right="98"/>
              <w:jc w:val="right"/>
              <w:rPr>
                <w:sz w:val="20"/>
              </w:rPr>
            </w:pPr>
            <w:r>
              <w:rPr>
                <w:spacing w:val="-2"/>
                <w:sz w:val="20"/>
              </w:rPr>
              <w:t>33,969</w:t>
            </w:r>
          </w:p>
        </w:tc>
        <w:tc>
          <w:tcPr>
            <w:tcW w:w="1021" w:type="dxa"/>
            <w:shd w:val="clear" w:color="auto" w:fill="BFBFBF"/>
          </w:tcPr>
          <w:p w14:paraId="4C9C61BE" w14:textId="77777777" w:rsidR="00141B97" w:rsidRDefault="00911D63">
            <w:pPr>
              <w:pStyle w:val="TableParagraph"/>
              <w:spacing w:before="19"/>
              <w:ind w:right="99"/>
              <w:jc w:val="right"/>
              <w:rPr>
                <w:sz w:val="20"/>
              </w:rPr>
            </w:pPr>
            <w:r>
              <w:rPr>
                <w:spacing w:val="-2"/>
                <w:sz w:val="20"/>
              </w:rPr>
              <w:t>34,368</w:t>
            </w:r>
          </w:p>
        </w:tc>
        <w:tc>
          <w:tcPr>
            <w:tcW w:w="1016" w:type="dxa"/>
            <w:tcBorders>
              <w:right w:val="nil"/>
            </w:tcBorders>
            <w:shd w:val="clear" w:color="auto" w:fill="BFBFBF"/>
          </w:tcPr>
          <w:p w14:paraId="265E933C" w14:textId="77777777" w:rsidR="00141B97" w:rsidRDefault="00911D63">
            <w:pPr>
              <w:pStyle w:val="TableParagraph"/>
              <w:spacing w:before="19"/>
              <w:ind w:right="95"/>
              <w:jc w:val="right"/>
              <w:rPr>
                <w:sz w:val="20"/>
              </w:rPr>
            </w:pPr>
            <w:r>
              <w:rPr>
                <w:spacing w:val="-2"/>
                <w:sz w:val="20"/>
              </w:rPr>
              <w:t>34,770</w:t>
            </w:r>
          </w:p>
        </w:tc>
      </w:tr>
      <w:tr w:rsidR="00141B97" w14:paraId="032490C4" w14:textId="77777777">
        <w:trPr>
          <w:trHeight w:val="282"/>
          <w:tblCellSpacing w:w="9" w:type="dxa"/>
        </w:trPr>
        <w:tc>
          <w:tcPr>
            <w:tcW w:w="3371" w:type="dxa"/>
            <w:tcBorders>
              <w:left w:val="nil"/>
              <w:bottom w:val="nil"/>
              <w:right w:val="nil"/>
            </w:tcBorders>
            <w:shd w:val="clear" w:color="auto" w:fill="BFBFBF"/>
          </w:tcPr>
          <w:p w14:paraId="4F8D4779" w14:textId="77777777" w:rsidR="00141B97" w:rsidRDefault="00911D63">
            <w:pPr>
              <w:pStyle w:val="TableParagraph"/>
              <w:spacing w:before="18"/>
              <w:ind w:left="98"/>
              <w:rPr>
                <w:sz w:val="20"/>
              </w:rPr>
            </w:pPr>
            <w:r>
              <w:rPr>
                <w:sz w:val="20"/>
              </w:rPr>
              <w:t>Total</w:t>
            </w:r>
            <w:r>
              <w:rPr>
                <w:spacing w:val="-2"/>
                <w:sz w:val="20"/>
              </w:rPr>
              <w:t xml:space="preserve"> </w:t>
            </w:r>
            <w:r>
              <w:rPr>
                <w:sz w:val="20"/>
              </w:rPr>
              <w:t>Wastewater</w:t>
            </w:r>
            <w:r>
              <w:rPr>
                <w:spacing w:val="-3"/>
                <w:sz w:val="20"/>
              </w:rPr>
              <w:t xml:space="preserve"> </w:t>
            </w:r>
            <w:r>
              <w:rPr>
                <w:sz w:val="20"/>
              </w:rPr>
              <w:t xml:space="preserve">Flows </w:t>
            </w:r>
            <w:r>
              <w:rPr>
                <w:spacing w:val="-2"/>
                <w:sz w:val="20"/>
              </w:rPr>
              <w:t>(ML/yr)</w:t>
            </w:r>
          </w:p>
        </w:tc>
        <w:tc>
          <w:tcPr>
            <w:tcW w:w="1155" w:type="dxa"/>
            <w:tcBorders>
              <w:left w:val="nil"/>
              <w:bottom w:val="nil"/>
            </w:tcBorders>
            <w:shd w:val="clear" w:color="auto" w:fill="BFBFBF"/>
          </w:tcPr>
          <w:p w14:paraId="79FBCC0A" w14:textId="77777777" w:rsidR="00141B97" w:rsidRDefault="00911D63">
            <w:pPr>
              <w:pStyle w:val="TableParagraph"/>
              <w:spacing w:before="18"/>
              <w:ind w:right="95"/>
              <w:jc w:val="right"/>
              <w:rPr>
                <w:sz w:val="20"/>
              </w:rPr>
            </w:pPr>
            <w:r>
              <w:rPr>
                <w:spacing w:val="-2"/>
                <w:sz w:val="20"/>
              </w:rPr>
              <w:t>5,976</w:t>
            </w:r>
          </w:p>
        </w:tc>
        <w:tc>
          <w:tcPr>
            <w:tcW w:w="1021" w:type="dxa"/>
            <w:tcBorders>
              <w:bottom w:val="nil"/>
            </w:tcBorders>
            <w:shd w:val="clear" w:color="auto" w:fill="BFBFBF"/>
          </w:tcPr>
          <w:p w14:paraId="4BCF88BA" w14:textId="77777777" w:rsidR="00141B97" w:rsidRDefault="00911D63">
            <w:pPr>
              <w:pStyle w:val="TableParagraph"/>
              <w:spacing w:before="9"/>
              <w:ind w:right="96"/>
              <w:jc w:val="right"/>
              <w:rPr>
                <w:sz w:val="20"/>
              </w:rPr>
            </w:pPr>
            <w:r>
              <w:rPr>
                <w:spacing w:val="-2"/>
                <w:sz w:val="20"/>
              </w:rPr>
              <w:t>6,047</w:t>
            </w:r>
          </w:p>
        </w:tc>
        <w:tc>
          <w:tcPr>
            <w:tcW w:w="1021" w:type="dxa"/>
            <w:tcBorders>
              <w:bottom w:val="nil"/>
            </w:tcBorders>
            <w:shd w:val="clear" w:color="auto" w:fill="BFBFBF"/>
          </w:tcPr>
          <w:p w14:paraId="73BD3364" w14:textId="77777777" w:rsidR="00141B97" w:rsidRDefault="00911D63">
            <w:pPr>
              <w:pStyle w:val="TableParagraph"/>
              <w:spacing w:before="9"/>
              <w:ind w:right="97"/>
              <w:jc w:val="right"/>
              <w:rPr>
                <w:sz w:val="20"/>
              </w:rPr>
            </w:pPr>
            <w:r>
              <w:rPr>
                <w:spacing w:val="-2"/>
                <w:sz w:val="20"/>
              </w:rPr>
              <w:t>6,118</w:t>
            </w:r>
          </w:p>
        </w:tc>
        <w:tc>
          <w:tcPr>
            <w:tcW w:w="1021" w:type="dxa"/>
            <w:tcBorders>
              <w:bottom w:val="nil"/>
            </w:tcBorders>
            <w:shd w:val="clear" w:color="auto" w:fill="BFBFBF"/>
          </w:tcPr>
          <w:p w14:paraId="3C696BC7" w14:textId="77777777" w:rsidR="00141B97" w:rsidRDefault="00911D63">
            <w:pPr>
              <w:pStyle w:val="TableParagraph"/>
              <w:spacing w:before="9"/>
              <w:ind w:right="98"/>
              <w:jc w:val="right"/>
              <w:rPr>
                <w:sz w:val="20"/>
              </w:rPr>
            </w:pPr>
            <w:r>
              <w:rPr>
                <w:spacing w:val="-2"/>
                <w:sz w:val="20"/>
              </w:rPr>
              <w:t>6,190</w:t>
            </w:r>
          </w:p>
        </w:tc>
        <w:tc>
          <w:tcPr>
            <w:tcW w:w="1021" w:type="dxa"/>
            <w:tcBorders>
              <w:bottom w:val="nil"/>
            </w:tcBorders>
            <w:shd w:val="clear" w:color="auto" w:fill="BFBFBF"/>
          </w:tcPr>
          <w:p w14:paraId="3358933A" w14:textId="77777777" w:rsidR="00141B97" w:rsidRDefault="00911D63">
            <w:pPr>
              <w:pStyle w:val="TableParagraph"/>
              <w:spacing w:before="9"/>
              <w:ind w:right="99"/>
              <w:jc w:val="right"/>
              <w:rPr>
                <w:sz w:val="20"/>
              </w:rPr>
            </w:pPr>
            <w:r>
              <w:rPr>
                <w:spacing w:val="-2"/>
                <w:sz w:val="20"/>
              </w:rPr>
              <w:t>6,263</w:t>
            </w:r>
          </w:p>
        </w:tc>
        <w:tc>
          <w:tcPr>
            <w:tcW w:w="1016" w:type="dxa"/>
            <w:tcBorders>
              <w:bottom w:val="nil"/>
              <w:right w:val="nil"/>
            </w:tcBorders>
            <w:shd w:val="clear" w:color="auto" w:fill="BFBFBF"/>
          </w:tcPr>
          <w:p w14:paraId="6814DB0E" w14:textId="77777777" w:rsidR="00141B97" w:rsidRDefault="00911D63">
            <w:pPr>
              <w:pStyle w:val="TableParagraph"/>
              <w:spacing w:before="9"/>
              <w:ind w:right="95"/>
              <w:jc w:val="right"/>
              <w:rPr>
                <w:sz w:val="20"/>
              </w:rPr>
            </w:pPr>
            <w:r>
              <w:rPr>
                <w:spacing w:val="-2"/>
                <w:sz w:val="20"/>
              </w:rPr>
              <w:t>6,336</w:t>
            </w:r>
          </w:p>
        </w:tc>
      </w:tr>
    </w:tbl>
    <w:p w14:paraId="2CD2592A" w14:textId="77777777" w:rsidR="00141B97" w:rsidRDefault="00911D63">
      <w:pPr>
        <w:spacing w:before="23"/>
        <w:ind w:left="114"/>
        <w:rPr>
          <w:sz w:val="16"/>
        </w:rPr>
      </w:pPr>
      <w:r>
        <w:rPr>
          <w:sz w:val="16"/>
        </w:rPr>
        <w:t>Table</w:t>
      </w:r>
      <w:r>
        <w:rPr>
          <w:spacing w:val="-5"/>
          <w:sz w:val="16"/>
        </w:rPr>
        <w:t xml:space="preserve"> </w:t>
      </w:r>
      <w:r>
        <w:rPr>
          <w:sz w:val="16"/>
        </w:rPr>
        <w:t>B22:</w:t>
      </w:r>
      <w:r>
        <w:rPr>
          <w:spacing w:val="-7"/>
          <w:sz w:val="16"/>
        </w:rPr>
        <w:t xml:space="preserve"> </w:t>
      </w:r>
      <w:r>
        <w:rPr>
          <w:sz w:val="16"/>
        </w:rPr>
        <w:t>Wastewater</w:t>
      </w:r>
      <w:r>
        <w:rPr>
          <w:spacing w:val="-6"/>
          <w:sz w:val="16"/>
        </w:rPr>
        <w:t xml:space="preserve"> </w:t>
      </w:r>
      <w:r>
        <w:rPr>
          <w:sz w:val="16"/>
        </w:rPr>
        <w:t>Connections</w:t>
      </w:r>
      <w:r>
        <w:rPr>
          <w:spacing w:val="-6"/>
          <w:sz w:val="16"/>
        </w:rPr>
        <w:t xml:space="preserve"> </w:t>
      </w:r>
      <w:r>
        <w:rPr>
          <w:sz w:val="16"/>
        </w:rPr>
        <w:t>and</w:t>
      </w:r>
      <w:r>
        <w:rPr>
          <w:spacing w:val="-7"/>
          <w:sz w:val="16"/>
        </w:rPr>
        <w:t xml:space="preserve"> </w:t>
      </w:r>
      <w:r>
        <w:rPr>
          <w:spacing w:val="-2"/>
          <w:sz w:val="16"/>
        </w:rPr>
        <w:t>Flows</w:t>
      </w:r>
    </w:p>
    <w:p w14:paraId="1CB36F50" w14:textId="77777777" w:rsidR="00141B97" w:rsidRDefault="00141B97">
      <w:pPr>
        <w:pStyle w:val="BodyText"/>
        <w:spacing w:before="9"/>
        <w:rPr>
          <w:sz w:val="19"/>
        </w:rPr>
      </w:pPr>
    </w:p>
    <w:p w14:paraId="2AC20C62" w14:textId="77777777" w:rsidR="00141B97" w:rsidRDefault="00911D63">
      <w:pPr>
        <w:pStyle w:val="ListParagraph"/>
        <w:numPr>
          <w:ilvl w:val="3"/>
          <w:numId w:val="81"/>
        </w:numPr>
        <w:tabs>
          <w:tab w:val="left" w:pos="1107"/>
        </w:tabs>
        <w:jc w:val="both"/>
        <w:rPr>
          <w:i/>
        </w:rPr>
      </w:pPr>
      <w:r>
        <w:rPr>
          <w:i/>
        </w:rPr>
        <w:t>Recycled</w:t>
      </w:r>
      <w:r>
        <w:rPr>
          <w:i/>
          <w:spacing w:val="-8"/>
        </w:rPr>
        <w:t xml:space="preserve"> </w:t>
      </w:r>
      <w:r>
        <w:rPr>
          <w:i/>
          <w:spacing w:val="-2"/>
        </w:rPr>
        <w:t>Water</w:t>
      </w:r>
    </w:p>
    <w:p w14:paraId="7161C78B" w14:textId="77777777" w:rsidR="00141B97" w:rsidRDefault="00911D63">
      <w:pPr>
        <w:pStyle w:val="BodyText"/>
        <w:spacing w:before="59"/>
        <w:ind w:left="114" w:right="949" w:hanging="1"/>
        <w:jc w:val="both"/>
      </w:pPr>
      <w:r>
        <w:t>Koorlong is the main WWTP where recycled water is supplied externally under commercial contracts. At a minimum,</w:t>
      </w:r>
      <w:r>
        <w:rPr>
          <w:spacing w:val="-1"/>
        </w:rPr>
        <w:t xml:space="preserve"> </w:t>
      </w:r>
      <w:r>
        <w:t>2,400</w:t>
      </w:r>
      <w:r>
        <w:rPr>
          <w:spacing w:val="-2"/>
        </w:rPr>
        <w:t xml:space="preserve"> </w:t>
      </w:r>
      <w:r>
        <w:t>ML is available</w:t>
      </w:r>
      <w:r>
        <w:rPr>
          <w:spacing w:val="-3"/>
        </w:rPr>
        <w:t xml:space="preserve"> </w:t>
      </w:r>
      <w:r>
        <w:t>from this</w:t>
      </w:r>
      <w:r>
        <w:rPr>
          <w:spacing w:val="-2"/>
        </w:rPr>
        <w:t xml:space="preserve"> </w:t>
      </w:r>
      <w:r>
        <w:t>source,</w:t>
      </w:r>
      <w:r>
        <w:rPr>
          <w:spacing w:val="-1"/>
        </w:rPr>
        <w:t xml:space="preserve"> </w:t>
      </w:r>
      <w:r>
        <w:t>with</w:t>
      </w:r>
      <w:r>
        <w:rPr>
          <w:spacing w:val="-3"/>
        </w:rPr>
        <w:t xml:space="preserve"> </w:t>
      </w:r>
      <w:r>
        <w:t>use</w:t>
      </w:r>
      <w:r>
        <w:rPr>
          <w:spacing w:val="-1"/>
        </w:rPr>
        <w:t xml:space="preserve"> </w:t>
      </w:r>
      <w:r>
        <w:t>subject to</w:t>
      </w:r>
      <w:r>
        <w:rPr>
          <w:spacing w:val="-1"/>
        </w:rPr>
        <w:t xml:space="preserve"> </w:t>
      </w:r>
      <w:r>
        <w:t>contractual needs</w:t>
      </w:r>
      <w:r>
        <w:rPr>
          <w:spacing w:val="-1"/>
        </w:rPr>
        <w:t xml:space="preserve"> </w:t>
      </w:r>
      <w:r>
        <w:t>and</w:t>
      </w:r>
      <w:r>
        <w:rPr>
          <w:spacing w:val="-1"/>
        </w:rPr>
        <w:t xml:space="preserve"> </w:t>
      </w:r>
      <w:r>
        <w:t>quality</w:t>
      </w:r>
      <w:r>
        <w:rPr>
          <w:spacing w:val="-1"/>
        </w:rPr>
        <w:t xml:space="preserve"> </w:t>
      </w:r>
      <w:r>
        <w:t>of supplied water for its purpose. The demand estimate for recycled water averages 2,200 ML per annum.</w:t>
      </w:r>
    </w:p>
    <w:p w14:paraId="4F310553" w14:textId="77777777" w:rsidR="00141B97" w:rsidRDefault="00141B97">
      <w:pPr>
        <w:pStyle w:val="BodyText"/>
      </w:pPr>
    </w:p>
    <w:p w14:paraId="26A6154C" w14:textId="77777777" w:rsidR="00141B97" w:rsidRDefault="00911D63">
      <w:pPr>
        <w:pStyle w:val="BodyText"/>
        <w:ind w:left="114" w:right="948" w:hanging="1"/>
        <w:jc w:val="both"/>
      </w:pPr>
      <w:r>
        <w:t>For the WWTPs at Mildura, Robinvale, and Koondrook, onsite reuse on tree lots and/or pasture is practiced. Evaporation</w:t>
      </w:r>
      <w:r>
        <w:rPr>
          <w:spacing w:val="-4"/>
        </w:rPr>
        <w:t xml:space="preserve"> </w:t>
      </w:r>
      <w:r>
        <w:t>is</w:t>
      </w:r>
      <w:r>
        <w:rPr>
          <w:spacing w:val="-5"/>
        </w:rPr>
        <w:t xml:space="preserve"> </w:t>
      </w:r>
      <w:r>
        <w:t>the</w:t>
      </w:r>
      <w:r>
        <w:rPr>
          <w:spacing w:val="-5"/>
        </w:rPr>
        <w:t xml:space="preserve"> </w:t>
      </w:r>
      <w:r>
        <w:t>major</w:t>
      </w:r>
      <w:r>
        <w:rPr>
          <w:spacing w:val="-4"/>
        </w:rPr>
        <w:t xml:space="preserve"> </w:t>
      </w:r>
      <w:r>
        <w:t>method</w:t>
      </w:r>
      <w:r>
        <w:rPr>
          <w:spacing w:val="-4"/>
        </w:rPr>
        <w:t xml:space="preserve"> </w:t>
      </w:r>
      <w:r>
        <w:t>of</w:t>
      </w:r>
      <w:r>
        <w:rPr>
          <w:spacing w:val="-4"/>
        </w:rPr>
        <w:t xml:space="preserve"> </w:t>
      </w:r>
      <w:r>
        <w:t>disposal</w:t>
      </w:r>
      <w:r>
        <w:rPr>
          <w:spacing w:val="-4"/>
        </w:rPr>
        <w:t xml:space="preserve"> </w:t>
      </w:r>
      <w:r>
        <w:t>of</w:t>
      </w:r>
      <w:r>
        <w:rPr>
          <w:spacing w:val="-5"/>
        </w:rPr>
        <w:t xml:space="preserve"> </w:t>
      </w:r>
      <w:r>
        <w:t>wastewater</w:t>
      </w:r>
      <w:r>
        <w:rPr>
          <w:spacing w:val="-4"/>
        </w:rPr>
        <w:t xml:space="preserve"> </w:t>
      </w:r>
      <w:r>
        <w:t>at</w:t>
      </w:r>
      <w:r>
        <w:rPr>
          <w:spacing w:val="-4"/>
        </w:rPr>
        <w:t xml:space="preserve"> </w:t>
      </w:r>
      <w:r>
        <w:t>Merbein,</w:t>
      </w:r>
      <w:r>
        <w:rPr>
          <w:spacing w:val="-5"/>
        </w:rPr>
        <w:t xml:space="preserve"> </w:t>
      </w:r>
      <w:r>
        <w:t>Swan</w:t>
      </w:r>
      <w:r>
        <w:rPr>
          <w:spacing w:val="-5"/>
        </w:rPr>
        <w:t xml:space="preserve"> </w:t>
      </w:r>
      <w:r>
        <w:t>Hill,</w:t>
      </w:r>
      <w:r>
        <w:rPr>
          <w:spacing w:val="-4"/>
        </w:rPr>
        <w:t xml:space="preserve"> </w:t>
      </w:r>
      <w:r>
        <w:t>Nyah/Nyah</w:t>
      </w:r>
      <w:r>
        <w:rPr>
          <w:spacing w:val="-4"/>
        </w:rPr>
        <w:t xml:space="preserve"> </w:t>
      </w:r>
      <w:r>
        <w:t>West,</w:t>
      </w:r>
      <w:r>
        <w:rPr>
          <w:spacing w:val="-4"/>
        </w:rPr>
        <w:t xml:space="preserve"> </w:t>
      </w:r>
      <w:r>
        <w:t>Lake</w:t>
      </w:r>
      <w:r>
        <w:rPr>
          <w:spacing w:val="-5"/>
        </w:rPr>
        <w:t xml:space="preserve"> </w:t>
      </w:r>
      <w:r>
        <w:t>Boga, and Kerang.</w:t>
      </w:r>
    </w:p>
    <w:p w14:paraId="4C8BDDC6" w14:textId="77777777" w:rsidR="00141B97" w:rsidRDefault="00141B97">
      <w:pPr>
        <w:pStyle w:val="BodyText"/>
        <w:spacing w:before="8"/>
        <w:rPr>
          <w:sz w:val="19"/>
        </w:rPr>
      </w:pPr>
    </w:p>
    <w:p w14:paraId="2CC7D49D" w14:textId="77777777" w:rsidR="00141B97" w:rsidRDefault="00911D63">
      <w:pPr>
        <w:pStyle w:val="ListParagraph"/>
        <w:numPr>
          <w:ilvl w:val="3"/>
          <w:numId w:val="81"/>
        </w:numPr>
        <w:tabs>
          <w:tab w:val="left" w:pos="1107"/>
        </w:tabs>
        <w:spacing w:before="1"/>
        <w:jc w:val="both"/>
        <w:rPr>
          <w:i/>
        </w:rPr>
      </w:pPr>
      <w:r>
        <w:rPr>
          <w:i/>
        </w:rPr>
        <w:t>Developed</w:t>
      </w:r>
      <w:r>
        <w:rPr>
          <w:i/>
          <w:spacing w:val="-11"/>
        </w:rPr>
        <w:t xml:space="preserve"> </w:t>
      </w:r>
      <w:r>
        <w:rPr>
          <w:i/>
          <w:spacing w:val="-4"/>
        </w:rPr>
        <w:t>Lots</w:t>
      </w:r>
    </w:p>
    <w:p w14:paraId="09346328" w14:textId="77777777" w:rsidR="00141B97" w:rsidRDefault="00911D63">
      <w:pPr>
        <w:pStyle w:val="BodyText"/>
        <w:spacing w:before="60"/>
        <w:ind w:left="113"/>
        <w:jc w:val="both"/>
      </w:pPr>
      <w:r>
        <w:t>The</w:t>
      </w:r>
      <w:r>
        <w:rPr>
          <w:spacing w:val="-7"/>
        </w:rPr>
        <w:t xml:space="preserve"> </w:t>
      </w:r>
      <w:r>
        <w:t>historic</w:t>
      </w:r>
      <w:r>
        <w:rPr>
          <w:spacing w:val="-6"/>
        </w:rPr>
        <w:t xml:space="preserve"> </w:t>
      </w:r>
      <w:r>
        <w:t>developer</w:t>
      </w:r>
      <w:r>
        <w:rPr>
          <w:spacing w:val="-6"/>
        </w:rPr>
        <w:t xml:space="preserve"> </w:t>
      </w:r>
      <w:r>
        <w:t>lots</w:t>
      </w:r>
      <w:r>
        <w:rPr>
          <w:spacing w:val="-6"/>
        </w:rPr>
        <w:t xml:space="preserve"> </w:t>
      </w:r>
      <w:r>
        <w:t>and</w:t>
      </w:r>
      <w:r>
        <w:rPr>
          <w:spacing w:val="-7"/>
        </w:rPr>
        <w:t xml:space="preserve"> </w:t>
      </w:r>
      <w:r>
        <w:t>forecast</w:t>
      </w:r>
      <w:r>
        <w:rPr>
          <w:spacing w:val="-7"/>
        </w:rPr>
        <w:t xml:space="preserve"> </w:t>
      </w:r>
      <w:r>
        <w:t>for</w:t>
      </w:r>
      <w:r>
        <w:rPr>
          <w:spacing w:val="-6"/>
        </w:rPr>
        <w:t xml:space="preserve"> </w:t>
      </w:r>
      <w:r>
        <w:t>the</w:t>
      </w:r>
      <w:r>
        <w:rPr>
          <w:spacing w:val="-6"/>
        </w:rPr>
        <w:t xml:space="preserve"> </w:t>
      </w:r>
      <w:r>
        <w:t>next</w:t>
      </w:r>
      <w:r>
        <w:rPr>
          <w:spacing w:val="-7"/>
        </w:rPr>
        <w:t xml:space="preserve"> </w:t>
      </w:r>
      <w:r>
        <w:t>regulatory</w:t>
      </w:r>
      <w:r>
        <w:rPr>
          <w:spacing w:val="-7"/>
        </w:rPr>
        <w:t xml:space="preserve"> </w:t>
      </w:r>
      <w:r>
        <w:t>period</w:t>
      </w:r>
      <w:r>
        <w:rPr>
          <w:spacing w:val="-6"/>
        </w:rPr>
        <w:t xml:space="preserve"> </w:t>
      </w:r>
      <w:r>
        <w:t>are</w:t>
      </w:r>
      <w:r>
        <w:rPr>
          <w:spacing w:val="-6"/>
        </w:rPr>
        <w:t xml:space="preserve"> </w:t>
      </w:r>
      <w:r>
        <w:t>shown</w:t>
      </w:r>
      <w:r>
        <w:rPr>
          <w:spacing w:val="-6"/>
        </w:rPr>
        <w:t xml:space="preserve"> </w:t>
      </w:r>
      <w:r>
        <w:t>in</w:t>
      </w:r>
      <w:r>
        <w:rPr>
          <w:spacing w:val="-6"/>
        </w:rPr>
        <w:t xml:space="preserve"> </w:t>
      </w:r>
      <w:r>
        <w:t>Table</w:t>
      </w:r>
      <w:r>
        <w:rPr>
          <w:spacing w:val="-6"/>
        </w:rPr>
        <w:t xml:space="preserve"> </w:t>
      </w:r>
      <w:r>
        <w:rPr>
          <w:spacing w:val="-4"/>
        </w:rPr>
        <w:t>B23.</w:t>
      </w:r>
    </w:p>
    <w:p w14:paraId="39CC9A06" w14:textId="77777777" w:rsidR="00141B97" w:rsidRDefault="00141B97">
      <w:pPr>
        <w:pStyle w:val="BodyText"/>
        <w:spacing w:before="8" w:after="1"/>
        <w:rPr>
          <w:sz w:val="20"/>
        </w:rPr>
      </w:pPr>
    </w:p>
    <w:tbl>
      <w:tblPr>
        <w:tblW w:w="0" w:type="auto"/>
        <w:tblCellSpacing w:w="8" w:type="dxa"/>
        <w:tblInd w:w="139" w:type="dxa"/>
        <w:tblLayout w:type="fixed"/>
        <w:tblCellMar>
          <w:left w:w="0" w:type="dxa"/>
          <w:right w:w="0" w:type="dxa"/>
        </w:tblCellMar>
        <w:tblLook w:val="01E0" w:firstRow="1" w:lastRow="1" w:firstColumn="1" w:lastColumn="1" w:noHBand="0" w:noVBand="0"/>
      </w:tblPr>
      <w:tblGrid>
        <w:gridCol w:w="3395"/>
        <w:gridCol w:w="1171"/>
        <w:gridCol w:w="1037"/>
        <w:gridCol w:w="1037"/>
        <w:gridCol w:w="1037"/>
        <w:gridCol w:w="1037"/>
        <w:gridCol w:w="1040"/>
      </w:tblGrid>
      <w:tr w:rsidR="00141B97" w14:paraId="6BB00875" w14:textId="77777777">
        <w:trPr>
          <w:trHeight w:val="498"/>
          <w:tblCellSpacing w:w="8" w:type="dxa"/>
        </w:trPr>
        <w:tc>
          <w:tcPr>
            <w:tcW w:w="3371" w:type="dxa"/>
            <w:vMerge w:val="restart"/>
            <w:tcBorders>
              <w:top w:val="nil"/>
              <w:left w:val="nil"/>
              <w:bottom w:val="nil"/>
            </w:tcBorders>
            <w:shd w:val="clear" w:color="auto" w:fill="0064A4"/>
          </w:tcPr>
          <w:p w14:paraId="793D9D43" w14:textId="77777777" w:rsidR="00141B97" w:rsidRDefault="00141B97">
            <w:pPr>
              <w:pStyle w:val="TableParagraph"/>
              <w:spacing w:before="6"/>
              <w:rPr>
                <w:sz w:val="21"/>
              </w:rPr>
            </w:pPr>
          </w:p>
          <w:p w14:paraId="4BC6FF50" w14:textId="77777777" w:rsidR="00141B97" w:rsidRDefault="00911D63">
            <w:pPr>
              <w:pStyle w:val="TableParagraph"/>
              <w:spacing w:before="1"/>
              <w:ind w:left="93"/>
              <w:rPr>
                <w:sz w:val="20"/>
              </w:rPr>
            </w:pPr>
            <w:r>
              <w:rPr>
                <w:color w:val="FFFFFF"/>
                <w:sz w:val="20"/>
              </w:rPr>
              <w:t xml:space="preserve">Lot </w:t>
            </w:r>
            <w:r>
              <w:rPr>
                <w:color w:val="FFFFFF"/>
                <w:spacing w:val="-4"/>
                <w:sz w:val="20"/>
              </w:rPr>
              <w:t>Type</w:t>
            </w:r>
          </w:p>
        </w:tc>
        <w:tc>
          <w:tcPr>
            <w:tcW w:w="1155" w:type="dxa"/>
            <w:tcBorders>
              <w:top w:val="nil"/>
            </w:tcBorders>
            <w:shd w:val="clear" w:color="auto" w:fill="0064A4"/>
          </w:tcPr>
          <w:p w14:paraId="2C3D702A" w14:textId="77777777" w:rsidR="00141B97" w:rsidRDefault="00911D63">
            <w:pPr>
              <w:pStyle w:val="TableParagraph"/>
              <w:spacing w:line="244" w:lineRule="exact"/>
              <w:ind w:left="222" w:firstLine="34"/>
              <w:rPr>
                <w:sz w:val="20"/>
              </w:rPr>
            </w:pPr>
            <w:r>
              <w:rPr>
                <w:color w:val="FFFFFF"/>
                <w:spacing w:val="-2"/>
                <w:sz w:val="20"/>
              </w:rPr>
              <w:t>Current Forecast</w:t>
            </w:r>
          </w:p>
        </w:tc>
        <w:tc>
          <w:tcPr>
            <w:tcW w:w="5100" w:type="dxa"/>
            <w:gridSpan w:val="5"/>
            <w:tcBorders>
              <w:top w:val="nil"/>
              <w:right w:val="nil"/>
            </w:tcBorders>
            <w:shd w:val="clear" w:color="auto" w:fill="0064A4"/>
          </w:tcPr>
          <w:p w14:paraId="4C04B567" w14:textId="77777777" w:rsidR="00141B97" w:rsidRDefault="00911D63">
            <w:pPr>
              <w:pStyle w:val="TableParagraph"/>
              <w:spacing w:before="131"/>
              <w:ind w:left="1065"/>
              <w:rPr>
                <w:sz w:val="20"/>
              </w:rPr>
            </w:pPr>
            <w:r>
              <w:rPr>
                <w:color w:val="FFFFFF"/>
                <w:sz w:val="20"/>
              </w:rPr>
              <w:t>Projected</w:t>
            </w:r>
            <w:r>
              <w:rPr>
                <w:color w:val="FFFFFF"/>
                <w:spacing w:val="-4"/>
                <w:sz w:val="20"/>
              </w:rPr>
              <w:t xml:space="preserve"> </w:t>
            </w:r>
            <w:r>
              <w:rPr>
                <w:color w:val="FFFFFF"/>
                <w:sz w:val="20"/>
              </w:rPr>
              <w:t>for</w:t>
            </w:r>
            <w:r>
              <w:rPr>
                <w:color w:val="FFFFFF"/>
                <w:spacing w:val="-3"/>
                <w:sz w:val="20"/>
              </w:rPr>
              <w:t xml:space="preserve"> </w:t>
            </w:r>
            <w:r>
              <w:rPr>
                <w:color w:val="FFFFFF"/>
                <w:sz w:val="20"/>
              </w:rPr>
              <w:t>Fifth</w:t>
            </w:r>
            <w:r>
              <w:rPr>
                <w:color w:val="FFFFFF"/>
                <w:spacing w:val="-3"/>
                <w:sz w:val="20"/>
              </w:rPr>
              <w:t xml:space="preserve"> </w:t>
            </w:r>
            <w:r>
              <w:rPr>
                <w:color w:val="FFFFFF"/>
                <w:sz w:val="20"/>
              </w:rPr>
              <w:t>Regulatory</w:t>
            </w:r>
            <w:r>
              <w:rPr>
                <w:color w:val="FFFFFF"/>
                <w:spacing w:val="-4"/>
                <w:sz w:val="20"/>
              </w:rPr>
              <w:t xml:space="preserve"> </w:t>
            </w:r>
            <w:r>
              <w:rPr>
                <w:color w:val="FFFFFF"/>
                <w:spacing w:val="-2"/>
                <w:sz w:val="20"/>
              </w:rPr>
              <w:t>Period</w:t>
            </w:r>
          </w:p>
        </w:tc>
      </w:tr>
      <w:tr w:rsidR="00141B97" w14:paraId="7A108BD4" w14:textId="77777777">
        <w:trPr>
          <w:trHeight w:val="244"/>
          <w:tblCellSpacing w:w="8" w:type="dxa"/>
        </w:trPr>
        <w:tc>
          <w:tcPr>
            <w:tcW w:w="3371" w:type="dxa"/>
            <w:vMerge/>
            <w:tcBorders>
              <w:top w:val="nil"/>
              <w:left w:val="nil"/>
              <w:bottom w:val="nil"/>
            </w:tcBorders>
            <w:shd w:val="clear" w:color="auto" w:fill="0064A4"/>
          </w:tcPr>
          <w:p w14:paraId="5B415AC0" w14:textId="77777777" w:rsidR="00141B97" w:rsidRDefault="00141B97">
            <w:pPr>
              <w:rPr>
                <w:sz w:val="2"/>
                <w:szCs w:val="2"/>
              </w:rPr>
            </w:pPr>
          </w:p>
        </w:tc>
        <w:tc>
          <w:tcPr>
            <w:tcW w:w="1155" w:type="dxa"/>
            <w:tcBorders>
              <w:bottom w:val="nil"/>
            </w:tcBorders>
            <w:shd w:val="clear" w:color="auto" w:fill="0064A4"/>
          </w:tcPr>
          <w:p w14:paraId="75436777" w14:textId="77777777" w:rsidR="00141B97" w:rsidRDefault="00911D63">
            <w:pPr>
              <w:pStyle w:val="TableParagraph"/>
              <w:spacing w:line="224" w:lineRule="exact"/>
              <w:ind w:left="232"/>
              <w:rPr>
                <w:sz w:val="20"/>
              </w:rPr>
            </w:pPr>
            <w:r>
              <w:rPr>
                <w:color w:val="FFFFFF"/>
                <w:spacing w:val="-2"/>
                <w:sz w:val="20"/>
              </w:rPr>
              <w:t>2022‐23</w:t>
            </w:r>
          </w:p>
        </w:tc>
        <w:tc>
          <w:tcPr>
            <w:tcW w:w="1021" w:type="dxa"/>
            <w:tcBorders>
              <w:bottom w:val="nil"/>
            </w:tcBorders>
            <w:shd w:val="clear" w:color="auto" w:fill="0064A4"/>
          </w:tcPr>
          <w:p w14:paraId="35E539C4" w14:textId="77777777" w:rsidR="00141B97" w:rsidRDefault="00911D63">
            <w:pPr>
              <w:pStyle w:val="TableParagraph"/>
              <w:spacing w:line="224" w:lineRule="exact"/>
              <w:ind w:left="164"/>
              <w:rPr>
                <w:sz w:val="20"/>
              </w:rPr>
            </w:pPr>
            <w:r>
              <w:rPr>
                <w:color w:val="FFFFFF"/>
                <w:spacing w:val="-2"/>
                <w:sz w:val="20"/>
              </w:rPr>
              <w:t>2023‐24</w:t>
            </w:r>
          </w:p>
        </w:tc>
        <w:tc>
          <w:tcPr>
            <w:tcW w:w="1021" w:type="dxa"/>
            <w:tcBorders>
              <w:bottom w:val="nil"/>
            </w:tcBorders>
            <w:shd w:val="clear" w:color="auto" w:fill="0064A4"/>
          </w:tcPr>
          <w:p w14:paraId="35E5DFA8" w14:textId="77777777" w:rsidR="00141B97" w:rsidRDefault="00911D63">
            <w:pPr>
              <w:pStyle w:val="TableParagraph"/>
              <w:spacing w:line="224" w:lineRule="exact"/>
              <w:ind w:left="163"/>
              <w:rPr>
                <w:sz w:val="20"/>
              </w:rPr>
            </w:pPr>
            <w:r>
              <w:rPr>
                <w:color w:val="FFFFFF"/>
                <w:spacing w:val="-2"/>
                <w:sz w:val="20"/>
              </w:rPr>
              <w:t>2024‐25</w:t>
            </w:r>
          </w:p>
        </w:tc>
        <w:tc>
          <w:tcPr>
            <w:tcW w:w="1021" w:type="dxa"/>
            <w:tcBorders>
              <w:bottom w:val="nil"/>
            </w:tcBorders>
            <w:shd w:val="clear" w:color="auto" w:fill="0064A4"/>
          </w:tcPr>
          <w:p w14:paraId="4EC2067F" w14:textId="77777777" w:rsidR="00141B97" w:rsidRDefault="00911D63">
            <w:pPr>
              <w:pStyle w:val="TableParagraph"/>
              <w:spacing w:line="224" w:lineRule="exact"/>
              <w:ind w:left="162"/>
              <w:rPr>
                <w:sz w:val="20"/>
              </w:rPr>
            </w:pPr>
            <w:r>
              <w:rPr>
                <w:color w:val="FFFFFF"/>
                <w:spacing w:val="-2"/>
                <w:sz w:val="20"/>
              </w:rPr>
              <w:t>2025‐26</w:t>
            </w:r>
          </w:p>
        </w:tc>
        <w:tc>
          <w:tcPr>
            <w:tcW w:w="1021" w:type="dxa"/>
            <w:tcBorders>
              <w:bottom w:val="nil"/>
            </w:tcBorders>
            <w:shd w:val="clear" w:color="auto" w:fill="0064A4"/>
          </w:tcPr>
          <w:p w14:paraId="04802782" w14:textId="77777777" w:rsidR="00141B97" w:rsidRDefault="00911D63">
            <w:pPr>
              <w:pStyle w:val="TableParagraph"/>
              <w:spacing w:line="224" w:lineRule="exact"/>
              <w:ind w:left="161"/>
              <w:rPr>
                <w:sz w:val="20"/>
              </w:rPr>
            </w:pPr>
            <w:r>
              <w:rPr>
                <w:color w:val="FFFFFF"/>
                <w:spacing w:val="-2"/>
                <w:sz w:val="20"/>
              </w:rPr>
              <w:t>2026‐27</w:t>
            </w:r>
          </w:p>
        </w:tc>
        <w:tc>
          <w:tcPr>
            <w:tcW w:w="1016" w:type="dxa"/>
            <w:tcBorders>
              <w:bottom w:val="nil"/>
              <w:right w:val="nil"/>
            </w:tcBorders>
            <w:shd w:val="clear" w:color="auto" w:fill="0064A4"/>
          </w:tcPr>
          <w:p w14:paraId="437852E2" w14:textId="77777777" w:rsidR="00141B97" w:rsidRDefault="00911D63">
            <w:pPr>
              <w:pStyle w:val="TableParagraph"/>
              <w:spacing w:line="224" w:lineRule="exact"/>
              <w:ind w:left="160"/>
              <w:rPr>
                <w:sz w:val="20"/>
              </w:rPr>
            </w:pPr>
            <w:r>
              <w:rPr>
                <w:color w:val="FFFFFF"/>
                <w:spacing w:val="-2"/>
                <w:sz w:val="20"/>
              </w:rPr>
              <w:t>2027‐28</w:t>
            </w:r>
          </w:p>
        </w:tc>
      </w:tr>
      <w:tr w:rsidR="00141B97" w14:paraId="055B4AEA" w14:textId="77777777">
        <w:trPr>
          <w:trHeight w:val="254"/>
          <w:tblCellSpacing w:w="8" w:type="dxa"/>
        </w:trPr>
        <w:tc>
          <w:tcPr>
            <w:tcW w:w="3371" w:type="dxa"/>
            <w:tcBorders>
              <w:top w:val="nil"/>
              <w:left w:val="nil"/>
              <w:bottom w:val="nil"/>
            </w:tcBorders>
            <w:shd w:val="clear" w:color="auto" w:fill="CCE2ED"/>
          </w:tcPr>
          <w:p w14:paraId="67D13B26" w14:textId="77777777" w:rsidR="00141B97" w:rsidRDefault="00911D63">
            <w:pPr>
              <w:pStyle w:val="TableParagraph"/>
              <w:spacing w:before="8" w:line="225" w:lineRule="exact"/>
              <w:ind w:left="93"/>
              <w:rPr>
                <w:sz w:val="20"/>
              </w:rPr>
            </w:pPr>
            <w:r>
              <w:rPr>
                <w:color w:val="000100"/>
                <w:sz w:val="20"/>
              </w:rPr>
              <w:t>Water –</w:t>
            </w:r>
            <w:r>
              <w:rPr>
                <w:color w:val="000100"/>
                <w:spacing w:val="-1"/>
                <w:sz w:val="20"/>
              </w:rPr>
              <w:t xml:space="preserve"> </w:t>
            </w:r>
            <w:r>
              <w:rPr>
                <w:color w:val="000100"/>
                <w:spacing w:val="-2"/>
                <w:sz w:val="20"/>
              </w:rPr>
              <w:t>residential</w:t>
            </w:r>
          </w:p>
        </w:tc>
        <w:tc>
          <w:tcPr>
            <w:tcW w:w="1155" w:type="dxa"/>
            <w:tcBorders>
              <w:top w:val="nil"/>
              <w:bottom w:val="nil"/>
            </w:tcBorders>
            <w:shd w:val="clear" w:color="auto" w:fill="CCE2ED"/>
          </w:tcPr>
          <w:p w14:paraId="60D719D0" w14:textId="77777777" w:rsidR="00141B97" w:rsidRDefault="00911D63">
            <w:pPr>
              <w:pStyle w:val="TableParagraph"/>
              <w:spacing w:before="8" w:line="225" w:lineRule="exact"/>
              <w:ind w:right="96"/>
              <w:jc w:val="right"/>
              <w:rPr>
                <w:sz w:val="20"/>
              </w:rPr>
            </w:pPr>
            <w:r>
              <w:rPr>
                <w:spacing w:val="-5"/>
                <w:sz w:val="20"/>
              </w:rPr>
              <w:t>317</w:t>
            </w:r>
          </w:p>
        </w:tc>
        <w:tc>
          <w:tcPr>
            <w:tcW w:w="1021" w:type="dxa"/>
            <w:tcBorders>
              <w:top w:val="nil"/>
              <w:bottom w:val="nil"/>
            </w:tcBorders>
            <w:shd w:val="clear" w:color="auto" w:fill="CCE2ED"/>
          </w:tcPr>
          <w:p w14:paraId="370627D1" w14:textId="77777777" w:rsidR="00141B97" w:rsidRDefault="00911D63">
            <w:pPr>
              <w:pStyle w:val="TableParagraph"/>
              <w:spacing w:before="8" w:line="225" w:lineRule="exact"/>
              <w:ind w:right="97"/>
              <w:jc w:val="right"/>
              <w:rPr>
                <w:sz w:val="20"/>
              </w:rPr>
            </w:pPr>
            <w:r>
              <w:rPr>
                <w:spacing w:val="-5"/>
                <w:sz w:val="20"/>
              </w:rPr>
              <w:t>352</w:t>
            </w:r>
          </w:p>
        </w:tc>
        <w:tc>
          <w:tcPr>
            <w:tcW w:w="1021" w:type="dxa"/>
            <w:tcBorders>
              <w:top w:val="nil"/>
              <w:bottom w:val="nil"/>
            </w:tcBorders>
            <w:shd w:val="clear" w:color="auto" w:fill="CCE2ED"/>
          </w:tcPr>
          <w:p w14:paraId="02323BF2" w14:textId="77777777" w:rsidR="00141B97" w:rsidRDefault="00911D63">
            <w:pPr>
              <w:pStyle w:val="TableParagraph"/>
              <w:spacing w:before="8" w:line="225" w:lineRule="exact"/>
              <w:ind w:right="98"/>
              <w:jc w:val="right"/>
              <w:rPr>
                <w:sz w:val="20"/>
              </w:rPr>
            </w:pPr>
            <w:r>
              <w:rPr>
                <w:spacing w:val="-5"/>
                <w:sz w:val="20"/>
              </w:rPr>
              <w:t>356</w:t>
            </w:r>
          </w:p>
        </w:tc>
        <w:tc>
          <w:tcPr>
            <w:tcW w:w="1021" w:type="dxa"/>
            <w:tcBorders>
              <w:top w:val="nil"/>
              <w:bottom w:val="nil"/>
            </w:tcBorders>
            <w:shd w:val="clear" w:color="auto" w:fill="CCE2ED"/>
          </w:tcPr>
          <w:p w14:paraId="5C325D2C" w14:textId="77777777" w:rsidR="00141B97" w:rsidRDefault="00911D63">
            <w:pPr>
              <w:pStyle w:val="TableParagraph"/>
              <w:spacing w:before="8" w:line="225" w:lineRule="exact"/>
              <w:ind w:right="99"/>
              <w:jc w:val="right"/>
              <w:rPr>
                <w:sz w:val="20"/>
              </w:rPr>
            </w:pPr>
            <w:r>
              <w:rPr>
                <w:spacing w:val="-5"/>
                <w:sz w:val="20"/>
              </w:rPr>
              <w:t>359</w:t>
            </w:r>
          </w:p>
        </w:tc>
        <w:tc>
          <w:tcPr>
            <w:tcW w:w="1021" w:type="dxa"/>
            <w:tcBorders>
              <w:top w:val="nil"/>
              <w:bottom w:val="nil"/>
            </w:tcBorders>
            <w:shd w:val="clear" w:color="auto" w:fill="CCE2ED"/>
          </w:tcPr>
          <w:p w14:paraId="132D4BEA" w14:textId="77777777" w:rsidR="00141B97" w:rsidRDefault="00911D63">
            <w:pPr>
              <w:pStyle w:val="TableParagraph"/>
              <w:spacing w:before="8" w:line="225" w:lineRule="exact"/>
              <w:ind w:right="100"/>
              <w:jc w:val="right"/>
              <w:rPr>
                <w:sz w:val="20"/>
              </w:rPr>
            </w:pPr>
            <w:r>
              <w:rPr>
                <w:spacing w:val="-5"/>
                <w:sz w:val="20"/>
              </w:rPr>
              <w:t>363</w:t>
            </w:r>
          </w:p>
        </w:tc>
        <w:tc>
          <w:tcPr>
            <w:tcW w:w="1016" w:type="dxa"/>
            <w:tcBorders>
              <w:top w:val="nil"/>
              <w:bottom w:val="nil"/>
              <w:right w:val="nil"/>
            </w:tcBorders>
            <w:shd w:val="clear" w:color="auto" w:fill="CCE2ED"/>
          </w:tcPr>
          <w:p w14:paraId="4BC5FBD7" w14:textId="77777777" w:rsidR="00141B97" w:rsidRDefault="00911D63">
            <w:pPr>
              <w:pStyle w:val="TableParagraph"/>
              <w:spacing w:before="8" w:line="225" w:lineRule="exact"/>
              <w:ind w:right="96"/>
              <w:jc w:val="right"/>
              <w:rPr>
                <w:sz w:val="20"/>
              </w:rPr>
            </w:pPr>
            <w:r>
              <w:rPr>
                <w:spacing w:val="-5"/>
                <w:sz w:val="20"/>
              </w:rPr>
              <w:t>367</w:t>
            </w:r>
          </w:p>
        </w:tc>
      </w:tr>
      <w:tr w:rsidR="00141B97" w14:paraId="43E6999F" w14:textId="77777777">
        <w:trPr>
          <w:trHeight w:val="244"/>
          <w:tblCellSpacing w:w="8" w:type="dxa"/>
        </w:trPr>
        <w:tc>
          <w:tcPr>
            <w:tcW w:w="3371" w:type="dxa"/>
            <w:tcBorders>
              <w:top w:val="nil"/>
              <w:left w:val="nil"/>
              <w:bottom w:val="nil"/>
            </w:tcBorders>
            <w:shd w:val="clear" w:color="auto" w:fill="CCE2ED"/>
          </w:tcPr>
          <w:p w14:paraId="1A55A463" w14:textId="77777777" w:rsidR="00141B97" w:rsidRDefault="00911D63">
            <w:pPr>
              <w:pStyle w:val="TableParagraph"/>
              <w:spacing w:line="224" w:lineRule="exact"/>
              <w:ind w:left="93"/>
              <w:rPr>
                <w:sz w:val="20"/>
              </w:rPr>
            </w:pPr>
            <w:r>
              <w:rPr>
                <w:color w:val="000100"/>
                <w:sz w:val="20"/>
              </w:rPr>
              <w:t>Sewerage</w:t>
            </w:r>
            <w:r>
              <w:rPr>
                <w:color w:val="000100"/>
                <w:spacing w:val="-2"/>
                <w:sz w:val="20"/>
              </w:rPr>
              <w:t xml:space="preserve"> </w:t>
            </w:r>
            <w:r>
              <w:rPr>
                <w:color w:val="000100"/>
                <w:sz w:val="20"/>
              </w:rPr>
              <w:t>–</w:t>
            </w:r>
            <w:r>
              <w:rPr>
                <w:color w:val="000100"/>
                <w:spacing w:val="-2"/>
                <w:sz w:val="20"/>
              </w:rPr>
              <w:t xml:space="preserve"> residential</w:t>
            </w:r>
          </w:p>
        </w:tc>
        <w:tc>
          <w:tcPr>
            <w:tcW w:w="1155" w:type="dxa"/>
            <w:tcBorders>
              <w:top w:val="nil"/>
              <w:bottom w:val="nil"/>
            </w:tcBorders>
            <w:shd w:val="clear" w:color="auto" w:fill="CCE2ED"/>
          </w:tcPr>
          <w:p w14:paraId="62903857" w14:textId="77777777" w:rsidR="00141B97" w:rsidRDefault="00911D63">
            <w:pPr>
              <w:pStyle w:val="TableParagraph"/>
              <w:spacing w:line="224" w:lineRule="exact"/>
              <w:ind w:right="96"/>
              <w:jc w:val="right"/>
              <w:rPr>
                <w:sz w:val="20"/>
              </w:rPr>
            </w:pPr>
            <w:r>
              <w:rPr>
                <w:spacing w:val="-5"/>
                <w:sz w:val="20"/>
              </w:rPr>
              <w:t>317</w:t>
            </w:r>
          </w:p>
        </w:tc>
        <w:tc>
          <w:tcPr>
            <w:tcW w:w="1021" w:type="dxa"/>
            <w:tcBorders>
              <w:top w:val="nil"/>
              <w:bottom w:val="nil"/>
            </w:tcBorders>
            <w:shd w:val="clear" w:color="auto" w:fill="CCE2ED"/>
          </w:tcPr>
          <w:p w14:paraId="51CE3B4B" w14:textId="77777777" w:rsidR="00141B97" w:rsidRDefault="00911D63">
            <w:pPr>
              <w:pStyle w:val="TableParagraph"/>
              <w:spacing w:line="224" w:lineRule="exact"/>
              <w:ind w:right="97"/>
              <w:jc w:val="right"/>
              <w:rPr>
                <w:sz w:val="20"/>
              </w:rPr>
            </w:pPr>
            <w:r>
              <w:rPr>
                <w:spacing w:val="-5"/>
                <w:sz w:val="20"/>
              </w:rPr>
              <w:t>352</w:t>
            </w:r>
          </w:p>
        </w:tc>
        <w:tc>
          <w:tcPr>
            <w:tcW w:w="1021" w:type="dxa"/>
            <w:tcBorders>
              <w:top w:val="nil"/>
              <w:bottom w:val="nil"/>
            </w:tcBorders>
            <w:shd w:val="clear" w:color="auto" w:fill="CCE2ED"/>
          </w:tcPr>
          <w:p w14:paraId="6FC59658" w14:textId="77777777" w:rsidR="00141B97" w:rsidRDefault="00911D63">
            <w:pPr>
              <w:pStyle w:val="TableParagraph"/>
              <w:spacing w:line="224" w:lineRule="exact"/>
              <w:ind w:right="98"/>
              <w:jc w:val="right"/>
              <w:rPr>
                <w:sz w:val="20"/>
              </w:rPr>
            </w:pPr>
            <w:r>
              <w:rPr>
                <w:spacing w:val="-5"/>
                <w:sz w:val="20"/>
              </w:rPr>
              <w:t>356</w:t>
            </w:r>
          </w:p>
        </w:tc>
        <w:tc>
          <w:tcPr>
            <w:tcW w:w="1021" w:type="dxa"/>
            <w:tcBorders>
              <w:top w:val="nil"/>
              <w:bottom w:val="nil"/>
            </w:tcBorders>
            <w:shd w:val="clear" w:color="auto" w:fill="CCE2ED"/>
          </w:tcPr>
          <w:p w14:paraId="0A258F9B" w14:textId="77777777" w:rsidR="00141B97" w:rsidRDefault="00911D63">
            <w:pPr>
              <w:pStyle w:val="TableParagraph"/>
              <w:spacing w:line="224" w:lineRule="exact"/>
              <w:ind w:right="99"/>
              <w:jc w:val="right"/>
              <w:rPr>
                <w:sz w:val="20"/>
              </w:rPr>
            </w:pPr>
            <w:r>
              <w:rPr>
                <w:spacing w:val="-5"/>
                <w:sz w:val="20"/>
              </w:rPr>
              <w:t>359</w:t>
            </w:r>
          </w:p>
        </w:tc>
        <w:tc>
          <w:tcPr>
            <w:tcW w:w="1021" w:type="dxa"/>
            <w:tcBorders>
              <w:top w:val="nil"/>
              <w:bottom w:val="nil"/>
            </w:tcBorders>
            <w:shd w:val="clear" w:color="auto" w:fill="CCE2ED"/>
          </w:tcPr>
          <w:p w14:paraId="5E02D47F" w14:textId="77777777" w:rsidR="00141B97" w:rsidRDefault="00911D63">
            <w:pPr>
              <w:pStyle w:val="TableParagraph"/>
              <w:spacing w:line="224" w:lineRule="exact"/>
              <w:ind w:right="100"/>
              <w:jc w:val="right"/>
              <w:rPr>
                <w:sz w:val="20"/>
              </w:rPr>
            </w:pPr>
            <w:r>
              <w:rPr>
                <w:spacing w:val="-5"/>
                <w:sz w:val="20"/>
              </w:rPr>
              <w:t>363</w:t>
            </w:r>
          </w:p>
        </w:tc>
        <w:tc>
          <w:tcPr>
            <w:tcW w:w="1016" w:type="dxa"/>
            <w:tcBorders>
              <w:top w:val="nil"/>
              <w:bottom w:val="nil"/>
              <w:right w:val="nil"/>
            </w:tcBorders>
            <w:shd w:val="clear" w:color="auto" w:fill="CCE2ED"/>
          </w:tcPr>
          <w:p w14:paraId="2D9EE5E7" w14:textId="77777777" w:rsidR="00141B97" w:rsidRDefault="00911D63">
            <w:pPr>
              <w:pStyle w:val="TableParagraph"/>
              <w:spacing w:line="224" w:lineRule="exact"/>
              <w:ind w:right="96"/>
              <w:jc w:val="right"/>
              <w:rPr>
                <w:sz w:val="20"/>
              </w:rPr>
            </w:pPr>
            <w:r>
              <w:rPr>
                <w:spacing w:val="-5"/>
                <w:sz w:val="20"/>
              </w:rPr>
              <w:t>367</w:t>
            </w:r>
          </w:p>
        </w:tc>
      </w:tr>
      <w:tr w:rsidR="00141B97" w14:paraId="6F06DECA" w14:textId="77777777">
        <w:trPr>
          <w:trHeight w:val="241"/>
          <w:tblCellSpacing w:w="8" w:type="dxa"/>
        </w:trPr>
        <w:tc>
          <w:tcPr>
            <w:tcW w:w="3371" w:type="dxa"/>
            <w:tcBorders>
              <w:top w:val="nil"/>
              <w:left w:val="nil"/>
              <w:bottom w:val="nil"/>
            </w:tcBorders>
            <w:shd w:val="clear" w:color="auto" w:fill="CCE2ED"/>
          </w:tcPr>
          <w:p w14:paraId="00A04647" w14:textId="77777777" w:rsidR="00141B97" w:rsidRDefault="00911D63">
            <w:pPr>
              <w:pStyle w:val="TableParagraph"/>
              <w:spacing w:line="221" w:lineRule="exact"/>
              <w:ind w:left="93"/>
              <w:rPr>
                <w:sz w:val="20"/>
              </w:rPr>
            </w:pPr>
            <w:r>
              <w:rPr>
                <w:color w:val="000100"/>
                <w:sz w:val="20"/>
              </w:rPr>
              <w:t xml:space="preserve">Water </w:t>
            </w:r>
            <w:r>
              <w:rPr>
                <w:color w:val="000100"/>
                <w:spacing w:val="-2"/>
                <w:sz w:val="20"/>
              </w:rPr>
              <w:t>–non‐residential</w:t>
            </w:r>
          </w:p>
        </w:tc>
        <w:tc>
          <w:tcPr>
            <w:tcW w:w="1155" w:type="dxa"/>
            <w:tcBorders>
              <w:top w:val="nil"/>
              <w:bottom w:val="nil"/>
            </w:tcBorders>
            <w:shd w:val="clear" w:color="auto" w:fill="CCE2ED"/>
          </w:tcPr>
          <w:p w14:paraId="1FB4B948" w14:textId="77777777" w:rsidR="00141B97" w:rsidRDefault="00911D63">
            <w:pPr>
              <w:pStyle w:val="TableParagraph"/>
              <w:spacing w:line="221" w:lineRule="exact"/>
              <w:ind w:right="95"/>
              <w:jc w:val="right"/>
              <w:rPr>
                <w:sz w:val="20"/>
              </w:rPr>
            </w:pPr>
            <w:r>
              <w:rPr>
                <w:spacing w:val="-5"/>
                <w:sz w:val="20"/>
              </w:rPr>
              <w:t>41</w:t>
            </w:r>
          </w:p>
        </w:tc>
        <w:tc>
          <w:tcPr>
            <w:tcW w:w="1021" w:type="dxa"/>
            <w:tcBorders>
              <w:top w:val="nil"/>
              <w:bottom w:val="nil"/>
            </w:tcBorders>
            <w:shd w:val="clear" w:color="auto" w:fill="CCE2ED"/>
          </w:tcPr>
          <w:p w14:paraId="7334CE6E" w14:textId="77777777" w:rsidR="00141B97" w:rsidRDefault="00911D63">
            <w:pPr>
              <w:pStyle w:val="TableParagraph"/>
              <w:spacing w:line="221" w:lineRule="exact"/>
              <w:ind w:right="96"/>
              <w:jc w:val="right"/>
              <w:rPr>
                <w:sz w:val="20"/>
              </w:rPr>
            </w:pPr>
            <w:r>
              <w:rPr>
                <w:spacing w:val="-5"/>
                <w:sz w:val="20"/>
              </w:rPr>
              <w:t>45</w:t>
            </w:r>
          </w:p>
        </w:tc>
        <w:tc>
          <w:tcPr>
            <w:tcW w:w="1021" w:type="dxa"/>
            <w:tcBorders>
              <w:top w:val="nil"/>
              <w:bottom w:val="nil"/>
            </w:tcBorders>
            <w:shd w:val="clear" w:color="auto" w:fill="CCE2ED"/>
          </w:tcPr>
          <w:p w14:paraId="4BE03E0B" w14:textId="77777777" w:rsidR="00141B97" w:rsidRDefault="00911D63">
            <w:pPr>
              <w:pStyle w:val="TableParagraph"/>
              <w:spacing w:line="221" w:lineRule="exact"/>
              <w:ind w:right="97"/>
              <w:jc w:val="right"/>
              <w:rPr>
                <w:sz w:val="20"/>
              </w:rPr>
            </w:pPr>
            <w:r>
              <w:rPr>
                <w:spacing w:val="-5"/>
                <w:sz w:val="20"/>
              </w:rPr>
              <w:t>46</w:t>
            </w:r>
          </w:p>
        </w:tc>
        <w:tc>
          <w:tcPr>
            <w:tcW w:w="1021" w:type="dxa"/>
            <w:tcBorders>
              <w:top w:val="nil"/>
              <w:bottom w:val="nil"/>
            </w:tcBorders>
            <w:shd w:val="clear" w:color="auto" w:fill="CCE2ED"/>
          </w:tcPr>
          <w:p w14:paraId="74B919C3" w14:textId="77777777" w:rsidR="00141B97" w:rsidRDefault="00911D63">
            <w:pPr>
              <w:pStyle w:val="TableParagraph"/>
              <w:spacing w:line="221" w:lineRule="exact"/>
              <w:ind w:right="98"/>
              <w:jc w:val="right"/>
              <w:rPr>
                <w:sz w:val="20"/>
              </w:rPr>
            </w:pPr>
            <w:r>
              <w:rPr>
                <w:spacing w:val="-5"/>
                <w:sz w:val="20"/>
              </w:rPr>
              <w:t>46</w:t>
            </w:r>
          </w:p>
        </w:tc>
        <w:tc>
          <w:tcPr>
            <w:tcW w:w="1021" w:type="dxa"/>
            <w:tcBorders>
              <w:top w:val="nil"/>
              <w:bottom w:val="nil"/>
            </w:tcBorders>
            <w:shd w:val="clear" w:color="auto" w:fill="CCE2ED"/>
          </w:tcPr>
          <w:p w14:paraId="7C1E5203" w14:textId="77777777" w:rsidR="00141B97" w:rsidRDefault="00911D63">
            <w:pPr>
              <w:pStyle w:val="TableParagraph"/>
              <w:spacing w:line="221" w:lineRule="exact"/>
              <w:ind w:right="99"/>
              <w:jc w:val="right"/>
              <w:rPr>
                <w:sz w:val="20"/>
              </w:rPr>
            </w:pPr>
            <w:r>
              <w:rPr>
                <w:spacing w:val="-5"/>
                <w:sz w:val="20"/>
              </w:rPr>
              <w:t>47</w:t>
            </w:r>
          </w:p>
        </w:tc>
        <w:tc>
          <w:tcPr>
            <w:tcW w:w="1016" w:type="dxa"/>
            <w:tcBorders>
              <w:top w:val="nil"/>
              <w:bottom w:val="nil"/>
              <w:right w:val="nil"/>
            </w:tcBorders>
            <w:shd w:val="clear" w:color="auto" w:fill="CCE2ED"/>
          </w:tcPr>
          <w:p w14:paraId="323D26D1" w14:textId="77777777" w:rsidR="00141B97" w:rsidRDefault="00911D63">
            <w:pPr>
              <w:pStyle w:val="TableParagraph"/>
              <w:spacing w:line="221" w:lineRule="exact"/>
              <w:ind w:right="95"/>
              <w:jc w:val="right"/>
              <w:rPr>
                <w:sz w:val="20"/>
              </w:rPr>
            </w:pPr>
            <w:r>
              <w:rPr>
                <w:spacing w:val="-5"/>
                <w:sz w:val="20"/>
              </w:rPr>
              <w:t>47</w:t>
            </w:r>
          </w:p>
        </w:tc>
      </w:tr>
      <w:tr w:rsidR="00141B97" w14:paraId="313BD4B0" w14:textId="77777777">
        <w:trPr>
          <w:trHeight w:val="241"/>
          <w:tblCellSpacing w:w="8" w:type="dxa"/>
        </w:trPr>
        <w:tc>
          <w:tcPr>
            <w:tcW w:w="3371" w:type="dxa"/>
            <w:tcBorders>
              <w:top w:val="nil"/>
              <w:left w:val="nil"/>
              <w:bottom w:val="nil"/>
            </w:tcBorders>
            <w:shd w:val="clear" w:color="auto" w:fill="CCE2ED"/>
          </w:tcPr>
          <w:p w14:paraId="759DD46E" w14:textId="77777777" w:rsidR="00141B97" w:rsidRDefault="00911D63">
            <w:pPr>
              <w:pStyle w:val="TableParagraph"/>
              <w:spacing w:line="222" w:lineRule="exact"/>
              <w:ind w:left="93"/>
              <w:rPr>
                <w:sz w:val="20"/>
              </w:rPr>
            </w:pPr>
            <w:r>
              <w:rPr>
                <w:color w:val="000100"/>
                <w:sz w:val="20"/>
              </w:rPr>
              <w:t>Sewerage</w:t>
            </w:r>
            <w:r>
              <w:rPr>
                <w:color w:val="000100"/>
                <w:spacing w:val="-2"/>
                <w:sz w:val="20"/>
              </w:rPr>
              <w:t xml:space="preserve"> </w:t>
            </w:r>
            <w:r>
              <w:rPr>
                <w:color w:val="000100"/>
                <w:sz w:val="20"/>
              </w:rPr>
              <w:t>–</w:t>
            </w:r>
            <w:r>
              <w:rPr>
                <w:color w:val="000100"/>
                <w:spacing w:val="-2"/>
                <w:sz w:val="20"/>
              </w:rPr>
              <w:t xml:space="preserve"> non‐residential</w:t>
            </w:r>
          </w:p>
        </w:tc>
        <w:tc>
          <w:tcPr>
            <w:tcW w:w="1155" w:type="dxa"/>
            <w:tcBorders>
              <w:top w:val="nil"/>
              <w:bottom w:val="nil"/>
            </w:tcBorders>
            <w:shd w:val="clear" w:color="auto" w:fill="CCE2ED"/>
          </w:tcPr>
          <w:p w14:paraId="42EB7347" w14:textId="77777777" w:rsidR="00141B97" w:rsidRDefault="00911D63">
            <w:pPr>
              <w:pStyle w:val="TableParagraph"/>
              <w:spacing w:line="222" w:lineRule="exact"/>
              <w:ind w:right="95"/>
              <w:jc w:val="right"/>
              <w:rPr>
                <w:sz w:val="20"/>
              </w:rPr>
            </w:pPr>
            <w:r>
              <w:rPr>
                <w:spacing w:val="-5"/>
                <w:sz w:val="20"/>
              </w:rPr>
              <w:t>20</w:t>
            </w:r>
          </w:p>
        </w:tc>
        <w:tc>
          <w:tcPr>
            <w:tcW w:w="1021" w:type="dxa"/>
            <w:tcBorders>
              <w:top w:val="nil"/>
              <w:bottom w:val="nil"/>
            </w:tcBorders>
            <w:shd w:val="clear" w:color="auto" w:fill="CCE2ED"/>
          </w:tcPr>
          <w:p w14:paraId="5DB2333F" w14:textId="77777777" w:rsidR="00141B97" w:rsidRDefault="00911D63">
            <w:pPr>
              <w:pStyle w:val="TableParagraph"/>
              <w:spacing w:line="222" w:lineRule="exact"/>
              <w:ind w:right="96"/>
              <w:jc w:val="right"/>
              <w:rPr>
                <w:sz w:val="20"/>
              </w:rPr>
            </w:pPr>
            <w:r>
              <w:rPr>
                <w:spacing w:val="-5"/>
                <w:sz w:val="20"/>
              </w:rPr>
              <w:t>20</w:t>
            </w:r>
          </w:p>
        </w:tc>
        <w:tc>
          <w:tcPr>
            <w:tcW w:w="1021" w:type="dxa"/>
            <w:tcBorders>
              <w:top w:val="nil"/>
              <w:bottom w:val="nil"/>
            </w:tcBorders>
            <w:shd w:val="clear" w:color="auto" w:fill="CCE2ED"/>
          </w:tcPr>
          <w:p w14:paraId="1864EA88" w14:textId="77777777" w:rsidR="00141B97" w:rsidRDefault="00911D63">
            <w:pPr>
              <w:pStyle w:val="TableParagraph"/>
              <w:spacing w:line="222" w:lineRule="exact"/>
              <w:ind w:right="97"/>
              <w:jc w:val="right"/>
              <w:rPr>
                <w:sz w:val="20"/>
              </w:rPr>
            </w:pPr>
            <w:r>
              <w:rPr>
                <w:spacing w:val="-5"/>
                <w:sz w:val="20"/>
              </w:rPr>
              <w:t>20</w:t>
            </w:r>
          </w:p>
        </w:tc>
        <w:tc>
          <w:tcPr>
            <w:tcW w:w="1021" w:type="dxa"/>
            <w:tcBorders>
              <w:top w:val="nil"/>
              <w:bottom w:val="nil"/>
            </w:tcBorders>
            <w:shd w:val="clear" w:color="auto" w:fill="CCE2ED"/>
          </w:tcPr>
          <w:p w14:paraId="7286136F" w14:textId="77777777" w:rsidR="00141B97" w:rsidRDefault="00911D63">
            <w:pPr>
              <w:pStyle w:val="TableParagraph"/>
              <w:spacing w:line="222" w:lineRule="exact"/>
              <w:ind w:right="98"/>
              <w:jc w:val="right"/>
              <w:rPr>
                <w:sz w:val="20"/>
              </w:rPr>
            </w:pPr>
            <w:r>
              <w:rPr>
                <w:spacing w:val="-5"/>
                <w:sz w:val="20"/>
              </w:rPr>
              <w:t>20</w:t>
            </w:r>
          </w:p>
        </w:tc>
        <w:tc>
          <w:tcPr>
            <w:tcW w:w="1021" w:type="dxa"/>
            <w:tcBorders>
              <w:top w:val="nil"/>
              <w:bottom w:val="nil"/>
            </w:tcBorders>
            <w:shd w:val="clear" w:color="auto" w:fill="CCE2ED"/>
          </w:tcPr>
          <w:p w14:paraId="1CA473BA" w14:textId="77777777" w:rsidR="00141B97" w:rsidRDefault="00911D63">
            <w:pPr>
              <w:pStyle w:val="TableParagraph"/>
              <w:spacing w:line="222" w:lineRule="exact"/>
              <w:ind w:right="99"/>
              <w:jc w:val="right"/>
              <w:rPr>
                <w:sz w:val="20"/>
              </w:rPr>
            </w:pPr>
            <w:r>
              <w:rPr>
                <w:spacing w:val="-5"/>
                <w:sz w:val="20"/>
              </w:rPr>
              <w:t>20</w:t>
            </w:r>
          </w:p>
        </w:tc>
        <w:tc>
          <w:tcPr>
            <w:tcW w:w="1016" w:type="dxa"/>
            <w:tcBorders>
              <w:top w:val="nil"/>
              <w:bottom w:val="nil"/>
              <w:right w:val="nil"/>
            </w:tcBorders>
            <w:shd w:val="clear" w:color="auto" w:fill="CCE2ED"/>
          </w:tcPr>
          <w:p w14:paraId="6BF85759" w14:textId="77777777" w:rsidR="00141B97" w:rsidRDefault="00911D63">
            <w:pPr>
              <w:pStyle w:val="TableParagraph"/>
              <w:spacing w:line="222" w:lineRule="exact"/>
              <w:ind w:right="95"/>
              <w:jc w:val="right"/>
              <w:rPr>
                <w:sz w:val="20"/>
              </w:rPr>
            </w:pPr>
            <w:r>
              <w:rPr>
                <w:spacing w:val="-5"/>
                <w:sz w:val="20"/>
              </w:rPr>
              <w:t>20</w:t>
            </w:r>
          </w:p>
        </w:tc>
      </w:tr>
    </w:tbl>
    <w:p w14:paraId="5F5B3861" w14:textId="77777777" w:rsidR="00141B97" w:rsidRDefault="00911D63">
      <w:pPr>
        <w:spacing w:before="12"/>
        <w:ind w:left="114"/>
        <w:rPr>
          <w:sz w:val="16"/>
        </w:rPr>
      </w:pPr>
      <w:r>
        <w:rPr>
          <w:sz w:val="16"/>
        </w:rPr>
        <w:t>Table</w:t>
      </w:r>
      <w:r>
        <w:rPr>
          <w:spacing w:val="-10"/>
          <w:sz w:val="16"/>
        </w:rPr>
        <w:t xml:space="preserve"> </w:t>
      </w:r>
      <w:r>
        <w:rPr>
          <w:sz w:val="16"/>
        </w:rPr>
        <w:t>B23:</w:t>
      </w:r>
      <w:r>
        <w:rPr>
          <w:spacing w:val="-9"/>
          <w:sz w:val="16"/>
        </w:rPr>
        <w:t xml:space="preserve"> </w:t>
      </w:r>
      <w:r>
        <w:rPr>
          <w:sz w:val="16"/>
        </w:rPr>
        <w:t>Forecast</w:t>
      </w:r>
      <w:r>
        <w:rPr>
          <w:spacing w:val="-6"/>
          <w:sz w:val="16"/>
        </w:rPr>
        <w:t xml:space="preserve"> </w:t>
      </w:r>
      <w:r>
        <w:rPr>
          <w:sz w:val="16"/>
        </w:rPr>
        <w:t>Number</w:t>
      </w:r>
      <w:r>
        <w:rPr>
          <w:spacing w:val="-5"/>
          <w:sz w:val="16"/>
        </w:rPr>
        <w:t xml:space="preserve"> </w:t>
      </w:r>
      <w:r>
        <w:rPr>
          <w:sz w:val="16"/>
        </w:rPr>
        <w:t>of</w:t>
      </w:r>
      <w:r>
        <w:rPr>
          <w:spacing w:val="-6"/>
          <w:sz w:val="16"/>
        </w:rPr>
        <w:t xml:space="preserve"> </w:t>
      </w:r>
      <w:r>
        <w:rPr>
          <w:sz w:val="16"/>
        </w:rPr>
        <w:t>Development</w:t>
      </w:r>
      <w:r>
        <w:rPr>
          <w:spacing w:val="-6"/>
          <w:sz w:val="16"/>
        </w:rPr>
        <w:t xml:space="preserve"> </w:t>
      </w:r>
      <w:r>
        <w:rPr>
          <w:spacing w:val="-4"/>
          <w:sz w:val="16"/>
        </w:rPr>
        <w:t>Lots</w:t>
      </w:r>
    </w:p>
    <w:p w14:paraId="498ED647" w14:textId="77777777" w:rsidR="00141B97" w:rsidRDefault="00141B97">
      <w:pPr>
        <w:rPr>
          <w:sz w:val="16"/>
        </w:rPr>
        <w:sectPr w:rsidR="00141B97">
          <w:pgSz w:w="11910" w:h="16840"/>
          <w:pgMar w:top="860" w:right="40" w:bottom="760" w:left="1020" w:header="0" w:footer="580" w:gutter="0"/>
          <w:cols w:space="720"/>
        </w:sectPr>
      </w:pPr>
    </w:p>
    <w:p w14:paraId="07BF30FF" w14:textId="77777777" w:rsidR="00141B97" w:rsidRDefault="00911D63">
      <w:pPr>
        <w:pStyle w:val="Heading2"/>
        <w:numPr>
          <w:ilvl w:val="1"/>
          <w:numId w:val="81"/>
        </w:numPr>
        <w:tabs>
          <w:tab w:val="left" w:pos="1113"/>
        </w:tabs>
        <w:spacing w:before="31"/>
        <w:jc w:val="both"/>
      </w:pPr>
      <w:r>
        <w:rPr>
          <w:color w:val="009BAC"/>
        </w:rPr>
        <w:lastRenderedPageBreak/>
        <w:t>Forecast</w:t>
      </w:r>
      <w:r>
        <w:rPr>
          <w:color w:val="009BAC"/>
          <w:spacing w:val="-13"/>
        </w:rPr>
        <w:t xml:space="preserve"> </w:t>
      </w:r>
      <w:r>
        <w:rPr>
          <w:color w:val="009BAC"/>
        </w:rPr>
        <w:t>Operating</w:t>
      </w:r>
      <w:r>
        <w:rPr>
          <w:color w:val="009BAC"/>
          <w:spacing w:val="-12"/>
        </w:rPr>
        <w:t xml:space="preserve"> </w:t>
      </w:r>
      <w:r>
        <w:rPr>
          <w:color w:val="009BAC"/>
          <w:spacing w:val="-2"/>
        </w:rPr>
        <w:t>Expenditure</w:t>
      </w:r>
    </w:p>
    <w:p w14:paraId="4CC759E3" w14:textId="77777777" w:rsidR="00141B97" w:rsidRDefault="00141B97">
      <w:pPr>
        <w:pStyle w:val="BodyText"/>
        <w:spacing w:before="8"/>
        <w:rPr>
          <w:sz w:val="20"/>
        </w:rPr>
      </w:pPr>
    </w:p>
    <w:p w14:paraId="16D03C99" w14:textId="77777777" w:rsidR="00141B97" w:rsidRDefault="00911D63">
      <w:pPr>
        <w:pStyle w:val="ListParagraph"/>
        <w:numPr>
          <w:ilvl w:val="2"/>
          <w:numId w:val="81"/>
        </w:numPr>
        <w:tabs>
          <w:tab w:val="left" w:pos="1112"/>
          <w:tab w:val="left" w:pos="1113"/>
        </w:tabs>
        <w:jc w:val="both"/>
      </w:pPr>
      <w:r>
        <w:t>Actual</w:t>
      </w:r>
      <w:r>
        <w:rPr>
          <w:spacing w:val="-7"/>
        </w:rPr>
        <w:t xml:space="preserve"> </w:t>
      </w:r>
      <w:r>
        <w:t>and</w:t>
      </w:r>
      <w:r>
        <w:rPr>
          <w:spacing w:val="-7"/>
        </w:rPr>
        <w:t xml:space="preserve"> </w:t>
      </w:r>
      <w:r>
        <w:t>Planned</w:t>
      </w:r>
      <w:r>
        <w:rPr>
          <w:spacing w:val="-7"/>
        </w:rPr>
        <w:t xml:space="preserve"> </w:t>
      </w:r>
      <w:r>
        <w:t>Operating</w:t>
      </w:r>
      <w:r>
        <w:rPr>
          <w:spacing w:val="-5"/>
        </w:rPr>
        <w:t xml:space="preserve"> </w:t>
      </w:r>
      <w:r>
        <w:rPr>
          <w:spacing w:val="-2"/>
        </w:rPr>
        <w:t>Expenditure</w:t>
      </w:r>
    </w:p>
    <w:p w14:paraId="4DB178F9" w14:textId="77777777" w:rsidR="00141B97" w:rsidRDefault="00911D63">
      <w:pPr>
        <w:pStyle w:val="BodyText"/>
        <w:spacing w:before="59"/>
        <w:ind w:left="114" w:right="948" w:hanging="1"/>
        <w:jc w:val="both"/>
      </w:pPr>
      <w:r>
        <w:t>Table B24 sets out LMW’s proposed prudent and efficient operating expenditure for the base year (2021‐22), current year (2022‐23) and each year of the fifth regulatory period, across each major service category. The total forecast operating expenditure for the PS5 period is $149.21m in real dollars ($m 1/1/23).</w:t>
      </w:r>
    </w:p>
    <w:p w14:paraId="2C7AB58F" w14:textId="77777777" w:rsidR="00141B97" w:rsidRDefault="00141B97">
      <w:pPr>
        <w:pStyle w:val="BodyText"/>
        <w:spacing w:before="7"/>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204"/>
        <w:gridCol w:w="970"/>
        <w:gridCol w:w="969"/>
        <w:gridCol w:w="970"/>
        <w:gridCol w:w="969"/>
        <w:gridCol w:w="970"/>
        <w:gridCol w:w="969"/>
        <w:gridCol w:w="970"/>
        <w:gridCol w:w="968"/>
      </w:tblGrid>
      <w:tr w:rsidR="00141B97" w14:paraId="0AAE77B1" w14:textId="77777777">
        <w:trPr>
          <w:trHeight w:val="420"/>
          <w:tblCellSpacing w:w="9" w:type="dxa"/>
        </w:trPr>
        <w:tc>
          <w:tcPr>
            <w:tcW w:w="2177" w:type="dxa"/>
            <w:vMerge w:val="restart"/>
            <w:tcBorders>
              <w:top w:val="nil"/>
              <w:left w:val="nil"/>
            </w:tcBorders>
            <w:shd w:val="clear" w:color="auto" w:fill="0064A4"/>
          </w:tcPr>
          <w:p w14:paraId="7A940543" w14:textId="77777777" w:rsidR="00141B97" w:rsidRDefault="00141B97">
            <w:pPr>
              <w:pStyle w:val="TableParagraph"/>
              <w:rPr>
                <w:sz w:val="18"/>
              </w:rPr>
            </w:pPr>
          </w:p>
          <w:p w14:paraId="1B9AE523" w14:textId="77777777" w:rsidR="00141B97" w:rsidRDefault="00141B97">
            <w:pPr>
              <w:pStyle w:val="TableParagraph"/>
              <w:spacing w:before="3"/>
              <w:rPr>
                <w:sz w:val="14"/>
              </w:rPr>
            </w:pPr>
          </w:p>
          <w:p w14:paraId="205524B1" w14:textId="77777777" w:rsidR="00141B97" w:rsidRDefault="00911D63">
            <w:pPr>
              <w:pStyle w:val="TableParagraph"/>
              <w:ind w:left="88"/>
              <w:rPr>
                <w:sz w:val="18"/>
              </w:rPr>
            </w:pPr>
            <w:r>
              <w:rPr>
                <w:color w:val="FFFFFF"/>
                <w:sz w:val="18"/>
              </w:rPr>
              <w:t xml:space="preserve">$m, </w:t>
            </w:r>
            <w:r>
              <w:rPr>
                <w:color w:val="FFFFFF"/>
                <w:spacing w:val="-2"/>
                <w:sz w:val="18"/>
              </w:rPr>
              <w:t>1/1/23</w:t>
            </w:r>
          </w:p>
        </w:tc>
        <w:tc>
          <w:tcPr>
            <w:tcW w:w="1903" w:type="dxa"/>
            <w:gridSpan w:val="2"/>
            <w:tcBorders>
              <w:top w:val="nil"/>
            </w:tcBorders>
            <w:shd w:val="clear" w:color="auto" w:fill="0064A4"/>
          </w:tcPr>
          <w:p w14:paraId="7D6D5DE2" w14:textId="77777777" w:rsidR="00141B97" w:rsidRDefault="00911D63">
            <w:pPr>
              <w:pStyle w:val="TableParagraph"/>
              <w:spacing w:before="101"/>
              <w:ind w:left="407"/>
              <w:rPr>
                <w:sz w:val="18"/>
              </w:rPr>
            </w:pPr>
            <w:r>
              <w:rPr>
                <w:color w:val="FFFFFF"/>
                <w:sz w:val="18"/>
              </w:rPr>
              <w:t>Current</w:t>
            </w:r>
            <w:r>
              <w:rPr>
                <w:color w:val="FFFFFF"/>
                <w:spacing w:val="1"/>
                <w:sz w:val="18"/>
              </w:rPr>
              <w:t xml:space="preserve"> </w:t>
            </w:r>
            <w:r>
              <w:rPr>
                <w:color w:val="FFFFFF"/>
                <w:spacing w:val="-2"/>
                <w:sz w:val="18"/>
              </w:rPr>
              <w:t>Period</w:t>
            </w:r>
          </w:p>
        </w:tc>
        <w:tc>
          <w:tcPr>
            <w:tcW w:w="5699" w:type="dxa"/>
            <w:gridSpan w:val="6"/>
            <w:tcBorders>
              <w:top w:val="nil"/>
              <w:right w:val="nil"/>
            </w:tcBorders>
            <w:shd w:val="clear" w:color="auto" w:fill="0064A4"/>
          </w:tcPr>
          <w:p w14:paraId="67B7A128" w14:textId="77777777" w:rsidR="00141B97" w:rsidRDefault="00911D63">
            <w:pPr>
              <w:pStyle w:val="TableParagraph"/>
              <w:spacing w:before="101"/>
              <w:ind w:left="1554"/>
              <w:rPr>
                <w:sz w:val="18"/>
              </w:rPr>
            </w:pPr>
            <w:r>
              <w:rPr>
                <w:color w:val="FFFFFF"/>
                <w:sz w:val="18"/>
              </w:rPr>
              <w:t>Forecast</w:t>
            </w:r>
            <w:r>
              <w:rPr>
                <w:color w:val="FFFFFF"/>
                <w:spacing w:val="-2"/>
                <w:sz w:val="18"/>
              </w:rPr>
              <w:t xml:space="preserve"> </w:t>
            </w:r>
            <w:r>
              <w:rPr>
                <w:color w:val="FFFFFF"/>
                <w:sz w:val="18"/>
              </w:rPr>
              <w:t>for</w:t>
            </w:r>
            <w:r>
              <w:rPr>
                <w:color w:val="FFFFFF"/>
                <w:spacing w:val="-1"/>
                <w:sz w:val="18"/>
              </w:rPr>
              <w:t xml:space="preserve"> </w:t>
            </w:r>
            <w:r>
              <w:rPr>
                <w:color w:val="FFFFFF"/>
                <w:sz w:val="18"/>
              </w:rPr>
              <w:t>Fifth</w:t>
            </w:r>
            <w:r>
              <w:rPr>
                <w:color w:val="FFFFFF"/>
                <w:spacing w:val="-2"/>
                <w:sz w:val="18"/>
              </w:rPr>
              <w:t xml:space="preserve"> </w:t>
            </w:r>
            <w:r>
              <w:rPr>
                <w:color w:val="FFFFFF"/>
                <w:sz w:val="18"/>
              </w:rPr>
              <w:t>Regulatory</w:t>
            </w:r>
            <w:r>
              <w:rPr>
                <w:color w:val="FFFFFF"/>
                <w:spacing w:val="-1"/>
                <w:sz w:val="18"/>
              </w:rPr>
              <w:t xml:space="preserve"> </w:t>
            </w:r>
            <w:r>
              <w:rPr>
                <w:color w:val="FFFFFF"/>
                <w:spacing w:val="-2"/>
                <w:sz w:val="18"/>
              </w:rPr>
              <w:t>Period</w:t>
            </w:r>
          </w:p>
        </w:tc>
      </w:tr>
      <w:tr w:rsidR="00141B97" w14:paraId="3CD8FB85" w14:textId="77777777">
        <w:trPr>
          <w:trHeight w:val="344"/>
          <w:tblCellSpacing w:w="9" w:type="dxa"/>
        </w:trPr>
        <w:tc>
          <w:tcPr>
            <w:tcW w:w="2177" w:type="dxa"/>
            <w:vMerge/>
            <w:tcBorders>
              <w:top w:val="nil"/>
              <w:left w:val="nil"/>
            </w:tcBorders>
            <w:shd w:val="clear" w:color="auto" w:fill="0064A4"/>
          </w:tcPr>
          <w:p w14:paraId="623273F3" w14:textId="77777777" w:rsidR="00141B97" w:rsidRDefault="00141B97">
            <w:pPr>
              <w:rPr>
                <w:sz w:val="2"/>
                <w:szCs w:val="2"/>
              </w:rPr>
            </w:pPr>
          </w:p>
        </w:tc>
        <w:tc>
          <w:tcPr>
            <w:tcW w:w="952" w:type="dxa"/>
            <w:shd w:val="clear" w:color="auto" w:fill="0064A4"/>
          </w:tcPr>
          <w:p w14:paraId="44972963" w14:textId="77777777" w:rsidR="00141B97" w:rsidRDefault="00911D63">
            <w:pPr>
              <w:pStyle w:val="TableParagraph"/>
              <w:spacing w:before="63"/>
              <w:ind w:left="163"/>
              <w:rPr>
                <w:sz w:val="18"/>
              </w:rPr>
            </w:pPr>
            <w:r>
              <w:rPr>
                <w:color w:val="FFFFFF"/>
                <w:spacing w:val="-2"/>
                <w:sz w:val="18"/>
              </w:rPr>
              <w:t>2021‐22</w:t>
            </w:r>
          </w:p>
        </w:tc>
        <w:tc>
          <w:tcPr>
            <w:tcW w:w="951" w:type="dxa"/>
            <w:shd w:val="clear" w:color="auto" w:fill="0064A4"/>
          </w:tcPr>
          <w:p w14:paraId="761B9B52" w14:textId="77777777" w:rsidR="00141B97" w:rsidRDefault="00911D63">
            <w:pPr>
              <w:pStyle w:val="TableParagraph"/>
              <w:spacing w:before="63"/>
              <w:ind w:left="162"/>
              <w:rPr>
                <w:sz w:val="18"/>
              </w:rPr>
            </w:pPr>
            <w:r>
              <w:rPr>
                <w:color w:val="FFFFFF"/>
                <w:spacing w:val="-2"/>
                <w:sz w:val="18"/>
              </w:rPr>
              <w:t>2022‐23</w:t>
            </w:r>
          </w:p>
        </w:tc>
        <w:tc>
          <w:tcPr>
            <w:tcW w:w="952" w:type="dxa"/>
            <w:shd w:val="clear" w:color="auto" w:fill="0064A4"/>
          </w:tcPr>
          <w:p w14:paraId="1C228942" w14:textId="77777777" w:rsidR="00141B97" w:rsidRDefault="00911D63">
            <w:pPr>
              <w:pStyle w:val="TableParagraph"/>
              <w:spacing w:before="63"/>
              <w:ind w:right="162"/>
              <w:jc w:val="right"/>
              <w:rPr>
                <w:sz w:val="18"/>
              </w:rPr>
            </w:pPr>
            <w:r>
              <w:rPr>
                <w:color w:val="FFFFFF"/>
                <w:spacing w:val="-2"/>
                <w:sz w:val="18"/>
              </w:rPr>
              <w:t>2023‐24</w:t>
            </w:r>
          </w:p>
        </w:tc>
        <w:tc>
          <w:tcPr>
            <w:tcW w:w="951" w:type="dxa"/>
            <w:shd w:val="clear" w:color="auto" w:fill="0064A4"/>
          </w:tcPr>
          <w:p w14:paraId="73F8752D" w14:textId="77777777" w:rsidR="00141B97" w:rsidRDefault="00911D63">
            <w:pPr>
              <w:pStyle w:val="TableParagraph"/>
              <w:spacing w:before="63"/>
              <w:ind w:right="162"/>
              <w:jc w:val="right"/>
              <w:rPr>
                <w:sz w:val="18"/>
              </w:rPr>
            </w:pPr>
            <w:r>
              <w:rPr>
                <w:color w:val="FFFFFF"/>
                <w:spacing w:val="-2"/>
                <w:sz w:val="18"/>
              </w:rPr>
              <w:t>2024‐25</w:t>
            </w:r>
          </w:p>
        </w:tc>
        <w:tc>
          <w:tcPr>
            <w:tcW w:w="952" w:type="dxa"/>
            <w:shd w:val="clear" w:color="auto" w:fill="0064A4"/>
          </w:tcPr>
          <w:p w14:paraId="1DB43523" w14:textId="77777777" w:rsidR="00141B97" w:rsidRDefault="00911D63">
            <w:pPr>
              <w:pStyle w:val="TableParagraph"/>
              <w:spacing w:before="63"/>
              <w:ind w:left="161"/>
              <w:rPr>
                <w:sz w:val="18"/>
              </w:rPr>
            </w:pPr>
            <w:r>
              <w:rPr>
                <w:color w:val="FFFFFF"/>
                <w:spacing w:val="-2"/>
                <w:sz w:val="18"/>
              </w:rPr>
              <w:t>2025‐26</w:t>
            </w:r>
          </w:p>
        </w:tc>
        <w:tc>
          <w:tcPr>
            <w:tcW w:w="951" w:type="dxa"/>
            <w:shd w:val="clear" w:color="auto" w:fill="0064A4"/>
          </w:tcPr>
          <w:p w14:paraId="256747DF" w14:textId="77777777" w:rsidR="00141B97" w:rsidRDefault="00911D63">
            <w:pPr>
              <w:pStyle w:val="TableParagraph"/>
              <w:spacing w:before="63"/>
              <w:ind w:left="160"/>
              <w:rPr>
                <w:sz w:val="18"/>
              </w:rPr>
            </w:pPr>
            <w:r>
              <w:rPr>
                <w:color w:val="FFFFFF"/>
                <w:spacing w:val="-2"/>
                <w:sz w:val="18"/>
              </w:rPr>
              <w:t>2026‐27</w:t>
            </w:r>
          </w:p>
        </w:tc>
        <w:tc>
          <w:tcPr>
            <w:tcW w:w="952" w:type="dxa"/>
            <w:shd w:val="clear" w:color="auto" w:fill="0064A4"/>
          </w:tcPr>
          <w:p w14:paraId="063D0CC8" w14:textId="77777777" w:rsidR="00141B97" w:rsidRDefault="00911D63">
            <w:pPr>
              <w:pStyle w:val="TableParagraph"/>
              <w:spacing w:before="63"/>
              <w:ind w:right="164"/>
              <w:jc w:val="right"/>
              <w:rPr>
                <w:sz w:val="18"/>
              </w:rPr>
            </w:pPr>
            <w:r>
              <w:rPr>
                <w:color w:val="FFFFFF"/>
                <w:spacing w:val="-2"/>
                <w:sz w:val="18"/>
              </w:rPr>
              <w:t>2027‐28</w:t>
            </w:r>
          </w:p>
        </w:tc>
        <w:tc>
          <w:tcPr>
            <w:tcW w:w="941" w:type="dxa"/>
            <w:tcBorders>
              <w:right w:val="nil"/>
            </w:tcBorders>
            <w:shd w:val="clear" w:color="auto" w:fill="0064A4"/>
          </w:tcPr>
          <w:p w14:paraId="6F20152B" w14:textId="77777777" w:rsidR="00141B97" w:rsidRDefault="00911D63">
            <w:pPr>
              <w:pStyle w:val="TableParagraph"/>
              <w:spacing w:before="68"/>
              <w:ind w:right="157"/>
              <w:jc w:val="right"/>
              <w:rPr>
                <w:rFonts w:ascii="Arial"/>
                <w:b/>
                <w:sz w:val="18"/>
              </w:rPr>
            </w:pPr>
            <w:r>
              <w:rPr>
                <w:rFonts w:ascii="Arial"/>
                <w:b/>
                <w:color w:val="FFFFFF"/>
                <w:spacing w:val="-2"/>
                <w:sz w:val="18"/>
              </w:rPr>
              <w:t>TOTAL</w:t>
            </w:r>
          </w:p>
        </w:tc>
      </w:tr>
      <w:tr w:rsidR="00141B97" w14:paraId="120C778C" w14:textId="77777777">
        <w:trPr>
          <w:trHeight w:val="270"/>
          <w:tblCellSpacing w:w="9" w:type="dxa"/>
        </w:trPr>
        <w:tc>
          <w:tcPr>
            <w:tcW w:w="9779" w:type="dxa"/>
            <w:gridSpan w:val="9"/>
            <w:tcBorders>
              <w:left w:val="nil"/>
              <w:right w:val="nil"/>
            </w:tcBorders>
            <w:shd w:val="clear" w:color="auto" w:fill="006CA3"/>
          </w:tcPr>
          <w:p w14:paraId="6B36028B" w14:textId="77777777" w:rsidR="00141B97" w:rsidRDefault="00911D63">
            <w:pPr>
              <w:pStyle w:val="TableParagraph"/>
              <w:spacing w:before="26"/>
              <w:ind w:left="98"/>
              <w:rPr>
                <w:i/>
                <w:sz w:val="18"/>
              </w:rPr>
            </w:pPr>
            <w:r>
              <w:rPr>
                <w:i/>
                <w:color w:val="FFFFFF"/>
                <w:sz w:val="18"/>
              </w:rPr>
              <w:t>Controllable</w:t>
            </w:r>
            <w:r>
              <w:rPr>
                <w:i/>
                <w:color w:val="FFFFFF"/>
                <w:spacing w:val="-3"/>
                <w:sz w:val="18"/>
              </w:rPr>
              <w:t xml:space="preserve"> </w:t>
            </w:r>
            <w:r>
              <w:rPr>
                <w:i/>
                <w:color w:val="FFFFFF"/>
                <w:spacing w:val="-4"/>
                <w:sz w:val="18"/>
              </w:rPr>
              <w:t>Opex</w:t>
            </w:r>
          </w:p>
        </w:tc>
      </w:tr>
      <w:tr w:rsidR="00141B97" w14:paraId="6F2554B9" w14:textId="77777777">
        <w:trPr>
          <w:trHeight w:val="269"/>
          <w:tblCellSpacing w:w="9" w:type="dxa"/>
        </w:trPr>
        <w:tc>
          <w:tcPr>
            <w:tcW w:w="2177" w:type="dxa"/>
            <w:tcBorders>
              <w:left w:val="nil"/>
            </w:tcBorders>
            <w:shd w:val="clear" w:color="auto" w:fill="CCE2ED"/>
          </w:tcPr>
          <w:p w14:paraId="035302D1" w14:textId="77777777" w:rsidR="00141B97" w:rsidRDefault="00911D63">
            <w:pPr>
              <w:pStyle w:val="TableParagraph"/>
              <w:spacing w:before="25"/>
              <w:ind w:left="88"/>
              <w:rPr>
                <w:sz w:val="18"/>
              </w:rPr>
            </w:pPr>
            <w:r>
              <w:rPr>
                <w:spacing w:val="-2"/>
                <w:sz w:val="18"/>
              </w:rPr>
              <w:t>Water</w:t>
            </w:r>
          </w:p>
        </w:tc>
        <w:tc>
          <w:tcPr>
            <w:tcW w:w="952" w:type="dxa"/>
            <w:shd w:val="clear" w:color="auto" w:fill="CCE2ED"/>
          </w:tcPr>
          <w:p w14:paraId="229FADF2" w14:textId="77777777" w:rsidR="00141B97" w:rsidRDefault="00911D63">
            <w:pPr>
              <w:pStyle w:val="TableParagraph"/>
              <w:spacing w:before="25"/>
              <w:ind w:right="96"/>
              <w:jc w:val="right"/>
              <w:rPr>
                <w:rFonts w:ascii="Calibri"/>
                <w:sz w:val="18"/>
              </w:rPr>
            </w:pPr>
            <w:r>
              <w:rPr>
                <w:rFonts w:ascii="Calibri"/>
                <w:spacing w:val="-2"/>
                <w:sz w:val="18"/>
              </w:rPr>
              <w:t>16.76</w:t>
            </w:r>
          </w:p>
        </w:tc>
        <w:tc>
          <w:tcPr>
            <w:tcW w:w="951" w:type="dxa"/>
            <w:shd w:val="clear" w:color="auto" w:fill="CCE2ED"/>
          </w:tcPr>
          <w:p w14:paraId="62E0E239" w14:textId="77777777" w:rsidR="00141B97" w:rsidRDefault="00911D63">
            <w:pPr>
              <w:pStyle w:val="TableParagraph"/>
              <w:spacing w:before="25"/>
              <w:ind w:right="97"/>
              <w:jc w:val="right"/>
              <w:rPr>
                <w:rFonts w:ascii="Calibri"/>
                <w:sz w:val="18"/>
              </w:rPr>
            </w:pPr>
            <w:r>
              <w:rPr>
                <w:rFonts w:ascii="Calibri"/>
                <w:spacing w:val="-2"/>
                <w:sz w:val="18"/>
              </w:rPr>
              <w:t>15.54</w:t>
            </w:r>
          </w:p>
        </w:tc>
        <w:tc>
          <w:tcPr>
            <w:tcW w:w="952" w:type="dxa"/>
            <w:shd w:val="clear" w:color="auto" w:fill="CCE2ED"/>
          </w:tcPr>
          <w:p w14:paraId="68539639" w14:textId="77777777" w:rsidR="00141B97" w:rsidRDefault="00911D63">
            <w:pPr>
              <w:pStyle w:val="TableParagraph"/>
              <w:spacing w:before="25"/>
              <w:ind w:right="97"/>
              <w:jc w:val="right"/>
              <w:rPr>
                <w:rFonts w:ascii="Calibri"/>
                <w:sz w:val="18"/>
              </w:rPr>
            </w:pPr>
            <w:r>
              <w:rPr>
                <w:rFonts w:ascii="Calibri"/>
                <w:spacing w:val="-2"/>
                <w:sz w:val="18"/>
              </w:rPr>
              <w:t>16.68</w:t>
            </w:r>
          </w:p>
        </w:tc>
        <w:tc>
          <w:tcPr>
            <w:tcW w:w="951" w:type="dxa"/>
            <w:shd w:val="clear" w:color="auto" w:fill="CCE2ED"/>
          </w:tcPr>
          <w:p w14:paraId="69B6E9A9" w14:textId="77777777" w:rsidR="00141B97" w:rsidRDefault="00911D63">
            <w:pPr>
              <w:pStyle w:val="TableParagraph"/>
              <w:spacing w:before="25"/>
              <w:ind w:right="98"/>
              <w:jc w:val="right"/>
              <w:rPr>
                <w:rFonts w:ascii="Calibri"/>
                <w:sz w:val="18"/>
              </w:rPr>
            </w:pPr>
            <w:r>
              <w:rPr>
                <w:rFonts w:ascii="Calibri"/>
                <w:spacing w:val="-2"/>
                <w:sz w:val="18"/>
              </w:rPr>
              <w:t>16.49</w:t>
            </w:r>
          </w:p>
        </w:tc>
        <w:tc>
          <w:tcPr>
            <w:tcW w:w="952" w:type="dxa"/>
            <w:shd w:val="clear" w:color="auto" w:fill="CCE2ED"/>
          </w:tcPr>
          <w:p w14:paraId="292EFA3F" w14:textId="77777777" w:rsidR="00141B97" w:rsidRDefault="00911D63">
            <w:pPr>
              <w:pStyle w:val="TableParagraph"/>
              <w:spacing w:before="25"/>
              <w:ind w:right="98"/>
              <w:jc w:val="right"/>
              <w:rPr>
                <w:rFonts w:ascii="Calibri"/>
                <w:sz w:val="18"/>
              </w:rPr>
            </w:pPr>
            <w:r>
              <w:rPr>
                <w:rFonts w:ascii="Calibri"/>
                <w:spacing w:val="-2"/>
                <w:sz w:val="18"/>
              </w:rPr>
              <w:t>16.76</w:t>
            </w:r>
          </w:p>
        </w:tc>
        <w:tc>
          <w:tcPr>
            <w:tcW w:w="951" w:type="dxa"/>
            <w:shd w:val="clear" w:color="auto" w:fill="CCE2ED"/>
          </w:tcPr>
          <w:p w14:paraId="0A43146A" w14:textId="77777777" w:rsidR="00141B97" w:rsidRDefault="00911D63">
            <w:pPr>
              <w:pStyle w:val="TableParagraph"/>
              <w:spacing w:before="25"/>
              <w:ind w:right="99"/>
              <w:jc w:val="right"/>
              <w:rPr>
                <w:rFonts w:ascii="Calibri"/>
                <w:sz w:val="18"/>
              </w:rPr>
            </w:pPr>
            <w:r>
              <w:rPr>
                <w:rFonts w:ascii="Calibri"/>
                <w:spacing w:val="-2"/>
                <w:sz w:val="18"/>
              </w:rPr>
              <w:t>16.94</w:t>
            </w:r>
          </w:p>
        </w:tc>
        <w:tc>
          <w:tcPr>
            <w:tcW w:w="952" w:type="dxa"/>
            <w:shd w:val="clear" w:color="auto" w:fill="CCE2ED"/>
          </w:tcPr>
          <w:p w14:paraId="4A72CB99" w14:textId="77777777" w:rsidR="00141B97" w:rsidRDefault="00911D63">
            <w:pPr>
              <w:pStyle w:val="TableParagraph"/>
              <w:spacing w:before="25"/>
              <w:ind w:right="99"/>
              <w:jc w:val="right"/>
              <w:rPr>
                <w:rFonts w:ascii="Calibri"/>
                <w:sz w:val="18"/>
              </w:rPr>
            </w:pPr>
            <w:r>
              <w:rPr>
                <w:rFonts w:ascii="Calibri"/>
                <w:spacing w:val="-2"/>
                <w:sz w:val="18"/>
              </w:rPr>
              <w:t>16.70</w:t>
            </w:r>
          </w:p>
        </w:tc>
        <w:tc>
          <w:tcPr>
            <w:tcW w:w="941" w:type="dxa"/>
            <w:tcBorders>
              <w:right w:val="nil"/>
            </w:tcBorders>
            <w:shd w:val="clear" w:color="auto" w:fill="CCE2ED"/>
          </w:tcPr>
          <w:p w14:paraId="30F9830D" w14:textId="77777777" w:rsidR="00141B97" w:rsidRDefault="00911D63">
            <w:pPr>
              <w:pStyle w:val="TableParagraph"/>
              <w:spacing w:before="18"/>
              <w:ind w:right="90"/>
              <w:jc w:val="right"/>
              <w:rPr>
                <w:rFonts w:ascii="Calibri"/>
                <w:sz w:val="18"/>
              </w:rPr>
            </w:pPr>
            <w:r>
              <w:rPr>
                <w:rFonts w:ascii="Calibri"/>
                <w:spacing w:val="-2"/>
                <w:sz w:val="18"/>
              </w:rPr>
              <w:t>83.57</w:t>
            </w:r>
          </w:p>
        </w:tc>
      </w:tr>
      <w:tr w:rsidR="00141B97" w14:paraId="76B6B469" w14:textId="77777777">
        <w:trPr>
          <w:trHeight w:val="255"/>
          <w:tblCellSpacing w:w="9" w:type="dxa"/>
        </w:trPr>
        <w:tc>
          <w:tcPr>
            <w:tcW w:w="2177" w:type="dxa"/>
            <w:tcBorders>
              <w:left w:val="nil"/>
            </w:tcBorders>
            <w:shd w:val="clear" w:color="auto" w:fill="CCE2ED"/>
          </w:tcPr>
          <w:p w14:paraId="06303698" w14:textId="77777777" w:rsidR="00141B97" w:rsidRDefault="00911D63">
            <w:pPr>
              <w:pStyle w:val="TableParagraph"/>
              <w:spacing w:before="19" w:line="217" w:lineRule="exact"/>
              <w:ind w:left="88"/>
              <w:rPr>
                <w:sz w:val="18"/>
              </w:rPr>
            </w:pPr>
            <w:r>
              <w:rPr>
                <w:spacing w:val="-2"/>
                <w:sz w:val="18"/>
              </w:rPr>
              <w:t>Sewerage</w:t>
            </w:r>
          </w:p>
        </w:tc>
        <w:tc>
          <w:tcPr>
            <w:tcW w:w="952" w:type="dxa"/>
            <w:shd w:val="clear" w:color="auto" w:fill="CCE2ED"/>
          </w:tcPr>
          <w:p w14:paraId="02AB2297" w14:textId="77777777" w:rsidR="00141B97" w:rsidRDefault="00911D63">
            <w:pPr>
              <w:pStyle w:val="TableParagraph"/>
              <w:spacing w:before="19" w:line="217" w:lineRule="exact"/>
              <w:ind w:right="96"/>
              <w:jc w:val="right"/>
              <w:rPr>
                <w:rFonts w:ascii="Calibri"/>
                <w:sz w:val="18"/>
              </w:rPr>
            </w:pPr>
            <w:r>
              <w:rPr>
                <w:rFonts w:ascii="Calibri"/>
                <w:spacing w:val="-2"/>
                <w:sz w:val="18"/>
              </w:rPr>
              <w:t>10.21</w:t>
            </w:r>
          </w:p>
        </w:tc>
        <w:tc>
          <w:tcPr>
            <w:tcW w:w="951" w:type="dxa"/>
            <w:shd w:val="clear" w:color="auto" w:fill="CCE2ED"/>
          </w:tcPr>
          <w:p w14:paraId="7A5AA543" w14:textId="77777777" w:rsidR="00141B97" w:rsidRDefault="00911D63">
            <w:pPr>
              <w:pStyle w:val="TableParagraph"/>
              <w:spacing w:before="19" w:line="217" w:lineRule="exact"/>
              <w:ind w:right="97"/>
              <w:jc w:val="right"/>
              <w:rPr>
                <w:rFonts w:ascii="Calibri"/>
                <w:sz w:val="18"/>
              </w:rPr>
            </w:pPr>
            <w:r>
              <w:rPr>
                <w:rFonts w:ascii="Calibri"/>
                <w:spacing w:val="-4"/>
                <w:sz w:val="18"/>
              </w:rPr>
              <w:t>9.50</w:t>
            </w:r>
          </w:p>
        </w:tc>
        <w:tc>
          <w:tcPr>
            <w:tcW w:w="952" w:type="dxa"/>
            <w:shd w:val="clear" w:color="auto" w:fill="CCE2ED"/>
          </w:tcPr>
          <w:p w14:paraId="0282F435" w14:textId="77777777" w:rsidR="00141B97" w:rsidRDefault="00911D63">
            <w:pPr>
              <w:pStyle w:val="TableParagraph"/>
              <w:spacing w:before="19" w:line="217" w:lineRule="exact"/>
              <w:ind w:right="97"/>
              <w:jc w:val="right"/>
              <w:rPr>
                <w:rFonts w:ascii="Calibri"/>
                <w:sz w:val="18"/>
              </w:rPr>
            </w:pPr>
            <w:r>
              <w:rPr>
                <w:rFonts w:ascii="Calibri"/>
                <w:spacing w:val="-2"/>
                <w:sz w:val="18"/>
              </w:rPr>
              <w:t>10.29</w:t>
            </w:r>
          </w:p>
        </w:tc>
        <w:tc>
          <w:tcPr>
            <w:tcW w:w="951" w:type="dxa"/>
            <w:shd w:val="clear" w:color="auto" w:fill="CCE2ED"/>
          </w:tcPr>
          <w:p w14:paraId="74DF38D8" w14:textId="77777777" w:rsidR="00141B97" w:rsidRDefault="00911D63">
            <w:pPr>
              <w:pStyle w:val="TableParagraph"/>
              <w:spacing w:before="19" w:line="217" w:lineRule="exact"/>
              <w:ind w:right="98"/>
              <w:jc w:val="right"/>
              <w:rPr>
                <w:rFonts w:ascii="Calibri"/>
                <w:sz w:val="18"/>
              </w:rPr>
            </w:pPr>
            <w:r>
              <w:rPr>
                <w:rFonts w:ascii="Calibri"/>
                <w:spacing w:val="-2"/>
                <w:sz w:val="18"/>
              </w:rPr>
              <w:t>10.62</w:t>
            </w:r>
          </w:p>
        </w:tc>
        <w:tc>
          <w:tcPr>
            <w:tcW w:w="952" w:type="dxa"/>
            <w:shd w:val="clear" w:color="auto" w:fill="CCE2ED"/>
          </w:tcPr>
          <w:p w14:paraId="32949B07" w14:textId="77777777" w:rsidR="00141B97" w:rsidRDefault="00911D63">
            <w:pPr>
              <w:pStyle w:val="TableParagraph"/>
              <w:spacing w:before="19" w:line="217" w:lineRule="exact"/>
              <w:ind w:right="98"/>
              <w:jc w:val="right"/>
              <w:rPr>
                <w:rFonts w:ascii="Calibri"/>
                <w:sz w:val="18"/>
              </w:rPr>
            </w:pPr>
            <w:r>
              <w:rPr>
                <w:rFonts w:ascii="Calibri"/>
                <w:spacing w:val="-2"/>
                <w:sz w:val="18"/>
              </w:rPr>
              <w:t>10.47</w:t>
            </w:r>
          </w:p>
        </w:tc>
        <w:tc>
          <w:tcPr>
            <w:tcW w:w="951" w:type="dxa"/>
            <w:shd w:val="clear" w:color="auto" w:fill="CCE2ED"/>
          </w:tcPr>
          <w:p w14:paraId="0A0C1CF6" w14:textId="77777777" w:rsidR="00141B97" w:rsidRDefault="00911D63">
            <w:pPr>
              <w:pStyle w:val="TableParagraph"/>
              <w:spacing w:before="19" w:line="217" w:lineRule="exact"/>
              <w:ind w:right="99"/>
              <w:jc w:val="right"/>
              <w:rPr>
                <w:rFonts w:ascii="Calibri"/>
                <w:sz w:val="18"/>
              </w:rPr>
            </w:pPr>
            <w:r>
              <w:rPr>
                <w:rFonts w:ascii="Calibri"/>
                <w:spacing w:val="-2"/>
                <w:sz w:val="18"/>
              </w:rPr>
              <w:t>10.75</w:t>
            </w:r>
          </w:p>
        </w:tc>
        <w:tc>
          <w:tcPr>
            <w:tcW w:w="952" w:type="dxa"/>
            <w:shd w:val="clear" w:color="auto" w:fill="CCE2ED"/>
          </w:tcPr>
          <w:p w14:paraId="0DBFAC70" w14:textId="77777777" w:rsidR="00141B97" w:rsidRDefault="00911D63">
            <w:pPr>
              <w:pStyle w:val="TableParagraph"/>
              <w:spacing w:before="19" w:line="217" w:lineRule="exact"/>
              <w:ind w:right="99"/>
              <w:jc w:val="right"/>
              <w:rPr>
                <w:rFonts w:ascii="Calibri"/>
                <w:sz w:val="18"/>
              </w:rPr>
            </w:pPr>
            <w:r>
              <w:rPr>
                <w:rFonts w:ascii="Calibri"/>
                <w:spacing w:val="-2"/>
                <w:sz w:val="18"/>
              </w:rPr>
              <w:t>10.42</w:t>
            </w:r>
          </w:p>
        </w:tc>
        <w:tc>
          <w:tcPr>
            <w:tcW w:w="941" w:type="dxa"/>
            <w:tcBorders>
              <w:right w:val="nil"/>
            </w:tcBorders>
            <w:shd w:val="clear" w:color="auto" w:fill="CCE2ED"/>
          </w:tcPr>
          <w:p w14:paraId="0D46F877" w14:textId="77777777" w:rsidR="00141B97" w:rsidRDefault="00911D63">
            <w:pPr>
              <w:pStyle w:val="TableParagraph"/>
              <w:spacing w:before="10"/>
              <w:ind w:right="90"/>
              <w:jc w:val="right"/>
              <w:rPr>
                <w:rFonts w:ascii="Calibri"/>
                <w:sz w:val="18"/>
              </w:rPr>
            </w:pPr>
            <w:r>
              <w:rPr>
                <w:rFonts w:ascii="Calibri"/>
                <w:spacing w:val="-2"/>
                <w:sz w:val="18"/>
              </w:rPr>
              <w:t>52.54</w:t>
            </w:r>
          </w:p>
        </w:tc>
      </w:tr>
      <w:tr w:rsidR="00141B97" w14:paraId="17F8AAC5" w14:textId="77777777">
        <w:trPr>
          <w:trHeight w:val="254"/>
          <w:tblCellSpacing w:w="9" w:type="dxa"/>
        </w:trPr>
        <w:tc>
          <w:tcPr>
            <w:tcW w:w="2177" w:type="dxa"/>
            <w:tcBorders>
              <w:left w:val="nil"/>
            </w:tcBorders>
            <w:shd w:val="clear" w:color="auto" w:fill="BFBFBF"/>
          </w:tcPr>
          <w:p w14:paraId="5A340F69" w14:textId="77777777" w:rsidR="00141B97" w:rsidRDefault="00911D63">
            <w:pPr>
              <w:pStyle w:val="TableParagraph"/>
              <w:spacing w:before="18" w:line="217" w:lineRule="exact"/>
              <w:ind w:left="88"/>
              <w:rPr>
                <w:sz w:val="18"/>
              </w:rPr>
            </w:pPr>
            <w:r>
              <w:rPr>
                <w:sz w:val="18"/>
              </w:rPr>
              <w:t>Total</w:t>
            </w:r>
            <w:r>
              <w:rPr>
                <w:spacing w:val="-4"/>
                <w:sz w:val="18"/>
              </w:rPr>
              <w:t xml:space="preserve"> </w:t>
            </w:r>
            <w:r>
              <w:rPr>
                <w:sz w:val="18"/>
              </w:rPr>
              <w:t>controllable</w:t>
            </w:r>
            <w:r>
              <w:rPr>
                <w:spacing w:val="-2"/>
                <w:sz w:val="18"/>
              </w:rPr>
              <w:t xml:space="preserve"> </w:t>
            </w:r>
            <w:r>
              <w:rPr>
                <w:spacing w:val="-4"/>
                <w:sz w:val="18"/>
              </w:rPr>
              <w:t>opex</w:t>
            </w:r>
          </w:p>
        </w:tc>
        <w:tc>
          <w:tcPr>
            <w:tcW w:w="952" w:type="dxa"/>
            <w:shd w:val="clear" w:color="auto" w:fill="BFBFBF"/>
          </w:tcPr>
          <w:p w14:paraId="1A40254F" w14:textId="77777777" w:rsidR="00141B97" w:rsidRDefault="00911D63">
            <w:pPr>
              <w:pStyle w:val="TableParagraph"/>
              <w:spacing w:before="18" w:line="217" w:lineRule="exact"/>
              <w:ind w:right="96"/>
              <w:jc w:val="right"/>
              <w:rPr>
                <w:rFonts w:ascii="Calibri"/>
                <w:b/>
                <w:sz w:val="18"/>
              </w:rPr>
            </w:pPr>
            <w:r>
              <w:rPr>
                <w:rFonts w:ascii="Calibri"/>
                <w:b/>
                <w:spacing w:val="-2"/>
                <w:sz w:val="18"/>
              </w:rPr>
              <w:t>26.97</w:t>
            </w:r>
          </w:p>
        </w:tc>
        <w:tc>
          <w:tcPr>
            <w:tcW w:w="951" w:type="dxa"/>
            <w:shd w:val="clear" w:color="auto" w:fill="BFBFBF"/>
          </w:tcPr>
          <w:p w14:paraId="29E40C56" w14:textId="77777777" w:rsidR="00141B97" w:rsidRDefault="00911D63">
            <w:pPr>
              <w:pStyle w:val="TableParagraph"/>
              <w:spacing w:before="18" w:line="217" w:lineRule="exact"/>
              <w:ind w:right="97"/>
              <w:jc w:val="right"/>
              <w:rPr>
                <w:rFonts w:ascii="Calibri"/>
                <w:b/>
                <w:sz w:val="18"/>
              </w:rPr>
            </w:pPr>
            <w:r>
              <w:rPr>
                <w:rFonts w:ascii="Calibri"/>
                <w:b/>
                <w:spacing w:val="-2"/>
                <w:sz w:val="18"/>
              </w:rPr>
              <w:t>25.05</w:t>
            </w:r>
          </w:p>
        </w:tc>
        <w:tc>
          <w:tcPr>
            <w:tcW w:w="952" w:type="dxa"/>
            <w:shd w:val="clear" w:color="auto" w:fill="BFBFBF"/>
          </w:tcPr>
          <w:p w14:paraId="2CBA0168" w14:textId="77777777" w:rsidR="00141B97" w:rsidRDefault="00911D63">
            <w:pPr>
              <w:pStyle w:val="TableParagraph"/>
              <w:spacing w:before="18" w:line="217" w:lineRule="exact"/>
              <w:ind w:right="97"/>
              <w:jc w:val="right"/>
              <w:rPr>
                <w:rFonts w:ascii="Calibri"/>
                <w:b/>
                <w:sz w:val="18"/>
              </w:rPr>
            </w:pPr>
            <w:r>
              <w:rPr>
                <w:rFonts w:ascii="Calibri"/>
                <w:b/>
                <w:spacing w:val="-2"/>
                <w:sz w:val="18"/>
              </w:rPr>
              <w:t>26.96</w:t>
            </w:r>
          </w:p>
        </w:tc>
        <w:tc>
          <w:tcPr>
            <w:tcW w:w="951" w:type="dxa"/>
            <w:shd w:val="clear" w:color="auto" w:fill="BFBFBF"/>
          </w:tcPr>
          <w:p w14:paraId="76D4B52A" w14:textId="77777777" w:rsidR="00141B97" w:rsidRDefault="00911D63">
            <w:pPr>
              <w:pStyle w:val="TableParagraph"/>
              <w:spacing w:before="18" w:line="217" w:lineRule="exact"/>
              <w:ind w:right="98"/>
              <w:jc w:val="right"/>
              <w:rPr>
                <w:rFonts w:ascii="Calibri"/>
                <w:b/>
                <w:sz w:val="18"/>
              </w:rPr>
            </w:pPr>
            <w:r>
              <w:rPr>
                <w:rFonts w:ascii="Calibri"/>
                <w:b/>
                <w:spacing w:val="-2"/>
                <w:sz w:val="18"/>
              </w:rPr>
              <w:t>27.11</w:t>
            </w:r>
          </w:p>
        </w:tc>
        <w:tc>
          <w:tcPr>
            <w:tcW w:w="952" w:type="dxa"/>
            <w:shd w:val="clear" w:color="auto" w:fill="BFBFBF"/>
          </w:tcPr>
          <w:p w14:paraId="593709E9" w14:textId="77777777" w:rsidR="00141B97" w:rsidRDefault="00911D63">
            <w:pPr>
              <w:pStyle w:val="TableParagraph"/>
              <w:spacing w:before="18" w:line="217" w:lineRule="exact"/>
              <w:ind w:right="98"/>
              <w:jc w:val="right"/>
              <w:rPr>
                <w:rFonts w:ascii="Calibri"/>
                <w:b/>
                <w:sz w:val="18"/>
              </w:rPr>
            </w:pPr>
            <w:r>
              <w:rPr>
                <w:rFonts w:ascii="Calibri"/>
                <w:b/>
                <w:spacing w:val="-2"/>
                <w:sz w:val="18"/>
              </w:rPr>
              <w:t>27.22</w:t>
            </w:r>
          </w:p>
        </w:tc>
        <w:tc>
          <w:tcPr>
            <w:tcW w:w="951" w:type="dxa"/>
            <w:shd w:val="clear" w:color="auto" w:fill="BFBFBF"/>
          </w:tcPr>
          <w:p w14:paraId="2F842103" w14:textId="77777777" w:rsidR="00141B97" w:rsidRDefault="00911D63">
            <w:pPr>
              <w:pStyle w:val="TableParagraph"/>
              <w:spacing w:before="18" w:line="217" w:lineRule="exact"/>
              <w:ind w:right="99"/>
              <w:jc w:val="right"/>
              <w:rPr>
                <w:rFonts w:ascii="Calibri"/>
                <w:b/>
                <w:sz w:val="18"/>
              </w:rPr>
            </w:pPr>
            <w:r>
              <w:rPr>
                <w:rFonts w:ascii="Calibri"/>
                <w:b/>
                <w:spacing w:val="-2"/>
                <w:sz w:val="18"/>
              </w:rPr>
              <w:t>27.69</w:t>
            </w:r>
          </w:p>
        </w:tc>
        <w:tc>
          <w:tcPr>
            <w:tcW w:w="952" w:type="dxa"/>
            <w:shd w:val="clear" w:color="auto" w:fill="BFBFBF"/>
          </w:tcPr>
          <w:p w14:paraId="7AF3431B" w14:textId="77777777" w:rsidR="00141B97" w:rsidRDefault="00911D63">
            <w:pPr>
              <w:pStyle w:val="TableParagraph"/>
              <w:spacing w:before="18" w:line="217" w:lineRule="exact"/>
              <w:ind w:right="99"/>
              <w:jc w:val="right"/>
              <w:rPr>
                <w:rFonts w:ascii="Calibri"/>
                <w:b/>
                <w:sz w:val="18"/>
              </w:rPr>
            </w:pPr>
            <w:r>
              <w:rPr>
                <w:rFonts w:ascii="Calibri"/>
                <w:b/>
                <w:spacing w:val="-2"/>
                <w:sz w:val="18"/>
              </w:rPr>
              <w:t>27.12</w:t>
            </w:r>
          </w:p>
        </w:tc>
        <w:tc>
          <w:tcPr>
            <w:tcW w:w="941" w:type="dxa"/>
            <w:tcBorders>
              <w:right w:val="nil"/>
            </w:tcBorders>
            <w:shd w:val="clear" w:color="auto" w:fill="BFBFBF"/>
          </w:tcPr>
          <w:p w14:paraId="61626CE6" w14:textId="77777777" w:rsidR="00141B97" w:rsidRDefault="00911D63">
            <w:pPr>
              <w:pStyle w:val="TableParagraph"/>
              <w:spacing w:before="10"/>
              <w:ind w:right="90"/>
              <w:jc w:val="right"/>
              <w:rPr>
                <w:rFonts w:ascii="Calibri"/>
                <w:b/>
                <w:sz w:val="18"/>
              </w:rPr>
            </w:pPr>
            <w:r>
              <w:rPr>
                <w:rFonts w:ascii="Calibri"/>
                <w:b/>
                <w:spacing w:val="-2"/>
                <w:sz w:val="18"/>
              </w:rPr>
              <w:t>136.11</w:t>
            </w:r>
          </w:p>
        </w:tc>
      </w:tr>
      <w:tr w:rsidR="00141B97" w14:paraId="7B8C4750" w14:textId="77777777">
        <w:trPr>
          <w:trHeight w:val="254"/>
          <w:tblCellSpacing w:w="9" w:type="dxa"/>
        </w:trPr>
        <w:tc>
          <w:tcPr>
            <w:tcW w:w="9779" w:type="dxa"/>
            <w:gridSpan w:val="9"/>
            <w:tcBorders>
              <w:left w:val="nil"/>
              <w:right w:val="nil"/>
            </w:tcBorders>
            <w:shd w:val="clear" w:color="auto" w:fill="006CA3"/>
          </w:tcPr>
          <w:p w14:paraId="39BBFAAB" w14:textId="77777777" w:rsidR="00141B97" w:rsidRDefault="00911D63">
            <w:pPr>
              <w:pStyle w:val="TableParagraph"/>
              <w:spacing w:before="18" w:line="217" w:lineRule="exact"/>
              <w:ind w:left="98"/>
              <w:rPr>
                <w:i/>
                <w:sz w:val="18"/>
              </w:rPr>
            </w:pPr>
            <w:r>
              <w:rPr>
                <w:i/>
                <w:color w:val="FFFFFF"/>
                <w:sz w:val="18"/>
              </w:rPr>
              <w:t>Non</w:t>
            </w:r>
            <w:r>
              <w:rPr>
                <w:i/>
                <w:color w:val="FFFFFF"/>
                <w:spacing w:val="-7"/>
                <w:sz w:val="18"/>
              </w:rPr>
              <w:t xml:space="preserve"> </w:t>
            </w:r>
            <w:r>
              <w:rPr>
                <w:i/>
                <w:color w:val="FFFFFF"/>
                <w:sz w:val="18"/>
              </w:rPr>
              <w:t>controllable</w:t>
            </w:r>
            <w:r>
              <w:rPr>
                <w:i/>
                <w:color w:val="FFFFFF"/>
                <w:spacing w:val="-4"/>
                <w:sz w:val="18"/>
              </w:rPr>
              <w:t xml:space="preserve"> opex</w:t>
            </w:r>
          </w:p>
        </w:tc>
      </w:tr>
      <w:tr w:rsidR="00141B97" w14:paraId="06A40844" w14:textId="77777777">
        <w:trPr>
          <w:trHeight w:val="659"/>
          <w:tblCellSpacing w:w="9" w:type="dxa"/>
        </w:trPr>
        <w:tc>
          <w:tcPr>
            <w:tcW w:w="2177" w:type="dxa"/>
            <w:tcBorders>
              <w:left w:val="nil"/>
            </w:tcBorders>
            <w:shd w:val="clear" w:color="auto" w:fill="CCE2ED"/>
          </w:tcPr>
          <w:p w14:paraId="4F98B60E" w14:textId="77777777" w:rsidR="00141B97" w:rsidRDefault="00911D63">
            <w:pPr>
              <w:pStyle w:val="TableParagraph"/>
              <w:spacing w:line="220" w:lineRule="atLeast"/>
              <w:ind w:left="88" w:right="177"/>
              <w:rPr>
                <w:sz w:val="18"/>
              </w:rPr>
            </w:pPr>
            <w:r>
              <w:rPr>
                <w:sz w:val="18"/>
              </w:rPr>
              <w:t>External bulk water charges and water allocation</w:t>
            </w:r>
            <w:r>
              <w:rPr>
                <w:spacing w:val="-11"/>
                <w:sz w:val="18"/>
              </w:rPr>
              <w:t xml:space="preserve"> </w:t>
            </w:r>
            <w:r>
              <w:rPr>
                <w:sz w:val="18"/>
              </w:rPr>
              <w:t>purchases</w:t>
            </w:r>
          </w:p>
        </w:tc>
        <w:tc>
          <w:tcPr>
            <w:tcW w:w="952" w:type="dxa"/>
            <w:shd w:val="clear" w:color="auto" w:fill="CCE2ED"/>
          </w:tcPr>
          <w:p w14:paraId="308D29CD" w14:textId="77777777" w:rsidR="00141B97" w:rsidRDefault="00141B97">
            <w:pPr>
              <w:pStyle w:val="TableParagraph"/>
              <w:rPr>
                <w:sz w:val="18"/>
              </w:rPr>
            </w:pPr>
          </w:p>
          <w:p w14:paraId="32897AD6" w14:textId="77777777" w:rsidR="00141B97" w:rsidRDefault="00911D63">
            <w:pPr>
              <w:pStyle w:val="TableParagraph"/>
              <w:spacing w:before="1"/>
              <w:ind w:right="96"/>
              <w:jc w:val="right"/>
              <w:rPr>
                <w:rFonts w:ascii="Calibri"/>
                <w:sz w:val="18"/>
              </w:rPr>
            </w:pPr>
            <w:r>
              <w:rPr>
                <w:rFonts w:ascii="Calibri"/>
                <w:spacing w:val="-4"/>
                <w:sz w:val="18"/>
              </w:rPr>
              <w:t>0.71</w:t>
            </w:r>
          </w:p>
        </w:tc>
        <w:tc>
          <w:tcPr>
            <w:tcW w:w="951" w:type="dxa"/>
            <w:shd w:val="clear" w:color="auto" w:fill="CCE2ED"/>
          </w:tcPr>
          <w:p w14:paraId="5F3A23A8" w14:textId="77777777" w:rsidR="00141B97" w:rsidRDefault="00141B97">
            <w:pPr>
              <w:pStyle w:val="TableParagraph"/>
              <w:rPr>
                <w:sz w:val="18"/>
              </w:rPr>
            </w:pPr>
          </w:p>
          <w:p w14:paraId="5476BB8C" w14:textId="77777777" w:rsidR="00141B97" w:rsidRDefault="00911D63">
            <w:pPr>
              <w:pStyle w:val="TableParagraph"/>
              <w:spacing w:before="1"/>
              <w:ind w:right="97"/>
              <w:jc w:val="right"/>
              <w:rPr>
                <w:rFonts w:ascii="Calibri"/>
                <w:sz w:val="18"/>
              </w:rPr>
            </w:pPr>
            <w:r>
              <w:rPr>
                <w:rFonts w:ascii="Calibri"/>
                <w:spacing w:val="-4"/>
                <w:sz w:val="18"/>
              </w:rPr>
              <w:t>0.70</w:t>
            </w:r>
          </w:p>
        </w:tc>
        <w:tc>
          <w:tcPr>
            <w:tcW w:w="952" w:type="dxa"/>
            <w:shd w:val="clear" w:color="auto" w:fill="CCE2ED"/>
          </w:tcPr>
          <w:p w14:paraId="6A05C9B1" w14:textId="77777777" w:rsidR="00141B97" w:rsidRDefault="00141B97">
            <w:pPr>
              <w:pStyle w:val="TableParagraph"/>
              <w:rPr>
                <w:sz w:val="18"/>
              </w:rPr>
            </w:pPr>
          </w:p>
          <w:p w14:paraId="7B17715A" w14:textId="77777777" w:rsidR="00141B97" w:rsidRDefault="00911D63">
            <w:pPr>
              <w:pStyle w:val="TableParagraph"/>
              <w:spacing w:before="1"/>
              <w:ind w:right="97"/>
              <w:jc w:val="right"/>
              <w:rPr>
                <w:rFonts w:ascii="Calibri"/>
                <w:sz w:val="18"/>
              </w:rPr>
            </w:pPr>
            <w:r>
              <w:rPr>
                <w:rFonts w:ascii="Calibri"/>
                <w:spacing w:val="-4"/>
                <w:sz w:val="18"/>
              </w:rPr>
              <w:t>0.72</w:t>
            </w:r>
          </w:p>
        </w:tc>
        <w:tc>
          <w:tcPr>
            <w:tcW w:w="951" w:type="dxa"/>
            <w:shd w:val="clear" w:color="auto" w:fill="CCE2ED"/>
          </w:tcPr>
          <w:p w14:paraId="4D6472AB" w14:textId="77777777" w:rsidR="00141B97" w:rsidRDefault="00141B97">
            <w:pPr>
              <w:pStyle w:val="TableParagraph"/>
              <w:rPr>
                <w:sz w:val="18"/>
              </w:rPr>
            </w:pPr>
          </w:p>
          <w:p w14:paraId="218FF665" w14:textId="77777777" w:rsidR="00141B97" w:rsidRDefault="00911D63">
            <w:pPr>
              <w:pStyle w:val="TableParagraph"/>
              <w:spacing w:before="1"/>
              <w:ind w:right="98"/>
              <w:jc w:val="right"/>
              <w:rPr>
                <w:rFonts w:ascii="Calibri"/>
                <w:sz w:val="18"/>
              </w:rPr>
            </w:pPr>
            <w:r>
              <w:rPr>
                <w:rFonts w:ascii="Calibri"/>
                <w:spacing w:val="-4"/>
                <w:sz w:val="18"/>
              </w:rPr>
              <w:t>0.73</w:t>
            </w:r>
          </w:p>
        </w:tc>
        <w:tc>
          <w:tcPr>
            <w:tcW w:w="952" w:type="dxa"/>
            <w:shd w:val="clear" w:color="auto" w:fill="CCE2ED"/>
          </w:tcPr>
          <w:p w14:paraId="2AEC463A" w14:textId="77777777" w:rsidR="00141B97" w:rsidRDefault="00141B97">
            <w:pPr>
              <w:pStyle w:val="TableParagraph"/>
              <w:rPr>
                <w:sz w:val="18"/>
              </w:rPr>
            </w:pPr>
          </w:p>
          <w:p w14:paraId="454EE820" w14:textId="77777777" w:rsidR="00141B97" w:rsidRDefault="00911D63">
            <w:pPr>
              <w:pStyle w:val="TableParagraph"/>
              <w:spacing w:before="1"/>
              <w:ind w:right="98"/>
              <w:jc w:val="right"/>
              <w:rPr>
                <w:rFonts w:ascii="Calibri"/>
                <w:sz w:val="18"/>
              </w:rPr>
            </w:pPr>
            <w:r>
              <w:rPr>
                <w:rFonts w:ascii="Calibri"/>
                <w:spacing w:val="-4"/>
                <w:sz w:val="18"/>
              </w:rPr>
              <w:t>0.75</w:t>
            </w:r>
          </w:p>
        </w:tc>
        <w:tc>
          <w:tcPr>
            <w:tcW w:w="951" w:type="dxa"/>
            <w:shd w:val="clear" w:color="auto" w:fill="CCE2ED"/>
          </w:tcPr>
          <w:p w14:paraId="7F2BF148" w14:textId="77777777" w:rsidR="00141B97" w:rsidRDefault="00141B97">
            <w:pPr>
              <w:pStyle w:val="TableParagraph"/>
              <w:rPr>
                <w:sz w:val="18"/>
              </w:rPr>
            </w:pPr>
          </w:p>
          <w:p w14:paraId="53D4594E" w14:textId="77777777" w:rsidR="00141B97" w:rsidRDefault="00911D63">
            <w:pPr>
              <w:pStyle w:val="TableParagraph"/>
              <w:spacing w:before="1"/>
              <w:ind w:right="99"/>
              <w:jc w:val="right"/>
              <w:rPr>
                <w:rFonts w:ascii="Calibri"/>
                <w:sz w:val="18"/>
              </w:rPr>
            </w:pPr>
            <w:r>
              <w:rPr>
                <w:rFonts w:ascii="Calibri"/>
                <w:spacing w:val="-4"/>
                <w:sz w:val="18"/>
              </w:rPr>
              <w:t>0.76</w:t>
            </w:r>
          </w:p>
        </w:tc>
        <w:tc>
          <w:tcPr>
            <w:tcW w:w="952" w:type="dxa"/>
            <w:shd w:val="clear" w:color="auto" w:fill="CCE2ED"/>
          </w:tcPr>
          <w:p w14:paraId="1472F2CF" w14:textId="77777777" w:rsidR="00141B97" w:rsidRDefault="00141B97">
            <w:pPr>
              <w:pStyle w:val="TableParagraph"/>
              <w:rPr>
                <w:sz w:val="18"/>
              </w:rPr>
            </w:pPr>
          </w:p>
          <w:p w14:paraId="18D9B124" w14:textId="77777777" w:rsidR="00141B97" w:rsidRDefault="00911D63">
            <w:pPr>
              <w:pStyle w:val="TableParagraph"/>
              <w:spacing w:before="1"/>
              <w:ind w:right="99"/>
              <w:jc w:val="right"/>
              <w:rPr>
                <w:rFonts w:ascii="Calibri"/>
                <w:sz w:val="18"/>
              </w:rPr>
            </w:pPr>
            <w:r>
              <w:rPr>
                <w:rFonts w:ascii="Calibri"/>
                <w:spacing w:val="-4"/>
                <w:sz w:val="18"/>
              </w:rPr>
              <w:t>0.76</w:t>
            </w:r>
          </w:p>
        </w:tc>
        <w:tc>
          <w:tcPr>
            <w:tcW w:w="941" w:type="dxa"/>
            <w:tcBorders>
              <w:right w:val="nil"/>
            </w:tcBorders>
            <w:shd w:val="clear" w:color="auto" w:fill="CCE2ED"/>
          </w:tcPr>
          <w:p w14:paraId="726D5F8F" w14:textId="77777777" w:rsidR="00141B97" w:rsidRDefault="00141B97">
            <w:pPr>
              <w:pStyle w:val="TableParagraph"/>
              <w:spacing w:before="4"/>
              <w:rPr>
                <w:sz w:val="17"/>
              </w:rPr>
            </w:pPr>
          </w:p>
          <w:p w14:paraId="68F7D49A" w14:textId="77777777" w:rsidR="00141B97" w:rsidRDefault="00911D63">
            <w:pPr>
              <w:pStyle w:val="TableParagraph"/>
              <w:ind w:right="90"/>
              <w:jc w:val="right"/>
              <w:rPr>
                <w:rFonts w:ascii="Calibri"/>
                <w:sz w:val="18"/>
              </w:rPr>
            </w:pPr>
            <w:r>
              <w:rPr>
                <w:rFonts w:ascii="Calibri"/>
                <w:spacing w:val="-4"/>
                <w:sz w:val="18"/>
              </w:rPr>
              <w:t>3.73</w:t>
            </w:r>
          </w:p>
        </w:tc>
      </w:tr>
      <w:tr w:rsidR="00141B97" w14:paraId="62E78F1E" w14:textId="77777777">
        <w:trPr>
          <w:trHeight w:val="253"/>
          <w:tblCellSpacing w:w="9" w:type="dxa"/>
        </w:trPr>
        <w:tc>
          <w:tcPr>
            <w:tcW w:w="2177" w:type="dxa"/>
            <w:tcBorders>
              <w:left w:val="nil"/>
            </w:tcBorders>
            <w:shd w:val="clear" w:color="auto" w:fill="CCE2ED"/>
          </w:tcPr>
          <w:p w14:paraId="5DDDD6E4" w14:textId="77777777" w:rsidR="00141B97" w:rsidRDefault="00911D63">
            <w:pPr>
              <w:pStyle w:val="TableParagraph"/>
              <w:spacing w:before="17" w:line="217" w:lineRule="exact"/>
              <w:ind w:left="88"/>
              <w:rPr>
                <w:sz w:val="18"/>
              </w:rPr>
            </w:pPr>
            <w:r>
              <w:rPr>
                <w:sz w:val="18"/>
              </w:rPr>
              <w:t>Licence</w:t>
            </w:r>
            <w:r>
              <w:rPr>
                <w:spacing w:val="-1"/>
                <w:sz w:val="18"/>
              </w:rPr>
              <w:t xml:space="preserve"> </w:t>
            </w:r>
            <w:r>
              <w:rPr>
                <w:spacing w:val="-4"/>
                <w:sz w:val="18"/>
              </w:rPr>
              <w:t>fees</w:t>
            </w:r>
          </w:p>
        </w:tc>
        <w:tc>
          <w:tcPr>
            <w:tcW w:w="952" w:type="dxa"/>
            <w:shd w:val="clear" w:color="auto" w:fill="CCE2ED"/>
          </w:tcPr>
          <w:p w14:paraId="2289DFE4" w14:textId="77777777" w:rsidR="00141B97" w:rsidRDefault="00911D63">
            <w:pPr>
              <w:pStyle w:val="TableParagraph"/>
              <w:spacing w:before="17" w:line="217" w:lineRule="exact"/>
              <w:ind w:right="96"/>
              <w:jc w:val="right"/>
              <w:rPr>
                <w:rFonts w:ascii="Calibri"/>
                <w:sz w:val="18"/>
              </w:rPr>
            </w:pPr>
            <w:r>
              <w:rPr>
                <w:rFonts w:ascii="Calibri"/>
                <w:spacing w:val="-4"/>
                <w:sz w:val="18"/>
              </w:rPr>
              <w:t>0.12</w:t>
            </w:r>
          </w:p>
        </w:tc>
        <w:tc>
          <w:tcPr>
            <w:tcW w:w="951" w:type="dxa"/>
            <w:shd w:val="clear" w:color="auto" w:fill="CCE2ED"/>
          </w:tcPr>
          <w:p w14:paraId="1E5EF95C" w14:textId="77777777" w:rsidR="00141B97" w:rsidRDefault="00911D63">
            <w:pPr>
              <w:pStyle w:val="TableParagraph"/>
              <w:spacing w:before="17" w:line="217" w:lineRule="exact"/>
              <w:ind w:right="97"/>
              <w:jc w:val="right"/>
              <w:rPr>
                <w:rFonts w:ascii="Calibri"/>
                <w:sz w:val="18"/>
              </w:rPr>
            </w:pPr>
            <w:r>
              <w:rPr>
                <w:rFonts w:ascii="Calibri"/>
                <w:spacing w:val="-4"/>
                <w:sz w:val="18"/>
              </w:rPr>
              <w:t>0.09</w:t>
            </w:r>
          </w:p>
        </w:tc>
        <w:tc>
          <w:tcPr>
            <w:tcW w:w="952" w:type="dxa"/>
            <w:shd w:val="clear" w:color="auto" w:fill="CCE2ED"/>
          </w:tcPr>
          <w:p w14:paraId="3C90F57F" w14:textId="77777777" w:rsidR="00141B97" w:rsidRDefault="00911D63">
            <w:pPr>
              <w:pStyle w:val="TableParagraph"/>
              <w:spacing w:before="17" w:line="217" w:lineRule="exact"/>
              <w:ind w:right="97"/>
              <w:jc w:val="right"/>
              <w:rPr>
                <w:rFonts w:ascii="Calibri"/>
                <w:sz w:val="18"/>
              </w:rPr>
            </w:pPr>
            <w:r>
              <w:rPr>
                <w:rFonts w:ascii="Calibri"/>
                <w:spacing w:val="-4"/>
                <w:sz w:val="18"/>
              </w:rPr>
              <w:t>0.08</w:t>
            </w:r>
          </w:p>
        </w:tc>
        <w:tc>
          <w:tcPr>
            <w:tcW w:w="951" w:type="dxa"/>
            <w:shd w:val="clear" w:color="auto" w:fill="CCE2ED"/>
          </w:tcPr>
          <w:p w14:paraId="2026D005" w14:textId="77777777" w:rsidR="00141B97" w:rsidRDefault="00911D63">
            <w:pPr>
              <w:pStyle w:val="TableParagraph"/>
              <w:spacing w:before="17" w:line="217" w:lineRule="exact"/>
              <w:ind w:right="98"/>
              <w:jc w:val="right"/>
              <w:rPr>
                <w:rFonts w:ascii="Calibri"/>
                <w:sz w:val="18"/>
              </w:rPr>
            </w:pPr>
            <w:r>
              <w:rPr>
                <w:rFonts w:ascii="Calibri"/>
                <w:spacing w:val="-4"/>
                <w:sz w:val="18"/>
              </w:rPr>
              <w:t>0.08</w:t>
            </w:r>
          </w:p>
        </w:tc>
        <w:tc>
          <w:tcPr>
            <w:tcW w:w="952" w:type="dxa"/>
            <w:shd w:val="clear" w:color="auto" w:fill="CCE2ED"/>
          </w:tcPr>
          <w:p w14:paraId="0C072337" w14:textId="77777777" w:rsidR="00141B97" w:rsidRDefault="00911D63">
            <w:pPr>
              <w:pStyle w:val="TableParagraph"/>
              <w:spacing w:before="17" w:line="217" w:lineRule="exact"/>
              <w:ind w:right="98"/>
              <w:jc w:val="right"/>
              <w:rPr>
                <w:rFonts w:ascii="Calibri"/>
                <w:sz w:val="18"/>
              </w:rPr>
            </w:pPr>
            <w:r>
              <w:rPr>
                <w:rFonts w:ascii="Calibri"/>
                <w:spacing w:val="-4"/>
                <w:sz w:val="18"/>
              </w:rPr>
              <w:t>0.08</w:t>
            </w:r>
          </w:p>
        </w:tc>
        <w:tc>
          <w:tcPr>
            <w:tcW w:w="951" w:type="dxa"/>
            <w:shd w:val="clear" w:color="auto" w:fill="CCE2ED"/>
          </w:tcPr>
          <w:p w14:paraId="08DEAED4" w14:textId="77777777" w:rsidR="00141B97" w:rsidRDefault="00911D63">
            <w:pPr>
              <w:pStyle w:val="TableParagraph"/>
              <w:spacing w:before="17" w:line="217" w:lineRule="exact"/>
              <w:ind w:right="99"/>
              <w:jc w:val="right"/>
              <w:rPr>
                <w:rFonts w:ascii="Calibri"/>
                <w:sz w:val="18"/>
              </w:rPr>
            </w:pPr>
            <w:r>
              <w:rPr>
                <w:rFonts w:ascii="Calibri"/>
                <w:spacing w:val="-4"/>
                <w:sz w:val="18"/>
              </w:rPr>
              <w:t>0.10</w:t>
            </w:r>
          </w:p>
        </w:tc>
        <w:tc>
          <w:tcPr>
            <w:tcW w:w="952" w:type="dxa"/>
            <w:shd w:val="clear" w:color="auto" w:fill="CCE2ED"/>
          </w:tcPr>
          <w:p w14:paraId="61E5B72E" w14:textId="77777777" w:rsidR="00141B97" w:rsidRDefault="00911D63">
            <w:pPr>
              <w:pStyle w:val="TableParagraph"/>
              <w:spacing w:before="17" w:line="217" w:lineRule="exact"/>
              <w:ind w:right="99"/>
              <w:jc w:val="right"/>
              <w:rPr>
                <w:rFonts w:ascii="Calibri"/>
                <w:sz w:val="18"/>
              </w:rPr>
            </w:pPr>
            <w:r>
              <w:rPr>
                <w:rFonts w:ascii="Calibri"/>
                <w:spacing w:val="-4"/>
                <w:sz w:val="18"/>
              </w:rPr>
              <w:t>0.10</w:t>
            </w:r>
          </w:p>
        </w:tc>
        <w:tc>
          <w:tcPr>
            <w:tcW w:w="941" w:type="dxa"/>
            <w:tcBorders>
              <w:right w:val="nil"/>
            </w:tcBorders>
            <w:shd w:val="clear" w:color="auto" w:fill="CCE2ED"/>
          </w:tcPr>
          <w:p w14:paraId="44B15A72" w14:textId="77777777" w:rsidR="00141B97" w:rsidRDefault="00911D63">
            <w:pPr>
              <w:pStyle w:val="TableParagraph"/>
              <w:spacing w:before="10"/>
              <w:ind w:right="90"/>
              <w:jc w:val="right"/>
              <w:rPr>
                <w:rFonts w:ascii="Calibri"/>
                <w:sz w:val="18"/>
              </w:rPr>
            </w:pPr>
            <w:r>
              <w:rPr>
                <w:rFonts w:ascii="Calibri"/>
                <w:spacing w:val="-4"/>
                <w:sz w:val="18"/>
              </w:rPr>
              <w:t>0.45</w:t>
            </w:r>
          </w:p>
        </w:tc>
      </w:tr>
      <w:tr w:rsidR="00141B97" w14:paraId="72C2FE02" w14:textId="77777777">
        <w:trPr>
          <w:trHeight w:val="254"/>
          <w:tblCellSpacing w:w="9" w:type="dxa"/>
        </w:trPr>
        <w:tc>
          <w:tcPr>
            <w:tcW w:w="2177" w:type="dxa"/>
            <w:tcBorders>
              <w:left w:val="nil"/>
            </w:tcBorders>
            <w:shd w:val="clear" w:color="auto" w:fill="CCE2ED"/>
          </w:tcPr>
          <w:p w14:paraId="686A6B94" w14:textId="77777777" w:rsidR="00141B97" w:rsidRDefault="00911D63">
            <w:pPr>
              <w:pStyle w:val="TableParagraph"/>
              <w:spacing w:before="18" w:line="217" w:lineRule="exact"/>
              <w:ind w:left="88"/>
              <w:rPr>
                <w:sz w:val="18"/>
              </w:rPr>
            </w:pPr>
            <w:r>
              <w:rPr>
                <w:sz w:val="18"/>
              </w:rPr>
              <w:t>Environment</w:t>
            </w:r>
            <w:r>
              <w:rPr>
                <w:spacing w:val="-3"/>
                <w:sz w:val="18"/>
              </w:rPr>
              <w:t xml:space="preserve"> </w:t>
            </w:r>
            <w:r>
              <w:rPr>
                <w:spacing w:val="-2"/>
                <w:sz w:val="18"/>
              </w:rPr>
              <w:t>Contribution</w:t>
            </w:r>
          </w:p>
        </w:tc>
        <w:tc>
          <w:tcPr>
            <w:tcW w:w="952" w:type="dxa"/>
            <w:shd w:val="clear" w:color="auto" w:fill="CCE2ED"/>
          </w:tcPr>
          <w:p w14:paraId="55AE0C5E" w14:textId="77777777" w:rsidR="00141B97" w:rsidRDefault="00911D63">
            <w:pPr>
              <w:pStyle w:val="TableParagraph"/>
              <w:spacing w:before="18" w:line="217" w:lineRule="exact"/>
              <w:ind w:right="96"/>
              <w:jc w:val="right"/>
              <w:rPr>
                <w:rFonts w:ascii="Calibri"/>
                <w:sz w:val="18"/>
              </w:rPr>
            </w:pPr>
            <w:r>
              <w:rPr>
                <w:rFonts w:ascii="Calibri"/>
                <w:spacing w:val="-4"/>
                <w:sz w:val="18"/>
              </w:rPr>
              <w:t>1.88</w:t>
            </w:r>
          </w:p>
        </w:tc>
        <w:tc>
          <w:tcPr>
            <w:tcW w:w="951" w:type="dxa"/>
            <w:shd w:val="clear" w:color="auto" w:fill="CCE2ED"/>
          </w:tcPr>
          <w:p w14:paraId="111D58CE" w14:textId="77777777" w:rsidR="00141B97" w:rsidRDefault="00911D63">
            <w:pPr>
              <w:pStyle w:val="TableParagraph"/>
              <w:spacing w:before="18" w:line="217" w:lineRule="exact"/>
              <w:ind w:right="97"/>
              <w:jc w:val="right"/>
              <w:rPr>
                <w:rFonts w:ascii="Calibri"/>
                <w:sz w:val="18"/>
              </w:rPr>
            </w:pPr>
            <w:r>
              <w:rPr>
                <w:rFonts w:ascii="Calibri"/>
                <w:spacing w:val="-4"/>
                <w:sz w:val="18"/>
              </w:rPr>
              <w:t>1.78</w:t>
            </w:r>
          </w:p>
        </w:tc>
        <w:tc>
          <w:tcPr>
            <w:tcW w:w="952" w:type="dxa"/>
            <w:shd w:val="clear" w:color="auto" w:fill="CCE2ED"/>
          </w:tcPr>
          <w:p w14:paraId="2DE48478" w14:textId="77777777" w:rsidR="00141B97" w:rsidRDefault="00911D63">
            <w:pPr>
              <w:pStyle w:val="TableParagraph"/>
              <w:spacing w:before="18" w:line="217" w:lineRule="exact"/>
              <w:ind w:right="97"/>
              <w:jc w:val="right"/>
              <w:rPr>
                <w:rFonts w:ascii="Calibri"/>
                <w:sz w:val="18"/>
              </w:rPr>
            </w:pPr>
            <w:r>
              <w:rPr>
                <w:rFonts w:ascii="Calibri"/>
                <w:spacing w:val="-4"/>
                <w:sz w:val="18"/>
              </w:rPr>
              <w:t>1.78</w:t>
            </w:r>
          </w:p>
        </w:tc>
        <w:tc>
          <w:tcPr>
            <w:tcW w:w="951" w:type="dxa"/>
            <w:shd w:val="clear" w:color="auto" w:fill="CCE2ED"/>
          </w:tcPr>
          <w:p w14:paraId="32BABAD3" w14:textId="77777777" w:rsidR="00141B97" w:rsidRDefault="00911D63">
            <w:pPr>
              <w:pStyle w:val="TableParagraph"/>
              <w:spacing w:before="18" w:line="217" w:lineRule="exact"/>
              <w:ind w:right="98"/>
              <w:jc w:val="right"/>
              <w:rPr>
                <w:rFonts w:ascii="Calibri"/>
                <w:sz w:val="18"/>
              </w:rPr>
            </w:pPr>
            <w:r>
              <w:rPr>
                <w:rFonts w:ascii="Calibri"/>
                <w:spacing w:val="-4"/>
                <w:sz w:val="18"/>
              </w:rPr>
              <w:t>1.78</w:t>
            </w:r>
          </w:p>
        </w:tc>
        <w:tc>
          <w:tcPr>
            <w:tcW w:w="952" w:type="dxa"/>
            <w:shd w:val="clear" w:color="auto" w:fill="CCE2ED"/>
          </w:tcPr>
          <w:p w14:paraId="409DF237" w14:textId="77777777" w:rsidR="00141B97" w:rsidRDefault="00911D63">
            <w:pPr>
              <w:pStyle w:val="TableParagraph"/>
              <w:spacing w:before="18" w:line="217" w:lineRule="exact"/>
              <w:ind w:right="98"/>
              <w:jc w:val="right"/>
              <w:rPr>
                <w:rFonts w:ascii="Calibri"/>
                <w:sz w:val="18"/>
              </w:rPr>
            </w:pPr>
            <w:r>
              <w:rPr>
                <w:rFonts w:ascii="Calibri"/>
                <w:spacing w:val="-4"/>
                <w:sz w:val="18"/>
              </w:rPr>
              <w:t>1.78</w:t>
            </w:r>
          </w:p>
        </w:tc>
        <w:tc>
          <w:tcPr>
            <w:tcW w:w="951" w:type="dxa"/>
            <w:shd w:val="clear" w:color="auto" w:fill="CCE2ED"/>
          </w:tcPr>
          <w:p w14:paraId="0661FF5A" w14:textId="77777777" w:rsidR="00141B97" w:rsidRDefault="00911D63">
            <w:pPr>
              <w:pStyle w:val="TableParagraph"/>
              <w:spacing w:before="18" w:line="217" w:lineRule="exact"/>
              <w:ind w:right="99"/>
              <w:jc w:val="right"/>
              <w:rPr>
                <w:rFonts w:ascii="Calibri"/>
                <w:sz w:val="18"/>
              </w:rPr>
            </w:pPr>
            <w:r>
              <w:rPr>
                <w:rFonts w:ascii="Calibri"/>
                <w:spacing w:val="-4"/>
                <w:sz w:val="18"/>
              </w:rPr>
              <w:t>1.78</w:t>
            </w:r>
          </w:p>
        </w:tc>
        <w:tc>
          <w:tcPr>
            <w:tcW w:w="952" w:type="dxa"/>
            <w:shd w:val="clear" w:color="auto" w:fill="CCE2ED"/>
          </w:tcPr>
          <w:p w14:paraId="788DCB3A" w14:textId="77777777" w:rsidR="00141B97" w:rsidRDefault="00911D63">
            <w:pPr>
              <w:pStyle w:val="TableParagraph"/>
              <w:spacing w:before="18" w:line="217" w:lineRule="exact"/>
              <w:ind w:right="99"/>
              <w:jc w:val="right"/>
              <w:rPr>
                <w:rFonts w:ascii="Calibri"/>
                <w:sz w:val="18"/>
              </w:rPr>
            </w:pPr>
            <w:r>
              <w:rPr>
                <w:rFonts w:ascii="Calibri"/>
                <w:spacing w:val="-4"/>
                <w:sz w:val="18"/>
              </w:rPr>
              <w:t>1.78</w:t>
            </w:r>
          </w:p>
        </w:tc>
        <w:tc>
          <w:tcPr>
            <w:tcW w:w="941" w:type="dxa"/>
            <w:tcBorders>
              <w:right w:val="nil"/>
            </w:tcBorders>
            <w:shd w:val="clear" w:color="auto" w:fill="CCE2ED"/>
          </w:tcPr>
          <w:p w14:paraId="72BA5E5D" w14:textId="77777777" w:rsidR="00141B97" w:rsidRDefault="00911D63">
            <w:pPr>
              <w:pStyle w:val="TableParagraph"/>
              <w:spacing w:before="10"/>
              <w:ind w:right="90"/>
              <w:jc w:val="right"/>
              <w:rPr>
                <w:rFonts w:ascii="Calibri"/>
                <w:sz w:val="18"/>
              </w:rPr>
            </w:pPr>
            <w:r>
              <w:rPr>
                <w:rFonts w:ascii="Calibri"/>
                <w:spacing w:val="-4"/>
                <w:sz w:val="18"/>
              </w:rPr>
              <w:t>8.92</w:t>
            </w:r>
          </w:p>
        </w:tc>
      </w:tr>
      <w:tr w:rsidR="00141B97" w14:paraId="4535F5D5" w14:textId="77777777">
        <w:trPr>
          <w:trHeight w:val="439"/>
          <w:tblCellSpacing w:w="9" w:type="dxa"/>
        </w:trPr>
        <w:tc>
          <w:tcPr>
            <w:tcW w:w="2177" w:type="dxa"/>
            <w:tcBorders>
              <w:left w:val="nil"/>
            </w:tcBorders>
            <w:shd w:val="clear" w:color="auto" w:fill="BFBFBF"/>
          </w:tcPr>
          <w:p w14:paraId="3D97860B" w14:textId="77777777" w:rsidR="00141B97" w:rsidRDefault="00911D63">
            <w:pPr>
              <w:pStyle w:val="TableParagraph"/>
              <w:spacing w:line="220" w:lineRule="atLeast"/>
              <w:ind w:left="88" w:right="177"/>
              <w:rPr>
                <w:sz w:val="18"/>
              </w:rPr>
            </w:pPr>
            <w:r>
              <w:rPr>
                <w:sz w:val="18"/>
              </w:rPr>
              <w:t>Total</w:t>
            </w:r>
            <w:r>
              <w:rPr>
                <w:spacing w:val="-11"/>
                <w:sz w:val="18"/>
              </w:rPr>
              <w:t xml:space="preserve"> </w:t>
            </w:r>
            <w:r>
              <w:rPr>
                <w:sz w:val="18"/>
              </w:rPr>
              <w:t xml:space="preserve">non‐controllable </w:t>
            </w:r>
            <w:r>
              <w:rPr>
                <w:spacing w:val="-4"/>
                <w:sz w:val="18"/>
              </w:rPr>
              <w:t>opex</w:t>
            </w:r>
          </w:p>
        </w:tc>
        <w:tc>
          <w:tcPr>
            <w:tcW w:w="952" w:type="dxa"/>
            <w:shd w:val="clear" w:color="auto" w:fill="BFBFBF"/>
          </w:tcPr>
          <w:p w14:paraId="78FE1C73" w14:textId="77777777" w:rsidR="00141B97" w:rsidRDefault="00911D63">
            <w:pPr>
              <w:pStyle w:val="TableParagraph"/>
              <w:spacing w:before="110"/>
              <w:ind w:right="96"/>
              <w:jc w:val="right"/>
              <w:rPr>
                <w:rFonts w:ascii="Calibri"/>
                <w:b/>
                <w:sz w:val="18"/>
              </w:rPr>
            </w:pPr>
            <w:r>
              <w:rPr>
                <w:rFonts w:ascii="Calibri"/>
                <w:b/>
                <w:spacing w:val="-4"/>
                <w:sz w:val="18"/>
              </w:rPr>
              <w:t>2.70</w:t>
            </w:r>
          </w:p>
        </w:tc>
        <w:tc>
          <w:tcPr>
            <w:tcW w:w="951" w:type="dxa"/>
            <w:shd w:val="clear" w:color="auto" w:fill="BFBFBF"/>
          </w:tcPr>
          <w:p w14:paraId="47965A6B" w14:textId="77777777" w:rsidR="00141B97" w:rsidRDefault="00911D63">
            <w:pPr>
              <w:pStyle w:val="TableParagraph"/>
              <w:spacing w:before="110"/>
              <w:ind w:right="97"/>
              <w:jc w:val="right"/>
              <w:rPr>
                <w:rFonts w:ascii="Calibri"/>
                <w:b/>
                <w:sz w:val="18"/>
              </w:rPr>
            </w:pPr>
            <w:r>
              <w:rPr>
                <w:rFonts w:ascii="Calibri"/>
                <w:b/>
                <w:spacing w:val="-4"/>
                <w:sz w:val="18"/>
              </w:rPr>
              <w:t>2.58</w:t>
            </w:r>
          </w:p>
        </w:tc>
        <w:tc>
          <w:tcPr>
            <w:tcW w:w="952" w:type="dxa"/>
            <w:shd w:val="clear" w:color="auto" w:fill="BFBFBF"/>
          </w:tcPr>
          <w:p w14:paraId="6E179169" w14:textId="77777777" w:rsidR="00141B97" w:rsidRDefault="00911D63">
            <w:pPr>
              <w:pStyle w:val="TableParagraph"/>
              <w:spacing w:before="110"/>
              <w:ind w:right="97"/>
              <w:jc w:val="right"/>
              <w:rPr>
                <w:rFonts w:ascii="Calibri"/>
                <w:b/>
                <w:sz w:val="18"/>
              </w:rPr>
            </w:pPr>
            <w:r>
              <w:rPr>
                <w:rFonts w:ascii="Calibri"/>
                <w:b/>
                <w:spacing w:val="-4"/>
                <w:sz w:val="18"/>
              </w:rPr>
              <w:t>2.59</w:t>
            </w:r>
          </w:p>
        </w:tc>
        <w:tc>
          <w:tcPr>
            <w:tcW w:w="951" w:type="dxa"/>
            <w:shd w:val="clear" w:color="auto" w:fill="BFBFBF"/>
          </w:tcPr>
          <w:p w14:paraId="1932617B" w14:textId="77777777" w:rsidR="00141B97" w:rsidRDefault="00911D63">
            <w:pPr>
              <w:pStyle w:val="TableParagraph"/>
              <w:spacing w:before="110"/>
              <w:ind w:right="98"/>
              <w:jc w:val="right"/>
              <w:rPr>
                <w:rFonts w:ascii="Calibri"/>
                <w:b/>
                <w:sz w:val="18"/>
              </w:rPr>
            </w:pPr>
            <w:r>
              <w:rPr>
                <w:rFonts w:ascii="Calibri"/>
                <w:b/>
                <w:spacing w:val="-4"/>
                <w:sz w:val="18"/>
              </w:rPr>
              <w:t>2.60</w:t>
            </w:r>
          </w:p>
        </w:tc>
        <w:tc>
          <w:tcPr>
            <w:tcW w:w="952" w:type="dxa"/>
            <w:shd w:val="clear" w:color="auto" w:fill="BFBFBF"/>
          </w:tcPr>
          <w:p w14:paraId="3CD27ABC" w14:textId="77777777" w:rsidR="00141B97" w:rsidRDefault="00911D63">
            <w:pPr>
              <w:pStyle w:val="TableParagraph"/>
              <w:spacing w:before="110"/>
              <w:ind w:right="98"/>
              <w:jc w:val="right"/>
              <w:rPr>
                <w:rFonts w:ascii="Calibri"/>
                <w:b/>
                <w:sz w:val="18"/>
              </w:rPr>
            </w:pPr>
            <w:r>
              <w:rPr>
                <w:rFonts w:ascii="Calibri"/>
                <w:b/>
                <w:spacing w:val="-4"/>
                <w:sz w:val="18"/>
              </w:rPr>
              <w:t>2.62</w:t>
            </w:r>
          </w:p>
        </w:tc>
        <w:tc>
          <w:tcPr>
            <w:tcW w:w="951" w:type="dxa"/>
            <w:shd w:val="clear" w:color="auto" w:fill="BFBFBF"/>
          </w:tcPr>
          <w:p w14:paraId="71BB49F9" w14:textId="77777777" w:rsidR="00141B97" w:rsidRDefault="00911D63">
            <w:pPr>
              <w:pStyle w:val="TableParagraph"/>
              <w:spacing w:before="110"/>
              <w:ind w:right="99"/>
              <w:jc w:val="right"/>
              <w:rPr>
                <w:rFonts w:ascii="Calibri"/>
                <w:b/>
                <w:sz w:val="18"/>
              </w:rPr>
            </w:pPr>
            <w:r>
              <w:rPr>
                <w:rFonts w:ascii="Calibri"/>
                <w:b/>
                <w:spacing w:val="-4"/>
                <w:sz w:val="18"/>
              </w:rPr>
              <w:t>2.65</w:t>
            </w:r>
          </w:p>
        </w:tc>
        <w:tc>
          <w:tcPr>
            <w:tcW w:w="952" w:type="dxa"/>
            <w:shd w:val="clear" w:color="auto" w:fill="BFBFBF"/>
          </w:tcPr>
          <w:p w14:paraId="3911C0D4" w14:textId="77777777" w:rsidR="00141B97" w:rsidRDefault="00911D63">
            <w:pPr>
              <w:pStyle w:val="TableParagraph"/>
              <w:spacing w:before="110"/>
              <w:ind w:right="99"/>
              <w:jc w:val="right"/>
              <w:rPr>
                <w:rFonts w:ascii="Calibri"/>
                <w:b/>
                <w:sz w:val="18"/>
              </w:rPr>
            </w:pPr>
            <w:r>
              <w:rPr>
                <w:rFonts w:ascii="Calibri"/>
                <w:b/>
                <w:spacing w:val="-4"/>
                <w:sz w:val="18"/>
              </w:rPr>
              <w:t>2.65</w:t>
            </w:r>
          </w:p>
        </w:tc>
        <w:tc>
          <w:tcPr>
            <w:tcW w:w="941" w:type="dxa"/>
            <w:tcBorders>
              <w:right w:val="nil"/>
            </w:tcBorders>
            <w:shd w:val="clear" w:color="auto" w:fill="BFBFBF"/>
          </w:tcPr>
          <w:p w14:paraId="791F6A17" w14:textId="77777777" w:rsidR="00141B97" w:rsidRDefault="00911D63">
            <w:pPr>
              <w:pStyle w:val="TableParagraph"/>
              <w:spacing w:before="103"/>
              <w:ind w:right="90"/>
              <w:jc w:val="right"/>
              <w:rPr>
                <w:rFonts w:ascii="Calibri"/>
                <w:b/>
                <w:sz w:val="18"/>
              </w:rPr>
            </w:pPr>
            <w:r>
              <w:rPr>
                <w:rFonts w:ascii="Calibri"/>
                <w:b/>
                <w:spacing w:val="-2"/>
                <w:sz w:val="18"/>
              </w:rPr>
              <w:t>13.10</w:t>
            </w:r>
          </w:p>
        </w:tc>
      </w:tr>
      <w:tr w:rsidR="00141B97" w14:paraId="6D7FA97B" w14:textId="77777777">
        <w:trPr>
          <w:trHeight w:val="255"/>
          <w:tblCellSpacing w:w="9" w:type="dxa"/>
        </w:trPr>
        <w:tc>
          <w:tcPr>
            <w:tcW w:w="2177" w:type="dxa"/>
            <w:tcBorders>
              <w:left w:val="nil"/>
              <w:bottom w:val="nil"/>
            </w:tcBorders>
            <w:shd w:val="clear" w:color="auto" w:fill="BFBFBF"/>
          </w:tcPr>
          <w:p w14:paraId="4224C16C" w14:textId="77777777" w:rsidR="00141B97" w:rsidRDefault="00911D63">
            <w:pPr>
              <w:pStyle w:val="TableParagraph"/>
              <w:spacing w:before="17" w:line="217" w:lineRule="exact"/>
              <w:ind w:left="88"/>
              <w:rPr>
                <w:sz w:val="18"/>
              </w:rPr>
            </w:pPr>
            <w:r>
              <w:rPr>
                <w:sz w:val="18"/>
              </w:rPr>
              <w:t>Total</w:t>
            </w:r>
            <w:r>
              <w:rPr>
                <w:spacing w:val="-1"/>
                <w:sz w:val="18"/>
              </w:rPr>
              <w:t xml:space="preserve"> </w:t>
            </w:r>
            <w:r>
              <w:rPr>
                <w:sz w:val="18"/>
              </w:rPr>
              <w:t xml:space="preserve">Prescribed </w:t>
            </w:r>
            <w:r>
              <w:rPr>
                <w:spacing w:val="-4"/>
                <w:sz w:val="18"/>
              </w:rPr>
              <w:t>opex</w:t>
            </w:r>
          </w:p>
        </w:tc>
        <w:tc>
          <w:tcPr>
            <w:tcW w:w="952" w:type="dxa"/>
            <w:tcBorders>
              <w:bottom w:val="nil"/>
            </w:tcBorders>
            <w:shd w:val="clear" w:color="auto" w:fill="BFBFBF"/>
          </w:tcPr>
          <w:p w14:paraId="171D2C4C" w14:textId="77777777" w:rsidR="00141B97" w:rsidRDefault="00911D63">
            <w:pPr>
              <w:pStyle w:val="TableParagraph"/>
              <w:spacing w:before="17" w:line="217" w:lineRule="exact"/>
              <w:ind w:right="96"/>
              <w:jc w:val="right"/>
              <w:rPr>
                <w:sz w:val="18"/>
              </w:rPr>
            </w:pPr>
            <w:r>
              <w:rPr>
                <w:spacing w:val="-2"/>
                <w:sz w:val="18"/>
              </w:rPr>
              <w:t>29.67</w:t>
            </w:r>
          </w:p>
        </w:tc>
        <w:tc>
          <w:tcPr>
            <w:tcW w:w="951" w:type="dxa"/>
            <w:tcBorders>
              <w:bottom w:val="nil"/>
            </w:tcBorders>
            <w:shd w:val="clear" w:color="auto" w:fill="BFBFBF"/>
          </w:tcPr>
          <w:p w14:paraId="55390DD7" w14:textId="77777777" w:rsidR="00141B97" w:rsidRDefault="00911D63">
            <w:pPr>
              <w:pStyle w:val="TableParagraph"/>
              <w:spacing w:before="17" w:line="217" w:lineRule="exact"/>
              <w:ind w:right="97"/>
              <w:jc w:val="right"/>
              <w:rPr>
                <w:sz w:val="18"/>
              </w:rPr>
            </w:pPr>
            <w:r>
              <w:rPr>
                <w:spacing w:val="-2"/>
                <w:sz w:val="18"/>
              </w:rPr>
              <w:t>27.63</w:t>
            </w:r>
          </w:p>
        </w:tc>
        <w:tc>
          <w:tcPr>
            <w:tcW w:w="952" w:type="dxa"/>
            <w:tcBorders>
              <w:bottom w:val="nil"/>
            </w:tcBorders>
            <w:shd w:val="clear" w:color="auto" w:fill="BFBFBF"/>
          </w:tcPr>
          <w:p w14:paraId="08D4CDB8" w14:textId="77777777" w:rsidR="00141B97" w:rsidRDefault="00911D63">
            <w:pPr>
              <w:pStyle w:val="TableParagraph"/>
              <w:spacing w:before="17" w:line="217" w:lineRule="exact"/>
              <w:ind w:right="97"/>
              <w:jc w:val="right"/>
              <w:rPr>
                <w:sz w:val="18"/>
              </w:rPr>
            </w:pPr>
            <w:r>
              <w:rPr>
                <w:spacing w:val="-2"/>
                <w:sz w:val="18"/>
              </w:rPr>
              <w:t>29.55</w:t>
            </w:r>
          </w:p>
        </w:tc>
        <w:tc>
          <w:tcPr>
            <w:tcW w:w="951" w:type="dxa"/>
            <w:tcBorders>
              <w:bottom w:val="nil"/>
            </w:tcBorders>
            <w:shd w:val="clear" w:color="auto" w:fill="BFBFBF"/>
          </w:tcPr>
          <w:p w14:paraId="66E4D2CC" w14:textId="77777777" w:rsidR="00141B97" w:rsidRDefault="00911D63">
            <w:pPr>
              <w:pStyle w:val="TableParagraph"/>
              <w:spacing w:before="17" w:line="217" w:lineRule="exact"/>
              <w:ind w:right="98"/>
              <w:jc w:val="right"/>
              <w:rPr>
                <w:sz w:val="18"/>
              </w:rPr>
            </w:pPr>
            <w:r>
              <w:rPr>
                <w:spacing w:val="-2"/>
                <w:sz w:val="18"/>
              </w:rPr>
              <w:t>29.71</w:t>
            </w:r>
          </w:p>
        </w:tc>
        <w:tc>
          <w:tcPr>
            <w:tcW w:w="952" w:type="dxa"/>
            <w:tcBorders>
              <w:bottom w:val="nil"/>
            </w:tcBorders>
            <w:shd w:val="clear" w:color="auto" w:fill="BFBFBF"/>
          </w:tcPr>
          <w:p w14:paraId="7377DCD5" w14:textId="77777777" w:rsidR="00141B97" w:rsidRDefault="00911D63">
            <w:pPr>
              <w:pStyle w:val="TableParagraph"/>
              <w:spacing w:before="17" w:line="217" w:lineRule="exact"/>
              <w:ind w:right="98"/>
              <w:jc w:val="right"/>
              <w:rPr>
                <w:sz w:val="18"/>
              </w:rPr>
            </w:pPr>
            <w:r>
              <w:rPr>
                <w:spacing w:val="-2"/>
                <w:sz w:val="18"/>
              </w:rPr>
              <w:t>29.84</w:t>
            </w:r>
          </w:p>
        </w:tc>
        <w:tc>
          <w:tcPr>
            <w:tcW w:w="951" w:type="dxa"/>
            <w:tcBorders>
              <w:bottom w:val="nil"/>
            </w:tcBorders>
            <w:shd w:val="clear" w:color="auto" w:fill="BFBFBF"/>
          </w:tcPr>
          <w:p w14:paraId="585FD9D4" w14:textId="77777777" w:rsidR="00141B97" w:rsidRDefault="00911D63">
            <w:pPr>
              <w:pStyle w:val="TableParagraph"/>
              <w:spacing w:before="17" w:line="217" w:lineRule="exact"/>
              <w:ind w:right="99"/>
              <w:jc w:val="right"/>
              <w:rPr>
                <w:sz w:val="18"/>
              </w:rPr>
            </w:pPr>
            <w:r>
              <w:rPr>
                <w:spacing w:val="-2"/>
                <w:sz w:val="18"/>
              </w:rPr>
              <w:t>30.33</w:t>
            </w:r>
          </w:p>
        </w:tc>
        <w:tc>
          <w:tcPr>
            <w:tcW w:w="952" w:type="dxa"/>
            <w:tcBorders>
              <w:bottom w:val="nil"/>
            </w:tcBorders>
            <w:shd w:val="clear" w:color="auto" w:fill="BFBFBF"/>
          </w:tcPr>
          <w:p w14:paraId="70347CFE" w14:textId="77777777" w:rsidR="00141B97" w:rsidRDefault="00911D63">
            <w:pPr>
              <w:pStyle w:val="TableParagraph"/>
              <w:spacing w:before="17" w:line="217" w:lineRule="exact"/>
              <w:ind w:right="99"/>
              <w:jc w:val="right"/>
              <w:rPr>
                <w:sz w:val="18"/>
              </w:rPr>
            </w:pPr>
            <w:r>
              <w:rPr>
                <w:spacing w:val="-2"/>
                <w:sz w:val="18"/>
              </w:rPr>
              <w:t>29.77</w:t>
            </w:r>
          </w:p>
        </w:tc>
        <w:tc>
          <w:tcPr>
            <w:tcW w:w="941" w:type="dxa"/>
            <w:tcBorders>
              <w:bottom w:val="nil"/>
              <w:right w:val="nil"/>
            </w:tcBorders>
            <w:shd w:val="clear" w:color="auto" w:fill="BFBFBF"/>
          </w:tcPr>
          <w:p w14:paraId="28AC1A74" w14:textId="77777777" w:rsidR="00141B97" w:rsidRDefault="00911D63">
            <w:pPr>
              <w:pStyle w:val="TableParagraph"/>
              <w:spacing w:before="10"/>
              <w:ind w:right="90"/>
              <w:jc w:val="right"/>
              <w:rPr>
                <w:sz w:val="18"/>
              </w:rPr>
            </w:pPr>
            <w:r>
              <w:rPr>
                <w:spacing w:val="-2"/>
                <w:sz w:val="18"/>
              </w:rPr>
              <w:t>149.21</w:t>
            </w:r>
          </w:p>
        </w:tc>
      </w:tr>
    </w:tbl>
    <w:p w14:paraId="5595CF9D" w14:textId="77777777" w:rsidR="00141B97" w:rsidRDefault="00911D63">
      <w:pPr>
        <w:spacing w:before="28"/>
        <w:ind w:left="114"/>
        <w:jc w:val="both"/>
        <w:rPr>
          <w:sz w:val="16"/>
        </w:rPr>
      </w:pPr>
      <w:r>
        <w:rPr>
          <w:sz w:val="16"/>
        </w:rPr>
        <w:t>Table</w:t>
      </w:r>
      <w:r>
        <w:rPr>
          <w:spacing w:val="-5"/>
          <w:sz w:val="16"/>
        </w:rPr>
        <w:t xml:space="preserve"> </w:t>
      </w:r>
      <w:r>
        <w:rPr>
          <w:sz w:val="16"/>
        </w:rPr>
        <w:t>B24</w:t>
      </w:r>
      <w:r>
        <w:rPr>
          <w:sz w:val="12"/>
        </w:rPr>
        <w:t>:</w:t>
      </w:r>
      <w:r>
        <w:rPr>
          <w:spacing w:val="-6"/>
          <w:sz w:val="12"/>
        </w:rPr>
        <w:t xml:space="preserve"> </w:t>
      </w:r>
      <w:r>
        <w:rPr>
          <w:sz w:val="16"/>
        </w:rPr>
        <w:t>Actual</w:t>
      </w:r>
      <w:r>
        <w:rPr>
          <w:spacing w:val="-6"/>
          <w:sz w:val="16"/>
        </w:rPr>
        <w:t xml:space="preserve"> </w:t>
      </w:r>
      <w:r>
        <w:rPr>
          <w:sz w:val="16"/>
        </w:rPr>
        <w:t>and</w:t>
      </w:r>
      <w:r>
        <w:rPr>
          <w:spacing w:val="-6"/>
          <w:sz w:val="16"/>
        </w:rPr>
        <w:t xml:space="preserve"> </w:t>
      </w:r>
      <w:r>
        <w:rPr>
          <w:sz w:val="16"/>
        </w:rPr>
        <w:t>Planned</w:t>
      </w:r>
      <w:r>
        <w:rPr>
          <w:spacing w:val="-7"/>
          <w:sz w:val="16"/>
        </w:rPr>
        <w:t xml:space="preserve"> </w:t>
      </w:r>
      <w:r>
        <w:rPr>
          <w:sz w:val="16"/>
        </w:rPr>
        <w:t>Operating</w:t>
      </w:r>
      <w:r>
        <w:rPr>
          <w:spacing w:val="-6"/>
          <w:sz w:val="16"/>
        </w:rPr>
        <w:t xml:space="preserve"> </w:t>
      </w:r>
      <w:r>
        <w:rPr>
          <w:sz w:val="16"/>
        </w:rPr>
        <w:t>Expenditure</w:t>
      </w:r>
      <w:r>
        <w:rPr>
          <w:spacing w:val="-5"/>
          <w:sz w:val="16"/>
        </w:rPr>
        <w:t xml:space="preserve"> </w:t>
      </w:r>
      <w:r>
        <w:rPr>
          <w:sz w:val="16"/>
        </w:rPr>
        <w:t>($m</w:t>
      </w:r>
      <w:r>
        <w:rPr>
          <w:spacing w:val="-6"/>
          <w:sz w:val="16"/>
        </w:rPr>
        <w:t xml:space="preserve"> </w:t>
      </w:r>
      <w:r>
        <w:rPr>
          <w:spacing w:val="-2"/>
          <w:sz w:val="16"/>
        </w:rPr>
        <w:t>1/1/23)</w:t>
      </w:r>
    </w:p>
    <w:p w14:paraId="6F4AA4A8" w14:textId="77777777" w:rsidR="00141B97" w:rsidRDefault="00141B97">
      <w:pPr>
        <w:pStyle w:val="BodyText"/>
        <w:rPr>
          <w:sz w:val="16"/>
        </w:rPr>
      </w:pPr>
    </w:p>
    <w:p w14:paraId="1D9BAD15" w14:textId="77777777" w:rsidR="00141B97" w:rsidRDefault="00911D63">
      <w:pPr>
        <w:pStyle w:val="BodyText"/>
        <w:spacing w:before="98"/>
        <w:ind w:left="113" w:right="947"/>
        <w:jc w:val="both"/>
      </w:pPr>
      <w:r>
        <w:t>The above table separates out the costs that are not controllable by LMW. Controllable operating expenditure is forecast to be consistent over the 5‐year period with an increase in 2026‐27 to allow for preparation and planning</w:t>
      </w:r>
      <w:r>
        <w:rPr>
          <w:spacing w:val="-12"/>
        </w:rPr>
        <w:t xml:space="preserve"> </w:t>
      </w:r>
      <w:r>
        <w:t>costs</w:t>
      </w:r>
      <w:r>
        <w:rPr>
          <w:spacing w:val="-12"/>
        </w:rPr>
        <w:t xml:space="preserve"> </w:t>
      </w:r>
      <w:r>
        <w:t>attributed</w:t>
      </w:r>
      <w:r>
        <w:rPr>
          <w:spacing w:val="-12"/>
        </w:rPr>
        <w:t xml:space="preserve"> </w:t>
      </w:r>
      <w:r>
        <w:t>to</w:t>
      </w:r>
      <w:r>
        <w:rPr>
          <w:spacing w:val="-13"/>
        </w:rPr>
        <w:t xml:space="preserve"> </w:t>
      </w:r>
      <w:r>
        <w:t>PS6.</w:t>
      </w:r>
      <w:r>
        <w:rPr>
          <w:spacing w:val="-10"/>
        </w:rPr>
        <w:t xml:space="preserve"> </w:t>
      </w:r>
      <w:r>
        <w:t>Over</w:t>
      </w:r>
      <w:r>
        <w:rPr>
          <w:spacing w:val="-11"/>
        </w:rPr>
        <w:t xml:space="preserve"> </w:t>
      </w:r>
      <w:r>
        <w:t>the</w:t>
      </w:r>
      <w:r>
        <w:rPr>
          <w:spacing w:val="-13"/>
        </w:rPr>
        <w:t xml:space="preserve"> </w:t>
      </w:r>
      <w:r>
        <w:t>5‐year</w:t>
      </w:r>
      <w:r>
        <w:rPr>
          <w:spacing w:val="-11"/>
        </w:rPr>
        <w:t xml:space="preserve"> </w:t>
      </w:r>
      <w:r>
        <w:t>period</w:t>
      </w:r>
      <w:r>
        <w:rPr>
          <w:spacing w:val="-13"/>
        </w:rPr>
        <w:t xml:space="preserve"> </w:t>
      </w:r>
      <w:r>
        <w:t>there</w:t>
      </w:r>
      <w:r>
        <w:rPr>
          <w:spacing w:val="-11"/>
        </w:rPr>
        <w:t xml:space="preserve"> </w:t>
      </w:r>
      <w:r>
        <w:t>are</w:t>
      </w:r>
      <w:r>
        <w:rPr>
          <w:spacing w:val="-12"/>
        </w:rPr>
        <w:t xml:space="preserve"> </w:t>
      </w:r>
      <w:r>
        <w:t>annual</w:t>
      </w:r>
      <w:r>
        <w:rPr>
          <w:spacing w:val="-12"/>
        </w:rPr>
        <w:t xml:space="preserve"> </w:t>
      </w:r>
      <w:r>
        <w:t>increases</w:t>
      </w:r>
      <w:r>
        <w:rPr>
          <w:spacing w:val="-13"/>
        </w:rPr>
        <w:t xml:space="preserve"> </w:t>
      </w:r>
      <w:r>
        <w:t>in</w:t>
      </w:r>
      <w:r>
        <w:rPr>
          <w:spacing w:val="-11"/>
        </w:rPr>
        <w:t xml:space="preserve"> </w:t>
      </w:r>
      <w:r>
        <w:t>ICT</w:t>
      </w:r>
      <w:r>
        <w:rPr>
          <w:spacing w:val="-11"/>
        </w:rPr>
        <w:t xml:space="preserve"> </w:t>
      </w:r>
      <w:r>
        <w:t>expenditure</w:t>
      </w:r>
      <w:r>
        <w:rPr>
          <w:spacing w:val="-12"/>
        </w:rPr>
        <w:t xml:space="preserve"> </w:t>
      </w:r>
      <w:r>
        <w:t>attributed to cloud hosted SaaS licence agreements.</w:t>
      </w:r>
    </w:p>
    <w:p w14:paraId="784BAF67" w14:textId="77777777" w:rsidR="00141B97" w:rsidRDefault="00141B97">
      <w:pPr>
        <w:pStyle w:val="BodyText"/>
        <w:spacing w:before="7"/>
        <w:rPr>
          <w:sz w:val="19"/>
        </w:rPr>
      </w:pPr>
    </w:p>
    <w:p w14:paraId="0A950C24" w14:textId="77777777" w:rsidR="00141B97" w:rsidRDefault="00911D63">
      <w:pPr>
        <w:pStyle w:val="ListParagraph"/>
        <w:numPr>
          <w:ilvl w:val="3"/>
          <w:numId w:val="81"/>
        </w:numPr>
        <w:tabs>
          <w:tab w:val="left" w:pos="1107"/>
        </w:tabs>
        <w:jc w:val="both"/>
        <w:rPr>
          <w:i/>
          <w:sz w:val="20"/>
        </w:rPr>
      </w:pPr>
      <w:r>
        <w:rPr>
          <w:i/>
          <w:spacing w:val="-2"/>
          <w:sz w:val="20"/>
        </w:rPr>
        <w:t>Electricity</w:t>
      </w:r>
    </w:p>
    <w:p w14:paraId="12FF6F29" w14:textId="77777777" w:rsidR="00141B97" w:rsidRDefault="00911D63">
      <w:pPr>
        <w:pStyle w:val="BodyText"/>
        <w:spacing w:before="60" w:line="256" w:lineRule="auto"/>
        <w:ind w:left="113" w:right="949"/>
        <w:jc w:val="both"/>
      </w:pPr>
      <w:r>
        <w:t>A significant decrease in the electricity forecast</w:t>
      </w:r>
      <w:r>
        <w:rPr>
          <w:spacing w:val="-1"/>
        </w:rPr>
        <w:t xml:space="preserve"> </w:t>
      </w:r>
      <w:r>
        <w:t>from the current period is due to the stabilisation of electricity prices compared to the significant increases anticipated in 2017 during the development of PS4. For PS5, forecasts for electricity costs are based on:</w:t>
      </w:r>
    </w:p>
    <w:p w14:paraId="6C584691" w14:textId="77777777" w:rsidR="00141B97" w:rsidRDefault="00911D63">
      <w:pPr>
        <w:pStyle w:val="ListParagraph"/>
        <w:numPr>
          <w:ilvl w:val="4"/>
          <w:numId w:val="81"/>
        </w:numPr>
        <w:tabs>
          <w:tab w:val="left" w:pos="834"/>
        </w:tabs>
        <w:spacing w:line="256" w:lineRule="auto"/>
        <w:ind w:right="949" w:hanging="361"/>
        <w:jc w:val="both"/>
      </w:pPr>
      <w:r>
        <w:t>A Victorian water industry (agency‐wide) forecast for energy prices and overall demand prepared by Schneider Electric to provide an informed and consistent basis across the State’s water businesses.</w:t>
      </w:r>
    </w:p>
    <w:p w14:paraId="11981E3E" w14:textId="77777777" w:rsidR="00141B97" w:rsidRDefault="00911D63">
      <w:pPr>
        <w:pStyle w:val="ListParagraph"/>
        <w:numPr>
          <w:ilvl w:val="4"/>
          <w:numId w:val="81"/>
        </w:numPr>
        <w:tabs>
          <w:tab w:val="left" w:pos="834"/>
        </w:tabs>
        <w:spacing w:line="256" w:lineRule="auto"/>
        <w:ind w:right="946" w:hanging="361"/>
        <w:jc w:val="both"/>
      </w:pPr>
      <w:r>
        <w:t>Modelling of forecast energy costs by Schneider Electric based on these forecast prices, applied to LMW’s site‐specific and seasonal energy requirements for:</w:t>
      </w:r>
    </w:p>
    <w:p w14:paraId="13CCE3DA" w14:textId="77777777" w:rsidR="00141B97" w:rsidRDefault="00911D63">
      <w:pPr>
        <w:pStyle w:val="ListParagraph"/>
        <w:numPr>
          <w:ilvl w:val="5"/>
          <w:numId w:val="81"/>
        </w:numPr>
        <w:tabs>
          <w:tab w:val="left" w:pos="1554"/>
        </w:tabs>
        <w:spacing w:before="1"/>
        <w:ind w:hanging="361"/>
        <w:jc w:val="both"/>
      </w:pPr>
      <w:r>
        <w:t>Energy</w:t>
      </w:r>
      <w:r>
        <w:rPr>
          <w:spacing w:val="-8"/>
        </w:rPr>
        <w:t xml:space="preserve"> </w:t>
      </w:r>
      <w:r>
        <w:t>and</w:t>
      </w:r>
      <w:r>
        <w:rPr>
          <w:spacing w:val="-6"/>
        </w:rPr>
        <w:t xml:space="preserve"> </w:t>
      </w:r>
      <w:r>
        <w:t>other</w:t>
      </w:r>
      <w:r>
        <w:rPr>
          <w:spacing w:val="-6"/>
        </w:rPr>
        <w:t xml:space="preserve"> </w:t>
      </w:r>
      <w:r>
        <w:t>electricity</w:t>
      </w:r>
      <w:r>
        <w:rPr>
          <w:spacing w:val="-7"/>
        </w:rPr>
        <w:t xml:space="preserve"> </w:t>
      </w:r>
      <w:r>
        <w:t>bill</w:t>
      </w:r>
      <w:r>
        <w:rPr>
          <w:spacing w:val="-6"/>
        </w:rPr>
        <w:t xml:space="preserve"> </w:t>
      </w:r>
      <w:r>
        <w:t>tariff</w:t>
      </w:r>
      <w:r>
        <w:rPr>
          <w:spacing w:val="-7"/>
        </w:rPr>
        <w:t xml:space="preserve"> </w:t>
      </w:r>
      <w:r>
        <w:rPr>
          <w:spacing w:val="-2"/>
        </w:rPr>
        <w:t>components.</w:t>
      </w:r>
    </w:p>
    <w:p w14:paraId="364DE5EE" w14:textId="77777777" w:rsidR="00141B97" w:rsidRDefault="00911D63">
      <w:pPr>
        <w:pStyle w:val="ListParagraph"/>
        <w:numPr>
          <w:ilvl w:val="5"/>
          <w:numId w:val="81"/>
        </w:numPr>
        <w:tabs>
          <w:tab w:val="left" w:pos="1554"/>
        </w:tabs>
        <w:spacing w:before="19"/>
        <w:ind w:hanging="361"/>
        <w:jc w:val="both"/>
      </w:pPr>
      <w:r>
        <w:t>Large</w:t>
      </w:r>
      <w:r>
        <w:rPr>
          <w:spacing w:val="-11"/>
        </w:rPr>
        <w:t xml:space="preserve"> </w:t>
      </w:r>
      <w:r>
        <w:t>Generator</w:t>
      </w:r>
      <w:r>
        <w:rPr>
          <w:spacing w:val="-8"/>
        </w:rPr>
        <w:t xml:space="preserve"> </w:t>
      </w:r>
      <w:r>
        <w:t>Certificate</w:t>
      </w:r>
      <w:r>
        <w:rPr>
          <w:spacing w:val="-10"/>
        </w:rPr>
        <w:t xml:space="preserve"> </w:t>
      </w:r>
      <w:r>
        <w:t>(LGC)</w:t>
      </w:r>
      <w:r>
        <w:rPr>
          <w:spacing w:val="-9"/>
        </w:rPr>
        <w:t xml:space="preserve"> </w:t>
      </w:r>
      <w:r>
        <w:t>pricing</w:t>
      </w:r>
      <w:r>
        <w:rPr>
          <w:spacing w:val="-9"/>
        </w:rPr>
        <w:t xml:space="preserve"> </w:t>
      </w:r>
      <w:r>
        <w:t>for</w:t>
      </w:r>
      <w:r>
        <w:rPr>
          <w:spacing w:val="-9"/>
        </w:rPr>
        <w:t xml:space="preserve"> </w:t>
      </w:r>
      <w:r>
        <w:t>the</w:t>
      </w:r>
      <w:r>
        <w:rPr>
          <w:spacing w:val="-10"/>
        </w:rPr>
        <w:t xml:space="preserve"> </w:t>
      </w:r>
      <w:r>
        <w:t>emission</w:t>
      </w:r>
      <w:r>
        <w:rPr>
          <w:spacing w:val="-9"/>
        </w:rPr>
        <w:t xml:space="preserve"> </w:t>
      </w:r>
      <w:r>
        <w:t>reduction</w:t>
      </w:r>
      <w:r>
        <w:rPr>
          <w:spacing w:val="-8"/>
        </w:rPr>
        <w:t xml:space="preserve"> </w:t>
      </w:r>
      <w:r>
        <w:rPr>
          <w:spacing w:val="-2"/>
        </w:rPr>
        <w:t>requirements.</w:t>
      </w:r>
    </w:p>
    <w:p w14:paraId="657ABD17" w14:textId="77777777" w:rsidR="00141B97" w:rsidRDefault="00141B97">
      <w:pPr>
        <w:pStyle w:val="BodyText"/>
        <w:spacing w:before="2"/>
        <w:rPr>
          <w:sz w:val="25"/>
        </w:rPr>
      </w:pPr>
    </w:p>
    <w:p w14:paraId="30B50F32" w14:textId="77777777" w:rsidR="00141B97" w:rsidRDefault="00911D63">
      <w:pPr>
        <w:pStyle w:val="BodyText"/>
        <w:spacing w:before="1" w:line="256" w:lineRule="auto"/>
        <w:ind w:left="113" w:right="947"/>
        <w:jc w:val="both"/>
      </w:pPr>
      <w:r>
        <w:t>The</w:t>
      </w:r>
      <w:r>
        <w:rPr>
          <w:spacing w:val="-1"/>
        </w:rPr>
        <w:t xml:space="preserve"> </w:t>
      </w:r>
      <w:r>
        <w:t>State</w:t>
      </w:r>
      <w:r>
        <w:rPr>
          <w:spacing w:val="-2"/>
        </w:rPr>
        <w:t xml:space="preserve"> </w:t>
      </w:r>
      <w:r>
        <w:t>Government</w:t>
      </w:r>
      <w:r>
        <w:rPr>
          <w:spacing w:val="-1"/>
        </w:rPr>
        <w:t xml:space="preserve"> </w:t>
      </w:r>
      <w:r>
        <w:t>mandated</w:t>
      </w:r>
      <w:r>
        <w:rPr>
          <w:spacing w:val="-2"/>
        </w:rPr>
        <w:t xml:space="preserve"> </w:t>
      </w:r>
      <w:r>
        <w:t>that</w:t>
      </w:r>
      <w:r>
        <w:rPr>
          <w:spacing w:val="-1"/>
        </w:rPr>
        <w:t xml:space="preserve"> </w:t>
      </w:r>
      <w:r>
        <w:t>from</w:t>
      </w:r>
      <w:r>
        <w:rPr>
          <w:spacing w:val="-1"/>
        </w:rPr>
        <w:t xml:space="preserve"> </w:t>
      </w:r>
      <w:r>
        <w:t>1 July</w:t>
      </w:r>
      <w:r>
        <w:rPr>
          <w:spacing w:val="-1"/>
        </w:rPr>
        <w:t xml:space="preserve"> </w:t>
      </w:r>
      <w:r>
        <w:t>2023</w:t>
      </w:r>
      <w:r>
        <w:rPr>
          <w:spacing w:val="-1"/>
        </w:rPr>
        <w:t xml:space="preserve"> </w:t>
      </w:r>
      <w:r>
        <w:t>LMW</w:t>
      </w:r>
      <w:r>
        <w:rPr>
          <w:spacing w:val="-1"/>
        </w:rPr>
        <w:t xml:space="preserve"> </w:t>
      </w:r>
      <w:r>
        <w:t>must</w:t>
      </w:r>
      <w:r>
        <w:rPr>
          <w:spacing w:val="-1"/>
        </w:rPr>
        <w:t xml:space="preserve"> </w:t>
      </w:r>
      <w:r>
        <w:t>participate</w:t>
      </w:r>
      <w:r>
        <w:rPr>
          <w:spacing w:val="-2"/>
        </w:rPr>
        <w:t xml:space="preserve"> </w:t>
      </w:r>
      <w:r>
        <w:t>in</w:t>
      </w:r>
      <w:r>
        <w:rPr>
          <w:spacing w:val="-1"/>
        </w:rPr>
        <w:t xml:space="preserve"> </w:t>
      </w:r>
      <w:r>
        <w:t>the</w:t>
      </w:r>
      <w:r>
        <w:rPr>
          <w:spacing w:val="-2"/>
        </w:rPr>
        <w:t xml:space="preserve"> </w:t>
      </w:r>
      <w:r>
        <w:t>large and</w:t>
      </w:r>
      <w:r>
        <w:rPr>
          <w:spacing w:val="-1"/>
        </w:rPr>
        <w:t xml:space="preserve"> </w:t>
      </w:r>
      <w:r>
        <w:t>small</w:t>
      </w:r>
      <w:r>
        <w:rPr>
          <w:spacing w:val="-2"/>
        </w:rPr>
        <w:t xml:space="preserve"> </w:t>
      </w:r>
      <w:r>
        <w:t>electricity State purchase contracts via the Victorian Government Purchasing Board (VGPB). These contracts have been largely</w:t>
      </w:r>
      <w:r>
        <w:rPr>
          <w:spacing w:val="-8"/>
        </w:rPr>
        <w:t xml:space="preserve"> </w:t>
      </w:r>
      <w:r>
        <w:t>locked</w:t>
      </w:r>
      <w:r>
        <w:rPr>
          <w:spacing w:val="-8"/>
        </w:rPr>
        <w:t xml:space="preserve"> </w:t>
      </w:r>
      <w:r>
        <w:t>in</w:t>
      </w:r>
      <w:r>
        <w:rPr>
          <w:spacing w:val="-8"/>
        </w:rPr>
        <w:t xml:space="preserve"> </w:t>
      </w:r>
      <w:r>
        <w:t>for</w:t>
      </w:r>
      <w:r>
        <w:rPr>
          <w:spacing w:val="-8"/>
        </w:rPr>
        <w:t xml:space="preserve"> </w:t>
      </w:r>
      <w:r>
        <w:t>the</w:t>
      </w:r>
      <w:r>
        <w:rPr>
          <w:spacing w:val="-8"/>
        </w:rPr>
        <w:t xml:space="preserve"> </w:t>
      </w:r>
      <w:r>
        <w:t>next</w:t>
      </w:r>
      <w:r>
        <w:rPr>
          <w:spacing w:val="-9"/>
        </w:rPr>
        <w:t xml:space="preserve"> </w:t>
      </w:r>
      <w:r>
        <w:t>three</w:t>
      </w:r>
      <w:r>
        <w:rPr>
          <w:spacing w:val="-8"/>
        </w:rPr>
        <w:t xml:space="preserve"> </w:t>
      </w:r>
      <w:r>
        <w:t>years,</w:t>
      </w:r>
      <w:r>
        <w:rPr>
          <w:spacing w:val="-7"/>
        </w:rPr>
        <w:t xml:space="preserve"> </w:t>
      </w:r>
      <w:r>
        <w:t>reducing</w:t>
      </w:r>
      <w:r>
        <w:rPr>
          <w:spacing w:val="-8"/>
        </w:rPr>
        <w:t xml:space="preserve"> </w:t>
      </w:r>
      <w:r>
        <w:t>volatility</w:t>
      </w:r>
      <w:r>
        <w:rPr>
          <w:spacing w:val="-7"/>
        </w:rPr>
        <w:t xml:space="preserve"> </w:t>
      </w:r>
      <w:r>
        <w:t>in</w:t>
      </w:r>
      <w:r>
        <w:rPr>
          <w:spacing w:val="-8"/>
        </w:rPr>
        <w:t xml:space="preserve"> </w:t>
      </w:r>
      <w:r>
        <w:t>prices</w:t>
      </w:r>
      <w:r>
        <w:rPr>
          <w:spacing w:val="-7"/>
        </w:rPr>
        <w:t xml:space="preserve"> </w:t>
      </w:r>
      <w:r>
        <w:t>in</w:t>
      </w:r>
      <w:r>
        <w:rPr>
          <w:spacing w:val="-8"/>
        </w:rPr>
        <w:t xml:space="preserve"> </w:t>
      </w:r>
      <w:r>
        <w:t>the</w:t>
      </w:r>
      <w:r>
        <w:rPr>
          <w:spacing w:val="-8"/>
        </w:rPr>
        <w:t xml:space="preserve"> </w:t>
      </w:r>
      <w:r>
        <w:t>short</w:t>
      </w:r>
      <w:r>
        <w:rPr>
          <w:spacing w:val="-8"/>
        </w:rPr>
        <w:t xml:space="preserve"> </w:t>
      </w:r>
      <w:r>
        <w:t>term</w:t>
      </w:r>
      <w:r>
        <w:rPr>
          <w:spacing w:val="-8"/>
        </w:rPr>
        <w:t xml:space="preserve"> </w:t>
      </w:r>
      <w:r>
        <w:t>and</w:t>
      </w:r>
      <w:r>
        <w:rPr>
          <w:spacing w:val="-8"/>
        </w:rPr>
        <w:t xml:space="preserve"> </w:t>
      </w:r>
      <w:r>
        <w:t>high</w:t>
      </w:r>
      <w:r>
        <w:rPr>
          <w:spacing w:val="-7"/>
        </w:rPr>
        <w:t xml:space="preserve"> </w:t>
      </w:r>
      <w:r>
        <w:t>energy</w:t>
      </w:r>
      <w:r>
        <w:rPr>
          <w:spacing w:val="-9"/>
        </w:rPr>
        <w:t xml:space="preserve"> </w:t>
      </w:r>
      <w:r>
        <w:t>price</w:t>
      </w:r>
      <w:r>
        <w:rPr>
          <w:spacing w:val="-10"/>
        </w:rPr>
        <w:t xml:space="preserve"> </w:t>
      </w:r>
      <w:r>
        <w:t xml:space="preserve">risk </w:t>
      </w:r>
      <w:r>
        <w:rPr>
          <w:spacing w:val="-2"/>
        </w:rPr>
        <w:t>subsequently.</w:t>
      </w:r>
    </w:p>
    <w:p w14:paraId="2D14C3F6" w14:textId="77777777" w:rsidR="00141B97" w:rsidRDefault="00141B97">
      <w:pPr>
        <w:pStyle w:val="BodyText"/>
        <w:spacing w:before="7"/>
        <w:rPr>
          <w:sz w:val="23"/>
        </w:rPr>
      </w:pPr>
    </w:p>
    <w:p w14:paraId="10AE8332" w14:textId="77777777" w:rsidR="00141B97" w:rsidRDefault="00911D63">
      <w:pPr>
        <w:pStyle w:val="BodyText"/>
        <w:ind w:left="113" w:right="948"/>
        <w:jc w:val="both"/>
      </w:pPr>
      <w:r>
        <w:t>For the PS4 period, LMW has had an ‘electricity collar’ mechanism in its rural and urban price paths to enable significant electricity</w:t>
      </w:r>
      <w:r>
        <w:rPr>
          <w:spacing w:val="-1"/>
        </w:rPr>
        <w:t xml:space="preserve"> </w:t>
      </w:r>
      <w:r>
        <w:t>price variations outside specified upper and lower bounds to</w:t>
      </w:r>
      <w:r>
        <w:rPr>
          <w:spacing w:val="-1"/>
        </w:rPr>
        <w:t xml:space="preserve"> </w:t>
      </w:r>
      <w:r>
        <w:t>be reflected</w:t>
      </w:r>
      <w:r>
        <w:rPr>
          <w:spacing w:val="-1"/>
        </w:rPr>
        <w:t xml:space="preserve"> </w:t>
      </w:r>
      <w:r>
        <w:t>in either higher or</w:t>
      </w:r>
      <w:r>
        <w:rPr>
          <w:spacing w:val="-2"/>
        </w:rPr>
        <w:t xml:space="preserve"> </w:t>
      </w:r>
      <w:r>
        <w:t>lower</w:t>
      </w:r>
      <w:r>
        <w:rPr>
          <w:spacing w:val="-2"/>
        </w:rPr>
        <w:t xml:space="preserve"> </w:t>
      </w:r>
      <w:r>
        <w:t>prices</w:t>
      </w:r>
      <w:r>
        <w:rPr>
          <w:spacing w:val="-3"/>
        </w:rPr>
        <w:t xml:space="preserve"> </w:t>
      </w:r>
      <w:r>
        <w:t>to</w:t>
      </w:r>
      <w:r>
        <w:rPr>
          <w:spacing w:val="-2"/>
        </w:rPr>
        <w:t xml:space="preserve"> </w:t>
      </w:r>
      <w:r>
        <w:t>customers.</w:t>
      </w:r>
      <w:r>
        <w:rPr>
          <w:spacing w:val="-2"/>
        </w:rPr>
        <w:t xml:space="preserve"> </w:t>
      </w:r>
      <w:r>
        <w:t>This</w:t>
      </w:r>
      <w:r>
        <w:rPr>
          <w:spacing w:val="-1"/>
        </w:rPr>
        <w:t xml:space="preserve"> </w:t>
      </w:r>
      <w:r>
        <w:t>mechanism</w:t>
      </w:r>
      <w:r>
        <w:rPr>
          <w:spacing w:val="-2"/>
        </w:rPr>
        <w:t xml:space="preserve"> </w:t>
      </w:r>
      <w:r>
        <w:t>has</w:t>
      </w:r>
      <w:r>
        <w:rPr>
          <w:spacing w:val="-2"/>
        </w:rPr>
        <w:t xml:space="preserve"> </w:t>
      </w:r>
      <w:r>
        <w:t>been</w:t>
      </w:r>
      <w:r>
        <w:rPr>
          <w:spacing w:val="-2"/>
        </w:rPr>
        <w:t xml:space="preserve"> </w:t>
      </w:r>
      <w:r>
        <w:t>carefully</w:t>
      </w:r>
      <w:r>
        <w:rPr>
          <w:spacing w:val="-2"/>
        </w:rPr>
        <w:t xml:space="preserve"> </w:t>
      </w:r>
      <w:r>
        <w:t>considered</w:t>
      </w:r>
      <w:r>
        <w:rPr>
          <w:spacing w:val="-1"/>
        </w:rPr>
        <w:t xml:space="preserve"> </w:t>
      </w:r>
      <w:r>
        <w:t>in</w:t>
      </w:r>
      <w:r>
        <w:rPr>
          <w:spacing w:val="-2"/>
        </w:rPr>
        <w:t xml:space="preserve"> </w:t>
      </w:r>
      <w:r>
        <w:t>the</w:t>
      </w:r>
      <w:r>
        <w:rPr>
          <w:spacing w:val="-3"/>
        </w:rPr>
        <w:t xml:space="preserve"> </w:t>
      </w:r>
      <w:r>
        <w:t>light</w:t>
      </w:r>
      <w:r>
        <w:rPr>
          <w:spacing w:val="-2"/>
        </w:rPr>
        <w:t xml:space="preserve"> </w:t>
      </w:r>
      <w:r>
        <w:t>of</w:t>
      </w:r>
      <w:r>
        <w:rPr>
          <w:spacing w:val="-1"/>
        </w:rPr>
        <w:t xml:space="preserve"> </w:t>
      </w:r>
      <w:r>
        <w:t>the</w:t>
      </w:r>
      <w:r>
        <w:rPr>
          <w:spacing w:val="-4"/>
        </w:rPr>
        <w:t xml:space="preserve"> </w:t>
      </w:r>
      <w:r>
        <w:t>current</w:t>
      </w:r>
      <w:r>
        <w:rPr>
          <w:spacing w:val="-2"/>
        </w:rPr>
        <w:t xml:space="preserve"> </w:t>
      </w:r>
      <w:r>
        <w:t>forecast and</w:t>
      </w:r>
      <w:r>
        <w:rPr>
          <w:spacing w:val="-3"/>
        </w:rPr>
        <w:t xml:space="preserve"> </w:t>
      </w:r>
      <w:r>
        <w:t>assessment</w:t>
      </w:r>
      <w:r>
        <w:rPr>
          <w:spacing w:val="-3"/>
        </w:rPr>
        <w:t xml:space="preserve"> </w:t>
      </w:r>
      <w:r>
        <w:t>of</w:t>
      </w:r>
      <w:r>
        <w:rPr>
          <w:spacing w:val="-3"/>
        </w:rPr>
        <w:t xml:space="preserve"> </w:t>
      </w:r>
      <w:r>
        <w:t>market</w:t>
      </w:r>
      <w:r>
        <w:rPr>
          <w:spacing w:val="-2"/>
        </w:rPr>
        <w:t xml:space="preserve"> </w:t>
      </w:r>
      <w:r>
        <w:t>volatility</w:t>
      </w:r>
      <w:r>
        <w:rPr>
          <w:spacing w:val="-3"/>
        </w:rPr>
        <w:t xml:space="preserve"> </w:t>
      </w:r>
      <w:r>
        <w:t>and</w:t>
      </w:r>
      <w:r>
        <w:rPr>
          <w:spacing w:val="-2"/>
        </w:rPr>
        <w:t xml:space="preserve"> </w:t>
      </w:r>
      <w:r>
        <w:t>the</w:t>
      </w:r>
      <w:r>
        <w:rPr>
          <w:spacing w:val="-2"/>
        </w:rPr>
        <w:t xml:space="preserve"> </w:t>
      </w:r>
      <w:r>
        <w:t>VGPB</w:t>
      </w:r>
      <w:r>
        <w:rPr>
          <w:spacing w:val="-2"/>
        </w:rPr>
        <w:t xml:space="preserve"> </w:t>
      </w:r>
      <w:r>
        <w:t>procurement</w:t>
      </w:r>
      <w:r>
        <w:rPr>
          <w:spacing w:val="-2"/>
        </w:rPr>
        <w:t xml:space="preserve"> </w:t>
      </w:r>
      <w:r>
        <w:t>arrangements,</w:t>
      </w:r>
      <w:r>
        <w:rPr>
          <w:spacing w:val="-3"/>
        </w:rPr>
        <w:t xml:space="preserve"> </w:t>
      </w:r>
      <w:r>
        <w:t>and</w:t>
      </w:r>
      <w:r>
        <w:rPr>
          <w:spacing w:val="-3"/>
        </w:rPr>
        <w:t xml:space="preserve"> </w:t>
      </w:r>
      <w:r>
        <w:t>the</w:t>
      </w:r>
      <w:r>
        <w:rPr>
          <w:spacing w:val="-3"/>
        </w:rPr>
        <w:t xml:space="preserve"> </w:t>
      </w:r>
      <w:r>
        <w:t>experience</w:t>
      </w:r>
      <w:r>
        <w:rPr>
          <w:spacing w:val="-2"/>
        </w:rPr>
        <w:t xml:space="preserve"> </w:t>
      </w:r>
      <w:r>
        <w:t>in</w:t>
      </w:r>
      <w:r>
        <w:rPr>
          <w:spacing w:val="-2"/>
        </w:rPr>
        <w:t xml:space="preserve"> </w:t>
      </w:r>
      <w:r>
        <w:t>the</w:t>
      </w:r>
      <w:r>
        <w:rPr>
          <w:spacing w:val="-4"/>
        </w:rPr>
        <w:t xml:space="preserve"> </w:t>
      </w:r>
      <w:r>
        <w:t>collar mechanism application during the PS4 period. LMW does not plan to extend the collar mechanism into PS5. LMW</w:t>
      </w:r>
      <w:r>
        <w:rPr>
          <w:spacing w:val="-7"/>
        </w:rPr>
        <w:t xml:space="preserve"> </w:t>
      </w:r>
      <w:r>
        <w:t>is</w:t>
      </w:r>
      <w:r>
        <w:rPr>
          <w:spacing w:val="-5"/>
        </w:rPr>
        <w:t xml:space="preserve"> </w:t>
      </w:r>
      <w:r>
        <w:t>taking</w:t>
      </w:r>
      <w:r>
        <w:rPr>
          <w:spacing w:val="-7"/>
        </w:rPr>
        <w:t xml:space="preserve"> </w:t>
      </w:r>
      <w:r>
        <w:t>on</w:t>
      </w:r>
      <w:r>
        <w:rPr>
          <w:spacing w:val="-5"/>
        </w:rPr>
        <w:t xml:space="preserve"> </w:t>
      </w:r>
      <w:r>
        <w:t>significant</w:t>
      </w:r>
      <w:r>
        <w:rPr>
          <w:spacing w:val="-8"/>
        </w:rPr>
        <w:t xml:space="preserve"> </w:t>
      </w:r>
      <w:r>
        <w:t>risk</w:t>
      </w:r>
      <w:r>
        <w:rPr>
          <w:spacing w:val="-6"/>
        </w:rPr>
        <w:t xml:space="preserve"> </w:t>
      </w:r>
      <w:r>
        <w:t>on</w:t>
      </w:r>
      <w:r>
        <w:rPr>
          <w:spacing w:val="-7"/>
        </w:rPr>
        <w:t xml:space="preserve"> </w:t>
      </w:r>
      <w:r>
        <w:t>behalf</w:t>
      </w:r>
      <w:r>
        <w:rPr>
          <w:spacing w:val="-6"/>
        </w:rPr>
        <w:t xml:space="preserve"> </w:t>
      </w:r>
      <w:r>
        <w:t>of</w:t>
      </w:r>
      <w:r>
        <w:rPr>
          <w:spacing w:val="-6"/>
        </w:rPr>
        <w:t xml:space="preserve"> </w:t>
      </w:r>
      <w:r>
        <w:t>the</w:t>
      </w:r>
      <w:r>
        <w:rPr>
          <w:spacing w:val="-7"/>
        </w:rPr>
        <w:t xml:space="preserve"> </w:t>
      </w:r>
      <w:r>
        <w:t>customer</w:t>
      </w:r>
      <w:r>
        <w:rPr>
          <w:spacing w:val="-5"/>
        </w:rPr>
        <w:t xml:space="preserve"> </w:t>
      </w:r>
      <w:r>
        <w:t>if</w:t>
      </w:r>
      <w:r>
        <w:rPr>
          <w:spacing w:val="-5"/>
        </w:rPr>
        <w:t xml:space="preserve"> </w:t>
      </w:r>
      <w:r>
        <w:t>current</w:t>
      </w:r>
      <w:r>
        <w:rPr>
          <w:spacing w:val="-5"/>
        </w:rPr>
        <w:t xml:space="preserve"> </w:t>
      </w:r>
      <w:r>
        <w:t>electricity</w:t>
      </w:r>
      <w:r>
        <w:rPr>
          <w:spacing w:val="-5"/>
        </w:rPr>
        <w:t xml:space="preserve"> </w:t>
      </w:r>
      <w:r>
        <w:t>market</w:t>
      </w:r>
      <w:r>
        <w:rPr>
          <w:spacing w:val="-5"/>
        </w:rPr>
        <w:t xml:space="preserve"> </w:t>
      </w:r>
      <w:r>
        <w:t>instability</w:t>
      </w:r>
      <w:r>
        <w:rPr>
          <w:spacing w:val="-7"/>
        </w:rPr>
        <w:t xml:space="preserve"> </w:t>
      </w:r>
      <w:r>
        <w:t>continues</w:t>
      </w:r>
      <w:r>
        <w:rPr>
          <w:spacing w:val="-7"/>
        </w:rPr>
        <w:t xml:space="preserve"> </w:t>
      </w:r>
      <w:r>
        <w:t>and causes the market forecast to be substantially incorrect.</w:t>
      </w:r>
    </w:p>
    <w:p w14:paraId="11EBCBF1" w14:textId="77777777" w:rsidR="00141B97" w:rsidRDefault="00141B97">
      <w:pPr>
        <w:jc w:val="both"/>
        <w:sectPr w:rsidR="00141B97">
          <w:pgSz w:w="11910" w:h="16840"/>
          <w:pgMar w:top="820" w:right="40" w:bottom="760" w:left="1020" w:header="0" w:footer="580" w:gutter="0"/>
          <w:cols w:space="720"/>
        </w:sectPr>
      </w:pPr>
    </w:p>
    <w:p w14:paraId="1DFB8790" w14:textId="77777777" w:rsidR="00141B97" w:rsidRDefault="00911D63">
      <w:pPr>
        <w:pStyle w:val="ListParagraph"/>
        <w:numPr>
          <w:ilvl w:val="3"/>
          <w:numId w:val="81"/>
        </w:numPr>
        <w:tabs>
          <w:tab w:val="left" w:pos="1107"/>
        </w:tabs>
        <w:spacing w:before="31"/>
        <w:jc w:val="both"/>
        <w:rPr>
          <w:i/>
        </w:rPr>
      </w:pPr>
      <w:r>
        <w:rPr>
          <w:i/>
          <w:spacing w:val="-2"/>
        </w:rPr>
        <w:lastRenderedPageBreak/>
        <w:t>Labour</w:t>
      </w:r>
    </w:p>
    <w:p w14:paraId="558C5CD4" w14:textId="77777777" w:rsidR="00141B97" w:rsidRDefault="00911D63">
      <w:pPr>
        <w:pStyle w:val="BodyText"/>
        <w:spacing w:before="60" w:line="256" w:lineRule="auto"/>
        <w:ind w:left="113" w:right="947"/>
        <w:jc w:val="both"/>
      </w:pPr>
      <w:r>
        <w:t>Labour costs include the 2021‐22 Board‐approved organisational structure roles, which were built bottom‐up as</w:t>
      </w:r>
      <w:r>
        <w:rPr>
          <w:spacing w:val="-8"/>
        </w:rPr>
        <w:t xml:space="preserve"> </w:t>
      </w:r>
      <w:r>
        <w:t>an</w:t>
      </w:r>
      <w:r>
        <w:rPr>
          <w:spacing w:val="-7"/>
        </w:rPr>
        <w:t xml:space="preserve"> </w:t>
      </w:r>
      <w:r>
        <w:t>efficient</w:t>
      </w:r>
      <w:r>
        <w:rPr>
          <w:spacing w:val="-7"/>
        </w:rPr>
        <w:t xml:space="preserve"> </w:t>
      </w:r>
      <w:r>
        <w:t>structure</w:t>
      </w:r>
      <w:r>
        <w:rPr>
          <w:spacing w:val="-8"/>
        </w:rPr>
        <w:t xml:space="preserve"> </w:t>
      </w:r>
      <w:r>
        <w:t>required</w:t>
      </w:r>
      <w:r>
        <w:rPr>
          <w:spacing w:val="-8"/>
        </w:rPr>
        <w:t xml:space="preserve"> </w:t>
      </w:r>
      <w:r>
        <w:t>to</w:t>
      </w:r>
      <w:r>
        <w:rPr>
          <w:spacing w:val="-7"/>
        </w:rPr>
        <w:t xml:space="preserve"> </w:t>
      </w:r>
      <w:r>
        <w:t>deliver</w:t>
      </w:r>
      <w:r>
        <w:rPr>
          <w:spacing w:val="-7"/>
        </w:rPr>
        <w:t xml:space="preserve"> </w:t>
      </w:r>
      <w:r>
        <w:t>LMW’s</w:t>
      </w:r>
      <w:r>
        <w:rPr>
          <w:spacing w:val="-6"/>
        </w:rPr>
        <w:t xml:space="preserve"> </w:t>
      </w:r>
      <w:r>
        <w:t>commitment</w:t>
      </w:r>
      <w:r>
        <w:rPr>
          <w:spacing w:val="-6"/>
        </w:rPr>
        <w:t xml:space="preserve"> </w:t>
      </w:r>
      <w:r>
        <w:t>to</w:t>
      </w:r>
      <w:r>
        <w:rPr>
          <w:spacing w:val="-6"/>
        </w:rPr>
        <w:t xml:space="preserve"> </w:t>
      </w:r>
      <w:r>
        <w:t>customer</w:t>
      </w:r>
      <w:r>
        <w:rPr>
          <w:spacing w:val="-6"/>
        </w:rPr>
        <w:t xml:space="preserve"> </w:t>
      </w:r>
      <w:r>
        <w:t>services.</w:t>
      </w:r>
      <w:r>
        <w:rPr>
          <w:spacing w:val="-8"/>
        </w:rPr>
        <w:t xml:space="preserve"> </w:t>
      </w:r>
      <w:r>
        <w:t>There</w:t>
      </w:r>
      <w:r>
        <w:rPr>
          <w:spacing w:val="-7"/>
        </w:rPr>
        <w:t xml:space="preserve"> </w:t>
      </w:r>
      <w:r>
        <w:t>are</w:t>
      </w:r>
      <w:r>
        <w:rPr>
          <w:spacing w:val="-7"/>
        </w:rPr>
        <w:t xml:space="preserve"> </w:t>
      </w:r>
      <w:r>
        <w:t>only</w:t>
      </w:r>
      <w:r>
        <w:rPr>
          <w:spacing w:val="-6"/>
        </w:rPr>
        <w:t xml:space="preserve"> </w:t>
      </w:r>
      <w:r>
        <w:t>minor</w:t>
      </w:r>
      <w:r>
        <w:rPr>
          <w:spacing w:val="-6"/>
        </w:rPr>
        <w:t xml:space="preserve"> </w:t>
      </w:r>
      <w:r>
        <w:t>FTE changes forecast for the</w:t>
      </w:r>
      <w:r>
        <w:rPr>
          <w:spacing w:val="-2"/>
        </w:rPr>
        <w:t xml:space="preserve"> </w:t>
      </w:r>
      <w:r>
        <w:t>PS5 period</w:t>
      </w:r>
      <w:r>
        <w:rPr>
          <w:spacing w:val="-2"/>
        </w:rPr>
        <w:t xml:space="preserve"> </w:t>
      </w:r>
      <w:r>
        <w:t>as</w:t>
      </w:r>
      <w:r>
        <w:rPr>
          <w:spacing w:val="-2"/>
        </w:rPr>
        <w:t xml:space="preserve"> </w:t>
      </w:r>
      <w:r>
        <w:t>the labour efficiencies</w:t>
      </w:r>
      <w:r>
        <w:rPr>
          <w:spacing w:val="-1"/>
        </w:rPr>
        <w:t xml:space="preserve"> </w:t>
      </w:r>
      <w:r>
        <w:t>and benefits from the BTP Horizon 2 have been forecast</w:t>
      </w:r>
      <w:r>
        <w:rPr>
          <w:spacing w:val="-2"/>
        </w:rPr>
        <w:t xml:space="preserve"> </w:t>
      </w:r>
      <w:r>
        <w:t>in PS6.</w:t>
      </w:r>
      <w:r>
        <w:rPr>
          <w:spacing w:val="-1"/>
        </w:rPr>
        <w:t xml:space="preserve"> </w:t>
      </w:r>
      <w:r>
        <w:t>The</w:t>
      </w:r>
      <w:r>
        <w:rPr>
          <w:spacing w:val="-1"/>
        </w:rPr>
        <w:t xml:space="preserve"> </w:t>
      </w:r>
      <w:r>
        <w:t>labour forecast</w:t>
      </w:r>
      <w:r>
        <w:rPr>
          <w:spacing w:val="-2"/>
        </w:rPr>
        <w:t xml:space="preserve"> </w:t>
      </w:r>
      <w:r>
        <w:t>includes</w:t>
      </w:r>
      <w:r>
        <w:rPr>
          <w:spacing w:val="-1"/>
        </w:rPr>
        <w:t xml:space="preserve"> </w:t>
      </w:r>
      <w:r>
        <w:t>an EBA</w:t>
      </w:r>
      <w:r>
        <w:rPr>
          <w:spacing w:val="-1"/>
        </w:rPr>
        <w:t xml:space="preserve"> </w:t>
      </w:r>
      <w:r>
        <w:t>increase</w:t>
      </w:r>
      <w:r>
        <w:rPr>
          <w:spacing w:val="-2"/>
        </w:rPr>
        <w:t xml:space="preserve"> </w:t>
      </w:r>
      <w:r>
        <w:t>of 2.5%</w:t>
      </w:r>
      <w:r>
        <w:rPr>
          <w:spacing w:val="-1"/>
        </w:rPr>
        <w:t xml:space="preserve"> </w:t>
      </w:r>
      <w:r>
        <w:t>until</w:t>
      </w:r>
      <w:r>
        <w:rPr>
          <w:spacing w:val="-1"/>
        </w:rPr>
        <w:t xml:space="preserve"> </w:t>
      </w:r>
      <w:r>
        <w:t>the end</w:t>
      </w:r>
      <w:r>
        <w:rPr>
          <w:spacing w:val="-1"/>
        </w:rPr>
        <w:t xml:space="preserve"> </w:t>
      </w:r>
      <w:r>
        <w:t>of the</w:t>
      </w:r>
      <w:r>
        <w:rPr>
          <w:spacing w:val="-2"/>
        </w:rPr>
        <w:t xml:space="preserve"> </w:t>
      </w:r>
      <w:r>
        <w:t>current</w:t>
      </w:r>
      <w:r>
        <w:rPr>
          <w:spacing w:val="-1"/>
        </w:rPr>
        <w:t xml:space="preserve"> </w:t>
      </w:r>
      <w:r>
        <w:t>agreement in June 2025, an increase of 3% has been incorporated in the labour forecast for years 2025‐26 to 2027‐28.</w:t>
      </w:r>
    </w:p>
    <w:p w14:paraId="04D20FBB" w14:textId="77777777" w:rsidR="00141B97" w:rsidRDefault="00141B97">
      <w:pPr>
        <w:pStyle w:val="BodyText"/>
        <w:spacing w:before="8"/>
        <w:rPr>
          <w:sz w:val="23"/>
        </w:rPr>
      </w:pPr>
    </w:p>
    <w:p w14:paraId="09B21CD4" w14:textId="77777777" w:rsidR="00141B97" w:rsidRDefault="00911D63">
      <w:pPr>
        <w:pStyle w:val="BodyText"/>
        <w:spacing w:line="256" w:lineRule="auto"/>
        <w:ind w:left="113" w:right="948" w:hanging="1"/>
        <w:jc w:val="both"/>
      </w:pPr>
      <w:r>
        <w:t>The benefits from Business Transformation Project (BTP) Horizon 2 will</w:t>
      </w:r>
      <w:r>
        <w:rPr>
          <w:spacing w:val="-2"/>
        </w:rPr>
        <w:t xml:space="preserve"> </w:t>
      </w:r>
      <w:r>
        <w:t>result in</w:t>
      </w:r>
      <w:r>
        <w:rPr>
          <w:spacing w:val="-2"/>
        </w:rPr>
        <w:t xml:space="preserve"> </w:t>
      </w:r>
      <w:r>
        <w:t>job redesign</w:t>
      </w:r>
      <w:r>
        <w:rPr>
          <w:spacing w:val="-3"/>
        </w:rPr>
        <w:t xml:space="preserve"> </w:t>
      </w:r>
      <w:r>
        <w:t>into new roles throughout</w:t>
      </w:r>
      <w:r>
        <w:rPr>
          <w:spacing w:val="-7"/>
        </w:rPr>
        <w:t xml:space="preserve"> </w:t>
      </w:r>
      <w:r>
        <w:t>the</w:t>
      </w:r>
      <w:r>
        <w:rPr>
          <w:spacing w:val="-7"/>
        </w:rPr>
        <w:t xml:space="preserve"> </w:t>
      </w:r>
      <w:r>
        <w:t>business</w:t>
      </w:r>
      <w:r>
        <w:rPr>
          <w:spacing w:val="-6"/>
        </w:rPr>
        <w:t xml:space="preserve"> </w:t>
      </w:r>
      <w:r>
        <w:t>as</w:t>
      </w:r>
      <w:r>
        <w:rPr>
          <w:spacing w:val="-3"/>
        </w:rPr>
        <w:t xml:space="preserve"> </w:t>
      </w:r>
      <w:r>
        <w:t>LMW</w:t>
      </w:r>
      <w:r>
        <w:rPr>
          <w:spacing w:val="-7"/>
        </w:rPr>
        <w:t xml:space="preserve"> </w:t>
      </w:r>
      <w:r>
        <w:t>evolves</w:t>
      </w:r>
      <w:r>
        <w:rPr>
          <w:spacing w:val="-7"/>
        </w:rPr>
        <w:t xml:space="preserve"> </w:t>
      </w:r>
      <w:r>
        <w:t>into</w:t>
      </w:r>
      <w:r>
        <w:rPr>
          <w:spacing w:val="-7"/>
        </w:rPr>
        <w:t xml:space="preserve"> </w:t>
      </w:r>
      <w:r>
        <w:t>a</w:t>
      </w:r>
      <w:r>
        <w:rPr>
          <w:spacing w:val="-7"/>
        </w:rPr>
        <w:t xml:space="preserve"> </w:t>
      </w:r>
      <w:r>
        <w:t>digitally</w:t>
      </w:r>
      <w:r>
        <w:rPr>
          <w:spacing w:val="-8"/>
        </w:rPr>
        <w:t xml:space="preserve"> </w:t>
      </w:r>
      <w:r>
        <w:t>connected</w:t>
      </w:r>
      <w:r>
        <w:rPr>
          <w:spacing w:val="-7"/>
        </w:rPr>
        <w:t xml:space="preserve"> </w:t>
      </w:r>
      <w:r>
        <w:t>utility</w:t>
      </w:r>
      <w:r>
        <w:rPr>
          <w:spacing w:val="-2"/>
        </w:rPr>
        <w:t xml:space="preserve"> </w:t>
      </w:r>
      <w:r>
        <w:t>to</w:t>
      </w:r>
      <w:r>
        <w:rPr>
          <w:spacing w:val="-7"/>
        </w:rPr>
        <w:t xml:space="preserve"> </w:t>
      </w:r>
      <w:r>
        <w:t>support</w:t>
      </w:r>
      <w:r>
        <w:rPr>
          <w:spacing w:val="-7"/>
        </w:rPr>
        <w:t xml:space="preserve"> </w:t>
      </w:r>
      <w:r>
        <w:t>regional</w:t>
      </w:r>
      <w:r>
        <w:rPr>
          <w:spacing w:val="-7"/>
        </w:rPr>
        <w:t xml:space="preserve"> </w:t>
      </w:r>
      <w:r>
        <w:t>growth,</w:t>
      </w:r>
      <w:r>
        <w:rPr>
          <w:spacing w:val="-2"/>
        </w:rPr>
        <w:t xml:space="preserve"> </w:t>
      </w:r>
      <w:r>
        <w:t>increased regulatory obligations and customer expectations.</w:t>
      </w:r>
    </w:p>
    <w:p w14:paraId="1108A4B8" w14:textId="77777777" w:rsidR="00141B97" w:rsidRDefault="00141B97">
      <w:pPr>
        <w:pStyle w:val="BodyText"/>
        <w:spacing w:before="7"/>
        <w:rPr>
          <w:sz w:val="23"/>
        </w:rPr>
      </w:pPr>
    </w:p>
    <w:p w14:paraId="13A3E70F" w14:textId="77777777" w:rsidR="00141B97" w:rsidRDefault="00911D63">
      <w:pPr>
        <w:pStyle w:val="BodyText"/>
        <w:spacing w:line="256" w:lineRule="auto"/>
        <w:ind w:left="113" w:right="949"/>
        <w:jc w:val="both"/>
      </w:pPr>
      <w:r>
        <w:t>Labour</w:t>
      </w:r>
      <w:r>
        <w:rPr>
          <w:spacing w:val="-1"/>
        </w:rPr>
        <w:t xml:space="preserve"> </w:t>
      </w:r>
      <w:r>
        <w:t>efficiencies identified in BTP Horizon 2 business case will</w:t>
      </w:r>
      <w:r>
        <w:rPr>
          <w:spacing w:val="-3"/>
        </w:rPr>
        <w:t xml:space="preserve"> </w:t>
      </w:r>
      <w:r>
        <w:t>pave the way for</w:t>
      </w:r>
      <w:r>
        <w:rPr>
          <w:spacing w:val="-2"/>
        </w:rPr>
        <w:t xml:space="preserve"> </w:t>
      </w:r>
      <w:r>
        <w:t>the business to</w:t>
      </w:r>
      <w:r>
        <w:rPr>
          <w:spacing w:val="-1"/>
        </w:rPr>
        <w:t xml:space="preserve"> </w:t>
      </w:r>
      <w:r>
        <w:t>improve service delivery and customer outcomes through enhanced communication and responsive actions.</w:t>
      </w:r>
    </w:p>
    <w:p w14:paraId="11E3F77B" w14:textId="77777777" w:rsidR="00141B97" w:rsidRDefault="00141B97">
      <w:pPr>
        <w:pStyle w:val="BodyText"/>
        <w:spacing w:before="9"/>
        <w:rPr>
          <w:sz w:val="19"/>
        </w:rPr>
      </w:pPr>
    </w:p>
    <w:p w14:paraId="7199D2AB" w14:textId="77777777" w:rsidR="00141B97" w:rsidRDefault="00911D63">
      <w:pPr>
        <w:pStyle w:val="ListParagraph"/>
        <w:numPr>
          <w:ilvl w:val="3"/>
          <w:numId w:val="81"/>
        </w:numPr>
        <w:tabs>
          <w:tab w:val="left" w:pos="1107"/>
        </w:tabs>
        <w:jc w:val="both"/>
        <w:rPr>
          <w:i/>
        </w:rPr>
      </w:pPr>
      <w:r>
        <w:rPr>
          <w:i/>
          <w:spacing w:val="-2"/>
        </w:rPr>
        <w:t>Chemicals</w:t>
      </w:r>
    </w:p>
    <w:p w14:paraId="3533D1AC" w14:textId="77777777" w:rsidR="00141B97" w:rsidRDefault="00911D63">
      <w:pPr>
        <w:pStyle w:val="BodyText"/>
        <w:spacing w:before="79" w:line="256" w:lineRule="auto"/>
        <w:ind w:left="113" w:right="947"/>
        <w:jc w:val="both"/>
      </w:pPr>
      <w:r>
        <w:t>The</w:t>
      </w:r>
      <w:r>
        <w:rPr>
          <w:spacing w:val="-7"/>
        </w:rPr>
        <w:t xml:space="preserve"> </w:t>
      </w:r>
      <w:r>
        <w:t>2022‐23</w:t>
      </w:r>
      <w:r>
        <w:rPr>
          <w:spacing w:val="-6"/>
        </w:rPr>
        <w:t xml:space="preserve"> </w:t>
      </w:r>
      <w:r>
        <w:t>chemicals</w:t>
      </w:r>
      <w:r>
        <w:rPr>
          <w:spacing w:val="-6"/>
        </w:rPr>
        <w:t xml:space="preserve"> </w:t>
      </w:r>
      <w:r>
        <w:t>budget</w:t>
      </w:r>
      <w:r>
        <w:rPr>
          <w:spacing w:val="-6"/>
        </w:rPr>
        <w:t xml:space="preserve"> </w:t>
      </w:r>
      <w:r>
        <w:t>of</w:t>
      </w:r>
      <w:r>
        <w:rPr>
          <w:spacing w:val="-6"/>
        </w:rPr>
        <w:t xml:space="preserve"> </w:t>
      </w:r>
      <w:r>
        <w:t>$1.3m</w:t>
      </w:r>
      <w:r>
        <w:rPr>
          <w:spacing w:val="-7"/>
        </w:rPr>
        <w:t xml:space="preserve"> </w:t>
      </w:r>
      <w:r>
        <w:t>has</w:t>
      </w:r>
      <w:r>
        <w:rPr>
          <w:spacing w:val="-7"/>
        </w:rPr>
        <w:t xml:space="preserve"> </w:t>
      </w:r>
      <w:r>
        <w:t>been</w:t>
      </w:r>
      <w:r>
        <w:rPr>
          <w:spacing w:val="-7"/>
        </w:rPr>
        <w:t xml:space="preserve"> </w:t>
      </w:r>
      <w:r>
        <w:t>carried</w:t>
      </w:r>
      <w:r>
        <w:rPr>
          <w:spacing w:val="-7"/>
        </w:rPr>
        <w:t xml:space="preserve"> </w:t>
      </w:r>
      <w:r>
        <w:t>forward</w:t>
      </w:r>
      <w:r>
        <w:rPr>
          <w:spacing w:val="-7"/>
        </w:rPr>
        <w:t xml:space="preserve"> </w:t>
      </w:r>
      <w:r>
        <w:t>consistently</w:t>
      </w:r>
      <w:r>
        <w:rPr>
          <w:spacing w:val="-5"/>
        </w:rPr>
        <w:t xml:space="preserve"> </w:t>
      </w:r>
      <w:r>
        <w:t>in</w:t>
      </w:r>
      <w:r>
        <w:rPr>
          <w:spacing w:val="-7"/>
        </w:rPr>
        <w:t xml:space="preserve"> </w:t>
      </w:r>
      <w:r>
        <w:t>the</w:t>
      </w:r>
      <w:r>
        <w:rPr>
          <w:spacing w:val="-7"/>
        </w:rPr>
        <w:t xml:space="preserve"> </w:t>
      </w:r>
      <w:r>
        <w:t>annual</w:t>
      </w:r>
      <w:r>
        <w:rPr>
          <w:spacing w:val="-6"/>
        </w:rPr>
        <w:t xml:space="preserve"> </w:t>
      </w:r>
      <w:r>
        <w:t>PS5</w:t>
      </w:r>
      <w:r>
        <w:rPr>
          <w:spacing w:val="-6"/>
        </w:rPr>
        <w:t xml:space="preserve"> </w:t>
      </w:r>
      <w:r>
        <w:t>chemical</w:t>
      </w:r>
      <w:r>
        <w:rPr>
          <w:spacing w:val="-5"/>
        </w:rPr>
        <w:t xml:space="preserve"> </w:t>
      </w:r>
      <w:r>
        <w:t>costs resulting</w:t>
      </w:r>
      <w:r>
        <w:rPr>
          <w:spacing w:val="-13"/>
        </w:rPr>
        <w:t xml:space="preserve"> </w:t>
      </w:r>
      <w:r>
        <w:t>in</w:t>
      </w:r>
      <w:r>
        <w:rPr>
          <w:spacing w:val="-12"/>
        </w:rPr>
        <w:t xml:space="preserve"> </w:t>
      </w:r>
      <w:r>
        <w:t>a</w:t>
      </w:r>
      <w:r>
        <w:rPr>
          <w:spacing w:val="-13"/>
        </w:rPr>
        <w:t xml:space="preserve"> </w:t>
      </w:r>
      <w:r>
        <w:t>minor</w:t>
      </w:r>
      <w:r>
        <w:rPr>
          <w:spacing w:val="-12"/>
        </w:rPr>
        <w:t xml:space="preserve"> </w:t>
      </w:r>
      <w:r>
        <w:t>change</w:t>
      </w:r>
      <w:r>
        <w:rPr>
          <w:spacing w:val="-13"/>
        </w:rPr>
        <w:t xml:space="preserve"> </w:t>
      </w:r>
      <w:r>
        <w:t>from</w:t>
      </w:r>
      <w:r>
        <w:rPr>
          <w:spacing w:val="-12"/>
        </w:rPr>
        <w:t xml:space="preserve"> </w:t>
      </w:r>
      <w:r>
        <w:t>historical</w:t>
      </w:r>
      <w:r>
        <w:rPr>
          <w:spacing w:val="-12"/>
        </w:rPr>
        <w:t xml:space="preserve"> </w:t>
      </w:r>
      <w:r>
        <w:t>trends,</w:t>
      </w:r>
      <w:r>
        <w:rPr>
          <w:spacing w:val="-11"/>
        </w:rPr>
        <w:t xml:space="preserve"> </w:t>
      </w:r>
      <w:r>
        <w:t>based</w:t>
      </w:r>
      <w:r>
        <w:rPr>
          <w:spacing w:val="-12"/>
        </w:rPr>
        <w:t xml:space="preserve"> </w:t>
      </w:r>
      <w:r>
        <w:t>on</w:t>
      </w:r>
      <w:r>
        <w:rPr>
          <w:spacing w:val="-13"/>
        </w:rPr>
        <w:t xml:space="preserve"> </w:t>
      </w:r>
      <w:r>
        <w:t>the</w:t>
      </w:r>
      <w:r>
        <w:rPr>
          <w:spacing w:val="-12"/>
        </w:rPr>
        <w:t xml:space="preserve"> </w:t>
      </w:r>
      <w:r>
        <w:t>assumptions</w:t>
      </w:r>
      <w:r>
        <w:rPr>
          <w:spacing w:val="-12"/>
        </w:rPr>
        <w:t xml:space="preserve"> </w:t>
      </w:r>
      <w:r>
        <w:t>that</w:t>
      </w:r>
      <w:r>
        <w:rPr>
          <w:spacing w:val="-13"/>
        </w:rPr>
        <w:t xml:space="preserve"> </w:t>
      </w:r>
      <w:r>
        <w:t>raw</w:t>
      </w:r>
      <w:r>
        <w:rPr>
          <w:spacing w:val="-12"/>
        </w:rPr>
        <w:t xml:space="preserve"> </w:t>
      </w:r>
      <w:r>
        <w:t>water</w:t>
      </w:r>
      <w:r>
        <w:rPr>
          <w:spacing w:val="-12"/>
        </w:rPr>
        <w:t xml:space="preserve"> </w:t>
      </w:r>
      <w:r>
        <w:t>quality</w:t>
      </w:r>
      <w:r>
        <w:rPr>
          <w:spacing w:val="-13"/>
        </w:rPr>
        <w:t xml:space="preserve"> </w:t>
      </w:r>
      <w:r>
        <w:t>will</w:t>
      </w:r>
      <w:r>
        <w:rPr>
          <w:spacing w:val="-12"/>
        </w:rPr>
        <w:t xml:space="preserve"> </w:t>
      </w:r>
      <w:r>
        <w:t>continue as per the average quality data over the past 5 years as illustrated in Table B25 overleaf:</w:t>
      </w:r>
    </w:p>
    <w:p w14:paraId="1FFF8E86"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295"/>
        <w:gridCol w:w="972"/>
        <w:gridCol w:w="720"/>
        <w:gridCol w:w="1088"/>
        <w:gridCol w:w="1392"/>
        <w:gridCol w:w="1439"/>
        <w:gridCol w:w="851"/>
        <w:gridCol w:w="850"/>
        <w:gridCol w:w="1289"/>
      </w:tblGrid>
      <w:tr w:rsidR="00141B97" w14:paraId="1524684C" w14:textId="77777777">
        <w:trPr>
          <w:trHeight w:val="244"/>
          <w:tblCellSpacing w:w="9" w:type="dxa"/>
        </w:trPr>
        <w:tc>
          <w:tcPr>
            <w:tcW w:w="9716" w:type="dxa"/>
            <w:gridSpan w:val="9"/>
            <w:tcBorders>
              <w:top w:val="nil"/>
              <w:left w:val="nil"/>
              <w:right w:val="nil"/>
            </w:tcBorders>
            <w:shd w:val="clear" w:color="auto" w:fill="0064A4"/>
          </w:tcPr>
          <w:p w14:paraId="2A0B78C2" w14:textId="77777777" w:rsidR="00141B97" w:rsidRDefault="00911D63">
            <w:pPr>
              <w:pStyle w:val="TableParagraph"/>
              <w:spacing w:line="224" w:lineRule="exact"/>
              <w:ind w:left="2920" w:right="2920"/>
              <w:jc w:val="center"/>
              <w:rPr>
                <w:sz w:val="20"/>
              </w:rPr>
            </w:pPr>
            <w:r>
              <w:rPr>
                <w:color w:val="FFFFFF"/>
                <w:sz w:val="20"/>
              </w:rPr>
              <w:t>Mildura</w:t>
            </w:r>
            <w:r>
              <w:rPr>
                <w:color w:val="FFFFFF"/>
                <w:spacing w:val="-3"/>
                <w:sz w:val="20"/>
              </w:rPr>
              <w:t xml:space="preserve"> </w:t>
            </w:r>
            <w:r>
              <w:rPr>
                <w:color w:val="FFFFFF"/>
                <w:sz w:val="20"/>
              </w:rPr>
              <w:t>WTP</w:t>
            </w:r>
            <w:r>
              <w:rPr>
                <w:color w:val="FFFFFF"/>
                <w:spacing w:val="-2"/>
                <w:sz w:val="20"/>
              </w:rPr>
              <w:t xml:space="preserve"> </w:t>
            </w:r>
            <w:r>
              <w:rPr>
                <w:color w:val="FFFFFF"/>
                <w:sz w:val="20"/>
              </w:rPr>
              <w:t>Raw</w:t>
            </w:r>
            <w:r>
              <w:rPr>
                <w:color w:val="FFFFFF"/>
                <w:spacing w:val="-2"/>
                <w:sz w:val="20"/>
              </w:rPr>
              <w:t xml:space="preserve"> </w:t>
            </w:r>
            <w:r>
              <w:rPr>
                <w:color w:val="FFFFFF"/>
                <w:sz w:val="20"/>
              </w:rPr>
              <w:t>Water</w:t>
            </w:r>
            <w:r>
              <w:rPr>
                <w:color w:val="FFFFFF"/>
                <w:spacing w:val="-3"/>
                <w:sz w:val="20"/>
              </w:rPr>
              <w:t xml:space="preserve"> </w:t>
            </w:r>
            <w:r>
              <w:rPr>
                <w:color w:val="FFFFFF"/>
                <w:sz w:val="20"/>
              </w:rPr>
              <w:t>–</w:t>
            </w:r>
            <w:r>
              <w:rPr>
                <w:color w:val="FFFFFF"/>
                <w:spacing w:val="-2"/>
                <w:sz w:val="20"/>
              </w:rPr>
              <w:t xml:space="preserve"> </w:t>
            </w:r>
            <w:r>
              <w:rPr>
                <w:color w:val="FFFFFF"/>
                <w:sz w:val="20"/>
              </w:rPr>
              <w:t>Average</w:t>
            </w:r>
            <w:r>
              <w:rPr>
                <w:color w:val="FFFFFF"/>
                <w:spacing w:val="-1"/>
                <w:sz w:val="20"/>
              </w:rPr>
              <w:t xml:space="preserve"> </w:t>
            </w:r>
            <w:r>
              <w:rPr>
                <w:color w:val="FFFFFF"/>
                <w:sz w:val="20"/>
              </w:rPr>
              <w:t>Quality</w:t>
            </w:r>
            <w:r>
              <w:rPr>
                <w:color w:val="FFFFFF"/>
                <w:spacing w:val="-3"/>
                <w:sz w:val="20"/>
              </w:rPr>
              <w:t xml:space="preserve"> </w:t>
            </w:r>
            <w:r>
              <w:rPr>
                <w:color w:val="FFFFFF"/>
                <w:spacing w:val="-4"/>
                <w:sz w:val="20"/>
              </w:rPr>
              <w:t>Data</w:t>
            </w:r>
          </w:p>
        </w:tc>
      </w:tr>
      <w:tr w:rsidR="00141B97" w14:paraId="6796BAF6" w14:textId="77777777">
        <w:trPr>
          <w:trHeight w:val="243"/>
          <w:tblCellSpacing w:w="9" w:type="dxa"/>
        </w:trPr>
        <w:tc>
          <w:tcPr>
            <w:tcW w:w="1268" w:type="dxa"/>
            <w:tcBorders>
              <w:left w:val="nil"/>
            </w:tcBorders>
            <w:shd w:val="clear" w:color="auto" w:fill="0064A4"/>
          </w:tcPr>
          <w:p w14:paraId="30C1D977" w14:textId="77777777" w:rsidR="00141B97" w:rsidRDefault="00141B97">
            <w:pPr>
              <w:pStyle w:val="TableParagraph"/>
              <w:rPr>
                <w:rFonts w:ascii="Times New Roman"/>
                <w:sz w:val="16"/>
              </w:rPr>
            </w:pPr>
          </w:p>
        </w:tc>
        <w:tc>
          <w:tcPr>
            <w:tcW w:w="954" w:type="dxa"/>
            <w:shd w:val="clear" w:color="auto" w:fill="0064A4"/>
          </w:tcPr>
          <w:p w14:paraId="17C08A5E" w14:textId="77777777" w:rsidR="00141B97" w:rsidRDefault="00911D63">
            <w:pPr>
              <w:pStyle w:val="TableParagraph"/>
              <w:spacing w:line="224" w:lineRule="exact"/>
              <w:ind w:left="115" w:right="115"/>
              <w:jc w:val="center"/>
              <w:rPr>
                <w:sz w:val="20"/>
              </w:rPr>
            </w:pPr>
            <w:r>
              <w:rPr>
                <w:color w:val="FFFFFF"/>
                <w:spacing w:val="-4"/>
                <w:sz w:val="20"/>
              </w:rPr>
              <w:t>Temp</w:t>
            </w:r>
          </w:p>
        </w:tc>
        <w:tc>
          <w:tcPr>
            <w:tcW w:w="702" w:type="dxa"/>
            <w:shd w:val="clear" w:color="auto" w:fill="0064A4"/>
          </w:tcPr>
          <w:p w14:paraId="5088ED59" w14:textId="77777777" w:rsidR="00141B97" w:rsidRDefault="00911D63">
            <w:pPr>
              <w:pStyle w:val="TableParagraph"/>
              <w:spacing w:line="224" w:lineRule="exact"/>
              <w:ind w:right="224"/>
              <w:jc w:val="right"/>
              <w:rPr>
                <w:sz w:val="20"/>
              </w:rPr>
            </w:pPr>
            <w:r>
              <w:rPr>
                <w:color w:val="FFFFFF"/>
                <w:spacing w:val="-5"/>
                <w:sz w:val="20"/>
              </w:rPr>
              <w:t>pH</w:t>
            </w:r>
          </w:p>
        </w:tc>
        <w:tc>
          <w:tcPr>
            <w:tcW w:w="1070" w:type="dxa"/>
            <w:shd w:val="clear" w:color="auto" w:fill="0064A4"/>
          </w:tcPr>
          <w:p w14:paraId="300647D3" w14:textId="77777777" w:rsidR="00141B97" w:rsidRDefault="00911D63">
            <w:pPr>
              <w:pStyle w:val="TableParagraph"/>
              <w:spacing w:line="224" w:lineRule="exact"/>
              <w:ind w:left="255" w:right="253"/>
              <w:jc w:val="center"/>
              <w:rPr>
                <w:sz w:val="20"/>
              </w:rPr>
            </w:pPr>
            <w:r>
              <w:rPr>
                <w:color w:val="FFFFFF"/>
                <w:spacing w:val="-2"/>
                <w:sz w:val="20"/>
              </w:rPr>
              <w:t>Colour</w:t>
            </w:r>
          </w:p>
        </w:tc>
        <w:tc>
          <w:tcPr>
            <w:tcW w:w="1374" w:type="dxa"/>
            <w:shd w:val="clear" w:color="auto" w:fill="0064A4"/>
          </w:tcPr>
          <w:p w14:paraId="7BFE30FB" w14:textId="77777777" w:rsidR="00141B97" w:rsidRDefault="00911D63">
            <w:pPr>
              <w:pStyle w:val="TableParagraph"/>
              <w:spacing w:line="224" w:lineRule="exact"/>
              <w:ind w:left="316" w:right="315"/>
              <w:jc w:val="center"/>
              <w:rPr>
                <w:sz w:val="20"/>
              </w:rPr>
            </w:pPr>
            <w:r>
              <w:rPr>
                <w:color w:val="FFFFFF"/>
                <w:spacing w:val="-2"/>
                <w:sz w:val="20"/>
              </w:rPr>
              <w:t>Turbidity</w:t>
            </w:r>
          </w:p>
        </w:tc>
        <w:tc>
          <w:tcPr>
            <w:tcW w:w="1421" w:type="dxa"/>
            <w:shd w:val="clear" w:color="auto" w:fill="0064A4"/>
          </w:tcPr>
          <w:p w14:paraId="61AA0A63" w14:textId="77777777" w:rsidR="00141B97" w:rsidRDefault="00911D63">
            <w:pPr>
              <w:pStyle w:val="TableParagraph"/>
              <w:spacing w:line="224" w:lineRule="exact"/>
              <w:ind w:left="335" w:right="335"/>
              <w:jc w:val="center"/>
              <w:rPr>
                <w:sz w:val="20"/>
              </w:rPr>
            </w:pPr>
            <w:r>
              <w:rPr>
                <w:color w:val="FFFFFF"/>
                <w:spacing w:val="-2"/>
                <w:sz w:val="20"/>
              </w:rPr>
              <w:t>Alkalinity</w:t>
            </w:r>
          </w:p>
        </w:tc>
        <w:tc>
          <w:tcPr>
            <w:tcW w:w="833" w:type="dxa"/>
            <w:shd w:val="clear" w:color="auto" w:fill="0064A4"/>
          </w:tcPr>
          <w:p w14:paraId="535D65E2" w14:textId="77777777" w:rsidR="00141B97" w:rsidRDefault="00911D63">
            <w:pPr>
              <w:pStyle w:val="TableParagraph"/>
              <w:spacing w:line="224" w:lineRule="exact"/>
              <w:ind w:left="174" w:right="174"/>
              <w:jc w:val="center"/>
              <w:rPr>
                <w:sz w:val="20"/>
              </w:rPr>
            </w:pPr>
            <w:r>
              <w:rPr>
                <w:color w:val="FFFFFF"/>
                <w:spacing w:val="-5"/>
                <w:sz w:val="20"/>
              </w:rPr>
              <w:t>UV</w:t>
            </w:r>
          </w:p>
        </w:tc>
        <w:tc>
          <w:tcPr>
            <w:tcW w:w="832" w:type="dxa"/>
            <w:shd w:val="clear" w:color="auto" w:fill="0064A4"/>
          </w:tcPr>
          <w:p w14:paraId="411A7AD9" w14:textId="77777777" w:rsidR="00141B97" w:rsidRDefault="00911D63">
            <w:pPr>
              <w:pStyle w:val="TableParagraph"/>
              <w:spacing w:line="224" w:lineRule="exact"/>
              <w:ind w:left="172" w:right="173"/>
              <w:jc w:val="center"/>
              <w:rPr>
                <w:sz w:val="20"/>
              </w:rPr>
            </w:pPr>
            <w:r>
              <w:rPr>
                <w:color w:val="FFFFFF"/>
                <w:spacing w:val="-5"/>
                <w:sz w:val="20"/>
              </w:rPr>
              <w:t>EC</w:t>
            </w:r>
          </w:p>
        </w:tc>
        <w:tc>
          <w:tcPr>
            <w:tcW w:w="1262" w:type="dxa"/>
            <w:tcBorders>
              <w:right w:val="nil"/>
            </w:tcBorders>
            <w:shd w:val="clear" w:color="auto" w:fill="0064A4"/>
          </w:tcPr>
          <w:p w14:paraId="2FE7B851" w14:textId="77777777" w:rsidR="00141B97" w:rsidRDefault="00911D63">
            <w:pPr>
              <w:pStyle w:val="TableParagraph"/>
              <w:spacing w:line="224" w:lineRule="exact"/>
              <w:ind w:left="293" w:right="283"/>
              <w:jc w:val="center"/>
              <w:rPr>
                <w:sz w:val="20"/>
              </w:rPr>
            </w:pPr>
            <w:r>
              <w:rPr>
                <w:color w:val="FFFFFF"/>
                <w:spacing w:val="-2"/>
                <w:sz w:val="20"/>
              </w:rPr>
              <w:t>Fluoride</w:t>
            </w:r>
          </w:p>
        </w:tc>
      </w:tr>
      <w:tr w:rsidR="00141B97" w14:paraId="0CD6799C" w14:textId="77777777">
        <w:trPr>
          <w:trHeight w:val="243"/>
          <w:tblCellSpacing w:w="9" w:type="dxa"/>
        </w:trPr>
        <w:tc>
          <w:tcPr>
            <w:tcW w:w="1268" w:type="dxa"/>
            <w:tcBorders>
              <w:left w:val="nil"/>
            </w:tcBorders>
            <w:shd w:val="clear" w:color="auto" w:fill="CCE2ED"/>
          </w:tcPr>
          <w:p w14:paraId="1C8F70C5" w14:textId="77777777" w:rsidR="00141B97" w:rsidRDefault="00911D63">
            <w:pPr>
              <w:pStyle w:val="TableParagraph"/>
              <w:spacing w:line="224" w:lineRule="exact"/>
              <w:ind w:left="88"/>
              <w:rPr>
                <w:sz w:val="20"/>
              </w:rPr>
            </w:pPr>
            <w:r>
              <w:rPr>
                <w:spacing w:val="-2"/>
                <w:sz w:val="20"/>
              </w:rPr>
              <w:t>FY17/18</w:t>
            </w:r>
          </w:p>
        </w:tc>
        <w:tc>
          <w:tcPr>
            <w:tcW w:w="954" w:type="dxa"/>
            <w:shd w:val="clear" w:color="auto" w:fill="CCE2ED"/>
          </w:tcPr>
          <w:p w14:paraId="45E603A4" w14:textId="77777777" w:rsidR="00141B97" w:rsidRDefault="00911D63">
            <w:pPr>
              <w:pStyle w:val="TableParagraph"/>
              <w:spacing w:line="224" w:lineRule="exact"/>
              <w:ind w:left="115" w:right="115"/>
              <w:jc w:val="center"/>
              <w:rPr>
                <w:sz w:val="20"/>
              </w:rPr>
            </w:pPr>
            <w:r>
              <w:rPr>
                <w:spacing w:val="-4"/>
                <w:sz w:val="20"/>
              </w:rPr>
              <w:t>19.7</w:t>
            </w:r>
          </w:p>
        </w:tc>
        <w:tc>
          <w:tcPr>
            <w:tcW w:w="702" w:type="dxa"/>
            <w:shd w:val="clear" w:color="auto" w:fill="CCE2ED"/>
          </w:tcPr>
          <w:p w14:paraId="24268EC2" w14:textId="77777777" w:rsidR="00141B97" w:rsidRDefault="00911D63">
            <w:pPr>
              <w:pStyle w:val="TableParagraph"/>
              <w:spacing w:line="224" w:lineRule="exact"/>
              <w:ind w:right="161"/>
              <w:jc w:val="right"/>
              <w:rPr>
                <w:sz w:val="20"/>
              </w:rPr>
            </w:pPr>
            <w:r>
              <w:rPr>
                <w:spacing w:val="-4"/>
                <w:sz w:val="20"/>
              </w:rPr>
              <w:t>7.51</w:t>
            </w:r>
          </w:p>
        </w:tc>
        <w:tc>
          <w:tcPr>
            <w:tcW w:w="1070" w:type="dxa"/>
            <w:shd w:val="clear" w:color="auto" w:fill="CCE2ED"/>
          </w:tcPr>
          <w:p w14:paraId="763F7CB1" w14:textId="77777777" w:rsidR="00141B97" w:rsidRDefault="00911D63">
            <w:pPr>
              <w:pStyle w:val="TableParagraph"/>
              <w:spacing w:line="224" w:lineRule="exact"/>
              <w:ind w:left="255" w:right="253"/>
              <w:jc w:val="center"/>
              <w:rPr>
                <w:sz w:val="20"/>
              </w:rPr>
            </w:pPr>
            <w:r>
              <w:rPr>
                <w:spacing w:val="-4"/>
                <w:sz w:val="20"/>
              </w:rPr>
              <w:t>31.0</w:t>
            </w:r>
          </w:p>
        </w:tc>
        <w:tc>
          <w:tcPr>
            <w:tcW w:w="1374" w:type="dxa"/>
            <w:shd w:val="clear" w:color="auto" w:fill="CCE2ED"/>
          </w:tcPr>
          <w:p w14:paraId="7C9F98CB" w14:textId="77777777" w:rsidR="00141B97" w:rsidRDefault="00911D63">
            <w:pPr>
              <w:pStyle w:val="TableParagraph"/>
              <w:spacing w:line="224" w:lineRule="exact"/>
              <w:ind w:left="316" w:right="315"/>
              <w:jc w:val="center"/>
              <w:rPr>
                <w:sz w:val="20"/>
              </w:rPr>
            </w:pPr>
            <w:r>
              <w:rPr>
                <w:spacing w:val="-4"/>
                <w:sz w:val="20"/>
              </w:rPr>
              <w:t>19.6</w:t>
            </w:r>
          </w:p>
        </w:tc>
        <w:tc>
          <w:tcPr>
            <w:tcW w:w="1421" w:type="dxa"/>
            <w:shd w:val="clear" w:color="auto" w:fill="CCE2ED"/>
          </w:tcPr>
          <w:p w14:paraId="11B5A5C0" w14:textId="77777777" w:rsidR="00141B97" w:rsidRDefault="00911D63">
            <w:pPr>
              <w:pStyle w:val="TableParagraph"/>
              <w:spacing w:line="224" w:lineRule="exact"/>
              <w:ind w:left="335" w:right="333"/>
              <w:jc w:val="center"/>
              <w:rPr>
                <w:sz w:val="20"/>
              </w:rPr>
            </w:pPr>
            <w:r>
              <w:rPr>
                <w:spacing w:val="-4"/>
                <w:sz w:val="20"/>
              </w:rPr>
              <w:t>32.2</w:t>
            </w:r>
          </w:p>
        </w:tc>
        <w:tc>
          <w:tcPr>
            <w:tcW w:w="833" w:type="dxa"/>
            <w:shd w:val="clear" w:color="auto" w:fill="CCE2ED"/>
          </w:tcPr>
          <w:p w14:paraId="00A46FED" w14:textId="77777777" w:rsidR="00141B97" w:rsidRDefault="00911D63">
            <w:pPr>
              <w:pStyle w:val="TableParagraph"/>
              <w:spacing w:line="224" w:lineRule="exact"/>
              <w:ind w:left="174" w:right="174"/>
              <w:jc w:val="center"/>
              <w:rPr>
                <w:sz w:val="20"/>
              </w:rPr>
            </w:pPr>
            <w:r>
              <w:rPr>
                <w:spacing w:val="-2"/>
                <w:sz w:val="20"/>
              </w:rPr>
              <w:t>0.181</w:t>
            </w:r>
          </w:p>
        </w:tc>
        <w:tc>
          <w:tcPr>
            <w:tcW w:w="832" w:type="dxa"/>
            <w:shd w:val="clear" w:color="auto" w:fill="CCE2ED"/>
          </w:tcPr>
          <w:p w14:paraId="3F667AEA" w14:textId="77777777" w:rsidR="00141B97" w:rsidRDefault="00911D63">
            <w:pPr>
              <w:pStyle w:val="TableParagraph"/>
              <w:spacing w:line="224" w:lineRule="exact"/>
              <w:ind w:left="173" w:right="173"/>
              <w:jc w:val="center"/>
              <w:rPr>
                <w:sz w:val="20"/>
              </w:rPr>
            </w:pPr>
            <w:r>
              <w:rPr>
                <w:spacing w:val="-2"/>
                <w:sz w:val="20"/>
              </w:rPr>
              <w:t>152.9</w:t>
            </w:r>
          </w:p>
        </w:tc>
        <w:tc>
          <w:tcPr>
            <w:tcW w:w="1262" w:type="dxa"/>
            <w:tcBorders>
              <w:right w:val="nil"/>
            </w:tcBorders>
            <w:shd w:val="clear" w:color="auto" w:fill="CCE2ED"/>
          </w:tcPr>
          <w:p w14:paraId="5986361A" w14:textId="77777777" w:rsidR="00141B97" w:rsidRDefault="00911D63">
            <w:pPr>
              <w:pStyle w:val="TableParagraph"/>
              <w:spacing w:line="224" w:lineRule="exact"/>
              <w:ind w:left="291" w:right="283"/>
              <w:jc w:val="center"/>
              <w:rPr>
                <w:sz w:val="20"/>
              </w:rPr>
            </w:pPr>
            <w:r>
              <w:rPr>
                <w:spacing w:val="-4"/>
                <w:sz w:val="20"/>
              </w:rPr>
              <w:t>0.08</w:t>
            </w:r>
          </w:p>
        </w:tc>
      </w:tr>
      <w:tr w:rsidR="00141B97" w14:paraId="6BD218E1" w14:textId="77777777">
        <w:trPr>
          <w:trHeight w:val="245"/>
          <w:tblCellSpacing w:w="9" w:type="dxa"/>
        </w:trPr>
        <w:tc>
          <w:tcPr>
            <w:tcW w:w="1268" w:type="dxa"/>
            <w:tcBorders>
              <w:left w:val="nil"/>
            </w:tcBorders>
            <w:shd w:val="clear" w:color="auto" w:fill="CCE2ED"/>
          </w:tcPr>
          <w:p w14:paraId="1B041A4F" w14:textId="77777777" w:rsidR="00141B97" w:rsidRDefault="00911D63">
            <w:pPr>
              <w:pStyle w:val="TableParagraph"/>
              <w:spacing w:line="225" w:lineRule="exact"/>
              <w:ind w:left="88"/>
              <w:rPr>
                <w:sz w:val="20"/>
              </w:rPr>
            </w:pPr>
            <w:r>
              <w:rPr>
                <w:spacing w:val="-2"/>
                <w:sz w:val="20"/>
              </w:rPr>
              <w:t>FY18/19</w:t>
            </w:r>
          </w:p>
        </w:tc>
        <w:tc>
          <w:tcPr>
            <w:tcW w:w="954" w:type="dxa"/>
            <w:shd w:val="clear" w:color="auto" w:fill="CCE2ED"/>
          </w:tcPr>
          <w:p w14:paraId="07720ADD" w14:textId="77777777" w:rsidR="00141B97" w:rsidRDefault="00911D63">
            <w:pPr>
              <w:pStyle w:val="TableParagraph"/>
              <w:spacing w:line="225" w:lineRule="exact"/>
              <w:ind w:left="115" w:right="115"/>
              <w:jc w:val="center"/>
              <w:rPr>
                <w:sz w:val="20"/>
              </w:rPr>
            </w:pPr>
            <w:r>
              <w:rPr>
                <w:spacing w:val="-4"/>
                <w:sz w:val="20"/>
              </w:rPr>
              <w:t>18.6</w:t>
            </w:r>
          </w:p>
        </w:tc>
        <w:tc>
          <w:tcPr>
            <w:tcW w:w="702" w:type="dxa"/>
            <w:shd w:val="clear" w:color="auto" w:fill="CCE2ED"/>
          </w:tcPr>
          <w:p w14:paraId="3D1782AC" w14:textId="77777777" w:rsidR="00141B97" w:rsidRDefault="00911D63">
            <w:pPr>
              <w:pStyle w:val="TableParagraph"/>
              <w:spacing w:line="225" w:lineRule="exact"/>
              <w:ind w:right="161"/>
              <w:jc w:val="right"/>
              <w:rPr>
                <w:sz w:val="20"/>
              </w:rPr>
            </w:pPr>
            <w:r>
              <w:rPr>
                <w:spacing w:val="-4"/>
                <w:sz w:val="20"/>
              </w:rPr>
              <w:t>7.60</w:t>
            </w:r>
          </w:p>
        </w:tc>
        <w:tc>
          <w:tcPr>
            <w:tcW w:w="1070" w:type="dxa"/>
            <w:shd w:val="clear" w:color="auto" w:fill="CCE2ED"/>
          </w:tcPr>
          <w:p w14:paraId="49FCD7C7" w14:textId="77777777" w:rsidR="00141B97" w:rsidRDefault="00911D63">
            <w:pPr>
              <w:pStyle w:val="TableParagraph"/>
              <w:spacing w:line="225" w:lineRule="exact"/>
              <w:ind w:left="255" w:right="253"/>
              <w:jc w:val="center"/>
              <w:rPr>
                <w:sz w:val="20"/>
              </w:rPr>
            </w:pPr>
            <w:r>
              <w:rPr>
                <w:spacing w:val="-4"/>
                <w:sz w:val="20"/>
              </w:rPr>
              <w:t>28.0</w:t>
            </w:r>
          </w:p>
        </w:tc>
        <w:tc>
          <w:tcPr>
            <w:tcW w:w="1374" w:type="dxa"/>
            <w:shd w:val="clear" w:color="auto" w:fill="CCE2ED"/>
          </w:tcPr>
          <w:p w14:paraId="03EEB83A" w14:textId="77777777" w:rsidR="00141B97" w:rsidRDefault="00911D63">
            <w:pPr>
              <w:pStyle w:val="TableParagraph"/>
              <w:spacing w:line="225" w:lineRule="exact"/>
              <w:ind w:left="316" w:right="315"/>
              <w:jc w:val="center"/>
              <w:rPr>
                <w:sz w:val="20"/>
              </w:rPr>
            </w:pPr>
            <w:r>
              <w:rPr>
                <w:spacing w:val="-4"/>
                <w:sz w:val="20"/>
              </w:rPr>
              <w:t>21.9</w:t>
            </w:r>
          </w:p>
        </w:tc>
        <w:tc>
          <w:tcPr>
            <w:tcW w:w="1421" w:type="dxa"/>
            <w:shd w:val="clear" w:color="auto" w:fill="CCE2ED"/>
          </w:tcPr>
          <w:p w14:paraId="781E2EC2" w14:textId="77777777" w:rsidR="00141B97" w:rsidRDefault="00911D63">
            <w:pPr>
              <w:pStyle w:val="TableParagraph"/>
              <w:spacing w:line="225" w:lineRule="exact"/>
              <w:ind w:left="335" w:right="333"/>
              <w:jc w:val="center"/>
              <w:rPr>
                <w:sz w:val="20"/>
              </w:rPr>
            </w:pPr>
            <w:r>
              <w:rPr>
                <w:spacing w:val="-4"/>
                <w:sz w:val="20"/>
              </w:rPr>
              <w:t>29.0</w:t>
            </w:r>
          </w:p>
        </w:tc>
        <w:tc>
          <w:tcPr>
            <w:tcW w:w="833" w:type="dxa"/>
            <w:shd w:val="clear" w:color="auto" w:fill="CCE2ED"/>
          </w:tcPr>
          <w:p w14:paraId="38F4B054" w14:textId="77777777" w:rsidR="00141B97" w:rsidRDefault="00911D63">
            <w:pPr>
              <w:pStyle w:val="TableParagraph"/>
              <w:spacing w:line="225" w:lineRule="exact"/>
              <w:ind w:left="174" w:right="174"/>
              <w:jc w:val="center"/>
              <w:rPr>
                <w:sz w:val="20"/>
              </w:rPr>
            </w:pPr>
            <w:r>
              <w:rPr>
                <w:spacing w:val="-2"/>
                <w:sz w:val="20"/>
              </w:rPr>
              <w:t>0.133</w:t>
            </w:r>
          </w:p>
        </w:tc>
        <w:tc>
          <w:tcPr>
            <w:tcW w:w="832" w:type="dxa"/>
            <w:shd w:val="clear" w:color="auto" w:fill="CCE2ED"/>
          </w:tcPr>
          <w:p w14:paraId="1E1D5711" w14:textId="77777777" w:rsidR="00141B97" w:rsidRDefault="00911D63">
            <w:pPr>
              <w:pStyle w:val="TableParagraph"/>
              <w:spacing w:line="225" w:lineRule="exact"/>
              <w:ind w:left="173" w:right="173"/>
              <w:jc w:val="center"/>
              <w:rPr>
                <w:sz w:val="20"/>
              </w:rPr>
            </w:pPr>
            <w:r>
              <w:rPr>
                <w:spacing w:val="-2"/>
                <w:sz w:val="20"/>
              </w:rPr>
              <w:t>112.8</w:t>
            </w:r>
          </w:p>
        </w:tc>
        <w:tc>
          <w:tcPr>
            <w:tcW w:w="1262" w:type="dxa"/>
            <w:tcBorders>
              <w:right w:val="nil"/>
            </w:tcBorders>
            <w:shd w:val="clear" w:color="auto" w:fill="CCE2ED"/>
          </w:tcPr>
          <w:p w14:paraId="66A1E4C4" w14:textId="77777777" w:rsidR="00141B97" w:rsidRDefault="00911D63">
            <w:pPr>
              <w:pStyle w:val="TableParagraph"/>
              <w:spacing w:line="225" w:lineRule="exact"/>
              <w:ind w:left="291" w:right="283"/>
              <w:jc w:val="center"/>
              <w:rPr>
                <w:sz w:val="20"/>
              </w:rPr>
            </w:pPr>
            <w:r>
              <w:rPr>
                <w:spacing w:val="-4"/>
                <w:sz w:val="20"/>
              </w:rPr>
              <w:t>0.05</w:t>
            </w:r>
          </w:p>
        </w:tc>
      </w:tr>
      <w:tr w:rsidR="00141B97" w14:paraId="1715889D" w14:textId="77777777">
        <w:trPr>
          <w:trHeight w:val="244"/>
          <w:tblCellSpacing w:w="9" w:type="dxa"/>
        </w:trPr>
        <w:tc>
          <w:tcPr>
            <w:tcW w:w="1268" w:type="dxa"/>
            <w:tcBorders>
              <w:left w:val="nil"/>
            </w:tcBorders>
            <w:shd w:val="clear" w:color="auto" w:fill="CCE2ED"/>
          </w:tcPr>
          <w:p w14:paraId="76115C3B" w14:textId="77777777" w:rsidR="00141B97" w:rsidRDefault="00911D63">
            <w:pPr>
              <w:pStyle w:val="TableParagraph"/>
              <w:spacing w:line="224" w:lineRule="exact"/>
              <w:ind w:left="88"/>
              <w:rPr>
                <w:sz w:val="20"/>
              </w:rPr>
            </w:pPr>
            <w:r>
              <w:rPr>
                <w:spacing w:val="-2"/>
                <w:sz w:val="20"/>
              </w:rPr>
              <w:t>FY19/20</w:t>
            </w:r>
          </w:p>
        </w:tc>
        <w:tc>
          <w:tcPr>
            <w:tcW w:w="954" w:type="dxa"/>
            <w:shd w:val="clear" w:color="auto" w:fill="CCE2ED"/>
          </w:tcPr>
          <w:p w14:paraId="130C443D" w14:textId="77777777" w:rsidR="00141B97" w:rsidRDefault="00911D63">
            <w:pPr>
              <w:pStyle w:val="TableParagraph"/>
              <w:spacing w:line="224" w:lineRule="exact"/>
              <w:ind w:left="115" w:right="115"/>
              <w:jc w:val="center"/>
              <w:rPr>
                <w:sz w:val="20"/>
              </w:rPr>
            </w:pPr>
            <w:r>
              <w:rPr>
                <w:spacing w:val="-4"/>
                <w:sz w:val="20"/>
              </w:rPr>
              <w:t>18.4</w:t>
            </w:r>
          </w:p>
        </w:tc>
        <w:tc>
          <w:tcPr>
            <w:tcW w:w="702" w:type="dxa"/>
            <w:shd w:val="clear" w:color="auto" w:fill="CCE2ED"/>
          </w:tcPr>
          <w:p w14:paraId="58A294ED" w14:textId="77777777" w:rsidR="00141B97" w:rsidRDefault="00911D63">
            <w:pPr>
              <w:pStyle w:val="TableParagraph"/>
              <w:spacing w:line="224" w:lineRule="exact"/>
              <w:ind w:right="161"/>
              <w:jc w:val="right"/>
              <w:rPr>
                <w:sz w:val="20"/>
              </w:rPr>
            </w:pPr>
            <w:r>
              <w:rPr>
                <w:spacing w:val="-4"/>
                <w:sz w:val="20"/>
              </w:rPr>
              <w:t>7.61</w:t>
            </w:r>
          </w:p>
        </w:tc>
        <w:tc>
          <w:tcPr>
            <w:tcW w:w="1070" w:type="dxa"/>
            <w:shd w:val="clear" w:color="auto" w:fill="CCE2ED"/>
          </w:tcPr>
          <w:p w14:paraId="70382DD9" w14:textId="77777777" w:rsidR="00141B97" w:rsidRDefault="00911D63">
            <w:pPr>
              <w:pStyle w:val="TableParagraph"/>
              <w:spacing w:line="224" w:lineRule="exact"/>
              <w:ind w:left="255" w:right="253"/>
              <w:jc w:val="center"/>
              <w:rPr>
                <w:sz w:val="20"/>
              </w:rPr>
            </w:pPr>
            <w:r>
              <w:rPr>
                <w:spacing w:val="-4"/>
                <w:sz w:val="20"/>
              </w:rPr>
              <w:t>37.0</w:t>
            </w:r>
          </w:p>
        </w:tc>
        <w:tc>
          <w:tcPr>
            <w:tcW w:w="1374" w:type="dxa"/>
            <w:shd w:val="clear" w:color="auto" w:fill="CCE2ED"/>
          </w:tcPr>
          <w:p w14:paraId="3643D14C" w14:textId="77777777" w:rsidR="00141B97" w:rsidRDefault="00911D63">
            <w:pPr>
              <w:pStyle w:val="TableParagraph"/>
              <w:spacing w:line="224" w:lineRule="exact"/>
              <w:ind w:left="316" w:right="315"/>
              <w:jc w:val="center"/>
              <w:rPr>
                <w:sz w:val="20"/>
              </w:rPr>
            </w:pPr>
            <w:r>
              <w:rPr>
                <w:spacing w:val="-4"/>
                <w:sz w:val="20"/>
              </w:rPr>
              <w:t>29.1</w:t>
            </w:r>
          </w:p>
        </w:tc>
        <w:tc>
          <w:tcPr>
            <w:tcW w:w="1421" w:type="dxa"/>
            <w:shd w:val="clear" w:color="auto" w:fill="CCE2ED"/>
          </w:tcPr>
          <w:p w14:paraId="62C12700" w14:textId="77777777" w:rsidR="00141B97" w:rsidRDefault="00911D63">
            <w:pPr>
              <w:pStyle w:val="TableParagraph"/>
              <w:spacing w:line="224" w:lineRule="exact"/>
              <w:ind w:left="335" w:right="333"/>
              <w:jc w:val="center"/>
              <w:rPr>
                <w:sz w:val="20"/>
              </w:rPr>
            </w:pPr>
            <w:r>
              <w:rPr>
                <w:spacing w:val="-4"/>
                <w:sz w:val="20"/>
              </w:rPr>
              <w:t>27.6</w:t>
            </w:r>
          </w:p>
        </w:tc>
        <w:tc>
          <w:tcPr>
            <w:tcW w:w="833" w:type="dxa"/>
            <w:shd w:val="clear" w:color="auto" w:fill="CCE2ED"/>
          </w:tcPr>
          <w:p w14:paraId="27021566" w14:textId="77777777" w:rsidR="00141B97" w:rsidRDefault="00911D63">
            <w:pPr>
              <w:pStyle w:val="TableParagraph"/>
              <w:spacing w:line="224" w:lineRule="exact"/>
              <w:ind w:left="174" w:right="174"/>
              <w:jc w:val="center"/>
              <w:rPr>
                <w:sz w:val="20"/>
              </w:rPr>
            </w:pPr>
            <w:r>
              <w:rPr>
                <w:spacing w:val="-2"/>
                <w:sz w:val="20"/>
              </w:rPr>
              <w:t>0.157</w:t>
            </w:r>
          </w:p>
        </w:tc>
        <w:tc>
          <w:tcPr>
            <w:tcW w:w="832" w:type="dxa"/>
            <w:shd w:val="clear" w:color="auto" w:fill="CCE2ED"/>
          </w:tcPr>
          <w:p w14:paraId="15FBC133" w14:textId="77777777" w:rsidR="00141B97" w:rsidRDefault="00911D63">
            <w:pPr>
              <w:pStyle w:val="TableParagraph"/>
              <w:spacing w:line="224" w:lineRule="exact"/>
              <w:ind w:left="173" w:right="173"/>
              <w:jc w:val="center"/>
              <w:rPr>
                <w:sz w:val="20"/>
              </w:rPr>
            </w:pPr>
            <w:r>
              <w:rPr>
                <w:spacing w:val="-2"/>
                <w:sz w:val="20"/>
              </w:rPr>
              <w:t>100.3</w:t>
            </w:r>
          </w:p>
        </w:tc>
        <w:tc>
          <w:tcPr>
            <w:tcW w:w="1262" w:type="dxa"/>
            <w:tcBorders>
              <w:right w:val="nil"/>
            </w:tcBorders>
            <w:shd w:val="clear" w:color="auto" w:fill="CCE2ED"/>
          </w:tcPr>
          <w:p w14:paraId="762F7E84" w14:textId="77777777" w:rsidR="00141B97" w:rsidRDefault="00911D63">
            <w:pPr>
              <w:pStyle w:val="TableParagraph"/>
              <w:spacing w:line="224" w:lineRule="exact"/>
              <w:ind w:left="291" w:right="283"/>
              <w:jc w:val="center"/>
              <w:rPr>
                <w:sz w:val="20"/>
              </w:rPr>
            </w:pPr>
            <w:r>
              <w:rPr>
                <w:spacing w:val="-4"/>
                <w:sz w:val="20"/>
              </w:rPr>
              <w:t>0.06</w:t>
            </w:r>
          </w:p>
        </w:tc>
      </w:tr>
      <w:tr w:rsidR="00141B97" w14:paraId="192EA344" w14:textId="77777777">
        <w:trPr>
          <w:trHeight w:val="244"/>
          <w:tblCellSpacing w:w="9" w:type="dxa"/>
        </w:trPr>
        <w:tc>
          <w:tcPr>
            <w:tcW w:w="1268" w:type="dxa"/>
            <w:tcBorders>
              <w:left w:val="nil"/>
            </w:tcBorders>
            <w:shd w:val="clear" w:color="auto" w:fill="CCE2ED"/>
          </w:tcPr>
          <w:p w14:paraId="3026AFD9" w14:textId="77777777" w:rsidR="00141B97" w:rsidRDefault="00911D63">
            <w:pPr>
              <w:pStyle w:val="TableParagraph"/>
              <w:spacing w:line="224" w:lineRule="exact"/>
              <w:ind w:left="88"/>
              <w:rPr>
                <w:sz w:val="20"/>
              </w:rPr>
            </w:pPr>
            <w:r>
              <w:rPr>
                <w:spacing w:val="-2"/>
                <w:sz w:val="20"/>
              </w:rPr>
              <w:t>FY20/21</w:t>
            </w:r>
          </w:p>
        </w:tc>
        <w:tc>
          <w:tcPr>
            <w:tcW w:w="954" w:type="dxa"/>
            <w:shd w:val="clear" w:color="auto" w:fill="CCE2ED"/>
          </w:tcPr>
          <w:p w14:paraId="5734F63E" w14:textId="77777777" w:rsidR="00141B97" w:rsidRDefault="00911D63">
            <w:pPr>
              <w:pStyle w:val="TableParagraph"/>
              <w:spacing w:line="224" w:lineRule="exact"/>
              <w:ind w:left="115" w:right="115"/>
              <w:jc w:val="center"/>
              <w:rPr>
                <w:sz w:val="20"/>
              </w:rPr>
            </w:pPr>
            <w:r>
              <w:rPr>
                <w:spacing w:val="-4"/>
                <w:sz w:val="20"/>
              </w:rPr>
              <w:t>18.3</w:t>
            </w:r>
          </w:p>
        </w:tc>
        <w:tc>
          <w:tcPr>
            <w:tcW w:w="702" w:type="dxa"/>
            <w:shd w:val="clear" w:color="auto" w:fill="CCE2ED"/>
          </w:tcPr>
          <w:p w14:paraId="25D77D45" w14:textId="77777777" w:rsidR="00141B97" w:rsidRDefault="00911D63">
            <w:pPr>
              <w:pStyle w:val="TableParagraph"/>
              <w:spacing w:line="224" w:lineRule="exact"/>
              <w:ind w:right="161"/>
              <w:jc w:val="right"/>
              <w:rPr>
                <w:sz w:val="20"/>
              </w:rPr>
            </w:pPr>
            <w:r>
              <w:rPr>
                <w:spacing w:val="-4"/>
                <w:sz w:val="20"/>
              </w:rPr>
              <w:t>7.71</w:t>
            </w:r>
          </w:p>
        </w:tc>
        <w:tc>
          <w:tcPr>
            <w:tcW w:w="1070" w:type="dxa"/>
            <w:shd w:val="clear" w:color="auto" w:fill="CCE2ED"/>
          </w:tcPr>
          <w:p w14:paraId="56ED8440" w14:textId="77777777" w:rsidR="00141B97" w:rsidRDefault="00911D63">
            <w:pPr>
              <w:pStyle w:val="TableParagraph"/>
              <w:spacing w:line="224" w:lineRule="exact"/>
              <w:ind w:left="255" w:right="253"/>
              <w:jc w:val="center"/>
              <w:rPr>
                <w:sz w:val="20"/>
              </w:rPr>
            </w:pPr>
            <w:r>
              <w:rPr>
                <w:spacing w:val="-4"/>
                <w:sz w:val="20"/>
              </w:rPr>
              <w:t>46.3</w:t>
            </w:r>
          </w:p>
        </w:tc>
        <w:tc>
          <w:tcPr>
            <w:tcW w:w="1374" w:type="dxa"/>
            <w:shd w:val="clear" w:color="auto" w:fill="CCE2ED"/>
          </w:tcPr>
          <w:p w14:paraId="70F77053" w14:textId="77777777" w:rsidR="00141B97" w:rsidRDefault="00911D63">
            <w:pPr>
              <w:pStyle w:val="TableParagraph"/>
              <w:spacing w:line="224" w:lineRule="exact"/>
              <w:ind w:left="316" w:right="315"/>
              <w:jc w:val="center"/>
              <w:rPr>
                <w:sz w:val="20"/>
              </w:rPr>
            </w:pPr>
            <w:r>
              <w:rPr>
                <w:spacing w:val="-4"/>
                <w:sz w:val="20"/>
              </w:rPr>
              <w:t>27.8</w:t>
            </w:r>
          </w:p>
        </w:tc>
        <w:tc>
          <w:tcPr>
            <w:tcW w:w="1421" w:type="dxa"/>
            <w:shd w:val="clear" w:color="auto" w:fill="CCE2ED"/>
          </w:tcPr>
          <w:p w14:paraId="5F9D21A0" w14:textId="77777777" w:rsidR="00141B97" w:rsidRDefault="00911D63">
            <w:pPr>
              <w:pStyle w:val="TableParagraph"/>
              <w:spacing w:line="224" w:lineRule="exact"/>
              <w:ind w:left="335" w:right="333"/>
              <w:jc w:val="center"/>
              <w:rPr>
                <w:sz w:val="20"/>
              </w:rPr>
            </w:pPr>
            <w:r>
              <w:rPr>
                <w:spacing w:val="-4"/>
                <w:sz w:val="20"/>
              </w:rPr>
              <w:t>32.2</w:t>
            </w:r>
          </w:p>
        </w:tc>
        <w:tc>
          <w:tcPr>
            <w:tcW w:w="833" w:type="dxa"/>
            <w:shd w:val="clear" w:color="auto" w:fill="CCE2ED"/>
          </w:tcPr>
          <w:p w14:paraId="2A1FF289" w14:textId="77777777" w:rsidR="00141B97" w:rsidRDefault="00911D63">
            <w:pPr>
              <w:pStyle w:val="TableParagraph"/>
              <w:spacing w:line="224" w:lineRule="exact"/>
              <w:ind w:left="174" w:right="174"/>
              <w:jc w:val="center"/>
              <w:rPr>
                <w:sz w:val="20"/>
              </w:rPr>
            </w:pPr>
            <w:r>
              <w:rPr>
                <w:spacing w:val="-2"/>
                <w:sz w:val="20"/>
              </w:rPr>
              <w:t>0.204</w:t>
            </w:r>
          </w:p>
        </w:tc>
        <w:tc>
          <w:tcPr>
            <w:tcW w:w="832" w:type="dxa"/>
            <w:shd w:val="clear" w:color="auto" w:fill="CCE2ED"/>
          </w:tcPr>
          <w:p w14:paraId="26A82B77" w14:textId="77777777" w:rsidR="00141B97" w:rsidRDefault="00911D63">
            <w:pPr>
              <w:pStyle w:val="TableParagraph"/>
              <w:spacing w:line="224" w:lineRule="exact"/>
              <w:ind w:left="173" w:right="173"/>
              <w:jc w:val="center"/>
              <w:rPr>
                <w:sz w:val="20"/>
              </w:rPr>
            </w:pPr>
            <w:r>
              <w:rPr>
                <w:spacing w:val="-2"/>
                <w:sz w:val="20"/>
              </w:rPr>
              <w:t>126.4</w:t>
            </w:r>
          </w:p>
        </w:tc>
        <w:tc>
          <w:tcPr>
            <w:tcW w:w="1262" w:type="dxa"/>
            <w:tcBorders>
              <w:right w:val="nil"/>
            </w:tcBorders>
            <w:shd w:val="clear" w:color="auto" w:fill="CCE2ED"/>
          </w:tcPr>
          <w:p w14:paraId="1C9848D4" w14:textId="77777777" w:rsidR="00141B97" w:rsidRDefault="00911D63">
            <w:pPr>
              <w:pStyle w:val="TableParagraph"/>
              <w:spacing w:line="224" w:lineRule="exact"/>
              <w:ind w:left="291" w:right="283"/>
              <w:jc w:val="center"/>
              <w:rPr>
                <w:sz w:val="20"/>
              </w:rPr>
            </w:pPr>
            <w:r>
              <w:rPr>
                <w:spacing w:val="-4"/>
                <w:sz w:val="20"/>
              </w:rPr>
              <w:t>0.09</w:t>
            </w:r>
          </w:p>
        </w:tc>
      </w:tr>
      <w:tr w:rsidR="00141B97" w14:paraId="00EF3627" w14:textId="77777777">
        <w:trPr>
          <w:trHeight w:val="243"/>
          <w:tblCellSpacing w:w="9" w:type="dxa"/>
        </w:trPr>
        <w:tc>
          <w:tcPr>
            <w:tcW w:w="1268" w:type="dxa"/>
            <w:tcBorders>
              <w:left w:val="nil"/>
            </w:tcBorders>
            <w:shd w:val="clear" w:color="auto" w:fill="CCE2ED"/>
          </w:tcPr>
          <w:p w14:paraId="2D3A2EA9" w14:textId="77777777" w:rsidR="00141B97" w:rsidRDefault="00911D63">
            <w:pPr>
              <w:pStyle w:val="TableParagraph"/>
              <w:spacing w:line="224" w:lineRule="exact"/>
              <w:ind w:left="88"/>
              <w:rPr>
                <w:sz w:val="20"/>
              </w:rPr>
            </w:pPr>
            <w:r>
              <w:rPr>
                <w:spacing w:val="-2"/>
                <w:sz w:val="20"/>
              </w:rPr>
              <w:t>FY21/22</w:t>
            </w:r>
          </w:p>
        </w:tc>
        <w:tc>
          <w:tcPr>
            <w:tcW w:w="954" w:type="dxa"/>
            <w:shd w:val="clear" w:color="auto" w:fill="CCE2ED"/>
          </w:tcPr>
          <w:p w14:paraId="2C1CE3C2" w14:textId="77777777" w:rsidR="00141B97" w:rsidRDefault="00911D63">
            <w:pPr>
              <w:pStyle w:val="TableParagraph"/>
              <w:spacing w:line="224" w:lineRule="exact"/>
              <w:ind w:left="115" w:right="115"/>
              <w:jc w:val="center"/>
              <w:rPr>
                <w:sz w:val="20"/>
              </w:rPr>
            </w:pPr>
            <w:r>
              <w:rPr>
                <w:spacing w:val="-4"/>
                <w:sz w:val="20"/>
              </w:rPr>
              <w:t>18.9</w:t>
            </w:r>
          </w:p>
        </w:tc>
        <w:tc>
          <w:tcPr>
            <w:tcW w:w="702" w:type="dxa"/>
            <w:shd w:val="clear" w:color="auto" w:fill="CCE2ED"/>
          </w:tcPr>
          <w:p w14:paraId="6B5A6590" w14:textId="77777777" w:rsidR="00141B97" w:rsidRDefault="00911D63">
            <w:pPr>
              <w:pStyle w:val="TableParagraph"/>
              <w:spacing w:line="224" w:lineRule="exact"/>
              <w:ind w:right="161"/>
              <w:jc w:val="right"/>
              <w:rPr>
                <w:sz w:val="20"/>
              </w:rPr>
            </w:pPr>
            <w:r>
              <w:rPr>
                <w:spacing w:val="-4"/>
                <w:sz w:val="20"/>
              </w:rPr>
              <w:t>7.68</w:t>
            </w:r>
          </w:p>
        </w:tc>
        <w:tc>
          <w:tcPr>
            <w:tcW w:w="1070" w:type="dxa"/>
            <w:shd w:val="clear" w:color="auto" w:fill="CCE2ED"/>
          </w:tcPr>
          <w:p w14:paraId="05F72839" w14:textId="77777777" w:rsidR="00141B97" w:rsidRDefault="00911D63">
            <w:pPr>
              <w:pStyle w:val="TableParagraph"/>
              <w:spacing w:line="224" w:lineRule="exact"/>
              <w:ind w:left="255" w:right="253"/>
              <w:jc w:val="center"/>
              <w:rPr>
                <w:sz w:val="20"/>
              </w:rPr>
            </w:pPr>
            <w:r>
              <w:rPr>
                <w:spacing w:val="-4"/>
                <w:sz w:val="20"/>
              </w:rPr>
              <w:t>52.2</w:t>
            </w:r>
          </w:p>
        </w:tc>
        <w:tc>
          <w:tcPr>
            <w:tcW w:w="1374" w:type="dxa"/>
            <w:shd w:val="clear" w:color="auto" w:fill="CCE2ED"/>
          </w:tcPr>
          <w:p w14:paraId="75CEBD30" w14:textId="77777777" w:rsidR="00141B97" w:rsidRDefault="00911D63">
            <w:pPr>
              <w:pStyle w:val="TableParagraph"/>
              <w:spacing w:line="224" w:lineRule="exact"/>
              <w:ind w:left="316" w:right="315"/>
              <w:jc w:val="center"/>
              <w:rPr>
                <w:sz w:val="20"/>
              </w:rPr>
            </w:pPr>
            <w:r>
              <w:rPr>
                <w:spacing w:val="-4"/>
                <w:sz w:val="20"/>
              </w:rPr>
              <w:t>31.6</w:t>
            </w:r>
          </w:p>
        </w:tc>
        <w:tc>
          <w:tcPr>
            <w:tcW w:w="1421" w:type="dxa"/>
            <w:shd w:val="clear" w:color="auto" w:fill="CCE2ED"/>
          </w:tcPr>
          <w:p w14:paraId="173CDA45" w14:textId="77777777" w:rsidR="00141B97" w:rsidRDefault="00911D63">
            <w:pPr>
              <w:pStyle w:val="TableParagraph"/>
              <w:spacing w:line="224" w:lineRule="exact"/>
              <w:ind w:left="335" w:right="333"/>
              <w:jc w:val="center"/>
              <w:rPr>
                <w:sz w:val="20"/>
              </w:rPr>
            </w:pPr>
            <w:r>
              <w:rPr>
                <w:spacing w:val="-4"/>
                <w:sz w:val="20"/>
              </w:rPr>
              <w:t>42.1</w:t>
            </w:r>
          </w:p>
        </w:tc>
        <w:tc>
          <w:tcPr>
            <w:tcW w:w="833" w:type="dxa"/>
            <w:shd w:val="clear" w:color="auto" w:fill="CCE2ED"/>
          </w:tcPr>
          <w:p w14:paraId="148E380D" w14:textId="77777777" w:rsidR="00141B97" w:rsidRDefault="00911D63">
            <w:pPr>
              <w:pStyle w:val="TableParagraph"/>
              <w:spacing w:line="224" w:lineRule="exact"/>
              <w:ind w:left="174" w:right="174"/>
              <w:jc w:val="center"/>
              <w:rPr>
                <w:sz w:val="20"/>
              </w:rPr>
            </w:pPr>
            <w:r>
              <w:rPr>
                <w:spacing w:val="-2"/>
                <w:sz w:val="20"/>
              </w:rPr>
              <w:t>0.275</w:t>
            </w:r>
          </w:p>
        </w:tc>
        <w:tc>
          <w:tcPr>
            <w:tcW w:w="832" w:type="dxa"/>
            <w:shd w:val="clear" w:color="auto" w:fill="CCE2ED"/>
          </w:tcPr>
          <w:p w14:paraId="2F08F9EE" w14:textId="77777777" w:rsidR="00141B97" w:rsidRDefault="00911D63">
            <w:pPr>
              <w:pStyle w:val="TableParagraph"/>
              <w:spacing w:line="224" w:lineRule="exact"/>
              <w:ind w:left="173" w:right="173"/>
              <w:jc w:val="center"/>
              <w:rPr>
                <w:sz w:val="20"/>
              </w:rPr>
            </w:pPr>
            <w:r>
              <w:rPr>
                <w:spacing w:val="-2"/>
                <w:sz w:val="20"/>
              </w:rPr>
              <w:t>147.3</w:t>
            </w:r>
          </w:p>
        </w:tc>
        <w:tc>
          <w:tcPr>
            <w:tcW w:w="1262" w:type="dxa"/>
            <w:tcBorders>
              <w:right w:val="nil"/>
            </w:tcBorders>
            <w:shd w:val="clear" w:color="auto" w:fill="CCE2ED"/>
          </w:tcPr>
          <w:p w14:paraId="0668E393" w14:textId="77777777" w:rsidR="00141B97" w:rsidRDefault="00911D63">
            <w:pPr>
              <w:pStyle w:val="TableParagraph"/>
              <w:spacing w:line="224" w:lineRule="exact"/>
              <w:ind w:left="291" w:right="283"/>
              <w:jc w:val="center"/>
              <w:rPr>
                <w:sz w:val="20"/>
              </w:rPr>
            </w:pPr>
            <w:r>
              <w:rPr>
                <w:spacing w:val="-4"/>
                <w:sz w:val="20"/>
              </w:rPr>
              <w:t>0.11</w:t>
            </w:r>
          </w:p>
        </w:tc>
      </w:tr>
      <w:tr w:rsidR="00141B97" w14:paraId="218C2AA2" w14:textId="77777777">
        <w:trPr>
          <w:trHeight w:val="244"/>
          <w:tblCellSpacing w:w="9" w:type="dxa"/>
        </w:trPr>
        <w:tc>
          <w:tcPr>
            <w:tcW w:w="1268" w:type="dxa"/>
            <w:tcBorders>
              <w:left w:val="nil"/>
              <w:bottom w:val="nil"/>
            </w:tcBorders>
            <w:shd w:val="clear" w:color="auto" w:fill="BFBFBF"/>
          </w:tcPr>
          <w:p w14:paraId="73FD2F09" w14:textId="77777777" w:rsidR="00141B97" w:rsidRDefault="00911D63">
            <w:pPr>
              <w:pStyle w:val="TableParagraph"/>
              <w:spacing w:line="224" w:lineRule="exact"/>
              <w:ind w:left="88"/>
              <w:rPr>
                <w:i/>
                <w:sz w:val="20"/>
              </w:rPr>
            </w:pPr>
            <w:r>
              <w:rPr>
                <w:i/>
                <w:spacing w:val="-5"/>
                <w:sz w:val="20"/>
              </w:rPr>
              <w:t>Avg</w:t>
            </w:r>
          </w:p>
        </w:tc>
        <w:tc>
          <w:tcPr>
            <w:tcW w:w="954" w:type="dxa"/>
            <w:tcBorders>
              <w:bottom w:val="nil"/>
            </w:tcBorders>
            <w:shd w:val="clear" w:color="auto" w:fill="BFBFBF"/>
          </w:tcPr>
          <w:p w14:paraId="5302674D" w14:textId="77777777" w:rsidR="00141B97" w:rsidRDefault="00911D63">
            <w:pPr>
              <w:pStyle w:val="TableParagraph"/>
              <w:spacing w:line="224" w:lineRule="exact"/>
              <w:ind w:left="115" w:right="115"/>
              <w:jc w:val="center"/>
              <w:rPr>
                <w:i/>
                <w:sz w:val="20"/>
              </w:rPr>
            </w:pPr>
            <w:r>
              <w:rPr>
                <w:i/>
                <w:spacing w:val="-4"/>
                <w:sz w:val="20"/>
              </w:rPr>
              <w:t>18.8</w:t>
            </w:r>
          </w:p>
        </w:tc>
        <w:tc>
          <w:tcPr>
            <w:tcW w:w="702" w:type="dxa"/>
            <w:tcBorders>
              <w:bottom w:val="nil"/>
            </w:tcBorders>
            <w:shd w:val="clear" w:color="auto" w:fill="BFBFBF"/>
          </w:tcPr>
          <w:p w14:paraId="1E41E418" w14:textId="77777777" w:rsidR="00141B97" w:rsidRDefault="00911D63">
            <w:pPr>
              <w:pStyle w:val="TableParagraph"/>
              <w:spacing w:line="224" w:lineRule="exact"/>
              <w:ind w:right="161"/>
              <w:jc w:val="right"/>
              <w:rPr>
                <w:i/>
                <w:sz w:val="20"/>
              </w:rPr>
            </w:pPr>
            <w:r>
              <w:rPr>
                <w:i/>
                <w:spacing w:val="-4"/>
                <w:sz w:val="20"/>
              </w:rPr>
              <w:t>7.62</w:t>
            </w:r>
          </w:p>
        </w:tc>
        <w:tc>
          <w:tcPr>
            <w:tcW w:w="1070" w:type="dxa"/>
            <w:tcBorders>
              <w:bottom w:val="nil"/>
            </w:tcBorders>
            <w:shd w:val="clear" w:color="auto" w:fill="BFBFBF"/>
          </w:tcPr>
          <w:p w14:paraId="60D82E81" w14:textId="77777777" w:rsidR="00141B97" w:rsidRDefault="00911D63">
            <w:pPr>
              <w:pStyle w:val="TableParagraph"/>
              <w:spacing w:line="224" w:lineRule="exact"/>
              <w:ind w:left="255" w:right="253"/>
              <w:jc w:val="center"/>
              <w:rPr>
                <w:i/>
                <w:sz w:val="20"/>
              </w:rPr>
            </w:pPr>
            <w:r>
              <w:rPr>
                <w:i/>
                <w:spacing w:val="-4"/>
                <w:sz w:val="20"/>
              </w:rPr>
              <w:t>38.9</w:t>
            </w:r>
          </w:p>
        </w:tc>
        <w:tc>
          <w:tcPr>
            <w:tcW w:w="1374" w:type="dxa"/>
            <w:tcBorders>
              <w:bottom w:val="nil"/>
            </w:tcBorders>
            <w:shd w:val="clear" w:color="auto" w:fill="BFBFBF"/>
          </w:tcPr>
          <w:p w14:paraId="607CF722" w14:textId="77777777" w:rsidR="00141B97" w:rsidRDefault="00911D63">
            <w:pPr>
              <w:pStyle w:val="TableParagraph"/>
              <w:spacing w:line="224" w:lineRule="exact"/>
              <w:ind w:left="316" w:right="315"/>
              <w:jc w:val="center"/>
              <w:rPr>
                <w:i/>
                <w:sz w:val="20"/>
              </w:rPr>
            </w:pPr>
            <w:r>
              <w:rPr>
                <w:i/>
                <w:spacing w:val="-4"/>
                <w:sz w:val="20"/>
              </w:rPr>
              <w:t>26.0</w:t>
            </w:r>
          </w:p>
        </w:tc>
        <w:tc>
          <w:tcPr>
            <w:tcW w:w="1421" w:type="dxa"/>
            <w:tcBorders>
              <w:bottom w:val="nil"/>
            </w:tcBorders>
            <w:shd w:val="clear" w:color="auto" w:fill="BFBFBF"/>
          </w:tcPr>
          <w:p w14:paraId="3521BF40" w14:textId="77777777" w:rsidR="00141B97" w:rsidRDefault="00911D63">
            <w:pPr>
              <w:pStyle w:val="TableParagraph"/>
              <w:spacing w:line="224" w:lineRule="exact"/>
              <w:ind w:left="335" w:right="333"/>
              <w:jc w:val="center"/>
              <w:rPr>
                <w:i/>
                <w:sz w:val="20"/>
              </w:rPr>
            </w:pPr>
            <w:r>
              <w:rPr>
                <w:i/>
                <w:spacing w:val="-4"/>
                <w:sz w:val="20"/>
              </w:rPr>
              <w:t>32.6</w:t>
            </w:r>
          </w:p>
        </w:tc>
        <w:tc>
          <w:tcPr>
            <w:tcW w:w="833" w:type="dxa"/>
            <w:tcBorders>
              <w:bottom w:val="nil"/>
            </w:tcBorders>
            <w:shd w:val="clear" w:color="auto" w:fill="BFBFBF"/>
          </w:tcPr>
          <w:p w14:paraId="6AB2C34E" w14:textId="77777777" w:rsidR="00141B97" w:rsidRDefault="00911D63">
            <w:pPr>
              <w:pStyle w:val="TableParagraph"/>
              <w:spacing w:line="224" w:lineRule="exact"/>
              <w:ind w:left="174" w:right="174"/>
              <w:jc w:val="center"/>
              <w:rPr>
                <w:i/>
                <w:sz w:val="20"/>
              </w:rPr>
            </w:pPr>
            <w:r>
              <w:rPr>
                <w:i/>
                <w:spacing w:val="-2"/>
                <w:sz w:val="20"/>
              </w:rPr>
              <w:t>0.190</w:t>
            </w:r>
          </w:p>
        </w:tc>
        <w:tc>
          <w:tcPr>
            <w:tcW w:w="832" w:type="dxa"/>
            <w:tcBorders>
              <w:bottom w:val="nil"/>
            </w:tcBorders>
            <w:shd w:val="clear" w:color="auto" w:fill="BFBFBF"/>
          </w:tcPr>
          <w:p w14:paraId="66FB64FF" w14:textId="77777777" w:rsidR="00141B97" w:rsidRDefault="00911D63">
            <w:pPr>
              <w:pStyle w:val="TableParagraph"/>
              <w:spacing w:line="224" w:lineRule="exact"/>
              <w:ind w:left="173" w:right="173"/>
              <w:jc w:val="center"/>
              <w:rPr>
                <w:i/>
                <w:sz w:val="20"/>
              </w:rPr>
            </w:pPr>
            <w:r>
              <w:rPr>
                <w:i/>
                <w:spacing w:val="-2"/>
                <w:sz w:val="20"/>
              </w:rPr>
              <w:t>127.9</w:t>
            </w:r>
          </w:p>
        </w:tc>
        <w:tc>
          <w:tcPr>
            <w:tcW w:w="1262" w:type="dxa"/>
            <w:tcBorders>
              <w:bottom w:val="nil"/>
              <w:right w:val="nil"/>
            </w:tcBorders>
            <w:shd w:val="clear" w:color="auto" w:fill="BFBFBF"/>
          </w:tcPr>
          <w:p w14:paraId="555E666C" w14:textId="77777777" w:rsidR="00141B97" w:rsidRDefault="00911D63">
            <w:pPr>
              <w:pStyle w:val="TableParagraph"/>
              <w:spacing w:line="224" w:lineRule="exact"/>
              <w:ind w:left="291" w:right="283"/>
              <w:jc w:val="center"/>
              <w:rPr>
                <w:i/>
                <w:sz w:val="20"/>
              </w:rPr>
            </w:pPr>
            <w:r>
              <w:rPr>
                <w:i/>
                <w:spacing w:val="-4"/>
                <w:sz w:val="20"/>
              </w:rPr>
              <w:t>0.08</w:t>
            </w:r>
          </w:p>
        </w:tc>
      </w:tr>
    </w:tbl>
    <w:p w14:paraId="194C43D3" w14:textId="77777777" w:rsidR="00141B97" w:rsidRDefault="00911D63">
      <w:pPr>
        <w:spacing w:before="23"/>
        <w:ind w:left="114"/>
        <w:jc w:val="both"/>
        <w:rPr>
          <w:sz w:val="16"/>
        </w:rPr>
      </w:pPr>
      <w:r>
        <w:rPr>
          <w:sz w:val="16"/>
        </w:rPr>
        <w:t>Table</w:t>
      </w:r>
      <w:r>
        <w:rPr>
          <w:spacing w:val="-4"/>
          <w:sz w:val="16"/>
        </w:rPr>
        <w:t xml:space="preserve"> </w:t>
      </w:r>
      <w:r>
        <w:rPr>
          <w:sz w:val="16"/>
        </w:rPr>
        <w:t>B25:</w:t>
      </w:r>
      <w:r>
        <w:rPr>
          <w:spacing w:val="-3"/>
          <w:sz w:val="16"/>
        </w:rPr>
        <w:t xml:space="preserve"> </w:t>
      </w:r>
      <w:r>
        <w:rPr>
          <w:sz w:val="16"/>
        </w:rPr>
        <w:t>Mildura</w:t>
      </w:r>
      <w:r>
        <w:rPr>
          <w:spacing w:val="-3"/>
          <w:sz w:val="16"/>
        </w:rPr>
        <w:t xml:space="preserve"> </w:t>
      </w:r>
      <w:r>
        <w:rPr>
          <w:sz w:val="16"/>
        </w:rPr>
        <w:t>WTP’s</w:t>
      </w:r>
      <w:r>
        <w:rPr>
          <w:spacing w:val="-4"/>
          <w:sz w:val="16"/>
        </w:rPr>
        <w:t xml:space="preserve"> </w:t>
      </w:r>
      <w:r>
        <w:rPr>
          <w:sz w:val="16"/>
        </w:rPr>
        <w:t>Raw</w:t>
      </w:r>
      <w:r>
        <w:rPr>
          <w:spacing w:val="-4"/>
          <w:sz w:val="16"/>
        </w:rPr>
        <w:t xml:space="preserve"> </w:t>
      </w:r>
      <w:r>
        <w:rPr>
          <w:sz w:val="16"/>
        </w:rPr>
        <w:t>Water</w:t>
      </w:r>
      <w:r>
        <w:rPr>
          <w:spacing w:val="-5"/>
          <w:sz w:val="16"/>
        </w:rPr>
        <w:t xml:space="preserve"> </w:t>
      </w:r>
      <w:r>
        <w:rPr>
          <w:sz w:val="16"/>
        </w:rPr>
        <w:t>Average</w:t>
      </w:r>
      <w:r>
        <w:rPr>
          <w:spacing w:val="-5"/>
          <w:sz w:val="16"/>
        </w:rPr>
        <w:t xml:space="preserve"> </w:t>
      </w:r>
      <w:r>
        <w:rPr>
          <w:sz w:val="16"/>
        </w:rPr>
        <w:t>Data</w:t>
      </w:r>
      <w:r>
        <w:rPr>
          <w:spacing w:val="-4"/>
          <w:sz w:val="16"/>
        </w:rPr>
        <w:t xml:space="preserve"> </w:t>
      </w:r>
      <w:r>
        <w:rPr>
          <w:sz w:val="16"/>
        </w:rPr>
        <w:t>Per</w:t>
      </w:r>
      <w:r>
        <w:rPr>
          <w:spacing w:val="-5"/>
          <w:sz w:val="16"/>
        </w:rPr>
        <w:t xml:space="preserve"> </w:t>
      </w:r>
      <w:r>
        <w:rPr>
          <w:sz w:val="16"/>
        </w:rPr>
        <w:t>Financial</w:t>
      </w:r>
      <w:r>
        <w:rPr>
          <w:spacing w:val="-5"/>
          <w:sz w:val="16"/>
        </w:rPr>
        <w:t xml:space="preserve"> </w:t>
      </w:r>
      <w:r>
        <w:rPr>
          <w:sz w:val="16"/>
        </w:rPr>
        <w:t>Year</w:t>
      </w:r>
      <w:r>
        <w:rPr>
          <w:spacing w:val="-4"/>
          <w:sz w:val="16"/>
        </w:rPr>
        <w:t xml:space="preserve"> </w:t>
      </w:r>
      <w:r>
        <w:rPr>
          <w:sz w:val="16"/>
        </w:rPr>
        <w:t>for</w:t>
      </w:r>
      <w:r>
        <w:rPr>
          <w:spacing w:val="-5"/>
          <w:sz w:val="16"/>
        </w:rPr>
        <w:t xml:space="preserve"> </w:t>
      </w:r>
      <w:r>
        <w:rPr>
          <w:sz w:val="16"/>
        </w:rPr>
        <w:t>the</w:t>
      </w:r>
      <w:r>
        <w:rPr>
          <w:spacing w:val="-4"/>
          <w:sz w:val="16"/>
        </w:rPr>
        <w:t xml:space="preserve"> </w:t>
      </w:r>
      <w:r>
        <w:rPr>
          <w:sz w:val="16"/>
        </w:rPr>
        <w:t>Previous</w:t>
      </w:r>
      <w:r>
        <w:rPr>
          <w:spacing w:val="-5"/>
          <w:sz w:val="16"/>
        </w:rPr>
        <w:t xml:space="preserve"> </w:t>
      </w:r>
      <w:r>
        <w:rPr>
          <w:sz w:val="16"/>
        </w:rPr>
        <w:t>5</w:t>
      </w:r>
      <w:r>
        <w:rPr>
          <w:spacing w:val="-5"/>
          <w:sz w:val="16"/>
        </w:rPr>
        <w:t xml:space="preserve"> </w:t>
      </w:r>
      <w:r>
        <w:rPr>
          <w:spacing w:val="-2"/>
          <w:sz w:val="16"/>
        </w:rPr>
        <w:t>years</w:t>
      </w:r>
    </w:p>
    <w:p w14:paraId="1DD2A742" w14:textId="77777777" w:rsidR="00141B97" w:rsidRDefault="00141B97">
      <w:pPr>
        <w:pStyle w:val="BodyText"/>
        <w:spacing w:before="1"/>
      </w:pPr>
    </w:p>
    <w:p w14:paraId="35674BE5" w14:textId="77777777" w:rsidR="00141B97" w:rsidRDefault="00911D63">
      <w:pPr>
        <w:pStyle w:val="BodyText"/>
        <w:ind w:left="114" w:right="948" w:hanging="1"/>
        <w:jc w:val="both"/>
      </w:pPr>
      <w:r>
        <w:t>Above average results in pH, colour, and UV over the previous two years have resulted in extra treatment and an increase in chemical usage and correlating costs has occurred. The figures presented alone for Mildura can be</w:t>
      </w:r>
      <w:r>
        <w:rPr>
          <w:spacing w:val="-4"/>
        </w:rPr>
        <w:t xml:space="preserve"> </w:t>
      </w:r>
      <w:r>
        <w:t>used</w:t>
      </w:r>
      <w:r>
        <w:rPr>
          <w:spacing w:val="-3"/>
        </w:rPr>
        <w:t xml:space="preserve"> </w:t>
      </w:r>
      <w:r>
        <w:t>as</w:t>
      </w:r>
      <w:r>
        <w:rPr>
          <w:spacing w:val="-3"/>
        </w:rPr>
        <w:t xml:space="preserve"> </w:t>
      </w:r>
      <w:r>
        <w:t>a</w:t>
      </w:r>
      <w:r>
        <w:rPr>
          <w:spacing w:val="-3"/>
        </w:rPr>
        <w:t xml:space="preserve"> </w:t>
      </w:r>
      <w:r>
        <w:t>general</w:t>
      </w:r>
      <w:r>
        <w:rPr>
          <w:spacing w:val="-4"/>
        </w:rPr>
        <w:t xml:space="preserve"> </w:t>
      </w:r>
      <w:r>
        <w:t>guide</w:t>
      </w:r>
      <w:r>
        <w:rPr>
          <w:spacing w:val="-4"/>
        </w:rPr>
        <w:t xml:space="preserve"> </w:t>
      </w:r>
      <w:r>
        <w:t>to</w:t>
      </w:r>
      <w:r>
        <w:rPr>
          <w:spacing w:val="-4"/>
        </w:rPr>
        <w:t xml:space="preserve"> </w:t>
      </w:r>
      <w:r>
        <w:t>the</w:t>
      </w:r>
      <w:r>
        <w:rPr>
          <w:spacing w:val="-4"/>
        </w:rPr>
        <w:t xml:space="preserve"> </w:t>
      </w:r>
      <w:r>
        <w:t>raw</w:t>
      </w:r>
      <w:r>
        <w:rPr>
          <w:spacing w:val="-3"/>
        </w:rPr>
        <w:t xml:space="preserve"> </w:t>
      </w:r>
      <w:r>
        <w:t>water</w:t>
      </w:r>
      <w:r>
        <w:rPr>
          <w:spacing w:val="-3"/>
        </w:rPr>
        <w:t xml:space="preserve"> </w:t>
      </w:r>
      <w:r>
        <w:t>quality</w:t>
      </w:r>
      <w:r>
        <w:rPr>
          <w:spacing w:val="-4"/>
        </w:rPr>
        <w:t xml:space="preserve"> </w:t>
      </w:r>
      <w:r>
        <w:t>across</w:t>
      </w:r>
      <w:r>
        <w:rPr>
          <w:spacing w:val="-4"/>
        </w:rPr>
        <w:t xml:space="preserve"> </w:t>
      </w:r>
      <w:r>
        <w:t>LMW’s</w:t>
      </w:r>
      <w:r>
        <w:rPr>
          <w:spacing w:val="-3"/>
        </w:rPr>
        <w:t xml:space="preserve"> </w:t>
      </w:r>
      <w:r>
        <w:t>network</w:t>
      </w:r>
      <w:r>
        <w:rPr>
          <w:spacing w:val="-3"/>
        </w:rPr>
        <w:t xml:space="preserve"> </w:t>
      </w:r>
      <w:r>
        <w:t>of</w:t>
      </w:r>
      <w:r>
        <w:rPr>
          <w:spacing w:val="-4"/>
        </w:rPr>
        <w:t xml:space="preserve"> </w:t>
      </w:r>
      <w:r>
        <w:t>water</w:t>
      </w:r>
      <w:r>
        <w:rPr>
          <w:spacing w:val="-3"/>
        </w:rPr>
        <w:t xml:space="preserve"> </w:t>
      </w:r>
      <w:r>
        <w:t>treatment</w:t>
      </w:r>
      <w:r>
        <w:rPr>
          <w:spacing w:val="-4"/>
        </w:rPr>
        <w:t xml:space="preserve"> </w:t>
      </w:r>
      <w:r>
        <w:t>plant</w:t>
      </w:r>
      <w:r>
        <w:rPr>
          <w:spacing w:val="-4"/>
        </w:rPr>
        <w:t xml:space="preserve"> </w:t>
      </w:r>
      <w:r>
        <w:t>sites</w:t>
      </w:r>
      <w:r>
        <w:rPr>
          <w:spacing w:val="-2"/>
        </w:rPr>
        <w:t xml:space="preserve"> </w:t>
      </w:r>
      <w:r>
        <w:t>along the Murray River.</w:t>
      </w:r>
    </w:p>
    <w:p w14:paraId="56D75D84" w14:textId="77777777" w:rsidR="00141B97" w:rsidRDefault="00141B97">
      <w:pPr>
        <w:pStyle w:val="BodyText"/>
      </w:pPr>
    </w:p>
    <w:p w14:paraId="1F2B7C2E" w14:textId="77777777" w:rsidR="00141B97" w:rsidRDefault="00911D63">
      <w:pPr>
        <w:pStyle w:val="BodyText"/>
        <w:ind w:left="113" w:right="948"/>
        <w:jc w:val="both"/>
      </w:pPr>
      <w:r>
        <w:t>LMW has sought to minimise chemical use through daily monitoring of laboratory test results. Operators work daily</w:t>
      </w:r>
      <w:r>
        <w:rPr>
          <w:spacing w:val="-10"/>
        </w:rPr>
        <w:t xml:space="preserve"> </w:t>
      </w:r>
      <w:r>
        <w:t>in</w:t>
      </w:r>
      <w:r>
        <w:rPr>
          <w:spacing w:val="-12"/>
        </w:rPr>
        <w:t xml:space="preserve"> </w:t>
      </w:r>
      <w:r>
        <w:t>adjusting</w:t>
      </w:r>
      <w:r>
        <w:rPr>
          <w:spacing w:val="-13"/>
        </w:rPr>
        <w:t xml:space="preserve"> </w:t>
      </w:r>
      <w:r>
        <w:t>chemical</w:t>
      </w:r>
      <w:r>
        <w:rPr>
          <w:spacing w:val="-11"/>
        </w:rPr>
        <w:t xml:space="preserve"> </w:t>
      </w:r>
      <w:r>
        <w:t>setpoints</w:t>
      </w:r>
      <w:r>
        <w:rPr>
          <w:spacing w:val="-12"/>
        </w:rPr>
        <w:t xml:space="preserve"> </w:t>
      </w:r>
      <w:r>
        <w:t>after</w:t>
      </w:r>
      <w:r>
        <w:rPr>
          <w:spacing w:val="-12"/>
        </w:rPr>
        <w:t xml:space="preserve"> </w:t>
      </w:r>
      <w:r>
        <w:t>reviewing</w:t>
      </w:r>
      <w:r>
        <w:rPr>
          <w:spacing w:val="-12"/>
        </w:rPr>
        <w:t xml:space="preserve"> </w:t>
      </w:r>
      <w:r>
        <w:t>daily</w:t>
      </w:r>
      <w:r>
        <w:rPr>
          <w:spacing w:val="-12"/>
        </w:rPr>
        <w:t xml:space="preserve"> </w:t>
      </w:r>
      <w:r>
        <w:t>test</w:t>
      </w:r>
      <w:r>
        <w:rPr>
          <w:spacing w:val="-12"/>
        </w:rPr>
        <w:t xml:space="preserve"> </w:t>
      </w:r>
      <w:r>
        <w:t>results</w:t>
      </w:r>
      <w:r>
        <w:rPr>
          <w:spacing w:val="-12"/>
        </w:rPr>
        <w:t xml:space="preserve"> </w:t>
      </w:r>
      <w:r>
        <w:t>that</w:t>
      </w:r>
      <w:r>
        <w:rPr>
          <w:spacing w:val="-12"/>
        </w:rPr>
        <w:t xml:space="preserve"> </w:t>
      </w:r>
      <w:r>
        <w:t>have</w:t>
      </w:r>
      <w:r>
        <w:rPr>
          <w:spacing w:val="-12"/>
        </w:rPr>
        <w:t xml:space="preserve"> </w:t>
      </w:r>
      <w:r>
        <w:t>been</w:t>
      </w:r>
      <w:r>
        <w:rPr>
          <w:spacing w:val="-13"/>
        </w:rPr>
        <w:t xml:space="preserve"> </w:t>
      </w:r>
      <w:r>
        <w:t>undertaken</w:t>
      </w:r>
      <w:r>
        <w:rPr>
          <w:spacing w:val="-10"/>
        </w:rPr>
        <w:t xml:space="preserve"> </w:t>
      </w:r>
      <w:r>
        <w:t>onsite.</w:t>
      </w:r>
      <w:r>
        <w:rPr>
          <w:spacing w:val="-11"/>
        </w:rPr>
        <w:t xml:space="preserve"> </w:t>
      </w:r>
      <w:r>
        <w:t>Jar</w:t>
      </w:r>
      <w:r>
        <w:rPr>
          <w:spacing w:val="-12"/>
        </w:rPr>
        <w:t xml:space="preserve"> </w:t>
      </w:r>
      <w:r>
        <w:t xml:space="preserve">tests to determine optimum dosing needs are utilised and various other tools have been adopted to guide and provide direction to operators in determining optimal chemical dose rates. Daily monitoring is a constant balancing act to ensure chemical usage aligns with water needs and although these tests and tools aren’t precise, they provide insights and direction to modify treatment strategies to achieve the best water quality </w:t>
      </w:r>
      <w:r>
        <w:rPr>
          <w:spacing w:val="-2"/>
        </w:rPr>
        <w:t>outcomes.</w:t>
      </w:r>
    </w:p>
    <w:p w14:paraId="6247A16A" w14:textId="77777777" w:rsidR="00141B97" w:rsidRDefault="00141B97">
      <w:pPr>
        <w:pStyle w:val="BodyText"/>
        <w:spacing w:before="12"/>
        <w:rPr>
          <w:sz w:val="21"/>
        </w:rPr>
      </w:pPr>
    </w:p>
    <w:p w14:paraId="71083BE4" w14:textId="77777777" w:rsidR="00141B97" w:rsidRDefault="00911D63">
      <w:pPr>
        <w:pStyle w:val="BodyText"/>
        <w:ind w:left="113" w:right="949"/>
        <w:jc w:val="both"/>
      </w:pPr>
      <w:r>
        <w:t>In addition to daily monitoring, treatment teams across LMW have trailed and accepted ACH coagulant for its low dose rates and less pH correction chemicals needed. LMW has also invested in software that provides predicted dose rates and features a cost ‘tracker’ that monitors consumption and costs, reducing the need for expensive pH correction chemicals in most cases.</w:t>
      </w:r>
    </w:p>
    <w:p w14:paraId="63EE989B" w14:textId="77777777" w:rsidR="00141B97" w:rsidRDefault="00141B97">
      <w:pPr>
        <w:pStyle w:val="BodyText"/>
        <w:rPr>
          <w:sz w:val="20"/>
        </w:rPr>
      </w:pPr>
    </w:p>
    <w:p w14:paraId="53615909" w14:textId="77777777" w:rsidR="00141B97" w:rsidRDefault="00911D63">
      <w:pPr>
        <w:pStyle w:val="BodyText"/>
        <w:ind w:left="113" w:right="947"/>
        <w:jc w:val="both"/>
      </w:pPr>
      <w:r>
        <w:t>LMW</w:t>
      </w:r>
      <w:r>
        <w:rPr>
          <w:spacing w:val="-8"/>
        </w:rPr>
        <w:t xml:space="preserve"> </w:t>
      </w:r>
      <w:r>
        <w:t>is</w:t>
      </w:r>
      <w:r>
        <w:rPr>
          <w:spacing w:val="-6"/>
        </w:rPr>
        <w:t xml:space="preserve"> </w:t>
      </w:r>
      <w:r>
        <w:t>also</w:t>
      </w:r>
      <w:r>
        <w:rPr>
          <w:spacing w:val="-7"/>
        </w:rPr>
        <w:t xml:space="preserve"> </w:t>
      </w:r>
      <w:r>
        <w:t>trialing</w:t>
      </w:r>
      <w:r>
        <w:rPr>
          <w:spacing w:val="-7"/>
        </w:rPr>
        <w:t xml:space="preserve"> </w:t>
      </w:r>
      <w:r>
        <w:t>new</w:t>
      </w:r>
      <w:r>
        <w:rPr>
          <w:spacing w:val="-8"/>
        </w:rPr>
        <w:t xml:space="preserve"> </w:t>
      </w:r>
      <w:r>
        <w:t>filter</w:t>
      </w:r>
      <w:r>
        <w:rPr>
          <w:spacing w:val="-7"/>
        </w:rPr>
        <w:t xml:space="preserve"> </w:t>
      </w:r>
      <w:r>
        <w:t>media</w:t>
      </w:r>
      <w:r>
        <w:rPr>
          <w:spacing w:val="-7"/>
        </w:rPr>
        <w:t xml:space="preserve"> </w:t>
      </w:r>
      <w:r>
        <w:t>in</w:t>
      </w:r>
      <w:r>
        <w:rPr>
          <w:spacing w:val="-7"/>
        </w:rPr>
        <w:t xml:space="preserve"> </w:t>
      </w:r>
      <w:r>
        <w:t>filter</w:t>
      </w:r>
      <w:r>
        <w:rPr>
          <w:spacing w:val="-6"/>
        </w:rPr>
        <w:t xml:space="preserve"> </w:t>
      </w:r>
      <w:r>
        <w:t>#1</w:t>
      </w:r>
      <w:r>
        <w:rPr>
          <w:spacing w:val="-6"/>
        </w:rPr>
        <w:t xml:space="preserve"> </w:t>
      </w:r>
      <w:r>
        <w:t>at</w:t>
      </w:r>
      <w:r>
        <w:rPr>
          <w:spacing w:val="-6"/>
        </w:rPr>
        <w:t xml:space="preserve"> </w:t>
      </w:r>
      <w:r>
        <w:t>Robinvale</w:t>
      </w:r>
      <w:r>
        <w:rPr>
          <w:spacing w:val="-7"/>
        </w:rPr>
        <w:t xml:space="preserve"> </w:t>
      </w:r>
      <w:r>
        <w:t>WTP</w:t>
      </w:r>
      <w:r>
        <w:rPr>
          <w:spacing w:val="-8"/>
        </w:rPr>
        <w:t xml:space="preserve"> </w:t>
      </w:r>
      <w:r>
        <w:t>using</w:t>
      </w:r>
      <w:r>
        <w:rPr>
          <w:spacing w:val="-8"/>
        </w:rPr>
        <w:t xml:space="preserve"> </w:t>
      </w:r>
      <w:r>
        <w:t>Granular</w:t>
      </w:r>
      <w:r>
        <w:rPr>
          <w:spacing w:val="-6"/>
        </w:rPr>
        <w:t xml:space="preserve"> </w:t>
      </w:r>
      <w:r>
        <w:t>Activated</w:t>
      </w:r>
      <w:r>
        <w:rPr>
          <w:spacing w:val="-6"/>
        </w:rPr>
        <w:t xml:space="preserve"> </w:t>
      </w:r>
      <w:r>
        <w:t>Carbon</w:t>
      </w:r>
      <w:r>
        <w:rPr>
          <w:spacing w:val="-6"/>
        </w:rPr>
        <w:t xml:space="preserve"> </w:t>
      </w:r>
      <w:r>
        <w:t>(GAC).</w:t>
      </w:r>
      <w:r>
        <w:rPr>
          <w:spacing w:val="-7"/>
        </w:rPr>
        <w:t xml:space="preserve"> </w:t>
      </w:r>
      <w:r>
        <w:t>While this treatment won’t reduce costs at this site relating to the use of Powdered Activated Carbon (PAC), it will provide</w:t>
      </w:r>
      <w:r>
        <w:rPr>
          <w:spacing w:val="-11"/>
        </w:rPr>
        <w:t xml:space="preserve"> </w:t>
      </w:r>
      <w:r>
        <w:t>information</w:t>
      </w:r>
      <w:r>
        <w:rPr>
          <w:spacing w:val="-12"/>
        </w:rPr>
        <w:t xml:space="preserve"> </w:t>
      </w:r>
      <w:r>
        <w:t>to</w:t>
      </w:r>
      <w:r>
        <w:rPr>
          <w:spacing w:val="-11"/>
        </w:rPr>
        <w:t xml:space="preserve"> </w:t>
      </w:r>
      <w:r>
        <w:t>determine</w:t>
      </w:r>
      <w:r>
        <w:rPr>
          <w:spacing w:val="-11"/>
        </w:rPr>
        <w:t xml:space="preserve"> </w:t>
      </w:r>
      <w:r>
        <w:t>if</w:t>
      </w:r>
      <w:r>
        <w:rPr>
          <w:spacing w:val="-10"/>
        </w:rPr>
        <w:t xml:space="preserve"> </w:t>
      </w:r>
      <w:r>
        <w:t>other</w:t>
      </w:r>
      <w:r>
        <w:rPr>
          <w:spacing w:val="-10"/>
        </w:rPr>
        <w:t xml:space="preserve"> </w:t>
      </w:r>
      <w:r>
        <w:t>larger</w:t>
      </w:r>
      <w:r>
        <w:rPr>
          <w:spacing w:val="-12"/>
        </w:rPr>
        <w:t xml:space="preserve"> </w:t>
      </w:r>
      <w:r>
        <w:t>PAC</w:t>
      </w:r>
      <w:r>
        <w:rPr>
          <w:spacing w:val="-10"/>
        </w:rPr>
        <w:t xml:space="preserve"> </w:t>
      </w:r>
      <w:r>
        <w:t>usage</w:t>
      </w:r>
      <w:r>
        <w:rPr>
          <w:spacing w:val="-12"/>
        </w:rPr>
        <w:t xml:space="preserve"> </w:t>
      </w:r>
      <w:r>
        <w:t>sites</w:t>
      </w:r>
      <w:r>
        <w:rPr>
          <w:spacing w:val="-11"/>
        </w:rPr>
        <w:t xml:space="preserve"> </w:t>
      </w:r>
      <w:r>
        <w:t>may</w:t>
      </w:r>
      <w:r>
        <w:rPr>
          <w:spacing w:val="-11"/>
        </w:rPr>
        <w:t xml:space="preserve"> </w:t>
      </w:r>
      <w:r>
        <w:t>benefit</w:t>
      </w:r>
      <w:r>
        <w:rPr>
          <w:spacing w:val="-12"/>
        </w:rPr>
        <w:t xml:space="preserve"> </w:t>
      </w:r>
      <w:r>
        <w:t>from</w:t>
      </w:r>
      <w:r>
        <w:rPr>
          <w:spacing w:val="-11"/>
        </w:rPr>
        <w:t xml:space="preserve"> </w:t>
      </w:r>
      <w:r>
        <w:t>installing</w:t>
      </w:r>
      <w:r>
        <w:rPr>
          <w:spacing w:val="-11"/>
        </w:rPr>
        <w:t xml:space="preserve"> </w:t>
      </w:r>
      <w:r>
        <w:t>GAC</w:t>
      </w:r>
      <w:r>
        <w:rPr>
          <w:spacing w:val="-11"/>
        </w:rPr>
        <w:t xml:space="preserve"> </w:t>
      </w:r>
      <w:r>
        <w:t>in</w:t>
      </w:r>
      <w:r>
        <w:rPr>
          <w:spacing w:val="-12"/>
        </w:rPr>
        <w:t xml:space="preserve"> </w:t>
      </w:r>
      <w:r>
        <w:t>filters.</w:t>
      </w:r>
      <w:r>
        <w:rPr>
          <w:spacing w:val="-11"/>
        </w:rPr>
        <w:t xml:space="preserve"> </w:t>
      </w:r>
      <w:r>
        <w:t xml:space="preserve">Yearly PAC costs at the Mildura WTP and Mildura West WTPs are material, especially in managing Blue Green Algae </w:t>
      </w:r>
      <w:r>
        <w:rPr>
          <w:spacing w:val="-2"/>
        </w:rPr>
        <w:t>outbreaks.</w:t>
      </w:r>
    </w:p>
    <w:p w14:paraId="58A1893B" w14:textId="77777777" w:rsidR="00141B97" w:rsidRDefault="00141B97">
      <w:pPr>
        <w:pStyle w:val="BodyText"/>
      </w:pPr>
    </w:p>
    <w:p w14:paraId="481A89E7" w14:textId="77777777" w:rsidR="00141B97" w:rsidRDefault="00911D63">
      <w:pPr>
        <w:pStyle w:val="BodyText"/>
        <w:ind w:left="113" w:right="948"/>
        <w:jc w:val="both"/>
      </w:pPr>
      <w:r>
        <w:t>LMW has been working with Procurement Australia to secure a purchasing partnership to support and secure required chemical supplies, however the prices proved to be greater than the current rates LMW has in place</w:t>
      </w:r>
    </w:p>
    <w:p w14:paraId="3D294B38" w14:textId="77777777" w:rsidR="00141B97" w:rsidRDefault="00141B97">
      <w:pPr>
        <w:jc w:val="both"/>
        <w:sectPr w:rsidR="00141B97">
          <w:pgSz w:w="11910" w:h="16840"/>
          <w:pgMar w:top="820" w:right="40" w:bottom="760" w:left="1020" w:header="0" w:footer="580" w:gutter="0"/>
          <w:cols w:space="720"/>
        </w:sectPr>
      </w:pPr>
    </w:p>
    <w:p w14:paraId="74377730" w14:textId="77777777" w:rsidR="00141B97" w:rsidRDefault="00911D63">
      <w:pPr>
        <w:pStyle w:val="BodyText"/>
        <w:spacing w:before="31"/>
        <w:ind w:left="113" w:right="950"/>
        <w:jc w:val="both"/>
      </w:pPr>
      <w:r>
        <w:lastRenderedPageBreak/>
        <w:t>with current purchasing agreements. Based on this evaluation LMW has extended its contracts to lock in the current commercial prices.</w:t>
      </w:r>
    </w:p>
    <w:p w14:paraId="0EE45018" w14:textId="77777777" w:rsidR="00141B97" w:rsidRDefault="00141B97">
      <w:pPr>
        <w:pStyle w:val="BodyText"/>
        <w:spacing w:before="8"/>
        <w:rPr>
          <w:sz w:val="19"/>
        </w:rPr>
      </w:pPr>
    </w:p>
    <w:p w14:paraId="67E172AC" w14:textId="77777777" w:rsidR="00141B97" w:rsidRDefault="00911D63">
      <w:pPr>
        <w:pStyle w:val="ListParagraph"/>
        <w:numPr>
          <w:ilvl w:val="3"/>
          <w:numId w:val="81"/>
        </w:numPr>
        <w:tabs>
          <w:tab w:val="left" w:pos="1107"/>
        </w:tabs>
        <w:spacing w:before="1"/>
        <w:jc w:val="both"/>
        <w:rPr>
          <w:i/>
        </w:rPr>
      </w:pPr>
      <w:r>
        <w:rPr>
          <w:i/>
        </w:rPr>
        <w:t>Water</w:t>
      </w:r>
      <w:r>
        <w:rPr>
          <w:i/>
          <w:spacing w:val="-5"/>
        </w:rPr>
        <w:t xml:space="preserve"> </w:t>
      </w:r>
      <w:r>
        <w:rPr>
          <w:i/>
        </w:rPr>
        <w:t>Quality</w:t>
      </w:r>
      <w:r>
        <w:rPr>
          <w:i/>
          <w:spacing w:val="-4"/>
        </w:rPr>
        <w:t xml:space="preserve"> </w:t>
      </w:r>
      <w:r>
        <w:rPr>
          <w:i/>
        </w:rPr>
        <w:t>&amp;</w:t>
      </w:r>
      <w:r>
        <w:rPr>
          <w:i/>
          <w:spacing w:val="-5"/>
        </w:rPr>
        <w:t xml:space="preserve"> </w:t>
      </w:r>
      <w:r>
        <w:rPr>
          <w:i/>
        </w:rPr>
        <w:t>UV</w:t>
      </w:r>
      <w:r>
        <w:rPr>
          <w:i/>
          <w:spacing w:val="-5"/>
        </w:rPr>
        <w:t xml:space="preserve"> </w:t>
      </w:r>
      <w:r>
        <w:rPr>
          <w:i/>
          <w:spacing w:val="-2"/>
        </w:rPr>
        <w:t>Disinfection</w:t>
      </w:r>
    </w:p>
    <w:p w14:paraId="4EF9150A" w14:textId="77777777" w:rsidR="00141B97" w:rsidRDefault="00911D63">
      <w:pPr>
        <w:pStyle w:val="BodyText"/>
        <w:spacing w:before="59"/>
        <w:ind w:left="113" w:right="945"/>
        <w:jc w:val="both"/>
      </w:pPr>
      <w:r>
        <w:t>The</w:t>
      </w:r>
      <w:r>
        <w:rPr>
          <w:spacing w:val="-8"/>
        </w:rPr>
        <w:t xml:space="preserve"> </w:t>
      </w:r>
      <w:r>
        <w:t>addition</w:t>
      </w:r>
      <w:r>
        <w:rPr>
          <w:spacing w:val="-7"/>
        </w:rPr>
        <w:t xml:space="preserve"> </w:t>
      </w:r>
      <w:r>
        <w:t>of</w:t>
      </w:r>
      <w:r>
        <w:rPr>
          <w:spacing w:val="-7"/>
        </w:rPr>
        <w:t xml:space="preserve"> </w:t>
      </w:r>
      <w:r>
        <w:t>Ultraviolet</w:t>
      </w:r>
      <w:r>
        <w:rPr>
          <w:spacing w:val="-7"/>
        </w:rPr>
        <w:t xml:space="preserve"> </w:t>
      </w:r>
      <w:r>
        <w:t>light</w:t>
      </w:r>
      <w:r>
        <w:rPr>
          <w:spacing w:val="-7"/>
        </w:rPr>
        <w:t xml:space="preserve"> </w:t>
      </w:r>
      <w:r>
        <w:t>(UV)</w:t>
      </w:r>
      <w:r>
        <w:rPr>
          <w:spacing w:val="-7"/>
        </w:rPr>
        <w:t xml:space="preserve"> </w:t>
      </w:r>
      <w:r>
        <w:t>disinfection</w:t>
      </w:r>
      <w:r>
        <w:rPr>
          <w:spacing w:val="-8"/>
        </w:rPr>
        <w:t xml:space="preserve"> </w:t>
      </w:r>
      <w:r>
        <w:t>at</w:t>
      </w:r>
      <w:r>
        <w:rPr>
          <w:spacing w:val="-7"/>
        </w:rPr>
        <w:t xml:space="preserve"> </w:t>
      </w:r>
      <w:r>
        <w:t>all</w:t>
      </w:r>
      <w:r>
        <w:rPr>
          <w:spacing w:val="-7"/>
        </w:rPr>
        <w:t xml:space="preserve"> </w:t>
      </w:r>
      <w:r>
        <w:t>nine</w:t>
      </w:r>
      <w:r>
        <w:rPr>
          <w:spacing w:val="-7"/>
        </w:rPr>
        <w:t xml:space="preserve"> </w:t>
      </w:r>
      <w:r>
        <w:t>of</w:t>
      </w:r>
      <w:r>
        <w:rPr>
          <w:spacing w:val="-8"/>
        </w:rPr>
        <w:t xml:space="preserve"> </w:t>
      </w:r>
      <w:r>
        <w:t>LMW’s</w:t>
      </w:r>
      <w:r>
        <w:rPr>
          <w:spacing w:val="-8"/>
        </w:rPr>
        <w:t xml:space="preserve"> </w:t>
      </w:r>
      <w:r>
        <w:t>WTPs</w:t>
      </w:r>
      <w:r>
        <w:rPr>
          <w:spacing w:val="-7"/>
        </w:rPr>
        <w:t xml:space="preserve"> </w:t>
      </w:r>
      <w:r>
        <w:t>during</w:t>
      </w:r>
      <w:r>
        <w:rPr>
          <w:spacing w:val="-8"/>
        </w:rPr>
        <w:t xml:space="preserve"> </w:t>
      </w:r>
      <w:r>
        <w:t>PS4</w:t>
      </w:r>
      <w:r>
        <w:rPr>
          <w:spacing w:val="-8"/>
        </w:rPr>
        <w:t xml:space="preserve"> </w:t>
      </w:r>
      <w:r>
        <w:t>will</w:t>
      </w:r>
      <w:r>
        <w:rPr>
          <w:spacing w:val="-7"/>
        </w:rPr>
        <w:t xml:space="preserve"> </w:t>
      </w:r>
      <w:r>
        <w:t>enable</w:t>
      </w:r>
      <w:r>
        <w:rPr>
          <w:spacing w:val="-8"/>
        </w:rPr>
        <w:t xml:space="preserve"> </w:t>
      </w:r>
      <w:r>
        <w:t>LMW</w:t>
      </w:r>
      <w:r>
        <w:rPr>
          <w:spacing w:val="-7"/>
        </w:rPr>
        <w:t xml:space="preserve"> </w:t>
      </w:r>
      <w:r>
        <w:t>to</w:t>
      </w:r>
      <w:r>
        <w:rPr>
          <w:spacing w:val="-7"/>
        </w:rPr>
        <w:t xml:space="preserve"> </w:t>
      </w:r>
      <w:r>
        <w:t>meet the Health‐Based Targets requirements of the Department of Health through the provision of secondary disinfection barriers. While LMW has selected units which utilise low pressure UV lamps which use the least amount</w:t>
      </w:r>
      <w:r>
        <w:rPr>
          <w:spacing w:val="-9"/>
        </w:rPr>
        <w:t xml:space="preserve"> </w:t>
      </w:r>
      <w:r>
        <w:t>of</w:t>
      </w:r>
      <w:r>
        <w:rPr>
          <w:spacing w:val="-8"/>
        </w:rPr>
        <w:t xml:space="preserve"> </w:t>
      </w:r>
      <w:r>
        <w:t>energy</w:t>
      </w:r>
      <w:r>
        <w:rPr>
          <w:spacing w:val="-9"/>
        </w:rPr>
        <w:t xml:space="preserve"> </w:t>
      </w:r>
      <w:r>
        <w:t>and</w:t>
      </w:r>
      <w:r>
        <w:rPr>
          <w:spacing w:val="-8"/>
        </w:rPr>
        <w:t xml:space="preserve"> </w:t>
      </w:r>
      <w:r>
        <w:t>have</w:t>
      </w:r>
      <w:r>
        <w:rPr>
          <w:spacing w:val="-9"/>
        </w:rPr>
        <w:t xml:space="preserve"> </w:t>
      </w:r>
      <w:r>
        <w:t>the</w:t>
      </w:r>
      <w:r>
        <w:rPr>
          <w:spacing w:val="-8"/>
        </w:rPr>
        <w:t xml:space="preserve"> </w:t>
      </w:r>
      <w:r>
        <w:t>longest</w:t>
      </w:r>
      <w:r>
        <w:rPr>
          <w:spacing w:val="-8"/>
        </w:rPr>
        <w:t xml:space="preserve"> </w:t>
      </w:r>
      <w:r>
        <w:t>lamp</w:t>
      </w:r>
      <w:r>
        <w:rPr>
          <w:spacing w:val="-9"/>
        </w:rPr>
        <w:t xml:space="preserve"> </w:t>
      </w:r>
      <w:r>
        <w:t>lives,</w:t>
      </w:r>
      <w:r>
        <w:rPr>
          <w:spacing w:val="-8"/>
        </w:rPr>
        <w:t xml:space="preserve"> </w:t>
      </w:r>
      <w:r>
        <w:t>additional</w:t>
      </w:r>
      <w:r>
        <w:rPr>
          <w:spacing w:val="-9"/>
        </w:rPr>
        <w:t xml:space="preserve"> </w:t>
      </w:r>
      <w:r>
        <w:t>operational</w:t>
      </w:r>
      <w:r>
        <w:rPr>
          <w:spacing w:val="-9"/>
        </w:rPr>
        <w:t xml:space="preserve"> </w:t>
      </w:r>
      <w:r>
        <w:t>costs</w:t>
      </w:r>
      <w:r>
        <w:rPr>
          <w:spacing w:val="-8"/>
        </w:rPr>
        <w:t xml:space="preserve"> </w:t>
      </w:r>
      <w:r>
        <w:t>of</w:t>
      </w:r>
      <w:r>
        <w:rPr>
          <w:spacing w:val="-8"/>
        </w:rPr>
        <w:t xml:space="preserve"> </w:t>
      </w:r>
      <w:r>
        <w:t>approximately</w:t>
      </w:r>
      <w:r>
        <w:rPr>
          <w:spacing w:val="-8"/>
        </w:rPr>
        <w:t xml:space="preserve"> </w:t>
      </w:r>
      <w:r>
        <w:t>$200k</w:t>
      </w:r>
      <w:r>
        <w:rPr>
          <w:spacing w:val="-9"/>
        </w:rPr>
        <w:t xml:space="preserve"> </w:t>
      </w:r>
      <w:r>
        <w:t>per</w:t>
      </w:r>
      <w:r>
        <w:rPr>
          <w:spacing w:val="-9"/>
        </w:rPr>
        <w:t xml:space="preserve"> </w:t>
      </w:r>
      <w:r>
        <w:t>year ($50k electricity and $150K maintenance) have been included within the PS5 opex expenses.</w:t>
      </w:r>
    </w:p>
    <w:p w14:paraId="44A8F155" w14:textId="77777777" w:rsidR="00141B97" w:rsidRDefault="00141B97">
      <w:pPr>
        <w:pStyle w:val="BodyText"/>
        <w:spacing w:before="9"/>
        <w:rPr>
          <w:sz w:val="19"/>
        </w:rPr>
      </w:pPr>
    </w:p>
    <w:p w14:paraId="203F1569" w14:textId="77777777" w:rsidR="00141B97" w:rsidRDefault="00911D63">
      <w:pPr>
        <w:pStyle w:val="ListParagraph"/>
        <w:numPr>
          <w:ilvl w:val="3"/>
          <w:numId w:val="81"/>
        </w:numPr>
        <w:tabs>
          <w:tab w:val="left" w:pos="1107"/>
        </w:tabs>
        <w:jc w:val="both"/>
        <w:rPr>
          <w:i/>
        </w:rPr>
      </w:pPr>
      <w:r>
        <w:rPr>
          <w:i/>
        </w:rPr>
        <w:t>ICT</w:t>
      </w:r>
      <w:r>
        <w:rPr>
          <w:i/>
          <w:spacing w:val="-3"/>
        </w:rPr>
        <w:t xml:space="preserve"> </w:t>
      </w:r>
      <w:r>
        <w:rPr>
          <w:i/>
          <w:spacing w:val="-2"/>
        </w:rPr>
        <w:t>Expenditure</w:t>
      </w:r>
    </w:p>
    <w:p w14:paraId="2F251438" w14:textId="77777777" w:rsidR="00141B97" w:rsidRDefault="00911D63">
      <w:pPr>
        <w:pStyle w:val="BodyText"/>
        <w:spacing w:before="59"/>
        <w:ind w:left="113" w:right="947"/>
        <w:jc w:val="both"/>
      </w:pPr>
      <w:r>
        <w:t>Total urban software licence costs in PS5 have been forecast to increase 53% from 2022‐23 and an 8% to 3% increase from 2024‐25 to 2027‐28, as shown in Table B26.</w:t>
      </w:r>
    </w:p>
    <w:p w14:paraId="3C856F3A" w14:textId="77777777" w:rsidR="00141B97" w:rsidRDefault="00141B97">
      <w:pPr>
        <w:pStyle w:val="BodyText"/>
        <w:spacing w:before="7"/>
        <w:rPr>
          <w:sz w:val="25"/>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463"/>
        <w:gridCol w:w="1112"/>
        <w:gridCol w:w="1113"/>
        <w:gridCol w:w="1082"/>
        <w:gridCol w:w="1008"/>
        <w:gridCol w:w="1144"/>
        <w:gridCol w:w="1023"/>
        <w:gridCol w:w="955"/>
      </w:tblGrid>
      <w:tr w:rsidR="00141B97" w14:paraId="4E74BF0F" w14:textId="77777777">
        <w:trPr>
          <w:trHeight w:val="420"/>
          <w:tblCellSpacing w:w="9" w:type="dxa"/>
        </w:trPr>
        <w:tc>
          <w:tcPr>
            <w:tcW w:w="2436" w:type="dxa"/>
            <w:vMerge w:val="restart"/>
            <w:tcBorders>
              <w:top w:val="nil"/>
              <w:left w:val="nil"/>
            </w:tcBorders>
            <w:shd w:val="clear" w:color="auto" w:fill="0064A4"/>
          </w:tcPr>
          <w:p w14:paraId="6608D777" w14:textId="77777777" w:rsidR="00141B97" w:rsidRDefault="00141B97">
            <w:pPr>
              <w:pStyle w:val="TableParagraph"/>
              <w:rPr>
                <w:sz w:val="20"/>
              </w:rPr>
            </w:pPr>
          </w:p>
          <w:p w14:paraId="7C3ED06F" w14:textId="77777777" w:rsidR="00141B97" w:rsidRDefault="00911D63">
            <w:pPr>
              <w:pStyle w:val="TableParagraph"/>
              <w:spacing w:before="148"/>
              <w:ind w:left="88"/>
              <w:rPr>
                <w:sz w:val="20"/>
              </w:rPr>
            </w:pPr>
            <w:r>
              <w:rPr>
                <w:color w:val="FFFFFF"/>
                <w:sz w:val="20"/>
              </w:rPr>
              <w:t>$m,</w:t>
            </w:r>
            <w:r>
              <w:rPr>
                <w:color w:val="FFFFFF"/>
                <w:spacing w:val="-2"/>
                <w:sz w:val="20"/>
              </w:rPr>
              <w:t xml:space="preserve"> 1/1/23</w:t>
            </w:r>
          </w:p>
        </w:tc>
        <w:tc>
          <w:tcPr>
            <w:tcW w:w="2189" w:type="dxa"/>
            <w:gridSpan w:val="2"/>
            <w:tcBorders>
              <w:top w:val="nil"/>
            </w:tcBorders>
            <w:shd w:val="clear" w:color="auto" w:fill="0064A4"/>
          </w:tcPr>
          <w:p w14:paraId="10CF3B39" w14:textId="77777777" w:rsidR="00141B97" w:rsidRDefault="00911D63">
            <w:pPr>
              <w:pStyle w:val="TableParagraph"/>
              <w:spacing w:before="88"/>
              <w:ind w:left="491"/>
              <w:rPr>
                <w:sz w:val="20"/>
              </w:rPr>
            </w:pPr>
            <w:r>
              <w:rPr>
                <w:color w:val="FFFFFF"/>
                <w:sz w:val="20"/>
              </w:rPr>
              <w:t>Current</w:t>
            </w:r>
            <w:r>
              <w:rPr>
                <w:color w:val="FFFFFF"/>
                <w:spacing w:val="-5"/>
                <w:sz w:val="20"/>
              </w:rPr>
              <w:t xml:space="preserve"> </w:t>
            </w:r>
            <w:r>
              <w:rPr>
                <w:color w:val="FFFFFF"/>
                <w:spacing w:val="-2"/>
                <w:sz w:val="20"/>
              </w:rPr>
              <w:t>Period</w:t>
            </w:r>
          </w:p>
        </w:tc>
        <w:tc>
          <w:tcPr>
            <w:tcW w:w="5113" w:type="dxa"/>
            <w:gridSpan w:val="5"/>
            <w:tcBorders>
              <w:top w:val="nil"/>
              <w:right w:val="nil"/>
            </w:tcBorders>
            <w:shd w:val="clear" w:color="auto" w:fill="0064A4"/>
          </w:tcPr>
          <w:p w14:paraId="791FA7C9" w14:textId="77777777" w:rsidR="00141B97" w:rsidRDefault="00911D63">
            <w:pPr>
              <w:pStyle w:val="TableParagraph"/>
              <w:spacing w:before="88"/>
              <w:ind w:left="1122"/>
              <w:rPr>
                <w:sz w:val="20"/>
              </w:rPr>
            </w:pPr>
            <w:r>
              <w:rPr>
                <w:color w:val="FFFFFF"/>
                <w:sz w:val="20"/>
              </w:rPr>
              <w:t>Forecast</w:t>
            </w:r>
            <w:r>
              <w:rPr>
                <w:color w:val="FFFFFF"/>
                <w:spacing w:val="-4"/>
                <w:sz w:val="20"/>
              </w:rPr>
              <w:t xml:space="preserve"> </w:t>
            </w:r>
            <w:r>
              <w:rPr>
                <w:color w:val="FFFFFF"/>
                <w:sz w:val="20"/>
              </w:rPr>
              <w:t>for</w:t>
            </w:r>
            <w:r>
              <w:rPr>
                <w:color w:val="FFFFFF"/>
                <w:spacing w:val="-3"/>
                <w:sz w:val="20"/>
              </w:rPr>
              <w:t xml:space="preserve"> </w:t>
            </w:r>
            <w:r>
              <w:rPr>
                <w:color w:val="FFFFFF"/>
                <w:sz w:val="20"/>
              </w:rPr>
              <w:t>Fifth</w:t>
            </w:r>
            <w:r>
              <w:rPr>
                <w:color w:val="FFFFFF"/>
                <w:spacing w:val="-3"/>
                <w:sz w:val="20"/>
              </w:rPr>
              <w:t xml:space="preserve"> </w:t>
            </w:r>
            <w:r>
              <w:rPr>
                <w:color w:val="FFFFFF"/>
                <w:sz w:val="20"/>
              </w:rPr>
              <w:t>Regulatory</w:t>
            </w:r>
            <w:r>
              <w:rPr>
                <w:color w:val="FFFFFF"/>
                <w:spacing w:val="-3"/>
                <w:sz w:val="20"/>
              </w:rPr>
              <w:t xml:space="preserve"> </w:t>
            </w:r>
            <w:r>
              <w:rPr>
                <w:color w:val="FFFFFF"/>
                <w:spacing w:val="-2"/>
                <w:sz w:val="20"/>
              </w:rPr>
              <w:t>Period</w:t>
            </w:r>
          </w:p>
        </w:tc>
      </w:tr>
      <w:tr w:rsidR="00141B97" w14:paraId="600BE05F" w14:textId="77777777">
        <w:trPr>
          <w:trHeight w:val="344"/>
          <w:tblCellSpacing w:w="9" w:type="dxa"/>
        </w:trPr>
        <w:tc>
          <w:tcPr>
            <w:tcW w:w="2436" w:type="dxa"/>
            <w:vMerge/>
            <w:tcBorders>
              <w:top w:val="nil"/>
              <w:left w:val="nil"/>
            </w:tcBorders>
            <w:shd w:val="clear" w:color="auto" w:fill="0064A4"/>
          </w:tcPr>
          <w:p w14:paraId="6FD271CC" w14:textId="77777777" w:rsidR="00141B97" w:rsidRDefault="00141B97">
            <w:pPr>
              <w:rPr>
                <w:sz w:val="2"/>
                <w:szCs w:val="2"/>
              </w:rPr>
            </w:pPr>
          </w:p>
        </w:tc>
        <w:tc>
          <w:tcPr>
            <w:tcW w:w="1094" w:type="dxa"/>
            <w:shd w:val="clear" w:color="auto" w:fill="0064A4"/>
          </w:tcPr>
          <w:p w14:paraId="776486A8" w14:textId="77777777" w:rsidR="00141B97" w:rsidRDefault="00911D63">
            <w:pPr>
              <w:pStyle w:val="TableParagraph"/>
              <w:spacing w:before="49"/>
              <w:ind w:left="202"/>
              <w:rPr>
                <w:sz w:val="20"/>
              </w:rPr>
            </w:pPr>
            <w:r>
              <w:rPr>
                <w:color w:val="FFFFFF"/>
                <w:spacing w:val="-2"/>
                <w:sz w:val="20"/>
              </w:rPr>
              <w:t>2021‐22</w:t>
            </w:r>
          </w:p>
        </w:tc>
        <w:tc>
          <w:tcPr>
            <w:tcW w:w="1095" w:type="dxa"/>
            <w:shd w:val="clear" w:color="auto" w:fill="0064A4"/>
          </w:tcPr>
          <w:p w14:paraId="668EDC6E" w14:textId="77777777" w:rsidR="00141B97" w:rsidRDefault="00911D63">
            <w:pPr>
              <w:pStyle w:val="TableParagraph"/>
              <w:spacing w:before="49"/>
              <w:ind w:left="202"/>
              <w:rPr>
                <w:sz w:val="20"/>
              </w:rPr>
            </w:pPr>
            <w:r>
              <w:rPr>
                <w:color w:val="FFFFFF"/>
                <w:spacing w:val="-2"/>
                <w:sz w:val="20"/>
              </w:rPr>
              <w:t>2022‐23</w:t>
            </w:r>
          </w:p>
        </w:tc>
        <w:tc>
          <w:tcPr>
            <w:tcW w:w="1064" w:type="dxa"/>
            <w:shd w:val="clear" w:color="auto" w:fill="0064A4"/>
          </w:tcPr>
          <w:p w14:paraId="11AB5C7A" w14:textId="77777777" w:rsidR="00141B97" w:rsidRDefault="00911D63">
            <w:pPr>
              <w:pStyle w:val="TableParagraph"/>
              <w:spacing w:before="49"/>
              <w:ind w:left="187"/>
              <w:rPr>
                <w:sz w:val="20"/>
              </w:rPr>
            </w:pPr>
            <w:r>
              <w:rPr>
                <w:color w:val="FFFFFF"/>
                <w:spacing w:val="-2"/>
                <w:sz w:val="20"/>
              </w:rPr>
              <w:t>2023‐24</w:t>
            </w:r>
          </w:p>
        </w:tc>
        <w:tc>
          <w:tcPr>
            <w:tcW w:w="990" w:type="dxa"/>
            <w:shd w:val="clear" w:color="auto" w:fill="0064A4"/>
          </w:tcPr>
          <w:p w14:paraId="7607791A" w14:textId="77777777" w:rsidR="00141B97" w:rsidRDefault="00911D63">
            <w:pPr>
              <w:pStyle w:val="TableParagraph"/>
              <w:spacing w:before="49"/>
              <w:ind w:left="151"/>
              <w:rPr>
                <w:sz w:val="20"/>
              </w:rPr>
            </w:pPr>
            <w:r>
              <w:rPr>
                <w:color w:val="FFFFFF"/>
                <w:spacing w:val="-2"/>
                <w:sz w:val="20"/>
              </w:rPr>
              <w:t>2024‐25</w:t>
            </w:r>
          </w:p>
        </w:tc>
        <w:tc>
          <w:tcPr>
            <w:tcW w:w="1126" w:type="dxa"/>
            <w:shd w:val="clear" w:color="auto" w:fill="0064A4"/>
          </w:tcPr>
          <w:p w14:paraId="17BDD0E9" w14:textId="77777777" w:rsidR="00141B97" w:rsidRDefault="00911D63">
            <w:pPr>
              <w:pStyle w:val="TableParagraph"/>
              <w:spacing w:before="49"/>
              <w:ind w:left="218"/>
              <w:rPr>
                <w:sz w:val="20"/>
              </w:rPr>
            </w:pPr>
            <w:r>
              <w:rPr>
                <w:color w:val="FFFFFF"/>
                <w:spacing w:val="-2"/>
                <w:sz w:val="20"/>
              </w:rPr>
              <w:t>2025‐26</w:t>
            </w:r>
          </w:p>
        </w:tc>
        <w:tc>
          <w:tcPr>
            <w:tcW w:w="1005" w:type="dxa"/>
            <w:shd w:val="clear" w:color="auto" w:fill="0064A4"/>
          </w:tcPr>
          <w:p w14:paraId="680434DD" w14:textId="77777777" w:rsidR="00141B97" w:rsidRDefault="00911D63">
            <w:pPr>
              <w:pStyle w:val="TableParagraph"/>
              <w:spacing w:before="49"/>
              <w:ind w:left="157"/>
              <w:rPr>
                <w:sz w:val="20"/>
              </w:rPr>
            </w:pPr>
            <w:r>
              <w:rPr>
                <w:color w:val="FFFFFF"/>
                <w:spacing w:val="-2"/>
                <w:sz w:val="20"/>
              </w:rPr>
              <w:t>2026‐27</w:t>
            </w:r>
          </w:p>
        </w:tc>
        <w:tc>
          <w:tcPr>
            <w:tcW w:w="928" w:type="dxa"/>
            <w:tcBorders>
              <w:right w:val="nil"/>
            </w:tcBorders>
            <w:shd w:val="clear" w:color="auto" w:fill="0064A4"/>
          </w:tcPr>
          <w:p w14:paraId="046CE14C" w14:textId="77777777" w:rsidR="00141B97" w:rsidRDefault="00911D63">
            <w:pPr>
              <w:pStyle w:val="TableParagraph"/>
              <w:spacing w:before="49"/>
              <w:ind w:right="112"/>
              <w:jc w:val="right"/>
              <w:rPr>
                <w:sz w:val="20"/>
              </w:rPr>
            </w:pPr>
            <w:r>
              <w:rPr>
                <w:color w:val="FFFFFF"/>
                <w:spacing w:val="-2"/>
                <w:sz w:val="20"/>
              </w:rPr>
              <w:t>2027‐28</w:t>
            </w:r>
          </w:p>
        </w:tc>
      </w:tr>
      <w:tr w:rsidR="00141B97" w14:paraId="4A382637" w14:textId="77777777">
        <w:trPr>
          <w:trHeight w:val="270"/>
          <w:tblCellSpacing w:w="9" w:type="dxa"/>
        </w:trPr>
        <w:tc>
          <w:tcPr>
            <w:tcW w:w="9738" w:type="dxa"/>
            <w:gridSpan w:val="8"/>
            <w:tcBorders>
              <w:left w:val="nil"/>
              <w:right w:val="nil"/>
            </w:tcBorders>
            <w:shd w:val="clear" w:color="auto" w:fill="BFBFBF"/>
          </w:tcPr>
          <w:p w14:paraId="42AB8C74" w14:textId="77777777" w:rsidR="00141B97" w:rsidRDefault="00911D63">
            <w:pPr>
              <w:pStyle w:val="TableParagraph"/>
              <w:spacing w:before="12" w:line="238" w:lineRule="exact"/>
              <w:ind w:left="98"/>
              <w:rPr>
                <w:i/>
                <w:sz w:val="20"/>
              </w:rPr>
            </w:pPr>
            <w:r>
              <w:rPr>
                <w:i/>
                <w:sz w:val="20"/>
              </w:rPr>
              <w:t>Software</w:t>
            </w:r>
            <w:r>
              <w:rPr>
                <w:i/>
                <w:spacing w:val="-8"/>
                <w:sz w:val="20"/>
              </w:rPr>
              <w:t xml:space="preserve"> </w:t>
            </w:r>
            <w:r>
              <w:rPr>
                <w:i/>
                <w:spacing w:val="-2"/>
                <w:sz w:val="20"/>
              </w:rPr>
              <w:t>Licences</w:t>
            </w:r>
          </w:p>
        </w:tc>
      </w:tr>
      <w:tr w:rsidR="00141B97" w14:paraId="3DE9D490" w14:textId="77777777">
        <w:trPr>
          <w:trHeight w:val="269"/>
          <w:tblCellSpacing w:w="9" w:type="dxa"/>
        </w:trPr>
        <w:tc>
          <w:tcPr>
            <w:tcW w:w="2436" w:type="dxa"/>
            <w:tcBorders>
              <w:left w:val="nil"/>
            </w:tcBorders>
            <w:shd w:val="clear" w:color="auto" w:fill="CCE2ED"/>
          </w:tcPr>
          <w:p w14:paraId="671EF148" w14:textId="77777777" w:rsidR="00141B97" w:rsidRDefault="00911D63">
            <w:pPr>
              <w:pStyle w:val="TableParagraph"/>
              <w:spacing w:before="12" w:line="237" w:lineRule="exact"/>
              <w:ind w:left="88"/>
              <w:rPr>
                <w:sz w:val="20"/>
              </w:rPr>
            </w:pPr>
            <w:r>
              <w:rPr>
                <w:sz w:val="20"/>
              </w:rPr>
              <w:t>Total</w:t>
            </w:r>
            <w:r>
              <w:rPr>
                <w:spacing w:val="-2"/>
                <w:sz w:val="20"/>
              </w:rPr>
              <w:t xml:space="preserve"> </w:t>
            </w:r>
            <w:r>
              <w:rPr>
                <w:sz w:val="20"/>
              </w:rPr>
              <w:t>LMW</w:t>
            </w:r>
            <w:r>
              <w:rPr>
                <w:spacing w:val="-3"/>
                <w:sz w:val="20"/>
              </w:rPr>
              <w:t xml:space="preserve"> </w:t>
            </w:r>
            <w:r>
              <w:rPr>
                <w:sz w:val="20"/>
              </w:rPr>
              <w:t>Agreement</w:t>
            </w:r>
            <w:r>
              <w:rPr>
                <w:spacing w:val="-1"/>
                <w:sz w:val="20"/>
              </w:rPr>
              <w:t xml:space="preserve"> </w:t>
            </w:r>
            <w:r>
              <w:rPr>
                <w:spacing w:val="-4"/>
                <w:sz w:val="20"/>
              </w:rPr>
              <w:t>cost</w:t>
            </w:r>
          </w:p>
        </w:tc>
        <w:tc>
          <w:tcPr>
            <w:tcW w:w="1094" w:type="dxa"/>
            <w:shd w:val="clear" w:color="auto" w:fill="CCE2ED"/>
          </w:tcPr>
          <w:p w14:paraId="291B472D" w14:textId="77777777" w:rsidR="00141B97" w:rsidRDefault="00911D63">
            <w:pPr>
              <w:pStyle w:val="TableParagraph"/>
              <w:spacing w:before="12" w:line="237" w:lineRule="exact"/>
              <w:ind w:right="94"/>
              <w:jc w:val="right"/>
              <w:rPr>
                <w:sz w:val="20"/>
              </w:rPr>
            </w:pPr>
            <w:r>
              <w:rPr>
                <w:spacing w:val="-4"/>
                <w:sz w:val="20"/>
              </w:rPr>
              <w:t>1.46</w:t>
            </w:r>
          </w:p>
        </w:tc>
        <w:tc>
          <w:tcPr>
            <w:tcW w:w="1095" w:type="dxa"/>
            <w:shd w:val="clear" w:color="auto" w:fill="CCE2ED"/>
          </w:tcPr>
          <w:p w14:paraId="16865208" w14:textId="77777777" w:rsidR="00141B97" w:rsidRDefault="00911D63">
            <w:pPr>
              <w:pStyle w:val="TableParagraph"/>
              <w:spacing w:before="12" w:line="237" w:lineRule="exact"/>
              <w:ind w:right="95"/>
              <w:jc w:val="right"/>
              <w:rPr>
                <w:sz w:val="20"/>
              </w:rPr>
            </w:pPr>
            <w:r>
              <w:rPr>
                <w:spacing w:val="-4"/>
                <w:sz w:val="20"/>
              </w:rPr>
              <w:t>1.46</w:t>
            </w:r>
          </w:p>
        </w:tc>
        <w:tc>
          <w:tcPr>
            <w:tcW w:w="1064" w:type="dxa"/>
            <w:shd w:val="clear" w:color="auto" w:fill="CCE2ED"/>
          </w:tcPr>
          <w:p w14:paraId="3A05B7BA" w14:textId="77777777" w:rsidR="00141B97" w:rsidRDefault="00911D63">
            <w:pPr>
              <w:pStyle w:val="TableParagraph"/>
              <w:spacing w:before="12" w:line="237" w:lineRule="exact"/>
              <w:ind w:right="93"/>
              <w:jc w:val="right"/>
              <w:rPr>
                <w:sz w:val="20"/>
              </w:rPr>
            </w:pPr>
            <w:r>
              <w:rPr>
                <w:spacing w:val="-4"/>
                <w:sz w:val="20"/>
              </w:rPr>
              <w:t>2.24</w:t>
            </w:r>
          </w:p>
        </w:tc>
        <w:tc>
          <w:tcPr>
            <w:tcW w:w="990" w:type="dxa"/>
            <w:shd w:val="clear" w:color="auto" w:fill="CCE2ED"/>
          </w:tcPr>
          <w:p w14:paraId="0866249A" w14:textId="77777777" w:rsidR="00141B97" w:rsidRDefault="00911D63">
            <w:pPr>
              <w:pStyle w:val="TableParagraph"/>
              <w:spacing w:before="12" w:line="237" w:lineRule="exact"/>
              <w:ind w:right="93"/>
              <w:jc w:val="right"/>
              <w:rPr>
                <w:sz w:val="20"/>
              </w:rPr>
            </w:pPr>
            <w:r>
              <w:rPr>
                <w:spacing w:val="-4"/>
                <w:sz w:val="20"/>
              </w:rPr>
              <w:t>2.41</w:t>
            </w:r>
          </w:p>
        </w:tc>
        <w:tc>
          <w:tcPr>
            <w:tcW w:w="1126" w:type="dxa"/>
            <w:shd w:val="clear" w:color="auto" w:fill="CCE2ED"/>
          </w:tcPr>
          <w:p w14:paraId="5196ED1A" w14:textId="77777777" w:rsidR="00141B97" w:rsidRDefault="00911D63">
            <w:pPr>
              <w:pStyle w:val="TableParagraph"/>
              <w:spacing w:before="12" w:line="237" w:lineRule="exact"/>
              <w:ind w:right="95"/>
              <w:jc w:val="right"/>
              <w:rPr>
                <w:sz w:val="20"/>
              </w:rPr>
            </w:pPr>
            <w:r>
              <w:rPr>
                <w:spacing w:val="-4"/>
                <w:sz w:val="20"/>
              </w:rPr>
              <w:t>2.48</w:t>
            </w:r>
          </w:p>
        </w:tc>
        <w:tc>
          <w:tcPr>
            <w:tcW w:w="1005" w:type="dxa"/>
            <w:shd w:val="clear" w:color="auto" w:fill="CCE2ED"/>
          </w:tcPr>
          <w:p w14:paraId="2612F163" w14:textId="77777777" w:rsidR="00141B97" w:rsidRDefault="00911D63">
            <w:pPr>
              <w:pStyle w:val="TableParagraph"/>
              <w:spacing w:before="12" w:line="237" w:lineRule="exact"/>
              <w:ind w:right="94"/>
              <w:jc w:val="right"/>
              <w:rPr>
                <w:sz w:val="20"/>
              </w:rPr>
            </w:pPr>
            <w:r>
              <w:rPr>
                <w:spacing w:val="-4"/>
                <w:sz w:val="20"/>
              </w:rPr>
              <w:t>2.56</w:t>
            </w:r>
          </w:p>
        </w:tc>
        <w:tc>
          <w:tcPr>
            <w:tcW w:w="928" w:type="dxa"/>
            <w:tcBorders>
              <w:right w:val="nil"/>
            </w:tcBorders>
            <w:shd w:val="clear" w:color="auto" w:fill="CCE2ED"/>
          </w:tcPr>
          <w:p w14:paraId="3FC32EDE" w14:textId="77777777" w:rsidR="00141B97" w:rsidRDefault="00911D63">
            <w:pPr>
              <w:pStyle w:val="TableParagraph"/>
              <w:spacing w:before="12" w:line="237" w:lineRule="exact"/>
              <w:ind w:right="85"/>
              <w:jc w:val="right"/>
              <w:rPr>
                <w:sz w:val="20"/>
              </w:rPr>
            </w:pPr>
            <w:r>
              <w:rPr>
                <w:spacing w:val="-4"/>
                <w:sz w:val="20"/>
              </w:rPr>
              <w:t>2.64</w:t>
            </w:r>
          </w:p>
        </w:tc>
      </w:tr>
      <w:tr w:rsidR="00141B97" w14:paraId="7FD65D17" w14:textId="77777777">
        <w:trPr>
          <w:trHeight w:val="270"/>
          <w:tblCellSpacing w:w="9" w:type="dxa"/>
        </w:trPr>
        <w:tc>
          <w:tcPr>
            <w:tcW w:w="2436" w:type="dxa"/>
            <w:tcBorders>
              <w:left w:val="nil"/>
            </w:tcBorders>
            <w:shd w:val="clear" w:color="auto" w:fill="CCE2ED"/>
          </w:tcPr>
          <w:p w14:paraId="4E8C70F4" w14:textId="77777777" w:rsidR="00141B97" w:rsidRDefault="00911D63">
            <w:pPr>
              <w:pStyle w:val="TableParagraph"/>
              <w:spacing w:before="13" w:line="237" w:lineRule="exact"/>
              <w:ind w:left="88"/>
              <w:rPr>
                <w:sz w:val="20"/>
              </w:rPr>
            </w:pPr>
            <w:r>
              <w:rPr>
                <w:spacing w:val="-2"/>
                <w:sz w:val="20"/>
              </w:rPr>
              <w:t>Urban</w:t>
            </w:r>
          </w:p>
        </w:tc>
        <w:tc>
          <w:tcPr>
            <w:tcW w:w="1094" w:type="dxa"/>
            <w:shd w:val="clear" w:color="auto" w:fill="CCE2ED"/>
          </w:tcPr>
          <w:p w14:paraId="7CD615E8" w14:textId="77777777" w:rsidR="00141B97" w:rsidRDefault="00911D63">
            <w:pPr>
              <w:pStyle w:val="TableParagraph"/>
              <w:spacing w:before="13" w:line="237" w:lineRule="exact"/>
              <w:ind w:right="94"/>
              <w:jc w:val="right"/>
              <w:rPr>
                <w:sz w:val="20"/>
              </w:rPr>
            </w:pPr>
            <w:r>
              <w:rPr>
                <w:spacing w:val="-4"/>
                <w:sz w:val="20"/>
              </w:rPr>
              <w:t>1.14</w:t>
            </w:r>
          </w:p>
        </w:tc>
        <w:tc>
          <w:tcPr>
            <w:tcW w:w="1095" w:type="dxa"/>
            <w:shd w:val="clear" w:color="auto" w:fill="CCE2ED"/>
          </w:tcPr>
          <w:p w14:paraId="3C135A3F" w14:textId="77777777" w:rsidR="00141B97" w:rsidRDefault="00911D63">
            <w:pPr>
              <w:pStyle w:val="TableParagraph"/>
              <w:spacing w:before="13" w:line="237" w:lineRule="exact"/>
              <w:ind w:right="95"/>
              <w:jc w:val="right"/>
              <w:rPr>
                <w:sz w:val="20"/>
              </w:rPr>
            </w:pPr>
            <w:r>
              <w:rPr>
                <w:spacing w:val="-4"/>
                <w:sz w:val="20"/>
              </w:rPr>
              <w:t>1.14</w:t>
            </w:r>
          </w:p>
        </w:tc>
        <w:tc>
          <w:tcPr>
            <w:tcW w:w="1064" w:type="dxa"/>
            <w:shd w:val="clear" w:color="auto" w:fill="CCE2ED"/>
          </w:tcPr>
          <w:p w14:paraId="4D79EB31" w14:textId="77777777" w:rsidR="00141B97" w:rsidRDefault="00911D63">
            <w:pPr>
              <w:pStyle w:val="TableParagraph"/>
              <w:spacing w:before="13" w:line="237" w:lineRule="exact"/>
              <w:ind w:right="93"/>
              <w:jc w:val="right"/>
              <w:rPr>
                <w:sz w:val="20"/>
              </w:rPr>
            </w:pPr>
            <w:r>
              <w:rPr>
                <w:spacing w:val="-4"/>
                <w:sz w:val="20"/>
              </w:rPr>
              <w:t>1.75</w:t>
            </w:r>
          </w:p>
        </w:tc>
        <w:tc>
          <w:tcPr>
            <w:tcW w:w="990" w:type="dxa"/>
            <w:shd w:val="clear" w:color="auto" w:fill="CCE2ED"/>
          </w:tcPr>
          <w:p w14:paraId="59409B81" w14:textId="77777777" w:rsidR="00141B97" w:rsidRDefault="00911D63">
            <w:pPr>
              <w:pStyle w:val="TableParagraph"/>
              <w:spacing w:before="13" w:line="237" w:lineRule="exact"/>
              <w:ind w:right="93"/>
              <w:jc w:val="right"/>
              <w:rPr>
                <w:sz w:val="20"/>
              </w:rPr>
            </w:pPr>
            <w:r>
              <w:rPr>
                <w:spacing w:val="-4"/>
                <w:sz w:val="20"/>
              </w:rPr>
              <w:t>1.89</w:t>
            </w:r>
          </w:p>
        </w:tc>
        <w:tc>
          <w:tcPr>
            <w:tcW w:w="1126" w:type="dxa"/>
            <w:shd w:val="clear" w:color="auto" w:fill="CCE2ED"/>
          </w:tcPr>
          <w:p w14:paraId="1E9A8280" w14:textId="77777777" w:rsidR="00141B97" w:rsidRDefault="00911D63">
            <w:pPr>
              <w:pStyle w:val="TableParagraph"/>
              <w:spacing w:before="13" w:line="237" w:lineRule="exact"/>
              <w:ind w:right="95"/>
              <w:jc w:val="right"/>
              <w:rPr>
                <w:sz w:val="20"/>
              </w:rPr>
            </w:pPr>
            <w:r>
              <w:rPr>
                <w:spacing w:val="-4"/>
                <w:sz w:val="20"/>
              </w:rPr>
              <w:t>1.94</w:t>
            </w:r>
          </w:p>
        </w:tc>
        <w:tc>
          <w:tcPr>
            <w:tcW w:w="1005" w:type="dxa"/>
            <w:shd w:val="clear" w:color="auto" w:fill="CCE2ED"/>
          </w:tcPr>
          <w:p w14:paraId="288D2BCA" w14:textId="77777777" w:rsidR="00141B97" w:rsidRDefault="00911D63">
            <w:pPr>
              <w:pStyle w:val="TableParagraph"/>
              <w:spacing w:before="13" w:line="237" w:lineRule="exact"/>
              <w:ind w:right="94"/>
              <w:jc w:val="right"/>
              <w:rPr>
                <w:sz w:val="20"/>
              </w:rPr>
            </w:pPr>
            <w:r>
              <w:rPr>
                <w:spacing w:val="-4"/>
                <w:sz w:val="20"/>
              </w:rPr>
              <w:t>2.00</w:t>
            </w:r>
          </w:p>
        </w:tc>
        <w:tc>
          <w:tcPr>
            <w:tcW w:w="928" w:type="dxa"/>
            <w:tcBorders>
              <w:right w:val="nil"/>
            </w:tcBorders>
            <w:shd w:val="clear" w:color="auto" w:fill="CCE2ED"/>
          </w:tcPr>
          <w:p w14:paraId="4AD59C34" w14:textId="77777777" w:rsidR="00141B97" w:rsidRDefault="00911D63">
            <w:pPr>
              <w:pStyle w:val="TableParagraph"/>
              <w:spacing w:before="13" w:line="237" w:lineRule="exact"/>
              <w:ind w:right="85"/>
              <w:jc w:val="right"/>
              <w:rPr>
                <w:sz w:val="20"/>
              </w:rPr>
            </w:pPr>
            <w:r>
              <w:rPr>
                <w:spacing w:val="-4"/>
                <w:sz w:val="20"/>
              </w:rPr>
              <w:t>2.06</w:t>
            </w:r>
          </w:p>
        </w:tc>
      </w:tr>
      <w:tr w:rsidR="00141B97" w14:paraId="68B63F6C" w14:textId="77777777">
        <w:trPr>
          <w:trHeight w:val="255"/>
          <w:tblCellSpacing w:w="9" w:type="dxa"/>
        </w:trPr>
        <w:tc>
          <w:tcPr>
            <w:tcW w:w="2436" w:type="dxa"/>
            <w:tcBorders>
              <w:left w:val="nil"/>
              <w:bottom w:val="nil"/>
            </w:tcBorders>
            <w:shd w:val="clear" w:color="auto" w:fill="CCE2ED"/>
          </w:tcPr>
          <w:p w14:paraId="5DBE3244" w14:textId="77777777" w:rsidR="00141B97" w:rsidRDefault="00911D63">
            <w:pPr>
              <w:pStyle w:val="TableParagraph"/>
              <w:spacing w:before="4" w:line="230" w:lineRule="exact"/>
              <w:ind w:left="88"/>
              <w:rPr>
                <w:sz w:val="20"/>
              </w:rPr>
            </w:pPr>
            <w:r>
              <w:rPr>
                <w:sz w:val="20"/>
              </w:rPr>
              <w:t>Annual</w:t>
            </w:r>
            <w:r>
              <w:rPr>
                <w:spacing w:val="-4"/>
                <w:sz w:val="20"/>
              </w:rPr>
              <w:t xml:space="preserve"> </w:t>
            </w:r>
            <w:r>
              <w:rPr>
                <w:sz w:val="20"/>
              </w:rPr>
              <w:t>Movement</w:t>
            </w:r>
            <w:r>
              <w:rPr>
                <w:spacing w:val="-3"/>
                <w:sz w:val="20"/>
              </w:rPr>
              <w:t xml:space="preserve"> </w:t>
            </w:r>
            <w:r>
              <w:rPr>
                <w:spacing w:val="-10"/>
                <w:sz w:val="20"/>
              </w:rPr>
              <w:t>%</w:t>
            </w:r>
          </w:p>
        </w:tc>
        <w:tc>
          <w:tcPr>
            <w:tcW w:w="1094" w:type="dxa"/>
            <w:tcBorders>
              <w:bottom w:val="nil"/>
            </w:tcBorders>
            <w:shd w:val="clear" w:color="auto" w:fill="CCE2ED"/>
          </w:tcPr>
          <w:p w14:paraId="649B3EBB" w14:textId="77777777" w:rsidR="00141B97" w:rsidRDefault="00141B97">
            <w:pPr>
              <w:pStyle w:val="TableParagraph"/>
              <w:rPr>
                <w:rFonts w:ascii="Times New Roman"/>
                <w:sz w:val="18"/>
              </w:rPr>
            </w:pPr>
          </w:p>
        </w:tc>
        <w:tc>
          <w:tcPr>
            <w:tcW w:w="1095" w:type="dxa"/>
            <w:tcBorders>
              <w:bottom w:val="nil"/>
            </w:tcBorders>
            <w:shd w:val="clear" w:color="auto" w:fill="CCE2ED"/>
          </w:tcPr>
          <w:p w14:paraId="32C27895" w14:textId="77777777" w:rsidR="00141B97" w:rsidRDefault="00141B97">
            <w:pPr>
              <w:pStyle w:val="TableParagraph"/>
              <w:rPr>
                <w:rFonts w:ascii="Times New Roman"/>
                <w:sz w:val="18"/>
              </w:rPr>
            </w:pPr>
          </w:p>
        </w:tc>
        <w:tc>
          <w:tcPr>
            <w:tcW w:w="1064" w:type="dxa"/>
            <w:tcBorders>
              <w:bottom w:val="nil"/>
            </w:tcBorders>
            <w:shd w:val="clear" w:color="auto" w:fill="CCE2ED"/>
          </w:tcPr>
          <w:p w14:paraId="6998AE23" w14:textId="77777777" w:rsidR="00141B97" w:rsidRDefault="00911D63">
            <w:pPr>
              <w:pStyle w:val="TableParagraph"/>
              <w:spacing w:before="4" w:line="230" w:lineRule="exact"/>
              <w:ind w:right="92"/>
              <w:jc w:val="right"/>
              <w:rPr>
                <w:sz w:val="20"/>
              </w:rPr>
            </w:pPr>
            <w:r>
              <w:rPr>
                <w:spacing w:val="-5"/>
                <w:sz w:val="20"/>
              </w:rPr>
              <w:t>53%</w:t>
            </w:r>
          </w:p>
        </w:tc>
        <w:tc>
          <w:tcPr>
            <w:tcW w:w="990" w:type="dxa"/>
            <w:tcBorders>
              <w:bottom w:val="nil"/>
            </w:tcBorders>
            <w:shd w:val="clear" w:color="auto" w:fill="CCE2ED"/>
          </w:tcPr>
          <w:p w14:paraId="215D75E5" w14:textId="77777777" w:rsidR="00141B97" w:rsidRDefault="00911D63">
            <w:pPr>
              <w:pStyle w:val="TableParagraph"/>
              <w:spacing w:before="4" w:line="230" w:lineRule="exact"/>
              <w:ind w:right="92"/>
              <w:jc w:val="right"/>
              <w:rPr>
                <w:sz w:val="20"/>
              </w:rPr>
            </w:pPr>
            <w:r>
              <w:rPr>
                <w:spacing w:val="-5"/>
                <w:sz w:val="20"/>
              </w:rPr>
              <w:t>8%</w:t>
            </w:r>
          </w:p>
        </w:tc>
        <w:tc>
          <w:tcPr>
            <w:tcW w:w="1126" w:type="dxa"/>
            <w:tcBorders>
              <w:bottom w:val="nil"/>
            </w:tcBorders>
            <w:shd w:val="clear" w:color="auto" w:fill="CCE2ED"/>
          </w:tcPr>
          <w:p w14:paraId="19808B5D" w14:textId="77777777" w:rsidR="00141B97" w:rsidRDefault="00911D63">
            <w:pPr>
              <w:pStyle w:val="TableParagraph"/>
              <w:spacing w:before="4" w:line="230" w:lineRule="exact"/>
              <w:ind w:right="94"/>
              <w:jc w:val="right"/>
              <w:rPr>
                <w:sz w:val="20"/>
              </w:rPr>
            </w:pPr>
            <w:r>
              <w:rPr>
                <w:spacing w:val="-5"/>
                <w:sz w:val="20"/>
              </w:rPr>
              <w:t>3%</w:t>
            </w:r>
          </w:p>
        </w:tc>
        <w:tc>
          <w:tcPr>
            <w:tcW w:w="1005" w:type="dxa"/>
            <w:tcBorders>
              <w:bottom w:val="nil"/>
            </w:tcBorders>
            <w:shd w:val="clear" w:color="auto" w:fill="CCE2ED"/>
          </w:tcPr>
          <w:p w14:paraId="736F38F6" w14:textId="77777777" w:rsidR="00141B97" w:rsidRDefault="00911D63">
            <w:pPr>
              <w:pStyle w:val="TableParagraph"/>
              <w:spacing w:before="4" w:line="230" w:lineRule="exact"/>
              <w:ind w:right="93"/>
              <w:jc w:val="right"/>
              <w:rPr>
                <w:sz w:val="20"/>
              </w:rPr>
            </w:pPr>
            <w:r>
              <w:rPr>
                <w:spacing w:val="-5"/>
                <w:sz w:val="20"/>
              </w:rPr>
              <w:t>3%</w:t>
            </w:r>
          </w:p>
        </w:tc>
        <w:tc>
          <w:tcPr>
            <w:tcW w:w="928" w:type="dxa"/>
            <w:tcBorders>
              <w:bottom w:val="nil"/>
              <w:right w:val="nil"/>
            </w:tcBorders>
            <w:shd w:val="clear" w:color="auto" w:fill="CCE2ED"/>
          </w:tcPr>
          <w:p w14:paraId="0CE92ED4" w14:textId="77777777" w:rsidR="00141B97" w:rsidRDefault="00911D63">
            <w:pPr>
              <w:pStyle w:val="TableParagraph"/>
              <w:spacing w:before="4" w:line="230" w:lineRule="exact"/>
              <w:ind w:right="84"/>
              <w:jc w:val="right"/>
              <w:rPr>
                <w:sz w:val="20"/>
              </w:rPr>
            </w:pPr>
            <w:r>
              <w:rPr>
                <w:spacing w:val="-5"/>
                <w:sz w:val="20"/>
              </w:rPr>
              <w:t>3%</w:t>
            </w:r>
          </w:p>
        </w:tc>
      </w:tr>
    </w:tbl>
    <w:p w14:paraId="32AC0C38" w14:textId="77777777" w:rsidR="00141B97" w:rsidRDefault="00911D63">
      <w:pPr>
        <w:spacing w:before="22"/>
        <w:ind w:left="167"/>
        <w:jc w:val="both"/>
        <w:rPr>
          <w:sz w:val="16"/>
        </w:rPr>
      </w:pPr>
      <w:r>
        <w:rPr>
          <w:sz w:val="16"/>
        </w:rPr>
        <w:t>Table</w:t>
      </w:r>
      <w:r>
        <w:rPr>
          <w:spacing w:val="-4"/>
          <w:sz w:val="16"/>
        </w:rPr>
        <w:t xml:space="preserve"> </w:t>
      </w:r>
      <w:r>
        <w:rPr>
          <w:sz w:val="16"/>
        </w:rPr>
        <w:t>B26</w:t>
      </w:r>
      <w:r>
        <w:rPr>
          <w:sz w:val="12"/>
        </w:rPr>
        <w:t>:</w:t>
      </w:r>
      <w:r>
        <w:rPr>
          <w:spacing w:val="-6"/>
          <w:sz w:val="12"/>
        </w:rPr>
        <w:t xml:space="preserve"> </w:t>
      </w:r>
      <w:r>
        <w:rPr>
          <w:sz w:val="16"/>
        </w:rPr>
        <w:t>Urban</w:t>
      </w:r>
      <w:r>
        <w:rPr>
          <w:spacing w:val="-4"/>
          <w:sz w:val="16"/>
        </w:rPr>
        <w:t xml:space="preserve"> </w:t>
      </w:r>
      <w:r>
        <w:rPr>
          <w:sz w:val="16"/>
        </w:rPr>
        <w:t>Software</w:t>
      </w:r>
      <w:r>
        <w:rPr>
          <w:spacing w:val="-6"/>
          <w:sz w:val="16"/>
        </w:rPr>
        <w:t xml:space="preserve"> </w:t>
      </w:r>
      <w:r>
        <w:rPr>
          <w:sz w:val="16"/>
        </w:rPr>
        <w:t>Licences</w:t>
      </w:r>
      <w:r>
        <w:rPr>
          <w:spacing w:val="-5"/>
          <w:sz w:val="16"/>
        </w:rPr>
        <w:t xml:space="preserve"> </w:t>
      </w:r>
      <w:r>
        <w:rPr>
          <w:sz w:val="16"/>
        </w:rPr>
        <w:t>($m</w:t>
      </w:r>
      <w:r>
        <w:rPr>
          <w:spacing w:val="-5"/>
          <w:sz w:val="16"/>
        </w:rPr>
        <w:t xml:space="preserve"> </w:t>
      </w:r>
      <w:r>
        <w:rPr>
          <w:spacing w:val="-2"/>
          <w:sz w:val="16"/>
        </w:rPr>
        <w:t>1/1/23)</w:t>
      </w:r>
    </w:p>
    <w:p w14:paraId="0D5D8F19" w14:textId="77777777" w:rsidR="00141B97" w:rsidRDefault="00141B97">
      <w:pPr>
        <w:pStyle w:val="BodyText"/>
        <w:rPr>
          <w:sz w:val="16"/>
        </w:rPr>
      </w:pPr>
    </w:p>
    <w:p w14:paraId="594761E3" w14:textId="77777777" w:rsidR="00141B97" w:rsidRDefault="00911D63">
      <w:pPr>
        <w:pStyle w:val="BodyText"/>
        <w:spacing w:before="98"/>
        <w:ind w:left="113" w:right="962"/>
      </w:pPr>
      <w:r>
        <w:t>A significant increase in software costs (53%) in 2023‐24 is attributable to an increase in user licences and an increase in annual subscription costs due to the following:</w:t>
      </w:r>
    </w:p>
    <w:p w14:paraId="228316F6" w14:textId="77777777" w:rsidR="00141B97" w:rsidRDefault="00911D63">
      <w:pPr>
        <w:pStyle w:val="ListParagraph"/>
        <w:numPr>
          <w:ilvl w:val="4"/>
          <w:numId w:val="81"/>
        </w:numPr>
        <w:tabs>
          <w:tab w:val="left" w:pos="833"/>
          <w:tab w:val="left" w:pos="834"/>
        </w:tabs>
        <w:spacing w:before="1"/>
        <w:ind w:right="951"/>
      </w:pPr>
      <w:r>
        <w:t>Move</w:t>
      </w:r>
      <w:r>
        <w:rPr>
          <w:spacing w:val="80"/>
        </w:rPr>
        <w:t xml:space="preserve"> </w:t>
      </w:r>
      <w:r>
        <w:t>from</w:t>
      </w:r>
      <w:r>
        <w:rPr>
          <w:spacing w:val="80"/>
        </w:rPr>
        <w:t xml:space="preserve"> </w:t>
      </w:r>
      <w:r>
        <w:t>capital</w:t>
      </w:r>
      <w:r>
        <w:rPr>
          <w:spacing w:val="80"/>
        </w:rPr>
        <w:t xml:space="preserve"> </w:t>
      </w:r>
      <w:r>
        <w:t>expenditure</w:t>
      </w:r>
      <w:r>
        <w:rPr>
          <w:spacing w:val="80"/>
        </w:rPr>
        <w:t xml:space="preserve"> </w:t>
      </w:r>
      <w:r>
        <w:t>software</w:t>
      </w:r>
      <w:r>
        <w:rPr>
          <w:spacing w:val="80"/>
        </w:rPr>
        <w:t xml:space="preserve"> </w:t>
      </w:r>
      <w:r>
        <w:t>agreements</w:t>
      </w:r>
      <w:r>
        <w:rPr>
          <w:spacing w:val="80"/>
        </w:rPr>
        <w:t xml:space="preserve"> </w:t>
      </w:r>
      <w:r>
        <w:t>to</w:t>
      </w:r>
      <w:r>
        <w:rPr>
          <w:spacing w:val="80"/>
        </w:rPr>
        <w:t xml:space="preserve"> </w:t>
      </w:r>
      <w:r>
        <w:t>operational</w:t>
      </w:r>
      <w:r>
        <w:rPr>
          <w:spacing w:val="80"/>
        </w:rPr>
        <w:t xml:space="preserve"> </w:t>
      </w:r>
      <w:r>
        <w:t>SaaS</w:t>
      </w:r>
      <w:r>
        <w:rPr>
          <w:spacing w:val="80"/>
        </w:rPr>
        <w:t xml:space="preserve"> </w:t>
      </w:r>
      <w:r>
        <w:t>agreements</w:t>
      </w:r>
      <w:r>
        <w:rPr>
          <w:spacing w:val="80"/>
        </w:rPr>
        <w:t xml:space="preserve"> </w:t>
      </w:r>
      <w:r>
        <w:t>(Infor &amp;Technology One) resulting in less capital investment and increases in operational expenditure.</w:t>
      </w:r>
    </w:p>
    <w:p w14:paraId="1A149883" w14:textId="77777777" w:rsidR="00141B97" w:rsidRDefault="00911D63">
      <w:pPr>
        <w:pStyle w:val="ListParagraph"/>
        <w:numPr>
          <w:ilvl w:val="4"/>
          <w:numId w:val="81"/>
        </w:numPr>
        <w:tabs>
          <w:tab w:val="left" w:pos="833"/>
          <w:tab w:val="left" w:pos="834"/>
        </w:tabs>
        <w:ind w:right="950"/>
      </w:pPr>
      <w:r>
        <w:t>Transition to new applications and cloud‐hosted agreements with major solutions</w:t>
      </w:r>
      <w:r>
        <w:rPr>
          <w:spacing w:val="-1"/>
        </w:rPr>
        <w:t xml:space="preserve"> </w:t>
      </w:r>
      <w:r>
        <w:t xml:space="preserve">(Infor &amp; Technology </w:t>
      </w:r>
      <w:r>
        <w:rPr>
          <w:spacing w:val="-2"/>
        </w:rPr>
        <w:t>One).</w:t>
      </w:r>
    </w:p>
    <w:p w14:paraId="232B9576" w14:textId="77777777" w:rsidR="00141B97" w:rsidRDefault="00911D63">
      <w:pPr>
        <w:pStyle w:val="ListParagraph"/>
        <w:numPr>
          <w:ilvl w:val="4"/>
          <w:numId w:val="81"/>
        </w:numPr>
        <w:tabs>
          <w:tab w:val="left" w:pos="833"/>
          <w:tab w:val="left" w:pos="834"/>
        </w:tabs>
        <w:ind w:right="949" w:hanging="361"/>
      </w:pPr>
      <w:r>
        <w:t>Additional</w:t>
      </w:r>
      <w:r>
        <w:rPr>
          <w:spacing w:val="-13"/>
        </w:rPr>
        <w:t xml:space="preserve"> </w:t>
      </w:r>
      <w:r>
        <w:t>user</w:t>
      </w:r>
      <w:r>
        <w:rPr>
          <w:spacing w:val="-11"/>
        </w:rPr>
        <w:t xml:space="preserve"> </w:t>
      </w:r>
      <w:r>
        <w:t>licences</w:t>
      </w:r>
      <w:r>
        <w:rPr>
          <w:spacing w:val="-10"/>
        </w:rPr>
        <w:t xml:space="preserve"> </w:t>
      </w:r>
      <w:r>
        <w:t>with</w:t>
      </w:r>
      <w:r>
        <w:rPr>
          <w:spacing w:val="-12"/>
        </w:rPr>
        <w:t xml:space="preserve"> </w:t>
      </w:r>
      <w:r>
        <w:t>increased</w:t>
      </w:r>
      <w:r>
        <w:rPr>
          <w:spacing w:val="-12"/>
        </w:rPr>
        <w:t xml:space="preserve"> </w:t>
      </w:r>
      <w:r>
        <w:t>adoption</w:t>
      </w:r>
      <w:r>
        <w:rPr>
          <w:spacing w:val="-12"/>
        </w:rPr>
        <w:t xml:space="preserve"> </w:t>
      </w:r>
      <w:r>
        <w:t>of</w:t>
      </w:r>
      <w:r>
        <w:rPr>
          <w:spacing w:val="-12"/>
        </w:rPr>
        <w:t xml:space="preserve"> </w:t>
      </w:r>
      <w:r>
        <w:t>governance</w:t>
      </w:r>
      <w:r>
        <w:rPr>
          <w:spacing w:val="-12"/>
        </w:rPr>
        <w:t xml:space="preserve"> </w:t>
      </w:r>
      <w:r>
        <w:t>systems</w:t>
      </w:r>
      <w:r>
        <w:rPr>
          <w:spacing w:val="-12"/>
        </w:rPr>
        <w:t xml:space="preserve"> </w:t>
      </w:r>
      <w:r>
        <w:t>(Rapid</w:t>
      </w:r>
      <w:r>
        <w:rPr>
          <w:spacing w:val="-12"/>
        </w:rPr>
        <w:t xml:space="preserve"> </w:t>
      </w:r>
      <w:r>
        <w:t>Global,</w:t>
      </w:r>
      <w:r>
        <w:rPr>
          <w:spacing w:val="-12"/>
        </w:rPr>
        <w:t xml:space="preserve"> </w:t>
      </w:r>
      <w:r>
        <w:t>Smartsheets</w:t>
      </w:r>
      <w:r>
        <w:rPr>
          <w:spacing w:val="-11"/>
        </w:rPr>
        <w:t xml:space="preserve"> </w:t>
      </w:r>
      <w:r>
        <w:t xml:space="preserve">and </w:t>
      </w:r>
      <w:r>
        <w:rPr>
          <w:spacing w:val="-2"/>
        </w:rPr>
        <w:t>Riskware).</w:t>
      </w:r>
    </w:p>
    <w:p w14:paraId="5A11885D" w14:textId="77777777" w:rsidR="00141B97" w:rsidRDefault="00911D63">
      <w:pPr>
        <w:pStyle w:val="ListParagraph"/>
        <w:numPr>
          <w:ilvl w:val="4"/>
          <w:numId w:val="81"/>
        </w:numPr>
        <w:tabs>
          <w:tab w:val="left" w:pos="833"/>
          <w:tab w:val="left" w:pos="834"/>
        </w:tabs>
        <w:ind w:right="950" w:hanging="361"/>
      </w:pPr>
      <w:r>
        <w:t>New</w:t>
      </w:r>
      <w:r>
        <w:rPr>
          <w:spacing w:val="-6"/>
        </w:rPr>
        <w:t xml:space="preserve"> </w:t>
      </w:r>
      <w:r>
        <w:t>software</w:t>
      </w:r>
      <w:r>
        <w:rPr>
          <w:spacing w:val="-7"/>
        </w:rPr>
        <w:t xml:space="preserve"> </w:t>
      </w:r>
      <w:r>
        <w:t>solutions</w:t>
      </w:r>
      <w:r>
        <w:rPr>
          <w:spacing w:val="-7"/>
        </w:rPr>
        <w:t xml:space="preserve"> </w:t>
      </w:r>
      <w:r>
        <w:t>to</w:t>
      </w:r>
      <w:r>
        <w:rPr>
          <w:spacing w:val="-7"/>
        </w:rPr>
        <w:t xml:space="preserve"> </w:t>
      </w:r>
      <w:r>
        <w:t>support</w:t>
      </w:r>
      <w:r>
        <w:rPr>
          <w:spacing w:val="-7"/>
        </w:rPr>
        <w:t xml:space="preserve"> </w:t>
      </w:r>
      <w:r>
        <w:t>mobility</w:t>
      </w:r>
      <w:r>
        <w:rPr>
          <w:spacing w:val="-7"/>
        </w:rPr>
        <w:t xml:space="preserve"> </w:t>
      </w:r>
      <w:r>
        <w:t>and</w:t>
      </w:r>
      <w:r>
        <w:rPr>
          <w:spacing w:val="-7"/>
        </w:rPr>
        <w:t xml:space="preserve"> </w:t>
      </w:r>
      <w:r>
        <w:t>paperless</w:t>
      </w:r>
      <w:r>
        <w:rPr>
          <w:spacing w:val="-8"/>
        </w:rPr>
        <w:t xml:space="preserve"> </w:t>
      </w:r>
      <w:r>
        <w:t>solutions</w:t>
      </w:r>
      <w:r>
        <w:rPr>
          <w:spacing w:val="-6"/>
        </w:rPr>
        <w:t xml:space="preserve"> </w:t>
      </w:r>
      <w:r>
        <w:t>(Temetra,</w:t>
      </w:r>
      <w:r>
        <w:rPr>
          <w:spacing w:val="-7"/>
        </w:rPr>
        <w:t xml:space="preserve"> </w:t>
      </w:r>
      <w:r>
        <w:t>Microsoft</w:t>
      </w:r>
      <w:r>
        <w:rPr>
          <w:spacing w:val="-7"/>
        </w:rPr>
        <w:t xml:space="preserve"> </w:t>
      </w:r>
      <w:r>
        <w:t>Office</w:t>
      </w:r>
      <w:r>
        <w:rPr>
          <w:spacing w:val="-8"/>
        </w:rPr>
        <w:t xml:space="preserve"> </w:t>
      </w:r>
      <w:r>
        <w:t>365</w:t>
      </w:r>
      <w:r>
        <w:rPr>
          <w:spacing w:val="-6"/>
        </w:rPr>
        <w:t xml:space="preserve"> </w:t>
      </w:r>
      <w:r>
        <w:t xml:space="preserve">and </w:t>
      </w:r>
      <w:r>
        <w:rPr>
          <w:spacing w:val="-2"/>
        </w:rPr>
        <w:t>Adobe).</w:t>
      </w:r>
    </w:p>
    <w:p w14:paraId="6DA92FF9" w14:textId="77777777" w:rsidR="00141B97" w:rsidRDefault="00911D63">
      <w:pPr>
        <w:pStyle w:val="ListParagraph"/>
        <w:numPr>
          <w:ilvl w:val="4"/>
          <w:numId w:val="81"/>
        </w:numPr>
        <w:tabs>
          <w:tab w:val="left" w:pos="833"/>
          <w:tab w:val="left" w:pos="834"/>
        </w:tabs>
        <w:spacing w:line="280" w:lineRule="exact"/>
        <w:ind w:left="834" w:hanging="361"/>
      </w:pPr>
      <w:r>
        <w:t>Additional/enhanced</w:t>
      </w:r>
      <w:r>
        <w:rPr>
          <w:spacing w:val="-13"/>
        </w:rPr>
        <w:t xml:space="preserve"> </w:t>
      </w:r>
      <w:r>
        <w:t>Cyber</w:t>
      </w:r>
      <w:r>
        <w:rPr>
          <w:spacing w:val="-10"/>
        </w:rPr>
        <w:t xml:space="preserve"> </w:t>
      </w:r>
      <w:r>
        <w:t>Security</w:t>
      </w:r>
      <w:r>
        <w:rPr>
          <w:spacing w:val="-11"/>
        </w:rPr>
        <w:t xml:space="preserve"> </w:t>
      </w:r>
      <w:r>
        <w:t>applications</w:t>
      </w:r>
      <w:r>
        <w:rPr>
          <w:spacing w:val="-11"/>
        </w:rPr>
        <w:t xml:space="preserve"> </w:t>
      </w:r>
      <w:r>
        <w:t>(Microsoft,</w:t>
      </w:r>
      <w:r>
        <w:rPr>
          <w:spacing w:val="-11"/>
        </w:rPr>
        <w:t xml:space="preserve"> </w:t>
      </w:r>
      <w:r>
        <w:t>Sophos,</w:t>
      </w:r>
      <w:r>
        <w:rPr>
          <w:spacing w:val="-11"/>
        </w:rPr>
        <w:t xml:space="preserve"> </w:t>
      </w:r>
      <w:r>
        <w:t>OT</w:t>
      </w:r>
      <w:r>
        <w:rPr>
          <w:spacing w:val="-11"/>
        </w:rPr>
        <w:t xml:space="preserve"> </w:t>
      </w:r>
      <w:r>
        <w:rPr>
          <w:spacing w:val="-2"/>
        </w:rPr>
        <w:t>Firewall).</w:t>
      </w:r>
    </w:p>
    <w:p w14:paraId="0EA25BA5" w14:textId="77777777" w:rsidR="00141B97" w:rsidRDefault="00141B97">
      <w:pPr>
        <w:pStyle w:val="BodyText"/>
      </w:pPr>
    </w:p>
    <w:p w14:paraId="05A289E8" w14:textId="77777777" w:rsidR="00141B97" w:rsidRDefault="00911D63">
      <w:pPr>
        <w:pStyle w:val="BodyText"/>
        <w:ind w:left="114" w:right="948"/>
        <w:jc w:val="both"/>
      </w:pPr>
      <w:r>
        <w:t>There is an increasing market pressure to change to software application platforms to maintain currency as software companies are moving their maintenance and support contracts to SaaS‐only agreements. The decision to move to SaaS applications coupled with LMW’s business transformation strategy, which is driving automation</w:t>
      </w:r>
      <w:r>
        <w:rPr>
          <w:spacing w:val="-3"/>
        </w:rPr>
        <w:t xml:space="preserve"> </w:t>
      </w:r>
      <w:r>
        <w:t>and</w:t>
      </w:r>
      <w:r>
        <w:rPr>
          <w:spacing w:val="-3"/>
        </w:rPr>
        <w:t xml:space="preserve"> </w:t>
      </w:r>
      <w:r>
        <w:t>digitisation</w:t>
      </w:r>
      <w:r>
        <w:rPr>
          <w:spacing w:val="-5"/>
        </w:rPr>
        <w:t xml:space="preserve"> </w:t>
      </w:r>
      <w:r>
        <w:t>of</w:t>
      </w:r>
      <w:r>
        <w:rPr>
          <w:spacing w:val="-3"/>
        </w:rPr>
        <w:t xml:space="preserve"> </w:t>
      </w:r>
      <w:r>
        <w:t>business</w:t>
      </w:r>
      <w:r>
        <w:rPr>
          <w:spacing w:val="-2"/>
        </w:rPr>
        <w:t xml:space="preserve"> </w:t>
      </w:r>
      <w:r>
        <w:t>processes,</w:t>
      </w:r>
      <w:r>
        <w:rPr>
          <w:spacing w:val="-3"/>
        </w:rPr>
        <w:t xml:space="preserve"> </w:t>
      </w:r>
      <w:r>
        <w:t>will</w:t>
      </w:r>
      <w:r>
        <w:rPr>
          <w:spacing w:val="-5"/>
        </w:rPr>
        <w:t xml:space="preserve"> </w:t>
      </w:r>
      <w:r>
        <w:t>continue</w:t>
      </w:r>
      <w:r>
        <w:rPr>
          <w:spacing w:val="-4"/>
        </w:rPr>
        <w:t xml:space="preserve"> </w:t>
      </w:r>
      <w:r>
        <w:t>to</w:t>
      </w:r>
      <w:r>
        <w:rPr>
          <w:spacing w:val="-4"/>
        </w:rPr>
        <w:t xml:space="preserve"> </w:t>
      </w:r>
      <w:r>
        <w:t>place</w:t>
      </w:r>
      <w:r>
        <w:rPr>
          <w:spacing w:val="-4"/>
        </w:rPr>
        <w:t xml:space="preserve"> </w:t>
      </w:r>
      <w:r>
        <w:t>upward</w:t>
      </w:r>
      <w:r>
        <w:rPr>
          <w:spacing w:val="-4"/>
        </w:rPr>
        <w:t xml:space="preserve"> </w:t>
      </w:r>
      <w:r>
        <w:t>pressure</w:t>
      </w:r>
      <w:r>
        <w:rPr>
          <w:spacing w:val="-5"/>
        </w:rPr>
        <w:t xml:space="preserve"> </w:t>
      </w:r>
      <w:r>
        <w:t>on</w:t>
      </w:r>
      <w:r>
        <w:rPr>
          <w:spacing w:val="-3"/>
        </w:rPr>
        <w:t xml:space="preserve"> </w:t>
      </w:r>
      <w:r>
        <w:t>technology</w:t>
      </w:r>
      <w:r>
        <w:rPr>
          <w:spacing w:val="-4"/>
        </w:rPr>
        <w:t xml:space="preserve"> </w:t>
      </w:r>
      <w:r>
        <w:t>costs.</w:t>
      </w:r>
    </w:p>
    <w:p w14:paraId="47914F44" w14:textId="77777777" w:rsidR="00141B97" w:rsidRDefault="00141B97">
      <w:pPr>
        <w:pStyle w:val="BodyText"/>
      </w:pPr>
    </w:p>
    <w:p w14:paraId="2C9AB035" w14:textId="77777777" w:rsidR="00141B97" w:rsidRDefault="00911D63">
      <w:pPr>
        <w:pStyle w:val="BodyText"/>
        <w:ind w:left="113" w:right="946"/>
        <w:jc w:val="both"/>
      </w:pPr>
      <w:r>
        <w:t>The</w:t>
      </w:r>
      <w:r>
        <w:rPr>
          <w:spacing w:val="-11"/>
        </w:rPr>
        <w:t xml:space="preserve"> </w:t>
      </w:r>
      <w:r>
        <w:t>water</w:t>
      </w:r>
      <w:r>
        <w:rPr>
          <w:spacing w:val="-10"/>
        </w:rPr>
        <w:t xml:space="preserve"> </w:t>
      </w:r>
      <w:r>
        <w:t>sector</w:t>
      </w:r>
      <w:r>
        <w:rPr>
          <w:spacing w:val="-9"/>
        </w:rPr>
        <w:t xml:space="preserve"> </w:t>
      </w:r>
      <w:r>
        <w:t>has</w:t>
      </w:r>
      <w:r>
        <w:rPr>
          <w:spacing w:val="-9"/>
        </w:rPr>
        <w:t xml:space="preserve"> </w:t>
      </w:r>
      <w:r>
        <w:t>been</w:t>
      </w:r>
      <w:r>
        <w:rPr>
          <w:spacing w:val="-8"/>
        </w:rPr>
        <w:t xml:space="preserve"> </w:t>
      </w:r>
      <w:r>
        <w:t>proactive</w:t>
      </w:r>
      <w:r>
        <w:rPr>
          <w:spacing w:val="-10"/>
        </w:rPr>
        <w:t xml:space="preserve"> </w:t>
      </w:r>
      <w:r>
        <w:t>transforming</w:t>
      </w:r>
      <w:r>
        <w:rPr>
          <w:spacing w:val="-9"/>
        </w:rPr>
        <w:t xml:space="preserve"> </w:t>
      </w:r>
      <w:r>
        <w:t>to</w:t>
      </w:r>
      <w:r>
        <w:rPr>
          <w:spacing w:val="-8"/>
        </w:rPr>
        <w:t xml:space="preserve"> </w:t>
      </w:r>
      <w:r>
        <w:t>a</w:t>
      </w:r>
      <w:r>
        <w:rPr>
          <w:spacing w:val="-10"/>
        </w:rPr>
        <w:t xml:space="preserve"> </w:t>
      </w:r>
      <w:r>
        <w:t>digital</w:t>
      </w:r>
      <w:r>
        <w:rPr>
          <w:spacing w:val="-10"/>
        </w:rPr>
        <w:t xml:space="preserve"> </w:t>
      </w:r>
      <w:r>
        <w:t>customer</w:t>
      </w:r>
      <w:r>
        <w:rPr>
          <w:spacing w:val="-8"/>
        </w:rPr>
        <w:t xml:space="preserve"> </w:t>
      </w:r>
      <w:r>
        <w:t>service</w:t>
      </w:r>
      <w:r>
        <w:rPr>
          <w:spacing w:val="-10"/>
        </w:rPr>
        <w:t xml:space="preserve"> </w:t>
      </w:r>
      <w:r>
        <w:t>experience</w:t>
      </w:r>
      <w:r>
        <w:rPr>
          <w:spacing w:val="-10"/>
        </w:rPr>
        <w:t xml:space="preserve"> </w:t>
      </w:r>
      <w:r>
        <w:t>to</w:t>
      </w:r>
      <w:r>
        <w:rPr>
          <w:spacing w:val="-10"/>
        </w:rPr>
        <w:t xml:space="preserve"> </w:t>
      </w:r>
      <w:r>
        <w:t>improve</w:t>
      </w:r>
      <w:r>
        <w:rPr>
          <w:spacing w:val="-10"/>
        </w:rPr>
        <w:t xml:space="preserve"> </w:t>
      </w:r>
      <w:r>
        <w:t>customer experience to achieve service excellence. Insights from Vic Water and other industry forums clearly highlight LMW’s</w:t>
      </w:r>
      <w:r>
        <w:rPr>
          <w:spacing w:val="-2"/>
        </w:rPr>
        <w:t xml:space="preserve"> </w:t>
      </w:r>
      <w:r>
        <w:t>transformation</w:t>
      </w:r>
      <w:r>
        <w:rPr>
          <w:spacing w:val="-2"/>
        </w:rPr>
        <w:t xml:space="preserve"> </w:t>
      </w:r>
      <w:r>
        <w:t>roadmap</w:t>
      </w:r>
      <w:r>
        <w:rPr>
          <w:spacing w:val="-1"/>
        </w:rPr>
        <w:t xml:space="preserve"> </w:t>
      </w:r>
      <w:r>
        <w:t>is consistent with</w:t>
      </w:r>
      <w:r>
        <w:rPr>
          <w:spacing w:val="-1"/>
        </w:rPr>
        <w:t xml:space="preserve"> </w:t>
      </w:r>
      <w:r>
        <w:t>industry</w:t>
      </w:r>
      <w:r>
        <w:rPr>
          <w:spacing w:val="-2"/>
        </w:rPr>
        <w:t xml:space="preserve"> </w:t>
      </w:r>
      <w:r>
        <w:t>peers</w:t>
      </w:r>
      <w:r>
        <w:rPr>
          <w:spacing w:val="-1"/>
        </w:rPr>
        <w:t xml:space="preserve"> </w:t>
      </w:r>
      <w:r>
        <w:t>who</w:t>
      </w:r>
      <w:r>
        <w:rPr>
          <w:spacing w:val="-1"/>
        </w:rPr>
        <w:t xml:space="preserve"> </w:t>
      </w:r>
      <w:r>
        <w:t>are</w:t>
      </w:r>
      <w:r>
        <w:rPr>
          <w:spacing w:val="-1"/>
        </w:rPr>
        <w:t xml:space="preserve"> </w:t>
      </w:r>
      <w:r>
        <w:t>all</w:t>
      </w:r>
      <w:r>
        <w:rPr>
          <w:spacing w:val="-1"/>
        </w:rPr>
        <w:t xml:space="preserve"> </w:t>
      </w:r>
      <w:r>
        <w:t>focused</w:t>
      </w:r>
      <w:r>
        <w:rPr>
          <w:spacing w:val="-1"/>
        </w:rPr>
        <w:t xml:space="preserve"> </w:t>
      </w:r>
      <w:r>
        <w:t>on</w:t>
      </w:r>
      <w:r>
        <w:rPr>
          <w:spacing w:val="-1"/>
        </w:rPr>
        <w:t xml:space="preserve"> </w:t>
      </w:r>
      <w:r>
        <w:t>efficient</w:t>
      </w:r>
      <w:r>
        <w:rPr>
          <w:spacing w:val="-1"/>
        </w:rPr>
        <w:t xml:space="preserve"> </w:t>
      </w:r>
      <w:r>
        <w:t>and</w:t>
      </w:r>
      <w:r>
        <w:rPr>
          <w:spacing w:val="-1"/>
        </w:rPr>
        <w:t xml:space="preserve"> </w:t>
      </w:r>
      <w:r>
        <w:t>adaptive programs to sustainably meet its stakeholder expectations. In response to a challenging market environment, LMW is driven to address operational inefficiencies, challenges of ageing technology solutions and poor data architectures to improve organisational efficiencies and deliver upon its service commitments.</w:t>
      </w:r>
    </w:p>
    <w:p w14:paraId="4566A630" w14:textId="77777777" w:rsidR="00141B97" w:rsidRDefault="00141B97">
      <w:pPr>
        <w:pStyle w:val="BodyText"/>
        <w:spacing w:before="8"/>
        <w:rPr>
          <w:sz w:val="19"/>
        </w:rPr>
      </w:pPr>
    </w:p>
    <w:p w14:paraId="0E025D7A" w14:textId="77777777" w:rsidR="00141B97" w:rsidRDefault="00911D63">
      <w:pPr>
        <w:pStyle w:val="ListParagraph"/>
        <w:numPr>
          <w:ilvl w:val="3"/>
          <w:numId w:val="81"/>
        </w:numPr>
        <w:tabs>
          <w:tab w:val="left" w:pos="1107"/>
        </w:tabs>
        <w:spacing w:before="1"/>
        <w:jc w:val="both"/>
        <w:rPr>
          <w:i/>
        </w:rPr>
      </w:pPr>
      <w:r>
        <w:rPr>
          <w:i/>
        </w:rPr>
        <w:t>10‐year</w:t>
      </w:r>
      <w:r>
        <w:rPr>
          <w:i/>
          <w:spacing w:val="-11"/>
        </w:rPr>
        <w:t xml:space="preserve"> </w:t>
      </w:r>
      <w:r>
        <w:rPr>
          <w:i/>
        </w:rPr>
        <w:t>Operating</w:t>
      </w:r>
      <w:r>
        <w:rPr>
          <w:i/>
          <w:spacing w:val="-10"/>
        </w:rPr>
        <w:t xml:space="preserve"> </w:t>
      </w:r>
      <w:r>
        <w:rPr>
          <w:i/>
        </w:rPr>
        <w:t>Expenditure</w:t>
      </w:r>
      <w:r>
        <w:rPr>
          <w:i/>
          <w:spacing w:val="-11"/>
        </w:rPr>
        <w:t xml:space="preserve"> </w:t>
      </w:r>
      <w:r>
        <w:rPr>
          <w:i/>
          <w:spacing w:val="-2"/>
        </w:rPr>
        <w:t>Trend</w:t>
      </w:r>
    </w:p>
    <w:p w14:paraId="0BC8C33A" w14:textId="77777777" w:rsidR="00141B97" w:rsidRDefault="00911D63">
      <w:pPr>
        <w:pStyle w:val="BodyText"/>
        <w:spacing w:before="71" w:line="249" w:lineRule="auto"/>
        <w:ind w:left="114" w:right="949" w:hanging="1"/>
        <w:jc w:val="both"/>
      </w:pPr>
      <w:r>
        <w:t>Figure</w:t>
      </w:r>
      <w:r>
        <w:rPr>
          <w:spacing w:val="-12"/>
        </w:rPr>
        <w:t xml:space="preserve"> </w:t>
      </w:r>
      <w:r>
        <w:t>B6</w:t>
      </w:r>
      <w:r>
        <w:rPr>
          <w:spacing w:val="-10"/>
        </w:rPr>
        <w:t xml:space="preserve"> </w:t>
      </w:r>
      <w:r>
        <w:t>overleaf</w:t>
      </w:r>
      <w:r>
        <w:rPr>
          <w:spacing w:val="-11"/>
        </w:rPr>
        <w:t xml:space="preserve"> </w:t>
      </w:r>
      <w:r>
        <w:t>shows</w:t>
      </w:r>
      <w:r>
        <w:rPr>
          <w:spacing w:val="-11"/>
        </w:rPr>
        <w:t xml:space="preserve"> </w:t>
      </w:r>
      <w:r>
        <w:t>the</w:t>
      </w:r>
      <w:r>
        <w:rPr>
          <w:spacing w:val="-11"/>
        </w:rPr>
        <w:t xml:space="preserve"> </w:t>
      </w:r>
      <w:r>
        <w:t>increase</w:t>
      </w:r>
      <w:r>
        <w:rPr>
          <w:spacing w:val="-11"/>
        </w:rPr>
        <w:t xml:space="preserve"> </w:t>
      </w:r>
      <w:r>
        <w:t>in</w:t>
      </w:r>
      <w:r>
        <w:rPr>
          <w:spacing w:val="-10"/>
        </w:rPr>
        <w:t xml:space="preserve"> </w:t>
      </w:r>
      <w:r>
        <w:t>proposed</w:t>
      </w:r>
      <w:r>
        <w:rPr>
          <w:spacing w:val="-11"/>
        </w:rPr>
        <w:t xml:space="preserve"> </w:t>
      </w:r>
      <w:r>
        <w:t>urban</w:t>
      </w:r>
      <w:r>
        <w:rPr>
          <w:spacing w:val="-11"/>
        </w:rPr>
        <w:t xml:space="preserve"> </w:t>
      </w:r>
      <w:r>
        <w:t>operating</w:t>
      </w:r>
      <w:r>
        <w:rPr>
          <w:spacing w:val="-10"/>
        </w:rPr>
        <w:t xml:space="preserve"> </w:t>
      </w:r>
      <w:r>
        <w:t>expenditure</w:t>
      </w:r>
      <w:r>
        <w:rPr>
          <w:spacing w:val="-11"/>
        </w:rPr>
        <w:t xml:space="preserve"> </w:t>
      </w:r>
      <w:r>
        <w:t>and</w:t>
      </w:r>
      <w:r>
        <w:rPr>
          <w:spacing w:val="-12"/>
        </w:rPr>
        <w:t xml:space="preserve"> </w:t>
      </w:r>
      <w:r>
        <w:t>shows</w:t>
      </w:r>
      <w:r>
        <w:rPr>
          <w:spacing w:val="-10"/>
        </w:rPr>
        <w:t xml:space="preserve"> </w:t>
      </w:r>
      <w:r>
        <w:t>a</w:t>
      </w:r>
      <w:r>
        <w:rPr>
          <w:spacing w:val="-12"/>
        </w:rPr>
        <w:t xml:space="preserve"> </w:t>
      </w:r>
      <w:r>
        <w:t>relatively</w:t>
      </w:r>
      <w:r>
        <w:rPr>
          <w:spacing w:val="-11"/>
        </w:rPr>
        <w:t xml:space="preserve"> </w:t>
      </w:r>
      <w:r>
        <w:t>flat</w:t>
      </w:r>
      <w:r>
        <w:rPr>
          <w:spacing w:val="-11"/>
        </w:rPr>
        <w:t xml:space="preserve"> </w:t>
      </w:r>
      <w:r>
        <w:t>trend for expenditure over the PS5 period, with assumed growth in operating expenditure in the PS6 period in line with growth in connections.</w:t>
      </w:r>
    </w:p>
    <w:p w14:paraId="2FF63A80" w14:textId="77777777" w:rsidR="00141B97" w:rsidRDefault="00141B97">
      <w:pPr>
        <w:spacing w:line="249" w:lineRule="auto"/>
        <w:jc w:val="both"/>
        <w:sectPr w:rsidR="00141B97">
          <w:pgSz w:w="11910" w:h="16840"/>
          <w:pgMar w:top="820" w:right="40" w:bottom="760" w:left="1020" w:header="0" w:footer="580" w:gutter="0"/>
          <w:cols w:space="720"/>
        </w:sectPr>
      </w:pPr>
    </w:p>
    <w:p w14:paraId="142EFD58" w14:textId="77777777" w:rsidR="00141B97" w:rsidRDefault="00911D63">
      <w:pPr>
        <w:pStyle w:val="BodyText"/>
        <w:ind w:left="338"/>
        <w:rPr>
          <w:sz w:val="20"/>
        </w:rPr>
      </w:pPr>
      <w:r>
        <w:rPr>
          <w:noProof/>
          <w:sz w:val="20"/>
        </w:rPr>
        <w:lastRenderedPageBreak/>
        <w:drawing>
          <wp:inline distT="0" distB="0" distL="0" distR="0" wp14:anchorId="04D04396" wp14:editId="44BD86D7">
            <wp:extent cx="5949696" cy="2657855"/>
            <wp:effectExtent l="0" t="0" r="0" b="0"/>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82" cstate="email">
                      <a:extLst>
                        <a:ext uri="{28A0092B-C50C-407E-A947-70E740481C1C}">
                          <a14:useLocalDpi xmlns:a14="http://schemas.microsoft.com/office/drawing/2010/main"/>
                        </a:ext>
                      </a:extLst>
                    </a:blip>
                    <a:stretch>
                      <a:fillRect/>
                    </a:stretch>
                  </pic:blipFill>
                  <pic:spPr>
                    <a:xfrm>
                      <a:off x="0" y="0"/>
                      <a:ext cx="5949696" cy="2657855"/>
                    </a:xfrm>
                    <a:prstGeom prst="rect">
                      <a:avLst/>
                    </a:prstGeom>
                  </pic:spPr>
                </pic:pic>
              </a:graphicData>
            </a:graphic>
          </wp:inline>
        </w:drawing>
      </w:r>
    </w:p>
    <w:p w14:paraId="69B9DF53" w14:textId="77777777" w:rsidR="00141B97" w:rsidRDefault="00911D63">
      <w:pPr>
        <w:spacing w:before="117"/>
        <w:ind w:left="114"/>
        <w:jc w:val="both"/>
        <w:rPr>
          <w:sz w:val="16"/>
        </w:rPr>
      </w:pPr>
      <w:r>
        <w:rPr>
          <w:sz w:val="16"/>
        </w:rPr>
        <w:t>Figure</w:t>
      </w:r>
      <w:r>
        <w:rPr>
          <w:spacing w:val="-5"/>
          <w:sz w:val="16"/>
        </w:rPr>
        <w:t xml:space="preserve"> </w:t>
      </w:r>
      <w:r>
        <w:rPr>
          <w:sz w:val="16"/>
        </w:rPr>
        <w:t>B6:</w:t>
      </w:r>
      <w:r>
        <w:rPr>
          <w:spacing w:val="-5"/>
          <w:sz w:val="16"/>
        </w:rPr>
        <w:t xml:space="preserve"> </w:t>
      </w:r>
      <w:r>
        <w:rPr>
          <w:sz w:val="16"/>
        </w:rPr>
        <w:t>Forecast</w:t>
      </w:r>
      <w:r>
        <w:rPr>
          <w:spacing w:val="-4"/>
          <w:sz w:val="16"/>
        </w:rPr>
        <w:t xml:space="preserve"> </w:t>
      </w:r>
      <w:r>
        <w:rPr>
          <w:sz w:val="16"/>
        </w:rPr>
        <w:t>Operating</w:t>
      </w:r>
      <w:r>
        <w:rPr>
          <w:spacing w:val="-5"/>
          <w:sz w:val="16"/>
        </w:rPr>
        <w:t xml:space="preserve"> </w:t>
      </w:r>
      <w:r>
        <w:rPr>
          <w:sz w:val="16"/>
        </w:rPr>
        <w:t>Expenditure</w:t>
      </w:r>
      <w:r>
        <w:rPr>
          <w:spacing w:val="-4"/>
          <w:sz w:val="16"/>
        </w:rPr>
        <w:t xml:space="preserve"> </w:t>
      </w:r>
      <w:r>
        <w:rPr>
          <w:sz w:val="16"/>
        </w:rPr>
        <w:t>‐</w:t>
      </w:r>
      <w:r>
        <w:rPr>
          <w:spacing w:val="-4"/>
          <w:sz w:val="16"/>
        </w:rPr>
        <w:t xml:space="preserve"> </w:t>
      </w:r>
      <w:r>
        <w:rPr>
          <w:sz w:val="16"/>
        </w:rPr>
        <w:t>$m</w:t>
      </w:r>
      <w:r>
        <w:rPr>
          <w:spacing w:val="-4"/>
          <w:sz w:val="16"/>
        </w:rPr>
        <w:t xml:space="preserve"> </w:t>
      </w:r>
      <w:r>
        <w:rPr>
          <w:spacing w:val="-2"/>
          <w:sz w:val="16"/>
        </w:rPr>
        <w:t>1/1/23</w:t>
      </w:r>
    </w:p>
    <w:p w14:paraId="1AB96280" w14:textId="77777777" w:rsidR="00141B97" w:rsidRDefault="00141B97">
      <w:pPr>
        <w:pStyle w:val="BodyText"/>
        <w:spacing w:before="9"/>
        <w:rPr>
          <w:sz w:val="19"/>
        </w:rPr>
      </w:pPr>
    </w:p>
    <w:p w14:paraId="550478D4" w14:textId="77777777" w:rsidR="00141B97" w:rsidRDefault="00911D63">
      <w:pPr>
        <w:pStyle w:val="ListParagraph"/>
        <w:numPr>
          <w:ilvl w:val="3"/>
          <w:numId w:val="81"/>
        </w:numPr>
        <w:tabs>
          <w:tab w:val="left" w:pos="1107"/>
        </w:tabs>
        <w:jc w:val="both"/>
        <w:rPr>
          <w:i/>
        </w:rPr>
      </w:pPr>
      <w:r>
        <w:rPr>
          <w:i/>
        </w:rPr>
        <w:t>Allocation</w:t>
      </w:r>
      <w:r>
        <w:rPr>
          <w:i/>
          <w:spacing w:val="-6"/>
        </w:rPr>
        <w:t xml:space="preserve"> </w:t>
      </w:r>
      <w:r>
        <w:rPr>
          <w:i/>
        </w:rPr>
        <w:t>of</w:t>
      </w:r>
      <w:r>
        <w:rPr>
          <w:i/>
          <w:spacing w:val="-5"/>
        </w:rPr>
        <w:t xml:space="preserve"> </w:t>
      </w:r>
      <w:r>
        <w:rPr>
          <w:i/>
        </w:rPr>
        <w:t>Shared</w:t>
      </w:r>
      <w:r>
        <w:rPr>
          <w:i/>
          <w:spacing w:val="-5"/>
        </w:rPr>
        <w:t xml:space="preserve"> </w:t>
      </w:r>
      <w:r>
        <w:rPr>
          <w:i/>
          <w:spacing w:val="-2"/>
        </w:rPr>
        <w:t>Costs</w:t>
      </w:r>
    </w:p>
    <w:p w14:paraId="279C3CED" w14:textId="77777777" w:rsidR="00141B97" w:rsidRDefault="00911D63">
      <w:pPr>
        <w:pStyle w:val="BodyText"/>
        <w:spacing w:before="60"/>
        <w:ind w:left="113" w:right="947"/>
        <w:jc w:val="both"/>
      </w:pPr>
      <w:r>
        <w:t>The corporate cost allocation between the urban and rural business is discussed in Part A, Section 4.5. Within the urban business, there is further cost allocation between urban water and sewerage services in accordance with the Corporate Allocation Framework, with the allocation being:</w:t>
      </w:r>
    </w:p>
    <w:p w14:paraId="2FDA16C2" w14:textId="77777777" w:rsidR="00141B97" w:rsidRDefault="00911D63">
      <w:pPr>
        <w:pStyle w:val="ListParagraph"/>
        <w:numPr>
          <w:ilvl w:val="4"/>
          <w:numId w:val="81"/>
        </w:numPr>
        <w:tabs>
          <w:tab w:val="left" w:pos="833"/>
          <w:tab w:val="left" w:pos="834"/>
          <w:tab w:val="left" w:pos="2381"/>
        </w:tabs>
        <w:ind w:hanging="361"/>
      </w:pPr>
      <w:r>
        <w:rPr>
          <w:spacing w:val="-2"/>
        </w:rPr>
        <w:t>Water</w:t>
      </w:r>
      <w:r>
        <w:tab/>
      </w:r>
      <w:r>
        <w:rPr>
          <w:spacing w:val="-5"/>
        </w:rPr>
        <w:t>54%</w:t>
      </w:r>
    </w:p>
    <w:p w14:paraId="5CA7CEF7" w14:textId="77777777" w:rsidR="00141B97" w:rsidRDefault="00911D63">
      <w:pPr>
        <w:pStyle w:val="ListParagraph"/>
        <w:numPr>
          <w:ilvl w:val="4"/>
          <w:numId w:val="81"/>
        </w:numPr>
        <w:tabs>
          <w:tab w:val="left" w:pos="833"/>
          <w:tab w:val="left" w:pos="834"/>
          <w:tab w:val="left" w:pos="2381"/>
        </w:tabs>
        <w:ind w:left="834" w:hanging="361"/>
      </w:pPr>
      <w:r>
        <w:rPr>
          <w:spacing w:val="-2"/>
        </w:rPr>
        <w:t>Sewerage</w:t>
      </w:r>
      <w:r>
        <w:tab/>
      </w:r>
      <w:r>
        <w:rPr>
          <w:spacing w:val="-5"/>
        </w:rPr>
        <w:t>46%</w:t>
      </w:r>
    </w:p>
    <w:p w14:paraId="2CBBC64E" w14:textId="77777777" w:rsidR="00141B97" w:rsidRDefault="00141B97">
      <w:pPr>
        <w:pStyle w:val="BodyText"/>
        <w:spacing w:before="12"/>
        <w:rPr>
          <w:sz w:val="21"/>
        </w:rPr>
      </w:pPr>
    </w:p>
    <w:p w14:paraId="3AB35961" w14:textId="77777777" w:rsidR="00141B97" w:rsidRDefault="00911D63">
      <w:pPr>
        <w:pStyle w:val="BodyText"/>
        <w:ind w:left="113"/>
        <w:jc w:val="both"/>
      </w:pPr>
      <w:r>
        <w:t>This</w:t>
      </w:r>
      <w:r>
        <w:rPr>
          <w:spacing w:val="-6"/>
        </w:rPr>
        <w:t xml:space="preserve"> </w:t>
      </w:r>
      <w:r>
        <w:t>allocation</w:t>
      </w:r>
      <w:r>
        <w:rPr>
          <w:spacing w:val="-7"/>
        </w:rPr>
        <w:t xml:space="preserve"> </w:t>
      </w:r>
      <w:r>
        <w:t>is</w:t>
      </w:r>
      <w:r>
        <w:rPr>
          <w:spacing w:val="-5"/>
        </w:rPr>
        <w:t xml:space="preserve"> </w:t>
      </w:r>
      <w:r>
        <w:t>included</w:t>
      </w:r>
      <w:r>
        <w:rPr>
          <w:spacing w:val="-6"/>
        </w:rPr>
        <w:t xml:space="preserve"> </w:t>
      </w:r>
      <w:r>
        <w:t>in</w:t>
      </w:r>
      <w:r>
        <w:rPr>
          <w:spacing w:val="-6"/>
        </w:rPr>
        <w:t xml:space="preserve"> </w:t>
      </w:r>
      <w:r>
        <w:t>the</w:t>
      </w:r>
      <w:r>
        <w:rPr>
          <w:spacing w:val="-5"/>
        </w:rPr>
        <w:t xml:space="preserve"> </w:t>
      </w:r>
      <w:r>
        <w:t>above</w:t>
      </w:r>
      <w:r>
        <w:rPr>
          <w:spacing w:val="-8"/>
        </w:rPr>
        <w:t xml:space="preserve"> </w:t>
      </w:r>
      <w:r>
        <w:rPr>
          <w:spacing w:val="-2"/>
        </w:rPr>
        <w:t>forecast.</w:t>
      </w:r>
    </w:p>
    <w:p w14:paraId="0D78BD2D" w14:textId="77777777" w:rsidR="00141B97" w:rsidRDefault="00141B97">
      <w:pPr>
        <w:pStyle w:val="BodyText"/>
        <w:spacing w:before="8"/>
        <w:rPr>
          <w:sz w:val="20"/>
        </w:rPr>
      </w:pPr>
    </w:p>
    <w:p w14:paraId="6BFE2024" w14:textId="77777777" w:rsidR="00141B97" w:rsidRDefault="00911D63">
      <w:pPr>
        <w:pStyle w:val="ListParagraph"/>
        <w:numPr>
          <w:ilvl w:val="2"/>
          <w:numId w:val="81"/>
        </w:numPr>
        <w:tabs>
          <w:tab w:val="left" w:pos="1112"/>
          <w:tab w:val="left" w:pos="1113"/>
        </w:tabs>
        <w:jc w:val="both"/>
      </w:pPr>
      <w:r>
        <w:t>Baseline</w:t>
      </w:r>
      <w:r>
        <w:rPr>
          <w:spacing w:val="-11"/>
        </w:rPr>
        <w:t xml:space="preserve"> </w:t>
      </w:r>
      <w:r>
        <w:t>Controllable</w:t>
      </w:r>
      <w:r>
        <w:rPr>
          <w:spacing w:val="-10"/>
        </w:rPr>
        <w:t xml:space="preserve"> </w:t>
      </w:r>
      <w:r>
        <w:t>Operating</w:t>
      </w:r>
      <w:r>
        <w:rPr>
          <w:spacing w:val="-9"/>
        </w:rPr>
        <w:t xml:space="preserve"> </w:t>
      </w:r>
      <w:r>
        <w:rPr>
          <w:spacing w:val="-2"/>
        </w:rPr>
        <w:t>Expenditure</w:t>
      </w:r>
    </w:p>
    <w:p w14:paraId="0F23F925" w14:textId="77777777" w:rsidR="00141B97" w:rsidRDefault="00911D63">
      <w:pPr>
        <w:pStyle w:val="BodyText"/>
        <w:spacing w:before="59"/>
        <w:ind w:left="113" w:right="946"/>
        <w:jc w:val="both"/>
      </w:pPr>
      <w:r>
        <w:t>Table B27 shows the calculation of the 2021‐22 baseline controllable operating expenditure developed in accordance with the ESC’s guidance, and the projection through the PS5 period, allowing for growth and proposed productivity/efficiency improvement along with proposed variations to the baseline.</w:t>
      </w:r>
    </w:p>
    <w:p w14:paraId="7219C1DA" w14:textId="77777777" w:rsidR="00141B97" w:rsidRDefault="00141B97">
      <w:pPr>
        <w:pStyle w:val="BodyText"/>
        <w:spacing w:before="7"/>
        <w:rPr>
          <w:sz w:val="13"/>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4"/>
        <w:gridCol w:w="896"/>
        <w:gridCol w:w="897"/>
        <w:gridCol w:w="897"/>
        <w:gridCol w:w="898"/>
        <w:gridCol w:w="897"/>
        <w:gridCol w:w="897"/>
        <w:gridCol w:w="898"/>
        <w:gridCol w:w="878"/>
      </w:tblGrid>
      <w:tr w:rsidR="00141B97" w14:paraId="6E4EB629" w14:textId="77777777">
        <w:trPr>
          <w:trHeight w:val="240"/>
        </w:trPr>
        <w:tc>
          <w:tcPr>
            <w:tcW w:w="2424" w:type="dxa"/>
            <w:vMerge w:val="restart"/>
            <w:tcBorders>
              <w:top w:val="nil"/>
              <w:left w:val="nil"/>
              <w:right w:val="single" w:sz="8" w:space="0" w:color="FFFFFF"/>
            </w:tcBorders>
            <w:shd w:val="clear" w:color="auto" w:fill="0064A4"/>
          </w:tcPr>
          <w:p w14:paraId="612EB7FD" w14:textId="77777777" w:rsidR="00141B97" w:rsidRDefault="00141B97">
            <w:pPr>
              <w:pStyle w:val="TableParagraph"/>
              <w:spacing w:before="5"/>
              <w:rPr>
                <w:sz w:val="12"/>
              </w:rPr>
            </w:pPr>
          </w:p>
          <w:p w14:paraId="58553F0C" w14:textId="77777777" w:rsidR="00141B97" w:rsidRDefault="00911D63">
            <w:pPr>
              <w:pStyle w:val="TableParagraph"/>
              <w:spacing w:before="1"/>
              <w:ind w:left="88"/>
              <w:rPr>
                <w:sz w:val="16"/>
              </w:rPr>
            </w:pPr>
            <w:r>
              <w:rPr>
                <w:color w:val="FFFFFF"/>
                <w:spacing w:val="-2"/>
                <w:sz w:val="16"/>
              </w:rPr>
              <w:t>Component</w:t>
            </w:r>
          </w:p>
        </w:tc>
        <w:tc>
          <w:tcPr>
            <w:tcW w:w="1793" w:type="dxa"/>
            <w:gridSpan w:val="2"/>
            <w:tcBorders>
              <w:top w:val="nil"/>
              <w:left w:val="single" w:sz="8" w:space="0" w:color="FFFFFF"/>
              <w:bottom w:val="single" w:sz="8" w:space="0" w:color="FFFFFF"/>
              <w:right w:val="single" w:sz="8" w:space="0" w:color="FFFFFF"/>
            </w:tcBorders>
            <w:shd w:val="clear" w:color="auto" w:fill="0064A4"/>
          </w:tcPr>
          <w:p w14:paraId="59609CE7" w14:textId="77777777" w:rsidR="00141B97" w:rsidRDefault="00911D63">
            <w:pPr>
              <w:pStyle w:val="TableParagraph"/>
              <w:spacing w:before="23"/>
              <w:ind w:left="412"/>
              <w:rPr>
                <w:sz w:val="16"/>
              </w:rPr>
            </w:pPr>
            <w:r>
              <w:rPr>
                <w:color w:val="FFFFFF"/>
                <w:sz w:val="16"/>
              </w:rPr>
              <w:t>Current</w:t>
            </w:r>
            <w:r>
              <w:rPr>
                <w:color w:val="FFFFFF"/>
                <w:spacing w:val="-4"/>
                <w:sz w:val="16"/>
              </w:rPr>
              <w:t xml:space="preserve"> </w:t>
            </w:r>
            <w:r>
              <w:rPr>
                <w:color w:val="FFFFFF"/>
                <w:spacing w:val="-2"/>
                <w:sz w:val="16"/>
              </w:rPr>
              <w:t>Period</w:t>
            </w:r>
          </w:p>
        </w:tc>
        <w:tc>
          <w:tcPr>
            <w:tcW w:w="5365" w:type="dxa"/>
            <w:gridSpan w:val="6"/>
            <w:tcBorders>
              <w:top w:val="nil"/>
              <w:left w:val="single" w:sz="8" w:space="0" w:color="FFFFFF"/>
              <w:bottom w:val="single" w:sz="8" w:space="0" w:color="FFFFFF"/>
              <w:right w:val="nil"/>
            </w:tcBorders>
            <w:shd w:val="clear" w:color="auto" w:fill="0064A4"/>
          </w:tcPr>
          <w:p w14:paraId="6A70392F" w14:textId="77777777" w:rsidR="00141B97" w:rsidRDefault="00911D63">
            <w:pPr>
              <w:pStyle w:val="TableParagraph"/>
              <w:spacing w:before="23"/>
              <w:ind w:left="1937" w:right="1922"/>
              <w:jc w:val="center"/>
              <w:rPr>
                <w:sz w:val="16"/>
              </w:rPr>
            </w:pPr>
            <w:r>
              <w:rPr>
                <w:color w:val="FFFFFF"/>
                <w:sz w:val="16"/>
              </w:rPr>
              <w:t>Fifth</w:t>
            </w:r>
            <w:r>
              <w:rPr>
                <w:color w:val="FFFFFF"/>
                <w:spacing w:val="-6"/>
                <w:sz w:val="16"/>
              </w:rPr>
              <w:t xml:space="preserve"> </w:t>
            </w:r>
            <w:r>
              <w:rPr>
                <w:color w:val="FFFFFF"/>
                <w:sz w:val="16"/>
              </w:rPr>
              <w:t>Regulatory</w:t>
            </w:r>
            <w:r>
              <w:rPr>
                <w:color w:val="FFFFFF"/>
                <w:spacing w:val="-4"/>
                <w:sz w:val="16"/>
              </w:rPr>
              <w:t xml:space="preserve"> </w:t>
            </w:r>
            <w:r>
              <w:rPr>
                <w:color w:val="FFFFFF"/>
                <w:spacing w:val="-2"/>
                <w:sz w:val="16"/>
              </w:rPr>
              <w:t>Period</w:t>
            </w:r>
          </w:p>
        </w:tc>
      </w:tr>
      <w:tr w:rsidR="00141B97" w14:paraId="32E482ED" w14:textId="77777777">
        <w:trPr>
          <w:trHeight w:val="239"/>
        </w:trPr>
        <w:tc>
          <w:tcPr>
            <w:tcW w:w="2424" w:type="dxa"/>
            <w:vMerge/>
            <w:tcBorders>
              <w:top w:val="nil"/>
              <w:left w:val="nil"/>
              <w:right w:val="single" w:sz="8" w:space="0" w:color="FFFFFF"/>
            </w:tcBorders>
            <w:shd w:val="clear" w:color="auto" w:fill="0064A4"/>
          </w:tcPr>
          <w:p w14:paraId="5CAF26EC" w14:textId="77777777" w:rsidR="00141B97" w:rsidRDefault="00141B97">
            <w:pPr>
              <w:rPr>
                <w:sz w:val="2"/>
                <w:szCs w:val="2"/>
              </w:rPr>
            </w:pPr>
          </w:p>
        </w:tc>
        <w:tc>
          <w:tcPr>
            <w:tcW w:w="896" w:type="dxa"/>
            <w:tcBorders>
              <w:top w:val="single" w:sz="8" w:space="0" w:color="FFFFFF"/>
              <w:left w:val="single" w:sz="8" w:space="0" w:color="FFFFFF"/>
              <w:bottom w:val="nil"/>
              <w:right w:val="single" w:sz="8" w:space="0" w:color="FFFFFF"/>
            </w:tcBorders>
            <w:shd w:val="clear" w:color="auto" w:fill="0064A4"/>
          </w:tcPr>
          <w:p w14:paraId="46751875" w14:textId="77777777" w:rsidR="00141B97" w:rsidRDefault="00911D63">
            <w:pPr>
              <w:pStyle w:val="TableParagraph"/>
              <w:spacing w:before="22"/>
              <w:ind w:left="170"/>
              <w:rPr>
                <w:sz w:val="16"/>
              </w:rPr>
            </w:pPr>
            <w:r>
              <w:rPr>
                <w:color w:val="FFFFFF"/>
                <w:spacing w:val="-2"/>
                <w:sz w:val="16"/>
              </w:rPr>
              <w:t>2021‐22</w:t>
            </w:r>
          </w:p>
        </w:tc>
        <w:tc>
          <w:tcPr>
            <w:tcW w:w="897" w:type="dxa"/>
            <w:tcBorders>
              <w:top w:val="single" w:sz="8" w:space="0" w:color="FFFFFF"/>
              <w:left w:val="single" w:sz="8" w:space="0" w:color="FFFFFF"/>
              <w:bottom w:val="nil"/>
              <w:right w:val="single" w:sz="8" w:space="0" w:color="FFFFFF"/>
            </w:tcBorders>
            <w:shd w:val="clear" w:color="auto" w:fill="0064A4"/>
          </w:tcPr>
          <w:p w14:paraId="1538097D" w14:textId="77777777" w:rsidR="00141B97" w:rsidRDefault="00911D63">
            <w:pPr>
              <w:pStyle w:val="TableParagraph"/>
              <w:spacing w:before="22"/>
              <w:ind w:left="170"/>
              <w:rPr>
                <w:sz w:val="16"/>
              </w:rPr>
            </w:pPr>
            <w:r>
              <w:rPr>
                <w:color w:val="FFFFFF"/>
                <w:spacing w:val="-2"/>
                <w:sz w:val="16"/>
              </w:rPr>
              <w:t>2022‐23</w:t>
            </w:r>
          </w:p>
        </w:tc>
        <w:tc>
          <w:tcPr>
            <w:tcW w:w="897" w:type="dxa"/>
            <w:tcBorders>
              <w:top w:val="single" w:sz="8" w:space="0" w:color="FFFFFF"/>
              <w:left w:val="single" w:sz="8" w:space="0" w:color="FFFFFF"/>
              <w:bottom w:val="nil"/>
              <w:right w:val="single" w:sz="8" w:space="0" w:color="FFFFFF"/>
            </w:tcBorders>
            <w:shd w:val="clear" w:color="auto" w:fill="0064A4"/>
          </w:tcPr>
          <w:p w14:paraId="21D0B0BE" w14:textId="77777777" w:rsidR="00141B97" w:rsidRDefault="00911D63">
            <w:pPr>
              <w:pStyle w:val="TableParagraph"/>
              <w:spacing w:before="22"/>
              <w:ind w:left="170"/>
              <w:rPr>
                <w:sz w:val="16"/>
              </w:rPr>
            </w:pPr>
            <w:r>
              <w:rPr>
                <w:color w:val="FFFFFF"/>
                <w:spacing w:val="-2"/>
                <w:sz w:val="16"/>
              </w:rPr>
              <w:t>2023‐24</w:t>
            </w:r>
          </w:p>
        </w:tc>
        <w:tc>
          <w:tcPr>
            <w:tcW w:w="898" w:type="dxa"/>
            <w:tcBorders>
              <w:top w:val="single" w:sz="8" w:space="0" w:color="FFFFFF"/>
              <w:left w:val="single" w:sz="8" w:space="0" w:color="FFFFFF"/>
              <w:bottom w:val="nil"/>
              <w:right w:val="single" w:sz="8" w:space="0" w:color="FFFFFF"/>
            </w:tcBorders>
            <w:shd w:val="clear" w:color="auto" w:fill="0064A4"/>
          </w:tcPr>
          <w:p w14:paraId="5E192291" w14:textId="77777777" w:rsidR="00141B97" w:rsidRDefault="00911D63">
            <w:pPr>
              <w:pStyle w:val="TableParagraph"/>
              <w:spacing w:before="22"/>
              <w:ind w:left="171"/>
              <w:rPr>
                <w:sz w:val="16"/>
              </w:rPr>
            </w:pPr>
            <w:r>
              <w:rPr>
                <w:color w:val="FFFFFF"/>
                <w:spacing w:val="-2"/>
                <w:sz w:val="16"/>
              </w:rPr>
              <w:t>2024‐25</w:t>
            </w:r>
          </w:p>
        </w:tc>
        <w:tc>
          <w:tcPr>
            <w:tcW w:w="897" w:type="dxa"/>
            <w:tcBorders>
              <w:top w:val="single" w:sz="8" w:space="0" w:color="FFFFFF"/>
              <w:left w:val="single" w:sz="8" w:space="0" w:color="FFFFFF"/>
              <w:bottom w:val="nil"/>
              <w:right w:val="single" w:sz="8" w:space="0" w:color="FFFFFF"/>
            </w:tcBorders>
            <w:shd w:val="clear" w:color="auto" w:fill="0064A4"/>
          </w:tcPr>
          <w:p w14:paraId="055001B3" w14:textId="77777777" w:rsidR="00141B97" w:rsidRDefault="00911D63">
            <w:pPr>
              <w:pStyle w:val="TableParagraph"/>
              <w:spacing w:before="22"/>
              <w:ind w:right="166"/>
              <w:jc w:val="right"/>
              <w:rPr>
                <w:sz w:val="16"/>
              </w:rPr>
            </w:pPr>
            <w:r>
              <w:rPr>
                <w:color w:val="FFFFFF"/>
                <w:spacing w:val="-2"/>
                <w:sz w:val="16"/>
              </w:rPr>
              <w:t>2025‐26</w:t>
            </w:r>
          </w:p>
        </w:tc>
        <w:tc>
          <w:tcPr>
            <w:tcW w:w="897" w:type="dxa"/>
            <w:tcBorders>
              <w:top w:val="single" w:sz="8" w:space="0" w:color="FFFFFF"/>
              <w:left w:val="single" w:sz="8" w:space="0" w:color="FFFFFF"/>
              <w:bottom w:val="nil"/>
              <w:right w:val="single" w:sz="8" w:space="0" w:color="FFFFFF"/>
            </w:tcBorders>
            <w:shd w:val="clear" w:color="auto" w:fill="0064A4"/>
          </w:tcPr>
          <w:p w14:paraId="695DEE84" w14:textId="77777777" w:rsidR="00141B97" w:rsidRDefault="00911D63">
            <w:pPr>
              <w:pStyle w:val="TableParagraph"/>
              <w:spacing w:before="22"/>
              <w:ind w:left="172"/>
              <w:rPr>
                <w:sz w:val="16"/>
              </w:rPr>
            </w:pPr>
            <w:r>
              <w:rPr>
                <w:color w:val="FFFFFF"/>
                <w:spacing w:val="-2"/>
                <w:sz w:val="16"/>
              </w:rPr>
              <w:t>2026‐27</w:t>
            </w:r>
          </w:p>
        </w:tc>
        <w:tc>
          <w:tcPr>
            <w:tcW w:w="898" w:type="dxa"/>
            <w:tcBorders>
              <w:top w:val="single" w:sz="8" w:space="0" w:color="FFFFFF"/>
              <w:left w:val="single" w:sz="8" w:space="0" w:color="FFFFFF"/>
              <w:bottom w:val="nil"/>
              <w:right w:val="single" w:sz="8" w:space="0" w:color="FFFFFF"/>
            </w:tcBorders>
            <w:shd w:val="clear" w:color="auto" w:fill="0064A4"/>
          </w:tcPr>
          <w:p w14:paraId="53942A86" w14:textId="77777777" w:rsidR="00141B97" w:rsidRDefault="00911D63">
            <w:pPr>
              <w:pStyle w:val="TableParagraph"/>
              <w:spacing w:before="22"/>
              <w:ind w:right="164"/>
              <w:jc w:val="right"/>
              <w:rPr>
                <w:sz w:val="16"/>
              </w:rPr>
            </w:pPr>
            <w:r>
              <w:rPr>
                <w:color w:val="FFFFFF"/>
                <w:spacing w:val="-2"/>
                <w:sz w:val="16"/>
              </w:rPr>
              <w:t>2027‐28</w:t>
            </w:r>
          </w:p>
        </w:tc>
        <w:tc>
          <w:tcPr>
            <w:tcW w:w="878" w:type="dxa"/>
            <w:tcBorders>
              <w:top w:val="single" w:sz="8" w:space="0" w:color="FFFFFF"/>
              <w:left w:val="single" w:sz="8" w:space="0" w:color="FFFFFF"/>
              <w:bottom w:val="nil"/>
              <w:right w:val="nil"/>
            </w:tcBorders>
            <w:shd w:val="clear" w:color="auto" w:fill="0064A4"/>
          </w:tcPr>
          <w:p w14:paraId="76303815" w14:textId="77777777" w:rsidR="00141B97" w:rsidRDefault="00911D63">
            <w:pPr>
              <w:pStyle w:val="TableParagraph"/>
              <w:spacing w:before="22"/>
              <w:ind w:right="120"/>
              <w:jc w:val="right"/>
              <w:rPr>
                <w:sz w:val="16"/>
              </w:rPr>
            </w:pPr>
            <w:r>
              <w:rPr>
                <w:color w:val="FFFFFF"/>
                <w:sz w:val="16"/>
              </w:rPr>
              <w:t>Total</w:t>
            </w:r>
            <w:r>
              <w:rPr>
                <w:color w:val="FFFFFF"/>
                <w:spacing w:val="-5"/>
                <w:sz w:val="16"/>
              </w:rPr>
              <w:t xml:space="preserve"> PS5</w:t>
            </w:r>
          </w:p>
        </w:tc>
      </w:tr>
      <w:tr w:rsidR="00141B97" w14:paraId="7EA541E2" w14:textId="77777777">
        <w:trPr>
          <w:trHeight w:val="250"/>
        </w:trPr>
        <w:tc>
          <w:tcPr>
            <w:tcW w:w="2424" w:type="dxa"/>
            <w:tcBorders>
              <w:left w:val="nil"/>
              <w:bottom w:val="single" w:sz="8" w:space="0" w:color="FFFFFF"/>
              <w:right w:val="single" w:sz="8" w:space="0" w:color="FFFFFF"/>
            </w:tcBorders>
            <w:shd w:val="clear" w:color="auto" w:fill="CCE2ED"/>
          </w:tcPr>
          <w:p w14:paraId="037F9D56" w14:textId="77777777" w:rsidR="00141B97" w:rsidRDefault="00911D63">
            <w:pPr>
              <w:pStyle w:val="TableParagraph"/>
              <w:spacing w:before="32"/>
              <w:ind w:left="88"/>
              <w:rPr>
                <w:sz w:val="16"/>
              </w:rPr>
            </w:pPr>
            <w:r>
              <w:rPr>
                <w:sz w:val="16"/>
              </w:rPr>
              <w:t>Prescribed</w:t>
            </w:r>
            <w:r>
              <w:rPr>
                <w:spacing w:val="-6"/>
                <w:sz w:val="16"/>
              </w:rPr>
              <w:t xml:space="preserve"> </w:t>
            </w:r>
            <w:r>
              <w:rPr>
                <w:sz w:val="16"/>
              </w:rPr>
              <w:t>opex</w:t>
            </w:r>
            <w:r>
              <w:rPr>
                <w:spacing w:val="-5"/>
                <w:sz w:val="16"/>
              </w:rPr>
              <w:t xml:space="preserve"> </w:t>
            </w:r>
            <w:r>
              <w:rPr>
                <w:sz w:val="16"/>
              </w:rPr>
              <w:t>in</w:t>
            </w:r>
            <w:r>
              <w:rPr>
                <w:spacing w:val="-5"/>
                <w:sz w:val="16"/>
              </w:rPr>
              <w:t xml:space="preserve"> </w:t>
            </w:r>
            <w:r>
              <w:rPr>
                <w:spacing w:val="-2"/>
                <w:sz w:val="16"/>
              </w:rPr>
              <w:t>2021/22</w:t>
            </w:r>
          </w:p>
        </w:tc>
        <w:tc>
          <w:tcPr>
            <w:tcW w:w="896" w:type="dxa"/>
            <w:tcBorders>
              <w:top w:val="nil"/>
              <w:left w:val="single" w:sz="8" w:space="0" w:color="FFFFFF"/>
              <w:bottom w:val="single" w:sz="8" w:space="0" w:color="FFFFFF"/>
              <w:right w:val="single" w:sz="8" w:space="0" w:color="FFFFFF"/>
            </w:tcBorders>
            <w:shd w:val="clear" w:color="auto" w:fill="CCE2ED"/>
          </w:tcPr>
          <w:p w14:paraId="51C39A8C" w14:textId="77777777" w:rsidR="00141B97" w:rsidRDefault="00911D63">
            <w:pPr>
              <w:pStyle w:val="TableParagraph"/>
              <w:spacing w:before="32"/>
              <w:ind w:right="95"/>
              <w:jc w:val="right"/>
              <w:rPr>
                <w:sz w:val="16"/>
              </w:rPr>
            </w:pPr>
            <w:r>
              <w:rPr>
                <w:spacing w:val="-2"/>
                <w:sz w:val="16"/>
              </w:rPr>
              <w:t>29.67</w:t>
            </w:r>
          </w:p>
        </w:tc>
        <w:tc>
          <w:tcPr>
            <w:tcW w:w="6262" w:type="dxa"/>
            <w:gridSpan w:val="7"/>
            <w:vMerge w:val="restart"/>
            <w:tcBorders>
              <w:top w:val="nil"/>
              <w:left w:val="single" w:sz="8" w:space="0" w:color="FFFFFF"/>
              <w:bottom w:val="single" w:sz="8" w:space="0" w:color="FFFFFF"/>
              <w:right w:val="nil"/>
            </w:tcBorders>
            <w:shd w:val="clear" w:color="auto" w:fill="CCE2ED"/>
          </w:tcPr>
          <w:p w14:paraId="580CD070" w14:textId="77777777" w:rsidR="00141B97" w:rsidRDefault="00141B97">
            <w:pPr>
              <w:pStyle w:val="TableParagraph"/>
              <w:rPr>
                <w:rFonts w:ascii="Times New Roman"/>
                <w:sz w:val="18"/>
              </w:rPr>
            </w:pPr>
          </w:p>
        </w:tc>
      </w:tr>
      <w:tr w:rsidR="00141B97" w14:paraId="75F9C072"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24DD7C34" w14:textId="77777777" w:rsidR="00141B97" w:rsidRDefault="00911D63">
            <w:pPr>
              <w:pStyle w:val="TableParagraph"/>
              <w:spacing w:before="22"/>
              <w:ind w:left="88"/>
              <w:rPr>
                <w:sz w:val="16"/>
              </w:rPr>
            </w:pPr>
            <w:r>
              <w:rPr>
                <w:sz w:val="16"/>
              </w:rPr>
              <w:t>Less</w:t>
            </w:r>
            <w:r>
              <w:rPr>
                <w:spacing w:val="-7"/>
                <w:sz w:val="16"/>
              </w:rPr>
              <w:t xml:space="preserve"> </w:t>
            </w:r>
            <w:r>
              <w:rPr>
                <w:sz w:val="16"/>
              </w:rPr>
              <w:t>non</w:t>
            </w:r>
            <w:r>
              <w:rPr>
                <w:spacing w:val="-6"/>
                <w:sz w:val="16"/>
              </w:rPr>
              <w:t xml:space="preserve"> </w:t>
            </w:r>
            <w:r>
              <w:rPr>
                <w:sz w:val="16"/>
              </w:rPr>
              <w:t>controllable</w:t>
            </w:r>
            <w:r>
              <w:rPr>
                <w:spacing w:val="-5"/>
                <w:sz w:val="16"/>
              </w:rPr>
              <w:t xml:space="preserve"> </w:t>
            </w:r>
            <w:r>
              <w:rPr>
                <w:spacing w:val="-4"/>
                <w:sz w:val="16"/>
              </w:rPr>
              <w:t>opex</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5FF2AF87" w14:textId="77777777" w:rsidR="00141B97" w:rsidRDefault="00911D63">
            <w:pPr>
              <w:pStyle w:val="TableParagraph"/>
              <w:spacing w:before="22"/>
              <w:ind w:right="95"/>
              <w:jc w:val="right"/>
              <w:rPr>
                <w:sz w:val="16"/>
              </w:rPr>
            </w:pPr>
            <w:r>
              <w:rPr>
                <w:spacing w:val="-2"/>
                <w:sz w:val="16"/>
              </w:rPr>
              <w:t>‐2.70</w:t>
            </w:r>
          </w:p>
        </w:tc>
        <w:tc>
          <w:tcPr>
            <w:tcW w:w="6262" w:type="dxa"/>
            <w:gridSpan w:val="7"/>
            <w:vMerge/>
            <w:tcBorders>
              <w:top w:val="nil"/>
              <w:left w:val="single" w:sz="8" w:space="0" w:color="FFFFFF"/>
              <w:bottom w:val="single" w:sz="8" w:space="0" w:color="FFFFFF"/>
              <w:right w:val="nil"/>
            </w:tcBorders>
            <w:shd w:val="clear" w:color="auto" w:fill="CCE2ED"/>
          </w:tcPr>
          <w:p w14:paraId="7C44C9AC" w14:textId="77777777" w:rsidR="00141B97" w:rsidRDefault="00141B97">
            <w:pPr>
              <w:rPr>
                <w:sz w:val="2"/>
                <w:szCs w:val="2"/>
              </w:rPr>
            </w:pPr>
          </w:p>
        </w:tc>
      </w:tr>
      <w:tr w:rsidR="00141B97" w14:paraId="4F8BF221" w14:textId="77777777">
        <w:trPr>
          <w:trHeight w:val="239"/>
        </w:trPr>
        <w:tc>
          <w:tcPr>
            <w:tcW w:w="2424" w:type="dxa"/>
            <w:tcBorders>
              <w:top w:val="single" w:sz="8" w:space="0" w:color="FFFFFF"/>
              <w:left w:val="nil"/>
              <w:bottom w:val="single" w:sz="8" w:space="0" w:color="FFFFFF"/>
              <w:right w:val="single" w:sz="8" w:space="0" w:color="FFFFFF"/>
            </w:tcBorders>
            <w:shd w:val="clear" w:color="auto" w:fill="CCE2ED"/>
          </w:tcPr>
          <w:p w14:paraId="0958C416" w14:textId="77777777" w:rsidR="00141B97" w:rsidRDefault="00911D63">
            <w:pPr>
              <w:pStyle w:val="TableParagraph"/>
              <w:spacing w:before="22"/>
              <w:ind w:left="88"/>
              <w:rPr>
                <w:i/>
                <w:sz w:val="16"/>
              </w:rPr>
            </w:pPr>
            <w:r>
              <w:rPr>
                <w:i/>
                <w:sz w:val="16"/>
              </w:rPr>
              <w:t>One‐off</w:t>
            </w:r>
            <w:r>
              <w:rPr>
                <w:i/>
                <w:spacing w:val="-7"/>
                <w:sz w:val="16"/>
              </w:rPr>
              <w:t xml:space="preserve"> </w:t>
            </w:r>
            <w:r>
              <w:rPr>
                <w:i/>
                <w:spacing w:val="-2"/>
                <w:sz w:val="16"/>
              </w:rPr>
              <w:t>adjustments:</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2D673E69" w14:textId="77777777" w:rsidR="00141B97" w:rsidRDefault="00141B97">
            <w:pPr>
              <w:pStyle w:val="TableParagraph"/>
              <w:rPr>
                <w:rFonts w:ascii="Times New Roman"/>
                <w:sz w:val="16"/>
              </w:rPr>
            </w:pPr>
          </w:p>
        </w:tc>
        <w:tc>
          <w:tcPr>
            <w:tcW w:w="6262" w:type="dxa"/>
            <w:gridSpan w:val="7"/>
            <w:vMerge/>
            <w:tcBorders>
              <w:top w:val="nil"/>
              <w:left w:val="single" w:sz="8" w:space="0" w:color="FFFFFF"/>
              <w:bottom w:val="single" w:sz="8" w:space="0" w:color="FFFFFF"/>
              <w:right w:val="nil"/>
            </w:tcBorders>
            <w:shd w:val="clear" w:color="auto" w:fill="CCE2ED"/>
          </w:tcPr>
          <w:p w14:paraId="6CD20162" w14:textId="77777777" w:rsidR="00141B97" w:rsidRDefault="00141B97">
            <w:pPr>
              <w:rPr>
                <w:sz w:val="2"/>
                <w:szCs w:val="2"/>
              </w:rPr>
            </w:pPr>
          </w:p>
        </w:tc>
      </w:tr>
      <w:tr w:rsidR="00141B97" w14:paraId="073275B9"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46D4BA9F" w14:textId="77777777" w:rsidR="00141B97" w:rsidRDefault="00911D63">
            <w:pPr>
              <w:pStyle w:val="TableParagraph"/>
              <w:spacing w:before="22"/>
              <w:ind w:left="88"/>
              <w:rPr>
                <w:sz w:val="16"/>
              </w:rPr>
            </w:pPr>
            <w:r>
              <w:rPr>
                <w:sz w:val="16"/>
              </w:rPr>
              <w:t>Corporate</w:t>
            </w:r>
            <w:r>
              <w:rPr>
                <w:spacing w:val="-8"/>
                <w:sz w:val="16"/>
              </w:rPr>
              <w:t xml:space="preserve"> </w:t>
            </w:r>
            <w:r>
              <w:rPr>
                <w:sz w:val="16"/>
              </w:rPr>
              <w:t>Cost</w:t>
            </w:r>
            <w:r>
              <w:rPr>
                <w:spacing w:val="-8"/>
                <w:sz w:val="16"/>
              </w:rPr>
              <w:t xml:space="preserve"> </w:t>
            </w:r>
            <w:r>
              <w:rPr>
                <w:sz w:val="16"/>
              </w:rPr>
              <w:t>Allocation</w:t>
            </w:r>
            <w:r>
              <w:rPr>
                <w:spacing w:val="-8"/>
                <w:sz w:val="16"/>
              </w:rPr>
              <w:t xml:space="preserve"> </w:t>
            </w:r>
            <w:r>
              <w:rPr>
                <w:spacing w:val="-2"/>
                <w:sz w:val="16"/>
              </w:rPr>
              <w:t>changes</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6A084F69" w14:textId="77777777" w:rsidR="00141B97" w:rsidRDefault="00911D63">
            <w:pPr>
              <w:pStyle w:val="TableParagraph"/>
              <w:spacing w:before="22"/>
              <w:ind w:right="95"/>
              <w:jc w:val="right"/>
              <w:rPr>
                <w:sz w:val="16"/>
              </w:rPr>
            </w:pPr>
            <w:r>
              <w:rPr>
                <w:spacing w:val="-4"/>
                <w:sz w:val="16"/>
              </w:rPr>
              <w:t>0.90</w:t>
            </w:r>
          </w:p>
        </w:tc>
        <w:tc>
          <w:tcPr>
            <w:tcW w:w="6262" w:type="dxa"/>
            <w:gridSpan w:val="7"/>
            <w:vMerge/>
            <w:tcBorders>
              <w:top w:val="nil"/>
              <w:left w:val="single" w:sz="8" w:space="0" w:color="FFFFFF"/>
              <w:bottom w:val="single" w:sz="8" w:space="0" w:color="FFFFFF"/>
              <w:right w:val="nil"/>
            </w:tcBorders>
            <w:shd w:val="clear" w:color="auto" w:fill="CCE2ED"/>
          </w:tcPr>
          <w:p w14:paraId="5BDB4D54" w14:textId="77777777" w:rsidR="00141B97" w:rsidRDefault="00141B97">
            <w:pPr>
              <w:rPr>
                <w:sz w:val="2"/>
                <w:szCs w:val="2"/>
              </w:rPr>
            </w:pPr>
          </w:p>
        </w:tc>
      </w:tr>
      <w:tr w:rsidR="00141B97" w14:paraId="6F6ABEDF"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35DAE465" w14:textId="77777777" w:rsidR="00141B97" w:rsidRDefault="00911D63">
            <w:pPr>
              <w:pStyle w:val="TableParagraph"/>
              <w:spacing w:before="22"/>
              <w:ind w:left="88"/>
              <w:rPr>
                <w:sz w:val="16"/>
              </w:rPr>
            </w:pPr>
            <w:r>
              <w:rPr>
                <w:sz w:val="16"/>
              </w:rPr>
              <w:t>Training</w:t>
            </w:r>
            <w:r>
              <w:rPr>
                <w:spacing w:val="-5"/>
                <w:sz w:val="16"/>
              </w:rPr>
              <w:t xml:space="preserve"> </w:t>
            </w:r>
            <w:r>
              <w:rPr>
                <w:sz w:val="16"/>
              </w:rPr>
              <w:t>&amp;</w:t>
            </w:r>
            <w:r>
              <w:rPr>
                <w:spacing w:val="-7"/>
                <w:sz w:val="16"/>
              </w:rPr>
              <w:t xml:space="preserve"> </w:t>
            </w:r>
            <w:r>
              <w:rPr>
                <w:spacing w:val="-2"/>
                <w:sz w:val="16"/>
              </w:rPr>
              <w:t>Travel</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2978B449" w14:textId="77777777" w:rsidR="00141B97" w:rsidRDefault="00911D63">
            <w:pPr>
              <w:pStyle w:val="TableParagraph"/>
              <w:spacing w:before="22"/>
              <w:ind w:right="95"/>
              <w:jc w:val="right"/>
              <w:rPr>
                <w:sz w:val="16"/>
              </w:rPr>
            </w:pPr>
            <w:r>
              <w:rPr>
                <w:spacing w:val="-4"/>
                <w:sz w:val="16"/>
              </w:rPr>
              <w:t>0.09</w:t>
            </w:r>
          </w:p>
        </w:tc>
        <w:tc>
          <w:tcPr>
            <w:tcW w:w="6262" w:type="dxa"/>
            <w:gridSpan w:val="7"/>
            <w:vMerge/>
            <w:tcBorders>
              <w:top w:val="nil"/>
              <w:left w:val="single" w:sz="8" w:space="0" w:color="FFFFFF"/>
              <w:bottom w:val="single" w:sz="8" w:space="0" w:color="FFFFFF"/>
              <w:right w:val="nil"/>
            </w:tcBorders>
            <w:shd w:val="clear" w:color="auto" w:fill="CCE2ED"/>
          </w:tcPr>
          <w:p w14:paraId="16A913D6" w14:textId="77777777" w:rsidR="00141B97" w:rsidRDefault="00141B97">
            <w:pPr>
              <w:rPr>
                <w:sz w:val="2"/>
                <w:szCs w:val="2"/>
              </w:rPr>
            </w:pPr>
          </w:p>
        </w:tc>
      </w:tr>
      <w:tr w:rsidR="00141B97" w14:paraId="4570350F" w14:textId="77777777">
        <w:trPr>
          <w:trHeight w:val="239"/>
        </w:trPr>
        <w:tc>
          <w:tcPr>
            <w:tcW w:w="2424" w:type="dxa"/>
            <w:tcBorders>
              <w:top w:val="single" w:sz="8" w:space="0" w:color="FFFFFF"/>
              <w:left w:val="nil"/>
              <w:bottom w:val="single" w:sz="8" w:space="0" w:color="FFFFFF"/>
              <w:right w:val="single" w:sz="8" w:space="0" w:color="FFFFFF"/>
            </w:tcBorders>
            <w:shd w:val="clear" w:color="auto" w:fill="CCE2ED"/>
          </w:tcPr>
          <w:p w14:paraId="6D2971D0" w14:textId="77777777" w:rsidR="00141B97" w:rsidRDefault="00911D63">
            <w:pPr>
              <w:pStyle w:val="TableParagraph"/>
              <w:spacing w:before="22"/>
              <w:ind w:left="88"/>
              <w:rPr>
                <w:sz w:val="16"/>
              </w:rPr>
            </w:pPr>
            <w:r>
              <w:rPr>
                <w:sz w:val="16"/>
              </w:rPr>
              <w:t>PS5</w:t>
            </w:r>
            <w:r>
              <w:rPr>
                <w:spacing w:val="-6"/>
                <w:sz w:val="16"/>
              </w:rPr>
              <w:t xml:space="preserve"> </w:t>
            </w:r>
            <w:r>
              <w:rPr>
                <w:sz w:val="16"/>
              </w:rPr>
              <w:t>Planning</w:t>
            </w:r>
            <w:r>
              <w:rPr>
                <w:spacing w:val="-5"/>
                <w:sz w:val="16"/>
              </w:rPr>
              <w:t xml:space="preserve"> </w:t>
            </w:r>
            <w:r>
              <w:rPr>
                <w:spacing w:val="-2"/>
                <w:sz w:val="16"/>
              </w:rPr>
              <w:t>Costs</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6A001BB1" w14:textId="77777777" w:rsidR="00141B97" w:rsidRDefault="00911D63">
            <w:pPr>
              <w:pStyle w:val="TableParagraph"/>
              <w:spacing w:before="22"/>
              <w:ind w:right="95"/>
              <w:jc w:val="right"/>
              <w:rPr>
                <w:sz w:val="16"/>
              </w:rPr>
            </w:pPr>
            <w:r>
              <w:rPr>
                <w:spacing w:val="-2"/>
                <w:sz w:val="16"/>
              </w:rPr>
              <w:t>‐0.43</w:t>
            </w:r>
          </w:p>
        </w:tc>
        <w:tc>
          <w:tcPr>
            <w:tcW w:w="6262" w:type="dxa"/>
            <w:gridSpan w:val="7"/>
            <w:vMerge/>
            <w:tcBorders>
              <w:top w:val="nil"/>
              <w:left w:val="single" w:sz="8" w:space="0" w:color="FFFFFF"/>
              <w:bottom w:val="single" w:sz="8" w:space="0" w:color="FFFFFF"/>
              <w:right w:val="nil"/>
            </w:tcBorders>
            <w:shd w:val="clear" w:color="auto" w:fill="CCE2ED"/>
          </w:tcPr>
          <w:p w14:paraId="21333B21" w14:textId="77777777" w:rsidR="00141B97" w:rsidRDefault="00141B97">
            <w:pPr>
              <w:rPr>
                <w:sz w:val="2"/>
                <w:szCs w:val="2"/>
              </w:rPr>
            </w:pPr>
          </w:p>
        </w:tc>
      </w:tr>
      <w:tr w:rsidR="00141B97" w14:paraId="1EBEDA5E"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7CB052A4" w14:textId="77777777" w:rsidR="00141B97" w:rsidRDefault="00911D63">
            <w:pPr>
              <w:pStyle w:val="TableParagraph"/>
              <w:spacing w:before="22"/>
              <w:ind w:left="88"/>
              <w:rPr>
                <w:sz w:val="16"/>
              </w:rPr>
            </w:pPr>
            <w:r>
              <w:rPr>
                <w:spacing w:val="-2"/>
                <w:sz w:val="16"/>
              </w:rPr>
              <w:t>Covid‐19</w:t>
            </w:r>
            <w:r>
              <w:rPr>
                <w:spacing w:val="6"/>
                <w:sz w:val="16"/>
              </w:rPr>
              <w:t xml:space="preserve"> </w:t>
            </w:r>
            <w:r>
              <w:rPr>
                <w:spacing w:val="-2"/>
                <w:sz w:val="16"/>
              </w:rPr>
              <w:t>Costs</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135F67C0" w14:textId="77777777" w:rsidR="00141B97" w:rsidRDefault="00911D63">
            <w:pPr>
              <w:pStyle w:val="TableParagraph"/>
              <w:spacing w:before="22"/>
              <w:ind w:right="95"/>
              <w:jc w:val="right"/>
              <w:rPr>
                <w:sz w:val="16"/>
              </w:rPr>
            </w:pPr>
            <w:r>
              <w:rPr>
                <w:spacing w:val="-2"/>
                <w:sz w:val="16"/>
              </w:rPr>
              <w:t>‐0.20</w:t>
            </w:r>
          </w:p>
        </w:tc>
        <w:tc>
          <w:tcPr>
            <w:tcW w:w="6262" w:type="dxa"/>
            <w:gridSpan w:val="7"/>
            <w:vMerge/>
            <w:tcBorders>
              <w:top w:val="nil"/>
              <w:left w:val="single" w:sz="8" w:space="0" w:color="FFFFFF"/>
              <w:bottom w:val="single" w:sz="8" w:space="0" w:color="FFFFFF"/>
              <w:right w:val="nil"/>
            </w:tcBorders>
            <w:shd w:val="clear" w:color="auto" w:fill="CCE2ED"/>
          </w:tcPr>
          <w:p w14:paraId="4E1BE221" w14:textId="77777777" w:rsidR="00141B97" w:rsidRDefault="00141B97">
            <w:pPr>
              <w:rPr>
                <w:sz w:val="2"/>
                <w:szCs w:val="2"/>
              </w:rPr>
            </w:pPr>
          </w:p>
        </w:tc>
      </w:tr>
      <w:tr w:rsidR="00141B97" w14:paraId="17058553"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1ACBFB7A" w14:textId="77777777" w:rsidR="00141B97" w:rsidRDefault="00911D63">
            <w:pPr>
              <w:pStyle w:val="TableParagraph"/>
              <w:spacing w:before="22"/>
              <w:ind w:left="88"/>
              <w:rPr>
                <w:sz w:val="16"/>
              </w:rPr>
            </w:pPr>
            <w:r>
              <w:rPr>
                <w:sz w:val="16"/>
              </w:rPr>
              <w:t>Water</w:t>
            </w:r>
            <w:r>
              <w:rPr>
                <w:spacing w:val="-6"/>
                <w:sz w:val="16"/>
              </w:rPr>
              <w:t xml:space="preserve"> </w:t>
            </w:r>
            <w:r>
              <w:rPr>
                <w:sz w:val="16"/>
              </w:rPr>
              <w:t>Rebate</w:t>
            </w:r>
            <w:r>
              <w:rPr>
                <w:spacing w:val="-4"/>
                <w:sz w:val="16"/>
              </w:rPr>
              <w:t xml:space="preserve"> </w:t>
            </w:r>
            <w:r>
              <w:rPr>
                <w:spacing w:val="-2"/>
                <w:sz w:val="16"/>
              </w:rPr>
              <w:t>Programs</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1E7B3B0F" w14:textId="77777777" w:rsidR="00141B97" w:rsidRDefault="00911D63">
            <w:pPr>
              <w:pStyle w:val="TableParagraph"/>
              <w:spacing w:before="22"/>
              <w:ind w:right="95"/>
              <w:jc w:val="right"/>
              <w:rPr>
                <w:sz w:val="16"/>
              </w:rPr>
            </w:pPr>
            <w:r>
              <w:rPr>
                <w:spacing w:val="-2"/>
                <w:sz w:val="16"/>
              </w:rPr>
              <w:t>‐0.06</w:t>
            </w:r>
          </w:p>
        </w:tc>
        <w:tc>
          <w:tcPr>
            <w:tcW w:w="6262" w:type="dxa"/>
            <w:gridSpan w:val="7"/>
            <w:vMerge/>
            <w:tcBorders>
              <w:top w:val="nil"/>
              <w:left w:val="single" w:sz="8" w:space="0" w:color="FFFFFF"/>
              <w:bottom w:val="single" w:sz="8" w:space="0" w:color="FFFFFF"/>
              <w:right w:val="nil"/>
            </w:tcBorders>
            <w:shd w:val="clear" w:color="auto" w:fill="CCE2ED"/>
          </w:tcPr>
          <w:p w14:paraId="789569B7" w14:textId="77777777" w:rsidR="00141B97" w:rsidRDefault="00141B97">
            <w:pPr>
              <w:rPr>
                <w:sz w:val="2"/>
                <w:szCs w:val="2"/>
              </w:rPr>
            </w:pPr>
          </w:p>
        </w:tc>
      </w:tr>
      <w:tr w:rsidR="00141B97" w14:paraId="5FCB7817" w14:textId="77777777">
        <w:trPr>
          <w:trHeight w:val="239"/>
        </w:trPr>
        <w:tc>
          <w:tcPr>
            <w:tcW w:w="2424" w:type="dxa"/>
            <w:tcBorders>
              <w:top w:val="single" w:sz="8" w:space="0" w:color="FFFFFF"/>
              <w:left w:val="nil"/>
              <w:bottom w:val="single" w:sz="8" w:space="0" w:color="FFFFFF"/>
              <w:right w:val="single" w:sz="8" w:space="0" w:color="FFFFFF"/>
            </w:tcBorders>
            <w:shd w:val="clear" w:color="auto" w:fill="CCE2ED"/>
          </w:tcPr>
          <w:p w14:paraId="49D86DBC" w14:textId="77777777" w:rsidR="00141B97" w:rsidRDefault="00911D63">
            <w:pPr>
              <w:pStyle w:val="TableParagraph"/>
              <w:spacing w:before="22"/>
              <w:ind w:left="88"/>
              <w:rPr>
                <w:sz w:val="16"/>
              </w:rPr>
            </w:pPr>
            <w:r>
              <w:rPr>
                <w:spacing w:val="-2"/>
                <w:sz w:val="16"/>
              </w:rPr>
              <w:t>Chemicals</w:t>
            </w:r>
          </w:p>
        </w:tc>
        <w:tc>
          <w:tcPr>
            <w:tcW w:w="896" w:type="dxa"/>
            <w:tcBorders>
              <w:top w:val="single" w:sz="8" w:space="0" w:color="FFFFFF"/>
              <w:left w:val="single" w:sz="8" w:space="0" w:color="FFFFFF"/>
              <w:bottom w:val="single" w:sz="8" w:space="0" w:color="FFFFFF"/>
              <w:right w:val="single" w:sz="8" w:space="0" w:color="FFFFFF"/>
            </w:tcBorders>
            <w:shd w:val="clear" w:color="auto" w:fill="CCE2ED"/>
          </w:tcPr>
          <w:p w14:paraId="0EF6A210" w14:textId="77777777" w:rsidR="00141B97" w:rsidRDefault="00911D63">
            <w:pPr>
              <w:pStyle w:val="TableParagraph"/>
              <w:spacing w:before="22"/>
              <w:ind w:right="95"/>
              <w:jc w:val="right"/>
              <w:rPr>
                <w:sz w:val="16"/>
              </w:rPr>
            </w:pPr>
            <w:r>
              <w:rPr>
                <w:spacing w:val="-2"/>
                <w:sz w:val="16"/>
              </w:rPr>
              <w:t>‐0.06</w:t>
            </w:r>
          </w:p>
        </w:tc>
        <w:tc>
          <w:tcPr>
            <w:tcW w:w="6262" w:type="dxa"/>
            <w:gridSpan w:val="7"/>
            <w:vMerge/>
            <w:tcBorders>
              <w:top w:val="nil"/>
              <w:left w:val="single" w:sz="8" w:space="0" w:color="FFFFFF"/>
              <w:bottom w:val="single" w:sz="8" w:space="0" w:color="FFFFFF"/>
              <w:right w:val="nil"/>
            </w:tcBorders>
            <w:shd w:val="clear" w:color="auto" w:fill="CCE2ED"/>
          </w:tcPr>
          <w:p w14:paraId="26B3EE58" w14:textId="77777777" w:rsidR="00141B97" w:rsidRDefault="00141B97">
            <w:pPr>
              <w:rPr>
                <w:sz w:val="2"/>
                <w:szCs w:val="2"/>
              </w:rPr>
            </w:pPr>
          </w:p>
        </w:tc>
      </w:tr>
      <w:tr w:rsidR="00141B97" w14:paraId="67AB641B" w14:textId="77777777">
        <w:trPr>
          <w:trHeight w:val="391"/>
        </w:trPr>
        <w:tc>
          <w:tcPr>
            <w:tcW w:w="2424" w:type="dxa"/>
            <w:tcBorders>
              <w:top w:val="single" w:sz="8" w:space="0" w:color="FFFFFF"/>
              <w:left w:val="nil"/>
              <w:bottom w:val="single" w:sz="8" w:space="0" w:color="FFFFFF"/>
              <w:right w:val="single" w:sz="8" w:space="0" w:color="FFFFFF"/>
            </w:tcBorders>
            <w:shd w:val="clear" w:color="auto" w:fill="BFBFBF"/>
          </w:tcPr>
          <w:p w14:paraId="1BCAE732" w14:textId="77777777" w:rsidR="00141B97" w:rsidRDefault="00911D63">
            <w:pPr>
              <w:pStyle w:val="TableParagraph"/>
              <w:spacing w:line="190" w:lineRule="atLeast"/>
              <w:ind w:left="88"/>
              <w:rPr>
                <w:i/>
                <w:sz w:val="16"/>
              </w:rPr>
            </w:pPr>
            <w:r>
              <w:rPr>
                <w:i/>
                <w:sz w:val="16"/>
              </w:rPr>
              <w:t>Baseline</w:t>
            </w:r>
            <w:r>
              <w:rPr>
                <w:i/>
                <w:spacing w:val="-10"/>
                <w:sz w:val="16"/>
              </w:rPr>
              <w:t xml:space="preserve"> </w:t>
            </w:r>
            <w:r>
              <w:rPr>
                <w:i/>
                <w:sz w:val="16"/>
              </w:rPr>
              <w:t>controllable</w:t>
            </w:r>
            <w:r>
              <w:rPr>
                <w:i/>
                <w:spacing w:val="-9"/>
                <w:sz w:val="16"/>
              </w:rPr>
              <w:t xml:space="preserve"> </w:t>
            </w:r>
            <w:r>
              <w:rPr>
                <w:i/>
                <w:sz w:val="16"/>
              </w:rPr>
              <w:t>operating</w:t>
            </w:r>
            <w:r>
              <w:rPr>
                <w:i/>
                <w:spacing w:val="40"/>
                <w:sz w:val="16"/>
              </w:rPr>
              <w:t xml:space="preserve"> </w:t>
            </w:r>
            <w:r>
              <w:rPr>
                <w:i/>
                <w:spacing w:val="-2"/>
                <w:sz w:val="16"/>
              </w:rPr>
              <w:t>expenditure</w:t>
            </w:r>
          </w:p>
        </w:tc>
        <w:tc>
          <w:tcPr>
            <w:tcW w:w="896" w:type="dxa"/>
            <w:tcBorders>
              <w:top w:val="single" w:sz="8" w:space="0" w:color="FFFFFF"/>
              <w:left w:val="single" w:sz="8" w:space="0" w:color="FFFFFF"/>
              <w:bottom w:val="single" w:sz="8" w:space="0" w:color="FFFFFF"/>
              <w:right w:val="single" w:sz="8" w:space="0" w:color="FFFFFF"/>
            </w:tcBorders>
            <w:shd w:val="clear" w:color="auto" w:fill="BFBFBF"/>
          </w:tcPr>
          <w:p w14:paraId="52141EA9" w14:textId="77777777" w:rsidR="00141B97" w:rsidRDefault="00911D63">
            <w:pPr>
              <w:pStyle w:val="TableParagraph"/>
              <w:spacing w:before="98"/>
              <w:ind w:right="93"/>
              <w:jc w:val="right"/>
              <w:rPr>
                <w:i/>
                <w:sz w:val="16"/>
              </w:rPr>
            </w:pPr>
            <w:r>
              <w:rPr>
                <w:i/>
                <w:spacing w:val="-2"/>
                <w:sz w:val="16"/>
              </w:rPr>
              <w:t>27.21</w:t>
            </w:r>
          </w:p>
        </w:tc>
        <w:tc>
          <w:tcPr>
            <w:tcW w:w="897" w:type="dxa"/>
            <w:tcBorders>
              <w:top w:val="single" w:sz="8" w:space="0" w:color="FFFFFF"/>
              <w:left w:val="single" w:sz="8" w:space="0" w:color="FFFFFF"/>
              <w:bottom w:val="single" w:sz="8" w:space="0" w:color="FFFFFF"/>
              <w:right w:val="single" w:sz="8" w:space="0" w:color="FFFFFF"/>
            </w:tcBorders>
            <w:shd w:val="clear" w:color="auto" w:fill="BFBFBF"/>
          </w:tcPr>
          <w:p w14:paraId="68E92DC2" w14:textId="77777777" w:rsidR="00141B97" w:rsidRDefault="00911D63">
            <w:pPr>
              <w:pStyle w:val="TableParagraph"/>
              <w:spacing w:before="98"/>
              <w:ind w:left="416"/>
              <w:rPr>
                <w:i/>
                <w:sz w:val="16"/>
              </w:rPr>
            </w:pPr>
            <w:r>
              <w:rPr>
                <w:i/>
                <w:spacing w:val="-2"/>
                <w:sz w:val="16"/>
              </w:rPr>
              <w:t>27.21</w:t>
            </w:r>
          </w:p>
        </w:tc>
        <w:tc>
          <w:tcPr>
            <w:tcW w:w="897" w:type="dxa"/>
            <w:tcBorders>
              <w:top w:val="single" w:sz="8" w:space="0" w:color="FFFFFF"/>
              <w:left w:val="single" w:sz="8" w:space="0" w:color="FFFFFF"/>
              <w:bottom w:val="single" w:sz="8" w:space="0" w:color="FFFFFF"/>
              <w:right w:val="single" w:sz="8" w:space="0" w:color="FFFFFF"/>
            </w:tcBorders>
            <w:shd w:val="clear" w:color="auto" w:fill="BFBFBF"/>
          </w:tcPr>
          <w:p w14:paraId="548D48B0" w14:textId="77777777" w:rsidR="00141B97" w:rsidRDefault="00911D63">
            <w:pPr>
              <w:pStyle w:val="TableParagraph"/>
              <w:spacing w:before="98"/>
              <w:ind w:right="93"/>
              <w:jc w:val="right"/>
              <w:rPr>
                <w:i/>
                <w:sz w:val="16"/>
              </w:rPr>
            </w:pPr>
            <w:r>
              <w:rPr>
                <w:i/>
                <w:spacing w:val="-2"/>
                <w:sz w:val="16"/>
              </w:rPr>
              <w:t>27.21</w:t>
            </w:r>
          </w:p>
        </w:tc>
        <w:tc>
          <w:tcPr>
            <w:tcW w:w="898" w:type="dxa"/>
            <w:tcBorders>
              <w:top w:val="single" w:sz="8" w:space="0" w:color="FFFFFF"/>
              <w:left w:val="single" w:sz="8" w:space="0" w:color="FFFFFF"/>
              <w:bottom w:val="single" w:sz="8" w:space="0" w:color="FFFFFF"/>
              <w:right w:val="single" w:sz="8" w:space="0" w:color="FFFFFF"/>
            </w:tcBorders>
            <w:shd w:val="clear" w:color="auto" w:fill="BFBFBF"/>
          </w:tcPr>
          <w:p w14:paraId="4B2A6047" w14:textId="77777777" w:rsidR="00141B97" w:rsidRDefault="00911D63">
            <w:pPr>
              <w:pStyle w:val="TableParagraph"/>
              <w:spacing w:before="98"/>
              <w:ind w:right="94"/>
              <w:jc w:val="right"/>
              <w:rPr>
                <w:i/>
                <w:sz w:val="16"/>
              </w:rPr>
            </w:pPr>
            <w:r>
              <w:rPr>
                <w:i/>
                <w:spacing w:val="-2"/>
                <w:sz w:val="16"/>
              </w:rPr>
              <w:t>27.22</w:t>
            </w:r>
          </w:p>
        </w:tc>
        <w:tc>
          <w:tcPr>
            <w:tcW w:w="897" w:type="dxa"/>
            <w:tcBorders>
              <w:top w:val="single" w:sz="8" w:space="0" w:color="FFFFFF"/>
              <w:left w:val="single" w:sz="8" w:space="0" w:color="FFFFFF"/>
              <w:bottom w:val="single" w:sz="8" w:space="0" w:color="FFFFFF"/>
              <w:right w:val="single" w:sz="8" w:space="0" w:color="FFFFFF"/>
            </w:tcBorders>
            <w:shd w:val="clear" w:color="auto" w:fill="BFBFBF"/>
          </w:tcPr>
          <w:p w14:paraId="33BC638D" w14:textId="77777777" w:rsidR="00141B97" w:rsidRDefault="00911D63">
            <w:pPr>
              <w:pStyle w:val="TableParagraph"/>
              <w:spacing w:before="98"/>
              <w:ind w:right="93"/>
              <w:jc w:val="right"/>
              <w:rPr>
                <w:i/>
                <w:sz w:val="16"/>
              </w:rPr>
            </w:pPr>
            <w:r>
              <w:rPr>
                <w:i/>
                <w:spacing w:val="-2"/>
                <w:sz w:val="16"/>
              </w:rPr>
              <w:t>27.23</w:t>
            </w:r>
          </w:p>
        </w:tc>
        <w:tc>
          <w:tcPr>
            <w:tcW w:w="897" w:type="dxa"/>
            <w:tcBorders>
              <w:top w:val="single" w:sz="8" w:space="0" w:color="FFFFFF"/>
              <w:left w:val="single" w:sz="8" w:space="0" w:color="FFFFFF"/>
              <w:bottom w:val="single" w:sz="8" w:space="0" w:color="FFFFFF"/>
              <w:right w:val="single" w:sz="8" w:space="0" w:color="FFFFFF"/>
            </w:tcBorders>
            <w:shd w:val="clear" w:color="auto" w:fill="BFBFBF"/>
          </w:tcPr>
          <w:p w14:paraId="5D43F74E" w14:textId="77777777" w:rsidR="00141B97" w:rsidRDefault="00911D63">
            <w:pPr>
              <w:pStyle w:val="TableParagraph"/>
              <w:spacing w:before="98"/>
              <w:ind w:right="91"/>
              <w:jc w:val="right"/>
              <w:rPr>
                <w:i/>
                <w:sz w:val="16"/>
              </w:rPr>
            </w:pPr>
            <w:r>
              <w:rPr>
                <w:i/>
                <w:spacing w:val="-2"/>
                <w:sz w:val="16"/>
              </w:rPr>
              <w:t>27.23</w:t>
            </w:r>
          </w:p>
        </w:tc>
        <w:tc>
          <w:tcPr>
            <w:tcW w:w="898" w:type="dxa"/>
            <w:tcBorders>
              <w:top w:val="single" w:sz="8" w:space="0" w:color="FFFFFF"/>
              <w:left w:val="single" w:sz="8" w:space="0" w:color="FFFFFF"/>
              <w:bottom w:val="single" w:sz="8" w:space="0" w:color="FFFFFF"/>
              <w:right w:val="single" w:sz="8" w:space="0" w:color="FFFFFF"/>
            </w:tcBorders>
            <w:shd w:val="clear" w:color="auto" w:fill="BFBFBF"/>
          </w:tcPr>
          <w:p w14:paraId="1373586F" w14:textId="77777777" w:rsidR="00141B97" w:rsidRDefault="00911D63">
            <w:pPr>
              <w:pStyle w:val="TableParagraph"/>
              <w:spacing w:before="98"/>
              <w:ind w:right="92"/>
              <w:jc w:val="right"/>
              <w:rPr>
                <w:i/>
                <w:sz w:val="16"/>
              </w:rPr>
            </w:pPr>
            <w:r>
              <w:rPr>
                <w:i/>
                <w:spacing w:val="-2"/>
                <w:sz w:val="16"/>
              </w:rPr>
              <w:t>27.24</w:t>
            </w:r>
          </w:p>
        </w:tc>
        <w:tc>
          <w:tcPr>
            <w:tcW w:w="878" w:type="dxa"/>
            <w:tcBorders>
              <w:top w:val="single" w:sz="8" w:space="0" w:color="FFFFFF"/>
              <w:left w:val="single" w:sz="8" w:space="0" w:color="FFFFFF"/>
              <w:bottom w:val="single" w:sz="8" w:space="0" w:color="FFFFFF"/>
              <w:right w:val="nil"/>
            </w:tcBorders>
            <w:shd w:val="clear" w:color="auto" w:fill="BFBFBF"/>
          </w:tcPr>
          <w:p w14:paraId="4B145FC8" w14:textId="77777777" w:rsidR="00141B97" w:rsidRDefault="00911D63">
            <w:pPr>
              <w:pStyle w:val="TableParagraph"/>
              <w:spacing w:before="98"/>
              <w:ind w:right="80"/>
              <w:jc w:val="right"/>
              <w:rPr>
                <w:i/>
                <w:sz w:val="16"/>
              </w:rPr>
            </w:pPr>
            <w:r>
              <w:rPr>
                <w:i/>
                <w:spacing w:val="-2"/>
                <w:sz w:val="16"/>
              </w:rPr>
              <w:t>136.12</w:t>
            </w:r>
          </w:p>
        </w:tc>
      </w:tr>
      <w:tr w:rsidR="00141B97" w14:paraId="33127F4D" w14:textId="77777777">
        <w:trPr>
          <w:trHeight w:val="239"/>
        </w:trPr>
        <w:tc>
          <w:tcPr>
            <w:tcW w:w="2424" w:type="dxa"/>
            <w:tcBorders>
              <w:top w:val="single" w:sz="8" w:space="0" w:color="FFFFFF"/>
              <w:left w:val="nil"/>
              <w:bottom w:val="single" w:sz="8" w:space="0" w:color="FFFFFF"/>
              <w:right w:val="single" w:sz="8" w:space="0" w:color="FFFFFF"/>
            </w:tcBorders>
            <w:shd w:val="clear" w:color="auto" w:fill="CCE2ED"/>
          </w:tcPr>
          <w:p w14:paraId="352C4197" w14:textId="77777777" w:rsidR="00141B97" w:rsidRDefault="00911D63">
            <w:pPr>
              <w:pStyle w:val="TableParagraph"/>
              <w:spacing w:before="22"/>
              <w:ind w:left="88"/>
              <w:rPr>
                <w:sz w:val="16"/>
              </w:rPr>
            </w:pPr>
            <w:r>
              <w:rPr>
                <w:sz w:val="16"/>
              </w:rPr>
              <w:t>Variations</w:t>
            </w:r>
            <w:r>
              <w:rPr>
                <w:spacing w:val="-6"/>
                <w:sz w:val="16"/>
              </w:rPr>
              <w:t xml:space="preserve"> </w:t>
            </w:r>
            <w:r>
              <w:rPr>
                <w:sz w:val="16"/>
              </w:rPr>
              <w:t>to</w:t>
            </w:r>
            <w:r>
              <w:rPr>
                <w:spacing w:val="-4"/>
                <w:sz w:val="16"/>
              </w:rPr>
              <w:t xml:space="preserve"> </w:t>
            </w:r>
            <w:r>
              <w:rPr>
                <w:spacing w:val="-2"/>
                <w:sz w:val="16"/>
              </w:rPr>
              <w:t>Baseline</w:t>
            </w:r>
          </w:p>
        </w:tc>
        <w:tc>
          <w:tcPr>
            <w:tcW w:w="1793" w:type="dxa"/>
            <w:gridSpan w:val="2"/>
            <w:vMerge w:val="restart"/>
            <w:tcBorders>
              <w:top w:val="single" w:sz="8" w:space="0" w:color="FFFFFF"/>
              <w:left w:val="single" w:sz="8" w:space="0" w:color="FFFFFF"/>
              <w:bottom w:val="single" w:sz="8" w:space="0" w:color="FFFFFF"/>
              <w:right w:val="single" w:sz="8" w:space="0" w:color="FFFFFF"/>
            </w:tcBorders>
            <w:shd w:val="clear" w:color="auto" w:fill="CCE2ED"/>
          </w:tcPr>
          <w:p w14:paraId="7DDD1944" w14:textId="77777777" w:rsidR="00141B97" w:rsidRDefault="00141B97">
            <w:pPr>
              <w:pStyle w:val="TableParagraph"/>
              <w:rPr>
                <w:rFonts w:ascii="Times New Roman"/>
                <w:sz w:val="18"/>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261F369F" w14:textId="77777777" w:rsidR="00141B97" w:rsidRDefault="00141B97">
            <w:pPr>
              <w:pStyle w:val="TableParagraph"/>
              <w:rPr>
                <w:rFonts w:ascii="Times New Roman"/>
                <w:sz w:val="16"/>
              </w:rPr>
            </w:pP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167F416A" w14:textId="77777777" w:rsidR="00141B97" w:rsidRDefault="00141B97">
            <w:pPr>
              <w:pStyle w:val="TableParagraph"/>
              <w:rPr>
                <w:rFonts w:ascii="Times New Roman"/>
                <w:sz w:val="16"/>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2AFD3635" w14:textId="77777777" w:rsidR="00141B97" w:rsidRDefault="00141B97">
            <w:pPr>
              <w:pStyle w:val="TableParagraph"/>
              <w:rPr>
                <w:rFonts w:ascii="Times New Roman"/>
                <w:sz w:val="16"/>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4F1559A8" w14:textId="77777777" w:rsidR="00141B97" w:rsidRDefault="00141B97">
            <w:pPr>
              <w:pStyle w:val="TableParagraph"/>
              <w:rPr>
                <w:rFonts w:ascii="Times New Roman"/>
                <w:sz w:val="16"/>
              </w:rPr>
            </w:pP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011D6A09" w14:textId="77777777" w:rsidR="00141B97" w:rsidRDefault="00141B97">
            <w:pPr>
              <w:pStyle w:val="TableParagraph"/>
              <w:rPr>
                <w:rFonts w:ascii="Times New Roman"/>
                <w:sz w:val="16"/>
              </w:rPr>
            </w:pPr>
          </w:p>
        </w:tc>
        <w:tc>
          <w:tcPr>
            <w:tcW w:w="878" w:type="dxa"/>
            <w:tcBorders>
              <w:top w:val="single" w:sz="8" w:space="0" w:color="FFFFFF"/>
              <w:left w:val="single" w:sz="8" w:space="0" w:color="FFFFFF"/>
              <w:bottom w:val="single" w:sz="8" w:space="0" w:color="FFFFFF"/>
              <w:right w:val="nil"/>
            </w:tcBorders>
            <w:shd w:val="clear" w:color="auto" w:fill="CCE2ED"/>
          </w:tcPr>
          <w:p w14:paraId="6079933D" w14:textId="77777777" w:rsidR="00141B97" w:rsidRDefault="00141B97">
            <w:pPr>
              <w:pStyle w:val="TableParagraph"/>
              <w:rPr>
                <w:rFonts w:ascii="Times New Roman"/>
                <w:sz w:val="16"/>
              </w:rPr>
            </w:pPr>
          </w:p>
        </w:tc>
      </w:tr>
      <w:tr w:rsidR="00141B97" w14:paraId="5AF4579D"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67AA80BE" w14:textId="77777777" w:rsidR="00141B97" w:rsidRDefault="00911D63">
            <w:pPr>
              <w:pStyle w:val="TableParagraph"/>
              <w:spacing w:before="22"/>
              <w:ind w:left="88"/>
              <w:rPr>
                <w:sz w:val="16"/>
              </w:rPr>
            </w:pPr>
            <w:r>
              <w:rPr>
                <w:spacing w:val="-2"/>
                <w:sz w:val="16"/>
              </w:rPr>
              <w:t>Electricity</w:t>
            </w:r>
          </w:p>
        </w:tc>
        <w:tc>
          <w:tcPr>
            <w:tcW w:w="1793" w:type="dxa"/>
            <w:gridSpan w:val="2"/>
            <w:vMerge/>
            <w:tcBorders>
              <w:top w:val="nil"/>
              <w:left w:val="single" w:sz="8" w:space="0" w:color="FFFFFF"/>
              <w:bottom w:val="single" w:sz="8" w:space="0" w:color="FFFFFF"/>
              <w:right w:val="single" w:sz="8" w:space="0" w:color="FFFFFF"/>
            </w:tcBorders>
            <w:shd w:val="clear" w:color="auto" w:fill="CCE2ED"/>
          </w:tcPr>
          <w:p w14:paraId="1319D5B6" w14:textId="77777777" w:rsidR="00141B97" w:rsidRDefault="00141B97">
            <w:pPr>
              <w:rPr>
                <w:sz w:val="2"/>
                <w:szCs w:val="2"/>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6128750A" w14:textId="77777777" w:rsidR="00141B97" w:rsidRDefault="00911D63">
            <w:pPr>
              <w:pStyle w:val="TableParagraph"/>
              <w:spacing w:before="22"/>
              <w:ind w:right="95"/>
              <w:jc w:val="right"/>
              <w:rPr>
                <w:sz w:val="16"/>
              </w:rPr>
            </w:pPr>
            <w:r>
              <w:rPr>
                <w:spacing w:val="-2"/>
                <w:sz w:val="16"/>
              </w:rPr>
              <w:t>‐0.27</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681EFD3D" w14:textId="77777777" w:rsidR="00141B97" w:rsidRDefault="00911D63">
            <w:pPr>
              <w:pStyle w:val="TableParagraph"/>
              <w:spacing w:before="22"/>
              <w:ind w:right="95"/>
              <w:jc w:val="right"/>
              <w:rPr>
                <w:sz w:val="16"/>
              </w:rPr>
            </w:pPr>
            <w:r>
              <w:rPr>
                <w:spacing w:val="-2"/>
                <w:sz w:val="16"/>
              </w:rPr>
              <w:t>‐0.27</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07E5E9A0" w14:textId="77777777" w:rsidR="00141B97" w:rsidRDefault="00911D63">
            <w:pPr>
              <w:pStyle w:val="TableParagraph"/>
              <w:spacing w:before="22"/>
              <w:ind w:right="95"/>
              <w:jc w:val="right"/>
              <w:rPr>
                <w:sz w:val="16"/>
              </w:rPr>
            </w:pPr>
            <w:r>
              <w:rPr>
                <w:spacing w:val="-2"/>
                <w:sz w:val="16"/>
              </w:rPr>
              <w:t>‐0.26</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1A405826" w14:textId="77777777" w:rsidR="00141B97" w:rsidRDefault="00911D63">
            <w:pPr>
              <w:pStyle w:val="TableParagraph"/>
              <w:spacing w:before="22"/>
              <w:ind w:right="93"/>
              <w:jc w:val="right"/>
              <w:rPr>
                <w:sz w:val="16"/>
              </w:rPr>
            </w:pPr>
            <w:r>
              <w:rPr>
                <w:spacing w:val="-2"/>
                <w:sz w:val="16"/>
              </w:rPr>
              <w:t>‐0.24</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3182660C" w14:textId="77777777" w:rsidR="00141B97" w:rsidRDefault="00911D63">
            <w:pPr>
              <w:pStyle w:val="TableParagraph"/>
              <w:spacing w:before="22"/>
              <w:ind w:right="93"/>
              <w:jc w:val="right"/>
              <w:rPr>
                <w:sz w:val="16"/>
              </w:rPr>
            </w:pPr>
            <w:r>
              <w:rPr>
                <w:spacing w:val="-2"/>
                <w:sz w:val="16"/>
              </w:rPr>
              <w:t>‐0.28</w:t>
            </w:r>
          </w:p>
        </w:tc>
        <w:tc>
          <w:tcPr>
            <w:tcW w:w="878" w:type="dxa"/>
            <w:tcBorders>
              <w:top w:val="single" w:sz="8" w:space="0" w:color="FFFFFF"/>
              <w:left w:val="single" w:sz="8" w:space="0" w:color="FFFFFF"/>
              <w:bottom w:val="single" w:sz="8" w:space="0" w:color="FFFFFF"/>
              <w:right w:val="nil"/>
            </w:tcBorders>
            <w:shd w:val="clear" w:color="auto" w:fill="CCE2ED"/>
          </w:tcPr>
          <w:p w14:paraId="7291B5B2" w14:textId="77777777" w:rsidR="00141B97" w:rsidRDefault="00911D63">
            <w:pPr>
              <w:pStyle w:val="TableParagraph"/>
              <w:spacing w:before="22"/>
              <w:ind w:right="82"/>
              <w:jc w:val="right"/>
              <w:rPr>
                <w:sz w:val="16"/>
              </w:rPr>
            </w:pPr>
            <w:r>
              <w:rPr>
                <w:spacing w:val="-2"/>
                <w:sz w:val="16"/>
              </w:rPr>
              <w:t>‐1.31</w:t>
            </w:r>
          </w:p>
        </w:tc>
      </w:tr>
      <w:tr w:rsidR="00141B97" w14:paraId="52A3BCA7"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6AD1F5E1" w14:textId="77777777" w:rsidR="00141B97" w:rsidRDefault="00911D63">
            <w:pPr>
              <w:pStyle w:val="TableParagraph"/>
              <w:spacing w:before="22"/>
              <w:ind w:left="88"/>
              <w:rPr>
                <w:sz w:val="16"/>
              </w:rPr>
            </w:pPr>
            <w:r>
              <w:rPr>
                <w:sz w:val="16"/>
              </w:rPr>
              <w:t>ICT</w:t>
            </w:r>
            <w:r>
              <w:rPr>
                <w:spacing w:val="-5"/>
                <w:sz w:val="16"/>
              </w:rPr>
              <w:t xml:space="preserve"> </w:t>
            </w:r>
            <w:r>
              <w:rPr>
                <w:spacing w:val="-2"/>
                <w:sz w:val="16"/>
              </w:rPr>
              <w:t>Software</w:t>
            </w:r>
          </w:p>
        </w:tc>
        <w:tc>
          <w:tcPr>
            <w:tcW w:w="1793" w:type="dxa"/>
            <w:gridSpan w:val="2"/>
            <w:vMerge/>
            <w:tcBorders>
              <w:top w:val="nil"/>
              <w:left w:val="single" w:sz="8" w:space="0" w:color="FFFFFF"/>
              <w:bottom w:val="single" w:sz="8" w:space="0" w:color="FFFFFF"/>
              <w:right w:val="single" w:sz="8" w:space="0" w:color="FFFFFF"/>
            </w:tcBorders>
            <w:shd w:val="clear" w:color="auto" w:fill="CCE2ED"/>
          </w:tcPr>
          <w:p w14:paraId="13D29C65" w14:textId="77777777" w:rsidR="00141B97" w:rsidRDefault="00141B97">
            <w:pPr>
              <w:rPr>
                <w:sz w:val="2"/>
                <w:szCs w:val="2"/>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11C698A6" w14:textId="77777777" w:rsidR="00141B97" w:rsidRDefault="00911D63">
            <w:pPr>
              <w:pStyle w:val="TableParagraph"/>
              <w:spacing w:before="22"/>
              <w:ind w:right="95"/>
              <w:jc w:val="right"/>
              <w:rPr>
                <w:sz w:val="16"/>
              </w:rPr>
            </w:pPr>
            <w:r>
              <w:rPr>
                <w:spacing w:val="-4"/>
                <w:sz w:val="16"/>
              </w:rPr>
              <w:t>0.38</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0ADAD680" w14:textId="77777777" w:rsidR="00141B97" w:rsidRDefault="00911D63">
            <w:pPr>
              <w:pStyle w:val="TableParagraph"/>
              <w:spacing w:before="22"/>
              <w:ind w:right="95"/>
              <w:jc w:val="right"/>
              <w:rPr>
                <w:sz w:val="16"/>
              </w:rPr>
            </w:pPr>
            <w:r>
              <w:rPr>
                <w:spacing w:val="-4"/>
                <w:sz w:val="16"/>
              </w:rPr>
              <w:t>0.52</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086396D7" w14:textId="77777777" w:rsidR="00141B97" w:rsidRDefault="00911D63">
            <w:pPr>
              <w:pStyle w:val="TableParagraph"/>
              <w:spacing w:before="22"/>
              <w:ind w:right="95"/>
              <w:jc w:val="right"/>
              <w:rPr>
                <w:sz w:val="16"/>
              </w:rPr>
            </w:pPr>
            <w:r>
              <w:rPr>
                <w:spacing w:val="-4"/>
                <w:sz w:val="16"/>
              </w:rPr>
              <w:t>0.57</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6F9E5B44" w14:textId="77777777" w:rsidR="00141B97" w:rsidRDefault="00911D63">
            <w:pPr>
              <w:pStyle w:val="TableParagraph"/>
              <w:spacing w:before="22"/>
              <w:ind w:right="93"/>
              <w:jc w:val="right"/>
              <w:rPr>
                <w:sz w:val="16"/>
              </w:rPr>
            </w:pPr>
            <w:r>
              <w:rPr>
                <w:spacing w:val="-4"/>
                <w:sz w:val="16"/>
              </w:rPr>
              <w:t>0.63</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29204381" w14:textId="77777777" w:rsidR="00141B97" w:rsidRDefault="00911D63">
            <w:pPr>
              <w:pStyle w:val="TableParagraph"/>
              <w:spacing w:before="22"/>
              <w:ind w:right="93"/>
              <w:jc w:val="right"/>
              <w:rPr>
                <w:sz w:val="16"/>
              </w:rPr>
            </w:pPr>
            <w:r>
              <w:rPr>
                <w:spacing w:val="-4"/>
                <w:sz w:val="16"/>
              </w:rPr>
              <w:t>0.69</w:t>
            </w:r>
          </w:p>
        </w:tc>
        <w:tc>
          <w:tcPr>
            <w:tcW w:w="878" w:type="dxa"/>
            <w:tcBorders>
              <w:top w:val="single" w:sz="8" w:space="0" w:color="FFFFFF"/>
              <w:left w:val="single" w:sz="8" w:space="0" w:color="FFFFFF"/>
              <w:bottom w:val="single" w:sz="8" w:space="0" w:color="FFFFFF"/>
              <w:right w:val="nil"/>
            </w:tcBorders>
            <w:shd w:val="clear" w:color="auto" w:fill="CCE2ED"/>
          </w:tcPr>
          <w:p w14:paraId="55CA72D2" w14:textId="77777777" w:rsidR="00141B97" w:rsidRDefault="00911D63">
            <w:pPr>
              <w:pStyle w:val="TableParagraph"/>
              <w:spacing w:before="22"/>
              <w:ind w:right="82"/>
              <w:jc w:val="right"/>
              <w:rPr>
                <w:sz w:val="16"/>
              </w:rPr>
            </w:pPr>
            <w:r>
              <w:rPr>
                <w:spacing w:val="-4"/>
                <w:sz w:val="16"/>
              </w:rPr>
              <w:t>2.80</w:t>
            </w:r>
          </w:p>
        </w:tc>
      </w:tr>
      <w:tr w:rsidR="00141B97" w14:paraId="41F2601E" w14:textId="77777777">
        <w:trPr>
          <w:trHeight w:val="239"/>
        </w:trPr>
        <w:tc>
          <w:tcPr>
            <w:tcW w:w="2424" w:type="dxa"/>
            <w:tcBorders>
              <w:top w:val="single" w:sz="8" w:space="0" w:color="FFFFFF"/>
              <w:left w:val="nil"/>
              <w:bottom w:val="single" w:sz="8" w:space="0" w:color="FFFFFF"/>
              <w:right w:val="single" w:sz="8" w:space="0" w:color="FFFFFF"/>
            </w:tcBorders>
            <w:shd w:val="clear" w:color="auto" w:fill="CCE2ED"/>
          </w:tcPr>
          <w:p w14:paraId="6E892EC1" w14:textId="77777777" w:rsidR="00141B97" w:rsidRDefault="00911D63">
            <w:pPr>
              <w:pStyle w:val="TableParagraph"/>
              <w:spacing w:before="22"/>
              <w:ind w:left="88"/>
              <w:rPr>
                <w:sz w:val="16"/>
              </w:rPr>
            </w:pPr>
            <w:r>
              <w:rPr>
                <w:sz w:val="16"/>
              </w:rPr>
              <w:t>TS</w:t>
            </w:r>
            <w:r>
              <w:rPr>
                <w:spacing w:val="-4"/>
                <w:sz w:val="16"/>
              </w:rPr>
              <w:t xml:space="preserve"> </w:t>
            </w:r>
            <w:r>
              <w:rPr>
                <w:spacing w:val="-2"/>
                <w:sz w:val="16"/>
              </w:rPr>
              <w:t>Consultants</w:t>
            </w:r>
          </w:p>
        </w:tc>
        <w:tc>
          <w:tcPr>
            <w:tcW w:w="1793" w:type="dxa"/>
            <w:gridSpan w:val="2"/>
            <w:vMerge/>
            <w:tcBorders>
              <w:top w:val="nil"/>
              <w:left w:val="single" w:sz="8" w:space="0" w:color="FFFFFF"/>
              <w:bottom w:val="single" w:sz="8" w:space="0" w:color="FFFFFF"/>
              <w:right w:val="single" w:sz="8" w:space="0" w:color="FFFFFF"/>
            </w:tcBorders>
            <w:shd w:val="clear" w:color="auto" w:fill="CCE2ED"/>
          </w:tcPr>
          <w:p w14:paraId="1FD38505" w14:textId="77777777" w:rsidR="00141B97" w:rsidRDefault="00141B97">
            <w:pPr>
              <w:rPr>
                <w:sz w:val="2"/>
                <w:szCs w:val="2"/>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10A2E1AB" w14:textId="77777777" w:rsidR="00141B97" w:rsidRDefault="00911D63">
            <w:pPr>
              <w:pStyle w:val="TableParagraph"/>
              <w:spacing w:before="22"/>
              <w:ind w:right="95"/>
              <w:jc w:val="right"/>
              <w:rPr>
                <w:sz w:val="16"/>
              </w:rPr>
            </w:pPr>
            <w:r>
              <w:rPr>
                <w:spacing w:val="-2"/>
                <w:sz w:val="16"/>
              </w:rPr>
              <w:t>‐0.31</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53B81039" w14:textId="77777777" w:rsidR="00141B97" w:rsidRDefault="00911D63">
            <w:pPr>
              <w:pStyle w:val="TableParagraph"/>
              <w:spacing w:before="22"/>
              <w:ind w:right="95"/>
              <w:jc w:val="right"/>
              <w:rPr>
                <w:sz w:val="16"/>
              </w:rPr>
            </w:pPr>
            <w:r>
              <w:rPr>
                <w:spacing w:val="-2"/>
                <w:sz w:val="16"/>
              </w:rPr>
              <w:t>‐0.30</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57532FE6" w14:textId="77777777" w:rsidR="00141B97" w:rsidRDefault="00911D63">
            <w:pPr>
              <w:pStyle w:val="TableParagraph"/>
              <w:spacing w:before="22"/>
              <w:ind w:right="95"/>
              <w:jc w:val="right"/>
              <w:rPr>
                <w:sz w:val="16"/>
              </w:rPr>
            </w:pPr>
            <w:r>
              <w:rPr>
                <w:spacing w:val="-2"/>
                <w:sz w:val="16"/>
              </w:rPr>
              <w:t>‐0.10</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2D61788D" w14:textId="77777777" w:rsidR="00141B97" w:rsidRDefault="00911D63">
            <w:pPr>
              <w:pStyle w:val="TableParagraph"/>
              <w:spacing w:before="22"/>
              <w:ind w:right="93"/>
              <w:jc w:val="right"/>
              <w:rPr>
                <w:sz w:val="16"/>
              </w:rPr>
            </w:pPr>
            <w:r>
              <w:rPr>
                <w:spacing w:val="-2"/>
                <w:sz w:val="16"/>
              </w:rPr>
              <w:t>‐0.10</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0F5A8594" w14:textId="77777777" w:rsidR="00141B97" w:rsidRDefault="00911D63">
            <w:pPr>
              <w:pStyle w:val="TableParagraph"/>
              <w:spacing w:before="22"/>
              <w:ind w:right="93"/>
              <w:jc w:val="right"/>
              <w:rPr>
                <w:sz w:val="16"/>
              </w:rPr>
            </w:pPr>
            <w:r>
              <w:rPr>
                <w:spacing w:val="-2"/>
                <w:sz w:val="16"/>
              </w:rPr>
              <w:t>‐0.33</w:t>
            </w:r>
          </w:p>
        </w:tc>
        <w:tc>
          <w:tcPr>
            <w:tcW w:w="878" w:type="dxa"/>
            <w:tcBorders>
              <w:top w:val="single" w:sz="8" w:space="0" w:color="FFFFFF"/>
              <w:left w:val="single" w:sz="8" w:space="0" w:color="FFFFFF"/>
              <w:bottom w:val="single" w:sz="8" w:space="0" w:color="FFFFFF"/>
              <w:right w:val="nil"/>
            </w:tcBorders>
            <w:shd w:val="clear" w:color="auto" w:fill="CCE2ED"/>
          </w:tcPr>
          <w:p w14:paraId="1EC335C4" w14:textId="77777777" w:rsidR="00141B97" w:rsidRDefault="00911D63">
            <w:pPr>
              <w:pStyle w:val="TableParagraph"/>
              <w:spacing w:before="22"/>
              <w:ind w:right="82"/>
              <w:jc w:val="right"/>
              <w:rPr>
                <w:sz w:val="16"/>
              </w:rPr>
            </w:pPr>
            <w:r>
              <w:rPr>
                <w:spacing w:val="-2"/>
                <w:sz w:val="16"/>
              </w:rPr>
              <w:t>‐1.14</w:t>
            </w:r>
          </w:p>
        </w:tc>
      </w:tr>
      <w:tr w:rsidR="00141B97" w14:paraId="1CA6D760"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0A5E366B" w14:textId="77777777" w:rsidR="00141B97" w:rsidRDefault="00911D63">
            <w:pPr>
              <w:pStyle w:val="TableParagraph"/>
              <w:spacing w:before="22"/>
              <w:ind w:left="88"/>
              <w:rPr>
                <w:sz w:val="16"/>
              </w:rPr>
            </w:pPr>
            <w:r>
              <w:rPr>
                <w:sz w:val="16"/>
              </w:rPr>
              <w:t>LGC</w:t>
            </w:r>
            <w:r>
              <w:rPr>
                <w:spacing w:val="-5"/>
                <w:sz w:val="16"/>
              </w:rPr>
              <w:t xml:space="preserve"> </w:t>
            </w:r>
            <w:r>
              <w:rPr>
                <w:spacing w:val="-2"/>
                <w:sz w:val="16"/>
              </w:rPr>
              <w:t>Purchases</w:t>
            </w:r>
          </w:p>
        </w:tc>
        <w:tc>
          <w:tcPr>
            <w:tcW w:w="1793" w:type="dxa"/>
            <w:gridSpan w:val="2"/>
            <w:vMerge/>
            <w:tcBorders>
              <w:top w:val="nil"/>
              <w:left w:val="single" w:sz="8" w:space="0" w:color="FFFFFF"/>
              <w:bottom w:val="single" w:sz="8" w:space="0" w:color="FFFFFF"/>
              <w:right w:val="single" w:sz="8" w:space="0" w:color="FFFFFF"/>
            </w:tcBorders>
            <w:shd w:val="clear" w:color="auto" w:fill="CCE2ED"/>
          </w:tcPr>
          <w:p w14:paraId="5B5A6057" w14:textId="77777777" w:rsidR="00141B97" w:rsidRDefault="00141B97">
            <w:pPr>
              <w:rPr>
                <w:sz w:val="2"/>
                <w:szCs w:val="2"/>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352ECFA9" w14:textId="77777777" w:rsidR="00141B97" w:rsidRDefault="00911D63">
            <w:pPr>
              <w:pStyle w:val="TableParagraph"/>
              <w:spacing w:before="22"/>
              <w:ind w:right="95"/>
              <w:jc w:val="right"/>
              <w:rPr>
                <w:sz w:val="16"/>
              </w:rPr>
            </w:pPr>
            <w:r>
              <w:rPr>
                <w:spacing w:val="-4"/>
                <w:sz w:val="16"/>
              </w:rPr>
              <w:t>0.00</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5FE14901" w14:textId="77777777" w:rsidR="00141B97" w:rsidRDefault="00911D63">
            <w:pPr>
              <w:pStyle w:val="TableParagraph"/>
              <w:spacing w:before="22"/>
              <w:ind w:right="95"/>
              <w:jc w:val="right"/>
              <w:rPr>
                <w:sz w:val="16"/>
              </w:rPr>
            </w:pPr>
            <w:r>
              <w:rPr>
                <w:spacing w:val="-4"/>
                <w:sz w:val="16"/>
              </w:rPr>
              <w:t>0.03</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60BA978F" w14:textId="77777777" w:rsidR="00141B97" w:rsidRDefault="00911D63">
            <w:pPr>
              <w:pStyle w:val="TableParagraph"/>
              <w:spacing w:before="22"/>
              <w:ind w:right="95"/>
              <w:jc w:val="right"/>
              <w:rPr>
                <w:sz w:val="16"/>
              </w:rPr>
            </w:pPr>
            <w:r>
              <w:rPr>
                <w:spacing w:val="-4"/>
                <w:sz w:val="16"/>
              </w:rPr>
              <w:t>0.18</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71552DE0" w14:textId="77777777" w:rsidR="00141B97" w:rsidRDefault="00911D63">
            <w:pPr>
              <w:pStyle w:val="TableParagraph"/>
              <w:spacing w:before="22"/>
              <w:ind w:right="93"/>
              <w:jc w:val="right"/>
              <w:rPr>
                <w:sz w:val="16"/>
              </w:rPr>
            </w:pPr>
            <w:r>
              <w:rPr>
                <w:spacing w:val="-4"/>
                <w:sz w:val="16"/>
              </w:rPr>
              <w:t>0.13</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6BCDDDE9" w14:textId="77777777" w:rsidR="00141B97" w:rsidRDefault="00911D63">
            <w:pPr>
              <w:pStyle w:val="TableParagraph"/>
              <w:spacing w:before="22"/>
              <w:ind w:right="93"/>
              <w:jc w:val="right"/>
              <w:rPr>
                <w:sz w:val="16"/>
              </w:rPr>
            </w:pPr>
            <w:r>
              <w:rPr>
                <w:spacing w:val="-4"/>
                <w:sz w:val="16"/>
              </w:rPr>
              <w:t>0.09</w:t>
            </w:r>
          </w:p>
        </w:tc>
        <w:tc>
          <w:tcPr>
            <w:tcW w:w="878" w:type="dxa"/>
            <w:tcBorders>
              <w:top w:val="single" w:sz="8" w:space="0" w:color="FFFFFF"/>
              <w:left w:val="single" w:sz="8" w:space="0" w:color="FFFFFF"/>
              <w:bottom w:val="single" w:sz="8" w:space="0" w:color="FFFFFF"/>
              <w:right w:val="nil"/>
            </w:tcBorders>
            <w:shd w:val="clear" w:color="auto" w:fill="CCE2ED"/>
          </w:tcPr>
          <w:p w14:paraId="53C73771" w14:textId="77777777" w:rsidR="00141B97" w:rsidRDefault="00911D63">
            <w:pPr>
              <w:pStyle w:val="TableParagraph"/>
              <w:spacing w:before="22"/>
              <w:ind w:right="82"/>
              <w:jc w:val="right"/>
              <w:rPr>
                <w:sz w:val="16"/>
              </w:rPr>
            </w:pPr>
            <w:r>
              <w:rPr>
                <w:spacing w:val="-4"/>
                <w:sz w:val="16"/>
              </w:rPr>
              <w:t>0.43</w:t>
            </w:r>
          </w:p>
        </w:tc>
      </w:tr>
      <w:tr w:rsidR="00141B97" w14:paraId="232C5060" w14:textId="77777777">
        <w:trPr>
          <w:trHeight w:val="240"/>
        </w:trPr>
        <w:tc>
          <w:tcPr>
            <w:tcW w:w="2424" w:type="dxa"/>
            <w:tcBorders>
              <w:top w:val="single" w:sz="8" w:space="0" w:color="FFFFFF"/>
              <w:left w:val="nil"/>
              <w:bottom w:val="single" w:sz="8" w:space="0" w:color="FFFFFF"/>
              <w:right w:val="single" w:sz="8" w:space="0" w:color="FFFFFF"/>
            </w:tcBorders>
            <w:shd w:val="clear" w:color="auto" w:fill="CCE2ED"/>
          </w:tcPr>
          <w:p w14:paraId="47A131E0" w14:textId="77777777" w:rsidR="00141B97" w:rsidRDefault="00911D63">
            <w:pPr>
              <w:pStyle w:val="TableParagraph"/>
              <w:spacing w:before="22"/>
              <w:ind w:left="88"/>
              <w:rPr>
                <w:sz w:val="16"/>
              </w:rPr>
            </w:pPr>
            <w:r>
              <w:rPr>
                <w:spacing w:val="-2"/>
                <w:sz w:val="16"/>
              </w:rPr>
              <w:t>Balancing</w:t>
            </w:r>
            <w:r>
              <w:rPr>
                <w:spacing w:val="6"/>
                <w:sz w:val="16"/>
              </w:rPr>
              <w:t xml:space="preserve"> </w:t>
            </w:r>
            <w:r>
              <w:rPr>
                <w:spacing w:val="-2"/>
                <w:sz w:val="16"/>
              </w:rPr>
              <w:t>variations</w:t>
            </w:r>
          </w:p>
        </w:tc>
        <w:tc>
          <w:tcPr>
            <w:tcW w:w="1793" w:type="dxa"/>
            <w:gridSpan w:val="2"/>
            <w:vMerge/>
            <w:tcBorders>
              <w:top w:val="nil"/>
              <w:left w:val="single" w:sz="8" w:space="0" w:color="FFFFFF"/>
              <w:bottom w:val="single" w:sz="8" w:space="0" w:color="FFFFFF"/>
              <w:right w:val="single" w:sz="8" w:space="0" w:color="FFFFFF"/>
            </w:tcBorders>
            <w:shd w:val="clear" w:color="auto" w:fill="CCE2ED"/>
          </w:tcPr>
          <w:p w14:paraId="0E033A77" w14:textId="77777777" w:rsidR="00141B97" w:rsidRDefault="00141B97">
            <w:pPr>
              <w:rPr>
                <w:sz w:val="2"/>
                <w:szCs w:val="2"/>
              </w:rPr>
            </w:pP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2CE6A3C6" w14:textId="77777777" w:rsidR="00141B97" w:rsidRDefault="00911D63">
            <w:pPr>
              <w:pStyle w:val="TableParagraph"/>
              <w:spacing w:before="22"/>
              <w:ind w:right="95"/>
              <w:jc w:val="right"/>
              <w:rPr>
                <w:sz w:val="16"/>
              </w:rPr>
            </w:pPr>
            <w:r>
              <w:rPr>
                <w:spacing w:val="-2"/>
                <w:sz w:val="16"/>
              </w:rPr>
              <w:t>‐0.06</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2725B3C7" w14:textId="77777777" w:rsidR="00141B97" w:rsidRDefault="00911D63">
            <w:pPr>
              <w:pStyle w:val="TableParagraph"/>
              <w:spacing w:before="22"/>
              <w:ind w:right="95"/>
              <w:jc w:val="right"/>
              <w:rPr>
                <w:sz w:val="16"/>
              </w:rPr>
            </w:pPr>
            <w:r>
              <w:rPr>
                <w:spacing w:val="-2"/>
                <w:sz w:val="16"/>
              </w:rPr>
              <w:t>‐0.09</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6C6EB2C1" w14:textId="77777777" w:rsidR="00141B97" w:rsidRDefault="00911D63">
            <w:pPr>
              <w:pStyle w:val="TableParagraph"/>
              <w:spacing w:before="22"/>
              <w:ind w:right="95"/>
              <w:jc w:val="right"/>
              <w:rPr>
                <w:sz w:val="16"/>
              </w:rPr>
            </w:pPr>
            <w:r>
              <w:rPr>
                <w:spacing w:val="-2"/>
                <w:sz w:val="16"/>
              </w:rPr>
              <w:t>‐0.40</w:t>
            </w:r>
          </w:p>
        </w:tc>
        <w:tc>
          <w:tcPr>
            <w:tcW w:w="897" w:type="dxa"/>
            <w:tcBorders>
              <w:top w:val="single" w:sz="8" w:space="0" w:color="FFFFFF"/>
              <w:left w:val="single" w:sz="8" w:space="0" w:color="FFFFFF"/>
              <w:bottom w:val="single" w:sz="8" w:space="0" w:color="FFFFFF"/>
              <w:right w:val="single" w:sz="8" w:space="0" w:color="FFFFFF"/>
            </w:tcBorders>
            <w:shd w:val="clear" w:color="auto" w:fill="CCE2ED"/>
          </w:tcPr>
          <w:p w14:paraId="6DCC91AB" w14:textId="77777777" w:rsidR="00141B97" w:rsidRDefault="00911D63">
            <w:pPr>
              <w:pStyle w:val="TableParagraph"/>
              <w:spacing w:before="22"/>
              <w:ind w:right="93"/>
              <w:jc w:val="right"/>
              <w:rPr>
                <w:sz w:val="16"/>
              </w:rPr>
            </w:pPr>
            <w:r>
              <w:rPr>
                <w:spacing w:val="-4"/>
                <w:sz w:val="16"/>
              </w:rPr>
              <w:t>0.04</w:t>
            </w:r>
          </w:p>
        </w:tc>
        <w:tc>
          <w:tcPr>
            <w:tcW w:w="898" w:type="dxa"/>
            <w:tcBorders>
              <w:top w:val="single" w:sz="8" w:space="0" w:color="FFFFFF"/>
              <w:left w:val="single" w:sz="8" w:space="0" w:color="FFFFFF"/>
              <w:bottom w:val="single" w:sz="8" w:space="0" w:color="FFFFFF"/>
              <w:right w:val="single" w:sz="8" w:space="0" w:color="FFFFFF"/>
            </w:tcBorders>
            <w:shd w:val="clear" w:color="auto" w:fill="CCE2ED"/>
          </w:tcPr>
          <w:p w14:paraId="5BFD3B30" w14:textId="77777777" w:rsidR="00141B97" w:rsidRDefault="00911D63">
            <w:pPr>
              <w:pStyle w:val="TableParagraph"/>
              <w:spacing w:before="22"/>
              <w:ind w:right="93"/>
              <w:jc w:val="right"/>
              <w:rPr>
                <w:sz w:val="16"/>
              </w:rPr>
            </w:pPr>
            <w:r>
              <w:rPr>
                <w:spacing w:val="-2"/>
                <w:sz w:val="16"/>
              </w:rPr>
              <w:t>‐0.29</w:t>
            </w:r>
          </w:p>
        </w:tc>
        <w:tc>
          <w:tcPr>
            <w:tcW w:w="878" w:type="dxa"/>
            <w:tcBorders>
              <w:top w:val="single" w:sz="8" w:space="0" w:color="FFFFFF"/>
              <w:left w:val="single" w:sz="8" w:space="0" w:color="FFFFFF"/>
              <w:bottom w:val="single" w:sz="8" w:space="0" w:color="FFFFFF"/>
              <w:right w:val="nil"/>
            </w:tcBorders>
            <w:shd w:val="clear" w:color="auto" w:fill="CCE2ED"/>
          </w:tcPr>
          <w:p w14:paraId="1CD49A33" w14:textId="77777777" w:rsidR="00141B97" w:rsidRDefault="00911D63">
            <w:pPr>
              <w:pStyle w:val="TableParagraph"/>
              <w:spacing w:before="22"/>
              <w:ind w:right="82"/>
              <w:jc w:val="right"/>
              <w:rPr>
                <w:sz w:val="16"/>
              </w:rPr>
            </w:pPr>
            <w:r>
              <w:rPr>
                <w:spacing w:val="-2"/>
                <w:sz w:val="16"/>
              </w:rPr>
              <w:t>‐0.81</w:t>
            </w:r>
          </w:p>
        </w:tc>
      </w:tr>
      <w:tr w:rsidR="00141B97" w14:paraId="10E53FEC" w14:textId="77777777">
        <w:trPr>
          <w:trHeight w:val="195"/>
        </w:trPr>
        <w:tc>
          <w:tcPr>
            <w:tcW w:w="2424" w:type="dxa"/>
            <w:tcBorders>
              <w:top w:val="single" w:sz="8" w:space="0" w:color="FFFFFF"/>
              <w:left w:val="nil"/>
              <w:bottom w:val="nil"/>
              <w:right w:val="single" w:sz="8" w:space="0" w:color="FFFFFF"/>
            </w:tcBorders>
            <w:shd w:val="clear" w:color="auto" w:fill="BFBFBF"/>
          </w:tcPr>
          <w:p w14:paraId="76142F0A" w14:textId="77777777" w:rsidR="00141B97" w:rsidRDefault="00911D63">
            <w:pPr>
              <w:pStyle w:val="TableParagraph"/>
              <w:spacing w:line="175" w:lineRule="exact"/>
              <w:ind w:left="88"/>
              <w:rPr>
                <w:sz w:val="16"/>
              </w:rPr>
            </w:pPr>
            <w:r>
              <w:rPr>
                <w:sz w:val="16"/>
              </w:rPr>
              <w:t>Total</w:t>
            </w:r>
            <w:r>
              <w:rPr>
                <w:spacing w:val="-8"/>
                <w:sz w:val="16"/>
              </w:rPr>
              <w:t xml:space="preserve"> </w:t>
            </w:r>
            <w:r>
              <w:rPr>
                <w:sz w:val="16"/>
              </w:rPr>
              <w:t>Controllable</w:t>
            </w:r>
            <w:r>
              <w:rPr>
                <w:spacing w:val="-8"/>
                <w:sz w:val="16"/>
              </w:rPr>
              <w:t xml:space="preserve"> </w:t>
            </w:r>
            <w:r>
              <w:rPr>
                <w:sz w:val="16"/>
              </w:rPr>
              <w:t>Operating</w:t>
            </w:r>
            <w:r>
              <w:rPr>
                <w:spacing w:val="-8"/>
                <w:sz w:val="16"/>
              </w:rPr>
              <w:t xml:space="preserve"> </w:t>
            </w:r>
            <w:r>
              <w:rPr>
                <w:spacing w:val="-2"/>
                <w:sz w:val="16"/>
              </w:rPr>
              <w:t>Costs</w:t>
            </w:r>
          </w:p>
        </w:tc>
        <w:tc>
          <w:tcPr>
            <w:tcW w:w="896" w:type="dxa"/>
            <w:tcBorders>
              <w:top w:val="single" w:sz="8" w:space="0" w:color="FFFFFF"/>
              <w:left w:val="single" w:sz="8" w:space="0" w:color="FFFFFF"/>
              <w:bottom w:val="nil"/>
              <w:right w:val="single" w:sz="8" w:space="0" w:color="FFFFFF"/>
            </w:tcBorders>
            <w:shd w:val="clear" w:color="auto" w:fill="BFBFBF"/>
          </w:tcPr>
          <w:p w14:paraId="7F5D8D5D" w14:textId="77777777" w:rsidR="00141B97" w:rsidRDefault="00141B97">
            <w:pPr>
              <w:pStyle w:val="TableParagraph"/>
              <w:rPr>
                <w:rFonts w:ascii="Times New Roman"/>
                <w:sz w:val="12"/>
              </w:rPr>
            </w:pPr>
          </w:p>
        </w:tc>
        <w:tc>
          <w:tcPr>
            <w:tcW w:w="897" w:type="dxa"/>
            <w:tcBorders>
              <w:top w:val="single" w:sz="8" w:space="0" w:color="FFFFFF"/>
              <w:left w:val="single" w:sz="8" w:space="0" w:color="FFFFFF"/>
              <w:bottom w:val="nil"/>
              <w:right w:val="single" w:sz="8" w:space="0" w:color="FFFFFF"/>
            </w:tcBorders>
            <w:shd w:val="clear" w:color="auto" w:fill="BFBFBF"/>
          </w:tcPr>
          <w:p w14:paraId="43051701" w14:textId="77777777" w:rsidR="00141B97" w:rsidRDefault="00141B97">
            <w:pPr>
              <w:pStyle w:val="TableParagraph"/>
              <w:rPr>
                <w:rFonts w:ascii="Times New Roman"/>
                <w:sz w:val="12"/>
              </w:rPr>
            </w:pPr>
          </w:p>
        </w:tc>
        <w:tc>
          <w:tcPr>
            <w:tcW w:w="897" w:type="dxa"/>
            <w:tcBorders>
              <w:top w:val="single" w:sz="8" w:space="0" w:color="FFFFFF"/>
              <w:left w:val="single" w:sz="8" w:space="0" w:color="FFFFFF"/>
              <w:bottom w:val="nil"/>
              <w:right w:val="single" w:sz="8" w:space="0" w:color="FFFFFF"/>
            </w:tcBorders>
            <w:shd w:val="clear" w:color="auto" w:fill="BFBFBF"/>
          </w:tcPr>
          <w:p w14:paraId="355062B2" w14:textId="77777777" w:rsidR="00141B97" w:rsidRDefault="00911D63">
            <w:pPr>
              <w:pStyle w:val="TableParagraph"/>
              <w:spacing w:line="175" w:lineRule="exact"/>
              <w:ind w:right="93"/>
              <w:jc w:val="right"/>
              <w:rPr>
                <w:sz w:val="16"/>
              </w:rPr>
            </w:pPr>
            <w:r>
              <w:rPr>
                <w:spacing w:val="-2"/>
                <w:sz w:val="16"/>
              </w:rPr>
              <w:t>26.96</w:t>
            </w:r>
          </w:p>
        </w:tc>
        <w:tc>
          <w:tcPr>
            <w:tcW w:w="898" w:type="dxa"/>
            <w:tcBorders>
              <w:top w:val="single" w:sz="8" w:space="0" w:color="FFFFFF"/>
              <w:left w:val="single" w:sz="8" w:space="0" w:color="FFFFFF"/>
              <w:bottom w:val="nil"/>
              <w:right w:val="single" w:sz="8" w:space="0" w:color="FFFFFF"/>
            </w:tcBorders>
            <w:shd w:val="clear" w:color="auto" w:fill="BFBFBF"/>
          </w:tcPr>
          <w:p w14:paraId="67E71EA1" w14:textId="77777777" w:rsidR="00141B97" w:rsidRDefault="00911D63">
            <w:pPr>
              <w:pStyle w:val="TableParagraph"/>
              <w:spacing w:line="175" w:lineRule="exact"/>
              <w:ind w:right="94"/>
              <w:jc w:val="right"/>
              <w:rPr>
                <w:sz w:val="16"/>
              </w:rPr>
            </w:pPr>
            <w:r>
              <w:rPr>
                <w:spacing w:val="-2"/>
                <w:sz w:val="16"/>
              </w:rPr>
              <w:t>27.11</w:t>
            </w:r>
          </w:p>
        </w:tc>
        <w:tc>
          <w:tcPr>
            <w:tcW w:w="897" w:type="dxa"/>
            <w:tcBorders>
              <w:top w:val="single" w:sz="8" w:space="0" w:color="FFFFFF"/>
              <w:left w:val="single" w:sz="8" w:space="0" w:color="FFFFFF"/>
              <w:bottom w:val="nil"/>
              <w:right w:val="single" w:sz="8" w:space="0" w:color="FFFFFF"/>
            </w:tcBorders>
            <w:shd w:val="clear" w:color="auto" w:fill="BFBFBF"/>
          </w:tcPr>
          <w:p w14:paraId="288EE9C5" w14:textId="77777777" w:rsidR="00141B97" w:rsidRDefault="00911D63">
            <w:pPr>
              <w:pStyle w:val="TableParagraph"/>
              <w:spacing w:line="175" w:lineRule="exact"/>
              <w:ind w:right="93"/>
              <w:jc w:val="right"/>
              <w:rPr>
                <w:sz w:val="16"/>
              </w:rPr>
            </w:pPr>
            <w:r>
              <w:rPr>
                <w:spacing w:val="-2"/>
                <w:sz w:val="16"/>
              </w:rPr>
              <w:t>27.22</w:t>
            </w:r>
          </w:p>
        </w:tc>
        <w:tc>
          <w:tcPr>
            <w:tcW w:w="897" w:type="dxa"/>
            <w:tcBorders>
              <w:top w:val="single" w:sz="8" w:space="0" w:color="FFFFFF"/>
              <w:left w:val="single" w:sz="8" w:space="0" w:color="FFFFFF"/>
              <w:bottom w:val="nil"/>
              <w:right w:val="single" w:sz="8" w:space="0" w:color="FFFFFF"/>
            </w:tcBorders>
            <w:shd w:val="clear" w:color="auto" w:fill="BFBFBF"/>
          </w:tcPr>
          <w:p w14:paraId="0DAAF7E5" w14:textId="77777777" w:rsidR="00141B97" w:rsidRDefault="00911D63">
            <w:pPr>
              <w:pStyle w:val="TableParagraph"/>
              <w:spacing w:line="175" w:lineRule="exact"/>
              <w:ind w:right="91"/>
              <w:jc w:val="right"/>
              <w:rPr>
                <w:sz w:val="16"/>
              </w:rPr>
            </w:pPr>
            <w:r>
              <w:rPr>
                <w:spacing w:val="-2"/>
                <w:sz w:val="16"/>
              </w:rPr>
              <w:t>27.69</w:t>
            </w:r>
          </w:p>
        </w:tc>
        <w:tc>
          <w:tcPr>
            <w:tcW w:w="898" w:type="dxa"/>
            <w:tcBorders>
              <w:top w:val="single" w:sz="8" w:space="0" w:color="FFFFFF"/>
              <w:left w:val="single" w:sz="8" w:space="0" w:color="FFFFFF"/>
              <w:bottom w:val="nil"/>
              <w:right w:val="single" w:sz="8" w:space="0" w:color="FFFFFF"/>
            </w:tcBorders>
            <w:shd w:val="clear" w:color="auto" w:fill="BFBFBF"/>
          </w:tcPr>
          <w:p w14:paraId="72F4D10C" w14:textId="77777777" w:rsidR="00141B97" w:rsidRDefault="00911D63">
            <w:pPr>
              <w:pStyle w:val="TableParagraph"/>
              <w:spacing w:line="175" w:lineRule="exact"/>
              <w:ind w:right="92"/>
              <w:jc w:val="right"/>
              <w:rPr>
                <w:sz w:val="16"/>
              </w:rPr>
            </w:pPr>
            <w:r>
              <w:rPr>
                <w:spacing w:val="-2"/>
                <w:sz w:val="16"/>
              </w:rPr>
              <w:t>27.12</w:t>
            </w:r>
          </w:p>
        </w:tc>
        <w:tc>
          <w:tcPr>
            <w:tcW w:w="878" w:type="dxa"/>
            <w:tcBorders>
              <w:top w:val="single" w:sz="8" w:space="0" w:color="FFFFFF"/>
              <w:left w:val="single" w:sz="8" w:space="0" w:color="FFFFFF"/>
              <w:bottom w:val="nil"/>
              <w:right w:val="nil"/>
            </w:tcBorders>
            <w:shd w:val="clear" w:color="auto" w:fill="BFBFBF"/>
          </w:tcPr>
          <w:p w14:paraId="3504B6CA" w14:textId="77777777" w:rsidR="00141B97" w:rsidRDefault="00911D63">
            <w:pPr>
              <w:pStyle w:val="TableParagraph"/>
              <w:spacing w:line="175" w:lineRule="exact"/>
              <w:ind w:right="80"/>
              <w:jc w:val="right"/>
              <w:rPr>
                <w:sz w:val="16"/>
              </w:rPr>
            </w:pPr>
            <w:r>
              <w:rPr>
                <w:spacing w:val="-2"/>
                <w:sz w:val="16"/>
              </w:rPr>
              <w:t>136.11</w:t>
            </w:r>
          </w:p>
        </w:tc>
      </w:tr>
    </w:tbl>
    <w:p w14:paraId="45D200B9" w14:textId="77777777" w:rsidR="00141B97" w:rsidRDefault="00911D63">
      <w:pPr>
        <w:spacing w:before="26"/>
        <w:ind w:left="114"/>
        <w:jc w:val="both"/>
        <w:rPr>
          <w:sz w:val="16"/>
        </w:rPr>
      </w:pPr>
      <w:r>
        <w:rPr>
          <w:sz w:val="16"/>
        </w:rPr>
        <w:t>Table</w:t>
      </w:r>
      <w:r>
        <w:rPr>
          <w:spacing w:val="-7"/>
          <w:sz w:val="16"/>
        </w:rPr>
        <w:t xml:space="preserve"> </w:t>
      </w:r>
      <w:r>
        <w:rPr>
          <w:sz w:val="16"/>
        </w:rPr>
        <w:t>B27</w:t>
      </w:r>
      <w:r>
        <w:rPr>
          <w:sz w:val="12"/>
        </w:rPr>
        <w:t>:</w:t>
      </w:r>
      <w:r>
        <w:rPr>
          <w:spacing w:val="-6"/>
          <w:sz w:val="12"/>
        </w:rPr>
        <w:t xml:space="preserve"> </w:t>
      </w:r>
      <w:r>
        <w:rPr>
          <w:sz w:val="16"/>
        </w:rPr>
        <w:t>Baseline</w:t>
      </w:r>
      <w:r>
        <w:rPr>
          <w:spacing w:val="-7"/>
          <w:sz w:val="16"/>
        </w:rPr>
        <w:t xml:space="preserve"> </w:t>
      </w:r>
      <w:r>
        <w:rPr>
          <w:sz w:val="16"/>
        </w:rPr>
        <w:t>Controllable</w:t>
      </w:r>
      <w:r>
        <w:rPr>
          <w:spacing w:val="-6"/>
          <w:sz w:val="16"/>
        </w:rPr>
        <w:t xml:space="preserve"> </w:t>
      </w:r>
      <w:r>
        <w:rPr>
          <w:sz w:val="16"/>
        </w:rPr>
        <w:t>Operating</w:t>
      </w:r>
      <w:r>
        <w:rPr>
          <w:spacing w:val="-7"/>
          <w:sz w:val="16"/>
        </w:rPr>
        <w:t xml:space="preserve"> </w:t>
      </w:r>
      <w:r>
        <w:rPr>
          <w:sz w:val="16"/>
        </w:rPr>
        <w:t>Expenditure</w:t>
      </w:r>
      <w:r>
        <w:rPr>
          <w:spacing w:val="-6"/>
          <w:sz w:val="16"/>
        </w:rPr>
        <w:t xml:space="preserve"> </w:t>
      </w:r>
      <w:r>
        <w:rPr>
          <w:sz w:val="16"/>
        </w:rPr>
        <w:t>2021‐22</w:t>
      </w:r>
      <w:r>
        <w:rPr>
          <w:spacing w:val="-8"/>
          <w:sz w:val="16"/>
        </w:rPr>
        <w:t xml:space="preserve"> </w:t>
      </w:r>
      <w:r>
        <w:rPr>
          <w:sz w:val="16"/>
        </w:rPr>
        <w:t>($m</w:t>
      </w:r>
      <w:r>
        <w:rPr>
          <w:spacing w:val="-7"/>
          <w:sz w:val="16"/>
        </w:rPr>
        <w:t xml:space="preserve"> </w:t>
      </w:r>
      <w:r>
        <w:rPr>
          <w:spacing w:val="-2"/>
          <w:sz w:val="16"/>
        </w:rPr>
        <w:t>1/1/23)</w:t>
      </w:r>
    </w:p>
    <w:p w14:paraId="247297B2" w14:textId="77777777" w:rsidR="00141B97" w:rsidRDefault="00141B97">
      <w:pPr>
        <w:jc w:val="both"/>
        <w:rPr>
          <w:sz w:val="16"/>
        </w:rPr>
        <w:sectPr w:rsidR="00141B97">
          <w:pgSz w:w="11910" w:h="16840"/>
          <w:pgMar w:top="960" w:right="40" w:bottom="760" w:left="1020" w:header="0" w:footer="580" w:gutter="0"/>
          <w:cols w:space="720"/>
        </w:sectPr>
      </w:pPr>
    </w:p>
    <w:p w14:paraId="5B323D03" w14:textId="77777777" w:rsidR="00141B97" w:rsidRDefault="00911D63">
      <w:pPr>
        <w:pStyle w:val="ListParagraph"/>
        <w:numPr>
          <w:ilvl w:val="3"/>
          <w:numId w:val="81"/>
        </w:numPr>
        <w:tabs>
          <w:tab w:val="left" w:pos="1107"/>
        </w:tabs>
        <w:spacing w:before="31"/>
        <w:jc w:val="both"/>
        <w:rPr>
          <w:i/>
          <w:sz w:val="20"/>
        </w:rPr>
      </w:pPr>
      <w:r>
        <w:rPr>
          <w:i/>
          <w:sz w:val="20"/>
        </w:rPr>
        <w:lastRenderedPageBreak/>
        <w:t>Establishing</w:t>
      </w:r>
      <w:r>
        <w:rPr>
          <w:i/>
          <w:spacing w:val="-5"/>
          <w:sz w:val="20"/>
        </w:rPr>
        <w:t xml:space="preserve"> </w:t>
      </w:r>
      <w:r>
        <w:rPr>
          <w:i/>
          <w:sz w:val="20"/>
        </w:rPr>
        <w:t>the</w:t>
      </w:r>
      <w:r>
        <w:rPr>
          <w:i/>
          <w:spacing w:val="-4"/>
          <w:sz w:val="20"/>
        </w:rPr>
        <w:t xml:space="preserve"> </w:t>
      </w:r>
      <w:r>
        <w:rPr>
          <w:i/>
          <w:sz w:val="20"/>
        </w:rPr>
        <w:t>2021‐22</w:t>
      </w:r>
      <w:r>
        <w:rPr>
          <w:i/>
          <w:spacing w:val="-4"/>
          <w:sz w:val="20"/>
        </w:rPr>
        <w:t xml:space="preserve"> </w:t>
      </w:r>
      <w:r>
        <w:rPr>
          <w:i/>
          <w:spacing w:val="-2"/>
          <w:sz w:val="20"/>
        </w:rPr>
        <w:t>Baseline</w:t>
      </w:r>
    </w:p>
    <w:p w14:paraId="315B8285" w14:textId="77777777" w:rsidR="00141B97" w:rsidRDefault="00911D63">
      <w:pPr>
        <w:pStyle w:val="BodyText"/>
        <w:spacing w:before="59"/>
        <w:ind w:left="113" w:right="949"/>
        <w:jc w:val="both"/>
      </w:pPr>
      <w:r>
        <w:t>The 2021‐22 baseline year requires some one‐off adjustments to realign prescribed controllable operational expenditure with expected business as usual (BAU) costs. A summary of the one‐off baseline adjustments to 2021‐22 is provided below:</w:t>
      </w:r>
    </w:p>
    <w:p w14:paraId="1EAAE769" w14:textId="77777777" w:rsidR="00141B97" w:rsidRDefault="00911D63">
      <w:pPr>
        <w:pStyle w:val="ListParagraph"/>
        <w:numPr>
          <w:ilvl w:val="4"/>
          <w:numId w:val="81"/>
        </w:numPr>
        <w:tabs>
          <w:tab w:val="left" w:pos="834"/>
        </w:tabs>
        <w:spacing w:before="2"/>
        <w:ind w:left="834" w:right="947" w:hanging="361"/>
        <w:jc w:val="both"/>
      </w:pPr>
      <w:r>
        <w:t>Corporate costs were the largest adjustment, with an additional $0.90m required to allow for the revised Corporate Cost Allocation Framework rates proposed for PS5 (see Part A Section 4.5).</w:t>
      </w:r>
    </w:p>
    <w:p w14:paraId="1D7C5860" w14:textId="77777777" w:rsidR="00141B97" w:rsidRDefault="00911D63">
      <w:pPr>
        <w:pStyle w:val="ListParagraph"/>
        <w:numPr>
          <w:ilvl w:val="4"/>
          <w:numId w:val="81"/>
        </w:numPr>
        <w:tabs>
          <w:tab w:val="left" w:pos="834"/>
        </w:tabs>
        <w:ind w:right="948" w:hanging="361"/>
        <w:jc w:val="both"/>
      </w:pPr>
      <w:r>
        <w:t>Training and travel costs have been increased by $0.09m due to 2021‐22 being affected by Covid‐19. With</w:t>
      </w:r>
      <w:r>
        <w:rPr>
          <w:spacing w:val="-3"/>
        </w:rPr>
        <w:t xml:space="preserve"> </w:t>
      </w:r>
      <w:r>
        <w:t>the</w:t>
      </w:r>
      <w:r>
        <w:rPr>
          <w:spacing w:val="-5"/>
        </w:rPr>
        <w:t xml:space="preserve"> </w:t>
      </w:r>
      <w:r>
        <w:t>impact</w:t>
      </w:r>
      <w:r>
        <w:rPr>
          <w:spacing w:val="-5"/>
        </w:rPr>
        <w:t xml:space="preserve"> </w:t>
      </w:r>
      <w:r>
        <w:t>of</w:t>
      </w:r>
      <w:r>
        <w:rPr>
          <w:spacing w:val="-4"/>
        </w:rPr>
        <w:t xml:space="preserve"> </w:t>
      </w:r>
      <w:r>
        <w:t>Covid‐19</w:t>
      </w:r>
      <w:r>
        <w:rPr>
          <w:spacing w:val="-4"/>
        </w:rPr>
        <w:t xml:space="preserve"> </w:t>
      </w:r>
      <w:r>
        <w:t>restrictions</w:t>
      </w:r>
      <w:r>
        <w:rPr>
          <w:spacing w:val="-3"/>
        </w:rPr>
        <w:t xml:space="preserve"> </w:t>
      </w:r>
      <w:r>
        <w:t>including</w:t>
      </w:r>
      <w:r>
        <w:rPr>
          <w:spacing w:val="-3"/>
        </w:rPr>
        <w:t xml:space="preserve"> </w:t>
      </w:r>
      <w:r>
        <w:t>travel</w:t>
      </w:r>
      <w:r>
        <w:rPr>
          <w:spacing w:val="-4"/>
        </w:rPr>
        <w:t xml:space="preserve"> </w:t>
      </w:r>
      <w:r>
        <w:t>and</w:t>
      </w:r>
      <w:r>
        <w:rPr>
          <w:spacing w:val="-4"/>
        </w:rPr>
        <w:t xml:space="preserve"> </w:t>
      </w:r>
      <w:r>
        <w:t>work</w:t>
      </w:r>
      <w:r>
        <w:rPr>
          <w:spacing w:val="-4"/>
        </w:rPr>
        <w:t xml:space="preserve"> </w:t>
      </w:r>
      <w:r>
        <w:t>from</w:t>
      </w:r>
      <w:r>
        <w:rPr>
          <w:spacing w:val="-3"/>
        </w:rPr>
        <w:t xml:space="preserve"> </w:t>
      </w:r>
      <w:r>
        <w:t>home</w:t>
      </w:r>
      <w:r>
        <w:rPr>
          <w:spacing w:val="-4"/>
        </w:rPr>
        <w:t xml:space="preserve"> </w:t>
      </w:r>
      <w:r>
        <w:t>directives,</w:t>
      </w:r>
      <w:r>
        <w:rPr>
          <w:spacing w:val="-4"/>
        </w:rPr>
        <w:t xml:space="preserve"> </w:t>
      </w:r>
      <w:r>
        <w:t>many</w:t>
      </w:r>
      <w:r>
        <w:rPr>
          <w:spacing w:val="-3"/>
        </w:rPr>
        <w:t xml:space="preserve"> </w:t>
      </w:r>
      <w:r>
        <w:t>training programs</w:t>
      </w:r>
      <w:r>
        <w:rPr>
          <w:spacing w:val="-6"/>
        </w:rPr>
        <w:t xml:space="preserve"> </w:t>
      </w:r>
      <w:r>
        <w:t>were</w:t>
      </w:r>
      <w:r>
        <w:rPr>
          <w:spacing w:val="-6"/>
        </w:rPr>
        <w:t xml:space="preserve"> </w:t>
      </w:r>
      <w:r>
        <w:t>delayed</w:t>
      </w:r>
      <w:r>
        <w:rPr>
          <w:spacing w:val="-7"/>
        </w:rPr>
        <w:t xml:space="preserve"> </w:t>
      </w:r>
      <w:r>
        <w:t>and</w:t>
      </w:r>
      <w:r>
        <w:rPr>
          <w:spacing w:val="-7"/>
        </w:rPr>
        <w:t xml:space="preserve"> </w:t>
      </w:r>
      <w:r>
        <w:t>rescheduled</w:t>
      </w:r>
      <w:r>
        <w:rPr>
          <w:spacing w:val="-8"/>
        </w:rPr>
        <w:t xml:space="preserve"> </w:t>
      </w:r>
      <w:r>
        <w:t>as</w:t>
      </w:r>
      <w:r>
        <w:rPr>
          <w:spacing w:val="-5"/>
        </w:rPr>
        <w:t xml:space="preserve"> </w:t>
      </w:r>
      <w:r>
        <w:t>a</w:t>
      </w:r>
      <w:r>
        <w:rPr>
          <w:spacing w:val="-7"/>
        </w:rPr>
        <w:t xml:space="preserve"> </w:t>
      </w:r>
      <w:r>
        <w:t>result.</w:t>
      </w:r>
      <w:r>
        <w:rPr>
          <w:spacing w:val="-6"/>
        </w:rPr>
        <w:t xml:space="preserve"> </w:t>
      </w:r>
      <w:r>
        <w:t>These</w:t>
      </w:r>
      <w:r>
        <w:rPr>
          <w:spacing w:val="-7"/>
        </w:rPr>
        <w:t xml:space="preserve"> </w:t>
      </w:r>
      <w:r>
        <w:t>costs</w:t>
      </w:r>
      <w:r>
        <w:rPr>
          <w:spacing w:val="-5"/>
        </w:rPr>
        <w:t xml:space="preserve"> </w:t>
      </w:r>
      <w:r>
        <w:t>are</w:t>
      </w:r>
      <w:r>
        <w:rPr>
          <w:spacing w:val="-7"/>
        </w:rPr>
        <w:t xml:space="preserve"> </w:t>
      </w:r>
      <w:r>
        <w:t>forecast</w:t>
      </w:r>
      <w:r>
        <w:rPr>
          <w:spacing w:val="-6"/>
        </w:rPr>
        <w:t xml:space="preserve"> </w:t>
      </w:r>
      <w:r>
        <w:t>to</w:t>
      </w:r>
      <w:r>
        <w:rPr>
          <w:spacing w:val="-6"/>
        </w:rPr>
        <w:t xml:space="preserve"> </w:t>
      </w:r>
      <w:r>
        <w:t>increase</w:t>
      </w:r>
      <w:r>
        <w:rPr>
          <w:spacing w:val="-8"/>
        </w:rPr>
        <w:t xml:space="preserve"> </w:t>
      </w:r>
      <w:r>
        <w:t>to</w:t>
      </w:r>
      <w:r>
        <w:rPr>
          <w:spacing w:val="-6"/>
        </w:rPr>
        <w:t xml:space="preserve"> </w:t>
      </w:r>
      <w:r>
        <w:t>ensure</w:t>
      </w:r>
      <w:r>
        <w:rPr>
          <w:spacing w:val="-6"/>
        </w:rPr>
        <w:t xml:space="preserve"> </w:t>
      </w:r>
      <w:r>
        <w:t>that LMW staff remain compliant and upskilled with current requirements in the water industry.</w:t>
      </w:r>
    </w:p>
    <w:p w14:paraId="46571B50" w14:textId="77777777" w:rsidR="00141B97" w:rsidRDefault="00911D63">
      <w:pPr>
        <w:pStyle w:val="ListParagraph"/>
        <w:numPr>
          <w:ilvl w:val="4"/>
          <w:numId w:val="81"/>
        </w:numPr>
        <w:tabs>
          <w:tab w:val="left" w:pos="834"/>
        </w:tabs>
        <w:ind w:right="949"/>
        <w:jc w:val="both"/>
      </w:pPr>
      <w:r>
        <w:t>PS5 preparation and planning costs were removed, including customer consultation and engagement, financial modelling, project management and PREMO framework review.</w:t>
      </w:r>
    </w:p>
    <w:p w14:paraId="16BFADFF" w14:textId="77777777" w:rsidR="00141B97" w:rsidRDefault="00911D63">
      <w:pPr>
        <w:pStyle w:val="ListParagraph"/>
        <w:numPr>
          <w:ilvl w:val="4"/>
          <w:numId w:val="81"/>
        </w:numPr>
        <w:tabs>
          <w:tab w:val="left" w:pos="834"/>
        </w:tabs>
        <w:ind w:left="834" w:right="949" w:hanging="361"/>
        <w:jc w:val="both"/>
      </w:pPr>
      <w:r>
        <w:t>Covid‐19 costs have been removed with the majority associated with labour costs including Working from</w:t>
      </w:r>
      <w:r>
        <w:rPr>
          <w:spacing w:val="-3"/>
        </w:rPr>
        <w:t xml:space="preserve"> </w:t>
      </w:r>
      <w:r>
        <w:t>Home</w:t>
      </w:r>
      <w:r>
        <w:rPr>
          <w:spacing w:val="-3"/>
        </w:rPr>
        <w:t xml:space="preserve"> </w:t>
      </w:r>
      <w:r>
        <w:t>allowances</w:t>
      </w:r>
      <w:r>
        <w:rPr>
          <w:spacing w:val="-3"/>
        </w:rPr>
        <w:t xml:space="preserve"> </w:t>
      </w:r>
      <w:r>
        <w:t>and</w:t>
      </w:r>
      <w:r>
        <w:rPr>
          <w:spacing w:val="-3"/>
        </w:rPr>
        <w:t xml:space="preserve"> </w:t>
      </w:r>
      <w:r>
        <w:t>Covid‐19</w:t>
      </w:r>
      <w:r>
        <w:rPr>
          <w:spacing w:val="-3"/>
        </w:rPr>
        <w:t xml:space="preserve"> </w:t>
      </w:r>
      <w:r>
        <w:t>leave</w:t>
      </w:r>
      <w:r>
        <w:rPr>
          <w:spacing w:val="-5"/>
        </w:rPr>
        <w:t xml:space="preserve"> </w:t>
      </w:r>
      <w:r>
        <w:t>payments</w:t>
      </w:r>
      <w:r>
        <w:rPr>
          <w:spacing w:val="-2"/>
        </w:rPr>
        <w:t xml:space="preserve"> </w:t>
      </w:r>
      <w:r>
        <w:t>to</w:t>
      </w:r>
      <w:r>
        <w:rPr>
          <w:spacing w:val="-4"/>
        </w:rPr>
        <w:t xml:space="preserve"> </w:t>
      </w:r>
      <w:r>
        <w:t>assist</w:t>
      </w:r>
      <w:r>
        <w:rPr>
          <w:spacing w:val="-4"/>
        </w:rPr>
        <w:t xml:space="preserve"> </w:t>
      </w:r>
      <w:r>
        <w:t>with</w:t>
      </w:r>
      <w:r>
        <w:rPr>
          <w:spacing w:val="-2"/>
        </w:rPr>
        <w:t xml:space="preserve"> </w:t>
      </w:r>
      <w:r>
        <w:t>home</w:t>
      </w:r>
      <w:r>
        <w:rPr>
          <w:spacing w:val="-4"/>
        </w:rPr>
        <w:t xml:space="preserve"> </w:t>
      </w:r>
      <w:r>
        <w:t>schooling,</w:t>
      </w:r>
      <w:r>
        <w:rPr>
          <w:spacing w:val="-4"/>
        </w:rPr>
        <w:t xml:space="preserve"> </w:t>
      </w:r>
      <w:r>
        <w:t>illness,</w:t>
      </w:r>
      <w:r>
        <w:rPr>
          <w:spacing w:val="-3"/>
        </w:rPr>
        <w:t xml:space="preserve"> </w:t>
      </w:r>
      <w:r>
        <w:t>testing</w:t>
      </w:r>
      <w:r>
        <w:rPr>
          <w:spacing w:val="-3"/>
        </w:rPr>
        <w:t xml:space="preserve"> </w:t>
      </w:r>
      <w:r>
        <w:t xml:space="preserve">and </w:t>
      </w:r>
      <w:r>
        <w:rPr>
          <w:spacing w:val="-2"/>
        </w:rPr>
        <w:t>vaccinations.</w:t>
      </w:r>
    </w:p>
    <w:p w14:paraId="5282D29F" w14:textId="77777777" w:rsidR="00141B97" w:rsidRDefault="00911D63">
      <w:pPr>
        <w:pStyle w:val="ListParagraph"/>
        <w:numPr>
          <w:ilvl w:val="4"/>
          <w:numId w:val="81"/>
        </w:numPr>
        <w:tabs>
          <w:tab w:val="left" w:pos="835"/>
        </w:tabs>
        <w:ind w:left="834" w:right="950"/>
        <w:jc w:val="both"/>
      </w:pPr>
      <w:r>
        <w:t>Water</w:t>
      </w:r>
      <w:r>
        <w:rPr>
          <w:spacing w:val="-13"/>
        </w:rPr>
        <w:t xml:space="preserve"> </w:t>
      </w:r>
      <w:r>
        <w:t>rebate</w:t>
      </w:r>
      <w:r>
        <w:rPr>
          <w:spacing w:val="-12"/>
        </w:rPr>
        <w:t xml:space="preserve"> </w:t>
      </w:r>
      <w:r>
        <w:t>program</w:t>
      </w:r>
      <w:r>
        <w:rPr>
          <w:spacing w:val="-13"/>
        </w:rPr>
        <w:t xml:space="preserve"> </w:t>
      </w:r>
      <w:r>
        <w:t>costs</w:t>
      </w:r>
      <w:r>
        <w:rPr>
          <w:spacing w:val="-12"/>
        </w:rPr>
        <w:t xml:space="preserve"> </w:t>
      </w:r>
      <w:r>
        <w:t>have</w:t>
      </w:r>
      <w:r>
        <w:rPr>
          <w:spacing w:val="-13"/>
        </w:rPr>
        <w:t xml:space="preserve"> </w:t>
      </w:r>
      <w:r>
        <w:t>been</w:t>
      </w:r>
      <w:r>
        <w:rPr>
          <w:spacing w:val="-12"/>
        </w:rPr>
        <w:t xml:space="preserve"> </w:t>
      </w:r>
      <w:r>
        <w:t>removed</w:t>
      </w:r>
      <w:r>
        <w:rPr>
          <w:spacing w:val="-13"/>
        </w:rPr>
        <w:t xml:space="preserve"> </w:t>
      </w:r>
      <w:r>
        <w:t>due</w:t>
      </w:r>
      <w:r>
        <w:rPr>
          <w:spacing w:val="-12"/>
        </w:rPr>
        <w:t xml:space="preserve"> </w:t>
      </w:r>
      <w:r>
        <w:t>to</w:t>
      </w:r>
      <w:r>
        <w:rPr>
          <w:spacing w:val="-12"/>
        </w:rPr>
        <w:t xml:space="preserve"> </w:t>
      </w:r>
      <w:r>
        <w:t>costs</w:t>
      </w:r>
      <w:r>
        <w:rPr>
          <w:spacing w:val="-13"/>
        </w:rPr>
        <w:t xml:space="preserve"> </w:t>
      </w:r>
      <w:r>
        <w:t>associated</w:t>
      </w:r>
      <w:r>
        <w:rPr>
          <w:spacing w:val="-12"/>
        </w:rPr>
        <w:t xml:space="preserve"> </w:t>
      </w:r>
      <w:r>
        <w:t>with</w:t>
      </w:r>
      <w:r>
        <w:rPr>
          <w:spacing w:val="-13"/>
        </w:rPr>
        <w:t xml:space="preserve"> </w:t>
      </w:r>
      <w:r>
        <w:t>the</w:t>
      </w:r>
      <w:r>
        <w:rPr>
          <w:spacing w:val="-12"/>
        </w:rPr>
        <w:t xml:space="preserve"> </w:t>
      </w:r>
      <w:r>
        <w:t>program</w:t>
      </w:r>
      <w:r>
        <w:rPr>
          <w:spacing w:val="-13"/>
        </w:rPr>
        <w:t xml:space="preserve"> </w:t>
      </w:r>
      <w:r>
        <w:t>being</w:t>
      </w:r>
      <w:r>
        <w:rPr>
          <w:spacing w:val="-12"/>
        </w:rPr>
        <w:t xml:space="preserve"> </w:t>
      </w:r>
      <w:r>
        <w:t>funded by grants and are outside of business as usual.</w:t>
      </w:r>
    </w:p>
    <w:p w14:paraId="7FD7066F" w14:textId="77777777" w:rsidR="00141B97" w:rsidRDefault="00911D63">
      <w:pPr>
        <w:pStyle w:val="ListParagraph"/>
        <w:numPr>
          <w:ilvl w:val="4"/>
          <w:numId w:val="81"/>
        </w:numPr>
        <w:tabs>
          <w:tab w:val="left" w:pos="834"/>
        </w:tabs>
        <w:ind w:right="948"/>
        <w:jc w:val="both"/>
      </w:pPr>
      <w:r>
        <w:t>Chemical</w:t>
      </w:r>
      <w:r>
        <w:rPr>
          <w:spacing w:val="-2"/>
        </w:rPr>
        <w:t xml:space="preserve"> </w:t>
      </w:r>
      <w:r>
        <w:t>costs</w:t>
      </w:r>
      <w:r>
        <w:rPr>
          <w:spacing w:val="-2"/>
        </w:rPr>
        <w:t xml:space="preserve"> </w:t>
      </w:r>
      <w:r>
        <w:t>have</w:t>
      </w:r>
      <w:r>
        <w:rPr>
          <w:spacing w:val="-3"/>
        </w:rPr>
        <w:t xml:space="preserve"> </w:t>
      </w:r>
      <w:r>
        <w:t>been</w:t>
      </w:r>
      <w:r>
        <w:rPr>
          <w:spacing w:val="-1"/>
        </w:rPr>
        <w:t xml:space="preserve"> </w:t>
      </w:r>
      <w:r>
        <w:t>reduced</w:t>
      </w:r>
      <w:r>
        <w:rPr>
          <w:spacing w:val="-2"/>
        </w:rPr>
        <w:t xml:space="preserve"> </w:t>
      </w:r>
      <w:r>
        <w:t>by</w:t>
      </w:r>
      <w:r>
        <w:rPr>
          <w:spacing w:val="-2"/>
        </w:rPr>
        <w:t xml:space="preserve"> </w:t>
      </w:r>
      <w:r>
        <w:t>$0.06m</w:t>
      </w:r>
      <w:r>
        <w:rPr>
          <w:spacing w:val="-2"/>
        </w:rPr>
        <w:t xml:space="preserve"> </w:t>
      </w:r>
      <w:r>
        <w:t>due</w:t>
      </w:r>
      <w:r>
        <w:rPr>
          <w:spacing w:val="-3"/>
        </w:rPr>
        <w:t xml:space="preserve"> </w:t>
      </w:r>
      <w:r>
        <w:t>to</w:t>
      </w:r>
      <w:r>
        <w:rPr>
          <w:spacing w:val="-1"/>
        </w:rPr>
        <w:t xml:space="preserve"> </w:t>
      </w:r>
      <w:r>
        <w:t>additional</w:t>
      </w:r>
      <w:r>
        <w:rPr>
          <w:spacing w:val="-3"/>
        </w:rPr>
        <w:t xml:space="preserve"> </w:t>
      </w:r>
      <w:r>
        <w:t>chemical</w:t>
      </w:r>
      <w:r>
        <w:rPr>
          <w:spacing w:val="-3"/>
        </w:rPr>
        <w:t xml:space="preserve"> </w:t>
      </w:r>
      <w:r>
        <w:t>costs</w:t>
      </w:r>
      <w:r>
        <w:rPr>
          <w:spacing w:val="-1"/>
        </w:rPr>
        <w:t xml:space="preserve"> </w:t>
      </w:r>
      <w:r>
        <w:t>required</w:t>
      </w:r>
      <w:r>
        <w:rPr>
          <w:spacing w:val="-2"/>
        </w:rPr>
        <w:t xml:space="preserve"> </w:t>
      </w:r>
      <w:r>
        <w:t>in</w:t>
      </w:r>
      <w:r>
        <w:rPr>
          <w:spacing w:val="-2"/>
        </w:rPr>
        <w:t xml:space="preserve"> </w:t>
      </w:r>
      <w:r>
        <w:t>2021‐22</w:t>
      </w:r>
      <w:r>
        <w:rPr>
          <w:spacing w:val="-2"/>
        </w:rPr>
        <w:t xml:space="preserve"> </w:t>
      </w:r>
      <w:r>
        <w:t>for filtration due to raw water quality being poor compared to previous standards.</w:t>
      </w:r>
    </w:p>
    <w:p w14:paraId="771EC702" w14:textId="77777777" w:rsidR="00141B97" w:rsidRDefault="00141B97">
      <w:pPr>
        <w:pStyle w:val="BodyText"/>
        <w:spacing w:before="11"/>
        <w:rPr>
          <w:sz w:val="21"/>
        </w:rPr>
      </w:pPr>
    </w:p>
    <w:p w14:paraId="72C58D23" w14:textId="77777777" w:rsidR="00141B97" w:rsidRDefault="00911D63">
      <w:pPr>
        <w:pStyle w:val="BodyText"/>
        <w:ind w:left="114" w:right="948" w:hanging="1"/>
        <w:jc w:val="both"/>
      </w:pPr>
      <w:r>
        <w:t>The net impact of the above adjustments to ‘normalise’ the 2021‐22 operating cost to a baseline for efficient and prudent operation, is an increase of $0.24m of controllable operating expenditure.</w:t>
      </w:r>
    </w:p>
    <w:p w14:paraId="1FC469D5" w14:textId="77777777" w:rsidR="00141B97" w:rsidRDefault="00141B97">
      <w:pPr>
        <w:pStyle w:val="BodyText"/>
        <w:spacing w:before="8"/>
        <w:rPr>
          <w:sz w:val="19"/>
        </w:rPr>
      </w:pPr>
    </w:p>
    <w:p w14:paraId="4D1CDC6E" w14:textId="77777777" w:rsidR="00141B97" w:rsidRDefault="00911D63">
      <w:pPr>
        <w:pStyle w:val="ListParagraph"/>
        <w:numPr>
          <w:ilvl w:val="3"/>
          <w:numId w:val="81"/>
        </w:numPr>
        <w:tabs>
          <w:tab w:val="left" w:pos="1107"/>
        </w:tabs>
        <w:spacing w:before="1"/>
        <w:jc w:val="both"/>
        <w:rPr>
          <w:i/>
        </w:rPr>
      </w:pPr>
      <w:r>
        <w:rPr>
          <w:i/>
        </w:rPr>
        <w:t>Projecting</w:t>
      </w:r>
      <w:r>
        <w:rPr>
          <w:i/>
          <w:spacing w:val="-10"/>
        </w:rPr>
        <w:t xml:space="preserve"> </w:t>
      </w:r>
      <w:r>
        <w:rPr>
          <w:i/>
        </w:rPr>
        <w:t>the</w:t>
      </w:r>
      <w:r>
        <w:rPr>
          <w:i/>
          <w:spacing w:val="-9"/>
        </w:rPr>
        <w:t xml:space="preserve"> </w:t>
      </w:r>
      <w:r>
        <w:rPr>
          <w:i/>
        </w:rPr>
        <w:t>Baseline</w:t>
      </w:r>
      <w:r>
        <w:rPr>
          <w:i/>
          <w:spacing w:val="-9"/>
        </w:rPr>
        <w:t xml:space="preserve"> </w:t>
      </w:r>
      <w:r>
        <w:rPr>
          <w:i/>
          <w:spacing w:val="-2"/>
        </w:rPr>
        <w:t>Forward</w:t>
      </w:r>
    </w:p>
    <w:p w14:paraId="67414FCF" w14:textId="77777777" w:rsidR="00141B97" w:rsidRDefault="00911D63">
      <w:pPr>
        <w:pStyle w:val="BodyText"/>
        <w:spacing w:before="59"/>
        <w:ind w:left="113" w:right="951"/>
        <w:jc w:val="both"/>
      </w:pPr>
      <w:r>
        <w:t>The baseline 2021‐22 year has been adjusted to allow for increases due to 1.10% projected growth in connections and</w:t>
      </w:r>
      <w:r>
        <w:rPr>
          <w:spacing w:val="-2"/>
        </w:rPr>
        <w:t xml:space="preserve"> </w:t>
      </w:r>
      <w:r>
        <w:t>reductions</w:t>
      </w:r>
      <w:r>
        <w:rPr>
          <w:spacing w:val="-2"/>
        </w:rPr>
        <w:t xml:space="preserve"> </w:t>
      </w:r>
      <w:r>
        <w:t>via</w:t>
      </w:r>
      <w:r>
        <w:rPr>
          <w:spacing w:val="-2"/>
        </w:rPr>
        <w:t xml:space="preserve"> </w:t>
      </w:r>
      <w:r>
        <w:t>efficiency</w:t>
      </w:r>
      <w:r>
        <w:rPr>
          <w:spacing w:val="-2"/>
        </w:rPr>
        <w:t xml:space="preserve"> </w:t>
      </w:r>
      <w:r>
        <w:t>savings</w:t>
      </w:r>
      <w:r>
        <w:rPr>
          <w:spacing w:val="-2"/>
        </w:rPr>
        <w:t xml:space="preserve"> </w:t>
      </w:r>
      <w:r>
        <w:t>of</w:t>
      </w:r>
      <w:r>
        <w:rPr>
          <w:spacing w:val="-1"/>
        </w:rPr>
        <w:t xml:space="preserve"> </w:t>
      </w:r>
      <w:r>
        <w:t>1.08%,</w:t>
      </w:r>
      <w:r>
        <w:rPr>
          <w:spacing w:val="-3"/>
        </w:rPr>
        <w:t xml:space="preserve"> </w:t>
      </w:r>
      <w:r>
        <w:t>through</w:t>
      </w:r>
      <w:r>
        <w:rPr>
          <w:spacing w:val="-3"/>
        </w:rPr>
        <w:t xml:space="preserve"> </w:t>
      </w:r>
      <w:r>
        <w:t>productivity</w:t>
      </w:r>
      <w:r>
        <w:rPr>
          <w:spacing w:val="-3"/>
        </w:rPr>
        <w:t xml:space="preserve"> </w:t>
      </w:r>
      <w:r>
        <w:t>improvements</w:t>
      </w:r>
      <w:r>
        <w:rPr>
          <w:spacing w:val="-1"/>
        </w:rPr>
        <w:t xml:space="preserve"> </w:t>
      </w:r>
      <w:r>
        <w:t>as</w:t>
      </w:r>
      <w:r>
        <w:rPr>
          <w:spacing w:val="-1"/>
        </w:rPr>
        <w:t xml:space="preserve"> </w:t>
      </w:r>
      <w:r>
        <w:t>discussed</w:t>
      </w:r>
      <w:r>
        <w:rPr>
          <w:spacing w:val="-2"/>
        </w:rPr>
        <w:t xml:space="preserve"> </w:t>
      </w:r>
      <w:r>
        <w:t>in Section 4.4.3 below.</w:t>
      </w:r>
    </w:p>
    <w:p w14:paraId="4F9FAEF6" w14:textId="77777777" w:rsidR="00141B97" w:rsidRDefault="00141B97">
      <w:pPr>
        <w:pStyle w:val="BodyText"/>
        <w:spacing w:before="8"/>
        <w:rPr>
          <w:sz w:val="19"/>
        </w:rPr>
      </w:pPr>
    </w:p>
    <w:p w14:paraId="3C07E963" w14:textId="77777777" w:rsidR="00141B97" w:rsidRDefault="00911D63">
      <w:pPr>
        <w:pStyle w:val="ListParagraph"/>
        <w:numPr>
          <w:ilvl w:val="3"/>
          <w:numId w:val="81"/>
        </w:numPr>
        <w:tabs>
          <w:tab w:val="left" w:pos="1107"/>
        </w:tabs>
        <w:jc w:val="both"/>
        <w:rPr>
          <w:i/>
          <w:sz w:val="20"/>
        </w:rPr>
      </w:pPr>
      <w:r>
        <w:rPr>
          <w:i/>
          <w:sz w:val="20"/>
        </w:rPr>
        <w:t>Variation</w:t>
      </w:r>
      <w:r>
        <w:rPr>
          <w:i/>
          <w:spacing w:val="-4"/>
          <w:sz w:val="20"/>
        </w:rPr>
        <w:t xml:space="preserve"> </w:t>
      </w:r>
      <w:r>
        <w:rPr>
          <w:i/>
          <w:sz w:val="20"/>
        </w:rPr>
        <w:t>to</w:t>
      </w:r>
      <w:r>
        <w:rPr>
          <w:i/>
          <w:spacing w:val="-4"/>
          <w:sz w:val="20"/>
        </w:rPr>
        <w:t xml:space="preserve"> </w:t>
      </w:r>
      <w:r>
        <w:rPr>
          <w:i/>
          <w:sz w:val="20"/>
        </w:rPr>
        <w:t>Baseline</w:t>
      </w:r>
      <w:r>
        <w:rPr>
          <w:i/>
          <w:spacing w:val="-4"/>
          <w:sz w:val="20"/>
        </w:rPr>
        <w:t xml:space="preserve"> </w:t>
      </w:r>
      <w:r>
        <w:rPr>
          <w:i/>
          <w:sz w:val="20"/>
        </w:rPr>
        <w:t>Costs</w:t>
      </w:r>
      <w:r>
        <w:rPr>
          <w:i/>
          <w:spacing w:val="-4"/>
          <w:sz w:val="20"/>
        </w:rPr>
        <w:t xml:space="preserve"> </w:t>
      </w:r>
      <w:r>
        <w:rPr>
          <w:i/>
          <w:sz w:val="20"/>
        </w:rPr>
        <w:t>for</w:t>
      </w:r>
      <w:r>
        <w:rPr>
          <w:i/>
          <w:spacing w:val="-4"/>
          <w:sz w:val="20"/>
        </w:rPr>
        <w:t xml:space="preserve"> </w:t>
      </w:r>
      <w:r>
        <w:rPr>
          <w:i/>
          <w:spacing w:val="-5"/>
          <w:sz w:val="20"/>
        </w:rPr>
        <w:t>PS5</w:t>
      </w:r>
    </w:p>
    <w:p w14:paraId="16914286" w14:textId="77777777" w:rsidR="00141B97" w:rsidRDefault="00911D63">
      <w:pPr>
        <w:pStyle w:val="BodyText"/>
        <w:spacing w:before="60"/>
        <w:ind w:left="114" w:right="948" w:hanging="1"/>
        <w:jc w:val="both"/>
      </w:pPr>
      <w:r>
        <w:t xml:space="preserve">Throughout the PS5 period, there are several variations to baseline expenditure forecast to occur with key movements related to electricity, ICT software, technical service consultants and LGC purchases as discussed </w:t>
      </w:r>
      <w:r>
        <w:rPr>
          <w:spacing w:val="-2"/>
        </w:rPr>
        <w:t>below:</w:t>
      </w:r>
    </w:p>
    <w:p w14:paraId="5DB1D410" w14:textId="77777777" w:rsidR="00141B97" w:rsidRDefault="00911D63">
      <w:pPr>
        <w:pStyle w:val="ListParagraph"/>
        <w:numPr>
          <w:ilvl w:val="4"/>
          <w:numId w:val="81"/>
        </w:numPr>
        <w:tabs>
          <w:tab w:val="left" w:pos="835"/>
        </w:tabs>
        <w:ind w:left="834" w:right="949" w:hanging="361"/>
        <w:jc w:val="both"/>
      </w:pPr>
      <w:r>
        <w:t>Electricity costs are forecast to decrease due to stabilisation of prices compared to the PS4 period as previously in discussed in above in Section 4.4.1.2.</w:t>
      </w:r>
    </w:p>
    <w:p w14:paraId="0A214B4C" w14:textId="77777777" w:rsidR="00141B97" w:rsidRDefault="00911D63">
      <w:pPr>
        <w:pStyle w:val="ListParagraph"/>
        <w:numPr>
          <w:ilvl w:val="4"/>
          <w:numId w:val="81"/>
        </w:numPr>
        <w:tabs>
          <w:tab w:val="left" w:pos="834"/>
        </w:tabs>
        <w:spacing w:before="1"/>
        <w:ind w:right="948" w:hanging="361"/>
        <w:jc w:val="both"/>
      </w:pPr>
      <w:r>
        <w:t>ICT Software increase is due to additional software licences and new SaaS agreements which include cloud hosting charges, as previously discussed above in Section 4.4.1.6.</w:t>
      </w:r>
    </w:p>
    <w:p w14:paraId="3A526226" w14:textId="77777777" w:rsidR="00141B97" w:rsidRDefault="00911D63">
      <w:pPr>
        <w:pStyle w:val="ListParagraph"/>
        <w:numPr>
          <w:ilvl w:val="4"/>
          <w:numId w:val="81"/>
        </w:numPr>
        <w:tabs>
          <w:tab w:val="left" w:pos="834"/>
        </w:tabs>
        <w:spacing w:before="59" w:line="249" w:lineRule="auto"/>
        <w:ind w:right="948"/>
        <w:jc w:val="both"/>
      </w:pPr>
      <w:r>
        <w:t>Efficiencies forecast to be gained in Technical Service activities with reduction in consultant and contractor expenses. By continuing to retain and develop staff through internal mentoring and additional training and education, LMW aims to have less reliance on external resources required to assist with various activities including project planning and management, hydraulic assessment and urban strategy works.</w:t>
      </w:r>
    </w:p>
    <w:p w14:paraId="058C26D9" w14:textId="77777777" w:rsidR="00141B97" w:rsidRDefault="00911D63">
      <w:pPr>
        <w:pStyle w:val="ListParagraph"/>
        <w:numPr>
          <w:ilvl w:val="4"/>
          <w:numId w:val="81"/>
        </w:numPr>
        <w:tabs>
          <w:tab w:val="left" w:pos="835"/>
        </w:tabs>
        <w:spacing w:before="112"/>
        <w:ind w:left="834" w:right="947"/>
        <w:jc w:val="both"/>
      </w:pPr>
      <w:r>
        <w:t>As</w:t>
      </w:r>
      <w:r>
        <w:rPr>
          <w:spacing w:val="-4"/>
        </w:rPr>
        <w:t xml:space="preserve"> </w:t>
      </w:r>
      <w:r>
        <w:t>part</w:t>
      </w:r>
      <w:r>
        <w:rPr>
          <w:spacing w:val="-3"/>
        </w:rPr>
        <w:t xml:space="preserve"> </w:t>
      </w:r>
      <w:r>
        <w:t>of</w:t>
      </w:r>
      <w:r>
        <w:rPr>
          <w:spacing w:val="-3"/>
        </w:rPr>
        <w:t xml:space="preserve"> </w:t>
      </w:r>
      <w:r>
        <w:t>the</w:t>
      </w:r>
      <w:r>
        <w:rPr>
          <w:spacing w:val="-4"/>
        </w:rPr>
        <w:t xml:space="preserve"> </w:t>
      </w:r>
      <w:r>
        <w:t>Victorian</w:t>
      </w:r>
      <w:r>
        <w:rPr>
          <w:spacing w:val="-3"/>
        </w:rPr>
        <w:t xml:space="preserve"> </w:t>
      </w:r>
      <w:r>
        <w:t>Government</w:t>
      </w:r>
      <w:r>
        <w:rPr>
          <w:spacing w:val="-2"/>
        </w:rPr>
        <w:t xml:space="preserve"> </w:t>
      </w:r>
      <w:r>
        <w:t>policy</w:t>
      </w:r>
      <w:r>
        <w:rPr>
          <w:spacing w:val="-4"/>
        </w:rPr>
        <w:t xml:space="preserve"> </w:t>
      </w:r>
      <w:r>
        <w:t>for</w:t>
      </w:r>
      <w:r>
        <w:rPr>
          <w:spacing w:val="-3"/>
        </w:rPr>
        <w:t xml:space="preserve"> </w:t>
      </w:r>
      <w:r>
        <w:t>all</w:t>
      </w:r>
      <w:r>
        <w:rPr>
          <w:spacing w:val="-4"/>
        </w:rPr>
        <w:t xml:space="preserve"> </w:t>
      </w:r>
      <w:r>
        <w:t>sectors</w:t>
      </w:r>
      <w:r>
        <w:rPr>
          <w:spacing w:val="-3"/>
        </w:rPr>
        <w:t xml:space="preserve"> </w:t>
      </w:r>
      <w:r>
        <w:t>of</w:t>
      </w:r>
      <w:r>
        <w:rPr>
          <w:spacing w:val="-3"/>
        </w:rPr>
        <w:t xml:space="preserve"> </w:t>
      </w:r>
      <w:r>
        <w:t>government</w:t>
      </w:r>
      <w:r>
        <w:rPr>
          <w:spacing w:val="-4"/>
        </w:rPr>
        <w:t xml:space="preserve"> </w:t>
      </w:r>
      <w:r>
        <w:t>to</w:t>
      </w:r>
      <w:r>
        <w:rPr>
          <w:spacing w:val="-5"/>
        </w:rPr>
        <w:t xml:space="preserve"> </w:t>
      </w:r>
      <w:r>
        <w:t>source</w:t>
      </w:r>
      <w:r>
        <w:rPr>
          <w:spacing w:val="-4"/>
        </w:rPr>
        <w:t xml:space="preserve"> </w:t>
      </w:r>
      <w:r>
        <w:t>all</w:t>
      </w:r>
      <w:r>
        <w:rPr>
          <w:spacing w:val="-2"/>
        </w:rPr>
        <w:t xml:space="preserve"> </w:t>
      </w:r>
      <w:r>
        <w:t>electricity</w:t>
      </w:r>
      <w:r>
        <w:rPr>
          <w:spacing w:val="-4"/>
        </w:rPr>
        <w:t xml:space="preserve"> </w:t>
      </w:r>
      <w:r>
        <w:t>(Scope 2 Emissions) from renewable sources or purchase offsets by 2025, LMW has budgeted to purchase offsets in the form of Large Generator Certificates (LGCs) from the market to meet this obligation.</w:t>
      </w:r>
    </w:p>
    <w:p w14:paraId="6CBAFA8B" w14:textId="77777777" w:rsidR="00141B97" w:rsidRDefault="00141B97">
      <w:pPr>
        <w:pStyle w:val="BodyText"/>
        <w:spacing w:before="9"/>
        <w:rPr>
          <w:sz w:val="20"/>
        </w:rPr>
      </w:pPr>
    </w:p>
    <w:p w14:paraId="5C2A8AAD" w14:textId="77777777" w:rsidR="00141B97" w:rsidRDefault="00911D63">
      <w:pPr>
        <w:pStyle w:val="ListParagraph"/>
        <w:numPr>
          <w:ilvl w:val="2"/>
          <w:numId w:val="81"/>
        </w:numPr>
        <w:tabs>
          <w:tab w:val="left" w:pos="1112"/>
          <w:tab w:val="left" w:pos="1113"/>
        </w:tabs>
        <w:jc w:val="both"/>
      </w:pPr>
      <w:r>
        <w:t>Productivity</w:t>
      </w:r>
      <w:r>
        <w:rPr>
          <w:spacing w:val="-10"/>
        </w:rPr>
        <w:t xml:space="preserve"> </w:t>
      </w:r>
      <w:r>
        <w:t>Improvements</w:t>
      </w:r>
      <w:r>
        <w:rPr>
          <w:spacing w:val="-9"/>
        </w:rPr>
        <w:t xml:space="preserve"> </w:t>
      </w:r>
      <w:r>
        <w:t>for</w:t>
      </w:r>
      <w:r>
        <w:rPr>
          <w:spacing w:val="-9"/>
        </w:rPr>
        <w:t xml:space="preserve"> </w:t>
      </w:r>
      <w:r>
        <w:t>the</w:t>
      </w:r>
      <w:r>
        <w:rPr>
          <w:spacing w:val="-10"/>
        </w:rPr>
        <w:t xml:space="preserve"> </w:t>
      </w:r>
      <w:r>
        <w:t>Forthcoming</w:t>
      </w:r>
      <w:r>
        <w:rPr>
          <w:spacing w:val="-10"/>
        </w:rPr>
        <w:t xml:space="preserve"> </w:t>
      </w:r>
      <w:r>
        <w:rPr>
          <w:spacing w:val="-2"/>
        </w:rPr>
        <w:t>Period</w:t>
      </w:r>
    </w:p>
    <w:p w14:paraId="6716E324" w14:textId="77777777" w:rsidR="00141B97" w:rsidRDefault="00911D63">
      <w:pPr>
        <w:pStyle w:val="BodyText"/>
        <w:spacing w:before="70" w:line="249" w:lineRule="auto"/>
        <w:ind w:left="113" w:right="947"/>
        <w:jc w:val="both"/>
      </w:pPr>
      <w:r>
        <w:t>In general terms, LMW’s proposed service performance represents an incremental improvement on current service levels. Customers have advised they are highly satisfied with LMW service levels and that they wish to keep costs to a minimum. Customers have confirmed that they want consistent, safe, clean drink water and reliable sewerage services.</w:t>
      </w:r>
    </w:p>
    <w:p w14:paraId="7414C32D" w14:textId="77777777" w:rsidR="00141B97" w:rsidRDefault="00911D63">
      <w:pPr>
        <w:pStyle w:val="BodyText"/>
        <w:spacing w:before="122" w:line="249" w:lineRule="auto"/>
        <w:ind w:left="114" w:right="948"/>
        <w:jc w:val="both"/>
      </w:pPr>
      <w:r>
        <w:t>In</w:t>
      </w:r>
      <w:r>
        <w:rPr>
          <w:spacing w:val="-2"/>
        </w:rPr>
        <w:t xml:space="preserve"> </w:t>
      </w:r>
      <w:r>
        <w:t>seeking</w:t>
      </w:r>
      <w:r>
        <w:rPr>
          <w:spacing w:val="-2"/>
        </w:rPr>
        <w:t xml:space="preserve"> </w:t>
      </w:r>
      <w:r>
        <w:t>productivity improvements, LMW</w:t>
      </w:r>
      <w:r>
        <w:rPr>
          <w:spacing w:val="-2"/>
        </w:rPr>
        <w:t xml:space="preserve"> </w:t>
      </w:r>
      <w:r>
        <w:t>has</w:t>
      </w:r>
      <w:r>
        <w:rPr>
          <w:spacing w:val="-1"/>
        </w:rPr>
        <w:t xml:space="preserve"> </w:t>
      </w:r>
      <w:r>
        <w:t>not</w:t>
      </w:r>
      <w:r>
        <w:rPr>
          <w:spacing w:val="-1"/>
        </w:rPr>
        <w:t xml:space="preserve"> </w:t>
      </w:r>
      <w:r>
        <w:t>proposed</w:t>
      </w:r>
      <w:r>
        <w:rPr>
          <w:spacing w:val="-1"/>
        </w:rPr>
        <w:t xml:space="preserve"> </w:t>
      </w:r>
      <w:r>
        <w:t>any</w:t>
      </w:r>
      <w:r>
        <w:rPr>
          <w:spacing w:val="-2"/>
        </w:rPr>
        <w:t xml:space="preserve"> </w:t>
      </w:r>
      <w:r>
        <w:t>cost</w:t>
      </w:r>
      <w:r>
        <w:rPr>
          <w:spacing w:val="-2"/>
        </w:rPr>
        <w:t xml:space="preserve"> </w:t>
      </w:r>
      <w:r>
        <w:t>savings</w:t>
      </w:r>
      <w:r>
        <w:rPr>
          <w:spacing w:val="-1"/>
        </w:rPr>
        <w:t xml:space="preserve"> </w:t>
      </w:r>
      <w:r>
        <w:t>that</w:t>
      </w:r>
      <w:r>
        <w:rPr>
          <w:spacing w:val="-1"/>
        </w:rPr>
        <w:t xml:space="preserve"> </w:t>
      </w:r>
      <w:r>
        <w:t>would</w:t>
      </w:r>
      <w:r>
        <w:rPr>
          <w:spacing w:val="-1"/>
        </w:rPr>
        <w:t xml:space="preserve"> </w:t>
      </w:r>
      <w:r>
        <w:t>reduce</w:t>
      </w:r>
      <w:r>
        <w:rPr>
          <w:spacing w:val="-3"/>
        </w:rPr>
        <w:t xml:space="preserve"> </w:t>
      </w:r>
      <w:r>
        <w:t>LMW’s level of service to its customers. LMW has, however, sought productivity improvements through an organisation restructure resulting in improved service delivery teams across the business. Delivery of BTP Horizon 1 and 2</w:t>
      </w:r>
    </w:p>
    <w:p w14:paraId="5B909327" w14:textId="77777777" w:rsidR="00141B97" w:rsidRDefault="00141B97">
      <w:pPr>
        <w:spacing w:line="249" w:lineRule="auto"/>
        <w:jc w:val="both"/>
        <w:sectPr w:rsidR="00141B97">
          <w:pgSz w:w="11910" w:h="16840"/>
          <w:pgMar w:top="820" w:right="40" w:bottom="760" w:left="1020" w:header="0" w:footer="580" w:gutter="0"/>
          <w:cols w:space="720"/>
        </w:sectPr>
      </w:pPr>
    </w:p>
    <w:p w14:paraId="546A181B" w14:textId="77777777" w:rsidR="00141B97" w:rsidRDefault="00911D63">
      <w:pPr>
        <w:pStyle w:val="BodyText"/>
        <w:spacing w:before="42" w:line="252" w:lineRule="auto"/>
        <w:ind w:left="113" w:right="950"/>
        <w:jc w:val="both"/>
      </w:pPr>
      <w:r>
        <w:lastRenderedPageBreak/>
        <w:t>projects will not result in forecast FTE savings in PS5 however the business will deliver outcomes to enhance two of the key customer strategy objectives: improving customer experience and service excellence.</w:t>
      </w:r>
    </w:p>
    <w:p w14:paraId="052BB4F4" w14:textId="77777777" w:rsidR="00141B97" w:rsidRDefault="00911D63">
      <w:pPr>
        <w:pStyle w:val="BodyText"/>
        <w:spacing w:before="116" w:line="249" w:lineRule="auto"/>
        <w:ind w:left="113" w:right="948" w:hanging="1"/>
        <w:jc w:val="both"/>
      </w:pPr>
      <w:r>
        <w:t>LMW recognises that it can streamline business processes with the use of technology and enable information and procedural tasks to flow more efficiently throughout its workforce. Moving into</w:t>
      </w:r>
      <w:r>
        <w:rPr>
          <w:spacing w:val="-4"/>
        </w:rPr>
        <w:t xml:space="preserve"> </w:t>
      </w:r>
      <w:r>
        <w:t>PS6 post‐BTP Horizon 2, new systems and ways of working will continue to be embedded across the business. LMW has forecast a reduction</w:t>
      </w:r>
      <w:r>
        <w:rPr>
          <w:spacing w:val="-2"/>
        </w:rPr>
        <w:t xml:space="preserve"> </w:t>
      </w:r>
      <w:r>
        <w:t>in</w:t>
      </w:r>
      <w:r>
        <w:rPr>
          <w:spacing w:val="-2"/>
        </w:rPr>
        <w:t xml:space="preserve"> </w:t>
      </w:r>
      <w:r>
        <w:t>roles</w:t>
      </w:r>
      <w:r>
        <w:rPr>
          <w:spacing w:val="-2"/>
        </w:rPr>
        <w:t xml:space="preserve"> </w:t>
      </w:r>
      <w:r>
        <w:t>impacted</w:t>
      </w:r>
      <w:r>
        <w:rPr>
          <w:spacing w:val="-2"/>
        </w:rPr>
        <w:t xml:space="preserve"> </w:t>
      </w:r>
      <w:r>
        <w:t>by</w:t>
      </w:r>
      <w:r>
        <w:rPr>
          <w:spacing w:val="-2"/>
        </w:rPr>
        <w:t xml:space="preserve"> </w:t>
      </w:r>
      <w:r>
        <w:t>digitisation</w:t>
      </w:r>
      <w:r>
        <w:rPr>
          <w:spacing w:val="-3"/>
        </w:rPr>
        <w:t xml:space="preserve"> </w:t>
      </w:r>
      <w:r>
        <w:t>and</w:t>
      </w:r>
      <w:r>
        <w:rPr>
          <w:spacing w:val="-2"/>
        </w:rPr>
        <w:t xml:space="preserve"> </w:t>
      </w:r>
      <w:r>
        <w:t>automation</w:t>
      </w:r>
      <w:r>
        <w:rPr>
          <w:spacing w:val="-1"/>
        </w:rPr>
        <w:t xml:space="preserve"> </w:t>
      </w:r>
      <w:r>
        <w:t>of</w:t>
      </w:r>
      <w:r>
        <w:rPr>
          <w:spacing w:val="-1"/>
        </w:rPr>
        <w:t xml:space="preserve"> </w:t>
      </w:r>
      <w:r>
        <w:t>functions,</w:t>
      </w:r>
      <w:r>
        <w:rPr>
          <w:spacing w:val="-2"/>
        </w:rPr>
        <w:t xml:space="preserve"> </w:t>
      </w:r>
      <w:r>
        <w:t>offset by</w:t>
      </w:r>
      <w:r>
        <w:rPr>
          <w:spacing w:val="-2"/>
        </w:rPr>
        <w:t xml:space="preserve"> </w:t>
      </w:r>
      <w:r>
        <w:t>the</w:t>
      </w:r>
      <w:r>
        <w:rPr>
          <w:spacing w:val="-2"/>
        </w:rPr>
        <w:t xml:space="preserve"> </w:t>
      </w:r>
      <w:r>
        <w:t>forecast</w:t>
      </w:r>
      <w:r>
        <w:rPr>
          <w:spacing w:val="-2"/>
        </w:rPr>
        <w:t xml:space="preserve"> </w:t>
      </w:r>
      <w:r>
        <w:t>new</w:t>
      </w:r>
      <w:r>
        <w:rPr>
          <w:spacing w:val="-1"/>
        </w:rPr>
        <w:t xml:space="preserve"> </w:t>
      </w:r>
      <w:r>
        <w:t>operational roles to manage a growing service delivery customer base.</w:t>
      </w:r>
    </w:p>
    <w:p w14:paraId="78C9B2C1" w14:textId="77777777" w:rsidR="00141B97" w:rsidRDefault="00911D63">
      <w:pPr>
        <w:pStyle w:val="BodyText"/>
        <w:spacing w:before="124" w:line="252" w:lineRule="auto"/>
        <w:ind w:left="114" w:right="950" w:hanging="1"/>
        <w:jc w:val="both"/>
      </w:pPr>
      <w:r>
        <w:t>Under</w:t>
      </w:r>
      <w:r>
        <w:rPr>
          <w:spacing w:val="-4"/>
        </w:rPr>
        <w:t xml:space="preserve"> </w:t>
      </w:r>
      <w:r>
        <w:t>the</w:t>
      </w:r>
      <w:r>
        <w:rPr>
          <w:spacing w:val="-5"/>
        </w:rPr>
        <w:t xml:space="preserve"> </w:t>
      </w:r>
      <w:r>
        <w:t>State</w:t>
      </w:r>
      <w:r>
        <w:rPr>
          <w:spacing w:val="-5"/>
        </w:rPr>
        <w:t xml:space="preserve"> </w:t>
      </w:r>
      <w:r>
        <w:t>Government</w:t>
      </w:r>
      <w:r>
        <w:rPr>
          <w:spacing w:val="-6"/>
        </w:rPr>
        <w:t xml:space="preserve"> </w:t>
      </w:r>
      <w:r>
        <w:t>mandate,</w:t>
      </w:r>
      <w:r>
        <w:rPr>
          <w:spacing w:val="-5"/>
        </w:rPr>
        <w:t xml:space="preserve"> </w:t>
      </w:r>
      <w:r>
        <w:t>LMW</w:t>
      </w:r>
      <w:r>
        <w:rPr>
          <w:spacing w:val="-4"/>
        </w:rPr>
        <w:t xml:space="preserve"> </w:t>
      </w:r>
      <w:r>
        <w:t>is</w:t>
      </w:r>
      <w:r>
        <w:rPr>
          <w:spacing w:val="-4"/>
        </w:rPr>
        <w:t xml:space="preserve"> </w:t>
      </w:r>
      <w:r>
        <w:t>participating</w:t>
      </w:r>
      <w:r>
        <w:rPr>
          <w:spacing w:val="-4"/>
        </w:rPr>
        <w:t xml:space="preserve"> </w:t>
      </w:r>
      <w:r>
        <w:t>in</w:t>
      </w:r>
      <w:r>
        <w:rPr>
          <w:spacing w:val="-4"/>
        </w:rPr>
        <w:t xml:space="preserve"> </w:t>
      </w:r>
      <w:r>
        <w:t>the</w:t>
      </w:r>
      <w:r>
        <w:rPr>
          <w:spacing w:val="-4"/>
        </w:rPr>
        <w:t xml:space="preserve"> </w:t>
      </w:r>
      <w:r>
        <w:t>VGPB</w:t>
      </w:r>
      <w:r>
        <w:rPr>
          <w:spacing w:val="-4"/>
        </w:rPr>
        <w:t xml:space="preserve"> </w:t>
      </w:r>
      <w:r>
        <w:t>electricity</w:t>
      </w:r>
      <w:r>
        <w:rPr>
          <w:spacing w:val="-4"/>
        </w:rPr>
        <w:t xml:space="preserve"> </w:t>
      </w:r>
      <w:r>
        <w:t>purchase</w:t>
      </w:r>
      <w:r>
        <w:rPr>
          <w:spacing w:val="-5"/>
        </w:rPr>
        <w:t xml:space="preserve"> </w:t>
      </w:r>
      <w:r>
        <w:t>contract,</w:t>
      </w:r>
      <w:r>
        <w:rPr>
          <w:spacing w:val="-4"/>
        </w:rPr>
        <w:t xml:space="preserve"> </w:t>
      </w:r>
      <w:r>
        <w:t>which</w:t>
      </w:r>
      <w:r>
        <w:rPr>
          <w:spacing w:val="-4"/>
        </w:rPr>
        <w:t xml:space="preserve"> </w:t>
      </w:r>
      <w:r>
        <w:t>is expected to deliver efficient electricity prices for the PS5 period.</w:t>
      </w:r>
    </w:p>
    <w:p w14:paraId="6CDB8634" w14:textId="77777777" w:rsidR="00141B97" w:rsidRDefault="00141B97">
      <w:pPr>
        <w:pStyle w:val="BodyText"/>
        <w:spacing w:before="4"/>
        <w:rPr>
          <w:sz w:val="19"/>
        </w:rPr>
      </w:pPr>
    </w:p>
    <w:p w14:paraId="3CB86EE7" w14:textId="77777777" w:rsidR="00141B97" w:rsidRDefault="00911D63">
      <w:pPr>
        <w:pStyle w:val="ListParagraph"/>
        <w:numPr>
          <w:ilvl w:val="2"/>
          <w:numId w:val="81"/>
        </w:numPr>
        <w:tabs>
          <w:tab w:val="left" w:pos="1112"/>
          <w:tab w:val="left" w:pos="1113"/>
        </w:tabs>
        <w:spacing w:before="1"/>
        <w:jc w:val="both"/>
      </w:pPr>
      <w:r>
        <w:t>Potential</w:t>
      </w:r>
      <w:r>
        <w:rPr>
          <w:spacing w:val="-10"/>
        </w:rPr>
        <w:t xml:space="preserve"> </w:t>
      </w:r>
      <w:r>
        <w:t>Uncertain</w:t>
      </w:r>
      <w:r>
        <w:rPr>
          <w:spacing w:val="-8"/>
        </w:rPr>
        <w:t xml:space="preserve"> </w:t>
      </w:r>
      <w:r>
        <w:rPr>
          <w:spacing w:val="-2"/>
        </w:rPr>
        <w:t>Events</w:t>
      </w:r>
    </w:p>
    <w:p w14:paraId="0A83710F" w14:textId="77777777" w:rsidR="00141B97" w:rsidRDefault="00911D63">
      <w:pPr>
        <w:pStyle w:val="BodyText"/>
        <w:spacing w:before="71" w:line="249" w:lineRule="auto"/>
        <w:ind w:left="114" w:right="948" w:hanging="1"/>
        <w:jc w:val="both"/>
      </w:pPr>
      <w:r>
        <w:t>A significant potential uncertain event which could influence opex is the Victorian Mallee Floodplains Restoration Project (VMFRP) as discussed in Part A, Section 4.9.1. In addition, the following uncertain events that could influence operating expenditure include:</w:t>
      </w:r>
    </w:p>
    <w:p w14:paraId="6F94F775" w14:textId="77777777" w:rsidR="00141B97" w:rsidRDefault="00911D63">
      <w:pPr>
        <w:pStyle w:val="ListParagraph"/>
        <w:numPr>
          <w:ilvl w:val="0"/>
          <w:numId w:val="43"/>
        </w:numPr>
        <w:tabs>
          <w:tab w:val="left" w:pos="833"/>
          <w:tab w:val="left" w:pos="835"/>
        </w:tabs>
        <w:spacing w:before="110"/>
        <w:ind w:hanging="361"/>
      </w:pPr>
      <w:r>
        <w:rPr>
          <w:spacing w:val="-2"/>
        </w:rPr>
        <w:t>Unforeseen</w:t>
      </w:r>
      <w:r>
        <w:rPr>
          <w:spacing w:val="5"/>
        </w:rPr>
        <w:t xml:space="preserve"> </w:t>
      </w:r>
      <w:r>
        <w:rPr>
          <w:spacing w:val="-2"/>
        </w:rPr>
        <w:t>legislative</w:t>
      </w:r>
      <w:r>
        <w:rPr>
          <w:spacing w:val="3"/>
        </w:rPr>
        <w:t xml:space="preserve"> </w:t>
      </w:r>
      <w:r>
        <w:rPr>
          <w:spacing w:val="-2"/>
        </w:rPr>
        <w:t>compliance</w:t>
      </w:r>
      <w:r>
        <w:rPr>
          <w:spacing w:val="6"/>
        </w:rPr>
        <w:t xml:space="preserve"> </w:t>
      </w:r>
      <w:r>
        <w:rPr>
          <w:spacing w:val="-2"/>
        </w:rPr>
        <w:t>standards</w:t>
      </w:r>
      <w:r>
        <w:rPr>
          <w:spacing w:val="5"/>
        </w:rPr>
        <w:t xml:space="preserve"> </w:t>
      </w:r>
      <w:r>
        <w:rPr>
          <w:spacing w:val="-2"/>
        </w:rPr>
        <w:t>and</w:t>
      </w:r>
      <w:r>
        <w:rPr>
          <w:spacing w:val="6"/>
        </w:rPr>
        <w:t xml:space="preserve"> </w:t>
      </w:r>
      <w:r>
        <w:rPr>
          <w:spacing w:val="-2"/>
        </w:rPr>
        <w:t>regulations</w:t>
      </w:r>
      <w:r>
        <w:rPr>
          <w:spacing w:val="5"/>
        </w:rPr>
        <w:t xml:space="preserve"> </w:t>
      </w:r>
      <w:r>
        <w:rPr>
          <w:spacing w:val="-2"/>
        </w:rPr>
        <w:t>driving</w:t>
      </w:r>
      <w:r>
        <w:rPr>
          <w:spacing w:val="6"/>
        </w:rPr>
        <w:t xml:space="preserve"> </w:t>
      </w:r>
      <w:r>
        <w:rPr>
          <w:spacing w:val="-2"/>
        </w:rPr>
        <w:t>increases</w:t>
      </w:r>
      <w:r>
        <w:rPr>
          <w:spacing w:val="7"/>
        </w:rPr>
        <w:t xml:space="preserve"> </w:t>
      </w:r>
      <w:r>
        <w:rPr>
          <w:spacing w:val="-2"/>
        </w:rPr>
        <w:t>compliance</w:t>
      </w:r>
      <w:r>
        <w:rPr>
          <w:spacing w:val="4"/>
        </w:rPr>
        <w:t xml:space="preserve"> </w:t>
      </w:r>
      <w:r>
        <w:rPr>
          <w:spacing w:val="-2"/>
        </w:rPr>
        <w:t>costs.</w:t>
      </w:r>
    </w:p>
    <w:p w14:paraId="40E62762" w14:textId="77777777" w:rsidR="00141B97" w:rsidRDefault="00911D63">
      <w:pPr>
        <w:pStyle w:val="ListParagraph"/>
        <w:numPr>
          <w:ilvl w:val="0"/>
          <w:numId w:val="43"/>
        </w:numPr>
        <w:tabs>
          <w:tab w:val="left" w:pos="833"/>
          <w:tab w:val="left" w:pos="834"/>
        </w:tabs>
        <w:spacing w:before="61"/>
        <w:ind w:hanging="361"/>
      </w:pPr>
      <w:r>
        <w:t>Increased</w:t>
      </w:r>
      <w:r>
        <w:rPr>
          <w:spacing w:val="-9"/>
        </w:rPr>
        <w:t xml:space="preserve"> </w:t>
      </w:r>
      <w:r>
        <w:t>Blue‐Green</w:t>
      </w:r>
      <w:r>
        <w:rPr>
          <w:spacing w:val="-8"/>
        </w:rPr>
        <w:t xml:space="preserve"> </w:t>
      </w:r>
      <w:r>
        <w:t>Algae</w:t>
      </w:r>
      <w:r>
        <w:rPr>
          <w:spacing w:val="-10"/>
        </w:rPr>
        <w:t xml:space="preserve"> </w:t>
      </w:r>
      <w:r>
        <w:t>and</w:t>
      </w:r>
      <w:r>
        <w:rPr>
          <w:spacing w:val="-9"/>
        </w:rPr>
        <w:t xml:space="preserve"> </w:t>
      </w:r>
      <w:r>
        <w:t>Blackwater</w:t>
      </w:r>
      <w:r>
        <w:rPr>
          <w:spacing w:val="-8"/>
        </w:rPr>
        <w:t xml:space="preserve"> </w:t>
      </w:r>
      <w:r>
        <w:t>events</w:t>
      </w:r>
      <w:r>
        <w:rPr>
          <w:spacing w:val="-7"/>
        </w:rPr>
        <w:t xml:space="preserve"> </w:t>
      </w:r>
      <w:r>
        <w:t>impacting</w:t>
      </w:r>
      <w:r>
        <w:rPr>
          <w:spacing w:val="-8"/>
        </w:rPr>
        <w:t xml:space="preserve"> </w:t>
      </w:r>
      <w:r>
        <w:t>water</w:t>
      </w:r>
      <w:r>
        <w:rPr>
          <w:spacing w:val="-9"/>
        </w:rPr>
        <w:t xml:space="preserve"> </w:t>
      </w:r>
      <w:r>
        <w:rPr>
          <w:spacing w:val="-2"/>
        </w:rPr>
        <w:t>quality.</w:t>
      </w:r>
    </w:p>
    <w:p w14:paraId="5881B962" w14:textId="77777777" w:rsidR="00141B97" w:rsidRDefault="00911D63">
      <w:pPr>
        <w:pStyle w:val="ListParagraph"/>
        <w:numPr>
          <w:ilvl w:val="0"/>
          <w:numId w:val="43"/>
        </w:numPr>
        <w:tabs>
          <w:tab w:val="left" w:pos="833"/>
          <w:tab w:val="left" w:pos="834"/>
        </w:tabs>
        <w:spacing w:before="59"/>
        <w:ind w:left="833" w:hanging="361"/>
      </w:pPr>
      <w:r>
        <w:t>Material</w:t>
      </w:r>
      <w:r>
        <w:rPr>
          <w:spacing w:val="-9"/>
        </w:rPr>
        <w:t xml:space="preserve"> </w:t>
      </w:r>
      <w:r>
        <w:t>breakdowns</w:t>
      </w:r>
      <w:r>
        <w:rPr>
          <w:spacing w:val="-7"/>
        </w:rPr>
        <w:t xml:space="preserve"> </w:t>
      </w:r>
      <w:r>
        <w:t>of</w:t>
      </w:r>
      <w:r>
        <w:rPr>
          <w:spacing w:val="-8"/>
        </w:rPr>
        <w:t xml:space="preserve"> </w:t>
      </w:r>
      <w:r>
        <w:t>major</w:t>
      </w:r>
      <w:r>
        <w:rPr>
          <w:spacing w:val="-8"/>
        </w:rPr>
        <w:t xml:space="preserve"> </w:t>
      </w:r>
      <w:r>
        <w:t>plant</w:t>
      </w:r>
      <w:r>
        <w:rPr>
          <w:spacing w:val="-7"/>
        </w:rPr>
        <w:t xml:space="preserve"> </w:t>
      </w:r>
      <w:r>
        <w:rPr>
          <w:spacing w:val="-2"/>
        </w:rPr>
        <w:t>operations.</w:t>
      </w:r>
    </w:p>
    <w:p w14:paraId="03B1DC31" w14:textId="77777777" w:rsidR="00141B97" w:rsidRDefault="00911D63">
      <w:pPr>
        <w:pStyle w:val="ListParagraph"/>
        <w:numPr>
          <w:ilvl w:val="0"/>
          <w:numId w:val="43"/>
        </w:numPr>
        <w:tabs>
          <w:tab w:val="left" w:pos="833"/>
          <w:tab w:val="left" w:pos="834"/>
        </w:tabs>
        <w:spacing w:before="61"/>
        <w:ind w:left="833" w:hanging="361"/>
      </w:pPr>
      <w:r>
        <w:t>Fines</w:t>
      </w:r>
      <w:r>
        <w:rPr>
          <w:spacing w:val="-6"/>
        </w:rPr>
        <w:t xml:space="preserve"> </w:t>
      </w:r>
      <w:r>
        <w:t>and</w:t>
      </w:r>
      <w:r>
        <w:rPr>
          <w:spacing w:val="-6"/>
        </w:rPr>
        <w:t xml:space="preserve"> </w:t>
      </w:r>
      <w:r>
        <w:t>court</w:t>
      </w:r>
      <w:r>
        <w:rPr>
          <w:spacing w:val="-5"/>
        </w:rPr>
        <w:t xml:space="preserve"> </w:t>
      </w:r>
      <w:r>
        <w:rPr>
          <w:spacing w:val="-2"/>
        </w:rPr>
        <w:t>prosecutions.</w:t>
      </w:r>
    </w:p>
    <w:p w14:paraId="5958F361" w14:textId="77777777" w:rsidR="00141B97" w:rsidRDefault="00911D63">
      <w:pPr>
        <w:pStyle w:val="ListParagraph"/>
        <w:numPr>
          <w:ilvl w:val="0"/>
          <w:numId w:val="43"/>
        </w:numPr>
        <w:tabs>
          <w:tab w:val="left" w:pos="833"/>
          <w:tab w:val="left" w:pos="834"/>
        </w:tabs>
        <w:spacing w:before="59"/>
        <w:ind w:left="833" w:hanging="361"/>
      </w:pPr>
      <w:r>
        <w:t>Escalation</w:t>
      </w:r>
      <w:r>
        <w:rPr>
          <w:spacing w:val="-8"/>
        </w:rPr>
        <w:t xml:space="preserve"> </w:t>
      </w:r>
      <w:r>
        <w:t>of</w:t>
      </w:r>
      <w:r>
        <w:rPr>
          <w:spacing w:val="-6"/>
        </w:rPr>
        <w:t xml:space="preserve"> </w:t>
      </w:r>
      <w:r>
        <w:t>labour</w:t>
      </w:r>
      <w:r>
        <w:rPr>
          <w:spacing w:val="-9"/>
        </w:rPr>
        <w:t xml:space="preserve"> </w:t>
      </w:r>
      <w:r>
        <w:t>costs</w:t>
      </w:r>
      <w:r>
        <w:rPr>
          <w:spacing w:val="-8"/>
        </w:rPr>
        <w:t xml:space="preserve"> </w:t>
      </w:r>
      <w:r>
        <w:t>during</w:t>
      </w:r>
      <w:r>
        <w:rPr>
          <w:spacing w:val="-7"/>
        </w:rPr>
        <w:t xml:space="preserve"> </w:t>
      </w:r>
      <w:r>
        <w:t>the</w:t>
      </w:r>
      <w:r>
        <w:rPr>
          <w:spacing w:val="-9"/>
        </w:rPr>
        <w:t xml:space="preserve"> </w:t>
      </w:r>
      <w:r>
        <w:t>2025</w:t>
      </w:r>
      <w:r>
        <w:rPr>
          <w:spacing w:val="-8"/>
        </w:rPr>
        <w:t xml:space="preserve"> </w:t>
      </w:r>
      <w:r>
        <w:t>Enterprise</w:t>
      </w:r>
      <w:r>
        <w:rPr>
          <w:spacing w:val="-8"/>
        </w:rPr>
        <w:t xml:space="preserve"> </w:t>
      </w:r>
      <w:r>
        <w:rPr>
          <w:spacing w:val="-2"/>
        </w:rPr>
        <w:t>Agreement.</w:t>
      </w:r>
    </w:p>
    <w:p w14:paraId="447DB731" w14:textId="77777777" w:rsidR="00141B97" w:rsidRDefault="00141B97">
      <w:pPr>
        <w:pStyle w:val="BodyText"/>
        <w:spacing w:before="1"/>
        <w:rPr>
          <w:sz w:val="31"/>
        </w:rPr>
      </w:pPr>
    </w:p>
    <w:p w14:paraId="25E99C4F" w14:textId="77777777" w:rsidR="00141B97" w:rsidRDefault="00911D63">
      <w:pPr>
        <w:pStyle w:val="Heading2"/>
        <w:numPr>
          <w:ilvl w:val="1"/>
          <w:numId w:val="81"/>
        </w:numPr>
        <w:tabs>
          <w:tab w:val="left" w:pos="1113"/>
        </w:tabs>
        <w:jc w:val="both"/>
      </w:pPr>
      <w:r>
        <w:rPr>
          <w:color w:val="009BAC"/>
        </w:rPr>
        <w:t>Forecast</w:t>
      </w:r>
      <w:r>
        <w:rPr>
          <w:color w:val="009BAC"/>
          <w:spacing w:val="-9"/>
        </w:rPr>
        <w:t xml:space="preserve"> </w:t>
      </w:r>
      <w:r>
        <w:rPr>
          <w:color w:val="009BAC"/>
        </w:rPr>
        <w:t>Capital</w:t>
      </w:r>
      <w:r>
        <w:rPr>
          <w:color w:val="009BAC"/>
          <w:spacing w:val="-9"/>
        </w:rPr>
        <w:t xml:space="preserve"> </w:t>
      </w:r>
      <w:r>
        <w:rPr>
          <w:color w:val="009BAC"/>
          <w:spacing w:val="-2"/>
        </w:rPr>
        <w:t>Expenditure</w:t>
      </w:r>
    </w:p>
    <w:p w14:paraId="0E1E3D72" w14:textId="77777777" w:rsidR="00141B97" w:rsidRDefault="00141B97">
      <w:pPr>
        <w:pStyle w:val="BodyText"/>
        <w:spacing w:before="9"/>
        <w:rPr>
          <w:sz w:val="20"/>
        </w:rPr>
      </w:pPr>
    </w:p>
    <w:p w14:paraId="3928017A" w14:textId="77777777" w:rsidR="00141B97" w:rsidRDefault="00911D63">
      <w:pPr>
        <w:pStyle w:val="ListParagraph"/>
        <w:numPr>
          <w:ilvl w:val="2"/>
          <w:numId w:val="81"/>
        </w:numPr>
        <w:tabs>
          <w:tab w:val="left" w:pos="1112"/>
          <w:tab w:val="left" w:pos="1113"/>
        </w:tabs>
      </w:pPr>
      <w:r>
        <w:t>Forecast</w:t>
      </w:r>
      <w:r>
        <w:rPr>
          <w:spacing w:val="-8"/>
        </w:rPr>
        <w:t xml:space="preserve"> </w:t>
      </w:r>
      <w:r>
        <w:t>Capital</w:t>
      </w:r>
      <w:r>
        <w:rPr>
          <w:spacing w:val="-7"/>
        </w:rPr>
        <w:t xml:space="preserve"> </w:t>
      </w:r>
      <w:r>
        <w:rPr>
          <w:spacing w:val="-2"/>
        </w:rPr>
        <w:t>Expenditure</w:t>
      </w:r>
    </w:p>
    <w:p w14:paraId="4ECD6E99" w14:textId="77777777" w:rsidR="00141B97" w:rsidRDefault="00911D63">
      <w:pPr>
        <w:pStyle w:val="BodyText"/>
        <w:spacing w:before="59"/>
        <w:ind w:left="114" w:right="962" w:hanging="1"/>
      </w:pPr>
      <w:r>
        <w:t>Table B28 below sets out LMW’s proposed prudent and efficient capital expenditure for each year of the fifth regulatory</w:t>
      </w:r>
      <w:r>
        <w:rPr>
          <w:spacing w:val="-4"/>
        </w:rPr>
        <w:t xml:space="preserve"> </w:t>
      </w:r>
      <w:r>
        <w:t>period,</w:t>
      </w:r>
      <w:r>
        <w:rPr>
          <w:spacing w:val="-3"/>
        </w:rPr>
        <w:t xml:space="preserve"> </w:t>
      </w:r>
      <w:r>
        <w:t>across</w:t>
      </w:r>
      <w:r>
        <w:rPr>
          <w:spacing w:val="-4"/>
        </w:rPr>
        <w:t xml:space="preserve"> </w:t>
      </w:r>
      <w:r>
        <w:t>each</w:t>
      </w:r>
      <w:r>
        <w:rPr>
          <w:spacing w:val="-3"/>
        </w:rPr>
        <w:t xml:space="preserve"> </w:t>
      </w:r>
      <w:r>
        <w:t>major</w:t>
      </w:r>
      <w:r>
        <w:rPr>
          <w:spacing w:val="-5"/>
        </w:rPr>
        <w:t xml:space="preserve"> </w:t>
      </w:r>
      <w:r>
        <w:t>service</w:t>
      </w:r>
      <w:r>
        <w:rPr>
          <w:spacing w:val="-5"/>
        </w:rPr>
        <w:t xml:space="preserve"> </w:t>
      </w:r>
      <w:r>
        <w:t>category.</w:t>
      </w:r>
      <w:r>
        <w:rPr>
          <w:spacing w:val="-2"/>
        </w:rPr>
        <w:t xml:space="preserve"> </w:t>
      </w:r>
      <w:r>
        <w:t>The</w:t>
      </w:r>
      <w:r>
        <w:rPr>
          <w:spacing w:val="-5"/>
        </w:rPr>
        <w:t xml:space="preserve"> </w:t>
      </w:r>
      <w:r>
        <w:t>total</w:t>
      </w:r>
      <w:r>
        <w:rPr>
          <w:spacing w:val="-3"/>
        </w:rPr>
        <w:t xml:space="preserve"> </w:t>
      </w:r>
      <w:r>
        <w:t>proposed</w:t>
      </w:r>
      <w:r>
        <w:rPr>
          <w:spacing w:val="-5"/>
        </w:rPr>
        <w:t xml:space="preserve"> </w:t>
      </w:r>
      <w:r>
        <w:t>capital</w:t>
      </w:r>
      <w:r>
        <w:rPr>
          <w:spacing w:val="-2"/>
        </w:rPr>
        <w:t xml:space="preserve"> </w:t>
      </w:r>
      <w:r>
        <w:t>expenditure</w:t>
      </w:r>
      <w:r>
        <w:rPr>
          <w:spacing w:val="-4"/>
        </w:rPr>
        <w:t xml:space="preserve"> </w:t>
      </w:r>
      <w:r>
        <w:t>for</w:t>
      </w:r>
      <w:r>
        <w:rPr>
          <w:spacing w:val="-4"/>
        </w:rPr>
        <w:t xml:space="preserve"> </w:t>
      </w:r>
      <w:r>
        <w:t>the</w:t>
      </w:r>
      <w:r>
        <w:rPr>
          <w:spacing w:val="-3"/>
        </w:rPr>
        <w:t xml:space="preserve"> </w:t>
      </w:r>
      <w:r>
        <w:t>period</w:t>
      </w:r>
      <w:r>
        <w:rPr>
          <w:spacing w:val="-3"/>
        </w:rPr>
        <w:t xml:space="preserve"> </w:t>
      </w:r>
      <w:r>
        <w:rPr>
          <w:spacing w:val="-5"/>
        </w:rPr>
        <w:t>is</w:t>
      </w:r>
    </w:p>
    <w:p w14:paraId="3A18D626" w14:textId="77777777" w:rsidR="00141B97" w:rsidRDefault="00911D63">
      <w:pPr>
        <w:pStyle w:val="BodyText"/>
        <w:spacing w:line="268" w:lineRule="exact"/>
        <w:ind w:left="113"/>
      </w:pPr>
      <w:r>
        <w:t>$98.61m</w:t>
      </w:r>
      <w:r>
        <w:rPr>
          <w:spacing w:val="-8"/>
        </w:rPr>
        <w:t xml:space="preserve"> </w:t>
      </w:r>
      <w:r>
        <w:t>in</w:t>
      </w:r>
      <w:r>
        <w:rPr>
          <w:spacing w:val="-8"/>
        </w:rPr>
        <w:t xml:space="preserve"> </w:t>
      </w:r>
      <w:r>
        <w:t>real</w:t>
      </w:r>
      <w:r>
        <w:rPr>
          <w:spacing w:val="-7"/>
        </w:rPr>
        <w:t xml:space="preserve"> </w:t>
      </w:r>
      <w:r>
        <w:t>dollars</w:t>
      </w:r>
      <w:r>
        <w:rPr>
          <w:spacing w:val="-8"/>
        </w:rPr>
        <w:t xml:space="preserve"> </w:t>
      </w:r>
      <w:r>
        <w:t>($1/1/23).</w:t>
      </w:r>
      <w:r>
        <w:rPr>
          <w:spacing w:val="-8"/>
        </w:rPr>
        <w:t xml:space="preserve"> </w:t>
      </w:r>
      <w:r>
        <w:t>The</w:t>
      </w:r>
      <w:r>
        <w:rPr>
          <w:spacing w:val="-7"/>
        </w:rPr>
        <w:t xml:space="preserve"> </w:t>
      </w:r>
      <w:r>
        <w:t>detailed</w:t>
      </w:r>
      <w:r>
        <w:rPr>
          <w:spacing w:val="-7"/>
        </w:rPr>
        <w:t xml:space="preserve"> </w:t>
      </w:r>
      <w:r>
        <w:t>capital</w:t>
      </w:r>
      <w:r>
        <w:rPr>
          <w:spacing w:val="-8"/>
        </w:rPr>
        <w:t xml:space="preserve"> </w:t>
      </w:r>
      <w:r>
        <w:t>program</w:t>
      </w:r>
      <w:r>
        <w:rPr>
          <w:spacing w:val="-7"/>
        </w:rPr>
        <w:t xml:space="preserve"> </w:t>
      </w:r>
      <w:r>
        <w:t>is</w:t>
      </w:r>
      <w:r>
        <w:rPr>
          <w:spacing w:val="-7"/>
        </w:rPr>
        <w:t xml:space="preserve"> </w:t>
      </w:r>
      <w:r>
        <w:t>provided</w:t>
      </w:r>
      <w:r>
        <w:rPr>
          <w:spacing w:val="-7"/>
        </w:rPr>
        <w:t xml:space="preserve"> </w:t>
      </w:r>
      <w:r>
        <w:t>in</w:t>
      </w:r>
      <w:r>
        <w:rPr>
          <w:spacing w:val="-7"/>
        </w:rPr>
        <w:t xml:space="preserve"> </w:t>
      </w:r>
      <w:r>
        <w:t>Appendix</w:t>
      </w:r>
      <w:r>
        <w:rPr>
          <w:spacing w:val="-7"/>
        </w:rPr>
        <w:t xml:space="preserve"> </w:t>
      </w:r>
      <w:r>
        <w:rPr>
          <w:spacing w:val="-5"/>
        </w:rPr>
        <w:t>B1.</w:t>
      </w:r>
    </w:p>
    <w:p w14:paraId="65DC3F3A" w14:textId="77777777" w:rsidR="00141B97" w:rsidRDefault="00141B97">
      <w:pPr>
        <w:pStyle w:val="BodyText"/>
        <w:spacing w:before="8"/>
        <w:rPr>
          <w:sz w:val="25"/>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103"/>
        <w:gridCol w:w="982"/>
        <w:gridCol w:w="983"/>
        <w:gridCol w:w="982"/>
        <w:gridCol w:w="982"/>
        <w:gridCol w:w="983"/>
        <w:gridCol w:w="982"/>
        <w:gridCol w:w="982"/>
        <w:gridCol w:w="983"/>
      </w:tblGrid>
      <w:tr w:rsidR="00141B97" w14:paraId="119307A4" w14:textId="77777777">
        <w:trPr>
          <w:trHeight w:val="419"/>
          <w:tblCellSpacing w:w="9" w:type="dxa"/>
        </w:trPr>
        <w:tc>
          <w:tcPr>
            <w:tcW w:w="2076" w:type="dxa"/>
            <w:tcBorders>
              <w:top w:val="nil"/>
              <w:left w:val="nil"/>
            </w:tcBorders>
            <w:shd w:val="clear" w:color="auto" w:fill="0064A4"/>
          </w:tcPr>
          <w:p w14:paraId="4D728297" w14:textId="77777777" w:rsidR="00141B97" w:rsidRDefault="00911D63">
            <w:pPr>
              <w:pStyle w:val="TableParagraph"/>
              <w:spacing w:before="101"/>
              <w:ind w:left="129"/>
              <w:rPr>
                <w:sz w:val="18"/>
              </w:rPr>
            </w:pPr>
            <w:r>
              <w:rPr>
                <w:color w:val="FFFFFF"/>
                <w:sz w:val="18"/>
              </w:rPr>
              <w:t xml:space="preserve">($m </w:t>
            </w:r>
            <w:r>
              <w:rPr>
                <w:color w:val="FFFFFF"/>
                <w:spacing w:val="-2"/>
                <w:sz w:val="18"/>
              </w:rPr>
              <w:t>1/1/23)</w:t>
            </w:r>
          </w:p>
        </w:tc>
        <w:tc>
          <w:tcPr>
            <w:tcW w:w="7706" w:type="dxa"/>
            <w:gridSpan w:val="8"/>
            <w:tcBorders>
              <w:top w:val="nil"/>
              <w:right w:val="nil"/>
            </w:tcBorders>
            <w:shd w:val="clear" w:color="auto" w:fill="0064A4"/>
          </w:tcPr>
          <w:p w14:paraId="3D08B19F" w14:textId="77777777" w:rsidR="00141B97" w:rsidRDefault="00911D63">
            <w:pPr>
              <w:pStyle w:val="TableParagraph"/>
              <w:tabs>
                <w:tab w:val="left" w:pos="3977"/>
              </w:tabs>
              <w:spacing w:before="101"/>
              <w:ind w:left="420"/>
              <w:rPr>
                <w:sz w:val="18"/>
              </w:rPr>
            </w:pPr>
            <w:r>
              <w:rPr>
                <w:color w:val="FFFFFF"/>
                <w:sz w:val="18"/>
              </w:rPr>
              <w:t>Current</w:t>
            </w:r>
            <w:r>
              <w:rPr>
                <w:color w:val="FFFFFF"/>
                <w:spacing w:val="1"/>
                <w:sz w:val="18"/>
              </w:rPr>
              <w:t xml:space="preserve"> </w:t>
            </w:r>
            <w:r>
              <w:rPr>
                <w:color w:val="FFFFFF"/>
                <w:spacing w:val="-2"/>
                <w:sz w:val="18"/>
              </w:rPr>
              <w:t>Period</w:t>
            </w:r>
            <w:r>
              <w:rPr>
                <w:color w:val="FFFFFF"/>
                <w:sz w:val="18"/>
              </w:rPr>
              <w:tab/>
              <w:t>Fifth</w:t>
            </w:r>
            <w:r>
              <w:rPr>
                <w:color w:val="FFFFFF"/>
                <w:spacing w:val="-6"/>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1C22C112" w14:textId="77777777">
        <w:trPr>
          <w:trHeight w:val="360"/>
          <w:tblCellSpacing w:w="9" w:type="dxa"/>
        </w:trPr>
        <w:tc>
          <w:tcPr>
            <w:tcW w:w="2076" w:type="dxa"/>
            <w:tcBorders>
              <w:left w:val="nil"/>
            </w:tcBorders>
            <w:shd w:val="clear" w:color="auto" w:fill="0064A4"/>
          </w:tcPr>
          <w:p w14:paraId="5098E11D" w14:textId="77777777" w:rsidR="00141B97" w:rsidRDefault="00911D63">
            <w:pPr>
              <w:pStyle w:val="TableParagraph"/>
              <w:spacing w:before="70"/>
              <w:ind w:left="88"/>
              <w:rPr>
                <w:sz w:val="18"/>
              </w:rPr>
            </w:pPr>
            <w:r>
              <w:rPr>
                <w:color w:val="FFFFFF"/>
                <w:sz w:val="18"/>
              </w:rPr>
              <w:t xml:space="preserve">Service </w:t>
            </w:r>
            <w:r>
              <w:rPr>
                <w:color w:val="FFFFFF"/>
                <w:spacing w:val="-2"/>
                <w:sz w:val="18"/>
              </w:rPr>
              <w:t>Category</w:t>
            </w:r>
          </w:p>
        </w:tc>
        <w:tc>
          <w:tcPr>
            <w:tcW w:w="964" w:type="dxa"/>
            <w:shd w:val="clear" w:color="auto" w:fill="0064A4"/>
          </w:tcPr>
          <w:p w14:paraId="1400FAC4" w14:textId="77777777" w:rsidR="00141B97" w:rsidRDefault="00911D63">
            <w:pPr>
              <w:pStyle w:val="TableParagraph"/>
              <w:spacing w:before="70"/>
              <w:ind w:left="170"/>
              <w:rPr>
                <w:sz w:val="18"/>
              </w:rPr>
            </w:pPr>
            <w:r>
              <w:rPr>
                <w:color w:val="FFFFFF"/>
                <w:spacing w:val="-2"/>
                <w:sz w:val="18"/>
              </w:rPr>
              <w:t>2021‐22</w:t>
            </w:r>
          </w:p>
        </w:tc>
        <w:tc>
          <w:tcPr>
            <w:tcW w:w="965" w:type="dxa"/>
            <w:shd w:val="clear" w:color="auto" w:fill="0064A4"/>
          </w:tcPr>
          <w:p w14:paraId="04A0F3E5" w14:textId="77777777" w:rsidR="00141B97" w:rsidRDefault="00911D63">
            <w:pPr>
              <w:pStyle w:val="TableParagraph"/>
              <w:spacing w:before="70"/>
              <w:ind w:left="169"/>
              <w:rPr>
                <w:sz w:val="18"/>
              </w:rPr>
            </w:pPr>
            <w:r>
              <w:rPr>
                <w:color w:val="FFFFFF"/>
                <w:spacing w:val="-2"/>
                <w:sz w:val="18"/>
              </w:rPr>
              <w:t>2022‐23</w:t>
            </w:r>
          </w:p>
        </w:tc>
        <w:tc>
          <w:tcPr>
            <w:tcW w:w="964" w:type="dxa"/>
            <w:shd w:val="clear" w:color="auto" w:fill="0064A4"/>
          </w:tcPr>
          <w:p w14:paraId="2DB93EA2" w14:textId="77777777" w:rsidR="00141B97" w:rsidRDefault="00911D63">
            <w:pPr>
              <w:pStyle w:val="TableParagraph"/>
              <w:spacing w:before="70"/>
              <w:ind w:left="168"/>
              <w:rPr>
                <w:sz w:val="18"/>
              </w:rPr>
            </w:pPr>
            <w:r>
              <w:rPr>
                <w:color w:val="FFFFFF"/>
                <w:spacing w:val="-2"/>
                <w:sz w:val="18"/>
              </w:rPr>
              <w:t>2023‐24</w:t>
            </w:r>
          </w:p>
        </w:tc>
        <w:tc>
          <w:tcPr>
            <w:tcW w:w="964" w:type="dxa"/>
            <w:shd w:val="clear" w:color="auto" w:fill="0064A4"/>
          </w:tcPr>
          <w:p w14:paraId="36A4874C" w14:textId="77777777" w:rsidR="00141B97" w:rsidRDefault="00911D63">
            <w:pPr>
              <w:pStyle w:val="TableParagraph"/>
              <w:spacing w:before="70"/>
              <w:ind w:left="169"/>
              <w:rPr>
                <w:sz w:val="18"/>
              </w:rPr>
            </w:pPr>
            <w:r>
              <w:rPr>
                <w:color w:val="FFFFFF"/>
                <w:spacing w:val="-2"/>
                <w:sz w:val="18"/>
              </w:rPr>
              <w:t>2024‐25</w:t>
            </w:r>
          </w:p>
        </w:tc>
        <w:tc>
          <w:tcPr>
            <w:tcW w:w="965" w:type="dxa"/>
            <w:shd w:val="clear" w:color="auto" w:fill="0064A4"/>
          </w:tcPr>
          <w:p w14:paraId="60E73C29" w14:textId="77777777" w:rsidR="00141B97" w:rsidRDefault="00911D63">
            <w:pPr>
              <w:pStyle w:val="TableParagraph"/>
              <w:spacing w:before="70"/>
              <w:ind w:left="168"/>
              <w:rPr>
                <w:sz w:val="18"/>
              </w:rPr>
            </w:pPr>
            <w:r>
              <w:rPr>
                <w:color w:val="FFFFFF"/>
                <w:spacing w:val="-2"/>
                <w:sz w:val="18"/>
              </w:rPr>
              <w:t>2025‐26</w:t>
            </w:r>
          </w:p>
        </w:tc>
        <w:tc>
          <w:tcPr>
            <w:tcW w:w="964" w:type="dxa"/>
            <w:shd w:val="clear" w:color="auto" w:fill="0064A4"/>
          </w:tcPr>
          <w:p w14:paraId="21FBCAA9" w14:textId="77777777" w:rsidR="00141B97" w:rsidRDefault="00911D63">
            <w:pPr>
              <w:pStyle w:val="TableParagraph"/>
              <w:spacing w:before="70"/>
              <w:ind w:left="167"/>
              <w:rPr>
                <w:sz w:val="18"/>
              </w:rPr>
            </w:pPr>
            <w:r>
              <w:rPr>
                <w:color w:val="FFFFFF"/>
                <w:spacing w:val="-2"/>
                <w:sz w:val="18"/>
              </w:rPr>
              <w:t>2026‐27</w:t>
            </w:r>
          </w:p>
        </w:tc>
        <w:tc>
          <w:tcPr>
            <w:tcW w:w="964" w:type="dxa"/>
            <w:shd w:val="clear" w:color="auto" w:fill="0064A4"/>
          </w:tcPr>
          <w:p w14:paraId="539A8019" w14:textId="77777777" w:rsidR="00141B97" w:rsidRDefault="00911D63">
            <w:pPr>
              <w:pStyle w:val="TableParagraph"/>
              <w:spacing w:before="70"/>
              <w:ind w:left="168"/>
              <w:rPr>
                <w:sz w:val="18"/>
              </w:rPr>
            </w:pPr>
            <w:r>
              <w:rPr>
                <w:color w:val="FFFFFF"/>
                <w:spacing w:val="-2"/>
                <w:sz w:val="18"/>
              </w:rPr>
              <w:t>2027‐28</w:t>
            </w:r>
          </w:p>
        </w:tc>
        <w:tc>
          <w:tcPr>
            <w:tcW w:w="956" w:type="dxa"/>
            <w:tcBorders>
              <w:right w:val="nil"/>
            </w:tcBorders>
            <w:shd w:val="clear" w:color="auto" w:fill="0064A4"/>
          </w:tcPr>
          <w:p w14:paraId="69311C97" w14:textId="77777777" w:rsidR="00141B97" w:rsidRDefault="00911D63">
            <w:pPr>
              <w:pStyle w:val="TableParagraph"/>
              <w:spacing w:before="70"/>
              <w:ind w:left="234"/>
              <w:rPr>
                <w:sz w:val="18"/>
              </w:rPr>
            </w:pPr>
            <w:r>
              <w:rPr>
                <w:color w:val="FFFFFF"/>
                <w:spacing w:val="-2"/>
                <w:sz w:val="18"/>
              </w:rPr>
              <w:t>TOTAL</w:t>
            </w:r>
          </w:p>
        </w:tc>
      </w:tr>
      <w:tr w:rsidR="00141B97" w14:paraId="2F864EF5" w14:textId="77777777">
        <w:trPr>
          <w:trHeight w:val="282"/>
          <w:tblCellSpacing w:w="9" w:type="dxa"/>
        </w:trPr>
        <w:tc>
          <w:tcPr>
            <w:tcW w:w="2076" w:type="dxa"/>
            <w:tcBorders>
              <w:left w:val="nil"/>
            </w:tcBorders>
            <w:shd w:val="clear" w:color="auto" w:fill="CCE2ED"/>
          </w:tcPr>
          <w:p w14:paraId="7C559ECF" w14:textId="77777777" w:rsidR="00141B97" w:rsidRDefault="00911D63">
            <w:pPr>
              <w:pStyle w:val="TableParagraph"/>
              <w:spacing w:before="32"/>
              <w:ind w:left="88"/>
              <w:rPr>
                <w:sz w:val="18"/>
              </w:rPr>
            </w:pPr>
            <w:r>
              <w:rPr>
                <w:spacing w:val="-2"/>
                <w:sz w:val="18"/>
              </w:rPr>
              <w:t>Water</w:t>
            </w:r>
          </w:p>
        </w:tc>
        <w:tc>
          <w:tcPr>
            <w:tcW w:w="964" w:type="dxa"/>
            <w:shd w:val="clear" w:color="auto" w:fill="CCE2ED"/>
          </w:tcPr>
          <w:p w14:paraId="7BBA7224" w14:textId="77777777" w:rsidR="00141B97" w:rsidRDefault="00911D63">
            <w:pPr>
              <w:pStyle w:val="TableParagraph"/>
              <w:spacing w:before="32"/>
              <w:ind w:right="96"/>
              <w:jc w:val="right"/>
              <w:rPr>
                <w:sz w:val="18"/>
              </w:rPr>
            </w:pPr>
            <w:r>
              <w:rPr>
                <w:spacing w:val="-2"/>
                <w:sz w:val="18"/>
              </w:rPr>
              <w:t>18.66</w:t>
            </w:r>
          </w:p>
        </w:tc>
        <w:tc>
          <w:tcPr>
            <w:tcW w:w="965" w:type="dxa"/>
            <w:shd w:val="clear" w:color="auto" w:fill="CCE2ED"/>
          </w:tcPr>
          <w:p w14:paraId="3AB9D487" w14:textId="77777777" w:rsidR="00141B97" w:rsidRDefault="00911D63">
            <w:pPr>
              <w:pStyle w:val="TableParagraph"/>
              <w:spacing w:before="32"/>
              <w:ind w:right="97"/>
              <w:jc w:val="right"/>
              <w:rPr>
                <w:sz w:val="18"/>
              </w:rPr>
            </w:pPr>
            <w:r>
              <w:rPr>
                <w:spacing w:val="-4"/>
                <w:sz w:val="18"/>
              </w:rPr>
              <w:t>6.31</w:t>
            </w:r>
          </w:p>
        </w:tc>
        <w:tc>
          <w:tcPr>
            <w:tcW w:w="964" w:type="dxa"/>
            <w:shd w:val="clear" w:color="auto" w:fill="CCE2ED"/>
          </w:tcPr>
          <w:p w14:paraId="061B05DB" w14:textId="77777777" w:rsidR="00141B97" w:rsidRDefault="00911D63">
            <w:pPr>
              <w:pStyle w:val="TableParagraph"/>
              <w:spacing w:before="32"/>
              <w:ind w:right="98"/>
              <w:jc w:val="right"/>
              <w:rPr>
                <w:sz w:val="18"/>
              </w:rPr>
            </w:pPr>
            <w:r>
              <w:rPr>
                <w:spacing w:val="-2"/>
                <w:sz w:val="18"/>
              </w:rPr>
              <w:t>13.66</w:t>
            </w:r>
          </w:p>
        </w:tc>
        <w:tc>
          <w:tcPr>
            <w:tcW w:w="964" w:type="dxa"/>
            <w:shd w:val="clear" w:color="auto" w:fill="CCE2ED"/>
          </w:tcPr>
          <w:p w14:paraId="55BC489F" w14:textId="77777777" w:rsidR="00141B97" w:rsidRDefault="00911D63">
            <w:pPr>
              <w:pStyle w:val="TableParagraph"/>
              <w:spacing w:before="32"/>
              <w:ind w:right="97"/>
              <w:jc w:val="right"/>
              <w:rPr>
                <w:sz w:val="18"/>
              </w:rPr>
            </w:pPr>
            <w:r>
              <w:rPr>
                <w:spacing w:val="-2"/>
                <w:sz w:val="18"/>
              </w:rPr>
              <w:t>14.46</w:t>
            </w:r>
          </w:p>
        </w:tc>
        <w:tc>
          <w:tcPr>
            <w:tcW w:w="965" w:type="dxa"/>
            <w:shd w:val="clear" w:color="auto" w:fill="CCE2ED"/>
          </w:tcPr>
          <w:p w14:paraId="333AE018" w14:textId="77777777" w:rsidR="00141B97" w:rsidRDefault="00911D63">
            <w:pPr>
              <w:pStyle w:val="TableParagraph"/>
              <w:spacing w:before="32"/>
              <w:ind w:right="98"/>
              <w:jc w:val="right"/>
              <w:rPr>
                <w:sz w:val="18"/>
              </w:rPr>
            </w:pPr>
            <w:r>
              <w:rPr>
                <w:spacing w:val="-4"/>
                <w:sz w:val="18"/>
              </w:rPr>
              <w:t>8.55</w:t>
            </w:r>
          </w:p>
        </w:tc>
        <w:tc>
          <w:tcPr>
            <w:tcW w:w="964" w:type="dxa"/>
            <w:shd w:val="clear" w:color="auto" w:fill="CCE2ED"/>
          </w:tcPr>
          <w:p w14:paraId="74B3B482" w14:textId="77777777" w:rsidR="00141B97" w:rsidRDefault="00911D63">
            <w:pPr>
              <w:pStyle w:val="TableParagraph"/>
              <w:spacing w:before="32"/>
              <w:ind w:right="99"/>
              <w:jc w:val="right"/>
              <w:rPr>
                <w:sz w:val="18"/>
              </w:rPr>
            </w:pPr>
            <w:r>
              <w:rPr>
                <w:spacing w:val="-4"/>
                <w:sz w:val="18"/>
              </w:rPr>
              <w:t>5.44</w:t>
            </w:r>
          </w:p>
        </w:tc>
        <w:tc>
          <w:tcPr>
            <w:tcW w:w="964" w:type="dxa"/>
            <w:shd w:val="clear" w:color="auto" w:fill="CCE2ED"/>
          </w:tcPr>
          <w:p w14:paraId="2D20DD7B" w14:textId="77777777" w:rsidR="00141B97" w:rsidRDefault="00911D63">
            <w:pPr>
              <w:pStyle w:val="TableParagraph"/>
              <w:spacing w:before="32"/>
              <w:ind w:right="98"/>
              <w:jc w:val="right"/>
              <w:rPr>
                <w:sz w:val="18"/>
              </w:rPr>
            </w:pPr>
            <w:r>
              <w:rPr>
                <w:spacing w:val="-4"/>
                <w:sz w:val="18"/>
              </w:rPr>
              <w:t>8.63</w:t>
            </w:r>
          </w:p>
        </w:tc>
        <w:tc>
          <w:tcPr>
            <w:tcW w:w="956" w:type="dxa"/>
            <w:tcBorders>
              <w:right w:val="nil"/>
            </w:tcBorders>
            <w:shd w:val="clear" w:color="auto" w:fill="CCE2ED"/>
          </w:tcPr>
          <w:p w14:paraId="60DD9412" w14:textId="77777777" w:rsidR="00141B97" w:rsidRDefault="00911D63">
            <w:pPr>
              <w:pStyle w:val="TableParagraph"/>
              <w:spacing w:before="32"/>
              <w:ind w:right="90"/>
              <w:jc w:val="right"/>
              <w:rPr>
                <w:sz w:val="18"/>
              </w:rPr>
            </w:pPr>
            <w:r>
              <w:rPr>
                <w:spacing w:val="-2"/>
                <w:sz w:val="18"/>
              </w:rPr>
              <w:t>50.74</w:t>
            </w:r>
          </w:p>
        </w:tc>
      </w:tr>
      <w:tr w:rsidR="00141B97" w14:paraId="7BE37AA8" w14:textId="77777777">
        <w:trPr>
          <w:trHeight w:val="283"/>
          <w:tblCellSpacing w:w="9" w:type="dxa"/>
        </w:trPr>
        <w:tc>
          <w:tcPr>
            <w:tcW w:w="2076" w:type="dxa"/>
            <w:tcBorders>
              <w:left w:val="nil"/>
            </w:tcBorders>
            <w:shd w:val="clear" w:color="auto" w:fill="CCE2ED"/>
          </w:tcPr>
          <w:p w14:paraId="4E8FCD5E" w14:textId="77777777" w:rsidR="00141B97" w:rsidRDefault="00911D63">
            <w:pPr>
              <w:pStyle w:val="TableParagraph"/>
              <w:spacing w:before="32"/>
              <w:ind w:left="88"/>
              <w:rPr>
                <w:sz w:val="18"/>
              </w:rPr>
            </w:pPr>
            <w:r>
              <w:rPr>
                <w:sz w:val="18"/>
              </w:rPr>
              <w:t>Water</w:t>
            </w:r>
            <w:r>
              <w:rPr>
                <w:spacing w:val="-4"/>
                <w:sz w:val="18"/>
              </w:rPr>
              <w:t xml:space="preserve"> </w:t>
            </w:r>
            <w:r>
              <w:rPr>
                <w:spacing w:val="-2"/>
                <w:sz w:val="18"/>
              </w:rPr>
              <w:t>corporate</w:t>
            </w:r>
          </w:p>
        </w:tc>
        <w:tc>
          <w:tcPr>
            <w:tcW w:w="964" w:type="dxa"/>
            <w:shd w:val="clear" w:color="auto" w:fill="CCE2ED"/>
          </w:tcPr>
          <w:p w14:paraId="7DC66A1C" w14:textId="77777777" w:rsidR="00141B97" w:rsidRDefault="00911D63">
            <w:pPr>
              <w:pStyle w:val="TableParagraph"/>
              <w:spacing w:before="32"/>
              <w:ind w:right="96"/>
              <w:jc w:val="right"/>
              <w:rPr>
                <w:sz w:val="18"/>
              </w:rPr>
            </w:pPr>
            <w:r>
              <w:rPr>
                <w:spacing w:val="-4"/>
                <w:sz w:val="18"/>
              </w:rPr>
              <w:t>1.44</w:t>
            </w:r>
          </w:p>
        </w:tc>
        <w:tc>
          <w:tcPr>
            <w:tcW w:w="965" w:type="dxa"/>
            <w:shd w:val="clear" w:color="auto" w:fill="CCE2ED"/>
          </w:tcPr>
          <w:p w14:paraId="3FE1A1A4" w14:textId="77777777" w:rsidR="00141B97" w:rsidRDefault="00911D63">
            <w:pPr>
              <w:pStyle w:val="TableParagraph"/>
              <w:spacing w:before="32"/>
              <w:ind w:right="97"/>
              <w:jc w:val="right"/>
              <w:rPr>
                <w:sz w:val="18"/>
              </w:rPr>
            </w:pPr>
            <w:r>
              <w:rPr>
                <w:spacing w:val="-4"/>
                <w:sz w:val="18"/>
              </w:rPr>
              <w:t>2.62</w:t>
            </w:r>
          </w:p>
        </w:tc>
        <w:tc>
          <w:tcPr>
            <w:tcW w:w="964" w:type="dxa"/>
            <w:shd w:val="clear" w:color="auto" w:fill="CCE2ED"/>
          </w:tcPr>
          <w:p w14:paraId="4E02F8F4" w14:textId="77777777" w:rsidR="00141B97" w:rsidRDefault="00911D63">
            <w:pPr>
              <w:pStyle w:val="TableParagraph"/>
              <w:spacing w:before="32"/>
              <w:ind w:right="98"/>
              <w:jc w:val="right"/>
              <w:rPr>
                <w:sz w:val="18"/>
              </w:rPr>
            </w:pPr>
            <w:r>
              <w:rPr>
                <w:spacing w:val="-4"/>
                <w:sz w:val="18"/>
              </w:rPr>
              <w:t>3.70</w:t>
            </w:r>
          </w:p>
        </w:tc>
        <w:tc>
          <w:tcPr>
            <w:tcW w:w="964" w:type="dxa"/>
            <w:shd w:val="clear" w:color="auto" w:fill="CCE2ED"/>
          </w:tcPr>
          <w:p w14:paraId="63158374" w14:textId="77777777" w:rsidR="00141B97" w:rsidRDefault="00911D63">
            <w:pPr>
              <w:pStyle w:val="TableParagraph"/>
              <w:spacing w:before="32"/>
              <w:ind w:right="97"/>
              <w:jc w:val="right"/>
              <w:rPr>
                <w:sz w:val="18"/>
              </w:rPr>
            </w:pPr>
            <w:r>
              <w:rPr>
                <w:spacing w:val="-4"/>
                <w:sz w:val="18"/>
              </w:rPr>
              <w:t>2.79</w:t>
            </w:r>
          </w:p>
        </w:tc>
        <w:tc>
          <w:tcPr>
            <w:tcW w:w="965" w:type="dxa"/>
            <w:shd w:val="clear" w:color="auto" w:fill="CCE2ED"/>
          </w:tcPr>
          <w:p w14:paraId="4B60D8AC" w14:textId="77777777" w:rsidR="00141B97" w:rsidRDefault="00911D63">
            <w:pPr>
              <w:pStyle w:val="TableParagraph"/>
              <w:spacing w:before="32"/>
              <w:ind w:right="98"/>
              <w:jc w:val="right"/>
              <w:rPr>
                <w:sz w:val="18"/>
              </w:rPr>
            </w:pPr>
            <w:r>
              <w:rPr>
                <w:spacing w:val="-4"/>
                <w:sz w:val="18"/>
              </w:rPr>
              <w:t>2.67</w:t>
            </w:r>
          </w:p>
        </w:tc>
        <w:tc>
          <w:tcPr>
            <w:tcW w:w="964" w:type="dxa"/>
            <w:shd w:val="clear" w:color="auto" w:fill="CCE2ED"/>
          </w:tcPr>
          <w:p w14:paraId="5D652F06" w14:textId="77777777" w:rsidR="00141B97" w:rsidRDefault="00911D63">
            <w:pPr>
              <w:pStyle w:val="TableParagraph"/>
              <w:spacing w:before="32"/>
              <w:ind w:right="99"/>
              <w:jc w:val="right"/>
              <w:rPr>
                <w:sz w:val="18"/>
              </w:rPr>
            </w:pPr>
            <w:r>
              <w:rPr>
                <w:spacing w:val="-4"/>
                <w:sz w:val="18"/>
              </w:rPr>
              <w:t>1.32</w:t>
            </w:r>
          </w:p>
        </w:tc>
        <w:tc>
          <w:tcPr>
            <w:tcW w:w="964" w:type="dxa"/>
            <w:shd w:val="clear" w:color="auto" w:fill="CCE2ED"/>
          </w:tcPr>
          <w:p w14:paraId="0DC9F2A4" w14:textId="77777777" w:rsidR="00141B97" w:rsidRDefault="00911D63">
            <w:pPr>
              <w:pStyle w:val="TableParagraph"/>
              <w:spacing w:before="32"/>
              <w:ind w:right="98"/>
              <w:jc w:val="right"/>
              <w:rPr>
                <w:sz w:val="18"/>
              </w:rPr>
            </w:pPr>
            <w:r>
              <w:rPr>
                <w:spacing w:val="-4"/>
                <w:sz w:val="18"/>
              </w:rPr>
              <w:t>1.39</w:t>
            </w:r>
          </w:p>
        </w:tc>
        <w:tc>
          <w:tcPr>
            <w:tcW w:w="956" w:type="dxa"/>
            <w:tcBorders>
              <w:right w:val="nil"/>
            </w:tcBorders>
            <w:shd w:val="clear" w:color="auto" w:fill="CCE2ED"/>
          </w:tcPr>
          <w:p w14:paraId="176E41EA" w14:textId="77777777" w:rsidR="00141B97" w:rsidRDefault="00911D63">
            <w:pPr>
              <w:pStyle w:val="TableParagraph"/>
              <w:spacing w:before="32"/>
              <w:ind w:right="90"/>
              <w:jc w:val="right"/>
              <w:rPr>
                <w:sz w:val="18"/>
              </w:rPr>
            </w:pPr>
            <w:r>
              <w:rPr>
                <w:spacing w:val="-2"/>
                <w:sz w:val="18"/>
              </w:rPr>
              <w:t>11.87</w:t>
            </w:r>
          </w:p>
        </w:tc>
      </w:tr>
      <w:tr w:rsidR="00141B97" w14:paraId="2C2D985B" w14:textId="77777777">
        <w:trPr>
          <w:trHeight w:val="282"/>
          <w:tblCellSpacing w:w="9" w:type="dxa"/>
        </w:trPr>
        <w:tc>
          <w:tcPr>
            <w:tcW w:w="2076" w:type="dxa"/>
            <w:tcBorders>
              <w:left w:val="nil"/>
            </w:tcBorders>
            <w:shd w:val="clear" w:color="auto" w:fill="CCE2ED"/>
          </w:tcPr>
          <w:p w14:paraId="60E57843" w14:textId="77777777" w:rsidR="00141B97" w:rsidRDefault="00911D63">
            <w:pPr>
              <w:pStyle w:val="TableParagraph"/>
              <w:spacing w:before="32"/>
              <w:ind w:left="88"/>
              <w:rPr>
                <w:sz w:val="18"/>
              </w:rPr>
            </w:pPr>
            <w:r>
              <w:rPr>
                <w:spacing w:val="-2"/>
                <w:sz w:val="18"/>
              </w:rPr>
              <w:t>Sewerage</w:t>
            </w:r>
          </w:p>
        </w:tc>
        <w:tc>
          <w:tcPr>
            <w:tcW w:w="964" w:type="dxa"/>
            <w:shd w:val="clear" w:color="auto" w:fill="CCE2ED"/>
          </w:tcPr>
          <w:p w14:paraId="5E439EA5" w14:textId="77777777" w:rsidR="00141B97" w:rsidRDefault="00911D63">
            <w:pPr>
              <w:pStyle w:val="TableParagraph"/>
              <w:spacing w:before="32"/>
              <w:ind w:right="96"/>
              <w:jc w:val="right"/>
              <w:rPr>
                <w:sz w:val="18"/>
              </w:rPr>
            </w:pPr>
            <w:r>
              <w:rPr>
                <w:spacing w:val="-4"/>
                <w:sz w:val="18"/>
              </w:rPr>
              <w:t>2.88</w:t>
            </w:r>
          </w:p>
        </w:tc>
        <w:tc>
          <w:tcPr>
            <w:tcW w:w="965" w:type="dxa"/>
            <w:shd w:val="clear" w:color="auto" w:fill="CCE2ED"/>
          </w:tcPr>
          <w:p w14:paraId="632A06E4" w14:textId="77777777" w:rsidR="00141B97" w:rsidRDefault="00911D63">
            <w:pPr>
              <w:pStyle w:val="TableParagraph"/>
              <w:spacing w:before="32"/>
              <w:ind w:right="97"/>
              <w:jc w:val="right"/>
              <w:rPr>
                <w:sz w:val="18"/>
              </w:rPr>
            </w:pPr>
            <w:r>
              <w:rPr>
                <w:spacing w:val="-4"/>
                <w:sz w:val="18"/>
              </w:rPr>
              <w:t>2.42</w:t>
            </w:r>
          </w:p>
        </w:tc>
        <w:tc>
          <w:tcPr>
            <w:tcW w:w="964" w:type="dxa"/>
            <w:shd w:val="clear" w:color="auto" w:fill="CCE2ED"/>
          </w:tcPr>
          <w:p w14:paraId="5E5748B2" w14:textId="77777777" w:rsidR="00141B97" w:rsidRDefault="00911D63">
            <w:pPr>
              <w:pStyle w:val="TableParagraph"/>
              <w:spacing w:before="32"/>
              <w:ind w:right="98"/>
              <w:jc w:val="right"/>
              <w:rPr>
                <w:sz w:val="18"/>
              </w:rPr>
            </w:pPr>
            <w:r>
              <w:rPr>
                <w:spacing w:val="-4"/>
                <w:sz w:val="18"/>
              </w:rPr>
              <w:t>3.97</w:t>
            </w:r>
          </w:p>
        </w:tc>
        <w:tc>
          <w:tcPr>
            <w:tcW w:w="964" w:type="dxa"/>
            <w:shd w:val="clear" w:color="auto" w:fill="CCE2ED"/>
          </w:tcPr>
          <w:p w14:paraId="558CB5C5" w14:textId="77777777" w:rsidR="00141B97" w:rsidRDefault="00911D63">
            <w:pPr>
              <w:pStyle w:val="TableParagraph"/>
              <w:spacing w:before="32"/>
              <w:ind w:right="97"/>
              <w:jc w:val="right"/>
              <w:rPr>
                <w:sz w:val="18"/>
              </w:rPr>
            </w:pPr>
            <w:r>
              <w:rPr>
                <w:spacing w:val="-4"/>
                <w:sz w:val="18"/>
              </w:rPr>
              <w:t>4.21</w:t>
            </w:r>
          </w:p>
        </w:tc>
        <w:tc>
          <w:tcPr>
            <w:tcW w:w="965" w:type="dxa"/>
            <w:shd w:val="clear" w:color="auto" w:fill="CCE2ED"/>
          </w:tcPr>
          <w:p w14:paraId="12262FFE" w14:textId="77777777" w:rsidR="00141B97" w:rsidRDefault="00911D63">
            <w:pPr>
              <w:pStyle w:val="TableParagraph"/>
              <w:spacing w:before="32"/>
              <w:ind w:right="98"/>
              <w:jc w:val="right"/>
              <w:rPr>
                <w:sz w:val="18"/>
              </w:rPr>
            </w:pPr>
            <w:r>
              <w:rPr>
                <w:spacing w:val="-4"/>
                <w:sz w:val="18"/>
              </w:rPr>
              <w:t>4.14</w:t>
            </w:r>
          </w:p>
        </w:tc>
        <w:tc>
          <w:tcPr>
            <w:tcW w:w="964" w:type="dxa"/>
            <w:shd w:val="clear" w:color="auto" w:fill="CCE2ED"/>
          </w:tcPr>
          <w:p w14:paraId="5E0BEC8D" w14:textId="77777777" w:rsidR="00141B97" w:rsidRDefault="00911D63">
            <w:pPr>
              <w:pStyle w:val="TableParagraph"/>
              <w:spacing w:before="32"/>
              <w:ind w:right="99"/>
              <w:jc w:val="right"/>
              <w:rPr>
                <w:sz w:val="18"/>
              </w:rPr>
            </w:pPr>
            <w:r>
              <w:rPr>
                <w:spacing w:val="-4"/>
                <w:sz w:val="18"/>
              </w:rPr>
              <w:t>9.35</w:t>
            </w:r>
          </w:p>
        </w:tc>
        <w:tc>
          <w:tcPr>
            <w:tcW w:w="964" w:type="dxa"/>
            <w:shd w:val="clear" w:color="auto" w:fill="CCE2ED"/>
          </w:tcPr>
          <w:p w14:paraId="0A7ECFCB" w14:textId="77777777" w:rsidR="00141B97" w:rsidRDefault="00911D63">
            <w:pPr>
              <w:pStyle w:val="TableParagraph"/>
              <w:spacing w:before="32"/>
              <w:ind w:right="98"/>
              <w:jc w:val="right"/>
              <w:rPr>
                <w:sz w:val="18"/>
              </w:rPr>
            </w:pPr>
            <w:r>
              <w:rPr>
                <w:spacing w:val="-4"/>
                <w:sz w:val="18"/>
              </w:rPr>
              <w:t>4.21</w:t>
            </w:r>
          </w:p>
        </w:tc>
        <w:tc>
          <w:tcPr>
            <w:tcW w:w="956" w:type="dxa"/>
            <w:tcBorders>
              <w:right w:val="nil"/>
            </w:tcBorders>
            <w:shd w:val="clear" w:color="auto" w:fill="CCE2ED"/>
          </w:tcPr>
          <w:p w14:paraId="3DF647CF" w14:textId="77777777" w:rsidR="00141B97" w:rsidRDefault="00911D63">
            <w:pPr>
              <w:pStyle w:val="TableParagraph"/>
              <w:spacing w:before="32"/>
              <w:ind w:right="90"/>
              <w:jc w:val="right"/>
              <w:rPr>
                <w:sz w:val="18"/>
              </w:rPr>
            </w:pPr>
            <w:r>
              <w:rPr>
                <w:spacing w:val="-2"/>
                <w:sz w:val="18"/>
              </w:rPr>
              <w:t>25.89</w:t>
            </w:r>
          </w:p>
        </w:tc>
      </w:tr>
      <w:tr w:rsidR="00141B97" w14:paraId="05B5904E" w14:textId="77777777">
        <w:trPr>
          <w:trHeight w:val="283"/>
          <w:tblCellSpacing w:w="9" w:type="dxa"/>
        </w:trPr>
        <w:tc>
          <w:tcPr>
            <w:tcW w:w="2076" w:type="dxa"/>
            <w:tcBorders>
              <w:left w:val="nil"/>
            </w:tcBorders>
            <w:shd w:val="clear" w:color="auto" w:fill="CCE2ED"/>
          </w:tcPr>
          <w:p w14:paraId="6C3AB1D3" w14:textId="77777777" w:rsidR="00141B97" w:rsidRDefault="00911D63">
            <w:pPr>
              <w:pStyle w:val="TableParagraph"/>
              <w:spacing w:before="32"/>
              <w:ind w:left="88"/>
              <w:rPr>
                <w:sz w:val="18"/>
              </w:rPr>
            </w:pPr>
            <w:r>
              <w:rPr>
                <w:sz w:val="18"/>
              </w:rPr>
              <w:t>Sewerage</w:t>
            </w:r>
            <w:r>
              <w:rPr>
                <w:spacing w:val="-3"/>
                <w:sz w:val="18"/>
              </w:rPr>
              <w:t xml:space="preserve"> </w:t>
            </w:r>
            <w:r>
              <w:rPr>
                <w:spacing w:val="-2"/>
                <w:sz w:val="18"/>
              </w:rPr>
              <w:t>corporate</w:t>
            </w:r>
          </w:p>
        </w:tc>
        <w:tc>
          <w:tcPr>
            <w:tcW w:w="964" w:type="dxa"/>
            <w:shd w:val="clear" w:color="auto" w:fill="CCE2ED"/>
          </w:tcPr>
          <w:p w14:paraId="22C4D288" w14:textId="77777777" w:rsidR="00141B97" w:rsidRDefault="00911D63">
            <w:pPr>
              <w:pStyle w:val="TableParagraph"/>
              <w:spacing w:before="32"/>
              <w:ind w:right="96"/>
              <w:jc w:val="right"/>
              <w:rPr>
                <w:sz w:val="18"/>
              </w:rPr>
            </w:pPr>
            <w:r>
              <w:rPr>
                <w:spacing w:val="-4"/>
                <w:sz w:val="18"/>
              </w:rPr>
              <w:t>1.23</w:t>
            </w:r>
          </w:p>
        </w:tc>
        <w:tc>
          <w:tcPr>
            <w:tcW w:w="965" w:type="dxa"/>
            <w:shd w:val="clear" w:color="auto" w:fill="CCE2ED"/>
          </w:tcPr>
          <w:p w14:paraId="73CD6E04" w14:textId="77777777" w:rsidR="00141B97" w:rsidRDefault="00911D63">
            <w:pPr>
              <w:pStyle w:val="TableParagraph"/>
              <w:spacing w:before="32"/>
              <w:ind w:right="97"/>
              <w:jc w:val="right"/>
              <w:rPr>
                <w:sz w:val="18"/>
              </w:rPr>
            </w:pPr>
            <w:r>
              <w:rPr>
                <w:spacing w:val="-4"/>
                <w:sz w:val="18"/>
              </w:rPr>
              <w:t>2.23</w:t>
            </w:r>
          </w:p>
        </w:tc>
        <w:tc>
          <w:tcPr>
            <w:tcW w:w="964" w:type="dxa"/>
            <w:shd w:val="clear" w:color="auto" w:fill="CCE2ED"/>
          </w:tcPr>
          <w:p w14:paraId="2B027BA7" w14:textId="77777777" w:rsidR="00141B97" w:rsidRDefault="00911D63">
            <w:pPr>
              <w:pStyle w:val="TableParagraph"/>
              <w:spacing w:before="32"/>
              <w:ind w:right="98"/>
              <w:jc w:val="right"/>
              <w:rPr>
                <w:sz w:val="18"/>
              </w:rPr>
            </w:pPr>
            <w:r>
              <w:rPr>
                <w:spacing w:val="-4"/>
                <w:sz w:val="18"/>
              </w:rPr>
              <w:t>3.15</w:t>
            </w:r>
          </w:p>
        </w:tc>
        <w:tc>
          <w:tcPr>
            <w:tcW w:w="964" w:type="dxa"/>
            <w:shd w:val="clear" w:color="auto" w:fill="CCE2ED"/>
          </w:tcPr>
          <w:p w14:paraId="194E743C" w14:textId="77777777" w:rsidR="00141B97" w:rsidRDefault="00911D63">
            <w:pPr>
              <w:pStyle w:val="TableParagraph"/>
              <w:spacing w:before="32"/>
              <w:ind w:right="97"/>
              <w:jc w:val="right"/>
              <w:rPr>
                <w:sz w:val="18"/>
              </w:rPr>
            </w:pPr>
            <w:r>
              <w:rPr>
                <w:spacing w:val="-4"/>
                <w:sz w:val="18"/>
              </w:rPr>
              <w:t>2.38</w:t>
            </w:r>
          </w:p>
        </w:tc>
        <w:tc>
          <w:tcPr>
            <w:tcW w:w="965" w:type="dxa"/>
            <w:shd w:val="clear" w:color="auto" w:fill="CCE2ED"/>
          </w:tcPr>
          <w:p w14:paraId="71CDEEF8" w14:textId="77777777" w:rsidR="00141B97" w:rsidRDefault="00911D63">
            <w:pPr>
              <w:pStyle w:val="TableParagraph"/>
              <w:spacing w:before="32"/>
              <w:ind w:right="98"/>
              <w:jc w:val="right"/>
              <w:rPr>
                <w:sz w:val="18"/>
              </w:rPr>
            </w:pPr>
            <w:r>
              <w:rPr>
                <w:spacing w:val="-4"/>
                <w:sz w:val="18"/>
              </w:rPr>
              <w:t>2.27</w:t>
            </w:r>
          </w:p>
        </w:tc>
        <w:tc>
          <w:tcPr>
            <w:tcW w:w="964" w:type="dxa"/>
            <w:shd w:val="clear" w:color="auto" w:fill="CCE2ED"/>
          </w:tcPr>
          <w:p w14:paraId="0455A3BF" w14:textId="77777777" w:rsidR="00141B97" w:rsidRDefault="00911D63">
            <w:pPr>
              <w:pStyle w:val="TableParagraph"/>
              <w:spacing w:before="32"/>
              <w:ind w:right="99"/>
              <w:jc w:val="right"/>
              <w:rPr>
                <w:sz w:val="18"/>
              </w:rPr>
            </w:pPr>
            <w:r>
              <w:rPr>
                <w:spacing w:val="-4"/>
                <w:sz w:val="18"/>
              </w:rPr>
              <w:t>1.13</w:t>
            </w:r>
          </w:p>
        </w:tc>
        <w:tc>
          <w:tcPr>
            <w:tcW w:w="964" w:type="dxa"/>
            <w:shd w:val="clear" w:color="auto" w:fill="CCE2ED"/>
          </w:tcPr>
          <w:p w14:paraId="64778F68" w14:textId="77777777" w:rsidR="00141B97" w:rsidRDefault="00911D63">
            <w:pPr>
              <w:pStyle w:val="TableParagraph"/>
              <w:spacing w:before="32"/>
              <w:ind w:right="98"/>
              <w:jc w:val="right"/>
              <w:rPr>
                <w:sz w:val="18"/>
              </w:rPr>
            </w:pPr>
            <w:r>
              <w:rPr>
                <w:spacing w:val="-4"/>
                <w:sz w:val="18"/>
              </w:rPr>
              <w:t>1.19</w:t>
            </w:r>
          </w:p>
        </w:tc>
        <w:tc>
          <w:tcPr>
            <w:tcW w:w="956" w:type="dxa"/>
            <w:tcBorders>
              <w:right w:val="nil"/>
            </w:tcBorders>
            <w:shd w:val="clear" w:color="auto" w:fill="CCE2ED"/>
          </w:tcPr>
          <w:p w14:paraId="59C56B63" w14:textId="77777777" w:rsidR="00141B97" w:rsidRDefault="00911D63">
            <w:pPr>
              <w:pStyle w:val="TableParagraph"/>
              <w:spacing w:before="32"/>
              <w:ind w:right="90"/>
              <w:jc w:val="right"/>
              <w:rPr>
                <w:sz w:val="18"/>
              </w:rPr>
            </w:pPr>
            <w:r>
              <w:rPr>
                <w:spacing w:val="-2"/>
                <w:sz w:val="18"/>
              </w:rPr>
              <w:t>10.11</w:t>
            </w:r>
          </w:p>
        </w:tc>
      </w:tr>
      <w:tr w:rsidR="00141B97" w14:paraId="53758868" w14:textId="77777777">
        <w:trPr>
          <w:trHeight w:val="282"/>
          <w:tblCellSpacing w:w="9" w:type="dxa"/>
        </w:trPr>
        <w:tc>
          <w:tcPr>
            <w:tcW w:w="2076" w:type="dxa"/>
            <w:tcBorders>
              <w:left w:val="nil"/>
            </w:tcBorders>
            <w:shd w:val="clear" w:color="auto" w:fill="CCE2ED"/>
          </w:tcPr>
          <w:p w14:paraId="216DC3EC" w14:textId="77777777" w:rsidR="00141B97" w:rsidRDefault="00911D63">
            <w:pPr>
              <w:pStyle w:val="TableParagraph"/>
              <w:spacing w:before="32"/>
              <w:ind w:left="88"/>
              <w:rPr>
                <w:sz w:val="18"/>
              </w:rPr>
            </w:pPr>
            <w:r>
              <w:rPr>
                <w:sz w:val="18"/>
              </w:rPr>
              <w:t>Recycled</w:t>
            </w:r>
            <w:r>
              <w:rPr>
                <w:spacing w:val="-7"/>
                <w:sz w:val="18"/>
              </w:rPr>
              <w:t xml:space="preserve"> </w:t>
            </w:r>
            <w:r>
              <w:rPr>
                <w:spacing w:val="-2"/>
                <w:sz w:val="18"/>
              </w:rPr>
              <w:t>water</w:t>
            </w:r>
          </w:p>
        </w:tc>
        <w:tc>
          <w:tcPr>
            <w:tcW w:w="964" w:type="dxa"/>
            <w:shd w:val="clear" w:color="auto" w:fill="CCE2ED"/>
          </w:tcPr>
          <w:p w14:paraId="0B02086F" w14:textId="77777777" w:rsidR="00141B97" w:rsidRDefault="00911D63">
            <w:pPr>
              <w:pStyle w:val="TableParagraph"/>
              <w:spacing w:before="32"/>
              <w:ind w:right="96"/>
              <w:jc w:val="right"/>
              <w:rPr>
                <w:sz w:val="18"/>
              </w:rPr>
            </w:pPr>
            <w:r>
              <w:rPr>
                <w:spacing w:val="-4"/>
                <w:sz w:val="18"/>
              </w:rPr>
              <w:t>0.00</w:t>
            </w:r>
          </w:p>
        </w:tc>
        <w:tc>
          <w:tcPr>
            <w:tcW w:w="965" w:type="dxa"/>
            <w:shd w:val="clear" w:color="auto" w:fill="CCE2ED"/>
          </w:tcPr>
          <w:p w14:paraId="680A39AD" w14:textId="77777777" w:rsidR="00141B97" w:rsidRDefault="00911D63">
            <w:pPr>
              <w:pStyle w:val="TableParagraph"/>
              <w:spacing w:before="32"/>
              <w:ind w:right="97"/>
              <w:jc w:val="right"/>
              <w:rPr>
                <w:sz w:val="18"/>
              </w:rPr>
            </w:pPr>
            <w:r>
              <w:rPr>
                <w:spacing w:val="-4"/>
                <w:sz w:val="18"/>
              </w:rPr>
              <w:t>0.00</w:t>
            </w:r>
          </w:p>
        </w:tc>
        <w:tc>
          <w:tcPr>
            <w:tcW w:w="964" w:type="dxa"/>
            <w:shd w:val="clear" w:color="auto" w:fill="CCE2ED"/>
          </w:tcPr>
          <w:p w14:paraId="6B539A41" w14:textId="77777777" w:rsidR="00141B97" w:rsidRDefault="00911D63">
            <w:pPr>
              <w:pStyle w:val="TableParagraph"/>
              <w:spacing w:before="32"/>
              <w:ind w:right="98"/>
              <w:jc w:val="right"/>
              <w:rPr>
                <w:sz w:val="18"/>
              </w:rPr>
            </w:pPr>
            <w:r>
              <w:rPr>
                <w:spacing w:val="-4"/>
                <w:sz w:val="18"/>
              </w:rPr>
              <w:t>0.00</w:t>
            </w:r>
          </w:p>
        </w:tc>
        <w:tc>
          <w:tcPr>
            <w:tcW w:w="964" w:type="dxa"/>
            <w:shd w:val="clear" w:color="auto" w:fill="CCE2ED"/>
          </w:tcPr>
          <w:p w14:paraId="0151ABD9" w14:textId="77777777" w:rsidR="00141B97" w:rsidRDefault="00911D63">
            <w:pPr>
              <w:pStyle w:val="TableParagraph"/>
              <w:spacing w:before="32"/>
              <w:ind w:right="97"/>
              <w:jc w:val="right"/>
              <w:rPr>
                <w:sz w:val="18"/>
              </w:rPr>
            </w:pPr>
            <w:r>
              <w:rPr>
                <w:spacing w:val="-4"/>
                <w:sz w:val="18"/>
              </w:rPr>
              <w:t>0.00</w:t>
            </w:r>
          </w:p>
        </w:tc>
        <w:tc>
          <w:tcPr>
            <w:tcW w:w="965" w:type="dxa"/>
            <w:shd w:val="clear" w:color="auto" w:fill="CCE2ED"/>
          </w:tcPr>
          <w:p w14:paraId="353A5D9A" w14:textId="77777777" w:rsidR="00141B97" w:rsidRDefault="00911D63">
            <w:pPr>
              <w:pStyle w:val="TableParagraph"/>
              <w:spacing w:before="32"/>
              <w:ind w:right="98"/>
              <w:jc w:val="right"/>
              <w:rPr>
                <w:sz w:val="18"/>
              </w:rPr>
            </w:pPr>
            <w:r>
              <w:rPr>
                <w:spacing w:val="-4"/>
                <w:sz w:val="18"/>
              </w:rPr>
              <w:t>0.00</w:t>
            </w:r>
          </w:p>
        </w:tc>
        <w:tc>
          <w:tcPr>
            <w:tcW w:w="964" w:type="dxa"/>
            <w:shd w:val="clear" w:color="auto" w:fill="CCE2ED"/>
          </w:tcPr>
          <w:p w14:paraId="1B25B883" w14:textId="77777777" w:rsidR="00141B97" w:rsidRDefault="00911D63">
            <w:pPr>
              <w:pStyle w:val="TableParagraph"/>
              <w:spacing w:before="32"/>
              <w:ind w:right="99"/>
              <w:jc w:val="right"/>
              <w:rPr>
                <w:sz w:val="18"/>
              </w:rPr>
            </w:pPr>
            <w:r>
              <w:rPr>
                <w:spacing w:val="-4"/>
                <w:sz w:val="18"/>
              </w:rPr>
              <w:t>0.00</w:t>
            </w:r>
          </w:p>
        </w:tc>
        <w:tc>
          <w:tcPr>
            <w:tcW w:w="964" w:type="dxa"/>
            <w:shd w:val="clear" w:color="auto" w:fill="CCE2ED"/>
          </w:tcPr>
          <w:p w14:paraId="11243739" w14:textId="77777777" w:rsidR="00141B97" w:rsidRDefault="00911D63">
            <w:pPr>
              <w:pStyle w:val="TableParagraph"/>
              <w:spacing w:before="32"/>
              <w:ind w:right="98"/>
              <w:jc w:val="right"/>
              <w:rPr>
                <w:sz w:val="18"/>
              </w:rPr>
            </w:pPr>
            <w:r>
              <w:rPr>
                <w:spacing w:val="-4"/>
                <w:sz w:val="18"/>
              </w:rPr>
              <w:t>0.00</w:t>
            </w:r>
          </w:p>
        </w:tc>
        <w:tc>
          <w:tcPr>
            <w:tcW w:w="956" w:type="dxa"/>
            <w:tcBorders>
              <w:right w:val="nil"/>
            </w:tcBorders>
            <w:shd w:val="clear" w:color="auto" w:fill="CCE2ED"/>
          </w:tcPr>
          <w:p w14:paraId="35673553" w14:textId="77777777" w:rsidR="00141B97" w:rsidRDefault="00911D63">
            <w:pPr>
              <w:pStyle w:val="TableParagraph"/>
              <w:spacing w:before="32"/>
              <w:ind w:right="90"/>
              <w:jc w:val="right"/>
              <w:rPr>
                <w:sz w:val="18"/>
              </w:rPr>
            </w:pPr>
            <w:r>
              <w:rPr>
                <w:spacing w:val="-4"/>
                <w:sz w:val="18"/>
              </w:rPr>
              <w:t>0.00</w:t>
            </w:r>
          </w:p>
        </w:tc>
      </w:tr>
      <w:tr w:rsidR="00141B97" w14:paraId="4D1ACE8B" w14:textId="77777777">
        <w:trPr>
          <w:trHeight w:val="256"/>
          <w:tblCellSpacing w:w="9" w:type="dxa"/>
        </w:trPr>
        <w:tc>
          <w:tcPr>
            <w:tcW w:w="2076" w:type="dxa"/>
            <w:tcBorders>
              <w:left w:val="nil"/>
              <w:bottom w:val="nil"/>
            </w:tcBorders>
            <w:shd w:val="clear" w:color="auto" w:fill="BFBFBF"/>
          </w:tcPr>
          <w:p w14:paraId="5EFED871" w14:textId="77777777" w:rsidR="00141B97" w:rsidRDefault="00911D63">
            <w:pPr>
              <w:pStyle w:val="TableParagraph"/>
              <w:spacing w:before="19" w:line="217" w:lineRule="exact"/>
              <w:ind w:left="88"/>
              <w:rPr>
                <w:sz w:val="18"/>
              </w:rPr>
            </w:pPr>
            <w:r>
              <w:rPr>
                <w:sz w:val="18"/>
              </w:rPr>
              <w:t>Total</w:t>
            </w:r>
            <w:r>
              <w:rPr>
                <w:spacing w:val="-1"/>
                <w:sz w:val="18"/>
              </w:rPr>
              <w:t xml:space="preserve"> </w:t>
            </w:r>
            <w:r>
              <w:rPr>
                <w:sz w:val="18"/>
              </w:rPr>
              <w:t xml:space="preserve">capital </w:t>
            </w:r>
            <w:r>
              <w:rPr>
                <w:spacing w:val="-2"/>
                <w:sz w:val="18"/>
              </w:rPr>
              <w:t>expenditure</w:t>
            </w:r>
          </w:p>
        </w:tc>
        <w:tc>
          <w:tcPr>
            <w:tcW w:w="964" w:type="dxa"/>
            <w:tcBorders>
              <w:bottom w:val="nil"/>
            </w:tcBorders>
            <w:shd w:val="clear" w:color="auto" w:fill="BFBFBF"/>
          </w:tcPr>
          <w:p w14:paraId="71C25F02" w14:textId="77777777" w:rsidR="00141B97" w:rsidRDefault="00911D63">
            <w:pPr>
              <w:pStyle w:val="TableParagraph"/>
              <w:spacing w:before="19" w:line="217" w:lineRule="exact"/>
              <w:ind w:right="96"/>
              <w:jc w:val="right"/>
              <w:rPr>
                <w:sz w:val="18"/>
              </w:rPr>
            </w:pPr>
            <w:r>
              <w:rPr>
                <w:spacing w:val="-2"/>
                <w:sz w:val="18"/>
              </w:rPr>
              <w:t>24.22</w:t>
            </w:r>
          </w:p>
        </w:tc>
        <w:tc>
          <w:tcPr>
            <w:tcW w:w="965" w:type="dxa"/>
            <w:tcBorders>
              <w:bottom w:val="nil"/>
            </w:tcBorders>
            <w:shd w:val="clear" w:color="auto" w:fill="BFBFBF"/>
          </w:tcPr>
          <w:p w14:paraId="48C3C883" w14:textId="77777777" w:rsidR="00141B97" w:rsidRDefault="00911D63">
            <w:pPr>
              <w:pStyle w:val="TableParagraph"/>
              <w:spacing w:before="19" w:line="217" w:lineRule="exact"/>
              <w:ind w:right="97"/>
              <w:jc w:val="right"/>
              <w:rPr>
                <w:sz w:val="18"/>
              </w:rPr>
            </w:pPr>
            <w:r>
              <w:rPr>
                <w:spacing w:val="-2"/>
                <w:sz w:val="18"/>
              </w:rPr>
              <w:t>13.58</w:t>
            </w:r>
          </w:p>
        </w:tc>
        <w:tc>
          <w:tcPr>
            <w:tcW w:w="964" w:type="dxa"/>
            <w:tcBorders>
              <w:bottom w:val="nil"/>
            </w:tcBorders>
            <w:shd w:val="clear" w:color="auto" w:fill="BFBFBF"/>
          </w:tcPr>
          <w:p w14:paraId="19F01BF0" w14:textId="77777777" w:rsidR="00141B97" w:rsidRDefault="00911D63">
            <w:pPr>
              <w:pStyle w:val="TableParagraph"/>
              <w:spacing w:before="19" w:line="217" w:lineRule="exact"/>
              <w:ind w:right="98"/>
              <w:jc w:val="right"/>
              <w:rPr>
                <w:sz w:val="18"/>
              </w:rPr>
            </w:pPr>
            <w:r>
              <w:rPr>
                <w:spacing w:val="-2"/>
                <w:sz w:val="18"/>
              </w:rPr>
              <w:t>24.49</w:t>
            </w:r>
          </w:p>
        </w:tc>
        <w:tc>
          <w:tcPr>
            <w:tcW w:w="964" w:type="dxa"/>
            <w:tcBorders>
              <w:bottom w:val="nil"/>
            </w:tcBorders>
            <w:shd w:val="clear" w:color="auto" w:fill="BFBFBF"/>
          </w:tcPr>
          <w:p w14:paraId="2B6C9191" w14:textId="77777777" w:rsidR="00141B97" w:rsidRDefault="00911D63">
            <w:pPr>
              <w:pStyle w:val="TableParagraph"/>
              <w:spacing w:before="19" w:line="217" w:lineRule="exact"/>
              <w:ind w:right="97"/>
              <w:jc w:val="right"/>
              <w:rPr>
                <w:sz w:val="18"/>
              </w:rPr>
            </w:pPr>
            <w:r>
              <w:rPr>
                <w:spacing w:val="-2"/>
                <w:sz w:val="18"/>
              </w:rPr>
              <w:t>23.83</w:t>
            </w:r>
          </w:p>
        </w:tc>
        <w:tc>
          <w:tcPr>
            <w:tcW w:w="965" w:type="dxa"/>
            <w:tcBorders>
              <w:bottom w:val="nil"/>
            </w:tcBorders>
            <w:shd w:val="clear" w:color="auto" w:fill="BFBFBF"/>
          </w:tcPr>
          <w:p w14:paraId="7F19372C" w14:textId="77777777" w:rsidR="00141B97" w:rsidRDefault="00911D63">
            <w:pPr>
              <w:pStyle w:val="TableParagraph"/>
              <w:spacing w:before="19" w:line="217" w:lineRule="exact"/>
              <w:ind w:right="98"/>
              <w:jc w:val="right"/>
              <w:rPr>
                <w:sz w:val="18"/>
              </w:rPr>
            </w:pPr>
            <w:r>
              <w:rPr>
                <w:spacing w:val="-2"/>
                <w:sz w:val="18"/>
              </w:rPr>
              <w:t>17.64</w:t>
            </w:r>
          </w:p>
        </w:tc>
        <w:tc>
          <w:tcPr>
            <w:tcW w:w="964" w:type="dxa"/>
            <w:tcBorders>
              <w:bottom w:val="nil"/>
            </w:tcBorders>
            <w:shd w:val="clear" w:color="auto" w:fill="BFBFBF"/>
          </w:tcPr>
          <w:p w14:paraId="0566887A" w14:textId="77777777" w:rsidR="00141B97" w:rsidRDefault="00911D63">
            <w:pPr>
              <w:pStyle w:val="TableParagraph"/>
              <w:spacing w:before="19" w:line="217" w:lineRule="exact"/>
              <w:ind w:right="99"/>
              <w:jc w:val="right"/>
              <w:rPr>
                <w:sz w:val="18"/>
              </w:rPr>
            </w:pPr>
            <w:r>
              <w:rPr>
                <w:spacing w:val="-2"/>
                <w:sz w:val="18"/>
              </w:rPr>
              <w:t>17.23</w:t>
            </w:r>
          </w:p>
        </w:tc>
        <w:tc>
          <w:tcPr>
            <w:tcW w:w="964" w:type="dxa"/>
            <w:tcBorders>
              <w:bottom w:val="nil"/>
            </w:tcBorders>
            <w:shd w:val="clear" w:color="auto" w:fill="BFBFBF"/>
          </w:tcPr>
          <w:p w14:paraId="498E5C9A" w14:textId="77777777" w:rsidR="00141B97" w:rsidRDefault="00911D63">
            <w:pPr>
              <w:pStyle w:val="TableParagraph"/>
              <w:spacing w:before="19" w:line="217" w:lineRule="exact"/>
              <w:ind w:right="98"/>
              <w:jc w:val="right"/>
              <w:rPr>
                <w:sz w:val="18"/>
              </w:rPr>
            </w:pPr>
            <w:r>
              <w:rPr>
                <w:spacing w:val="-2"/>
                <w:sz w:val="18"/>
              </w:rPr>
              <w:t>15.42</w:t>
            </w:r>
          </w:p>
        </w:tc>
        <w:tc>
          <w:tcPr>
            <w:tcW w:w="956" w:type="dxa"/>
            <w:tcBorders>
              <w:bottom w:val="nil"/>
              <w:right w:val="nil"/>
            </w:tcBorders>
            <w:shd w:val="clear" w:color="auto" w:fill="BFBFBF"/>
          </w:tcPr>
          <w:p w14:paraId="75836732" w14:textId="77777777" w:rsidR="00141B97" w:rsidRDefault="00911D63">
            <w:pPr>
              <w:pStyle w:val="TableParagraph"/>
              <w:spacing w:before="19" w:line="217" w:lineRule="exact"/>
              <w:ind w:right="90"/>
              <w:jc w:val="right"/>
              <w:rPr>
                <w:sz w:val="18"/>
              </w:rPr>
            </w:pPr>
            <w:r>
              <w:rPr>
                <w:spacing w:val="-2"/>
                <w:sz w:val="18"/>
              </w:rPr>
              <w:t>98.61</w:t>
            </w:r>
          </w:p>
        </w:tc>
      </w:tr>
    </w:tbl>
    <w:p w14:paraId="18727B32" w14:textId="77777777" w:rsidR="00141B97" w:rsidRDefault="00911D63">
      <w:pPr>
        <w:spacing w:before="23"/>
        <w:ind w:left="114"/>
        <w:rPr>
          <w:sz w:val="16"/>
        </w:rPr>
      </w:pPr>
      <w:r>
        <w:rPr>
          <w:sz w:val="16"/>
        </w:rPr>
        <w:t>Table</w:t>
      </w:r>
      <w:r>
        <w:rPr>
          <w:spacing w:val="-5"/>
          <w:sz w:val="16"/>
        </w:rPr>
        <w:t xml:space="preserve"> </w:t>
      </w:r>
      <w:r>
        <w:rPr>
          <w:sz w:val="16"/>
        </w:rPr>
        <w:t>B28</w:t>
      </w:r>
      <w:r>
        <w:rPr>
          <w:sz w:val="12"/>
        </w:rPr>
        <w:t>:</w:t>
      </w:r>
      <w:r>
        <w:rPr>
          <w:spacing w:val="-5"/>
          <w:sz w:val="12"/>
        </w:rPr>
        <w:t xml:space="preserve"> </w:t>
      </w:r>
      <w:r>
        <w:rPr>
          <w:sz w:val="16"/>
        </w:rPr>
        <w:t>Forecast</w:t>
      </w:r>
      <w:r>
        <w:rPr>
          <w:spacing w:val="-4"/>
          <w:sz w:val="16"/>
        </w:rPr>
        <w:t xml:space="preserve"> </w:t>
      </w:r>
      <w:r>
        <w:rPr>
          <w:sz w:val="16"/>
        </w:rPr>
        <w:t>Capital</w:t>
      </w:r>
      <w:r>
        <w:rPr>
          <w:spacing w:val="-5"/>
          <w:sz w:val="16"/>
        </w:rPr>
        <w:t xml:space="preserve"> </w:t>
      </w:r>
      <w:r>
        <w:rPr>
          <w:sz w:val="16"/>
        </w:rPr>
        <w:t>Expenditure</w:t>
      </w:r>
      <w:r>
        <w:rPr>
          <w:spacing w:val="-5"/>
          <w:sz w:val="16"/>
        </w:rPr>
        <w:t xml:space="preserve"> </w:t>
      </w:r>
      <w:r>
        <w:rPr>
          <w:sz w:val="16"/>
        </w:rPr>
        <w:t>by</w:t>
      </w:r>
      <w:r>
        <w:rPr>
          <w:spacing w:val="-5"/>
          <w:sz w:val="16"/>
        </w:rPr>
        <w:t xml:space="preserve"> </w:t>
      </w:r>
      <w:r>
        <w:rPr>
          <w:sz w:val="16"/>
        </w:rPr>
        <w:t>Service</w:t>
      </w:r>
      <w:r>
        <w:rPr>
          <w:spacing w:val="-6"/>
          <w:sz w:val="16"/>
        </w:rPr>
        <w:t xml:space="preserve"> </w:t>
      </w:r>
      <w:r>
        <w:rPr>
          <w:sz w:val="16"/>
        </w:rPr>
        <w:t>Category</w:t>
      </w:r>
      <w:r>
        <w:rPr>
          <w:spacing w:val="-5"/>
          <w:sz w:val="16"/>
        </w:rPr>
        <w:t xml:space="preserve"> </w:t>
      </w:r>
      <w:r>
        <w:rPr>
          <w:sz w:val="16"/>
        </w:rPr>
        <w:t>($m</w:t>
      </w:r>
      <w:r>
        <w:rPr>
          <w:spacing w:val="-5"/>
          <w:sz w:val="16"/>
        </w:rPr>
        <w:t xml:space="preserve"> </w:t>
      </w:r>
      <w:r>
        <w:rPr>
          <w:spacing w:val="-2"/>
          <w:sz w:val="16"/>
        </w:rPr>
        <w:t>1/1/23)</w:t>
      </w:r>
    </w:p>
    <w:p w14:paraId="7AECF8B0" w14:textId="77777777" w:rsidR="00141B97" w:rsidRDefault="00141B97">
      <w:pPr>
        <w:pStyle w:val="BodyText"/>
        <w:rPr>
          <w:sz w:val="16"/>
        </w:rPr>
      </w:pPr>
    </w:p>
    <w:p w14:paraId="700D7BBC" w14:textId="77777777" w:rsidR="00141B97" w:rsidRDefault="00911D63">
      <w:pPr>
        <w:pStyle w:val="BodyText"/>
        <w:spacing w:before="98"/>
        <w:ind w:left="113" w:right="949"/>
        <w:jc w:val="both"/>
      </w:pPr>
      <w:r>
        <w:t>Figure B7 overleaf shows the profile of proposed capital expenditure over the Price Submission period along with the trend forecast through the sixth regulatory period. This trend reveals a large increase in capital expenditure</w:t>
      </w:r>
      <w:r>
        <w:rPr>
          <w:spacing w:val="-7"/>
        </w:rPr>
        <w:t xml:space="preserve"> </w:t>
      </w:r>
      <w:r>
        <w:t>for</w:t>
      </w:r>
      <w:r>
        <w:rPr>
          <w:spacing w:val="-7"/>
        </w:rPr>
        <w:t xml:space="preserve"> </w:t>
      </w:r>
      <w:r>
        <w:t>the</w:t>
      </w:r>
      <w:r>
        <w:rPr>
          <w:spacing w:val="-7"/>
        </w:rPr>
        <w:t xml:space="preserve"> </w:t>
      </w:r>
      <w:r>
        <w:t>sixth</w:t>
      </w:r>
      <w:r>
        <w:rPr>
          <w:spacing w:val="-7"/>
        </w:rPr>
        <w:t xml:space="preserve"> </w:t>
      </w:r>
      <w:r>
        <w:t>regulatory</w:t>
      </w:r>
      <w:r>
        <w:rPr>
          <w:spacing w:val="-7"/>
        </w:rPr>
        <w:t xml:space="preserve"> </w:t>
      </w:r>
      <w:r>
        <w:t>period</w:t>
      </w:r>
      <w:r>
        <w:rPr>
          <w:spacing w:val="-7"/>
        </w:rPr>
        <w:t xml:space="preserve"> </w:t>
      </w:r>
      <w:r>
        <w:t>for</w:t>
      </w:r>
      <w:r>
        <w:rPr>
          <w:spacing w:val="-7"/>
        </w:rPr>
        <w:t xml:space="preserve"> </w:t>
      </w:r>
      <w:r>
        <w:t>major</w:t>
      </w:r>
      <w:r>
        <w:rPr>
          <w:spacing w:val="-6"/>
        </w:rPr>
        <w:t xml:space="preserve"> </w:t>
      </w:r>
      <w:r>
        <w:t>projects,</w:t>
      </w:r>
      <w:r>
        <w:rPr>
          <w:spacing w:val="-6"/>
        </w:rPr>
        <w:t xml:space="preserve"> </w:t>
      </w:r>
      <w:r>
        <w:t>comprising</w:t>
      </w:r>
      <w:r>
        <w:rPr>
          <w:spacing w:val="-7"/>
        </w:rPr>
        <w:t xml:space="preserve"> </w:t>
      </w:r>
      <w:r>
        <w:t>the</w:t>
      </w:r>
      <w:r>
        <w:rPr>
          <w:spacing w:val="-7"/>
        </w:rPr>
        <w:t xml:space="preserve"> </w:t>
      </w:r>
      <w:r>
        <w:t>Swan</w:t>
      </w:r>
      <w:r>
        <w:rPr>
          <w:spacing w:val="-7"/>
        </w:rPr>
        <w:t xml:space="preserve"> </w:t>
      </w:r>
      <w:r>
        <w:t>Hill</w:t>
      </w:r>
      <w:r>
        <w:rPr>
          <w:spacing w:val="-7"/>
        </w:rPr>
        <w:t xml:space="preserve"> </w:t>
      </w:r>
      <w:r>
        <w:t>North</w:t>
      </w:r>
      <w:r>
        <w:rPr>
          <w:spacing w:val="-7"/>
        </w:rPr>
        <w:t xml:space="preserve"> </w:t>
      </w:r>
      <w:r>
        <w:t>Water</w:t>
      </w:r>
      <w:r>
        <w:rPr>
          <w:spacing w:val="-7"/>
        </w:rPr>
        <w:t xml:space="preserve"> </w:t>
      </w:r>
      <w:r>
        <w:t>Treatment Plant, new 10ML Treated Water Storage in Mildura, and Koorlong Sewer Rising Main Duplication, for which preparatory design/development work is planned for the fifth period.</w:t>
      </w:r>
    </w:p>
    <w:p w14:paraId="5050C89E" w14:textId="77777777" w:rsidR="00141B97" w:rsidRDefault="00141B97">
      <w:pPr>
        <w:jc w:val="both"/>
        <w:sectPr w:rsidR="00141B97">
          <w:pgSz w:w="11910" w:h="16840"/>
          <w:pgMar w:top="820" w:right="40" w:bottom="760" w:left="1020" w:header="0" w:footer="580" w:gutter="0"/>
          <w:cols w:space="720"/>
        </w:sectPr>
      </w:pPr>
    </w:p>
    <w:p w14:paraId="462D2FD6" w14:textId="77777777" w:rsidR="00141B97" w:rsidRDefault="00911D63">
      <w:pPr>
        <w:pStyle w:val="BodyText"/>
        <w:ind w:left="204"/>
        <w:rPr>
          <w:sz w:val="20"/>
        </w:rPr>
      </w:pPr>
      <w:r>
        <w:rPr>
          <w:noProof/>
          <w:sz w:val="20"/>
        </w:rPr>
        <w:lastRenderedPageBreak/>
        <w:drawing>
          <wp:inline distT="0" distB="0" distL="0" distR="0" wp14:anchorId="35EACC89" wp14:editId="0BB562DD">
            <wp:extent cx="6019760" cy="2921507"/>
            <wp:effectExtent l="0" t="0" r="0" b="0"/>
            <wp:docPr id="8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83" cstate="email">
                      <a:extLst>
                        <a:ext uri="{28A0092B-C50C-407E-A947-70E740481C1C}">
                          <a14:useLocalDpi xmlns:a14="http://schemas.microsoft.com/office/drawing/2010/main"/>
                        </a:ext>
                      </a:extLst>
                    </a:blip>
                    <a:stretch>
                      <a:fillRect/>
                    </a:stretch>
                  </pic:blipFill>
                  <pic:spPr>
                    <a:xfrm>
                      <a:off x="0" y="0"/>
                      <a:ext cx="6019760" cy="2921507"/>
                    </a:xfrm>
                    <a:prstGeom prst="rect">
                      <a:avLst/>
                    </a:prstGeom>
                  </pic:spPr>
                </pic:pic>
              </a:graphicData>
            </a:graphic>
          </wp:inline>
        </w:drawing>
      </w:r>
    </w:p>
    <w:p w14:paraId="4E9107CC" w14:textId="77777777" w:rsidR="00141B97" w:rsidRDefault="00141B97">
      <w:pPr>
        <w:pStyle w:val="BodyText"/>
        <w:spacing w:before="11"/>
        <w:rPr>
          <w:sz w:val="5"/>
        </w:rPr>
      </w:pPr>
    </w:p>
    <w:p w14:paraId="2CE4FBE5" w14:textId="77777777" w:rsidR="00141B97" w:rsidRDefault="00911D63">
      <w:pPr>
        <w:spacing w:before="68"/>
        <w:ind w:left="114"/>
        <w:jc w:val="both"/>
        <w:rPr>
          <w:sz w:val="16"/>
        </w:rPr>
      </w:pPr>
      <w:r>
        <w:rPr>
          <w:sz w:val="16"/>
        </w:rPr>
        <w:t>Figure</w:t>
      </w:r>
      <w:r>
        <w:rPr>
          <w:spacing w:val="-6"/>
          <w:sz w:val="16"/>
        </w:rPr>
        <w:t xml:space="preserve"> </w:t>
      </w:r>
      <w:r>
        <w:rPr>
          <w:sz w:val="16"/>
        </w:rPr>
        <w:t>B7</w:t>
      </w:r>
      <w:r>
        <w:rPr>
          <w:sz w:val="12"/>
        </w:rPr>
        <w:t>:</w:t>
      </w:r>
      <w:r>
        <w:rPr>
          <w:spacing w:val="-5"/>
          <w:sz w:val="12"/>
        </w:rPr>
        <w:t xml:space="preserve"> </w:t>
      </w:r>
      <w:r>
        <w:rPr>
          <w:sz w:val="16"/>
        </w:rPr>
        <w:t>Forecast</w:t>
      </w:r>
      <w:r>
        <w:rPr>
          <w:spacing w:val="-5"/>
          <w:sz w:val="16"/>
        </w:rPr>
        <w:t xml:space="preserve"> </w:t>
      </w:r>
      <w:r>
        <w:rPr>
          <w:sz w:val="16"/>
        </w:rPr>
        <w:t>Capital</w:t>
      </w:r>
      <w:r>
        <w:rPr>
          <w:spacing w:val="-5"/>
          <w:sz w:val="16"/>
        </w:rPr>
        <w:t xml:space="preserve"> </w:t>
      </w:r>
      <w:r>
        <w:rPr>
          <w:sz w:val="16"/>
        </w:rPr>
        <w:t>Expenditure</w:t>
      </w:r>
      <w:r>
        <w:rPr>
          <w:spacing w:val="-6"/>
          <w:sz w:val="16"/>
        </w:rPr>
        <w:t xml:space="preserve"> </w:t>
      </w:r>
      <w:r>
        <w:rPr>
          <w:sz w:val="16"/>
        </w:rPr>
        <w:t>($m</w:t>
      </w:r>
      <w:r>
        <w:rPr>
          <w:spacing w:val="-5"/>
          <w:sz w:val="16"/>
        </w:rPr>
        <w:t xml:space="preserve"> </w:t>
      </w:r>
      <w:r>
        <w:rPr>
          <w:spacing w:val="-2"/>
          <w:sz w:val="16"/>
        </w:rPr>
        <w:t>1/1/23)</w:t>
      </w:r>
    </w:p>
    <w:p w14:paraId="67A05169" w14:textId="77777777" w:rsidR="00141B97" w:rsidRDefault="00141B97">
      <w:pPr>
        <w:pStyle w:val="BodyText"/>
        <w:rPr>
          <w:sz w:val="20"/>
        </w:rPr>
      </w:pPr>
    </w:p>
    <w:p w14:paraId="0C602574" w14:textId="77777777" w:rsidR="00141B97" w:rsidRDefault="00911D63">
      <w:pPr>
        <w:pStyle w:val="BodyText"/>
        <w:ind w:left="114" w:right="947" w:hanging="1"/>
        <w:jc w:val="both"/>
      </w:pPr>
      <w:r>
        <w:t>Table B29 presents the forecast capital expenditure by cost driver, revealing $41.97m or 43% of the total program</w:t>
      </w:r>
      <w:r>
        <w:rPr>
          <w:spacing w:val="-10"/>
        </w:rPr>
        <w:t xml:space="preserve"> </w:t>
      </w:r>
      <w:r>
        <w:t>is</w:t>
      </w:r>
      <w:r>
        <w:rPr>
          <w:spacing w:val="-10"/>
        </w:rPr>
        <w:t xml:space="preserve"> </w:t>
      </w:r>
      <w:r>
        <w:t>for</w:t>
      </w:r>
      <w:r>
        <w:rPr>
          <w:spacing w:val="-12"/>
        </w:rPr>
        <w:t xml:space="preserve"> </w:t>
      </w:r>
      <w:r>
        <w:t>Renewals,</w:t>
      </w:r>
      <w:r>
        <w:rPr>
          <w:spacing w:val="-11"/>
        </w:rPr>
        <w:t xml:space="preserve"> </w:t>
      </w:r>
      <w:r>
        <w:t>reflecting</w:t>
      </w:r>
      <w:r>
        <w:rPr>
          <w:spacing w:val="-10"/>
        </w:rPr>
        <w:t xml:space="preserve"> </w:t>
      </w:r>
      <w:r>
        <w:t>a</w:t>
      </w:r>
      <w:r>
        <w:rPr>
          <w:spacing w:val="-12"/>
        </w:rPr>
        <w:t xml:space="preserve"> </w:t>
      </w:r>
      <w:r>
        <w:t>modest</w:t>
      </w:r>
      <w:r>
        <w:rPr>
          <w:spacing w:val="-12"/>
        </w:rPr>
        <w:t xml:space="preserve"> </w:t>
      </w:r>
      <w:r>
        <w:t>increase</w:t>
      </w:r>
      <w:r>
        <w:rPr>
          <w:spacing w:val="-13"/>
        </w:rPr>
        <w:t xml:space="preserve"> </w:t>
      </w:r>
      <w:r>
        <w:t>in</w:t>
      </w:r>
      <w:r>
        <w:rPr>
          <w:spacing w:val="-11"/>
        </w:rPr>
        <w:t xml:space="preserve"> </w:t>
      </w:r>
      <w:r>
        <w:t>renewals</w:t>
      </w:r>
      <w:r>
        <w:rPr>
          <w:spacing w:val="-11"/>
        </w:rPr>
        <w:t xml:space="preserve"> </w:t>
      </w:r>
      <w:r>
        <w:t>and</w:t>
      </w:r>
      <w:r>
        <w:rPr>
          <w:spacing w:val="-12"/>
        </w:rPr>
        <w:t xml:space="preserve"> </w:t>
      </w:r>
      <w:r>
        <w:t>replacement</w:t>
      </w:r>
      <w:r>
        <w:rPr>
          <w:spacing w:val="-11"/>
        </w:rPr>
        <w:t xml:space="preserve"> </w:t>
      </w:r>
      <w:r>
        <w:t>investment,</w:t>
      </w:r>
      <w:r>
        <w:rPr>
          <w:spacing w:val="-12"/>
        </w:rPr>
        <w:t xml:space="preserve"> </w:t>
      </w:r>
      <w:r>
        <w:t>and</w:t>
      </w:r>
      <w:r>
        <w:rPr>
          <w:spacing w:val="-12"/>
        </w:rPr>
        <w:t xml:space="preserve"> </w:t>
      </w:r>
      <w:r>
        <w:t>recognising the continued ageing of LMW assets. Specific Major Programs for renewals are the Urban Water Mains Replacement and Sewer Mains and Maintenance Structures Replacement/Rehabilitation.</w:t>
      </w:r>
    </w:p>
    <w:p w14:paraId="5F8993BA" w14:textId="77777777" w:rsidR="00141B97" w:rsidRDefault="00141B97">
      <w:pPr>
        <w:pStyle w:val="BodyText"/>
      </w:pPr>
    </w:p>
    <w:p w14:paraId="3BF53670" w14:textId="77777777" w:rsidR="00141B97" w:rsidRDefault="00911D63">
      <w:pPr>
        <w:pStyle w:val="BodyText"/>
        <w:ind w:left="113" w:right="947"/>
        <w:jc w:val="both"/>
      </w:pPr>
      <w:r>
        <w:t>$23.39m or 24% is proposed for investment in Growth, predominantly to ensure secure supply through Bulk Water Entitlement purchases and maintain treatment and network capacity to service population and connection growth</w:t>
      </w:r>
      <w:r>
        <w:rPr>
          <w:spacing w:val="-1"/>
        </w:rPr>
        <w:t xml:space="preserve"> </w:t>
      </w:r>
      <w:r>
        <w:t>in</w:t>
      </w:r>
      <w:r>
        <w:rPr>
          <w:spacing w:val="-2"/>
        </w:rPr>
        <w:t xml:space="preserve"> </w:t>
      </w:r>
      <w:r>
        <w:t>the major</w:t>
      </w:r>
      <w:r>
        <w:rPr>
          <w:spacing w:val="-1"/>
        </w:rPr>
        <w:t xml:space="preserve"> </w:t>
      </w:r>
      <w:r>
        <w:t>centres</w:t>
      </w:r>
      <w:r>
        <w:rPr>
          <w:spacing w:val="-1"/>
        </w:rPr>
        <w:t xml:space="preserve"> </w:t>
      </w:r>
      <w:r>
        <w:t>of Mildura</w:t>
      </w:r>
      <w:r>
        <w:rPr>
          <w:spacing w:val="-1"/>
        </w:rPr>
        <w:t xml:space="preserve"> </w:t>
      </w:r>
      <w:r>
        <w:t>and</w:t>
      </w:r>
      <w:r>
        <w:rPr>
          <w:spacing w:val="-1"/>
        </w:rPr>
        <w:t xml:space="preserve"> </w:t>
      </w:r>
      <w:r>
        <w:t>Red</w:t>
      </w:r>
      <w:r>
        <w:rPr>
          <w:spacing w:val="-2"/>
        </w:rPr>
        <w:t xml:space="preserve"> </w:t>
      </w:r>
      <w:r>
        <w:t>Cliffs. Significant</w:t>
      </w:r>
      <w:r>
        <w:rPr>
          <w:spacing w:val="-1"/>
        </w:rPr>
        <w:t xml:space="preserve"> </w:t>
      </w:r>
      <w:r>
        <w:t>investment</w:t>
      </w:r>
      <w:r>
        <w:rPr>
          <w:spacing w:val="-1"/>
        </w:rPr>
        <w:t xml:space="preserve"> </w:t>
      </w:r>
      <w:r>
        <w:t>of $33.26m</w:t>
      </w:r>
      <w:r>
        <w:rPr>
          <w:spacing w:val="-2"/>
        </w:rPr>
        <w:t xml:space="preserve"> </w:t>
      </w:r>
      <w:r>
        <w:t>or</w:t>
      </w:r>
      <w:r>
        <w:rPr>
          <w:spacing w:val="-1"/>
        </w:rPr>
        <w:t xml:space="preserve"> </w:t>
      </w:r>
      <w:r>
        <w:t>34%</w:t>
      </w:r>
      <w:r>
        <w:rPr>
          <w:spacing w:val="-1"/>
        </w:rPr>
        <w:t xml:space="preserve"> </w:t>
      </w:r>
      <w:r>
        <w:t>of the</w:t>
      </w:r>
      <w:r>
        <w:rPr>
          <w:spacing w:val="-5"/>
        </w:rPr>
        <w:t xml:space="preserve"> </w:t>
      </w:r>
      <w:r>
        <w:t>program</w:t>
      </w:r>
      <w:r>
        <w:rPr>
          <w:spacing w:val="-4"/>
        </w:rPr>
        <w:t xml:space="preserve"> </w:t>
      </w:r>
      <w:r>
        <w:t>in</w:t>
      </w:r>
      <w:r>
        <w:rPr>
          <w:spacing w:val="-6"/>
        </w:rPr>
        <w:t xml:space="preserve"> </w:t>
      </w:r>
      <w:r>
        <w:t>compliance/improvements</w:t>
      </w:r>
      <w:r>
        <w:rPr>
          <w:spacing w:val="-4"/>
        </w:rPr>
        <w:t xml:space="preserve"> </w:t>
      </w:r>
      <w:r>
        <w:t>relates</w:t>
      </w:r>
      <w:r>
        <w:rPr>
          <w:spacing w:val="-5"/>
        </w:rPr>
        <w:t xml:space="preserve"> </w:t>
      </w:r>
      <w:r>
        <w:t>to</w:t>
      </w:r>
      <w:r>
        <w:rPr>
          <w:spacing w:val="-5"/>
        </w:rPr>
        <w:t xml:space="preserve"> </w:t>
      </w:r>
      <w:r>
        <w:t>infrastructure</w:t>
      </w:r>
      <w:r>
        <w:rPr>
          <w:spacing w:val="-4"/>
        </w:rPr>
        <w:t xml:space="preserve"> </w:t>
      </w:r>
      <w:r>
        <w:t>projects</w:t>
      </w:r>
      <w:r>
        <w:rPr>
          <w:spacing w:val="-5"/>
        </w:rPr>
        <w:t xml:space="preserve"> </w:t>
      </w:r>
      <w:r>
        <w:t>such</w:t>
      </w:r>
      <w:r>
        <w:rPr>
          <w:spacing w:val="-5"/>
        </w:rPr>
        <w:t xml:space="preserve"> </w:t>
      </w:r>
      <w:r>
        <w:t>as</w:t>
      </w:r>
      <w:r>
        <w:rPr>
          <w:spacing w:val="-5"/>
        </w:rPr>
        <w:t xml:space="preserve"> </w:t>
      </w:r>
      <w:r>
        <w:t>the</w:t>
      </w:r>
      <w:r>
        <w:rPr>
          <w:spacing w:val="-6"/>
        </w:rPr>
        <w:t xml:space="preserve"> </w:t>
      </w:r>
      <w:r>
        <w:t>Koorlong</w:t>
      </w:r>
      <w:r>
        <w:rPr>
          <w:spacing w:val="-5"/>
        </w:rPr>
        <w:t xml:space="preserve"> </w:t>
      </w:r>
      <w:r>
        <w:t>Wet</w:t>
      </w:r>
      <w:r>
        <w:rPr>
          <w:spacing w:val="-4"/>
        </w:rPr>
        <w:t xml:space="preserve"> </w:t>
      </w:r>
      <w:r>
        <w:t>Weather Storage, significant new investment in corporate business systems, and planning for the proposed Swan Hill Water Treatment Plant.</w:t>
      </w:r>
    </w:p>
    <w:p w14:paraId="493647CB"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107"/>
        <w:gridCol w:w="1108"/>
        <w:gridCol w:w="1107"/>
        <w:gridCol w:w="1107"/>
        <w:gridCol w:w="1108"/>
        <w:gridCol w:w="1107"/>
        <w:gridCol w:w="1232"/>
      </w:tblGrid>
      <w:tr w:rsidR="00141B97" w14:paraId="69D559E7" w14:textId="77777777">
        <w:trPr>
          <w:trHeight w:val="315"/>
          <w:tblCellSpacing w:w="9" w:type="dxa"/>
        </w:trPr>
        <w:tc>
          <w:tcPr>
            <w:tcW w:w="3080" w:type="dxa"/>
            <w:tcBorders>
              <w:top w:val="nil"/>
              <w:left w:val="nil"/>
            </w:tcBorders>
            <w:shd w:val="clear" w:color="auto" w:fill="0064A4"/>
          </w:tcPr>
          <w:p w14:paraId="426D202C" w14:textId="77777777" w:rsidR="00141B97" w:rsidRDefault="00911D63">
            <w:pPr>
              <w:pStyle w:val="TableParagraph"/>
              <w:spacing w:before="35"/>
              <w:ind w:left="88"/>
              <w:rPr>
                <w:sz w:val="20"/>
              </w:rPr>
            </w:pPr>
            <w:r>
              <w:rPr>
                <w:color w:val="FFFFFF"/>
                <w:sz w:val="20"/>
              </w:rPr>
              <w:t>$m</w:t>
            </w:r>
            <w:r>
              <w:rPr>
                <w:color w:val="FFFFFF"/>
                <w:spacing w:val="-2"/>
                <w:sz w:val="20"/>
              </w:rPr>
              <w:t xml:space="preserve"> 1/1/23</w:t>
            </w:r>
          </w:p>
        </w:tc>
        <w:tc>
          <w:tcPr>
            <w:tcW w:w="6652" w:type="dxa"/>
            <w:gridSpan w:val="6"/>
            <w:tcBorders>
              <w:top w:val="nil"/>
              <w:right w:val="nil"/>
            </w:tcBorders>
            <w:shd w:val="clear" w:color="auto" w:fill="0064A4"/>
          </w:tcPr>
          <w:p w14:paraId="6F780143" w14:textId="77777777" w:rsidR="00141B97" w:rsidRDefault="00911D63">
            <w:pPr>
              <w:pStyle w:val="TableParagraph"/>
              <w:spacing w:before="35"/>
              <w:ind w:left="2397" w:right="2385"/>
              <w:jc w:val="center"/>
              <w:rPr>
                <w:sz w:val="20"/>
              </w:rPr>
            </w:pPr>
            <w:r>
              <w:rPr>
                <w:color w:val="FFFFFF"/>
                <w:sz w:val="20"/>
              </w:rPr>
              <w:t>Fifth</w:t>
            </w:r>
            <w:r>
              <w:rPr>
                <w:color w:val="FFFFFF"/>
                <w:spacing w:val="-3"/>
                <w:sz w:val="20"/>
              </w:rPr>
              <w:t xml:space="preserve"> </w:t>
            </w:r>
            <w:r>
              <w:rPr>
                <w:color w:val="FFFFFF"/>
                <w:sz w:val="20"/>
              </w:rPr>
              <w:t>Regulatory</w:t>
            </w:r>
            <w:r>
              <w:rPr>
                <w:color w:val="FFFFFF"/>
                <w:spacing w:val="-2"/>
                <w:sz w:val="20"/>
              </w:rPr>
              <w:t xml:space="preserve"> Period</w:t>
            </w:r>
          </w:p>
        </w:tc>
      </w:tr>
      <w:tr w:rsidR="00141B97" w14:paraId="483BE273" w14:textId="77777777">
        <w:trPr>
          <w:trHeight w:val="314"/>
          <w:tblCellSpacing w:w="9" w:type="dxa"/>
        </w:trPr>
        <w:tc>
          <w:tcPr>
            <w:tcW w:w="3080" w:type="dxa"/>
            <w:tcBorders>
              <w:left w:val="nil"/>
            </w:tcBorders>
            <w:shd w:val="clear" w:color="auto" w:fill="0064A4"/>
          </w:tcPr>
          <w:p w14:paraId="38E6E8C8" w14:textId="77777777" w:rsidR="00141B97" w:rsidRDefault="00911D63">
            <w:pPr>
              <w:pStyle w:val="TableParagraph"/>
              <w:spacing w:before="34"/>
              <w:ind w:left="88"/>
              <w:rPr>
                <w:sz w:val="20"/>
              </w:rPr>
            </w:pPr>
            <w:r>
              <w:rPr>
                <w:color w:val="FFFFFF"/>
                <w:sz w:val="20"/>
              </w:rPr>
              <w:t>Cost</w:t>
            </w:r>
            <w:r>
              <w:rPr>
                <w:color w:val="FFFFFF"/>
                <w:spacing w:val="-2"/>
                <w:sz w:val="20"/>
              </w:rPr>
              <w:t xml:space="preserve"> </w:t>
            </w:r>
            <w:r>
              <w:rPr>
                <w:color w:val="FFFFFF"/>
                <w:sz w:val="20"/>
              </w:rPr>
              <w:t>Driver</w:t>
            </w:r>
            <w:r>
              <w:rPr>
                <w:color w:val="FFFFFF"/>
                <w:spacing w:val="-1"/>
                <w:sz w:val="20"/>
              </w:rPr>
              <w:t xml:space="preserve"> </w:t>
            </w:r>
            <w:r>
              <w:rPr>
                <w:color w:val="FFFFFF"/>
                <w:spacing w:val="-2"/>
                <w:sz w:val="20"/>
              </w:rPr>
              <w:t>Category</w:t>
            </w:r>
          </w:p>
        </w:tc>
        <w:tc>
          <w:tcPr>
            <w:tcW w:w="1090" w:type="dxa"/>
            <w:shd w:val="clear" w:color="auto" w:fill="0064A4"/>
          </w:tcPr>
          <w:p w14:paraId="0D7D0FC9" w14:textId="77777777" w:rsidR="00141B97" w:rsidRDefault="00911D63">
            <w:pPr>
              <w:pStyle w:val="TableParagraph"/>
              <w:spacing w:before="48"/>
              <w:ind w:left="232"/>
              <w:rPr>
                <w:sz w:val="18"/>
              </w:rPr>
            </w:pPr>
            <w:r>
              <w:rPr>
                <w:color w:val="FFFFFF"/>
                <w:spacing w:val="-2"/>
                <w:sz w:val="18"/>
              </w:rPr>
              <w:t>2023‐24</w:t>
            </w:r>
          </w:p>
        </w:tc>
        <w:tc>
          <w:tcPr>
            <w:tcW w:w="1089" w:type="dxa"/>
            <w:shd w:val="clear" w:color="auto" w:fill="0064A4"/>
          </w:tcPr>
          <w:p w14:paraId="11D33E4E" w14:textId="77777777" w:rsidR="00141B97" w:rsidRDefault="00911D63">
            <w:pPr>
              <w:pStyle w:val="TableParagraph"/>
              <w:spacing w:before="48"/>
              <w:ind w:left="233"/>
              <w:rPr>
                <w:sz w:val="18"/>
              </w:rPr>
            </w:pPr>
            <w:r>
              <w:rPr>
                <w:color w:val="FFFFFF"/>
                <w:spacing w:val="-2"/>
                <w:sz w:val="18"/>
              </w:rPr>
              <w:t>2024‐25</w:t>
            </w:r>
          </w:p>
        </w:tc>
        <w:tc>
          <w:tcPr>
            <w:tcW w:w="1089" w:type="dxa"/>
            <w:shd w:val="clear" w:color="auto" w:fill="0064A4"/>
          </w:tcPr>
          <w:p w14:paraId="7009F739" w14:textId="77777777" w:rsidR="00141B97" w:rsidRDefault="00911D63">
            <w:pPr>
              <w:pStyle w:val="TableParagraph"/>
              <w:spacing w:before="48"/>
              <w:ind w:left="234"/>
              <w:rPr>
                <w:sz w:val="18"/>
              </w:rPr>
            </w:pPr>
            <w:r>
              <w:rPr>
                <w:color w:val="FFFFFF"/>
                <w:spacing w:val="-2"/>
                <w:sz w:val="18"/>
              </w:rPr>
              <w:t>2025‐26</w:t>
            </w:r>
          </w:p>
        </w:tc>
        <w:tc>
          <w:tcPr>
            <w:tcW w:w="1090" w:type="dxa"/>
            <w:shd w:val="clear" w:color="auto" w:fill="0064A4"/>
          </w:tcPr>
          <w:p w14:paraId="495E2B16" w14:textId="77777777" w:rsidR="00141B97" w:rsidRDefault="00911D63">
            <w:pPr>
              <w:pStyle w:val="TableParagraph"/>
              <w:spacing w:before="48"/>
              <w:ind w:left="234"/>
              <w:rPr>
                <w:sz w:val="18"/>
              </w:rPr>
            </w:pPr>
            <w:r>
              <w:rPr>
                <w:color w:val="FFFFFF"/>
                <w:spacing w:val="-2"/>
                <w:sz w:val="18"/>
              </w:rPr>
              <w:t>2026‐27</w:t>
            </w:r>
          </w:p>
        </w:tc>
        <w:tc>
          <w:tcPr>
            <w:tcW w:w="1089" w:type="dxa"/>
            <w:shd w:val="clear" w:color="auto" w:fill="0064A4"/>
          </w:tcPr>
          <w:p w14:paraId="3CA7BBB1" w14:textId="77777777" w:rsidR="00141B97" w:rsidRDefault="00911D63">
            <w:pPr>
              <w:pStyle w:val="TableParagraph"/>
              <w:spacing w:before="48"/>
              <w:ind w:left="235"/>
              <w:rPr>
                <w:sz w:val="18"/>
              </w:rPr>
            </w:pPr>
            <w:r>
              <w:rPr>
                <w:color w:val="FFFFFF"/>
                <w:spacing w:val="-2"/>
                <w:sz w:val="18"/>
              </w:rPr>
              <w:t>2027‐28</w:t>
            </w:r>
          </w:p>
        </w:tc>
        <w:tc>
          <w:tcPr>
            <w:tcW w:w="1205" w:type="dxa"/>
            <w:tcBorders>
              <w:right w:val="nil"/>
            </w:tcBorders>
            <w:shd w:val="clear" w:color="auto" w:fill="0064A4"/>
          </w:tcPr>
          <w:p w14:paraId="09D840D5" w14:textId="77777777" w:rsidR="00141B97" w:rsidRDefault="00911D63">
            <w:pPr>
              <w:pStyle w:val="TableParagraph"/>
              <w:spacing w:before="34"/>
              <w:ind w:left="339"/>
              <w:rPr>
                <w:sz w:val="20"/>
              </w:rPr>
            </w:pPr>
            <w:r>
              <w:rPr>
                <w:color w:val="FFFFFF"/>
                <w:spacing w:val="-2"/>
                <w:sz w:val="20"/>
              </w:rPr>
              <w:t>TOTAL</w:t>
            </w:r>
          </w:p>
        </w:tc>
      </w:tr>
      <w:tr w:rsidR="00141B97" w14:paraId="7048CA73" w14:textId="77777777">
        <w:trPr>
          <w:trHeight w:val="314"/>
          <w:tblCellSpacing w:w="9" w:type="dxa"/>
        </w:trPr>
        <w:tc>
          <w:tcPr>
            <w:tcW w:w="3080" w:type="dxa"/>
            <w:tcBorders>
              <w:left w:val="nil"/>
            </w:tcBorders>
            <w:shd w:val="clear" w:color="auto" w:fill="CCE2ED"/>
          </w:tcPr>
          <w:p w14:paraId="3C6B4306" w14:textId="77777777" w:rsidR="00141B97" w:rsidRDefault="00911D63">
            <w:pPr>
              <w:pStyle w:val="TableParagraph"/>
              <w:spacing w:before="34"/>
              <w:ind w:left="88"/>
              <w:rPr>
                <w:sz w:val="20"/>
              </w:rPr>
            </w:pPr>
            <w:r>
              <w:rPr>
                <w:spacing w:val="-2"/>
                <w:sz w:val="20"/>
              </w:rPr>
              <w:t>Renewals</w:t>
            </w:r>
          </w:p>
        </w:tc>
        <w:tc>
          <w:tcPr>
            <w:tcW w:w="1090" w:type="dxa"/>
            <w:shd w:val="clear" w:color="auto" w:fill="CCE2ED"/>
          </w:tcPr>
          <w:p w14:paraId="79F71092" w14:textId="77777777" w:rsidR="00141B97" w:rsidRDefault="00911D63">
            <w:pPr>
              <w:pStyle w:val="TableParagraph"/>
              <w:spacing w:before="49"/>
              <w:ind w:right="95"/>
              <w:jc w:val="right"/>
              <w:rPr>
                <w:sz w:val="18"/>
              </w:rPr>
            </w:pPr>
            <w:r>
              <w:rPr>
                <w:spacing w:val="-2"/>
                <w:sz w:val="18"/>
              </w:rPr>
              <w:t>11.05</w:t>
            </w:r>
          </w:p>
        </w:tc>
        <w:tc>
          <w:tcPr>
            <w:tcW w:w="1089" w:type="dxa"/>
            <w:shd w:val="clear" w:color="auto" w:fill="CCE2ED"/>
          </w:tcPr>
          <w:p w14:paraId="1643B79D" w14:textId="77777777" w:rsidR="00141B97" w:rsidRDefault="00911D63">
            <w:pPr>
              <w:pStyle w:val="TableParagraph"/>
              <w:spacing w:before="49"/>
              <w:ind w:right="94"/>
              <w:jc w:val="right"/>
              <w:rPr>
                <w:sz w:val="18"/>
              </w:rPr>
            </w:pPr>
            <w:r>
              <w:rPr>
                <w:spacing w:val="-2"/>
                <w:sz w:val="18"/>
              </w:rPr>
              <w:t>10.41</w:t>
            </w:r>
          </w:p>
        </w:tc>
        <w:tc>
          <w:tcPr>
            <w:tcW w:w="1089" w:type="dxa"/>
            <w:shd w:val="clear" w:color="auto" w:fill="CCE2ED"/>
          </w:tcPr>
          <w:p w14:paraId="3EE7BE34" w14:textId="77777777" w:rsidR="00141B97" w:rsidRDefault="00911D63">
            <w:pPr>
              <w:pStyle w:val="TableParagraph"/>
              <w:spacing w:before="49"/>
              <w:ind w:right="93"/>
              <w:jc w:val="right"/>
              <w:rPr>
                <w:sz w:val="18"/>
              </w:rPr>
            </w:pPr>
            <w:r>
              <w:rPr>
                <w:spacing w:val="-4"/>
                <w:sz w:val="18"/>
              </w:rPr>
              <w:t>7.69</w:t>
            </w:r>
          </w:p>
        </w:tc>
        <w:tc>
          <w:tcPr>
            <w:tcW w:w="1090" w:type="dxa"/>
            <w:shd w:val="clear" w:color="auto" w:fill="CCE2ED"/>
          </w:tcPr>
          <w:p w14:paraId="5B78A542" w14:textId="77777777" w:rsidR="00141B97" w:rsidRDefault="00911D63">
            <w:pPr>
              <w:pStyle w:val="TableParagraph"/>
              <w:spacing w:before="49"/>
              <w:ind w:right="93"/>
              <w:jc w:val="right"/>
              <w:rPr>
                <w:sz w:val="18"/>
              </w:rPr>
            </w:pPr>
            <w:r>
              <w:rPr>
                <w:spacing w:val="-4"/>
                <w:sz w:val="18"/>
              </w:rPr>
              <w:t>6.95</w:t>
            </w:r>
          </w:p>
        </w:tc>
        <w:tc>
          <w:tcPr>
            <w:tcW w:w="1089" w:type="dxa"/>
            <w:shd w:val="clear" w:color="auto" w:fill="CCE2ED"/>
          </w:tcPr>
          <w:p w14:paraId="3E68C30C" w14:textId="77777777" w:rsidR="00141B97" w:rsidRDefault="00911D63">
            <w:pPr>
              <w:pStyle w:val="TableParagraph"/>
              <w:spacing w:before="49"/>
              <w:ind w:right="92"/>
              <w:jc w:val="right"/>
              <w:rPr>
                <w:sz w:val="18"/>
              </w:rPr>
            </w:pPr>
            <w:r>
              <w:rPr>
                <w:spacing w:val="-4"/>
                <w:sz w:val="18"/>
              </w:rPr>
              <w:t>5.86</w:t>
            </w:r>
          </w:p>
        </w:tc>
        <w:tc>
          <w:tcPr>
            <w:tcW w:w="1205" w:type="dxa"/>
            <w:tcBorders>
              <w:right w:val="nil"/>
            </w:tcBorders>
            <w:shd w:val="clear" w:color="auto" w:fill="CCE2ED"/>
          </w:tcPr>
          <w:p w14:paraId="540F76AE" w14:textId="77777777" w:rsidR="00141B97" w:rsidRDefault="00911D63">
            <w:pPr>
              <w:pStyle w:val="TableParagraph"/>
              <w:spacing w:before="49"/>
              <w:ind w:right="82"/>
              <w:jc w:val="right"/>
              <w:rPr>
                <w:sz w:val="18"/>
              </w:rPr>
            </w:pPr>
            <w:r>
              <w:rPr>
                <w:spacing w:val="-2"/>
                <w:sz w:val="18"/>
              </w:rPr>
              <w:t>41.97</w:t>
            </w:r>
          </w:p>
        </w:tc>
      </w:tr>
      <w:tr w:rsidR="00141B97" w14:paraId="54ECC187" w14:textId="77777777">
        <w:trPr>
          <w:trHeight w:val="330"/>
          <w:tblCellSpacing w:w="9" w:type="dxa"/>
        </w:trPr>
        <w:tc>
          <w:tcPr>
            <w:tcW w:w="3080" w:type="dxa"/>
            <w:tcBorders>
              <w:left w:val="nil"/>
            </w:tcBorders>
            <w:shd w:val="clear" w:color="auto" w:fill="CCE2ED"/>
          </w:tcPr>
          <w:p w14:paraId="338B846E" w14:textId="77777777" w:rsidR="00141B97" w:rsidRDefault="00911D63">
            <w:pPr>
              <w:pStyle w:val="TableParagraph"/>
              <w:spacing w:before="43"/>
              <w:ind w:left="88"/>
              <w:rPr>
                <w:sz w:val="20"/>
              </w:rPr>
            </w:pPr>
            <w:r>
              <w:rPr>
                <w:spacing w:val="-2"/>
                <w:sz w:val="20"/>
              </w:rPr>
              <w:t>Growth</w:t>
            </w:r>
          </w:p>
        </w:tc>
        <w:tc>
          <w:tcPr>
            <w:tcW w:w="1090" w:type="dxa"/>
            <w:shd w:val="clear" w:color="auto" w:fill="CCE2ED"/>
          </w:tcPr>
          <w:p w14:paraId="0A64441C" w14:textId="77777777" w:rsidR="00141B97" w:rsidRDefault="00911D63">
            <w:pPr>
              <w:pStyle w:val="TableParagraph"/>
              <w:spacing w:before="56"/>
              <w:ind w:right="95"/>
              <w:jc w:val="right"/>
              <w:rPr>
                <w:sz w:val="18"/>
              </w:rPr>
            </w:pPr>
            <w:r>
              <w:rPr>
                <w:spacing w:val="-4"/>
                <w:sz w:val="18"/>
              </w:rPr>
              <w:t>2.52</w:t>
            </w:r>
          </w:p>
        </w:tc>
        <w:tc>
          <w:tcPr>
            <w:tcW w:w="1089" w:type="dxa"/>
            <w:shd w:val="clear" w:color="auto" w:fill="CCE2ED"/>
          </w:tcPr>
          <w:p w14:paraId="439598F9" w14:textId="77777777" w:rsidR="00141B97" w:rsidRDefault="00911D63">
            <w:pPr>
              <w:pStyle w:val="TableParagraph"/>
              <w:spacing w:before="56"/>
              <w:ind w:right="94"/>
              <w:jc w:val="right"/>
              <w:rPr>
                <w:sz w:val="18"/>
              </w:rPr>
            </w:pPr>
            <w:r>
              <w:rPr>
                <w:spacing w:val="-4"/>
                <w:sz w:val="18"/>
              </w:rPr>
              <w:t>1.95</w:t>
            </w:r>
          </w:p>
        </w:tc>
        <w:tc>
          <w:tcPr>
            <w:tcW w:w="1089" w:type="dxa"/>
            <w:shd w:val="clear" w:color="auto" w:fill="CCE2ED"/>
          </w:tcPr>
          <w:p w14:paraId="5D1A6824" w14:textId="77777777" w:rsidR="00141B97" w:rsidRDefault="00911D63">
            <w:pPr>
              <w:pStyle w:val="TableParagraph"/>
              <w:spacing w:before="56"/>
              <w:ind w:right="93"/>
              <w:jc w:val="right"/>
              <w:rPr>
                <w:sz w:val="18"/>
              </w:rPr>
            </w:pPr>
            <w:r>
              <w:rPr>
                <w:spacing w:val="-4"/>
                <w:sz w:val="18"/>
              </w:rPr>
              <w:t>3.25</w:t>
            </w:r>
          </w:p>
        </w:tc>
        <w:tc>
          <w:tcPr>
            <w:tcW w:w="1090" w:type="dxa"/>
            <w:shd w:val="clear" w:color="auto" w:fill="CCE2ED"/>
          </w:tcPr>
          <w:p w14:paraId="591A0531" w14:textId="77777777" w:rsidR="00141B97" w:rsidRDefault="00911D63">
            <w:pPr>
              <w:pStyle w:val="TableParagraph"/>
              <w:spacing w:before="56"/>
              <w:ind w:right="93"/>
              <w:jc w:val="right"/>
              <w:rPr>
                <w:sz w:val="18"/>
              </w:rPr>
            </w:pPr>
            <w:r>
              <w:rPr>
                <w:spacing w:val="-4"/>
                <w:sz w:val="18"/>
              </w:rPr>
              <w:t>8.10</w:t>
            </w:r>
          </w:p>
        </w:tc>
        <w:tc>
          <w:tcPr>
            <w:tcW w:w="1089" w:type="dxa"/>
            <w:shd w:val="clear" w:color="auto" w:fill="CCE2ED"/>
          </w:tcPr>
          <w:p w14:paraId="56461A04" w14:textId="77777777" w:rsidR="00141B97" w:rsidRDefault="00911D63">
            <w:pPr>
              <w:pStyle w:val="TableParagraph"/>
              <w:spacing w:before="56"/>
              <w:ind w:right="92"/>
              <w:jc w:val="right"/>
              <w:rPr>
                <w:sz w:val="18"/>
              </w:rPr>
            </w:pPr>
            <w:r>
              <w:rPr>
                <w:spacing w:val="-4"/>
                <w:sz w:val="18"/>
              </w:rPr>
              <w:t>7.57</w:t>
            </w:r>
          </w:p>
        </w:tc>
        <w:tc>
          <w:tcPr>
            <w:tcW w:w="1205" w:type="dxa"/>
            <w:tcBorders>
              <w:right w:val="nil"/>
            </w:tcBorders>
            <w:shd w:val="clear" w:color="auto" w:fill="CCE2ED"/>
          </w:tcPr>
          <w:p w14:paraId="5A60F6E6" w14:textId="77777777" w:rsidR="00141B97" w:rsidRDefault="00911D63">
            <w:pPr>
              <w:pStyle w:val="TableParagraph"/>
              <w:spacing w:before="56"/>
              <w:ind w:right="82"/>
              <w:jc w:val="right"/>
              <w:rPr>
                <w:sz w:val="18"/>
              </w:rPr>
            </w:pPr>
            <w:r>
              <w:rPr>
                <w:spacing w:val="-2"/>
                <w:sz w:val="18"/>
              </w:rPr>
              <w:t>23.39</w:t>
            </w:r>
          </w:p>
        </w:tc>
      </w:tr>
      <w:tr w:rsidR="00141B97" w14:paraId="47D08605" w14:textId="77777777">
        <w:trPr>
          <w:trHeight w:val="314"/>
          <w:tblCellSpacing w:w="9" w:type="dxa"/>
        </w:trPr>
        <w:tc>
          <w:tcPr>
            <w:tcW w:w="3080" w:type="dxa"/>
            <w:tcBorders>
              <w:left w:val="nil"/>
            </w:tcBorders>
            <w:shd w:val="clear" w:color="auto" w:fill="CCE2ED"/>
          </w:tcPr>
          <w:p w14:paraId="19C92812" w14:textId="77777777" w:rsidR="00141B97" w:rsidRDefault="00911D63">
            <w:pPr>
              <w:pStyle w:val="TableParagraph"/>
              <w:spacing w:before="34"/>
              <w:ind w:left="88"/>
              <w:rPr>
                <w:sz w:val="20"/>
              </w:rPr>
            </w:pPr>
            <w:r>
              <w:rPr>
                <w:sz w:val="20"/>
              </w:rPr>
              <w:t>Improvements/</w:t>
            </w:r>
            <w:r>
              <w:rPr>
                <w:spacing w:val="-5"/>
                <w:sz w:val="20"/>
              </w:rPr>
              <w:t xml:space="preserve"> </w:t>
            </w:r>
            <w:r>
              <w:rPr>
                <w:spacing w:val="-2"/>
                <w:sz w:val="20"/>
              </w:rPr>
              <w:t>Compliance</w:t>
            </w:r>
          </w:p>
        </w:tc>
        <w:tc>
          <w:tcPr>
            <w:tcW w:w="1090" w:type="dxa"/>
            <w:shd w:val="clear" w:color="auto" w:fill="CCE2ED"/>
          </w:tcPr>
          <w:p w14:paraId="5512EDB7" w14:textId="77777777" w:rsidR="00141B97" w:rsidRDefault="00911D63">
            <w:pPr>
              <w:pStyle w:val="TableParagraph"/>
              <w:spacing w:before="48"/>
              <w:ind w:right="95"/>
              <w:jc w:val="right"/>
              <w:rPr>
                <w:sz w:val="18"/>
              </w:rPr>
            </w:pPr>
            <w:r>
              <w:rPr>
                <w:spacing w:val="-2"/>
                <w:sz w:val="18"/>
              </w:rPr>
              <w:t>10.91</w:t>
            </w:r>
          </w:p>
        </w:tc>
        <w:tc>
          <w:tcPr>
            <w:tcW w:w="1089" w:type="dxa"/>
            <w:shd w:val="clear" w:color="auto" w:fill="CCE2ED"/>
          </w:tcPr>
          <w:p w14:paraId="523661A4" w14:textId="77777777" w:rsidR="00141B97" w:rsidRDefault="00911D63">
            <w:pPr>
              <w:pStyle w:val="TableParagraph"/>
              <w:spacing w:before="48"/>
              <w:ind w:right="94"/>
              <w:jc w:val="right"/>
              <w:rPr>
                <w:sz w:val="18"/>
              </w:rPr>
            </w:pPr>
            <w:r>
              <w:rPr>
                <w:spacing w:val="-2"/>
                <w:sz w:val="18"/>
              </w:rPr>
              <w:t>11.46</w:t>
            </w:r>
          </w:p>
        </w:tc>
        <w:tc>
          <w:tcPr>
            <w:tcW w:w="1089" w:type="dxa"/>
            <w:shd w:val="clear" w:color="auto" w:fill="CCE2ED"/>
          </w:tcPr>
          <w:p w14:paraId="0B4CBA75" w14:textId="77777777" w:rsidR="00141B97" w:rsidRDefault="00911D63">
            <w:pPr>
              <w:pStyle w:val="TableParagraph"/>
              <w:spacing w:before="48"/>
              <w:ind w:right="93"/>
              <w:jc w:val="right"/>
              <w:rPr>
                <w:sz w:val="18"/>
              </w:rPr>
            </w:pPr>
            <w:r>
              <w:rPr>
                <w:spacing w:val="-4"/>
                <w:sz w:val="18"/>
              </w:rPr>
              <w:t>6.71</w:t>
            </w:r>
          </w:p>
        </w:tc>
        <w:tc>
          <w:tcPr>
            <w:tcW w:w="1090" w:type="dxa"/>
            <w:shd w:val="clear" w:color="auto" w:fill="CCE2ED"/>
          </w:tcPr>
          <w:p w14:paraId="1999C0DF" w14:textId="77777777" w:rsidR="00141B97" w:rsidRDefault="00911D63">
            <w:pPr>
              <w:pStyle w:val="TableParagraph"/>
              <w:spacing w:before="48"/>
              <w:ind w:right="93"/>
              <w:jc w:val="right"/>
              <w:rPr>
                <w:sz w:val="18"/>
              </w:rPr>
            </w:pPr>
            <w:r>
              <w:rPr>
                <w:spacing w:val="-4"/>
                <w:sz w:val="18"/>
              </w:rPr>
              <w:t>2.18</w:t>
            </w:r>
          </w:p>
        </w:tc>
        <w:tc>
          <w:tcPr>
            <w:tcW w:w="1089" w:type="dxa"/>
            <w:shd w:val="clear" w:color="auto" w:fill="CCE2ED"/>
          </w:tcPr>
          <w:p w14:paraId="3A88DE7D" w14:textId="77777777" w:rsidR="00141B97" w:rsidRDefault="00911D63">
            <w:pPr>
              <w:pStyle w:val="TableParagraph"/>
              <w:spacing w:before="48"/>
              <w:ind w:right="92"/>
              <w:jc w:val="right"/>
              <w:rPr>
                <w:sz w:val="18"/>
              </w:rPr>
            </w:pPr>
            <w:r>
              <w:rPr>
                <w:spacing w:val="-4"/>
                <w:sz w:val="18"/>
              </w:rPr>
              <w:t>1.99</w:t>
            </w:r>
          </w:p>
        </w:tc>
        <w:tc>
          <w:tcPr>
            <w:tcW w:w="1205" w:type="dxa"/>
            <w:tcBorders>
              <w:right w:val="nil"/>
            </w:tcBorders>
            <w:shd w:val="clear" w:color="auto" w:fill="CCE2ED"/>
          </w:tcPr>
          <w:p w14:paraId="2FCC3315" w14:textId="77777777" w:rsidR="00141B97" w:rsidRDefault="00911D63">
            <w:pPr>
              <w:pStyle w:val="TableParagraph"/>
              <w:spacing w:before="48"/>
              <w:ind w:right="82"/>
              <w:jc w:val="right"/>
              <w:rPr>
                <w:sz w:val="18"/>
              </w:rPr>
            </w:pPr>
            <w:r>
              <w:rPr>
                <w:spacing w:val="-2"/>
                <w:sz w:val="18"/>
              </w:rPr>
              <w:t>33.26</w:t>
            </w:r>
          </w:p>
        </w:tc>
      </w:tr>
      <w:tr w:rsidR="00141B97" w14:paraId="3F2F331B" w14:textId="77777777">
        <w:trPr>
          <w:trHeight w:val="314"/>
          <w:tblCellSpacing w:w="9" w:type="dxa"/>
        </w:trPr>
        <w:tc>
          <w:tcPr>
            <w:tcW w:w="3080" w:type="dxa"/>
            <w:tcBorders>
              <w:left w:val="nil"/>
            </w:tcBorders>
            <w:shd w:val="clear" w:color="auto" w:fill="BFBFBF"/>
          </w:tcPr>
          <w:p w14:paraId="25B23C0B" w14:textId="77777777" w:rsidR="00141B97" w:rsidRDefault="00911D63">
            <w:pPr>
              <w:pStyle w:val="TableParagraph"/>
              <w:spacing w:before="34"/>
              <w:ind w:left="88"/>
              <w:rPr>
                <w:sz w:val="20"/>
              </w:rPr>
            </w:pPr>
            <w:r>
              <w:rPr>
                <w:sz w:val="20"/>
              </w:rPr>
              <w:t>Total</w:t>
            </w:r>
            <w:r>
              <w:rPr>
                <w:spacing w:val="-3"/>
                <w:sz w:val="20"/>
              </w:rPr>
              <w:t xml:space="preserve"> </w:t>
            </w:r>
            <w:r>
              <w:rPr>
                <w:sz w:val="20"/>
              </w:rPr>
              <w:t>capital</w:t>
            </w:r>
            <w:r>
              <w:rPr>
                <w:spacing w:val="-2"/>
                <w:sz w:val="20"/>
              </w:rPr>
              <w:t xml:space="preserve"> expenditure</w:t>
            </w:r>
          </w:p>
        </w:tc>
        <w:tc>
          <w:tcPr>
            <w:tcW w:w="1090" w:type="dxa"/>
            <w:shd w:val="clear" w:color="auto" w:fill="BFBFBF"/>
          </w:tcPr>
          <w:p w14:paraId="41B63DC0" w14:textId="77777777" w:rsidR="00141B97" w:rsidRDefault="00911D63">
            <w:pPr>
              <w:pStyle w:val="TableParagraph"/>
              <w:spacing w:before="49"/>
              <w:ind w:right="95"/>
              <w:jc w:val="right"/>
              <w:rPr>
                <w:sz w:val="18"/>
              </w:rPr>
            </w:pPr>
            <w:r>
              <w:rPr>
                <w:spacing w:val="-2"/>
                <w:sz w:val="18"/>
              </w:rPr>
              <w:t>24.49</w:t>
            </w:r>
          </w:p>
        </w:tc>
        <w:tc>
          <w:tcPr>
            <w:tcW w:w="1089" w:type="dxa"/>
            <w:shd w:val="clear" w:color="auto" w:fill="BFBFBF"/>
          </w:tcPr>
          <w:p w14:paraId="076BBABB" w14:textId="77777777" w:rsidR="00141B97" w:rsidRDefault="00911D63">
            <w:pPr>
              <w:pStyle w:val="TableParagraph"/>
              <w:spacing w:before="49"/>
              <w:ind w:right="94"/>
              <w:jc w:val="right"/>
              <w:rPr>
                <w:sz w:val="18"/>
              </w:rPr>
            </w:pPr>
            <w:r>
              <w:rPr>
                <w:spacing w:val="-2"/>
                <w:sz w:val="18"/>
              </w:rPr>
              <w:t>23.83</w:t>
            </w:r>
          </w:p>
        </w:tc>
        <w:tc>
          <w:tcPr>
            <w:tcW w:w="1089" w:type="dxa"/>
            <w:shd w:val="clear" w:color="auto" w:fill="BFBFBF"/>
          </w:tcPr>
          <w:p w14:paraId="4AE75274" w14:textId="77777777" w:rsidR="00141B97" w:rsidRDefault="00911D63">
            <w:pPr>
              <w:pStyle w:val="TableParagraph"/>
              <w:spacing w:before="49"/>
              <w:ind w:right="93"/>
              <w:jc w:val="right"/>
              <w:rPr>
                <w:sz w:val="18"/>
              </w:rPr>
            </w:pPr>
            <w:r>
              <w:rPr>
                <w:spacing w:val="-2"/>
                <w:sz w:val="18"/>
              </w:rPr>
              <w:t>17.64</w:t>
            </w:r>
          </w:p>
        </w:tc>
        <w:tc>
          <w:tcPr>
            <w:tcW w:w="1090" w:type="dxa"/>
            <w:shd w:val="clear" w:color="auto" w:fill="BFBFBF"/>
          </w:tcPr>
          <w:p w14:paraId="275300A9" w14:textId="77777777" w:rsidR="00141B97" w:rsidRDefault="00911D63">
            <w:pPr>
              <w:pStyle w:val="TableParagraph"/>
              <w:spacing w:before="49"/>
              <w:ind w:right="93"/>
              <w:jc w:val="right"/>
              <w:rPr>
                <w:sz w:val="18"/>
              </w:rPr>
            </w:pPr>
            <w:r>
              <w:rPr>
                <w:spacing w:val="-2"/>
                <w:sz w:val="18"/>
              </w:rPr>
              <w:t>17.23</w:t>
            </w:r>
          </w:p>
        </w:tc>
        <w:tc>
          <w:tcPr>
            <w:tcW w:w="1089" w:type="dxa"/>
            <w:shd w:val="clear" w:color="auto" w:fill="BFBFBF"/>
          </w:tcPr>
          <w:p w14:paraId="364D290A" w14:textId="77777777" w:rsidR="00141B97" w:rsidRDefault="00911D63">
            <w:pPr>
              <w:pStyle w:val="TableParagraph"/>
              <w:spacing w:before="49"/>
              <w:ind w:right="92"/>
              <w:jc w:val="right"/>
              <w:rPr>
                <w:sz w:val="18"/>
              </w:rPr>
            </w:pPr>
            <w:r>
              <w:rPr>
                <w:spacing w:val="-2"/>
                <w:sz w:val="18"/>
              </w:rPr>
              <w:t>15.42</w:t>
            </w:r>
          </w:p>
        </w:tc>
        <w:tc>
          <w:tcPr>
            <w:tcW w:w="1205" w:type="dxa"/>
            <w:tcBorders>
              <w:right w:val="nil"/>
            </w:tcBorders>
            <w:shd w:val="clear" w:color="auto" w:fill="BFBFBF"/>
          </w:tcPr>
          <w:p w14:paraId="492C2FB6" w14:textId="77777777" w:rsidR="00141B97" w:rsidRDefault="00911D63">
            <w:pPr>
              <w:pStyle w:val="TableParagraph"/>
              <w:spacing w:before="49"/>
              <w:ind w:right="82"/>
              <w:jc w:val="right"/>
              <w:rPr>
                <w:sz w:val="18"/>
              </w:rPr>
            </w:pPr>
            <w:r>
              <w:rPr>
                <w:spacing w:val="-2"/>
                <w:sz w:val="18"/>
              </w:rPr>
              <w:t>98.61</w:t>
            </w:r>
          </w:p>
        </w:tc>
      </w:tr>
      <w:tr w:rsidR="00141B97" w14:paraId="213312C9" w14:textId="77777777">
        <w:trPr>
          <w:trHeight w:val="315"/>
          <w:tblCellSpacing w:w="9" w:type="dxa"/>
        </w:trPr>
        <w:tc>
          <w:tcPr>
            <w:tcW w:w="3080" w:type="dxa"/>
            <w:tcBorders>
              <w:left w:val="nil"/>
            </w:tcBorders>
            <w:shd w:val="clear" w:color="auto" w:fill="CCE2ED"/>
          </w:tcPr>
          <w:p w14:paraId="10C8726C" w14:textId="77777777" w:rsidR="00141B97" w:rsidRDefault="00911D63">
            <w:pPr>
              <w:pStyle w:val="TableParagraph"/>
              <w:spacing w:before="36"/>
              <w:ind w:left="88"/>
              <w:rPr>
                <w:sz w:val="20"/>
              </w:rPr>
            </w:pPr>
            <w:r>
              <w:rPr>
                <w:sz w:val="20"/>
              </w:rPr>
              <w:t>Government</w:t>
            </w:r>
            <w:r>
              <w:rPr>
                <w:spacing w:val="-9"/>
                <w:sz w:val="20"/>
              </w:rPr>
              <w:t xml:space="preserve"> </w:t>
            </w:r>
            <w:r>
              <w:rPr>
                <w:spacing w:val="-2"/>
                <w:sz w:val="20"/>
              </w:rPr>
              <w:t>Contributions</w:t>
            </w:r>
          </w:p>
        </w:tc>
        <w:tc>
          <w:tcPr>
            <w:tcW w:w="1090" w:type="dxa"/>
            <w:shd w:val="clear" w:color="auto" w:fill="CCE2ED"/>
          </w:tcPr>
          <w:p w14:paraId="74DA4404" w14:textId="77777777" w:rsidR="00141B97" w:rsidRDefault="00911D63">
            <w:pPr>
              <w:pStyle w:val="TableParagraph"/>
              <w:spacing w:before="49"/>
              <w:ind w:right="96"/>
              <w:jc w:val="right"/>
              <w:rPr>
                <w:sz w:val="18"/>
              </w:rPr>
            </w:pPr>
            <w:r>
              <w:rPr>
                <w:sz w:val="18"/>
              </w:rPr>
              <w:t>‐</w:t>
            </w:r>
          </w:p>
        </w:tc>
        <w:tc>
          <w:tcPr>
            <w:tcW w:w="1089" w:type="dxa"/>
            <w:shd w:val="clear" w:color="auto" w:fill="CCE2ED"/>
          </w:tcPr>
          <w:p w14:paraId="747042CA" w14:textId="77777777" w:rsidR="00141B97" w:rsidRDefault="00911D63">
            <w:pPr>
              <w:pStyle w:val="TableParagraph"/>
              <w:spacing w:before="49"/>
              <w:ind w:right="94"/>
              <w:jc w:val="right"/>
              <w:rPr>
                <w:sz w:val="18"/>
              </w:rPr>
            </w:pPr>
            <w:r>
              <w:rPr>
                <w:sz w:val="18"/>
              </w:rPr>
              <w:t>‐</w:t>
            </w:r>
          </w:p>
        </w:tc>
        <w:tc>
          <w:tcPr>
            <w:tcW w:w="1089" w:type="dxa"/>
            <w:shd w:val="clear" w:color="auto" w:fill="CCE2ED"/>
          </w:tcPr>
          <w:p w14:paraId="11BF2A9C" w14:textId="77777777" w:rsidR="00141B97" w:rsidRDefault="00911D63">
            <w:pPr>
              <w:pStyle w:val="TableParagraph"/>
              <w:spacing w:before="49"/>
              <w:ind w:right="93"/>
              <w:jc w:val="right"/>
              <w:rPr>
                <w:sz w:val="18"/>
              </w:rPr>
            </w:pPr>
            <w:r>
              <w:rPr>
                <w:sz w:val="18"/>
              </w:rPr>
              <w:t>‐</w:t>
            </w:r>
          </w:p>
        </w:tc>
        <w:tc>
          <w:tcPr>
            <w:tcW w:w="1090" w:type="dxa"/>
            <w:shd w:val="clear" w:color="auto" w:fill="CCE2ED"/>
          </w:tcPr>
          <w:p w14:paraId="6DD25373" w14:textId="77777777" w:rsidR="00141B97" w:rsidRDefault="00911D63">
            <w:pPr>
              <w:pStyle w:val="TableParagraph"/>
              <w:spacing w:before="49"/>
              <w:ind w:right="94"/>
              <w:jc w:val="right"/>
              <w:rPr>
                <w:sz w:val="18"/>
              </w:rPr>
            </w:pPr>
            <w:r>
              <w:rPr>
                <w:sz w:val="18"/>
              </w:rPr>
              <w:t>‐</w:t>
            </w:r>
          </w:p>
        </w:tc>
        <w:tc>
          <w:tcPr>
            <w:tcW w:w="1089" w:type="dxa"/>
            <w:shd w:val="clear" w:color="auto" w:fill="CCE2ED"/>
          </w:tcPr>
          <w:p w14:paraId="38D84622" w14:textId="77777777" w:rsidR="00141B97" w:rsidRDefault="00911D63">
            <w:pPr>
              <w:pStyle w:val="TableParagraph"/>
              <w:spacing w:before="49"/>
              <w:ind w:right="92"/>
              <w:jc w:val="right"/>
              <w:rPr>
                <w:sz w:val="18"/>
              </w:rPr>
            </w:pPr>
            <w:r>
              <w:rPr>
                <w:sz w:val="18"/>
              </w:rPr>
              <w:t>‐</w:t>
            </w:r>
          </w:p>
        </w:tc>
        <w:tc>
          <w:tcPr>
            <w:tcW w:w="1205" w:type="dxa"/>
            <w:tcBorders>
              <w:right w:val="nil"/>
            </w:tcBorders>
            <w:shd w:val="clear" w:color="auto" w:fill="CCE2ED"/>
          </w:tcPr>
          <w:p w14:paraId="5C075ACB" w14:textId="77777777" w:rsidR="00141B97" w:rsidRDefault="00911D63">
            <w:pPr>
              <w:pStyle w:val="TableParagraph"/>
              <w:spacing w:before="49"/>
              <w:ind w:right="82"/>
              <w:jc w:val="right"/>
              <w:rPr>
                <w:sz w:val="18"/>
              </w:rPr>
            </w:pPr>
            <w:r>
              <w:rPr>
                <w:spacing w:val="-4"/>
                <w:sz w:val="18"/>
              </w:rPr>
              <w:t>0.00</w:t>
            </w:r>
          </w:p>
        </w:tc>
      </w:tr>
      <w:tr w:rsidR="00141B97" w14:paraId="07254C45" w14:textId="77777777">
        <w:trPr>
          <w:trHeight w:val="315"/>
          <w:tblCellSpacing w:w="9" w:type="dxa"/>
        </w:trPr>
        <w:tc>
          <w:tcPr>
            <w:tcW w:w="3080" w:type="dxa"/>
            <w:tcBorders>
              <w:left w:val="nil"/>
              <w:bottom w:val="nil"/>
            </w:tcBorders>
            <w:shd w:val="clear" w:color="auto" w:fill="CCE2ED"/>
          </w:tcPr>
          <w:p w14:paraId="3F647838" w14:textId="77777777" w:rsidR="00141B97" w:rsidRDefault="00911D63">
            <w:pPr>
              <w:pStyle w:val="TableParagraph"/>
              <w:spacing w:before="34"/>
              <w:ind w:left="88"/>
              <w:rPr>
                <w:sz w:val="20"/>
              </w:rPr>
            </w:pPr>
            <w:r>
              <w:rPr>
                <w:sz w:val="20"/>
              </w:rPr>
              <w:t>Customer</w:t>
            </w:r>
            <w:r>
              <w:rPr>
                <w:spacing w:val="-7"/>
                <w:sz w:val="20"/>
              </w:rPr>
              <w:t xml:space="preserve"> </w:t>
            </w:r>
            <w:r>
              <w:rPr>
                <w:spacing w:val="-2"/>
                <w:sz w:val="20"/>
              </w:rPr>
              <w:t>Contributions</w:t>
            </w:r>
          </w:p>
        </w:tc>
        <w:tc>
          <w:tcPr>
            <w:tcW w:w="1090" w:type="dxa"/>
            <w:tcBorders>
              <w:bottom w:val="nil"/>
            </w:tcBorders>
            <w:shd w:val="clear" w:color="auto" w:fill="CCE2ED"/>
          </w:tcPr>
          <w:p w14:paraId="0C64D5F6" w14:textId="77777777" w:rsidR="00141B97" w:rsidRDefault="00911D63">
            <w:pPr>
              <w:pStyle w:val="TableParagraph"/>
              <w:spacing w:before="48"/>
              <w:ind w:right="95"/>
              <w:jc w:val="right"/>
              <w:rPr>
                <w:sz w:val="18"/>
              </w:rPr>
            </w:pPr>
            <w:r>
              <w:rPr>
                <w:spacing w:val="-4"/>
                <w:sz w:val="18"/>
              </w:rPr>
              <w:t>1.71</w:t>
            </w:r>
          </w:p>
        </w:tc>
        <w:tc>
          <w:tcPr>
            <w:tcW w:w="1089" w:type="dxa"/>
            <w:tcBorders>
              <w:bottom w:val="nil"/>
            </w:tcBorders>
            <w:shd w:val="clear" w:color="auto" w:fill="CCE2ED"/>
          </w:tcPr>
          <w:p w14:paraId="1370FB23" w14:textId="77777777" w:rsidR="00141B97" w:rsidRDefault="00911D63">
            <w:pPr>
              <w:pStyle w:val="TableParagraph"/>
              <w:spacing w:before="48"/>
              <w:ind w:right="94"/>
              <w:jc w:val="right"/>
              <w:rPr>
                <w:sz w:val="18"/>
              </w:rPr>
            </w:pPr>
            <w:r>
              <w:rPr>
                <w:spacing w:val="-4"/>
                <w:sz w:val="18"/>
              </w:rPr>
              <w:t>1.71</w:t>
            </w:r>
          </w:p>
        </w:tc>
        <w:tc>
          <w:tcPr>
            <w:tcW w:w="1089" w:type="dxa"/>
            <w:tcBorders>
              <w:bottom w:val="nil"/>
            </w:tcBorders>
            <w:shd w:val="clear" w:color="auto" w:fill="CCE2ED"/>
          </w:tcPr>
          <w:p w14:paraId="705F2D1A" w14:textId="77777777" w:rsidR="00141B97" w:rsidRDefault="00911D63">
            <w:pPr>
              <w:pStyle w:val="TableParagraph"/>
              <w:spacing w:before="48"/>
              <w:ind w:right="93"/>
              <w:jc w:val="right"/>
              <w:rPr>
                <w:sz w:val="18"/>
              </w:rPr>
            </w:pPr>
            <w:r>
              <w:rPr>
                <w:spacing w:val="-4"/>
                <w:sz w:val="18"/>
              </w:rPr>
              <w:t>1.71</w:t>
            </w:r>
          </w:p>
        </w:tc>
        <w:tc>
          <w:tcPr>
            <w:tcW w:w="1090" w:type="dxa"/>
            <w:tcBorders>
              <w:bottom w:val="nil"/>
            </w:tcBorders>
            <w:shd w:val="clear" w:color="auto" w:fill="CCE2ED"/>
          </w:tcPr>
          <w:p w14:paraId="0E5231EA" w14:textId="77777777" w:rsidR="00141B97" w:rsidRDefault="00911D63">
            <w:pPr>
              <w:pStyle w:val="TableParagraph"/>
              <w:spacing w:before="48"/>
              <w:ind w:right="93"/>
              <w:jc w:val="right"/>
              <w:rPr>
                <w:sz w:val="18"/>
              </w:rPr>
            </w:pPr>
            <w:r>
              <w:rPr>
                <w:spacing w:val="-4"/>
                <w:sz w:val="18"/>
              </w:rPr>
              <w:t>1.71</w:t>
            </w:r>
          </w:p>
        </w:tc>
        <w:tc>
          <w:tcPr>
            <w:tcW w:w="1089" w:type="dxa"/>
            <w:tcBorders>
              <w:bottom w:val="nil"/>
            </w:tcBorders>
            <w:shd w:val="clear" w:color="auto" w:fill="CCE2ED"/>
          </w:tcPr>
          <w:p w14:paraId="02518E0A" w14:textId="77777777" w:rsidR="00141B97" w:rsidRDefault="00911D63">
            <w:pPr>
              <w:pStyle w:val="TableParagraph"/>
              <w:spacing w:before="48"/>
              <w:ind w:right="92"/>
              <w:jc w:val="right"/>
              <w:rPr>
                <w:sz w:val="18"/>
              </w:rPr>
            </w:pPr>
            <w:r>
              <w:rPr>
                <w:spacing w:val="-4"/>
                <w:sz w:val="18"/>
              </w:rPr>
              <w:t>1.71</w:t>
            </w:r>
          </w:p>
        </w:tc>
        <w:tc>
          <w:tcPr>
            <w:tcW w:w="1205" w:type="dxa"/>
            <w:tcBorders>
              <w:bottom w:val="nil"/>
              <w:right w:val="nil"/>
            </w:tcBorders>
            <w:shd w:val="clear" w:color="auto" w:fill="CCE2ED"/>
          </w:tcPr>
          <w:p w14:paraId="0DC2D9AC" w14:textId="77777777" w:rsidR="00141B97" w:rsidRDefault="00911D63">
            <w:pPr>
              <w:pStyle w:val="TableParagraph"/>
              <w:spacing w:before="48"/>
              <w:ind w:right="82"/>
              <w:jc w:val="right"/>
              <w:rPr>
                <w:sz w:val="18"/>
              </w:rPr>
            </w:pPr>
            <w:r>
              <w:rPr>
                <w:spacing w:val="-4"/>
                <w:sz w:val="18"/>
              </w:rPr>
              <w:t>8.55</w:t>
            </w:r>
          </w:p>
        </w:tc>
      </w:tr>
    </w:tbl>
    <w:p w14:paraId="3CEBA0B3" w14:textId="77777777" w:rsidR="00141B97" w:rsidRDefault="00911D63">
      <w:pPr>
        <w:spacing w:before="24"/>
        <w:ind w:left="114"/>
        <w:jc w:val="both"/>
        <w:rPr>
          <w:sz w:val="16"/>
        </w:rPr>
      </w:pPr>
      <w:r>
        <w:rPr>
          <w:sz w:val="16"/>
        </w:rPr>
        <w:t>Table</w:t>
      </w:r>
      <w:r>
        <w:rPr>
          <w:spacing w:val="-4"/>
          <w:sz w:val="16"/>
        </w:rPr>
        <w:t xml:space="preserve"> </w:t>
      </w:r>
      <w:r>
        <w:rPr>
          <w:sz w:val="16"/>
        </w:rPr>
        <w:t>B29:</w:t>
      </w:r>
      <w:r>
        <w:rPr>
          <w:spacing w:val="-5"/>
          <w:sz w:val="16"/>
        </w:rPr>
        <w:t xml:space="preserve"> </w:t>
      </w:r>
      <w:r>
        <w:rPr>
          <w:sz w:val="16"/>
        </w:rPr>
        <w:t>Forecast</w:t>
      </w:r>
      <w:r>
        <w:rPr>
          <w:spacing w:val="-3"/>
          <w:sz w:val="16"/>
        </w:rPr>
        <w:t xml:space="preserve"> </w:t>
      </w:r>
      <w:r>
        <w:rPr>
          <w:sz w:val="16"/>
        </w:rPr>
        <w:t>Capital</w:t>
      </w:r>
      <w:r>
        <w:rPr>
          <w:spacing w:val="-4"/>
          <w:sz w:val="16"/>
        </w:rPr>
        <w:t xml:space="preserve"> </w:t>
      </w:r>
      <w:r>
        <w:rPr>
          <w:sz w:val="16"/>
        </w:rPr>
        <w:t>Expenditure</w:t>
      </w:r>
      <w:r>
        <w:rPr>
          <w:spacing w:val="-4"/>
          <w:sz w:val="16"/>
        </w:rPr>
        <w:t xml:space="preserve"> </w:t>
      </w:r>
      <w:r>
        <w:rPr>
          <w:sz w:val="16"/>
        </w:rPr>
        <w:t>by</w:t>
      </w:r>
      <w:r>
        <w:rPr>
          <w:spacing w:val="-4"/>
          <w:sz w:val="16"/>
        </w:rPr>
        <w:t xml:space="preserve"> </w:t>
      </w:r>
      <w:r>
        <w:rPr>
          <w:sz w:val="16"/>
        </w:rPr>
        <w:t>Cost</w:t>
      </w:r>
      <w:r>
        <w:rPr>
          <w:spacing w:val="-4"/>
          <w:sz w:val="16"/>
        </w:rPr>
        <w:t xml:space="preserve"> </w:t>
      </w:r>
      <w:r>
        <w:rPr>
          <w:sz w:val="16"/>
        </w:rPr>
        <w:t>Driver</w:t>
      </w:r>
      <w:r>
        <w:rPr>
          <w:spacing w:val="-5"/>
          <w:sz w:val="16"/>
        </w:rPr>
        <w:t xml:space="preserve"> </w:t>
      </w:r>
      <w:r>
        <w:rPr>
          <w:sz w:val="16"/>
        </w:rPr>
        <w:t>‐</w:t>
      </w:r>
      <w:r>
        <w:rPr>
          <w:spacing w:val="-4"/>
          <w:sz w:val="16"/>
        </w:rPr>
        <w:t xml:space="preserve"> </w:t>
      </w:r>
      <w:r>
        <w:rPr>
          <w:sz w:val="16"/>
        </w:rPr>
        <w:t>$m</w:t>
      </w:r>
      <w:r>
        <w:rPr>
          <w:spacing w:val="-4"/>
          <w:sz w:val="16"/>
        </w:rPr>
        <w:t xml:space="preserve"> </w:t>
      </w:r>
      <w:r>
        <w:rPr>
          <w:spacing w:val="-2"/>
          <w:sz w:val="16"/>
        </w:rPr>
        <w:t>1/1/23</w:t>
      </w:r>
    </w:p>
    <w:p w14:paraId="3680BE42" w14:textId="77777777" w:rsidR="00141B97" w:rsidRDefault="00141B97">
      <w:pPr>
        <w:pStyle w:val="BodyText"/>
        <w:spacing w:before="8"/>
        <w:rPr>
          <w:sz w:val="20"/>
        </w:rPr>
      </w:pPr>
    </w:p>
    <w:p w14:paraId="040FAB8B" w14:textId="77777777" w:rsidR="00141B97" w:rsidRDefault="00911D63">
      <w:pPr>
        <w:pStyle w:val="ListParagraph"/>
        <w:numPr>
          <w:ilvl w:val="2"/>
          <w:numId w:val="81"/>
        </w:numPr>
        <w:tabs>
          <w:tab w:val="left" w:pos="1112"/>
          <w:tab w:val="left" w:pos="1113"/>
        </w:tabs>
        <w:spacing w:before="1"/>
        <w:jc w:val="both"/>
      </w:pPr>
      <w:r>
        <w:t>Major</w:t>
      </w:r>
      <w:r>
        <w:rPr>
          <w:spacing w:val="-7"/>
        </w:rPr>
        <w:t xml:space="preserve"> </w:t>
      </w:r>
      <w:r>
        <w:t>Projects</w:t>
      </w:r>
      <w:r>
        <w:rPr>
          <w:spacing w:val="-5"/>
        </w:rPr>
        <w:t xml:space="preserve"> </w:t>
      </w:r>
      <w:r>
        <w:t>and</w:t>
      </w:r>
      <w:r>
        <w:rPr>
          <w:spacing w:val="-7"/>
        </w:rPr>
        <w:t xml:space="preserve"> </w:t>
      </w:r>
      <w:r>
        <w:rPr>
          <w:spacing w:val="-2"/>
        </w:rPr>
        <w:t>Programs</w:t>
      </w:r>
    </w:p>
    <w:p w14:paraId="6834A47F" w14:textId="77777777" w:rsidR="00141B97" w:rsidRDefault="00911D63">
      <w:pPr>
        <w:pStyle w:val="BodyText"/>
        <w:spacing w:before="59"/>
        <w:ind w:left="114" w:right="948" w:hanging="1"/>
        <w:jc w:val="both"/>
      </w:pPr>
      <w:r>
        <w:t>Table B30 overleaf shows the Major capital projects, to be started or completed during the PS5 regulatory period,</w:t>
      </w:r>
      <w:r>
        <w:rPr>
          <w:spacing w:val="-4"/>
        </w:rPr>
        <w:t xml:space="preserve"> </w:t>
      </w:r>
      <w:r>
        <w:t>comprising</w:t>
      </w:r>
      <w:r>
        <w:rPr>
          <w:spacing w:val="-4"/>
        </w:rPr>
        <w:t xml:space="preserve"> </w:t>
      </w:r>
      <w:r>
        <w:t>those</w:t>
      </w:r>
      <w:r>
        <w:rPr>
          <w:spacing w:val="-5"/>
        </w:rPr>
        <w:t xml:space="preserve"> </w:t>
      </w:r>
      <w:r>
        <w:t>business‐wide</w:t>
      </w:r>
      <w:r>
        <w:rPr>
          <w:spacing w:val="-4"/>
        </w:rPr>
        <w:t xml:space="preserve"> </w:t>
      </w:r>
      <w:r>
        <w:t>Top</w:t>
      </w:r>
      <w:r>
        <w:rPr>
          <w:spacing w:val="-4"/>
        </w:rPr>
        <w:t xml:space="preserve"> </w:t>
      </w:r>
      <w:r>
        <w:t>10</w:t>
      </w:r>
      <w:r>
        <w:rPr>
          <w:spacing w:val="-4"/>
        </w:rPr>
        <w:t xml:space="preserve"> </w:t>
      </w:r>
      <w:r>
        <w:t>that</w:t>
      </w:r>
      <w:r>
        <w:rPr>
          <w:spacing w:val="-3"/>
        </w:rPr>
        <w:t xml:space="preserve"> </w:t>
      </w:r>
      <w:r>
        <w:t>apply</w:t>
      </w:r>
      <w:r>
        <w:rPr>
          <w:spacing w:val="-4"/>
        </w:rPr>
        <w:t xml:space="preserve"> </w:t>
      </w:r>
      <w:r>
        <w:t>to</w:t>
      </w:r>
      <w:r>
        <w:rPr>
          <w:spacing w:val="-5"/>
        </w:rPr>
        <w:t xml:space="preserve"> </w:t>
      </w:r>
      <w:r>
        <w:t>the</w:t>
      </w:r>
      <w:r>
        <w:rPr>
          <w:spacing w:val="-5"/>
        </w:rPr>
        <w:t xml:space="preserve"> </w:t>
      </w:r>
      <w:r>
        <w:t>urban</w:t>
      </w:r>
      <w:r>
        <w:rPr>
          <w:spacing w:val="-5"/>
        </w:rPr>
        <w:t xml:space="preserve"> </w:t>
      </w:r>
      <w:r>
        <w:t>business,</w:t>
      </w:r>
      <w:r>
        <w:rPr>
          <w:spacing w:val="-4"/>
        </w:rPr>
        <w:t xml:space="preserve"> </w:t>
      </w:r>
      <w:r>
        <w:t>by</w:t>
      </w:r>
      <w:r>
        <w:rPr>
          <w:spacing w:val="-4"/>
        </w:rPr>
        <w:t xml:space="preserve"> </w:t>
      </w:r>
      <w:r>
        <w:t>aggregate</w:t>
      </w:r>
      <w:r>
        <w:rPr>
          <w:spacing w:val="-4"/>
        </w:rPr>
        <w:t xml:space="preserve"> </w:t>
      </w:r>
      <w:r>
        <w:t>cost</w:t>
      </w:r>
      <w:r>
        <w:rPr>
          <w:spacing w:val="-4"/>
        </w:rPr>
        <w:t xml:space="preserve"> </w:t>
      </w:r>
      <w:r>
        <w:t>allocated</w:t>
      </w:r>
      <w:r>
        <w:rPr>
          <w:spacing w:val="-4"/>
        </w:rPr>
        <w:t xml:space="preserve"> </w:t>
      </w:r>
      <w:r>
        <w:t>to the</w:t>
      </w:r>
      <w:r>
        <w:rPr>
          <w:spacing w:val="-4"/>
        </w:rPr>
        <w:t xml:space="preserve"> </w:t>
      </w:r>
      <w:r>
        <w:t>urban</w:t>
      </w:r>
      <w:r>
        <w:rPr>
          <w:spacing w:val="-4"/>
        </w:rPr>
        <w:t xml:space="preserve"> </w:t>
      </w:r>
      <w:r>
        <w:t>business</w:t>
      </w:r>
      <w:r>
        <w:rPr>
          <w:spacing w:val="-4"/>
        </w:rPr>
        <w:t xml:space="preserve"> </w:t>
      </w:r>
      <w:r>
        <w:t>(#9</w:t>
      </w:r>
      <w:r>
        <w:rPr>
          <w:spacing w:val="-3"/>
        </w:rPr>
        <w:t xml:space="preserve"> </w:t>
      </w:r>
      <w:r>
        <w:t>is</w:t>
      </w:r>
      <w:r>
        <w:rPr>
          <w:spacing w:val="-3"/>
        </w:rPr>
        <w:t xml:space="preserve"> </w:t>
      </w:r>
      <w:r>
        <w:t>rural</w:t>
      </w:r>
      <w:r>
        <w:rPr>
          <w:spacing w:val="-3"/>
        </w:rPr>
        <w:t xml:space="preserve"> </w:t>
      </w:r>
      <w:r>
        <w:t>only),</w:t>
      </w:r>
      <w:r>
        <w:rPr>
          <w:spacing w:val="-3"/>
        </w:rPr>
        <w:t xml:space="preserve"> </w:t>
      </w:r>
      <w:r>
        <w:t>totalling</w:t>
      </w:r>
      <w:r>
        <w:rPr>
          <w:spacing w:val="-3"/>
        </w:rPr>
        <w:t xml:space="preserve"> </w:t>
      </w:r>
      <w:r>
        <w:t>$35.50m</w:t>
      </w:r>
      <w:r>
        <w:rPr>
          <w:spacing w:val="-4"/>
        </w:rPr>
        <w:t xml:space="preserve"> </w:t>
      </w:r>
      <w:r>
        <w:t>or</w:t>
      </w:r>
      <w:r>
        <w:rPr>
          <w:spacing w:val="-4"/>
        </w:rPr>
        <w:t xml:space="preserve"> </w:t>
      </w:r>
      <w:r>
        <w:t>36%</w:t>
      </w:r>
      <w:r>
        <w:rPr>
          <w:spacing w:val="-4"/>
        </w:rPr>
        <w:t xml:space="preserve"> </w:t>
      </w:r>
      <w:r>
        <w:t>of</w:t>
      </w:r>
      <w:r>
        <w:rPr>
          <w:spacing w:val="-3"/>
        </w:rPr>
        <w:t xml:space="preserve"> </w:t>
      </w:r>
      <w:r>
        <w:t>the</w:t>
      </w:r>
      <w:r>
        <w:rPr>
          <w:spacing w:val="-4"/>
        </w:rPr>
        <w:t xml:space="preserve"> </w:t>
      </w:r>
      <w:r>
        <w:t>proposed</w:t>
      </w:r>
      <w:r>
        <w:rPr>
          <w:spacing w:val="-1"/>
        </w:rPr>
        <w:t xml:space="preserve"> </w:t>
      </w:r>
      <w:r>
        <w:t>total</w:t>
      </w:r>
      <w:r>
        <w:rPr>
          <w:spacing w:val="-4"/>
        </w:rPr>
        <w:t xml:space="preserve"> </w:t>
      </w:r>
      <w:r>
        <w:t>urban</w:t>
      </w:r>
      <w:r>
        <w:rPr>
          <w:spacing w:val="-3"/>
        </w:rPr>
        <w:t xml:space="preserve"> </w:t>
      </w:r>
      <w:r>
        <w:t>capital</w:t>
      </w:r>
      <w:r>
        <w:rPr>
          <w:spacing w:val="-4"/>
        </w:rPr>
        <w:t xml:space="preserve"> </w:t>
      </w:r>
      <w:r>
        <w:t>expenditure. Two projects are Corporate capital, with allocations to the urban and rural businesses based on the Corporate Cost Allocation Framework.</w:t>
      </w:r>
    </w:p>
    <w:p w14:paraId="46979466" w14:textId="77777777" w:rsidR="00141B97" w:rsidRDefault="00141B97">
      <w:pPr>
        <w:pStyle w:val="BodyText"/>
      </w:pPr>
    </w:p>
    <w:p w14:paraId="4024D4FC" w14:textId="77777777" w:rsidR="00141B97" w:rsidRDefault="00911D63">
      <w:pPr>
        <w:pStyle w:val="BodyText"/>
        <w:ind w:left="113" w:right="947"/>
        <w:jc w:val="both"/>
      </w:pPr>
      <w:r>
        <w:t>Some of the Top 10 include a number of component projects across multiple sites. For example, the Water Mains Upgrade in Mildura includes a number of new mains required to service growth, which are each shown as separate line items in the capital program, but are interdependent projects covered under a single strategy and business case. Consequently, the Top 10 list herein aligns with repeated list numbers in the financial template, covering the component projects.</w:t>
      </w:r>
    </w:p>
    <w:p w14:paraId="600BAFC5" w14:textId="77777777" w:rsidR="00141B97" w:rsidRDefault="00141B97">
      <w:pPr>
        <w:jc w:val="both"/>
        <w:sectPr w:rsidR="00141B97">
          <w:pgSz w:w="11910" w:h="16840"/>
          <w:pgMar w:top="940" w:right="40" w:bottom="760" w:left="1020" w:header="0" w:footer="580" w:gutter="0"/>
          <w:cols w:space="720"/>
        </w:sectPr>
      </w:pPr>
    </w:p>
    <w:p w14:paraId="3B630BCF" w14:textId="77777777" w:rsidR="00141B97" w:rsidRDefault="00911D63">
      <w:pPr>
        <w:pStyle w:val="BodyText"/>
        <w:spacing w:before="40"/>
        <w:ind w:left="113" w:right="947"/>
        <w:jc w:val="both"/>
      </w:pPr>
      <w:r>
        <w:lastRenderedPageBreak/>
        <w:t>Other projects, such as the new Fourteenth Street treated water storage will commence within PS5, with the electrical upgrade of the existing re lift pump station, while the additional storage tank estimated cost $12m is planned for construction within WP6.</w:t>
      </w:r>
    </w:p>
    <w:p w14:paraId="61C8C59C" w14:textId="77777777" w:rsidR="00141B97" w:rsidRDefault="00141B97">
      <w:pPr>
        <w:pStyle w:val="BodyText"/>
        <w:spacing w:before="12"/>
        <w:rPr>
          <w:sz w:val="21"/>
        </w:rPr>
      </w:pPr>
    </w:p>
    <w:p w14:paraId="6E51E176" w14:textId="77777777" w:rsidR="00141B97" w:rsidRDefault="00911D63">
      <w:pPr>
        <w:pStyle w:val="BodyText"/>
        <w:ind w:left="114" w:right="948" w:hanging="1"/>
        <w:jc w:val="both"/>
      </w:pPr>
      <w:r>
        <w:t>Business cases have been developed for all the Major Projects listed in the table below, along with supporting documentation, and are available to the ESC. Appendix B2 provides the alignment between individual projects and the supporting business cases, as well as a summary for each project that provides the project timing and other information required by the ESC Guidance Paper.</w:t>
      </w:r>
    </w:p>
    <w:p w14:paraId="56436C5E" w14:textId="77777777" w:rsidR="00141B97" w:rsidRDefault="00141B97">
      <w:pPr>
        <w:pStyle w:val="BodyText"/>
        <w:spacing w:before="7"/>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550"/>
        <w:gridCol w:w="2233"/>
        <w:gridCol w:w="3492"/>
        <w:gridCol w:w="972"/>
        <w:gridCol w:w="1242"/>
        <w:gridCol w:w="1378"/>
      </w:tblGrid>
      <w:tr w:rsidR="00141B97" w14:paraId="5D6511D2" w14:textId="77777777">
        <w:trPr>
          <w:trHeight w:val="659"/>
          <w:tblCellSpacing w:w="9" w:type="dxa"/>
        </w:trPr>
        <w:tc>
          <w:tcPr>
            <w:tcW w:w="523" w:type="dxa"/>
            <w:tcBorders>
              <w:top w:val="nil"/>
              <w:left w:val="nil"/>
            </w:tcBorders>
            <w:shd w:val="clear" w:color="auto" w:fill="006CA3"/>
          </w:tcPr>
          <w:p w14:paraId="73A13FC4" w14:textId="77777777" w:rsidR="00141B97" w:rsidRDefault="00141B97">
            <w:pPr>
              <w:pStyle w:val="TableParagraph"/>
              <w:spacing w:before="1"/>
              <w:rPr>
                <w:sz w:val="18"/>
              </w:rPr>
            </w:pPr>
          </w:p>
          <w:p w14:paraId="0C183872" w14:textId="77777777" w:rsidR="00141B97" w:rsidRDefault="00911D63">
            <w:pPr>
              <w:pStyle w:val="TableParagraph"/>
              <w:ind w:left="119"/>
              <w:rPr>
                <w:sz w:val="18"/>
              </w:rPr>
            </w:pPr>
            <w:r>
              <w:rPr>
                <w:color w:val="FFFFFF"/>
                <w:spacing w:val="-5"/>
                <w:sz w:val="18"/>
              </w:rPr>
              <w:t>No.</w:t>
            </w:r>
          </w:p>
        </w:tc>
        <w:tc>
          <w:tcPr>
            <w:tcW w:w="2215" w:type="dxa"/>
            <w:tcBorders>
              <w:top w:val="nil"/>
            </w:tcBorders>
            <w:shd w:val="clear" w:color="auto" w:fill="006CA3"/>
          </w:tcPr>
          <w:p w14:paraId="183A12CE" w14:textId="77777777" w:rsidR="00141B97" w:rsidRDefault="00141B97">
            <w:pPr>
              <w:pStyle w:val="TableParagraph"/>
              <w:spacing w:before="1"/>
              <w:rPr>
                <w:sz w:val="18"/>
              </w:rPr>
            </w:pPr>
          </w:p>
          <w:p w14:paraId="06F034D1" w14:textId="77777777" w:rsidR="00141B97" w:rsidRDefault="00911D63">
            <w:pPr>
              <w:pStyle w:val="TableParagraph"/>
              <w:ind w:left="596"/>
              <w:rPr>
                <w:sz w:val="18"/>
              </w:rPr>
            </w:pPr>
            <w:r>
              <w:rPr>
                <w:color w:val="FFFFFF"/>
                <w:sz w:val="18"/>
              </w:rPr>
              <w:t>Business</w:t>
            </w:r>
            <w:r>
              <w:rPr>
                <w:color w:val="FFFFFF"/>
                <w:spacing w:val="-3"/>
                <w:sz w:val="18"/>
              </w:rPr>
              <w:t xml:space="preserve"> </w:t>
            </w:r>
            <w:r>
              <w:rPr>
                <w:color w:val="FFFFFF"/>
                <w:spacing w:val="-4"/>
                <w:sz w:val="18"/>
              </w:rPr>
              <w:t>Case</w:t>
            </w:r>
          </w:p>
        </w:tc>
        <w:tc>
          <w:tcPr>
            <w:tcW w:w="3474" w:type="dxa"/>
            <w:tcBorders>
              <w:top w:val="nil"/>
            </w:tcBorders>
            <w:shd w:val="clear" w:color="auto" w:fill="006CA3"/>
          </w:tcPr>
          <w:p w14:paraId="4826F072" w14:textId="77777777" w:rsidR="00141B97" w:rsidRDefault="00141B97">
            <w:pPr>
              <w:pStyle w:val="TableParagraph"/>
              <w:spacing w:before="1"/>
              <w:rPr>
                <w:sz w:val="18"/>
              </w:rPr>
            </w:pPr>
          </w:p>
          <w:p w14:paraId="18E319F0" w14:textId="77777777" w:rsidR="00141B97" w:rsidRDefault="00911D63">
            <w:pPr>
              <w:pStyle w:val="TableParagraph"/>
              <w:ind w:left="1331" w:right="1331"/>
              <w:jc w:val="center"/>
              <w:rPr>
                <w:sz w:val="18"/>
              </w:rPr>
            </w:pPr>
            <w:r>
              <w:rPr>
                <w:color w:val="FFFFFF"/>
                <w:spacing w:val="-2"/>
                <w:sz w:val="18"/>
              </w:rPr>
              <w:t>Comments</w:t>
            </w:r>
          </w:p>
        </w:tc>
        <w:tc>
          <w:tcPr>
            <w:tcW w:w="954" w:type="dxa"/>
            <w:tcBorders>
              <w:top w:val="nil"/>
            </w:tcBorders>
            <w:shd w:val="clear" w:color="auto" w:fill="006CA3"/>
          </w:tcPr>
          <w:p w14:paraId="5B66BB77" w14:textId="77777777" w:rsidR="00141B97" w:rsidRDefault="00911D63">
            <w:pPr>
              <w:pStyle w:val="TableParagraph"/>
              <w:spacing w:line="220" w:lineRule="atLeast"/>
              <w:ind w:left="116" w:right="115"/>
              <w:jc w:val="center"/>
              <w:rPr>
                <w:sz w:val="18"/>
              </w:rPr>
            </w:pPr>
            <w:r>
              <w:rPr>
                <w:color w:val="FFFFFF"/>
                <w:spacing w:val="-2"/>
                <w:sz w:val="18"/>
              </w:rPr>
              <w:t>Total</w:t>
            </w:r>
            <w:r>
              <w:rPr>
                <w:color w:val="FFFFFF"/>
                <w:sz w:val="18"/>
              </w:rPr>
              <w:t xml:space="preserve"> </w:t>
            </w:r>
            <w:r>
              <w:rPr>
                <w:color w:val="FFFFFF"/>
                <w:spacing w:val="-2"/>
                <w:sz w:val="18"/>
              </w:rPr>
              <w:t>Project</w:t>
            </w:r>
            <w:r>
              <w:rPr>
                <w:color w:val="FFFFFF"/>
                <w:sz w:val="18"/>
              </w:rPr>
              <w:t xml:space="preserve"> Cost</w:t>
            </w:r>
            <w:r>
              <w:rPr>
                <w:color w:val="FFFFFF"/>
                <w:spacing w:val="-2"/>
                <w:sz w:val="18"/>
              </w:rPr>
              <w:t xml:space="preserve"> </w:t>
            </w:r>
            <w:r>
              <w:rPr>
                <w:color w:val="FFFFFF"/>
                <w:spacing w:val="-4"/>
                <w:sz w:val="18"/>
              </w:rPr>
              <w:t>($m)</w:t>
            </w:r>
          </w:p>
        </w:tc>
        <w:tc>
          <w:tcPr>
            <w:tcW w:w="1224" w:type="dxa"/>
            <w:tcBorders>
              <w:top w:val="nil"/>
            </w:tcBorders>
            <w:shd w:val="clear" w:color="auto" w:fill="006CA3"/>
          </w:tcPr>
          <w:p w14:paraId="0F32B5AD" w14:textId="77777777" w:rsidR="00141B97" w:rsidRDefault="00911D63">
            <w:pPr>
              <w:pStyle w:val="TableParagraph"/>
              <w:spacing w:before="110"/>
              <w:ind w:left="276" w:hanging="17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351" w:type="dxa"/>
            <w:tcBorders>
              <w:top w:val="nil"/>
              <w:right w:val="nil"/>
            </w:tcBorders>
            <w:shd w:val="clear" w:color="auto" w:fill="006CA3"/>
          </w:tcPr>
          <w:p w14:paraId="2770617A" w14:textId="77777777" w:rsidR="00141B97" w:rsidRDefault="00141B97">
            <w:pPr>
              <w:pStyle w:val="TableParagraph"/>
              <w:spacing w:before="1"/>
              <w:rPr>
                <w:sz w:val="18"/>
              </w:rPr>
            </w:pPr>
          </w:p>
          <w:p w14:paraId="1D583E91" w14:textId="77777777" w:rsidR="00141B97" w:rsidRDefault="00911D63">
            <w:pPr>
              <w:pStyle w:val="TableParagraph"/>
              <w:ind w:left="112" w:right="105"/>
              <w:jc w:val="center"/>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r>
      <w:tr w:rsidR="00141B97" w14:paraId="19557AE6" w14:textId="77777777">
        <w:trPr>
          <w:trHeight w:val="480"/>
          <w:tblCellSpacing w:w="9" w:type="dxa"/>
        </w:trPr>
        <w:tc>
          <w:tcPr>
            <w:tcW w:w="523" w:type="dxa"/>
            <w:tcBorders>
              <w:left w:val="nil"/>
            </w:tcBorders>
            <w:shd w:val="clear" w:color="auto" w:fill="CCE2ED"/>
          </w:tcPr>
          <w:p w14:paraId="09699AA1" w14:textId="77777777" w:rsidR="00141B97" w:rsidRDefault="00911D63">
            <w:pPr>
              <w:pStyle w:val="TableParagraph"/>
              <w:ind w:left="88"/>
              <w:rPr>
                <w:sz w:val="18"/>
              </w:rPr>
            </w:pPr>
            <w:r>
              <w:rPr>
                <w:sz w:val="18"/>
              </w:rPr>
              <w:t>1</w:t>
            </w:r>
          </w:p>
        </w:tc>
        <w:tc>
          <w:tcPr>
            <w:tcW w:w="2215" w:type="dxa"/>
            <w:shd w:val="clear" w:color="auto" w:fill="CCE2ED"/>
          </w:tcPr>
          <w:p w14:paraId="335DD733" w14:textId="77777777" w:rsidR="00141B97" w:rsidRDefault="00911D63">
            <w:pPr>
              <w:pStyle w:val="TableParagraph"/>
              <w:ind w:left="98"/>
              <w:rPr>
                <w:sz w:val="18"/>
              </w:rPr>
            </w:pPr>
            <w:r>
              <w:rPr>
                <w:sz w:val="18"/>
              </w:rPr>
              <w:t>Purchase</w:t>
            </w:r>
            <w:r>
              <w:rPr>
                <w:spacing w:val="-2"/>
                <w:sz w:val="18"/>
              </w:rPr>
              <w:t xml:space="preserve"> </w:t>
            </w:r>
            <w:r>
              <w:rPr>
                <w:sz w:val="18"/>
              </w:rPr>
              <w:t xml:space="preserve">of </w:t>
            </w:r>
            <w:r>
              <w:rPr>
                <w:spacing w:val="-2"/>
                <w:sz w:val="18"/>
              </w:rPr>
              <w:t>Water</w:t>
            </w:r>
          </w:p>
        </w:tc>
        <w:tc>
          <w:tcPr>
            <w:tcW w:w="3474" w:type="dxa"/>
            <w:shd w:val="clear" w:color="auto" w:fill="CCE2ED"/>
          </w:tcPr>
          <w:p w14:paraId="321588A9" w14:textId="77777777" w:rsidR="00141B97" w:rsidRDefault="00911D63">
            <w:pPr>
              <w:pStyle w:val="TableParagraph"/>
              <w:ind w:left="97" w:right="119"/>
              <w:rPr>
                <w:sz w:val="18"/>
              </w:rPr>
            </w:pPr>
            <w:r>
              <w:rPr>
                <w:sz w:val="18"/>
              </w:rPr>
              <w:t>Bulk</w:t>
            </w:r>
            <w:r>
              <w:rPr>
                <w:spacing w:val="-5"/>
                <w:sz w:val="18"/>
              </w:rPr>
              <w:t xml:space="preserve"> </w:t>
            </w:r>
            <w:r>
              <w:rPr>
                <w:sz w:val="18"/>
              </w:rPr>
              <w:t>Water</w:t>
            </w:r>
            <w:r>
              <w:rPr>
                <w:spacing w:val="-5"/>
                <w:sz w:val="18"/>
              </w:rPr>
              <w:t xml:space="preserve"> </w:t>
            </w:r>
            <w:r>
              <w:rPr>
                <w:sz w:val="18"/>
              </w:rPr>
              <w:t>Entitlement</w:t>
            </w:r>
            <w:r>
              <w:rPr>
                <w:spacing w:val="-6"/>
                <w:sz w:val="18"/>
              </w:rPr>
              <w:t xml:space="preserve"> </w:t>
            </w:r>
            <w:r>
              <w:rPr>
                <w:sz w:val="18"/>
              </w:rPr>
              <w:t>purchases</w:t>
            </w:r>
            <w:r>
              <w:rPr>
                <w:spacing w:val="-6"/>
                <w:sz w:val="18"/>
              </w:rPr>
              <w:t xml:space="preserve"> </w:t>
            </w:r>
            <w:r>
              <w:rPr>
                <w:sz w:val="18"/>
              </w:rPr>
              <w:t>to maintain water security</w:t>
            </w:r>
          </w:p>
        </w:tc>
        <w:tc>
          <w:tcPr>
            <w:tcW w:w="954" w:type="dxa"/>
            <w:shd w:val="clear" w:color="auto" w:fill="CCE2ED"/>
          </w:tcPr>
          <w:p w14:paraId="7F2879A8" w14:textId="77777777" w:rsidR="00141B97" w:rsidRDefault="00911D63">
            <w:pPr>
              <w:pStyle w:val="TableParagraph"/>
              <w:spacing w:before="131"/>
              <w:ind w:left="114" w:right="115"/>
              <w:jc w:val="center"/>
              <w:rPr>
                <w:sz w:val="18"/>
              </w:rPr>
            </w:pPr>
            <w:r>
              <w:rPr>
                <w:spacing w:val="-4"/>
                <w:sz w:val="18"/>
              </w:rPr>
              <w:t>8.09</w:t>
            </w:r>
          </w:p>
        </w:tc>
        <w:tc>
          <w:tcPr>
            <w:tcW w:w="1224" w:type="dxa"/>
            <w:shd w:val="clear" w:color="auto" w:fill="CCE2ED"/>
          </w:tcPr>
          <w:p w14:paraId="4ED0200F" w14:textId="77777777" w:rsidR="00141B97" w:rsidRDefault="00911D63">
            <w:pPr>
              <w:pStyle w:val="TableParagraph"/>
              <w:spacing w:before="131"/>
              <w:ind w:left="125" w:right="126"/>
              <w:jc w:val="center"/>
              <w:rPr>
                <w:sz w:val="18"/>
              </w:rPr>
            </w:pPr>
            <w:r>
              <w:rPr>
                <w:sz w:val="18"/>
              </w:rPr>
              <w:t>Urban</w:t>
            </w:r>
            <w:r>
              <w:rPr>
                <w:spacing w:val="-1"/>
                <w:sz w:val="18"/>
              </w:rPr>
              <w:t xml:space="preserve"> </w:t>
            </w:r>
            <w:r>
              <w:rPr>
                <w:spacing w:val="-2"/>
                <w:sz w:val="18"/>
              </w:rPr>
              <w:t>Water</w:t>
            </w:r>
          </w:p>
        </w:tc>
        <w:tc>
          <w:tcPr>
            <w:tcW w:w="1351" w:type="dxa"/>
            <w:tcBorders>
              <w:right w:val="nil"/>
            </w:tcBorders>
            <w:shd w:val="clear" w:color="auto" w:fill="CCE2ED"/>
          </w:tcPr>
          <w:p w14:paraId="216ACD5F" w14:textId="77777777" w:rsidR="00141B97" w:rsidRDefault="00911D63">
            <w:pPr>
              <w:pStyle w:val="TableParagraph"/>
              <w:spacing w:before="21"/>
              <w:ind w:left="112" w:right="105"/>
              <w:jc w:val="center"/>
              <w:rPr>
                <w:sz w:val="18"/>
              </w:rPr>
            </w:pPr>
            <w:r>
              <w:rPr>
                <w:spacing w:val="-2"/>
                <w:sz w:val="18"/>
              </w:rPr>
              <w:t>Growth</w:t>
            </w:r>
          </w:p>
        </w:tc>
      </w:tr>
      <w:tr w:rsidR="00141B97" w14:paraId="1122D8EE" w14:textId="77777777">
        <w:trPr>
          <w:trHeight w:val="439"/>
          <w:tblCellSpacing w:w="9" w:type="dxa"/>
        </w:trPr>
        <w:tc>
          <w:tcPr>
            <w:tcW w:w="523" w:type="dxa"/>
            <w:tcBorders>
              <w:left w:val="nil"/>
            </w:tcBorders>
            <w:shd w:val="clear" w:color="auto" w:fill="CCE2ED"/>
          </w:tcPr>
          <w:p w14:paraId="7F5884AB" w14:textId="77777777" w:rsidR="00141B97" w:rsidRDefault="00911D63">
            <w:pPr>
              <w:pStyle w:val="TableParagraph"/>
              <w:spacing w:before="1"/>
              <w:ind w:left="88"/>
              <w:rPr>
                <w:sz w:val="18"/>
              </w:rPr>
            </w:pPr>
            <w:r>
              <w:rPr>
                <w:sz w:val="18"/>
              </w:rPr>
              <w:t>2</w:t>
            </w:r>
          </w:p>
        </w:tc>
        <w:tc>
          <w:tcPr>
            <w:tcW w:w="2215" w:type="dxa"/>
            <w:shd w:val="clear" w:color="auto" w:fill="CCE2ED"/>
          </w:tcPr>
          <w:p w14:paraId="01E6A064" w14:textId="77777777" w:rsidR="00141B97" w:rsidRDefault="00911D63">
            <w:pPr>
              <w:pStyle w:val="TableParagraph"/>
              <w:spacing w:line="220" w:lineRule="atLeast"/>
              <w:ind w:left="98"/>
              <w:rPr>
                <w:sz w:val="18"/>
              </w:rPr>
            </w:pPr>
            <w:r>
              <w:rPr>
                <w:sz w:val="18"/>
              </w:rPr>
              <w:t>Water</w:t>
            </w:r>
            <w:r>
              <w:rPr>
                <w:spacing w:val="-6"/>
                <w:sz w:val="18"/>
              </w:rPr>
              <w:t xml:space="preserve"> </w:t>
            </w:r>
            <w:r>
              <w:rPr>
                <w:sz w:val="18"/>
              </w:rPr>
              <w:t>Mains</w:t>
            </w:r>
            <w:r>
              <w:rPr>
                <w:spacing w:val="-6"/>
                <w:sz w:val="18"/>
              </w:rPr>
              <w:t xml:space="preserve"> </w:t>
            </w:r>
            <w:r>
              <w:rPr>
                <w:sz w:val="18"/>
              </w:rPr>
              <w:t>Upgrade</w:t>
            </w:r>
            <w:r>
              <w:rPr>
                <w:spacing w:val="-7"/>
                <w:sz w:val="18"/>
              </w:rPr>
              <w:t xml:space="preserve"> </w:t>
            </w:r>
            <w:r>
              <w:rPr>
                <w:sz w:val="18"/>
              </w:rPr>
              <w:t xml:space="preserve">in </w:t>
            </w:r>
            <w:r>
              <w:rPr>
                <w:spacing w:val="-2"/>
                <w:sz w:val="18"/>
              </w:rPr>
              <w:t>Mildura</w:t>
            </w:r>
          </w:p>
        </w:tc>
        <w:tc>
          <w:tcPr>
            <w:tcW w:w="3474" w:type="dxa"/>
            <w:shd w:val="clear" w:color="auto" w:fill="CCE2ED"/>
          </w:tcPr>
          <w:p w14:paraId="07A3D102" w14:textId="77777777" w:rsidR="00141B97" w:rsidRDefault="00911D63">
            <w:pPr>
              <w:pStyle w:val="TableParagraph"/>
              <w:spacing w:line="220" w:lineRule="atLeast"/>
              <w:ind w:left="97" w:right="119"/>
              <w:rPr>
                <w:sz w:val="18"/>
              </w:rPr>
            </w:pPr>
            <w:r>
              <w:rPr>
                <w:sz w:val="18"/>
              </w:rPr>
              <w:t>Various</w:t>
            </w:r>
            <w:r>
              <w:rPr>
                <w:spacing w:val="-4"/>
                <w:sz w:val="18"/>
              </w:rPr>
              <w:t xml:space="preserve"> </w:t>
            </w:r>
            <w:r>
              <w:rPr>
                <w:sz w:val="18"/>
              </w:rPr>
              <w:t>water</w:t>
            </w:r>
            <w:r>
              <w:rPr>
                <w:spacing w:val="-4"/>
                <w:sz w:val="18"/>
              </w:rPr>
              <w:t xml:space="preserve"> </w:t>
            </w:r>
            <w:r>
              <w:rPr>
                <w:sz w:val="18"/>
              </w:rPr>
              <w:t>mains</w:t>
            </w:r>
            <w:r>
              <w:rPr>
                <w:spacing w:val="-4"/>
                <w:sz w:val="18"/>
              </w:rPr>
              <w:t xml:space="preserve"> </w:t>
            </w:r>
            <w:r>
              <w:rPr>
                <w:sz w:val="18"/>
              </w:rPr>
              <w:t>to</w:t>
            </w:r>
            <w:r>
              <w:rPr>
                <w:spacing w:val="-5"/>
                <w:sz w:val="18"/>
              </w:rPr>
              <w:t xml:space="preserve"> </w:t>
            </w:r>
            <w:r>
              <w:rPr>
                <w:sz w:val="18"/>
              </w:rPr>
              <w:t xml:space="preserve">maintain </w:t>
            </w:r>
            <w:r>
              <w:rPr>
                <w:spacing w:val="-2"/>
                <w:sz w:val="18"/>
              </w:rPr>
              <w:t>capacity/pressure</w:t>
            </w:r>
          </w:p>
        </w:tc>
        <w:tc>
          <w:tcPr>
            <w:tcW w:w="954" w:type="dxa"/>
            <w:shd w:val="clear" w:color="auto" w:fill="CCE2ED"/>
          </w:tcPr>
          <w:p w14:paraId="3295E171" w14:textId="77777777" w:rsidR="00141B97" w:rsidRDefault="00911D63">
            <w:pPr>
              <w:pStyle w:val="TableParagraph"/>
              <w:spacing w:before="110"/>
              <w:ind w:left="114" w:right="115"/>
              <w:jc w:val="center"/>
              <w:rPr>
                <w:sz w:val="18"/>
              </w:rPr>
            </w:pPr>
            <w:r>
              <w:rPr>
                <w:spacing w:val="-4"/>
                <w:sz w:val="18"/>
              </w:rPr>
              <w:t>3.83</w:t>
            </w:r>
          </w:p>
        </w:tc>
        <w:tc>
          <w:tcPr>
            <w:tcW w:w="1224" w:type="dxa"/>
            <w:shd w:val="clear" w:color="auto" w:fill="CCE2ED"/>
          </w:tcPr>
          <w:p w14:paraId="3AF680DC" w14:textId="77777777" w:rsidR="00141B97" w:rsidRDefault="00911D63">
            <w:pPr>
              <w:pStyle w:val="TableParagraph"/>
              <w:spacing w:before="110"/>
              <w:ind w:left="125" w:right="126"/>
              <w:jc w:val="center"/>
              <w:rPr>
                <w:sz w:val="18"/>
              </w:rPr>
            </w:pPr>
            <w:r>
              <w:rPr>
                <w:sz w:val="18"/>
              </w:rPr>
              <w:t>Urban</w:t>
            </w:r>
            <w:r>
              <w:rPr>
                <w:spacing w:val="-1"/>
                <w:sz w:val="18"/>
              </w:rPr>
              <w:t xml:space="preserve"> </w:t>
            </w:r>
            <w:r>
              <w:rPr>
                <w:spacing w:val="-2"/>
                <w:sz w:val="18"/>
              </w:rPr>
              <w:t>Water</w:t>
            </w:r>
          </w:p>
        </w:tc>
        <w:tc>
          <w:tcPr>
            <w:tcW w:w="1351" w:type="dxa"/>
            <w:tcBorders>
              <w:right w:val="nil"/>
            </w:tcBorders>
            <w:shd w:val="clear" w:color="auto" w:fill="CCE2ED"/>
          </w:tcPr>
          <w:p w14:paraId="1DBA5A31" w14:textId="77777777" w:rsidR="00141B97" w:rsidRDefault="00911D63">
            <w:pPr>
              <w:pStyle w:val="TableParagraph"/>
              <w:spacing w:before="1"/>
              <w:ind w:left="112" w:right="105"/>
              <w:jc w:val="center"/>
              <w:rPr>
                <w:sz w:val="18"/>
              </w:rPr>
            </w:pPr>
            <w:r>
              <w:rPr>
                <w:spacing w:val="-2"/>
                <w:sz w:val="18"/>
              </w:rPr>
              <w:t>Growth</w:t>
            </w:r>
          </w:p>
        </w:tc>
      </w:tr>
      <w:tr w:rsidR="00141B97" w14:paraId="1CE457F3" w14:textId="77777777">
        <w:trPr>
          <w:trHeight w:val="1317"/>
          <w:tblCellSpacing w:w="9" w:type="dxa"/>
        </w:trPr>
        <w:tc>
          <w:tcPr>
            <w:tcW w:w="523" w:type="dxa"/>
            <w:tcBorders>
              <w:left w:val="nil"/>
            </w:tcBorders>
            <w:shd w:val="clear" w:color="auto" w:fill="CCE2ED"/>
          </w:tcPr>
          <w:p w14:paraId="00E8CEBF" w14:textId="77777777" w:rsidR="00141B97" w:rsidRDefault="00911D63">
            <w:pPr>
              <w:pStyle w:val="TableParagraph"/>
              <w:ind w:left="88"/>
              <w:rPr>
                <w:sz w:val="18"/>
              </w:rPr>
            </w:pPr>
            <w:r>
              <w:rPr>
                <w:sz w:val="18"/>
              </w:rPr>
              <w:t>3</w:t>
            </w:r>
          </w:p>
        </w:tc>
        <w:tc>
          <w:tcPr>
            <w:tcW w:w="2215" w:type="dxa"/>
            <w:shd w:val="clear" w:color="auto" w:fill="CCE2ED"/>
          </w:tcPr>
          <w:p w14:paraId="7E503645" w14:textId="77777777" w:rsidR="00141B97" w:rsidRDefault="00911D63">
            <w:pPr>
              <w:pStyle w:val="TableParagraph"/>
              <w:ind w:left="98"/>
              <w:rPr>
                <w:sz w:val="18"/>
              </w:rPr>
            </w:pPr>
            <w:r>
              <w:rPr>
                <w:sz w:val="18"/>
              </w:rPr>
              <w:t>New 10ML Treated Water Storage and Pump Station upgrade</w:t>
            </w:r>
            <w:r>
              <w:rPr>
                <w:spacing w:val="-4"/>
                <w:sz w:val="18"/>
              </w:rPr>
              <w:t xml:space="preserve"> </w:t>
            </w:r>
            <w:r>
              <w:rPr>
                <w:sz w:val="18"/>
              </w:rPr>
              <w:t>at</w:t>
            </w:r>
            <w:r>
              <w:rPr>
                <w:spacing w:val="-4"/>
                <w:sz w:val="18"/>
              </w:rPr>
              <w:t xml:space="preserve"> </w:t>
            </w:r>
            <w:r>
              <w:rPr>
                <w:sz w:val="18"/>
              </w:rPr>
              <w:t>14th</w:t>
            </w:r>
            <w:r>
              <w:rPr>
                <w:spacing w:val="-5"/>
                <w:sz w:val="18"/>
              </w:rPr>
              <w:t xml:space="preserve"> </w:t>
            </w:r>
            <w:r>
              <w:rPr>
                <w:sz w:val="18"/>
              </w:rPr>
              <w:t>St</w:t>
            </w:r>
            <w:r>
              <w:rPr>
                <w:spacing w:val="-4"/>
                <w:sz w:val="18"/>
              </w:rPr>
              <w:t xml:space="preserve"> </w:t>
            </w:r>
            <w:r>
              <w:rPr>
                <w:sz w:val="18"/>
              </w:rPr>
              <w:t>Mildura (Stage 1)</w:t>
            </w:r>
          </w:p>
        </w:tc>
        <w:tc>
          <w:tcPr>
            <w:tcW w:w="3474" w:type="dxa"/>
            <w:shd w:val="clear" w:color="auto" w:fill="CCE2ED"/>
          </w:tcPr>
          <w:p w14:paraId="663F00CF" w14:textId="77777777" w:rsidR="00141B97" w:rsidRDefault="00911D63">
            <w:pPr>
              <w:pStyle w:val="TableParagraph"/>
              <w:ind w:left="97" w:right="119"/>
              <w:rPr>
                <w:sz w:val="18"/>
              </w:rPr>
            </w:pPr>
            <w:r>
              <w:rPr>
                <w:sz w:val="18"/>
              </w:rPr>
              <w:t>Forecast</w:t>
            </w:r>
            <w:r>
              <w:rPr>
                <w:spacing w:val="-4"/>
                <w:sz w:val="18"/>
              </w:rPr>
              <w:t xml:space="preserve"> </w:t>
            </w:r>
            <w:r>
              <w:rPr>
                <w:sz w:val="18"/>
              </w:rPr>
              <w:t>storage</w:t>
            </w:r>
            <w:r>
              <w:rPr>
                <w:spacing w:val="-4"/>
                <w:sz w:val="18"/>
              </w:rPr>
              <w:t xml:space="preserve"> </w:t>
            </w:r>
            <w:r>
              <w:rPr>
                <w:sz w:val="18"/>
              </w:rPr>
              <w:t>shortfall</w:t>
            </w:r>
            <w:r>
              <w:rPr>
                <w:spacing w:val="-4"/>
                <w:sz w:val="18"/>
              </w:rPr>
              <w:t xml:space="preserve"> </w:t>
            </w:r>
            <w:r>
              <w:rPr>
                <w:sz w:val="18"/>
              </w:rPr>
              <w:t>at</w:t>
            </w:r>
            <w:r>
              <w:rPr>
                <w:spacing w:val="-4"/>
                <w:sz w:val="18"/>
              </w:rPr>
              <w:t xml:space="preserve"> </w:t>
            </w:r>
            <w:r>
              <w:rPr>
                <w:sz w:val="18"/>
              </w:rPr>
              <w:t>end</w:t>
            </w:r>
            <w:r>
              <w:rPr>
                <w:spacing w:val="-4"/>
                <w:sz w:val="18"/>
              </w:rPr>
              <w:t xml:space="preserve"> </w:t>
            </w:r>
            <w:r>
              <w:rPr>
                <w:sz w:val="18"/>
              </w:rPr>
              <w:t>of</w:t>
            </w:r>
            <w:r>
              <w:rPr>
                <w:spacing w:val="-3"/>
                <w:sz w:val="18"/>
              </w:rPr>
              <w:t xml:space="preserve"> </w:t>
            </w:r>
            <w:r>
              <w:rPr>
                <w:sz w:val="18"/>
              </w:rPr>
              <w:t>PS5 period, reducing security of supply.</w:t>
            </w:r>
          </w:p>
          <w:p w14:paraId="1A0EE170" w14:textId="77777777" w:rsidR="00141B97" w:rsidRDefault="00911D63">
            <w:pPr>
              <w:pStyle w:val="TableParagraph"/>
              <w:ind w:left="97" w:right="119"/>
              <w:rPr>
                <w:sz w:val="18"/>
              </w:rPr>
            </w:pPr>
            <w:r>
              <w:rPr>
                <w:sz w:val="18"/>
              </w:rPr>
              <w:t>Additional storage delayed until WP6. Upgrade</w:t>
            </w:r>
            <w:r>
              <w:rPr>
                <w:spacing w:val="-3"/>
                <w:sz w:val="18"/>
              </w:rPr>
              <w:t xml:space="preserve"> </w:t>
            </w:r>
            <w:r>
              <w:rPr>
                <w:sz w:val="18"/>
              </w:rPr>
              <w:t>of</w:t>
            </w:r>
            <w:r>
              <w:rPr>
                <w:spacing w:val="-2"/>
                <w:sz w:val="18"/>
              </w:rPr>
              <w:t xml:space="preserve"> </w:t>
            </w:r>
            <w:r>
              <w:rPr>
                <w:sz w:val="18"/>
              </w:rPr>
              <w:t>electrical</w:t>
            </w:r>
            <w:r>
              <w:rPr>
                <w:spacing w:val="-3"/>
                <w:sz w:val="18"/>
              </w:rPr>
              <w:t xml:space="preserve"> </w:t>
            </w:r>
            <w:r>
              <w:rPr>
                <w:sz w:val="18"/>
              </w:rPr>
              <w:t>assets</w:t>
            </w:r>
            <w:r>
              <w:rPr>
                <w:spacing w:val="-2"/>
                <w:sz w:val="18"/>
              </w:rPr>
              <w:t xml:space="preserve"> </w:t>
            </w:r>
            <w:r>
              <w:rPr>
                <w:sz w:val="18"/>
              </w:rPr>
              <w:t>at</w:t>
            </w:r>
            <w:r>
              <w:rPr>
                <w:spacing w:val="-3"/>
                <w:sz w:val="18"/>
              </w:rPr>
              <w:t xml:space="preserve"> </w:t>
            </w:r>
            <w:r>
              <w:rPr>
                <w:sz w:val="18"/>
              </w:rPr>
              <w:t>existing</w:t>
            </w:r>
            <w:r>
              <w:rPr>
                <w:spacing w:val="-3"/>
                <w:sz w:val="18"/>
              </w:rPr>
              <w:t xml:space="preserve"> </w:t>
            </w:r>
            <w:r>
              <w:rPr>
                <w:sz w:val="18"/>
              </w:rPr>
              <w:t>re</w:t>
            </w:r>
            <w:r>
              <w:rPr>
                <w:spacing w:val="-3"/>
                <w:sz w:val="18"/>
              </w:rPr>
              <w:t xml:space="preserve"> </w:t>
            </w:r>
            <w:r>
              <w:rPr>
                <w:sz w:val="18"/>
              </w:rPr>
              <w:t>lift pump station required in PS5 due to</w:t>
            </w:r>
          </w:p>
          <w:p w14:paraId="47EB502B" w14:textId="77777777" w:rsidR="00141B97" w:rsidRDefault="00911D63">
            <w:pPr>
              <w:pStyle w:val="TableParagraph"/>
              <w:spacing w:line="199" w:lineRule="exact"/>
              <w:ind w:left="97"/>
              <w:rPr>
                <w:sz w:val="18"/>
              </w:rPr>
            </w:pPr>
            <w:r>
              <w:rPr>
                <w:spacing w:val="-2"/>
                <w:sz w:val="18"/>
              </w:rPr>
              <w:t>condition.</w:t>
            </w:r>
          </w:p>
        </w:tc>
        <w:tc>
          <w:tcPr>
            <w:tcW w:w="954" w:type="dxa"/>
            <w:shd w:val="clear" w:color="auto" w:fill="CCE2ED"/>
          </w:tcPr>
          <w:p w14:paraId="296F4A3A" w14:textId="77777777" w:rsidR="00141B97" w:rsidRDefault="00141B97">
            <w:pPr>
              <w:pStyle w:val="TableParagraph"/>
              <w:rPr>
                <w:sz w:val="18"/>
              </w:rPr>
            </w:pPr>
          </w:p>
          <w:p w14:paraId="2D7F6D49" w14:textId="77777777" w:rsidR="00141B97" w:rsidRDefault="00141B97">
            <w:pPr>
              <w:pStyle w:val="TableParagraph"/>
              <w:spacing w:before="11"/>
              <w:rPr>
                <w:sz w:val="26"/>
              </w:rPr>
            </w:pPr>
          </w:p>
          <w:p w14:paraId="0C9057AC" w14:textId="77777777" w:rsidR="00141B97" w:rsidRDefault="00911D63">
            <w:pPr>
              <w:pStyle w:val="TableParagraph"/>
              <w:spacing w:before="1"/>
              <w:ind w:left="114" w:right="115"/>
              <w:jc w:val="center"/>
              <w:rPr>
                <w:sz w:val="18"/>
              </w:rPr>
            </w:pPr>
            <w:r>
              <w:rPr>
                <w:spacing w:val="-4"/>
                <w:sz w:val="18"/>
              </w:rPr>
              <w:t>1.11</w:t>
            </w:r>
          </w:p>
        </w:tc>
        <w:tc>
          <w:tcPr>
            <w:tcW w:w="1224" w:type="dxa"/>
            <w:shd w:val="clear" w:color="auto" w:fill="CCE2ED"/>
          </w:tcPr>
          <w:p w14:paraId="18802645" w14:textId="77777777" w:rsidR="00141B97" w:rsidRDefault="00141B97">
            <w:pPr>
              <w:pStyle w:val="TableParagraph"/>
              <w:rPr>
                <w:sz w:val="18"/>
              </w:rPr>
            </w:pPr>
          </w:p>
          <w:p w14:paraId="0748F52B" w14:textId="77777777" w:rsidR="00141B97" w:rsidRDefault="00141B97">
            <w:pPr>
              <w:pStyle w:val="TableParagraph"/>
              <w:spacing w:before="11"/>
              <w:rPr>
                <w:sz w:val="26"/>
              </w:rPr>
            </w:pPr>
          </w:p>
          <w:p w14:paraId="14F22CC5" w14:textId="77777777" w:rsidR="00141B97" w:rsidRDefault="00911D63">
            <w:pPr>
              <w:pStyle w:val="TableParagraph"/>
              <w:spacing w:before="1"/>
              <w:ind w:left="125" w:right="126"/>
              <w:jc w:val="center"/>
              <w:rPr>
                <w:sz w:val="18"/>
              </w:rPr>
            </w:pPr>
            <w:r>
              <w:rPr>
                <w:sz w:val="18"/>
              </w:rPr>
              <w:t>Urban</w:t>
            </w:r>
            <w:r>
              <w:rPr>
                <w:spacing w:val="-1"/>
                <w:sz w:val="18"/>
              </w:rPr>
              <w:t xml:space="preserve"> </w:t>
            </w:r>
            <w:r>
              <w:rPr>
                <w:spacing w:val="-2"/>
                <w:sz w:val="18"/>
              </w:rPr>
              <w:t>Water</w:t>
            </w:r>
          </w:p>
        </w:tc>
        <w:tc>
          <w:tcPr>
            <w:tcW w:w="1351" w:type="dxa"/>
            <w:tcBorders>
              <w:right w:val="nil"/>
            </w:tcBorders>
            <w:shd w:val="clear" w:color="auto" w:fill="CCE2ED"/>
          </w:tcPr>
          <w:p w14:paraId="29AC333F" w14:textId="77777777" w:rsidR="00141B97" w:rsidRDefault="00141B97">
            <w:pPr>
              <w:pStyle w:val="TableParagraph"/>
              <w:rPr>
                <w:sz w:val="18"/>
              </w:rPr>
            </w:pPr>
          </w:p>
          <w:p w14:paraId="4E36BBC5" w14:textId="77777777" w:rsidR="00141B97" w:rsidRDefault="00141B97">
            <w:pPr>
              <w:pStyle w:val="TableParagraph"/>
              <w:spacing w:before="4"/>
              <w:rPr>
                <w:sz w:val="26"/>
              </w:rPr>
            </w:pPr>
          </w:p>
          <w:p w14:paraId="24CE6423" w14:textId="77777777" w:rsidR="00141B97" w:rsidRDefault="00911D63">
            <w:pPr>
              <w:pStyle w:val="TableParagraph"/>
              <w:ind w:left="111" w:right="105"/>
              <w:jc w:val="center"/>
              <w:rPr>
                <w:sz w:val="18"/>
              </w:rPr>
            </w:pPr>
            <w:r>
              <w:rPr>
                <w:spacing w:val="-2"/>
                <w:sz w:val="18"/>
              </w:rPr>
              <w:t>Renewals</w:t>
            </w:r>
          </w:p>
        </w:tc>
      </w:tr>
      <w:tr w:rsidR="00141B97" w14:paraId="5CC999DB" w14:textId="77777777">
        <w:trPr>
          <w:trHeight w:val="659"/>
          <w:tblCellSpacing w:w="9" w:type="dxa"/>
        </w:trPr>
        <w:tc>
          <w:tcPr>
            <w:tcW w:w="523" w:type="dxa"/>
            <w:tcBorders>
              <w:left w:val="nil"/>
            </w:tcBorders>
            <w:shd w:val="clear" w:color="auto" w:fill="CCE2ED"/>
          </w:tcPr>
          <w:p w14:paraId="7F0ED8D2" w14:textId="77777777" w:rsidR="00141B97" w:rsidRDefault="00911D63">
            <w:pPr>
              <w:pStyle w:val="TableParagraph"/>
              <w:spacing w:before="1"/>
              <w:ind w:left="88"/>
              <w:rPr>
                <w:sz w:val="18"/>
              </w:rPr>
            </w:pPr>
            <w:r>
              <w:rPr>
                <w:sz w:val="18"/>
              </w:rPr>
              <w:t>4</w:t>
            </w:r>
          </w:p>
        </w:tc>
        <w:tc>
          <w:tcPr>
            <w:tcW w:w="2215" w:type="dxa"/>
            <w:shd w:val="clear" w:color="auto" w:fill="CCE2ED"/>
          </w:tcPr>
          <w:p w14:paraId="77A0DE6E" w14:textId="77777777" w:rsidR="00141B97" w:rsidRDefault="00911D63">
            <w:pPr>
              <w:pStyle w:val="TableParagraph"/>
              <w:spacing w:line="220" w:lineRule="atLeast"/>
              <w:ind w:left="98" w:right="181"/>
              <w:rPr>
                <w:sz w:val="18"/>
              </w:rPr>
            </w:pPr>
            <w:r>
              <w:rPr>
                <w:sz w:val="18"/>
              </w:rPr>
              <w:t>Improving</w:t>
            </w:r>
            <w:r>
              <w:rPr>
                <w:spacing w:val="-6"/>
                <w:sz w:val="18"/>
              </w:rPr>
              <w:t xml:space="preserve"> </w:t>
            </w:r>
            <w:r>
              <w:rPr>
                <w:sz w:val="18"/>
              </w:rPr>
              <w:t>level</w:t>
            </w:r>
            <w:r>
              <w:rPr>
                <w:spacing w:val="-6"/>
                <w:sz w:val="18"/>
              </w:rPr>
              <w:t xml:space="preserve"> </w:t>
            </w:r>
            <w:r>
              <w:rPr>
                <w:sz w:val="18"/>
              </w:rPr>
              <w:t>of</w:t>
            </w:r>
            <w:r>
              <w:rPr>
                <w:spacing w:val="-5"/>
                <w:sz w:val="18"/>
              </w:rPr>
              <w:t xml:space="preserve"> </w:t>
            </w:r>
            <w:r>
              <w:rPr>
                <w:sz w:val="18"/>
              </w:rPr>
              <w:t>service (Pressure) in Red Cliffs Water Distribution</w:t>
            </w:r>
          </w:p>
        </w:tc>
        <w:tc>
          <w:tcPr>
            <w:tcW w:w="3474" w:type="dxa"/>
            <w:shd w:val="clear" w:color="auto" w:fill="CCE2ED"/>
          </w:tcPr>
          <w:p w14:paraId="718222C3" w14:textId="77777777" w:rsidR="00141B97" w:rsidRDefault="00911D63">
            <w:pPr>
              <w:pStyle w:val="TableParagraph"/>
              <w:spacing w:before="1"/>
              <w:ind w:left="97"/>
              <w:rPr>
                <w:sz w:val="18"/>
              </w:rPr>
            </w:pPr>
            <w:r>
              <w:rPr>
                <w:sz w:val="18"/>
              </w:rPr>
              <w:t>Direct</w:t>
            </w:r>
            <w:r>
              <w:rPr>
                <w:spacing w:val="-3"/>
                <w:sz w:val="18"/>
              </w:rPr>
              <w:t xml:space="preserve"> </w:t>
            </w:r>
            <w:r>
              <w:rPr>
                <w:sz w:val="18"/>
              </w:rPr>
              <w:t>response</w:t>
            </w:r>
            <w:r>
              <w:rPr>
                <w:spacing w:val="-3"/>
                <w:sz w:val="18"/>
              </w:rPr>
              <w:t xml:space="preserve"> </w:t>
            </w:r>
            <w:r>
              <w:rPr>
                <w:sz w:val="18"/>
              </w:rPr>
              <w:t>to</w:t>
            </w:r>
            <w:r>
              <w:rPr>
                <w:spacing w:val="-3"/>
                <w:sz w:val="18"/>
              </w:rPr>
              <w:t xml:space="preserve"> </w:t>
            </w:r>
            <w:r>
              <w:rPr>
                <w:sz w:val="18"/>
              </w:rPr>
              <w:t>customer</w:t>
            </w:r>
            <w:r>
              <w:rPr>
                <w:spacing w:val="-2"/>
                <w:sz w:val="18"/>
              </w:rPr>
              <w:t xml:space="preserve"> engagement</w:t>
            </w:r>
          </w:p>
        </w:tc>
        <w:tc>
          <w:tcPr>
            <w:tcW w:w="954" w:type="dxa"/>
            <w:shd w:val="clear" w:color="auto" w:fill="CCE2ED"/>
          </w:tcPr>
          <w:p w14:paraId="287C75F9" w14:textId="77777777" w:rsidR="00141B97" w:rsidRDefault="00141B97">
            <w:pPr>
              <w:pStyle w:val="TableParagraph"/>
              <w:rPr>
                <w:sz w:val="18"/>
              </w:rPr>
            </w:pPr>
          </w:p>
          <w:p w14:paraId="49C690EC" w14:textId="77777777" w:rsidR="00141B97" w:rsidRDefault="00911D63">
            <w:pPr>
              <w:pStyle w:val="TableParagraph"/>
              <w:spacing w:before="1"/>
              <w:ind w:left="114" w:right="115"/>
              <w:jc w:val="center"/>
              <w:rPr>
                <w:sz w:val="18"/>
              </w:rPr>
            </w:pPr>
            <w:r>
              <w:rPr>
                <w:spacing w:val="-4"/>
                <w:sz w:val="18"/>
              </w:rPr>
              <w:t>9.41</w:t>
            </w:r>
          </w:p>
        </w:tc>
        <w:tc>
          <w:tcPr>
            <w:tcW w:w="1224" w:type="dxa"/>
            <w:shd w:val="clear" w:color="auto" w:fill="CCE2ED"/>
          </w:tcPr>
          <w:p w14:paraId="61B281CD" w14:textId="77777777" w:rsidR="00141B97" w:rsidRDefault="00141B97">
            <w:pPr>
              <w:pStyle w:val="TableParagraph"/>
              <w:rPr>
                <w:sz w:val="18"/>
              </w:rPr>
            </w:pPr>
          </w:p>
          <w:p w14:paraId="182A8E09" w14:textId="77777777" w:rsidR="00141B97" w:rsidRDefault="00911D63">
            <w:pPr>
              <w:pStyle w:val="TableParagraph"/>
              <w:spacing w:before="1"/>
              <w:ind w:left="125" w:right="126"/>
              <w:jc w:val="center"/>
              <w:rPr>
                <w:sz w:val="18"/>
              </w:rPr>
            </w:pPr>
            <w:r>
              <w:rPr>
                <w:sz w:val="18"/>
              </w:rPr>
              <w:t>Urban</w:t>
            </w:r>
            <w:r>
              <w:rPr>
                <w:spacing w:val="-1"/>
                <w:sz w:val="18"/>
              </w:rPr>
              <w:t xml:space="preserve"> </w:t>
            </w:r>
            <w:r>
              <w:rPr>
                <w:spacing w:val="-2"/>
                <w:sz w:val="18"/>
              </w:rPr>
              <w:t>Water</w:t>
            </w:r>
          </w:p>
        </w:tc>
        <w:tc>
          <w:tcPr>
            <w:tcW w:w="1351" w:type="dxa"/>
            <w:tcBorders>
              <w:right w:val="nil"/>
            </w:tcBorders>
            <w:shd w:val="clear" w:color="auto" w:fill="CCE2ED"/>
          </w:tcPr>
          <w:p w14:paraId="3397ACB6" w14:textId="77777777" w:rsidR="00141B97" w:rsidRDefault="00911D63">
            <w:pPr>
              <w:pStyle w:val="TableParagraph"/>
              <w:spacing w:before="1"/>
              <w:ind w:left="254" w:hanging="147"/>
              <w:rPr>
                <w:sz w:val="18"/>
              </w:rPr>
            </w:pPr>
            <w:r>
              <w:rPr>
                <w:spacing w:val="-2"/>
                <w:sz w:val="18"/>
              </w:rPr>
              <w:t>Improvements/</w:t>
            </w:r>
            <w:r>
              <w:rPr>
                <w:sz w:val="18"/>
              </w:rPr>
              <w:t xml:space="preserve"> </w:t>
            </w:r>
            <w:r>
              <w:rPr>
                <w:spacing w:val="-2"/>
                <w:sz w:val="18"/>
              </w:rPr>
              <w:t>compliance</w:t>
            </w:r>
          </w:p>
        </w:tc>
      </w:tr>
      <w:tr w:rsidR="00141B97" w14:paraId="1D706F2B" w14:textId="77777777">
        <w:trPr>
          <w:trHeight w:val="523"/>
          <w:tblCellSpacing w:w="9" w:type="dxa"/>
        </w:trPr>
        <w:tc>
          <w:tcPr>
            <w:tcW w:w="523" w:type="dxa"/>
            <w:tcBorders>
              <w:left w:val="nil"/>
            </w:tcBorders>
            <w:shd w:val="clear" w:color="auto" w:fill="CCE2ED"/>
          </w:tcPr>
          <w:p w14:paraId="3D205B4C" w14:textId="77777777" w:rsidR="00141B97" w:rsidRDefault="00911D63">
            <w:pPr>
              <w:pStyle w:val="TableParagraph"/>
              <w:ind w:left="88"/>
              <w:rPr>
                <w:sz w:val="18"/>
              </w:rPr>
            </w:pPr>
            <w:r>
              <w:rPr>
                <w:sz w:val="18"/>
              </w:rPr>
              <w:t>5</w:t>
            </w:r>
          </w:p>
        </w:tc>
        <w:tc>
          <w:tcPr>
            <w:tcW w:w="2215" w:type="dxa"/>
            <w:shd w:val="clear" w:color="auto" w:fill="CCE2ED"/>
          </w:tcPr>
          <w:p w14:paraId="1D5B4C4D" w14:textId="77777777" w:rsidR="00141B97" w:rsidRDefault="00911D63">
            <w:pPr>
              <w:pStyle w:val="TableParagraph"/>
              <w:ind w:left="98"/>
              <w:rPr>
                <w:sz w:val="18"/>
              </w:rPr>
            </w:pPr>
            <w:r>
              <w:rPr>
                <w:sz w:val="18"/>
              </w:rPr>
              <w:t>New Swan Hill water treatment</w:t>
            </w:r>
            <w:r>
              <w:rPr>
                <w:spacing w:val="-7"/>
                <w:sz w:val="18"/>
              </w:rPr>
              <w:t xml:space="preserve"> </w:t>
            </w:r>
            <w:r>
              <w:rPr>
                <w:sz w:val="18"/>
              </w:rPr>
              <w:t>plant</w:t>
            </w:r>
            <w:r>
              <w:rPr>
                <w:spacing w:val="-7"/>
                <w:sz w:val="18"/>
              </w:rPr>
              <w:t xml:space="preserve"> </w:t>
            </w:r>
            <w:r>
              <w:rPr>
                <w:sz w:val="18"/>
              </w:rPr>
              <w:t>(Stage</w:t>
            </w:r>
            <w:r>
              <w:rPr>
                <w:spacing w:val="-6"/>
                <w:sz w:val="18"/>
              </w:rPr>
              <w:t xml:space="preserve"> </w:t>
            </w:r>
            <w:r>
              <w:rPr>
                <w:sz w:val="18"/>
              </w:rPr>
              <w:t>1)</w:t>
            </w:r>
          </w:p>
        </w:tc>
        <w:tc>
          <w:tcPr>
            <w:tcW w:w="3474" w:type="dxa"/>
            <w:shd w:val="clear" w:color="auto" w:fill="CCE2ED"/>
          </w:tcPr>
          <w:p w14:paraId="528AE9B5" w14:textId="77777777" w:rsidR="00141B97" w:rsidRDefault="00911D63">
            <w:pPr>
              <w:pStyle w:val="TableParagraph"/>
              <w:ind w:left="97"/>
              <w:rPr>
                <w:sz w:val="18"/>
              </w:rPr>
            </w:pPr>
            <w:r>
              <w:rPr>
                <w:sz w:val="18"/>
              </w:rPr>
              <w:t>Uncertain</w:t>
            </w:r>
            <w:r>
              <w:rPr>
                <w:spacing w:val="-1"/>
                <w:sz w:val="18"/>
              </w:rPr>
              <w:t xml:space="preserve"> </w:t>
            </w:r>
            <w:r>
              <w:rPr>
                <w:spacing w:val="-2"/>
                <w:sz w:val="18"/>
              </w:rPr>
              <w:t>project.</w:t>
            </w:r>
          </w:p>
          <w:p w14:paraId="3634A663" w14:textId="77777777" w:rsidR="00141B97" w:rsidRDefault="00911D63">
            <w:pPr>
              <w:pStyle w:val="TableParagraph"/>
              <w:ind w:left="97"/>
              <w:rPr>
                <w:sz w:val="18"/>
              </w:rPr>
            </w:pPr>
            <w:r>
              <w:rPr>
                <w:sz w:val="18"/>
              </w:rPr>
              <w:t>Allowance</w:t>
            </w:r>
            <w:r>
              <w:rPr>
                <w:spacing w:val="-2"/>
                <w:sz w:val="18"/>
              </w:rPr>
              <w:t xml:space="preserve"> </w:t>
            </w:r>
            <w:r>
              <w:rPr>
                <w:sz w:val="18"/>
              </w:rPr>
              <w:t>for</w:t>
            </w:r>
            <w:r>
              <w:rPr>
                <w:spacing w:val="-1"/>
                <w:sz w:val="18"/>
              </w:rPr>
              <w:t xml:space="preserve"> </w:t>
            </w:r>
            <w:r>
              <w:rPr>
                <w:sz w:val="18"/>
              </w:rPr>
              <w:t>planning</w:t>
            </w:r>
            <w:r>
              <w:rPr>
                <w:spacing w:val="-3"/>
                <w:sz w:val="18"/>
              </w:rPr>
              <w:t xml:space="preserve"> </w:t>
            </w:r>
            <w:r>
              <w:rPr>
                <w:sz w:val="18"/>
              </w:rPr>
              <w:t>and</w:t>
            </w:r>
            <w:r>
              <w:rPr>
                <w:spacing w:val="-1"/>
                <w:sz w:val="18"/>
              </w:rPr>
              <w:t xml:space="preserve"> </w:t>
            </w:r>
            <w:r>
              <w:rPr>
                <w:sz w:val="18"/>
              </w:rPr>
              <w:t>design</w:t>
            </w:r>
            <w:r>
              <w:rPr>
                <w:spacing w:val="-1"/>
                <w:sz w:val="18"/>
              </w:rPr>
              <w:t xml:space="preserve"> </w:t>
            </w:r>
            <w:r>
              <w:rPr>
                <w:spacing w:val="-2"/>
                <w:sz w:val="18"/>
              </w:rPr>
              <w:t>activities.</w:t>
            </w:r>
          </w:p>
        </w:tc>
        <w:tc>
          <w:tcPr>
            <w:tcW w:w="954" w:type="dxa"/>
            <w:shd w:val="clear" w:color="auto" w:fill="CCE2ED"/>
          </w:tcPr>
          <w:p w14:paraId="1CDFF171" w14:textId="77777777" w:rsidR="00141B97" w:rsidRDefault="00911D63">
            <w:pPr>
              <w:pStyle w:val="TableParagraph"/>
              <w:spacing w:before="152"/>
              <w:ind w:left="114" w:right="115"/>
              <w:jc w:val="center"/>
              <w:rPr>
                <w:sz w:val="18"/>
              </w:rPr>
            </w:pPr>
            <w:r>
              <w:rPr>
                <w:spacing w:val="-4"/>
                <w:sz w:val="18"/>
              </w:rPr>
              <w:t>1.00</w:t>
            </w:r>
          </w:p>
        </w:tc>
        <w:tc>
          <w:tcPr>
            <w:tcW w:w="1224" w:type="dxa"/>
            <w:shd w:val="clear" w:color="auto" w:fill="CCE2ED"/>
          </w:tcPr>
          <w:p w14:paraId="563E4ED8" w14:textId="77777777" w:rsidR="00141B97" w:rsidRDefault="00911D63">
            <w:pPr>
              <w:pStyle w:val="TableParagraph"/>
              <w:spacing w:before="152"/>
              <w:ind w:left="125" w:right="126"/>
              <w:jc w:val="center"/>
              <w:rPr>
                <w:sz w:val="18"/>
              </w:rPr>
            </w:pPr>
            <w:r>
              <w:rPr>
                <w:sz w:val="18"/>
              </w:rPr>
              <w:t>Urban</w:t>
            </w:r>
            <w:r>
              <w:rPr>
                <w:spacing w:val="-1"/>
                <w:sz w:val="18"/>
              </w:rPr>
              <w:t xml:space="preserve"> </w:t>
            </w:r>
            <w:r>
              <w:rPr>
                <w:spacing w:val="-2"/>
                <w:sz w:val="18"/>
              </w:rPr>
              <w:t>Water</w:t>
            </w:r>
          </w:p>
        </w:tc>
        <w:tc>
          <w:tcPr>
            <w:tcW w:w="1351" w:type="dxa"/>
            <w:tcBorders>
              <w:right w:val="nil"/>
            </w:tcBorders>
            <w:shd w:val="clear" w:color="auto" w:fill="CCE2ED"/>
          </w:tcPr>
          <w:p w14:paraId="2F63A9A8" w14:textId="77777777" w:rsidR="00141B97" w:rsidRDefault="00911D63">
            <w:pPr>
              <w:pStyle w:val="TableParagraph"/>
              <w:spacing w:before="145"/>
              <w:ind w:left="112" w:right="105"/>
              <w:jc w:val="center"/>
              <w:rPr>
                <w:sz w:val="18"/>
              </w:rPr>
            </w:pPr>
            <w:r>
              <w:rPr>
                <w:spacing w:val="-2"/>
                <w:sz w:val="18"/>
              </w:rPr>
              <w:t>Growth</w:t>
            </w:r>
          </w:p>
        </w:tc>
      </w:tr>
      <w:tr w:rsidR="00141B97" w14:paraId="46AD456C" w14:textId="77777777">
        <w:trPr>
          <w:trHeight w:val="659"/>
          <w:tblCellSpacing w:w="9" w:type="dxa"/>
        </w:trPr>
        <w:tc>
          <w:tcPr>
            <w:tcW w:w="523" w:type="dxa"/>
            <w:tcBorders>
              <w:left w:val="nil"/>
            </w:tcBorders>
            <w:shd w:val="clear" w:color="auto" w:fill="CCE2ED"/>
          </w:tcPr>
          <w:p w14:paraId="7D6595FD" w14:textId="77777777" w:rsidR="00141B97" w:rsidRDefault="00911D63">
            <w:pPr>
              <w:pStyle w:val="TableParagraph"/>
              <w:spacing w:before="1"/>
              <w:ind w:left="88"/>
              <w:rPr>
                <w:sz w:val="18"/>
              </w:rPr>
            </w:pPr>
            <w:r>
              <w:rPr>
                <w:sz w:val="18"/>
              </w:rPr>
              <w:t>6</w:t>
            </w:r>
          </w:p>
        </w:tc>
        <w:tc>
          <w:tcPr>
            <w:tcW w:w="2215" w:type="dxa"/>
            <w:shd w:val="clear" w:color="auto" w:fill="CCE2ED"/>
          </w:tcPr>
          <w:p w14:paraId="3D381527" w14:textId="77777777" w:rsidR="00141B97" w:rsidRDefault="00911D63">
            <w:pPr>
              <w:pStyle w:val="TableParagraph"/>
              <w:spacing w:before="1"/>
              <w:ind w:left="98" w:right="181"/>
              <w:rPr>
                <w:sz w:val="18"/>
              </w:rPr>
            </w:pPr>
            <w:r>
              <w:rPr>
                <w:sz w:val="18"/>
              </w:rPr>
              <w:t>Wet</w:t>
            </w:r>
            <w:r>
              <w:rPr>
                <w:spacing w:val="-7"/>
                <w:sz w:val="18"/>
              </w:rPr>
              <w:t xml:space="preserve"> </w:t>
            </w:r>
            <w:r>
              <w:rPr>
                <w:sz w:val="18"/>
              </w:rPr>
              <w:t>Weather</w:t>
            </w:r>
            <w:r>
              <w:rPr>
                <w:spacing w:val="-6"/>
                <w:sz w:val="18"/>
              </w:rPr>
              <w:t xml:space="preserve"> </w:t>
            </w:r>
            <w:r>
              <w:rPr>
                <w:sz w:val="18"/>
              </w:rPr>
              <w:t>Storage</w:t>
            </w:r>
            <w:r>
              <w:rPr>
                <w:spacing w:val="-7"/>
                <w:sz w:val="18"/>
              </w:rPr>
              <w:t xml:space="preserve"> </w:t>
            </w:r>
            <w:r>
              <w:rPr>
                <w:sz w:val="18"/>
              </w:rPr>
              <w:t>for the Koorlong WWTP</w:t>
            </w:r>
          </w:p>
        </w:tc>
        <w:tc>
          <w:tcPr>
            <w:tcW w:w="3474" w:type="dxa"/>
            <w:shd w:val="clear" w:color="auto" w:fill="CCE2ED"/>
          </w:tcPr>
          <w:p w14:paraId="2B9057F4" w14:textId="77777777" w:rsidR="00141B97" w:rsidRDefault="00911D63">
            <w:pPr>
              <w:pStyle w:val="TableParagraph"/>
              <w:spacing w:before="2" w:line="259" w:lineRule="auto"/>
              <w:ind w:left="97" w:right="119"/>
              <w:rPr>
                <w:sz w:val="18"/>
              </w:rPr>
            </w:pPr>
            <w:r>
              <w:rPr>
                <w:sz w:val="18"/>
              </w:rPr>
              <w:t>Meet</w:t>
            </w:r>
            <w:r>
              <w:rPr>
                <w:spacing w:val="-4"/>
                <w:sz w:val="18"/>
              </w:rPr>
              <w:t xml:space="preserve"> </w:t>
            </w:r>
            <w:r>
              <w:rPr>
                <w:sz w:val="18"/>
              </w:rPr>
              <w:t>growth</w:t>
            </w:r>
            <w:r>
              <w:rPr>
                <w:spacing w:val="-3"/>
                <w:sz w:val="18"/>
              </w:rPr>
              <w:t xml:space="preserve"> </w:t>
            </w:r>
            <w:r>
              <w:rPr>
                <w:sz w:val="18"/>
              </w:rPr>
              <w:t>in</w:t>
            </w:r>
            <w:r>
              <w:rPr>
                <w:spacing w:val="-3"/>
                <w:sz w:val="18"/>
              </w:rPr>
              <w:t xml:space="preserve"> </w:t>
            </w:r>
            <w:r>
              <w:rPr>
                <w:sz w:val="18"/>
              </w:rPr>
              <w:t>inflows</w:t>
            </w:r>
            <w:r>
              <w:rPr>
                <w:spacing w:val="-4"/>
                <w:sz w:val="18"/>
              </w:rPr>
              <w:t xml:space="preserve"> </w:t>
            </w:r>
            <w:r>
              <w:rPr>
                <w:sz w:val="18"/>
              </w:rPr>
              <w:t>and</w:t>
            </w:r>
            <w:r>
              <w:rPr>
                <w:spacing w:val="-3"/>
                <w:sz w:val="18"/>
              </w:rPr>
              <w:t xml:space="preserve"> </w:t>
            </w:r>
            <w:r>
              <w:rPr>
                <w:sz w:val="18"/>
              </w:rPr>
              <w:t>90th</w:t>
            </w:r>
            <w:r>
              <w:rPr>
                <w:spacing w:val="-5"/>
                <w:sz w:val="18"/>
              </w:rPr>
              <w:t xml:space="preserve"> </w:t>
            </w:r>
            <w:r>
              <w:rPr>
                <w:sz w:val="18"/>
              </w:rPr>
              <w:t xml:space="preserve">percentile </w:t>
            </w:r>
            <w:r>
              <w:rPr>
                <w:spacing w:val="-2"/>
                <w:sz w:val="18"/>
              </w:rPr>
              <w:t>containment</w:t>
            </w:r>
          </w:p>
        </w:tc>
        <w:tc>
          <w:tcPr>
            <w:tcW w:w="954" w:type="dxa"/>
            <w:shd w:val="clear" w:color="auto" w:fill="CCE2ED"/>
          </w:tcPr>
          <w:p w14:paraId="5B8AFCDD" w14:textId="77777777" w:rsidR="00141B97" w:rsidRDefault="00141B97">
            <w:pPr>
              <w:pStyle w:val="TableParagraph"/>
              <w:rPr>
                <w:sz w:val="18"/>
              </w:rPr>
            </w:pPr>
          </w:p>
          <w:p w14:paraId="7E138039" w14:textId="77777777" w:rsidR="00141B97" w:rsidRDefault="00911D63">
            <w:pPr>
              <w:pStyle w:val="TableParagraph"/>
              <w:spacing w:before="1"/>
              <w:ind w:left="114" w:right="115"/>
              <w:jc w:val="center"/>
              <w:rPr>
                <w:sz w:val="18"/>
              </w:rPr>
            </w:pPr>
            <w:r>
              <w:rPr>
                <w:spacing w:val="-4"/>
                <w:sz w:val="18"/>
              </w:rPr>
              <w:t>6.07</w:t>
            </w:r>
          </w:p>
        </w:tc>
        <w:tc>
          <w:tcPr>
            <w:tcW w:w="1224" w:type="dxa"/>
            <w:shd w:val="clear" w:color="auto" w:fill="CCE2ED"/>
          </w:tcPr>
          <w:p w14:paraId="4D2B1805" w14:textId="77777777" w:rsidR="00141B97" w:rsidRDefault="00911D63">
            <w:pPr>
              <w:pStyle w:val="TableParagraph"/>
              <w:spacing w:before="1"/>
              <w:ind w:left="248" w:firstLine="128"/>
              <w:rPr>
                <w:sz w:val="18"/>
              </w:rPr>
            </w:pPr>
            <w:r>
              <w:rPr>
                <w:spacing w:val="-2"/>
                <w:sz w:val="18"/>
              </w:rPr>
              <w:t>Urban</w:t>
            </w:r>
            <w:r>
              <w:rPr>
                <w:sz w:val="18"/>
              </w:rPr>
              <w:t xml:space="preserve"> </w:t>
            </w:r>
            <w:r>
              <w:rPr>
                <w:spacing w:val="-2"/>
                <w:sz w:val="18"/>
              </w:rPr>
              <w:t>Sewerage</w:t>
            </w:r>
          </w:p>
        </w:tc>
        <w:tc>
          <w:tcPr>
            <w:tcW w:w="1351" w:type="dxa"/>
            <w:tcBorders>
              <w:right w:val="nil"/>
            </w:tcBorders>
            <w:shd w:val="clear" w:color="auto" w:fill="CCE2ED"/>
          </w:tcPr>
          <w:p w14:paraId="094567D6" w14:textId="77777777" w:rsidR="00141B97" w:rsidRDefault="00911D63">
            <w:pPr>
              <w:pStyle w:val="TableParagraph"/>
              <w:spacing w:before="103"/>
              <w:ind w:left="112" w:right="105"/>
              <w:jc w:val="center"/>
              <w:rPr>
                <w:sz w:val="18"/>
              </w:rPr>
            </w:pPr>
            <w:r>
              <w:rPr>
                <w:spacing w:val="-2"/>
                <w:sz w:val="18"/>
              </w:rPr>
              <w:t>Growth</w:t>
            </w:r>
          </w:p>
        </w:tc>
      </w:tr>
      <w:tr w:rsidR="00141B97" w14:paraId="0D04BC47" w14:textId="77777777">
        <w:trPr>
          <w:trHeight w:val="659"/>
          <w:tblCellSpacing w:w="9" w:type="dxa"/>
        </w:trPr>
        <w:tc>
          <w:tcPr>
            <w:tcW w:w="523" w:type="dxa"/>
            <w:tcBorders>
              <w:left w:val="nil"/>
            </w:tcBorders>
            <w:shd w:val="clear" w:color="auto" w:fill="CCE2ED"/>
          </w:tcPr>
          <w:p w14:paraId="004D216C" w14:textId="77777777" w:rsidR="00141B97" w:rsidRDefault="00911D63">
            <w:pPr>
              <w:pStyle w:val="TableParagraph"/>
              <w:spacing w:before="1"/>
              <w:ind w:left="88"/>
              <w:rPr>
                <w:sz w:val="18"/>
              </w:rPr>
            </w:pPr>
            <w:r>
              <w:rPr>
                <w:sz w:val="18"/>
              </w:rPr>
              <w:t>7</w:t>
            </w:r>
          </w:p>
        </w:tc>
        <w:tc>
          <w:tcPr>
            <w:tcW w:w="2215" w:type="dxa"/>
            <w:shd w:val="clear" w:color="auto" w:fill="CCE2ED"/>
          </w:tcPr>
          <w:p w14:paraId="2A07CFE7" w14:textId="77777777" w:rsidR="00141B97" w:rsidRDefault="00911D63">
            <w:pPr>
              <w:pStyle w:val="TableParagraph"/>
              <w:spacing w:before="1"/>
              <w:ind w:left="98" w:right="181"/>
              <w:rPr>
                <w:sz w:val="18"/>
              </w:rPr>
            </w:pPr>
            <w:r>
              <w:rPr>
                <w:sz w:val="18"/>
              </w:rPr>
              <w:t>Koorlong</w:t>
            </w:r>
            <w:r>
              <w:rPr>
                <w:spacing w:val="-9"/>
                <w:sz w:val="18"/>
              </w:rPr>
              <w:t xml:space="preserve"> </w:t>
            </w:r>
            <w:r>
              <w:rPr>
                <w:sz w:val="18"/>
              </w:rPr>
              <w:t>Sewer</w:t>
            </w:r>
            <w:r>
              <w:rPr>
                <w:spacing w:val="-9"/>
                <w:sz w:val="18"/>
              </w:rPr>
              <w:t xml:space="preserve"> </w:t>
            </w:r>
            <w:r>
              <w:rPr>
                <w:sz w:val="18"/>
              </w:rPr>
              <w:t>Rising Main Duplication</w:t>
            </w:r>
          </w:p>
        </w:tc>
        <w:tc>
          <w:tcPr>
            <w:tcW w:w="3474" w:type="dxa"/>
            <w:shd w:val="clear" w:color="auto" w:fill="CCE2ED"/>
          </w:tcPr>
          <w:p w14:paraId="08BF9615" w14:textId="77777777" w:rsidR="00141B97" w:rsidRDefault="00911D63">
            <w:pPr>
              <w:pStyle w:val="TableParagraph"/>
              <w:spacing w:before="1"/>
              <w:ind w:left="97"/>
              <w:rPr>
                <w:sz w:val="18"/>
              </w:rPr>
            </w:pPr>
            <w:r>
              <w:rPr>
                <w:sz w:val="18"/>
              </w:rPr>
              <w:t>Uncertain</w:t>
            </w:r>
            <w:r>
              <w:rPr>
                <w:spacing w:val="-1"/>
                <w:sz w:val="18"/>
              </w:rPr>
              <w:t xml:space="preserve"> </w:t>
            </w:r>
            <w:r>
              <w:rPr>
                <w:spacing w:val="-2"/>
                <w:sz w:val="18"/>
              </w:rPr>
              <w:t>project.</w:t>
            </w:r>
          </w:p>
          <w:p w14:paraId="38ED583B" w14:textId="77777777" w:rsidR="00141B97" w:rsidRDefault="00911D63">
            <w:pPr>
              <w:pStyle w:val="TableParagraph"/>
              <w:ind w:left="97"/>
              <w:rPr>
                <w:sz w:val="18"/>
              </w:rPr>
            </w:pPr>
            <w:r>
              <w:rPr>
                <w:sz w:val="18"/>
              </w:rPr>
              <w:t>Allowance</w:t>
            </w:r>
            <w:r>
              <w:rPr>
                <w:spacing w:val="-2"/>
                <w:sz w:val="18"/>
              </w:rPr>
              <w:t xml:space="preserve"> </w:t>
            </w:r>
            <w:r>
              <w:rPr>
                <w:sz w:val="18"/>
              </w:rPr>
              <w:t>for</w:t>
            </w:r>
            <w:r>
              <w:rPr>
                <w:spacing w:val="-1"/>
                <w:sz w:val="18"/>
              </w:rPr>
              <w:t xml:space="preserve"> </w:t>
            </w:r>
            <w:r>
              <w:rPr>
                <w:sz w:val="18"/>
              </w:rPr>
              <w:t>planning</w:t>
            </w:r>
            <w:r>
              <w:rPr>
                <w:spacing w:val="-3"/>
                <w:sz w:val="18"/>
              </w:rPr>
              <w:t xml:space="preserve"> </w:t>
            </w:r>
            <w:r>
              <w:rPr>
                <w:sz w:val="18"/>
              </w:rPr>
              <w:t>and</w:t>
            </w:r>
            <w:r>
              <w:rPr>
                <w:spacing w:val="-1"/>
                <w:sz w:val="18"/>
              </w:rPr>
              <w:t xml:space="preserve"> </w:t>
            </w:r>
            <w:r>
              <w:rPr>
                <w:sz w:val="18"/>
              </w:rPr>
              <w:t>design</w:t>
            </w:r>
            <w:r>
              <w:rPr>
                <w:spacing w:val="-1"/>
                <w:sz w:val="18"/>
              </w:rPr>
              <w:t xml:space="preserve"> </w:t>
            </w:r>
            <w:r>
              <w:rPr>
                <w:spacing w:val="-2"/>
                <w:sz w:val="18"/>
              </w:rPr>
              <w:t>activities.</w:t>
            </w:r>
          </w:p>
        </w:tc>
        <w:tc>
          <w:tcPr>
            <w:tcW w:w="954" w:type="dxa"/>
            <w:shd w:val="clear" w:color="auto" w:fill="CCE2ED"/>
          </w:tcPr>
          <w:p w14:paraId="045E968B" w14:textId="77777777" w:rsidR="00141B97" w:rsidRDefault="00141B97">
            <w:pPr>
              <w:pStyle w:val="TableParagraph"/>
              <w:rPr>
                <w:sz w:val="18"/>
              </w:rPr>
            </w:pPr>
          </w:p>
          <w:p w14:paraId="3BC2146F" w14:textId="77777777" w:rsidR="00141B97" w:rsidRDefault="00911D63">
            <w:pPr>
              <w:pStyle w:val="TableParagraph"/>
              <w:spacing w:before="1"/>
              <w:ind w:left="114" w:right="115"/>
              <w:jc w:val="center"/>
              <w:rPr>
                <w:sz w:val="18"/>
              </w:rPr>
            </w:pPr>
            <w:r>
              <w:rPr>
                <w:spacing w:val="-4"/>
                <w:sz w:val="18"/>
              </w:rPr>
              <w:t>1.50</w:t>
            </w:r>
          </w:p>
        </w:tc>
        <w:tc>
          <w:tcPr>
            <w:tcW w:w="1224" w:type="dxa"/>
            <w:shd w:val="clear" w:color="auto" w:fill="CCE2ED"/>
          </w:tcPr>
          <w:p w14:paraId="1F96BA2C" w14:textId="77777777" w:rsidR="00141B97" w:rsidRDefault="00911D63">
            <w:pPr>
              <w:pStyle w:val="TableParagraph"/>
              <w:spacing w:before="1"/>
              <w:ind w:left="248" w:firstLine="128"/>
              <w:rPr>
                <w:sz w:val="18"/>
              </w:rPr>
            </w:pPr>
            <w:r>
              <w:rPr>
                <w:spacing w:val="-2"/>
                <w:sz w:val="18"/>
              </w:rPr>
              <w:t>Urban</w:t>
            </w:r>
            <w:r>
              <w:rPr>
                <w:sz w:val="18"/>
              </w:rPr>
              <w:t xml:space="preserve"> </w:t>
            </w:r>
            <w:r>
              <w:rPr>
                <w:spacing w:val="-2"/>
                <w:sz w:val="18"/>
              </w:rPr>
              <w:t>Sewerage</w:t>
            </w:r>
          </w:p>
        </w:tc>
        <w:tc>
          <w:tcPr>
            <w:tcW w:w="1351" w:type="dxa"/>
            <w:tcBorders>
              <w:right w:val="nil"/>
            </w:tcBorders>
            <w:shd w:val="clear" w:color="auto" w:fill="CCE2ED"/>
          </w:tcPr>
          <w:p w14:paraId="7470E746" w14:textId="77777777" w:rsidR="00141B97" w:rsidRDefault="00141B97">
            <w:pPr>
              <w:pStyle w:val="TableParagraph"/>
              <w:rPr>
                <w:sz w:val="18"/>
              </w:rPr>
            </w:pPr>
          </w:p>
          <w:p w14:paraId="2A655899" w14:textId="77777777" w:rsidR="00141B97" w:rsidRDefault="00911D63">
            <w:pPr>
              <w:pStyle w:val="TableParagraph"/>
              <w:spacing w:before="1"/>
              <w:ind w:left="112" w:right="105"/>
              <w:jc w:val="center"/>
              <w:rPr>
                <w:sz w:val="18"/>
              </w:rPr>
            </w:pPr>
            <w:r>
              <w:rPr>
                <w:spacing w:val="-2"/>
                <w:sz w:val="18"/>
              </w:rPr>
              <w:t>Growth</w:t>
            </w:r>
          </w:p>
        </w:tc>
      </w:tr>
      <w:tr w:rsidR="00141B97" w14:paraId="40D893D6" w14:textId="77777777">
        <w:trPr>
          <w:trHeight w:val="659"/>
          <w:tblCellSpacing w:w="9" w:type="dxa"/>
        </w:trPr>
        <w:tc>
          <w:tcPr>
            <w:tcW w:w="523" w:type="dxa"/>
            <w:tcBorders>
              <w:left w:val="nil"/>
            </w:tcBorders>
            <w:shd w:val="clear" w:color="auto" w:fill="CCE2ED"/>
          </w:tcPr>
          <w:p w14:paraId="09B7A957" w14:textId="77777777" w:rsidR="00141B97" w:rsidRDefault="00911D63">
            <w:pPr>
              <w:pStyle w:val="TableParagraph"/>
              <w:spacing w:before="1"/>
              <w:ind w:left="88"/>
              <w:rPr>
                <w:sz w:val="18"/>
              </w:rPr>
            </w:pPr>
            <w:r>
              <w:rPr>
                <w:sz w:val="18"/>
              </w:rPr>
              <w:t>8</w:t>
            </w:r>
          </w:p>
        </w:tc>
        <w:tc>
          <w:tcPr>
            <w:tcW w:w="2215" w:type="dxa"/>
            <w:shd w:val="clear" w:color="auto" w:fill="CCE2ED"/>
          </w:tcPr>
          <w:p w14:paraId="65E83543" w14:textId="77777777" w:rsidR="00141B97" w:rsidRDefault="00911D63">
            <w:pPr>
              <w:pStyle w:val="TableParagraph"/>
              <w:spacing w:before="1"/>
              <w:ind w:left="98" w:right="181"/>
              <w:rPr>
                <w:sz w:val="18"/>
              </w:rPr>
            </w:pPr>
            <w:r>
              <w:rPr>
                <w:sz w:val="18"/>
              </w:rPr>
              <w:t>Customer</w:t>
            </w:r>
            <w:r>
              <w:rPr>
                <w:spacing w:val="-8"/>
                <w:sz w:val="18"/>
              </w:rPr>
              <w:t xml:space="preserve"> </w:t>
            </w:r>
            <w:r>
              <w:rPr>
                <w:sz w:val="18"/>
              </w:rPr>
              <w:t>CRM,</w:t>
            </w:r>
            <w:r>
              <w:rPr>
                <w:spacing w:val="-8"/>
                <w:sz w:val="18"/>
              </w:rPr>
              <w:t xml:space="preserve"> </w:t>
            </w:r>
            <w:r>
              <w:rPr>
                <w:sz w:val="18"/>
              </w:rPr>
              <w:t>portal Phase</w:t>
            </w:r>
            <w:r>
              <w:rPr>
                <w:spacing w:val="-2"/>
                <w:sz w:val="18"/>
              </w:rPr>
              <w:t xml:space="preserve"> </w:t>
            </w:r>
            <w:r>
              <w:rPr>
                <w:sz w:val="18"/>
              </w:rPr>
              <w:t>2</w:t>
            </w:r>
          </w:p>
        </w:tc>
        <w:tc>
          <w:tcPr>
            <w:tcW w:w="3474" w:type="dxa"/>
            <w:shd w:val="clear" w:color="auto" w:fill="CCE2ED"/>
          </w:tcPr>
          <w:p w14:paraId="18503032" w14:textId="77777777" w:rsidR="00141B97" w:rsidRDefault="00911D63">
            <w:pPr>
              <w:pStyle w:val="TableParagraph"/>
              <w:spacing w:before="1"/>
              <w:ind w:left="97" w:right="119"/>
              <w:rPr>
                <w:sz w:val="18"/>
              </w:rPr>
            </w:pPr>
            <w:r>
              <w:rPr>
                <w:sz w:val="18"/>
              </w:rPr>
              <w:t>Process</w:t>
            </w:r>
            <w:r>
              <w:rPr>
                <w:spacing w:val="-4"/>
                <w:sz w:val="18"/>
              </w:rPr>
              <w:t xml:space="preserve"> </w:t>
            </w:r>
            <w:r>
              <w:rPr>
                <w:sz w:val="18"/>
              </w:rPr>
              <w:t>service</w:t>
            </w:r>
            <w:r>
              <w:rPr>
                <w:spacing w:val="-4"/>
                <w:sz w:val="18"/>
              </w:rPr>
              <w:t xml:space="preserve"> </w:t>
            </w:r>
            <w:r>
              <w:rPr>
                <w:sz w:val="18"/>
              </w:rPr>
              <w:t>design</w:t>
            </w:r>
            <w:r>
              <w:rPr>
                <w:spacing w:val="-3"/>
                <w:sz w:val="18"/>
              </w:rPr>
              <w:t xml:space="preserve"> </w:t>
            </w:r>
            <w:r>
              <w:rPr>
                <w:sz w:val="18"/>
              </w:rPr>
              <w:t>&amp;</w:t>
            </w:r>
            <w:r>
              <w:rPr>
                <w:spacing w:val="-3"/>
                <w:sz w:val="18"/>
              </w:rPr>
              <w:t xml:space="preserve"> </w:t>
            </w:r>
            <w:r>
              <w:rPr>
                <w:sz w:val="18"/>
              </w:rPr>
              <w:t>NextGen</w:t>
            </w:r>
            <w:r>
              <w:rPr>
                <w:spacing w:val="-3"/>
                <w:sz w:val="18"/>
              </w:rPr>
              <w:t xml:space="preserve"> </w:t>
            </w:r>
            <w:r>
              <w:rPr>
                <w:sz w:val="18"/>
              </w:rPr>
              <w:t>service catalogue Portal</w:t>
            </w:r>
          </w:p>
        </w:tc>
        <w:tc>
          <w:tcPr>
            <w:tcW w:w="954" w:type="dxa"/>
            <w:shd w:val="clear" w:color="auto" w:fill="CCE2ED"/>
          </w:tcPr>
          <w:p w14:paraId="5755B45F" w14:textId="77777777" w:rsidR="00141B97" w:rsidRDefault="00141B97">
            <w:pPr>
              <w:pStyle w:val="TableParagraph"/>
              <w:rPr>
                <w:sz w:val="18"/>
              </w:rPr>
            </w:pPr>
          </w:p>
          <w:p w14:paraId="0DF581EC" w14:textId="77777777" w:rsidR="00141B97" w:rsidRDefault="00911D63">
            <w:pPr>
              <w:pStyle w:val="TableParagraph"/>
              <w:spacing w:before="1"/>
              <w:ind w:left="114" w:right="115"/>
              <w:jc w:val="center"/>
              <w:rPr>
                <w:sz w:val="18"/>
              </w:rPr>
            </w:pPr>
            <w:r>
              <w:rPr>
                <w:spacing w:val="-4"/>
                <w:sz w:val="18"/>
              </w:rPr>
              <w:t>1.78</w:t>
            </w:r>
          </w:p>
        </w:tc>
        <w:tc>
          <w:tcPr>
            <w:tcW w:w="1224" w:type="dxa"/>
            <w:shd w:val="clear" w:color="auto" w:fill="CCE2ED"/>
          </w:tcPr>
          <w:p w14:paraId="1E85F34F" w14:textId="77777777" w:rsidR="00141B97" w:rsidRDefault="00911D63">
            <w:pPr>
              <w:pStyle w:val="TableParagraph"/>
              <w:spacing w:before="103"/>
              <w:ind w:left="125" w:right="126"/>
              <w:jc w:val="center"/>
              <w:rPr>
                <w:sz w:val="18"/>
              </w:rPr>
            </w:pPr>
            <w:r>
              <w:rPr>
                <w:spacing w:val="-2"/>
                <w:sz w:val="18"/>
              </w:rPr>
              <w:t>Corporate</w:t>
            </w:r>
          </w:p>
        </w:tc>
        <w:tc>
          <w:tcPr>
            <w:tcW w:w="1351" w:type="dxa"/>
            <w:tcBorders>
              <w:right w:val="nil"/>
            </w:tcBorders>
            <w:shd w:val="clear" w:color="auto" w:fill="CCE2ED"/>
          </w:tcPr>
          <w:p w14:paraId="13D3D67F" w14:textId="77777777" w:rsidR="00141B97" w:rsidRDefault="00911D63">
            <w:pPr>
              <w:pStyle w:val="TableParagraph"/>
              <w:spacing w:before="1"/>
              <w:ind w:left="254" w:hanging="147"/>
              <w:rPr>
                <w:sz w:val="18"/>
              </w:rPr>
            </w:pPr>
            <w:r>
              <w:rPr>
                <w:spacing w:val="-2"/>
                <w:sz w:val="18"/>
              </w:rPr>
              <w:t>Improvements/</w:t>
            </w:r>
            <w:r>
              <w:rPr>
                <w:sz w:val="18"/>
              </w:rPr>
              <w:t xml:space="preserve"> </w:t>
            </w:r>
            <w:r>
              <w:rPr>
                <w:spacing w:val="-2"/>
                <w:sz w:val="18"/>
              </w:rPr>
              <w:t>compliance</w:t>
            </w:r>
          </w:p>
        </w:tc>
      </w:tr>
      <w:tr w:rsidR="00141B97" w14:paraId="55D5B750" w14:textId="77777777">
        <w:trPr>
          <w:trHeight w:val="765"/>
          <w:tblCellSpacing w:w="9" w:type="dxa"/>
        </w:trPr>
        <w:tc>
          <w:tcPr>
            <w:tcW w:w="523" w:type="dxa"/>
            <w:tcBorders>
              <w:left w:val="nil"/>
            </w:tcBorders>
            <w:shd w:val="clear" w:color="auto" w:fill="CCE2ED"/>
          </w:tcPr>
          <w:p w14:paraId="4FAC6071" w14:textId="77777777" w:rsidR="00141B97" w:rsidRDefault="00911D63">
            <w:pPr>
              <w:pStyle w:val="TableParagraph"/>
              <w:spacing w:before="1"/>
              <w:ind w:left="88"/>
              <w:rPr>
                <w:sz w:val="18"/>
              </w:rPr>
            </w:pPr>
            <w:r>
              <w:rPr>
                <w:spacing w:val="-5"/>
                <w:sz w:val="18"/>
              </w:rPr>
              <w:t>10</w:t>
            </w:r>
          </w:p>
        </w:tc>
        <w:tc>
          <w:tcPr>
            <w:tcW w:w="2215" w:type="dxa"/>
            <w:shd w:val="clear" w:color="auto" w:fill="CCE2ED"/>
          </w:tcPr>
          <w:p w14:paraId="22FCB7E1" w14:textId="77777777" w:rsidR="00141B97" w:rsidRDefault="00911D63">
            <w:pPr>
              <w:pStyle w:val="TableParagraph"/>
              <w:spacing w:before="1"/>
              <w:ind w:left="98" w:right="181"/>
              <w:rPr>
                <w:sz w:val="18"/>
              </w:rPr>
            </w:pPr>
            <w:r>
              <w:rPr>
                <w:sz w:val="18"/>
              </w:rPr>
              <w:t>Asset</w:t>
            </w:r>
            <w:r>
              <w:rPr>
                <w:spacing w:val="-11"/>
                <w:sz w:val="18"/>
              </w:rPr>
              <w:t xml:space="preserve"> </w:t>
            </w:r>
            <w:r>
              <w:rPr>
                <w:sz w:val="18"/>
              </w:rPr>
              <w:t>Management Platform uplift</w:t>
            </w:r>
          </w:p>
        </w:tc>
        <w:tc>
          <w:tcPr>
            <w:tcW w:w="3474" w:type="dxa"/>
            <w:shd w:val="clear" w:color="auto" w:fill="CCE2ED"/>
          </w:tcPr>
          <w:p w14:paraId="5426EAA2" w14:textId="77777777" w:rsidR="00141B97" w:rsidRDefault="00911D63">
            <w:pPr>
              <w:pStyle w:val="TableParagraph"/>
              <w:spacing w:before="1"/>
              <w:ind w:left="97" w:right="119"/>
              <w:rPr>
                <w:sz w:val="18"/>
              </w:rPr>
            </w:pPr>
            <w:r>
              <w:rPr>
                <w:sz w:val="18"/>
              </w:rPr>
              <w:t>15</w:t>
            </w:r>
            <w:r>
              <w:rPr>
                <w:spacing w:val="-3"/>
                <w:sz w:val="18"/>
              </w:rPr>
              <w:t xml:space="preserve"> </w:t>
            </w:r>
            <w:r>
              <w:rPr>
                <w:sz w:val="18"/>
              </w:rPr>
              <w:t>solution</w:t>
            </w:r>
            <w:r>
              <w:rPr>
                <w:spacing w:val="-4"/>
                <w:sz w:val="18"/>
              </w:rPr>
              <w:t xml:space="preserve"> </w:t>
            </w:r>
            <w:r>
              <w:rPr>
                <w:sz w:val="18"/>
              </w:rPr>
              <w:t>initiatives</w:t>
            </w:r>
            <w:r>
              <w:rPr>
                <w:spacing w:val="-4"/>
                <w:sz w:val="18"/>
              </w:rPr>
              <w:t xml:space="preserve"> </w:t>
            </w:r>
            <w:r>
              <w:rPr>
                <w:sz w:val="18"/>
              </w:rPr>
              <w:t>to</w:t>
            </w:r>
            <w:r>
              <w:rPr>
                <w:spacing w:val="-4"/>
                <w:sz w:val="18"/>
              </w:rPr>
              <w:t xml:space="preserve"> </w:t>
            </w:r>
            <w:r>
              <w:rPr>
                <w:sz w:val="18"/>
              </w:rPr>
              <w:t>automate</w:t>
            </w:r>
            <w:r>
              <w:rPr>
                <w:spacing w:val="-4"/>
                <w:sz w:val="18"/>
              </w:rPr>
              <w:t xml:space="preserve"> </w:t>
            </w:r>
            <w:r>
              <w:rPr>
                <w:sz w:val="18"/>
              </w:rPr>
              <w:t>manage asset lifecycle and work orders.</w:t>
            </w:r>
          </w:p>
        </w:tc>
        <w:tc>
          <w:tcPr>
            <w:tcW w:w="954" w:type="dxa"/>
            <w:shd w:val="clear" w:color="auto" w:fill="CCE2ED"/>
          </w:tcPr>
          <w:p w14:paraId="74043605" w14:textId="77777777" w:rsidR="00141B97" w:rsidRDefault="00141B97">
            <w:pPr>
              <w:pStyle w:val="TableParagraph"/>
              <w:spacing w:before="4"/>
            </w:pPr>
          </w:p>
          <w:p w14:paraId="6099509B" w14:textId="77777777" w:rsidR="00141B97" w:rsidRDefault="00911D63">
            <w:pPr>
              <w:pStyle w:val="TableParagraph"/>
              <w:spacing w:before="1"/>
              <w:ind w:left="114" w:right="115"/>
              <w:jc w:val="center"/>
              <w:rPr>
                <w:sz w:val="18"/>
              </w:rPr>
            </w:pPr>
            <w:r>
              <w:rPr>
                <w:spacing w:val="-4"/>
                <w:sz w:val="18"/>
              </w:rPr>
              <w:t>2.71</w:t>
            </w:r>
          </w:p>
        </w:tc>
        <w:tc>
          <w:tcPr>
            <w:tcW w:w="1224" w:type="dxa"/>
            <w:shd w:val="clear" w:color="auto" w:fill="CCE2ED"/>
          </w:tcPr>
          <w:p w14:paraId="74B62EA2" w14:textId="77777777" w:rsidR="00141B97" w:rsidRDefault="00141B97">
            <w:pPr>
              <w:pStyle w:val="TableParagraph"/>
              <w:spacing w:before="9"/>
              <w:rPr>
                <w:sz w:val="21"/>
              </w:rPr>
            </w:pPr>
          </w:p>
          <w:p w14:paraId="0C280560" w14:textId="77777777" w:rsidR="00141B97" w:rsidRDefault="00911D63">
            <w:pPr>
              <w:pStyle w:val="TableParagraph"/>
              <w:spacing w:before="1"/>
              <w:ind w:left="125" w:right="126"/>
              <w:jc w:val="center"/>
              <w:rPr>
                <w:sz w:val="18"/>
              </w:rPr>
            </w:pPr>
            <w:r>
              <w:rPr>
                <w:spacing w:val="-2"/>
                <w:sz w:val="18"/>
              </w:rPr>
              <w:t>Corporate</w:t>
            </w:r>
          </w:p>
        </w:tc>
        <w:tc>
          <w:tcPr>
            <w:tcW w:w="1351" w:type="dxa"/>
            <w:tcBorders>
              <w:right w:val="nil"/>
            </w:tcBorders>
            <w:shd w:val="clear" w:color="auto" w:fill="CCE2ED"/>
          </w:tcPr>
          <w:p w14:paraId="7662E58D" w14:textId="77777777" w:rsidR="00141B97" w:rsidRDefault="00141B97">
            <w:pPr>
              <w:pStyle w:val="TableParagraph"/>
              <w:spacing w:before="5"/>
              <w:rPr>
                <w:sz w:val="13"/>
              </w:rPr>
            </w:pPr>
          </w:p>
          <w:p w14:paraId="4B0D3C78" w14:textId="77777777" w:rsidR="00141B97" w:rsidRDefault="00911D63">
            <w:pPr>
              <w:pStyle w:val="TableParagraph"/>
              <w:ind w:left="254" w:hanging="147"/>
              <w:rPr>
                <w:sz w:val="18"/>
              </w:rPr>
            </w:pPr>
            <w:r>
              <w:rPr>
                <w:spacing w:val="-2"/>
                <w:sz w:val="18"/>
              </w:rPr>
              <w:t>Improvements/</w:t>
            </w:r>
            <w:r>
              <w:rPr>
                <w:sz w:val="18"/>
              </w:rPr>
              <w:t xml:space="preserve"> </w:t>
            </w:r>
            <w:r>
              <w:rPr>
                <w:spacing w:val="-2"/>
                <w:sz w:val="18"/>
              </w:rPr>
              <w:t>compliance</w:t>
            </w:r>
          </w:p>
        </w:tc>
      </w:tr>
      <w:tr w:rsidR="00141B97" w14:paraId="04868213" w14:textId="77777777">
        <w:trPr>
          <w:trHeight w:val="359"/>
          <w:tblCellSpacing w:w="9" w:type="dxa"/>
        </w:trPr>
        <w:tc>
          <w:tcPr>
            <w:tcW w:w="2738" w:type="dxa"/>
            <w:gridSpan w:val="2"/>
            <w:tcBorders>
              <w:left w:val="nil"/>
              <w:bottom w:val="nil"/>
            </w:tcBorders>
            <w:shd w:val="clear" w:color="auto" w:fill="BFBFBF"/>
          </w:tcPr>
          <w:p w14:paraId="02E64B3D" w14:textId="77777777" w:rsidR="00141B97" w:rsidRDefault="00141B97">
            <w:pPr>
              <w:pStyle w:val="TableParagraph"/>
              <w:rPr>
                <w:rFonts w:ascii="Times New Roman"/>
                <w:sz w:val="18"/>
              </w:rPr>
            </w:pPr>
          </w:p>
        </w:tc>
        <w:tc>
          <w:tcPr>
            <w:tcW w:w="3474" w:type="dxa"/>
            <w:tcBorders>
              <w:bottom w:val="nil"/>
            </w:tcBorders>
            <w:shd w:val="clear" w:color="auto" w:fill="BFBFBF"/>
          </w:tcPr>
          <w:p w14:paraId="57E10819" w14:textId="77777777" w:rsidR="00141B97" w:rsidRDefault="00911D63">
            <w:pPr>
              <w:pStyle w:val="TableParagraph"/>
              <w:spacing w:before="70"/>
              <w:ind w:left="97"/>
              <w:rPr>
                <w:sz w:val="18"/>
              </w:rPr>
            </w:pPr>
            <w:r>
              <w:rPr>
                <w:sz w:val="18"/>
              </w:rPr>
              <w:t>TOTAL</w:t>
            </w:r>
            <w:r>
              <w:rPr>
                <w:spacing w:val="-1"/>
                <w:sz w:val="18"/>
              </w:rPr>
              <w:t xml:space="preserve"> </w:t>
            </w:r>
            <w:r>
              <w:rPr>
                <w:sz w:val="18"/>
              </w:rPr>
              <w:t xml:space="preserve">Top 10 </w:t>
            </w:r>
            <w:r>
              <w:rPr>
                <w:spacing w:val="-2"/>
                <w:sz w:val="18"/>
              </w:rPr>
              <w:t>Urban</w:t>
            </w:r>
          </w:p>
        </w:tc>
        <w:tc>
          <w:tcPr>
            <w:tcW w:w="3529" w:type="dxa"/>
            <w:gridSpan w:val="3"/>
            <w:tcBorders>
              <w:bottom w:val="nil"/>
              <w:right w:val="nil"/>
            </w:tcBorders>
            <w:shd w:val="clear" w:color="auto" w:fill="BFBFBF"/>
          </w:tcPr>
          <w:p w14:paraId="6F0095FA" w14:textId="77777777" w:rsidR="00141B97" w:rsidRDefault="00911D63">
            <w:pPr>
              <w:pStyle w:val="TableParagraph"/>
              <w:spacing w:before="70"/>
              <w:ind w:left="98"/>
              <w:rPr>
                <w:sz w:val="18"/>
              </w:rPr>
            </w:pPr>
            <w:r>
              <w:rPr>
                <w:spacing w:val="-2"/>
                <w:sz w:val="18"/>
              </w:rPr>
              <w:t>35.50</w:t>
            </w:r>
          </w:p>
        </w:tc>
      </w:tr>
    </w:tbl>
    <w:p w14:paraId="3738B5E5" w14:textId="77777777" w:rsidR="00141B97" w:rsidRDefault="00911D63">
      <w:pPr>
        <w:spacing w:before="26"/>
        <w:ind w:left="114"/>
        <w:jc w:val="both"/>
        <w:rPr>
          <w:sz w:val="16"/>
        </w:rPr>
      </w:pPr>
      <w:r>
        <w:rPr>
          <w:sz w:val="16"/>
        </w:rPr>
        <w:t>Table</w:t>
      </w:r>
      <w:r>
        <w:rPr>
          <w:spacing w:val="-4"/>
          <w:sz w:val="16"/>
        </w:rPr>
        <w:t xml:space="preserve"> </w:t>
      </w:r>
      <w:r>
        <w:rPr>
          <w:sz w:val="16"/>
        </w:rPr>
        <w:t>B30:</w:t>
      </w:r>
      <w:r>
        <w:rPr>
          <w:spacing w:val="-6"/>
          <w:sz w:val="16"/>
        </w:rPr>
        <w:t xml:space="preserve"> </w:t>
      </w:r>
      <w:r>
        <w:rPr>
          <w:sz w:val="16"/>
        </w:rPr>
        <w:t>Top</w:t>
      </w:r>
      <w:r>
        <w:rPr>
          <w:spacing w:val="-6"/>
          <w:sz w:val="16"/>
        </w:rPr>
        <w:t xml:space="preserve"> </w:t>
      </w:r>
      <w:r>
        <w:rPr>
          <w:sz w:val="16"/>
        </w:rPr>
        <w:t>Ten</w:t>
      </w:r>
      <w:r>
        <w:rPr>
          <w:spacing w:val="-4"/>
          <w:sz w:val="16"/>
        </w:rPr>
        <w:t xml:space="preserve"> </w:t>
      </w:r>
      <w:r>
        <w:rPr>
          <w:sz w:val="16"/>
        </w:rPr>
        <w:t>Proposed</w:t>
      </w:r>
      <w:r>
        <w:rPr>
          <w:spacing w:val="-5"/>
          <w:sz w:val="16"/>
        </w:rPr>
        <w:t xml:space="preserve"> </w:t>
      </w:r>
      <w:r>
        <w:rPr>
          <w:sz w:val="16"/>
        </w:rPr>
        <w:t>Capital</w:t>
      </w:r>
      <w:r>
        <w:rPr>
          <w:spacing w:val="-5"/>
          <w:sz w:val="16"/>
        </w:rPr>
        <w:t xml:space="preserve"> </w:t>
      </w:r>
      <w:r>
        <w:rPr>
          <w:spacing w:val="-2"/>
          <w:sz w:val="16"/>
        </w:rPr>
        <w:t>Projects</w:t>
      </w:r>
    </w:p>
    <w:p w14:paraId="15A6E55D" w14:textId="77777777" w:rsidR="00141B97" w:rsidRDefault="00141B97">
      <w:pPr>
        <w:jc w:val="both"/>
        <w:rPr>
          <w:sz w:val="16"/>
        </w:rPr>
        <w:sectPr w:rsidR="00141B97">
          <w:pgSz w:w="11910" w:h="16840"/>
          <w:pgMar w:top="1080" w:right="40" w:bottom="760" w:left="1020" w:header="0" w:footer="580" w:gutter="0"/>
          <w:cols w:space="720"/>
        </w:sectPr>
      </w:pPr>
    </w:p>
    <w:p w14:paraId="3EB9EC17" w14:textId="77777777" w:rsidR="00141B97" w:rsidRDefault="00911D63">
      <w:pPr>
        <w:pStyle w:val="BodyText"/>
        <w:spacing w:before="31"/>
        <w:ind w:left="114" w:right="948" w:hanging="1"/>
        <w:jc w:val="both"/>
      </w:pPr>
      <w:r>
        <w:lastRenderedPageBreak/>
        <w:t>Table B31 shows the Major Programs by aggregate cost allocated to the urban business, including corporate programs</w:t>
      </w:r>
      <w:r>
        <w:rPr>
          <w:spacing w:val="-1"/>
        </w:rPr>
        <w:t xml:space="preserve"> </w:t>
      </w:r>
      <w:r>
        <w:t>for heavy/light</w:t>
      </w:r>
      <w:r>
        <w:rPr>
          <w:spacing w:val="-2"/>
        </w:rPr>
        <w:t xml:space="preserve"> </w:t>
      </w:r>
      <w:r>
        <w:t>vehicle, ICT</w:t>
      </w:r>
      <w:r>
        <w:rPr>
          <w:spacing w:val="-1"/>
        </w:rPr>
        <w:t xml:space="preserve"> </w:t>
      </w:r>
      <w:r>
        <w:t>equipment</w:t>
      </w:r>
      <w:r>
        <w:rPr>
          <w:spacing w:val="-1"/>
        </w:rPr>
        <w:t xml:space="preserve"> </w:t>
      </w:r>
      <w:r>
        <w:t>and corporate</w:t>
      </w:r>
      <w:r>
        <w:rPr>
          <w:spacing w:val="-2"/>
        </w:rPr>
        <w:t xml:space="preserve"> </w:t>
      </w:r>
      <w:r>
        <w:t>facilities</w:t>
      </w:r>
      <w:r>
        <w:rPr>
          <w:spacing w:val="-1"/>
        </w:rPr>
        <w:t xml:space="preserve"> </w:t>
      </w:r>
      <w:r>
        <w:t>and</w:t>
      </w:r>
      <w:r>
        <w:rPr>
          <w:spacing w:val="-2"/>
        </w:rPr>
        <w:t xml:space="preserve"> </w:t>
      </w:r>
      <w:r>
        <w:t>buildings.</w:t>
      </w:r>
      <w:r>
        <w:rPr>
          <w:spacing w:val="-1"/>
        </w:rPr>
        <w:t xml:space="preserve"> </w:t>
      </w:r>
      <w:r>
        <w:t>Each</w:t>
      </w:r>
      <w:r>
        <w:rPr>
          <w:spacing w:val="-1"/>
        </w:rPr>
        <w:t xml:space="preserve"> </w:t>
      </w:r>
      <w:r>
        <w:t>of these</w:t>
      </w:r>
      <w:r>
        <w:rPr>
          <w:spacing w:val="-1"/>
        </w:rPr>
        <w:t xml:space="preserve"> </w:t>
      </w:r>
      <w:r>
        <w:t>programs has</w:t>
      </w:r>
      <w:r>
        <w:rPr>
          <w:spacing w:val="-12"/>
        </w:rPr>
        <w:t xml:space="preserve"> </w:t>
      </w:r>
      <w:r>
        <w:t>a</w:t>
      </w:r>
      <w:r>
        <w:rPr>
          <w:spacing w:val="-12"/>
        </w:rPr>
        <w:t xml:space="preserve"> </w:t>
      </w:r>
      <w:r>
        <w:t>Project</w:t>
      </w:r>
      <w:r>
        <w:rPr>
          <w:spacing w:val="-11"/>
        </w:rPr>
        <w:t xml:space="preserve"> </w:t>
      </w:r>
      <w:r>
        <w:t>Briefing</w:t>
      </w:r>
      <w:r>
        <w:rPr>
          <w:spacing w:val="-12"/>
        </w:rPr>
        <w:t xml:space="preserve"> </w:t>
      </w:r>
      <w:r>
        <w:t>Sheet</w:t>
      </w:r>
      <w:r>
        <w:rPr>
          <w:spacing w:val="-12"/>
        </w:rPr>
        <w:t xml:space="preserve"> </w:t>
      </w:r>
      <w:r>
        <w:t>and</w:t>
      </w:r>
      <w:r>
        <w:rPr>
          <w:spacing w:val="-11"/>
        </w:rPr>
        <w:t xml:space="preserve"> </w:t>
      </w:r>
      <w:r>
        <w:t>other</w:t>
      </w:r>
      <w:r>
        <w:rPr>
          <w:spacing w:val="-11"/>
        </w:rPr>
        <w:t xml:space="preserve"> </w:t>
      </w:r>
      <w:r>
        <w:t>details</w:t>
      </w:r>
      <w:r>
        <w:rPr>
          <w:spacing w:val="-12"/>
        </w:rPr>
        <w:t xml:space="preserve"> </w:t>
      </w:r>
      <w:r>
        <w:t>required</w:t>
      </w:r>
      <w:r>
        <w:rPr>
          <w:spacing w:val="-10"/>
        </w:rPr>
        <w:t xml:space="preserve"> </w:t>
      </w:r>
      <w:r>
        <w:t>by</w:t>
      </w:r>
      <w:r>
        <w:rPr>
          <w:spacing w:val="-12"/>
        </w:rPr>
        <w:t xml:space="preserve"> </w:t>
      </w:r>
      <w:r>
        <w:t>the</w:t>
      </w:r>
      <w:r>
        <w:rPr>
          <w:spacing w:val="-12"/>
        </w:rPr>
        <w:t xml:space="preserve"> </w:t>
      </w:r>
      <w:r>
        <w:t>ESC</w:t>
      </w:r>
      <w:r>
        <w:rPr>
          <w:spacing w:val="-11"/>
        </w:rPr>
        <w:t xml:space="preserve"> </w:t>
      </w:r>
      <w:r>
        <w:t>Guidance,</w:t>
      </w:r>
      <w:r>
        <w:rPr>
          <w:spacing w:val="-11"/>
        </w:rPr>
        <w:t xml:space="preserve"> </w:t>
      </w:r>
      <w:r>
        <w:t>available</w:t>
      </w:r>
      <w:r>
        <w:rPr>
          <w:spacing w:val="-12"/>
        </w:rPr>
        <w:t xml:space="preserve"> </w:t>
      </w:r>
      <w:r>
        <w:t>as</w:t>
      </w:r>
      <w:r>
        <w:rPr>
          <w:spacing w:val="-12"/>
        </w:rPr>
        <w:t xml:space="preserve"> </w:t>
      </w:r>
      <w:r>
        <w:t>supporting</w:t>
      </w:r>
      <w:r>
        <w:rPr>
          <w:spacing w:val="-11"/>
        </w:rPr>
        <w:t xml:space="preserve"> </w:t>
      </w:r>
      <w:r>
        <w:t>information. Appendix</w:t>
      </w:r>
      <w:r>
        <w:rPr>
          <w:spacing w:val="-1"/>
        </w:rPr>
        <w:t xml:space="preserve"> </w:t>
      </w:r>
      <w:r>
        <w:t>B2 also</w:t>
      </w:r>
      <w:r>
        <w:rPr>
          <w:spacing w:val="-3"/>
        </w:rPr>
        <w:t xml:space="preserve"> </w:t>
      </w:r>
      <w:r>
        <w:t>contains</w:t>
      </w:r>
      <w:r>
        <w:rPr>
          <w:spacing w:val="-1"/>
        </w:rPr>
        <w:t xml:space="preserve"> </w:t>
      </w:r>
      <w:r>
        <w:t>details</w:t>
      </w:r>
      <w:r>
        <w:rPr>
          <w:spacing w:val="-1"/>
        </w:rPr>
        <w:t xml:space="preserve"> </w:t>
      </w:r>
      <w:r>
        <w:t>of</w:t>
      </w:r>
      <w:r>
        <w:rPr>
          <w:spacing w:val="-1"/>
        </w:rPr>
        <w:t xml:space="preserve"> </w:t>
      </w:r>
      <w:r>
        <w:t>each</w:t>
      </w:r>
      <w:r>
        <w:rPr>
          <w:spacing w:val="-2"/>
        </w:rPr>
        <w:t xml:space="preserve"> </w:t>
      </w:r>
      <w:r>
        <w:t>major</w:t>
      </w:r>
      <w:r>
        <w:rPr>
          <w:spacing w:val="-2"/>
        </w:rPr>
        <w:t xml:space="preserve"> </w:t>
      </w:r>
      <w:r>
        <w:t>program,</w:t>
      </w:r>
      <w:r>
        <w:rPr>
          <w:spacing w:val="-2"/>
        </w:rPr>
        <w:t xml:space="preserve"> </w:t>
      </w:r>
      <w:r>
        <w:t>their</w:t>
      </w:r>
      <w:r>
        <w:rPr>
          <w:spacing w:val="-2"/>
        </w:rPr>
        <w:t xml:space="preserve"> </w:t>
      </w:r>
      <w:r>
        <w:t>component</w:t>
      </w:r>
      <w:r>
        <w:rPr>
          <w:spacing w:val="-2"/>
        </w:rPr>
        <w:t xml:space="preserve"> </w:t>
      </w:r>
      <w:r>
        <w:t>programs,</w:t>
      </w:r>
      <w:r>
        <w:rPr>
          <w:spacing w:val="-2"/>
        </w:rPr>
        <w:t xml:space="preserve"> </w:t>
      </w:r>
      <w:r>
        <w:t>project</w:t>
      </w:r>
      <w:r>
        <w:rPr>
          <w:spacing w:val="-2"/>
        </w:rPr>
        <w:t xml:space="preserve"> </w:t>
      </w:r>
      <w:r>
        <w:t>timing</w:t>
      </w:r>
      <w:r>
        <w:rPr>
          <w:spacing w:val="-2"/>
        </w:rPr>
        <w:t xml:space="preserve"> </w:t>
      </w:r>
      <w:r>
        <w:t>and</w:t>
      </w:r>
      <w:r>
        <w:rPr>
          <w:spacing w:val="-1"/>
        </w:rPr>
        <w:t xml:space="preserve"> </w:t>
      </w:r>
      <w:r>
        <w:t>other information required by the ESC Guidance paper.</w:t>
      </w:r>
    </w:p>
    <w:p w14:paraId="7DA2F6E2" w14:textId="77777777" w:rsidR="00141B97" w:rsidRDefault="00141B97">
      <w:pPr>
        <w:pStyle w:val="BodyText"/>
        <w:spacing w:before="8"/>
        <w:rPr>
          <w:sz w:val="28"/>
        </w:rPr>
      </w:pPr>
    </w:p>
    <w:tbl>
      <w:tblPr>
        <w:tblW w:w="0" w:type="auto"/>
        <w:tblCellSpacing w:w="5" w:type="dxa"/>
        <w:tblInd w:w="136" w:type="dxa"/>
        <w:tblLayout w:type="fixed"/>
        <w:tblCellMar>
          <w:left w:w="0" w:type="dxa"/>
          <w:right w:w="0" w:type="dxa"/>
        </w:tblCellMar>
        <w:tblLook w:val="01E0" w:firstRow="1" w:lastRow="1" w:firstColumn="1" w:lastColumn="1" w:noHBand="0" w:noVBand="0"/>
      </w:tblPr>
      <w:tblGrid>
        <w:gridCol w:w="2935"/>
        <w:gridCol w:w="2657"/>
        <w:gridCol w:w="1164"/>
        <w:gridCol w:w="1244"/>
        <w:gridCol w:w="1831"/>
      </w:tblGrid>
      <w:tr w:rsidR="00141B97" w14:paraId="40251FCD" w14:textId="77777777">
        <w:trPr>
          <w:trHeight w:val="779"/>
          <w:tblCellSpacing w:w="5" w:type="dxa"/>
        </w:trPr>
        <w:tc>
          <w:tcPr>
            <w:tcW w:w="2920" w:type="dxa"/>
            <w:tcBorders>
              <w:bottom w:val="nil"/>
            </w:tcBorders>
            <w:shd w:val="clear" w:color="auto" w:fill="006CA3"/>
          </w:tcPr>
          <w:p w14:paraId="6FE635B5" w14:textId="77777777" w:rsidR="00141B97" w:rsidRDefault="00141B97">
            <w:pPr>
              <w:pStyle w:val="TableParagraph"/>
              <w:spacing w:before="11"/>
            </w:pPr>
          </w:p>
          <w:p w14:paraId="6DA75976" w14:textId="77777777" w:rsidR="00141B97" w:rsidRDefault="00911D63">
            <w:pPr>
              <w:pStyle w:val="TableParagraph"/>
              <w:ind w:left="95"/>
              <w:rPr>
                <w:sz w:val="18"/>
              </w:rPr>
            </w:pPr>
            <w:r>
              <w:rPr>
                <w:color w:val="FFFFFF"/>
                <w:sz w:val="18"/>
              </w:rPr>
              <w:t xml:space="preserve">Major </w:t>
            </w:r>
            <w:r>
              <w:rPr>
                <w:color w:val="FFFFFF"/>
                <w:spacing w:val="-2"/>
                <w:sz w:val="18"/>
              </w:rPr>
              <w:t>Program</w:t>
            </w:r>
          </w:p>
        </w:tc>
        <w:tc>
          <w:tcPr>
            <w:tcW w:w="2647" w:type="dxa"/>
            <w:tcBorders>
              <w:bottom w:val="nil"/>
            </w:tcBorders>
            <w:shd w:val="clear" w:color="auto" w:fill="006CA3"/>
          </w:tcPr>
          <w:p w14:paraId="481FF5AF" w14:textId="77777777" w:rsidR="00141B97" w:rsidRDefault="00141B97">
            <w:pPr>
              <w:pStyle w:val="TableParagraph"/>
              <w:spacing w:before="11"/>
            </w:pPr>
          </w:p>
          <w:p w14:paraId="0D21111F" w14:textId="77777777" w:rsidR="00141B97" w:rsidRDefault="00911D63">
            <w:pPr>
              <w:pStyle w:val="TableParagraph"/>
              <w:ind w:left="106" w:right="106"/>
              <w:jc w:val="center"/>
              <w:rPr>
                <w:sz w:val="18"/>
              </w:rPr>
            </w:pPr>
            <w:r>
              <w:rPr>
                <w:color w:val="FFFFFF"/>
                <w:sz w:val="18"/>
              </w:rPr>
              <w:t>Component</w:t>
            </w:r>
            <w:r>
              <w:rPr>
                <w:color w:val="FFFFFF"/>
                <w:spacing w:val="-4"/>
                <w:sz w:val="18"/>
              </w:rPr>
              <w:t xml:space="preserve"> </w:t>
            </w:r>
            <w:r>
              <w:rPr>
                <w:color w:val="FFFFFF"/>
                <w:spacing w:val="-2"/>
                <w:sz w:val="18"/>
              </w:rPr>
              <w:t>Programs</w:t>
            </w:r>
          </w:p>
        </w:tc>
        <w:tc>
          <w:tcPr>
            <w:tcW w:w="1154" w:type="dxa"/>
            <w:tcBorders>
              <w:bottom w:val="nil"/>
              <w:right w:val="nil"/>
            </w:tcBorders>
            <w:shd w:val="clear" w:color="auto" w:fill="006CA3"/>
          </w:tcPr>
          <w:p w14:paraId="489A7DDF" w14:textId="77777777" w:rsidR="00141B97" w:rsidRDefault="00911D63">
            <w:pPr>
              <w:pStyle w:val="TableParagraph"/>
              <w:spacing w:before="60"/>
              <w:ind w:left="217" w:right="216"/>
              <w:jc w:val="center"/>
              <w:rPr>
                <w:sz w:val="18"/>
              </w:rPr>
            </w:pPr>
            <w:r>
              <w:rPr>
                <w:color w:val="FFFFFF"/>
                <w:spacing w:val="-2"/>
                <w:sz w:val="18"/>
              </w:rPr>
              <w:t>Total</w:t>
            </w:r>
            <w:r>
              <w:rPr>
                <w:color w:val="FFFFFF"/>
                <w:sz w:val="18"/>
              </w:rPr>
              <w:t xml:space="preserve"> </w:t>
            </w:r>
            <w:r>
              <w:rPr>
                <w:color w:val="FFFFFF"/>
                <w:spacing w:val="-2"/>
                <w:sz w:val="18"/>
              </w:rPr>
              <w:t>Program</w:t>
            </w:r>
            <w:r>
              <w:rPr>
                <w:color w:val="FFFFFF"/>
                <w:sz w:val="18"/>
              </w:rPr>
              <w:t xml:space="preserve"> Cost</w:t>
            </w:r>
            <w:r>
              <w:rPr>
                <w:color w:val="FFFFFF"/>
                <w:spacing w:val="-2"/>
                <w:sz w:val="18"/>
              </w:rPr>
              <w:t xml:space="preserve"> </w:t>
            </w:r>
            <w:r>
              <w:rPr>
                <w:color w:val="FFFFFF"/>
                <w:spacing w:val="-4"/>
                <w:sz w:val="18"/>
              </w:rPr>
              <w:t>($m)</w:t>
            </w:r>
          </w:p>
        </w:tc>
        <w:tc>
          <w:tcPr>
            <w:tcW w:w="1234" w:type="dxa"/>
            <w:tcBorders>
              <w:left w:val="nil"/>
              <w:bottom w:val="nil"/>
            </w:tcBorders>
            <w:shd w:val="clear" w:color="auto" w:fill="006CA3"/>
          </w:tcPr>
          <w:p w14:paraId="69DBA2E9" w14:textId="77777777" w:rsidR="00141B97" w:rsidRDefault="00141B97">
            <w:pPr>
              <w:pStyle w:val="TableParagraph"/>
              <w:spacing w:before="11"/>
              <w:rPr>
                <w:sz w:val="13"/>
              </w:rPr>
            </w:pPr>
          </w:p>
          <w:p w14:paraId="2A05A8C0" w14:textId="77777777" w:rsidR="00141B97" w:rsidRDefault="00911D63">
            <w:pPr>
              <w:pStyle w:val="TableParagraph"/>
              <w:spacing w:before="1"/>
              <w:ind w:left="284" w:hanging="17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816" w:type="dxa"/>
            <w:tcBorders>
              <w:bottom w:val="nil"/>
            </w:tcBorders>
            <w:shd w:val="clear" w:color="auto" w:fill="006CA3"/>
          </w:tcPr>
          <w:p w14:paraId="36279B01" w14:textId="77777777" w:rsidR="00141B97" w:rsidRDefault="00141B97">
            <w:pPr>
              <w:pStyle w:val="TableParagraph"/>
              <w:spacing w:before="11"/>
            </w:pPr>
          </w:p>
          <w:p w14:paraId="28723341" w14:textId="77777777" w:rsidR="00141B97" w:rsidRDefault="00911D63">
            <w:pPr>
              <w:pStyle w:val="TableParagraph"/>
              <w:ind w:left="342" w:right="340"/>
              <w:jc w:val="center"/>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r>
      <w:tr w:rsidR="00141B97" w14:paraId="05371490" w14:textId="77777777">
        <w:trPr>
          <w:trHeight w:val="419"/>
          <w:tblCellSpacing w:w="5" w:type="dxa"/>
        </w:trPr>
        <w:tc>
          <w:tcPr>
            <w:tcW w:w="2920" w:type="dxa"/>
            <w:tcBorders>
              <w:top w:val="nil"/>
              <w:bottom w:val="nil"/>
            </w:tcBorders>
            <w:shd w:val="clear" w:color="auto" w:fill="CCE2ED"/>
          </w:tcPr>
          <w:p w14:paraId="6B41D77B" w14:textId="77777777" w:rsidR="00141B97" w:rsidRDefault="00911D63">
            <w:pPr>
              <w:pStyle w:val="TableParagraph"/>
              <w:spacing w:before="101"/>
              <w:ind w:left="95"/>
              <w:rPr>
                <w:sz w:val="18"/>
              </w:rPr>
            </w:pPr>
            <w:r>
              <w:rPr>
                <w:sz w:val="18"/>
              </w:rPr>
              <w:t>Urban</w:t>
            </w:r>
            <w:r>
              <w:rPr>
                <w:spacing w:val="-4"/>
                <w:sz w:val="18"/>
              </w:rPr>
              <w:t xml:space="preserve"> </w:t>
            </w:r>
            <w:r>
              <w:rPr>
                <w:sz w:val="18"/>
              </w:rPr>
              <w:t>Water</w:t>
            </w:r>
            <w:r>
              <w:rPr>
                <w:spacing w:val="-2"/>
                <w:sz w:val="18"/>
              </w:rPr>
              <w:t xml:space="preserve"> </w:t>
            </w:r>
            <w:r>
              <w:rPr>
                <w:sz w:val="18"/>
              </w:rPr>
              <w:t>Mains</w:t>
            </w:r>
            <w:r>
              <w:rPr>
                <w:spacing w:val="-3"/>
                <w:sz w:val="18"/>
              </w:rPr>
              <w:t xml:space="preserve"> </w:t>
            </w:r>
            <w:r>
              <w:rPr>
                <w:spacing w:val="-2"/>
                <w:sz w:val="18"/>
              </w:rPr>
              <w:t>Replacement</w:t>
            </w:r>
          </w:p>
        </w:tc>
        <w:tc>
          <w:tcPr>
            <w:tcW w:w="2647" w:type="dxa"/>
            <w:tcBorders>
              <w:top w:val="nil"/>
              <w:bottom w:val="nil"/>
            </w:tcBorders>
            <w:shd w:val="clear" w:color="auto" w:fill="CCE2ED"/>
          </w:tcPr>
          <w:p w14:paraId="57F48BFC" w14:textId="77777777" w:rsidR="00141B97" w:rsidRDefault="00911D63">
            <w:pPr>
              <w:pStyle w:val="TableParagraph"/>
              <w:spacing w:before="101"/>
              <w:ind w:left="106" w:right="139"/>
              <w:jc w:val="center"/>
              <w:rPr>
                <w:sz w:val="18"/>
              </w:rPr>
            </w:pPr>
            <w:r>
              <w:rPr>
                <w:sz w:val="18"/>
              </w:rPr>
              <w:t>Water</w:t>
            </w:r>
            <w:r>
              <w:rPr>
                <w:spacing w:val="-4"/>
                <w:sz w:val="18"/>
              </w:rPr>
              <w:t xml:space="preserve"> </w:t>
            </w:r>
            <w:r>
              <w:rPr>
                <w:sz w:val="18"/>
              </w:rPr>
              <w:t>Mains</w:t>
            </w:r>
            <w:r>
              <w:rPr>
                <w:spacing w:val="-2"/>
                <w:sz w:val="18"/>
              </w:rPr>
              <w:t xml:space="preserve"> </w:t>
            </w:r>
            <w:r>
              <w:rPr>
                <w:sz w:val="18"/>
              </w:rPr>
              <w:t>&amp;</w:t>
            </w:r>
            <w:r>
              <w:rPr>
                <w:spacing w:val="-1"/>
                <w:sz w:val="18"/>
              </w:rPr>
              <w:t xml:space="preserve"> </w:t>
            </w:r>
            <w:r>
              <w:rPr>
                <w:sz w:val="18"/>
              </w:rPr>
              <w:t>PSP</w:t>
            </w:r>
            <w:r>
              <w:rPr>
                <w:spacing w:val="-2"/>
                <w:sz w:val="18"/>
              </w:rPr>
              <w:t xml:space="preserve"> Replacement</w:t>
            </w:r>
          </w:p>
        </w:tc>
        <w:tc>
          <w:tcPr>
            <w:tcW w:w="1154" w:type="dxa"/>
            <w:tcBorders>
              <w:top w:val="nil"/>
              <w:bottom w:val="nil"/>
              <w:right w:val="nil"/>
            </w:tcBorders>
            <w:shd w:val="clear" w:color="auto" w:fill="CCE2ED"/>
          </w:tcPr>
          <w:p w14:paraId="5BAB1797" w14:textId="77777777" w:rsidR="00141B97" w:rsidRDefault="00911D63">
            <w:pPr>
              <w:pStyle w:val="TableParagraph"/>
              <w:spacing w:before="101"/>
              <w:ind w:left="215" w:right="216"/>
              <w:jc w:val="center"/>
              <w:rPr>
                <w:sz w:val="18"/>
              </w:rPr>
            </w:pPr>
            <w:r>
              <w:rPr>
                <w:spacing w:val="-4"/>
                <w:sz w:val="18"/>
              </w:rPr>
              <w:t>6.09</w:t>
            </w:r>
          </w:p>
        </w:tc>
        <w:tc>
          <w:tcPr>
            <w:tcW w:w="1234" w:type="dxa"/>
            <w:tcBorders>
              <w:top w:val="nil"/>
              <w:left w:val="nil"/>
              <w:bottom w:val="nil"/>
            </w:tcBorders>
            <w:shd w:val="clear" w:color="auto" w:fill="CCE2ED"/>
          </w:tcPr>
          <w:p w14:paraId="4DB4DBEA" w14:textId="77777777" w:rsidR="00141B97" w:rsidRDefault="00911D63">
            <w:pPr>
              <w:pStyle w:val="TableParagraph"/>
              <w:spacing w:before="101"/>
              <w:ind w:left="131" w:right="131"/>
              <w:jc w:val="center"/>
              <w:rPr>
                <w:sz w:val="18"/>
              </w:rPr>
            </w:pPr>
            <w:r>
              <w:rPr>
                <w:sz w:val="18"/>
              </w:rPr>
              <w:t>Urban</w:t>
            </w:r>
            <w:r>
              <w:rPr>
                <w:spacing w:val="-1"/>
                <w:sz w:val="18"/>
              </w:rPr>
              <w:t xml:space="preserve"> </w:t>
            </w:r>
            <w:r>
              <w:rPr>
                <w:spacing w:val="-2"/>
                <w:sz w:val="18"/>
              </w:rPr>
              <w:t>Water</w:t>
            </w:r>
          </w:p>
        </w:tc>
        <w:tc>
          <w:tcPr>
            <w:tcW w:w="1816" w:type="dxa"/>
            <w:tcBorders>
              <w:top w:val="nil"/>
              <w:bottom w:val="nil"/>
            </w:tcBorders>
            <w:shd w:val="clear" w:color="auto" w:fill="CCE2ED"/>
          </w:tcPr>
          <w:p w14:paraId="2E65749A" w14:textId="77777777" w:rsidR="00141B97" w:rsidRDefault="00911D63">
            <w:pPr>
              <w:pStyle w:val="TableParagraph"/>
              <w:spacing w:before="101"/>
              <w:ind w:left="342" w:right="339"/>
              <w:jc w:val="center"/>
              <w:rPr>
                <w:sz w:val="18"/>
              </w:rPr>
            </w:pPr>
            <w:r>
              <w:rPr>
                <w:spacing w:val="-2"/>
                <w:sz w:val="18"/>
              </w:rPr>
              <w:t>Renewals</w:t>
            </w:r>
          </w:p>
        </w:tc>
      </w:tr>
      <w:tr w:rsidR="00141B97" w14:paraId="358015E0" w14:textId="77777777">
        <w:trPr>
          <w:trHeight w:val="687"/>
          <w:tblCellSpacing w:w="5" w:type="dxa"/>
        </w:trPr>
        <w:tc>
          <w:tcPr>
            <w:tcW w:w="2920" w:type="dxa"/>
            <w:tcBorders>
              <w:top w:val="nil"/>
            </w:tcBorders>
            <w:shd w:val="clear" w:color="auto" w:fill="CCE2ED"/>
          </w:tcPr>
          <w:p w14:paraId="2D1C78E8" w14:textId="77777777" w:rsidR="00141B97" w:rsidRDefault="00911D63">
            <w:pPr>
              <w:pStyle w:val="TableParagraph"/>
              <w:spacing w:before="126"/>
              <w:ind w:left="95"/>
              <w:rPr>
                <w:sz w:val="18"/>
              </w:rPr>
            </w:pPr>
            <w:r>
              <w:rPr>
                <w:sz w:val="18"/>
              </w:rPr>
              <w:t>Sewer Mains and Maintenance Structures</w:t>
            </w:r>
            <w:r>
              <w:rPr>
                <w:spacing w:val="-11"/>
                <w:sz w:val="18"/>
              </w:rPr>
              <w:t xml:space="preserve"> </w:t>
            </w:r>
            <w:r>
              <w:rPr>
                <w:sz w:val="18"/>
              </w:rPr>
              <w:t>Replacement/Rehab.</w:t>
            </w:r>
          </w:p>
        </w:tc>
        <w:tc>
          <w:tcPr>
            <w:tcW w:w="2647" w:type="dxa"/>
            <w:tcBorders>
              <w:top w:val="nil"/>
            </w:tcBorders>
            <w:shd w:val="clear" w:color="auto" w:fill="CCE2ED"/>
          </w:tcPr>
          <w:p w14:paraId="385736A5" w14:textId="77777777" w:rsidR="00141B97" w:rsidRDefault="00911D63">
            <w:pPr>
              <w:pStyle w:val="TableParagraph"/>
              <w:spacing w:before="15"/>
              <w:ind w:left="101" w:right="187"/>
              <w:rPr>
                <w:sz w:val="18"/>
              </w:rPr>
            </w:pPr>
            <w:r>
              <w:rPr>
                <w:sz w:val="18"/>
              </w:rPr>
              <w:t>All</w:t>
            </w:r>
            <w:r>
              <w:rPr>
                <w:spacing w:val="-8"/>
                <w:sz w:val="18"/>
              </w:rPr>
              <w:t xml:space="preserve"> </w:t>
            </w:r>
            <w:r>
              <w:rPr>
                <w:sz w:val="18"/>
              </w:rPr>
              <w:t>Sites:</w:t>
            </w:r>
            <w:r>
              <w:rPr>
                <w:spacing w:val="-9"/>
                <w:sz w:val="18"/>
              </w:rPr>
              <w:t xml:space="preserve"> </w:t>
            </w:r>
            <w:r>
              <w:rPr>
                <w:sz w:val="18"/>
              </w:rPr>
              <w:t>Rehabilitation</w:t>
            </w:r>
            <w:r>
              <w:rPr>
                <w:spacing w:val="-8"/>
                <w:sz w:val="18"/>
              </w:rPr>
              <w:t xml:space="preserve"> </w:t>
            </w:r>
            <w:r>
              <w:rPr>
                <w:sz w:val="18"/>
              </w:rPr>
              <w:t>of Sewers, HSL &amp; manholes</w:t>
            </w:r>
          </w:p>
          <w:p w14:paraId="04D83408" w14:textId="77777777" w:rsidR="00141B97" w:rsidRDefault="00911D63">
            <w:pPr>
              <w:pStyle w:val="TableParagraph"/>
              <w:spacing w:before="1" w:line="212" w:lineRule="exact"/>
              <w:ind w:left="101"/>
              <w:rPr>
                <w:sz w:val="18"/>
              </w:rPr>
            </w:pPr>
            <w:r>
              <w:rPr>
                <w:spacing w:val="-2"/>
                <w:sz w:val="18"/>
              </w:rPr>
              <w:t>replacement</w:t>
            </w:r>
          </w:p>
        </w:tc>
        <w:tc>
          <w:tcPr>
            <w:tcW w:w="1154" w:type="dxa"/>
            <w:tcBorders>
              <w:top w:val="nil"/>
              <w:right w:val="nil"/>
            </w:tcBorders>
            <w:shd w:val="clear" w:color="auto" w:fill="CCE2ED"/>
          </w:tcPr>
          <w:p w14:paraId="7550D372" w14:textId="77777777" w:rsidR="00141B97" w:rsidRDefault="00141B97">
            <w:pPr>
              <w:pStyle w:val="TableParagraph"/>
              <w:spacing w:before="3"/>
              <w:rPr>
                <w:sz w:val="19"/>
              </w:rPr>
            </w:pPr>
          </w:p>
          <w:p w14:paraId="38CCB3A0" w14:textId="77777777" w:rsidR="00141B97" w:rsidRDefault="00911D63">
            <w:pPr>
              <w:pStyle w:val="TableParagraph"/>
              <w:ind w:left="215" w:right="216"/>
              <w:jc w:val="center"/>
              <w:rPr>
                <w:sz w:val="18"/>
              </w:rPr>
            </w:pPr>
            <w:r>
              <w:rPr>
                <w:spacing w:val="-4"/>
                <w:sz w:val="18"/>
              </w:rPr>
              <w:t>6.09</w:t>
            </w:r>
          </w:p>
        </w:tc>
        <w:tc>
          <w:tcPr>
            <w:tcW w:w="1234" w:type="dxa"/>
            <w:tcBorders>
              <w:top w:val="nil"/>
              <w:left w:val="nil"/>
            </w:tcBorders>
            <w:shd w:val="clear" w:color="auto" w:fill="CCE2ED"/>
          </w:tcPr>
          <w:p w14:paraId="2013DAAB" w14:textId="77777777" w:rsidR="00141B97" w:rsidRDefault="00141B97">
            <w:pPr>
              <w:pStyle w:val="TableParagraph"/>
              <w:spacing w:before="3"/>
              <w:rPr>
                <w:sz w:val="19"/>
              </w:rPr>
            </w:pPr>
          </w:p>
          <w:p w14:paraId="34B887EC" w14:textId="77777777" w:rsidR="00141B97" w:rsidRDefault="00911D63">
            <w:pPr>
              <w:pStyle w:val="TableParagraph"/>
              <w:ind w:left="131" w:right="131"/>
              <w:jc w:val="center"/>
              <w:rPr>
                <w:sz w:val="18"/>
              </w:rPr>
            </w:pPr>
            <w:r>
              <w:rPr>
                <w:spacing w:val="-2"/>
                <w:sz w:val="18"/>
              </w:rPr>
              <w:t>Sewerage</w:t>
            </w:r>
          </w:p>
        </w:tc>
        <w:tc>
          <w:tcPr>
            <w:tcW w:w="1816" w:type="dxa"/>
            <w:tcBorders>
              <w:top w:val="nil"/>
            </w:tcBorders>
            <w:shd w:val="clear" w:color="auto" w:fill="CCE2ED"/>
          </w:tcPr>
          <w:p w14:paraId="26432C3F" w14:textId="77777777" w:rsidR="00141B97" w:rsidRDefault="00141B97">
            <w:pPr>
              <w:pStyle w:val="TableParagraph"/>
              <w:spacing w:before="3"/>
              <w:rPr>
                <w:sz w:val="19"/>
              </w:rPr>
            </w:pPr>
          </w:p>
          <w:p w14:paraId="7A05399C" w14:textId="77777777" w:rsidR="00141B97" w:rsidRDefault="00911D63">
            <w:pPr>
              <w:pStyle w:val="TableParagraph"/>
              <w:ind w:left="342" w:right="339"/>
              <w:jc w:val="center"/>
              <w:rPr>
                <w:sz w:val="18"/>
              </w:rPr>
            </w:pPr>
            <w:r>
              <w:rPr>
                <w:spacing w:val="-2"/>
                <w:sz w:val="18"/>
              </w:rPr>
              <w:t>Renewals</w:t>
            </w:r>
          </w:p>
        </w:tc>
      </w:tr>
      <w:tr w:rsidR="00141B97" w14:paraId="1CE16E08" w14:textId="77777777">
        <w:trPr>
          <w:trHeight w:val="460"/>
          <w:tblCellSpacing w:w="5" w:type="dxa"/>
        </w:trPr>
        <w:tc>
          <w:tcPr>
            <w:tcW w:w="2920" w:type="dxa"/>
            <w:shd w:val="clear" w:color="auto" w:fill="CCE2ED"/>
          </w:tcPr>
          <w:p w14:paraId="0DD40420" w14:textId="77777777" w:rsidR="00141B97" w:rsidRDefault="00911D63">
            <w:pPr>
              <w:pStyle w:val="TableParagraph"/>
              <w:spacing w:line="220" w:lineRule="atLeast"/>
              <w:ind w:left="95"/>
              <w:rPr>
                <w:sz w:val="18"/>
              </w:rPr>
            </w:pPr>
            <w:r>
              <w:rPr>
                <w:sz w:val="18"/>
              </w:rPr>
              <w:t>Light</w:t>
            </w:r>
            <w:r>
              <w:rPr>
                <w:spacing w:val="-5"/>
                <w:sz w:val="18"/>
              </w:rPr>
              <w:t xml:space="preserve"> </w:t>
            </w:r>
            <w:r>
              <w:rPr>
                <w:sz w:val="18"/>
              </w:rPr>
              <w:t>Motor</w:t>
            </w:r>
            <w:r>
              <w:rPr>
                <w:spacing w:val="-4"/>
                <w:sz w:val="18"/>
              </w:rPr>
              <w:t xml:space="preserve"> </w:t>
            </w:r>
            <w:r>
              <w:rPr>
                <w:sz w:val="18"/>
              </w:rPr>
              <w:t>Vehicle</w:t>
            </w:r>
            <w:r>
              <w:rPr>
                <w:spacing w:val="-4"/>
                <w:sz w:val="18"/>
              </w:rPr>
              <w:t xml:space="preserve"> </w:t>
            </w:r>
            <w:r>
              <w:rPr>
                <w:sz w:val="18"/>
              </w:rPr>
              <w:t>Fleet</w:t>
            </w:r>
            <w:r>
              <w:rPr>
                <w:spacing w:val="-5"/>
                <w:sz w:val="18"/>
              </w:rPr>
              <w:t xml:space="preserve"> </w:t>
            </w:r>
            <w:r>
              <w:rPr>
                <w:sz w:val="18"/>
              </w:rPr>
              <w:t>‐</w:t>
            </w:r>
            <w:r>
              <w:rPr>
                <w:spacing w:val="-4"/>
                <w:sz w:val="18"/>
              </w:rPr>
              <w:t xml:space="preserve"> </w:t>
            </w:r>
            <w:r>
              <w:rPr>
                <w:sz w:val="18"/>
              </w:rPr>
              <w:t>annual vehicle</w:t>
            </w:r>
            <w:r>
              <w:rPr>
                <w:spacing w:val="-2"/>
                <w:sz w:val="18"/>
              </w:rPr>
              <w:t xml:space="preserve"> </w:t>
            </w:r>
            <w:r>
              <w:rPr>
                <w:sz w:val="18"/>
              </w:rPr>
              <w:t>replacements</w:t>
            </w:r>
          </w:p>
        </w:tc>
        <w:tc>
          <w:tcPr>
            <w:tcW w:w="2647" w:type="dxa"/>
            <w:shd w:val="clear" w:color="auto" w:fill="CCE2ED"/>
          </w:tcPr>
          <w:p w14:paraId="19AEF99F" w14:textId="77777777" w:rsidR="00141B97" w:rsidRDefault="00911D63">
            <w:pPr>
              <w:pStyle w:val="TableParagraph"/>
              <w:spacing w:line="220" w:lineRule="atLeast"/>
              <w:ind w:left="101" w:right="187"/>
              <w:rPr>
                <w:sz w:val="18"/>
              </w:rPr>
            </w:pPr>
            <w:r>
              <w:rPr>
                <w:sz w:val="18"/>
              </w:rPr>
              <w:t>MV</w:t>
            </w:r>
            <w:r>
              <w:rPr>
                <w:spacing w:val="-6"/>
                <w:sz w:val="18"/>
              </w:rPr>
              <w:t xml:space="preserve"> </w:t>
            </w:r>
            <w:r>
              <w:rPr>
                <w:sz w:val="18"/>
              </w:rPr>
              <w:t>Fleet</w:t>
            </w:r>
            <w:r>
              <w:rPr>
                <w:spacing w:val="-6"/>
                <w:sz w:val="18"/>
              </w:rPr>
              <w:t xml:space="preserve"> </w:t>
            </w:r>
            <w:r>
              <w:rPr>
                <w:sz w:val="18"/>
              </w:rPr>
              <w:t>‐</w:t>
            </w:r>
            <w:r>
              <w:rPr>
                <w:spacing w:val="-6"/>
                <w:sz w:val="18"/>
              </w:rPr>
              <w:t xml:space="preserve"> </w:t>
            </w:r>
            <w:r>
              <w:rPr>
                <w:sz w:val="18"/>
              </w:rPr>
              <w:t>annual</w:t>
            </w:r>
            <w:r>
              <w:rPr>
                <w:spacing w:val="-6"/>
                <w:sz w:val="18"/>
              </w:rPr>
              <w:t xml:space="preserve"> </w:t>
            </w:r>
            <w:r>
              <w:rPr>
                <w:sz w:val="18"/>
              </w:rPr>
              <w:t xml:space="preserve">vehicle </w:t>
            </w:r>
            <w:r>
              <w:rPr>
                <w:spacing w:val="-2"/>
                <w:sz w:val="18"/>
              </w:rPr>
              <w:t>replacements</w:t>
            </w:r>
          </w:p>
        </w:tc>
        <w:tc>
          <w:tcPr>
            <w:tcW w:w="1154" w:type="dxa"/>
            <w:tcBorders>
              <w:right w:val="nil"/>
            </w:tcBorders>
            <w:shd w:val="clear" w:color="auto" w:fill="CCE2ED"/>
          </w:tcPr>
          <w:p w14:paraId="68AB12DD" w14:textId="77777777" w:rsidR="00141B97" w:rsidRDefault="00911D63">
            <w:pPr>
              <w:pStyle w:val="TableParagraph"/>
              <w:spacing w:before="120"/>
              <w:ind w:left="215" w:right="216"/>
              <w:jc w:val="center"/>
              <w:rPr>
                <w:sz w:val="18"/>
              </w:rPr>
            </w:pPr>
            <w:r>
              <w:rPr>
                <w:spacing w:val="-4"/>
                <w:sz w:val="18"/>
              </w:rPr>
              <w:t>3.58</w:t>
            </w:r>
          </w:p>
        </w:tc>
        <w:tc>
          <w:tcPr>
            <w:tcW w:w="1234" w:type="dxa"/>
            <w:tcBorders>
              <w:left w:val="nil"/>
            </w:tcBorders>
            <w:shd w:val="clear" w:color="auto" w:fill="CCE2ED"/>
          </w:tcPr>
          <w:p w14:paraId="05FF9AC8" w14:textId="77777777" w:rsidR="00141B97" w:rsidRDefault="00911D63">
            <w:pPr>
              <w:pStyle w:val="TableParagraph"/>
              <w:spacing w:before="120"/>
              <w:ind w:left="131" w:right="131"/>
              <w:jc w:val="center"/>
              <w:rPr>
                <w:sz w:val="18"/>
              </w:rPr>
            </w:pPr>
            <w:r>
              <w:rPr>
                <w:spacing w:val="-2"/>
                <w:sz w:val="18"/>
              </w:rPr>
              <w:t>Corporate</w:t>
            </w:r>
          </w:p>
        </w:tc>
        <w:tc>
          <w:tcPr>
            <w:tcW w:w="1816" w:type="dxa"/>
            <w:shd w:val="clear" w:color="auto" w:fill="CCE2ED"/>
          </w:tcPr>
          <w:p w14:paraId="39E18CC0" w14:textId="77777777" w:rsidR="00141B97" w:rsidRDefault="00911D63">
            <w:pPr>
              <w:pStyle w:val="TableParagraph"/>
              <w:spacing w:before="120"/>
              <w:ind w:left="342" w:right="339"/>
              <w:jc w:val="center"/>
              <w:rPr>
                <w:sz w:val="18"/>
              </w:rPr>
            </w:pPr>
            <w:r>
              <w:rPr>
                <w:spacing w:val="-2"/>
                <w:sz w:val="18"/>
              </w:rPr>
              <w:t>Renewals</w:t>
            </w:r>
          </w:p>
        </w:tc>
      </w:tr>
      <w:tr w:rsidR="00141B97" w14:paraId="3609EE09" w14:textId="77777777">
        <w:trPr>
          <w:trHeight w:val="462"/>
          <w:tblCellSpacing w:w="5" w:type="dxa"/>
        </w:trPr>
        <w:tc>
          <w:tcPr>
            <w:tcW w:w="2920" w:type="dxa"/>
            <w:tcBorders>
              <w:bottom w:val="nil"/>
            </w:tcBorders>
            <w:shd w:val="clear" w:color="auto" w:fill="CCE2ED"/>
          </w:tcPr>
          <w:p w14:paraId="0F46D8F0" w14:textId="77777777" w:rsidR="00141B97" w:rsidRDefault="00911D63">
            <w:pPr>
              <w:pStyle w:val="TableParagraph"/>
              <w:spacing w:before="120"/>
              <w:ind w:left="95"/>
              <w:rPr>
                <w:sz w:val="18"/>
              </w:rPr>
            </w:pPr>
            <w:r>
              <w:rPr>
                <w:sz w:val="18"/>
              </w:rPr>
              <w:t xml:space="preserve">Minor capex ‐ </w:t>
            </w:r>
            <w:r>
              <w:rPr>
                <w:spacing w:val="-2"/>
                <w:sz w:val="18"/>
              </w:rPr>
              <w:t>Water</w:t>
            </w:r>
          </w:p>
        </w:tc>
        <w:tc>
          <w:tcPr>
            <w:tcW w:w="2647" w:type="dxa"/>
            <w:tcBorders>
              <w:bottom w:val="nil"/>
            </w:tcBorders>
            <w:shd w:val="clear" w:color="auto" w:fill="CCE2ED"/>
          </w:tcPr>
          <w:p w14:paraId="2BFD3339" w14:textId="77777777" w:rsidR="00141B97" w:rsidRDefault="00911D63">
            <w:pPr>
              <w:pStyle w:val="TableParagraph"/>
              <w:spacing w:before="2" w:line="220" w:lineRule="atLeast"/>
              <w:ind w:left="101" w:right="187"/>
              <w:rPr>
                <w:sz w:val="18"/>
              </w:rPr>
            </w:pPr>
            <w:r>
              <w:rPr>
                <w:sz w:val="18"/>
              </w:rPr>
              <w:t>All</w:t>
            </w:r>
            <w:r>
              <w:rPr>
                <w:spacing w:val="-6"/>
                <w:sz w:val="18"/>
              </w:rPr>
              <w:t xml:space="preserve"> </w:t>
            </w:r>
            <w:r>
              <w:rPr>
                <w:sz w:val="18"/>
              </w:rPr>
              <w:t>Sites</w:t>
            </w:r>
            <w:r>
              <w:rPr>
                <w:spacing w:val="-7"/>
                <w:sz w:val="18"/>
              </w:rPr>
              <w:t xml:space="preserve"> </w:t>
            </w:r>
            <w:r>
              <w:rPr>
                <w:sz w:val="18"/>
              </w:rPr>
              <w:t>Minor</w:t>
            </w:r>
            <w:r>
              <w:rPr>
                <w:spacing w:val="-6"/>
                <w:sz w:val="18"/>
              </w:rPr>
              <w:t xml:space="preserve"> </w:t>
            </w:r>
            <w:r>
              <w:rPr>
                <w:sz w:val="18"/>
              </w:rPr>
              <w:t>Capital</w:t>
            </w:r>
            <w:r>
              <w:rPr>
                <w:spacing w:val="-6"/>
                <w:sz w:val="18"/>
              </w:rPr>
              <w:t xml:space="preserve"> </w:t>
            </w:r>
            <w:r>
              <w:rPr>
                <w:sz w:val="18"/>
              </w:rPr>
              <w:t>Works New &amp; Replacement</w:t>
            </w:r>
          </w:p>
        </w:tc>
        <w:tc>
          <w:tcPr>
            <w:tcW w:w="1154" w:type="dxa"/>
            <w:tcBorders>
              <w:bottom w:val="nil"/>
              <w:right w:val="nil"/>
            </w:tcBorders>
            <w:shd w:val="clear" w:color="auto" w:fill="CCE2ED"/>
          </w:tcPr>
          <w:p w14:paraId="2BA2E8DA" w14:textId="77777777" w:rsidR="00141B97" w:rsidRDefault="00911D63">
            <w:pPr>
              <w:pStyle w:val="TableParagraph"/>
              <w:spacing w:before="120"/>
              <w:ind w:left="215" w:right="216"/>
              <w:jc w:val="center"/>
              <w:rPr>
                <w:sz w:val="18"/>
              </w:rPr>
            </w:pPr>
            <w:r>
              <w:rPr>
                <w:spacing w:val="-4"/>
                <w:sz w:val="18"/>
              </w:rPr>
              <w:t>3.27</w:t>
            </w:r>
          </w:p>
        </w:tc>
        <w:tc>
          <w:tcPr>
            <w:tcW w:w="1234" w:type="dxa"/>
            <w:tcBorders>
              <w:left w:val="nil"/>
              <w:bottom w:val="nil"/>
            </w:tcBorders>
            <w:shd w:val="clear" w:color="auto" w:fill="CCE2ED"/>
          </w:tcPr>
          <w:p w14:paraId="23CBB030" w14:textId="77777777" w:rsidR="00141B97" w:rsidRDefault="00911D63">
            <w:pPr>
              <w:pStyle w:val="TableParagraph"/>
              <w:spacing w:before="120"/>
              <w:ind w:left="131" w:right="131"/>
              <w:jc w:val="center"/>
              <w:rPr>
                <w:sz w:val="18"/>
              </w:rPr>
            </w:pPr>
            <w:r>
              <w:rPr>
                <w:sz w:val="18"/>
              </w:rPr>
              <w:t>Urban</w:t>
            </w:r>
            <w:r>
              <w:rPr>
                <w:spacing w:val="-1"/>
                <w:sz w:val="18"/>
              </w:rPr>
              <w:t xml:space="preserve"> </w:t>
            </w:r>
            <w:r>
              <w:rPr>
                <w:spacing w:val="-2"/>
                <w:sz w:val="18"/>
              </w:rPr>
              <w:t>Water</w:t>
            </w:r>
          </w:p>
        </w:tc>
        <w:tc>
          <w:tcPr>
            <w:tcW w:w="1816" w:type="dxa"/>
            <w:tcBorders>
              <w:bottom w:val="nil"/>
            </w:tcBorders>
            <w:shd w:val="clear" w:color="auto" w:fill="CCE2ED"/>
          </w:tcPr>
          <w:p w14:paraId="5832F5BB" w14:textId="77777777" w:rsidR="00141B97" w:rsidRDefault="00911D63">
            <w:pPr>
              <w:pStyle w:val="TableParagraph"/>
              <w:spacing w:before="2" w:line="220" w:lineRule="atLeast"/>
              <w:ind w:left="408" w:firstLine="69"/>
              <w:rPr>
                <w:sz w:val="18"/>
              </w:rPr>
            </w:pPr>
            <w:r>
              <w:rPr>
                <w:sz w:val="18"/>
              </w:rPr>
              <w:t xml:space="preserve">Renewals &amp; </w:t>
            </w:r>
            <w:r>
              <w:rPr>
                <w:spacing w:val="-2"/>
                <w:sz w:val="18"/>
              </w:rPr>
              <w:t>Improvement</w:t>
            </w:r>
          </w:p>
        </w:tc>
      </w:tr>
      <w:tr w:rsidR="00141B97" w14:paraId="21A1B6EC" w14:textId="77777777">
        <w:trPr>
          <w:trHeight w:val="465"/>
          <w:tblCellSpacing w:w="5" w:type="dxa"/>
        </w:trPr>
        <w:tc>
          <w:tcPr>
            <w:tcW w:w="2920" w:type="dxa"/>
            <w:tcBorders>
              <w:top w:val="nil"/>
              <w:bottom w:val="nil"/>
            </w:tcBorders>
            <w:shd w:val="clear" w:color="auto" w:fill="CCE2ED"/>
          </w:tcPr>
          <w:p w14:paraId="35FDA6B6" w14:textId="77777777" w:rsidR="00141B97" w:rsidRDefault="00911D63">
            <w:pPr>
              <w:pStyle w:val="TableParagraph"/>
              <w:spacing w:before="123"/>
              <w:ind w:left="95"/>
              <w:rPr>
                <w:sz w:val="18"/>
              </w:rPr>
            </w:pPr>
            <w:r>
              <w:rPr>
                <w:sz w:val="18"/>
              </w:rPr>
              <w:t>Minor capex ‐</w:t>
            </w:r>
            <w:r>
              <w:rPr>
                <w:spacing w:val="-1"/>
                <w:sz w:val="18"/>
              </w:rPr>
              <w:t xml:space="preserve"> </w:t>
            </w:r>
            <w:r>
              <w:rPr>
                <w:spacing w:val="-2"/>
                <w:sz w:val="18"/>
              </w:rPr>
              <w:t>Sewer</w:t>
            </w:r>
          </w:p>
        </w:tc>
        <w:tc>
          <w:tcPr>
            <w:tcW w:w="2647" w:type="dxa"/>
            <w:tcBorders>
              <w:top w:val="nil"/>
              <w:bottom w:val="nil"/>
            </w:tcBorders>
            <w:shd w:val="clear" w:color="auto" w:fill="CCE2ED"/>
          </w:tcPr>
          <w:p w14:paraId="5EF16CFB" w14:textId="77777777" w:rsidR="00141B97" w:rsidRDefault="00911D63">
            <w:pPr>
              <w:pStyle w:val="TableParagraph"/>
              <w:spacing w:before="5" w:line="220" w:lineRule="atLeast"/>
              <w:ind w:left="101" w:right="187"/>
              <w:rPr>
                <w:sz w:val="18"/>
              </w:rPr>
            </w:pPr>
            <w:r>
              <w:rPr>
                <w:sz w:val="18"/>
              </w:rPr>
              <w:t>All</w:t>
            </w:r>
            <w:r>
              <w:rPr>
                <w:spacing w:val="-6"/>
                <w:sz w:val="18"/>
              </w:rPr>
              <w:t xml:space="preserve"> </w:t>
            </w:r>
            <w:r>
              <w:rPr>
                <w:sz w:val="18"/>
              </w:rPr>
              <w:t>Sites</w:t>
            </w:r>
            <w:r>
              <w:rPr>
                <w:spacing w:val="-7"/>
                <w:sz w:val="18"/>
              </w:rPr>
              <w:t xml:space="preserve"> </w:t>
            </w:r>
            <w:r>
              <w:rPr>
                <w:sz w:val="18"/>
              </w:rPr>
              <w:t>Minor</w:t>
            </w:r>
            <w:r>
              <w:rPr>
                <w:spacing w:val="-6"/>
                <w:sz w:val="18"/>
              </w:rPr>
              <w:t xml:space="preserve"> </w:t>
            </w:r>
            <w:r>
              <w:rPr>
                <w:sz w:val="18"/>
              </w:rPr>
              <w:t>Capital</w:t>
            </w:r>
            <w:r>
              <w:rPr>
                <w:spacing w:val="-6"/>
                <w:sz w:val="18"/>
              </w:rPr>
              <w:t xml:space="preserve"> </w:t>
            </w:r>
            <w:r>
              <w:rPr>
                <w:sz w:val="18"/>
              </w:rPr>
              <w:t>Works New &amp; Replacement</w:t>
            </w:r>
          </w:p>
        </w:tc>
        <w:tc>
          <w:tcPr>
            <w:tcW w:w="1154" w:type="dxa"/>
            <w:tcBorders>
              <w:top w:val="nil"/>
              <w:bottom w:val="nil"/>
              <w:right w:val="nil"/>
            </w:tcBorders>
            <w:shd w:val="clear" w:color="auto" w:fill="CCE2ED"/>
          </w:tcPr>
          <w:p w14:paraId="6EEEC35B" w14:textId="77777777" w:rsidR="00141B97" w:rsidRDefault="00911D63">
            <w:pPr>
              <w:pStyle w:val="TableParagraph"/>
              <w:spacing w:before="123"/>
              <w:ind w:left="215" w:right="216"/>
              <w:jc w:val="center"/>
              <w:rPr>
                <w:sz w:val="18"/>
              </w:rPr>
            </w:pPr>
            <w:r>
              <w:rPr>
                <w:spacing w:val="-4"/>
                <w:sz w:val="18"/>
              </w:rPr>
              <w:t>3.80</w:t>
            </w:r>
          </w:p>
        </w:tc>
        <w:tc>
          <w:tcPr>
            <w:tcW w:w="1234" w:type="dxa"/>
            <w:tcBorders>
              <w:top w:val="nil"/>
              <w:left w:val="nil"/>
              <w:bottom w:val="nil"/>
            </w:tcBorders>
            <w:shd w:val="clear" w:color="auto" w:fill="CCE2ED"/>
          </w:tcPr>
          <w:p w14:paraId="58C962A8" w14:textId="77777777" w:rsidR="00141B97" w:rsidRDefault="00911D63">
            <w:pPr>
              <w:pStyle w:val="TableParagraph"/>
              <w:spacing w:before="123"/>
              <w:ind w:left="131" w:right="131"/>
              <w:jc w:val="center"/>
              <w:rPr>
                <w:sz w:val="18"/>
              </w:rPr>
            </w:pPr>
            <w:r>
              <w:rPr>
                <w:spacing w:val="-2"/>
                <w:sz w:val="18"/>
              </w:rPr>
              <w:t>Sewerage</w:t>
            </w:r>
          </w:p>
        </w:tc>
        <w:tc>
          <w:tcPr>
            <w:tcW w:w="1816" w:type="dxa"/>
            <w:tcBorders>
              <w:top w:val="nil"/>
              <w:bottom w:val="nil"/>
            </w:tcBorders>
            <w:shd w:val="clear" w:color="auto" w:fill="CCE2ED"/>
          </w:tcPr>
          <w:p w14:paraId="40DAB6C0" w14:textId="77777777" w:rsidR="00141B97" w:rsidRDefault="00911D63">
            <w:pPr>
              <w:pStyle w:val="TableParagraph"/>
              <w:spacing w:before="5" w:line="220" w:lineRule="atLeast"/>
              <w:ind w:left="408" w:firstLine="69"/>
              <w:rPr>
                <w:sz w:val="18"/>
              </w:rPr>
            </w:pPr>
            <w:r>
              <w:rPr>
                <w:sz w:val="18"/>
              </w:rPr>
              <w:t xml:space="preserve">Renewals &amp; </w:t>
            </w:r>
            <w:r>
              <w:rPr>
                <w:spacing w:val="-2"/>
                <w:sz w:val="18"/>
              </w:rPr>
              <w:t>Improvement</w:t>
            </w:r>
          </w:p>
        </w:tc>
      </w:tr>
      <w:tr w:rsidR="00141B97" w14:paraId="67E56E3E" w14:textId="77777777">
        <w:trPr>
          <w:trHeight w:val="297"/>
          <w:tblCellSpacing w:w="5" w:type="dxa"/>
        </w:trPr>
        <w:tc>
          <w:tcPr>
            <w:tcW w:w="2920" w:type="dxa"/>
            <w:tcBorders>
              <w:top w:val="nil"/>
            </w:tcBorders>
            <w:shd w:val="clear" w:color="auto" w:fill="CCE2ED"/>
          </w:tcPr>
          <w:p w14:paraId="53F34709" w14:textId="77777777" w:rsidR="00141B97" w:rsidRDefault="00911D63">
            <w:pPr>
              <w:pStyle w:val="TableParagraph"/>
              <w:spacing w:before="41"/>
              <w:ind w:left="95"/>
              <w:rPr>
                <w:sz w:val="18"/>
              </w:rPr>
            </w:pPr>
            <w:r>
              <w:rPr>
                <w:sz w:val="18"/>
              </w:rPr>
              <w:t>Total</w:t>
            </w:r>
            <w:r>
              <w:rPr>
                <w:spacing w:val="-1"/>
                <w:sz w:val="18"/>
              </w:rPr>
              <w:t xml:space="preserve"> </w:t>
            </w:r>
            <w:r>
              <w:rPr>
                <w:sz w:val="18"/>
              </w:rPr>
              <w:t xml:space="preserve">ICT </w:t>
            </w:r>
            <w:r>
              <w:rPr>
                <w:spacing w:val="-2"/>
                <w:sz w:val="18"/>
              </w:rPr>
              <w:t>equipment</w:t>
            </w:r>
          </w:p>
        </w:tc>
        <w:tc>
          <w:tcPr>
            <w:tcW w:w="2647" w:type="dxa"/>
            <w:tcBorders>
              <w:top w:val="nil"/>
            </w:tcBorders>
            <w:shd w:val="clear" w:color="auto" w:fill="CCE2ED"/>
          </w:tcPr>
          <w:p w14:paraId="36F9132A" w14:textId="77777777" w:rsidR="00141B97" w:rsidRDefault="00141B97">
            <w:pPr>
              <w:pStyle w:val="TableParagraph"/>
              <w:rPr>
                <w:rFonts w:ascii="Times New Roman"/>
                <w:sz w:val="20"/>
              </w:rPr>
            </w:pPr>
          </w:p>
        </w:tc>
        <w:tc>
          <w:tcPr>
            <w:tcW w:w="1154" w:type="dxa"/>
            <w:tcBorders>
              <w:top w:val="nil"/>
              <w:right w:val="nil"/>
            </w:tcBorders>
            <w:shd w:val="clear" w:color="auto" w:fill="CCE2ED"/>
          </w:tcPr>
          <w:p w14:paraId="0C610582" w14:textId="77777777" w:rsidR="00141B97" w:rsidRDefault="00911D63">
            <w:pPr>
              <w:pStyle w:val="TableParagraph"/>
              <w:spacing w:before="41"/>
              <w:ind w:left="215" w:right="216"/>
              <w:jc w:val="center"/>
              <w:rPr>
                <w:sz w:val="18"/>
              </w:rPr>
            </w:pPr>
            <w:r>
              <w:rPr>
                <w:spacing w:val="-4"/>
                <w:sz w:val="18"/>
              </w:rPr>
              <w:t>1.82</w:t>
            </w:r>
          </w:p>
        </w:tc>
        <w:tc>
          <w:tcPr>
            <w:tcW w:w="1234" w:type="dxa"/>
            <w:tcBorders>
              <w:top w:val="nil"/>
              <w:left w:val="nil"/>
            </w:tcBorders>
            <w:shd w:val="clear" w:color="auto" w:fill="CCE2ED"/>
          </w:tcPr>
          <w:p w14:paraId="011CF824" w14:textId="77777777" w:rsidR="00141B97" w:rsidRDefault="00911D63">
            <w:pPr>
              <w:pStyle w:val="TableParagraph"/>
              <w:spacing w:before="41"/>
              <w:ind w:left="131" w:right="131"/>
              <w:jc w:val="center"/>
              <w:rPr>
                <w:sz w:val="18"/>
              </w:rPr>
            </w:pPr>
            <w:r>
              <w:rPr>
                <w:spacing w:val="-2"/>
                <w:sz w:val="18"/>
              </w:rPr>
              <w:t>Corporate</w:t>
            </w:r>
          </w:p>
        </w:tc>
        <w:tc>
          <w:tcPr>
            <w:tcW w:w="1816" w:type="dxa"/>
            <w:tcBorders>
              <w:top w:val="nil"/>
            </w:tcBorders>
            <w:shd w:val="clear" w:color="auto" w:fill="CCE2ED"/>
          </w:tcPr>
          <w:p w14:paraId="4F681B20" w14:textId="77777777" w:rsidR="00141B97" w:rsidRDefault="00911D63">
            <w:pPr>
              <w:pStyle w:val="TableParagraph"/>
              <w:spacing w:before="41"/>
              <w:ind w:left="342" w:right="339"/>
              <w:jc w:val="center"/>
              <w:rPr>
                <w:sz w:val="18"/>
              </w:rPr>
            </w:pPr>
            <w:r>
              <w:rPr>
                <w:spacing w:val="-2"/>
                <w:sz w:val="18"/>
              </w:rPr>
              <w:t>Renewals</w:t>
            </w:r>
          </w:p>
        </w:tc>
      </w:tr>
      <w:tr w:rsidR="00141B97" w14:paraId="7312C7BB" w14:textId="77777777">
        <w:trPr>
          <w:trHeight w:val="507"/>
          <w:tblCellSpacing w:w="5" w:type="dxa"/>
        </w:trPr>
        <w:tc>
          <w:tcPr>
            <w:tcW w:w="2920" w:type="dxa"/>
            <w:tcBorders>
              <w:bottom w:val="nil"/>
            </w:tcBorders>
            <w:shd w:val="clear" w:color="auto" w:fill="CCE2ED"/>
          </w:tcPr>
          <w:p w14:paraId="67C34119" w14:textId="77777777" w:rsidR="00141B97" w:rsidRDefault="00911D63">
            <w:pPr>
              <w:pStyle w:val="TableParagraph"/>
              <w:spacing w:before="33"/>
              <w:ind w:left="95"/>
              <w:rPr>
                <w:sz w:val="18"/>
              </w:rPr>
            </w:pPr>
            <w:r>
              <w:rPr>
                <w:sz w:val="18"/>
              </w:rPr>
              <w:t>Heavy</w:t>
            </w:r>
            <w:r>
              <w:rPr>
                <w:spacing w:val="-4"/>
                <w:sz w:val="18"/>
              </w:rPr>
              <w:t xml:space="preserve"> </w:t>
            </w:r>
            <w:r>
              <w:rPr>
                <w:sz w:val="18"/>
              </w:rPr>
              <w:t>Motor</w:t>
            </w:r>
            <w:r>
              <w:rPr>
                <w:spacing w:val="-4"/>
                <w:sz w:val="18"/>
              </w:rPr>
              <w:t xml:space="preserve"> </w:t>
            </w:r>
            <w:r>
              <w:rPr>
                <w:sz w:val="18"/>
              </w:rPr>
              <w:t>Vehicle</w:t>
            </w:r>
            <w:r>
              <w:rPr>
                <w:spacing w:val="-4"/>
                <w:sz w:val="18"/>
              </w:rPr>
              <w:t xml:space="preserve"> </w:t>
            </w:r>
            <w:r>
              <w:rPr>
                <w:sz w:val="18"/>
              </w:rPr>
              <w:t>Fleet</w:t>
            </w:r>
            <w:r>
              <w:rPr>
                <w:spacing w:val="-5"/>
                <w:sz w:val="18"/>
              </w:rPr>
              <w:t xml:space="preserve"> </w:t>
            </w:r>
            <w:r>
              <w:rPr>
                <w:sz w:val="18"/>
              </w:rPr>
              <w:t>‐</w:t>
            </w:r>
            <w:r>
              <w:rPr>
                <w:spacing w:val="-4"/>
                <w:sz w:val="18"/>
              </w:rPr>
              <w:t xml:space="preserve"> </w:t>
            </w:r>
            <w:r>
              <w:rPr>
                <w:sz w:val="18"/>
              </w:rPr>
              <w:t>annual vehicle</w:t>
            </w:r>
            <w:r>
              <w:rPr>
                <w:spacing w:val="-2"/>
                <w:sz w:val="18"/>
              </w:rPr>
              <w:t xml:space="preserve"> </w:t>
            </w:r>
            <w:r>
              <w:rPr>
                <w:sz w:val="18"/>
              </w:rPr>
              <w:t>replacements</w:t>
            </w:r>
          </w:p>
        </w:tc>
        <w:tc>
          <w:tcPr>
            <w:tcW w:w="2647" w:type="dxa"/>
            <w:tcBorders>
              <w:bottom w:val="nil"/>
            </w:tcBorders>
            <w:shd w:val="clear" w:color="auto" w:fill="CCE2ED"/>
          </w:tcPr>
          <w:p w14:paraId="48A55098" w14:textId="77777777" w:rsidR="00141B97" w:rsidRDefault="00911D63">
            <w:pPr>
              <w:pStyle w:val="TableParagraph"/>
              <w:spacing w:before="33"/>
              <w:ind w:left="101" w:right="187"/>
              <w:rPr>
                <w:sz w:val="18"/>
              </w:rPr>
            </w:pPr>
            <w:r>
              <w:rPr>
                <w:sz w:val="18"/>
              </w:rPr>
              <w:t>MV</w:t>
            </w:r>
            <w:r>
              <w:rPr>
                <w:spacing w:val="-6"/>
                <w:sz w:val="18"/>
              </w:rPr>
              <w:t xml:space="preserve"> </w:t>
            </w:r>
            <w:r>
              <w:rPr>
                <w:sz w:val="18"/>
              </w:rPr>
              <w:t>Fleet</w:t>
            </w:r>
            <w:r>
              <w:rPr>
                <w:spacing w:val="-6"/>
                <w:sz w:val="18"/>
              </w:rPr>
              <w:t xml:space="preserve"> </w:t>
            </w:r>
            <w:r>
              <w:rPr>
                <w:sz w:val="18"/>
              </w:rPr>
              <w:t>‐</w:t>
            </w:r>
            <w:r>
              <w:rPr>
                <w:spacing w:val="-6"/>
                <w:sz w:val="18"/>
              </w:rPr>
              <w:t xml:space="preserve"> </w:t>
            </w:r>
            <w:r>
              <w:rPr>
                <w:sz w:val="18"/>
              </w:rPr>
              <w:t>annual</w:t>
            </w:r>
            <w:r>
              <w:rPr>
                <w:spacing w:val="-6"/>
                <w:sz w:val="18"/>
              </w:rPr>
              <w:t xml:space="preserve"> </w:t>
            </w:r>
            <w:r>
              <w:rPr>
                <w:sz w:val="18"/>
              </w:rPr>
              <w:t xml:space="preserve">vehicle </w:t>
            </w:r>
            <w:r>
              <w:rPr>
                <w:spacing w:val="-2"/>
                <w:sz w:val="18"/>
              </w:rPr>
              <w:t>replacements</w:t>
            </w:r>
          </w:p>
        </w:tc>
        <w:tc>
          <w:tcPr>
            <w:tcW w:w="1154" w:type="dxa"/>
            <w:tcBorders>
              <w:bottom w:val="nil"/>
              <w:right w:val="nil"/>
            </w:tcBorders>
            <w:shd w:val="clear" w:color="auto" w:fill="CCE2ED"/>
          </w:tcPr>
          <w:p w14:paraId="0911C25F" w14:textId="77777777" w:rsidR="00141B97" w:rsidRDefault="00911D63">
            <w:pPr>
              <w:pStyle w:val="TableParagraph"/>
              <w:spacing w:before="143"/>
              <w:ind w:left="215" w:right="216"/>
              <w:jc w:val="center"/>
              <w:rPr>
                <w:sz w:val="18"/>
              </w:rPr>
            </w:pPr>
            <w:r>
              <w:rPr>
                <w:spacing w:val="-4"/>
                <w:sz w:val="18"/>
              </w:rPr>
              <w:t>1.59</w:t>
            </w:r>
          </w:p>
        </w:tc>
        <w:tc>
          <w:tcPr>
            <w:tcW w:w="1234" w:type="dxa"/>
            <w:tcBorders>
              <w:left w:val="nil"/>
              <w:bottom w:val="nil"/>
            </w:tcBorders>
            <w:shd w:val="clear" w:color="auto" w:fill="CCE2ED"/>
          </w:tcPr>
          <w:p w14:paraId="095A6040" w14:textId="77777777" w:rsidR="00141B97" w:rsidRDefault="00911D63">
            <w:pPr>
              <w:pStyle w:val="TableParagraph"/>
              <w:spacing w:before="143"/>
              <w:ind w:left="131" w:right="131"/>
              <w:jc w:val="center"/>
              <w:rPr>
                <w:sz w:val="18"/>
              </w:rPr>
            </w:pPr>
            <w:r>
              <w:rPr>
                <w:spacing w:val="-2"/>
                <w:sz w:val="18"/>
              </w:rPr>
              <w:t>Corporate</w:t>
            </w:r>
          </w:p>
        </w:tc>
        <w:tc>
          <w:tcPr>
            <w:tcW w:w="1816" w:type="dxa"/>
            <w:tcBorders>
              <w:bottom w:val="nil"/>
            </w:tcBorders>
            <w:shd w:val="clear" w:color="auto" w:fill="CCE2ED"/>
          </w:tcPr>
          <w:p w14:paraId="6B2B3164" w14:textId="77777777" w:rsidR="00141B97" w:rsidRDefault="00911D63">
            <w:pPr>
              <w:pStyle w:val="TableParagraph"/>
              <w:spacing w:before="143"/>
              <w:ind w:left="342" w:right="339"/>
              <w:jc w:val="center"/>
              <w:rPr>
                <w:sz w:val="18"/>
              </w:rPr>
            </w:pPr>
            <w:r>
              <w:rPr>
                <w:spacing w:val="-2"/>
                <w:sz w:val="18"/>
              </w:rPr>
              <w:t>Renewals</w:t>
            </w:r>
          </w:p>
        </w:tc>
      </w:tr>
      <w:tr w:rsidR="00141B97" w14:paraId="05244D19" w14:textId="77777777">
        <w:trPr>
          <w:trHeight w:val="462"/>
          <w:tblCellSpacing w:w="5" w:type="dxa"/>
        </w:trPr>
        <w:tc>
          <w:tcPr>
            <w:tcW w:w="2920" w:type="dxa"/>
            <w:tcBorders>
              <w:top w:val="nil"/>
            </w:tcBorders>
            <w:shd w:val="clear" w:color="auto" w:fill="CCE2ED"/>
          </w:tcPr>
          <w:p w14:paraId="32853B42" w14:textId="77777777" w:rsidR="00141B97" w:rsidRDefault="00911D63">
            <w:pPr>
              <w:pStyle w:val="TableParagraph"/>
              <w:spacing w:before="122"/>
              <w:ind w:left="95"/>
              <w:rPr>
                <w:sz w:val="18"/>
              </w:rPr>
            </w:pPr>
            <w:r>
              <w:rPr>
                <w:sz w:val="18"/>
              </w:rPr>
              <w:t>Corporate</w:t>
            </w:r>
            <w:r>
              <w:rPr>
                <w:spacing w:val="-8"/>
                <w:sz w:val="18"/>
              </w:rPr>
              <w:t xml:space="preserve"> </w:t>
            </w:r>
            <w:r>
              <w:rPr>
                <w:sz w:val="18"/>
              </w:rPr>
              <w:t>Facilities</w:t>
            </w:r>
            <w:r>
              <w:rPr>
                <w:spacing w:val="-6"/>
                <w:sz w:val="18"/>
              </w:rPr>
              <w:t xml:space="preserve"> </w:t>
            </w:r>
            <w:r>
              <w:rPr>
                <w:sz w:val="18"/>
              </w:rPr>
              <w:t>and</w:t>
            </w:r>
            <w:r>
              <w:rPr>
                <w:spacing w:val="-5"/>
                <w:sz w:val="18"/>
              </w:rPr>
              <w:t xml:space="preserve"> </w:t>
            </w:r>
            <w:r>
              <w:rPr>
                <w:spacing w:val="-2"/>
                <w:sz w:val="18"/>
              </w:rPr>
              <w:t>Buildings</w:t>
            </w:r>
          </w:p>
        </w:tc>
        <w:tc>
          <w:tcPr>
            <w:tcW w:w="2647" w:type="dxa"/>
            <w:tcBorders>
              <w:top w:val="nil"/>
            </w:tcBorders>
            <w:shd w:val="clear" w:color="auto" w:fill="CCE2ED"/>
          </w:tcPr>
          <w:p w14:paraId="3C3F233A" w14:textId="77777777" w:rsidR="00141B97" w:rsidRDefault="00141B97">
            <w:pPr>
              <w:pStyle w:val="TableParagraph"/>
              <w:rPr>
                <w:rFonts w:ascii="Times New Roman"/>
                <w:sz w:val="20"/>
              </w:rPr>
            </w:pPr>
          </w:p>
        </w:tc>
        <w:tc>
          <w:tcPr>
            <w:tcW w:w="1154" w:type="dxa"/>
            <w:tcBorders>
              <w:top w:val="nil"/>
              <w:right w:val="nil"/>
            </w:tcBorders>
            <w:shd w:val="clear" w:color="auto" w:fill="CCE2ED"/>
          </w:tcPr>
          <w:p w14:paraId="5D373026" w14:textId="77777777" w:rsidR="00141B97" w:rsidRDefault="00911D63">
            <w:pPr>
              <w:pStyle w:val="TableParagraph"/>
              <w:spacing w:before="122"/>
              <w:ind w:left="215" w:right="216"/>
              <w:jc w:val="center"/>
              <w:rPr>
                <w:sz w:val="18"/>
              </w:rPr>
            </w:pPr>
            <w:r>
              <w:rPr>
                <w:spacing w:val="-4"/>
                <w:sz w:val="18"/>
              </w:rPr>
              <w:t>2.03</w:t>
            </w:r>
          </w:p>
        </w:tc>
        <w:tc>
          <w:tcPr>
            <w:tcW w:w="1234" w:type="dxa"/>
            <w:tcBorders>
              <w:top w:val="nil"/>
              <w:left w:val="nil"/>
            </w:tcBorders>
            <w:shd w:val="clear" w:color="auto" w:fill="CCE2ED"/>
          </w:tcPr>
          <w:p w14:paraId="293F17F8" w14:textId="77777777" w:rsidR="00141B97" w:rsidRDefault="00911D63">
            <w:pPr>
              <w:pStyle w:val="TableParagraph"/>
              <w:spacing w:before="122"/>
              <w:ind w:left="131" w:right="131"/>
              <w:jc w:val="center"/>
              <w:rPr>
                <w:sz w:val="18"/>
              </w:rPr>
            </w:pPr>
            <w:r>
              <w:rPr>
                <w:spacing w:val="-2"/>
                <w:sz w:val="18"/>
              </w:rPr>
              <w:t>Corporate</w:t>
            </w:r>
          </w:p>
        </w:tc>
        <w:tc>
          <w:tcPr>
            <w:tcW w:w="1816" w:type="dxa"/>
            <w:tcBorders>
              <w:top w:val="nil"/>
            </w:tcBorders>
            <w:shd w:val="clear" w:color="auto" w:fill="CCE2ED"/>
          </w:tcPr>
          <w:p w14:paraId="748749BA" w14:textId="77777777" w:rsidR="00141B97" w:rsidRDefault="00911D63">
            <w:pPr>
              <w:pStyle w:val="TableParagraph"/>
              <w:spacing w:before="2" w:line="220" w:lineRule="atLeast"/>
              <w:ind w:left="478" w:hanging="158"/>
              <w:rPr>
                <w:sz w:val="18"/>
              </w:rPr>
            </w:pPr>
            <w:r>
              <w:rPr>
                <w:sz w:val="18"/>
              </w:rPr>
              <w:t>Improvements</w:t>
            </w:r>
            <w:r>
              <w:rPr>
                <w:spacing w:val="-11"/>
                <w:sz w:val="18"/>
              </w:rPr>
              <w:t xml:space="preserve"> </w:t>
            </w:r>
            <w:r>
              <w:rPr>
                <w:sz w:val="18"/>
              </w:rPr>
              <w:t xml:space="preserve">/ </w:t>
            </w:r>
            <w:r>
              <w:rPr>
                <w:spacing w:val="-2"/>
                <w:sz w:val="18"/>
              </w:rPr>
              <w:t>Compliance</w:t>
            </w:r>
          </w:p>
        </w:tc>
      </w:tr>
      <w:tr w:rsidR="00141B97" w14:paraId="3BE8D1AE" w14:textId="77777777">
        <w:trPr>
          <w:trHeight w:val="297"/>
          <w:tblCellSpacing w:w="5" w:type="dxa"/>
        </w:trPr>
        <w:tc>
          <w:tcPr>
            <w:tcW w:w="2920" w:type="dxa"/>
            <w:shd w:val="clear" w:color="auto" w:fill="BFBFBF"/>
          </w:tcPr>
          <w:p w14:paraId="5CAE7A8B" w14:textId="77777777" w:rsidR="00141B97" w:rsidRDefault="00141B97">
            <w:pPr>
              <w:pStyle w:val="TableParagraph"/>
              <w:rPr>
                <w:rFonts w:ascii="Times New Roman"/>
                <w:sz w:val="20"/>
              </w:rPr>
            </w:pPr>
          </w:p>
        </w:tc>
        <w:tc>
          <w:tcPr>
            <w:tcW w:w="2647" w:type="dxa"/>
            <w:shd w:val="clear" w:color="auto" w:fill="BFBFBF"/>
          </w:tcPr>
          <w:p w14:paraId="2CA004C2" w14:textId="77777777" w:rsidR="00141B97" w:rsidRDefault="00911D63">
            <w:pPr>
              <w:pStyle w:val="TableParagraph"/>
              <w:spacing w:before="37"/>
              <w:ind w:left="106" w:right="104"/>
              <w:jc w:val="center"/>
              <w:rPr>
                <w:sz w:val="18"/>
              </w:rPr>
            </w:pPr>
            <w:r>
              <w:rPr>
                <w:sz w:val="18"/>
              </w:rPr>
              <w:t>TOTAL</w:t>
            </w:r>
            <w:r>
              <w:rPr>
                <w:spacing w:val="-1"/>
                <w:sz w:val="18"/>
              </w:rPr>
              <w:t xml:space="preserve"> </w:t>
            </w:r>
            <w:r>
              <w:rPr>
                <w:sz w:val="18"/>
              </w:rPr>
              <w:t>Major</w:t>
            </w:r>
            <w:r>
              <w:rPr>
                <w:spacing w:val="-2"/>
                <w:sz w:val="18"/>
              </w:rPr>
              <w:t xml:space="preserve"> </w:t>
            </w:r>
            <w:r>
              <w:rPr>
                <w:sz w:val="18"/>
              </w:rPr>
              <w:t>Programs</w:t>
            </w:r>
            <w:r>
              <w:rPr>
                <w:spacing w:val="-1"/>
                <w:sz w:val="18"/>
              </w:rPr>
              <w:t xml:space="preserve"> </w:t>
            </w:r>
            <w:r>
              <w:rPr>
                <w:spacing w:val="-2"/>
                <w:sz w:val="18"/>
              </w:rPr>
              <w:t>Urban</w:t>
            </w:r>
          </w:p>
        </w:tc>
        <w:tc>
          <w:tcPr>
            <w:tcW w:w="1154" w:type="dxa"/>
            <w:tcBorders>
              <w:right w:val="nil"/>
            </w:tcBorders>
            <w:shd w:val="clear" w:color="auto" w:fill="BFBFBF"/>
          </w:tcPr>
          <w:p w14:paraId="11E34D49" w14:textId="77777777" w:rsidR="00141B97" w:rsidRDefault="00911D63">
            <w:pPr>
              <w:pStyle w:val="TableParagraph"/>
              <w:spacing w:before="37"/>
              <w:ind w:left="215" w:right="216"/>
              <w:jc w:val="center"/>
              <w:rPr>
                <w:sz w:val="18"/>
              </w:rPr>
            </w:pPr>
            <w:r>
              <w:rPr>
                <w:spacing w:val="-2"/>
                <w:sz w:val="18"/>
              </w:rPr>
              <w:t>28.27</w:t>
            </w:r>
          </w:p>
        </w:tc>
        <w:tc>
          <w:tcPr>
            <w:tcW w:w="1234" w:type="dxa"/>
            <w:tcBorders>
              <w:left w:val="nil"/>
            </w:tcBorders>
            <w:shd w:val="clear" w:color="auto" w:fill="BFBFBF"/>
          </w:tcPr>
          <w:p w14:paraId="5818B5F2" w14:textId="77777777" w:rsidR="00141B97" w:rsidRDefault="00141B97">
            <w:pPr>
              <w:pStyle w:val="TableParagraph"/>
              <w:rPr>
                <w:rFonts w:ascii="Times New Roman"/>
                <w:sz w:val="20"/>
              </w:rPr>
            </w:pPr>
          </w:p>
        </w:tc>
        <w:tc>
          <w:tcPr>
            <w:tcW w:w="1816" w:type="dxa"/>
            <w:shd w:val="clear" w:color="auto" w:fill="BFBFBF"/>
          </w:tcPr>
          <w:p w14:paraId="4708E93E" w14:textId="77777777" w:rsidR="00141B97" w:rsidRDefault="00141B97">
            <w:pPr>
              <w:pStyle w:val="TableParagraph"/>
              <w:rPr>
                <w:rFonts w:ascii="Times New Roman"/>
                <w:sz w:val="20"/>
              </w:rPr>
            </w:pPr>
          </w:p>
        </w:tc>
      </w:tr>
    </w:tbl>
    <w:p w14:paraId="6DC0D819" w14:textId="77777777" w:rsidR="00141B97" w:rsidRDefault="00911D63">
      <w:pPr>
        <w:spacing w:before="14"/>
        <w:ind w:left="114"/>
        <w:jc w:val="both"/>
        <w:rPr>
          <w:sz w:val="16"/>
        </w:rPr>
      </w:pPr>
      <w:r>
        <w:rPr>
          <w:sz w:val="16"/>
        </w:rPr>
        <w:t>Table</w:t>
      </w:r>
      <w:r>
        <w:rPr>
          <w:spacing w:val="-5"/>
          <w:sz w:val="16"/>
        </w:rPr>
        <w:t xml:space="preserve"> </w:t>
      </w:r>
      <w:r>
        <w:rPr>
          <w:sz w:val="16"/>
        </w:rPr>
        <w:t>B31:</w:t>
      </w:r>
      <w:r>
        <w:rPr>
          <w:spacing w:val="-4"/>
          <w:sz w:val="16"/>
        </w:rPr>
        <w:t xml:space="preserve"> </w:t>
      </w:r>
      <w:r>
        <w:rPr>
          <w:sz w:val="16"/>
        </w:rPr>
        <w:t>Major</w:t>
      </w:r>
      <w:r>
        <w:rPr>
          <w:spacing w:val="-6"/>
          <w:sz w:val="16"/>
        </w:rPr>
        <w:t xml:space="preserve"> </w:t>
      </w:r>
      <w:r>
        <w:rPr>
          <w:spacing w:val="-2"/>
          <w:sz w:val="16"/>
        </w:rPr>
        <w:t>Programs</w:t>
      </w:r>
    </w:p>
    <w:p w14:paraId="1A2F39C2" w14:textId="77777777" w:rsidR="00141B97" w:rsidRDefault="00141B97">
      <w:pPr>
        <w:pStyle w:val="BodyText"/>
        <w:spacing w:before="9"/>
        <w:rPr>
          <w:sz w:val="20"/>
        </w:rPr>
      </w:pPr>
    </w:p>
    <w:p w14:paraId="20C798ED" w14:textId="77777777" w:rsidR="00141B97" w:rsidRDefault="00911D63">
      <w:pPr>
        <w:pStyle w:val="ListParagraph"/>
        <w:numPr>
          <w:ilvl w:val="2"/>
          <w:numId w:val="81"/>
        </w:numPr>
        <w:tabs>
          <w:tab w:val="left" w:pos="1112"/>
          <w:tab w:val="left" w:pos="1113"/>
        </w:tabs>
        <w:jc w:val="both"/>
      </w:pPr>
      <w:r>
        <w:t>Uncertain</w:t>
      </w:r>
      <w:r>
        <w:rPr>
          <w:spacing w:val="-12"/>
        </w:rPr>
        <w:t xml:space="preserve"> </w:t>
      </w:r>
      <w:r>
        <w:rPr>
          <w:spacing w:val="-2"/>
        </w:rPr>
        <w:t>Projects</w:t>
      </w:r>
    </w:p>
    <w:p w14:paraId="24428096" w14:textId="77777777" w:rsidR="00141B97" w:rsidRDefault="00911D63">
      <w:pPr>
        <w:pStyle w:val="BodyText"/>
        <w:spacing w:before="59"/>
        <w:ind w:left="113" w:right="948"/>
        <w:jc w:val="both"/>
      </w:pPr>
      <w:r>
        <w:t>Uncertain</w:t>
      </w:r>
      <w:r>
        <w:rPr>
          <w:spacing w:val="-5"/>
        </w:rPr>
        <w:t xml:space="preserve"> </w:t>
      </w:r>
      <w:r>
        <w:t>projects</w:t>
      </w:r>
      <w:r>
        <w:rPr>
          <w:spacing w:val="-3"/>
        </w:rPr>
        <w:t xml:space="preserve"> </w:t>
      </w:r>
      <w:r>
        <w:t>for</w:t>
      </w:r>
      <w:r>
        <w:rPr>
          <w:spacing w:val="-4"/>
        </w:rPr>
        <w:t xml:space="preserve"> </w:t>
      </w:r>
      <w:r>
        <w:t>the</w:t>
      </w:r>
      <w:r>
        <w:rPr>
          <w:spacing w:val="-5"/>
        </w:rPr>
        <w:t xml:space="preserve"> </w:t>
      </w:r>
      <w:r>
        <w:t>urban</w:t>
      </w:r>
      <w:r>
        <w:rPr>
          <w:spacing w:val="-5"/>
        </w:rPr>
        <w:t xml:space="preserve"> </w:t>
      </w:r>
      <w:r>
        <w:t>business</w:t>
      </w:r>
      <w:r>
        <w:rPr>
          <w:spacing w:val="-5"/>
        </w:rPr>
        <w:t xml:space="preserve"> </w:t>
      </w:r>
      <w:r>
        <w:t>have</w:t>
      </w:r>
      <w:r>
        <w:rPr>
          <w:spacing w:val="-5"/>
        </w:rPr>
        <w:t xml:space="preserve"> </w:t>
      </w:r>
      <w:r>
        <w:t>been</w:t>
      </w:r>
      <w:r>
        <w:rPr>
          <w:spacing w:val="-3"/>
        </w:rPr>
        <w:t xml:space="preserve"> </w:t>
      </w:r>
      <w:r>
        <w:t>identified</w:t>
      </w:r>
      <w:r>
        <w:rPr>
          <w:spacing w:val="-4"/>
        </w:rPr>
        <w:t xml:space="preserve"> </w:t>
      </w:r>
      <w:r>
        <w:t>through</w:t>
      </w:r>
      <w:r>
        <w:rPr>
          <w:spacing w:val="-6"/>
        </w:rPr>
        <w:t xml:space="preserve"> </w:t>
      </w:r>
      <w:r>
        <w:t>LMW’s</w:t>
      </w:r>
      <w:r>
        <w:rPr>
          <w:spacing w:val="-4"/>
        </w:rPr>
        <w:t xml:space="preserve"> </w:t>
      </w:r>
      <w:r>
        <w:t>capital</w:t>
      </w:r>
      <w:r>
        <w:rPr>
          <w:spacing w:val="-4"/>
        </w:rPr>
        <w:t xml:space="preserve"> </w:t>
      </w:r>
      <w:r>
        <w:t>planning</w:t>
      </w:r>
      <w:r>
        <w:rPr>
          <w:spacing w:val="-5"/>
        </w:rPr>
        <w:t xml:space="preserve"> </w:t>
      </w:r>
      <w:r>
        <w:t>process,</w:t>
      </w:r>
      <w:r>
        <w:rPr>
          <w:spacing w:val="-5"/>
        </w:rPr>
        <w:t xml:space="preserve"> </w:t>
      </w:r>
      <w:r>
        <w:t>largely due to potential volatility in growth projections on which strategies, Master Plans and risk assessments have been based.</w:t>
      </w:r>
    </w:p>
    <w:p w14:paraId="264BAEB8" w14:textId="77777777" w:rsidR="00141B97" w:rsidRDefault="00911D63">
      <w:pPr>
        <w:pStyle w:val="BodyText"/>
        <w:spacing w:line="268" w:lineRule="exact"/>
        <w:ind w:left="113"/>
        <w:jc w:val="both"/>
      </w:pPr>
      <w:r>
        <w:t>These</w:t>
      </w:r>
      <w:r>
        <w:rPr>
          <w:spacing w:val="-7"/>
        </w:rPr>
        <w:t xml:space="preserve"> </w:t>
      </w:r>
      <w:r>
        <w:t>projects</w:t>
      </w:r>
      <w:r>
        <w:rPr>
          <w:spacing w:val="-7"/>
        </w:rPr>
        <w:t xml:space="preserve"> </w:t>
      </w:r>
      <w:r>
        <w:t>and</w:t>
      </w:r>
      <w:r>
        <w:rPr>
          <w:spacing w:val="-7"/>
        </w:rPr>
        <w:t xml:space="preserve"> </w:t>
      </w:r>
      <w:r>
        <w:t>the</w:t>
      </w:r>
      <w:r>
        <w:rPr>
          <w:spacing w:val="-7"/>
        </w:rPr>
        <w:t xml:space="preserve"> </w:t>
      </w:r>
      <w:r>
        <w:t>reason</w:t>
      </w:r>
      <w:r>
        <w:rPr>
          <w:spacing w:val="-8"/>
        </w:rPr>
        <w:t xml:space="preserve"> </w:t>
      </w:r>
      <w:r>
        <w:t>for</w:t>
      </w:r>
      <w:r>
        <w:rPr>
          <w:spacing w:val="-7"/>
        </w:rPr>
        <w:t xml:space="preserve"> </w:t>
      </w:r>
      <w:r>
        <w:t>their</w:t>
      </w:r>
      <w:r>
        <w:rPr>
          <w:spacing w:val="-6"/>
        </w:rPr>
        <w:t xml:space="preserve"> </w:t>
      </w:r>
      <w:r>
        <w:t>nomination</w:t>
      </w:r>
      <w:r>
        <w:rPr>
          <w:spacing w:val="-7"/>
        </w:rPr>
        <w:t xml:space="preserve"> </w:t>
      </w:r>
      <w:r>
        <w:t>as</w:t>
      </w:r>
      <w:r>
        <w:rPr>
          <w:spacing w:val="-7"/>
        </w:rPr>
        <w:t xml:space="preserve"> </w:t>
      </w:r>
      <w:r>
        <w:t>uncertain</w:t>
      </w:r>
      <w:r>
        <w:rPr>
          <w:spacing w:val="-6"/>
        </w:rPr>
        <w:t xml:space="preserve"> </w:t>
      </w:r>
      <w:r>
        <w:t>projects</w:t>
      </w:r>
      <w:r>
        <w:rPr>
          <w:spacing w:val="-7"/>
        </w:rPr>
        <w:t xml:space="preserve"> </w:t>
      </w:r>
      <w:r>
        <w:rPr>
          <w:spacing w:val="-4"/>
        </w:rPr>
        <w:t>are:</w:t>
      </w:r>
    </w:p>
    <w:p w14:paraId="407A9379" w14:textId="77777777" w:rsidR="00141B97" w:rsidRDefault="00911D63">
      <w:pPr>
        <w:pStyle w:val="ListParagraph"/>
        <w:numPr>
          <w:ilvl w:val="0"/>
          <w:numId w:val="42"/>
        </w:numPr>
        <w:tabs>
          <w:tab w:val="left" w:pos="833"/>
          <w:tab w:val="left" w:pos="834"/>
        </w:tabs>
        <w:spacing w:before="1"/>
        <w:ind w:right="949" w:hanging="361"/>
      </w:pPr>
      <w:r>
        <w:t>New Swan Hill Water Treatment Plant (Stage 1): Only allowance for design and approvals included as uncertainty about when customer demand will exceed existing plant capacity</w:t>
      </w:r>
    </w:p>
    <w:p w14:paraId="39785F80" w14:textId="77777777" w:rsidR="00141B97" w:rsidRDefault="00911D63">
      <w:pPr>
        <w:pStyle w:val="ListParagraph"/>
        <w:numPr>
          <w:ilvl w:val="0"/>
          <w:numId w:val="42"/>
        </w:numPr>
        <w:tabs>
          <w:tab w:val="left" w:pos="833"/>
          <w:tab w:val="left" w:pos="834"/>
        </w:tabs>
        <w:ind w:left="833" w:right="949" w:hanging="361"/>
      </w:pPr>
      <w:r>
        <w:t>Koorlong</w:t>
      </w:r>
      <w:r>
        <w:rPr>
          <w:spacing w:val="67"/>
        </w:rPr>
        <w:t xml:space="preserve"> </w:t>
      </w:r>
      <w:r>
        <w:t>Sewer</w:t>
      </w:r>
      <w:r>
        <w:rPr>
          <w:spacing w:val="40"/>
        </w:rPr>
        <w:t xml:space="preserve"> </w:t>
      </w:r>
      <w:r>
        <w:t>Rising</w:t>
      </w:r>
      <w:r>
        <w:rPr>
          <w:spacing w:val="67"/>
        </w:rPr>
        <w:t xml:space="preserve"> </w:t>
      </w:r>
      <w:r>
        <w:t>Main</w:t>
      </w:r>
      <w:r>
        <w:rPr>
          <w:spacing w:val="40"/>
        </w:rPr>
        <w:t xml:space="preserve"> </w:t>
      </w:r>
      <w:r>
        <w:t>Duplication:</w:t>
      </w:r>
      <w:r>
        <w:rPr>
          <w:spacing w:val="40"/>
        </w:rPr>
        <w:t xml:space="preserve"> </w:t>
      </w:r>
      <w:r>
        <w:t>Only</w:t>
      </w:r>
      <w:r>
        <w:rPr>
          <w:spacing w:val="68"/>
        </w:rPr>
        <w:t xml:space="preserve"> </w:t>
      </w:r>
      <w:r>
        <w:t>allowance</w:t>
      </w:r>
      <w:r>
        <w:rPr>
          <w:spacing w:val="40"/>
        </w:rPr>
        <w:t xml:space="preserve"> </w:t>
      </w:r>
      <w:r>
        <w:t>for</w:t>
      </w:r>
      <w:r>
        <w:rPr>
          <w:spacing w:val="67"/>
        </w:rPr>
        <w:t xml:space="preserve"> </w:t>
      </w:r>
      <w:r>
        <w:t>design</w:t>
      </w:r>
      <w:r>
        <w:rPr>
          <w:spacing w:val="40"/>
        </w:rPr>
        <w:t xml:space="preserve"> </w:t>
      </w:r>
      <w:r>
        <w:t>and</w:t>
      </w:r>
      <w:r>
        <w:rPr>
          <w:spacing w:val="67"/>
        </w:rPr>
        <w:t xml:space="preserve"> </w:t>
      </w:r>
      <w:r>
        <w:t>approvals</w:t>
      </w:r>
      <w:r>
        <w:rPr>
          <w:spacing w:val="40"/>
        </w:rPr>
        <w:t xml:space="preserve"> </w:t>
      </w:r>
      <w:r>
        <w:t>included</w:t>
      </w:r>
      <w:r>
        <w:rPr>
          <w:spacing w:val="40"/>
        </w:rPr>
        <w:t xml:space="preserve"> </w:t>
      </w:r>
      <w:r>
        <w:t>as uncertainty about when customer demand will exceed existing rising main capacity</w:t>
      </w:r>
    </w:p>
    <w:p w14:paraId="59F48378" w14:textId="77777777" w:rsidR="00141B97" w:rsidRDefault="00911D63">
      <w:pPr>
        <w:pStyle w:val="ListParagraph"/>
        <w:numPr>
          <w:ilvl w:val="0"/>
          <w:numId w:val="42"/>
        </w:numPr>
        <w:tabs>
          <w:tab w:val="left" w:pos="833"/>
          <w:tab w:val="left" w:pos="834"/>
        </w:tabs>
        <w:ind w:right="949" w:hanging="361"/>
      </w:pPr>
      <w:r>
        <w:t>Red</w:t>
      </w:r>
      <w:r>
        <w:rPr>
          <w:spacing w:val="30"/>
        </w:rPr>
        <w:t xml:space="preserve"> </w:t>
      </w:r>
      <w:r>
        <w:t>Cliffs</w:t>
      </w:r>
      <w:r>
        <w:rPr>
          <w:spacing w:val="29"/>
        </w:rPr>
        <w:t xml:space="preserve"> </w:t>
      </w:r>
      <w:r>
        <w:t>Interconnector:</w:t>
      </w:r>
      <w:r>
        <w:rPr>
          <w:spacing w:val="30"/>
        </w:rPr>
        <w:t xml:space="preserve"> </w:t>
      </w:r>
      <w:r>
        <w:t>Only</w:t>
      </w:r>
      <w:r>
        <w:rPr>
          <w:spacing w:val="30"/>
        </w:rPr>
        <w:t xml:space="preserve"> </w:t>
      </w:r>
      <w:r>
        <w:t>allowance</w:t>
      </w:r>
      <w:r>
        <w:rPr>
          <w:spacing w:val="28"/>
        </w:rPr>
        <w:t xml:space="preserve"> </w:t>
      </w:r>
      <w:r>
        <w:t>for</w:t>
      </w:r>
      <w:r>
        <w:rPr>
          <w:spacing w:val="28"/>
        </w:rPr>
        <w:t xml:space="preserve"> </w:t>
      </w:r>
      <w:r>
        <w:t>design</w:t>
      </w:r>
      <w:r>
        <w:rPr>
          <w:spacing w:val="29"/>
        </w:rPr>
        <w:t xml:space="preserve"> </w:t>
      </w:r>
      <w:r>
        <w:t>included</w:t>
      </w:r>
      <w:r>
        <w:rPr>
          <w:spacing w:val="29"/>
        </w:rPr>
        <w:t xml:space="preserve"> </w:t>
      </w:r>
      <w:r>
        <w:t>as</w:t>
      </w:r>
      <w:r>
        <w:rPr>
          <w:spacing w:val="30"/>
        </w:rPr>
        <w:t xml:space="preserve"> </w:t>
      </w:r>
      <w:r>
        <w:t>uncertainty</w:t>
      </w:r>
      <w:r>
        <w:rPr>
          <w:spacing w:val="28"/>
        </w:rPr>
        <w:t xml:space="preserve"> </w:t>
      </w:r>
      <w:r>
        <w:t>about</w:t>
      </w:r>
      <w:r>
        <w:rPr>
          <w:spacing w:val="30"/>
        </w:rPr>
        <w:t xml:space="preserve"> </w:t>
      </w:r>
      <w:r>
        <w:t>when</w:t>
      </w:r>
      <w:r>
        <w:rPr>
          <w:spacing w:val="30"/>
        </w:rPr>
        <w:t xml:space="preserve"> </w:t>
      </w:r>
      <w:r>
        <w:t>industrial demand from several wineries exceeds existing Red Cliffs WTP capacity</w:t>
      </w:r>
    </w:p>
    <w:p w14:paraId="146487DC" w14:textId="77777777" w:rsidR="00141B97" w:rsidRDefault="00141B97">
      <w:pPr>
        <w:pStyle w:val="BodyText"/>
        <w:spacing w:before="11"/>
        <w:rPr>
          <w:sz w:val="21"/>
        </w:rPr>
      </w:pPr>
    </w:p>
    <w:p w14:paraId="6FBCC0A9" w14:textId="77777777" w:rsidR="00141B97" w:rsidRDefault="00911D63">
      <w:pPr>
        <w:pStyle w:val="BodyText"/>
        <w:spacing w:before="1"/>
        <w:ind w:left="113" w:right="947" w:hanging="1"/>
        <w:jc w:val="both"/>
      </w:pPr>
      <w:r>
        <w:t>In addition, other projects have been excluded from this capital program on the basis that they have been assessed</w:t>
      </w:r>
      <w:r>
        <w:rPr>
          <w:spacing w:val="-5"/>
        </w:rPr>
        <w:t xml:space="preserve"> </w:t>
      </w:r>
      <w:r>
        <w:t>by</w:t>
      </w:r>
      <w:r>
        <w:rPr>
          <w:spacing w:val="-5"/>
        </w:rPr>
        <w:t xml:space="preserve"> </w:t>
      </w:r>
      <w:r>
        <w:t>LMW</w:t>
      </w:r>
      <w:r>
        <w:rPr>
          <w:spacing w:val="-5"/>
        </w:rPr>
        <w:t xml:space="preserve"> </w:t>
      </w:r>
      <w:r>
        <w:t>as</w:t>
      </w:r>
      <w:r>
        <w:rPr>
          <w:spacing w:val="-4"/>
        </w:rPr>
        <w:t xml:space="preserve"> </w:t>
      </w:r>
      <w:r>
        <w:t>unlikely</w:t>
      </w:r>
      <w:r>
        <w:rPr>
          <w:spacing w:val="-5"/>
        </w:rPr>
        <w:t xml:space="preserve"> </w:t>
      </w:r>
      <w:r>
        <w:t>to</w:t>
      </w:r>
      <w:r>
        <w:rPr>
          <w:spacing w:val="-6"/>
        </w:rPr>
        <w:t xml:space="preserve"> </w:t>
      </w:r>
      <w:r>
        <w:t>be</w:t>
      </w:r>
      <w:r>
        <w:rPr>
          <w:spacing w:val="-5"/>
        </w:rPr>
        <w:t xml:space="preserve"> </w:t>
      </w:r>
      <w:r>
        <w:t>required</w:t>
      </w:r>
      <w:r>
        <w:rPr>
          <w:spacing w:val="-4"/>
        </w:rPr>
        <w:t xml:space="preserve"> </w:t>
      </w:r>
      <w:r>
        <w:t>during</w:t>
      </w:r>
      <w:r>
        <w:rPr>
          <w:spacing w:val="-5"/>
        </w:rPr>
        <w:t xml:space="preserve"> </w:t>
      </w:r>
      <w:r>
        <w:t>the</w:t>
      </w:r>
      <w:r>
        <w:rPr>
          <w:spacing w:val="-5"/>
        </w:rPr>
        <w:t xml:space="preserve"> </w:t>
      </w:r>
      <w:r>
        <w:t>period,</w:t>
      </w:r>
      <w:r>
        <w:rPr>
          <w:spacing w:val="-4"/>
        </w:rPr>
        <w:t xml:space="preserve"> </w:t>
      </w:r>
      <w:r>
        <w:t>with</w:t>
      </w:r>
      <w:r>
        <w:rPr>
          <w:spacing w:val="-5"/>
        </w:rPr>
        <w:t xml:space="preserve"> </w:t>
      </w:r>
      <w:r>
        <w:t>LMW</w:t>
      </w:r>
      <w:r>
        <w:rPr>
          <w:spacing w:val="-5"/>
        </w:rPr>
        <w:t xml:space="preserve"> </w:t>
      </w:r>
      <w:r>
        <w:t>taking</w:t>
      </w:r>
      <w:r>
        <w:rPr>
          <w:spacing w:val="-4"/>
        </w:rPr>
        <w:t xml:space="preserve"> </w:t>
      </w:r>
      <w:r>
        <w:t>the</w:t>
      </w:r>
      <w:r>
        <w:rPr>
          <w:spacing w:val="-5"/>
        </w:rPr>
        <w:t xml:space="preserve"> </w:t>
      </w:r>
      <w:r>
        <w:t>risk</w:t>
      </w:r>
      <w:r>
        <w:rPr>
          <w:spacing w:val="-4"/>
        </w:rPr>
        <w:t xml:space="preserve"> </w:t>
      </w:r>
      <w:r>
        <w:t>on</w:t>
      </w:r>
      <w:r>
        <w:rPr>
          <w:spacing w:val="-4"/>
        </w:rPr>
        <w:t xml:space="preserve"> </w:t>
      </w:r>
      <w:r>
        <w:t>behalf</w:t>
      </w:r>
      <w:r>
        <w:rPr>
          <w:spacing w:val="-4"/>
        </w:rPr>
        <w:t xml:space="preserve"> </w:t>
      </w:r>
      <w:r>
        <w:t>of</w:t>
      </w:r>
      <w:r>
        <w:rPr>
          <w:spacing w:val="-5"/>
        </w:rPr>
        <w:t xml:space="preserve"> </w:t>
      </w:r>
      <w:r>
        <w:t>customers that should circumstances alter and these projects are required, LMW will be required to fund these works. These include:</w:t>
      </w:r>
    </w:p>
    <w:p w14:paraId="37380702" w14:textId="77777777" w:rsidR="00141B97" w:rsidRDefault="00911D63">
      <w:pPr>
        <w:pStyle w:val="ListParagraph"/>
        <w:numPr>
          <w:ilvl w:val="0"/>
          <w:numId w:val="42"/>
        </w:numPr>
        <w:tabs>
          <w:tab w:val="left" w:pos="835"/>
        </w:tabs>
        <w:ind w:right="949" w:hanging="361"/>
        <w:jc w:val="both"/>
      </w:pPr>
      <w:r>
        <w:t>Mildura WWTP carousel: Structure leaks with hydrological monitoring required to determine environmental impact to guide ongoing asset management strategy</w:t>
      </w:r>
    </w:p>
    <w:p w14:paraId="7B71BC0D" w14:textId="77777777" w:rsidR="00141B97" w:rsidRDefault="00911D63">
      <w:pPr>
        <w:pStyle w:val="ListParagraph"/>
        <w:numPr>
          <w:ilvl w:val="0"/>
          <w:numId w:val="42"/>
        </w:numPr>
        <w:tabs>
          <w:tab w:val="left" w:pos="835"/>
        </w:tabs>
        <w:spacing w:line="259" w:lineRule="auto"/>
        <w:ind w:right="948"/>
        <w:jc w:val="both"/>
      </w:pPr>
      <w:r>
        <w:t>New 10ML Treated Water Storage and Pump Station upgrade at Fourteenth Street, Mildura (Stage 1): Forecast storage shortfall at end of PS5 period, reducing security of supply. Additional storage and the pump station capacity upgrade have been delayed until PS6 based on uncertanity associated with growth</w:t>
      </w:r>
      <w:r>
        <w:rPr>
          <w:spacing w:val="-8"/>
        </w:rPr>
        <w:t xml:space="preserve"> </w:t>
      </w:r>
      <w:r>
        <w:t>forecast</w:t>
      </w:r>
      <w:r>
        <w:rPr>
          <w:spacing w:val="-8"/>
        </w:rPr>
        <w:t xml:space="preserve"> </w:t>
      </w:r>
      <w:r>
        <w:t>and</w:t>
      </w:r>
      <w:r>
        <w:rPr>
          <w:spacing w:val="-8"/>
        </w:rPr>
        <w:t xml:space="preserve"> </w:t>
      </w:r>
      <w:r>
        <w:t>development</w:t>
      </w:r>
      <w:r>
        <w:rPr>
          <w:spacing w:val="-8"/>
        </w:rPr>
        <w:t xml:space="preserve"> </w:t>
      </w:r>
      <w:r>
        <w:t>areas.</w:t>
      </w:r>
      <w:r>
        <w:rPr>
          <w:spacing w:val="-9"/>
        </w:rPr>
        <w:t xml:space="preserve"> </w:t>
      </w:r>
      <w:r>
        <w:t>However,</w:t>
      </w:r>
      <w:r>
        <w:rPr>
          <w:spacing w:val="-8"/>
        </w:rPr>
        <w:t xml:space="preserve"> </w:t>
      </w:r>
      <w:r>
        <w:t>upgrade</w:t>
      </w:r>
      <w:r>
        <w:rPr>
          <w:spacing w:val="-8"/>
        </w:rPr>
        <w:t xml:space="preserve"> </w:t>
      </w:r>
      <w:r>
        <w:t>of</w:t>
      </w:r>
      <w:r>
        <w:rPr>
          <w:spacing w:val="-7"/>
        </w:rPr>
        <w:t xml:space="preserve"> </w:t>
      </w:r>
      <w:r>
        <w:t>electrical</w:t>
      </w:r>
      <w:r>
        <w:rPr>
          <w:spacing w:val="-8"/>
        </w:rPr>
        <w:t xml:space="preserve"> </w:t>
      </w:r>
      <w:r>
        <w:t>assets</w:t>
      </w:r>
      <w:r>
        <w:rPr>
          <w:spacing w:val="-8"/>
        </w:rPr>
        <w:t xml:space="preserve"> </w:t>
      </w:r>
      <w:r>
        <w:t>within</w:t>
      </w:r>
      <w:r>
        <w:rPr>
          <w:spacing w:val="-8"/>
        </w:rPr>
        <w:t xml:space="preserve"> </w:t>
      </w:r>
      <w:r>
        <w:t>the</w:t>
      </w:r>
      <w:r>
        <w:rPr>
          <w:spacing w:val="-9"/>
        </w:rPr>
        <w:t xml:space="preserve"> </w:t>
      </w:r>
      <w:r>
        <w:t>pump</w:t>
      </w:r>
      <w:r>
        <w:rPr>
          <w:spacing w:val="-9"/>
        </w:rPr>
        <w:t xml:space="preserve"> </w:t>
      </w:r>
      <w:r>
        <w:t>Station is included in PS5 due to the condition.</w:t>
      </w:r>
    </w:p>
    <w:p w14:paraId="5548473E" w14:textId="77777777" w:rsidR="00141B97" w:rsidRDefault="00911D63">
      <w:pPr>
        <w:pStyle w:val="ListParagraph"/>
        <w:numPr>
          <w:ilvl w:val="0"/>
          <w:numId w:val="42"/>
        </w:numPr>
        <w:tabs>
          <w:tab w:val="left" w:pos="834"/>
        </w:tabs>
        <w:spacing w:line="259" w:lineRule="auto"/>
        <w:ind w:right="949" w:hanging="361"/>
        <w:jc w:val="both"/>
      </w:pPr>
      <w:r>
        <w:t>Swan Hill South West Development Major Sewerage pump station: Included within PS6 as an interim solution is possible if development occurs within PS5</w:t>
      </w:r>
    </w:p>
    <w:p w14:paraId="50E1ED90" w14:textId="77777777" w:rsidR="00141B97" w:rsidRDefault="00911D63">
      <w:pPr>
        <w:pStyle w:val="ListParagraph"/>
        <w:numPr>
          <w:ilvl w:val="0"/>
          <w:numId w:val="42"/>
        </w:numPr>
        <w:tabs>
          <w:tab w:val="left" w:pos="835"/>
        </w:tabs>
        <w:spacing w:line="259" w:lineRule="auto"/>
        <w:ind w:left="833" w:right="948"/>
        <w:jc w:val="both"/>
      </w:pPr>
      <w:r>
        <w:t>Mildura Raw Water Pump Station Reconfiguration: Existing operational flow rate step change and access issues can be managed until PS6.</w:t>
      </w:r>
    </w:p>
    <w:p w14:paraId="06639791" w14:textId="77777777" w:rsidR="00141B97" w:rsidRDefault="00141B97">
      <w:pPr>
        <w:spacing w:line="259" w:lineRule="auto"/>
        <w:jc w:val="both"/>
        <w:sectPr w:rsidR="00141B97">
          <w:pgSz w:w="11910" w:h="16840"/>
          <w:pgMar w:top="820" w:right="40" w:bottom="760" w:left="1020" w:header="0" w:footer="580" w:gutter="0"/>
          <w:cols w:space="720"/>
        </w:sectPr>
      </w:pPr>
    </w:p>
    <w:p w14:paraId="35BA3885" w14:textId="77777777" w:rsidR="00141B97" w:rsidRDefault="00911D63">
      <w:pPr>
        <w:pStyle w:val="ListParagraph"/>
        <w:numPr>
          <w:ilvl w:val="2"/>
          <w:numId w:val="81"/>
        </w:numPr>
        <w:tabs>
          <w:tab w:val="left" w:pos="1112"/>
          <w:tab w:val="left" w:pos="1113"/>
        </w:tabs>
        <w:spacing w:before="43"/>
        <w:jc w:val="both"/>
      </w:pPr>
      <w:r>
        <w:rPr>
          <w:spacing w:val="-2"/>
        </w:rPr>
        <w:lastRenderedPageBreak/>
        <w:t>Capex/Opex</w:t>
      </w:r>
      <w:r>
        <w:rPr>
          <w:spacing w:val="6"/>
        </w:rPr>
        <w:t xml:space="preserve"> </w:t>
      </w:r>
      <w:r>
        <w:rPr>
          <w:spacing w:val="-2"/>
        </w:rPr>
        <w:t>Trade‐offs</w:t>
      </w:r>
    </w:p>
    <w:p w14:paraId="44170B8D" w14:textId="77777777" w:rsidR="00141B97" w:rsidRDefault="00911D63">
      <w:pPr>
        <w:pStyle w:val="BodyText"/>
        <w:spacing w:before="59"/>
        <w:ind w:left="113"/>
        <w:jc w:val="both"/>
      </w:pPr>
      <w:r>
        <w:t>Projects</w:t>
      </w:r>
      <w:r>
        <w:rPr>
          <w:spacing w:val="-9"/>
        </w:rPr>
        <w:t xml:space="preserve"> </w:t>
      </w:r>
      <w:r>
        <w:t>which</w:t>
      </w:r>
      <w:r>
        <w:rPr>
          <w:spacing w:val="-8"/>
        </w:rPr>
        <w:t xml:space="preserve"> </w:t>
      </w:r>
      <w:r>
        <w:t>may</w:t>
      </w:r>
      <w:r>
        <w:rPr>
          <w:spacing w:val="-7"/>
        </w:rPr>
        <w:t xml:space="preserve"> </w:t>
      </w:r>
      <w:r>
        <w:t>have</w:t>
      </w:r>
      <w:r>
        <w:rPr>
          <w:spacing w:val="-8"/>
        </w:rPr>
        <w:t xml:space="preserve"> </w:t>
      </w:r>
      <w:r>
        <w:t>potential</w:t>
      </w:r>
      <w:r>
        <w:rPr>
          <w:spacing w:val="-8"/>
        </w:rPr>
        <w:t xml:space="preserve"> </w:t>
      </w:r>
      <w:r>
        <w:t>capex/opex</w:t>
      </w:r>
      <w:r>
        <w:rPr>
          <w:spacing w:val="-7"/>
        </w:rPr>
        <w:t xml:space="preserve"> </w:t>
      </w:r>
      <w:r>
        <w:t>trade‐offs</w:t>
      </w:r>
      <w:r>
        <w:rPr>
          <w:spacing w:val="-8"/>
        </w:rPr>
        <w:t xml:space="preserve"> </w:t>
      </w:r>
      <w:r>
        <w:rPr>
          <w:spacing w:val="-2"/>
        </w:rPr>
        <w:t>include:</w:t>
      </w:r>
    </w:p>
    <w:p w14:paraId="4322F3C5" w14:textId="77777777" w:rsidR="00141B97" w:rsidRDefault="00911D63">
      <w:pPr>
        <w:pStyle w:val="ListParagraph"/>
        <w:numPr>
          <w:ilvl w:val="0"/>
          <w:numId w:val="41"/>
        </w:numPr>
        <w:tabs>
          <w:tab w:val="left" w:pos="834"/>
        </w:tabs>
        <w:spacing w:before="61" w:line="249" w:lineRule="auto"/>
        <w:ind w:right="947"/>
        <w:jc w:val="both"/>
      </w:pPr>
      <w:r>
        <w:t>Renewals</w:t>
      </w:r>
      <w:r>
        <w:rPr>
          <w:spacing w:val="-5"/>
        </w:rPr>
        <w:t xml:space="preserve"> </w:t>
      </w:r>
      <w:r>
        <w:t>projects,</w:t>
      </w:r>
      <w:r>
        <w:rPr>
          <w:spacing w:val="-5"/>
        </w:rPr>
        <w:t xml:space="preserve"> </w:t>
      </w:r>
      <w:r>
        <w:t>where</w:t>
      </w:r>
      <w:r>
        <w:rPr>
          <w:spacing w:val="-6"/>
        </w:rPr>
        <w:t xml:space="preserve"> </w:t>
      </w:r>
      <w:r>
        <w:t>replacing</w:t>
      </w:r>
      <w:r>
        <w:rPr>
          <w:spacing w:val="-4"/>
        </w:rPr>
        <w:t xml:space="preserve"> </w:t>
      </w:r>
      <w:r>
        <w:t>a</w:t>
      </w:r>
      <w:r>
        <w:rPr>
          <w:spacing w:val="-6"/>
        </w:rPr>
        <w:t xml:space="preserve"> </w:t>
      </w:r>
      <w:r>
        <w:t>failing</w:t>
      </w:r>
      <w:r>
        <w:rPr>
          <w:spacing w:val="-6"/>
        </w:rPr>
        <w:t xml:space="preserve"> </w:t>
      </w:r>
      <w:r>
        <w:t>asset</w:t>
      </w:r>
      <w:r>
        <w:rPr>
          <w:spacing w:val="-6"/>
        </w:rPr>
        <w:t xml:space="preserve"> </w:t>
      </w:r>
      <w:r>
        <w:t>may</w:t>
      </w:r>
      <w:r>
        <w:rPr>
          <w:spacing w:val="-4"/>
        </w:rPr>
        <w:t xml:space="preserve"> </w:t>
      </w:r>
      <w:r>
        <w:t>reduce</w:t>
      </w:r>
      <w:r>
        <w:rPr>
          <w:spacing w:val="-6"/>
        </w:rPr>
        <w:t xml:space="preserve"> </w:t>
      </w:r>
      <w:r>
        <w:t>future</w:t>
      </w:r>
      <w:r>
        <w:rPr>
          <w:spacing w:val="-7"/>
        </w:rPr>
        <w:t xml:space="preserve"> </w:t>
      </w:r>
      <w:r>
        <w:t>maintenance</w:t>
      </w:r>
      <w:r>
        <w:rPr>
          <w:spacing w:val="-7"/>
        </w:rPr>
        <w:t xml:space="preserve"> </w:t>
      </w:r>
      <w:r>
        <w:t>requirements.</w:t>
      </w:r>
      <w:r>
        <w:rPr>
          <w:spacing w:val="-6"/>
        </w:rPr>
        <w:t xml:space="preserve"> </w:t>
      </w:r>
      <w:r>
        <w:t>LMW continues to deliver ongoing asset replacement (water mains, plant, and equipment), refurbishment (storage</w:t>
      </w:r>
      <w:r>
        <w:rPr>
          <w:spacing w:val="-11"/>
        </w:rPr>
        <w:t xml:space="preserve"> </w:t>
      </w:r>
      <w:r>
        <w:t>tanks)</w:t>
      </w:r>
      <w:r>
        <w:rPr>
          <w:spacing w:val="-9"/>
        </w:rPr>
        <w:t xml:space="preserve"> </w:t>
      </w:r>
      <w:r>
        <w:t>and</w:t>
      </w:r>
      <w:r>
        <w:rPr>
          <w:spacing w:val="-9"/>
        </w:rPr>
        <w:t xml:space="preserve"> </w:t>
      </w:r>
      <w:r>
        <w:t>relining</w:t>
      </w:r>
      <w:r>
        <w:rPr>
          <w:spacing w:val="-9"/>
        </w:rPr>
        <w:t xml:space="preserve"> </w:t>
      </w:r>
      <w:r>
        <w:t>(sewers)</w:t>
      </w:r>
      <w:r>
        <w:rPr>
          <w:spacing w:val="-9"/>
        </w:rPr>
        <w:t xml:space="preserve"> </w:t>
      </w:r>
      <w:r>
        <w:t>programs.</w:t>
      </w:r>
      <w:r>
        <w:rPr>
          <w:spacing w:val="-10"/>
        </w:rPr>
        <w:t xml:space="preserve"> </w:t>
      </w:r>
      <w:r>
        <w:t>The</w:t>
      </w:r>
      <w:r>
        <w:rPr>
          <w:spacing w:val="-7"/>
        </w:rPr>
        <w:t xml:space="preserve"> </w:t>
      </w:r>
      <w:r>
        <w:t>programs</w:t>
      </w:r>
      <w:r>
        <w:rPr>
          <w:spacing w:val="-9"/>
        </w:rPr>
        <w:t xml:space="preserve"> </w:t>
      </w:r>
      <w:r>
        <w:t>are</w:t>
      </w:r>
      <w:r>
        <w:rPr>
          <w:spacing w:val="-8"/>
        </w:rPr>
        <w:t xml:space="preserve"> </w:t>
      </w:r>
      <w:r>
        <w:t>all</w:t>
      </w:r>
      <w:r>
        <w:rPr>
          <w:spacing w:val="-8"/>
        </w:rPr>
        <w:t xml:space="preserve"> </w:t>
      </w:r>
      <w:r>
        <w:t>designed</w:t>
      </w:r>
      <w:r>
        <w:rPr>
          <w:spacing w:val="-10"/>
        </w:rPr>
        <w:t xml:space="preserve"> </w:t>
      </w:r>
      <w:r>
        <w:t>to</w:t>
      </w:r>
      <w:r>
        <w:rPr>
          <w:spacing w:val="-10"/>
        </w:rPr>
        <w:t xml:space="preserve"> </w:t>
      </w:r>
      <w:r>
        <w:t>maintain</w:t>
      </w:r>
      <w:r>
        <w:rPr>
          <w:spacing w:val="-9"/>
        </w:rPr>
        <w:t xml:space="preserve"> </w:t>
      </w:r>
      <w:r>
        <w:t>service</w:t>
      </w:r>
      <w:r>
        <w:rPr>
          <w:spacing w:val="-9"/>
        </w:rPr>
        <w:t xml:space="preserve"> </w:t>
      </w:r>
      <w:r>
        <w:t>levels within targets, manage risk of major failure, and maintain a balance between reactive and preventive maintenance. Consequently, there are no specific and quantifiable operating expenditure reductions from</w:t>
      </w:r>
      <w:r>
        <w:rPr>
          <w:spacing w:val="-11"/>
        </w:rPr>
        <w:t xml:space="preserve"> </w:t>
      </w:r>
      <w:r>
        <w:t>renewals</w:t>
      </w:r>
      <w:r>
        <w:rPr>
          <w:spacing w:val="-13"/>
        </w:rPr>
        <w:t xml:space="preserve"> </w:t>
      </w:r>
      <w:r>
        <w:t>investment,</w:t>
      </w:r>
      <w:r>
        <w:rPr>
          <w:spacing w:val="-9"/>
        </w:rPr>
        <w:t xml:space="preserve"> </w:t>
      </w:r>
      <w:r>
        <w:t>although</w:t>
      </w:r>
      <w:r>
        <w:rPr>
          <w:spacing w:val="-12"/>
        </w:rPr>
        <w:t xml:space="preserve"> </w:t>
      </w:r>
      <w:r>
        <w:t>continuing</w:t>
      </w:r>
      <w:r>
        <w:rPr>
          <w:spacing w:val="-11"/>
        </w:rPr>
        <w:t xml:space="preserve"> </w:t>
      </w:r>
      <w:r>
        <w:t>improvement</w:t>
      </w:r>
      <w:r>
        <w:rPr>
          <w:spacing w:val="-11"/>
        </w:rPr>
        <w:t xml:space="preserve"> </w:t>
      </w:r>
      <w:r>
        <w:t>in</w:t>
      </w:r>
      <w:r>
        <w:rPr>
          <w:spacing w:val="-10"/>
        </w:rPr>
        <w:t xml:space="preserve"> </w:t>
      </w:r>
      <w:r>
        <w:t>asset</w:t>
      </w:r>
      <w:r>
        <w:rPr>
          <w:spacing w:val="-13"/>
        </w:rPr>
        <w:t xml:space="preserve"> </w:t>
      </w:r>
      <w:r>
        <w:t>management</w:t>
      </w:r>
      <w:r>
        <w:rPr>
          <w:spacing w:val="-12"/>
        </w:rPr>
        <w:t xml:space="preserve"> </w:t>
      </w:r>
      <w:r>
        <w:t>capability</w:t>
      </w:r>
      <w:r>
        <w:rPr>
          <w:spacing w:val="-10"/>
        </w:rPr>
        <w:t xml:space="preserve"> </w:t>
      </w:r>
      <w:r>
        <w:t xml:space="preserve">including systematic condition assessments and improved life cycle costing will bring efficiencies to service </w:t>
      </w:r>
      <w:r>
        <w:rPr>
          <w:spacing w:val="-2"/>
        </w:rPr>
        <w:t>delivery.</w:t>
      </w:r>
    </w:p>
    <w:p w14:paraId="2EEE9459" w14:textId="77777777" w:rsidR="00141B97" w:rsidRDefault="00911D63">
      <w:pPr>
        <w:pStyle w:val="ListParagraph"/>
        <w:numPr>
          <w:ilvl w:val="0"/>
          <w:numId w:val="41"/>
        </w:numPr>
        <w:tabs>
          <w:tab w:val="left" w:pos="835"/>
        </w:tabs>
        <w:spacing w:before="114" w:line="249" w:lineRule="auto"/>
        <w:ind w:left="834" w:right="947"/>
        <w:jc w:val="both"/>
      </w:pPr>
      <w:r>
        <w:t>Automation</w:t>
      </w:r>
      <w:r>
        <w:rPr>
          <w:spacing w:val="-1"/>
        </w:rPr>
        <w:t xml:space="preserve"> </w:t>
      </w:r>
      <w:r>
        <w:t>projects</w:t>
      </w:r>
      <w:r>
        <w:rPr>
          <w:spacing w:val="-3"/>
        </w:rPr>
        <w:t xml:space="preserve"> </w:t>
      </w:r>
      <w:r>
        <w:t>where</w:t>
      </w:r>
      <w:r>
        <w:rPr>
          <w:spacing w:val="-2"/>
        </w:rPr>
        <w:t xml:space="preserve"> </w:t>
      </w:r>
      <w:r>
        <w:t>increased</w:t>
      </w:r>
      <w:r>
        <w:rPr>
          <w:spacing w:val="-3"/>
        </w:rPr>
        <w:t xml:space="preserve"> </w:t>
      </w:r>
      <w:r>
        <w:t>automation,</w:t>
      </w:r>
      <w:r>
        <w:rPr>
          <w:spacing w:val="-2"/>
        </w:rPr>
        <w:t xml:space="preserve"> </w:t>
      </w:r>
      <w:r>
        <w:t>and</w:t>
      </w:r>
      <w:r>
        <w:rPr>
          <w:spacing w:val="-3"/>
        </w:rPr>
        <w:t xml:space="preserve"> </w:t>
      </w:r>
      <w:r>
        <w:t>remote</w:t>
      </w:r>
      <w:r>
        <w:rPr>
          <w:spacing w:val="-3"/>
        </w:rPr>
        <w:t xml:space="preserve"> </w:t>
      </w:r>
      <w:r>
        <w:t>monitoring</w:t>
      </w:r>
      <w:r>
        <w:rPr>
          <w:spacing w:val="-2"/>
        </w:rPr>
        <w:t xml:space="preserve"> </w:t>
      </w:r>
      <w:r>
        <w:t>and</w:t>
      </w:r>
      <w:r>
        <w:rPr>
          <w:spacing w:val="-1"/>
        </w:rPr>
        <w:t xml:space="preserve"> </w:t>
      </w:r>
      <w:r>
        <w:t>meter</w:t>
      </w:r>
      <w:r>
        <w:rPr>
          <w:spacing w:val="-3"/>
        </w:rPr>
        <w:t xml:space="preserve"> </w:t>
      </w:r>
      <w:r>
        <w:t>reading,</w:t>
      </w:r>
      <w:r>
        <w:rPr>
          <w:spacing w:val="-3"/>
        </w:rPr>
        <w:t xml:space="preserve"> </w:t>
      </w:r>
      <w:r>
        <w:t>provide opportunities</w:t>
      </w:r>
      <w:r>
        <w:rPr>
          <w:spacing w:val="-9"/>
        </w:rPr>
        <w:t xml:space="preserve"> </w:t>
      </w:r>
      <w:r>
        <w:t>for</w:t>
      </w:r>
      <w:r>
        <w:rPr>
          <w:spacing w:val="-9"/>
        </w:rPr>
        <w:t xml:space="preserve"> </w:t>
      </w:r>
      <w:r>
        <w:t>reductions</w:t>
      </w:r>
      <w:r>
        <w:rPr>
          <w:spacing w:val="-9"/>
        </w:rPr>
        <w:t xml:space="preserve"> </w:t>
      </w:r>
      <w:r>
        <w:t>in</w:t>
      </w:r>
      <w:r>
        <w:rPr>
          <w:spacing w:val="-9"/>
        </w:rPr>
        <w:t xml:space="preserve"> </w:t>
      </w:r>
      <w:r>
        <w:t>labour</w:t>
      </w:r>
      <w:r>
        <w:rPr>
          <w:spacing w:val="-10"/>
        </w:rPr>
        <w:t xml:space="preserve"> </w:t>
      </w:r>
      <w:r>
        <w:t>costs</w:t>
      </w:r>
      <w:r>
        <w:rPr>
          <w:spacing w:val="-10"/>
        </w:rPr>
        <w:t xml:space="preserve"> </w:t>
      </w:r>
      <w:r>
        <w:t>and</w:t>
      </w:r>
      <w:r>
        <w:rPr>
          <w:spacing w:val="-9"/>
        </w:rPr>
        <w:t xml:space="preserve"> </w:t>
      </w:r>
      <w:r>
        <w:t>site</w:t>
      </w:r>
      <w:r>
        <w:rPr>
          <w:spacing w:val="-9"/>
        </w:rPr>
        <w:t xml:space="preserve"> </w:t>
      </w:r>
      <w:r>
        <w:t>attendance.</w:t>
      </w:r>
      <w:r>
        <w:rPr>
          <w:spacing w:val="-9"/>
        </w:rPr>
        <w:t xml:space="preserve"> </w:t>
      </w:r>
      <w:r>
        <w:t>The</w:t>
      </w:r>
      <w:r>
        <w:rPr>
          <w:spacing w:val="-9"/>
        </w:rPr>
        <w:t xml:space="preserve"> </w:t>
      </w:r>
      <w:r>
        <w:t>operating</w:t>
      </w:r>
      <w:r>
        <w:rPr>
          <w:spacing w:val="-8"/>
        </w:rPr>
        <w:t xml:space="preserve"> </w:t>
      </w:r>
      <w:r>
        <w:t>expenditure</w:t>
      </w:r>
      <w:r>
        <w:rPr>
          <w:spacing w:val="-9"/>
        </w:rPr>
        <w:t xml:space="preserve"> </w:t>
      </w:r>
      <w:r>
        <w:t>efficiencies from these projects are described elsewhere in this document relating to productivity improvements and the business transformation project.</w:t>
      </w:r>
    </w:p>
    <w:p w14:paraId="11BDF4A0" w14:textId="77777777" w:rsidR="00141B97" w:rsidRDefault="00141B97">
      <w:pPr>
        <w:pStyle w:val="BodyText"/>
        <w:spacing w:before="5"/>
        <w:rPr>
          <w:sz w:val="30"/>
        </w:rPr>
      </w:pPr>
    </w:p>
    <w:p w14:paraId="3F5E4CE1" w14:textId="77777777" w:rsidR="00141B97" w:rsidRDefault="00911D63">
      <w:pPr>
        <w:pStyle w:val="Heading2"/>
        <w:numPr>
          <w:ilvl w:val="1"/>
          <w:numId w:val="81"/>
        </w:numPr>
        <w:tabs>
          <w:tab w:val="left" w:pos="1113"/>
        </w:tabs>
        <w:jc w:val="both"/>
      </w:pPr>
      <w:r>
        <w:rPr>
          <w:color w:val="009BAC"/>
        </w:rPr>
        <w:t>Return</w:t>
      </w:r>
      <w:r>
        <w:rPr>
          <w:color w:val="009BAC"/>
          <w:spacing w:val="-5"/>
        </w:rPr>
        <w:t xml:space="preserve"> </w:t>
      </w:r>
      <w:r>
        <w:rPr>
          <w:color w:val="009BAC"/>
        </w:rPr>
        <w:t>on</w:t>
      </w:r>
      <w:r>
        <w:rPr>
          <w:color w:val="009BAC"/>
          <w:spacing w:val="-5"/>
        </w:rPr>
        <w:t xml:space="preserve"> </w:t>
      </w:r>
      <w:r>
        <w:rPr>
          <w:color w:val="009BAC"/>
        </w:rPr>
        <w:t>the</w:t>
      </w:r>
      <w:r>
        <w:rPr>
          <w:color w:val="009BAC"/>
          <w:spacing w:val="-6"/>
        </w:rPr>
        <w:t xml:space="preserve"> </w:t>
      </w:r>
      <w:r>
        <w:rPr>
          <w:color w:val="009BAC"/>
          <w:spacing w:val="-5"/>
        </w:rPr>
        <w:t>RAB</w:t>
      </w:r>
    </w:p>
    <w:p w14:paraId="1FB83AC4" w14:textId="77777777" w:rsidR="00141B97" w:rsidRDefault="00911D63">
      <w:pPr>
        <w:pStyle w:val="BodyText"/>
        <w:spacing w:before="120"/>
        <w:ind w:left="113" w:right="947"/>
        <w:jc w:val="both"/>
      </w:pPr>
      <w:r>
        <w:t>The revenue requirement includes a return on the RAB and depreciation of the RAB. The RAB is rolled forward over time by adding new capital expenditure and deducting government and customer contributions, asset disposals expected for each price review period, and RAB depreciation.</w:t>
      </w:r>
    </w:p>
    <w:p w14:paraId="79B341AC" w14:textId="77777777" w:rsidR="00141B97" w:rsidRDefault="00141B97">
      <w:pPr>
        <w:pStyle w:val="BodyText"/>
        <w:rPr>
          <w:sz w:val="18"/>
        </w:rPr>
      </w:pPr>
    </w:p>
    <w:p w14:paraId="6CEB66D5" w14:textId="77777777" w:rsidR="00141B97" w:rsidRDefault="00911D63">
      <w:pPr>
        <w:pStyle w:val="BodyText"/>
        <w:ind w:left="113" w:right="947"/>
        <w:jc w:val="both"/>
      </w:pPr>
      <w:r>
        <w:t>At</w:t>
      </w:r>
      <w:r>
        <w:rPr>
          <w:spacing w:val="-8"/>
        </w:rPr>
        <w:t xml:space="preserve"> </w:t>
      </w:r>
      <w:r>
        <w:t>the</w:t>
      </w:r>
      <w:r>
        <w:rPr>
          <w:spacing w:val="-9"/>
        </w:rPr>
        <w:t xml:space="preserve"> </w:t>
      </w:r>
      <w:r>
        <w:t>start</w:t>
      </w:r>
      <w:r>
        <w:rPr>
          <w:spacing w:val="-7"/>
        </w:rPr>
        <w:t xml:space="preserve"> </w:t>
      </w:r>
      <w:r>
        <w:t>of</w:t>
      </w:r>
      <w:r>
        <w:rPr>
          <w:spacing w:val="-6"/>
        </w:rPr>
        <w:t xml:space="preserve"> </w:t>
      </w:r>
      <w:r>
        <w:t>a</w:t>
      </w:r>
      <w:r>
        <w:rPr>
          <w:spacing w:val="-8"/>
        </w:rPr>
        <w:t xml:space="preserve"> </w:t>
      </w:r>
      <w:r>
        <w:t>new</w:t>
      </w:r>
      <w:r>
        <w:rPr>
          <w:spacing w:val="-7"/>
        </w:rPr>
        <w:t xml:space="preserve"> </w:t>
      </w:r>
      <w:r>
        <w:t>review</w:t>
      </w:r>
      <w:r>
        <w:rPr>
          <w:spacing w:val="-6"/>
        </w:rPr>
        <w:t xml:space="preserve"> </w:t>
      </w:r>
      <w:r>
        <w:t>period,</w:t>
      </w:r>
      <w:r>
        <w:rPr>
          <w:spacing w:val="-8"/>
        </w:rPr>
        <w:t xml:space="preserve"> </w:t>
      </w:r>
      <w:r>
        <w:t>the</w:t>
      </w:r>
      <w:r>
        <w:rPr>
          <w:spacing w:val="-7"/>
        </w:rPr>
        <w:t xml:space="preserve"> </w:t>
      </w:r>
      <w:r>
        <w:t>RAB</w:t>
      </w:r>
      <w:r>
        <w:rPr>
          <w:spacing w:val="-8"/>
        </w:rPr>
        <w:t xml:space="preserve"> </w:t>
      </w:r>
      <w:r>
        <w:t>is</w:t>
      </w:r>
      <w:r>
        <w:rPr>
          <w:spacing w:val="-6"/>
        </w:rPr>
        <w:t xml:space="preserve"> </w:t>
      </w:r>
      <w:r>
        <w:t>updated</w:t>
      </w:r>
      <w:r>
        <w:rPr>
          <w:spacing w:val="-8"/>
        </w:rPr>
        <w:t xml:space="preserve"> </w:t>
      </w:r>
      <w:r>
        <w:t>for</w:t>
      </w:r>
      <w:r>
        <w:rPr>
          <w:spacing w:val="-7"/>
        </w:rPr>
        <w:t xml:space="preserve"> </w:t>
      </w:r>
      <w:r>
        <w:t>actual</w:t>
      </w:r>
      <w:r>
        <w:rPr>
          <w:spacing w:val="-7"/>
        </w:rPr>
        <w:t xml:space="preserve"> </w:t>
      </w:r>
      <w:r>
        <w:t>outcomes</w:t>
      </w:r>
      <w:r>
        <w:rPr>
          <w:spacing w:val="-5"/>
        </w:rPr>
        <w:t xml:space="preserve"> </w:t>
      </w:r>
      <w:r>
        <w:t>with</w:t>
      </w:r>
      <w:r>
        <w:rPr>
          <w:spacing w:val="-7"/>
        </w:rPr>
        <w:t xml:space="preserve"> </w:t>
      </w:r>
      <w:r>
        <w:t>respect</w:t>
      </w:r>
      <w:r>
        <w:rPr>
          <w:spacing w:val="-8"/>
        </w:rPr>
        <w:t xml:space="preserve"> </w:t>
      </w:r>
      <w:r>
        <w:t>to</w:t>
      </w:r>
      <w:r>
        <w:rPr>
          <w:spacing w:val="-8"/>
        </w:rPr>
        <w:t xml:space="preserve"> </w:t>
      </w:r>
      <w:r>
        <w:t>capital</w:t>
      </w:r>
      <w:r>
        <w:rPr>
          <w:spacing w:val="-7"/>
        </w:rPr>
        <w:t xml:space="preserve"> </w:t>
      </w:r>
      <w:r>
        <w:t>expenditure, contributions, and disposals for the current regulatory period. As the final year of the fourth regulatory period is not complete, 2022‐23 capital expenditure, contributions and disposals remain as per the 2018 Price Determination</w:t>
      </w:r>
      <w:r>
        <w:rPr>
          <w:spacing w:val="-3"/>
        </w:rPr>
        <w:t xml:space="preserve"> </w:t>
      </w:r>
      <w:r>
        <w:t>and</w:t>
      </w:r>
      <w:r>
        <w:rPr>
          <w:spacing w:val="-2"/>
        </w:rPr>
        <w:t xml:space="preserve"> </w:t>
      </w:r>
      <w:r>
        <w:t>will</w:t>
      </w:r>
      <w:r>
        <w:rPr>
          <w:spacing w:val="-2"/>
        </w:rPr>
        <w:t xml:space="preserve"> </w:t>
      </w:r>
      <w:r>
        <w:t>not</w:t>
      </w:r>
      <w:r>
        <w:rPr>
          <w:spacing w:val="-2"/>
        </w:rPr>
        <w:t xml:space="preserve"> </w:t>
      </w:r>
      <w:r>
        <w:t>be</w:t>
      </w:r>
      <w:r>
        <w:rPr>
          <w:spacing w:val="-2"/>
        </w:rPr>
        <w:t xml:space="preserve"> </w:t>
      </w:r>
      <w:r>
        <w:t>updated</w:t>
      </w:r>
      <w:r>
        <w:rPr>
          <w:spacing w:val="-2"/>
        </w:rPr>
        <w:t xml:space="preserve"> </w:t>
      </w:r>
      <w:r>
        <w:t>until</w:t>
      </w:r>
      <w:r>
        <w:rPr>
          <w:spacing w:val="-4"/>
        </w:rPr>
        <w:t xml:space="preserve"> </w:t>
      </w:r>
      <w:r>
        <w:t>the</w:t>
      </w:r>
      <w:r>
        <w:rPr>
          <w:spacing w:val="-3"/>
        </w:rPr>
        <w:t xml:space="preserve"> </w:t>
      </w:r>
      <w:r>
        <w:t>sixth</w:t>
      </w:r>
      <w:r>
        <w:rPr>
          <w:spacing w:val="-2"/>
        </w:rPr>
        <w:t xml:space="preserve"> </w:t>
      </w:r>
      <w:r>
        <w:t>regulatory</w:t>
      </w:r>
      <w:r>
        <w:rPr>
          <w:spacing w:val="-2"/>
        </w:rPr>
        <w:t xml:space="preserve"> </w:t>
      </w:r>
      <w:r>
        <w:t>review.</w:t>
      </w:r>
      <w:r>
        <w:rPr>
          <w:spacing w:val="-3"/>
        </w:rPr>
        <w:t xml:space="preserve"> </w:t>
      </w:r>
      <w:r>
        <w:t>Forecast</w:t>
      </w:r>
      <w:r>
        <w:rPr>
          <w:spacing w:val="-3"/>
        </w:rPr>
        <w:t xml:space="preserve"> </w:t>
      </w:r>
      <w:r>
        <w:t>capital</w:t>
      </w:r>
      <w:r>
        <w:rPr>
          <w:spacing w:val="-2"/>
        </w:rPr>
        <w:t xml:space="preserve"> </w:t>
      </w:r>
      <w:r>
        <w:t>expenditure</w:t>
      </w:r>
      <w:r>
        <w:rPr>
          <w:spacing w:val="-2"/>
        </w:rPr>
        <w:t xml:space="preserve"> </w:t>
      </w:r>
      <w:r>
        <w:t>for</w:t>
      </w:r>
      <w:r>
        <w:rPr>
          <w:spacing w:val="-2"/>
        </w:rPr>
        <w:t xml:space="preserve"> </w:t>
      </w:r>
      <w:r>
        <w:t>2022‐ 23 is anticipated to be slightly higher than that originally budgeted for at the time, which means that LMW will not receive a return on, or of, this additional planned expenditure during the fifth regulatory period.</w:t>
      </w:r>
    </w:p>
    <w:p w14:paraId="1DD4E341" w14:textId="77777777" w:rsidR="00141B97" w:rsidRDefault="00141B97">
      <w:pPr>
        <w:pStyle w:val="BodyText"/>
        <w:spacing w:before="12"/>
        <w:rPr>
          <w:sz w:val="21"/>
        </w:rPr>
      </w:pPr>
    </w:p>
    <w:p w14:paraId="0B1F016B" w14:textId="77777777" w:rsidR="00141B97" w:rsidRDefault="00911D63">
      <w:pPr>
        <w:pStyle w:val="BodyText"/>
        <w:ind w:left="113" w:right="949" w:hanging="1"/>
        <w:jc w:val="both"/>
      </w:pPr>
      <w:r>
        <w:t>Table B32 shows the updated roll forward calculation for the RAB, with actuals included for the years 2017‐18 to 2021‐22. The proceeds from disposals are largely due to renewal of plant and equipment.</w:t>
      </w:r>
    </w:p>
    <w:p w14:paraId="3F862051" w14:textId="77777777" w:rsidR="00141B97" w:rsidRDefault="00141B97">
      <w:pPr>
        <w:pStyle w:val="BodyText"/>
        <w:spacing w:before="6"/>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167"/>
        <w:gridCol w:w="1093"/>
        <w:gridCol w:w="1088"/>
        <w:gridCol w:w="1098"/>
        <w:gridCol w:w="1093"/>
        <w:gridCol w:w="1093"/>
        <w:gridCol w:w="1100"/>
      </w:tblGrid>
      <w:tr w:rsidR="00141B97" w14:paraId="09100CC1" w14:textId="77777777">
        <w:trPr>
          <w:trHeight w:val="496"/>
          <w:tblCellSpacing w:w="9" w:type="dxa"/>
        </w:trPr>
        <w:tc>
          <w:tcPr>
            <w:tcW w:w="3140" w:type="dxa"/>
            <w:tcBorders>
              <w:top w:val="nil"/>
              <w:left w:val="nil"/>
            </w:tcBorders>
            <w:shd w:val="clear" w:color="auto" w:fill="0064A4"/>
          </w:tcPr>
          <w:p w14:paraId="179290FB" w14:textId="77777777" w:rsidR="00141B97" w:rsidRDefault="00911D63">
            <w:pPr>
              <w:pStyle w:val="TableParagraph"/>
              <w:spacing w:before="139"/>
              <w:ind w:left="88"/>
              <w:rPr>
                <w:sz w:val="18"/>
              </w:rPr>
            </w:pPr>
            <w:r>
              <w:rPr>
                <w:color w:val="FFFFFF"/>
                <w:sz w:val="18"/>
              </w:rPr>
              <w:t>Updated</w:t>
            </w:r>
            <w:r>
              <w:rPr>
                <w:color w:val="FFFFFF"/>
                <w:spacing w:val="-1"/>
                <w:sz w:val="18"/>
              </w:rPr>
              <w:t xml:space="preserve"> </w:t>
            </w:r>
            <w:r>
              <w:rPr>
                <w:color w:val="FFFFFF"/>
                <w:sz w:val="18"/>
              </w:rPr>
              <w:t>asset</w:t>
            </w:r>
            <w:r>
              <w:rPr>
                <w:color w:val="FFFFFF"/>
                <w:spacing w:val="-1"/>
                <w:sz w:val="18"/>
              </w:rPr>
              <w:t xml:space="preserve"> </w:t>
            </w:r>
            <w:r>
              <w:rPr>
                <w:color w:val="FFFFFF"/>
                <w:spacing w:val="-4"/>
                <w:sz w:val="18"/>
              </w:rPr>
              <w:t>base</w:t>
            </w:r>
          </w:p>
        </w:tc>
        <w:tc>
          <w:tcPr>
            <w:tcW w:w="1075" w:type="dxa"/>
            <w:tcBorders>
              <w:top w:val="nil"/>
            </w:tcBorders>
            <w:shd w:val="clear" w:color="auto" w:fill="0064A4"/>
          </w:tcPr>
          <w:p w14:paraId="6CD0A095" w14:textId="77777777" w:rsidR="00141B97" w:rsidRDefault="00911D63">
            <w:pPr>
              <w:pStyle w:val="TableParagraph"/>
              <w:spacing w:before="139"/>
              <w:ind w:left="175"/>
              <w:rPr>
                <w:sz w:val="18"/>
              </w:rPr>
            </w:pPr>
            <w:r>
              <w:rPr>
                <w:color w:val="FFFFFF"/>
                <w:sz w:val="18"/>
              </w:rPr>
              <w:t>3</w:t>
            </w:r>
            <w:r>
              <w:rPr>
                <w:color w:val="FFFFFF"/>
                <w:sz w:val="18"/>
                <w:vertAlign w:val="superscript"/>
              </w:rPr>
              <w:t>rd</w:t>
            </w:r>
            <w:r>
              <w:rPr>
                <w:color w:val="FFFFFF"/>
                <w:spacing w:val="-1"/>
                <w:sz w:val="18"/>
              </w:rPr>
              <w:t xml:space="preserve"> </w:t>
            </w:r>
            <w:r>
              <w:rPr>
                <w:color w:val="FFFFFF"/>
                <w:spacing w:val="-2"/>
                <w:sz w:val="18"/>
              </w:rPr>
              <w:t>Period</w:t>
            </w:r>
          </w:p>
        </w:tc>
        <w:tc>
          <w:tcPr>
            <w:tcW w:w="5373" w:type="dxa"/>
            <w:gridSpan w:val="5"/>
            <w:tcBorders>
              <w:top w:val="nil"/>
              <w:right w:val="nil"/>
            </w:tcBorders>
            <w:shd w:val="clear" w:color="auto" w:fill="0064A4"/>
          </w:tcPr>
          <w:p w14:paraId="1AAD6533" w14:textId="77777777" w:rsidR="00141B97" w:rsidRDefault="00911D63">
            <w:pPr>
              <w:pStyle w:val="TableParagraph"/>
              <w:spacing w:before="139"/>
              <w:ind w:left="1728"/>
              <w:rPr>
                <w:sz w:val="18"/>
              </w:rPr>
            </w:pPr>
            <w:r>
              <w:rPr>
                <w:color w:val="FFFFFF"/>
                <w:sz w:val="18"/>
              </w:rPr>
              <w:t>Fourth</w:t>
            </w:r>
            <w:r>
              <w:rPr>
                <w:color w:val="FFFFFF"/>
                <w:spacing w:val="-6"/>
                <w:sz w:val="18"/>
              </w:rPr>
              <w:t xml:space="preserve"> </w:t>
            </w:r>
            <w:r>
              <w:rPr>
                <w:color w:val="FFFFFF"/>
                <w:sz w:val="18"/>
              </w:rPr>
              <w:t>Regulatory</w:t>
            </w:r>
            <w:r>
              <w:rPr>
                <w:color w:val="FFFFFF"/>
                <w:spacing w:val="-6"/>
                <w:sz w:val="18"/>
              </w:rPr>
              <w:t xml:space="preserve"> </w:t>
            </w:r>
            <w:r>
              <w:rPr>
                <w:color w:val="FFFFFF"/>
                <w:spacing w:val="-2"/>
                <w:sz w:val="18"/>
              </w:rPr>
              <w:t>Period</w:t>
            </w:r>
          </w:p>
        </w:tc>
      </w:tr>
      <w:tr w:rsidR="00141B97" w14:paraId="2B3727F2" w14:textId="77777777">
        <w:trPr>
          <w:trHeight w:val="254"/>
          <w:tblCellSpacing w:w="9" w:type="dxa"/>
        </w:trPr>
        <w:tc>
          <w:tcPr>
            <w:tcW w:w="3140" w:type="dxa"/>
            <w:tcBorders>
              <w:left w:val="nil"/>
            </w:tcBorders>
            <w:shd w:val="clear" w:color="auto" w:fill="0064A4"/>
          </w:tcPr>
          <w:p w14:paraId="47C5F692" w14:textId="77777777" w:rsidR="00141B97" w:rsidRDefault="00911D63">
            <w:pPr>
              <w:pStyle w:val="TableParagraph"/>
              <w:spacing w:before="18" w:line="217" w:lineRule="exact"/>
              <w:ind w:left="88"/>
              <w:rPr>
                <w:sz w:val="18"/>
              </w:rPr>
            </w:pPr>
            <w:r>
              <w:rPr>
                <w:color w:val="FFFFFF"/>
                <w:sz w:val="18"/>
              </w:rPr>
              <w:t xml:space="preserve">$m, </w:t>
            </w:r>
            <w:r>
              <w:rPr>
                <w:color w:val="FFFFFF"/>
                <w:spacing w:val="-2"/>
                <w:sz w:val="18"/>
              </w:rPr>
              <w:t>1/1/23</w:t>
            </w:r>
          </w:p>
        </w:tc>
        <w:tc>
          <w:tcPr>
            <w:tcW w:w="1075" w:type="dxa"/>
            <w:shd w:val="clear" w:color="auto" w:fill="0064A4"/>
          </w:tcPr>
          <w:p w14:paraId="10910A32" w14:textId="77777777" w:rsidR="00141B97" w:rsidRDefault="00911D63">
            <w:pPr>
              <w:pStyle w:val="TableParagraph"/>
              <w:spacing w:before="18" w:line="217" w:lineRule="exact"/>
              <w:ind w:left="225"/>
              <w:rPr>
                <w:sz w:val="18"/>
              </w:rPr>
            </w:pPr>
            <w:r>
              <w:rPr>
                <w:color w:val="FFFFFF"/>
                <w:spacing w:val="-2"/>
                <w:sz w:val="18"/>
              </w:rPr>
              <w:t>2017‐18</w:t>
            </w:r>
          </w:p>
        </w:tc>
        <w:tc>
          <w:tcPr>
            <w:tcW w:w="1070" w:type="dxa"/>
            <w:tcBorders>
              <w:right w:val="nil"/>
            </w:tcBorders>
            <w:shd w:val="clear" w:color="auto" w:fill="0064A4"/>
          </w:tcPr>
          <w:p w14:paraId="2740DAC3" w14:textId="77777777" w:rsidR="00141B97" w:rsidRDefault="00911D63">
            <w:pPr>
              <w:pStyle w:val="TableParagraph"/>
              <w:spacing w:before="18" w:line="217" w:lineRule="exact"/>
              <w:ind w:left="225"/>
              <w:rPr>
                <w:sz w:val="18"/>
              </w:rPr>
            </w:pPr>
            <w:r>
              <w:rPr>
                <w:color w:val="FFFFFF"/>
                <w:spacing w:val="-2"/>
                <w:sz w:val="18"/>
              </w:rPr>
              <w:t>2018‐19</w:t>
            </w:r>
          </w:p>
        </w:tc>
        <w:tc>
          <w:tcPr>
            <w:tcW w:w="1080" w:type="dxa"/>
            <w:tcBorders>
              <w:left w:val="nil"/>
            </w:tcBorders>
            <w:shd w:val="clear" w:color="auto" w:fill="0064A4"/>
          </w:tcPr>
          <w:p w14:paraId="7E151FF6" w14:textId="77777777" w:rsidR="00141B97" w:rsidRDefault="00911D63">
            <w:pPr>
              <w:pStyle w:val="TableParagraph"/>
              <w:spacing w:before="18" w:line="217" w:lineRule="exact"/>
              <w:ind w:left="231"/>
              <w:rPr>
                <w:sz w:val="18"/>
              </w:rPr>
            </w:pPr>
            <w:r>
              <w:rPr>
                <w:color w:val="FFFFFF"/>
                <w:spacing w:val="-2"/>
                <w:sz w:val="18"/>
              </w:rPr>
              <w:t>2019‐20</w:t>
            </w:r>
          </w:p>
        </w:tc>
        <w:tc>
          <w:tcPr>
            <w:tcW w:w="1075" w:type="dxa"/>
            <w:shd w:val="clear" w:color="auto" w:fill="0064A4"/>
          </w:tcPr>
          <w:p w14:paraId="0B781842" w14:textId="77777777" w:rsidR="00141B97" w:rsidRDefault="00911D63">
            <w:pPr>
              <w:pStyle w:val="TableParagraph"/>
              <w:spacing w:before="18" w:line="217" w:lineRule="exact"/>
              <w:ind w:left="226"/>
              <w:rPr>
                <w:sz w:val="18"/>
              </w:rPr>
            </w:pPr>
            <w:r>
              <w:rPr>
                <w:color w:val="FFFFFF"/>
                <w:spacing w:val="-2"/>
                <w:sz w:val="18"/>
              </w:rPr>
              <w:t>2020‐21</w:t>
            </w:r>
          </w:p>
        </w:tc>
        <w:tc>
          <w:tcPr>
            <w:tcW w:w="1075" w:type="dxa"/>
            <w:shd w:val="clear" w:color="auto" w:fill="0064A4"/>
          </w:tcPr>
          <w:p w14:paraId="19474112" w14:textId="77777777" w:rsidR="00141B97" w:rsidRDefault="00911D63">
            <w:pPr>
              <w:pStyle w:val="TableParagraph"/>
              <w:spacing w:before="18" w:line="217" w:lineRule="exact"/>
              <w:ind w:left="226"/>
              <w:rPr>
                <w:sz w:val="18"/>
              </w:rPr>
            </w:pPr>
            <w:r>
              <w:rPr>
                <w:color w:val="FFFFFF"/>
                <w:spacing w:val="-2"/>
                <w:sz w:val="18"/>
              </w:rPr>
              <w:t>2021‐22</w:t>
            </w:r>
          </w:p>
        </w:tc>
        <w:tc>
          <w:tcPr>
            <w:tcW w:w="1073" w:type="dxa"/>
            <w:tcBorders>
              <w:right w:val="nil"/>
            </w:tcBorders>
            <w:shd w:val="clear" w:color="auto" w:fill="0064A4"/>
          </w:tcPr>
          <w:p w14:paraId="5D97FFA4" w14:textId="77777777" w:rsidR="00141B97" w:rsidRDefault="00911D63">
            <w:pPr>
              <w:pStyle w:val="TableParagraph"/>
              <w:spacing w:before="18" w:line="217" w:lineRule="exact"/>
              <w:ind w:left="225"/>
              <w:rPr>
                <w:sz w:val="18"/>
              </w:rPr>
            </w:pPr>
            <w:r>
              <w:rPr>
                <w:color w:val="FFFFFF"/>
                <w:spacing w:val="-2"/>
                <w:sz w:val="18"/>
              </w:rPr>
              <w:t>2022‐23</w:t>
            </w:r>
          </w:p>
        </w:tc>
      </w:tr>
      <w:tr w:rsidR="00141B97" w14:paraId="5457E908" w14:textId="77777777">
        <w:trPr>
          <w:trHeight w:val="282"/>
          <w:tblCellSpacing w:w="9" w:type="dxa"/>
        </w:trPr>
        <w:tc>
          <w:tcPr>
            <w:tcW w:w="3140" w:type="dxa"/>
            <w:tcBorders>
              <w:left w:val="nil"/>
            </w:tcBorders>
            <w:shd w:val="clear" w:color="auto" w:fill="CCE2ED"/>
          </w:tcPr>
          <w:p w14:paraId="7E0441EE" w14:textId="77777777" w:rsidR="00141B97" w:rsidRDefault="00911D63">
            <w:pPr>
              <w:pStyle w:val="TableParagraph"/>
              <w:spacing w:before="32"/>
              <w:ind w:left="88"/>
              <w:rPr>
                <w:sz w:val="18"/>
              </w:rPr>
            </w:pPr>
            <w:r>
              <w:rPr>
                <w:sz w:val="18"/>
              </w:rPr>
              <w:t>Opening</w:t>
            </w:r>
            <w:r>
              <w:rPr>
                <w:spacing w:val="-4"/>
                <w:sz w:val="18"/>
              </w:rPr>
              <w:t xml:space="preserve"> </w:t>
            </w:r>
            <w:r>
              <w:rPr>
                <w:sz w:val="18"/>
              </w:rPr>
              <w:t>asset</w:t>
            </w:r>
            <w:r>
              <w:rPr>
                <w:spacing w:val="-3"/>
                <w:sz w:val="18"/>
              </w:rPr>
              <w:t xml:space="preserve"> </w:t>
            </w:r>
            <w:r>
              <w:rPr>
                <w:spacing w:val="-4"/>
                <w:sz w:val="18"/>
              </w:rPr>
              <w:t>base</w:t>
            </w:r>
          </w:p>
        </w:tc>
        <w:tc>
          <w:tcPr>
            <w:tcW w:w="1075" w:type="dxa"/>
            <w:shd w:val="clear" w:color="auto" w:fill="CCE2ED"/>
          </w:tcPr>
          <w:p w14:paraId="0462518F" w14:textId="77777777" w:rsidR="00141B97" w:rsidRDefault="00911D63">
            <w:pPr>
              <w:pStyle w:val="TableParagraph"/>
              <w:spacing w:before="32"/>
              <w:ind w:right="95"/>
              <w:jc w:val="right"/>
              <w:rPr>
                <w:sz w:val="18"/>
              </w:rPr>
            </w:pPr>
            <w:r>
              <w:rPr>
                <w:spacing w:val="-2"/>
                <w:sz w:val="18"/>
              </w:rPr>
              <w:t>173.76</w:t>
            </w:r>
          </w:p>
        </w:tc>
        <w:tc>
          <w:tcPr>
            <w:tcW w:w="1070" w:type="dxa"/>
            <w:tcBorders>
              <w:right w:val="nil"/>
            </w:tcBorders>
            <w:shd w:val="clear" w:color="auto" w:fill="CCE2ED"/>
          </w:tcPr>
          <w:p w14:paraId="4ADF856F" w14:textId="77777777" w:rsidR="00141B97" w:rsidRDefault="00911D63">
            <w:pPr>
              <w:pStyle w:val="TableParagraph"/>
              <w:spacing w:before="32"/>
              <w:ind w:right="90"/>
              <w:jc w:val="right"/>
              <w:rPr>
                <w:sz w:val="18"/>
              </w:rPr>
            </w:pPr>
            <w:r>
              <w:rPr>
                <w:spacing w:val="-2"/>
                <w:sz w:val="18"/>
              </w:rPr>
              <w:t>179.21</w:t>
            </w:r>
          </w:p>
        </w:tc>
        <w:tc>
          <w:tcPr>
            <w:tcW w:w="1080" w:type="dxa"/>
            <w:tcBorders>
              <w:left w:val="nil"/>
            </w:tcBorders>
            <w:shd w:val="clear" w:color="auto" w:fill="CCE2ED"/>
          </w:tcPr>
          <w:p w14:paraId="7C0ECCC9" w14:textId="77777777" w:rsidR="00141B97" w:rsidRDefault="00911D63">
            <w:pPr>
              <w:pStyle w:val="TableParagraph"/>
              <w:spacing w:before="32"/>
              <w:ind w:right="94"/>
              <w:jc w:val="right"/>
              <w:rPr>
                <w:sz w:val="18"/>
              </w:rPr>
            </w:pPr>
            <w:r>
              <w:rPr>
                <w:spacing w:val="-2"/>
                <w:sz w:val="18"/>
              </w:rPr>
              <w:t>183.40</w:t>
            </w:r>
          </w:p>
        </w:tc>
        <w:tc>
          <w:tcPr>
            <w:tcW w:w="1075" w:type="dxa"/>
            <w:shd w:val="clear" w:color="auto" w:fill="CCE2ED"/>
          </w:tcPr>
          <w:p w14:paraId="5ED33693" w14:textId="77777777" w:rsidR="00141B97" w:rsidRDefault="00911D63">
            <w:pPr>
              <w:pStyle w:val="TableParagraph"/>
              <w:spacing w:before="32"/>
              <w:ind w:right="94"/>
              <w:jc w:val="right"/>
              <w:rPr>
                <w:sz w:val="18"/>
              </w:rPr>
            </w:pPr>
            <w:r>
              <w:rPr>
                <w:spacing w:val="-2"/>
                <w:sz w:val="18"/>
              </w:rPr>
              <w:t>184.90</w:t>
            </w:r>
          </w:p>
        </w:tc>
        <w:tc>
          <w:tcPr>
            <w:tcW w:w="1075" w:type="dxa"/>
            <w:shd w:val="clear" w:color="auto" w:fill="CCE2ED"/>
          </w:tcPr>
          <w:p w14:paraId="67E19378" w14:textId="77777777" w:rsidR="00141B97" w:rsidRDefault="00911D63">
            <w:pPr>
              <w:pStyle w:val="TableParagraph"/>
              <w:spacing w:before="32"/>
              <w:ind w:right="94"/>
              <w:jc w:val="right"/>
              <w:rPr>
                <w:sz w:val="18"/>
              </w:rPr>
            </w:pPr>
            <w:r>
              <w:rPr>
                <w:spacing w:val="-2"/>
                <w:sz w:val="18"/>
              </w:rPr>
              <w:t>184.58</w:t>
            </w:r>
          </w:p>
        </w:tc>
        <w:tc>
          <w:tcPr>
            <w:tcW w:w="1073" w:type="dxa"/>
            <w:tcBorders>
              <w:right w:val="nil"/>
            </w:tcBorders>
            <w:shd w:val="clear" w:color="auto" w:fill="CCE2ED"/>
          </w:tcPr>
          <w:p w14:paraId="53E35C47" w14:textId="77777777" w:rsidR="00141B97" w:rsidRDefault="00911D63">
            <w:pPr>
              <w:pStyle w:val="TableParagraph"/>
              <w:spacing w:before="32"/>
              <w:ind w:right="93"/>
              <w:jc w:val="right"/>
              <w:rPr>
                <w:sz w:val="18"/>
              </w:rPr>
            </w:pPr>
            <w:r>
              <w:rPr>
                <w:spacing w:val="-2"/>
                <w:sz w:val="18"/>
              </w:rPr>
              <w:t>197.03</w:t>
            </w:r>
          </w:p>
        </w:tc>
      </w:tr>
      <w:tr w:rsidR="00141B97" w14:paraId="3AE034ED" w14:textId="77777777">
        <w:trPr>
          <w:trHeight w:val="283"/>
          <w:tblCellSpacing w:w="9" w:type="dxa"/>
        </w:trPr>
        <w:tc>
          <w:tcPr>
            <w:tcW w:w="3140" w:type="dxa"/>
            <w:tcBorders>
              <w:left w:val="nil"/>
            </w:tcBorders>
            <w:shd w:val="clear" w:color="auto" w:fill="CCE2ED"/>
          </w:tcPr>
          <w:p w14:paraId="4B93BE8F" w14:textId="77777777" w:rsidR="00141B97" w:rsidRDefault="00911D63">
            <w:pPr>
              <w:pStyle w:val="TableParagraph"/>
              <w:spacing w:before="32"/>
              <w:ind w:right="636"/>
              <w:jc w:val="right"/>
              <w:rPr>
                <w:i/>
                <w:sz w:val="18"/>
              </w:rPr>
            </w:pPr>
            <w:r>
              <w:rPr>
                <w:i/>
                <w:sz w:val="18"/>
              </w:rPr>
              <w:t>plus</w:t>
            </w:r>
            <w:r>
              <w:rPr>
                <w:i/>
                <w:spacing w:val="-4"/>
                <w:sz w:val="18"/>
              </w:rPr>
              <w:t xml:space="preserve"> </w:t>
            </w:r>
            <w:r>
              <w:rPr>
                <w:i/>
                <w:sz w:val="18"/>
              </w:rPr>
              <w:t>Gross</w:t>
            </w:r>
            <w:r>
              <w:rPr>
                <w:i/>
                <w:spacing w:val="-3"/>
                <w:sz w:val="18"/>
              </w:rPr>
              <w:t xml:space="preserve"> </w:t>
            </w:r>
            <w:r>
              <w:rPr>
                <w:i/>
                <w:sz w:val="18"/>
              </w:rPr>
              <w:t>capital</w:t>
            </w:r>
            <w:r>
              <w:rPr>
                <w:i/>
                <w:spacing w:val="-3"/>
                <w:sz w:val="18"/>
              </w:rPr>
              <w:t xml:space="preserve"> </w:t>
            </w:r>
            <w:r>
              <w:rPr>
                <w:i/>
                <w:spacing w:val="-2"/>
                <w:sz w:val="18"/>
              </w:rPr>
              <w:t>expenditures</w:t>
            </w:r>
          </w:p>
        </w:tc>
        <w:tc>
          <w:tcPr>
            <w:tcW w:w="1075" w:type="dxa"/>
            <w:shd w:val="clear" w:color="auto" w:fill="CCE2ED"/>
          </w:tcPr>
          <w:p w14:paraId="7E0247F1" w14:textId="77777777" w:rsidR="00141B97" w:rsidRDefault="00911D63">
            <w:pPr>
              <w:pStyle w:val="TableParagraph"/>
              <w:spacing w:before="32"/>
              <w:ind w:right="95"/>
              <w:jc w:val="right"/>
              <w:rPr>
                <w:sz w:val="18"/>
              </w:rPr>
            </w:pPr>
            <w:r>
              <w:rPr>
                <w:spacing w:val="-2"/>
                <w:sz w:val="18"/>
              </w:rPr>
              <w:t>16.63</w:t>
            </w:r>
          </w:p>
        </w:tc>
        <w:tc>
          <w:tcPr>
            <w:tcW w:w="1070" w:type="dxa"/>
            <w:tcBorders>
              <w:right w:val="nil"/>
            </w:tcBorders>
            <w:shd w:val="clear" w:color="auto" w:fill="CCE2ED"/>
          </w:tcPr>
          <w:p w14:paraId="388EDA25" w14:textId="77777777" w:rsidR="00141B97" w:rsidRDefault="00911D63">
            <w:pPr>
              <w:pStyle w:val="TableParagraph"/>
              <w:spacing w:before="32"/>
              <w:ind w:right="90"/>
              <w:jc w:val="right"/>
              <w:rPr>
                <w:sz w:val="18"/>
              </w:rPr>
            </w:pPr>
            <w:r>
              <w:rPr>
                <w:spacing w:val="-2"/>
                <w:sz w:val="18"/>
              </w:rPr>
              <w:t>15.76</w:t>
            </w:r>
          </w:p>
        </w:tc>
        <w:tc>
          <w:tcPr>
            <w:tcW w:w="1080" w:type="dxa"/>
            <w:tcBorders>
              <w:left w:val="nil"/>
            </w:tcBorders>
            <w:shd w:val="clear" w:color="auto" w:fill="CCE2ED"/>
          </w:tcPr>
          <w:p w14:paraId="5B537F01" w14:textId="77777777" w:rsidR="00141B97" w:rsidRDefault="00911D63">
            <w:pPr>
              <w:pStyle w:val="TableParagraph"/>
              <w:spacing w:before="32"/>
              <w:ind w:right="94"/>
              <w:jc w:val="right"/>
              <w:rPr>
                <w:sz w:val="18"/>
              </w:rPr>
            </w:pPr>
            <w:r>
              <w:rPr>
                <w:spacing w:val="-2"/>
                <w:sz w:val="18"/>
              </w:rPr>
              <w:t>12.47</w:t>
            </w:r>
          </w:p>
        </w:tc>
        <w:tc>
          <w:tcPr>
            <w:tcW w:w="1075" w:type="dxa"/>
            <w:shd w:val="clear" w:color="auto" w:fill="CCE2ED"/>
          </w:tcPr>
          <w:p w14:paraId="2D3C20BB" w14:textId="77777777" w:rsidR="00141B97" w:rsidRDefault="00911D63">
            <w:pPr>
              <w:pStyle w:val="TableParagraph"/>
              <w:spacing w:before="32"/>
              <w:ind w:right="94"/>
              <w:jc w:val="right"/>
              <w:rPr>
                <w:sz w:val="18"/>
              </w:rPr>
            </w:pPr>
            <w:r>
              <w:rPr>
                <w:spacing w:val="-2"/>
                <w:sz w:val="18"/>
              </w:rPr>
              <w:t>11.65</w:t>
            </w:r>
          </w:p>
        </w:tc>
        <w:tc>
          <w:tcPr>
            <w:tcW w:w="1075" w:type="dxa"/>
            <w:shd w:val="clear" w:color="auto" w:fill="CCE2ED"/>
          </w:tcPr>
          <w:p w14:paraId="76C077D4" w14:textId="77777777" w:rsidR="00141B97" w:rsidRDefault="00911D63">
            <w:pPr>
              <w:pStyle w:val="TableParagraph"/>
              <w:spacing w:before="32"/>
              <w:ind w:right="94"/>
              <w:jc w:val="right"/>
              <w:rPr>
                <w:sz w:val="18"/>
              </w:rPr>
            </w:pPr>
            <w:r>
              <w:rPr>
                <w:spacing w:val="-2"/>
                <w:sz w:val="18"/>
              </w:rPr>
              <w:t>24.22</w:t>
            </w:r>
          </w:p>
        </w:tc>
        <w:tc>
          <w:tcPr>
            <w:tcW w:w="1073" w:type="dxa"/>
            <w:tcBorders>
              <w:right w:val="nil"/>
            </w:tcBorders>
            <w:shd w:val="clear" w:color="auto" w:fill="CCE2ED"/>
          </w:tcPr>
          <w:p w14:paraId="50C1EE4F" w14:textId="77777777" w:rsidR="00141B97" w:rsidRDefault="00911D63">
            <w:pPr>
              <w:pStyle w:val="TableParagraph"/>
              <w:spacing w:before="32"/>
              <w:ind w:right="93"/>
              <w:jc w:val="right"/>
              <w:rPr>
                <w:sz w:val="18"/>
              </w:rPr>
            </w:pPr>
            <w:r>
              <w:rPr>
                <w:spacing w:val="-2"/>
                <w:sz w:val="18"/>
              </w:rPr>
              <w:t>13.75</w:t>
            </w:r>
          </w:p>
        </w:tc>
      </w:tr>
      <w:tr w:rsidR="00141B97" w14:paraId="772DCA65" w14:textId="77777777">
        <w:trPr>
          <w:trHeight w:val="282"/>
          <w:tblCellSpacing w:w="9" w:type="dxa"/>
        </w:trPr>
        <w:tc>
          <w:tcPr>
            <w:tcW w:w="3140" w:type="dxa"/>
            <w:tcBorders>
              <w:left w:val="nil"/>
            </w:tcBorders>
            <w:shd w:val="clear" w:color="auto" w:fill="CCE2ED"/>
          </w:tcPr>
          <w:p w14:paraId="465B34F9" w14:textId="77777777" w:rsidR="00141B97" w:rsidRDefault="00911D63">
            <w:pPr>
              <w:pStyle w:val="TableParagraph"/>
              <w:spacing w:before="32"/>
              <w:ind w:left="254"/>
              <w:rPr>
                <w:i/>
                <w:sz w:val="18"/>
              </w:rPr>
            </w:pPr>
            <w:r>
              <w:rPr>
                <w:i/>
                <w:sz w:val="18"/>
              </w:rPr>
              <w:t>less</w:t>
            </w:r>
            <w:r>
              <w:rPr>
                <w:i/>
                <w:spacing w:val="-6"/>
                <w:sz w:val="18"/>
              </w:rPr>
              <w:t xml:space="preserve"> </w:t>
            </w:r>
            <w:r>
              <w:rPr>
                <w:i/>
                <w:sz w:val="18"/>
              </w:rPr>
              <w:t>Customer</w:t>
            </w:r>
            <w:r>
              <w:rPr>
                <w:i/>
                <w:spacing w:val="-5"/>
                <w:sz w:val="18"/>
              </w:rPr>
              <w:t xml:space="preserve"> </w:t>
            </w:r>
            <w:r>
              <w:rPr>
                <w:i/>
                <w:spacing w:val="-2"/>
                <w:sz w:val="18"/>
              </w:rPr>
              <w:t>contributions</w:t>
            </w:r>
          </w:p>
        </w:tc>
        <w:tc>
          <w:tcPr>
            <w:tcW w:w="1075" w:type="dxa"/>
            <w:shd w:val="clear" w:color="auto" w:fill="CCE2ED"/>
          </w:tcPr>
          <w:p w14:paraId="340C1C3C" w14:textId="77777777" w:rsidR="00141B97" w:rsidRDefault="00911D63">
            <w:pPr>
              <w:pStyle w:val="TableParagraph"/>
              <w:spacing w:before="32"/>
              <w:ind w:right="95"/>
              <w:jc w:val="right"/>
              <w:rPr>
                <w:sz w:val="18"/>
              </w:rPr>
            </w:pPr>
            <w:r>
              <w:rPr>
                <w:spacing w:val="-4"/>
                <w:sz w:val="18"/>
              </w:rPr>
              <w:t>2.37</w:t>
            </w:r>
          </w:p>
        </w:tc>
        <w:tc>
          <w:tcPr>
            <w:tcW w:w="1070" w:type="dxa"/>
            <w:tcBorders>
              <w:right w:val="nil"/>
            </w:tcBorders>
            <w:shd w:val="clear" w:color="auto" w:fill="CCE2ED"/>
          </w:tcPr>
          <w:p w14:paraId="4FA3F33A" w14:textId="77777777" w:rsidR="00141B97" w:rsidRDefault="00911D63">
            <w:pPr>
              <w:pStyle w:val="TableParagraph"/>
              <w:spacing w:before="32"/>
              <w:ind w:right="90"/>
              <w:jc w:val="right"/>
              <w:rPr>
                <w:sz w:val="18"/>
              </w:rPr>
            </w:pPr>
            <w:r>
              <w:rPr>
                <w:spacing w:val="-4"/>
                <w:sz w:val="18"/>
              </w:rPr>
              <w:t>2.23</w:t>
            </w:r>
          </w:p>
        </w:tc>
        <w:tc>
          <w:tcPr>
            <w:tcW w:w="1080" w:type="dxa"/>
            <w:tcBorders>
              <w:left w:val="nil"/>
            </w:tcBorders>
            <w:shd w:val="clear" w:color="auto" w:fill="CCE2ED"/>
          </w:tcPr>
          <w:p w14:paraId="5FB6D235" w14:textId="77777777" w:rsidR="00141B97" w:rsidRDefault="00911D63">
            <w:pPr>
              <w:pStyle w:val="TableParagraph"/>
              <w:spacing w:before="32"/>
              <w:ind w:right="94"/>
              <w:jc w:val="right"/>
              <w:rPr>
                <w:sz w:val="18"/>
              </w:rPr>
            </w:pPr>
            <w:r>
              <w:rPr>
                <w:spacing w:val="-4"/>
                <w:sz w:val="18"/>
              </w:rPr>
              <w:t>1.29</w:t>
            </w:r>
          </w:p>
        </w:tc>
        <w:tc>
          <w:tcPr>
            <w:tcW w:w="1075" w:type="dxa"/>
            <w:shd w:val="clear" w:color="auto" w:fill="CCE2ED"/>
          </w:tcPr>
          <w:p w14:paraId="03AB28CE" w14:textId="77777777" w:rsidR="00141B97" w:rsidRDefault="00911D63">
            <w:pPr>
              <w:pStyle w:val="TableParagraph"/>
              <w:spacing w:before="32"/>
              <w:ind w:right="94"/>
              <w:jc w:val="right"/>
              <w:rPr>
                <w:sz w:val="18"/>
              </w:rPr>
            </w:pPr>
            <w:r>
              <w:rPr>
                <w:spacing w:val="-4"/>
                <w:sz w:val="18"/>
              </w:rPr>
              <w:t>2.26</w:t>
            </w:r>
          </w:p>
        </w:tc>
        <w:tc>
          <w:tcPr>
            <w:tcW w:w="1075" w:type="dxa"/>
            <w:shd w:val="clear" w:color="auto" w:fill="CCE2ED"/>
          </w:tcPr>
          <w:p w14:paraId="58490960" w14:textId="77777777" w:rsidR="00141B97" w:rsidRDefault="00911D63">
            <w:pPr>
              <w:pStyle w:val="TableParagraph"/>
              <w:spacing w:before="32"/>
              <w:ind w:right="94"/>
              <w:jc w:val="right"/>
              <w:rPr>
                <w:sz w:val="18"/>
              </w:rPr>
            </w:pPr>
            <w:r>
              <w:rPr>
                <w:spacing w:val="-4"/>
                <w:sz w:val="18"/>
              </w:rPr>
              <w:t>1.77</w:t>
            </w:r>
          </w:p>
        </w:tc>
        <w:tc>
          <w:tcPr>
            <w:tcW w:w="1073" w:type="dxa"/>
            <w:tcBorders>
              <w:right w:val="nil"/>
            </w:tcBorders>
            <w:shd w:val="clear" w:color="auto" w:fill="CCE2ED"/>
          </w:tcPr>
          <w:p w14:paraId="04F99DF7" w14:textId="77777777" w:rsidR="00141B97" w:rsidRDefault="00911D63">
            <w:pPr>
              <w:pStyle w:val="TableParagraph"/>
              <w:spacing w:before="32"/>
              <w:ind w:right="93"/>
              <w:jc w:val="right"/>
              <w:rPr>
                <w:sz w:val="18"/>
              </w:rPr>
            </w:pPr>
            <w:r>
              <w:rPr>
                <w:spacing w:val="-4"/>
                <w:sz w:val="18"/>
              </w:rPr>
              <w:t>1.71</w:t>
            </w:r>
          </w:p>
        </w:tc>
      </w:tr>
      <w:tr w:rsidR="00141B97" w14:paraId="20EDF293" w14:textId="77777777">
        <w:trPr>
          <w:trHeight w:val="283"/>
          <w:tblCellSpacing w:w="9" w:type="dxa"/>
        </w:trPr>
        <w:tc>
          <w:tcPr>
            <w:tcW w:w="3140" w:type="dxa"/>
            <w:tcBorders>
              <w:left w:val="nil"/>
            </w:tcBorders>
            <w:shd w:val="clear" w:color="auto" w:fill="CCE2ED"/>
          </w:tcPr>
          <w:p w14:paraId="32BA7157" w14:textId="77777777" w:rsidR="00141B97" w:rsidRDefault="00911D63">
            <w:pPr>
              <w:pStyle w:val="TableParagraph"/>
              <w:spacing w:before="32"/>
              <w:ind w:right="675"/>
              <w:jc w:val="right"/>
              <w:rPr>
                <w:i/>
                <w:sz w:val="18"/>
              </w:rPr>
            </w:pPr>
            <w:r>
              <w:rPr>
                <w:i/>
                <w:sz w:val="18"/>
              </w:rPr>
              <w:t>less</w:t>
            </w:r>
            <w:r>
              <w:rPr>
                <w:i/>
                <w:spacing w:val="-7"/>
                <w:sz w:val="18"/>
              </w:rPr>
              <w:t xml:space="preserve"> </w:t>
            </w:r>
            <w:r>
              <w:rPr>
                <w:i/>
                <w:sz w:val="18"/>
              </w:rPr>
              <w:t>Government</w:t>
            </w:r>
            <w:r>
              <w:rPr>
                <w:i/>
                <w:spacing w:val="-5"/>
                <w:sz w:val="18"/>
              </w:rPr>
              <w:t xml:space="preserve"> </w:t>
            </w:r>
            <w:r>
              <w:rPr>
                <w:i/>
                <w:spacing w:val="-2"/>
                <w:sz w:val="18"/>
              </w:rPr>
              <w:t>contributions</w:t>
            </w:r>
          </w:p>
        </w:tc>
        <w:tc>
          <w:tcPr>
            <w:tcW w:w="1075" w:type="dxa"/>
            <w:shd w:val="clear" w:color="auto" w:fill="CCE2ED"/>
          </w:tcPr>
          <w:p w14:paraId="359AD8C5" w14:textId="77777777" w:rsidR="00141B97" w:rsidRDefault="00911D63">
            <w:pPr>
              <w:pStyle w:val="TableParagraph"/>
              <w:spacing w:before="32"/>
              <w:ind w:right="95"/>
              <w:jc w:val="right"/>
              <w:rPr>
                <w:sz w:val="18"/>
              </w:rPr>
            </w:pPr>
            <w:r>
              <w:rPr>
                <w:sz w:val="18"/>
              </w:rPr>
              <w:t>‐</w:t>
            </w:r>
          </w:p>
        </w:tc>
        <w:tc>
          <w:tcPr>
            <w:tcW w:w="1070" w:type="dxa"/>
            <w:tcBorders>
              <w:right w:val="nil"/>
            </w:tcBorders>
            <w:shd w:val="clear" w:color="auto" w:fill="CCE2ED"/>
          </w:tcPr>
          <w:p w14:paraId="107ABFF5" w14:textId="77777777" w:rsidR="00141B97" w:rsidRDefault="00911D63">
            <w:pPr>
              <w:pStyle w:val="TableParagraph"/>
              <w:spacing w:before="32"/>
              <w:ind w:right="90"/>
              <w:jc w:val="right"/>
              <w:rPr>
                <w:sz w:val="18"/>
              </w:rPr>
            </w:pPr>
            <w:r>
              <w:rPr>
                <w:sz w:val="18"/>
              </w:rPr>
              <w:t>‐</w:t>
            </w:r>
          </w:p>
        </w:tc>
        <w:tc>
          <w:tcPr>
            <w:tcW w:w="1080" w:type="dxa"/>
            <w:tcBorders>
              <w:left w:val="nil"/>
            </w:tcBorders>
            <w:shd w:val="clear" w:color="auto" w:fill="CCE2ED"/>
          </w:tcPr>
          <w:p w14:paraId="5022CAEE" w14:textId="77777777" w:rsidR="00141B97" w:rsidRDefault="00911D63">
            <w:pPr>
              <w:pStyle w:val="TableParagraph"/>
              <w:spacing w:before="32"/>
              <w:ind w:right="95"/>
              <w:jc w:val="right"/>
              <w:rPr>
                <w:sz w:val="18"/>
              </w:rPr>
            </w:pPr>
            <w:r>
              <w:rPr>
                <w:sz w:val="18"/>
              </w:rPr>
              <w:t>‐</w:t>
            </w:r>
          </w:p>
        </w:tc>
        <w:tc>
          <w:tcPr>
            <w:tcW w:w="1075" w:type="dxa"/>
            <w:shd w:val="clear" w:color="auto" w:fill="CCE2ED"/>
          </w:tcPr>
          <w:p w14:paraId="61CFFDC0" w14:textId="77777777" w:rsidR="00141B97" w:rsidRDefault="00911D63">
            <w:pPr>
              <w:pStyle w:val="TableParagraph"/>
              <w:spacing w:before="32"/>
              <w:ind w:right="94"/>
              <w:jc w:val="right"/>
              <w:rPr>
                <w:sz w:val="18"/>
              </w:rPr>
            </w:pPr>
            <w:r>
              <w:rPr>
                <w:sz w:val="18"/>
              </w:rPr>
              <w:t>‐</w:t>
            </w:r>
          </w:p>
        </w:tc>
        <w:tc>
          <w:tcPr>
            <w:tcW w:w="1075" w:type="dxa"/>
            <w:shd w:val="clear" w:color="auto" w:fill="CCE2ED"/>
          </w:tcPr>
          <w:p w14:paraId="0346A12B" w14:textId="77777777" w:rsidR="00141B97" w:rsidRDefault="00911D63">
            <w:pPr>
              <w:pStyle w:val="TableParagraph"/>
              <w:spacing w:before="32"/>
              <w:ind w:right="94"/>
              <w:jc w:val="right"/>
              <w:rPr>
                <w:sz w:val="18"/>
              </w:rPr>
            </w:pPr>
            <w:r>
              <w:rPr>
                <w:sz w:val="18"/>
              </w:rPr>
              <w:t>‐</w:t>
            </w:r>
          </w:p>
        </w:tc>
        <w:tc>
          <w:tcPr>
            <w:tcW w:w="1073" w:type="dxa"/>
            <w:tcBorders>
              <w:right w:val="nil"/>
            </w:tcBorders>
            <w:shd w:val="clear" w:color="auto" w:fill="CCE2ED"/>
          </w:tcPr>
          <w:p w14:paraId="47A1B01C" w14:textId="77777777" w:rsidR="00141B97" w:rsidRDefault="00911D63">
            <w:pPr>
              <w:pStyle w:val="TableParagraph"/>
              <w:spacing w:before="32"/>
              <w:ind w:right="93"/>
              <w:jc w:val="right"/>
              <w:rPr>
                <w:sz w:val="18"/>
              </w:rPr>
            </w:pPr>
            <w:r>
              <w:rPr>
                <w:sz w:val="18"/>
              </w:rPr>
              <w:t>‐</w:t>
            </w:r>
          </w:p>
        </w:tc>
      </w:tr>
      <w:tr w:rsidR="00141B97" w14:paraId="707CCEEB" w14:textId="77777777">
        <w:trPr>
          <w:trHeight w:val="282"/>
          <w:tblCellSpacing w:w="9" w:type="dxa"/>
        </w:trPr>
        <w:tc>
          <w:tcPr>
            <w:tcW w:w="3140" w:type="dxa"/>
            <w:tcBorders>
              <w:left w:val="nil"/>
            </w:tcBorders>
            <w:shd w:val="clear" w:color="auto" w:fill="CCE2ED"/>
          </w:tcPr>
          <w:p w14:paraId="637FB80F" w14:textId="77777777" w:rsidR="00141B97" w:rsidRDefault="00911D63">
            <w:pPr>
              <w:pStyle w:val="TableParagraph"/>
              <w:spacing w:before="32"/>
              <w:ind w:left="254"/>
              <w:rPr>
                <w:i/>
                <w:sz w:val="18"/>
              </w:rPr>
            </w:pPr>
            <w:r>
              <w:rPr>
                <w:i/>
                <w:sz w:val="18"/>
              </w:rPr>
              <w:t>less</w:t>
            </w:r>
            <w:r>
              <w:rPr>
                <w:i/>
                <w:spacing w:val="-7"/>
                <w:sz w:val="18"/>
              </w:rPr>
              <w:t xml:space="preserve"> </w:t>
            </w:r>
            <w:r>
              <w:rPr>
                <w:i/>
                <w:sz w:val="18"/>
              </w:rPr>
              <w:t>Regulatory</w:t>
            </w:r>
            <w:r>
              <w:rPr>
                <w:i/>
                <w:spacing w:val="-6"/>
                <w:sz w:val="18"/>
              </w:rPr>
              <w:t xml:space="preserve"> </w:t>
            </w:r>
            <w:r>
              <w:rPr>
                <w:i/>
                <w:spacing w:val="-2"/>
                <w:sz w:val="18"/>
              </w:rPr>
              <w:t>depreciation</w:t>
            </w:r>
          </w:p>
        </w:tc>
        <w:tc>
          <w:tcPr>
            <w:tcW w:w="1075" w:type="dxa"/>
            <w:shd w:val="clear" w:color="auto" w:fill="CCE2ED"/>
          </w:tcPr>
          <w:p w14:paraId="35C4FC4E" w14:textId="77777777" w:rsidR="00141B97" w:rsidRDefault="00911D63">
            <w:pPr>
              <w:pStyle w:val="TableParagraph"/>
              <w:spacing w:before="32"/>
              <w:ind w:right="95"/>
              <w:jc w:val="right"/>
              <w:rPr>
                <w:sz w:val="18"/>
              </w:rPr>
            </w:pPr>
            <w:r>
              <w:rPr>
                <w:spacing w:val="-4"/>
                <w:sz w:val="18"/>
              </w:rPr>
              <w:t>8.36</w:t>
            </w:r>
          </w:p>
        </w:tc>
        <w:tc>
          <w:tcPr>
            <w:tcW w:w="1070" w:type="dxa"/>
            <w:tcBorders>
              <w:right w:val="nil"/>
            </w:tcBorders>
            <w:shd w:val="clear" w:color="auto" w:fill="CCE2ED"/>
          </w:tcPr>
          <w:p w14:paraId="6110028B" w14:textId="77777777" w:rsidR="00141B97" w:rsidRDefault="00911D63">
            <w:pPr>
              <w:pStyle w:val="TableParagraph"/>
              <w:spacing w:before="32"/>
              <w:ind w:right="90"/>
              <w:jc w:val="right"/>
              <w:rPr>
                <w:sz w:val="18"/>
              </w:rPr>
            </w:pPr>
            <w:r>
              <w:rPr>
                <w:spacing w:val="-4"/>
                <w:sz w:val="18"/>
              </w:rPr>
              <w:t>9.13</w:t>
            </w:r>
          </w:p>
        </w:tc>
        <w:tc>
          <w:tcPr>
            <w:tcW w:w="1080" w:type="dxa"/>
            <w:tcBorders>
              <w:left w:val="nil"/>
            </w:tcBorders>
            <w:shd w:val="clear" w:color="auto" w:fill="CCE2ED"/>
          </w:tcPr>
          <w:p w14:paraId="3E3E6FE7" w14:textId="77777777" w:rsidR="00141B97" w:rsidRDefault="00911D63">
            <w:pPr>
              <w:pStyle w:val="TableParagraph"/>
              <w:spacing w:before="32"/>
              <w:ind w:right="94"/>
              <w:jc w:val="right"/>
              <w:rPr>
                <w:sz w:val="18"/>
              </w:rPr>
            </w:pPr>
            <w:r>
              <w:rPr>
                <w:spacing w:val="-4"/>
                <w:sz w:val="18"/>
              </w:rPr>
              <w:t>9.48</w:t>
            </w:r>
          </w:p>
        </w:tc>
        <w:tc>
          <w:tcPr>
            <w:tcW w:w="1075" w:type="dxa"/>
            <w:shd w:val="clear" w:color="auto" w:fill="CCE2ED"/>
          </w:tcPr>
          <w:p w14:paraId="7C57CFD9" w14:textId="77777777" w:rsidR="00141B97" w:rsidRDefault="00911D63">
            <w:pPr>
              <w:pStyle w:val="TableParagraph"/>
              <w:spacing w:before="32"/>
              <w:ind w:right="94"/>
              <w:jc w:val="right"/>
              <w:rPr>
                <w:sz w:val="18"/>
              </w:rPr>
            </w:pPr>
            <w:r>
              <w:rPr>
                <w:spacing w:val="-4"/>
                <w:sz w:val="18"/>
              </w:rPr>
              <w:t>9.60</w:t>
            </w:r>
          </w:p>
        </w:tc>
        <w:tc>
          <w:tcPr>
            <w:tcW w:w="1075" w:type="dxa"/>
            <w:shd w:val="clear" w:color="auto" w:fill="CCE2ED"/>
          </w:tcPr>
          <w:p w14:paraId="4FCDBD5B" w14:textId="77777777" w:rsidR="00141B97" w:rsidRDefault="00911D63">
            <w:pPr>
              <w:pStyle w:val="TableParagraph"/>
              <w:spacing w:before="32"/>
              <w:ind w:right="94"/>
              <w:jc w:val="right"/>
              <w:rPr>
                <w:sz w:val="18"/>
              </w:rPr>
            </w:pPr>
            <w:r>
              <w:rPr>
                <w:spacing w:val="-4"/>
                <w:sz w:val="18"/>
              </w:rPr>
              <w:t>9.81</w:t>
            </w:r>
          </w:p>
        </w:tc>
        <w:tc>
          <w:tcPr>
            <w:tcW w:w="1073" w:type="dxa"/>
            <w:tcBorders>
              <w:right w:val="nil"/>
            </w:tcBorders>
            <w:shd w:val="clear" w:color="auto" w:fill="CCE2ED"/>
          </w:tcPr>
          <w:p w14:paraId="22E619E9" w14:textId="77777777" w:rsidR="00141B97" w:rsidRDefault="00911D63">
            <w:pPr>
              <w:pStyle w:val="TableParagraph"/>
              <w:spacing w:before="32"/>
              <w:ind w:right="93"/>
              <w:jc w:val="right"/>
              <w:rPr>
                <w:sz w:val="18"/>
              </w:rPr>
            </w:pPr>
            <w:r>
              <w:rPr>
                <w:spacing w:val="-2"/>
                <w:sz w:val="18"/>
              </w:rPr>
              <w:t>10.07</w:t>
            </w:r>
          </w:p>
        </w:tc>
      </w:tr>
      <w:tr w:rsidR="00141B97" w14:paraId="7C7C9CF9" w14:textId="77777777">
        <w:trPr>
          <w:trHeight w:val="283"/>
          <w:tblCellSpacing w:w="9" w:type="dxa"/>
        </w:trPr>
        <w:tc>
          <w:tcPr>
            <w:tcW w:w="3140" w:type="dxa"/>
            <w:tcBorders>
              <w:left w:val="nil"/>
            </w:tcBorders>
            <w:shd w:val="clear" w:color="auto" w:fill="CCE2ED"/>
          </w:tcPr>
          <w:p w14:paraId="7F1AEDF3" w14:textId="77777777" w:rsidR="00141B97" w:rsidRDefault="00911D63">
            <w:pPr>
              <w:pStyle w:val="TableParagraph"/>
              <w:spacing w:before="32"/>
              <w:ind w:left="254"/>
              <w:rPr>
                <w:i/>
                <w:sz w:val="18"/>
              </w:rPr>
            </w:pPr>
            <w:r>
              <w:rPr>
                <w:i/>
                <w:sz w:val="18"/>
              </w:rPr>
              <w:t>less</w:t>
            </w:r>
            <w:r>
              <w:rPr>
                <w:i/>
                <w:spacing w:val="-4"/>
                <w:sz w:val="18"/>
              </w:rPr>
              <w:t xml:space="preserve"> </w:t>
            </w:r>
            <w:r>
              <w:rPr>
                <w:i/>
                <w:sz w:val="18"/>
              </w:rPr>
              <w:t>Proceeds</w:t>
            </w:r>
            <w:r>
              <w:rPr>
                <w:i/>
                <w:spacing w:val="-4"/>
                <w:sz w:val="18"/>
              </w:rPr>
              <w:t xml:space="preserve"> </w:t>
            </w:r>
            <w:r>
              <w:rPr>
                <w:i/>
                <w:sz w:val="18"/>
              </w:rPr>
              <w:t>from</w:t>
            </w:r>
            <w:r>
              <w:rPr>
                <w:i/>
                <w:spacing w:val="-3"/>
                <w:sz w:val="18"/>
              </w:rPr>
              <w:t xml:space="preserve"> </w:t>
            </w:r>
            <w:r>
              <w:rPr>
                <w:i/>
                <w:spacing w:val="-2"/>
                <w:sz w:val="18"/>
              </w:rPr>
              <w:t>disposals</w:t>
            </w:r>
          </w:p>
        </w:tc>
        <w:tc>
          <w:tcPr>
            <w:tcW w:w="1075" w:type="dxa"/>
            <w:shd w:val="clear" w:color="auto" w:fill="CCE2ED"/>
          </w:tcPr>
          <w:p w14:paraId="472788B9" w14:textId="77777777" w:rsidR="00141B97" w:rsidRDefault="00911D63">
            <w:pPr>
              <w:pStyle w:val="TableParagraph"/>
              <w:spacing w:before="32"/>
              <w:ind w:right="95"/>
              <w:jc w:val="right"/>
              <w:rPr>
                <w:sz w:val="18"/>
              </w:rPr>
            </w:pPr>
            <w:r>
              <w:rPr>
                <w:spacing w:val="-4"/>
                <w:sz w:val="18"/>
              </w:rPr>
              <w:t>0.45</w:t>
            </w:r>
          </w:p>
        </w:tc>
        <w:tc>
          <w:tcPr>
            <w:tcW w:w="1070" w:type="dxa"/>
            <w:tcBorders>
              <w:right w:val="nil"/>
            </w:tcBorders>
            <w:shd w:val="clear" w:color="auto" w:fill="CCE2ED"/>
          </w:tcPr>
          <w:p w14:paraId="52B50E60" w14:textId="77777777" w:rsidR="00141B97" w:rsidRDefault="00911D63">
            <w:pPr>
              <w:pStyle w:val="TableParagraph"/>
              <w:spacing w:before="32"/>
              <w:ind w:right="90"/>
              <w:jc w:val="right"/>
              <w:rPr>
                <w:sz w:val="18"/>
              </w:rPr>
            </w:pPr>
            <w:r>
              <w:rPr>
                <w:spacing w:val="-4"/>
                <w:sz w:val="18"/>
              </w:rPr>
              <w:t>0.21</w:t>
            </w:r>
          </w:p>
        </w:tc>
        <w:tc>
          <w:tcPr>
            <w:tcW w:w="1080" w:type="dxa"/>
            <w:tcBorders>
              <w:left w:val="nil"/>
            </w:tcBorders>
            <w:shd w:val="clear" w:color="auto" w:fill="CCE2ED"/>
          </w:tcPr>
          <w:p w14:paraId="06F56BAB" w14:textId="77777777" w:rsidR="00141B97" w:rsidRDefault="00911D63">
            <w:pPr>
              <w:pStyle w:val="TableParagraph"/>
              <w:spacing w:before="32"/>
              <w:ind w:right="94"/>
              <w:jc w:val="right"/>
              <w:rPr>
                <w:sz w:val="18"/>
              </w:rPr>
            </w:pPr>
            <w:r>
              <w:rPr>
                <w:spacing w:val="-4"/>
                <w:sz w:val="18"/>
              </w:rPr>
              <w:t>0.20</w:t>
            </w:r>
          </w:p>
        </w:tc>
        <w:tc>
          <w:tcPr>
            <w:tcW w:w="1075" w:type="dxa"/>
            <w:shd w:val="clear" w:color="auto" w:fill="CCE2ED"/>
          </w:tcPr>
          <w:p w14:paraId="10303D17" w14:textId="77777777" w:rsidR="00141B97" w:rsidRDefault="00911D63">
            <w:pPr>
              <w:pStyle w:val="TableParagraph"/>
              <w:spacing w:before="32"/>
              <w:ind w:right="94"/>
              <w:jc w:val="right"/>
              <w:rPr>
                <w:sz w:val="18"/>
              </w:rPr>
            </w:pPr>
            <w:r>
              <w:rPr>
                <w:spacing w:val="-4"/>
                <w:sz w:val="18"/>
              </w:rPr>
              <w:t>0.11</w:t>
            </w:r>
          </w:p>
        </w:tc>
        <w:tc>
          <w:tcPr>
            <w:tcW w:w="1075" w:type="dxa"/>
            <w:shd w:val="clear" w:color="auto" w:fill="CCE2ED"/>
          </w:tcPr>
          <w:p w14:paraId="25A45726" w14:textId="77777777" w:rsidR="00141B97" w:rsidRDefault="00911D63">
            <w:pPr>
              <w:pStyle w:val="TableParagraph"/>
              <w:spacing w:before="32"/>
              <w:ind w:right="94"/>
              <w:jc w:val="right"/>
              <w:rPr>
                <w:sz w:val="18"/>
              </w:rPr>
            </w:pPr>
            <w:r>
              <w:rPr>
                <w:spacing w:val="-4"/>
                <w:sz w:val="18"/>
              </w:rPr>
              <w:t>0.19</w:t>
            </w:r>
          </w:p>
        </w:tc>
        <w:tc>
          <w:tcPr>
            <w:tcW w:w="1073" w:type="dxa"/>
            <w:tcBorders>
              <w:right w:val="nil"/>
            </w:tcBorders>
            <w:shd w:val="clear" w:color="auto" w:fill="CCE2ED"/>
          </w:tcPr>
          <w:p w14:paraId="2CB024B2" w14:textId="77777777" w:rsidR="00141B97" w:rsidRDefault="00911D63">
            <w:pPr>
              <w:pStyle w:val="TableParagraph"/>
              <w:spacing w:before="32"/>
              <w:ind w:right="93"/>
              <w:jc w:val="right"/>
              <w:rPr>
                <w:sz w:val="18"/>
              </w:rPr>
            </w:pPr>
            <w:r>
              <w:rPr>
                <w:spacing w:val="-4"/>
                <w:sz w:val="18"/>
              </w:rPr>
              <w:t>0.26</w:t>
            </w:r>
          </w:p>
        </w:tc>
      </w:tr>
      <w:tr w:rsidR="00141B97" w14:paraId="52F8773D" w14:textId="77777777">
        <w:trPr>
          <w:trHeight w:val="282"/>
          <w:tblCellSpacing w:w="9" w:type="dxa"/>
        </w:trPr>
        <w:tc>
          <w:tcPr>
            <w:tcW w:w="3140" w:type="dxa"/>
            <w:tcBorders>
              <w:left w:val="nil"/>
              <w:bottom w:val="nil"/>
            </w:tcBorders>
            <w:shd w:val="clear" w:color="auto" w:fill="BFBFBF"/>
          </w:tcPr>
          <w:p w14:paraId="539EF444" w14:textId="77777777" w:rsidR="00141B97" w:rsidRDefault="00911D63">
            <w:pPr>
              <w:pStyle w:val="TableParagraph"/>
              <w:spacing w:before="32"/>
              <w:ind w:left="88"/>
              <w:rPr>
                <w:sz w:val="18"/>
              </w:rPr>
            </w:pPr>
            <w:r>
              <w:rPr>
                <w:sz w:val="18"/>
              </w:rPr>
              <w:t>Closing</w:t>
            </w:r>
            <w:r>
              <w:rPr>
                <w:spacing w:val="-3"/>
                <w:sz w:val="18"/>
              </w:rPr>
              <w:t xml:space="preserve"> </w:t>
            </w:r>
            <w:r>
              <w:rPr>
                <w:sz w:val="18"/>
              </w:rPr>
              <w:t>Asset</w:t>
            </w:r>
            <w:r>
              <w:rPr>
                <w:spacing w:val="-1"/>
                <w:sz w:val="18"/>
              </w:rPr>
              <w:t xml:space="preserve"> </w:t>
            </w:r>
            <w:r>
              <w:rPr>
                <w:spacing w:val="-4"/>
                <w:sz w:val="18"/>
              </w:rPr>
              <w:t>Base</w:t>
            </w:r>
          </w:p>
        </w:tc>
        <w:tc>
          <w:tcPr>
            <w:tcW w:w="1075" w:type="dxa"/>
            <w:tcBorders>
              <w:bottom w:val="nil"/>
            </w:tcBorders>
            <w:shd w:val="clear" w:color="auto" w:fill="BFBFBF"/>
          </w:tcPr>
          <w:p w14:paraId="140DBFA1" w14:textId="77777777" w:rsidR="00141B97" w:rsidRDefault="00911D63">
            <w:pPr>
              <w:pStyle w:val="TableParagraph"/>
              <w:spacing w:before="32"/>
              <w:ind w:right="95"/>
              <w:jc w:val="right"/>
              <w:rPr>
                <w:sz w:val="18"/>
              </w:rPr>
            </w:pPr>
            <w:r>
              <w:rPr>
                <w:spacing w:val="-2"/>
                <w:sz w:val="18"/>
              </w:rPr>
              <w:t>179.21</w:t>
            </w:r>
          </w:p>
        </w:tc>
        <w:tc>
          <w:tcPr>
            <w:tcW w:w="1070" w:type="dxa"/>
            <w:tcBorders>
              <w:bottom w:val="nil"/>
              <w:right w:val="nil"/>
            </w:tcBorders>
            <w:shd w:val="clear" w:color="auto" w:fill="BFBFBF"/>
          </w:tcPr>
          <w:p w14:paraId="6E7D3EAE" w14:textId="77777777" w:rsidR="00141B97" w:rsidRDefault="00911D63">
            <w:pPr>
              <w:pStyle w:val="TableParagraph"/>
              <w:spacing w:before="32"/>
              <w:ind w:right="90"/>
              <w:jc w:val="right"/>
              <w:rPr>
                <w:sz w:val="18"/>
              </w:rPr>
            </w:pPr>
            <w:r>
              <w:rPr>
                <w:spacing w:val="-2"/>
                <w:sz w:val="18"/>
              </w:rPr>
              <w:t>183.40</w:t>
            </w:r>
          </w:p>
        </w:tc>
        <w:tc>
          <w:tcPr>
            <w:tcW w:w="1080" w:type="dxa"/>
            <w:tcBorders>
              <w:left w:val="nil"/>
              <w:bottom w:val="nil"/>
            </w:tcBorders>
            <w:shd w:val="clear" w:color="auto" w:fill="BFBFBF"/>
          </w:tcPr>
          <w:p w14:paraId="55DA8615" w14:textId="77777777" w:rsidR="00141B97" w:rsidRDefault="00911D63">
            <w:pPr>
              <w:pStyle w:val="TableParagraph"/>
              <w:spacing w:before="32"/>
              <w:ind w:right="94"/>
              <w:jc w:val="right"/>
              <w:rPr>
                <w:sz w:val="18"/>
              </w:rPr>
            </w:pPr>
            <w:r>
              <w:rPr>
                <w:spacing w:val="-2"/>
                <w:sz w:val="18"/>
              </w:rPr>
              <w:t>184.90</w:t>
            </w:r>
          </w:p>
        </w:tc>
        <w:tc>
          <w:tcPr>
            <w:tcW w:w="1075" w:type="dxa"/>
            <w:tcBorders>
              <w:bottom w:val="nil"/>
            </w:tcBorders>
            <w:shd w:val="clear" w:color="auto" w:fill="BFBFBF"/>
          </w:tcPr>
          <w:p w14:paraId="3B56AA9F" w14:textId="77777777" w:rsidR="00141B97" w:rsidRDefault="00911D63">
            <w:pPr>
              <w:pStyle w:val="TableParagraph"/>
              <w:spacing w:before="32"/>
              <w:ind w:right="94"/>
              <w:jc w:val="right"/>
              <w:rPr>
                <w:sz w:val="18"/>
              </w:rPr>
            </w:pPr>
            <w:r>
              <w:rPr>
                <w:spacing w:val="-2"/>
                <w:sz w:val="18"/>
              </w:rPr>
              <w:t>184.58</w:t>
            </w:r>
          </w:p>
        </w:tc>
        <w:tc>
          <w:tcPr>
            <w:tcW w:w="1075" w:type="dxa"/>
            <w:tcBorders>
              <w:bottom w:val="nil"/>
            </w:tcBorders>
            <w:shd w:val="clear" w:color="auto" w:fill="BFBFBF"/>
          </w:tcPr>
          <w:p w14:paraId="06DC6B2F" w14:textId="77777777" w:rsidR="00141B97" w:rsidRDefault="00911D63">
            <w:pPr>
              <w:pStyle w:val="TableParagraph"/>
              <w:spacing w:before="32"/>
              <w:ind w:right="94"/>
              <w:jc w:val="right"/>
              <w:rPr>
                <w:sz w:val="18"/>
              </w:rPr>
            </w:pPr>
            <w:r>
              <w:rPr>
                <w:spacing w:val="-2"/>
                <w:sz w:val="18"/>
              </w:rPr>
              <w:t>197.03</w:t>
            </w:r>
          </w:p>
        </w:tc>
        <w:tc>
          <w:tcPr>
            <w:tcW w:w="1073" w:type="dxa"/>
            <w:tcBorders>
              <w:bottom w:val="nil"/>
              <w:right w:val="nil"/>
            </w:tcBorders>
            <w:shd w:val="clear" w:color="auto" w:fill="BFBFBF"/>
          </w:tcPr>
          <w:p w14:paraId="5108A03F" w14:textId="77777777" w:rsidR="00141B97" w:rsidRDefault="00911D63">
            <w:pPr>
              <w:pStyle w:val="TableParagraph"/>
              <w:spacing w:before="32"/>
              <w:ind w:right="93"/>
              <w:jc w:val="right"/>
              <w:rPr>
                <w:sz w:val="18"/>
              </w:rPr>
            </w:pPr>
            <w:r>
              <w:rPr>
                <w:spacing w:val="-2"/>
                <w:sz w:val="18"/>
              </w:rPr>
              <w:t>198.73</w:t>
            </w:r>
          </w:p>
        </w:tc>
      </w:tr>
    </w:tbl>
    <w:p w14:paraId="21033DA6" w14:textId="77777777" w:rsidR="00141B97" w:rsidRDefault="00911D63">
      <w:pPr>
        <w:spacing w:before="25"/>
        <w:ind w:left="114"/>
        <w:jc w:val="both"/>
        <w:rPr>
          <w:sz w:val="18"/>
        </w:rPr>
      </w:pPr>
      <w:r>
        <w:rPr>
          <w:sz w:val="18"/>
        </w:rPr>
        <w:t>Table</w:t>
      </w:r>
      <w:r>
        <w:rPr>
          <w:spacing w:val="-2"/>
          <w:sz w:val="18"/>
        </w:rPr>
        <w:t xml:space="preserve"> </w:t>
      </w:r>
      <w:r>
        <w:rPr>
          <w:sz w:val="18"/>
        </w:rPr>
        <w:t>B32:</w:t>
      </w:r>
      <w:r>
        <w:rPr>
          <w:spacing w:val="-11"/>
          <w:sz w:val="18"/>
        </w:rPr>
        <w:t xml:space="preserve"> </w:t>
      </w:r>
      <w:r>
        <w:rPr>
          <w:sz w:val="18"/>
        </w:rPr>
        <w:t>Updating</w:t>
      </w:r>
      <w:r>
        <w:rPr>
          <w:spacing w:val="-2"/>
          <w:sz w:val="18"/>
        </w:rPr>
        <w:t xml:space="preserve"> </w:t>
      </w:r>
      <w:r>
        <w:rPr>
          <w:sz w:val="18"/>
        </w:rPr>
        <w:t>the</w:t>
      </w:r>
      <w:r>
        <w:rPr>
          <w:spacing w:val="-2"/>
          <w:sz w:val="18"/>
        </w:rPr>
        <w:t xml:space="preserve"> </w:t>
      </w:r>
      <w:r>
        <w:rPr>
          <w:sz w:val="18"/>
        </w:rPr>
        <w:t>Regulatory</w:t>
      </w:r>
      <w:r>
        <w:rPr>
          <w:spacing w:val="-2"/>
          <w:sz w:val="18"/>
        </w:rPr>
        <w:t xml:space="preserve"> </w:t>
      </w:r>
      <w:r>
        <w:rPr>
          <w:sz w:val="18"/>
        </w:rPr>
        <w:t>Asset</w:t>
      </w:r>
      <w:r>
        <w:rPr>
          <w:spacing w:val="-1"/>
          <w:sz w:val="18"/>
        </w:rPr>
        <w:t xml:space="preserve"> </w:t>
      </w:r>
      <w:r>
        <w:rPr>
          <w:spacing w:val="-4"/>
          <w:sz w:val="18"/>
        </w:rPr>
        <w:t>Base</w:t>
      </w:r>
    </w:p>
    <w:p w14:paraId="1460BEA8" w14:textId="77777777" w:rsidR="00141B97" w:rsidRDefault="00141B97">
      <w:pPr>
        <w:pStyle w:val="BodyText"/>
        <w:spacing w:before="1"/>
      </w:pPr>
    </w:p>
    <w:p w14:paraId="5E7EF318" w14:textId="77777777" w:rsidR="00141B97" w:rsidRDefault="00911D63">
      <w:pPr>
        <w:pStyle w:val="BodyText"/>
        <w:ind w:left="113" w:right="948"/>
        <w:jc w:val="both"/>
      </w:pPr>
      <w:r>
        <w:t>Table</w:t>
      </w:r>
      <w:r>
        <w:rPr>
          <w:spacing w:val="-1"/>
        </w:rPr>
        <w:t xml:space="preserve"> </w:t>
      </w:r>
      <w:r>
        <w:t>B33 overleaf sets</w:t>
      </w:r>
      <w:r>
        <w:rPr>
          <w:spacing w:val="-1"/>
        </w:rPr>
        <w:t xml:space="preserve"> </w:t>
      </w:r>
      <w:r>
        <w:t>out</w:t>
      </w:r>
      <w:r>
        <w:rPr>
          <w:spacing w:val="-1"/>
        </w:rPr>
        <w:t xml:space="preserve"> </w:t>
      </w:r>
      <w:r>
        <w:t>the roll</w:t>
      </w:r>
      <w:r>
        <w:rPr>
          <w:spacing w:val="-1"/>
        </w:rPr>
        <w:t xml:space="preserve"> </w:t>
      </w:r>
      <w:r>
        <w:t>forward</w:t>
      </w:r>
      <w:r>
        <w:rPr>
          <w:spacing w:val="-1"/>
        </w:rPr>
        <w:t xml:space="preserve"> </w:t>
      </w:r>
      <w:r>
        <w:t>of the RAB to</w:t>
      </w:r>
      <w:r>
        <w:rPr>
          <w:spacing w:val="-1"/>
        </w:rPr>
        <w:t xml:space="preserve"> </w:t>
      </w:r>
      <w:r>
        <w:t>2028 based on</w:t>
      </w:r>
      <w:r>
        <w:rPr>
          <w:spacing w:val="-1"/>
        </w:rPr>
        <w:t xml:space="preserve"> </w:t>
      </w:r>
      <w:r>
        <w:t>the</w:t>
      </w:r>
      <w:r>
        <w:rPr>
          <w:spacing w:val="-1"/>
        </w:rPr>
        <w:t xml:space="preserve"> </w:t>
      </w:r>
      <w:r>
        <w:t>forecasts of capital, depreciation, and</w:t>
      </w:r>
      <w:r>
        <w:rPr>
          <w:spacing w:val="-13"/>
        </w:rPr>
        <w:t xml:space="preserve"> </w:t>
      </w:r>
      <w:r>
        <w:t>contributions.</w:t>
      </w:r>
      <w:r>
        <w:rPr>
          <w:spacing w:val="-12"/>
        </w:rPr>
        <w:t xml:space="preserve"> </w:t>
      </w:r>
      <w:r>
        <w:t>The</w:t>
      </w:r>
      <w:r>
        <w:rPr>
          <w:spacing w:val="-13"/>
        </w:rPr>
        <w:t xml:space="preserve"> </w:t>
      </w:r>
      <w:r>
        <w:t>largest</w:t>
      </w:r>
      <w:r>
        <w:rPr>
          <w:spacing w:val="-12"/>
        </w:rPr>
        <w:t xml:space="preserve"> </w:t>
      </w:r>
      <w:r>
        <w:t>influences</w:t>
      </w:r>
      <w:r>
        <w:rPr>
          <w:spacing w:val="-13"/>
        </w:rPr>
        <w:t xml:space="preserve"> </w:t>
      </w:r>
      <w:r>
        <w:t>on</w:t>
      </w:r>
      <w:r>
        <w:rPr>
          <w:spacing w:val="-12"/>
        </w:rPr>
        <w:t xml:space="preserve"> </w:t>
      </w:r>
      <w:r>
        <w:t>the</w:t>
      </w:r>
      <w:r>
        <w:rPr>
          <w:spacing w:val="-13"/>
        </w:rPr>
        <w:t xml:space="preserve"> </w:t>
      </w:r>
      <w:r>
        <w:t>RAB</w:t>
      </w:r>
      <w:r>
        <w:rPr>
          <w:spacing w:val="-12"/>
        </w:rPr>
        <w:t xml:space="preserve"> </w:t>
      </w:r>
      <w:r>
        <w:t>are</w:t>
      </w:r>
      <w:r>
        <w:rPr>
          <w:spacing w:val="-12"/>
        </w:rPr>
        <w:t xml:space="preserve"> </w:t>
      </w:r>
      <w:r>
        <w:t>capital</w:t>
      </w:r>
      <w:r>
        <w:rPr>
          <w:spacing w:val="-13"/>
        </w:rPr>
        <w:t xml:space="preserve"> </w:t>
      </w:r>
      <w:r>
        <w:t>expenditure</w:t>
      </w:r>
      <w:r>
        <w:rPr>
          <w:spacing w:val="-12"/>
        </w:rPr>
        <w:t xml:space="preserve"> </w:t>
      </w:r>
      <w:r>
        <w:t>and</w:t>
      </w:r>
      <w:r>
        <w:rPr>
          <w:spacing w:val="-13"/>
        </w:rPr>
        <w:t xml:space="preserve"> </w:t>
      </w:r>
      <w:r>
        <w:t>regulatory</w:t>
      </w:r>
      <w:r>
        <w:rPr>
          <w:spacing w:val="-12"/>
        </w:rPr>
        <w:t xml:space="preserve"> </w:t>
      </w:r>
      <w:r>
        <w:t>depreciation.</w:t>
      </w:r>
      <w:r>
        <w:rPr>
          <w:spacing w:val="-13"/>
        </w:rPr>
        <w:t xml:space="preserve"> </w:t>
      </w:r>
      <w:r>
        <w:t>Capital expenditure of $98.61m added to the RAB is consistent with the capital program forecast for the PS5 period. Capital additions occur only after the individual projects are considered prudent and efficient and meet the agreed customer outcomes and LMW’s obligations.</w:t>
      </w:r>
    </w:p>
    <w:p w14:paraId="4740C52C" w14:textId="77777777" w:rsidR="00141B97" w:rsidRDefault="00141B97">
      <w:pPr>
        <w:jc w:val="both"/>
        <w:sectPr w:rsidR="00141B97">
          <w:pgSz w:w="11910" w:h="16840"/>
          <w:pgMar w:top="820" w:right="40" w:bottom="760" w:left="1020" w:header="0" w:footer="580" w:gutter="0"/>
          <w:cols w:space="720"/>
        </w:sect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123"/>
        <w:gridCol w:w="1112"/>
        <w:gridCol w:w="1104"/>
        <w:gridCol w:w="1104"/>
        <w:gridCol w:w="1104"/>
        <w:gridCol w:w="1104"/>
        <w:gridCol w:w="1103"/>
      </w:tblGrid>
      <w:tr w:rsidR="00141B97" w14:paraId="3B96BBA4" w14:textId="77777777">
        <w:trPr>
          <w:trHeight w:val="495"/>
          <w:tblCellSpacing w:w="9" w:type="dxa"/>
        </w:trPr>
        <w:tc>
          <w:tcPr>
            <w:tcW w:w="3096" w:type="dxa"/>
            <w:tcBorders>
              <w:top w:val="nil"/>
              <w:left w:val="nil"/>
            </w:tcBorders>
            <w:shd w:val="clear" w:color="auto" w:fill="0064A4"/>
          </w:tcPr>
          <w:p w14:paraId="1AD90094" w14:textId="77777777" w:rsidR="00141B97" w:rsidRDefault="00911D63">
            <w:pPr>
              <w:pStyle w:val="TableParagraph"/>
              <w:spacing w:before="139"/>
              <w:ind w:left="88"/>
              <w:rPr>
                <w:sz w:val="18"/>
              </w:rPr>
            </w:pPr>
            <w:r>
              <w:rPr>
                <w:color w:val="FFFFFF"/>
                <w:sz w:val="18"/>
              </w:rPr>
              <w:lastRenderedPageBreak/>
              <w:t>Rolled</w:t>
            </w:r>
            <w:r>
              <w:rPr>
                <w:color w:val="FFFFFF"/>
                <w:spacing w:val="-7"/>
                <w:sz w:val="18"/>
              </w:rPr>
              <w:t xml:space="preserve"> </w:t>
            </w:r>
            <w:r>
              <w:rPr>
                <w:color w:val="FFFFFF"/>
                <w:sz w:val="18"/>
              </w:rPr>
              <w:t>forward</w:t>
            </w:r>
            <w:r>
              <w:rPr>
                <w:color w:val="FFFFFF"/>
                <w:spacing w:val="-6"/>
                <w:sz w:val="18"/>
              </w:rPr>
              <w:t xml:space="preserve"> </w:t>
            </w:r>
            <w:r>
              <w:rPr>
                <w:color w:val="FFFFFF"/>
                <w:sz w:val="18"/>
              </w:rPr>
              <w:t>asset</w:t>
            </w:r>
            <w:r>
              <w:rPr>
                <w:color w:val="FFFFFF"/>
                <w:spacing w:val="-7"/>
                <w:sz w:val="18"/>
              </w:rPr>
              <w:t xml:space="preserve"> </w:t>
            </w:r>
            <w:r>
              <w:rPr>
                <w:color w:val="FFFFFF"/>
                <w:spacing w:val="-4"/>
                <w:sz w:val="18"/>
              </w:rPr>
              <w:t>base</w:t>
            </w:r>
          </w:p>
        </w:tc>
        <w:tc>
          <w:tcPr>
            <w:tcW w:w="1094" w:type="dxa"/>
            <w:tcBorders>
              <w:top w:val="nil"/>
            </w:tcBorders>
            <w:shd w:val="clear" w:color="auto" w:fill="0064A4"/>
          </w:tcPr>
          <w:p w14:paraId="11F7EE35" w14:textId="77777777" w:rsidR="00141B97" w:rsidRDefault="00911D63">
            <w:pPr>
              <w:pStyle w:val="TableParagraph"/>
              <w:spacing w:before="139"/>
              <w:ind w:left="184"/>
              <w:rPr>
                <w:sz w:val="18"/>
              </w:rPr>
            </w:pPr>
            <w:r>
              <w:rPr>
                <w:color w:val="FFFFFF"/>
                <w:sz w:val="18"/>
              </w:rPr>
              <w:t>4</w:t>
            </w:r>
            <w:r>
              <w:rPr>
                <w:color w:val="FFFFFF"/>
                <w:sz w:val="18"/>
                <w:vertAlign w:val="superscript"/>
              </w:rPr>
              <w:t>th</w:t>
            </w:r>
            <w:r>
              <w:rPr>
                <w:color w:val="FFFFFF"/>
                <w:spacing w:val="-2"/>
                <w:sz w:val="18"/>
              </w:rPr>
              <w:t xml:space="preserve"> Period</w:t>
            </w:r>
          </w:p>
        </w:tc>
        <w:tc>
          <w:tcPr>
            <w:tcW w:w="5420" w:type="dxa"/>
            <w:gridSpan w:val="5"/>
            <w:tcBorders>
              <w:top w:val="nil"/>
              <w:right w:val="nil"/>
            </w:tcBorders>
            <w:shd w:val="clear" w:color="auto" w:fill="0064A4"/>
          </w:tcPr>
          <w:p w14:paraId="6F7A22D2" w14:textId="77777777" w:rsidR="00141B97" w:rsidRDefault="00911D63">
            <w:pPr>
              <w:pStyle w:val="TableParagraph"/>
              <w:spacing w:before="139"/>
              <w:ind w:left="1876" w:right="1867"/>
              <w:jc w:val="center"/>
              <w:rPr>
                <w:sz w:val="18"/>
              </w:rPr>
            </w:pPr>
            <w:r>
              <w:rPr>
                <w:color w:val="FFFFFF"/>
                <w:sz w:val="18"/>
              </w:rPr>
              <w:t>Fifth</w:t>
            </w:r>
            <w:r>
              <w:rPr>
                <w:color w:val="FFFFFF"/>
                <w:spacing w:val="-7"/>
                <w:sz w:val="18"/>
              </w:rPr>
              <w:t xml:space="preserve"> </w:t>
            </w:r>
            <w:r>
              <w:rPr>
                <w:color w:val="FFFFFF"/>
                <w:sz w:val="18"/>
              </w:rPr>
              <w:t>Regulatory</w:t>
            </w:r>
            <w:r>
              <w:rPr>
                <w:color w:val="FFFFFF"/>
                <w:spacing w:val="-7"/>
                <w:sz w:val="18"/>
              </w:rPr>
              <w:t xml:space="preserve"> </w:t>
            </w:r>
            <w:r>
              <w:rPr>
                <w:color w:val="FFFFFF"/>
                <w:spacing w:val="-2"/>
                <w:sz w:val="18"/>
              </w:rPr>
              <w:t>Period</w:t>
            </w:r>
          </w:p>
        </w:tc>
      </w:tr>
      <w:tr w:rsidR="00141B97" w14:paraId="17057112" w14:textId="77777777">
        <w:trPr>
          <w:trHeight w:val="255"/>
          <w:tblCellSpacing w:w="9" w:type="dxa"/>
        </w:trPr>
        <w:tc>
          <w:tcPr>
            <w:tcW w:w="3096" w:type="dxa"/>
            <w:tcBorders>
              <w:left w:val="nil"/>
            </w:tcBorders>
            <w:shd w:val="clear" w:color="auto" w:fill="0064A4"/>
          </w:tcPr>
          <w:p w14:paraId="20A9450B" w14:textId="77777777" w:rsidR="00141B97" w:rsidRDefault="00911D63">
            <w:pPr>
              <w:pStyle w:val="TableParagraph"/>
              <w:spacing w:before="19" w:line="217" w:lineRule="exact"/>
              <w:ind w:left="88"/>
              <w:rPr>
                <w:sz w:val="18"/>
              </w:rPr>
            </w:pPr>
            <w:r>
              <w:rPr>
                <w:color w:val="FFFFFF"/>
                <w:sz w:val="18"/>
              </w:rPr>
              <w:t>$m,</w:t>
            </w:r>
            <w:r>
              <w:rPr>
                <w:color w:val="FFFFFF"/>
                <w:spacing w:val="-3"/>
                <w:sz w:val="18"/>
              </w:rPr>
              <w:t xml:space="preserve"> </w:t>
            </w:r>
            <w:r>
              <w:rPr>
                <w:color w:val="FFFFFF"/>
                <w:spacing w:val="-2"/>
                <w:sz w:val="18"/>
              </w:rPr>
              <w:t>1/1/23</w:t>
            </w:r>
          </w:p>
        </w:tc>
        <w:tc>
          <w:tcPr>
            <w:tcW w:w="1094" w:type="dxa"/>
            <w:shd w:val="clear" w:color="auto" w:fill="0064A4"/>
          </w:tcPr>
          <w:p w14:paraId="18CA6EE5" w14:textId="77777777" w:rsidR="00141B97" w:rsidRDefault="00911D63">
            <w:pPr>
              <w:pStyle w:val="TableParagraph"/>
              <w:spacing w:before="19" w:line="217" w:lineRule="exact"/>
              <w:ind w:left="234"/>
              <w:rPr>
                <w:sz w:val="18"/>
              </w:rPr>
            </w:pPr>
            <w:r>
              <w:rPr>
                <w:color w:val="FFFFFF"/>
                <w:spacing w:val="-2"/>
                <w:sz w:val="18"/>
              </w:rPr>
              <w:t>2022‐23</w:t>
            </w:r>
          </w:p>
        </w:tc>
        <w:tc>
          <w:tcPr>
            <w:tcW w:w="1086" w:type="dxa"/>
            <w:shd w:val="clear" w:color="auto" w:fill="0064A4"/>
          </w:tcPr>
          <w:p w14:paraId="290D0E00" w14:textId="77777777" w:rsidR="00141B97" w:rsidRDefault="00911D63">
            <w:pPr>
              <w:pStyle w:val="TableParagraph"/>
              <w:spacing w:before="19" w:line="217" w:lineRule="exact"/>
              <w:ind w:left="231"/>
              <w:rPr>
                <w:sz w:val="18"/>
              </w:rPr>
            </w:pPr>
            <w:r>
              <w:rPr>
                <w:color w:val="FFFFFF"/>
                <w:spacing w:val="-2"/>
                <w:sz w:val="18"/>
              </w:rPr>
              <w:t>2023‐24</w:t>
            </w:r>
          </w:p>
        </w:tc>
        <w:tc>
          <w:tcPr>
            <w:tcW w:w="1086" w:type="dxa"/>
            <w:shd w:val="clear" w:color="auto" w:fill="0064A4"/>
          </w:tcPr>
          <w:p w14:paraId="74DEE26D" w14:textId="77777777" w:rsidR="00141B97" w:rsidRDefault="00911D63">
            <w:pPr>
              <w:pStyle w:val="TableParagraph"/>
              <w:spacing w:before="19" w:line="217" w:lineRule="exact"/>
              <w:ind w:left="231"/>
              <w:rPr>
                <w:sz w:val="18"/>
              </w:rPr>
            </w:pPr>
            <w:r>
              <w:rPr>
                <w:color w:val="FFFFFF"/>
                <w:spacing w:val="-2"/>
                <w:sz w:val="18"/>
              </w:rPr>
              <w:t>2024‐25</w:t>
            </w:r>
          </w:p>
        </w:tc>
        <w:tc>
          <w:tcPr>
            <w:tcW w:w="1086" w:type="dxa"/>
            <w:shd w:val="clear" w:color="auto" w:fill="0064A4"/>
          </w:tcPr>
          <w:p w14:paraId="25A153EE" w14:textId="77777777" w:rsidR="00141B97" w:rsidRDefault="00911D63">
            <w:pPr>
              <w:pStyle w:val="TableParagraph"/>
              <w:spacing w:before="19" w:line="217" w:lineRule="exact"/>
              <w:ind w:left="231"/>
              <w:rPr>
                <w:sz w:val="18"/>
              </w:rPr>
            </w:pPr>
            <w:r>
              <w:rPr>
                <w:color w:val="FFFFFF"/>
                <w:spacing w:val="-2"/>
                <w:sz w:val="18"/>
              </w:rPr>
              <w:t>2025‐26</w:t>
            </w:r>
          </w:p>
        </w:tc>
        <w:tc>
          <w:tcPr>
            <w:tcW w:w="1086" w:type="dxa"/>
            <w:shd w:val="clear" w:color="auto" w:fill="0064A4"/>
          </w:tcPr>
          <w:p w14:paraId="391D8D54" w14:textId="77777777" w:rsidR="00141B97" w:rsidRDefault="00911D63">
            <w:pPr>
              <w:pStyle w:val="TableParagraph"/>
              <w:spacing w:before="19" w:line="217" w:lineRule="exact"/>
              <w:ind w:left="231"/>
              <w:rPr>
                <w:sz w:val="18"/>
              </w:rPr>
            </w:pPr>
            <w:r>
              <w:rPr>
                <w:color w:val="FFFFFF"/>
                <w:spacing w:val="-2"/>
                <w:sz w:val="18"/>
              </w:rPr>
              <w:t>2026‐27</w:t>
            </w:r>
          </w:p>
        </w:tc>
        <w:tc>
          <w:tcPr>
            <w:tcW w:w="1076" w:type="dxa"/>
            <w:tcBorders>
              <w:right w:val="nil"/>
            </w:tcBorders>
            <w:shd w:val="clear" w:color="auto" w:fill="0064A4"/>
          </w:tcPr>
          <w:p w14:paraId="3DC3AE60" w14:textId="77777777" w:rsidR="00141B97" w:rsidRDefault="00911D63">
            <w:pPr>
              <w:pStyle w:val="TableParagraph"/>
              <w:spacing w:before="19" w:line="217" w:lineRule="exact"/>
              <w:ind w:left="231"/>
              <w:rPr>
                <w:sz w:val="18"/>
              </w:rPr>
            </w:pPr>
            <w:r>
              <w:rPr>
                <w:color w:val="FFFFFF"/>
                <w:spacing w:val="-2"/>
                <w:sz w:val="18"/>
              </w:rPr>
              <w:t>2027‐28</w:t>
            </w:r>
          </w:p>
        </w:tc>
      </w:tr>
      <w:tr w:rsidR="00141B97" w14:paraId="73E591F6" w14:textId="77777777">
        <w:trPr>
          <w:trHeight w:val="282"/>
          <w:tblCellSpacing w:w="9" w:type="dxa"/>
        </w:trPr>
        <w:tc>
          <w:tcPr>
            <w:tcW w:w="3096" w:type="dxa"/>
            <w:tcBorders>
              <w:left w:val="nil"/>
            </w:tcBorders>
            <w:shd w:val="clear" w:color="auto" w:fill="CCE2ED"/>
          </w:tcPr>
          <w:p w14:paraId="46CF6AFF" w14:textId="77777777" w:rsidR="00141B97" w:rsidRDefault="00911D63">
            <w:pPr>
              <w:pStyle w:val="TableParagraph"/>
              <w:spacing w:before="32"/>
              <w:ind w:left="88"/>
              <w:rPr>
                <w:sz w:val="18"/>
              </w:rPr>
            </w:pPr>
            <w:r>
              <w:rPr>
                <w:sz w:val="18"/>
              </w:rPr>
              <w:t>Opening</w:t>
            </w:r>
            <w:r>
              <w:rPr>
                <w:spacing w:val="-9"/>
                <w:sz w:val="18"/>
              </w:rPr>
              <w:t xml:space="preserve"> </w:t>
            </w:r>
            <w:r>
              <w:rPr>
                <w:sz w:val="18"/>
              </w:rPr>
              <w:t>asset</w:t>
            </w:r>
            <w:r>
              <w:rPr>
                <w:spacing w:val="-8"/>
                <w:sz w:val="18"/>
              </w:rPr>
              <w:t xml:space="preserve"> </w:t>
            </w:r>
            <w:r>
              <w:rPr>
                <w:spacing w:val="-4"/>
                <w:sz w:val="18"/>
              </w:rPr>
              <w:t>base</w:t>
            </w:r>
          </w:p>
        </w:tc>
        <w:tc>
          <w:tcPr>
            <w:tcW w:w="1094" w:type="dxa"/>
            <w:shd w:val="clear" w:color="auto" w:fill="CCE2ED"/>
          </w:tcPr>
          <w:p w14:paraId="1E489FF7" w14:textId="77777777" w:rsidR="00141B97" w:rsidRDefault="00911D63">
            <w:pPr>
              <w:pStyle w:val="TableParagraph"/>
              <w:ind w:right="95"/>
              <w:jc w:val="right"/>
              <w:rPr>
                <w:sz w:val="18"/>
              </w:rPr>
            </w:pPr>
            <w:r>
              <w:rPr>
                <w:spacing w:val="-2"/>
                <w:sz w:val="18"/>
              </w:rPr>
              <w:t>197.03</w:t>
            </w:r>
          </w:p>
        </w:tc>
        <w:tc>
          <w:tcPr>
            <w:tcW w:w="1086" w:type="dxa"/>
            <w:shd w:val="clear" w:color="auto" w:fill="CCE2ED"/>
          </w:tcPr>
          <w:p w14:paraId="632D8CB6" w14:textId="77777777" w:rsidR="00141B97" w:rsidRDefault="00911D63">
            <w:pPr>
              <w:pStyle w:val="TableParagraph"/>
              <w:ind w:right="95"/>
              <w:jc w:val="right"/>
              <w:rPr>
                <w:sz w:val="18"/>
              </w:rPr>
            </w:pPr>
            <w:r>
              <w:rPr>
                <w:spacing w:val="-2"/>
                <w:sz w:val="18"/>
              </w:rPr>
              <w:t>198.73</w:t>
            </w:r>
          </w:p>
        </w:tc>
        <w:tc>
          <w:tcPr>
            <w:tcW w:w="1086" w:type="dxa"/>
            <w:shd w:val="clear" w:color="auto" w:fill="CCE2ED"/>
          </w:tcPr>
          <w:p w14:paraId="657C14FB" w14:textId="77777777" w:rsidR="00141B97" w:rsidRDefault="00911D63">
            <w:pPr>
              <w:pStyle w:val="TableParagraph"/>
              <w:ind w:right="95"/>
              <w:jc w:val="right"/>
              <w:rPr>
                <w:sz w:val="18"/>
              </w:rPr>
            </w:pPr>
            <w:r>
              <w:rPr>
                <w:spacing w:val="-2"/>
                <w:sz w:val="18"/>
              </w:rPr>
              <w:t>210.55</w:t>
            </w:r>
          </w:p>
        </w:tc>
        <w:tc>
          <w:tcPr>
            <w:tcW w:w="1086" w:type="dxa"/>
            <w:shd w:val="clear" w:color="auto" w:fill="CCE2ED"/>
          </w:tcPr>
          <w:p w14:paraId="643DCC7B" w14:textId="77777777" w:rsidR="00141B97" w:rsidRDefault="00911D63">
            <w:pPr>
              <w:pStyle w:val="TableParagraph"/>
              <w:ind w:right="95"/>
              <w:jc w:val="right"/>
              <w:rPr>
                <w:sz w:val="18"/>
              </w:rPr>
            </w:pPr>
            <w:r>
              <w:rPr>
                <w:spacing w:val="-2"/>
                <w:sz w:val="18"/>
              </w:rPr>
              <w:t>221.23</w:t>
            </w:r>
          </w:p>
        </w:tc>
        <w:tc>
          <w:tcPr>
            <w:tcW w:w="1086" w:type="dxa"/>
            <w:shd w:val="clear" w:color="auto" w:fill="CCE2ED"/>
          </w:tcPr>
          <w:p w14:paraId="31DA68B8" w14:textId="77777777" w:rsidR="00141B97" w:rsidRDefault="00911D63">
            <w:pPr>
              <w:pStyle w:val="TableParagraph"/>
              <w:ind w:right="95"/>
              <w:jc w:val="right"/>
              <w:rPr>
                <w:sz w:val="18"/>
              </w:rPr>
            </w:pPr>
            <w:r>
              <w:rPr>
                <w:spacing w:val="-2"/>
                <w:sz w:val="18"/>
              </w:rPr>
              <w:t>227.15</w:t>
            </w:r>
          </w:p>
        </w:tc>
        <w:tc>
          <w:tcPr>
            <w:tcW w:w="1076" w:type="dxa"/>
            <w:tcBorders>
              <w:right w:val="nil"/>
            </w:tcBorders>
            <w:shd w:val="clear" w:color="auto" w:fill="CCE2ED"/>
          </w:tcPr>
          <w:p w14:paraId="22F0331D" w14:textId="77777777" w:rsidR="00141B97" w:rsidRDefault="00911D63">
            <w:pPr>
              <w:pStyle w:val="TableParagraph"/>
              <w:ind w:right="85"/>
              <w:jc w:val="right"/>
              <w:rPr>
                <w:sz w:val="18"/>
              </w:rPr>
            </w:pPr>
            <w:r>
              <w:rPr>
                <w:spacing w:val="-2"/>
                <w:sz w:val="18"/>
              </w:rPr>
              <w:t>232.81</w:t>
            </w:r>
          </w:p>
        </w:tc>
      </w:tr>
      <w:tr w:rsidR="00141B97" w14:paraId="29701004" w14:textId="77777777">
        <w:trPr>
          <w:trHeight w:val="282"/>
          <w:tblCellSpacing w:w="9" w:type="dxa"/>
        </w:trPr>
        <w:tc>
          <w:tcPr>
            <w:tcW w:w="3096" w:type="dxa"/>
            <w:tcBorders>
              <w:left w:val="nil"/>
            </w:tcBorders>
            <w:shd w:val="clear" w:color="auto" w:fill="CCE2ED"/>
          </w:tcPr>
          <w:p w14:paraId="491D6D92" w14:textId="77777777" w:rsidR="00141B97" w:rsidRDefault="00911D63">
            <w:pPr>
              <w:pStyle w:val="TableParagraph"/>
              <w:spacing w:before="32"/>
              <w:ind w:right="592"/>
              <w:jc w:val="right"/>
              <w:rPr>
                <w:i/>
                <w:sz w:val="18"/>
              </w:rPr>
            </w:pPr>
            <w:r>
              <w:rPr>
                <w:i/>
                <w:sz w:val="18"/>
              </w:rPr>
              <w:t>plus</w:t>
            </w:r>
            <w:r>
              <w:rPr>
                <w:i/>
                <w:spacing w:val="-6"/>
                <w:sz w:val="18"/>
              </w:rPr>
              <w:t xml:space="preserve"> </w:t>
            </w:r>
            <w:r>
              <w:rPr>
                <w:i/>
                <w:sz w:val="18"/>
              </w:rPr>
              <w:t>Gross</w:t>
            </w:r>
            <w:r>
              <w:rPr>
                <w:i/>
                <w:spacing w:val="-6"/>
                <w:sz w:val="18"/>
              </w:rPr>
              <w:t xml:space="preserve"> </w:t>
            </w:r>
            <w:r>
              <w:rPr>
                <w:i/>
                <w:sz w:val="18"/>
              </w:rPr>
              <w:t>capital</w:t>
            </w:r>
            <w:r>
              <w:rPr>
                <w:i/>
                <w:spacing w:val="-6"/>
                <w:sz w:val="18"/>
              </w:rPr>
              <w:t xml:space="preserve"> </w:t>
            </w:r>
            <w:r>
              <w:rPr>
                <w:i/>
                <w:spacing w:val="-2"/>
                <w:sz w:val="18"/>
              </w:rPr>
              <w:t>expenditures</w:t>
            </w:r>
          </w:p>
        </w:tc>
        <w:tc>
          <w:tcPr>
            <w:tcW w:w="1094" w:type="dxa"/>
            <w:shd w:val="clear" w:color="auto" w:fill="CCE2ED"/>
          </w:tcPr>
          <w:p w14:paraId="090166C4" w14:textId="77777777" w:rsidR="00141B97" w:rsidRDefault="00911D63">
            <w:pPr>
              <w:pStyle w:val="TableParagraph"/>
              <w:spacing w:before="32"/>
              <w:ind w:right="95"/>
              <w:jc w:val="right"/>
              <w:rPr>
                <w:sz w:val="18"/>
              </w:rPr>
            </w:pPr>
            <w:r>
              <w:rPr>
                <w:spacing w:val="-2"/>
                <w:sz w:val="18"/>
              </w:rPr>
              <w:t>13.75</w:t>
            </w:r>
          </w:p>
        </w:tc>
        <w:tc>
          <w:tcPr>
            <w:tcW w:w="1086" w:type="dxa"/>
            <w:shd w:val="clear" w:color="auto" w:fill="CCE2ED"/>
          </w:tcPr>
          <w:p w14:paraId="15D00FD3" w14:textId="77777777" w:rsidR="00141B97" w:rsidRDefault="00911D63">
            <w:pPr>
              <w:pStyle w:val="TableParagraph"/>
              <w:spacing w:before="32"/>
              <w:ind w:right="95"/>
              <w:jc w:val="right"/>
              <w:rPr>
                <w:sz w:val="18"/>
              </w:rPr>
            </w:pPr>
            <w:r>
              <w:rPr>
                <w:spacing w:val="-2"/>
                <w:sz w:val="18"/>
              </w:rPr>
              <w:t>24.49</w:t>
            </w:r>
          </w:p>
        </w:tc>
        <w:tc>
          <w:tcPr>
            <w:tcW w:w="1086" w:type="dxa"/>
            <w:shd w:val="clear" w:color="auto" w:fill="CCE2ED"/>
          </w:tcPr>
          <w:p w14:paraId="69FBC1FB" w14:textId="77777777" w:rsidR="00141B97" w:rsidRDefault="00911D63">
            <w:pPr>
              <w:pStyle w:val="TableParagraph"/>
              <w:spacing w:before="32"/>
              <w:ind w:right="95"/>
              <w:jc w:val="right"/>
              <w:rPr>
                <w:sz w:val="18"/>
              </w:rPr>
            </w:pPr>
            <w:r>
              <w:rPr>
                <w:spacing w:val="-2"/>
                <w:sz w:val="18"/>
              </w:rPr>
              <w:t>23.83</w:t>
            </w:r>
          </w:p>
        </w:tc>
        <w:tc>
          <w:tcPr>
            <w:tcW w:w="1086" w:type="dxa"/>
            <w:shd w:val="clear" w:color="auto" w:fill="CCE2ED"/>
          </w:tcPr>
          <w:p w14:paraId="7A4D9A17" w14:textId="77777777" w:rsidR="00141B97" w:rsidRDefault="00911D63">
            <w:pPr>
              <w:pStyle w:val="TableParagraph"/>
              <w:spacing w:before="32"/>
              <w:ind w:right="95"/>
              <w:jc w:val="right"/>
              <w:rPr>
                <w:sz w:val="18"/>
              </w:rPr>
            </w:pPr>
            <w:r>
              <w:rPr>
                <w:spacing w:val="-2"/>
                <w:sz w:val="18"/>
              </w:rPr>
              <w:t>17.64</w:t>
            </w:r>
          </w:p>
        </w:tc>
        <w:tc>
          <w:tcPr>
            <w:tcW w:w="1086" w:type="dxa"/>
            <w:shd w:val="clear" w:color="auto" w:fill="CCE2ED"/>
          </w:tcPr>
          <w:p w14:paraId="0E1D5161" w14:textId="77777777" w:rsidR="00141B97" w:rsidRDefault="00911D63">
            <w:pPr>
              <w:pStyle w:val="TableParagraph"/>
              <w:spacing w:before="32"/>
              <w:ind w:right="95"/>
              <w:jc w:val="right"/>
              <w:rPr>
                <w:sz w:val="18"/>
              </w:rPr>
            </w:pPr>
            <w:r>
              <w:rPr>
                <w:spacing w:val="-2"/>
                <w:sz w:val="18"/>
              </w:rPr>
              <w:t>17.23</w:t>
            </w:r>
          </w:p>
        </w:tc>
        <w:tc>
          <w:tcPr>
            <w:tcW w:w="1076" w:type="dxa"/>
            <w:tcBorders>
              <w:right w:val="nil"/>
            </w:tcBorders>
            <w:shd w:val="clear" w:color="auto" w:fill="CCE2ED"/>
          </w:tcPr>
          <w:p w14:paraId="15C7B4CE" w14:textId="77777777" w:rsidR="00141B97" w:rsidRDefault="00911D63">
            <w:pPr>
              <w:pStyle w:val="TableParagraph"/>
              <w:spacing w:before="32"/>
              <w:ind w:right="85"/>
              <w:jc w:val="right"/>
              <w:rPr>
                <w:sz w:val="18"/>
              </w:rPr>
            </w:pPr>
            <w:r>
              <w:rPr>
                <w:spacing w:val="-2"/>
                <w:sz w:val="18"/>
              </w:rPr>
              <w:t>15.42</w:t>
            </w:r>
          </w:p>
        </w:tc>
      </w:tr>
      <w:tr w:rsidR="00141B97" w14:paraId="6B901164" w14:textId="77777777">
        <w:trPr>
          <w:trHeight w:val="283"/>
          <w:tblCellSpacing w:w="9" w:type="dxa"/>
        </w:trPr>
        <w:tc>
          <w:tcPr>
            <w:tcW w:w="3096" w:type="dxa"/>
            <w:tcBorders>
              <w:left w:val="nil"/>
            </w:tcBorders>
            <w:shd w:val="clear" w:color="auto" w:fill="CCE2ED"/>
          </w:tcPr>
          <w:p w14:paraId="4B232060" w14:textId="77777777" w:rsidR="00141B97" w:rsidRDefault="00911D63">
            <w:pPr>
              <w:pStyle w:val="TableParagraph"/>
              <w:spacing w:before="33"/>
              <w:ind w:left="254"/>
              <w:rPr>
                <w:i/>
                <w:sz w:val="18"/>
              </w:rPr>
            </w:pPr>
            <w:r>
              <w:rPr>
                <w:i/>
                <w:spacing w:val="-2"/>
                <w:sz w:val="18"/>
              </w:rPr>
              <w:t>less</w:t>
            </w:r>
            <w:r>
              <w:rPr>
                <w:i/>
                <w:spacing w:val="1"/>
                <w:sz w:val="18"/>
              </w:rPr>
              <w:t xml:space="preserve"> </w:t>
            </w:r>
            <w:r>
              <w:rPr>
                <w:i/>
                <w:spacing w:val="-2"/>
                <w:sz w:val="18"/>
              </w:rPr>
              <w:t>Customer</w:t>
            </w:r>
            <w:r>
              <w:rPr>
                <w:i/>
                <w:spacing w:val="2"/>
                <w:sz w:val="18"/>
              </w:rPr>
              <w:t xml:space="preserve"> </w:t>
            </w:r>
            <w:r>
              <w:rPr>
                <w:i/>
                <w:spacing w:val="-2"/>
                <w:sz w:val="18"/>
              </w:rPr>
              <w:t>contributions</w:t>
            </w:r>
          </w:p>
        </w:tc>
        <w:tc>
          <w:tcPr>
            <w:tcW w:w="1094" w:type="dxa"/>
            <w:shd w:val="clear" w:color="auto" w:fill="CCE2ED"/>
          </w:tcPr>
          <w:p w14:paraId="1D9DE230" w14:textId="77777777" w:rsidR="00141B97" w:rsidRDefault="00911D63">
            <w:pPr>
              <w:pStyle w:val="TableParagraph"/>
              <w:spacing w:before="33"/>
              <w:ind w:right="95"/>
              <w:jc w:val="right"/>
              <w:rPr>
                <w:sz w:val="18"/>
              </w:rPr>
            </w:pPr>
            <w:r>
              <w:rPr>
                <w:spacing w:val="-4"/>
                <w:sz w:val="18"/>
              </w:rPr>
              <w:t>1.71</w:t>
            </w:r>
          </w:p>
        </w:tc>
        <w:tc>
          <w:tcPr>
            <w:tcW w:w="1086" w:type="dxa"/>
            <w:shd w:val="clear" w:color="auto" w:fill="CCE2ED"/>
          </w:tcPr>
          <w:p w14:paraId="4CFB00B6" w14:textId="77777777" w:rsidR="00141B97" w:rsidRDefault="00911D63">
            <w:pPr>
              <w:pStyle w:val="TableParagraph"/>
              <w:spacing w:before="33"/>
              <w:ind w:right="95"/>
              <w:jc w:val="right"/>
              <w:rPr>
                <w:sz w:val="18"/>
              </w:rPr>
            </w:pPr>
            <w:r>
              <w:rPr>
                <w:spacing w:val="-4"/>
                <w:sz w:val="18"/>
              </w:rPr>
              <w:t>1.71</w:t>
            </w:r>
          </w:p>
        </w:tc>
        <w:tc>
          <w:tcPr>
            <w:tcW w:w="1086" w:type="dxa"/>
            <w:shd w:val="clear" w:color="auto" w:fill="CCE2ED"/>
          </w:tcPr>
          <w:p w14:paraId="54572593" w14:textId="77777777" w:rsidR="00141B97" w:rsidRDefault="00911D63">
            <w:pPr>
              <w:pStyle w:val="TableParagraph"/>
              <w:spacing w:before="33"/>
              <w:ind w:right="95"/>
              <w:jc w:val="right"/>
              <w:rPr>
                <w:sz w:val="18"/>
              </w:rPr>
            </w:pPr>
            <w:r>
              <w:rPr>
                <w:spacing w:val="-4"/>
                <w:sz w:val="18"/>
              </w:rPr>
              <w:t>1.71</w:t>
            </w:r>
          </w:p>
        </w:tc>
        <w:tc>
          <w:tcPr>
            <w:tcW w:w="1086" w:type="dxa"/>
            <w:shd w:val="clear" w:color="auto" w:fill="CCE2ED"/>
          </w:tcPr>
          <w:p w14:paraId="2E4961FA" w14:textId="77777777" w:rsidR="00141B97" w:rsidRDefault="00911D63">
            <w:pPr>
              <w:pStyle w:val="TableParagraph"/>
              <w:spacing w:before="33"/>
              <w:ind w:right="95"/>
              <w:jc w:val="right"/>
              <w:rPr>
                <w:sz w:val="18"/>
              </w:rPr>
            </w:pPr>
            <w:r>
              <w:rPr>
                <w:spacing w:val="-4"/>
                <w:sz w:val="18"/>
              </w:rPr>
              <w:t>1.71</w:t>
            </w:r>
          </w:p>
        </w:tc>
        <w:tc>
          <w:tcPr>
            <w:tcW w:w="1086" w:type="dxa"/>
            <w:shd w:val="clear" w:color="auto" w:fill="CCE2ED"/>
          </w:tcPr>
          <w:p w14:paraId="50408B09" w14:textId="77777777" w:rsidR="00141B97" w:rsidRDefault="00911D63">
            <w:pPr>
              <w:pStyle w:val="TableParagraph"/>
              <w:spacing w:before="33"/>
              <w:ind w:right="95"/>
              <w:jc w:val="right"/>
              <w:rPr>
                <w:sz w:val="18"/>
              </w:rPr>
            </w:pPr>
            <w:r>
              <w:rPr>
                <w:spacing w:val="-4"/>
                <w:sz w:val="18"/>
              </w:rPr>
              <w:t>1.71</w:t>
            </w:r>
          </w:p>
        </w:tc>
        <w:tc>
          <w:tcPr>
            <w:tcW w:w="1076" w:type="dxa"/>
            <w:tcBorders>
              <w:right w:val="nil"/>
            </w:tcBorders>
            <w:shd w:val="clear" w:color="auto" w:fill="CCE2ED"/>
          </w:tcPr>
          <w:p w14:paraId="5722C297" w14:textId="77777777" w:rsidR="00141B97" w:rsidRDefault="00911D63">
            <w:pPr>
              <w:pStyle w:val="TableParagraph"/>
              <w:spacing w:before="33"/>
              <w:ind w:right="85"/>
              <w:jc w:val="right"/>
              <w:rPr>
                <w:sz w:val="18"/>
              </w:rPr>
            </w:pPr>
            <w:r>
              <w:rPr>
                <w:spacing w:val="-4"/>
                <w:sz w:val="18"/>
              </w:rPr>
              <w:t>1.71</w:t>
            </w:r>
          </w:p>
        </w:tc>
      </w:tr>
      <w:tr w:rsidR="00141B97" w14:paraId="17FC708F" w14:textId="77777777">
        <w:trPr>
          <w:trHeight w:val="282"/>
          <w:tblCellSpacing w:w="9" w:type="dxa"/>
        </w:trPr>
        <w:tc>
          <w:tcPr>
            <w:tcW w:w="3096" w:type="dxa"/>
            <w:tcBorders>
              <w:left w:val="nil"/>
            </w:tcBorders>
            <w:shd w:val="clear" w:color="auto" w:fill="CCE2ED"/>
          </w:tcPr>
          <w:p w14:paraId="10F810CF" w14:textId="77777777" w:rsidR="00141B97" w:rsidRDefault="00911D63">
            <w:pPr>
              <w:pStyle w:val="TableParagraph"/>
              <w:spacing w:before="32"/>
              <w:ind w:right="631"/>
              <w:jc w:val="right"/>
              <w:rPr>
                <w:i/>
                <w:sz w:val="18"/>
              </w:rPr>
            </w:pPr>
            <w:r>
              <w:rPr>
                <w:i/>
                <w:spacing w:val="-2"/>
                <w:sz w:val="18"/>
              </w:rPr>
              <w:t>less</w:t>
            </w:r>
            <w:r>
              <w:rPr>
                <w:i/>
                <w:spacing w:val="1"/>
                <w:sz w:val="18"/>
              </w:rPr>
              <w:t xml:space="preserve"> </w:t>
            </w:r>
            <w:r>
              <w:rPr>
                <w:i/>
                <w:spacing w:val="-2"/>
                <w:sz w:val="18"/>
              </w:rPr>
              <w:t>Government</w:t>
            </w:r>
            <w:r>
              <w:rPr>
                <w:i/>
                <w:spacing w:val="3"/>
                <w:sz w:val="18"/>
              </w:rPr>
              <w:t xml:space="preserve"> </w:t>
            </w:r>
            <w:r>
              <w:rPr>
                <w:i/>
                <w:spacing w:val="-2"/>
                <w:sz w:val="18"/>
              </w:rPr>
              <w:t>contributions</w:t>
            </w:r>
          </w:p>
        </w:tc>
        <w:tc>
          <w:tcPr>
            <w:tcW w:w="1094" w:type="dxa"/>
            <w:shd w:val="clear" w:color="auto" w:fill="CCE2ED"/>
          </w:tcPr>
          <w:p w14:paraId="17A982D5" w14:textId="77777777" w:rsidR="00141B97" w:rsidRDefault="00911D63">
            <w:pPr>
              <w:pStyle w:val="TableParagraph"/>
              <w:spacing w:before="32"/>
              <w:ind w:right="95"/>
              <w:jc w:val="right"/>
              <w:rPr>
                <w:sz w:val="18"/>
              </w:rPr>
            </w:pPr>
            <w:r>
              <w:rPr>
                <w:w w:val="99"/>
                <w:sz w:val="18"/>
              </w:rPr>
              <w:t>‐</w:t>
            </w:r>
          </w:p>
        </w:tc>
        <w:tc>
          <w:tcPr>
            <w:tcW w:w="1086" w:type="dxa"/>
            <w:shd w:val="clear" w:color="auto" w:fill="CCE2ED"/>
          </w:tcPr>
          <w:p w14:paraId="5D0CF09B" w14:textId="77777777" w:rsidR="00141B97" w:rsidRDefault="00911D63">
            <w:pPr>
              <w:pStyle w:val="TableParagraph"/>
              <w:spacing w:before="32"/>
              <w:ind w:right="95"/>
              <w:jc w:val="right"/>
              <w:rPr>
                <w:sz w:val="18"/>
              </w:rPr>
            </w:pPr>
            <w:r>
              <w:rPr>
                <w:w w:val="99"/>
                <w:sz w:val="18"/>
              </w:rPr>
              <w:t>‐</w:t>
            </w:r>
          </w:p>
        </w:tc>
        <w:tc>
          <w:tcPr>
            <w:tcW w:w="1086" w:type="dxa"/>
            <w:shd w:val="clear" w:color="auto" w:fill="CCE2ED"/>
          </w:tcPr>
          <w:p w14:paraId="5477523C" w14:textId="77777777" w:rsidR="00141B97" w:rsidRDefault="00911D63">
            <w:pPr>
              <w:pStyle w:val="TableParagraph"/>
              <w:spacing w:before="32"/>
              <w:ind w:right="95"/>
              <w:jc w:val="right"/>
              <w:rPr>
                <w:sz w:val="18"/>
              </w:rPr>
            </w:pPr>
            <w:r>
              <w:rPr>
                <w:w w:val="99"/>
                <w:sz w:val="18"/>
              </w:rPr>
              <w:t>‐</w:t>
            </w:r>
          </w:p>
        </w:tc>
        <w:tc>
          <w:tcPr>
            <w:tcW w:w="1086" w:type="dxa"/>
            <w:shd w:val="clear" w:color="auto" w:fill="CCE2ED"/>
          </w:tcPr>
          <w:p w14:paraId="009A9F2B" w14:textId="77777777" w:rsidR="00141B97" w:rsidRDefault="00911D63">
            <w:pPr>
              <w:pStyle w:val="TableParagraph"/>
              <w:spacing w:before="32"/>
              <w:ind w:right="95"/>
              <w:jc w:val="right"/>
              <w:rPr>
                <w:sz w:val="18"/>
              </w:rPr>
            </w:pPr>
            <w:r>
              <w:rPr>
                <w:w w:val="99"/>
                <w:sz w:val="18"/>
              </w:rPr>
              <w:t>‐</w:t>
            </w:r>
          </w:p>
        </w:tc>
        <w:tc>
          <w:tcPr>
            <w:tcW w:w="1086" w:type="dxa"/>
            <w:shd w:val="clear" w:color="auto" w:fill="CCE2ED"/>
          </w:tcPr>
          <w:p w14:paraId="46D8E028" w14:textId="77777777" w:rsidR="00141B97" w:rsidRDefault="00911D63">
            <w:pPr>
              <w:pStyle w:val="TableParagraph"/>
              <w:spacing w:before="32"/>
              <w:ind w:right="95"/>
              <w:jc w:val="right"/>
              <w:rPr>
                <w:sz w:val="18"/>
              </w:rPr>
            </w:pPr>
            <w:r>
              <w:rPr>
                <w:w w:val="99"/>
                <w:sz w:val="18"/>
              </w:rPr>
              <w:t>‐</w:t>
            </w:r>
          </w:p>
        </w:tc>
        <w:tc>
          <w:tcPr>
            <w:tcW w:w="1076" w:type="dxa"/>
            <w:tcBorders>
              <w:right w:val="nil"/>
            </w:tcBorders>
            <w:shd w:val="clear" w:color="auto" w:fill="CCE2ED"/>
          </w:tcPr>
          <w:p w14:paraId="091C2678" w14:textId="77777777" w:rsidR="00141B97" w:rsidRDefault="00911D63">
            <w:pPr>
              <w:pStyle w:val="TableParagraph"/>
              <w:spacing w:before="32"/>
              <w:ind w:right="85"/>
              <w:jc w:val="right"/>
              <w:rPr>
                <w:sz w:val="18"/>
              </w:rPr>
            </w:pPr>
            <w:r>
              <w:rPr>
                <w:w w:val="99"/>
                <w:sz w:val="18"/>
              </w:rPr>
              <w:t>‐</w:t>
            </w:r>
          </w:p>
        </w:tc>
      </w:tr>
      <w:tr w:rsidR="00141B97" w14:paraId="5204B482" w14:textId="77777777">
        <w:trPr>
          <w:trHeight w:val="283"/>
          <w:tblCellSpacing w:w="9" w:type="dxa"/>
        </w:trPr>
        <w:tc>
          <w:tcPr>
            <w:tcW w:w="3096" w:type="dxa"/>
            <w:tcBorders>
              <w:left w:val="nil"/>
            </w:tcBorders>
            <w:shd w:val="clear" w:color="auto" w:fill="CCE2ED"/>
          </w:tcPr>
          <w:p w14:paraId="4A76E2CF" w14:textId="77777777" w:rsidR="00141B97" w:rsidRDefault="00911D63">
            <w:pPr>
              <w:pStyle w:val="TableParagraph"/>
              <w:spacing w:before="33"/>
              <w:ind w:left="254"/>
              <w:rPr>
                <w:i/>
                <w:sz w:val="18"/>
              </w:rPr>
            </w:pPr>
            <w:r>
              <w:rPr>
                <w:i/>
                <w:spacing w:val="-2"/>
                <w:sz w:val="18"/>
              </w:rPr>
              <w:t>less</w:t>
            </w:r>
            <w:r>
              <w:rPr>
                <w:i/>
                <w:spacing w:val="1"/>
                <w:sz w:val="18"/>
              </w:rPr>
              <w:t xml:space="preserve"> </w:t>
            </w:r>
            <w:r>
              <w:rPr>
                <w:i/>
                <w:spacing w:val="-2"/>
                <w:sz w:val="18"/>
              </w:rPr>
              <w:t>Regulatory</w:t>
            </w:r>
            <w:r>
              <w:rPr>
                <w:i/>
                <w:spacing w:val="3"/>
                <w:sz w:val="18"/>
              </w:rPr>
              <w:t xml:space="preserve"> </w:t>
            </w:r>
            <w:r>
              <w:rPr>
                <w:i/>
                <w:spacing w:val="-2"/>
                <w:sz w:val="18"/>
              </w:rPr>
              <w:t>depreciation</w:t>
            </w:r>
          </w:p>
        </w:tc>
        <w:tc>
          <w:tcPr>
            <w:tcW w:w="1094" w:type="dxa"/>
            <w:shd w:val="clear" w:color="auto" w:fill="CCE2ED"/>
          </w:tcPr>
          <w:p w14:paraId="4DE7F644" w14:textId="77777777" w:rsidR="00141B97" w:rsidRDefault="00911D63">
            <w:pPr>
              <w:pStyle w:val="TableParagraph"/>
              <w:spacing w:before="33"/>
              <w:ind w:right="95"/>
              <w:jc w:val="right"/>
              <w:rPr>
                <w:sz w:val="18"/>
              </w:rPr>
            </w:pPr>
            <w:r>
              <w:rPr>
                <w:spacing w:val="-2"/>
                <w:sz w:val="18"/>
              </w:rPr>
              <w:t>10.07</w:t>
            </w:r>
          </w:p>
        </w:tc>
        <w:tc>
          <w:tcPr>
            <w:tcW w:w="1086" w:type="dxa"/>
            <w:shd w:val="clear" w:color="auto" w:fill="CCE2ED"/>
          </w:tcPr>
          <w:p w14:paraId="56DF6B17" w14:textId="77777777" w:rsidR="00141B97" w:rsidRDefault="00911D63">
            <w:pPr>
              <w:pStyle w:val="TableParagraph"/>
              <w:spacing w:before="33"/>
              <w:ind w:right="95"/>
              <w:jc w:val="right"/>
              <w:rPr>
                <w:sz w:val="18"/>
              </w:rPr>
            </w:pPr>
            <w:r>
              <w:rPr>
                <w:spacing w:val="-2"/>
                <w:sz w:val="18"/>
              </w:rPr>
              <w:t>10.41</w:t>
            </w:r>
          </w:p>
        </w:tc>
        <w:tc>
          <w:tcPr>
            <w:tcW w:w="1086" w:type="dxa"/>
            <w:shd w:val="clear" w:color="auto" w:fill="CCE2ED"/>
          </w:tcPr>
          <w:p w14:paraId="541C29C5" w14:textId="77777777" w:rsidR="00141B97" w:rsidRDefault="00911D63">
            <w:pPr>
              <w:pStyle w:val="TableParagraph"/>
              <w:spacing w:before="33"/>
              <w:ind w:right="95"/>
              <w:jc w:val="right"/>
              <w:rPr>
                <w:sz w:val="18"/>
              </w:rPr>
            </w:pPr>
            <w:r>
              <w:rPr>
                <w:spacing w:val="-2"/>
                <w:sz w:val="18"/>
              </w:rPr>
              <w:t>11.02</w:t>
            </w:r>
          </w:p>
        </w:tc>
        <w:tc>
          <w:tcPr>
            <w:tcW w:w="1086" w:type="dxa"/>
            <w:shd w:val="clear" w:color="auto" w:fill="CCE2ED"/>
          </w:tcPr>
          <w:p w14:paraId="577B514B" w14:textId="77777777" w:rsidR="00141B97" w:rsidRDefault="00911D63">
            <w:pPr>
              <w:pStyle w:val="TableParagraph"/>
              <w:spacing w:before="33"/>
              <w:ind w:right="95"/>
              <w:jc w:val="right"/>
              <w:rPr>
                <w:sz w:val="18"/>
              </w:rPr>
            </w:pPr>
            <w:r>
              <w:rPr>
                <w:spacing w:val="-4"/>
                <w:sz w:val="18"/>
              </w:rPr>
              <w:t>9.65</w:t>
            </w:r>
          </w:p>
        </w:tc>
        <w:tc>
          <w:tcPr>
            <w:tcW w:w="1086" w:type="dxa"/>
            <w:shd w:val="clear" w:color="auto" w:fill="CCE2ED"/>
          </w:tcPr>
          <w:p w14:paraId="30EA8536" w14:textId="77777777" w:rsidR="00141B97" w:rsidRDefault="00911D63">
            <w:pPr>
              <w:pStyle w:val="TableParagraph"/>
              <w:spacing w:before="33"/>
              <w:ind w:right="95"/>
              <w:jc w:val="right"/>
              <w:rPr>
                <w:sz w:val="18"/>
              </w:rPr>
            </w:pPr>
            <w:r>
              <w:rPr>
                <w:spacing w:val="-4"/>
                <w:sz w:val="18"/>
              </w:rPr>
              <w:t>9.66</w:t>
            </w:r>
          </w:p>
        </w:tc>
        <w:tc>
          <w:tcPr>
            <w:tcW w:w="1076" w:type="dxa"/>
            <w:tcBorders>
              <w:right w:val="nil"/>
            </w:tcBorders>
            <w:shd w:val="clear" w:color="auto" w:fill="CCE2ED"/>
          </w:tcPr>
          <w:p w14:paraId="30052FBA" w14:textId="77777777" w:rsidR="00141B97" w:rsidRDefault="00911D63">
            <w:pPr>
              <w:pStyle w:val="TableParagraph"/>
              <w:spacing w:before="33"/>
              <w:ind w:right="85"/>
              <w:jc w:val="right"/>
              <w:rPr>
                <w:sz w:val="18"/>
              </w:rPr>
            </w:pPr>
            <w:r>
              <w:rPr>
                <w:spacing w:val="-4"/>
                <w:sz w:val="18"/>
              </w:rPr>
              <w:t>9.50</w:t>
            </w:r>
          </w:p>
        </w:tc>
      </w:tr>
      <w:tr w:rsidR="00141B97" w14:paraId="0533B888" w14:textId="77777777">
        <w:trPr>
          <w:trHeight w:val="282"/>
          <w:tblCellSpacing w:w="9" w:type="dxa"/>
        </w:trPr>
        <w:tc>
          <w:tcPr>
            <w:tcW w:w="3096" w:type="dxa"/>
            <w:tcBorders>
              <w:left w:val="nil"/>
            </w:tcBorders>
            <w:shd w:val="clear" w:color="auto" w:fill="CCE2ED"/>
          </w:tcPr>
          <w:p w14:paraId="198DB313" w14:textId="77777777" w:rsidR="00141B97" w:rsidRDefault="00911D63">
            <w:pPr>
              <w:pStyle w:val="TableParagraph"/>
              <w:spacing w:before="32"/>
              <w:ind w:left="254"/>
              <w:rPr>
                <w:i/>
                <w:sz w:val="18"/>
              </w:rPr>
            </w:pPr>
            <w:r>
              <w:rPr>
                <w:i/>
                <w:sz w:val="18"/>
              </w:rPr>
              <w:t>less</w:t>
            </w:r>
            <w:r>
              <w:rPr>
                <w:i/>
                <w:spacing w:val="-9"/>
                <w:sz w:val="18"/>
              </w:rPr>
              <w:t xml:space="preserve"> </w:t>
            </w:r>
            <w:r>
              <w:rPr>
                <w:i/>
                <w:sz w:val="18"/>
              </w:rPr>
              <w:t>Proceeds</w:t>
            </w:r>
            <w:r>
              <w:rPr>
                <w:i/>
                <w:spacing w:val="-8"/>
                <w:sz w:val="18"/>
              </w:rPr>
              <w:t xml:space="preserve"> </w:t>
            </w:r>
            <w:r>
              <w:rPr>
                <w:i/>
                <w:sz w:val="18"/>
              </w:rPr>
              <w:t>from</w:t>
            </w:r>
            <w:r>
              <w:rPr>
                <w:i/>
                <w:spacing w:val="-7"/>
                <w:sz w:val="18"/>
              </w:rPr>
              <w:t xml:space="preserve"> </w:t>
            </w:r>
            <w:r>
              <w:rPr>
                <w:i/>
                <w:spacing w:val="-2"/>
                <w:sz w:val="18"/>
              </w:rPr>
              <w:t>disposals</w:t>
            </w:r>
          </w:p>
        </w:tc>
        <w:tc>
          <w:tcPr>
            <w:tcW w:w="1094" w:type="dxa"/>
            <w:shd w:val="clear" w:color="auto" w:fill="CCE2ED"/>
          </w:tcPr>
          <w:p w14:paraId="6C1B9D31" w14:textId="77777777" w:rsidR="00141B97" w:rsidRDefault="00911D63">
            <w:pPr>
              <w:pStyle w:val="TableParagraph"/>
              <w:spacing w:before="32"/>
              <w:ind w:right="95"/>
              <w:jc w:val="right"/>
              <w:rPr>
                <w:sz w:val="18"/>
              </w:rPr>
            </w:pPr>
            <w:r>
              <w:rPr>
                <w:spacing w:val="-4"/>
                <w:sz w:val="18"/>
              </w:rPr>
              <w:t>0.26</w:t>
            </w:r>
          </w:p>
        </w:tc>
        <w:tc>
          <w:tcPr>
            <w:tcW w:w="1086" w:type="dxa"/>
            <w:shd w:val="clear" w:color="auto" w:fill="CCE2ED"/>
          </w:tcPr>
          <w:p w14:paraId="7A6A50F7" w14:textId="77777777" w:rsidR="00141B97" w:rsidRDefault="00911D63">
            <w:pPr>
              <w:pStyle w:val="TableParagraph"/>
              <w:spacing w:before="32"/>
              <w:ind w:right="95"/>
              <w:jc w:val="right"/>
              <w:rPr>
                <w:sz w:val="18"/>
              </w:rPr>
            </w:pPr>
            <w:r>
              <w:rPr>
                <w:spacing w:val="-4"/>
                <w:sz w:val="18"/>
              </w:rPr>
              <w:t>0.54</w:t>
            </w:r>
          </w:p>
        </w:tc>
        <w:tc>
          <w:tcPr>
            <w:tcW w:w="1086" w:type="dxa"/>
            <w:shd w:val="clear" w:color="auto" w:fill="CCE2ED"/>
          </w:tcPr>
          <w:p w14:paraId="5BB110C9" w14:textId="77777777" w:rsidR="00141B97" w:rsidRDefault="00911D63">
            <w:pPr>
              <w:pStyle w:val="TableParagraph"/>
              <w:spacing w:before="32"/>
              <w:ind w:right="95"/>
              <w:jc w:val="right"/>
              <w:rPr>
                <w:sz w:val="18"/>
              </w:rPr>
            </w:pPr>
            <w:r>
              <w:rPr>
                <w:spacing w:val="-4"/>
                <w:sz w:val="18"/>
              </w:rPr>
              <w:t>0.41</w:t>
            </w:r>
          </w:p>
        </w:tc>
        <w:tc>
          <w:tcPr>
            <w:tcW w:w="1086" w:type="dxa"/>
            <w:shd w:val="clear" w:color="auto" w:fill="CCE2ED"/>
          </w:tcPr>
          <w:p w14:paraId="32DDCF01" w14:textId="77777777" w:rsidR="00141B97" w:rsidRDefault="00911D63">
            <w:pPr>
              <w:pStyle w:val="TableParagraph"/>
              <w:spacing w:before="32"/>
              <w:ind w:right="95"/>
              <w:jc w:val="right"/>
              <w:rPr>
                <w:sz w:val="18"/>
              </w:rPr>
            </w:pPr>
            <w:r>
              <w:rPr>
                <w:spacing w:val="-4"/>
                <w:sz w:val="18"/>
              </w:rPr>
              <w:t>0.37</w:t>
            </w:r>
          </w:p>
        </w:tc>
        <w:tc>
          <w:tcPr>
            <w:tcW w:w="1086" w:type="dxa"/>
            <w:shd w:val="clear" w:color="auto" w:fill="CCE2ED"/>
          </w:tcPr>
          <w:p w14:paraId="025B26FE" w14:textId="77777777" w:rsidR="00141B97" w:rsidRDefault="00911D63">
            <w:pPr>
              <w:pStyle w:val="TableParagraph"/>
              <w:spacing w:before="32"/>
              <w:ind w:right="95"/>
              <w:jc w:val="right"/>
              <w:rPr>
                <w:sz w:val="18"/>
              </w:rPr>
            </w:pPr>
            <w:r>
              <w:rPr>
                <w:spacing w:val="-4"/>
                <w:sz w:val="18"/>
              </w:rPr>
              <w:t>0.20</w:t>
            </w:r>
          </w:p>
        </w:tc>
        <w:tc>
          <w:tcPr>
            <w:tcW w:w="1076" w:type="dxa"/>
            <w:tcBorders>
              <w:right w:val="nil"/>
            </w:tcBorders>
            <w:shd w:val="clear" w:color="auto" w:fill="CCE2ED"/>
          </w:tcPr>
          <w:p w14:paraId="7DF398A4" w14:textId="77777777" w:rsidR="00141B97" w:rsidRDefault="00911D63">
            <w:pPr>
              <w:pStyle w:val="TableParagraph"/>
              <w:spacing w:before="32"/>
              <w:ind w:right="85"/>
              <w:jc w:val="right"/>
              <w:rPr>
                <w:sz w:val="18"/>
              </w:rPr>
            </w:pPr>
            <w:r>
              <w:rPr>
                <w:spacing w:val="-4"/>
                <w:sz w:val="18"/>
              </w:rPr>
              <w:t>0.26</w:t>
            </w:r>
          </w:p>
        </w:tc>
      </w:tr>
      <w:tr w:rsidR="00141B97" w14:paraId="51B0077B" w14:textId="77777777">
        <w:trPr>
          <w:trHeight w:val="283"/>
          <w:tblCellSpacing w:w="9" w:type="dxa"/>
        </w:trPr>
        <w:tc>
          <w:tcPr>
            <w:tcW w:w="3096" w:type="dxa"/>
            <w:tcBorders>
              <w:left w:val="nil"/>
              <w:bottom w:val="nil"/>
            </w:tcBorders>
            <w:shd w:val="clear" w:color="auto" w:fill="BFBFBF"/>
          </w:tcPr>
          <w:p w14:paraId="2C3AE1A5" w14:textId="77777777" w:rsidR="00141B97" w:rsidRDefault="00911D63">
            <w:pPr>
              <w:pStyle w:val="TableParagraph"/>
              <w:spacing w:before="33"/>
              <w:ind w:left="88"/>
              <w:rPr>
                <w:sz w:val="18"/>
              </w:rPr>
            </w:pPr>
            <w:r>
              <w:rPr>
                <w:sz w:val="18"/>
              </w:rPr>
              <w:t>Closing</w:t>
            </w:r>
            <w:r>
              <w:rPr>
                <w:spacing w:val="-7"/>
                <w:sz w:val="18"/>
              </w:rPr>
              <w:t xml:space="preserve"> </w:t>
            </w:r>
            <w:r>
              <w:rPr>
                <w:sz w:val="18"/>
              </w:rPr>
              <w:t>Asset</w:t>
            </w:r>
            <w:r>
              <w:rPr>
                <w:spacing w:val="-6"/>
                <w:sz w:val="18"/>
              </w:rPr>
              <w:t xml:space="preserve"> </w:t>
            </w:r>
            <w:r>
              <w:rPr>
                <w:spacing w:val="-4"/>
                <w:sz w:val="18"/>
              </w:rPr>
              <w:t>Base</w:t>
            </w:r>
          </w:p>
        </w:tc>
        <w:tc>
          <w:tcPr>
            <w:tcW w:w="1094" w:type="dxa"/>
            <w:tcBorders>
              <w:bottom w:val="nil"/>
            </w:tcBorders>
            <w:shd w:val="clear" w:color="auto" w:fill="BFBFBF"/>
          </w:tcPr>
          <w:p w14:paraId="69EF3F2C" w14:textId="77777777" w:rsidR="00141B97" w:rsidRDefault="00911D63">
            <w:pPr>
              <w:pStyle w:val="TableParagraph"/>
              <w:spacing w:before="1"/>
              <w:ind w:right="95"/>
              <w:jc w:val="right"/>
              <w:rPr>
                <w:sz w:val="18"/>
              </w:rPr>
            </w:pPr>
            <w:r>
              <w:rPr>
                <w:spacing w:val="-2"/>
                <w:sz w:val="18"/>
              </w:rPr>
              <w:t>198.73</w:t>
            </w:r>
          </w:p>
        </w:tc>
        <w:tc>
          <w:tcPr>
            <w:tcW w:w="1086" w:type="dxa"/>
            <w:tcBorders>
              <w:bottom w:val="nil"/>
            </w:tcBorders>
            <w:shd w:val="clear" w:color="auto" w:fill="BFBFBF"/>
          </w:tcPr>
          <w:p w14:paraId="1A5758B9" w14:textId="77777777" w:rsidR="00141B97" w:rsidRDefault="00911D63">
            <w:pPr>
              <w:pStyle w:val="TableParagraph"/>
              <w:spacing w:before="1"/>
              <w:ind w:right="95"/>
              <w:jc w:val="right"/>
              <w:rPr>
                <w:sz w:val="18"/>
              </w:rPr>
            </w:pPr>
            <w:r>
              <w:rPr>
                <w:spacing w:val="-2"/>
                <w:sz w:val="18"/>
              </w:rPr>
              <w:t>210.55</w:t>
            </w:r>
          </w:p>
        </w:tc>
        <w:tc>
          <w:tcPr>
            <w:tcW w:w="1086" w:type="dxa"/>
            <w:tcBorders>
              <w:bottom w:val="nil"/>
            </w:tcBorders>
            <w:shd w:val="clear" w:color="auto" w:fill="BFBFBF"/>
          </w:tcPr>
          <w:p w14:paraId="23F36D9A" w14:textId="77777777" w:rsidR="00141B97" w:rsidRDefault="00911D63">
            <w:pPr>
              <w:pStyle w:val="TableParagraph"/>
              <w:spacing w:before="1"/>
              <w:ind w:right="95"/>
              <w:jc w:val="right"/>
              <w:rPr>
                <w:sz w:val="18"/>
              </w:rPr>
            </w:pPr>
            <w:r>
              <w:rPr>
                <w:spacing w:val="-2"/>
                <w:sz w:val="18"/>
              </w:rPr>
              <w:t>221.23</w:t>
            </w:r>
          </w:p>
        </w:tc>
        <w:tc>
          <w:tcPr>
            <w:tcW w:w="1086" w:type="dxa"/>
            <w:tcBorders>
              <w:bottom w:val="nil"/>
            </w:tcBorders>
            <w:shd w:val="clear" w:color="auto" w:fill="BFBFBF"/>
          </w:tcPr>
          <w:p w14:paraId="4CC06FDB" w14:textId="77777777" w:rsidR="00141B97" w:rsidRDefault="00911D63">
            <w:pPr>
              <w:pStyle w:val="TableParagraph"/>
              <w:spacing w:before="1"/>
              <w:ind w:right="95"/>
              <w:jc w:val="right"/>
              <w:rPr>
                <w:sz w:val="18"/>
              </w:rPr>
            </w:pPr>
            <w:r>
              <w:rPr>
                <w:spacing w:val="-2"/>
                <w:sz w:val="18"/>
              </w:rPr>
              <w:t>227.15</w:t>
            </w:r>
          </w:p>
        </w:tc>
        <w:tc>
          <w:tcPr>
            <w:tcW w:w="1086" w:type="dxa"/>
            <w:tcBorders>
              <w:bottom w:val="nil"/>
            </w:tcBorders>
            <w:shd w:val="clear" w:color="auto" w:fill="BFBFBF"/>
          </w:tcPr>
          <w:p w14:paraId="0D900645" w14:textId="77777777" w:rsidR="00141B97" w:rsidRDefault="00911D63">
            <w:pPr>
              <w:pStyle w:val="TableParagraph"/>
              <w:spacing w:before="1"/>
              <w:ind w:right="95"/>
              <w:jc w:val="right"/>
              <w:rPr>
                <w:sz w:val="18"/>
              </w:rPr>
            </w:pPr>
            <w:r>
              <w:rPr>
                <w:spacing w:val="-2"/>
                <w:sz w:val="18"/>
              </w:rPr>
              <w:t>232.81</w:t>
            </w:r>
          </w:p>
        </w:tc>
        <w:tc>
          <w:tcPr>
            <w:tcW w:w="1076" w:type="dxa"/>
            <w:tcBorders>
              <w:bottom w:val="nil"/>
              <w:right w:val="nil"/>
            </w:tcBorders>
            <w:shd w:val="clear" w:color="auto" w:fill="BFBFBF"/>
          </w:tcPr>
          <w:p w14:paraId="694D3325" w14:textId="77777777" w:rsidR="00141B97" w:rsidRDefault="00911D63">
            <w:pPr>
              <w:pStyle w:val="TableParagraph"/>
              <w:spacing w:before="1"/>
              <w:ind w:right="85"/>
              <w:jc w:val="right"/>
              <w:rPr>
                <w:sz w:val="18"/>
              </w:rPr>
            </w:pPr>
            <w:r>
              <w:rPr>
                <w:spacing w:val="-2"/>
                <w:sz w:val="18"/>
              </w:rPr>
              <w:t>236.77</w:t>
            </w:r>
          </w:p>
        </w:tc>
      </w:tr>
    </w:tbl>
    <w:p w14:paraId="691BC8E1" w14:textId="77777777" w:rsidR="00141B97" w:rsidRDefault="00911D63">
      <w:pPr>
        <w:spacing w:before="35"/>
        <w:ind w:left="114"/>
        <w:jc w:val="both"/>
        <w:rPr>
          <w:sz w:val="18"/>
        </w:rPr>
      </w:pPr>
      <w:r>
        <w:rPr>
          <w:sz w:val="18"/>
        </w:rPr>
        <w:t>Table</w:t>
      </w:r>
      <w:r>
        <w:rPr>
          <w:spacing w:val="-7"/>
          <w:sz w:val="18"/>
        </w:rPr>
        <w:t xml:space="preserve"> </w:t>
      </w:r>
      <w:r>
        <w:rPr>
          <w:sz w:val="18"/>
        </w:rPr>
        <w:t>B33:</w:t>
      </w:r>
      <w:r>
        <w:rPr>
          <w:spacing w:val="-8"/>
          <w:sz w:val="18"/>
        </w:rPr>
        <w:t xml:space="preserve"> </w:t>
      </w:r>
      <w:r>
        <w:rPr>
          <w:sz w:val="18"/>
        </w:rPr>
        <w:t>Rolling</w:t>
      </w:r>
      <w:r>
        <w:rPr>
          <w:spacing w:val="-6"/>
          <w:sz w:val="18"/>
        </w:rPr>
        <w:t xml:space="preserve"> </w:t>
      </w:r>
      <w:r>
        <w:rPr>
          <w:sz w:val="18"/>
        </w:rPr>
        <w:t>Forward</w:t>
      </w:r>
      <w:r>
        <w:rPr>
          <w:spacing w:val="-8"/>
          <w:sz w:val="18"/>
        </w:rPr>
        <w:t xml:space="preserve"> </w:t>
      </w:r>
      <w:r>
        <w:rPr>
          <w:sz w:val="18"/>
        </w:rPr>
        <w:t>the</w:t>
      </w:r>
      <w:r>
        <w:rPr>
          <w:spacing w:val="-7"/>
          <w:sz w:val="18"/>
        </w:rPr>
        <w:t xml:space="preserve"> </w:t>
      </w:r>
      <w:r>
        <w:rPr>
          <w:sz w:val="18"/>
        </w:rPr>
        <w:t>Regulatory</w:t>
      </w:r>
      <w:r>
        <w:rPr>
          <w:spacing w:val="-8"/>
          <w:sz w:val="18"/>
        </w:rPr>
        <w:t xml:space="preserve"> </w:t>
      </w:r>
      <w:r>
        <w:rPr>
          <w:sz w:val="18"/>
        </w:rPr>
        <w:t>Asset</w:t>
      </w:r>
      <w:r>
        <w:rPr>
          <w:spacing w:val="-7"/>
          <w:sz w:val="18"/>
        </w:rPr>
        <w:t xml:space="preserve"> </w:t>
      </w:r>
      <w:r>
        <w:rPr>
          <w:spacing w:val="-4"/>
          <w:sz w:val="18"/>
        </w:rPr>
        <w:t>Base</w:t>
      </w:r>
    </w:p>
    <w:p w14:paraId="69F65FB7" w14:textId="77777777" w:rsidR="00141B97" w:rsidRDefault="00141B97">
      <w:pPr>
        <w:pStyle w:val="BodyText"/>
        <w:rPr>
          <w:sz w:val="24"/>
        </w:rPr>
      </w:pPr>
    </w:p>
    <w:p w14:paraId="2BC2D29D" w14:textId="77777777" w:rsidR="00141B97" w:rsidRDefault="00911D63">
      <w:pPr>
        <w:pStyle w:val="BodyText"/>
        <w:ind w:left="113" w:right="947"/>
        <w:jc w:val="both"/>
      </w:pPr>
      <w:r>
        <w:t>Figure</w:t>
      </w:r>
      <w:r>
        <w:rPr>
          <w:spacing w:val="-1"/>
        </w:rPr>
        <w:t xml:space="preserve"> </w:t>
      </w:r>
      <w:r>
        <w:t>B8 shows</w:t>
      </w:r>
      <w:r>
        <w:rPr>
          <w:spacing w:val="-1"/>
        </w:rPr>
        <w:t xml:space="preserve"> </w:t>
      </w:r>
      <w:r>
        <w:t>the rolling forward of the RAB to the end of the sixth</w:t>
      </w:r>
      <w:r>
        <w:rPr>
          <w:spacing w:val="-1"/>
        </w:rPr>
        <w:t xml:space="preserve"> </w:t>
      </w:r>
      <w:r>
        <w:t>regulatory period in 2033, indicating</w:t>
      </w:r>
      <w:r>
        <w:rPr>
          <w:spacing w:val="-1"/>
        </w:rPr>
        <w:t xml:space="preserve"> </w:t>
      </w:r>
      <w:r>
        <w:t>the progressive</w:t>
      </w:r>
      <w:r>
        <w:rPr>
          <w:spacing w:val="-6"/>
        </w:rPr>
        <w:t xml:space="preserve"> </w:t>
      </w:r>
      <w:r>
        <w:t>depreciation</w:t>
      </w:r>
      <w:r>
        <w:rPr>
          <w:spacing w:val="-4"/>
        </w:rPr>
        <w:t xml:space="preserve"> </w:t>
      </w:r>
      <w:r>
        <w:t>of</w:t>
      </w:r>
      <w:r>
        <w:rPr>
          <w:spacing w:val="-5"/>
        </w:rPr>
        <w:t xml:space="preserve"> </w:t>
      </w:r>
      <w:r>
        <w:t>existing</w:t>
      </w:r>
      <w:r>
        <w:rPr>
          <w:spacing w:val="-5"/>
        </w:rPr>
        <w:t xml:space="preserve"> </w:t>
      </w:r>
      <w:r>
        <w:t>assets</w:t>
      </w:r>
      <w:r>
        <w:rPr>
          <w:spacing w:val="-5"/>
        </w:rPr>
        <w:t xml:space="preserve"> </w:t>
      </w:r>
      <w:r>
        <w:t>and</w:t>
      </w:r>
      <w:r>
        <w:rPr>
          <w:spacing w:val="-6"/>
        </w:rPr>
        <w:t xml:space="preserve"> </w:t>
      </w:r>
      <w:r>
        <w:t>the</w:t>
      </w:r>
      <w:r>
        <w:rPr>
          <w:spacing w:val="-6"/>
        </w:rPr>
        <w:t xml:space="preserve"> </w:t>
      </w:r>
      <w:r>
        <w:t>value</w:t>
      </w:r>
      <w:r>
        <w:rPr>
          <w:spacing w:val="-6"/>
        </w:rPr>
        <w:t xml:space="preserve"> </w:t>
      </w:r>
      <w:r>
        <w:t>for</w:t>
      </w:r>
      <w:r>
        <w:rPr>
          <w:spacing w:val="-6"/>
        </w:rPr>
        <w:t xml:space="preserve"> </w:t>
      </w:r>
      <w:r>
        <w:t>new</w:t>
      </w:r>
      <w:r>
        <w:rPr>
          <w:spacing w:val="-5"/>
        </w:rPr>
        <w:t xml:space="preserve"> </w:t>
      </w:r>
      <w:r>
        <w:t>assets</w:t>
      </w:r>
      <w:r>
        <w:rPr>
          <w:spacing w:val="-5"/>
        </w:rPr>
        <w:t xml:space="preserve"> </w:t>
      </w:r>
      <w:r>
        <w:t>built</w:t>
      </w:r>
      <w:r>
        <w:rPr>
          <w:spacing w:val="-5"/>
        </w:rPr>
        <w:t xml:space="preserve"> </w:t>
      </w:r>
      <w:r>
        <w:t>from</w:t>
      </w:r>
      <w:r>
        <w:rPr>
          <w:spacing w:val="-5"/>
        </w:rPr>
        <w:t xml:space="preserve"> </w:t>
      </w:r>
      <w:r>
        <w:t>2023‐24.</w:t>
      </w:r>
      <w:r>
        <w:rPr>
          <w:spacing w:val="-5"/>
        </w:rPr>
        <w:t xml:space="preserve"> </w:t>
      </w:r>
      <w:r>
        <w:t>The</w:t>
      </w:r>
      <w:r>
        <w:rPr>
          <w:spacing w:val="-6"/>
        </w:rPr>
        <w:t xml:space="preserve"> </w:t>
      </w:r>
      <w:r>
        <w:t>proposed</w:t>
      </w:r>
      <w:r>
        <w:rPr>
          <w:spacing w:val="-5"/>
        </w:rPr>
        <w:t xml:space="preserve"> </w:t>
      </w:r>
      <w:r>
        <w:t>large investment in new assets in the early part of the sixth period is evident.</w:t>
      </w:r>
    </w:p>
    <w:p w14:paraId="6C16906C" w14:textId="77777777" w:rsidR="00141B97" w:rsidRDefault="00911D63">
      <w:pPr>
        <w:pStyle w:val="BodyText"/>
        <w:spacing w:before="3"/>
        <w:rPr>
          <w:sz w:val="18"/>
        </w:rPr>
      </w:pPr>
      <w:r>
        <w:rPr>
          <w:noProof/>
        </w:rPr>
        <w:drawing>
          <wp:anchor distT="0" distB="0" distL="0" distR="0" simplePos="0" relativeHeight="52" behindDoc="0" locked="0" layoutInCell="1" allowOverlap="1" wp14:anchorId="489E6983" wp14:editId="0042AD65">
            <wp:simplePos x="0" y="0"/>
            <wp:positionH relativeFrom="page">
              <wp:posOffset>1392936</wp:posOffset>
            </wp:positionH>
            <wp:positionV relativeFrom="paragraph">
              <wp:posOffset>156743</wp:posOffset>
            </wp:positionV>
            <wp:extent cx="4864608" cy="2749296"/>
            <wp:effectExtent l="0" t="0" r="0" b="0"/>
            <wp:wrapTopAndBottom/>
            <wp:docPr id="8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jpeg"/>
                    <pic:cNvPicPr/>
                  </pic:nvPicPr>
                  <pic:blipFill>
                    <a:blip r:embed="rId84" cstate="email">
                      <a:extLst>
                        <a:ext uri="{28A0092B-C50C-407E-A947-70E740481C1C}">
                          <a14:useLocalDpi xmlns:a14="http://schemas.microsoft.com/office/drawing/2010/main"/>
                        </a:ext>
                      </a:extLst>
                    </a:blip>
                    <a:stretch>
                      <a:fillRect/>
                    </a:stretch>
                  </pic:blipFill>
                  <pic:spPr>
                    <a:xfrm>
                      <a:off x="0" y="0"/>
                      <a:ext cx="4864608" cy="2749296"/>
                    </a:xfrm>
                    <a:prstGeom prst="rect">
                      <a:avLst/>
                    </a:prstGeom>
                  </pic:spPr>
                </pic:pic>
              </a:graphicData>
            </a:graphic>
          </wp:anchor>
        </w:drawing>
      </w:r>
    </w:p>
    <w:p w14:paraId="38AF72B3" w14:textId="77777777" w:rsidR="00141B97" w:rsidRDefault="00911D63">
      <w:pPr>
        <w:spacing w:before="1"/>
        <w:ind w:left="114"/>
        <w:jc w:val="both"/>
        <w:rPr>
          <w:i/>
          <w:sz w:val="18"/>
        </w:rPr>
      </w:pPr>
      <w:r>
        <w:rPr>
          <w:i/>
          <w:sz w:val="18"/>
        </w:rPr>
        <w:t>Figure</w:t>
      </w:r>
      <w:r>
        <w:rPr>
          <w:i/>
          <w:spacing w:val="-6"/>
          <w:sz w:val="18"/>
        </w:rPr>
        <w:t xml:space="preserve"> </w:t>
      </w:r>
      <w:r>
        <w:rPr>
          <w:i/>
          <w:sz w:val="18"/>
        </w:rPr>
        <w:t>B8</w:t>
      </w:r>
      <w:r>
        <w:rPr>
          <w:sz w:val="14"/>
        </w:rPr>
        <w:t>:</w:t>
      </w:r>
      <w:r>
        <w:rPr>
          <w:spacing w:val="-6"/>
          <w:sz w:val="14"/>
        </w:rPr>
        <w:t xml:space="preserve"> </w:t>
      </w:r>
      <w:r>
        <w:rPr>
          <w:i/>
          <w:sz w:val="18"/>
        </w:rPr>
        <w:t>Rolling</w:t>
      </w:r>
      <w:r>
        <w:rPr>
          <w:i/>
          <w:spacing w:val="-5"/>
          <w:sz w:val="18"/>
        </w:rPr>
        <w:t xml:space="preserve"> </w:t>
      </w:r>
      <w:r>
        <w:rPr>
          <w:i/>
          <w:sz w:val="18"/>
        </w:rPr>
        <w:t>Forward</w:t>
      </w:r>
      <w:r>
        <w:rPr>
          <w:i/>
          <w:spacing w:val="-5"/>
          <w:sz w:val="18"/>
        </w:rPr>
        <w:t xml:space="preserve"> </w:t>
      </w:r>
      <w:r>
        <w:rPr>
          <w:i/>
          <w:sz w:val="18"/>
        </w:rPr>
        <w:t>the</w:t>
      </w:r>
      <w:r>
        <w:rPr>
          <w:i/>
          <w:spacing w:val="-6"/>
          <w:sz w:val="18"/>
        </w:rPr>
        <w:t xml:space="preserve"> </w:t>
      </w:r>
      <w:r>
        <w:rPr>
          <w:i/>
          <w:sz w:val="18"/>
        </w:rPr>
        <w:t>Regulatory</w:t>
      </w:r>
      <w:r>
        <w:rPr>
          <w:i/>
          <w:spacing w:val="-6"/>
          <w:sz w:val="18"/>
        </w:rPr>
        <w:t xml:space="preserve"> </w:t>
      </w:r>
      <w:r>
        <w:rPr>
          <w:i/>
          <w:sz w:val="18"/>
        </w:rPr>
        <w:t>Asset</w:t>
      </w:r>
      <w:r>
        <w:rPr>
          <w:i/>
          <w:spacing w:val="-6"/>
          <w:sz w:val="18"/>
        </w:rPr>
        <w:t xml:space="preserve"> </w:t>
      </w:r>
      <w:r>
        <w:rPr>
          <w:i/>
          <w:sz w:val="18"/>
        </w:rPr>
        <w:t>Base</w:t>
      </w:r>
      <w:r>
        <w:rPr>
          <w:i/>
          <w:spacing w:val="-6"/>
          <w:sz w:val="18"/>
        </w:rPr>
        <w:t xml:space="preserve"> </w:t>
      </w:r>
      <w:r>
        <w:rPr>
          <w:i/>
          <w:sz w:val="18"/>
        </w:rPr>
        <w:t>to</w:t>
      </w:r>
      <w:r>
        <w:rPr>
          <w:i/>
          <w:spacing w:val="-5"/>
          <w:sz w:val="18"/>
        </w:rPr>
        <w:t xml:space="preserve"> </w:t>
      </w:r>
      <w:r>
        <w:rPr>
          <w:i/>
          <w:spacing w:val="-2"/>
          <w:sz w:val="18"/>
        </w:rPr>
        <w:t>2028‐33</w:t>
      </w:r>
    </w:p>
    <w:p w14:paraId="3DD0136C" w14:textId="77777777" w:rsidR="00141B97" w:rsidRDefault="00141B97">
      <w:pPr>
        <w:pStyle w:val="BodyText"/>
        <w:spacing w:before="9"/>
        <w:rPr>
          <w:i/>
          <w:sz w:val="20"/>
        </w:rPr>
      </w:pPr>
    </w:p>
    <w:p w14:paraId="7285DA44" w14:textId="77777777" w:rsidR="00141B97" w:rsidRDefault="00911D63">
      <w:pPr>
        <w:pStyle w:val="ListParagraph"/>
        <w:numPr>
          <w:ilvl w:val="2"/>
          <w:numId w:val="81"/>
        </w:numPr>
        <w:tabs>
          <w:tab w:val="left" w:pos="1112"/>
          <w:tab w:val="left" w:pos="1113"/>
        </w:tabs>
        <w:jc w:val="both"/>
      </w:pPr>
      <w:r>
        <w:t>Regulatory</w:t>
      </w:r>
      <w:r>
        <w:rPr>
          <w:spacing w:val="-12"/>
        </w:rPr>
        <w:t xml:space="preserve"> </w:t>
      </w:r>
      <w:r>
        <w:rPr>
          <w:spacing w:val="-2"/>
        </w:rPr>
        <w:t>Depreciation</w:t>
      </w:r>
    </w:p>
    <w:p w14:paraId="14136036" w14:textId="77777777" w:rsidR="00141B97" w:rsidRDefault="00911D63">
      <w:pPr>
        <w:pStyle w:val="BodyText"/>
        <w:spacing w:before="59"/>
        <w:ind w:left="113" w:right="948"/>
        <w:jc w:val="both"/>
      </w:pPr>
      <w:r>
        <w:t>Regulatory depreciation is calculated on a straight‐line basis, using the ESC’s methodology for new asset additions. Regulatory depreciation is calculated with the RAB rolled forward from its starting value in 2004/5 using</w:t>
      </w:r>
      <w:r>
        <w:rPr>
          <w:spacing w:val="-5"/>
        </w:rPr>
        <w:t xml:space="preserve"> </w:t>
      </w:r>
      <w:r>
        <w:t>actual/forecast</w:t>
      </w:r>
      <w:r>
        <w:rPr>
          <w:spacing w:val="-4"/>
        </w:rPr>
        <w:t xml:space="preserve"> </w:t>
      </w:r>
      <w:r>
        <w:t>expenditure.</w:t>
      </w:r>
      <w:r>
        <w:rPr>
          <w:spacing w:val="-3"/>
        </w:rPr>
        <w:t xml:space="preserve"> </w:t>
      </w:r>
      <w:r>
        <w:t>As</w:t>
      </w:r>
      <w:r>
        <w:rPr>
          <w:spacing w:val="-5"/>
        </w:rPr>
        <w:t xml:space="preserve"> </w:t>
      </w:r>
      <w:r>
        <w:t>outturn</w:t>
      </w:r>
      <w:r>
        <w:rPr>
          <w:spacing w:val="-3"/>
        </w:rPr>
        <w:t xml:space="preserve"> </w:t>
      </w:r>
      <w:r>
        <w:t>capital</w:t>
      </w:r>
      <w:r>
        <w:rPr>
          <w:spacing w:val="-4"/>
        </w:rPr>
        <w:t xml:space="preserve"> </w:t>
      </w:r>
      <w:r>
        <w:t>expenditure</w:t>
      </w:r>
      <w:r>
        <w:rPr>
          <w:spacing w:val="-4"/>
        </w:rPr>
        <w:t xml:space="preserve"> </w:t>
      </w:r>
      <w:r>
        <w:t>and</w:t>
      </w:r>
      <w:r>
        <w:rPr>
          <w:spacing w:val="-5"/>
        </w:rPr>
        <w:t xml:space="preserve"> </w:t>
      </w:r>
      <w:r>
        <w:t>government/customer</w:t>
      </w:r>
      <w:r>
        <w:rPr>
          <w:spacing w:val="-5"/>
        </w:rPr>
        <w:t xml:space="preserve"> </w:t>
      </w:r>
      <w:r>
        <w:t>contributions</w:t>
      </w:r>
      <w:r>
        <w:rPr>
          <w:spacing w:val="-5"/>
        </w:rPr>
        <w:t xml:space="preserve"> </w:t>
      </w:r>
      <w:r>
        <w:t>will differ from forecast, then the regulatory depreciation allowed for in the revenue requirement for the fourth regulatory period may differ from the regulatory depreciation calculated with outturn actuals. Therefore, an adjustment is made to ensure that regulatory depreciation is not over or under recovered in total.</w:t>
      </w:r>
      <w:r>
        <w:rPr>
          <w:spacing w:val="40"/>
        </w:rPr>
        <w:t xml:space="preserve"> </w:t>
      </w:r>
      <w:r>
        <w:t>Regulatory depreciation is forecast to be $50.24m over the PS5 period, included in the table above.</w:t>
      </w:r>
    </w:p>
    <w:p w14:paraId="465EB4AF" w14:textId="77777777" w:rsidR="00141B97" w:rsidRDefault="00141B97">
      <w:pPr>
        <w:pStyle w:val="BodyText"/>
        <w:spacing w:before="7"/>
        <w:rPr>
          <w:sz w:val="20"/>
        </w:rPr>
      </w:pPr>
    </w:p>
    <w:p w14:paraId="3A4678D6" w14:textId="77777777" w:rsidR="00141B97" w:rsidRDefault="00911D63">
      <w:pPr>
        <w:pStyle w:val="ListParagraph"/>
        <w:numPr>
          <w:ilvl w:val="2"/>
          <w:numId w:val="81"/>
        </w:numPr>
        <w:tabs>
          <w:tab w:val="left" w:pos="1112"/>
          <w:tab w:val="left" w:pos="1113"/>
        </w:tabs>
        <w:spacing w:before="1"/>
        <w:jc w:val="both"/>
      </w:pPr>
      <w:r>
        <w:t>Return</w:t>
      </w:r>
      <w:r>
        <w:rPr>
          <w:spacing w:val="-5"/>
        </w:rPr>
        <w:t xml:space="preserve"> </w:t>
      </w:r>
      <w:r>
        <w:t>on</w:t>
      </w:r>
      <w:r>
        <w:rPr>
          <w:spacing w:val="-5"/>
        </w:rPr>
        <w:t xml:space="preserve"> </w:t>
      </w:r>
      <w:r>
        <w:rPr>
          <w:spacing w:val="-2"/>
        </w:rPr>
        <w:t>Equity</w:t>
      </w:r>
    </w:p>
    <w:p w14:paraId="3C968CB9" w14:textId="77777777" w:rsidR="00141B97" w:rsidRDefault="00911D63">
      <w:pPr>
        <w:pStyle w:val="BodyText"/>
        <w:spacing w:before="60"/>
        <w:ind w:left="113" w:right="949"/>
        <w:jc w:val="both"/>
      </w:pPr>
      <w:r>
        <w:t>Based on LMW’s proposed PREMO rating of Standard, the proposed maximum Return on Equity is 4.1% as a real rate per year, as per the ESC’s Guidance.</w:t>
      </w:r>
    </w:p>
    <w:p w14:paraId="76A16D05" w14:textId="77777777" w:rsidR="00141B97" w:rsidRDefault="00141B97">
      <w:pPr>
        <w:jc w:val="both"/>
        <w:sectPr w:rsidR="00141B97">
          <w:pgSz w:w="11910" w:h="16840"/>
          <w:pgMar w:top="860" w:right="40" w:bottom="760" w:left="1020" w:header="0" w:footer="580" w:gutter="0"/>
          <w:cols w:space="720"/>
        </w:sectPr>
      </w:pPr>
    </w:p>
    <w:p w14:paraId="29E05486" w14:textId="77777777" w:rsidR="00141B97" w:rsidRDefault="00911D63">
      <w:pPr>
        <w:pStyle w:val="Heading1"/>
        <w:numPr>
          <w:ilvl w:val="0"/>
          <w:numId w:val="81"/>
        </w:numPr>
        <w:tabs>
          <w:tab w:val="left" w:pos="1112"/>
          <w:tab w:val="left" w:pos="1113"/>
        </w:tabs>
      </w:pPr>
      <w:r>
        <w:rPr>
          <w:color w:val="006CA3"/>
          <w:spacing w:val="-2"/>
        </w:rPr>
        <w:lastRenderedPageBreak/>
        <w:t>Prices</w:t>
      </w:r>
    </w:p>
    <w:p w14:paraId="1E176E53" w14:textId="77777777" w:rsidR="00141B97" w:rsidRDefault="00911D63">
      <w:pPr>
        <w:pStyle w:val="Heading2"/>
        <w:numPr>
          <w:ilvl w:val="1"/>
          <w:numId w:val="81"/>
        </w:numPr>
        <w:tabs>
          <w:tab w:val="left" w:pos="1112"/>
          <w:tab w:val="left" w:pos="1113"/>
        </w:tabs>
        <w:spacing w:before="379"/>
      </w:pPr>
      <w:r>
        <w:rPr>
          <w:color w:val="009BAC"/>
        </w:rPr>
        <w:t>Form</w:t>
      </w:r>
      <w:r>
        <w:rPr>
          <w:color w:val="009BAC"/>
          <w:spacing w:val="-6"/>
        </w:rPr>
        <w:t xml:space="preserve"> </w:t>
      </w:r>
      <w:r>
        <w:rPr>
          <w:color w:val="009BAC"/>
        </w:rPr>
        <w:t>of</w:t>
      </w:r>
      <w:r>
        <w:rPr>
          <w:color w:val="009BAC"/>
          <w:spacing w:val="-5"/>
        </w:rPr>
        <w:t xml:space="preserve"> </w:t>
      </w:r>
      <w:r>
        <w:rPr>
          <w:color w:val="009BAC"/>
        </w:rPr>
        <w:t>Price</w:t>
      </w:r>
      <w:r>
        <w:rPr>
          <w:color w:val="009BAC"/>
          <w:spacing w:val="-6"/>
        </w:rPr>
        <w:t xml:space="preserve"> </w:t>
      </w:r>
      <w:r>
        <w:rPr>
          <w:color w:val="009BAC"/>
          <w:spacing w:val="-2"/>
        </w:rPr>
        <w:t>Control</w:t>
      </w:r>
    </w:p>
    <w:p w14:paraId="03F0313C" w14:textId="77777777" w:rsidR="00141B97" w:rsidRDefault="00911D63">
      <w:pPr>
        <w:pStyle w:val="BodyText"/>
        <w:spacing w:before="121"/>
        <w:ind w:left="113" w:right="948"/>
        <w:jc w:val="both"/>
      </w:pPr>
      <w:r>
        <w:t>Consistent with LMW’s practice over the past four regulatory periods, LMW proposes a tariff basket form of control</w:t>
      </w:r>
      <w:r>
        <w:rPr>
          <w:spacing w:val="-7"/>
        </w:rPr>
        <w:t xml:space="preserve"> </w:t>
      </w:r>
      <w:r>
        <w:t>to</w:t>
      </w:r>
      <w:r>
        <w:rPr>
          <w:spacing w:val="-8"/>
        </w:rPr>
        <w:t xml:space="preserve"> </w:t>
      </w:r>
      <w:r>
        <w:t>set</w:t>
      </w:r>
      <w:r>
        <w:rPr>
          <w:spacing w:val="-7"/>
        </w:rPr>
        <w:t xml:space="preserve"> </w:t>
      </w:r>
      <w:r>
        <w:t>urban</w:t>
      </w:r>
      <w:r>
        <w:rPr>
          <w:spacing w:val="-8"/>
        </w:rPr>
        <w:t xml:space="preserve"> </w:t>
      </w:r>
      <w:r>
        <w:t>prices.</w:t>
      </w:r>
      <w:r>
        <w:rPr>
          <w:spacing w:val="-8"/>
        </w:rPr>
        <w:t xml:space="preserve"> </w:t>
      </w:r>
      <w:r>
        <w:t>The</w:t>
      </w:r>
      <w:r>
        <w:rPr>
          <w:spacing w:val="-8"/>
        </w:rPr>
        <w:t xml:space="preserve"> </w:t>
      </w:r>
      <w:r>
        <w:t>proposed</w:t>
      </w:r>
      <w:r>
        <w:rPr>
          <w:spacing w:val="-6"/>
        </w:rPr>
        <w:t xml:space="preserve"> </w:t>
      </w:r>
      <w:r>
        <w:t>approach</w:t>
      </w:r>
      <w:r>
        <w:rPr>
          <w:spacing w:val="-7"/>
        </w:rPr>
        <w:t xml:space="preserve"> </w:t>
      </w:r>
      <w:r>
        <w:t>is</w:t>
      </w:r>
      <w:r>
        <w:rPr>
          <w:spacing w:val="-8"/>
        </w:rPr>
        <w:t xml:space="preserve"> </w:t>
      </w:r>
      <w:r>
        <w:t>aligned</w:t>
      </w:r>
      <w:r>
        <w:rPr>
          <w:spacing w:val="-8"/>
        </w:rPr>
        <w:t xml:space="preserve"> </w:t>
      </w:r>
      <w:r>
        <w:t>with</w:t>
      </w:r>
      <w:r>
        <w:rPr>
          <w:spacing w:val="-8"/>
        </w:rPr>
        <w:t xml:space="preserve"> </w:t>
      </w:r>
      <w:r>
        <w:t>information</w:t>
      </w:r>
      <w:r>
        <w:rPr>
          <w:spacing w:val="-8"/>
        </w:rPr>
        <w:t xml:space="preserve"> </w:t>
      </w:r>
      <w:r>
        <w:t>from</w:t>
      </w:r>
      <w:r>
        <w:rPr>
          <w:spacing w:val="-8"/>
        </w:rPr>
        <w:t xml:space="preserve"> </w:t>
      </w:r>
      <w:r>
        <w:t>the</w:t>
      </w:r>
      <w:r>
        <w:rPr>
          <w:spacing w:val="-8"/>
        </w:rPr>
        <w:t xml:space="preserve"> </w:t>
      </w:r>
      <w:r>
        <w:t>urban</w:t>
      </w:r>
      <w:r>
        <w:rPr>
          <w:spacing w:val="-8"/>
        </w:rPr>
        <w:t xml:space="preserve"> </w:t>
      </w:r>
      <w:r>
        <w:t>customer</w:t>
      </w:r>
      <w:r>
        <w:rPr>
          <w:spacing w:val="-8"/>
        </w:rPr>
        <w:t xml:space="preserve"> </w:t>
      </w:r>
      <w:r>
        <w:t>survey which</w:t>
      </w:r>
      <w:r>
        <w:rPr>
          <w:spacing w:val="-1"/>
        </w:rPr>
        <w:t xml:space="preserve"> </w:t>
      </w:r>
      <w:r>
        <w:t>indicates</w:t>
      </w:r>
      <w:r>
        <w:rPr>
          <w:spacing w:val="-2"/>
        </w:rPr>
        <w:t xml:space="preserve"> </w:t>
      </w:r>
      <w:r>
        <w:t>75%</w:t>
      </w:r>
      <w:r>
        <w:rPr>
          <w:spacing w:val="-1"/>
        </w:rPr>
        <w:t xml:space="preserve"> </w:t>
      </w:r>
      <w:r>
        <w:t>of customers</w:t>
      </w:r>
      <w:r>
        <w:rPr>
          <w:spacing w:val="-1"/>
        </w:rPr>
        <w:t xml:space="preserve"> </w:t>
      </w:r>
      <w:r>
        <w:t>consider</w:t>
      </w:r>
      <w:r>
        <w:rPr>
          <w:spacing w:val="-1"/>
        </w:rPr>
        <w:t xml:space="preserve"> </w:t>
      </w:r>
      <w:r>
        <w:t>that</w:t>
      </w:r>
      <w:r>
        <w:rPr>
          <w:spacing w:val="-1"/>
        </w:rPr>
        <w:t xml:space="preserve"> </w:t>
      </w:r>
      <w:r>
        <w:t>LMW</w:t>
      </w:r>
      <w:r>
        <w:rPr>
          <w:spacing w:val="-2"/>
        </w:rPr>
        <w:t xml:space="preserve"> </w:t>
      </w:r>
      <w:r>
        <w:t>provides</w:t>
      </w:r>
      <w:r>
        <w:rPr>
          <w:spacing w:val="-1"/>
        </w:rPr>
        <w:t xml:space="preserve"> </w:t>
      </w:r>
      <w:r>
        <w:t>value</w:t>
      </w:r>
      <w:r>
        <w:rPr>
          <w:spacing w:val="-3"/>
        </w:rPr>
        <w:t xml:space="preserve"> </w:t>
      </w:r>
      <w:r>
        <w:t>for</w:t>
      </w:r>
      <w:r>
        <w:rPr>
          <w:spacing w:val="-2"/>
        </w:rPr>
        <w:t xml:space="preserve"> </w:t>
      </w:r>
      <w:r>
        <w:t>money.</w:t>
      </w:r>
      <w:r>
        <w:rPr>
          <w:spacing w:val="-2"/>
        </w:rPr>
        <w:t xml:space="preserve"> </w:t>
      </w:r>
      <w:r>
        <w:t>Customers</w:t>
      </w:r>
      <w:r>
        <w:rPr>
          <w:spacing w:val="-1"/>
        </w:rPr>
        <w:t xml:space="preserve"> </w:t>
      </w:r>
      <w:r>
        <w:t>are</w:t>
      </w:r>
      <w:r>
        <w:rPr>
          <w:spacing w:val="-1"/>
        </w:rPr>
        <w:t xml:space="preserve"> </w:t>
      </w:r>
      <w:r>
        <w:t>not</w:t>
      </w:r>
      <w:r>
        <w:rPr>
          <w:spacing w:val="-2"/>
        </w:rPr>
        <w:t xml:space="preserve"> </w:t>
      </w:r>
      <w:r>
        <w:t>requesting wholesale change to pricing and services and maintaining the current tariff basket will maintain stability and consistency</w:t>
      </w:r>
      <w:r>
        <w:rPr>
          <w:spacing w:val="-4"/>
        </w:rPr>
        <w:t xml:space="preserve"> </w:t>
      </w:r>
      <w:r>
        <w:t>of</w:t>
      </w:r>
      <w:r>
        <w:rPr>
          <w:spacing w:val="-5"/>
        </w:rPr>
        <w:t xml:space="preserve"> </w:t>
      </w:r>
      <w:r>
        <w:t>prices.</w:t>
      </w:r>
      <w:r>
        <w:rPr>
          <w:spacing w:val="-5"/>
        </w:rPr>
        <w:t xml:space="preserve"> </w:t>
      </w:r>
      <w:r>
        <w:t>The</w:t>
      </w:r>
      <w:r>
        <w:rPr>
          <w:spacing w:val="-5"/>
        </w:rPr>
        <w:t xml:space="preserve"> </w:t>
      </w:r>
      <w:r>
        <w:t>approach</w:t>
      </w:r>
      <w:r>
        <w:rPr>
          <w:spacing w:val="-5"/>
        </w:rPr>
        <w:t xml:space="preserve"> </w:t>
      </w:r>
      <w:r>
        <w:t>provides</w:t>
      </w:r>
      <w:r>
        <w:rPr>
          <w:spacing w:val="-5"/>
        </w:rPr>
        <w:t xml:space="preserve"> </w:t>
      </w:r>
      <w:r>
        <w:t>an</w:t>
      </w:r>
      <w:r>
        <w:rPr>
          <w:spacing w:val="-4"/>
        </w:rPr>
        <w:t xml:space="preserve"> </w:t>
      </w:r>
      <w:r>
        <w:t>appropriate</w:t>
      </w:r>
      <w:r>
        <w:rPr>
          <w:spacing w:val="-4"/>
        </w:rPr>
        <w:t xml:space="preserve"> </w:t>
      </w:r>
      <w:r>
        <w:t>balance</w:t>
      </w:r>
      <w:r>
        <w:rPr>
          <w:spacing w:val="-6"/>
        </w:rPr>
        <w:t xml:space="preserve"> </w:t>
      </w:r>
      <w:r>
        <w:t>between</w:t>
      </w:r>
      <w:r>
        <w:rPr>
          <w:spacing w:val="-6"/>
        </w:rPr>
        <w:t xml:space="preserve"> </w:t>
      </w:r>
      <w:r>
        <w:t>the</w:t>
      </w:r>
      <w:r>
        <w:rPr>
          <w:spacing w:val="-6"/>
        </w:rPr>
        <w:t xml:space="preserve"> </w:t>
      </w:r>
      <w:r>
        <w:t>ability</w:t>
      </w:r>
      <w:r>
        <w:rPr>
          <w:spacing w:val="-4"/>
        </w:rPr>
        <w:t xml:space="preserve"> </w:t>
      </w:r>
      <w:r>
        <w:t>of</w:t>
      </w:r>
      <w:r>
        <w:rPr>
          <w:spacing w:val="-5"/>
        </w:rPr>
        <w:t xml:space="preserve"> </w:t>
      </w:r>
      <w:r>
        <w:t>LMW</w:t>
      </w:r>
      <w:r>
        <w:rPr>
          <w:spacing w:val="-6"/>
        </w:rPr>
        <w:t xml:space="preserve"> </w:t>
      </w:r>
      <w:r>
        <w:t>to</w:t>
      </w:r>
      <w:r>
        <w:rPr>
          <w:spacing w:val="-6"/>
        </w:rPr>
        <w:t xml:space="preserve"> </w:t>
      </w:r>
      <w:r>
        <w:t>respond</w:t>
      </w:r>
      <w:r>
        <w:rPr>
          <w:spacing w:val="-6"/>
        </w:rPr>
        <w:t xml:space="preserve"> </w:t>
      </w:r>
      <w:r>
        <w:t>to changing circumstances while providing certainty to customers regarding the level of their bills.</w:t>
      </w:r>
    </w:p>
    <w:p w14:paraId="309D7E6C" w14:textId="77777777" w:rsidR="00141B97" w:rsidRDefault="00141B97">
      <w:pPr>
        <w:pStyle w:val="BodyText"/>
        <w:spacing w:before="12"/>
        <w:rPr>
          <w:sz w:val="21"/>
        </w:rPr>
      </w:pPr>
    </w:p>
    <w:p w14:paraId="2507D4D8" w14:textId="77777777" w:rsidR="00141B97" w:rsidRDefault="00911D63">
      <w:pPr>
        <w:pStyle w:val="BodyText"/>
        <w:ind w:left="114" w:right="948" w:hanging="1"/>
        <w:jc w:val="both"/>
      </w:pPr>
      <w:r>
        <w:t>Under the proposed tariff basket price control, LMW takes the risk that the demand</w:t>
      </w:r>
      <w:r>
        <w:rPr>
          <w:spacing w:val="-1"/>
        </w:rPr>
        <w:t xml:space="preserve"> </w:t>
      </w:r>
      <w:r>
        <w:t>for water will be less than forecast, providing an incentive for LMW to manage its business efficiently, and ensure that, to the extent possible, costs are contained in line with the volume of water delivered to customers.</w:t>
      </w:r>
    </w:p>
    <w:p w14:paraId="387D339E" w14:textId="77777777" w:rsidR="00141B97" w:rsidRDefault="00141B97">
      <w:pPr>
        <w:pStyle w:val="BodyText"/>
        <w:spacing w:before="12"/>
        <w:rPr>
          <w:sz w:val="21"/>
        </w:rPr>
      </w:pPr>
    </w:p>
    <w:p w14:paraId="36320360" w14:textId="77777777" w:rsidR="00141B97" w:rsidRDefault="00911D63">
      <w:pPr>
        <w:pStyle w:val="BodyText"/>
        <w:ind w:left="113" w:right="946"/>
        <w:jc w:val="both"/>
      </w:pPr>
      <w:r>
        <w:t>The price control is typically applied equally across all components of the tariff basket, including water and sewerage, residential and non‐residential, and between fixed and volumetric charges. Given previous uncertainties which surrounded the extent of customers’ demand responses to the ending of the drought in 2010‐11, along with the continuing impact of changing climate patterns, LMW seeks to retain the flexibility of being able to re‐balance tariffs within the review period, if necessary.</w:t>
      </w:r>
    </w:p>
    <w:p w14:paraId="37B83E96" w14:textId="77777777" w:rsidR="00141B97" w:rsidRDefault="00141B97">
      <w:pPr>
        <w:pStyle w:val="BodyText"/>
      </w:pPr>
    </w:p>
    <w:p w14:paraId="3245C9A0" w14:textId="77777777" w:rsidR="00141B97" w:rsidRDefault="00911D63">
      <w:pPr>
        <w:pStyle w:val="BodyText"/>
        <w:ind w:left="113" w:right="949" w:hanging="1"/>
        <w:jc w:val="both"/>
      </w:pPr>
      <w:r>
        <w:t>In practice, LMW has a strong track record of operating on this basis, having in previous price periods funded losses</w:t>
      </w:r>
      <w:r>
        <w:rPr>
          <w:spacing w:val="-3"/>
        </w:rPr>
        <w:t xml:space="preserve"> </w:t>
      </w:r>
      <w:r>
        <w:t>caused</w:t>
      </w:r>
      <w:r>
        <w:rPr>
          <w:spacing w:val="-3"/>
        </w:rPr>
        <w:t xml:space="preserve"> </w:t>
      </w:r>
      <w:r>
        <w:t>by</w:t>
      </w:r>
      <w:r>
        <w:rPr>
          <w:spacing w:val="-4"/>
        </w:rPr>
        <w:t xml:space="preserve"> </w:t>
      </w:r>
      <w:r>
        <w:t>both</w:t>
      </w:r>
      <w:r>
        <w:rPr>
          <w:spacing w:val="-3"/>
        </w:rPr>
        <w:t xml:space="preserve"> </w:t>
      </w:r>
      <w:r>
        <w:t>drought‐driven</w:t>
      </w:r>
      <w:r>
        <w:rPr>
          <w:spacing w:val="-4"/>
        </w:rPr>
        <w:t xml:space="preserve"> </w:t>
      </w:r>
      <w:r>
        <w:t>water</w:t>
      </w:r>
      <w:r>
        <w:rPr>
          <w:spacing w:val="-3"/>
        </w:rPr>
        <w:t xml:space="preserve"> </w:t>
      </w:r>
      <w:r>
        <w:t>restrictions</w:t>
      </w:r>
      <w:r>
        <w:rPr>
          <w:spacing w:val="-5"/>
        </w:rPr>
        <w:t xml:space="preserve"> </w:t>
      </w:r>
      <w:r>
        <w:t>and</w:t>
      </w:r>
      <w:r>
        <w:rPr>
          <w:spacing w:val="-3"/>
        </w:rPr>
        <w:t xml:space="preserve"> </w:t>
      </w:r>
      <w:r>
        <w:t>flood‐influenced</w:t>
      </w:r>
      <w:r>
        <w:rPr>
          <w:spacing w:val="-3"/>
        </w:rPr>
        <w:t xml:space="preserve"> </w:t>
      </w:r>
      <w:r>
        <w:t>lower</w:t>
      </w:r>
      <w:r>
        <w:rPr>
          <w:spacing w:val="-5"/>
        </w:rPr>
        <w:t xml:space="preserve"> </w:t>
      </w:r>
      <w:r>
        <w:t>demand,</w:t>
      </w:r>
      <w:r>
        <w:rPr>
          <w:spacing w:val="-4"/>
        </w:rPr>
        <w:t xml:space="preserve"> </w:t>
      </w:r>
      <w:r>
        <w:t>and</w:t>
      </w:r>
      <w:r>
        <w:rPr>
          <w:spacing w:val="-4"/>
        </w:rPr>
        <w:t xml:space="preserve"> </w:t>
      </w:r>
      <w:r>
        <w:t>in</w:t>
      </w:r>
      <w:r>
        <w:rPr>
          <w:spacing w:val="-4"/>
        </w:rPr>
        <w:t xml:space="preserve"> </w:t>
      </w:r>
      <w:r>
        <w:t>the</w:t>
      </w:r>
      <w:r>
        <w:rPr>
          <w:spacing w:val="-4"/>
        </w:rPr>
        <w:t xml:space="preserve"> </w:t>
      </w:r>
      <w:r>
        <w:t>case</w:t>
      </w:r>
      <w:r>
        <w:rPr>
          <w:spacing w:val="-3"/>
        </w:rPr>
        <w:t xml:space="preserve"> </w:t>
      </w:r>
      <w:r>
        <w:t>of ‘windfall’</w:t>
      </w:r>
      <w:r>
        <w:rPr>
          <w:spacing w:val="-7"/>
        </w:rPr>
        <w:t xml:space="preserve"> </w:t>
      </w:r>
      <w:r>
        <w:t>gains</w:t>
      </w:r>
      <w:r>
        <w:rPr>
          <w:spacing w:val="-7"/>
        </w:rPr>
        <w:t xml:space="preserve"> </w:t>
      </w:r>
      <w:r>
        <w:t>during</w:t>
      </w:r>
      <w:r>
        <w:rPr>
          <w:spacing w:val="-7"/>
        </w:rPr>
        <w:t xml:space="preserve"> </w:t>
      </w:r>
      <w:r>
        <w:t>periods</w:t>
      </w:r>
      <w:r>
        <w:rPr>
          <w:spacing w:val="-6"/>
        </w:rPr>
        <w:t xml:space="preserve"> </w:t>
      </w:r>
      <w:r>
        <w:t>of</w:t>
      </w:r>
      <w:r>
        <w:rPr>
          <w:spacing w:val="-5"/>
        </w:rPr>
        <w:t xml:space="preserve"> </w:t>
      </w:r>
      <w:r>
        <w:t>higher</w:t>
      </w:r>
      <w:r>
        <w:rPr>
          <w:spacing w:val="-6"/>
        </w:rPr>
        <w:t xml:space="preserve"> </w:t>
      </w:r>
      <w:r>
        <w:t>than</w:t>
      </w:r>
      <w:r>
        <w:rPr>
          <w:spacing w:val="-7"/>
        </w:rPr>
        <w:t xml:space="preserve"> </w:t>
      </w:r>
      <w:r>
        <w:t>forecast</w:t>
      </w:r>
      <w:r>
        <w:rPr>
          <w:spacing w:val="-6"/>
        </w:rPr>
        <w:t xml:space="preserve"> </w:t>
      </w:r>
      <w:r>
        <w:t>water</w:t>
      </w:r>
      <w:r>
        <w:rPr>
          <w:spacing w:val="-6"/>
        </w:rPr>
        <w:t xml:space="preserve"> </w:t>
      </w:r>
      <w:r>
        <w:t>demand,</w:t>
      </w:r>
      <w:r>
        <w:rPr>
          <w:spacing w:val="-7"/>
        </w:rPr>
        <w:t xml:space="preserve"> </w:t>
      </w:r>
      <w:r>
        <w:t>has</w:t>
      </w:r>
      <w:r>
        <w:rPr>
          <w:spacing w:val="-5"/>
        </w:rPr>
        <w:t xml:space="preserve"> </w:t>
      </w:r>
      <w:r>
        <w:t>either</w:t>
      </w:r>
      <w:r>
        <w:rPr>
          <w:spacing w:val="-7"/>
        </w:rPr>
        <w:t xml:space="preserve"> </w:t>
      </w:r>
      <w:r>
        <w:t>returned</w:t>
      </w:r>
      <w:r>
        <w:rPr>
          <w:spacing w:val="-6"/>
        </w:rPr>
        <w:t xml:space="preserve"> </w:t>
      </w:r>
      <w:r>
        <w:t>income</w:t>
      </w:r>
      <w:r>
        <w:rPr>
          <w:spacing w:val="-6"/>
        </w:rPr>
        <w:t xml:space="preserve"> </w:t>
      </w:r>
      <w:r>
        <w:t>in</w:t>
      </w:r>
      <w:r>
        <w:rPr>
          <w:spacing w:val="-6"/>
        </w:rPr>
        <w:t xml:space="preserve"> </w:t>
      </w:r>
      <w:r>
        <w:t>price</w:t>
      </w:r>
      <w:r>
        <w:rPr>
          <w:spacing w:val="-7"/>
        </w:rPr>
        <w:t xml:space="preserve"> </w:t>
      </w:r>
      <w:r>
        <w:t>relief, provided debt repayment, or funded essential capital works which in the longer‐term results in price relief.</w:t>
      </w:r>
    </w:p>
    <w:p w14:paraId="3A54BD64" w14:textId="77777777" w:rsidR="00141B97" w:rsidRDefault="00141B97">
      <w:pPr>
        <w:pStyle w:val="BodyText"/>
      </w:pPr>
    </w:p>
    <w:p w14:paraId="5FF27CFE" w14:textId="77777777" w:rsidR="00141B97" w:rsidRDefault="00911D63">
      <w:pPr>
        <w:pStyle w:val="BodyText"/>
        <w:ind w:left="113" w:right="947"/>
        <w:jc w:val="both"/>
      </w:pPr>
      <w:r>
        <w:t>As a side constraint, LMW proposes to continue an upper constraint of CPI ± 10% on the maximum increase in any individual tariff. This provides a further measure of protection to individual customers.</w:t>
      </w:r>
    </w:p>
    <w:p w14:paraId="74B20A0A" w14:textId="77777777" w:rsidR="00141B97" w:rsidRDefault="00141B97">
      <w:pPr>
        <w:pStyle w:val="BodyText"/>
        <w:spacing w:before="2"/>
        <w:rPr>
          <w:sz w:val="31"/>
        </w:rPr>
      </w:pPr>
    </w:p>
    <w:p w14:paraId="6D3825CE" w14:textId="77777777" w:rsidR="00141B97" w:rsidRDefault="00911D63">
      <w:pPr>
        <w:pStyle w:val="Heading2"/>
        <w:numPr>
          <w:ilvl w:val="1"/>
          <w:numId w:val="81"/>
        </w:numPr>
        <w:tabs>
          <w:tab w:val="left" w:pos="1112"/>
          <w:tab w:val="left" w:pos="1113"/>
        </w:tabs>
      </w:pPr>
      <w:r>
        <w:rPr>
          <w:color w:val="009BAC"/>
        </w:rPr>
        <w:t>Prices</w:t>
      </w:r>
      <w:r>
        <w:rPr>
          <w:color w:val="009BAC"/>
          <w:spacing w:val="-7"/>
        </w:rPr>
        <w:t xml:space="preserve"> </w:t>
      </w:r>
      <w:r>
        <w:rPr>
          <w:color w:val="009BAC"/>
        </w:rPr>
        <w:t>and</w:t>
      </w:r>
      <w:r>
        <w:rPr>
          <w:color w:val="009BAC"/>
          <w:spacing w:val="-6"/>
        </w:rPr>
        <w:t xml:space="preserve"> </w:t>
      </w:r>
      <w:r>
        <w:rPr>
          <w:color w:val="009BAC"/>
        </w:rPr>
        <w:t>Tariff</w:t>
      </w:r>
      <w:r>
        <w:rPr>
          <w:color w:val="009BAC"/>
          <w:spacing w:val="-4"/>
        </w:rPr>
        <w:t xml:space="preserve"> </w:t>
      </w:r>
      <w:r>
        <w:rPr>
          <w:color w:val="009BAC"/>
          <w:spacing w:val="-2"/>
        </w:rPr>
        <w:t>Structure</w:t>
      </w:r>
    </w:p>
    <w:p w14:paraId="1E0F3990" w14:textId="77777777" w:rsidR="00141B97" w:rsidRDefault="00141B97">
      <w:pPr>
        <w:pStyle w:val="BodyText"/>
        <w:spacing w:before="8"/>
        <w:rPr>
          <w:sz w:val="20"/>
        </w:rPr>
      </w:pPr>
    </w:p>
    <w:p w14:paraId="4920082D" w14:textId="77777777" w:rsidR="00141B97" w:rsidRDefault="00911D63">
      <w:pPr>
        <w:pStyle w:val="ListParagraph"/>
        <w:numPr>
          <w:ilvl w:val="2"/>
          <w:numId w:val="81"/>
        </w:numPr>
        <w:tabs>
          <w:tab w:val="left" w:pos="1112"/>
          <w:tab w:val="left" w:pos="1113"/>
        </w:tabs>
        <w:spacing w:before="1"/>
      </w:pPr>
      <w:r>
        <w:rPr>
          <w:spacing w:val="-2"/>
        </w:rPr>
        <w:t>Introduction</w:t>
      </w:r>
    </w:p>
    <w:p w14:paraId="6CE68F65" w14:textId="77777777" w:rsidR="00141B97" w:rsidRDefault="00911D63">
      <w:pPr>
        <w:pStyle w:val="BodyText"/>
        <w:spacing w:before="59"/>
        <w:ind w:left="114" w:right="812" w:hanging="1"/>
      </w:pPr>
      <w:r>
        <w:t>LMW</w:t>
      </w:r>
      <w:r>
        <w:rPr>
          <w:spacing w:val="-7"/>
        </w:rPr>
        <w:t xml:space="preserve"> </w:t>
      </w:r>
      <w:r>
        <w:t>does</w:t>
      </w:r>
      <w:r>
        <w:rPr>
          <w:spacing w:val="-5"/>
        </w:rPr>
        <w:t xml:space="preserve"> </w:t>
      </w:r>
      <w:r>
        <w:t>not</w:t>
      </w:r>
      <w:r>
        <w:rPr>
          <w:spacing w:val="-7"/>
        </w:rPr>
        <w:t xml:space="preserve"> </w:t>
      </w:r>
      <w:r>
        <w:t>propose</w:t>
      </w:r>
      <w:r>
        <w:rPr>
          <w:spacing w:val="-6"/>
        </w:rPr>
        <w:t xml:space="preserve"> </w:t>
      </w:r>
      <w:r>
        <w:t>any</w:t>
      </w:r>
      <w:r>
        <w:rPr>
          <w:spacing w:val="-5"/>
        </w:rPr>
        <w:t xml:space="preserve"> </w:t>
      </w:r>
      <w:r>
        <w:t>changes</w:t>
      </w:r>
      <w:r>
        <w:rPr>
          <w:spacing w:val="-6"/>
        </w:rPr>
        <w:t xml:space="preserve"> </w:t>
      </w:r>
      <w:r>
        <w:t>to</w:t>
      </w:r>
      <w:r>
        <w:rPr>
          <w:spacing w:val="-6"/>
        </w:rPr>
        <w:t xml:space="preserve"> </w:t>
      </w:r>
      <w:r>
        <w:t>its</w:t>
      </w:r>
      <w:r>
        <w:rPr>
          <w:spacing w:val="-6"/>
        </w:rPr>
        <w:t xml:space="preserve"> </w:t>
      </w:r>
      <w:r>
        <w:t>current</w:t>
      </w:r>
      <w:r>
        <w:rPr>
          <w:spacing w:val="-5"/>
        </w:rPr>
        <w:t xml:space="preserve"> </w:t>
      </w:r>
      <w:r>
        <w:t>tariff</w:t>
      </w:r>
      <w:r>
        <w:rPr>
          <w:spacing w:val="-7"/>
        </w:rPr>
        <w:t xml:space="preserve"> </w:t>
      </w:r>
      <w:r>
        <w:t>structures,</w:t>
      </w:r>
      <w:r>
        <w:rPr>
          <w:spacing w:val="-6"/>
        </w:rPr>
        <w:t xml:space="preserve"> </w:t>
      </w:r>
      <w:r>
        <w:t>or</w:t>
      </w:r>
      <w:r>
        <w:rPr>
          <w:spacing w:val="-7"/>
        </w:rPr>
        <w:t xml:space="preserve"> </w:t>
      </w:r>
      <w:r>
        <w:t>principle</w:t>
      </w:r>
      <w:r>
        <w:rPr>
          <w:spacing w:val="-6"/>
        </w:rPr>
        <w:t xml:space="preserve"> </w:t>
      </w:r>
      <w:r>
        <w:t>of</w:t>
      </w:r>
      <w:r>
        <w:rPr>
          <w:spacing w:val="-5"/>
        </w:rPr>
        <w:t xml:space="preserve"> </w:t>
      </w:r>
      <w:r>
        <w:t>postage</w:t>
      </w:r>
      <w:r>
        <w:rPr>
          <w:spacing w:val="-8"/>
        </w:rPr>
        <w:t xml:space="preserve"> </w:t>
      </w:r>
      <w:r>
        <w:t>stamp</w:t>
      </w:r>
      <w:r>
        <w:rPr>
          <w:spacing w:val="-7"/>
        </w:rPr>
        <w:t xml:space="preserve"> </w:t>
      </w:r>
      <w:r>
        <w:t>pricing,</w:t>
      </w:r>
      <w:r>
        <w:rPr>
          <w:spacing w:val="-6"/>
        </w:rPr>
        <w:t xml:space="preserve"> </w:t>
      </w:r>
      <w:r>
        <w:t>where the tariffs do not reflect any differences in costs of water and sewerage systems by time or location.</w:t>
      </w:r>
    </w:p>
    <w:p w14:paraId="641808DB" w14:textId="77777777" w:rsidR="00141B97" w:rsidRDefault="00911D63">
      <w:pPr>
        <w:pStyle w:val="BodyText"/>
        <w:ind w:left="113" w:right="962"/>
      </w:pPr>
      <w:r>
        <w:t>In setting prices and tariff structures, LMW has applied the principles of the Water Industry Regulatory Order (WIRO), which specifies that prices must:</w:t>
      </w:r>
    </w:p>
    <w:p w14:paraId="09189A72" w14:textId="77777777" w:rsidR="00141B97" w:rsidRDefault="00911D63">
      <w:pPr>
        <w:pStyle w:val="ListParagraph"/>
        <w:numPr>
          <w:ilvl w:val="0"/>
          <w:numId w:val="40"/>
        </w:numPr>
        <w:tabs>
          <w:tab w:val="left" w:pos="833"/>
          <w:tab w:val="left" w:pos="834"/>
        </w:tabs>
        <w:spacing w:line="280" w:lineRule="exact"/>
        <w:ind w:hanging="361"/>
      </w:pPr>
      <w:r>
        <w:t>Enable</w:t>
      </w:r>
      <w:r>
        <w:rPr>
          <w:spacing w:val="-8"/>
        </w:rPr>
        <w:t xml:space="preserve"> </w:t>
      </w:r>
      <w:r>
        <w:t>customers</w:t>
      </w:r>
      <w:r>
        <w:rPr>
          <w:spacing w:val="-7"/>
        </w:rPr>
        <w:t xml:space="preserve"> </w:t>
      </w:r>
      <w:r>
        <w:t>to</w:t>
      </w:r>
      <w:r>
        <w:rPr>
          <w:spacing w:val="-7"/>
        </w:rPr>
        <w:t xml:space="preserve"> </w:t>
      </w:r>
      <w:r>
        <w:t>readily</w:t>
      </w:r>
      <w:r>
        <w:rPr>
          <w:spacing w:val="-8"/>
        </w:rPr>
        <w:t xml:space="preserve"> </w:t>
      </w:r>
      <w:r>
        <w:t>understand</w:t>
      </w:r>
      <w:r>
        <w:rPr>
          <w:spacing w:val="-7"/>
        </w:rPr>
        <w:t xml:space="preserve"> </w:t>
      </w:r>
      <w:r>
        <w:t>the</w:t>
      </w:r>
      <w:r>
        <w:rPr>
          <w:spacing w:val="-9"/>
        </w:rPr>
        <w:t xml:space="preserve"> </w:t>
      </w:r>
      <w:r>
        <w:t>prices</w:t>
      </w:r>
      <w:r>
        <w:rPr>
          <w:spacing w:val="-7"/>
        </w:rPr>
        <w:t xml:space="preserve"> </w:t>
      </w:r>
      <w:r>
        <w:rPr>
          <w:spacing w:val="-2"/>
        </w:rPr>
        <w:t>charged.</w:t>
      </w:r>
    </w:p>
    <w:p w14:paraId="0FE9B593" w14:textId="77777777" w:rsidR="00141B97" w:rsidRDefault="00911D63">
      <w:pPr>
        <w:pStyle w:val="ListParagraph"/>
        <w:numPr>
          <w:ilvl w:val="0"/>
          <w:numId w:val="40"/>
        </w:numPr>
        <w:tabs>
          <w:tab w:val="left" w:pos="833"/>
          <w:tab w:val="left" w:pos="834"/>
        </w:tabs>
        <w:ind w:right="948"/>
      </w:pPr>
      <w:r>
        <w:t>Provide signals about the efficient costs of providing prescribed services to customers while avoiding price shocks where possible.</w:t>
      </w:r>
    </w:p>
    <w:p w14:paraId="13E777AF" w14:textId="77777777" w:rsidR="00141B97" w:rsidRDefault="00911D63">
      <w:pPr>
        <w:pStyle w:val="ListParagraph"/>
        <w:numPr>
          <w:ilvl w:val="0"/>
          <w:numId w:val="40"/>
        </w:numPr>
        <w:tabs>
          <w:tab w:val="left" w:pos="833"/>
          <w:tab w:val="left" w:pos="834"/>
        </w:tabs>
        <w:ind w:hanging="361"/>
      </w:pPr>
      <w:r>
        <w:t>Take</w:t>
      </w:r>
      <w:r>
        <w:rPr>
          <w:spacing w:val="-8"/>
        </w:rPr>
        <w:t xml:space="preserve"> </w:t>
      </w:r>
      <w:r>
        <w:t>into</w:t>
      </w:r>
      <w:r>
        <w:rPr>
          <w:spacing w:val="-7"/>
        </w:rPr>
        <w:t xml:space="preserve"> </w:t>
      </w:r>
      <w:r>
        <w:t>account</w:t>
      </w:r>
      <w:r>
        <w:rPr>
          <w:spacing w:val="-6"/>
        </w:rPr>
        <w:t xml:space="preserve"> </w:t>
      </w:r>
      <w:r>
        <w:t>the</w:t>
      </w:r>
      <w:r>
        <w:rPr>
          <w:spacing w:val="-7"/>
        </w:rPr>
        <w:t xml:space="preserve"> </w:t>
      </w:r>
      <w:r>
        <w:t>interest</w:t>
      </w:r>
      <w:r>
        <w:rPr>
          <w:spacing w:val="-7"/>
        </w:rPr>
        <w:t xml:space="preserve"> </w:t>
      </w:r>
      <w:r>
        <w:t>of</w:t>
      </w:r>
      <w:r>
        <w:rPr>
          <w:spacing w:val="-7"/>
        </w:rPr>
        <w:t xml:space="preserve"> </w:t>
      </w:r>
      <w:r>
        <w:t>customers,</w:t>
      </w:r>
      <w:r>
        <w:rPr>
          <w:spacing w:val="-6"/>
        </w:rPr>
        <w:t xml:space="preserve"> </w:t>
      </w:r>
      <w:r>
        <w:t>including</w:t>
      </w:r>
      <w:r>
        <w:rPr>
          <w:spacing w:val="-8"/>
        </w:rPr>
        <w:t xml:space="preserve"> </w:t>
      </w:r>
      <w:r>
        <w:t>low</w:t>
      </w:r>
      <w:r>
        <w:rPr>
          <w:spacing w:val="-6"/>
        </w:rPr>
        <w:t xml:space="preserve"> </w:t>
      </w:r>
      <w:r>
        <w:t>income</w:t>
      </w:r>
      <w:r>
        <w:rPr>
          <w:spacing w:val="-8"/>
        </w:rPr>
        <w:t xml:space="preserve"> </w:t>
      </w:r>
      <w:r>
        <w:t>and</w:t>
      </w:r>
      <w:r>
        <w:rPr>
          <w:spacing w:val="-7"/>
        </w:rPr>
        <w:t xml:space="preserve"> </w:t>
      </w:r>
      <w:r>
        <w:t>vulnerable</w:t>
      </w:r>
      <w:r>
        <w:rPr>
          <w:spacing w:val="-7"/>
        </w:rPr>
        <w:t xml:space="preserve"> </w:t>
      </w:r>
      <w:r>
        <w:rPr>
          <w:spacing w:val="-2"/>
        </w:rPr>
        <w:t>customers.</w:t>
      </w:r>
    </w:p>
    <w:p w14:paraId="31E73FA7" w14:textId="77777777" w:rsidR="00141B97" w:rsidRDefault="00141B97">
      <w:pPr>
        <w:pStyle w:val="BodyText"/>
        <w:spacing w:before="12"/>
        <w:rPr>
          <w:sz w:val="21"/>
        </w:rPr>
      </w:pPr>
    </w:p>
    <w:p w14:paraId="0F81C3A9" w14:textId="77777777" w:rsidR="00141B97" w:rsidRDefault="00911D63">
      <w:pPr>
        <w:pStyle w:val="BodyText"/>
        <w:ind w:left="113" w:right="947"/>
        <w:jc w:val="both"/>
      </w:pPr>
      <w:r>
        <w:t>The balance between fixed and volumetric charges in the average water bill is influenced by affordability concerns.</w:t>
      </w:r>
      <w:r>
        <w:rPr>
          <w:spacing w:val="-12"/>
        </w:rPr>
        <w:t xml:space="preserve"> </w:t>
      </w:r>
      <w:r>
        <w:t>LMW</w:t>
      </w:r>
      <w:r>
        <w:rPr>
          <w:spacing w:val="-13"/>
        </w:rPr>
        <w:t xml:space="preserve"> </w:t>
      </w:r>
      <w:r>
        <w:t>aims</w:t>
      </w:r>
      <w:r>
        <w:rPr>
          <w:spacing w:val="-12"/>
        </w:rPr>
        <w:t xml:space="preserve"> </w:t>
      </w:r>
      <w:r>
        <w:t>for</w:t>
      </w:r>
      <w:r>
        <w:rPr>
          <w:spacing w:val="-12"/>
        </w:rPr>
        <w:t xml:space="preserve"> </w:t>
      </w:r>
      <w:r>
        <w:t>a</w:t>
      </w:r>
      <w:r>
        <w:rPr>
          <w:spacing w:val="-12"/>
        </w:rPr>
        <w:t xml:space="preserve"> </w:t>
      </w:r>
      <w:r>
        <w:t>ratio</w:t>
      </w:r>
      <w:r>
        <w:rPr>
          <w:spacing w:val="-13"/>
        </w:rPr>
        <w:t xml:space="preserve"> </w:t>
      </w:r>
      <w:r>
        <w:t>of</w:t>
      </w:r>
      <w:r>
        <w:rPr>
          <w:spacing w:val="-11"/>
        </w:rPr>
        <w:t xml:space="preserve"> </w:t>
      </w:r>
      <w:r>
        <w:t>40%</w:t>
      </w:r>
      <w:r>
        <w:rPr>
          <w:spacing w:val="-13"/>
        </w:rPr>
        <w:t xml:space="preserve"> </w:t>
      </w:r>
      <w:r>
        <w:t>fixed</w:t>
      </w:r>
      <w:r>
        <w:rPr>
          <w:spacing w:val="-12"/>
        </w:rPr>
        <w:t xml:space="preserve"> </w:t>
      </w:r>
      <w:r>
        <w:t>charges</w:t>
      </w:r>
      <w:r>
        <w:rPr>
          <w:spacing w:val="-12"/>
        </w:rPr>
        <w:t xml:space="preserve"> </w:t>
      </w:r>
      <w:r>
        <w:t>to</w:t>
      </w:r>
      <w:r>
        <w:rPr>
          <w:spacing w:val="-11"/>
        </w:rPr>
        <w:t xml:space="preserve"> </w:t>
      </w:r>
      <w:r>
        <w:t>60%</w:t>
      </w:r>
      <w:r>
        <w:rPr>
          <w:spacing w:val="-13"/>
        </w:rPr>
        <w:t xml:space="preserve"> </w:t>
      </w:r>
      <w:r>
        <w:t>volumetric</w:t>
      </w:r>
      <w:r>
        <w:rPr>
          <w:spacing w:val="-11"/>
        </w:rPr>
        <w:t xml:space="preserve"> </w:t>
      </w:r>
      <w:r>
        <w:t>charges,</w:t>
      </w:r>
      <w:r>
        <w:rPr>
          <w:spacing w:val="-12"/>
        </w:rPr>
        <w:t xml:space="preserve"> </w:t>
      </w:r>
      <w:r>
        <w:t>intended</w:t>
      </w:r>
      <w:r>
        <w:rPr>
          <w:spacing w:val="-13"/>
        </w:rPr>
        <w:t xml:space="preserve"> </w:t>
      </w:r>
      <w:r>
        <w:t>to</w:t>
      </w:r>
      <w:r>
        <w:rPr>
          <w:spacing w:val="-12"/>
        </w:rPr>
        <w:t xml:space="preserve"> </w:t>
      </w:r>
      <w:r>
        <w:t>provide</w:t>
      </w:r>
      <w:r>
        <w:rPr>
          <w:spacing w:val="-12"/>
        </w:rPr>
        <w:t xml:space="preserve"> </w:t>
      </w:r>
      <w:r>
        <w:t>households with</w:t>
      </w:r>
      <w:r>
        <w:rPr>
          <w:spacing w:val="-13"/>
        </w:rPr>
        <w:t xml:space="preserve"> </w:t>
      </w:r>
      <w:r>
        <w:t>a</w:t>
      </w:r>
      <w:r>
        <w:rPr>
          <w:spacing w:val="-12"/>
        </w:rPr>
        <w:t xml:space="preserve"> </w:t>
      </w:r>
      <w:r>
        <w:t>high</w:t>
      </w:r>
      <w:r>
        <w:rPr>
          <w:spacing w:val="-13"/>
        </w:rPr>
        <w:t xml:space="preserve"> </w:t>
      </w:r>
      <w:r>
        <w:t>degree</w:t>
      </w:r>
      <w:r>
        <w:rPr>
          <w:spacing w:val="-12"/>
        </w:rPr>
        <w:t xml:space="preserve"> </w:t>
      </w:r>
      <w:r>
        <w:t>of</w:t>
      </w:r>
      <w:r>
        <w:rPr>
          <w:spacing w:val="-13"/>
        </w:rPr>
        <w:t xml:space="preserve"> </w:t>
      </w:r>
      <w:r>
        <w:t>control</w:t>
      </w:r>
      <w:r>
        <w:rPr>
          <w:spacing w:val="-12"/>
        </w:rPr>
        <w:t xml:space="preserve"> </w:t>
      </w:r>
      <w:r>
        <w:t>over</w:t>
      </w:r>
      <w:r>
        <w:rPr>
          <w:spacing w:val="-13"/>
        </w:rPr>
        <w:t xml:space="preserve"> </w:t>
      </w:r>
      <w:r>
        <w:t>their</w:t>
      </w:r>
      <w:r>
        <w:rPr>
          <w:spacing w:val="-12"/>
        </w:rPr>
        <w:t xml:space="preserve"> </w:t>
      </w:r>
      <w:r>
        <w:t>water</w:t>
      </w:r>
      <w:r>
        <w:rPr>
          <w:spacing w:val="-12"/>
        </w:rPr>
        <w:t xml:space="preserve"> </w:t>
      </w:r>
      <w:r>
        <w:t>bills.</w:t>
      </w:r>
      <w:r>
        <w:rPr>
          <w:spacing w:val="-13"/>
        </w:rPr>
        <w:t xml:space="preserve"> </w:t>
      </w:r>
      <w:r>
        <w:t>A</w:t>
      </w:r>
      <w:r>
        <w:rPr>
          <w:spacing w:val="-12"/>
        </w:rPr>
        <w:t xml:space="preserve"> </w:t>
      </w:r>
      <w:r>
        <w:t>high</w:t>
      </w:r>
      <w:r>
        <w:rPr>
          <w:spacing w:val="-13"/>
        </w:rPr>
        <w:t xml:space="preserve"> </w:t>
      </w:r>
      <w:r>
        <w:t>percentage</w:t>
      </w:r>
      <w:r>
        <w:rPr>
          <w:spacing w:val="-12"/>
        </w:rPr>
        <w:t xml:space="preserve"> </w:t>
      </w:r>
      <w:r>
        <w:t>of</w:t>
      </w:r>
      <w:r>
        <w:rPr>
          <w:spacing w:val="-13"/>
        </w:rPr>
        <w:t xml:space="preserve"> </w:t>
      </w:r>
      <w:r>
        <w:t>fixed</w:t>
      </w:r>
      <w:r>
        <w:rPr>
          <w:spacing w:val="-12"/>
        </w:rPr>
        <w:t xml:space="preserve"> </w:t>
      </w:r>
      <w:r>
        <w:t>charges</w:t>
      </w:r>
      <w:r>
        <w:rPr>
          <w:spacing w:val="-12"/>
        </w:rPr>
        <w:t xml:space="preserve"> </w:t>
      </w:r>
      <w:r>
        <w:t>would</w:t>
      </w:r>
      <w:r>
        <w:rPr>
          <w:spacing w:val="-13"/>
        </w:rPr>
        <w:t xml:space="preserve"> </w:t>
      </w:r>
      <w:r>
        <w:t>provide</w:t>
      </w:r>
      <w:r>
        <w:rPr>
          <w:spacing w:val="-12"/>
        </w:rPr>
        <w:t xml:space="preserve"> </w:t>
      </w:r>
      <w:r>
        <w:t>low‐income households with little ability to influence the size of the bill by economising on water use. On the other hand, some element of fixed charge is appropriate given that over the medium to long term, many of the costs of water supply (and particularly sewerage) are invariant to the amount of water supplied.</w:t>
      </w:r>
    </w:p>
    <w:p w14:paraId="003BE3A5" w14:textId="77777777" w:rsidR="00141B97" w:rsidRDefault="00141B97">
      <w:pPr>
        <w:pStyle w:val="BodyText"/>
      </w:pPr>
    </w:p>
    <w:p w14:paraId="1498DBBA" w14:textId="77777777" w:rsidR="00141B97" w:rsidRDefault="00911D63">
      <w:pPr>
        <w:pStyle w:val="BodyText"/>
        <w:ind w:left="113" w:right="812" w:hanging="1"/>
      </w:pPr>
      <w:r>
        <w:t>LMW</w:t>
      </w:r>
      <w:r>
        <w:rPr>
          <w:spacing w:val="-7"/>
        </w:rPr>
        <w:t xml:space="preserve"> </w:t>
      </w:r>
      <w:r>
        <w:t>proposes</w:t>
      </w:r>
      <w:r>
        <w:rPr>
          <w:spacing w:val="-6"/>
        </w:rPr>
        <w:t xml:space="preserve"> </w:t>
      </w:r>
      <w:r>
        <w:t>to</w:t>
      </w:r>
      <w:r>
        <w:rPr>
          <w:spacing w:val="-7"/>
        </w:rPr>
        <w:t xml:space="preserve"> </w:t>
      </w:r>
      <w:r>
        <w:t>smooth</w:t>
      </w:r>
      <w:r>
        <w:rPr>
          <w:spacing w:val="-5"/>
        </w:rPr>
        <w:t xml:space="preserve"> </w:t>
      </w:r>
      <w:r>
        <w:t>the</w:t>
      </w:r>
      <w:r>
        <w:rPr>
          <w:spacing w:val="-6"/>
        </w:rPr>
        <w:t xml:space="preserve"> </w:t>
      </w:r>
      <w:r>
        <w:t>price</w:t>
      </w:r>
      <w:r>
        <w:rPr>
          <w:spacing w:val="-6"/>
        </w:rPr>
        <w:t xml:space="preserve"> </w:t>
      </w:r>
      <w:r>
        <w:t>path</w:t>
      </w:r>
      <w:r>
        <w:rPr>
          <w:spacing w:val="-7"/>
        </w:rPr>
        <w:t xml:space="preserve"> </w:t>
      </w:r>
      <w:r>
        <w:t>for</w:t>
      </w:r>
      <w:r>
        <w:rPr>
          <w:spacing w:val="-6"/>
        </w:rPr>
        <w:t xml:space="preserve"> </w:t>
      </w:r>
      <w:r>
        <w:t>its</w:t>
      </w:r>
      <w:r>
        <w:rPr>
          <w:spacing w:val="-5"/>
        </w:rPr>
        <w:t xml:space="preserve"> </w:t>
      </w:r>
      <w:r>
        <w:t>customers</w:t>
      </w:r>
      <w:r>
        <w:rPr>
          <w:spacing w:val="-6"/>
        </w:rPr>
        <w:t xml:space="preserve"> </w:t>
      </w:r>
      <w:r>
        <w:t>to</w:t>
      </w:r>
      <w:r>
        <w:rPr>
          <w:spacing w:val="-6"/>
        </w:rPr>
        <w:t xml:space="preserve"> </w:t>
      </w:r>
      <w:r>
        <w:t>ensure</w:t>
      </w:r>
      <w:r>
        <w:rPr>
          <w:spacing w:val="-7"/>
        </w:rPr>
        <w:t xml:space="preserve"> </w:t>
      </w:r>
      <w:r>
        <w:t>consistent</w:t>
      </w:r>
      <w:r>
        <w:rPr>
          <w:spacing w:val="-6"/>
        </w:rPr>
        <w:t xml:space="preserve"> </w:t>
      </w:r>
      <w:r>
        <w:t>price</w:t>
      </w:r>
      <w:r>
        <w:rPr>
          <w:spacing w:val="-6"/>
        </w:rPr>
        <w:t xml:space="preserve"> </w:t>
      </w:r>
      <w:r>
        <w:t>changes</w:t>
      </w:r>
      <w:r>
        <w:rPr>
          <w:spacing w:val="-5"/>
        </w:rPr>
        <w:t xml:space="preserve"> </w:t>
      </w:r>
      <w:r>
        <w:t>in</w:t>
      </w:r>
      <w:r>
        <w:rPr>
          <w:spacing w:val="-7"/>
        </w:rPr>
        <w:t xml:space="preserve"> </w:t>
      </w:r>
      <w:r>
        <w:t>real</w:t>
      </w:r>
      <w:r>
        <w:rPr>
          <w:spacing w:val="-6"/>
        </w:rPr>
        <w:t xml:space="preserve"> </w:t>
      </w:r>
      <w:r>
        <w:t>terms</w:t>
      </w:r>
      <w:r>
        <w:rPr>
          <w:spacing w:val="-7"/>
        </w:rPr>
        <w:t xml:space="preserve"> </w:t>
      </w:r>
      <w:r>
        <w:t>over the 5‐year period.</w:t>
      </w:r>
    </w:p>
    <w:p w14:paraId="47323D8C" w14:textId="77777777" w:rsidR="00141B97" w:rsidRDefault="00141B97">
      <w:pPr>
        <w:sectPr w:rsidR="00141B97">
          <w:pgSz w:w="11910" w:h="16840"/>
          <w:pgMar w:top="860" w:right="40" w:bottom="760" w:left="1020" w:header="0" w:footer="580" w:gutter="0"/>
          <w:cols w:space="720"/>
        </w:sectPr>
      </w:pPr>
    </w:p>
    <w:p w14:paraId="6D6FF6EF" w14:textId="77777777" w:rsidR="00141B97" w:rsidRDefault="00911D63">
      <w:pPr>
        <w:pStyle w:val="ListParagraph"/>
        <w:numPr>
          <w:ilvl w:val="2"/>
          <w:numId w:val="81"/>
        </w:numPr>
        <w:tabs>
          <w:tab w:val="left" w:pos="1112"/>
          <w:tab w:val="left" w:pos="1113"/>
        </w:tabs>
        <w:spacing w:before="43"/>
        <w:jc w:val="both"/>
      </w:pPr>
      <w:r>
        <w:lastRenderedPageBreak/>
        <w:t>Tariff</w:t>
      </w:r>
      <w:r>
        <w:rPr>
          <w:spacing w:val="-5"/>
        </w:rPr>
        <w:t xml:space="preserve"> </w:t>
      </w:r>
      <w:r>
        <w:rPr>
          <w:spacing w:val="-2"/>
        </w:rPr>
        <w:t>Structures</w:t>
      </w:r>
    </w:p>
    <w:p w14:paraId="7B612163" w14:textId="77777777" w:rsidR="00141B97" w:rsidRDefault="00141B97">
      <w:pPr>
        <w:pStyle w:val="BodyText"/>
        <w:spacing w:before="8"/>
        <w:rPr>
          <w:sz w:val="19"/>
        </w:rPr>
      </w:pPr>
    </w:p>
    <w:p w14:paraId="584AC8D3" w14:textId="77777777" w:rsidR="00141B97" w:rsidRDefault="00911D63">
      <w:pPr>
        <w:pStyle w:val="ListParagraph"/>
        <w:numPr>
          <w:ilvl w:val="3"/>
          <w:numId w:val="81"/>
        </w:numPr>
        <w:tabs>
          <w:tab w:val="left" w:pos="1107"/>
        </w:tabs>
        <w:jc w:val="both"/>
        <w:rPr>
          <w:i/>
          <w:sz w:val="20"/>
        </w:rPr>
      </w:pPr>
      <w:r>
        <w:rPr>
          <w:i/>
          <w:sz w:val="20"/>
        </w:rPr>
        <w:t>Water</w:t>
      </w:r>
      <w:r>
        <w:rPr>
          <w:i/>
          <w:spacing w:val="-5"/>
          <w:sz w:val="20"/>
        </w:rPr>
        <w:t xml:space="preserve"> </w:t>
      </w:r>
      <w:r>
        <w:rPr>
          <w:i/>
          <w:sz w:val="20"/>
        </w:rPr>
        <w:t>Service</w:t>
      </w:r>
      <w:r>
        <w:rPr>
          <w:i/>
          <w:spacing w:val="-4"/>
          <w:sz w:val="20"/>
        </w:rPr>
        <w:t xml:space="preserve"> </w:t>
      </w:r>
      <w:r>
        <w:rPr>
          <w:i/>
          <w:sz w:val="20"/>
        </w:rPr>
        <w:t>Charges</w:t>
      </w:r>
      <w:r>
        <w:rPr>
          <w:i/>
          <w:spacing w:val="-4"/>
          <w:sz w:val="20"/>
        </w:rPr>
        <w:t xml:space="preserve"> </w:t>
      </w:r>
      <w:r>
        <w:rPr>
          <w:i/>
          <w:sz w:val="20"/>
        </w:rPr>
        <w:t>(Residential</w:t>
      </w:r>
      <w:r>
        <w:rPr>
          <w:i/>
          <w:spacing w:val="-6"/>
          <w:sz w:val="20"/>
        </w:rPr>
        <w:t xml:space="preserve"> </w:t>
      </w:r>
      <w:r>
        <w:rPr>
          <w:i/>
          <w:sz w:val="20"/>
        </w:rPr>
        <w:t>and</w:t>
      </w:r>
      <w:r>
        <w:rPr>
          <w:i/>
          <w:spacing w:val="-4"/>
          <w:sz w:val="20"/>
        </w:rPr>
        <w:t xml:space="preserve"> </w:t>
      </w:r>
      <w:r>
        <w:rPr>
          <w:i/>
          <w:spacing w:val="-2"/>
          <w:sz w:val="20"/>
        </w:rPr>
        <w:t>Non‐Residential)</w:t>
      </w:r>
    </w:p>
    <w:p w14:paraId="48073C37" w14:textId="77777777" w:rsidR="00141B97" w:rsidRDefault="00911D63">
      <w:pPr>
        <w:pStyle w:val="BodyText"/>
        <w:spacing w:before="60"/>
        <w:ind w:left="113" w:right="949"/>
        <w:jc w:val="both"/>
      </w:pPr>
      <w:r>
        <w:t>Water</w:t>
      </w:r>
      <w:r>
        <w:rPr>
          <w:spacing w:val="-9"/>
        </w:rPr>
        <w:t xml:space="preserve"> </w:t>
      </w:r>
      <w:r>
        <w:t>services</w:t>
      </w:r>
      <w:r>
        <w:rPr>
          <w:spacing w:val="-10"/>
        </w:rPr>
        <w:t xml:space="preserve"> </w:t>
      </w:r>
      <w:r>
        <w:t>are</w:t>
      </w:r>
      <w:r>
        <w:rPr>
          <w:spacing w:val="-10"/>
        </w:rPr>
        <w:t xml:space="preserve"> </w:t>
      </w:r>
      <w:r>
        <w:t>proposed</w:t>
      </w:r>
      <w:r>
        <w:rPr>
          <w:spacing w:val="-10"/>
        </w:rPr>
        <w:t xml:space="preserve"> </w:t>
      </w:r>
      <w:r>
        <w:t>to</w:t>
      </w:r>
      <w:r>
        <w:rPr>
          <w:spacing w:val="-10"/>
        </w:rPr>
        <w:t xml:space="preserve"> </w:t>
      </w:r>
      <w:r>
        <w:t>be</w:t>
      </w:r>
      <w:r>
        <w:rPr>
          <w:spacing w:val="-10"/>
        </w:rPr>
        <w:t xml:space="preserve"> </w:t>
      </w:r>
      <w:r>
        <w:t>levied</w:t>
      </w:r>
      <w:r>
        <w:rPr>
          <w:spacing w:val="-8"/>
        </w:rPr>
        <w:t xml:space="preserve"> </w:t>
      </w:r>
      <w:r>
        <w:t>a</w:t>
      </w:r>
      <w:r>
        <w:rPr>
          <w:spacing w:val="-10"/>
        </w:rPr>
        <w:t xml:space="preserve"> </w:t>
      </w:r>
      <w:r>
        <w:t>service</w:t>
      </w:r>
      <w:r>
        <w:rPr>
          <w:spacing w:val="-10"/>
        </w:rPr>
        <w:t xml:space="preserve"> </w:t>
      </w:r>
      <w:r>
        <w:t>charge</w:t>
      </w:r>
      <w:r>
        <w:rPr>
          <w:spacing w:val="-9"/>
        </w:rPr>
        <w:t xml:space="preserve"> </w:t>
      </w:r>
      <w:r>
        <w:t>based</w:t>
      </w:r>
      <w:r>
        <w:rPr>
          <w:spacing w:val="-10"/>
        </w:rPr>
        <w:t xml:space="preserve"> </w:t>
      </w:r>
      <w:r>
        <w:t>on</w:t>
      </w:r>
      <w:r>
        <w:rPr>
          <w:spacing w:val="-9"/>
        </w:rPr>
        <w:t xml:space="preserve"> </w:t>
      </w:r>
      <w:r>
        <w:t>the</w:t>
      </w:r>
      <w:r>
        <w:rPr>
          <w:spacing w:val="-10"/>
        </w:rPr>
        <w:t xml:space="preserve"> </w:t>
      </w:r>
      <w:r>
        <w:t>size</w:t>
      </w:r>
      <w:r>
        <w:rPr>
          <w:spacing w:val="-10"/>
        </w:rPr>
        <w:t xml:space="preserve"> </w:t>
      </w:r>
      <w:r>
        <w:t>of</w:t>
      </w:r>
      <w:r>
        <w:rPr>
          <w:spacing w:val="-9"/>
        </w:rPr>
        <w:t xml:space="preserve"> </w:t>
      </w:r>
      <w:r>
        <w:t>the</w:t>
      </w:r>
      <w:r>
        <w:rPr>
          <w:spacing w:val="-9"/>
        </w:rPr>
        <w:t xml:space="preserve"> </w:t>
      </w:r>
      <w:r>
        <w:t>connection.</w:t>
      </w:r>
      <w:r>
        <w:rPr>
          <w:spacing w:val="-8"/>
        </w:rPr>
        <w:t xml:space="preserve"> </w:t>
      </w:r>
      <w:r>
        <w:t>The</w:t>
      </w:r>
      <w:r>
        <w:rPr>
          <w:spacing w:val="-9"/>
        </w:rPr>
        <w:t xml:space="preserve"> </w:t>
      </w:r>
      <w:r>
        <w:t>vast</w:t>
      </w:r>
      <w:r>
        <w:rPr>
          <w:spacing w:val="-9"/>
        </w:rPr>
        <w:t xml:space="preserve"> </w:t>
      </w:r>
      <w:r>
        <w:t>majority of property connections are 20mm, and the service charges listed in Table B34 below (Section 5.3.3) are for a 20mm connection.</w:t>
      </w:r>
    </w:p>
    <w:p w14:paraId="589DE398" w14:textId="77777777" w:rsidR="00141B97" w:rsidRDefault="00141B97">
      <w:pPr>
        <w:pStyle w:val="BodyText"/>
        <w:spacing w:before="12"/>
        <w:rPr>
          <w:sz w:val="21"/>
        </w:rPr>
      </w:pPr>
    </w:p>
    <w:p w14:paraId="3C312159" w14:textId="77777777" w:rsidR="00141B97" w:rsidRDefault="00911D63">
      <w:pPr>
        <w:pStyle w:val="BodyText"/>
        <w:ind w:left="113" w:right="948"/>
        <w:jc w:val="both"/>
      </w:pPr>
      <w:r>
        <w:t>The</w:t>
      </w:r>
      <w:r>
        <w:rPr>
          <w:spacing w:val="-1"/>
        </w:rPr>
        <w:t xml:space="preserve"> </w:t>
      </w:r>
      <w:r>
        <w:t>size</w:t>
      </w:r>
      <w:r>
        <w:rPr>
          <w:spacing w:val="-1"/>
        </w:rPr>
        <w:t xml:space="preserve"> </w:t>
      </w:r>
      <w:r>
        <w:t>of the</w:t>
      </w:r>
      <w:r>
        <w:rPr>
          <w:spacing w:val="-1"/>
        </w:rPr>
        <w:t xml:space="preserve"> </w:t>
      </w:r>
      <w:r>
        <w:t>water</w:t>
      </w:r>
      <w:r>
        <w:rPr>
          <w:spacing w:val="-1"/>
        </w:rPr>
        <w:t xml:space="preserve"> </w:t>
      </w:r>
      <w:r>
        <w:t>service</w:t>
      </w:r>
      <w:r>
        <w:rPr>
          <w:spacing w:val="-1"/>
        </w:rPr>
        <w:t xml:space="preserve"> </w:t>
      </w:r>
      <w:r>
        <w:t>charge increases for domestic and non‐residential</w:t>
      </w:r>
      <w:r>
        <w:rPr>
          <w:spacing w:val="-1"/>
        </w:rPr>
        <w:t xml:space="preserve"> </w:t>
      </w:r>
      <w:r>
        <w:t>properties</w:t>
      </w:r>
      <w:r>
        <w:rPr>
          <w:spacing w:val="-1"/>
        </w:rPr>
        <w:t xml:space="preserve"> </w:t>
      </w:r>
      <w:r>
        <w:t>in proportion</w:t>
      </w:r>
      <w:r>
        <w:rPr>
          <w:spacing w:val="-1"/>
        </w:rPr>
        <w:t xml:space="preserve"> </w:t>
      </w:r>
      <w:r>
        <w:t>to</w:t>
      </w:r>
      <w:r>
        <w:rPr>
          <w:spacing w:val="-1"/>
        </w:rPr>
        <w:t xml:space="preserve"> </w:t>
      </w:r>
      <w:r>
        <w:t>the size</w:t>
      </w:r>
      <w:r>
        <w:rPr>
          <w:spacing w:val="-3"/>
        </w:rPr>
        <w:t xml:space="preserve"> </w:t>
      </w:r>
      <w:r>
        <w:t>of</w:t>
      </w:r>
      <w:r>
        <w:rPr>
          <w:spacing w:val="-3"/>
        </w:rPr>
        <w:t xml:space="preserve"> </w:t>
      </w:r>
      <w:r>
        <w:t>the</w:t>
      </w:r>
      <w:r>
        <w:rPr>
          <w:spacing w:val="-3"/>
        </w:rPr>
        <w:t xml:space="preserve"> </w:t>
      </w:r>
      <w:r>
        <w:t>connection</w:t>
      </w:r>
      <w:r>
        <w:rPr>
          <w:spacing w:val="-2"/>
        </w:rPr>
        <w:t xml:space="preserve"> </w:t>
      </w:r>
      <w:r>
        <w:t>as</w:t>
      </w:r>
      <w:r>
        <w:rPr>
          <w:spacing w:val="-2"/>
        </w:rPr>
        <w:t xml:space="preserve"> </w:t>
      </w:r>
      <w:r>
        <w:t>listed</w:t>
      </w:r>
      <w:r>
        <w:rPr>
          <w:spacing w:val="-2"/>
        </w:rPr>
        <w:t xml:space="preserve"> </w:t>
      </w:r>
      <w:r>
        <w:t>in</w:t>
      </w:r>
      <w:r>
        <w:rPr>
          <w:spacing w:val="-3"/>
        </w:rPr>
        <w:t xml:space="preserve"> </w:t>
      </w:r>
      <w:r>
        <w:t>Table</w:t>
      </w:r>
      <w:r>
        <w:rPr>
          <w:spacing w:val="-2"/>
        </w:rPr>
        <w:t xml:space="preserve"> </w:t>
      </w:r>
      <w:r>
        <w:t>B35</w:t>
      </w:r>
      <w:r>
        <w:rPr>
          <w:spacing w:val="-3"/>
        </w:rPr>
        <w:t xml:space="preserve"> </w:t>
      </w:r>
      <w:r>
        <w:t>(Part</w:t>
      </w:r>
      <w:r>
        <w:rPr>
          <w:spacing w:val="-3"/>
        </w:rPr>
        <w:t xml:space="preserve"> </w:t>
      </w:r>
      <w:r>
        <w:t>B,</w:t>
      </w:r>
      <w:r>
        <w:rPr>
          <w:spacing w:val="-2"/>
        </w:rPr>
        <w:t xml:space="preserve"> </w:t>
      </w:r>
      <w:r>
        <w:t>Section</w:t>
      </w:r>
      <w:r>
        <w:rPr>
          <w:spacing w:val="-3"/>
        </w:rPr>
        <w:t xml:space="preserve"> </w:t>
      </w:r>
      <w:r>
        <w:t>5.3.3).</w:t>
      </w:r>
      <w:r>
        <w:rPr>
          <w:spacing w:val="-2"/>
        </w:rPr>
        <w:t xml:space="preserve"> </w:t>
      </w:r>
      <w:r>
        <w:t>The</w:t>
      </w:r>
      <w:r>
        <w:rPr>
          <w:spacing w:val="-3"/>
        </w:rPr>
        <w:t xml:space="preserve"> </w:t>
      </w:r>
      <w:r>
        <w:t>structure</w:t>
      </w:r>
      <w:r>
        <w:rPr>
          <w:spacing w:val="-3"/>
        </w:rPr>
        <w:t xml:space="preserve"> </w:t>
      </w:r>
      <w:r>
        <w:t>of</w:t>
      </w:r>
      <w:r>
        <w:rPr>
          <w:spacing w:val="-3"/>
        </w:rPr>
        <w:t xml:space="preserve"> </w:t>
      </w:r>
      <w:r>
        <w:t>the</w:t>
      </w:r>
      <w:r>
        <w:rPr>
          <w:spacing w:val="-3"/>
        </w:rPr>
        <w:t xml:space="preserve"> </w:t>
      </w:r>
      <w:r>
        <w:t>service</w:t>
      </w:r>
      <w:r>
        <w:rPr>
          <w:spacing w:val="-4"/>
        </w:rPr>
        <w:t xml:space="preserve"> </w:t>
      </w:r>
      <w:r>
        <w:t>charges</w:t>
      </w:r>
      <w:r>
        <w:rPr>
          <w:spacing w:val="-1"/>
        </w:rPr>
        <w:t xml:space="preserve"> </w:t>
      </w:r>
      <w:r>
        <w:t xml:space="preserve">reflects the maximum flow rates (and hence potential peak volumes supplied) associated with each diameter of pipe </w:t>
      </w:r>
      <w:r>
        <w:rPr>
          <w:spacing w:val="-2"/>
        </w:rPr>
        <w:t>connection.</w:t>
      </w:r>
    </w:p>
    <w:p w14:paraId="43D93916" w14:textId="77777777" w:rsidR="00141B97" w:rsidRDefault="00141B97">
      <w:pPr>
        <w:pStyle w:val="BodyText"/>
      </w:pPr>
    </w:p>
    <w:p w14:paraId="7F6FCE17" w14:textId="77777777" w:rsidR="00141B97" w:rsidRDefault="00911D63">
      <w:pPr>
        <w:pStyle w:val="BodyText"/>
        <w:ind w:left="113"/>
        <w:jc w:val="both"/>
      </w:pPr>
      <w:r>
        <w:t>The</w:t>
      </w:r>
      <w:r>
        <w:rPr>
          <w:spacing w:val="-7"/>
        </w:rPr>
        <w:t xml:space="preserve"> </w:t>
      </w:r>
      <w:r>
        <w:t>water</w:t>
      </w:r>
      <w:r>
        <w:rPr>
          <w:spacing w:val="-5"/>
        </w:rPr>
        <w:t xml:space="preserve"> </w:t>
      </w:r>
      <w:r>
        <w:t>service</w:t>
      </w:r>
      <w:r>
        <w:rPr>
          <w:spacing w:val="-7"/>
        </w:rPr>
        <w:t xml:space="preserve"> </w:t>
      </w:r>
      <w:r>
        <w:t>charge</w:t>
      </w:r>
      <w:r>
        <w:rPr>
          <w:spacing w:val="-5"/>
        </w:rPr>
        <w:t xml:space="preserve"> </w:t>
      </w:r>
      <w:r>
        <w:t>is</w:t>
      </w:r>
      <w:r>
        <w:rPr>
          <w:spacing w:val="-5"/>
        </w:rPr>
        <w:t xml:space="preserve"> </w:t>
      </w:r>
      <w:r>
        <w:t>billed</w:t>
      </w:r>
      <w:r>
        <w:rPr>
          <w:spacing w:val="-5"/>
        </w:rPr>
        <w:t xml:space="preserve"> </w:t>
      </w:r>
      <w:r>
        <w:t>quarterly</w:t>
      </w:r>
      <w:r>
        <w:rPr>
          <w:spacing w:val="-6"/>
        </w:rPr>
        <w:t xml:space="preserve"> </w:t>
      </w:r>
      <w:r>
        <w:t>in</w:t>
      </w:r>
      <w:r>
        <w:rPr>
          <w:spacing w:val="-6"/>
        </w:rPr>
        <w:t xml:space="preserve"> </w:t>
      </w:r>
      <w:r>
        <w:rPr>
          <w:spacing w:val="-2"/>
        </w:rPr>
        <w:t>advance.</w:t>
      </w:r>
    </w:p>
    <w:p w14:paraId="7F424508" w14:textId="77777777" w:rsidR="00141B97" w:rsidRDefault="00141B97">
      <w:pPr>
        <w:pStyle w:val="BodyText"/>
        <w:spacing w:before="8"/>
        <w:rPr>
          <w:sz w:val="19"/>
        </w:rPr>
      </w:pPr>
    </w:p>
    <w:p w14:paraId="2C5F4DB3" w14:textId="77777777" w:rsidR="00141B97" w:rsidRDefault="00911D63">
      <w:pPr>
        <w:pStyle w:val="ListParagraph"/>
        <w:numPr>
          <w:ilvl w:val="3"/>
          <w:numId w:val="81"/>
        </w:numPr>
        <w:tabs>
          <w:tab w:val="left" w:pos="1107"/>
        </w:tabs>
        <w:jc w:val="both"/>
        <w:rPr>
          <w:i/>
        </w:rPr>
      </w:pPr>
      <w:r>
        <w:rPr>
          <w:i/>
        </w:rPr>
        <w:t>Sewerage</w:t>
      </w:r>
      <w:r>
        <w:rPr>
          <w:i/>
          <w:spacing w:val="-9"/>
        </w:rPr>
        <w:t xml:space="preserve"> </w:t>
      </w:r>
      <w:r>
        <w:rPr>
          <w:i/>
        </w:rPr>
        <w:t>Service</w:t>
      </w:r>
      <w:r>
        <w:rPr>
          <w:i/>
          <w:spacing w:val="-8"/>
        </w:rPr>
        <w:t xml:space="preserve"> </w:t>
      </w:r>
      <w:r>
        <w:rPr>
          <w:i/>
        </w:rPr>
        <w:t>Charges</w:t>
      </w:r>
      <w:r>
        <w:rPr>
          <w:i/>
          <w:spacing w:val="-8"/>
        </w:rPr>
        <w:t xml:space="preserve"> </w:t>
      </w:r>
      <w:r>
        <w:rPr>
          <w:i/>
        </w:rPr>
        <w:t>(Residential</w:t>
      </w:r>
      <w:r>
        <w:rPr>
          <w:i/>
          <w:spacing w:val="-8"/>
        </w:rPr>
        <w:t xml:space="preserve"> </w:t>
      </w:r>
      <w:r>
        <w:rPr>
          <w:i/>
        </w:rPr>
        <w:t>and</w:t>
      </w:r>
      <w:r>
        <w:rPr>
          <w:i/>
          <w:spacing w:val="-8"/>
        </w:rPr>
        <w:t xml:space="preserve"> </w:t>
      </w:r>
      <w:r>
        <w:rPr>
          <w:i/>
          <w:spacing w:val="-2"/>
        </w:rPr>
        <w:t>Non‐Residential)</w:t>
      </w:r>
    </w:p>
    <w:p w14:paraId="5F34A75D" w14:textId="77777777" w:rsidR="00141B97" w:rsidRDefault="00911D63">
      <w:pPr>
        <w:pStyle w:val="BodyText"/>
        <w:spacing w:before="59"/>
        <w:ind w:left="113" w:right="949"/>
        <w:jc w:val="both"/>
      </w:pPr>
      <w:r>
        <w:t>A</w:t>
      </w:r>
      <w:r>
        <w:rPr>
          <w:spacing w:val="-9"/>
        </w:rPr>
        <w:t xml:space="preserve"> </w:t>
      </w:r>
      <w:r>
        <w:t>fixed</w:t>
      </w:r>
      <w:r>
        <w:rPr>
          <w:spacing w:val="-9"/>
        </w:rPr>
        <w:t xml:space="preserve"> </w:t>
      </w:r>
      <w:r>
        <w:t>sewerage</w:t>
      </w:r>
      <w:r>
        <w:rPr>
          <w:spacing w:val="-9"/>
        </w:rPr>
        <w:t xml:space="preserve"> </w:t>
      </w:r>
      <w:r>
        <w:t>charge</w:t>
      </w:r>
      <w:r>
        <w:rPr>
          <w:spacing w:val="-8"/>
        </w:rPr>
        <w:t xml:space="preserve"> </w:t>
      </w:r>
      <w:r>
        <w:t>is</w:t>
      </w:r>
      <w:r>
        <w:rPr>
          <w:spacing w:val="-8"/>
        </w:rPr>
        <w:t xml:space="preserve"> </w:t>
      </w:r>
      <w:r>
        <w:t>proposed,</w:t>
      </w:r>
      <w:r>
        <w:rPr>
          <w:spacing w:val="-9"/>
        </w:rPr>
        <w:t xml:space="preserve"> </w:t>
      </w:r>
      <w:r>
        <w:t>with</w:t>
      </w:r>
      <w:r>
        <w:rPr>
          <w:spacing w:val="-9"/>
        </w:rPr>
        <w:t xml:space="preserve"> </w:t>
      </w:r>
      <w:r>
        <w:t>no</w:t>
      </w:r>
      <w:r>
        <w:rPr>
          <w:spacing w:val="-10"/>
        </w:rPr>
        <w:t xml:space="preserve"> </w:t>
      </w:r>
      <w:r>
        <w:t>volumetric</w:t>
      </w:r>
      <w:r>
        <w:rPr>
          <w:spacing w:val="-9"/>
        </w:rPr>
        <w:t xml:space="preserve"> </w:t>
      </w:r>
      <w:r>
        <w:t>component,</w:t>
      </w:r>
      <w:r>
        <w:rPr>
          <w:spacing w:val="-9"/>
        </w:rPr>
        <w:t xml:space="preserve"> </w:t>
      </w:r>
      <w:r>
        <w:t>reflecting</w:t>
      </w:r>
      <w:r>
        <w:rPr>
          <w:spacing w:val="-8"/>
        </w:rPr>
        <w:t xml:space="preserve"> </w:t>
      </w:r>
      <w:r>
        <w:t>the</w:t>
      </w:r>
      <w:r>
        <w:rPr>
          <w:spacing w:val="-9"/>
        </w:rPr>
        <w:t xml:space="preserve"> </w:t>
      </w:r>
      <w:r>
        <w:t>high</w:t>
      </w:r>
      <w:r>
        <w:rPr>
          <w:spacing w:val="-9"/>
        </w:rPr>
        <w:t xml:space="preserve"> </w:t>
      </w:r>
      <w:r>
        <w:t>fixed</w:t>
      </w:r>
      <w:r>
        <w:rPr>
          <w:spacing w:val="-7"/>
        </w:rPr>
        <w:t xml:space="preserve"> </w:t>
      </w:r>
      <w:r>
        <w:t>costs</w:t>
      </w:r>
      <w:r>
        <w:rPr>
          <w:spacing w:val="-7"/>
        </w:rPr>
        <w:t xml:space="preserve"> </w:t>
      </w:r>
      <w:r>
        <w:t>of</w:t>
      </w:r>
      <w:r>
        <w:rPr>
          <w:spacing w:val="-7"/>
        </w:rPr>
        <w:t xml:space="preserve"> </w:t>
      </w:r>
      <w:r>
        <w:t>providing sewerage services. Although the cost of pumping and treatment will vary with volume, sewage volumes are more related to infiltration rather than customer usage.</w:t>
      </w:r>
    </w:p>
    <w:p w14:paraId="020584BD" w14:textId="77777777" w:rsidR="00141B97" w:rsidRDefault="00141B97">
      <w:pPr>
        <w:pStyle w:val="BodyText"/>
        <w:spacing w:before="1"/>
      </w:pPr>
    </w:p>
    <w:p w14:paraId="28C1F3FE" w14:textId="77777777" w:rsidR="00141B97" w:rsidRDefault="00911D63">
      <w:pPr>
        <w:pStyle w:val="BodyText"/>
        <w:ind w:left="113" w:right="947" w:hanging="1"/>
        <w:jc w:val="both"/>
      </w:pPr>
      <w:r>
        <w:t>Likewise,</w:t>
      </w:r>
      <w:r>
        <w:rPr>
          <w:spacing w:val="-6"/>
        </w:rPr>
        <w:t xml:space="preserve"> </w:t>
      </w:r>
      <w:r>
        <w:t>the</w:t>
      </w:r>
      <w:r>
        <w:rPr>
          <w:spacing w:val="-6"/>
        </w:rPr>
        <w:t xml:space="preserve"> </w:t>
      </w:r>
      <w:r>
        <w:t>sewerage</w:t>
      </w:r>
      <w:r>
        <w:rPr>
          <w:spacing w:val="-6"/>
        </w:rPr>
        <w:t xml:space="preserve"> </w:t>
      </w:r>
      <w:r>
        <w:t>service</w:t>
      </w:r>
      <w:r>
        <w:rPr>
          <w:spacing w:val="-8"/>
        </w:rPr>
        <w:t xml:space="preserve"> </w:t>
      </w:r>
      <w:r>
        <w:t>charges</w:t>
      </w:r>
      <w:r>
        <w:rPr>
          <w:spacing w:val="-5"/>
        </w:rPr>
        <w:t xml:space="preserve"> </w:t>
      </w:r>
      <w:r>
        <w:t>listed</w:t>
      </w:r>
      <w:r>
        <w:rPr>
          <w:spacing w:val="-5"/>
        </w:rPr>
        <w:t xml:space="preserve"> </w:t>
      </w:r>
      <w:r>
        <w:t>in</w:t>
      </w:r>
      <w:r>
        <w:rPr>
          <w:spacing w:val="-7"/>
        </w:rPr>
        <w:t xml:space="preserve"> </w:t>
      </w:r>
      <w:r>
        <w:t>Table</w:t>
      </w:r>
      <w:r>
        <w:rPr>
          <w:spacing w:val="-6"/>
        </w:rPr>
        <w:t xml:space="preserve"> </w:t>
      </w:r>
      <w:r>
        <w:t>B34</w:t>
      </w:r>
      <w:r>
        <w:rPr>
          <w:spacing w:val="-6"/>
        </w:rPr>
        <w:t xml:space="preserve"> </w:t>
      </w:r>
      <w:r>
        <w:t>below</w:t>
      </w:r>
      <w:r>
        <w:rPr>
          <w:spacing w:val="-6"/>
        </w:rPr>
        <w:t xml:space="preserve"> </w:t>
      </w:r>
      <w:r>
        <w:t>(Section</w:t>
      </w:r>
      <w:r>
        <w:rPr>
          <w:spacing w:val="-7"/>
        </w:rPr>
        <w:t xml:space="preserve"> </w:t>
      </w:r>
      <w:r>
        <w:t>5.3.3)</w:t>
      </w:r>
      <w:r>
        <w:rPr>
          <w:spacing w:val="-7"/>
        </w:rPr>
        <w:t xml:space="preserve"> </w:t>
      </w:r>
      <w:r>
        <w:t>refers</w:t>
      </w:r>
      <w:r>
        <w:rPr>
          <w:spacing w:val="-5"/>
        </w:rPr>
        <w:t xml:space="preserve"> </w:t>
      </w:r>
      <w:r>
        <w:t>to</w:t>
      </w:r>
      <w:r>
        <w:rPr>
          <w:spacing w:val="-6"/>
        </w:rPr>
        <w:t xml:space="preserve"> </w:t>
      </w:r>
      <w:r>
        <w:t>the</w:t>
      </w:r>
      <w:r>
        <w:rPr>
          <w:spacing w:val="-7"/>
        </w:rPr>
        <w:t xml:space="preserve"> </w:t>
      </w:r>
      <w:r>
        <w:t>‘base</w:t>
      </w:r>
      <w:r>
        <w:rPr>
          <w:spacing w:val="-7"/>
        </w:rPr>
        <w:t xml:space="preserve"> </w:t>
      </w:r>
      <w:r>
        <w:t>charge’.</w:t>
      </w:r>
      <w:r>
        <w:rPr>
          <w:spacing w:val="-5"/>
        </w:rPr>
        <w:t xml:space="preserve"> </w:t>
      </w:r>
      <w:r>
        <w:t>This base charge is subject to specific formulae to derive the service charge applicable to particular property classifications (related to the potential discharge load of each property type). The quantities in the financial model templates have been converted into an ‘equivalent’ basis so that equivalent demand multiplied by the base charge equals actual revenue. The sewerage service charge is billed quarterly in advance.</w:t>
      </w:r>
    </w:p>
    <w:p w14:paraId="33BA2CFF" w14:textId="77777777" w:rsidR="00141B97" w:rsidRDefault="00141B97">
      <w:pPr>
        <w:pStyle w:val="BodyText"/>
        <w:spacing w:before="8"/>
        <w:rPr>
          <w:sz w:val="19"/>
        </w:rPr>
      </w:pPr>
    </w:p>
    <w:p w14:paraId="085CF554" w14:textId="77777777" w:rsidR="00141B97" w:rsidRDefault="00911D63">
      <w:pPr>
        <w:pStyle w:val="ListParagraph"/>
        <w:numPr>
          <w:ilvl w:val="3"/>
          <w:numId w:val="81"/>
        </w:numPr>
        <w:tabs>
          <w:tab w:val="left" w:pos="1107"/>
        </w:tabs>
        <w:jc w:val="both"/>
        <w:rPr>
          <w:i/>
        </w:rPr>
      </w:pPr>
      <w:r>
        <w:rPr>
          <w:i/>
        </w:rPr>
        <w:t>Water</w:t>
      </w:r>
      <w:r>
        <w:rPr>
          <w:i/>
          <w:spacing w:val="-10"/>
        </w:rPr>
        <w:t xml:space="preserve"> </w:t>
      </w:r>
      <w:r>
        <w:rPr>
          <w:i/>
        </w:rPr>
        <w:t>Volumetric</w:t>
      </w:r>
      <w:r>
        <w:rPr>
          <w:i/>
          <w:spacing w:val="-9"/>
        </w:rPr>
        <w:t xml:space="preserve"> </w:t>
      </w:r>
      <w:r>
        <w:rPr>
          <w:i/>
        </w:rPr>
        <w:t>Charges</w:t>
      </w:r>
      <w:r>
        <w:rPr>
          <w:i/>
          <w:spacing w:val="-10"/>
        </w:rPr>
        <w:t xml:space="preserve"> </w:t>
      </w:r>
      <w:r>
        <w:rPr>
          <w:i/>
          <w:spacing w:val="-2"/>
        </w:rPr>
        <w:t>(Residential)</w:t>
      </w:r>
    </w:p>
    <w:p w14:paraId="713C3DF3" w14:textId="77777777" w:rsidR="00141B97" w:rsidRDefault="00911D63">
      <w:pPr>
        <w:pStyle w:val="BodyText"/>
        <w:spacing w:before="59"/>
        <w:ind w:left="113"/>
        <w:jc w:val="both"/>
      </w:pPr>
      <w:r>
        <w:t>LMW</w:t>
      </w:r>
      <w:r>
        <w:rPr>
          <w:spacing w:val="-9"/>
        </w:rPr>
        <w:t xml:space="preserve"> </w:t>
      </w:r>
      <w:r>
        <w:t>proposes</w:t>
      </w:r>
      <w:r>
        <w:rPr>
          <w:spacing w:val="-8"/>
        </w:rPr>
        <w:t xml:space="preserve"> </w:t>
      </w:r>
      <w:r>
        <w:t>a</w:t>
      </w:r>
      <w:r>
        <w:rPr>
          <w:spacing w:val="-8"/>
        </w:rPr>
        <w:t xml:space="preserve"> </w:t>
      </w:r>
      <w:r>
        <w:t>three‐tier</w:t>
      </w:r>
      <w:r>
        <w:rPr>
          <w:spacing w:val="-10"/>
        </w:rPr>
        <w:t xml:space="preserve"> </w:t>
      </w:r>
      <w:r>
        <w:t>volumetric</w:t>
      </w:r>
      <w:r>
        <w:rPr>
          <w:spacing w:val="-8"/>
        </w:rPr>
        <w:t xml:space="preserve"> </w:t>
      </w:r>
      <w:r>
        <w:t>tariff</w:t>
      </w:r>
      <w:r>
        <w:rPr>
          <w:spacing w:val="-8"/>
        </w:rPr>
        <w:t xml:space="preserve"> </w:t>
      </w:r>
      <w:r>
        <w:t>structure</w:t>
      </w:r>
      <w:r>
        <w:rPr>
          <w:spacing w:val="-9"/>
        </w:rPr>
        <w:t xml:space="preserve"> </w:t>
      </w:r>
      <w:r>
        <w:t>for</w:t>
      </w:r>
      <w:r>
        <w:rPr>
          <w:spacing w:val="-8"/>
        </w:rPr>
        <w:t xml:space="preserve"> </w:t>
      </w:r>
      <w:r>
        <w:t>residential</w:t>
      </w:r>
      <w:r>
        <w:rPr>
          <w:spacing w:val="-10"/>
        </w:rPr>
        <w:t xml:space="preserve"> </w:t>
      </w:r>
      <w:r>
        <w:t>customers,</w:t>
      </w:r>
      <w:r>
        <w:rPr>
          <w:spacing w:val="-7"/>
        </w:rPr>
        <w:t xml:space="preserve"> </w:t>
      </w:r>
      <w:r>
        <w:t>as</w:t>
      </w:r>
      <w:r>
        <w:rPr>
          <w:spacing w:val="-8"/>
        </w:rPr>
        <w:t xml:space="preserve"> </w:t>
      </w:r>
      <w:r>
        <w:rPr>
          <w:spacing w:val="-2"/>
        </w:rPr>
        <w:t>follows:</w:t>
      </w:r>
    </w:p>
    <w:p w14:paraId="2F219A73" w14:textId="77777777" w:rsidR="00141B97" w:rsidRDefault="00911D63">
      <w:pPr>
        <w:pStyle w:val="ListParagraph"/>
        <w:numPr>
          <w:ilvl w:val="4"/>
          <w:numId w:val="81"/>
        </w:numPr>
        <w:tabs>
          <w:tab w:val="left" w:pos="833"/>
          <w:tab w:val="left" w:pos="834"/>
          <w:tab w:val="left" w:pos="1815"/>
        </w:tabs>
        <w:spacing w:before="1"/>
        <w:ind w:hanging="361"/>
      </w:pPr>
      <w:r>
        <w:t>Tier</w:t>
      </w:r>
      <w:r>
        <w:rPr>
          <w:spacing w:val="-6"/>
        </w:rPr>
        <w:t xml:space="preserve"> </w:t>
      </w:r>
      <w:r>
        <w:rPr>
          <w:spacing w:val="-10"/>
        </w:rPr>
        <w:t>1</w:t>
      </w:r>
      <w:r>
        <w:tab/>
        <w:t>0</w:t>
      </w:r>
      <w:r>
        <w:rPr>
          <w:spacing w:val="-5"/>
        </w:rPr>
        <w:t xml:space="preserve"> </w:t>
      </w:r>
      <w:r>
        <w:t>to</w:t>
      </w:r>
      <w:r>
        <w:rPr>
          <w:spacing w:val="-3"/>
        </w:rPr>
        <w:t xml:space="preserve"> </w:t>
      </w:r>
      <w:r>
        <w:t>300kL</w:t>
      </w:r>
      <w:r>
        <w:rPr>
          <w:spacing w:val="-4"/>
        </w:rPr>
        <w:t xml:space="preserve"> </w:t>
      </w:r>
      <w:r>
        <w:rPr>
          <w:spacing w:val="-2"/>
        </w:rPr>
        <w:t>consumption.</w:t>
      </w:r>
    </w:p>
    <w:p w14:paraId="372EFB54" w14:textId="77777777" w:rsidR="00141B97" w:rsidRDefault="00911D63">
      <w:pPr>
        <w:pStyle w:val="ListParagraph"/>
        <w:numPr>
          <w:ilvl w:val="4"/>
          <w:numId w:val="81"/>
        </w:numPr>
        <w:tabs>
          <w:tab w:val="left" w:pos="833"/>
          <w:tab w:val="left" w:pos="834"/>
          <w:tab w:val="left" w:pos="1815"/>
        </w:tabs>
        <w:spacing w:line="280" w:lineRule="exact"/>
        <w:ind w:hanging="361"/>
      </w:pPr>
      <w:r>
        <w:t>Tier</w:t>
      </w:r>
      <w:r>
        <w:rPr>
          <w:spacing w:val="-6"/>
        </w:rPr>
        <w:t xml:space="preserve"> </w:t>
      </w:r>
      <w:r>
        <w:rPr>
          <w:spacing w:val="-10"/>
        </w:rPr>
        <w:t>2</w:t>
      </w:r>
      <w:r>
        <w:tab/>
        <w:t>above</w:t>
      </w:r>
      <w:r>
        <w:rPr>
          <w:spacing w:val="-6"/>
        </w:rPr>
        <w:t xml:space="preserve"> </w:t>
      </w:r>
      <w:r>
        <w:t>300kL</w:t>
      </w:r>
      <w:r>
        <w:rPr>
          <w:spacing w:val="-5"/>
        </w:rPr>
        <w:t xml:space="preserve"> </w:t>
      </w:r>
      <w:r>
        <w:t>to</w:t>
      </w:r>
      <w:r>
        <w:rPr>
          <w:spacing w:val="-7"/>
        </w:rPr>
        <w:t xml:space="preserve"> </w:t>
      </w:r>
      <w:r>
        <w:t>600kL</w:t>
      </w:r>
      <w:r>
        <w:rPr>
          <w:spacing w:val="-5"/>
        </w:rPr>
        <w:t xml:space="preserve"> </w:t>
      </w:r>
      <w:r>
        <w:rPr>
          <w:spacing w:val="-2"/>
        </w:rPr>
        <w:t>consumption.</w:t>
      </w:r>
    </w:p>
    <w:p w14:paraId="206C9F48" w14:textId="77777777" w:rsidR="00141B97" w:rsidRDefault="00911D63">
      <w:pPr>
        <w:pStyle w:val="ListParagraph"/>
        <w:numPr>
          <w:ilvl w:val="4"/>
          <w:numId w:val="81"/>
        </w:numPr>
        <w:tabs>
          <w:tab w:val="left" w:pos="833"/>
          <w:tab w:val="left" w:pos="834"/>
          <w:tab w:val="left" w:pos="1815"/>
        </w:tabs>
        <w:spacing w:line="280" w:lineRule="exact"/>
        <w:ind w:hanging="361"/>
      </w:pPr>
      <w:r>
        <w:t>Tier</w:t>
      </w:r>
      <w:r>
        <w:rPr>
          <w:spacing w:val="-6"/>
        </w:rPr>
        <w:t xml:space="preserve"> </w:t>
      </w:r>
      <w:r>
        <w:rPr>
          <w:spacing w:val="-10"/>
        </w:rPr>
        <w:t>3</w:t>
      </w:r>
      <w:r>
        <w:tab/>
        <w:t>above</w:t>
      </w:r>
      <w:r>
        <w:rPr>
          <w:spacing w:val="-7"/>
        </w:rPr>
        <w:t xml:space="preserve"> </w:t>
      </w:r>
      <w:r>
        <w:t>600kL</w:t>
      </w:r>
      <w:r>
        <w:rPr>
          <w:spacing w:val="-5"/>
        </w:rPr>
        <w:t xml:space="preserve"> </w:t>
      </w:r>
      <w:r>
        <w:rPr>
          <w:spacing w:val="-2"/>
        </w:rPr>
        <w:t>consumption.</w:t>
      </w:r>
    </w:p>
    <w:p w14:paraId="022757DD" w14:textId="77777777" w:rsidR="00141B97" w:rsidRDefault="00141B97">
      <w:pPr>
        <w:pStyle w:val="BodyText"/>
        <w:spacing w:before="1"/>
      </w:pPr>
    </w:p>
    <w:p w14:paraId="3A62706F" w14:textId="77777777" w:rsidR="00141B97" w:rsidRDefault="00911D63">
      <w:pPr>
        <w:pStyle w:val="BodyText"/>
        <w:ind w:left="114" w:right="948" w:hanging="1"/>
        <w:jc w:val="both"/>
      </w:pPr>
      <w:r>
        <w:t>The tiered structure and prices were tested with customers, and there was a wide range of views, from no change at all, to concerns that there should be no price difference in tiers versus a desire to see a greater variance between the charges. LMW has proposed to maintain the current tiered structure and the price ratio between them, while undertaking to engage with customers and stakeholders further throughout the PS5 period</w:t>
      </w:r>
      <w:r>
        <w:rPr>
          <w:spacing w:val="-3"/>
        </w:rPr>
        <w:t xml:space="preserve"> </w:t>
      </w:r>
      <w:r>
        <w:t>to</w:t>
      </w:r>
      <w:r>
        <w:rPr>
          <w:spacing w:val="-5"/>
        </w:rPr>
        <w:t xml:space="preserve"> </w:t>
      </w:r>
      <w:r>
        <w:t>complete</w:t>
      </w:r>
      <w:r>
        <w:rPr>
          <w:spacing w:val="-5"/>
        </w:rPr>
        <w:t xml:space="preserve"> </w:t>
      </w:r>
      <w:r>
        <w:t>a</w:t>
      </w:r>
      <w:r>
        <w:rPr>
          <w:spacing w:val="-3"/>
        </w:rPr>
        <w:t xml:space="preserve"> </w:t>
      </w:r>
      <w:r>
        <w:t>detailed</w:t>
      </w:r>
      <w:r>
        <w:rPr>
          <w:spacing w:val="-5"/>
        </w:rPr>
        <w:t xml:space="preserve"> </w:t>
      </w:r>
      <w:r>
        <w:t>review</w:t>
      </w:r>
      <w:r>
        <w:rPr>
          <w:spacing w:val="-3"/>
        </w:rPr>
        <w:t xml:space="preserve"> </w:t>
      </w:r>
      <w:r>
        <w:t>of</w:t>
      </w:r>
      <w:r>
        <w:rPr>
          <w:spacing w:val="-3"/>
        </w:rPr>
        <w:t xml:space="preserve"> </w:t>
      </w:r>
      <w:r>
        <w:t>the</w:t>
      </w:r>
      <w:r>
        <w:rPr>
          <w:spacing w:val="-5"/>
        </w:rPr>
        <w:t xml:space="preserve"> </w:t>
      </w:r>
      <w:r>
        <w:t>tiered</w:t>
      </w:r>
      <w:r>
        <w:rPr>
          <w:spacing w:val="-3"/>
        </w:rPr>
        <w:t xml:space="preserve"> </w:t>
      </w:r>
      <w:r>
        <w:t>pricing</w:t>
      </w:r>
      <w:r>
        <w:rPr>
          <w:spacing w:val="-5"/>
        </w:rPr>
        <w:t xml:space="preserve"> </w:t>
      </w:r>
      <w:r>
        <w:t>structure.</w:t>
      </w:r>
      <w:r>
        <w:rPr>
          <w:spacing w:val="-5"/>
        </w:rPr>
        <w:t xml:space="preserve"> </w:t>
      </w:r>
      <w:r>
        <w:t>This</w:t>
      </w:r>
      <w:r>
        <w:rPr>
          <w:spacing w:val="-3"/>
        </w:rPr>
        <w:t xml:space="preserve"> </w:t>
      </w:r>
      <w:r>
        <w:t>review</w:t>
      </w:r>
      <w:r>
        <w:rPr>
          <w:spacing w:val="-4"/>
        </w:rPr>
        <w:t xml:space="preserve"> </w:t>
      </w:r>
      <w:r>
        <w:t>will</w:t>
      </w:r>
      <w:r>
        <w:rPr>
          <w:spacing w:val="-4"/>
        </w:rPr>
        <w:t xml:space="preserve"> </w:t>
      </w:r>
      <w:r>
        <w:t>inform</w:t>
      </w:r>
      <w:r>
        <w:rPr>
          <w:spacing w:val="-4"/>
        </w:rPr>
        <w:t xml:space="preserve"> </w:t>
      </w:r>
      <w:r>
        <w:t>the</w:t>
      </w:r>
      <w:r>
        <w:rPr>
          <w:spacing w:val="-5"/>
        </w:rPr>
        <w:t xml:space="preserve"> </w:t>
      </w:r>
      <w:r>
        <w:t>need</w:t>
      </w:r>
      <w:r>
        <w:rPr>
          <w:spacing w:val="-4"/>
        </w:rPr>
        <w:t xml:space="preserve"> </w:t>
      </w:r>
      <w:r>
        <w:t>for</w:t>
      </w:r>
      <w:r>
        <w:rPr>
          <w:spacing w:val="-4"/>
        </w:rPr>
        <w:t xml:space="preserve"> </w:t>
      </w:r>
      <w:r>
        <w:t>pricing reform in the next period.</w:t>
      </w:r>
    </w:p>
    <w:p w14:paraId="6D80202D" w14:textId="77777777" w:rsidR="00141B97" w:rsidRDefault="00141B97">
      <w:pPr>
        <w:pStyle w:val="BodyText"/>
        <w:spacing w:before="11"/>
        <w:rPr>
          <w:sz w:val="21"/>
        </w:rPr>
      </w:pPr>
    </w:p>
    <w:p w14:paraId="675F449F" w14:textId="77777777" w:rsidR="00141B97" w:rsidRDefault="00911D63">
      <w:pPr>
        <w:pStyle w:val="BodyText"/>
        <w:ind w:left="113" w:right="947"/>
        <w:jc w:val="both"/>
      </w:pPr>
      <w:r>
        <w:t>Customers</w:t>
      </w:r>
      <w:r>
        <w:rPr>
          <w:spacing w:val="-6"/>
        </w:rPr>
        <w:t xml:space="preserve"> </w:t>
      </w:r>
      <w:r>
        <w:t>are</w:t>
      </w:r>
      <w:r>
        <w:rPr>
          <w:spacing w:val="-7"/>
        </w:rPr>
        <w:t xml:space="preserve"> </w:t>
      </w:r>
      <w:r>
        <w:t>billed</w:t>
      </w:r>
      <w:r>
        <w:rPr>
          <w:spacing w:val="-7"/>
        </w:rPr>
        <w:t xml:space="preserve"> </w:t>
      </w:r>
      <w:r>
        <w:t>on</w:t>
      </w:r>
      <w:r>
        <w:rPr>
          <w:spacing w:val="-6"/>
        </w:rPr>
        <w:t xml:space="preserve"> </w:t>
      </w:r>
      <w:r>
        <w:t>a</w:t>
      </w:r>
      <w:r>
        <w:rPr>
          <w:spacing w:val="-7"/>
        </w:rPr>
        <w:t xml:space="preserve"> </w:t>
      </w:r>
      <w:r>
        <w:t>quarterly</w:t>
      </w:r>
      <w:r>
        <w:rPr>
          <w:spacing w:val="-7"/>
        </w:rPr>
        <w:t xml:space="preserve"> </w:t>
      </w:r>
      <w:r>
        <w:t>basis,</w:t>
      </w:r>
      <w:r>
        <w:rPr>
          <w:spacing w:val="-8"/>
        </w:rPr>
        <w:t xml:space="preserve"> </w:t>
      </w:r>
      <w:r>
        <w:t>with</w:t>
      </w:r>
      <w:r>
        <w:rPr>
          <w:spacing w:val="-8"/>
        </w:rPr>
        <w:t xml:space="preserve"> </w:t>
      </w:r>
      <w:r>
        <w:t>a</w:t>
      </w:r>
      <w:r>
        <w:rPr>
          <w:spacing w:val="-7"/>
        </w:rPr>
        <w:t xml:space="preserve"> </w:t>
      </w:r>
      <w:r>
        <w:t>seasonal</w:t>
      </w:r>
      <w:r>
        <w:rPr>
          <w:spacing w:val="-7"/>
        </w:rPr>
        <w:t xml:space="preserve"> </w:t>
      </w:r>
      <w:r>
        <w:t>split</w:t>
      </w:r>
      <w:r>
        <w:rPr>
          <w:spacing w:val="-7"/>
        </w:rPr>
        <w:t xml:space="preserve"> </w:t>
      </w:r>
      <w:r>
        <w:t>applied</w:t>
      </w:r>
      <w:r>
        <w:rPr>
          <w:spacing w:val="-8"/>
        </w:rPr>
        <w:t xml:space="preserve"> </w:t>
      </w:r>
      <w:r>
        <w:t>to</w:t>
      </w:r>
      <w:r>
        <w:rPr>
          <w:spacing w:val="-7"/>
        </w:rPr>
        <w:t xml:space="preserve"> </w:t>
      </w:r>
      <w:r>
        <w:t>the</w:t>
      </w:r>
      <w:r>
        <w:rPr>
          <w:spacing w:val="-8"/>
        </w:rPr>
        <w:t xml:space="preserve"> </w:t>
      </w:r>
      <w:r>
        <w:t>300kL</w:t>
      </w:r>
      <w:r>
        <w:rPr>
          <w:spacing w:val="-8"/>
        </w:rPr>
        <w:t xml:space="preserve"> </w:t>
      </w:r>
      <w:r>
        <w:t>and</w:t>
      </w:r>
      <w:r>
        <w:rPr>
          <w:spacing w:val="-7"/>
        </w:rPr>
        <w:t xml:space="preserve"> </w:t>
      </w:r>
      <w:r>
        <w:t>600kL</w:t>
      </w:r>
      <w:r>
        <w:rPr>
          <w:spacing w:val="-7"/>
        </w:rPr>
        <w:t xml:space="preserve"> </w:t>
      </w:r>
      <w:r>
        <w:t>thresholds.</w:t>
      </w:r>
      <w:r>
        <w:rPr>
          <w:spacing w:val="-8"/>
        </w:rPr>
        <w:t xml:space="preserve"> </w:t>
      </w:r>
      <w:r>
        <w:t>In</w:t>
      </w:r>
      <w:r>
        <w:rPr>
          <w:spacing w:val="-7"/>
        </w:rPr>
        <w:t xml:space="preserve"> </w:t>
      </w:r>
      <w:r>
        <w:t>the warmer quarters (October to December and January to March) the quarterly thresholds are 100kL and 200kL respectively.</w:t>
      </w:r>
      <w:r>
        <w:rPr>
          <w:spacing w:val="-2"/>
        </w:rPr>
        <w:t xml:space="preserve"> </w:t>
      </w:r>
      <w:r>
        <w:t>In</w:t>
      </w:r>
      <w:r>
        <w:rPr>
          <w:spacing w:val="-2"/>
        </w:rPr>
        <w:t xml:space="preserve"> </w:t>
      </w:r>
      <w:r>
        <w:t>the</w:t>
      </w:r>
      <w:r>
        <w:rPr>
          <w:spacing w:val="-3"/>
        </w:rPr>
        <w:t xml:space="preserve"> </w:t>
      </w:r>
      <w:r>
        <w:t>cooler</w:t>
      </w:r>
      <w:r>
        <w:rPr>
          <w:spacing w:val="-1"/>
        </w:rPr>
        <w:t xml:space="preserve"> </w:t>
      </w:r>
      <w:r>
        <w:t>quarters</w:t>
      </w:r>
      <w:r>
        <w:rPr>
          <w:spacing w:val="-2"/>
        </w:rPr>
        <w:t xml:space="preserve"> </w:t>
      </w:r>
      <w:r>
        <w:t>(April</w:t>
      </w:r>
      <w:r>
        <w:rPr>
          <w:spacing w:val="-1"/>
        </w:rPr>
        <w:t xml:space="preserve"> </w:t>
      </w:r>
      <w:r>
        <w:t>to</w:t>
      </w:r>
      <w:r>
        <w:rPr>
          <w:spacing w:val="-1"/>
        </w:rPr>
        <w:t xml:space="preserve"> </w:t>
      </w:r>
      <w:r>
        <w:t>June</w:t>
      </w:r>
      <w:r>
        <w:rPr>
          <w:spacing w:val="-1"/>
        </w:rPr>
        <w:t xml:space="preserve"> </w:t>
      </w:r>
      <w:r>
        <w:t>and July to</w:t>
      </w:r>
      <w:r>
        <w:rPr>
          <w:spacing w:val="-1"/>
        </w:rPr>
        <w:t xml:space="preserve"> </w:t>
      </w:r>
      <w:r>
        <w:t>September)</w:t>
      </w:r>
      <w:r>
        <w:rPr>
          <w:spacing w:val="-1"/>
        </w:rPr>
        <w:t xml:space="preserve"> </w:t>
      </w:r>
      <w:r>
        <w:t>the</w:t>
      </w:r>
      <w:r>
        <w:rPr>
          <w:spacing w:val="-1"/>
        </w:rPr>
        <w:t xml:space="preserve"> </w:t>
      </w:r>
      <w:r>
        <w:t>quarterly</w:t>
      </w:r>
      <w:r>
        <w:rPr>
          <w:spacing w:val="-1"/>
        </w:rPr>
        <w:t xml:space="preserve"> </w:t>
      </w:r>
      <w:r>
        <w:t>thresholds</w:t>
      </w:r>
      <w:r>
        <w:rPr>
          <w:spacing w:val="-1"/>
        </w:rPr>
        <w:t xml:space="preserve"> </w:t>
      </w:r>
      <w:r>
        <w:t>are</w:t>
      </w:r>
      <w:r>
        <w:rPr>
          <w:spacing w:val="-2"/>
        </w:rPr>
        <w:t xml:space="preserve"> </w:t>
      </w:r>
      <w:r>
        <w:t>50kL and 100kL.</w:t>
      </w:r>
      <w:r>
        <w:rPr>
          <w:spacing w:val="-4"/>
        </w:rPr>
        <w:t xml:space="preserve"> </w:t>
      </w:r>
      <w:r>
        <w:t>The</w:t>
      </w:r>
      <w:r>
        <w:rPr>
          <w:spacing w:val="-3"/>
        </w:rPr>
        <w:t xml:space="preserve"> </w:t>
      </w:r>
      <w:r>
        <w:t>quarterly</w:t>
      </w:r>
      <w:r>
        <w:rPr>
          <w:spacing w:val="-3"/>
        </w:rPr>
        <w:t xml:space="preserve"> </w:t>
      </w:r>
      <w:r>
        <w:t>threshold,</w:t>
      </w:r>
      <w:r>
        <w:rPr>
          <w:spacing w:val="-4"/>
        </w:rPr>
        <w:t xml:space="preserve"> </w:t>
      </w:r>
      <w:r>
        <w:t>which</w:t>
      </w:r>
      <w:r>
        <w:rPr>
          <w:spacing w:val="-3"/>
        </w:rPr>
        <w:t xml:space="preserve"> </w:t>
      </w:r>
      <w:r>
        <w:t>is</w:t>
      </w:r>
      <w:r>
        <w:rPr>
          <w:spacing w:val="-3"/>
        </w:rPr>
        <w:t xml:space="preserve"> </w:t>
      </w:r>
      <w:r>
        <w:t>non‐cumulative,</w:t>
      </w:r>
      <w:r>
        <w:rPr>
          <w:spacing w:val="-2"/>
        </w:rPr>
        <w:t xml:space="preserve"> </w:t>
      </w:r>
      <w:r>
        <w:t>accommodates</w:t>
      </w:r>
      <w:r>
        <w:rPr>
          <w:spacing w:val="-2"/>
        </w:rPr>
        <w:t xml:space="preserve"> </w:t>
      </w:r>
      <w:r>
        <w:t>a</w:t>
      </w:r>
      <w:r>
        <w:rPr>
          <w:spacing w:val="-3"/>
        </w:rPr>
        <w:t xml:space="preserve"> </w:t>
      </w:r>
      <w:r>
        <w:t>modest</w:t>
      </w:r>
      <w:r>
        <w:rPr>
          <w:spacing w:val="-5"/>
        </w:rPr>
        <w:t xml:space="preserve"> </w:t>
      </w:r>
      <w:r>
        <w:t>level</w:t>
      </w:r>
      <w:r>
        <w:rPr>
          <w:spacing w:val="-4"/>
        </w:rPr>
        <w:t xml:space="preserve"> </w:t>
      </w:r>
      <w:r>
        <w:t>of</w:t>
      </w:r>
      <w:r>
        <w:rPr>
          <w:spacing w:val="-3"/>
        </w:rPr>
        <w:t xml:space="preserve"> </w:t>
      </w:r>
      <w:r>
        <w:t>garden</w:t>
      </w:r>
      <w:r>
        <w:rPr>
          <w:spacing w:val="-3"/>
        </w:rPr>
        <w:t xml:space="preserve"> </w:t>
      </w:r>
      <w:r>
        <w:t>water,</w:t>
      </w:r>
      <w:r>
        <w:rPr>
          <w:spacing w:val="-3"/>
        </w:rPr>
        <w:t xml:space="preserve"> </w:t>
      </w:r>
      <w:r>
        <w:t>while ensuring that large discretionary water users pay for additional volumes at the higher tier rates.</w:t>
      </w:r>
    </w:p>
    <w:p w14:paraId="4CD885B7" w14:textId="77777777" w:rsidR="00141B97" w:rsidRDefault="00141B97">
      <w:pPr>
        <w:pStyle w:val="BodyText"/>
        <w:spacing w:before="8"/>
        <w:rPr>
          <w:sz w:val="19"/>
        </w:rPr>
      </w:pPr>
    </w:p>
    <w:p w14:paraId="298EA449" w14:textId="77777777" w:rsidR="00141B97" w:rsidRDefault="00911D63">
      <w:pPr>
        <w:pStyle w:val="ListParagraph"/>
        <w:numPr>
          <w:ilvl w:val="3"/>
          <w:numId w:val="81"/>
        </w:numPr>
        <w:tabs>
          <w:tab w:val="left" w:pos="1107"/>
        </w:tabs>
        <w:jc w:val="both"/>
        <w:rPr>
          <w:i/>
        </w:rPr>
      </w:pPr>
      <w:r>
        <w:rPr>
          <w:i/>
        </w:rPr>
        <w:t>Water</w:t>
      </w:r>
      <w:r>
        <w:rPr>
          <w:i/>
          <w:spacing w:val="-10"/>
        </w:rPr>
        <w:t xml:space="preserve"> </w:t>
      </w:r>
      <w:r>
        <w:rPr>
          <w:i/>
        </w:rPr>
        <w:t>Volumetric</w:t>
      </w:r>
      <w:r>
        <w:rPr>
          <w:i/>
          <w:spacing w:val="-9"/>
        </w:rPr>
        <w:t xml:space="preserve"> </w:t>
      </w:r>
      <w:r>
        <w:rPr>
          <w:i/>
        </w:rPr>
        <w:t>Charges</w:t>
      </w:r>
      <w:r>
        <w:rPr>
          <w:i/>
          <w:spacing w:val="-10"/>
        </w:rPr>
        <w:t xml:space="preserve"> </w:t>
      </w:r>
      <w:r>
        <w:rPr>
          <w:i/>
          <w:spacing w:val="-2"/>
        </w:rPr>
        <w:t>(Non‐Residential)</w:t>
      </w:r>
    </w:p>
    <w:p w14:paraId="60414016" w14:textId="77777777" w:rsidR="00141B97" w:rsidRDefault="00911D63">
      <w:pPr>
        <w:pStyle w:val="BodyText"/>
        <w:spacing w:before="61"/>
        <w:ind w:left="114" w:right="949" w:hanging="1"/>
        <w:jc w:val="both"/>
      </w:pPr>
      <w:r>
        <w:t>LMW proposes to continue its uniform volumetric rate for non‐residential customers, with the rate consistent with Tier 2 of the residential tariff structure.</w:t>
      </w:r>
    </w:p>
    <w:p w14:paraId="42447557" w14:textId="77777777" w:rsidR="00141B97" w:rsidRDefault="00141B97">
      <w:pPr>
        <w:jc w:val="both"/>
        <w:sectPr w:rsidR="00141B97">
          <w:pgSz w:w="11910" w:h="16840"/>
          <w:pgMar w:top="820" w:right="40" w:bottom="760" w:left="1020" w:header="0" w:footer="580" w:gutter="0"/>
          <w:cols w:space="720"/>
        </w:sectPr>
      </w:pPr>
    </w:p>
    <w:p w14:paraId="57567347" w14:textId="77777777" w:rsidR="00141B97" w:rsidRDefault="00911D63">
      <w:pPr>
        <w:pStyle w:val="ListParagraph"/>
        <w:numPr>
          <w:ilvl w:val="2"/>
          <w:numId w:val="81"/>
        </w:numPr>
        <w:tabs>
          <w:tab w:val="left" w:pos="1112"/>
          <w:tab w:val="left" w:pos="1113"/>
        </w:tabs>
        <w:spacing w:before="43"/>
      </w:pPr>
      <w:r>
        <w:lastRenderedPageBreak/>
        <w:t>Proposed</w:t>
      </w:r>
      <w:r>
        <w:rPr>
          <w:spacing w:val="-10"/>
        </w:rPr>
        <w:t xml:space="preserve"> </w:t>
      </w:r>
      <w:r>
        <w:rPr>
          <w:spacing w:val="-2"/>
        </w:rPr>
        <w:t>Tariffs</w:t>
      </w:r>
    </w:p>
    <w:p w14:paraId="2A91617B" w14:textId="77777777" w:rsidR="00141B97" w:rsidRDefault="00911D63">
      <w:pPr>
        <w:pStyle w:val="BodyText"/>
        <w:spacing w:before="59"/>
        <w:ind w:left="114"/>
      </w:pPr>
      <w:r>
        <w:t>Table</w:t>
      </w:r>
      <w:r>
        <w:rPr>
          <w:spacing w:val="-6"/>
        </w:rPr>
        <w:t xml:space="preserve"> </w:t>
      </w:r>
      <w:r>
        <w:t>B34</w:t>
      </w:r>
      <w:r>
        <w:rPr>
          <w:spacing w:val="-7"/>
        </w:rPr>
        <w:t xml:space="preserve"> </w:t>
      </w:r>
      <w:r>
        <w:t>details</w:t>
      </w:r>
      <w:r>
        <w:rPr>
          <w:spacing w:val="-5"/>
        </w:rPr>
        <w:t xml:space="preserve"> </w:t>
      </w:r>
      <w:r>
        <w:t>the</w:t>
      </w:r>
      <w:r>
        <w:rPr>
          <w:spacing w:val="-8"/>
        </w:rPr>
        <w:t xml:space="preserve"> </w:t>
      </w:r>
      <w:r>
        <w:t>proposed</w:t>
      </w:r>
      <w:r>
        <w:rPr>
          <w:spacing w:val="-6"/>
        </w:rPr>
        <w:t xml:space="preserve"> </w:t>
      </w:r>
      <w:r>
        <w:t>urban</w:t>
      </w:r>
      <w:r>
        <w:rPr>
          <w:spacing w:val="-6"/>
        </w:rPr>
        <w:t xml:space="preserve"> </w:t>
      </w:r>
      <w:r>
        <w:rPr>
          <w:spacing w:val="-2"/>
        </w:rPr>
        <w:t>tariffs.</w:t>
      </w:r>
    </w:p>
    <w:p w14:paraId="26557ABC" w14:textId="77777777" w:rsidR="00141B97" w:rsidRDefault="00141B97">
      <w:pPr>
        <w:pStyle w:val="BodyText"/>
        <w:spacing w:before="7"/>
        <w:rPr>
          <w:sz w:val="21"/>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01"/>
        <w:gridCol w:w="1836"/>
        <w:gridCol w:w="1053"/>
        <w:gridCol w:w="1177"/>
        <w:gridCol w:w="1159"/>
        <w:gridCol w:w="156"/>
        <w:gridCol w:w="1024"/>
        <w:gridCol w:w="1146"/>
      </w:tblGrid>
      <w:tr w:rsidR="00141B97" w14:paraId="1E2615F7" w14:textId="77777777">
        <w:trPr>
          <w:trHeight w:val="280"/>
        </w:trPr>
        <w:tc>
          <w:tcPr>
            <w:tcW w:w="2201" w:type="dxa"/>
            <w:vMerge w:val="restart"/>
            <w:tcBorders>
              <w:top w:val="nil"/>
              <w:left w:val="nil"/>
              <w:right w:val="single" w:sz="4" w:space="0" w:color="FFFFFF"/>
            </w:tcBorders>
            <w:shd w:val="clear" w:color="auto" w:fill="0064A4"/>
          </w:tcPr>
          <w:p w14:paraId="385249FA" w14:textId="77777777" w:rsidR="00141B97" w:rsidRDefault="00141B97">
            <w:pPr>
              <w:pStyle w:val="TableParagraph"/>
              <w:rPr>
                <w:rFonts w:ascii="Times New Roman"/>
                <w:sz w:val="18"/>
              </w:rPr>
            </w:pPr>
          </w:p>
        </w:tc>
        <w:tc>
          <w:tcPr>
            <w:tcW w:w="1836" w:type="dxa"/>
            <w:tcBorders>
              <w:top w:val="nil"/>
              <w:left w:val="single" w:sz="4" w:space="0" w:color="FFFFFF"/>
              <w:right w:val="single" w:sz="4" w:space="0" w:color="FFFFFF"/>
            </w:tcBorders>
            <w:shd w:val="clear" w:color="auto" w:fill="0064A4"/>
          </w:tcPr>
          <w:p w14:paraId="47ECC0D4" w14:textId="77777777" w:rsidR="00141B97" w:rsidRDefault="00911D63">
            <w:pPr>
              <w:pStyle w:val="TableParagraph"/>
              <w:ind w:left="626"/>
              <w:rPr>
                <w:sz w:val="20"/>
              </w:rPr>
            </w:pPr>
            <w:r>
              <w:rPr>
                <w:color w:val="FFFFFF"/>
                <w:spacing w:val="-2"/>
                <w:sz w:val="20"/>
              </w:rPr>
              <w:t>Current</w:t>
            </w:r>
          </w:p>
        </w:tc>
        <w:tc>
          <w:tcPr>
            <w:tcW w:w="5715" w:type="dxa"/>
            <w:gridSpan w:val="6"/>
            <w:tcBorders>
              <w:top w:val="nil"/>
              <w:left w:val="single" w:sz="4" w:space="0" w:color="FFFFFF"/>
              <w:right w:val="nil"/>
            </w:tcBorders>
            <w:shd w:val="clear" w:color="auto" w:fill="0064A4"/>
          </w:tcPr>
          <w:p w14:paraId="60AE6A04" w14:textId="77777777" w:rsidR="00141B97" w:rsidRDefault="00911D63">
            <w:pPr>
              <w:pStyle w:val="TableParagraph"/>
              <w:ind w:left="1959"/>
              <w:rPr>
                <w:sz w:val="20"/>
              </w:rPr>
            </w:pPr>
            <w:r>
              <w:rPr>
                <w:color w:val="FFFFFF"/>
                <w:sz w:val="20"/>
              </w:rPr>
              <w:t>Fifth</w:t>
            </w:r>
            <w:r>
              <w:rPr>
                <w:color w:val="FFFFFF"/>
                <w:spacing w:val="-3"/>
                <w:sz w:val="20"/>
              </w:rPr>
              <w:t xml:space="preserve"> </w:t>
            </w:r>
            <w:r>
              <w:rPr>
                <w:color w:val="FFFFFF"/>
                <w:sz w:val="20"/>
              </w:rPr>
              <w:t>Regulatory</w:t>
            </w:r>
            <w:r>
              <w:rPr>
                <w:color w:val="FFFFFF"/>
                <w:spacing w:val="-2"/>
                <w:sz w:val="20"/>
              </w:rPr>
              <w:t xml:space="preserve"> Period</w:t>
            </w:r>
          </w:p>
        </w:tc>
      </w:tr>
      <w:tr w:rsidR="00141B97" w14:paraId="452BB072" w14:textId="77777777">
        <w:trPr>
          <w:trHeight w:val="270"/>
        </w:trPr>
        <w:tc>
          <w:tcPr>
            <w:tcW w:w="2201" w:type="dxa"/>
            <w:vMerge/>
            <w:tcBorders>
              <w:top w:val="nil"/>
              <w:left w:val="nil"/>
              <w:right w:val="single" w:sz="4" w:space="0" w:color="FFFFFF"/>
            </w:tcBorders>
            <w:shd w:val="clear" w:color="auto" w:fill="0064A4"/>
          </w:tcPr>
          <w:p w14:paraId="36255788" w14:textId="77777777" w:rsidR="00141B97" w:rsidRDefault="00141B97">
            <w:pPr>
              <w:rPr>
                <w:sz w:val="2"/>
                <w:szCs w:val="2"/>
              </w:rPr>
            </w:pPr>
          </w:p>
        </w:tc>
        <w:tc>
          <w:tcPr>
            <w:tcW w:w="1836" w:type="dxa"/>
            <w:tcBorders>
              <w:left w:val="single" w:sz="4" w:space="0" w:color="FFFFFF"/>
              <w:right w:val="single" w:sz="4" w:space="0" w:color="FFFFFF"/>
            </w:tcBorders>
            <w:shd w:val="clear" w:color="auto" w:fill="0064A4"/>
          </w:tcPr>
          <w:p w14:paraId="519BDC17" w14:textId="77777777" w:rsidR="00141B97" w:rsidRDefault="00911D63">
            <w:pPr>
              <w:pStyle w:val="TableParagraph"/>
              <w:spacing w:before="10"/>
              <w:ind w:left="634"/>
              <w:rPr>
                <w:sz w:val="18"/>
              </w:rPr>
            </w:pPr>
            <w:r>
              <w:rPr>
                <w:color w:val="FFFFFF"/>
                <w:spacing w:val="-2"/>
                <w:sz w:val="18"/>
              </w:rPr>
              <w:t>2022‐23</w:t>
            </w:r>
          </w:p>
        </w:tc>
        <w:tc>
          <w:tcPr>
            <w:tcW w:w="1053" w:type="dxa"/>
            <w:tcBorders>
              <w:left w:val="single" w:sz="4" w:space="0" w:color="FFFFFF"/>
              <w:right w:val="single" w:sz="4" w:space="0" w:color="FFFFFF"/>
            </w:tcBorders>
            <w:shd w:val="clear" w:color="auto" w:fill="0064A4"/>
          </w:tcPr>
          <w:p w14:paraId="63573678" w14:textId="77777777" w:rsidR="00141B97" w:rsidRDefault="00911D63">
            <w:pPr>
              <w:pStyle w:val="TableParagraph"/>
              <w:spacing w:before="10"/>
              <w:ind w:left="245"/>
              <w:rPr>
                <w:sz w:val="18"/>
              </w:rPr>
            </w:pPr>
            <w:r>
              <w:rPr>
                <w:color w:val="FFFFFF"/>
                <w:spacing w:val="-2"/>
                <w:sz w:val="18"/>
              </w:rPr>
              <w:t>2023‐24</w:t>
            </w:r>
          </w:p>
        </w:tc>
        <w:tc>
          <w:tcPr>
            <w:tcW w:w="1177" w:type="dxa"/>
            <w:tcBorders>
              <w:left w:val="single" w:sz="4" w:space="0" w:color="FFFFFF"/>
              <w:right w:val="single" w:sz="4" w:space="0" w:color="FFFFFF"/>
            </w:tcBorders>
            <w:shd w:val="clear" w:color="auto" w:fill="0064A4"/>
          </w:tcPr>
          <w:p w14:paraId="23D18AD0" w14:textId="77777777" w:rsidR="00141B97" w:rsidRDefault="00911D63">
            <w:pPr>
              <w:pStyle w:val="TableParagraph"/>
              <w:spacing w:before="10"/>
              <w:ind w:left="285"/>
              <w:rPr>
                <w:sz w:val="18"/>
              </w:rPr>
            </w:pPr>
            <w:r>
              <w:rPr>
                <w:color w:val="FFFFFF"/>
                <w:spacing w:val="-2"/>
                <w:sz w:val="18"/>
              </w:rPr>
              <w:t>2024‐25</w:t>
            </w:r>
          </w:p>
        </w:tc>
        <w:tc>
          <w:tcPr>
            <w:tcW w:w="1159" w:type="dxa"/>
            <w:tcBorders>
              <w:left w:val="single" w:sz="4" w:space="0" w:color="FFFFFF"/>
            </w:tcBorders>
            <w:shd w:val="clear" w:color="auto" w:fill="0064A4"/>
          </w:tcPr>
          <w:p w14:paraId="38C712A6" w14:textId="77777777" w:rsidR="00141B97" w:rsidRDefault="00911D63">
            <w:pPr>
              <w:pStyle w:val="TableParagraph"/>
              <w:spacing w:before="10"/>
              <w:ind w:left="271"/>
              <w:rPr>
                <w:sz w:val="18"/>
              </w:rPr>
            </w:pPr>
            <w:r>
              <w:rPr>
                <w:color w:val="FFFFFF"/>
                <w:spacing w:val="-2"/>
                <w:sz w:val="18"/>
              </w:rPr>
              <w:t>2025‐26</w:t>
            </w:r>
          </w:p>
        </w:tc>
        <w:tc>
          <w:tcPr>
            <w:tcW w:w="1180" w:type="dxa"/>
            <w:gridSpan w:val="2"/>
            <w:shd w:val="clear" w:color="auto" w:fill="0064A4"/>
          </w:tcPr>
          <w:p w14:paraId="48232FEA" w14:textId="77777777" w:rsidR="00141B97" w:rsidRDefault="00911D63">
            <w:pPr>
              <w:pStyle w:val="TableParagraph"/>
              <w:spacing w:before="10"/>
              <w:ind w:left="277"/>
              <w:rPr>
                <w:sz w:val="18"/>
              </w:rPr>
            </w:pPr>
            <w:r>
              <w:rPr>
                <w:color w:val="FFFFFF"/>
                <w:spacing w:val="-2"/>
                <w:sz w:val="18"/>
              </w:rPr>
              <w:t>2026‐27</w:t>
            </w:r>
          </w:p>
        </w:tc>
        <w:tc>
          <w:tcPr>
            <w:tcW w:w="1146" w:type="dxa"/>
            <w:tcBorders>
              <w:right w:val="nil"/>
            </w:tcBorders>
            <w:shd w:val="clear" w:color="auto" w:fill="0064A4"/>
          </w:tcPr>
          <w:p w14:paraId="08F1F409" w14:textId="77777777" w:rsidR="00141B97" w:rsidRDefault="00911D63">
            <w:pPr>
              <w:pStyle w:val="TableParagraph"/>
              <w:spacing w:before="10"/>
              <w:ind w:left="267"/>
              <w:rPr>
                <w:sz w:val="18"/>
              </w:rPr>
            </w:pPr>
            <w:r>
              <w:rPr>
                <w:color w:val="FFFFFF"/>
                <w:spacing w:val="-2"/>
                <w:sz w:val="18"/>
              </w:rPr>
              <w:t>2027‐28</w:t>
            </w:r>
          </w:p>
        </w:tc>
      </w:tr>
      <w:tr w:rsidR="00141B97" w14:paraId="4706AE47" w14:textId="77777777">
        <w:trPr>
          <w:trHeight w:val="254"/>
        </w:trPr>
        <w:tc>
          <w:tcPr>
            <w:tcW w:w="9752" w:type="dxa"/>
            <w:gridSpan w:val="8"/>
            <w:tcBorders>
              <w:left w:val="nil"/>
              <w:right w:val="nil"/>
            </w:tcBorders>
            <w:shd w:val="clear" w:color="auto" w:fill="BFBFBF"/>
          </w:tcPr>
          <w:p w14:paraId="381CE194" w14:textId="77777777" w:rsidR="00141B97" w:rsidRDefault="00911D63">
            <w:pPr>
              <w:pStyle w:val="TableParagraph"/>
              <w:spacing w:before="3"/>
              <w:ind w:left="98"/>
              <w:rPr>
                <w:sz w:val="18"/>
              </w:rPr>
            </w:pPr>
            <w:r>
              <w:rPr>
                <w:sz w:val="18"/>
              </w:rPr>
              <w:t>Water</w:t>
            </w:r>
            <w:r>
              <w:rPr>
                <w:spacing w:val="-5"/>
                <w:sz w:val="18"/>
              </w:rPr>
              <w:t xml:space="preserve"> </w:t>
            </w:r>
            <w:r>
              <w:rPr>
                <w:sz w:val="18"/>
              </w:rPr>
              <w:t>Service</w:t>
            </w:r>
            <w:r>
              <w:rPr>
                <w:spacing w:val="-4"/>
                <w:sz w:val="18"/>
              </w:rPr>
              <w:t xml:space="preserve"> </w:t>
            </w:r>
            <w:r>
              <w:rPr>
                <w:sz w:val="18"/>
              </w:rPr>
              <w:t>Charges</w:t>
            </w:r>
            <w:r>
              <w:rPr>
                <w:spacing w:val="-4"/>
                <w:sz w:val="18"/>
              </w:rPr>
              <w:t xml:space="preserve"> </w:t>
            </w:r>
            <w:r>
              <w:rPr>
                <w:sz w:val="18"/>
              </w:rPr>
              <w:t>(20</w:t>
            </w:r>
            <w:r>
              <w:rPr>
                <w:spacing w:val="-4"/>
                <w:sz w:val="18"/>
              </w:rPr>
              <w:t xml:space="preserve"> </w:t>
            </w:r>
            <w:r>
              <w:rPr>
                <w:sz w:val="18"/>
              </w:rPr>
              <w:t>mm</w:t>
            </w:r>
            <w:r>
              <w:rPr>
                <w:spacing w:val="-4"/>
                <w:sz w:val="18"/>
              </w:rPr>
              <w:t xml:space="preserve"> </w:t>
            </w:r>
            <w:r>
              <w:rPr>
                <w:spacing w:val="-2"/>
                <w:sz w:val="18"/>
              </w:rPr>
              <w:t>connection)*</w:t>
            </w:r>
          </w:p>
        </w:tc>
      </w:tr>
      <w:tr w:rsidR="00141B97" w14:paraId="227CB118" w14:textId="77777777">
        <w:trPr>
          <w:trHeight w:val="296"/>
        </w:trPr>
        <w:tc>
          <w:tcPr>
            <w:tcW w:w="2201" w:type="dxa"/>
            <w:tcBorders>
              <w:left w:val="nil"/>
              <w:right w:val="single" w:sz="4" w:space="0" w:color="FFFFFF"/>
            </w:tcBorders>
            <w:shd w:val="clear" w:color="auto" w:fill="CCE2ED"/>
          </w:tcPr>
          <w:p w14:paraId="6658A684" w14:textId="77777777" w:rsidR="00141B97" w:rsidRDefault="00911D63">
            <w:pPr>
              <w:pStyle w:val="TableParagraph"/>
              <w:spacing w:before="24"/>
              <w:ind w:left="93"/>
              <w:rPr>
                <w:sz w:val="18"/>
              </w:rPr>
            </w:pPr>
            <w:r>
              <w:rPr>
                <w:spacing w:val="-2"/>
                <w:sz w:val="18"/>
              </w:rPr>
              <w:t>Residential</w:t>
            </w:r>
          </w:p>
        </w:tc>
        <w:tc>
          <w:tcPr>
            <w:tcW w:w="1836" w:type="dxa"/>
            <w:tcBorders>
              <w:left w:val="single" w:sz="4" w:space="0" w:color="FFFFFF"/>
              <w:right w:val="single" w:sz="4" w:space="0" w:color="FFFFFF"/>
            </w:tcBorders>
            <w:shd w:val="clear" w:color="auto" w:fill="CCE2ED"/>
          </w:tcPr>
          <w:p w14:paraId="71F91627" w14:textId="77777777" w:rsidR="00141B97" w:rsidRDefault="00911D63">
            <w:pPr>
              <w:pStyle w:val="TableParagraph"/>
              <w:spacing w:before="2"/>
              <w:ind w:right="57"/>
              <w:jc w:val="right"/>
              <w:rPr>
                <w:sz w:val="18"/>
              </w:rPr>
            </w:pPr>
            <w:r>
              <w:rPr>
                <w:spacing w:val="-2"/>
                <w:sz w:val="18"/>
              </w:rPr>
              <w:t>$215.46</w:t>
            </w:r>
          </w:p>
        </w:tc>
        <w:tc>
          <w:tcPr>
            <w:tcW w:w="1053" w:type="dxa"/>
            <w:tcBorders>
              <w:left w:val="single" w:sz="4" w:space="0" w:color="FFFFFF"/>
              <w:right w:val="single" w:sz="4" w:space="0" w:color="FFFFFF"/>
            </w:tcBorders>
            <w:shd w:val="clear" w:color="auto" w:fill="CCE2ED"/>
          </w:tcPr>
          <w:p w14:paraId="7BD3CE33" w14:textId="77777777" w:rsidR="00141B97" w:rsidRDefault="00911D63">
            <w:pPr>
              <w:pStyle w:val="TableParagraph"/>
              <w:spacing w:before="2"/>
              <w:ind w:right="93"/>
              <w:jc w:val="right"/>
              <w:rPr>
                <w:sz w:val="18"/>
              </w:rPr>
            </w:pPr>
            <w:r>
              <w:rPr>
                <w:spacing w:val="-2"/>
                <w:sz w:val="18"/>
              </w:rPr>
              <w:t>$216.12</w:t>
            </w:r>
          </w:p>
        </w:tc>
        <w:tc>
          <w:tcPr>
            <w:tcW w:w="1177" w:type="dxa"/>
            <w:tcBorders>
              <w:left w:val="single" w:sz="4" w:space="0" w:color="FFFFFF"/>
              <w:right w:val="single" w:sz="4" w:space="0" w:color="FFFFFF"/>
            </w:tcBorders>
            <w:shd w:val="clear" w:color="auto" w:fill="CCE2ED"/>
          </w:tcPr>
          <w:p w14:paraId="079A7A6F" w14:textId="77777777" w:rsidR="00141B97" w:rsidRDefault="00911D63">
            <w:pPr>
              <w:pStyle w:val="TableParagraph"/>
              <w:spacing w:before="2"/>
              <w:ind w:right="100"/>
              <w:jc w:val="right"/>
              <w:rPr>
                <w:sz w:val="18"/>
              </w:rPr>
            </w:pPr>
            <w:r>
              <w:rPr>
                <w:spacing w:val="-2"/>
                <w:sz w:val="18"/>
              </w:rPr>
              <w:t>$216.77</w:t>
            </w:r>
          </w:p>
        </w:tc>
        <w:tc>
          <w:tcPr>
            <w:tcW w:w="1159" w:type="dxa"/>
            <w:tcBorders>
              <w:left w:val="single" w:sz="4" w:space="0" w:color="FFFFFF"/>
            </w:tcBorders>
            <w:shd w:val="clear" w:color="auto" w:fill="CCE2ED"/>
          </w:tcPr>
          <w:p w14:paraId="4C57AA32" w14:textId="77777777" w:rsidR="00141B97" w:rsidRDefault="00911D63">
            <w:pPr>
              <w:pStyle w:val="TableParagraph"/>
              <w:spacing w:before="2"/>
              <w:ind w:right="89"/>
              <w:jc w:val="right"/>
              <w:rPr>
                <w:sz w:val="18"/>
              </w:rPr>
            </w:pPr>
            <w:r>
              <w:rPr>
                <w:spacing w:val="-2"/>
                <w:sz w:val="18"/>
              </w:rPr>
              <w:t>$217.43</w:t>
            </w:r>
          </w:p>
        </w:tc>
        <w:tc>
          <w:tcPr>
            <w:tcW w:w="1180" w:type="dxa"/>
            <w:gridSpan w:val="2"/>
            <w:shd w:val="clear" w:color="auto" w:fill="CCE2ED"/>
          </w:tcPr>
          <w:p w14:paraId="5A293101" w14:textId="77777777" w:rsidR="00141B97" w:rsidRDefault="00911D63">
            <w:pPr>
              <w:pStyle w:val="TableParagraph"/>
              <w:spacing w:before="2"/>
              <w:ind w:left="462"/>
              <w:rPr>
                <w:sz w:val="18"/>
              </w:rPr>
            </w:pPr>
            <w:r>
              <w:rPr>
                <w:spacing w:val="-2"/>
                <w:sz w:val="18"/>
              </w:rPr>
              <w:t>$218.09</w:t>
            </w:r>
          </w:p>
        </w:tc>
        <w:tc>
          <w:tcPr>
            <w:tcW w:w="1146" w:type="dxa"/>
            <w:tcBorders>
              <w:right w:val="nil"/>
            </w:tcBorders>
            <w:shd w:val="clear" w:color="auto" w:fill="CCE2ED"/>
          </w:tcPr>
          <w:p w14:paraId="7949E254" w14:textId="77777777" w:rsidR="00141B97" w:rsidRDefault="00911D63">
            <w:pPr>
              <w:pStyle w:val="TableParagraph"/>
              <w:spacing w:before="2"/>
              <w:ind w:right="76"/>
              <w:jc w:val="right"/>
              <w:rPr>
                <w:sz w:val="18"/>
              </w:rPr>
            </w:pPr>
            <w:r>
              <w:rPr>
                <w:spacing w:val="-2"/>
                <w:sz w:val="18"/>
              </w:rPr>
              <w:t>$218.76</w:t>
            </w:r>
          </w:p>
        </w:tc>
      </w:tr>
      <w:tr w:rsidR="00141B97" w14:paraId="0559A523" w14:textId="77777777">
        <w:trPr>
          <w:trHeight w:val="255"/>
        </w:trPr>
        <w:tc>
          <w:tcPr>
            <w:tcW w:w="2201" w:type="dxa"/>
            <w:tcBorders>
              <w:left w:val="nil"/>
              <w:right w:val="single" w:sz="4" w:space="0" w:color="FFFFFF"/>
            </w:tcBorders>
            <w:shd w:val="clear" w:color="auto" w:fill="CCE2ED"/>
          </w:tcPr>
          <w:p w14:paraId="24A2B3DF" w14:textId="77777777" w:rsidR="00141B97" w:rsidRDefault="00911D63">
            <w:pPr>
              <w:pStyle w:val="TableParagraph"/>
              <w:spacing w:before="3"/>
              <w:ind w:left="93"/>
              <w:rPr>
                <w:sz w:val="18"/>
              </w:rPr>
            </w:pPr>
            <w:r>
              <w:rPr>
                <w:spacing w:val="-2"/>
                <w:sz w:val="18"/>
              </w:rPr>
              <w:t>Non‐residential</w:t>
            </w:r>
          </w:p>
        </w:tc>
        <w:tc>
          <w:tcPr>
            <w:tcW w:w="1836" w:type="dxa"/>
            <w:tcBorders>
              <w:left w:val="single" w:sz="4" w:space="0" w:color="FFFFFF"/>
              <w:right w:val="single" w:sz="4" w:space="0" w:color="FFFFFF"/>
            </w:tcBorders>
            <w:shd w:val="clear" w:color="auto" w:fill="CCE2ED"/>
          </w:tcPr>
          <w:p w14:paraId="10DB36CD" w14:textId="77777777" w:rsidR="00141B97" w:rsidRDefault="00911D63">
            <w:pPr>
              <w:pStyle w:val="TableParagraph"/>
              <w:spacing w:before="2"/>
              <w:ind w:right="57"/>
              <w:jc w:val="right"/>
              <w:rPr>
                <w:sz w:val="18"/>
              </w:rPr>
            </w:pPr>
            <w:r>
              <w:rPr>
                <w:spacing w:val="-2"/>
                <w:sz w:val="18"/>
              </w:rPr>
              <w:t>$215.46</w:t>
            </w:r>
          </w:p>
        </w:tc>
        <w:tc>
          <w:tcPr>
            <w:tcW w:w="1053" w:type="dxa"/>
            <w:tcBorders>
              <w:left w:val="single" w:sz="4" w:space="0" w:color="FFFFFF"/>
              <w:right w:val="single" w:sz="4" w:space="0" w:color="FFFFFF"/>
            </w:tcBorders>
            <w:shd w:val="clear" w:color="auto" w:fill="CCE2ED"/>
          </w:tcPr>
          <w:p w14:paraId="44D20035" w14:textId="77777777" w:rsidR="00141B97" w:rsidRDefault="00911D63">
            <w:pPr>
              <w:pStyle w:val="TableParagraph"/>
              <w:spacing w:before="2"/>
              <w:ind w:right="93"/>
              <w:jc w:val="right"/>
              <w:rPr>
                <w:sz w:val="18"/>
              </w:rPr>
            </w:pPr>
            <w:r>
              <w:rPr>
                <w:spacing w:val="-2"/>
                <w:sz w:val="18"/>
              </w:rPr>
              <w:t>$216.12</w:t>
            </w:r>
          </w:p>
        </w:tc>
        <w:tc>
          <w:tcPr>
            <w:tcW w:w="1177" w:type="dxa"/>
            <w:tcBorders>
              <w:left w:val="single" w:sz="4" w:space="0" w:color="FFFFFF"/>
              <w:right w:val="single" w:sz="4" w:space="0" w:color="FFFFFF"/>
            </w:tcBorders>
            <w:shd w:val="clear" w:color="auto" w:fill="CCE2ED"/>
          </w:tcPr>
          <w:p w14:paraId="475ED1C3" w14:textId="77777777" w:rsidR="00141B97" w:rsidRDefault="00911D63">
            <w:pPr>
              <w:pStyle w:val="TableParagraph"/>
              <w:spacing w:before="2"/>
              <w:ind w:right="100"/>
              <w:jc w:val="right"/>
              <w:rPr>
                <w:sz w:val="18"/>
              </w:rPr>
            </w:pPr>
            <w:r>
              <w:rPr>
                <w:spacing w:val="-2"/>
                <w:sz w:val="18"/>
              </w:rPr>
              <w:t>$216.77</w:t>
            </w:r>
          </w:p>
        </w:tc>
        <w:tc>
          <w:tcPr>
            <w:tcW w:w="1159" w:type="dxa"/>
            <w:tcBorders>
              <w:left w:val="single" w:sz="4" w:space="0" w:color="FFFFFF"/>
            </w:tcBorders>
            <w:shd w:val="clear" w:color="auto" w:fill="CCE2ED"/>
          </w:tcPr>
          <w:p w14:paraId="1BA1FDE2" w14:textId="77777777" w:rsidR="00141B97" w:rsidRDefault="00911D63">
            <w:pPr>
              <w:pStyle w:val="TableParagraph"/>
              <w:spacing w:before="2"/>
              <w:ind w:right="89"/>
              <w:jc w:val="right"/>
              <w:rPr>
                <w:sz w:val="18"/>
              </w:rPr>
            </w:pPr>
            <w:r>
              <w:rPr>
                <w:spacing w:val="-2"/>
                <w:sz w:val="18"/>
              </w:rPr>
              <w:t>$217.43</w:t>
            </w:r>
          </w:p>
        </w:tc>
        <w:tc>
          <w:tcPr>
            <w:tcW w:w="1180" w:type="dxa"/>
            <w:gridSpan w:val="2"/>
            <w:shd w:val="clear" w:color="auto" w:fill="CCE2ED"/>
          </w:tcPr>
          <w:p w14:paraId="30958AFD" w14:textId="77777777" w:rsidR="00141B97" w:rsidRDefault="00911D63">
            <w:pPr>
              <w:pStyle w:val="TableParagraph"/>
              <w:spacing w:before="2"/>
              <w:ind w:left="462"/>
              <w:rPr>
                <w:sz w:val="18"/>
              </w:rPr>
            </w:pPr>
            <w:r>
              <w:rPr>
                <w:spacing w:val="-2"/>
                <w:sz w:val="18"/>
              </w:rPr>
              <w:t>$218.09</w:t>
            </w:r>
          </w:p>
        </w:tc>
        <w:tc>
          <w:tcPr>
            <w:tcW w:w="1146" w:type="dxa"/>
            <w:tcBorders>
              <w:right w:val="nil"/>
            </w:tcBorders>
            <w:shd w:val="clear" w:color="auto" w:fill="CCE2ED"/>
          </w:tcPr>
          <w:p w14:paraId="7401D51D" w14:textId="77777777" w:rsidR="00141B97" w:rsidRDefault="00911D63">
            <w:pPr>
              <w:pStyle w:val="TableParagraph"/>
              <w:spacing w:before="2"/>
              <w:ind w:right="76"/>
              <w:jc w:val="right"/>
              <w:rPr>
                <w:sz w:val="18"/>
              </w:rPr>
            </w:pPr>
            <w:r>
              <w:rPr>
                <w:spacing w:val="-2"/>
                <w:sz w:val="18"/>
              </w:rPr>
              <w:t>$218.76</w:t>
            </w:r>
          </w:p>
        </w:tc>
      </w:tr>
      <w:tr w:rsidR="00141B97" w14:paraId="16C72B57" w14:textId="77777777">
        <w:trPr>
          <w:trHeight w:val="254"/>
        </w:trPr>
        <w:tc>
          <w:tcPr>
            <w:tcW w:w="9752" w:type="dxa"/>
            <w:gridSpan w:val="8"/>
            <w:tcBorders>
              <w:left w:val="nil"/>
              <w:right w:val="nil"/>
            </w:tcBorders>
            <w:shd w:val="clear" w:color="auto" w:fill="BFBFBF"/>
          </w:tcPr>
          <w:p w14:paraId="5B20DCE5" w14:textId="77777777" w:rsidR="00141B97" w:rsidRDefault="00911D63">
            <w:pPr>
              <w:pStyle w:val="TableParagraph"/>
              <w:spacing w:before="2"/>
              <w:ind w:left="98"/>
              <w:rPr>
                <w:sz w:val="18"/>
              </w:rPr>
            </w:pPr>
            <w:r>
              <w:rPr>
                <w:sz w:val="18"/>
              </w:rPr>
              <w:t>Sewerage</w:t>
            </w:r>
            <w:r>
              <w:rPr>
                <w:spacing w:val="-7"/>
                <w:sz w:val="18"/>
              </w:rPr>
              <w:t xml:space="preserve"> </w:t>
            </w:r>
            <w:r>
              <w:rPr>
                <w:sz w:val="18"/>
              </w:rPr>
              <w:t>Service</w:t>
            </w:r>
            <w:r>
              <w:rPr>
                <w:spacing w:val="-6"/>
                <w:sz w:val="18"/>
              </w:rPr>
              <w:t xml:space="preserve"> </w:t>
            </w:r>
            <w:r>
              <w:rPr>
                <w:sz w:val="18"/>
              </w:rPr>
              <w:t>Charges</w:t>
            </w:r>
            <w:r>
              <w:rPr>
                <w:spacing w:val="-5"/>
                <w:sz w:val="18"/>
              </w:rPr>
              <w:t xml:space="preserve"> </w:t>
            </w:r>
            <w:r>
              <w:rPr>
                <w:sz w:val="18"/>
              </w:rPr>
              <w:t>(base</w:t>
            </w:r>
            <w:r>
              <w:rPr>
                <w:spacing w:val="-7"/>
                <w:sz w:val="18"/>
              </w:rPr>
              <w:t xml:space="preserve"> </w:t>
            </w:r>
            <w:r>
              <w:rPr>
                <w:spacing w:val="-2"/>
                <w:sz w:val="18"/>
              </w:rPr>
              <w:t>charge)*</w:t>
            </w:r>
          </w:p>
        </w:tc>
      </w:tr>
      <w:tr w:rsidR="00141B97" w14:paraId="6F178D6D" w14:textId="77777777">
        <w:trPr>
          <w:trHeight w:val="254"/>
        </w:trPr>
        <w:tc>
          <w:tcPr>
            <w:tcW w:w="2201" w:type="dxa"/>
            <w:tcBorders>
              <w:left w:val="nil"/>
            </w:tcBorders>
            <w:shd w:val="clear" w:color="auto" w:fill="CCE2ED"/>
          </w:tcPr>
          <w:p w14:paraId="71D65C87" w14:textId="77777777" w:rsidR="00141B97" w:rsidRDefault="00911D63">
            <w:pPr>
              <w:pStyle w:val="TableParagraph"/>
              <w:spacing w:before="2"/>
              <w:ind w:left="88"/>
              <w:rPr>
                <w:sz w:val="18"/>
              </w:rPr>
            </w:pPr>
            <w:r>
              <w:rPr>
                <w:spacing w:val="-2"/>
                <w:sz w:val="18"/>
              </w:rPr>
              <w:t>Residential</w:t>
            </w:r>
          </w:p>
        </w:tc>
        <w:tc>
          <w:tcPr>
            <w:tcW w:w="1836" w:type="dxa"/>
            <w:tcBorders>
              <w:right w:val="single" w:sz="4" w:space="0" w:color="FFFFFF"/>
            </w:tcBorders>
            <w:shd w:val="clear" w:color="auto" w:fill="CCE2ED"/>
          </w:tcPr>
          <w:p w14:paraId="47A8A286" w14:textId="77777777" w:rsidR="00141B97" w:rsidRDefault="00911D63">
            <w:pPr>
              <w:pStyle w:val="TableParagraph"/>
              <w:spacing w:before="1"/>
              <w:ind w:right="115"/>
              <w:jc w:val="right"/>
              <w:rPr>
                <w:sz w:val="18"/>
              </w:rPr>
            </w:pPr>
            <w:r>
              <w:rPr>
                <w:spacing w:val="-2"/>
                <w:sz w:val="18"/>
              </w:rPr>
              <w:t>$508.64</w:t>
            </w:r>
          </w:p>
        </w:tc>
        <w:tc>
          <w:tcPr>
            <w:tcW w:w="1053" w:type="dxa"/>
            <w:tcBorders>
              <w:left w:val="single" w:sz="4" w:space="0" w:color="FFFFFF"/>
              <w:right w:val="single" w:sz="4" w:space="0" w:color="FFFFFF"/>
            </w:tcBorders>
            <w:shd w:val="clear" w:color="auto" w:fill="CCE2ED"/>
          </w:tcPr>
          <w:p w14:paraId="2B6FD5B5" w14:textId="77777777" w:rsidR="00141B97" w:rsidRDefault="00911D63">
            <w:pPr>
              <w:pStyle w:val="TableParagraph"/>
              <w:spacing w:before="1"/>
              <w:ind w:right="94"/>
              <w:jc w:val="right"/>
              <w:rPr>
                <w:sz w:val="18"/>
              </w:rPr>
            </w:pPr>
            <w:r>
              <w:rPr>
                <w:spacing w:val="-2"/>
                <w:sz w:val="18"/>
              </w:rPr>
              <w:t>$510.19</w:t>
            </w:r>
          </w:p>
        </w:tc>
        <w:tc>
          <w:tcPr>
            <w:tcW w:w="1177" w:type="dxa"/>
            <w:tcBorders>
              <w:left w:val="single" w:sz="4" w:space="0" w:color="FFFFFF"/>
              <w:right w:val="single" w:sz="4" w:space="0" w:color="FFFFFF"/>
            </w:tcBorders>
            <w:shd w:val="clear" w:color="auto" w:fill="CCE2ED"/>
          </w:tcPr>
          <w:p w14:paraId="7C665139" w14:textId="77777777" w:rsidR="00141B97" w:rsidRDefault="00911D63">
            <w:pPr>
              <w:pStyle w:val="TableParagraph"/>
              <w:spacing w:before="1"/>
              <w:ind w:right="100"/>
              <w:jc w:val="right"/>
              <w:rPr>
                <w:sz w:val="18"/>
              </w:rPr>
            </w:pPr>
            <w:r>
              <w:rPr>
                <w:spacing w:val="-2"/>
                <w:sz w:val="18"/>
              </w:rPr>
              <w:t>$511.74</w:t>
            </w:r>
          </w:p>
        </w:tc>
        <w:tc>
          <w:tcPr>
            <w:tcW w:w="1159" w:type="dxa"/>
            <w:tcBorders>
              <w:left w:val="single" w:sz="4" w:space="0" w:color="FFFFFF"/>
              <w:right w:val="single" w:sz="4" w:space="0" w:color="FFFFFF"/>
            </w:tcBorders>
            <w:shd w:val="clear" w:color="auto" w:fill="CCE2ED"/>
          </w:tcPr>
          <w:p w14:paraId="7C46FB0E" w14:textId="77777777" w:rsidR="00141B97" w:rsidRDefault="00911D63">
            <w:pPr>
              <w:pStyle w:val="TableParagraph"/>
              <w:spacing w:before="1"/>
              <w:ind w:right="94"/>
              <w:jc w:val="right"/>
              <w:rPr>
                <w:sz w:val="18"/>
              </w:rPr>
            </w:pPr>
            <w:r>
              <w:rPr>
                <w:spacing w:val="-2"/>
                <w:sz w:val="18"/>
              </w:rPr>
              <w:t>$513.29</w:t>
            </w:r>
          </w:p>
        </w:tc>
        <w:tc>
          <w:tcPr>
            <w:tcW w:w="1180" w:type="dxa"/>
            <w:gridSpan w:val="2"/>
            <w:tcBorders>
              <w:left w:val="single" w:sz="4" w:space="0" w:color="FFFFFF"/>
            </w:tcBorders>
            <w:shd w:val="clear" w:color="auto" w:fill="CCE2ED"/>
          </w:tcPr>
          <w:p w14:paraId="4A1A31F6" w14:textId="77777777" w:rsidR="00141B97" w:rsidRDefault="00911D63">
            <w:pPr>
              <w:pStyle w:val="TableParagraph"/>
              <w:spacing w:before="1"/>
              <w:ind w:left="462"/>
              <w:rPr>
                <w:sz w:val="18"/>
              </w:rPr>
            </w:pPr>
            <w:r>
              <w:rPr>
                <w:spacing w:val="-2"/>
                <w:sz w:val="18"/>
              </w:rPr>
              <w:t>$514.86</w:t>
            </w:r>
          </w:p>
        </w:tc>
        <w:tc>
          <w:tcPr>
            <w:tcW w:w="1146" w:type="dxa"/>
            <w:tcBorders>
              <w:right w:val="nil"/>
            </w:tcBorders>
            <w:shd w:val="clear" w:color="auto" w:fill="CCE2ED"/>
          </w:tcPr>
          <w:p w14:paraId="69FB772B" w14:textId="77777777" w:rsidR="00141B97" w:rsidRDefault="00911D63">
            <w:pPr>
              <w:pStyle w:val="TableParagraph"/>
              <w:spacing w:before="1"/>
              <w:ind w:right="76"/>
              <w:jc w:val="right"/>
              <w:rPr>
                <w:sz w:val="18"/>
              </w:rPr>
            </w:pPr>
            <w:r>
              <w:rPr>
                <w:spacing w:val="-2"/>
                <w:sz w:val="18"/>
              </w:rPr>
              <w:t>$516.42</w:t>
            </w:r>
          </w:p>
        </w:tc>
      </w:tr>
      <w:tr w:rsidR="00141B97" w14:paraId="5223034D" w14:textId="77777777">
        <w:trPr>
          <w:trHeight w:val="254"/>
        </w:trPr>
        <w:tc>
          <w:tcPr>
            <w:tcW w:w="2201" w:type="dxa"/>
            <w:tcBorders>
              <w:left w:val="nil"/>
            </w:tcBorders>
            <w:shd w:val="clear" w:color="auto" w:fill="CCE2ED"/>
          </w:tcPr>
          <w:p w14:paraId="75998282" w14:textId="77777777" w:rsidR="00141B97" w:rsidRDefault="00911D63">
            <w:pPr>
              <w:pStyle w:val="TableParagraph"/>
              <w:spacing w:before="3"/>
              <w:ind w:left="88"/>
              <w:rPr>
                <w:sz w:val="18"/>
              </w:rPr>
            </w:pPr>
            <w:r>
              <w:rPr>
                <w:spacing w:val="-2"/>
                <w:sz w:val="18"/>
              </w:rPr>
              <w:t>Non‐residential</w:t>
            </w:r>
          </w:p>
        </w:tc>
        <w:tc>
          <w:tcPr>
            <w:tcW w:w="1836" w:type="dxa"/>
            <w:tcBorders>
              <w:right w:val="single" w:sz="4" w:space="0" w:color="FFFFFF"/>
            </w:tcBorders>
            <w:shd w:val="clear" w:color="auto" w:fill="CCE2ED"/>
          </w:tcPr>
          <w:p w14:paraId="1D30B56E" w14:textId="77777777" w:rsidR="00141B97" w:rsidRDefault="00911D63">
            <w:pPr>
              <w:pStyle w:val="TableParagraph"/>
              <w:spacing w:before="2"/>
              <w:ind w:right="115"/>
              <w:jc w:val="right"/>
              <w:rPr>
                <w:sz w:val="18"/>
              </w:rPr>
            </w:pPr>
            <w:r>
              <w:rPr>
                <w:spacing w:val="-2"/>
                <w:sz w:val="18"/>
              </w:rPr>
              <w:t>$508.64</w:t>
            </w:r>
          </w:p>
        </w:tc>
        <w:tc>
          <w:tcPr>
            <w:tcW w:w="1053" w:type="dxa"/>
            <w:tcBorders>
              <w:left w:val="single" w:sz="4" w:space="0" w:color="FFFFFF"/>
              <w:right w:val="single" w:sz="4" w:space="0" w:color="FFFFFF"/>
            </w:tcBorders>
            <w:shd w:val="clear" w:color="auto" w:fill="CCE2ED"/>
          </w:tcPr>
          <w:p w14:paraId="70AD0EB4" w14:textId="77777777" w:rsidR="00141B97" w:rsidRDefault="00911D63">
            <w:pPr>
              <w:pStyle w:val="TableParagraph"/>
              <w:spacing w:before="2"/>
              <w:ind w:right="94"/>
              <w:jc w:val="right"/>
              <w:rPr>
                <w:sz w:val="18"/>
              </w:rPr>
            </w:pPr>
            <w:r>
              <w:rPr>
                <w:spacing w:val="-2"/>
                <w:sz w:val="18"/>
              </w:rPr>
              <w:t>$510.19</w:t>
            </w:r>
          </w:p>
        </w:tc>
        <w:tc>
          <w:tcPr>
            <w:tcW w:w="1177" w:type="dxa"/>
            <w:tcBorders>
              <w:left w:val="single" w:sz="4" w:space="0" w:color="FFFFFF"/>
              <w:right w:val="single" w:sz="4" w:space="0" w:color="FFFFFF"/>
            </w:tcBorders>
            <w:shd w:val="clear" w:color="auto" w:fill="CCE2ED"/>
          </w:tcPr>
          <w:p w14:paraId="3A1A161D" w14:textId="77777777" w:rsidR="00141B97" w:rsidRDefault="00911D63">
            <w:pPr>
              <w:pStyle w:val="TableParagraph"/>
              <w:spacing w:before="2"/>
              <w:ind w:right="100"/>
              <w:jc w:val="right"/>
              <w:rPr>
                <w:sz w:val="18"/>
              </w:rPr>
            </w:pPr>
            <w:r>
              <w:rPr>
                <w:spacing w:val="-2"/>
                <w:sz w:val="18"/>
              </w:rPr>
              <w:t>$511.74</w:t>
            </w:r>
          </w:p>
        </w:tc>
        <w:tc>
          <w:tcPr>
            <w:tcW w:w="1159" w:type="dxa"/>
            <w:tcBorders>
              <w:left w:val="single" w:sz="4" w:space="0" w:color="FFFFFF"/>
              <w:right w:val="single" w:sz="4" w:space="0" w:color="FFFFFF"/>
            </w:tcBorders>
            <w:shd w:val="clear" w:color="auto" w:fill="CCE2ED"/>
          </w:tcPr>
          <w:p w14:paraId="15CF20CB" w14:textId="77777777" w:rsidR="00141B97" w:rsidRDefault="00911D63">
            <w:pPr>
              <w:pStyle w:val="TableParagraph"/>
              <w:spacing w:before="2"/>
              <w:ind w:right="94"/>
              <w:jc w:val="right"/>
              <w:rPr>
                <w:sz w:val="18"/>
              </w:rPr>
            </w:pPr>
            <w:r>
              <w:rPr>
                <w:spacing w:val="-2"/>
                <w:sz w:val="18"/>
              </w:rPr>
              <w:t>$513.29</w:t>
            </w:r>
          </w:p>
        </w:tc>
        <w:tc>
          <w:tcPr>
            <w:tcW w:w="1180" w:type="dxa"/>
            <w:gridSpan w:val="2"/>
            <w:tcBorders>
              <w:left w:val="single" w:sz="4" w:space="0" w:color="FFFFFF"/>
            </w:tcBorders>
            <w:shd w:val="clear" w:color="auto" w:fill="CCE2ED"/>
          </w:tcPr>
          <w:p w14:paraId="4629BF72" w14:textId="77777777" w:rsidR="00141B97" w:rsidRDefault="00911D63">
            <w:pPr>
              <w:pStyle w:val="TableParagraph"/>
              <w:spacing w:before="2"/>
              <w:ind w:left="462"/>
              <w:rPr>
                <w:sz w:val="18"/>
              </w:rPr>
            </w:pPr>
            <w:r>
              <w:rPr>
                <w:spacing w:val="-2"/>
                <w:sz w:val="18"/>
              </w:rPr>
              <w:t>$514.86</w:t>
            </w:r>
          </w:p>
        </w:tc>
        <w:tc>
          <w:tcPr>
            <w:tcW w:w="1146" w:type="dxa"/>
            <w:tcBorders>
              <w:right w:val="nil"/>
            </w:tcBorders>
            <w:shd w:val="clear" w:color="auto" w:fill="CCE2ED"/>
          </w:tcPr>
          <w:p w14:paraId="4AA25EFE" w14:textId="77777777" w:rsidR="00141B97" w:rsidRDefault="00911D63">
            <w:pPr>
              <w:pStyle w:val="TableParagraph"/>
              <w:spacing w:before="2"/>
              <w:ind w:right="76"/>
              <w:jc w:val="right"/>
              <w:rPr>
                <w:sz w:val="18"/>
              </w:rPr>
            </w:pPr>
            <w:r>
              <w:rPr>
                <w:spacing w:val="-2"/>
                <w:sz w:val="18"/>
              </w:rPr>
              <w:t>$516.42</w:t>
            </w:r>
          </w:p>
        </w:tc>
      </w:tr>
      <w:tr w:rsidR="00141B97" w14:paraId="23DBE158" w14:textId="77777777">
        <w:trPr>
          <w:trHeight w:val="254"/>
        </w:trPr>
        <w:tc>
          <w:tcPr>
            <w:tcW w:w="9752" w:type="dxa"/>
            <w:gridSpan w:val="8"/>
            <w:tcBorders>
              <w:left w:val="nil"/>
              <w:right w:val="nil"/>
            </w:tcBorders>
            <w:shd w:val="clear" w:color="auto" w:fill="BFBFBF"/>
          </w:tcPr>
          <w:p w14:paraId="24427053" w14:textId="77777777" w:rsidR="00141B97" w:rsidRDefault="00911D63">
            <w:pPr>
              <w:pStyle w:val="TableParagraph"/>
              <w:spacing w:before="3"/>
              <w:ind w:left="98"/>
              <w:rPr>
                <w:sz w:val="18"/>
              </w:rPr>
            </w:pPr>
            <w:r>
              <w:rPr>
                <w:sz w:val="18"/>
              </w:rPr>
              <w:t>Water</w:t>
            </w:r>
            <w:r>
              <w:rPr>
                <w:spacing w:val="-6"/>
                <w:sz w:val="18"/>
              </w:rPr>
              <w:t xml:space="preserve"> </w:t>
            </w:r>
            <w:r>
              <w:rPr>
                <w:sz w:val="18"/>
              </w:rPr>
              <w:t>Volumetric</w:t>
            </w:r>
            <w:r>
              <w:rPr>
                <w:spacing w:val="-5"/>
                <w:sz w:val="18"/>
              </w:rPr>
              <w:t xml:space="preserve"> </w:t>
            </w:r>
            <w:r>
              <w:rPr>
                <w:sz w:val="18"/>
              </w:rPr>
              <w:t>Charges‐</w:t>
            </w:r>
            <w:r>
              <w:rPr>
                <w:spacing w:val="-5"/>
                <w:sz w:val="18"/>
              </w:rPr>
              <w:t xml:space="preserve"> </w:t>
            </w:r>
            <w:r>
              <w:rPr>
                <w:sz w:val="18"/>
              </w:rPr>
              <w:t>per</w:t>
            </w:r>
            <w:r>
              <w:rPr>
                <w:spacing w:val="-6"/>
                <w:sz w:val="18"/>
              </w:rPr>
              <w:t xml:space="preserve"> </w:t>
            </w:r>
            <w:r>
              <w:rPr>
                <w:spacing w:val="-5"/>
                <w:sz w:val="18"/>
              </w:rPr>
              <w:t>kL</w:t>
            </w:r>
          </w:p>
        </w:tc>
      </w:tr>
      <w:tr w:rsidR="00141B97" w14:paraId="60854371" w14:textId="77777777">
        <w:trPr>
          <w:trHeight w:val="254"/>
        </w:trPr>
        <w:tc>
          <w:tcPr>
            <w:tcW w:w="2201" w:type="dxa"/>
            <w:tcBorders>
              <w:left w:val="nil"/>
            </w:tcBorders>
            <w:shd w:val="clear" w:color="auto" w:fill="CCE2ED"/>
          </w:tcPr>
          <w:p w14:paraId="4560A17E" w14:textId="77777777" w:rsidR="00141B97" w:rsidRDefault="00911D63">
            <w:pPr>
              <w:pStyle w:val="TableParagraph"/>
              <w:spacing w:before="3"/>
              <w:ind w:left="88"/>
              <w:rPr>
                <w:sz w:val="18"/>
              </w:rPr>
            </w:pPr>
            <w:r>
              <w:rPr>
                <w:sz w:val="18"/>
              </w:rPr>
              <w:t>1</w:t>
            </w:r>
            <w:r>
              <w:rPr>
                <w:sz w:val="18"/>
                <w:vertAlign w:val="superscript"/>
              </w:rPr>
              <w:t>st</w:t>
            </w:r>
            <w:r>
              <w:rPr>
                <w:spacing w:val="-4"/>
                <w:sz w:val="18"/>
              </w:rPr>
              <w:t xml:space="preserve"> </w:t>
            </w:r>
            <w:r>
              <w:rPr>
                <w:sz w:val="18"/>
              </w:rPr>
              <w:t>tier</w:t>
            </w:r>
            <w:r>
              <w:rPr>
                <w:spacing w:val="-4"/>
                <w:sz w:val="18"/>
              </w:rPr>
              <w:t xml:space="preserve"> </w:t>
            </w:r>
            <w:r>
              <w:rPr>
                <w:spacing w:val="-2"/>
                <w:sz w:val="18"/>
              </w:rPr>
              <w:t>residential</w:t>
            </w:r>
          </w:p>
        </w:tc>
        <w:tc>
          <w:tcPr>
            <w:tcW w:w="1836" w:type="dxa"/>
            <w:tcBorders>
              <w:right w:val="single" w:sz="4" w:space="0" w:color="FFFFFF"/>
            </w:tcBorders>
            <w:shd w:val="clear" w:color="auto" w:fill="CCE2ED"/>
          </w:tcPr>
          <w:p w14:paraId="27204547" w14:textId="77777777" w:rsidR="00141B97" w:rsidRDefault="00911D63">
            <w:pPr>
              <w:pStyle w:val="TableParagraph"/>
              <w:spacing w:before="2"/>
              <w:ind w:right="115"/>
              <w:jc w:val="right"/>
              <w:rPr>
                <w:sz w:val="18"/>
              </w:rPr>
            </w:pPr>
            <w:r>
              <w:rPr>
                <w:spacing w:val="-2"/>
                <w:sz w:val="18"/>
              </w:rPr>
              <w:t>0.4678</w:t>
            </w:r>
          </w:p>
        </w:tc>
        <w:tc>
          <w:tcPr>
            <w:tcW w:w="1053" w:type="dxa"/>
            <w:tcBorders>
              <w:left w:val="single" w:sz="4" w:space="0" w:color="FFFFFF"/>
              <w:right w:val="single" w:sz="4" w:space="0" w:color="FFFFFF"/>
            </w:tcBorders>
            <w:shd w:val="clear" w:color="auto" w:fill="CCE2ED"/>
          </w:tcPr>
          <w:p w14:paraId="1C0E7ADA" w14:textId="77777777" w:rsidR="00141B97" w:rsidRDefault="00911D63">
            <w:pPr>
              <w:pStyle w:val="TableParagraph"/>
              <w:spacing w:before="2"/>
              <w:ind w:right="94"/>
              <w:jc w:val="right"/>
              <w:rPr>
                <w:sz w:val="18"/>
              </w:rPr>
            </w:pPr>
            <w:r>
              <w:rPr>
                <w:spacing w:val="-2"/>
                <w:sz w:val="18"/>
              </w:rPr>
              <w:t>0.4692</w:t>
            </w:r>
          </w:p>
        </w:tc>
        <w:tc>
          <w:tcPr>
            <w:tcW w:w="1177" w:type="dxa"/>
            <w:tcBorders>
              <w:left w:val="single" w:sz="4" w:space="0" w:color="FFFFFF"/>
              <w:right w:val="single" w:sz="4" w:space="0" w:color="FFFFFF"/>
            </w:tcBorders>
            <w:shd w:val="clear" w:color="auto" w:fill="CCE2ED"/>
          </w:tcPr>
          <w:p w14:paraId="728BD0AA" w14:textId="77777777" w:rsidR="00141B97" w:rsidRDefault="00911D63">
            <w:pPr>
              <w:pStyle w:val="TableParagraph"/>
              <w:spacing w:before="2"/>
              <w:ind w:right="100"/>
              <w:jc w:val="right"/>
              <w:rPr>
                <w:sz w:val="18"/>
              </w:rPr>
            </w:pPr>
            <w:r>
              <w:rPr>
                <w:spacing w:val="-2"/>
                <w:sz w:val="18"/>
              </w:rPr>
              <w:t>0.4706</w:t>
            </w:r>
          </w:p>
        </w:tc>
        <w:tc>
          <w:tcPr>
            <w:tcW w:w="1159" w:type="dxa"/>
            <w:tcBorders>
              <w:left w:val="single" w:sz="4" w:space="0" w:color="FFFFFF"/>
              <w:right w:val="single" w:sz="4" w:space="0" w:color="FFFFFF"/>
            </w:tcBorders>
            <w:shd w:val="clear" w:color="auto" w:fill="CCE2ED"/>
          </w:tcPr>
          <w:p w14:paraId="78D0F0EE" w14:textId="77777777" w:rsidR="00141B97" w:rsidRDefault="00911D63">
            <w:pPr>
              <w:pStyle w:val="TableParagraph"/>
              <w:spacing w:before="2"/>
              <w:ind w:right="94"/>
              <w:jc w:val="right"/>
              <w:rPr>
                <w:sz w:val="18"/>
              </w:rPr>
            </w:pPr>
            <w:r>
              <w:rPr>
                <w:spacing w:val="-2"/>
                <w:sz w:val="18"/>
              </w:rPr>
              <w:t>0.4721</w:t>
            </w:r>
          </w:p>
        </w:tc>
        <w:tc>
          <w:tcPr>
            <w:tcW w:w="1180" w:type="dxa"/>
            <w:gridSpan w:val="2"/>
            <w:tcBorders>
              <w:left w:val="single" w:sz="4" w:space="0" w:color="FFFFFF"/>
            </w:tcBorders>
            <w:shd w:val="clear" w:color="auto" w:fill="CCE2ED"/>
          </w:tcPr>
          <w:p w14:paraId="02B7DF50" w14:textId="77777777" w:rsidR="00141B97" w:rsidRDefault="00911D63">
            <w:pPr>
              <w:pStyle w:val="TableParagraph"/>
              <w:spacing w:before="2"/>
              <w:ind w:left="553"/>
              <w:rPr>
                <w:sz w:val="18"/>
              </w:rPr>
            </w:pPr>
            <w:r>
              <w:rPr>
                <w:spacing w:val="-2"/>
                <w:sz w:val="18"/>
              </w:rPr>
              <w:t>0.4735</w:t>
            </w:r>
          </w:p>
        </w:tc>
        <w:tc>
          <w:tcPr>
            <w:tcW w:w="1146" w:type="dxa"/>
            <w:tcBorders>
              <w:right w:val="nil"/>
            </w:tcBorders>
            <w:shd w:val="clear" w:color="auto" w:fill="CCE2ED"/>
          </w:tcPr>
          <w:p w14:paraId="62FEB57C" w14:textId="77777777" w:rsidR="00141B97" w:rsidRDefault="00911D63">
            <w:pPr>
              <w:pStyle w:val="TableParagraph"/>
              <w:spacing w:before="2"/>
              <w:ind w:right="76"/>
              <w:jc w:val="right"/>
              <w:rPr>
                <w:sz w:val="18"/>
              </w:rPr>
            </w:pPr>
            <w:r>
              <w:rPr>
                <w:spacing w:val="-2"/>
                <w:sz w:val="18"/>
              </w:rPr>
              <w:t>0.4750</w:t>
            </w:r>
          </w:p>
        </w:tc>
      </w:tr>
      <w:tr w:rsidR="00141B97" w14:paraId="364FBF9C" w14:textId="77777777">
        <w:trPr>
          <w:trHeight w:val="255"/>
        </w:trPr>
        <w:tc>
          <w:tcPr>
            <w:tcW w:w="2201" w:type="dxa"/>
            <w:tcBorders>
              <w:left w:val="nil"/>
            </w:tcBorders>
            <w:shd w:val="clear" w:color="auto" w:fill="CCE2ED"/>
          </w:tcPr>
          <w:p w14:paraId="73793E62" w14:textId="77777777" w:rsidR="00141B97" w:rsidRDefault="00911D63">
            <w:pPr>
              <w:pStyle w:val="TableParagraph"/>
              <w:spacing w:before="3"/>
              <w:ind w:left="88"/>
              <w:rPr>
                <w:sz w:val="18"/>
              </w:rPr>
            </w:pPr>
            <w:r>
              <w:rPr>
                <w:sz w:val="18"/>
              </w:rPr>
              <w:t>2</w:t>
            </w:r>
            <w:r>
              <w:rPr>
                <w:sz w:val="18"/>
                <w:vertAlign w:val="superscript"/>
              </w:rPr>
              <w:t>nd</w:t>
            </w:r>
            <w:r>
              <w:rPr>
                <w:spacing w:val="-4"/>
                <w:sz w:val="18"/>
              </w:rPr>
              <w:t xml:space="preserve"> </w:t>
            </w:r>
            <w:r>
              <w:rPr>
                <w:sz w:val="18"/>
              </w:rPr>
              <w:t>tier</w:t>
            </w:r>
            <w:r>
              <w:rPr>
                <w:spacing w:val="-4"/>
                <w:sz w:val="18"/>
              </w:rPr>
              <w:t xml:space="preserve"> </w:t>
            </w:r>
            <w:r>
              <w:rPr>
                <w:spacing w:val="-2"/>
                <w:sz w:val="18"/>
              </w:rPr>
              <w:t>residential</w:t>
            </w:r>
          </w:p>
        </w:tc>
        <w:tc>
          <w:tcPr>
            <w:tcW w:w="1836" w:type="dxa"/>
            <w:tcBorders>
              <w:right w:val="single" w:sz="4" w:space="0" w:color="FFFFFF"/>
            </w:tcBorders>
            <w:shd w:val="clear" w:color="auto" w:fill="CCE2ED"/>
          </w:tcPr>
          <w:p w14:paraId="0D5B2ADE" w14:textId="77777777" w:rsidR="00141B97" w:rsidRDefault="00911D63">
            <w:pPr>
              <w:pStyle w:val="TableParagraph"/>
              <w:spacing w:before="2"/>
              <w:ind w:right="115"/>
              <w:jc w:val="right"/>
              <w:rPr>
                <w:sz w:val="18"/>
              </w:rPr>
            </w:pPr>
            <w:r>
              <w:rPr>
                <w:spacing w:val="-2"/>
                <w:sz w:val="18"/>
              </w:rPr>
              <w:t>0.8515</w:t>
            </w:r>
          </w:p>
        </w:tc>
        <w:tc>
          <w:tcPr>
            <w:tcW w:w="1053" w:type="dxa"/>
            <w:tcBorders>
              <w:left w:val="single" w:sz="4" w:space="0" w:color="FFFFFF"/>
              <w:right w:val="single" w:sz="4" w:space="0" w:color="FFFFFF"/>
            </w:tcBorders>
            <w:shd w:val="clear" w:color="auto" w:fill="CCE2ED"/>
          </w:tcPr>
          <w:p w14:paraId="7D884476" w14:textId="77777777" w:rsidR="00141B97" w:rsidRDefault="00911D63">
            <w:pPr>
              <w:pStyle w:val="TableParagraph"/>
              <w:spacing w:before="2"/>
              <w:ind w:right="94"/>
              <w:jc w:val="right"/>
              <w:rPr>
                <w:sz w:val="18"/>
              </w:rPr>
            </w:pPr>
            <w:r>
              <w:rPr>
                <w:spacing w:val="-2"/>
                <w:sz w:val="18"/>
              </w:rPr>
              <w:t>0.8541</w:t>
            </w:r>
          </w:p>
        </w:tc>
        <w:tc>
          <w:tcPr>
            <w:tcW w:w="1177" w:type="dxa"/>
            <w:tcBorders>
              <w:left w:val="single" w:sz="4" w:space="0" w:color="FFFFFF"/>
              <w:right w:val="single" w:sz="4" w:space="0" w:color="FFFFFF"/>
            </w:tcBorders>
            <w:shd w:val="clear" w:color="auto" w:fill="CCE2ED"/>
          </w:tcPr>
          <w:p w14:paraId="6FB75D73" w14:textId="77777777" w:rsidR="00141B97" w:rsidRDefault="00911D63">
            <w:pPr>
              <w:pStyle w:val="TableParagraph"/>
              <w:spacing w:before="2"/>
              <w:ind w:right="100"/>
              <w:jc w:val="right"/>
              <w:rPr>
                <w:sz w:val="18"/>
              </w:rPr>
            </w:pPr>
            <w:r>
              <w:rPr>
                <w:spacing w:val="-2"/>
                <w:sz w:val="18"/>
              </w:rPr>
              <w:t>0.8567</w:t>
            </w:r>
          </w:p>
        </w:tc>
        <w:tc>
          <w:tcPr>
            <w:tcW w:w="1159" w:type="dxa"/>
            <w:tcBorders>
              <w:left w:val="single" w:sz="4" w:space="0" w:color="FFFFFF"/>
              <w:right w:val="single" w:sz="4" w:space="0" w:color="FFFFFF"/>
            </w:tcBorders>
            <w:shd w:val="clear" w:color="auto" w:fill="CCE2ED"/>
          </w:tcPr>
          <w:p w14:paraId="6888E4E8" w14:textId="77777777" w:rsidR="00141B97" w:rsidRDefault="00911D63">
            <w:pPr>
              <w:pStyle w:val="TableParagraph"/>
              <w:spacing w:before="2"/>
              <w:ind w:right="94"/>
              <w:jc w:val="right"/>
              <w:rPr>
                <w:sz w:val="18"/>
              </w:rPr>
            </w:pPr>
            <w:r>
              <w:rPr>
                <w:spacing w:val="-2"/>
                <w:sz w:val="18"/>
              </w:rPr>
              <w:t>0.8593</w:t>
            </w:r>
          </w:p>
        </w:tc>
        <w:tc>
          <w:tcPr>
            <w:tcW w:w="1180" w:type="dxa"/>
            <w:gridSpan w:val="2"/>
            <w:tcBorders>
              <w:left w:val="single" w:sz="4" w:space="0" w:color="FFFFFF"/>
            </w:tcBorders>
            <w:shd w:val="clear" w:color="auto" w:fill="CCE2ED"/>
          </w:tcPr>
          <w:p w14:paraId="66C29A48" w14:textId="77777777" w:rsidR="00141B97" w:rsidRDefault="00911D63">
            <w:pPr>
              <w:pStyle w:val="TableParagraph"/>
              <w:spacing w:before="2"/>
              <w:ind w:left="553"/>
              <w:rPr>
                <w:sz w:val="18"/>
              </w:rPr>
            </w:pPr>
            <w:r>
              <w:rPr>
                <w:spacing w:val="-2"/>
                <w:sz w:val="18"/>
              </w:rPr>
              <w:t>0.8619</w:t>
            </w:r>
          </w:p>
        </w:tc>
        <w:tc>
          <w:tcPr>
            <w:tcW w:w="1146" w:type="dxa"/>
            <w:tcBorders>
              <w:right w:val="nil"/>
            </w:tcBorders>
            <w:shd w:val="clear" w:color="auto" w:fill="CCE2ED"/>
          </w:tcPr>
          <w:p w14:paraId="52A59B9D" w14:textId="77777777" w:rsidR="00141B97" w:rsidRDefault="00911D63">
            <w:pPr>
              <w:pStyle w:val="TableParagraph"/>
              <w:spacing w:before="2"/>
              <w:ind w:right="76"/>
              <w:jc w:val="right"/>
              <w:rPr>
                <w:sz w:val="18"/>
              </w:rPr>
            </w:pPr>
            <w:r>
              <w:rPr>
                <w:spacing w:val="-2"/>
                <w:sz w:val="18"/>
              </w:rPr>
              <w:t>0.8645</w:t>
            </w:r>
          </w:p>
        </w:tc>
      </w:tr>
      <w:tr w:rsidR="00141B97" w14:paraId="13A4C1B8" w14:textId="77777777">
        <w:trPr>
          <w:trHeight w:val="299"/>
        </w:trPr>
        <w:tc>
          <w:tcPr>
            <w:tcW w:w="2201" w:type="dxa"/>
            <w:tcBorders>
              <w:left w:val="nil"/>
            </w:tcBorders>
            <w:shd w:val="clear" w:color="auto" w:fill="CCE2ED"/>
          </w:tcPr>
          <w:p w14:paraId="2C769AE4" w14:textId="77777777" w:rsidR="00141B97" w:rsidRDefault="00911D63">
            <w:pPr>
              <w:pStyle w:val="TableParagraph"/>
              <w:spacing w:before="25"/>
              <w:ind w:left="88"/>
              <w:rPr>
                <w:sz w:val="18"/>
              </w:rPr>
            </w:pPr>
            <w:r>
              <w:rPr>
                <w:sz w:val="18"/>
              </w:rPr>
              <w:t>3</w:t>
            </w:r>
            <w:r>
              <w:rPr>
                <w:sz w:val="18"/>
                <w:vertAlign w:val="superscript"/>
              </w:rPr>
              <w:t>rd</w:t>
            </w:r>
            <w:r>
              <w:rPr>
                <w:spacing w:val="-4"/>
                <w:sz w:val="18"/>
              </w:rPr>
              <w:t xml:space="preserve"> </w:t>
            </w:r>
            <w:r>
              <w:rPr>
                <w:sz w:val="18"/>
              </w:rPr>
              <w:t>tier</w:t>
            </w:r>
            <w:r>
              <w:rPr>
                <w:spacing w:val="-4"/>
                <w:sz w:val="18"/>
              </w:rPr>
              <w:t xml:space="preserve"> </w:t>
            </w:r>
            <w:r>
              <w:rPr>
                <w:spacing w:val="-2"/>
                <w:sz w:val="18"/>
              </w:rPr>
              <w:t>residential</w:t>
            </w:r>
          </w:p>
        </w:tc>
        <w:tc>
          <w:tcPr>
            <w:tcW w:w="1836" w:type="dxa"/>
            <w:tcBorders>
              <w:right w:val="single" w:sz="4" w:space="0" w:color="FFFFFF"/>
            </w:tcBorders>
            <w:shd w:val="clear" w:color="auto" w:fill="CCE2ED"/>
          </w:tcPr>
          <w:p w14:paraId="5D20E0C9" w14:textId="77777777" w:rsidR="00141B97" w:rsidRDefault="00911D63">
            <w:pPr>
              <w:pStyle w:val="TableParagraph"/>
              <w:spacing w:before="1"/>
              <w:ind w:right="115"/>
              <w:jc w:val="right"/>
              <w:rPr>
                <w:sz w:val="18"/>
              </w:rPr>
            </w:pPr>
            <w:r>
              <w:rPr>
                <w:spacing w:val="-2"/>
                <w:sz w:val="18"/>
              </w:rPr>
              <w:t>1.0946</w:t>
            </w:r>
          </w:p>
        </w:tc>
        <w:tc>
          <w:tcPr>
            <w:tcW w:w="1053" w:type="dxa"/>
            <w:tcBorders>
              <w:left w:val="single" w:sz="4" w:space="0" w:color="FFFFFF"/>
              <w:right w:val="single" w:sz="4" w:space="0" w:color="FFFFFF"/>
            </w:tcBorders>
            <w:shd w:val="clear" w:color="auto" w:fill="CCE2ED"/>
          </w:tcPr>
          <w:p w14:paraId="515C758E" w14:textId="77777777" w:rsidR="00141B97" w:rsidRDefault="00911D63">
            <w:pPr>
              <w:pStyle w:val="TableParagraph"/>
              <w:spacing w:before="1"/>
              <w:ind w:right="94"/>
              <w:jc w:val="right"/>
              <w:rPr>
                <w:sz w:val="18"/>
              </w:rPr>
            </w:pPr>
            <w:r>
              <w:rPr>
                <w:spacing w:val="-2"/>
                <w:sz w:val="18"/>
              </w:rPr>
              <w:t>1.0979</w:t>
            </w:r>
          </w:p>
        </w:tc>
        <w:tc>
          <w:tcPr>
            <w:tcW w:w="1177" w:type="dxa"/>
            <w:tcBorders>
              <w:left w:val="single" w:sz="4" w:space="0" w:color="FFFFFF"/>
              <w:right w:val="single" w:sz="4" w:space="0" w:color="FFFFFF"/>
            </w:tcBorders>
            <w:shd w:val="clear" w:color="auto" w:fill="CCE2ED"/>
          </w:tcPr>
          <w:p w14:paraId="6316B00F" w14:textId="77777777" w:rsidR="00141B97" w:rsidRDefault="00911D63">
            <w:pPr>
              <w:pStyle w:val="TableParagraph"/>
              <w:spacing w:before="1"/>
              <w:ind w:right="100"/>
              <w:jc w:val="right"/>
              <w:rPr>
                <w:sz w:val="18"/>
              </w:rPr>
            </w:pPr>
            <w:r>
              <w:rPr>
                <w:spacing w:val="-2"/>
                <w:sz w:val="18"/>
              </w:rPr>
              <w:t>1.1013</w:t>
            </w:r>
          </w:p>
        </w:tc>
        <w:tc>
          <w:tcPr>
            <w:tcW w:w="1159" w:type="dxa"/>
            <w:tcBorders>
              <w:left w:val="single" w:sz="4" w:space="0" w:color="FFFFFF"/>
              <w:right w:val="single" w:sz="4" w:space="0" w:color="FFFFFF"/>
            </w:tcBorders>
            <w:shd w:val="clear" w:color="auto" w:fill="CCE2ED"/>
          </w:tcPr>
          <w:p w14:paraId="786D29BB" w14:textId="77777777" w:rsidR="00141B97" w:rsidRDefault="00911D63">
            <w:pPr>
              <w:pStyle w:val="TableParagraph"/>
              <w:spacing w:before="1"/>
              <w:ind w:right="94"/>
              <w:jc w:val="right"/>
              <w:rPr>
                <w:sz w:val="18"/>
              </w:rPr>
            </w:pPr>
            <w:r>
              <w:rPr>
                <w:spacing w:val="-2"/>
                <w:sz w:val="18"/>
              </w:rPr>
              <w:t>1.1046</w:t>
            </w:r>
          </w:p>
        </w:tc>
        <w:tc>
          <w:tcPr>
            <w:tcW w:w="1180" w:type="dxa"/>
            <w:gridSpan w:val="2"/>
            <w:tcBorders>
              <w:left w:val="single" w:sz="4" w:space="0" w:color="FFFFFF"/>
            </w:tcBorders>
            <w:shd w:val="clear" w:color="auto" w:fill="CCE2ED"/>
          </w:tcPr>
          <w:p w14:paraId="0EE6D58F" w14:textId="77777777" w:rsidR="00141B97" w:rsidRDefault="00911D63">
            <w:pPr>
              <w:pStyle w:val="TableParagraph"/>
              <w:spacing w:before="1"/>
              <w:ind w:left="553"/>
              <w:rPr>
                <w:sz w:val="18"/>
              </w:rPr>
            </w:pPr>
            <w:r>
              <w:rPr>
                <w:spacing w:val="-2"/>
                <w:sz w:val="18"/>
              </w:rPr>
              <w:t>1.1080</w:t>
            </w:r>
          </w:p>
        </w:tc>
        <w:tc>
          <w:tcPr>
            <w:tcW w:w="1146" w:type="dxa"/>
            <w:tcBorders>
              <w:right w:val="nil"/>
            </w:tcBorders>
            <w:shd w:val="clear" w:color="auto" w:fill="CCE2ED"/>
          </w:tcPr>
          <w:p w14:paraId="489B94B5" w14:textId="77777777" w:rsidR="00141B97" w:rsidRDefault="00911D63">
            <w:pPr>
              <w:pStyle w:val="TableParagraph"/>
              <w:spacing w:before="1"/>
              <w:ind w:right="76"/>
              <w:jc w:val="right"/>
              <w:rPr>
                <w:sz w:val="18"/>
              </w:rPr>
            </w:pPr>
            <w:r>
              <w:rPr>
                <w:spacing w:val="-2"/>
                <w:sz w:val="18"/>
              </w:rPr>
              <w:t>1.1113</w:t>
            </w:r>
          </w:p>
        </w:tc>
      </w:tr>
      <w:tr w:rsidR="00141B97" w14:paraId="5D0C7744" w14:textId="77777777">
        <w:trPr>
          <w:trHeight w:val="300"/>
        </w:trPr>
        <w:tc>
          <w:tcPr>
            <w:tcW w:w="2201" w:type="dxa"/>
            <w:tcBorders>
              <w:left w:val="nil"/>
            </w:tcBorders>
            <w:shd w:val="clear" w:color="auto" w:fill="CCE2ED"/>
          </w:tcPr>
          <w:p w14:paraId="32A85AC7" w14:textId="77777777" w:rsidR="00141B97" w:rsidRDefault="00911D63">
            <w:pPr>
              <w:pStyle w:val="TableParagraph"/>
              <w:spacing w:before="26"/>
              <w:ind w:left="88"/>
              <w:rPr>
                <w:sz w:val="18"/>
              </w:rPr>
            </w:pPr>
            <w:r>
              <w:rPr>
                <w:spacing w:val="-2"/>
                <w:sz w:val="18"/>
              </w:rPr>
              <w:t>Non‐residential</w:t>
            </w:r>
          </w:p>
        </w:tc>
        <w:tc>
          <w:tcPr>
            <w:tcW w:w="1836" w:type="dxa"/>
            <w:tcBorders>
              <w:right w:val="single" w:sz="4" w:space="0" w:color="FFFFFF"/>
            </w:tcBorders>
            <w:shd w:val="clear" w:color="auto" w:fill="CCE2ED"/>
          </w:tcPr>
          <w:p w14:paraId="7FAF6133" w14:textId="77777777" w:rsidR="00141B97" w:rsidRDefault="00911D63">
            <w:pPr>
              <w:pStyle w:val="TableParagraph"/>
              <w:spacing w:before="2"/>
              <w:ind w:right="115"/>
              <w:jc w:val="right"/>
              <w:rPr>
                <w:sz w:val="18"/>
              </w:rPr>
            </w:pPr>
            <w:r>
              <w:rPr>
                <w:spacing w:val="-2"/>
                <w:sz w:val="18"/>
              </w:rPr>
              <w:t>0.8515</w:t>
            </w:r>
          </w:p>
        </w:tc>
        <w:tc>
          <w:tcPr>
            <w:tcW w:w="1053" w:type="dxa"/>
            <w:tcBorders>
              <w:left w:val="single" w:sz="4" w:space="0" w:color="FFFFFF"/>
              <w:right w:val="single" w:sz="4" w:space="0" w:color="FFFFFF"/>
            </w:tcBorders>
            <w:shd w:val="clear" w:color="auto" w:fill="CCE2ED"/>
          </w:tcPr>
          <w:p w14:paraId="0630EABA" w14:textId="77777777" w:rsidR="00141B97" w:rsidRDefault="00911D63">
            <w:pPr>
              <w:pStyle w:val="TableParagraph"/>
              <w:spacing w:before="2"/>
              <w:ind w:right="94"/>
              <w:jc w:val="right"/>
              <w:rPr>
                <w:sz w:val="18"/>
              </w:rPr>
            </w:pPr>
            <w:r>
              <w:rPr>
                <w:spacing w:val="-2"/>
                <w:sz w:val="18"/>
              </w:rPr>
              <w:t>0.8541</w:t>
            </w:r>
          </w:p>
        </w:tc>
        <w:tc>
          <w:tcPr>
            <w:tcW w:w="1177" w:type="dxa"/>
            <w:tcBorders>
              <w:left w:val="single" w:sz="4" w:space="0" w:color="FFFFFF"/>
              <w:right w:val="single" w:sz="4" w:space="0" w:color="FFFFFF"/>
            </w:tcBorders>
            <w:shd w:val="clear" w:color="auto" w:fill="CCE2ED"/>
          </w:tcPr>
          <w:p w14:paraId="1DA9852A" w14:textId="77777777" w:rsidR="00141B97" w:rsidRDefault="00911D63">
            <w:pPr>
              <w:pStyle w:val="TableParagraph"/>
              <w:spacing w:before="2"/>
              <w:ind w:right="100"/>
              <w:jc w:val="right"/>
              <w:rPr>
                <w:sz w:val="18"/>
              </w:rPr>
            </w:pPr>
            <w:r>
              <w:rPr>
                <w:spacing w:val="-2"/>
                <w:sz w:val="18"/>
              </w:rPr>
              <w:t>0.8567</w:t>
            </w:r>
          </w:p>
        </w:tc>
        <w:tc>
          <w:tcPr>
            <w:tcW w:w="1159" w:type="dxa"/>
            <w:tcBorders>
              <w:left w:val="single" w:sz="4" w:space="0" w:color="FFFFFF"/>
              <w:right w:val="single" w:sz="4" w:space="0" w:color="FFFFFF"/>
            </w:tcBorders>
            <w:shd w:val="clear" w:color="auto" w:fill="CCE2ED"/>
          </w:tcPr>
          <w:p w14:paraId="0B665A74" w14:textId="77777777" w:rsidR="00141B97" w:rsidRDefault="00911D63">
            <w:pPr>
              <w:pStyle w:val="TableParagraph"/>
              <w:spacing w:before="2"/>
              <w:ind w:right="94"/>
              <w:jc w:val="right"/>
              <w:rPr>
                <w:sz w:val="18"/>
              </w:rPr>
            </w:pPr>
            <w:r>
              <w:rPr>
                <w:spacing w:val="-2"/>
                <w:sz w:val="18"/>
              </w:rPr>
              <w:t>0.8593</w:t>
            </w:r>
          </w:p>
        </w:tc>
        <w:tc>
          <w:tcPr>
            <w:tcW w:w="1180" w:type="dxa"/>
            <w:gridSpan w:val="2"/>
            <w:tcBorders>
              <w:left w:val="single" w:sz="4" w:space="0" w:color="FFFFFF"/>
            </w:tcBorders>
            <w:shd w:val="clear" w:color="auto" w:fill="CCE2ED"/>
          </w:tcPr>
          <w:p w14:paraId="70A8BE79" w14:textId="77777777" w:rsidR="00141B97" w:rsidRDefault="00911D63">
            <w:pPr>
              <w:pStyle w:val="TableParagraph"/>
              <w:spacing w:before="2"/>
              <w:ind w:left="553"/>
              <w:rPr>
                <w:sz w:val="18"/>
              </w:rPr>
            </w:pPr>
            <w:r>
              <w:rPr>
                <w:spacing w:val="-2"/>
                <w:sz w:val="18"/>
              </w:rPr>
              <w:t>0.8619</w:t>
            </w:r>
          </w:p>
        </w:tc>
        <w:tc>
          <w:tcPr>
            <w:tcW w:w="1146" w:type="dxa"/>
            <w:tcBorders>
              <w:right w:val="nil"/>
            </w:tcBorders>
            <w:shd w:val="clear" w:color="auto" w:fill="CCE2ED"/>
          </w:tcPr>
          <w:p w14:paraId="14A019DA" w14:textId="77777777" w:rsidR="00141B97" w:rsidRDefault="00911D63">
            <w:pPr>
              <w:pStyle w:val="TableParagraph"/>
              <w:spacing w:before="2"/>
              <w:ind w:right="76"/>
              <w:jc w:val="right"/>
              <w:rPr>
                <w:sz w:val="18"/>
              </w:rPr>
            </w:pPr>
            <w:r>
              <w:rPr>
                <w:spacing w:val="-2"/>
                <w:sz w:val="18"/>
              </w:rPr>
              <w:t>0.8645</w:t>
            </w:r>
          </w:p>
        </w:tc>
      </w:tr>
      <w:tr w:rsidR="00141B97" w14:paraId="6C8935AC" w14:textId="77777777">
        <w:trPr>
          <w:trHeight w:val="300"/>
        </w:trPr>
        <w:tc>
          <w:tcPr>
            <w:tcW w:w="9752" w:type="dxa"/>
            <w:gridSpan w:val="8"/>
            <w:tcBorders>
              <w:left w:val="nil"/>
              <w:right w:val="nil"/>
            </w:tcBorders>
            <w:shd w:val="clear" w:color="auto" w:fill="BFBFBF"/>
          </w:tcPr>
          <w:p w14:paraId="424858F3" w14:textId="77777777" w:rsidR="00141B97" w:rsidRDefault="00911D63">
            <w:pPr>
              <w:pStyle w:val="TableParagraph"/>
              <w:spacing w:before="25"/>
              <w:ind w:left="98"/>
              <w:rPr>
                <w:sz w:val="18"/>
              </w:rPr>
            </w:pPr>
            <w:r>
              <w:rPr>
                <w:sz w:val="18"/>
              </w:rPr>
              <w:t>Minor</w:t>
            </w:r>
            <w:r>
              <w:rPr>
                <w:spacing w:val="-5"/>
                <w:sz w:val="18"/>
              </w:rPr>
              <w:t xml:space="preserve"> </w:t>
            </w:r>
            <w:r>
              <w:rPr>
                <w:sz w:val="18"/>
              </w:rPr>
              <w:t>Trade</w:t>
            </w:r>
            <w:r>
              <w:rPr>
                <w:spacing w:val="-4"/>
                <w:sz w:val="18"/>
              </w:rPr>
              <w:t xml:space="preserve"> </w:t>
            </w:r>
            <w:r>
              <w:rPr>
                <w:spacing w:val="-2"/>
                <w:sz w:val="18"/>
              </w:rPr>
              <w:t>Waste*</w:t>
            </w:r>
          </w:p>
        </w:tc>
      </w:tr>
      <w:tr w:rsidR="00141B97" w14:paraId="544BB0AD" w14:textId="77777777">
        <w:trPr>
          <w:trHeight w:val="299"/>
        </w:trPr>
        <w:tc>
          <w:tcPr>
            <w:tcW w:w="2201" w:type="dxa"/>
            <w:tcBorders>
              <w:left w:val="nil"/>
              <w:bottom w:val="nil"/>
            </w:tcBorders>
            <w:shd w:val="clear" w:color="auto" w:fill="CCE2ED"/>
          </w:tcPr>
          <w:p w14:paraId="66DCE7B1" w14:textId="77777777" w:rsidR="00141B97" w:rsidRDefault="00911D63">
            <w:pPr>
              <w:pStyle w:val="TableParagraph"/>
              <w:spacing w:before="25"/>
              <w:ind w:left="88"/>
              <w:rPr>
                <w:sz w:val="18"/>
              </w:rPr>
            </w:pPr>
            <w:r>
              <w:rPr>
                <w:spacing w:val="-2"/>
                <w:sz w:val="18"/>
              </w:rPr>
              <w:t>Charge</w:t>
            </w:r>
          </w:p>
        </w:tc>
        <w:tc>
          <w:tcPr>
            <w:tcW w:w="1836" w:type="dxa"/>
            <w:tcBorders>
              <w:bottom w:val="nil"/>
              <w:right w:val="single" w:sz="4" w:space="0" w:color="FFFFFF"/>
            </w:tcBorders>
            <w:shd w:val="clear" w:color="auto" w:fill="CCE2ED"/>
          </w:tcPr>
          <w:p w14:paraId="43B153D5" w14:textId="77777777" w:rsidR="00141B97" w:rsidRDefault="00911D63">
            <w:pPr>
              <w:pStyle w:val="TableParagraph"/>
              <w:spacing w:before="25"/>
              <w:ind w:right="115"/>
              <w:jc w:val="right"/>
              <w:rPr>
                <w:sz w:val="18"/>
              </w:rPr>
            </w:pPr>
            <w:r>
              <w:rPr>
                <w:spacing w:val="-2"/>
                <w:sz w:val="18"/>
              </w:rPr>
              <w:t>70.76</w:t>
            </w:r>
          </w:p>
        </w:tc>
        <w:tc>
          <w:tcPr>
            <w:tcW w:w="1053" w:type="dxa"/>
            <w:tcBorders>
              <w:left w:val="single" w:sz="4" w:space="0" w:color="FFFFFF"/>
              <w:bottom w:val="nil"/>
              <w:right w:val="single" w:sz="4" w:space="0" w:color="FFFFFF"/>
            </w:tcBorders>
            <w:shd w:val="clear" w:color="auto" w:fill="CCE2ED"/>
          </w:tcPr>
          <w:p w14:paraId="04E9E6C1" w14:textId="77777777" w:rsidR="00141B97" w:rsidRDefault="00911D63">
            <w:pPr>
              <w:pStyle w:val="TableParagraph"/>
              <w:spacing w:before="25"/>
              <w:ind w:right="94"/>
              <w:jc w:val="right"/>
              <w:rPr>
                <w:sz w:val="18"/>
              </w:rPr>
            </w:pPr>
            <w:r>
              <w:rPr>
                <w:spacing w:val="-2"/>
                <w:sz w:val="18"/>
              </w:rPr>
              <w:t>70.98</w:t>
            </w:r>
          </w:p>
        </w:tc>
        <w:tc>
          <w:tcPr>
            <w:tcW w:w="1177" w:type="dxa"/>
            <w:tcBorders>
              <w:left w:val="single" w:sz="4" w:space="0" w:color="FFFFFF"/>
              <w:bottom w:val="nil"/>
              <w:right w:val="single" w:sz="4" w:space="0" w:color="FFFFFF"/>
            </w:tcBorders>
            <w:shd w:val="clear" w:color="auto" w:fill="CCE2ED"/>
          </w:tcPr>
          <w:p w14:paraId="1C461B75" w14:textId="77777777" w:rsidR="00141B97" w:rsidRDefault="00911D63">
            <w:pPr>
              <w:pStyle w:val="TableParagraph"/>
              <w:spacing w:before="25"/>
              <w:ind w:right="66"/>
              <w:jc w:val="right"/>
              <w:rPr>
                <w:sz w:val="18"/>
              </w:rPr>
            </w:pPr>
            <w:r>
              <w:rPr>
                <w:spacing w:val="-2"/>
                <w:sz w:val="18"/>
              </w:rPr>
              <w:t>71.19</w:t>
            </w:r>
          </w:p>
        </w:tc>
        <w:tc>
          <w:tcPr>
            <w:tcW w:w="1315" w:type="dxa"/>
            <w:gridSpan w:val="2"/>
            <w:tcBorders>
              <w:left w:val="single" w:sz="4" w:space="0" w:color="FFFFFF"/>
              <w:bottom w:val="nil"/>
              <w:right w:val="single" w:sz="4" w:space="0" w:color="FFFFFF"/>
            </w:tcBorders>
            <w:shd w:val="clear" w:color="auto" w:fill="CCE2ED"/>
          </w:tcPr>
          <w:p w14:paraId="48982AD3" w14:textId="77777777" w:rsidR="00141B97" w:rsidRDefault="00911D63">
            <w:pPr>
              <w:pStyle w:val="TableParagraph"/>
              <w:spacing w:before="25"/>
              <w:ind w:left="803"/>
              <w:rPr>
                <w:sz w:val="18"/>
              </w:rPr>
            </w:pPr>
            <w:r>
              <w:rPr>
                <w:spacing w:val="-2"/>
                <w:sz w:val="18"/>
              </w:rPr>
              <w:t>71.41</w:t>
            </w:r>
          </w:p>
        </w:tc>
        <w:tc>
          <w:tcPr>
            <w:tcW w:w="1024" w:type="dxa"/>
            <w:tcBorders>
              <w:left w:val="single" w:sz="4" w:space="0" w:color="FFFFFF"/>
              <w:bottom w:val="nil"/>
            </w:tcBorders>
            <w:shd w:val="clear" w:color="auto" w:fill="CCE2ED"/>
          </w:tcPr>
          <w:p w14:paraId="10AFB9E5" w14:textId="77777777" w:rsidR="00141B97" w:rsidRDefault="00911D63">
            <w:pPr>
              <w:pStyle w:val="TableParagraph"/>
              <w:spacing w:before="25"/>
              <w:ind w:left="564"/>
              <w:rPr>
                <w:sz w:val="18"/>
              </w:rPr>
            </w:pPr>
            <w:r>
              <w:rPr>
                <w:spacing w:val="-2"/>
                <w:sz w:val="18"/>
              </w:rPr>
              <w:t>71.62</w:t>
            </w:r>
          </w:p>
        </w:tc>
        <w:tc>
          <w:tcPr>
            <w:tcW w:w="1146" w:type="dxa"/>
            <w:tcBorders>
              <w:bottom w:val="nil"/>
              <w:right w:val="nil"/>
            </w:tcBorders>
            <w:shd w:val="clear" w:color="auto" w:fill="CCE2ED"/>
          </w:tcPr>
          <w:p w14:paraId="407B467B" w14:textId="77777777" w:rsidR="00141B97" w:rsidRDefault="00911D63">
            <w:pPr>
              <w:pStyle w:val="TableParagraph"/>
              <w:spacing w:before="25"/>
              <w:ind w:right="77"/>
              <w:jc w:val="right"/>
              <w:rPr>
                <w:sz w:val="18"/>
              </w:rPr>
            </w:pPr>
            <w:r>
              <w:rPr>
                <w:spacing w:val="-2"/>
                <w:sz w:val="18"/>
              </w:rPr>
              <w:t>71.84</w:t>
            </w:r>
          </w:p>
        </w:tc>
      </w:tr>
      <w:tr w:rsidR="00141B97" w14:paraId="07557D30" w14:textId="77777777">
        <w:trPr>
          <w:trHeight w:val="339"/>
        </w:trPr>
        <w:tc>
          <w:tcPr>
            <w:tcW w:w="5090" w:type="dxa"/>
            <w:gridSpan w:val="3"/>
            <w:tcBorders>
              <w:top w:val="nil"/>
              <w:left w:val="nil"/>
              <w:bottom w:val="nil"/>
              <w:right w:val="single" w:sz="4" w:space="0" w:color="FFFFFF"/>
            </w:tcBorders>
          </w:tcPr>
          <w:p w14:paraId="76C5CE70" w14:textId="77777777" w:rsidR="00141B97" w:rsidRDefault="00911D63">
            <w:pPr>
              <w:pStyle w:val="TableParagraph"/>
              <w:spacing w:before="20" w:line="171" w:lineRule="exact"/>
              <w:ind w:left="93"/>
              <w:rPr>
                <w:sz w:val="14"/>
              </w:rPr>
            </w:pPr>
            <w:r>
              <w:rPr>
                <w:sz w:val="14"/>
              </w:rPr>
              <w:t>*Note</w:t>
            </w:r>
            <w:r>
              <w:rPr>
                <w:spacing w:val="-5"/>
                <w:sz w:val="14"/>
              </w:rPr>
              <w:t xml:space="preserve"> </w:t>
            </w:r>
            <w:r>
              <w:rPr>
                <w:sz w:val="14"/>
              </w:rPr>
              <w:t>–</w:t>
            </w:r>
            <w:r>
              <w:rPr>
                <w:spacing w:val="-2"/>
                <w:sz w:val="14"/>
              </w:rPr>
              <w:t xml:space="preserve"> </w:t>
            </w:r>
            <w:r>
              <w:rPr>
                <w:sz w:val="14"/>
              </w:rPr>
              <w:t>When</w:t>
            </w:r>
            <w:r>
              <w:rPr>
                <w:spacing w:val="-3"/>
                <w:sz w:val="14"/>
              </w:rPr>
              <w:t xml:space="preserve"> </w:t>
            </w:r>
            <w:r>
              <w:rPr>
                <w:sz w:val="14"/>
              </w:rPr>
              <w:t>final</w:t>
            </w:r>
            <w:r>
              <w:rPr>
                <w:spacing w:val="-2"/>
                <w:sz w:val="14"/>
              </w:rPr>
              <w:t xml:space="preserve"> </w:t>
            </w:r>
            <w:r>
              <w:rPr>
                <w:sz w:val="14"/>
              </w:rPr>
              <w:t>inflation</w:t>
            </w:r>
            <w:r>
              <w:rPr>
                <w:spacing w:val="-3"/>
                <w:sz w:val="14"/>
              </w:rPr>
              <w:t xml:space="preserve"> </w:t>
            </w:r>
            <w:r>
              <w:rPr>
                <w:sz w:val="14"/>
              </w:rPr>
              <w:t>rate</w:t>
            </w:r>
            <w:r>
              <w:rPr>
                <w:spacing w:val="-2"/>
                <w:sz w:val="14"/>
              </w:rPr>
              <w:t xml:space="preserve"> </w:t>
            </w:r>
            <w:r>
              <w:rPr>
                <w:sz w:val="14"/>
              </w:rPr>
              <w:t>is</w:t>
            </w:r>
            <w:r>
              <w:rPr>
                <w:spacing w:val="-3"/>
                <w:sz w:val="14"/>
              </w:rPr>
              <w:t xml:space="preserve"> </w:t>
            </w:r>
            <w:r>
              <w:rPr>
                <w:sz w:val="14"/>
              </w:rPr>
              <w:t>determined</w:t>
            </w:r>
            <w:r>
              <w:rPr>
                <w:spacing w:val="-2"/>
                <w:sz w:val="14"/>
              </w:rPr>
              <w:t xml:space="preserve"> </w:t>
            </w:r>
            <w:r>
              <w:rPr>
                <w:sz w:val="14"/>
              </w:rPr>
              <w:t>for</w:t>
            </w:r>
            <w:r>
              <w:rPr>
                <w:spacing w:val="-3"/>
                <w:sz w:val="14"/>
              </w:rPr>
              <w:t xml:space="preserve"> </w:t>
            </w:r>
            <w:r>
              <w:rPr>
                <w:sz w:val="14"/>
              </w:rPr>
              <w:t>each</w:t>
            </w:r>
            <w:r>
              <w:rPr>
                <w:spacing w:val="-2"/>
                <w:sz w:val="14"/>
              </w:rPr>
              <w:t xml:space="preserve"> </w:t>
            </w:r>
            <w:r>
              <w:rPr>
                <w:sz w:val="14"/>
              </w:rPr>
              <w:t>year</w:t>
            </w:r>
            <w:r>
              <w:rPr>
                <w:spacing w:val="-3"/>
                <w:sz w:val="14"/>
              </w:rPr>
              <w:t xml:space="preserve"> </w:t>
            </w:r>
            <w:r>
              <w:rPr>
                <w:sz w:val="14"/>
              </w:rPr>
              <w:t>of</w:t>
            </w:r>
            <w:r>
              <w:rPr>
                <w:spacing w:val="-3"/>
                <w:sz w:val="14"/>
              </w:rPr>
              <w:t xml:space="preserve"> </w:t>
            </w:r>
            <w:r>
              <w:rPr>
                <w:sz w:val="14"/>
              </w:rPr>
              <w:t>PS5,</w:t>
            </w:r>
            <w:r>
              <w:rPr>
                <w:spacing w:val="-2"/>
                <w:sz w:val="14"/>
              </w:rPr>
              <w:t xml:space="preserve"> </w:t>
            </w:r>
            <w:r>
              <w:rPr>
                <w:sz w:val="14"/>
              </w:rPr>
              <w:t>the</w:t>
            </w:r>
            <w:r>
              <w:rPr>
                <w:spacing w:val="-2"/>
                <w:sz w:val="14"/>
              </w:rPr>
              <w:t xml:space="preserve"> </w:t>
            </w:r>
            <w:r>
              <w:rPr>
                <w:sz w:val="14"/>
              </w:rPr>
              <w:t>service</w:t>
            </w:r>
            <w:r>
              <w:rPr>
                <w:spacing w:val="-2"/>
                <w:sz w:val="14"/>
              </w:rPr>
              <w:t xml:space="preserve"> charges</w:t>
            </w:r>
          </w:p>
          <w:p w14:paraId="1D8D869E" w14:textId="77777777" w:rsidR="00141B97" w:rsidRDefault="00911D63">
            <w:pPr>
              <w:pStyle w:val="TableParagraph"/>
              <w:spacing w:line="129" w:lineRule="exact"/>
              <w:ind w:left="-25"/>
              <w:rPr>
                <w:sz w:val="16"/>
              </w:rPr>
            </w:pPr>
            <w:r>
              <w:rPr>
                <w:sz w:val="16"/>
              </w:rPr>
              <w:t>Table</w:t>
            </w:r>
            <w:r>
              <w:rPr>
                <w:spacing w:val="-5"/>
                <w:sz w:val="16"/>
              </w:rPr>
              <w:t xml:space="preserve"> </w:t>
            </w:r>
            <w:r>
              <w:rPr>
                <w:sz w:val="16"/>
              </w:rPr>
              <w:t>B34</w:t>
            </w:r>
            <w:r>
              <w:rPr>
                <w:sz w:val="12"/>
              </w:rPr>
              <w:t>:</w:t>
            </w:r>
            <w:r>
              <w:rPr>
                <w:spacing w:val="-6"/>
                <w:sz w:val="12"/>
              </w:rPr>
              <w:t xml:space="preserve"> </w:t>
            </w:r>
            <w:r>
              <w:rPr>
                <w:sz w:val="16"/>
              </w:rPr>
              <w:t>Proposed</w:t>
            </w:r>
            <w:r>
              <w:rPr>
                <w:spacing w:val="-5"/>
                <w:sz w:val="16"/>
              </w:rPr>
              <w:t xml:space="preserve"> </w:t>
            </w:r>
            <w:r>
              <w:rPr>
                <w:sz w:val="16"/>
              </w:rPr>
              <w:t>Urban</w:t>
            </w:r>
            <w:r>
              <w:rPr>
                <w:spacing w:val="-5"/>
                <w:sz w:val="16"/>
              </w:rPr>
              <w:t xml:space="preserve"> </w:t>
            </w:r>
            <w:r>
              <w:rPr>
                <w:sz w:val="16"/>
              </w:rPr>
              <w:t>Tariffs</w:t>
            </w:r>
            <w:r>
              <w:rPr>
                <w:spacing w:val="-5"/>
                <w:sz w:val="16"/>
              </w:rPr>
              <w:t xml:space="preserve"> </w:t>
            </w:r>
            <w:r>
              <w:rPr>
                <w:sz w:val="16"/>
              </w:rPr>
              <w:t>($m</w:t>
            </w:r>
            <w:r>
              <w:rPr>
                <w:spacing w:val="-5"/>
                <w:sz w:val="16"/>
              </w:rPr>
              <w:t xml:space="preserve"> </w:t>
            </w:r>
            <w:r>
              <w:rPr>
                <w:spacing w:val="-2"/>
                <w:sz w:val="16"/>
              </w:rPr>
              <w:t>1/1/23)</w:t>
            </w:r>
          </w:p>
        </w:tc>
        <w:tc>
          <w:tcPr>
            <w:tcW w:w="4662" w:type="dxa"/>
            <w:gridSpan w:val="5"/>
            <w:tcBorders>
              <w:top w:val="nil"/>
              <w:left w:val="single" w:sz="4" w:space="0" w:color="FFFFFF"/>
              <w:bottom w:val="nil"/>
              <w:right w:val="nil"/>
            </w:tcBorders>
          </w:tcPr>
          <w:p w14:paraId="59720C7A" w14:textId="77777777" w:rsidR="00141B97" w:rsidRDefault="00911D63">
            <w:pPr>
              <w:pStyle w:val="TableParagraph"/>
              <w:spacing w:before="20"/>
              <w:ind w:left="-6"/>
              <w:rPr>
                <w:sz w:val="14"/>
              </w:rPr>
            </w:pPr>
            <w:r>
              <w:rPr>
                <w:sz w:val="14"/>
              </w:rPr>
              <w:t>will</w:t>
            </w:r>
            <w:r>
              <w:rPr>
                <w:spacing w:val="-5"/>
                <w:sz w:val="14"/>
              </w:rPr>
              <w:t xml:space="preserve"> </w:t>
            </w:r>
            <w:r>
              <w:rPr>
                <w:sz w:val="14"/>
              </w:rPr>
              <w:t>be</w:t>
            </w:r>
            <w:r>
              <w:rPr>
                <w:spacing w:val="-2"/>
                <w:sz w:val="14"/>
              </w:rPr>
              <w:t xml:space="preserve"> </w:t>
            </w:r>
            <w:r>
              <w:rPr>
                <w:sz w:val="14"/>
              </w:rPr>
              <w:t>rounded</w:t>
            </w:r>
            <w:r>
              <w:rPr>
                <w:spacing w:val="-3"/>
                <w:sz w:val="14"/>
              </w:rPr>
              <w:t xml:space="preserve"> </w:t>
            </w:r>
            <w:r>
              <w:rPr>
                <w:sz w:val="14"/>
              </w:rPr>
              <w:t>so</w:t>
            </w:r>
            <w:r>
              <w:rPr>
                <w:spacing w:val="-2"/>
                <w:sz w:val="14"/>
              </w:rPr>
              <w:t xml:space="preserve"> </w:t>
            </w:r>
            <w:r>
              <w:rPr>
                <w:sz w:val="14"/>
              </w:rPr>
              <w:t>that</w:t>
            </w:r>
            <w:r>
              <w:rPr>
                <w:spacing w:val="-4"/>
                <w:sz w:val="14"/>
              </w:rPr>
              <w:t xml:space="preserve"> </w:t>
            </w:r>
            <w:r>
              <w:rPr>
                <w:sz w:val="14"/>
              </w:rPr>
              <w:t>they</w:t>
            </w:r>
            <w:r>
              <w:rPr>
                <w:spacing w:val="-2"/>
                <w:sz w:val="14"/>
              </w:rPr>
              <w:t xml:space="preserve"> </w:t>
            </w:r>
            <w:r>
              <w:rPr>
                <w:sz w:val="14"/>
              </w:rPr>
              <w:t>are</w:t>
            </w:r>
            <w:r>
              <w:rPr>
                <w:spacing w:val="-2"/>
                <w:sz w:val="14"/>
              </w:rPr>
              <w:t xml:space="preserve"> </w:t>
            </w:r>
            <w:r>
              <w:rPr>
                <w:sz w:val="14"/>
              </w:rPr>
              <w:t>divisible</w:t>
            </w:r>
            <w:r>
              <w:rPr>
                <w:spacing w:val="-4"/>
                <w:sz w:val="14"/>
              </w:rPr>
              <w:t xml:space="preserve"> </w:t>
            </w:r>
            <w:r>
              <w:rPr>
                <w:sz w:val="14"/>
              </w:rPr>
              <w:t>by</w:t>
            </w:r>
            <w:r>
              <w:rPr>
                <w:spacing w:val="-1"/>
                <w:sz w:val="14"/>
              </w:rPr>
              <w:t xml:space="preserve"> </w:t>
            </w:r>
            <w:r>
              <w:rPr>
                <w:sz w:val="14"/>
              </w:rPr>
              <w:t>4,</w:t>
            </w:r>
            <w:r>
              <w:rPr>
                <w:spacing w:val="-2"/>
                <w:sz w:val="14"/>
              </w:rPr>
              <w:t xml:space="preserve"> </w:t>
            </w:r>
            <w:r>
              <w:rPr>
                <w:sz w:val="14"/>
              </w:rPr>
              <w:t>as</w:t>
            </w:r>
            <w:r>
              <w:rPr>
                <w:spacing w:val="-2"/>
                <w:sz w:val="14"/>
              </w:rPr>
              <w:t xml:space="preserve"> </w:t>
            </w:r>
            <w:r>
              <w:rPr>
                <w:sz w:val="14"/>
              </w:rPr>
              <w:t>they</w:t>
            </w:r>
            <w:r>
              <w:rPr>
                <w:spacing w:val="-3"/>
                <w:sz w:val="14"/>
              </w:rPr>
              <w:t xml:space="preserve"> </w:t>
            </w:r>
            <w:r>
              <w:rPr>
                <w:sz w:val="14"/>
              </w:rPr>
              <w:t>are</w:t>
            </w:r>
            <w:r>
              <w:rPr>
                <w:spacing w:val="-2"/>
                <w:sz w:val="14"/>
              </w:rPr>
              <w:t xml:space="preserve"> </w:t>
            </w:r>
            <w:r>
              <w:rPr>
                <w:sz w:val="14"/>
              </w:rPr>
              <w:t>charged</w:t>
            </w:r>
            <w:r>
              <w:rPr>
                <w:spacing w:val="-2"/>
                <w:sz w:val="14"/>
              </w:rPr>
              <w:t xml:space="preserve"> quarterly.</w:t>
            </w:r>
          </w:p>
        </w:tc>
      </w:tr>
    </w:tbl>
    <w:p w14:paraId="75B05E3F" w14:textId="77777777" w:rsidR="00141B97" w:rsidRDefault="00141B97">
      <w:pPr>
        <w:pStyle w:val="BodyText"/>
        <w:spacing w:before="8"/>
        <w:rPr>
          <w:sz w:val="28"/>
        </w:rPr>
      </w:pPr>
    </w:p>
    <w:p w14:paraId="0A1C7F7D" w14:textId="77777777" w:rsidR="00141B97" w:rsidRDefault="00911D63">
      <w:pPr>
        <w:pStyle w:val="BodyText"/>
        <w:spacing w:before="1"/>
        <w:ind w:left="114"/>
      </w:pPr>
      <w:r>
        <w:t>Table</w:t>
      </w:r>
      <w:r>
        <w:rPr>
          <w:spacing w:val="-6"/>
        </w:rPr>
        <w:t xml:space="preserve"> </w:t>
      </w:r>
      <w:r>
        <w:t>B35</w:t>
      </w:r>
      <w:r>
        <w:rPr>
          <w:spacing w:val="-6"/>
        </w:rPr>
        <w:t xml:space="preserve"> </w:t>
      </w:r>
      <w:r>
        <w:t>details</w:t>
      </w:r>
      <w:r>
        <w:rPr>
          <w:spacing w:val="-5"/>
        </w:rPr>
        <w:t xml:space="preserve"> </w:t>
      </w:r>
      <w:r>
        <w:t>the</w:t>
      </w:r>
      <w:r>
        <w:rPr>
          <w:spacing w:val="-8"/>
        </w:rPr>
        <w:t xml:space="preserve"> </w:t>
      </w:r>
      <w:r>
        <w:t>water</w:t>
      </w:r>
      <w:r>
        <w:rPr>
          <w:spacing w:val="-5"/>
        </w:rPr>
        <w:t xml:space="preserve"> </w:t>
      </w:r>
      <w:r>
        <w:t>service</w:t>
      </w:r>
      <w:r>
        <w:rPr>
          <w:spacing w:val="-6"/>
        </w:rPr>
        <w:t xml:space="preserve"> </w:t>
      </w:r>
      <w:r>
        <w:t>charge</w:t>
      </w:r>
      <w:r>
        <w:rPr>
          <w:spacing w:val="-7"/>
        </w:rPr>
        <w:t xml:space="preserve"> </w:t>
      </w:r>
      <w:r>
        <w:t>by</w:t>
      </w:r>
      <w:r>
        <w:rPr>
          <w:spacing w:val="-5"/>
        </w:rPr>
        <w:t xml:space="preserve"> </w:t>
      </w:r>
      <w:r>
        <w:t>meter</w:t>
      </w:r>
      <w:r>
        <w:rPr>
          <w:spacing w:val="-5"/>
        </w:rPr>
        <w:t xml:space="preserve"> </w:t>
      </w:r>
      <w:r>
        <w:rPr>
          <w:spacing w:val="-2"/>
        </w:rPr>
        <w:t>size.</w:t>
      </w:r>
    </w:p>
    <w:p w14:paraId="0253A7C5" w14:textId="77777777" w:rsidR="00141B97" w:rsidRDefault="00141B97">
      <w:pPr>
        <w:pStyle w:val="BodyText"/>
        <w:spacing w:before="6"/>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458"/>
        <w:gridCol w:w="2457"/>
        <w:gridCol w:w="2457"/>
        <w:gridCol w:w="2477"/>
      </w:tblGrid>
      <w:tr w:rsidR="00141B97" w14:paraId="023EE525" w14:textId="77777777">
        <w:trPr>
          <w:trHeight w:val="256"/>
          <w:tblCellSpacing w:w="9" w:type="dxa"/>
        </w:trPr>
        <w:tc>
          <w:tcPr>
            <w:tcW w:w="2431" w:type="dxa"/>
            <w:tcBorders>
              <w:top w:val="nil"/>
              <w:left w:val="nil"/>
            </w:tcBorders>
            <w:shd w:val="clear" w:color="auto" w:fill="0064A4"/>
          </w:tcPr>
          <w:p w14:paraId="5E57DD5F" w14:textId="77777777" w:rsidR="00141B97" w:rsidRDefault="00911D63">
            <w:pPr>
              <w:pStyle w:val="TableParagraph"/>
              <w:spacing w:before="1"/>
              <w:ind w:right="1111"/>
              <w:jc w:val="right"/>
              <w:rPr>
                <w:sz w:val="18"/>
              </w:rPr>
            </w:pPr>
            <w:r>
              <w:rPr>
                <w:color w:val="FFFFFF"/>
                <w:sz w:val="18"/>
              </w:rPr>
              <w:t>Meter</w:t>
            </w:r>
            <w:r>
              <w:rPr>
                <w:color w:val="FFFFFF"/>
                <w:spacing w:val="-4"/>
                <w:sz w:val="18"/>
              </w:rPr>
              <w:t xml:space="preserve"> </w:t>
            </w:r>
            <w:r>
              <w:rPr>
                <w:color w:val="FFFFFF"/>
                <w:sz w:val="18"/>
              </w:rPr>
              <w:t>Size</w:t>
            </w:r>
            <w:r>
              <w:rPr>
                <w:color w:val="FFFFFF"/>
                <w:spacing w:val="-5"/>
                <w:sz w:val="18"/>
              </w:rPr>
              <w:t xml:space="preserve"> </w:t>
            </w:r>
            <w:r>
              <w:rPr>
                <w:color w:val="FFFFFF"/>
                <w:spacing w:val="-4"/>
                <w:sz w:val="18"/>
              </w:rPr>
              <w:t>(mm)</w:t>
            </w:r>
          </w:p>
        </w:tc>
        <w:tc>
          <w:tcPr>
            <w:tcW w:w="2439" w:type="dxa"/>
            <w:tcBorders>
              <w:top w:val="nil"/>
            </w:tcBorders>
            <w:shd w:val="clear" w:color="auto" w:fill="0064A4"/>
          </w:tcPr>
          <w:p w14:paraId="6BD4772E" w14:textId="77777777" w:rsidR="00141B97" w:rsidRDefault="00911D63">
            <w:pPr>
              <w:pStyle w:val="TableParagraph"/>
              <w:spacing w:before="19" w:line="217" w:lineRule="exact"/>
              <w:ind w:left="642" w:right="642"/>
              <w:jc w:val="center"/>
              <w:rPr>
                <w:sz w:val="18"/>
              </w:rPr>
            </w:pPr>
            <w:r>
              <w:rPr>
                <w:color w:val="FFFFFF"/>
                <w:sz w:val="18"/>
              </w:rPr>
              <w:t>Per</w:t>
            </w:r>
            <w:r>
              <w:rPr>
                <w:color w:val="FFFFFF"/>
                <w:spacing w:val="-6"/>
                <w:sz w:val="18"/>
              </w:rPr>
              <w:t xml:space="preserve"> </w:t>
            </w:r>
            <w:r>
              <w:rPr>
                <w:color w:val="FFFFFF"/>
                <w:sz w:val="18"/>
              </w:rPr>
              <w:t>Quarter</w:t>
            </w:r>
            <w:r>
              <w:rPr>
                <w:color w:val="FFFFFF"/>
                <w:spacing w:val="-5"/>
                <w:sz w:val="18"/>
              </w:rPr>
              <w:t xml:space="preserve"> ($)</w:t>
            </w:r>
          </w:p>
        </w:tc>
        <w:tc>
          <w:tcPr>
            <w:tcW w:w="2439" w:type="dxa"/>
            <w:tcBorders>
              <w:top w:val="nil"/>
            </w:tcBorders>
            <w:shd w:val="clear" w:color="auto" w:fill="0064A4"/>
          </w:tcPr>
          <w:p w14:paraId="50ECFF3E" w14:textId="77777777" w:rsidR="00141B97" w:rsidRDefault="00911D63">
            <w:pPr>
              <w:pStyle w:val="TableParagraph"/>
              <w:spacing w:before="19" w:line="217" w:lineRule="exact"/>
              <w:ind w:left="644" w:right="642"/>
              <w:jc w:val="center"/>
              <w:rPr>
                <w:sz w:val="18"/>
              </w:rPr>
            </w:pPr>
            <w:r>
              <w:rPr>
                <w:color w:val="FFFFFF"/>
                <w:sz w:val="18"/>
              </w:rPr>
              <w:t>Per</w:t>
            </w:r>
            <w:r>
              <w:rPr>
                <w:color w:val="FFFFFF"/>
                <w:spacing w:val="-5"/>
                <w:sz w:val="18"/>
              </w:rPr>
              <w:t xml:space="preserve"> </w:t>
            </w:r>
            <w:r>
              <w:rPr>
                <w:color w:val="FFFFFF"/>
                <w:sz w:val="18"/>
              </w:rPr>
              <w:t>Annum</w:t>
            </w:r>
            <w:r>
              <w:rPr>
                <w:color w:val="FFFFFF"/>
                <w:spacing w:val="-4"/>
                <w:sz w:val="18"/>
              </w:rPr>
              <w:t xml:space="preserve"> ($)*</w:t>
            </w:r>
          </w:p>
        </w:tc>
        <w:tc>
          <w:tcPr>
            <w:tcW w:w="2450" w:type="dxa"/>
            <w:tcBorders>
              <w:top w:val="nil"/>
              <w:right w:val="nil"/>
            </w:tcBorders>
            <w:shd w:val="clear" w:color="auto" w:fill="0064A4"/>
          </w:tcPr>
          <w:p w14:paraId="2F08DE24" w14:textId="77777777" w:rsidR="00141B97" w:rsidRDefault="00911D63">
            <w:pPr>
              <w:pStyle w:val="TableParagraph"/>
              <w:spacing w:before="19" w:line="217" w:lineRule="exact"/>
              <w:ind w:left="529" w:right="536"/>
              <w:jc w:val="center"/>
              <w:rPr>
                <w:sz w:val="18"/>
              </w:rPr>
            </w:pPr>
            <w:r>
              <w:rPr>
                <w:color w:val="FFFFFF"/>
                <w:sz w:val="18"/>
              </w:rPr>
              <w:t>Equivalence</w:t>
            </w:r>
            <w:r>
              <w:rPr>
                <w:color w:val="FFFFFF"/>
                <w:spacing w:val="-10"/>
                <w:sz w:val="18"/>
              </w:rPr>
              <w:t xml:space="preserve"> </w:t>
            </w:r>
            <w:r>
              <w:rPr>
                <w:color w:val="FFFFFF"/>
                <w:spacing w:val="-2"/>
                <w:sz w:val="18"/>
              </w:rPr>
              <w:t>Factor</w:t>
            </w:r>
          </w:p>
        </w:tc>
      </w:tr>
      <w:tr w:rsidR="00141B97" w14:paraId="7C103BB6" w14:textId="77777777">
        <w:trPr>
          <w:trHeight w:val="254"/>
          <w:tblCellSpacing w:w="9" w:type="dxa"/>
        </w:trPr>
        <w:tc>
          <w:tcPr>
            <w:tcW w:w="2431" w:type="dxa"/>
            <w:tcBorders>
              <w:left w:val="nil"/>
            </w:tcBorders>
            <w:shd w:val="clear" w:color="auto" w:fill="CCE2ED"/>
          </w:tcPr>
          <w:p w14:paraId="41E97CA8" w14:textId="77777777" w:rsidR="00141B97" w:rsidRDefault="00911D63">
            <w:pPr>
              <w:pStyle w:val="TableParagraph"/>
              <w:ind w:right="1118"/>
              <w:jc w:val="right"/>
              <w:rPr>
                <w:sz w:val="18"/>
              </w:rPr>
            </w:pPr>
            <w:r>
              <w:rPr>
                <w:spacing w:val="-5"/>
                <w:sz w:val="18"/>
              </w:rPr>
              <w:t>20</w:t>
            </w:r>
          </w:p>
        </w:tc>
        <w:tc>
          <w:tcPr>
            <w:tcW w:w="2439" w:type="dxa"/>
            <w:shd w:val="clear" w:color="auto" w:fill="CCE2ED"/>
          </w:tcPr>
          <w:p w14:paraId="35600610" w14:textId="77777777" w:rsidR="00141B97" w:rsidRDefault="00911D63">
            <w:pPr>
              <w:pStyle w:val="TableParagraph"/>
              <w:spacing w:before="18" w:line="217" w:lineRule="exact"/>
              <w:ind w:left="643" w:right="642"/>
              <w:jc w:val="center"/>
              <w:rPr>
                <w:sz w:val="18"/>
              </w:rPr>
            </w:pPr>
            <w:r>
              <w:rPr>
                <w:spacing w:val="-2"/>
                <w:sz w:val="18"/>
              </w:rPr>
              <w:t>53.86</w:t>
            </w:r>
          </w:p>
        </w:tc>
        <w:tc>
          <w:tcPr>
            <w:tcW w:w="2439" w:type="dxa"/>
            <w:shd w:val="clear" w:color="auto" w:fill="CCE2ED"/>
          </w:tcPr>
          <w:p w14:paraId="3FD553CD" w14:textId="77777777" w:rsidR="00141B97" w:rsidRDefault="00911D63">
            <w:pPr>
              <w:pStyle w:val="TableParagraph"/>
              <w:spacing w:before="18" w:line="217" w:lineRule="exact"/>
              <w:ind w:left="644" w:right="642"/>
              <w:jc w:val="center"/>
              <w:rPr>
                <w:sz w:val="18"/>
              </w:rPr>
            </w:pPr>
            <w:r>
              <w:rPr>
                <w:spacing w:val="-2"/>
                <w:sz w:val="18"/>
              </w:rPr>
              <w:t>215.44</w:t>
            </w:r>
          </w:p>
        </w:tc>
        <w:tc>
          <w:tcPr>
            <w:tcW w:w="2450" w:type="dxa"/>
            <w:tcBorders>
              <w:right w:val="nil"/>
            </w:tcBorders>
            <w:shd w:val="clear" w:color="auto" w:fill="CCE2ED"/>
          </w:tcPr>
          <w:p w14:paraId="75FCBDF4" w14:textId="77777777" w:rsidR="00141B97" w:rsidRDefault="00911D63">
            <w:pPr>
              <w:pStyle w:val="TableParagraph"/>
              <w:spacing w:before="18" w:line="217" w:lineRule="exact"/>
              <w:ind w:left="529" w:right="534"/>
              <w:jc w:val="center"/>
              <w:rPr>
                <w:sz w:val="18"/>
              </w:rPr>
            </w:pPr>
            <w:r>
              <w:rPr>
                <w:spacing w:val="-4"/>
                <w:sz w:val="18"/>
              </w:rPr>
              <w:t>1.00</w:t>
            </w:r>
          </w:p>
        </w:tc>
      </w:tr>
      <w:tr w:rsidR="00141B97" w14:paraId="60F4FAD6" w14:textId="77777777">
        <w:trPr>
          <w:trHeight w:val="254"/>
          <w:tblCellSpacing w:w="9" w:type="dxa"/>
        </w:trPr>
        <w:tc>
          <w:tcPr>
            <w:tcW w:w="2431" w:type="dxa"/>
            <w:tcBorders>
              <w:left w:val="nil"/>
            </w:tcBorders>
            <w:shd w:val="clear" w:color="auto" w:fill="CCE2ED"/>
          </w:tcPr>
          <w:p w14:paraId="15CFC1E9" w14:textId="77777777" w:rsidR="00141B97" w:rsidRDefault="00911D63">
            <w:pPr>
              <w:pStyle w:val="TableParagraph"/>
              <w:ind w:right="1118"/>
              <w:jc w:val="right"/>
              <w:rPr>
                <w:sz w:val="18"/>
              </w:rPr>
            </w:pPr>
            <w:r>
              <w:rPr>
                <w:spacing w:val="-5"/>
                <w:sz w:val="18"/>
              </w:rPr>
              <w:t>25</w:t>
            </w:r>
          </w:p>
        </w:tc>
        <w:tc>
          <w:tcPr>
            <w:tcW w:w="2439" w:type="dxa"/>
            <w:shd w:val="clear" w:color="auto" w:fill="CCE2ED"/>
          </w:tcPr>
          <w:p w14:paraId="5E4EC6CF" w14:textId="77777777" w:rsidR="00141B97" w:rsidRDefault="00911D63">
            <w:pPr>
              <w:pStyle w:val="TableParagraph"/>
              <w:spacing w:before="18" w:line="217" w:lineRule="exact"/>
              <w:ind w:left="643" w:right="642"/>
              <w:jc w:val="center"/>
              <w:rPr>
                <w:sz w:val="18"/>
              </w:rPr>
            </w:pPr>
            <w:r>
              <w:rPr>
                <w:spacing w:val="-2"/>
                <w:sz w:val="18"/>
              </w:rPr>
              <w:t>84.16</w:t>
            </w:r>
          </w:p>
        </w:tc>
        <w:tc>
          <w:tcPr>
            <w:tcW w:w="2439" w:type="dxa"/>
            <w:shd w:val="clear" w:color="auto" w:fill="CCE2ED"/>
          </w:tcPr>
          <w:p w14:paraId="0F2DD1C3" w14:textId="77777777" w:rsidR="00141B97" w:rsidRDefault="00911D63">
            <w:pPr>
              <w:pStyle w:val="TableParagraph"/>
              <w:spacing w:before="18" w:line="217" w:lineRule="exact"/>
              <w:ind w:left="644" w:right="642"/>
              <w:jc w:val="center"/>
              <w:rPr>
                <w:sz w:val="18"/>
              </w:rPr>
            </w:pPr>
            <w:r>
              <w:rPr>
                <w:spacing w:val="-2"/>
                <w:sz w:val="18"/>
              </w:rPr>
              <w:t>336.64</w:t>
            </w:r>
          </w:p>
        </w:tc>
        <w:tc>
          <w:tcPr>
            <w:tcW w:w="2450" w:type="dxa"/>
            <w:tcBorders>
              <w:right w:val="nil"/>
            </w:tcBorders>
            <w:shd w:val="clear" w:color="auto" w:fill="CCE2ED"/>
          </w:tcPr>
          <w:p w14:paraId="6BD4E228" w14:textId="77777777" w:rsidR="00141B97" w:rsidRDefault="00911D63">
            <w:pPr>
              <w:pStyle w:val="TableParagraph"/>
              <w:spacing w:before="18" w:line="217" w:lineRule="exact"/>
              <w:ind w:left="529" w:right="534"/>
              <w:jc w:val="center"/>
              <w:rPr>
                <w:sz w:val="18"/>
              </w:rPr>
            </w:pPr>
            <w:r>
              <w:rPr>
                <w:spacing w:val="-4"/>
                <w:sz w:val="18"/>
              </w:rPr>
              <w:t>1.56</w:t>
            </w:r>
          </w:p>
        </w:tc>
      </w:tr>
      <w:tr w:rsidR="00141B97" w14:paraId="52D3A361" w14:textId="77777777">
        <w:trPr>
          <w:trHeight w:val="254"/>
          <w:tblCellSpacing w:w="9" w:type="dxa"/>
        </w:trPr>
        <w:tc>
          <w:tcPr>
            <w:tcW w:w="2431" w:type="dxa"/>
            <w:tcBorders>
              <w:left w:val="nil"/>
            </w:tcBorders>
            <w:shd w:val="clear" w:color="auto" w:fill="CCE2ED"/>
          </w:tcPr>
          <w:p w14:paraId="3147C992" w14:textId="77777777" w:rsidR="00141B97" w:rsidRDefault="00911D63">
            <w:pPr>
              <w:pStyle w:val="TableParagraph"/>
              <w:spacing w:before="1"/>
              <w:ind w:right="1118"/>
              <w:jc w:val="right"/>
              <w:rPr>
                <w:sz w:val="18"/>
              </w:rPr>
            </w:pPr>
            <w:r>
              <w:rPr>
                <w:spacing w:val="-5"/>
                <w:sz w:val="18"/>
              </w:rPr>
              <w:t>32</w:t>
            </w:r>
          </w:p>
        </w:tc>
        <w:tc>
          <w:tcPr>
            <w:tcW w:w="2439" w:type="dxa"/>
            <w:shd w:val="clear" w:color="auto" w:fill="CCE2ED"/>
          </w:tcPr>
          <w:p w14:paraId="2A0CBA1C" w14:textId="77777777" w:rsidR="00141B97" w:rsidRDefault="00911D63">
            <w:pPr>
              <w:pStyle w:val="TableParagraph"/>
              <w:spacing w:before="18" w:line="217" w:lineRule="exact"/>
              <w:ind w:left="643" w:right="642"/>
              <w:jc w:val="center"/>
              <w:rPr>
                <w:sz w:val="18"/>
              </w:rPr>
            </w:pPr>
            <w:r>
              <w:rPr>
                <w:spacing w:val="-2"/>
                <w:sz w:val="18"/>
              </w:rPr>
              <w:t>137.89</w:t>
            </w:r>
          </w:p>
        </w:tc>
        <w:tc>
          <w:tcPr>
            <w:tcW w:w="2439" w:type="dxa"/>
            <w:shd w:val="clear" w:color="auto" w:fill="CCE2ED"/>
          </w:tcPr>
          <w:p w14:paraId="454C965E" w14:textId="77777777" w:rsidR="00141B97" w:rsidRDefault="00911D63">
            <w:pPr>
              <w:pStyle w:val="TableParagraph"/>
              <w:spacing w:before="18" w:line="217" w:lineRule="exact"/>
              <w:ind w:left="644" w:right="642"/>
              <w:jc w:val="center"/>
              <w:rPr>
                <w:sz w:val="18"/>
              </w:rPr>
            </w:pPr>
            <w:r>
              <w:rPr>
                <w:spacing w:val="-2"/>
                <w:sz w:val="18"/>
              </w:rPr>
              <w:t>551.56</w:t>
            </w:r>
          </w:p>
        </w:tc>
        <w:tc>
          <w:tcPr>
            <w:tcW w:w="2450" w:type="dxa"/>
            <w:tcBorders>
              <w:right w:val="nil"/>
            </w:tcBorders>
            <w:shd w:val="clear" w:color="auto" w:fill="CCE2ED"/>
          </w:tcPr>
          <w:p w14:paraId="263177F4" w14:textId="77777777" w:rsidR="00141B97" w:rsidRDefault="00911D63">
            <w:pPr>
              <w:pStyle w:val="TableParagraph"/>
              <w:spacing w:before="18" w:line="217" w:lineRule="exact"/>
              <w:ind w:left="529" w:right="534"/>
              <w:jc w:val="center"/>
              <w:rPr>
                <w:sz w:val="18"/>
              </w:rPr>
            </w:pPr>
            <w:r>
              <w:rPr>
                <w:spacing w:val="-4"/>
                <w:sz w:val="18"/>
              </w:rPr>
              <w:t>2.56</w:t>
            </w:r>
          </w:p>
        </w:tc>
      </w:tr>
      <w:tr w:rsidR="00141B97" w14:paraId="423D2A7F" w14:textId="77777777">
        <w:trPr>
          <w:trHeight w:val="254"/>
          <w:tblCellSpacing w:w="9" w:type="dxa"/>
        </w:trPr>
        <w:tc>
          <w:tcPr>
            <w:tcW w:w="2431" w:type="dxa"/>
            <w:tcBorders>
              <w:left w:val="nil"/>
            </w:tcBorders>
            <w:shd w:val="clear" w:color="auto" w:fill="CCE2ED"/>
          </w:tcPr>
          <w:p w14:paraId="1C2FB4FB" w14:textId="77777777" w:rsidR="00141B97" w:rsidRDefault="00911D63">
            <w:pPr>
              <w:pStyle w:val="TableParagraph"/>
              <w:spacing w:before="1"/>
              <w:ind w:right="1118"/>
              <w:jc w:val="right"/>
              <w:rPr>
                <w:sz w:val="18"/>
              </w:rPr>
            </w:pPr>
            <w:r>
              <w:rPr>
                <w:spacing w:val="-5"/>
                <w:sz w:val="18"/>
              </w:rPr>
              <w:t>40</w:t>
            </w:r>
          </w:p>
        </w:tc>
        <w:tc>
          <w:tcPr>
            <w:tcW w:w="2439" w:type="dxa"/>
            <w:shd w:val="clear" w:color="auto" w:fill="CCE2ED"/>
          </w:tcPr>
          <w:p w14:paraId="6D3EB482" w14:textId="77777777" w:rsidR="00141B97" w:rsidRDefault="00911D63">
            <w:pPr>
              <w:pStyle w:val="TableParagraph"/>
              <w:spacing w:before="18" w:line="217" w:lineRule="exact"/>
              <w:ind w:left="643" w:right="642"/>
              <w:jc w:val="center"/>
              <w:rPr>
                <w:sz w:val="18"/>
              </w:rPr>
            </w:pPr>
            <w:r>
              <w:rPr>
                <w:spacing w:val="-2"/>
                <w:sz w:val="18"/>
              </w:rPr>
              <w:t>215.56</w:t>
            </w:r>
          </w:p>
        </w:tc>
        <w:tc>
          <w:tcPr>
            <w:tcW w:w="2439" w:type="dxa"/>
            <w:shd w:val="clear" w:color="auto" w:fill="CCE2ED"/>
          </w:tcPr>
          <w:p w14:paraId="199FC954" w14:textId="77777777" w:rsidR="00141B97" w:rsidRDefault="00911D63">
            <w:pPr>
              <w:pStyle w:val="TableParagraph"/>
              <w:spacing w:before="18" w:line="217" w:lineRule="exact"/>
              <w:ind w:left="644" w:right="642"/>
              <w:jc w:val="center"/>
              <w:rPr>
                <w:sz w:val="18"/>
              </w:rPr>
            </w:pPr>
            <w:r>
              <w:rPr>
                <w:spacing w:val="-2"/>
                <w:sz w:val="18"/>
              </w:rPr>
              <w:t>862.24</w:t>
            </w:r>
          </w:p>
        </w:tc>
        <w:tc>
          <w:tcPr>
            <w:tcW w:w="2450" w:type="dxa"/>
            <w:tcBorders>
              <w:right w:val="nil"/>
            </w:tcBorders>
            <w:shd w:val="clear" w:color="auto" w:fill="CCE2ED"/>
          </w:tcPr>
          <w:p w14:paraId="21FB56C9" w14:textId="77777777" w:rsidR="00141B97" w:rsidRDefault="00911D63">
            <w:pPr>
              <w:pStyle w:val="TableParagraph"/>
              <w:spacing w:before="18" w:line="217" w:lineRule="exact"/>
              <w:ind w:left="529" w:right="534"/>
              <w:jc w:val="center"/>
              <w:rPr>
                <w:sz w:val="18"/>
              </w:rPr>
            </w:pPr>
            <w:r>
              <w:rPr>
                <w:spacing w:val="-4"/>
                <w:sz w:val="18"/>
              </w:rPr>
              <w:t>4.00</w:t>
            </w:r>
          </w:p>
        </w:tc>
      </w:tr>
      <w:tr w:rsidR="00141B97" w14:paraId="1FF02F1E" w14:textId="77777777">
        <w:trPr>
          <w:trHeight w:val="254"/>
          <w:tblCellSpacing w:w="9" w:type="dxa"/>
        </w:trPr>
        <w:tc>
          <w:tcPr>
            <w:tcW w:w="2431" w:type="dxa"/>
            <w:tcBorders>
              <w:left w:val="nil"/>
            </w:tcBorders>
            <w:shd w:val="clear" w:color="auto" w:fill="CCE2ED"/>
          </w:tcPr>
          <w:p w14:paraId="3F941CEF" w14:textId="77777777" w:rsidR="00141B97" w:rsidRDefault="00911D63">
            <w:pPr>
              <w:pStyle w:val="TableParagraph"/>
              <w:spacing w:before="1"/>
              <w:ind w:right="1118"/>
              <w:jc w:val="right"/>
              <w:rPr>
                <w:sz w:val="18"/>
              </w:rPr>
            </w:pPr>
            <w:r>
              <w:rPr>
                <w:spacing w:val="-5"/>
                <w:sz w:val="18"/>
              </w:rPr>
              <w:t>50</w:t>
            </w:r>
          </w:p>
        </w:tc>
        <w:tc>
          <w:tcPr>
            <w:tcW w:w="2439" w:type="dxa"/>
            <w:shd w:val="clear" w:color="auto" w:fill="CCE2ED"/>
          </w:tcPr>
          <w:p w14:paraId="3026CBA6" w14:textId="77777777" w:rsidR="00141B97" w:rsidRDefault="00911D63">
            <w:pPr>
              <w:pStyle w:val="TableParagraph"/>
              <w:spacing w:before="19" w:line="216" w:lineRule="exact"/>
              <w:ind w:left="643" w:right="642"/>
              <w:jc w:val="center"/>
              <w:rPr>
                <w:sz w:val="18"/>
              </w:rPr>
            </w:pPr>
            <w:r>
              <w:rPr>
                <w:spacing w:val="-2"/>
                <w:sz w:val="18"/>
              </w:rPr>
              <w:t>336.67</w:t>
            </w:r>
          </w:p>
        </w:tc>
        <w:tc>
          <w:tcPr>
            <w:tcW w:w="2439" w:type="dxa"/>
            <w:shd w:val="clear" w:color="auto" w:fill="CCE2ED"/>
          </w:tcPr>
          <w:p w14:paraId="5B5F7C70" w14:textId="77777777" w:rsidR="00141B97" w:rsidRDefault="00911D63">
            <w:pPr>
              <w:pStyle w:val="TableParagraph"/>
              <w:spacing w:before="19" w:line="216" w:lineRule="exact"/>
              <w:ind w:left="643" w:right="642"/>
              <w:jc w:val="center"/>
              <w:rPr>
                <w:sz w:val="18"/>
              </w:rPr>
            </w:pPr>
            <w:r>
              <w:rPr>
                <w:spacing w:val="-2"/>
                <w:sz w:val="18"/>
              </w:rPr>
              <w:t>1,346.68</w:t>
            </w:r>
          </w:p>
        </w:tc>
        <w:tc>
          <w:tcPr>
            <w:tcW w:w="2450" w:type="dxa"/>
            <w:tcBorders>
              <w:right w:val="nil"/>
            </w:tcBorders>
            <w:shd w:val="clear" w:color="auto" w:fill="CCE2ED"/>
          </w:tcPr>
          <w:p w14:paraId="7935CC6B" w14:textId="77777777" w:rsidR="00141B97" w:rsidRDefault="00911D63">
            <w:pPr>
              <w:pStyle w:val="TableParagraph"/>
              <w:spacing w:before="19" w:line="216" w:lineRule="exact"/>
              <w:ind w:left="529" w:right="534"/>
              <w:jc w:val="center"/>
              <w:rPr>
                <w:sz w:val="18"/>
              </w:rPr>
            </w:pPr>
            <w:r>
              <w:rPr>
                <w:spacing w:val="-4"/>
                <w:sz w:val="18"/>
              </w:rPr>
              <w:t>6.25</w:t>
            </w:r>
          </w:p>
        </w:tc>
      </w:tr>
      <w:tr w:rsidR="00141B97" w14:paraId="3BFCF84C" w14:textId="77777777">
        <w:trPr>
          <w:trHeight w:val="255"/>
          <w:tblCellSpacing w:w="9" w:type="dxa"/>
        </w:trPr>
        <w:tc>
          <w:tcPr>
            <w:tcW w:w="2431" w:type="dxa"/>
            <w:tcBorders>
              <w:left w:val="nil"/>
            </w:tcBorders>
            <w:shd w:val="clear" w:color="auto" w:fill="CCE2ED"/>
          </w:tcPr>
          <w:p w14:paraId="5C4C4A51" w14:textId="77777777" w:rsidR="00141B97" w:rsidRDefault="00911D63">
            <w:pPr>
              <w:pStyle w:val="TableParagraph"/>
              <w:spacing w:before="1"/>
              <w:ind w:right="1118"/>
              <w:jc w:val="right"/>
              <w:rPr>
                <w:sz w:val="18"/>
              </w:rPr>
            </w:pPr>
            <w:r>
              <w:rPr>
                <w:spacing w:val="-5"/>
                <w:sz w:val="18"/>
              </w:rPr>
              <w:t>65</w:t>
            </w:r>
          </w:p>
        </w:tc>
        <w:tc>
          <w:tcPr>
            <w:tcW w:w="2439" w:type="dxa"/>
            <w:shd w:val="clear" w:color="auto" w:fill="CCE2ED"/>
          </w:tcPr>
          <w:p w14:paraId="75CBFD02" w14:textId="77777777" w:rsidR="00141B97" w:rsidRDefault="00911D63">
            <w:pPr>
              <w:pStyle w:val="TableParagraph"/>
              <w:spacing w:before="19" w:line="217" w:lineRule="exact"/>
              <w:ind w:left="643" w:right="642"/>
              <w:jc w:val="center"/>
              <w:rPr>
                <w:sz w:val="18"/>
              </w:rPr>
            </w:pPr>
            <w:r>
              <w:rPr>
                <w:spacing w:val="-2"/>
                <w:sz w:val="18"/>
              </w:rPr>
              <w:t>569.24</w:t>
            </w:r>
          </w:p>
        </w:tc>
        <w:tc>
          <w:tcPr>
            <w:tcW w:w="2439" w:type="dxa"/>
            <w:shd w:val="clear" w:color="auto" w:fill="CCE2ED"/>
          </w:tcPr>
          <w:p w14:paraId="2DB63209" w14:textId="77777777" w:rsidR="00141B97" w:rsidRDefault="00911D63">
            <w:pPr>
              <w:pStyle w:val="TableParagraph"/>
              <w:spacing w:before="19" w:line="217" w:lineRule="exact"/>
              <w:ind w:left="643" w:right="642"/>
              <w:jc w:val="center"/>
              <w:rPr>
                <w:sz w:val="18"/>
              </w:rPr>
            </w:pPr>
            <w:r>
              <w:rPr>
                <w:spacing w:val="-2"/>
                <w:sz w:val="18"/>
              </w:rPr>
              <w:t>2,276.96</w:t>
            </w:r>
          </w:p>
        </w:tc>
        <w:tc>
          <w:tcPr>
            <w:tcW w:w="2450" w:type="dxa"/>
            <w:tcBorders>
              <w:right w:val="nil"/>
            </w:tcBorders>
            <w:shd w:val="clear" w:color="auto" w:fill="CCE2ED"/>
          </w:tcPr>
          <w:p w14:paraId="41AA43EF" w14:textId="77777777" w:rsidR="00141B97" w:rsidRDefault="00911D63">
            <w:pPr>
              <w:pStyle w:val="TableParagraph"/>
              <w:spacing w:before="19" w:line="217" w:lineRule="exact"/>
              <w:ind w:left="529" w:right="534"/>
              <w:jc w:val="center"/>
              <w:rPr>
                <w:sz w:val="18"/>
              </w:rPr>
            </w:pPr>
            <w:r>
              <w:rPr>
                <w:spacing w:val="-2"/>
                <w:sz w:val="18"/>
              </w:rPr>
              <w:t>10.56</w:t>
            </w:r>
          </w:p>
        </w:tc>
      </w:tr>
      <w:tr w:rsidR="00141B97" w14:paraId="256F8BF4" w14:textId="77777777">
        <w:trPr>
          <w:trHeight w:val="254"/>
          <w:tblCellSpacing w:w="9" w:type="dxa"/>
        </w:trPr>
        <w:tc>
          <w:tcPr>
            <w:tcW w:w="2431" w:type="dxa"/>
            <w:tcBorders>
              <w:left w:val="nil"/>
            </w:tcBorders>
            <w:shd w:val="clear" w:color="auto" w:fill="CCE2ED"/>
          </w:tcPr>
          <w:p w14:paraId="72CE5898" w14:textId="77777777" w:rsidR="00141B97" w:rsidRDefault="00911D63">
            <w:pPr>
              <w:pStyle w:val="TableParagraph"/>
              <w:ind w:right="1118"/>
              <w:jc w:val="right"/>
              <w:rPr>
                <w:sz w:val="18"/>
              </w:rPr>
            </w:pPr>
            <w:r>
              <w:rPr>
                <w:spacing w:val="-5"/>
                <w:sz w:val="18"/>
              </w:rPr>
              <w:t>80</w:t>
            </w:r>
          </w:p>
        </w:tc>
        <w:tc>
          <w:tcPr>
            <w:tcW w:w="2439" w:type="dxa"/>
            <w:shd w:val="clear" w:color="auto" w:fill="CCE2ED"/>
          </w:tcPr>
          <w:p w14:paraId="7129A904" w14:textId="77777777" w:rsidR="00141B97" w:rsidRDefault="00911D63">
            <w:pPr>
              <w:pStyle w:val="TableParagraph"/>
              <w:spacing w:before="18" w:line="217" w:lineRule="exact"/>
              <w:ind w:left="643" w:right="642"/>
              <w:jc w:val="center"/>
              <w:rPr>
                <w:sz w:val="18"/>
              </w:rPr>
            </w:pPr>
            <w:r>
              <w:rPr>
                <w:spacing w:val="-2"/>
                <w:sz w:val="18"/>
              </w:rPr>
              <w:t>861.91</w:t>
            </w:r>
          </w:p>
        </w:tc>
        <w:tc>
          <w:tcPr>
            <w:tcW w:w="2439" w:type="dxa"/>
            <w:shd w:val="clear" w:color="auto" w:fill="CCE2ED"/>
          </w:tcPr>
          <w:p w14:paraId="6645EA93" w14:textId="77777777" w:rsidR="00141B97" w:rsidRDefault="00911D63">
            <w:pPr>
              <w:pStyle w:val="TableParagraph"/>
              <w:spacing w:before="18" w:line="217" w:lineRule="exact"/>
              <w:ind w:left="643" w:right="642"/>
              <w:jc w:val="center"/>
              <w:rPr>
                <w:sz w:val="18"/>
              </w:rPr>
            </w:pPr>
            <w:r>
              <w:rPr>
                <w:spacing w:val="-2"/>
                <w:sz w:val="18"/>
              </w:rPr>
              <w:t>3,447.64</w:t>
            </w:r>
          </w:p>
        </w:tc>
        <w:tc>
          <w:tcPr>
            <w:tcW w:w="2450" w:type="dxa"/>
            <w:tcBorders>
              <w:right w:val="nil"/>
            </w:tcBorders>
            <w:shd w:val="clear" w:color="auto" w:fill="CCE2ED"/>
          </w:tcPr>
          <w:p w14:paraId="2344E770" w14:textId="77777777" w:rsidR="00141B97" w:rsidRDefault="00911D63">
            <w:pPr>
              <w:pStyle w:val="TableParagraph"/>
              <w:spacing w:before="18" w:line="217" w:lineRule="exact"/>
              <w:ind w:left="529" w:right="534"/>
              <w:jc w:val="center"/>
              <w:rPr>
                <w:sz w:val="18"/>
              </w:rPr>
            </w:pPr>
            <w:r>
              <w:rPr>
                <w:spacing w:val="-2"/>
                <w:sz w:val="18"/>
              </w:rPr>
              <w:t>16.00</w:t>
            </w:r>
          </w:p>
        </w:tc>
      </w:tr>
      <w:tr w:rsidR="00141B97" w14:paraId="79EFA219" w14:textId="77777777">
        <w:trPr>
          <w:trHeight w:val="254"/>
          <w:tblCellSpacing w:w="9" w:type="dxa"/>
        </w:trPr>
        <w:tc>
          <w:tcPr>
            <w:tcW w:w="2431" w:type="dxa"/>
            <w:tcBorders>
              <w:left w:val="nil"/>
            </w:tcBorders>
            <w:shd w:val="clear" w:color="auto" w:fill="CCE2ED"/>
          </w:tcPr>
          <w:p w14:paraId="4358E86E" w14:textId="77777777" w:rsidR="00141B97" w:rsidRDefault="00911D63">
            <w:pPr>
              <w:pStyle w:val="TableParagraph"/>
              <w:ind w:right="1072"/>
              <w:jc w:val="right"/>
              <w:rPr>
                <w:sz w:val="18"/>
              </w:rPr>
            </w:pPr>
            <w:r>
              <w:rPr>
                <w:spacing w:val="-5"/>
                <w:sz w:val="18"/>
              </w:rPr>
              <w:t>100</w:t>
            </w:r>
          </w:p>
        </w:tc>
        <w:tc>
          <w:tcPr>
            <w:tcW w:w="2439" w:type="dxa"/>
            <w:shd w:val="clear" w:color="auto" w:fill="CCE2ED"/>
          </w:tcPr>
          <w:p w14:paraId="44D9A72B" w14:textId="77777777" w:rsidR="00141B97" w:rsidRDefault="00911D63">
            <w:pPr>
              <w:pStyle w:val="TableParagraph"/>
              <w:spacing w:before="18" w:line="217" w:lineRule="exact"/>
              <w:ind w:left="642" w:right="642"/>
              <w:jc w:val="center"/>
              <w:rPr>
                <w:sz w:val="18"/>
              </w:rPr>
            </w:pPr>
            <w:r>
              <w:rPr>
                <w:spacing w:val="-2"/>
                <w:sz w:val="18"/>
              </w:rPr>
              <w:t>1,347.33</w:t>
            </w:r>
          </w:p>
        </w:tc>
        <w:tc>
          <w:tcPr>
            <w:tcW w:w="2439" w:type="dxa"/>
            <w:shd w:val="clear" w:color="auto" w:fill="CCE2ED"/>
          </w:tcPr>
          <w:p w14:paraId="6CEEE2FA" w14:textId="77777777" w:rsidR="00141B97" w:rsidRDefault="00911D63">
            <w:pPr>
              <w:pStyle w:val="TableParagraph"/>
              <w:spacing w:before="18" w:line="217" w:lineRule="exact"/>
              <w:ind w:left="643" w:right="642"/>
              <w:jc w:val="center"/>
              <w:rPr>
                <w:sz w:val="18"/>
              </w:rPr>
            </w:pPr>
            <w:r>
              <w:rPr>
                <w:spacing w:val="-2"/>
                <w:sz w:val="18"/>
              </w:rPr>
              <w:t>5,389.32</w:t>
            </w:r>
          </w:p>
        </w:tc>
        <w:tc>
          <w:tcPr>
            <w:tcW w:w="2450" w:type="dxa"/>
            <w:tcBorders>
              <w:right w:val="nil"/>
            </w:tcBorders>
            <w:shd w:val="clear" w:color="auto" w:fill="CCE2ED"/>
          </w:tcPr>
          <w:p w14:paraId="2386802A" w14:textId="77777777" w:rsidR="00141B97" w:rsidRDefault="00911D63">
            <w:pPr>
              <w:pStyle w:val="TableParagraph"/>
              <w:spacing w:before="18" w:line="217" w:lineRule="exact"/>
              <w:ind w:left="529" w:right="534"/>
              <w:jc w:val="center"/>
              <w:rPr>
                <w:sz w:val="18"/>
              </w:rPr>
            </w:pPr>
            <w:r>
              <w:rPr>
                <w:spacing w:val="-2"/>
                <w:sz w:val="18"/>
              </w:rPr>
              <w:t>25.00</w:t>
            </w:r>
          </w:p>
        </w:tc>
      </w:tr>
      <w:tr w:rsidR="00141B97" w14:paraId="725B9F0E" w14:textId="77777777">
        <w:trPr>
          <w:trHeight w:val="255"/>
          <w:tblCellSpacing w:w="9" w:type="dxa"/>
        </w:trPr>
        <w:tc>
          <w:tcPr>
            <w:tcW w:w="2431" w:type="dxa"/>
            <w:tcBorders>
              <w:left w:val="nil"/>
              <w:bottom w:val="nil"/>
            </w:tcBorders>
            <w:shd w:val="clear" w:color="auto" w:fill="CCE2ED"/>
          </w:tcPr>
          <w:p w14:paraId="792A86EC" w14:textId="77777777" w:rsidR="00141B97" w:rsidRDefault="00911D63">
            <w:pPr>
              <w:pStyle w:val="TableParagraph"/>
              <w:spacing w:before="1"/>
              <w:ind w:right="1072"/>
              <w:jc w:val="right"/>
              <w:rPr>
                <w:sz w:val="18"/>
              </w:rPr>
            </w:pPr>
            <w:r>
              <w:rPr>
                <w:spacing w:val="-5"/>
                <w:sz w:val="18"/>
              </w:rPr>
              <w:t>150</w:t>
            </w:r>
          </w:p>
        </w:tc>
        <w:tc>
          <w:tcPr>
            <w:tcW w:w="2439" w:type="dxa"/>
            <w:tcBorders>
              <w:bottom w:val="nil"/>
            </w:tcBorders>
            <w:shd w:val="clear" w:color="auto" w:fill="CCE2ED"/>
          </w:tcPr>
          <w:p w14:paraId="6F871706" w14:textId="77777777" w:rsidR="00141B97" w:rsidRDefault="00911D63">
            <w:pPr>
              <w:pStyle w:val="TableParagraph"/>
              <w:spacing w:before="18" w:line="217" w:lineRule="exact"/>
              <w:ind w:left="642" w:right="642"/>
              <w:jc w:val="center"/>
              <w:rPr>
                <w:sz w:val="18"/>
              </w:rPr>
            </w:pPr>
            <w:r>
              <w:rPr>
                <w:spacing w:val="-2"/>
                <w:sz w:val="18"/>
              </w:rPr>
              <w:t>3,030.17</w:t>
            </w:r>
          </w:p>
        </w:tc>
        <w:tc>
          <w:tcPr>
            <w:tcW w:w="2439" w:type="dxa"/>
            <w:tcBorders>
              <w:bottom w:val="nil"/>
            </w:tcBorders>
            <w:shd w:val="clear" w:color="auto" w:fill="CCE2ED"/>
          </w:tcPr>
          <w:p w14:paraId="2C8B34CC" w14:textId="77777777" w:rsidR="00141B97" w:rsidRDefault="00911D63">
            <w:pPr>
              <w:pStyle w:val="TableParagraph"/>
              <w:spacing w:before="18" w:line="217" w:lineRule="exact"/>
              <w:ind w:left="643" w:right="642"/>
              <w:jc w:val="center"/>
              <w:rPr>
                <w:sz w:val="18"/>
              </w:rPr>
            </w:pPr>
            <w:r>
              <w:rPr>
                <w:spacing w:val="-2"/>
                <w:sz w:val="18"/>
              </w:rPr>
              <w:t>12,120.68</w:t>
            </w:r>
          </w:p>
        </w:tc>
        <w:tc>
          <w:tcPr>
            <w:tcW w:w="2450" w:type="dxa"/>
            <w:tcBorders>
              <w:bottom w:val="nil"/>
              <w:right w:val="nil"/>
            </w:tcBorders>
            <w:shd w:val="clear" w:color="auto" w:fill="CCE2ED"/>
          </w:tcPr>
          <w:p w14:paraId="73753412" w14:textId="77777777" w:rsidR="00141B97" w:rsidRDefault="00911D63">
            <w:pPr>
              <w:pStyle w:val="TableParagraph"/>
              <w:spacing w:before="18" w:line="217" w:lineRule="exact"/>
              <w:ind w:left="529" w:right="534"/>
              <w:jc w:val="center"/>
              <w:rPr>
                <w:sz w:val="18"/>
              </w:rPr>
            </w:pPr>
            <w:r>
              <w:rPr>
                <w:spacing w:val="-2"/>
                <w:sz w:val="18"/>
              </w:rPr>
              <w:t>56.25</w:t>
            </w:r>
          </w:p>
        </w:tc>
      </w:tr>
    </w:tbl>
    <w:p w14:paraId="3FF1DA7E" w14:textId="77777777" w:rsidR="00141B97" w:rsidRDefault="00911D63">
      <w:pPr>
        <w:spacing w:before="44"/>
        <w:ind w:left="231"/>
        <w:rPr>
          <w:i/>
          <w:sz w:val="18"/>
        </w:rPr>
      </w:pPr>
      <w:r>
        <w:rPr>
          <w:i/>
          <w:sz w:val="18"/>
        </w:rPr>
        <w:t>*Note:</w:t>
      </w:r>
      <w:r>
        <w:rPr>
          <w:i/>
          <w:spacing w:val="-6"/>
          <w:sz w:val="18"/>
        </w:rPr>
        <w:t xml:space="preserve"> </w:t>
      </w:r>
      <w:r>
        <w:rPr>
          <w:i/>
          <w:sz w:val="18"/>
        </w:rPr>
        <w:t>Annual</w:t>
      </w:r>
      <w:r>
        <w:rPr>
          <w:i/>
          <w:spacing w:val="-6"/>
          <w:sz w:val="18"/>
        </w:rPr>
        <w:t xml:space="preserve"> </w:t>
      </w:r>
      <w:r>
        <w:rPr>
          <w:i/>
          <w:sz w:val="18"/>
        </w:rPr>
        <w:t>charges</w:t>
      </w:r>
      <w:r>
        <w:rPr>
          <w:i/>
          <w:spacing w:val="-5"/>
          <w:sz w:val="18"/>
        </w:rPr>
        <w:t xml:space="preserve"> </w:t>
      </w:r>
      <w:r>
        <w:rPr>
          <w:i/>
          <w:sz w:val="18"/>
        </w:rPr>
        <w:t>rounded</w:t>
      </w:r>
      <w:r>
        <w:rPr>
          <w:i/>
          <w:spacing w:val="-5"/>
          <w:sz w:val="18"/>
        </w:rPr>
        <w:t xml:space="preserve"> </w:t>
      </w:r>
      <w:r>
        <w:rPr>
          <w:i/>
          <w:sz w:val="18"/>
        </w:rPr>
        <w:t>so</w:t>
      </w:r>
      <w:r>
        <w:rPr>
          <w:i/>
          <w:spacing w:val="-5"/>
          <w:sz w:val="18"/>
        </w:rPr>
        <w:t xml:space="preserve"> </w:t>
      </w:r>
      <w:r>
        <w:rPr>
          <w:i/>
          <w:sz w:val="18"/>
        </w:rPr>
        <w:t>that</w:t>
      </w:r>
      <w:r>
        <w:rPr>
          <w:i/>
          <w:spacing w:val="-6"/>
          <w:sz w:val="18"/>
        </w:rPr>
        <w:t xml:space="preserve"> </w:t>
      </w:r>
      <w:r>
        <w:rPr>
          <w:i/>
          <w:sz w:val="18"/>
        </w:rPr>
        <w:t>they</w:t>
      </w:r>
      <w:r>
        <w:rPr>
          <w:i/>
          <w:spacing w:val="-6"/>
          <w:sz w:val="18"/>
        </w:rPr>
        <w:t xml:space="preserve"> </w:t>
      </w:r>
      <w:r>
        <w:rPr>
          <w:i/>
          <w:sz w:val="18"/>
        </w:rPr>
        <w:t>are</w:t>
      </w:r>
      <w:r>
        <w:rPr>
          <w:i/>
          <w:spacing w:val="-5"/>
          <w:sz w:val="18"/>
        </w:rPr>
        <w:t xml:space="preserve"> </w:t>
      </w:r>
      <w:r>
        <w:rPr>
          <w:i/>
          <w:sz w:val="18"/>
        </w:rPr>
        <w:t>divisible</w:t>
      </w:r>
      <w:r>
        <w:rPr>
          <w:i/>
          <w:spacing w:val="-6"/>
          <w:sz w:val="18"/>
        </w:rPr>
        <w:t xml:space="preserve"> </w:t>
      </w:r>
      <w:r>
        <w:rPr>
          <w:i/>
          <w:sz w:val="18"/>
        </w:rPr>
        <w:t>by</w:t>
      </w:r>
      <w:r>
        <w:rPr>
          <w:i/>
          <w:spacing w:val="-6"/>
          <w:sz w:val="18"/>
        </w:rPr>
        <w:t xml:space="preserve"> </w:t>
      </w:r>
      <w:r>
        <w:rPr>
          <w:i/>
          <w:sz w:val="18"/>
        </w:rPr>
        <w:t>4,</w:t>
      </w:r>
      <w:r>
        <w:rPr>
          <w:i/>
          <w:spacing w:val="-5"/>
          <w:sz w:val="18"/>
        </w:rPr>
        <w:t xml:space="preserve"> </w:t>
      </w:r>
      <w:r>
        <w:rPr>
          <w:i/>
          <w:sz w:val="18"/>
        </w:rPr>
        <w:t>as</w:t>
      </w:r>
      <w:r>
        <w:rPr>
          <w:i/>
          <w:spacing w:val="-5"/>
          <w:sz w:val="18"/>
        </w:rPr>
        <w:t xml:space="preserve"> </w:t>
      </w:r>
      <w:r>
        <w:rPr>
          <w:i/>
          <w:sz w:val="18"/>
        </w:rPr>
        <w:t>they</w:t>
      </w:r>
      <w:r>
        <w:rPr>
          <w:i/>
          <w:spacing w:val="-6"/>
          <w:sz w:val="18"/>
        </w:rPr>
        <w:t xml:space="preserve"> </w:t>
      </w:r>
      <w:r>
        <w:rPr>
          <w:i/>
          <w:sz w:val="18"/>
        </w:rPr>
        <w:t>are</w:t>
      </w:r>
      <w:r>
        <w:rPr>
          <w:i/>
          <w:spacing w:val="-6"/>
          <w:sz w:val="18"/>
        </w:rPr>
        <w:t xml:space="preserve"> </w:t>
      </w:r>
      <w:r>
        <w:rPr>
          <w:i/>
          <w:sz w:val="18"/>
        </w:rPr>
        <w:t>charged</w:t>
      </w:r>
      <w:r>
        <w:rPr>
          <w:i/>
          <w:spacing w:val="-4"/>
          <w:sz w:val="18"/>
        </w:rPr>
        <w:t xml:space="preserve"> </w:t>
      </w:r>
      <w:r>
        <w:rPr>
          <w:i/>
          <w:spacing w:val="-2"/>
          <w:sz w:val="18"/>
        </w:rPr>
        <w:t>quarterly.</w:t>
      </w:r>
    </w:p>
    <w:p w14:paraId="3C57D7BC" w14:textId="77777777" w:rsidR="00141B97" w:rsidRDefault="00911D63">
      <w:pPr>
        <w:spacing w:before="38"/>
        <w:ind w:left="114"/>
        <w:rPr>
          <w:sz w:val="16"/>
        </w:rPr>
      </w:pPr>
      <w:r>
        <w:rPr>
          <w:sz w:val="16"/>
        </w:rPr>
        <w:t>Table</w:t>
      </w:r>
      <w:r>
        <w:rPr>
          <w:spacing w:val="-4"/>
          <w:sz w:val="16"/>
        </w:rPr>
        <w:t xml:space="preserve"> </w:t>
      </w:r>
      <w:r>
        <w:rPr>
          <w:sz w:val="16"/>
        </w:rPr>
        <w:t>B35:</w:t>
      </w:r>
      <w:r>
        <w:rPr>
          <w:spacing w:val="29"/>
          <w:sz w:val="16"/>
        </w:rPr>
        <w:t xml:space="preserve"> </w:t>
      </w:r>
      <w:r>
        <w:rPr>
          <w:sz w:val="16"/>
        </w:rPr>
        <w:t>Water</w:t>
      </w:r>
      <w:r>
        <w:rPr>
          <w:spacing w:val="-5"/>
          <w:sz w:val="16"/>
        </w:rPr>
        <w:t xml:space="preserve"> </w:t>
      </w:r>
      <w:r>
        <w:rPr>
          <w:sz w:val="16"/>
        </w:rPr>
        <w:t>Service</w:t>
      </w:r>
      <w:r>
        <w:rPr>
          <w:spacing w:val="-5"/>
          <w:sz w:val="16"/>
        </w:rPr>
        <w:t xml:space="preserve"> </w:t>
      </w:r>
      <w:r>
        <w:rPr>
          <w:sz w:val="16"/>
        </w:rPr>
        <w:t>Charge</w:t>
      </w:r>
      <w:r>
        <w:rPr>
          <w:spacing w:val="-4"/>
          <w:sz w:val="16"/>
        </w:rPr>
        <w:t xml:space="preserve"> </w:t>
      </w:r>
      <w:r>
        <w:rPr>
          <w:sz w:val="16"/>
        </w:rPr>
        <w:t>by</w:t>
      </w:r>
      <w:r>
        <w:rPr>
          <w:spacing w:val="-4"/>
          <w:sz w:val="16"/>
        </w:rPr>
        <w:t xml:space="preserve"> </w:t>
      </w:r>
      <w:r>
        <w:rPr>
          <w:sz w:val="16"/>
        </w:rPr>
        <w:t>Meter</w:t>
      </w:r>
      <w:r>
        <w:rPr>
          <w:spacing w:val="-4"/>
          <w:sz w:val="16"/>
        </w:rPr>
        <w:t xml:space="preserve"> </w:t>
      </w:r>
      <w:r>
        <w:rPr>
          <w:sz w:val="16"/>
        </w:rPr>
        <w:t>Size</w:t>
      </w:r>
      <w:r>
        <w:rPr>
          <w:spacing w:val="-3"/>
          <w:sz w:val="16"/>
        </w:rPr>
        <w:t xml:space="preserve"> </w:t>
      </w:r>
      <w:r>
        <w:rPr>
          <w:sz w:val="16"/>
        </w:rPr>
        <w:t>–</w:t>
      </w:r>
      <w:r>
        <w:rPr>
          <w:spacing w:val="-4"/>
          <w:sz w:val="16"/>
        </w:rPr>
        <w:t xml:space="preserve"> </w:t>
      </w:r>
      <w:r>
        <w:rPr>
          <w:sz w:val="16"/>
        </w:rPr>
        <w:t>2022‐23</w:t>
      </w:r>
      <w:r>
        <w:rPr>
          <w:spacing w:val="-5"/>
          <w:sz w:val="16"/>
        </w:rPr>
        <w:t xml:space="preserve"> </w:t>
      </w:r>
      <w:r>
        <w:rPr>
          <w:spacing w:val="-2"/>
          <w:sz w:val="16"/>
        </w:rPr>
        <w:t>charges</w:t>
      </w:r>
    </w:p>
    <w:p w14:paraId="10FC1779" w14:textId="77777777" w:rsidR="00141B97" w:rsidRDefault="00141B97">
      <w:pPr>
        <w:pStyle w:val="BodyText"/>
        <w:rPr>
          <w:sz w:val="16"/>
        </w:rPr>
      </w:pPr>
    </w:p>
    <w:p w14:paraId="321D3E12" w14:textId="77777777" w:rsidR="00141B97" w:rsidRDefault="00911D63">
      <w:pPr>
        <w:pStyle w:val="BodyText"/>
        <w:spacing w:before="99"/>
        <w:ind w:left="113" w:right="962"/>
      </w:pPr>
      <w:r>
        <w:t>Average residential bill increases are set out in Figure B9 overleaf, along with more detailed price impacts for both residential and non‐residential customers in Table B36.</w:t>
      </w:r>
    </w:p>
    <w:p w14:paraId="26E30C76" w14:textId="77777777" w:rsidR="00141B97" w:rsidRDefault="00911D63">
      <w:pPr>
        <w:pStyle w:val="BodyText"/>
        <w:spacing w:before="1"/>
        <w:rPr>
          <w:sz w:val="28"/>
        </w:rPr>
      </w:pPr>
      <w:r>
        <w:rPr>
          <w:noProof/>
        </w:rPr>
        <w:drawing>
          <wp:anchor distT="0" distB="0" distL="0" distR="0" simplePos="0" relativeHeight="53" behindDoc="0" locked="0" layoutInCell="1" allowOverlap="1" wp14:anchorId="1902B743" wp14:editId="183D4854">
            <wp:simplePos x="0" y="0"/>
            <wp:positionH relativeFrom="page">
              <wp:posOffset>1008888</wp:posOffset>
            </wp:positionH>
            <wp:positionV relativeFrom="paragraph">
              <wp:posOffset>233133</wp:posOffset>
            </wp:positionV>
            <wp:extent cx="5632704" cy="2145792"/>
            <wp:effectExtent l="0" t="0" r="0" b="0"/>
            <wp:wrapTopAndBottom/>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png"/>
                    <pic:cNvPicPr/>
                  </pic:nvPicPr>
                  <pic:blipFill>
                    <a:blip r:embed="rId85" cstate="email">
                      <a:extLst>
                        <a:ext uri="{28A0092B-C50C-407E-A947-70E740481C1C}">
                          <a14:useLocalDpi xmlns:a14="http://schemas.microsoft.com/office/drawing/2010/main"/>
                        </a:ext>
                      </a:extLst>
                    </a:blip>
                    <a:stretch>
                      <a:fillRect/>
                    </a:stretch>
                  </pic:blipFill>
                  <pic:spPr>
                    <a:xfrm>
                      <a:off x="0" y="0"/>
                      <a:ext cx="5632704" cy="2145792"/>
                    </a:xfrm>
                    <a:prstGeom prst="rect">
                      <a:avLst/>
                    </a:prstGeom>
                  </pic:spPr>
                </pic:pic>
              </a:graphicData>
            </a:graphic>
          </wp:anchor>
        </w:drawing>
      </w:r>
    </w:p>
    <w:p w14:paraId="6F61CF20" w14:textId="77777777" w:rsidR="00141B97" w:rsidRDefault="00911D63">
      <w:pPr>
        <w:spacing w:before="115"/>
        <w:ind w:left="114"/>
        <w:rPr>
          <w:sz w:val="16"/>
        </w:rPr>
      </w:pPr>
      <w:r>
        <w:rPr>
          <w:sz w:val="16"/>
        </w:rPr>
        <w:t>Figure</w:t>
      </w:r>
      <w:r>
        <w:rPr>
          <w:spacing w:val="-5"/>
          <w:sz w:val="16"/>
        </w:rPr>
        <w:t xml:space="preserve"> </w:t>
      </w:r>
      <w:r>
        <w:rPr>
          <w:sz w:val="16"/>
        </w:rPr>
        <w:t>B9:</w:t>
      </w:r>
      <w:r>
        <w:rPr>
          <w:spacing w:val="-6"/>
          <w:sz w:val="16"/>
        </w:rPr>
        <w:t xml:space="preserve"> </w:t>
      </w:r>
      <w:r>
        <w:rPr>
          <w:sz w:val="16"/>
        </w:rPr>
        <w:t>Proposed</w:t>
      </w:r>
      <w:r>
        <w:rPr>
          <w:spacing w:val="-4"/>
          <w:sz w:val="16"/>
        </w:rPr>
        <w:t xml:space="preserve"> </w:t>
      </w:r>
      <w:r>
        <w:rPr>
          <w:sz w:val="16"/>
        </w:rPr>
        <w:t>Urban</w:t>
      </w:r>
      <w:r>
        <w:rPr>
          <w:spacing w:val="-5"/>
          <w:sz w:val="16"/>
        </w:rPr>
        <w:t xml:space="preserve"> </w:t>
      </w:r>
      <w:r>
        <w:rPr>
          <w:sz w:val="16"/>
        </w:rPr>
        <w:t>Price</w:t>
      </w:r>
      <w:r>
        <w:rPr>
          <w:spacing w:val="-4"/>
          <w:sz w:val="16"/>
        </w:rPr>
        <w:t xml:space="preserve"> </w:t>
      </w:r>
      <w:r>
        <w:rPr>
          <w:sz w:val="16"/>
        </w:rPr>
        <w:t>Changes</w:t>
      </w:r>
      <w:r>
        <w:rPr>
          <w:spacing w:val="-4"/>
          <w:sz w:val="16"/>
        </w:rPr>
        <w:t xml:space="preserve"> </w:t>
      </w:r>
      <w:r>
        <w:rPr>
          <w:sz w:val="16"/>
        </w:rPr>
        <w:t>–</w:t>
      </w:r>
      <w:r>
        <w:rPr>
          <w:spacing w:val="-4"/>
          <w:sz w:val="16"/>
        </w:rPr>
        <w:t xml:space="preserve"> </w:t>
      </w:r>
      <w:r>
        <w:rPr>
          <w:sz w:val="16"/>
        </w:rPr>
        <w:t>Average</w:t>
      </w:r>
      <w:r>
        <w:rPr>
          <w:spacing w:val="-5"/>
          <w:sz w:val="16"/>
        </w:rPr>
        <w:t xml:space="preserve"> </w:t>
      </w:r>
      <w:r>
        <w:rPr>
          <w:sz w:val="16"/>
        </w:rPr>
        <w:t>Residential</w:t>
      </w:r>
      <w:r>
        <w:rPr>
          <w:spacing w:val="-4"/>
          <w:sz w:val="16"/>
        </w:rPr>
        <w:t xml:space="preserve"> </w:t>
      </w:r>
      <w:r>
        <w:rPr>
          <w:sz w:val="16"/>
        </w:rPr>
        <w:t>Bill</w:t>
      </w:r>
      <w:r>
        <w:rPr>
          <w:spacing w:val="-5"/>
          <w:sz w:val="16"/>
        </w:rPr>
        <w:t xml:space="preserve"> </w:t>
      </w:r>
      <w:r>
        <w:rPr>
          <w:spacing w:val="-2"/>
          <w:sz w:val="16"/>
        </w:rPr>
        <w:t>$1/1/23</w:t>
      </w:r>
    </w:p>
    <w:p w14:paraId="1653EAAD" w14:textId="77777777" w:rsidR="00141B97" w:rsidRDefault="00141B97">
      <w:pPr>
        <w:rPr>
          <w:sz w:val="16"/>
        </w:rPr>
        <w:sectPr w:rsidR="00141B97">
          <w:pgSz w:w="11910" w:h="16840"/>
          <w:pgMar w:top="820" w:right="40" w:bottom="760" w:left="1020" w:header="0" w:footer="580" w:gutter="0"/>
          <w:cols w:space="720"/>
        </w:sect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426"/>
        <w:gridCol w:w="1297"/>
        <w:gridCol w:w="1207"/>
        <w:gridCol w:w="1207"/>
        <w:gridCol w:w="1206"/>
        <w:gridCol w:w="1207"/>
        <w:gridCol w:w="1206"/>
      </w:tblGrid>
      <w:tr w:rsidR="00141B97" w14:paraId="5A84F7EC" w14:textId="77777777">
        <w:trPr>
          <w:trHeight w:val="285"/>
          <w:tblCellSpacing w:w="9" w:type="dxa"/>
        </w:trPr>
        <w:tc>
          <w:tcPr>
            <w:tcW w:w="2399" w:type="dxa"/>
            <w:tcBorders>
              <w:top w:val="nil"/>
              <w:left w:val="nil"/>
            </w:tcBorders>
            <w:shd w:val="clear" w:color="auto" w:fill="0064A4"/>
          </w:tcPr>
          <w:p w14:paraId="2C5E9FA1" w14:textId="77777777" w:rsidR="00141B97" w:rsidRDefault="00911D63">
            <w:pPr>
              <w:pStyle w:val="TableParagraph"/>
              <w:spacing w:before="34"/>
              <w:ind w:left="88"/>
              <w:rPr>
                <w:sz w:val="18"/>
              </w:rPr>
            </w:pPr>
            <w:r>
              <w:rPr>
                <w:color w:val="FFFFFF"/>
                <w:spacing w:val="-2"/>
                <w:sz w:val="18"/>
              </w:rPr>
              <w:lastRenderedPageBreak/>
              <w:t>$1/1/23</w:t>
            </w:r>
          </w:p>
        </w:tc>
        <w:tc>
          <w:tcPr>
            <w:tcW w:w="1279" w:type="dxa"/>
            <w:tcBorders>
              <w:top w:val="nil"/>
            </w:tcBorders>
            <w:shd w:val="clear" w:color="auto" w:fill="0064A4"/>
          </w:tcPr>
          <w:p w14:paraId="451EA07B" w14:textId="77777777" w:rsidR="00141B97" w:rsidRDefault="00911D63">
            <w:pPr>
              <w:pStyle w:val="TableParagraph"/>
              <w:spacing w:before="34"/>
              <w:ind w:left="350"/>
              <w:rPr>
                <w:sz w:val="18"/>
              </w:rPr>
            </w:pPr>
            <w:r>
              <w:rPr>
                <w:color w:val="FFFFFF"/>
                <w:spacing w:val="-2"/>
                <w:sz w:val="18"/>
              </w:rPr>
              <w:t>Current</w:t>
            </w:r>
          </w:p>
        </w:tc>
        <w:tc>
          <w:tcPr>
            <w:tcW w:w="5934" w:type="dxa"/>
            <w:gridSpan w:val="5"/>
            <w:tcBorders>
              <w:top w:val="nil"/>
              <w:right w:val="nil"/>
            </w:tcBorders>
            <w:shd w:val="clear" w:color="auto" w:fill="0064A4"/>
          </w:tcPr>
          <w:p w14:paraId="42FF62FA" w14:textId="77777777" w:rsidR="00141B97" w:rsidRDefault="00911D63">
            <w:pPr>
              <w:pStyle w:val="TableParagraph"/>
              <w:spacing w:before="34"/>
              <w:ind w:left="2133" w:right="2123"/>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659CD2EC" w14:textId="77777777">
        <w:trPr>
          <w:trHeight w:val="285"/>
          <w:tblCellSpacing w:w="9" w:type="dxa"/>
        </w:trPr>
        <w:tc>
          <w:tcPr>
            <w:tcW w:w="2399" w:type="dxa"/>
            <w:tcBorders>
              <w:left w:val="nil"/>
            </w:tcBorders>
            <w:shd w:val="clear" w:color="auto" w:fill="0064A4"/>
          </w:tcPr>
          <w:p w14:paraId="3A27F02D" w14:textId="77777777" w:rsidR="00141B97" w:rsidRDefault="00141B97">
            <w:pPr>
              <w:pStyle w:val="TableParagraph"/>
              <w:rPr>
                <w:rFonts w:ascii="Times New Roman"/>
                <w:sz w:val="20"/>
              </w:rPr>
            </w:pPr>
          </w:p>
        </w:tc>
        <w:tc>
          <w:tcPr>
            <w:tcW w:w="1279" w:type="dxa"/>
            <w:shd w:val="clear" w:color="auto" w:fill="0064A4"/>
          </w:tcPr>
          <w:p w14:paraId="2935C737" w14:textId="77777777" w:rsidR="00141B97" w:rsidRDefault="00911D63">
            <w:pPr>
              <w:pStyle w:val="TableParagraph"/>
              <w:spacing w:before="33"/>
              <w:ind w:left="326"/>
              <w:rPr>
                <w:sz w:val="18"/>
              </w:rPr>
            </w:pPr>
            <w:r>
              <w:rPr>
                <w:color w:val="FFFFFF"/>
                <w:spacing w:val="-2"/>
                <w:sz w:val="18"/>
              </w:rPr>
              <w:t>2022‐23</w:t>
            </w:r>
          </w:p>
        </w:tc>
        <w:tc>
          <w:tcPr>
            <w:tcW w:w="1189" w:type="dxa"/>
            <w:shd w:val="clear" w:color="auto" w:fill="0064A4"/>
          </w:tcPr>
          <w:p w14:paraId="0F284CCB" w14:textId="77777777" w:rsidR="00141B97" w:rsidRDefault="00911D63">
            <w:pPr>
              <w:pStyle w:val="TableParagraph"/>
              <w:spacing w:before="33"/>
              <w:ind w:left="282"/>
              <w:rPr>
                <w:sz w:val="18"/>
              </w:rPr>
            </w:pPr>
            <w:r>
              <w:rPr>
                <w:color w:val="FFFFFF"/>
                <w:spacing w:val="-2"/>
                <w:sz w:val="18"/>
              </w:rPr>
              <w:t>2023‐24</w:t>
            </w:r>
          </w:p>
        </w:tc>
        <w:tc>
          <w:tcPr>
            <w:tcW w:w="1189" w:type="dxa"/>
            <w:shd w:val="clear" w:color="auto" w:fill="0064A4"/>
          </w:tcPr>
          <w:p w14:paraId="1816C9FC" w14:textId="77777777" w:rsidR="00141B97" w:rsidRDefault="00911D63">
            <w:pPr>
              <w:pStyle w:val="TableParagraph"/>
              <w:spacing w:before="33"/>
              <w:ind w:left="283"/>
              <w:rPr>
                <w:sz w:val="18"/>
              </w:rPr>
            </w:pPr>
            <w:r>
              <w:rPr>
                <w:color w:val="FFFFFF"/>
                <w:spacing w:val="-2"/>
                <w:sz w:val="18"/>
              </w:rPr>
              <w:t>2024‐25</w:t>
            </w:r>
          </w:p>
        </w:tc>
        <w:tc>
          <w:tcPr>
            <w:tcW w:w="1188" w:type="dxa"/>
            <w:shd w:val="clear" w:color="auto" w:fill="0064A4"/>
          </w:tcPr>
          <w:p w14:paraId="3D4F91E7" w14:textId="77777777" w:rsidR="00141B97" w:rsidRDefault="00911D63">
            <w:pPr>
              <w:pStyle w:val="TableParagraph"/>
              <w:spacing w:before="33"/>
              <w:ind w:left="282"/>
              <w:rPr>
                <w:sz w:val="18"/>
              </w:rPr>
            </w:pPr>
            <w:r>
              <w:rPr>
                <w:color w:val="FFFFFF"/>
                <w:spacing w:val="-2"/>
                <w:sz w:val="18"/>
              </w:rPr>
              <w:t>2025‐26</w:t>
            </w:r>
          </w:p>
        </w:tc>
        <w:tc>
          <w:tcPr>
            <w:tcW w:w="1189" w:type="dxa"/>
            <w:shd w:val="clear" w:color="auto" w:fill="0064A4"/>
          </w:tcPr>
          <w:p w14:paraId="309D1E17" w14:textId="77777777" w:rsidR="00141B97" w:rsidRDefault="00911D63">
            <w:pPr>
              <w:pStyle w:val="TableParagraph"/>
              <w:spacing w:before="33"/>
              <w:ind w:left="283"/>
              <w:rPr>
                <w:sz w:val="18"/>
              </w:rPr>
            </w:pPr>
            <w:r>
              <w:rPr>
                <w:color w:val="FFFFFF"/>
                <w:spacing w:val="-2"/>
                <w:sz w:val="18"/>
              </w:rPr>
              <w:t>2026‐27</w:t>
            </w:r>
          </w:p>
        </w:tc>
        <w:tc>
          <w:tcPr>
            <w:tcW w:w="1179" w:type="dxa"/>
            <w:tcBorders>
              <w:right w:val="nil"/>
            </w:tcBorders>
            <w:shd w:val="clear" w:color="auto" w:fill="0064A4"/>
          </w:tcPr>
          <w:p w14:paraId="169823A9" w14:textId="77777777" w:rsidR="00141B97" w:rsidRDefault="00911D63">
            <w:pPr>
              <w:pStyle w:val="TableParagraph"/>
              <w:spacing w:before="33"/>
              <w:ind w:left="283"/>
              <w:rPr>
                <w:sz w:val="18"/>
              </w:rPr>
            </w:pPr>
            <w:r>
              <w:rPr>
                <w:color w:val="FFFFFF"/>
                <w:spacing w:val="-2"/>
                <w:sz w:val="18"/>
              </w:rPr>
              <w:t>2027‐28</w:t>
            </w:r>
          </w:p>
        </w:tc>
      </w:tr>
      <w:tr w:rsidR="00141B97" w14:paraId="7F9C7171" w14:textId="77777777">
        <w:trPr>
          <w:trHeight w:val="284"/>
          <w:tblCellSpacing w:w="9" w:type="dxa"/>
        </w:trPr>
        <w:tc>
          <w:tcPr>
            <w:tcW w:w="2399" w:type="dxa"/>
            <w:tcBorders>
              <w:left w:val="nil"/>
            </w:tcBorders>
            <w:shd w:val="clear" w:color="auto" w:fill="BFBFBF"/>
          </w:tcPr>
          <w:p w14:paraId="4C54A158" w14:textId="77777777" w:rsidR="00141B97" w:rsidRDefault="00911D63">
            <w:pPr>
              <w:pStyle w:val="TableParagraph"/>
              <w:spacing w:before="32"/>
              <w:ind w:left="88"/>
              <w:rPr>
                <w:sz w:val="18"/>
              </w:rPr>
            </w:pPr>
            <w:r>
              <w:rPr>
                <w:spacing w:val="-2"/>
                <w:sz w:val="18"/>
              </w:rPr>
              <w:t>RESIDENTIAL</w:t>
            </w:r>
          </w:p>
        </w:tc>
        <w:tc>
          <w:tcPr>
            <w:tcW w:w="1279" w:type="dxa"/>
            <w:shd w:val="clear" w:color="auto" w:fill="BFBFBF"/>
          </w:tcPr>
          <w:p w14:paraId="65BE7F3D" w14:textId="77777777" w:rsidR="00141B97" w:rsidRDefault="00911D63">
            <w:pPr>
              <w:pStyle w:val="TableParagraph"/>
              <w:spacing w:before="32"/>
              <w:ind w:left="318"/>
              <w:rPr>
                <w:sz w:val="18"/>
              </w:rPr>
            </w:pPr>
            <w:r>
              <w:rPr>
                <w:sz w:val="18"/>
              </w:rPr>
              <w:t>Total</w:t>
            </w:r>
            <w:r>
              <w:rPr>
                <w:spacing w:val="-1"/>
                <w:sz w:val="18"/>
              </w:rPr>
              <w:t xml:space="preserve"> </w:t>
            </w:r>
            <w:r>
              <w:rPr>
                <w:spacing w:val="-4"/>
                <w:sz w:val="18"/>
              </w:rPr>
              <w:t>Bill</w:t>
            </w:r>
          </w:p>
        </w:tc>
        <w:tc>
          <w:tcPr>
            <w:tcW w:w="5934" w:type="dxa"/>
            <w:gridSpan w:val="5"/>
            <w:tcBorders>
              <w:right w:val="nil"/>
            </w:tcBorders>
            <w:shd w:val="clear" w:color="auto" w:fill="BFBFBF"/>
          </w:tcPr>
          <w:p w14:paraId="582431EF" w14:textId="77777777" w:rsidR="00141B97" w:rsidRDefault="00911D63">
            <w:pPr>
              <w:pStyle w:val="TableParagraph"/>
              <w:spacing w:before="32"/>
              <w:ind w:left="1952"/>
              <w:rPr>
                <w:sz w:val="18"/>
              </w:rPr>
            </w:pPr>
            <w:r>
              <w:rPr>
                <w:sz w:val="18"/>
              </w:rPr>
              <w:t>Increase</w:t>
            </w:r>
            <w:r>
              <w:rPr>
                <w:spacing w:val="-1"/>
                <w:sz w:val="18"/>
              </w:rPr>
              <w:t xml:space="preserve"> </w:t>
            </w:r>
            <w:r>
              <w:rPr>
                <w:sz w:val="18"/>
              </w:rPr>
              <w:t>from previous</w:t>
            </w:r>
            <w:r>
              <w:rPr>
                <w:spacing w:val="-1"/>
                <w:sz w:val="18"/>
              </w:rPr>
              <w:t xml:space="preserve"> </w:t>
            </w:r>
            <w:r>
              <w:rPr>
                <w:spacing w:val="-4"/>
                <w:sz w:val="18"/>
              </w:rPr>
              <w:t>year</w:t>
            </w:r>
          </w:p>
        </w:tc>
      </w:tr>
      <w:tr w:rsidR="00141B97" w14:paraId="797C9524" w14:textId="77777777">
        <w:trPr>
          <w:trHeight w:val="284"/>
          <w:tblCellSpacing w:w="9" w:type="dxa"/>
        </w:trPr>
        <w:tc>
          <w:tcPr>
            <w:tcW w:w="2399" w:type="dxa"/>
            <w:tcBorders>
              <w:left w:val="nil"/>
            </w:tcBorders>
            <w:shd w:val="clear" w:color="auto" w:fill="CCE2ED"/>
          </w:tcPr>
          <w:p w14:paraId="2FB8F12A" w14:textId="77777777" w:rsidR="00141B97" w:rsidRDefault="00911D63">
            <w:pPr>
              <w:pStyle w:val="TableParagraph"/>
              <w:spacing w:before="33"/>
              <w:ind w:left="88"/>
              <w:rPr>
                <w:sz w:val="18"/>
              </w:rPr>
            </w:pPr>
            <w:r>
              <w:rPr>
                <w:sz w:val="18"/>
              </w:rPr>
              <w:t xml:space="preserve">400 </w:t>
            </w:r>
            <w:r>
              <w:rPr>
                <w:spacing w:val="-5"/>
                <w:sz w:val="18"/>
              </w:rPr>
              <w:t>kL</w:t>
            </w:r>
          </w:p>
        </w:tc>
        <w:tc>
          <w:tcPr>
            <w:tcW w:w="1279" w:type="dxa"/>
            <w:shd w:val="clear" w:color="auto" w:fill="CCE2ED"/>
          </w:tcPr>
          <w:p w14:paraId="6508AE80" w14:textId="77777777" w:rsidR="00141B97" w:rsidRDefault="00911D63">
            <w:pPr>
              <w:pStyle w:val="TableParagraph"/>
              <w:spacing w:before="33"/>
              <w:ind w:right="95"/>
              <w:jc w:val="right"/>
              <w:rPr>
                <w:sz w:val="18"/>
              </w:rPr>
            </w:pPr>
            <w:r>
              <w:rPr>
                <w:spacing w:val="-2"/>
                <w:sz w:val="18"/>
              </w:rPr>
              <w:t>949.59</w:t>
            </w:r>
          </w:p>
        </w:tc>
        <w:tc>
          <w:tcPr>
            <w:tcW w:w="1189" w:type="dxa"/>
            <w:shd w:val="clear" w:color="auto" w:fill="CCE2ED"/>
          </w:tcPr>
          <w:p w14:paraId="191B40F7" w14:textId="77777777" w:rsidR="00141B97" w:rsidRDefault="00911D63">
            <w:pPr>
              <w:pStyle w:val="TableParagraph"/>
              <w:spacing w:before="33"/>
              <w:ind w:right="95"/>
              <w:jc w:val="right"/>
              <w:rPr>
                <w:sz w:val="18"/>
              </w:rPr>
            </w:pPr>
            <w:r>
              <w:rPr>
                <w:spacing w:val="-4"/>
                <w:sz w:val="18"/>
              </w:rPr>
              <w:t>2.89</w:t>
            </w:r>
          </w:p>
        </w:tc>
        <w:tc>
          <w:tcPr>
            <w:tcW w:w="1189" w:type="dxa"/>
            <w:shd w:val="clear" w:color="auto" w:fill="CCE2ED"/>
          </w:tcPr>
          <w:p w14:paraId="4597FCC0" w14:textId="77777777" w:rsidR="00141B97" w:rsidRDefault="00911D63">
            <w:pPr>
              <w:pStyle w:val="TableParagraph"/>
              <w:spacing w:before="33"/>
              <w:ind w:right="95"/>
              <w:jc w:val="right"/>
              <w:rPr>
                <w:sz w:val="18"/>
              </w:rPr>
            </w:pPr>
            <w:r>
              <w:rPr>
                <w:spacing w:val="-4"/>
                <w:sz w:val="18"/>
              </w:rPr>
              <w:t>2.90</w:t>
            </w:r>
          </w:p>
        </w:tc>
        <w:tc>
          <w:tcPr>
            <w:tcW w:w="1188" w:type="dxa"/>
            <w:shd w:val="clear" w:color="auto" w:fill="CCE2ED"/>
          </w:tcPr>
          <w:p w14:paraId="72C8345A" w14:textId="77777777" w:rsidR="00141B97" w:rsidRDefault="00911D63">
            <w:pPr>
              <w:pStyle w:val="TableParagraph"/>
              <w:spacing w:before="33"/>
              <w:ind w:right="95"/>
              <w:jc w:val="right"/>
              <w:rPr>
                <w:sz w:val="18"/>
              </w:rPr>
            </w:pPr>
            <w:r>
              <w:rPr>
                <w:spacing w:val="-4"/>
                <w:sz w:val="18"/>
              </w:rPr>
              <w:t>2.91</w:t>
            </w:r>
          </w:p>
        </w:tc>
        <w:tc>
          <w:tcPr>
            <w:tcW w:w="1189" w:type="dxa"/>
            <w:shd w:val="clear" w:color="auto" w:fill="CCE2ED"/>
          </w:tcPr>
          <w:p w14:paraId="058D6266" w14:textId="77777777" w:rsidR="00141B97" w:rsidRDefault="00911D63">
            <w:pPr>
              <w:pStyle w:val="TableParagraph"/>
              <w:spacing w:before="33"/>
              <w:ind w:right="95"/>
              <w:jc w:val="right"/>
              <w:rPr>
                <w:sz w:val="18"/>
              </w:rPr>
            </w:pPr>
            <w:r>
              <w:rPr>
                <w:spacing w:val="-4"/>
                <w:sz w:val="18"/>
              </w:rPr>
              <w:t>2.91</w:t>
            </w:r>
          </w:p>
        </w:tc>
        <w:tc>
          <w:tcPr>
            <w:tcW w:w="1179" w:type="dxa"/>
            <w:tcBorders>
              <w:right w:val="nil"/>
            </w:tcBorders>
            <w:shd w:val="clear" w:color="auto" w:fill="CCE2ED"/>
          </w:tcPr>
          <w:p w14:paraId="1C04A6B8" w14:textId="77777777" w:rsidR="00141B97" w:rsidRDefault="00911D63">
            <w:pPr>
              <w:pStyle w:val="TableParagraph"/>
              <w:spacing w:before="33"/>
              <w:ind w:right="85"/>
              <w:jc w:val="right"/>
              <w:rPr>
                <w:sz w:val="18"/>
              </w:rPr>
            </w:pPr>
            <w:r>
              <w:rPr>
                <w:spacing w:val="-4"/>
                <w:sz w:val="18"/>
              </w:rPr>
              <w:t>2.92</w:t>
            </w:r>
          </w:p>
        </w:tc>
      </w:tr>
      <w:tr w:rsidR="00141B97" w14:paraId="781DDBEC" w14:textId="77777777">
        <w:trPr>
          <w:trHeight w:val="284"/>
          <w:tblCellSpacing w:w="9" w:type="dxa"/>
        </w:trPr>
        <w:tc>
          <w:tcPr>
            <w:tcW w:w="2399" w:type="dxa"/>
            <w:tcBorders>
              <w:left w:val="nil"/>
            </w:tcBorders>
            <w:shd w:val="clear" w:color="auto" w:fill="CCE2ED"/>
          </w:tcPr>
          <w:p w14:paraId="3B727E0A" w14:textId="77777777" w:rsidR="00141B97" w:rsidRDefault="00911D63">
            <w:pPr>
              <w:pStyle w:val="TableParagraph"/>
              <w:spacing w:before="33"/>
              <w:ind w:left="88"/>
              <w:rPr>
                <w:sz w:val="18"/>
              </w:rPr>
            </w:pPr>
            <w:r>
              <w:rPr>
                <w:sz w:val="18"/>
              </w:rPr>
              <w:t>480</w:t>
            </w:r>
            <w:r>
              <w:rPr>
                <w:spacing w:val="-1"/>
                <w:sz w:val="18"/>
              </w:rPr>
              <w:t xml:space="preserve"> </w:t>
            </w:r>
            <w:r>
              <w:rPr>
                <w:sz w:val="18"/>
              </w:rPr>
              <w:t xml:space="preserve">kL </w:t>
            </w:r>
            <w:r>
              <w:rPr>
                <w:spacing w:val="-2"/>
                <w:sz w:val="18"/>
              </w:rPr>
              <w:t>(average)</w:t>
            </w:r>
          </w:p>
        </w:tc>
        <w:tc>
          <w:tcPr>
            <w:tcW w:w="1279" w:type="dxa"/>
            <w:shd w:val="clear" w:color="auto" w:fill="CCE2ED"/>
          </w:tcPr>
          <w:p w14:paraId="325A1821" w14:textId="77777777" w:rsidR="00141B97" w:rsidRDefault="00911D63">
            <w:pPr>
              <w:pStyle w:val="TableParagraph"/>
              <w:spacing w:before="33"/>
              <w:ind w:right="95"/>
              <w:jc w:val="right"/>
              <w:rPr>
                <w:sz w:val="18"/>
              </w:rPr>
            </w:pPr>
            <w:r>
              <w:rPr>
                <w:spacing w:val="-2"/>
                <w:sz w:val="18"/>
              </w:rPr>
              <w:t>1017.71</w:t>
            </w:r>
          </w:p>
        </w:tc>
        <w:tc>
          <w:tcPr>
            <w:tcW w:w="1189" w:type="dxa"/>
            <w:shd w:val="clear" w:color="auto" w:fill="CCE2ED"/>
          </w:tcPr>
          <w:p w14:paraId="455C834E" w14:textId="77777777" w:rsidR="00141B97" w:rsidRDefault="00911D63">
            <w:pPr>
              <w:pStyle w:val="TableParagraph"/>
              <w:spacing w:before="33"/>
              <w:ind w:right="95"/>
              <w:jc w:val="right"/>
              <w:rPr>
                <w:sz w:val="18"/>
              </w:rPr>
            </w:pPr>
            <w:r>
              <w:rPr>
                <w:spacing w:val="-4"/>
                <w:sz w:val="18"/>
              </w:rPr>
              <w:t>3.10</w:t>
            </w:r>
          </w:p>
        </w:tc>
        <w:tc>
          <w:tcPr>
            <w:tcW w:w="1189" w:type="dxa"/>
            <w:shd w:val="clear" w:color="auto" w:fill="CCE2ED"/>
          </w:tcPr>
          <w:p w14:paraId="09260E99" w14:textId="77777777" w:rsidR="00141B97" w:rsidRDefault="00911D63">
            <w:pPr>
              <w:pStyle w:val="TableParagraph"/>
              <w:spacing w:before="33"/>
              <w:ind w:right="95"/>
              <w:jc w:val="right"/>
              <w:rPr>
                <w:sz w:val="18"/>
              </w:rPr>
            </w:pPr>
            <w:r>
              <w:rPr>
                <w:spacing w:val="-4"/>
                <w:sz w:val="18"/>
              </w:rPr>
              <w:t>3.10</w:t>
            </w:r>
          </w:p>
        </w:tc>
        <w:tc>
          <w:tcPr>
            <w:tcW w:w="1188" w:type="dxa"/>
            <w:shd w:val="clear" w:color="auto" w:fill="CCE2ED"/>
          </w:tcPr>
          <w:p w14:paraId="140AAD18" w14:textId="77777777" w:rsidR="00141B97" w:rsidRDefault="00911D63">
            <w:pPr>
              <w:pStyle w:val="TableParagraph"/>
              <w:spacing w:before="33"/>
              <w:ind w:right="95"/>
              <w:jc w:val="right"/>
              <w:rPr>
                <w:sz w:val="18"/>
              </w:rPr>
            </w:pPr>
            <w:r>
              <w:rPr>
                <w:spacing w:val="-4"/>
                <w:sz w:val="18"/>
              </w:rPr>
              <w:t>3.11</w:t>
            </w:r>
          </w:p>
        </w:tc>
        <w:tc>
          <w:tcPr>
            <w:tcW w:w="1189" w:type="dxa"/>
            <w:shd w:val="clear" w:color="auto" w:fill="CCE2ED"/>
          </w:tcPr>
          <w:p w14:paraId="789F3D51" w14:textId="77777777" w:rsidR="00141B97" w:rsidRDefault="00911D63">
            <w:pPr>
              <w:pStyle w:val="TableParagraph"/>
              <w:spacing w:before="33"/>
              <w:ind w:right="95"/>
              <w:jc w:val="right"/>
              <w:rPr>
                <w:sz w:val="18"/>
              </w:rPr>
            </w:pPr>
            <w:r>
              <w:rPr>
                <w:spacing w:val="-4"/>
                <w:sz w:val="18"/>
              </w:rPr>
              <w:t>3.12</w:t>
            </w:r>
          </w:p>
        </w:tc>
        <w:tc>
          <w:tcPr>
            <w:tcW w:w="1179" w:type="dxa"/>
            <w:tcBorders>
              <w:right w:val="nil"/>
            </w:tcBorders>
            <w:shd w:val="clear" w:color="auto" w:fill="CCE2ED"/>
          </w:tcPr>
          <w:p w14:paraId="10005732" w14:textId="77777777" w:rsidR="00141B97" w:rsidRDefault="00911D63">
            <w:pPr>
              <w:pStyle w:val="TableParagraph"/>
              <w:spacing w:before="33"/>
              <w:ind w:right="85"/>
              <w:jc w:val="right"/>
              <w:rPr>
                <w:sz w:val="18"/>
              </w:rPr>
            </w:pPr>
            <w:r>
              <w:rPr>
                <w:spacing w:val="-4"/>
                <w:sz w:val="18"/>
              </w:rPr>
              <w:t>3.13</w:t>
            </w:r>
          </w:p>
        </w:tc>
      </w:tr>
      <w:tr w:rsidR="00141B97" w14:paraId="01F3C6D6" w14:textId="77777777">
        <w:trPr>
          <w:trHeight w:val="284"/>
          <w:tblCellSpacing w:w="9" w:type="dxa"/>
        </w:trPr>
        <w:tc>
          <w:tcPr>
            <w:tcW w:w="2399" w:type="dxa"/>
            <w:tcBorders>
              <w:left w:val="nil"/>
            </w:tcBorders>
            <w:shd w:val="clear" w:color="auto" w:fill="CCE2ED"/>
          </w:tcPr>
          <w:p w14:paraId="2C8AE6DE" w14:textId="77777777" w:rsidR="00141B97" w:rsidRDefault="00911D63">
            <w:pPr>
              <w:pStyle w:val="TableParagraph"/>
              <w:spacing w:before="33"/>
              <w:ind w:left="88"/>
              <w:rPr>
                <w:sz w:val="18"/>
              </w:rPr>
            </w:pPr>
            <w:r>
              <w:rPr>
                <w:sz w:val="18"/>
              </w:rPr>
              <w:t xml:space="preserve">1,200 </w:t>
            </w:r>
            <w:r>
              <w:rPr>
                <w:spacing w:val="-5"/>
                <w:sz w:val="18"/>
              </w:rPr>
              <w:t>kL</w:t>
            </w:r>
          </w:p>
        </w:tc>
        <w:tc>
          <w:tcPr>
            <w:tcW w:w="1279" w:type="dxa"/>
            <w:shd w:val="clear" w:color="auto" w:fill="CCE2ED"/>
          </w:tcPr>
          <w:p w14:paraId="67C7AF7C" w14:textId="77777777" w:rsidR="00141B97" w:rsidRDefault="00911D63">
            <w:pPr>
              <w:pStyle w:val="TableParagraph"/>
              <w:spacing w:before="33"/>
              <w:ind w:right="95"/>
              <w:jc w:val="right"/>
              <w:rPr>
                <w:sz w:val="18"/>
              </w:rPr>
            </w:pPr>
            <w:r>
              <w:rPr>
                <w:spacing w:val="-2"/>
                <w:sz w:val="18"/>
              </w:rPr>
              <w:t>1776.65</w:t>
            </w:r>
          </w:p>
        </w:tc>
        <w:tc>
          <w:tcPr>
            <w:tcW w:w="1189" w:type="dxa"/>
            <w:shd w:val="clear" w:color="auto" w:fill="CCE2ED"/>
          </w:tcPr>
          <w:p w14:paraId="72A403E8" w14:textId="77777777" w:rsidR="00141B97" w:rsidRDefault="00911D63">
            <w:pPr>
              <w:pStyle w:val="TableParagraph"/>
              <w:spacing w:before="33"/>
              <w:ind w:right="95"/>
              <w:jc w:val="right"/>
              <w:rPr>
                <w:sz w:val="18"/>
              </w:rPr>
            </w:pPr>
            <w:r>
              <w:rPr>
                <w:spacing w:val="-4"/>
                <w:sz w:val="18"/>
              </w:rPr>
              <w:t>5.40</w:t>
            </w:r>
          </w:p>
        </w:tc>
        <w:tc>
          <w:tcPr>
            <w:tcW w:w="1189" w:type="dxa"/>
            <w:shd w:val="clear" w:color="auto" w:fill="CCE2ED"/>
          </w:tcPr>
          <w:p w14:paraId="1936CFA6" w14:textId="77777777" w:rsidR="00141B97" w:rsidRDefault="00911D63">
            <w:pPr>
              <w:pStyle w:val="TableParagraph"/>
              <w:spacing w:before="33"/>
              <w:ind w:right="95"/>
              <w:jc w:val="right"/>
              <w:rPr>
                <w:sz w:val="18"/>
              </w:rPr>
            </w:pPr>
            <w:r>
              <w:rPr>
                <w:spacing w:val="-4"/>
                <w:sz w:val="18"/>
              </w:rPr>
              <w:t>5.42</w:t>
            </w:r>
          </w:p>
        </w:tc>
        <w:tc>
          <w:tcPr>
            <w:tcW w:w="1188" w:type="dxa"/>
            <w:shd w:val="clear" w:color="auto" w:fill="CCE2ED"/>
          </w:tcPr>
          <w:p w14:paraId="66C8CA3A" w14:textId="77777777" w:rsidR="00141B97" w:rsidRDefault="00911D63">
            <w:pPr>
              <w:pStyle w:val="TableParagraph"/>
              <w:spacing w:before="33"/>
              <w:ind w:right="95"/>
              <w:jc w:val="right"/>
              <w:rPr>
                <w:sz w:val="18"/>
              </w:rPr>
            </w:pPr>
            <w:r>
              <w:rPr>
                <w:spacing w:val="-4"/>
                <w:sz w:val="18"/>
              </w:rPr>
              <w:t>5.44</w:t>
            </w:r>
          </w:p>
        </w:tc>
        <w:tc>
          <w:tcPr>
            <w:tcW w:w="1189" w:type="dxa"/>
            <w:shd w:val="clear" w:color="auto" w:fill="CCE2ED"/>
          </w:tcPr>
          <w:p w14:paraId="4002F261" w14:textId="77777777" w:rsidR="00141B97" w:rsidRDefault="00911D63">
            <w:pPr>
              <w:pStyle w:val="TableParagraph"/>
              <w:spacing w:before="33"/>
              <w:ind w:right="95"/>
              <w:jc w:val="right"/>
              <w:rPr>
                <w:sz w:val="18"/>
              </w:rPr>
            </w:pPr>
            <w:r>
              <w:rPr>
                <w:spacing w:val="-4"/>
                <w:sz w:val="18"/>
              </w:rPr>
              <w:t>5.45</w:t>
            </w:r>
          </w:p>
        </w:tc>
        <w:tc>
          <w:tcPr>
            <w:tcW w:w="1179" w:type="dxa"/>
            <w:tcBorders>
              <w:right w:val="nil"/>
            </w:tcBorders>
            <w:shd w:val="clear" w:color="auto" w:fill="CCE2ED"/>
          </w:tcPr>
          <w:p w14:paraId="4C194EE0" w14:textId="77777777" w:rsidR="00141B97" w:rsidRDefault="00911D63">
            <w:pPr>
              <w:pStyle w:val="TableParagraph"/>
              <w:spacing w:before="33"/>
              <w:ind w:right="85"/>
              <w:jc w:val="right"/>
              <w:rPr>
                <w:sz w:val="18"/>
              </w:rPr>
            </w:pPr>
            <w:r>
              <w:rPr>
                <w:spacing w:val="-4"/>
                <w:sz w:val="18"/>
              </w:rPr>
              <w:t>5.47</w:t>
            </w:r>
          </w:p>
        </w:tc>
      </w:tr>
      <w:tr w:rsidR="00141B97" w14:paraId="2A0387F3" w14:textId="77777777">
        <w:trPr>
          <w:trHeight w:val="284"/>
          <w:tblCellSpacing w:w="9" w:type="dxa"/>
        </w:trPr>
        <w:tc>
          <w:tcPr>
            <w:tcW w:w="2399" w:type="dxa"/>
            <w:tcBorders>
              <w:left w:val="nil"/>
            </w:tcBorders>
            <w:shd w:val="clear" w:color="auto" w:fill="BFBFBF"/>
          </w:tcPr>
          <w:p w14:paraId="001FC2F5" w14:textId="77777777" w:rsidR="00141B97" w:rsidRDefault="00911D63">
            <w:pPr>
              <w:pStyle w:val="TableParagraph"/>
              <w:spacing w:before="33"/>
              <w:ind w:left="88"/>
              <w:rPr>
                <w:sz w:val="18"/>
              </w:rPr>
            </w:pPr>
            <w:r>
              <w:rPr>
                <w:spacing w:val="-2"/>
                <w:sz w:val="18"/>
              </w:rPr>
              <w:t>NON‐RESIDENTIAL</w:t>
            </w:r>
          </w:p>
        </w:tc>
        <w:tc>
          <w:tcPr>
            <w:tcW w:w="1279" w:type="dxa"/>
            <w:shd w:val="clear" w:color="auto" w:fill="BFBFBF"/>
          </w:tcPr>
          <w:p w14:paraId="5D86E1DC" w14:textId="77777777" w:rsidR="00141B97" w:rsidRDefault="00911D63">
            <w:pPr>
              <w:pStyle w:val="TableParagraph"/>
              <w:spacing w:before="33"/>
              <w:ind w:left="318"/>
              <w:rPr>
                <w:sz w:val="18"/>
              </w:rPr>
            </w:pPr>
            <w:r>
              <w:rPr>
                <w:sz w:val="18"/>
              </w:rPr>
              <w:t>Total</w:t>
            </w:r>
            <w:r>
              <w:rPr>
                <w:spacing w:val="-1"/>
                <w:sz w:val="18"/>
              </w:rPr>
              <w:t xml:space="preserve"> </w:t>
            </w:r>
            <w:r>
              <w:rPr>
                <w:spacing w:val="-4"/>
                <w:sz w:val="18"/>
              </w:rPr>
              <w:t>Bill</w:t>
            </w:r>
          </w:p>
        </w:tc>
        <w:tc>
          <w:tcPr>
            <w:tcW w:w="5934" w:type="dxa"/>
            <w:gridSpan w:val="5"/>
            <w:tcBorders>
              <w:right w:val="nil"/>
            </w:tcBorders>
            <w:shd w:val="clear" w:color="auto" w:fill="BFBFBF"/>
          </w:tcPr>
          <w:p w14:paraId="1A938FE2" w14:textId="77777777" w:rsidR="00141B97" w:rsidRDefault="00911D63">
            <w:pPr>
              <w:pStyle w:val="TableParagraph"/>
              <w:spacing w:before="33"/>
              <w:ind w:left="1952"/>
              <w:rPr>
                <w:sz w:val="18"/>
              </w:rPr>
            </w:pPr>
            <w:r>
              <w:rPr>
                <w:sz w:val="18"/>
              </w:rPr>
              <w:t>Increase</w:t>
            </w:r>
            <w:r>
              <w:rPr>
                <w:spacing w:val="-1"/>
                <w:sz w:val="18"/>
              </w:rPr>
              <w:t xml:space="preserve"> </w:t>
            </w:r>
            <w:r>
              <w:rPr>
                <w:sz w:val="18"/>
              </w:rPr>
              <w:t>from previous</w:t>
            </w:r>
            <w:r>
              <w:rPr>
                <w:spacing w:val="-1"/>
                <w:sz w:val="18"/>
              </w:rPr>
              <w:t xml:space="preserve"> </w:t>
            </w:r>
            <w:r>
              <w:rPr>
                <w:spacing w:val="-4"/>
                <w:sz w:val="18"/>
              </w:rPr>
              <w:t>year</w:t>
            </w:r>
          </w:p>
        </w:tc>
      </w:tr>
      <w:tr w:rsidR="00141B97" w14:paraId="1DE66A68" w14:textId="77777777">
        <w:trPr>
          <w:trHeight w:val="285"/>
          <w:tblCellSpacing w:w="9" w:type="dxa"/>
        </w:trPr>
        <w:tc>
          <w:tcPr>
            <w:tcW w:w="2399" w:type="dxa"/>
            <w:tcBorders>
              <w:left w:val="nil"/>
            </w:tcBorders>
            <w:shd w:val="clear" w:color="auto" w:fill="CCE2ED"/>
          </w:tcPr>
          <w:p w14:paraId="64834D9E" w14:textId="77777777" w:rsidR="00141B97" w:rsidRDefault="00911D63">
            <w:pPr>
              <w:pStyle w:val="TableParagraph"/>
              <w:spacing w:before="33"/>
              <w:ind w:left="88"/>
              <w:rPr>
                <w:sz w:val="18"/>
              </w:rPr>
            </w:pPr>
            <w:r>
              <w:rPr>
                <w:sz w:val="18"/>
              </w:rPr>
              <w:t xml:space="preserve">400 </w:t>
            </w:r>
            <w:r>
              <w:rPr>
                <w:spacing w:val="-5"/>
                <w:sz w:val="18"/>
              </w:rPr>
              <w:t>kl</w:t>
            </w:r>
          </w:p>
        </w:tc>
        <w:tc>
          <w:tcPr>
            <w:tcW w:w="1279" w:type="dxa"/>
            <w:shd w:val="clear" w:color="auto" w:fill="CCE2ED"/>
          </w:tcPr>
          <w:p w14:paraId="1C458629" w14:textId="77777777" w:rsidR="00141B97" w:rsidRDefault="00911D63">
            <w:pPr>
              <w:pStyle w:val="TableParagraph"/>
              <w:spacing w:before="33"/>
              <w:ind w:right="95"/>
              <w:jc w:val="right"/>
              <w:rPr>
                <w:sz w:val="18"/>
              </w:rPr>
            </w:pPr>
            <w:r>
              <w:rPr>
                <w:spacing w:val="-2"/>
                <w:sz w:val="18"/>
              </w:rPr>
              <w:t>556.06</w:t>
            </w:r>
          </w:p>
        </w:tc>
        <w:tc>
          <w:tcPr>
            <w:tcW w:w="1189" w:type="dxa"/>
            <w:shd w:val="clear" w:color="auto" w:fill="CCE2ED"/>
          </w:tcPr>
          <w:p w14:paraId="32388B9E" w14:textId="77777777" w:rsidR="00141B97" w:rsidRDefault="00911D63">
            <w:pPr>
              <w:pStyle w:val="TableParagraph"/>
              <w:spacing w:before="33"/>
              <w:ind w:right="95"/>
              <w:jc w:val="right"/>
              <w:rPr>
                <w:sz w:val="18"/>
              </w:rPr>
            </w:pPr>
            <w:r>
              <w:rPr>
                <w:spacing w:val="-4"/>
                <w:sz w:val="18"/>
              </w:rPr>
              <w:t>3.24</w:t>
            </w:r>
          </w:p>
        </w:tc>
        <w:tc>
          <w:tcPr>
            <w:tcW w:w="1189" w:type="dxa"/>
            <w:shd w:val="clear" w:color="auto" w:fill="CCE2ED"/>
          </w:tcPr>
          <w:p w14:paraId="3E50F322" w14:textId="77777777" w:rsidR="00141B97" w:rsidRDefault="00911D63">
            <w:pPr>
              <w:pStyle w:val="TableParagraph"/>
              <w:spacing w:before="33"/>
              <w:ind w:right="95"/>
              <w:jc w:val="right"/>
              <w:rPr>
                <w:sz w:val="18"/>
              </w:rPr>
            </w:pPr>
            <w:r>
              <w:rPr>
                <w:spacing w:val="-4"/>
                <w:sz w:val="18"/>
              </w:rPr>
              <w:t>3.25</w:t>
            </w:r>
          </w:p>
        </w:tc>
        <w:tc>
          <w:tcPr>
            <w:tcW w:w="1188" w:type="dxa"/>
            <w:shd w:val="clear" w:color="auto" w:fill="CCE2ED"/>
          </w:tcPr>
          <w:p w14:paraId="428C24CF" w14:textId="77777777" w:rsidR="00141B97" w:rsidRDefault="00911D63">
            <w:pPr>
              <w:pStyle w:val="TableParagraph"/>
              <w:spacing w:before="33"/>
              <w:ind w:right="95"/>
              <w:jc w:val="right"/>
              <w:rPr>
                <w:sz w:val="18"/>
              </w:rPr>
            </w:pPr>
            <w:r>
              <w:rPr>
                <w:spacing w:val="-4"/>
                <w:sz w:val="18"/>
              </w:rPr>
              <w:t>3.26</w:t>
            </w:r>
          </w:p>
        </w:tc>
        <w:tc>
          <w:tcPr>
            <w:tcW w:w="1189" w:type="dxa"/>
            <w:shd w:val="clear" w:color="auto" w:fill="CCE2ED"/>
          </w:tcPr>
          <w:p w14:paraId="156D01A7" w14:textId="77777777" w:rsidR="00141B97" w:rsidRDefault="00911D63">
            <w:pPr>
              <w:pStyle w:val="TableParagraph"/>
              <w:spacing w:before="33"/>
              <w:ind w:right="95"/>
              <w:jc w:val="right"/>
              <w:rPr>
                <w:sz w:val="18"/>
              </w:rPr>
            </w:pPr>
            <w:r>
              <w:rPr>
                <w:spacing w:val="-4"/>
                <w:sz w:val="18"/>
              </w:rPr>
              <w:t>3.27</w:t>
            </w:r>
          </w:p>
        </w:tc>
        <w:tc>
          <w:tcPr>
            <w:tcW w:w="1179" w:type="dxa"/>
            <w:tcBorders>
              <w:right w:val="nil"/>
            </w:tcBorders>
            <w:shd w:val="clear" w:color="auto" w:fill="CCE2ED"/>
          </w:tcPr>
          <w:p w14:paraId="11E51F17" w14:textId="77777777" w:rsidR="00141B97" w:rsidRDefault="00911D63">
            <w:pPr>
              <w:pStyle w:val="TableParagraph"/>
              <w:spacing w:before="33"/>
              <w:ind w:right="85"/>
              <w:jc w:val="right"/>
              <w:rPr>
                <w:sz w:val="18"/>
              </w:rPr>
            </w:pPr>
            <w:r>
              <w:rPr>
                <w:spacing w:val="-4"/>
                <w:sz w:val="18"/>
              </w:rPr>
              <w:t>3.28</w:t>
            </w:r>
          </w:p>
        </w:tc>
      </w:tr>
      <w:tr w:rsidR="00141B97" w14:paraId="61124422" w14:textId="77777777">
        <w:trPr>
          <w:trHeight w:val="284"/>
          <w:tblCellSpacing w:w="9" w:type="dxa"/>
        </w:trPr>
        <w:tc>
          <w:tcPr>
            <w:tcW w:w="2399" w:type="dxa"/>
            <w:tcBorders>
              <w:left w:val="nil"/>
            </w:tcBorders>
            <w:shd w:val="clear" w:color="auto" w:fill="CCE2ED"/>
          </w:tcPr>
          <w:p w14:paraId="2B8CE256" w14:textId="77777777" w:rsidR="00141B97" w:rsidRDefault="00911D63">
            <w:pPr>
              <w:pStyle w:val="TableParagraph"/>
              <w:spacing w:before="32"/>
              <w:ind w:left="88"/>
              <w:rPr>
                <w:sz w:val="18"/>
              </w:rPr>
            </w:pPr>
            <w:r>
              <w:rPr>
                <w:sz w:val="18"/>
              </w:rPr>
              <w:t xml:space="preserve">3,000 </w:t>
            </w:r>
            <w:r>
              <w:rPr>
                <w:spacing w:val="-5"/>
                <w:sz w:val="18"/>
              </w:rPr>
              <w:t>kL</w:t>
            </w:r>
          </w:p>
        </w:tc>
        <w:tc>
          <w:tcPr>
            <w:tcW w:w="1279" w:type="dxa"/>
            <w:shd w:val="clear" w:color="auto" w:fill="CCE2ED"/>
          </w:tcPr>
          <w:p w14:paraId="56D3CCD1" w14:textId="77777777" w:rsidR="00141B97" w:rsidRDefault="00911D63">
            <w:pPr>
              <w:pStyle w:val="TableParagraph"/>
              <w:spacing w:before="32"/>
              <w:ind w:right="95"/>
              <w:jc w:val="right"/>
              <w:rPr>
                <w:sz w:val="18"/>
              </w:rPr>
            </w:pPr>
            <w:r>
              <w:rPr>
                <w:spacing w:val="-2"/>
                <w:sz w:val="18"/>
              </w:rPr>
              <w:t>2,769.96</w:t>
            </w:r>
          </w:p>
        </w:tc>
        <w:tc>
          <w:tcPr>
            <w:tcW w:w="1189" w:type="dxa"/>
            <w:shd w:val="clear" w:color="auto" w:fill="CCE2ED"/>
          </w:tcPr>
          <w:p w14:paraId="16654405" w14:textId="77777777" w:rsidR="00141B97" w:rsidRDefault="00911D63">
            <w:pPr>
              <w:pStyle w:val="TableParagraph"/>
              <w:spacing w:before="32"/>
              <w:ind w:right="95"/>
              <w:jc w:val="right"/>
              <w:rPr>
                <w:sz w:val="18"/>
              </w:rPr>
            </w:pPr>
            <w:r>
              <w:rPr>
                <w:spacing w:val="-4"/>
                <w:sz w:val="18"/>
              </w:rPr>
              <w:t>9.97</w:t>
            </w:r>
          </w:p>
        </w:tc>
        <w:tc>
          <w:tcPr>
            <w:tcW w:w="1189" w:type="dxa"/>
            <w:shd w:val="clear" w:color="auto" w:fill="CCE2ED"/>
          </w:tcPr>
          <w:p w14:paraId="45EF4257" w14:textId="77777777" w:rsidR="00141B97" w:rsidRDefault="00911D63">
            <w:pPr>
              <w:pStyle w:val="TableParagraph"/>
              <w:spacing w:before="32"/>
              <w:ind w:right="95"/>
              <w:jc w:val="right"/>
              <w:rPr>
                <w:sz w:val="18"/>
              </w:rPr>
            </w:pPr>
            <w:r>
              <w:rPr>
                <w:spacing w:val="-2"/>
                <w:sz w:val="18"/>
              </w:rPr>
              <w:t>10.00</w:t>
            </w:r>
          </w:p>
        </w:tc>
        <w:tc>
          <w:tcPr>
            <w:tcW w:w="1188" w:type="dxa"/>
            <w:shd w:val="clear" w:color="auto" w:fill="CCE2ED"/>
          </w:tcPr>
          <w:p w14:paraId="06D0EB3C" w14:textId="77777777" w:rsidR="00141B97" w:rsidRDefault="00911D63">
            <w:pPr>
              <w:pStyle w:val="TableParagraph"/>
              <w:spacing w:before="32"/>
              <w:ind w:right="95"/>
              <w:jc w:val="right"/>
              <w:rPr>
                <w:sz w:val="18"/>
              </w:rPr>
            </w:pPr>
            <w:r>
              <w:rPr>
                <w:spacing w:val="-2"/>
                <w:sz w:val="18"/>
              </w:rPr>
              <w:t>10.03</w:t>
            </w:r>
          </w:p>
        </w:tc>
        <w:tc>
          <w:tcPr>
            <w:tcW w:w="1189" w:type="dxa"/>
            <w:shd w:val="clear" w:color="auto" w:fill="CCE2ED"/>
          </w:tcPr>
          <w:p w14:paraId="17DD184B" w14:textId="77777777" w:rsidR="00141B97" w:rsidRDefault="00911D63">
            <w:pPr>
              <w:pStyle w:val="TableParagraph"/>
              <w:spacing w:before="32"/>
              <w:ind w:right="95"/>
              <w:jc w:val="right"/>
              <w:rPr>
                <w:sz w:val="18"/>
              </w:rPr>
            </w:pPr>
            <w:r>
              <w:rPr>
                <w:spacing w:val="-2"/>
                <w:sz w:val="18"/>
              </w:rPr>
              <w:t>10.06</w:t>
            </w:r>
          </w:p>
        </w:tc>
        <w:tc>
          <w:tcPr>
            <w:tcW w:w="1179" w:type="dxa"/>
            <w:tcBorders>
              <w:right w:val="nil"/>
            </w:tcBorders>
            <w:shd w:val="clear" w:color="auto" w:fill="CCE2ED"/>
          </w:tcPr>
          <w:p w14:paraId="17F9B144" w14:textId="77777777" w:rsidR="00141B97" w:rsidRDefault="00911D63">
            <w:pPr>
              <w:pStyle w:val="TableParagraph"/>
              <w:spacing w:before="32"/>
              <w:ind w:right="85"/>
              <w:jc w:val="right"/>
              <w:rPr>
                <w:sz w:val="18"/>
              </w:rPr>
            </w:pPr>
            <w:r>
              <w:rPr>
                <w:spacing w:val="-2"/>
                <w:sz w:val="18"/>
              </w:rPr>
              <w:t>10.09</w:t>
            </w:r>
          </w:p>
        </w:tc>
      </w:tr>
      <w:tr w:rsidR="00141B97" w14:paraId="12C79D35" w14:textId="77777777">
        <w:trPr>
          <w:trHeight w:val="284"/>
          <w:tblCellSpacing w:w="9" w:type="dxa"/>
        </w:trPr>
        <w:tc>
          <w:tcPr>
            <w:tcW w:w="2399" w:type="dxa"/>
            <w:tcBorders>
              <w:left w:val="nil"/>
            </w:tcBorders>
            <w:shd w:val="clear" w:color="auto" w:fill="CCE2ED"/>
          </w:tcPr>
          <w:p w14:paraId="14CCC2AB" w14:textId="77777777" w:rsidR="00141B97" w:rsidRDefault="00911D63">
            <w:pPr>
              <w:pStyle w:val="TableParagraph"/>
              <w:spacing w:before="33"/>
              <w:ind w:left="88"/>
              <w:rPr>
                <w:sz w:val="18"/>
              </w:rPr>
            </w:pPr>
            <w:r>
              <w:rPr>
                <w:sz w:val="18"/>
              </w:rPr>
              <w:t xml:space="preserve">30,000 </w:t>
            </w:r>
            <w:r>
              <w:rPr>
                <w:spacing w:val="-5"/>
                <w:sz w:val="18"/>
              </w:rPr>
              <w:t>kL</w:t>
            </w:r>
          </w:p>
        </w:tc>
        <w:tc>
          <w:tcPr>
            <w:tcW w:w="1279" w:type="dxa"/>
            <w:shd w:val="clear" w:color="auto" w:fill="CCE2ED"/>
          </w:tcPr>
          <w:p w14:paraId="0E54C655" w14:textId="77777777" w:rsidR="00141B97" w:rsidRDefault="00911D63">
            <w:pPr>
              <w:pStyle w:val="TableParagraph"/>
              <w:spacing w:before="33"/>
              <w:ind w:right="95"/>
              <w:jc w:val="right"/>
              <w:rPr>
                <w:sz w:val="18"/>
              </w:rPr>
            </w:pPr>
            <w:r>
              <w:rPr>
                <w:spacing w:val="-2"/>
                <w:sz w:val="18"/>
              </w:rPr>
              <w:t>25,760.46</w:t>
            </w:r>
          </w:p>
        </w:tc>
        <w:tc>
          <w:tcPr>
            <w:tcW w:w="1189" w:type="dxa"/>
            <w:shd w:val="clear" w:color="auto" w:fill="CCE2ED"/>
          </w:tcPr>
          <w:p w14:paraId="654964CC" w14:textId="77777777" w:rsidR="00141B97" w:rsidRDefault="00911D63">
            <w:pPr>
              <w:pStyle w:val="TableParagraph"/>
              <w:spacing w:before="33"/>
              <w:ind w:right="95"/>
              <w:jc w:val="right"/>
              <w:rPr>
                <w:sz w:val="18"/>
              </w:rPr>
            </w:pPr>
            <w:r>
              <w:rPr>
                <w:spacing w:val="-2"/>
                <w:sz w:val="18"/>
              </w:rPr>
              <w:t>79.89</w:t>
            </w:r>
          </w:p>
        </w:tc>
        <w:tc>
          <w:tcPr>
            <w:tcW w:w="1189" w:type="dxa"/>
            <w:shd w:val="clear" w:color="auto" w:fill="CCE2ED"/>
          </w:tcPr>
          <w:p w14:paraId="4BACCF9C" w14:textId="77777777" w:rsidR="00141B97" w:rsidRDefault="00911D63">
            <w:pPr>
              <w:pStyle w:val="TableParagraph"/>
              <w:spacing w:before="33"/>
              <w:ind w:right="95"/>
              <w:jc w:val="right"/>
              <w:rPr>
                <w:sz w:val="18"/>
              </w:rPr>
            </w:pPr>
            <w:r>
              <w:rPr>
                <w:spacing w:val="-2"/>
                <w:sz w:val="18"/>
              </w:rPr>
              <w:t>80.14</w:t>
            </w:r>
          </w:p>
        </w:tc>
        <w:tc>
          <w:tcPr>
            <w:tcW w:w="1188" w:type="dxa"/>
            <w:shd w:val="clear" w:color="auto" w:fill="CCE2ED"/>
          </w:tcPr>
          <w:p w14:paraId="3FA563EC" w14:textId="77777777" w:rsidR="00141B97" w:rsidRDefault="00911D63">
            <w:pPr>
              <w:pStyle w:val="TableParagraph"/>
              <w:spacing w:before="33"/>
              <w:ind w:right="95"/>
              <w:jc w:val="right"/>
              <w:rPr>
                <w:sz w:val="18"/>
              </w:rPr>
            </w:pPr>
            <w:r>
              <w:rPr>
                <w:spacing w:val="-2"/>
                <w:sz w:val="18"/>
              </w:rPr>
              <w:t>80.38</w:t>
            </w:r>
          </w:p>
        </w:tc>
        <w:tc>
          <w:tcPr>
            <w:tcW w:w="1189" w:type="dxa"/>
            <w:shd w:val="clear" w:color="auto" w:fill="CCE2ED"/>
          </w:tcPr>
          <w:p w14:paraId="46F71CD1" w14:textId="77777777" w:rsidR="00141B97" w:rsidRDefault="00911D63">
            <w:pPr>
              <w:pStyle w:val="TableParagraph"/>
              <w:spacing w:before="33"/>
              <w:ind w:right="95"/>
              <w:jc w:val="right"/>
              <w:rPr>
                <w:sz w:val="18"/>
              </w:rPr>
            </w:pPr>
            <w:r>
              <w:rPr>
                <w:spacing w:val="-2"/>
                <w:sz w:val="18"/>
              </w:rPr>
              <w:t>80.62</w:t>
            </w:r>
          </w:p>
        </w:tc>
        <w:tc>
          <w:tcPr>
            <w:tcW w:w="1179" w:type="dxa"/>
            <w:tcBorders>
              <w:right w:val="nil"/>
            </w:tcBorders>
            <w:shd w:val="clear" w:color="auto" w:fill="CCE2ED"/>
          </w:tcPr>
          <w:p w14:paraId="11194DBA" w14:textId="77777777" w:rsidR="00141B97" w:rsidRDefault="00911D63">
            <w:pPr>
              <w:pStyle w:val="TableParagraph"/>
              <w:spacing w:before="33"/>
              <w:ind w:right="85"/>
              <w:jc w:val="right"/>
              <w:rPr>
                <w:sz w:val="18"/>
              </w:rPr>
            </w:pPr>
            <w:r>
              <w:rPr>
                <w:spacing w:val="-2"/>
                <w:sz w:val="18"/>
              </w:rPr>
              <w:t>80.87</w:t>
            </w:r>
          </w:p>
        </w:tc>
      </w:tr>
      <w:tr w:rsidR="00141B97" w14:paraId="0AF987AD" w14:textId="77777777">
        <w:trPr>
          <w:trHeight w:val="285"/>
          <w:tblCellSpacing w:w="9" w:type="dxa"/>
        </w:trPr>
        <w:tc>
          <w:tcPr>
            <w:tcW w:w="2399" w:type="dxa"/>
            <w:tcBorders>
              <w:left w:val="nil"/>
              <w:bottom w:val="nil"/>
            </w:tcBorders>
            <w:shd w:val="clear" w:color="auto" w:fill="CCE2ED"/>
          </w:tcPr>
          <w:p w14:paraId="0EE6BC6B" w14:textId="77777777" w:rsidR="00141B97" w:rsidRDefault="00911D63">
            <w:pPr>
              <w:pStyle w:val="TableParagraph"/>
              <w:spacing w:before="33"/>
              <w:ind w:left="88"/>
              <w:rPr>
                <w:sz w:val="18"/>
              </w:rPr>
            </w:pPr>
            <w:r>
              <w:rPr>
                <w:sz w:val="18"/>
              </w:rPr>
              <w:t xml:space="preserve">220,000 </w:t>
            </w:r>
            <w:r>
              <w:rPr>
                <w:spacing w:val="-5"/>
                <w:sz w:val="18"/>
              </w:rPr>
              <w:t>kL</w:t>
            </w:r>
          </w:p>
        </w:tc>
        <w:tc>
          <w:tcPr>
            <w:tcW w:w="1279" w:type="dxa"/>
            <w:tcBorders>
              <w:bottom w:val="nil"/>
            </w:tcBorders>
            <w:shd w:val="clear" w:color="auto" w:fill="CCE2ED"/>
          </w:tcPr>
          <w:p w14:paraId="44D71742" w14:textId="77777777" w:rsidR="00141B97" w:rsidRDefault="00911D63">
            <w:pPr>
              <w:pStyle w:val="TableParagraph"/>
              <w:spacing w:before="33"/>
              <w:ind w:right="95"/>
              <w:jc w:val="right"/>
              <w:rPr>
                <w:sz w:val="18"/>
              </w:rPr>
            </w:pPr>
            <w:r>
              <w:rPr>
                <w:spacing w:val="-2"/>
                <w:sz w:val="18"/>
              </w:rPr>
              <w:t>187,545.46</w:t>
            </w:r>
          </w:p>
        </w:tc>
        <w:tc>
          <w:tcPr>
            <w:tcW w:w="1189" w:type="dxa"/>
            <w:tcBorders>
              <w:bottom w:val="nil"/>
            </w:tcBorders>
            <w:shd w:val="clear" w:color="auto" w:fill="CCE2ED"/>
          </w:tcPr>
          <w:p w14:paraId="0AA41646" w14:textId="77777777" w:rsidR="00141B97" w:rsidRDefault="00911D63">
            <w:pPr>
              <w:pStyle w:val="TableParagraph"/>
              <w:spacing w:before="33"/>
              <w:ind w:right="95"/>
              <w:jc w:val="right"/>
              <w:rPr>
                <w:sz w:val="18"/>
              </w:rPr>
            </w:pPr>
            <w:r>
              <w:rPr>
                <w:spacing w:val="-2"/>
                <w:sz w:val="18"/>
              </w:rPr>
              <w:t>571.93</w:t>
            </w:r>
          </w:p>
        </w:tc>
        <w:tc>
          <w:tcPr>
            <w:tcW w:w="1189" w:type="dxa"/>
            <w:tcBorders>
              <w:bottom w:val="nil"/>
            </w:tcBorders>
            <w:shd w:val="clear" w:color="auto" w:fill="CCE2ED"/>
          </w:tcPr>
          <w:p w14:paraId="53F71FFE" w14:textId="77777777" w:rsidR="00141B97" w:rsidRDefault="00911D63">
            <w:pPr>
              <w:pStyle w:val="TableParagraph"/>
              <w:spacing w:before="33"/>
              <w:ind w:right="95"/>
              <w:jc w:val="right"/>
              <w:rPr>
                <w:sz w:val="18"/>
              </w:rPr>
            </w:pPr>
            <w:r>
              <w:rPr>
                <w:spacing w:val="-2"/>
                <w:sz w:val="18"/>
              </w:rPr>
              <w:t>573.67</w:t>
            </w:r>
          </w:p>
        </w:tc>
        <w:tc>
          <w:tcPr>
            <w:tcW w:w="1188" w:type="dxa"/>
            <w:tcBorders>
              <w:bottom w:val="nil"/>
            </w:tcBorders>
            <w:shd w:val="clear" w:color="auto" w:fill="CCE2ED"/>
          </w:tcPr>
          <w:p w14:paraId="4A9345B0" w14:textId="77777777" w:rsidR="00141B97" w:rsidRDefault="00911D63">
            <w:pPr>
              <w:pStyle w:val="TableParagraph"/>
              <w:spacing w:before="33"/>
              <w:ind w:right="95"/>
              <w:jc w:val="right"/>
              <w:rPr>
                <w:sz w:val="18"/>
              </w:rPr>
            </w:pPr>
            <w:r>
              <w:rPr>
                <w:spacing w:val="-2"/>
                <w:sz w:val="18"/>
              </w:rPr>
              <w:t>575.41</w:t>
            </w:r>
          </w:p>
        </w:tc>
        <w:tc>
          <w:tcPr>
            <w:tcW w:w="1189" w:type="dxa"/>
            <w:tcBorders>
              <w:bottom w:val="nil"/>
            </w:tcBorders>
            <w:shd w:val="clear" w:color="auto" w:fill="CCE2ED"/>
          </w:tcPr>
          <w:p w14:paraId="0EE558CB" w14:textId="77777777" w:rsidR="00141B97" w:rsidRDefault="00911D63">
            <w:pPr>
              <w:pStyle w:val="TableParagraph"/>
              <w:spacing w:before="33"/>
              <w:ind w:right="95"/>
              <w:jc w:val="right"/>
              <w:rPr>
                <w:sz w:val="18"/>
              </w:rPr>
            </w:pPr>
            <w:r>
              <w:rPr>
                <w:spacing w:val="-2"/>
                <w:sz w:val="18"/>
              </w:rPr>
              <w:t>577.16</w:t>
            </w:r>
          </w:p>
        </w:tc>
        <w:tc>
          <w:tcPr>
            <w:tcW w:w="1179" w:type="dxa"/>
            <w:tcBorders>
              <w:bottom w:val="nil"/>
              <w:right w:val="nil"/>
            </w:tcBorders>
            <w:shd w:val="clear" w:color="auto" w:fill="CCE2ED"/>
          </w:tcPr>
          <w:p w14:paraId="0F8C0DC9" w14:textId="77777777" w:rsidR="00141B97" w:rsidRDefault="00911D63">
            <w:pPr>
              <w:pStyle w:val="TableParagraph"/>
              <w:spacing w:before="33"/>
              <w:ind w:right="85"/>
              <w:jc w:val="right"/>
              <w:rPr>
                <w:sz w:val="18"/>
              </w:rPr>
            </w:pPr>
            <w:r>
              <w:rPr>
                <w:spacing w:val="-2"/>
                <w:sz w:val="18"/>
              </w:rPr>
              <w:t>578.92</w:t>
            </w:r>
          </w:p>
        </w:tc>
      </w:tr>
    </w:tbl>
    <w:p w14:paraId="21D6BF68" w14:textId="77777777" w:rsidR="00141B97" w:rsidRDefault="00911D63">
      <w:pPr>
        <w:spacing w:before="37"/>
        <w:ind w:left="114"/>
        <w:jc w:val="both"/>
        <w:rPr>
          <w:sz w:val="16"/>
        </w:rPr>
      </w:pPr>
      <w:r>
        <w:rPr>
          <w:sz w:val="16"/>
        </w:rPr>
        <w:t>Table</w:t>
      </w:r>
      <w:r>
        <w:rPr>
          <w:spacing w:val="-4"/>
          <w:sz w:val="16"/>
        </w:rPr>
        <w:t xml:space="preserve"> </w:t>
      </w:r>
      <w:r>
        <w:rPr>
          <w:sz w:val="16"/>
        </w:rPr>
        <w:t>B36:</w:t>
      </w:r>
      <w:r>
        <w:rPr>
          <w:spacing w:val="-5"/>
          <w:sz w:val="16"/>
        </w:rPr>
        <w:t xml:space="preserve"> </w:t>
      </w:r>
      <w:r>
        <w:rPr>
          <w:sz w:val="16"/>
        </w:rPr>
        <w:t>Water</w:t>
      </w:r>
      <w:r>
        <w:rPr>
          <w:spacing w:val="-6"/>
          <w:sz w:val="16"/>
        </w:rPr>
        <w:t xml:space="preserve"> </w:t>
      </w:r>
      <w:r>
        <w:rPr>
          <w:sz w:val="16"/>
        </w:rPr>
        <w:t>and</w:t>
      </w:r>
      <w:r>
        <w:rPr>
          <w:spacing w:val="-5"/>
          <w:sz w:val="16"/>
        </w:rPr>
        <w:t xml:space="preserve"> </w:t>
      </w:r>
      <w:r>
        <w:rPr>
          <w:sz w:val="16"/>
        </w:rPr>
        <w:t>Sewerage</w:t>
      </w:r>
      <w:r>
        <w:rPr>
          <w:spacing w:val="-4"/>
          <w:sz w:val="16"/>
        </w:rPr>
        <w:t xml:space="preserve"> </w:t>
      </w:r>
      <w:r>
        <w:rPr>
          <w:sz w:val="16"/>
        </w:rPr>
        <w:t>Bill</w:t>
      </w:r>
      <w:r>
        <w:rPr>
          <w:spacing w:val="-6"/>
          <w:sz w:val="16"/>
        </w:rPr>
        <w:t xml:space="preserve"> </w:t>
      </w:r>
      <w:r>
        <w:rPr>
          <w:sz w:val="16"/>
        </w:rPr>
        <w:t>Changes</w:t>
      </w:r>
      <w:r>
        <w:rPr>
          <w:spacing w:val="-5"/>
          <w:sz w:val="16"/>
        </w:rPr>
        <w:t xml:space="preserve"> </w:t>
      </w:r>
      <w:r>
        <w:rPr>
          <w:spacing w:val="-2"/>
          <w:sz w:val="16"/>
        </w:rPr>
        <w:t>$1/1/23</w:t>
      </w:r>
    </w:p>
    <w:p w14:paraId="4679BE2A" w14:textId="77777777" w:rsidR="00141B97" w:rsidRDefault="00141B97">
      <w:pPr>
        <w:pStyle w:val="BodyText"/>
        <w:spacing w:before="8"/>
      </w:pPr>
    </w:p>
    <w:p w14:paraId="478132BD" w14:textId="77777777" w:rsidR="00141B97" w:rsidRDefault="00911D63">
      <w:pPr>
        <w:pStyle w:val="ListParagraph"/>
        <w:numPr>
          <w:ilvl w:val="2"/>
          <w:numId w:val="81"/>
        </w:numPr>
        <w:tabs>
          <w:tab w:val="left" w:pos="1112"/>
          <w:tab w:val="left" w:pos="1113"/>
        </w:tabs>
        <w:jc w:val="both"/>
        <w:rPr>
          <w:sz w:val="20"/>
        </w:rPr>
      </w:pPr>
      <w:r>
        <w:rPr>
          <w:sz w:val="20"/>
        </w:rPr>
        <w:t>New</w:t>
      </w:r>
      <w:r>
        <w:rPr>
          <w:spacing w:val="-4"/>
          <w:sz w:val="20"/>
        </w:rPr>
        <w:t xml:space="preserve"> </w:t>
      </w:r>
      <w:r>
        <w:rPr>
          <w:sz w:val="20"/>
        </w:rPr>
        <w:t>Customer</w:t>
      </w:r>
      <w:r>
        <w:rPr>
          <w:spacing w:val="-4"/>
          <w:sz w:val="20"/>
        </w:rPr>
        <w:t xml:space="preserve"> </w:t>
      </w:r>
      <w:r>
        <w:rPr>
          <w:spacing w:val="-2"/>
          <w:sz w:val="20"/>
        </w:rPr>
        <w:t>Contributions</w:t>
      </w:r>
    </w:p>
    <w:p w14:paraId="42846290" w14:textId="77777777" w:rsidR="00141B97" w:rsidRDefault="00911D63">
      <w:pPr>
        <w:pStyle w:val="BodyText"/>
        <w:spacing w:before="61"/>
        <w:ind w:left="113" w:right="948"/>
        <w:jc w:val="both"/>
      </w:pPr>
      <w:r>
        <w:t xml:space="preserve">LMW applies the ESC’s New Customer Contribution (NCC) framework and NCC Estimator to calculate NCCs. LMW’s Negotiating Framework </w:t>
      </w:r>
      <w:r>
        <w:rPr>
          <w:vertAlign w:val="superscript"/>
        </w:rPr>
        <w:t>10</w:t>
      </w:r>
      <w:r>
        <w:t xml:space="preserve"> was approved by the ESC as part of LMW’s 2013‐18 Water Plan and has not been amended and is available to the ESC as supporting documentation.</w:t>
      </w:r>
    </w:p>
    <w:p w14:paraId="6BC60959" w14:textId="77777777" w:rsidR="00141B97" w:rsidRDefault="00141B97">
      <w:pPr>
        <w:pStyle w:val="BodyText"/>
        <w:spacing w:before="11"/>
        <w:rPr>
          <w:sz w:val="17"/>
        </w:rPr>
      </w:pPr>
    </w:p>
    <w:p w14:paraId="27618FC6" w14:textId="77777777" w:rsidR="00141B97" w:rsidRDefault="00911D63">
      <w:pPr>
        <w:pStyle w:val="BodyText"/>
        <w:ind w:left="113" w:right="949"/>
        <w:jc w:val="both"/>
      </w:pPr>
      <w:r>
        <w:t>LMW provides information to all development applicants in accordance with the Negotiating Framework to provide the basis for connection contributions and conditions of service, along with the pricing principles, timeframes for response, and dispute resolution information.</w:t>
      </w:r>
    </w:p>
    <w:p w14:paraId="64D55CE5" w14:textId="77777777" w:rsidR="00141B97" w:rsidRDefault="00141B97">
      <w:pPr>
        <w:pStyle w:val="BodyText"/>
        <w:spacing w:before="1"/>
        <w:rPr>
          <w:sz w:val="18"/>
        </w:rPr>
      </w:pPr>
    </w:p>
    <w:p w14:paraId="68599F58" w14:textId="77777777" w:rsidR="00141B97" w:rsidRDefault="00911D63">
      <w:pPr>
        <w:pStyle w:val="BodyText"/>
        <w:ind w:left="113" w:right="947"/>
        <w:jc w:val="both"/>
      </w:pPr>
      <w:r>
        <w:t>The outcome of the standard NCC using the Estimator (and based on the proposed forecasts of incremental growth‐related capital expenditure including the growth portion attributed to the purchase of additional bulk water entitlements, incremental tariff revenue, new connections, estimated consumption, current tariffs, incremental bulk</w:t>
      </w:r>
      <w:r>
        <w:rPr>
          <w:spacing w:val="-1"/>
        </w:rPr>
        <w:t xml:space="preserve"> </w:t>
      </w:r>
      <w:r>
        <w:t>water</w:t>
      </w:r>
      <w:r>
        <w:rPr>
          <w:spacing w:val="-1"/>
        </w:rPr>
        <w:t xml:space="preserve"> </w:t>
      </w:r>
      <w:r>
        <w:t>charges from Goulburn‐Murray Water, and</w:t>
      </w:r>
      <w:r>
        <w:rPr>
          <w:spacing w:val="-1"/>
        </w:rPr>
        <w:t xml:space="preserve"> </w:t>
      </w:r>
      <w:r>
        <w:t>incremental</w:t>
      </w:r>
      <w:r>
        <w:rPr>
          <w:spacing w:val="-1"/>
        </w:rPr>
        <w:t xml:space="preserve"> </w:t>
      </w:r>
      <w:r>
        <w:t>operating costs over a 35‐year period)</w:t>
      </w:r>
      <w:r>
        <w:rPr>
          <w:spacing w:val="-3"/>
        </w:rPr>
        <w:t xml:space="preserve"> </w:t>
      </w:r>
      <w:r>
        <w:t>is</w:t>
      </w:r>
      <w:r>
        <w:rPr>
          <w:spacing w:val="-3"/>
        </w:rPr>
        <w:t xml:space="preserve"> </w:t>
      </w:r>
      <w:r>
        <w:t>detailed</w:t>
      </w:r>
      <w:r>
        <w:rPr>
          <w:spacing w:val="-4"/>
        </w:rPr>
        <w:t xml:space="preserve"> </w:t>
      </w:r>
      <w:r>
        <w:t>in</w:t>
      </w:r>
      <w:r>
        <w:rPr>
          <w:spacing w:val="-4"/>
        </w:rPr>
        <w:t xml:space="preserve"> </w:t>
      </w:r>
      <w:r>
        <w:t>Table</w:t>
      </w:r>
      <w:r>
        <w:rPr>
          <w:spacing w:val="-3"/>
        </w:rPr>
        <w:t xml:space="preserve"> </w:t>
      </w:r>
      <w:r>
        <w:t>B37</w:t>
      </w:r>
      <w:r>
        <w:rPr>
          <w:spacing w:val="-4"/>
        </w:rPr>
        <w:t xml:space="preserve"> </w:t>
      </w:r>
      <w:r>
        <w:t>overleaf</w:t>
      </w:r>
      <w:r>
        <w:rPr>
          <w:spacing w:val="-2"/>
        </w:rPr>
        <w:t xml:space="preserve"> </w:t>
      </w:r>
      <w:r>
        <w:t>for</w:t>
      </w:r>
      <w:r>
        <w:rPr>
          <w:spacing w:val="-3"/>
        </w:rPr>
        <w:t xml:space="preserve"> </w:t>
      </w:r>
      <w:r>
        <w:t>the</w:t>
      </w:r>
      <w:r>
        <w:rPr>
          <w:spacing w:val="-5"/>
        </w:rPr>
        <w:t xml:space="preserve"> </w:t>
      </w:r>
      <w:r>
        <w:t>fifth</w:t>
      </w:r>
      <w:r>
        <w:rPr>
          <w:spacing w:val="-3"/>
        </w:rPr>
        <w:t xml:space="preserve"> </w:t>
      </w:r>
      <w:r>
        <w:t>regulatory</w:t>
      </w:r>
      <w:r>
        <w:rPr>
          <w:spacing w:val="-3"/>
        </w:rPr>
        <w:t xml:space="preserve"> </w:t>
      </w:r>
      <w:r>
        <w:t>period.</w:t>
      </w:r>
      <w:r>
        <w:rPr>
          <w:spacing w:val="-5"/>
        </w:rPr>
        <w:t xml:space="preserve"> </w:t>
      </w:r>
      <w:r>
        <w:t>The</w:t>
      </w:r>
      <w:r>
        <w:rPr>
          <w:spacing w:val="-3"/>
        </w:rPr>
        <w:t xml:space="preserve"> </w:t>
      </w:r>
      <w:r>
        <w:t>table</w:t>
      </w:r>
      <w:r>
        <w:rPr>
          <w:spacing w:val="-4"/>
        </w:rPr>
        <w:t xml:space="preserve"> </w:t>
      </w:r>
      <w:r>
        <w:t>shows</w:t>
      </w:r>
      <w:r>
        <w:rPr>
          <w:spacing w:val="-3"/>
        </w:rPr>
        <w:t xml:space="preserve"> </w:t>
      </w:r>
      <w:r>
        <w:t>contributions</w:t>
      </w:r>
      <w:r>
        <w:rPr>
          <w:spacing w:val="-3"/>
        </w:rPr>
        <w:t xml:space="preserve"> </w:t>
      </w:r>
      <w:r>
        <w:t>for</w:t>
      </w:r>
      <w:r>
        <w:rPr>
          <w:spacing w:val="-3"/>
        </w:rPr>
        <w:t xml:space="preserve"> </w:t>
      </w:r>
      <w:r>
        <w:t>water services increase by 19.5% in real terms, with sewerage increasing by only 0.6%. Customer engagement with landholders and developers explained the basis and outcome of the proposed changes and gained broad support for the methodology and application of NCCs by LMW.</w:t>
      </w:r>
    </w:p>
    <w:p w14:paraId="5142F139" w14:textId="77777777" w:rsidR="00141B97" w:rsidRDefault="00141B97">
      <w:pPr>
        <w:pStyle w:val="BodyText"/>
      </w:pPr>
    </w:p>
    <w:p w14:paraId="102CF406" w14:textId="77777777" w:rsidR="00141B97" w:rsidRDefault="00911D63">
      <w:pPr>
        <w:pStyle w:val="BodyText"/>
        <w:ind w:left="113" w:right="948" w:hanging="1"/>
        <w:jc w:val="both"/>
      </w:pPr>
      <w:r>
        <w:t>LMW proposes to continue to adopt two lot size ranges: below 750 m² and above 750 m². There has been an increase in the number of small lot sizes being developed, and two lot size contribution bands that reflect the increase in small lots is considered a fair and equitable approach.</w:t>
      </w:r>
    </w:p>
    <w:p w14:paraId="279A3544" w14:textId="77777777" w:rsidR="00141B97" w:rsidRDefault="00141B97">
      <w:pPr>
        <w:pStyle w:val="BodyText"/>
        <w:spacing w:before="5" w:after="1"/>
        <w:rPr>
          <w:sz w:val="25"/>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171"/>
        <w:gridCol w:w="1285"/>
        <w:gridCol w:w="1285"/>
        <w:gridCol w:w="1285"/>
        <w:gridCol w:w="1285"/>
        <w:gridCol w:w="1285"/>
        <w:gridCol w:w="1288"/>
      </w:tblGrid>
      <w:tr w:rsidR="00141B97" w14:paraId="2FE12404" w14:textId="77777777">
        <w:trPr>
          <w:trHeight w:val="420"/>
          <w:tblCellSpacing w:w="9" w:type="dxa"/>
        </w:trPr>
        <w:tc>
          <w:tcPr>
            <w:tcW w:w="2144" w:type="dxa"/>
            <w:vMerge w:val="restart"/>
            <w:tcBorders>
              <w:top w:val="nil"/>
              <w:left w:val="nil"/>
            </w:tcBorders>
            <w:shd w:val="clear" w:color="auto" w:fill="0064A4"/>
          </w:tcPr>
          <w:p w14:paraId="61FA3630" w14:textId="77777777" w:rsidR="00141B97" w:rsidRDefault="00141B97">
            <w:pPr>
              <w:pStyle w:val="TableParagraph"/>
              <w:spacing w:before="4"/>
              <w:rPr>
                <w:sz w:val="26"/>
              </w:rPr>
            </w:pPr>
          </w:p>
          <w:p w14:paraId="56FDAA06" w14:textId="77777777" w:rsidR="00141B97" w:rsidRDefault="00911D63">
            <w:pPr>
              <w:pStyle w:val="TableParagraph"/>
              <w:ind w:left="88"/>
              <w:rPr>
                <w:sz w:val="18"/>
              </w:rPr>
            </w:pPr>
            <w:r>
              <w:rPr>
                <w:color w:val="FFFFFF"/>
                <w:sz w:val="18"/>
              </w:rPr>
              <w:t>Lot</w:t>
            </w:r>
            <w:r>
              <w:rPr>
                <w:color w:val="FFFFFF"/>
                <w:spacing w:val="-1"/>
                <w:sz w:val="18"/>
              </w:rPr>
              <w:t xml:space="preserve"> </w:t>
            </w:r>
            <w:r>
              <w:rPr>
                <w:color w:val="FFFFFF"/>
                <w:spacing w:val="-4"/>
                <w:sz w:val="18"/>
              </w:rPr>
              <w:t>Size</w:t>
            </w:r>
          </w:p>
        </w:tc>
        <w:tc>
          <w:tcPr>
            <w:tcW w:w="1267" w:type="dxa"/>
            <w:tcBorders>
              <w:top w:val="nil"/>
            </w:tcBorders>
            <w:shd w:val="clear" w:color="auto" w:fill="0064A4"/>
          </w:tcPr>
          <w:p w14:paraId="5C70992C" w14:textId="77777777" w:rsidR="00141B97" w:rsidRDefault="00911D63">
            <w:pPr>
              <w:pStyle w:val="TableParagraph"/>
              <w:spacing w:before="102"/>
              <w:ind w:left="345"/>
              <w:rPr>
                <w:sz w:val="18"/>
              </w:rPr>
            </w:pPr>
            <w:r>
              <w:rPr>
                <w:color w:val="FFFFFF"/>
                <w:spacing w:val="-2"/>
                <w:sz w:val="18"/>
              </w:rPr>
              <w:t>Current</w:t>
            </w:r>
          </w:p>
        </w:tc>
        <w:tc>
          <w:tcPr>
            <w:tcW w:w="6329" w:type="dxa"/>
            <w:gridSpan w:val="5"/>
            <w:tcBorders>
              <w:top w:val="nil"/>
              <w:right w:val="nil"/>
            </w:tcBorders>
            <w:shd w:val="clear" w:color="auto" w:fill="0064A4"/>
          </w:tcPr>
          <w:p w14:paraId="66B10386" w14:textId="77777777" w:rsidR="00141B97" w:rsidRDefault="00911D63">
            <w:pPr>
              <w:pStyle w:val="TableParagraph"/>
              <w:spacing w:before="102"/>
              <w:ind w:left="2331" w:right="2321"/>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2925CCC9" w14:textId="77777777">
        <w:trPr>
          <w:trHeight w:val="420"/>
          <w:tblCellSpacing w:w="9" w:type="dxa"/>
        </w:trPr>
        <w:tc>
          <w:tcPr>
            <w:tcW w:w="2144" w:type="dxa"/>
            <w:vMerge/>
            <w:tcBorders>
              <w:top w:val="nil"/>
              <w:left w:val="nil"/>
            </w:tcBorders>
            <w:shd w:val="clear" w:color="auto" w:fill="0064A4"/>
          </w:tcPr>
          <w:p w14:paraId="6B2F7C5A" w14:textId="77777777" w:rsidR="00141B97" w:rsidRDefault="00141B97">
            <w:pPr>
              <w:rPr>
                <w:sz w:val="2"/>
                <w:szCs w:val="2"/>
              </w:rPr>
            </w:pPr>
          </w:p>
        </w:tc>
        <w:tc>
          <w:tcPr>
            <w:tcW w:w="1267" w:type="dxa"/>
            <w:shd w:val="clear" w:color="auto" w:fill="0064A4"/>
          </w:tcPr>
          <w:p w14:paraId="17C26CCD" w14:textId="77777777" w:rsidR="00141B97" w:rsidRDefault="00911D63">
            <w:pPr>
              <w:pStyle w:val="TableParagraph"/>
              <w:spacing w:before="100"/>
              <w:ind w:left="321"/>
              <w:rPr>
                <w:sz w:val="18"/>
              </w:rPr>
            </w:pPr>
            <w:r>
              <w:rPr>
                <w:color w:val="FFFFFF"/>
                <w:spacing w:val="-2"/>
                <w:sz w:val="18"/>
              </w:rPr>
              <w:t>2022‐23</w:t>
            </w:r>
          </w:p>
        </w:tc>
        <w:tc>
          <w:tcPr>
            <w:tcW w:w="1267" w:type="dxa"/>
            <w:shd w:val="clear" w:color="auto" w:fill="0064A4"/>
          </w:tcPr>
          <w:p w14:paraId="18D4C1BA" w14:textId="77777777" w:rsidR="00141B97" w:rsidRDefault="00911D63">
            <w:pPr>
              <w:pStyle w:val="TableParagraph"/>
              <w:spacing w:before="100"/>
              <w:ind w:left="321"/>
              <w:rPr>
                <w:sz w:val="18"/>
              </w:rPr>
            </w:pPr>
            <w:r>
              <w:rPr>
                <w:color w:val="FFFFFF"/>
                <w:spacing w:val="-2"/>
                <w:sz w:val="18"/>
              </w:rPr>
              <w:t>2023‐24</w:t>
            </w:r>
          </w:p>
        </w:tc>
        <w:tc>
          <w:tcPr>
            <w:tcW w:w="1267" w:type="dxa"/>
            <w:shd w:val="clear" w:color="auto" w:fill="0064A4"/>
          </w:tcPr>
          <w:p w14:paraId="3518BA76" w14:textId="77777777" w:rsidR="00141B97" w:rsidRDefault="00911D63">
            <w:pPr>
              <w:pStyle w:val="TableParagraph"/>
              <w:spacing w:before="100"/>
              <w:ind w:left="322"/>
              <w:rPr>
                <w:sz w:val="18"/>
              </w:rPr>
            </w:pPr>
            <w:r>
              <w:rPr>
                <w:color w:val="FFFFFF"/>
                <w:spacing w:val="-2"/>
                <w:sz w:val="18"/>
              </w:rPr>
              <w:t>2024‐25</w:t>
            </w:r>
          </w:p>
        </w:tc>
        <w:tc>
          <w:tcPr>
            <w:tcW w:w="1267" w:type="dxa"/>
            <w:shd w:val="clear" w:color="auto" w:fill="0064A4"/>
          </w:tcPr>
          <w:p w14:paraId="10B61C0F" w14:textId="77777777" w:rsidR="00141B97" w:rsidRDefault="00911D63">
            <w:pPr>
              <w:pStyle w:val="TableParagraph"/>
              <w:spacing w:before="100"/>
              <w:ind w:left="322"/>
              <w:rPr>
                <w:sz w:val="18"/>
              </w:rPr>
            </w:pPr>
            <w:r>
              <w:rPr>
                <w:color w:val="FFFFFF"/>
                <w:spacing w:val="-2"/>
                <w:sz w:val="18"/>
              </w:rPr>
              <w:t>2025‐26</w:t>
            </w:r>
          </w:p>
        </w:tc>
        <w:tc>
          <w:tcPr>
            <w:tcW w:w="1267" w:type="dxa"/>
            <w:shd w:val="clear" w:color="auto" w:fill="0064A4"/>
          </w:tcPr>
          <w:p w14:paraId="355F2119" w14:textId="77777777" w:rsidR="00141B97" w:rsidRDefault="00911D63">
            <w:pPr>
              <w:pStyle w:val="TableParagraph"/>
              <w:spacing w:before="100"/>
              <w:ind w:left="322"/>
              <w:rPr>
                <w:sz w:val="18"/>
              </w:rPr>
            </w:pPr>
            <w:r>
              <w:rPr>
                <w:color w:val="FFFFFF"/>
                <w:spacing w:val="-2"/>
                <w:sz w:val="18"/>
              </w:rPr>
              <w:t>2026‐27</w:t>
            </w:r>
          </w:p>
        </w:tc>
        <w:tc>
          <w:tcPr>
            <w:tcW w:w="1261" w:type="dxa"/>
            <w:tcBorders>
              <w:right w:val="nil"/>
            </w:tcBorders>
            <w:shd w:val="clear" w:color="auto" w:fill="0064A4"/>
          </w:tcPr>
          <w:p w14:paraId="1D859805" w14:textId="77777777" w:rsidR="00141B97" w:rsidRDefault="00911D63">
            <w:pPr>
              <w:pStyle w:val="TableParagraph"/>
              <w:spacing w:before="100"/>
              <w:ind w:left="323"/>
              <w:rPr>
                <w:sz w:val="18"/>
              </w:rPr>
            </w:pPr>
            <w:r>
              <w:rPr>
                <w:color w:val="FFFFFF"/>
                <w:spacing w:val="-2"/>
                <w:sz w:val="18"/>
              </w:rPr>
              <w:t>2027‐28</w:t>
            </w:r>
          </w:p>
        </w:tc>
      </w:tr>
      <w:tr w:rsidR="00141B97" w14:paraId="438B11D6" w14:textId="77777777">
        <w:trPr>
          <w:trHeight w:val="269"/>
          <w:tblCellSpacing w:w="9" w:type="dxa"/>
        </w:trPr>
        <w:tc>
          <w:tcPr>
            <w:tcW w:w="2144" w:type="dxa"/>
            <w:tcBorders>
              <w:left w:val="nil"/>
            </w:tcBorders>
            <w:shd w:val="clear" w:color="auto" w:fill="CCE2ED"/>
          </w:tcPr>
          <w:p w14:paraId="2A2E141C" w14:textId="77777777" w:rsidR="00141B97" w:rsidRDefault="00911D63">
            <w:pPr>
              <w:pStyle w:val="TableParagraph"/>
              <w:spacing w:before="25"/>
              <w:ind w:left="88"/>
              <w:rPr>
                <w:sz w:val="18"/>
              </w:rPr>
            </w:pPr>
            <w:r>
              <w:rPr>
                <w:spacing w:val="-2"/>
                <w:sz w:val="18"/>
              </w:rPr>
              <w:t>Water</w:t>
            </w:r>
          </w:p>
        </w:tc>
        <w:tc>
          <w:tcPr>
            <w:tcW w:w="1267" w:type="dxa"/>
            <w:shd w:val="clear" w:color="auto" w:fill="CCE2ED"/>
          </w:tcPr>
          <w:p w14:paraId="44C64EE3" w14:textId="77777777" w:rsidR="00141B97" w:rsidRDefault="00141B97">
            <w:pPr>
              <w:pStyle w:val="TableParagraph"/>
              <w:rPr>
                <w:rFonts w:ascii="Times New Roman"/>
                <w:sz w:val="18"/>
              </w:rPr>
            </w:pPr>
          </w:p>
        </w:tc>
        <w:tc>
          <w:tcPr>
            <w:tcW w:w="1267" w:type="dxa"/>
            <w:shd w:val="clear" w:color="auto" w:fill="CCE2ED"/>
          </w:tcPr>
          <w:p w14:paraId="06CD36B5" w14:textId="77777777" w:rsidR="00141B97" w:rsidRDefault="00141B97">
            <w:pPr>
              <w:pStyle w:val="TableParagraph"/>
              <w:rPr>
                <w:rFonts w:ascii="Times New Roman"/>
                <w:sz w:val="18"/>
              </w:rPr>
            </w:pPr>
          </w:p>
        </w:tc>
        <w:tc>
          <w:tcPr>
            <w:tcW w:w="1267" w:type="dxa"/>
            <w:shd w:val="clear" w:color="auto" w:fill="CCE2ED"/>
          </w:tcPr>
          <w:p w14:paraId="09B861DF" w14:textId="77777777" w:rsidR="00141B97" w:rsidRDefault="00141B97">
            <w:pPr>
              <w:pStyle w:val="TableParagraph"/>
              <w:rPr>
                <w:rFonts w:ascii="Times New Roman"/>
                <w:sz w:val="18"/>
              </w:rPr>
            </w:pPr>
          </w:p>
        </w:tc>
        <w:tc>
          <w:tcPr>
            <w:tcW w:w="1267" w:type="dxa"/>
            <w:shd w:val="clear" w:color="auto" w:fill="CCE2ED"/>
          </w:tcPr>
          <w:p w14:paraId="018F709F" w14:textId="77777777" w:rsidR="00141B97" w:rsidRDefault="00141B97">
            <w:pPr>
              <w:pStyle w:val="TableParagraph"/>
              <w:rPr>
                <w:rFonts w:ascii="Times New Roman"/>
                <w:sz w:val="18"/>
              </w:rPr>
            </w:pPr>
          </w:p>
        </w:tc>
        <w:tc>
          <w:tcPr>
            <w:tcW w:w="1267" w:type="dxa"/>
            <w:shd w:val="clear" w:color="auto" w:fill="CCE2ED"/>
          </w:tcPr>
          <w:p w14:paraId="76E0379C" w14:textId="77777777" w:rsidR="00141B97" w:rsidRDefault="00141B97">
            <w:pPr>
              <w:pStyle w:val="TableParagraph"/>
              <w:rPr>
                <w:rFonts w:ascii="Times New Roman"/>
                <w:sz w:val="18"/>
              </w:rPr>
            </w:pPr>
          </w:p>
        </w:tc>
        <w:tc>
          <w:tcPr>
            <w:tcW w:w="1261" w:type="dxa"/>
            <w:tcBorders>
              <w:right w:val="nil"/>
            </w:tcBorders>
            <w:shd w:val="clear" w:color="auto" w:fill="CCE2ED"/>
          </w:tcPr>
          <w:p w14:paraId="12C25031" w14:textId="77777777" w:rsidR="00141B97" w:rsidRDefault="00141B97">
            <w:pPr>
              <w:pStyle w:val="TableParagraph"/>
              <w:rPr>
                <w:rFonts w:ascii="Times New Roman"/>
                <w:sz w:val="18"/>
              </w:rPr>
            </w:pPr>
          </w:p>
        </w:tc>
      </w:tr>
      <w:tr w:rsidR="00141B97" w14:paraId="5E83997F" w14:textId="77777777">
        <w:trPr>
          <w:trHeight w:val="270"/>
          <w:tblCellSpacing w:w="9" w:type="dxa"/>
        </w:trPr>
        <w:tc>
          <w:tcPr>
            <w:tcW w:w="2144" w:type="dxa"/>
            <w:tcBorders>
              <w:left w:val="nil"/>
            </w:tcBorders>
            <w:shd w:val="clear" w:color="auto" w:fill="CCE2ED"/>
          </w:tcPr>
          <w:p w14:paraId="493814C2" w14:textId="77777777" w:rsidR="00141B97" w:rsidRDefault="00911D63">
            <w:pPr>
              <w:pStyle w:val="TableParagraph"/>
              <w:spacing w:before="26"/>
              <w:ind w:left="88"/>
              <w:rPr>
                <w:sz w:val="18"/>
              </w:rPr>
            </w:pPr>
            <w:r>
              <w:rPr>
                <w:spacing w:val="-2"/>
                <w:sz w:val="18"/>
              </w:rPr>
              <w:t>0‐750m²</w:t>
            </w:r>
          </w:p>
        </w:tc>
        <w:tc>
          <w:tcPr>
            <w:tcW w:w="1267" w:type="dxa"/>
            <w:shd w:val="clear" w:color="auto" w:fill="CCE2ED"/>
          </w:tcPr>
          <w:p w14:paraId="07814466" w14:textId="77777777" w:rsidR="00141B97" w:rsidRDefault="00911D63">
            <w:pPr>
              <w:pStyle w:val="TableParagraph"/>
              <w:spacing w:before="26"/>
              <w:ind w:right="95"/>
              <w:jc w:val="right"/>
              <w:rPr>
                <w:sz w:val="18"/>
              </w:rPr>
            </w:pPr>
            <w:r>
              <w:rPr>
                <w:spacing w:val="-2"/>
                <w:sz w:val="18"/>
              </w:rPr>
              <w:t>2,075.70</w:t>
            </w:r>
          </w:p>
        </w:tc>
        <w:tc>
          <w:tcPr>
            <w:tcW w:w="1267" w:type="dxa"/>
            <w:shd w:val="clear" w:color="auto" w:fill="CCE2ED"/>
          </w:tcPr>
          <w:p w14:paraId="0529C271" w14:textId="77777777" w:rsidR="00141B97" w:rsidRDefault="00911D63">
            <w:pPr>
              <w:pStyle w:val="TableParagraph"/>
              <w:spacing w:before="26"/>
              <w:ind w:right="94"/>
              <w:jc w:val="right"/>
              <w:rPr>
                <w:sz w:val="18"/>
              </w:rPr>
            </w:pPr>
            <w:r>
              <w:rPr>
                <w:spacing w:val="-2"/>
                <w:sz w:val="18"/>
              </w:rPr>
              <w:t>2,481.50</w:t>
            </w:r>
          </w:p>
        </w:tc>
        <w:tc>
          <w:tcPr>
            <w:tcW w:w="1267" w:type="dxa"/>
            <w:shd w:val="clear" w:color="auto" w:fill="CCE2ED"/>
          </w:tcPr>
          <w:p w14:paraId="2E15242C" w14:textId="77777777" w:rsidR="00141B97" w:rsidRDefault="00911D63">
            <w:pPr>
              <w:pStyle w:val="TableParagraph"/>
              <w:spacing w:before="26"/>
              <w:ind w:right="94"/>
              <w:jc w:val="right"/>
              <w:rPr>
                <w:sz w:val="18"/>
              </w:rPr>
            </w:pPr>
            <w:r>
              <w:rPr>
                <w:spacing w:val="-2"/>
                <w:sz w:val="18"/>
              </w:rPr>
              <w:t>2,481.50</w:t>
            </w:r>
          </w:p>
        </w:tc>
        <w:tc>
          <w:tcPr>
            <w:tcW w:w="1267" w:type="dxa"/>
            <w:shd w:val="clear" w:color="auto" w:fill="CCE2ED"/>
          </w:tcPr>
          <w:p w14:paraId="7C196B85" w14:textId="77777777" w:rsidR="00141B97" w:rsidRDefault="00911D63">
            <w:pPr>
              <w:pStyle w:val="TableParagraph"/>
              <w:spacing w:before="26"/>
              <w:ind w:right="94"/>
              <w:jc w:val="right"/>
              <w:rPr>
                <w:sz w:val="18"/>
              </w:rPr>
            </w:pPr>
            <w:r>
              <w:rPr>
                <w:spacing w:val="-2"/>
                <w:sz w:val="18"/>
              </w:rPr>
              <w:t>2,481.50</w:t>
            </w:r>
          </w:p>
        </w:tc>
        <w:tc>
          <w:tcPr>
            <w:tcW w:w="1267" w:type="dxa"/>
            <w:shd w:val="clear" w:color="auto" w:fill="CCE2ED"/>
          </w:tcPr>
          <w:p w14:paraId="763ECEB7" w14:textId="77777777" w:rsidR="00141B97" w:rsidRDefault="00911D63">
            <w:pPr>
              <w:pStyle w:val="TableParagraph"/>
              <w:spacing w:before="26"/>
              <w:ind w:right="94"/>
              <w:jc w:val="right"/>
              <w:rPr>
                <w:sz w:val="18"/>
              </w:rPr>
            </w:pPr>
            <w:r>
              <w:rPr>
                <w:spacing w:val="-2"/>
                <w:sz w:val="18"/>
              </w:rPr>
              <w:t>2,481.50</w:t>
            </w:r>
          </w:p>
        </w:tc>
        <w:tc>
          <w:tcPr>
            <w:tcW w:w="1261" w:type="dxa"/>
            <w:tcBorders>
              <w:right w:val="nil"/>
            </w:tcBorders>
            <w:shd w:val="clear" w:color="auto" w:fill="CCE2ED"/>
          </w:tcPr>
          <w:p w14:paraId="628D36FE" w14:textId="77777777" w:rsidR="00141B97" w:rsidRDefault="00911D63">
            <w:pPr>
              <w:pStyle w:val="TableParagraph"/>
              <w:spacing w:before="26"/>
              <w:ind w:right="85"/>
              <w:jc w:val="right"/>
              <w:rPr>
                <w:sz w:val="18"/>
              </w:rPr>
            </w:pPr>
            <w:r>
              <w:rPr>
                <w:spacing w:val="-2"/>
                <w:sz w:val="18"/>
              </w:rPr>
              <w:t>2,481.50</w:t>
            </w:r>
          </w:p>
        </w:tc>
      </w:tr>
      <w:tr w:rsidR="00141B97" w14:paraId="0CFF26E2" w14:textId="77777777">
        <w:trPr>
          <w:trHeight w:val="270"/>
          <w:tblCellSpacing w:w="9" w:type="dxa"/>
        </w:trPr>
        <w:tc>
          <w:tcPr>
            <w:tcW w:w="2144" w:type="dxa"/>
            <w:tcBorders>
              <w:left w:val="nil"/>
            </w:tcBorders>
            <w:shd w:val="clear" w:color="auto" w:fill="CCE2ED"/>
          </w:tcPr>
          <w:p w14:paraId="79A47433" w14:textId="77777777" w:rsidR="00141B97" w:rsidRDefault="00911D63">
            <w:pPr>
              <w:pStyle w:val="TableParagraph"/>
              <w:spacing w:before="26"/>
              <w:ind w:left="88"/>
              <w:rPr>
                <w:sz w:val="18"/>
              </w:rPr>
            </w:pPr>
            <w:r>
              <w:rPr>
                <w:spacing w:val="-2"/>
                <w:sz w:val="18"/>
              </w:rPr>
              <w:t>&gt;750m²</w:t>
            </w:r>
          </w:p>
        </w:tc>
        <w:tc>
          <w:tcPr>
            <w:tcW w:w="1267" w:type="dxa"/>
            <w:shd w:val="clear" w:color="auto" w:fill="CCE2ED"/>
          </w:tcPr>
          <w:p w14:paraId="350ACB47" w14:textId="77777777" w:rsidR="00141B97" w:rsidRDefault="00911D63">
            <w:pPr>
              <w:pStyle w:val="TableParagraph"/>
              <w:spacing w:before="26"/>
              <w:ind w:right="95"/>
              <w:jc w:val="right"/>
              <w:rPr>
                <w:sz w:val="18"/>
              </w:rPr>
            </w:pPr>
            <w:r>
              <w:rPr>
                <w:spacing w:val="-2"/>
                <w:sz w:val="18"/>
              </w:rPr>
              <w:t>4,151.50</w:t>
            </w:r>
          </w:p>
        </w:tc>
        <w:tc>
          <w:tcPr>
            <w:tcW w:w="1267" w:type="dxa"/>
            <w:shd w:val="clear" w:color="auto" w:fill="CCE2ED"/>
          </w:tcPr>
          <w:p w14:paraId="7A253B48" w14:textId="77777777" w:rsidR="00141B97" w:rsidRDefault="00911D63">
            <w:pPr>
              <w:pStyle w:val="TableParagraph"/>
              <w:spacing w:before="26"/>
              <w:ind w:right="94"/>
              <w:jc w:val="right"/>
              <w:rPr>
                <w:sz w:val="18"/>
              </w:rPr>
            </w:pPr>
            <w:r>
              <w:rPr>
                <w:spacing w:val="-2"/>
                <w:sz w:val="18"/>
              </w:rPr>
              <w:t>4,963.00</w:t>
            </w:r>
          </w:p>
        </w:tc>
        <w:tc>
          <w:tcPr>
            <w:tcW w:w="1267" w:type="dxa"/>
            <w:shd w:val="clear" w:color="auto" w:fill="CCE2ED"/>
          </w:tcPr>
          <w:p w14:paraId="016026DB" w14:textId="77777777" w:rsidR="00141B97" w:rsidRDefault="00911D63">
            <w:pPr>
              <w:pStyle w:val="TableParagraph"/>
              <w:spacing w:before="26"/>
              <w:ind w:right="94"/>
              <w:jc w:val="right"/>
              <w:rPr>
                <w:sz w:val="18"/>
              </w:rPr>
            </w:pPr>
            <w:r>
              <w:rPr>
                <w:spacing w:val="-2"/>
                <w:sz w:val="18"/>
              </w:rPr>
              <w:t>4,963.00</w:t>
            </w:r>
          </w:p>
        </w:tc>
        <w:tc>
          <w:tcPr>
            <w:tcW w:w="1267" w:type="dxa"/>
            <w:shd w:val="clear" w:color="auto" w:fill="CCE2ED"/>
          </w:tcPr>
          <w:p w14:paraId="60BF5009" w14:textId="77777777" w:rsidR="00141B97" w:rsidRDefault="00911D63">
            <w:pPr>
              <w:pStyle w:val="TableParagraph"/>
              <w:spacing w:before="26"/>
              <w:ind w:right="94"/>
              <w:jc w:val="right"/>
              <w:rPr>
                <w:sz w:val="18"/>
              </w:rPr>
            </w:pPr>
            <w:r>
              <w:rPr>
                <w:spacing w:val="-2"/>
                <w:sz w:val="18"/>
              </w:rPr>
              <w:t>4,963.00</w:t>
            </w:r>
          </w:p>
        </w:tc>
        <w:tc>
          <w:tcPr>
            <w:tcW w:w="1267" w:type="dxa"/>
            <w:shd w:val="clear" w:color="auto" w:fill="CCE2ED"/>
          </w:tcPr>
          <w:p w14:paraId="266E571E" w14:textId="77777777" w:rsidR="00141B97" w:rsidRDefault="00911D63">
            <w:pPr>
              <w:pStyle w:val="TableParagraph"/>
              <w:spacing w:before="26"/>
              <w:ind w:right="94"/>
              <w:jc w:val="right"/>
              <w:rPr>
                <w:sz w:val="18"/>
              </w:rPr>
            </w:pPr>
            <w:r>
              <w:rPr>
                <w:spacing w:val="-2"/>
                <w:sz w:val="18"/>
              </w:rPr>
              <w:t>4,963.00</w:t>
            </w:r>
          </w:p>
        </w:tc>
        <w:tc>
          <w:tcPr>
            <w:tcW w:w="1261" w:type="dxa"/>
            <w:tcBorders>
              <w:right w:val="nil"/>
            </w:tcBorders>
            <w:shd w:val="clear" w:color="auto" w:fill="CCE2ED"/>
          </w:tcPr>
          <w:p w14:paraId="7210E3C6" w14:textId="77777777" w:rsidR="00141B97" w:rsidRDefault="00911D63">
            <w:pPr>
              <w:pStyle w:val="TableParagraph"/>
              <w:spacing w:before="26"/>
              <w:ind w:right="85"/>
              <w:jc w:val="right"/>
              <w:rPr>
                <w:sz w:val="18"/>
              </w:rPr>
            </w:pPr>
            <w:r>
              <w:rPr>
                <w:spacing w:val="-2"/>
                <w:sz w:val="18"/>
              </w:rPr>
              <w:t>4,963.00</w:t>
            </w:r>
          </w:p>
        </w:tc>
      </w:tr>
      <w:tr w:rsidR="00141B97" w14:paraId="422B1B9F" w14:textId="77777777">
        <w:trPr>
          <w:trHeight w:val="269"/>
          <w:tblCellSpacing w:w="9" w:type="dxa"/>
        </w:trPr>
        <w:tc>
          <w:tcPr>
            <w:tcW w:w="2144" w:type="dxa"/>
            <w:tcBorders>
              <w:left w:val="nil"/>
            </w:tcBorders>
            <w:shd w:val="clear" w:color="auto" w:fill="CCE2ED"/>
          </w:tcPr>
          <w:p w14:paraId="33835AA2" w14:textId="77777777" w:rsidR="00141B97" w:rsidRDefault="00911D63">
            <w:pPr>
              <w:pStyle w:val="TableParagraph"/>
              <w:spacing w:before="25"/>
              <w:ind w:left="88"/>
              <w:rPr>
                <w:sz w:val="18"/>
              </w:rPr>
            </w:pPr>
            <w:r>
              <w:rPr>
                <w:spacing w:val="-2"/>
                <w:sz w:val="18"/>
              </w:rPr>
              <w:t>Sewerage</w:t>
            </w:r>
          </w:p>
        </w:tc>
        <w:tc>
          <w:tcPr>
            <w:tcW w:w="1267" w:type="dxa"/>
            <w:shd w:val="clear" w:color="auto" w:fill="CCE2ED"/>
          </w:tcPr>
          <w:p w14:paraId="5138CAF9" w14:textId="77777777" w:rsidR="00141B97" w:rsidRDefault="00141B97">
            <w:pPr>
              <w:pStyle w:val="TableParagraph"/>
              <w:rPr>
                <w:rFonts w:ascii="Times New Roman"/>
                <w:sz w:val="18"/>
              </w:rPr>
            </w:pPr>
          </w:p>
        </w:tc>
        <w:tc>
          <w:tcPr>
            <w:tcW w:w="1267" w:type="dxa"/>
            <w:shd w:val="clear" w:color="auto" w:fill="CCE2ED"/>
          </w:tcPr>
          <w:p w14:paraId="0ACF8F4C" w14:textId="77777777" w:rsidR="00141B97" w:rsidRDefault="00141B97">
            <w:pPr>
              <w:pStyle w:val="TableParagraph"/>
              <w:rPr>
                <w:rFonts w:ascii="Times New Roman"/>
                <w:sz w:val="18"/>
              </w:rPr>
            </w:pPr>
          </w:p>
        </w:tc>
        <w:tc>
          <w:tcPr>
            <w:tcW w:w="1267" w:type="dxa"/>
            <w:shd w:val="clear" w:color="auto" w:fill="CCE2ED"/>
          </w:tcPr>
          <w:p w14:paraId="57B90C1B" w14:textId="77777777" w:rsidR="00141B97" w:rsidRDefault="00141B97">
            <w:pPr>
              <w:pStyle w:val="TableParagraph"/>
              <w:rPr>
                <w:rFonts w:ascii="Times New Roman"/>
                <w:sz w:val="18"/>
              </w:rPr>
            </w:pPr>
          </w:p>
        </w:tc>
        <w:tc>
          <w:tcPr>
            <w:tcW w:w="1267" w:type="dxa"/>
            <w:shd w:val="clear" w:color="auto" w:fill="CCE2ED"/>
          </w:tcPr>
          <w:p w14:paraId="71125C2B" w14:textId="77777777" w:rsidR="00141B97" w:rsidRDefault="00141B97">
            <w:pPr>
              <w:pStyle w:val="TableParagraph"/>
              <w:rPr>
                <w:rFonts w:ascii="Times New Roman"/>
                <w:sz w:val="18"/>
              </w:rPr>
            </w:pPr>
          </w:p>
        </w:tc>
        <w:tc>
          <w:tcPr>
            <w:tcW w:w="1267" w:type="dxa"/>
            <w:shd w:val="clear" w:color="auto" w:fill="CCE2ED"/>
          </w:tcPr>
          <w:p w14:paraId="6866E131" w14:textId="77777777" w:rsidR="00141B97" w:rsidRDefault="00141B97">
            <w:pPr>
              <w:pStyle w:val="TableParagraph"/>
              <w:rPr>
                <w:rFonts w:ascii="Times New Roman"/>
                <w:sz w:val="18"/>
              </w:rPr>
            </w:pPr>
          </w:p>
        </w:tc>
        <w:tc>
          <w:tcPr>
            <w:tcW w:w="1261" w:type="dxa"/>
            <w:tcBorders>
              <w:right w:val="nil"/>
            </w:tcBorders>
            <w:shd w:val="clear" w:color="auto" w:fill="CCE2ED"/>
          </w:tcPr>
          <w:p w14:paraId="4DDA1381" w14:textId="77777777" w:rsidR="00141B97" w:rsidRDefault="00141B97">
            <w:pPr>
              <w:pStyle w:val="TableParagraph"/>
              <w:rPr>
                <w:rFonts w:ascii="Times New Roman"/>
                <w:sz w:val="18"/>
              </w:rPr>
            </w:pPr>
          </w:p>
        </w:tc>
      </w:tr>
      <w:tr w:rsidR="00141B97" w14:paraId="2FF89E8C" w14:textId="77777777">
        <w:trPr>
          <w:trHeight w:val="270"/>
          <w:tblCellSpacing w:w="9" w:type="dxa"/>
        </w:trPr>
        <w:tc>
          <w:tcPr>
            <w:tcW w:w="2144" w:type="dxa"/>
            <w:tcBorders>
              <w:left w:val="nil"/>
            </w:tcBorders>
            <w:shd w:val="clear" w:color="auto" w:fill="CCE2ED"/>
          </w:tcPr>
          <w:p w14:paraId="0ACF81D9" w14:textId="77777777" w:rsidR="00141B97" w:rsidRDefault="00911D63">
            <w:pPr>
              <w:pStyle w:val="TableParagraph"/>
              <w:spacing w:before="26"/>
              <w:ind w:left="88"/>
              <w:rPr>
                <w:sz w:val="18"/>
              </w:rPr>
            </w:pPr>
            <w:r>
              <w:rPr>
                <w:spacing w:val="-2"/>
                <w:sz w:val="18"/>
              </w:rPr>
              <w:t>0‐750m²</w:t>
            </w:r>
          </w:p>
        </w:tc>
        <w:tc>
          <w:tcPr>
            <w:tcW w:w="1267" w:type="dxa"/>
            <w:shd w:val="clear" w:color="auto" w:fill="CCE2ED"/>
          </w:tcPr>
          <w:p w14:paraId="55B52890" w14:textId="77777777" w:rsidR="00141B97" w:rsidRDefault="00911D63">
            <w:pPr>
              <w:pStyle w:val="TableParagraph"/>
              <w:spacing w:before="26"/>
              <w:ind w:right="95"/>
              <w:jc w:val="right"/>
              <w:rPr>
                <w:sz w:val="18"/>
              </w:rPr>
            </w:pPr>
            <w:r>
              <w:rPr>
                <w:spacing w:val="-2"/>
                <w:sz w:val="18"/>
              </w:rPr>
              <w:t>1,419.50</w:t>
            </w:r>
          </w:p>
        </w:tc>
        <w:tc>
          <w:tcPr>
            <w:tcW w:w="1267" w:type="dxa"/>
            <w:shd w:val="clear" w:color="auto" w:fill="CCE2ED"/>
          </w:tcPr>
          <w:p w14:paraId="21E20823" w14:textId="77777777" w:rsidR="00141B97" w:rsidRDefault="00911D63">
            <w:pPr>
              <w:pStyle w:val="TableParagraph"/>
              <w:spacing w:before="26"/>
              <w:ind w:right="94"/>
              <w:jc w:val="right"/>
              <w:rPr>
                <w:sz w:val="18"/>
              </w:rPr>
            </w:pPr>
            <w:r>
              <w:rPr>
                <w:spacing w:val="-2"/>
                <w:sz w:val="18"/>
              </w:rPr>
              <w:t>1,428.50</w:t>
            </w:r>
          </w:p>
        </w:tc>
        <w:tc>
          <w:tcPr>
            <w:tcW w:w="1267" w:type="dxa"/>
            <w:shd w:val="clear" w:color="auto" w:fill="CCE2ED"/>
          </w:tcPr>
          <w:p w14:paraId="775EE8CC" w14:textId="77777777" w:rsidR="00141B97" w:rsidRDefault="00911D63">
            <w:pPr>
              <w:pStyle w:val="TableParagraph"/>
              <w:spacing w:before="26"/>
              <w:ind w:right="94"/>
              <w:jc w:val="right"/>
              <w:rPr>
                <w:sz w:val="18"/>
              </w:rPr>
            </w:pPr>
            <w:r>
              <w:rPr>
                <w:spacing w:val="-2"/>
                <w:sz w:val="18"/>
              </w:rPr>
              <w:t>1,428.50</w:t>
            </w:r>
          </w:p>
        </w:tc>
        <w:tc>
          <w:tcPr>
            <w:tcW w:w="1267" w:type="dxa"/>
            <w:shd w:val="clear" w:color="auto" w:fill="CCE2ED"/>
          </w:tcPr>
          <w:p w14:paraId="0F15E242" w14:textId="77777777" w:rsidR="00141B97" w:rsidRDefault="00911D63">
            <w:pPr>
              <w:pStyle w:val="TableParagraph"/>
              <w:spacing w:before="26"/>
              <w:ind w:right="94"/>
              <w:jc w:val="right"/>
              <w:rPr>
                <w:sz w:val="18"/>
              </w:rPr>
            </w:pPr>
            <w:r>
              <w:rPr>
                <w:spacing w:val="-2"/>
                <w:sz w:val="18"/>
              </w:rPr>
              <w:t>1,428.50</w:t>
            </w:r>
          </w:p>
        </w:tc>
        <w:tc>
          <w:tcPr>
            <w:tcW w:w="1267" w:type="dxa"/>
            <w:shd w:val="clear" w:color="auto" w:fill="CCE2ED"/>
          </w:tcPr>
          <w:p w14:paraId="5595B31A" w14:textId="77777777" w:rsidR="00141B97" w:rsidRDefault="00911D63">
            <w:pPr>
              <w:pStyle w:val="TableParagraph"/>
              <w:spacing w:before="26"/>
              <w:ind w:right="94"/>
              <w:jc w:val="right"/>
              <w:rPr>
                <w:sz w:val="18"/>
              </w:rPr>
            </w:pPr>
            <w:r>
              <w:rPr>
                <w:spacing w:val="-2"/>
                <w:sz w:val="18"/>
              </w:rPr>
              <w:t>1,428.50</w:t>
            </w:r>
          </w:p>
        </w:tc>
        <w:tc>
          <w:tcPr>
            <w:tcW w:w="1261" w:type="dxa"/>
            <w:tcBorders>
              <w:right w:val="nil"/>
            </w:tcBorders>
            <w:shd w:val="clear" w:color="auto" w:fill="CCE2ED"/>
          </w:tcPr>
          <w:p w14:paraId="6B04BDF7" w14:textId="77777777" w:rsidR="00141B97" w:rsidRDefault="00911D63">
            <w:pPr>
              <w:pStyle w:val="TableParagraph"/>
              <w:spacing w:before="26"/>
              <w:ind w:right="85"/>
              <w:jc w:val="right"/>
              <w:rPr>
                <w:sz w:val="18"/>
              </w:rPr>
            </w:pPr>
            <w:r>
              <w:rPr>
                <w:spacing w:val="-2"/>
                <w:sz w:val="18"/>
              </w:rPr>
              <w:t>1,428.50</w:t>
            </w:r>
          </w:p>
        </w:tc>
      </w:tr>
      <w:tr w:rsidR="00141B97" w14:paraId="11A0084A" w14:textId="77777777">
        <w:trPr>
          <w:trHeight w:val="270"/>
          <w:tblCellSpacing w:w="9" w:type="dxa"/>
        </w:trPr>
        <w:tc>
          <w:tcPr>
            <w:tcW w:w="2144" w:type="dxa"/>
            <w:tcBorders>
              <w:left w:val="nil"/>
              <w:bottom w:val="nil"/>
            </w:tcBorders>
            <w:shd w:val="clear" w:color="auto" w:fill="CCE2ED"/>
          </w:tcPr>
          <w:p w14:paraId="6FE73766" w14:textId="77777777" w:rsidR="00141B97" w:rsidRDefault="00911D63">
            <w:pPr>
              <w:pStyle w:val="TableParagraph"/>
              <w:spacing w:before="26"/>
              <w:ind w:left="88"/>
              <w:rPr>
                <w:sz w:val="18"/>
              </w:rPr>
            </w:pPr>
            <w:r>
              <w:rPr>
                <w:spacing w:val="-2"/>
                <w:sz w:val="18"/>
              </w:rPr>
              <w:t>&gt;750m²</w:t>
            </w:r>
          </w:p>
        </w:tc>
        <w:tc>
          <w:tcPr>
            <w:tcW w:w="1267" w:type="dxa"/>
            <w:tcBorders>
              <w:bottom w:val="nil"/>
            </w:tcBorders>
            <w:shd w:val="clear" w:color="auto" w:fill="CCE2ED"/>
          </w:tcPr>
          <w:p w14:paraId="14453C64" w14:textId="77777777" w:rsidR="00141B97" w:rsidRDefault="00911D63">
            <w:pPr>
              <w:pStyle w:val="TableParagraph"/>
              <w:spacing w:before="26"/>
              <w:ind w:right="95"/>
              <w:jc w:val="right"/>
              <w:rPr>
                <w:sz w:val="18"/>
              </w:rPr>
            </w:pPr>
            <w:r>
              <w:rPr>
                <w:spacing w:val="-2"/>
                <w:sz w:val="18"/>
              </w:rPr>
              <w:t>2,839.10</w:t>
            </w:r>
          </w:p>
        </w:tc>
        <w:tc>
          <w:tcPr>
            <w:tcW w:w="1267" w:type="dxa"/>
            <w:tcBorders>
              <w:bottom w:val="nil"/>
            </w:tcBorders>
            <w:shd w:val="clear" w:color="auto" w:fill="CCE2ED"/>
          </w:tcPr>
          <w:p w14:paraId="3F2A9761" w14:textId="77777777" w:rsidR="00141B97" w:rsidRDefault="00911D63">
            <w:pPr>
              <w:pStyle w:val="TableParagraph"/>
              <w:spacing w:before="26"/>
              <w:ind w:right="94"/>
              <w:jc w:val="right"/>
              <w:rPr>
                <w:sz w:val="18"/>
              </w:rPr>
            </w:pPr>
            <w:r>
              <w:rPr>
                <w:spacing w:val="-2"/>
                <w:sz w:val="18"/>
              </w:rPr>
              <w:t>2,857.00</w:t>
            </w:r>
          </w:p>
        </w:tc>
        <w:tc>
          <w:tcPr>
            <w:tcW w:w="1267" w:type="dxa"/>
            <w:tcBorders>
              <w:bottom w:val="nil"/>
            </w:tcBorders>
            <w:shd w:val="clear" w:color="auto" w:fill="CCE2ED"/>
          </w:tcPr>
          <w:p w14:paraId="5FFE2FEA" w14:textId="77777777" w:rsidR="00141B97" w:rsidRDefault="00911D63">
            <w:pPr>
              <w:pStyle w:val="TableParagraph"/>
              <w:spacing w:before="26"/>
              <w:ind w:right="94"/>
              <w:jc w:val="right"/>
              <w:rPr>
                <w:sz w:val="18"/>
              </w:rPr>
            </w:pPr>
            <w:r>
              <w:rPr>
                <w:spacing w:val="-2"/>
                <w:sz w:val="18"/>
              </w:rPr>
              <w:t>2,857.00</w:t>
            </w:r>
          </w:p>
        </w:tc>
        <w:tc>
          <w:tcPr>
            <w:tcW w:w="1267" w:type="dxa"/>
            <w:tcBorders>
              <w:bottom w:val="nil"/>
            </w:tcBorders>
            <w:shd w:val="clear" w:color="auto" w:fill="CCE2ED"/>
          </w:tcPr>
          <w:p w14:paraId="35810F62" w14:textId="77777777" w:rsidR="00141B97" w:rsidRDefault="00911D63">
            <w:pPr>
              <w:pStyle w:val="TableParagraph"/>
              <w:spacing w:before="26"/>
              <w:ind w:right="94"/>
              <w:jc w:val="right"/>
              <w:rPr>
                <w:sz w:val="18"/>
              </w:rPr>
            </w:pPr>
            <w:r>
              <w:rPr>
                <w:spacing w:val="-2"/>
                <w:sz w:val="18"/>
              </w:rPr>
              <w:t>2,857.00</w:t>
            </w:r>
          </w:p>
        </w:tc>
        <w:tc>
          <w:tcPr>
            <w:tcW w:w="1267" w:type="dxa"/>
            <w:tcBorders>
              <w:bottom w:val="nil"/>
            </w:tcBorders>
            <w:shd w:val="clear" w:color="auto" w:fill="CCE2ED"/>
          </w:tcPr>
          <w:p w14:paraId="3337E13E" w14:textId="77777777" w:rsidR="00141B97" w:rsidRDefault="00911D63">
            <w:pPr>
              <w:pStyle w:val="TableParagraph"/>
              <w:spacing w:before="26"/>
              <w:ind w:right="94"/>
              <w:jc w:val="right"/>
              <w:rPr>
                <w:sz w:val="18"/>
              </w:rPr>
            </w:pPr>
            <w:r>
              <w:rPr>
                <w:spacing w:val="-2"/>
                <w:sz w:val="18"/>
              </w:rPr>
              <w:t>2,857.00</w:t>
            </w:r>
          </w:p>
        </w:tc>
        <w:tc>
          <w:tcPr>
            <w:tcW w:w="1261" w:type="dxa"/>
            <w:tcBorders>
              <w:bottom w:val="nil"/>
              <w:right w:val="nil"/>
            </w:tcBorders>
            <w:shd w:val="clear" w:color="auto" w:fill="CCE2ED"/>
          </w:tcPr>
          <w:p w14:paraId="01C8DBAC" w14:textId="77777777" w:rsidR="00141B97" w:rsidRDefault="00911D63">
            <w:pPr>
              <w:pStyle w:val="TableParagraph"/>
              <w:spacing w:before="26"/>
              <w:ind w:right="85"/>
              <w:jc w:val="right"/>
              <w:rPr>
                <w:sz w:val="18"/>
              </w:rPr>
            </w:pPr>
            <w:r>
              <w:rPr>
                <w:spacing w:val="-2"/>
                <w:sz w:val="18"/>
              </w:rPr>
              <w:t>2,857.00</w:t>
            </w:r>
          </w:p>
        </w:tc>
      </w:tr>
    </w:tbl>
    <w:p w14:paraId="436AB835" w14:textId="77777777" w:rsidR="00141B97" w:rsidRDefault="00911D63">
      <w:pPr>
        <w:spacing w:before="23"/>
        <w:ind w:left="114"/>
        <w:jc w:val="both"/>
        <w:rPr>
          <w:sz w:val="16"/>
        </w:rPr>
      </w:pPr>
      <w:r>
        <w:rPr>
          <w:sz w:val="16"/>
        </w:rPr>
        <w:t>Table</w:t>
      </w:r>
      <w:r>
        <w:rPr>
          <w:spacing w:val="-5"/>
          <w:sz w:val="16"/>
        </w:rPr>
        <w:t xml:space="preserve"> </w:t>
      </w:r>
      <w:r>
        <w:rPr>
          <w:sz w:val="16"/>
        </w:rPr>
        <w:t>B37</w:t>
      </w:r>
      <w:r>
        <w:rPr>
          <w:sz w:val="12"/>
        </w:rPr>
        <w:t>:</w:t>
      </w:r>
      <w:r>
        <w:rPr>
          <w:spacing w:val="-7"/>
          <w:sz w:val="12"/>
        </w:rPr>
        <w:t xml:space="preserve"> </w:t>
      </w:r>
      <w:r>
        <w:rPr>
          <w:sz w:val="16"/>
        </w:rPr>
        <w:t>New</w:t>
      </w:r>
      <w:r>
        <w:rPr>
          <w:spacing w:val="-5"/>
          <w:sz w:val="16"/>
        </w:rPr>
        <w:t xml:space="preserve"> </w:t>
      </w:r>
      <w:r>
        <w:rPr>
          <w:sz w:val="16"/>
        </w:rPr>
        <w:t>Customer</w:t>
      </w:r>
      <w:r>
        <w:rPr>
          <w:spacing w:val="-6"/>
          <w:sz w:val="16"/>
        </w:rPr>
        <w:t xml:space="preserve"> </w:t>
      </w:r>
      <w:r>
        <w:rPr>
          <w:sz w:val="16"/>
        </w:rPr>
        <w:t>Contributions</w:t>
      </w:r>
      <w:r>
        <w:rPr>
          <w:spacing w:val="-7"/>
          <w:sz w:val="16"/>
        </w:rPr>
        <w:t xml:space="preserve"> </w:t>
      </w:r>
      <w:r>
        <w:rPr>
          <w:sz w:val="16"/>
        </w:rPr>
        <w:t>($</w:t>
      </w:r>
      <w:r>
        <w:rPr>
          <w:spacing w:val="-6"/>
          <w:sz w:val="16"/>
        </w:rPr>
        <w:t xml:space="preserve"> </w:t>
      </w:r>
      <w:r>
        <w:rPr>
          <w:spacing w:val="-2"/>
          <w:sz w:val="16"/>
        </w:rPr>
        <w:t>1/1/23)</w:t>
      </w:r>
    </w:p>
    <w:p w14:paraId="70299202" w14:textId="77777777" w:rsidR="00141B97" w:rsidRDefault="00141B97">
      <w:pPr>
        <w:pStyle w:val="BodyText"/>
        <w:spacing w:before="8"/>
        <w:rPr>
          <w:sz w:val="20"/>
        </w:rPr>
      </w:pPr>
    </w:p>
    <w:p w14:paraId="05D33EE1" w14:textId="77777777" w:rsidR="00141B97" w:rsidRDefault="00911D63">
      <w:pPr>
        <w:pStyle w:val="ListParagraph"/>
        <w:numPr>
          <w:ilvl w:val="2"/>
          <w:numId w:val="81"/>
        </w:numPr>
        <w:tabs>
          <w:tab w:val="left" w:pos="1112"/>
          <w:tab w:val="left" w:pos="1113"/>
        </w:tabs>
        <w:jc w:val="both"/>
      </w:pPr>
      <w:r>
        <w:t>Negotiated</w:t>
      </w:r>
      <w:r>
        <w:rPr>
          <w:spacing w:val="-9"/>
        </w:rPr>
        <w:t xml:space="preserve"> </w:t>
      </w:r>
      <w:r>
        <w:t>Trade</w:t>
      </w:r>
      <w:r>
        <w:rPr>
          <w:spacing w:val="-7"/>
        </w:rPr>
        <w:t xml:space="preserve"> </w:t>
      </w:r>
      <w:r>
        <w:rPr>
          <w:spacing w:val="-4"/>
        </w:rPr>
        <w:t>Waste</w:t>
      </w:r>
    </w:p>
    <w:p w14:paraId="142003CD" w14:textId="77777777" w:rsidR="00141B97" w:rsidRDefault="00911D63">
      <w:pPr>
        <w:pStyle w:val="BodyText"/>
        <w:spacing w:before="59"/>
        <w:ind w:left="113" w:right="949"/>
        <w:jc w:val="both"/>
      </w:pPr>
      <w:r>
        <w:t>LMW has applied the ESC’s pricing and tariff principles for miscellaneous services including trade waste using its Trade Waste Pricing Model. The revenue from trade waste is included in miscellaneous revenues, detailed below. Customer engagement with commercial customers confirmed customers are comfortable with LMW charges relating to trade waste.</w:t>
      </w:r>
    </w:p>
    <w:p w14:paraId="2B3E7C95" w14:textId="77777777" w:rsidR="00141B97" w:rsidRDefault="00141B97">
      <w:pPr>
        <w:pStyle w:val="BodyText"/>
        <w:rPr>
          <w:sz w:val="20"/>
        </w:rPr>
      </w:pPr>
    </w:p>
    <w:p w14:paraId="173E20F2" w14:textId="077F40E1" w:rsidR="00141B97" w:rsidRDefault="00911D63">
      <w:pPr>
        <w:pStyle w:val="BodyText"/>
        <w:spacing w:before="5"/>
        <w:rPr>
          <w:sz w:val="24"/>
        </w:rPr>
      </w:pPr>
      <w:r>
        <w:rPr>
          <w:noProof/>
        </w:rPr>
        <mc:AlternateContent>
          <mc:Choice Requires="wps">
            <w:drawing>
              <wp:anchor distT="0" distB="0" distL="0" distR="0" simplePos="0" relativeHeight="487615488" behindDoc="1" locked="0" layoutInCell="1" allowOverlap="1" wp14:anchorId="020C8F33" wp14:editId="07E21654">
                <wp:simplePos x="0" y="0"/>
                <wp:positionH relativeFrom="page">
                  <wp:posOffset>720090</wp:posOffset>
                </wp:positionH>
                <wp:positionV relativeFrom="paragraph">
                  <wp:posOffset>204470</wp:posOffset>
                </wp:positionV>
                <wp:extent cx="1828800" cy="6350"/>
                <wp:effectExtent l="0" t="0" r="0" b="0"/>
                <wp:wrapTopAndBottom/>
                <wp:docPr id="294"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3BE73" id="docshape127" o:spid="_x0000_s1026" style="position:absolute;margin-left:56.7pt;margin-top:16.1pt;width:2in;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" fillcolor="black" stroked="f">
                <w10:wrap type="topAndBottom" anchorx="page"/>
              </v:rect>
            </w:pict>
          </mc:Fallback>
        </mc:AlternateContent>
      </w:r>
    </w:p>
    <w:p w14:paraId="45829BF6" w14:textId="77777777" w:rsidR="00141B97" w:rsidRDefault="00911D63">
      <w:pPr>
        <w:spacing w:before="85"/>
        <w:ind w:left="114"/>
        <w:rPr>
          <w:sz w:val="14"/>
        </w:rPr>
      </w:pPr>
      <w:r>
        <w:rPr>
          <w:position w:val="4"/>
          <w:sz w:val="9"/>
        </w:rPr>
        <w:t>10</w:t>
      </w:r>
      <w:r>
        <w:rPr>
          <w:spacing w:val="9"/>
          <w:position w:val="4"/>
          <w:sz w:val="9"/>
        </w:rPr>
        <w:t xml:space="preserve"> </w:t>
      </w:r>
      <w:r>
        <w:rPr>
          <w:sz w:val="14"/>
        </w:rPr>
        <w:t>LMW’s</w:t>
      </w:r>
      <w:r>
        <w:rPr>
          <w:spacing w:val="-2"/>
          <w:sz w:val="14"/>
        </w:rPr>
        <w:t xml:space="preserve"> </w:t>
      </w:r>
      <w:r>
        <w:rPr>
          <w:sz w:val="14"/>
        </w:rPr>
        <w:t>Negotiating</w:t>
      </w:r>
      <w:r>
        <w:rPr>
          <w:spacing w:val="-2"/>
          <w:sz w:val="14"/>
        </w:rPr>
        <w:t xml:space="preserve"> Framework</w:t>
      </w:r>
    </w:p>
    <w:p w14:paraId="3EA6011D" w14:textId="77777777" w:rsidR="00141B97" w:rsidRDefault="00141B97">
      <w:pPr>
        <w:rPr>
          <w:sz w:val="14"/>
        </w:rPr>
        <w:sectPr w:rsidR="00141B97">
          <w:pgSz w:w="11910" w:h="16840"/>
          <w:pgMar w:top="860" w:right="40" w:bottom="760" w:left="1020" w:header="0" w:footer="580" w:gutter="0"/>
          <w:cols w:space="720"/>
        </w:sectPr>
      </w:pPr>
    </w:p>
    <w:p w14:paraId="018579B9" w14:textId="77777777" w:rsidR="00141B97" w:rsidRDefault="00911D63">
      <w:pPr>
        <w:pStyle w:val="ListParagraph"/>
        <w:numPr>
          <w:ilvl w:val="2"/>
          <w:numId w:val="81"/>
        </w:numPr>
        <w:tabs>
          <w:tab w:val="left" w:pos="1112"/>
          <w:tab w:val="left" w:pos="1113"/>
        </w:tabs>
        <w:spacing w:before="43"/>
        <w:jc w:val="both"/>
      </w:pPr>
      <w:r>
        <w:lastRenderedPageBreak/>
        <w:t>Miscellaneous</w:t>
      </w:r>
      <w:r>
        <w:rPr>
          <w:spacing w:val="-12"/>
        </w:rPr>
        <w:t xml:space="preserve"> </w:t>
      </w:r>
      <w:r>
        <w:t>Revenues</w:t>
      </w:r>
      <w:r>
        <w:rPr>
          <w:spacing w:val="-11"/>
        </w:rPr>
        <w:t xml:space="preserve"> </w:t>
      </w:r>
      <w:r>
        <w:t>for</w:t>
      </w:r>
      <w:r>
        <w:rPr>
          <w:spacing w:val="-10"/>
        </w:rPr>
        <w:t xml:space="preserve"> </w:t>
      </w:r>
      <w:r>
        <w:t>Prescribed</w:t>
      </w:r>
      <w:r>
        <w:rPr>
          <w:spacing w:val="-11"/>
        </w:rPr>
        <w:t xml:space="preserve"> </w:t>
      </w:r>
      <w:r>
        <w:rPr>
          <w:spacing w:val="-2"/>
        </w:rPr>
        <w:t>Services</w:t>
      </w:r>
    </w:p>
    <w:p w14:paraId="789B6CEB" w14:textId="77777777" w:rsidR="00141B97" w:rsidRDefault="00911D63">
      <w:pPr>
        <w:pStyle w:val="BodyText"/>
        <w:spacing w:before="59"/>
        <w:ind w:left="113" w:right="947"/>
        <w:jc w:val="both"/>
      </w:pPr>
      <w:r>
        <w:t>LMW has a number of miscellaneous charges to cover a range of services. These are calculated in accordance with the ESC’s pricing principles, ie to recover the direct costs involved plus an allowance for overheads excepting bank</w:t>
      </w:r>
      <w:r>
        <w:rPr>
          <w:spacing w:val="-2"/>
        </w:rPr>
        <w:t xml:space="preserve"> </w:t>
      </w:r>
      <w:r>
        <w:t>dishonour, debt</w:t>
      </w:r>
      <w:r>
        <w:rPr>
          <w:spacing w:val="-1"/>
        </w:rPr>
        <w:t xml:space="preserve"> </w:t>
      </w:r>
      <w:r>
        <w:t>collection and</w:t>
      </w:r>
      <w:r>
        <w:rPr>
          <w:spacing w:val="-1"/>
        </w:rPr>
        <w:t xml:space="preserve"> </w:t>
      </w:r>
      <w:r>
        <w:t>legal</w:t>
      </w:r>
      <w:r>
        <w:rPr>
          <w:spacing w:val="-3"/>
        </w:rPr>
        <w:t xml:space="preserve"> </w:t>
      </w:r>
      <w:r>
        <w:t>fees. There</w:t>
      </w:r>
      <w:r>
        <w:rPr>
          <w:spacing w:val="-1"/>
        </w:rPr>
        <w:t xml:space="preserve"> </w:t>
      </w:r>
      <w:r>
        <w:t>are</w:t>
      </w:r>
      <w:r>
        <w:rPr>
          <w:spacing w:val="-1"/>
        </w:rPr>
        <w:t xml:space="preserve"> </w:t>
      </w:r>
      <w:r>
        <w:t>also</w:t>
      </w:r>
      <w:r>
        <w:rPr>
          <w:spacing w:val="-2"/>
        </w:rPr>
        <w:t xml:space="preserve"> </w:t>
      </w:r>
      <w:r>
        <w:t>a</w:t>
      </w:r>
      <w:r>
        <w:rPr>
          <w:spacing w:val="-1"/>
        </w:rPr>
        <w:t xml:space="preserve"> </w:t>
      </w:r>
      <w:r>
        <w:t>range</w:t>
      </w:r>
      <w:r>
        <w:rPr>
          <w:spacing w:val="-1"/>
        </w:rPr>
        <w:t xml:space="preserve"> </w:t>
      </w:r>
      <w:r>
        <w:t>of other</w:t>
      </w:r>
      <w:r>
        <w:rPr>
          <w:spacing w:val="-2"/>
        </w:rPr>
        <w:t xml:space="preserve"> </w:t>
      </w:r>
      <w:r>
        <w:t>revenues which</w:t>
      </w:r>
      <w:r>
        <w:rPr>
          <w:spacing w:val="-2"/>
        </w:rPr>
        <w:t xml:space="preserve"> </w:t>
      </w:r>
      <w:r>
        <w:t>serve to offset the amount of revenue required to be recovered from customers.</w:t>
      </w:r>
    </w:p>
    <w:p w14:paraId="7DAE74D8" w14:textId="77777777" w:rsidR="00141B97" w:rsidRDefault="00141B97">
      <w:pPr>
        <w:pStyle w:val="BodyText"/>
      </w:pPr>
    </w:p>
    <w:p w14:paraId="28C5896B" w14:textId="77777777" w:rsidR="00141B97" w:rsidRDefault="00911D63">
      <w:pPr>
        <w:pStyle w:val="BodyText"/>
        <w:ind w:left="113" w:right="949"/>
        <w:jc w:val="both"/>
      </w:pPr>
      <w:r>
        <w:t>Appendix B3 lists all of the miscellaneous charges levied by LMW, the charges levied for the current year and the proposed charges for the PS5 period. Table B38 below summarises the miscellaneous revenue forecast for PS5, including forecast contract revenues for recycled water from the Koorlong wastewater treatment plant.</w:t>
      </w:r>
    </w:p>
    <w:p w14:paraId="3D358698" w14:textId="77777777" w:rsidR="00141B97" w:rsidRDefault="00141B97">
      <w:pPr>
        <w:pStyle w:val="BodyText"/>
        <w:spacing w:before="7"/>
        <w:rPr>
          <w:sz w:val="21"/>
        </w:rPr>
      </w:pPr>
    </w:p>
    <w:tbl>
      <w:tblPr>
        <w:tblW w:w="0" w:type="auto"/>
        <w:tblCellSpacing w:w="9" w:type="dxa"/>
        <w:tblInd w:w="140" w:type="dxa"/>
        <w:tblLayout w:type="fixed"/>
        <w:tblCellMar>
          <w:left w:w="0" w:type="dxa"/>
          <w:right w:w="0" w:type="dxa"/>
        </w:tblCellMar>
        <w:tblLook w:val="01E0" w:firstRow="1" w:lastRow="1" w:firstColumn="1" w:lastColumn="1" w:noHBand="0" w:noVBand="0"/>
      </w:tblPr>
      <w:tblGrid>
        <w:gridCol w:w="2435"/>
        <w:gridCol w:w="1455"/>
        <w:gridCol w:w="1199"/>
        <w:gridCol w:w="1200"/>
        <w:gridCol w:w="1200"/>
        <w:gridCol w:w="1200"/>
        <w:gridCol w:w="1199"/>
      </w:tblGrid>
      <w:tr w:rsidR="00141B97" w14:paraId="1FA89B31" w14:textId="77777777">
        <w:trPr>
          <w:trHeight w:val="420"/>
          <w:tblCellSpacing w:w="9" w:type="dxa"/>
        </w:trPr>
        <w:tc>
          <w:tcPr>
            <w:tcW w:w="2408" w:type="dxa"/>
            <w:tcBorders>
              <w:top w:val="nil"/>
              <w:left w:val="nil"/>
            </w:tcBorders>
            <w:shd w:val="clear" w:color="auto" w:fill="0064A4"/>
          </w:tcPr>
          <w:p w14:paraId="49793BF3" w14:textId="77777777" w:rsidR="00141B97" w:rsidRDefault="00911D63">
            <w:pPr>
              <w:pStyle w:val="TableParagraph"/>
              <w:spacing w:before="101"/>
              <w:ind w:left="805" w:right="805"/>
              <w:jc w:val="center"/>
              <w:rPr>
                <w:sz w:val="18"/>
              </w:rPr>
            </w:pPr>
            <w:r>
              <w:rPr>
                <w:color w:val="FFFFFF"/>
                <w:sz w:val="18"/>
              </w:rPr>
              <w:t xml:space="preserve">$m </w:t>
            </w:r>
            <w:r>
              <w:rPr>
                <w:color w:val="FFFFFF"/>
                <w:spacing w:val="-2"/>
                <w:sz w:val="18"/>
              </w:rPr>
              <w:t>1/1/23</w:t>
            </w:r>
          </w:p>
        </w:tc>
        <w:tc>
          <w:tcPr>
            <w:tcW w:w="1437" w:type="dxa"/>
            <w:tcBorders>
              <w:top w:val="nil"/>
            </w:tcBorders>
            <w:shd w:val="clear" w:color="auto" w:fill="0064A4"/>
          </w:tcPr>
          <w:p w14:paraId="4AFDC519" w14:textId="77777777" w:rsidR="00141B97" w:rsidRDefault="00911D63">
            <w:pPr>
              <w:pStyle w:val="TableParagraph"/>
              <w:spacing w:before="101"/>
              <w:ind w:left="430"/>
              <w:rPr>
                <w:sz w:val="18"/>
              </w:rPr>
            </w:pPr>
            <w:r>
              <w:rPr>
                <w:color w:val="FFFFFF"/>
                <w:spacing w:val="-2"/>
                <w:sz w:val="18"/>
              </w:rPr>
              <w:t>Current</w:t>
            </w:r>
          </w:p>
        </w:tc>
        <w:tc>
          <w:tcPr>
            <w:tcW w:w="5899" w:type="dxa"/>
            <w:gridSpan w:val="5"/>
            <w:tcBorders>
              <w:top w:val="nil"/>
              <w:right w:val="nil"/>
            </w:tcBorders>
            <w:shd w:val="clear" w:color="auto" w:fill="0064A4"/>
          </w:tcPr>
          <w:p w14:paraId="047F3889" w14:textId="77777777" w:rsidR="00141B97" w:rsidRDefault="00911D63">
            <w:pPr>
              <w:pStyle w:val="TableParagraph"/>
              <w:spacing w:before="101"/>
              <w:ind w:left="2118" w:right="2104"/>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7BAAAD9D" w14:textId="77777777">
        <w:trPr>
          <w:trHeight w:val="420"/>
          <w:tblCellSpacing w:w="9" w:type="dxa"/>
        </w:trPr>
        <w:tc>
          <w:tcPr>
            <w:tcW w:w="2408" w:type="dxa"/>
            <w:tcBorders>
              <w:left w:val="nil"/>
            </w:tcBorders>
            <w:shd w:val="clear" w:color="auto" w:fill="0064A4"/>
          </w:tcPr>
          <w:p w14:paraId="22565BDA" w14:textId="77777777" w:rsidR="00141B97" w:rsidRDefault="00911D63">
            <w:pPr>
              <w:pStyle w:val="TableParagraph"/>
              <w:spacing w:before="100"/>
              <w:ind w:left="97"/>
              <w:rPr>
                <w:sz w:val="18"/>
              </w:rPr>
            </w:pPr>
            <w:r>
              <w:rPr>
                <w:color w:val="FFFFFF"/>
                <w:sz w:val="18"/>
              </w:rPr>
              <w:t>Revenue</w:t>
            </w:r>
            <w:r>
              <w:rPr>
                <w:color w:val="FFFFFF"/>
                <w:spacing w:val="-4"/>
                <w:sz w:val="18"/>
              </w:rPr>
              <w:t xml:space="preserve"> type</w:t>
            </w:r>
          </w:p>
        </w:tc>
        <w:tc>
          <w:tcPr>
            <w:tcW w:w="1437" w:type="dxa"/>
            <w:shd w:val="clear" w:color="auto" w:fill="0064A4"/>
          </w:tcPr>
          <w:p w14:paraId="660E84BF" w14:textId="77777777" w:rsidR="00141B97" w:rsidRDefault="00911D63">
            <w:pPr>
              <w:pStyle w:val="TableParagraph"/>
              <w:spacing w:before="100"/>
              <w:ind w:left="406"/>
              <w:rPr>
                <w:sz w:val="18"/>
              </w:rPr>
            </w:pPr>
            <w:r>
              <w:rPr>
                <w:color w:val="FFFFFF"/>
                <w:spacing w:val="-2"/>
                <w:sz w:val="18"/>
              </w:rPr>
              <w:t>2022‐23</w:t>
            </w:r>
          </w:p>
        </w:tc>
        <w:tc>
          <w:tcPr>
            <w:tcW w:w="1181" w:type="dxa"/>
            <w:shd w:val="clear" w:color="auto" w:fill="0064A4"/>
          </w:tcPr>
          <w:p w14:paraId="56078953" w14:textId="77777777" w:rsidR="00141B97" w:rsidRDefault="00911D63">
            <w:pPr>
              <w:pStyle w:val="TableParagraph"/>
              <w:spacing w:before="100"/>
              <w:ind w:left="278"/>
              <w:rPr>
                <w:sz w:val="18"/>
              </w:rPr>
            </w:pPr>
            <w:r>
              <w:rPr>
                <w:color w:val="FFFFFF"/>
                <w:spacing w:val="-2"/>
                <w:sz w:val="18"/>
              </w:rPr>
              <w:t>2023‐24</w:t>
            </w:r>
          </w:p>
        </w:tc>
        <w:tc>
          <w:tcPr>
            <w:tcW w:w="1182" w:type="dxa"/>
            <w:shd w:val="clear" w:color="auto" w:fill="0064A4"/>
          </w:tcPr>
          <w:p w14:paraId="7A2C0B3E" w14:textId="77777777" w:rsidR="00141B97" w:rsidRDefault="00911D63">
            <w:pPr>
              <w:pStyle w:val="TableParagraph"/>
              <w:spacing w:before="100"/>
              <w:ind w:left="281"/>
              <w:rPr>
                <w:sz w:val="18"/>
              </w:rPr>
            </w:pPr>
            <w:r>
              <w:rPr>
                <w:color w:val="FFFFFF"/>
                <w:spacing w:val="-2"/>
                <w:sz w:val="18"/>
              </w:rPr>
              <w:t>2024‐25</w:t>
            </w:r>
          </w:p>
        </w:tc>
        <w:tc>
          <w:tcPr>
            <w:tcW w:w="1182" w:type="dxa"/>
            <w:shd w:val="clear" w:color="auto" w:fill="0064A4"/>
          </w:tcPr>
          <w:p w14:paraId="06B83E6A" w14:textId="77777777" w:rsidR="00141B97" w:rsidRDefault="00911D63">
            <w:pPr>
              <w:pStyle w:val="TableParagraph"/>
              <w:spacing w:before="100"/>
              <w:ind w:left="282"/>
              <w:rPr>
                <w:sz w:val="18"/>
              </w:rPr>
            </w:pPr>
            <w:r>
              <w:rPr>
                <w:color w:val="FFFFFF"/>
                <w:spacing w:val="-2"/>
                <w:sz w:val="18"/>
              </w:rPr>
              <w:t>2025‐26</w:t>
            </w:r>
          </w:p>
        </w:tc>
        <w:tc>
          <w:tcPr>
            <w:tcW w:w="1182" w:type="dxa"/>
            <w:shd w:val="clear" w:color="auto" w:fill="0064A4"/>
          </w:tcPr>
          <w:p w14:paraId="653F29C5" w14:textId="77777777" w:rsidR="00141B97" w:rsidRDefault="00911D63">
            <w:pPr>
              <w:pStyle w:val="TableParagraph"/>
              <w:spacing w:before="100"/>
              <w:ind w:left="283"/>
              <w:rPr>
                <w:sz w:val="18"/>
              </w:rPr>
            </w:pPr>
            <w:r>
              <w:rPr>
                <w:color w:val="FFFFFF"/>
                <w:spacing w:val="-2"/>
                <w:sz w:val="18"/>
              </w:rPr>
              <w:t>2026‐27</w:t>
            </w:r>
          </w:p>
        </w:tc>
        <w:tc>
          <w:tcPr>
            <w:tcW w:w="1172" w:type="dxa"/>
            <w:tcBorders>
              <w:right w:val="nil"/>
            </w:tcBorders>
            <w:shd w:val="clear" w:color="auto" w:fill="0064A4"/>
          </w:tcPr>
          <w:p w14:paraId="43324C6C" w14:textId="77777777" w:rsidR="00141B97" w:rsidRDefault="00911D63">
            <w:pPr>
              <w:pStyle w:val="TableParagraph"/>
              <w:spacing w:before="100"/>
              <w:ind w:left="284"/>
              <w:rPr>
                <w:sz w:val="18"/>
              </w:rPr>
            </w:pPr>
            <w:r>
              <w:rPr>
                <w:color w:val="FFFFFF"/>
                <w:spacing w:val="-2"/>
                <w:sz w:val="18"/>
              </w:rPr>
              <w:t>2027‐28</w:t>
            </w:r>
          </w:p>
        </w:tc>
      </w:tr>
      <w:tr w:rsidR="00141B97" w14:paraId="3CEA4287" w14:textId="77777777">
        <w:trPr>
          <w:trHeight w:val="269"/>
          <w:tblCellSpacing w:w="9" w:type="dxa"/>
        </w:trPr>
        <w:tc>
          <w:tcPr>
            <w:tcW w:w="2408" w:type="dxa"/>
            <w:tcBorders>
              <w:left w:val="nil"/>
            </w:tcBorders>
            <w:shd w:val="clear" w:color="auto" w:fill="CCE2ED"/>
          </w:tcPr>
          <w:p w14:paraId="5DD34CD4" w14:textId="77777777" w:rsidR="00141B97" w:rsidRDefault="00911D63">
            <w:pPr>
              <w:pStyle w:val="TableParagraph"/>
              <w:spacing w:before="25"/>
              <w:ind w:left="97"/>
              <w:rPr>
                <w:sz w:val="18"/>
              </w:rPr>
            </w:pPr>
            <w:r>
              <w:rPr>
                <w:sz w:val="18"/>
              </w:rPr>
              <w:t xml:space="preserve">Trade </w:t>
            </w:r>
            <w:r>
              <w:rPr>
                <w:spacing w:val="-2"/>
                <w:sz w:val="18"/>
              </w:rPr>
              <w:t>waste</w:t>
            </w:r>
          </w:p>
        </w:tc>
        <w:tc>
          <w:tcPr>
            <w:tcW w:w="1437" w:type="dxa"/>
            <w:shd w:val="clear" w:color="auto" w:fill="CCE2ED"/>
          </w:tcPr>
          <w:p w14:paraId="0E375755" w14:textId="77777777" w:rsidR="00141B97" w:rsidRDefault="00911D63">
            <w:pPr>
              <w:pStyle w:val="TableParagraph"/>
              <w:spacing w:before="25"/>
              <w:ind w:right="94"/>
              <w:jc w:val="right"/>
              <w:rPr>
                <w:sz w:val="18"/>
              </w:rPr>
            </w:pPr>
            <w:r>
              <w:rPr>
                <w:color w:val="323200"/>
                <w:spacing w:val="-4"/>
                <w:sz w:val="18"/>
              </w:rPr>
              <w:t>0.39</w:t>
            </w:r>
          </w:p>
        </w:tc>
        <w:tc>
          <w:tcPr>
            <w:tcW w:w="1181" w:type="dxa"/>
            <w:shd w:val="clear" w:color="auto" w:fill="CCE2ED"/>
          </w:tcPr>
          <w:p w14:paraId="7C1E0415" w14:textId="77777777" w:rsidR="00141B97" w:rsidRDefault="00911D63">
            <w:pPr>
              <w:pStyle w:val="TableParagraph"/>
              <w:spacing w:before="25"/>
              <w:ind w:right="93"/>
              <w:jc w:val="right"/>
              <w:rPr>
                <w:sz w:val="18"/>
              </w:rPr>
            </w:pPr>
            <w:r>
              <w:rPr>
                <w:color w:val="323200"/>
                <w:spacing w:val="-4"/>
                <w:sz w:val="18"/>
              </w:rPr>
              <w:t>0.39</w:t>
            </w:r>
          </w:p>
        </w:tc>
        <w:tc>
          <w:tcPr>
            <w:tcW w:w="1182" w:type="dxa"/>
            <w:shd w:val="clear" w:color="auto" w:fill="CCE2ED"/>
          </w:tcPr>
          <w:p w14:paraId="268FA047" w14:textId="77777777" w:rsidR="00141B97" w:rsidRDefault="00911D63">
            <w:pPr>
              <w:pStyle w:val="TableParagraph"/>
              <w:spacing w:before="25"/>
              <w:ind w:right="92"/>
              <w:jc w:val="right"/>
              <w:rPr>
                <w:sz w:val="18"/>
              </w:rPr>
            </w:pPr>
            <w:r>
              <w:rPr>
                <w:color w:val="323200"/>
                <w:spacing w:val="-4"/>
                <w:sz w:val="18"/>
              </w:rPr>
              <w:t>0.39</w:t>
            </w:r>
          </w:p>
        </w:tc>
        <w:tc>
          <w:tcPr>
            <w:tcW w:w="1182" w:type="dxa"/>
            <w:shd w:val="clear" w:color="auto" w:fill="CCE2ED"/>
          </w:tcPr>
          <w:p w14:paraId="6F048700" w14:textId="77777777" w:rsidR="00141B97" w:rsidRDefault="00911D63">
            <w:pPr>
              <w:pStyle w:val="TableParagraph"/>
              <w:spacing w:before="25"/>
              <w:ind w:right="91"/>
              <w:jc w:val="right"/>
              <w:rPr>
                <w:sz w:val="18"/>
              </w:rPr>
            </w:pPr>
            <w:r>
              <w:rPr>
                <w:color w:val="323200"/>
                <w:spacing w:val="-4"/>
                <w:sz w:val="18"/>
              </w:rPr>
              <w:t>0.39</w:t>
            </w:r>
          </w:p>
        </w:tc>
        <w:tc>
          <w:tcPr>
            <w:tcW w:w="1182" w:type="dxa"/>
            <w:shd w:val="clear" w:color="auto" w:fill="CCE2ED"/>
          </w:tcPr>
          <w:p w14:paraId="1BBC0895" w14:textId="77777777" w:rsidR="00141B97" w:rsidRDefault="00911D63">
            <w:pPr>
              <w:pStyle w:val="TableParagraph"/>
              <w:spacing w:before="25"/>
              <w:ind w:right="90"/>
              <w:jc w:val="right"/>
              <w:rPr>
                <w:sz w:val="18"/>
              </w:rPr>
            </w:pPr>
            <w:r>
              <w:rPr>
                <w:color w:val="323200"/>
                <w:spacing w:val="-4"/>
                <w:sz w:val="18"/>
              </w:rPr>
              <w:t>0.39</w:t>
            </w:r>
          </w:p>
        </w:tc>
        <w:tc>
          <w:tcPr>
            <w:tcW w:w="1172" w:type="dxa"/>
            <w:tcBorders>
              <w:right w:val="nil"/>
            </w:tcBorders>
            <w:shd w:val="clear" w:color="auto" w:fill="CCE2ED"/>
          </w:tcPr>
          <w:p w14:paraId="17A20017" w14:textId="77777777" w:rsidR="00141B97" w:rsidRDefault="00911D63">
            <w:pPr>
              <w:pStyle w:val="TableParagraph"/>
              <w:spacing w:before="25"/>
              <w:ind w:right="79"/>
              <w:jc w:val="right"/>
              <w:rPr>
                <w:sz w:val="18"/>
              </w:rPr>
            </w:pPr>
            <w:r>
              <w:rPr>
                <w:color w:val="323200"/>
                <w:spacing w:val="-4"/>
                <w:sz w:val="18"/>
              </w:rPr>
              <w:t>0.39</w:t>
            </w:r>
          </w:p>
        </w:tc>
      </w:tr>
      <w:tr w:rsidR="00141B97" w14:paraId="25235A3C" w14:textId="77777777">
        <w:trPr>
          <w:trHeight w:val="439"/>
          <w:tblCellSpacing w:w="9" w:type="dxa"/>
        </w:trPr>
        <w:tc>
          <w:tcPr>
            <w:tcW w:w="2408" w:type="dxa"/>
            <w:tcBorders>
              <w:left w:val="nil"/>
            </w:tcBorders>
            <w:shd w:val="clear" w:color="auto" w:fill="CCE2ED"/>
          </w:tcPr>
          <w:p w14:paraId="02071C86" w14:textId="77777777" w:rsidR="00141B97" w:rsidRDefault="00911D63">
            <w:pPr>
              <w:pStyle w:val="TableParagraph"/>
              <w:spacing w:line="220" w:lineRule="atLeast"/>
              <w:ind w:left="97"/>
              <w:rPr>
                <w:sz w:val="18"/>
              </w:rPr>
            </w:pPr>
            <w:r>
              <w:rPr>
                <w:sz w:val="18"/>
              </w:rPr>
              <w:t>Recycled</w:t>
            </w:r>
            <w:r>
              <w:rPr>
                <w:spacing w:val="-9"/>
                <w:sz w:val="18"/>
              </w:rPr>
              <w:t xml:space="preserve"> </w:t>
            </w:r>
            <w:r>
              <w:rPr>
                <w:sz w:val="18"/>
              </w:rPr>
              <w:t>water</w:t>
            </w:r>
            <w:r>
              <w:rPr>
                <w:spacing w:val="-9"/>
                <w:sz w:val="18"/>
              </w:rPr>
              <w:t xml:space="preserve"> </w:t>
            </w:r>
            <w:r>
              <w:rPr>
                <w:sz w:val="18"/>
              </w:rPr>
              <w:t xml:space="preserve">contract </w:t>
            </w:r>
            <w:r>
              <w:rPr>
                <w:spacing w:val="-2"/>
                <w:sz w:val="18"/>
              </w:rPr>
              <w:t>revenues</w:t>
            </w:r>
          </w:p>
        </w:tc>
        <w:tc>
          <w:tcPr>
            <w:tcW w:w="1437" w:type="dxa"/>
            <w:shd w:val="clear" w:color="auto" w:fill="CCE2ED"/>
          </w:tcPr>
          <w:p w14:paraId="65DDEE3C" w14:textId="77777777" w:rsidR="00141B97" w:rsidRDefault="00911D63">
            <w:pPr>
              <w:pStyle w:val="TableParagraph"/>
              <w:spacing w:before="111"/>
              <w:ind w:right="94"/>
              <w:jc w:val="right"/>
              <w:rPr>
                <w:sz w:val="18"/>
              </w:rPr>
            </w:pPr>
            <w:r>
              <w:rPr>
                <w:color w:val="323200"/>
                <w:spacing w:val="-4"/>
                <w:sz w:val="18"/>
              </w:rPr>
              <w:t>0.30</w:t>
            </w:r>
          </w:p>
        </w:tc>
        <w:tc>
          <w:tcPr>
            <w:tcW w:w="1181" w:type="dxa"/>
            <w:shd w:val="clear" w:color="auto" w:fill="CCE2ED"/>
          </w:tcPr>
          <w:p w14:paraId="0E095E6D" w14:textId="77777777" w:rsidR="00141B97" w:rsidRDefault="00911D63">
            <w:pPr>
              <w:pStyle w:val="TableParagraph"/>
              <w:spacing w:before="111"/>
              <w:ind w:right="93"/>
              <w:jc w:val="right"/>
              <w:rPr>
                <w:sz w:val="18"/>
              </w:rPr>
            </w:pPr>
            <w:r>
              <w:rPr>
                <w:color w:val="323200"/>
                <w:spacing w:val="-4"/>
                <w:sz w:val="18"/>
              </w:rPr>
              <w:t>0.30</w:t>
            </w:r>
          </w:p>
        </w:tc>
        <w:tc>
          <w:tcPr>
            <w:tcW w:w="1182" w:type="dxa"/>
            <w:shd w:val="clear" w:color="auto" w:fill="CCE2ED"/>
          </w:tcPr>
          <w:p w14:paraId="187831EC" w14:textId="77777777" w:rsidR="00141B97" w:rsidRDefault="00911D63">
            <w:pPr>
              <w:pStyle w:val="TableParagraph"/>
              <w:spacing w:before="111"/>
              <w:ind w:right="92"/>
              <w:jc w:val="right"/>
              <w:rPr>
                <w:sz w:val="18"/>
              </w:rPr>
            </w:pPr>
            <w:r>
              <w:rPr>
                <w:color w:val="323200"/>
                <w:spacing w:val="-4"/>
                <w:sz w:val="18"/>
              </w:rPr>
              <w:t>0.30</w:t>
            </w:r>
          </w:p>
        </w:tc>
        <w:tc>
          <w:tcPr>
            <w:tcW w:w="1182" w:type="dxa"/>
            <w:shd w:val="clear" w:color="auto" w:fill="CCE2ED"/>
          </w:tcPr>
          <w:p w14:paraId="561FF8A9" w14:textId="77777777" w:rsidR="00141B97" w:rsidRDefault="00911D63">
            <w:pPr>
              <w:pStyle w:val="TableParagraph"/>
              <w:spacing w:before="111"/>
              <w:ind w:right="91"/>
              <w:jc w:val="right"/>
              <w:rPr>
                <w:sz w:val="18"/>
              </w:rPr>
            </w:pPr>
            <w:r>
              <w:rPr>
                <w:color w:val="323200"/>
                <w:spacing w:val="-4"/>
                <w:sz w:val="18"/>
              </w:rPr>
              <w:t>0.30</w:t>
            </w:r>
          </w:p>
        </w:tc>
        <w:tc>
          <w:tcPr>
            <w:tcW w:w="1182" w:type="dxa"/>
            <w:shd w:val="clear" w:color="auto" w:fill="CCE2ED"/>
          </w:tcPr>
          <w:p w14:paraId="239341A4" w14:textId="77777777" w:rsidR="00141B97" w:rsidRDefault="00911D63">
            <w:pPr>
              <w:pStyle w:val="TableParagraph"/>
              <w:spacing w:before="111"/>
              <w:ind w:right="90"/>
              <w:jc w:val="right"/>
              <w:rPr>
                <w:sz w:val="18"/>
              </w:rPr>
            </w:pPr>
            <w:r>
              <w:rPr>
                <w:color w:val="323200"/>
                <w:spacing w:val="-4"/>
                <w:sz w:val="18"/>
              </w:rPr>
              <w:t>0.30</w:t>
            </w:r>
          </w:p>
        </w:tc>
        <w:tc>
          <w:tcPr>
            <w:tcW w:w="1172" w:type="dxa"/>
            <w:tcBorders>
              <w:right w:val="nil"/>
            </w:tcBorders>
            <w:shd w:val="clear" w:color="auto" w:fill="CCE2ED"/>
          </w:tcPr>
          <w:p w14:paraId="6349E6AD" w14:textId="77777777" w:rsidR="00141B97" w:rsidRDefault="00911D63">
            <w:pPr>
              <w:pStyle w:val="TableParagraph"/>
              <w:spacing w:before="111"/>
              <w:ind w:right="79"/>
              <w:jc w:val="right"/>
              <w:rPr>
                <w:sz w:val="18"/>
              </w:rPr>
            </w:pPr>
            <w:r>
              <w:rPr>
                <w:color w:val="323200"/>
                <w:spacing w:val="-4"/>
                <w:sz w:val="18"/>
              </w:rPr>
              <w:t>0.30</w:t>
            </w:r>
          </w:p>
        </w:tc>
      </w:tr>
      <w:tr w:rsidR="00141B97" w14:paraId="68346C72" w14:textId="77777777">
        <w:trPr>
          <w:trHeight w:val="270"/>
          <w:tblCellSpacing w:w="9" w:type="dxa"/>
        </w:trPr>
        <w:tc>
          <w:tcPr>
            <w:tcW w:w="2408" w:type="dxa"/>
            <w:tcBorders>
              <w:left w:val="nil"/>
              <w:bottom w:val="nil"/>
            </w:tcBorders>
            <w:shd w:val="clear" w:color="auto" w:fill="CCE2ED"/>
          </w:tcPr>
          <w:p w14:paraId="58496C0A" w14:textId="77777777" w:rsidR="00141B97" w:rsidRDefault="00911D63">
            <w:pPr>
              <w:pStyle w:val="TableParagraph"/>
              <w:spacing w:before="26"/>
              <w:ind w:left="97"/>
              <w:rPr>
                <w:sz w:val="18"/>
              </w:rPr>
            </w:pPr>
            <w:r>
              <w:rPr>
                <w:sz w:val="18"/>
              </w:rPr>
              <w:t>Miscellaneous</w:t>
            </w:r>
            <w:r>
              <w:rPr>
                <w:spacing w:val="-1"/>
                <w:sz w:val="18"/>
              </w:rPr>
              <w:t xml:space="preserve"> </w:t>
            </w:r>
            <w:r>
              <w:rPr>
                <w:spacing w:val="-2"/>
                <w:sz w:val="18"/>
              </w:rPr>
              <w:t>revenue</w:t>
            </w:r>
          </w:p>
        </w:tc>
        <w:tc>
          <w:tcPr>
            <w:tcW w:w="1437" w:type="dxa"/>
            <w:tcBorders>
              <w:bottom w:val="nil"/>
            </w:tcBorders>
            <w:shd w:val="clear" w:color="auto" w:fill="CCE2ED"/>
          </w:tcPr>
          <w:p w14:paraId="13C296F9" w14:textId="77777777" w:rsidR="00141B97" w:rsidRDefault="00911D63">
            <w:pPr>
              <w:pStyle w:val="TableParagraph"/>
              <w:spacing w:before="26"/>
              <w:ind w:right="94"/>
              <w:jc w:val="right"/>
              <w:rPr>
                <w:sz w:val="18"/>
              </w:rPr>
            </w:pPr>
            <w:r>
              <w:rPr>
                <w:spacing w:val="-4"/>
                <w:sz w:val="18"/>
              </w:rPr>
              <w:t>1.81</w:t>
            </w:r>
          </w:p>
        </w:tc>
        <w:tc>
          <w:tcPr>
            <w:tcW w:w="1181" w:type="dxa"/>
            <w:tcBorders>
              <w:bottom w:val="nil"/>
            </w:tcBorders>
            <w:shd w:val="clear" w:color="auto" w:fill="CCE2ED"/>
          </w:tcPr>
          <w:p w14:paraId="2B26920B" w14:textId="77777777" w:rsidR="00141B97" w:rsidRDefault="00911D63">
            <w:pPr>
              <w:pStyle w:val="TableParagraph"/>
              <w:spacing w:before="26"/>
              <w:ind w:right="93"/>
              <w:jc w:val="right"/>
              <w:rPr>
                <w:sz w:val="18"/>
              </w:rPr>
            </w:pPr>
            <w:r>
              <w:rPr>
                <w:spacing w:val="-4"/>
                <w:sz w:val="18"/>
              </w:rPr>
              <w:t>1.50</w:t>
            </w:r>
          </w:p>
        </w:tc>
        <w:tc>
          <w:tcPr>
            <w:tcW w:w="1182" w:type="dxa"/>
            <w:tcBorders>
              <w:bottom w:val="nil"/>
            </w:tcBorders>
            <w:shd w:val="clear" w:color="auto" w:fill="CCE2ED"/>
          </w:tcPr>
          <w:p w14:paraId="01BD83B2" w14:textId="77777777" w:rsidR="00141B97" w:rsidRDefault="00911D63">
            <w:pPr>
              <w:pStyle w:val="TableParagraph"/>
              <w:spacing w:before="26"/>
              <w:ind w:right="92"/>
              <w:jc w:val="right"/>
              <w:rPr>
                <w:sz w:val="18"/>
              </w:rPr>
            </w:pPr>
            <w:r>
              <w:rPr>
                <w:spacing w:val="-4"/>
                <w:sz w:val="18"/>
              </w:rPr>
              <w:t>1.50</w:t>
            </w:r>
          </w:p>
        </w:tc>
        <w:tc>
          <w:tcPr>
            <w:tcW w:w="1182" w:type="dxa"/>
            <w:tcBorders>
              <w:bottom w:val="nil"/>
            </w:tcBorders>
            <w:shd w:val="clear" w:color="auto" w:fill="CCE2ED"/>
          </w:tcPr>
          <w:p w14:paraId="5E71F304" w14:textId="77777777" w:rsidR="00141B97" w:rsidRDefault="00911D63">
            <w:pPr>
              <w:pStyle w:val="TableParagraph"/>
              <w:spacing w:before="26"/>
              <w:ind w:right="91"/>
              <w:jc w:val="right"/>
              <w:rPr>
                <w:sz w:val="18"/>
              </w:rPr>
            </w:pPr>
            <w:r>
              <w:rPr>
                <w:spacing w:val="-4"/>
                <w:sz w:val="18"/>
              </w:rPr>
              <w:t>1.50</w:t>
            </w:r>
          </w:p>
        </w:tc>
        <w:tc>
          <w:tcPr>
            <w:tcW w:w="1182" w:type="dxa"/>
            <w:tcBorders>
              <w:bottom w:val="nil"/>
            </w:tcBorders>
            <w:shd w:val="clear" w:color="auto" w:fill="CCE2ED"/>
          </w:tcPr>
          <w:p w14:paraId="5484D8DD" w14:textId="77777777" w:rsidR="00141B97" w:rsidRDefault="00911D63">
            <w:pPr>
              <w:pStyle w:val="TableParagraph"/>
              <w:spacing w:before="26"/>
              <w:ind w:right="90"/>
              <w:jc w:val="right"/>
              <w:rPr>
                <w:sz w:val="18"/>
              </w:rPr>
            </w:pPr>
            <w:r>
              <w:rPr>
                <w:spacing w:val="-4"/>
                <w:sz w:val="18"/>
              </w:rPr>
              <w:t>1.50</w:t>
            </w:r>
          </w:p>
        </w:tc>
        <w:tc>
          <w:tcPr>
            <w:tcW w:w="1172" w:type="dxa"/>
            <w:tcBorders>
              <w:bottom w:val="nil"/>
              <w:right w:val="nil"/>
            </w:tcBorders>
            <w:shd w:val="clear" w:color="auto" w:fill="CCE2ED"/>
          </w:tcPr>
          <w:p w14:paraId="07808329" w14:textId="77777777" w:rsidR="00141B97" w:rsidRDefault="00911D63">
            <w:pPr>
              <w:pStyle w:val="TableParagraph"/>
              <w:spacing w:before="26"/>
              <w:ind w:right="79"/>
              <w:jc w:val="right"/>
              <w:rPr>
                <w:sz w:val="18"/>
              </w:rPr>
            </w:pPr>
            <w:r>
              <w:rPr>
                <w:spacing w:val="-4"/>
                <w:sz w:val="18"/>
              </w:rPr>
              <w:t>1.50</w:t>
            </w:r>
          </w:p>
        </w:tc>
      </w:tr>
    </w:tbl>
    <w:p w14:paraId="3E31463A" w14:textId="77777777" w:rsidR="00141B97" w:rsidRDefault="00911D63">
      <w:pPr>
        <w:spacing w:before="22"/>
        <w:ind w:left="114"/>
        <w:jc w:val="both"/>
        <w:rPr>
          <w:sz w:val="16"/>
        </w:rPr>
      </w:pPr>
      <w:r>
        <w:rPr>
          <w:sz w:val="16"/>
        </w:rPr>
        <w:t>Table</w:t>
      </w:r>
      <w:r>
        <w:rPr>
          <w:spacing w:val="-8"/>
          <w:sz w:val="16"/>
        </w:rPr>
        <w:t xml:space="preserve"> </w:t>
      </w:r>
      <w:r>
        <w:rPr>
          <w:sz w:val="16"/>
        </w:rPr>
        <w:t>B38</w:t>
      </w:r>
      <w:r>
        <w:rPr>
          <w:sz w:val="12"/>
        </w:rPr>
        <w:t>:</w:t>
      </w:r>
      <w:r>
        <w:rPr>
          <w:spacing w:val="-7"/>
          <w:sz w:val="12"/>
        </w:rPr>
        <w:t xml:space="preserve"> </w:t>
      </w:r>
      <w:r>
        <w:rPr>
          <w:sz w:val="16"/>
        </w:rPr>
        <w:t>Miscellaneous</w:t>
      </w:r>
      <w:r>
        <w:rPr>
          <w:spacing w:val="-9"/>
          <w:sz w:val="16"/>
        </w:rPr>
        <w:t xml:space="preserve"> </w:t>
      </w:r>
      <w:r>
        <w:rPr>
          <w:spacing w:val="-2"/>
          <w:sz w:val="16"/>
        </w:rPr>
        <w:t>Revenue</w:t>
      </w:r>
    </w:p>
    <w:p w14:paraId="035FFFBB" w14:textId="77777777" w:rsidR="00141B97" w:rsidRDefault="00141B97">
      <w:pPr>
        <w:pStyle w:val="BodyText"/>
        <w:rPr>
          <w:sz w:val="16"/>
        </w:rPr>
      </w:pPr>
    </w:p>
    <w:p w14:paraId="14E2688D" w14:textId="77777777" w:rsidR="00141B97" w:rsidRDefault="00141B97">
      <w:pPr>
        <w:pStyle w:val="BodyText"/>
        <w:spacing w:before="2"/>
        <w:rPr>
          <w:sz w:val="15"/>
        </w:rPr>
      </w:pPr>
    </w:p>
    <w:p w14:paraId="4CD1A4DD" w14:textId="77777777" w:rsidR="00141B97" w:rsidRDefault="00911D63">
      <w:pPr>
        <w:pStyle w:val="Heading2"/>
        <w:numPr>
          <w:ilvl w:val="1"/>
          <w:numId w:val="81"/>
        </w:numPr>
        <w:tabs>
          <w:tab w:val="left" w:pos="1113"/>
        </w:tabs>
        <w:jc w:val="both"/>
      </w:pPr>
      <w:r>
        <w:rPr>
          <w:color w:val="009BAC"/>
        </w:rPr>
        <w:t>Adjustment</w:t>
      </w:r>
      <w:r>
        <w:rPr>
          <w:color w:val="009BAC"/>
          <w:spacing w:val="-6"/>
        </w:rPr>
        <w:t xml:space="preserve"> </w:t>
      </w:r>
      <w:r>
        <w:rPr>
          <w:color w:val="009BAC"/>
        </w:rPr>
        <w:t>to</w:t>
      </w:r>
      <w:r>
        <w:rPr>
          <w:color w:val="009BAC"/>
          <w:spacing w:val="-8"/>
        </w:rPr>
        <w:t xml:space="preserve"> </w:t>
      </w:r>
      <w:r>
        <w:rPr>
          <w:color w:val="009BAC"/>
          <w:spacing w:val="-2"/>
        </w:rPr>
        <w:t>Prices</w:t>
      </w:r>
    </w:p>
    <w:p w14:paraId="21AEA29B" w14:textId="77777777" w:rsidR="00141B97" w:rsidRDefault="00141B97">
      <w:pPr>
        <w:pStyle w:val="BodyText"/>
        <w:spacing w:before="8"/>
        <w:rPr>
          <w:sz w:val="20"/>
        </w:rPr>
      </w:pPr>
    </w:p>
    <w:p w14:paraId="43A0D280" w14:textId="77777777" w:rsidR="00141B97" w:rsidRDefault="00911D63">
      <w:pPr>
        <w:pStyle w:val="ListParagraph"/>
        <w:numPr>
          <w:ilvl w:val="2"/>
          <w:numId w:val="81"/>
        </w:numPr>
        <w:tabs>
          <w:tab w:val="left" w:pos="1112"/>
          <w:tab w:val="left" w:pos="1113"/>
        </w:tabs>
        <w:spacing w:before="1"/>
        <w:jc w:val="both"/>
      </w:pPr>
      <w:r>
        <w:t>Uncertain</w:t>
      </w:r>
      <w:r>
        <w:rPr>
          <w:spacing w:val="-10"/>
        </w:rPr>
        <w:t xml:space="preserve"> </w:t>
      </w:r>
      <w:r>
        <w:t>or</w:t>
      </w:r>
      <w:r>
        <w:rPr>
          <w:spacing w:val="-9"/>
        </w:rPr>
        <w:t xml:space="preserve"> </w:t>
      </w:r>
      <w:r>
        <w:t>Unforeseen</w:t>
      </w:r>
      <w:r>
        <w:rPr>
          <w:spacing w:val="-9"/>
        </w:rPr>
        <w:t xml:space="preserve"> </w:t>
      </w:r>
      <w:r>
        <w:rPr>
          <w:spacing w:val="-2"/>
        </w:rPr>
        <w:t>Events</w:t>
      </w:r>
    </w:p>
    <w:p w14:paraId="0BB84934" w14:textId="77777777" w:rsidR="00141B97" w:rsidRDefault="00911D63">
      <w:pPr>
        <w:pStyle w:val="BodyText"/>
        <w:spacing w:before="59"/>
        <w:ind w:left="113" w:right="949"/>
        <w:jc w:val="both"/>
      </w:pPr>
      <w:r>
        <w:t>LMW proposes that the adjustment mechanism for unforeseen or uncertain events continues to apply for this regulatory period, unchanged. Under the provisions of a Determination, LMW may apply for an adjustment of the</w:t>
      </w:r>
      <w:r>
        <w:rPr>
          <w:spacing w:val="-13"/>
        </w:rPr>
        <w:t xml:space="preserve"> </w:t>
      </w:r>
      <w:r>
        <w:t>scheduled</w:t>
      </w:r>
      <w:r>
        <w:rPr>
          <w:spacing w:val="-12"/>
        </w:rPr>
        <w:t xml:space="preserve"> </w:t>
      </w:r>
      <w:r>
        <w:t>prices</w:t>
      </w:r>
      <w:r>
        <w:rPr>
          <w:spacing w:val="-11"/>
        </w:rPr>
        <w:t xml:space="preserve"> </w:t>
      </w:r>
      <w:r>
        <w:t>and/or</w:t>
      </w:r>
      <w:r>
        <w:rPr>
          <w:spacing w:val="-11"/>
        </w:rPr>
        <w:t xml:space="preserve"> </w:t>
      </w:r>
      <w:r>
        <w:t>the</w:t>
      </w:r>
      <w:r>
        <w:rPr>
          <w:spacing w:val="-12"/>
        </w:rPr>
        <w:t xml:space="preserve"> </w:t>
      </w:r>
      <w:r>
        <w:t>revenue</w:t>
      </w:r>
      <w:r>
        <w:rPr>
          <w:spacing w:val="-13"/>
        </w:rPr>
        <w:t xml:space="preserve"> </w:t>
      </w:r>
      <w:r>
        <w:t>requirements</w:t>
      </w:r>
      <w:r>
        <w:rPr>
          <w:spacing w:val="-12"/>
        </w:rPr>
        <w:t xml:space="preserve"> </w:t>
      </w:r>
      <w:r>
        <w:t>as</w:t>
      </w:r>
      <w:r>
        <w:rPr>
          <w:spacing w:val="-11"/>
        </w:rPr>
        <w:t xml:space="preserve"> </w:t>
      </w:r>
      <w:r>
        <w:t>a</w:t>
      </w:r>
      <w:r>
        <w:rPr>
          <w:spacing w:val="-13"/>
        </w:rPr>
        <w:t xml:space="preserve"> </w:t>
      </w:r>
      <w:r>
        <w:t>result</w:t>
      </w:r>
      <w:r>
        <w:rPr>
          <w:spacing w:val="-11"/>
        </w:rPr>
        <w:t xml:space="preserve"> </w:t>
      </w:r>
      <w:r>
        <w:t>of</w:t>
      </w:r>
      <w:r>
        <w:rPr>
          <w:spacing w:val="-12"/>
        </w:rPr>
        <w:t xml:space="preserve"> </w:t>
      </w:r>
      <w:r>
        <w:t>events</w:t>
      </w:r>
      <w:r>
        <w:rPr>
          <w:spacing w:val="-11"/>
        </w:rPr>
        <w:t xml:space="preserve"> </w:t>
      </w:r>
      <w:r>
        <w:t>that</w:t>
      </w:r>
      <w:r>
        <w:rPr>
          <w:spacing w:val="-12"/>
        </w:rPr>
        <w:t xml:space="preserve"> </w:t>
      </w:r>
      <w:r>
        <w:t>could</w:t>
      </w:r>
      <w:r>
        <w:rPr>
          <w:spacing w:val="-11"/>
        </w:rPr>
        <w:t xml:space="preserve"> </w:t>
      </w:r>
      <w:r>
        <w:t>not</w:t>
      </w:r>
      <w:r>
        <w:rPr>
          <w:spacing w:val="-13"/>
        </w:rPr>
        <w:t xml:space="preserve"> </w:t>
      </w:r>
      <w:r>
        <w:t>reasonably</w:t>
      </w:r>
      <w:r>
        <w:rPr>
          <w:spacing w:val="-12"/>
        </w:rPr>
        <w:t xml:space="preserve"> </w:t>
      </w:r>
      <w:r>
        <w:t>have</w:t>
      </w:r>
      <w:r>
        <w:rPr>
          <w:spacing w:val="-12"/>
        </w:rPr>
        <w:t xml:space="preserve"> </w:t>
      </w:r>
      <w:r>
        <w:t>been foreseen or were uncertain at the time the Determination is made.</w:t>
      </w:r>
    </w:p>
    <w:p w14:paraId="37DCF50E" w14:textId="77777777" w:rsidR="00141B97" w:rsidRDefault="00141B97">
      <w:pPr>
        <w:pStyle w:val="BodyText"/>
        <w:spacing w:before="12"/>
        <w:rPr>
          <w:sz w:val="21"/>
        </w:rPr>
      </w:pPr>
    </w:p>
    <w:p w14:paraId="32B1F786" w14:textId="77777777" w:rsidR="00141B97" w:rsidRDefault="00911D63">
      <w:pPr>
        <w:pStyle w:val="BodyText"/>
        <w:ind w:left="113" w:right="948"/>
        <w:jc w:val="both"/>
      </w:pPr>
      <w:r>
        <w:t>Examples</w:t>
      </w:r>
      <w:r>
        <w:rPr>
          <w:spacing w:val="-10"/>
        </w:rPr>
        <w:t xml:space="preserve"> </w:t>
      </w:r>
      <w:r>
        <w:t>of</w:t>
      </w:r>
      <w:r>
        <w:rPr>
          <w:spacing w:val="-9"/>
        </w:rPr>
        <w:t xml:space="preserve"> </w:t>
      </w:r>
      <w:r>
        <w:t>unforeseen</w:t>
      </w:r>
      <w:r>
        <w:rPr>
          <w:spacing w:val="-11"/>
        </w:rPr>
        <w:t xml:space="preserve"> </w:t>
      </w:r>
      <w:r>
        <w:t>or</w:t>
      </w:r>
      <w:r>
        <w:rPr>
          <w:spacing w:val="-9"/>
        </w:rPr>
        <w:t xml:space="preserve"> </w:t>
      </w:r>
      <w:r>
        <w:t>uncertain</w:t>
      </w:r>
      <w:r>
        <w:rPr>
          <w:spacing w:val="-10"/>
        </w:rPr>
        <w:t xml:space="preserve"> </w:t>
      </w:r>
      <w:r>
        <w:t>events</w:t>
      </w:r>
      <w:r>
        <w:rPr>
          <w:spacing w:val="-10"/>
        </w:rPr>
        <w:t xml:space="preserve"> </w:t>
      </w:r>
      <w:r>
        <w:t>include</w:t>
      </w:r>
      <w:r>
        <w:rPr>
          <w:spacing w:val="-11"/>
        </w:rPr>
        <w:t xml:space="preserve"> </w:t>
      </w:r>
      <w:r>
        <w:t>licence</w:t>
      </w:r>
      <w:r>
        <w:rPr>
          <w:spacing w:val="-12"/>
        </w:rPr>
        <w:t xml:space="preserve"> </w:t>
      </w:r>
      <w:r>
        <w:t>fees</w:t>
      </w:r>
      <w:r>
        <w:rPr>
          <w:spacing w:val="-9"/>
        </w:rPr>
        <w:t xml:space="preserve"> </w:t>
      </w:r>
      <w:r>
        <w:t>or</w:t>
      </w:r>
      <w:r>
        <w:rPr>
          <w:spacing w:val="-10"/>
        </w:rPr>
        <w:t xml:space="preserve"> </w:t>
      </w:r>
      <w:r>
        <w:t>contributions</w:t>
      </w:r>
      <w:r>
        <w:rPr>
          <w:spacing w:val="-9"/>
        </w:rPr>
        <w:t xml:space="preserve"> </w:t>
      </w:r>
      <w:r>
        <w:t>which</w:t>
      </w:r>
      <w:r>
        <w:rPr>
          <w:spacing w:val="-11"/>
        </w:rPr>
        <w:t xml:space="preserve"> </w:t>
      </w:r>
      <w:r>
        <w:t>differ</w:t>
      </w:r>
      <w:r>
        <w:rPr>
          <w:spacing w:val="-11"/>
        </w:rPr>
        <w:t xml:space="preserve"> </w:t>
      </w:r>
      <w:r>
        <w:t>from</w:t>
      </w:r>
      <w:r>
        <w:rPr>
          <w:spacing w:val="-10"/>
        </w:rPr>
        <w:t xml:space="preserve"> </w:t>
      </w:r>
      <w:r>
        <w:t>the</w:t>
      </w:r>
      <w:r>
        <w:rPr>
          <w:spacing w:val="-11"/>
        </w:rPr>
        <w:t xml:space="preserve"> </w:t>
      </w:r>
      <w:r>
        <w:t>forecast, changes in the timing or scope of expenditure on major capital projects, or material differences in outturn demand.</w:t>
      </w:r>
      <w:r>
        <w:rPr>
          <w:spacing w:val="-3"/>
        </w:rPr>
        <w:t xml:space="preserve"> </w:t>
      </w:r>
      <w:r>
        <w:t>Exclusions</w:t>
      </w:r>
      <w:r>
        <w:rPr>
          <w:spacing w:val="-2"/>
        </w:rPr>
        <w:t xml:space="preserve"> </w:t>
      </w:r>
      <w:r>
        <w:t>would</w:t>
      </w:r>
      <w:r>
        <w:rPr>
          <w:spacing w:val="-2"/>
        </w:rPr>
        <w:t xml:space="preserve"> </w:t>
      </w:r>
      <w:r>
        <w:t>continue</w:t>
      </w:r>
      <w:r>
        <w:rPr>
          <w:spacing w:val="-4"/>
        </w:rPr>
        <w:t xml:space="preserve"> </w:t>
      </w:r>
      <w:r>
        <w:t>to</w:t>
      </w:r>
      <w:r>
        <w:rPr>
          <w:spacing w:val="-4"/>
        </w:rPr>
        <w:t xml:space="preserve"> </w:t>
      </w:r>
      <w:r>
        <w:t>apply,</w:t>
      </w:r>
      <w:r>
        <w:rPr>
          <w:spacing w:val="-4"/>
        </w:rPr>
        <w:t xml:space="preserve"> </w:t>
      </w:r>
      <w:r>
        <w:t>including</w:t>
      </w:r>
      <w:r>
        <w:rPr>
          <w:spacing w:val="-3"/>
        </w:rPr>
        <w:t xml:space="preserve"> </w:t>
      </w:r>
      <w:r>
        <w:t>matters</w:t>
      </w:r>
      <w:r>
        <w:rPr>
          <w:spacing w:val="-3"/>
        </w:rPr>
        <w:t xml:space="preserve"> </w:t>
      </w:r>
      <w:r>
        <w:t>which</w:t>
      </w:r>
      <w:r>
        <w:rPr>
          <w:spacing w:val="-3"/>
        </w:rPr>
        <w:t xml:space="preserve"> </w:t>
      </w:r>
      <w:r>
        <w:t>should</w:t>
      </w:r>
      <w:r>
        <w:rPr>
          <w:spacing w:val="-3"/>
        </w:rPr>
        <w:t xml:space="preserve"> </w:t>
      </w:r>
      <w:r>
        <w:t>have</w:t>
      </w:r>
      <w:r>
        <w:rPr>
          <w:spacing w:val="-4"/>
        </w:rPr>
        <w:t xml:space="preserve"> </w:t>
      </w:r>
      <w:r>
        <w:t>been</w:t>
      </w:r>
      <w:r>
        <w:rPr>
          <w:spacing w:val="-2"/>
        </w:rPr>
        <w:t xml:space="preserve"> </w:t>
      </w:r>
      <w:r>
        <w:t>known</w:t>
      </w:r>
      <w:r>
        <w:rPr>
          <w:spacing w:val="-3"/>
        </w:rPr>
        <w:t xml:space="preserve"> </w:t>
      </w:r>
      <w:r>
        <w:t>about</w:t>
      </w:r>
      <w:r>
        <w:rPr>
          <w:spacing w:val="-2"/>
        </w:rPr>
        <w:t xml:space="preserve"> </w:t>
      </w:r>
      <w:r>
        <w:t>or</w:t>
      </w:r>
      <w:r>
        <w:rPr>
          <w:spacing w:val="-3"/>
        </w:rPr>
        <w:t xml:space="preserve"> </w:t>
      </w:r>
      <w:r>
        <w:t>under LMW’s control, could have been planned for or managed by LMW or reflect inefficient expenditure.</w:t>
      </w:r>
    </w:p>
    <w:p w14:paraId="7071968F" w14:textId="77777777" w:rsidR="00141B97" w:rsidRDefault="00141B97">
      <w:pPr>
        <w:pStyle w:val="BodyText"/>
      </w:pPr>
    </w:p>
    <w:p w14:paraId="50A9E5B5" w14:textId="77777777" w:rsidR="00141B97" w:rsidRDefault="00911D63">
      <w:pPr>
        <w:pStyle w:val="BodyText"/>
        <w:ind w:left="113"/>
        <w:jc w:val="both"/>
      </w:pPr>
      <w:r>
        <w:t>A</w:t>
      </w:r>
      <w:r>
        <w:rPr>
          <w:spacing w:val="-7"/>
        </w:rPr>
        <w:t xml:space="preserve"> </w:t>
      </w:r>
      <w:r>
        <w:t>number</w:t>
      </w:r>
      <w:r>
        <w:rPr>
          <w:spacing w:val="-6"/>
        </w:rPr>
        <w:t xml:space="preserve"> </w:t>
      </w:r>
      <w:r>
        <w:t>of</w:t>
      </w:r>
      <w:r>
        <w:rPr>
          <w:spacing w:val="-4"/>
        </w:rPr>
        <w:t xml:space="preserve"> </w:t>
      </w:r>
      <w:r>
        <w:t>capital</w:t>
      </w:r>
      <w:r>
        <w:rPr>
          <w:spacing w:val="-5"/>
        </w:rPr>
        <w:t xml:space="preserve"> </w:t>
      </w:r>
      <w:r>
        <w:t>projects</w:t>
      </w:r>
      <w:r>
        <w:rPr>
          <w:spacing w:val="-7"/>
        </w:rPr>
        <w:t xml:space="preserve"> </w:t>
      </w:r>
      <w:r>
        <w:t>have</w:t>
      </w:r>
      <w:r>
        <w:rPr>
          <w:spacing w:val="-6"/>
        </w:rPr>
        <w:t xml:space="preserve"> </w:t>
      </w:r>
      <w:r>
        <w:t>been</w:t>
      </w:r>
      <w:r>
        <w:rPr>
          <w:spacing w:val="-5"/>
        </w:rPr>
        <w:t xml:space="preserve"> </w:t>
      </w:r>
      <w:r>
        <w:t>nominated</w:t>
      </w:r>
      <w:r>
        <w:rPr>
          <w:spacing w:val="-6"/>
        </w:rPr>
        <w:t xml:space="preserve"> </w:t>
      </w:r>
      <w:r>
        <w:t>as</w:t>
      </w:r>
      <w:r>
        <w:rPr>
          <w:spacing w:val="-6"/>
        </w:rPr>
        <w:t xml:space="preserve"> </w:t>
      </w:r>
      <w:r>
        <w:t>uncertain</w:t>
      </w:r>
      <w:r>
        <w:rPr>
          <w:spacing w:val="-6"/>
        </w:rPr>
        <w:t xml:space="preserve"> </w:t>
      </w:r>
      <w:r>
        <w:t>projects,</w:t>
      </w:r>
      <w:r>
        <w:rPr>
          <w:spacing w:val="-6"/>
        </w:rPr>
        <w:t xml:space="preserve"> </w:t>
      </w:r>
      <w:r>
        <w:t>as</w:t>
      </w:r>
      <w:r>
        <w:rPr>
          <w:spacing w:val="-6"/>
        </w:rPr>
        <w:t xml:space="preserve"> </w:t>
      </w:r>
      <w:r>
        <w:t>discussed</w:t>
      </w:r>
      <w:r>
        <w:rPr>
          <w:spacing w:val="-6"/>
        </w:rPr>
        <w:t xml:space="preserve"> </w:t>
      </w:r>
      <w:r>
        <w:t>in</w:t>
      </w:r>
      <w:r>
        <w:rPr>
          <w:spacing w:val="-7"/>
        </w:rPr>
        <w:t xml:space="preserve"> </w:t>
      </w:r>
      <w:r>
        <w:t>Section</w:t>
      </w:r>
      <w:r>
        <w:rPr>
          <w:spacing w:val="-6"/>
        </w:rPr>
        <w:t xml:space="preserve"> </w:t>
      </w:r>
      <w:r>
        <w:rPr>
          <w:spacing w:val="-2"/>
        </w:rPr>
        <w:t>4.4.3.</w:t>
      </w:r>
    </w:p>
    <w:p w14:paraId="20DE310A" w14:textId="77777777" w:rsidR="00141B97" w:rsidRDefault="00141B97">
      <w:pPr>
        <w:pStyle w:val="BodyText"/>
        <w:spacing w:before="8"/>
        <w:rPr>
          <w:sz w:val="20"/>
        </w:rPr>
      </w:pPr>
    </w:p>
    <w:p w14:paraId="070C0FC6" w14:textId="77777777" w:rsidR="00141B97" w:rsidRDefault="00911D63">
      <w:pPr>
        <w:pStyle w:val="ListParagraph"/>
        <w:numPr>
          <w:ilvl w:val="2"/>
          <w:numId w:val="81"/>
        </w:numPr>
        <w:tabs>
          <w:tab w:val="left" w:pos="1112"/>
          <w:tab w:val="left" w:pos="1113"/>
        </w:tabs>
        <w:jc w:val="both"/>
      </w:pPr>
      <w:r>
        <w:t>Trailing</w:t>
      </w:r>
      <w:r>
        <w:rPr>
          <w:spacing w:val="-4"/>
        </w:rPr>
        <w:t xml:space="preserve"> </w:t>
      </w:r>
      <w:r>
        <w:t>Cost</w:t>
      </w:r>
      <w:r>
        <w:rPr>
          <w:spacing w:val="-4"/>
        </w:rPr>
        <w:t xml:space="preserve"> </w:t>
      </w:r>
      <w:r>
        <w:t>of</w:t>
      </w:r>
      <w:r>
        <w:rPr>
          <w:spacing w:val="-6"/>
        </w:rPr>
        <w:t xml:space="preserve"> </w:t>
      </w:r>
      <w:r>
        <w:rPr>
          <w:spacing w:val="-4"/>
        </w:rPr>
        <w:t>Debt</w:t>
      </w:r>
    </w:p>
    <w:p w14:paraId="74C5C8D0" w14:textId="77777777" w:rsidR="00141B97" w:rsidRDefault="00911D63">
      <w:pPr>
        <w:pStyle w:val="BodyText"/>
        <w:spacing w:before="70" w:line="252" w:lineRule="auto"/>
        <w:ind w:left="114" w:right="949" w:hanging="1"/>
        <w:jc w:val="both"/>
      </w:pPr>
      <w:r>
        <w:t>The estimated cost of debt is based on the ESC’s approach, using a 10‐year trailing average cost of debt based on</w:t>
      </w:r>
      <w:r>
        <w:rPr>
          <w:spacing w:val="-1"/>
        </w:rPr>
        <w:t xml:space="preserve"> </w:t>
      </w:r>
      <w:r>
        <w:t>the Reserve</w:t>
      </w:r>
      <w:r>
        <w:rPr>
          <w:spacing w:val="-2"/>
        </w:rPr>
        <w:t xml:space="preserve"> </w:t>
      </w:r>
      <w:r>
        <w:t>Bank of Australia’s 10‐year BBB‐rated corporate bond</w:t>
      </w:r>
      <w:r>
        <w:rPr>
          <w:spacing w:val="-1"/>
        </w:rPr>
        <w:t xml:space="preserve"> </w:t>
      </w:r>
      <w:r>
        <w:t>rate.</w:t>
      </w:r>
      <w:r>
        <w:rPr>
          <w:spacing w:val="-1"/>
        </w:rPr>
        <w:t xml:space="preserve"> </w:t>
      </w:r>
      <w:r>
        <w:t>The historical</w:t>
      </w:r>
      <w:r>
        <w:rPr>
          <w:spacing w:val="-2"/>
        </w:rPr>
        <w:t xml:space="preserve"> </w:t>
      </w:r>
      <w:r>
        <w:t>cost of debt</w:t>
      </w:r>
      <w:r>
        <w:rPr>
          <w:spacing w:val="-1"/>
        </w:rPr>
        <w:t xml:space="preserve"> </w:t>
      </w:r>
      <w:r>
        <w:t>provided by the ESC is reproduced below in Table B39.</w:t>
      </w:r>
    </w:p>
    <w:p w14:paraId="62B5C201" w14:textId="77777777" w:rsidR="00141B97" w:rsidRDefault="00141B97">
      <w:pPr>
        <w:pStyle w:val="BodyText"/>
        <w:rPr>
          <w:sz w:val="20"/>
        </w:rPr>
      </w:pPr>
    </w:p>
    <w:p w14:paraId="71E096AC" w14:textId="77777777" w:rsidR="00141B97" w:rsidRDefault="00141B97">
      <w:pPr>
        <w:pStyle w:val="BodyText"/>
        <w:spacing w:before="2" w:after="1"/>
        <w:rPr>
          <w:sz w:val="11"/>
        </w:rPr>
      </w:pPr>
    </w:p>
    <w:tbl>
      <w:tblPr>
        <w:tblW w:w="0" w:type="auto"/>
        <w:tblCellSpacing w:w="4" w:type="dxa"/>
        <w:tblInd w:w="135" w:type="dxa"/>
        <w:tblLayout w:type="fixed"/>
        <w:tblCellMar>
          <w:left w:w="0" w:type="dxa"/>
          <w:right w:w="0" w:type="dxa"/>
        </w:tblCellMar>
        <w:tblLook w:val="01E0" w:firstRow="1" w:lastRow="1" w:firstColumn="1" w:lastColumn="1" w:noHBand="0" w:noVBand="0"/>
      </w:tblPr>
      <w:tblGrid>
        <w:gridCol w:w="854"/>
        <w:gridCol w:w="881"/>
        <w:gridCol w:w="901"/>
        <w:gridCol w:w="902"/>
        <w:gridCol w:w="901"/>
        <w:gridCol w:w="901"/>
        <w:gridCol w:w="901"/>
        <w:gridCol w:w="902"/>
        <w:gridCol w:w="901"/>
        <w:gridCol w:w="902"/>
        <w:gridCol w:w="904"/>
      </w:tblGrid>
      <w:tr w:rsidR="00141B97" w14:paraId="5F5A1FF2" w14:textId="77777777">
        <w:trPr>
          <w:trHeight w:val="435"/>
          <w:tblCellSpacing w:w="4" w:type="dxa"/>
        </w:trPr>
        <w:tc>
          <w:tcPr>
            <w:tcW w:w="842" w:type="dxa"/>
            <w:tcBorders>
              <w:top w:val="nil"/>
              <w:left w:val="nil"/>
            </w:tcBorders>
            <w:shd w:val="clear" w:color="auto" w:fill="0064A4"/>
          </w:tcPr>
          <w:p w14:paraId="50013D6B" w14:textId="77777777" w:rsidR="00141B97" w:rsidRDefault="00141B97">
            <w:pPr>
              <w:pStyle w:val="TableParagraph"/>
              <w:rPr>
                <w:rFonts w:ascii="Times New Roman"/>
                <w:sz w:val="20"/>
              </w:rPr>
            </w:pPr>
          </w:p>
        </w:tc>
        <w:tc>
          <w:tcPr>
            <w:tcW w:w="873" w:type="dxa"/>
            <w:tcBorders>
              <w:top w:val="nil"/>
              <w:right w:val="nil"/>
            </w:tcBorders>
            <w:shd w:val="clear" w:color="auto" w:fill="0064A4"/>
          </w:tcPr>
          <w:p w14:paraId="5A9E124D" w14:textId="77777777" w:rsidR="00141B97" w:rsidRDefault="00911D63">
            <w:pPr>
              <w:pStyle w:val="TableParagraph"/>
              <w:spacing w:before="108"/>
              <w:ind w:right="123"/>
              <w:jc w:val="right"/>
              <w:rPr>
                <w:sz w:val="18"/>
              </w:rPr>
            </w:pPr>
            <w:r>
              <w:rPr>
                <w:color w:val="FFFFFF"/>
                <w:spacing w:val="-2"/>
                <w:sz w:val="18"/>
              </w:rPr>
              <w:t>2013‐14</w:t>
            </w:r>
          </w:p>
        </w:tc>
        <w:tc>
          <w:tcPr>
            <w:tcW w:w="893" w:type="dxa"/>
            <w:tcBorders>
              <w:top w:val="nil"/>
              <w:left w:val="nil"/>
              <w:right w:val="nil"/>
            </w:tcBorders>
            <w:shd w:val="clear" w:color="auto" w:fill="0064A4"/>
          </w:tcPr>
          <w:p w14:paraId="7D310B68" w14:textId="77777777" w:rsidR="00141B97" w:rsidRDefault="00911D63">
            <w:pPr>
              <w:pStyle w:val="TableParagraph"/>
              <w:spacing w:before="108"/>
              <w:ind w:right="134"/>
              <w:jc w:val="right"/>
              <w:rPr>
                <w:sz w:val="18"/>
              </w:rPr>
            </w:pPr>
            <w:r>
              <w:rPr>
                <w:color w:val="FFFFFF"/>
                <w:spacing w:val="-2"/>
                <w:sz w:val="18"/>
              </w:rPr>
              <w:t>2014‐15</w:t>
            </w:r>
          </w:p>
        </w:tc>
        <w:tc>
          <w:tcPr>
            <w:tcW w:w="894" w:type="dxa"/>
            <w:tcBorders>
              <w:top w:val="nil"/>
              <w:left w:val="nil"/>
            </w:tcBorders>
            <w:shd w:val="clear" w:color="auto" w:fill="0064A4"/>
          </w:tcPr>
          <w:p w14:paraId="5D8F8326" w14:textId="77777777" w:rsidR="00141B97" w:rsidRDefault="00911D63">
            <w:pPr>
              <w:pStyle w:val="TableParagraph"/>
              <w:spacing w:before="108"/>
              <w:ind w:right="134"/>
              <w:jc w:val="right"/>
              <w:rPr>
                <w:sz w:val="18"/>
              </w:rPr>
            </w:pPr>
            <w:r>
              <w:rPr>
                <w:color w:val="FFFFFF"/>
                <w:spacing w:val="-2"/>
                <w:sz w:val="18"/>
              </w:rPr>
              <w:t>2015‐16</w:t>
            </w:r>
          </w:p>
        </w:tc>
        <w:tc>
          <w:tcPr>
            <w:tcW w:w="893" w:type="dxa"/>
            <w:tcBorders>
              <w:top w:val="nil"/>
            </w:tcBorders>
            <w:shd w:val="clear" w:color="auto" w:fill="0064A4"/>
          </w:tcPr>
          <w:p w14:paraId="65A73812" w14:textId="77777777" w:rsidR="00141B97" w:rsidRDefault="00911D63">
            <w:pPr>
              <w:pStyle w:val="TableParagraph"/>
              <w:spacing w:before="108"/>
              <w:ind w:right="137"/>
              <w:jc w:val="right"/>
              <w:rPr>
                <w:sz w:val="18"/>
              </w:rPr>
            </w:pPr>
            <w:r>
              <w:rPr>
                <w:color w:val="FFFFFF"/>
                <w:spacing w:val="-2"/>
                <w:sz w:val="18"/>
              </w:rPr>
              <w:t>2016‐17</w:t>
            </w:r>
          </w:p>
        </w:tc>
        <w:tc>
          <w:tcPr>
            <w:tcW w:w="893" w:type="dxa"/>
            <w:tcBorders>
              <w:top w:val="nil"/>
            </w:tcBorders>
            <w:shd w:val="clear" w:color="auto" w:fill="0064A4"/>
          </w:tcPr>
          <w:p w14:paraId="5B1F00A0" w14:textId="77777777" w:rsidR="00141B97" w:rsidRDefault="00911D63">
            <w:pPr>
              <w:pStyle w:val="TableParagraph"/>
              <w:spacing w:before="108"/>
              <w:ind w:right="137"/>
              <w:jc w:val="right"/>
              <w:rPr>
                <w:sz w:val="18"/>
              </w:rPr>
            </w:pPr>
            <w:r>
              <w:rPr>
                <w:color w:val="FFFFFF"/>
                <w:spacing w:val="-2"/>
                <w:sz w:val="18"/>
              </w:rPr>
              <w:t>2017‐18</w:t>
            </w:r>
          </w:p>
        </w:tc>
        <w:tc>
          <w:tcPr>
            <w:tcW w:w="893" w:type="dxa"/>
            <w:tcBorders>
              <w:top w:val="nil"/>
            </w:tcBorders>
            <w:shd w:val="clear" w:color="auto" w:fill="0064A4"/>
          </w:tcPr>
          <w:p w14:paraId="4F67DE27" w14:textId="77777777" w:rsidR="00141B97" w:rsidRDefault="00911D63">
            <w:pPr>
              <w:pStyle w:val="TableParagraph"/>
              <w:spacing w:before="108"/>
              <w:ind w:right="137"/>
              <w:jc w:val="right"/>
              <w:rPr>
                <w:sz w:val="18"/>
              </w:rPr>
            </w:pPr>
            <w:r>
              <w:rPr>
                <w:color w:val="FFFFFF"/>
                <w:spacing w:val="-2"/>
                <w:sz w:val="18"/>
              </w:rPr>
              <w:t>2018‐19</w:t>
            </w:r>
          </w:p>
        </w:tc>
        <w:tc>
          <w:tcPr>
            <w:tcW w:w="894" w:type="dxa"/>
            <w:tcBorders>
              <w:top w:val="nil"/>
              <w:right w:val="nil"/>
            </w:tcBorders>
            <w:shd w:val="clear" w:color="auto" w:fill="0064A4"/>
          </w:tcPr>
          <w:p w14:paraId="5EC26AD0" w14:textId="77777777" w:rsidR="00141B97" w:rsidRDefault="00911D63">
            <w:pPr>
              <w:pStyle w:val="TableParagraph"/>
              <w:spacing w:before="108"/>
              <w:ind w:right="136"/>
              <w:jc w:val="right"/>
              <w:rPr>
                <w:sz w:val="18"/>
              </w:rPr>
            </w:pPr>
            <w:r>
              <w:rPr>
                <w:color w:val="FFFFFF"/>
                <w:spacing w:val="-2"/>
                <w:sz w:val="18"/>
              </w:rPr>
              <w:t>2019‐20</w:t>
            </w:r>
          </w:p>
        </w:tc>
        <w:tc>
          <w:tcPr>
            <w:tcW w:w="893" w:type="dxa"/>
            <w:tcBorders>
              <w:top w:val="nil"/>
              <w:left w:val="nil"/>
              <w:right w:val="nil"/>
            </w:tcBorders>
            <w:shd w:val="clear" w:color="auto" w:fill="0064A4"/>
          </w:tcPr>
          <w:p w14:paraId="638895F0" w14:textId="77777777" w:rsidR="00141B97" w:rsidRDefault="00911D63">
            <w:pPr>
              <w:pStyle w:val="TableParagraph"/>
              <w:spacing w:before="108"/>
              <w:ind w:right="136"/>
              <w:jc w:val="right"/>
              <w:rPr>
                <w:sz w:val="18"/>
              </w:rPr>
            </w:pPr>
            <w:r>
              <w:rPr>
                <w:color w:val="FFFFFF"/>
                <w:spacing w:val="-2"/>
                <w:sz w:val="18"/>
              </w:rPr>
              <w:t>2020‐21</w:t>
            </w:r>
          </w:p>
        </w:tc>
        <w:tc>
          <w:tcPr>
            <w:tcW w:w="894" w:type="dxa"/>
            <w:tcBorders>
              <w:top w:val="nil"/>
              <w:left w:val="nil"/>
            </w:tcBorders>
            <w:shd w:val="clear" w:color="auto" w:fill="0064A4"/>
          </w:tcPr>
          <w:p w14:paraId="09ECF301" w14:textId="77777777" w:rsidR="00141B97" w:rsidRDefault="00911D63">
            <w:pPr>
              <w:pStyle w:val="TableParagraph"/>
              <w:spacing w:before="108"/>
              <w:ind w:right="136"/>
              <w:jc w:val="right"/>
              <w:rPr>
                <w:sz w:val="18"/>
              </w:rPr>
            </w:pPr>
            <w:r>
              <w:rPr>
                <w:color w:val="FFFFFF"/>
                <w:spacing w:val="-2"/>
                <w:sz w:val="18"/>
              </w:rPr>
              <w:t>2021‐22</w:t>
            </w:r>
          </w:p>
        </w:tc>
        <w:tc>
          <w:tcPr>
            <w:tcW w:w="892" w:type="dxa"/>
            <w:tcBorders>
              <w:top w:val="nil"/>
              <w:right w:val="nil"/>
            </w:tcBorders>
            <w:shd w:val="clear" w:color="auto" w:fill="0064A4"/>
          </w:tcPr>
          <w:p w14:paraId="62332688" w14:textId="77777777" w:rsidR="00141B97" w:rsidRDefault="00911D63">
            <w:pPr>
              <w:pStyle w:val="TableParagraph"/>
              <w:spacing w:before="108"/>
              <w:ind w:right="145"/>
              <w:jc w:val="right"/>
              <w:rPr>
                <w:sz w:val="18"/>
              </w:rPr>
            </w:pPr>
            <w:r>
              <w:rPr>
                <w:color w:val="FFFFFF"/>
                <w:spacing w:val="-2"/>
                <w:sz w:val="18"/>
              </w:rPr>
              <w:t>2022‐23</w:t>
            </w:r>
          </w:p>
        </w:tc>
      </w:tr>
      <w:tr w:rsidR="00141B97" w14:paraId="6EE1587E" w14:textId="77777777">
        <w:trPr>
          <w:trHeight w:val="629"/>
          <w:tblCellSpacing w:w="4" w:type="dxa"/>
        </w:trPr>
        <w:tc>
          <w:tcPr>
            <w:tcW w:w="842" w:type="dxa"/>
            <w:tcBorders>
              <w:left w:val="nil"/>
              <w:bottom w:val="nil"/>
            </w:tcBorders>
            <w:shd w:val="clear" w:color="auto" w:fill="CCE2ED"/>
          </w:tcPr>
          <w:p w14:paraId="1F888060" w14:textId="77777777" w:rsidR="00141B97" w:rsidRDefault="00911D63">
            <w:pPr>
              <w:pStyle w:val="TableParagraph"/>
              <w:spacing w:before="96"/>
              <w:ind w:left="98"/>
              <w:rPr>
                <w:sz w:val="18"/>
              </w:rPr>
            </w:pPr>
            <w:r>
              <w:rPr>
                <w:sz w:val="18"/>
              </w:rPr>
              <w:t>Cost</w:t>
            </w:r>
            <w:r>
              <w:rPr>
                <w:spacing w:val="-11"/>
                <w:sz w:val="18"/>
              </w:rPr>
              <w:t xml:space="preserve"> </w:t>
            </w:r>
            <w:r>
              <w:rPr>
                <w:sz w:val="18"/>
              </w:rPr>
              <w:t xml:space="preserve">of </w:t>
            </w:r>
            <w:r>
              <w:rPr>
                <w:spacing w:val="-2"/>
                <w:sz w:val="18"/>
              </w:rPr>
              <w:t>debt*</w:t>
            </w:r>
          </w:p>
        </w:tc>
        <w:tc>
          <w:tcPr>
            <w:tcW w:w="873" w:type="dxa"/>
            <w:tcBorders>
              <w:bottom w:val="nil"/>
              <w:right w:val="nil"/>
            </w:tcBorders>
            <w:shd w:val="clear" w:color="auto" w:fill="CCE2ED"/>
          </w:tcPr>
          <w:p w14:paraId="52B1A735" w14:textId="77777777" w:rsidR="00141B97" w:rsidRDefault="00141B97">
            <w:pPr>
              <w:pStyle w:val="TableParagraph"/>
              <w:spacing w:before="9"/>
              <w:rPr>
                <w:sz w:val="16"/>
              </w:rPr>
            </w:pPr>
          </w:p>
          <w:p w14:paraId="04688F46" w14:textId="77777777" w:rsidR="00141B97" w:rsidRDefault="00911D63">
            <w:pPr>
              <w:pStyle w:val="TableParagraph"/>
              <w:spacing w:before="1"/>
              <w:ind w:right="97"/>
              <w:jc w:val="right"/>
              <w:rPr>
                <w:sz w:val="18"/>
              </w:rPr>
            </w:pPr>
            <w:r>
              <w:rPr>
                <w:spacing w:val="-4"/>
                <w:sz w:val="18"/>
              </w:rPr>
              <w:t>7.1%</w:t>
            </w:r>
          </w:p>
        </w:tc>
        <w:tc>
          <w:tcPr>
            <w:tcW w:w="893" w:type="dxa"/>
            <w:tcBorders>
              <w:left w:val="nil"/>
              <w:bottom w:val="nil"/>
              <w:right w:val="nil"/>
            </w:tcBorders>
            <w:shd w:val="clear" w:color="auto" w:fill="CCE2ED"/>
          </w:tcPr>
          <w:p w14:paraId="3A4D1CF0" w14:textId="77777777" w:rsidR="00141B97" w:rsidRDefault="00141B97">
            <w:pPr>
              <w:pStyle w:val="TableParagraph"/>
              <w:spacing w:before="9"/>
              <w:rPr>
                <w:sz w:val="16"/>
              </w:rPr>
            </w:pPr>
          </w:p>
          <w:p w14:paraId="3B5BF8FB" w14:textId="77777777" w:rsidR="00141B97" w:rsidRDefault="00911D63">
            <w:pPr>
              <w:pStyle w:val="TableParagraph"/>
              <w:spacing w:before="1"/>
              <w:ind w:right="98"/>
              <w:jc w:val="right"/>
              <w:rPr>
                <w:sz w:val="18"/>
              </w:rPr>
            </w:pPr>
            <w:r>
              <w:rPr>
                <w:spacing w:val="-4"/>
                <w:sz w:val="18"/>
              </w:rPr>
              <w:t>5.4%</w:t>
            </w:r>
          </w:p>
        </w:tc>
        <w:tc>
          <w:tcPr>
            <w:tcW w:w="894" w:type="dxa"/>
            <w:tcBorders>
              <w:left w:val="nil"/>
              <w:bottom w:val="nil"/>
            </w:tcBorders>
            <w:shd w:val="clear" w:color="auto" w:fill="CCE2ED"/>
          </w:tcPr>
          <w:p w14:paraId="526B8E33" w14:textId="77777777" w:rsidR="00141B97" w:rsidRDefault="00141B97">
            <w:pPr>
              <w:pStyle w:val="TableParagraph"/>
              <w:spacing w:before="9"/>
              <w:rPr>
                <w:sz w:val="16"/>
              </w:rPr>
            </w:pPr>
          </w:p>
          <w:p w14:paraId="033B0C47" w14:textId="77777777" w:rsidR="00141B97" w:rsidRDefault="00911D63">
            <w:pPr>
              <w:pStyle w:val="TableParagraph"/>
              <w:spacing w:before="1"/>
              <w:ind w:right="98"/>
              <w:jc w:val="right"/>
              <w:rPr>
                <w:sz w:val="18"/>
              </w:rPr>
            </w:pPr>
            <w:r>
              <w:rPr>
                <w:spacing w:val="-4"/>
                <w:sz w:val="18"/>
              </w:rPr>
              <w:t>5.3%</w:t>
            </w:r>
          </w:p>
        </w:tc>
        <w:tc>
          <w:tcPr>
            <w:tcW w:w="893" w:type="dxa"/>
            <w:tcBorders>
              <w:bottom w:val="nil"/>
            </w:tcBorders>
            <w:shd w:val="clear" w:color="auto" w:fill="CCE2ED"/>
          </w:tcPr>
          <w:p w14:paraId="0B52B9CA" w14:textId="77777777" w:rsidR="00141B97" w:rsidRDefault="00141B97">
            <w:pPr>
              <w:pStyle w:val="TableParagraph"/>
              <w:spacing w:before="9"/>
              <w:rPr>
                <w:sz w:val="16"/>
              </w:rPr>
            </w:pPr>
          </w:p>
          <w:p w14:paraId="7FAE447C" w14:textId="77777777" w:rsidR="00141B97" w:rsidRDefault="00911D63">
            <w:pPr>
              <w:pStyle w:val="TableParagraph"/>
              <w:spacing w:before="1"/>
              <w:ind w:right="101"/>
              <w:jc w:val="right"/>
              <w:rPr>
                <w:sz w:val="18"/>
              </w:rPr>
            </w:pPr>
            <w:r>
              <w:rPr>
                <w:spacing w:val="-4"/>
                <w:sz w:val="18"/>
              </w:rPr>
              <w:t>4.9%</w:t>
            </w:r>
          </w:p>
        </w:tc>
        <w:tc>
          <w:tcPr>
            <w:tcW w:w="893" w:type="dxa"/>
            <w:tcBorders>
              <w:bottom w:val="nil"/>
            </w:tcBorders>
            <w:shd w:val="clear" w:color="auto" w:fill="CCE2ED"/>
          </w:tcPr>
          <w:p w14:paraId="5B865288" w14:textId="77777777" w:rsidR="00141B97" w:rsidRDefault="00141B97">
            <w:pPr>
              <w:pStyle w:val="TableParagraph"/>
              <w:spacing w:before="9"/>
              <w:rPr>
                <w:sz w:val="16"/>
              </w:rPr>
            </w:pPr>
          </w:p>
          <w:p w14:paraId="4B1901F3" w14:textId="77777777" w:rsidR="00141B97" w:rsidRDefault="00911D63">
            <w:pPr>
              <w:pStyle w:val="TableParagraph"/>
              <w:spacing w:before="1"/>
              <w:ind w:right="101"/>
              <w:jc w:val="right"/>
              <w:rPr>
                <w:sz w:val="18"/>
              </w:rPr>
            </w:pPr>
            <w:r>
              <w:rPr>
                <w:spacing w:val="-4"/>
                <w:sz w:val="18"/>
              </w:rPr>
              <w:t>4.5%</w:t>
            </w:r>
          </w:p>
        </w:tc>
        <w:tc>
          <w:tcPr>
            <w:tcW w:w="893" w:type="dxa"/>
            <w:tcBorders>
              <w:bottom w:val="nil"/>
            </w:tcBorders>
            <w:shd w:val="clear" w:color="auto" w:fill="CCE2ED"/>
          </w:tcPr>
          <w:p w14:paraId="196C9940" w14:textId="77777777" w:rsidR="00141B97" w:rsidRDefault="00141B97">
            <w:pPr>
              <w:pStyle w:val="TableParagraph"/>
              <w:spacing w:before="9"/>
              <w:rPr>
                <w:sz w:val="16"/>
              </w:rPr>
            </w:pPr>
          </w:p>
          <w:p w14:paraId="763FFB26" w14:textId="77777777" w:rsidR="00141B97" w:rsidRDefault="00911D63">
            <w:pPr>
              <w:pStyle w:val="TableParagraph"/>
              <w:spacing w:before="1"/>
              <w:ind w:right="101"/>
              <w:jc w:val="right"/>
              <w:rPr>
                <w:sz w:val="18"/>
              </w:rPr>
            </w:pPr>
            <w:r>
              <w:rPr>
                <w:spacing w:val="-4"/>
                <w:sz w:val="18"/>
              </w:rPr>
              <w:t>4.6%</w:t>
            </w:r>
          </w:p>
        </w:tc>
        <w:tc>
          <w:tcPr>
            <w:tcW w:w="894" w:type="dxa"/>
            <w:tcBorders>
              <w:bottom w:val="nil"/>
              <w:right w:val="nil"/>
            </w:tcBorders>
            <w:shd w:val="clear" w:color="auto" w:fill="CCE2ED"/>
          </w:tcPr>
          <w:p w14:paraId="0F92C4EA" w14:textId="77777777" w:rsidR="00141B97" w:rsidRDefault="00141B97">
            <w:pPr>
              <w:pStyle w:val="TableParagraph"/>
              <w:spacing w:before="9"/>
              <w:rPr>
                <w:sz w:val="16"/>
              </w:rPr>
            </w:pPr>
          </w:p>
          <w:p w14:paraId="0C98EBE6" w14:textId="77777777" w:rsidR="00141B97" w:rsidRDefault="00911D63">
            <w:pPr>
              <w:pStyle w:val="TableParagraph"/>
              <w:spacing w:before="1"/>
              <w:ind w:right="100"/>
              <w:jc w:val="right"/>
              <w:rPr>
                <w:sz w:val="18"/>
              </w:rPr>
            </w:pPr>
            <w:r>
              <w:rPr>
                <w:spacing w:val="-4"/>
                <w:sz w:val="18"/>
              </w:rPr>
              <w:t>3.3%</w:t>
            </w:r>
          </w:p>
        </w:tc>
        <w:tc>
          <w:tcPr>
            <w:tcW w:w="893" w:type="dxa"/>
            <w:tcBorders>
              <w:left w:val="nil"/>
              <w:bottom w:val="nil"/>
              <w:right w:val="nil"/>
            </w:tcBorders>
            <w:shd w:val="clear" w:color="auto" w:fill="CCE2ED"/>
          </w:tcPr>
          <w:p w14:paraId="619E9472" w14:textId="77777777" w:rsidR="00141B97" w:rsidRDefault="00141B97">
            <w:pPr>
              <w:pStyle w:val="TableParagraph"/>
              <w:spacing w:before="9"/>
              <w:rPr>
                <w:sz w:val="16"/>
              </w:rPr>
            </w:pPr>
          </w:p>
          <w:p w14:paraId="1BB1B49B" w14:textId="77777777" w:rsidR="00141B97" w:rsidRDefault="00911D63">
            <w:pPr>
              <w:pStyle w:val="TableParagraph"/>
              <w:spacing w:before="1"/>
              <w:ind w:right="100"/>
              <w:jc w:val="right"/>
              <w:rPr>
                <w:sz w:val="18"/>
              </w:rPr>
            </w:pPr>
            <w:r>
              <w:rPr>
                <w:spacing w:val="-4"/>
                <w:sz w:val="18"/>
              </w:rPr>
              <w:t>3.0%</w:t>
            </w:r>
          </w:p>
        </w:tc>
        <w:tc>
          <w:tcPr>
            <w:tcW w:w="894" w:type="dxa"/>
            <w:tcBorders>
              <w:left w:val="nil"/>
              <w:bottom w:val="nil"/>
            </w:tcBorders>
            <w:shd w:val="clear" w:color="auto" w:fill="CCE2ED"/>
          </w:tcPr>
          <w:p w14:paraId="0B6A53F6" w14:textId="77777777" w:rsidR="00141B97" w:rsidRDefault="00141B97">
            <w:pPr>
              <w:pStyle w:val="TableParagraph"/>
              <w:spacing w:before="9"/>
              <w:rPr>
                <w:sz w:val="16"/>
              </w:rPr>
            </w:pPr>
          </w:p>
          <w:p w14:paraId="0923B9F2" w14:textId="77777777" w:rsidR="00141B97" w:rsidRDefault="00911D63">
            <w:pPr>
              <w:pStyle w:val="TableParagraph"/>
              <w:spacing w:before="1"/>
              <w:ind w:right="100"/>
              <w:jc w:val="right"/>
              <w:rPr>
                <w:sz w:val="18"/>
              </w:rPr>
            </w:pPr>
            <w:r>
              <w:rPr>
                <w:spacing w:val="-4"/>
                <w:sz w:val="18"/>
              </w:rPr>
              <w:t>3.8%</w:t>
            </w:r>
          </w:p>
        </w:tc>
        <w:tc>
          <w:tcPr>
            <w:tcW w:w="892" w:type="dxa"/>
            <w:tcBorders>
              <w:bottom w:val="nil"/>
              <w:right w:val="nil"/>
            </w:tcBorders>
            <w:shd w:val="clear" w:color="auto" w:fill="CCE2ED"/>
          </w:tcPr>
          <w:p w14:paraId="3AA12785" w14:textId="77777777" w:rsidR="00141B97" w:rsidRDefault="00141B97">
            <w:pPr>
              <w:pStyle w:val="TableParagraph"/>
              <w:spacing w:before="9"/>
              <w:rPr>
                <w:sz w:val="16"/>
              </w:rPr>
            </w:pPr>
          </w:p>
          <w:p w14:paraId="5375F268" w14:textId="77777777" w:rsidR="00141B97" w:rsidRDefault="00911D63">
            <w:pPr>
              <w:pStyle w:val="TableParagraph"/>
              <w:spacing w:before="1"/>
              <w:ind w:right="116"/>
              <w:jc w:val="right"/>
              <w:rPr>
                <w:sz w:val="18"/>
              </w:rPr>
            </w:pPr>
            <w:r>
              <w:rPr>
                <w:spacing w:val="-4"/>
                <w:sz w:val="18"/>
              </w:rPr>
              <w:t>3.8%</w:t>
            </w:r>
          </w:p>
        </w:tc>
      </w:tr>
    </w:tbl>
    <w:p w14:paraId="560CDC5F" w14:textId="77777777" w:rsidR="00141B97" w:rsidRDefault="00911D63">
      <w:pPr>
        <w:spacing w:before="11"/>
        <w:ind w:left="226"/>
        <w:rPr>
          <w:sz w:val="16"/>
        </w:rPr>
      </w:pPr>
      <w:r>
        <w:rPr>
          <w:sz w:val="16"/>
        </w:rPr>
        <w:t>*</w:t>
      </w:r>
      <w:r>
        <w:rPr>
          <w:spacing w:val="-4"/>
          <w:sz w:val="16"/>
        </w:rPr>
        <w:t xml:space="preserve"> </w:t>
      </w:r>
      <w:r>
        <w:rPr>
          <w:sz w:val="16"/>
        </w:rPr>
        <w:t>To</w:t>
      </w:r>
      <w:r>
        <w:rPr>
          <w:spacing w:val="-4"/>
          <w:sz w:val="16"/>
        </w:rPr>
        <w:t xml:space="preserve"> </w:t>
      </w:r>
      <w:r>
        <w:rPr>
          <w:sz w:val="16"/>
        </w:rPr>
        <w:t>be</w:t>
      </w:r>
      <w:r>
        <w:rPr>
          <w:spacing w:val="-3"/>
          <w:sz w:val="16"/>
        </w:rPr>
        <w:t xml:space="preserve"> </w:t>
      </w:r>
      <w:r>
        <w:rPr>
          <w:sz w:val="16"/>
        </w:rPr>
        <w:t>updated</w:t>
      </w:r>
      <w:r>
        <w:rPr>
          <w:spacing w:val="-4"/>
          <w:sz w:val="16"/>
        </w:rPr>
        <w:t xml:space="preserve"> </w:t>
      </w:r>
      <w:r>
        <w:rPr>
          <w:sz w:val="16"/>
        </w:rPr>
        <w:t>by</w:t>
      </w:r>
      <w:r>
        <w:rPr>
          <w:spacing w:val="-3"/>
          <w:sz w:val="16"/>
        </w:rPr>
        <w:t xml:space="preserve"> </w:t>
      </w:r>
      <w:r>
        <w:rPr>
          <w:sz w:val="16"/>
        </w:rPr>
        <w:t>ESC</w:t>
      </w:r>
      <w:r>
        <w:rPr>
          <w:spacing w:val="-4"/>
          <w:sz w:val="16"/>
        </w:rPr>
        <w:t xml:space="preserve"> </w:t>
      </w:r>
      <w:r>
        <w:rPr>
          <w:sz w:val="16"/>
        </w:rPr>
        <w:t>prior</w:t>
      </w:r>
      <w:r>
        <w:rPr>
          <w:spacing w:val="-4"/>
          <w:sz w:val="16"/>
        </w:rPr>
        <w:t xml:space="preserve"> </w:t>
      </w:r>
      <w:r>
        <w:rPr>
          <w:sz w:val="16"/>
        </w:rPr>
        <w:t>to</w:t>
      </w:r>
      <w:r>
        <w:rPr>
          <w:spacing w:val="-4"/>
          <w:sz w:val="16"/>
        </w:rPr>
        <w:t xml:space="preserve"> </w:t>
      </w:r>
      <w:r>
        <w:rPr>
          <w:sz w:val="16"/>
        </w:rPr>
        <w:t>the</w:t>
      </w:r>
      <w:r>
        <w:rPr>
          <w:spacing w:val="-2"/>
          <w:sz w:val="16"/>
        </w:rPr>
        <w:t xml:space="preserve"> </w:t>
      </w:r>
      <w:r>
        <w:rPr>
          <w:sz w:val="16"/>
        </w:rPr>
        <w:t>ESC’s</w:t>
      </w:r>
      <w:r>
        <w:rPr>
          <w:spacing w:val="-3"/>
          <w:sz w:val="16"/>
        </w:rPr>
        <w:t xml:space="preserve"> </w:t>
      </w:r>
      <w:r>
        <w:rPr>
          <w:sz w:val="16"/>
        </w:rPr>
        <w:t>Final</w:t>
      </w:r>
      <w:r>
        <w:rPr>
          <w:spacing w:val="-3"/>
          <w:sz w:val="16"/>
        </w:rPr>
        <w:t xml:space="preserve"> </w:t>
      </w:r>
      <w:r>
        <w:rPr>
          <w:spacing w:val="-2"/>
          <w:sz w:val="16"/>
        </w:rPr>
        <w:t>Decision</w:t>
      </w:r>
    </w:p>
    <w:p w14:paraId="466F196E" w14:textId="77777777" w:rsidR="00141B97" w:rsidRDefault="00911D63">
      <w:pPr>
        <w:spacing w:before="38"/>
        <w:ind w:left="114"/>
        <w:jc w:val="both"/>
        <w:rPr>
          <w:sz w:val="16"/>
        </w:rPr>
      </w:pPr>
      <w:r>
        <w:rPr>
          <w:sz w:val="16"/>
        </w:rPr>
        <w:t>Table</w:t>
      </w:r>
      <w:r>
        <w:rPr>
          <w:spacing w:val="-5"/>
          <w:sz w:val="16"/>
        </w:rPr>
        <w:t xml:space="preserve"> </w:t>
      </w:r>
      <w:r>
        <w:rPr>
          <w:sz w:val="16"/>
        </w:rPr>
        <w:t>B39:</w:t>
      </w:r>
      <w:r>
        <w:rPr>
          <w:spacing w:val="-4"/>
          <w:sz w:val="16"/>
        </w:rPr>
        <w:t xml:space="preserve"> </w:t>
      </w:r>
      <w:r>
        <w:rPr>
          <w:sz w:val="16"/>
        </w:rPr>
        <w:t>Historical</w:t>
      </w:r>
      <w:r>
        <w:rPr>
          <w:spacing w:val="-5"/>
          <w:sz w:val="16"/>
        </w:rPr>
        <w:t xml:space="preserve"> </w:t>
      </w:r>
      <w:r>
        <w:rPr>
          <w:sz w:val="16"/>
        </w:rPr>
        <w:t>Cost</w:t>
      </w:r>
      <w:r>
        <w:rPr>
          <w:spacing w:val="-4"/>
          <w:sz w:val="16"/>
        </w:rPr>
        <w:t xml:space="preserve"> </w:t>
      </w:r>
      <w:r>
        <w:rPr>
          <w:sz w:val="16"/>
        </w:rPr>
        <w:t>of</w:t>
      </w:r>
      <w:r>
        <w:rPr>
          <w:spacing w:val="-6"/>
          <w:sz w:val="16"/>
        </w:rPr>
        <w:t xml:space="preserve"> </w:t>
      </w:r>
      <w:r>
        <w:rPr>
          <w:sz w:val="16"/>
        </w:rPr>
        <w:t>Debt</w:t>
      </w:r>
      <w:r>
        <w:rPr>
          <w:spacing w:val="-5"/>
          <w:sz w:val="16"/>
        </w:rPr>
        <w:t xml:space="preserve"> </w:t>
      </w:r>
      <w:r>
        <w:rPr>
          <w:sz w:val="16"/>
        </w:rPr>
        <w:t>(Annual</w:t>
      </w:r>
      <w:r>
        <w:rPr>
          <w:spacing w:val="-6"/>
          <w:sz w:val="16"/>
        </w:rPr>
        <w:t xml:space="preserve"> </w:t>
      </w:r>
      <w:r>
        <w:rPr>
          <w:sz w:val="16"/>
        </w:rPr>
        <w:t>Nominal</w:t>
      </w:r>
      <w:r>
        <w:rPr>
          <w:spacing w:val="-6"/>
          <w:sz w:val="16"/>
        </w:rPr>
        <w:t xml:space="preserve"> </w:t>
      </w:r>
      <w:r>
        <w:rPr>
          <w:sz w:val="16"/>
        </w:rPr>
        <w:t>Values</w:t>
      </w:r>
      <w:r>
        <w:rPr>
          <w:spacing w:val="-6"/>
          <w:sz w:val="16"/>
        </w:rPr>
        <w:t xml:space="preserve"> </w:t>
      </w:r>
      <w:r>
        <w:rPr>
          <w:sz w:val="16"/>
        </w:rPr>
        <w:t>for</w:t>
      </w:r>
      <w:r>
        <w:rPr>
          <w:spacing w:val="-5"/>
          <w:sz w:val="16"/>
        </w:rPr>
        <w:t xml:space="preserve"> </w:t>
      </w:r>
      <w:r>
        <w:rPr>
          <w:sz w:val="16"/>
        </w:rPr>
        <w:t>Calculating</w:t>
      </w:r>
      <w:r>
        <w:rPr>
          <w:spacing w:val="-5"/>
          <w:sz w:val="16"/>
        </w:rPr>
        <w:t xml:space="preserve"> </w:t>
      </w:r>
      <w:r>
        <w:rPr>
          <w:sz w:val="16"/>
        </w:rPr>
        <w:t>Trailing</w:t>
      </w:r>
      <w:r>
        <w:rPr>
          <w:spacing w:val="-5"/>
          <w:sz w:val="16"/>
        </w:rPr>
        <w:t xml:space="preserve"> </w:t>
      </w:r>
      <w:r>
        <w:rPr>
          <w:spacing w:val="-2"/>
          <w:sz w:val="16"/>
        </w:rPr>
        <w:t>Average)</w:t>
      </w:r>
    </w:p>
    <w:p w14:paraId="2F2F6089" w14:textId="77777777" w:rsidR="00141B97" w:rsidRDefault="00141B97">
      <w:pPr>
        <w:pStyle w:val="BodyText"/>
        <w:rPr>
          <w:sz w:val="16"/>
        </w:rPr>
      </w:pPr>
    </w:p>
    <w:p w14:paraId="47973DDD" w14:textId="77777777" w:rsidR="00141B97" w:rsidRDefault="00141B97">
      <w:pPr>
        <w:pStyle w:val="BodyText"/>
        <w:spacing w:before="11"/>
        <w:rPr>
          <w:sz w:val="12"/>
        </w:rPr>
      </w:pPr>
    </w:p>
    <w:p w14:paraId="102D15D0" w14:textId="77777777" w:rsidR="00141B97" w:rsidRDefault="00911D63">
      <w:pPr>
        <w:pStyle w:val="BodyText"/>
        <w:spacing w:line="249" w:lineRule="auto"/>
        <w:ind w:left="114" w:right="949" w:hanging="1"/>
        <w:jc w:val="both"/>
      </w:pPr>
      <w:r>
        <w:t>These</w:t>
      </w:r>
      <w:r>
        <w:rPr>
          <w:spacing w:val="-6"/>
        </w:rPr>
        <w:t xml:space="preserve"> </w:t>
      </w:r>
      <w:r>
        <w:t>values</w:t>
      </w:r>
      <w:r>
        <w:rPr>
          <w:spacing w:val="-4"/>
        </w:rPr>
        <w:t xml:space="preserve"> </w:t>
      </w:r>
      <w:r>
        <w:t>have</w:t>
      </w:r>
      <w:r>
        <w:rPr>
          <w:spacing w:val="-7"/>
        </w:rPr>
        <w:t xml:space="preserve"> </w:t>
      </w:r>
      <w:r>
        <w:t>been</w:t>
      </w:r>
      <w:r>
        <w:rPr>
          <w:spacing w:val="-5"/>
        </w:rPr>
        <w:t xml:space="preserve"> </w:t>
      </w:r>
      <w:r>
        <w:t>used</w:t>
      </w:r>
      <w:r>
        <w:rPr>
          <w:spacing w:val="-6"/>
        </w:rPr>
        <w:t xml:space="preserve"> </w:t>
      </w:r>
      <w:r>
        <w:t>to</w:t>
      </w:r>
      <w:r>
        <w:rPr>
          <w:spacing w:val="-6"/>
        </w:rPr>
        <w:t xml:space="preserve"> </w:t>
      </w:r>
      <w:r>
        <w:t>estimate</w:t>
      </w:r>
      <w:r>
        <w:rPr>
          <w:spacing w:val="-6"/>
        </w:rPr>
        <w:t xml:space="preserve"> </w:t>
      </w:r>
      <w:r>
        <w:t>revenue</w:t>
      </w:r>
      <w:r>
        <w:rPr>
          <w:spacing w:val="-6"/>
        </w:rPr>
        <w:t xml:space="preserve"> </w:t>
      </w:r>
      <w:r>
        <w:t>requirement</w:t>
      </w:r>
      <w:r>
        <w:rPr>
          <w:spacing w:val="-6"/>
        </w:rPr>
        <w:t xml:space="preserve"> </w:t>
      </w:r>
      <w:r>
        <w:t>and</w:t>
      </w:r>
      <w:r>
        <w:rPr>
          <w:spacing w:val="-6"/>
        </w:rPr>
        <w:t xml:space="preserve"> </w:t>
      </w:r>
      <w:r>
        <w:t>prices</w:t>
      </w:r>
      <w:r>
        <w:rPr>
          <w:spacing w:val="-5"/>
        </w:rPr>
        <w:t xml:space="preserve"> </w:t>
      </w:r>
      <w:r>
        <w:t>in</w:t>
      </w:r>
      <w:r>
        <w:rPr>
          <w:spacing w:val="-6"/>
        </w:rPr>
        <w:t xml:space="preserve"> </w:t>
      </w:r>
      <w:r>
        <w:t>this</w:t>
      </w:r>
      <w:r>
        <w:rPr>
          <w:spacing w:val="-4"/>
        </w:rPr>
        <w:t xml:space="preserve"> </w:t>
      </w:r>
      <w:r>
        <w:t>submission.</w:t>
      </w:r>
      <w:r>
        <w:rPr>
          <w:spacing w:val="-6"/>
        </w:rPr>
        <w:t xml:space="preserve"> </w:t>
      </w:r>
      <w:r>
        <w:t>Prices</w:t>
      </w:r>
      <w:r>
        <w:rPr>
          <w:spacing w:val="-4"/>
        </w:rPr>
        <w:t xml:space="preserve"> </w:t>
      </w:r>
      <w:r>
        <w:t>established during the</w:t>
      </w:r>
      <w:r>
        <w:rPr>
          <w:spacing w:val="-1"/>
        </w:rPr>
        <w:t xml:space="preserve"> </w:t>
      </w:r>
      <w:r>
        <w:t>PS5</w:t>
      </w:r>
      <w:r>
        <w:rPr>
          <w:spacing w:val="-1"/>
        </w:rPr>
        <w:t xml:space="preserve"> </w:t>
      </w:r>
      <w:r>
        <w:t>period will</w:t>
      </w:r>
      <w:r>
        <w:rPr>
          <w:spacing w:val="-1"/>
        </w:rPr>
        <w:t xml:space="preserve"> </w:t>
      </w:r>
      <w:r>
        <w:t>be adjusted</w:t>
      </w:r>
      <w:r>
        <w:rPr>
          <w:spacing w:val="-1"/>
        </w:rPr>
        <w:t xml:space="preserve"> </w:t>
      </w:r>
      <w:r>
        <w:t>to reflect</w:t>
      </w:r>
      <w:r>
        <w:rPr>
          <w:spacing w:val="-1"/>
        </w:rPr>
        <w:t xml:space="preserve"> </w:t>
      </w:r>
      <w:r>
        <w:t>the trailing</w:t>
      </w:r>
      <w:r>
        <w:rPr>
          <w:spacing w:val="-1"/>
        </w:rPr>
        <w:t xml:space="preserve"> </w:t>
      </w:r>
      <w:r>
        <w:t>average</w:t>
      </w:r>
      <w:r>
        <w:rPr>
          <w:spacing w:val="-1"/>
        </w:rPr>
        <w:t xml:space="preserve"> </w:t>
      </w:r>
      <w:r>
        <w:t>cost of debt,</w:t>
      </w:r>
      <w:r>
        <w:rPr>
          <w:spacing w:val="-1"/>
        </w:rPr>
        <w:t xml:space="preserve"> </w:t>
      </w:r>
      <w:r>
        <w:t>updated annually</w:t>
      </w:r>
      <w:r>
        <w:rPr>
          <w:spacing w:val="-1"/>
        </w:rPr>
        <w:t xml:space="preserve"> </w:t>
      </w:r>
      <w:r>
        <w:t>by the ESC, for the previous 10‐year period, and adjusted for inflation to reflect the real cost of debt.</w:t>
      </w:r>
    </w:p>
    <w:p w14:paraId="2CAA8DD4" w14:textId="77777777" w:rsidR="00141B97" w:rsidRDefault="00141B97">
      <w:pPr>
        <w:spacing w:line="249" w:lineRule="auto"/>
        <w:jc w:val="both"/>
        <w:sectPr w:rsidR="00141B97">
          <w:pgSz w:w="11910" w:h="16840"/>
          <w:pgMar w:top="820" w:right="40" w:bottom="760" w:left="1020" w:header="0" w:footer="580" w:gutter="0"/>
          <w:cols w:space="720"/>
        </w:sectPr>
      </w:pPr>
    </w:p>
    <w:p w14:paraId="260FB983" w14:textId="77777777" w:rsidR="00141B97" w:rsidRDefault="00911D63">
      <w:pPr>
        <w:pStyle w:val="Heading1"/>
        <w:numPr>
          <w:ilvl w:val="0"/>
          <w:numId w:val="81"/>
        </w:numPr>
        <w:tabs>
          <w:tab w:val="left" w:pos="1112"/>
          <w:tab w:val="left" w:pos="1113"/>
        </w:tabs>
      </w:pPr>
      <w:r>
        <w:rPr>
          <w:color w:val="006CA3"/>
        </w:rPr>
        <w:lastRenderedPageBreak/>
        <w:t>Non‐Prescribed</w:t>
      </w:r>
      <w:r>
        <w:rPr>
          <w:color w:val="006CA3"/>
          <w:spacing w:val="-12"/>
        </w:rPr>
        <w:t xml:space="preserve"> </w:t>
      </w:r>
      <w:r>
        <w:rPr>
          <w:color w:val="006CA3"/>
          <w:spacing w:val="-2"/>
        </w:rPr>
        <w:t>Services</w:t>
      </w:r>
    </w:p>
    <w:p w14:paraId="444C929C" w14:textId="77777777" w:rsidR="00141B97" w:rsidRDefault="00911D63">
      <w:pPr>
        <w:pStyle w:val="Heading2"/>
        <w:numPr>
          <w:ilvl w:val="1"/>
          <w:numId w:val="81"/>
        </w:numPr>
        <w:tabs>
          <w:tab w:val="left" w:pos="1112"/>
          <w:tab w:val="left" w:pos="1113"/>
        </w:tabs>
        <w:spacing w:before="379"/>
      </w:pPr>
      <w:r>
        <w:rPr>
          <w:color w:val="009BAC"/>
        </w:rPr>
        <w:t>Classification</w:t>
      </w:r>
      <w:r>
        <w:rPr>
          <w:color w:val="009BAC"/>
          <w:spacing w:val="-10"/>
        </w:rPr>
        <w:t xml:space="preserve"> </w:t>
      </w:r>
      <w:r>
        <w:rPr>
          <w:color w:val="009BAC"/>
        </w:rPr>
        <w:t>of</w:t>
      </w:r>
      <w:r>
        <w:rPr>
          <w:color w:val="009BAC"/>
          <w:spacing w:val="-8"/>
        </w:rPr>
        <w:t xml:space="preserve"> </w:t>
      </w:r>
      <w:r>
        <w:rPr>
          <w:color w:val="009BAC"/>
        </w:rPr>
        <w:t>Services</w:t>
      </w:r>
      <w:r>
        <w:rPr>
          <w:color w:val="009BAC"/>
          <w:spacing w:val="-10"/>
        </w:rPr>
        <w:t xml:space="preserve"> </w:t>
      </w:r>
      <w:r>
        <w:rPr>
          <w:color w:val="009BAC"/>
        </w:rPr>
        <w:t>as</w:t>
      </w:r>
      <w:r>
        <w:rPr>
          <w:color w:val="009BAC"/>
          <w:spacing w:val="-8"/>
        </w:rPr>
        <w:t xml:space="preserve"> </w:t>
      </w:r>
      <w:r>
        <w:rPr>
          <w:color w:val="009BAC"/>
          <w:spacing w:val="-2"/>
        </w:rPr>
        <w:t>Non‐Prescribed</w:t>
      </w:r>
    </w:p>
    <w:p w14:paraId="48A1311B" w14:textId="77777777" w:rsidR="00141B97" w:rsidRDefault="00911D63">
      <w:pPr>
        <w:pStyle w:val="BodyText"/>
        <w:spacing w:before="121" w:line="268" w:lineRule="exact"/>
        <w:ind w:left="114"/>
        <w:jc w:val="both"/>
      </w:pPr>
      <w:r>
        <w:t>Consistent</w:t>
      </w:r>
      <w:r>
        <w:rPr>
          <w:spacing w:val="-13"/>
        </w:rPr>
        <w:t xml:space="preserve"> </w:t>
      </w:r>
      <w:r>
        <w:t>with</w:t>
      </w:r>
      <w:r>
        <w:rPr>
          <w:spacing w:val="-11"/>
        </w:rPr>
        <w:t xml:space="preserve"> </w:t>
      </w:r>
      <w:r>
        <w:t>the</w:t>
      </w:r>
      <w:r>
        <w:rPr>
          <w:spacing w:val="-11"/>
        </w:rPr>
        <w:t xml:space="preserve"> </w:t>
      </w:r>
      <w:r>
        <w:t>approach</w:t>
      </w:r>
      <w:r>
        <w:rPr>
          <w:spacing w:val="-12"/>
        </w:rPr>
        <w:t xml:space="preserve"> </w:t>
      </w:r>
      <w:r>
        <w:t>taken</w:t>
      </w:r>
      <w:r>
        <w:rPr>
          <w:spacing w:val="-10"/>
        </w:rPr>
        <w:t xml:space="preserve"> </w:t>
      </w:r>
      <w:r>
        <w:t>previously,</w:t>
      </w:r>
      <w:r>
        <w:rPr>
          <w:spacing w:val="-12"/>
        </w:rPr>
        <w:t xml:space="preserve"> </w:t>
      </w:r>
      <w:r>
        <w:t>non‐prescribed</w:t>
      </w:r>
      <w:r>
        <w:rPr>
          <w:spacing w:val="-10"/>
        </w:rPr>
        <w:t xml:space="preserve"> </w:t>
      </w:r>
      <w:r>
        <w:t>activities</w:t>
      </w:r>
      <w:r>
        <w:rPr>
          <w:spacing w:val="-12"/>
        </w:rPr>
        <w:t xml:space="preserve"> </w:t>
      </w:r>
      <w:r>
        <w:rPr>
          <w:spacing w:val="-2"/>
        </w:rPr>
        <w:t>comprise:</w:t>
      </w:r>
    </w:p>
    <w:p w14:paraId="6AE5A8C1" w14:textId="77777777" w:rsidR="00141B97" w:rsidRDefault="00911D63">
      <w:pPr>
        <w:pStyle w:val="ListParagraph"/>
        <w:numPr>
          <w:ilvl w:val="0"/>
          <w:numId w:val="39"/>
        </w:numPr>
        <w:tabs>
          <w:tab w:val="left" w:pos="964"/>
          <w:tab w:val="left" w:pos="965"/>
        </w:tabs>
        <w:spacing w:line="280" w:lineRule="exact"/>
        <w:ind w:hanging="361"/>
      </w:pPr>
      <w:r>
        <w:t>Water</w:t>
      </w:r>
      <w:r>
        <w:rPr>
          <w:spacing w:val="-6"/>
        </w:rPr>
        <w:t xml:space="preserve"> </w:t>
      </w:r>
      <w:r>
        <w:t>lease</w:t>
      </w:r>
      <w:r>
        <w:rPr>
          <w:spacing w:val="-5"/>
        </w:rPr>
        <w:t xml:space="preserve"> </w:t>
      </w:r>
      <w:r>
        <w:t>‐</w:t>
      </w:r>
      <w:r>
        <w:rPr>
          <w:spacing w:val="-6"/>
        </w:rPr>
        <w:t xml:space="preserve"> </w:t>
      </w:r>
      <w:r>
        <w:t>sale</w:t>
      </w:r>
      <w:r>
        <w:rPr>
          <w:spacing w:val="-5"/>
        </w:rPr>
        <w:t xml:space="preserve"> </w:t>
      </w:r>
      <w:r>
        <w:t>of</w:t>
      </w:r>
      <w:r>
        <w:rPr>
          <w:spacing w:val="-5"/>
        </w:rPr>
        <w:t xml:space="preserve"> </w:t>
      </w:r>
      <w:r>
        <w:t>surplus</w:t>
      </w:r>
      <w:r>
        <w:rPr>
          <w:spacing w:val="-6"/>
        </w:rPr>
        <w:t xml:space="preserve"> </w:t>
      </w:r>
      <w:r>
        <w:t>bulk</w:t>
      </w:r>
      <w:r>
        <w:rPr>
          <w:spacing w:val="-5"/>
        </w:rPr>
        <w:t xml:space="preserve"> </w:t>
      </w:r>
      <w:r>
        <w:t>water</w:t>
      </w:r>
      <w:r>
        <w:rPr>
          <w:spacing w:val="-6"/>
        </w:rPr>
        <w:t xml:space="preserve"> </w:t>
      </w:r>
      <w:r>
        <w:rPr>
          <w:spacing w:val="-2"/>
        </w:rPr>
        <w:t>allocations.</w:t>
      </w:r>
    </w:p>
    <w:p w14:paraId="0787ED0D" w14:textId="77777777" w:rsidR="00141B97" w:rsidRDefault="00911D63">
      <w:pPr>
        <w:pStyle w:val="ListParagraph"/>
        <w:numPr>
          <w:ilvl w:val="0"/>
          <w:numId w:val="39"/>
        </w:numPr>
        <w:tabs>
          <w:tab w:val="left" w:pos="964"/>
          <w:tab w:val="left" w:pos="965"/>
        </w:tabs>
        <w:spacing w:before="1" w:line="280" w:lineRule="exact"/>
        <w:ind w:hanging="361"/>
      </w:pPr>
      <w:r>
        <w:t>Investment</w:t>
      </w:r>
      <w:r>
        <w:rPr>
          <w:spacing w:val="-7"/>
        </w:rPr>
        <w:t xml:space="preserve"> </w:t>
      </w:r>
      <w:r>
        <w:t>income</w:t>
      </w:r>
      <w:r>
        <w:rPr>
          <w:spacing w:val="-6"/>
        </w:rPr>
        <w:t xml:space="preserve"> </w:t>
      </w:r>
      <w:r>
        <w:t>–</w:t>
      </w:r>
      <w:r>
        <w:rPr>
          <w:spacing w:val="-6"/>
        </w:rPr>
        <w:t xml:space="preserve"> </w:t>
      </w:r>
      <w:r>
        <w:rPr>
          <w:spacing w:val="-2"/>
        </w:rPr>
        <w:t>interest.</w:t>
      </w:r>
    </w:p>
    <w:p w14:paraId="049DC5CC" w14:textId="77777777" w:rsidR="00141B97" w:rsidRDefault="00911D63">
      <w:pPr>
        <w:pStyle w:val="ListParagraph"/>
        <w:numPr>
          <w:ilvl w:val="0"/>
          <w:numId w:val="39"/>
        </w:numPr>
        <w:tabs>
          <w:tab w:val="left" w:pos="964"/>
          <w:tab w:val="left" w:pos="965"/>
        </w:tabs>
        <w:spacing w:line="280" w:lineRule="exact"/>
        <w:ind w:hanging="361"/>
      </w:pPr>
      <w:r>
        <w:t>Farm</w:t>
      </w:r>
      <w:r>
        <w:rPr>
          <w:spacing w:val="-6"/>
        </w:rPr>
        <w:t xml:space="preserve"> </w:t>
      </w:r>
      <w:r>
        <w:t>activities</w:t>
      </w:r>
      <w:r>
        <w:rPr>
          <w:spacing w:val="-7"/>
        </w:rPr>
        <w:t xml:space="preserve"> </w:t>
      </w:r>
      <w:r>
        <w:t>‐</w:t>
      </w:r>
      <w:r>
        <w:rPr>
          <w:spacing w:val="-6"/>
        </w:rPr>
        <w:t xml:space="preserve"> </w:t>
      </w:r>
      <w:r>
        <w:t>sheep</w:t>
      </w:r>
      <w:r>
        <w:rPr>
          <w:spacing w:val="-6"/>
        </w:rPr>
        <w:t xml:space="preserve"> </w:t>
      </w:r>
      <w:r>
        <w:t>and</w:t>
      </w:r>
      <w:r>
        <w:rPr>
          <w:spacing w:val="-5"/>
        </w:rPr>
        <w:t xml:space="preserve"> </w:t>
      </w:r>
      <w:r>
        <w:rPr>
          <w:spacing w:val="-2"/>
        </w:rPr>
        <w:t>plantation.</w:t>
      </w:r>
    </w:p>
    <w:p w14:paraId="33B9CDD2" w14:textId="77777777" w:rsidR="00141B97" w:rsidRDefault="00141B97">
      <w:pPr>
        <w:pStyle w:val="BodyText"/>
      </w:pPr>
    </w:p>
    <w:p w14:paraId="7A19B94B" w14:textId="77777777" w:rsidR="00141B97" w:rsidRDefault="00911D63">
      <w:pPr>
        <w:pStyle w:val="BodyText"/>
        <w:ind w:left="113" w:right="949"/>
        <w:jc w:val="both"/>
      </w:pPr>
      <w:r>
        <w:t>The</w:t>
      </w:r>
      <w:r>
        <w:rPr>
          <w:spacing w:val="-3"/>
        </w:rPr>
        <w:t xml:space="preserve"> </w:t>
      </w:r>
      <w:r>
        <w:t>water</w:t>
      </w:r>
      <w:r>
        <w:rPr>
          <w:spacing w:val="-2"/>
        </w:rPr>
        <w:t xml:space="preserve"> </w:t>
      </w:r>
      <w:r>
        <w:t>allocation</w:t>
      </w:r>
      <w:r>
        <w:rPr>
          <w:spacing w:val="-2"/>
        </w:rPr>
        <w:t xml:space="preserve"> </w:t>
      </w:r>
      <w:r>
        <w:t>sales</w:t>
      </w:r>
      <w:r>
        <w:rPr>
          <w:spacing w:val="-2"/>
        </w:rPr>
        <w:t xml:space="preserve"> </w:t>
      </w:r>
      <w:r>
        <w:t>are</w:t>
      </w:r>
      <w:r>
        <w:rPr>
          <w:spacing w:val="-2"/>
        </w:rPr>
        <w:t xml:space="preserve"> </w:t>
      </w:r>
      <w:r>
        <w:t>undertaken</w:t>
      </w:r>
      <w:r>
        <w:rPr>
          <w:spacing w:val="-2"/>
        </w:rPr>
        <w:t xml:space="preserve"> </w:t>
      </w:r>
      <w:r>
        <w:t>at</w:t>
      </w:r>
      <w:r>
        <w:rPr>
          <w:spacing w:val="-2"/>
        </w:rPr>
        <w:t xml:space="preserve"> </w:t>
      </w:r>
      <w:r>
        <w:t>a</w:t>
      </w:r>
      <w:r>
        <w:rPr>
          <w:spacing w:val="-1"/>
        </w:rPr>
        <w:t xml:space="preserve"> </w:t>
      </w:r>
      <w:r>
        <w:t>profit,</w:t>
      </w:r>
      <w:r>
        <w:rPr>
          <w:spacing w:val="-2"/>
        </w:rPr>
        <w:t xml:space="preserve"> </w:t>
      </w:r>
      <w:r>
        <w:t>with</w:t>
      </w:r>
      <w:r>
        <w:rPr>
          <w:spacing w:val="-2"/>
        </w:rPr>
        <w:t xml:space="preserve"> </w:t>
      </w:r>
      <w:r>
        <w:t>the</w:t>
      </w:r>
      <w:r>
        <w:rPr>
          <w:spacing w:val="-3"/>
        </w:rPr>
        <w:t xml:space="preserve"> </w:t>
      </w:r>
      <w:r>
        <w:t>revenues</w:t>
      </w:r>
      <w:r>
        <w:rPr>
          <w:spacing w:val="-2"/>
        </w:rPr>
        <w:t xml:space="preserve"> </w:t>
      </w:r>
      <w:r>
        <w:t>used</w:t>
      </w:r>
      <w:r>
        <w:rPr>
          <w:spacing w:val="-2"/>
        </w:rPr>
        <w:t xml:space="preserve"> </w:t>
      </w:r>
      <w:r>
        <w:t>to</w:t>
      </w:r>
      <w:r>
        <w:rPr>
          <w:spacing w:val="-1"/>
        </w:rPr>
        <w:t xml:space="preserve"> </w:t>
      </w:r>
      <w:r>
        <w:t>offset</w:t>
      </w:r>
      <w:r>
        <w:rPr>
          <w:spacing w:val="-1"/>
        </w:rPr>
        <w:t xml:space="preserve"> </w:t>
      </w:r>
      <w:r>
        <w:t>customer</w:t>
      </w:r>
      <w:r>
        <w:rPr>
          <w:spacing w:val="-1"/>
        </w:rPr>
        <w:t xml:space="preserve"> </w:t>
      </w:r>
      <w:r>
        <w:t>prices</w:t>
      </w:r>
      <w:r>
        <w:rPr>
          <w:spacing w:val="-2"/>
        </w:rPr>
        <w:t xml:space="preserve"> </w:t>
      </w:r>
      <w:r>
        <w:t>needed for LMW to cover its revenue requirement. The farm activities are at a small loss.</w:t>
      </w:r>
    </w:p>
    <w:p w14:paraId="47E66171" w14:textId="77777777" w:rsidR="00141B97" w:rsidRDefault="00141B97">
      <w:pPr>
        <w:pStyle w:val="BodyText"/>
      </w:pPr>
    </w:p>
    <w:p w14:paraId="6C34F4CE" w14:textId="77777777" w:rsidR="00141B97" w:rsidRDefault="00911D63">
      <w:pPr>
        <w:pStyle w:val="BodyText"/>
        <w:ind w:left="113" w:right="950" w:hanging="1"/>
        <w:jc w:val="both"/>
      </w:pPr>
      <w:r>
        <w:t>To ensure consistency with previous treatment of revenues and costs, contract revenue from recycled water will be treated as prescribed.</w:t>
      </w:r>
    </w:p>
    <w:p w14:paraId="46A06AFC" w14:textId="77777777" w:rsidR="00141B97" w:rsidRDefault="00141B97">
      <w:pPr>
        <w:pStyle w:val="BodyText"/>
        <w:spacing w:before="8"/>
        <w:rPr>
          <w:sz w:val="20"/>
        </w:rPr>
      </w:pPr>
    </w:p>
    <w:p w14:paraId="133531F9" w14:textId="77777777" w:rsidR="00141B97" w:rsidRDefault="00911D63">
      <w:pPr>
        <w:pStyle w:val="ListParagraph"/>
        <w:numPr>
          <w:ilvl w:val="2"/>
          <w:numId w:val="81"/>
        </w:numPr>
        <w:tabs>
          <w:tab w:val="left" w:pos="1112"/>
          <w:tab w:val="left" w:pos="1113"/>
        </w:tabs>
        <w:jc w:val="both"/>
      </w:pPr>
      <w:r>
        <w:t>Expenditure</w:t>
      </w:r>
      <w:r>
        <w:rPr>
          <w:spacing w:val="-11"/>
        </w:rPr>
        <w:t xml:space="preserve"> </w:t>
      </w:r>
      <w:r>
        <w:t>and</w:t>
      </w:r>
      <w:r>
        <w:rPr>
          <w:spacing w:val="-11"/>
        </w:rPr>
        <w:t xml:space="preserve"> </w:t>
      </w:r>
      <w:r>
        <w:t>Revenue</w:t>
      </w:r>
      <w:r>
        <w:rPr>
          <w:spacing w:val="-11"/>
        </w:rPr>
        <w:t xml:space="preserve"> </w:t>
      </w:r>
      <w:r>
        <w:t>Associated</w:t>
      </w:r>
      <w:r>
        <w:rPr>
          <w:spacing w:val="-9"/>
        </w:rPr>
        <w:t xml:space="preserve"> </w:t>
      </w:r>
      <w:r>
        <w:t>with</w:t>
      </w:r>
      <w:r>
        <w:rPr>
          <w:spacing w:val="-10"/>
        </w:rPr>
        <w:t xml:space="preserve"> </w:t>
      </w:r>
      <w:r>
        <w:t>Non‐Prescribed</w:t>
      </w:r>
      <w:r>
        <w:rPr>
          <w:spacing w:val="-10"/>
        </w:rPr>
        <w:t xml:space="preserve"> </w:t>
      </w:r>
      <w:r>
        <w:rPr>
          <w:spacing w:val="-2"/>
        </w:rPr>
        <w:t>Services</w:t>
      </w:r>
    </w:p>
    <w:p w14:paraId="7ACACA90" w14:textId="77777777" w:rsidR="00141B97" w:rsidRDefault="00911D63">
      <w:pPr>
        <w:pStyle w:val="BodyText"/>
        <w:spacing w:before="59"/>
        <w:ind w:left="113" w:right="947"/>
        <w:jc w:val="both"/>
      </w:pPr>
      <w:r>
        <w:t>Table B40 shows LMW’s non‐prescribed revenues over the PS5 period in comparison to the final year of PS4. The</w:t>
      </w:r>
      <w:r>
        <w:rPr>
          <w:spacing w:val="-12"/>
        </w:rPr>
        <w:t xml:space="preserve"> </w:t>
      </w:r>
      <w:r>
        <w:t>most</w:t>
      </w:r>
      <w:r>
        <w:rPr>
          <w:spacing w:val="-12"/>
        </w:rPr>
        <w:t xml:space="preserve"> </w:t>
      </w:r>
      <w:r>
        <w:t>significant</w:t>
      </w:r>
      <w:r>
        <w:rPr>
          <w:spacing w:val="-12"/>
        </w:rPr>
        <w:t xml:space="preserve"> </w:t>
      </w:r>
      <w:r>
        <w:t>component</w:t>
      </w:r>
      <w:r>
        <w:rPr>
          <w:spacing w:val="-10"/>
        </w:rPr>
        <w:t xml:space="preserve"> </w:t>
      </w:r>
      <w:r>
        <w:t>is</w:t>
      </w:r>
      <w:r>
        <w:rPr>
          <w:spacing w:val="-11"/>
        </w:rPr>
        <w:t xml:space="preserve"> </w:t>
      </w:r>
      <w:r>
        <w:t>water</w:t>
      </w:r>
      <w:r>
        <w:rPr>
          <w:spacing w:val="-12"/>
        </w:rPr>
        <w:t xml:space="preserve"> </w:t>
      </w:r>
      <w:r>
        <w:t>lease/allocation</w:t>
      </w:r>
      <w:r>
        <w:rPr>
          <w:spacing w:val="-13"/>
        </w:rPr>
        <w:t xml:space="preserve"> </w:t>
      </w:r>
      <w:r>
        <w:t>sales.</w:t>
      </w:r>
      <w:r>
        <w:rPr>
          <w:spacing w:val="-11"/>
        </w:rPr>
        <w:t xml:space="preserve"> </w:t>
      </w:r>
      <w:r>
        <w:t>LMW</w:t>
      </w:r>
      <w:r>
        <w:rPr>
          <w:spacing w:val="-12"/>
        </w:rPr>
        <w:t xml:space="preserve"> </w:t>
      </w:r>
      <w:r>
        <w:t>has</w:t>
      </w:r>
      <w:r>
        <w:rPr>
          <w:spacing w:val="-11"/>
        </w:rPr>
        <w:t xml:space="preserve"> </w:t>
      </w:r>
      <w:r>
        <w:t>taken</w:t>
      </w:r>
      <w:r>
        <w:rPr>
          <w:spacing w:val="-12"/>
        </w:rPr>
        <w:t xml:space="preserve"> </w:t>
      </w:r>
      <w:r>
        <w:t>a</w:t>
      </w:r>
      <w:r>
        <w:rPr>
          <w:spacing w:val="-10"/>
        </w:rPr>
        <w:t xml:space="preserve"> </w:t>
      </w:r>
      <w:r>
        <w:t>conservative</w:t>
      </w:r>
      <w:r>
        <w:rPr>
          <w:spacing w:val="-12"/>
        </w:rPr>
        <w:t xml:space="preserve"> </w:t>
      </w:r>
      <w:r>
        <w:t>approach</w:t>
      </w:r>
      <w:r>
        <w:rPr>
          <w:spacing w:val="-12"/>
        </w:rPr>
        <w:t xml:space="preserve"> </w:t>
      </w:r>
      <w:r>
        <w:t>to</w:t>
      </w:r>
      <w:r>
        <w:rPr>
          <w:spacing w:val="-12"/>
        </w:rPr>
        <w:t xml:space="preserve"> </w:t>
      </w:r>
      <w:r>
        <w:t xml:space="preserve">sales to ensure future supply while also accepting risk by assuming unrestricted or 100% water allocation over the PS5 period and similar market pricing to the current period to estimate the forecast water allocation sales </w:t>
      </w:r>
      <w:r>
        <w:rPr>
          <w:spacing w:val="-2"/>
        </w:rPr>
        <w:t>revenue.</w:t>
      </w:r>
    </w:p>
    <w:p w14:paraId="50C9DD7D"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569"/>
        <w:gridCol w:w="1311"/>
        <w:gridCol w:w="1202"/>
        <w:gridCol w:w="1202"/>
        <w:gridCol w:w="1201"/>
        <w:gridCol w:w="1202"/>
        <w:gridCol w:w="1204"/>
      </w:tblGrid>
      <w:tr w:rsidR="00141B97" w14:paraId="1C4BB777" w14:textId="77777777">
        <w:trPr>
          <w:trHeight w:val="270"/>
          <w:tblCellSpacing w:w="9" w:type="dxa"/>
        </w:trPr>
        <w:tc>
          <w:tcPr>
            <w:tcW w:w="2542" w:type="dxa"/>
            <w:vMerge w:val="restart"/>
            <w:tcBorders>
              <w:top w:val="nil"/>
              <w:left w:val="nil"/>
            </w:tcBorders>
            <w:shd w:val="clear" w:color="auto" w:fill="0064A4"/>
          </w:tcPr>
          <w:p w14:paraId="6B42E2E4" w14:textId="77777777" w:rsidR="00141B97" w:rsidRDefault="00141B97">
            <w:pPr>
              <w:pStyle w:val="TableParagraph"/>
              <w:spacing w:before="4"/>
              <w:rPr>
                <w:sz w:val="13"/>
              </w:rPr>
            </w:pPr>
          </w:p>
          <w:p w14:paraId="000746E8" w14:textId="77777777" w:rsidR="00141B97" w:rsidRDefault="00911D63">
            <w:pPr>
              <w:pStyle w:val="TableParagraph"/>
              <w:ind w:left="129"/>
              <w:rPr>
                <w:sz w:val="18"/>
              </w:rPr>
            </w:pPr>
            <w:r>
              <w:rPr>
                <w:color w:val="FFFFFF"/>
                <w:sz w:val="18"/>
              </w:rPr>
              <w:t xml:space="preserve">($m </w:t>
            </w:r>
            <w:r>
              <w:rPr>
                <w:color w:val="FFFFFF"/>
                <w:spacing w:val="-2"/>
                <w:sz w:val="18"/>
              </w:rPr>
              <w:t>1/1/23)</w:t>
            </w:r>
          </w:p>
        </w:tc>
        <w:tc>
          <w:tcPr>
            <w:tcW w:w="1293" w:type="dxa"/>
            <w:tcBorders>
              <w:top w:val="nil"/>
            </w:tcBorders>
            <w:shd w:val="clear" w:color="auto" w:fill="0064A4"/>
          </w:tcPr>
          <w:p w14:paraId="3237F259" w14:textId="77777777" w:rsidR="00141B97" w:rsidRDefault="00911D63">
            <w:pPr>
              <w:pStyle w:val="TableParagraph"/>
              <w:spacing w:before="19"/>
              <w:ind w:left="358"/>
              <w:rPr>
                <w:sz w:val="18"/>
              </w:rPr>
            </w:pPr>
            <w:r>
              <w:rPr>
                <w:color w:val="FFFFFF"/>
                <w:spacing w:val="-2"/>
                <w:sz w:val="18"/>
              </w:rPr>
              <w:t>Current</w:t>
            </w:r>
          </w:p>
        </w:tc>
        <w:tc>
          <w:tcPr>
            <w:tcW w:w="5912" w:type="dxa"/>
            <w:gridSpan w:val="5"/>
            <w:tcBorders>
              <w:top w:val="nil"/>
              <w:right w:val="nil"/>
            </w:tcBorders>
            <w:shd w:val="clear" w:color="auto" w:fill="0064A4"/>
          </w:tcPr>
          <w:p w14:paraId="2758FF6D" w14:textId="77777777" w:rsidR="00141B97" w:rsidRDefault="00911D63">
            <w:pPr>
              <w:pStyle w:val="TableParagraph"/>
              <w:spacing w:before="26"/>
              <w:ind w:left="2118" w:right="2117"/>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0622496E" w14:textId="77777777">
        <w:trPr>
          <w:trHeight w:val="270"/>
          <w:tblCellSpacing w:w="9" w:type="dxa"/>
        </w:trPr>
        <w:tc>
          <w:tcPr>
            <w:tcW w:w="2542" w:type="dxa"/>
            <w:vMerge/>
            <w:tcBorders>
              <w:top w:val="nil"/>
              <w:left w:val="nil"/>
            </w:tcBorders>
            <w:shd w:val="clear" w:color="auto" w:fill="0064A4"/>
          </w:tcPr>
          <w:p w14:paraId="1FCA12EB" w14:textId="77777777" w:rsidR="00141B97" w:rsidRDefault="00141B97">
            <w:pPr>
              <w:rPr>
                <w:sz w:val="2"/>
                <w:szCs w:val="2"/>
              </w:rPr>
            </w:pPr>
          </w:p>
        </w:tc>
        <w:tc>
          <w:tcPr>
            <w:tcW w:w="1293" w:type="dxa"/>
            <w:shd w:val="clear" w:color="auto" w:fill="0064A4"/>
          </w:tcPr>
          <w:p w14:paraId="26448E2D" w14:textId="77777777" w:rsidR="00141B97" w:rsidRDefault="00911D63">
            <w:pPr>
              <w:pStyle w:val="TableParagraph"/>
              <w:spacing w:before="26"/>
              <w:ind w:left="334"/>
              <w:rPr>
                <w:sz w:val="18"/>
              </w:rPr>
            </w:pPr>
            <w:r>
              <w:rPr>
                <w:color w:val="FFFFFF"/>
                <w:spacing w:val="-2"/>
                <w:sz w:val="18"/>
              </w:rPr>
              <w:t>2022‐23</w:t>
            </w:r>
          </w:p>
        </w:tc>
        <w:tc>
          <w:tcPr>
            <w:tcW w:w="1184" w:type="dxa"/>
            <w:shd w:val="clear" w:color="auto" w:fill="0064A4"/>
          </w:tcPr>
          <w:p w14:paraId="2F0F0ECB" w14:textId="77777777" w:rsidR="00141B97" w:rsidRDefault="00911D63">
            <w:pPr>
              <w:pStyle w:val="TableParagraph"/>
              <w:spacing w:before="26"/>
              <w:ind w:left="278"/>
              <w:rPr>
                <w:sz w:val="18"/>
              </w:rPr>
            </w:pPr>
            <w:r>
              <w:rPr>
                <w:color w:val="FFFFFF"/>
                <w:spacing w:val="-2"/>
                <w:sz w:val="18"/>
              </w:rPr>
              <w:t>2023‐24</w:t>
            </w:r>
          </w:p>
        </w:tc>
        <w:tc>
          <w:tcPr>
            <w:tcW w:w="1184" w:type="dxa"/>
            <w:shd w:val="clear" w:color="auto" w:fill="0064A4"/>
          </w:tcPr>
          <w:p w14:paraId="6FB74F4B" w14:textId="77777777" w:rsidR="00141B97" w:rsidRDefault="00911D63">
            <w:pPr>
              <w:pStyle w:val="TableParagraph"/>
              <w:spacing w:before="26"/>
              <w:ind w:left="277"/>
              <w:rPr>
                <w:sz w:val="18"/>
              </w:rPr>
            </w:pPr>
            <w:r>
              <w:rPr>
                <w:color w:val="FFFFFF"/>
                <w:spacing w:val="-2"/>
                <w:sz w:val="18"/>
              </w:rPr>
              <w:t>2024‐25</w:t>
            </w:r>
          </w:p>
        </w:tc>
        <w:tc>
          <w:tcPr>
            <w:tcW w:w="1183" w:type="dxa"/>
            <w:shd w:val="clear" w:color="auto" w:fill="0064A4"/>
          </w:tcPr>
          <w:p w14:paraId="6669F05F" w14:textId="77777777" w:rsidR="00141B97" w:rsidRDefault="00911D63">
            <w:pPr>
              <w:pStyle w:val="TableParagraph"/>
              <w:spacing w:before="26"/>
              <w:ind w:left="275"/>
              <w:rPr>
                <w:sz w:val="18"/>
              </w:rPr>
            </w:pPr>
            <w:r>
              <w:rPr>
                <w:color w:val="FFFFFF"/>
                <w:spacing w:val="-2"/>
                <w:sz w:val="18"/>
              </w:rPr>
              <w:t>2025‐26</w:t>
            </w:r>
          </w:p>
        </w:tc>
        <w:tc>
          <w:tcPr>
            <w:tcW w:w="1184" w:type="dxa"/>
            <w:shd w:val="clear" w:color="auto" w:fill="0064A4"/>
          </w:tcPr>
          <w:p w14:paraId="09375DBB" w14:textId="77777777" w:rsidR="00141B97" w:rsidRDefault="00911D63">
            <w:pPr>
              <w:pStyle w:val="TableParagraph"/>
              <w:spacing w:before="26"/>
              <w:ind w:left="275"/>
              <w:rPr>
                <w:sz w:val="18"/>
              </w:rPr>
            </w:pPr>
            <w:r>
              <w:rPr>
                <w:color w:val="FFFFFF"/>
                <w:spacing w:val="-2"/>
                <w:sz w:val="18"/>
              </w:rPr>
              <w:t>2026‐27</w:t>
            </w:r>
          </w:p>
        </w:tc>
        <w:tc>
          <w:tcPr>
            <w:tcW w:w="1177" w:type="dxa"/>
            <w:tcBorders>
              <w:right w:val="nil"/>
            </w:tcBorders>
            <w:shd w:val="clear" w:color="auto" w:fill="0064A4"/>
          </w:tcPr>
          <w:p w14:paraId="2C139405" w14:textId="77777777" w:rsidR="00141B97" w:rsidRDefault="00911D63">
            <w:pPr>
              <w:pStyle w:val="TableParagraph"/>
              <w:spacing w:before="26"/>
              <w:ind w:left="276"/>
              <w:rPr>
                <w:sz w:val="18"/>
              </w:rPr>
            </w:pPr>
            <w:r>
              <w:rPr>
                <w:color w:val="FFFFFF"/>
                <w:spacing w:val="-2"/>
                <w:sz w:val="18"/>
              </w:rPr>
              <w:t>2027‐28</w:t>
            </w:r>
          </w:p>
        </w:tc>
      </w:tr>
      <w:tr w:rsidR="00141B97" w14:paraId="468150A6" w14:textId="77777777">
        <w:trPr>
          <w:trHeight w:val="282"/>
          <w:tblCellSpacing w:w="9" w:type="dxa"/>
        </w:trPr>
        <w:tc>
          <w:tcPr>
            <w:tcW w:w="2542" w:type="dxa"/>
            <w:tcBorders>
              <w:left w:val="nil"/>
            </w:tcBorders>
            <w:shd w:val="clear" w:color="auto" w:fill="CCE2ED"/>
          </w:tcPr>
          <w:p w14:paraId="6C67AA9E" w14:textId="77777777" w:rsidR="00141B97" w:rsidRDefault="00911D63">
            <w:pPr>
              <w:pStyle w:val="TableParagraph"/>
              <w:spacing w:before="32"/>
              <w:ind w:left="88"/>
              <w:rPr>
                <w:sz w:val="18"/>
              </w:rPr>
            </w:pPr>
            <w:r>
              <w:rPr>
                <w:sz w:val="18"/>
              </w:rPr>
              <w:t>Water</w:t>
            </w:r>
            <w:r>
              <w:rPr>
                <w:spacing w:val="-2"/>
                <w:sz w:val="18"/>
              </w:rPr>
              <w:t xml:space="preserve"> </w:t>
            </w:r>
            <w:r>
              <w:rPr>
                <w:sz w:val="18"/>
              </w:rPr>
              <w:t>lease</w:t>
            </w:r>
            <w:r>
              <w:rPr>
                <w:spacing w:val="-2"/>
                <w:sz w:val="18"/>
              </w:rPr>
              <w:t xml:space="preserve"> </w:t>
            </w:r>
            <w:r>
              <w:rPr>
                <w:sz w:val="18"/>
              </w:rPr>
              <w:t>/</w:t>
            </w:r>
            <w:r>
              <w:rPr>
                <w:spacing w:val="-2"/>
                <w:sz w:val="18"/>
              </w:rPr>
              <w:t xml:space="preserve"> allocation</w:t>
            </w:r>
          </w:p>
        </w:tc>
        <w:tc>
          <w:tcPr>
            <w:tcW w:w="1293" w:type="dxa"/>
            <w:shd w:val="clear" w:color="auto" w:fill="CCE2ED"/>
          </w:tcPr>
          <w:p w14:paraId="60096F4D" w14:textId="77777777" w:rsidR="00141B97" w:rsidRDefault="00911D63">
            <w:pPr>
              <w:pStyle w:val="TableParagraph"/>
              <w:spacing w:before="32"/>
              <w:ind w:right="96"/>
              <w:jc w:val="right"/>
              <w:rPr>
                <w:sz w:val="18"/>
              </w:rPr>
            </w:pPr>
            <w:r>
              <w:rPr>
                <w:spacing w:val="-4"/>
                <w:sz w:val="18"/>
              </w:rPr>
              <w:t>0.89</w:t>
            </w:r>
          </w:p>
        </w:tc>
        <w:tc>
          <w:tcPr>
            <w:tcW w:w="1184" w:type="dxa"/>
            <w:shd w:val="clear" w:color="auto" w:fill="CCE2ED"/>
          </w:tcPr>
          <w:p w14:paraId="64FFB935" w14:textId="77777777" w:rsidR="00141B97" w:rsidRDefault="00911D63">
            <w:pPr>
              <w:pStyle w:val="TableParagraph"/>
              <w:spacing w:before="32"/>
              <w:ind w:right="97"/>
              <w:jc w:val="right"/>
              <w:rPr>
                <w:sz w:val="18"/>
              </w:rPr>
            </w:pPr>
            <w:r>
              <w:rPr>
                <w:spacing w:val="-4"/>
                <w:sz w:val="18"/>
              </w:rPr>
              <w:t>1.10</w:t>
            </w:r>
          </w:p>
        </w:tc>
        <w:tc>
          <w:tcPr>
            <w:tcW w:w="1184" w:type="dxa"/>
            <w:shd w:val="clear" w:color="auto" w:fill="CCE2ED"/>
          </w:tcPr>
          <w:p w14:paraId="41711719" w14:textId="77777777" w:rsidR="00141B97" w:rsidRDefault="00911D63">
            <w:pPr>
              <w:pStyle w:val="TableParagraph"/>
              <w:spacing w:before="32"/>
              <w:ind w:right="98"/>
              <w:jc w:val="right"/>
              <w:rPr>
                <w:sz w:val="18"/>
              </w:rPr>
            </w:pPr>
            <w:r>
              <w:rPr>
                <w:spacing w:val="-4"/>
                <w:sz w:val="18"/>
              </w:rPr>
              <w:t>1.10</w:t>
            </w:r>
          </w:p>
        </w:tc>
        <w:tc>
          <w:tcPr>
            <w:tcW w:w="1183" w:type="dxa"/>
            <w:shd w:val="clear" w:color="auto" w:fill="CCE2ED"/>
          </w:tcPr>
          <w:p w14:paraId="2A8FE2B0" w14:textId="77777777" w:rsidR="00141B97" w:rsidRDefault="00911D63">
            <w:pPr>
              <w:pStyle w:val="TableParagraph"/>
              <w:spacing w:before="32"/>
              <w:ind w:right="99"/>
              <w:jc w:val="right"/>
              <w:rPr>
                <w:sz w:val="18"/>
              </w:rPr>
            </w:pPr>
            <w:r>
              <w:rPr>
                <w:spacing w:val="-4"/>
                <w:sz w:val="18"/>
              </w:rPr>
              <w:t>1.10</w:t>
            </w:r>
          </w:p>
        </w:tc>
        <w:tc>
          <w:tcPr>
            <w:tcW w:w="1184" w:type="dxa"/>
            <w:shd w:val="clear" w:color="auto" w:fill="CCE2ED"/>
          </w:tcPr>
          <w:p w14:paraId="6CF85426" w14:textId="77777777" w:rsidR="00141B97" w:rsidRDefault="00911D63">
            <w:pPr>
              <w:pStyle w:val="TableParagraph"/>
              <w:spacing w:before="32"/>
              <w:ind w:right="100"/>
              <w:jc w:val="right"/>
              <w:rPr>
                <w:sz w:val="18"/>
              </w:rPr>
            </w:pPr>
            <w:r>
              <w:rPr>
                <w:spacing w:val="-4"/>
                <w:sz w:val="18"/>
              </w:rPr>
              <w:t>1.10</w:t>
            </w:r>
          </w:p>
        </w:tc>
        <w:tc>
          <w:tcPr>
            <w:tcW w:w="1177" w:type="dxa"/>
            <w:tcBorders>
              <w:right w:val="nil"/>
            </w:tcBorders>
            <w:shd w:val="clear" w:color="auto" w:fill="CCE2ED"/>
          </w:tcPr>
          <w:p w14:paraId="0DC12A52" w14:textId="77777777" w:rsidR="00141B97" w:rsidRDefault="00911D63">
            <w:pPr>
              <w:pStyle w:val="TableParagraph"/>
              <w:spacing w:before="32"/>
              <w:ind w:right="92"/>
              <w:jc w:val="right"/>
              <w:rPr>
                <w:sz w:val="18"/>
              </w:rPr>
            </w:pPr>
            <w:r>
              <w:rPr>
                <w:spacing w:val="-4"/>
                <w:sz w:val="18"/>
              </w:rPr>
              <w:t>1.10</w:t>
            </w:r>
          </w:p>
        </w:tc>
      </w:tr>
      <w:tr w:rsidR="00141B97" w14:paraId="5FFA2BB8" w14:textId="77777777">
        <w:trPr>
          <w:trHeight w:val="283"/>
          <w:tblCellSpacing w:w="9" w:type="dxa"/>
        </w:trPr>
        <w:tc>
          <w:tcPr>
            <w:tcW w:w="2542" w:type="dxa"/>
            <w:tcBorders>
              <w:left w:val="nil"/>
            </w:tcBorders>
            <w:shd w:val="clear" w:color="auto" w:fill="CCE2ED"/>
          </w:tcPr>
          <w:p w14:paraId="69FFC75E" w14:textId="77777777" w:rsidR="00141B97" w:rsidRDefault="00911D63">
            <w:pPr>
              <w:pStyle w:val="TableParagraph"/>
              <w:spacing w:before="32"/>
              <w:ind w:left="88"/>
              <w:rPr>
                <w:sz w:val="18"/>
              </w:rPr>
            </w:pPr>
            <w:r>
              <w:rPr>
                <w:sz w:val="18"/>
              </w:rPr>
              <w:t>Investment</w:t>
            </w:r>
            <w:r>
              <w:rPr>
                <w:spacing w:val="-1"/>
                <w:sz w:val="18"/>
              </w:rPr>
              <w:t xml:space="preserve"> </w:t>
            </w:r>
            <w:r>
              <w:rPr>
                <w:spacing w:val="-2"/>
                <w:sz w:val="18"/>
              </w:rPr>
              <w:t>income</w:t>
            </w:r>
          </w:p>
        </w:tc>
        <w:tc>
          <w:tcPr>
            <w:tcW w:w="1293" w:type="dxa"/>
            <w:shd w:val="clear" w:color="auto" w:fill="CCE2ED"/>
          </w:tcPr>
          <w:p w14:paraId="149063E7" w14:textId="77777777" w:rsidR="00141B97" w:rsidRDefault="00911D63">
            <w:pPr>
              <w:pStyle w:val="TableParagraph"/>
              <w:spacing w:before="32"/>
              <w:ind w:right="96"/>
              <w:jc w:val="right"/>
              <w:rPr>
                <w:sz w:val="18"/>
              </w:rPr>
            </w:pPr>
            <w:r>
              <w:rPr>
                <w:spacing w:val="-4"/>
                <w:sz w:val="18"/>
              </w:rPr>
              <w:t>0.01</w:t>
            </w:r>
          </w:p>
        </w:tc>
        <w:tc>
          <w:tcPr>
            <w:tcW w:w="1184" w:type="dxa"/>
            <w:shd w:val="clear" w:color="auto" w:fill="CCE2ED"/>
          </w:tcPr>
          <w:p w14:paraId="025546F9" w14:textId="77777777" w:rsidR="00141B97" w:rsidRDefault="00911D63">
            <w:pPr>
              <w:pStyle w:val="TableParagraph"/>
              <w:spacing w:before="32"/>
              <w:ind w:right="97"/>
              <w:jc w:val="right"/>
              <w:rPr>
                <w:sz w:val="18"/>
              </w:rPr>
            </w:pPr>
            <w:r>
              <w:rPr>
                <w:spacing w:val="-4"/>
                <w:sz w:val="18"/>
              </w:rPr>
              <w:t>0.01</w:t>
            </w:r>
          </w:p>
        </w:tc>
        <w:tc>
          <w:tcPr>
            <w:tcW w:w="1184" w:type="dxa"/>
            <w:shd w:val="clear" w:color="auto" w:fill="CCE2ED"/>
          </w:tcPr>
          <w:p w14:paraId="1C907ED3" w14:textId="77777777" w:rsidR="00141B97" w:rsidRDefault="00911D63">
            <w:pPr>
              <w:pStyle w:val="TableParagraph"/>
              <w:spacing w:before="32"/>
              <w:ind w:right="98"/>
              <w:jc w:val="right"/>
              <w:rPr>
                <w:sz w:val="18"/>
              </w:rPr>
            </w:pPr>
            <w:r>
              <w:rPr>
                <w:spacing w:val="-4"/>
                <w:sz w:val="18"/>
              </w:rPr>
              <w:t>0.02</w:t>
            </w:r>
          </w:p>
        </w:tc>
        <w:tc>
          <w:tcPr>
            <w:tcW w:w="1183" w:type="dxa"/>
            <w:shd w:val="clear" w:color="auto" w:fill="CCE2ED"/>
          </w:tcPr>
          <w:p w14:paraId="6E5E1940" w14:textId="77777777" w:rsidR="00141B97" w:rsidRDefault="00911D63">
            <w:pPr>
              <w:pStyle w:val="TableParagraph"/>
              <w:spacing w:before="32"/>
              <w:ind w:right="99"/>
              <w:jc w:val="right"/>
              <w:rPr>
                <w:sz w:val="18"/>
              </w:rPr>
            </w:pPr>
            <w:r>
              <w:rPr>
                <w:spacing w:val="-4"/>
                <w:sz w:val="18"/>
              </w:rPr>
              <w:t>0.02</w:t>
            </w:r>
          </w:p>
        </w:tc>
        <w:tc>
          <w:tcPr>
            <w:tcW w:w="1184" w:type="dxa"/>
            <w:shd w:val="clear" w:color="auto" w:fill="CCE2ED"/>
          </w:tcPr>
          <w:p w14:paraId="2AFBB0BA" w14:textId="77777777" w:rsidR="00141B97" w:rsidRDefault="00911D63">
            <w:pPr>
              <w:pStyle w:val="TableParagraph"/>
              <w:spacing w:before="32"/>
              <w:ind w:right="100"/>
              <w:jc w:val="right"/>
              <w:rPr>
                <w:sz w:val="18"/>
              </w:rPr>
            </w:pPr>
            <w:r>
              <w:rPr>
                <w:spacing w:val="-4"/>
                <w:sz w:val="18"/>
              </w:rPr>
              <w:t>0.03</w:t>
            </w:r>
          </w:p>
        </w:tc>
        <w:tc>
          <w:tcPr>
            <w:tcW w:w="1177" w:type="dxa"/>
            <w:tcBorders>
              <w:right w:val="nil"/>
            </w:tcBorders>
            <w:shd w:val="clear" w:color="auto" w:fill="CCE2ED"/>
          </w:tcPr>
          <w:p w14:paraId="14B78872" w14:textId="77777777" w:rsidR="00141B97" w:rsidRDefault="00911D63">
            <w:pPr>
              <w:pStyle w:val="TableParagraph"/>
              <w:spacing w:before="32"/>
              <w:ind w:right="92"/>
              <w:jc w:val="right"/>
              <w:rPr>
                <w:sz w:val="18"/>
              </w:rPr>
            </w:pPr>
            <w:r>
              <w:rPr>
                <w:spacing w:val="-4"/>
                <w:sz w:val="18"/>
              </w:rPr>
              <w:t>0.04</w:t>
            </w:r>
          </w:p>
        </w:tc>
      </w:tr>
      <w:tr w:rsidR="00141B97" w14:paraId="6DDDF3C3" w14:textId="77777777">
        <w:trPr>
          <w:trHeight w:val="282"/>
          <w:tblCellSpacing w:w="9" w:type="dxa"/>
        </w:trPr>
        <w:tc>
          <w:tcPr>
            <w:tcW w:w="2542" w:type="dxa"/>
            <w:tcBorders>
              <w:left w:val="nil"/>
              <w:bottom w:val="nil"/>
            </w:tcBorders>
            <w:shd w:val="clear" w:color="auto" w:fill="CCE2ED"/>
          </w:tcPr>
          <w:p w14:paraId="1B6C156D" w14:textId="77777777" w:rsidR="00141B97" w:rsidRDefault="00911D63">
            <w:pPr>
              <w:pStyle w:val="TableParagraph"/>
              <w:spacing w:before="32"/>
              <w:ind w:left="88"/>
              <w:rPr>
                <w:sz w:val="18"/>
              </w:rPr>
            </w:pPr>
            <w:r>
              <w:rPr>
                <w:sz w:val="18"/>
              </w:rPr>
              <w:t>Farm</w:t>
            </w:r>
            <w:r>
              <w:rPr>
                <w:spacing w:val="-1"/>
                <w:sz w:val="18"/>
              </w:rPr>
              <w:t xml:space="preserve"> </w:t>
            </w:r>
            <w:r>
              <w:rPr>
                <w:spacing w:val="-2"/>
                <w:sz w:val="18"/>
              </w:rPr>
              <w:t>activities</w:t>
            </w:r>
          </w:p>
        </w:tc>
        <w:tc>
          <w:tcPr>
            <w:tcW w:w="1293" w:type="dxa"/>
            <w:tcBorders>
              <w:bottom w:val="nil"/>
            </w:tcBorders>
            <w:shd w:val="clear" w:color="auto" w:fill="CCE2ED"/>
          </w:tcPr>
          <w:p w14:paraId="1C7EB970" w14:textId="77777777" w:rsidR="00141B97" w:rsidRDefault="00911D63">
            <w:pPr>
              <w:pStyle w:val="TableParagraph"/>
              <w:spacing w:before="32"/>
              <w:ind w:right="96"/>
              <w:jc w:val="right"/>
              <w:rPr>
                <w:sz w:val="18"/>
              </w:rPr>
            </w:pPr>
            <w:r>
              <w:rPr>
                <w:spacing w:val="-4"/>
                <w:sz w:val="18"/>
              </w:rPr>
              <w:t>0.09</w:t>
            </w:r>
          </w:p>
        </w:tc>
        <w:tc>
          <w:tcPr>
            <w:tcW w:w="1184" w:type="dxa"/>
            <w:tcBorders>
              <w:bottom w:val="nil"/>
            </w:tcBorders>
            <w:shd w:val="clear" w:color="auto" w:fill="CCE2ED"/>
          </w:tcPr>
          <w:p w14:paraId="449CB210" w14:textId="77777777" w:rsidR="00141B97" w:rsidRDefault="00911D63">
            <w:pPr>
              <w:pStyle w:val="TableParagraph"/>
              <w:spacing w:before="32"/>
              <w:ind w:right="97"/>
              <w:jc w:val="right"/>
              <w:rPr>
                <w:sz w:val="18"/>
              </w:rPr>
            </w:pPr>
            <w:r>
              <w:rPr>
                <w:spacing w:val="-4"/>
                <w:sz w:val="18"/>
              </w:rPr>
              <w:t>0.09</w:t>
            </w:r>
          </w:p>
        </w:tc>
        <w:tc>
          <w:tcPr>
            <w:tcW w:w="1184" w:type="dxa"/>
            <w:tcBorders>
              <w:bottom w:val="nil"/>
            </w:tcBorders>
            <w:shd w:val="clear" w:color="auto" w:fill="CCE2ED"/>
          </w:tcPr>
          <w:p w14:paraId="4A67E861" w14:textId="77777777" w:rsidR="00141B97" w:rsidRDefault="00911D63">
            <w:pPr>
              <w:pStyle w:val="TableParagraph"/>
              <w:spacing w:before="32"/>
              <w:ind w:right="98"/>
              <w:jc w:val="right"/>
              <w:rPr>
                <w:sz w:val="18"/>
              </w:rPr>
            </w:pPr>
            <w:r>
              <w:rPr>
                <w:spacing w:val="-4"/>
                <w:sz w:val="18"/>
              </w:rPr>
              <w:t>0.09</w:t>
            </w:r>
          </w:p>
        </w:tc>
        <w:tc>
          <w:tcPr>
            <w:tcW w:w="1183" w:type="dxa"/>
            <w:tcBorders>
              <w:bottom w:val="nil"/>
            </w:tcBorders>
            <w:shd w:val="clear" w:color="auto" w:fill="CCE2ED"/>
          </w:tcPr>
          <w:p w14:paraId="0F4A9F8B" w14:textId="77777777" w:rsidR="00141B97" w:rsidRDefault="00911D63">
            <w:pPr>
              <w:pStyle w:val="TableParagraph"/>
              <w:spacing w:before="32"/>
              <w:ind w:right="99"/>
              <w:jc w:val="right"/>
              <w:rPr>
                <w:sz w:val="18"/>
              </w:rPr>
            </w:pPr>
            <w:r>
              <w:rPr>
                <w:spacing w:val="-4"/>
                <w:sz w:val="18"/>
              </w:rPr>
              <w:t>0.09</w:t>
            </w:r>
          </w:p>
        </w:tc>
        <w:tc>
          <w:tcPr>
            <w:tcW w:w="1184" w:type="dxa"/>
            <w:tcBorders>
              <w:bottom w:val="nil"/>
            </w:tcBorders>
            <w:shd w:val="clear" w:color="auto" w:fill="CCE2ED"/>
          </w:tcPr>
          <w:p w14:paraId="3CD743DB" w14:textId="77777777" w:rsidR="00141B97" w:rsidRDefault="00911D63">
            <w:pPr>
              <w:pStyle w:val="TableParagraph"/>
              <w:spacing w:before="32"/>
              <w:ind w:right="100"/>
              <w:jc w:val="right"/>
              <w:rPr>
                <w:sz w:val="18"/>
              </w:rPr>
            </w:pPr>
            <w:r>
              <w:rPr>
                <w:spacing w:val="-4"/>
                <w:sz w:val="18"/>
              </w:rPr>
              <w:t>0.09</w:t>
            </w:r>
          </w:p>
        </w:tc>
        <w:tc>
          <w:tcPr>
            <w:tcW w:w="1177" w:type="dxa"/>
            <w:tcBorders>
              <w:bottom w:val="nil"/>
              <w:right w:val="nil"/>
            </w:tcBorders>
            <w:shd w:val="clear" w:color="auto" w:fill="CCE2ED"/>
          </w:tcPr>
          <w:p w14:paraId="2952F06B" w14:textId="77777777" w:rsidR="00141B97" w:rsidRDefault="00911D63">
            <w:pPr>
              <w:pStyle w:val="TableParagraph"/>
              <w:spacing w:before="32"/>
              <w:ind w:right="92"/>
              <w:jc w:val="right"/>
              <w:rPr>
                <w:sz w:val="18"/>
              </w:rPr>
            </w:pPr>
            <w:r>
              <w:rPr>
                <w:spacing w:val="-4"/>
                <w:sz w:val="18"/>
              </w:rPr>
              <w:t>0.09</w:t>
            </w:r>
          </w:p>
        </w:tc>
      </w:tr>
    </w:tbl>
    <w:p w14:paraId="76DD7733" w14:textId="77777777" w:rsidR="00141B97" w:rsidRDefault="00911D63">
      <w:pPr>
        <w:spacing w:before="23"/>
        <w:ind w:left="114"/>
        <w:jc w:val="both"/>
        <w:rPr>
          <w:sz w:val="16"/>
        </w:rPr>
      </w:pPr>
      <w:r>
        <w:rPr>
          <w:sz w:val="16"/>
        </w:rPr>
        <w:t>Table</w:t>
      </w:r>
      <w:r>
        <w:rPr>
          <w:spacing w:val="-8"/>
          <w:sz w:val="16"/>
        </w:rPr>
        <w:t xml:space="preserve"> </w:t>
      </w:r>
      <w:r>
        <w:rPr>
          <w:sz w:val="16"/>
        </w:rPr>
        <w:t>B40:</w:t>
      </w:r>
      <w:r>
        <w:rPr>
          <w:spacing w:val="-8"/>
          <w:sz w:val="16"/>
        </w:rPr>
        <w:t xml:space="preserve"> </w:t>
      </w:r>
      <w:r>
        <w:rPr>
          <w:sz w:val="16"/>
        </w:rPr>
        <w:t>Non‐Prescribed</w:t>
      </w:r>
      <w:r>
        <w:rPr>
          <w:spacing w:val="-8"/>
          <w:sz w:val="16"/>
        </w:rPr>
        <w:t xml:space="preserve"> </w:t>
      </w:r>
      <w:r>
        <w:rPr>
          <w:spacing w:val="-2"/>
          <w:sz w:val="16"/>
        </w:rPr>
        <w:t>Revenues</w:t>
      </w:r>
    </w:p>
    <w:p w14:paraId="2932C701" w14:textId="77777777" w:rsidR="00141B97" w:rsidRDefault="00141B97">
      <w:pPr>
        <w:pStyle w:val="BodyText"/>
        <w:spacing w:before="12"/>
        <w:rPr>
          <w:sz w:val="23"/>
        </w:rPr>
      </w:pPr>
    </w:p>
    <w:p w14:paraId="1C09455C" w14:textId="77777777" w:rsidR="00141B97" w:rsidRDefault="00911D63">
      <w:pPr>
        <w:pStyle w:val="BodyText"/>
        <w:ind w:left="114" w:right="950" w:hanging="1"/>
        <w:jc w:val="both"/>
      </w:pPr>
      <w:r>
        <w:t>Table B41 sets out the operating expenditures associated with non‐prescribed activities. There are negligible costs associated with water leasing and generating investment income.</w:t>
      </w:r>
    </w:p>
    <w:p w14:paraId="2AB6A5A7" w14:textId="77777777" w:rsidR="00141B97" w:rsidRDefault="00141B97">
      <w:pPr>
        <w:pStyle w:val="BodyText"/>
        <w:spacing w:before="6" w:after="1"/>
        <w:rPr>
          <w:sz w:val="25"/>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577"/>
        <w:gridCol w:w="1316"/>
        <w:gridCol w:w="1198"/>
        <w:gridCol w:w="1198"/>
        <w:gridCol w:w="1198"/>
        <w:gridCol w:w="1198"/>
        <w:gridCol w:w="1196"/>
      </w:tblGrid>
      <w:tr w:rsidR="00141B97" w14:paraId="77871446" w14:textId="77777777">
        <w:trPr>
          <w:trHeight w:val="300"/>
          <w:tblCellSpacing w:w="9" w:type="dxa"/>
        </w:trPr>
        <w:tc>
          <w:tcPr>
            <w:tcW w:w="2550" w:type="dxa"/>
            <w:vMerge w:val="restart"/>
            <w:tcBorders>
              <w:top w:val="nil"/>
              <w:left w:val="nil"/>
            </w:tcBorders>
            <w:shd w:val="clear" w:color="auto" w:fill="0064A4"/>
          </w:tcPr>
          <w:p w14:paraId="3BFDB93B" w14:textId="77777777" w:rsidR="00141B97" w:rsidRDefault="00141B97">
            <w:pPr>
              <w:pStyle w:val="TableParagraph"/>
              <w:rPr>
                <w:sz w:val="14"/>
              </w:rPr>
            </w:pPr>
          </w:p>
          <w:p w14:paraId="0FB7E3CE" w14:textId="77777777" w:rsidR="00141B97" w:rsidRDefault="00911D63">
            <w:pPr>
              <w:pStyle w:val="TableParagraph"/>
              <w:spacing w:before="1"/>
              <w:ind w:left="88"/>
              <w:rPr>
                <w:sz w:val="18"/>
              </w:rPr>
            </w:pPr>
            <w:r>
              <w:rPr>
                <w:color w:val="FFFFFF"/>
                <w:spacing w:val="-2"/>
                <w:sz w:val="18"/>
              </w:rPr>
              <w:t>$m1/1/23</w:t>
            </w:r>
          </w:p>
        </w:tc>
        <w:tc>
          <w:tcPr>
            <w:tcW w:w="1298" w:type="dxa"/>
            <w:tcBorders>
              <w:top w:val="nil"/>
            </w:tcBorders>
            <w:shd w:val="clear" w:color="auto" w:fill="0064A4"/>
          </w:tcPr>
          <w:p w14:paraId="1CAB015F" w14:textId="77777777" w:rsidR="00141B97" w:rsidRDefault="00911D63">
            <w:pPr>
              <w:pStyle w:val="TableParagraph"/>
              <w:spacing w:before="42"/>
              <w:ind w:left="360"/>
              <w:rPr>
                <w:sz w:val="18"/>
              </w:rPr>
            </w:pPr>
            <w:r>
              <w:rPr>
                <w:color w:val="FFFFFF"/>
                <w:spacing w:val="-2"/>
                <w:sz w:val="18"/>
              </w:rPr>
              <w:t>Current</w:t>
            </w:r>
          </w:p>
        </w:tc>
        <w:tc>
          <w:tcPr>
            <w:tcW w:w="5889" w:type="dxa"/>
            <w:gridSpan w:val="5"/>
            <w:tcBorders>
              <w:top w:val="nil"/>
              <w:right w:val="nil"/>
            </w:tcBorders>
            <w:shd w:val="clear" w:color="auto" w:fill="0064A4"/>
          </w:tcPr>
          <w:p w14:paraId="67606171" w14:textId="77777777" w:rsidR="00141B97" w:rsidRDefault="00911D63">
            <w:pPr>
              <w:pStyle w:val="TableParagraph"/>
              <w:spacing w:before="42"/>
              <w:ind w:left="2111" w:right="2101"/>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54D634D3" w14:textId="77777777">
        <w:trPr>
          <w:trHeight w:val="240"/>
          <w:tblCellSpacing w:w="9" w:type="dxa"/>
        </w:trPr>
        <w:tc>
          <w:tcPr>
            <w:tcW w:w="2550" w:type="dxa"/>
            <w:vMerge/>
            <w:tcBorders>
              <w:top w:val="nil"/>
              <w:left w:val="nil"/>
            </w:tcBorders>
            <w:shd w:val="clear" w:color="auto" w:fill="0064A4"/>
          </w:tcPr>
          <w:p w14:paraId="1421B4AC" w14:textId="77777777" w:rsidR="00141B97" w:rsidRDefault="00141B97">
            <w:pPr>
              <w:rPr>
                <w:sz w:val="2"/>
                <w:szCs w:val="2"/>
              </w:rPr>
            </w:pPr>
          </w:p>
        </w:tc>
        <w:tc>
          <w:tcPr>
            <w:tcW w:w="1298" w:type="dxa"/>
            <w:shd w:val="clear" w:color="auto" w:fill="0064A4"/>
          </w:tcPr>
          <w:p w14:paraId="6C1CEC0B" w14:textId="77777777" w:rsidR="00141B97" w:rsidRDefault="00911D63">
            <w:pPr>
              <w:pStyle w:val="TableParagraph"/>
              <w:spacing w:before="1" w:line="219" w:lineRule="exact"/>
              <w:ind w:left="336"/>
              <w:rPr>
                <w:sz w:val="18"/>
              </w:rPr>
            </w:pPr>
            <w:r>
              <w:rPr>
                <w:color w:val="FFFFFF"/>
                <w:spacing w:val="-2"/>
                <w:sz w:val="18"/>
              </w:rPr>
              <w:t>2022‐23</w:t>
            </w:r>
          </w:p>
        </w:tc>
        <w:tc>
          <w:tcPr>
            <w:tcW w:w="1180" w:type="dxa"/>
            <w:shd w:val="clear" w:color="auto" w:fill="0064A4"/>
          </w:tcPr>
          <w:p w14:paraId="2C985FBA" w14:textId="77777777" w:rsidR="00141B97" w:rsidRDefault="00911D63">
            <w:pPr>
              <w:pStyle w:val="TableParagraph"/>
              <w:spacing w:before="1" w:line="219" w:lineRule="exact"/>
              <w:ind w:left="277"/>
              <w:rPr>
                <w:sz w:val="18"/>
              </w:rPr>
            </w:pPr>
            <w:r>
              <w:rPr>
                <w:color w:val="FFFFFF"/>
                <w:spacing w:val="-2"/>
                <w:sz w:val="18"/>
              </w:rPr>
              <w:t>2023‐24</w:t>
            </w:r>
          </w:p>
        </w:tc>
        <w:tc>
          <w:tcPr>
            <w:tcW w:w="1180" w:type="dxa"/>
            <w:shd w:val="clear" w:color="auto" w:fill="0064A4"/>
          </w:tcPr>
          <w:p w14:paraId="6C9D349D" w14:textId="77777777" w:rsidR="00141B97" w:rsidRDefault="00911D63">
            <w:pPr>
              <w:pStyle w:val="TableParagraph"/>
              <w:spacing w:before="1" w:line="219" w:lineRule="exact"/>
              <w:ind w:left="279"/>
              <w:rPr>
                <w:sz w:val="18"/>
              </w:rPr>
            </w:pPr>
            <w:r>
              <w:rPr>
                <w:color w:val="FFFFFF"/>
                <w:spacing w:val="-2"/>
                <w:sz w:val="18"/>
              </w:rPr>
              <w:t>2024‐25</w:t>
            </w:r>
          </w:p>
        </w:tc>
        <w:tc>
          <w:tcPr>
            <w:tcW w:w="1180" w:type="dxa"/>
            <w:shd w:val="clear" w:color="auto" w:fill="0064A4"/>
          </w:tcPr>
          <w:p w14:paraId="65F86744" w14:textId="77777777" w:rsidR="00141B97" w:rsidRDefault="00911D63">
            <w:pPr>
              <w:pStyle w:val="TableParagraph"/>
              <w:spacing w:before="1" w:line="219" w:lineRule="exact"/>
              <w:ind w:left="280"/>
              <w:rPr>
                <w:sz w:val="18"/>
              </w:rPr>
            </w:pPr>
            <w:r>
              <w:rPr>
                <w:color w:val="FFFFFF"/>
                <w:spacing w:val="-2"/>
                <w:sz w:val="18"/>
              </w:rPr>
              <w:t>2025‐26</w:t>
            </w:r>
          </w:p>
        </w:tc>
        <w:tc>
          <w:tcPr>
            <w:tcW w:w="1180" w:type="dxa"/>
            <w:shd w:val="clear" w:color="auto" w:fill="0064A4"/>
          </w:tcPr>
          <w:p w14:paraId="059E7BD7" w14:textId="77777777" w:rsidR="00141B97" w:rsidRDefault="00911D63">
            <w:pPr>
              <w:pStyle w:val="TableParagraph"/>
              <w:spacing w:before="1" w:line="219" w:lineRule="exact"/>
              <w:ind w:left="280"/>
              <w:rPr>
                <w:sz w:val="18"/>
              </w:rPr>
            </w:pPr>
            <w:r>
              <w:rPr>
                <w:color w:val="FFFFFF"/>
                <w:spacing w:val="-2"/>
                <w:sz w:val="18"/>
              </w:rPr>
              <w:t>2026‐27</w:t>
            </w:r>
          </w:p>
        </w:tc>
        <w:tc>
          <w:tcPr>
            <w:tcW w:w="1169" w:type="dxa"/>
            <w:tcBorders>
              <w:right w:val="nil"/>
            </w:tcBorders>
            <w:shd w:val="clear" w:color="auto" w:fill="0064A4"/>
          </w:tcPr>
          <w:p w14:paraId="2C019C4E" w14:textId="77777777" w:rsidR="00141B97" w:rsidRDefault="00911D63">
            <w:pPr>
              <w:pStyle w:val="TableParagraph"/>
              <w:spacing w:before="1" w:line="219" w:lineRule="exact"/>
              <w:ind w:left="280"/>
              <w:rPr>
                <w:sz w:val="18"/>
              </w:rPr>
            </w:pPr>
            <w:r>
              <w:rPr>
                <w:color w:val="FFFFFF"/>
                <w:spacing w:val="-2"/>
                <w:sz w:val="18"/>
              </w:rPr>
              <w:t>2027‐28</w:t>
            </w:r>
          </w:p>
        </w:tc>
      </w:tr>
      <w:tr w:rsidR="00141B97" w14:paraId="1895A65E" w14:textId="77777777">
        <w:trPr>
          <w:trHeight w:val="282"/>
          <w:tblCellSpacing w:w="9" w:type="dxa"/>
        </w:trPr>
        <w:tc>
          <w:tcPr>
            <w:tcW w:w="2550" w:type="dxa"/>
            <w:tcBorders>
              <w:left w:val="nil"/>
            </w:tcBorders>
            <w:shd w:val="clear" w:color="auto" w:fill="CCE2ED"/>
          </w:tcPr>
          <w:p w14:paraId="38B57059" w14:textId="77777777" w:rsidR="00141B97" w:rsidRDefault="00911D63">
            <w:pPr>
              <w:pStyle w:val="TableParagraph"/>
              <w:spacing w:before="32"/>
              <w:ind w:left="88"/>
              <w:rPr>
                <w:sz w:val="18"/>
              </w:rPr>
            </w:pPr>
            <w:r>
              <w:rPr>
                <w:sz w:val="18"/>
              </w:rPr>
              <w:t>Water</w:t>
            </w:r>
            <w:r>
              <w:rPr>
                <w:spacing w:val="-2"/>
                <w:sz w:val="18"/>
              </w:rPr>
              <w:t xml:space="preserve"> </w:t>
            </w:r>
            <w:r>
              <w:rPr>
                <w:sz w:val="18"/>
              </w:rPr>
              <w:t>lease</w:t>
            </w:r>
            <w:r>
              <w:rPr>
                <w:spacing w:val="-2"/>
                <w:sz w:val="18"/>
              </w:rPr>
              <w:t xml:space="preserve"> </w:t>
            </w:r>
            <w:r>
              <w:rPr>
                <w:sz w:val="18"/>
              </w:rPr>
              <w:t>/</w:t>
            </w:r>
            <w:r>
              <w:rPr>
                <w:spacing w:val="-2"/>
                <w:sz w:val="18"/>
              </w:rPr>
              <w:t xml:space="preserve"> allocation</w:t>
            </w:r>
          </w:p>
        </w:tc>
        <w:tc>
          <w:tcPr>
            <w:tcW w:w="1298" w:type="dxa"/>
            <w:shd w:val="clear" w:color="auto" w:fill="CCE2ED"/>
          </w:tcPr>
          <w:p w14:paraId="23A3DD2D" w14:textId="77777777" w:rsidR="00141B97" w:rsidRDefault="00911D63">
            <w:pPr>
              <w:pStyle w:val="TableParagraph"/>
              <w:spacing w:before="32"/>
              <w:ind w:right="95"/>
              <w:jc w:val="right"/>
              <w:rPr>
                <w:sz w:val="18"/>
              </w:rPr>
            </w:pPr>
            <w:r>
              <w:rPr>
                <w:spacing w:val="-4"/>
                <w:sz w:val="18"/>
              </w:rPr>
              <w:t>0.00</w:t>
            </w:r>
          </w:p>
        </w:tc>
        <w:tc>
          <w:tcPr>
            <w:tcW w:w="1180" w:type="dxa"/>
            <w:shd w:val="clear" w:color="auto" w:fill="CCE2ED"/>
          </w:tcPr>
          <w:p w14:paraId="6068CED4" w14:textId="77777777" w:rsidR="00141B97" w:rsidRDefault="00911D63">
            <w:pPr>
              <w:pStyle w:val="TableParagraph"/>
              <w:spacing w:before="32"/>
              <w:ind w:right="95"/>
              <w:jc w:val="right"/>
              <w:rPr>
                <w:sz w:val="18"/>
              </w:rPr>
            </w:pPr>
            <w:r>
              <w:rPr>
                <w:spacing w:val="-4"/>
                <w:sz w:val="18"/>
              </w:rPr>
              <w:t>0.00</w:t>
            </w:r>
          </w:p>
        </w:tc>
        <w:tc>
          <w:tcPr>
            <w:tcW w:w="1180" w:type="dxa"/>
            <w:shd w:val="clear" w:color="auto" w:fill="CCE2ED"/>
          </w:tcPr>
          <w:p w14:paraId="2FD37FCC" w14:textId="77777777" w:rsidR="00141B97" w:rsidRDefault="00911D63">
            <w:pPr>
              <w:pStyle w:val="TableParagraph"/>
              <w:spacing w:before="32"/>
              <w:ind w:right="93"/>
              <w:jc w:val="right"/>
              <w:rPr>
                <w:sz w:val="18"/>
              </w:rPr>
            </w:pPr>
            <w:r>
              <w:rPr>
                <w:spacing w:val="-4"/>
                <w:sz w:val="18"/>
              </w:rPr>
              <w:t>0.00</w:t>
            </w:r>
          </w:p>
        </w:tc>
        <w:tc>
          <w:tcPr>
            <w:tcW w:w="1180" w:type="dxa"/>
            <w:shd w:val="clear" w:color="auto" w:fill="CCE2ED"/>
          </w:tcPr>
          <w:p w14:paraId="5FDA7459" w14:textId="77777777" w:rsidR="00141B97" w:rsidRDefault="00911D63">
            <w:pPr>
              <w:pStyle w:val="TableParagraph"/>
              <w:spacing w:before="32"/>
              <w:ind w:right="93"/>
              <w:jc w:val="right"/>
              <w:rPr>
                <w:sz w:val="18"/>
              </w:rPr>
            </w:pPr>
            <w:r>
              <w:rPr>
                <w:spacing w:val="-4"/>
                <w:sz w:val="18"/>
              </w:rPr>
              <w:t>0.00</w:t>
            </w:r>
          </w:p>
        </w:tc>
        <w:tc>
          <w:tcPr>
            <w:tcW w:w="1180" w:type="dxa"/>
            <w:shd w:val="clear" w:color="auto" w:fill="CCE2ED"/>
          </w:tcPr>
          <w:p w14:paraId="5AAE5FDC" w14:textId="77777777" w:rsidR="00141B97" w:rsidRDefault="00911D63">
            <w:pPr>
              <w:pStyle w:val="TableParagraph"/>
              <w:spacing w:before="32"/>
              <w:ind w:right="92"/>
              <w:jc w:val="right"/>
              <w:rPr>
                <w:sz w:val="18"/>
              </w:rPr>
            </w:pPr>
            <w:r>
              <w:rPr>
                <w:spacing w:val="-4"/>
                <w:sz w:val="18"/>
              </w:rPr>
              <w:t>0.00</w:t>
            </w:r>
          </w:p>
        </w:tc>
        <w:tc>
          <w:tcPr>
            <w:tcW w:w="1169" w:type="dxa"/>
            <w:tcBorders>
              <w:right w:val="nil"/>
            </w:tcBorders>
            <w:shd w:val="clear" w:color="auto" w:fill="CCE2ED"/>
          </w:tcPr>
          <w:p w14:paraId="6EA0597B" w14:textId="77777777" w:rsidR="00141B97" w:rsidRDefault="00911D63">
            <w:pPr>
              <w:pStyle w:val="TableParagraph"/>
              <w:spacing w:before="32"/>
              <w:ind w:right="82"/>
              <w:jc w:val="right"/>
              <w:rPr>
                <w:sz w:val="18"/>
              </w:rPr>
            </w:pPr>
            <w:r>
              <w:rPr>
                <w:spacing w:val="-4"/>
                <w:sz w:val="18"/>
              </w:rPr>
              <w:t>0.00</w:t>
            </w:r>
          </w:p>
        </w:tc>
      </w:tr>
      <w:tr w:rsidR="00141B97" w14:paraId="12CCC887" w14:textId="77777777">
        <w:trPr>
          <w:trHeight w:val="283"/>
          <w:tblCellSpacing w:w="9" w:type="dxa"/>
        </w:trPr>
        <w:tc>
          <w:tcPr>
            <w:tcW w:w="2550" w:type="dxa"/>
            <w:tcBorders>
              <w:left w:val="nil"/>
            </w:tcBorders>
            <w:shd w:val="clear" w:color="auto" w:fill="CCE2ED"/>
          </w:tcPr>
          <w:p w14:paraId="401C202B" w14:textId="77777777" w:rsidR="00141B97" w:rsidRDefault="00911D63">
            <w:pPr>
              <w:pStyle w:val="TableParagraph"/>
              <w:spacing w:before="32"/>
              <w:ind w:left="88"/>
              <w:rPr>
                <w:sz w:val="18"/>
              </w:rPr>
            </w:pPr>
            <w:r>
              <w:rPr>
                <w:sz w:val="18"/>
              </w:rPr>
              <w:t>Investment</w:t>
            </w:r>
            <w:r>
              <w:rPr>
                <w:spacing w:val="-1"/>
                <w:sz w:val="18"/>
              </w:rPr>
              <w:t xml:space="preserve"> </w:t>
            </w:r>
            <w:r>
              <w:rPr>
                <w:spacing w:val="-2"/>
                <w:sz w:val="18"/>
              </w:rPr>
              <w:t>income</w:t>
            </w:r>
          </w:p>
        </w:tc>
        <w:tc>
          <w:tcPr>
            <w:tcW w:w="1298" w:type="dxa"/>
            <w:shd w:val="clear" w:color="auto" w:fill="CCE2ED"/>
          </w:tcPr>
          <w:p w14:paraId="120AD80F" w14:textId="77777777" w:rsidR="00141B97" w:rsidRDefault="00911D63">
            <w:pPr>
              <w:pStyle w:val="TableParagraph"/>
              <w:spacing w:before="32"/>
              <w:ind w:right="95"/>
              <w:jc w:val="right"/>
              <w:rPr>
                <w:sz w:val="18"/>
              </w:rPr>
            </w:pPr>
            <w:r>
              <w:rPr>
                <w:spacing w:val="-4"/>
                <w:sz w:val="18"/>
              </w:rPr>
              <w:t>0.00</w:t>
            </w:r>
          </w:p>
        </w:tc>
        <w:tc>
          <w:tcPr>
            <w:tcW w:w="1180" w:type="dxa"/>
            <w:shd w:val="clear" w:color="auto" w:fill="CCE2ED"/>
          </w:tcPr>
          <w:p w14:paraId="450F6109" w14:textId="77777777" w:rsidR="00141B97" w:rsidRDefault="00911D63">
            <w:pPr>
              <w:pStyle w:val="TableParagraph"/>
              <w:spacing w:before="32"/>
              <w:ind w:right="95"/>
              <w:jc w:val="right"/>
              <w:rPr>
                <w:sz w:val="18"/>
              </w:rPr>
            </w:pPr>
            <w:r>
              <w:rPr>
                <w:spacing w:val="-4"/>
                <w:sz w:val="18"/>
              </w:rPr>
              <w:t>0.00</w:t>
            </w:r>
          </w:p>
        </w:tc>
        <w:tc>
          <w:tcPr>
            <w:tcW w:w="1180" w:type="dxa"/>
            <w:shd w:val="clear" w:color="auto" w:fill="CCE2ED"/>
          </w:tcPr>
          <w:p w14:paraId="7A0A68D6" w14:textId="77777777" w:rsidR="00141B97" w:rsidRDefault="00911D63">
            <w:pPr>
              <w:pStyle w:val="TableParagraph"/>
              <w:spacing w:before="32"/>
              <w:ind w:right="93"/>
              <w:jc w:val="right"/>
              <w:rPr>
                <w:sz w:val="18"/>
              </w:rPr>
            </w:pPr>
            <w:r>
              <w:rPr>
                <w:spacing w:val="-4"/>
                <w:sz w:val="18"/>
              </w:rPr>
              <w:t>0.00</w:t>
            </w:r>
          </w:p>
        </w:tc>
        <w:tc>
          <w:tcPr>
            <w:tcW w:w="1180" w:type="dxa"/>
            <w:shd w:val="clear" w:color="auto" w:fill="CCE2ED"/>
          </w:tcPr>
          <w:p w14:paraId="7C64E063" w14:textId="77777777" w:rsidR="00141B97" w:rsidRDefault="00911D63">
            <w:pPr>
              <w:pStyle w:val="TableParagraph"/>
              <w:spacing w:before="32"/>
              <w:ind w:right="93"/>
              <w:jc w:val="right"/>
              <w:rPr>
                <w:sz w:val="18"/>
              </w:rPr>
            </w:pPr>
            <w:r>
              <w:rPr>
                <w:spacing w:val="-4"/>
                <w:sz w:val="18"/>
              </w:rPr>
              <w:t>0.00</w:t>
            </w:r>
          </w:p>
        </w:tc>
        <w:tc>
          <w:tcPr>
            <w:tcW w:w="1180" w:type="dxa"/>
            <w:shd w:val="clear" w:color="auto" w:fill="CCE2ED"/>
          </w:tcPr>
          <w:p w14:paraId="45011F8A" w14:textId="77777777" w:rsidR="00141B97" w:rsidRDefault="00911D63">
            <w:pPr>
              <w:pStyle w:val="TableParagraph"/>
              <w:spacing w:before="32"/>
              <w:ind w:right="92"/>
              <w:jc w:val="right"/>
              <w:rPr>
                <w:sz w:val="18"/>
              </w:rPr>
            </w:pPr>
            <w:r>
              <w:rPr>
                <w:spacing w:val="-4"/>
                <w:sz w:val="18"/>
              </w:rPr>
              <w:t>0.00</w:t>
            </w:r>
          </w:p>
        </w:tc>
        <w:tc>
          <w:tcPr>
            <w:tcW w:w="1169" w:type="dxa"/>
            <w:tcBorders>
              <w:right w:val="nil"/>
            </w:tcBorders>
            <w:shd w:val="clear" w:color="auto" w:fill="CCE2ED"/>
          </w:tcPr>
          <w:p w14:paraId="5723C86C" w14:textId="77777777" w:rsidR="00141B97" w:rsidRDefault="00911D63">
            <w:pPr>
              <w:pStyle w:val="TableParagraph"/>
              <w:spacing w:before="32"/>
              <w:ind w:right="82"/>
              <w:jc w:val="right"/>
              <w:rPr>
                <w:sz w:val="18"/>
              </w:rPr>
            </w:pPr>
            <w:r>
              <w:rPr>
                <w:spacing w:val="-4"/>
                <w:sz w:val="18"/>
              </w:rPr>
              <w:t>0.00</w:t>
            </w:r>
          </w:p>
        </w:tc>
      </w:tr>
      <w:tr w:rsidR="00141B97" w14:paraId="1C5E202C" w14:textId="77777777">
        <w:trPr>
          <w:trHeight w:val="282"/>
          <w:tblCellSpacing w:w="9" w:type="dxa"/>
        </w:trPr>
        <w:tc>
          <w:tcPr>
            <w:tcW w:w="2550" w:type="dxa"/>
            <w:tcBorders>
              <w:left w:val="nil"/>
            </w:tcBorders>
            <w:shd w:val="clear" w:color="auto" w:fill="CCE2ED"/>
          </w:tcPr>
          <w:p w14:paraId="5535AF18" w14:textId="77777777" w:rsidR="00141B97" w:rsidRDefault="00911D63">
            <w:pPr>
              <w:pStyle w:val="TableParagraph"/>
              <w:spacing w:before="32"/>
              <w:ind w:left="88"/>
              <w:rPr>
                <w:sz w:val="18"/>
              </w:rPr>
            </w:pPr>
            <w:r>
              <w:rPr>
                <w:sz w:val="18"/>
              </w:rPr>
              <w:t>Farm</w:t>
            </w:r>
            <w:r>
              <w:rPr>
                <w:spacing w:val="-2"/>
                <w:sz w:val="18"/>
              </w:rPr>
              <w:t xml:space="preserve"> </w:t>
            </w:r>
            <w:r>
              <w:rPr>
                <w:sz w:val="18"/>
              </w:rPr>
              <w:t>activities</w:t>
            </w:r>
            <w:r>
              <w:rPr>
                <w:spacing w:val="-1"/>
                <w:sz w:val="18"/>
              </w:rPr>
              <w:t xml:space="preserve"> </w:t>
            </w:r>
            <w:r>
              <w:rPr>
                <w:sz w:val="18"/>
              </w:rPr>
              <w:t xml:space="preserve">‐ op </w:t>
            </w:r>
            <w:r>
              <w:rPr>
                <w:spacing w:val="-2"/>
                <w:sz w:val="18"/>
              </w:rPr>
              <w:t>costs</w:t>
            </w:r>
          </w:p>
        </w:tc>
        <w:tc>
          <w:tcPr>
            <w:tcW w:w="1298" w:type="dxa"/>
            <w:shd w:val="clear" w:color="auto" w:fill="CCE2ED"/>
          </w:tcPr>
          <w:p w14:paraId="078B1393" w14:textId="77777777" w:rsidR="00141B97" w:rsidRDefault="00911D63">
            <w:pPr>
              <w:pStyle w:val="TableParagraph"/>
              <w:spacing w:before="32"/>
              <w:ind w:right="95"/>
              <w:jc w:val="right"/>
              <w:rPr>
                <w:sz w:val="18"/>
              </w:rPr>
            </w:pPr>
            <w:r>
              <w:rPr>
                <w:spacing w:val="-4"/>
                <w:sz w:val="18"/>
              </w:rPr>
              <w:t>0.08</w:t>
            </w:r>
          </w:p>
        </w:tc>
        <w:tc>
          <w:tcPr>
            <w:tcW w:w="1180" w:type="dxa"/>
            <w:shd w:val="clear" w:color="auto" w:fill="CCE2ED"/>
          </w:tcPr>
          <w:p w14:paraId="7D7A986F" w14:textId="77777777" w:rsidR="00141B97" w:rsidRDefault="00911D63">
            <w:pPr>
              <w:pStyle w:val="TableParagraph"/>
              <w:spacing w:before="32"/>
              <w:ind w:right="95"/>
              <w:jc w:val="right"/>
              <w:rPr>
                <w:sz w:val="18"/>
              </w:rPr>
            </w:pPr>
            <w:r>
              <w:rPr>
                <w:spacing w:val="-4"/>
                <w:sz w:val="18"/>
              </w:rPr>
              <w:t>0.09</w:t>
            </w:r>
          </w:p>
        </w:tc>
        <w:tc>
          <w:tcPr>
            <w:tcW w:w="1180" w:type="dxa"/>
            <w:shd w:val="clear" w:color="auto" w:fill="CCE2ED"/>
          </w:tcPr>
          <w:p w14:paraId="6336D6B4" w14:textId="77777777" w:rsidR="00141B97" w:rsidRDefault="00911D63">
            <w:pPr>
              <w:pStyle w:val="TableParagraph"/>
              <w:spacing w:before="32"/>
              <w:ind w:right="93"/>
              <w:jc w:val="right"/>
              <w:rPr>
                <w:sz w:val="18"/>
              </w:rPr>
            </w:pPr>
            <w:r>
              <w:rPr>
                <w:spacing w:val="-4"/>
                <w:sz w:val="18"/>
              </w:rPr>
              <w:t>0.09</w:t>
            </w:r>
          </w:p>
        </w:tc>
        <w:tc>
          <w:tcPr>
            <w:tcW w:w="1180" w:type="dxa"/>
            <w:shd w:val="clear" w:color="auto" w:fill="CCE2ED"/>
          </w:tcPr>
          <w:p w14:paraId="49D7A54F" w14:textId="77777777" w:rsidR="00141B97" w:rsidRDefault="00911D63">
            <w:pPr>
              <w:pStyle w:val="TableParagraph"/>
              <w:spacing w:before="32"/>
              <w:ind w:right="93"/>
              <w:jc w:val="right"/>
              <w:rPr>
                <w:sz w:val="18"/>
              </w:rPr>
            </w:pPr>
            <w:r>
              <w:rPr>
                <w:spacing w:val="-4"/>
                <w:sz w:val="18"/>
              </w:rPr>
              <w:t>0.09</w:t>
            </w:r>
          </w:p>
        </w:tc>
        <w:tc>
          <w:tcPr>
            <w:tcW w:w="1180" w:type="dxa"/>
            <w:shd w:val="clear" w:color="auto" w:fill="CCE2ED"/>
          </w:tcPr>
          <w:p w14:paraId="70EDB372" w14:textId="77777777" w:rsidR="00141B97" w:rsidRDefault="00911D63">
            <w:pPr>
              <w:pStyle w:val="TableParagraph"/>
              <w:spacing w:before="32"/>
              <w:ind w:right="92"/>
              <w:jc w:val="right"/>
              <w:rPr>
                <w:sz w:val="18"/>
              </w:rPr>
            </w:pPr>
            <w:r>
              <w:rPr>
                <w:spacing w:val="-4"/>
                <w:sz w:val="18"/>
              </w:rPr>
              <w:t>0.14</w:t>
            </w:r>
          </w:p>
        </w:tc>
        <w:tc>
          <w:tcPr>
            <w:tcW w:w="1169" w:type="dxa"/>
            <w:tcBorders>
              <w:right w:val="nil"/>
            </w:tcBorders>
            <w:shd w:val="clear" w:color="auto" w:fill="CCE2ED"/>
          </w:tcPr>
          <w:p w14:paraId="6A09FDE5" w14:textId="77777777" w:rsidR="00141B97" w:rsidRDefault="00911D63">
            <w:pPr>
              <w:pStyle w:val="TableParagraph"/>
              <w:spacing w:before="32"/>
              <w:ind w:right="82"/>
              <w:jc w:val="right"/>
              <w:rPr>
                <w:sz w:val="18"/>
              </w:rPr>
            </w:pPr>
            <w:r>
              <w:rPr>
                <w:spacing w:val="-4"/>
                <w:sz w:val="18"/>
              </w:rPr>
              <w:t>0.09</w:t>
            </w:r>
          </w:p>
        </w:tc>
      </w:tr>
      <w:tr w:rsidR="00141B97" w14:paraId="0CEF3772" w14:textId="77777777">
        <w:trPr>
          <w:trHeight w:val="283"/>
          <w:tblCellSpacing w:w="9" w:type="dxa"/>
        </w:trPr>
        <w:tc>
          <w:tcPr>
            <w:tcW w:w="2550" w:type="dxa"/>
            <w:tcBorders>
              <w:left w:val="nil"/>
              <w:bottom w:val="nil"/>
            </w:tcBorders>
            <w:shd w:val="clear" w:color="auto" w:fill="CCE2ED"/>
          </w:tcPr>
          <w:p w14:paraId="6204F3A0" w14:textId="77777777" w:rsidR="00141B97" w:rsidRDefault="00911D63">
            <w:pPr>
              <w:pStyle w:val="TableParagraph"/>
              <w:spacing w:before="32"/>
              <w:ind w:left="88"/>
              <w:rPr>
                <w:sz w:val="18"/>
              </w:rPr>
            </w:pPr>
            <w:r>
              <w:rPr>
                <w:sz w:val="18"/>
              </w:rPr>
              <w:t>Admin</w:t>
            </w:r>
            <w:r>
              <w:rPr>
                <w:spacing w:val="-5"/>
                <w:sz w:val="18"/>
              </w:rPr>
              <w:t xml:space="preserve"> </w:t>
            </w:r>
            <w:r>
              <w:rPr>
                <w:sz w:val="18"/>
              </w:rPr>
              <w:t>–</w:t>
            </w:r>
            <w:r>
              <w:rPr>
                <w:spacing w:val="-3"/>
                <w:sz w:val="18"/>
              </w:rPr>
              <w:t xml:space="preserve"> </w:t>
            </w:r>
            <w:r>
              <w:rPr>
                <w:sz w:val="18"/>
              </w:rPr>
              <w:t>operating</w:t>
            </w:r>
            <w:r>
              <w:rPr>
                <w:spacing w:val="-2"/>
                <w:sz w:val="18"/>
              </w:rPr>
              <w:t xml:space="preserve"> costs</w:t>
            </w:r>
          </w:p>
        </w:tc>
        <w:tc>
          <w:tcPr>
            <w:tcW w:w="1298" w:type="dxa"/>
            <w:tcBorders>
              <w:bottom w:val="nil"/>
            </w:tcBorders>
            <w:shd w:val="clear" w:color="auto" w:fill="CCE2ED"/>
          </w:tcPr>
          <w:p w14:paraId="73033171" w14:textId="77777777" w:rsidR="00141B97" w:rsidRDefault="00911D63">
            <w:pPr>
              <w:pStyle w:val="TableParagraph"/>
              <w:spacing w:before="32"/>
              <w:ind w:right="95"/>
              <w:jc w:val="right"/>
              <w:rPr>
                <w:sz w:val="18"/>
              </w:rPr>
            </w:pPr>
            <w:r>
              <w:rPr>
                <w:spacing w:val="-4"/>
                <w:sz w:val="18"/>
              </w:rPr>
              <w:t>0.02</w:t>
            </w:r>
          </w:p>
        </w:tc>
        <w:tc>
          <w:tcPr>
            <w:tcW w:w="1180" w:type="dxa"/>
            <w:tcBorders>
              <w:bottom w:val="nil"/>
            </w:tcBorders>
            <w:shd w:val="clear" w:color="auto" w:fill="CCE2ED"/>
          </w:tcPr>
          <w:p w14:paraId="5C8CA09A" w14:textId="77777777" w:rsidR="00141B97" w:rsidRDefault="00911D63">
            <w:pPr>
              <w:pStyle w:val="TableParagraph"/>
              <w:spacing w:before="32"/>
              <w:ind w:right="95"/>
              <w:jc w:val="right"/>
              <w:rPr>
                <w:sz w:val="18"/>
              </w:rPr>
            </w:pPr>
            <w:r>
              <w:rPr>
                <w:spacing w:val="-4"/>
                <w:sz w:val="18"/>
              </w:rPr>
              <w:t>0.02</w:t>
            </w:r>
          </w:p>
        </w:tc>
        <w:tc>
          <w:tcPr>
            <w:tcW w:w="1180" w:type="dxa"/>
            <w:tcBorders>
              <w:bottom w:val="nil"/>
            </w:tcBorders>
            <w:shd w:val="clear" w:color="auto" w:fill="CCE2ED"/>
          </w:tcPr>
          <w:p w14:paraId="19FA2B29" w14:textId="77777777" w:rsidR="00141B97" w:rsidRDefault="00911D63">
            <w:pPr>
              <w:pStyle w:val="TableParagraph"/>
              <w:spacing w:before="32"/>
              <w:ind w:right="93"/>
              <w:jc w:val="right"/>
              <w:rPr>
                <w:sz w:val="18"/>
              </w:rPr>
            </w:pPr>
            <w:r>
              <w:rPr>
                <w:spacing w:val="-4"/>
                <w:sz w:val="18"/>
              </w:rPr>
              <w:t>0.02</w:t>
            </w:r>
          </w:p>
        </w:tc>
        <w:tc>
          <w:tcPr>
            <w:tcW w:w="1180" w:type="dxa"/>
            <w:tcBorders>
              <w:bottom w:val="nil"/>
            </w:tcBorders>
            <w:shd w:val="clear" w:color="auto" w:fill="CCE2ED"/>
          </w:tcPr>
          <w:p w14:paraId="2D5676FF" w14:textId="77777777" w:rsidR="00141B97" w:rsidRDefault="00911D63">
            <w:pPr>
              <w:pStyle w:val="TableParagraph"/>
              <w:spacing w:before="32"/>
              <w:ind w:right="93"/>
              <w:jc w:val="right"/>
              <w:rPr>
                <w:sz w:val="18"/>
              </w:rPr>
            </w:pPr>
            <w:r>
              <w:rPr>
                <w:spacing w:val="-4"/>
                <w:sz w:val="18"/>
              </w:rPr>
              <w:t>0.02</w:t>
            </w:r>
          </w:p>
        </w:tc>
        <w:tc>
          <w:tcPr>
            <w:tcW w:w="1180" w:type="dxa"/>
            <w:tcBorders>
              <w:bottom w:val="nil"/>
            </w:tcBorders>
            <w:shd w:val="clear" w:color="auto" w:fill="CCE2ED"/>
          </w:tcPr>
          <w:p w14:paraId="691FE9D4" w14:textId="77777777" w:rsidR="00141B97" w:rsidRDefault="00911D63">
            <w:pPr>
              <w:pStyle w:val="TableParagraph"/>
              <w:spacing w:before="32"/>
              <w:ind w:right="92"/>
              <w:jc w:val="right"/>
              <w:rPr>
                <w:sz w:val="18"/>
              </w:rPr>
            </w:pPr>
            <w:r>
              <w:rPr>
                <w:spacing w:val="-4"/>
                <w:sz w:val="18"/>
              </w:rPr>
              <w:t>0.02</w:t>
            </w:r>
          </w:p>
        </w:tc>
        <w:tc>
          <w:tcPr>
            <w:tcW w:w="1169" w:type="dxa"/>
            <w:tcBorders>
              <w:bottom w:val="nil"/>
              <w:right w:val="nil"/>
            </w:tcBorders>
            <w:shd w:val="clear" w:color="auto" w:fill="CCE2ED"/>
          </w:tcPr>
          <w:p w14:paraId="085A5804" w14:textId="77777777" w:rsidR="00141B97" w:rsidRDefault="00911D63">
            <w:pPr>
              <w:pStyle w:val="TableParagraph"/>
              <w:spacing w:before="32"/>
              <w:ind w:right="82"/>
              <w:jc w:val="right"/>
              <w:rPr>
                <w:sz w:val="18"/>
              </w:rPr>
            </w:pPr>
            <w:r>
              <w:rPr>
                <w:spacing w:val="-4"/>
                <w:sz w:val="18"/>
              </w:rPr>
              <w:t>0.02</w:t>
            </w:r>
          </w:p>
        </w:tc>
      </w:tr>
    </w:tbl>
    <w:p w14:paraId="502EC769" w14:textId="77777777" w:rsidR="00141B97" w:rsidRDefault="00911D63">
      <w:pPr>
        <w:spacing w:before="23"/>
        <w:ind w:left="114"/>
        <w:jc w:val="both"/>
        <w:rPr>
          <w:sz w:val="16"/>
        </w:rPr>
      </w:pPr>
      <w:r>
        <w:rPr>
          <w:sz w:val="16"/>
        </w:rPr>
        <w:t>Table</w:t>
      </w:r>
      <w:r>
        <w:rPr>
          <w:spacing w:val="-7"/>
          <w:sz w:val="16"/>
        </w:rPr>
        <w:t xml:space="preserve"> </w:t>
      </w:r>
      <w:r>
        <w:rPr>
          <w:sz w:val="16"/>
        </w:rPr>
        <w:t>B41:</w:t>
      </w:r>
      <w:r>
        <w:rPr>
          <w:spacing w:val="-9"/>
          <w:sz w:val="16"/>
        </w:rPr>
        <w:t xml:space="preserve"> </w:t>
      </w:r>
      <w:r>
        <w:rPr>
          <w:sz w:val="16"/>
        </w:rPr>
        <w:t>Non‐Prescribed</w:t>
      </w:r>
      <w:r>
        <w:rPr>
          <w:spacing w:val="-8"/>
          <w:sz w:val="16"/>
        </w:rPr>
        <w:t xml:space="preserve"> </w:t>
      </w:r>
      <w:r>
        <w:rPr>
          <w:spacing w:val="-2"/>
          <w:sz w:val="16"/>
        </w:rPr>
        <w:t>Expenditure</w:t>
      </w:r>
    </w:p>
    <w:p w14:paraId="2DA4ED6C" w14:textId="77777777" w:rsidR="00141B97" w:rsidRDefault="00141B97">
      <w:pPr>
        <w:jc w:val="both"/>
        <w:rPr>
          <w:sz w:val="16"/>
        </w:rPr>
        <w:sectPr w:rsidR="00141B97">
          <w:pgSz w:w="11910" w:h="16840"/>
          <w:pgMar w:top="860" w:right="40" w:bottom="760" w:left="1020" w:header="0" w:footer="580" w:gutter="0"/>
          <w:cols w:space="720"/>
        </w:sectPr>
      </w:pPr>
    </w:p>
    <w:p w14:paraId="2B351FC1" w14:textId="4A5A6AE5" w:rsidR="00141B97" w:rsidRDefault="00911D63">
      <w:pPr>
        <w:pStyle w:val="BodyText"/>
        <w:spacing w:before="4"/>
        <w:rPr>
          <w:sz w:val="16"/>
        </w:rPr>
      </w:pPr>
      <w:r>
        <w:rPr>
          <w:noProof/>
        </w:rPr>
        <w:lastRenderedPageBreak/>
        <mc:AlternateContent>
          <mc:Choice Requires="wpg">
            <w:drawing>
              <wp:anchor distT="0" distB="0" distL="114300" distR="114300" simplePos="0" relativeHeight="471453696" behindDoc="1" locked="0" layoutInCell="1" allowOverlap="1" wp14:anchorId="36DE448B" wp14:editId="64346D85">
                <wp:simplePos x="0" y="0"/>
                <wp:positionH relativeFrom="page">
                  <wp:posOffset>0</wp:posOffset>
                </wp:positionH>
                <wp:positionV relativeFrom="page">
                  <wp:posOffset>38100</wp:posOffset>
                </wp:positionV>
                <wp:extent cx="7541895" cy="10654030"/>
                <wp:effectExtent l="0" t="0" r="0" b="0"/>
                <wp:wrapNone/>
                <wp:docPr id="289"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10654030"/>
                          <a:chOff x="0" y="60"/>
                          <a:chExt cx="11877" cy="16778"/>
                        </a:xfrm>
                      </wpg:grpSpPr>
                      <wps:wsp>
                        <wps:cNvPr id="290" name="docshape129"/>
                        <wps:cNvSpPr>
                          <a:spLocks noChangeArrowheads="1"/>
                        </wps:cNvSpPr>
                        <wps:spPr bwMode="auto">
                          <a:xfrm>
                            <a:off x="0" y="60"/>
                            <a:ext cx="11877" cy="16778"/>
                          </a:xfrm>
                          <a:prstGeom prst="rect">
                            <a:avLst/>
                          </a:prstGeom>
                          <a:solidFill>
                            <a:srgbClr val="839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docshape130"/>
                        <wps:cNvSpPr>
                          <a:spLocks/>
                        </wps:cNvSpPr>
                        <wps:spPr bwMode="auto">
                          <a:xfrm>
                            <a:off x="1560" y="11158"/>
                            <a:ext cx="10302" cy="2700"/>
                          </a:xfrm>
                          <a:custGeom>
                            <a:avLst/>
                            <a:gdLst>
                              <a:gd name="T0" fmla="+- 0 3263 1560"/>
                              <a:gd name="T1" fmla="*/ T0 w 10302"/>
                              <a:gd name="T2" fmla="+- 0 11459 11159"/>
                              <a:gd name="T3" fmla="*/ 11459 h 2700"/>
                              <a:gd name="T4" fmla="+- 0 3115 1560"/>
                              <a:gd name="T5" fmla="*/ T4 w 10302"/>
                              <a:gd name="T6" fmla="+- 0 11559 11159"/>
                              <a:gd name="T7" fmla="*/ 11559 h 2700"/>
                              <a:gd name="T8" fmla="+- 0 3181 1560"/>
                              <a:gd name="T9" fmla="*/ T8 w 10302"/>
                              <a:gd name="T10" fmla="+- 0 11659 11159"/>
                              <a:gd name="T11" fmla="*/ 11659 h 2700"/>
                              <a:gd name="T12" fmla="+- 0 3895 1560"/>
                              <a:gd name="T13" fmla="*/ T12 w 10302"/>
                              <a:gd name="T14" fmla="+- 0 11719 11159"/>
                              <a:gd name="T15" fmla="*/ 11719 h 2700"/>
                              <a:gd name="T16" fmla="+- 0 4927 1560"/>
                              <a:gd name="T17" fmla="*/ T16 w 10302"/>
                              <a:gd name="T18" fmla="+- 0 11959 11159"/>
                              <a:gd name="T19" fmla="*/ 11959 h 2700"/>
                              <a:gd name="T20" fmla="+- 0 5597 1560"/>
                              <a:gd name="T21" fmla="*/ T20 w 10302"/>
                              <a:gd name="T22" fmla="+- 0 12199 11159"/>
                              <a:gd name="T23" fmla="*/ 12199 h 2700"/>
                              <a:gd name="T24" fmla="+- 0 6378 1560"/>
                              <a:gd name="T25" fmla="*/ T24 w 10302"/>
                              <a:gd name="T26" fmla="+- 0 12559 11159"/>
                              <a:gd name="T27" fmla="*/ 12559 h 2700"/>
                              <a:gd name="T28" fmla="+- 0 7324 1560"/>
                              <a:gd name="T29" fmla="*/ T28 w 10302"/>
                              <a:gd name="T30" fmla="+- 0 12819 11159"/>
                              <a:gd name="T31" fmla="*/ 12819 h 2700"/>
                              <a:gd name="T32" fmla="+- 0 8077 1560"/>
                              <a:gd name="T33" fmla="*/ T32 w 10302"/>
                              <a:gd name="T34" fmla="+- 0 12939 11159"/>
                              <a:gd name="T35" fmla="*/ 12939 h 2700"/>
                              <a:gd name="T36" fmla="+- 0 9254 1560"/>
                              <a:gd name="T37" fmla="*/ T36 w 10302"/>
                              <a:gd name="T38" fmla="+- 0 13259 11159"/>
                              <a:gd name="T39" fmla="*/ 13259 h 2700"/>
                              <a:gd name="T40" fmla="+- 0 9774 1560"/>
                              <a:gd name="T41" fmla="*/ T40 w 10302"/>
                              <a:gd name="T42" fmla="+- 0 13479 11159"/>
                              <a:gd name="T43" fmla="*/ 13479 h 2700"/>
                              <a:gd name="T44" fmla="+- 0 10308 1560"/>
                              <a:gd name="T45" fmla="*/ T44 w 10302"/>
                              <a:gd name="T46" fmla="+- 0 13679 11159"/>
                              <a:gd name="T47" fmla="*/ 13679 h 2700"/>
                              <a:gd name="T48" fmla="+- 0 10975 1560"/>
                              <a:gd name="T49" fmla="*/ T48 w 10302"/>
                              <a:gd name="T50" fmla="+- 0 13819 11159"/>
                              <a:gd name="T51" fmla="*/ 13819 h 2700"/>
                              <a:gd name="T52" fmla="+- 0 11850 1560"/>
                              <a:gd name="T53" fmla="*/ T52 w 10302"/>
                              <a:gd name="T54" fmla="+- 0 13239 11159"/>
                              <a:gd name="T55" fmla="*/ 13239 h 2700"/>
                              <a:gd name="T56" fmla="+- 0 10876 1560"/>
                              <a:gd name="T57" fmla="*/ T56 w 10302"/>
                              <a:gd name="T58" fmla="+- 0 12939 11159"/>
                              <a:gd name="T59" fmla="*/ 12939 h 2700"/>
                              <a:gd name="T60" fmla="+- 0 10051 1560"/>
                              <a:gd name="T61" fmla="*/ T60 w 10302"/>
                              <a:gd name="T62" fmla="+- 0 12559 11159"/>
                              <a:gd name="T63" fmla="*/ 12559 h 2700"/>
                              <a:gd name="T64" fmla="+- 0 9510 1560"/>
                              <a:gd name="T65" fmla="*/ T64 w 10302"/>
                              <a:gd name="T66" fmla="+- 0 12339 11159"/>
                              <a:gd name="T67" fmla="*/ 12339 h 2700"/>
                              <a:gd name="T68" fmla="+- 0 8510 1560"/>
                              <a:gd name="T69" fmla="*/ T68 w 10302"/>
                              <a:gd name="T70" fmla="+- 0 12119 11159"/>
                              <a:gd name="T71" fmla="*/ 12119 h 2700"/>
                              <a:gd name="T72" fmla="+- 0 7956 1560"/>
                              <a:gd name="T73" fmla="*/ T72 w 10302"/>
                              <a:gd name="T74" fmla="+- 0 12039 11159"/>
                              <a:gd name="T75" fmla="*/ 12039 h 2700"/>
                              <a:gd name="T76" fmla="+- 0 7100 1560"/>
                              <a:gd name="T77" fmla="*/ T76 w 10302"/>
                              <a:gd name="T78" fmla="+- 0 11839 11159"/>
                              <a:gd name="T79" fmla="*/ 11839 h 2700"/>
                              <a:gd name="T80" fmla="+- 0 6648 1560"/>
                              <a:gd name="T81" fmla="*/ T80 w 10302"/>
                              <a:gd name="T82" fmla="+- 0 11659 11159"/>
                              <a:gd name="T83" fmla="*/ 11659 h 2700"/>
                              <a:gd name="T84" fmla="+- 0 5978 1560"/>
                              <a:gd name="T85" fmla="*/ T84 w 10302"/>
                              <a:gd name="T86" fmla="+- 0 11379 11159"/>
                              <a:gd name="T87" fmla="*/ 11379 h 2700"/>
                              <a:gd name="T88" fmla="+- 0 6021 1560"/>
                              <a:gd name="T89" fmla="*/ T88 w 10302"/>
                              <a:gd name="T90" fmla="+- 0 13699 11159"/>
                              <a:gd name="T91" fmla="*/ 13699 h 2700"/>
                              <a:gd name="T92" fmla="+- 0 5941 1560"/>
                              <a:gd name="T93" fmla="*/ T92 w 10302"/>
                              <a:gd name="T94" fmla="+- 0 13699 11159"/>
                              <a:gd name="T95" fmla="*/ 13699 h 2700"/>
                              <a:gd name="T96" fmla="+- 0 2498 1560"/>
                              <a:gd name="T97" fmla="*/ T96 w 10302"/>
                              <a:gd name="T98" fmla="+- 0 12119 11159"/>
                              <a:gd name="T99" fmla="*/ 12119 h 2700"/>
                              <a:gd name="T100" fmla="+- 0 1898 1560"/>
                              <a:gd name="T101" fmla="*/ T100 w 10302"/>
                              <a:gd name="T102" fmla="+- 0 12299 11159"/>
                              <a:gd name="T103" fmla="*/ 12299 h 2700"/>
                              <a:gd name="T104" fmla="+- 0 1607 1560"/>
                              <a:gd name="T105" fmla="*/ T104 w 10302"/>
                              <a:gd name="T106" fmla="+- 0 12459 11159"/>
                              <a:gd name="T107" fmla="*/ 12459 h 2700"/>
                              <a:gd name="T108" fmla="+- 0 1562 1560"/>
                              <a:gd name="T109" fmla="*/ T108 w 10302"/>
                              <a:gd name="T110" fmla="+- 0 12519 11159"/>
                              <a:gd name="T111" fmla="*/ 12519 h 2700"/>
                              <a:gd name="T112" fmla="+- 0 1918 1560"/>
                              <a:gd name="T113" fmla="*/ T112 w 10302"/>
                              <a:gd name="T114" fmla="+- 0 12579 11159"/>
                              <a:gd name="T115" fmla="*/ 12579 h 2700"/>
                              <a:gd name="T116" fmla="+- 0 2518 1560"/>
                              <a:gd name="T117" fmla="*/ T116 w 10302"/>
                              <a:gd name="T118" fmla="+- 0 12659 11159"/>
                              <a:gd name="T119" fmla="*/ 12659 h 2700"/>
                              <a:gd name="T120" fmla="+- 0 3756 1560"/>
                              <a:gd name="T121" fmla="*/ T120 w 10302"/>
                              <a:gd name="T122" fmla="+- 0 12999 11159"/>
                              <a:gd name="T123" fmla="*/ 12999 h 2700"/>
                              <a:gd name="T124" fmla="+- 0 4249 1560"/>
                              <a:gd name="T125" fmla="*/ T124 w 10302"/>
                              <a:gd name="T126" fmla="+- 0 13199 11159"/>
                              <a:gd name="T127" fmla="*/ 13199 h 2700"/>
                              <a:gd name="T128" fmla="+- 0 4759 1560"/>
                              <a:gd name="T129" fmla="*/ T128 w 10302"/>
                              <a:gd name="T130" fmla="+- 0 13419 11159"/>
                              <a:gd name="T131" fmla="*/ 13419 h 2700"/>
                              <a:gd name="T132" fmla="+- 0 5702 1560"/>
                              <a:gd name="T133" fmla="*/ T132 w 10302"/>
                              <a:gd name="T134" fmla="+- 0 13659 11159"/>
                              <a:gd name="T135" fmla="*/ 13659 h 2700"/>
                              <a:gd name="T136" fmla="+- 0 7446 1560"/>
                              <a:gd name="T137" fmla="*/ T136 w 10302"/>
                              <a:gd name="T138" fmla="+- 0 13599 11159"/>
                              <a:gd name="T139" fmla="*/ 13599 h 2700"/>
                              <a:gd name="T140" fmla="+- 0 7833 1560"/>
                              <a:gd name="T141" fmla="*/ T140 w 10302"/>
                              <a:gd name="T142" fmla="+- 0 13439 11159"/>
                              <a:gd name="T143" fmla="*/ 13439 h 2700"/>
                              <a:gd name="T144" fmla="+- 0 7997 1560"/>
                              <a:gd name="T145" fmla="*/ T144 w 10302"/>
                              <a:gd name="T146" fmla="+- 0 13319 11159"/>
                              <a:gd name="T147" fmla="*/ 13319 h 2700"/>
                              <a:gd name="T148" fmla="+- 0 7948 1560"/>
                              <a:gd name="T149" fmla="*/ T148 w 10302"/>
                              <a:gd name="T150" fmla="+- 0 13259 11159"/>
                              <a:gd name="T151" fmla="*/ 13259 h 2700"/>
                              <a:gd name="T152" fmla="+- 0 7302 1560"/>
                              <a:gd name="T153" fmla="*/ T152 w 10302"/>
                              <a:gd name="T154" fmla="+- 0 13179 11159"/>
                              <a:gd name="T155" fmla="*/ 13179 h 2700"/>
                              <a:gd name="T156" fmla="+- 0 6664 1560"/>
                              <a:gd name="T157" fmla="*/ T156 w 10302"/>
                              <a:gd name="T158" fmla="+- 0 13079 11159"/>
                              <a:gd name="T159" fmla="*/ 13079 h 2700"/>
                              <a:gd name="T160" fmla="+- 0 5501 1560"/>
                              <a:gd name="T161" fmla="*/ T160 w 10302"/>
                              <a:gd name="T162" fmla="+- 0 12719 11159"/>
                              <a:gd name="T163" fmla="*/ 12719 h 2700"/>
                              <a:gd name="T164" fmla="+- 0 4901 1560"/>
                              <a:gd name="T165" fmla="*/ T164 w 10302"/>
                              <a:gd name="T166" fmla="+- 0 12459 11159"/>
                              <a:gd name="T167" fmla="*/ 12459 h 2700"/>
                              <a:gd name="T168" fmla="+- 0 4130 1560"/>
                              <a:gd name="T169" fmla="*/ T168 w 10302"/>
                              <a:gd name="T170" fmla="+- 0 12179 11159"/>
                              <a:gd name="T171" fmla="*/ 12179 h 2700"/>
                              <a:gd name="T172" fmla="+- 0 11862 1560"/>
                              <a:gd name="T173" fmla="*/ T172 w 10302"/>
                              <a:gd name="T174" fmla="+- 0 11799 11159"/>
                              <a:gd name="T175" fmla="*/ 11799 h 2700"/>
                              <a:gd name="T176" fmla="+- 0 9274 1560"/>
                              <a:gd name="T177" fmla="*/ T176 w 10302"/>
                              <a:gd name="T178" fmla="+- 0 11879 11159"/>
                              <a:gd name="T179" fmla="*/ 11879 h 2700"/>
                              <a:gd name="T180" fmla="+- 0 10641 1560"/>
                              <a:gd name="T181" fmla="*/ T180 w 10302"/>
                              <a:gd name="T182" fmla="+- 0 12299 11159"/>
                              <a:gd name="T183" fmla="*/ 12299 h 2700"/>
                              <a:gd name="T184" fmla="+- 0 11156 1560"/>
                              <a:gd name="T185" fmla="*/ T184 w 10302"/>
                              <a:gd name="T186" fmla="+- 0 12519 11159"/>
                              <a:gd name="T187" fmla="*/ 12519 h 2700"/>
                              <a:gd name="T188" fmla="+- 0 11785 1560"/>
                              <a:gd name="T189" fmla="*/ T188 w 10302"/>
                              <a:gd name="T190" fmla="+- 0 12739 11159"/>
                              <a:gd name="T191" fmla="*/ 12739 h 2700"/>
                              <a:gd name="T192" fmla="+- 0 3435 1560"/>
                              <a:gd name="T193" fmla="*/ T192 w 10302"/>
                              <a:gd name="T194" fmla="+- 0 12079 11159"/>
                              <a:gd name="T195" fmla="*/ 12079 h 2700"/>
                              <a:gd name="T196" fmla="+- 0 8467 1560"/>
                              <a:gd name="T197" fmla="*/ T196 w 10302"/>
                              <a:gd name="T198" fmla="+- 0 11479 11159"/>
                              <a:gd name="T199" fmla="*/ 11479 h 2700"/>
                              <a:gd name="T200" fmla="+- 0 8190 1560"/>
                              <a:gd name="T201" fmla="*/ T200 w 10302"/>
                              <a:gd name="T202" fmla="+- 0 11639 11159"/>
                              <a:gd name="T203" fmla="*/ 11639 h 2700"/>
                              <a:gd name="T204" fmla="+- 0 8190 1560"/>
                              <a:gd name="T205" fmla="*/ T204 w 10302"/>
                              <a:gd name="T206" fmla="+- 0 11739 11159"/>
                              <a:gd name="T207" fmla="*/ 11739 h 2700"/>
                              <a:gd name="T208" fmla="+- 0 8707 1560"/>
                              <a:gd name="T209" fmla="*/ T208 w 10302"/>
                              <a:gd name="T210" fmla="+- 0 11799 11159"/>
                              <a:gd name="T211" fmla="*/ 11799 h 2700"/>
                              <a:gd name="T212" fmla="+- 0 11264 1560"/>
                              <a:gd name="T213" fmla="*/ T212 w 10302"/>
                              <a:gd name="T214" fmla="+- 0 11539 11159"/>
                              <a:gd name="T215" fmla="*/ 11539 h 2700"/>
                              <a:gd name="T216" fmla="+- 0 9161 1560"/>
                              <a:gd name="T217" fmla="*/ T216 w 10302"/>
                              <a:gd name="T218" fmla="+- 0 11299 11159"/>
                              <a:gd name="T219" fmla="*/ 11299 h 2700"/>
                              <a:gd name="T220" fmla="+- 0 10191 1560"/>
                              <a:gd name="T221" fmla="*/ T220 w 10302"/>
                              <a:gd name="T222" fmla="+- 0 11279 11159"/>
                              <a:gd name="T223" fmla="*/ 11279 h 2700"/>
                              <a:gd name="T224" fmla="+- 0 9796 1560"/>
                              <a:gd name="T225" fmla="*/ T224 w 10302"/>
                              <a:gd name="T226" fmla="+- 0 11239 11159"/>
                              <a:gd name="T227" fmla="*/ 11239 h 2700"/>
                              <a:gd name="T228" fmla="+- 0 4942 1560"/>
                              <a:gd name="T229" fmla="*/ T228 w 10302"/>
                              <a:gd name="T230" fmla="+- 0 11159 11159"/>
                              <a:gd name="T231" fmla="*/ 11159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02" h="2700">
                                <a:moveTo>
                                  <a:pt x="3713" y="40"/>
                                </a:moveTo>
                                <a:lnTo>
                                  <a:pt x="2549" y="40"/>
                                </a:lnTo>
                                <a:lnTo>
                                  <a:pt x="1919" y="200"/>
                                </a:lnTo>
                                <a:lnTo>
                                  <a:pt x="1845" y="240"/>
                                </a:lnTo>
                                <a:lnTo>
                                  <a:pt x="1773" y="280"/>
                                </a:lnTo>
                                <a:lnTo>
                                  <a:pt x="1703" y="300"/>
                                </a:lnTo>
                                <a:lnTo>
                                  <a:pt x="1669" y="320"/>
                                </a:lnTo>
                                <a:lnTo>
                                  <a:pt x="1640" y="340"/>
                                </a:lnTo>
                                <a:lnTo>
                                  <a:pt x="1614" y="360"/>
                                </a:lnTo>
                                <a:lnTo>
                                  <a:pt x="1591" y="380"/>
                                </a:lnTo>
                                <a:lnTo>
                                  <a:pt x="1572" y="400"/>
                                </a:lnTo>
                                <a:lnTo>
                                  <a:pt x="1555" y="400"/>
                                </a:lnTo>
                                <a:lnTo>
                                  <a:pt x="1542" y="420"/>
                                </a:lnTo>
                                <a:lnTo>
                                  <a:pt x="1528" y="440"/>
                                </a:lnTo>
                                <a:lnTo>
                                  <a:pt x="1531" y="460"/>
                                </a:lnTo>
                                <a:lnTo>
                                  <a:pt x="1548" y="480"/>
                                </a:lnTo>
                                <a:lnTo>
                                  <a:pt x="1596" y="480"/>
                                </a:lnTo>
                                <a:lnTo>
                                  <a:pt x="1621" y="500"/>
                                </a:lnTo>
                                <a:lnTo>
                                  <a:pt x="1783" y="500"/>
                                </a:lnTo>
                                <a:lnTo>
                                  <a:pt x="1862" y="520"/>
                                </a:lnTo>
                                <a:lnTo>
                                  <a:pt x="2099" y="520"/>
                                </a:lnTo>
                                <a:lnTo>
                                  <a:pt x="2177" y="540"/>
                                </a:lnTo>
                                <a:lnTo>
                                  <a:pt x="2256" y="540"/>
                                </a:lnTo>
                                <a:lnTo>
                                  <a:pt x="2335" y="560"/>
                                </a:lnTo>
                                <a:lnTo>
                                  <a:pt x="2415" y="560"/>
                                </a:lnTo>
                                <a:lnTo>
                                  <a:pt x="2576" y="600"/>
                                </a:lnTo>
                                <a:lnTo>
                                  <a:pt x="2662" y="600"/>
                                </a:lnTo>
                                <a:lnTo>
                                  <a:pt x="2839" y="640"/>
                                </a:lnTo>
                                <a:lnTo>
                                  <a:pt x="3292" y="760"/>
                                </a:lnTo>
                                <a:lnTo>
                                  <a:pt x="3367" y="800"/>
                                </a:lnTo>
                                <a:lnTo>
                                  <a:pt x="3588" y="860"/>
                                </a:lnTo>
                                <a:lnTo>
                                  <a:pt x="3661" y="900"/>
                                </a:lnTo>
                                <a:lnTo>
                                  <a:pt x="3775" y="940"/>
                                </a:lnTo>
                                <a:lnTo>
                                  <a:pt x="3893" y="980"/>
                                </a:lnTo>
                                <a:lnTo>
                                  <a:pt x="3965" y="1020"/>
                                </a:lnTo>
                                <a:lnTo>
                                  <a:pt x="4037" y="1040"/>
                                </a:lnTo>
                                <a:lnTo>
                                  <a:pt x="4178" y="1120"/>
                                </a:lnTo>
                                <a:lnTo>
                                  <a:pt x="4249" y="1140"/>
                                </a:lnTo>
                                <a:lnTo>
                                  <a:pt x="4459" y="1260"/>
                                </a:lnTo>
                                <a:lnTo>
                                  <a:pt x="4530" y="1280"/>
                                </a:lnTo>
                                <a:lnTo>
                                  <a:pt x="4672" y="1360"/>
                                </a:lnTo>
                                <a:lnTo>
                                  <a:pt x="4818" y="1400"/>
                                </a:lnTo>
                                <a:lnTo>
                                  <a:pt x="4888" y="1440"/>
                                </a:lnTo>
                                <a:lnTo>
                                  <a:pt x="4956" y="1460"/>
                                </a:lnTo>
                                <a:lnTo>
                                  <a:pt x="5220" y="1540"/>
                                </a:lnTo>
                                <a:lnTo>
                                  <a:pt x="5530" y="1620"/>
                                </a:lnTo>
                                <a:lnTo>
                                  <a:pt x="5608" y="1620"/>
                                </a:lnTo>
                                <a:lnTo>
                                  <a:pt x="5764" y="1660"/>
                                </a:lnTo>
                                <a:lnTo>
                                  <a:pt x="5842" y="1660"/>
                                </a:lnTo>
                                <a:lnTo>
                                  <a:pt x="5999" y="1700"/>
                                </a:lnTo>
                                <a:lnTo>
                                  <a:pt x="6078" y="1700"/>
                                </a:lnTo>
                                <a:lnTo>
                                  <a:pt x="6235" y="1740"/>
                                </a:lnTo>
                                <a:lnTo>
                                  <a:pt x="6313" y="1740"/>
                                </a:lnTo>
                                <a:lnTo>
                                  <a:pt x="6517" y="1780"/>
                                </a:lnTo>
                                <a:lnTo>
                                  <a:pt x="6658" y="1800"/>
                                </a:lnTo>
                                <a:lnTo>
                                  <a:pt x="7348" y="1980"/>
                                </a:lnTo>
                                <a:lnTo>
                                  <a:pt x="7432" y="2020"/>
                                </a:lnTo>
                                <a:lnTo>
                                  <a:pt x="7518" y="2040"/>
                                </a:lnTo>
                                <a:lnTo>
                                  <a:pt x="7606" y="2080"/>
                                </a:lnTo>
                                <a:lnTo>
                                  <a:pt x="7694" y="2100"/>
                                </a:lnTo>
                                <a:lnTo>
                                  <a:pt x="7847" y="2180"/>
                                </a:lnTo>
                                <a:lnTo>
                                  <a:pt x="7921" y="2200"/>
                                </a:lnTo>
                                <a:lnTo>
                                  <a:pt x="7995" y="2240"/>
                                </a:lnTo>
                                <a:lnTo>
                                  <a:pt x="8068" y="2260"/>
                                </a:lnTo>
                                <a:lnTo>
                                  <a:pt x="8141" y="2300"/>
                                </a:lnTo>
                                <a:lnTo>
                                  <a:pt x="8214" y="2320"/>
                                </a:lnTo>
                                <a:lnTo>
                                  <a:pt x="8287" y="2360"/>
                                </a:lnTo>
                                <a:lnTo>
                                  <a:pt x="8361" y="2380"/>
                                </a:lnTo>
                                <a:lnTo>
                                  <a:pt x="8436" y="2420"/>
                                </a:lnTo>
                                <a:lnTo>
                                  <a:pt x="8512" y="2440"/>
                                </a:lnTo>
                                <a:lnTo>
                                  <a:pt x="8589" y="2480"/>
                                </a:lnTo>
                                <a:lnTo>
                                  <a:pt x="8748" y="2520"/>
                                </a:lnTo>
                                <a:lnTo>
                                  <a:pt x="8857" y="2540"/>
                                </a:lnTo>
                                <a:lnTo>
                                  <a:pt x="8964" y="2580"/>
                                </a:lnTo>
                                <a:lnTo>
                                  <a:pt x="9113" y="2620"/>
                                </a:lnTo>
                                <a:lnTo>
                                  <a:pt x="9189" y="2620"/>
                                </a:lnTo>
                                <a:lnTo>
                                  <a:pt x="9339" y="2660"/>
                                </a:lnTo>
                                <a:lnTo>
                                  <a:pt x="9415" y="2660"/>
                                </a:lnTo>
                                <a:lnTo>
                                  <a:pt x="9491" y="2680"/>
                                </a:lnTo>
                                <a:lnTo>
                                  <a:pt x="9567" y="2680"/>
                                </a:lnTo>
                                <a:lnTo>
                                  <a:pt x="9643" y="2700"/>
                                </a:lnTo>
                                <a:lnTo>
                                  <a:pt x="10302" y="2700"/>
                                </a:lnTo>
                                <a:lnTo>
                                  <a:pt x="10302" y="2080"/>
                                </a:lnTo>
                                <a:lnTo>
                                  <a:pt x="10290" y="2080"/>
                                </a:lnTo>
                                <a:lnTo>
                                  <a:pt x="10006" y="2020"/>
                                </a:lnTo>
                                <a:lnTo>
                                  <a:pt x="9906" y="1980"/>
                                </a:lnTo>
                                <a:lnTo>
                                  <a:pt x="9609" y="1900"/>
                                </a:lnTo>
                                <a:lnTo>
                                  <a:pt x="9535" y="1860"/>
                                </a:lnTo>
                                <a:lnTo>
                                  <a:pt x="9389" y="1820"/>
                                </a:lnTo>
                                <a:lnTo>
                                  <a:pt x="9316" y="1780"/>
                                </a:lnTo>
                                <a:lnTo>
                                  <a:pt x="9244" y="1760"/>
                                </a:lnTo>
                                <a:lnTo>
                                  <a:pt x="9172" y="1720"/>
                                </a:lnTo>
                                <a:lnTo>
                                  <a:pt x="9101" y="1700"/>
                                </a:lnTo>
                                <a:lnTo>
                                  <a:pt x="8910" y="1620"/>
                                </a:lnTo>
                                <a:lnTo>
                                  <a:pt x="8790" y="1560"/>
                                </a:lnTo>
                                <a:lnTo>
                                  <a:pt x="8491" y="1400"/>
                                </a:lnTo>
                                <a:lnTo>
                                  <a:pt x="8415" y="1380"/>
                                </a:lnTo>
                                <a:lnTo>
                                  <a:pt x="8262" y="1300"/>
                                </a:lnTo>
                                <a:lnTo>
                                  <a:pt x="8185" y="1280"/>
                                </a:lnTo>
                                <a:lnTo>
                                  <a:pt x="8108" y="1240"/>
                                </a:lnTo>
                                <a:lnTo>
                                  <a:pt x="8029" y="1220"/>
                                </a:lnTo>
                                <a:lnTo>
                                  <a:pt x="7950" y="1180"/>
                                </a:lnTo>
                                <a:lnTo>
                                  <a:pt x="7736" y="1120"/>
                                </a:lnTo>
                                <a:lnTo>
                                  <a:pt x="7344" y="1020"/>
                                </a:lnTo>
                                <a:lnTo>
                                  <a:pt x="7265" y="1020"/>
                                </a:lnTo>
                                <a:lnTo>
                                  <a:pt x="7107" y="980"/>
                                </a:lnTo>
                                <a:lnTo>
                                  <a:pt x="7029" y="980"/>
                                </a:lnTo>
                                <a:lnTo>
                                  <a:pt x="6950" y="960"/>
                                </a:lnTo>
                                <a:lnTo>
                                  <a:pt x="6870" y="960"/>
                                </a:lnTo>
                                <a:lnTo>
                                  <a:pt x="6712" y="920"/>
                                </a:lnTo>
                                <a:lnTo>
                                  <a:pt x="6633" y="920"/>
                                </a:lnTo>
                                <a:lnTo>
                                  <a:pt x="6554" y="900"/>
                                </a:lnTo>
                                <a:lnTo>
                                  <a:pt x="6475" y="900"/>
                                </a:lnTo>
                                <a:lnTo>
                                  <a:pt x="6396" y="880"/>
                                </a:lnTo>
                                <a:lnTo>
                                  <a:pt x="6317" y="880"/>
                                </a:lnTo>
                                <a:lnTo>
                                  <a:pt x="6002" y="800"/>
                                </a:lnTo>
                                <a:lnTo>
                                  <a:pt x="5923" y="800"/>
                                </a:lnTo>
                                <a:lnTo>
                                  <a:pt x="5845" y="760"/>
                                </a:lnTo>
                                <a:lnTo>
                                  <a:pt x="5688" y="720"/>
                                </a:lnTo>
                                <a:lnTo>
                                  <a:pt x="5540" y="680"/>
                                </a:lnTo>
                                <a:lnTo>
                                  <a:pt x="5466" y="640"/>
                                </a:lnTo>
                                <a:lnTo>
                                  <a:pt x="5388" y="620"/>
                                </a:lnTo>
                                <a:lnTo>
                                  <a:pt x="5310" y="580"/>
                                </a:lnTo>
                                <a:lnTo>
                                  <a:pt x="5235" y="560"/>
                                </a:lnTo>
                                <a:lnTo>
                                  <a:pt x="5161" y="520"/>
                                </a:lnTo>
                                <a:lnTo>
                                  <a:pt x="5088" y="500"/>
                                </a:lnTo>
                                <a:lnTo>
                                  <a:pt x="4942" y="420"/>
                                </a:lnTo>
                                <a:lnTo>
                                  <a:pt x="4870" y="400"/>
                                </a:lnTo>
                                <a:lnTo>
                                  <a:pt x="4723" y="320"/>
                                </a:lnTo>
                                <a:lnTo>
                                  <a:pt x="4649" y="300"/>
                                </a:lnTo>
                                <a:lnTo>
                                  <a:pt x="4573" y="260"/>
                                </a:lnTo>
                                <a:lnTo>
                                  <a:pt x="4418" y="220"/>
                                </a:lnTo>
                                <a:lnTo>
                                  <a:pt x="4202" y="140"/>
                                </a:lnTo>
                                <a:lnTo>
                                  <a:pt x="3960" y="80"/>
                                </a:lnTo>
                                <a:lnTo>
                                  <a:pt x="3878" y="80"/>
                                </a:lnTo>
                                <a:lnTo>
                                  <a:pt x="3713" y="40"/>
                                </a:lnTo>
                                <a:close/>
                                <a:moveTo>
                                  <a:pt x="5182" y="2540"/>
                                </a:moveTo>
                                <a:lnTo>
                                  <a:pt x="4461" y="2540"/>
                                </a:lnTo>
                                <a:lnTo>
                                  <a:pt x="4541" y="2560"/>
                                </a:lnTo>
                                <a:lnTo>
                                  <a:pt x="5102" y="2560"/>
                                </a:lnTo>
                                <a:lnTo>
                                  <a:pt x="5182" y="2540"/>
                                </a:lnTo>
                                <a:close/>
                                <a:moveTo>
                                  <a:pt x="5420" y="2520"/>
                                </a:moveTo>
                                <a:lnTo>
                                  <a:pt x="4301" y="2520"/>
                                </a:lnTo>
                                <a:lnTo>
                                  <a:pt x="4381" y="2540"/>
                                </a:lnTo>
                                <a:lnTo>
                                  <a:pt x="5341" y="2540"/>
                                </a:lnTo>
                                <a:lnTo>
                                  <a:pt x="5420" y="2520"/>
                                </a:lnTo>
                                <a:close/>
                                <a:moveTo>
                                  <a:pt x="2031" y="920"/>
                                </a:moveTo>
                                <a:lnTo>
                                  <a:pt x="1171" y="920"/>
                                </a:lnTo>
                                <a:lnTo>
                                  <a:pt x="1016" y="960"/>
                                </a:lnTo>
                                <a:lnTo>
                                  <a:pt x="938" y="960"/>
                                </a:lnTo>
                                <a:lnTo>
                                  <a:pt x="798" y="1000"/>
                                </a:lnTo>
                                <a:lnTo>
                                  <a:pt x="732" y="1000"/>
                                </a:lnTo>
                                <a:lnTo>
                                  <a:pt x="652" y="1020"/>
                                </a:lnTo>
                                <a:lnTo>
                                  <a:pt x="572" y="1060"/>
                                </a:lnTo>
                                <a:lnTo>
                                  <a:pt x="415" y="1100"/>
                                </a:lnTo>
                                <a:lnTo>
                                  <a:pt x="338" y="1140"/>
                                </a:lnTo>
                                <a:lnTo>
                                  <a:pt x="294" y="1160"/>
                                </a:lnTo>
                                <a:lnTo>
                                  <a:pt x="252" y="1180"/>
                                </a:lnTo>
                                <a:lnTo>
                                  <a:pt x="198" y="1200"/>
                                </a:lnTo>
                                <a:lnTo>
                                  <a:pt x="146" y="1220"/>
                                </a:lnTo>
                                <a:lnTo>
                                  <a:pt x="95" y="1260"/>
                                </a:lnTo>
                                <a:lnTo>
                                  <a:pt x="47" y="1300"/>
                                </a:lnTo>
                                <a:lnTo>
                                  <a:pt x="30" y="1300"/>
                                </a:lnTo>
                                <a:lnTo>
                                  <a:pt x="18" y="1320"/>
                                </a:lnTo>
                                <a:lnTo>
                                  <a:pt x="8" y="1340"/>
                                </a:lnTo>
                                <a:lnTo>
                                  <a:pt x="2" y="1340"/>
                                </a:lnTo>
                                <a:lnTo>
                                  <a:pt x="0" y="1360"/>
                                </a:lnTo>
                                <a:lnTo>
                                  <a:pt x="2" y="1360"/>
                                </a:lnTo>
                                <a:lnTo>
                                  <a:pt x="8" y="1380"/>
                                </a:lnTo>
                                <a:lnTo>
                                  <a:pt x="18" y="1380"/>
                                </a:lnTo>
                                <a:lnTo>
                                  <a:pt x="56" y="1400"/>
                                </a:lnTo>
                                <a:lnTo>
                                  <a:pt x="144" y="1400"/>
                                </a:lnTo>
                                <a:lnTo>
                                  <a:pt x="184" y="1420"/>
                                </a:lnTo>
                                <a:lnTo>
                                  <a:pt x="358" y="1420"/>
                                </a:lnTo>
                                <a:lnTo>
                                  <a:pt x="467" y="1440"/>
                                </a:lnTo>
                                <a:lnTo>
                                  <a:pt x="549" y="1440"/>
                                </a:lnTo>
                                <a:lnTo>
                                  <a:pt x="631" y="1460"/>
                                </a:lnTo>
                                <a:lnTo>
                                  <a:pt x="713" y="1460"/>
                                </a:lnTo>
                                <a:lnTo>
                                  <a:pt x="876" y="1500"/>
                                </a:lnTo>
                                <a:lnTo>
                                  <a:pt x="958" y="1500"/>
                                </a:lnTo>
                                <a:lnTo>
                                  <a:pt x="1129" y="1540"/>
                                </a:lnTo>
                                <a:lnTo>
                                  <a:pt x="1315" y="1580"/>
                                </a:lnTo>
                                <a:lnTo>
                                  <a:pt x="1850" y="1720"/>
                                </a:lnTo>
                                <a:lnTo>
                                  <a:pt x="1925" y="1760"/>
                                </a:lnTo>
                                <a:lnTo>
                                  <a:pt x="2074" y="1800"/>
                                </a:lnTo>
                                <a:lnTo>
                                  <a:pt x="2196" y="1840"/>
                                </a:lnTo>
                                <a:lnTo>
                                  <a:pt x="2322" y="1900"/>
                                </a:lnTo>
                                <a:lnTo>
                                  <a:pt x="2397" y="1920"/>
                                </a:lnTo>
                                <a:lnTo>
                                  <a:pt x="2470" y="1960"/>
                                </a:lnTo>
                                <a:lnTo>
                                  <a:pt x="2544" y="1980"/>
                                </a:lnTo>
                                <a:lnTo>
                                  <a:pt x="2617" y="2020"/>
                                </a:lnTo>
                                <a:lnTo>
                                  <a:pt x="2689" y="2040"/>
                                </a:lnTo>
                                <a:lnTo>
                                  <a:pt x="2761" y="2080"/>
                                </a:lnTo>
                                <a:lnTo>
                                  <a:pt x="2834" y="2100"/>
                                </a:lnTo>
                                <a:lnTo>
                                  <a:pt x="2979" y="2180"/>
                                </a:lnTo>
                                <a:lnTo>
                                  <a:pt x="3052" y="2200"/>
                                </a:lnTo>
                                <a:lnTo>
                                  <a:pt x="3125" y="2240"/>
                                </a:lnTo>
                                <a:lnTo>
                                  <a:pt x="3199" y="2260"/>
                                </a:lnTo>
                                <a:lnTo>
                                  <a:pt x="3422" y="2340"/>
                                </a:lnTo>
                                <a:lnTo>
                                  <a:pt x="3533" y="2360"/>
                                </a:lnTo>
                                <a:lnTo>
                                  <a:pt x="3642" y="2400"/>
                                </a:lnTo>
                                <a:lnTo>
                                  <a:pt x="3750" y="2420"/>
                                </a:lnTo>
                                <a:lnTo>
                                  <a:pt x="4063" y="2500"/>
                                </a:lnTo>
                                <a:lnTo>
                                  <a:pt x="4142" y="2500"/>
                                </a:lnTo>
                                <a:lnTo>
                                  <a:pt x="4222" y="2520"/>
                                </a:lnTo>
                                <a:lnTo>
                                  <a:pt x="5495" y="2520"/>
                                </a:lnTo>
                                <a:lnTo>
                                  <a:pt x="5567" y="2500"/>
                                </a:lnTo>
                                <a:lnTo>
                                  <a:pt x="5635" y="2480"/>
                                </a:lnTo>
                                <a:lnTo>
                                  <a:pt x="5720" y="2480"/>
                                </a:lnTo>
                                <a:lnTo>
                                  <a:pt x="5886" y="2440"/>
                                </a:lnTo>
                                <a:lnTo>
                                  <a:pt x="5968" y="2400"/>
                                </a:lnTo>
                                <a:lnTo>
                                  <a:pt x="6050" y="2380"/>
                                </a:lnTo>
                                <a:lnTo>
                                  <a:pt x="6098" y="2360"/>
                                </a:lnTo>
                                <a:lnTo>
                                  <a:pt x="6144" y="2340"/>
                                </a:lnTo>
                                <a:lnTo>
                                  <a:pt x="6209" y="2320"/>
                                </a:lnTo>
                                <a:lnTo>
                                  <a:pt x="6273" y="2280"/>
                                </a:lnTo>
                                <a:lnTo>
                                  <a:pt x="6335" y="2260"/>
                                </a:lnTo>
                                <a:lnTo>
                                  <a:pt x="6392" y="2220"/>
                                </a:lnTo>
                                <a:lnTo>
                                  <a:pt x="6409" y="2200"/>
                                </a:lnTo>
                                <a:lnTo>
                                  <a:pt x="6421" y="2180"/>
                                </a:lnTo>
                                <a:lnTo>
                                  <a:pt x="6432" y="2180"/>
                                </a:lnTo>
                                <a:lnTo>
                                  <a:pt x="6437" y="2160"/>
                                </a:lnTo>
                                <a:lnTo>
                                  <a:pt x="6438" y="2140"/>
                                </a:lnTo>
                                <a:lnTo>
                                  <a:pt x="6437" y="2140"/>
                                </a:lnTo>
                                <a:lnTo>
                                  <a:pt x="6431" y="2120"/>
                                </a:lnTo>
                                <a:lnTo>
                                  <a:pt x="6420" y="2120"/>
                                </a:lnTo>
                                <a:lnTo>
                                  <a:pt x="6406" y="2100"/>
                                </a:lnTo>
                                <a:lnTo>
                                  <a:pt x="6388" y="2100"/>
                                </a:lnTo>
                                <a:lnTo>
                                  <a:pt x="6330" y="2080"/>
                                </a:lnTo>
                                <a:lnTo>
                                  <a:pt x="6214" y="2080"/>
                                </a:lnTo>
                                <a:lnTo>
                                  <a:pt x="6155" y="2060"/>
                                </a:lnTo>
                                <a:lnTo>
                                  <a:pt x="5944" y="2040"/>
                                </a:lnTo>
                                <a:lnTo>
                                  <a:pt x="5819" y="2040"/>
                                </a:lnTo>
                                <a:lnTo>
                                  <a:pt x="5742" y="2020"/>
                                </a:lnTo>
                                <a:lnTo>
                                  <a:pt x="5665" y="2020"/>
                                </a:lnTo>
                                <a:lnTo>
                                  <a:pt x="5511" y="1980"/>
                                </a:lnTo>
                                <a:lnTo>
                                  <a:pt x="5435" y="1980"/>
                                </a:lnTo>
                                <a:lnTo>
                                  <a:pt x="5358" y="1960"/>
                                </a:lnTo>
                                <a:lnTo>
                                  <a:pt x="5282" y="1960"/>
                                </a:lnTo>
                                <a:lnTo>
                                  <a:pt x="5104" y="1920"/>
                                </a:lnTo>
                                <a:lnTo>
                                  <a:pt x="4914" y="1880"/>
                                </a:lnTo>
                                <a:lnTo>
                                  <a:pt x="4614" y="1800"/>
                                </a:lnTo>
                                <a:lnTo>
                                  <a:pt x="4540" y="1760"/>
                                </a:lnTo>
                                <a:lnTo>
                                  <a:pt x="4245" y="1680"/>
                                </a:lnTo>
                                <a:lnTo>
                                  <a:pt x="4172" y="1640"/>
                                </a:lnTo>
                                <a:lnTo>
                                  <a:pt x="3941" y="1560"/>
                                </a:lnTo>
                                <a:lnTo>
                                  <a:pt x="3864" y="1520"/>
                                </a:lnTo>
                                <a:lnTo>
                                  <a:pt x="3788" y="1500"/>
                                </a:lnTo>
                                <a:lnTo>
                                  <a:pt x="3638" y="1420"/>
                                </a:lnTo>
                                <a:lnTo>
                                  <a:pt x="3564" y="1400"/>
                                </a:lnTo>
                                <a:lnTo>
                                  <a:pt x="3415" y="1320"/>
                                </a:lnTo>
                                <a:lnTo>
                                  <a:pt x="3341" y="1300"/>
                                </a:lnTo>
                                <a:lnTo>
                                  <a:pt x="3190" y="1220"/>
                                </a:lnTo>
                                <a:lnTo>
                                  <a:pt x="3114" y="1200"/>
                                </a:lnTo>
                                <a:lnTo>
                                  <a:pt x="2892" y="1120"/>
                                </a:lnTo>
                                <a:lnTo>
                                  <a:pt x="2784" y="1080"/>
                                </a:lnTo>
                                <a:lnTo>
                                  <a:pt x="2676" y="1060"/>
                                </a:lnTo>
                                <a:lnTo>
                                  <a:pt x="2570" y="1020"/>
                                </a:lnTo>
                                <a:lnTo>
                                  <a:pt x="2418" y="980"/>
                                </a:lnTo>
                                <a:lnTo>
                                  <a:pt x="2341" y="980"/>
                                </a:lnTo>
                                <a:lnTo>
                                  <a:pt x="2186" y="940"/>
                                </a:lnTo>
                                <a:lnTo>
                                  <a:pt x="2109" y="940"/>
                                </a:lnTo>
                                <a:lnTo>
                                  <a:pt x="2031" y="920"/>
                                </a:lnTo>
                                <a:close/>
                                <a:moveTo>
                                  <a:pt x="10302" y="640"/>
                                </a:moveTo>
                                <a:lnTo>
                                  <a:pt x="7226" y="640"/>
                                </a:lnTo>
                                <a:lnTo>
                                  <a:pt x="7304" y="660"/>
                                </a:lnTo>
                                <a:lnTo>
                                  <a:pt x="7384" y="660"/>
                                </a:lnTo>
                                <a:lnTo>
                                  <a:pt x="7460" y="680"/>
                                </a:lnTo>
                                <a:lnTo>
                                  <a:pt x="7542" y="680"/>
                                </a:lnTo>
                                <a:lnTo>
                                  <a:pt x="7714" y="720"/>
                                </a:lnTo>
                                <a:lnTo>
                                  <a:pt x="8539" y="940"/>
                                </a:lnTo>
                                <a:lnTo>
                                  <a:pt x="8779" y="1020"/>
                                </a:lnTo>
                                <a:lnTo>
                                  <a:pt x="8856" y="1060"/>
                                </a:lnTo>
                                <a:lnTo>
                                  <a:pt x="8931" y="1080"/>
                                </a:lnTo>
                                <a:lnTo>
                                  <a:pt x="9007" y="1120"/>
                                </a:lnTo>
                                <a:lnTo>
                                  <a:pt x="9081" y="1140"/>
                                </a:lnTo>
                                <a:lnTo>
                                  <a:pt x="9155" y="1180"/>
                                </a:lnTo>
                                <a:lnTo>
                                  <a:pt x="9229" y="1200"/>
                                </a:lnTo>
                                <a:lnTo>
                                  <a:pt x="9376" y="1280"/>
                                </a:lnTo>
                                <a:lnTo>
                                  <a:pt x="9449" y="1300"/>
                                </a:lnTo>
                                <a:lnTo>
                                  <a:pt x="9522" y="1340"/>
                                </a:lnTo>
                                <a:lnTo>
                                  <a:pt x="9596" y="1360"/>
                                </a:lnTo>
                                <a:lnTo>
                                  <a:pt x="9670" y="1400"/>
                                </a:lnTo>
                                <a:lnTo>
                                  <a:pt x="9745" y="1420"/>
                                </a:lnTo>
                                <a:lnTo>
                                  <a:pt x="9820" y="1460"/>
                                </a:lnTo>
                                <a:lnTo>
                                  <a:pt x="9895" y="1480"/>
                                </a:lnTo>
                                <a:lnTo>
                                  <a:pt x="10116" y="1560"/>
                                </a:lnTo>
                                <a:lnTo>
                                  <a:pt x="10225" y="1580"/>
                                </a:lnTo>
                                <a:lnTo>
                                  <a:pt x="10302" y="1600"/>
                                </a:lnTo>
                                <a:lnTo>
                                  <a:pt x="10302" y="640"/>
                                </a:lnTo>
                                <a:close/>
                                <a:moveTo>
                                  <a:pt x="1797" y="900"/>
                                </a:moveTo>
                                <a:lnTo>
                                  <a:pt x="1483" y="900"/>
                                </a:lnTo>
                                <a:lnTo>
                                  <a:pt x="1405" y="920"/>
                                </a:lnTo>
                                <a:lnTo>
                                  <a:pt x="1875" y="920"/>
                                </a:lnTo>
                                <a:lnTo>
                                  <a:pt x="1797" y="900"/>
                                </a:lnTo>
                                <a:close/>
                                <a:moveTo>
                                  <a:pt x="8866" y="140"/>
                                </a:moveTo>
                                <a:lnTo>
                                  <a:pt x="7522" y="140"/>
                                </a:lnTo>
                                <a:lnTo>
                                  <a:pt x="7055" y="260"/>
                                </a:lnTo>
                                <a:lnTo>
                                  <a:pt x="6980" y="300"/>
                                </a:lnTo>
                                <a:lnTo>
                                  <a:pt x="6907" y="320"/>
                                </a:lnTo>
                                <a:lnTo>
                                  <a:pt x="6835" y="360"/>
                                </a:lnTo>
                                <a:lnTo>
                                  <a:pt x="6766" y="400"/>
                                </a:lnTo>
                                <a:lnTo>
                                  <a:pt x="6698" y="420"/>
                                </a:lnTo>
                                <a:lnTo>
                                  <a:pt x="6672" y="440"/>
                                </a:lnTo>
                                <a:lnTo>
                                  <a:pt x="6649" y="460"/>
                                </a:lnTo>
                                <a:lnTo>
                                  <a:pt x="6630" y="480"/>
                                </a:lnTo>
                                <a:lnTo>
                                  <a:pt x="6613" y="500"/>
                                </a:lnTo>
                                <a:lnTo>
                                  <a:pt x="6601" y="500"/>
                                </a:lnTo>
                                <a:lnTo>
                                  <a:pt x="6586" y="540"/>
                                </a:lnTo>
                                <a:lnTo>
                                  <a:pt x="6588" y="560"/>
                                </a:lnTo>
                                <a:lnTo>
                                  <a:pt x="6603" y="560"/>
                                </a:lnTo>
                                <a:lnTo>
                                  <a:pt x="6630" y="580"/>
                                </a:lnTo>
                                <a:lnTo>
                                  <a:pt x="6674" y="580"/>
                                </a:lnTo>
                                <a:lnTo>
                                  <a:pt x="6754" y="600"/>
                                </a:lnTo>
                                <a:lnTo>
                                  <a:pt x="6911" y="600"/>
                                </a:lnTo>
                                <a:lnTo>
                                  <a:pt x="6990" y="620"/>
                                </a:lnTo>
                                <a:lnTo>
                                  <a:pt x="7068" y="620"/>
                                </a:lnTo>
                                <a:lnTo>
                                  <a:pt x="7147" y="640"/>
                                </a:lnTo>
                                <a:lnTo>
                                  <a:pt x="10284" y="640"/>
                                </a:lnTo>
                                <a:lnTo>
                                  <a:pt x="10160" y="580"/>
                                </a:lnTo>
                                <a:lnTo>
                                  <a:pt x="9923" y="480"/>
                                </a:lnTo>
                                <a:lnTo>
                                  <a:pt x="9850" y="440"/>
                                </a:lnTo>
                                <a:lnTo>
                                  <a:pt x="9777" y="420"/>
                                </a:lnTo>
                                <a:lnTo>
                                  <a:pt x="9704" y="380"/>
                                </a:lnTo>
                                <a:lnTo>
                                  <a:pt x="9630" y="360"/>
                                </a:lnTo>
                                <a:lnTo>
                                  <a:pt x="9555" y="320"/>
                                </a:lnTo>
                                <a:lnTo>
                                  <a:pt x="8866" y="140"/>
                                </a:lnTo>
                                <a:close/>
                                <a:moveTo>
                                  <a:pt x="8709" y="120"/>
                                </a:moveTo>
                                <a:lnTo>
                                  <a:pt x="7678" y="120"/>
                                </a:lnTo>
                                <a:lnTo>
                                  <a:pt x="7601" y="140"/>
                                </a:lnTo>
                                <a:lnTo>
                                  <a:pt x="8788" y="140"/>
                                </a:lnTo>
                                <a:lnTo>
                                  <a:pt x="8709" y="120"/>
                                </a:lnTo>
                                <a:close/>
                                <a:moveTo>
                                  <a:pt x="8552" y="100"/>
                                </a:moveTo>
                                <a:lnTo>
                                  <a:pt x="7831" y="100"/>
                                </a:lnTo>
                                <a:lnTo>
                                  <a:pt x="7755" y="120"/>
                                </a:lnTo>
                                <a:lnTo>
                                  <a:pt x="8631" y="120"/>
                                </a:lnTo>
                                <a:lnTo>
                                  <a:pt x="8552" y="100"/>
                                </a:lnTo>
                                <a:close/>
                                <a:moveTo>
                                  <a:pt x="8236" y="80"/>
                                </a:moveTo>
                                <a:lnTo>
                                  <a:pt x="8156" y="80"/>
                                </a:lnTo>
                                <a:lnTo>
                                  <a:pt x="8077" y="100"/>
                                </a:lnTo>
                                <a:lnTo>
                                  <a:pt x="8315" y="100"/>
                                </a:lnTo>
                                <a:lnTo>
                                  <a:pt x="8236" y="80"/>
                                </a:lnTo>
                                <a:close/>
                                <a:moveTo>
                                  <a:pt x="3548" y="20"/>
                                </a:moveTo>
                                <a:lnTo>
                                  <a:pt x="2710" y="20"/>
                                </a:lnTo>
                                <a:lnTo>
                                  <a:pt x="2630" y="40"/>
                                </a:lnTo>
                                <a:lnTo>
                                  <a:pt x="3631" y="40"/>
                                </a:lnTo>
                                <a:lnTo>
                                  <a:pt x="3548" y="20"/>
                                </a:lnTo>
                                <a:close/>
                                <a:moveTo>
                                  <a:pt x="3382" y="0"/>
                                </a:moveTo>
                                <a:lnTo>
                                  <a:pt x="2949" y="0"/>
                                </a:lnTo>
                                <a:lnTo>
                                  <a:pt x="2870" y="20"/>
                                </a:lnTo>
                                <a:lnTo>
                                  <a:pt x="3465" y="20"/>
                                </a:lnTo>
                                <a:lnTo>
                                  <a:pt x="3382" y="0"/>
                                </a:lnTo>
                                <a:close/>
                              </a:path>
                            </a:pathLst>
                          </a:custGeom>
                          <a:solidFill>
                            <a:srgbClr val="D5D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docshape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905" y="1257"/>
                            <a:ext cx="357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docshape132"/>
                        <wps:cNvSpPr>
                          <a:spLocks/>
                        </wps:cNvSpPr>
                        <wps:spPr bwMode="auto">
                          <a:xfrm>
                            <a:off x="8774" y="1598"/>
                            <a:ext cx="1827" cy="8007"/>
                          </a:xfrm>
                          <a:custGeom>
                            <a:avLst/>
                            <a:gdLst>
                              <a:gd name="T0" fmla="+- 0 10479 8774"/>
                              <a:gd name="T1" fmla="*/ T0 w 1827"/>
                              <a:gd name="T2" fmla="+- 0 6188 1598"/>
                              <a:gd name="T3" fmla="*/ 6188 h 8007"/>
                              <a:gd name="T4" fmla="+- 0 10312 8774"/>
                              <a:gd name="T5" fmla="*/ T4 w 1827"/>
                              <a:gd name="T6" fmla="+- 0 6200 1598"/>
                              <a:gd name="T7" fmla="*/ 6200 h 8007"/>
                              <a:gd name="T8" fmla="+- 0 8809 8774"/>
                              <a:gd name="T9" fmla="*/ T8 w 1827"/>
                              <a:gd name="T10" fmla="+- 0 6721 1598"/>
                              <a:gd name="T11" fmla="*/ 6721 h 8007"/>
                              <a:gd name="T12" fmla="+- 0 8797 8774"/>
                              <a:gd name="T13" fmla="*/ T12 w 1827"/>
                              <a:gd name="T14" fmla="+- 0 6931 1598"/>
                              <a:gd name="T15" fmla="*/ 6931 h 8007"/>
                              <a:gd name="T16" fmla="+- 0 10278 8774"/>
                              <a:gd name="T17" fmla="*/ T16 w 1827"/>
                              <a:gd name="T18" fmla="+- 0 7494 1598"/>
                              <a:gd name="T19" fmla="*/ 7494 h 8007"/>
                              <a:gd name="T20" fmla="+- 0 10388 8774"/>
                              <a:gd name="T21" fmla="*/ T20 w 1827"/>
                              <a:gd name="T22" fmla="+- 0 7539 1598"/>
                              <a:gd name="T23" fmla="*/ 7539 h 8007"/>
                              <a:gd name="T24" fmla="+- 0 10550 8774"/>
                              <a:gd name="T25" fmla="*/ T24 w 1827"/>
                              <a:gd name="T26" fmla="+- 0 7522 1598"/>
                              <a:gd name="T27" fmla="*/ 7522 h 8007"/>
                              <a:gd name="T28" fmla="+- 0 10529 8774"/>
                              <a:gd name="T29" fmla="*/ T28 w 1827"/>
                              <a:gd name="T30" fmla="+- 0 4803 1598"/>
                              <a:gd name="T31" fmla="*/ 4803 h 8007"/>
                              <a:gd name="T32" fmla="+- 0 10290 8774"/>
                              <a:gd name="T33" fmla="*/ T32 w 1827"/>
                              <a:gd name="T34" fmla="+- 0 5420 1598"/>
                              <a:gd name="T35" fmla="*/ 5420 h 8007"/>
                              <a:gd name="T36" fmla="+- 0 10049 8774"/>
                              <a:gd name="T37" fmla="*/ T36 w 1827"/>
                              <a:gd name="T38" fmla="+- 0 5635 1598"/>
                              <a:gd name="T39" fmla="*/ 5635 h 8007"/>
                              <a:gd name="T40" fmla="+- 0 9824 8774"/>
                              <a:gd name="T41" fmla="*/ T40 w 1827"/>
                              <a:gd name="T42" fmla="+- 0 5490 1598"/>
                              <a:gd name="T43" fmla="*/ 5490 h 8007"/>
                              <a:gd name="T44" fmla="+- 0 8820 8774"/>
                              <a:gd name="T45" fmla="*/ T44 w 1827"/>
                              <a:gd name="T46" fmla="+- 0 4800 1598"/>
                              <a:gd name="T47" fmla="*/ 4800 h 8007"/>
                              <a:gd name="T48" fmla="+- 0 8795 8774"/>
                              <a:gd name="T49" fmla="*/ T48 w 1827"/>
                              <a:gd name="T50" fmla="+- 0 4990 1598"/>
                              <a:gd name="T51" fmla="*/ 4990 h 8007"/>
                              <a:gd name="T52" fmla="+- 0 8843 8774"/>
                              <a:gd name="T53" fmla="*/ T52 w 1827"/>
                              <a:gd name="T54" fmla="+- 0 5146 1598"/>
                              <a:gd name="T55" fmla="*/ 5146 h 8007"/>
                              <a:gd name="T56" fmla="+- 0 9437 8774"/>
                              <a:gd name="T57" fmla="*/ T56 w 1827"/>
                              <a:gd name="T58" fmla="+- 0 5452 1598"/>
                              <a:gd name="T59" fmla="*/ 5452 h 8007"/>
                              <a:gd name="T60" fmla="+- 0 8826 8774"/>
                              <a:gd name="T61" fmla="*/ T60 w 1827"/>
                              <a:gd name="T62" fmla="+- 0 5725 1598"/>
                              <a:gd name="T63" fmla="*/ 5725 h 8007"/>
                              <a:gd name="T64" fmla="+- 0 8795 8774"/>
                              <a:gd name="T65" fmla="*/ T64 w 1827"/>
                              <a:gd name="T66" fmla="+- 0 5959 1598"/>
                              <a:gd name="T67" fmla="*/ 5959 h 8007"/>
                              <a:gd name="T68" fmla="+- 0 8858 8774"/>
                              <a:gd name="T69" fmla="*/ T68 w 1827"/>
                              <a:gd name="T70" fmla="+- 0 6098 1598"/>
                              <a:gd name="T71" fmla="*/ 6098 h 8007"/>
                              <a:gd name="T72" fmla="+- 0 9424 8774"/>
                              <a:gd name="T73" fmla="*/ T72 w 1827"/>
                              <a:gd name="T74" fmla="+- 0 5862 1598"/>
                              <a:gd name="T75" fmla="*/ 5862 h 8007"/>
                              <a:gd name="T76" fmla="+- 0 9616 8774"/>
                              <a:gd name="T77" fmla="*/ T76 w 1827"/>
                              <a:gd name="T78" fmla="+- 0 5683 1598"/>
                              <a:gd name="T79" fmla="*/ 5683 h 8007"/>
                              <a:gd name="T80" fmla="+- 0 9855 8774"/>
                              <a:gd name="T81" fmla="*/ T80 w 1827"/>
                              <a:gd name="T82" fmla="+- 0 5956 1598"/>
                              <a:gd name="T83" fmla="*/ 5956 h 8007"/>
                              <a:gd name="T84" fmla="+- 0 10312 8774"/>
                              <a:gd name="T85" fmla="*/ T84 w 1827"/>
                              <a:gd name="T86" fmla="+- 0 5958 1598"/>
                              <a:gd name="T87" fmla="*/ 5958 h 8007"/>
                              <a:gd name="T88" fmla="+- 0 10545 8774"/>
                              <a:gd name="T89" fmla="*/ T88 w 1827"/>
                              <a:gd name="T90" fmla="+- 0 5635 1598"/>
                              <a:gd name="T91" fmla="*/ 5635 h 8007"/>
                              <a:gd name="T92" fmla="+- 0 10572 8774"/>
                              <a:gd name="T93" fmla="*/ T92 w 1827"/>
                              <a:gd name="T94" fmla="+- 0 4892 1598"/>
                              <a:gd name="T95" fmla="*/ 4892 h 8007"/>
                              <a:gd name="T96" fmla="+- 0 10294 8774"/>
                              <a:gd name="T97" fmla="*/ T96 w 1827"/>
                              <a:gd name="T98" fmla="+- 0 1958 1598"/>
                              <a:gd name="T99" fmla="*/ 1958 h 8007"/>
                              <a:gd name="T100" fmla="+- 0 10214 8774"/>
                              <a:gd name="T101" fmla="*/ T100 w 1827"/>
                              <a:gd name="T102" fmla="+- 0 2365 1598"/>
                              <a:gd name="T103" fmla="*/ 2365 h 8007"/>
                              <a:gd name="T104" fmla="+- 0 9854 8774"/>
                              <a:gd name="T105" fmla="*/ T104 w 1827"/>
                              <a:gd name="T106" fmla="+- 0 2404 1598"/>
                              <a:gd name="T107" fmla="*/ 2404 h 8007"/>
                              <a:gd name="T108" fmla="+- 0 9694 8774"/>
                              <a:gd name="T109" fmla="*/ T108 w 1827"/>
                              <a:gd name="T110" fmla="+- 0 2119 1598"/>
                              <a:gd name="T111" fmla="*/ 2119 h 8007"/>
                              <a:gd name="T112" fmla="+- 0 8800 8774"/>
                              <a:gd name="T113" fmla="*/ T112 w 1827"/>
                              <a:gd name="T114" fmla="+- 0 1674 1598"/>
                              <a:gd name="T115" fmla="*/ 1674 h 8007"/>
                              <a:gd name="T116" fmla="+- 0 8803 8774"/>
                              <a:gd name="T117" fmla="*/ T116 w 1827"/>
                              <a:gd name="T118" fmla="+- 0 1896 1598"/>
                              <a:gd name="T119" fmla="*/ 1896 h 8007"/>
                              <a:gd name="T120" fmla="+- 0 9439 8774"/>
                              <a:gd name="T121" fmla="*/ T120 w 1827"/>
                              <a:gd name="T122" fmla="+- 0 2343 1598"/>
                              <a:gd name="T123" fmla="*/ 2343 h 8007"/>
                              <a:gd name="T124" fmla="+- 0 9894 8774"/>
                              <a:gd name="T125" fmla="*/ T124 w 1827"/>
                              <a:gd name="T126" fmla="+- 0 2798 1598"/>
                              <a:gd name="T127" fmla="*/ 2798 h 8007"/>
                              <a:gd name="T128" fmla="+- 0 10412 8774"/>
                              <a:gd name="T129" fmla="*/ T128 w 1827"/>
                              <a:gd name="T130" fmla="+- 0 2662 1598"/>
                              <a:gd name="T131" fmla="*/ 2662 h 8007"/>
                              <a:gd name="T132" fmla="+- 0 10564 8774"/>
                              <a:gd name="T133" fmla="*/ T132 w 1827"/>
                              <a:gd name="T134" fmla="+- 0 2287 1598"/>
                              <a:gd name="T135" fmla="*/ 2287 h 8007"/>
                              <a:gd name="T136" fmla="+- 0 10575 8774"/>
                              <a:gd name="T137" fmla="*/ T136 w 1827"/>
                              <a:gd name="T138" fmla="+- 0 3580 1598"/>
                              <a:gd name="T139" fmla="*/ 3580 h 8007"/>
                              <a:gd name="T140" fmla="+- 0 10234 8774"/>
                              <a:gd name="T141" fmla="*/ T140 w 1827"/>
                              <a:gd name="T142" fmla="+- 0 3402 1598"/>
                              <a:gd name="T143" fmla="*/ 3402 h 8007"/>
                              <a:gd name="T144" fmla="+- 0 8863 8774"/>
                              <a:gd name="T145" fmla="*/ T144 w 1827"/>
                              <a:gd name="T146" fmla="+- 0 2932 1598"/>
                              <a:gd name="T147" fmla="*/ 2932 h 8007"/>
                              <a:gd name="T148" fmla="+- 0 8795 8774"/>
                              <a:gd name="T149" fmla="*/ T148 w 1827"/>
                              <a:gd name="T150" fmla="+- 0 3059 1598"/>
                              <a:gd name="T151" fmla="*/ 3059 h 8007"/>
                              <a:gd name="T152" fmla="+- 0 8828 8774"/>
                              <a:gd name="T153" fmla="*/ T152 w 1827"/>
                              <a:gd name="T154" fmla="+- 0 3269 1598"/>
                              <a:gd name="T155" fmla="*/ 3269 h 8007"/>
                              <a:gd name="T156" fmla="+- 0 8804 8774"/>
                              <a:gd name="T157" fmla="*/ T156 w 1827"/>
                              <a:gd name="T158" fmla="+- 0 4220 1598"/>
                              <a:gd name="T159" fmla="*/ 4220 h 8007"/>
                              <a:gd name="T160" fmla="+- 0 8798 8774"/>
                              <a:gd name="T161" fmla="*/ T160 w 1827"/>
                              <a:gd name="T162" fmla="+- 0 4494 1598"/>
                              <a:gd name="T163" fmla="*/ 4494 h 8007"/>
                              <a:gd name="T164" fmla="+- 0 8913 8774"/>
                              <a:gd name="T165" fmla="*/ T164 w 1827"/>
                              <a:gd name="T166" fmla="+- 0 4546 1598"/>
                              <a:gd name="T167" fmla="*/ 4546 h 8007"/>
                              <a:gd name="T168" fmla="+- 0 10568 8774"/>
                              <a:gd name="T169" fmla="*/ T168 w 1827"/>
                              <a:gd name="T170" fmla="+- 0 3934 1598"/>
                              <a:gd name="T171" fmla="*/ 3934 h 8007"/>
                              <a:gd name="T172" fmla="+- 0 10565 8774"/>
                              <a:gd name="T173" fmla="*/ T172 w 1827"/>
                              <a:gd name="T174" fmla="+- 0 8861 1598"/>
                              <a:gd name="T175" fmla="*/ 8861 h 8007"/>
                              <a:gd name="T176" fmla="+- 0 9917 8774"/>
                              <a:gd name="T177" fmla="*/ T176 w 1827"/>
                              <a:gd name="T178" fmla="+- 0 8318 1598"/>
                              <a:gd name="T179" fmla="*/ 8318 h 8007"/>
                              <a:gd name="T180" fmla="+- 0 9057 8774"/>
                              <a:gd name="T181" fmla="*/ T180 w 1827"/>
                              <a:gd name="T182" fmla="+- 0 8460 1598"/>
                              <a:gd name="T183" fmla="*/ 8460 h 8007"/>
                              <a:gd name="T184" fmla="+- 0 8778 8774"/>
                              <a:gd name="T185" fmla="*/ T184 w 1827"/>
                              <a:gd name="T186" fmla="+- 0 9175 1598"/>
                              <a:gd name="T187" fmla="*/ 9175 h 8007"/>
                              <a:gd name="T188" fmla="+- 0 8885 8774"/>
                              <a:gd name="T189" fmla="*/ T188 w 1827"/>
                              <a:gd name="T190" fmla="+- 0 9525 1598"/>
                              <a:gd name="T191" fmla="*/ 9525 h 8007"/>
                              <a:gd name="T192" fmla="+- 0 9039 8774"/>
                              <a:gd name="T193" fmla="*/ T192 w 1827"/>
                              <a:gd name="T194" fmla="+- 0 9604 1598"/>
                              <a:gd name="T195" fmla="*/ 9604 h 8007"/>
                              <a:gd name="T196" fmla="+- 0 9221 8774"/>
                              <a:gd name="T197" fmla="*/ T196 w 1827"/>
                              <a:gd name="T198" fmla="+- 0 9575 1598"/>
                              <a:gd name="T199" fmla="*/ 9575 h 8007"/>
                              <a:gd name="T200" fmla="+- 0 9138 8774"/>
                              <a:gd name="T201" fmla="*/ T200 w 1827"/>
                              <a:gd name="T202" fmla="+- 0 9400 1598"/>
                              <a:gd name="T203" fmla="*/ 9400 h 8007"/>
                              <a:gd name="T204" fmla="+- 0 9115 8774"/>
                              <a:gd name="T205" fmla="*/ T204 w 1827"/>
                              <a:gd name="T206" fmla="+- 0 8952 1598"/>
                              <a:gd name="T207" fmla="*/ 8952 h 8007"/>
                              <a:gd name="T208" fmla="+- 0 9608 8774"/>
                              <a:gd name="T209" fmla="*/ T208 w 1827"/>
                              <a:gd name="T210" fmla="+- 0 8686 1598"/>
                              <a:gd name="T211" fmla="*/ 8686 h 8007"/>
                              <a:gd name="T212" fmla="+- 0 10203 8774"/>
                              <a:gd name="T213" fmla="*/ T212 w 1827"/>
                              <a:gd name="T214" fmla="+- 0 8867 1598"/>
                              <a:gd name="T215" fmla="*/ 8867 h 8007"/>
                              <a:gd name="T216" fmla="+- 0 10262 8774"/>
                              <a:gd name="T217" fmla="*/ T216 w 1827"/>
                              <a:gd name="T218" fmla="+- 0 9329 1598"/>
                              <a:gd name="T219" fmla="*/ 9329 h 8007"/>
                              <a:gd name="T220" fmla="+- 0 10144 8774"/>
                              <a:gd name="T221" fmla="*/ T220 w 1827"/>
                              <a:gd name="T222" fmla="+- 0 9557 1598"/>
                              <a:gd name="T223" fmla="*/ 9557 h 8007"/>
                              <a:gd name="T224" fmla="+- 0 10294 8774"/>
                              <a:gd name="T225" fmla="*/ T224 w 1827"/>
                              <a:gd name="T226" fmla="+- 0 9599 1598"/>
                              <a:gd name="T227" fmla="*/ 9599 h 8007"/>
                              <a:gd name="T228" fmla="+- 0 10475 8774"/>
                              <a:gd name="T229" fmla="*/ T228 w 1827"/>
                              <a:gd name="T230" fmla="+- 0 9544 1598"/>
                              <a:gd name="T231" fmla="*/ 9544 h 8007"/>
                              <a:gd name="T232" fmla="+- 0 10588 8774"/>
                              <a:gd name="T233" fmla="*/ T232 w 1827"/>
                              <a:gd name="T234" fmla="+- 0 9259 1598"/>
                              <a:gd name="T235" fmla="*/ 9259 h 8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27" h="8007">
                                <a:moveTo>
                                  <a:pt x="1798" y="4632"/>
                                </a:moveTo>
                                <a:lnTo>
                                  <a:pt x="1796" y="4625"/>
                                </a:lnTo>
                                <a:lnTo>
                                  <a:pt x="1790" y="4618"/>
                                </a:lnTo>
                                <a:lnTo>
                                  <a:pt x="1785" y="4612"/>
                                </a:lnTo>
                                <a:lnTo>
                                  <a:pt x="1776" y="4606"/>
                                </a:lnTo>
                                <a:lnTo>
                                  <a:pt x="1766" y="4602"/>
                                </a:lnTo>
                                <a:lnTo>
                                  <a:pt x="1756" y="4599"/>
                                </a:lnTo>
                                <a:lnTo>
                                  <a:pt x="1746" y="4596"/>
                                </a:lnTo>
                                <a:lnTo>
                                  <a:pt x="1734" y="4594"/>
                                </a:lnTo>
                                <a:lnTo>
                                  <a:pt x="1720" y="4592"/>
                                </a:lnTo>
                                <a:lnTo>
                                  <a:pt x="1705" y="4590"/>
                                </a:lnTo>
                                <a:lnTo>
                                  <a:pt x="1688" y="4589"/>
                                </a:lnTo>
                                <a:lnTo>
                                  <a:pt x="1670" y="4588"/>
                                </a:lnTo>
                                <a:lnTo>
                                  <a:pt x="1650" y="4588"/>
                                </a:lnTo>
                                <a:lnTo>
                                  <a:pt x="1631" y="4588"/>
                                </a:lnTo>
                                <a:lnTo>
                                  <a:pt x="1614" y="4589"/>
                                </a:lnTo>
                                <a:lnTo>
                                  <a:pt x="1597" y="4590"/>
                                </a:lnTo>
                                <a:lnTo>
                                  <a:pt x="1582" y="4592"/>
                                </a:lnTo>
                                <a:lnTo>
                                  <a:pt x="1569" y="4594"/>
                                </a:lnTo>
                                <a:lnTo>
                                  <a:pt x="1557" y="4596"/>
                                </a:lnTo>
                                <a:lnTo>
                                  <a:pt x="1547" y="4599"/>
                                </a:lnTo>
                                <a:lnTo>
                                  <a:pt x="1538" y="4602"/>
                                </a:lnTo>
                                <a:lnTo>
                                  <a:pt x="1526" y="4606"/>
                                </a:lnTo>
                                <a:lnTo>
                                  <a:pt x="1517" y="4612"/>
                                </a:lnTo>
                                <a:lnTo>
                                  <a:pt x="1512" y="4618"/>
                                </a:lnTo>
                                <a:lnTo>
                                  <a:pt x="1506" y="4625"/>
                                </a:lnTo>
                                <a:lnTo>
                                  <a:pt x="1504" y="4632"/>
                                </a:lnTo>
                                <a:lnTo>
                                  <a:pt x="1504" y="5085"/>
                                </a:lnTo>
                                <a:lnTo>
                                  <a:pt x="69" y="5085"/>
                                </a:lnTo>
                                <a:lnTo>
                                  <a:pt x="60" y="5087"/>
                                </a:lnTo>
                                <a:lnTo>
                                  <a:pt x="46" y="5099"/>
                                </a:lnTo>
                                <a:lnTo>
                                  <a:pt x="40" y="5109"/>
                                </a:lnTo>
                                <a:lnTo>
                                  <a:pt x="35" y="5123"/>
                                </a:lnTo>
                                <a:lnTo>
                                  <a:pt x="32" y="5134"/>
                                </a:lnTo>
                                <a:lnTo>
                                  <a:pt x="29" y="5147"/>
                                </a:lnTo>
                                <a:lnTo>
                                  <a:pt x="26" y="5162"/>
                                </a:lnTo>
                                <a:lnTo>
                                  <a:pt x="24" y="5178"/>
                                </a:lnTo>
                                <a:lnTo>
                                  <a:pt x="23" y="5197"/>
                                </a:lnTo>
                                <a:lnTo>
                                  <a:pt x="22" y="5217"/>
                                </a:lnTo>
                                <a:lnTo>
                                  <a:pt x="21" y="5240"/>
                                </a:lnTo>
                                <a:lnTo>
                                  <a:pt x="21" y="5265"/>
                                </a:lnTo>
                                <a:lnTo>
                                  <a:pt x="21" y="5290"/>
                                </a:lnTo>
                                <a:lnTo>
                                  <a:pt x="22" y="5312"/>
                                </a:lnTo>
                                <a:lnTo>
                                  <a:pt x="23" y="5333"/>
                                </a:lnTo>
                                <a:lnTo>
                                  <a:pt x="24" y="5351"/>
                                </a:lnTo>
                                <a:lnTo>
                                  <a:pt x="26" y="5368"/>
                                </a:lnTo>
                                <a:lnTo>
                                  <a:pt x="29" y="5383"/>
                                </a:lnTo>
                                <a:lnTo>
                                  <a:pt x="32" y="5396"/>
                                </a:lnTo>
                                <a:lnTo>
                                  <a:pt x="35" y="5408"/>
                                </a:lnTo>
                                <a:lnTo>
                                  <a:pt x="40" y="5421"/>
                                </a:lnTo>
                                <a:lnTo>
                                  <a:pt x="46" y="5430"/>
                                </a:lnTo>
                                <a:lnTo>
                                  <a:pt x="60" y="5442"/>
                                </a:lnTo>
                                <a:lnTo>
                                  <a:pt x="69" y="5445"/>
                                </a:lnTo>
                                <a:lnTo>
                                  <a:pt x="1504" y="5445"/>
                                </a:lnTo>
                                <a:lnTo>
                                  <a:pt x="1504" y="5896"/>
                                </a:lnTo>
                                <a:lnTo>
                                  <a:pt x="1506" y="5904"/>
                                </a:lnTo>
                                <a:lnTo>
                                  <a:pt x="1512" y="5910"/>
                                </a:lnTo>
                                <a:lnTo>
                                  <a:pt x="1517" y="5918"/>
                                </a:lnTo>
                                <a:lnTo>
                                  <a:pt x="1526" y="5924"/>
                                </a:lnTo>
                                <a:lnTo>
                                  <a:pt x="1538" y="5928"/>
                                </a:lnTo>
                                <a:lnTo>
                                  <a:pt x="1547" y="5931"/>
                                </a:lnTo>
                                <a:lnTo>
                                  <a:pt x="1557" y="5934"/>
                                </a:lnTo>
                                <a:lnTo>
                                  <a:pt x="1569" y="5936"/>
                                </a:lnTo>
                                <a:lnTo>
                                  <a:pt x="1582" y="5938"/>
                                </a:lnTo>
                                <a:lnTo>
                                  <a:pt x="1597" y="5940"/>
                                </a:lnTo>
                                <a:lnTo>
                                  <a:pt x="1614" y="5941"/>
                                </a:lnTo>
                                <a:lnTo>
                                  <a:pt x="1631" y="5941"/>
                                </a:lnTo>
                                <a:lnTo>
                                  <a:pt x="1650" y="5942"/>
                                </a:lnTo>
                                <a:lnTo>
                                  <a:pt x="1670" y="5941"/>
                                </a:lnTo>
                                <a:lnTo>
                                  <a:pt x="1688" y="5941"/>
                                </a:lnTo>
                                <a:lnTo>
                                  <a:pt x="1705" y="5940"/>
                                </a:lnTo>
                                <a:lnTo>
                                  <a:pt x="1720" y="5938"/>
                                </a:lnTo>
                                <a:lnTo>
                                  <a:pt x="1734" y="5936"/>
                                </a:lnTo>
                                <a:lnTo>
                                  <a:pt x="1746" y="5934"/>
                                </a:lnTo>
                                <a:lnTo>
                                  <a:pt x="1756" y="5931"/>
                                </a:lnTo>
                                <a:lnTo>
                                  <a:pt x="1766" y="5928"/>
                                </a:lnTo>
                                <a:lnTo>
                                  <a:pt x="1776" y="5924"/>
                                </a:lnTo>
                                <a:lnTo>
                                  <a:pt x="1785" y="5918"/>
                                </a:lnTo>
                                <a:lnTo>
                                  <a:pt x="1790" y="5910"/>
                                </a:lnTo>
                                <a:lnTo>
                                  <a:pt x="1796" y="5904"/>
                                </a:lnTo>
                                <a:lnTo>
                                  <a:pt x="1798" y="5896"/>
                                </a:lnTo>
                                <a:lnTo>
                                  <a:pt x="1798" y="4632"/>
                                </a:lnTo>
                                <a:close/>
                                <a:moveTo>
                                  <a:pt x="1798" y="3294"/>
                                </a:moveTo>
                                <a:lnTo>
                                  <a:pt x="1796" y="3273"/>
                                </a:lnTo>
                                <a:lnTo>
                                  <a:pt x="1791" y="3253"/>
                                </a:lnTo>
                                <a:lnTo>
                                  <a:pt x="1782" y="3235"/>
                                </a:lnTo>
                                <a:lnTo>
                                  <a:pt x="1770" y="3219"/>
                                </a:lnTo>
                                <a:lnTo>
                                  <a:pt x="1755" y="3205"/>
                                </a:lnTo>
                                <a:lnTo>
                                  <a:pt x="1736" y="3196"/>
                                </a:lnTo>
                                <a:lnTo>
                                  <a:pt x="1712" y="3190"/>
                                </a:lnTo>
                                <a:lnTo>
                                  <a:pt x="1684" y="3188"/>
                                </a:lnTo>
                                <a:lnTo>
                                  <a:pt x="1523" y="3188"/>
                                </a:lnTo>
                                <a:lnTo>
                                  <a:pt x="1523" y="3548"/>
                                </a:lnTo>
                                <a:lnTo>
                                  <a:pt x="1523" y="3713"/>
                                </a:lnTo>
                                <a:lnTo>
                                  <a:pt x="1523" y="3738"/>
                                </a:lnTo>
                                <a:lnTo>
                                  <a:pt x="1522" y="3763"/>
                                </a:lnTo>
                                <a:lnTo>
                                  <a:pt x="1520" y="3786"/>
                                </a:lnTo>
                                <a:lnTo>
                                  <a:pt x="1518" y="3806"/>
                                </a:lnTo>
                                <a:lnTo>
                                  <a:pt x="1516" y="3822"/>
                                </a:lnTo>
                                <a:lnTo>
                                  <a:pt x="1514" y="3838"/>
                                </a:lnTo>
                                <a:lnTo>
                                  <a:pt x="1511" y="3853"/>
                                </a:lnTo>
                                <a:lnTo>
                                  <a:pt x="1508" y="3867"/>
                                </a:lnTo>
                                <a:lnTo>
                                  <a:pt x="1493" y="3909"/>
                                </a:lnTo>
                                <a:lnTo>
                                  <a:pt x="1474" y="3945"/>
                                </a:lnTo>
                                <a:lnTo>
                                  <a:pt x="1451" y="3974"/>
                                </a:lnTo>
                                <a:lnTo>
                                  <a:pt x="1422" y="3998"/>
                                </a:lnTo>
                                <a:lnTo>
                                  <a:pt x="1391" y="4015"/>
                                </a:lnTo>
                                <a:lnTo>
                                  <a:pt x="1356" y="4027"/>
                                </a:lnTo>
                                <a:lnTo>
                                  <a:pt x="1317" y="4035"/>
                                </a:lnTo>
                                <a:lnTo>
                                  <a:pt x="1275" y="4037"/>
                                </a:lnTo>
                                <a:lnTo>
                                  <a:pt x="1247" y="4036"/>
                                </a:lnTo>
                                <a:lnTo>
                                  <a:pt x="1221" y="4032"/>
                                </a:lnTo>
                                <a:lnTo>
                                  <a:pt x="1196" y="4026"/>
                                </a:lnTo>
                                <a:lnTo>
                                  <a:pt x="1172" y="4018"/>
                                </a:lnTo>
                                <a:lnTo>
                                  <a:pt x="1149" y="4007"/>
                                </a:lnTo>
                                <a:lnTo>
                                  <a:pt x="1128" y="3994"/>
                                </a:lnTo>
                                <a:lnTo>
                                  <a:pt x="1109" y="3978"/>
                                </a:lnTo>
                                <a:lnTo>
                                  <a:pt x="1091" y="3960"/>
                                </a:lnTo>
                                <a:lnTo>
                                  <a:pt x="1076" y="3940"/>
                                </a:lnTo>
                                <a:lnTo>
                                  <a:pt x="1062" y="3917"/>
                                </a:lnTo>
                                <a:lnTo>
                                  <a:pt x="1050" y="3892"/>
                                </a:lnTo>
                                <a:lnTo>
                                  <a:pt x="1040" y="3864"/>
                                </a:lnTo>
                                <a:lnTo>
                                  <a:pt x="1032" y="3834"/>
                                </a:lnTo>
                                <a:lnTo>
                                  <a:pt x="1026" y="3802"/>
                                </a:lnTo>
                                <a:lnTo>
                                  <a:pt x="1023" y="3767"/>
                                </a:lnTo>
                                <a:lnTo>
                                  <a:pt x="1022" y="3730"/>
                                </a:lnTo>
                                <a:lnTo>
                                  <a:pt x="1022" y="3548"/>
                                </a:lnTo>
                                <a:lnTo>
                                  <a:pt x="1523" y="3548"/>
                                </a:lnTo>
                                <a:lnTo>
                                  <a:pt x="1523" y="3188"/>
                                </a:lnTo>
                                <a:lnTo>
                                  <a:pt x="69" y="3188"/>
                                </a:lnTo>
                                <a:lnTo>
                                  <a:pt x="60" y="3190"/>
                                </a:lnTo>
                                <a:lnTo>
                                  <a:pt x="46" y="3202"/>
                                </a:lnTo>
                                <a:lnTo>
                                  <a:pt x="40" y="3212"/>
                                </a:lnTo>
                                <a:lnTo>
                                  <a:pt x="35" y="3225"/>
                                </a:lnTo>
                                <a:lnTo>
                                  <a:pt x="32" y="3236"/>
                                </a:lnTo>
                                <a:lnTo>
                                  <a:pt x="29" y="3249"/>
                                </a:lnTo>
                                <a:lnTo>
                                  <a:pt x="26" y="3264"/>
                                </a:lnTo>
                                <a:lnTo>
                                  <a:pt x="24" y="3280"/>
                                </a:lnTo>
                                <a:lnTo>
                                  <a:pt x="23" y="3298"/>
                                </a:lnTo>
                                <a:lnTo>
                                  <a:pt x="22" y="3319"/>
                                </a:lnTo>
                                <a:lnTo>
                                  <a:pt x="21" y="3342"/>
                                </a:lnTo>
                                <a:lnTo>
                                  <a:pt x="21" y="3366"/>
                                </a:lnTo>
                                <a:lnTo>
                                  <a:pt x="21" y="3392"/>
                                </a:lnTo>
                                <a:lnTo>
                                  <a:pt x="22" y="3415"/>
                                </a:lnTo>
                                <a:lnTo>
                                  <a:pt x="23" y="3436"/>
                                </a:lnTo>
                                <a:lnTo>
                                  <a:pt x="24" y="3454"/>
                                </a:lnTo>
                                <a:lnTo>
                                  <a:pt x="26" y="3470"/>
                                </a:lnTo>
                                <a:lnTo>
                                  <a:pt x="29" y="3485"/>
                                </a:lnTo>
                                <a:lnTo>
                                  <a:pt x="32" y="3498"/>
                                </a:lnTo>
                                <a:lnTo>
                                  <a:pt x="35" y="3509"/>
                                </a:lnTo>
                                <a:lnTo>
                                  <a:pt x="40" y="3522"/>
                                </a:lnTo>
                                <a:lnTo>
                                  <a:pt x="46" y="3532"/>
                                </a:lnTo>
                                <a:lnTo>
                                  <a:pt x="60" y="3544"/>
                                </a:lnTo>
                                <a:lnTo>
                                  <a:pt x="69" y="3548"/>
                                </a:lnTo>
                                <a:lnTo>
                                  <a:pt x="752" y="3548"/>
                                </a:lnTo>
                                <a:lnTo>
                                  <a:pt x="752" y="3659"/>
                                </a:lnTo>
                                <a:lnTo>
                                  <a:pt x="750" y="3687"/>
                                </a:lnTo>
                                <a:lnTo>
                                  <a:pt x="747" y="3713"/>
                                </a:lnTo>
                                <a:lnTo>
                                  <a:pt x="741" y="3738"/>
                                </a:lnTo>
                                <a:lnTo>
                                  <a:pt x="734" y="3761"/>
                                </a:lnTo>
                                <a:lnTo>
                                  <a:pt x="724" y="3782"/>
                                </a:lnTo>
                                <a:lnTo>
                                  <a:pt x="712" y="3802"/>
                                </a:lnTo>
                                <a:lnTo>
                                  <a:pt x="697" y="3820"/>
                                </a:lnTo>
                                <a:lnTo>
                                  <a:pt x="681" y="3838"/>
                                </a:lnTo>
                                <a:lnTo>
                                  <a:pt x="663" y="3854"/>
                                </a:lnTo>
                                <a:lnTo>
                                  <a:pt x="642" y="3870"/>
                                </a:lnTo>
                                <a:lnTo>
                                  <a:pt x="619" y="3885"/>
                                </a:lnTo>
                                <a:lnTo>
                                  <a:pt x="594" y="3899"/>
                                </a:lnTo>
                                <a:lnTo>
                                  <a:pt x="567" y="3913"/>
                                </a:lnTo>
                                <a:lnTo>
                                  <a:pt x="539" y="3926"/>
                                </a:lnTo>
                                <a:lnTo>
                                  <a:pt x="508" y="3940"/>
                                </a:lnTo>
                                <a:lnTo>
                                  <a:pt x="476" y="3954"/>
                                </a:lnTo>
                                <a:lnTo>
                                  <a:pt x="81" y="4113"/>
                                </a:lnTo>
                                <a:lnTo>
                                  <a:pt x="70" y="4116"/>
                                </a:lnTo>
                                <a:lnTo>
                                  <a:pt x="60" y="4121"/>
                                </a:lnTo>
                                <a:lnTo>
                                  <a:pt x="52" y="4127"/>
                                </a:lnTo>
                                <a:lnTo>
                                  <a:pt x="45" y="4132"/>
                                </a:lnTo>
                                <a:lnTo>
                                  <a:pt x="39" y="4142"/>
                                </a:lnTo>
                                <a:lnTo>
                                  <a:pt x="34" y="4155"/>
                                </a:lnTo>
                                <a:lnTo>
                                  <a:pt x="30" y="4166"/>
                                </a:lnTo>
                                <a:lnTo>
                                  <a:pt x="27" y="4178"/>
                                </a:lnTo>
                                <a:lnTo>
                                  <a:pt x="25" y="4193"/>
                                </a:lnTo>
                                <a:lnTo>
                                  <a:pt x="23" y="4209"/>
                                </a:lnTo>
                                <a:lnTo>
                                  <a:pt x="22" y="4227"/>
                                </a:lnTo>
                                <a:lnTo>
                                  <a:pt x="21" y="4249"/>
                                </a:lnTo>
                                <a:lnTo>
                                  <a:pt x="21" y="4340"/>
                                </a:lnTo>
                                <a:lnTo>
                                  <a:pt x="21" y="4361"/>
                                </a:lnTo>
                                <a:lnTo>
                                  <a:pt x="22" y="4386"/>
                                </a:lnTo>
                                <a:lnTo>
                                  <a:pt x="23" y="4408"/>
                                </a:lnTo>
                                <a:lnTo>
                                  <a:pt x="25" y="4427"/>
                                </a:lnTo>
                                <a:lnTo>
                                  <a:pt x="27" y="4443"/>
                                </a:lnTo>
                                <a:lnTo>
                                  <a:pt x="30" y="4457"/>
                                </a:lnTo>
                                <a:lnTo>
                                  <a:pt x="33" y="4469"/>
                                </a:lnTo>
                                <a:lnTo>
                                  <a:pt x="38" y="4482"/>
                                </a:lnTo>
                                <a:lnTo>
                                  <a:pt x="42" y="4491"/>
                                </a:lnTo>
                                <a:lnTo>
                                  <a:pt x="57" y="4498"/>
                                </a:lnTo>
                                <a:lnTo>
                                  <a:pt x="65" y="4500"/>
                                </a:lnTo>
                                <a:lnTo>
                                  <a:pt x="84" y="4500"/>
                                </a:lnTo>
                                <a:lnTo>
                                  <a:pt x="96" y="4498"/>
                                </a:lnTo>
                                <a:lnTo>
                                  <a:pt x="113" y="4493"/>
                                </a:lnTo>
                                <a:lnTo>
                                  <a:pt x="127" y="4489"/>
                                </a:lnTo>
                                <a:lnTo>
                                  <a:pt x="144" y="4483"/>
                                </a:lnTo>
                                <a:lnTo>
                                  <a:pt x="165" y="4475"/>
                                </a:lnTo>
                                <a:lnTo>
                                  <a:pt x="189" y="4466"/>
                                </a:lnTo>
                                <a:lnTo>
                                  <a:pt x="537" y="4317"/>
                                </a:lnTo>
                                <a:lnTo>
                                  <a:pt x="568" y="4304"/>
                                </a:lnTo>
                                <a:lnTo>
                                  <a:pt x="597" y="4291"/>
                                </a:lnTo>
                                <a:lnTo>
                                  <a:pt x="624" y="4277"/>
                                </a:lnTo>
                                <a:lnTo>
                                  <a:pt x="650" y="4264"/>
                                </a:lnTo>
                                <a:lnTo>
                                  <a:pt x="674" y="4250"/>
                                </a:lnTo>
                                <a:lnTo>
                                  <a:pt x="697" y="4235"/>
                                </a:lnTo>
                                <a:lnTo>
                                  <a:pt x="719" y="4220"/>
                                </a:lnTo>
                                <a:lnTo>
                                  <a:pt x="738" y="4205"/>
                                </a:lnTo>
                                <a:lnTo>
                                  <a:pt x="757" y="4190"/>
                                </a:lnTo>
                                <a:lnTo>
                                  <a:pt x="775" y="4174"/>
                                </a:lnTo>
                                <a:lnTo>
                                  <a:pt x="791" y="4157"/>
                                </a:lnTo>
                                <a:lnTo>
                                  <a:pt x="806" y="4140"/>
                                </a:lnTo>
                                <a:lnTo>
                                  <a:pt x="819" y="4122"/>
                                </a:lnTo>
                                <a:lnTo>
                                  <a:pt x="831" y="4104"/>
                                </a:lnTo>
                                <a:lnTo>
                                  <a:pt x="842" y="4085"/>
                                </a:lnTo>
                                <a:lnTo>
                                  <a:pt x="851" y="4066"/>
                                </a:lnTo>
                                <a:lnTo>
                                  <a:pt x="866" y="4106"/>
                                </a:lnTo>
                                <a:lnTo>
                                  <a:pt x="882" y="4143"/>
                                </a:lnTo>
                                <a:lnTo>
                                  <a:pt x="900" y="4178"/>
                                </a:lnTo>
                                <a:lnTo>
                                  <a:pt x="920" y="4211"/>
                                </a:lnTo>
                                <a:lnTo>
                                  <a:pt x="942" y="4242"/>
                                </a:lnTo>
                                <a:lnTo>
                                  <a:pt x="966" y="4271"/>
                                </a:lnTo>
                                <a:lnTo>
                                  <a:pt x="992" y="4296"/>
                                </a:lnTo>
                                <a:lnTo>
                                  <a:pt x="1019" y="4319"/>
                                </a:lnTo>
                                <a:lnTo>
                                  <a:pt x="1049" y="4340"/>
                                </a:lnTo>
                                <a:lnTo>
                                  <a:pt x="1081" y="4358"/>
                                </a:lnTo>
                                <a:lnTo>
                                  <a:pt x="1115" y="4374"/>
                                </a:lnTo>
                                <a:lnTo>
                                  <a:pt x="1150" y="4386"/>
                                </a:lnTo>
                                <a:lnTo>
                                  <a:pt x="1188" y="4396"/>
                                </a:lnTo>
                                <a:lnTo>
                                  <a:pt x="1227" y="4403"/>
                                </a:lnTo>
                                <a:lnTo>
                                  <a:pt x="1269" y="4407"/>
                                </a:lnTo>
                                <a:lnTo>
                                  <a:pt x="1312" y="4408"/>
                                </a:lnTo>
                                <a:lnTo>
                                  <a:pt x="1364" y="4406"/>
                                </a:lnTo>
                                <a:lnTo>
                                  <a:pt x="1412" y="4400"/>
                                </a:lnTo>
                                <a:lnTo>
                                  <a:pt x="1457" y="4391"/>
                                </a:lnTo>
                                <a:lnTo>
                                  <a:pt x="1499" y="4377"/>
                                </a:lnTo>
                                <a:lnTo>
                                  <a:pt x="1538" y="4360"/>
                                </a:lnTo>
                                <a:lnTo>
                                  <a:pt x="1575" y="4339"/>
                                </a:lnTo>
                                <a:lnTo>
                                  <a:pt x="1609" y="4315"/>
                                </a:lnTo>
                                <a:lnTo>
                                  <a:pt x="1640" y="4287"/>
                                </a:lnTo>
                                <a:lnTo>
                                  <a:pt x="1668" y="4255"/>
                                </a:lnTo>
                                <a:lnTo>
                                  <a:pt x="1693" y="4220"/>
                                </a:lnTo>
                                <a:lnTo>
                                  <a:pt x="1716" y="4183"/>
                                </a:lnTo>
                                <a:lnTo>
                                  <a:pt x="1736" y="4142"/>
                                </a:lnTo>
                                <a:lnTo>
                                  <a:pt x="1753" y="4097"/>
                                </a:lnTo>
                                <a:lnTo>
                                  <a:pt x="1763" y="4066"/>
                                </a:lnTo>
                                <a:lnTo>
                                  <a:pt x="1767" y="4051"/>
                                </a:lnTo>
                                <a:lnTo>
                                  <a:pt x="1771" y="4037"/>
                                </a:lnTo>
                                <a:lnTo>
                                  <a:pt x="1779" y="4001"/>
                                </a:lnTo>
                                <a:lnTo>
                                  <a:pt x="1788" y="3950"/>
                                </a:lnTo>
                                <a:lnTo>
                                  <a:pt x="1790" y="3930"/>
                                </a:lnTo>
                                <a:lnTo>
                                  <a:pt x="1792" y="3909"/>
                                </a:lnTo>
                                <a:lnTo>
                                  <a:pt x="1793" y="3889"/>
                                </a:lnTo>
                                <a:lnTo>
                                  <a:pt x="1794" y="3867"/>
                                </a:lnTo>
                                <a:lnTo>
                                  <a:pt x="1796" y="3843"/>
                                </a:lnTo>
                                <a:lnTo>
                                  <a:pt x="1797" y="3816"/>
                                </a:lnTo>
                                <a:lnTo>
                                  <a:pt x="1798" y="3786"/>
                                </a:lnTo>
                                <a:lnTo>
                                  <a:pt x="1798" y="3761"/>
                                </a:lnTo>
                                <a:lnTo>
                                  <a:pt x="1798" y="3294"/>
                                </a:lnTo>
                                <a:close/>
                                <a:moveTo>
                                  <a:pt x="1798" y="123"/>
                                </a:moveTo>
                                <a:lnTo>
                                  <a:pt x="1796" y="96"/>
                                </a:lnTo>
                                <a:lnTo>
                                  <a:pt x="1790" y="73"/>
                                </a:lnTo>
                                <a:lnTo>
                                  <a:pt x="1780" y="52"/>
                                </a:lnTo>
                                <a:lnTo>
                                  <a:pt x="1766" y="34"/>
                                </a:lnTo>
                                <a:lnTo>
                                  <a:pt x="1747" y="19"/>
                                </a:lnTo>
                                <a:lnTo>
                                  <a:pt x="1725" y="9"/>
                                </a:lnTo>
                                <a:lnTo>
                                  <a:pt x="1699" y="2"/>
                                </a:lnTo>
                                <a:lnTo>
                                  <a:pt x="1670" y="0"/>
                                </a:lnTo>
                                <a:lnTo>
                                  <a:pt x="1520" y="0"/>
                                </a:lnTo>
                                <a:lnTo>
                                  <a:pt x="1520" y="360"/>
                                </a:lnTo>
                                <a:lnTo>
                                  <a:pt x="1519" y="521"/>
                                </a:lnTo>
                                <a:lnTo>
                                  <a:pt x="1519" y="541"/>
                                </a:lnTo>
                                <a:lnTo>
                                  <a:pt x="1518" y="569"/>
                                </a:lnTo>
                                <a:lnTo>
                                  <a:pt x="1516" y="596"/>
                                </a:lnTo>
                                <a:lnTo>
                                  <a:pt x="1512" y="622"/>
                                </a:lnTo>
                                <a:lnTo>
                                  <a:pt x="1507" y="648"/>
                                </a:lnTo>
                                <a:lnTo>
                                  <a:pt x="1500" y="673"/>
                                </a:lnTo>
                                <a:lnTo>
                                  <a:pt x="1489" y="698"/>
                                </a:lnTo>
                                <a:lnTo>
                                  <a:pt x="1476" y="723"/>
                                </a:lnTo>
                                <a:lnTo>
                                  <a:pt x="1460" y="745"/>
                                </a:lnTo>
                                <a:lnTo>
                                  <a:pt x="1440" y="767"/>
                                </a:lnTo>
                                <a:lnTo>
                                  <a:pt x="1415" y="786"/>
                                </a:lnTo>
                                <a:lnTo>
                                  <a:pt x="1388" y="803"/>
                                </a:lnTo>
                                <a:lnTo>
                                  <a:pt x="1355" y="817"/>
                                </a:lnTo>
                                <a:lnTo>
                                  <a:pt x="1319" y="827"/>
                                </a:lnTo>
                                <a:lnTo>
                                  <a:pt x="1279" y="834"/>
                                </a:lnTo>
                                <a:lnTo>
                                  <a:pt x="1234" y="836"/>
                                </a:lnTo>
                                <a:lnTo>
                                  <a:pt x="1200" y="834"/>
                                </a:lnTo>
                                <a:lnTo>
                                  <a:pt x="1168" y="831"/>
                                </a:lnTo>
                                <a:lnTo>
                                  <a:pt x="1137" y="825"/>
                                </a:lnTo>
                                <a:lnTo>
                                  <a:pt x="1108" y="816"/>
                                </a:lnTo>
                                <a:lnTo>
                                  <a:pt x="1080" y="806"/>
                                </a:lnTo>
                                <a:lnTo>
                                  <a:pt x="1054" y="793"/>
                                </a:lnTo>
                                <a:lnTo>
                                  <a:pt x="1030" y="778"/>
                                </a:lnTo>
                                <a:lnTo>
                                  <a:pt x="1008" y="761"/>
                                </a:lnTo>
                                <a:lnTo>
                                  <a:pt x="989" y="741"/>
                                </a:lnTo>
                                <a:lnTo>
                                  <a:pt x="972" y="719"/>
                                </a:lnTo>
                                <a:lnTo>
                                  <a:pt x="956" y="693"/>
                                </a:lnTo>
                                <a:lnTo>
                                  <a:pt x="944" y="665"/>
                                </a:lnTo>
                                <a:lnTo>
                                  <a:pt x="933" y="635"/>
                                </a:lnTo>
                                <a:lnTo>
                                  <a:pt x="926" y="600"/>
                                </a:lnTo>
                                <a:lnTo>
                                  <a:pt x="921" y="563"/>
                                </a:lnTo>
                                <a:lnTo>
                                  <a:pt x="920" y="521"/>
                                </a:lnTo>
                                <a:lnTo>
                                  <a:pt x="920" y="360"/>
                                </a:lnTo>
                                <a:lnTo>
                                  <a:pt x="1520" y="360"/>
                                </a:lnTo>
                                <a:lnTo>
                                  <a:pt x="1520" y="0"/>
                                </a:lnTo>
                                <a:lnTo>
                                  <a:pt x="69" y="0"/>
                                </a:lnTo>
                                <a:lnTo>
                                  <a:pt x="60" y="3"/>
                                </a:lnTo>
                                <a:lnTo>
                                  <a:pt x="46" y="15"/>
                                </a:lnTo>
                                <a:lnTo>
                                  <a:pt x="40" y="24"/>
                                </a:lnTo>
                                <a:lnTo>
                                  <a:pt x="35" y="38"/>
                                </a:lnTo>
                                <a:lnTo>
                                  <a:pt x="32" y="49"/>
                                </a:lnTo>
                                <a:lnTo>
                                  <a:pt x="29" y="62"/>
                                </a:lnTo>
                                <a:lnTo>
                                  <a:pt x="26" y="76"/>
                                </a:lnTo>
                                <a:lnTo>
                                  <a:pt x="24" y="93"/>
                                </a:lnTo>
                                <a:lnTo>
                                  <a:pt x="23" y="111"/>
                                </a:lnTo>
                                <a:lnTo>
                                  <a:pt x="22" y="132"/>
                                </a:lnTo>
                                <a:lnTo>
                                  <a:pt x="21" y="155"/>
                                </a:lnTo>
                                <a:lnTo>
                                  <a:pt x="21" y="179"/>
                                </a:lnTo>
                                <a:lnTo>
                                  <a:pt x="21" y="205"/>
                                </a:lnTo>
                                <a:lnTo>
                                  <a:pt x="22" y="228"/>
                                </a:lnTo>
                                <a:lnTo>
                                  <a:pt x="23" y="249"/>
                                </a:lnTo>
                                <a:lnTo>
                                  <a:pt x="24" y="267"/>
                                </a:lnTo>
                                <a:lnTo>
                                  <a:pt x="26" y="283"/>
                                </a:lnTo>
                                <a:lnTo>
                                  <a:pt x="29" y="298"/>
                                </a:lnTo>
                                <a:lnTo>
                                  <a:pt x="32" y="311"/>
                                </a:lnTo>
                                <a:lnTo>
                                  <a:pt x="35" y="322"/>
                                </a:lnTo>
                                <a:lnTo>
                                  <a:pt x="40" y="335"/>
                                </a:lnTo>
                                <a:lnTo>
                                  <a:pt x="46" y="345"/>
                                </a:lnTo>
                                <a:lnTo>
                                  <a:pt x="60" y="357"/>
                                </a:lnTo>
                                <a:lnTo>
                                  <a:pt x="69" y="360"/>
                                </a:lnTo>
                                <a:lnTo>
                                  <a:pt x="642" y="360"/>
                                </a:lnTo>
                                <a:lnTo>
                                  <a:pt x="643" y="513"/>
                                </a:lnTo>
                                <a:lnTo>
                                  <a:pt x="645" y="593"/>
                                </a:lnTo>
                                <a:lnTo>
                                  <a:pt x="652" y="671"/>
                                </a:lnTo>
                                <a:lnTo>
                                  <a:pt x="665" y="745"/>
                                </a:lnTo>
                                <a:lnTo>
                                  <a:pt x="683" y="812"/>
                                </a:lnTo>
                                <a:lnTo>
                                  <a:pt x="706" y="874"/>
                                </a:lnTo>
                                <a:lnTo>
                                  <a:pt x="734" y="931"/>
                                </a:lnTo>
                                <a:lnTo>
                                  <a:pt x="766" y="983"/>
                                </a:lnTo>
                                <a:lnTo>
                                  <a:pt x="803" y="1030"/>
                                </a:lnTo>
                                <a:lnTo>
                                  <a:pt x="845" y="1072"/>
                                </a:lnTo>
                                <a:lnTo>
                                  <a:pt x="891" y="1108"/>
                                </a:lnTo>
                                <a:lnTo>
                                  <a:pt x="941" y="1140"/>
                                </a:lnTo>
                                <a:lnTo>
                                  <a:pt x="996" y="1166"/>
                                </a:lnTo>
                                <a:lnTo>
                                  <a:pt x="1056" y="1186"/>
                                </a:lnTo>
                                <a:lnTo>
                                  <a:pt x="1120" y="1200"/>
                                </a:lnTo>
                                <a:lnTo>
                                  <a:pt x="1188" y="1208"/>
                                </a:lnTo>
                                <a:lnTo>
                                  <a:pt x="1260" y="1211"/>
                                </a:lnTo>
                                <a:lnTo>
                                  <a:pt x="1313" y="1209"/>
                                </a:lnTo>
                                <a:lnTo>
                                  <a:pt x="1363" y="1204"/>
                                </a:lnTo>
                                <a:lnTo>
                                  <a:pt x="1410" y="1194"/>
                                </a:lnTo>
                                <a:lnTo>
                                  <a:pt x="1455" y="1181"/>
                                </a:lnTo>
                                <a:lnTo>
                                  <a:pt x="1497" y="1165"/>
                                </a:lnTo>
                                <a:lnTo>
                                  <a:pt x="1536" y="1145"/>
                                </a:lnTo>
                                <a:lnTo>
                                  <a:pt x="1573" y="1121"/>
                                </a:lnTo>
                                <a:lnTo>
                                  <a:pt x="1607" y="1095"/>
                                </a:lnTo>
                                <a:lnTo>
                                  <a:pt x="1638" y="1064"/>
                                </a:lnTo>
                                <a:lnTo>
                                  <a:pt x="1666" y="1031"/>
                                </a:lnTo>
                                <a:lnTo>
                                  <a:pt x="1692" y="995"/>
                                </a:lnTo>
                                <a:lnTo>
                                  <a:pt x="1714" y="956"/>
                                </a:lnTo>
                                <a:lnTo>
                                  <a:pt x="1734" y="915"/>
                                </a:lnTo>
                                <a:lnTo>
                                  <a:pt x="1750" y="875"/>
                                </a:lnTo>
                                <a:lnTo>
                                  <a:pt x="1763" y="836"/>
                                </a:lnTo>
                                <a:lnTo>
                                  <a:pt x="1763" y="834"/>
                                </a:lnTo>
                                <a:lnTo>
                                  <a:pt x="1773" y="795"/>
                                </a:lnTo>
                                <a:lnTo>
                                  <a:pt x="1780" y="757"/>
                                </a:lnTo>
                                <a:lnTo>
                                  <a:pt x="1785" y="721"/>
                                </a:lnTo>
                                <a:lnTo>
                                  <a:pt x="1790" y="689"/>
                                </a:lnTo>
                                <a:lnTo>
                                  <a:pt x="1793" y="659"/>
                                </a:lnTo>
                                <a:lnTo>
                                  <a:pt x="1795" y="630"/>
                                </a:lnTo>
                                <a:lnTo>
                                  <a:pt x="1797" y="601"/>
                                </a:lnTo>
                                <a:lnTo>
                                  <a:pt x="1798" y="570"/>
                                </a:lnTo>
                                <a:lnTo>
                                  <a:pt x="1798" y="541"/>
                                </a:lnTo>
                                <a:lnTo>
                                  <a:pt x="1798" y="123"/>
                                </a:lnTo>
                                <a:close/>
                                <a:moveTo>
                                  <a:pt x="1805" y="2069"/>
                                </a:moveTo>
                                <a:lnTo>
                                  <a:pt x="1805" y="2043"/>
                                </a:lnTo>
                                <a:lnTo>
                                  <a:pt x="1804" y="2020"/>
                                </a:lnTo>
                                <a:lnTo>
                                  <a:pt x="1803" y="2000"/>
                                </a:lnTo>
                                <a:lnTo>
                                  <a:pt x="1801" y="1982"/>
                                </a:lnTo>
                                <a:lnTo>
                                  <a:pt x="1798" y="1967"/>
                                </a:lnTo>
                                <a:lnTo>
                                  <a:pt x="1794" y="1954"/>
                                </a:lnTo>
                                <a:lnTo>
                                  <a:pt x="1790" y="1943"/>
                                </a:lnTo>
                                <a:lnTo>
                                  <a:pt x="1785" y="1933"/>
                                </a:lnTo>
                                <a:lnTo>
                                  <a:pt x="1780" y="1925"/>
                                </a:lnTo>
                                <a:lnTo>
                                  <a:pt x="1773" y="1919"/>
                                </a:lnTo>
                                <a:lnTo>
                                  <a:pt x="1765" y="1914"/>
                                </a:lnTo>
                                <a:lnTo>
                                  <a:pt x="1756" y="1909"/>
                                </a:lnTo>
                                <a:lnTo>
                                  <a:pt x="1746" y="1904"/>
                                </a:lnTo>
                                <a:lnTo>
                                  <a:pt x="1665" y="1876"/>
                                </a:lnTo>
                                <a:lnTo>
                                  <a:pt x="1460" y="1804"/>
                                </a:lnTo>
                                <a:lnTo>
                                  <a:pt x="1460" y="2127"/>
                                </a:lnTo>
                                <a:lnTo>
                                  <a:pt x="1460" y="2128"/>
                                </a:lnTo>
                                <a:lnTo>
                                  <a:pt x="708" y="2378"/>
                                </a:lnTo>
                                <a:lnTo>
                                  <a:pt x="708" y="1876"/>
                                </a:lnTo>
                                <a:lnTo>
                                  <a:pt x="1460" y="2127"/>
                                </a:lnTo>
                                <a:lnTo>
                                  <a:pt x="1460" y="1804"/>
                                </a:lnTo>
                                <a:lnTo>
                                  <a:pt x="165" y="1354"/>
                                </a:lnTo>
                                <a:lnTo>
                                  <a:pt x="143" y="1347"/>
                                </a:lnTo>
                                <a:lnTo>
                                  <a:pt x="123" y="1341"/>
                                </a:lnTo>
                                <a:lnTo>
                                  <a:pt x="105" y="1336"/>
                                </a:lnTo>
                                <a:lnTo>
                                  <a:pt x="89" y="1334"/>
                                </a:lnTo>
                                <a:lnTo>
                                  <a:pt x="76" y="1333"/>
                                </a:lnTo>
                                <a:lnTo>
                                  <a:pt x="63" y="1334"/>
                                </a:lnTo>
                                <a:lnTo>
                                  <a:pt x="53" y="1338"/>
                                </a:lnTo>
                                <a:lnTo>
                                  <a:pt x="45" y="1343"/>
                                </a:lnTo>
                                <a:lnTo>
                                  <a:pt x="37" y="1352"/>
                                </a:lnTo>
                                <a:lnTo>
                                  <a:pt x="31" y="1362"/>
                                </a:lnTo>
                                <a:lnTo>
                                  <a:pt x="27" y="1376"/>
                                </a:lnTo>
                                <a:lnTo>
                                  <a:pt x="24" y="1392"/>
                                </a:lnTo>
                                <a:lnTo>
                                  <a:pt x="23" y="1412"/>
                                </a:lnTo>
                                <a:lnTo>
                                  <a:pt x="22" y="1435"/>
                                </a:lnTo>
                                <a:lnTo>
                                  <a:pt x="21" y="1461"/>
                                </a:lnTo>
                                <a:lnTo>
                                  <a:pt x="21" y="1519"/>
                                </a:lnTo>
                                <a:lnTo>
                                  <a:pt x="21" y="1544"/>
                                </a:lnTo>
                                <a:lnTo>
                                  <a:pt x="22" y="1566"/>
                                </a:lnTo>
                                <a:lnTo>
                                  <a:pt x="23" y="1586"/>
                                </a:lnTo>
                                <a:lnTo>
                                  <a:pt x="25" y="1603"/>
                                </a:lnTo>
                                <a:lnTo>
                                  <a:pt x="27" y="1618"/>
                                </a:lnTo>
                                <a:lnTo>
                                  <a:pt x="30" y="1631"/>
                                </a:lnTo>
                                <a:lnTo>
                                  <a:pt x="34" y="1642"/>
                                </a:lnTo>
                                <a:lnTo>
                                  <a:pt x="39" y="1655"/>
                                </a:lnTo>
                                <a:lnTo>
                                  <a:pt x="45" y="1665"/>
                                </a:lnTo>
                                <a:lnTo>
                                  <a:pt x="54" y="1671"/>
                                </a:lnTo>
                                <a:lnTo>
                                  <a:pt x="63" y="1677"/>
                                </a:lnTo>
                                <a:lnTo>
                                  <a:pt x="74" y="1682"/>
                                </a:lnTo>
                                <a:lnTo>
                                  <a:pt x="86" y="1685"/>
                                </a:lnTo>
                                <a:lnTo>
                                  <a:pt x="432" y="1797"/>
                                </a:lnTo>
                                <a:lnTo>
                                  <a:pt x="432" y="2462"/>
                                </a:lnTo>
                                <a:lnTo>
                                  <a:pt x="65" y="2584"/>
                                </a:lnTo>
                                <a:lnTo>
                                  <a:pt x="56" y="2589"/>
                                </a:lnTo>
                                <a:lnTo>
                                  <a:pt x="47" y="2595"/>
                                </a:lnTo>
                                <a:lnTo>
                                  <a:pt x="40" y="2600"/>
                                </a:lnTo>
                                <a:lnTo>
                                  <a:pt x="35" y="2609"/>
                                </a:lnTo>
                                <a:lnTo>
                                  <a:pt x="30" y="2622"/>
                                </a:lnTo>
                                <a:lnTo>
                                  <a:pt x="28" y="2634"/>
                                </a:lnTo>
                                <a:lnTo>
                                  <a:pt x="26" y="2648"/>
                                </a:lnTo>
                                <a:lnTo>
                                  <a:pt x="24" y="2664"/>
                                </a:lnTo>
                                <a:lnTo>
                                  <a:pt x="22" y="2682"/>
                                </a:lnTo>
                                <a:lnTo>
                                  <a:pt x="21" y="2704"/>
                                </a:lnTo>
                                <a:lnTo>
                                  <a:pt x="21" y="2729"/>
                                </a:lnTo>
                                <a:lnTo>
                                  <a:pt x="21" y="2792"/>
                                </a:lnTo>
                                <a:lnTo>
                                  <a:pt x="21" y="2823"/>
                                </a:lnTo>
                                <a:lnTo>
                                  <a:pt x="22" y="2851"/>
                                </a:lnTo>
                                <a:lnTo>
                                  <a:pt x="23" y="2875"/>
                                </a:lnTo>
                                <a:lnTo>
                                  <a:pt x="24" y="2896"/>
                                </a:lnTo>
                                <a:lnTo>
                                  <a:pt x="26" y="2914"/>
                                </a:lnTo>
                                <a:lnTo>
                                  <a:pt x="30" y="2929"/>
                                </a:lnTo>
                                <a:lnTo>
                                  <a:pt x="35" y="2941"/>
                                </a:lnTo>
                                <a:lnTo>
                                  <a:pt x="41" y="2950"/>
                                </a:lnTo>
                                <a:lnTo>
                                  <a:pt x="49" y="2956"/>
                                </a:lnTo>
                                <a:lnTo>
                                  <a:pt x="59" y="2960"/>
                                </a:lnTo>
                                <a:lnTo>
                                  <a:pt x="71" y="2961"/>
                                </a:lnTo>
                                <a:lnTo>
                                  <a:pt x="84" y="2961"/>
                                </a:lnTo>
                                <a:lnTo>
                                  <a:pt x="100" y="2958"/>
                                </a:lnTo>
                                <a:lnTo>
                                  <a:pt x="118" y="2954"/>
                                </a:lnTo>
                                <a:lnTo>
                                  <a:pt x="139" y="2948"/>
                                </a:lnTo>
                                <a:lnTo>
                                  <a:pt x="162" y="2940"/>
                                </a:lnTo>
                                <a:lnTo>
                                  <a:pt x="1731" y="2393"/>
                                </a:lnTo>
                                <a:lnTo>
                                  <a:pt x="1743" y="2389"/>
                                </a:lnTo>
                                <a:lnTo>
                                  <a:pt x="1754" y="2384"/>
                                </a:lnTo>
                                <a:lnTo>
                                  <a:pt x="1764" y="2379"/>
                                </a:lnTo>
                                <a:lnTo>
                                  <a:pt x="1766" y="2378"/>
                                </a:lnTo>
                                <a:lnTo>
                                  <a:pt x="1772" y="2374"/>
                                </a:lnTo>
                                <a:lnTo>
                                  <a:pt x="1779" y="2367"/>
                                </a:lnTo>
                                <a:lnTo>
                                  <a:pt x="1785" y="2358"/>
                                </a:lnTo>
                                <a:lnTo>
                                  <a:pt x="1790" y="2348"/>
                                </a:lnTo>
                                <a:lnTo>
                                  <a:pt x="1794" y="2336"/>
                                </a:lnTo>
                                <a:lnTo>
                                  <a:pt x="1798" y="2321"/>
                                </a:lnTo>
                                <a:lnTo>
                                  <a:pt x="1801" y="2303"/>
                                </a:lnTo>
                                <a:lnTo>
                                  <a:pt x="1803" y="2283"/>
                                </a:lnTo>
                                <a:lnTo>
                                  <a:pt x="1804" y="2261"/>
                                </a:lnTo>
                                <a:lnTo>
                                  <a:pt x="1805" y="2235"/>
                                </a:lnTo>
                                <a:lnTo>
                                  <a:pt x="1805" y="2204"/>
                                </a:lnTo>
                                <a:lnTo>
                                  <a:pt x="1805" y="2069"/>
                                </a:lnTo>
                                <a:close/>
                                <a:moveTo>
                                  <a:pt x="1827" y="7518"/>
                                </a:moveTo>
                                <a:lnTo>
                                  <a:pt x="1823" y="7430"/>
                                </a:lnTo>
                                <a:lnTo>
                                  <a:pt x="1811" y="7345"/>
                                </a:lnTo>
                                <a:lnTo>
                                  <a:pt x="1791" y="7263"/>
                                </a:lnTo>
                                <a:lnTo>
                                  <a:pt x="1764" y="7186"/>
                                </a:lnTo>
                                <a:lnTo>
                                  <a:pt x="1730" y="7113"/>
                                </a:lnTo>
                                <a:lnTo>
                                  <a:pt x="1689" y="7046"/>
                                </a:lnTo>
                                <a:lnTo>
                                  <a:pt x="1640" y="6983"/>
                                </a:lnTo>
                                <a:lnTo>
                                  <a:pt x="1584" y="6927"/>
                                </a:lnTo>
                                <a:lnTo>
                                  <a:pt x="1521" y="6876"/>
                                </a:lnTo>
                                <a:lnTo>
                                  <a:pt x="1451" y="6831"/>
                                </a:lnTo>
                                <a:lnTo>
                                  <a:pt x="1374" y="6792"/>
                                </a:lnTo>
                                <a:lnTo>
                                  <a:pt x="1290" y="6759"/>
                                </a:lnTo>
                                <a:lnTo>
                                  <a:pt x="1219" y="6737"/>
                                </a:lnTo>
                                <a:lnTo>
                                  <a:pt x="1143" y="6720"/>
                                </a:lnTo>
                                <a:lnTo>
                                  <a:pt x="1062" y="6708"/>
                                </a:lnTo>
                                <a:lnTo>
                                  <a:pt x="978" y="6701"/>
                                </a:lnTo>
                                <a:lnTo>
                                  <a:pt x="890" y="6699"/>
                                </a:lnTo>
                                <a:lnTo>
                                  <a:pt x="803" y="6701"/>
                                </a:lnTo>
                                <a:lnTo>
                                  <a:pt x="721" y="6707"/>
                                </a:lnTo>
                                <a:lnTo>
                                  <a:pt x="644" y="6718"/>
                                </a:lnTo>
                                <a:lnTo>
                                  <a:pt x="571" y="6733"/>
                                </a:lnTo>
                                <a:lnTo>
                                  <a:pt x="502" y="6753"/>
                                </a:lnTo>
                                <a:lnTo>
                                  <a:pt x="422" y="6783"/>
                                </a:lnTo>
                                <a:lnTo>
                                  <a:pt x="349" y="6819"/>
                                </a:lnTo>
                                <a:lnTo>
                                  <a:pt x="283" y="6862"/>
                                </a:lnTo>
                                <a:lnTo>
                                  <a:pt x="224" y="6910"/>
                                </a:lnTo>
                                <a:lnTo>
                                  <a:pt x="171" y="6964"/>
                                </a:lnTo>
                                <a:lnTo>
                                  <a:pt x="126" y="7023"/>
                                </a:lnTo>
                                <a:lnTo>
                                  <a:pt x="87" y="7088"/>
                                </a:lnTo>
                                <a:lnTo>
                                  <a:pt x="56" y="7158"/>
                                </a:lnTo>
                                <a:lnTo>
                                  <a:pt x="31" y="7234"/>
                                </a:lnTo>
                                <a:lnTo>
                                  <a:pt x="14" y="7314"/>
                                </a:lnTo>
                                <a:lnTo>
                                  <a:pt x="4" y="7399"/>
                                </a:lnTo>
                                <a:lnTo>
                                  <a:pt x="0" y="7487"/>
                                </a:lnTo>
                                <a:lnTo>
                                  <a:pt x="1" y="7533"/>
                                </a:lnTo>
                                <a:lnTo>
                                  <a:pt x="4" y="7577"/>
                                </a:lnTo>
                                <a:lnTo>
                                  <a:pt x="9" y="7619"/>
                                </a:lnTo>
                                <a:lnTo>
                                  <a:pt x="15" y="7660"/>
                                </a:lnTo>
                                <a:lnTo>
                                  <a:pt x="23" y="7699"/>
                                </a:lnTo>
                                <a:lnTo>
                                  <a:pt x="32" y="7735"/>
                                </a:lnTo>
                                <a:lnTo>
                                  <a:pt x="42" y="7770"/>
                                </a:lnTo>
                                <a:lnTo>
                                  <a:pt x="52" y="7802"/>
                                </a:lnTo>
                                <a:lnTo>
                                  <a:pt x="64" y="7832"/>
                                </a:lnTo>
                                <a:lnTo>
                                  <a:pt x="76" y="7859"/>
                                </a:lnTo>
                                <a:lnTo>
                                  <a:pt x="88" y="7884"/>
                                </a:lnTo>
                                <a:lnTo>
                                  <a:pt x="100" y="7907"/>
                                </a:lnTo>
                                <a:lnTo>
                                  <a:pt x="111" y="7927"/>
                                </a:lnTo>
                                <a:lnTo>
                                  <a:pt x="122" y="7943"/>
                                </a:lnTo>
                                <a:lnTo>
                                  <a:pt x="132" y="7956"/>
                                </a:lnTo>
                                <a:lnTo>
                                  <a:pt x="140" y="7966"/>
                                </a:lnTo>
                                <a:lnTo>
                                  <a:pt x="150" y="7976"/>
                                </a:lnTo>
                                <a:lnTo>
                                  <a:pt x="160" y="7983"/>
                                </a:lnTo>
                                <a:lnTo>
                                  <a:pt x="177" y="7992"/>
                                </a:lnTo>
                                <a:lnTo>
                                  <a:pt x="186" y="7996"/>
                                </a:lnTo>
                                <a:lnTo>
                                  <a:pt x="206" y="8000"/>
                                </a:lnTo>
                                <a:lnTo>
                                  <a:pt x="227" y="8003"/>
                                </a:lnTo>
                                <a:lnTo>
                                  <a:pt x="238" y="8004"/>
                                </a:lnTo>
                                <a:lnTo>
                                  <a:pt x="265" y="8006"/>
                                </a:lnTo>
                                <a:lnTo>
                                  <a:pt x="297" y="8007"/>
                                </a:lnTo>
                                <a:lnTo>
                                  <a:pt x="320" y="8007"/>
                                </a:lnTo>
                                <a:lnTo>
                                  <a:pt x="341" y="8006"/>
                                </a:lnTo>
                                <a:lnTo>
                                  <a:pt x="359" y="8005"/>
                                </a:lnTo>
                                <a:lnTo>
                                  <a:pt x="389" y="8002"/>
                                </a:lnTo>
                                <a:lnTo>
                                  <a:pt x="401" y="8000"/>
                                </a:lnTo>
                                <a:lnTo>
                                  <a:pt x="412" y="7998"/>
                                </a:lnTo>
                                <a:lnTo>
                                  <a:pt x="432" y="7992"/>
                                </a:lnTo>
                                <a:lnTo>
                                  <a:pt x="440" y="7988"/>
                                </a:lnTo>
                                <a:lnTo>
                                  <a:pt x="443" y="7982"/>
                                </a:lnTo>
                                <a:lnTo>
                                  <a:pt x="447" y="7977"/>
                                </a:lnTo>
                                <a:lnTo>
                                  <a:pt x="448" y="7970"/>
                                </a:lnTo>
                                <a:lnTo>
                                  <a:pt x="448" y="7960"/>
                                </a:lnTo>
                                <a:lnTo>
                                  <a:pt x="447" y="7950"/>
                                </a:lnTo>
                                <a:lnTo>
                                  <a:pt x="443" y="7938"/>
                                </a:lnTo>
                                <a:lnTo>
                                  <a:pt x="436" y="7925"/>
                                </a:lnTo>
                                <a:lnTo>
                                  <a:pt x="426" y="7910"/>
                                </a:lnTo>
                                <a:lnTo>
                                  <a:pt x="415" y="7893"/>
                                </a:lnTo>
                                <a:lnTo>
                                  <a:pt x="403" y="7874"/>
                                </a:lnTo>
                                <a:lnTo>
                                  <a:pt x="390" y="7852"/>
                                </a:lnTo>
                                <a:lnTo>
                                  <a:pt x="377" y="7828"/>
                                </a:lnTo>
                                <a:lnTo>
                                  <a:pt x="364" y="7802"/>
                                </a:lnTo>
                                <a:lnTo>
                                  <a:pt x="351" y="7773"/>
                                </a:lnTo>
                                <a:lnTo>
                                  <a:pt x="339" y="7742"/>
                                </a:lnTo>
                                <a:lnTo>
                                  <a:pt x="327" y="7708"/>
                                </a:lnTo>
                                <a:lnTo>
                                  <a:pt x="317" y="7672"/>
                                </a:lnTo>
                                <a:lnTo>
                                  <a:pt x="311" y="7633"/>
                                </a:lnTo>
                                <a:lnTo>
                                  <a:pt x="307" y="7590"/>
                                </a:lnTo>
                                <a:lnTo>
                                  <a:pt x="305" y="7544"/>
                                </a:lnTo>
                                <a:lnTo>
                                  <a:pt x="307" y="7492"/>
                                </a:lnTo>
                                <a:lnTo>
                                  <a:pt x="314" y="7443"/>
                                </a:lnTo>
                                <a:lnTo>
                                  <a:pt x="325" y="7397"/>
                                </a:lnTo>
                                <a:lnTo>
                                  <a:pt x="341" y="7354"/>
                                </a:lnTo>
                                <a:lnTo>
                                  <a:pt x="362" y="7313"/>
                                </a:lnTo>
                                <a:lnTo>
                                  <a:pt x="387" y="7276"/>
                                </a:lnTo>
                                <a:lnTo>
                                  <a:pt x="417" y="7241"/>
                                </a:lnTo>
                                <a:lnTo>
                                  <a:pt x="452" y="7210"/>
                                </a:lnTo>
                                <a:lnTo>
                                  <a:pt x="491" y="7182"/>
                                </a:lnTo>
                                <a:lnTo>
                                  <a:pt x="535" y="7158"/>
                                </a:lnTo>
                                <a:lnTo>
                                  <a:pt x="585" y="7137"/>
                                </a:lnTo>
                                <a:lnTo>
                                  <a:pt x="639" y="7119"/>
                                </a:lnTo>
                                <a:lnTo>
                                  <a:pt x="699" y="7105"/>
                                </a:lnTo>
                                <a:lnTo>
                                  <a:pt x="764" y="7094"/>
                                </a:lnTo>
                                <a:lnTo>
                                  <a:pt x="834" y="7088"/>
                                </a:lnTo>
                                <a:lnTo>
                                  <a:pt x="909" y="7086"/>
                                </a:lnTo>
                                <a:lnTo>
                                  <a:pt x="978" y="7088"/>
                                </a:lnTo>
                                <a:lnTo>
                                  <a:pt x="1044" y="7094"/>
                                </a:lnTo>
                                <a:lnTo>
                                  <a:pt x="1106" y="7103"/>
                                </a:lnTo>
                                <a:lnTo>
                                  <a:pt x="1164" y="7116"/>
                                </a:lnTo>
                                <a:lnTo>
                                  <a:pt x="1219" y="7133"/>
                                </a:lnTo>
                                <a:lnTo>
                                  <a:pt x="1270" y="7154"/>
                                </a:lnTo>
                                <a:lnTo>
                                  <a:pt x="1316" y="7177"/>
                                </a:lnTo>
                                <a:lnTo>
                                  <a:pt x="1358" y="7205"/>
                                </a:lnTo>
                                <a:lnTo>
                                  <a:pt x="1396" y="7236"/>
                                </a:lnTo>
                                <a:lnTo>
                                  <a:pt x="1429" y="7269"/>
                                </a:lnTo>
                                <a:lnTo>
                                  <a:pt x="1457" y="7306"/>
                                </a:lnTo>
                                <a:lnTo>
                                  <a:pt x="1481" y="7346"/>
                                </a:lnTo>
                                <a:lnTo>
                                  <a:pt x="1500" y="7388"/>
                                </a:lnTo>
                                <a:lnTo>
                                  <a:pt x="1514" y="7434"/>
                                </a:lnTo>
                                <a:lnTo>
                                  <a:pt x="1522" y="7482"/>
                                </a:lnTo>
                                <a:lnTo>
                                  <a:pt x="1524" y="7534"/>
                                </a:lnTo>
                                <a:lnTo>
                                  <a:pt x="1523" y="7580"/>
                                </a:lnTo>
                                <a:lnTo>
                                  <a:pt x="1518" y="7623"/>
                                </a:lnTo>
                                <a:lnTo>
                                  <a:pt x="1511" y="7662"/>
                                </a:lnTo>
                                <a:lnTo>
                                  <a:pt x="1500" y="7698"/>
                                </a:lnTo>
                                <a:lnTo>
                                  <a:pt x="1488" y="7731"/>
                                </a:lnTo>
                                <a:lnTo>
                                  <a:pt x="1475" y="7762"/>
                                </a:lnTo>
                                <a:lnTo>
                                  <a:pt x="1461" y="7791"/>
                                </a:lnTo>
                                <a:lnTo>
                                  <a:pt x="1446" y="7817"/>
                                </a:lnTo>
                                <a:lnTo>
                                  <a:pt x="1432" y="7841"/>
                                </a:lnTo>
                                <a:lnTo>
                                  <a:pt x="1419" y="7862"/>
                                </a:lnTo>
                                <a:lnTo>
                                  <a:pt x="1406" y="7882"/>
                                </a:lnTo>
                                <a:lnTo>
                                  <a:pt x="1383" y="7914"/>
                                </a:lnTo>
                                <a:lnTo>
                                  <a:pt x="1376" y="7927"/>
                                </a:lnTo>
                                <a:lnTo>
                                  <a:pt x="1371" y="7940"/>
                                </a:lnTo>
                                <a:lnTo>
                                  <a:pt x="1370" y="7950"/>
                                </a:lnTo>
                                <a:lnTo>
                                  <a:pt x="1370" y="7959"/>
                                </a:lnTo>
                                <a:lnTo>
                                  <a:pt x="1372" y="7966"/>
                                </a:lnTo>
                                <a:lnTo>
                                  <a:pt x="1378" y="7972"/>
                                </a:lnTo>
                                <a:lnTo>
                                  <a:pt x="1383" y="7979"/>
                                </a:lnTo>
                                <a:lnTo>
                                  <a:pt x="1392" y="7984"/>
                                </a:lnTo>
                                <a:lnTo>
                                  <a:pt x="1404" y="7989"/>
                                </a:lnTo>
                                <a:lnTo>
                                  <a:pt x="1413" y="7992"/>
                                </a:lnTo>
                                <a:lnTo>
                                  <a:pt x="1424" y="7994"/>
                                </a:lnTo>
                                <a:lnTo>
                                  <a:pt x="1436" y="7997"/>
                                </a:lnTo>
                                <a:lnTo>
                                  <a:pt x="1450" y="7998"/>
                                </a:lnTo>
                                <a:lnTo>
                                  <a:pt x="1482" y="8000"/>
                                </a:lnTo>
                                <a:lnTo>
                                  <a:pt x="1520" y="8001"/>
                                </a:lnTo>
                                <a:lnTo>
                                  <a:pt x="1555" y="8000"/>
                                </a:lnTo>
                                <a:lnTo>
                                  <a:pt x="1570" y="8000"/>
                                </a:lnTo>
                                <a:lnTo>
                                  <a:pt x="1608" y="7996"/>
                                </a:lnTo>
                                <a:lnTo>
                                  <a:pt x="1619" y="7995"/>
                                </a:lnTo>
                                <a:lnTo>
                                  <a:pt x="1629" y="7992"/>
                                </a:lnTo>
                                <a:lnTo>
                                  <a:pt x="1642" y="7990"/>
                                </a:lnTo>
                                <a:lnTo>
                                  <a:pt x="1653" y="7986"/>
                                </a:lnTo>
                                <a:lnTo>
                                  <a:pt x="1670" y="7977"/>
                                </a:lnTo>
                                <a:lnTo>
                                  <a:pt x="1679" y="7968"/>
                                </a:lnTo>
                                <a:lnTo>
                                  <a:pt x="1691" y="7956"/>
                                </a:lnTo>
                                <a:lnTo>
                                  <a:pt x="1701" y="7946"/>
                                </a:lnTo>
                                <a:lnTo>
                                  <a:pt x="1712" y="7931"/>
                                </a:lnTo>
                                <a:lnTo>
                                  <a:pt x="1723" y="7913"/>
                                </a:lnTo>
                                <a:lnTo>
                                  <a:pt x="1736" y="7892"/>
                                </a:lnTo>
                                <a:lnTo>
                                  <a:pt x="1748" y="7868"/>
                                </a:lnTo>
                                <a:lnTo>
                                  <a:pt x="1760" y="7842"/>
                                </a:lnTo>
                                <a:lnTo>
                                  <a:pt x="1771" y="7815"/>
                                </a:lnTo>
                                <a:lnTo>
                                  <a:pt x="1781" y="7787"/>
                                </a:lnTo>
                                <a:lnTo>
                                  <a:pt x="1791" y="7758"/>
                                </a:lnTo>
                                <a:lnTo>
                                  <a:pt x="1799" y="7727"/>
                                </a:lnTo>
                                <a:lnTo>
                                  <a:pt x="1807" y="7695"/>
                                </a:lnTo>
                                <a:lnTo>
                                  <a:pt x="1814" y="7661"/>
                                </a:lnTo>
                                <a:lnTo>
                                  <a:pt x="1819" y="7627"/>
                                </a:lnTo>
                                <a:lnTo>
                                  <a:pt x="1823" y="7591"/>
                                </a:lnTo>
                                <a:lnTo>
                                  <a:pt x="1826" y="7555"/>
                                </a:lnTo>
                                <a:lnTo>
                                  <a:pt x="1827" y="75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C149" id="docshapegroup128" o:spid="_x0000_s1026" style="position:absolute;margin-left:0;margin-top:3pt;width:593.85pt;height:838.9pt;z-index:-31862784;mso-position-horizontal-relative:page;mso-position-vertical-relative:page" coordorigin=",60" coordsize="11877,16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">
                <v:rect id="docshape129" o:spid="_x0000_s1027" style="position:absolute;top:60;width:11877;height:1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" fillcolor="#8396af" stroked="f"/>
                <v:shape id="docshape130" o:spid="_x0000_s1028" style="position:absolute;left:1560;top:11158;width:10302;height:2700;visibility:visible;mso-wrap-style:square;v-text-anchor:top" coordsize="1030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" path="m3713,40r-1164,l1919,200r-74,40l1773,280r-70,20l1669,320r-29,20l1614,360r-23,20l1572,400r-17,l1542,420r-14,20l1531,460r17,20l1596,480r25,20l1783,500r79,20l2099,520r78,20l2256,540r79,20l2415,560r161,40l2662,600r177,40l3292,760r75,40l3588,860r73,40l3775,940r118,40l3965,1020r72,20l4178,1120r71,20l4459,1260r71,20l4672,1360r146,40l4888,1440r68,20l5220,1540r310,80l5608,1620r156,40l5842,1660r157,40l6078,1700r157,40l6313,1740r204,40l6658,1800r690,180l7432,2020r86,20l7606,2080r88,20l7847,2180r74,20l7995,2240r73,20l8141,2300r73,20l8287,2360r74,20l8436,2420r76,20l8589,2480r159,40l8857,2540r107,40l9113,2620r76,l9339,2660r76,l9491,2680r76,l9643,2700r659,l10302,2080r-12,l10006,2020r-100,-40l9609,1900r-74,-40l9389,1820r-73,-40l9244,1760r-72,-40l9101,1700r-191,-80l8790,1560,8491,1400r-76,-20l8262,1300r-77,-20l8108,1240r-79,-20l7950,1180r-214,-60l7344,1020r-79,l7107,980r-78,l6950,960r-80,l6712,920r-79,l6554,900r-79,l6396,880r-79,l6002,800r-79,l5845,760,5688,720,5540,680r-74,-40l5388,620r-78,-40l5235,560r-74,-40l5088,500,4942,420r-72,-20l4723,320r-74,-20l4573,260,4418,220,4202,140,3960,80r-82,l3713,40xm5182,2540r-721,l4541,2560r561,l5182,2540xm5420,2520r-1119,l4381,2540r960,l5420,2520xm2031,920r-860,l1016,960r-78,l798,1000r-66,l652,1020r-80,40l415,1100r-77,40l294,1160r-42,20l198,1200r-52,20l95,1260r-48,40l30,1300r-12,20l8,1340r-6,l,1360r2,l8,1380r10,l56,1400r88,l184,1420r174,l467,1440r82,l631,1460r82,l876,1500r82,l1129,1540r186,40l1850,1720r75,40l2074,1800r122,40l2322,1900r75,20l2470,1960r74,20l2617,2020r72,20l2761,2080r73,20l2979,2180r73,20l3125,2240r74,20l3422,2340r111,20l3642,2400r108,20l4063,2500r79,l4222,2520r1273,l5567,2500r68,-20l5720,2480r166,-40l5968,2400r82,-20l6098,2360r46,-20l6209,2320r64,-40l6335,2260r57,-40l6409,2200r12,-20l6432,2180r5,-20l6438,2140r-1,l6431,2120r-11,l6406,2100r-18,l6330,2080r-116,l6155,2060r-211,-20l5819,2040r-77,-20l5665,2020r-154,-40l5435,1980r-77,-20l5282,1960r-178,-40l4914,1880r-300,-80l4540,1760r-295,-80l4172,1640r-231,-80l3864,1520r-76,-20l3638,1420r-74,-20l3415,1320r-74,-20l3190,1220r-76,-20l2892,1120r-108,-40l2676,1060r-106,-40l2418,980r-77,l2186,940r-77,l2031,920xm10302,640r-3076,l7304,660r80,l7460,680r82,l7714,720r825,220l8779,1020r77,40l8931,1080r76,40l9081,1140r74,40l9229,1200r147,80l9449,1300r73,40l9596,1360r74,40l9745,1420r75,40l9895,1480r221,80l10225,1580r77,20l10302,640xm1797,900r-314,l1405,920r470,l1797,900xm8866,140r-1344,l7055,260r-75,40l6907,320r-72,40l6766,400r-68,20l6672,440r-23,20l6630,480r-17,20l6601,500r-15,40l6588,560r15,l6630,580r44,l6754,600r157,l6990,620r78,l7147,640r3137,l10160,580,9923,480r-73,-40l9777,420r-73,-40l9630,360r-75,-40l8866,140xm8709,120r-1031,l7601,140r1187,l8709,120xm8552,100r-721,l7755,120r876,l8552,100xm8236,80r-80,l8077,100r238,l8236,80xm3548,20r-838,l2630,40r1001,l3548,20xm3382,l2949,r-79,20l3465,20,3382,xe" fillcolor="#d5dbe4" stroked="f">
                  <v:path arrowok="t" o:connecttype="custom" o:connectlocs="1703,11459;1555,11559;1621,11659;2335,11719;3367,11959;4037,12199;4818,12559;5764,12819;6517,12939;7694,13259;8214,13479;8748,13679;9415,13819;10290,13239;9316,12939;8491,12559;7950,12339;6950,12119;6396,12039;5540,11839;5088,11659;4418,11379;4461,13699;4381,13699;938,12119;338,12299;47,12459;2,12519;358,12579;958,12659;2196,12999;2689,13199;3199,13419;4142,13659;5886,13599;6273,13439;6437,13319;6388,13259;5742,13179;5104,13079;3941,12719;3341,12459;2570,12179;10302,11799;7714,11879;9081,12299;9596,12519;10225,12739;1875,12079;6907,11479;6630,11639;6630,11739;7147,11799;9704,11539;7601,11299;8631,11279;8236,11239;3382,11159" o:connectangles="0,0,0,0,0,0,0,0,0,0,0,0,0,0,0,0,0,0,0,0,0,0,0,0,0,0,0,0,0,0,0,0,0,0,0,0,0,0,0,0,0,0,0,0,0,0,0,0,0,0,0,0,0,0,0,0,0,0"/>
                </v:shape>
                <v:shape id="docshape131" o:spid="_x0000_s1029" type="#_x0000_t75" style="position:absolute;left:7905;top:1257;width:357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">
                  <v:imagedata r:id="rId87" o:title=""/>
                </v:shape>
                <v:shape id="docshape132" o:spid="_x0000_s1030" style="position:absolute;left:8774;top:1598;width:1827;height:8007;visibility:visible;mso-wrap-style:square;v-text-anchor:top" coordsize="1827,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" path="m1798,4632r-2,-7l1790,4618r-5,-6l1776,4606r-10,-4l1756,4599r-10,-3l1734,4594r-14,-2l1705,4590r-17,-1l1670,4588r-20,l1631,4588r-17,1l1597,4590r-15,2l1569,4594r-12,2l1547,4599r-9,3l1526,4606r-9,6l1512,4618r-6,7l1504,4632r,453l69,5085r-9,2l46,5099r-6,10l35,5123r-3,11l29,5147r-3,15l24,5178r-1,19l22,5217r-1,23l21,5265r,25l22,5312r1,21l24,5351r2,17l29,5383r3,13l35,5408r5,13l46,5430r14,12l69,5445r1435,l1504,5896r2,8l1512,5910r5,8l1526,5924r12,4l1547,5931r10,3l1569,5936r13,2l1597,5940r17,1l1631,5941r19,1l1670,5941r18,l1705,5940r15,-2l1734,5936r12,-2l1756,5931r10,-3l1776,5924r9,-6l1790,5910r6,-6l1798,5896r,-1264xm1798,3294r-2,-21l1791,3253r-9,-18l1770,3219r-15,-14l1736,3196r-24,-6l1684,3188r-161,l1523,3548r,165l1523,3738r-1,25l1520,3786r-2,20l1516,3822r-2,16l1511,3853r-3,14l1493,3909r-19,36l1451,3974r-29,24l1391,4015r-35,12l1317,4035r-42,2l1247,4036r-26,-4l1196,4026r-24,-8l1149,4007r-21,-13l1109,3978r-18,-18l1076,3940r-14,-23l1050,3892r-10,-28l1032,3834r-6,-32l1023,3767r-1,-37l1022,3548r501,l1523,3188r-1454,l60,3190r-14,12l40,3212r-5,13l32,3236r-3,13l26,3264r-2,16l23,3298r-1,21l21,3342r,24l21,3392r1,23l23,3436r1,18l26,3470r3,15l32,3498r3,11l40,3522r6,10l60,3544r9,4l752,3548r,111l750,3687r-3,26l741,3738r-7,23l724,3782r-12,20l697,3820r-16,18l663,3854r-21,16l619,3885r-25,14l567,3913r-28,13l508,3940r-32,14l81,4113r-11,3l60,4121r-8,6l45,4132r-6,10l34,4155r-4,11l27,4178r-2,15l23,4209r-1,18l21,4249r,91l21,4361r1,25l23,4408r2,19l27,4443r3,14l33,4469r5,13l42,4491r15,7l65,4500r19,l96,4498r17,-5l127,4489r17,-6l165,4475r24,-9l537,4317r31,-13l597,4291r27,-14l650,4264r24,-14l697,4235r22,-15l738,4205r19,-15l775,4174r16,-17l806,4140r13,-18l831,4104r11,-19l851,4066r15,40l882,4143r18,35l920,4211r22,31l966,4271r26,25l1019,4319r30,21l1081,4358r34,16l1150,4386r38,10l1227,4403r42,4l1312,4408r52,-2l1412,4400r45,-9l1499,4377r39,-17l1575,4339r34,-24l1640,4287r28,-32l1693,4220r23,-37l1736,4142r17,-45l1763,4066r4,-15l1771,4037r8,-36l1788,3950r2,-20l1792,3909r1,-20l1794,3867r2,-24l1797,3816r1,-30l1798,3761r,-467xm1798,123r-2,-27l1790,73,1780,52,1766,34,1747,19,1725,9,1699,2,1670,,1520,r,360l1519,521r,20l1518,569r-2,27l1512,622r-5,26l1500,673r-11,25l1476,723r-16,22l1440,767r-25,19l1388,803r-33,14l1319,827r-40,7l1234,836r-34,-2l1168,831r-31,-6l1108,816r-28,-10l1054,793r-24,-15l1008,761,989,741,972,719,956,693,944,665,933,635r-7,-35l921,563r-1,-42l920,360r600,l1520,,69,,60,3,46,15r-6,9l35,38,32,49,29,62,26,76,24,93r-1,18l22,132r-1,23l21,179r,26l22,228r1,21l24,267r2,16l29,298r3,13l35,322r5,13l46,345r14,12l69,360r573,l643,513r2,80l652,671r13,74l683,812r23,62l734,931r32,52l803,1030r42,42l891,1108r50,32l996,1166r60,20l1120,1200r68,8l1260,1211r53,-2l1363,1204r47,-10l1455,1181r42,-16l1536,1145r37,-24l1607,1095r31,-31l1666,1031r26,-36l1714,956r20,-41l1750,875r13,-39l1763,834r10,-39l1780,757r5,-36l1790,689r3,-30l1795,630r2,-29l1798,570r,-29l1798,123xm1805,2069r,-26l1804,2020r-1,-20l1801,1982r-3,-15l1794,1954r-4,-11l1785,1933r-5,-8l1773,1919r-8,-5l1756,1909r-10,-5l1665,1876r-205,-72l1460,2127r,1l708,2378r,-502l1460,2127r,-323l165,1354r-22,-7l123,1341r-18,-5l89,1334r-13,-1l63,1334r-10,4l45,1343r-8,9l31,1362r-4,14l24,1392r-1,20l22,1435r-1,26l21,1519r,25l22,1566r1,20l25,1603r2,15l30,1631r4,11l39,1655r6,10l54,1671r9,6l74,1682r12,3l432,1797r,665l65,2584r-9,5l47,2595r-7,5l35,2609r-5,13l28,2634r-2,14l24,2664r-2,18l21,2704r,25l21,2792r,31l22,2851r1,24l24,2896r2,18l30,2929r5,12l41,2950r8,6l59,2960r12,1l84,2961r16,-3l118,2954r21,-6l162,2940,1731,2393r12,-4l1754,2384r10,-5l1766,2378r6,-4l1779,2367r6,-9l1790,2348r4,-12l1798,2321r3,-18l1803,2283r1,-22l1805,2235r,-31l1805,2069xm1827,7518r-4,-88l1811,7345r-20,-82l1764,7186r-34,-73l1689,7046r-49,-63l1584,6927r-63,-51l1451,6831r-77,-39l1290,6759r-71,-22l1143,6720r-81,-12l978,6701r-88,-2l803,6701r-82,6l644,6718r-73,15l502,6753r-80,30l349,6819r-66,43l224,6910r-53,54l126,7023r-39,65l56,7158r-25,76l14,7314,4,7399,,7487r1,46l4,7577r5,42l15,7660r8,39l32,7735r10,35l52,7802r12,30l76,7859r12,25l100,7907r11,20l122,7943r10,13l140,7966r10,10l160,7983r17,9l186,7996r20,4l227,8003r11,1l265,8006r32,1l320,8007r21,-1l359,8005r30,-3l401,8000r11,-2l432,7992r8,-4l443,7982r4,-5l448,7970r,-10l447,7950r-4,-12l436,7925r-10,-15l415,7893r-12,-19l390,7852r-13,-24l364,7802r-13,-29l339,7742r-12,-34l317,7672r-6,-39l307,7590r-2,-46l307,7492r7,-49l325,7397r16,-43l362,7313r25,-37l417,7241r35,-31l491,7182r44,-24l585,7137r54,-18l699,7105r65,-11l834,7088r75,-2l978,7088r66,6l1106,7103r58,13l1219,7133r51,21l1316,7177r42,28l1396,7236r33,33l1457,7306r24,40l1500,7388r14,46l1522,7482r2,52l1523,7580r-5,43l1511,7662r-11,36l1488,7731r-13,31l1461,7791r-15,26l1432,7841r-13,21l1406,7882r-23,32l1376,7927r-5,13l1370,7950r,9l1372,7966r6,6l1383,7979r9,5l1404,7989r9,3l1424,7994r12,3l1450,7998r32,2l1520,8001r35,-1l1570,8000r38,-4l1619,7995r10,-3l1642,7990r11,-4l1670,7977r9,-9l1691,7956r10,-10l1712,7931r11,-18l1736,7892r12,-24l1760,7842r11,-27l1781,7787r10,-29l1799,7727r8,-32l1814,7661r5,-34l1823,7591r3,-36l1827,7518xe" stroked="f">
                  <v:path arrowok="t" o:connecttype="custom" o:connectlocs="1705,6188;1538,6200;35,6721;23,6931;1504,7494;1614,7539;1776,7522;1755,4803;1516,5420;1275,5635;1050,5490;46,4800;21,4990;69,5146;663,5452;52,5725;21,5959;84,6098;650,5862;842,5683;1081,5956;1538,5958;1771,5635;1798,4892;1520,1958;1440,2365;1080,2404;920,2119;26,1674;29,1896;665,2343;1120,2798;1638,2662;1790,2287;1801,3580;1460,3402;89,2932;21,3059;54,3269;30,4220;24,4494;139,4546;1794,3934;1791,8861;1143,8318;283,8460;4,9175;111,9525;265,9604;447,9575;364,9400;341,8952;834,8686;1429,8867;1488,9329;1370,9557;1520,9599;1701,9544;1814,9259" o:connectangles="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15757312" behindDoc="0" locked="0" layoutInCell="1" allowOverlap="1" wp14:anchorId="07F84A32" wp14:editId="66E5C823">
                <wp:simplePos x="0" y="0"/>
                <wp:positionH relativeFrom="page">
                  <wp:posOffset>4033520</wp:posOffset>
                </wp:positionH>
                <wp:positionV relativeFrom="page">
                  <wp:posOffset>9566910</wp:posOffset>
                </wp:positionV>
                <wp:extent cx="3352165" cy="1194435"/>
                <wp:effectExtent l="0" t="0" r="0" b="0"/>
                <wp:wrapNone/>
                <wp:docPr id="288"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632E" w14:textId="77777777" w:rsidR="00141B97" w:rsidRDefault="00911D63">
                            <w:pPr>
                              <w:spacing w:line="1880" w:lineRule="exact"/>
                              <w:rPr>
                                <w:rFonts w:ascii="Calibri"/>
                                <w:b/>
                                <w:sz w:val="188"/>
                              </w:rPr>
                            </w:pPr>
                            <w:r>
                              <w:rPr>
                                <w:rFonts w:ascii="Calibri"/>
                                <w:b/>
                                <w:color w:val="FFFFFF"/>
                                <w:spacing w:val="-2"/>
                                <w:sz w:val="188"/>
                              </w:rPr>
                              <w:t>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84A32" id="docshape133" o:spid="_x0000_s1105" type="#_x0000_t202" style="position:absolute;margin-left:317.6pt;margin-top:753.3pt;width:263.95pt;height:94.0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" filled="f" stroked="f">
                <v:textbox inset="0,0,0,0">
                  <w:txbxContent>
                    <w:p w14:paraId="772E632E" w14:textId="77777777" w:rsidR="00141B97" w:rsidRDefault="00911D63">
                      <w:pPr>
                        <w:spacing w:line="1880" w:lineRule="exact"/>
                        <w:rPr>
                          <w:rFonts w:ascii="Calibri"/>
                          <w:b/>
                          <w:sz w:val="188"/>
                        </w:rPr>
                      </w:pPr>
                      <w:r>
                        <w:rPr>
                          <w:rFonts w:ascii="Calibri"/>
                          <w:b/>
                          <w:color w:val="FFFFFF"/>
                          <w:spacing w:val="-2"/>
                          <w:sz w:val="188"/>
                        </w:rPr>
                        <w:t>RURAL</w:t>
                      </w:r>
                    </w:p>
                  </w:txbxContent>
                </v:textbox>
                <w10:wrap anchorx="page" anchory="page"/>
              </v:shape>
            </w:pict>
          </mc:Fallback>
        </mc:AlternateContent>
      </w:r>
    </w:p>
    <w:p w14:paraId="300FE896" w14:textId="77777777" w:rsidR="00141B97" w:rsidRDefault="00141B97">
      <w:pPr>
        <w:rPr>
          <w:sz w:val="16"/>
        </w:rPr>
        <w:sectPr w:rsidR="00141B97">
          <w:footerReference w:type="default" r:id="rId88"/>
          <w:pgSz w:w="11910" w:h="16840"/>
          <w:pgMar w:top="1940" w:right="40" w:bottom="0" w:left="1020" w:header="0" w:footer="0" w:gutter="0"/>
          <w:cols w:space="720"/>
        </w:sectPr>
      </w:pPr>
    </w:p>
    <w:p w14:paraId="6D5A822E" w14:textId="77777777" w:rsidR="00141B97" w:rsidRDefault="00911D63">
      <w:pPr>
        <w:spacing w:line="577" w:lineRule="exact"/>
        <w:ind w:left="114"/>
        <w:rPr>
          <w:sz w:val="48"/>
        </w:rPr>
      </w:pPr>
      <w:r>
        <w:rPr>
          <w:color w:val="006CA3"/>
          <w:sz w:val="48"/>
        </w:rPr>
        <w:lastRenderedPageBreak/>
        <w:t>Table</w:t>
      </w:r>
      <w:r>
        <w:rPr>
          <w:color w:val="006CA3"/>
          <w:spacing w:val="-1"/>
          <w:sz w:val="48"/>
        </w:rPr>
        <w:t xml:space="preserve"> </w:t>
      </w:r>
      <w:r>
        <w:rPr>
          <w:color w:val="006CA3"/>
          <w:sz w:val="48"/>
        </w:rPr>
        <w:t>of Contents</w:t>
      </w:r>
      <w:r>
        <w:rPr>
          <w:color w:val="006CA3"/>
          <w:spacing w:val="1"/>
          <w:sz w:val="48"/>
        </w:rPr>
        <w:t xml:space="preserve"> </w:t>
      </w:r>
      <w:r>
        <w:rPr>
          <w:color w:val="006CA3"/>
          <w:sz w:val="48"/>
        </w:rPr>
        <w:t>–</w:t>
      </w:r>
      <w:r>
        <w:rPr>
          <w:color w:val="006CA3"/>
          <w:spacing w:val="-1"/>
          <w:sz w:val="48"/>
        </w:rPr>
        <w:t xml:space="preserve"> </w:t>
      </w:r>
      <w:r>
        <w:rPr>
          <w:color w:val="006CA3"/>
          <w:sz w:val="48"/>
        </w:rPr>
        <w:t>Part</w:t>
      </w:r>
      <w:r>
        <w:rPr>
          <w:color w:val="006CA3"/>
          <w:spacing w:val="-1"/>
          <w:sz w:val="48"/>
        </w:rPr>
        <w:t xml:space="preserve"> </w:t>
      </w:r>
      <w:r>
        <w:rPr>
          <w:color w:val="006CA3"/>
          <w:sz w:val="48"/>
        </w:rPr>
        <w:t>C</w:t>
      </w:r>
      <w:r>
        <w:rPr>
          <w:color w:val="006CA3"/>
          <w:spacing w:val="-1"/>
          <w:sz w:val="48"/>
        </w:rPr>
        <w:t xml:space="preserve"> </w:t>
      </w:r>
      <w:r>
        <w:rPr>
          <w:color w:val="006CA3"/>
          <w:spacing w:val="-2"/>
          <w:sz w:val="48"/>
        </w:rPr>
        <w:t>Rural</w:t>
      </w:r>
    </w:p>
    <w:p w14:paraId="444107AF" w14:textId="77777777" w:rsidR="00141B97" w:rsidRDefault="00911D63">
      <w:pPr>
        <w:pStyle w:val="Heading3"/>
        <w:numPr>
          <w:ilvl w:val="0"/>
          <w:numId w:val="38"/>
        </w:numPr>
        <w:tabs>
          <w:tab w:val="left" w:pos="681"/>
          <w:tab w:val="left" w:pos="682"/>
          <w:tab w:val="right" w:leader="dot" w:pos="9893"/>
        </w:tabs>
        <w:spacing w:before="119"/>
        <w:rPr>
          <w:rFonts w:ascii="Arial"/>
          <w:b/>
        </w:rPr>
      </w:pPr>
      <w:r>
        <w:rPr>
          <w:color w:val="009BAC"/>
          <w:spacing w:val="-2"/>
        </w:rPr>
        <w:t>Introduction</w:t>
      </w:r>
      <w:r>
        <w:rPr>
          <w:rFonts w:ascii="Times New Roman"/>
          <w:color w:val="009BAC"/>
        </w:rPr>
        <w:tab/>
      </w:r>
      <w:r>
        <w:rPr>
          <w:rFonts w:ascii="Arial"/>
          <w:b/>
          <w:color w:val="009BAC"/>
          <w:spacing w:val="-5"/>
        </w:rPr>
        <w:t>94</w:t>
      </w:r>
    </w:p>
    <w:p w14:paraId="0DD0B0D9" w14:textId="77777777" w:rsidR="00141B97" w:rsidRDefault="00911D63">
      <w:pPr>
        <w:pStyle w:val="ListParagraph"/>
        <w:numPr>
          <w:ilvl w:val="1"/>
          <w:numId w:val="38"/>
        </w:numPr>
        <w:tabs>
          <w:tab w:val="left" w:pos="1247"/>
          <w:tab w:val="left" w:pos="1248"/>
          <w:tab w:val="right" w:leader="dot" w:pos="9886"/>
        </w:tabs>
        <w:spacing w:before="184"/>
        <w:rPr>
          <w:rFonts w:ascii="Arial"/>
          <w:b/>
          <w:sz w:val="20"/>
        </w:rPr>
      </w:pPr>
      <w:r>
        <w:rPr>
          <w:spacing w:val="-2"/>
          <w:sz w:val="20"/>
        </w:rPr>
        <w:t>Content</w:t>
      </w:r>
      <w:r>
        <w:rPr>
          <w:rFonts w:ascii="Times New Roman"/>
          <w:sz w:val="20"/>
        </w:rPr>
        <w:tab/>
      </w:r>
      <w:r>
        <w:rPr>
          <w:rFonts w:ascii="Arial"/>
          <w:b/>
          <w:spacing w:val="-5"/>
          <w:sz w:val="20"/>
        </w:rPr>
        <w:t>94</w:t>
      </w:r>
    </w:p>
    <w:p w14:paraId="1A1D3A5E" w14:textId="77777777" w:rsidR="00141B97" w:rsidRDefault="00911D63">
      <w:pPr>
        <w:pStyle w:val="ListParagraph"/>
        <w:numPr>
          <w:ilvl w:val="1"/>
          <w:numId w:val="38"/>
        </w:numPr>
        <w:tabs>
          <w:tab w:val="left" w:pos="1247"/>
          <w:tab w:val="left" w:pos="1248"/>
          <w:tab w:val="right" w:leader="dot" w:pos="9892"/>
        </w:tabs>
        <w:spacing w:before="155"/>
        <w:rPr>
          <w:rFonts w:ascii="Arial"/>
          <w:b/>
          <w:sz w:val="20"/>
        </w:rPr>
      </w:pPr>
      <w:r>
        <w:rPr>
          <w:sz w:val="20"/>
        </w:rPr>
        <w:t>Regulatory</w:t>
      </w:r>
      <w:r>
        <w:rPr>
          <w:spacing w:val="-7"/>
          <w:sz w:val="20"/>
        </w:rPr>
        <w:t xml:space="preserve"> </w:t>
      </w:r>
      <w:r>
        <w:rPr>
          <w:spacing w:val="-2"/>
          <w:sz w:val="20"/>
        </w:rPr>
        <w:t>Context</w:t>
      </w:r>
      <w:r>
        <w:rPr>
          <w:rFonts w:ascii="Times New Roman"/>
          <w:sz w:val="20"/>
        </w:rPr>
        <w:tab/>
      </w:r>
      <w:r>
        <w:rPr>
          <w:rFonts w:ascii="Arial"/>
          <w:b/>
          <w:spacing w:val="-5"/>
          <w:sz w:val="20"/>
        </w:rPr>
        <w:t>94</w:t>
      </w:r>
    </w:p>
    <w:p w14:paraId="6E54F133" w14:textId="77777777" w:rsidR="00141B97" w:rsidRDefault="00911D63">
      <w:pPr>
        <w:pStyle w:val="Heading3"/>
        <w:numPr>
          <w:ilvl w:val="0"/>
          <w:numId w:val="38"/>
        </w:numPr>
        <w:tabs>
          <w:tab w:val="left" w:pos="681"/>
          <w:tab w:val="left" w:pos="682"/>
          <w:tab w:val="right" w:leader="dot" w:pos="9893"/>
        </w:tabs>
        <w:spacing w:before="119"/>
        <w:rPr>
          <w:rFonts w:ascii="Arial"/>
          <w:b/>
        </w:rPr>
      </w:pPr>
      <w:r>
        <w:rPr>
          <w:color w:val="009BAC"/>
          <w:spacing w:val="-2"/>
        </w:rPr>
        <w:t>Performance</w:t>
      </w:r>
      <w:r>
        <w:rPr>
          <w:rFonts w:ascii="Times New Roman"/>
          <w:color w:val="009BAC"/>
        </w:rPr>
        <w:tab/>
      </w:r>
      <w:r>
        <w:rPr>
          <w:rFonts w:ascii="Arial"/>
          <w:b/>
          <w:color w:val="009BAC"/>
          <w:spacing w:val="-5"/>
        </w:rPr>
        <w:t>94</w:t>
      </w:r>
    </w:p>
    <w:p w14:paraId="4BB6358D" w14:textId="77777777" w:rsidR="00141B97" w:rsidRDefault="00911D63">
      <w:pPr>
        <w:pStyle w:val="ListParagraph"/>
        <w:numPr>
          <w:ilvl w:val="1"/>
          <w:numId w:val="38"/>
        </w:numPr>
        <w:tabs>
          <w:tab w:val="left" w:pos="1247"/>
          <w:tab w:val="left" w:pos="1248"/>
          <w:tab w:val="right" w:leader="dot" w:pos="9893"/>
        </w:tabs>
        <w:spacing w:before="184"/>
        <w:rPr>
          <w:rFonts w:ascii="Arial"/>
          <w:b/>
          <w:sz w:val="20"/>
        </w:rPr>
      </w:pPr>
      <w:r>
        <w:rPr>
          <w:sz w:val="20"/>
        </w:rPr>
        <w:t>PS4</w:t>
      </w:r>
      <w:r>
        <w:rPr>
          <w:spacing w:val="-3"/>
          <w:sz w:val="20"/>
        </w:rPr>
        <w:t xml:space="preserve"> </w:t>
      </w:r>
      <w:r>
        <w:rPr>
          <w:sz w:val="20"/>
        </w:rPr>
        <w:t>Customer</w:t>
      </w:r>
      <w:r>
        <w:rPr>
          <w:spacing w:val="-4"/>
          <w:sz w:val="20"/>
        </w:rPr>
        <w:t xml:space="preserve"> </w:t>
      </w:r>
      <w:r>
        <w:rPr>
          <w:spacing w:val="-2"/>
          <w:sz w:val="20"/>
        </w:rPr>
        <w:t>Outcomes</w:t>
      </w:r>
      <w:r>
        <w:rPr>
          <w:rFonts w:ascii="Times New Roman"/>
          <w:sz w:val="20"/>
        </w:rPr>
        <w:tab/>
      </w:r>
      <w:r>
        <w:rPr>
          <w:rFonts w:ascii="Arial"/>
          <w:b/>
          <w:spacing w:val="-5"/>
          <w:sz w:val="20"/>
        </w:rPr>
        <w:t>95</w:t>
      </w:r>
    </w:p>
    <w:p w14:paraId="28313E29" w14:textId="77777777" w:rsidR="00141B97" w:rsidRDefault="00911D63">
      <w:pPr>
        <w:pStyle w:val="ListParagraph"/>
        <w:numPr>
          <w:ilvl w:val="2"/>
          <w:numId w:val="38"/>
        </w:numPr>
        <w:tabs>
          <w:tab w:val="left" w:pos="1973"/>
          <w:tab w:val="left" w:pos="1974"/>
          <w:tab w:val="right" w:leader="dot" w:pos="9899"/>
        </w:tabs>
        <w:spacing w:before="120"/>
        <w:rPr>
          <w:rFonts w:ascii="Arial"/>
          <w:sz w:val="20"/>
        </w:rPr>
      </w:pPr>
      <w:r>
        <w:rPr>
          <w:sz w:val="20"/>
        </w:rPr>
        <w:t>Outcome</w:t>
      </w:r>
      <w:r>
        <w:rPr>
          <w:spacing w:val="-4"/>
          <w:sz w:val="20"/>
        </w:rPr>
        <w:t xml:space="preserve"> </w:t>
      </w:r>
      <w:r>
        <w:rPr>
          <w:sz w:val="20"/>
        </w:rPr>
        <w:t>1:</w:t>
      </w:r>
      <w:r>
        <w:rPr>
          <w:spacing w:val="-3"/>
          <w:sz w:val="20"/>
        </w:rPr>
        <w:t xml:space="preserve"> </w:t>
      </w:r>
      <w:r>
        <w:rPr>
          <w:sz w:val="20"/>
        </w:rPr>
        <w:t>Supply</w:t>
      </w:r>
      <w:r>
        <w:rPr>
          <w:spacing w:val="-2"/>
          <w:sz w:val="20"/>
        </w:rPr>
        <w:t xml:space="preserve"> </w:t>
      </w:r>
      <w:r>
        <w:rPr>
          <w:sz w:val="20"/>
        </w:rPr>
        <w:t>me</w:t>
      </w:r>
      <w:r>
        <w:rPr>
          <w:spacing w:val="-3"/>
          <w:sz w:val="20"/>
        </w:rPr>
        <w:t xml:space="preserve"> </w:t>
      </w:r>
      <w:r>
        <w:rPr>
          <w:sz w:val="20"/>
        </w:rPr>
        <w:t>with</w:t>
      </w:r>
      <w:r>
        <w:rPr>
          <w:spacing w:val="-2"/>
          <w:sz w:val="20"/>
        </w:rPr>
        <w:t xml:space="preserve"> </w:t>
      </w:r>
      <w:r>
        <w:rPr>
          <w:sz w:val="20"/>
        </w:rPr>
        <w:t>water</w:t>
      </w:r>
      <w:r>
        <w:rPr>
          <w:spacing w:val="-2"/>
          <w:sz w:val="20"/>
        </w:rPr>
        <w:t xml:space="preserve"> </w:t>
      </w:r>
      <w:r>
        <w:rPr>
          <w:sz w:val="20"/>
        </w:rPr>
        <w:t>when</w:t>
      </w:r>
      <w:r>
        <w:rPr>
          <w:spacing w:val="-3"/>
          <w:sz w:val="20"/>
        </w:rPr>
        <w:t xml:space="preserve"> </w:t>
      </w:r>
      <w:r>
        <w:rPr>
          <w:sz w:val="20"/>
        </w:rPr>
        <w:t>I</w:t>
      </w:r>
      <w:r>
        <w:rPr>
          <w:spacing w:val="-2"/>
          <w:sz w:val="20"/>
        </w:rPr>
        <w:t xml:space="preserve"> </w:t>
      </w:r>
      <w:r>
        <w:rPr>
          <w:sz w:val="20"/>
        </w:rPr>
        <w:t>need</w:t>
      </w:r>
      <w:r>
        <w:rPr>
          <w:spacing w:val="-1"/>
          <w:sz w:val="20"/>
        </w:rPr>
        <w:t xml:space="preserve"> </w:t>
      </w:r>
      <w:r>
        <w:rPr>
          <w:spacing w:val="-5"/>
          <w:sz w:val="20"/>
        </w:rPr>
        <w:t>it</w:t>
      </w:r>
      <w:r>
        <w:rPr>
          <w:rFonts w:ascii="Times New Roman"/>
          <w:sz w:val="20"/>
        </w:rPr>
        <w:tab/>
      </w:r>
      <w:r>
        <w:rPr>
          <w:rFonts w:ascii="Arial"/>
          <w:spacing w:val="-5"/>
          <w:sz w:val="20"/>
        </w:rPr>
        <w:t>95</w:t>
      </w:r>
    </w:p>
    <w:p w14:paraId="042A7FDE" w14:textId="77777777" w:rsidR="00141B97" w:rsidRDefault="00911D63">
      <w:pPr>
        <w:pStyle w:val="ListParagraph"/>
        <w:numPr>
          <w:ilvl w:val="2"/>
          <w:numId w:val="38"/>
        </w:numPr>
        <w:tabs>
          <w:tab w:val="left" w:pos="1973"/>
          <w:tab w:val="left" w:pos="1974"/>
          <w:tab w:val="right" w:leader="dot" w:pos="9900"/>
        </w:tabs>
        <w:spacing w:before="122"/>
        <w:rPr>
          <w:rFonts w:ascii="Arial"/>
          <w:sz w:val="20"/>
        </w:rPr>
      </w:pPr>
      <w:r>
        <w:rPr>
          <w:sz w:val="20"/>
        </w:rPr>
        <w:t>Outcome</w:t>
      </w:r>
      <w:r>
        <w:rPr>
          <w:spacing w:val="-3"/>
          <w:sz w:val="20"/>
        </w:rPr>
        <w:t xml:space="preserve"> </w:t>
      </w:r>
      <w:r>
        <w:rPr>
          <w:sz w:val="20"/>
        </w:rPr>
        <w:t>2:</w:t>
      </w:r>
      <w:r>
        <w:rPr>
          <w:spacing w:val="-2"/>
          <w:sz w:val="20"/>
        </w:rPr>
        <w:t xml:space="preserve"> </w:t>
      </w:r>
      <w:r>
        <w:rPr>
          <w:sz w:val="20"/>
        </w:rPr>
        <w:t>Keep</w:t>
      </w:r>
      <w:r>
        <w:rPr>
          <w:spacing w:val="-2"/>
          <w:sz w:val="20"/>
        </w:rPr>
        <w:t xml:space="preserve"> </w:t>
      </w:r>
      <w:r>
        <w:rPr>
          <w:sz w:val="20"/>
        </w:rPr>
        <w:t>my</w:t>
      </w:r>
      <w:r>
        <w:rPr>
          <w:spacing w:val="-3"/>
          <w:sz w:val="20"/>
        </w:rPr>
        <w:t xml:space="preserve"> </w:t>
      </w:r>
      <w:r>
        <w:rPr>
          <w:sz w:val="20"/>
        </w:rPr>
        <w:t>costs</w:t>
      </w:r>
      <w:r>
        <w:rPr>
          <w:spacing w:val="-2"/>
          <w:sz w:val="20"/>
        </w:rPr>
        <w:t xml:space="preserve"> </w:t>
      </w:r>
      <w:r>
        <w:rPr>
          <w:sz w:val="20"/>
        </w:rPr>
        <w:t>to</w:t>
      </w:r>
      <w:r>
        <w:rPr>
          <w:spacing w:val="-2"/>
          <w:sz w:val="20"/>
        </w:rPr>
        <w:t xml:space="preserve"> </w:t>
      </w:r>
      <w:r>
        <w:rPr>
          <w:sz w:val="20"/>
        </w:rPr>
        <w:t>a</w:t>
      </w:r>
      <w:r>
        <w:rPr>
          <w:spacing w:val="-2"/>
          <w:sz w:val="20"/>
        </w:rPr>
        <w:t xml:space="preserve"> minimum</w:t>
      </w:r>
      <w:r>
        <w:rPr>
          <w:rFonts w:ascii="Times New Roman"/>
          <w:sz w:val="20"/>
        </w:rPr>
        <w:tab/>
      </w:r>
      <w:r>
        <w:rPr>
          <w:rFonts w:ascii="Arial"/>
          <w:spacing w:val="-5"/>
          <w:sz w:val="20"/>
        </w:rPr>
        <w:t>95</w:t>
      </w:r>
    </w:p>
    <w:p w14:paraId="6D781A5F" w14:textId="77777777" w:rsidR="00141B97" w:rsidRDefault="00911D63">
      <w:pPr>
        <w:pStyle w:val="ListParagraph"/>
        <w:numPr>
          <w:ilvl w:val="2"/>
          <w:numId w:val="38"/>
        </w:numPr>
        <w:tabs>
          <w:tab w:val="left" w:pos="1928"/>
          <w:tab w:val="left" w:pos="1929"/>
          <w:tab w:val="right" w:leader="dot" w:pos="9899"/>
        </w:tabs>
        <w:spacing w:before="122"/>
        <w:ind w:left="1928" w:hanging="681"/>
        <w:rPr>
          <w:rFonts w:ascii="Arial"/>
          <w:sz w:val="20"/>
        </w:rPr>
      </w:pPr>
      <w:r>
        <w:rPr>
          <w:sz w:val="20"/>
        </w:rPr>
        <w:t>Outcome</w:t>
      </w:r>
      <w:r>
        <w:rPr>
          <w:spacing w:val="-2"/>
          <w:sz w:val="20"/>
        </w:rPr>
        <w:t xml:space="preserve"> </w:t>
      </w:r>
      <w:r>
        <w:rPr>
          <w:sz w:val="20"/>
        </w:rPr>
        <w:t>3:</w:t>
      </w:r>
      <w:r>
        <w:rPr>
          <w:spacing w:val="-2"/>
          <w:sz w:val="20"/>
        </w:rPr>
        <w:t xml:space="preserve"> </w:t>
      </w:r>
      <w:r>
        <w:rPr>
          <w:sz w:val="20"/>
        </w:rPr>
        <w:t>Be</w:t>
      </w:r>
      <w:r>
        <w:rPr>
          <w:spacing w:val="-3"/>
          <w:sz w:val="20"/>
        </w:rPr>
        <w:t xml:space="preserve"> </w:t>
      </w:r>
      <w:r>
        <w:rPr>
          <w:sz w:val="20"/>
        </w:rPr>
        <w:t>easy</w:t>
      </w:r>
      <w:r>
        <w:rPr>
          <w:spacing w:val="-2"/>
          <w:sz w:val="20"/>
        </w:rPr>
        <w:t xml:space="preserve"> </w:t>
      </w:r>
      <w:r>
        <w:rPr>
          <w:sz w:val="20"/>
        </w:rPr>
        <w:t>to</w:t>
      </w:r>
      <w:r>
        <w:rPr>
          <w:spacing w:val="-3"/>
          <w:sz w:val="20"/>
        </w:rPr>
        <w:t xml:space="preserve"> </w:t>
      </w:r>
      <w:r>
        <w:rPr>
          <w:sz w:val="20"/>
        </w:rPr>
        <w:t>contact</w:t>
      </w:r>
      <w:r>
        <w:rPr>
          <w:spacing w:val="-2"/>
          <w:sz w:val="20"/>
        </w:rPr>
        <w:t xml:space="preserve"> </w:t>
      </w:r>
      <w:r>
        <w:rPr>
          <w:sz w:val="20"/>
        </w:rPr>
        <w:t>and</w:t>
      </w:r>
      <w:r>
        <w:rPr>
          <w:spacing w:val="-3"/>
          <w:sz w:val="20"/>
        </w:rPr>
        <w:t xml:space="preserve"> </w:t>
      </w:r>
      <w:r>
        <w:rPr>
          <w:sz w:val="20"/>
        </w:rPr>
        <w:t>quick</w:t>
      </w:r>
      <w:r>
        <w:rPr>
          <w:spacing w:val="-2"/>
          <w:sz w:val="20"/>
        </w:rPr>
        <w:t xml:space="preserve"> </w:t>
      </w:r>
      <w:r>
        <w:rPr>
          <w:sz w:val="20"/>
        </w:rPr>
        <w:t>to</w:t>
      </w:r>
      <w:r>
        <w:rPr>
          <w:spacing w:val="-2"/>
          <w:sz w:val="20"/>
        </w:rPr>
        <w:t xml:space="preserve"> respond</w:t>
      </w:r>
      <w:r>
        <w:rPr>
          <w:rFonts w:ascii="Times New Roman"/>
          <w:sz w:val="20"/>
        </w:rPr>
        <w:tab/>
      </w:r>
      <w:r>
        <w:rPr>
          <w:rFonts w:ascii="Arial"/>
          <w:spacing w:val="-5"/>
          <w:sz w:val="20"/>
        </w:rPr>
        <w:t>96</w:t>
      </w:r>
    </w:p>
    <w:p w14:paraId="3398AD97" w14:textId="77777777" w:rsidR="00141B97" w:rsidRDefault="00911D63">
      <w:pPr>
        <w:pStyle w:val="ListParagraph"/>
        <w:numPr>
          <w:ilvl w:val="2"/>
          <w:numId w:val="38"/>
        </w:numPr>
        <w:tabs>
          <w:tab w:val="left" w:pos="1928"/>
          <w:tab w:val="left" w:pos="1929"/>
          <w:tab w:val="right" w:leader="dot" w:pos="9898"/>
        </w:tabs>
        <w:spacing w:before="121"/>
        <w:ind w:left="1928" w:hanging="681"/>
        <w:rPr>
          <w:rFonts w:ascii="Arial"/>
          <w:sz w:val="20"/>
        </w:rPr>
      </w:pPr>
      <w:r>
        <w:rPr>
          <w:sz w:val="20"/>
        </w:rPr>
        <w:t>Outcome</w:t>
      </w:r>
      <w:r>
        <w:rPr>
          <w:spacing w:val="-4"/>
          <w:sz w:val="20"/>
        </w:rPr>
        <w:t xml:space="preserve"> </w:t>
      </w:r>
      <w:r>
        <w:rPr>
          <w:sz w:val="20"/>
        </w:rPr>
        <w:t>4:</w:t>
      </w:r>
      <w:r>
        <w:rPr>
          <w:spacing w:val="-4"/>
          <w:sz w:val="20"/>
        </w:rPr>
        <w:t xml:space="preserve"> </w:t>
      </w:r>
      <w:r>
        <w:rPr>
          <w:sz w:val="20"/>
        </w:rPr>
        <w:t>Comply</w:t>
      </w:r>
      <w:r>
        <w:rPr>
          <w:spacing w:val="-5"/>
          <w:sz w:val="20"/>
        </w:rPr>
        <w:t xml:space="preserve"> </w:t>
      </w:r>
      <w:r>
        <w:rPr>
          <w:sz w:val="20"/>
        </w:rPr>
        <w:t>with</w:t>
      </w:r>
      <w:r>
        <w:rPr>
          <w:spacing w:val="-5"/>
          <w:sz w:val="20"/>
        </w:rPr>
        <w:t xml:space="preserve"> </w:t>
      </w:r>
      <w:r>
        <w:rPr>
          <w:sz w:val="20"/>
        </w:rPr>
        <w:t>other</w:t>
      </w:r>
      <w:r>
        <w:rPr>
          <w:spacing w:val="-3"/>
          <w:sz w:val="20"/>
        </w:rPr>
        <w:t xml:space="preserve"> </w:t>
      </w:r>
      <w:r>
        <w:rPr>
          <w:sz w:val="20"/>
        </w:rPr>
        <w:t>government</w:t>
      </w:r>
      <w:r>
        <w:rPr>
          <w:spacing w:val="-5"/>
          <w:sz w:val="20"/>
        </w:rPr>
        <w:t xml:space="preserve"> </w:t>
      </w:r>
      <w:r>
        <w:rPr>
          <w:spacing w:val="-2"/>
          <w:sz w:val="20"/>
        </w:rPr>
        <w:t>obligations</w:t>
      </w:r>
      <w:r>
        <w:rPr>
          <w:rFonts w:ascii="Times New Roman"/>
          <w:sz w:val="20"/>
        </w:rPr>
        <w:tab/>
      </w:r>
      <w:r>
        <w:rPr>
          <w:rFonts w:ascii="Arial"/>
          <w:spacing w:val="-5"/>
          <w:sz w:val="20"/>
        </w:rPr>
        <w:t>96</w:t>
      </w:r>
    </w:p>
    <w:p w14:paraId="03485619" w14:textId="77777777" w:rsidR="00141B97" w:rsidRDefault="00911D63">
      <w:pPr>
        <w:pStyle w:val="ListParagraph"/>
        <w:numPr>
          <w:ilvl w:val="1"/>
          <w:numId w:val="38"/>
        </w:numPr>
        <w:tabs>
          <w:tab w:val="left" w:pos="1247"/>
          <w:tab w:val="left" w:pos="1248"/>
          <w:tab w:val="right" w:leader="dot" w:pos="9893"/>
        </w:tabs>
        <w:spacing w:before="159"/>
        <w:rPr>
          <w:rFonts w:ascii="Arial"/>
          <w:b/>
          <w:sz w:val="20"/>
        </w:rPr>
      </w:pPr>
      <w:r>
        <w:rPr>
          <w:sz w:val="20"/>
        </w:rPr>
        <w:t>Rural</w:t>
      </w:r>
      <w:r>
        <w:rPr>
          <w:spacing w:val="-3"/>
          <w:sz w:val="20"/>
        </w:rPr>
        <w:t xml:space="preserve"> </w:t>
      </w:r>
      <w:r>
        <w:rPr>
          <w:sz w:val="20"/>
        </w:rPr>
        <w:t>Guaranteed</w:t>
      </w:r>
      <w:r>
        <w:rPr>
          <w:spacing w:val="-3"/>
          <w:sz w:val="20"/>
        </w:rPr>
        <w:t xml:space="preserve"> </w:t>
      </w:r>
      <w:r>
        <w:rPr>
          <w:sz w:val="20"/>
        </w:rPr>
        <w:t>Service</w:t>
      </w:r>
      <w:r>
        <w:rPr>
          <w:spacing w:val="-2"/>
          <w:sz w:val="20"/>
        </w:rPr>
        <w:t xml:space="preserve"> Levels</w:t>
      </w:r>
      <w:r>
        <w:rPr>
          <w:rFonts w:ascii="Times New Roman"/>
          <w:sz w:val="20"/>
        </w:rPr>
        <w:tab/>
      </w:r>
      <w:r>
        <w:rPr>
          <w:rFonts w:ascii="Arial"/>
          <w:b/>
          <w:spacing w:val="-5"/>
          <w:sz w:val="20"/>
        </w:rPr>
        <w:t>96</w:t>
      </w:r>
    </w:p>
    <w:p w14:paraId="091BA133" w14:textId="77777777" w:rsidR="00141B97" w:rsidRDefault="00911D63">
      <w:pPr>
        <w:pStyle w:val="ListParagraph"/>
        <w:numPr>
          <w:ilvl w:val="1"/>
          <w:numId w:val="38"/>
        </w:numPr>
        <w:tabs>
          <w:tab w:val="left" w:pos="1247"/>
          <w:tab w:val="left" w:pos="1248"/>
          <w:tab w:val="right" w:leader="dot" w:pos="9892"/>
        </w:tabs>
        <w:spacing w:before="156"/>
        <w:rPr>
          <w:rFonts w:ascii="Arial"/>
          <w:b/>
          <w:sz w:val="20"/>
        </w:rPr>
      </w:pPr>
      <w:r>
        <w:rPr>
          <w:sz w:val="20"/>
        </w:rPr>
        <w:t>Prices</w:t>
      </w:r>
      <w:r>
        <w:rPr>
          <w:spacing w:val="-4"/>
          <w:sz w:val="20"/>
        </w:rPr>
        <w:t xml:space="preserve"> </w:t>
      </w:r>
      <w:r>
        <w:rPr>
          <w:sz w:val="20"/>
        </w:rPr>
        <w:t>and</w:t>
      </w:r>
      <w:r>
        <w:rPr>
          <w:spacing w:val="-5"/>
          <w:sz w:val="20"/>
        </w:rPr>
        <w:t xml:space="preserve"> </w:t>
      </w:r>
      <w:r>
        <w:rPr>
          <w:sz w:val="20"/>
        </w:rPr>
        <w:t>Revenue</w:t>
      </w:r>
      <w:r>
        <w:rPr>
          <w:spacing w:val="-3"/>
          <w:sz w:val="20"/>
        </w:rPr>
        <w:t xml:space="preserve"> </w:t>
      </w:r>
      <w:r>
        <w:rPr>
          <w:spacing w:val="-2"/>
          <w:w w:val="95"/>
          <w:sz w:val="20"/>
        </w:rPr>
        <w:t>Performance</w:t>
      </w:r>
      <w:r>
        <w:rPr>
          <w:rFonts w:ascii="Times New Roman"/>
          <w:sz w:val="20"/>
        </w:rPr>
        <w:tab/>
      </w:r>
      <w:r>
        <w:rPr>
          <w:rFonts w:ascii="Arial"/>
          <w:b/>
          <w:spacing w:val="-5"/>
          <w:sz w:val="20"/>
        </w:rPr>
        <w:t>96</w:t>
      </w:r>
    </w:p>
    <w:p w14:paraId="0403EA24" w14:textId="77777777" w:rsidR="00141B97" w:rsidRDefault="00911D63">
      <w:pPr>
        <w:pStyle w:val="ListParagraph"/>
        <w:numPr>
          <w:ilvl w:val="2"/>
          <w:numId w:val="38"/>
        </w:numPr>
        <w:tabs>
          <w:tab w:val="left" w:pos="1928"/>
          <w:tab w:val="left" w:pos="1929"/>
          <w:tab w:val="right" w:leader="dot" w:pos="9903"/>
        </w:tabs>
        <w:spacing w:before="119"/>
        <w:ind w:left="1928" w:hanging="681"/>
        <w:rPr>
          <w:rFonts w:ascii="Arial"/>
          <w:sz w:val="20"/>
        </w:rPr>
      </w:pPr>
      <w:r>
        <w:rPr>
          <w:sz w:val="20"/>
        </w:rPr>
        <w:t>Rural</w:t>
      </w:r>
      <w:r>
        <w:rPr>
          <w:spacing w:val="-2"/>
          <w:sz w:val="20"/>
        </w:rPr>
        <w:t xml:space="preserve"> Demand</w:t>
      </w:r>
      <w:r>
        <w:rPr>
          <w:rFonts w:ascii="Times New Roman"/>
          <w:sz w:val="20"/>
        </w:rPr>
        <w:tab/>
      </w:r>
      <w:r>
        <w:rPr>
          <w:rFonts w:ascii="Arial"/>
          <w:spacing w:val="-5"/>
          <w:sz w:val="20"/>
        </w:rPr>
        <w:t>96</w:t>
      </w:r>
    </w:p>
    <w:p w14:paraId="253A0B90" w14:textId="77777777" w:rsidR="00141B97" w:rsidRDefault="00911D63">
      <w:pPr>
        <w:pStyle w:val="ListParagraph"/>
        <w:numPr>
          <w:ilvl w:val="2"/>
          <w:numId w:val="38"/>
        </w:numPr>
        <w:tabs>
          <w:tab w:val="left" w:pos="1928"/>
          <w:tab w:val="left" w:pos="1929"/>
          <w:tab w:val="right" w:leader="dot" w:pos="9903"/>
        </w:tabs>
        <w:spacing w:before="122"/>
        <w:ind w:left="1928" w:hanging="681"/>
        <w:rPr>
          <w:rFonts w:ascii="Arial"/>
          <w:sz w:val="20"/>
        </w:rPr>
      </w:pPr>
      <w:r>
        <w:rPr>
          <w:sz w:val="20"/>
        </w:rPr>
        <w:t>Rural</w:t>
      </w:r>
      <w:r>
        <w:rPr>
          <w:spacing w:val="-1"/>
          <w:sz w:val="20"/>
        </w:rPr>
        <w:t xml:space="preserve"> </w:t>
      </w:r>
      <w:r>
        <w:rPr>
          <w:spacing w:val="-2"/>
          <w:w w:val="95"/>
          <w:sz w:val="20"/>
        </w:rPr>
        <w:t>Revenue</w:t>
      </w:r>
      <w:r>
        <w:rPr>
          <w:rFonts w:ascii="Times New Roman"/>
          <w:sz w:val="20"/>
        </w:rPr>
        <w:tab/>
      </w:r>
      <w:r>
        <w:rPr>
          <w:rFonts w:ascii="Arial"/>
          <w:spacing w:val="-5"/>
          <w:sz w:val="20"/>
        </w:rPr>
        <w:t>97</w:t>
      </w:r>
    </w:p>
    <w:p w14:paraId="3EDA4924" w14:textId="77777777" w:rsidR="00141B97" w:rsidRDefault="00911D63">
      <w:pPr>
        <w:pStyle w:val="ListParagraph"/>
        <w:numPr>
          <w:ilvl w:val="2"/>
          <w:numId w:val="38"/>
        </w:numPr>
        <w:tabs>
          <w:tab w:val="left" w:pos="1928"/>
          <w:tab w:val="left" w:pos="1929"/>
          <w:tab w:val="right" w:leader="dot" w:pos="9902"/>
        </w:tabs>
        <w:spacing w:before="123"/>
        <w:ind w:left="1928" w:hanging="681"/>
        <w:rPr>
          <w:rFonts w:ascii="Arial"/>
          <w:sz w:val="20"/>
        </w:rPr>
      </w:pPr>
      <w:r>
        <w:rPr>
          <w:sz w:val="20"/>
        </w:rPr>
        <w:t>Summary</w:t>
      </w:r>
      <w:r>
        <w:rPr>
          <w:spacing w:val="-3"/>
          <w:sz w:val="20"/>
        </w:rPr>
        <w:t xml:space="preserve"> </w:t>
      </w:r>
      <w:r>
        <w:rPr>
          <w:sz w:val="20"/>
        </w:rPr>
        <w:t>Rural</w:t>
      </w:r>
      <w:r>
        <w:rPr>
          <w:spacing w:val="-3"/>
          <w:sz w:val="20"/>
        </w:rPr>
        <w:t xml:space="preserve"> </w:t>
      </w:r>
      <w:r>
        <w:rPr>
          <w:spacing w:val="-2"/>
          <w:sz w:val="20"/>
        </w:rPr>
        <w:t>Prices</w:t>
      </w:r>
      <w:r>
        <w:rPr>
          <w:rFonts w:ascii="Times New Roman"/>
          <w:sz w:val="20"/>
        </w:rPr>
        <w:tab/>
      </w:r>
      <w:r>
        <w:rPr>
          <w:rFonts w:ascii="Arial"/>
          <w:spacing w:val="-5"/>
          <w:sz w:val="20"/>
        </w:rPr>
        <w:t>97</w:t>
      </w:r>
    </w:p>
    <w:p w14:paraId="5734B501" w14:textId="77777777" w:rsidR="00141B97" w:rsidRDefault="00911D63">
      <w:pPr>
        <w:pStyle w:val="ListParagraph"/>
        <w:numPr>
          <w:ilvl w:val="1"/>
          <w:numId w:val="38"/>
        </w:numPr>
        <w:tabs>
          <w:tab w:val="left" w:pos="1247"/>
          <w:tab w:val="left" w:pos="1248"/>
          <w:tab w:val="right" w:leader="dot" w:pos="9890"/>
        </w:tabs>
        <w:spacing w:before="158"/>
        <w:rPr>
          <w:rFonts w:ascii="Arial"/>
          <w:b/>
          <w:sz w:val="20"/>
        </w:rPr>
      </w:pPr>
      <w:r>
        <w:rPr>
          <w:sz w:val="20"/>
        </w:rPr>
        <w:t>Operating</w:t>
      </w:r>
      <w:r>
        <w:rPr>
          <w:spacing w:val="-2"/>
          <w:sz w:val="20"/>
        </w:rPr>
        <w:t xml:space="preserve"> </w:t>
      </w:r>
      <w:r>
        <w:rPr>
          <w:sz w:val="20"/>
        </w:rPr>
        <w:t>Expenditure</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Delivery</w:t>
      </w:r>
      <w:r>
        <w:rPr>
          <w:spacing w:val="-2"/>
          <w:sz w:val="20"/>
        </w:rPr>
        <w:t xml:space="preserve"> </w:t>
      </w:r>
      <w:r>
        <w:rPr>
          <w:sz w:val="20"/>
        </w:rPr>
        <w:t>of</w:t>
      </w:r>
      <w:r>
        <w:rPr>
          <w:spacing w:val="-1"/>
          <w:sz w:val="20"/>
        </w:rPr>
        <w:t xml:space="preserve"> </w:t>
      </w:r>
      <w:r>
        <w:rPr>
          <w:spacing w:val="-2"/>
          <w:sz w:val="20"/>
        </w:rPr>
        <w:t>Outcomes</w:t>
      </w:r>
      <w:r>
        <w:rPr>
          <w:rFonts w:ascii="Times New Roman"/>
          <w:sz w:val="20"/>
        </w:rPr>
        <w:tab/>
      </w:r>
      <w:r>
        <w:rPr>
          <w:rFonts w:ascii="Arial"/>
          <w:b/>
          <w:spacing w:val="-5"/>
          <w:sz w:val="20"/>
        </w:rPr>
        <w:t>98</w:t>
      </w:r>
    </w:p>
    <w:p w14:paraId="1C10D9C8" w14:textId="77777777" w:rsidR="00141B97" w:rsidRDefault="00911D63">
      <w:pPr>
        <w:pStyle w:val="ListParagraph"/>
        <w:numPr>
          <w:ilvl w:val="1"/>
          <w:numId w:val="38"/>
        </w:numPr>
        <w:tabs>
          <w:tab w:val="left" w:pos="1247"/>
          <w:tab w:val="left" w:pos="1248"/>
          <w:tab w:val="right" w:leader="dot" w:pos="9892"/>
        </w:tabs>
        <w:spacing w:before="156"/>
        <w:rPr>
          <w:rFonts w:ascii="Arial"/>
          <w:b/>
          <w:sz w:val="20"/>
        </w:rPr>
      </w:pPr>
      <w:r>
        <w:rPr>
          <w:sz w:val="20"/>
        </w:rPr>
        <w:t>Capital</w:t>
      </w:r>
      <w:r>
        <w:rPr>
          <w:spacing w:val="-1"/>
          <w:sz w:val="20"/>
        </w:rPr>
        <w:t xml:space="preserve"> </w:t>
      </w:r>
      <w:r>
        <w:rPr>
          <w:spacing w:val="-2"/>
          <w:sz w:val="20"/>
        </w:rPr>
        <w:t>Expenditure</w:t>
      </w:r>
      <w:r>
        <w:rPr>
          <w:rFonts w:ascii="Times New Roman"/>
          <w:sz w:val="20"/>
        </w:rPr>
        <w:tab/>
      </w:r>
      <w:r>
        <w:rPr>
          <w:rFonts w:ascii="Arial"/>
          <w:b/>
          <w:spacing w:val="-5"/>
          <w:sz w:val="20"/>
        </w:rPr>
        <w:t>99</w:t>
      </w:r>
    </w:p>
    <w:p w14:paraId="4D7F8F25" w14:textId="77777777" w:rsidR="00141B97" w:rsidRDefault="00911D63">
      <w:pPr>
        <w:pStyle w:val="ListParagraph"/>
        <w:numPr>
          <w:ilvl w:val="2"/>
          <w:numId w:val="38"/>
        </w:numPr>
        <w:tabs>
          <w:tab w:val="left" w:pos="1928"/>
          <w:tab w:val="left" w:pos="1929"/>
          <w:tab w:val="right" w:leader="dot" w:pos="9903"/>
        </w:tabs>
        <w:spacing w:before="119"/>
        <w:ind w:left="1928" w:hanging="681"/>
        <w:rPr>
          <w:rFonts w:ascii="Arial"/>
          <w:sz w:val="20"/>
        </w:rPr>
      </w:pPr>
      <w:r>
        <w:rPr>
          <w:sz w:val="20"/>
        </w:rPr>
        <w:t>Major</w:t>
      </w:r>
      <w:r>
        <w:rPr>
          <w:spacing w:val="-2"/>
          <w:sz w:val="20"/>
        </w:rPr>
        <w:t xml:space="preserve"> </w:t>
      </w:r>
      <w:r>
        <w:rPr>
          <w:sz w:val="20"/>
        </w:rPr>
        <w:t>Rural</w:t>
      </w:r>
      <w:r>
        <w:rPr>
          <w:spacing w:val="-1"/>
          <w:sz w:val="20"/>
        </w:rPr>
        <w:t xml:space="preserve"> </w:t>
      </w:r>
      <w:r>
        <w:rPr>
          <w:spacing w:val="-2"/>
          <w:w w:val="95"/>
          <w:sz w:val="20"/>
        </w:rPr>
        <w:t>Projects</w:t>
      </w:r>
      <w:r>
        <w:rPr>
          <w:rFonts w:ascii="Times New Roman"/>
          <w:sz w:val="20"/>
        </w:rPr>
        <w:tab/>
      </w:r>
      <w:r>
        <w:rPr>
          <w:rFonts w:ascii="Arial"/>
          <w:spacing w:val="-5"/>
          <w:sz w:val="20"/>
        </w:rPr>
        <w:t>99</w:t>
      </w:r>
    </w:p>
    <w:p w14:paraId="31A34ED7" w14:textId="77777777" w:rsidR="00141B97" w:rsidRDefault="00911D63">
      <w:pPr>
        <w:pStyle w:val="ListParagraph"/>
        <w:numPr>
          <w:ilvl w:val="2"/>
          <w:numId w:val="38"/>
        </w:numPr>
        <w:tabs>
          <w:tab w:val="left" w:pos="1928"/>
          <w:tab w:val="left" w:pos="1929"/>
          <w:tab w:val="right" w:leader="dot" w:pos="9902"/>
        </w:tabs>
        <w:spacing w:before="123"/>
        <w:ind w:left="1928" w:hanging="681"/>
        <w:rPr>
          <w:rFonts w:ascii="Arial"/>
          <w:sz w:val="20"/>
        </w:rPr>
      </w:pPr>
      <w:r>
        <w:rPr>
          <w:sz w:val="20"/>
        </w:rPr>
        <w:t>Uncertain</w:t>
      </w:r>
      <w:r>
        <w:rPr>
          <w:spacing w:val="-1"/>
          <w:sz w:val="20"/>
        </w:rPr>
        <w:t xml:space="preserve"> </w:t>
      </w:r>
      <w:r>
        <w:rPr>
          <w:spacing w:val="-2"/>
          <w:sz w:val="20"/>
        </w:rPr>
        <w:t>Projects</w:t>
      </w:r>
      <w:r>
        <w:rPr>
          <w:rFonts w:ascii="Times New Roman"/>
          <w:sz w:val="20"/>
        </w:rPr>
        <w:tab/>
      </w:r>
      <w:r>
        <w:rPr>
          <w:rFonts w:ascii="Arial"/>
          <w:spacing w:val="-5"/>
          <w:sz w:val="20"/>
        </w:rPr>
        <w:t>100</w:t>
      </w:r>
    </w:p>
    <w:p w14:paraId="6114641F" w14:textId="77777777" w:rsidR="00141B97" w:rsidRDefault="00911D63">
      <w:pPr>
        <w:pStyle w:val="Heading3"/>
        <w:numPr>
          <w:ilvl w:val="0"/>
          <w:numId w:val="38"/>
        </w:numPr>
        <w:tabs>
          <w:tab w:val="left" w:pos="681"/>
          <w:tab w:val="left" w:pos="682"/>
          <w:tab w:val="right" w:leader="dot" w:pos="9891"/>
        </w:tabs>
        <w:spacing w:before="241"/>
        <w:rPr>
          <w:rFonts w:ascii="Arial"/>
          <w:b/>
        </w:rPr>
      </w:pPr>
      <w:r>
        <w:rPr>
          <w:color w:val="009BAC"/>
        </w:rPr>
        <w:t>Customer</w:t>
      </w:r>
      <w:r>
        <w:rPr>
          <w:color w:val="009BAC"/>
          <w:spacing w:val="-3"/>
        </w:rPr>
        <w:t xml:space="preserve"> </w:t>
      </w:r>
      <w:r>
        <w:rPr>
          <w:color w:val="009BAC"/>
          <w:spacing w:val="-2"/>
        </w:rPr>
        <w:t>Outcomes</w:t>
      </w:r>
      <w:r>
        <w:rPr>
          <w:rFonts w:ascii="Times New Roman"/>
          <w:color w:val="009BAC"/>
        </w:rPr>
        <w:tab/>
      </w:r>
      <w:r>
        <w:rPr>
          <w:rFonts w:ascii="Arial"/>
          <w:b/>
          <w:color w:val="009BAC"/>
          <w:spacing w:val="-5"/>
        </w:rPr>
        <w:t>101</w:t>
      </w:r>
    </w:p>
    <w:p w14:paraId="6651E72E" w14:textId="77777777" w:rsidR="00141B97" w:rsidRDefault="00911D63">
      <w:pPr>
        <w:pStyle w:val="ListParagraph"/>
        <w:numPr>
          <w:ilvl w:val="1"/>
          <w:numId w:val="38"/>
        </w:numPr>
        <w:tabs>
          <w:tab w:val="left" w:pos="1247"/>
          <w:tab w:val="left" w:pos="1248"/>
          <w:tab w:val="right" w:leader="dot" w:pos="9892"/>
        </w:tabs>
        <w:spacing w:before="183"/>
        <w:rPr>
          <w:rFonts w:ascii="Arial"/>
          <w:b/>
          <w:sz w:val="20"/>
        </w:rPr>
      </w:pPr>
      <w:r>
        <w:rPr>
          <w:sz w:val="20"/>
        </w:rPr>
        <w:t>Outcomes</w:t>
      </w:r>
      <w:r>
        <w:rPr>
          <w:spacing w:val="-3"/>
          <w:sz w:val="20"/>
        </w:rPr>
        <w:t xml:space="preserve"> </w:t>
      </w:r>
      <w:r>
        <w:rPr>
          <w:sz w:val="20"/>
        </w:rPr>
        <w:t>Agreed</w:t>
      </w:r>
      <w:r>
        <w:rPr>
          <w:spacing w:val="-3"/>
          <w:sz w:val="20"/>
        </w:rPr>
        <w:t xml:space="preserve"> </w:t>
      </w:r>
      <w:r>
        <w:rPr>
          <w:sz w:val="20"/>
        </w:rPr>
        <w:t>with</w:t>
      </w:r>
      <w:r>
        <w:rPr>
          <w:spacing w:val="-3"/>
          <w:sz w:val="20"/>
        </w:rPr>
        <w:t xml:space="preserve"> </w:t>
      </w:r>
      <w:r>
        <w:rPr>
          <w:spacing w:val="-2"/>
          <w:sz w:val="20"/>
        </w:rPr>
        <w:t>Customers</w:t>
      </w:r>
      <w:r>
        <w:rPr>
          <w:rFonts w:ascii="Times New Roman"/>
          <w:sz w:val="20"/>
        </w:rPr>
        <w:tab/>
      </w:r>
      <w:r>
        <w:rPr>
          <w:rFonts w:ascii="Arial"/>
          <w:b/>
          <w:spacing w:val="-5"/>
          <w:sz w:val="20"/>
        </w:rPr>
        <w:t>101</w:t>
      </w:r>
    </w:p>
    <w:p w14:paraId="6F1EBB75" w14:textId="77777777" w:rsidR="00141B97" w:rsidRDefault="00911D63">
      <w:pPr>
        <w:pStyle w:val="ListParagraph"/>
        <w:numPr>
          <w:ilvl w:val="1"/>
          <w:numId w:val="38"/>
        </w:numPr>
        <w:tabs>
          <w:tab w:val="left" w:pos="1247"/>
          <w:tab w:val="left" w:pos="1248"/>
          <w:tab w:val="right" w:leader="dot" w:pos="9885"/>
        </w:tabs>
        <w:spacing w:before="156"/>
        <w:rPr>
          <w:rFonts w:ascii="Arial"/>
          <w:b/>
          <w:sz w:val="20"/>
        </w:rPr>
      </w:pPr>
      <w:r>
        <w:rPr>
          <w:sz w:val="20"/>
        </w:rPr>
        <w:t>Service</w:t>
      </w:r>
      <w:r>
        <w:rPr>
          <w:spacing w:val="-4"/>
          <w:sz w:val="20"/>
        </w:rPr>
        <w:t xml:space="preserve"> </w:t>
      </w:r>
      <w:r>
        <w:rPr>
          <w:spacing w:val="-2"/>
          <w:sz w:val="20"/>
        </w:rPr>
        <w:t>Standards</w:t>
      </w:r>
      <w:r>
        <w:rPr>
          <w:rFonts w:ascii="Times New Roman"/>
          <w:sz w:val="20"/>
        </w:rPr>
        <w:tab/>
      </w:r>
      <w:r>
        <w:rPr>
          <w:rFonts w:ascii="Arial"/>
          <w:b/>
          <w:spacing w:val="-5"/>
          <w:sz w:val="20"/>
        </w:rPr>
        <w:t>106</w:t>
      </w:r>
    </w:p>
    <w:p w14:paraId="090A58FD" w14:textId="77777777" w:rsidR="00141B97" w:rsidRDefault="00911D63">
      <w:pPr>
        <w:pStyle w:val="ListParagraph"/>
        <w:numPr>
          <w:ilvl w:val="1"/>
          <w:numId w:val="38"/>
        </w:numPr>
        <w:tabs>
          <w:tab w:val="left" w:pos="1247"/>
          <w:tab w:val="left" w:pos="1248"/>
          <w:tab w:val="right" w:leader="dot" w:pos="9891"/>
        </w:tabs>
        <w:spacing w:before="156"/>
        <w:rPr>
          <w:rFonts w:ascii="Arial"/>
          <w:b/>
          <w:sz w:val="20"/>
        </w:rPr>
      </w:pPr>
      <w:r>
        <w:rPr>
          <w:sz w:val="20"/>
        </w:rPr>
        <w:t>Performance</w:t>
      </w:r>
      <w:r>
        <w:rPr>
          <w:spacing w:val="-4"/>
          <w:sz w:val="20"/>
        </w:rPr>
        <w:t xml:space="preserve"> </w:t>
      </w:r>
      <w:r>
        <w:rPr>
          <w:sz w:val="20"/>
        </w:rPr>
        <w:t>Measurement</w:t>
      </w:r>
      <w:r>
        <w:rPr>
          <w:spacing w:val="-4"/>
          <w:sz w:val="20"/>
        </w:rPr>
        <w:t xml:space="preserve"> </w:t>
      </w:r>
      <w:r>
        <w:rPr>
          <w:sz w:val="20"/>
        </w:rPr>
        <w:t>and</w:t>
      </w:r>
      <w:r>
        <w:rPr>
          <w:spacing w:val="-3"/>
          <w:sz w:val="20"/>
        </w:rPr>
        <w:t xml:space="preserve"> </w:t>
      </w:r>
      <w:r>
        <w:rPr>
          <w:spacing w:val="-2"/>
          <w:sz w:val="20"/>
        </w:rPr>
        <w:t>Reporting</w:t>
      </w:r>
      <w:r>
        <w:rPr>
          <w:rFonts w:ascii="Times New Roman"/>
          <w:sz w:val="20"/>
        </w:rPr>
        <w:tab/>
      </w:r>
      <w:r>
        <w:rPr>
          <w:rFonts w:ascii="Arial"/>
          <w:b/>
          <w:spacing w:val="-5"/>
          <w:w w:val="95"/>
          <w:sz w:val="20"/>
        </w:rPr>
        <w:t>106</w:t>
      </w:r>
    </w:p>
    <w:p w14:paraId="6D04A186" w14:textId="77777777" w:rsidR="00141B97" w:rsidRDefault="00911D63">
      <w:pPr>
        <w:tabs>
          <w:tab w:val="left" w:pos="1928"/>
          <w:tab w:val="right" w:leader="dot" w:pos="9899"/>
        </w:tabs>
        <w:spacing w:before="120"/>
        <w:ind w:left="1248"/>
        <w:rPr>
          <w:rFonts w:ascii="Arial"/>
          <w:sz w:val="20"/>
        </w:rPr>
      </w:pPr>
      <w:r>
        <w:rPr>
          <w:spacing w:val="-2"/>
          <w:sz w:val="20"/>
        </w:rPr>
        <w:t>3.2.1</w:t>
      </w:r>
      <w:r>
        <w:rPr>
          <w:sz w:val="20"/>
        </w:rPr>
        <w:tab/>
        <w:t>Proposed</w:t>
      </w:r>
      <w:r>
        <w:rPr>
          <w:spacing w:val="-4"/>
          <w:sz w:val="20"/>
        </w:rPr>
        <w:t xml:space="preserve"> </w:t>
      </w:r>
      <w:r>
        <w:rPr>
          <w:sz w:val="20"/>
        </w:rPr>
        <w:t>Outputs,</w:t>
      </w:r>
      <w:r>
        <w:rPr>
          <w:spacing w:val="-4"/>
          <w:sz w:val="20"/>
        </w:rPr>
        <w:t xml:space="preserve"> </w:t>
      </w:r>
      <w:r>
        <w:rPr>
          <w:sz w:val="20"/>
        </w:rPr>
        <w:t>Performance</w:t>
      </w:r>
      <w:r>
        <w:rPr>
          <w:spacing w:val="-4"/>
          <w:sz w:val="20"/>
        </w:rPr>
        <w:t xml:space="preserve"> </w:t>
      </w:r>
      <w:r>
        <w:rPr>
          <w:sz w:val="20"/>
        </w:rPr>
        <w:t>Measures</w:t>
      </w:r>
      <w:r>
        <w:rPr>
          <w:spacing w:val="-4"/>
          <w:sz w:val="20"/>
        </w:rPr>
        <w:t xml:space="preserve"> </w:t>
      </w:r>
      <w:r>
        <w:rPr>
          <w:sz w:val="20"/>
        </w:rPr>
        <w:t>and</w:t>
      </w:r>
      <w:r>
        <w:rPr>
          <w:spacing w:val="-3"/>
          <w:sz w:val="20"/>
        </w:rPr>
        <w:t xml:space="preserve"> </w:t>
      </w:r>
      <w:r>
        <w:rPr>
          <w:spacing w:val="-2"/>
          <w:sz w:val="20"/>
        </w:rPr>
        <w:t>Targets.</w:t>
      </w:r>
      <w:r>
        <w:rPr>
          <w:rFonts w:ascii="Times New Roman"/>
          <w:sz w:val="20"/>
        </w:rPr>
        <w:tab/>
      </w:r>
      <w:r>
        <w:rPr>
          <w:rFonts w:ascii="Arial"/>
          <w:spacing w:val="-5"/>
          <w:sz w:val="20"/>
        </w:rPr>
        <w:t>106</w:t>
      </w:r>
    </w:p>
    <w:p w14:paraId="65B573AF" w14:textId="77777777" w:rsidR="00141B97" w:rsidRDefault="00911D63">
      <w:pPr>
        <w:pStyle w:val="ListParagraph"/>
        <w:numPr>
          <w:ilvl w:val="1"/>
          <w:numId w:val="38"/>
        </w:numPr>
        <w:tabs>
          <w:tab w:val="left" w:pos="1247"/>
          <w:tab w:val="left" w:pos="1248"/>
          <w:tab w:val="right" w:leader="dot" w:pos="9891"/>
        </w:tabs>
        <w:spacing w:before="158"/>
        <w:rPr>
          <w:rFonts w:ascii="Arial"/>
          <w:b/>
          <w:sz w:val="20"/>
        </w:rPr>
      </w:pPr>
      <w:r>
        <w:rPr>
          <w:sz w:val="20"/>
        </w:rPr>
        <w:t>Delivering</w:t>
      </w:r>
      <w:r>
        <w:rPr>
          <w:spacing w:val="-4"/>
          <w:sz w:val="20"/>
        </w:rPr>
        <w:t xml:space="preserve"> </w:t>
      </w:r>
      <w:r>
        <w:rPr>
          <w:sz w:val="20"/>
        </w:rPr>
        <w:t>on</w:t>
      </w:r>
      <w:r>
        <w:rPr>
          <w:spacing w:val="-4"/>
          <w:sz w:val="20"/>
        </w:rPr>
        <w:t xml:space="preserve"> </w:t>
      </w:r>
      <w:r>
        <w:rPr>
          <w:sz w:val="20"/>
        </w:rPr>
        <w:t>Outcomes</w:t>
      </w:r>
      <w:r>
        <w:rPr>
          <w:spacing w:val="-2"/>
          <w:sz w:val="20"/>
        </w:rPr>
        <w:t xml:space="preserve"> Commitments</w:t>
      </w:r>
      <w:r>
        <w:rPr>
          <w:rFonts w:ascii="Times New Roman"/>
          <w:sz w:val="20"/>
        </w:rPr>
        <w:tab/>
      </w:r>
      <w:r>
        <w:rPr>
          <w:rFonts w:ascii="Arial"/>
          <w:b/>
          <w:spacing w:val="-5"/>
          <w:w w:val="95"/>
          <w:sz w:val="20"/>
        </w:rPr>
        <w:t>107</w:t>
      </w:r>
    </w:p>
    <w:p w14:paraId="7D23F0E3" w14:textId="77777777" w:rsidR="00141B97" w:rsidRDefault="00911D63">
      <w:pPr>
        <w:pStyle w:val="ListParagraph"/>
        <w:numPr>
          <w:ilvl w:val="1"/>
          <w:numId w:val="38"/>
        </w:numPr>
        <w:tabs>
          <w:tab w:val="left" w:pos="1247"/>
          <w:tab w:val="left" w:pos="1248"/>
          <w:tab w:val="right" w:leader="dot" w:pos="9892"/>
        </w:tabs>
        <w:spacing w:before="156"/>
        <w:rPr>
          <w:rFonts w:ascii="Arial"/>
          <w:b/>
          <w:sz w:val="20"/>
        </w:rPr>
      </w:pPr>
      <w:r>
        <w:rPr>
          <w:sz w:val="20"/>
        </w:rPr>
        <w:t>Guaranteed</w:t>
      </w:r>
      <w:r>
        <w:rPr>
          <w:spacing w:val="-4"/>
          <w:sz w:val="20"/>
        </w:rPr>
        <w:t xml:space="preserve"> </w:t>
      </w:r>
      <w:r>
        <w:rPr>
          <w:sz w:val="20"/>
        </w:rPr>
        <w:t>Service</w:t>
      </w:r>
      <w:r>
        <w:rPr>
          <w:spacing w:val="-2"/>
          <w:sz w:val="20"/>
        </w:rPr>
        <w:t xml:space="preserve"> Levels</w:t>
      </w:r>
      <w:r>
        <w:rPr>
          <w:rFonts w:ascii="Times New Roman"/>
          <w:sz w:val="20"/>
        </w:rPr>
        <w:tab/>
      </w:r>
      <w:r>
        <w:rPr>
          <w:rFonts w:ascii="Arial"/>
          <w:b/>
          <w:spacing w:val="-5"/>
          <w:sz w:val="20"/>
        </w:rPr>
        <w:t>108</w:t>
      </w:r>
    </w:p>
    <w:p w14:paraId="66DD3F61" w14:textId="77777777" w:rsidR="00141B97" w:rsidRDefault="00911D63">
      <w:pPr>
        <w:pStyle w:val="Heading3"/>
        <w:numPr>
          <w:ilvl w:val="0"/>
          <w:numId w:val="38"/>
        </w:numPr>
        <w:tabs>
          <w:tab w:val="left" w:pos="681"/>
          <w:tab w:val="left" w:pos="682"/>
          <w:tab w:val="right" w:leader="dot" w:pos="9891"/>
        </w:tabs>
        <w:spacing w:before="119"/>
        <w:rPr>
          <w:rFonts w:ascii="Arial"/>
          <w:b/>
        </w:rPr>
      </w:pPr>
      <w:r>
        <w:rPr>
          <w:color w:val="009BAC"/>
        </w:rPr>
        <w:t>Revenue</w:t>
      </w:r>
      <w:r>
        <w:rPr>
          <w:color w:val="009BAC"/>
          <w:spacing w:val="-4"/>
        </w:rPr>
        <w:t xml:space="preserve"> </w:t>
      </w:r>
      <w:r>
        <w:rPr>
          <w:color w:val="009BAC"/>
          <w:spacing w:val="-2"/>
        </w:rPr>
        <w:t>Requirement</w:t>
      </w:r>
      <w:r>
        <w:rPr>
          <w:rFonts w:ascii="Times New Roman"/>
          <w:color w:val="009BAC"/>
        </w:rPr>
        <w:tab/>
      </w:r>
      <w:r>
        <w:rPr>
          <w:rFonts w:ascii="Arial"/>
          <w:b/>
          <w:color w:val="009BAC"/>
          <w:spacing w:val="-5"/>
        </w:rPr>
        <w:t>109</w:t>
      </w:r>
    </w:p>
    <w:p w14:paraId="50D56373" w14:textId="77777777" w:rsidR="00141B97" w:rsidRDefault="00911D63">
      <w:pPr>
        <w:pStyle w:val="ListParagraph"/>
        <w:numPr>
          <w:ilvl w:val="1"/>
          <w:numId w:val="38"/>
        </w:numPr>
        <w:tabs>
          <w:tab w:val="left" w:pos="1247"/>
          <w:tab w:val="left" w:pos="1248"/>
          <w:tab w:val="right" w:leader="dot" w:pos="9891"/>
        </w:tabs>
        <w:spacing w:before="183"/>
        <w:rPr>
          <w:rFonts w:ascii="Arial"/>
          <w:b/>
          <w:sz w:val="20"/>
        </w:rPr>
      </w:pPr>
      <w:r>
        <w:rPr>
          <w:sz w:val="20"/>
        </w:rPr>
        <w:t>Overview</w:t>
      </w:r>
      <w:r>
        <w:rPr>
          <w:spacing w:val="-3"/>
          <w:sz w:val="20"/>
        </w:rPr>
        <w:t xml:space="preserve"> </w:t>
      </w:r>
      <w:r>
        <w:rPr>
          <w:sz w:val="20"/>
        </w:rPr>
        <w:t>of</w:t>
      </w:r>
      <w:r>
        <w:rPr>
          <w:spacing w:val="-1"/>
          <w:sz w:val="20"/>
        </w:rPr>
        <w:t xml:space="preserve"> </w:t>
      </w:r>
      <w:r>
        <w:rPr>
          <w:sz w:val="20"/>
        </w:rPr>
        <w:t>Revenue</w:t>
      </w:r>
      <w:r>
        <w:rPr>
          <w:spacing w:val="-2"/>
          <w:sz w:val="20"/>
        </w:rPr>
        <w:t xml:space="preserve"> Requirement</w:t>
      </w:r>
      <w:r>
        <w:rPr>
          <w:rFonts w:ascii="Times New Roman"/>
          <w:sz w:val="20"/>
        </w:rPr>
        <w:tab/>
      </w:r>
      <w:r>
        <w:rPr>
          <w:rFonts w:ascii="Arial"/>
          <w:b/>
          <w:spacing w:val="-5"/>
          <w:w w:val="95"/>
          <w:sz w:val="20"/>
        </w:rPr>
        <w:t>109</w:t>
      </w:r>
    </w:p>
    <w:p w14:paraId="25550C3E" w14:textId="77777777" w:rsidR="00141B97" w:rsidRDefault="00911D63">
      <w:pPr>
        <w:pStyle w:val="ListParagraph"/>
        <w:numPr>
          <w:ilvl w:val="1"/>
          <w:numId w:val="38"/>
        </w:numPr>
        <w:tabs>
          <w:tab w:val="left" w:pos="1247"/>
          <w:tab w:val="left" w:pos="1248"/>
          <w:tab w:val="right" w:leader="dot" w:pos="9885"/>
        </w:tabs>
        <w:spacing w:before="155"/>
        <w:rPr>
          <w:rFonts w:ascii="Arial"/>
          <w:b/>
          <w:sz w:val="20"/>
        </w:rPr>
      </w:pPr>
      <w:r>
        <w:rPr>
          <w:spacing w:val="-2"/>
          <w:sz w:val="20"/>
        </w:rPr>
        <w:t>Demand</w:t>
      </w:r>
      <w:r>
        <w:rPr>
          <w:rFonts w:ascii="Times New Roman"/>
          <w:sz w:val="20"/>
        </w:rPr>
        <w:tab/>
      </w:r>
      <w:r>
        <w:rPr>
          <w:rFonts w:ascii="Arial"/>
          <w:b/>
          <w:spacing w:val="-5"/>
          <w:sz w:val="20"/>
        </w:rPr>
        <w:t>110</w:t>
      </w:r>
    </w:p>
    <w:p w14:paraId="4AC37BB7" w14:textId="77777777" w:rsidR="00141B97" w:rsidRDefault="00911D63">
      <w:pPr>
        <w:pStyle w:val="ListParagraph"/>
        <w:numPr>
          <w:ilvl w:val="2"/>
          <w:numId w:val="38"/>
        </w:numPr>
        <w:tabs>
          <w:tab w:val="left" w:pos="1928"/>
          <w:tab w:val="left" w:pos="1929"/>
          <w:tab w:val="right" w:leader="dot" w:pos="9900"/>
        </w:tabs>
        <w:spacing w:before="121"/>
        <w:ind w:left="1928" w:hanging="681"/>
        <w:rPr>
          <w:rFonts w:ascii="Arial"/>
          <w:sz w:val="20"/>
        </w:rPr>
      </w:pPr>
      <w:r>
        <w:rPr>
          <w:sz w:val="20"/>
        </w:rPr>
        <w:t>Rural</w:t>
      </w:r>
      <w:r>
        <w:rPr>
          <w:spacing w:val="-3"/>
          <w:sz w:val="20"/>
        </w:rPr>
        <w:t xml:space="preserve"> </w:t>
      </w:r>
      <w:r>
        <w:rPr>
          <w:sz w:val="20"/>
        </w:rPr>
        <w:t>Demand</w:t>
      </w:r>
      <w:r>
        <w:rPr>
          <w:spacing w:val="-4"/>
          <w:sz w:val="20"/>
        </w:rPr>
        <w:t xml:space="preserve"> </w:t>
      </w:r>
      <w:r>
        <w:rPr>
          <w:sz w:val="20"/>
        </w:rPr>
        <w:t>Context</w:t>
      </w:r>
      <w:r>
        <w:rPr>
          <w:spacing w:val="-4"/>
          <w:sz w:val="20"/>
        </w:rPr>
        <w:t xml:space="preserve"> </w:t>
      </w:r>
      <w:r>
        <w:rPr>
          <w:sz w:val="20"/>
        </w:rPr>
        <w:t>and</w:t>
      </w:r>
      <w:r>
        <w:rPr>
          <w:spacing w:val="-3"/>
          <w:sz w:val="20"/>
        </w:rPr>
        <w:t xml:space="preserve"> </w:t>
      </w:r>
      <w:r>
        <w:rPr>
          <w:spacing w:val="-2"/>
          <w:w w:val="95"/>
          <w:sz w:val="20"/>
        </w:rPr>
        <w:t>Drivers</w:t>
      </w:r>
      <w:r>
        <w:rPr>
          <w:rFonts w:ascii="Times New Roman"/>
          <w:sz w:val="20"/>
        </w:rPr>
        <w:tab/>
      </w:r>
      <w:r>
        <w:rPr>
          <w:rFonts w:ascii="Arial"/>
          <w:spacing w:val="-5"/>
          <w:sz w:val="20"/>
        </w:rPr>
        <w:t>110</w:t>
      </w:r>
    </w:p>
    <w:p w14:paraId="486E097A" w14:textId="77777777" w:rsidR="00141B97" w:rsidRDefault="00911D63">
      <w:pPr>
        <w:pStyle w:val="ListParagraph"/>
        <w:numPr>
          <w:ilvl w:val="2"/>
          <w:numId w:val="38"/>
        </w:numPr>
        <w:tabs>
          <w:tab w:val="left" w:pos="1928"/>
          <w:tab w:val="left" w:pos="1929"/>
          <w:tab w:val="right" w:leader="dot" w:pos="9901"/>
        </w:tabs>
        <w:spacing w:before="122"/>
        <w:ind w:left="1928" w:hanging="681"/>
        <w:rPr>
          <w:rFonts w:ascii="Arial"/>
          <w:sz w:val="20"/>
        </w:rPr>
      </w:pPr>
      <w:r>
        <w:rPr>
          <w:sz w:val="20"/>
        </w:rPr>
        <w:t>Basis</w:t>
      </w:r>
      <w:r>
        <w:rPr>
          <w:spacing w:val="-4"/>
          <w:sz w:val="20"/>
        </w:rPr>
        <w:t xml:space="preserve"> </w:t>
      </w:r>
      <w:r>
        <w:rPr>
          <w:sz w:val="20"/>
        </w:rPr>
        <w:t>for</w:t>
      </w:r>
      <w:r>
        <w:rPr>
          <w:spacing w:val="-3"/>
          <w:sz w:val="20"/>
        </w:rPr>
        <w:t xml:space="preserve"> </w:t>
      </w:r>
      <w:r>
        <w:rPr>
          <w:sz w:val="20"/>
        </w:rPr>
        <w:t>Demand</w:t>
      </w:r>
      <w:r>
        <w:rPr>
          <w:spacing w:val="-3"/>
          <w:sz w:val="20"/>
        </w:rPr>
        <w:t xml:space="preserve"> </w:t>
      </w:r>
      <w:r>
        <w:rPr>
          <w:spacing w:val="-2"/>
          <w:w w:val="95"/>
          <w:sz w:val="20"/>
        </w:rPr>
        <w:t>Forecasts</w:t>
      </w:r>
      <w:r>
        <w:rPr>
          <w:rFonts w:ascii="Times New Roman"/>
          <w:sz w:val="20"/>
        </w:rPr>
        <w:tab/>
      </w:r>
      <w:r>
        <w:rPr>
          <w:rFonts w:ascii="Arial"/>
          <w:spacing w:val="-5"/>
          <w:sz w:val="20"/>
        </w:rPr>
        <w:t>110</w:t>
      </w:r>
    </w:p>
    <w:p w14:paraId="406E59AC" w14:textId="77777777" w:rsidR="00141B97" w:rsidRDefault="00911D63">
      <w:pPr>
        <w:pStyle w:val="ListParagraph"/>
        <w:numPr>
          <w:ilvl w:val="2"/>
          <w:numId w:val="38"/>
        </w:numPr>
        <w:tabs>
          <w:tab w:val="left" w:pos="1928"/>
          <w:tab w:val="left" w:pos="1929"/>
          <w:tab w:val="right" w:leader="dot" w:pos="9902"/>
        </w:tabs>
        <w:spacing w:before="122"/>
        <w:ind w:left="1928" w:hanging="681"/>
        <w:rPr>
          <w:rFonts w:ascii="Arial"/>
          <w:sz w:val="20"/>
        </w:rPr>
      </w:pPr>
      <w:r>
        <w:rPr>
          <w:sz w:val="20"/>
        </w:rPr>
        <w:t>Demand</w:t>
      </w:r>
      <w:r>
        <w:rPr>
          <w:spacing w:val="-1"/>
          <w:sz w:val="20"/>
        </w:rPr>
        <w:t xml:space="preserve"> </w:t>
      </w:r>
      <w:r>
        <w:rPr>
          <w:spacing w:val="-2"/>
          <w:w w:val="95"/>
          <w:sz w:val="20"/>
        </w:rPr>
        <w:t>Forecast</w:t>
      </w:r>
      <w:r>
        <w:rPr>
          <w:rFonts w:ascii="Times New Roman"/>
          <w:sz w:val="20"/>
        </w:rPr>
        <w:tab/>
      </w:r>
      <w:r>
        <w:rPr>
          <w:rFonts w:ascii="Arial"/>
          <w:spacing w:val="-5"/>
          <w:sz w:val="20"/>
        </w:rPr>
        <w:t>110</w:t>
      </w:r>
    </w:p>
    <w:p w14:paraId="6472F8D8" w14:textId="77777777" w:rsidR="00141B97" w:rsidRDefault="00911D63">
      <w:pPr>
        <w:pStyle w:val="ListParagraph"/>
        <w:numPr>
          <w:ilvl w:val="2"/>
          <w:numId w:val="38"/>
        </w:numPr>
        <w:tabs>
          <w:tab w:val="left" w:pos="1928"/>
          <w:tab w:val="left" w:pos="1929"/>
          <w:tab w:val="right" w:leader="dot" w:pos="9902"/>
        </w:tabs>
        <w:spacing w:before="122"/>
        <w:ind w:left="1928" w:hanging="681"/>
        <w:rPr>
          <w:rFonts w:ascii="Arial"/>
          <w:sz w:val="20"/>
        </w:rPr>
      </w:pPr>
      <w:r>
        <w:rPr>
          <w:sz w:val="20"/>
        </w:rPr>
        <w:t>Overall</w:t>
      </w:r>
      <w:r>
        <w:rPr>
          <w:spacing w:val="-6"/>
          <w:sz w:val="20"/>
        </w:rPr>
        <w:t xml:space="preserve"> </w:t>
      </w:r>
      <w:r>
        <w:rPr>
          <w:spacing w:val="-2"/>
          <w:sz w:val="20"/>
        </w:rPr>
        <w:t>Forecast</w:t>
      </w:r>
      <w:r>
        <w:rPr>
          <w:rFonts w:ascii="Times New Roman"/>
          <w:sz w:val="20"/>
        </w:rPr>
        <w:tab/>
      </w:r>
      <w:r>
        <w:rPr>
          <w:rFonts w:ascii="Arial"/>
          <w:spacing w:val="-5"/>
          <w:sz w:val="20"/>
        </w:rPr>
        <w:t>112</w:t>
      </w:r>
    </w:p>
    <w:p w14:paraId="29C15CBF" w14:textId="77777777" w:rsidR="00141B97" w:rsidRDefault="00911D63">
      <w:pPr>
        <w:pStyle w:val="ListParagraph"/>
        <w:numPr>
          <w:ilvl w:val="2"/>
          <w:numId w:val="38"/>
        </w:numPr>
        <w:tabs>
          <w:tab w:val="left" w:pos="1928"/>
          <w:tab w:val="left" w:pos="1929"/>
          <w:tab w:val="right" w:leader="dot" w:pos="9903"/>
        </w:tabs>
        <w:spacing w:before="122"/>
        <w:ind w:left="1928" w:hanging="681"/>
        <w:rPr>
          <w:rFonts w:ascii="Arial"/>
          <w:sz w:val="20"/>
        </w:rPr>
      </w:pPr>
      <w:r>
        <w:rPr>
          <w:sz w:val="20"/>
        </w:rPr>
        <w:t>Other</w:t>
      </w:r>
      <w:r>
        <w:rPr>
          <w:spacing w:val="-4"/>
          <w:sz w:val="20"/>
        </w:rPr>
        <w:t xml:space="preserve"> </w:t>
      </w:r>
      <w:r>
        <w:rPr>
          <w:spacing w:val="-2"/>
          <w:sz w:val="20"/>
        </w:rPr>
        <w:t>Services</w:t>
      </w:r>
      <w:r>
        <w:rPr>
          <w:rFonts w:ascii="Times New Roman"/>
          <w:sz w:val="20"/>
        </w:rPr>
        <w:tab/>
      </w:r>
      <w:r>
        <w:rPr>
          <w:rFonts w:ascii="Arial"/>
          <w:spacing w:val="-5"/>
          <w:sz w:val="20"/>
        </w:rPr>
        <w:t>113</w:t>
      </w:r>
    </w:p>
    <w:p w14:paraId="7A0FE2E6" w14:textId="77777777" w:rsidR="00141B97" w:rsidRDefault="00911D63">
      <w:pPr>
        <w:pStyle w:val="ListParagraph"/>
        <w:numPr>
          <w:ilvl w:val="1"/>
          <w:numId w:val="38"/>
        </w:numPr>
        <w:tabs>
          <w:tab w:val="left" w:pos="1247"/>
          <w:tab w:val="left" w:pos="1248"/>
          <w:tab w:val="right" w:leader="dot" w:pos="9892"/>
        </w:tabs>
        <w:spacing w:before="159"/>
        <w:rPr>
          <w:rFonts w:ascii="Arial"/>
          <w:b/>
          <w:sz w:val="20"/>
        </w:rPr>
      </w:pPr>
      <w:r>
        <w:rPr>
          <w:sz w:val="20"/>
        </w:rPr>
        <w:t>Forecast</w:t>
      </w:r>
      <w:r>
        <w:rPr>
          <w:spacing w:val="-7"/>
          <w:sz w:val="20"/>
        </w:rPr>
        <w:t xml:space="preserve"> </w:t>
      </w:r>
      <w:r>
        <w:rPr>
          <w:sz w:val="20"/>
        </w:rPr>
        <w:t>Operating</w:t>
      </w:r>
      <w:r>
        <w:rPr>
          <w:spacing w:val="-6"/>
          <w:sz w:val="20"/>
        </w:rPr>
        <w:t xml:space="preserve"> </w:t>
      </w:r>
      <w:r>
        <w:rPr>
          <w:spacing w:val="-2"/>
          <w:sz w:val="20"/>
        </w:rPr>
        <w:t>Expenditure</w:t>
      </w:r>
      <w:r>
        <w:rPr>
          <w:rFonts w:ascii="Times New Roman"/>
          <w:sz w:val="20"/>
        </w:rPr>
        <w:tab/>
      </w:r>
      <w:r>
        <w:rPr>
          <w:rFonts w:ascii="Arial"/>
          <w:b/>
          <w:spacing w:val="-5"/>
          <w:sz w:val="20"/>
        </w:rPr>
        <w:t>113</w:t>
      </w:r>
    </w:p>
    <w:p w14:paraId="4E8097C0" w14:textId="77777777" w:rsidR="00141B97" w:rsidRDefault="00911D63">
      <w:pPr>
        <w:pStyle w:val="ListParagraph"/>
        <w:numPr>
          <w:ilvl w:val="2"/>
          <w:numId w:val="38"/>
        </w:numPr>
        <w:tabs>
          <w:tab w:val="left" w:pos="1928"/>
          <w:tab w:val="left" w:pos="1929"/>
          <w:tab w:val="right" w:leader="dot" w:pos="9899"/>
        </w:tabs>
        <w:spacing w:before="119"/>
        <w:ind w:left="1928" w:hanging="681"/>
        <w:rPr>
          <w:rFonts w:ascii="Arial"/>
          <w:sz w:val="20"/>
        </w:rPr>
      </w:pPr>
      <w:r>
        <w:rPr>
          <w:sz w:val="20"/>
        </w:rPr>
        <w:t>Actual</w:t>
      </w:r>
      <w:r>
        <w:rPr>
          <w:spacing w:val="-4"/>
          <w:sz w:val="20"/>
        </w:rPr>
        <w:t xml:space="preserve"> </w:t>
      </w:r>
      <w:r>
        <w:rPr>
          <w:sz w:val="20"/>
        </w:rPr>
        <w:t>and</w:t>
      </w:r>
      <w:r>
        <w:rPr>
          <w:spacing w:val="-3"/>
          <w:sz w:val="20"/>
        </w:rPr>
        <w:t xml:space="preserve"> </w:t>
      </w:r>
      <w:r>
        <w:rPr>
          <w:sz w:val="20"/>
        </w:rPr>
        <w:t>Planned</w:t>
      </w:r>
      <w:r>
        <w:rPr>
          <w:spacing w:val="-4"/>
          <w:sz w:val="20"/>
        </w:rPr>
        <w:t xml:space="preserve"> </w:t>
      </w:r>
      <w:r>
        <w:rPr>
          <w:sz w:val="20"/>
        </w:rPr>
        <w:t>Operating</w:t>
      </w:r>
      <w:r>
        <w:rPr>
          <w:spacing w:val="-3"/>
          <w:sz w:val="20"/>
        </w:rPr>
        <w:t xml:space="preserve"> </w:t>
      </w:r>
      <w:r>
        <w:rPr>
          <w:spacing w:val="-2"/>
          <w:sz w:val="20"/>
        </w:rPr>
        <w:t>Expenditure</w:t>
      </w:r>
      <w:r>
        <w:rPr>
          <w:rFonts w:ascii="Times New Roman"/>
          <w:sz w:val="20"/>
        </w:rPr>
        <w:tab/>
      </w:r>
      <w:r>
        <w:rPr>
          <w:rFonts w:ascii="Arial"/>
          <w:spacing w:val="-5"/>
          <w:sz w:val="20"/>
        </w:rPr>
        <w:t>113</w:t>
      </w:r>
    </w:p>
    <w:p w14:paraId="364A86E1" w14:textId="77777777" w:rsidR="00141B97" w:rsidRDefault="00911D63">
      <w:pPr>
        <w:pStyle w:val="ListParagraph"/>
        <w:numPr>
          <w:ilvl w:val="3"/>
          <w:numId w:val="38"/>
        </w:numPr>
        <w:tabs>
          <w:tab w:val="left" w:pos="2555"/>
          <w:tab w:val="right" w:leader="dot" w:pos="9885"/>
        </w:tabs>
        <w:spacing w:before="121"/>
        <w:rPr>
          <w:rFonts w:ascii="Calibri"/>
          <w:i/>
          <w:sz w:val="20"/>
        </w:rPr>
      </w:pPr>
      <w:r>
        <w:rPr>
          <w:i/>
          <w:spacing w:val="-2"/>
          <w:sz w:val="20"/>
        </w:rPr>
        <w:t>Electricity</w:t>
      </w:r>
      <w:r>
        <w:rPr>
          <w:rFonts w:ascii="Times New Roman"/>
          <w:sz w:val="20"/>
        </w:rPr>
        <w:tab/>
      </w:r>
      <w:r>
        <w:rPr>
          <w:rFonts w:ascii="Calibri"/>
          <w:i/>
          <w:spacing w:val="-5"/>
          <w:sz w:val="20"/>
        </w:rPr>
        <w:t>113</w:t>
      </w:r>
    </w:p>
    <w:p w14:paraId="64252F51" w14:textId="77777777" w:rsidR="00141B97" w:rsidRDefault="00911D63">
      <w:pPr>
        <w:pStyle w:val="ListParagraph"/>
        <w:numPr>
          <w:ilvl w:val="3"/>
          <w:numId w:val="38"/>
        </w:numPr>
        <w:tabs>
          <w:tab w:val="left" w:pos="2556"/>
          <w:tab w:val="right" w:leader="dot" w:pos="9885"/>
        </w:tabs>
        <w:ind w:left="2556" w:hanging="599"/>
        <w:rPr>
          <w:rFonts w:ascii="Calibri"/>
          <w:i/>
          <w:sz w:val="20"/>
        </w:rPr>
      </w:pPr>
      <w:r>
        <w:rPr>
          <w:i/>
          <w:spacing w:val="-2"/>
          <w:sz w:val="20"/>
        </w:rPr>
        <w:t>Labour</w:t>
      </w:r>
      <w:r>
        <w:rPr>
          <w:rFonts w:ascii="Times New Roman"/>
          <w:sz w:val="20"/>
        </w:rPr>
        <w:tab/>
      </w:r>
      <w:r>
        <w:rPr>
          <w:rFonts w:ascii="Calibri"/>
          <w:i/>
          <w:spacing w:val="-5"/>
          <w:sz w:val="20"/>
        </w:rPr>
        <w:t>114</w:t>
      </w:r>
    </w:p>
    <w:p w14:paraId="01951E81" w14:textId="77777777" w:rsidR="00141B97" w:rsidRDefault="00141B97">
      <w:pPr>
        <w:rPr>
          <w:rFonts w:ascii="Calibri"/>
          <w:sz w:val="20"/>
        </w:rPr>
        <w:sectPr w:rsidR="00141B97">
          <w:footerReference w:type="default" r:id="rId89"/>
          <w:pgSz w:w="11910" w:h="16840"/>
          <w:pgMar w:top="860" w:right="40" w:bottom="780" w:left="1020" w:header="0" w:footer="586" w:gutter="0"/>
          <w:pgNumType w:start="91"/>
          <w:cols w:space="720"/>
        </w:sectPr>
      </w:pPr>
    </w:p>
    <w:p w14:paraId="50BFF9CD" w14:textId="77777777" w:rsidR="00141B97" w:rsidRDefault="00911D63">
      <w:pPr>
        <w:pStyle w:val="ListParagraph"/>
        <w:numPr>
          <w:ilvl w:val="3"/>
          <w:numId w:val="38"/>
        </w:numPr>
        <w:tabs>
          <w:tab w:val="left" w:pos="2555"/>
          <w:tab w:val="right" w:leader="dot" w:pos="9885"/>
        </w:tabs>
        <w:spacing w:before="30"/>
        <w:rPr>
          <w:rFonts w:ascii="Calibri" w:hAnsi="Calibri"/>
          <w:i/>
          <w:sz w:val="20"/>
        </w:rPr>
      </w:pPr>
      <w:r>
        <w:rPr>
          <w:i/>
          <w:sz w:val="20"/>
        </w:rPr>
        <w:lastRenderedPageBreak/>
        <w:t>10‐year</w:t>
      </w:r>
      <w:r>
        <w:rPr>
          <w:i/>
          <w:spacing w:val="-8"/>
          <w:sz w:val="20"/>
        </w:rPr>
        <w:t xml:space="preserve"> </w:t>
      </w:r>
      <w:r>
        <w:rPr>
          <w:i/>
          <w:sz w:val="20"/>
        </w:rPr>
        <w:t>Operating</w:t>
      </w:r>
      <w:r>
        <w:rPr>
          <w:i/>
          <w:spacing w:val="-6"/>
          <w:sz w:val="20"/>
        </w:rPr>
        <w:t xml:space="preserve"> </w:t>
      </w:r>
      <w:r>
        <w:rPr>
          <w:i/>
          <w:sz w:val="20"/>
        </w:rPr>
        <w:t>Expenditure</w:t>
      </w:r>
      <w:r>
        <w:rPr>
          <w:i/>
          <w:spacing w:val="-5"/>
          <w:sz w:val="20"/>
        </w:rPr>
        <w:t xml:space="preserve"> </w:t>
      </w:r>
      <w:r>
        <w:rPr>
          <w:i/>
          <w:spacing w:val="-2"/>
          <w:sz w:val="20"/>
        </w:rPr>
        <w:t>Trend</w:t>
      </w:r>
      <w:r>
        <w:rPr>
          <w:rFonts w:ascii="Times New Roman" w:hAnsi="Times New Roman"/>
          <w:sz w:val="20"/>
        </w:rPr>
        <w:tab/>
      </w:r>
      <w:r>
        <w:rPr>
          <w:rFonts w:ascii="Calibri" w:hAnsi="Calibri"/>
          <w:i/>
          <w:spacing w:val="-5"/>
          <w:sz w:val="20"/>
        </w:rPr>
        <w:t>114</w:t>
      </w:r>
    </w:p>
    <w:p w14:paraId="6FDF1D7D" w14:textId="77777777" w:rsidR="00141B97" w:rsidRDefault="00911D63">
      <w:pPr>
        <w:pStyle w:val="ListParagraph"/>
        <w:numPr>
          <w:ilvl w:val="2"/>
          <w:numId w:val="38"/>
        </w:numPr>
        <w:tabs>
          <w:tab w:val="left" w:pos="1928"/>
          <w:tab w:val="left" w:pos="1929"/>
          <w:tab w:val="right" w:leader="dot" w:pos="9902"/>
        </w:tabs>
        <w:spacing w:before="2"/>
        <w:ind w:left="1928" w:hanging="681"/>
        <w:rPr>
          <w:rFonts w:ascii="Arial"/>
          <w:sz w:val="20"/>
        </w:rPr>
      </w:pPr>
      <w:r>
        <w:rPr>
          <w:sz w:val="20"/>
        </w:rPr>
        <w:t>Pass</w:t>
      </w:r>
      <w:r>
        <w:rPr>
          <w:spacing w:val="-5"/>
          <w:sz w:val="20"/>
        </w:rPr>
        <w:t xml:space="preserve"> </w:t>
      </w:r>
      <w:r>
        <w:rPr>
          <w:sz w:val="20"/>
        </w:rPr>
        <w:t>Through</w:t>
      </w:r>
      <w:r>
        <w:rPr>
          <w:spacing w:val="-3"/>
          <w:sz w:val="20"/>
        </w:rPr>
        <w:t xml:space="preserve"> </w:t>
      </w:r>
      <w:r>
        <w:rPr>
          <w:spacing w:val="-4"/>
          <w:sz w:val="20"/>
        </w:rPr>
        <w:t>Fees</w:t>
      </w:r>
      <w:r>
        <w:rPr>
          <w:rFonts w:ascii="Times New Roman"/>
          <w:sz w:val="20"/>
        </w:rPr>
        <w:tab/>
      </w:r>
      <w:r>
        <w:rPr>
          <w:rFonts w:ascii="Arial"/>
          <w:spacing w:val="-5"/>
          <w:sz w:val="20"/>
        </w:rPr>
        <w:t>114</w:t>
      </w:r>
    </w:p>
    <w:p w14:paraId="5D7B3EEB" w14:textId="77777777" w:rsidR="00141B97" w:rsidRDefault="00911D63">
      <w:pPr>
        <w:pStyle w:val="ListParagraph"/>
        <w:numPr>
          <w:ilvl w:val="2"/>
          <w:numId w:val="38"/>
        </w:numPr>
        <w:tabs>
          <w:tab w:val="left" w:pos="1928"/>
          <w:tab w:val="left" w:pos="1929"/>
          <w:tab w:val="right" w:leader="dot" w:pos="9899"/>
        </w:tabs>
        <w:spacing w:before="121"/>
        <w:ind w:left="1928" w:hanging="681"/>
        <w:rPr>
          <w:rFonts w:ascii="Arial"/>
          <w:sz w:val="20"/>
        </w:rPr>
      </w:pPr>
      <w:r>
        <w:rPr>
          <w:sz w:val="20"/>
        </w:rPr>
        <w:t>Baseline</w:t>
      </w:r>
      <w:r>
        <w:rPr>
          <w:spacing w:val="-4"/>
          <w:sz w:val="20"/>
        </w:rPr>
        <w:t xml:space="preserve"> </w:t>
      </w:r>
      <w:r>
        <w:rPr>
          <w:sz w:val="20"/>
        </w:rPr>
        <w:t>Controllable</w:t>
      </w:r>
      <w:r>
        <w:rPr>
          <w:spacing w:val="-5"/>
          <w:sz w:val="20"/>
        </w:rPr>
        <w:t xml:space="preserve"> </w:t>
      </w:r>
      <w:r>
        <w:rPr>
          <w:sz w:val="20"/>
        </w:rPr>
        <w:t>Operating</w:t>
      </w:r>
      <w:r>
        <w:rPr>
          <w:spacing w:val="-4"/>
          <w:sz w:val="20"/>
        </w:rPr>
        <w:t xml:space="preserve"> </w:t>
      </w:r>
      <w:r>
        <w:rPr>
          <w:spacing w:val="-2"/>
          <w:sz w:val="20"/>
        </w:rPr>
        <w:t>Expenditure</w:t>
      </w:r>
      <w:r>
        <w:rPr>
          <w:rFonts w:ascii="Times New Roman"/>
          <w:sz w:val="20"/>
        </w:rPr>
        <w:tab/>
      </w:r>
      <w:r>
        <w:rPr>
          <w:rFonts w:ascii="Arial"/>
          <w:spacing w:val="-5"/>
          <w:sz w:val="20"/>
        </w:rPr>
        <w:t>115</w:t>
      </w:r>
    </w:p>
    <w:p w14:paraId="5C29969C" w14:textId="77777777" w:rsidR="00141B97" w:rsidRDefault="00911D63">
      <w:pPr>
        <w:pStyle w:val="ListParagraph"/>
        <w:numPr>
          <w:ilvl w:val="3"/>
          <w:numId w:val="38"/>
        </w:numPr>
        <w:tabs>
          <w:tab w:val="left" w:pos="2555"/>
          <w:tab w:val="right" w:leader="dot" w:pos="9885"/>
        </w:tabs>
        <w:spacing w:before="121" w:line="244" w:lineRule="exact"/>
        <w:rPr>
          <w:rFonts w:ascii="Calibri" w:hAnsi="Calibri"/>
          <w:i/>
          <w:sz w:val="20"/>
        </w:rPr>
      </w:pPr>
      <w:r>
        <w:rPr>
          <w:i/>
          <w:sz w:val="20"/>
        </w:rPr>
        <w:t>Establishing</w:t>
      </w:r>
      <w:r>
        <w:rPr>
          <w:i/>
          <w:spacing w:val="-4"/>
          <w:sz w:val="20"/>
        </w:rPr>
        <w:t xml:space="preserve"> </w:t>
      </w:r>
      <w:r>
        <w:rPr>
          <w:i/>
          <w:sz w:val="20"/>
        </w:rPr>
        <w:t>the</w:t>
      </w:r>
      <w:r>
        <w:rPr>
          <w:i/>
          <w:spacing w:val="-5"/>
          <w:sz w:val="20"/>
        </w:rPr>
        <w:t xml:space="preserve"> </w:t>
      </w:r>
      <w:r>
        <w:rPr>
          <w:i/>
          <w:sz w:val="20"/>
        </w:rPr>
        <w:t>2021‐22</w:t>
      </w:r>
      <w:r>
        <w:rPr>
          <w:i/>
          <w:spacing w:val="-3"/>
          <w:sz w:val="20"/>
        </w:rPr>
        <w:t xml:space="preserve"> </w:t>
      </w:r>
      <w:r>
        <w:rPr>
          <w:i/>
          <w:spacing w:val="-2"/>
          <w:sz w:val="20"/>
        </w:rPr>
        <w:t>Baseline</w:t>
      </w:r>
      <w:r>
        <w:rPr>
          <w:rFonts w:ascii="Times New Roman" w:hAnsi="Times New Roman"/>
          <w:sz w:val="20"/>
        </w:rPr>
        <w:tab/>
      </w:r>
      <w:r>
        <w:rPr>
          <w:rFonts w:ascii="Calibri" w:hAnsi="Calibri"/>
          <w:i/>
          <w:spacing w:val="-5"/>
          <w:sz w:val="20"/>
        </w:rPr>
        <w:t>115</w:t>
      </w:r>
    </w:p>
    <w:p w14:paraId="4283C553" w14:textId="77777777" w:rsidR="00141B97" w:rsidRDefault="00911D63">
      <w:pPr>
        <w:pStyle w:val="ListParagraph"/>
        <w:numPr>
          <w:ilvl w:val="3"/>
          <w:numId w:val="38"/>
        </w:numPr>
        <w:tabs>
          <w:tab w:val="left" w:pos="2560"/>
          <w:tab w:val="right" w:leader="dot" w:pos="9885"/>
        </w:tabs>
        <w:spacing w:line="244" w:lineRule="exact"/>
        <w:ind w:left="2559" w:hanging="603"/>
        <w:rPr>
          <w:rFonts w:ascii="Calibri"/>
          <w:i/>
          <w:sz w:val="20"/>
        </w:rPr>
      </w:pPr>
      <w:r>
        <w:rPr>
          <w:i/>
          <w:sz w:val="20"/>
        </w:rPr>
        <w:t>Variation</w:t>
      </w:r>
      <w:r>
        <w:rPr>
          <w:i/>
          <w:spacing w:val="-4"/>
          <w:sz w:val="20"/>
        </w:rPr>
        <w:t xml:space="preserve"> </w:t>
      </w:r>
      <w:r>
        <w:rPr>
          <w:i/>
          <w:sz w:val="20"/>
        </w:rPr>
        <w:t>to</w:t>
      </w:r>
      <w:r>
        <w:rPr>
          <w:i/>
          <w:spacing w:val="-4"/>
          <w:sz w:val="20"/>
        </w:rPr>
        <w:t xml:space="preserve"> </w:t>
      </w:r>
      <w:r>
        <w:rPr>
          <w:i/>
          <w:sz w:val="20"/>
        </w:rPr>
        <w:t>Baseline</w:t>
      </w:r>
      <w:r>
        <w:rPr>
          <w:i/>
          <w:spacing w:val="-5"/>
          <w:sz w:val="20"/>
        </w:rPr>
        <w:t xml:space="preserve"> </w:t>
      </w:r>
      <w:r>
        <w:rPr>
          <w:i/>
          <w:sz w:val="20"/>
        </w:rPr>
        <w:t>Costs</w:t>
      </w:r>
      <w:r>
        <w:rPr>
          <w:i/>
          <w:spacing w:val="-3"/>
          <w:sz w:val="20"/>
        </w:rPr>
        <w:t xml:space="preserve"> </w:t>
      </w:r>
      <w:r>
        <w:rPr>
          <w:i/>
          <w:sz w:val="20"/>
        </w:rPr>
        <w:t>for</w:t>
      </w:r>
      <w:r>
        <w:rPr>
          <w:i/>
          <w:spacing w:val="-4"/>
          <w:sz w:val="20"/>
        </w:rPr>
        <w:t xml:space="preserve"> </w:t>
      </w:r>
      <w:r>
        <w:rPr>
          <w:i/>
          <w:spacing w:val="-5"/>
          <w:sz w:val="20"/>
        </w:rPr>
        <w:t>PS5</w:t>
      </w:r>
      <w:r>
        <w:rPr>
          <w:rFonts w:ascii="Times New Roman"/>
          <w:sz w:val="20"/>
        </w:rPr>
        <w:tab/>
      </w:r>
      <w:r>
        <w:rPr>
          <w:rFonts w:ascii="Calibri"/>
          <w:i/>
          <w:spacing w:val="-5"/>
          <w:sz w:val="20"/>
        </w:rPr>
        <w:t>116</w:t>
      </w:r>
    </w:p>
    <w:p w14:paraId="5435D525" w14:textId="77777777" w:rsidR="00141B97" w:rsidRDefault="00911D63">
      <w:pPr>
        <w:pStyle w:val="ListParagraph"/>
        <w:numPr>
          <w:ilvl w:val="2"/>
          <w:numId w:val="38"/>
        </w:numPr>
        <w:tabs>
          <w:tab w:val="left" w:pos="1928"/>
          <w:tab w:val="left" w:pos="1929"/>
          <w:tab w:val="right" w:leader="dot" w:pos="9899"/>
        </w:tabs>
        <w:spacing w:before="2"/>
        <w:ind w:left="1928" w:hanging="681"/>
        <w:rPr>
          <w:rFonts w:ascii="Arial"/>
          <w:sz w:val="20"/>
        </w:rPr>
      </w:pPr>
      <w:r>
        <w:rPr>
          <w:sz w:val="20"/>
        </w:rPr>
        <w:t>Productivity</w:t>
      </w:r>
      <w:r>
        <w:rPr>
          <w:spacing w:val="-4"/>
          <w:sz w:val="20"/>
        </w:rPr>
        <w:t xml:space="preserve"> </w:t>
      </w:r>
      <w:r>
        <w:rPr>
          <w:sz w:val="20"/>
        </w:rPr>
        <w:t>Improvements</w:t>
      </w:r>
      <w:r>
        <w:rPr>
          <w:spacing w:val="-4"/>
          <w:sz w:val="20"/>
        </w:rPr>
        <w:t xml:space="preserve"> </w:t>
      </w:r>
      <w:r>
        <w:rPr>
          <w:sz w:val="20"/>
        </w:rPr>
        <w:t>for</w:t>
      </w:r>
      <w:r>
        <w:rPr>
          <w:spacing w:val="-2"/>
          <w:sz w:val="20"/>
        </w:rPr>
        <w:t xml:space="preserve"> </w:t>
      </w:r>
      <w:r>
        <w:rPr>
          <w:sz w:val="20"/>
        </w:rPr>
        <w:t>the</w:t>
      </w:r>
      <w:r>
        <w:rPr>
          <w:spacing w:val="-4"/>
          <w:sz w:val="20"/>
        </w:rPr>
        <w:t xml:space="preserve"> </w:t>
      </w:r>
      <w:r>
        <w:rPr>
          <w:sz w:val="20"/>
        </w:rPr>
        <w:t>Forthcoming</w:t>
      </w:r>
      <w:r>
        <w:rPr>
          <w:spacing w:val="-3"/>
          <w:sz w:val="20"/>
        </w:rPr>
        <w:t xml:space="preserve"> </w:t>
      </w:r>
      <w:r>
        <w:rPr>
          <w:spacing w:val="-2"/>
          <w:sz w:val="20"/>
        </w:rPr>
        <w:t>Period</w:t>
      </w:r>
      <w:r>
        <w:rPr>
          <w:rFonts w:ascii="Times New Roman"/>
          <w:sz w:val="20"/>
        </w:rPr>
        <w:tab/>
      </w:r>
      <w:r>
        <w:rPr>
          <w:rFonts w:ascii="Arial"/>
          <w:spacing w:val="-5"/>
          <w:sz w:val="20"/>
        </w:rPr>
        <w:t>116</w:t>
      </w:r>
    </w:p>
    <w:p w14:paraId="303EDE09" w14:textId="77777777" w:rsidR="00141B97" w:rsidRDefault="00911D63">
      <w:pPr>
        <w:pStyle w:val="ListParagraph"/>
        <w:numPr>
          <w:ilvl w:val="2"/>
          <w:numId w:val="38"/>
        </w:numPr>
        <w:tabs>
          <w:tab w:val="left" w:pos="1928"/>
          <w:tab w:val="left" w:pos="1929"/>
          <w:tab w:val="right" w:leader="dot" w:pos="9901"/>
        </w:tabs>
        <w:spacing w:before="122"/>
        <w:ind w:left="1928" w:hanging="681"/>
        <w:rPr>
          <w:rFonts w:ascii="Arial"/>
          <w:sz w:val="20"/>
        </w:rPr>
      </w:pPr>
      <w:r>
        <w:rPr>
          <w:sz w:val="20"/>
        </w:rPr>
        <w:t>Allocation</w:t>
      </w:r>
      <w:r>
        <w:rPr>
          <w:spacing w:val="-5"/>
          <w:sz w:val="20"/>
        </w:rPr>
        <w:t xml:space="preserve"> </w:t>
      </w:r>
      <w:r>
        <w:rPr>
          <w:sz w:val="20"/>
        </w:rPr>
        <w:t>of</w:t>
      </w:r>
      <w:r>
        <w:rPr>
          <w:spacing w:val="-6"/>
          <w:sz w:val="20"/>
        </w:rPr>
        <w:t xml:space="preserve"> </w:t>
      </w:r>
      <w:r>
        <w:rPr>
          <w:sz w:val="20"/>
        </w:rPr>
        <w:t>Shared</w:t>
      </w:r>
      <w:r>
        <w:rPr>
          <w:spacing w:val="-4"/>
          <w:sz w:val="20"/>
        </w:rPr>
        <w:t xml:space="preserve"> </w:t>
      </w:r>
      <w:r>
        <w:rPr>
          <w:spacing w:val="-2"/>
          <w:sz w:val="20"/>
        </w:rPr>
        <w:t>Costs</w:t>
      </w:r>
      <w:r>
        <w:rPr>
          <w:rFonts w:ascii="Times New Roman"/>
          <w:sz w:val="20"/>
        </w:rPr>
        <w:tab/>
      </w:r>
      <w:r>
        <w:rPr>
          <w:rFonts w:ascii="Arial"/>
          <w:spacing w:val="-5"/>
          <w:sz w:val="20"/>
        </w:rPr>
        <w:t>117</w:t>
      </w:r>
    </w:p>
    <w:p w14:paraId="76D8C0D4" w14:textId="77777777" w:rsidR="00141B97" w:rsidRDefault="00911D63">
      <w:pPr>
        <w:pStyle w:val="ListParagraph"/>
        <w:numPr>
          <w:ilvl w:val="2"/>
          <w:numId w:val="38"/>
        </w:numPr>
        <w:tabs>
          <w:tab w:val="left" w:pos="1928"/>
          <w:tab w:val="left" w:pos="1929"/>
          <w:tab w:val="right" w:leader="dot" w:pos="9901"/>
        </w:tabs>
        <w:spacing w:before="122"/>
        <w:ind w:left="1928" w:hanging="681"/>
        <w:rPr>
          <w:rFonts w:ascii="Arial"/>
          <w:sz w:val="20"/>
        </w:rPr>
      </w:pPr>
      <w:r>
        <w:rPr>
          <w:sz w:val="20"/>
        </w:rPr>
        <w:t>Potential</w:t>
      </w:r>
      <w:r>
        <w:rPr>
          <w:spacing w:val="-4"/>
          <w:sz w:val="20"/>
        </w:rPr>
        <w:t xml:space="preserve"> </w:t>
      </w:r>
      <w:r>
        <w:rPr>
          <w:sz w:val="20"/>
        </w:rPr>
        <w:t>Uncertain</w:t>
      </w:r>
      <w:r>
        <w:rPr>
          <w:spacing w:val="-4"/>
          <w:sz w:val="20"/>
        </w:rPr>
        <w:t xml:space="preserve"> </w:t>
      </w:r>
      <w:r>
        <w:rPr>
          <w:spacing w:val="-2"/>
          <w:sz w:val="20"/>
        </w:rPr>
        <w:t>Events</w:t>
      </w:r>
      <w:r>
        <w:rPr>
          <w:rFonts w:ascii="Times New Roman"/>
          <w:sz w:val="20"/>
        </w:rPr>
        <w:tab/>
      </w:r>
      <w:r>
        <w:rPr>
          <w:rFonts w:ascii="Arial"/>
          <w:spacing w:val="-5"/>
          <w:sz w:val="20"/>
        </w:rPr>
        <w:t>117</w:t>
      </w:r>
    </w:p>
    <w:p w14:paraId="746A82BE" w14:textId="77777777" w:rsidR="00141B97" w:rsidRDefault="00911D63">
      <w:pPr>
        <w:pStyle w:val="ListParagraph"/>
        <w:numPr>
          <w:ilvl w:val="1"/>
          <w:numId w:val="38"/>
        </w:numPr>
        <w:tabs>
          <w:tab w:val="left" w:pos="1247"/>
          <w:tab w:val="left" w:pos="1248"/>
          <w:tab w:val="right" w:leader="dot" w:pos="9892"/>
        </w:tabs>
        <w:spacing w:before="157"/>
        <w:rPr>
          <w:rFonts w:ascii="Arial"/>
          <w:b/>
          <w:sz w:val="20"/>
        </w:rPr>
      </w:pPr>
      <w:r>
        <w:rPr>
          <w:sz w:val="20"/>
        </w:rPr>
        <w:t>Forecast</w:t>
      </w:r>
      <w:r>
        <w:rPr>
          <w:spacing w:val="-6"/>
          <w:sz w:val="20"/>
        </w:rPr>
        <w:t xml:space="preserve"> </w:t>
      </w:r>
      <w:r>
        <w:rPr>
          <w:sz w:val="20"/>
        </w:rPr>
        <w:t>Capital</w:t>
      </w:r>
      <w:r>
        <w:rPr>
          <w:spacing w:val="-4"/>
          <w:sz w:val="20"/>
        </w:rPr>
        <w:t xml:space="preserve"> </w:t>
      </w:r>
      <w:r>
        <w:rPr>
          <w:spacing w:val="-2"/>
          <w:sz w:val="20"/>
        </w:rPr>
        <w:t>Expenditure</w:t>
      </w:r>
      <w:r>
        <w:rPr>
          <w:rFonts w:ascii="Times New Roman"/>
          <w:sz w:val="20"/>
        </w:rPr>
        <w:tab/>
      </w:r>
      <w:r>
        <w:rPr>
          <w:rFonts w:ascii="Arial"/>
          <w:b/>
          <w:spacing w:val="-5"/>
          <w:sz w:val="20"/>
        </w:rPr>
        <w:t>117</w:t>
      </w:r>
    </w:p>
    <w:p w14:paraId="3526AB6F" w14:textId="77777777" w:rsidR="00141B97" w:rsidRDefault="00911D63">
      <w:pPr>
        <w:pStyle w:val="ListParagraph"/>
        <w:numPr>
          <w:ilvl w:val="2"/>
          <w:numId w:val="38"/>
        </w:numPr>
        <w:tabs>
          <w:tab w:val="left" w:pos="1928"/>
          <w:tab w:val="left" w:pos="1929"/>
          <w:tab w:val="right" w:leader="dot" w:pos="9901"/>
        </w:tabs>
        <w:spacing w:before="121"/>
        <w:ind w:left="1928" w:hanging="681"/>
        <w:rPr>
          <w:rFonts w:ascii="Arial"/>
          <w:sz w:val="20"/>
        </w:rPr>
      </w:pPr>
      <w:r>
        <w:rPr>
          <w:sz w:val="20"/>
        </w:rPr>
        <w:t>Forecast</w:t>
      </w:r>
      <w:r>
        <w:rPr>
          <w:spacing w:val="-4"/>
          <w:sz w:val="20"/>
        </w:rPr>
        <w:t xml:space="preserve"> </w:t>
      </w:r>
      <w:r>
        <w:rPr>
          <w:sz w:val="20"/>
        </w:rPr>
        <w:t>Capital</w:t>
      </w:r>
      <w:r>
        <w:rPr>
          <w:spacing w:val="-3"/>
          <w:sz w:val="20"/>
        </w:rPr>
        <w:t xml:space="preserve"> </w:t>
      </w:r>
      <w:r>
        <w:rPr>
          <w:spacing w:val="-2"/>
          <w:sz w:val="20"/>
        </w:rPr>
        <w:t>Expenditure</w:t>
      </w:r>
      <w:r>
        <w:rPr>
          <w:rFonts w:ascii="Times New Roman"/>
          <w:sz w:val="20"/>
        </w:rPr>
        <w:tab/>
      </w:r>
      <w:r>
        <w:rPr>
          <w:rFonts w:ascii="Arial"/>
          <w:spacing w:val="-5"/>
          <w:sz w:val="20"/>
        </w:rPr>
        <w:t>117</w:t>
      </w:r>
    </w:p>
    <w:p w14:paraId="278B9745" w14:textId="77777777" w:rsidR="00141B97" w:rsidRDefault="00911D63">
      <w:pPr>
        <w:pStyle w:val="ListParagraph"/>
        <w:numPr>
          <w:ilvl w:val="2"/>
          <w:numId w:val="38"/>
        </w:numPr>
        <w:tabs>
          <w:tab w:val="left" w:pos="1928"/>
          <w:tab w:val="left" w:pos="1929"/>
          <w:tab w:val="right" w:leader="dot" w:pos="9901"/>
        </w:tabs>
        <w:spacing w:before="122"/>
        <w:ind w:left="1928" w:hanging="681"/>
        <w:rPr>
          <w:rFonts w:ascii="Arial"/>
          <w:sz w:val="20"/>
        </w:rPr>
      </w:pPr>
      <w:r>
        <w:rPr>
          <w:sz w:val="20"/>
        </w:rPr>
        <w:t>Major</w:t>
      </w:r>
      <w:r>
        <w:rPr>
          <w:spacing w:val="-3"/>
          <w:sz w:val="20"/>
        </w:rPr>
        <w:t xml:space="preserve"> </w:t>
      </w:r>
      <w:r>
        <w:rPr>
          <w:sz w:val="20"/>
        </w:rPr>
        <w:t>Projects</w:t>
      </w:r>
      <w:r>
        <w:rPr>
          <w:spacing w:val="-2"/>
          <w:sz w:val="20"/>
        </w:rPr>
        <w:t xml:space="preserve"> </w:t>
      </w:r>
      <w:r>
        <w:rPr>
          <w:sz w:val="20"/>
        </w:rPr>
        <w:t>and</w:t>
      </w:r>
      <w:r>
        <w:rPr>
          <w:spacing w:val="-2"/>
          <w:sz w:val="20"/>
        </w:rPr>
        <w:t xml:space="preserve"> Programs</w:t>
      </w:r>
      <w:r>
        <w:rPr>
          <w:rFonts w:ascii="Times New Roman"/>
          <w:sz w:val="20"/>
        </w:rPr>
        <w:tab/>
      </w:r>
      <w:r>
        <w:rPr>
          <w:rFonts w:ascii="Arial"/>
          <w:spacing w:val="-5"/>
          <w:sz w:val="20"/>
        </w:rPr>
        <w:t>119</w:t>
      </w:r>
    </w:p>
    <w:p w14:paraId="3136F2A8" w14:textId="77777777" w:rsidR="00141B97" w:rsidRDefault="00911D63">
      <w:pPr>
        <w:pStyle w:val="ListParagraph"/>
        <w:numPr>
          <w:ilvl w:val="2"/>
          <w:numId w:val="38"/>
        </w:numPr>
        <w:tabs>
          <w:tab w:val="left" w:pos="1928"/>
          <w:tab w:val="left" w:pos="1929"/>
          <w:tab w:val="right" w:leader="dot" w:pos="9901"/>
        </w:tabs>
        <w:spacing w:before="122"/>
        <w:ind w:left="1928" w:hanging="681"/>
        <w:rPr>
          <w:rFonts w:ascii="Arial" w:hAnsi="Arial"/>
          <w:sz w:val="20"/>
        </w:rPr>
      </w:pPr>
      <w:r>
        <w:rPr>
          <w:sz w:val="20"/>
        </w:rPr>
        <w:t>Capex/Opex</w:t>
      </w:r>
      <w:r>
        <w:rPr>
          <w:spacing w:val="-8"/>
          <w:sz w:val="20"/>
        </w:rPr>
        <w:t xml:space="preserve"> </w:t>
      </w:r>
      <w:r>
        <w:rPr>
          <w:spacing w:val="-2"/>
          <w:sz w:val="20"/>
        </w:rPr>
        <w:t>Trade‐offs</w:t>
      </w:r>
      <w:r>
        <w:rPr>
          <w:rFonts w:ascii="Times New Roman" w:hAnsi="Times New Roman"/>
          <w:sz w:val="20"/>
        </w:rPr>
        <w:tab/>
      </w:r>
      <w:r>
        <w:rPr>
          <w:rFonts w:ascii="Arial" w:hAnsi="Arial"/>
          <w:spacing w:val="-5"/>
          <w:sz w:val="20"/>
        </w:rPr>
        <w:t>120</w:t>
      </w:r>
    </w:p>
    <w:p w14:paraId="2407E08A" w14:textId="77777777" w:rsidR="00141B97" w:rsidRDefault="00911D63">
      <w:pPr>
        <w:pStyle w:val="ListParagraph"/>
        <w:numPr>
          <w:ilvl w:val="2"/>
          <w:numId w:val="38"/>
        </w:numPr>
        <w:tabs>
          <w:tab w:val="left" w:pos="1928"/>
          <w:tab w:val="left" w:pos="1929"/>
          <w:tab w:val="right" w:leader="dot" w:pos="9902"/>
        </w:tabs>
        <w:spacing w:before="122"/>
        <w:ind w:left="1928" w:hanging="681"/>
        <w:rPr>
          <w:rFonts w:ascii="Arial"/>
          <w:sz w:val="20"/>
        </w:rPr>
      </w:pPr>
      <w:r>
        <w:rPr>
          <w:sz w:val="20"/>
        </w:rPr>
        <w:t>Uncertain</w:t>
      </w:r>
      <w:r>
        <w:rPr>
          <w:spacing w:val="-1"/>
          <w:sz w:val="20"/>
        </w:rPr>
        <w:t xml:space="preserve"> </w:t>
      </w:r>
      <w:r>
        <w:rPr>
          <w:spacing w:val="-2"/>
          <w:sz w:val="20"/>
        </w:rPr>
        <w:t>Projects</w:t>
      </w:r>
      <w:r>
        <w:rPr>
          <w:rFonts w:ascii="Times New Roman"/>
          <w:sz w:val="20"/>
        </w:rPr>
        <w:tab/>
      </w:r>
      <w:r>
        <w:rPr>
          <w:rFonts w:ascii="Arial"/>
          <w:spacing w:val="-5"/>
          <w:sz w:val="20"/>
        </w:rPr>
        <w:t>120</w:t>
      </w:r>
    </w:p>
    <w:p w14:paraId="5D3DC8E0" w14:textId="77777777" w:rsidR="00141B97" w:rsidRDefault="00911D63">
      <w:pPr>
        <w:pStyle w:val="ListParagraph"/>
        <w:numPr>
          <w:ilvl w:val="1"/>
          <w:numId w:val="38"/>
        </w:numPr>
        <w:tabs>
          <w:tab w:val="left" w:pos="1247"/>
          <w:tab w:val="left" w:pos="1248"/>
          <w:tab w:val="right" w:leader="dot" w:pos="9885"/>
        </w:tabs>
        <w:spacing w:before="158"/>
        <w:rPr>
          <w:rFonts w:ascii="Arial"/>
          <w:b/>
          <w:sz w:val="20"/>
        </w:rPr>
      </w:pPr>
      <w:r>
        <w:rPr>
          <w:sz w:val="20"/>
        </w:rPr>
        <w:t>Other</w:t>
      </w:r>
      <w:r>
        <w:rPr>
          <w:spacing w:val="-1"/>
          <w:sz w:val="20"/>
        </w:rPr>
        <w:t xml:space="preserve"> </w:t>
      </w:r>
      <w:r>
        <w:rPr>
          <w:spacing w:val="-2"/>
          <w:sz w:val="20"/>
        </w:rPr>
        <w:t>Revenues</w:t>
      </w:r>
      <w:r>
        <w:rPr>
          <w:rFonts w:ascii="Times New Roman"/>
          <w:sz w:val="20"/>
        </w:rPr>
        <w:tab/>
      </w:r>
      <w:r>
        <w:rPr>
          <w:rFonts w:ascii="Arial"/>
          <w:b/>
          <w:spacing w:val="-5"/>
          <w:sz w:val="20"/>
        </w:rPr>
        <w:t>120</w:t>
      </w:r>
    </w:p>
    <w:p w14:paraId="265022CD" w14:textId="77777777" w:rsidR="00141B97" w:rsidRDefault="00911D63">
      <w:pPr>
        <w:pStyle w:val="ListParagraph"/>
        <w:numPr>
          <w:ilvl w:val="2"/>
          <w:numId w:val="38"/>
        </w:numPr>
        <w:tabs>
          <w:tab w:val="left" w:pos="1928"/>
          <w:tab w:val="left" w:pos="1929"/>
          <w:tab w:val="right" w:leader="dot" w:pos="9902"/>
        </w:tabs>
        <w:spacing w:before="120"/>
        <w:ind w:left="1928" w:hanging="681"/>
        <w:rPr>
          <w:rFonts w:ascii="Arial"/>
          <w:sz w:val="20"/>
        </w:rPr>
      </w:pPr>
      <w:r>
        <w:rPr>
          <w:sz w:val="20"/>
        </w:rPr>
        <w:t>Pass</w:t>
      </w:r>
      <w:r>
        <w:rPr>
          <w:spacing w:val="-5"/>
          <w:sz w:val="20"/>
        </w:rPr>
        <w:t xml:space="preserve"> </w:t>
      </w:r>
      <w:r>
        <w:rPr>
          <w:sz w:val="20"/>
        </w:rPr>
        <w:t>Through</w:t>
      </w:r>
      <w:r>
        <w:rPr>
          <w:spacing w:val="-3"/>
          <w:sz w:val="20"/>
        </w:rPr>
        <w:t xml:space="preserve"> </w:t>
      </w:r>
      <w:r>
        <w:rPr>
          <w:spacing w:val="-4"/>
          <w:sz w:val="20"/>
        </w:rPr>
        <w:t>Fees</w:t>
      </w:r>
      <w:r>
        <w:rPr>
          <w:rFonts w:ascii="Times New Roman"/>
          <w:sz w:val="20"/>
        </w:rPr>
        <w:tab/>
      </w:r>
      <w:r>
        <w:rPr>
          <w:rFonts w:ascii="Arial"/>
          <w:spacing w:val="-5"/>
          <w:sz w:val="20"/>
        </w:rPr>
        <w:t>120</w:t>
      </w:r>
    </w:p>
    <w:p w14:paraId="6B53DBC0" w14:textId="77777777" w:rsidR="00141B97" w:rsidRDefault="00911D63">
      <w:pPr>
        <w:pStyle w:val="ListParagraph"/>
        <w:numPr>
          <w:ilvl w:val="2"/>
          <w:numId w:val="38"/>
        </w:numPr>
        <w:tabs>
          <w:tab w:val="left" w:pos="1928"/>
          <w:tab w:val="left" w:pos="1929"/>
          <w:tab w:val="right" w:leader="dot" w:pos="9902"/>
        </w:tabs>
        <w:spacing w:before="122"/>
        <w:ind w:left="1928" w:hanging="681"/>
        <w:rPr>
          <w:rFonts w:ascii="Arial"/>
          <w:sz w:val="20"/>
        </w:rPr>
      </w:pPr>
      <w:r>
        <w:rPr>
          <w:sz w:val="20"/>
        </w:rPr>
        <w:t>Other</w:t>
      </w:r>
      <w:r>
        <w:rPr>
          <w:spacing w:val="-5"/>
          <w:sz w:val="20"/>
        </w:rPr>
        <w:t xml:space="preserve"> </w:t>
      </w:r>
      <w:r>
        <w:rPr>
          <w:spacing w:val="-2"/>
          <w:w w:val="95"/>
          <w:sz w:val="20"/>
        </w:rPr>
        <w:t>Revenues</w:t>
      </w:r>
      <w:r>
        <w:rPr>
          <w:rFonts w:ascii="Times New Roman"/>
          <w:sz w:val="20"/>
        </w:rPr>
        <w:tab/>
      </w:r>
      <w:r>
        <w:rPr>
          <w:rFonts w:ascii="Arial"/>
          <w:spacing w:val="-5"/>
          <w:sz w:val="20"/>
        </w:rPr>
        <w:t>121</w:t>
      </w:r>
    </w:p>
    <w:p w14:paraId="0B224752" w14:textId="77777777" w:rsidR="00141B97" w:rsidRDefault="00911D63">
      <w:pPr>
        <w:pStyle w:val="ListParagraph"/>
        <w:numPr>
          <w:ilvl w:val="1"/>
          <w:numId w:val="38"/>
        </w:numPr>
        <w:tabs>
          <w:tab w:val="left" w:pos="1247"/>
          <w:tab w:val="left" w:pos="1248"/>
          <w:tab w:val="right" w:leader="dot" w:pos="9893"/>
        </w:tabs>
        <w:spacing w:before="158"/>
        <w:rPr>
          <w:rFonts w:ascii="Arial"/>
          <w:b/>
          <w:sz w:val="20"/>
        </w:rPr>
      </w:pPr>
      <w:r>
        <w:rPr>
          <w:sz w:val="20"/>
        </w:rPr>
        <w:t>Return</w:t>
      </w:r>
      <w:r>
        <w:rPr>
          <w:spacing w:val="-2"/>
          <w:sz w:val="20"/>
        </w:rPr>
        <w:t xml:space="preserve"> </w:t>
      </w:r>
      <w:r>
        <w:rPr>
          <w:sz w:val="20"/>
        </w:rPr>
        <w:t>on</w:t>
      </w:r>
      <w:r>
        <w:rPr>
          <w:spacing w:val="-1"/>
          <w:sz w:val="20"/>
        </w:rPr>
        <w:t xml:space="preserve"> </w:t>
      </w:r>
      <w:r>
        <w:rPr>
          <w:sz w:val="20"/>
        </w:rPr>
        <w:t>the</w:t>
      </w:r>
      <w:r>
        <w:rPr>
          <w:spacing w:val="-2"/>
          <w:sz w:val="20"/>
        </w:rPr>
        <w:t xml:space="preserve"> </w:t>
      </w:r>
      <w:r>
        <w:rPr>
          <w:spacing w:val="-5"/>
          <w:sz w:val="20"/>
        </w:rPr>
        <w:t>RAB</w:t>
      </w:r>
      <w:r>
        <w:rPr>
          <w:rFonts w:ascii="Times New Roman"/>
          <w:sz w:val="20"/>
        </w:rPr>
        <w:tab/>
      </w:r>
      <w:r>
        <w:rPr>
          <w:rFonts w:ascii="Arial"/>
          <w:b/>
          <w:spacing w:val="-5"/>
          <w:sz w:val="20"/>
        </w:rPr>
        <w:t>121</w:t>
      </w:r>
    </w:p>
    <w:p w14:paraId="3D16BDED" w14:textId="77777777" w:rsidR="00141B97" w:rsidRDefault="00911D63">
      <w:pPr>
        <w:pStyle w:val="ListParagraph"/>
        <w:numPr>
          <w:ilvl w:val="2"/>
          <w:numId w:val="38"/>
        </w:numPr>
        <w:tabs>
          <w:tab w:val="left" w:pos="1928"/>
          <w:tab w:val="left" w:pos="1929"/>
          <w:tab w:val="right" w:leader="dot" w:pos="9901"/>
        </w:tabs>
        <w:spacing w:before="119"/>
        <w:ind w:left="1928" w:hanging="681"/>
        <w:rPr>
          <w:rFonts w:ascii="Arial"/>
          <w:sz w:val="20"/>
        </w:rPr>
      </w:pPr>
      <w:r>
        <w:rPr>
          <w:sz w:val="20"/>
        </w:rPr>
        <w:t>Rolling</w:t>
      </w:r>
      <w:r>
        <w:rPr>
          <w:spacing w:val="-3"/>
          <w:sz w:val="20"/>
        </w:rPr>
        <w:t xml:space="preserve"> </w:t>
      </w:r>
      <w:r>
        <w:rPr>
          <w:sz w:val="20"/>
        </w:rPr>
        <w:t>Forward</w:t>
      </w:r>
      <w:r>
        <w:rPr>
          <w:spacing w:val="-1"/>
          <w:sz w:val="20"/>
        </w:rPr>
        <w:t xml:space="preserve"> </w:t>
      </w:r>
      <w:r>
        <w:rPr>
          <w:sz w:val="20"/>
        </w:rPr>
        <w:t>the</w:t>
      </w:r>
      <w:r>
        <w:rPr>
          <w:spacing w:val="-2"/>
          <w:sz w:val="20"/>
        </w:rPr>
        <w:t xml:space="preserve"> </w:t>
      </w:r>
      <w:r>
        <w:rPr>
          <w:spacing w:val="-5"/>
          <w:sz w:val="20"/>
        </w:rPr>
        <w:t>RAB</w:t>
      </w:r>
      <w:r>
        <w:rPr>
          <w:rFonts w:ascii="Times New Roman"/>
          <w:sz w:val="20"/>
        </w:rPr>
        <w:tab/>
      </w:r>
      <w:r>
        <w:rPr>
          <w:rFonts w:ascii="Arial"/>
          <w:spacing w:val="-5"/>
          <w:sz w:val="20"/>
        </w:rPr>
        <w:t>121</w:t>
      </w:r>
    </w:p>
    <w:p w14:paraId="2C80FC39" w14:textId="77777777" w:rsidR="00141B97" w:rsidRDefault="00911D63">
      <w:pPr>
        <w:pStyle w:val="ListParagraph"/>
        <w:numPr>
          <w:ilvl w:val="2"/>
          <w:numId w:val="38"/>
        </w:numPr>
        <w:tabs>
          <w:tab w:val="left" w:pos="1928"/>
          <w:tab w:val="left" w:pos="1929"/>
          <w:tab w:val="right" w:leader="dot" w:pos="9901"/>
        </w:tabs>
        <w:spacing w:before="123"/>
        <w:ind w:left="1928" w:hanging="681"/>
        <w:rPr>
          <w:rFonts w:ascii="Arial"/>
          <w:sz w:val="20"/>
        </w:rPr>
      </w:pPr>
      <w:r>
        <w:rPr>
          <w:sz w:val="20"/>
        </w:rPr>
        <w:t>Regulatory</w:t>
      </w:r>
      <w:r>
        <w:rPr>
          <w:spacing w:val="-5"/>
          <w:sz w:val="20"/>
        </w:rPr>
        <w:t xml:space="preserve"> </w:t>
      </w:r>
      <w:r>
        <w:rPr>
          <w:spacing w:val="-2"/>
          <w:sz w:val="20"/>
        </w:rPr>
        <w:t>Depreciation</w:t>
      </w:r>
      <w:r>
        <w:rPr>
          <w:rFonts w:ascii="Times New Roman"/>
          <w:sz w:val="20"/>
        </w:rPr>
        <w:tab/>
      </w:r>
      <w:r>
        <w:rPr>
          <w:rFonts w:ascii="Arial"/>
          <w:spacing w:val="-5"/>
          <w:sz w:val="20"/>
        </w:rPr>
        <w:t>123</w:t>
      </w:r>
    </w:p>
    <w:p w14:paraId="6B58E95A" w14:textId="77777777" w:rsidR="00141B97" w:rsidRDefault="00911D63">
      <w:pPr>
        <w:pStyle w:val="ListParagraph"/>
        <w:numPr>
          <w:ilvl w:val="2"/>
          <w:numId w:val="38"/>
        </w:numPr>
        <w:tabs>
          <w:tab w:val="left" w:pos="1928"/>
          <w:tab w:val="left" w:pos="1929"/>
          <w:tab w:val="right" w:leader="dot" w:pos="9902"/>
        </w:tabs>
        <w:spacing w:before="122"/>
        <w:ind w:left="1928" w:hanging="681"/>
        <w:rPr>
          <w:rFonts w:ascii="Arial"/>
          <w:sz w:val="20"/>
        </w:rPr>
      </w:pPr>
      <w:r>
        <w:rPr>
          <w:sz w:val="20"/>
        </w:rPr>
        <w:t>Return</w:t>
      </w:r>
      <w:r>
        <w:rPr>
          <w:spacing w:val="-3"/>
          <w:sz w:val="20"/>
        </w:rPr>
        <w:t xml:space="preserve"> </w:t>
      </w:r>
      <w:r>
        <w:rPr>
          <w:sz w:val="20"/>
        </w:rPr>
        <w:t>on</w:t>
      </w:r>
      <w:r>
        <w:rPr>
          <w:spacing w:val="-3"/>
          <w:sz w:val="20"/>
        </w:rPr>
        <w:t xml:space="preserve"> </w:t>
      </w:r>
      <w:r>
        <w:rPr>
          <w:spacing w:val="-2"/>
          <w:sz w:val="20"/>
        </w:rPr>
        <w:t>Equity</w:t>
      </w:r>
      <w:r>
        <w:rPr>
          <w:rFonts w:ascii="Times New Roman"/>
          <w:sz w:val="20"/>
        </w:rPr>
        <w:tab/>
      </w:r>
      <w:r>
        <w:rPr>
          <w:rFonts w:ascii="Arial"/>
          <w:spacing w:val="-5"/>
          <w:sz w:val="20"/>
        </w:rPr>
        <w:t>123</w:t>
      </w:r>
    </w:p>
    <w:p w14:paraId="4CFD08F2" w14:textId="77777777" w:rsidR="00141B97" w:rsidRDefault="00911D63">
      <w:pPr>
        <w:pStyle w:val="ListParagraph"/>
        <w:numPr>
          <w:ilvl w:val="0"/>
          <w:numId w:val="38"/>
        </w:numPr>
        <w:tabs>
          <w:tab w:val="left" w:pos="681"/>
          <w:tab w:val="left" w:pos="682"/>
          <w:tab w:val="right" w:leader="dot" w:pos="9893"/>
        </w:tabs>
        <w:spacing w:before="241"/>
        <w:rPr>
          <w:rFonts w:ascii="Arial"/>
          <w:b/>
          <w:sz w:val="24"/>
        </w:rPr>
      </w:pPr>
      <w:r>
        <w:rPr>
          <w:color w:val="009BAC"/>
          <w:spacing w:val="-2"/>
          <w:sz w:val="24"/>
        </w:rPr>
        <w:t>Prices</w:t>
      </w:r>
      <w:r>
        <w:rPr>
          <w:rFonts w:ascii="Times New Roman"/>
          <w:color w:val="009BAC"/>
          <w:sz w:val="24"/>
        </w:rPr>
        <w:tab/>
      </w:r>
      <w:r>
        <w:rPr>
          <w:rFonts w:ascii="Arial"/>
          <w:b/>
          <w:color w:val="009BAC"/>
          <w:spacing w:val="-5"/>
          <w:sz w:val="24"/>
        </w:rPr>
        <w:t>124</w:t>
      </w:r>
    </w:p>
    <w:p w14:paraId="224D1172" w14:textId="77777777" w:rsidR="00141B97" w:rsidRDefault="00911D63">
      <w:pPr>
        <w:pStyle w:val="ListParagraph"/>
        <w:numPr>
          <w:ilvl w:val="1"/>
          <w:numId w:val="38"/>
        </w:numPr>
        <w:tabs>
          <w:tab w:val="left" w:pos="1247"/>
          <w:tab w:val="left" w:pos="1248"/>
          <w:tab w:val="right" w:leader="dot" w:pos="9893"/>
        </w:tabs>
        <w:spacing w:before="183"/>
        <w:rPr>
          <w:rFonts w:ascii="Arial"/>
          <w:b/>
          <w:sz w:val="20"/>
        </w:rPr>
      </w:pPr>
      <w:r>
        <w:rPr>
          <w:sz w:val="20"/>
        </w:rPr>
        <w:t>Form</w:t>
      </w:r>
      <w:r>
        <w:rPr>
          <w:spacing w:val="-2"/>
          <w:sz w:val="20"/>
        </w:rPr>
        <w:t xml:space="preserve"> </w:t>
      </w:r>
      <w:r>
        <w:rPr>
          <w:sz w:val="20"/>
        </w:rPr>
        <w:t>of</w:t>
      </w:r>
      <w:r>
        <w:rPr>
          <w:spacing w:val="-2"/>
          <w:sz w:val="20"/>
        </w:rPr>
        <w:t xml:space="preserve"> </w:t>
      </w:r>
      <w:r>
        <w:rPr>
          <w:sz w:val="20"/>
        </w:rPr>
        <w:t>Price</w:t>
      </w:r>
      <w:r>
        <w:rPr>
          <w:spacing w:val="-2"/>
          <w:sz w:val="20"/>
        </w:rPr>
        <w:t xml:space="preserve"> </w:t>
      </w:r>
      <w:r>
        <w:rPr>
          <w:spacing w:val="-2"/>
          <w:w w:val="95"/>
          <w:sz w:val="20"/>
        </w:rPr>
        <w:t>Control</w:t>
      </w:r>
      <w:r>
        <w:rPr>
          <w:rFonts w:ascii="Times New Roman"/>
          <w:sz w:val="20"/>
        </w:rPr>
        <w:tab/>
      </w:r>
      <w:r>
        <w:rPr>
          <w:rFonts w:ascii="Arial"/>
          <w:b/>
          <w:spacing w:val="-5"/>
          <w:sz w:val="20"/>
        </w:rPr>
        <w:t>124</w:t>
      </w:r>
    </w:p>
    <w:p w14:paraId="01A2FA9D" w14:textId="77777777" w:rsidR="00141B97" w:rsidRDefault="00911D63">
      <w:pPr>
        <w:pStyle w:val="ListParagraph"/>
        <w:numPr>
          <w:ilvl w:val="1"/>
          <w:numId w:val="38"/>
        </w:numPr>
        <w:tabs>
          <w:tab w:val="left" w:pos="1247"/>
          <w:tab w:val="left" w:pos="1248"/>
          <w:tab w:val="right" w:leader="dot" w:pos="9893"/>
        </w:tabs>
        <w:spacing w:before="157"/>
        <w:rPr>
          <w:rFonts w:ascii="Arial"/>
          <w:b/>
          <w:sz w:val="20"/>
        </w:rPr>
      </w:pPr>
      <w:r>
        <w:rPr>
          <w:sz w:val="20"/>
        </w:rPr>
        <w:t>Prices</w:t>
      </w:r>
      <w:r>
        <w:rPr>
          <w:spacing w:val="-3"/>
          <w:sz w:val="20"/>
        </w:rPr>
        <w:t xml:space="preserve"> </w:t>
      </w:r>
      <w:r>
        <w:rPr>
          <w:sz w:val="20"/>
        </w:rPr>
        <w:t>and</w:t>
      </w:r>
      <w:r>
        <w:rPr>
          <w:spacing w:val="-3"/>
          <w:sz w:val="20"/>
        </w:rPr>
        <w:t xml:space="preserve"> </w:t>
      </w:r>
      <w:r>
        <w:rPr>
          <w:sz w:val="20"/>
        </w:rPr>
        <w:t>Tariff</w:t>
      </w:r>
      <w:r>
        <w:rPr>
          <w:spacing w:val="-2"/>
          <w:sz w:val="20"/>
        </w:rPr>
        <w:t xml:space="preserve"> Structure</w:t>
      </w:r>
      <w:r>
        <w:rPr>
          <w:rFonts w:ascii="Times New Roman"/>
          <w:sz w:val="20"/>
        </w:rPr>
        <w:tab/>
      </w:r>
      <w:r>
        <w:rPr>
          <w:rFonts w:ascii="Arial"/>
          <w:b/>
          <w:spacing w:val="-5"/>
          <w:sz w:val="20"/>
        </w:rPr>
        <w:t>124</w:t>
      </w:r>
    </w:p>
    <w:p w14:paraId="6475155A" w14:textId="77777777" w:rsidR="00141B97" w:rsidRDefault="00911D63">
      <w:pPr>
        <w:pStyle w:val="ListParagraph"/>
        <w:numPr>
          <w:ilvl w:val="2"/>
          <w:numId w:val="38"/>
        </w:numPr>
        <w:tabs>
          <w:tab w:val="left" w:pos="1928"/>
          <w:tab w:val="left" w:pos="1929"/>
          <w:tab w:val="right" w:leader="dot" w:pos="9902"/>
        </w:tabs>
        <w:spacing w:before="120"/>
        <w:ind w:left="1928" w:hanging="681"/>
        <w:rPr>
          <w:rFonts w:ascii="Arial"/>
          <w:sz w:val="20"/>
        </w:rPr>
      </w:pPr>
      <w:r>
        <w:rPr>
          <w:sz w:val="20"/>
        </w:rPr>
        <w:t>Tariff</w:t>
      </w:r>
      <w:r>
        <w:rPr>
          <w:spacing w:val="-4"/>
          <w:sz w:val="20"/>
        </w:rPr>
        <w:t xml:space="preserve"> </w:t>
      </w:r>
      <w:r>
        <w:rPr>
          <w:spacing w:val="-2"/>
          <w:sz w:val="20"/>
        </w:rPr>
        <w:t>Structures</w:t>
      </w:r>
      <w:r>
        <w:rPr>
          <w:rFonts w:ascii="Times New Roman"/>
          <w:sz w:val="20"/>
        </w:rPr>
        <w:tab/>
      </w:r>
      <w:r>
        <w:rPr>
          <w:rFonts w:ascii="Arial"/>
          <w:spacing w:val="-5"/>
          <w:sz w:val="20"/>
        </w:rPr>
        <w:t>124</w:t>
      </w:r>
    </w:p>
    <w:p w14:paraId="7AC10000" w14:textId="77777777" w:rsidR="00141B97" w:rsidRDefault="00911D63">
      <w:pPr>
        <w:pStyle w:val="ListParagraph"/>
        <w:numPr>
          <w:ilvl w:val="2"/>
          <w:numId w:val="38"/>
        </w:numPr>
        <w:tabs>
          <w:tab w:val="left" w:pos="1928"/>
          <w:tab w:val="left" w:pos="1929"/>
          <w:tab w:val="right" w:leader="dot" w:pos="9902"/>
        </w:tabs>
        <w:spacing w:before="121"/>
        <w:ind w:left="1928" w:hanging="681"/>
        <w:rPr>
          <w:rFonts w:ascii="Arial"/>
          <w:sz w:val="20"/>
        </w:rPr>
      </w:pPr>
      <w:r>
        <w:rPr>
          <w:sz w:val="20"/>
        </w:rPr>
        <w:t>Proposed</w:t>
      </w:r>
      <w:r>
        <w:rPr>
          <w:spacing w:val="-4"/>
          <w:sz w:val="20"/>
        </w:rPr>
        <w:t xml:space="preserve"> </w:t>
      </w:r>
      <w:r>
        <w:rPr>
          <w:spacing w:val="-2"/>
          <w:sz w:val="20"/>
        </w:rPr>
        <w:t>Tariffs</w:t>
      </w:r>
      <w:r>
        <w:rPr>
          <w:rFonts w:ascii="Times New Roman"/>
          <w:sz w:val="20"/>
        </w:rPr>
        <w:tab/>
      </w:r>
      <w:r>
        <w:rPr>
          <w:rFonts w:ascii="Arial"/>
          <w:spacing w:val="-5"/>
          <w:sz w:val="20"/>
        </w:rPr>
        <w:t>125</w:t>
      </w:r>
    </w:p>
    <w:p w14:paraId="5929F14A" w14:textId="77777777" w:rsidR="00141B97" w:rsidRDefault="00911D63">
      <w:pPr>
        <w:pStyle w:val="ListParagraph"/>
        <w:numPr>
          <w:ilvl w:val="2"/>
          <w:numId w:val="38"/>
        </w:numPr>
        <w:tabs>
          <w:tab w:val="left" w:pos="1928"/>
          <w:tab w:val="left" w:pos="1929"/>
          <w:tab w:val="right" w:leader="dot" w:pos="9902"/>
        </w:tabs>
        <w:spacing w:before="122"/>
        <w:ind w:left="1928" w:hanging="681"/>
        <w:rPr>
          <w:rFonts w:ascii="Arial"/>
          <w:sz w:val="20"/>
        </w:rPr>
      </w:pPr>
      <w:r>
        <w:rPr>
          <w:sz w:val="20"/>
        </w:rPr>
        <w:t>Miscellaneous</w:t>
      </w:r>
      <w:r>
        <w:rPr>
          <w:spacing w:val="-11"/>
          <w:sz w:val="20"/>
        </w:rPr>
        <w:t xml:space="preserve"> </w:t>
      </w:r>
      <w:r>
        <w:rPr>
          <w:spacing w:val="-2"/>
          <w:sz w:val="20"/>
        </w:rPr>
        <w:t>Charges</w:t>
      </w:r>
      <w:r>
        <w:rPr>
          <w:rFonts w:ascii="Times New Roman"/>
          <w:sz w:val="20"/>
        </w:rPr>
        <w:tab/>
      </w:r>
      <w:r>
        <w:rPr>
          <w:rFonts w:ascii="Arial"/>
          <w:spacing w:val="-5"/>
          <w:sz w:val="20"/>
        </w:rPr>
        <w:t>128</w:t>
      </w:r>
    </w:p>
    <w:p w14:paraId="391A964D" w14:textId="77777777" w:rsidR="00141B97" w:rsidRDefault="00911D63">
      <w:pPr>
        <w:pStyle w:val="ListParagraph"/>
        <w:numPr>
          <w:ilvl w:val="2"/>
          <w:numId w:val="38"/>
        </w:numPr>
        <w:tabs>
          <w:tab w:val="left" w:pos="1928"/>
          <w:tab w:val="left" w:pos="1929"/>
          <w:tab w:val="right" w:leader="dot" w:pos="9901"/>
        </w:tabs>
        <w:spacing w:before="122"/>
        <w:ind w:left="1928" w:hanging="681"/>
        <w:rPr>
          <w:rFonts w:ascii="Arial" w:hAnsi="Arial"/>
          <w:sz w:val="20"/>
        </w:rPr>
      </w:pPr>
      <w:r>
        <w:rPr>
          <w:sz w:val="20"/>
        </w:rPr>
        <w:t>Non‐Prescribed</w:t>
      </w:r>
      <w:r>
        <w:rPr>
          <w:spacing w:val="-6"/>
          <w:sz w:val="20"/>
        </w:rPr>
        <w:t xml:space="preserve"> </w:t>
      </w:r>
      <w:r>
        <w:rPr>
          <w:spacing w:val="-2"/>
          <w:sz w:val="20"/>
        </w:rPr>
        <w:t>Services</w:t>
      </w:r>
      <w:r>
        <w:rPr>
          <w:rFonts w:ascii="Times New Roman" w:hAnsi="Times New Roman"/>
          <w:sz w:val="20"/>
        </w:rPr>
        <w:tab/>
      </w:r>
      <w:r>
        <w:rPr>
          <w:rFonts w:ascii="Arial" w:hAnsi="Arial"/>
          <w:spacing w:val="-5"/>
          <w:sz w:val="20"/>
        </w:rPr>
        <w:t>128</w:t>
      </w:r>
    </w:p>
    <w:p w14:paraId="4C04C976" w14:textId="77777777" w:rsidR="00141B97" w:rsidRDefault="00911D63">
      <w:pPr>
        <w:pStyle w:val="ListParagraph"/>
        <w:numPr>
          <w:ilvl w:val="1"/>
          <w:numId w:val="38"/>
        </w:numPr>
        <w:tabs>
          <w:tab w:val="left" w:pos="1247"/>
          <w:tab w:val="left" w:pos="1248"/>
          <w:tab w:val="right" w:leader="dot" w:pos="9893"/>
        </w:tabs>
        <w:spacing w:before="159"/>
        <w:rPr>
          <w:rFonts w:ascii="Arial"/>
          <w:b/>
          <w:sz w:val="20"/>
        </w:rPr>
      </w:pPr>
      <w:r>
        <w:rPr>
          <w:sz w:val="20"/>
        </w:rPr>
        <w:t>Adjustment</w:t>
      </w:r>
      <w:r>
        <w:rPr>
          <w:spacing w:val="-1"/>
          <w:sz w:val="20"/>
        </w:rPr>
        <w:t xml:space="preserve"> </w:t>
      </w:r>
      <w:r>
        <w:rPr>
          <w:sz w:val="20"/>
        </w:rPr>
        <w:t>to</w:t>
      </w:r>
      <w:r>
        <w:rPr>
          <w:spacing w:val="-3"/>
          <w:sz w:val="20"/>
        </w:rPr>
        <w:t xml:space="preserve"> </w:t>
      </w:r>
      <w:r>
        <w:rPr>
          <w:spacing w:val="-2"/>
          <w:sz w:val="20"/>
        </w:rPr>
        <w:t>Prices</w:t>
      </w:r>
      <w:r>
        <w:rPr>
          <w:rFonts w:ascii="Times New Roman"/>
          <w:sz w:val="20"/>
        </w:rPr>
        <w:tab/>
      </w:r>
      <w:r>
        <w:rPr>
          <w:rFonts w:ascii="Arial"/>
          <w:b/>
          <w:spacing w:val="-5"/>
          <w:sz w:val="20"/>
        </w:rPr>
        <w:t>128</w:t>
      </w:r>
    </w:p>
    <w:p w14:paraId="6EB18443" w14:textId="77777777" w:rsidR="00141B97" w:rsidRDefault="00911D63">
      <w:pPr>
        <w:pStyle w:val="ListParagraph"/>
        <w:numPr>
          <w:ilvl w:val="2"/>
          <w:numId w:val="38"/>
        </w:numPr>
        <w:tabs>
          <w:tab w:val="left" w:pos="1928"/>
          <w:tab w:val="left" w:pos="1929"/>
          <w:tab w:val="right" w:leader="dot" w:pos="9900"/>
        </w:tabs>
        <w:spacing w:before="120"/>
        <w:ind w:left="1928" w:hanging="681"/>
        <w:rPr>
          <w:rFonts w:ascii="Arial"/>
          <w:sz w:val="20"/>
        </w:rPr>
      </w:pPr>
      <w:r>
        <w:rPr>
          <w:sz w:val="20"/>
        </w:rPr>
        <w:t>Uncertain</w:t>
      </w:r>
      <w:r>
        <w:rPr>
          <w:spacing w:val="-3"/>
          <w:sz w:val="20"/>
        </w:rPr>
        <w:t xml:space="preserve"> </w:t>
      </w:r>
      <w:r>
        <w:rPr>
          <w:sz w:val="20"/>
        </w:rPr>
        <w:t>or</w:t>
      </w:r>
      <w:r>
        <w:rPr>
          <w:spacing w:val="-3"/>
          <w:sz w:val="20"/>
        </w:rPr>
        <w:t xml:space="preserve"> </w:t>
      </w:r>
      <w:r>
        <w:rPr>
          <w:sz w:val="20"/>
        </w:rPr>
        <w:t>Unforeseen</w:t>
      </w:r>
      <w:r>
        <w:rPr>
          <w:spacing w:val="-3"/>
          <w:sz w:val="20"/>
        </w:rPr>
        <w:t xml:space="preserve"> </w:t>
      </w:r>
      <w:r>
        <w:rPr>
          <w:spacing w:val="-2"/>
          <w:sz w:val="20"/>
        </w:rPr>
        <w:t>Events</w:t>
      </w:r>
      <w:r>
        <w:rPr>
          <w:rFonts w:ascii="Times New Roman"/>
          <w:sz w:val="20"/>
        </w:rPr>
        <w:tab/>
      </w:r>
      <w:r>
        <w:rPr>
          <w:rFonts w:ascii="Arial"/>
          <w:spacing w:val="-5"/>
          <w:sz w:val="20"/>
        </w:rPr>
        <w:t>128</w:t>
      </w:r>
    </w:p>
    <w:p w14:paraId="2B2BFAB9" w14:textId="77777777" w:rsidR="00141B97" w:rsidRDefault="00911D63">
      <w:pPr>
        <w:pStyle w:val="ListParagraph"/>
        <w:numPr>
          <w:ilvl w:val="2"/>
          <w:numId w:val="38"/>
        </w:numPr>
        <w:tabs>
          <w:tab w:val="left" w:pos="1928"/>
          <w:tab w:val="left" w:pos="1929"/>
          <w:tab w:val="right" w:leader="dot" w:pos="9902"/>
        </w:tabs>
        <w:spacing w:before="121"/>
        <w:ind w:left="1928" w:hanging="681"/>
        <w:rPr>
          <w:rFonts w:ascii="Arial"/>
          <w:sz w:val="20"/>
        </w:rPr>
      </w:pPr>
      <w:r>
        <w:rPr>
          <w:sz w:val="20"/>
        </w:rPr>
        <w:t>Trailing</w:t>
      </w:r>
      <w:r>
        <w:rPr>
          <w:spacing w:val="-2"/>
          <w:sz w:val="20"/>
        </w:rPr>
        <w:t xml:space="preserve"> </w:t>
      </w:r>
      <w:r>
        <w:rPr>
          <w:sz w:val="20"/>
        </w:rPr>
        <w:t>Cost</w:t>
      </w:r>
      <w:r>
        <w:rPr>
          <w:spacing w:val="-1"/>
          <w:sz w:val="20"/>
        </w:rPr>
        <w:t xml:space="preserve"> </w:t>
      </w:r>
      <w:r>
        <w:rPr>
          <w:sz w:val="20"/>
        </w:rPr>
        <w:t>of</w:t>
      </w:r>
      <w:r>
        <w:rPr>
          <w:spacing w:val="-2"/>
          <w:sz w:val="20"/>
        </w:rPr>
        <w:t xml:space="preserve"> </w:t>
      </w:r>
      <w:r>
        <w:rPr>
          <w:spacing w:val="-4"/>
          <w:sz w:val="20"/>
        </w:rPr>
        <w:t>Debt</w:t>
      </w:r>
      <w:r>
        <w:rPr>
          <w:rFonts w:ascii="Times New Roman"/>
          <w:sz w:val="20"/>
        </w:rPr>
        <w:tab/>
      </w:r>
      <w:r>
        <w:rPr>
          <w:rFonts w:ascii="Arial"/>
          <w:spacing w:val="-5"/>
          <w:sz w:val="20"/>
        </w:rPr>
        <w:t>128</w:t>
      </w:r>
    </w:p>
    <w:p w14:paraId="513E52C3" w14:textId="77777777" w:rsidR="00141B97" w:rsidRDefault="00141B97">
      <w:pPr>
        <w:rPr>
          <w:rFonts w:ascii="Arial"/>
          <w:sz w:val="20"/>
        </w:rPr>
        <w:sectPr w:rsidR="00141B97">
          <w:pgSz w:w="11910" w:h="16840"/>
          <w:pgMar w:top="820" w:right="40" w:bottom="780" w:left="1020" w:header="0" w:footer="586" w:gutter="0"/>
          <w:cols w:space="720"/>
        </w:sectPr>
      </w:pPr>
    </w:p>
    <w:p w14:paraId="5EF9EE96" w14:textId="77777777" w:rsidR="00141B97" w:rsidRDefault="00911D63">
      <w:pPr>
        <w:spacing w:line="578" w:lineRule="exact"/>
        <w:ind w:left="114"/>
        <w:rPr>
          <w:sz w:val="48"/>
        </w:rPr>
      </w:pPr>
      <w:r>
        <w:rPr>
          <w:color w:val="006CA3"/>
          <w:sz w:val="48"/>
        </w:rPr>
        <w:lastRenderedPageBreak/>
        <w:t xml:space="preserve">Tables and </w:t>
      </w:r>
      <w:r>
        <w:rPr>
          <w:color w:val="006CA3"/>
          <w:spacing w:val="-2"/>
          <w:sz w:val="48"/>
        </w:rPr>
        <w:t>Figures</w:t>
      </w:r>
    </w:p>
    <w:p w14:paraId="3542D1FA" w14:textId="77777777" w:rsidR="00141B97" w:rsidRDefault="00141B97">
      <w:pPr>
        <w:pStyle w:val="BodyText"/>
        <w:spacing w:before="10"/>
        <w:rPr>
          <w:sz w:val="29"/>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7663"/>
        <w:gridCol w:w="1577"/>
      </w:tblGrid>
      <w:tr w:rsidR="00141B97" w14:paraId="1F048BF2" w14:textId="77777777">
        <w:trPr>
          <w:trHeight w:val="269"/>
          <w:tblCellSpacing w:w="9" w:type="dxa"/>
        </w:trPr>
        <w:tc>
          <w:tcPr>
            <w:tcW w:w="7636" w:type="dxa"/>
            <w:tcBorders>
              <w:top w:val="nil"/>
              <w:left w:val="nil"/>
            </w:tcBorders>
            <w:shd w:val="clear" w:color="auto" w:fill="006CA3"/>
          </w:tcPr>
          <w:p w14:paraId="5F7E235C" w14:textId="77777777" w:rsidR="00141B97" w:rsidRDefault="00911D63">
            <w:pPr>
              <w:pStyle w:val="TableParagraph"/>
              <w:spacing w:before="1" w:line="248" w:lineRule="exact"/>
              <w:ind w:left="88"/>
            </w:pPr>
            <w:r>
              <w:rPr>
                <w:color w:val="FFFFFF"/>
              </w:rPr>
              <w:t>Table/Figure</w:t>
            </w:r>
            <w:r>
              <w:rPr>
                <w:color w:val="FFFFFF"/>
                <w:spacing w:val="-13"/>
              </w:rPr>
              <w:t xml:space="preserve"> </w:t>
            </w:r>
            <w:r>
              <w:rPr>
                <w:color w:val="FFFFFF"/>
                <w:spacing w:val="-2"/>
              </w:rPr>
              <w:t>Title</w:t>
            </w:r>
          </w:p>
        </w:tc>
        <w:tc>
          <w:tcPr>
            <w:tcW w:w="1550" w:type="dxa"/>
            <w:tcBorders>
              <w:top w:val="nil"/>
              <w:right w:val="nil"/>
            </w:tcBorders>
            <w:shd w:val="clear" w:color="auto" w:fill="006CA3"/>
          </w:tcPr>
          <w:p w14:paraId="051F5B77" w14:textId="77777777" w:rsidR="00141B97" w:rsidRDefault="00911D63">
            <w:pPr>
              <w:pStyle w:val="TableParagraph"/>
              <w:spacing w:before="1" w:line="248" w:lineRule="exact"/>
              <w:ind w:right="86"/>
              <w:jc w:val="right"/>
            </w:pPr>
            <w:r>
              <w:rPr>
                <w:color w:val="FFFFFF"/>
              </w:rPr>
              <w:t>Page</w:t>
            </w:r>
            <w:r>
              <w:rPr>
                <w:color w:val="FFFFFF"/>
                <w:spacing w:val="-6"/>
              </w:rPr>
              <w:t xml:space="preserve"> </w:t>
            </w:r>
            <w:r>
              <w:rPr>
                <w:color w:val="FFFFFF"/>
                <w:spacing w:val="-2"/>
              </w:rPr>
              <w:t>Number</w:t>
            </w:r>
          </w:p>
        </w:tc>
      </w:tr>
      <w:tr w:rsidR="00141B97" w14:paraId="082B6A4E" w14:textId="77777777">
        <w:trPr>
          <w:trHeight w:val="268"/>
          <w:tblCellSpacing w:w="9" w:type="dxa"/>
        </w:trPr>
        <w:tc>
          <w:tcPr>
            <w:tcW w:w="7636" w:type="dxa"/>
            <w:tcBorders>
              <w:left w:val="nil"/>
            </w:tcBorders>
            <w:shd w:val="clear" w:color="auto" w:fill="CCE2ED"/>
          </w:tcPr>
          <w:p w14:paraId="0C7980BC" w14:textId="77777777" w:rsidR="00141B97" w:rsidRDefault="00911D63">
            <w:pPr>
              <w:pStyle w:val="TableParagraph"/>
              <w:spacing w:line="248" w:lineRule="exact"/>
              <w:ind w:left="88"/>
            </w:pPr>
            <w:r>
              <w:t>Table</w:t>
            </w:r>
            <w:r>
              <w:rPr>
                <w:spacing w:val="-8"/>
              </w:rPr>
              <w:t xml:space="preserve"> </w:t>
            </w:r>
            <w:r>
              <w:t>C1:</w:t>
            </w:r>
            <w:r>
              <w:rPr>
                <w:spacing w:val="-9"/>
              </w:rPr>
              <w:t xml:space="preserve"> </w:t>
            </w:r>
            <w:r>
              <w:t>Overall</w:t>
            </w:r>
            <w:r>
              <w:rPr>
                <w:spacing w:val="-8"/>
              </w:rPr>
              <w:t xml:space="preserve"> </w:t>
            </w:r>
            <w:r>
              <w:t>Summary</w:t>
            </w:r>
            <w:r>
              <w:rPr>
                <w:spacing w:val="-7"/>
              </w:rPr>
              <w:t xml:space="preserve"> </w:t>
            </w:r>
            <w:r>
              <w:t>of</w:t>
            </w:r>
            <w:r>
              <w:rPr>
                <w:spacing w:val="-9"/>
              </w:rPr>
              <w:t xml:space="preserve"> </w:t>
            </w:r>
            <w:r>
              <w:t>Rural</w:t>
            </w:r>
            <w:r>
              <w:rPr>
                <w:spacing w:val="-8"/>
              </w:rPr>
              <w:t xml:space="preserve"> </w:t>
            </w:r>
            <w:r>
              <w:t>Customer</w:t>
            </w:r>
            <w:r>
              <w:rPr>
                <w:spacing w:val="-7"/>
              </w:rPr>
              <w:t xml:space="preserve"> </w:t>
            </w:r>
            <w:r>
              <w:t>Outcome</w:t>
            </w:r>
            <w:r>
              <w:rPr>
                <w:spacing w:val="-9"/>
              </w:rPr>
              <w:t xml:space="preserve"> </w:t>
            </w:r>
            <w:r>
              <w:t>Performance</w:t>
            </w:r>
            <w:r>
              <w:rPr>
                <w:spacing w:val="-8"/>
              </w:rPr>
              <w:t xml:space="preserve"> </w:t>
            </w:r>
            <w:r>
              <w:rPr>
                <w:spacing w:val="-2"/>
              </w:rPr>
              <w:t>Ratings</w:t>
            </w:r>
          </w:p>
        </w:tc>
        <w:tc>
          <w:tcPr>
            <w:tcW w:w="1550" w:type="dxa"/>
            <w:tcBorders>
              <w:right w:val="nil"/>
            </w:tcBorders>
            <w:shd w:val="clear" w:color="auto" w:fill="CCE2ED"/>
          </w:tcPr>
          <w:p w14:paraId="2C4C5A28" w14:textId="77777777" w:rsidR="00141B97" w:rsidRDefault="00911D63">
            <w:pPr>
              <w:pStyle w:val="TableParagraph"/>
              <w:spacing w:line="248" w:lineRule="exact"/>
              <w:ind w:right="87"/>
              <w:jc w:val="right"/>
            </w:pPr>
            <w:r>
              <w:rPr>
                <w:spacing w:val="-5"/>
              </w:rPr>
              <w:t>95</w:t>
            </w:r>
          </w:p>
        </w:tc>
      </w:tr>
      <w:tr w:rsidR="00141B97" w14:paraId="7FD810AB" w14:textId="77777777">
        <w:trPr>
          <w:trHeight w:val="269"/>
          <w:tblCellSpacing w:w="9" w:type="dxa"/>
        </w:trPr>
        <w:tc>
          <w:tcPr>
            <w:tcW w:w="7636" w:type="dxa"/>
            <w:tcBorders>
              <w:left w:val="nil"/>
            </w:tcBorders>
            <w:shd w:val="clear" w:color="auto" w:fill="CCE2ED"/>
          </w:tcPr>
          <w:p w14:paraId="0499E78A" w14:textId="77777777" w:rsidR="00141B97" w:rsidRDefault="00911D63">
            <w:pPr>
              <w:pStyle w:val="TableParagraph"/>
              <w:spacing w:before="1" w:line="248" w:lineRule="exact"/>
              <w:ind w:left="88"/>
            </w:pPr>
            <w:r>
              <w:t>Table</w:t>
            </w:r>
            <w:r>
              <w:rPr>
                <w:spacing w:val="-7"/>
              </w:rPr>
              <w:t xml:space="preserve"> </w:t>
            </w:r>
            <w:r>
              <w:t>C2:</w:t>
            </w:r>
            <w:r>
              <w:rPr>
                <w:spacing w:val="-6"/>
              </w:rPr>
              <w:t xml:space="preserve"> </w:t>
            </w:r>
            <w:r>
              <w:t>Rural</w:t>
            </w:r>
            <w:r>
              <w:rPr>
                <w:spacing w:val="-7"/>
              </w:rPr>
              <w:t xml:space="preserve"> </w:t>
            </w:r>
            <w:r>
              <w:t>Water</w:t>
            </w:r>
            <w:r>
              <w:rPr>
                <w:spacing w:val="-6"/>
              </w:rPr>
              <w:t xml:space="preserve"> </w:t>
            </w:r>
            <w:r>
              <w:rPr>
                <w:spacing w:val="-2"/>
              </w:rPr>
              <w:t>Demand</w:t>
            </w:r>
          </w:p>
        </w:tc>
        <w:tc>
          <w:tcPr>
            <w:tcW w:w="1550" w:type="dxa"/>
            <w:tcBorders>
              <w:right w:val="nil"/>
            </w:tcBorders>
            <w:shd w:val="clear" w:color="auto" w:fill="CCE2ED"/>
          </w:tcPr>
          <w:p w14:paraId="1F544B43" w14:textId="77777777" w:rsidR="00141B97" w:rsidRDefault="00911D63">
            <w:pPr>
              <w:pStyle w:val="TableParagraph"/>
              <w:spacing w:before="1" w:line="248" w:lineRule="exact"/>
              <w:ind w:right="87"/>
              <w:jc w:val="right"/>
            </w:pPr>
            <w:r>
              <w:rPr>
                <w:spacing w:val="-5"/>
              </w:rPr>
              <w:t>97</w:t>
            </w:r>
          </w:p>
        </w:tc>
      </w:tr>
      <w:tr w:rsidR="00141B97" w14:paraId="292D594A" w14:textId="77777777">
        <w:trPr>
          <w:trHeight w:val="268"/>
          <w:tblCellSpacing w:w="9" w:type="dxa"/>
        </w:trPr>
        <w:tc>
          <w:tcPr>
            <w:tcW w:w="7636" w:type="dxa"/>
            <w:tcBorders>
              <w:left w:val="nil"/>
            </w:tcBorders>
            <w:shd w:val="clear" w:color="auto" w:fill="CCE2ED"/>
          </w:tcPr>
          <w:p w14:paraId="1F046D54" w14:textId="77777777" w:rsidR="00141B97" w:rsidRDefault="00911D63">
            <w:pPr>
              <w:pStyle w:val="TableParagraph"/>
              <w:spacing w:line="248" w:lineRule="exact"/>
              <w:ind w:left="88"/>
            </w:pPr>
            <w:r>
              <w:t>Table</w:t>
            </w:r>
            <w:r>
              <w:rPr>
                <w:spacing w:val="-7"/>
              </w:rPr>
              <w:t xml:space="preserve"> </w:t>
            </w:r>
            <w:r>
              <w:t>C3:</w:t>
            </w:r>
            <w:r>
              <w:rPr>
                <w:spacing w:val="-6"/>
              </w:rPr>
              <w:t xml:space="preserve"> </w:t>
            </w:r>
            <w:r>
              <w:t>Rural</w:t>
            </w:r>
            <w:r>
              <w:rPr>
                <w:spacing w:val="-6"/>
              </w:rPr>
              <w:t xml:space="preserve"> </w:t>
            </w:r>
            <w:r>
              <w:rPr>
                <w:spacing w:val="-2"/>
              </w:rPr>
              <w:t>Revenue</w:t>
            </w:r>
          </w:p>
        </w:tc>
        <w:tc>
          <w:tcPr>
            <w:tcW w:w="1550" w:type="dxa"/>
            <w:tcBorders>
              <w:right w:val="nil"/>
            </w:tcBorders>
            <w:shd w:val="clear" w:color="auto" w:fill="CCE2ED"/>
          </w:tcPr>
          <w:p w14:paraId="07E2F713" w14:textId="77777777" w:rsidR="00141B97" w:rsidRDefault="00911D63">
            <w:pPr>
              <w:pStyle w:val="TableParagraph"/>
              <w:spacing w:line="248" w:lineRule="exact"/>
              <w:ind w:right="87"/>
              <w:jc w:val="right"/>
            </w:pPr>
            <w:r>
              <w:rPr>
                <w:spacing w:val="-5"/>
              </w:rPr>
              <w:t>97</w:t>
            </w:r>
          </w:p>
        </w:tc>
      </w:tr>
      <w:tr w:rsidR="00141B97" w14:paraId="790548F4" w14:textId="77777777">
        <w:trPr>
          <w:trHeight w:val="267"/>
          <w:tblCellSpacing w:w="9" w:type="dxa"/>
        </w:trPr>
        <w:tc>
          <w:tcPr>
            <w:tcW w:w="7636" w:type="dxa"/>
            <w:tcBorders>
              <w:left w:val="nil"/>
            </w:tcBorders>
            <w:shd w:val="clear" w:color="auto" w:fill="CCE2ED"/>
          </w:tcPr>
          <w:p w14:paraId="4BC72700" w14:textId="77777777" w:rsidR="00141B97" w:rsidRDefault="00911D63">
            <w:pPr>
              <w:pStyle w:val="TableParagraph"/>
              <w:spacing w:line="248" w:lineRule="exact"/>
              <w:ind w:left="88"/>
            </w:pPr>
            <w:r>
              <w:t>Table</w:t>
            </w:r>
            <w:r>
              <w:rPr>
                <w:spacing w:val="-6"/>
              </w:rPr>
              <w:t xml:space="preserve"> </w:t>
            </w:r>
            <w:r>
              <w:t>C4</w:t>
            </w:r>
            <w:r>
              <w:rPr>
                <w:spacing w:val="-6"/>
              </w:rPr>
              <w:t xml:space="preserve"> </w:t>
            </w:r>
            <w:r>
              <w:t>8:</w:t>
            </w:r>
            <w:r>
              <w:rPr>
                <w:spacing w:val="-6"/>
              </w:rPr>
              <w:t xml:space="preserve"> </w:t>
            </w:r>
            <w:r>
              <w:t>Rural</w:t>
            </w:r>
            <w:r>
              <w:rPr>
                <w:spacing w:val="-5"/>
              </w:rPr>
              <w:t xml:space="preserve"> </w:t>
            </w:r>
            <w:r>
              <w:t>Price</w:t>
            </w:r>
            <w:r>
              <w:rPr>
                <w:spacing w:val="-6"/>
              </w:rPr>
              <w:t xml:space="preserve"> </w:t>
            </w:r>
            <w:r>
              <w:t>Changes</w:t>
            </w:r>
            <w:r>
              <w:rPr>
                <w:spacing w:val="-4"/>
              </w:rPr>
              <w:t xml:space="preserve"> </w:t>
            </w:r>
            <w:r>
              <w:t>Relative</w:t>
            </w:r>
            <w:r>
              <w:rPr>
                <w:spacing w:val="-7"/>
              </w:rPr>
              <w:t xml:space="preserve"> </w:t>
            </w:r>
            <w:r>
              <w:t>to</w:t>
            </w:r>
            <w:r>
              <w:rPr>
                <w:spacing w:val="-7"/>
              </w:rPr>
              <w:t xml:space="preserve"> </w:t>
            </w:r>
            <w:r>
              <w:t>PS4</w:t>
            </w:r>
            <w:r>
              <w:rPr>
                <w:spacing w:val="-5"/>
              </w:rPr>
              <w:t xml:space="preserve"> </w:t>
            </w:r>
            <w:r>
              <w:t>Approved</w:t>
            </w:r>
            <w:r>
              <w:rPr>
                <w:spacing w:val="-7"/>
              </w:rPr>
              <w:t xml:space="preserve"> </w:t>
            </w:r>
            <w:r>
              <w:t>Price</w:t>
            </w:r>
            <w:r>
              <w:rPr>
                <w:spacing w:val="-6"/>
              </w:rPr>
              <w:t xml:space="preserve"> </w:t>
            </w:r>
            <w:r>
              <w:rPr>
                <w:spacing w:val="-4"/>
              </w:rPr>
              <w:t>Path</w:t>
            </w:r>
          </w:p>
        </w:tc>
        <w:tc>
          <w:tcPr>
            <w:tcW w:w="1550" w:type="dxa"/>
            <w:tcBorders>
              <w:right w:val="nil"/>
            </w:tcBorders>
            <w:shd w:val="clear" w:color="auto" w:fill="CCE2ED"/>
          </w:tcPr>
          <w:p w14:paraId="323010E7" w14:textId="77777777" w:rsidR="00141B97" w:rsidRDefault="00911D63">
            <w:pPr>
              <w:pStyle w:val="TableParagraph"/>
              <w:spacing w:line="248" w:lineRule="exact"/>
              <w:ind w:right="87"/>
              <w:jc w:val="right"/>
            </w:pPr>
            <w:r>
              <w:rPr>
                <w:spacing w:val="-5"/>
              </w:rPr>
              <w:t>98</w:t>
            </w:r>
          </w:p>
        </w:tc>
      </w:tr>
      <w:tr w:rsidR="00141B97" w14:paraId="4507F560" w14:textId="77777777">
        <w:trPr>
          <w:trHeight w:val="269"/>
          <w:tblCellSpacing w:w="9" w:type="dxa"/>
        </w:trPr>
        <w:tc>
          <w:tcPr>
            <w:tcW w:w="7636" w:type="dxa"/>
            <w:tcBorders>
              <w:left w:val="nil"/>
            </w:tcBorders>
            <w:shd w:val="clear" w:color="auto" w:fill="CCE2ED"/>
          </w:tcPr>
          <w:p w14:paraId="5ACCAD14" w14:textId="77777777" w:rsidR="00141B97" w:rsidRDefault="00911D63">
            <w:pPr>
              <w:pStyle w:val="TableParagraph"/>
              <w:spacing w:before="1" w:line="248" w:lineRule="exact"/>
              <w:ind w:left="88"/>
            </w:pPr>
            <w:r>
              <w:t>Table</w:t>
            </w:r>
            <w:r>
              <w:rPr>
                <w:spacing w:val="-8"/>
              </w:rPr>
              <w:t xml:space="preserve"> </w:t>
            </w:r>
            <w:r>
              <w:t>C5:</w:t>
            </w:r>
            <w:r>
              <w:rPr>
                <w:spacing w:val="-8"/>
              </w:rPr>
              <w:t xml:space="preserve"> </w:t>
            </w:r>
            <w:r>
              <w:t>Approved</w:t>
            </w:r>
            <w:r>
              <w:rPr>
                <w:spacing w:val="-6"/>
              </w:rPr>
              <w:t xml:space="preserve"> </w:t>
            </w:r>
            <w:r>
              <w:t>Rural</w:t>
            </w:r>
            <w:r>
              <w:rPr>
                <w:spacing w:val="-8"/>
              </w:rPr>
              <w:t xml:space="preserve"> </w:t>
            </w:r>
            <w:r>
              <w:t>Budget</w:t>
            </w:r>
            <w:r>
              <w:rPr>
                <w:spacing w:val="-7"/>
              </w:rPr>
              <w:t xml:space="preserve"> </w:t>
            </w:r>
            <w:r>
              <w:t>and</w:t>
            </w:r>
            <w:r>
              <w:rPr>
                <w:spacing w:val="-8"/>
              </w:rPr>
              <w:t xml:space="preserve"> </w:t>
            </w:r>
            <w:r>
              <w:t>Actual</w:t>
            </w:r>
            <w:r>
              <w:rPr>
                <w:spacing w:val="-7"/>
              </w:rPr>
              <w:t xml:space="preserve"> </w:t>
            </w:r>
            <w:r>
              <w:t>Operating</w:t>
            </w:r>
            <w:r>
              <w:rPr>
                <w:spacing w:val="-8"/>
              </w:rPr>
              <w:t xml:space="preserve"> </w:t>
            </w:r>
            <w:r>
              <w:t>Expenditure</w:t>
            </w:r>
            <w:r>
              <w:rPr>
                <w:spacing w:val="-8"/>
              </w:rPr>
              <w:t xml:space="preserve"> </w:t>
            </w:r>
            <w:r>
              <w:t>($m</w:t>
            </w:r>
            <w:r>
              <w:rPr>
                <w:spacing w:val="-9"/>
              </w:rPr>
              <w:t xml:space="preserve"> </w:t>
            </w:r>
            <w:r>
              <w:rPr>
                <w:spacing w:val="-2"/>
              </w:rPr>
              <w:t>1/1/23)</w:t>
            </w:r>
          </w:p>
        </w:tc>
        <w:tc>
          <w:tcPr>
            <w:tcW w:w="1550" w:type="dxa"/>
            <w:tcBorders>
              <w:right w:val="nil"/>
            </w:tcBorders>
            <w:shd w:val="clear" w:color="auto" w:fill="CCE2ED"/>
          </w:tcPr>
          <w:p w14:paraId="7918BC97" w14:textId="77777777" w:rsidR="00141B97" w:rsidRDefault="00911D63">
            <w:pPr>
              <w:pStyle w:val="TableParagraph"/>
              <w:spacing w:before="1" w:line="248" w:lineRule="exact"/>
              <w:ind w:right="87"/>
              <w:jc w:val="right"/>
            </w:pPr>
            <w:r>
              <w:rPr>
                <w:spacing w:val="-5"/>
              </w:rPr>
              <w:t>98</w:t>
            </w:r>
          </w:p>
        </w:tc>
      </w:tr>
      <w:tr w:rsidR="00141B97" w14:paraId="42892F2F" w14:textId="77777777">
        <w:trPr>
          <w:trHeight w:val="267"/>
          <w:tblCellSpacing w:w="9" w:type="dxa"/>
        </w:trPr>
        <w:tc>
          <w:tcPr>
            <w:tcW w:w="7636" w:type="dxa"/>
            <w:tcBorders>
              <w:left w:val="nil"/>
            </w:tcBorders>
            <w:shd w:val="clear" w:color="auto" w:fill="CCE2ED"/>
          </w:tcPr>
          <w:p w14:paraId="5D5D3BEA" w14:textId="77777777" w:rsidR="00141B97" w:rsidRDefault="00911D63">
            <w:pPr>
              <w:pStyle w:val="TableParagraph"/>
              <w:spacing w:line="248" w:lineRule="exact"/>
              <w:ind w:left="88"/>
            </w:pPr>
            <w:r>
              <w:t>Table</w:t>
            </w:r>
            <w:r>
              <w:rPr>
                <w:spacing w:val="-7"/>
              </w:rPr>
              <w:t xml:space="preserve"> </w:t>
            </w:r>
            <w:r>
              <w:t>C6:</w:t>
            </w:r>
            <w:r>
              <w:rPr>
                <w:spacing w:val="-7"/>
              </w:rPr>
              <w:t xml:space="preserve"> </w:t>
            </w:r>
            <w:r>
              <w:t>Rural</w:t>
            </w:r>
            <w:r>
              <w:rPr>
                <w:spacing w:val="-7"/>
              </w:rPr>
              <w:t xml:space="preserve"> </w:t>
            </w:r>
            <w:r>
              <w:t>Opex</w:t>
            </w:r>
            <w:r>
              <w:rPr>
                <w:spacing w:val="-6"/>
              </w:rPr>
              <w:t xml:space="preserve"> </w:t>
            </w:r>
            <w:r>
              <w:t>Expenditure</w:t>
            </w:r>
            <w:r>
              <w:rPr>
                <w:spacing w:val="-7"/>
              </w:rPr>
              <w:t xml:space="preserve"> </w:t>
            </w:r>
            <w:r>
              <w:t>Variances</w:t>
            </w:r>
            <w:r>
              <w:rPr>
                <w:spacing w:val="-7"/>
              </w:rPr>
              <w:t xml:space="preserve"> </w:t>
            </w:r>
            <w:r>
              <w:t>by</w:t>
            </w:r>
            <w:r>
              <w:rPr>
                <w:spacing w:val="-6"/>
              </w:rPr>
              <w:t xml:space="preserve"> </w:t>
            </w:r>
            <w:r>
              <w:t>Expense</w:t>
            </w:r>
            <w:r>
              <w:rPr>
                <w:spacing w:val="-9"/>
              </w:rPr>
              <w:t xml:space="preserve"> </w:t>
            </w:r>
            <w:r>
              <w:t>Category</w:t>
            </w:r>
            <w:r>
              <w:rPr>
                <w:spacing w:val="-6"/>
              </w:rPr>
              <w:t xml:space="preserve"> </w:t>
            </w:r>
            <w:r>
              <w:t>($m</w:t>
            </w:r>
            <w:r>
              <w:rPr>
                <w:spacing w:val="-7"/>
              </w:rPr>
              <w:t xml:space="preserve"> </w:t>
            </w:r>
            <w:r>
              <w:rPr>
                <w:spacing w:val="-2"/>
              </w:rPr>
              <w:t>1/1/23)</w:t>
            </w:r>
          </w:p>
        </w:tc>
        <w:tc>
          <w:tcPr>
            <w:tcW w:w="1550" w:type="dxa"/>
            <w:tcBorders>
              <w:right w:val="nil"/>
            </w:tcBorders>
            <w:shd w:val="clear" w:color="auto" w:fill="CCE2ED"/>
          </w:tcPr>
          <w:p w14:paraId="5CD06A41" w14:textId="77777777" w:rsidR="00141B97" w:rsidRDefault="00911D63">
            <w:pPr>
              <w:pStyle w:val="TableParagraph"/>
              <w:spacing w:line="248" w:lineRule="exact"/>
              <w:ind w:right="87"/>
              <w:jc w:val="right"/>
            </w:pPr>
            <w:r>
              <w:rPr>
                <w:spacing w:val="-5"/>
              </w:rPr>
              <w:t>98</w:t>
            </w:r>
          </w:p>
        </w:tc>
      </w:tr>
      <w:tr w:rsidR="00141B97" w14:paraId="65CC35AB" w14:textId="77777777">
        <w:trPr>
          <w:trHeight w:val="269"/>
          <w:tblCellSpacing w:w="9" w:type="dxa"/>
        </w:trPr>
        <w:tc>
          <w:tcPr>
            <w:tcW w:w="7636" w:type="dxa"/>
            <w:tcBorders>
              <w:left w:val="nil"/>
            </w:tcBorders>
            <w:shd w:val="clear" w:color="auto" w:fill="CCE2ED"/>
          </w:tcPr>
          <w:p w14:paraId="23E3E34F" w14:textId="77777777" w:rsidR="00141B97" w:rsidRDefault="00911D63">
            <w:pPr>
              <w:pStyle w:val="TableParagraph"/>
              <w:spacing w:before="1" w:line="248" w:lineRule="exact"/>
              <w:ind w:left="88"/>
            </w:pPr>
            <w:r>
              <w:t>Table</w:t>
            </w:r>
            <w:r>
              <w:rPr>
                <w:spacing w:val="-7"/>
              </w:rPr>
              <w:t xml:space="preserve"> </w:t>
            </w:r>
            <w:r>
              <w:t>C7:</w:t>
            </w:r>
            <w:r>
              <w:rPr>
                <w:spacing w:val="-6"/>
              </w:rPr>
              <w:t xml:space="preserve"> </w:t>
            </w:r>
            <w:r>
              <w:t>Actual</w:t>
            </w:r>
            <w:r>
              <w:rPr>
                <w:spacing w:val="-6"/>
              </w:rPr>
              <w:t xml:space="preserve"> </w:t>
            </w:r>
            <w:r>
              <w:t>to</w:t>
            </w:r>
            <w:r>
              <w:rPr>
                <w:spacing w:val="-7"/>
              </w:rPr>
              <w:t xml:space="preserve"> </w:t>
            </w:r>
            <w:r>
              <w:t>Budget</w:t>
            </w:r>
            <w:r>
              <w:rPr>
                <w:spacing w:val="-6"/>
              </w:rPr>
              <w:t xml:space="preserve"> </w:t>
            </w:r>
            <w:r>
              <w:t>Rural</w:t>
            </w:r>
            <w:r>
              <w:rPr>
                <w:spacing w:val="-7"/>
              </w:rPr>
              <w:t xml:space="preserve"> </w:t>
            </w:r>
            <w:r>
              <w:rPr>
                <w:spacing w:val="-2"/>
              </w:rPr>
              <w:t>Capex</w:t>
            </w:r>
          </w:p>
        </w:tc>
        <w:tc>
          <w:tcPr>
            <w:tcW w:w="1550" w:type="dxa"/>
            <w:tcBorders>
              <w:right w:val="nil"/>
            </w:tcBorders>
            <w:shd w:val="clear" w:color="auto" w:fill="CCE2ED"/>
          </w:tcPr>
          <w:p w14:paraId="7894213E" w14:textId="77777777" w:rsidR="00141B97" w:rsidRDefault="00911D63">
            <w:pPr>
              <w:pStyle w:val="TableParagraph"/>
              <w:spacing w:before="1" w:line="248" w:lineRule="exact"/>
              <w:ind w:right="87"/>
              <w:jc w:val="right"/>
            </w:pPr>
            <w:r>
              <w:rPr>
                <w:spacing w:val="-5"/>
              </w:rPr>
              <w:t>99</w:t>
            </w:r>
          </w:p>
        </w:tc>
      </w:tr>
      <w:tr w:rsidR="00141B97" w14:paraId="03374527" w14:textId="77777777">
        <w:trPr>
          <w:trHeight w:val="268"/>
          <w:tblCellSpacing w:w="9" w:type="dxa"/>
        </w:trPr>
        <w:tc>
          <w:tcPr>
            <w:tcW w:w="7636" w:type="dxa"/>
            <w:tcBorders>
              <w:left w:val="nil"/>
            </w:tcBorders>
            <w:shd w:val="clear" w:color="auto" w:fill="CCE2ED"/>
          </w:tcPr>
          <w:p w14:paraId="6633BB8F" w14:textId="77777777" w:rsidR="00141B97" w:rsidRDefault="00911D63">
            <w:pPr>
              <w:pStyle w:val="TableParagraph"/>
              <w:spacing w:line="248" w:lineRule="exact"/>
              <w:ind w:left="88"/>
            </w:pPr>
            <w:r>
              <w:t>Table</w:t>
            </w:r>
            <w:r>
              <w:rPr>
                <w:spacing w:val="-6"/>
              </w:rPr>
              <w:t xml:space="preserve"> </w:t>
            </w:r>
            <w:r>
              <w:t>C8:</w:t>
            </w:r>
            <w:r>
              <w:rPr>
                <w:spacing w:val="-6"/>
              </w:rPr>
              <w:t xml:space="preserve"> </w:t>
            </w:r>
            <w:r>
              <w:t>Major</w:t>
            </w:r>
            <w:r>
              <w:rPr>
                <w:spacing w:val="-5"/>
              </w:rPr>
              <w:t xml:space="preserve"> </w:t>
            </w:r>
            <w:r>
              <w:t>Rural</w:t>
            </w:r>
            <w:r>
              <w:rPr>
                <w:spacing w:val="-5"/>
              </w:rPr>
              <w:t xml:space="preserve"> </w:t>
            </w:r>
            <w:r>
              <w:t>Capex</w:t>
            </w:r>
            <w:r>
              <w:rPr>
                <w:spacing w:val="-5"/>
              </w:rPr>
              <w:t xml:space="preserve"> </w:t>
            </w:r>
            <w:r>
              <w:t>Projects</w:t>
            </w:r>
            <w:r>
              <w:rPr>
                <w:spacing w:val="-5"/>
              </w:rPr>
              <w:t xml:space="preserve"> </w:t>
            </w:r>
            <w:r>
              <w:t>–</w:t>
            </w:r>
            <w:r>
              <w:rPr>
                <w:spacing w:val="-6"/>
              </w:rPr>
              <w:t xml:space="preserve"> </w:t>
            </w:r>
            <w:r>
              <w:t>Planned</w:t>
            </w:r>
            <w:r>
              <w:rPr>
                <w:spacing w:val="-6"/>
              </w:rPr>
              <w:t xml:space="preserve"> </w:t>
            </w:r>
            <w:r>
              <w:t>to</w:t>
            </w:r>
            <w:r>
              <w:rPr>
                <w:spacing w:val="-5"/>
              </w:rPr>
              <w:t xml:space="preserve"> </w:t>
            </w:r>
            <w:r>
              <w:t>Actual</w:t>
            </w:r>
            <w:r>
              <w:rPr>
                <w:spacing w:val="-6"/>
              </w:rPr>
              <w:t xml:space="preserve"> </w:t>
            </w:r>
            <w:r>
              <w:t>($m</w:t>
            </w:r>
            <w:r>
              <w:rPr>
                <w:spacing w:val="-5"/>
              </w:rPr>
              <w:t xml:space="preserve"> </w:t>
            </w:r>
            <w:r>
              <w:rPr>
                <w:spacing w:val="-2"/>
              </w:rPr>
              <w:t>1/1/23)</w:t>
            </w:r>
          </w:p>
        </w:tc>
        <w:tc>
          <w:tcPr>
            <w:tcW w:w="1550" w:type="dxa"/>
            <w:tcBorders>
              <w:right w:val="nil"/>
            </w:tcBorders>
            <w:shd w:val="clear" w:color="auto" w:fill="CCE2ED"/>
          </w:tcPr>
          <w:p w14:paraId="69AF4001" w14:textId="77777777" w:rsidR="00141B97" w:rsidRDefault="00911D63">
            <w:pPr>
              <w:pStyle w:val="TableParagraph"/>
              <w:spacing w:line="248" w:lineRule="exact"/>
              <w:ind w:right="87"/>
              <w:jc w:val="right"/>
            </w:pPr>
            <w:r>
              <w:rPr>
                <w:spacing w:val="-5"/>
              </w:rPr>
              <w:t>100</w:t>
            </w:r>
          </w:p>
        </w:tc>
      </w:tr>
      <w:tr w:rsidR="00141B97" w14:paraId="44F2E100" w14:textId="77777777">
        <w:trPr>
          <w:trHeight w:val="269"/>
          <w:tblCellSpacing w:w="9" w:type="dxa"/>
        </w:trPr>
        <w:tc>
          <w:tcPr>
            <w:tcW w:w="7636" w:type="dxa"/>
            <w:tcBorders>
              <w:left w:val="nil"/>
            </w:tcBorders>
            <w:shd w:val="clear" w:color="auto" w:fill="CCE2ED"/>
          </w:tcPr>
          <w:p w14:paraId="7A649406" w14:textId="77777777" w:rsidR="00141B97" w:rsidRDefault="00911D63">
            <w:pPr>
              <w:pStyle w:val="TableParagraph"/>
              <w:spacing w:before="1" w:line="248" w:lineRule="exact"/>
              <w:ind w:left="88"/>
            </w:pPr>
            <w:r>
              <w:t>Table</w:t>
            </w:r>
            <w:r>
              <w:rPr>
                <w:spacing w:val="-8"/>
              </w:rPr>
              <w:t xml:space="preserve"> </w:t>
            </w:r>
            <w:r>
              <w:t>C9:</w:t>
            </w:r>
            <w:r>
              <w:rPr>
                <w:spacing w:val="-7"/>
              </w:rPr>
              <w:t xml:space="preserve"> </w:t>
            </w:r>
            <w:r>
              <w:t>Uncertain</w:t>
            </w:r>
            <w:r>
              <w:rPr>
                <w:spacing w:val="-7"/>
              </w:rPr>
              <w:t xml:space="preserve"> </w:t>
            </w:r>
            <w:r>
              <w:t>Project</w:t>
            </w:r>
            <w:r>
              <w:rPr>
                <w:spacing w:val="-7"/>
              </w:rPr>
              <w:t xml:space="preserve"> </w:t>
            </w:r>
            <w:r>
              <w:t>–</w:t>
            </w:r>
            <w:r>
              <w:rPr>
                <w:spacing w:val="-8"/>
              </w:rPr>
              <w:t xml:space="preserve"> </w:t>
            </w:r>
            <w:r>
              <w:t>SMP2</w:t>
            </w:r>
            <w:r>
              <w:rPr>
                <w:spacing w:val="-8"/>
              </w:rPr>
              <w:t xml:space="preserve"> </w:t>
            </w:r>
            <w:r>
              <w:t>Expenditure</w:t>
            </w:r>
            <w:r>
              <w:rPr>
                <w:spacing w:val="-8"/>
              </w:rPr>
              <w:t xml:space="preserve"> </w:t>
            </w:r>
            <w:r>
              <w:t>and</w:t>
            </w:r>
            <w:r>
              <w:rPr>
                <w:spacing w:val="-7"/>
              </w:rPr>
              <w:t xml:space="preserve"> </w:t>
            </w:r>
            <w:r>
              <w:t>Contributions</w:t>
            </w:r>
            <w:r>
              <w:rPr>
                <w:spacing w:val="-8"/>
              </w:rPr>
              <w:t xml:space="preserve"> </w:t>
            </w:r>
            <w:r>
              <w:t>($m</w:t>
            </w:r>
            <w:r>
              <w:rPr>
                <w:spacing w:val="-8"/>
              </w:rPr>
              <w:t xml:space="preserve"> </w:t>
            </w:r>
            <w:r>
              <w:rPr>
                <w:spacing w:val="-2"/>
              </w:rPr>
              <w:t>1/1/23)</w:t>
            </w:r>
          </w:p>
        </w:tc>
        <w:tc>
          <w:tcPr>
            <w:tcW w:w="1550" w:type="dxa"/>
            <w:tcBorders>
              <w:right w:val="nil"/>
            </w:tcBorders>
            <w:shd w:val="clear" w:color="auto" w:fill="CCE2ED"/>
          </w:tcPr>
          <w:p w14:paraId="7F8FA67C" w14:textId="77777777" w:rsidR="00141B97" w:rsidRDefault="00911D63">
            <w:pPr>
              <w:pStyle w:val="TableParagraph"/>
              <w:spacing w:before="1" w:line="248" w:lineRule="exact"/>
              <w:ind w:right="87"/>
              <w:jc w:val="right"/>
            </w:pPr>
            <w:r>
              <w:rPr>
                <w:spacing w:val="-5"/>
              </w:rPr>
              <w:t>100</w:t>
            </w:r>
          </w:p>
        </w:tc>
      </w:tr>
      <w:tr w:rsidR="00141B97" w14:paraId="498AAFA8" w14:textId="77777777">
        <w:trPr>
          <w:trHeight w:val="268"/>
          <w:tblCellSpacing w:w="9" w:type="dxa"/>
        </w:trPr>
        <w:tc>
          <w:tcPr>
            <w:tcW w:w="7636" w:type="dxa"/>
            <w:tcBorders>
              <w:left w:val="nil"/>
            </w:tcBorders>
            <w:shd w:val="clear" w:color="auto" w:fill="CCE2ED"/>
          </w:tcPr>
          <w:p w14:paraId="34AEA3E1" w14:textId="77777777" w:rsidR="00141B97" w:rsidRDefault="00911D63">
            <w:pPr>
              <w:pStyle w:val="TableParagraph"/>
              <w:spacing w:line="248" w:lineRule="exact"/>
              <w:ind w:left="88"/>
            </w:pPr>
            <w:r>
              <w:t>Table</w:t>
            </w:r>
            <w:r>
              <w:rPr>
                <w:spacing w:val="-8"/>
              </w:rPr>
              <w:t xml:space="preserve"> </w:t>
            </w:r>
            <w:r>
              <w:t>C10:</w:t>
            </w:r>
            <w:r>
              <w:rPr>
                <w:spacing w:val="-8"/>
              </w:rPr>
              <w:t xml:space="preserve"> </w:t>
            </w:r>
            <w:r>
              <w:t>Outcome</w:t>
            </w:r>
            <w:r>
              <w:rPr>
                <w:spacing w:val="-8"/>
              </w:rPr>
              <w:t xml:space="preserve"> </w:t>
            </w:r>
            <w:r>
              <w:t>1:</w:t>
            </w:r>
            <w:r>
              <w:rPr>
                <w:spacing w:val="-7"/>
              </w:rPr>
              <w:t xml:space="preserve"> </w:t>
            </w:r>
            <w:r>
              <w:t>Services</w:t>
            </w:r>
            <w:r>
              <w:rPr>
                <w:spacing w:val="-8"/>
              </w:rPr>
              <w:t xml:space="preserve"> </w:t>
            </w:r>
            <w:r>
              <w:t>Provide</w:t>
            </w:r>
            <w:r>
              <w:rPr>
                <w:spacing w:val="-9"/>
              </w:rPr>
              <w:t xml:space="preserve"> </w:t>
            </w:r>
            <w:r>
              <w:t>Customers</w:t>
            </w:r>
            <w:r>
              <w:rPr>
                <w:spacing w:val="-6"/>
              </w:rPr>
              <w:t xml:space="preserve"> </w:t>
            </w:r>
            <w:r>
              <w:t>Value</w:t>
            </w:r>
            <w:r>
              <w:rPr>
                <w:spacing w:val="-7"/>
              </w:rPr>
              <w:t xml:space="preserve"> </w:t>
            </w:r>
            <w:r>
              <w:t>for</w:t>
            </w:r>
            <w:r>
              <w:rPr>
                <w:spacing w:val="-7"/>
              </w:rPr>
              <w:t xml:space="preserve"> </w:t>
            </w:r>
            <w:r>
              <w:rPr>
                <w:spacing w:val="-2"/>
              </w:rPr>
              <w:t>Money</w:t>
            </w:r>
          </w:p>
        </w:tc>
        <w:tc>
          <w:tcPr>
            <w:tcW w:w="1550" w:type="dxa"/>
            <w:tcBorders>
              <w:right w:val="nil"/>
            </w:tcBorders>
            <w:shd w:val="clear" w:color="auto" w:fill="CCE2ED"/>
          </w:tcPr>
          <w:p w14:paraId="2AD1B147" w14:textId="77777777" w:rsidR="00141B97" w:rsidRDefault="00911D63">
            <w:pPr>
              <w:pStyle w:val="TableParagraph"/>
              <w:spacing w:line="248" w:lineRule="exact"/>
              <w:ind w:right="87"/>
              <w:jc w:val="right"/>
            </w:pPr>
            <w:r>
              <w:rPr>
                <w:spacing w:val="-5"/>
              </w:rPr>
              <w:t>102</w:t>
            </w:r>
          </w:p>
        </w:tc>
      </w:tr>
      <w:tr w:rsidR="00141B97" w14:paraId="2C66F7C5" w14:textId="77777777">
        <w:trPr>
          <w:trHeight w:val="269"/>
          <w:tblCellSpacing w:w="9" w:type="dxa"/>
        </w:trPr>
        <w:tc>
          <w:tcPr>
            <w:tcW w:w="7636" w:type="dxa"/>
            <w:tcBorders>
              <w:left w:val="nil"/>
            </w:tcBorders>
            <w:shd w:val="clear" w:color="auto" w:fill="CCE2ED"/>
          </w:tcPr>
          <w:p w14:paraId="6881A914" w14:textId="77777777" w:rsidR="00141B97" w:rsidRDefault="00911D63">
            <w:pPr>
              <w:pStyle w:val="TableParagraph"/>
              <w:spacing w:before="1" w:line="248" w:lineRule="exact"/>
              <w:ind w:left="88"/>
            </w:pPr>
            <w:r>
              <w:t>Table</w:t>
            </w:r>
            <w:r>
              <w:rPr>
                <w:spacing w:val="-7"/>
              </w:rPr>
              <w:t xml:space="preserve"> </w:t>
            </w:r>
            <w:r>
              <w:t>C11:</w:t>
            </w:r>
            <w:r>
              <w:rPr>
                <w:spacing w:val="-8"/>
              </w:rPr>
              <w:t xml:space="preserve"> </w:t>
            </w:r>
            <w:r>
              <w:t>Outcome</w:t>
            </w:r>
            <w:r>
              <w:rPr>
                <w:spacing w:val="-7"/>
              </w:rPr>
              <w:t xml:space="preserve"> </w:t>
            </w:r>
            <w:r>
              <w:t>2:</w:t>
            </w:r>
            <w:r>
              <w:rPr>
                <w:spacing w:val="-7"/>
              </w:rPr>
              <w:t xml:space="preserve"> </w:t>
            </w:r>
            <w:r>
              <w:t>Provide</w:t>
            </w:r>
            <w:r>
              <w:rPr>
                <w:spacing w:val="-8"/>
              </w:rPr>
              <w:t xml:space="preserve"> </w:t>
            </w:r>
            <w:r>
              <w:t>Customers</w:t>
            </w:r>
            <w:r>
              <w:rPr>
                <w:spacing w:val="-6"/>
              </w:rPr>
              <w:t xml:space="preserve"> </w:t>
            </w:r>
            <w:r>
              <w:t>with</w:t>
            </w:r>
            <w:r>
              <w:rPr>
                <w:spacing w:val="-7"/>
              </w:rPr>
              <w:t xml:space="preserve"> </w:t>
            </w:r>
            <w:r>
              <w:t>Water</w:t>
            </w:r>
            <w:r>
              <w:rPr>
                <w:spacing w:val="-7"/>
              </w:rPr>
              <w:t xml:space="preserve"> </w:t>
            </w:r>
            <w:r>
              <w:t>When</w:t>
            </w:r>
            <w:r>
              <w:rPr>
                <w:spacing w:val="-7"/>
              </w:rPr>
              <w:t xml:space="preserve"> </w:t>
            </w:r>
            <w:r>
              <w:t>They</w:t>
            </w:r>
            <w:r>
              <w:rPr>
                <w:spacing w:val="-7"/>
              </w:rPr>
              <w:t xml:space="preserve"> </w:t>
            </w:r>
            <w:r>
              <w:t>Need</w:t>
            </w:r>
            <w:r>
              <w:rPr>
                <w:spacing w:val="-7"/>
              </w:rPr>
              <w:t xml:space="preserve"> </w:t>
            </w:r>
            <w:r>
              <w:rPr>
                <w:spacing w:val="-5"/>
              </w:rPr>
              <w:t>It</w:t>
            </w:r>
          </w:p>
        </w:tc>
        <w:tc>
          <w:tcPr>
            <w:tcW w:w="1550" w:type="dxa"/>
            <w:tcBorders>
              <w:right w:val="nil"/>
            </w:tcBorders>
            <w:shd w:val="clear" w:color="auto" w:fill="CCE2ED"/>
          </w:tcPr>
          <w:p w14:paraId="5140576E" w14:textId="77777777" w:rsidR="00141B97" w:rsidRDefault="00911D63">
            <w:pPr>
              <w:pStyle w:val="TableParagraph"/>
              <w:spacing w:before="1" w:line="248" w:lineRule="exact"/>
              <w:ind w:right="87"/>
              <w:jc w:val="right"/>
            </w:pPr>
            <w:r>
              <w:rPr>
                <w:spacing w:val="-5"/>
              </w:rPr>
              <w:t>103</w:t>
            </w:r>
          </w:p>
        </w:tc>
      </w:tr>
      <w:tr w:rsidR="00141B97" w14:paraId="68003A76" w14:textId="77777777">
        <w:trPr>
          <w:trHeight w:val="536"/>
          <w:tblCellSpacing w:w="9" w:type="dxa"/>
        </w:trPr>
        <w:tc>
          <w:tcPr>
            <w:tcW w:w="7636" w:type="dxa"/>
            <w:tcBorders>
              <w:left w:val="nil"/>
            </w:tcBorders>
            <w:shd w:val="clear" w:color="auto" w:fill="CCE2ED"/>
          </w:tcPr>
          <w:p w14:paraId="053C0E1F" w14:textId="77777777" w:rsidR="00141B97" w:rsidRDefault="00911D63">
            <w:pPr>
              <w:pStyle w:val="TableParagraph"/>
              <w:spacing w:line="270" w:lineRule="atLeast"/>
              <w:ind w:left="88"/>
            </w:pPr>
            <w:r>
              <w:t>Table</w:t>
            </w:r>
            <w:r>
              <w:rPr>
                <w:spacing w:val="-1"/>
              </w:rPr>
              <w:t xml:space="preserve"> </w:t>
            </w:r>
            <w:r>
              <w:t>C12:</w:t>
            </w:r>
            <w:r>
              <w:rPr>
                <w:spacing w:val="-2"/>
              </w:rPr>
              <w:t xml:space="preserve"> </w:t>
            </w:r>
            <w:r>
              <w:t>Outcome</w:t>
            </w:r>
            <w:r>
              <w:rPr>
                <w:spacing w:val="-2"/>
              </w:rPr>
              <w:t xml:space="preserve"> </w:t>
            </w:r>
            <w:r>
              <w:t>3:</w:t>
            </w:r>
            <w:r>
              <w:rPr>
                <w:spacing w:val="-1"/>
              </w:rPr>
              <w:t xml:space="preserve"> </w:t>
            </w:r>
            <w:r>
              <w:t>Customer</w:t>
            </w:r>
            <w:r>
              <w:rPr>
                <w:spacing w:val="-2"/>
              </w:rPr>
              <w:t xml:space="preserve"> </w:t>
            </w:r>
            <w:r>
              <w:t>Service</w:t>
            </w:r>
            <w:r>
              <w:rPr>
                <w:spacing w:val="-3"/>
              </w:rPr>
              <w:t xml:space="preserve"> </w:t>
            </w:r>
            <w:r>
              <w:t>Avenues</w:t>
            </w:r>
            <w:r>
              <w:rPr>
                <w:spacing w:val="-2"/>
              </w:rPr>
              <w:t xml:space="preserve"> </w:t>
            </w:r>
            <w:r>
              <w:t>That</w:t>
            </w:r>
            <w:r>
              <w:rPr>
                <w:spacing w:val="-1"/>
              </w:rPr>
              <w:t xml:space="preserve"> </w:t>
            </w:r>
            <w:r>
              <w:t>Are</w:t>
            </w:r>
            <w:r>
              <w:rPr>
                <w:spacing w:val="-1"/>
              </w:rPr>
              <w:t xml:space="preserve"> </w:t>
            </w:r>
            <w:r>
              <w:t>Responsive</w:t>
            </w:r>
            <w:r>
              <w:rPr>
                <w:spacing w:val="-1"/>
              </w:rPr>
              <w:t xml:space="preserve"> </w:t>
            </w:r>
            <w:r>
              <w:t>to</w:t>
            </w:r>
            <w:r>
              <w:rPr>
                <w:spacing w:val="-1"/>
              </w:rPr>
              <w:t xml:space="preserve"> </w:t>
            </w:r>
            <w:r>
              <w:t>Resolve Requests/Enquiries Within the Agreed KPIs</w:t>
            </w:r>
          </w:p>
        </w:tc>
        <w:tc>
          <w:tcPr>
            <w:tcW w:w="1550" w:type="dxa"/>
            <w:tcBorders>
              <w:right w:val="nil"/>
            </w:tcBorders>
            <w:shd w:val="clear" w:color="auto" w:fill="CCE2ED"/>
          </w:tcPr>
          <w:p w14:paraId="6BF66EA9" w14:textId="77777777" w:rsidR="00141B97" w:rsidRDefault="00911D63">
            <w:pPr>
              <w:pStyle w:val="TableParagraph"/>
              <w:ind w:right="87"/>
              <w:jc w:val="right"/>
            </w:pPr>
            <w:r>
              <w:rPr>
                <w:spacing w:val="-5"/>
              </w:rPr>
              <w:t>104</w:t>
            </w:r>
          </w:p>
        </w:tc>
      </w:tr>
      <w:tr w:rsidR="00141B97" w14:paraId="462F5346" w14:textId="77777777">
        <w:trPr>
          <w:trHeight w:val="533"/>
          <w:tblCellSpacing w:w="9" w:type="dxa"/>
        </w:trPr>
        <w:tc>
          <w:tcPr>
            <w:tcW w:w="7636" w:type="dxa"/>
            <w:tcBorders>
              <w:left w:val="nil"/>
            </w:tcBorders>
            <w:shd w:val="clear" w:color="auto" w:fill="CCE2ED"/>
          </w:tcPr>
          <w:p w14:paraId="6BCF9E73" w14:textId="77777777" w:rsidR="00141B97" w:rsidRDefault="00911D63">
            <w:pPr>
              <w:pStyle w:val="TableParagraph"/>
              <w:spacing w:line="265" w:lineRule="exact"/>
              <w:ind w:left="88"/>
            </w:pPr>
            <w:r>
              <w:t>Table</w:t>
            </w:r>
            <w:r>
              <w:rPr>
                <w:spacing w:val="-8"/>
              </w:rPr>
              <w:t xml:space="preserve"> </w:t>
            </w:r>
            <w:r>
              <w:t>C13:</w:t>
            </w:r>
            <w:r>
              <w:rPr>
                <w:spacing w:val="-8"/>
              </w:rPr>
              <w:t xml:space="preserve"> </w:t>
            </w:r>
            <w:r>
              <w:t>Outcome</w:t>
            </w:r>
            <w:r>
              <w:rPr>
                <w:spacing w:val="-8"/>
              </w:rPr>
              <w:t xml:space="preserve"> </w:t>
            </w:r>
            <w:r>
              <w:t>4:</w:t>
            </w:r>
            <w:r>
              <w:rPr>
                <w:spacing w:val="-7"/>
              </w:rPr>
              <w:t xml:space="preserve"> </w:t>
            </w:r>
            <w:r>
              <w:t>Service</w:t>
            </w:r>
            <w:r>
              <w:rPr>
                <w:spacing w:val="-9"/>
              </w:rPr>
              <w:t xml:space="preserve"> </w:t>
            </w:r>
            <w:r>
              <w:t>Our</w:t>
            </w:r>
            <w:r>
              <w:rPr>
                <w:spacing w:val="-8"/>
              </w:rPr>
              <w:t xml:space="preserve"> </w:t>
            </w:r>
            <w:r>
              <w:t>Communities</w:t>
            </w:r>
            <w:r>
              <w:rPr>
                <w:spacing w:val="-7"/>
              </w:rPr>
              <w:t xml:space="preserve"> </w:t>
            </w:r>
            <w:r>
              <w:t>in</w:t>
            </w:r>
            <w:r>
              <w:rPr>
                <w:spacing w:val="-6"/>
              </w:rPr>
              <w:t xml:space="preserve"> </w:t>
            </w:r>
            <w:r>
              <w:t>A</w:t>
            </w:r>
            <w:r>
              <w:rPr>
                <w:spacing w:val="-8"/>
              </w:rPr>
              <w:t xml:space="preserve"> </w:t>
            </w:r>
            <w:r>
              <w:t>Socially</w:t>
            </w:r>
            <w:r>
              <w:rPr>
                <w:spacing w:val="-8"/>
              </w:rPr>
              <w:t xml:space="preserve"> </w:t>
            </w:r>
            <w:r>
              <w:t>Responsible</w:t>
            </w:r>
            <w:r>
              <w:rPr>
                <w:spacing w:val="-9"/>
              </w:rPr>
              <w:t xml:space="preserve"> </w:t>
            </w:r>
            <w:r>
              <w:rPr>
                <w:spacing w:val="-5"/>
              </w:rPr>
              <w:t>and</w:t>
            </w:r>
          </w:p>
          <w:p w14:paraId="16FE9CF6" w14:textId="77777777" w:rsidR="00141B97" w:rsidRDefault="00911D63">
            <w:pPr>
              <w:pStyle w:val="TableParagraph"/>
              <w:spacing w:line="248" w:lineRule="exact"/>
              <w:ind w:left="88"/>
            </w:pPr>
            <w:r>
              <w:rPr>
                <w:w w:val="95"/>
              </w:rPr>
              <w:t>Environmentally</w:t>
            </w:r>
            <w:r>
              <w:rPr>
                <w:spacing w:val="44"/>
              </w:rPr>
              <w:t xml:space="preserve"> </w:t>
            </w:r>
            <w:r>
              <w:rPr>
                <w:w w:val="95"/>
              </w:rPr>
              <w:t>Sustainable</w:t>
            </w:r>
            <w:r>
              <w:rPr>
                <w:spacing w:val="42"/>
              </w:rPr>
              <w:t xml:space="preserve"> </w:t>
            </w:r>
            <w:r>
              <w:rPr>
                <w:spacing w:val="-2"/>
                <w:w w:val="95"/>
              </w:rPr>
              <w:t>Manner</w:t>
            </w:r>
          </w:p>
        </w:tc>
        <w:tc>
          <w:tcPr>
            <w:tcW w:w="1550" w:type="dxa"/>
            <w:tcBorders>
              <w:right w:val="nil"/>
            </w:tcBorders>
            <w:shd w:val="clear" w:color="auto" w:fill="CCE2ED"/>
          </w:tcPr>
          <w:p w14:paraId="40D85485" w14:textId="77777777" w:rsidR="00141B97" w:rsidRDefault="00911D63">
            <w:pPr>
              <w:pStyle w:val="TableParagraph"/>
              <w:spacing w:line="265" w:lineRule="exact"/>
              <w:ind w:right="87"/>
              <w:jc w:val="right"/>
            </w:pPr>
            <w:r>
              <w:rPr>
                <w:spacing w:val="-5"/>
              </w:rPr>
              <w:t>105</w:t>
            </w:r>
          </w:p>
        </w:tc>
      </w:tr>
      <w:tr w:rsidR="00141B97" w14:paraId="06E2BBA6" w14:textId="77777777">
        <w:trPr>
          <w:trHeight w:val="269"/>
          <w:tblCellSpacing w:w="9" w:type="dxa"/>
        </w:trPr>
        <w:tc>
          <w:tcPr>
            <w:tcW w:w="7636" w:type="dxa"/>
            <w:tcBorders>
              <w:left w:val="nil"/>
            </w:tcBorders>
            <w:shd w:val="clear" w:color="auto" w:fill="CCE2ED"/>
          </w:tcPr>
          <w:p w14:paraId="209A7FEB" w14:textId="77777777" w:rsidR="00141B97" w:rsidRDefault="00911D63">
            <w:pPr>
              <w:pStyle w:val="TableParagraph"/>
              <w:spacing w:before="1" w:line="248" w:lineRule="exact"/>
              <w:ind w:left="88"/>
            </w:pPr>
            <w:r>
              <w:t>Table</w:t>
            </w:r>
            <w:r>
              <w:rPr>
                <w:spacing w:val="-7"/>
              </w:rPr>
              <w:t xml:space="preserve"> </w:t>
            </w:r>
            <w:r>
              <w:t>C14:</w:t>
            </w:r>
            <w:r>
              <w:rPr>
                <w:spacing w:val="-7"/>
              </w:rPr>
              <w:t xml:space="preserve"> </w:t>
            </w:r>
            <w:r>
              <w:t>Rural</w:t>
            </w:r>
            <w:r>
              <w:rPr>
                <w:spacing w:val="-8"/>
              </w:rPr>
              <w:t xml:space="preserve"> </w:t>
            </w:r>
            <w:r>
              <w:t>Service</w:t>
            </w:r>
            <w:r>
              <w:rPr>
                <w:spacing w:val="-8"/>
              </w:rPr>
              <w:t xml:space="preserve"> </w:t>
            </w:r>
            <w:r>
              <w:rPr>
                <w:spacing w:val="-2"/>
              </w:rPr>
              <w:t>Outcomes</w:t>
            </w:r>
          </w:p>
        </w:tc>
        <w:tc>
          <w:tcPr>
            <w:tcW w:w="1550" w:type="dxa"/>
            <w:tcBorders>
              <w:right w:val="nil"/>
            </w:tcBorders>
            <w:shd w:val="clear" w:color="auto" w:fill="CCE2ED"/>
          </w:tcPr>
          <w:p w14:paraId="622A2BE4" w14:textId="77777777" w:rsidR="00141B97" w:rsidRDefault="00911D63">
            <w:pPr>
              <w:pStyle w:val="TableParagraph"/>
              <w:spacing w:before="1" w:line="248" w:lineRule="exact"/>
              <w:ind w:right="87"/>
              <w:jc w:val="right"/>
            </w:pPr>
            <w:r>
              <w:rPr>
                <w:spacing w:val="-5"/>
              </w:rPr>
              <w:t>106</w:t>
            </w:r>
          </w:p>
        </w:tc>
      </w:tr>
      <w:tr w:rsidR="00141B97" w14:paraId="11CD46D4" w14:textId="77777777">
        <w:trPr>
          <w:trHeight w:val="268"/>
          <w:tblCellSpacing w:w="9" w:type="dxa"/>
        </w:trPr>
        <w:tc>
          <w:tcPr>
            <w:tcW w:w="7636" w:type="dxa"/>
            <w:tcBorders>
              <w:left w:val="nil"/>
            </w:tcBorders>
            <w:shd w:val="clear" w:color="auto" w:fill="CCE2ED"/>
          </w:tcPr>
          <w:p w14:paraId="43457F69" w14:textId="77777777" w:rsidR="00141B97" w:rsidRDefault="00911D63">
            <w:pPr>
              <w:pStyle w:val="TableParagraph"/>
              <w:spacing w:line="248" w:lineRule="exact"/>
              <w:ind w:left="88"/>
            </w:pPr>
            <w:r>
              <w:t>Table</w:t>
            </w:r>
            <w:r>
              <w:rPr>
                <w:spacing w:val="-9"/>
              </w:rPr>
              <w:t xml:space="preserve"> </w:t>
            </w:r>
            <w:r>
              <w:t>C15:</w:t>
            </w:r>
            <w:r>
              <w:rPr>
                <w:spacing w:val="-9"/>
              </w:rPr>
              <w:t xml:space="preserve"> </w:t>
            </w:r>
            <w:r>
              <w:t>Customer</w:t>
            </w:r>
            <w:r>
              <w:rPr>
                <w:spacing w:val="-9"/>
              </w:rPr>
              <w:t xml:space="preserve"> </w:t>
            </w:r>
            <w:r>
              <w:t>Outcomes</w:t>
            </w:r>
            <w:r>
              <w:rPr>
                <w:spacing w:val="-8"/>
              </w:rPr>
              <w:t xml:space="preserve"> </w:t>
            </w:r>
            <w:r>
              <w:t>and</w:t>
            </w:r>
            <w:r>
              <w:rPr>
                <w:spacing w:val="-9"/>
              </w:rPr>
              <w:t xml:space="preserve"> </w:t>
            </w:r>
            <w:r>
              <w:t>Proposed</w:t>
            </w:r>
            <w:r>
              <w:rPr>
                <w:spacing w:val="-8"/>
              </w:rPr>
              <w:t xml:space="preserve"> </w:t>
            </w:r>
            <w:r>
              <w:t>Performance</w:t>
            </w:r>
            <w:r>
              <w:rPr>
                <w:spacing w:val="-9"/>
              </w:rPr>
              <w:t xml:space="preserve"> </w:t>
            </w:r>
            <w:r>
              <w:rPr>
                <w:spacing w:val="-2"/>
              </w:rPr>
              <w:t>Targets</w:t>
            </w:r>
          </w:p>
        </w:tc>
        <w:tc>
          <w:tcPr>
            <w:tcW w:w="1550" w:type="dxa"/>
            <w:tcBorders>
              <w:right w:val="nil"/>
            </w:tcBorders>
            <w:shd w:val="clear" w:color="auto" w:fill="CCE2ED"/>
          </w:tcPr>
          <w:p w14:paraId="5C35AA25" w14:textId="77777777" w:rsidR="00141B97" w:rsidRDefault="00911D63">
            <w:pPr>
              <w:pStyle w:val="TableParagraph"/>
              <w:spacing w:line="248" w:lineRule="exact"/>
              <w:ind w:right="87"/>
              <w:jc w:val="right"/>
            </w:pPr>
            <w:r>
              <w:rPr>
                <w:spacing w:val="-5"/>
              </w:rPr>
              <w:t>107</w:t>
            </w:r>
          </w:p>
        </w:tc>
      </w:tr>
      <w:tr w:rsidR="00141B97" w14:paraId="22B72560" w14:textId="77777777">
        <w:trPr>
          <w:trHeight w:val="269"/>
          <w:tblCellSpacing w:w="9" w:type="dxa"/>
        </w:trPr>
        <w:tc>
          <w:tcPr>
            <w:tcW w:w="7636" w:type="dxa"/>
            <w:tcBorders>
              <w:left w:val="nil"/>
            </w:tcBorders>
            <w:shd w:val="clear" w:color="auto" w:fill="CCE2ED"/>
          </w:tcPr>
          <w:p w14:paraId="0B22F063" w14:textId="77777777" w:rsidR="00141B97" w:rsidRDefault="00911D63">
            <w:pPr>
              <w:pStyle w:val="TableParagraph"/>
              <w:spacing w:before="1" w:line="248" w:lineRule="exact"/>
              <w:ind w:left="88"/>
            </w:pPr>
            <w:r>
              <w:t>Table</w:t>
            </w:r>
            <w:r>
              <w:rPr>
                <w:spacing w:val="-9"/>
              </w:rPr>
              <w:t xml:space="preserve"> </w:t>
            </w:r>
            <w:r>
              <w:t>C16:</w:t>
            </w:r>
            <w:r>
              <w:rPr>
                <w:spacing w:val="-9"/>
              </w:rPr>
              <w:t xml:space="preserve"> </w:t>
            </w:r>
            <w:r>
              <w:t>Revenue</w:t>
            </w:r>
            <w:r>
              <w:rPr>
                <w:spacing w:val="-9"/>
              </w:rPr>
              <w:t xml:space="preserve"> </w:t>
            </w:r>
            <w:r>
              <w:t>Requirement</w:t>
            </w:r>
            <w:r>
              <w:rPr>
                <w:spacing w:val="-10"/>
              </w:rPr>
              <w:t xml:space="preserve"> </w:t>
            </w:r>
            <w:r>
              <w:t>($m</w:t>
            </w:r>
            <w:r>
              <w:rPr>
                <w:spacing w:val="-10"/>
              </w:rPr>
              <w:t xml:space="preserve"> </w:t>
            </w:r>
            <w:r>
              <w:rPr>
                <w:spacing w:val="-2"/>
              </w:rPr>
              <w:t>1/1/23)</w:t>
            </w:r>
          </w:p>
        </w:tc>
        <w:tc>
          <w:tcPr>
            <w:tcW w:w="1550" w:type="dxa"/>
            <w:tcBorders>
              <w:right w:val="nil"/>
            </w:tcBorders>
            <w:shd w:val="clear" w:color="auto" w:fill="CCE2ED"/>
          </w:tcPr>
          <w:p w14:paraId="566CB060" w14:textId="77777777" w:rsidR="00141B97" w:rsidRDefault="00911D63">
            <w:pPr>
              <w:pStyle w:val="TableParagraph"/>
              <w:spacing w:before="1" w:line="248" w:lineRule="exact"/>
              <w:ind w:right="87"/>
              <w:jc w:val="right"/>
            </w:pPr>
            <w:r>
              <w:rPr>
                <w:spacing w:val="-5"/>
              </w:rPr>
              <w:t>109</w:t>
            </w:r>
          </w:p>
        </w:tc>
      </w:tr>
      <w:tr w:rsidR="00141B97" w14:paraId="4A4E5F4E" w14:textId="77777777">
        <w:trPr>
          <w:trHeight w:val="268"/>
          <w:tblCellSpacing w:w="9" w:type="dxa"/>
        </w:trPr>
        <w:tc>
          <w:tcPr>
            <w:tcW w:w="7636" w:type="dxa"/>
            <w:tcBorders>
              <w:left w:val="nil"/>
            </w:tcBorders>
            <w:shd w:val="clear" w:color="auto" w:fill="CCE2ED"/>
          </w:tcPr>
          <w:p w14:paraId="672186D3" w14:textId="77777777" w:rsidR="00141B97" w:rsidRDefault="00911D63">
            <w:pPr>
              <w:pStyle w:val="TableParagraph"/>
              <w:spacing w:line="248" w:lineRule="exact"/>
              <w:ind w:left="88"/>
            </w:pPr>
            <w:r>
              <w:t>Figure</w:t>
            </w:r>
            <w:r>
              <w:rPr>
                <w:spacing w:val="-10"/>
              </w:rPr>
              <w:t xml:space="preserve"> </w:t>
            </w:r>
            <w:r>
              <w:t>C1:</w:t>
            </w:r>
            <w:r>
              <w:rPr>
                <w:spacing w:val="-7"/>
              </w:rPr>
              <w:t xml:space="preserve"> </w:t>
            </w:r>
            <w:r>
              <w:t>Revenue</w:t>
            </w:r>
            <w:r>
              <w:rPr>
                <w:spacing w:val="-8"/>
              </w:rPr>
              <w:t xml:space="preserve"> </w:t>
            </w:r>
            <w:r>
              <w:t>Requirement</w:t>
            </w:r>
            <w:r>
              <w:rPr>
                <w:spacing w:val="-8"/>
              </w:rPr>
              <w:t xml:space="preserve"> </w:t>
            </w:r>
            <w:r>
              <w:t>($m</w:t>
            </w:r>
            <w:r>
              <w:rPr>
                <w:spacing w:val="-9"/>
              </w:rPr>
              <w:t xml:space="preserve"> </w:t>
            </w:r>
            <w:r>
              <w:rPr>
                <w:spacing w:val="-2"/>
              </w:rPr>
              <w:t>1/1/23)</w:t>
            </w:r>
          </w:p>
        </w:tc>
        <w:tc>
          <w:tcPr>
            <w:tcW w:w="1550" w:type="dxa"/>
            <w:tcBorders>
              <w:right w:val="nil"/>
            </w:tcBorders>
            <w:shd w:val="clear" w:color="auto" w:fill="CCE2ED"/>
          </w:tcPr>
          <w:p w14:paraId="0C3E3A47" w14:textId="77777777" w:rsidR="00141B97" w:rsidRDefault="00911D63">
            <w:pPr>
              <w:pStyle w:val="TableParagraph"/>
              <w:spacing w:line="248" w:lineRule="exact"/>
              <w:ind w:right="87"/>
              <w:jc w:val="right"/>
            </w:pPr>
            <w:r>
              <w:rPr>
                <w:spacing w:val="-5"/>
              </w:rPr>
              <w:t>109</w:t>
            </w:r>
          </w:p>
        </w:tc>
      </w:tr>
      <w:tr w:rsidR="00141B97" w14:paraId="552C86FB" w14:textId="77777777">
        <w:trPr>
          <w:trHeight w:val="269"/>
          <w:tblCellSpacing w:w="9" w:type="dxa"/>
        </w:trPr>
        <w:tc>
          <w:tcPr>
            <w:tcW w:w="7636" w:type="dxa"/>
            <w:tcBorders>
              <w:left w:val="nil"/>
            </w:tcBorders>
            <w:shd w:val="clear" w:color="auto" w:fill="CCE2ED"/>
          </w:tcPr>
          <w:p w14:paraId="3BAAFEF0" w14:textId="77777777" w:rsidR="00141B97" w:rsidRDefault="00911D63">
            <w:pPr>
              <w:pStyle w:val="TableParagraph"/>
              <w:spacing w:before="1" w:line="248" w:lineRule="exact"/>
              <w:ind w:left="88"/>
            </w:pPr>
            <w:r>
              <w:t>Figure</w:t>
            </w:r>
            <w:r>
              <w:rPr>
                <w:spacing w:val="-10"/>
              </w:rPr>
              <w:t xml:space="preserve"> </w:t>
            </w:r>
            <w:r>
              <w:t>C2:</w:t>
            </w:r>
            <w:r>
              <w:rPr>
                <w:spacing w:val="-7"/>
              </w:rPr>
              <w:t xml:space="preserve"> </w:t>
            </w:r>
            <w:r>
              <w:t>Historic</w:t>
            </w:r>
            <w:r>
              <w:rPr>
                <w:spacing w:val="-8"/>
              </w:rPr>
              <w:t xml:space="preserve"> </w:t>
            </w:r>
            <w:r>
              <w:t>and</w:t>
            </w:r>
            <w:r>
              <w:rPr>
                <w:spacing w:val="-9"/>
              </w:rPr>
              <w:t xml:space="preserve"> </w:t>
            </w:r>
            <w:r>
              <w:t>Forecast</w:t>
            </w:r>
            <w:r>
              <w:rPr>
                <w:spacing w:val="-7"/>
              </w:rPr>
              <w:t xml:space="preserve"> </w:t>
            </w:r>
            <w:r>
              <w:t>Water</w:t>
            </w:r>
            <w:r>
              <w:rPr>
                <w:spacing w:val="-7"/>
              </w:rPr>
              <w:t xml:space="preserve"> </w:t>
            </w:r>
            <w:r>
              <w:t>Usage</w:t>
            </w:r>
            <w:r>
              <w:rPr>
                <w:spacing w:val="-8"/>
              </w:rPr>
              <w:t xml:space="preserve"> </w:t>
            </w:r>
            <w:r>
              <w:t>Irrigation</w:t>
            </w:r>
            <w:r>
              <w:rPr>
                <w:spacing w:val="-8"/>
              </w:rPr>
              <w:t xml:space="preserve"> </w:t>
            </w:r>
            <w:r>
              <w:t>Districts</w:t>
            </w:r>
            <w:r>
              <w:rPr>
                <w:spacing w:val="-8"/>
              </w:rPr>
              <w:t xml:space="preserve"> </w:t>
            </w:r>
            <w:r>
              <w:t>(ML</w:t>
            </w:r>
            <w:r>
              <w:rPr>
                <w:spacing w:val="-8"/>
              </w:rPr>
              <w:t xml:space="preserve"> </w:t>
            </w:r>
            <w:r>
              <w:rPr>
                <w:spacing w:val="-5"/>
              </w:rPr>
              <w:t>Pa)</w:t>
            </w:r>
          </w:p>
        </w:tc>
        <w:tc>
          <w:tcPr>
            <w:tcW w:w="1550" w:type="dxa"/>
            <w:tcBorders>
              <w:right w:val="nil"/>
            </w:tcBorders>
            <w:shd w:val="clear" w:color="auto" w:fill="CCE2ED"/>
          </w:tcPr>
          <w:p w14:paraId="2A032198" w14:textId="77777777" w:rsidR="00141B97" w:rsidRDefault="00911D63">
            <w:pPr>
              <w:pStyle w:val="TableParagraph"/>
              <w:spacing w:before="1" w:line="248" w:lineRule="exact"/>
              <w:ind w:right="87"/>
              <w:jc w:val="right"/>
            </w:pPr>
            <w:r>
              <w:rPr>
                <w:spacing w:val="-5"/>
              </w:rPr>
              <w:t>112</w:t>
            </w:r>
          </w:p>
        </w:tc>
      </w:tr>
      <w:tr w:rsidR="00141B97" w14:paraId="5E148B71" w14:textId="77777777">
        <w:trPr>
          <w:trHeight w:val="268"/>
          <w:tblCellSpacing w:w="9" w:type="dxa"/>
        </w:trPr>
        <w:tc>
          <w:tcPr>
            <w:tcW w:w="7636" w:type="dxa"/>
            <w:tcBorders>
              <w:left w:val="nil"/>
            </w:tcBorders>
            <w:shd w:val="clear" w:color="auto" w:fill="CCE2ED"/>
          </w:tcPr>
          <w:p w14:paraId="28431EF5" w14:textId="77777777" w:rsidR="00141B97" w:rsidRDefault="00911D63">
            <w:pPr>
              <w:pStyle w:val="TableParagraph"/>
              <w:spacing w:line="248" w:lineRule="exact"/>
              <w:ind w:left="88"/>
            </w:pPr>
            <w:r>
              <w:t>Table</w:t>
            </w:r>
            <w:r>
              <w:rPr>
                <w:spacing w:val="-7"/>
              </w:rPr>
              <w:t xml:space="preserve"> </w:t>
            </w:r>
            <w:r>
              <w:t>C17:</w:t>
            </w:r>
            <w:r>
              <w:rPr>
                <w:spacing w:val="-7"/>
              </w:rPr>
              <w:t xml:space="preserve"> </w:t>
            </w:r>
            <w:r>
              <w:t>Rural</w:t>
            </w:r>
            <w:r>
              <w:rPr>
                <w:spacing w:val="-8"/>
              </w:rPr>
              <w:t xml:space="preserve"> </w:t>
            </w:r>
            <w:r>
              <w:t>Services</w:t>
            </w:r>
            <w:r>
              <w:rPr>
                <w:spacing w:val="-8"/>
              </w:rPr>
              <w:t xml:space="preserve"> </w:t>
            </w:r>
            <w:r>
              <w:t>Forecast</w:t>
            </w:r>
            <w:r>
              <w:rPr>
                <w:spacing w:val="-7"/>
              </w:rPr>
              <w:t xml:space="preserve"> </w:t>
            </w:r>
            <w:r>
              <w:t>Volumes</w:t>
            </w:r>
            <w:r>
              <w:rPr>
                <w:spacing w:val="-8"/>
              </w:rPr>
              <w:t xml:space="preserve"> </w:t>
            </w:r>
            <w:r>
              <w:t>Summary</w:t>
            </w:r>
            <w:r>
              <w:rPr>
                <w:spacing w:val="-9"/>
              </w:rPr>
              <w:t xml:space="preserve"> </w:t>
            </w:r>
            <w:r>
              <w:t>–</w:t>
            </w:r>
            <w:r>
              <w:rPr>
                <w:spacing w:val="-8"/>
              </w:rPr>
              <w:t xml:space="preserve"> </w:t>
            </w:r>
            <w:r>
              <w:t>ML</w:t>
            </w:r>
            <w:r>
              <w:rPr>
                <w:spacing w:val="-8"/>
              </w:rPr>
              <w:t xml:space="preserve"> </w:t>
            </w:r>
            <w:r>
              <w:rPr>
                <w:spacing w:val="-5"/>
              </w:rPr>
              <w:t>Pa</w:t>
            </w:r>
          </w:p>
        </w:tc>
        <w:tc>
          <w:tcPr>
            <w:tcW w:w="1550" w:type="dxa"/>
            <w:tcBorders>
              <w:right w:val="nil"/>
            </w:tcBorders>
            <w:shd w:val="clear" w:color="auto" w:fill="CCE2ED"/>
          </w:tcPr>
          <w:p w14:paraId="32075354" w14:textId="77777777" w:rsidR="00141B97" w:rsidRDefault="00911D63">
            <w:pPr>
              <w:pStyle w:val="TableParagraph"/>
              <w:spacing w:line="248" w:lineRule="exact"/>
              <w:ind w:right="87"/>
              <w:jc w:val="right"/>
            </w:pPr>
            <w:r>
              <w:rPr>
                <w:spacing w:val="-5"/>
              </w:rPr>
              <w:t>112</w:t>
            </w:r>
          </w:p>
        </w:tc>
      </w:tr>
      <w:tr w:rsidR="00141B97" w14:paraId="3A6E7823" w14:textId="77777777">
        <w:trPr>
          <w:trHeight w:val="267"/>
          <w:tblCellSpacing w:w="9" w:type="dxa"/>
        </w:trPr>
        <w:tc>
          <w:tcPr>
            <w:tcW w:w="7636" w:type="dxa"/>
            <w:tcBorders>
              <w:left w:val="nil"/>
            </w:tcBorders>
            <w:shd w:val="clear" w:color="auto" w:fill="CCE2ED"/>
          </w:tcPr>
          <w:p w14:paraId="5536444B" w14:textId="77777777" w:rsidR="00141B97" w:rsidRDefault="00911D63">
            <w:pPr>
              <w:pStyle w:val="TableParagraph"/>
              <w:spacing w:line="248" w:lineRule="exact"/>
              <w:ind w:left="88"/>
            </w:pPr>
            <w:r>
              <w:t>Table</w:t>
            </w:r>
            <w:r>
              <w:rPr>
                <w:spacing w:val="-8"/>
              </w:rPr>
              <w:t xml:space="preserve"> </w:t>
            </w:r>
            <w:r>
              <w:t>C18:</w:t>
            </w:r>
            <w:r>
              <w:rPr>
                <w:spacing w:val="-7"/>
              </w:rPr>
              <w:t xml:space="preserve"> </w:t>
            </w:r>
            <w:r>
              <w:t>Actual</w:t>
            </w:r>
            <w:r>
              <w:rPr>
                <w:spacing w:val="-7"/>
              </w:rPr>
              <w:t xml:space="preserve"> </w:t>
            </w:r>
            <w:r>
              <w:t>and</w:t>
            </w:r>
            <w:r>
              <w:rPr>
                <w:spacing w:val="-8"/>
              </w:rPr>
              <w:t xml:space="preserve"> </w:t>
            </w:r>
            <w:r>
              <w:t>Planned</w:t>
            </w:r>
            <w:r>
              <w:rPr>
                <w:spacing w:val="-7"/>
              </w:rPr>
              <w:t xml:space="preserve"> </w:t>
            </w:r>
            <w:r>
              <w:t>Operating</w:t>
            </w:r>
            <w:r>
              <w:rPr>
                <w:spacing w:val="-7"/>
              </w:rPr>
              <w:t xml:space="preserve"> </w:t>
            </w:r>
            <w:r>
              <w:t>Expenditure</w:t>
            </w:r>
            <w:r>
              <w:rPr>
                <w:spacing w:val="-7"/>
              </w:rPr>
              <w:t xml:space="preserve"> </w:t>
            </w:r>
            <w:r>
              <w:t>($m</w:t>
            </w:r>
            <w:r>
              <w:rPr>
                <w:spacing w:val="-8"/>
              </w:rPr>
              <w:t xml:space="preserve"> </w:t>
            </w:r>
            <w:r>
              <w:rPr>
                <w:spacing w:val="-2"/>
              </w:rPr>
              <w:t>1/1/23)</w:t>
            </w:r>
          </w:p>
        </w:tc>
        <w:tc>
          <w:tcPr>
            <w:tcW w:w="1550" w:type="dxa"/>
            <w:tcBorders>
              <w:right w:val="nil"/>
            </w:tcBorders>
            <w:shd w:val="clear" w:color="auto" w:fill="CCE2ED"/>
          </w:tcPr>
          <w:p w14:paraId="1DE6CDB6" w14:textId="77777777" w:rsidR="00141B97" w:rsidRDefault="00911D63">
            <w:pPr>
              <w:pStyle w:val="TableParagraph"/>
              <w:spacing w:line="248" w:lineRule="exact"/>
              <w:ind w:right="87"/>
              <w:jc w:val="right"/>
            </w:pPr>
            <w:r>
              <w:rPr>
                <w:spacing w:val="-5"/>
              </w:rPr>
              <w:t>113</w:t>
            </w:r>
          </w:p>
        </w:tc>
      </w:tr>
      <w:tr w:rsidR="00141B97" w14:paraId="4B336793" w14:textId="77777777">
        <w:trPr>
          <w:trHeight w:val="269"/>
          <w:tblCellSpacing w:w="9" w:type="dxa"/>
        </w:trPr>
        <w:tc>
          <w:tcPr>
            <w:tcW w:w="7636" w:type="dxa"/>
            <w:tcBorders>
              <w:left w:val="nil"/>
            </w:tcBorders>
            <w:shd w:val="clear" w:color="auto" w:fill="CCE2ED"/>
          </w:tcPr>
          <w:p w14:paraId="3B03B952" w14:textId="77777777" w:rsidR="00141B97" w:rsidRDefault="00911D63">
            <w:pPr>
              <w:pStyle w:val="TableParagraph"/>
              <w:spacing w:before="1" w:line="248" w:lineRule="exact"/>
              <w:ind w:left="88"/>
            </w:pPr>
            <w:r>
              <w:t>Figure</w:t>
            </w:r>
            <w:r>
              <w:rPr>
                <w:spacing w:val="-12"/>
              </w:rPr>
              <w:t xml:space="preserve"> </w:t>
            </w:r>
            <w:r>
              <w:t>C3:</w:t>
            </w:r>
            <w:r>
              <w:rPr>
                <w:spacing w:val="-7"/>
              </w:rPr>
              <w:t xml:space="preserve"> </w:t>
            </w:r>
            <w:r>
              <w:t>Forecast</w:t>
            </w:r>
            <w:r>
              <w:rPr>
                <w:spacing w:val="-7"/>
              </w:rPr>
              <w:t xml:space="preserve"> </w:t>
            </w:r>
            <w:r>
              <w:t>Operating</w:t>
            </w:r>
            <w:r>
              <w:rPr>
                <w:spacing w:val="-6"/>
              </w:rPr>
              <w:t xml:space="preserve"> </w:t>
            </w:r>
            <w:r>
              <w:t>Expenditure</w:t>
            </w:r>
            <w:r>
              <w:rPr>
                <w:spacing w:val="-9"/>
              </w:rPr>
              <w:t xml:space="preserve"> </w:t>
            </w:r>
            <w:r>
              <w:t>($m</w:t>
            </w:r>
            <w:r>
              <w:rPr>
                <w:spacing w:val="-8"/>
              </w:rPr>
              <w:t xml:space="preserve"> </w:t>
            </w:r>
            <w:r>
              <w:rPr>
                <w:spacing w:val="-2"/>
              </w:rPr>
              <w:t>1/1/23)</w:t>
            </w:r>
          </w:p>
        </w:tc>
        <w:tc>
          <w:tcPr>
            <w:tcW w:w="1550" w:type="dxa"/>
            <w:tcBorders>
              <w:right w:val="nil"/>
            </w:tcBorders>
            <w:shd w:val="clear" w:color="auto" w:fill="CCE2ED"/>
          </w:tcPr>
          <w:p w14:paraId="18E95A21" w14:textId="77777777" w:rsidR="00141B97" w:rsidRDefault="00911D63">
            <w:pPr>
              <w:pStyle w:val="TableParagraph"/>
              <w:spacing w:before="1" w:line="248" w:lineRule="exact"/>
              <w:ind w:right="87"/>
              <w:jc w:val="right"/>
            </w:pPr>
            <w:r>
              <w:rPr>
                <w:spacing w:val="-5"/>
              </w:rPr>
              <w:t>114</w:t>
            </w:r>
          </w:p>
        </w:tc>
      </w:tr>
      <w:tr w:rsidR="00141B97" w14:paraId="5AAF4485" w14:textId="77777777">
        <w:trPr>
          <w:trHeight w:val="268"/>
          <w:tblCellSpacing w:w="9" w:type="dxa"/>
        </w:trPr>
        <w:tc>
          <w:tcPr>
            <w:tcW w:w="7636" w:type="dxa"/>
            <w:tcBorders>
              <w:left w:val="nil"/>
            </w:tcBorders>
            <w:shd w:val="clear" w:color="auto" w:fill="CCE2ED"/>
          </w:tcPr>
          <w:p w14:paraId="0E19461A" w14:textId="77777777" w:rsidR="00141B97" w:rsidRDefault="00911D63">
            <w:pPr>
              <w:pStyle w:val="TableParagraph"/>
              <w:spacing w:line="248" w:lineRule="exact"/>
              <w:ind w:left="88"/>
            </w:pPr>
            <w:r>
              <w:t>Table</w:t>
            </w:r>
            <w:r>
              <w:rPr>
                <w:spacing w:val="-7"/>
              </w:rPr>
              <w:t xml:space="preserve"> </w:t>
            </w:r>
            <w:r>
              <w:t>C19:</w:t>
            </w:r>
            <w:r>
              <w:rPr>
                <w:spacing w:val="-8"/>
              </w:rPr>
              <w:t xml:space="preserve"> </w:t>
            </w:r>
            <w:r>
              <w:t>Costs</w:t>
            </w:r>
            <w:r>
              <w:rPr>
                <w:spacing w:val="-6"/>
              </w:rPr>
              <w:t xml:space="preserve"> </w:t>
            </w:r>
            <w:r>
              <w:t>Attributable</w:t>
            </w:r>
            <w:r>
              <w:rPr>
                <w:spacing w:val="-7"/>
              </w:rPr>
              <w:t xml:space="preserve"> </w:t>
            </w:r>
            <w:r>
              <w:t>to</w:t>
            </w:r>
            <w:r>
              <w:rPr>
                <w:spacing w:val="-6"/>
              </w:rPr>
              <w:t xml:space="preserve"> </w:t>
            </w:r>
            <w:r>
              <w:t>Pass</w:t>
            </w:r>
            <w:r>
              <w:rPr>
                <w:spacing w:val="-8"/>
              </w:rPr>
              <w:t xml:space="preserve"> </w:t>
            </w:r>
            <w:r>
              <w:t>Through</w:t>
            </w:r>
            <w:r>
              <w:rPr>
                <w:spacing w:val="-6"/>
              </w:rPr>
              <w:t xml:space="preserve"> </w:t>
            </w:r>
            <w:r>
              <w:t>Fees</w:t>
            </w:r>
            <w:r>
              <w:rPr>
                <w:spacing w:val="-7"/>
              </w:rPr>
              <w:t xml:space="preserve"> </w:t>
            </w:r>
            <w:r>
              <w:t>($m</w:t>
            </w:r>
            <w:r>
              <w:rPr>
                <w:spacing w:val="-7"/>
              </w:rPr>
              <w:t xml:space="preserve"> </w:t>
            </w:r>
            <w:r>
              <w:rPr>
                <w:spacing w:val="-2"/>
              </w:rPr>
              <w:t>1/1/23)</w:t>
            </w:r>
          </w:p>
        </w:tc>
        <w:tc>
          <w:tcPr>
            <w:tcW w:w="1550" w:type="dxa"/>
            <w:tcBorders>
              <w:right w:val="nil"/>
            </w:tcBorders>
            <w:shd w:val="clear" w:color="auto" w:fill="CCE2ED"/>
          </w:tcPr>
          <w:p w14:paraId="7AA302CC" w14:textId="77777777" w:rsidR="00141B97" w:rsidRDefault="00911D63">
            <w:pPr>
              <w:pStyle w:val="TableParagraph"/>
              <w:spacing w:line="248" w:lineRule="exact"/>
              <w:ind w:right="87"/>
              <w:jc w:val="right"/>
            </w:pPr>
            <w:r>
              <w:rPr>
                <w:spacing w:val="-5"/>
              </w:rPr>
              <w:t>115</w:t>
            </w:r>
          </w:p>
        </w:tc>
      </w:tr>
      <w:tr w:rsidR="00141B97" w14:paraId="4C6E0DF7" w14:textId="77777777">
        <w:trPr>
          <w:trHeight w:val="269"/>
          <w:tblCellSpacing w:w="9" w:type="dxa"/>
        </w:trPr>
        <w:tc>
          <w:tcPr>
            <w:tcW w:w="7636" w:type="dxa"/>
            <w:tcBorders>
              <w:left w:val="nil"/>
            </w:tcBorders>
            <w:shd w:val="clear" w:color="auto" w:fill="CCE2ED"/>
          </w:tcPr>
          <w:p w14:paraId="10E47843" w14:textId="77777777" w:rsidR="00141B97" w:rsidRDefault="00911D63">
            <w:pPr>
              <w:pStyle w:val="TableParagraph"/>
              <w:spacing w:before="1" w:line="248" w:lineRule="exact"/>
              <w:ind w:left="88"/>
            </w:pPr>
            <w:r>
              <w:t>Table</w:t>
            </w:r>
            <w:r>
              <w:rPr>
                <w:spacing w:val="-9"/>
              </w:rPr>
              <w:t xml:space="preserve"> </w:t>
            </w:r>
            <w:r>
              <w:t>C20:</w:t>
            </w:r>
            <w:r>
              <w:rPr>
                <w:spacing w:val="-10"/>
              </w:rPr>
              <w:t xml:space="preserve"> </w:t>
            </w:r>
            <w:r>
              <w:t>Baseline</w:t>
            </w:r>
            <w:r>
              <w:rPr>
                <w:spacing w:val="-9"/>
              </w:rPr>
              <w:t xml:space="preserve"> </w:t>
            </w:r>
            <w:r>
              <w:t>Controllable</w:t>
            </w:r>
            <w:r>
              <w:rPr>
                <w:spacing w:val="-11"/>
              </w:rPr>
              <w:t xml:space="preserve"> </w:t>
            </w:r>
            <w:r>
              <w:t>Operating</w:t>
            </w:r>
            <w:r>
              <w:rPr>
                <w:spacing w:val="-9"/>
              </w:rPr>
              <w:t xml:space="preserve"> </w:t>
            </w:r>
            <w:r>
              <w:t>Expenditure</w:t>
            </w:r>
            <w:r>
              <w:rPr>
                <w:spacing w:val="-11"/>
              </w:rPr>
              <w:t xml:space="preserve"> </w:t>
            </w:r>
            <w:r>
              <w:t>2021‐22</w:t>
            </w:r>
            <w:r>
              <w:rPr>
                <w:spacing w:val="-9"/>
              </w:rPr>
              <w:t xml:space="preserve"> </w:t>
            </w:r>
            <w:r>
              <w:t>($m</w:t>
            </w:r>
            <w:r>
              <w:rPr>
                <w:spacing w:val="-10"/>
              </w:rPr>
              <w:t xml:space="preserve"> </w:t>
            </w:r>
            <w:r>
              <w:rPr>
                <w:spacing w:val="-2"/>
              </w:rPr>
              <w:t>1/1/23)</w:t>
            </w:r>
          </w:p>
        </w:tc>
        <w:tc>
          <w:tcPr>
            <w:tcW w:w="1550" w:type="dxa"/>
            <w:tcBorders>
              <w:right w:val="nil"/>
            </w:tcBorders>
            <w:shd w:val="clear" w:color="auto" w:fill="CCE2ED"/>
          </w:tcPr>
          <w:p w14:paraId="27E662EE" w14:textId="77777777" w:rsidR="00141B97" w:rsidRDefault="00911D63">
            <w:pPr>
              <w:pStyle w:val="TableParagraph"/>
              <w:spacing w:before="1" w:line="248" w:lineRule="exact"/>
              <w:ind w:right="87"/>
              <w:jc w:val="right"/>
            </w:pPr>
            <w:r>
              <w:rPr>
                <w:spacing w:val="-5"/>
              </w:rPr>
              <w:t>115</w:t>
            </w:r>
          </w:p>
        </w:tc>
      </w:tr>
      <w:tr w:rsidR="00141B97" w14:paraId="227AAEE7" w14:textId="77777777">
        <w:trPr>
          <w:trHeight w:val="268"/>
          <w:tblCellSpacing w:w="9" w:type="dxa"/>
        </w:trPr>
        <w:tc>
          <w:tcPr>
            <w:tcW w:w="7636" w:type="dxa"/>
            <w:tcBorders>
              <w:left w:val="nil"/>
            </w:tcBorders>
            <w:shd w:val="clear" w:color="auto" w:fill="CCE2ED"/>
          </w:tcPr>
          <w:p w14:paraId="351A9DD7" w14:textId="77777777" w:rsidR="00141B97" w:rsidRDefault="00911D63">
            <w:pPr>
              <w:pStyle w:val="TableParagraph"/>
              <w:spacing w:line="248" w:lineRule="exact"/>
              <w:ind w:left="88"/>
            </w:pPr>
            <w:r>
              <w:t>Table</w:t>
            </w:r>
            <w:r>
              <w:rPr>
                <w:spacing w:val="-8"/>
              </w:rPr>
              <w:t xml:space="preserve"> </w:t>
            </w:r>
            <w:r>
              <w:t>C21:</w:t>
            </w:r>
            <w:r>
              <w:rPr>
                <w:spacing w:val="-8"/>
              </w:rPr>
              <w:t xml:space="preserve"> </w:t>
            </w:r>
            <w:r>
              <w:t>Allocation</w:t>
            </w:r>
            <w:r>
              <w:rPr>
                <w:spacing w:val="-7"/>
              </w:rPr>
              <w:t xml:space="preserve"> </w:t>
            </w:r>
            <w:r>
              <w:t>of</w:t>
            </w:r>
            <w:r>
              <w:rPr>
                <w:spacing w:val="-6"/>
              </w:rPr>
              <w:t xml:space="preserve"> </w:t>
            </w:r>
            <w:r>
              <w:t>Shared</w:t>
            </w:r>
            <w:r>
              <w:rPr>
                <w:spacing w:val="-7"/>
              </w:rPr>
              <w:t xml:space="preserve"> </w:t>
            </w:r>
            <w:r>
              <w:rPr>
                <w:spacing w:val="-4"/>
              </w:rPr>
              <w:t>Costs</w:t>
            </w:r>
          </w:p>
        </w:tc>
        <w:tc>
          <w:tcPr>
            <w:tcW w:w="1550" w:type="dxa"/>
            <w:tcBorders>
              <w:right w:val="nil"/>
            </w:tcBorders>
            <w:shd w:val="clear" w:color="auto" w:fill="CCE2ED"/>
          </w:tcPr>
          <w:p w14:paraId="5926042A" w14:textId="77777777" w:rsidR="00141B97" w:rsidRDefault="00911D63">
            <w:pPr>
              <w:pStyle w:val="TableParagraph"/>
              <w:spacing w:line="248" w:lineRule="exact"/>
              <w:ind w:right="87"/>
              <w:jc w:val="right"/>
            </w:pPr>
            <w:r>
              <w:rPr>
                <w:spacing w:val="-5"/>
              </w:rPr>
              <w:t>117</w:t>
            </w:r>
          </w:p>
        </w:tc>
      </w:tr>
      <w:tr w:rsidR="00141B97" w14:paraId="6587EC17" w14:textId="77777777">
        <w:trPr>
          <w:trHeight w:val="269"/>
          <w:tblCellSpacing w:w="9" w:type="dxa"/>
        </w:trPr>
        <w:tc>
          <w:tcPr>
            <w:tcW w:w="7636" w:type="dxa"/>
            <w:tcBorders>
              <w:left w:val="nil"/>
            </w:tcBorders>
            <w:shd w:val="clear" w:color="auto" w:fill="CCE2ED"/>
          </w:tcPr>
          <w:p w14:paraId="5794A01E" w14:textId="77777777" w:rsidR="00141B97" w:rsidRDefault="00911D63">
            <w:pPr>
              <w:pStyle w:val="TableParagraph"/>
              <w:spacing w:before="1" w:line="248" w:lineRule="exact"/>
              <w:ind w:left="88"/>
            </w:pPr>
            <w:r>
              <w:t>Table</w:t>
            </w:r>
            <w:r>
              <w:rPr>
                <w:spacing w:val="-8"/>
              </w:rPr>
              <w:t xml:space="preserve"> </w:t>
            </w:r>
            <w:r>
              <w:t>C22:</w:t>
            </w:r>
            <w:r>
              <w:rPr>
                <w:spacing w:val="-7"/>
              </w:rPr>
              <w:t xml:space="preserve"> </w:t>
            </w:r>
            <w:r>
              <w:t>Forecast</w:t>
            </w:r>
            <w:r>
              <w:rPr>
                <w:spacing w:val="-8"/>
              </w:rPr>
              <w:t xml:space="preserve"> </w:t>
            </w:r>
            <w:r>
              <w:t>Capital</w:t>
            </w:r>
            <w:r>
              <w:rPr>
                <w:spacing w:val="-7"/>
              </w:rPr>
              <w:t xml:space="preserve"> </w:t>
            </w:r>
            <w:r>
              <w:t>Expenditure</w:t>
            </w:r>
            <w:r>
              <w:rPr>
                <w:spacing w:val="-9"/>
              </w:rPr>
              <w:t xml:space="preserve"> </w:t>
            </w:r>
            <w:r>
              <w:t>($m</w:t>
            </w:r>
            <w:r>
              <w:rPr>
                <w:spacing w:val="-8"/>
              </w:rPr>
              <w:t xml:space="preserve"> </w:t>
            </w:r>
            <w:r>
              <w:rPr>
                <w:spacing w:val="-2"/>
              </w:rPr>
              <w:t>1/1/23)</w:t>
            </w:r>
          </w:p>
        </w:tc>
        <w:tc>
          <w:tcPr>
            <w:tcW w:w="1550" w:type="dxa"/>
            <w:tcBorders>
              <w:right w:val="nil"/>
            </w:tcBorders>
            <w:shd w:val="clear" w:color="auto" w:fill="CCE2ED"/>
          </w:tcPr>
          <w:p w14:paraId="7BCF94AF" w14:textId="77777777" w:rsidR="00141B97" w:rsidRDefault="00911D63">
            <w:pPr>
              <w:pStyle w:val="TableParagraph"/>
              <w:spacing w:before="1" w:line="248" w:lineRule="exact"/>
              <w:ind w:right="87"/>
              <w:jc w:val="right"/>
            </w:pPr>
            <w:r>
              <w:rPr>
                <w:spacing w:val="-5"/>
              </w:rPr>
              <w:t>117</w:t>
            </w:r>
          </w:p>
        </w:tc>
      </w:tr>
      <w:tr w:rsidR="00141B97" w14:paraId="730A2286" w14:textId="77777777">
        <w:trPr>
          <w:trHeight w:val="268"/>
          <w:tblCellSpacing w:w="9" w:type="dxa"/>
        </w:trPr>
        <w:tc>
          <w:tcPr>
            <w:tcW w:w="7636" w:type="dxa"/>
            <w:tcBorders>
              <w:left w:val="nil"/>
            </w:tcBorders>
            <w:shd w:val="clear" w:color="auto" w:fill="CCE2ED"/>
          </w:tcPr>
          <w:p w14:paraId="2A792B90" w14:textId="77777777" w:rsidR="00141B97" w:rsidRDefault="00911D63">
            <w:pPr>
              <w:pStyle w:val="TableParagraph"/>
              <w:spacing w:line="248" w:lineRule="exact"/>
              <w:ind w:left="88"/>
            </w:pPr>
            <w:r>
              <w:t>Figure</w:t>
            </w:r>
            <w:r>
              <w:rPr>
                <w:spacing w:val="-9"/>
              </w:rPr>
              <w:t xml:space="preserve"> </w:t>
            </w:r>
            <w:r>
              <w:t>C4:</w:t>
            </w:r>
            <w:r>
              <w:rPr>
                <w:spacing w:val="-7"/>
              </w:rPr>
              <w:t xml:space="preserve"> </w:t>
            </w:r>
            <w:r>
              <w:t>Forecast</w:t>
            </w:r>
            <w:r>
              <w:rPr>
                <w:spacing w:val="-6"/>
              </w:rPr>
              <w:t xml:space="preserve"> </w:t>
            </w:r>
            <w:r>
              <w:t>Capital</w:t>
            </w:r>
            <w:r>
              <w:rPr>
                <w:spacing w:val="-7"/>
              </w:rPr>
              <w:t xml:space="preserve"> </w:t>
            </w:r>
            <w:r>
              <w:rPr>
                <w:spacing w:val="-2"/>
              </w:rPr>
              <w:t>Expenditure</w:t>
            </w:r>
          </w:p>
        </w:tc>
        <w:tc>
          <w:tcPr>
            <w:tcW w:w="1550" w:type="dxa"/>
            <w:tcBorders>
              <w:right w:val="nil"/>
            </w:tcBorders>
            <w:shd w:val="clear" w:color="auto" w:fill="CCE2ED"/>
          </w:tcPr>
          <w:p w14:paraId="0588FACC" w14:textId="77777777" w:rsidR="00141B97" w:rsidRDefault="00911D63">
            <w:pPr>
              <w:pStyle w:val="TableParagraph"/>
              <w:spacing w:line="248" w:lineRule="exact"/>
              <w:ind w:right="87"/>
              <w:jc w:val="right"/>
            </w:pPr>
            <w:r>
              <w:rPr>
                <w:spacing w:val="-5"/>
              </w:rPr>
              <w:t>118</w:t>
            </w:r>
          </w:p>
        </w:tc>
      </w:tr>
      <w:tr w:rsidR="00141B97" w14:paraId="51F49F22" w14:textId="77777777">
        <w:trPr>
          <w:trHeight w:val="269"/>
          <w:tblCellSpacing w:w="9" w:type="dxa"/>
        </w:trPr>
        <w:tc>
          <w:tcPr>
            <w:tcW w:w="7636" w:type="dxa"/>
            <w:tcBorders>
              <w:left w:val="nil"/>
            </w:tcBorders>
            <w:shd w:val="clear" w:color="auto" w:fill="CCE2ED"/>
          </w:tcPr>
          <w:p w14:paraId="66DB5448" w14:textId="77777777" w:rsidR="00141B97" w:rsidRDefault="00911D63">
            <w:pPr>
              <w:pStyle w:val="TableParagraph"/>
              <w:spacing w:before="1" w:line="248" w:lineRule="exact"/>
              <w:ind w:left="88"/>
            </w:pPr>
            <w:r>
              <w:t>Table</w:t>
            </w:r>
            <w:r>
              <w:rPr>
                <w:spacing w:val="-7"/>
              </w:rPr>
              <w:t xml:space="preserve"> </w:t>
            </w:r>
            <w:r>
              <w:t>C23:</w:t>
            </w:r>
            <w:r>
              <w:rPr>
                <w:spacing w:val="-6"/>
              </w:rPr>
              <w:t xml:space="preserve"> </w:t>
            </w:r>
            <w:r>
              <w:t>Forecast</w:t>
            </w:r>
            <w:r>
              <w:rPr>
                <w:spacing w:val="-6"/>
              </w:rPr>
              <w:t xml:space="preserve"> </w:t>
            </w:r>
            <w:r>
              <w:t>Capital</w:t>
            </w:r>
            <w:r>
              <w:rPr>
                <w:spacing w:val="-6"/>
              </w:rPr>
              <w:t xml:space="preserve"> </w:t>
            </w:r>
            <w:r>
              <w:t>Expenditure</w:t>
            </w:r>
            <w:r>
              <w:rPr>
                <w:spacing w:val="-7"/>
              </w:rPr>
              <w:t xml:space="preserve"> </w:t>
            </w:r>
            <w:r>
              <w:t>by</w:t>
            </w:r>
            <w:r>
              <w:rPr>
                <w:spacing w:val="-7"/>
              </w:rPr>
              <w:t xml:space="preserve"> </w:t>
            </w:r>
            <w:r>
              <w:t>Cost</w:t>
            </w:r>
            <w:r>
              <w:rPr>
                <w:spacing w:val="-7"/>
              </w:rPr>
              <w:t xml:space="preserve"> </w:t>
            </w:r>
            <w:r>
              <w:t>Driver</w:t>
            </w:r>
            <w:r>
              <w:rPr>
                <w:spacing w:val="-7"/>
              </w:rPr>
              <w:t xml:space="preserve"> </w:t>
            </w:r>
            <w:r>
              <w:t>($m</w:t>
            </w:r>
            <w:r>
              <w:rPr>
                <w:spacing w:val="-8"/>
              </w:rPr>
              <w:t xml:space="preserve"> </w:t>
            </w:r>
            <w:r>
              <w:rPr>
                <w:spacing w:val="-2"/>
              </w:rPr>
              <w:t>1/1/23)</w:t>
            </w:r>
          </w:p>
        </w:tc>
        <w:tc>
          <w:tcPr>
            <w:tcW w:w="1550" w:type="dxa"/>
            <w:tcBorders>
              <w:right w:val="nil"/>
            </w:tcBorders>
            <w:shd w:val="clear" w:color="auto" w:fill="CCE2ED"/>
          </w:tcPr>
          <w:p w14:paraId="073D33B0" w14:textId="77777777" w:rsidR="00141B97" w:rsidRDefault="00911D63">
            <w:pPr>
              <w:pStyle w:val="TableParagraph"/>
              <w:spacing w:before="1" w:line="248" w:lineRule="exact"/>
              <w:ind w:right="87"/>
              <w:jc w:val="right"/>
            </w:pPr>
            <w:r>
              <w:rPr>
                <w:spacing w:val="-5"/>
              </w:rPr>
              <w:t>118</w:t>
            </w:r>
          </w:p>
        </w:tc>
      </w:tr>
      <w:tr w:rsidR="00141B97" w14:paraId="15BCCC73" w14:textId="77777777">
        <w:trPr>
          <w:trHeight w:val="268"/>
          <w:tblCellSpacing w:w="9" w:type="dxa"/>
        </w:trPr>
        <w:tc>
          <w:tcPr>
            <w:tcW w:w="7636" w:type="dxa"/>
            <w:tcBorders>
              <w:left w:val="nil"/>
            </w:tcBorders>
            <w:shd w:val="clear" w:color="auto" w:fill="CCE2ED"/>
          </w:tcPr>
          <w:p w14:paraId="3089BE09" w14:textId="77777777" w:rsidR="00141B97" w:rsidRDefault="00911D63">
            <w:pPr>
              <w:pStyle w:val="TableParagraph"/>
              <w:spacing w:line="248" w:lineRule="exact"/>
              <w:ind w:left="88"/>
            </w:pPr>
            <w:r>
              <w:t>Table</w:t>
            </w:r>
            <w:r>
              <w:rPr>
                <w:spacing w:val="-7"/>
              </w:rPr>
              <w:t xml:space="preserve"> </w:t>
            </w:r>
            <w:r>
              <w:t>C24:</w:t>
            </w:r>
            <w:r>
              <w:rPr>
                <w:spacing w:val="-7"/>
              </w:rPr>
              <w:t xml:space="preserve"> </w:t>
            </w:r>
            <w:r>
              <w:t>Proposed</w:t>
            </w:r>
            <w:r>
              <w:rPr>
                <w:spacing w:val="-6"/>
              </w:rPr>
              <w:t xml:space="preserve"> </w:t>
            </w:r>
            <w:r>
              <w:t>Rural</w:t>
            </w:r>
            <w:r>
              <w:rPr>
                <w:spacing w:val="-6"/>
              </w:rPr>
              <w:t xml:space="preserve"> </w:t>
            </w:r>
            <w:r>
              <w:t>Top</w:t>
            </w:r>
            <w:r>
              <w:rPr>
                <w:spacing w:val="-7"/>
              </w:rPr>
              <w:t xml:space="preserve"> </w:t>
            </w:r>
            <w:r>
              <w:t>10</w:t>
            </w:r>
            <w:r>
              <w:rPr>
                <w:spacing w:val="-7"/>
              </w:rPr>
              <w:t xml:space="preserve"> </w:t>
            </w:r>
            <w:r>
              <w:t>Capital</w:t>
            </w:r>
            <w:r>
              <w:rPr>
                <w:spacing w:val="-8"/>
              </w:rPr>
              <w:t xml:space="preserve"> </w:t>
            </w:r>
            <w:r>
              <w:rPr>
                <w:spacing w:val="-2"/>
              </w:rPr>
              <w:t>Projects</w:t>
            </w:r>
          </w:p>
        </w:tc>
        <w:tc>
          <w:tcPr>
            <w:tcW w:w="1550" w:type="dxa"/>
            <w:tcBorders>
              <w:right w:val="nil"/>
            </w:tcBorders>
            <w:shd w:val="clear" w:color="auto" w:fill="CCE2ED"/>
          </w:tcPr>
          <w:p w14:paraId="2F4C1B37" w14:textId="77777777" w:rsidR="00141B97" w:rsidRDefault="00911D63">
            <w:pPr>
              <w:pStyle w:val="TableParagraph"/>
              <w:spacing w:line="248" w:lineRule="exact"/>
              <w:ind w:right="87"/>
              <w:jc w:val="right"/>
            </w:pPr>
            <w:r>
              <w:rPr>
                <w:spacing w:val="-5"/>
              </w:rPr>
              <w:t>119</w:t>
            </w:r>
          </w:p>
        </w:tc>
      </w:tr>
      <w:tr w:rsidR="00141B97" w14:paraId="65598653" w14:textId="77777777">
        <w:trPr>
          <w:trHeight w:val="269"/>
          <w:tblCellSpacing w:w="9" w:type="dxa"/>
        </w:trPr>
        <w:tc>
          <w:tcPr>
            <w:tcW w:w="7636" w:type="dxa"/>
            <w:tcBorders>
              <w:left w:val="nil"/>
            </w:tcBorders>
            <w:shd w:val="clear" w:color="auto" w:fill="CCE2ED"/>
          </w:tcPr>
          <w:p w14:paraId="06FC057D" w14:textId="77777777" w:rsidR="00141B97" w:rsidRDefault="00911D63">
            <w:pPr>
              <w:pStyle w:val="TableParagraph"/>
              <w:spacing w:before="1" w:line="248" w:lineRule="exact"/>
              <w:ind w:left="88"/>
            </w:pPr>
            <w:r>
              <w:t>Table</w:t>
            </w:r>
            <w:r>
              <w:rPr>
                <w:spacing w:val="-8"/>
              </w:rPr>
              <w:t xml:space="preserve"> </w:t>
            </w:r>
            <w:r>
              <w:t>C25:</w:t>
            </w:r>
            <w:r>
              <w:rPr>
                <w:spacing w:val="-9"/>
              </w:rPr>
              <w:t xml:space="preserve"> </w:t>
            </w:r>
            <w:r>
              <w:t>Proposed</w:t>
            </w:r>
            <w:r>
              <w:rPr>
                <w:spacing w:val="-7"/>
              </w:rPr>
              <w:t xml:space="preserve"> </w:t>
            </w:r>
            <w:r>
              <w:t>Rural</w:t>
            </w:r>
            <w:r>
              <w:rPr>
                <w:spacing w:val="-7"/>
              </w:rPr>
              <w:t xml:space="preserve"> </w:t>
            </w:r>
            <w:r>
              <w:t>Major</w:t>
            </w:r>
            <w:r>
              <w:rPr>
                <w:spacing w:val="-8"/>
              </w:rPr>
              <w:t xml:space="preserve"> </w:t>
            </w:r>
            <w:r>
              <w:t>Capital</w:t>
            </w:r>
            <w:r>
              <w:rPr>
                <w:spacing w:val="-8"/>
              </w:rPr>
              <w:t xml:space="preserve"> </w:t>
            </w:r>
            <w:r>
              <w:rPr>
                <w:spacing w:val="-2"/>
              </w:rPr>
              <w:t>Programs</w:t>
            </w:r>
          </w:p>
        </w:tc>
        <w:tc>
          <w:tcPr>
            <w:tcW w:w="1550" w:type="dxa"/>
            <w:tcBorders>
              <w:right w:val="nil"/>
            </w:tcBorders>
            <w:shd w:val="clear" w:color="auto" w:fill="CCE2ED"/>
          </w:tcPr>
          <w:p w14:paraId="0D6B383F" w14:textId="77777777" w:rsidR="00141B97" w:rsidRDefault="00911D63">
            <w:pPr>
              <w:pStyle w:val="TableParagraph"/>
              <w:spacing w:before="1" w:line="248" w:lineRule="exact"/>
              <w:ind w:right="87"/>
              <w:jc w:val="right"/>
            </w:pPr>
            <w:r>
              <w:rPr>
                <w:spacing w:val="-5"/>
              </w:rPr>
              <w:t>119</w:t>
            </w:r>
          </w:p>
        </w:tc>
      </w:tr>
      <w:tr w:rsidR="00141B97" w14:paraId="4D61FC62" w14:textId="77777777">
        <w:trPr>
          <w:trHeight w:val="268"/>
          <w:tblCellSpacing w:w="9" w:type="dxa"/>
        </w:trPr>
        <w:tc>
          <w:tcPr>
            <w:tcW w:w="7636" w:type="dxa"/>
            <w:tcBorders>
              <w:left w:val="nil"/>
            </w:tcBorders>
            <w:shd w:val="clear" w:color="auto" w:fill="CCE2ED"/>
          </w:tcPr>
          <w:p w14:paraId="36831C42" w14:textId="77777777" w:rsidR="00141B97" w:rsidRDefault="00911D63">
            <w:pPr>
              <w:pStyle w:val="TableParagraph"/>
              <w:spacing w:line="248" w:lineRule="exact"/>
              <w:ind w:left="88"/>
            </w:pPr>
            <w:r>
              <w:t>Table</w:t>
            </w:r>
            <w:r>
              <w:rPr>
                <w:spacing w:val="-8"/>
              </w:rPr>
              <w:t xml:space="preserve"> </w:t>
            </w:r>
            <w:r>
              <w:t>C26:</w:t>
            </w:r>
            <w:r>
              <w:rPr>
                <w:spacing w:val="-8"/>
              </w:rPr>
              <w:t xml:space="preserve"> </w:t>
            </w:r>
            <w:r>
              <w:t>Revenue</w:t>
            </w:r>
            <w:r>
              <w:rPr>
                <w:spacing w:val="-8"/>
              </w:rPr>
              <w:t xml:space="preserve"> </w:t>
            </w:r>
            <w:r>
              <w:t>from</w:t>
            </w:r>
            <w:r>
              <w:rPr>
                <w:spacing w:val="-7"/>
              </w:rPr>
              <w:t xml:space="preserve"> </w:t>
            </w:r>
            <w:r>
              <w:t>Pass</w:t>
            </w:r>
            <w:r>
              <w:rPr>
                <w:spacing w:val="-9"/>
              </w:rPr>
              <w:t xml:space="preserve"> </w:t>
            </w:r>
            <w:r>
              <w:t>Through</w:t>
            </w:r>
            <w:r>
              <w:rPr>
                <w:spacing w:val="-9"/>
              </w:rPr>
              <w:t xml:space="preserve"> </w:t>
            </w:r>
            <w:r>
              <w:rPr>
                <w:spacing w:val="-4"/>
              </w:rPr>
              <w:t>Fees</w:t>
            </w:r>
          </w:p>
        </w:tc>
        <w:tc>
          <w:tcPr>
            <w:tcW w:w="1550" w:type="dxa"/>
            <w:tcBorders>
              <w:right w:val="nil"/>
            </w:tcBorders>
            <w:shd w:val="clear" w:color="auto" w:fill="CCE2ED"/>
          </w:tcPr>
          <w:p w14:paraId="5EDFDE5A" w14:textId="77777777" w:rsidR="00141B97" w:rsidRDefault="00911D63">
            <w:pPr>
              <w:pStyle w:val="TableParagraph"/>
              <w:spacing w:line="248" w:lineRule="exact"/>
              <w:ind w:right="87"/>
              <w:jc w:val="right"/>
            </w:pPr>
            <w:r>
              <w:rPr>
                <w:spacing w:val="-5"/>
              </w:rPr>
              <w:t>121</w:t>
            </w:r>
          </w:p>
        </w:tc>
      </w:tr>
      <w:tr w:rsidR="00141B97" w14:paraId="70B491DE" w14:textId="77777777">
        <w:trPr>
          <w:trHeight w:val="269"/>
          <w:tblCellSpacing w:w="9" w:type="dxa"/>
        </w:trPr>
        <w:tc>
          <w:tcPr>
            <w:tcW w:w="7636" w:type="dxa"/>
            <w:tcBorders>
              <w:left w:val="nil"/>
            </w:tcBorders>
            <w:shd w:val="clear" w:color="auto" w:fill="CCE2ED"/>
          </w:tcPr>
          <w:p w14:paraId="431C25B3" w14:textId="77777777" w:rsidR="00141B97" w:rsidRDefault="00911D63">
            <w:pPr>
              <w:pStyle w:val="TableParagraph"/>
              <w:spacing w:before="1" w:line="248" w:lineRule="exact"/>
              <w:ind w:left="88"/>
            </w:pPr>
            <w:r>
              <w:t>Table</w:t>
            </w:r>
            <w:r>
              <w:rPr>
                <w:spacing w:val="-7"/>
              </w:rPr>
              <w:t xml:space="preserve"> </w:t>
            </w:r>
            <w:r>
              <w:t>C27:</w:t>
            </w:r>
            <w:r>
              <w:rPr>
                <w:spacing w:val="-6"/>
              </w:rPr>
              <w:t xml:space="preserve"> </w:t>
            </w:r>
            <w:r>
              <w:t>Other</w:t>
            </w:r>
            <w:r>
              <w:rPr>
                <w:spacing w:val="-6"/>
              </w:rPr>
              <w:t xml:space="preserve"> </w:t>
            </w:r>
            <w:r>
              <w:rPr>
                <w:spacing w:val="-2"/>
              </w:rPr>
              <w:t>Revenue</w:t>
            </w:r>
          </w:p>
        </w:tc>
        <w:tc>
          <w:tcPr>
            <w:tcW w:w="1550" w:type="dxa"/>
            <w:tcBorders>
              <w:right w:val="nil"/>
            </w:tcBorders>
            <w:shd w:val="clear" w:color="auto" w:fill="CCE2ED"/>
          </w:tcPr>
          <w:p w14:paraId="29DF25A9" w14:textId="77777777" w:rsidR="00141B97" w:rsidRDefault="00911D63">
            <w:pPr>
              <w:pStyle w:val="TableParagraph"/>
              <w:spacing w:before="1" w:line="248" w:lineRule="exact"/>
              <w:ind w:right="87"/>
              <w:jc w:val="right"/>
            </w:pPr>
            <w:r>
              <w:rPr>
                <w:spacing w:val="-5"/>
              </w:rPr>
              <w:t>121</w:t>
            </w:r>
          </w:p>
        </w:tc>
      </w:tr>
      <w:tr w:rsidR="00141B97" w14:paraId="409A6130" w14:textId="77777777">
        <w:trPr>
          <w:trHeight w:val="268"/>
          <w:tblCellSpacing w:w="9" w:type="dxa"/>
        </w:trPr>
        <w:tc>
          <w:tcPr>
            <w:tcW w:w="7636" w:type="dxa"/>
            <w:tcBorders>
              <w:left w:val="nil"/>
            </w:tcBorders>
            <w:shd w:val="clear" w:color="auto" w:fill="CCE2ED"/>
          </w:tcPr>
          <w:p w14:paraId="5A4CEACE" w14:textId="77777777" w:rsidR="00141B97" w:rsidRDefault="00911D63">
            <w:pPr>
              <w:pStyle w:val="TableParagraph"/>
              <w:spacing w:line="248" w:lineRule="exact"/>
              <w:ind w:left="88"/>
            </w:pPr>
            <w:r>
              <w:t>Table</w:t>
            </w:r>
            <w:r>
              <w:rPr>
                <w:spacing w:val="-7"/>
              </w:rPr>
              <w:t xml:space="preserve"> </w:t>
            </w:r>
            <w:r>
              <w:t>C28:</w:t>
            </w:r>
            <w:r>
              <w:rPr>
                <w:spacing w:val="-7"/>
              </w:rPr>
              <w:t xml:space="preserve"> </w:t>
            </w:r>
            <w:r>
              <w:t>Updating</w:t>
            </w:r>
            <w:r>
              <w:rPr>
                <w:spacing w:val="-8"/>
              </w:rPr>
              <w:t xml:space="preserve"> </w:t>
            </w:r>
            <w:r>
              <w:t>the</w:t>
            </w:r>
            <w:r>
              <w:rPr>
                <w:spacing w:val="-7"/>
              </w:rPr>
              <w:t xml:space="preserve"> </w:t>
            </w:r>
            <w:r>
              <w:t>Regulatory</w:t>
            </w:r>
            <w:r>
              <w:rPr>
                <w:spacing w:val="-8"/>
              </w:rPr>
              <w:t xml:space="preserve"> </w:t>
            </w:r>
            <w:r>
              <w:t>Asset</w:t>
            </w:r>
            <w:r>
              <w:rPr>
                <w:spacing w:val="-8"/>
              </w:rPr>
              <w:t xml:space="preserve"> </w:t>
            </w:r>
            <w:r>
              <w:rPr>
                <w:spacing w:val="-4"/>
              </w:rPr>
              <w:t>Base</w:t>
            </w:r>
          </w:p>
        </w:tc>
        <w:tc>
          <w:tcPr>
            <w:tcW w:w="1550" w:type="dxa"/>
            <w:tcBorders>
              <w:right w:val="nil"/>
            </w:tcBorders>
            <w:shd w:val="clear" w:color="auto" w:fill="CCE2ED"/>
          </w:tcPr>
          <w:p w14:paraId="53D8D619" w14:textId="77777777" w:rsidR="00141B97" w:rsidRDefault="00911D63">
            <w:pPr>
              <w:pStyle w:val="TableParagraph"/>
              <w:spacing w:line="248" w:lineRule="exact"/>
              <w:ind w:right="87"/>
              <w:jc w:val="right"/>
            </w:pPr>
            <w:r>
              <w:rPr>
                <w:spacing w:val="-5"/>
              </w:rPr>
              <w:t>122</w:t>
            </w:r>
          </w:p>
        </w:tc>
      </w:tr>
      <w:tr w:rsidR="00141B97" w14:paraId="25743A24" w14:textId="77777777">
        <w:trPr>
          <w:trHeight w:val="267"/>
          <w:tblCellSpacing w:w="9" w:type="dxa"/>
        </w:trPr>
        <w:tc>
          <w:tcPr>
            <w:tcW w:w="7636" w:type="dxa"/>
            <w:tcBorders>
              <w:left w:val="nil"/>
            </w:tcBorders>
            <w:shd w:val="clear" w:color="auto" w:fill="CCE2ED"/>
          </w:tcPr>
          <w:p w14:paraId="7D8F3BAF" w14:textId="77777777" w:rsidR="00141B97" w:rsidRDefault="00911D63">
            <w:pPr>
              <w:pStyle w:val="TableParagraph"/>
              <w:spacing w:line="248" w:lineRule="exact"/>
              <w:ind w:left="88"/>
            </w:pPr>
            <w:r>
              <w:t>Table</w:t>
            </w:r>
            <w:r>
              <w:rPr>
                <w:spacing w:val="-9"/>
              </w:rPr>
              <w:t xml:space="preserve"> </w:t>
            </w:r>
            <w:r>
              <w:t>C29:</w:t>
            </w:r>
            <w:r>
              <w:rPr>
                <w:spacing w:val="-8"/>
              </w:rPr>
              <w:t xml:space="preserve"> </w:t>
            </w:r>
            <w:r>
              <w:t>Rolling</w:t>
            </w:r>
            <w:r>
              <w:rPr>
                <w:spacing w:val="-9"/>
              </w:rPr>
              <w:t xml:space="preserve"> </w:t>
            </w:r>
            <w:r>
              <w:t>Forward</w:t>
            </w:r>
            <w:r>
              <w:rPr>
                <w:spacing w:val="-8"/>
              </w:rPr>
              <w:t xml:space="preserve"> </w:t>
            </w:r>
            <w:r>
              <w:t>the</w:t>
            </w:r>
            <w:r>
              <w:rPr>
                <w:spacing w:val="-9"/>
              </w:rPr>
              <w:t xml:space="preserve"> </w:t>
            </w:r>
            <w:r>
              <w:t>Regulatory</w:t>
            </w:r>
            <w:r>
              <w:rPr>
                <w:spacing w:val="-10"/>
              </w:rPr>
              <w:t xml:space="preserve"> </w:t>
            </w:r>
            <w:r>
              <w:t>Asset</w:t>
            </w:r>
            <w:r>
              <w:rPr>
                <w:spacing w:val="-8"/>
              </w:rPr>
              <w:t xml:space="preserve"> </w:t>
            </w:r>
            <w:r>
              <w:rPr>
                <w:spacing w:val="-4"/>
              </w:rPr>
              <w:t>Base</w:t>
            </w:r>
          </w:p>
        </w:tc>
        <w:tc>
          <w:tcPr>
            <w:tcW w:w="1550" w:type="dxa"/>
            <w:tcBorders>
              <w:right w:val="nil"/>
            </w:tcBorders>
            <w:shd w:val="clear" w:color="auto" w:fill="CCE2ED"/>
          </w:tcPr>
          <w:p w14:paraId="7AF1B330" w14:textId="77777777" w:rsidR="00141B97" w:rsidRDefault="00911D63">
            <w:pPr>
              <w:pStyle w:val="TableParagraph"/>
              <w:spacing w:line="248" w:lineRule="exact"/>
              <w:ind w:right="87"/>
              <w:jc w:val="right"/>
            </w:pPr>
            <w:r>
              <w:rPr>
                <w:spacing w:val="-5"/>
              </w:rPr>
              <w:t>122</w:t>
            </w:r>
          </w:p>
        </w:tc>
      </w:tr>
      <w:tr w:rsidR="00141B97" w14:paraId="6D1B24E6" w14:textId="77777777">
        <w:trPr>
          <w:trHeight w:val="269"/>
          <w:tblCellSpacing w:w="9" w:type="dxa"/>
        </w:trPr>
        <w:tc>
          <w:tcPr>
            <w:tcW w:w="7636" w:type="dxa"/>
            <w:tcBorders>
              <w:left w:val="nil"/>
            </w:tcBorders>
            <w:shd w:val="clear" w:color="auto" w:fill="CCE2ED"/>
          </w:tcPr>
          <w:p w14:paraId="76E73ABC" w14:textId="77777777" w:rsidR="00141B97" w:rsidRDefault="00911D63">
            <w:pPr>
              <w:pStyle w:val="TableParagraph"/>
              <w:spacing w:before="1" w:line="248" w:lineRule="exact"/>
              <w:ind w:left="88"/>
            </w:pPr>
            <w:r>
              <w:t>Figure</w:t>
            </w:r>
            <w:r>
              <w:rPr>
                <w:spacing w:val="-9"/>
              </w:rPr>
              <w:t xml:space="preserve"> </w:t>
            </w:r>
            <w:r>
              <w:t>C5:</w:t>
            </w:r>
            <w:r>
              <w:rPr>
                <w:spacing w:val="-6"/>
              </w:rPr>
              <w:t xml:space="preserve"> </w:t>
            </w:r>
            <w:r>
              <w:t>Rolling</w:t>
            </w:r>
            <w:r>
              <w:rPr>
                <w:spacing w:val="-7"/>
              </w:rPr>
              <w:t xml:space="preserve"> </w:t>
            </w:r>
            <w:r>
              <w:t>Forward</w:t>
            </w:r>
            <w:r>
              <w:rPr>
                <w:spacing w:val="-6"/>
              </w:rPr>
              <w:t xml:space="preserve"> </w:t>
            </w:r>
            <w:r>
              <w:t>the</w:t>
            </w:r>
            <w:r>
              <w:rPr>
                <w:spacing w:val="-7"/>
              </w:rPr>
              <w:t xml:space="preserve"> </w:t>
            </w:r>
            <w:r>
              <w:t>Regulatory</w:t>
            </w:r>
            <w:r>
              <w:rPr>
                <w:spacing w:val="-6"/>
              </w:rPr>
              <w:t xml:space="preserve"> </w:t>
            </w:r>
            <w:r>
              <w:t>Asset</w:t>
            </w:r>
            <w:r>
              <w:rPr>
                <w:spacing w:val="-7"/>
              </w:rPr>
              <w:t xml:space="preserve"> </w:t>
            </w:r>
            <w:r>
              <w:t>Base</w:t>
            </w:r>
            <w:r>
              <w:rPr>
                <w:spacing w:val="-7"/>
              </w:rPr>
              <w:t xml:space="preserve"> </w:t>
            </w:r>
            <w:r>
              <w:t>To</w:t>
            </w:r>
            <w:r>
              <w:rPr>
                <w:spacing w:val="-8"/>
              </w:rPr>
              <w:t xml:space="preserve"> </w:t>
            </w:r>
            <w:r>
              <w:rPr>
                <w:spacing w:val="-2"/>
              </w:rPr>
              <w:t>2032‐33</w:t>
            </w:r>
          </w:p>
        </w:tc>
        <w:tc>
          <w:tcPr>
            <w:tcW w:w="1550" w:type="dxa"/>
            <w:tcBorders>
              <w:right w:val="nil"/>
            </w:tcBorders>
            <w:shd w:val="clear" w:color="auto" w:fill="CCE2ED"/>
          </w:tcPr>
          <w:p w14:paraId="1FC53F53" w14:textId="77777777" w:rsidR="00141B97" w:rsidRDefault="00911D63">
            <w:pPr>
              <w:pStyle w:val="TableParagraph"/>
              <w:spacing w:before="1" w:line="248" w:lineRule="exact"/>
              <w:ind w:right="87"/>
              <w:jc w:val="right"/>
            </w:pPr>
            <w:r>
              <w:rPr>
                <w:spacing w:val="-5"/>
              </w:rPr>
              <w:t>122</w:t>
            </w:r>
          </w:p>
        </w:tc>
      </w:tr>
      <w:tr w:rsidR="00141B97" w14:paraId="4C097667" w14:textId="77777777">
        <w:trPr>
          <w:trHeight w:val="267"/>
          <w:tblCellSpacing w:w="9" w:type="dxa"/>
        </w:trPr>
        <w:tc>
          <w:tcPr>
            <w:tcW w:w="7636" w:type="dxa"/>
            <w:tcBorders>
              <w:left w:val="nil"/>
            </w:tcBorders>
            <w:shd w:val="clear" w:color="auto" w:fill="CCE2ED"/>
          </w:tcPr>
          <w:p w14:paraId="45636BEA" w14:textId="77777777" w:rsidR="00141B97" w:rsidRDefault="00911D63">
            <w:pPr>
              <w:pStyle w:val="TableParagraph"/>
              <w:spacing w:line="248" w:lineRule="exact"/>
              <w:ind w:left="88"/>
            </w:pPr>
            <w:r>
              <w:t>Table</w:t>
            </w:r>
            <w:r>
              <w:rPr>
                <w:spacing w:val="-7"/>
              </w:rPr>
              <w:t xml:space="preserve"> </w:t>
            </w:r>
            <w:r>
              <w:t>C30:</w:t>
            </w:r>
            <w:r>
              <w:rPr>
                <w:spacing w:val="-7"/>
              </w:rPr>
              <w:t xml:space="preserve"> </w:t>
            </w:r>
            <w:r>
              <w:t>Proposed</w:t>
            </w:r>
            <w:r>
              <w:rPr>
                <w:spacing w:val="-6"/>
              </w:rPr>
              <w:t xml:space="preserve"> </w:t>
            </w:r>
            <w:r>
              <w:t>Rural</w:t>
            </w:r>
            <w:r>
              <w:rPr>
                <w:spacing w:val="-6"/>
              </w:rPr>
              <w:t xml:space="preserve"> </w:t>
            </w:r>
            <w:r>
              <w:t>Tariffs</w:t>
            </w:r>
            <w:r>
              <w:rPr>
                <w:spacing w:val="-6"/>
              </w:rPr>
              <w:t xml:space="preserve"> </w:t>
            </w:r>
            <w:r>
              <w:t>($</w:t>
            </w:r>
            <w:r>
              <w:rPr>
                <w:spacing w:val="-8"/>
              </w:rPr>
              <w:t xml:space="preserve"> </w:t>
            </w:r>
            <w:r>
              <w:rPr>
                <w:spacing w:val="-2"/>
              </w:rPr>
              <w:t>1/1/23)</w:t>
            </w:r>
          </w:p>
        </w:tc>
        <w:tc>
          <w:tcPr>
            <w:tcW w:w="1550" w:type="dxa"/>
            <w:tcBorders>
              <w:right w:val="nil"/>
            </w:tcBorders>
            <w:shd w:val="clear" w:color="auto" w:fill="CCE2ED"/>
          </w:tcPr>
          <w:p w14:paraId="122FBA44" w14:textId="77777777" w:rsidR="00141B97" w:rsidRDefault="00911D63">
            <w:pPr>
              <w:pStyle w:val="TableParagraph"/>
              <w:spacing w:line="248" w:lineRule="exact"/>
              <w:ind w:right="87"/>
              <w:jc w:val="right"/>
            </w:pPr>
            <w:r>
              <w:rPr>
                <w:spacing w:val="-5"/>
              </w:rPr>
              <w:t>126</w:t>
            </w:r>
          </w:p>
        </w:tc>
      </w:tr>
      <w:tr w:rsidR="00141B97" w14:paraId="507F6B1B" w14:textId="77777777">
        <w:trPr>
          <w:trHeight w:val="269"/>
          <w:tblCellSpacing w:w="9" w:type="dxa"/>
        </w:trPr>
        <w:tc>
          <w:tcPr>
            <w:tcW w:w="7636" w:type="dxa"/>
            <w:tcBorders>
              <w:left w:val="nil"/>
            </w:tcBorders>
            <w:shd w:val="clear" w:color="auto" w:fill="CCE2ED"/>
          </w:tcPr>
          <w:p w14:paraId="221033FF" w14:textId="77777777" w:rsidR="00141B97" w:rsidRDefault="00911D63">
            <w:pPr>
              <w:pStyle w:val="TableParagraph"/>
              <w:spacing w:before="1" w:line="248" w:lineRule="exact"/>
              <w:ind w:left="88"/>
            </w:pPr>
            <w:r>
              <w:t>Table</w:t>
            </w:r>
            <w:r>
              <w:rPr>
                <w:spacing w:val="-8"/>
              </w:rPr>
              <w:t xml:space="preserve"> </w:t>
            </w:r>
            <w:r>
              <w:t>C31:</w:t>
            </w:r>
            <w:r>
              <w:rPr>
                <w:spacing w:val="-8"/>
              </w:rPr>
              <w:t xml:space="preserve"> </w:t>
            </w:r>
            <w:r>
              <w:t>Comparison</w:t>
            </w:r>
            <w:r>
              <w:rPr>
                <w:spacing w:val="-7"/>
              </w:rPr>
              <w:t xml:space="preserve"> </w:t>
            </w:r>
            <w:r>
              <w:t>of</w:t>
            </w:r>
            <w:r>
              <w:rPr>
                <w:spacing w:val="-8"/>
              </w:rPr>
              <w:t xml:space="preserve"> </w:t>
            </w:r>
            <w:r>
              <w:t>Changes</w:t>
            </w:r>
            <w:r>
              <w:rPr>
                <w:spacing w:val="-8"/>
              </w:rPr>
              <w:t xml:space="preserve"> </w:t>
            </w:r>
            <w:r>
              <w:t>to</w:t>
            </w:r>
            <w:r>
              <w:rPr>
                <w:spacing w:val="-7"/>
              </w:rPr>
              <w:t xml:space="preserve"> </w:t>
            </w:r>
            <w:r>
              <w:t>Unit</w:t>
            </w:r>
            <w:r>
              <w:rPr>
                <w:spacing w:val="-9"/>
              </w:rPr>
              <w:t xml:space="preserve"> </w:t>
            </w:r>
            <w:r>
              <w:t>Prices</w:t>
            </w:r>
            <w:r>
              <w:rPr>
                <w:spacing w:val="-7"/>
              </w:rPr>
              <w:t xml:space="preserve"> </w:t>
            </w:r>
            <w:r>
              <w:t>For</w:t>
            </w:r>
            <w:r>
              <w:rPr>
                <w:spacing w:val="-7"/>
              </w:rPr>
              <w:t xml:space="preserve"> </w:t>
            </w:r>
            <w:r>
              <w:t>Reference</w:t>
            </w:r>
            <w:r>
              <w:rPr>
                <w:spacing w:val="-9"/>
              </w:rPr>
              <w:t xml:space="preserve"> </w:t>
            </w:r>
            <w:r>
              <w:rPr>
                <w:spacing w:val="-2"/>
              </w:rPr>
              <w:t>Customers</w:t>
            </w:r>
          </w:p>
        </w:tc>
        <w:tc>
          <w:tcPr>
            <w:tcW w:w="1550" w:type="dxa"/>
            <w:tcBorders>
              <w:right w:val="nil"/>
            </w:tcBorders>
            <w:shd w:val="clear" w:color="auto" w:fill="CCE2ED"/>
          </w:tcPr>
          <w:p w14:paraId="62A78AA9" w14:textId="77777777" w:rsidR="00141B97" w:rsidRDefault="00911D63">
            <w:pPr>
              <w:pStyle w:val="TableParagraph"/>
              <w:spacing w:before="1" w:line="248" w:lineRule="exact"/>
              <w:ind w:right="87"/>
              <w:jc w:val="right"/>
            </w:pPr>
            <w:r>
              <w:rPr>
                <w:spacing w:val="-5"/>
              </w:rPr>
              <w:t>127</w:t>
            </w:r>
          </w:p>
        </w:tc>
      </w:tr>
      <w:tr w:rsidR="00141B97" w14:paraId="47E93333" w14:textId="77777777">
        <w:trPr>
          <w:trHeight w:val="268"/>
          <w:tblCellSpacing w:w="9" w:type="dxa"/>
        </w:trPr>
        <w:tc>
          <w:tcPr>
            <w:tcW w:w="7636" w:type="dxa"/>
            <w:tcBorders>
              <w:left w:val="nil"/>
            </w:tcBorders>
            <w:shd w:val="clear" w:color="auto" w:fill="CCE2ED"/>
          </w:tcPr>
          <w:p w14:paraId="433CD25C" w14:textId="77777777" w:rsidR="00141B97" w:rsidRDefault="00911D63">
            <w:pPr>
              <w:pStyle w:val="TableParagraph"/>
              <w:spacing w:line="248" w:lineRule="exact"/>
              <w:ind w:left="88"/>
            </w:pPr>
            <w:r>
              <w:t>Figure</w:t>
            </w:r>
            <w:r>
              <w:rPr>
                <w:spacing w:val="-9"/>
              </w:rPr>
              <w:t xml:space="preserve"> </w:t>
            </w:r>
            <w:r>
              <w:t>C6:</w:t>
            </w:r>
            <w:r>
              <w:rPr>
                <w:spacing w:val="-7"/>
              </w:rPr>
              <w:t xml:space="preserve"> </w:t>
            </w:r>
            <w:r>
              <w:t>Proposed</w:t>
            </w:r>
            <w:r>
              <w:rPr>
                <w:spacing w:val="-7"/>
              </w:rPr>
              <w:t xml:space="preserve"> </w:t>
            </w:r>
            <w:r>
              <w:t>Bills</w:t>
            </w:r>
            <w:r>
              <w:rPr>
                <w:spacing w:val="-8"/>
              </w:rPr>
              <w:t xml:space="preserve"> </w:t>
            </w:r>
            <w:r>
              <w:t>for</w:t>
            </w:r>
            <w:r>
              <w:rPr>
                <w:spacing w:val="-7"/>
              </w:rPr>
              <w:t xml:space="preserve"> </w:t>
            </w:r>
            <w:r>
              <w:t>Reference</w:t>
            </w:r>
            <w:r>
              <w:rPr>
                <w:spacing w:val="-6"/>
              </w:rPr>
              <w:t xml:space="preserve"> </w:t>
            </w:r>
            <w:r>
              <w:t>Customers</w:t>
            </w:r>
            <w:r>
              <w:rPr>
                <w:spacing w:val="-7"/>
              </w:rPr>
              <w:t xml:space="preserve"> </w:t>
            </w:r>
            <w:r>
              <w:t>‐</w:t>
            </w:r>
            <w:r>
              <w:rPr>
                <w:spacing w:val="-7"/>
              </w:rPr>
              <w:t xml:space="preserve"> </w:t>
            </w:r>
            <w:r>
              <w:t>Irrigation</w:t>
            </w:r>
            <w:r>
              <w:rPr>
                <w:spacing w:val="-9"/>
              </w:rPr>
              <w:t xml:space="preserve"> </w:t>
            </w:r>
            <w:r>
              <w:t>&amp;</w:t>
            </w:r>
            <w:r>
              <w:rPr>
                <w:spacing w:val="-6"/>
              </w:rPr>
              <w:t xml:space="preserve"> </w:t>
            </w:r>
            <w:r>
              <w:rPr>
                <w:spacing w:val="-2"/>
              </w:rPr>
              <w:t>Diversions</w:t>
            </w:r>
          </w:p>
        </w:tc>
        <w:tc>
          <w:tcPr>
            <w:tcW w:w="1550" w:type="dxa"/>
            <w:tcBorders>
              <w:right w:val="nil"/>
            </w:tcBorders>
            <w:shd w:val="clear" w:color="auto" w:fill="CCE2ED"/>
          </w:tcPr>
          <w:p w14:paraId="0F5EEE50" w14:textId="77777777" w:rsidR="00141B97" w:rsidRDefault="00911D63">
            <w:pPr>
              <w:pStyle w:val="TableParagraph"/>
              <w:spacing w:line="248" w:lineRule="exact"/>
              <w:ind w:right="87"/>
              <w:jc w:val="right"/>
            </w:pPr>
            <w:r>
              <w:rPr>
                <w:spacing w:val="-5"/>
              </w:rPr>
              <w:t>127</w:t>
            </w:r>
          </w:p>
        </w:tc>
      </w:tr>
      <w:tr w:rsidR="00141B97" w14:paraId="4CF5BE90" w14:textId="77777777">
        <w:trPr>
          <w:trHeight w:val="269"/>
          <w:tblCellSpacing w:w="9" w:type="dxa"/>
        </w:trPr>
        <w:tc>
          <w:tcPr>
            <w:tcW w:w="7636" w:type="dxa"/>
            <w:tcBorders>
              <w:left w:val="nil"/>
            </w:tcBorders>
            <w:shd w:val="clear" w:color="auto" w:fill="CCE2ED"/>
          </w:tcPr>
          <w:p w14:paraId="585E17F3" w14:textId="77777777" w:rsidR="00141B97" w:rsidRDefault="00911D63">
            <w:pPr>
              <w:pStyle w:val="TableParagraph"/>
              <w:spacing w:before="1" w:line="248" w:lineRule="exact"/>
              <w:ind w:left="88"/>
            </w:pPr>
            <w:r>
              <w:t>Figure</w:t>
            </w:r>
            <w:r>
              <w:rPr>
                <w:spacing w:val="-10"/>
              </w:rPr>
              <w:t xml:space="preserve"> </w:t>
            </w:r>
            <w:r>
              <w:t>C7:</w:t>
            </w:r>
            <w:r>
              <w:rPr>
                <w:spacing w:val="-7"/>
              </w:rPr>
              <w:t xml:space="preserve"> </w:t>
            </w:r>
            <w:r>
              <w:t>Proposed</w:t>
            </w:r>
            <w:r>
              <w:rPr>
                <w:spacing w:val="-8"/>
              </w:rPr>
              <w:t xml:space="preserve"> </w:t>
            </w:r>
            <w:r>
              <w:t>Bills</w:t>
            </w:r>
            <w:r>
              <w:rPr>
                <w:spacing w:val="-9"/>
              </w:rPr>
              <w:t xml:space="preserve"> </w:t>
            </w:r>
            <w:r>
              <w:t>for</w:t>
            </w:r>
            <w:r>
              <w:rPr>
                <w:spacing w:val="-7"/>
              </w:rPr>
              <w:t xml:space="preserve"> </w:t>
            </w:r>
            <w:r>
              <w:t>Reference</w:t>
            </w:r>
            <w:r>
              <w:rPr>
                <w:spacing w:val="-7"/>
              </w:rPr>
              <w:t xml:space="preserve"> </w:t>
            </w:r>
            <w:r>
              <w:t>Customers</w:t>
            </w:r>
            <w:r>
              <w:rPr>
                <w:spacing w:val="-8"/>
              </w:rPr>
              <w:t xml:space="preserve"> </w:t>
            </w:r>
            <w:r>
              <w:t>‐</w:t>
            </w:r>
            <w:r>
              <w:rPr>
                <w:spacing w:val="-6"/>
              </w:rPr>
              <w:t xml:space="preserve"> </w:t>
            </w:r>
            <w:r>
              <w:rPr>
                <w:spacing w:val="-2"/>
              </w:rPr>
              <w:t>Millewa</w:t>
            </w:r>
          </w:p>
        </w:tc>
        <w:tc>
          <w:tcPr>
            <w:tcW w:w="1550" w:type="dxa"/>
            <w:tcBorders>
              <w:right w:val="nil"/>
            </w:tcBorders>
            <w:shd w:val="clear" w:color="auto" w:fill="CCE2ED"/>
          </w:tcPr>
          <w:p w14:paraId="2CC998C0" w14:textId="77777777" w:rsidR="00141B97" w:rsidRDefault="00911D63">
            <w:pPr>
              <w:pStyle w:val="TableParagraph"/>
              <w:spacing w:before="1" w:line="248" w:lineRule="exact"/>
              <w:ind w:right="87"/>
              <w:jc w:val="right"/>
            </w:pPr>
            <w:r>
              <w:rPr>
                <w:spacing w:val="-5"/>
              </w:rPr>
              <w:t>128</w:t>
            </w:r>
          </w:p>
        </w:tc>
      </w:tr>
      <w:tr w:rsidR="00141B97" w14:paraId="5F4CC5D3" w14:textId="77777777">
        <w:trPr>
          <w:trHeight w:val="268"/>
          <w:tblCellSpacing w:w="9" w:type="dxa"/>
        </w:trPr>
        <w:tc>
          <w:tcPr>
            <w:tcW w:w="7636" w:type="dxa"/>
            <w:tcBorders>
              <w:left w:val="nil"/>
              <w:bottom w:val="nil"/>
            </w:tcBorders>
            <w:shd w:val="clear" w:color="auto" w:fill="CCE2ED"/>
          </w:tcPr>
          <w:p w14:paraId="0A9C78BA" w14:textId="77777777" w:rsidR="00141B97" w:rsidRDefault="00911D63">
            <w:pPr>
              <w:pStyle w:val="TableParagraph"/>
              <w:spacing w:line="248" w:lineRule="exact"/>
              <w:ind w:left="88"/>
            </w:pPr>
            <w:r>
              <w:t>Table</w:t>
            </w:r>
            <w:r>
              <w:rPr>
                <w:spacing w:val="-8"/>
              </w:rPr>
              <w:t xml:space="preserve"> </w:t>
            </w:r>
            <w:r>
              <w:t>C32.</w:t>
            </w:r>
            <w:r>
              <w:rPr>
                <w:spacing w:val="-8"/>
              </w:rPr>
              <w:t xml:space="preserve"> </w:t>
            </w:r>
            <w:r>
              <w:t>Historical</w:t>
            </w:r>
            <w:r>
              <w:rPr>
                <w:spacing w:val="-7"/>
              </w:rPr>
              <w:t xml:space="preserve"> </w:t>
            </w:r>
            <w:r>
              <w:t>Cost</w:t>
            </w:r>
            <w:r>
              <w:rPr>
                <w:spacing w:val="-6"/>
              </w:rPr>
              <w:t xml:space="preserve"> </w:t>
            </w:r>
            <w:r>
              <w:t>of</w:t>
            </w:r>
            <w:r>
              <w:rPr>
                <w:spacing w:val="-9"/>
              </w:rPr>
              <w:t xml:space="preserve"> </w:t>
            </w:r>
            <w:r>
              <w:t>Debt</w:t>
            </w:r>
            <w:r>
              <w:rPr>
                <w:spacing w:val="-7"/>
              </w:rPr>
              <w:t xml:space="preserve"> </w:t>
            </w:r>
            <w:r>
              <w:t>(Annual</w:t>
            </w:r>
            <w:r>
              <w:rPr>
                <w:spacing w:val="-8"/>
              </w:rPr>
              <w:t xml:space="preserve"> </w:t>
            </w:r>
            <w:r>
              <w:t>Values</w:t>
            </w:r>
            <w:r>
              <w:rPr>
                <w:spacing w:val="-8"/>
              </w:rPr>
              <w:t xml:space="preserve"> </w:t>
            </w:r>
            <w:r>
              <w:t>for</w:t>
            </w:r>
            <w:r>
              <w:rPr>
                <w:spacing w:val="-7"/>
              </w:rPr>
              <w:t xml:space="preserve"> </w:t>
            </w:r>
            <w:r>
              <w:t>Calculating</w:t>
            </w:r>
            <w:r>
              <w:rPr>
                <w:spacing w:val="-8"/>
              </w:rPr>
              <w:t xml:space="preserve"> </w:t>
            </w:r>
            <w:r>
              <w:t>Trailing</w:t>
            </w:r>
            <w:r>
              <w:rPr>
                <w:spacing w:val="-6"/>
              </w:rPr>
              <w:t xml:space="preserve"> </w:t>
            </w:r>
            <w:r>
              <w:rPr>
                <w:spacing w:val="-2"/>
              </w:rPr>
              <w:t>Average)</w:t>
            </w:r>
          </w:p>
        </w:tc>
        <w:tc>
          <w:tcPr>
            <w:tcW w:w="1550" w:type="dxa"/>
            <w:tcBorders>
              <w:bottom w:val="nil"/>
              <w:right w:val="nil"/>
            </w:tcBorders>
            <w:shd w:val="clear" w:color="auto" w:fill="CCE2ED"/>
          </w:tcPr>
          <w:p w14:paraId="2FD025F4" w14:textId="77777777" w:rsidR="00141B97" w:rsidRDefault="00911D63">
            <w:pPr>
              <w:pStyle w:val="TableParagraph"/>
              <w:spacing w:line="248" w:lineRule="exact"/>
              <w:ind w:right="87"/>
              <w:jc w:val="right"/>
            </w:pPr>
            <w:r>
              <w:rPr>
                <w:spacing w:val="-5"/>
              </w:rPr>
              <w:t>128</w:t>
            </w:r>
          </w:p>
        </w:tc>
      </w:tr>
    </w:tbl>
    <w:p w14:paraId="1F4E14BC" w14:textId="77777777" w:rsidR="00141B97" w:rsidRDefault="00141B97">
      <w:pPr>
        <w:spacing w:line="248" w:lineRule="exact"/>
        <w:jc w:val="right"/>
        <w:sectPr w:rsidR="00141B97">
          <w:pgSz w:w="11910" w:h="16840"/>
          <w:pgMar w:top="860" w:right="40" w:bottom="780" w:left="1020" w:header="0" w:footer="586" w:gutter="0"/>
          <w:cols w:space="720"/>
        </w:sectPr>
      </w:pPr>
    </w:p>
    <w:p w14:paraId="117E250D" w14:textId="77777777" w:rsidR="00141B97" w:rsidRDefault="00911D63">
      <w:pPr>
        <w:pStyle w:val="ListParagraph"/>
        <w:numPr>
          <w:ilvl w:val="0"/>
          <w:numId w:val="37"/>
        </w:numPr>
        <w:tabs>
          <w:tab w:val="left" w:pos="682"/>
        </w:tabs>
        <w:spacing w:line="578" w:lineRule="exact"/>
        <w:rPr>
          <w:sz w:val="48"/>
        </w:rPr>
      </w:pPr>
      <w:r>
        <w:rPr>
          <w:color w:val="006CA3"/>
          <w:spacing w:val="-2"/>
          <w:sz w:val="48"/>
        </w:rPr>
        <w:lastRenderedPageBreak/>
        <w:t>Introduction</w:t>
      </w:r>
    </w:p>
    <w:p w14:paraId="2F601268" w14:textId="77777777" w:rsidR="00141B97" w:rsidRDefault="00911D63">
      <w:pPr>
        <w:pStyle w:val="Heading2"/>
        <w:numPr>
          <w:ilvl w:val="1"/>
          <w:numId w:val="37"/>
        </w:numPr>
        <w:tabs>
          <w:tab w:val="left" w:pos="833"/>
          <w:tab w:val="left" w:pos="834"/>
        </w:tabs>
        <w:spacing w:before="378"/>
        <w:ind w:left="834" w:hanging="720"/>
        <w:rPr>
          <w:color w:val="009BAC"/>
        </w:rPr>
      </w:pPr>
      <w:r>
        <w:rPr>
          <w:color w:val="009BAC"/>
          <w:spacing w:val="-2"/>
        </w:rPr>
        <w:t>Content</w:t>
      </w:r>
    </w:p>
    <w:p w14:paraId="13AED97B" w14:textId="77777777" w:rsidR="00141B97" w:rsidRDefault="00911D63">
      <w:pPr>
        <w:pStyle w:val="BodyText"/>
        <w:spacing w:before="132" w:line="249" w:lineRule="auto"/>
        <w:ind w:left="114" w:right="946" w:hanging="1"/>
        <w:jc w:val="both"/>
      </w:pPr>
      <w:r>
        <w:t>This</w:t>
      </w:r>
      <w:r>
        <w:rPr>
          <w:spacing w:val="-7"/>
        </w:rPr>
        <w:t xml:space="preserve"> </w:t>
      </w:r>
      <w:r>
        <w:t>Part</w:t>
      </w:r>
      <w:r>
        <w:rPr>
          <w:spacing w:val="-9"/>
        </w:rPr>
        <w:t xml:space="preserve"> </w:t>
      </w:r>
      <w:r>
        <w:t>C</w:t>
      </w:r>
      <w:r>
        <w:rPr>
          <w:spacing w:val="-5"/>
        </w:rPr>
        <w:t xml:space="preserve"> </w:t>
      </w:r>
      <w:r>
        <w:t>of</w:t>
      </w:r>
      <w:r>
        <w:rPr>
          <w:spacing w:val="-6"/>
        </w:rPr>
        <w:t xml:space="preserve"> </w:t>
      </w:r>
      <w:r>
        <w:t>the</w:t>
      </w:r>
      <w:r>
        <w:rPr>
          <w:spacing w:val="-7"/>
        </w:rPr>
        <w:t xml:space="preserve"> </w:t>
      </w:r>
      <w:r>
        <w:t>2023‐28</w:t>
      </w:r>
      <w:r>
        <w:rPr>
          <w:spacing w:val="-6"/>
        </w:rPr>
        <w:t xml:space="preserve"> </w:t>
      </w:r>
      <w:r>
        <w:t>Price</w:t>
      </w:r>
      <w:r>
        <w:rPr>
          <w:spacing w:val="-7"/>
        </w:rPr>
        <w:t xml:space="preserve"> </w:t>
      </w:r>
      <w:r>
        <w:t>Submission</w:t>
      </w:r>
      <w:r>
        <w:rPr>
          <w:spacing w:val="-7"/>
        </w:rPr>
        <w:t xml:space="preserve"> </w:t>
      </w:r>
      <w:r>
        <w:t>(PS5)</w:t>
      </w:r>
      <w:r>
        <w:rPr>
          <w:spacing w:val="-6"/>
        </w:rPr>
        <w:t xml:space="preserve"> </w:t>
      </w:r>
      <w:r>
        <w:t>is</w:t>
      </w:r>
      <w:r>
        <w:rPr>
          <w:spacing w:val="-8"/>
        </w:rPr>
        <w:t xml:space="preserve"> </w:t>
      </w:r>
      <w:r>
        <w:t>specific</w:t>
      </w:r>
      <w:r>
        <w:rPr>
          <w:spacing w:val="-6"/>
        </w:rPr>
        <w:t xml:space="preserve"> </w:t>
      </w:r>
      <w:r>
        <w:t>to</w:t>
      </w:r>
      <w:r>
        <w:rPr>
          <w:spacing w:val="-7"/>
        </w:rPr>
        <w:t xml:space="preserve"> </w:t>
      </w:r>
      <w:r>
        <w:t>the</w:t>
      </w:r>
      <w:r>
        <w:rPr>
          <w:spacing w:val="-7"/>
        </w:rPr>
        <w:t xml:space="preserve"> </w:t>
      </w:r>
      <w:r>
        <w:t>rural</w:t>
      </w:r>
      <w:r>
        <w:rPr>
          <w:spacing w:val="-7"/>
        </w:rPr>
        <w:t xml:space="preserve"> </w:t>
      </w:r>
      <w:r>
        <w:t>business</w:t>
      </w:r>
      <w:r>
        <w:rPr>
          <w:spacing w:val="-7"/>
        </w:rPr>
        <w:t xml:space="preserve"> </w:t>
      </w:r>
      <w:r>
        <w:t>of</w:t>
      </w:r>
      <w:r>
        <w:rPr>
          <w:spacing w:val="-7"/>
        </w:rPr>
        <w:t xml:space="preserve"> </w:t>
      </w:r>
      <w:r>
        <w:t>Lower</w:t>
      </w:r>
      <w:r>
        <w:rPr>
          <w:spacing w:val="-7"/>
        </w:rPr>
        <w:t xml:space="preserve"> </w:t>
      </w:r>
      <w:r>
        <w:t>Murray</w:t>
      </w:r>
      <w:r>
        <w:rPr>
          <w:spacing w:val="-7"/>
        </w:rPr>
        <w:t xml:space="preserve"> </w:t>
      </w:r>
      <w:r>
        <w:t>Water</w:t>
      </w:r>
      <w:r>
        <w:rPr>
          <w:spacing w:val="-8"/>
        </w:rPr>
        <w:t xml:space="preserve"> </w:t>
      </w:r>
      <w:r>
        <w:t>(LMW) that</w:t>
      </w:r>
      <w:r>
        <w:rPr>
          <w:spacing w:val="-2"/>
        </w:rPr>
        <w:t xml:space="preserve"> </w:t>
      </w:r>
      <w:r>
        <w:t>provides</w:t>
      </w:r>
      <w:r>
        <w:rPr>
          <w:spacing w:val="-1"/>
        </w:rPr>
        <w:t xml:space="preserve"> </w:t>
      </w:r>
      <w:r>
        <w:t>rural</w:t>
      </w:r>
      <w:r>
        <w:rPr>
          <w:spacing w:val="-2"/>
        </w:rPr>
        <w:t xml:space="preserve"> </w:t>
      </w:r>
      <w:r>
        <w:t>irrigation,</w:t>
      </w:r>
      <w:r>
        <w:rPr>
          <w:spacing w:val="-3"/>
        </w:rPr>
        <w:t xml:space="preserve"> </w:t>
      </w:r>
      <w:r>
        <w:t>drainage</w:t>
      </w:r>
      <w:r>
        <w:rPr>
          <w:spacing w:val="-4"/>
        </w:rPr>
        <w:t xml:space="preserve"> </w:t>
      </w:r>
      <w:r>
        <w:t>and</w:t>
      </w:r>
      <w:r>
        <w:rPr>
          <w:spacing w:val="-3"/>
        </w:rPr>
        <w:t xml:space="preserve"> </w:t>
      </w:r>
      <w:r>
        <w:t>stock</w:t>
      </w:r>
      <w:r>
        <w:rPr>
          <w:spacing w:val="-3"/>
        </w:rPr>
        <w:t xml:space="preserve"> </w:t>
      </w:r>
      <w:r>
        <w:t>and</w:t>
      </w:r>
      <w:r>
        <w:rPr>
          <w:spacing w:val="-1"/>
        </w:rPr>
        <w:t xml:space="preserve"> </w:t>
      </w:r>
      <w:r>
        <w:t>domestic</w:t>
      </w:r>
      <w:r>
        <w:rPr>
          <w:spacing w:val="-3"/>
        </w:rPr>
        <w:t xml:space="preserve"> </w:t>
      </w:r>
      <w:r>
        <w:t>water</w:t>
      </w:r>
      <w:r>
        <w:rPr>
          <w:spacing w:val="-3"/>
        </w:rPr>
        <w:t xml:space="preserve"> </w:t>
      </w:r>
      <w:r>
        <w:t>supply</w:t>
      </w:r>
      <w:r>
        <w:rPr>
          <w:spacing w:val="-2"/>
        </w:rPr>
        <w:t xml:space="preserve"> </w:t>
      </w:r>
      <w:r>
        <w:t>services.</w:t>
      </w:r>
      <w:r>
        <w:rPr>
          <w:spacing w:val="-3"/>
        </w:rPr>
        <w:t xml:space="preserve"> </w:t>
      </w:r>
      <w:r>
        <w:t>It</w:t>
      </w:r>
      <w:r>
        <w:rPr>
          <w:spacing w:val="-2"/>
        </w:rPr>
        <w:t xml:space="preserve"> </w:t>
      </w:r>
      <w:r>
        <w:t>includes</w:t>
      </w:r>
      <w:r>
        <w:rPr>
          <w:spacing w:val="-3"/>
        </w:rPr>
        <w:t xml:space="preserve"> </w:t>
      </w:r>
      <w:r>
        <w:t>current</w:t>
      </w:r>
      <w:r>
        <w:rPr>
          <w:spacing w:val="-2"/>
        </w:rPr>
        <w:t xml:space="preserve"> </w:t>
      </w:r>
      <w:r>
        <w:t>period performance review, and proposed customer outcomes, service standards, demand, operating and capital expenditure, revenue requirement, tariff structures and prices. Part C should be read in conjunction with:</w:t>
      </w:r>
    </w:p>
    <w:p w14:paraId="35D9F1EA" w14:textId="77777777" w:rsidR="00141B97" w:rsidRDefault="00911D63">
      <w:pPr>
        <w:pStyle w:val="ListParagraph"/>
        <w:numPr>
          <w:ilvl w:val="0"/>
          <w:numId w:val="35"/>
        </w:numPr>
        <w:tabs>
          <w:tab w:val="left" w:pos="834"/>
        </w:tabs>
        <w:spacing w:before="112" w:line="249" w:lineRule="auto"/>
        <w:ind w:right="949"/>
        <w:jc w:val="both"/>
      </w:pPr>
      <w:r>
        <w:t>Part A – covering LMW’s general business summary, governance and management, risk approach, customer</w:t>
      </w:r>
      <w:r>
        <w:rPr>
          <w:spacing w:val="-7"/>
        </w:rPr>
        <w:t xml:space="preserve"> </w:t>
      </w:r>
      <w:r>
        <w:t>views,</w:t>
      </w:r>
      <w:r>
        <w:rPr>
          <w:spacing w:val="-7"/>
        </w:rPr>
        <w:t xml:space="preserve"> </w:t>
      </w:r>
      <w:r>
        <w:t>strategic</w:t>
      </w:r>
      <w:r>
        <w:rPr>
          <w:spacing w:val="-7"/>
        </w:rPr>
        <w:t xml:space="preserve"> </w:t>
      </w:r>
      <w:r>
        <w:t>priorities</w:t>
      </w:r>
      <w:r>
        <w:rPr>
          <w:spacing w:val="-7"/>
        </w:rPr>
        <w:t xml:space="preserve"> </w:t>
      </w:r>
      <w:r>
        <w:t>and</w:t>
      </w:r>
      <w:r>
        <w:rPr>
          <w:spacing w:val="-7"/>
        </w:rPr>
        <w:t xml:space="preserve"> </w:t>
      </w:r>
      <w:r>
        <w:t>PREMO</w:t>
      </w:r>
      <w:r>
        <w:rPr>
          <w:spacing w:val="-6"/>
        </w:rPr>
        <w:t xml:space="preserve"> </w:t>
      </w:r>
      <w:r>
        <w:t>assessment</w:t>
      </w:r>
      <w:r>
        <w:rPr>
          <w:spacing w:val="-7"/>
        </w:rPr>
        <w:t xml:space="preserve"> </w:t>
      </w:r>
      <w:r>
        <w:t>that</w:t>
      </w:r>
      <w:r>
        <w:rPr>
          <w:spacing w:val="-7"/>
        </w:rPr>
        <w:t xml:space="preserve"> </w:t>
      </w:r>
      <w:r>
        <w:t>apply</w:t>
      </w:r>
      <w:r>
        <w:rPr>
          <w:spacing w:val="-8"/>
        </w:rPr>
        <w:t xml:space="preserve"> </w:t>
      </w:r>
      <w:r>
        <w:t>to</w:t>
      </w:r>
      <w:r>
        <w:rPr>
          <w:spacing w:val="-8"/>
        </w:rPr>
        <w:t xml:space="preserve"> </w:t>
      </w:r>
      <w:r>
        <w:t>both</w:t>
      </w:r>
      <w:r>
        <w:rPr>
          <w:spacing w:val="-8"/>
        </w:rPr>
        <w:t xml:space="preserve"> </w:t>
      </w:r>
      <w:r>
        <w:t>urban</w:t>
      </w:r>
      <w:r>
        <w:rPr>
          <w:spacing w:val="-8"/>
        </w:rPr>
        <w:t xml:space="preserve"> </w:t>
      </w:r>
      <w:r>
        <w:t>and</w:t>
      </w:r>
      <w:r>
        <w:rPr>
          <w:spacing w:val="-7"/>
        </w:rPr>
        <w:t xml:space="preserve"> </w:t>
      </w:r>
      <w:r>
        <w:t>rural</w:t>
      </w:r>
      <w:r>
        <w:rPr>
          <w:spacing w:val="-7"/>
        </w:rPr>
        <w:t xml:space="preserve"> </w:t>
      </w:r>
      <w:r>
        <w:t xml:space="preserve">business </w:t>
      </w:r>
      <w:r>
        <w:rPr>
          <w:spacing w:val="-2"/>
        </w:rPr>
        <w:t>units.</w:t>
      </w:r>
    </w:p>
    <w:p w14:paraId="05227AA0" w14:textId="77777777" w:rsidR="00141B97" w:rsidRDefault="00911D63">
      <w:pPr>
        <w:pStyle w:val="ListParagraph"/>
        <w:numPr>
          <w:ilvl w:val="0"/>
          <w:numId w:val="35"/>
        </w:numPr>
        <w:tabs>
          <w:tab w:val="left" w:pos="834"/>
        </w:tabs>
        <w:spacing w:before="110" w:line="249" w:lineRule="auto"/>
        <w:ind w:left="834" w:right="949" w:hanging="361"/>
        <w:jc w:val="both"/>
      </w:pPr>
      <w:r>
        <w:t>Part B ‐ specific urban proposal for customer outcomes, service standards, demand, operating and capital expenditure, revenue requirement, tariff structures and prices.</w:t>
      </w:r>
    </w:p>
    <w:p w14:paraId="16C6ECB9" w14:textId="77777777" w:rsidR="00141B97" w:rsidRDefault="00141B97">
      <w:pPr>
        <w:pStyle w:val="BodyText"/>
        <w:spacing w:before="3"/>
        <w:rPr>
          <w:sz w:val="30"/>
        </w:rPr>
      </w:pPr>
    </w:p>
    <w:p w14:paraId="68742935" w14:textId="77777777" w:rsidR="00141B97" w:rsidRDefault="00911D63">
      <w:pPr>
        <w:pStyle w:val="Heading2"/>
        <w:numPr>
          <w:ilvl w:val="1"/>
          <w:numId w:val="37"/>
        </w:numPr>
        <w:tabs>
          <w:tab w:val="left" w:pos="833"/>
          <w:tab w:val="left" w:pos="834"/>
        </w:tabs>
        <w:ind w:left="834" w:hanging="720"/>
        <w:rPr>
          <w:color w:val="009BAC"/>
        </w:rPr>
      </w:pPr>
      <w:r>
        <w:rPr>
          <w:color w:val="009BAC"/>
        </w:rPr>
        <w:t>Regulatory</w:t>
      </w:r>
      <w:r>
        <w:rPr>
          <w:color w:val="009BAC"/>
          <w:spacing w:val="-15"/>
        </w:rPr>
        <w:t xml:space="preserve"> </w:t>
      </w:r>
      <w:r>
        <w:rPr>
          <w:color w:val="009BAC"/>
          <w:spacing w:val="-2"/>
        </w:rPr>
        <w:t>Context</w:t>
      </w:r>
    </w:p>
    <w:p w14:paraId="4B5DB257" w14:textId="77777777" w:rsidR="00141B97" w:rsidRDefault="00911D63">
      <w:pPr>
        <w:pStyle w:val="BodyText"/>
        <w:spacing w:before="121"/>
        <w:ind w:left="114" w:right="948" w:hanging="1"/>
        <w:jc w:val="both"/>
      </w:pPr>
      <w:r>
        <w:t>For rural water services, LMW is subject to the Water Charge Rules (WCR) via the Commonwealth Water Act 2007 Section 7. The Australian Competition and Consumer Commission (ACCC) has determined that LMW has ceased</w:t>
      </w:r>
      <w:r>
        <w:rPr>
          <w:spacing w:val="-10"/>
        </w:rPr>
        <w:t xml:space="preserve"> </w:t>
      </w:r>
      <w:r>
        <w:t>to</w:t>
      </w:r>
      <w:r>
        <w:rPr>
          <w:spacing w:val="-11"/>
        </w:rPr>
        <w:t xml:space="preserve"> </w:t>
      </w:r>
      <w:r>
        <w:t>be</w:t>
      </w:r>
      <w:r>
        <w:rPr>
          <w:spacing w:val="-8"/>
        </w:rPr>
        <w:t xml:space="preserve"> </w:t>
      </w:r>
      <w:r>
        <w:t>a</w:t>
      </w:r>
      <w:r>
        <w:rPr>
          <w:spacing w:val="-10"/>
        </w:rPr>
        <w:t xml:space="preserve"> </w:t>
      </w:r>
      <w:r>
        <w:t>Part</w:t>
      </w:r>
      <w:r>
        <w:rPr>
          <w:spacing w:val="-10"/>
        </w:rPr>
        <w:t xml:space="preserve"> </w:t>
      </w:r>
      <w:r>
        <w:t>6</w:t>
      </w:r>
      <w:r>
        <w:rPr>
          <w:spacing w:val="-9"/>
        </w:rPr>
        <w:t xml:space="preserve"> </w:t>
      </w:r>
      <w:r>
        <w:t>operator.</w:t>
      </w:r>
      <w:r>
        <w:rPr>
          <w:spacing w:val="-8"/>
        </w:rPr>
        <w:t xml:space="preserve"> </w:t>
      </w:r>
      <w:r>
        <w:t>Hence,</w:t>
      </w:r>
      <w:r>
        <w:rPr>
          <w:spacing w:val="-10"/>
        </w:rPr>
        <w:t xml:space="preserve"> </w:t>
      </w:r>
      <w:r>
        <w:t>LMW</w:t>
      </w:r>
      <w:r>
        <w:rPr>
          <w:spacing w:val="-10"/>
        </w:rPr>
        <w:t xml:space="preserve"> </w:t>
      </w:r>
      <w:r>
        <w:t>is</w:t>
      </w:r>
      <w:r>
        <w:rPr>
          <w:spacing w:val="-9"/>
        </w:rPr>
        <w:t xml:space="preserve"> </w:t>
      </w:r>
      <w:r>
        <w:t>exempt</w:t>
      </w:r>
      <w:r>
        <w:rPr>
          <w:spacing w:val="-10"/>
        </w:rPr>
        <w:t xml:space="preserve"> </w:t>
      </w:r>
      <w:r>
        <w:t>from</w:t>
      </w:r>
      <w:r>
        <w:rPr>
          <w:spacing w:val="-10"/>
        </w:rPr>
        <w:t xml:space="preserve"> </w:t>
      </w:r>
      <w:r>
        <w:t>the</w:t>
      </w:r>
      <w:r>
        <w:rPr>
          <w:spacing w:val="-11"/>
        </w:rPr>
        <w:t xml:space="preserve"> </w:t>
      </w:r>
      <w:r>
        <w:t>Part</w:t>
      </w:r>
      <w:r>
        <w:rPr>
          <w:spacing w:val="-11"/>
        </w:rPr>
        <w:t xml:space="preserve"> </w:t>
      </w:r>
      <w:r>
        <w:t>6</w:t>
      </w:r>
      <w:r>
        <w:rPr>
          <w:spacing w:val="-10"/>
        </w:rPr>
        <w:t xml:space="preserve"> </w:t>
      </w:r>
      <w:r>
        <w:t>operator</w:t>
      </w:r>
      <w:r>
        <w:rPr>
          <w:spacing w:val="-9"/>
        </w:rPr>
        <w:t xml:space="preserve"> </w:t>
      </w:r>
      <w:r>
        <w:t>requirements</w:t>
      </w:r>
      <w:r>
        <w:rPr>
          <w:spacing w:val="-9"/>
        </w:rPr>
        <w:t xml:space="preserve"> </w:t>
      </w:r>
      <w:r>
        <w:t>of</w:t>
      </w:r>
      <w:r>
        <w:rPr>
          <w:spacing w:val="-10"/>
        </w:rPr>
        <w:t xml:space="preserve"> </w:t>
      </w:r>
      <w:r>
        <w:t>the</w:t>
      </w:r>
      <w:r>
        <w:rPr>
          <w:spacing w:val="-11"/>
        </w:rPr>
        <w:t xml:space="preserve"> </w:t>
      </w:r>
      <w:r>
        <w:t>WCR</w:t>
      </w:r>
      <w:r>
        <w:rPr>
          <w:spacing w:val="-11"/>
        </w:rPr>
        <w:t xml:space="preserve"> </w:t>
      </w:r>
      <w:r>
        <w:t>which relate to the determination of charges. The principles in Clause 11 of the Victorian Water Industry Regulatory Order (WIRO) apply to rural tariffs and charges pertaining to rural infrastructure services and are regulated by the Victorian Essential Services Commission (ESC) as from 1 July 2023.</w:t>
      </w:r>
    </w:p>
    <w:p w14:paraId="648F9682" w14:textId="77777777" w:rsidR="00141B97" w:rsidRDefault="00141B97">
      <w:pPr>
        <w:pStyle w:val="BodyText"/>
        <w:spacing w:before="12"/>
        <w:rPr>
          <w:sz w:val="21"/>
        </w:rPr>
      </w:pPr>
    </w:p>
    <w:p w14:paraId="738DF06F" w14:textId="77777777" w:rsidR="00141B97" w:rsidRDefault="00911D63">
      <w:pPr>
        <w:pStyle w:val="BodyText"/>
        <w:ind w:left="114" w:right="948"/>
        <w:jc w:val="both"/>
      </w:pPr>
      <w:r>
        <w:t>Other Commonwealth Water Act rules regulating water planning and management charges, the preparation, provision, and publication of schedules of charges, and termination fee rules still apply.</w:t>
      </w:r>
    </w:p>
    <w:p w14:paraId="274DD227" w14:textId="77777777" w:rsidR="00141B97" w:rsidRDefault="00141B97">
      <w:pPr>
        <w:pStyle w:val="BodyText"/>
        <w:spacing w:before="6"/>
        <w:rPr>
          <w:sz w:val="29"/>
        </w:rPr>
      </w:pPr>
    </w:p>
    <w:p w14:paraId="6F83F782" w14:textId="77777777" w:rsidR="00141B97" w:rsidRDefault="00911D63">
      <w:pPr>
        <w:pStyle w:val="Heading1"/>
        <w:numPr>
          <w:ilvl w:val="0"/>
          <w:numId w:val="37"/>
        </w:numPr>
        <w:tabs>
          <w:tab w:val="left" w:pos="682"/>
        </w:tabs>
        <w:spacing w:line="240" w:lineRule="auto"/>
      </w:pPr>
      <w:r>
        <w:rPr>
          <w:color w:val="006CA3"/>
          <w:spacing w:val="-2"/>
        </w:rPr>
        <w:t>Performance</w:t>
      </w:r>
    </w:p>
    <w:p w14:paraId="34BB3229" w14:textId="77777777" w:rsidR="00141B97" w:rsidRDefault="00911D63">
      <w:pPr>
        <w:pStyle w:val="BodyText"/>
        <w:spacing w:before="240"/>
        <w:ind w:left="113" w:right="962"/>
      </w:pPr>
      <w:r>
        <w:t>The review and assessment of LMW’s current regulatory period (PS4) performance largely sets the scene for this PS5 submission and serves the following specific purposes:</w:t>
      </w:r>
    </w:p>
    <w:p w14:paraId="0C801328" w14:textId="77777777" w:rsidR="00141B97" w:rsidRDefault="00911D63">
      <w:pPr>
        <w:pStyle w:val="ListParagraph"/>
        <w:numPr>
          <w:ilvl w:val="0"/>
          <w:numId w:val="36"/>
        </w:numPr>
        <w:tabs>
          <w:tab w:val="left" w:pos="833"/>
          <w:tab w:val="left" w:pos="834"/>
        </w:tabs>
        <w:spacing w:line="256" w:lineRule="auto"/>
        <w:ind w:right="948" w:hanging="361"/>
      </w:pPr>
      <w:r>
        <w:t>Identifies</w:t>
      </w:r>
      <w:r>
        <w:rPr>
          <w:spacing w:val="-10"/>
        </w:rPr>
        <w:t xml:space="preserve"> </w:t>
      </w:r>
      <w:r>
        <w:t>the</w:t>
      </w:r>
      <w:r>
        <w:rPr>
          <w:spacing w:val="-11"/>
        </w:rPr>
        <w:t xml:space="preserve"> </w:t>
      </w:r>
      <w:r>
        <w:t>magnitude</w:t>
      </w:r>
      <w:r>
        <w:rPr>
          <w:spacing w:val="-11"/>
        </w:rPr>
        <w:t xml:space="preserve"> </w:t>
      </w:r>
      <w:r>
        <w:t>and</w:t>
      </w:r>
      <w:r>
        <w:rPr>
          <w:spacing w:val="-12"/>
        </w:rPr>
        <w:t xml:space="preserve"> </w:t>
      </w:r>
      <w:r>
        <w:t>nature</w:t>
      </w:r>
      <w:r>
        <w:rPr>
          <w:spacing w:val="-11"/>
        </w:rPr>
        <w:t xml:space="preserve"> </w:t>
      </w:r>
      <w:r>
        <w:t>of</w:t>
      </w:r>
      <w:r>
        <w:rPr>
          <w:spacing w:val="-11"/>
        </w:rPr>
        <w:t xml:space="preserve"> </w:t>
      </w:r>
      <w:r>
        <w:t>any</w:t>
      </w:r>
      <w:r>
        <w:rPr>
          <w:spacing w:val="-11"/>
        </w:rPr>
        <w:t xml:space="preserve"> </w:t>
      </w:r>
      <w:r>
        <w:t>variances</w:t>
      </w:r>
      <w:r>
        <w:rPr>
          <w:spacing w:val="-11"/>
        </w:rPr>
        <w:t xml:space="preserve"> </w:t>
      </w:r>
      <w:r>
        <w:t>between</w:t>
      </w:r>
      <w:r>
        <w:rPr>
          <w:spacing w:val="-11"/>
        </w:rPr>
        <w:t xml:space="preserve"> </w:t>
      </w:r>
      <w:r>
        <w:t>actual</w:t>
      </w:r>
      <w:r>
        <w:rPr>
          <w:spacing w:val="-12"/>
        </w:rPr>
        <w:t xml:space="preserve"> </w:t>
      </w:r>
      <w:r>
        <w:t>and</w:t>
      </w:r>
      <w:r>
        <w:rPr>
          <w:spacing w:val="-10"/>
        </w:rPr>
        <w:t xml:space="preserve"> </w:t>
      </w:r>
      <w:r>
        <w:t>planned</w:t>
      </w:r>
      <w:r>
        <w:rPr>
          <w:spacing w:val="-11"/>
        </w:rPr>
        <w:t xml:space="preserve"> </w:t>
      </w:r>
      <w:r>
        <w:t>PS4</w:t>
      </w:r>
      <w:r>
        <w:rPr>
          <w:spacing w:val="-11"/>
        </w:rPr>
        <w:t xml:space="preserve"> </w:t>
      </w:r>
      <w:r>
        <w:t>performance</w:t>
      </w:r>
      <w:r>
        <w:rPr>
          <w:spacing w:val="-12"/>
        </w:rPr>
        <w:t xml:space="preserve"> </w:t>
      </w:r>
      <w:r>
        <w:t>and the reasons for them.</w:t>
      </w:r>
    </w:p>
    <w:p w14:paraId="286BAB37" w14:textId="77777777" w:rsidR="00141B97" w:rsidRDefault="00911D63">
      <w:pPr>
        <w:pStyle w:val="ListParagraph"/>
        <w:numPr>
          <w:ilvl w:val="0"/>
          <w:numId w:val="36"/>
        </w:numPr>
        <w:tabs>
          <w:tab w:val="left" w:pos="833"/>
          <w:tab w:val="left" w:pos="835"/>
        </w:tabs>
        <w:spacing w:line="256" w:lineRule="auto"/>
        <w:ind w:right="950"/>
      </w:pPr>
      <w:r>
        <w:t>Enables LMW to make any changes in performance (outcomes/service performance, capex and opex) to seek to better align with PS4 commitments over the balance of the regulatory period.</w:t>
      </w:r>
    </w:p>
    <w:p w14:paraId="459433F9" w14:textId="77777777" w:rsidR="00141B97" w:rsidRDefault="00911D63">
      <w:pPr>
        <w:pStyle w:val="ListParagraph"/>
        <w:numPr>
          <w:ilvl w:val="0"/>
          <w:numId w:val="36"/>
        </w:numPr>
        <w:tabs>
          <w:tab w:val="left" w:pos="833"/>
          <w:tab w:val="left" w:pos="834"/>
        </w:tabs>
        <w:spacing w:line="278" w:lineRule="exact"/>
        <w:ind w:left="833" w:hanging="361"/>
      </w:pPr>
      <w:r>
        <w:t>Informs</w:t>
      </w:r>
      <w:r>
        <w:rPr>
          <w:spacing w:val="-7"/>
        </w:rPr>
        <w:t xml:space="preserve"> </w:t>
      </w:r>
      <w:r>
        <w:t>the</w:t>
      </w:r>
      <w:r>
        <w:rPr>
          <w:spacing w:val="-7"/>
        </w:rPr>
        <w:t xml:space="preserve"> </w:t>
      </w:r>
      <w:r>
        <w:t>PREMO</w:t>
      </w:r>
      <w:r>
        <w:rPr>
          <w:spacing w:val="-6"/>
        </w:rPr>
        <w:t xml:space="preserve"> </w:t>
      </w:r>
      <w:r>
        <w:t>rating</w:t>
      </w:r>
      <w:r>
        <w:rPr>
          <w:spacing w:val="-6"/>
        </w:rPr>
        <w:t xml:space="preserve"> </w:t>
      </w:r>
      <w:r>
        <w:t>for</w:t>
      </w:r>
      <w:r>
        <w:rPr>
          <w:spacing w:val="-7"/>
        </w:rPr>
        <w:t xml:space="preserve"> </w:t>
      </w:r>
      <w:r>
        <w:rPr>
          <w:spacing w:val="-4"/>
        </w:rPr>
        <w:t>PS5.</w:t>
      </w:r>
    </w:p>
    <w:p w14:paraId="619AACE0" w14:textId="77777777" w:rsidR="00141B97" w:rsidRDefault="00911D63">
      <w:pPr>
        <w:pStyle w:val="ListParagraph"/>
        <w:numPr>
          <w:ilvl w:val="0"/>
          <w:numId w:val="36"/>
        </w:numPr>
        <w:tabs>
          <w:tab w:val="left" w:pos="833"/>
          <w:tab w:val="left" w:pos="834"/>
        </w:tabs>
        <w:spacing w:before="16" w:line="256" w:lineRule="auto"/>
        <w:ind w:left="833" w:right="951"/>
      </w:pPr>
      <w:r>
        <w:t>Supports establishment of an efficient</w:t>
      </w:r>
      <w:r>
        <w:rPr>
          <w:spacing w:val="20"/>
        </w:rPr>
        <w:t xml:space="preserve"> </w:t>
      </w:r>
      <w:r>
        <w:t>baseline opex for the 2021/22 year, as</w:t>
      </w:r>
      <w:r>
        <w:rPr>
          <w:spacing w:val="20"/>
        </w:rPr>
        <w:t xml:space="preserve"> </w:t>
      </w:r>
      <w:r>
        <w:t>the base year for PS5</w:t>
      </w:r>
      <w:r>
        <w:rPr>
          <w:spacing w:val="80"/>
        </w:rPr>
        <w:t xml:space="preserve"> </w:t>
      </w:r>
      <w:r>
        <w:rPr>
          <w:spacing w:val="-2"/>
        </w:rPr>
        <w:t>forecasts.</w:t>
      </w:r>
    </w:p>
    <w:p w14:paraId="05E6E9EA" w14:textId="77777777" w:rsidR="00141B97" w:rsidRDefault="00911D63">
      <w:pPr>
        <w:pStyle w:val="BodyText"/>
        <w:spacing w:before="169" w:line="252" w:lineRule="auto"/>
        <w:ind w:left="114" w:right="948" w:hanging="1"/>
        <w:jc w:val="both"/>
      </w:pPr>
      <w:r>
        <w:t>This section provides a summary of a more detailed assessment contained in a separate LMW PS4 Outcomes Review</w:t>
      </w:r>
      <w:r>
        <w:rPr>
          <w:vertAlign w:val="superscript"/>
        </w:rPr>
        <w:t>1</w:t>
      </w:r>
      <w:r>
        <w:t xml:space="preserve"> and describes LMW’s performance across the PS4 regulatory period to date with respect to four key areas of commitment:</w:t>
      </w:r>
    </w:p>
    <w:p w14:paraId="06A87600" w14:textId="77777777" w:rsidR="00141B97" w:rsidRDefault="00911D63">
      <w:pPr>
        <w:pStyle w:val="ListParagraph"/>
        <w:numPr>
          <w:ilvl w:val="0"/>
          <w:numId w:val="36"/>
        </w:numPr>
        <w:tabs>
          <w:tab w:val="left" w:pos="827"/>
          <w:tab w:val="left" w:pos="829"/>
        </w:tabs>
        <w:spacing w:before="104" w:line="280" w:lineRule="exact"/>
        <w:ind w:left="828" w:hanging="359"/>
      </w:pPr>
      <w:r>
        <w:t>PS4</w:t>
      </w:r>
      <w:r>
        <w:rPr>
          <w:spacing w:val="-7"/>
        </w:rPr>
        <w:t xml:space="preserve"> </w:t>
      </w:r>
      <w:r>
        <w:t>Customer</w:t>
      </w:r>
      <w:r>
        <w:rPr>
          <w:spacing w:val="-7"/>
        </w:rPr>
        <w:t xml:space="preserve"> </w:t>
      </w:r>
      <w:r>
        <w:rPr>
          <w:spacing w:val="-2"/>
        </w:rPr>
        <w:t>Outcomes.</w:t>
      </w:r>
    </w:p>
    <w:p w14:paraId="07C39620" w14:textId="77777777" w:rsidR="00141B97" w:rsidRDefault="00911D63">
      <w:pPr>
        <w:pStyle w:val="ListParagraph"/>
        <w:numPr>
          <w:ilvl w:val="0"/>
          <w:numId w:val="36"/>
        </w:numPr>
        <w:tabs>
          <w:tab w:val="left" w:pos="827"/>
          <w:tab w:val="left" w:pos="828"/>
        </w:tabs>
        <w:spacing w:line="280" w:lineRule="exact"/>
        <w:ind w:left="827" w:hanging="358"/>
      </w:pPr>
      <w:r>
        <w:t>Prices</w:t>
      </w:r>
      <w:r>
        <w:rPr>
          <w:spacing w:val="-7"/>
        </w:rPr>
        <w:t xml:space="preserve"> </w:t>
      </w:r>
      <w:r>
        <w:t>and</w:t>
      </w:r>
      <w:r>
        <w:rPr>
          <w:spacing w:val="-8"/>
        </w:rPr>
        <w:t xml:space="preserve"> </w:t>
      </w:r>
      <w:r>
        <w:rPr>
          <w:spacing w:val="-2"/>
        </w:rPr>
        <w:t>Revenues.</w:t>
      </w:r>
    </w:p>
    <w:p w14:paraId="7562FEF9" w14:textId="77777777" w:rsidR="00141B97" w:rsidRDefault="00911D63">
      <w:pPr>
        <w:pStyle w:val="ListParagraph"/>
        <w:numPr>
          <w:ilvl w:val="0"/>
          <w:numId w:val="36"/>
        </w:numPr>
        <w:tabs>
          <w:tab w:val="left" w:pos="827"/>
          <w:tab w:val="left" w:pos="828"/>
        </w:tabs>
        <w:ind w:left="827" w:hanging="358"/>
      </w:pPr>
      <w:r>
        <w:rPr>
          <w:spacing w:val="-2"/>
        </w:rPr>
        <w:t>Operating</w:t>
      </w:r>
      <w:r>
        <w:rPr>
          <w:spacing w:val="2"/>
        </w:rPr>
        <w:t xml:space="preserve"> </w:t>
      </w:r>
      <w:r>
        <w:rPr>
          <w:spacing w:val="-2"/>
        </w:rPr>
        <w:t>Expenditure.</w:t>
      </w:r>
    </w:p>
    <w:p w14:paraId="71DC7CE2" w14:textId="77777777" w:rsidR="00141B97" w:rsidRDefault="00911D63">
      <w:pPr>
        <w:pStyle w:val="ListParagraph"/>
        <w:numPr>
          <w:ilvl w:val="0"/>
          <w:numId w:val="36"/>
        </w:numPr>
        <w:tabs>
          <w:tab w:val="left" w:pos="827"/>
          <w:tab w:val="left" w:pos="828"/>
        </w:tabs>
        <w:spacing w:before="1"/>
        <w:ind w:left="827" w:hanging="358"/>
      </w:pPr>
      <w:r>
        <w:t>Capital</w:t>
      </w:r>
      <w:r>
        <w:rPr>
          <w:spacing w:val="-7"/>
        </w:rPr>
        <w:t xml:space="preserve"> </w:t>
      </w:r>
      <w:r>
        <w:rPr>
          <w:spacing w:val="-2"/>
        </w:rPr>
        <w:t>Expenditure.</w:t>
      </w:r>
    </w:p>
    <w:p w14:paraId="32AFCFA1" w14:textId="77777777" w:rsidR="00141B97" w:rsidRDefault="00141B97">
      <w:pPr>
        <w:pStyle w:val="BodyText"/>
        <w:rPr>
          <w:sz w:val="20"/>
        </w:rPr>
      </w:pPr>
    </w:p>
    <w:p w14:paraId="1DBD3220" w14:textId="77777777" w:rsidR="00141B97" w:rsidRDefault="00141B97">
      <w:pPr>
        <w:pStyle w:val="BodyText"/>
        <w:rPr>
          <w:sz w:val="20"/>
        </w:rPr>
      </w:pPr>
    </w:p>
    <w:p w14:paraId="7E38B8E8" w14:textId="77777777" w:rsidR="00141B97" w:rsidRDefault="00141B97">
      <w:pPr>
        <w:pStyle w:val="BodyText"/>
        <w:rPr>
          <w:sz w:val="20"/>
        </w:rPr>
      </w:pPr>
    </w:p>
    <w:p w14:paraId="611AA0D4" w14:textId="77777777" w:rsidR="00141B97" w:rsidRDefault="00141B97">
      <w:pPr>
        <w:pStyle w:val="BodyText"/>
        <w:rPr>
          <w:sz w:val="20"/>
        </w:rPr>
      </w:pPr>
    </w:p>
    <w:p w14:paraId="5598CB4B" w14:textId="26D8D3EE" w:rsidR="00141B97" w:rsidRDefault="00911D63">
      <w:pPr>
        <w:pStyle w:val="BodyText"/>
        <w:spacing w:before="5"/>
        <w:rPr>
          <w:sz w:val="17"/>
        </w:rPr>
      </w:pPr>
      <w:r>
        <w:rPr>
          <w:noProof/>
        </w:rPr>
        <mc:AlternateContent>
          <mc:Choice Requires="wps">
            <w:drawing>
              <wp:anchor distT="0" distB="0" distL="0" distR="0" simplePos="0" relativeHeight="487617024" behindDoc="1" locked="0" layoutInCell="1" allowOverlap="1" wp14:anchorId="5B43179C" wp14:editId="6569CC8B">
                <wp:simplePos x="0" y="0"/>
                <wp:positionH relativeFrom="page">
                  <wp:posOffset>720090</wp:posOffset>
                </wp:positionH>
                <wp:positionV relativeFrom="paragraph">
                  <wp:posOffset>150495</wp:posOffset>
                </wp:positionV>
                <wp:extent cx="1828800" cy="6350"/>
                <wp:effectExtent l="0" t="0" r="0" b="0"/>
                <wp:wrapTopAndBottom/>
                <wp:docPr id="28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59BD2" id="docshape135" o:spid="_x0000_s1026" style="position:absolute;margin-left:56.7pt;margin-top:11.85pt;width:2in;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" fillcolor="black" stroked="f">
                <w10:wrap type="topAndBottom" anchorx="page"/>
              </v:rect>
            </w:pict>
          </mc:Fallback>
        </mc:AlternateContent>
      </w:r>
    </w:p>
    <w:p w14:paraId="61BBD3C3" w14:textId="77777777" w:rsidR="00141B97" w:rsidRDefault="00141B97">
      <w:pPr>
        <w:pStyle w:val="BodyText"/>
        <w:spacing w:before="3"/>
        <w:rPr>
          <w:sz w:val="8"/>
        </w:rPr>
      </w:pPr>
    </w:p>
    <w:p w14:paraId="7DB7BFAB" w14:textId="77777777" w:rsidR="00141B97" w:rsidRDefault="00911D63">
      <w:pPr>
        <w:spacing w:before="83"/>
        <w:ind w:left="114"/>
        <w:rPr>
          <w:sz w:val="16"/>
        </w:rPr>
      </w:pPr>
      <w:r>
        <w:rPr>
          <w:sz w:val="16"/>
          <w:vertAlign w:val="superscript"/>
        </w:rPr>
        <w:t>1</w:t>
      </w:r>
      <w:r>
        <w:rPr>
          <w:spacing w:val="-5"/>
          <w:sz w:val="16"/>
        </w:rPr>
        <w:t xml:space="preserve"> </w:t>
      </w:r>
      <w:r>
        <w:rPr>
          <w:sz w:val="16"/>
        </w:rPr>
        <w:t>Lower</w:t>
      </w:r>
      <w:r>
        <w:rPr>
          <w:spacing w:val="-5"/>
          <w:sz w:val="16"/>
        </w:rPr>
        <w:t xml:space="preserve"> </w:t>
      </w:r>
      <w:r>
        <w:rPr>
          <w:sz w:val="16"/>
        </w:rPr>
        <w:t>Murray</w:t>
      </w:r>
      <w:r>
        <w:rPr>
          <w:spacing w:val="-4"/>
          <w:sz w:val="16"/>
        </w:rPr>
        <w:t xml:space="preserve"> </w:t>
      </w:r>
      <w:r>
        <w:rPr>
          <w:sz w:val="16"/>
        </w:rPr>
        <w:t>Water</w:t>
      </w:r>
      <w:r>
        <w:rPr>
          <w:spacing w:val="-5"/>
          <w:sz w:val="16"/>
        </w:rPr>
        <w:t xml:space="preserve"> </w:t>
      </w:r>
      <w:r>
        <w:rPr>
          <w:sz w:val="16"/>
        </w:rPr>
        <w:t>PS4</w:t>
      </w:r>
      <w:r>
        <w:rPr>
          <w:spacing w:val="-5"/>
          <w:sz w:val="16"/>
        </w:rPr>
        <w:t xml:space="preserve"> </w:t>
      </w:r>
      <w:r>
        <w:rPr>
          <w:sz w:val="16"/>
        </w:rPr>
        <w:t>Outcomes</w:t>
      </w:r>
      <w:r>
        <w:rPr>
          <w:spacing w:val="-4"/>
          <w:sz w:val="16"/>
        </w:rPr>
        <w:t xml:space="preserve"> </w:t>
      </w:r>
      <w:r>
        <w:rPr>
          <w:sz w:val="16"/>
        </w:rPr>
        <w:t>Review,</w:t>
      </w:r>
      <w:r>
        <w:rPr>
          <w:spacing w:val="-4"/>
          <w:sz w:val="16"/>
        </w:rPr>
        <w:t xml:space="preserve"> </w:t>
      </w:r>
      <w:r>
        <w:rPr>
          <w:sz w:val="16"/>
        </w:rPr>
        <w:t>23</w:t>
      </w:r>
      <w:r>
        <w:rPr>
          <w:spacing w:val="-5"/>
          <w:sz w:val="16"/>
        </w:rPr>
        <w:t xml:space="preserve"> </w:t>
      </w:r>
      <w:r>
        <w:rPr>
          <w:sz w:val="16"/>
        </w:rPr>
        <w:t>September</w:t>
      </w:r>
      <w:r>
        <w:rPr>
          <w:spacing w:val="-4"/>
          <w:sz w:val="16"/>
        </w:rPr>
        <w:t xml:space="preserve"> 2022</w:t>
      </w:r>
    </w:p>
    <w:p w14:paraId="0D410F8A" w14:textId="77777777" w:rsidR="00141B97" w:rsidRDefault="00141B97">
      <w:pPr>
        <w:rPr>
          <w:sz w:val="16"/>
        </w:rPr>
        <w:sectPr w:rsidR="00141B97">
          <w:pgSz w:w="11910" w:h="16840"/>
          <w:pgMar w:top="860" w:right="40" w:bottom="780" w:left="1020" w:header="0" w:footer="586" w:gutter="0"/>
          <w:cols w:space="720"/>
        </w:sectPr>
      </w:pPr>
    </w:p>
    <w:p w14:paraId="13FDE3E6" w14:textId="77777777" w:rsidR="00141B97" w:rsidRDefault="00911D63">
      <w:pPr>
        <w:pStyle w:val="BodyText"/>
        <w:spacing w:before="42" w:line="252" w:lineRule="auto"/>
        <w:ind w:left="113" w:right="948"/>
        <w:jc w:val="both"/>
      </w:pPr>
      <w:r>
        <w:lastRenderedPageBreak/>
        <w:t>Overall, LMW’s rural business comprehensively met its performance commitments set in PS4 across the four dimensions of customer service outcomes, prices, operating expenditure, and capital expenditure. These are briefly discussed, in turn, below.</w:t>
      </w:r>
    </w:p>
    <w:p w14:paraId="0E1C9BF7" w14:textId="77777777" w:rsidR="00141B97" w:rsidRDefault="00141B97">
      <w:pPr>
        <w:pStyle w:val="BodyText"/>
        <w:spacing w:before="9"/>
        <w:rPr>
          <w:sz w:val="29"/>
        </w:rPr>
      </w:pPr>
    </w:p>
    <w:p w14:paraId="7A98090D" w14:textId="77777777" w:rsidR="00141B97" w:rsidRDefault="00911D63">
      <w:pPr>
        <w:pStyle w:val="Heading2"/>
        <w:numPr>
          <w:ilvl w:val="1"/>
          <w:numId w:val="37"/>
        </w:numPr>
        <w:tabs>
          <w:tab w:val="left" w:pos="809"/>
        </w:tabs>
        <w:ind w:left="808" w:hanging="695"/>
        <w:jc w:val="both"/>
        <w:rPr>
          <w:color w:val="009BAC"/>
        </w:rPr>
      </w:pPr>
      <w:r>
        <w:rPr>
          <w:color w:val="009BAC"/>
        </w:rPr>
        <w:t>PS4</w:t>
      </w:r>
      <w:r>
        <w:rPr>
          <w:color w:val="009BAC"/>
          <w:spacing w:val="-8"/>
        </w:rPr>
        <w:t xml:space="preserve"> </w:t>
      </w:r>
      <w:r>
        <w:rPr>
          <w:color w:val="009BAC"/>
        </w:rPr>
        <w:t>Customer</w:t>
      </w:r>
      <w:r>
        <w:rPr>
          <w:color w:val="009BAC"/>
          <w:spacing w:val="-8"/>
        </w:rPr>
        <w:t xml:space="preserve"> </w:t>
      </w:r>
      <w:r>
        <w:rPr>
          <w:color w:val="009BAC"/>
          <w:spacing w:val="-2"/>
        </w:rPr>
        <w:t>Outcomes</w:t>
      </w:r>
    </w:p>
    <w:p w14:paraId="35A02C03" w14:textId="77777777" w:rsidR="00141B97" w:rsidRDefault="00911D63">
      <w:pPr>
        <w:pStyle w:val="BodyText"/>
        <w:spacing w:before="131" w:line="249" w:lineRule="auto"/>
        <w:ind w:left="113" w:right="946"/>
        <w:jc w:val="both"/>
      </w:pPr>
      <w:r>
        <w:t>As shown in Table C1, LMW has met or bettered its targets consistently for all four years of the PS4 period to date for two of the four outcomes, falling slightly short only in 2018‐19 for Outcome 3, and in 2020‐21 for Outcome 4.</w:t>
      </w:r>
    </w:p>
    <w:p w14:paraId="5CC54555" w14:textId="77777777" w:rsidR="00141B97" w:rsidRDefault="00141B97">
      <w:pPr>
        <w:pStyle w:val="BodyText"/>
        <w:spacing w:before="8"/>
        <w:rPr>
          <w:sz w:val="10"/>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2"/>
        <w:gridCol w:w="4526"/>
        <w:gridCol w:w="1275"/>
        <w:gridCol w:w="817"/>
        <w:gridCol w:w="903"/>
        <w:gridCol w:w="830"/>
        <w:gridCol w:w="835"/>
      </w:tblGrid>
      <w:tr w:rsidR="00141B97" w14:paraId="7E1D5FF1" w14:textId="77777777">
        <w:trPr>
          <w:trHeight w:val="419"/>
        </w:trPr>
        <w:tc>
          <w:tcPr>
            <w:tcW w:w="6193" w:type="dxa"/>
            <w:gridSpan w:val="3"/>
            <w:tcBorders>
              <w:top w:val="nil"/>
              <w:left w:val="nil"/>
            </w:tcBorders>
            <w:shd w:val="clear" w:color="auto" w:fill="4886A0"/>
          </w:tcPr>
          <w:p w14:paraId="1701AA58" w14:textId="77777777" w:rsidR="00141B97" w:rsidRDefault="00911D63">
            <w:pPr>
              <w:pStyle w:val="TableParagraph"/>
              <w:spacing w:before="88"/>
              <w:ind w:left="1772"/>
              <w:rPr>
                <w:sz w:val="20"/>
              </w:rPr>
            </w:pPr>
            <w:r>
              <w:rPr>
                <w:color w:val="FFFFFF"/>
                <w:spacing w:val="-2"/>
                <w:sz w:val="20"/>
              </w:rPr>
              <w:t>Outcome/Performance</w:t>
            </w:r>
            <w:r>
              <w:rPr>
                <w:color w:val="FFFFFF"/>
                <w:spacing w:val="20"/>
                <w:sz w:val="20"/>
              </w:rPr>
              <w:t xml:space="preserve"> </w:t>
            </w:r>
            <w:r>
              <w:rPr>
                <w:color w:val="FFFFFF"/>
                <w:spacing w:val="-2"/>
                <w:sz w:val="20"/>
              </w:rPr>
              <w:t>Measure</w:t>
            </w:r>
          </w:p>
        </w:tc>
        <w:tc>
          <w:tcPr>
            <w:tcW w:w="817" w:type="dxa"/>
            <w:tcBorders>
              <w:top w:val="nil"/>
              <w:right w:val="nil"/>
            </w:tcBorders>
            <w:shd w:val="clear" w:color="auto" w:fill="4886A0"/>
          </w:tcPr>
          <w:p w14:paraId="35F0AAFD" w14:textId="77777777" w:rsidR="00141B97" w:rsidRDefault="00911D63">
            <w:pPr>
              <w:pStyle w:val="TableParagraph"/>
              <w:spacing w:before="101"/>
              <w:ind w:left="120" w:right="119"/>
              <w:jc w:val="center"/>
              <w:rPr>
                <w:sz w:val="18"/>
              </w:rPr>
            </w:pPr>
            <w:r>
              <w:rPr>
                <w:color w:val="FFFFFF"/>
                <w:spacing w:val="-2"/>
                <w:sz w:val="18"/>
              </w:rPr>
              <w:t>18‐19</w:t>
            </w:r>
          </w:p>
        </w:tc>
        <w:tc>
          <w:tcPr>
            <w:tcW w:w="903" w:type="dxa"/>
            <w:tcBorders>
              <w:top w:val="nil"/>
              <w:left w:val="nil"/>
              <w:right w:val="nil"/>
            </w:tcBorders>
            <w:shd w:val="clear" w:color="auto" w:fill="4886A0"/>
          </w:tcPr>
          <w:p w14:paraId="6CDC8E83" w14:textId="77777777" w:rsidR="00141B97" w:rsidRDefault="00911D63">
            <w:pPr>
              <w:pStyle w:val="TableParagraph"/>
              <w:spacing w:before="101"/>
              <w:ind w:left="169" w:right="167"/>
              <w:jc w:val="center"/>
              <w:rPr>
                <w:sz w:val="18"/>
              </w:rPr>
            </w:pPr>
            <w:r>
              <w:rPr>
                <w:color w:val="FFFFFF"/>
                <w:spacing w:val="-2"/>
                <w:sz w:val="18"/>
              </w:rPr>
              <w:t>19‐20</w:t>
            </w:r>
          </w:p>
        </w:tc>
        <w:tc>
          <w:tcPr>
            <w:tcW w:w="830" w:type="dxa"/>
            <w:tcBorders>
              <w:top w:val="nil"/>
              <w:left w:val="nil"/>
              <w:right w:val="nil"/>
            </w:tcBorders>
            <w:shd w:val="clear" w:color="auto" w:fill="4886A0"/>
          </w:tcPr>
          <w:p w14:paraId="6454394A" w14:textId="77777777" w:rsidR="00141B97" w:rsidRDefault="00911D63">
            <w:pPr>
              <w:pStyle w:val="TableParagraph"/>
              <w:spacing w:before="101"/>
              <w:ind w:left="133" w:right="129"/>
              <w:jc w:val="center"/>
              <w:rPr>
                <w:sz w:val="18"/>
              </w:rPr>
            </w:pPr>
            <w:r>
              <w:rPr>
                <w:color w:val="FFFFFF"/>
                <w:spacing w:val="-2"/>
                <w:sz w:val="18"/>
              </w:rPr>
              <w:t>20‐21</w:t>
            </w:r>
          </w:p>
        </w:tc>
        <w:tc>
          <w:tcPr>
            <w:tcW w:w="835" w:type="dxa"/>
            <w:tcBorders>
              <w:top w:val="nil"/>
              <w:left w:val="nil"/>
              <w:right w:val="nil"/>
            </w:tcBorders>
            <w:shd w:val="clear" w:color="auto" w:fill="4886A0"/>
          </w:tcPr>
          <w:p w14:paraId="0E26B5E9" w14:textId="77777777" w:rsidR="00141B97" w:rsidRDefault="00911D63">
            <w:pPr>
              <w:pStyle w:val="TableParagraph"/>
              <w:spacing w:before="101"/>
              <w:ind w:left="142" w:right="127"/>
              <w:jc w:val="center"/>
              <w:rPr>
                <w:sz w:val="18"/>
              </w:rPr>
            </w:pPr>
            <w:r>
              <w:rPr>
                <w:color w:val="FFFFFF"/>
                <w:spacing w:val="-2"/>
                <w:sz w:val="18"/>
              </w:rPr>
              <w:t>21‐22</w:t>
            </w:r>
          </w:p>
        </w:tc>
      </w:tr>
      <w:tr w:rsidR="00141B97" w14:paraId="3DE7A14F" w14:textId="77777777">
        <w:trPr>
          <w:trHeight w:val="284"/>
        </w:trPr>
        <w:tc>
          <w:tcPr>
            <w:tcW w:w="6193" w:type="dxa"/>
            <w:gridSpan w:val="3"/>
            <w:tcBorders>
              <w:left w:val="nil"/>
            </w:tcBorders>
            <w:shd w:val="clear" w:color="auto" w:fill="D0CECE"/>
          </w:tcPr>
          <w:p w14:paraId="47F69883" w14:textId="77777777" w:rsidR="00141B97" w:rsidRDefault="00911D63">
            <w:pPr>
              <w:pStyle w:val="TableParagraph"/>
              <w:spacing w:before="1"/>
              <w:ind w:left="88"/>
              <w:rPr>
                <w:sz w:val="18"/>
              </w:rPr>
            </w:pPr>
            <w:r>
              <w:rPr>
                <w:sz w:val="18"/>
              </w:rPr>
              <w:t>#</w:t>
            </w:r>
            <w:r>
              <w:rPr>
                <w:spacing w:val="-3"/>
                <w:sz w:val="18"/>
              </w:rPr>
              <w:t xml:space="preserve"> </w:t>
            </w:r>
            <w:r>
              <w:rPr>
                <w:sz w:val="18"/>
              </w:rPr>
              <w:t>1:</w:t>
            </w:r>
            <w:r>
              <w:rPr>
                <w:spacing w:val="-1"/>
                <w:sz w:val="18"/>
              </w:rPr>
              <w:t xml:space="preserve"> </w:t>
            </w:r>
            <w:r>
              <w:rPr>
                <w:sz w:val="18"/>
              </w:rPr>
              <w:t>Supply</w:t>
            </w:r>
            <w:r>
              <w:rPr>
                <w:spacing w:val="-1"/>
                <w:sz w:val="18"/>
              </w:rPr>
              <w:t xml:space="preserve"> </w:t>
            </w:r>
            <w:r>
              <w:rPr>
                <w:sz w:val="18"/>
              </w:rPr>
              <w:t>me</w:t>
            </w:r>
            <w:r>
              <w:rPr>
                <w:spacing w:val="-1"/>
                <w:sz w:val="18"/>
              </w:rPr>
              <w:t xml:space="preserve"> </w:t>
            </w:r>
            <w:r>
              <w:rPr>
                <w:sz w:val="18"/>
              </w:rPr>
              <w:t>with</w:t>
            </w:r>
            <w:r>
              <w:rPr>
                <w:spacing w:val="-1"/>
                <w:sz w:val="18"/>
              </w:rPr>
              <w:t xml:space="preserve"> </w:t>
            </w:r>
            <w:r>
              <w:rPr>
                <w:sz w:val="18"/>
              </w:rPr>
              <w:t>water when</w:t>
            </w:r>
            <w:r>
              <w:rPr>
                <w:spacing w:val="-2"/>
                <w:sz w:val="18"/>
              </w:rPr>
              <w:t xml:space="preserve"> </w:t>
            </w:r>
            <w:r>
              <w:rPr>
                <w:sz w:val="18"/>
              </w:rPr>
              <w:t xml:space="preserve">I need </w:t>
            </w:r>
            <w:r>
              <w:rPr>
                <w:spacing w:val="-5"/>
                <w:sz w:val="18"/>
              </w:rPr>
              <w:t>it</w:t>
            </w:r>
          </w:p>
        </w:tc>
        <w:tc>
          <w:tcPr>
            <w:tcW w:w="3385" w:type="dxa"/>
            <w:gridSpan w:val="4"/>
            <w:tcBorders>
              <w:right w:val="nil"/>
            </w:tcBorders>
            <w:shd w:val="clear" w:color="auto" w:fill="00B04F"/>
          </w:tcPr>
          <w:p w14:paraId="5A45AC16" w14:textId="77777777" w:rsidR="00141B97" w:rsidRDefault="00141B97">
            <w:pPr>
              <w:pStyle w:val="TableParagraph"/>
              <w:rPr>
                <w:rFonts w:ascii="Times New Roman"/>
                <w:sz w:val="20"/>
              </w:rPr>
            </w:pPr>
          </w:p>
        </w:tc>
      </w:tr>
      <w:tr w:rsidR="00141B97" w14:paraId="4192809C" w14:textId="77777777">
        <w:trPr>
          <w:trHeight w:val="220"/>
        </w:trPr>
        <w:tc>
          <w:tcPr>
            <w:tcW w:w="392" w:type="dxa"/>
            <w:tcBorders>
              <w:left w:val="nil"/>
            </w:tcBorders>
            <w:shd w:val="clear" w:color="auto" w:fill="F1F1F1"/>
          </w:tcPr>
          <w:p w14:paraId="7A241AF4" w14:textId="77777777" w:rsidR="00141B97" w:rsidRDefault="00911D63">
            <w:pPr>
              <w:pStyle w:val="TableParagraph"/>
              <w:spacing w:before="1"/>
              <w:ind w:left="88"/>
              <w:rPr>
                <w:sz w:val="16"/>
              </w:rPr>
            </w:pPr>
            <w:r>
              <w:rPr>
                <w:w w:val="99"/>
                <w:sz w:val="16"/>
              </w:rPr>
              <w:t>a</w:t>
            </w:r>
          </w:p>
        </w:tc>
        <w:tc>
          <w:tcPr>
            <w:tcW w:w="4526" w:type="dxa"/>
            <w:shd w:val="clear" w:color="auto" w:fill="F1F1F1"/>
          </w:tcPr>
          <w:p w14:paraId="562AF8E0" w14:textId="77777777" w:rsidR="00141B97" w:rsidRDefault="00911D63">
            <w:pPr>
              <w:pStyle w:val="TableParagraph"/>
              <w:spacing w:before="1" w:line="199" w:lineRule="exact"/>
              <w:ind w:left="97"/>
              <w:rPr>
                <w:sz w:val="18"/>
              </w:rPr>
            </w:pPr>
            <w:r>
              <w:rPr>
                <w:sz w:val="18"/>
              </w:rPr>
              <w:t>Water</w:t>
            </w:r>
            <w:r>
              <w:rPr>
                <w:spacing w:val="-4"/>
                <w:sz w:val="18"/>
              </w:rPr>
              <w:t xml:space="preserve"> </w:t>
            </w:r>
            <w:r>
              <w:rPr>
                <w:sz w:val="18"/>
              </w:rPr>
              <w:t>orders</w:t>
            </w:r>
            <w:r>
              <w:rPr>
                <w:spacing w:val="-1"/>
                <w:sz w:val="18"/>
              </w:rPr>
              <w:t xml:space="preserve"> </w:t>
            </w:r>
            <w:r>
              <w:rPr>
                <w:sz w:val="18"/>
              </w:rPr>
              <w:t>delivered</w:t>
            </w:r>
            <w:r>
              <w:rPr>
                <w:spacing w:val="-2"/>
                <w:sz w:val="18"/>
              </w:rPr>
              <w:t xml:space="preserve"> </w:t>
            </w:r>
            <w:r>
              <w:rPr>
                <w:sz w:val="18"/>
              </w:rPr>
              <w:t>on</w:t>
            </w:r>
            <w:r>
              <w:rPr>
                <w:spacing w:val="-1"/>
                <w:sz w:val="18"/>
              </w:rPr>
              <w:t xml:space="preserve"> </w:t>
            </w:r>
            <w:r>
              <w:rPr>
                <w:sz w:val="18"/>
              </w:rPr>
              <w:t>time</w:t>
            </w:r>
            <w:r>
              <w:rPr>
                <w:spacing w:val="-2"/>
                <w:sz w:val="18"/>
              </w:rPr>
              <w:t xml:space="preserve"> </w:t>
            </w:r>
            <w:r>
              <w:rPr>
                <w:sz w:val="18"/>
              </w:rPr>
              <w:t>(whole</w:t>
            </w:r>
            <w:r>
              <w:rPr>
                <w:spacing w:val="-2"/>
                <w:sz w:val="18"/>
              </w:rPr>
              <w:t xml:space="preserve"> </w:t>
            </w:r>
            <w:r>
              <w:rPr>
                <w:sz w:val="18"/>
              </w:rPr>
              <w:t>of</w:t>
            </w:r>
            <w:r>
              <w:rPr>
                <w:spacing w:val="-1"/>
                <w:sz w:val="18"/>
              </w:rPr>
              <w:t xml:space="preserve"> </w:t>
            </w:r>
            <w:r>
              <w:rPr>
                <w:sz w:val="18"/>
              </w:rPr>
              <w:t>rural</w:t>
            </w:r>
            <w:r>
              <w:rPr>
                <w:spacing w:val="-2"/>
                <w:sz w:val="18"/>
              </w:rPr>
              <w:t xml:space="preserve"> business)</w:t>
            </w:r>
          </w:p>
        </w:tc>
        <w:tc>
          <w:tcPr>
            <w:tcW w:w="1275" w:type="dxa"/>
            <w:shd w:val="clear" w:color="auto" w:fill="F1F1F1"/>
          </w:tcPr>
          <w:p w14:paraId="499A9B7E" w14:textId="77777777" w:rsidR="00141B97" w:rsidRDefault="00911D63">
            <w:pPr>
              <w:pStyle w:val="TableParagraph"/>
              <w:spacing w:before="1" w:line="199" w:lineRule="exact"/>
              <w:ind w:left="122" w:right="121"/>
              <w:jc w:val="center"/>
              <w:rPr>
                <w:sz w:val="18"/>
              </w:rPr>
            </w:pPr>
            <w:r>
              <w:rPr>
                <w:spacing w:val="-2"/>
                <w:sz w:val="18"/>
              </w:rPr>
              <w:t>Percentage</w:t>
            </w:r>
          </w:p>
        </w:tc>
        <w:tc>
          <w:tcPr>
            <w:tcW w:w="817" w:type="dxa"/>
            <w:tcBorders>
              <w:right w:val="nil"/>
            </w:tcBorders>
            <w:shd w:val="clear" w:color="auto" w:fill="00B04F"/>
          </w:tcPr>
          <w:p w14:paraId="4B4BFCC0" w14:textId="77777777" w:rsidR="00141B97" w:rsidRDefault="00911D63">
            <w:pPr>
              <w:pStyle w:val="TableParagraph"/>
              <w:spacing w:before="1" w:line="199" w:lineRule="exact"/>
              <w:ind w:left="122" w:right="119"/>
              <w:jc w:val="center"/>
              <w:rPr>
                <w:sz w:val="18"/>
              </w:rPr>
            </w:pPr>
            <w:r>
              <w:rPr>
                <w:spacing w:val="-2"/>
                <w:sz w:val="18"/>
              </w:rPr>
              <w:t>99.85%</w:t>
            </w:r>
          </w:p>
        </w:tc>
        <w:tc>
          <w:tcPr>
            <w:tcW w:w="903" w:type="dxa"/>
            <w:tcBorders>
              <w:left w:val="nil"/>
              <w:right w:val="nil"/>
            </w:tcBorders>
            <w:shd w:val="clear" w:color="auto" w:fill="00B04F"/>
          </w:tcPr>
          <w:p w14:paraId="3D2C32A2" w14:textId="77777777" w:rsidR="00141B97" w:rsidRDefault="00911D63">
            <w:pPr>
              <w:pStyle w:val="TableParagraph"/>
              <w:spacing w:before="1" w:line="199" w:lineRule="exact"/>
              <w:ind w:left="171" w:right="167"/>
              <w:jc w:val="center"/>
              <w:rPr>
                <w:sz w:val="18"/>
              </w:rPr>
            </w:pPr>
            <w:r>
              <w:rPr>
                <w:spacing w:val="-2"/>
                <w:sz w:val="18"/>
              </w:rPr>
              <w:t>99.71%</w:t>
            </w:r>
          </w:p>
        </w:tc>
        <w:tc>
          <w:tcPr>
            <w:tcW w:w="830" w:type="dxa"/>
            <w:tcBorders>
              <w:left w:val="nil"/>
              <w:right w:val="nil"/>
            </w:tcBorders>
            <w:shd w:val="clear" w:color="auto" w:fill="00B04F"/>
          </w:tcPr>
          <w:p w14:paraId="639F455E" w14:textId="77777777" w:rsidR="00141B97" w:rsidRDefault="00911D63">
            <w:pPr>
              <w:pStyle w:val="TableParagraph"/>
              <w:spacing w:before="1" w:line="199" w:lineRule="exact"/>
              <w:ind w:left="135" w:right="129"/>
              <w:jc w:val="center"/>
              <w:rPr>
                <w:sz w:val="18"/>
              </w:rPr>
            </w:pPr>
            <w:r>
              <w:rPr>
                <w:spacing w:val="-2"/>
                <w:sz w:val="18"/>
              </w:rPr>
              <w:t>99.76%</w:t>
            </w:r>
          </w:p>
        </w:tc>
        <w:tc>
          <w:tcPr>
            <w:tcW w:w="835" w:type="dxa"/>
            <w:tcBorders>
              <w:left w:val="nil"/>
              <w:right w:val="nil"/>
            </w:tcBorders>
            <w:shd w:val="clear" w:color="auto" w:fill="00B04F"/>
          </w:tcPr>
          <w:p w14:paraId="70352327" w14:textId="77777777" w:rsidR="00141B97" w:rsidRDefault="00911D63">
            <w:pPr>
              <w:pStyle w:val="TableParagraph"/>
              <w:spacing w:before="1" w:line="199" w:lineRule="exact"/>
              <w:ind w:left="142" w:right="128"/>
              <w:jc w:val="center"/>
              <w:rPr>
                <w:sz w:val="18"/>
              </w:rPr>
            </w:pPr>
            <w:r>
              <w:rPr>
                <w:spacing w:val="-2"/>
                <w:sz w:val="18"/>
              </w:rPr>
              <w:t>99.90%</w:t>
            </w:r>
          </w:p>
        </w:tc>
      </w:tr>
      <w:tr w:rsidR="00141B97" w14:paraId="0A797238" w14:textId="77777777">
        <w:trPr>
          <w:trHeight w:val="220"/>
        </w:trPr>
        <w:tc>
          <w:tcPr>
            <w:tcW w:w="392" w:type="dxa"/>
            <w:tcBorders>
              <w:left w:val="nil"/>
            </w:tcBorders>
            <w:shd w:val="clear" w:color="auto" w:fill="F1F1F1"/>
          </w:tcPr>
          <w:p w14:paraId="2C5CBAD0" w14:textId="77777777" w:rsidR="00141B97" w:rsidRDefault="00911D63">
            <w:pPr>
              <w:pStyle w:val="TableParagraph"/>
              <w:spacing w:before="1"/>
              <w:ind w:left="88"/>
              <w:rPr>
                <w:sz w:val="16"/>
              </w:rPr>
            </w:pPr>
            <w:r>
              <w:rPr>
                <w:w w:val="99"/>
                <w:sz w:val="16"/>
              </w:rPr>
              <w:t>b</w:t>
            </w:r>
          </w:p>
        </w:tc>
        <w:tc>
          <w:tcPr>
            <w:tcW w:w="4526" w:type="dxa"/>
            <w:shd w:val="clear" w:color="auto" w:fill="F1F1F1"/>
          </w:tcPr>
          <w:p w14:paraId="7C7784BE" w14:textId="77777777" w:rsidR="00141B97" w:rsidRDefault="00911D63">
            <w:pPr>
              <w:pStyle w:val="TableParagraph"/>
              <w:spacing w:before="1" w:line="199" w:lineRule="exact"/>
              <w:ind w:left="97"/>
              <w:rPr>
                <w:sz w:val="18"/>
              </w:rPr>
            </w:pPr>
            <w:r>
              <w:rPr>
                <w:sz w:val="18"/>
              </w:rPr>
              <w:t>Channel</w:t>
            </w:r>
            <w:r>
              <w:rPr>
                <w:spacing w:val="-3"/>
                <w:sz w:val="18"/>
              </w:rPr>
              <w:t xml:space="preserve"> </w:t>
            </w:r>
            <w:r>
              <w:rPr>
                <w:sz w:val="18"/>
              </w:rPr>
              <w:t>/</w:t>
            </w:r>
            <w:r>
              <w:rPr>
                <w:spacing w:val="-1"/>
                <w:sz w:val="18"/>
              </w:rPr>
              <w:t xml:space="preserve"> </w:t>
            </w:r>
            <w:r>
              <w:rPr>
                <w:sz w:val="18"/>
              </w:rPr>
              <w:t>pipe</w:t>
            </w:r>
            <w:r>
              <w:rPr>
                <w:spacing w:val="-2"/>
                <w:sz w:val="18"/>
              </w:rPr>
              <w:t xml:space="preserve"> </w:t>
            </w:r>
            <w:r>
              <w:rPr>
                <w:sz w:val="18"/>
              </w:rPr>
              <w:t>bursts</w:t>
            </w:r>
            <w:r>
              <w:rPr>
                <w:spacing w:val="-1"/>
                <w:sz w:val="18"/>
              </w:rPr>
              <w:t xml:space="preserve"> </w:t>
            </w:r>
            <w:r>
              <w:rPr>
                <w:sz w:val="18"/>
              </w:rPr>
              <w:t>and</w:t>
            </w:r>
            <w:r>
              <w:rPr>
                <w:spacing w:val="-1"/>
                <w:sz w:val="18"/>
              </w:rPr>
              <w:t xml:space="preserve"> </w:t>
            </w:r>
            <w:r>
              <w:rPr>
                <w:sz w:val="18"/>
              </w:rPr>
              <w:t>leaks</w:t>
            </w:r>
            <w:r>
              <w:rPr>
                <w:spacing w:val="-1"/>
                <w:sz w:val="18"/>
              </w:rPr>
              <w:t xml:space="preserve"> </w:t>
            </w:r>
            <w:r>
              <w:rPr>
                <w:sz w:val="18"/>
              </w:rPr>
              <w:t>(whole</w:t>
            </w:r>
            <w:r>
              <w:rPr>
                <w:spacing w:val="-2"/>
                <w:sz w:val="18"/>
              </w:rPr>
              <w:t xml:space="preserve"> </w:t>
            </w:r>
            <w:r>
              <w:rPr>
                <w:sz w:val="18"/>
              </w:rPr>
              <w:t>of rural</w:t>
            </w:r>
            <w:r>
              <w:rPr>
                <w:spacing w:val="-1"/>
                <w:sz w:val="18"/>
              </w:rPr>
              <w:t xml:space="preserve"> </w:t>
            </w:r>
            <w:r>
              <w:rPr>
                <w:spacing w:val="-2"/>
                <w:sz w:val="18"/>
              </w:rPr>
              <w:t>business)</w:t>
            </w:r>
          </w:p>
        </w:tc>
        <w:tc>
          <w:tcPr>
            <w:tcW w:w="1275" w:type="dxa"/>
            <w:shd w:val="clear" w:color="auto" w:fill="F1F1F1"/>
          </w:tcPr>
          <w:p w14:paraId="102C5C4C" w14:textId="77777777" w:rsidR="00141B97" w:rsidRDefault="00911D63">
            <w:pPr>
              <w:pStyle w:val="TableParagraph"/>
              <w:spacing w:before="1" w:line="199" w:lineRule="exact"/>
              <w:ind w:left="122" w:right="121"/>
              <w:jc w:val="center"/>
              <w:rPr>
                <w:sz w:val="18"/>
              </w:rPr>
            </w:pPr>
            <w:r>
              <w:rPr>
                <w:sz w:val="18"/>
              </w:rPr>
              <w:t>Per</w:t>
            </w:r>
            <w:r>
              <w:rPr>
                <w:spacing w:val="-1"/>
                <w:sz w:val="18"/>
              </w:rPr>
              <w:t xml:space="preserve"> </w:t>
            </w:r>
            <w:r>
              <w:rPr>
                <w:sz w:val="18"/>
              </w:rPr>
              <w:t>100</w:t>
            </w:r>
            <w:r>
              <w:rPr>
                <w:spacing w:val="-1"/>
                <w:sz w:val="18"/>
              </w:rPr>
              <w:t xml:space="preserve"> </w:t>
            </w:r>
            <w:r>
              <w:rPr>
                <w:spacing w:val="-5"/>
                <w:sz w:val="18"/>
              </w:rPr>
              <w:t>km</w:t>
            </w:r>
          </w:p>
        </w:tc>
        <w:tc>
          <w:tcPr>
            <w:tcW w:w="817" w:type="dxa"/>
            <w:tcBorders>
              <w:right w:val="nil"/>
            </w:tcBorders>
            <w:shd w:val="clear" w:color="auto" w:fill="00B04F"/>
          </w:tcPr>
          <w:p w14:paraId="10DD790C" w14:textId="77777777" w:rsidR="00141B97" w:rsidRDefault="00911D63">
            <w:pPr>
              <w:pStyle w:val="TableParagraph"/>
              <w:spacing w:before="1" w:line="199" w:lineRule="exact"/>
              <w:ind w:left="122" w:right="119"/>
              <w:jc w:val="center"/>
              <w:rPr>
                <w:sz w:val="18"/>
              </w:rPr>
            </w:pPr>
            <w:r>
              <w:rPr>
                <w:spacing w:val="-4"/>
                <w:sz w:val="18"/>
              </w:rPr>
              <w:t>61.6</w:t>
            </w:r>
          </w:p>
        </w:tc>
        <w:tc>
          <w:tcPr>
            <w:tcW w:w="903" w:type="dxa"/>
            <w:tcBorders>
              <w:left w:val="nil"/>
              <w:right w:val="nil"/>
            </w:tcBorders>
            <w:shd w:val="clear" w:color="auto" w:fill="00B04F"/>
          </w:tcPr>
          <w:p w14:paraId="1B7985FF" w14:textId="77777777" w:rsidR="00141B97" w:rsidRDefault="00911D63">
            <w:pPr>
              <w:pStyle w:val="TableParagraph"/>
              <w:spacing w:before="1" w:line="199" w:lineRule="exact"/>
              <w:ind w:left="171" w:right="167"/>
              <w:jc w:val="center"/>
              <w:rPr>
                <w:sz w:val="18"/>
              </w:rPr>
            </w:pPr>
            <w:r>
              <w:rPr>
                <w:spacing w:val="-4"/>
                <w:sz w:val="18"/>
              </w:rPr>
              <w:t>46.8</w:t>
            </w:r>
          </w:p>
        </w:tc>
        <w:tc>
          <w:tcPr>
            <w:tcW w:w="830" w:type="dxa"/>
            <w:tcBorders>
              <w:left w:val="nil"/>
              <w:right w:val="nil"/>
            </w:tcBorders>
            <w:shd w:val="clear" w:color="auto" w:fill="00B04F"/>
          </w:tcPr>
          <w:p w14:paraId="201649CD" w14:textId="77777777" w:rsidR="00141B97" w:rsidRDefault="00911D63">
            <w:pPr>
              <w:pStyle w:val="TableParagraph"/>
              <w:spacing w:before="1" w:line="199" w:lineRule="exact"/>
              <w:ind w:left="135" w:right="129"/>
              <w:jc w:val="center"/>
              <w:rPr>
                <w:sz w:val="18"/>
              </w:rPr>
            </w:pPr>
            <w:r>
              <w:rPr>
                <w:spacing w:val="-4"/>
                <w:sz w:val="18"/>
              </w:rPr>
              <w:t>42.8</w:t>
            </w:r>
          </w:p>
        </w:tc>
        <w:tc>
          <w:tcPr>
            <w:tcW w:w="835" w:type="dxa"/>
            <w:tcBorders>
              <w:left w:val="nil"/>
              <w:right w:val="nil"/>
            </w:tcBorders>
            <w:shd w:val="clear" w:color="auto" w:fill="00B04F"/>
          </w:tcPr>
          <w:p w14:paraId="1219FFDD" w14:textId="77777777" w:rsidR="00141B97" w:rsidRDefault="00911D63">
            <w:pPr>
              <w:pStyle w:val="TableParagraph"/>
              <w:spacing w:before="1" w:line="199" w:lineRule="exact"/>
              <w:ind w:left="142" w:right="128"/>
              <w:jc w:val="center"/>
              <w:rPr>
                <w:sz w:val="18"/>
              </w:rPr>
            </w:pPr>
            <w:r>
              <w:rPr>
                <w:spacing w:val="-4"/>
                <w:sz w:val="18"/>
              </w:rPr>
              <w:t>35.4</w:t>
            </w:r>
          </w:p>
        </w:tc>
      </w:tr>
      <w:tr w:rsidR="00141B97" w14:paraId="14F81B85" w14:textId="77777777">
        <w:trPr>
          <w:trHeight w:val="439"/>
        </w:trPr>
        <w:tc>
          <w:tcPr>
            <w:tcW w:w="392" w:type="dxa"/>
            <w:tcBorders>
              <w:left w:val="nil"/>
            </w:tcBorders>
            <w:shd w:val="clear" w:color="auto" w:fill="F1F1F1"/>
          </w:tcPr>
          <w:p w14:paraId="701F72E8" w14:textId="77777777" w:rsidR="00141B97" w:rsidRDefault="00911D63">
            <w:pPr>
              <w:pStyle w:val="TableParagraph"/>
              <w:spacing w:line="195" w:lineRule="exact"/>
              <w:ind w:left="88"/>
              <w:rPr>
                <w:sz w:val="16"/>
              </w:rPr>
            </w:pPr>
            <w:r>
              <w:rPr>
                <w:w w:val="99"/>
                <w:sz w:val="16"/>
              </w:rPr>
              <w:t>c</w:t>
            </w:r>
          </w:p>
        </w:tc>
        <w:tc>
          <w:tcPr>
            <w:tcW w:w="4526" w:type="dxa"/>
            <w:shd w:val="clear" w:color="auto" w:fill="F1F1F1"/>
          </w:tcPr>
          <w:p w14:paraId="018820B3" w14:textId="77777777" w:rsidR="00141B97" w:rsidRDefault="00911D63">
            <w:pPr>
              <w:pStyle w:val="TableParagraph"/>
              <w:spacing w:line="220" w:lineRule="atLeast"/>
              <w:ind w:left="97"/>
              <w:rPr>
                <w:sz w:val="18"/>
              </w:rPr>
            </w:pPr>
            <w:r>
              <w:rPr>
                <w:sz w:val="18"/>
              </w:rPr>
              <w:t>Deliver</w:t>
            </w:r>
            <w:r>
              <w:rPr>
                <w:spacing w:val="-6"/>
                <w:sz w:val="18"/>
              </w:rPr>
              <w:t xml:space="preserve"> </w:t>
            </w:r>
            <w:r>
              <w:rPr>
                <w:sz w:val="18"/>
              </w:rPr>
              <w:t>major</w:t>
            </w:r>
            <w:r>
              <w:rPr>
                <w:spacing w:val="-6"/>
                <w:sz w:val="18"/>
              </w:rPr>
              <w:t xml:space="preserve"> </w:t>
            </w:r>
            <w:r>
              <w:rPr>
                <w:sz w:val="18"/>
              </w:rPr>
              <w:t>Capital</w:t>
            </w:r>
            <w:r>
              <w:rPr>
                <w:spacing w:val="-6"/>
                <w:sz w:val="18"/>
              </w:rPr>
              <w:t xml:space="preserve"> </w:t>
            </w:r>
            <w:r>
              <w:rPr>
                <w:sz w:val="18"/>
              </w:rPr>
              <w:t>Works</w:t>
            </w:r>
            <w:r>
              <w:rPr>
                <w:spacing w:val="-6"/>
                <w:sz w:val="18"/>
              </w:rPr>
              <w:t xml:space="preserve"> </w:t>
            </w:r>
            <w:r>
              <w:rPr>
                <w:sz w:val="18"/>
              </w:rPr>
              <w:t>projects</w:t>
            </w:r>
            <w:r>
              <w:rPr>
                <w:spacing w:val="-6"/>
                <w:sz w:val="18"/>
              </w:rPr>
              <w:t xml:space="preserve"> </w:t>
            </w:r>
            <w:r>
              <w:rPr>
                <w:sz w:val="18"/>
              </w:rPr>
              <w:t>&gt;$1m</w:t>
            </w:r>
            <w:r>
              <w:rPr>
                <w:spacing w:val="-6"/>
                <w:sz w:val="18"/>
              </w:rPr>
              <w:t xml:space="preserve"> </w:t>
            </w:r>
            <w:r>
              <w:rPr>
                <w:sz w:val="18"/>
              </w:rPr>
              <w:t>value</w:t>
            </w:r>
            <w:r>
              <w:rPr>
                <w:spacing w:val="-7"/>
                <w:sz w:val="18"/>
              </w:rPr>
              <w:t xml:space="preserve"> </w:t>
            </w:r>
            <w:r>
              <w:rPr>
                <w:sz w:val="18"/>
              </w:rPr>
              <w:t>within budget and within the regulatory period</w:t>
            </w:r>
          </w:p>
        </w:tc>
        <w:tc>
          <w:tcPr>
            <w:tcW w:w="1275" w:type="dxa"/>
            <w:shd w:val="clear" w:color="auto" w:fill="F1F1F1"/>
          </w:tcPr>
          <w:p w14:paraId="5E5B3497" w14:textId="77777777" w:rsidR="00141B97" w:rsidRDefault="00911D63">
            <w:pPr>
              <w:pStyle w:val="TableParagraph"/>
              <w:spacing w:line="220" w:lineRule="atLeast"/>
              <w:ind w:left="149" w:right="114" w:hanging="24"/>
              <w:rPr>
                <w:sz w:val="18"/>
              </w:rPr>
            </w:pPr>
            <w:r>
              <w:rPr>
                <w:sz w:val="18"/>
              </w:rPr>
              <w:t>Percentage</w:t>
            </w:r>
            <w:r>
              <w:rPr>
                <w:spacing w:val="-11"/>
                <w:sz w:val="18"/>
              </w:rPr>
              <w:t xml:space="preserve"> </w:t>
            </w:r>
            <w:r>
              <w:rPr>
                <w:sz w:val="18"/>
              </w:rPr>
              <w:t>of budget</w:t>
            </w:r>
            <w:r>
              <w:rPr>
                <w:spacing w:val="-1"/>
                <w:sz w:val="18"/>
              </w:rPr>
              <w:t xml:space="preserve"> </w:t>
            </w:r>
            <w:r>
              <w:rPr>
                <w:spacing w:val="-4"/>
                <w:sz w:val="18"/>
              </w:rPr>
              <w:t>spent</w:t>
            </w:r>
          </w:p>
        </w:tc>
        <w:tc>
          <w:tcPr>
            <w:tcW w:w="817" w:type="dxa"/>
            <w:tcBorders>
              <w:right w:val="nil"/>
            </w:tcBorders>
            <w:shd w:val="clear" w:color="auto" w:fill="FFC000"/>
          </w:tcPr>
          <w:p w14:paraId="6BFD5C38" w14:textId="77777777" w:rsidR="00141B97" w:rsidRDefault="00911D63">
            <w:pPr>
              <w:pStyle w:val="TableParagraph"/>
              <w:spacing w:before="110"/>
              <w:ind w:left="122" w:right="119"/>
              <w:jc w:val="center"/>
              <w:rPr>
                <w:sz w:val="18"/>
              </w:rPr>
            </w:pPr>
            <w:r>
              <w:rPr>
                <w:spacing w:val="-2"/>
                <w:sz w:val="18"/>
              </w:rPr>
              <w:t>87.2%</w:t>
            </w:r>
          </w:p>
        </w:tc>
        <w:tc>
          <w:tcPr>
            <w:tcW w:w="903" w:type="dxa"/>
            <w:tcBorders>
              <w:left w:val="nil"/>
              <w:right w:val="nil"/>
            </w:tcBorders>
            <w:shd w:val="clear" w:color="auto" w:fill="00B04F"/>
          </w:tcPr>
          <w:p w14:paraId="71C7D411" w14:textId="77777777" w:rsidR="00141B97" w:rsidRDefault="00911D63">
            <w:pPr>
              <w:pStyle w:val="TableParagraph"/>
              <w:spacing w:before="110"/>
              <w:ind w:left="171" w:right="167"/>
              <w:jc w:val="center"/>
              <w:rPr>
                <w:sz w:val="18"/>
              </w:rPr>
            </w:pPr>
            <w:r>
              <w:rPr>
                <w:spacing w:val="-2"/>
                <w:sz w:val="18"/>
              </w:rPr>
              <w:t>101.1%</w:t>
            </w:r>
          </w:p>
        </w:tc>
        <w:tc>
          <w:tcPr>
            <w:tcW w:w="830" w:type="dxa"/>
            <w:tcBorders>
              <w:left w:val="nil"/>
              <w:right w:val="nil"/>
            </w:tcBorders>
            <w:shd w:val="clear" w:color="auto" w:fill="00B04F"/>
          </w:tcPr>
          <w:p w14:paraId="1A1F769B" w14:textId="77777777" w:rsidR="00141B97" w:rsidRDefault="00911D63">
            <w:pPr>
              <w:pStyle w:val="TableParagraph"/>
              <w:spacing w:before="110"/>
              <w:ind w:left="135" w:right="129"/>
              <w:jc w:val="center"/>
              <w:rPr>
                <w:sz w:val="18"/>
              </w:rPr>
            </w:pPr>
            <w:r>
              <w:rPr>
                <w:spacing w:val="-2"/>
                <w:sz w:val="18"/>
              </w:rPr>
              <w:t>97.1%</w:t>
            </w:r>
          </w:p>
        </w:tc>
        <w:tc>
          <w:tcPr>
            <w:tcW w:w="835" w:type="dxa"/>
            <w:tcBorders>
              <w:left w:val="nil"/>
              <w:right w:val="nil"/>
            </w:tcBorders>
            <w:shd w:val="clear" w:color="auto" w:fill="00B04F"/>
          </w:tcPr>
          <w:p w14:paraId="4415D779" w14:textId="77777777" w:rsidR="00141B97" w:rsidRDefault="00911D63">
            <w:pPr>
              <w:pStyle w:val="TableParagraph"/>
              <w:spacing w:before="110"/>
              <w:ind w:left="142" w:right="128"/>
              <w:jc w:val="center"/>
              <w:rPr>
                <w:sz w:val="18"/>
              </w:rPr>
            </w:pPr>
            <w:r>
              <w:rPr>
                <w:spacing w:val="-2"/>
                <w:sz w:val="18"/>
              </w:rPr>
              <w:t>101.8%</w:t>
            </w:r>
          </w:p>
        </w:tc>
      </w:tr>
      <w:tr w:rsidR="00141B97" w14:paraId="3AC0CA5C" w14:textId="77777777">
        <w:trPr>
          <w:trHeight w:val="219"/>
        </w:trPr>
        <w:tc>
          <w:tcPr>
            <w:tcW w:w="6193" w:type="dxa"/>
            <w:gridSpan w:val="3"/>
            <w:tcBorders>
              <w:left w:val="nil"/>
            </w:tcBorders>
            <w:shd w:val="clear" w:color="auto" w:fill="D0CECE"/>
          </w:tcPr>
          <w:p w14:paraId="0D4479A3" w14:textId="77777777" w:rsidR="00141B97" w:rsidRDefault="00911D63">
            <w:pPr>
              <w:pStyle w:val="TableParagraph"/>
              <w:spacing w:line="199" w:lineRule="exact"/>
              <w:ind w:left="88"/>
              <w:rPr>
                <w:sz w:val="18"/>
              </w:rPr>
            </w:pPr>
            <w:r>
              <w:rPr>
                <w:sz w:val="18"/>
              </w:rPr>
              <w:t>#</w:t>
            </w:r>
            <w:r>
              <w:rPr>
                <w:spacing w:val="-1"/>
                <w:sz w:val="18"/>
              </w:rPr>
              <w:t xml:space="preserve"> </w:t>
            </w:r>
            <w:r>
              <w:rPr>
                <w:sz w:val="18"/>
              </w:rPr>
              <w:t>2:</w:t>
            </w:r>
            <w:r>
              <w:rPr>
                <w:spacing w:val="-2"/>
                <w:sz w:val="18"/>
              </w:rPr>
              <w:t xml:space="preserve"> </w:t>
            </w:r>
            <w:r>
              <w:rPr>
                <w:sz w:val="18"/>
              </w:rPr>
              <w:t>Keep my</w:t>
            </w:r>
            <w:r>
              <w:rPr>
                <w:spacing w:val="-2"/>
                <w:sz w:val="18"/>
              </w:rPr>
              <w:t xml:space="preserve"> </w:t>
            </w:r>
            <w:r>
              <w:rPr>
                <w:sz w:val="18"/>
              </w:rPr>
              <w:t>costs</w:t>
            </w:r>
            <w:r>
              <w:rPr>
                <w:spacing w:val="1"/>
                <w:sz w:val="18"/>
              </w:rPr>
              <w:t xml:space="preserve"> </w:t>
            </w:r>
            <w:r>
              <w:rPr>
                <w:sz w:val="18"/>
              </w:rPr>
              <w:t>to</w:t>
            </w:r>
            <w:r>
              <w:rPr>
                <w:spacing w:val="-2"/>
                <w:sz w:val="18"/>
              </w:rPr>
              <w:t xml:space="preserve"> </w:t>
            </w:r>
            <w:r>
              <w:rPr>
                <w:sz w:val="18"/>
              </w:rPr>
              <w:t xml:space="preserve">a </w:t>
            </w:r>
            <w:r>
              <w:rPr>
                <w:spacing w:val="-2"/>
                <w:sz w:val="18"/>
              </w:rPr>
              <w:t>minimum</w:t>
            </w:r>
          </w:p>
        </w:tc>
        <w:tc>
          <w:tcPr>
            <w:tcW w:w="3385" w:type="dxa"/>
            <w:gridSpan w:val="4"/>
            <w:tcBorders>
              <w:right w:val="nil"/>
            </w:tcBorders>
            <w:shd w:val="clear" w:color="auto" w:fill="00B04F"/>
          </w:tcPr>
          <w:p w14:paraId="16FB1E29" w14:textId="77777777" w:rsidR="00141B97" w:rsidRDefault="00141B97">
            <w:pPr>
              <w:pStyle w:val="TableParagraph"/>
              <w:rPr>
                <w:rFonts w:ascii="Times New Roman"/>
                <w:sz w:val="14"/>
              </w:rPr>
            </w:pPr>
          </w:p>
        </w:tc>
      </w:tr>
      <w:tr w:rsidR="00141B97" w14:paraId="6F459606" w14:textId="77777777">
        <w:trPr>
          <w:trHeight w:val="218"/>
        </w:trPr>
        <w:tc>
          <w:tcPr>
            <w:tcW w:w="392" w:type="dxa"/>
            <w:tcBorders>
              <w:left w:val="nil"/>
            </w:tcBorders>
            <w:shd w:val="clear" w:color="auto" w:fill="F1F1F1"/>
          </w:tcPr>
          <w:p w14:paraId="111FFF7F" w14:textId="77777777" w:rsidR="00141B97" w:rsidRDefault="00911D63">
            <w:pPr>
              <w:pStyle w:val="TableParagraph"/>
              <w:spacing w:line="195" w:lineRule="exact"/>
              <w:ind w:left="88"/>
              <w:rPr>
                <w:sz w:val="16"/>
              </w:rPr>
            </w:pPr>
            <w:r>
              <w:rPr>
                <w:w w:val="99"/>
                <w:sz w:val="16"/>
              </w:rPr>
              <w:t>a</w:t>
            </w:r>
          </w:p>
        </w:tc>
        <w:tc>
          <w:tcPr>
            <w:tcW w:w="4526" w:type="dxa"/>
            <w:shd w:val="clear" w:color="auto" w:fill="F1F1F1"/>
          </w:tcPr>
          <w:p w14:paraId="139956F9" w14:textId="77777777" w:rsidR="00141B97" w:rsidRDefault="00911D63">
            <w:pPr>
              <w:pStyle w:val="TableParagraph"/>
              <w:spacing w:line="199" w:lineRule="exact"/>
              <w:ind w:left="97"/>
              <w:rPr>
                <w:sz w:val="18"/>
              </w:rPr>
            </w:pPr>
            <w:r>
              <w:rPr>
                <w:sz w:val="18"/>
              </w:rPr>
              <w:t>Billing</w:t>
            </w:r>
            <w:r>
              <w:rPr>
                <w:spacing w:val="-7"/>
                <w:sz w:val="18"/>
              </w:rPr>
              <w:t xml:space="preserve"> </w:t>
            </w:r>
            <w:r>
              <w:rPr>
                <w:spacing w:val="-2"/>
                <w:sz w:val="18"/>
              </w:rPr>
              <w:t>complaints</w:t>
            </w:r>
          </w:p>
        </w:tc>
        <w:tc>
          <w:tcPr>
            <w:tcW w:w="1275" w:type="dxa"/>
            <w:shd w:val="clear" w:color="auto" w:fill="F1F1F1"/>
          </w:tcPr>
          <w:p w14:paraId="7CAA4BE5" w14:textId="77777777" w:rsidR="00141B97" w:rsidRDefault="00911D63">
            <w:pPr>
              <w:pStyle w:val="TableParagraph"/>
              <w:spacing w:line="199" w:lineRule="exact"/>
              <w:ind w:left="122" w:right="121"/>
              <w:jc w:val="center"/>
              <w:rPr>
                <w:sz w:val="18"/>
              </w:rPr>
            </w:pPr>
            <w:r>
              <w:rPr>
                <w:spacing w:val="-2"/>
                <w:sz w:val="18"/>
              </w:rPr>
              <w:t>Number</w:t>
            </w:r>
          </w:p>
        </w:tc>
        <w:tc>
          <w:tcPr>
            <w:tcW w:w="817" w:type="dxa"/>
            <w:tcBorders>
              <w:right w:val="nil"/>
            </w:tcBorders>
            <w:shd w:val="clear" w:color="auto" w:fill="00B04F"/>
          </w:tcPr>
          <w:p w14:paraId="2C2E8E4C" w14:textId="77777777" w:rsidR="00141B97" w:rsidRDefault="00911D63">
            <w:pPr>
              <w:pStyle w:val="TableParagraph"/>
              <w:spacing w:line="199" w:lineRule="exact"/>
              <w:ind w:left="1"/>
              <w:jc w:val="center"/>
              <w:rPr>
                <w:sz w:val="18"/>
              </w:rPr>
            </w:pPr>
            <w:r>
              <w:rPr>
                <w:sz w:val="18"/>
              </w:rPr>
              <w:t>0</w:t>
            </w:r>
          </w:p>
        </w:tc>
        <w:tc>
          <w:tcPr>
            <w:tcW w:w="903" w:type="dxa"/>
            <w:tcBorders>
              <w:left w:val="nil"/>
              <w:right w:val="nil"/>
            </w:tcBorders>
            <w:shd w:val="clear" w:color="auto" w:fill="00B04F"/>
          </w:tcPr>
          <w:p w14:paraId="1115C810" w14:textId="77777777" w:rsidR="00141B97" w:rsidRDefault="00911D63">
            <w:pPr>
              <w:pStyle w:val="TableParagraph"/>
              <w:spacing w:line="199" w:lineRule="exact"/>
              <w:ind w:left="2"/>
              <w:jc w:val="center"/>
              <w:rPr>
                <w:sz w:val="18"/>
              </w:rPr>
            </w:pPr>
            <w:r>
              <w:rPr>
                <w:sz w:val="18"/>
              </w:rPr>
              <w:t>1</w:t>
            </w:r>
          </w:p>
        </w:tc>
        <w:tc>
          <w:tcPr>
            <w:tcW w:w="830" w:type="dxa"/>
            <w:tcBorders>
              <w:left w:val="nil"/>
              <w:right w:val="nil"/>
            </w:tcBorders>
            <w:shd w:val="clear" w:color="auto" w:fill="FFC000"/>
          </w:tcPr>
          <w:p w14:paraId="0BA8C81C" w14:textId="77777777" w:rsidR="00141B97" w:rsidRDefault="00911D63">
            <w:pPr>
              <w:pStyle w:val="TableParagraph"/>
              <w:spacing w:line="199" w:lineRule="exact"/>
              <w:ind w:left="4"/>
              <w:jc w:val="center"/>
              <w:rPr>
                <w:sz w:val="18"/>
              </w:rPr>
            </w:pPr>
            <w:r>
              <w:rPr>
                <w:sz w:val="18"/>
              </w:rPr>
              <w:t>5</w:t>
            </w:r>
          </w:p>
        </w:tc>
        <w:tc>
          <w:tcPr>
            <w:tcW w:w="835" w:type="dxa"/>
            <w:tcBorders>
              <w:left w:val="nil"/>
              <w:right w:val="nil"/>
            </w:tcBorders>
            <w:shd w:val="clear" w:color="auto" w:fill="00B04F"/>
          </w:tcPr>
          <w:p w14:paraId="651199C9" w14:textId="77777777" w:rsidR="00141B97" w:rsidRDefault="00911D63">
            <w:pPr>
              <w:pStyle w:val="TableParagraph"/>
              <w:spacing w:line="199" w:lineRule="exact"/>
              <w:ind w:left="15"/>
              <w:jc w:val="center"/>
              <w:rPr>
                <w:sz w:val="18"/>
              </w:rPr>
            </w:pPr>
            <w:r>
              <w:rPr>
                <w:sz w:val="18"/>
              </w:rPr>
              <w:t>2</w:t>
            </w:r>
          </w:p>
        </w:tc>
      </w:tr>
      <w:tr w:rsidR="00141B97" w14:paraId="5A2BEDFE" w14:textId="77777777">
        <w:trPr>
          <w:trHeight w:val="439"/>
        </w:trPr>
        <w:tc>
          <w:tcPr>
            <w:tcW w:w="392" w:type="dxa"/>
            <w:tcBorders>
              <w:left w:val="nil"/>
            </w:tcBorders>
            <w:shd w:val="clear" w:color="auto" w:fill="F1F1F1"/>
          </w:tcPr>
          <w:p w14:paraId="5B99547F" w14:textId="77777777" w:rsidR="00141B97" w:rsidRDefault="00911D63">
            <w:pPr>
              <w:pStyle w:val="TableParagraph"/>
              <w:spacing w:before="1"/>
              <w:ind w:left="88"/>
              <w:rPr>
                <w:sz w:val="16"/>
              </w:rPr>
            </w:pPr>
            <w:r>
              <w:rPr>
                <w:w w:val="99"/>
                <w:sz w:val="16"/>
              </w:rPr>
              <w:t>b</w:t>
            </w:r>
          </w:p>
        </w:tc>
        <w:tc>
          <w:tcPr>
            <w:tcW w:w="4526" w:type="dxa"/>
            <w:shd w:val="clear" w:color="auto" w:fill="F1F1F1"/>
          </w:tcPr>
          <w:p w14:paraId="244B70C4" w14:textId="77777777" w:rsidR="00141B97" w:rsidRDefault="00911D63">
            <w:pPr>
              <w:pStyle w:val="TableParagraph"/>
              <w:spacing w:line="220" w:lineRule="atLeast"/>
              <w:ind w:left="97" w:right="130"/>
              <w:rPr>
                <w:sz w:val="18"/>
              </w:rPr>
            </w:pPr>
            <w:r>
              <w:rPr>
                <w:sz w:val="18"/>
              </w:rPr>
              <w:t>Annual</w:t>
            </w:r>
            <w:r>
              <w:rPr>
                <w:spacing w:val="-5"/>
                <w:sz w:val="18"/>
              </w:rPr>
              <w:t xml:space="preserve"> </w:t>
            </w:r>
            <w:r>
              <w:rPr>
                <w:sz w:val="18"/>
              </w:rPr>
              <w:t>tariffs</w:t>
            </w:r>
            <w:r>
              <w:rPr>
                <w:spacing w:val="-6"/>
                <w:sz w:val="18"/>
              </w:rPr>
              <w:t xml:space="preserve"> </w:t>
            </w:r>
            <w:r>
              <w:rPr>
                <w:sz w:val="18"/>
              </w:rPr>
              <w:t>follow</w:t>
            </w:r>
            <w:r>
              <w:rPr>
                <w:spacing w:val="-5"/>
                <w:sz w:val="18"/>
              </w:rPr>
              <w:t xml:space="preserve"> </w:t>
            </w:r>
            <w:r>
              <w:rPr>
                <w:sz w:val="18"/>
              </w:rPr>
              <w:t>the</w:t>
            </w:r>
            <w:r>
              <w:rPr>
                <w:spacing w:val="-6"/>
                <w:sz w:val="18"/>
              </w:rPr>
              <w:t xml:space="preserve"> </w:t>
            </w:r>
            <w:r>
              <w:rPr>
                <w:sz w:val="18"/>
              </w:rPr>
              <w:t>proposed</w:t>
            </w:r>
            <w:r>
              <w:rPr>
                <w:spacing w:val="-6"/>
                <w:sz w:val="18"/>
              </w:rPr>
              <w:t xml:space="preserve"> </w:t>
            </w:r>
            <w:r>
              <w:rPr>
                <w:sz w:val="18"/>
              </w:rPr>
              <w:t>structures</w:t>
            </w:r>
            <w:r>
              <w:rPr>
                <w:spacing w:val="-6"/>
                <w:sz w:val="18"/>
              </w:rPr>
              <w:t xml:space="preserve"> </w:t>
            </w:r>
            <w:r>
              <w:rPr>
                <w:sz w:val="18"/>
              </w:rPr>
              <w:t>within</w:t>
            </w:r>
            <w:r>
              <w:rPr>
                <w:spacing w:val="-5"/>
                <w:sz w:val="18"/>
              </w:rPr>
              <w:t xml:space="preserve"> </w:t>
            </w:r>
            <w:r>
              <w:rPr>
                <w:sz w:val="18"/>
              </w:rPr>
              <w:t>the ESC’s published pricing determination</w:t>
            </w:r>
          </w:p>
        </w:tc>
        <w:tc>
          <w:tcPr>
            <w:tcW w:w="1275" w:type="dxa"/>
            <w:shd w:val="clear" w:color="auto" w:fill="F1F1F1"/>
          </w:tcPr>
          <w:p w14:paraId="7D31E6DE" w14:textId="77777777" w:rsidR="00141B97" w:rsidRDefault="00911D63">
            <w:pPr>
              <w:pStyle w:val="TableParagraph"/>
              <w:spacing w:before="111"/>
              <w:ind w:left="123" w:right="121"/>
              <w:jc w:val="center"/>
              <w:rPr>
                <w:sz w:val="18"/>
              </w:rPr>
            </w:pPr>
            <w:r>
              <w:rPr>
                <w:spacing w:val="-2"/>
                <w:sz w:val="18"/>
              </w:rPr>
              <w:t>Pass/Fail</w:t>
            </w:r>
          </w:p>
        </w:tc>
        <w:tc>
          <w:tcPr>
            <w:tcW w:w="817" w:type="dxa"/>
            <w:tcBorders>
              <w:right w:val="nil"/>
            </w:tcBorders>
            <w:shd w:val="clear" w:color="auto" w:fill="00B04F"/>
          </w:tcPr>
          <w:p w14:paraId="7E72C06A" w14:textId="77777777" w:rsidR="00141B97" w:rsidRDefault="00911D63">
            <w:pPr>
              <w:pStyle w:val="TableParagraph"/>
              <w:spacing w:before="111"/>
              <w:ind w:left="122" w:right="119"/>
              <w:jc w:val="center"/>
              <w:rPr>
                <w:sz w:val="18"/>
              </w:rPr>
            </w:pPr>
            <w:r>
              <w:rPr>
                <w:spacing w:val="-4"/>
                <w:sz w:val="18"/>
              </w:rPr>
              <w:t>Pass</w:t>
            </w:r>
          </w:p>
        </w:tc>
        <w:tc>
          <w:tcPr>
            <w:tcW w:w="903" w:type="dxa"/>
            <w:tcBorders>
              <w:left w:val="nil"/>
              <w:right w:val="nil"/>
            </w:tcBorders>
            <w:shd w:val="clear" w:color="auto" w:fill="00B04F"/>
          </w:tcPr>
          <w:p w14:paraId="134CA6C2" w14:textId="77777777" w:rsidR="00141B97" w:rsidRDefault="00911D63">
            <w:pPr>
              <w:pStyle w:val="TableParagraph"/>
              <w:spacing w:before="111"/>
              <w:ind w:left="170" w:right="167"/>
              <w:jc w:val="center"/>
              <w:rPr>
                <w:sz w:val="18"/>
              </w:rPr>
            </w:pPr>
            <w:r>
              <w:rPr>
                <w:spacing w:val="-4"/>
                <w:sz w:val="18"/>
              </w:rPr>
              <w:t>Pass</w:t>
            </w:r>
          </w:p>
        </w:tc>
        <w:tc>
          <w:tcPr>
            <w:tcW w:w="830" w:type="dxa"/>
            <w:tcBorders>
              <w:left w:val="nil"/>
              <w:right w:val="nil"/>
            </w:tcBorders>
            <w:shd w:val="clear" w:color="auto" w:fill="00B04F"/>
          </w:tcPr>
          <w:p w14:paraId="7EA62AE0" w14:textId="77777777" w:rsidR="00141B97" w:rsidRDefault="00911D63">
            <w:pPr>
              <w:pStyle w:val="TableParagraph"/>
              <w:spacing w:before="111"/>
              <w:ind w:left="135" w:right="129"/>
              <w:jc w:val="center"/>
              <w:rPr>
                <w:sz w:val="18"/>
              </w:rPr>
            </w:pPr>
            <w:r>
              <w:rPr>
                <w:spacing w:val="-4"/>
                <w:sz w:val="18"/>
              </w:rPr>
              <w:t>Pass</w:t>
            </w:r>
          </w:p>
        </w:tc>
        <w:tc>
          <w:tcPr>
            <w:tcW w:w="835" w:type="dxa"/>
            <w:tcBorders>
              <w:left w:val="nil"/>
              <w:right w:val="nil"/>
            </w:tcBorders>
            <w:shd w:val="clear" w:color="auto" w:fill="00B04F"/>
          </w:tcPr>
          <w:p w14:paraId="47C7E1BD" w14:textId="77777777" w:rsidR="00141B97" w:rsidRDefault="00911D63">
            <w:pPr>
              <w:pStyle w:val="TableParagraph"/>
              <w:spacing w:before="111"/>
              <w:ind w:left="141" w:right="128"/>
              <w:jc w:val="center"/>
              <w:rPr>
                <w:sz w:val="18"/>
              </w:rPr>
            </w:pPr>
            <w:r>
              <w:rPr>
                <w:spacing w:val="-4"/>
                <w:sz w:val="18"/>
              </w:rPr>
              <w:t>Pass</w:t>
            </w:r>
          </w:p>
        </w:tc>
      </w:tr>
      <w:tr w:rsidR="00141B97" w14:paraId="66D2EA56" w14:textId="77777777">
        <w:trPr>
          <w:trHeight w:val="270"/>
        </w:trPr>
        <w:tc>
          <w:tcPr>
            <w:tcW w:w="6193" w:type="dxa"/>
            <w:gridSpan w:val="3"/>
            <w:tcBorders>
              <w:left w:val="nil"/>
            </w:tcBorders>
            <w:shd w:val="clear" w:color="auto" w:fill="D0CECE"/>
          </w:tcPr>
          <w:p w14:paraId="62561D69" w14:textId="77777777" w:rsidR="00141B97" w:rsidRDefault="00911D63">
            <w:pPr>
              <w:pStyle w:val="TableParagraph"/>
              <w:ind w:left="88"/>
              <w:rPr>
                <w:sz w:val="18"/>
              </w:rPr>
            </w:pPr>
            <w:r>
              <w:rPr>
                <w:sz w:val="18"/>
              </w:rPr>
              <w:t>#</w:t>
            </w:r>
            <w:r>
              <w:rPr>
                <w:spacing w:val="-1"/>
                <w:sz w:val="18"/>
              </w:rPr>
              <w:t xml:space="preserve"> </w:t>
            </w:r>
            <w:r>
              <w:rPr>
                <w:sz w:val="18"/>
              </w:rPr>
              <w:t>3: Be</w:t>
            </w:r>
            <w:r>
              <w:rPr>
                <w:spacing w:val="-1"/>
                <w:sz w:val="18"/>
              </w:rPr>
              <w:t xml:space="preserve"> </w:t>
            </w:r>
            <w:r>
              <w:rPr>
                <w:sz w:val="18"/>
              </w:rPr>
              <w:t>easy to</w:t>
            </w:r>
            <w:r>
              <w:rPr>
                <w:spacing w:val="-1"/>
                <w:sz w:val="18"/>
              </w:rPr>
              <w:t xml:space="preserve"> </w:t>
            </w:r>
            <w:r>
              <w:rPr>
                <w:sz w:val="18"/>
              </w:rPr>
              <w:t>contact</w:t>
            </w:r>
            <w:r>
              <w:rPr>
                <w:spacing w:val="-2"/>
                <w:sz w:val="18"/>
              </w:rPr>
              <w:t xml:space="preserve"> </w:t>
            </w:r>
            <w:r>
              <w:rPr>
                <w:sz w:val="18"/>
              </w:rPr>
              <w:t>and quick</w:t>
            </w:r>
            <w:r>
              <w:rPr>
                <w:spacing w:val="-2"/>
                <w:sz w:val="18"/>
              </w:rPr>
              <w:t xml:space="preserve"> </w:t>
            </w:r>
            <w:r>
              <w:rPr>
                <w:sz w:val="18"/>
              </w:rPr>
              <w:t>to</w:t>
            </w:r>
            <w:r>
              <w:rPr>
                <w:spacing w:val="-1"/>
                <w:sz w:val="18"/>
              </w:rPr>
              <w:t xml:space="preserve"> </w:t>
            </w:r>
            <w:r>
              <w:rPr>
                <w:spacing w:val="-2"/>
                <w:sz w:val="18"/>
              </w:rPr>
              <w:t>respond</w:t>
            </w:r>
          </w:p>
        </w:tc>
        <w:tc>
          <w:tcPr>
            <w:tcW w:w="817" w:type="dxa"/>
            <w:tcBorders>
              <w:right w:val="nil"/>
            </w:tcBorders>
            <w:shd w:val="clear" w:color="auto" w:fill="FFC000"/>
          </w:tcPr>
          <w:p w14:paraId="1CB333D1" w14:textId="77777777" w:rsidR="00141B97" w:rsidRDefault="00141B97">
            <w:pPr>
              <w:pStyle w:val="TableParagraph"/>
              <w:rPr>
                <w:rFonts w:ascii="Times New Roman"/>
                <w:sz w:val="20"/>
              </w:rPr>
            </w:pPr>
          </w:p>
        </w:tc>
        <w:tc>
          <w:tcPr>
            <w:tcW w:w="2568" w:type="dxa"/>
            <w:gridSpan w:val="3"/>
            <w:tcBorders>
              <w:left w:val="nil"/>
              <w:right w:val="nil"/>
            </w:tcBorders>
            <w:shd w:val="clear" w:color="auto" w:fill="00B04F"/>
          </w:tcPr>
          <w:p w14:paraId="21D79745" w14:textId="77777777" w:rsidR="00141B97" w:rsidRDefault="00141B97">
            <w:pPr>
              <w:pStyle w:val="TableParagraph"/>
              <w:rPr>
                <w:rFonts w:ascii="Times New Roman"/>
                <w:sz w:val="20"/>
              </w:rPr>
            </w:pPr>
          </w:p>
        </w:tc>
      </w:tr>
      <w:tr w:rsidR="00141B97" w14:paraId="43E6DBE7" w14:textId="77777777">
        <w:trPr>
          <w:trHeight w:val="439"/>
        </w:trPr>
        <w:tc>
          <w:tcPr>
            <w:tcW w:w="392" w:type="dxa"/>
            <w:tcBorders>
              <w:left w:val="nil"/>
            </w:tcBorders>
            <w:shd w:val="clear" w:color="auto" w:fill="F1F1F1"/>
          </w:tcPr>
          <w:p w14:paraId="4474CEE4" w14:textId="77777777" w:rsidR="00141B97" w:rsidRDefault="00911D63">
            <w:pPr>
              <w:pStyle w:val="TableParagraph"/>
              <w:spacing w:line="195" w:lineRule="exact"/>
              <w:ind w:left="88"/>
              <w:rPr>
                <w:sz w:val="16"/>
              </w:rPr>
            </w:pPr>
            <w:r>
              <w:rPr>
                <w:w w:val="99"/>
                <w:sz w:val="16"/>
              </w:rPr>
              <w:t>a</w:t>
            </w:r>
          </w:p>
        </w:tc>
        <w:tc>
          <w:tcPr>
            <w:tcW w:w="4526" w:type="dxa"/>
            <w:shd w:val="clear" w:color="auto" w:fill="F1F1F1"/>
          </w:tcPr>
          <w:p w14:paraId="5031DF03" w14:textId="77777777" w:rsidR="00141B97" w:rsidRDefault="00911D63">
            <w:pPr>
              <w:pStyle w:val="TableParagraph"/>
              <w:spacing w:line="220" w:lineRule="atLeast"/>
              <w:ind w:left="97"/>
              <w:rPr>
                <w:sz w:val="18"/>
              </w:rPr>
            </w:pPr>
            <w:r>
              <w:rPr>
                <w:sz w:val="18"/>
              </w:rPr>
              <w:t>Post</w:t>
            </w:r>
            <w:r>
              <w:rPr>
                <w:spacing w:val="-8"/>
                <w:sz w:val="18"/>
              </w:rPr>
              <w:t xml:space="preserve"> </w:t>
            </w:r>
            <w:r>
              <w:rPr>
                <w:sz w:val="18"/>
              </w:rPr>
              <w:t>interaction</w:t>
            </w:r>
            <w:r>
              <w:rPr>
                <w:spacing w:val="-7"/>
                <w:sz w:val="18"/>
              </w:rPr>
              <w:t xml:space="preserve"> </w:t>
            </w:r>
            <w:r>
              <w:rPr>
                <w:sz w:val="18"/>
              </w:rPr>
              <w:t>satisfaction</w:t>
            </w:r>
            <w:r>
              <w:rPr>
                <w:spacing w:val="-8"/>
                <w:sz w:val="18"/>
              </w:rPr>
              <w:t xml:space="preserve"> </w:t>
            </w:r>
            <w:r>
              <w:rPr>
                <w:sz w:val="18"/>
              </w:rPr>
              <w:t>survey</w:t>
            </w:r>
            <w:r>
              <w:rPr>
                <w:spacing w:val="-8"/>
                <w:sz w:val="18"/>
              </w:rPr>
              <w:t xml:space="preserve"> </w:t>
            </w:r>
            <w:r>
              <w:rPr>
                <w:sz w:val="18"/>
              </w:rPr>
              <w:t>(phone,</w:t>
            </w:r>
            <w:r>
              <w:rPr>
                <w:spacing w:val="-7"/>
                <w:sz w:val="18"/>
              </w:rPr>
              <w:t xml:space="preserve"> </w:t>
            </w:r>
            <w:r>
              <w:rPr>
                <w:sz w:val="18"/>
              </w:rPr>
              <w:t>face‐to‐face, online): Number of completed surveys</w:t>
            </w:r>
          </w:p>
        </w:tc>
        <w:tc>
          <w:tcPr>
            <w:tcW w:w="1275" w:type="dxa"/>
            <w:shd w:val="clear" w:color="auto" w:fill="F1F1F1"/>
          </w:tcPr>
          <w:p w14:paraId="24455C4B" w14:textId="77777777" w:rsidR="00141B97" w:rsidRDefault="00911D63">
            <w:pPr>
              <w:pStyle w:val="TableParagraph"/>
              <w:spacing w:before="110"/>
              <w:ind w:left="122" w:right="121"/>
              <w:jc w:val="center"/>
              <w:rPr>
                <w:sz w:val="18"/>
              </w:rPr>
            </w:pPr>
            <w:r>
              <w:rPr>
                <w:spacing w:val="-2"/>
                <w:sz w:val="18"/>
              </w:rPr>
              <w:t>Number</w:t>
            </w:r>
          </w:p>
        </w:tc>
        <w:tc>
          <w:tcPr>
            <w:tcW w:w="817" w:type="dxa"/>
            <w:tcBorders>
              <w:right w:val="nil"/>
            </w:tcBorders>
            <w:shd w:val="clear" w:color="auto" w:fill="FFC000"/>
          </w:tcPr>
          <w:p w14:paraId="13F279CC" w14:textId="77777777" w:rsidR="00141B97" w:rsidRDefault="00911D63">
            <w:pPr>
              <w:pStyle w:val="TableParagraph"/>
              <w:spacing w:before="110"/>
              <w:ind w:left="120" w:right="119"/>
              <w:jc w:val="center"/>
              <w:rPr>
                <w:sz w:val="18"/>
              </w:rPr>
            </w:pPr>
            <w:r>
              <w:rPr>
                <w:spacing w:val="-5"/>
                <w:sz w:val="18"/>
              </w:rPr>
              <w:t>100</w:t>
            </w:r>
          </w:p>
        </w:tc>
        <w:tc>
          <w:tcPr>
            <w:tcW w:w="903" w:type="dxa"/>
            <w:tcBorders>
              <w:left w:val="nil"/>
              <w:right w:val="nil"/>
            </w:tcBorders>
            <w:shd w:val="clear" w:color="auto" w:fill="00B04F"/>
          </w:tcPr>
          <w:p w14:paraId="583744B3" w14:textId="77777777" w:rsidR="00141B97" w:rsidRDefault="00911D63">
            <w:pPr>
              <w:pStyle w:val="TableParagraph"/>
              <w:spacing w:before="110"/>
              <w:ind w:left="169" w:right="167"/>
              <w:jc w:val="center"/>
              <w:rPr>
                <w:sz w:val="18"/>
              </w:rPr>
            </w:pPr>
            <w:r>
              <w:rPr>
                <w:spacing w:val="-5"/>
                <w:sz w:val="18"/>
              </w:rPr>
              <w:t>279</w:t>
            </w:r>
          </w:p>
        </w:tc>
        <w:tc>
          <w:tcPr>
            <w:tcW w:w="830" w:type="dxa"/>
            <w:tcBorders>
              <w:left w:val="nil"/>
              <w:right w:val="nil"/>
            </w:tcBorders>
            <w:shd w:val="clear" w:color="auto" w:fill="FFC000"/>
          </w:tcPr>
          <w:p w14:paraId="5B536CB4" w14:textId="77777777" w:rsidR="00141B97" w:rsidRDefault="00911D63">
            <w:pPr>
              <w:pStyle w:val="TableParagraph"/>
              <w:spacing w:before="110"/>
              <w:ind w:left="133" w:right="129"/>
              <w:jc w:val="center"/>
              <w:rPr>
                <w:sz w:val="18"/>
              </w:rPr>
            </w:pPr>
            <w:r>
              <w:rPr>
                <w:spacing w:val="-5"/>
                <w:sz w:val="18"/>
              </w:rPr>
              <w:t>47</w:t>
            </w:r>
          </w:p>
        </w:tc>
        <w:tc>
          <w:tcPr>
            <w:tcW w:w="835" w:type="dxa"/>
            <w:tcBorders>
              <w:left w:val="nil"/>
              <w:right w:val="nil"/>
            </w:tcBorders>
            <w:shd w:val="clear" w:color="auto" w:fill="FFC000"/>
          </w:tcPr>
          <w:p w14:paraId="2A7E21E3" w14:textId="77777777" w:rsidR="00141B97" w:rsidRDefault="00911D63">
            <w:pPr>
              <w:pStyle w:val="TableParagraph"/>
              <w:spacing w:before="110"/>
              <w:ind w:left="142" w:right="127"/>
              <w:jc w:val="center"/>
              <w:rPr>
                <w:sz w:val="18"/>
              </w:rPr>
            </w:pPr>
            <w:r>
              <w:rPr>
                <w:spacing w:val="-5"/>
                <w:sz w:val="18"/>
              </w:rPr>
              <w:t>69</w:t>
            </w:r>
          </w:p>
        </w:tc>
      </w:tr>
      <w:tr w:rsidR="00141B97" w14:paraId="5093E56A" w14:textId="77777777">
        <w:trPr>
          <w:trHeight w:val="659"/>
        </w:trPr>
        <w:tc>
          <w:tcPr>
            <w:tcW w:w="392" w:type="dxa"/>
            <w:tcBorders>
              <w:left w:val="nil"/>
            </w:tcBorders>
            <w:shd w:val="clear" w:color="auto" w:fill="F1F1F1"/>
          </w:tcPr>
          <w:p w14:paraId="0A8F0FFA" w14:textId="77777777" w:rsidR="00141B97" w:rsidRDefault="00911D63">
            <w:pPr>
              <w:pStyle w:val="TableParagraph"/>
              <w:spacing w:line="195" w:lineRule="exact"/>
              <w:ind w:left="88"/>
              <w:rPr>
                <w:sz w:val="16"/>
              </w:rPr>
            </w:pPr>
            <w:r>
              <w:rPr>
                <w:w w:val="99"/>
                <w:sz w:val="16"/>
              </w:rPr>
              <w:t>b</w:t>
            </w:r>
          </w:p>
        </w:tc>
        <w:tc>
          <w:tcPr>
            <w:tcW w:w="4526" w:type="dxa"/>
            <w:shd w:val="clear" w:color="auto" w:fill="F1F1F1"/>
          </w:tcPr>
          <w:p w14:paraId="2D64A23E" w14:textId="77777777" w:rsidR="00141B97" w:rsidRDefault="00911D63">
            <w:pPr>
              <w:pStyle w:val="TableParagraph"/>
              <w:ind w:left="97"/>
              <w:rPr>
                <w:sz w:val="18"/>
              </w:rPr>
            </w:pPr>
            <w:r>
              <w:rPr>
                <w:sz w:val="18"/>
              </w:rPr>
              <w:t>Post interaction satisfaction survey: Customers satisfied (rating</w:t>
            </w:r>
            <w:r>
              <w:rPr>
                <w:spacing w:val="-6"/>
                <w:sz w:val="18"/>
              </w:rPr>
              <w:t xml:space="preserve"> </w:t>
            </w:r>
            <w:r>
              <w:rPr>
                <w:sz w:val="18"/>
              </w:rPr>
              <w:t>of</w:t>
            </w:r>
            <w:r>
              <w:rPr>
                <w:spacing w:val="-5"/>
                <w:sz w:val="18"/>
              </w:rPr>
              <w:t xml:space="preserve"> </w:t>
            </w:r>
            <w:r>
              <w:rPr>
                <w:sz w:val="18"/>
              </w:rPr>
              <w:t>satisfied,</w:t>
            </w:r>
            <w:r>
              <w:rPr>
                <w:spacing w:val="-6"/>
                <w:sz w:val="18"/>
              </w:rPr>
              <w:t xml:space="preserve"> </w:t>
            </w:r>
            <w:r>
              <w:rPr>
                <w:sz w:val="18"/>
              </w:rPr>
              <w:t>very</w:t>
            </w:r>
            <w:r>
              <w:rPr>
                <w:spacing w:val="-6"/>
                <w:sz w:val="18"/>
              </w:rPr>
              <w:t xml:space="preserve"> </w:t>
            </w:r>
            <w:r>
              <w:rPr>
                <w:sz w:val="18"/>
              </w:rPr>
              <w:t>satisfied</w:t>
            </w:r>
            <w:r>
              <w:rPr>
                <w:spacing w:val="-7"/>
                <w:sz w:val="18"/>
              </w:rPr>
              <w:t xml:space="preserve"> </w:t>
            </w:r>
            <w:r>
              <w:rPr>
                <w:sz w:val="18"/>
              </w:rPr>
              <w:t>and</w:t>
            </w:r>
            <w:r>
              <w:rPr>
                <w:spacing w:val="-5"/>
                <w:sz w:val="18"/>
              </w:rPr>
              <w:t xml:space="preserve"> </w:t>
            </w:r>
            <w:r>
              <w:rPr>
                <w:sz w:val="18"/>
              </w:rPr>
              <w:t>extremely</w:t>
            </w:r>
            <w:r>
              <w:rPr>
                <w:spacing w:val="-5"/>
                <w:sz w:val="18"/>
              </w:rPr>
              <w:t xml:space="preserve"> </w:t>
            </w:r>
            <w:r>
              <w:rPr>
                <w:sz w:val="18"/>
              </w:rPr>
              <w:t>satisfied)</w:t>
            </w:r>
          </w:p>
        </w:tc>
        <w:tc>
          <w:tcPr>
            <w:tcW w:w="1275" w:type="dxa"/>
            <w:shd w:val="clear" w:color="auto" w:fill="F1F1F1"/>
          </w:tcPr>
          <w:p w14:paraId="08B0F5C0" w14:textId="77777777" w:rsidR="00141B97" w:rsidRDefault="00911D63">
            <w:pPr>
              <w:pStyle w:val="TableParagraph"/>
              <w:spacing w:line="220" w:lineRule="atLeast"/>
              <w:ind w:left="125" w:right="121"/>
              <w:jc w:val="center"/>
              <w:rPr>
                <w:sz w:val="18"/>
              </w:rPr>
            </w:pPr>
            <w:r>
              <w:rPr>
                <w:sz w:val="18"/>
              </w:rPr>
              <w:t>Percentage</w:t>
            </w:r>
            <w:r>
              <w:rPr>
                <w:spacing w:val="-11"/>
                <w:sz w:val="18"/>
              </w:rPr>
              <w:t xml:space="preserve"> </w:t>
            </w:r>
            <w:r>
              <w:rPr>
                <w:sz w:val="18"/>
              </w:rPr>
              <w:t xml:space="preserve">of </w:t>
            </w:r>
            <w:r>
              <w:rPr>
                <w:spacing w:val="-2"/>
                <w:sz w:val="18"/>
              </w:rPr>
              <w:t>customers</w:t>
            </w:r>
            <w:r>
              <w:rPr>
                <w:sz w:val="18"/>
              </w:rPr>
              <w:t xml:space="preserve"> </w:t>
            </w:r>
            <w:r>
              <w:rPr>
                <w:spacing w:val="-2"/>
                <w:sz w:val="18"/>
              </w:rPr>
              <w:t>surveyed</w:t>
            </w:r>
          </w:p>
        </w:tc>
        <w:tc>
          <w:tcPr>
            <w:tcW w:w="817" w:type="dxa"/>
            <w:tcBorders>
              <w:right w:val="nil"/>
            </w:tcBorders>
            <w:shd w:val="clear" w:color="auto" w:fill="00B04F"/>
          </w:tcPr>
          <w:p w14:paraId="07D07655" w14:textId="77777777" w:rsidR="00141B97" w:rsidRDefault="00141B97">
            <w:pPr>
              <w:pStyle w:val="TableParagraph"/>
              <w:rPr>
                <w:sz w:val="18"/>
              </w:rPr>
            </w:pPr>
          </w:p>
          <w:p w14:paraId="63585B77" w14:textId="77777777" w:rsidR="00141B97" w:rsidRDefault="00911D63">
            <w:pPr>
              <w:pStyle w:val="TableParagraph"/>
              <w:ind w:left="120" w:right="119"/>
              <w:jc w:val="center"/>
              <w:rPr>
                <w:sz w:val="18"/>
              </w:rPr>
            </w:pPr>
            <w:r>
              <w:rPr>
                <w:spacing w:val="-5"/>
                <w:sz w:val="18"/>
              </w:rPr>
              <w:t>84%</w:t>
            </w:r>
          </w:p>
        </w:tc>
        <w:tc>
          <w:tcPr>
            <w:tcW w:w="903" w:type="dxa"/>
            <w:tcBorders>
              <w:left w:val="nil"/>
              <w:right w:val="nil"/>
            </w:tcBorders>
            <w:shd w:val="clear" w:color="auto" w:fill="00B04F"/>
          </w:tcPr>
          <w:p w14:paraId="4FB9D419" w14:textId="77777777" w:rsidR="00141B97" w:rsidRDefault="00141B97">
            <w:pPr>
              <w:pStyle w:val="TableParagraph"/>
              <w:rPr>
                <w:sz w:val="18"/>
              </w:rPr>
            </w:pPr>
          </w:p>
          <w:p w14:paraId="270AA431" w14:textId="77777777" w:rsidR="00141B97" w:rsidRDefault="00911D63">
            <w:pPr>
              <w:pStyle w:val="TableParagraph"/>
              <w:ind w:left="169" w:right="167"/>
              <w:jc w:val="center"/>
              <w:rPr>
                <w:sz w:val="18"/>
              </w:rPr>
            </w:pPr>
            <w:r>
              <w:rPr>
                <w:spacing w:val="-5"/>
                <w:sz w:val="18"/>
              </w:rPr>
              <w:t>96%</w:t>
            </w:r>
          </w:p>
        </w:tc>
        <w:tc>
          <w:tcPr>
            <w:tcW w:w="830" w:type="dxa"/>
            <w:tcBorders>
              <w:left w:val="nil"/>
              <w:right w:val="nil"/>
            </w:tcBorders>
            <w:shd w:val="clear" w:color="auto" w:fill="00B04F"/>
          </w:tcPr>
          <w:p w14:paraId="5E49AEDC" w14:textId="77777777" w:rsidR="00141B97" w:rsidRDefault="00141B97">
            <w:pPr>
              <w:pStyle w:val="TableParagraph"/>
              <w:rPr>
                <w:sz w:val="18"/>
              </w:rPr>
            </w:pPr>
          </w:p>
          <w:p w14:paraId="4BC61D91" w14:textId="77777777" w:rsidR="00141B97" w:rsidRDefault="00911D63">
            <w:pPr>
              <w:pStyle w:val="TableParagraph"/>
              <w:ind w:left="133" w:right="129"/>
              <w:jc w:val="center"/>
              <w:rPr>
                <w:sz w:val="18"/>
              </w:rPr>
            </w:pPr>
            <w:r>
              <w:rPr>
                <w:spacing w:val="-5"/>
                <w:sz w:val="18"/>
              </w:rPr>
              <w:t>94%</w:t>
            </w:r>
          </w:p>
        </w:tc>
        <w:tc>
          <w:tcPr>
            <w:tcW w:w="835" w:type="dxa"/>
            <w:tcBorders>
              <w:left w:val="nil"/>
              <w:right w:val="nil"/>
            </w:tcBorders>
            <w:shd w:val="clear" w:color="auto" w:fill="00B04F"/>
          </w:tcPr>
          <w:p w14:paraId="0A690FE2" w14:textId="77777777" w:rsidR="00141B97" w:rsidRDefault="00141B97">
            <w:pPr>
              <w:pStyle w:val="TableParagraph"/>
              <w:rPr>
                <w:sz w:val="18"/>
              </w:rPr>
            </w:pPr>
          </w:p>
          <w:p w14:paraId="7B92FA29" w14:textId="77777777" w:rsidR="00141B97" w:rsidRDefault="00911D63">
            <w:pPr>
              <w:pStyle w:val="TableParagraph"/>
              <w:ind w:left="142" w:right="127"/>
              <w:jc w:val="center"/>
              <w:rPr>
                <w:sz w:val="18"/>
              </w:rPr>
            </w:pPr>
            <w:r>
              <w:rPr>
                <w:spacing w:val="-5"/>
                <w:sz w:val="18"/>
              </w:rPr>
              <w:t>96%</w:t>
            </w:r>
          </w:p>
        </w:tc>
      </w:tr>
      <w:tr w:rsidR="00141B97" w14:paraId="3C523757" w14:textId="77777777">
        <w:trPr>
          <w:trHeight w:val="658"/>
        </w:trPr>
        <w:tc>
          <w:tcPr>
            <w:tcW w:w="392" w:type="dxa"/>
            <w:tcBorders>
              <w:left w:val="nil"/>
            </w:tcBorders>
            <w:shd w:val="clear" w:color="auto" w:fill="F1F1F1"/>
          </w:tcPr>
          <w:p w14:paraId="54D4EA59" w14:textId="77777777" w:rsidR="00141B97" w:rsidRDefault="00911D63">
            <w:pPr>
              <w:pStyle w:val="TableParagraph"/>
              <w:spacing w:line="194" w:lineRule="exact"/>
              <w:ind w:left="88"/>
              <w:rPr>
                <w:sz w:val="16"/>
              </w:rPr>
            </w:pPr>
            <w:r>
              <w:rPr>
                <w:w w:val="99"/>
                <w:sz w:val="16"/>
              </w:rPr>
              <w:t>c</w:t>
            </w:r>
          </w:p>
        </w:tc>
        <w:tc>
          <w:tcPr>
            <w:tcW w:w="4526" w:type="dxa"/>
            <w:shd w:val="clear" w:color="auto" w:fill="F1F1F1"/>
          </w:tcPr>
          <w:p w14:paraId="072F462E" w14:textId="77777777" w:rsidR="00141B97" w:rsidRDefault="00911D63">
            <w:pPr>
              <w:pStyle w:val="TableParagraph"/>
              <w:spacing w:line="220" w:lineRule="atLeast"/>
              <w:ind w:left="97"/>
              <w:rPr>
                <w:sz w:val="18"/>
              </w:rPr>
            </w:pPr>
            <w:r>
              <w:rPr>
                <w:sz w:val="18"/>
              </w:rPr>
              <w:t>Annual survey: Customers satisfied with LMW’s role in the community</w:t>
            </w:r>
            <w:r>
              <w:rPr>
                <w:spacing w:val="-5"/>
                <w:sz w:val="18"/>
              </w:rPr>
              <w:t xml:space="preserve"> </w:t>
            </w:r>
            <w:r>
              <w:rPr>
                <w:sz w:val="18"/>
              </w:rPr>
              <w:t>(rating</w:t>
            </w:r>
            <w:r>
              <w:rPr>
                <w:spacing w:val="-6"/>
                <w:sz w:val="18"/>
              </w:rPr>
              <w:t xml:space="preserve"> </w:t>
            </w:r>
            <w:r>
              <w:rPr>
                <w:sz w:val="18"/>
              </w:rPr>
              <w:t>of</w:t>
            </w:r>
            <w:r>
              <w:rPr>
                <w:spacing w:val="-5"/>
                <w:sz w:val="18"/>
              </w:rPr>
              <w:t xml:space="preserve"> </w:t>
            </w:r>
            <w:r>
              <w:rPr>
                <w:sz w:val="18"/>
              </w:rPr>
              <w:t>satisfied,</w:t>
            </w:r>
            <w:r>
              <w:rPr>
                <w:spacing w:val="-6"/>
                <w:sz w:val="18"/>
              </w:rPr>
              <w:t xml:space="preserve"> </w:t>
            </w:r>
            <w:r>
              <w:rPr>
                <w:sz w:val="18"/>
              </w:rPr>
              <w:t>very</w:t>
            </w:r>
            <w:r>
              <w:rPr>
                <w:spacing w:val="-6"/>
                <w:sz w:val="18"/>
              </w:rPr>
              <w:t xml:space="preserve"> </w:t>
            </w:r>
            <w:r>
              <w:rPr>
                <w:sz w:val="18"/>
              </w:rPr>
              <w:t>satisfied</w:t>
            </w:r>
            <w:r>
              <w:rPr>
                <w:spacing w:val="-6"/>
                <w:sz w:val="18"/>
              </w:rPr>
              <w:t xml:space="preserve"> </w:t>
            </w:r>
            <w:r>
              <w:rPr>
                <w:sz w:val="18"/>
              </w:rPr>
              <w:t>and</w:t>
            </w:r>
            <w:r>
              <w:rPr>
                <w:spacing w:val="-7"/>
                <w:sz w:val="18"/>
              </w:rPr>
              <w:t xml:space="preserve"> </w:t>
            </w:r>
            <w:r>
              <w:rPr>
                <w:sz w:val="18"/>
              </w:rPr>
              <w:t xml:space="preserve">extremely </w:t>
            </w:r>
            <w:r>
              <w:rPr>
                <w:spacing w:val="-2"/>
                <w:sz w:val="18"/>
              </w:rPr>
              <w:t>satisfied)</w:t>
            </w:r>
          </w:p>
        </w:tc>
        <w:tc>
          <w:tcPr>
            <w:tcW w:w="1275" w:type="dxa"/>
            <w:shd w:val="clear" w:color="auto" w:fill="F1F1F1"/>
          </w:tcPr>
          <w:p w14:paraId="3BA41120" w14:textId="77777777" w:rsidR="00141B97" w:rsidRDefault="00911D63">
            <w:pPr>
              <w:pStyle w:val="TableParagraph"/>
              <w:spacing w:line="220" w:lineRule="atLeast"/>
              <w:ind w:left="125" w:right="121"/>
              <w:jc w:val="center"/>
              <w:rPr>
                <w:sz w:val="18"/>
              </w:rPr>
            </w:pPr>
            <w:r>
              <w:rPr>
                <w:sz w:val="18"/>
              </w:rPr>
              <w:t>Percentage</w:t>
            </w:r>
            <w:r>
              <w:rPr>
                <w:spacing w:val="-11"/>
                <w:sz w:val="18"/>
              </w:rPr>
              <w:t xml:space="preserve"> </w:t>
            </w:r>
            <w:r>
              <w:rPr>
                <w:sz w:val="18"/>
              </w:rPr>
              <w:t xml:space="preserve">of </w:t>
            </w:r>
            <w:r>
              <w:rPr>
                <w:spacing w:val="-2"/>
                <w:sz w:val="18"/>
              </w:rPr>
              <w:t>customers</w:t>
            </w:r>
            <w:r>
              <w:rPr>
                <w:sz w:val="18"/>
              </w:rPr>
              <w:t xml:space="preserve"> </w:t>
            </w:r>
            <w:r>
              <w:rPr>
                <w:spacing w:val="-2"/>
                <w:sz w:val="18"/>
              </w:rPr>
              <w:t>surveyed</w:t>
            </w:r>
          </w:p>
        </w:tc>
        <w:tc>
          <w:tcPr>
            <w:tcW w:w="817" w:type="dxa"/>
            <w:tcBorders>
              <w:right w:val="nil"/>
            </w:tcBorders>
            <w:shd w:val="clear" w:color="auto" w:fill="00B04F"/>
          </w:tcPr>
          <w:p w14:paraId="2031DE3B" w14:textId="77777777" w:rsidR="00141B97" w:rsidRDefault="00141B97">
            <w:pPr>
              <w:pStyle w:val="TableParagraph"/>
              <w:spacing w:before="11"/>
              <w:rPr>
                <w:sz w:val="17"/>
              </w:rPr>
            </w:pPr>
          </w:p>
          <w:p w14:paraId="34273C99" w14:textId="77777777" w:rsidR="00141B97" w:rsidRDefault="00911D63">
            <w:pPr>
              <w:pStyle w:val="TableParagraph"/>
              <w:spacing w:before="1"/>
              <w:ind w:left="120" w:right="119"/>
              <w:jc w:val="center"/>
              <w:rPr>
                <w:sz w:val="18"/>
              </w:rPr>
            </w:pPr>
            <w:r>
              <w:rPr>
                <w:spacing w:val="-5"/>
                <w:sz w:val="18"/>
              </w:rPr>
              <w:t>90%</w:t>
            </w:r>
          </w:p>
        </w:tc>
        <w:tc>
          <w:tcPr>
            <w:tcW w:w="903" w:type="dxa"/>
            <w:tcBorders>
              <w:left w:val="nil"/>
              <w:right w:val="nil"/>
            </w:tcBorders>
            <w:shd w:val="clear" w:color="auto" w:fill="00B04F"/>
          </w:tcPr>
          <w:p w14:paraId="604C9824" w14:textId="77777777" w:rsidR="00141B97" w:rsidRDefault="00141B97">
            <w:pPr>
              <w:pStyle w:val="TableParagraph"/>
              <w:spacing w:before="11"/>
              <w:rPr>
                <w:sz w:val="17"/>
              </w:rPr>
            </w:pPr>
          </w:p>
          <w:p w14:paraId="75757FC1" w14:textId="77777777" w:rsidR="00141B97" w:rsidRDefault="00911D63">
            <w:pPr>
              <w:pStyle w:val="TableParagraph"/>
              <w:spacing w:before="1"/>
              <w:ind w:left="169" w:right="167"/>
              <w:jc w:val="center"/>
              <w:rPr>
                <w:sz w:val="18"/>
              </w:rPr>
            </w:pPr>
            <w:r>
              <w:rPr>
                <w:spacing w:val="-5"/>
                <w:sz w:val="18"/>
              </w:rPr>
              <w:t>84%</w:t>
            </w:r>
          </w:p>
        </w:tc>
        <w:tc>
          <w:tcPr>
            <w:tcW w:w="830" w:type="dxa"/>
            <w:tcBorders>
              <w:left w:val="nil"/>
              <w:right w:val="nil"/>
            </w:tcBorders>
            <w:shd w:val="clear" w:color="auto" w:fill="00B04F"/>
          </w:tcPr>
          <w:p w14:paraId="37B317C9" w14:textId="77777777" w:rsidR="00141B97" w:rsidRDefault="00141B97">
            <w:pPr>
              <w:pStyle w:val="TableParagraph"/>
              <w:spacing w:before="11"/>
              <w:rPr>
                <w:sz w:val="17"/>
              </w:rPr>
            </w:pPr>
          </w:p>
          <w:p w14:paraId="6CA4397B" w14:textId="77777777" w:rsidR="00141B97" w:rsidRDefault="00911D63">
            <w:pPr>
              <w:pStyle w:val="TableParagraph"/>
              <w:spacing w:before="1"/>
              <w:ind w:left="133" w:right="129"/>
              <w:jc w:val="center"/>
              <w:rPr>
                <w:sz w:val="18"/>
              </w:rPr>
            </w:pPr>
            <w:r>
              <w:rPr>
                <w:spacing w:val="-5"/>
                <w:sz w:val="18"/>
              </w:rPr>
              <w:t>87%</w:t>
            </w:r>
          </w:p>
        </w:tc>
        <w:tc>
          <w:tcPr>
            <w:tcW w:w="835" w:type="dxa"/>
            <w:tcBorders>
              <w:left w:val="nil"/>
              <w:right w:val="nil"/>
            </w:tcBorders>
            <w:shd w:val="clear" w:color="auto" w:fill="00B04F"/>
          </w:tcPr>
          <w:p w14:paraId="733E1E1D" w14:textId="77777777" w:rsidR="00141B97" w:rsidRDefault="00141B97">
            <w:pPr>
              <w:pStyle w:val="TableParagraph"/>
              <w:spacing w:before="11"/>
              <w:rPr>
                <w:sz w:val="17"/>
              </w:rPr>
            </w:pPr>
          </w:p>
          <w:p w14:paraId="3116373F" w14:textId="77777777" w:rsidR="00141B97" w:rsidRDefault="00911D63">
            <w:pPr>
              <w:pStyle w:val="TableParagraph"/>
              <w:spacing w:before="1"/>
              <w:ind w:left="142" w:right="127"/>
              <w:jc w:val="center"/>
              <w:rPr>
                <w:sz w:val="18"/>
              </w:rPr>
            </w:pPr>
            <w:r>
              <w:rPr>
                <w:spacing w:val="-5"/>
                <w:sz w:val="18"/>
              </w:rPr>
              <w:t>82%</w:t>
            </w:r>
          </w:p>
        </w:tc>
      </w:tr>
      <w:tr w:rsidR="00141B97" w14:paraId="2E1F3250" w14:textId="77777777">
        <w:trPr>
          <w:trHeight w:val="437"/>
        </w:trPr>
        <w:tc>
          <w:tcPr>
            <w:tcW w:w="392" w:type="dxa"/>
            <w:tcBorders>
              <w:left w:val="nil"/>
            </w:tcBorders>
            <w:shd w:val="clear" w:color="auto" w:fill="F1F1F1"/>
          </w:tcPr>
          <w:p w14:paraId="3921DB13" w14:textId="77777777" w:rsidR="00141B97" w:rsidRDefault="00911D63">
            <w:pPr>
              <w:pStyle w:val="TableParagraph"/>
              <w:spacing w:line="193" w:lineRule="exact"/>
              <w:ind w:left="88"/>
              <w:rPr>
                <w:sz w:val="16"/>
              </w:rPr>
            </w:pPr>
            <w:r>
              <w:rPr>
                <w:w w:val="99"/>
                <w:sz w:val="16"/>
              </w:rPr>
              <w:t>d</w:t>
            </w:r>
          </w:p>
        </w:tc>
        <w:tc>
          <w:tcPr>
            <w:tcW w:w="4526" w:type="dxa"/>
            <w:shd w:val="clear" w:color="auto" w:fill="F1F1F1"/>
          </w:tcPr>
          <w:p w14:paraId="62DE32E7" w14:textId="77777777" w:rsidR="00141B97" w:rsidRDefault="00911D63">
            <w:pPr>
              <w:pStyle w:val="TableParagraph"/>
              <w:spacing w:line="219" w:lineRule="exact"/>
              <w:ind w:left="97"/>
              <w:rPr>
                <w:sz w:val="18"/>
              </w:rPr>
            </w:pPr>
            <w:r>
              <w:rPr>
                <w:sz w:val="18"/>
              </w:rPr>
              <w:t>Rural</w:t>
            </w:r>
            <w:r>
              <w:rPr>
                <w:spacing w:val="-4"/>
                <w:sz w:val="18"/>
              </w:rPr>
              <w:t xml:space="preserve"> </w:t>
            </w:r>
            <w:r>
              <w:rPr>
                <w:sz w:val="18"/>
              </w:rPr>
              <w:t>customer</w:t>
            </w:r>
            <w:r>
              <w:rPr>
                <w:spacing w:val="-5"/>
                <w:sz w:val="18"/>
              </w:rPr>
              <w:t xml:space="preserve"> </w:t>
            </w:r>
            <w:r>
              <w:rPr>
                <w:sz w:val="18"/>
              </w:rPr>
              <w:t>complaints</w:t>
            </w:r>
            <w:r>
              <w:rPr>
                <w:spacing w:val="-3"/>
                <w:sz w:val="18"/>
              </w:rPr>
              <w:t xml:space="preserve"> </w:t>
            </w:r>
            <w:r>
              <w:rPr>
                <w:sz w:val="18"/>
              </w:rPr>
              <w:t>to</w:t>
            </w:r>
            <w:r>
              <w:rPr>
                <w:spacing w:val="-5"/>
                <w:sz w:val="18"/>
              </w:rPr>
              <w:t xml:space="preserve"> </w:t>
            </w:r>
            <w:r>
              <w:rPr>
                <w:sz w:val="18"/>
              </w:rPr>
              <w:t>energy</w:t>
            </w:r>
            <w:r>
              <w:rPr>
                <w:spacing w:val="-4"/>
                <w:sz w:val="18"/>
              </w:rPr>
              <w:t xml:space="preserve"> </w:t>
            </w:r>
            <w:r>
              <w:rPr>
                <w:sz w:val="18"/>
              </w:rPr>
              <w:t>and</w:t>
            </w:r>
            <w:r>
              <w:rPr>
                <w:spacing w:val="-3"/>
                <w:sz w:val="18"/>
              </w:rPr>
              <w:t xml:space="preserve"> </w:t>
            </w:r>
            <w:r>
              <w:rPr>
                <w:spacing w:val="-2"/>
                <w:sz w:val="18"/>
              </w:rPr>
              <w:t>Water</w:t>
            </w:r>
          </w:p>
          <w:p w14:paraId="0153C14E" w14:textId="77777777" w:rsidR="00141B97" w:rsidRDefault="00911D63">
            <w:pPr>
              <w:pStyle w:val="TableParagraph"/>
              <w:spacing w:line="199" w:lineRule="exact"/>
              <w:ind w:left="97"/>
              <w:rPr>
                <w:sz w:val="18"/>
              </w:rPr>
            </w:pPr>
            <w:r>
              <w:rPr>
                <w:sz w:val="18"/>
              </w:rPr>
              <w:t>Ombudsman</w:t>
            </w:r>
            <w:r>
              <w:rPr>
                <w:spacing w:val="-4"/>
                <w:sz w:val="18"/>
              </w:rPr>
              <w:t xml:space="preserve"> </w:t>
            </w:r>
            <w:r>
              <w:rPr>
                <w:sz w:val="18"/>
              </w:rPr>
              <w:t>Victoria</w:t>
            </w:r>
            <w:r>
              <w:rPr>
                <w:spacing w:val="-3"/>
                <w:sz w:val="18"/>
              </w:rPr>
              <w:t xml:space="preserve"> </w:t>
            </w:r>
            <w:r>
              <w:rPr>
                <w:spacing w:val="-2"/>
                <w:sz w:val="18"/>
              </w:rPr>
              <w:t>(EWOV)</w:t>
            </w:r>
          </w:p>
        </w:tc>
        <w:tc>
          <w:tcPr>
            <w:tcW w:w="1275" w:type="dxa"/>
            <w:shd w:val="clear" w:color="auto" w:fill="F1F1F1"/>
          </w:tcPr>
          <w:p w14:paraId="052B8AB5" w14:textId="77777777" w:rsidR="00141B97" w:rsidRDefault="00911D63">
            <w:pPr>
              <w:pStyle w:val="TableParagraph"/>
              <w:spacing w:before="108"/>
              <w:ind w:left="122" w:right="121"/>
              <w:jc w:val="center"/>
              <w:rPr>
                <w:sz w:val="18"/>
              </w:rPr>
            </w:pPr>
            <w:r>
              <w:rPr>
                <w:spacing w:val="-2"/>
                <w:sz w:val="18"/>
              </w:rPr>
              <w:t>Number</w:t>
            </w:r>
          </w:p>
        </w:tc>
        <w:tc>
          <w:tcPr>
            <w:tcW w:w="817" w:type="dxa"/>
            <w:tcBorders>
              <w:right w:val="nil"/>
            </w:tcBorders>
            <w:shd w:val="clear" w:color="auto" w:fill="FF0000"/>
          </w:tcPr>
          <w:p w14:paraId="7274EC29" w14:textId="77777777" w:rsidR="00141B97" w:rsidRDefault="00911D63">
            <w:pPr>
              <w:pStyle w:val="TableParagraph"/>
              <w:spacing w:before="108"/>
              <w:ind w:left="120" w:right="119"/>
              <w:jc w:val="center"/>
              <w:rPr>
                <w:sz w:val="18"/>
              </w:rPr>
            </w:pPr>
            <w:r>
              <w:rPr>
                <w:spacing w:val="-5"/>
                <w:sz w:val="18"/>
              </w:rPr>
              <w:t>15</w:t>
            </w:r>
          </w:p>
        </w:tc>
        <w:tc>
          <w:tcPr>
            <w:tcW w:w="903" w:type="dxa"/>
            <w:tcBorders>
              <w:left w:val="nil"/>
              <w:right w:val="nil"/>
            </w:tcBorders>
            <w:shd w:val="clear" w:color="auto" w:fill="00B04F"/>
          </w:tcPr>
          <w:p w14:paraId="0A94E541" w14:textId="77777777" w:rsidR="00141B97" w:rsidRDefault="00911D63">
            <w:pPr>
              <w:pStyle w:val="TableParagraph"/>
              <w:spacing w:before="108"/>
              <w:ind w:left="2"/>
              <w:jc w:val="center"/>
              <w:rPr>
                <w:sz w:val="18"/>
              </w:rPr>
            </w:pPr>
            <w:r>
              <w:rPr>
                <w:sz w:val="18"/>
              </w:rPr>
              <w:t>2</w:t>
            </w:r>
          </w:p>
        </w:tc>
        <w:tc>
          <w:tcPr>
            <w:tcW w:w="830" w:type="dxa"/>
            <w:tcBorders>
              <w:left w:val="nil"/>
              <w:right w:val="nil"/>
            </w:tcBorders>
            <w:shd w:val="clear" w:color="auto" w:fill="00B04F"/>
          </w:tcPr>
          <w:p w14:paraId="0D2BA8B0" w14:textId="77777777" w:rsidR="00141B97" w:rsidRDefault="00911D63">
            <w:pPr>
              <w:pStyle w:val="TableParagraph"/>
              <w:spacing w:before="108"/>
              <w:ind w:left="4"/>
              <w:jc w:val="center"/>
              <w:rPr>
                <w:sz w:val="18"/>
              </w:rPr>
            </w:pPr>
            <w:r>
              <w:rPr>
                <w:sz w:val="18"/>
              </w:rPr>
              <w:t>6</w:t>
            </w:r>
          </w:p>
        </w:tc>
        <w:tc>
          <w:tcPr>
            <w:tcW w:w="835" w:type="dxa"/>
            <w:tcBorders>
              <w:left w:val="nil"/>
              <w:right w:val="nil"/>
            </w:tcBorders>
            <w:shd w:val="clear" w:color="auto" w:fill="FFC000"/>
          </w:tcPr>
          <w:p w14:paraId="5EF312A5" w14:textId="77777777" w:rsidR="00141B97" w:rsidRDefault="00911D63">
            <w:pPr>
              <w:pStyle w:val="TableParagraph"/>
              <w:spacing w:before="108"/>
              <w:ind w:left="15"/>
              <w:jc w:val="center"/>
              <w:rPr>
                <w:sz w:val="18"/>
              </w:rPr>
            </w:pPr>
            <w:r>
              <w:rPr>
                <w:sz w:val="18"/>
              </w:rPr>
              <w:t>7</w:t>
            </w:r>
          </w:p>
        </w:tc>
      </w:tr>
      <w:tr w:rsidR="00141B97" w14:paraId="25B21720" w14:textId="77777777">
        <w:trPr>
          <w:trHeight w:val="219"/>
        </w:trPr>
        <w:tc>
          <w:tcPr>
            <w:tcW w:w="392" w:type="dxa"/>
            <w:tcBorders>
              <w:left w:val="nil"/>
            </w:tcBorders>
            <w:shd w:val="clear" w:color="auto" w:fill="F1F1F1"/>
          </w:tcPr>
          <w:p w14:paraId="7DD9EFE4" w14:textId="77777777" w:rsidR="00141B97" w:rsidRDefault="00911D63">
            <w:pPr>
              <w:pStyle w:val="TableParagraph"/>
              <w:spacing w:line="195" w:lineRule="exact"/>
              <w:ind w:left="88"/>
              <w:rPr>
                <w:sz w:val="16"/>
              </w:rPr>
            </w:pPr>
            <w:r>
              <w:rPr>
                <w:w w:val="99"/>
                <w:sz w:val="16"/>
              </w:rPr>
              <w:t>e</w:t>
            </w:r>
          </w:p>
        </w:tc>
        <w:tc>
          <w:tcPr>
            <w:tcW w:w="4526" w:type="dxa"/>
            <w:shd w:val="clear" w:color="auto" w:fill="F1F1F1"/>
          </w:tcPr>
          <w:p w14:paraId="2CD4ECF3" w14:textId="77777777" w:rsidR="00141B97" w:rsidRDefault="00911D63">
            <w:pPr>
              <w:pStyle w:val="TableParagraph"/>
              <w:spacing w:line="200" w:lineRule="exact"/>
              <w:ind w:left="97"/>
              <w:rPr>
                <w:sz w:val="18"/>
              </w:rPr>
            </w:pPr>
            <w:r>
              <w:rPr>
                <w:sz w:val="18"/>
              </w:rPr>
              <w:t>Calls</w:t>
            </w:r>
            <w:r>
              <w:rPr>
                <w:spacing w:val="-4"/>
                <w:sz w:val="18"/>
              </w:rPr>
              <w:t xml:space="preserve"> </w:t>
            </w:r>
            <w:r>
              <w:rPr>
                <w:sz w:val="18"/>
              </w:rPr>
              <w:t>answered</w:t>
            </w:r>
            <w:r>
              <w:rPr>
                <w:spacing w:val="-3"/>
                <w:sz w:val="18"/>
              </w:rPr>
              <w:t xml:space="preserve"> </w:t>
            </w:r>
            <w:r>
              <w:rPr>
                <w:sz w:val="18"/>
              </w:rPr>
              <w:t>within</w:t>
            </w:r>
            <w:r>
              <w:rPr>
                <w:spacing w:val="-2"/>
                <w:sz w:val="18"/>
              </w:rPr>
              <w:t xml:space="preserve"> </w:t>
            </w:r>
            <w:r>
              <w:rPr>
                <w:sz w:val="18"/>
              </w:rPr>
              <w:t>60</w:t>
            </w:r>
            <w:r>
              <w:rPr>
                <w:spacing w:val="-2"/>
                <w:sz w:val="18"/>
              </w:rPr>
              <w:t xml:space="preserve"> </w:t>
            </w:r>
            <w:r>
              <w:rPr>
                <w:sz w:val="18"/>
              </w:rPr>
              <w:t>seconds</w:t>
            </w:r>
            <w:r>
              <w:rPr>
                <w:spacing w:val="-2"/>
                <w:sz w:val="18"/>
              </w:rPr>
              <w:t xml:space="preserve"> </w:t>
            </w:r>
            <w:r>
              <w:rPr>
                <w:sz w:val="18"/>
              </w:rPr>
              <w:t>(operations</w:t>
            </w:r>
            <w:r>
              <w:rPr>
                <w:spacing w:val="-2"/>
                <w:sz w:val="18"/>
              </w:rPr>
              <w:t xml:space="preserve"> room)</w:t>
            </w:r>
          </w:p>
        </w:tc>
        <w:tc>
          <w:tcPr>
            <w:tcW w:w="1275" w:type="dxa"/>
            <w:shd w:val="clear" w:color="auto" w:fill="F1F1F1"/>
          </w:tcPr>
          <w:p w14:paraId="7F92E823" w14:textId="77777777" w:rsidR="00141B97" w:rsidRDefault="00911D63">
            <w:pPr>
              <w:pStyle w:val="TableParagraph"/>
              <w:spacing w:line="200" w:lineRule="exact"/>
              <w:ind w:left="122" w:right="121"/>
              <w:jc w:val="center"/>
              <w:rPr>
                <w:sz w:val="18"/>
              </w:rPr>
            </w:pPr>
            <w:r>
              <w:rPr>
                <w:spacing w:val="-2"/>
                <w:sz w:val="18"/>
              </w:rPr>
              <w:t>Percentage</w:t>
            </w:r>
          </w:p>
        </w:tc>
        <w:tc>
          <w:tcPr>
            <w:tcW w:w="817" w:type="dxa"/>
            <w:tcBorders>
              <w:right w:val="nil"/>
            </w:tcBorders>
            <w:shd w:val="clear" w:color="auto" w:fill="00B04F"/>
          </w:tcPr>
          <w:p w14:paraId="41E079F4" w14:textId="77777777" w:rsidR="00141B97" w:rsidRDefault="00911D63">
            <w:pPr>
              <w:pStyle w:val="TableParagraph"/>
              <w:spacing w:line="200" w:lineRule="exact"/>
              <w:ind w:left="120" w:right="119"/>
              <w:jc w:val="center"/>
              <w:rPr>
                <w:sz w:val="18"/>
              </w:rPr>
            </w:pPr>
            <w:r>
              <w:rPr>
                <w:spacing w:val="-5"/>
                <w:sz w:val="18"/>
              </w:rPr>
              <w:t>99%</w:t>
            </w:r>
          </w:p>
        </w:tc>
        <w:tc>
          <w:tcPr>
            <w:tcW w:w="903" w:type="dxa"/>
            <w:tcBorders>
              <w:left w:val="nil"/>
              <w:right w:val="nil"/>
            </w:tcBorders>
            <w:shd w:val="clear" w:color="auto" w:fill="00B04F"/>
          </w:tcPr>
          <w:p w14:paraId="5BB36D91" w14:textId="77777777" w:rsidR="00141B97" w:rsidRDefault="00911D63">
            <w:pPr>
              <w:pStyle w:val="TableParagraph"/>
              <w:spacing w:line="200" w:lineRule="exact"/>
              <w:ind w:left="169" w:right="167"/>
              <w:jc w:val="center"/>
              <w:rPr>
                <w:sz w:val="18"/>
              </w:rPr>
            </w:pPr>
            <w:r>
              <w:rPr>
                <w:spacing w:val="-5"/>
                <w:sz w:val="18"/>
              </w:rPr>
              <w:t>96%</w:t>
            </w:r>
          </w:p>
        </w:tc>
        <w:tc>
          <w:tcPr>
            <w:tcW w:w="830" w:type="dxa"/>
            <w:tcBorders>
              <w:left w:val="nil"/>
              <w:right w:val="nil"/>
            </w:tcBorders>
            <w:shd w:val="clear" w:color="auto" w:fill="00B04F"/>
          </w:tcPr>
          <w:p w14:paraId="0D7F2B0C" w14:textId="77777777" w:rsidR="00141B97" w:rsidRDefault="00911D63">
            <w:pPr>
              <w:pStyle w:val="TableParagraph"/>
              <w:spacing w:line="200" w:lineRule="exact"/>
              <w:ind w:left="133" w:right="129"/>
              <w:jc w:val="center"/>
              <w:rPr>
                <w:sz w:val="18"/>
              </w:rPr>
            </w:pPr>
            <w:r>
              <w:rPr>
                <w:spacing w:val="-5"/>
                <w:sz w:val="18"/>
              </w:rPr>
              <w:t>97%</w:t>
            </w:r>
          </w:p>
        </w:tc>
        <w:tc>
          <w:tcPr>
            <w:tcW w:w="835" w:type="dxa"/>
            <w:tcBorders>
              <w:left w:val="nil"/>
              <w:right w:val="nil"/>
            </w:tcBorders>
            <w:shd w:val="clear" w:color="auto" w:fill="00B04F"/>
          </w:tcPr>
          <w:p w14:paraId="62A316E4" w14:textId="77777777" w:rsidR="00141B97" w:rsidRDefault="00911D63">
            <w:pPr>
              <w:pStyle w:val="TableParagraph"/>
              <w:spacing w:line="200" w:lineRule="exact"/>
              <w:ind w:left="142" w:right="127"/>
              <w:jc w:val="center"/>
              <w:rPr>
                <w:sz w:val="18"/>
              </w:rPr>
            </w:pPr>
            <w:r>
              <w:rPr>
                <w:spacing w:val="-5"/>
                <w:sz w:val="18"/>
              </w:rPr>
              <w:t>97%</w:t>
            </w:r>
          </w:p>
        </w:tc>
      </w:tr>
      <w:tr w:rsidR="00141B97" w14:paraId="6D655AC5" w14:textId="77777777">
        <w:trPr>
          <w:trHeight w:val="218"/>
        </w:trPr>
        <w:tc>
          <w:tcPr>
            <w:tcW w:w="6193" w:type="dxa"/>
            <w:gridSpan w:val="3"/>
            <w:tcBorders>
              <w:left w:val="nil"/>
            </w:tcBorders>
            <w:shd w:val="clear" w:color="auto" w:fill="D0CECE"/>
          </w:tcPr>
          <w:p w14:paraId="3C2DE87D" w14:textId="77777777" w:rsidR="00141B97" w:rsidRDefault="00911D63">
            <w:pPr>
              <w:pStyle w:val="TableParagraph"/>
              <w:spacing w:line="199" w:lineRule="exact"/>
              <w:ind w:left="88"/>
              <w:rPr>
                <w:sz w:val="18"/>
              </w:rPr>
            </w:pPr>
            <w:r>
              <w:rPr>
                <w:sz w:val="18"/>
              </w:rPr>
              <w:t>#</w:t>
            </w:r>
            <w:r>
              <w:rPr>
                <w:spacing w:val="-2"/>
                <w:sz w:val="18"/>
              </w:rPr>
              <w:t xml:space="preserve"> </w:t>
            </w:r>
            <w:r>
              <w:rPr>
                <w:sz w:val="18"/>
              </w:rPr>
              <w:t>4:</w:t>
            </w:r>
            <w:r>
              <w:rPr>
                <w:spacing w:val="-2"/>
                <w:sz w:val="18"/>
              </w:rPr>
              <w:t xml:space="preserve"> </w:t>
            </w:r>
            <w:r>
              <w:rPr>
                <w:sz w:val="18"/>
              </w:rPr>
              <w:t>Comply</w:t>
            </w:r>
            <w:r>
              <w:rPr>
                <w:spacing w:val="-2"/>
                <w:sz w:val="18"/>
              </w:rPr>
              <w:t xml:space="preserve"> </w:t>
            </w:r>
            <w:r>
              <w:rPr>
                <w:sz w:val="18"/>
              </w:rPr>
              <w:t>with</w:t>
            </w:r>
            <w:r>
              <w:rPr>
                <w:spacing w:val="-2"/>
                <w:sz w:val="18"/>
              </w:rPr>
              <w:t xml:space="preserve"> </w:t>
            </w:r>
            <w:r>
              <w:rPr>
                <w:sz w:val="18"/>
              </w:rPr>
              <w:t>other</w:t>
            </w:r>
            <w:r>
              <w:rPr>
                <w:spacing w:val="-2"/>
                <w:sz w:val="18"/>
              </w:rPr>
              <w:t xml:space="preserve"> </w:t>
            </w:r>
            <w:r>
              <w:rPr>
                <w:sz w:val="18"/>
              </w:rPr>
              <w:t>government</w:t>
            </w:r>
            <w:r>
              <w:rPr>
                <w:spacing w:val="-2"/>
                <w:sz w:val="18"/>
              </w:rPr>
              <w:t xml:space="preserve"> obligations</w:t>
            </w:r>
          </w:p>
        </w:tc>
        <w:tc>
          <w:tcPr>
            <w:tcW w:w="1720" w:type="dxa"/>
            <w:gridSpan w:val="2"/>
            <w:tcBorders>
              <w:right w:val="nil"/>
            </w:tcBorders>
            <w:shd w:val="clear" w:color="auto" w:fill="00B04F"/>
          </w:tcPr>
          <w:p w14:paraId="483CD049" w14:textId="77777777" w:rsidR="00141B97" w:rsidRDefault="00141B97">
            <w:pPr>
              <w:pStyle w:val="TableParagraph"/>
              <w:rPr>
                <w:rFonts w:ascii="Times New Roman"/>
                <w:sz w:val="14"/>
              </w:rPr>
            </w:pPr>
          </w:p>
        </w:tc>
        <w:tc>
          <w:tcPr>
            <w:tcW w:w="830" w:type="dxa"/>
            <w:tcBorders>
              <w:left w:val="nil"/>
              <w:right w:val="nil"/>
            </w:tcBorders>
            <w:shd w:val="clear" w:color="auto" w:fill="FFC000"/>
          </w:tcPr>
          <w:p w14:paraId="600F684B" w14:textId="77777777" w:rsidR="00141B97" w:rsidRDefault="00141B97">
            <w:pPr>
              <w:pStyle w:val="TableParagraph"/>
              <w:rPr>
                <w:rFonts w:ascii="Times New Roman"/>
                <w:sz w:val="14"/>
              </w:rPr>
            </w:pPr>
          </w:p>
        </w:tc>
        <w:tc>
          <w:tcPr>
            <w:tcW w:w="835" w:type="dxa"/>
            <w:tcBorders>
              <w:left w:val="nil"/>
              <w:right w:val="nil"/>
            </w:tcBorders>
            <w:shd w:val="clear" w:color="auto" w:fill="00B04F"/>
          </w:tcPr>
          <w:p w14:paraId="4A20F50A" w14:textId="77777777" w:rsidR="00141B97" w:rsidRDefault="00141B97">
            <w:pPr>
              <w:pStyle w:val="TableParagraph"/>
              <w:rPr>
                <w:rFonts w:ascii="Times New Roman"/>
                <w:sz w:val="14"/>
              </w:rPr>
            </w:pPr>
          </w:p>
        </w:tc>
      </w:tr>
      <w:tr w:rsidR="00141B97" w14:paraId="13D038C3" w14:textId="77777777">
        <w:trPr>
          <w:trHeight w:val="659"/>
        </w:trPr>
        <w:tc>
          <w:tcPr>
            <w:tcW w:w="392" w:type="dxa"/>
            <w:tcBorders>
              <w:left w:val="nil"/>
              <w:bottom w:val="nil"/>
            </w:tcBorders>
            <w:shd w:val="clear" w:color="auto" w:fill="F1F1F1"/>
          </w:tcPr>
          <w:p w14:paraId="6458251C" w14:textId="77777777" w:rsidR="00141B97" w:rsidRDefault="00911D63">
            <w:pPr>
              <w:pStyle w:val="TableParagraph"/>
              <w:spacing w:before="1"/>
              <w:ind w:left="88"/>
              <w:rPr>
                <w:sz w:val="16"/>
              </w:rPr>
            </w:pPr>
            <w:r>
              <w:rPr>
                <w:w w:val="99"/>
                <w:sz w:val="16"/>
              </w:rPr>
              <w:t>a</w:t>
            </w:r>
          </w:p>
        </w:tc>
        <w:tc>
          <w:tcPr>
            <w:tcW w:w="4526" w:type="dxa"/>
            <w:tcBorders>
              <w:bottom w:val="nil"/>
            </w:tcBorders>
            <w:shd w:val="clear" w:color="auto" w:fill="F1F1F1"/>
          </w:tcPr>
          <w:p w14:paraId="24949298" w14:textId="77777777" w:rsidR="00141B97" w:rsidRDefault="00911D63">
            <w:pPr>
              <w:pStyle w:val="TableParagraph"/>
              <w:spacing w:line="220" w:lineRule="atLeast"/>
              <w:ind w:left="97" w:right="130"/>
              <w:rPr>
                <w:sz w:val="18"/>
              </w:rPr>
            </w:pPr>
            <w:r>
              <w:rPr>
                <w:sz w:val="18"/>
              </w:rPr>
              <w:t>Compliance with government reporting policy requirements</w:t>
            </w:r>
            <w:r>
              <w:rPr>
                <w:spacing w:val="-7"/>
                <w:sz w:val="18"/>
              </w:rPr>
              <w:t xml:space="preserve"> </w:t>
            </w:r>
            <w:r>
              <w:rPr>
                <w:sz w:val="18"/>
              </w:rPr>
              <w:t>–</w:t>
            </w:r>
            <w:r>
              <w:rPr>
                <w:spacing w:val="-7"/>
                <w:sz w:val="18"/>
              </w:rPr>
              <w:t xml:space="preserve"> </w:t>
            </w:r>
            <w:r>
              <w:rPr>
                <w:sz w:val="18"/>
              </w:rPr>
              <w:t>timely</w:t>
            </w:r>
            <w:r>
              <w:rPr>
                <w:spacing w:val="-7"/>
                <w:sz w:val="18"/>
              </w:rPr>
              <w:t xml:space="preserve"> </w:t>
            </w:r>
            <w:r>
              <w:rPr>
                <w:sz w:val="18"/>
              </w:rPr>
              <w:t>completion/lodgment</w:t>
            </w:r>
            <w:r>
              <w:rPr>
                <w:spacing w:val="-7"/>
                <w:sz w:val="18"/>
              </w:rPr>
              <w:t xml:space="preserve"> </w:t>
            </w:r>
            <w:r>
              <w:rPr>
                <w:sz w:val="18"/>
              </w:rPr>
              <w:t>of</w:t>
            </w:r>
            <w:r>
              <w:rPr>
                <w:spacing w:val="-7"/>
                <w:sz w:val="18"/>
              </w:rPr>
              <w:t xml:space="preserve"> </w:t>
            </w:r>
            <w:r>
              <w:rPr>
                <w:sz w:val="18"/>
              </w:rPr>
              <w:t>8</w:t>
            </w:r>
            <w:r>
              <w:rPr>
                <w:spacing w:val="-6"/>
                <w:sz w:val="18"/>
              </w:rPr>
              <w:t xml:space="preserve"> </w:t>
            </w:r>
            <w:r>
              <w:rPr>
                <w:sz w:val="18"/>
              </w:rPr>
              <w:t xml:space="preserve">major </w:t>
            </w:r>
            <w:r>
              <w:rPr>
                <w:spacing w:val="-2"/>
                <w:sz w:val="18"/>
              </w:rPr>
              <w:t>reports</w:t>
            </w:r>
          </w:p>
        </w:tc>
        <w:tc>
          <w:tcPr>
            <w:tcW w:w="1275" w:type="dxa"/>
            <w:tcBorders>
              <w:bottom w:val="nil"/>
            </w:tcBorders>
            <w:shd w:val="clear" w:color="auto" w:fill="F1F1F1"/>
          </w:tcPr>
          <w:p w14:paraId="72C88883" w14:textId="77777777" w:rsidR="00141B97" w:rsidRDefault="00911D63">
            <w:pPr>
              <w:pStyle w:val="TableParagraph"/>
              <w:spacing w:before="110"/>
              <w:ind w:left="463" w:right="95" w:hanging="359"/>
              <w:rPr>
                <w:sz w:val="18"/>
              </w:rPr>
            </w:pPr>
            <w:r>
              <w:rPr>
                <w:sz w:val="18"/>
              </w:rPr>
              <w:t>Percentage</w:t>
            </w:r>
            <w:r>
              <w:rPr>
                <w:spacing w:val="-11"/>
                <w:sz w:val="18"/>
              </w:rPr>
              <w:t xml:space="preserve"> </w:t>
            </w:r>
            <w:r>
              <w:rPr>
                <w:sz w:val="18"/>
              </w:rPr>
              <w:t xml:space="preserve">on </w:t>
            </w:r>
            <w:r>
              <w:rPr>
                <w:spacing w:val="-4"/>
                <w:sz w:val="18"/>
              </w:rPr>
              <w:t>time</w:t>
            </w:r>
          </w:p>
        </w:tc>
        <w:tc>
          <w:tcPr>
            <w:tcW w:w="817" w:type="dxa"/>
            <w:tcBorders>
              <w:bottom w:val="nil"/>
              <w:right w:val="nil"/>
            </w:tcBorders>
            <w:shd w:val="clear" w:color="auto" w:fill="00B04F"/>
          </w:tcPr>
          <w:p w14:paraId="122A0BBE" w14:textId="77777777" w:rsidR="00141B97" w:rsidRDefault="00141B97">
            <w:pPr>
              <w:pStyle w:val="TableParagraph"/>
              <w:rPr>
                <w:sz w:val="18"/>
              </w:rPr>
            </w:pPr>
          </w:p>
          <w:p w14:paraId="72113F21" w14:textId="77777777" w:rsidR="00141B97" w:rsidRDefault="00911D63">
            <w:pPr>
              <w:pStyle w:val="TableParagraph"/>
              <w:spacing w:before="1"/>
              <w:ind w:left="120" w:right="119"/>
              <w:jc w:val="center"/>
              <w:rPr>
                <w:sz w:val="18"/>
              </w:rPr>
            </w:pPr>
            <w:r>
              <w:rPr>
                <w:spacing w:val="-4"/>
                <w:sz w:val="18"/>
              </w:rPr>
              <w:t>100%</w:t>
            </w:r>
          </w:p>
        </w:tc>
        <w:tc>
          <w:tcPr>
            <w:tcW w:w="903" w:type="dxa"/>
            <w:tcBorders>
              <w:left w:val="nil"/>
              <w:bottom w:val="nil"/>
              <w:right w:val="nil"/>
            </w:tcBorders>
            <w:shd w:val="clear" w:color="auto" w:fill="00B04F"/>
          </w:tcPr>
          <w:p w14:paraId="1AAFBD4B" w14:textId="77777777" w:rsidR="00141B97" w:rsidRDefault="00141B97">
            <w:pPr>
              <w:pStyle w:val="TableParagraph"/>
              <w:rPr>
                <w:sz w:val="18"/>
              </w:rPr>
            </w:pPr>
          </w:p>
          <w:p w14:paraId="62FD93BA" w14:textId="77777777" w:rsidR="00141B97" w:rsidRDefault="00911D63">
            <w:pPr>
              <w:pStyle w:val="TableParagraph"/>
              <w:spacing w:before="1"/>
              <w:ind w:left="169" w:right="167"/>
              <w:jc w:val="center"/>
              <w:rPr>
                <w:sz w:val="18"/>
              </w:rPr>
            </w:pPr>
            <w:r>
              <w:rPr>
                <w:spacing w:val="-4"/>
                <w:sz w:val="18"/>
              </w:rPr>
              <w:t>100%</w:t>
            </w:r>
          </w:p>
        </w:tc>
        <w:tc>
          <w:tcPr>
            <w:tcW w:w="830" w:type="dxa"/>
            <w:tcBorders>
              <w:left w:val="nil"/>
              <w:bottom w:val="nil"/>
              <w:right w:val="nil"/>
            </w:tcBorders>
            <w:shd w:val="clear" w:color="auto" w:fill="FFC000"/>
          </w:tcPr>
          <w:p w14:paraId="35192A3A" w14:textId="77777777" w:rsidR="00141B97" w:rsidRDefault="00141B97">
            <w:pPr>
              <w:pStyle w:val="TableParagraph"/>
              <w:spacing w:before="5"/>
              <w:rPr>
                <w:sz w:val="17"/>
              </w:rPr>
            </w:pPr>
          </w:p>
          <w:p w14:paraId="2175BCE0" w14:textId="77777777" w:rsidR="00141B97" w:rsidRDefault="00911D63">
            <w:pPr>
              <w:pStyle w:val="TableParagraph"/>
              <w:spacing w:before="1"/>
              <w:ind w:left="133" w:right="129"/>
              <w:jc w:val="center"/>
              <w:rPr>
                <w:sz w:val="18"/>
              </w:rPr>
            </w:pPr>
            <w:r>
              <w:rPr>
                <w:spacing w:val="-5"/>
                <w:sz w:val="18"/>
              </w:rPr>
              <w:t>88%</w:t>
            </w:r>
          </w:p>
        </w:tc>
        <w:tc>
          <w:tcPr>
            <w:tcW w:w="835" w:type="dxa"/>
            <w:tcBorders>
              <w:left w:val="nil"/>
              <w:bottom w:val="nil"/>
              <w:right w:val="nil"/>
            </w:tcBorders>
            <w:shd w:val="clear" w:color="auto" w:fill="00B04F"/>
          </w:tcPr>
          <w:p w14:paraId="3CDBB3FE" w14:textId="77777777" w:rsidR="00141B97" w:rsidRDefault="00141B97">
            <w:pPr>
              <w:pStyle w:val="TableParagraph"/>
              <w:rPr>
                <w:sz w:val="18"/>
              </w:rPr>
            </w:pPr>
          </w:p>
          <w:p w14:paraId="5394F036" w14:textId="77777777" w:rsidR="00141B97" w:rsidRDefault="00911D63">
            <w:pPr>
              <w:pStyle w:val="TableParagraph"/>
              <w:spacing w:before="1"/>
              <w:ind w:left="142" w:right="127"/>
              <w:jc w:val="center"/>
              <w:rPr>
                <w:sz w:val="18"/>
              </w:rPr>
            </w:pPr>
            <w:r>
              <w:rPr>
                <w:spacing w:val="-4"/>
                <w:sz w:val="18"/>
              </w:rPr>
              <w:t>100%</w:t>
            </w:r>
          </w:p>
        </w:tc>
      </w:tr>
    </w:tbl>
    <w:p w14:paraId="361E4EF5" w14:textId="77777777" w:rsidR="00141B97" w:rsidRDefault="00911D63">
      <w:pPr>
        <w:spacing w:before="29"/>
        <w:ind w:left="114"/>
        <w:jc w:val="both"/>
        <w:rPr>
          <w:sz w:val="16"/>
        </w:rPr>
      </w:pPr>
      <w:r>
        <w:rPr>
          <w:sz w:val="16"/>
        </w:rPr>
        <w:t>Table</w:t>
      </w:r>
      <w:r>
        <w:rPr>
          <w:spacing w:val="-5"/>
          <w:sz w:val="16"/>
        </w:rPr>
        <w:t xml:space="preserve"> </w:t>
      </w:r>
      <w:r>
        <w:rPr>
          <w:sz w:val="16"/>
        </w:rPr>
        <w:t>C1:</w:t>
      </w:r>
      <w:r>
        <w:rPr>
          <w:spacing w:val="-5"/>
          <w:sz w:val="16"/>
        </w:rPr>
        <w:t xml:space="preserve"> </w:t>
      </w:r>
      <w:r>
        <w:rPr>
          <w:sz w:val="16"/>
        </w:rPr>
        <w:t>Overall</w:t>
      </w:r>
      <w:r>
        <w:rPr>
          <w:spacing w:val="-6"/>
          <w:sz w:val="16"/>
        </w:rPr>
        <w:t xml:space="preserve"> </w:t>
      </w:r>
      <w:r>
        <w:rPr>
          <w:sz w:val="16"/>
        </w:rPr>
        <w:t>Summary</w:t>
      </w:r>
      <w:r>
        <w:rPr>
          <w:spacing w:val="-4"/>
          <w:sz w:val="16"/>
        </w:rPr>
        <w:t xml:space="preserve"> </w:t>
      </w:r>
      <w:r>
        <w:rPr>
          <w:sz w:val="16"/>
        </w:rPr>
        <w:t>of</w:t>
      </w:r>
      <w:r>
        <w:rPr>
          <w:spacing w:val="-6"/>
          <w:sz w:val="16"/>
        </w:rPr>
        <w:t xml:space="preserve"> </w:t>
      </w:r>
      <w:r>
        <w:rPr>
          <w:sz w:val="16"/>
        </w:rPr>
        <w:t>Rural</w:t>
      </w:r>
      <w:r>
        <w:rPr>
          <w:spacing w:val="-6"/>
          <w:sz w:val="16"/>
        </w:rPr>
        <w:t xml:space="preserve"> </w:t>
      </w:r>
      <w:r>
        <w:rPr>
          <w:sz w:val="16"/>
        </w:rPr>
        <w:t>Customer</w:t>
      </w:r>
      <w:r>
        <w:rPr>
          <w:spacing w:val="-7"/>
          <w:sz w:val="16"/>
        </w:rPr>
        <w:t xml:space="preserve"> </w:t>
      </w:r>
      <w:r>
        <w:rPr>
          <w:sz w:val="16"/>
        </w:rPr>
        <w:t>Outcome</w:t>
      </w:r>
      <w:r>
        <w:rPr>
          <w:spacing w:val="-6"/>
          <w:sz w:val="16"/>
        </w:rPr>
        <w:t xml:space="preserve"> </w:t>
      </w:r>
      <w:r>
        <w:rPr>
          <w:sz w:val="16"/>
        </w:rPr>
        <w:t>Performance</w:t>
      </w:r>
      <w:r>
        <w:rPr>
          <w:spacing w:val="-6"/>
          <w:sz w:val="16"/>
        </w:rPr>
        <w:t xml:space="preserve"> </w:t>
      </w:r>
      <w:r>
        <w:rPr>
          <w:spacing w:val="-2"/>
          <w:sz w:val="16"/>
        </w:rPr>
        <w:t>Ratings</w:t>
      </w:r>
    </w:p>
    <w:p w14:paraId="43C7D6BC" w14:textId="77777777" w:rsidR="00141B97" w:rsidRDefault="00911D63">
      <w:pPr>
        <w:pStyle w:val="BodyText"/>
        <w:spacing w:before="132" w:line="252" w:lineRule="auto"/>
        <w:ind w:left="114" w:right="948" w:hanging="1"/>
        <w:jc w:val="both"/>
      </w:pPr>
      <w:r>
        <w:t>A brief assessment of each individual outcome is provided below, with more detailed discussion contained in the separate PS4 Outcomes Review report referenced previously.</w:t>
      </w:r>
    </w:p>
    <w:p w14:paraId="6485B9F2" w14:textId="77777777" w:rsidR="00141B97" w:rsidRDefault="00141B97">
      <w:pPr>
        <w:pStyle w:val="BodyText"/>
        <w:spacing w:before="4"/>
        <w:rPr>
          <w:sz w:val="19"/>
        </w:rPr>
      </w:pPr>
    </w:p>
    <w:p w14:paraId="793B55F9" w14:textId="77777777" w:rsidR="00141B97" w:rsidRDefault="00911D63">
      <w:pPr>
        <w:pStyle w:val="ListParagraph"/>
        <w:numPr>
          <w:ilvl w:val="2"/>
          <w:numId w:val="37"/>
        </w:numPr>
        <w:tabs>
          <w:tab w:val="left" w:pos="1247"/>
          <w:tab w:val="left" w:pos="1249"/>
        </w:tabs>
        <w:ind w:hanging="1135"/>
        <w:jc w:val="both"/>
      </w:pPr>
      <w:r>
        <w:t>Outcome</w:t>
      </w:r>
      <w:r>
        <w:rPr>
          <w:spacing w:val="-5"/>
        </w:rPr>
        <w:t xml:space="preserve"> </w:t>
      </w:r>
      <w:r>
        <w:t>1:</w:t>
      </w:r>
      <w:r>
        <w:rPr>
          <w:spacing w:val="-4"/>
        </w:rPr>
        <w:t xml:space="preserve"> </w:t>
      </w:r>
      <w:r>
        <w:t>Supply</w:t>
      </w:r>
      <w:r>
        <w:rPr>
          <w:spacing w:val="-4"/>
        </w:rPr>
        <w:t xml:space="preserve"> </w:t>
      </w:r>
      <w:r>
        <w:t>me</w:t>
      </w:r>
      <w:r>
        <w:rPr>
          <w:spacing w:val="-4"/>
        </w:rPr>
        <w:t xml:space="preserve"> </w:t>
      </w:r>
      <w:r>
        <w:t>with</w:t>
      </w:r>
      <w:r>
        <w:rPr>
          <w:spacing w:val="-4"/>
        </w:rPr>
        <w:t xml:space="preserve"> </w:t>
      </w:r>
      <w:r>
        <w:t>water</w:t>
      </w:r>
      <w:r>
        <w:rPr>
          <w:spacing w:val="-5"/>
        </w:rPr>
        <w:t xml:space="preserve"> </w:t>
      </w:r>
      <w:r>
        <w:t>when</w:t>
      </w:r>
      <w:r>
        <w:rPr>
          <w:spacing w:val="-6"/>
        </w:rPr>
        <w:t xml:space="preserve"> </w:t>
      </w:r>
      <w:r>
        <w:t>I</w:t>
      </w:r>
      <w:r>
        <w:rPr>
          <w:spacing w:val="-3"/>
        </w:rPr>
        <w:t xml:space="preserve"> </w:t>
      </w:r>
      <w:r>
        <w:t>need</w:t>
      </w:r>
      <w:r>
        <w:rPr>
          <w:spacing w:val="-4"/>
        </w:rPr>
        <w:t xml:space="preserve"> </w:t>
      </w:r>
      <w:r>
        <w:rPr>
          <w:spacing w:val="-5"/>
        </w:rPr>
        <w:t>it</w:t>
      </w:r>
    </w:p>
    <w:p w14:paraId="745E2239" w14:textId="77777777" w:rsidR="00141B97" w:rsidRDefault="00911D63">
      <w:pPr>
        <w:pStyle w:val="BodyText"/>
        <w:spacing w:before="71" w:line="249" w:lineRule="auto"/>
        <w:ind w:left="113" w:right="948"/>
        <w:jc w:val="both"/>
      </w:pPr>
      <w:r>
        <w:t>LMW</w:t>
      </w:r>
      <w:r>
        <w:rPr>
          <w:spacing w:val="-8"/>
        </w:rPr>
        <w:t xml:space="preserve"> </w:t>
      </w:r>
      <w:r>
        <w:t>has</w:t>
      </w:r>
      <w:r>
        <w:rPr>
          <w:spacing w:val="-8"/>
        </w:rPr>
        <w:t xml:space="preserve"> </w:t>
      </w:r>
      <w:r>
        <w:t>consistently</w:t>
      </w:r>
      <w:r>
        <w:rPr>
          <w:spacing w:val="-8"/>
        </w:rPr>
        <w:t xml:space="preserve"> </w:t>
      </w:r>
      <w:r>
        <w:t>met,</w:t>
      </w:r>
      <w:r>
        <w:rPr>
          <w:spacing w:val="-6"/>
        </w:rPr>
        <w:t xml:space="preserve"> </w:t>
      </w:r>
      <w:r>
        <w:t>and</w:t>
      </w:r>
      <w:r>
        <w:rPr>
          <w:spacing w:val="-7"/>
        </w:rPr>
        <w:t xml:space="preserve"> </w:t>
      </w:r>
      <w:r>
        <w:t>surpassed,</w:t>
      </w:r>
      <w:r>
        <w:rPr>
          <w:spacing w:val="-8"/>
        </w:rPr>
        <w:t xml:space="preserve"> </w:t>
      </w:r>
      <w:r>
        <w:t>its</w:t>
      </w:r>
      <w:r>
        <w:rPr>
          <w:spacing w:val="-6"/>
        </w:rPr>
        <w:t xml:space="preserve"> </w:t>
      </w:r>
      <w:r>
        <w:t>targets</w:t>
      </w:r>
      <w:r>
        <w:rPr>
          <w:spacing w:val="-8"/>
        </w:rPr>
        <w:t xml:space="preserve"> </w:t>
      </w:r>
      <w:r>
        <w:t>for</w:t>
      </w:r>
      <w:r>
        <w:rPr>
          <w:spacing w:val="-8"/>
        </w:rPr>
        <w:t xml:space="preserve"> </w:t>
      </w:r>
      <w:r>
        <w:t>this</w:t>
      </w:r>
      <w:r>
        <w:rPr>
          <w:spacing w:val="-7"/>
        </w:rPr>
        <w:t xml:space="preserve"> </w:t>
      </w:r>
      <w:r>
        <w:t>outcome</w:t>
      </w:r>
      <w:r>
        <w:rPr>
          <w:spacing w:val="-8"/>
        </w:rPr>
        <w:t xml:space="preserve"> </w:t>
      </w:r>
      <w:r>
        <w:t>throughout</w:t>
      </w:r>
      <w:r>
        <w:rPr>
          <w:spacing w:val="-8"/>
        </w:rPr>
        <w:t xml:space="preserve"> </w:t>
      </w:r>
      <w:r>
        <w:t>PS4.</w:t>
      </w:r>
      <w:r>
        <w:rPr>
          <w:spacing w:val="-8"/>
        </w:rPr>
        <w:t xml:space="preserve"> </w:t>
      </w:r>
      <w:r>
        <w:t>Commencing</w:t>
      </w:r>
      <w:r>
        <w:rPr>
          <w:spacing w:val="-8"/>
        </w:rPr>
        <w:t xml:space="preserve"> </w:t>
      </w:r>
      <w:r>
        <w:t>in</w:t>
      </w:r>
      <w:r>
        <w:rPr>
          <w:spacing w:val="-8"/>
        </w:rPr>
        <w:t xml:space="preserve"> </w:t>
      </w:r>
      <w:r>
        <w:t>the</w:t>
      </w:r>
      <w:r>
        <w:rPr>
          <w:spacing w:val="-9"/>
        </w:rPr>
        <w:t xml:space="preserve"> </w:t>
      </w:r>
      <w:r>
        <w:t>first year</w:t>
      </w:r>
      <w:r>
        <w:rPr>
          <w:spacing w:val="-3"/>
        </w:rPr>
        <w:t xml:space="preserve"> </w:t>
      </w:r>
      <w:r>
        <w:t>with</w:t>
      </w:r>
      <w:r>
        <w:rPr>
          <w:spacing w:val="-2"/>
        </w:rPr>
        <w:t xml:space="preserve"> </w:t>
      </w:r>
      <w:r>
        <w:t>the</w:t>
      </w:r>
      <w:r>
        <w:rPr>
          <w:spacing w:val="-3"/>
        </w:rPr>
        <w:t xml:space="preserve"> </w:t>
      </w:r>
      <w:r>
        <w:t>introduction</w:t>
      </w:r>
      <w:r>
        <w:rPr>
          <w:spacing w:val="-1"/>
        </w:rPr>
        <w:t xml:space="preserve"> </w:t>
      </w:r>
      <w:r>
        <w:t>of</w:t>
      </w:r>
      <w:r>
        <w:rPr>
          <w:spacing w:val="-3"/>
        </w:rPr>
        <w:t xml:space="preserve"> </w:t>
      </w:r>
      <w:r>
        <w:t>an</w:t>
      </w:r>
      <w:r>
        <w:rPr>
          <w:spacing w:val="-2"/>
        </w:rPr>
        <w:t xml:space="preserve"> </w:t>
      </w:r>
      <w:r>
        <w:t>enhanced</w:t>
      </w:r>
      <w:r>
        <w:rPr>
          <w:spacing w:val="-3"/>
        </w:rPr>
        <w:t xml:space="preserve"> </w:t>
      </w:r>
      <w:r>
        <w:t>website</w:t>
      </w:r>
      <w:r>
        <w:rPr>
          <w:spacing w:val="-3"/>
        </w:rPr>
        <w:t xml:space="preserve"> </w:t>
      </w:r>
      <w:r>
        <w:t>and</w:t>
      </w:r>
      <w:r>
        <w:rPr>
          <w:spacing w:val="-3"/>
        </w:rPr>
        <w:t xml:space="preserve"> </w:t>
      </w:r>
      <w:r>
        <w:t>customer</w:t>
      </w:r>
      <w:r>
        <w:rPr>
          <w:spacing w:val="-1"/>
        </w:rPr>
        <w:t xml:space="preserve"> </w:t>
      </w:r>
      <w:r>
        <w:t>user</w:t>
      </w:r>
      <w:r>
        <w:rPr>
          <w:spacing w:val="-2"/>
        </w:rPr>
        <w:t xml:space="preserve"> </w:t>
      </w:r>
      <w:r>
        <w:t>interface</w:t>
      </w:r>
      <w:r>
        <w:rPr>
          <w:spacing w:val="-3"/>
        </w:rPr>
        <w:t xml:space="preserve"> </w:t>
      </w:r>
      <w:r>
        <w:t>for</w:t>
      </w:r>
      <w:r>
        <w:rPr>
          <w:spacing w:val="-2"/>
        </w:rPr>
        <w:t xml:space="preserve"> </w:t>
      </w:r>
      <w:r>
        <w:t>the</w:t>
      </w:r>
      <w:r>
        <w:rPr>
          <w:spacing w:val="-4"/>
        </w:rPr>
        <w:t xml:space="preserve"> </w:t>
      </w:r>
      <w:r>
        <w:t>planning</w:t>
      </w:r>
      <w:r>
        <w:rPr>
          <w:spacing w:val="-3"/>
        </w:rPr>
        <w:t xml:space="preserve"> </w:t>
      </w:r>
      <w:r>
        <w:t>and</w:t>
      </w:r>
      <w:r>
        <w:rPr>
          <w:spacing w:val="-3"/>
        </w:rPr>
        <w:t xml:space="preserve"> </w:t>
      </w:r>
      <w:r>
        <w:t>managing of water ordering, and followed by ongoing programs of targeted, risk‐based mains replacement, channel relining</w:t>
      </w:r>
      <w:r>
        <w:rPr>
          <w:spacing w:val="-2"/>
        </w:rPr>
        <w:t xml:space="preserve"> </w:t>
      </w:r>
      <w:r>
        <w:t>and</w:t>
      </w:r>
      <w:r>
        <w:rPr>
          <w:spacing w:val="-1"/>
        </w:rPr>
        <w:t xml:space="preserve"> </w:t>
      </w:r>
      <w:r>
        <w:t>optimised</w:t>
      </w:r>
      <w:r>
        <w:rPr>
          <w:spacing w:val="-2"/>
        </w:rPr>
        <w:t xml:space="preserve"> </w:t>
      </w:r>
      <w:r>
        <w:t>maintenance,</w:t>
      </w:r>
      <w:r>
        <w:rPr>
          <w:spacing w:val="-1"/>
        </w:rPr>
        <w:t xml:space="preserve"> </w:t>
      </w:r>
      <w:r>
        <w:t>LMW</w:t>
      </w:r>
      <w:r>
        <w:rPr>
          <w:spacing w:val="-2"/>
        </w:rPr>
        <w:t xml:space="preserve"> </w:t>
      </w:r>
      <w:r>
        <w:t>has</w:t>
      </w:r>
      <w:r>
        <w:rPr>
          <w:spacing w:val="-2"/>
        </w:rPr>
        <w:t xml:space="preserve"> </w:t>
      </w:r>
      <w:r>
        <w:t>increased</w:t>
      </w:r>
      <w:r>
        <w:rPr>
          <w:spacing w:val="-2"/>
        </w:rPr>
        <w:t xml:space="preserve"> </w:t>
      </w:r>
      <w:r>
        <w:t>reliability</w:t>
      </w:r>
      <w:r>
        <w:rPr>
          <w:spacing w:val="-3"/>
        </w:rPr>
        <w:t xml:space="preserve"> </w:t>
      </w:r>
      <w:r>
        <w:t>of</w:t>
      </w:r>
      <w:r>
        <w:rPr>
          <w:spacing w:val="-3"/>
        </w:rPr>
        <w:t xml:space="preserve"> </w:t>
      </w:r>
      <w:r>
        <w:t>water</w:t>
      </w:r>
      <w:r>
        <w:rPr>
          <w:spacing w:val="-2"/>
        </w:rPr>
        <w:t xml:space="preserve"> </w:t>
      </w:r>
      <w:r>
        <w:t>delivery,</w:t>
      </w:r>
      <w:r>
        <w:rPr>
          <w:spacing w:val="-2"/>
        </w:rPr>
        <w:t xml:space="preserve"> </w:t>
      </w:r>
      <w:r>
        <w:t>reduced</w:t>
      </w:r>
      <w:r>
        <w:rPr>
          <w:spacing w:val="-1"/>
        </w:rPr>
        <w:t xml:space="preserve"> </w:t>
      </w:r>
      <w:r>
        <w:t>water</w:t>
      </w:r>
      <w:r>
        <w:rPr>
          <w:spacing w:val="-1"/>
        </w:rPr>
        <w:t xml:space="preserve"> </w:t>
      </w:r>
      <w:r>
        <w:t>losses</w:t>
      </w:r>
      <w:r>
        <w:rPr>
          <w:spacing w:val="-1"/>
        </w:rPr>
        <w:t xml:space="preserve"> </w:t>
      </w:r>
      <w:r>
        <w:t>and minimised supply interruptions. Capital program delivery has also improved on a sustained basis since the beginning of PS4 and remains strong.</w:t>
      </w:r>
    </w:p>
    <w:p w14:paraId="5A53CCC8" w14:textId="77777777" w:rsidR="00141B97" w:rsidRDefault="00141B97">
      <w:pPr>
        <w:pStyle w:val="BodyText"/>
        <w:spacing w:before="1"/>
        <w:rPr>
          <w:sz w:val="20"/>
        </w:rPr>
      </w:pPr>
    </w:p>
    <w:p w14:paraId="5BE3FA08" w14:textId="77777777" w:rsidR="00141B97" w:rsidRDefault="00911D63">
      <w:pPr>
        <w:pStyle w:val="ListParagraph"/>
        <w:numPr>
          <w:ilvl w:val="2"/>
          <w:numId w:val="37"/>
        </w:numPr>
        <w:tabs>
          <w:tab w:val="left" w:pos="1247"/>
          <w:tab w:val="left" w:pos="1248"/>
        </w:tabs>
        <w:ind w:hanging="1134"/>
        <w:jc w:val="both"/>
      </w:pPr>
      <w:r>
        <w:t>Outcome</w:t>
      </w:r>
      <w:r>
        <w:rPr>
          <w:spacing w:val="-4"/>
        </w:rPr>
        <w:t xml:space="preserve"> </w:t>
      </w:r>
      <w:r>
        <w:t>2:</w:t>
      </w:r>
      <w:r>
        <w:rPr>
          <w:spacing w:val="-3"/>
        </w:rPr>
        <w:t xml:space="preserve"> </w:t>
      </w:r>
      <w:r>
        <w:t>Keep</w:t>
      </w:r>
      <w:r>
        <w:rPr>
          <w:spacing w:val="-5"/>
        </w:rPr>
        <w:t xml:space="preserve"> </w:t>
      </w:r>
      <w:r>
        <w:t>my</w:t>
      </w:r>
      <w:r>
        <w:rPr>
          <w:spacing w:val="-3"/>
        </w:rPr>
        <w:t xml:space="preserve"> </w:t>
      </w:r>
      <w:r>
        <w:t>costs</w:t>
      </w:r>
      <w:r>
        <w:rPr>
          <w:spacing w:val="-4"/>
        </w:rPr>
        <w:t xml:space="preserve"> </w:t>
      </w:r>
      <w:r>
        <w:t>to</w:t>
      </w:r>
      <w:r>
        <w:rPr>
          <w:spacing w:val="-3"/>
        </w:rPr>
        <w:t xml:space="preserve"> </w:t>
      </w:r>
      <w:r>
        <w:t>a</w:t>
      </w:r>
      <w:r>
        <w:rPr>
          <w:spacing w:val="-4"/>
        </w:rPr>
        <w:t xml:space="preserve"> </w:t>
      </w:r>
      <w:r>
        <w:rPr>
          <w:spacing w:val="-2"/>
        </w:rPr>
        <w:t>minimum</w:t>
      </w:r>
    </w:p>
    <w:p w14:paraId="53FBFBE4" w14:textId="77777777" w:rsidR="00141B97" w:rsidRDefault="00911D63">
      <w:pPr>
        <w:pStyle w:val="BodyText"/>
        <w:spacing w:before="59"/>
        <w:ind w:left="113" w:right="947" w:hanging="1"/>
        <w:jc w:val="both"/>
      </w:pPr>
      <w:r>
        <w:t>LMW</w:t>
      </w:r>
      <w:r>
        <w:rPr>
          <w:spacing w:val="-6"/>
        </w:rPr>
        <w:t xml:space="preserve"> </w:t>
      </w:r>
      <w:r>
        <w:t>has</w:t>
      </w:r>
      <w:r>
        <w:rPr>
          <w:spacing w:val="-6"/>
        </w:rPr>
        <w:t xml:space="preserve"> </w:t>
      </w:r>
      <w:r>
        <w:t>met,</w:t>
      </w:r>
      <w:r>
        <w:rPr>
          <w:spacing w:val="-5"/>
        </w:rPr>
        <w:t xml:space="preserve"> </w:t>
      </w:r>
      <w:r>
        <w:t>or</w:t>
      </w:r>
      <w:r>
        <w:rPr>
          <w:spacing w:val="-6"/>
        </w:rPr>
        <w:t xml:space="preserve"> </w:t>
      </w:r>
      <w:r>
        <w:t>closely</w:t>
      </w:r>
      <w:r>
        <w:rPr>
          <w:spacing w:val="-4"/>
        </w:rPr>
        <w:t xml:space="preserve"> </w:t>
      </w:r>
      <w:r>
        <w:t>met,</w:t>
      </w:r>
      <w:r>
        <w:rPr>
          <w:spacing w:val="-4"/>
        </w:rPr>
        <w:t xml:space="preserve"> </w:t>
      </w:r>
      <w:r>
        <w:t>it</w:t>
      </w:r>
      <w:r>
        <w:rPr>
          <w:spacing w:val="-6"/>
        </w:rPr>
        <w:t xml:space="preserve"> </w:t>
      </w:r>
      <w:r>
        <w:t>targets</w:t>
      </w:r>
      <w:r>
        <w:rPr>
          <w:spacing w:val="-6"/>
        </w:rPr>
        <w:t xml:space="preserve"> </w:t>
      </w:r>
      <w:r>
        <w:t>for</w:t>
      </w:r>
      <w:r>
        <w:rPr>
          <w:spacing w:val="-6"/>
        </w:rPr>
        <w:t xml:space="preserve"> </w:t>
      </w:r>
      <w:r>
        <w:t>this</w:t>
      </w:r>
      <w:r>
        <w:rPr>
          <w:spacing w:val="-6"/>
        </w:rPr>
        <w:t xml:space="preserve"> </w:t>
      </w:r>
      <w:r>
        <w:t>key</w:t>
      </w:r>
      <w:r>
        <w:rPr>
          <w:spacing w:val="-4"/>
        </w:rPr>
        <w:t xml:space="preserve"> </w:t>
      </w:r>
      <w:r>
        <w:t>outcome</w:t>
      </w:r>
      <w:r>
        <w:rPr>
          <w:spacing w:val="-5"/>
        </w:rPr>
        <w:t xml:space="preserve"> </w:t>
      </w:r>
      <w:r>
        <w:t>consistently</w:t>
      </w:r>
      <w:r>
        <w:rPr>
          <w:spacing w:val="-5"/>
        </w:rPr>
        <w:t xml:space="preserve"> </w:t>
      </w:r>
      <w:r>
        <w:t>across</w:t>
      </w:r>
      <w:r>
        <w:rPr>
          <w:spacing w:val="-6"/>
        </w:rPr>
        <w:t xml:space="preserve"> </w:t>
      </w:r>
      <w:r>
        <w:t>the</w:t>
      </w:r>
      <w:r>
        <w:rPr>
          <w:spacing w:val="-6"/>
        </w:rPr>
        <w:t xml:space="preserve"> </w:t>
      </w:r>
      <w:r>
        <w:t>period</w:t>
      </w:r>
      <w:r>
        <w:rPr>
          <w:spacing w:val="-6"/>
        </w:rPr>
        <w:t xml:space="preserve"> </w:t>
      </w:r>
      <w:r>
        <w:t>with</w:t>
      </w:r>
      <w:r>
        <w:rPr>
          <w:spacing w:val="-6"/>
        </w:rPr>
        <w:t xml:space="preserve"> </w:t>
      </w:r>
      <w:r>
        <w:t>only</w:t>
      </w:r>
      <w:r>
        <w:rPr>
          <w:spacing w:val="-4"/>
        </w:rPr>
        <w:t xml:space="preserve"> </w:t>
      </w:r>
      <w:r>
        <w:t>one</w:t>
      </w:r>
      <w:r>
        <w:rPr>
          <w:spacing w:val="-6"/>
        </w:rPr>
        <w:t xml:space="preserve"> </w:t>
      </w:r>
      <w:r>
        <w:t>minor departure</w:t>
      </w:r>
      <w:r>
        <w:rPr>
          <w:spacing w:val="-13"/>
        </w:rPr>
        <w:t xml:space="preserve"> </w:t>
      </w:r>
      <w:r>
        <w:t>with</w:t>
      </w:r>
      <w:r>
        <w:rPr>
          <w:spacing w:val="-11"/>
        </w:rPr>
        <w:t xml:space="preserve"> </w:t>
      </w:r>
      <w:r>
        <w:t>respect</w:t>
      </w:r>
      <w:r>
        <w:rPr>
          <w:spacing w:val="-11"/>
        </w:rPr>
        <w:t xml:space="preserve"> </w:t>
      </w:r>
      <w:r>
        <w:t>to</w:t>
      </w:r>
      <w:r>
        <w:rPr>
          <w:spacing w:val="-11"/>
        </w:rPr>
        <w:t xml:space="preserve"> </w:t>
      </w:r>
      <w:r>
        <w:t>billing</w:t>
      </w:r>
      <w:r>
        <w:rPr>
          <w:spacing w:val="-12"/>
        </w:rPr>
        <w:t xml:space="preserve"> </w:t>
      </w:r>
      <w:r>
        <w:t>complaints</w:t>
      </w:r>
      <w:r>
        <w:rPr>
          <w:spacing w:val="-11"/>
        </w:rPr>
        <w:t xml:space="preserve"> </w:t>
      </w:r>
      <w:r>
        <w:t>in</w:t>
      </w:r>
      <w:r>
        <w:rPr>
          <w:spacing w:val="-10"/>
        </w:rPr>
        <w:t xml:space="preserve"> </w:t>
      </w:r>
      <w:r>
        <w:t>2020‐21,</w:t>
      </w:r>
      <w:r>
        <w:rPr>
          <w:spacing w:val="-11"/>
        </w:rPr>
        <w:t xml:space="preserve"> </w:t>
      </w:r>
      <w:r>
        <w:t>reflecting</w:t>
      </w:r>
      <w:r>
        <w:rPr>
          <w:spacing w:val="-12"/>
        </w:rPr>
        <w:t xml:space="preserve"> </w:t>
      </w:r>
      <w:r>
        <w:t>the</w:t>
      </w:r>
      <w:r>
        <w:rPr>
          <w:spacing w:val="-12"/>
        </w:rPr>
        <w:t xml:space="preserve"> </w:t>
      </w:r>
      <w:r>
        <w:t>challenging</w:t>
      </w:r>
      <w:r>
        <w:rPr>
          <w:spacing w:val="-12"/>
        </w:rPr>
        <w:t xml:space="preserve"> </w:t>
      </w:r>
      <w:r>
        <w:t>times</w:t>
      </w:r>
      <w:r>
        <w:rPr>
          <w:spacing w:val="-11"/>
        </w:rPr>
        <w:t xml:space="preserve"> </w:t>
      </w:r>
      <w:r>
        <w:t>and</w:t>
      </w:r>
      <w:r>
        <w:rPr>
          <w:spacing w:val="-10"/>
        </w:rPr>
        <w:t xml:space="preserve"> </w:t>
      </w:r>
      <w:r>
        <w:t>cost</w:t>
      </w:r>
      <w:r>
        <w:rPr>
          <w:spacing w:val="-12"/>
        </w:rPr>
        <w:t xml:space="preserve"> </w:t>
      </w:r>
      <w:r>
        <w:t>pressures</w:t>
      </w:r>
      <w:r>
        <w:rPr>
          <w:spacing w:val="-11"/>
        </w:rPr>
        <w:t xml:space="preserve"> </w:t>
      </w:r>
      <w:r>
        <w:t>rural customers have experienced during the second half of PS4. The LMW Customer Service Team and Irrigation Operations Team have worked closely with customers to minimise the risk of complaints occurring wherever possible</w:t>
      </w:r>
      <w:r>
        <w:rPr>
          <w:spacing w:val="-5"/>
        </w:rPr>
        <w:t xml:space="preserve"> </w:t>
      </w:r>
      <w:r>
        <w:t>and</w:t>
      </w:r>
      <w:r>
        <w:rPr>
          <w:spacing w:val="-4"/>
        </w:rPr>
        <w:t xml:space="preserve"> </w:t>
      </w:r>
      <w:r>
        <w:t>this</w:t>
      </w:r>
      <w:r>
        <w:rPr>
          <w:spacing w:val="-5"/>
        </w:rPr>
        <w:t xml:space="preserve"> </w:t>
      </w:r>
      <w:r>
        <w:t>has</w:t>
      </w:r>
      <w:r>
        <w:rPr>
          <w:spacing w:val="-4"/>
        </w:rPr>
        <w:t xml:space="preserve"> </w:t>
      </w:r>
      <w:r>
        <w:t>been</w:t>
      </w:r>
      <w:r>
        <w:rPr>
          <w:spacing w:val="-4"/>
        </w:rPr>
        <w:t xml:space="preserve"> </w:t>
      </w:r>
      <w:r>
        <w:t>reflected</w:t>
      </w:r>
      <w:r>
        <w:rPr>
          <w:spacing w:val="-5"/>
        </w:rPr>
        <w:t xml:space="preserve"> </w:t>
      </w:r>
      <w:r>
        <w:t>in</w:t>
      </w:r>
      <w:r>
        <w:rPr>
          <w:spacing w:val="-4"/>
        </w:rPr>
        <w:t xml:space="preserve"> </w:t>
      </w:r>
      <w:r>
        <w:t>the</w:t>
      </w:r>
      <w:r>
        <w:rPr>
          <w:spacing w:val="-6"/>
        </w:rPr>
        <w:t xml:space="preserve"> </w:t>
      </w:r>
      <w:r>
        <w:t>reduction</w:t>
      </w:r>
      <w:r>
        <w:rPr>
          <w:spacing w:val="-6"/>
        </w:rPr>
        <w:t xml:space="preserve"> </w:t>
      </w:r>
      <w:r>
        <w:t>in</w:t>
      </w:r>
      <w:r>
        <w:rPr>
          <w:spacing w:val="-4"/>
        </w:rPr>
        <w:t xml:space="preserve"> </w:t>
      </w:r>
      <w:r>
        <w:t>complaints</w:t>
      </w:r>
      <w:r>
        <w:rPr>
          <w:spacing w:val="-3"/>
        </w:rPr>
        <w:t xml:space="preserve"> </w:t>
      </w:r>
      <w:r>
        <w:t>in</w:t>
      </w:r>
      <w:r>
        <w:rPr>
          <w:spacing w:val="-4"/>
        </w:rPr>
        <w:t xml:space="preserve"> </w:t>
      </w:r>
      <w:r>
        <w:t>the</w:t>
      </w:r>
      <w:r>
        <w:rPr>
          <w:spacing w:val="-5"/>
        </w:rPr>
        <w:t xml:space="preserve"> </w:t>
      </w:r>
      <w:r>
        <w:t>most</w:t>
      </w:r>
      <w:r>
        <w:rPr>
          <w:spacing w:val="-5"/>
        </w:rPr>
        <w:t xml:space="preserve"> </w:t>
      </w:r>
      <w:r>
        <w:t>recent</w:t>
      </w:r>
      <w:r>
        <w:rPr>
          <w:spacing w:val="-6"/>
        </w:rPr>
        <w:t xml:space="preserve"> </w:t>
      </w:r>
      <w:r>
        <w:t>year</w:t>
      </w:r>
      <w:r>
        <w:rPr>
          <w:spacing w:val="-4"/>
        </w:rPr>
        <w:t xml:space="preserve"> </w:t>
      </w:r>
      <w:r>
        <w:t>of</w:t>
      </w:r>
      <w:r>
        <w:rPr>
          <w:spacing w:val="-4"/>
        </w:rPr>
        <w:t xml:space="preserve"> </w:t>
      </w:r>
      <w:r>
        <w:t>the</w:t>
      </w:r>
      <w:r>
        <w:rPr>
          <w:spacing w:val="-6"/>
        </w:rPr>
        <w:t xml:space="preserve"> </w:t>
      </w:r>
      <w:r>
        <w:t>period.</w:t>
      </w:r>
      <w:r>
        <w:rPr>
          <w:spacing w:val="-5"/>
        </w:rPr>
        <w:t xml:space="preserve"> </w:t>
      </w:r>
      <w:r>
        <w:t>Tariffs for rural services have followed or remained under the price path of the PS4 price determination consistently since commencement of the period.</w:t>
      </w:r>
    </w:p>
    <w:p w14:paraId="04FB44C1" w14:textId="77777777" w:rsidR="00141B97" w:rsidRDefault="00141B97">
      <w:pPr>
        <w:jc w:val="both"/>
        <w:sectPr w:rsidR="00141B97">
          <w:pgSz w:w="11910" w:h="16840"/>
          <w:pgMar w:top="820" w:right="40" w:bottom="780" w:left="1020" w:header="0" w:footer="586" w:gutter="0"/>
          <w:cols w:space="720"/>
        </w:sectPr>
      </w:pPr>
    </w:p>
    <w:p w14:paraId="36895B4F" w14:textId="77777777" w:rsidR="00141B97" w:rsidRDefault="00911D63">
      <w:pPr>
        <w:pStyle w:val="ListParagraph"/>
        <w:numPr>
          <w:ilvl w:val="2"/>
          <w:numId w:val="37"/>
        </w:numPr>
        <w:tabs>
          <w:tab w:val="left" w:pos="1112"/>
          <w:tab w:val="left" w:pos="1113"/>
        </w:tabs>
        <w:spacing w:before="43"/>
        <w:ind w:left="1112"/>
        <w:jc w:val="both"/>
      </w:pPr>
      <w:r>
        <w:lastRenderedPageBreak/>
        <w:t>Outcome</w:t>
      </w:r>
      <w:r>
        <w:rPr>
          <w:spacing w:val="-5"/>
        </w:rPr>
        <w:t xml:space="preserve"> </w:t>
      </w:r>
      <w:r>
        <w:t>3:</w:t>
      </w:r>
      <w:r>
        <w:rPr>
          <w:spacing w:val="-4"/>
        </w:rPr>
        <w:t xml:space="preserve"> </w:t>
      </w:r>
      <w:r>
        <w:t>Be</w:t>
      </w:r>
      <w:r>
        <w:rPr>
          <w:spacing w:val="-3"/>
        </w:rPr>
        <w:t xml:space="preserve"> </w:t>
      </w:r>
      <w:r>
        <w:t>easy</w:t>
      </w:r>
      <w:r>
        <w:rPr>
          <w:spacing w:val="-4"/>
        </w:rPr>
        <w:t xml:space="preserve"> </w:t>
      </w:r>
      <w:r>
        <w:t>to</w:t>
      </w:r>
      <w:r>
        <w:rPr>
          <w:spacing w:val="-6"/>
        </w:rPr>
        <w:t xml:space="preserve"> </w:t>
      </w:r>
      <w:r>
        <w:t>contact</w:t>
      </w:r>
      <w:r>
        <w:rPr>
          <w:spacing w:val="-4"/>
        </w:rPr>
        <w:t xml:space="preserve"> </w:t>
      </w:r>
      <w:r>
        <w:t>and</w:t>
      </w:r>
      <w:r>
        <w:rPr>
          <w:spacing w:val="-5"/>
        </w:rPr>
        <w:t xml:space="preserve"> </w:t>
      </w:r>
      <w:r>
        <w:t>quick</w:t>
      </w:r>
      <w:r>
        <w:rPr>
          <w:spacing w:val="-4"/>
        </w:rPr>
        <w:t xml:space="preserve"> </w:t>
      </w:r>
      <w:r>
        <w:t>to</w:t>
      </w:r>
      <w:r>
        <w:rPr>
          <w:spacing w:val="-4"/>
        </w:rPr>
        <w:t xml:space="preserve"> </w:t>
      </w:r>
      <w:r>
        <w:rPr>
          <w:spacing w:val="-2"/>
        </w:rPr>
        <w:t>respond</w:t>
      </w:r>
    </w:p>
    <w:p w14:paraId="4E80AC35" w14:textId="77777777" w:rsidR="00141B97" w:rsidRDefault="00911D63">
      <w:pPr>
        <w:pStyle w:val="BodyText"/>
        <w:spacing w:before="71" w:line="249" w:lineRule="auto"/>
        <w:ind w:left="113" w:right="947"/>
        <w:jc w:val="both"/>
      </w:pPr>
      <w:r>
        <w:t xml:space="preserve">LMW has performed well overall throughout PS4 on the substantive measures of this outcome. LMW’s responsiveness to operations room calls, post‐interaction and annual survey results indicate that customers clearly perceive LMW to be meeting or exceeding their expectations for quality of service and role in the </w:t>
      </w:r>
      <w:r>
        <w:rPr>
          <w:spacing w:val="-2"/>
        </w:rPr>
        <w:t>community.</w:t>
      </w:r>
    </w:p>
    <w:p w14:paraId="395B442C" w14:textId="77777777" w:rsidR="00141B97" w:rsidRDefault="00911D63">
      <w:pPr>
        <w:pStyle w:val="BodyText"/>
        <w:spacing w:before="122" w:line="249" w:lineRule="auto"/>
        <w:ind w:left="113" w:right="948"/>
        <w:jc w:val="both"/>
      </w:pPr>
      <w:r>
        <w:t>LMW has not met the post‐interaction volume target of surveys undertaken in any but the second year of the period.</w:t>
      </w:r>
      <w:r>
        <w:rPr>
          <w:spacing w:val="35"/>
        </w:rPr>
        <w:t xml:space="preserve"> </w:t>
      </w:r>
      <w:r>
        <w:t>The</w:t>
      </w:r>
      <w:r>
        <w:rPr>
          <w:spacing w:val="-8"/>
        </w:rPr>
        <w:t xml:space="preserve"> </w:t>
      </w:r>
      <w:r>
        <w:t>pandemic</w:t>
      </w:r>
      <w:r>
        <w:rPr>
          <w:spacing w:val="-8"/>
        </w:rPr>
        <w:t xml:space="preserve"> </w:t>
      </w:r>
      <w:r>
        <w:t>made</w:t>
      </w:r>
      <w:r>
        <w:rPr>
          <w:spacing w:val="-9"/>
        </w:rPr>
        <w:t xml:space="preserve"> </w:t>
      </w:r>
      <w:r>
        <w:t>it</w:t>
      </w:r>
      <w:r>
        <w:rPr>
          <w:spacing w:val="-8"/>
        </w:rPr>
        <w:t xml:space="preserve"> </w:t>
      </w:r>
      <w:r>
        <w:t>difficult</w:t>
      </w:r>
      <w:r>
        <w:rPr>
          <w:spacing w:val="-8"/>
        </w:rPr>
        <w:t xml:space="preserve"> </w:t>
      </w:r>
      <w:r>
        <w:t>to</w:t>
      </w:r>
      <w:r>
        <w:rPr>
          <w:spacing w:val="-8"/>
        </w:rPr>
        <w:t xml:space="preserve"> </w:t>
      </w:r>
      <w:r>
        <w:t>undertake</w:t>
      </w:r>
      <w:r>
        <w:rPr>
          <w:spacing w:val="-9"/>
        </w:rPr>
        <w:t xml:space="preserve"> </w:t>
      </w:r>
      <w:r>
        <w:t>post‐interaction</w:t>
      </w:r>
      <w:r>
        <w:rPr>
          <w:spacing w:val="-8"/>
        </w:rPr>
        <w:t xml:space="preserve"> </w:t>
      </w:r>
      <w:r>
        <w:t>surveys</w:t>
      </w:r>
      <w:r>
        <w:rPr>
          <w:spacing w:val="-8"/>
        </w:rPr>
        <w:t xml:space="preserve"> </w:t>
      </w:r>
      <w:r>
        <w:t>and</w:t>
      </w:r>
      <w:r>
        <w:rPr>
          <w:spacing w:val="-8"/>
        </w:rPr>
        <w:t xml:space="preserve"> </w:t>
      </w:r>
      <w:r>
        <w:t>impacted</w:t>
      </w:r>
      <w:r>
        <w:rPr>
          <w:spacing w:val="-9"/>
        </w:rPr>
        <w:t xml:space="preserve"> </w:t>
      </w:r>
      <w:r>
        <w:t>the</w:t>
      </w:r>
      <w:r>
        <w:rPr>
          <w:spacing w:val="-7"/>
        </w:rPr>
        <w:t xml:space="preserve"> </w:t>
      </w:r>
      <w:r>
        <w:t>mobility</w:t>
      </w:r>
      <w:r>
        <w:rPr>
          <w:spacing w:val="-7"/>
        </w:rPr>
        <w:t xml:space="preserve"> </w:t>
      </w:r>
      <w:r>
        <w:t>of</w:t>
      </w:r>
      <w:r>
        <w:rPr>
          <w:spacing w:val="-9"/>
        </w:rPr>
        <w:t xml:space="preserve"> </w:t>
      </w:r>
      <w:r>
        <w:t>both customers</w:t>
      </w:r>
      <w:r>
        <w:rPr>
          <w:spacing w:val="-3"/>
        </w:rPr>
        <w:t xml:space="preserve"> </w:t>
      </w:r>
      <w:r>
        <w:t>and</w:t>
      </w:r>
      <w:r>
        <w:rPr>
          <w:spacing w:val="-4"/>
        </w:rPr>
        <w:t xml:space="preserve"> </w:t>
      </w:r>
      <w:r>
        <w:t>staff,</w:t>
      </w:r>
      <w:r>
        <w:rPr>
          <w:spacing w:val="-4"/>
        </w:rPr>
        <w:t xml:space="preserve"> </w:t>
      </w:r>
      <w:r>
        <w:t>and</w:t>
      </w:r>
      <w:r>
        <w:rPr>
          <w:spacing w:val="-4"/>
        </w:rPr>
        <w:t xml:space="preserve"> </w:t>
      </w:r>
      <w:r>
        <w:t>this</w:t>
      </w:r>
      <w:r>
        <w:rPr>
          <w:spacing w:val="-4"/>
        </w:rPr>
        <w:t xml:space="preserve"> </w:t>
      </w:r>
      <w:r>
        <w:t>coincided</w:t>
      </w:r>
      <w:r>
        <w:rPr>
          <w:spacing w:val="-3"/>
        </w:rPr>
        <w:t xml:space="preserve"> </w:t>
      </w:r>
      <w:r>
        <w:t>with</w:t>
      </w:r>
      <w:r>
        <w:rPr>
          <w:spacing w:val="-5"/>
        </w:rPr>
        <w:t xml:space="preserve"> </w:t>
      </w:r>
      <w:r>
        <w:t>an</w:t>
      </w:r>
      <w:r>
        <w:rPr>
          <w:spacing w:val="-4"/>
        </w:rPr>
        <w:t xml:space="preserve"> </w:t>
      </w:r>
      <w:r>
        <w:t>observed</w:t>
      </w:r>
      <w:r>
        <w:rPr>
          <w:spacing w:val="-4"/>
        </w:rPr>
        <w:t xml:space="preserve"> </w:t>
      </w:r>
      <w:r>
        <w:t>reduction</w:t>
      </w:r>
      <w:r>
        <w:rPr>
          <w:spacing w:val="-3"/>
        </w:rPr>
        <w:t xml:space="preserve"> </w:t>
      </w:r>
      <w:r>
        <w:t>in</w:t>
      </w:r>
      <w:r>
        <w:rPr>
          <w:spacing w:val="-4"/>
        </w:rPr>
        <w:t xml:space="preserve"> </w:t>
      </w:r>
      <w:r>
        <w:t>willingness</w:t>
      </w:r>
      <w:r>
        <w:rPr>
          <w:spacing w:val="-3"/>
        </w:rPr>
        <w:t xml:space="preserve"> </w:t>
      </w:r>
      <w:r>
        <w:t>from</w:t>
      </w:r>
      <w:r>
        <w:rPr>
          <w:spacing w:val="-4"/>
        </w:rPr>
        <w:t xml:space="preserve"> </w:t>
      </w:r>
      <w:r>
        <w:t>customers</w:t>
      </w:r>
      <w:r>
        <w:rPr>
          <w:spacing w:val="-3"/>
        </w:rPr>
        <w:t xml:space="preserve"> </w:t>
      </w:r>
      <w:r>
        <w:t>to</w:t>
      </w:r>
      <w:r>
        <w:rPr>
          <w:spacing w:val="-5"/>
        </w:rPr>
        <w:t xml:space="preserve"> </w:t>
      </w:r>
      <w:r>
        <w:t>undertake these</w:t>
      </w:r>
      <w:r>
        <w:rPr>
          <w:spacing w:val="-7"/>
        </w:rPr>
        <w:t xml:space="preserve"> </w:t>
      </w:r>
      <w:r>
        <w:t>surveys.</w:t>
      </w:r>
      <w:r>
        <w:rPr>
          <w:spacing w:val="37"/>
        </w:rPr>
        <w:t xml:space="preserve"> </w:t>
      </w:r>
      <w:r>
        <w:t>The</w:t>
      </w:r>
      <w:r>
        <w:rPr>
          <w:spacing w:val="-6"/>
        </w:rPr>
        <w:t xml:space="preserve"> </w:t>
      </w:r>
      <w:r>
        <w:t>Energy</w:t>
      </w:r>
      <w:r>
        <w:rPr>
          <w:spacing w:val="-5"/>
        </w:rPr>
        <w:t xml:space="preserve"> </w:t>
      </w:r>
      <w:r>
        <w:t>and</w:t>
      </w:r>
      <w:r>
        <w:rPr>
          <w:spacing w:val="-6"/>
        </w:rPr>
        <w:t xml:space="preserve"> </w:t>
      </w:r>
      <w:r>
        <w:t>Water</w:t>
      </w:r>
      <w:r>
        <w:rPr>
          <w:spacing w:val="-6"/>
        </w:rPr>
        <w:t xml:space="preserve"> </w:t>
      </w:r>
      <w:r>
        <w:t>Ombudsman</w:t>
      </w:r>
      <w:r>
        <w:rPr>
          <w:spacing w:val="-6"/>
        </w:rPr>
        <w:t xml:space="preserve"> </w:t>
      </w:r>
      <w:r>
        <w:t>Victoria</w:t>
      </w:r>
      <w:r>
        <w:rPr>
          <w:spacing w:val="-7"/>
        </w:rPr>
        <w:t xml:space="preserve"> </w:t>
      </w:r>
      <w:r>
        <w:t>(EWOV)</w:t>
      </w:r>
      <w:r>
        <w:rPr>
          <w:spacing w:val="-6"/>
        </w:rPr>
        <w:t xml:space="preserve"> </w:t>
      </w:r>
      <w:r>
        <w:t>lodged</w:t>
      </w:r>
      <w:r>
        <w:rPr>
          <w:spacing w:val="-8"/>
        </w:rPr>
        <w:t xml:space="preserve"> </w:t>
      </w:r>
      <w:r>
        <w:t>complaints</w:t>
      </w:r>
      <w:r>
        <w:rPr>
          <w:spacing w:val="-5"/>
        </w:rPr>
        <w:t xml:space="preserve"> </w:t>
      </w:r>
      <w:r>
        <w:t>target</w:t>
      </w:r>
      <w:r>
        <w:rPr>
          <w:spacing w:val="-5"/>
        </w:rPr>
        <w:t xml:space="preserve"> </w:t>
      </w:r>
      <w:r>
        <w:t>was</w:t>
      </w:r>
      <w:r>
        <w:rPr>
          <w:spacing w:val="-6"/>
        </w:rPr>
        <w:t xml:space="preserve"> </w:t>
      </w:r>
      <w:r>
        <w:t>not</w:t>
      </w:r>
      <w:r>
        <w:rPr>
          <w:spacing w:val="-6"/>
        </w:rPr>
        <w:t xml:space="preserve"> </w:t>
      </w:r>
      <w:r>
        <w:t>achieved in</w:t>
      </w:r>
      <w:r>
        <w:rPr>
          <w:spacing w:val="-8"/>
        </w:rPr>
        <w:t xml:space="preserve"> </w:t>
      </w:r>
      <w:r>
        <w:t>the</w:t>
      </w:r>
      <w:r>
        <w:rPr>
          <w:spacing w:val="-9"/>
        </w:rPr>
        <w:t xml:space="preserve"> </w:t>
      </w:r>
      <w:r>
        <w:t>first</w:t>
      </w:r>
      <w:r>
        <w:rPr>
          <w:spacing w:val="-8"/>
        </w:rPr>
        <w:t xml:space="preserve"> </w:t>
      </w:r>
      <w:r>
        <w:t>nor</w:t>
      </w:r>
      <w:r>
        <w:rPr>
          <w:spacing w:val="-8"/>
        </w:rPr>
        <w:t xml:space="preserve"> </w:t>
      </w:r>
      <w:r>
        <w:t>last</w:t>
      </w:r>
      <w:r>
        <w:rPr>
          <w:spacing w:val="-8"/>
        </w:rPr>
        <w:t xml:space="preserve"> </w:t>
      </w:r>
      <w:r>
        <w:t>years</w:t>
      </w:r>
      <w:r>
        <w:rPr>
          <w:spacing w:val="-6"/>
        </w:rPr>
        <w:t xml:space="preserve"> </w:t>
      </w:r>
      <w:r>
        <w:t>of</w:t>
      </w:r>
      <w:r>
        <w:rPr>
          <w:spacing w:val="-6"/>
        </w:rPr>
        <w:t xml:space="preserve"> </w:t>
      </w:r>
      <w:r>
        <w:t>the</w:t>
      </w:r>
      <w:r>
        <w:rPr>
          <w:spacing w:val="-8"/>
        </w:rPr>
        <w:t xml:space="preserve"> </w:t>
      </w:r>
      <w:r>
        <w:t>period,</w:t>
      </w:r>
      <w:r>
        <w:rPr>
          <w:spacing w:val="-7"/>
        </w:rPr>
        <w:t xml:space="preserve"> </w:t>
      </w:r>
      <w:r>
        <w:t>with</w:t>
      </w:r>
      <w:r>
        <w:rPr>
          <w:spacing w:val="-8"/>
        </w:rPr>
        <w:t xml:space="preserve"> </w:t>
      </w:r>
      <w:r>
        <w:t>complaints</w:t>
      </w:r>
      <w:r>
        <w:rPr>
          <w:spacing w:val="-7"/>
        </w:rPr>
        <w:t xml:space="preserve"> </w:t>
      </w:r>
      <w:r>
        <w:t>mainly</w:t>
      </w:r>
      <w:r>
        <w:rPr>
          <w:spacing w:val="-7"/>
        </w:rPr>
        <w:t xml:space="preserve"> </w:t>
      </w:r>
      <w:r>
        <w:t>relating</w:t>
      </w:r>
      <w:r>
        <w:rPr>
          <w:spacing w:val="-8"/>
        </w:rPr>
        <w:t xml:space="preserve"> </w:t>
      </w:r>
      <w:r>
        <w:t>to</w:t>
      </w:r>
      <w:r>
        <w:rPr>
          <w:spacing w:val="-8"/>
        </w:rPr>
        <w:t xml:space="preserve"> </w:t>
      </w:r>
      <w:r>
        <w:t>raw</w:t>
      </w:r>
      <w:r>
        <w:rPr>
          <w:spacing w:val="-8"/>
        </w:rPr>
        <w:t xml:space="preserve"> </w:t>
      </w:r>
      <w:r>
        <w:t>water</w:t>
      </w:r>
      <w:r>
        <w:rPr>
          <w:spacing w:val="-8"/>
        </w:rPr>
        <w:t xml:space="preserve"> </w:t>
      </w:r>
      <w:r>
        <w:t>quality</w:t>
      </w:r>
      <w:r>
        <w:rPr>
          <w:spacing w:val="-8"/>
        </w:rPr>
        <w:t xml:space="preserve"> </w:t>
      </w:r>
      <w:r>
        <w:t>issues</w:t>
      </w:r>
      <w:r>
        <w:rPr>
          <w:spacing w:val="-7"/>
        </w:rPr>
        <w:t xml:space="preserve"> </w:t>
      </w:r>
      <w:r>
        <w:t>of</w:t>
      </w:r>
      <w:r>
        <w:rPr>
          <w:spacing w:val="-7"/>
        </w:rPr>
        <w:t xml:space="preserve"> </w:t>
      </w:r>
      <w:r>
        <w:t>Blue</w:t>
      </w:r>
      <w:r>
        <w:rPr>
          <w:spacing w:val="-7"/>
        </w:rPr>
        <w:t xml:space="preserve"> </w:t>
      </w:r>
      <w:r>
        <w:t>Green Algae in the Murray River and Plumatella growth in some LMW pipelines. LMW has since taken concrete steps with customers to investigate and seek solutions to these naturally occurring issues.</w:t>
      </w:r>
    </w:p>
    <w:p w14:paraId="7D531A6E" w14:textId="77777777" w:rsidR="00141B97" w:rsidRDefault="00141B97">
      <w:pPr>
        <w:pStyle w:val="BodyText"/>
        <w:spacing w:before="2"/>
        <w:rPr>
          <w:sz w:val="20"/>
        </w:rPr>
      </w:pPr>
    </w:p>
    <w:p w14:paraId="7829F4FB" w14:textId="77777777" w:rsidR="00141B97" w:rsidRDefault="00911D63">
      <w:pPr>
        <w:pStyle w:val="ListParagraph"/>
        <w:numPr>
          <w:ilvl w:val="2"/>
          <w:numId w:val="37"/>
        </w:numPr>
        <w:tabs>
          <w:tab w:val="left" w:pos="1112"/>
          <w:tab w:val="left" w:pos="1113"/>
        </w:tabs>
        <w:ind w:left="1112" w:hanging="1000"/>
        <w:jc w:val="both"/>
      </w:pPr>
      <w:r>
        <w:t>Outcome</w:t>
      </w:r>
      <w:r>
        <w:rPr>
          <w:spacing w:val="-7"/>
        </w:rPr>
        <w:t xml:space="preserve"> </w:t>
      </w:r>
      <w:r>
        <w:t>4:</w:t>
      </w:r>
      <w:r>
        <w:rPr>
          <w:spacing w:val="-6"/>
        </w:rPr>
        <w:t xml:space="preserve"> </w:t>
      </w:r>
      <w:r>
        <w:t>Comply</w:t>
      </w:r>
      <w:r>
        <w:rPr>
          <w:spacing w:val="-6"/>
        </w:rPr>
        <w:t xml:space="preserve"> </w:t>
      </w:r>
      <w:r>
        <w:t>with</w:t>
      </w:r>
      <w:r>
        <w:rPr>
          <w:spacing w:val="-6"/>
        </w:rPr>
        <w:t xml:space="preserve"> </w:t>
      </w:r>
      <w:r>
        <w:t>other</w:t>
      </w:r>
      <w:r>
        <w:rPr>
          <w:spacing w:val="-6"/>
        </w:rPr>
        <w:t xml:space="preserve"> </w:t>
      </w:r>
      <w:r>
        <w:t>government</w:t>
      </w:r>
      <w:r>
        <w:rPr>
          <w:spacing w:val="-6"/>
        </w:rPr>
        <w:t xml:space="preserve"> </w:t>
      </w:r>
      <w:r>
        <w:rPr>
          <w:spacing w:val="-2"/>
        </w:rPr>
        <w:t>obligations</w:t>
      </w:r>
    </w:p>
    <w:p w14:paraId="7CA8274F" w14:textId="77777777" w:rsidR="00141B97" w:rsidRDefault="00911D63">
      <w:pPr>
        <w:pStyle w:val="BodyText"/>
        <w:spacing w:before="59"/>
        <w:ind w:left="114" w:right="949" w:hanging="1"/>
        <w:jc w:val="both"/>
      </w:pPr>
      <w:r>
        <w:t>LMW</w:t>
      </w:r>
      <w:r>
        <w:rPr>
          <w:spacing w:val="-11"/>
        </w:rPr>
        <w:t xml:space="preserve"> </w:t>
      </w:r>
      <w:r>
        <w:t>has</w:t>
      </w:r>
      <w:r>
        <w:rPr>
          <w:spacing w:val="-10"/>
        </w:rPr>
        <w:t xml:space="preserve"> </w:t>
      </w:r>
      <w:r>
        <w:t>met,</w:t>
      </w:r>
      <w:r>
        <w:rPr>
          <w:spacing w:val="-10"/>
        </w:rPr>
        <w:t xml:space="preserve"> </w:t>
      </w:r>
      <w:r>
        <w:t>or</w:t>
      </w:r>
      <w:r>
        <w:rPr>
          <w:spacing w:val="-9"/>
        </w:rPr>
        <w:t xml:space="preserve"> </w:t>
      </w:r>
      <w:r>
        <w:t>largely</w:t>
      </w:r>
      <w:r>
        <w:rPr>
          <w:spacing w:val="-9"/>
        </w:rPr>
        <w:t xml:space="preserve"> </w:t>
      </w:r>
      <w:r>
        <w:t>met,</w:t>
      </w:r>
      <w:r>
        <w:rPr>
          <w:spacing w:val="-9"/>
        </w:rPr>
        <w:t xml:space="preserve"> </w:t>
      </w:r>
      <w:r>
        <w:t>its</w:t>
      </w:r>
      <w:r>
        <w:rPr>
          <w:spacing w:val="-9"/>
        </w:rPr>
        <w:t xml:space="preserve"> </w:t>
      </w:r>
      <w:r>
        <w:t>compliance</w:t>
      </w:r>
      <w:r>
        <w:rPr>
          <w:spacing w:val="-10"/>
        </w:rPr>
        <w:t xml:space="preserve"> </w:t>
      </w:r>
      <w:r>
        <w:t>obligations</w:t>
      </w:r>
      <w:r>
        <w:rPr>
          <w:spacing w:val="-10"/>
        </w:rPr>
        <w:t xml:space="preserve"> </w:t>
      </w:r>
      <w:r>
        <w:t>throughout</w:t>
      </w:r>
      <w:r>
        <w:rPr>
          <w:spacing w:val="-11"/>
        </w:rPr>
        <w:t xml:space="preserve"> </w:t>
      </w:r>
      <w:r>
        <w:t>the</w:t>
      </w:r>
      <w:r>
        <w:rPr>
          <w:spacing w:val="-10"/>
        </w:rPr>
        <w:t xml:space="preserve"> </w:t>
      </w:r>
      <w:r>
        <w:t>PS4</w:t>
      </w:r>
      <w:r>
        <w:rPr>
          <w:spacing w:val="-9"/>
        </w:rPr>
        <w:t xml:space="preserve"> </w:t>
      </w:r>
      <w:r>
        <w:t>period.</w:t>
      </w:r>
      <w:r>
        <w:rPr>
          <w:spacing w:val="-9"/>
        </w:rPr>
        <w:t xml:space="preserve"> </w:t>
      </w:r>
      <w:r>
        <w:t>The</w:t>
      </w:r>
      <w:r>
        <w:rPr>
          <w:spacing w:val="-8"/>
        </w:rPr>
        <w:t xml:space="preserve"> </w:t>
      </w:r>
      <w:r>
        <w:t>one</w:t>
      </w:r>
      <w:r>
        <w:rPr>
          <w:spacing w:val="-9"/>
        </w:rPr>
        <w:t xml:space="preserve"> </w:t>
      </w:r>
      <w:r>
        <w:t>‘largely</w:t>
      </w:r>
      <w:r>
        <w:rPr>
          <w:spacing w:val="-9"/>
        </w:rPr>
        <w:t xml:space="preserve"> </w:t>
      </w:r>
      <w:r>
        <w:t>met’</w:t>
      </w:r>
      <w:r>
        <w:rPr>
          <w:spacing w:val="-9"/>
        </w:rPr>
        <w:t xml:space="preserve"> </w:t>
      </w:r>
      <w:r>
        <w:t>rating in</w:t>
      </w:r>
      <w:r>
        <w:rPr>
          <w:spacing w:val="-9"/>
        </w:rPr>
        <w:t xml:space="preserve"> </w:t>
      </w:r>
      <w:r>
        <w:t>2020‐21</w:t>
      </w:r>
      <w:r>
        <w:rPr>
          <w:spacing w:val="-10"/>
        </w:rPr>
        <w:t xml:space="preserve"> </w:t>
      </w:r>
      <w:r>
        <w:t>was</w:t>
      </w:r>
      <w:r>
        <w:rPr>
          <w:spacing w:val="-10"/>
        </w:rPr>
        <w:t xml:space="preserve"> </w:t>
      </w:r>
      <w:r>
        <w:t>due</w:t>
      </w:r>
      <w:r>
        <w:rPr>
          <w:spacing w:val="-10"/>
        </w:rPr>
        <w:t xml:space="preserve"> </w:t>
      </w:r>
      <w:r>
        <w:t>to</w:t>
      </w:r>
      <w:r>
        <w:rPr>
          <w:spacing w:val="-10"/>
        </w:rPr>
        <w:t xml:space="preserve"> </w:t>
      </w:r>
      <w:r>
        <w:t>a</w:t>
      </w:r>
      <w:r>
        <w:rPr>
          <w:spacing w:val="-9"/>
        </w:rPr>
        <w:t xml:space="preserve"> </w:t>
      </w:r>
      <w:r>
        <w:t>delay</w:t>
      </w:r>
      <w:r>
        <w:rPr>
          <w:spacing w:val="-9"/>
        </w:rPr>
        <w:t xml:space="preserve"> </w:t>
      </w:r>
      <w:r>
        <w:t>in</w:t>
      </w:r>
      <w:r>
        <w:rPr>
          <w:spacing w:val="-9"/>
        </w:rPr>
        <w:t xml:space="preserve"> </w:t>
      </w:r>
      <w:r>
        <w:t>publishing</w:t>
      </w:r>
      <w:r>
        <w:rPr>
          <w:spacing w:val="-10"/>
        </w:rPr>
        <w:t xml:space="preserve"> </w:t>
      </w:r>
      <w:r>
        <w:t>one</w:t>
      </w:r>
      <w:r>
        <w:rPr>
          <w:spacing w:val="-8"/>
        </w:rPr>
        <w:t xml:space="preserve"> </w:t>
      </w:r>
      <w:r>
        <w:t>of</w:t>
      </w:r>
      <w:r>
        <w:rPr>
          <w:spacing w:val="-9"/>
        </w:rPr>
        <w:t xml:space="preserve"> </w:t>
      </w:r>
      <w:r>
        <w:t>eight</w:t>
      </w:r>
      <w:r>
        <w:rPr>
          <w:spacing w:val="-11"/>
        </w:rPr>
        <w:t xml:space="preserve"> </w:t>
      </w:r>
      <w:r>
        <w:t>compliance</w:t>
      </w:r>
      <w:r>
        <w:rPr>
          <w:spacing w:val="-10"/>
        </w:rPr>
        <w:t xml:space="preserve"> </w:t>
      </w:r>
      <w:r>
        <w:t>reports,</w:t>
      </w:r>
      <w:r>
        <w:rPr>
          <w:spacing w:val="-11"/>
        </w:rPr>
        <w:t xml:space="preserve"> </w:t>
      </w:r>
      <w:r>
        <w:t>to</w:t>
      </w:r>
      <w:r>
        <w:rPr>
          <w:spacing w:val="-10"/>
        </w:rPr>
        <w:t xml:space="preserve"> </w:t>
      </w:r>
      <w:r>
        <w:t>the</w:t>
      </w:r>
      <w:r>
        <w:rPr>
          <w:spacing w:val="-10"/>
        </w:rPr>
        <w:t xml:space="preserve"> </w:t>
      </w:r>
      <w:r>
        <w:t>ACCC,</w:t>
      </w:r>
      <w:r>
        <w:rPr>
          <w:spacing w:val="-9"/>
        </w:rPr>
        <w:t xml:space="preserve"> </w:t>
      </w:r>
      <w:r>
        <w:t>due</w:t>
      </w:r>
      <w:r>
        <w:rPr>
          <w:spacing w:val="-9"/>
        </w:rPr>
        <w:t xml:space="preserve"> </w:t>
      </w:r>
      <w:r>
        <w:t>to</w:t>
      </w:r>
      <w:r>
        <w:rPr>
          <w:spacing w:val="-10"/>
        </w:rPr>
        <w:t xml:space="preserve"> </w:t>
      </w:r>
      <w:r>
        <w:t>one‐off</w:t>
      </w:r>
      <w:r>
        <w:rPr>
          <w:spacing w:val="-10"/>
        </w:rPr>
        <w:t xml:space="preserve"> </w:t>
      </w:r>
      <w:r>
        <w:t>factors.</w:t>
      </w:r>
    </w:p>
    <w:p w14:paraId="59F8F1B7" w14:textId="77777777" w:rsidR="00141B97" w:rsidRDefault="00141B97">
      <w:pPr>
        <w:pStyle w:val="BodyText"/>
        <w:spacing w:before="2"/>
        <w:rPr>
          <w:sz w:val="31"/>
        </w:rPr>
      </w:pPr>
    </w:p>
    <w:p w14:paraId="3E5DE899" w14:textId="77777777" w:rsidR="00141B97" w:rsidRDefault="00911D63">
      <w:pPr>
        <w:pStyle w:val="Heading2"/>
        <w:numPr>
          <w:ilvl w:val="1"/>
          <w:numId w:val="37"/>
        </w:numPr>
        <w:tabs>
          <w:tab w:val="left" w:pos="1107"/>
        </w:tabs>
        <w:ind w:left="1106" w:hanging="993"/>
        <w:jc w:val="both"/>
        <w:rPr>
          <w:color w:val="009BAC"/>
        </w:rPr>
      </w:pPr>
      <w:r>
        <w:rPr>
          <w:color w:val="009BAC"/>
        </w:rPr>
        <w:t>Rural</w:t>
      </w:r>
      <w:r>
        <w:rPr>
          <w:color w:val="009BAC"/>
          <w:spacing w:val="-11"/>
        </w:rPr>
        <w:t xml:space="preserve"> </w:t>
      </w:r>
      <w:r>
        <w:rPr>
          <w:color w:val="009BAC"/>
        </w:rPr>
        <w:t>Guaranteed</w:t>
      </w:r>
      <w:r>
        <w:rPr>
          <w:color w:val="009BAC"/>
          <w:spacing w:val="-9"/>
        </w:rPr>
        <w:t xml:space="preserve"> </w:t>
      </w:r>
      <w:r>
        <w:rPr>
          <w:color w:val="009BAC"/>
        </w:rPr>
        <w:t>Service</w:t>
      </w:r>
      <w:r>
        <w:rPr>
          <w:color w:val="009BAC"/>
          <w:spacing w:val="-10"/>
        </w:rPr>
        <w:t xml:space="preserve"> </w:t>
      </w:r>
      <w:r>
        <w:rPr>
          <w:color w:val="009BAC"/>
          <w:spacing w:val="-2"/>
        </w:rPr>
        <w:t>Levels</w:t>
      </w:r>
    </w:p>
    <w:p w14:paraId="33B11DBC" w14:textId="77777777" w:rsidR="00141B97" w:rsidRDefault="00911D63">
      <w:pPr>
        <w:pStyle w:val="BodyText"/>
        <w:spacing w:before="133"/>
        <w:ind w:left="114"/>
        <w:jc w:val="both"/>
      </w:pPr>
      <w:r>
        <w:t>There</w:t>
      </w:r>
      <w:r>
        <w:rPr>
          <w:spacing w:val="-5"/>
        </w:rPr>
        <w:t xml:space="preserve"> </w:t>
      </w:r>
      <w:r>
        <w:t>were</w:t>
      </w:r>
      <w:r>
        <w:rPr>
          <w:spacing w:val="-5"/>
        </w:rPr>
        <w:t xml:space="preserve"> </w:t>
      </w:r>
      <w:r>
        <w:t>no</w:t>
      </w:r>
      <w:r>
        <w:rPr>
          <w:spacing w:val="-7"/>
        </w:rPr>
        <w:t xml:space="preserve"> </w:t>
      </w:r>
      <w:r>
        <w:t>rural</w:t>
      </w:r>
      <w:r>
        <w:rPr>
          <w:spacing w:val="-6"/>
        </w:rPr>
        <w:t xml:space="preserve"> </w:t>
      </w:r>
      <w:r>
        <w:t>GSLs</w:t>
      </w:r>
      <w:r>
        <w:rPr>
          <w:spacing w:val="-6"/>
        </w:rPr>
        <w:t xml:space="preserve"> </w:t>
      </w:r>
      <w:r>
        <w:t>applicable</w:t>
      </w:r>
      <w:r>
        <w:rPr>
          <w:spacing w:val="-7"/>
        </w:rPr>
        <w:t xml:space="preserve"> </w:t>
      </w:r>
      <w:r>
        <w:t>for</w:t>
      </w:r>
      <w:r>
        <w:rPr>
          <w:spacing w:val="-5"/>
        </w:rPr>
        <w:t xml:space="preserve"> </w:t>
      </w:r>
      <w:r>
        <w:t>the</w:t>
      </w:r>
      <w:r>
        <w:rPr>
          <w:spacing w:val="-6"/>
        </w:rPr>
        <w:t xml:space="preserve"> </w:t>
      </w:r>
      <w:r>
        <w:t>PS4</w:t>
      </w:r>
      <w:r>
        <w:rPr>
          <w:spacing w:val="-5"/>
        </w:rPr>
        <w:t xml:space="preserve"> </w:t>
      </w:r>
      <w:r>
        <w:rPr>
          <w:spacing w:val="-2"/>
        </w:rPr>
        <w:t>period.</w:t>
      </w:r>
    </w:p>
    <w:p w14:paraId="2CCE7B35" w14:textId="77777777" w:rsidR="00141B97" w:rsidRDefault="00141B97">
      <w:pPr>
        <w:pStyle w:val="BodyText"/>
        <w:rPr>
          <w:sz w:val="31"/>
        </w:rPr>
      </w:pPr>
    </w:p>
    <w:p w14:paraId="085965CB" w14:textId="77777777" w:rsidR="00141B97" w:rsidRDefault="00911D63">
      <w:pPr>
        <w:pStyle w:val="Heading2"/>
        <w:numPr>
          <w:ilvl w:val="1"/>
          <w:numId w:val="37"/>
        </w:numPr>
        <w:tabs>
          <w:tab w:val="left" w:pos="1113"/>
        </w:tabs>
        <w:jc w:val="both"/>
        <w:rPr>
          <w:color w:val="009BAC"/>
        </w:rPr>
      </w:pPr>
      <w:r>
        <w:rPr>
          <w:color w:val="009BAC"/>
        </w:rPr>
        <w:t>Prices</w:t>
      </w:r>
      <w:r>
        <w:rPr>
          <w:color w:val="009BAC"/>
          <w:spacing w:val="-8"/>
        </w:rPr>
        <w:t xml:space="preserve"> </w:t>
      </w:r>
      <w:r>
        <w:rPr>
          <w:color w:val="009BAC"/>
        </w:rPr>
        <w:t>and</w:t>
      </w:r>
      <w:r>
        <w:rPr>
          <w:color w:val="009BAC"/>
          <w:spacing w:val="-7"/>
        </w:rPr>
        <w:t xml:space="preserve"> </w:t>
      </w:r>
      <w:r>
        <w:rPr>
          <w:color w:val="009BAC"/>
        </w:rPr>
        <w:t>Revenue</w:t>
      </w:r>
      <w:r>
        <w:rPr>
          <w:color w:val="009BAC"/>
          <w:spacing w:val="-7"/>
        </w:rPr>
        <w:t xml:space="preserve"> </w:t>
      </w:r>
      <w:r>
        <w:rPr>
          <w:color w:val="009BAC"/>
          <w:spacing w:val="-2"/>
        </w:rPr>
        <w:t>Performance</w:t>
      </w:r>
    </w:p>
    <w:p w14:paraId="68A2BF70" w14:textId="77777777" w:rsidR="00141B97" w:rsidRDefault="00911D63">
      <w:pPr>
        <w:pStyle w:val="BodyText"/>
        <w:spacing w:before="120"/>
        <w:ind w:left="113" w:right="947"/>
        <w:jc w:val="both"/>
      </w:pPr>
      <w:r>
        <w:t>The overall revenue requirement for the pricing period to date is as per PS4 target and has been slightly lower than</w:t>
      </w:r>
      <w:r>
        <w:rPr>
          <w:spacing w:val="-3"/>
        </w:rPr>
        <w:t xml:space="preserve"> </w:t>
      </w:r>
      <w:r>
        <w:t>approved</w:t>
      </w:r>
      <w:r>
        <w:rPr>
          <w:spacing w:val="-3"/>
        </w:rPr>
        <w:t xml:space="preserve"> </w:t>
      </w:r>
      <w:r>
        <w:t>with</w:t>
      </w:r>
      <w:r>
        <w:rPr>
          <w:spacing w:val="-2"/>
        </w:rPr>
        <w:t xml:space="preserve"> </w:t>
      </w:r>
      <w:r>
        <w:t>the</w:t>
      </w:r>
      <w:r>
        <w:rPr>
          <w:spacing w:val="-4"/>
        </w:rPr>
        <w:t xml:space="preserve"> </w:t>
      </w:r>
      <w:r>
        <w:t>main</w:t>
      </w:r>
      <w:r>
        <w:rPr>
          <w:spacing w:val="-3"/>
        </w:rPr>
        <w:t xml:space="preserve"> </w:t>
      </w:r>
      <w:r>
        <w:t>variance</w:t>
      </w:r>
      <w:r>
        <w:rPr>
          <w:spacing w:val="-5"/>
        </w:rPr>
        <w:t xml:space="preserve"> </w:t>
      </w:r>
      <w:r>
        <w:t>due</w:t>
      </w:r>
      <w:r>
        <w:rPr>
          <w:spacing w:val="-4"/>
        </w:rPr>
        <w:t xml:space="preserve"> </w:t>
      </w:r>
      <w:r>
        <w:t>to</w:t>
      </w:r>
      <w:r>
        <w:rPr>
          <w:spacing w:val="-4"/>
        </w:rPr>
        <w:t xml:space="preserve"> </w:t>
      </w:r>
      <w:r>
        <w:t>a</w:t>
      </w:r>
      <w:r>
        <w:rPr>
          <w:spacing w:val="-2"/>
        </w:rPr>
        <w:t xml:space="preserve"> </w:t>
      </w:r>
      <w:r>
        <w:t>decrease</w:t>
      </w:r>
      <w:r>
        <w:rPr>
          <w:spacing w:val="-4"/>
        </w:rPr>
        <w:t xml:space="preserve"> </w:t>
      </w:r>
      <w:r>
        <w:t>in</w:t>
      </w:r>
      <w:r>
        <w:rPr>
          <w:spacing w:val="-3"/>
        </w:rPr>
        <w:t xml:space="preserve"> </w:t>
      </w:r>
      <w:r>
        <w:t>revenue</w:t>
      </w:r>
      <w:r>
        <w:rPr>
          <w:spacing w:val="-4"/>
        </w:rPr>
        <w:t xml:space="preserve"> </w:t>
      </w:r>
      <w:r>
        <w:t>raised</w:t>
      </w:r>
      <w:r>
        <w:rPr>
          <w:spacing w:val="-2"/>
        </w:rPr>
        <w:t xml:space="preserve"> </w:t>
      </w:r>
      <w:r>
        <w:t>from</w:t>
      </w:r>
      <w:r>
        <w:rPr>
          <w:spacing w:val="-1"/>
        </w:rPr>
        <w:t xml:space="preserve"> </w:t>
      </w:r>
      <w:r>
        <w:t>volumetric</w:t>
      </w:r>
      <w:r>
        <w:rPr>
          <w:spacing w:val="-2"/>
        </w:rPr>
        <w:t xml:space="preserve"> </w:t>
      </w:r>
      <w:r>
        <w:t>usage</w:t>
      </w:r>
      <w:r>
        <w:rPr>
          <w:spacing w:val="-4"/>
        </w:rPr>
        <w:t xml:space="preserve"> </w:t>
      </w:r>
      <w:r>
        <w:t>charges,</w:t>
      </w:r>
      <w:r>
        <w:rPr>
          <w:spacing w:val="-1"/>
        </w:rPr>
        <w:t xml:space="preserve"> </w:t>
      </w:r>
      <w:r>
        <w:t>as</w:t>
      </w:r>
      <w:r>
        <w:rPr>
          <w:spacing w:val="-3"/>
        </w:rPr>
        <w:t xml:space="preserve"> </w:t>
      </w:r>
      <w:r>
        <w:t>a result</w:t>
      </w:r>
      <w:r>
        <w:rPr>
          <w:spacing w:val="-13"/>
        </w:rPr>
        <w:t xml:space="preserve"> </w:t>
      </w:r>
      <w:r>
        <w:t>of</w:t>
      </w:r>
      <w:r>
        <w:rPr>
          <w:spacing w:val="-12"/>
        </w:rPr>
        <w:t xml:space="preserve"> </w:t>
      </w:r>
      <w:r>
        <w:t>reduced</w:t>
      </w:r>
      <w:r>
        <w:rPr>
          <w:spacing w:val="-13"/>
        </w:rPr>
        <w:t xml:space="preserve"> </w:t>
      </w:r>
      <w:r>
        <w:t>demand.</w:t>
      </w:r>
      <w:r>
        <w:rPr>
          <w:spacing w:val="-12"/>
        </w:rPr>
        <w:t xml:space="preserve"> </w:t>
      </w:r>
      <w:r>
        <w:t>The</w:t>
      </w:r>
      <w:r>
        <w:rPr>
          <w:spacing w:val="-13"/>
        </w:rPr>
        <w:t xml:space="preserve"> </w:t>
      </w:r>
      <w:r>
        <w:t>shortfall</w:t>
      </w:r>
      <w:r>
        <w:rPr>
          <w:spacing w:val="-12"/>
        </w:rPr>
        <w:t xml:space="preserve"> </w:t>
      </w:r>
      <w:r>
        <w:t>in</w:t>
      </w:r>
      <w:r>
        <w:rPr>
          <w:spacing w:val="-13"/>
        </w:rPr>
        <w:t xml:space="preserve"> </w:t>
      </w:r>
      <w:r>
        <w:t>volumetric</w:t>
      </w:r>
      <w:r>
        <w:rPr>
          <w:spacing w:val="-12"/>
        </w:rPr>
        <w:t xml:space="preserve"> </w:t>
      </w:r>
      <w:r>
        <w:t>charges</w:t>
      </w:r>
      <w:r>
        <w:rPr>
          <w:spacing w:val="-12"/>
        </w:rPr>
        <w:t xml:space="preserve"> </w:t>
      </w:r>
      <w:r>
        <w:t>has</w:t>
      </w:r>
      <w:r>
        <w:rPr>
          <w:spacing w:val="-13"/>
        </w:rPr>
        <w:t xml:space="preserve"> </w:t>
      </w:r>
      <w:r>
        <w:t>been</w:t>
      </w:r>
      <w:r>
        <w:rPr>
          <w:spacing w:val="-12"/>
        </w:rPr>
        <w:t xml:space="preserve"> </w:t>
      </w:r>
      <w:r>
        <w:t>reduced</w:t>
      </w:r>
      <w:r>
        <w:rPr>
          <w:spacing w:val="-13"/>
        </w:rPr>
        <w:t xml:space="preserve"> </w:t>
      </w:r>
      <w:r>
        <w:t>by</w:t>
      </w:r>
      <w:r>
        <w:rPr>
          <w:spacing w:val="-12"/>
        </w:rPr>
        <w:t xml:space="preserve"> </w:t>
      </w:r>
      <w:r>
        <w:t>some</w:t>
      </w:r>
      <w:r>
        <w:rPr>
          <w:spacing w:val="-13"/>
        </w:rPr>
        <w:t xml:space="preserve"> </w:t>
      </w:r>
      <w:r>
        <w:t>non‐budgeted</w:t>
      </w:r>
      <w:r>
        <w:rPr>
          <w:spacing w:val="-12"/>
        </w:rPr>
        <w:t xml:space="preserve"> </w:t>
      </w:r>
      <w:r>
        <w:t>revenue including funding received for rural projects including WEP business case and irrigation funding grant and insurance proceeds.</w:t>
      </w:r>
    </w:p>
    <w:p w14:paraId="46970959" w14:textId="77777777" w:rsidR="00141B97" w:rsidRDefault="00141B97">
      <w:pPr>
        <w:pStyle w:val="BodyText"/>
      </w:pPr>
    </w:p>
    <w:p w14:paraId="2B4E771F" w14:textId="77777777" w:rsidR="00141B97" w:rsidRDefault="00911D63">
      <w:pPr>
        <w:pStyle w:val="BodyText"/>
        <w:ind w:left="113" w:right="949"/>
        <w:jc w:val="both"/>
      </w:pPr>
      <w:r>
        <w:t>LMW has the ability to increase prices under the revenue cap however prices have not been raised outside of the price path mechanism. Additional revenue generated from the Sunraysia Modernisation Project Stage 2 (SMP2),</w:t>
      </w:r>
      <w:r>
        <w:rPr>
          <w:spacing w:val="-3"/>
        </w:rPr>
        <w:t xml:space="preserve"> </w:t>
      </w:r>
      <w:r>
        <w:t>further</w:t>
      </w:r>
      <w:r>
        <w:rPr>
          <w:spacing w:val="-2"/>
        </w:rPr>
        <w:t xml:space="preserve"> </w:t>
      </w:r>
      <w:r>
        <w:t>described</w:t>
      </w:r>
      <w:r>
        <w:rPr>
          <w:spacing w:val="-3"/>
        </w:rPr>
        <w:t xml:space="preserve"> </w:t>
      </w:r>
      <w:r>
        <w:t>in</w:t>
      </w:r>
      <w:r>
        <w:rPr>
          <w:spacing w:val="-3"/>
        </w:rPr>
        <w:t xml:space="preserve"> </w:t>
      </w:r>
      <w:r>
        <w:t>Section</w:t>
      </w:r>
      <w:r>
        <w:rPr>
          <w:spacing w:val="-2"/>
        </w:rPr>
        <w:t xml:space="preserve"> </w:t>
      </w:r>
      <w:r>
        <w:t>2.5.2</w:t>
      </w:r>
      <w:r>
        <w:rPr>
          <w:spacing w:val="-3"/>
        </w:rPr>
        <w:t xml:space="preserve"> </w:t>
      </w:r>
      <w:r>
        <w:t>has</w:t>
      </w:r>
      <w:r>
        <w:rPr>
          <w:spacing w:val="-2"/>
        </w:rPr>
        <w:t xml:space="preserve"> </w:t>
      </w:r>
      <w:r>
        <w:t>been</w:t>
      </w:r>
      <w:r>
        <w:rPr>
          <w:spacing w:val="-2"/>
        </w:rPr>
        <w:t xml:space="preserve"> </w:t>
      </w:r>
      <w:r>
        <w:t>passed</w:t>
      </w:r>
      <w:r>
        <w:rPr>
          <w:spacing w:val="-2"/>
        </w:rPr>
        <w:t xml:space="preserve"> </w:t>
      </w:r>
      <w:r>
        <w:t>on</w:t>
      </w:r>
      <w:r>
        <w:rPr>
          <w:spacing w:val="-2"/>
        </w:rPr>
        <w:t xml:space="preserve"> </w:t>
      </w:r>
      <w:r>
        <w:t>to</w:t>
      </w:r>
      <w:r>
        <w:rPr>
          <w:spacing w:val="-2"/>
        </w:rPr>
        <w:t xml:space="preserve"> </w:t>
      </w:r>
      <w:r>
        <w:t>customers</w:t>
      </w:r>
      <w:r>
        <w:rPr>
          <w:spacing w:val="-2"/>
        </w:rPr>
        <w:t xml:space="preserve"> </w:t>
      </w:r>
      <w:r>
        <w:t>in</w:t>
      </w:r>
      <w:r>
        <w:rPr>
          <w:spacing w:val="-2"/>
        </w:rPr>
        <w:t xml:space="preserve"> </w:t>
      </w:r>
      <w:r>
        <w:t>various</w:t>
      </w:r>
      <w:r>
        <w:rPr>
          <w:spacing w:val="-3"/>
        </w:rPr>
        <w:t xml:space="preserve"> </w:t>
      </w:r>
      <w:r>
        <w:t>forms;</w:t>
      </w:r>
      <w:r>
        <w:rPr>
          <w:spacing w:val="-1"/>
        </w:rPr>
        <w:t xml:space="preserve"> </w:t>
      </w:r>
      <w:r>
        <w:t>2020‐21</w:t>
      </w:r>
      <w:r>
        <w:rPr>
          <w:spacing w:val="-3"/>
        </w:rPr>
        <w:t xml:space="preserve"> </w:t>
      </w:r>
      <w:r>
        <w:t>resulted in</w:t>
      </w:r>
      <w:r>
        <w:rPr>
          <w:spacing w:val="-1"/>
        </w:rPr>
        <w:t xml:space="preserve"> </w:t>
      </w:r>
      <w:r>
        <w:t>$1.05m</w:t>
      </w:r>
      <w:r>
        <w:rPr>
          <w:spacing w:val="-2"/>
        </w:rPr>
        <w:t xml:space="preserve"> </w:t>
      </w:r>
      <w:r>
        <w:t>in</w:t>
      </w:r>
      <w:r>
        <w:rPr>
          <w:spacing w:val="-1"/>
        </w:rPr>
        <w:t xml:space="preserve"> </w:t>
      </w:r>
      <w:r>
        <w:t>rebates</w:t>
      </w:r>
      <w:r>
        <w:rPr>
          <w:spacing w:val="-1"/>
        </w:rPr>
        <w:t xml:space="preserve"> </w:t>
      </w:r>
      <w:r>
        <w:t>paid</w:t>
      </w:r>
      <w:r>
        <w:rPr>
          <w:spacing w:val="-1"/>
        </w:rPr>
        <w:t xml:space="preserve"> </w:t>
      </w:r>
      <w:r>
        <w:t>to</w:t>
      </w:r>
      <w:r>
        <w:rPr>
          <w:spacing w:val="-2"/>
        </w:rPr>
        <w:t xml:space="preserve"> </w:t>
      </w:r>
      <w:r>
        <w:t>customers, whereas 2021‐22</w:t>
      </w:r>
      <w:r>
        <w:rPr>
          <w:spacing w:val="-2"/>
        </w:rPr>
        <w:t xml:space="preserve"> </w:t>
      </w:r>
      <w:r>
        <w:t>saw</w:t>
      </w:r>
      <w:r>
        <w:rPr>
          <w:spacing w:val="-1"/>
        </w:rPr>
        <w:t xml:space="preserve"> </w:t>
      </w:r>
      <w:r>
        <w:t>reductions</w:t>
      </w:r>
      <w:r>
        <w:rPr>
          <w:spacing w:val="-1"/>
        </w:rPr>
        <w:t xml:space="preserve"> </w:t>
      </w:r>
      <w:r>
        <w:t>in</w:t>
      </w:r>
      <w:r>
        <w:rPr>
          <w:spacing w:val="-1"/>
        </w:rPr>
        <w:t xml:space="preserve"> </w:t>
      </w:r>
      <w:r>
        <w:t>prices</w:t>
      </w:r>
      <w:r>
        <w:rPr>
          <w:spacing w:val="-1"/>
        </w:rPr>
        <w:t xml:space="preserve"> </w:t>
      </w:r>
      <w:r>
        <w:t>compared</w:t>
      </w:r>
      <w:r>
        <w:rPr>
          <w:spacing w:val="-2"/>
        </w:rPr>
        <w:t xml:space="preserve"> </w:t>
      </w:r>
      <w:r>
        <w:t>to</w:t>
      </w:r>
      <w:r>
        <w:rPr>
          <w:spacing w:val="-1"/>
        </w:rPr>
        <w:t xml:space="preserve"> </w:t>
      </w:r>
      <w:r>
        <w:t>the</w:t>
      </w:r>
      <w:r>
        <w:rPr>
          <w:spacing w:val="-1"/>
        </w:rPr>
        <w:t xml:space="preserve"> </w:t>
      </w:r>
      <w:r>
        <w:t>previously approved price path</w:t>
      </w:r>
      <w:r>
        <w:rPr>
          <w:rFonts w:ascii="Trebuchet MS" w:hAnsi="Trebuchet MS"/>
        </w:rPr>
        <w:t>.</w:t>
      </w:r>
      <w:r>
        <w:rPr>
          <w:rFonts w:ascii="Trebuchet MS" w:hAnsi="Trebuchet MS"/>
          <w:spacing w:val="-11"/>
        </w:rPr>
        <w:t xml:space="preserve"> </w:t>
      </w:r>
      <w:r>
        <w:t>Looking forward, the forecast for 2022‐23 sees a reduction in PS4 price path movement for various districts as LMW did not increase any prices above the CPI increase of 5.09%.</w:t>
      </w:r>
    </w:p>
    <w:p w14:paraId="7C3CA74A" w14:textId="77777777" w:rsidR="00141B97" w:rsidRDefault="00141B97">
      <w:pPr>
        <w:pStyle w:val="BodyText"/>
        <w:spacing w:before="8"/>
        <w:rPr>
          <w:sz w:val="20"/>
        </w:rPr>
      </w:pPr>
    </w:p>
    <w:p w14:paraId="3DEAC994" w14:textId="77777777" w:rsidR="00141B97" w:rsidRDefault="00911D63">
      <w:pPr>
        <w:pStyle w:val="ListParagraph"/>
        <w:numPr>
          <w:ilvl w:val="2"/>
          <w:numId w:val="37"/>
        </w:numPr>
        <w:tabs>
          <w:tab w:val="left" w:pos="1112"/>
          <w:tab w:val="left" w:pos="1113"/>
        </w:tabs>
        <w:ind w:left="1112" w:hanging="1000"/>
        <w:jc w:val="both"/>
      </w:pPr>
      <w:r>
        <w:t>Rural</w:t>
      </w:r>
      <w:r>
        <w:rPr>
          <w:spacing w:val="-5"/>
        </w:rPr>
        <w:t xml:space="preserve"> </w:t>
      </w:r>
      <w:r>
        <w:rPr>
          <w:spacing w:val="-2"/>
        </w:rPr>
        <w:t>Demand</w:t>
      </w:r>
    </w:p>
    <w:p w14:paraId="73440ACE" w14:textId="77777777" w:rsidR="00141B97" w:rsidRDefault="00911D63">
      <w:pPr>
        <w:pStyle w:val="BodyText"/>
        <w:spacing w:before="70" w:line="249" w:lineRule="auto"/>
        <w:ind w:left="113" w:right="948"/>
        <w:jc w:val="both"/>
      </w:pPr>
      <w:r>
        <w:t>Table C2 overleaf shows that overall, the rural demand for the PS4 period to date is very close to the forecast with a variance of +3.9%, demonstrating a high degree of confidence in the forecast. Rural demand declined relative to budget in the irrigation districts by 5.5% over the period to date, due to 2019‐20 water allocations being restricted to 66%, as well as increased rainfall compared to averages for 2020‐21 and 2021‐22 reducing customer water requirements.</w:t>
      </w:r>
    </w:p>
    <w:p w14:paraId="145F6B16" w14:textId="77777777" w:rsidR="00141B97" w:rsidRDefault="00911D63">
      <w:pPr>
        <w:pStyle w:val="BodyText"/>
        <w:spacing w:before="124" w:line="252" w:lineRule="auto"/>
        <w:ind w:left="114" w:right="948" w:hanging="1"/>
        <w:jc w:val="both"/>
      </w:pPr>
      <w:r>
        <w:t>Demand from diverters increased over the budget by some 5.6%, representing strong growth of 5.7% in total diverter demand between the first and fourth year of the PS4 period.</w:t>
      </w:r>
    </w:p>
    <w:p w14:paraId="2B9BF459" w14:textId="77777777" w:rsidR="00141B97" w:rsidRDefault="00141B97">
      <w:pPr>
        <w:spacing w:line="252" w:lineRule="auto"/>
        <w:jc w:val="both"/>
        <w:sectPr w:rsidR="00141B97">
          <w:pgSz w:w="11910" w:h="16840"/>
          <w:pgMar w:top="820" w:right="40" w:bottom="780" w:left="1020" w:header="0" w:footer="586" w:gutter="0"/>
          <w:cols w:space="720"/>
        </w:sect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30"/>
        <w:gridCol w:w="754"/>
        <w:gridCol w:w="753"/>
        <w:gridCol w:w="754"/>
        <w:gridCol w:w="753"/>
        <w:gridCol w:w="753"/>
        <w:gridCol w:w="764"/>
        <w:gridCol w:w="744"/>
        <w:gridCol w:w="753"/>
        <w:gridCol w:w="874"/>
        <w:gridCol w:w="876"/>
        <w:gridCol w:w="765"/>
        <w:gridCol w:w="690"/>
      </w:tblGrid>
      <w:tr w:rsidR="00141B97" w14:paraId="0877EABC" w14:textId="77777777">
        <w:trPr>
          <w:trHeight w:val="465"/>
        </w:trPr>
        <w:tc>
          <w:tcPr>
            <w:tcW w:w="1130" w:type="dxa"/>
            <w:tcBorders>
              <w:top w:val="nil"/>
              <w:left w:val="nil"/>
              <w:right w:val="single" w:sz="4" w:space="0" w:color="FFFFFF"/>
            </w:tcBorders>
            <w:shd w:val="clear" w:color="auto" w:fill="0064A4"/>
          </w:tcPr>
          <w:p w14:paraId="18F9CD81" w14:textId="77777777" w:rsidR="00141B97" w:rsidRDefault="00911D63">
            <w:pPr>
              <w:pStyle w:val="TableParagraph"/>
              <w:spacing w:before="38"/>
              <w:ind w:left="268" w:firstLine="57"/>
              <w:rPr>
                <w:sz w:val="16"/>
              </w:rPr>
            </w:pPr>
            <w:r>
              <w:rPr>
                <w:color w:val="FFFFFF"/>
                <w:spacing w:val="-2"/>
                <w:sz w:val="16"/>
              </w:rPr>
              <w:lastRenderedPageBreak/>
              <w:t>Service</w:t>
            </w:r>
            <w:r>
              <w:rPr>
                <w:color w:val="FFFFFF"/>
                <w:spacing w:val="40"/>
                <w:sz w:val="16"/>
              </w:rPr>
              <w:t xml:space="preserve"> </w:t>
            </w:r>
            <w:r>
              <w:rPr>
                <w:color w:val="FFFFFF"/>
                <w:spacing w:val="-2"/>
                <w:sz w:val="16"/>
              </w:rPr>
              <w:t>Category</w:t>
            </w:r>
          </w:p>
        </w:tc>
        <w:tc>
          <w:tcPr>
            <w:tcW w:w="1507" w:type="dxa"/>
            <w:gridSpan w:val="2"/>
            <w:tcBorders>
              <w:top w:val="nil"/>
              <w:left w:val="single" w:sz="4" w:space="0" w:color="FFFFFF"/>
              <w:right w:val="single" w:sz="4" w:space="0" w:color="FFFFFF"/>
            </w:tcBorders>
            <w:shd w:val="clear" w:color="auto" w:fill="0064A4"/>
          </w:tcPr>
          <w:p w14:paraId="424D992B" w14:textId="77777777" w:rsidR="00141B97" w:rsidRDefault="00911D63">
            <w:pPr>
              <w:pStyle w:val="TableParagraph"/>
              <w:spacing w:before="135"/>
              <w:ind w:left="486"/>
              <w:rPr>
                <w:sz w:val="16"/>
              </w:rPr>
            </w:pPr>
            <w:r>
              <w:rPr>
                <w:color w:val="FFFFFF"/>
                <w:spacing w:val="-2"/>
                <w:sz w:val="16"/>
              </w:rPr>
              <w:t>2018‐19</w:t>
            </w:r>
          </w:p>
        </w:tc>
        <w:tc>
          <w:tcPr>
            <w:tcW w:w="1507" w:type="dxa"/>
            <w:gridSpan w:val="2"/>
            <w:tcBorders>
              <w:top w:val="nil"/>
              <w:left w:val="single" w:sz="4" w:space="0" w:color="FFFFFF"/>
              <w:right w:val="single" w:sz="4" w:space="0" w:color="FFFFFF"/>
            </w:tcBorders>
            <w:shd w:val="clear" w:color="auto" w:fill="0064A4"/>
          </w:tcPr>
          <w:p w14:paraId="35F9CF27" w14:textId="77777777" w:rsidR="00141B97" w:rsidRDefault="00911D63">
            <w:pPr>
              <w:pStyle w:val="TableParagraph"/>
              <w:spacing w:before="135"/>
              <w:ind w:left="487"/>
              <w:rPr>
                <w:sz w:val="16"/>
              </w:rPr>
            </w:pPr>
            <w:r>
              <w:rPr>
                <w:color w:val="FFFFFF"/>
                <w:spacing w:val="-2"/>
                <w:sz w:val="16"/>
              </w:rPr>
              <w:t>2019‐20</w:t>
            </w:r>
          </w:p>
        </w:tc>
        <w:tc>
          <w:tcPr>
            <w:tcW w:w="1517" w:type="dxa"/>
            <w:gridSpan w:val="2"/>
            <w:tcBorders>
              <w:top w:val="nil"/>
              <w:left w:val="single" w:sz="4" w:space="0" w:color="FFFFFF"/>
              <w:right w:val="nil"/>
            </w:tcBorders>
            <w:shd w:val="clear" w:color="auto" w:fill="0064A4"/>
          </w:tcPr>
          <w:p w14:paraId="4B8CDE6A" w14:textId="77777777" w:rsidR="00141B97" w:rsidRDefault="00911D63">
            <w:pPr>
              <w:pStyle w:val="TableParagraph"/>
              <w:spacing w:before="135"/>
              <w:ind w:left="488"/>
              <w:rPr>
                <w:sz w:val="16"/>
              </w:rPr>
            </w:pPr>
            <w:r>
              <w:rPr>
                <w:color w:val="FFFFFF"/>
                <w:spacing w:val="-2"/>
                <w:sz w:val="16"/>
              </w:rPr>
              <w:t>2020‐21</w:t>
            </w:r>
          </w:p>
        </w:tc>
        <w:tc>
          <w:tcPr>
            <w:tcW w:w="1497" w:type="dxa"/>
            <w:gridSpan w:val="2"/>
            <w:tcBorders>
              <w:top w:val="nil"/>
              <w:left w:val="nil"/>
              <w:right w:val="single" w:sz="4" w:space="0" w:color="FFFFFF"/>
            </w:tcBorders>
            <w:shd w:val="clear" w:color="auto" w:fill="0064A4"/>
          </w:tcPr>
          <w:p w14:paraId="763D5AC7" w14:textId="77777777" w:rsidR="00141B97" w:rsidRDefault="00911D63">
            <w:pPr>
              <w:pStyle w:val="TableParagraph"/>
              <w:spacing w:before="135"/>
              <w:ind w:left="479"/>
              <w:rPr>
                <w:sz w:val="16"/>
              </w:rPr>
            </w:pPr>
            <w:r>
              <w:rPr>
                <w:color w:val="FFFFFF"/>
                <w:spacing w:val="-2"/>
                <w:sz w:val="16"/>
              </w:rPr>
              <w:t>2021‐22</w:t>
            </w:r>
          </w:p>
        </w:tc>
        <w:tc>
          <w:tcPr>
            <w:tcW w:w="1750" w:type="dxa"/>
            <w:gridSpan w:val="2"/>
            <w:tcBorders>
              <w:top w:val="nil"/>
              <w:left w:val="single" w:sz="4" w:space="0" w:color="FFFFFF"/>
              <w:right w:val="single" w:sz="4" w:space="0" w:color="FFFFFF"/>
            </w:tcBorders>
            <w:shd w:val="clear" w:color="auto" w:fill="0064A4"/>
          </w:tcPr>
          <w:p w14:paraId="2AD06F11" w14:textId="77777777" w:rsidR="00141B97" w:rsidRDefault="00911D63">
            <w:pPr>
              <w:pStyle w:val="TableParagraph"/>
              <w:spacing w:before="135"/>
              <w:ind w:left="235"/>
              <w:rPr>
                <w:sz w:val="16"/>
              </w:rPr>
            </w:pPr>
            <w:r>
              <w:rPr>
                <w:color w:val="FFFFFF"/>
                <w:sz w:val="16"/>
              </w:rPr>
              <w:t>Period</w:t>
            </w:r>
            <w:r>
              <w:rPr>
                <w:color w:val="FFFFFF"/>
                <w:spacing w:val="-4"/>
                <w:sz w:val="16"/>
              </w:rPr>
              <w:t xml:space="preserve"> </w:t>
            </w:r>
            <w:r>
              <w:rPr>
                <w:color w:val="FFFFFF"/>
                <w:sz w:val="16"/>
              </w:rPr>
              <w:t>to</w:t>
            </w:r>
            <w:r>
              <w:rPr>
                <w:color w:val="FFFFFF"/>
                <w:spacing w:val="-4"/>
                <w:sz w:val="16"/>
              </w:rPr>
              <w:t xml:space="preserve"> </w:t>
            </w:r>
            <w:r>
              <w:rPr>
                <w:color w:val="FFFFFF"/>
                <w:sz w:val="16"/>
              </w:rPr>
              <w:t>Date</w:t>
            </w:r>
            <w:r>
              <w:rPr>
                <w:color w:val="FFFFFF"/>
                <w:spacing w:val="-3"/>
                <w:sz w:val="16"/>
              </w:rPr>
              <w:t xml:space="preserve"> </w:t>
            </w:r>
            <w:r>
              <w:rPr>
                <w:color w:val="FFFFFF"/>
                <w:spacing w:val="-2"/>
                <w:sz w:val="16"/>
              </w:rPr>
              <w:t>Total</w:t>
            </w:r>
          </w:p>
        </w:tc>
        <w:tc>
          <w:tcPr>
            <w:tcW w:w="1455" w:type="dxa"/>
            <w:gridSpan w:val="2"/>
            <w:tcBorders>
              <w:top w:val="nil"/>
              <w:left w:val="single" w:sz="4" w:space="0" w:color="FFFFFF"/>
              <w:right w:val="nil"/>
            </w:tcBorders>
            <w:shd w:val="clear" w:color="auto" w:fill="0064A4"/>
          </w:tcPr>
          <w:p w14:paraId="1941B2E0" w14:textId="77777777" w:rsidR="00141B97" w:rsidRDefault="00911D63">
            <w:pPr>
              <w:pStyle w:val="TableParagraph"/>
              <w:spacing w:before="135"/>
              <w:ind w:left="425"/>
              <w:rPr>
                <w:sz w:val="16"/>
              </w:rPr>
            </w:pPr>
            <w:r>
              <w:rPr>
                <w:color w:val="FFFFFF"/>
                <w:spacing w:val="-2"/>
                <w:sz w:val="16"/>
              </w:rPr>
              <w:t>Variances</w:t>
            </w:r>
          </w:p>
        </w:tc>
      </w:tr>
      <w:tr w:rsidR="00141B97" w14:paraId="5878F4B4" w14:textId="77777777">
        <w:trPr>
          <w:trHeight w:val="315"/>
        </w:trPr>
        <w:tc>
          <w:tcPr>
            <w:tcW w:w="1130" w:type="dxa"/>
            <w:tcBorders>
              <w:left w:val="nil"/>
              <w:right w:val="single" w:sz="4" w:space="0" w:color="FFFFFF"/>
            </w:tcBorders>
            <w:shd w:val="clear" w:color="auto" w:fill="0064A4"/>
          </w:tcPr>
          <w:p w14:paraId="7B74D9FA" w14:textId="77777777" w:rsidR="00141B97" w:rsidRDefault="00141B97">
            <w:pPr>
              <w:pStyle w:val="TableParagraph"/>
              <w:rPr>
                <w:rFonts w:ascii="Times New Roman"/>
                <w:sz w:val="16"/>
              </w:rPr>
            </w:pPr>
          </w:p>
        </w:tc>
        <w:tc>
          <w:tcPr>
            <w:tcW w:w="754" w:type="dxa"/>
            <w:tcBorders>
              <w:left w:val="single" w:sz="4" w:space="0" w:color="FFFFFF"/>
              <w:right w:val="single" w:sz="4" w:space="0" w:color="FFFFFF"/>
            </w:tcBorders>
            <w:shd w:val="clear" w:color="auto" w:fill="0064A4"/>
          </w:tcPr>
          <w:p w14:paraId="4CDB480D" w14:textId="77777777" w:rsidR="00141B97" w:rsidRDefault="00911D63">
            <w:pPr>
              <w:pStyle w:val="TableParagraph"/>
              <w:spacing w:before="61"/>
              <w:ind w:right="134"/>
              <w:jc w:val="right"/>
              <w:rPr>
                <w:sz w:val="16"/>
              </w:rPr>
            </w:pPr>
            <w:r>
              <w:rPr>
                <w:color w:val="FFFFFF"/>
                <w:spacing w:val="-2"/>
                <w:sz w:val="16"/>
              </w:rPr>
              <w:t>Budget</w:t>
            </w:r>
          </w:p>
        </w:tc>
        <w:tc>
          <w:tcPr>
            <w:tcW w:w="753" w:type="dxa"/>
            <w:tcBorders>
              <w:left w:val="single" w:sz="4" w:space="0" w:color="FFFFFF"/>
              <w:right w:val="single" w:sz="4" w:space="0" w:color="FFFFFF"/>
            </w:tcBorders>
            <w:shd w:val="clear" w:color="auto" w:fill="0064A4"/>
          </w:tcPr>
          <w:p w14:paraId="1367FADC" w14:textId="77777777" w:rsidR="00141B97" w:rsidRDefault="00911D63">
            <w:pPr>
              <w:pStyle w:val="TableParagraph"/>
              <w:spacing w:before="61"/>
              <w:ind w:left="175"/>
              <w:rPr>
                <w:sz w:val="16"/>
              </w:rPr>
            </w:pPr>
            <w:r>
              <w:rPr>
                <w:color w:val="FFFFFF"/>
                <w:spacing w:val="-2"/>
                <w:sz w:val="16"/>
              </w:rPr>
              <w:t>Actual</w:t>
            </w:r>
          </w:p>
        </w:tc>
        <w:tc>
          <w:tcPr>
            <w:tcW w:w="754" w:type="dxa"/>
            <w:tcBorders>
              <w:left w:val="single" w:sz="4" w:space="0" w:color="FFFFFF"/>
              <w:right w:val="single" w:sz="4" w:space="0" w:color="FFFFFF"/>
            </w:tcBorders>
            <w:shd w:val="clear" w:color="auto" w:fill="0064A4"/>
          </w:tcPr>
          <w:p w14:paraId="170F7F20" w14:textId="77777777" w:rsidR="00141B97" w:rsidRDefault="00911D63">
            <w:pPr>
              <w:pStyle w:val="TableParagraph"/>
              <w:spacing w:before="61"/>
              <w:ind w:right="132"/>
              <w:jc w:val="right"/>
              <w:rPr>
                <w:sz w:val="16"/>
              </w:rPr>
            </w:pPr>
            <w:r>
              <w:rPr>
                <w:color w:val="FFFFFF"/>
                <w:spacing w:val="-2"/>
                <w:sz w:val="16"/>
              </w:rPr>
              <w:t>Budget</w:t>
            </w:r>
          </w:p>
        </w:tc>
        <w:tc>
          <w:tcPr>
            <w:tcW w:w="753" w:type="dxa"/>
            <w:tcBorders>
              <w:left w:val="single" w:sz="4" w:space="0" w:color="FFFFFF"/>
              <w:right w:val="single" w:sz="4" w:space="0" w:color="FFFFFF"/>
            </w:tcBorders>
            <w:shd w:val="clear" w:color="auto" w:fill="0064A4"/>
          </w:tcPr>
          <w:p w14:paraId="488CA0C0" w14:textId="77777777" w:rsidR="00141B97" w:rsidRDefault="00911D63">
            <w:pPr>
              <w:pStyle w:val="TableParagraph"/>
              <w:spacing w:before="61"/>
              <w:ind w:right="160"/>
              <w:jc w:val="right"/>
              <w:rPr>
                <w:sz w:val="16"/>
              </w:rPr>
            </w:pPr>
            <w:r>
              <w:rPr>
                <w:color w:val="FFFFFF"/>
                <w:spacing w:val="-2"/>
                <w:sz w:val="16"/>
              </w:rPr>
              <w:t>Actual</w:t>
            </w:r>
          </w:p>
        </w:tc>
        <w:tc>
          <w:tcPr>
            <w:tcW w:w="753" w:type="dxa"/>
            <w:tcBorders>
              <w:left w:val="single" w:sz="4" w:space="0" w:color="FFFFFF"/>
              <w:right w:val="single" w:sz="4" w:space="0" w:color="FFFFFF"/>
            </w:tcBorders>
            <w:shd w:val="clear" w:color="auto" w:fill="0064A4"/>
          </w:tcPr>
          <w:p w14:paraId="55FFD372" w14:textId="77777777" w:rsidR="00141B97" w:rsidRDefault="00911D63">
            <w:pPr>
              <w:pStyle w:val="TableParagraph"/>
              <w:spacing w:before="61"/>
              <w:ind w:right="130"/>
              <w:jc w:val="right"/>
              <w:rPr>
                <w:sz w:val="16"/>
              </w:rPr>
            </w:pPr>
            <w:r>
              <w:rPr>
                <w:color w:val="FFFFFF"/>
                <w:spacing w:val="-2"/>
                <w:sz w:val="16"/>
              </w:rPr>
              <w:t>Budget</w:t>
            </w:r>
          </w:p>
        </w:tc>
        <w:tc>
          <w:tcPr>
            <w:tcW w:w="764" w:type="dxa"/>
            <w:tcBorders>
              <w:left w:val="single" w:sz="4" w:space="0" w:color="FFFFFF"/>
              <w:right w:val="nil"/>
            </w:tcBorders>
            <w:shd w:val="clear" w:color="auto" w:fill="0064A4"/>
          </w:tcPr>
          <w:p w14:paraId="525F9341" w14:textId="77777777" w:rsidR="00141B97" w:rsidRDefault="00911D63">
            <w:pPr>
              <w:pStyle w:val="TableParagraph"/>
              <w:spacing w:before="61"/>
              <w:ind w:left="177"/>
              <w:rPr>
                <w:sz w:val="16"/>
              </w:rPr>
            </w:pPr>
            <w:r>
              <w:rPr>
                <w:color w:val="FFFFFF"/>
                <w:spacing w:val="-2"/>
                <w:sz w:val="16"/>
              </w:rPr>
              <w:t>Actual</w:t>
            </w:r>
          </w:p>
        </w:tc>
        <w:tc>
          <w:tcPr>
            <w:tcW w:w="744" w:type="dxa"/>
            <w:tcBorders>
              <w:left w:val="nil"/>
              <w:right w:val="single" w:sz="4" w:space="0" w:color="FFFFFF"/>
            </w:tcBorders>
            <w:shd w:val="clear" w:color="auto" w:fill="0064A4"/>
          </w:tcPr>
          <w:p w14:paraId="37A11276" w14:textId="77777777" w:rsidR="00141B97" w:rsidRDefault="00911D63">
            <w:pPr>
              <w:pStyle w:val="TableParagraph"/>
              <w:spacing w:before="61"/>
              <w:ind w:right="131"/>
              <w:jc w:val="right"/>
              <w:rPr>
                <w:sz w:val="16"/>
              </w:rPr>
            </w:pPr>
            <w:r>
              <w:rPr>
                <w:color w:val="FFFFFF"/>
                <w:spacing w:val="-2"/>
                <w:sz w:val="16"/>
              </w:rPr>
              <w:t>Budget</w:t>
            </w:r>
          </w:p>
        </w:tc>
        <w:tc>
          <w:tcPr>
            <w:tcW w:w="753" w:type="dxa"/>
            <w:tcBorders>
              <w:left w:val="single" w:sz="4" w:space="0" w:color="FFFFFF"/>
              <w:right w:val="single" w:sz="4" w:space="0" w:color="FFFFFF"/>
            </w:tcBorders>
            <w:shd w:val="clear" w:color="auto" w:fill="0064A4"/>
          </w:tcPr>
          <w:p w14:paraId="394DF748" w14:textId="77777777" w:rsidR="00141B97" w:rsidRDefault="00911D63">
            <w:pPr>
              <w:pStyle w:val="TableParagraph"/>
              <w:spacing w:before="61"/>
              <w:ind w:left="178"/>
              <w:rPr>
                <w:sz w:val="16"/>
              </w:rPr>
            </w:pPr>
            <w:r>
              <w:rPr>
                <w:color w:val="FFFFFF"/>
                <w:spacing w:val="-2"/>
                <w:sz w:val="16"/>
              </w:rPr>
              <w:t>Actual</w:t>
            </w:r>
          </w:p>
        </w:tc>
        <w:tc>
          <w:tcPr>
            <w:tcW w:w="874" w:type="dxa"/>
            <w:tcBorders>
              <w:left w:val="single" w:sz="4" w:space="0" w:color="FFFFFF"/>
              <w:right w:val="single" w:sz="4" w:space="0" w:color="FFFFFF"/>
            </w:tcBorders>
            <w:shd w:val="clear" w:color="auto" w:fill="0064A4"/>
          </w:tcPr>
          <w:p w14:paraId="7F146AC1" w14:textId="77777777" w:rsidR="00141B97" w:rsidRDefault="00911D63">
            <w:pPr>
              <w:pStyle w:val="TableParagraph"/>
              <w:spacing w:before="61"/>
              <w:ind w:left="212"/>
              <w:rPr>
                <w:sz w:val="16"/>
              </w:rPr>
            </w:pPr>
            <w:r>
              <w:rPr>
                <w:color w:val="FFFFFF"/>
                <w:spacing w:val="-2"/>
                <w:sz w:val="16"/>
              </w:rPr>
              <w:t>Budget</w:t>
            </w:r>
          </w:p>
        </w:tc>
        <w:tc>
          <w:tcPr>
            <w:tcW w:w="876" w:type="dxa"/>
            <w:tcBorders>
              <w:left w:val="single" w:sz="4" w:space="0" w:color="FFFFFF"/>
              <w:right w:val="single" w:sz="4" w:space="0" w:color="FFFFFF"/>
            </w:tcBorders>
            <w:shd w:val="clear" w:color="auto" w:fill="0064A4"/>
          </w:tcPr>
          <w:p w14:paraId="4D507A01" w14:textId="77777777" w:rsidR="00141B97" w:rsidRDefault="00911D63">
            <w:pPr>
              <w:pStyle w:val="TableParagraph"/>
              <w:spacing w:before="61"/>
              <w:ind w:left="241"/>
              <w:rPr>
                <w:sz w:val="16"/>
              </w:rPr>
            </w:pPr>
            <w:r>
              <w:rPr>
                <w:color w:val="FFFFFF"/>
                <w:spacing w:val="-2"/>
                <w:sz w:val="16"/>
              </w:rPr>
              <w:t>Actual</w:t>
            </w:r>
          </w:p>
        </w:tc>
        <w:tc>
          <w:tcPr>
            <w:tcW w:w="765" w:type="dxa"/>
            <w:tcBorders>
              <w:left w:val="single" w:sz="4" w:space="0" w:color="FFFFFF"/>
              <w:right w:val="nil"/>
            </w:tcBorders>
            <w:shd w:val="clear" w:color="auto" w:fill="0064A4"/>
          </w:tcPr>
          <w:p w14:paraId="23655700" w14:textId="77777777" w:rsidR="00141B97" w:rsidRDefault="00911D63">
            <w:pPr>
              <w:pStyle w:val="TableParagraph"/>
              <w:spacing w:before="61"/>
              <w:ind w:left="269" w:right="258"/>
              <w:jc w:val="center"/>
              <w:rPr>
                <w:sz w:val="16"/>
              </w:rPr>
            </w:pPr>
            <w:r>
              <w:rPr>
                <w:color w:val="FFFFFF"/>
                <w:spacing w:val="-5"/>
                <w:sz w:val="16"/>
              </w:rPr>
              <w:t>ML</w:t>
            </w:r>
          </w:p>
        </w:tc>
        <w:tc>
          <w:tcPr>
            <w:tcW w:w="690" w:type="dxa"/>
            <w:tcBorders>
              <w:left w:val="nil"/>
              <w:right w:val="nil"/>
            </w:tcBorders>
            <w:shd w:val="clear" w:color="auto" w:fill="0064A4"/>
          </w:tcPr>
          <w:p w14:paraId="01C75E4A" w14:textId="77777777" w:rsidR="00141B97" w:rsidRDefault="00911D63">
            <w:pPr>
              <w:pStyle w:val="TableParagraph"/>
              <w:spacing w:before="61"/>
              <w:ind w:left="16"/>
              <w:jc w:val="center"/>
              <w:rPr>
                <w:sz w:val="16"/>
              </w:rPr>
            </w:pPr>
            <w:r>
              <w:rPr>
                <w:color w:val="FFFFFF"/>
                <w:w w:val="99"/>
                <w:sz w:val="16"/>
              </w:rPr>
              <w:t>%</w:t>
            </w:r>
          </w:p>
        </w:tc>
      </w:tr>
      <w:tr w:rsidR="00141B97" w14:paraId="32D545C5" w14:textId="77777777">
        <w:trPr>
          <w:trHeight w:val="314"/>
        </w:trPr>
        <w:tc>
          <w:tcPr>
            <w:tcW w:w="10363" w:type="dxa"/>
            <w:gridSpan w:val="13"/>
            <w:tcBorders>
              <w:left w:val="nil"/>
              <w:right w:val="nil"/>
            </w:tcBorders>
            <w:shd w:val="clear" w:color="auto" w:fill="006CA3"/>
          </w:tcPr>
          <w:p w14:paraId="33508399" w14:textId="77777777" w:rsidR="00141B97" w:rsidRDefault="00911D63">
            <w:pPr>
              <w:pStyle w:val="TableParagraph"/>
              <w:spacing w:before="59"/>
              <w:ind w:left="98"/>
              <w:rPr>
                <w:sz w:val="16"/>
              </w:rPr>
            </w:pPr>
            <w:r>
              <w:rPr>
                <w:color w:val="FFFFFF"/>
                <w:sz w:val="16"/>
              </w:rPr>
              <w:t>Pumped</w:t>
            </w:r>
            <w:r>
              <w:rPr>
                <w:color w:val="FFFFFF"/>
                <w:spacing w:val="-6"/>
                <w:sz w:val="16"/>
              </w:rPr>
              <w:t xml:space="preserve"> </w:t>
            </w:r>
            <w:r>
              <w:rPr>
                <w:color w:val="FFFFFF"/>
                <w:sz w:val="16"/>
              </w:rPr>
              <w:t>Irrigation</w:t>
            </w:r>
            <w:r>
              <w:rPr>
                <w:color w:val="FFFFFF"/>
                <w:spacing w:val="-4"/>
                <w:sz w:val="16"/>
              </w:rPr>
              <w:t xml:space="preserve"> </w:t>
            </w:r>
            <w:r>
              <w:rPr>
                <w:color w:val="FFFFFF"/>
                <w:sz w:val="16"/>
              </w:rPr>
              <w:t>‐</w:t>
            </w:r>
            <w:r>
              <w:rPr>
                <w:color w:val="FFFFFF"/>
                <w:spacing w:val="-4"/>
                <w:sz w:val="16"/>
              </w:rPr>
              <w:t xml:space="preserve"> </w:t>
            </w:r>
            <w:r>
              <w:rPr>
                <w:color w:val="FFFFFF"/>
                <w:sz w:val="16"/>
              </w:rPr>
              <w:t>ML</w:t>
            </w:r>
            <w:r>
              <w:rPr>
                <w:color w:val="FFFFFF"/>
                <w:spacing w:val="-4"/>
                <w:sz w:val="16"/>
              </w:rPr>
              <w:t xml:space="preserve"> </w:t>
            </w:r>
            <w:r>
              <w:rPr>
                <w:color w:val="FFFFFF"/>
                <w:spacing w:val="-5"/>
                <w:sz w:val="16"/>
              </w:rPr>
              <w:t>pa</w:t>
            </w:r>
          </w:p>
        </w:tc>
      </w:tr>
      <w:tr w:rsidR="00141B97" w14:paraId="1F71F0A8" w14:textId="77777777">
        <w:trPr>
          <w:trHeight w:val="314"/>
        </w:trPr>
        <w:tc>
          <w:tcPr>
            <w:tcW w:w="1130" w:type="dxa"/>
            <w:tcBorders>
              <w:left w:val="nil"/>
              <w:right w:val="single" w:sz="4" w:space="0" w:color="FFFFFF"/>
            </w:tcBorders>
            <w:shd w:val="clear" w:color="auto" w:fill="CCE2ED"/>
          </w:tcPr>
          <w:p w14:paraId="3AE27174" w14:textId="77777777" w:rsidR="00141B97" w:rsidRDefault="00911D63">
            <w:pPr>
              <w:pStyle w:val="TableParagraph"/>
              <w:spacing w:before="59"/>
              <w:ind w:left="93"/>
              <w:rPr>
                <w:sz w:val="16"/>
              </w:rPr>
            </w:pPr>
            <w:r>
              <w:rPr>
                <w:spacing w:val="-2"/>
                <w:sz w:val="16"/>
              </w:rPr>
              <w:t>Mildura</w:t>
            </w:r>
          </w:p>
        </w:tc>
        <w:tc>
          <w:tcPr>
            <w:tcW w:w="754" w:type="dxa"/>
            <w:tcBorders>
              <w:left w:val="single" w:sz="4" w:space="0" w:color="FFFFFF"/>
              <w:right w:val="single" w:sz="4" w:space="0" w:color="FFFFFF"/>
            </w:tcBorders>
            <w:shd w:val="clear" w:color="auto" w:fill="CCE2ED"/>
          </w:tcPr>
          <w:p w14:paraId="1C2755A5" w14:textId="77777777" w:rsidR="00141B97" w:rsidRDefault="00911D63">
            <w:pPr>
              <w:pStyle w:val="TableParagraph"/>
              <w:spacing w:before="59"/>
              <w:ind w:right="95"/>
              <w:jc w:val="right"/>
              <w:rPr>
                <w:sz w:val="16"/>
              </w:rPr>
            </w:pPr>
            <w:r>
              <w:rPr>
                <w:spacing w:val="-2"/>
                <w:sz w:val="16"/>
              </w:rPr>
              <w:t>32,899</w:t>
            </w:r>
          </w:p>
        </w:tc>
        <w:tc>
          <w:tcPr>
            <w:tcW w:w="753" w:type="dxa"/>
            <w:tcBorders>
              <w:left w:val="single" w:sz="4" w:space="0" w:color="FFFFFF"/>
              <w:right w:val="single" w:sz="4" w:space="0" w:color="FFFFFF"/>
            </w:tcBorders>
            <w:shd w:val="clear" w:color="auto" w:fill="CCE2ED"/>
          </w:tcPr>
          <w:p w14:paraId="2C0D6100" w14:textId="77777777" w:rsidR="00141B97" w:rsidRDefault="00911D63">
            <w:pPr>
              <w:pStyle w:val="TableParagraph"/>
              <w:spacing w:before="59"/>
              <w:ind w:right="96"/>
              <w:jc w:val="right"/>
              <w:rPr>
                <w:sz w:val="16"/>
              </w:rPr>
            </w:pPr>
            <w:r>
              <w:rPr>
                <w:spacing w:val="-2"/>
                <w:sz w:val="16"/>
              </w:rPr>
              <w:t>35,697</w:t>
            </w:r>
          </w:p>
        </w:tc>
        <w:tc>
          <w:tcPr>
            <w:tcW w:w="754" w:type="dxa"/>
            <w:tcBorders>
              <w:left w:val="single" w:sz="4" w:space="0" w:color="FFFFFF"/>
              <w:right w:val="single" w:sz="4" w:space="0" w:color="FFFFFF"/>
            </w:tcBorders>
            <w:shd w:val="clear" w:color="auto" w:fill="CCE2ED"/>
          </w:tcPr>
          <w:p w14:paraId="184F1079" w14:textId="77777777" w:rsidR="00141B97" w:rsidRDefault="00911D63">
            <w:pPr>
              <w:pStyle w:val="TableParagraph"/>
              <w:spacing w:before="59"/>
              <w:ind w:right="95"/>
              <w:jc w:val="right"/>
              <w:rPr>
                <w:sz w:val="16"/>
              </w:rPr>
            </w:pPr>
            <w:r>
              <w:rPr>
                <w:spacing w:val="-2"/>
                <w:sz w:val="16"/>
              </w:rPr>
              <w:t>33,064</w:t>
            </w:r>
          </w:p>
        </w:tc>
        <w:tc>
          <w:tcPr>
            <w:tcW w:w="753" w:type="dxa"/>
            <w:tcBorders>
              <w:left w:val="single" w:sz="4" w:space="0" w:color="FFFFFF"/>
              <w:right w:val="single" w:sz="4" w:space="0" w:color="FFFFFF"/>
            </w:tcBorders>
            <w:shd w:val="clear" w:color="auto" w:fill="CCE2ED"/>
          </w:tcPr>
          <w:p w14:paraId="2C37B2C6" w14:textId="77777777" w:rsidR="00141B97" w:rsidRDefault="00911D63">
            <w:pPr>
              <w:pStyle w:val="TableParagraph"/>
              <w:spacing w:before="59"/>
              <w:ind w:right="94"/>
              <w:jc w:val="right"/>
              <w:rPr>
                <w:sz w:val="16"/>
              </w:rPr>
            </w:pPr>
            <w:r>
              <w:rPr>
                <w:spacing w:val="-2"/>
                <w:sz w:val="16"/>
              </w:rPr>
              <w:t>32,298</w:t>
            </w:r>
          </w:p>
        </w:tc>
        <w:tc>
          <w:tcPr>
            <w:tcW w:w="753" w:type="dxa"/>
            <w:tcBorders>
              <w:left w:val="single" w:sz="4" w:space="0" w:color="FFFFFF"/>
              <w:right w:val="single" w:sz="4" w:space="0" w:color="FFFFFF"/>
            </w:tcBorders>
            <w:shd w:val="clear" w:color="auto" w:fill="CCE2ED"/>
          </w:tcPr>
          <w:p w14:paraId="6FD20DF9" w14:textId="77777777" w:rsidR="00141B97" w:rsidRDefault="00911D63">
            <w:pPr>
              <w:pStyle w:val="TableParagraph"/>
              <w:spacing w:before="59"/>
              <w:ind w:right="94"/>
              <w:jc w:val="right"/>
              <w:rPr>
                <w:sz w:val="16"/>
              </w:rPr>
            </w:pPr>
            <w:r>
              <w:rPr>
                <w:spacing w:val="-2"/>
                <w:sz w:val="16"/>
              </w:rPr>
              <w:t>33,229</w:t>
            </w:r>
          </w:p>
        </w:tc>
        <w:tc>
          <w:tcPr>
            <w:tcW w:w="764" w:type="dxa"/>
            <w:tcBorders>
              <w:left w:val="single" w:sz="4" w:space="0" w:color="FFFFFF"/>
              <w:right w:val="nil"/>
            </w:tcBorders>
            <w:shd w:val="clear" w:color="auto" w:fill="CCE2ED"/>
          </w:tcPr>
          <w:p w14:paraId="686F0490" w14:textId="77777777" w:rsidR="00141B97" w:rsidRDefault="00911D63">
            <w:pPr>
              <w:pStyle w:val="TableParagraph"/>
              <w:spacing w:before="59"/>
              <w:ind w:right="103"/>
              <w:jc w:val="right"/>
              <w:rPr>
                <w:sz w:val="16"/>
              </w:rPr>
            </w:pPr>
            <w:r>
              <w:rPr>
                <w:spacing w:val="-2"/>
                <w:sz w:val="16"/>
              </w:rPr>
              <w:t>31,010</w:t>
            </w:r>
          </w:p>
        </w:tc>
        <w:tc>
          <w:tcPr>
            <w:tcW w:w="744" w:type="dxa"/>
            <w:tcBorders>
              <w:left w:val="nil"/>
              <w:right w:val="single" w:sz="4" w:space="0" w:color="FFFFFF"/>
            </w:tcBorders>
            <w:shd w:val="clear" w:color="auto" w:fill="CCE2ED"/>
          </w:tcPr>
          <w:p w14:paraId="060EF2F0" w14:textId="77777777" w:rsidR="00141B97" w:rsidRDefault="00911D63">
            <w:pPr>
              <w:pStyle w:val="TableParagraph"/>
              <w:spacing w:before="59"/>
              <w:ind w:right="93"/>
              <w:jc w:val="right"/>
              <w:rPr>
                <w:sz w:val="16"/>
              </w:rPr>
            </w:pPr>
            <w:r>
              <w:rPr>
                <w:spacing w:val="-2"/>
                <w:sz w:val="16"/>
              </w:rPr>
              <w:t>33,395</w:t>
            </w:r>
          </w:p>
        </w:tc>
        <w:tc>
          <w:tcPr>
            <w:tcW w:w="753" w:type="dxa"/>
            <w:tcBorders>
              <w:left w:val="single" w:sz="4" w:space="0" w:color="FFFFFF"/>
              <w:right w:val="single" w:sz="4" w:space="0" w:color="FFFFFF"/>
            </w:tcBorders>
            <w:shd w:val="clear" w:color="auto" w:fill="CCE2ED"/>
          </w:tcPr>
          <w:p w14:paraId="068AA6E0" w14:textId="77777777" w:rsidR="00141B97" w:rsidRDefault="00911D63">
            <w:pPr>
              <w:pStyle w:val="TableParagraph"/>
              <w:spacing w:before="59"/>
              <w:ind w:right="93"/>
              <w:jc w:val="right"/>
              <w:rPr>
                <w:sz w:val="16"/>
              </w:rPr>
            </w:pPr>
            <w:r>
              <w:rPr>
                <w:spacing w:val="-2"/>
                <w:sz w:val="16"/>
              </w:rPr>
              <w:t>28,857</w:t>
            </w:r>
          </w:p>
        </w:tc>
        <w:tc>
          <w:tcPr>
            <w:tcW w:w="874" w:type="dxa"/>
            <w:tcBorders>
              <w:left w:val="single" w:sz="4" w:space="0" w:color="FFFFFF"/>
              <w:right w:val="single" w:sz="4" w:space="0" w:color="FFFFFF"/>
            </w:tcBorders>
            <w:shd w:val="clear" w:color="auto" w:fill="CCE2ED"/>
          </w:tcPr>
          <w:p w14:paraId="10309002" w14:textId="77777777" w:rsidR="00141B97" w:rsidRDefault="00911D63">
            <w:pPr>
              <w:pStyle w:val="TableParagraph"/>
              <w:spacing w:before="59"/>
              <w:ind w:right="91"/>
              <w:jc w:val="right"/>
              <w:rPr>
                <w:sz w:val="16"/>
              </w:rPr>
            </w:pPr>
            <w:r>
              <w:rPr>
                <w:spacing w:val="-2"/>
                <w:sz w:val="16"/>
              </w:rPr>
              <w:t>132,587</w:t>
            </w:r>
          </w:p>
        </w:tc>
        <w:tc>
          <w:tcPr>
            <w:tcW w:w="876" w:type="dxa"/>
            <w:tcBorders>
              <w:left w:val="single" w:sz="4" w:space="0" w:color="FFFFFF"/>
              <w:right w:val="single" w:sz="4" w:space="0" w:color="FFFFFF"/>
            </w:tcBorders>
            <w:shd w:val="clear" w:color="auto" w:fill="CCE2ED"/>
          </w:tcPr>
          <w:p w14:paraId="32114BC8" w14:textId="77777777" w:rsidR="00141B97" w:rsidRDefault="00911D63">
            <w:pPr>
              <w:pStyle w:val="TableParagraph"/>
              <w:spacing w:before="59"/>
              <w:ind w:right="89"/>
              <w:jc w:val="right"/>
              <w:rPr>
                <w:sz w:val="16"/>
              </w:rPr>
            </w:pPr>
            <w:r>
              <w:rPr>
                <w:spacing w:val="-2"/>
                <w:sz w:val="16"/>
              </w:rPr>
              <w:t>127,862</w:t>
            </w:r>
          </w:p>
        </w:tc>
        <w:tc>
          <w:tcPr>
            <w:tcW w:w="765" w:type="dxa"/>
            <w:tcBorders>
              <w:left w:val="single" w:sz="4" w:space="0" w:color="FFFFFF"/>
              <w:right w:val="nil"/>
            </w:tcBorders>
            <w:shd w:val="clear" w:color="auto" w:fill="CCE2ED"/>
          </w:tcPr>
          <w:p w14:paraId="5C951431" w14:textId="77777777" w:rsidR="00141B97" w:rsidRDefault="00911D63">
            <w:pPr>
              <w:pStyle w:val="TableParagraph"/>
              <w:spacing w:before="59"/>
              <w:ind w:right="101"/>
              <w:jc w:val="right"/>
              <w:rPr>
                <w:sz w:val="16"/>
              </w:rPr>
            </w:pPr>
            <w:r>
              <w:rPr>
                <w:spacing w:val="-2"/>
                <w:sz w:val="16"/>
              </w:rPr>
              <w:t>‐4,725</w:t>
            </w:r>
          </w:p>
        </w:tc>
        <w:tc>
          <w:tcPr>
            <w:tcW w:w="690" w:type="dxa"/>
            <w:tcBorders>
              <w:left w:val="nil"/>
              <w:right w:val="nil"/>
            </w:tcBorders>
            <w:shd w:val="clear" w:color="auto" w:fill="CCE2ED"/>
          </w:tcPr>
          <w:p w14:paraId="5E348227" w14:textId="77777777" w:rsidR="00141B97" w:rsidRDefault="00911D63">
            <w:pPr>
              <w:pStyle w:val="TableParagraph"/>
              <w:spacing w:before="59"/>
              <w:ind w:right="90"/>
              <w:jc w:val="right"/>
              <w:rPr>
                <w:sz w:val="16"/>
              </w:rPr>
            </w:pPr>
            <w:r>
              <w:rPr>
                <w:spacing w:val="-2"/>
                <w:sz w:val="16"/>
              </w:rPr>
              <w:t>‐3.6%</w:t>
            </w:r>
          </w:p>
        </w:tc>
      </w:tr>
      <w:tr w:rsidR="00141B97" w14:paraId="2EF24E90" w14:textId="77777777">
        <w:trPr>
          <w:trHeight w:val="314"/>
        </w:trPr>
        <w:tc>
          <w:tcPr>
            <w:tcW w:w="1130" w:type="dxa"/>
            <w:tcBorders>
              <w:left w:val="nil"/>
              <w:right w:val="single" w:sz="4" w:space="0" w:color="FFFFFF"/>
            </w:tcBorders>
            <w:shd w:val="clear" w:color="auto" w:fill="CCE2ED"/>
          </w:tcPr>
          <w:p w14:paraId="712A1261" w14:textId="77777777" w:rsidR="00141B97" w:rsidRDefault="00911D63">
            <w:pPr>
              <w:pStyle w:val="TableParagraph"/>
              <w:spacing w:before="59"/>
              <w:ind w:left="93"/>
              <w:rPr>
                <w:sz w:val="16"/>
              </w:rPr>
            </w:pPr>
            <w:r>
              <w:rPr>
                <w:spacing w:val="-2"/>
                <w:sz w:val="16"/>
              </w:rPr>
              <w:t>Mildura</w:t>
            </w:r>
            <w:r>
              <w:rPr>
                <w:spacing w:val="2"/>
                <w:sz w:val="16"/>
              </w:rPr>
              <w:t xml:space="preserve"> </w:t>
            </w:r>
            <w:r>
              <w:rPr>
                <w:spacing w:val="-5"/>
                <w:sz w:val="16"/>
              </w:rPr>
              <w:t>HPS</w:t>
            </w:r>
          </w:p>
        </w:tc>
        <w:tc>
          <w:tcPr>
            <w:tcW w:w="754" w:type="dxa"/>
            <w:tcBorders>
              <w:left w:val="single" w:sz="4" w:space="0" w:color="FFFFFF"/>
              <w:right w:val="single" w:sz="4" w:space="0" w:color="FFFFFF"/>
            </w:tcBorders>
            <w:shd w:val="clear" w:color="auto" w:fill="CCE2ED"/>
          </w:tcPr>
          <w:p w14:paraId="760FF9AA" w14:textId="77777777" w:rsidR="00141B97" w:rsidRDefault="00911D63">
            <w:pPr>
              <w:pStyle w:val="TableParagraph"/>
              <w:spacing w:before="59"/>
              <w:ind w:right="95"/>
              <w:jc w:val="right"/>
              <w:rPr>
                <w:sz w:val="16"/>
              </w:rPr>
            </w:pPr>
            <w:r>
              <w:rPr>
                <w:spacing w:val="-2"/>
                <w:sz w:val="16"/>
              </w:rPr>
              <w:t>3,504</w:t>
            </w:r>
          </w:p>
        </w:tc>
        <w:tc>
          <w:tcPr>
            <w:tcW w:w="753" w:type="dxa"/>
            <w:tcBorders>
              <w:left w:val="single" w:sz="4" w:space="0" w:color="FFFFFF"/>
              <w:right w:val="single" w:sz="4" w:space="0" w:color="FFFFFF"/>
            </w:tcBorders>
            <w:shd w:val="clear" w:color="auto" w:fill="CCE2ED"/>
          </w:tcPr>
          <w:p w14:paraId="5DE9D449" w14:textId="77777777" w:rsidR="00141B97" w:rsidRDefault="00911D63">
            <w:pPr>
              <w:pStyle w:val="TableParagraph"/>
              <w:spacing w:before="59"/>
              <w:ind w:right="95"/>
              <w:jc w:val="right"/>
              <w:rPr>
                <w:sz w:val="16"/>
              </w:rPr>
            </w:pPr>
            <w:r>
              <w:rPr>
                <w:spacing w:val="-2"/>
                <w:sz w:val="16"/>
              </w:rPr>
              <w:t>4,257</w:t>
            </w:r>
          </w:p>
        </w:tc>
        <w:tc>
          <w:tcPr>
            <w:tcW w:w="754" w:type="dxa"/>
            <w:tcBorders>
              <w:left w:val="single" w:sz="4" w:space="0" w:color="FFFFFF"/>
              <w:right w:val="single" w:sz="4" w:space="0" w:color="FFFFFF"/>
            </w:tcBorders>
            <w:shd w:val="clear" w:color="auto" w:fill="CCE2ED"/>
          </w:tcPr>
          <w:p w14:paraId="6E81D327" w14:textId="77777777" w:rsidR="00141B97" w:rsidRDefault="00911D63">
            <w:pPr>
              <w:pStyle w:val="TableParagraph"/>
              <w:spacing w:before="59"/>
              <w:ind w:right="95"/>
              <w:jc w:val="right"/>
              <w:rPr>
                <w:sz w:val="16"/>
              </w:rPr>
            </w:pPr>
            <w:r>
              <w:rPr>
                <w:spacing w:val="-2"/>
                <w:sz w:val="16"/>
              </w:rPr>
              <w:t>3,521</w:t>
            </w:r>
          </w:p>
        </w:tc>
        <w:tc>
          <w:tcPr>
            <w:tcW w:w="753" w:type="dxa"/>
            <w:tcBorders>
              <w:left w:val="single" w:sz="4" w:space="0" w:color="FFFFFF"/>
              <w:right w:val="single" w:sz="4" w:space="0" w:color="FFFFFF"/>
            </w:tcBorders>
            <w:shd w:val="clear" w:color="auto" w:fill="CCE2ED"/>
          </w:tcPr>
          <w:p w14:paraId="058E68D2" w14:textId="77777777" w:rsidR="00141B97" w:rsidRDefault="00911D63">
            <w:pPr>
              <w:pStyle w:val="TableParagraph"/>
              <w:spacing w:before="59"/>
              <w:ind w:right="94"/>
              <w:jc w:val="right"/>
              <w:rPr>
                <w:sz w:val="16"/>
              </w:rPr>
            </w:pPr>
            <w:r>
              <w:rPr>
                <w:spacing w:val="-2"/>
                <w:sz w:val="16"/>
              </w:rPr>
              <w:t>3,158</w:t>
            </w:r>
          </w:p>
        </w:tc>
        <w:tc>
          <w:tcPr>
            <w:tcW w:w="753" w:type="dxa"/>
            <w:tcBorders>
              <w:left w:val="single" w:sz="4" w:space="0" w:color="FFFFFF"/>
              <w:right w:val="single" w:sz="4" w:space="0" w:color="FFFFFF"/>
            </w:tcBorders>
            <w:shd w:val="clear" w:color="auto" w:fill="CCE2ED"/>
          </w:tcPr>
          <w:p w14:paraId="4357F843" w14:textId="77777777" w:rsidR="00141B97" w:rsidRDefault="00911D63">
            <w:pPr>
              <w:pStyle w:val="TableParagraph"/>
              <w:spacing w:before="59"/>
              <w:ind w:right="93"/>
              <w:jc w:val="right"/>
              <w:rPr>
                <w:sz w:val="16"/>
              </w:rPr>
            </w:pPr>
            <w:r>
              <w:rPr>
                <w:spacing w:val="-2"/>
                <w:sz w:val="16"/>
              </w:rPr>
              <w:t>3,539</w:t>
            </w:r>
          </w:p>
        </w:tc>
        <w:tc>
          <w:tcPr>
            <w:tcW w:w="764" w:type="dxa"/>
            <w:tcBorders>
              <w:left w:val="single" w:sz="4" w:space="0" w:color="FFFFFF"/>
              <w:right w:val="nil"/>
            </w:tcBorders>
            <w:shd w:val="clear" w:color="auto" w:fill="CCE2ED"/>
          </w:tcPr>
          <w:p w14:paraId="20DBF01E" w14:textId="77777777" w:rsidR="00141B97" w:rsidRDefault="00911D63">
            <w:pPr>
              <w:pStyle w:val="TableParagraph"/>
              <w:spacing w:before="59"/>
              <w:ind w:right="103"/>
              <w:jc w:val="right"/>
              <w:rPr>
                <w:sz w:val="16"/>
              </w:rPr>
            </w:pPr>
            <w:r>
              <w:rPr>
                <w:spacing w:val="-2"/>
                <w:sz w:val="16"/>
              </w:rPr>
              <w:t>3,796</w:t>
            </w:r>
          </w:p>
        </w:tc>
        <w:tc>
          <w:tcPr>
            <w:tcW w:w="744" w:type="dxa"/>
            <w:tcBorders>
              <w:left w:val="nil"/>
              <w:right w:val="single" w:sz="4" w:space="0" w:color="FFFFFF"/>
            </w:tcBorders>
            <w:shd w:val="clear" w:color="auto" w:fill="CCE2ED"/>
          </w:tcPr>
          <w:p w14:paraId="30977735" w14:textId="77777777" w:rsidR="00141B97" w:rsidRDefault="00911D63">
            <w:pPr>
              <w:pStyle w:val="TableParagraph"/>
              <w:spacing w:before="59"/>
              <w:ind w:right="93"/>
              <w:jc w:val="right"/>
              <w:rPr>
                <w:sz w:val="16"/>
              </w:rPr>
            </w:pPr>
            <w:r>
              <w:rPr>
                <w:spacing w:val="-2"/>
                <w:sz w:val="16"/>
              </w:rPr>
              <w:t>3,557</w:t>
            </w:r>
          </w:p>
        </w:tc>
        <w:tc>
          <w:tcPr>
            <w:tcW w:w="753" w:type="dxa"/>
            <w:tcBorders>
              <w:left w:val="single" w:sz="4" w:space="0" w:color="FFFFFF"/>
              <w:right w:val="single" w:sz="4" w:space="0" w:color="FFFFFF"/>
            </w:tcBorders>
            <w:shd w:val="clear" w:color="auto" w:fill="CCE2ED"/>
          </w:tcPr>
          <w:p w14:paraId="3DC4EA98" w14:textId="77777777" w:rsidR="00141B97" w:rsidRDefault="00911D63">
            <w:pPr>
              <w:pStyle w:val="TableParagraph"/>
              <w:spacing w:before="59"/>
              <w:ind w:right="92"/>
              <w:jc w:val="right"/>
              <w:rPr>
                <w:sz w:val="16"/>
              </w:rPr>
            </w:pPr>
            <w:r>
              <w:rPr>
                <w:spacing w:val="-2"/>
                <w:sz w:val="16"/>
              </w:rPr>
              <w:t>3,509</w:t>
            </w:r>
          </w:p>
        </w:tc>
        <w:tc>
          <w:tcPr>
            <w:tcW w:w="874" w:type="dxa"/>
            <w:tcBorders>
              <w:left w:val="single" w:sz="4" w:space="0" w:color="FFFFFF"/>
              <w:right w:val="single" w:sz="4" w:space="0" w:color="FFFFFF"/>
            </w:tcBorders>
            <w:shd w:val="clear" w:color="auto" w:fill="CCE2ED"/>
          </w:tcPr>
          <w:p w14:paraId="4668A7DA" w14:textId="77777777" w:rsidR="00141B97" w:rsidRDefault="00911D63">
            <w:pPr>
              <w:pStyle w:val="TableParagraph"/>
              <w:spacing w:before="59"/>
              <w:ind w:right="91"/>
              <w:jc w:val="right"/>
              <w:rPr>
                <w:sz w:val="16"/>
              </w:rPr>
            </w:pPr>
            <w:r>
              <w:rPr>
                <w:spacing w:val="-2"/>
                <w:sz w:val="16"/>
              </w:rPr>
              <w:t>14,121</w:t>
            </w:r>
          </w:p>
        </w:tc>
        <w:tc>
          <w:tcPr>
            <w:tcW w:w="876" w:type="dxa"/>
            <w:tcBorders>
              <w:left w:val="single" w:sz="4" w:space="0" w:color="FFFFFF"/>
              <w:right w:val="single" w:sz="4" w:space="0" w:color="FFFFFF"/>
            </w:tcBorders>
            <w:shd w:val="clear" w:color="auto" w:fill="CCE2ED"/>
          </w:tcPr>
          <w:p w14:paraId="37FC3FD8" w14:textId="77777777" w:rsidR="00141B97" w:rsidRDefault="00911D63">
            <w:pPr>
              <w:pStyle w:val="TableParagraph"/>
              <w:spacing w:before="59"/>
              <w:ind w:right="91"/>
              <w:jc w:val="right"/>
              <w:rPr>
                <w:sz w:val="16"/>
              </w:rPr>
            </w:pPr>
            <w:r>
              <w:rPr>
                <w:spacing w:val="-2"/>
                <w:sz w:val="16"/>
              </w:rPr>
              <w:t>14,720</w:t>
            </w:r>
          </w:p>
        </w:tc>
        <w:tc>
          <w:tcPr>
            <w:tcW w:w="765" w:type="dxa"/>
            <w:tcBorders>
              <w:left w:val="single" w:sz="4" w:space="0" w:color="FFFFFF"/>
              <w:right w:val="nil"/>
            </w:tcBorders>
            <w:shd w:val="clear" w:color="auto" w:fill="CCE2ED"/>
          </w:tcPr>
          <w:p w14:paraId="632A1FA7" w14:textId="77777777" w:rsidR="00141B97" w:rsidRDefault="00911D63">
            <w:pPr>
              <w:pStyle w:val="TableParagraph"/>
              <w:spacing w:before="59"/>
              <w:ind w:right="101"/>
              <w:jc w:val="right"/>
              <w:rPr>
                <w:sz w:val="16"/>
              </w:rPr>
            </w:pPr>
            <w:r>
              <w:rPr>
                <w:spacing w:val="-5"/>
                <w:sz w:val="16"/>
              </w:rPr>
              <w:t>599</w:t>
            </w:r>
          </w:p>
        </w:tc>
        <w:tc>
          <w:tcPr>
            <w:tcW w:w="690" w:type="dxa"/>
            <w:tcBorders>
              <w:left w:val="nil"/>
              <w:right w:val="nil"/>
            </w:tcBorders>
            <w:shd w:val="clear" w:color="auto" w:fill="CCE2ED"/>
          </w:tcPr>
          <w:p w14:paraId="620D2FDE" w14:textId="77777777" w:rsidR="00141B97" w:rsidRDefault="00911D63">
            <w:pPr>
              <w:pStyle w:val="TableParagraph"/>
              <w:spacing w:before="59"/>
              <w:ind w:right="90"/>
              <w:jc w:val="right"/>
              <w:rPr>
                <w:sz w:val="16"/>
              </w:rPr>
            </w:pPr>
            <w:r>
              <w:rPr>
                <w:spacing w:val="-4"/>
                <w:sz w:val="16"/>
              </w:rPr>
              <w:t>4.2%</w:t>
            </w:r>
          </w:p>
        </w:tc>
      </w:tr>
      <w:tr w:rsidR="00141B97" w14:paraId="7CD9DEF4" w14:textId="77777777">
        <w:trPr>
          <w:trHeight w:val="314"/>
        </w:trPr>
        <w:tc>
          <w:tcPr>
            <w:tcW w:w="1130" w:type="dxa"/>
            <w:tcBorders>
              <w:left w:val="nil"/>
              <w:right w:val="single" w:sz="4" w:space="0" w:color="FFFFFF"/>
            </w:tcBorders>
            <w:shd w:val="clear" w:color="auto" w:fill="CCE2ED"/>
          </w:tcPr>
          <w:p w14:paraId="20BCA7E8" w14:textId="77777777" w:rsidR="00141B97" w:rsidRDefault="00911D63">
            <w:pPr>
              <w:pStyle w:val="TableParagraph"/>
              <w:spacing w:before="59"/>
              <w:ind w:left="93"/>
              <w:rPr>
                <w:sz w:val="16"/>
              </w:rPr>
            </w:pPr>
            <w:r>
              <w:rPr>
                <w:spacing w:val="-2"/>
                <w:sz w:val="16"/>
              </w:rPr>
              <w:t>Merbein</w:t>
            </w:r>
          </w:p>
        </w:tc>
        <w:tc>
          <w:tcPr>
            <w:tcW w:w="754" w:type="dxa"/>
            <w:tcBorders>
              <w:left w:val="single" w:sz="4" w:space="0" w:color="FFFFFF"/>
              <w:right w:val="single" w:sz="4" w:space="0" w:color="FFFFFF"/>
            </w:tcBorders>
            <w:shd w:val="clear" w:color="auto" w:fill="CCE2ED"/>
          </w:tcPr>
          <w:p w14:paraId="00822E9A" w14:textId="77777777" w:rsidR="00141B97" w:rsidRDefault="00911D63">
            <w:pPr>
              <w:pStyle w:val="TableParagraph"/>
              <w:spacing w:before="59"/>
              <w:ind w:right="95"/>
              <w:jc w:val="right"/>
              <w:rPr>
                <w:sz w:val="16"/>
              </w:rPr>
            </w:pPr>
            <w:r>
              <w:rPr>
                <w:spacing w:val="-2"/>
                <w:sz w:val="16"/>
              </w:rPr>
              <w:t>19,937</w:t>
            </w:r>
          </w:p>
        </w:tc>
        <w:tc>
          <w:tcPr>
            <w:tcW w:w="753" w:type="dxa"/>
            <w:tcBorders>
              <w:left w:val="single" w:sz="4" w:space="0" w:color="FFFFFF"/>
              <w:right w:val="single" w:sz="4" w:space="0" w:color="FFFFFF"/>
            </w:tcBorders>
            <w:shd w:val="clear" w:color="auto" w:fill="CCE2ED"/>
          </w:tcPr>
          <w:p w14:paraId="1D4269B8" w14:textId="77777777" w:rsidR="00141B97" w:rsidRDefault="00911D63">
            <w:pPr>
              <w:pStyle w:val="TableParagraph"/>
              <w:spacing w:before="59"/>
              <w:ind w:right="95"/>
              <w:jc w:val="right"/>
              <w:rPr>
                <w:sz w:val="16"/>
              </w:rPr>
            </w:pPr>
            <w:r>
              <w:rPr>
                <w:spacing w:val="-2"/>
                <w:sz w:val="16"/>
              </w:rPr>
              <w:t>20292</w:t>
            </w:r>
          </w:p>
        </w:tc>
        <w:tc>
          <w:tcPr>
            <w:tcW w:w="754" w:type="dxa"/>
            <w:tcBorders>
              <w:left w:val="single" w:sz="4" w:space="0" w:color="FFFFFF"/>
              <w:right w:val="single" w:sz="4" w:space="0" w:color="FFFFFF"/>
            </w:tcBorders>
            <w:shd w:val="clear" w:color="auto" w:fill="CCE2ED"/>
          </w:tcPr>
          <w:p w14:paraId="17DE6BEC" w14:textId="77777777" w:rsidR="00141B97" w:rsidRDefault="00911D63">
            <w:pPr>
              <w:pStyle w:val="TableParagraph"/>
              <w:spacing w:before="59"/>
              <w:ind w:right="95"/>
              <w:jc w:val="right"/>
              <w:rPr>
                <w:sz w:val="16"/>
              </w:rPr>
            </w:pPr>
            <w:r>
              <w:rPr>
                <w:spacing w:val="-2"/>
                <w:sz w:val="16"/>
              </w:rPr>
              <w:t>20,335</w:t>
            </w:r>
          </w:p>
        </w:tc>
        <w:tc>
          <w:tcPr>
            <w:tcW w:w="753" w:type="dxa"/>
            <w:tcBorders>
              <w:left w:val="single" w:sz="4" w:space="0" w:color="FFFFFF"/>
              <w:right w:val="single" w:sz="4" w:space="0" w:color="FFFFFF"/>
            </w:tcBorders>
            <w:shd w:val="clear" w:color="auto" w:fill="CCE2ED"/>
          </w:tcPr>
          <w:p w14:paraId="4ADF04ED" w14:textId="77777777" w:rsidR="00141B97" w:rsidRDefault="00911D63">
            <w:pPr>
              <w:pStyle w:val="TableParagraph"/>
              <w:spacing w:before="59"/>
              <w:ind w:right="94"/>
              <w:jc w:val="right"/>
              <w:rPr>
                <w:sz w:val="16"/>
              </w:rPr>
            </w:pPr>
            <w:r>
              <w:rPr>
                <w:spacing w:val="-2"/>
                <w:sz w:val="16"/>
              </w:rPr>
              <w:t>17,347</w:t>
            </w:r>
          </w:p>
        </w:tc>
        <w:tc>
          <w:tcPr>
            <w:tcW w:w="753" w:type="dxa"/>
            <w:tcBorders>
              <w:left w:val="single" w:sz="4" w:space="0" w:color="FFFFFF"/>
              <w:right w:val="single" w:sz="4" w:space="0" w:color="FFFFFF"/>
            </w:tcBorders>
            <w:shd w:val="clear" w:color="auto" w:fill="CCE2ED"/>
          </w:tcPr>
          <w:p w14:paraId="68CCE587" w14:textId="77777777" w:rsidR="00141B97" w:rsidRDefault="00911D63">
            <w:pPr>
              <w:pStyle w:val="TableParagraph"/>
              <w:spacing w:before="59"/>
              <w:ind w:right="94"/>
              <w:jc w:val="right"/>
              <w:rPr>
                <w:sz w:val="16"/>
              </w:rPr>
            </w:pPr>
            <w:r>
              <w:rPr>
                <w:spacing w:val="-2"/>
                <w:sz w:val="16"/>
              </w:rPr>
              <w:t>20,742</w:t>
            </w:r>
          </w:p>
        </w:tc>
        <w:tc>
          <w:tcPr>
            <w:tcW w:w="764" w:type="dxa"/>
            <w:tcBorders>
              <w:left w:val="single" w:sz="4" w:space="0" w:color="FFFFFF"/>
              <w:right w:val="nil"/>
            </w:tcBorders>
            <w:shd w:val="clear" w:color="auto" w:fill="CCE2ED"/>
          </w:tcPr>
          <w:p w14:paraId="178E6415" w14:textId="77777777" w:rsidR="00141B97" w:rsidRDefault="00911D63">
            <w:pPr>
              <w:pStyle w:val="TableParagraph"/>
              <w:spacing w:before="59"/>
              <w:ind w:right="103"/>
              <w:jc w:val="right"/>
              <w:rPr>
                <w:sz w:val="16"/>
              </w:rPr>
            </w:pPr>
            <w:r>
              <w:rPr>
                <w:spacing w:val="-2"/>
                <w:sz w:val="16"/>
              </w:rPr>
              <w:t>16,712</w:t>
            </w:r>
          </w:p>
        </w:tc>
        <w:tc>
          <w:tcPr>
            <w:tcW w:w="744" w:type="dxa"/>
            <w:tcBorders>
              <w:left w:val="nil"/>
              <w:right w:val="single" w:sz="4" w:space="0" w:color="FFFFFF"/>
            </w:tcBorders>
            <w:shd w:val="clear" w:color="auto" w:fill="CCE2ED"/>
          </w:tcPr>
          <w:p w14:paraId="4CA22CA8" w14:textId="77777777" w:rsidR="00141B97" w:rsidRDefault="00911D63">
            <w:pPr>
              <w:pStyle w:val="TableParagraph"/>
              <w:spacing w:before="59"/>
              <w:ind w:right="93"/>
              <w:jc w:val="right"/>
              <w:rPr>
                <w:sz w:val="16"/>
              </w:rPr>
            </w:pPr>
            <w:r>
              <w:rPr>
                <w:spacing w:val="-2"/>
                <w:sz w:val="16"/>
              </w:rPr>
              <w:t>21,157</w:t>
            </w:r>
          </w:p>
        </w:tc>
        <w:tc>
          <w:tcPr>
            <w:tcW w:w="753" w:type="dxa"/>
            <w:tcBorders>
              <w:left w:val="single" w:sz="4" w:space="0" w:color="FFFFFF"/>
              <w:right w:val="single" w:sz="4" w:space="0" w:color="FFFFFF"/>
            </w:tcBorders>
            <w:shd w:val="clear" w:color="auto" w:fill="CCE2ED"/>
          </w:tcPr>
          <w:p w14:paraId="0497F743" w14:textId="77777777" w:rsidR="00141B97" w:rsidRDefault="00911D63">
            <w:pPr>
              <w:pStyle w:val="TableParagraph"/>
              <w:spacing w:before="59"/>
              <w:ind w:right="93"/>
              <w:jc w:val="right"/>
              <w:rPr>
                <w:sz w:val="16"/>
              </w:rPr>
            </w:pPr>
            <w:r>
              <w:rPr>
                <w:spacing w:val="-2"/>
                <w:sz w:val="16"/>
              </w:rPr>
              <w:t>17,484</w:t>
            </w:r>
          </w:p>
        </w:tc>
        <w:tc>
          <w:tcPr>
            <w:tcW w:w="874" w:type="dxa"/>
            <w:tcBorders>
              <w:left w:val="single" w:sz="4" w:space="0" w:color="FFFFFF"/>
              <w:right w:val="single" w:sz="4" w:space="0" w:color="FFFFFF"/>
            </w:tcBorders>
            <w:shd w:val="clear" w:color="auto" w:fill="CCE2ED"/>
          </w:tcPr>
          <w:p w14:paraId="54F56ABA" w14:textId="77777777" w:rsidR="00141B97" w:rsidRDefault="00911D63">
            <w:pPr>
              <w:pStyle w:val="TableParagraph"/>
              <w:spacing w:before="59"/>
              <w:ind w:right="91"/>
              <w:jc w:val="right"/>
              <w:rPr>
                <w:sz w:val="16"/>
              </w:rPr>
            </w:pPr>
            <w:r>
              <w:rPr>
                <w:spacing w:val="-2"/>
                <w:sz w:val="16"/>
              </w:rPr>
              <w:t>82,171</w:t>
            </w:r>
          </w:p>
        </w:tc>
        <w:tc>
          <w:tcPr>
            <w:tcW w:w="876" w:type="dxa"/>
            <w:tcBorders>
              <w:left w:val="single" w:sz="4" w:space="0" w:color="FFFFFF"/>
              <w:right w:val="single" w:sz="4" w:space="0" w:color="FFFFFF"/>
            </w:tcBorders>
            <w:shd w:val="clear" w:color="auto" w:fill="CCE2ED"/>
          </w:tcPr>
          <w:p w14:paraId="660C53E9" w14:textId="77777777" w:rsidR="00141B97" w:rsidRDefault="00911D63">
            <w:pPr>
              <w:pStyle w:val="TableParagraph"/>
              <w:spacing w:before="59"/>
              <w:ind w:right="91"/>
              <w:jc w:val="right"/>
              <w:rPr>
                <w:sz w:val="16"/>
              </w:rPr>
            </w:pPr>
            <w:r>
              <w:rPr>
                <w:spacing w:val="-2"/>
                <w:sz w:val="16"/>
              </w:rPr>
              <w:t>71,835</w:t>
            </w:r>
          </w:p>
        </w:tc>
        <w:tc>
          <w:tcPr>
            <w:tcW w:w="765" w:type="dxa"/>
            <w:tcBorders>
              <w:left w:val="single" w:sz="4" w:space="0" w:color="FFFFFF"/>
              <w:right w:val="nil"/>
            </w:tcBorders>
            <w:shd w:val="clear" w:color="auto" w:fill="CCE2ED"/>
          </w:tcPr>
          <w:p w14:paraId="01FBF288" w14:textId="77777777" w:rsidR="00141B97" w:rsidRDefault="00911D63">
            <w:pPr>
              <w:pStyle w:val="TableParagraph"/>
              <w:spacing w:before="59"/>
              <w:ind w:right="101"/>
              <w:jc w:val="right"/>
              <w:rPr>
                <w:sz w:val="16"/>
              </w:rPr>
            </w:pPr>
            <w:r>
              <w:rPr>
                <w:spacing w:val="-2"/>
                <w:sz w:val="16"/>
              </w:rPr>
              <w:t>‐10,336</w:t>
            </w:r>
          </w:p>
        </w:tc>
        <w:tc>
          <w:tcPr>
            <w:tcW w:w="690" w:type="dxa"/>
            <w:tcBorders>
              <w:left w:val="nil"/>
              <w:right w:val="nil"/>
            </w:tcBorders>
            <w:shd w:val="clear" w:color="auto" w:fill="CCE2ED"/>
          </w:tcPr>
          <w:p w14:paraId="3993F990" w14:textId="77777777" w:rsidR="00141B97" w:rsidRDefault="00911D63">
            <w:pPr>
              <w:pStyle w:val="TableParagraph"/>
              <w:spacing w:before="59"/>
              <w:ind w:right="90"/>
              <w:jc w:val="right"/>
              <w:rPr>
                <w:sz w:val="16"/>
              </w:rPr>
            </w:pPr>
            <w:r>
              <w:rPr>
                <w:spacing w:val="-2"/>
                <w:sz w:val="16"/>
              </w:rPr>
              <w:t>‐12.6%</w:t>
            </w:r>
          </w:p>
        </w:tc>
      </w:tr>
      <w:tr w:rsidR="00141B97" w14:paraId="39ADFBBB" w14:textId="77777777">
        <w:trPr>
          <w:trHeight w:val="314"/>
        </w:trPr>
        <w:tc>
          <w:tcPr>
            <w:tcW w:w="1130" w:type="dxa"/>
            <w:tcBorders>
              <w:left w:val="nil"/>
              <w:right w:val="single" w:sz="4" w:space="0" w:color="FFFFFF"/>
            </w:tcBorders>
            <w:shd w:val="clear" w:color="auto" w:fill="CCE2ED"/>
          </w:tcPr>
          <w:p w14:paraId="4D4B3F16" w14:textId="77777777" w:rsidR="00141B97" w:rsidRDefault="00911D63">
            <w:pPr>
              <w:pStyle w:val="TableParagraph"/>
              <w:spacing w:before="59"/>
              <w:ind w:left="93"/>
              <w:rPr>
                <w:sz w:val="16"/>
              </w:rPr>
            </w:pPr>
            <w:r>
              <w:rPr>
                <w:sz w:val="16"/>
              </w:rPr>
              <w:t>Red</w:t>
            </w:r>
            <w:r>
              <w:rPr>
                <w:spacing w:val="-4"/>
                <w:sz w:val="16"/>
              </w:rPr>
              <w:t xml:space="preserve"> </w:t>
            </w:r>
            <w:r>
              <w:rPr>
                <w:spacing w:val="-2"/>
                <w:sz w:val="16"/>
              </w:rPr>
              <w:t>Cliffs</w:t>
            </w:r>
          </w:p>
        </w:tc>
        <w:tc>
          <w:tcPr>
            <w:tcW w:w="754" w:type="dxa"/>
            <w:tcBorders>
              <w:left w:val="single" w:sz="4" w:space="0" w:color="FFFFFF"/>
              <w:right w:val="single" w:sz="4" w:space="0" w:color="FFFFFF"/>
            </w:tcBorders>
            <w:shd w:val="clear" w:color="auto" w:fill="CCE2ED"/>
          </w:tcPr>
          <w:p w14:paraId="5ABFFFFD" w14:textId="77777777" w:rsidR="00141B97" w:rsidRDefault="00911D63">
            <w:pPr>
              <w:pStyle w:val="TableParagraph"/>
              <w:spacing w:before="59"/>
              <w:ind w:right="95"/>
              <w:jc w:val="right"/>
              <w:rPr>
                <w:sz w:val="16"/>
              </w:rPr>
            </w:pPr>
            <w:r>
              <w:rPr>
                <w:spacing w:val="-2"/>
                <w:sz w:val="16"/>
              </w:rPr>
              <w:t>28,955</w:t>
            </w:r>
          </w:p>
        </w:tc>
        <w:tc>
          <w:tcPr>
            <w:tcW w:w="753" w:type="dxa"/>
            <w:tcBorders>
              <w:left w:val="single" w:sz="4" w:space="0" w:color="FFFFFF"/>
              <w:right w:val="single" w:sz="4" w:space="0" w:color="FFFFFF"/>
            </w:tcBorders>
            <w:shd w:val="clear" w:color="auto" w:fill="CCE2ED"/>
          </w:tcPr>
          <w:p w14:paraId="12CC7450" w14:textId="77777777" w:rsidR="00141B97" w:rsidRDefault="00911D63">
            <w:pPr>
              <w:pStyle w:val="TableParagraph"/>
              <w:spacing w:before="59"/>
              <w:ind w:right="96"/>
              <w:jc w:val="right"/>
              <w:rPr>
                <w:sz w:val="16"/>
              </w:rPr>
            </w:pPr>
            <w:r>
              <w:rPr>
                <w:spacing w:val="-2"/>
                <w:sz w:val="16"/>
              </w:rPr>
              <w:t>30,994</w:t>
            </w:r>
          </w:p>
        </w:tc>
        <w:tc>
          <w:tcPr>
            <w:tcW w:w="754" w:type="dxa"/>
            <w:tcBorders>
              <w:left w:val="single" w:sz="4" w:space="0" w:color="FFFFFF"/>
              <w:right w:val="single" w:sz="4" w:space="0" w:color="FFFFFF"/>
            </w:tcBorders>
            <w:shd w:val="clear" w:color="auto" w:fill="CCE2ED"/>
          </w:tcPr>
          <w:p w14:paraId="4896EE03" w14:textId="77777777" w:rsidR="00141B97" w:rsidRDefault="00911D63">
            <w:pPr>
              <w:pStyle w:val="TableParagraph"/>
              <w:spacing w:before="59"/>
              <w:ind w:right="95"/>
              <w:jc w:val="right"/>
              <w:rPr>
                <w:sz w:val="16"/>
              </w:rPr>
            </w:pPr>
            <w:r>
              <w:rPr>
                <w:spacing w:val="-2"/>
                <w:sz w:val="16"/>
              </w:rPr>
              <w:t>29,390</w:t>
            </w:r>
          </w:p>
        </w:tc>
        <w:tc>
          <w:tcPr>
            <w:tcW w:w="753" w:type="dxa"/>
            <w:tcBorders>
              <w:left w:val="single" w:sz="4" w:space="0" w:color="FFFFFF"/>
              <w:right w:val="single" w:sz="4" w:space="0" w:color="FFFFFF"/>
            </w:tcBorders>
            <w:shd w:val="clear" w:color="auto" w:fill="CCE2ED"/>
          </w:tcPr>
          <w:p w14:paraId="6135D7D5" w14:textId="77777777" w:rsidR="00141B97" w:rsidRDefault="00911D63">
            <w:pPr>
              <w:pStyle w:val="TableParagraph"/>
              <w:spacing w:before="59"/>
              <w:ind w:right="94"/>
              <w:jc w:val="right"/>
              <w:rPr>
                <w:sz w:val="16"/>
              </w:rPr>
            </w:pPr>
            <w:r>
              <w:rPr>
                <w:spacing w:val="-2"/>
                <w:sz w:val="16"/>
              </w:rPr>
              <w:t>27,065</w:t>
            </w:r>
          </w:p>
        </w:tc>
        <w:tc>
          <w:tcPr>
            <w:tcW w:w="753" w:type="dxa"/>
            <w:tcBorders>
              <w:left w:val="single" w:sz="4" w:space="0" w:color="FFFFFF"/>
              <w:right w:val="single" w:sz="4" w:space="0" w:color="FFFFFF"/>
            </w:tcBorders>
            <w:shd w:val="clear" w:color="auto" w:fill="CCE2ED"/>
          </w:tcPr>
          <w:p w14:paraId="69A5F20C" w14:textId="77777777" w:rsidR="00141B97" w:rsidRDefault="00911D63">
            <w:pPr>
              <w:pStyle w:val="TableParagraph"/>
              <w:spacing w:before="59"/>
              <w:ind w:right="94"/>
              <w:jc w:val="right"/>
              <w:rPr>
                <w:sz w:val="16"/>
              </w:rPr>
            </w:pPr>
            <w:r>
              <w:rPr>
                <w:spacing w:val="-2"/>
                <w:sz w:val="16"/>
              </w:rPr>
              <w:t>29,831</w:t>
            </w:r>
          </w:p>
        </w:tc>
        <w:tc>
          <w:tcPr>
            <w:tcW w:w="764" w:type="dxa"/>
            <w:tcBorders>
              <w:left w:val="single" w:sz="4" w:space="0" w:color="FFFFFF"/>
              <w:right w:val="nil"/>
            </w:tcBorders>
            <w:shd w:val="clear" w:color="auto" w:fill="CCE2ED"/>
          </w:tcPr>
          <w:p w14:paraId="1E43B73D" w14:textId="77777777" w:rsidR="00141B97" w:rsidRDefault="00911D63">
            <w:pPr>
              <w:pStyle w:val="TableParagraph"/>
              <w:spacing w:before="59"/>
              <w:ind w:right="103"/>
              <w:jc w:val="right"/>
              <w:rPr>
                <w:sz w:val="16"/>
              </w:rPr>
            </w:pPr>
            <w:r>
              <w:rPr>
                <w:spacing w:val="-2"/>
                <w:sz w:val="16"/>
              </w:rPr>
              <w:t>28,623</w:t>
            </w:r>
          </w:p>
        </w:tc>
        <w:tc>
          <w:tcPr>
            <w:tcW w:w="744" w:type="dxa"/>
            <w:tcBorders>
              <w:left w:val="nil"/>
              <w:right w:val="single" w:sz="4" w:space="0" w:color="FFFFFF"/>
            </w:tcBorders>
            <w:shd w:val="clear" w:color="auto" w:fill="CCE2ED"/>
          </w:tcPr>
          <w:p w14:paraId="26D962D3" w14:textId="77777777" w:rsidR="00141B97" w:rsidRDefault="00911D63">
            <w:pPr>
              <w:pStyle w:val="TableParagraph"/>
              <w:spacing w:before="59"/>
              <w:ind w:right="93"/>
              <w:jc w:val="right"/>
              <w:rPr>
                <w:sz w:val="16"/>
              </w:rPr>
            </w:pPr>
            <w:r>
              <w:rPr>
                <w:spacing w:val="-2"/>
                <w:sz w:val="16"/>
              </w:rPr>
              <w:t>30,278</w:t>
            </w:r>
          </w:p>
        </w:tc>
        <w:tc>
          <w:tcPr>
            <w:tcW w:w="753" w:type="dxa"/>
            <w:tcBorders>
              <w:left w:val="single" w:sz="4" w:space="0" w:color="FFFFFF"/>
              <w:right w:val="single" w:sz="4" w:space="0" w:color="FFFFFF"/>
            </w:tcBorders>
            <w:shd w:val="clear" w:color="auto" w:fill="CCE2ED"/>
          </w:tcPr>
          <w:p w14:paraId="7CB0ECF3" w14:textId="77777777" w:rsidR="00141B97" w:rsidRDefault="00911D63">
            <w:pPr>
              <w:pStyle w:val="TableParagraph"/>
              <w:spacing w:before="59"/>
              <w:ind w:right="93"/>
              <w:jc w:val="right"/>
              <w:rPr>
                <w:sz w:val="16"/>
              </w:rPr>
            </w:pPr>
            <w:r>
              <w:rPr>
                <w:spacing w:val="-2"/>
                <w:sz w:val="16"/>
              </w:rPr>
              <w:t>30,254</w:t>
            </w:r>
          </w:p>
        </w:tc>
        <w:tc>
          <w:tcPr>
            <w:tcW w:w="874" w:type="dxa"/>
            <w:tcBorders>
              <w:left w:val="single" w:sz="4" w:space="0" w:color="FFFFFF"/>
              <w:right w:val="single" w:sz="4" w:space="0" w:color="FFFFFF"/>
            </w:tcBorders>
            <w:shd w:val="clear" w:color="auto" w:fill="CCE2ED"/>
          </w:tcPr>
          <w:p w14:paraId="2A7F1E3D" w14:textId="77777777" w:rsidR="00141B97" w:rsidRDefault="00911D63">
            <w:pPr>
              <w:pStyle w:val="TableParagraph"/>
              <w:spacing w:before="59"/>
              <w:ind w:right="91"/>
              <w:jc w:val="right"/>
              <w:rPr>
                <w:sz w:val="16"/>
              </w:rPr>
            </w:pPr>
            <w:r>
              <w:rPr>
                <w:spacing w:val="-2"/>
                <w:sz w:val="16"/>
              </w:rPr>
              <w:t>118,454</w:t>
            </w:r>
          </w:p>
        </w:tc>
        <w:tc>
          <w:tcPr>
            <w:tcW w:w="876" w:type="dxa"/>
            <w:tcBorders>
              <w:left w:val="single" w:sz="4" w:space="0" w:color="FFFFFF"/>
              <w:right w:val="single" w:sz="4" w:space="0" w:color="FFFFFF"/>
            </w:tcBorders>
            <w:shd w:val="clear" w:color="auto" w:fill="CCE2ED"/>
          </w:tcPr>
          <w:p w14:paraId="69B7DCA7" w14:textId="77777777" w:rsidR="00141B97" w:rsidRDefault="00911D63">
            <w:pPr>
              <w:pStyle w:val="TableParagraph"/>
              <w:spacing w:before="59"/>
              <w:ind w:right="89"/>
              <w:jc w:val="right"/>
              <w:rPr>
                <w:sz w:val="16"/>
              </w:rPr>
            </w:pPr>
            <w:r>
              <w:rPr>
                <w:spacing w:val="-2"/>
                <w:sz w:val="16"/>
              </w:rPr>
              <w:t>116,936</w:t>
            </w:r>
          </w:p>
        </w:tc>
        <w:tc>
          <w:tcPr>
            <w:tcW w:w="765" w:type="dxa"/>
            <w:tcBorders>
              <w:left w:val="single" w:sz="4" w:space="0" w:color="FFFFFF"/>
              <w:right w:val="nil"/>
            </w:tcBorders>
            <w:shd w:val="clear" w:color="auto" w:fill="CCE2ED"/>
          </w:tcPr>
          <w:p w14:paraId="4D98F258" w14:textId="77777777" w:rsidR="00141B97" w:rsidRDefault="00911D63">
            <w:pPr>
              <w:pStyle w:val="TableParagraph"/>
              <w:spacing w:before="59"/>
              <w:ind w:right="101"/>
              <w:jc w:val="right"/>
              <w:rPr>
                <w:sz w:val="16"/>
              </w:rPr>
            </w:pPr>
            <w:r>
              <w:rPr>
                <w:spacing w:val="-2"/>
                <w:sz w:val="16"/>
              </w:rPr>
              <w:t>‐1,518</w:t>
            </w:r>
          </w:p>
        </w:tc>
        <w:tc>
          <w:tcPr>
            <w:tcW w:w="690" w:type="dxa"/>
            <w:tcBorders>
              <w:left w:val="nil"/>
              <w:right w:val="nil"/>
            </w:tcBorders>
            <w:shd w:val="clear" w:color="auto" w:fill="CCE2ED"/>
          </w:tcPr>
          <w:p w14:paraId="7F960796" w14:textId="77777777" w:rsidR="00141B97" w:rsidRDefault="00911D63">
            <w:pPr>
              <w:pStyle w:val="TableParagraph"/>
              <w:spacing w:before="59"/>
              <w:ind w:right="90"/>
              <w:jc w:val="right"/>
              <w:rPr>
                <w:sz w:val="16"/>
              </w:rPr>
            </w:pPr>
            <w:r>
              <w:rPr>
                <w:spacing w:val="-2"/>
                <w:sz w:val="16"/>
              </w:rPr>
              <w:t>‐1.3%</w:t>
            </w:r>
          </w:p>
        </w:tc>
      </w:tr>
      <w:tr w:rsidR="00141B97" w14:paraId="0439AB72" w14:textId="77777777">
        <w:trPr>
          <w:trHeight w:val="315"/>
        </w:trPr>
        <w:tc>
          <w:tcPr>
            <w:tcW w:w="1130" w:type="dxa"/>
            <w:tcBorders>
              <w:left w:val="nil"/>
              <w:right w:val="single" w:sz="4" w:space="0" w:color="FFFFFF"/>
            </w:tcBorders>
            <w:shd w:val="clear" w:color="auto" w:fill="CCE2ED"/>
          </w:tcPr>
          <w:p w14:paraId="629F00AF" w14:textId="77777777" w:rsidR="00141B97" w:rsidRDefault="00911D63">
            <w:pPr>
              <w:pStyle w:val="TableParagraph"/>
              <w:spacing w:before="61"/>
              <w:ind w:left="93"/>
              <w:rPr>
                <w:sz w:val="16"/>
              </w:rPr>
            </w:pPr>
            <w:r>
              <w:rPr>
                <w:spacing w:val="-2"/>
                <w:sz w:val="16"/>
              </w:rPr>
              <w:t>Robinvale</w:t>
            </w:r>
          </w:p>
        </w:tc>
        <w:tc>
          <w:tcPr>
            <w:tcW w:w="754" w:type="dxa"/>
            <w:tcBorders>
              <w:left w:val="single" w:sz="4" w:space="0" w:color="FFFFFF"/>
              <w:right w:val="single" w:sz="4" w:space="0" w:color="FFFFFF"/>
            </w:tcBorders>
            <w:shd w:val="clear" w:color="auto" w:fill="CCE2ED"/>
          </w:tcPr>
          <w:p w14:paraId="08EA2BEB" w14:textId="77777777" w:rsidR="00141B97" w:rsidRDefault="00911D63">
            <w:pPr>
              <w:pStyle w:val="TableParagraph"/>
              <w:spacing w:before="61"/>
              <w:ind w:right="95"/>
              <w:jc w:val="right"/>
              <w:rPr>
                <w:sz w:val="16"/>
              </w:rPr>
            </w:pPr>
            <w:r>
              <w:rPr>
                <w:spacing w:val="-2"/>
                <w:sz w:val="16"/>
              </w:rPr>
              <w:t>22,082</w:t>
            </w:r>
          </w:p>
        </w:tc>
        <w:tc>
          <w:tcPr>
            <w:tcW w:w="753" w:type="dxa"/>
            <w:tcBorders>
              <w:left w:val="single" w:sz="4" w:space="0" w:color="FFFFFF"/>
              <w:right w:val="single" w:sz="4" w:space="0" w:color="FFFFFF"/>
            </w:tcBorders>
            <w:shd w:val="clear" w:color="auto" w:fill="CCE2ED"/>
          </w:tcPr>
          <w:p w14:paraId="1AA390E5" w14:textId="77777777" w:rsidR="00141B97" w:rsidRDefault="00911D63">
            <w:pPr>
              <w:pStyle w:val="TableParagraph"/>
              <w:spacing w:before="61"/>
              <w:ind w:right="96"/>
              <w:jc w:val="right"/>
              <w:rPr>
                <w:sz w:val="16"/>
              </w:rPr>
            </w:pPr>
            <w:r>
              <w:rPr>
                <w:spacing w:val="-2"/>
                <w:sz w:val="16"/>
              </w:rPr>
              <w:t>22,283</w:t>
            </w:r>
          </w:p>
        </w:tc>
        <w:tc>
          <w:tcPr>
            <w:tcW w:w="754" w:type="dxa"/>
            <w:tcBorders>
              <w:left w:val="single" w:sz="4" w:space="0" w:color="FFFFFF"/>
              <w:right w:val="single" w:sz="4" w:space="0" w:color="FFFFFF"/>
            </w:tcBorders>
            <w:shd w:val="clear" w:color="auto" w:fill="CCE2ED"/>
          </w:tcPr>
          <w:p w14:paraId="0FFA4F5A" w14:textId="77777777" w:rsidR="00141B97" w:rsidRDefault="00911D63">
            <w:pPr>
              <w:pStyle w:val="TableParagraph"/>
              <w:spacing w:before="61"/>
              <w:ind w:right="95"/>
              <w:jc w:val="right"/>
              <w:rPr>
                <w:sz w:val="16"/>
              </w:rPr>
            </w:pPr>
            <w:r>
              <w:rPr>
                <w:spacing w:val="-2"/>
                <w:sz w:val="16"/>
              </w:rPr>
              <w:t>22,082</w:t>
            </w:r>
          </w:p>
        </w:tc>
        <w:tc>
          <w:tcPr>
            <w:tcW w:w="753" w:type="dxa"/>
            <w:tcBorders>
              <w:left w:val="single" w:sz="4" w:space="0" w:color="FFFFFF"/>
              <w:right w:val="single" w:sz="4" w:space="0" w:color="FFFFFF"/>
            </w:tcBorders>
            <w:shd w:val="clear" w:color="auto" w:fill="CCE2ED"/>
          </w:tcPr>
          <w:p w14:paraId="10C2DEFA" w14:textId="77777777" w:rsidR="00141B97" w:rsidRDefault="00911D63">
            <w:pPr>
              <w:pStyle w:val="TableParagraph"/>
              <w:spacing w:before="61"/>
              <w:ind w:right="94"/>
              <w:jc w:val="right"/>
              <w:rPr>
                <w:sz w:val="16"/>
              </w:rPr>
            </w:pPr>
            <w:r>
              <w:rPr>
                <w:spacing w:val="-2"/>
                <w:sz w:val="16"/>
              </w:rPr>
              <w:t>19,996</w:t>
            </w:r>
          </w:p>
        </w:tc>
        <w:tc>
          <w:tcPr>
            <w:tcW w:w="753" w:type="dxa"/>
            <w:tcBorders>
              <w:left w:val="single" w:sz="4" w:space="0" w:color="FFFFFF"/>
              <w:right w:val="single" w:sz="4" w:space="0" w:color="FFFFFF"/>
            </w:tcBorders>
            <w:shd w:val="clear" w:color="auto" w:fill="CCE2ED"/>
          </w:tcPr>
          <w:p w14:paraId="1EF0E7E7" w14:textId="77777777" w:rsidR="00141B97" w:rsidRDefault="00911D63">
            <w:pPr>
              <w:pStyle w:val="TableParagraph"/>
              <w:spacing w:before="61"/>
              <w:ind w:right="94"/>
              <w:jc w:val="right"/>
              <w:rPr>
                <w:sz w:val="16"/>
              </w:rPr>
            </w:pPr>
            <w:r>
              <w:rPr>
                <w:spacing w:val="-2"/>
                <w:sz w:val="16"/>
              </w:rPr>
              <w:t>22,082</w:t>
            </w:r>
          </w:p>
        </w:tc>
        <w:tc>
          <w:tcPr>
            <w:tcW w:w="764" w:type="dxa"/>
            <w:tcBorders>
              <w:left w:val="single" w:sz="4" w:space="0" w:color="FFFFFF"/>
              <w:right w:val="nil"/>
            </w:tcBorders>
            <w:shd w:val="clear" w:color="auto" w:fill="CCE2ED"/>
          </w:tcPr>
          <w:p w14:paraId="1AFD3C8C" w14:textId="77777777" w:rsidR="00141B97" w:rsidRDefault="00911D63">
            <w:pPr>
              <w:pStyle w:val="TableParagraph"/>
              <w:spacing w:before="61"/>
              <w:ind w:right="103"/>
              <w:jc w:val="right"/>
              <w:rPr>
                <w:sz w:val="16"/>
              </w:rPr>
            </w:pPr>
            <w:r>
              <w:rPr>
                <w:spacing w:val="-2"/>
                <w:sz w:val="16"/>
              </w:rPr>
              <w:t>19,334</w:t>
            </w:r>
          </w:p>
        </w:tc>
        <w:tc>
          <w:tcPr>
            <w:tcW w:w="744" w:type="dxa"/>
            <w:tcBorders>
              <w:left w:val="nil"/>
              <w:right w:val="single" w:sz="4" w:space="0" w:color="FFFFFF"/>
            </w:tcBorders>
            <w:shd w:val="clear" w:color="auto" w:fill="CCE2ED"/>
          </w:tcPr>
          <w:p w14:paraId="0008801C" w14:textId="77777777" w:rsidR="00141B97" w:rsidRDefault="00911D63">
            <w:pPr>
              <w:pStyle w:val="TableParagraph"/>
              <w:spacing w:before="61"/>
              <w:ind w:right="93"/>
              <w:jc w:val="right"/>
              <w:rPr>
                <w:sz w:val="16"/>
              </w:rPr>
            </w:pPr>
            <w:r>
              <w:rPr>
                <w:spacing w:val="-2"/>
                <w:sz w:val="16"/>
              </w:rPr>
              <w:t>22,082</w:t>
            </w:r>
          </w:p>
        </w:tc>
        <w:tc>
          <w:tcPr>
            <w:tcW w:w="753" w:type="dxa"/>
            <w:tcBorders>
              <w:left w:val="single" w:sz="4" w:space="0" w:color="FFFFFF"/>
              <w:right w:val="single" w:sz="4" w:space="0" w:color="FFFFFF"/>
            </w:tcBorders>
            <w:shd w:val="clear" w:color="auto" w:fill="CCE2ED"/>
          </w:tcPr>
          <w:p w14:paraId="61275CF4" w14:textId="77777777" w:rsidR="00141B97" w:rsidRDefault="00911D63">
            <w:pPr>
              <w:pStyle w:val="TableParagraph"/>
              <w:spacing w:before="61"/>
              <w:ind w:right="93"/>
              <w:jc w:val="right"/>
              <w:rPr>
                <w:sz w:val="16"/>
              </w:rPr>
            </w:pPr>
            <w:r>
              <w:rPr>
                <w:spacing w:val="-2"/>
                <w:sz w:val="16"/>
              </w:rPr>
              <w:t>18,712</w:t>
            </w:r>
          </w:p>
        </w:tc>
        <w:tc>
          <w:tcPr>
            <w:tcW w:w="874" w:type="dxa"/>
            <w:tcBorders>
              <w:left w:val="single" w:sz="4" w:space="0" w:color="FFFFFF"/>
              <w:right w:val="single" w:sz="4" w:space="0" w:color="FFFFFF"/>
            </w:tcBorders>
            <w:shd w:val="clear" w:color="auto" w:fill="CCE2ED"/>
          </w:tcPr>
          <w:p w14:paraId="3E25F1FB" w14:textId="77777777" w:rsidR="00141B97" w:rsidRDefault="00911D63">
            <w:pPr>
              <w:pStyle w:val="TableParagraph"/>
              <w:spacing w:before="61"/>
              <w:ind w:right="91"/>
              <w:jc w:val="right"/>
              <w:rPr>
                <w:sz w:val="16"/>
              </w:rPr>
            </w:pPr>
            <w:r>
              <w:rPr>
                <w:spacing w:val="-2"/>
                <w:sz w:val="16"/>
              </w:rPr>
              <w:t>88,328</w:t>
            </w:r>
          </w:p>
        </w:tc>
        <w:tc>
          <w:tcPr>
            <w:tcW w:w="876" w:type="dxa"/>
            <w:tcBorders>
              <w:left w:val="single" w:sz="4" w:space="0" w:color="FFFFFF"/>
              <w:right w:val="single" w:sz="4" w:space="0" w:color="FFFFFF"/>
            </w:tcBorders>
            <w:shd w:val="clear" w:color="auto" w:fill="CCE2ED"/>
          </w:tcPr>
          <w:p w14:paraId="50C0FC87" w14:textId="77777777" w:rsidR="00141B97" w:rsidRDefault="00911D63">
            <w:pPr>
              <w:pStyle w:val="TableParagraph"/>
              <w:spacing w:before="61"/>
              <w:ind w:right="91"/>
              <w:jc w:val="right"/>
              <w:rPr>
                <w:sz w:val="16"/>
              </w:rPr>
            </w:pPr>
            <w:r>
              <w:rPr>
                <w:spacing w:val="-2"/>
                <w:sz w:val="16"/>
              </w:rPr>
              <w:t>80,325</w:t>
            </w:r>
          </w:p>
        </w:tc>
        <w:tc>
          <w:tcPr>
            <w:tcW w:w="765" w:type="dxa"/>
            <w:tcBorders>
              <w:left w:val="single" w:sz="4" w:space="0" w:color="FFFFFF"/>
              <w:right w:val="nil"/>
            </w:tcBorders>
            <w:shd w:val="clear" w:color="auto" w:fill="CCE2ED"/>
          </w:tcPr>
          <w:p w14:paraId="16A4B8C9" w14:textId="77777777" w:rsidR="00141B97" w:rsidRDefault="00911D63">
            <w:pPr>
              <w:pStyle w:val="TableParagraph"/>
              <w:spacing w:before="61"/>
              <w:ind w:right="101"/>
              <w:jc w:val="right"/>
              <w:rPr>
                <w:sz w:val="16"/>
              </w:rPr>
            </w:pPr>
            <w:r>
              <w:rPr>
                <w:spacing w:val="-2"/>
                <w:sz w:val="16"/>
              </w:rPr>
              <w:t>‐8,003</w:t>
            </w:r>
          </w:p>
        </w:tc>
        <w:tc>
          <w:tcPr>
            <w:tcW w:w="690" w:type="dxa"/>
            <w:tcBorders>
              <w:left w:val="nil"/>
              <w:right w:val="nil"/>
            </w:tcBorders>
            <w:shd w:val="clear" w:color="auto" w:fill="CCE2ED"/>
          </w:tcPr>
          <w:p w14:paraId="4851C685" w14:textId="77777777" w:rsidR="00141B97" w:rsidRDefault="00911D63">
            <w:pPr>
              <w:pStyle w:val="TableParagraph"/>
              <w:spacing w:before="61"/>
              <w:ind w:right="90"/>
              <w:jc w:val="right"/>
              <w:rPr>
                <w:sz w:val="16"/>
              </w:rPr>
            </w:pPr>
            <w:r>
              <w:rPr>
                <w:spacing w:val="-2"/>
                <w:sz w:val="16"/>
              </w:rPr>
              <w:t>‐9.1%</w:t>
            </w:r>
          </w:p>
        </w:tc>
      </w:tr>
      <w:tr w:rsidR="00141B97" w14:paraId="57870913" w14:textId="77777777">
        <w:trPr>
          <w:trHeight w:val="464"/>
        </w:trPr>
        <w:tc>
          <w:tcPr>
            <w:tcW w:w="1130" w:type="dxa"/>
            <w:tcBorders>
              <w:left w:val="nil"/>
              <w:right w:val="single" w:sz="4" w:space="0" w:color="FFFFFF"/>
            </w:tcBorders>
            <w:shd w:val="clear" w:color="auto" w:fill="BFBFBF"/>
          </w:tcPr>
          <w:p w14:paraId="3372E0B3" w14:textId="77777777" w:rsidR="00141B97" w:rsidRDefault="00911D63">
            <w:pPr>
              <w:pStyle w:val="TableParagraph"/>
              <w:spacing w:before="37"/>
              <w:ind w:left="93" w:right="287"/>
              <w:rPr>
                <w:sz w:val="16"/>
              </w:rPr>
            </w:pPr>
            <w:r>
              <w:rPr>
                <w:spacing w:val="-2"/>
                <w:sz w:val="16"/>
              </w:rPr>
              <w:t>Total</w:t>
            </w:r>
            <w:r>
              <w:rPr>
                <w:spacing w:val="40"/>
                <w:sz w:val="16"/>
              </w:rPr>
              <w:t xml:space="preserve"> </w:t>
            </w:r>
            <w:r>
              <w:rPr>
                <w:spacing w:val="-2"/>
                <w:sz w:val="16"/>
              </w:rPr>
              <w:t>Irrigation</w:t>
            </w:r>
          </w:p>
        </w:tc>
        <w:tc>
          <w:tcPr>
            <w:tcW w:w="754" w:type="dxa"/>
            <w:tcBorders>
              <w:left w:val="single" w:sz="4" w:space="0" w:color="FFFFFF"/>
              <w:right w:val="single" w:sz="4" w:space="0" w:color="FFFFFF"/>
            </w:tcBorders>
            <w:shd w:val="clear" w:color="auto" w:fill="BFBFBF"/>
          </w:tcPr>
          <w:p w14:paraId="5922F3EA" w14:textId="77777777" w:rsidR="00141B97" w:rsidRDefault="00911D63">
            <w:pPr>
              <w:pStyle w:val="TableParagraph"/>
              <w:spacing w:before="134"/>
              <w:ind w:right="93"/>
              <w:jc w:val="right"/>
              <w:rPr>
                <w:sz w:val="16"/>
              </w:rPr>
            </w:pPr>
            <w:r>
              <w:rPr>
                <w:spacing w:val="-2"/>
                <w:sz w:val="16"/>
              </w:rPr>
              <w:t>107,377</w:t>
            </w:r>
          </w:p>
        </w:tc>
        <w:tc>
          <w:tcPr>
            <w:tcW w:w="753" w:type="dxa"/>
            <w:tcBorders>
              <w:left w:val="single" w:sz="4" w:space="0" w:color="FFFFFF"/>
              <w:right w:val="single" w:sz="4" w:space="0" w:color="FFFFFF"/>
            </w:tcBorders>
            <w:shd w:val="clear" w:color="auto" w:fill="BFBFBF"/>
          </w:tcPr>
          <w:p w14:paraId="2CF43D63" w14:textId="77777777" w:rsidR="00141B97" w:rsidRDefault="00911D63">
            <w:pPr>
              <w:pStyle w:val="TableParagraph"/>
              <w:spacing w:before="134"/>
              <w:ind w:right="92"/>
              <w:jc w:val="right"/>
              <w:rPr>
                <w:sz w:val="16"/>
              </w:rPr>
            </w:pPr>
            <w:r>
              <w:rPr>
                <w:spacing w:val="-2"/>
                <w:sz w:val="16"/>
              </w:rPr>
              <w:t>113,523</w:t>
            </w:r>
          </w:p>
        </w:tc>
        <w:tc>
          <w:tcPr>
            <w:tcW w:w="754" w:type="dxa"/>
            <w:tcBorders>
              <w:left w:val="single" w:sz="4" w:space="0" w:color="FFFFFF"/>
              <w:right w:val="single" w:sz="4" w:space="0" w:color="FFFFFF"/>
            </w:tcBorders>
            <w:shd w:val="clear" w:color="auto" w:fill="BFBFBF"/>
          </w:tcPr>
          <w:p w14:paraId="30E3CF97" w14:textId="77777777" w:rsidR="00141B97" w:rsidRDefault="00911D63">
            <w:pPr>
              <w:pStyle w:val="TableParagraph"/>
              <w:spacing w:before="134"/>
              <w:ind w:right="93"/>
              <w:jc w:val="right"/>
              <w:rPr>
                <w:sz w:val="16"/>
              </w:rPr>
            </w:pPr>
            <w:r>
              <w:rPr>
                <w:spacing w:val="-2"/>
                <w:sz w:val="16"/>
              </w:rPr>
              <w:t>108,392</w:t>
            </w:r>
          </w:p>
        </w:tc>
        <w:tc>
          <w:tcPr>
            <w:tcW w:w="753" w:type="dxa"/>
            <w:tcBorders>
              <w:left w:val="single" w:sz="4" w:space="0" w:color="FFFFFF"/>
              <w:right w:val="single" w:sz="4" w:space="0" w:color="FFFFFF"/>
            </w:tcBorders>
            <w:shd w:val="clear" w:color="auto" w:fill="BFBFBF"/>
          </w:tcPr>
          <w:p w14:paraId="2E9F986B" w14:textId="77777777" w:rsidR="00141B97" w:rsidRDefault="00911D63">
            <w:pPr>
              <w:pStyle w:val="TableParagraph"/>
              <w:spacing w:before="134"/>
              <w:ind w:right="92"/>
              <w:jc w:val="right"/>
              <w:rPr>
                <w:sz w:val="16"/>
              </w:rPr>
            </w:pPr>
            <w:r>
              <w:rPr>
                <w:spacing w:val="-2"/>
                <w:sz w:val="16"/>
              </w:rPr>
              <w:t>99,864</w:t>
            </w:r>
          </w:p>
        </w:tc>
        <w:tc>
          <w:tcPr>
            <w:tcW w:w="753" w:type="dxa"/>
            <w:tcBorders>
              <w:left w:val="single" w:sz="4" w:space="0" w:color="FFFFFF"/>
              <w:right w:val="single" w:sz="4" w:space="0" w:color="FFFFFF"/>
            </w:tcBorders>
            <w:shd w:val="clear" w:color="auto" w:fill="BFBFBF"/>
          </w:tcPr>
          <w:p w14:paraId="3BA6FC11" w14:textId="77777777" w:rsidR="00141B97" w:rsidRDefault="00911D63">
            <w:pPr>
              <w:pStyle w:val="TableParagraph"/>
              <w:spacing w:before="134"/>
              <w:ind w:right="90"/>
              <w:jc w:val="right"/>
              <w:rPr>
                <w:sz w:val="16"/>
              </w:rPr>
            </w:pPr>
            <w:r>
              <w:rPr>
                <w:spacing w:val="-2"/>
                <w:sz w:val="16"/>
              </w:rPr>
              <w:t>109,423</w:t>
            </w:r>
          </w:p>
        </w:tc>
        <w:tc>
          <w:tcPr>
            <w:tcW w:w="764" w:type="dxa"/>
            <w:tcBorders>
              <w:left w:val="single" w:sz="4" w:space="0" w:color="FFFFFF"/>
              <w:right w:val="nil"/>
            </w:tcBorders>
            <w:shd w:val="clear" w:color="auto" w:fill="BFBFBF"/>
          </w:tcPr>
          <w:p w14:paraId="1020DEB0" w14:textId="77777777" w:rsidR="00141B97" w:rsidRDefault="00911D63">
            <w:pPr>
              <w:pStyle w:val="TableParagraph"/>
              <w:spacing w:before="134"/>
              <w:ind w:right="101"/>
              <w:jc w:val="right"/>
              <w:rPr>
                <w:sz w:val="16"/>
              </w:rPr>
            </w:pPr>
            <w:r>
              <w:rPr>
                <w:spacing w:val="-2"/>
                <w:sz w:val="16"/>
              </w:rPr>
              <w:t>99,475</w:t>
            </w:r>
          </w:p>
        </w:tc>
        <w:tc>
          <w:tcPr>
            <w:tcW w:w="744" w:type="dxa"/>
            <w:tcBorders>
              <w:left w:val="nil"/>
              <w:right w:val="single" w:sz="4" w:space="0" w:color="FFFFFF"/>
            </w:tcBorders>
            <w:shd w:val="clear" w:color="auto" w:fill="BFBFBF"/>
          </w:tcPr>
          <w:p w14:paraId="580BB67D" w14:textId="77777777" w:rsidR="00141B97" w:rsidRDefault="00911D63">
            <w:pPr>
              <w:pStyle w:val="TableParagraph"/>
              <w:spacing w:before="134"/>
              <w:ind w:right="91"/>
              <w:jc w:val="right"/>
              <w:rPr>
                <w:sz w:val="16"/>
              </w:rPr>
            </w:pPr>
            <w:r>
              <w:rPr>
                <w:spacing w:val="-2"/>
                <w:sz w:val="16"/>
              </w:rPr>
              <w:t>110,469</w:t>
            </w:r>
          </w:p>
        </w:tc>
        <w:tc>
          <w:tcPr>
            <w:tcW w:w="753" w:type="dxa"/>
            <w:tcBorders>
              <w:left w:val="single" w:sz="4" w:space="0" w:color="FFFFFF"/>
              <w:right w:val="single" w:sz="4" w:space="0" w:color="FFFFFF"/>
            </w:tcBorders>
            <w:shd w:val="clear" w:color="auto" w:fill="BFBFBF"/>
          </w:tcPr>
          <w:p w14:paraId="5464CE39" w14:textId="77777777" w:rsidR="00141B97" w:rsidRDefault="00911D63">
            <w:pPr>
              <w:pStyle w:val="TableParagraph"/>
              <w:spacing w:before="134"/>
              <w:ind w:right="90"/>
              <w:jc w:val="right"/>
              <w:rPr>
                <w:sz w:val="16"/>
              </w:rPr>
            </w:pPr>
            <w:r>
              <w:rPr>
                <w:spacing w:val="-2"/>
                <w:sz w:val="16"/>
              </w:rPr>
              <w:t>98,816</w:t>
            </w:r>
          </w:p>
        </w:tc>
        <w:tc>
          <w:tcPr>
            <w:tcW w:w="874" w:type="dxa"/>
            <w:tcBorders>
              <w:left w:val="single" w:sz="4" w:space="0" w:color="FFFFFF"/>
              <w:right w:val="single" w:sz="4" w:space="0" w:color="FFFFFF"/>
            </w:tcBorders>
            <w:shd w:val="clear" w:color="auto" w:fill="BFBFBF"/>
          </w:tcPr>
          <w:p w14:paraId="3A48415D" w14:textId="77777777" w:rsidR="00141B97" w:rsidRDefault="00911D63">
            <w:pPr>
              <w:pStyle w:val="TableParagraph"/>
              <w:spacing w:before="134"/>
              <w:ind w:right="89"/>
              <w:jc w:val="right"/>
              <w:rPr>
                <w:sz w:val="16"/>
              </w:rPr>
            </w:pPr>
            <w:r>
              <w:rPr>
                <w:spacing w:val="-2"/>
                <w:sz w:val="16"/>
              </w:rPr>
              <w:t>435,661</w:t>
            </w:r>
          </w:p>
        </w:tc>
        <w:tc>
          <w:tcPr>
            <w:tcW w:w="876" w:type="dxa"/>
            <w:tcBorders>
              <w:left w:val="single" w:sz="4" w:space="0" w:color="FFFFFF"/>
              <w:right w:val="single" w:sz="4" w:space="0" w:color="FFFFFF"/>
            </w:tcBorders>
            <w:shd w:val="clear" w:color="auto" w:fill="BFBFBF"/>
          </w:tcPr>
          <w:p w14:paraId="010072C4" w14:textId="77777777" w:rsidR="00141B97" w:rsidRDefault="00911D63">
            <w:pPr>
              <w:pStyle w:val="TableParagraph"/>
              <w:spacing w:before="134"/>
              <w:ind w:right="87"/>
              <w:jc w:val="right"/>
              <w:rPr>
                <w:sz w:val="16"/>
              </w:rPr>
            </w:pPr>
            <w:r>
              <w:rPr>
                <w:spacing w:val="-2"/>
                <w:sz w:val="16"/>
              </w:rPr>
              <w:t>411,678</w:t>
            </w:r>
          </w:p>
        </w:tc>
        <w:tc>
          <w:tcPr>
            <w:tcW w:w="765" w:type="dxa"/>
            <w:tcBorders>
              <w:left w:val="single" w:sz="4" w:space="0" w:color="FFFFFF"/>
              <w:right w:val="nil"/>
            </w:tcBorders>
            <w:shd w:val="clear" w:color="auto" w:fill="BFBFBF"/>
          </w:tcPr>
          <w:p w14:paraId="093F84DA" w14:textId="77777777" w:rsidR="00141B97" w:rsidRDefault="00911D63">
            <w:pPr>
              <w:pStyle w:val="TableParagraph"/>
              <w:spacing w:before="134"/>
              <w:ind w:right="100"/>
              <w:jc w:val="right"/>
              <w:rPr>
                <w:sz w:val="16"/>
              </w:rPr>
            </w:pPr>
            <w:r>
              <w:rPr>
                <w:spacing w:val="-2"/>
                <w:sz w:val="16"/>
              </w:rPr>
              <w:t>‐23,983</w:t>
            </w:r>
          </w:p>
        </w:tc>
        <w:tc>
          <w:tcPr>
            <w:tcW w:w="690" w:type="dxa"/>
            <w:tcBorders>
              <w:left w:val="nil"/>
              <w:right w:val="nil"/>
            </w:tcBorders>
            <w:shd w:val="clear" w:color="auto" w:fill="BFBFBF"/>
          </w:tcPr>
          <w:p w14:paraId="64D842C9" w14:textId="77777777" w:rsidR="00141B97" w:rsidRDefault="00911D63">
            <w:pPr>
              <w:pStyle w:val="TableParagraph"/>
              <w:spacing w:before="134"/>
              <w:ind w:right="89"/>
              <w:jc w:val="right"/>
              <w:rPr>
                <w:sz w:val="16"/>
              </w:rPr>
            </w:pPr>
            <w:r>
              <w:rPr>
                <w:spacing w:val="-2"/>
                <w:sz w:val="16"/>
              </w:rPr>
              <w:t>‐5.5%</w:t>
            </w:r>
          </w:p>
        </w:tc>
      </w:tr>
      <w:tr w:rsidR="00141B97" w14:paraId="66C5DC41" w14:textId="77777777">
        <w:trPr>
          <w:trHeight w:val="314"/>
        </w:trPr>
        <w:tc>
          <w:tcPr>
            <w:tcW w:w="10363" w:type="dxa"/>
            <w:gridSpan w:val="13"/>
            <w:tcBorders>
              <w:left w:val="nil"/>
              <w:right w:val="nil"/>
            </w:tcBorders>
            <w:shd w:val="clear" w:color="auto" w:fill="006CA3"/>
          </w:tcPr>
          <w:p w14:paraId="7273FD35" w14:textId="77777777" w:rsidR="00141B97" w:rsidRDefault="00911D63">
            <w:pPr>
              <w:pStyle w:val="TableParagraph"/>
              <w:spacing w:before="59"/>
              <w:ind w:left="98"/>
              <w:rPr>
                <w:sz w:val="16"/>
              </w:rPr>
            </w:pPr>
            <w:r>
              <w:rPr>
                <w:color w:val="FFFFFF"/>
                <w:sz w:val="16"/>
              </w:rPr>
              <w:t>Stock</w:t>
            </w:r>
            <w:r>
              <w:rPr>
                <w:color w:val="FFFFFF"/>
                <w:spacing w:val="-4"/>
                <w:sz w:val="16"/>
              </w:rPr>
              <w:t xml:space="preserve"> </w:t>
            </w:r>
            <w:r>
              <w:rPr>
                <w:color w:val="FFFFFF"/>
                <w:sz w:val="16"/>
              </w:rPr>
              <w:t>and</w:t>
            </w:r>
            <w:r>
              <w:rPr>
                <w:color w:val="FFFFFF"/>
                <w:spacing w:val="-5"/>
                <w:sz w:val="16"/>
              </w:rPr>
              <w:t xml:space="preserve"> </w:t>
            </w:r>
            <w:r>
              <w:rPr>
                <w:color w:val="FFFFFF"/>
                <w:sz w:val="16"/>
              </w:rPr>
              <w:t>Domestic</w:t>
            </w:r>
            <w:r>
              <w:rPr>
                <w:color w:val="FFFFFF"/>
                <w:spacing w:val="-3"/>
                <w:sz w:val="16"/>
              </w:rPr>
              <w:t xml:space="preserve"> </w:t>
            </w:r>
            <w:r>
              <w:rPr>
                <w:color w:val="FFFFFF"/>
                <w:sz w:val="16"/>
              </w:rPr>
              <w:t>‐</w:t>
            </w:r>
            <w:r>
              <w:rPr>
                <w:color w:val="FFFFFF"/>
                <w:spacing w:val="-3"/>
                <w:sz w:val="16"/>
              </w:rPr>
              <w:t xml:space="preserve"> </w:t>
            </w:r>
            <w:r>
              <w:rPr>
                <w:color w:val="FFFFFF"/>
                <w:sz w:val="16"/>
              </w:rPr>
              <w:t>ML</w:t>
            </w:r>
            <w:r>
              <w:rPr>
                <w:color w:val="FFFFFF"/>
                <w:spacing w:val="-4"/>
                <w:sz w:val="16"/>
              </w:rPr>
              <w:t xml:space="preserve"> </w:t>
            </w:r>
            <w:r>
              <w:rPr>
                <w:color w:val="FFFFFF"/>
                <w:spacing w:val="-5"/>
                <w:sz w:val="16"/>
              </w:rPr>
              <w:t>pa</w:t>
            </w:r>
          </w:p>
        </w:tc>
      </w:tr>
      <w:tr w:rsidR="00141B97" w14:paraId="30844EFF" w14:textId="77777777">
        <w:trPr>
          <w:trHeight w:val="464"/>
        </w:trPr>
        <w:tc>
          <w:tcPr>
            <w:tcW w:w="1130" w:type="dxa"/>
            <w:tcBorders>
              <w:left w:val="nil"/>
              <w:right w:val="single" w:sz="4" w:space="0" w:color="FFFFFF"/>
            </w:tcBorders>
            <w:shd w:val="clear" w:color="auto" w:fill="CCE2ED"/>
          </w:tcPr>
          <w:p w14:paraId="4F9F8925" w14:textId="77777777" w:rsidR="00141B97" w:rsidRDefault="00911D63">
            <w:pPr>
              <w:pStyle w:val="TableParagraph"/>
              <w:spacing w:before="37"/>
              <w:ind w:left="93" w:right="287"/>
              <w:rPr>
                <w:sz w:val="16"/>
              </w:rPr>
            </w:pPr>
            <w:r>
              <w:rPr>
                <w:spacing w:val="-2"/>
                <w:sz w:val="16"/>
              </w:rPr>
              <w:t>Millewa</w:t>
            </w:r>
            <w:r>
              <w:rPr>
                <w:spacing w:val="40"/>
                <w:sz w:val="16"/>
              </w:rPr>
              <w:t xml:space="preserve"> </w:t>
            </w:r>
            <w:r>
              <w:rPr>
                <w:spacing w:val="-2"/>
                <w:sz w:val="16"/>
              </w:rPr>
              <w:t>Urban</w:t>
            </w:r>
          </w:p>
        </w:tc>
        <w:tc>
          <w:tcPr>
            <w:tcW w:w="754" w:type="dxa"/>
            <w:tcBorders>
              <w:left w:val="single" w:sz="4" w:space="0" w:color="FFFFFF"/>
              <w:right w:val="single" w:sz="4" w:space="0" w:color="FFFFFF"/>
            </w:tcBorders>
            <w:shd w:val="clear" w:color="auto" w:fill="CCE2ED"/>
          </w:tcPr>
          <w:p w14:paraId="365D40FC" w14:textId="77777777" w:rsidR="00141B97" w:rsidRDefault="00911D63">
            <w:pPr>
              <w:pStyle w:val="TableParagraph"/>
              <w:spacing w:before="135"/>
              <w:ind w:right="96"/>
              <w:jc w:val="right"/>
              <w:rPr>
                <w:sz w:val="16"/>
              </w:rPr>
            </w:pPr>
            <w:r>
              <w:rPr>
                <w:spacing w:val="-5"/>
                <w:sz w:val="16"/>
              </w:rPr>
              <w:t>49</w:t>
            </w:r>
          </w:p>
        </w:tc>
        <w:tc>
          <w:tcPr>
            <w:tcW w:w="753" w:type="dxa"/>
            <w:tcBorders>
              <w:left w:val="single" w:sz="4" w:space="0" w:color="FFFFFF"/>
              <w:right w:val="single" w:sz="4" w:space="0" w:color="FFFFFF"/>
            </w:tcBorders>
            <w:shd w:val="clear" w:color="auto" w:fill="CCE2ED"/>
          </w:tcPr>
          <w:p w14:paraId="3292D6A5" w14:textId="77777777" w:rsidR="00141B97" w:rsidRDefault="00911D63">
            <w:pPr>
              <w:pStyle w:val="TableParagraph"/>
              <w:spacing w:before="135"/>
              <w:ind w:right="95"/>
              <w:jc w:val="right"/>
              <w:rPr>
                <w:sz w:val="16"/>
              </w:rPr>
            </w:pPr>
            <w:r>
              <w:rPr>
                <w:spacing w:val="-5"/>
                <w:sz w:val="16"/>
              </w:rPr>
              <w:t>46</w:t>
            </w:r>
          </w:p>
        </w:tc>
        <w:tc>
          <w:tcPr>
            <w:tcW w:w="754" w:type="dxa"/>
            <w:tcBorders>
              <w:left w:val="single" w:sz="4" w:space="0" w:color="FFFFFF"/>
              <w:right w:val="single" w:sz="4" w:space="0" w:color="FFFFFF"/>
            </w:tcBorders>
            <w:shd w:val="clear" w:color="auto" w:fill="CCE2ED"/>
          </w:tcPr>
          <w:p w14:paraId="46413C47" w14:textId="77777777" w:rsidR="00141B97" w:rsidRDefault="00911D63">
            <w:pPr>
              <w:pStyle w:val="TableParagraph"/>
              <w:spacing w:before="135"/>
              <w:ind w:right="95"/>
              <w:jc w:val="right"/>
              <w:rPr>
                <w:sz w:val="16"/>
              </w:rPr>
            </w:pPr>
            <w:r>
              <w:rPr>
                <w:spacing w:val="-5"/>
                <w:sz w:val="16"/>
              </w:rPr>
              <w:t>49</w:t>
            </w:r>
          </w:p>
        </w:tc>
        <w:tc>
          <w:tcPr>
            <w:tcW w:w="753" w:type="dxa"/>
            <w:tcBorders>
              <w:left w:val="single" w:sz="4" w:space="0" w:color="FFFFFF"/>
              <w:right w:val="single" w:sz="4" w:space="0" w:color="FFFFFF"/>
            </w:tcBorders>
            <w:shd w:val="clear" w:color="auto" w:fill="CCE2ED"/>
          </w:tcPr>
          <w:p w14:paraId="4FB23C72" w14:textId="77777777" w:rsidR="00141B97" w:rsidRDefault="00911D63">
            <w:pPr>
              <w:pStyle w:val="TableParagraph"/>
              <w:spacing w:before="135"/>
              <w:ind w:right="95"/>
              <w:jc w:val="right"/>
              <w:rPr>
                <w:sz w:val="16"/>
              </w:rPr>
            </w:pPr>
            <w:r>
              <w:rPr>
                <w:spacing w:val="-5"/>
                <w:sz w:val="16"/>
              </w:rPr>
              <w:t>40</w:t>
            </w:r>
          </w:p>
        </w:tc>
        <w:tc>
          <w:tcPr>
            <w:tcW w:w="753" w:type="dxa"/>
            <w:tcBorders>
              <w:left w:val="single" w:sz="4" w:space="0" w:color="FFFFFF"/>
              <w:right w:val="single" w:sz="4" w:space="0" w:color="FFFFFF"/>
            </w:tcBorders>
            <w:shd w:val="clear" w:color="auto" w:fill="CCE2ED"/>
          </w:tcPr>
          <w:p w14:paraId="03C5B44A" w14:textId="77777777" w:rsidR="00141B97" w:rsidRDefault="00911D63">
            <w:pPr>
              <w:pStyle w:val="TableParagraph"/>
              <w:spacing w:before="135"/>
              <w:ind w:right="93"/>
              <w:jc w:val="right"/>
              <w:rPr>
                <w:sz w:val="16"/>
              </w:rPr>
            </w:pPr>
            <w:r>
              <w:rPr>
                <w:spacing w:val="-5"/>
                <w:sz w:val="16"/>
              </w:rPr>
              <w:t>49</w:t>
            </w:r>
          </w:p>
        </w:tc>
        <w:tc>
          <w:tcPr>
            <w:tcW w:w="764" w:type="dxa"/>
            <w:tcBorders>
              <w:left w:val="single" w:sz="4" w:space="0" w:color="FFFFFF"/>
              <w:right w:val="nil"/>
            </w:tcBorders>
            <w:shd w:val="clear" w:color="auto" w:fill="CCE2ED"/>
          </w:tcPr>
          <w:p w14:paraId="52A22A50" w14:textId="77777777" w:rsidR="00141B97" w:rsidRDefault="00911D63">
            <w:pPr>
              <w:pStyle w:val="TableParagraph"/>
              <w:spacing w:before="135"/>
              <w:ind w:right="103"/>
              <w:jc w:val="right"/>
              <w:rPr>
                <w:sz w:val="16"/>
              </w:rPr>
            </w:pPr>
            <w:r>
              <w:rPr>
                <w:spacing w:val="-5"/>
                <w:sz w:val="16"/>
              </w:rPr>
              <w:t>42</w:t>
            </w:r>
          </w:p>
        </w:tc>
        <w:tc>
          <w:tcPr>
            <w:tcW w:w="744" w:type="dxa"/>
            <w:tcBorders>
              <w:left w:val="nil"/>
              <w:right w:val="single" w:sz="4" w:space="0" w:color="FFFFFF"/>
            </w:tcBorders>
            <w:shd w:val="clear" w:color="auto" w:fill="CCE2ED"/>
          </w:tcPr>
          <w:p w14:paraId="323E1814" w14:textId="77777777" w:rsidR="00141B97" w:rsidRDefault="00911D63">
            <w:pPr>
              <w:pStyle w:val="TableParagraph"/>
              <w:spacing w:before="135"/>
              <w:ind w:right="94"/>
              <w:jc w:val="right"/>
              <w:rPr>
                <w:sz w:val="16"/>
              </w:rPr>
            </w:pPr>
            <w:r>
              <w:rPr>
                <w:spacing w:val="-5"/>
                <w:sz w:val="16"/>
              </w:rPr>
              <w:t>49</w:t>
            </w:r>
          </w:p>
        </w:tc>
        <w:tc>
          <w:tcPr>
            <w:tcW w:w="753" w:type="dxa"/>
            <w:tcBorders>
              <w:left w:val="single" w:sz="4" w:space="0" w:color="FFFFFF"/>
              <w:right w:val="single" w:sz="4" w:space="0" w:color="FFFFFF"/>
            </w:tcBorders>
            <w:shd w:val="clear" w:color="auto" w:fill="CCE2ED"/>
          </w:tcPr>
          <w:p w14:paraId="132E8904" w14:textId="77777777" w:rsidR="00141B97" w:rsidRDefault="00911D63">
            <w:pPr>
              <w:pStyle w:val="TableParagraph"/>
              <w:spacing w:before="135"/>
              <w:ind w:right="92"/>
              <w:jc w:val="right"/>
              <w:rPr>
                <w:sz w:val="16"/>
              </w:rPr>
            </w:pPr>
            <w:r>
              <w:rPr>
                <w:spacing w:val="-5"/>
                <w:sz w:val="16"/>
              </w:rPr>
              <w:t>46</w:t>
            </w:r>
          </w:p>
        </w:tc>
        <w:tc>
          <w:tcPr>
            <w:tcW w:w="874" w:type="dxa"/>
            <w:tcBorders>
              <w:left w:val="single" w:sz="4" w:space="0" w:color="FFFFFF"/>
              <w:right w:val="single" w:sz="4" w:space="0" w:color="FFFFFF"/>
            </w:tcBorders>
            <w:shd w:val="clear" w:color="auto" w:fill="CCE2ED"/>
          </w:tcPr>
          <w:p w14:paraId="7B4B1872" w14:textId="77777777" w:rsidR="00141B97" w:rsidRDefault="00911D63">
            <w:pPr>
              <w:pStyle w:val="TableParagraph"/>
              <w:spacing w:before="135"/>
              <w:ind w:right="91"/>
              <w:jc w:val="right"/>
              <w:rPr>
                <w:sz w:val="16"/>
              </w:rPr>
            </w:pPr>
            <w:r>
              <w:rPr>
                <w:spacing w:val="-5"/>
                <w:sz w:val="16"/>
              </w:rPr>
              <w:t>196</w:t>
            </w:r>
          </w:p>
        </w:tc>
        <w:tc>
          <w:tcPr>
            <w:tcW w:w="876" w:type="dxa"/>
            <w:tcBorders>
              <w:left w:val="single" w:sz="4" w:space="0" w:color="FFFFFF"/>
              <w:right w:val="single" w:sz="4" w:space="0" w:color="FFFFFF"/>
            </w:tcBorders>
            <w:shd w:val="clear" w:color="auto" w:fill="CCE2ED"/>
          </w:tcPr>
          <w:p w14:paraId="0AF5BDE3" w14:textId="77777777" w:rsidR="00141B97" w:rsidRDefault="00911D63">
            <w:pPr>
              <w:pStyle w:val="TableParagraph"/>
              <w:spacing w:before="135"/>
              <w:ind w:right="90"/>
              <w:jc w:val="right"/>
              <w:rPr>
                <w:sz w:val="16"/>
              </w:rPr>
            </w:pPr>
            <w:r>
              <w:rPr>
                <w:spacing w:val="-5"/>
                <w:sz w:val="16"/>
              </w:rPr>
              <w:t>174</w:t>
            </w:r>
          </w:p>
        </w:tc>
        <w:tc>
          <w:tcPr>
            <w:tcW w:w="765" w:type="dxa"/>
            <w:tcBorders>
              <w:left w:val="single" w:sz="4" w:space="0" w:color="FFFFFF"/>
              <w:right w:val="nil"/>
            </w:tcBorders>
            <w:shd w:val="clear" w:color="auto" w:fill="CCE2ED"/>
          </w:tcPr>
          <w:p w14:paraId="1082534F" w14:textId="77777777" w:rsidR="00141B97" w:rsidRDefault="00911D63">
            <w:pPr>
              <w:pStyle w:val="TableParagraph"/>
              <w:spacing w:before="135"/>
              <w:ind w:right="101"/>
              <w:jc w:val="right"/>
              <w:rPr>
                <w:sz w:val="16"/>
              </w:rPr>
            </w:pPr>
            <w:r>
              <w:rPr>
                <w:spacing w:val="-5"/>
                <w:sz w:val="16"/>
              </w:rPr>
              <w:t>‐22</w:t>
            </w:r>
          </w:p>
        </w:tc>
        <w:tc>
          <w:tcPr>
            <w:tcW w:w="690" w:type="dxa"/>
            <w:tcBorders>
              <w:left w:val="nil"/>
              <w:right w:val="nil"/>
            </w:tcBorders>
            <w:shd w:val="clear" w:color="auto" w:fill="CCE2ED"/>
          </w:tcPr>
          <w:p w14:paraId="72C2A6C2" w14:textId="77777777" w:rsidR="00141B97" w:rsidRDefault="00911D63">
            <w:pPr>
              <w:pStyle w:val="TableParagraph"/>
              <w:spacing w:before="135"/>
              <w:ind w:right="90"/>
              <w:jc w:val="right"/>
              <w:rPr>
                <w:sz w:val="16"/>
              </w:rPr>
            </w:pPr>
            <w:r>
              <w:rPr>
                <w:spacing w:val="-2"/>
                <w:sz w:val="16"/>
              </w:rPr>
              <w:t>‐11.2%</w:t>
            </w:r>
          </w:p>
        </w:tc>
      </w:tr>
      <w:tr w:rsidR="00141B97" w14:paraId="200B384A" w14:textId="77777777">
        <w:trPr>
          <w:trHeight w:val="464"/>
        </w:trPr>
        <w:tc>
          <w:tcPr>
            <w:tcW w:w="1130" w:type="dxa"/>
            <w:tcBorders>
              <w:left w:val="nil"/>
              <w:right w:val="single" w:sz="4" w:space="0" w:color="FFFFFF"/>
            </w:tcBorders>
            <w:shd w:val="clear" w:color="auto" w:fill="CCE2ED"/>
          </w:tcPr>
          <w:p w14:paraId="5ED7637A" w14:textId="77777777" w:rsidR="00141B97" w:rsidRDefault="00911D63">
            <w:pPr>
              <w:pStyle w:val="TableParagraph"/>
              <w:spacing w:before="135"/>
              <w:ind w:left="93"/>
              <w:rPr>
                <w:sz w:val="16"/>
              </w:rPr>
            </w:pPr>
            <w:r>
              <w:rPr>
                <w:spacing w:val="-2"/>
                <w:sz w:val="16"/>
              </w:rPr>
              <w:t>Millewa</w:t>
            </w:r>
            <w:r>
              <w:rPr>
                <w:spacing w:val="3"/>
                <w:sz w:val="16"/>
              </w:rPr>
              <w:t xml:space="preserve"> </w:t>
            </w:r>
            <w:r>
              <w:rPr>
                <w:spacing w:val="-2"/>
                <w:sz w:val="16"/>
              </w:rPr>
              <w:t>Rural</w:t>
            </w:r>
          </w:p>
        </w:tc>
        <w:tc>
          <w:tcPr>
            <w:tcW w:w="754" w:type="dxa"/>
            <w:tcBorders>
              <w:left w:val="single" w:sz="4" w:space="0" w:color="FFFFFF"/>
              <w:right w:val="single" w:sz="4" w:space="0" w:color="FFFFFF"/>
            </w:tcBorders>
            <w:shd w:val="clear" w:color="auto" w:fill="CCE2ED"/>
          </w:tcPr>
          <w:p w14:paraId="08102D2B" w14:textId="77777777" w:rsidR="00141B97" w:rsidRDefault="00911D63">
            <w:pPr>
              <w:pStyle w:val="TableParagraph"/>
              <w:spacing w:before="135"/>
              <w:ind w:right="95"/>
              <w:jc w:val="right"/>
              <w:rPr>
                <w:sz w:val="16"/>
              </w:rPr>
            </w:pPr>
            <w:r>
              <w:rPr>
                <w:spacing w:val="-5"/>
                <w:sz w:val="16"/>
              </w:rPr>
              <w:t>850</w:t>
            </w:r>
          </w:p>
        </w:tc>
        <w:tc>
          <w:tcPr>
            <w:tcW w:w="753" w:type="dxa"/>
            <w:tcBorders>
              <w:left w:val="single" w:sz="4" w:space="0" w:color="FFFFFF"/>
              <w:right w:val="single" w:sz="4" w:space="0" w:color="FFFFFF"/>
            </w:tcBorders>
            <w:shd w:val="clear" w:color="auto" w:fill="CCE2ED"/>
          </w:tcPr>
          <w:p w14:paraId="6FA18909" w14:textId="77777777" w:rsidR="00141B97" w:rsidRDefault="00911D63">
            <w:pPr>
              <w:pStyle w:val="TableParagraph"/>
              <w:spacing w:before="135"/>
              <w:ind w:right="95"/>
              <w:jc w:val="right"/>
              <w:rPr>
                <w:sz w:val="16"/>
              </w:rPr>
            </w:pPr>
            <w:r>
              <w:rPr>
                <w:spacing w:val="-5"/>
                <w:sz w:val="16"/>
              </w:rPr>
              <w:t>882</w:t>
            </w:r>
          </w:p>
        </w:tc>
        <w:tc>
          <w:tcPr>
            <w:tcW w:w="754" w:type="dxa"/>
            <w:tcBorders>
              <w:left w:val="single" w:sz="4" w:space="0" w:color="FFFFFF"/>
              <w:right w:val="single" w:sz="4" w:space="0" w:color="FFFFFF"/>
            </w:tcBorders>
            <w:shd w:val="clear" w:color="auto" w:fill="CCE2ED"/>
          </w:tcPr>
          <w:p w14:paraId="231303E0" w14:textId="77777777" w:rsidR="00141B97" w:rsidRDefault="00911D63">
            <w:pPr>
              <w:pStyle w:val="TableParagraph"/>
              <w:spacing w:before="135"/>
              <w:ind w:right="95"/>
              <w:jc w:val="right"/>
              <w:rPr>
                <w:sz w:val="16"/>
              </w:rPr>
            </w:pPr>
            <w:r>
              <w:rPr>
                <w:spacing w:val="-5"/>
                <w:sz w:val="16"/>
              </w:rPr>
              <w:t>850</w:t>
            </w:r>
          </w:p>
        </w:tc>
        <w:tc>
          <w:tcPr>
            <w:tcW w:w="753" w:type="dxa"/>
            <w:tcBorders>
              <w:left w:val="single" w:sz="4" w:space="0" w:color="FFFFFF"/>
              <w:right w:val="single" w:sz="4" w:space="0" w:color="FFFFFF"/>
            </w:tcBorders>
            <w:shd w:val="clear" w:color="auto" w:fill="CCE2ED"/>
          </w:tcPr>
          <w:p w14:paraId="2B88678B" w14:textId="77777777" w:rsidR="00141B97" w:rsidRDefault="00911D63">
            <w:pPr>
              <w:pStyle w:val="TableParagraph"/>
              <w:spacing w:before="135"/>
              <w:ind w:right="94"/>
              <w:jc w:val="right"/>
              <w:rPr>
                <w:sz w:val="16"/>
              </w:rPr>
            </w:pPr>
            <w:r>
              <w:rPr>
                <w:spacing w:val="-5"/>
                <w:sz w:val="16"/>
              </w:rPr>
              <w:t>767</w:t>
            </w:r>
          </w:p>
        </w:tc>
        <w:tc>
          <w:tcPr>
            <w:tcW w:w="753" w:type="dxa"/>
            <w:tcBorders>
              <w:left w:val="single" w:sz="4" w:space="0" w:color="FFFFFF"/>
              <w:right w:val="single" w:sz="4" w:space="0" w:color="FFFFFF"/>
            </w:tcBorders>
            <w:shd w:val="clear" w:color="auto" w:fill="CCE2ED"/>
          </w:tcPr>
          <w:p w14:paraId="2AF8F7B2" w14:textId="77777777" w:rsidR="00141B97" w:rsidRDefault="00911D63">
            <w:pPr>
              <w:pStyle w:val="TableParagraph"/>
              <w:spacing w:before="135"/>
              <w:ind w:right="93"/>
              <w:jc w:val="right"/>
              <w:rPr>
                <w:sz w:val="16"/>
              </w:rPr>
            </w:pPr>
            <w:r>
              <w:rPr>
                <w:spacing w:val="-5"/>
                <w:sz w:val="16"/>
              </w:rPr>
              <w:t>850</w:t>
            </w:r>
          </w:p>
        </w:tc>
        <w:tc>
          <w:tcPr>
            <w:tcW w:w="764" w:type="dxa"/>
            <w:tcBorders>
              <w:left w:val="single" w:sz="4" w:space="0" w:color="FFFFFF"/>
              <w:right w:val="nil"/>
            </w:tcBorders>
            <w:shd w:val="clear" w:color="auto" w:fill="CCE2ED"/>
          </w:tcPr>
          <w:p w14:paraId="2C4323FC" w14:textId="77777777" w:rsidR="00141B97" w:rsidRDefault="00911D63">
            <w:pPr>
              <w:pStyle w:val="TableParagraph"/>
              <w:spacing w:before="135"/>
              <w:ind w:right="103"/>
              <w:jc w:val="right"/>
              <w:rPr>
                <w:sz w:val="16"/>
              </w:rPr>
            </w:pPr>
            <w:r>
              <w:rPr>
                <w:spacing w:val="-5"/>
                <w:sz w:val="16"/>
              </w:rPr>
              <w:t>750</w:t>
            </w:r>
          </w:p>
        </w:tc>
        <w:tc>
          <w:tcPr>
            <w:tcW w:w="744" w:type="dxa"/>
            <w:tcBorders>
              <w:left w:val="nil"/>
              <w:right w:val="single" w:sz="4" w:space="0" w:color="FFFFFF"/>
            </w:tcBorders>
            <w:shd w:val="clear" w:color="auto" w:fill="CCE2ED"/>
          </w:tcPr>
          <w:p w14:paraId="26C8367E" w14:textId="77777777" w:rsidR="00141B97" w:rsidRDefault="00911D63">
            <w:pPr>
              <w:pStyle w:val="TableParagraph"/>
              <w:spacing w:before="135"/>
              <w:ind w:right="93"/>
              <w:jc w:val="right"/>
              <w:rPr>
                <w:sz w:val="16"/>
              </w:rPr>
            </w:pPr>
            <w:r>
              <w:rPr>
                <w:spacing w:val="-5"/>
                <w:sz w:val="16"/>
              </w:rPr>
              <w:t>850</w:t>
            </w:r>
          </w:p>
        </w:tc>
        <w:tc>
          <w:tcPr>
            <w:tcW w:w="753" w:type="dxa"/>
            <w:tcBorders>
              <w:left w:val="single" w:sz="4" w:space="0" w:color="FFFFFF"/>
              <w:right w:val="single" w:sz="4" w:space="0" w:color="FFFFFF"/>
            </w:tcBorders>
            <w:shd w:val="clear" w:color="auto" w:fill="CCE2ED"/>
          </w:tcPr>
          <w:p w14:paraId="69DF3F3C" w14:textId="77777777" w:rsidR="00141B97" w:rsidRDefault="00911D63">
            <w:pPr>
              <w:pStyle w:val="TableParagraph"/>
              <w:spacing w:before="135"/>
              <w:ind w:right="92"/>
              <w:jc w:val="right"/>
              <w:rPr>
                <w:sz w:val="16"/>
              </w:rPr>
            </w:pPr>
            <w:r>
              <w:rPr>
                <w:spacing w:val="-5"/>
                <w:sz w:val="16"/>
              </w:rPr>
              <w:t>816</w:t>
            </w:r>
          </w:p>
        </w:tc>
        <w:tc>
          <w:tcPr>
            <w:tcW w:w="874" w:type="dxa"/>
            <w:tcBorders>
              <w:left w:val="single" w:sz="4" w:space="0" w:color="FFFFFF"/>
              <w:right w:val="single" w:sz="4" w:space="0" w:color="FFFFFF"/>
            </w:tcBorders>
            <w:shd w:val="clear" w:color="auto" w:fill="CCE2ED"/>
          </w:tcPr>
          <w:p w14:paraId="3489DB3B" w14:textId="77777777" w:rsidR="00141B97" w:rsidRDefault="00911D63">
            <w:pPr>
              <w:pStyle w:val="TableParagraph"/>
              <w:spacing w:before="135"/>
              <w:ind w:right="91"/>
              <w:jc w:val="right"/>
              <w:rPr>
                <w:sz w:val="16"/>
              </w:rPr>
            </w:pPr>
            <w:r>
              <w:rPr>
                <w:spacing w:val="-4"/>
                <w:sz w:val="16"/>
              </w:rPr>
              <w:t>3400</w:t>
            </w:r>
          </w:p>
        </w:tc>
        <w:tc>
          <w:tcPr>
            <w:tcW w:w="876" w:type="dxa"/>
            <w:tcBorders>
              <w:left w:val="single" w:sz="4" w:space="0" w:color="FFFFFF"/>
              <w:right w:val="single" w:sz="4" w:space="0" w:color="FFFFFF"/>
            </w:tcBorders>
            <w:shd w:val="clear" w:color="auto" w:fill="CCE2ED"/>
          </w:tcPr>
          <w:p w14:paraId="27AC38A2" w14:textId="77777777" w:rsidR="00141B97" w:rsidRDefault="00911D63">
            <w:pPr>
              <w:pStyle w:val="TableParagraph"/>
              <w:spacing w:before="135"/>
              <w:ind w:right="90"/>
              <w:jc w:val="right"/>
              <w:rPr>
                <w:sz w:val="16"/>
              </w:rPr>
            </w:pPr>
            <w:r>
              <w:rPr>
                <w:spacing w:val="-4"/>
                <w:sz w:val="16"/>
              </w:rPr>
              <w:t>3215</w:t>
            </w:r>
          </w:p>
        </w:tc>
        <w:tc>
          <w:tcPr>
            <w:tcW w:w="765" w:type="dxa"/>
            <w:tcBorders>
              <w:left w:val="single" w:sz="4" w:space="0" w:color="FFFFFF"/>
              <w:right w:val="nil"/>
            </w:tcBorders>
            <w:shd w:val="clear" w:color="auto" w:fill="CCE2ED"/>
          </w:tcPr>
          <w:p w14:paraId="15055C4C" w14:textId="77777777" w:rsidR="00141B97" w:rsidRDefault="00911D63">
            <w:pPr>
              <w:pStyle w:val="TableParagraph"/>
              <w:spacing w:before="135"/>
              <w:ind w:right="101"/>
              <w:jc w:val="right"/>
              <w:rPr>
                <w:sz w:val="16"/>
              </w:rPr>
            </w:pPr>
            <w:r>
              <w:rPr>
                <w:spacing w:val="-4"/>
                <w:sz w:val="16"/>
              </w:rPr>
              <w:t>‐185</w:t>
            </w:r>
          </w:p>
        </w:tc>
        <w:tc>
          <w:tcPr>
            <w:tcW w:w="690" w:type="dxa"/>
            <w:tcBorders>
              <w:left w:val="nil"/>
              <w:right w:val="nil"/>
            </w:tcBorders>
            <w:shd w:val="clear" w:color="auto" w:fill="CCE2ED"/>
          </w:tcPr>
          <w:p w14:paraId="09B280FE" w14:textId="77777777" w:rsidR="00141B97" w:rsidRDefault="00911D63">
            <w:pPr>
              <w:pStyle w:val="TableParagraph"/>
              <w:spacing w:before="135"/>
              <w:ind w:right="90"/>
              <w:jc w:val="right"/>
              <w:rPr>
                <w:sz w:val="16"/>
              </w:rPr>
            </w:pPr>
            <w:r>
              <w:rPr>
                <w:spacing w:val="-2"/>
                <w:sz w:val="16"/>
              </w:rPr>
              <w:t>‐5.4%</w:t>
            </w:r>
          </w:p>
        </w:tc>
      </w:tr>
      <w:tr w:rsidR="00141B97" w14:paraId="7C4F5E25" w14:textId="77777777">
        <w:trPr>
          <w:trHeight w:val="314"/>
        </w:trPr>
        <w:tc>
          <w:tcPr>
            <w:tcW w:w="1130" w:type="dxa"/>
            <w:tcBorders>
              <w:left w:val="nil"/>
              <w:right w:val="single" w:sz="4" w:space="0" w:color="FFFFFF"/>
            </w:tcBorders>
            <w:shd w:val="clear" w:color="auto" w:fill="CCE2ED"/>
          </w:tcPr>
          <w:p w14:paraId="697B2235" w14:textId="77777777" w:rsidR="00141B97" w:rsidRDefault="00911D63">
            <w:pPr>
              <w:pStyle w:val="TableParagraph"/>
              <w:spacing w:before="59"/>
              <w:ind w:left="93"/>
              <w:rPr>
                <w:sz w:val="16"/>
              </w:rPr>
            </w:pPr>
            <w:r>
              <w:rPr>
                <w:sz w:val="16"/>
              </w:rPr>
              <w:t>Yelta</w:t>
            </w:r>
            <w:r>
              <w:rPr>
                <w:spacing w:val="-6"/>
                <w:sz w:val="16"/>
              </w:rPr>
              <w:t xml:space="preserve"> </w:t>
            </w:r>
            <w:r>
              <w:rPr>
                <w:spacing w:val="-5"/>
                <w:sz w:val="16"/>
              </w:rPr>
              <w:t>WWD</w:t>
            </w:r>
          </w:p>
        </w:tc>
        <w:tc>
          <w:tcPr>
            <w:tcW w:w="754" w:type="dxa"/>
            <w:tcBorders>
              <w:left w:val="single" w:sz="4" w:space="0" w:color="FFFFFF"/>
              <w:right w:val="single" w:sz="4" w:space="0" w:color="FFFFFF"/>
            </w:tcBorders>
            <w:shd w:val="clear" w:color="auto" w:fill="CCE2ED"/>
          </w:tcPr>
          <w:p w14:paraId="33DC355A" w14:textId="77777777" w:rsidR="00141B97" w:rsidRDefault="00911D63">
            <w:pPr>
              <w:pStyle w:val="TableParagraph"/>
              <w:spacing w:before="59"/>
              <w:ind w:right="95"/>
              <w:jc w:val="right"/>
              <w:rPr>
                <w:sz w:val="16"/>
              </w:rPr>
            </w:pPr>
            <w:r>
              <w:rPr>
                <w:w w:val="99"/>
                <w:sz w:val="16"/>
              </w:rPr>
              <w:t>5</w:t>
            </w:r>
          </w:p>
        </w:tc>
        <w:tc>
          <w:tcPr>
            <w:tcW w:w="753" w:type="dxa"/>
            <w:tcBorders>
              <w:left w:val="single" w:sz="4" w:space="0" w:color="FFFFFF"/>
              <w:right w:val="single" w:sz="4" w:space="0" w:color="FFFFFF"/>
            </w:tcBorders>
            <w:shd w:val="clear" w:color="auto" w:fill="CCE2ED"/>
          </w:tcPr>
          <w:p w14:paraId="21F79F54" w14:textId="77777777" w:rsidR="00141B97" w:rsidRDefault="00911D63">
            <w:pPr>
              <w:pStyle w:val="TableParagraph"/>
              <w:spacing w:before="59"/>
              <w:ind w:right="95"/>
              <w:jc w:val="right"/>
              <w:rPr>
                <w:sz w:val="16"/>
              </w:rPr>
            </w:pPr>
            <w:r>
              <w:rPr>
                <w:w w:val="99"/>
                <w:sz w:val="16"/>
              </w:rPr>
              <w:t>3</w:t>
            </w:r>
          </w:p>
        </w:tc>
        <w:tc>
          <w:tcPr>
            <w:tcW w:w="754" w:type="dxa"/>
            <w:tcBorders>
              <w:left w:val="single" w:sz="4" w:space="0" w:color="FFFFFF"/>
              <w:right w:val="single" w:sz="4" w:space="0" w:color="FFFFFF"/>
            </w:tcBorders>
            <w:shd w:val="clear" w:color="auto" w:fill="CCE2ED"/>
          </w:tcPr>
          <w:p w14:paraId="33A826FE" w14:textId="77777777" w:rsidR="00141B97" w:rsidRDefault="00911D63">
            <w:pPr>
              <w:pStyle w:val="TableParagraph"/>
              <w:spacing w:before="59"/>
              <w:ind w:right="95"/>
              <w:jc w:val="right"/>
              <w:rPr>
                <w:sz w:val="16"/>
              </w:rPr>
            </w:pPr>
            <w:r>
              <w:rPr>
                <w:w w:val="99"/>
                <w:sz w:val="16"/>
              </w:rPr>
              <w:t>5</w:t>
            </w:r>
          </w:p>
        </w:tc>
        <w:tc>
          <w:tcPr>
            <w:tcW w:w="753" w:type="dxa"/>
            <w:tcBorders>
              <w:left w:val="single" w:sz="4" w:space="0" w:color="FFFFFF"/>
              <w:right w:val="single" w:sz="4" w:space="0" w:color="FFFFFF"/>
            </w:tcBorders>
            <w:shd w:val="clear" w:color="auto" w:fill="CCE2ED"/>
          </w:tcPr>
          <w:p w14:paraId="54ECB111" w14:textId="77777777" w:rsidR="00141B97" w:rsidRDefault="00911D63">
            <w:pPr>
              <w:pStyle w:val="TableParagraph"/>
              <w:spacing w:before="59"/>
              <w:ind w:right="94"/>
              <w:jc w:val="right"/>
              <w:rPr>
                <w:sz w:val="16"/>
              </w:rPr>
            </w:pPr>
            <w:r>
              <w:rPr>
                <w:w w:val="99"/>
                <w:sz w:val="16"/>
              </w:rPr>
              <w:t>3</w:t>
            </w:r>
          </w:p>
        </w:tc>
        <w:tc>
          <w:tcPr>
            <w:tcW w:w="753" w:type="dxa"/>
            <w:tcBorders>
              <w:left w:val="single" w:sz="4" w:space="0" w:color="FFFFFF"/>
              <w:right w:val="single" w:sz="4" w:space="0" w:color="FFFFFF"/>
            </w:tcBorders>
            <w:shd w:val="clear" w:color="auto" w:fill="CCE2ED"/>
          </w:tcPr>
          <w:p w14:paraId="1751CE5E" w14:textId="77777777" w:rsidR="00141B97" w:rsidRDefault="00911D63">
            <w:pPr>
              <w:pStyle w:val="TableParagraph"/>
              <w:spacing w:before="59"/>
              <w:ind w:right="93"/>
              <w:jc w:val="right"/>
              <w:rPr>
                <w:sz w:val="16"/>
              </w:rPr>
            </w:pPr>
            <w:r>
              <w:rPr>
                <w:w w:val="99"/>
                <w:sz w:val="16"/>
              </w:rPr>
              <w:t>5</w:t>
            </w:r>
          </w:p>
        </w:tc>
        <w:tc>
          <w:tcPr>
            <w:tcW w:w="764" w:type="dxa"/>
            <w:tcBorders>
              <w:left w:val="single" w:sz="4" w:space="0" w:color="FFFFFF"/>
              <w:right w:val="nil"/>
            </w:tcBorders>
            <w:shd w:val="clear" w:color="auto" w:fill="CCE2ED"/>
          </w:tcPr>
          <w:p w14:paraId="3866A2EC" w14:textId="77777777" w:rsidR="00141B97" w:rsidRDefault="00911D63">
            <w:pPr>
              <w:pStyle w:val="TableParagraph"/>
              <w:spacing w:before="59"/>
              <w:ind w:right="103"/>
              <w:jc w:val="right"/>
              <w:rPr>
                <w:sz w:val="16"/>
              </w:rPr>
            </w:pPr>
            <w:r>
              <w:rPr>
                <w:spacing w:val="-5"/>
                <w:sz w:val="16"/>
              </w:rPr>
              <w:t>18</w:t>
            </w:r>
          </w:p>
        </w:tc>
        <w:tc>
          <w:tcPr>
            <w:tcW w:w="744" w:type="dxa"/>
            <w:tcBorders>
              <w:left w:val="nil"/>
              <w:right w:val="single" w:sz="4" w:space="0" w:color="FFFFFF"/>
            </w:tcBorders>
            <w:shd w:val="clear" w:color="auto" w:fill="CCE2ED"/>
          </w:tcPr>
          <w:p w14:paraId="5485091B" w14:textId="77777777" w:rsidR="00141B97" w:rsidRDefault="00911D63">
            <w:pPr>
              <w:pStyle w:val="TableParagraph"/>
              <w:spacing w:before="59"/>
              <w:ind w:right="93"/>
              <w:jc w:val="right"/>
              <w:rPr>
                <w:sz w:val="16"/>
              </w:rPr>
            </w:pPr>
            <w:r>
              <w:rPr>
                <w:w w:val="99"/>
                <w:sz w:val="16"/>
              </w:rPr>
              <w:t>5</w:t>
            </w:r>
          </w:p>
        </w:tc>
        <w:tc>
          <w:tcPr>
            <w:tcW w:w="753" w:type="dxa"/>
            <w:tcBorders>
              <w:left w:val="single" w:sz="4" w:space="0" w:color="FFFFFF"/>
              <w:right w:val="single" w:sz="4" w:space="0" w:color="FFFFFF"/>
            </w:tcBorders>
            <w:shd w:val="clear" w:color="auto" w:fill="CCE2ED"/>
          </w:tcPr>
          <w:p w14:paraId="0EBB34B1" w14:textId="77777777" w:rsidR="00141B97" w:rsidRDefault="00911D63">
            <w:pPr>
              <w:pStyle w:val="TableParagraph"/>
              <w:spacing w:before="59"/>
              <w:ind w:right="92"/>
              <w:jc w:val="right"/>
              <w:rPr>
                <w:sz w:val="16"/>
              </w:rPr>
            </w:pPr>
            <w:r>
              <w:rPr>
                <w:w w:val="99"/>
                <w:sz w:val="16"/>
              </w:rPr>
              <w:t>3</w:t>
            </w:r>
          </w:p>
        </w:tc>
        <w:tc>
          <w:tcPr>
            <w:tcW w:w="874" w:type="dxa"/>
            <w:tcBorders>
              <w:left w:val="single" w:sz="4" w:space="0" w:color="FFFFFF"/>
              <w:right w:val="single" w:sz="4" w:space="0" w:color="FFFFFF"/>
            </w:tcBorders>
            <w:shd w:val="clear" w:color="auto" w:fill="CCE2ED"/>
          </w:tcPr>
          <w:p w14:paraId="3EE122A6" w14:textId="77777777" w:rsidR="00141B97" w:rsidRDefault="00911D63">
            <w:pPr>
              <w:pStyle w:val="TableParagraph"/>
              <w:spacing w:before="59"/>
              <w:ind w:right="91"/>
              <w:jc w:val="right"/>
              <w:rPr>
                <w:sz w:val="16"/>
              </w:rPr>
            </w:pPr>
            <w:r>
              <w:rPr>
                <w:spacing w:val="-5"/>
                <w:sz w:val="16"/>
              </w:rPr>
              <w:t>20</w:t>
            </w:r>
          </w:p>
        </w:tc>
        <w:tc>
          <w:tcPr>
            <w:tcW w:w="876" w:type="dxa"/>
            <w:tcBorders>
              <w:left w:val="single" w:sz="4" w:space="0" w:color="FFFFFF"/>
              <w:right w:val="single" w:sz="4" w:space="0" w:color="FFFFFF"/>
            </w:tcBorders>
            <w:shd w:val="clear" w:color="auto" w:fill="CCE2ED"/>
          </w:tcPr>
          <w:p w14:paraId="5DFB048F" w14:textId="77777777" w:rsidR="00141B97" w:rsidRDefault="00911D63">
            <w:pPr>
              <w:pStyle w:val="TableParagraph"/>
              <w:spacing w:before="59"/>
              <w:ind w:right="90"/>
              <w:jc w:val="right"/>
              <w:rPr>
                <w:sz w:val="16"/>
              </w:rPr>
            </w:pPr>
            <w:r>
              <w:rPr>
                <w:spacing w:val="-5"/>
                <w:sz w:val="16"/>
              </w:rPr>
              <w:t>27</w:t>
            </w:r>
          </w:p>
        </w:tc>
        <w:tc>
          <w:tcPr>
            <w:tcW w:w="765" w:type="dxa"/>
            <w:tcBorders>
              <w:left w:val="single" w:sz="4" w:space="0" w:color="FFFFFF"/>
              <w:right w:val="nil"/>
            </w:tcBorders>
            <w:shd w:val="clear" w:color="auto" w:fill="CCE2ED"/>
          </w:tcPr>
          <w:p w14:paraId="01EABC04" w14:textId="77777777" w:rsidR="00141B97" w:rsidRDefault="00911D63">
            <w:pPr>
              <w:pStyle w:val="TableParagraph"/>
              <w:spacing w:before="59"/>
              <w:ind w:right="101"/>
              <w:jc w:val="right"/>
              <w:rPr>
                <w:sz w:val="16"/>
              </w:rPr>
            </w:pPr>
            <w:r>
              <w:rPr>
                <w:spacing w:val="-5"/>
                <w:sz w:val="16"/>
              </w:rPr>
              <w:t>30</w:t>
            </w:r>
          </w:p>
        </w:tc>
        <w:tc>
          <w:tcPr>
            <w:tcW w:w="690" w:type="dxa"/>
            <w:tcBorders>
              <w:left w:val="nil"/>
              <w:right w:val="nil"/>
            </w:tcBorders>
            <w:shd w:val="clear" w:color="auto" w:fill="CCE2ED"/>
          </w:tcPr>
          <w:p w14:paraId="253BA5AB" w14:textId="77777777" w:rsidR="00141B97" w:rsidRDefault="00911D63">
            <w:pPr>
              <w:pStyle w:val="TableParagraph"/>
              <w:spacing w:before="59"/>
              <w:ind w:right="90"/>
              <w:jc w:val="right"/>
              <w:rPr>
                <w:sz w:val="16"/>
              </w:rPr>
            </w:pPr>
            <w:r>
              <w:rPr>
                <w:spacing w:val="-2"/>
                <w:sz w:val="16"/>
              </w:rPr>
              <w:t>150.0%</w:t>
            </w:r>
          </w:p>
        </w:tc>
      </w:tr>
      <w:tr w:rsidR="00141B97" w14:paraId="749F76A1" w14:textId="77777777">
        <w:trPr>
          <w:trHeight w:val="315"/>
        </w:trPr>
        <w:tc>
          <w:tcPr>
            <w:tcW w:w="1130" w:type="dxa"/>
            <w:tcBorders>
              <w:left w:val="nil"/>
              <w:right w:val="single" w:sz="4" w:space="0" w:color="FFFFFF"/>
            </w:tcBorders>
            <w:shd w:val="clear" w:color="auto" w:fill="BFBFBF"/>
          </w:tcPr>
          <w:p w14:paraId="0BDBBE29" w14:textId="77777777" w:rsidR="00141B97" w:rsidRDefault="00911D63">
            <w:pPr>
              <w:pStyle w:val="TableParagraph"/>
              <w:spacing w:before="61"/>
              <w:ind w:left="93"/>
              <w:rPr>
                <w:sz w:val="16"/>
              </w:rPr>
            </w:pPr>
            <w:r>
              <w:rPr>
                <w:sz w:val="16"/>
              </w:rPr>
              <w:t>Total</w:t>
            </w:r>
            <w:r>
              <w:rPr>
                <w:spacing w:val="-5"/>
                <w:sz w:val="16"/>
              </w:rPr>
              <w:t xml:space="preserve"> S&amp;D</w:t>
            </w:r>
          </w:p>
        </w:tc>
        <w:tc>
          <w:tcPr>
            <w:tcW w:w="754" w:type="dxa"/>
            <w:tcBorders>
              <w:left w:val="single" w:sz="4" w:space="0" w:color="FFFFFF"/>
              <w:right w:val="single" w:sz="4" w:space="0" w:color="FFFFFF"/>
            </w:tcBorders>
            <w:shd w:val="clear" w:color="auto" w:fill="BFBFBF"/>
          </w:tcPr>
          <w:p w14:paraId="081AE32B" w14:textId="77777777" w:rsidR="00141B97" w:rsidRDefault="00911D63">
            <w:pPr>
              <w:pStyle w:val="TableParagraph"/>
              <w:spacing w:before="61"/>
              <w:ind w:right="93"/>
              <w:jc w:val="right"/>
              <w:rPr>
                <w:sz w:val="16"/>
              </w:rPr>
            </w:pPr>
            <w:r>
              <w:rPr>
                <w:spacing w:val="-5"/>
                <w:sz w:val="16"/>
              </w:rPr>
              <w:t>904</w:t>
            </w:r>
          </w:p>
        </w:tc>
        <w:tc>
          <w:tcPr>
            <w:tcW w:w="753" w:type="dxa"/>
            <w:tcBorders>
              <w:left w:val="single" w:sz="4" w:space="0" w:color="FFFFFF"/>
              <w:right w:val="single" w:sz="4" w:space="0" w:color="FFFFFF"/>
            </w:tcBorders>
            <w:shd w:val="clear" w:color="auto" w:fill="BFBFBF"/>
          </w:tcPr>
          <w:p w14:paraId="0A89ABE9" w14:textId="77777777" w:rsidR="00141B97" w:rsidRDefault="00911D63">
            <w:pPr>
              <w:pStyle w:val="TableParagraph"/>
              <w:spacing w:before="61"/>
              <w:ind w:right="93"/>
              <w:jc w:val="right"/>
              <w:rPr>
                <w:sz w:val="16"/>
              </w:rPr>
            </w:pPr>
            <w:r>
              <w:rPr>
                <w:spacing w:val="-5"/>
                <w:sz w:val="16"/>
              </w:rPr>
              <w:t>931</w:t>
            </w:r>
          </w:p>
        </w:tc>
        <w:tc>
          <w:tcPr>
            <w:tcW w:w="754" w:type="dxa"/>
            <w:tcBorders>
              <w:left w:val="single" w:sz="4" w:space="0" w:color="FFFFFF"/>
              <w:right w:val="single" w:sz="4" w:space="0" w:color="FFFFFF"/>
            </w:tcBorders>
            <w:shd w:val="clear" w:color="auto" w:fill="BFBFBF"/>
          </w:tcPr>
          <w:p w14:paraId="5E94C177" w14:textId="77777777" w:rsidR="00141B97" w:rsidRDefault="00911D63">
            <w:pPr>
              <w:pStyle w:val="TableParagraph"/>
              <w:spacing w:before="61"/>
              <w:ind w:right="93"/>
              <w:jc w:val="right"/>
              <w:rPr>
                <w:sz w:val="16"/>
              </w:rPr>
            </w:pPr>
            <w:r>
              <w:rPr>
                <w:spacing w:val="-5"/>
                <w:sz w:val="16"/>
              </w:rPr>
              <w:t>904</w:t>
            </w:r>
          </w:p>
        </w:tc>
        <w:tc>
          <w:tcPr>
            <w:tcW w:w="753" w:type="dxa"/>
            <w:tcBorders>
              <w:left w:val="single" w:sz="4" w:space="0" w:color="FFFFFF"/>
              <w:right w:val="single" w:sz="4" w:space="0" w:color="FFFFFF"/>
            </w:tcBorders>
            <w:shd w:val="clear" w:color="auto" w:fill="BFBFBF"/>
          </w:tcPr>
          <w:p w14:paraId="0BCED870" w14:textId="77777777" w:rsidR="00141B97" w:rsidRDefault="00911D63">
            <w:pPr>
              <w:pStyle w:val="TableParagraph"/>
              <w:spacing w:before="61"/>
              <w:ind w:right="92"/>
              <w:jc w:val="right"/>
              <w:rPr>
                <w:sz w:val="16"/>
              </w:rPr>
            </w:pPr>
            <w:r>
              <w:rPr>
                <w:spacing w:val="-5"/>
                <w:sz w:val="16"/>
              </w:rPr>
              <w:t>810</w:t>
            </w:r>
          </w:p>
        </w:tc>
        <w:tc>
          <w:tcPr>
            <w:tcW w:w="753" w:type="dxa"/>
            <w:tcBorders>
              <w:left w:val="single" w:sz="4" w:space="0" w:color="FFFFFF"/>
              <w:right w:val="single" w:sz="4" w:space="0" w:color="FFFFFF"/>
            </w:tcBorders>
            <w:shd w:val="clear" w:color="auto" w:fill="BFBFBF"/>
          </w:tcPr>
          <w:p w14:paraId="1951EAE0" w14:textId="77777777" w:rsidR="00141B97" w:rsidRDefault="00911D63">
            <w:pPr>
              <w:pStyle w:val="TableParagraph"/>
              <w:spacing w:before="61"/>
              <w:ind w:right="91"/>
              <w:jc w:val="right"/>
              <w:rPr>
                <w:sz w:val="16"/>
              </w:rPr>
            </w:pPr>
            <w:r>
              <w:rPr>
                <w:spacing w:val="-5"/>
                <w:sz w:val="16"/>
              </w:rPr>
              <w:t>904</w:t>
            </w:r>
          </w:p>
        </w:tc>
        <w:tc>
          <w:tcPr>
            <w:tcW w:w="764" w:type="dxa"/>
            <w:tcBorders>
              <w:left w:val="single" w:sz="4" w:space="0" w:color="FFFFFF"/>
              <w:right w:val="nil"/>
            </w:tcBorders>
            <w:shd w:val="clear" w:color="auto" w:fill="BFBFBF"/>
          </w:tcPr>
          <w:p w14:paraId="76AC50F7" w14:textId="77777777" w:rsidR="00141B97" w:rsidRDefault="00911D63">
            <w:pPr>
              <w:pStyle w:val="TableParagraph"/>
              <w:spacing w:before="61"/>
              <w:ind w:right="101"/>
              <w:jc w:val="right"/>
              <w:rPr>
                <w:sz w:val="16"/>
              </w:rPr>
            </w:pPr>
            <w:r>
              <w:rPr>
                <w:spacing w:val="-5"/>
                <w:sz w:val="16"/>
              </w:rPr>
              <w:t>810</w:t>
            </w:r>
          </w:p>
        </w:tc>
        <w:tc>
          <w:tcPr>
            <w:tcW w:w="744" w:type="dxa"/>
            <w:tcBorders>
              <w:left w:val="nil"/>
              <w:right w:val="single" w:sz="4" w:space="0" w:color="FFFFFF"/>
            </w:tcBorders>
            <w:shd w:val="clear" w:color="auto" w:fill="BFBFBF"/>
          </w:tcPr>
          <w:p w14:paraId="4BAAF968" w14:textId="77777777" w:rsidR="00141B97" w:rsidRDefault="00911D63">
            <w:pPr>
              <w:pStyle w:val="TableParagraph"/>
              <w:spacing w:before="61"/>
              <w:ind w:right="91"/>
              <w:jc w:val="right"/>
              <w:rPr>
                <w:sz w:val="16"/>
              </w:rPr>
            </w:pPr>
            <w:r>
              <w:rPr>
                <w:spacing w:val="-5"/>
                <w:sz w:val="16"/>
              </w:rPr>
              <w:t>904</w:t>
            </w:r>
          </w:p>
        </w:tc>
        <w:tc>
          <w:tcPr>
            <w:tcW w:w="753" w:type="dxa"/>
            <w:tcBorders>
              <w:left w:val="single" w:sz="4" w:space="0" w:color="FFFFFF"/>
              <w:right w:val="single" w:sz="4" w:space="0" w:color="FFFFFF"/>
            </w:tcBorders>
            <w:shd w:val="clear" w:color="auto" w:fill="BFBFBF"/>
          </w:tcPr>
          <w:p w14:paraId="792EF759" w14:textId="77777777" w:rsidR="00141B97" w:rsidRDefault="00911D63">
            <w:pPr>
              <w:pStyle w:val="TableParagraph"/>
              <w:spacing w:before="61"/>
              <w:ind w:right="90"/>
              <w:jc w:val="right"/>
              <w:rPr>
                <w:sz w:val="16"/>
              </w:rPr>
            </w:pPr>
            <w:r>
              <w:rPr>
                <w:spacing w:val="-5"/>
                <w:sz w:val="16"/>
              </w:rPr>
              <w:t>865</w:t>
            </w:r>
          </w:p>
        </w:tc>
        <w:tc>
          <w:tcPr>
            <w:tcW w:w="874" w:type="dxa"/>
            <w:tcBorders>
              <w:left w:val="single" w:sz="4" w:space="0" w:color="FFFFFF"/>
              <w:right w:val="single" w:sz="4" w:space="0" w:color="FFFFFF"/>
            </w:tcBorders>
            <w:shd w:val="clear" w:color="auto" w:fill="BFBFBF"/>
          </w:tcPr>
          <w:p w14:paraId="19D4191B" w14:textId="77777777" w:rsidR="00141B97" w:rsidRDefault="00911D63">
            <w:pPr>
              <w:pStyle w:val="TableParagraph"/>
              <w:spacing w:before="61"/>
              <w:ind w:right="89"/>
              <w:jc w:val="right"/>
              <w:rPr>
                <w:sz w:val="16"/>
              </w:rPr>
            </w:pPr>
            <w:r>
              <w:rPr>
                <w:spacing w:val="-4"/>
                <w:sz w:val="16"/>
              </w:rPr>
              <w:t>3616</w:t>
            </w:r>
          </w:p>
        </w:tc>
        <w:tc>
          <w:tcPr>
            <w:tcW w:w="876" w:type="dxa"/>
            <w:tcBorders>
              <w:left w:val="single" w:sz="4" w:space="0" w:color="FFFFFF"/>
              <w:right w:val="single" w:sz="4" w:space="0" w:color="FFFFFF"/>
            </w:tcBorders>
            <w:shd w:val="clear" w:color="auto" w:fill="BFBFBF"/>
          </w:tcPr>
          <w:p w14:paraId="78D3D960" w14:textId="77777777" w:rsidR="00141B97" w:rsidRDefault="00911D63">
            <w:pPr>
              <w:pStyle w:val="TableParagraph"/>
              <w:spacing w:before="61"/>
              <w:ind w:right="88"/>
              <w:jc w:val="right"/>
              <w:rPr>
                <w:sz w:val="16"/>
              </w:rPr>
            </w:pPr>
            <w:r>
              <w:rPr>
                <w:spacing w:val="-4"/>
                <w:sz w:val="16"/>
              </w:rPr>
              <w:t>3416</w:t>
            </w:r>
          </w:p>
        </w:tc>
        <w:tc>
          <w:tcPr>
            <w:tcW w:w="765" w:type="dxa"/>
            <w:tcBorders>
              <w:left w:val="single" w:sz="4" w:space="0" w:color="FFFFFF"/>
              <w:right w:val="nil"/>
            </w:tcBorders>
            <w:shd w:val="clear" w:color="auto" w:fill="BFBFBF"/>
          </w:tcPr>
          <w:p w14:paraId="72473D65" w14:textId="77777777" w:rsidR="00141B97" w:rsidRDefault="00911D63">
            <w:pPr>
              <w:pStyle w:val="TableParagraph"/>
              <w:spacing w:before="61"/>
              <w:ind w:right="100"/>
              <w:jc w:val="right"/>
              <w:rPr>
                <w:sz w:val="16"/>
              </w:rPr>
            </w:pPr>
            <w:r>
              <w:rPr>
                <w:spacing w:val="-4"/>
                <w:sz w:val="16"/>
              </w:rPr>
              <w:t>‐177</w:t>
            </w:r>
          </w:p>
        </w:tc>
        <w:tc>
          <w:tcPr>
            <w:tcW w:w="690" w:type="dxa"/>
            <w:tcBorders>
              <w:left w:val="nil"/>
              <w:right w:val="nil"/>
            </w:tcBorders>
            <w:shd w:val="clear" w:color="auto" w:fill="BFBFBF"/>
          </w:tcPr>
          <w:p w14:paraId="320B3FE8" w14:textId="77777777" w:rsidR="00141B97" w:rsidRDefault="00911D63">
            <w:pPr>
              <w:pStyle w:val="TableParagraph"/>
              <w:spacing w:before="61"/>
              <w:ind w:right="89"/>
              <w:jc w:val="right"/>
              <w:rPr>
                <w:sz w:val="16"/>
              </w:rPr>
            </w:pPr>
            <w:r>
              <w:rPr>
                <w:spacing w:val="-2"/>
                <w:sz w:val="16"/>
              </w:rPr>
              <w:t>‐4.9%</w:t>
            </w:r>
          </w:p>
        </w:tc>
      </w:tr>
      <w:tr w:rsidR="00141B97" w14:paraId="0A3C48D6" w14:textId="77777777">
        <w:trPr>
          <w:trHeight w:val="689"/>
        </w:trPr>
        <w:tc>
          <w:tcPr>
            <w:tcW w:w="1130" w:type="dxa"/>
            <w:tcBorders>
              <w:left w:val="nil"/>
              <w:right w:val="single" w:sz="4" w:space="0" w:color="FFFFFF"/>
            </w:tcBorders>
            <w:shd w:val="clear" w:color="auto" w:fill="BFBFBF"/>
          </w:tcPr>
          <w:p w14:paraId="2496E60B" w14:textId="77777777" w:rsidR="00141B97" w:rsidRDefault="00141B97">
            <w:pPr>
              <w:pStyle w:val="TableParagraph"/>
              <w:spacing w:before="3"/>
              <w:rPr>
                <w:sz w:val="12"/>
              </w:rPr>
            </w:pPr>
          </w:p>
          <w:p w14:paraId="4C03E8AC" w14:textId="77777777" w:rsidR="00141B97" w:rsidRDefault="00911D63">
            <w:pPr>
              <w:pStyle w:val="TableParagraph"/>
              <w:ind w:left="93" w:right="287"/>
              <w:rPr>
                <w:sz w:val="16"/>
              </w:rPr>
            </w:pPr>
            <w:r>
              <w:rPr>
                <w:sz w:val="16"/>
              </w:rPr>
              <w:t>Total</w:t>
            </w:r>
            <w:r>
              <w:rPr>
                <w:spacing w:val="-10"/>
                <w:sz w:val="16"/>
              </w:rPr>
              <w:t xml:space="preserve"> </w:t>
            </w:r>
            <w:r>
              <w:rPr>
                <w:sz w:val="16"/>
              </w:rPr>
              <w:t>water</w:t>
            </w:r>
            <w:r>
              <w:rPr>
                <w:spacing w:val="40"/>
                <w:sz w:val="16"/>
              </w:rPr>
              <w:t xml:space="preserve"> </w:t>
            </w:r>
            <w:r>
              <w:rPr>
                <w:spacing w:val="-2"/>
                <w:sz w:val="16"/>
              </w:rPr>
              <w:t>demand</w:t>
            </w:r>
          </w:p>
        </w:tc>
        <w:tc>
          <w:tcPr>
            <w:tcW w:w="754" w:type="dxa"/>
            <w:tcBorders>
              <w:left w:val="single" w:sz="4" w:space="0" w:color="FFFFFF"/>
              <w:right w:val="single" w:sz="4" w:space="0" w:color="FFFFFF"/>
            </w:tcBorders>
            <w:shd w:val="clear" w:color="auto" w:fill="BFBFBF"/>
          </w:tcPr>
          <w:p w14:paraId="4D01DC8F" w14:textId="77777777" w:rsidR="00141B97" w:rsidRDefault="00141B97">
            <w:pPr>
              <w:pStyle w:val="TableParagraph"/>
              <w:spacing w:before="2"/>
              <w:rPr>
                <w:sz w:val="20"/>
              </w:rPr>
            </w:pPr>
          </w:p>
          <w:p w14:paraId="5B773E21" w14:textId="77777777" w:rsidR="00141B97" w:rsidRDefault="00911D63">
            <w:pPr>
              <w:pStyle w:val="TableParagraph"/>
              <w:ind w:right="93"/>
              <w:jc w:val="right"/>
              <w:rPr>
                <w:sz w:val="16"/>
              </w:rPr>
            </w:pPr>
            <w:r>
              <w:rPr>
                <w:spacing w:val="-2"/>
                <w:sz w:val="16"/>
              </w:rPr>
              <w:t>108,281</w:t>
            </w:r>
          </w:p>
        </w:tc>
        <w:tc>
          <w:tcPr>
            <w:tcW w:w="753" w:type="dxa"/>
            <w:tcBorders>
              <w:left w:val="single" w:sz="4" w:space="0" w:color="FFFFFF"/>
              <w:right w:val="single" w:sz="4" w:space="0" w:color="FFFFFF"/>
            </w:tcBorders>
            <w:shd w:val="clear" w:color="auto" w:fill="BFBFBF"/>
          </w:tcPr>
          <w:p w14:paraId="08974C36" w14:textId="77777777" w:rsidR="00141B97" w:rsidRDefault="00141B97">
            <w:pPr>
              <w:pStyle w:val="TableParagraph"/>
              <w:spacing w:before="2"/>
              <w:rPr>
                <w:sz w:val="20"/>
              </w:rPr>
            </w:pPr>
          </w:p>
          <w:p w14:paraId="2F536D63" w14:textId="77777777" w:rsidR="00141B97" w:rsidRDefault="00911D63">
            <w:pPr>
              <w:pStyle w:val="TableParagraph"/>
              <w:ind w:right="92"/>
              <w:jc w:val="right"/>
              <w:rPr>
                <w:sz w:val="16"/>
              </w:rPr>
            </w:pPr>
            <w:r>
              <w:rPr>
                <w:spacing w:val="-2"/>
                <w:sz w:val="16"/>
              </w:rPr>
              <w:t>114,454</w:t>
            </w:r>
          </w:p>
        </w:tc>
        <w:tc>
          <w:tcPr>
            <w:tcW w:w="754" w:type="dxa"/>
            <w:tcBorders>
              <w:left w:val="single" w:sz="4" w:space="0" w:color="FFFFFF"/>
              <w:right w:val="single" w:sz="4" w:space="0" w:color="FFFFFF"/>
            </w:tcBorders>
            <w:shd w:val="clear" w:color="auto" w:fill="BFBFBF"/>
          </w:tcPr>
          <w:p w14:paraId="2E984A87" w14:textId="77777777" w:rsidR="00141B97" w:rsidRDefault="00141B97">
            <w:pPr>
              <w:pStyle w:val="TableParagraph"/>
              <w:spacing w:before="2"/>
              <w:rPr>
                <w:sz w:val="20"/>
              </w:rPr>
            </w:pPr>
          </w:p>
          <w:p w14:paraId="236FF589" w14:textId="77777777" w:rsidR="00141B97" w:rsidRDefault="00911D63">
            <w:pPr>
              <w:pStyle w:val="TableParagraph"/>
              <w:ind w:right="93"/>
              <w:jc w:val="right"/>
              <w:rPr>
                <w:sz w:val="16"/>
              </w:rPr>
            </w:pPr>
            <w:r>
              <w:rPr>
                <w:spacing w:val="-2"/>
                <w:sz w:val="16"/>
              </w:rPr>
              <w:t>109,296</w:t>
            </w:r>
          </w:p>
        </w:tc>
        <w:tc>
          <w:tcPr>
            <w:tcW w:w="753" w:type="dxa"/>
            <w:tcBorders>
              <w:left w:val="single" w:sz="4" w:space="0" w:color="FFFFFF"/>
              <w:right w:val="single" w:sz="4" w:space="0" w:color="FFFFFF"/>
            </w:tcBorders>
            <w:shd w:val="clear" w:color="auto" w:fill="BFBFBF"/>
          </w:tcPr>
          <w:p w14:paraId="192B501B" w14:textId="77777777" w:rsidR="00141B97" w:rsidRDefault="00141B97">
            <w:pPr>
              <w:pStyle w:val="TableParagraph"/>
              <w:spacing w:before="2"/>
              <w:rPr>
                <w:sz w:val="20"/>
              </w:rPr>
            </w:pPr>
          </w:p>
          <w:p w14:paraId="2DACCC4A" w14:textId="77777777" w:rsidR="00141B97" w:rsidRDefault="00911D63">
            <w:pPr>
              <w:pStyle w:val="TableParagraph"/>
              <w:ind w:right="92"/>
              <w:jc w:val="right"/>
              <w:rPr>
                <w:sz w:val="16"/>
              </w:rPr>
            </w:pPr>
            <w:r>
              <w:rPr>
                <w:spacing w:val="-2"/>
                <w:sz w:val="16"/>
              </w:rPr>
              <w:t>100,674</w:t>
            </w:r>
          </w:p>
        </w:tc>
        <w:tc>
          <w:tcPr>
            <w:tcW w:w="753" w:type="dxa"/>
            <w:tcBorders>
              <w:left w:val="single" w:sz="4" w:space="0" w:color="FFFFFF"/>
              <w:right w:val="single" w:sz="4" w:space="0" w:color="FFFFFF"/>
            </w:tcBorders>
            <w:shd w:val="clear" w:color="auto" w:fill="BFBFBF"/>
          </w:tcPr>
          <w:p w14:paraId="5925FA5D" w14:textId="77777777" w:rsidR="00141B97" w:rsidRDefault="00141B97">
            <w:pPr>
              <w:pStyle w:val="TableParagraph"/>
              <w:spacing w:before="2"/>
              <w:rPr>
                <w:sz w:val="20"/>
              </w:rPr>
            </w:pPr>
          </w:p>
          <w:p w14:paraId="2102A691" w14:textId="77777777" w:rsidR="00141B97" w:rsidRDefault="00911D63">
            <w:pPr>
              <w:pStyle w:val="TableParagraph"/>
              <w:ind w:right="90"/>
              <w:jc w:val="right"/>
              <w:rPr>
                <w:sz w:val="16"/>
              </w:rPr>
            </w:pPr>
            <w:r>
              <w:rPr>
                <w:spacing w:val="-2"/>
                <w:sz w:val="16"/>
              </w:rPr>
              <w:t>110,327</w:t>
            </w:r>
          </w:p>
        </w:tc>
        <w:tc>
          <w:tcPr>
            <w:tcW w:w="764" w:type="dxa"/>
            <w:tcBorders>
              <w:left w:val="single" w:sz="4" w:space="0" w:color="FFFFFF"/>
              <w:right w:val="nil"/>
            </w:tcBorders>
            <w:shd w:val="clear" w:color="auto" w:fill="BFBFBF"/>
          </w:tcPr>
          <w:p w14:paraId="7DBCC7E9" w14:textId="77777777" w:rsidR="00141B97" w:rsidRDefault="00141B97">
            <w:pPr>
              <w:pStyle w:val="TableParagraph"/>
              <w:spacing w:before="2"/>
              <w:rPr>
                <w:sz w:val="20"/>
              </w:rPr>
            </w:pPr>
          </w:p>
          <w:p w14:paraId="4E4E4189" w14:textId="77777777" w:rsidR="00141B97" w:rsidRDefault="00911D63">
            <w:pPr>
              <w:pStyle w:val="TableParagraph"/>
              <w:ind w:right="101"/>
              <w:jc w:val="right"/>
              <w:rPr>
                <w:sz w:val="16"/>
              </w:rPr>
            </w:pPr>
            <w:r>
              <w:rPr>
                <w:spacing w:val="-2"/>
                <w:sz w:val="16"/>
              </w:rPr>
              <w:t>100,285</w:t>
            </w:r>
          </w:p>
        </w:tc>
        <w:tc>
          <w:tcPr>
            <w:tcW w:w="744" w:type="dxa"/>
            <w:tcBorders>
              <w:left w:val="nil"/>
              <w:right w:val="single" w:sz="4" w:space="0" w:color="FFFFFF"/>
            </w:tcBorders>
            <w:shd w:val="clear" w:color="auto" w:fill="BFBFBF"/>
          </w:tcPr>
          <w:p w14:paraId="2B350368" w14:textId="77777777" w:rsidR="00141B97" w:rsidRDefault="00141B97">
            <w:pPr>
              <w:pStyle w:val="TableParagraph"/>
              <w:spacing w:before="2"/>
              <w:rPr>
                <w:sz w:val="20"/>
              </w:rPr>
            </w:pPr>
          </w:p>
          <w:p w14:paraId="2BD07012" w14:textId="77777777" w:rsidR="00141B97" w:rsidRDefault="00911D63">
            <w:pPr>
              <w:pStyle w:val="TableParagraph"/>
              <w:ind w:right="91"/>
              <w:jc w:val="right"/>
              <w:rPr>
                <w:sz w:val="16"/>
              </w:rPr>
            </w:pPr>
            <w:r>
              <w:rPr>
                <w:spacing w:val="-2"/>
                <w:sz w:val="16"/>
              </w:rPr>
              <w:t>111,373</w:t>
            </w:r>
          </w:p>
        </w:tc>
        <w:tc>
          <w:tcPr>
            <w:tcW w:w="753" w:type="dxa"/>
            <w:tcBorders>
              <w:left w:val="single" w:sz="4" w:space="0" w:color="FFFFFF"/>
              <w:right w:val="single" w:sz="4" w:space="0" w:color="FFFFFF"/>
            </w:tcBorders>
            <w:shd w:val="clear" w:color="auto" w:fill="BFBFBF"/>
          </w:tcPr>
          <w:p w14:paraId="76681A5C" w14:textId="77777777" w:rsidR="00141B97" w:rsidRDefault="00141B97">
            <w:pPr>
              <w:pStyle w:val="TableParagraph"/>
              <w:spacing w:before="2"/>
              <w:rPr>
                <w:sz w:val="20"/>
              </w:rPr>
            </w:pPr>
          </w:p>
          <w:p w14:paraId="12C821A1" w14:textId="77777777" w:rsidR="00141B97" w:rsidRDefault="00911D63">
            <w:pPr>
              <w:pStyle w:val="TableParagraph"/>
              <w:ind w:right="90"/>
              <w:jc w:val="right"/>
              <w:rPr>
                <w:sz w:val="16"/>
              </w:rPr>
            </w:pPr>
            <w:r>
              <w:rPr>
                <w:spacing w:val="-2"/>
                <w:sz w:val="16"/>
              </w:rPr>
              <w:t>99,681</w:t>
            </w:r>
          </w:p>
        </w:tc>
        <w:tc>
          <w:tcPr>
            <w:tcW w:w="874" w:type="dxa"/>
            <w:tcBorders>
              <w:left w:val="single" w:sz="4" w:space="0" w:color="FFFFFF"/>
              <w:right w:val="single" w:sz="4" w:space="0" w:color="FFFFFF"/>
            </w:tcBorders>
            <w:shd w:val="clear" w:color="auto" w:fill="BFBFBF"/>
          </w:tcPr>
          <w:p w14:paraId="22BEC7AD" w14:textId="77777777" w:rsidR="00141B97" w:rsidRDefault="00141B97">
            <w:pPr>
              <w:pStyle w:val="TableParagraph"/>
              <w:spacing w:before="2"/>
              <w:rPr>
                <w:sz w:val="20"/>
              </w:rPr>
            </w:pPr>
          </w:p>
          <w:p w14:paraId="0BFEF571" w14:textId="77777777" w:rsidR="00141B97" w:rsidRDefault="00911D63">
            <w:pPr>
              <w:pStyle w:val="TableParagraph"/>
              <w:ind w:right="89"/>
              <w:jc w:val="right"/>
              <w:rPr>
                <w:sz w:val="16"/>
              </w:rPr>
            </w:pPr>
            <w:r>
              <w:rPr>
                <w:spacing w:val="-2"/>
                <w:sz w:val="16"/>
              </w:rPr>
              <w:t>439,277</w:t>
            </w:r>
          </w:p>
        </w:tc>
        <w:tc>
          <w:tcPr>
            <w:tcW w:w="876" w:type="dxa"/>
            <w:tcBorders>
              <w:left w:val="single" w:sz="4" w:space="0" w:color="FFFFFF"/>
              <w:right w:val="single" w:sz="4" w:space="0" w:color="FFFFFF"/>
            </w:tcBorders>
            <w:shd w:val="clear" w:color="auto" w:fill="BFBFBF"/>
          </w:tcPr>
          <w:p w14:paraId="4F1AAF5D" w14:textId="77777777" w:rsidR="00141B97" w:rsidRDefault="00141B97">
            <w:pPr>
              <w:pStyle w:val="TableParagraph"/>
              <w:spacing w:before="2"/>
              <w:rPr>
                <w:sz w:val="20"/>
              </w:rPr>
            </w:pPr>
          </w:p>
          <w:p w14:paraId="4DC66F48" w14:textId="77777777" w:rsidR="00141B97" w:rsidRDefault="00911D63">
            <w:pPr>
              <w:pStyle w:val="TableParagraph"/>
              <w:ind w:right="87"/>
              <w:jc w:val="right"/>
              <w:rPr>
                <w:sz w:val="16"/>
              </w:rPr>
            </w:pPr>
            <w:r>
              <w:rPr>
                <w:spacing w:val="-2"/>
                <w:sz w:val="16"/>
              </w:rPr>
              <w:t>415,094</w:t>
            </w:r>
          </w:p>
        </w:tc>
        <w:tc>
          <w:tcPr>
            <w:tcW w:w="765" w:type="dxa"/>
            <w:tcBorders>
              <w:left w:val="single" w:sz="4" w:space="0" w:color="FFFFFF"/>
              <w:right w:val="nil"/>
            </w:tcBorders>
            <w:shd w:val="clear" w:color="auto" w:fill="BFBFBF"/>
          </w:tcPr>
          <w:p w14:paraId="50A7F798" w14:textId="77777777" w:rsidR="00141B97" w:rsidRDefault="00141B97">
            <w:pPr>
              <w:pStyle w:val="TableParagraph"/>
              <w:spacing w:before="2"/>
              <w:rPr>
                <w:sz w:val="20"/>
              </w:rPr>
            </w:pPr>
          </w:p>
          <w:p w14:paraId="56D26546" w14:textId="77777777" w:rsidR="00141B97" w:rsidRDefault="00911D63">
            <w:pPr>
              <w:pStyle w:val="TableParagraph"/>
              <w:ind w:right="100"/>
              <w:jc w:val="right"/>
              <w:rPr>
                <w:sz w:val="16"/>
              </w:rPr>
            </w:pPr>
            <w:r>
              <w:rPr>
                <w:spacing w:val="-2"/>
                <w:sz w:val="16"/>
              </w:rPr>
              <w:t>‐24,160</w:t>
            </w:r>
          </w:p>
        </w:tc>
        <w:tc>
          <w:tcPr>
            <w:tcW w:w="690" w:type="dxa"/>
            <w:tcBorders>
              <w:left w:val="nil"/>
              <w:right w:val="nil"/>
            </w:tcBorders>
            <w:shd w:val="clear" w:color="auto" w:fill="BFBFBF"/>
          </w:tcPr>
          <w:p w14:paraId="60840D36" w14:textId="77777777" w:rsidR="00141B97" w:rsidRDefault="00141B97">
            <w:pPr>
              <w:pStyle w:val="TableParagraph"/>
              <w:spacing w:before="2"/>
              <w:rPr>
                <w:sz w:val="20"/>
              </w:rPr>
            </w:pPr>
          </w:p>
          <w:p w14:paraId="44FBC834" w14:textId="77777777" w:rsidR="00141B97" w:rsidRDefault="00911D63">
            <w:pPr>
              <w:pStyle w:val="TableParagraph"/>
              <w:ind w:right="89"/>
              <w:jc w:val="right"/>
              <w:rPr>
                <w:sz w:val="16"/>
              </w:rPr>
            </w:pPr>
            <w:r>
              <w:rPr>
                <w:spacing w:val="-2"/>
                <w:sz w:val="16"/>
              </w:rPr>
              <w:t>‐5.5%</w:t>
            </w:r>
          </w:p>
        </w:tc>
      </w:tr>
      <w:tr w:rsidR="00141B97" w14:paraId="64E4C7E3" w14:textId="77777777">
        <w:trPr>
          <w:trHeight w:val="314"/>
        </w:trPr>
        <w:tc>
          <w:tcPr>
            <w:tcW w:w="1130" w:type="dxa"/>
            <w:tcBorders>
              <w:left w:val="nil"/>
              <w:right w:val="single" w:sz="4" w:space="0" w:color="FFFFFF"/>
            </w:tcBorders>
            <w:shd w:val="clear" w:color="auto" w:fill="CCE2ED"/>
          </w:tcPr>
          <w:p w14:paraId="45C2FA55" w14:textId="77777777" w:rsidR="00141B97" w:rsidRDefault="00911D63">
            <w:pPr>
              <w:pStyle w:val="TableParagraph"/>
              <w:spacing w:before="59"/>
              <w:ind w:left="93"/>
              <w:rPr>
                <w:sz w:val="16"/>
              </w:rPr>
            </w:pPr>
            <w:r>
              <w:rPr>
                <w:spacing w:val="-2"/>
                <w:sz w:val="16"/>
              </w:rPr>
              <w:t>Variance</w:t>
            </w:r>
          </w:p>
        </w:tc>
        <w:tc>
          <w:tcPr>
            <w:tcW w:w="754" w:type="dxa"/>
            <w:tcBorders>
              <w:left w:val="single" w:sz="4" w:space="0" w:color="FFFFFF"/>
              <w:right w:val="single" w:sz="4" w:space="0" w:color="FFFFFF"/>
            </w:tcBorders>
            <w:shd w:val="clear" w:color="auto" w:fill="CCE2ED"/>
          </w:tcPr>
          <w:p w14:paraId="640A5862" w14:textId="77777777" w:rsidR="00141B97" w:rsidRDefault="00141B97">
            <w:pPr>
              <w:pStyle w:val="TableParagraph"/>
              <w:rPr>
                <w:rFonts w:ascii="Times New Roman"/>
                <w:sz w:val="16"/>
              </w:rPr>
            </w:pPr>
          </w:p>
        </w:tc>
        <w:tc>
          <w:tcPr>
            <w:tcW w:w="753" w:type="dxa"/>
            <w:tcBorders>
              <w:left w:val="single" w:sz="4" w:space="0" w:color="FFFFFF"/>
              <w:right w:val="single" w:sz="4" w:space="0" w:color="FFFFFF"/>
            </w:tcBorders>
            <w:shd w:val="clear" w:color="auto" w:fill="CCE2ED"/>
          </w:tcPr>
          <w:p w14:paraId="7BED88B5" w14:textId="77777777" w:rsidR="00141B97" w:rsidRDefault="00911D63">
            <w:pPr>
              <w:pStyle w:val="TableParagraph"/>
              <w:spacing w:before="59"/>
              <w:ind w:right="95"/>
              <w:jc w:val="right"/>
              <w:rPr>
                <w:sz w:val="16"/>
              </w:rPr>
            </w:pPr>
            <w:r>
              <w:rPr>
                <w:spacing w:val="-2"/>
                <w:sz w:val="16"/>
              </w:rPr>
              <w:t>6,173</w:t>
            </w:r>
          </w:p>
        </w:tc>
        <w:tc>
          <w:tcPr>
            <w:tcW w:w="754" w:type="dxa"/>
            <w:tcBorders>
              <w:left w:val="single" w:sz="4" w:space="0" w:color="FFFFFF"/>
              <w:right w:val="single" w:sz="4" w:space="0" w:color="FFFFFF"/>
            </w:tcBorders>
            <w:shd w:val="clear" w:color="auto" w:fill="CCE2ED"/>
          </w:tcPr>
          <w:p w14:paraId="62A2712D" w14:textId="77777777" w:rsidR="00141B97" w:rsidRDefault="00141B97">
            <w:pPr>
              <w:pStyle w:val="TableParagraph"/>
              <w:rPr>
                <w:rFonts w:ascii="Times New Roman"/>
                <w:sz w:val="16"/>
              </w:rPr>
            </w:pPr>
          </w:p>
        </w:tc>
        <w:tc>
          <w:tcPr>
            <w:tcW w:w="753" w:type="dxa"/>
            <w:tcBorders>
              <w:left w:val="single" w:sz="4" w:space="0" w:color="FFFFFF"/>
              <w:right w:val="single" w:sz="4" w:space="0" w:color="FFFFFF"/>
            </w:tcBorders>
            <w:shd w:val="clear" w:color="auto" w:fill="CCE2ED"/>
          </w:tcPr>
          <w:p w14:paraId="0CDCBB12" w14:textId="77777777" w:rsidR="00141B97" w:rsidRDefault="00911D63">
            <w:pPr>
              <w:pStyle w:val="TableParagraph"/>
              <w:spacing w:before="59"/>
              <w:ind w:right="94"/>
              <w:jc w:val="right"/>
              <w:rPr>
                <w:sz w:val="16"/>
              </w:rPr>
            </w:pPr>
            <w:r>
              <w:rPr>
                <w:spacing w:val="-2"/>
                <w:sz w:val="16"/>
              </w:rPr>
              <w:t>‐8,622</w:t>
            </w:r>
          </w:p>
        </w:tc>
        <w:tc>
          <w:tcPr>
            <w:tcW w:w="753" w:type="dxa"/>
            <w:tcBorders>
              <w:left w:val="single" w:sz="4" w:space="0" w:color="FFFFFF"/>
              <w:right w:val="single" w:sz="4" w:space="0" w:color="FFFFFF"/>
            </w:tcBorders>
            <w:shd w:val="clear" w:color="auto" w:fill="CCE2ED"/>
          </w:tcPr>
          <w:p w14:paraId="0B014E5A" w14:textId="77777777" w:rsidR="00141B97" w:rsidRDefault="00141B97">
            <w:pPr>
              <w:pStyle w:val="TableParagraph"/>
              <w:rPr>
                <w:rFonts w:ascii="Times New Roman"/>
                <w:sz w:val="16"/>
              </w:rPr>
            </w:pPr>
          </w:p>
        </w:tc>
        <w:tc>
          <w:tcPr>
            <w:tcW w:w="1508" w:type="dxa"/>
            <w:gridSpan w:val="2"/>
            <w:tcBorders>
              <w:left w:val="single" w:sz="4" w:space="0" w:color="FFFFFF"/>
              <w:right w:val="single" w:sz="4" w:space="0" w:color="FFFFFF"/>
            </w:tcBorders>
            <w:shd w:val="clear" w:color="auto" w:fill="CCE2ED"/>
          </w:tcPr>
          <w:p w14:paraId="4C2777A2" w14:textId="77777777" w:rsidR="00141B97" w:rsidRDefault="00911D63">
            <w:pPr>
              <w:pStyle w:val="TableParagraph"/>
              <w:spacing w:before="59"/>
              <w:ind w:left="156"/>
              <w:rPr>
                <w:sz w:val="16"/>
              </w:rPr>
            </w:pPr>
            <w:r>
              <w:rPr>
                <w:spacing w:val="-2"/>
                <w:sz w:val="16"/>
              </w:rPr>
              <w:t>‐10,042</w:t>
            </w:r>
          </w:p>
        </w:tc>
        <w:tc>
          <w:tcPr>
            <w:tcW w:w="753" w:type="dxa"/>
            <w:tcBorders>
              <w:left w:val="single" w:sz="4" w:space="0" w:color="FFFFFF"/>
              <w:right w:val="single" w:sz="4" w:space="0" w:color="FFFFFF"/>
            </w:tcBorders>
            <w:shd w:val="clear" w:color="auto" w:fill="CCE2ED"/>
          </w:tcPr>
          <w:p w14:paraId="212570BF" w14:textId="77777777" w:rsidR="00141B97" w:rsidRDefault="00911D63">
            <w:pPr>
              <w:pStyle w:val="TableParagraph"/>
              <w:spacing w:before="59"/>
              <w:ind w:right="91"/>
              <w:jc w:val="right"/>
              <w:rPr>
                <w:sz w:val="16"/>
              </w:rPr>
            </w:pPr>
            <w:r>
              <w:rPr>
                <w:spacing w:val="-2"/>
                <w:sz w:val="16"/>
              </w:rPr>
              <w:t>‐11,692</w:t>
            </w:r>
          </w:p>
        </w:tc>
        <w:tc>
          <w:tcPr>
            <w:tcW w:w="874" w:type="dxa"/>
            <w:tcBorders>
              <w:left w:val="single" w:sz="4" w:space="0" w:color="FFFFFF"/>
              <w:right w:val="single" w:sz="4" w:space="0" w:color="FFFFFF"/>
            </w:tcBorders>
            <w:shd w:val="clear" w:color="auto" w:fill="CCE2ED"/>
          </w:tcPr>
          <w:p w14:paraId="346322A2" w14:textId="77777777" w:rsidR="00141B97" w:rsidRDefault="00141B97">
            <w:pPr>
              <w:pStyle w:val="TableParagraph"/>
              <w:rPr>
                <w:rFonts w:ascii="Times New Roman"/>
                <w:sz w:val="16"/>
              </w:rPr>
            </w:pPr>
          </w:p>
        </w:tc>
        <w:tc>
          <w:tcPr>
            <w:tcW w:w="876" w:type="dxa"/>
            <w:tcBorders>
              <w:left w:val="single" w:sz="4" w:space="0" w:color="FFFFFF"/>
              <w:right w:val="single" w:sz="4" w:space="0" w:color="FFFFFF"/>
            </w:tcBorders>
            <w:shd w:val="clear" w:color="auto" w:fill="CCE2ED"/>
          </w:tcPr>
          <w:p w14:paraId="5A34731F" w14:textId="77777777" w:rsidR="00141B97" w:rsidRDefault="00911D63">
            <w:pPr>
              <w:pStyle w:val="TableParagraph"/>
              <w:spacing w:before="59"/>
              <w:ind w:right="89"/>
              <w:jc w:val="right"/>
              <w:rPr>
                <w:sz w:val="16"/>
              </w:rPr>
            </w:pPr>
            <w:r>
              <w:rPr>
                <w:spacing w:val="-2"/>
                <w:sz w:val="16"/>
              </w:rPr>
              <w:t>‐24,183</w:t>
            </w:r>
          </w:p>
        </w:tc>
        <w:tc>
          <w:tcPr>
            <w:tcW w:w="1455" w:type="dxa"/>
            <w:gridSpan w:val="2"/>
            <w:tcBorders>
              <w:left w:val="single" w:sz="4" w:space="0" w:color="FFFFFF"/>
              <w:right w:val="nil"/>
            </w:tcBorders>
            <w:shd w:val="clear" w:color="auto" w:fill="CCE2ED"/>
          </w:tcPr>
          <w:p w14:paraId="29315709" w14:textId="77777777" w:rsidR="00141B97" w:rsidRDefault="00141B97">
            <w:pPr>
              <w:pStyle w:val="TableParagraph"/>
              <w:rPr>
                <w:rFonts w:ascii="Times New Roman"/>
                <w:sz w:val="16"/>
              </w:rPr>
            </w:pPr>
          </w:p>
        </w:tc>
      </w:tr>
      <w:tr w:rsidR="00141B97" w14:paraId="0BB4B7F0" w14:textId="77777777">
        <w:trPr>
          <w:trHeight w:val="315"/>
        </w:trPr>
        <w:tc>
          <w:tcPr>
            <w:tcW w:w="10363" w:type="dxa"/>
            <w:gridSpan w:val="13"/>
            <w:tcBorders>
              <w:left w:val="nil"/>
              <w:right w:val="nil"/>
            </w:tcBorders>
            <w:shd w:val="clear" w:color="auto" w:fill="006CA3"/>
          </w:tcPr>
          <w:p w14:paraId="37D54494" w14:textId="77777777" w:rsidR="00141B97" w:rsidRDefault="00911D63">
            <w:pPr>
              <w:pStyle w:val="TableParagraph"/>
              <w:spacing w:before="61"/>
              <w:ind w:left="98"/>
              <w:rPr>
                <w:sz w:val="16"/>
              </w:rPr>
            </w:pPr>
            <w:r>
              <w:rPr>
                <w:color w:val="FFFFFF"/>
                <w:sz w:val="16"/>
              </w:rPr>
              <w:t>Diverters</w:t>
            </w:r>
            <w:r>
              <w:rPr>
                <w:color w:val="FFFFFF"/>
                <w:spacing w:val="-5"/>
                <w:sz w:val="16"/>
              </w:rPr>
              <w:t xml:space="preserve"> </w:t>
            </w:r>
            <w:r>
              <w:rPr>
                <w:color w:val="FFFFFF"/>
                <w:sz w:val="16"/>
              </w:rPr>
              <w:t>–</w:t>
            </w:r>
            <w:r>
              <w:rPr>
                <w:color w:val="FFFFFF"/>
                <w:spacing w:val="-3"/>
                <w:sz w:val="16"/>
              </w:rPr>
              <w:t xml:space="preserve"> </w:t>
            </w:r>
            <w:r>
              <w:rPr>
                <w:color w:val="FFFFFF"/>
                <w:sz w:val="16"/>
              </w:rPr>
              <w:t>Annual</w:t>
            </w:r>
            <w:r>
              <w:rPr>
                <w:color w:val="FFFFFF"/>
                <w:spacing w:val="-5"/>
                <w:sz w:val="16"/>
              </w:rPr>
              <w:t xml:space="preserve"> </w:t>
            </w:r>
            <w:r>
              <w:rPr>
                <w:color w:val="FFFFFF"/>
                <w:sz w:val="16"/>
              </w:rPr>
              <w:t>Use</w:t>
            </w:r>
            <w:r>
              <w:rPr>
                <w:color w:val="FFFFFF"/>
                <w:spacing w:val="-2"/>
                <w:sz w:val="16"/>
              </w:rPr>
              <w:t xml:space="preserve"> Limit</w:t>
            </w:r>
          </w:p>
        </w:tc>
      </w:tr>
      <w:tr w:rsidR="00141B97" w14:paraId="7A53C003" w14:textId="77777777">
        <w:trPr>
          <w:trHeight w:val="464"/>
        </w:trPr>
        <w:tc>
          <w:tcPr>
            <w:tcW w:w="1130" w:type="dxa"/>
            <w:tcBorders>
              <w:left w:val="nil"/>
              <w:right w:val="single" w:sz="4" w:space="0" w:color="FFFFFF"/>
            </w:tcBorders>
            <w:shd w:val="clear" w:color="auto" w:fill="CCE2ED"/>
          </w:tcPr>
          <w:p w14:paraId="2F012152" w14:textId="77777777" w:rsidR="00141B97" w:rsidRDefault="00911D63">
            <w:pPr>
              <w:pStyle w:val="TableParagraph"/>
              <w:spacing w:before="37"/>
              <w:ind w:left="93" w:right="287"/>
              <w:rPr>
                <w:sz w:val="16"/>
              </w:rPr>
            </w:pPr>
            <w:r>
              <w:rPr>
                <w:spacing w:val="-2"/>
                <w:sz w:val="16"/>
              </w:rPr>
              <w:t>Diverters</w:t>
            </w:r>
            <w:r>
              <w:rPr>
                <w:spacing w:val="40"/>
                <w:sz w:val="16"/>
              </w:rPr>
              <w:t xml:space="preserve"> </w:t>
            </w:r>
            <w:r>
              <w:rPr>
                <w:spacing w:val="-2"/>
                <w:sz w:val="16"/>
              </w:rPr>
              <w:t>(AUL)</w:t>
            </w:r>
          </w:p>
        </w:tc>
        <w:tc>
          <w:tcPr>
            <w:tcW w:w="754" w:type="dxa"/>
            <w:tcBorders>
              <w:left w:val="single" w:sz="4" w:space="0" w:color="FFFFFF"/>
              <w:right w:val="single" w:sz="4" w:space="0" w:color="FFFFFF"/>
            </w:tcBorders>
            <w:shd w:val="clear" w:color="auto" w:fill="CCE2ED"/>
          </w:tcPr>
          <w:p w14:paraId="596803EE" w14:textId="77777777" w:rsidR="00141B97" w:rsidRDefault="00911D63">
            <w:pPr>
              <w:pStyle w:val="TableParagraph"/>
              <w:spacing w:before="134"/>
              <w:ind w:right="95"/>
              <w:jc w:val="right"/>
              <w:rPr>
                <w:sz w:val="16"/>
              </w:rPr>
            </w:pPr>
            <w:r>
              <w:rPr>
                <w:spacing w:val="-2"/>
                <w:sz w:val="16"/>
              </w:rPr>
              <w:t>593,295</w:t>
            </w:r>
          </w:p>
        </w:tc>
        <w:tc>
          <w:tcPr>
            <w:tcW w:w="753" w:type="dxa"/>
            <w:tcBorders>
              <w:left w:val="single" w:sz="4" w:space="0" w:color="FFFFFF"/>
              <w:right w:val="single" w:sz="4" w:space="0" w:color="FFFFFF"/>
            </w:tcBorders>
            <w:shd w:val="clear" w:color="auto" w:fill="CCE2ED"/>
          </w:tcPr>
          <w:p w14:paraId="066BA3B2" w14:textId="77777777" w:rsidR="00141B97" w:rsidRDefault="00911D63">
            <w:pPr>
              <w:pStyle w:val="TableParagraph"/>
              <w:spacing w:before="134"/>
              <w:ind w:right="94"/>
              <w:jc w:val="right"/>
              <w:rPr>
                <w:sz w:val="16"/>
              </w:rPr>
            </w:pPr>
            <w:r>
              <w:rPr>
                <w:spacing w:val="-2"/>
                <w:sz w:val="16"/>
              </w:rPr>
              <w:t>633,248</w:t>
            </w:r>
          </w:p>
        </w:tc>
        <w:tc>
          <w:tcPr>
            <w:tcW w:w="754" w:type="dxa"/>
            <w:tcBorders>
              <w:left w:val="single" w:sz="4" w:space="0" w:color="FFFFFF"/>
              <w:right w:val="single" w:sz="4" w:space="0" w:color="FFFFFF"/>
            </w:tcBorders>
            <w:shd w:val="clear" w:color="auto" w:fill="CCE2ED"/>
          </w:tcPr>
          <w:p w14:paraId="6A739C28" w14:textId="77777777" w:rsidR="00141B97" w:rsidRDefault="00911D63">
            <w:pPr>
              <w:pStyle w:val="TableParagraph"/>
              <w:spacing w:before="134"/>
              <w:ind w:right="95"/>
              <w:jc w:val="right"/>
              <w:rPr>
                <w:sz w:val="16"/>
              </w:rPr>
            </w:pPr>
            <w:r>
              <w:rPr>
                <w:spacing w:val="-2"/>
                <w:sz w:val="16"/>
              </w:rPr>
              <w:t>615,548</w:t>
            </w:r>
          </w:p>
        </w:tc>
        <w:tc>
          <w:tcPr>
            <w:tcW w:w="753" w:type="dxa"/>
            <w:tcBorders>
              <w:left w:val="single" w:sz="4" w:space="0" w:color="FFFFFF"/>
              <w:right w:val="single" w:sz="4" w:space="0" w:color="FFFFFF"/>
            </w:tcBorders>
            <w:shd w:val="clear" w:color="auto" w:fill="CCE2ED"/>
          </w:tcPr>
          <w:p w14:paraId="703AA915" w14:textId="77777777" w:rsidR="00141B97" w:rsidRDefault="00911D63">
            <w:pPr>
              <w:pStyle w:val="TableParagraph"/>
              <w:spacing w:before="134"/>
              <w:ind w:right="94"/>
              <w:jc w:val="right"/>
              <w:rPr>
                <w:sz w:val="16"/>
              </w:rPr>
            </w:pPr>
            <w:r>
              <w:rPr>
                <w:spacing w:val="-2"/>
                <w:sz w:val="16"/>
              </w:rPr>
              <w:t>655,216</w:t>
            </w:r>
          </w:p>
        </w:tc>
        <w:tc>
          <w:tcPr>
            <w:tcW w:w="753" w:type="dxa"/>
            <w:tcBorders>
              <w:left w:val="single" w:sz="4" w:space="0" w:color="FFFFFF"/>
              <w:right w:val="single" w:sz="4" w:space="0" w:color="FFFFFF"/>
            </w:tcBorders>
            <w:shd w:val="clear" w:color="auto" w:fill="CCE2ED"/>
          </w:tcPr>
          <w:p w14:paraId="157582D1" w14:textId="77777777" w:rsidR="00141B97" w:rsidRDefault="00911D63">
            <w:pPr>
              <w:pStyle w:val="TableParagraph"/>
              <w:spacing w:before="134"/>
              <w:ind w:right="92"/>
              <w:jc w:val="right"/>
              <w:rPr>
                <w:sz w:val="16"/>
              </w:rPr>
            </w:pPr>
            <w:r>
              <w:rPr>
                <w:spacing w:val="-2"/>
                <w:sz w:val="16"/>
              </w:rPr>
              <w:t>633,751</w:t>
            </w:r>
          </w:p>
        </w:tc>
        <w:tc>
          <w:tcPr>
            <w:tcW w:w="764" w:type="dxa"/>
            <w:tcBorders>
              <w:left w:val="single" w:sz="4" w:space="0" w:color="FFFFFF"/>
              <w:right w:val="nil"/>
            </w:tcBorders>
            <w:shd w:val="clear" w:color="auto" w:fill="CCE2ED"/>
          </w:tcPr>
          <w:p w14:paraId="58284CE3" w14:textId="77777777" w:rsidR="00141B97" w:rsidRDefault="00911D63">
            <w:pPr>
              <w:pStyle w:val="TableParagraph"/>
              <w:spacing w:before="134"/>
              <w:ind w:right="103"/>
              <w:jc w:val="right"/>
              <w:rPr>
                <w:sz w:val="16"/>
              </w:rPr>
            </w:pPr>
            <w:r>
              <w:rPr>
                <w:spacing w:val="-2"/>
                <w:sz w:val="16"/>
              </w:rPr>
              <w:t>668,852</w:t>
            </w:r>
          </w:p>
        </w:tc>
        <w:tc>
          <w:tcPr>
            <w:tcW w:w="744" w:type="dxa"/>
            <w:tcBorders>
              <w:left w:val="nil"/>
              <w:right w:val="single" w:sz="4" w:space="0" w:color="FFFFFF"/>
            </w:tcBorders>
            <w:shd w:val="clear" w:color="auto" w:fill="CCE2ED"/>
          </w:tcPr>
          <w:p w14:paraId="1D1A8CD0" w14:textId="77777777" w:rsidR="00141B97" w:rsidRDefault="00911D63">
            <w:pPr>
              <w:pStyle w:val="TableParagraph"/>
              <w:spacing w:before="134"/>
              <w:ind w:right="93"/>
              <w:jc w:val="right"/>
              <w:rPr>
                <w:sz w:val="16"/>
              </w:rPr>
            </w:pPr>
            <w:r>
              <w:rPr>
                <w:spacing w:val="-2"/>
                <w:sz w:val="16"/>
              </w:rPr>
              <w:t>646,031</w:t>
            </w:r>
          </w:p>
        </w:tc>
        <w:tc>
          <w:tcPr>
            <w:tcW w:w="753" w:type="dxa"/>
            <w:tcBorders>
              <w:left w:val="single" w:sz="4" w:space="0" w:color="FFFFFF"/>
              <w:right w:val="single" w:sz="4" w:space="0" w:color="FFFFFF"/>
            </w:tcBorders>
            <w:shd w:val="clear" w:color="auto" w:fill="CCE2ED"/>
          </w:tcPr>
          <w:p w14:paraId="1E98D411" w14:textId="77777777" w:rsidR="00141B97" w:rsidRDefault="00911D63">
            <w:pPr>
              <w:pStyle w:val="TableParagraph"/>
              <w:spacing w:before="134"/>
              <w:ind w:right="91"/>
              <w:jc w:val="right"/>
              <w:rPr>
                <w:sz w:val="16"/>
              </w:rPr>
            </w:pPr>
            <w:r>
              <w:rPr>
                <w:spacing w:val="-2"/>
                <w:sz w:val="16"/>
              </w:rPr>
              <w:t>669,508</w:t>
            </w:r>
          </w:p>
        </w:tc>
        <w:tc>
          <w:tcPr>
            <w:tcW w:w="874" w:type="dxa"/>
            <w:tcBorders>
              <w:left w:val="single" w:sz="4" w:space="0" w:color="FFFFFF"/>
              <w:right w:val="single" w:sz="4" w:space="0" w:color="FFFFFF"/>
            </w:tcBorders>
            <w:shd w:val="clear" w:color="auto" w:fill="CCE2ED"/>
          </w:tcPr>
          <w:p w14:paraId="680C551C" w14:textId="77777777" w:rsidR="00141B97" w:rsidRDefault="00911D63">
            <w:pPr>
              <w:pStyle w:val="TableParagraph"/>
              <w:spacing w:before="134"/>
              <w:ind w:right="91"/>
              <w:jc w:val="right"/>
              <w:rPr>
                <w:sz w:val="16"/>
              </w:rPr>
            </w:pPr>
            <w:r>
              <w:rPr>
                <w:spacing w:val="-2"/>
                <w:sz w:val="16"/>
              </w:rPr>
              <w:t>2,488,625</w:t>
            </w:r>
          </w:p>
        </w:tc>
        <w:tc>
          <w:tcPr>
            <w:tcW w:w="876" w:type="dxa"/>
            <w:tcBorders>
              <w:left w:val="single" w:sz="4" w:space="0" w:color="FFFFFF"/>
              <w:right w:val="single" w:sz="4" w:space="0" w:color="FFFFFF"/>
            </w:tcBorders>
            <w:shd w:val="clear" w:color="auto" w:fill="CCE2ED"/>
          </w:tcPr>
          <w:p w14:paraId="3C29F135" w14:textId="77777777" w:rsidR="00141B97" w:rsidRDefault="00911D63">
            <w:pPr>
              <w:pStyle w:val="TableParagraph"/>
              <w:spacing w:before="134"/>
              <w:ind w:right="89"/>
              <w:jc w:val="right"/>
              <w:rPr>
                <w:sz w:val="16"/>
              </w:rPr>
            </w:pPr>
            <w:r>
              <w:rPr>
                <w:spacing w:val="-2"/>
                <w:sz w:val="16"/>
              </w:rPr>
              <w:t>2,626,824</w:t>
            </w:r>
          </w:p>
        </w:tc>
        <w:tc>
          <w:tcPr>
            <w:tcW w:w="765" w:type="dxa"/>
            <w:tcBorders>
              <w:left w:val="single" w:sz="4" w:space="0" w:color="FFFFFF"/>
              <w:right w:val="nil"/>
            </w:tcBorders>
            <w:shd w:val="clear" w:color="auto" w:fill="CCE2ED"/>
          </w:tcPr>
          <w:p w14:paraId="30175685" w14:textId="77777777" w:rsidR="00141B97" w:rsidRDefault="00911D63">
            <w:pPr>
              <w:pStyle w:val="TableParagraph"/>
              <w:spacing w:before="134"/>
              <w:ind w:right="101"/>
              <w:jc w:val="right"/>
              <w:rPr>
                <w:sz w:val="16"/>
              </w:rPr>
            </w:pPr>
            <w:r>
              <w:rPr>
                <w:spacing w:val="-2"/>
                <w:sz w:val="16"/>
              </w:rPr>
              <w:t>138,199</w:t>
            </w:r>
          </w:p>
        </w:tc>
        <w:tc>
          <w:tcPr>
            <w:tcW w:w="690" w:type="dxa"/>
            <w:tcBorders>
              <w:left w:val="nil"/>
              <w:right w:val="nil"/>
            </w:tcBorders>
            <w:shd w:val="clear" w:color="auto" w:fill="CCE2ED"/>
          </w:tcPr>
          <w:p w14:paraId="0A5F051C" w14:textId="77777777" w:rsidR="00141B97" w:rsidRDefault="00911D63">
            <w:pPr>
              <w:pStyle w:val="TableParagraph"/>
              <w:spacing w:before="134"/>
              <w:ind w:right="90"/>
              <w:jc w:val="right"/>
              <w:rPr>
                <w:sz w:val="16"/>
              </w:rPr>
            </w:pPr>
            <w:r>
              <w:rPr>
                <w:spacing w:val="-4"/>
                <w:sz w:val="16"/>
              </w:rPr>
              <w:t>5.6%</w:t>
            </w:r>
          </w:p>
        </w:tc>
      </w:tr>
      <w:tr w:rsidR="00141B97" w14:paraId="1C0C848E" w14:textId="77777777">
        <w:trPr>
          <w:trHeight w:val="314"/>
        </w:trPr>
        <w:tc>
          <w:tcPr>
            <w:tcW w:w="1130" w:type="dxa"/>
            <w:tcBorders>
              <w:left w:val="nil"/>
              <w:right w:val="single" w:sz="4" w:space="0" w:color="FFFFFF"/>
            </w:tcBorders>
            <w:shd w:val="clear" w:color="auto" w:fill="CCE2ED"/>
          </w:tcPr>
          <w:p w14:paraId="79FA1FCF" w14:textId="77777777" w:rsidR="00141B97" w:rsidRDefault="00911D63">
            <w:pPr>
              <w:pStyle w:val="TableParagraph"/>
              <w:spacing w:before="59"/>
              <w:ind w:left="93"/>
              <w:rPr>
                <w:sz w:val="16"/>
              </w:rPr>
            </w:pPr>
            <w:r>
              <w:rPr>
                <w:spacing w:val="-2"/>
                <w:sz w:val="16"/>
              </w:rPr>
              <w:t>Variance</w:t>
            </w:r>
          </w:p>
        </w:tc>
        <w:tc>
          <w:tcPr>
            <w:tcW w:w="754" w:type="dxa"/>
            <w:tcBorders>
              <w:left w:val="single" w:sz="4" w:space="0" w:color="FFFFFF"/>
              <w:right w:val="single" w:sz="4" w:space="0" w:color="FFFFFF"/>
            </w:tcBorders>
            <w:shd w:val="clear" w:color="auto" w:fill="CCE2ED"/>
          </w:tcPr>
          <w:p w14:paraId="0BA3379F" w14:textId="77777777" w:rsidR="00141B97" w:rsidRDefault="00141B97">
            <w:pPr>
              <w:pStyle w:val="TableParagraph"/>
              <w:rPr>
                <w:rFonts w:ascii="Times New Roman"/>
                <w:sz w:val="16"/>
              </w:rPr>
            </w:pPr>
          </w:p>
        </w:tc>
        <w:tc>
          <w:tcPr>
            <w:tcW w:w="753" w:type="dxa"/>
            <w:tcBorders>
              <w:left w:val="single" w:sz="4" w:space="0" w:color="FFFFFF"/>
              <w:right w:val="single" w:sz="4" w:space="0" w:color="FFFFFF"/>
            </w:tcBorders>
            <w:shd w:val="clear" w:color="auto" w:fill="CCE2ED"/>
          </w:tcPr>
          <w:p w14:paraId="0F998623" w14:textId="77777777" w:rsidR="00141B97" w:rsidRDefault="00911D63">
            <w:pPr>
              <w:pStyle w:val="TableParagraph"/>
              <w:spacing w:before="59"/>
              <w:ind w:right="96"/>
              <w:jc w:val="right"/>
              <w:rPr>
                <w:sz w:val="16"/>
              </w:rPr>
            </w:pPr>
            <w:r>
              <w:rPr>
                <w:spacing w:val="-2"/>
                <w:sz w:val="16"/>
              </w:rPr>
              <w:t>39,953</w:t>
            </w:r>
          </w:p>
        </w:tc>
        <w:tc>
          <w:tcPr>
            <w:tcW w:w="754" w:type="dxa"/>
            <w:tcBorders>
              <w:left w:val="single" w:sz="4" w:space="0" w:color="FFFFFF"/>
              <w:right w:val="single" w:sz="4" w:space="0" w:color="FFFFFF"/>
            </w:tcBorders>
            <w:shd w:val="clear" w:color="auto" w:fill="CCE2ED"/>
          </w:tcPr>
          <w:p w14:paraId="0FBBA91C" w14:textId="77777777" w:rsidR="00141B97" w:rsidRDefault="00141B97">
            <w:pPr>
              <w:pStyle w:val="TableParagraph"/>
              <w:rPr>
                <w:rFonts w:ascii="Times New Roman"/>
                <w:sz w:val="16"/>
              </w:rPr>
            </w:pPr>
          </w:p>
        </w:tc>
        <w:tc>
          <w:tcPr>
            <w:tcW w:w="753" w:type="dxa"/>
            <w:tcBorders>
              <w:left w:val="single" w:sz="4" w:space="0" w:color="FFFFFF"/>
              <w:right w:val="single" w:sz="4" w:space="0" w:color="FFFFFF"/>
            </w:tcBorders>
            <w:shd w:val="clear" w:color="auto" w:fill="CCE2ED"/>
          </w:tcPr>
          <w:p w14:paraId="2D535A16" w14:textId="77777777" w:rsidR="00141B97" w:rsidRDefault="00911D63">
            <w:pPr>
              <w:pStyle w:val="TableParagraph"/>
              <w:spacing w:before="59"/>
              <w:ind w:right="94"/>
              <w:jc w:val="right"/>
              <w:rPr>
                <w:sz w:val="16"/>
              </w:rPr>
            </w:pPr>
            <w:r>
              <w:rPr>
                <w:spacing w:val="-2"/>
                <w:sz w:val="16"/>
              </w:rPr>
              <w:t>39,668</w:t>
            </w:r>
          </w:p>
        </w:tc>
        <w:tc>
          <w:tcPr>
            <w:tcW w:w="753" w:type="dxa"/>
            <w:tcBorders>
              <w:left w:val="single" w:sz="4" w:space="0" w:color="FFFFFF"/>
              <w:right w:val="single" w:sz="4" w:space="0" w:color="FFFFFF"/>
            </w:tcBorders>
            <w:shd w:val="clear" w:color="auto" w:fill="CCE2ED"/>
          </w:tcPr>
          <w:p w14:paraId="71B3B955" w14:textId="77777777" w:rsidR="00141B97" w:rsidRDefault="00141B97">
            <w:pPr>
              <w:pStyle w:val="TableParagraph"/>
              <w:rPr>
                <w:rFonts w:ascii="Times New Roman"/>
                <w:sz w:val="16"/>
              </w:rPr>
            </w:pPr>
          </w:p>
        </w:tc>
        <w:tc>
          <w:tcPr>
            <w:tcW w:w="1508" w:type="dxa"/>
            <w:gridSpan w:val="2"/>
            <w:tcBorders>
              <w:left w:val="single" w:sz="4" w:space="0" w:color="FFFFFF"/>
              <w:right w:val="single" w:sz="4" w:space="0" w:color="FFFFFF"/>
            </w:tcBorders>
            <w:shd w:val="clear" w:color="auto" w:fill="CCE2ED"/>
          </w:tcPr>
          <w:p w14:paraId="16D9ECB0" w14:textId="77777777" w:rsidR="00141B97" w:rsidRDefault="00911D63">
            <w:pPr>
              <w:pStyle w:val="TableParagraph"/>
              <w:spacing w:before="59"/>
              <w:ind w:left="205"/>
              <w:rPr>
                <w:sz w:val="16"/>
              </w:rPr>
            </w:pPr>
            <w:r>
              <w:rPr>
                <w:spacing w:val="-2"/>
                <w:sz w:val="16"/>
              </w:rPr>
              <w:t>35,101</w:t>
            </w:r>
          </w:p>
        </w:tc>
        <w:tc>
          <w:tcPr>
            <w:tcW w:w="753" w:type="dxa"/>
            <w:tcBorders>
              <w:left w:val="single" w:sz="4" w:space="0" w:color="FFFFFF"/>
              <w:right w:val="single" w:sz="4" w:space="0" w:color="FFFFFF"/>
            </w:tcBorders>
            <w:shd w:val="clear" w:color="auto" w:fill="CCE2ED"/>
          </w:tcPr>
          <w:p w14:paraId="4159EAB0" w14:textId="77777777" w:rsidR="00141B97" w:rsidRDefault="00911D63">
            <w:pPr>
              <w:pStyle w:val="TableParagraph"/>
              <w:spacing w:before="59"/>
              <w:ind w:right="93"/>
              <w:jc w:val="right"/>
              <w:rPr>
                <w:sz w:val="16"/>
              </w:rPr>
            </w:pPr>
            <w:r>
              <w:rPr>
                <w:spacing w:val="-2"/>
                <w:sz w:val="16"/>
              </w:rPr>
              <w:t>23,477</w:t>
            </w:r>
          </w:p>
        </w:tc>
        <w:tc>
          <w:tcPr>
            <w:tcW w:w="874" w:type="dxa"/>
            <w:tcBorders>
              <w:left w:val="single" w:sz="4" w:space="0" w:color="FFFFFF"/>
              <w:right w:val="single" w:sz="4" w:space="0" w:color="FFFFFF"/>
            </w:tcBorders>
            <w:shd w:val="clear" w:color="auto" w:fill="CCE2ED"/>
          </w:tcPr>
          <w:p w14:paraId="318D381B" w14:textId="77777777" w:rsidR="00141B97" w:rsidRDefault="00141B97">
            <w:pPr>
              <w:pStyle w:val="TableParagraph"/>
              <w:rPr>
                <w:rFonts w:ascii="Times New Roman"/>
                <w:sz w:val="16"/>
              </w:rPr>
            </w:pPr>
          </w:p>
        </w:tc>
        <w:tc>
          <w:tcPr>
            <w:tcW w:w="876" w:type="dxa"/>
            <w:tcBorders>
              <w:left w:val="single" w:sz="4" w:space="0" w:color="FFFFFF"/>
              <w:right w:val="single" w:sz="4" w:space="0" w:color="FFFFFF"/>
            </w:tcBorders>
            <w:shd w:val="clear" w:color="auto" w:fill="CCE2ED"/>
          </w:tcPr>
          <w:p w14:paraId="11AE394E" w14:textId="77777777" w:rsidR="00141B97" w:rsidRDefault="00911D63">
            <w:pPr>
              <w:pStyle w:val="TableParagraph"/>
              <w:spacing w:before="59"/>
              <w:ind w:right="89"/>
              <w:jc w:val="right"/>
              <w:rPr>
                <w:sz w:val="16"/>
              </w:rPr>
            </w:pPr>
            <w:r>
              <w:rPr>
                <w:spacing w:val="-2"/>
                <w:sz w:val="16"/>
              </w:rPr>
              <w:t>138,199</w:t>
            </w:r>
          </w:p>
        </w:tc>
        <w:tc>
          <w:tcPr>
            <w:tcW w:w="1455" w:type="dxa"/>
            <w:gridSpan w:val="2"/>
            <w:tcBorders>
              <w:left w:val="single" w:sz="4" w:space="0" w:color="FFFFFF"/>
              <w:right w:val="nil"/>
            </w:tcBorders>
            <w:shd w:val="clear" w:color="auto" w:fill="CCE2ED"/>
          </w:tcPr>
          <w:p w14:paraId="63D9227A" w14:textId="77777777" w:rsidR="00141B97" w:rsidRDefault="00141B97">
            <w:pPr>
              <w:pStyle w:val="TableParagraph"/>
              <w:rPr>
                <w:rFonts w:ascii="Times New Roman"/>
                <w:sz w:val="16"/>
              </w:rPr>
            </w:pPr>
          </w:p>
        </w:tc>
      </w:tr>
      <w:tr w:rsidR="00141B97" w14:paraId="1BA6E4AE" w14:textId="77777777">
        <w:trPr>
          <w:trHeight w:val="690"/>
        </w:trPr>
        <w:tc>
          <w:tcPr>
            <w:tcW w:w="1130" w:type="dxa"/>
            <w:tcBorders>
              <w:left w:val="nil"/>
              <w:bottom w:val="nil"/>
              <w:right w:val="single" w:sz="4" w:space="0" w:color="FFFFFF"/>
            </w:tcBorders>
            <w:shd w:val="clear" w:color="auto" w:fill="BFBFBF"/>
          </w:tcPr>
          <w:p w14:paraId="2745F415" w14:textId="77777777" w:rsidR="00141B97" w:rsidRDefault="00141B97">
            <w:pPr>
              <w:pStyle w:val="TableParagraph"/>
              <w:spacing w:before="3"/>
              <w:rPr>
                <w:sz w:val="12"/>
              </w:rPr>
            </w:pPr>
          </w:p>
          <w:p w14:paraId="41B1A1D2" w14:textId="77777777" w:rsidR="00141B97" w:rsidRDefault="00911D63">
            <w:pPr>
              <w:pStyle w:val="TableParagraph"/>
              <w:ind w:left="93"/>
              <w:rPr>
                <w:sz w:val="16"/>
              </w:rPr>
            </w:pPr>
            <w:r>
              <w:rPr>
                <w:sz w:val="16"/>
              </w:rPr>
              <w:t>Total</w:t>
            </w:r>
            <w:r>
              <w:rPr>
                <w:spacing w:val="-10"/>
                <w:sz w:val="16"/>
              </w:rPr>
              <w:t xml:space="preserve"> </w:t>
            </w:r>
            <w:r>
              <w:rPr>
                <w:sz w:val="16"/>
              </w:rPr>
              <w:t>Water</w:t>
            </w:r>
            <w:r>
              <w:rPr>
                <w:spacing w:val="-9"/>
                <w:sz w:val="16"/>
              </w:rPr>
              <w:t xml:space="preserve"> </w:t>
            </w:r>
            <w:r>
              <w:rPr>
                <w:sz w:val="16"/>
              </w:rPr>
              <w:t>&amp;</w:t>
            </w:r>
            <w:r>
              <w:rPr>
                <w:spacing w:val="40"/>
                <w:sz w:val="16"/>
              </w:rPr>
              <w:t xml:space="preserve"> </w:t>
            </w:r>
            <w:r>
              <w:rPr>
                <w:spacing w:val="-4"/>
                <w:sz w:val="16"/>
              </w:rPr>
              <w:t>AUL</w:t>
            </w:r>
          </w:p>
        </w:tc>
        <w:tc>
          <w:tcPr>
            <w:tcW w:w="754" w:type="dxa"/>
            <w:tcBorders>
              <w:left w:val="single" w:sz="4" w:space="0" w:color="FFFFFF"/>
              <w:bottom w:val="nil"/>
              <w:right w:val="single" w:sz="4" w:space="0" w:color="FFFFFF"/>
            </w:tcBorders>
            <w:shd w:val="clear" w:color="auto" w:fill="BFBFBF"/>
          </w:tcPr>
          <w:p w14:paraId="5699C71C" w14:textId="77777777" w:rsidR="00141B97" w:rsidRDefault="00141B97">
            <w:pPr>
              <w:pStyle w:val="TableParagraph"/>
              <w:spacing w:before="2"/>
              <w:rPr>
                <w:sz w:val="20"/>
              </w:rPr>
            </w:pPr>
          </w:p>
          <w:p w14:paraId="6478647F" w14:textId="77777777" w:rsidR="00141B97" w:rsidRDefault="00911D63">
            <w:pPr>
              <w:pStyle w:val="TableParagraph"/>
              <w:ind w:right="93"/>
              <w:jc w:val="right"/>
              <w:rPr>
                <w:sz w:val="16"/>
              </w:rPr>
            </w:pPr>
            <w:r>
              <w:rPr>
                <w:spacing w:val="-2"/>
                <w:sz w:val="16"/>
              </w:rPr>
              <w:t>701,576</w:t>
            </w:r>
          </w:p>
        </w:tc>
        <w:tc>
          <w:tcPr>
            <w:tcW w:w="753" w:type="dxa"/>
            <w:tcBorders>
              <w:left w:val="single" w:sz="4" w:space="0" w:color="FFFFFF"/>
              <w:bottom w:val="nil"/>
              <w:right w:val="single" w:sz="4" w:space="0" w:color="FFFFFF"/>
            </w:tcBorders>
            <w:shd w:val="clear" w:color="auto" w:fill="BFBFBF"/>
          </w:tcPr>
          <w:p w14:paraId="79B4487B" w14:textId="77777777" w:rsidR="00141B97" w:rsidRDefault="00141B97">
            <w:pPr>
              <w:pStyle w:val="TableParagraph"/>
              <w:spacing w:before="2"/>
              <w:rPr>
                <w:sz w:val="20"/>
              </w:rPr>
            </w:pPr>
          </w:p>
          <w:p w14:paraId="144D898D" w14:textId="77777777" w:rsidR="00141B97" w:rsidRDefault="00911D63">
            <w:pPr>
              <w:pStyle w:val="TableParagraph"/>
              <w:ind w:right="92"/>
              <w:jc w:val="right"/>
              <w:rPr>
                <w:sz w:val="16"/>
              </w:rPr>
            </w:pPr>
            <w:r>
              <w:rPr>
                <w:spacing w:val="-2"/>
                <w:sz w:val="16"/>
              </w:rPr>
              <w:t>747,702</w:t>
            </w:r>
          </w:p>
        </w:tc>
        <w:tc>
          <w:tcPr>
            <w:tcW w:w="754" w:type="dxa"/>
            <w:tcBorders>
              <w:left w:val="single" w:sz="4" w:space="0" w:color="FFFFFF"/>
              <w:bottom w:val="nil"/>
              <w:right w:val="single" w:sz="4" w:space="0" w:color="FFFFFF"/>
            </w:tcBorders>
            <w:shd w:val="clear" w:color="auto" w:fill="BFBFBF"/>
          </w:tcPr>
          <w:p w14:paraId="7DA2AB3A" w14:textId="77777777" w:rsidR="00141B97" w:rsidRDefault="00141B97">
            <w:pPr>
              <w:pStyle w:val="TableParagraph"/>
              <w:spacing w:before="2"/>
              <w:rPr>
                <w:sz w:val="20"/>
              </w:rPr>
            </w:pPr>
          </w:p>
          <w:p w14:paraId="648FDB6F" w14:textId="77777777" w:rsidR="00141B97" w:rsidRDefault="00911D63">
            <w:pPr>
              <w:pStyle w:val="TableParagraph"/>
              <w:ind w:right="93"/>
              <w:jc w:val="right"/>
              <w:rPr>
                <w:sz w:val="16"/>
              </w:rPr>
            </w:pPr>
            <w:r>
              <w:rPr>
                <w:spacing w:val="-2"/>
                <w:sz w:val="16"/>
              </w:rPr>
              <w:t>724,844</w:t>
            </w:r>
          </w:p>
        </w:tc>
        <w:tc>
          <w:tcPr>
            <w:tcW w:w="753" w:type="dxa"/>
            <w:tcBorders>
              <w:left w:val="single" w:sz="4" w:space="0" w:color="FFFFFF"/>
              <w:bottom w:val="nil"/>
              <w:right w:val="single" w:sz="4" w:space="0" w:color="FFFFFF"/>
            </w:tcBorders>
            <w:shd w:val="clear" w:color="auto" w:fill="BFBFBF"/>
          </w:tcPr>
          <w:p w14:paraId="7DE22BD4" w14:textId="77777777" w:rsidR="00141B97" w:rsidRDefault="00141B97">
            <w:pPr>
              <w:pStyle w:val="TableParagraph"/>
              <w:spacing w:before="2"/>
              <w:rPr>
                <w:sz w:val="20"/>
              </w:rPr>
            </w:pPr>
          </w:p>
          <w:p w14:paraId="68B8638B" w14:textId="77777777" w:rsidR="00141B97" w:rsidRDefault="00911D63">
            <w:pPr>
              <w:pStyle w:val="TableParagraph"/>
              <w:ind w:right="92"/>
              <w:jc w:val="right"/>
              <w:rPr>
                <w:sz w:val="16"/>
              </w:rPr>
            </w:pPr>
            <w:r>
              <w:rPr>
                <w:spacing w:val="-2"/>
                <w:sz w:val="16"/>
              </w:rPr>
              <w:t>755,890</w:t>
            </w:r>
          </w:p>
        </w:tc>
        <w:tc>
          <w:tcPr>
            <w:tcW w:w="753" w:type="dxa"/>
            <w:tcBorders>
              <w:left w:val="single" w:sz="4" w:space="0" w:color="FFFFFF"/>
              <w:bottom w:val="nil"/>
              <w:right w:val="single" w:sz="4" w:space="0" w:color="FFFFFF"/>
            </w:tcBorders>
            <w:shd w:val="clear" w:color="auto" w:fill="BFBFBF"/>
          </w:tcPr>
          <w:p w14:paraId="04CFAB55" w14:textId="77777777" w:rsidR="00141B97" w:rsidRDefault="00141B97">
            <w:pPr>
              <w:pStyle w:val="TableParagraph"/>
              <w:spacing w:before="2"/>
              <w:rPr>
                <w:sz w:val="20"/>
              </w:rPr>
            </w:pPr>
          </w:p>
          <w:p w14:paraId="2DEC9B92" w14:textId="77777777" w:rsidR="00141B97" w:rsidRDefault="00911D63">
            <w:pPr>
              <w:pStyle w:val="TableParagraph"/>
              <w:ind w:right="90"/>
              <w:jc w:val="right"/>
              <w:rPr>
                <w:sz w:val="16"/>
              </w:rPr>
            </w:pPr>
            <w:r>
              <w:rPr>
                <w:spacing w:val="-2"/>
                <w:sz w:val="16"/>
              </w:rPr>
              <w:t>744,078</w:t>
            </w:r>
          </w:p>
        </w:tc>
        <w:tc>
          <w:tcPr>
            <w:tcW w:w="764" w:type="dxa"/>
            <w:tcBorders>
              <w:left w:val="single" w:sz="4" w:space="0" w:color="FFFFFF"/>
              <w:bottom w:val="nil"/>
              <w:right w:val="nil"/>
            </w:tcBorders>
            <w:shd w:val="clear" w:color="auto" w:fill="BFBFBF"/>
          </w:tcPr>
          <w:p w14:paraId="6918F2A6" w14:textId="77777777" w:rsidR="00141B97" w:rsidRDefault="00141B97">
            <w:pPr>
              <w:pStyle w:val="TableParagraph"/>
              <w:spacing w:before="2"/>
              <w:rPr>
                <w:sz w:val="20"/>
              </w:rPr>
            </w:pPr>
          </w:p>
          <w:p w14:paraId="7D21B67F" w14:textId="77777777" w:rsidR="00141B97" w:rsidRDefault="00911D63">
            <w:pPr>
              <w:pStyle w:val="TableParagraph"/>
              <w:ind w:right="101"/>
              <w:jc w:val="right"/>
              <w:rPr>
                <w:sz w:val="16"/>
              </w:rPr>
            </w:pPr>
            <w:r>
              <w:rPr>
                <w:spacing w:val="-2"/>
                <w:sz w:val="16"/>
              </w:rPr>
              <w:t>769,137</w:t>
            </w:r>
          </w:p>
        </w:tc>
        <w:tc>
          <w:tcPr>
            <w:tcW w:w="744" w:type="dxa"/>
            <w:tcBorders>
              <w:left w:val="nil"/>
              <w:bottom w:val="nil"/>
              <w:right w:val="single" w:sz="4" w:space="0" w:color="FFFFFF"/>
            </w:tcBorders>
            <w:shd w:val="clear" w:color="auto" w:fill="BFBFBF"/>
          </w:tcPr>
          <w:p w14:paraId="1163316E" w14:textId="77777777" w:rsidR="00141B97" w:rsidRDefault="00141B97">
            <w:pPr>
              <w:pStyle w:val="TableParagraph"/>
              <w:spacing w:before="2"/>
              <w:rPr>
                <w:sz w:val="20"/>
              </w:rPr>
            </w:pPr>
          </w:p>
          <w:p w14:paraId="256C1637" w14:textId="77777777" w:rsidR="00141B97" w:rsidRDefault="00911D63">
            <w:pPr>
              <w:pStyle w:val="TableParagraph"/>
              <w:ind w:right="91"/>
              <w:jc w:val="right"/>
              <w:rPr>
                <w:sz w:val="16"/>
              </w:rPr>
            </w:pPr>
            <w:r>
              <w:rPr>
                <w:spacing w:val="-2"/>
                <w:sz w:val="16"/>
              </w:rPr>
              <w:t>757,404</w:t>
            </w:r>
          </w:p>
        </w:tc>
        <w:tc>
          <w:tcPr>
            <w:tcW w:w="753" w:type="dxa"/>
            <w:tcBorders>
              <w:left w:val="single" w:sz="4" w:space="0" w:color="FFFFFF"/>
              <w:bottom w:val="nil"/>
              <w:right w:val="single" w:sz="4" w:space="0" w:color="FFFFFF"/>
            </w:tcBorders>
            <w:shd w:val="clear" w:color="auto" w:fill="BFBFBF"/>
          </w:tcPr>
          <w:p w14:paraId="3E9CF9DF" w14:textId="77777777" w:rsidR="00141B97" w:rsidRDefault="00141B97">
            <w:pPr>
              <w:pStyle w:val="TableParagraph"/>
              <w:spacing w:before="2"/>
              <w:rPr>
                <w:sz w:val="20"/>
              </w:rPr>
            </w:pPr>
          </w:p>
          <w:p w14:paraId="272ABB34" w14:textId="77777777" w:rsidR="00141B97" w:rsidRDefault="00911D63">
            <w:pPr>
              <w:pStyle w:val="TableParagraph"/>
              <w:ind w:right="89"/>
              <w:jc w:val="right"/>
              <w:rPr>
                <w:sz w:val="16"/>
              </w:rPr>
            </w:pPr>
            <w:r>
              <w:rPr>
                <w:spacing w:val="-2"/>
                <w:sz w:val="16"/>
              </w:rPr>
              <w:t>769,189</w:t>
            </w:r>
          </w:p>
        </w:tc>
        <w:tc>
          <w:tcPr>
            <w:tcW w:w="874" w:type="dxa"/>
            <w:tcBorders>
              <w:left w:val="single" w:sz="4" w:space="0" w:color="FFFFFF"/>
              <w:bottom w:val="nil"/>
              <w:right w:val="single" w:sz="4" w:space="0" w:color="FFFFFF"/>
            </w:tcBorders>
            <w:shd w:val="clear" w:color="auto" w:fill="BFBFBF"/>
          </w:tcPr>
          <w:p w14:paraId="2D5C6F8A" w14:textId="77777777" w:rsidR="00141B97" w:rsidRDefault="00141B97">
            <w:pPr>
              <w:pStyle w:val="TableParagraph"/>
              <w:spacing w:before="2"/>
              <w:rPr>
                <w:sz w:val="20"/>
              </w:rPr>
            </w:pPr>
          </w:p>
          <w:p w14:paraId="4E2FDD12" w14:textId="77777777" w:rsidR="00141B97" w:rsidRDefault="00911D63">
            <w:pPr>
              <w:pStyle w:val="TableParagraph"/>
              <w:ind w:right="89"/>
              <w:jc w:val="right"/>
              <w:rPr>
                <w:sz w:val="16"/>
              </w:rPr>
            </w:pPr>
            <w:r>
              <w:rPr>
                <w:spacing w:val="-2"/>
                <w:sz w:val="16"/>
              </w:rPr>
              <w:t>2,927,902</w:t>
            </w:r>
          </w:p>
        </w:tc>
        <w:tc>
          <w:tcPr>
            <w:tcW w:w="876" w:type="dxa"/>
            <w:tcBorders>
              <w:left w:val="single" w:sz="4" w:space="0" w:color="FFFFFF"/>
              <w:bottom w:val="nil"/>
              <w:right w:val="single" w:sz="4" w:space="0" w:color="FFFFFF"/>
            </w:tcBorders>
            <w:shd w:val="clear" w:color="auto" w:fill="BFBFBF"/>
          </w:tcPr>
          <w:p w14:paraId="1D40D083" w14:textId="77777777" w:rsidR="00141B97" w:rsidRDefault="00141B97">
            <w:pPr>
              <w:pStyle w:val="TableParagraph"/>
              <w:spacing w:before="2"/>
              <w:rPr>
                <w:sz w:val="20"/>
              </w:rPr>
            </w:pPr>
          </w:p>
          <w:p w14:paraId="5A8BE451" w14:textId="77777777" w:rsidR="00141B97" w:rsidRDefault="00911D63">
            <w:pPr>
              <w:pStyle w:val="TableParagraph"/>
              <w:ind w:right="88"/>
              <w:jc w:val="right"/>
              <w:rPr>
                <w:sz w:val="16"/>
              </w:rPr>
            </w:pPr>
            <w:r>
              <w:rPr>
                <w:spacing w:val="-2"/>
                <w:sz w:val="16"/>
              </w:rPr>
              <w:t>3,041,918</w:t>
            </w:r>
          </w:p>
        </w:tc>
        <w:tc>
          <w:tcPr>
            <w:tcW w:w="765" w:type="dxa"/>
            <w:tcBorders>
              <w:left w:val="single" w:sz="4" w:space="0" w:color="FFFFFF"/>
              <w:bottom w:val="nil"/>
              <w:right w:val="nil"/>
            </w:tcBorders>
            <w:shd w:val="clear" w:color="auto" w:fill="BFBFBF"/>
          </w:tcPr>
          <w:p w14:paraId="43C2D024" w14:textId="77777777" w:rsidR="00141B97" w:rsidRDefault="00141B97">
            <w:pPr>
              <w:pStyle w:val="TableParagraph"/>
              <w:spacing w:before="2"/>
              <w:rPr>
                <w:sz w:val="20"/>
              </w:rPr>
            </w:pPr>
          </w:p>
          <w:p w14:paraId="23B7D151" w14:textId="77777777" w:rsidR="00141B97" w:rsidRDefault="00911D63">
            <w:pPr>
              <w:pStyle w:val="TableParagraph"/>
              <w:ind w:right="99"/>
              <w:jc w:val="right"/>
              <w:rPr>
                <w:sz w:val="16"/>
              </w:rPr>
            </w:pPr>
            <w:r>
              <w:rPr>
                <w:spacing w:val="-2"/>
                <w:sz w:val="16"/>
              </w:rPr>
              <w:t>114,039</w:t>
            </w:r>
          </w:p>
        </w:tc>
        <w:tc>
          <w:tcPr>
            <w:tcW w:w="690" w:type="dxa"/>
            <w:tcBorders>
              <w:left w:val="nil"/>
              <w:bottom w:val="nil"/>
              <w:right w:val="nil"/>
            </w:tcBorders>
            <w:shd w:val="clear" w:color="auto" w:fill="BFBFBF"/>
          </w:tcPr>
          <w:p w14:paraId="5DE5DAE7" w14:textId="77777777" w:rsidR="00141B97" w:rsidRDefault="00141B97">
            <w:pPr>
              <w:pStyle w:val="TableParagraph"/>
              <w:spacing w:before="2"/>
              <w:rPr>
                <w:sz w:val="20"/>
              </w:rPr>
            </w:pPr>
          </w:p>
          <w:p w14:paraId="560BBEE3" w14:textId="77777777" w:rsidR="00141B97" w:rsidRDefault="00911D63">
            <w:pPr>
              <w:pStyle w:val="TableParagraph"/>
              <w:ind w:right="89"/>
              <w:jc w:val="right"/>
              <w:rPr>
                <w:sz w:val="16"/>
              </w:rPr>
            </w:pPr>
            <w:r>
              <w:rPr>
                <w:spacing w:val="-4"/>
                <w:sz w:val="16"/>
              </w:rPr>
              <w:t>3.9%</w:t>
            </w:r>
          </w:p>
        </w:tc>
      </w:tr>
    </w:tbl>
    <w:p w14:paraId="6C9FB55C" w14:textId="77777777" w:rsidR="00141B97" w:rsidRDefault="00911D63">
      <w:pPr>
        <w:spacing w:before="45"/>
        <w:ind w:left="114"/>
        <w:jc w:val="both"/>
        <w:rPr>
          <w:sz w:val="16"/>
        </w:rPr>
      </w:pPr>
      <w:r>
        <w:rPr>
          <w:sz w:val="16"/>
        </w:rPr>
        <w:t>Table</w:t>
      </w:r>
      <w:r>
        <w:rPr>
          <w:spacing w:val="-4"/>
          <w:sz w:val="16"/>
        </w:rPr>
        <w:t xml:space="preserve"> </w:t>
      </w:r>
      <w:r>
        <w:rPr>
          <w:sz w:val="16"/>
        </w:rPr>
        <w:t>C2:</w:t>
      </w:r>
      <w:r>
        <w:rPr>
          <w:spacing w:val="-3"/>
          <w:sz w:val="16"/>
        </w:rPr>
        <w:t xml:space="preserve"> </w:t>
      </w:r>
      <w:r>
        <w:rPr>
          <w:sz w:val="16"/>
        </w:rPr>
        <w:t>Rural</w:t>
      </w:r>
      <w:r>
        <w:rPr>
          <w:spacing w:val="-4"/>
          <w:sz w:val="16"/>
        </w:rPr>
        <w:t xml:space="preserve"> </w:t>
      </w:r>
      <w:r>
        <w:rPr>
          <w:spacing w:val="-2"/>
          <w:sz w:val="16"/>
        </w:rPr>
        <w:t>Water</w:t>
      </w:r>
    </w:p>
    <w:p w14:paraId="45FD7592" w14:textId="77777777" w:rsidR="00141B97" w:rsidRDefault="00141B97">
      <w:pPr>
        <w:pStyle w:val="BodyText"/>
        <w:spacing w:before="8"/>
        <w:rPr>
          <w:sz w:val="20"/>
        </w:rPr>
      </w:pPr>
    </w:p>
    <w:p w14:paraId="2794324A" w14:textId="77777777" w:rsidR="00141B97" w:rsidRDefault="00911D63">
      <w:pPr>
        <w:pStyle w:val="ListParagraph"/>
        <w:numPr>
          <w:ilvl w:val="2"/>
          <w:numId w:val="37"/>
        </w:numPr>
        <w:tabs>
          <w:tab w:val="left" w:pos="1112"/>
          <w:tab w:val="left" w:pos="1113"/>
        </w:tabs>
        <w:ind w:left="1112"/>
        <w:jc w:val="both"/>
      </w:pPr>
      <w:r>
        <w:t>Rural</w:t>
      </w:r>
      <w:r>
        <w:rPr>
          <w:spacing w:val="-5"/>
        </w:rPr>
        <w:t xml:space="preserve"> </w:t>
      </w:r>
      <w:r>
        <w:rPr>
          <w:spacing w:val="-2"/>
        </w:rPr>
        <w:t>Revenue</w:t>
      </w:r>
    </w:p>
    <w:p w14:paraId="7B5A08F6" w14:textId="77777777" w:rsidR="00141B97" w:rsidRDefault="00911D63">
      <w:pPr>
        <w:pStyle w:val="BodyText"/>
        <w:spacing w:before="59"/>
        <w:ind w:left="114"/>
        <w:jc w:val="both"/>
      </w:pPr>
      <w:r>
        <w:t>Table</w:t>
      </w:r>
      <w:r>
        <w:rPr>
          <w:spacing w:val="-6"/>
        </w:rPr>
        <w:t xml:space="preserve"> </w:t>
      </w:r>
      <w:r>
        <w:t>C3</w:t>
      </w:r>
      <w:r>
        <w:rPr>
          <w:spacing w:val="-7"/>
        </w:rPr>
        <w:t xml:space="preserve"> </w:t>
      </w:r>
      <w:r>
        <w:t>shows</w:t>
      </w:r>
      <w:r>
        <w:rPr>
          <w:spacing w:val="-6"/>
        </w:rPr>
        <w:t xml:space="preserve"> </w:t>
      </w:r>
      <w:r>
        <w:t>the</w:t>
      </w:r>
      <w:r>
        <w:rPr>
          <w:spacing w:val="-7"/>
        </w:rPr>
        <w:t xml:space="preserve"> </w:t>
      </w:r>
      <w:r>
        <w:t>revenue</w:t>
      </w:r>
      <w:r>
        <w:rPr>
          <w:spacing w:val="-7"/>
        </w:rPr>
        <w:t xml:space="preserve"> </w:t>
      </w:r>
      <w:r>
        <w:t>decrease</w:t>
      </w:r>
      <w:r>
        <w:rPr>
          <w:spacing w:val="-6"/>
        </w:rPr>
        <w:t xml:space="preserve"> </w:t>
      </w:r>
      <w:r>
        <w:t>of</w:t>
      </w:r>
      <w:r>
        <w:rPr>
          <w:spacing w:val="-7"/>
        </w:rPr>
        <w:t xml:space="preserve"> </w:t>
      </w:r>
      <w:r>
        <w:t>$0.08m</w:t>
      </w:r>
      <w:r>
        <w:rPr>
          <w:spacing w:val="-6"/>
        </w:rPr>
        <w:t xml:space="preserve"> </w:t>
      </w:r>
      <w:r>
        <w:t>or</w:t>
      </w:r>
      <w:r>
        <w:rPr>
          <w:spacing w:val="-6"/>
        </w:rPr>
        <w:t xml:space="preserve"> </w:t>
      </w:r>
      <w:r>
        <w:rPr>
          <w:spacing w:val="-2"/>
        </w:rPr>
        <w:t>‐0.1%.</w:t>
      </w:r>
    </w:p>
    <w:p w14:paraId="4816BB87"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641"/>
        <w:gridCol w:w="704"/>
        <w:gridCol w:w="703"/>
        <w:gridCol w:w="704"/>
        <w:gridCol w:w="704"/>
        <w:gridCol w:w="703"/>
        <w:gridCol w:w="704"/>
        <w:gridCol w:w="704"/>
        <w:gridCol w:w="703"/>
        <w:gridCol w:w="704"/>
        <w:gridCol w:w="704"/>
        <w:gridCol w:w="703"/>
        <w:gridCol w:w="704"/>
      </w:tblGrid>
      <w:tr w:rsidR="00141B97" w14:paraId="033380A0" w14:textId="77777777">
        <w:trPr>
          <w:trHeight w:val="285"/>
          <w:tblCellSpacing w:w="9" w:type="dxa"/>
        </w:trPr>
        <w:tc>
          <w:tcPr>
            <w:tcW w:w="1614" w:type="dxa"/>
            <w:tcBorders>
              <w:top w:val="nil"/>
              <w:left w:val="nil"/>
            </w:tcBorders>
            <w:shd w:val="clear" w:color="auto" w:fill="006CA3"/>
          </w:tcPr>
          <w:p w14:paraId="2B25151E" w14:textId="77777777" w:rsidR="00141B97" w:rsidRDefault="00141B97">
            <w:pPr>
              <w:pStyle w:val="TableParagraph"/>
              <w:rPr>
                <w:rFonts w:ascii="Times New Roman"/>
                <w:sz w:val="16"/>
              </w:rPr>
            </w:pPr>
          </w:p>
        </w:tc>
        <w:tc>
          <w:tcPr>
            <w:tcW w:w="1371" w:type="dxa"/>
            <w:gridSpan w:val="2"/>
            <w:tcBorders>
              <w:top w:val="nil"/>
            </w:tcBorders>
            <w:shd w:val="clear" w:color="auto" w:fill="006CA3"/>
          </w:tcPr>
          <w:p w14:paraId="48A7E907" w14:textId="77777777" w:rsidR="00141B97" w:rsidRDefault="00911D63">
            <w:pPr>
              <w:pStyle w:val="TableParagraph"/>
              <w:spacing w:before="38"/>
              <w:ind w:left="407"/>
              <w:rPr>
                <w:sz w:val="16"/>
              </w:rPr>
            </w:pPr>
            <w:r>
              <w:rPr>
                <w:color w:val="FFFFFF"/>
                <w:spacing w:val="-2"/>
                <w:sz w:val="16"/>
              </w:rPr>
              <w:t>2018‐19</w:t>
            </w:r>
          </w:p>
        </w:tc>
        <w:tc>
          <w:tcPr>
            <w:tcW w:w="1372" w:type="dxa"/>
            <w:gridSpan w:val="2"/>
            <w:tcBorders>
              <w:top w:val="nil"/>
            </w:tcBorders>
            <w:shd w:val="clear" w:color="auto" w:fill="006CA3"/>
          </w:tcPr>
          <w:p w14:paraId="6CA3962B" w14:textId="77777777" w:rsidR="00141B97" w:rsidRDefault="00911D63">
            <w:pPr>
              <w:pStyle w:val="TableParagraph"/>
              <w:spacing w:before="38"/>
              <w:ind w:left="408"/>
              <w:rPr>
                <w:sz w:val="16"/>
              </w:rPr>
            </w:pPr>
            <w:r>
              <w:rPr>
                <w:color w:val="FFFFFF"/>
                <w:spacing w:val="-2"/>
                <w:sz w:val="16"/>
              </w:rPr>
              <w:t>2019‐20</w:t>
            </w:r>
          </w:p>
        </w:tc>
        <w:tc>
          <w:tcPr>
            <w:tcW w:w="1371" w:type="dxa"/>
            <w:gridSpan w:val="2"/>
            <w:tcBorders>
              <w:top w:val="nil"/>
            </w:tcBorders>
            <w:shd w:val="clear" w:color="auto" w:fill="006CA3"/>
          </w:tcPr>
          <w:p w14:paraId="5AC4EDA6" w14:textId="77777777" w:rsidR="00141B97" w:rsidRDefault="00911D63">
            <w:pPr>
              <w:pStyle w:val="TableParagraph"/>
              <w:spacing w:before="38"/>
              <w:ind w:left="407"/>
              <w:rPr>
                <w:sz w:val="16"/>
              </w:rPr>
            </w:pPr>
            <w:r>
              <w:rPr>
                <w:color w:val="FFFFFF"/>
                <w:spacing w:val="-2"/>
                <w:sz w:val="16"/>
              </w:rPr>
              <w:t>2020‐21</w:t>
            </w:r>
          </w:p>
        </w:tc>
        <w:tc>
          <w:tcPr>
            <w:tcW w:w="1371" w:type="dxa"/>
            <w:gridSpan w:val="2"/>
            <w:tcBorders>
              <w:top w:val="nil"/>
            </w:tcBorders>
            <w:shd w:val="clear" w:color="auto" w:fill="006CA3"/>
          </w:tcPr>
          <w:p w14:paraId="4FDDE739" w14:textId="77777777" w:rsidR="00141B97" w:rsidRDefault="00911D63">
            <w:pPr>
              <w:pStyle w:val="TableParagraph"/>
              <w:spacing w:before="38"/>
              <w:ind w:left="409"/>
              <w:rPr>
                <w:sz w:val="16"/>
              </w:rPr>
            </w:pPr>
            <w:r>
              <w:rPr>
                <w:color w:val="FFFFFF"/>
                <w:spacing w:val="-2"/>
                <w:sz w:val="16"/>
              </w:rPr>
              <w:t>2021‐22</w:t>
            </w:r>
          </w:p>
        </w:tc>
        <w:tc>
          <w:tcPr>
            <w:tcW w:w="2734" w:type="dxa"/>
            <w:gridSpan w:val="4"/>
            <w:tcBorders>
              <w:top w:val="nil"/>
              <w:right w:val="nil"/>
            </w:tcBorders>
            <w:shd w:val="clear" w:color="auto" w:fill="006CA3"/>
          </w:tcPr>
          <w:p w14:paraId="0EFC6175" w14:textId="77777777" w:rsidR="00141B97" w:rsidRDefault="00911D63">
            <w:pPr>
              <w:pStyle w:val="TableParagraph"/>
              <w:tabs>
                <w:tab w:val="left" w:pos="1769"/>
              </w:tabs>
              <w:spacing w:before="38"/>
              <w:ind w:left="257"/>
              <w:rPr>
                <w:sz w:val="16"/>
              </w:rPr>
            </w:pPr>
            <w:r>
              <w:rPr>
                <w:color w:val="FFFFFF"/>
                <w:sz w:val="16"/>
              </w:rPr>
              <w:t>Period</w:t>
            </w:r>
            <w:r>
              <w:rPr>
                <w:color w:val="FFFFFF"/>
                <w:spacing w:val="-6"/>
                <w:sz w:val="16"/>
              </w:rPr>
              <w:t xml:space="preserve"> </w:t>
            </w:r>
            <w:r>
              <w:rPr>
                <w:color w:val="FFFFFF"/>
                <w:spacing w:val="-2"/>
                <w:sz w:val="16"/>
              </w:rPr>
              <w:t>Totals</w:t>
            </w:r>
            <w:r>
              <w:rPr>
                <w:color w:val="FFFFFF"/>
                <w:sz w:val="16"/>
              </w:rPr>
              <w:tab/>
            </w:r>
            <w:r>
              <w:rPr>
                <w:color w:val="FFFFFF"/>
                <w:spacing w:val="-2"/>
                <w:sz w:val="16"/>
              </w:rPr>
              <w:t>Variance</w:t>
            </w:r>
          </w:p>
        </w:tc>
      </w:tr>
      <w:tr w:rsidR="00141B97" w14:paraId="65EABE11" w14:textId="77777777">
        <w:trPr>
          <w:trHeight w:val="209"/>
          <w:tblCellSpacing w:w="9" w:type="dxa"/>
        </w:trPr>
        <w:tc>
          <w:tcPr>
            <w:tcW w:w="1614" w:type="dxa"/>
            <w:tcBorders>
              <w:left w:val="nil"/>
            </w:tcBorders>
            <w:shd w:val="clear" w:color="auto" w:fill="006CA3"/>
          </w:tcPr>
          <w:p w14:paraId="69DA39A9" w14:textId="77777777" w:rsidR="00141B97" w:rsidRDefault="00911D63">
            <w:pPr>
              <w:pStyle w:val="TableParagraph"/>
              <w:spacing w:before="1" w:line="188" w:lineRule="exact"/>
              <w:ind w:left="90" w:right="96"/>
              <w:jc w:val="center"/>
              <w:rPr>
                <w:sz w:val="16"/>
              </w:rPr>
            </w:pPr>
            <w:r>
              <w:rPr>
                <w:color w:val="FFFFFF"/>
                <w:spacing w:val="-5"/>
                <w:sz w:val="16"/>
              </w:rPr>
              <w:t>$m</w:t>
            </w:r>
          </w:p>
        </w:tc>
        <w:tc>
          <w:tcPr>
            <w:tcW w:w="686" w:type="dxa"/>
            <w:shd w:val="clear" w:color="auto" w:fill="006CA3"/>
          </w:tcPr>
          <w:p w14:paraId="73E309CC" w14:textId="77777777" w:rsidR="00141B97" w:rsidRDefault="00911D63">
            <w:pPr>
              <w:pStyle w:val="TableParagraph"/>
              <w:spacing w:before="1" w:line="188" w:lineRule="exact"/>
              <w:ind w:left="102"/>
              <w:rPr>
                <w:sz w:val="16"/>
              </w:rPr>
            </w:pPr>
            <w:r>
              <w:rPr>
                <w:color w:val="FFFFFF"/>
                <w:spacing w:val="-2"/>
                <w:sz w:val="16"/>
              </w:rPr>
              <w:t>Budget</w:t>
            </w:r>
          </w:p>
        </w:tc>
        <w:tc>
          <w:tcPr>
            <w:tcW w:w="685" w:type="dxa"/>
            <w:shd w:val="clear" w:color="auto" w:fill="006CA3"/>
          </w:tcPr>
          <w:p w14:paraId="67FBBC2F" w14:textId="77777777" w:rsidR="00141B97" w:rsidRDefault="00911D63">
            <w:pPr>
              <w:pStyle w:val="TableParagraph"/>
              <w:spacing w:before="1" w:line="188" w:lineRule="exact"/>
              <w:ind w:left="98" w:right="97"/>
              <w:jc w:val="center"/>
              <w:rPr>
                <w:sz w:val="16"/>
              </w:rPr>
            </w:pPr>
            <w:r>
              <w:rPr>
                <w:color w:val="FFFFFF"/>
                <w:spacing w:val="-2"/>
                <w:sz w:val="16"/>
              </w:rPr>
              <w:t>Actual</w:t>
            </w:r>
          </w:p>
        </w:tc>
        <w:tc>
          <w:tcPr>
            <w:tcW w:w="686" w:type="dxa"/>
            <w:shd w:val="clear" w:color="auto" w:fill="006CA3"/>
          </w:tcPr>
          <w:p w14:paraId="3F6F58A0" w14:textId="77777777" w:rsidR="00141B97" w:rsidRDefault="00911D63">
            <w:pPr>
              <w:pStyle w:val="TableParagraph"/>
              <w:spacing w:before="1" w:line="188" w:lineRule="exact"/>
              <w:ind w:left="103"/>
              <w:rPr>
                <w:sz w:val="16"/>
              </w:rPr>
            </w:pPr>
            <w:r>
              <w:rPr>
                <w:color w:val="FFFFFF"/>
                <w:spacing w:val="-2"/>
                <w:sz w:val="16"/>
              </w:rPr>
              <w:t>Budget</w:t>
            </w:r>
          </w:p>
        </w:tc>
        <w:tc>
          <w:tcPr>
            <w:tcW w:w="686" w:type="dxa"/>
            <w:shd w:val="clear" w:color="auto" w:fill="006CA3"/>
          </w:tcPr>
          <w:p w14:paraId="2DA7CE23" w14:textId="77777777" w:rsidR="00141B97" w:rsidRDefault="00911D63">
            <w:pPr>
              <w:pStyle w:val="TableParagraph"/>
              <w:spacing w:before="1" w:line="188" w:lineRule="exact"/>
              <w:ind w:left="98" w:right="97"/>
              <w:jc w:val="center"/>
              <w:rPr>
                <w:sz w:val="16"/>
              </w:rPr>
            </w:pPr>
            <w:r>
              <w:rPr>
                <w:color w:val="FFFFFF"/>
                <w:spacing w:val="-2"/>
                <w:sz w:val="16"/>
              </w:rPr>
              <w:t>Actual</w:t>
            </w:r>
          </w:p>
        </w:tc>
        <w:tc>
          <w:tcPr>
            <w:tcW w:w="685" w:type="dxa"/>
            <w:shd w:val="clear" w:color="auto" w:fill="006CA3"/>
          </w:tcPr>
          <w:p w14:paraId="199BF0A8" w14:textId="77777777" w:rsidR="00141B97" w:rsidRDefault="00911D63">
            <w:pPr>
              <w:pStyle w:val="TableParagraph"/>
              <w:spacing w:before="1" w:line="188" w:lineRule="exact"/>
              <w:ind w:left="100" w:right="97"/>
              <w:jc w:val="center"/>
              <w:rPr>
                <w:sz w:val="16"/>
              </w:rPr>
            </w:pPr>
            <w:r>
              <w:rPr>
                <w:color w:val="FFFFFF"/>
                <w:spacing w:val="-2"/>
                <w:sz w:val="16"/>
              </w:rPr>
              <w:t>Budget</w:t>
            </w:r>
          </w:p>
        </w:tc>
        <w:tc>
          <w:tcPr>
            <w:tcW w:w="686" w:type="dxa"/>
            <w:shd w:val="clear" w:color="auto" w:fill="006CA3"/>
          </w:tcPr>
          <w:p w14:paraId="0E6C0BA4" w14:textId="77777777" w:rsidR="00141B97" w:rsidRDefault="00911D63">
            <w:pPr>
              <w:pStyle w:val="TableParagraph"/>
              <w:spacing w:before="1" w:line="188" w:lineRule="exact"/>
              <w:ind w:left="99" w:right="97"/>
              <w:jc w:val="center"/>
              <w:rPr>
                <w:sz w:val="16"/>
              </w:rPr>
            </w:pPr>
            <w:r>
              <w:rPr>
                <w:color w:val="FFFFFF"/>
                <w:spacing w:val="-2"/>
                <w:sz w:val="16"/>
              </w:rPr>
              <w:t>Actual</w:t>
            </w:r>
          </w:p>
        </w:tc>
        <w:tc>
          <w:tcPr>
            <w:tcW w:w="686" w:type="dxa"/>
            <w:shd w:val="clear" w:color="auto" w:fill="006CA3"/>
          </w:tcPr>
          <w:p w14:paraId="6207454E" w14:textId="77777777" w:rsidR="00141B97" w:rsidRDefault="00911D63">
            <w:pPr>
              <w:pStyle w:val="TableParagraph"/>
              <w:spacing w:before="1" w:line="188" w:lineRule="exact"/>
              <w:ind w:right="99"/>
              <w:jc w:val="right"/>
              <w:rPr>
                <w:sz w:val="16"/>
              </w:rPr>
            </w:pPr>
            <w:r>
              <w:rPr>
                <w:color w:val="FFFFFF"/>
                <w:spacing w:val="-2"/>
                <w:sz w:val="16"/>
              </w:rPr>
              <w:t>Budget</w:t>
            </w:r>
          </w:p>
        </w:tc>
        <w:tc>
          <w:tcPr>
            <w:tcW w:w="685" w:type="dxa"/>
            <w:shd w:val="clear" w:color="auto" w:fill="006CA3"/>
          </w:tcPr>
          <w:p w14:paraId="4BFA9A0D" w14:textId="77777777" w:rsidR="00141B97" w:rsidRDefault="00911D63">
            <w:pPr>
              <w:pStyle w:val="TableParagraph"/>
              <w:spacing w:before="1" w:line="188" w:lineRule="exact"/>
              <w:ind w:left="132"/>
              <w:rPr>
                <w:sz w:val="16"/>
              </w:rPr>
            </w:pPr>
            <w:r>
              <w:rPr>
                <w:color w:val="FFFFFF"/>
                <w:spacing w:val="-2"/>
                <w:sz w:val="16"/>
              </w:rPr>
              <w:t>Actual</w:t>
            </w:r>
          </w:p>
        </w:tc>
        <w:tc>
          <w:tcPr>
            <w:tcW w:w="686" w:type="dxa"/>
            <w:shd w:val="clear" w:color="auto" w:fill="006CA3"/>
          </w:tcPr>
          <w:p w14:paraId="67F4C0F5" w14:textId="77777777" w:rsidR="00141B97" w:rsidRDefault="00911D63">
            <w:pPr>
              <w:pStyle w:val="TableParagraph"/>
              <w:spacing w:before="1" w:line="188" w:lineRule="exact"/>
              <w:ind w:left="101" w:right="97"/>
              <w:jc w:val="center"/>
              <w:rPr>
                <w:sz w:val="16"/>
              </w:rPr>
            </w:pPr>
            <w:r>
              <w:rPr>
                <w:color w:val="FFFFFF"/>
                <w:spacing w:val="-2"/>
                <w:sz w:val="16"/>
              </w:rPr>
              <w:t>Budget</w:t>
            </w:r>
          </w:p>
        </w:tc>
        <w:tc>
          <w:tcPr>
            <w:tcW w:w="686" w:type="dxa"/>
            <w:shd w:val="clear" w:color="auto" w:fill="006CA3"/>
          </w:tcPr>
          <w:p w14:paraId="339B67D9" w14:textId="77777777" w:rsidR="00141B97" w:rsidRDefault="00911D63">
            <w:pPr>
              <w:pStyle w:val="TableParagraph"/>
              <w:spacing w:before="1" w:line="188" w:lineRule="exact"/>
              <w:ind w:left="101" w:right="96"/>
              <w:jc w:val="center"/>
              <w:rPr>
                <w:sz w:val="16"/>
              </w:rPr>
            </w:pPr>
            <w:r>
              <w:rPr>
                <w:color w:val="FFFFFF"/>
                <w:spacing w:val="-2"/>
                <w:sz w:val="16"/>
              </w:rPr>
              <w:t>Actual</w:t>
            </w:r>
          </w:p>
        </w:tc>
        <w:tc>
          <w:tcPr>
            <w:tcW w:w="685" w:type="dxa"/>
            <w:shd w:val="clear" w:color="auto" w:fill="006CA3"/>
          </w:tcPr>
          <w:p w14:paraId="6BEBB86F" w14:textId="77777777" w:rsidR="00141B97" w:rsidRDefault="00911D63">
            <w:pPr>
              <w:pStyle w:val="TableParagraph"/>
              <w:spacing w:before="1" w:line="188" w:lineRule="exact"/>
              <w:ind w:left="232"/>
              <w:rPr>
                <w:sz w:val="16"/>
              </w:rPr>
            </w:pPr>
            <w:r>
              <w:rPr>
                <w:color w:val="FFFFFF"/>
                <w:spacing w:val="-5"/>
                <w:sz w:val="16"/>
              </w:rPr>
              <w:t>$m</w:t>
            </w:r>
          </w:p>
        </w:tc>
        <w:tc>
          <w:tcPr>
            <w:tcW w:w="677" w:type="dxa"/>
            <w:tcBorders>
              <w:right w:val="nil"/>
            </w:tcBorders>
            <w:shd w:val="clear" w:color="auto" w:fill="006CA3"/>
          </w:tcPr>
          <w:p w14:paraId="4D0F7AE7" w14:textId="77777777" w:rsidR="00141B97" w:rsidRDefault="00911D63">
            <w:pPr>
              <w:pStyle w:val="TableParagraph"/>
              <w:spacing w:before="1" w:line="188" w:lineRule="exact"/>
              <w:ind w:left="14"/>
              <w:jc w:val="center"/>
              <w:rPr>
                <w:sz w:val="16"/>
              </w:rPr>
            </w:pPr>
            <w:r>
              <w:rPr>
                <w:color w:val="FFFFFF"/>
                <w:w w:val="99"/>
                <w:sz w:val="16"/>
              </w:rPr>
              <w:t>%</w:t>
            </w:r>
          </w:p>
        </w:tc>
      </w:tr>
      <w:tr w:rsidR="00141B97" w14:paraId="64C2203A" w14:textId="77777777">
        <w:trPr>
          <w:trHeight w:val="255"/>
          <w:tblCellSpacing w:w="9" w:type="dxa"/>
        </w:trPr>
        <w:tc>
          <w:tcPr>
            <w:tcW w:w="1614" w:type="dxa"/>
            <w:tcBorders>
              <w:left w:val="nil"/>
              <w:bottom w:val="nil"/>
            </w:tcBorders>
            <w:shd w:val="clear" w:color="auto" w:fill="CCE2ED"/>
          </w:tcPr>
          <w:p w14:paraId="798A7D52" w14:textId="77777777" w:rsidR="00141B97" w:rsidRDefault="00911D63">
            <w:pPr>
              <w:pStyle w:val="TableParagraph"/>
              <w:spacing w:before="23"/>
              <w:ind w:left="90" w:right="229"/>
              <w:jc w:val="center"/>
              <w:rPr>
                <w:sz w:val="16"/>
              </w:rPr>
            </w:pPr>
            <w:r>
              <w:rPr>
                <w:sz w:val="16"/>
              </w:rPr>
              <w:t>Prescribed</w:t>
            </w:r>
            <w:r>
              <w:rPr>
                <w:spacing w:val="-9"/>
                <w:sz w:val="16"/>
              </w:rPr>
              <w:t xml:space="preserve"> </w:t>
            </w:r>
            <w:r>
              <w:rPr>
                <w:spacing w:val="-2"/>
                <w:sz w:val="16"/>
              </w:rPr>
              <w:t>Revenue</w:t>
            </w:r>
          </w:p>
        </w:tc>
        <w:tc>
          <w:tcPr>
            <w:tcW w:w="686" w:type="dxa"/>
            <w:tcBorders>
              <w:bottom w:val="nil"/>
            </w:tcBorders>
            <w:shd w:val="clear" w:color="auto" w:fill="CCE2ED"/>
          </w:tcPr>
          <w:p w14:paraId="50F6A940" w14:textId="77777777" w:rsidR="00141B97" w:rsidRDefault="00911D63">
            <w:pPr>
              <w:pStyle w:val="TableParagraph"/>
              <w:spacing w:before="23"/>
              <w:ind w:left="150"/>
              <w:rPr>
                <w:sz w:val="16"/>
              </w:rPr>
            </w:pPr>
            <w:r>
              <w:rPr>
                <w:spacing w:val="-2"/>
                <w:sz w:val="16"/>
              </w:rPr>
              <w:t>29.01</w:t>
            </w:r>
          </w:p>
        </w:tc>
        <w:tc>
          <w:tcPr>
            <w:tcW w:w="685" w:type="dxa"/>
            <w:tcBorders>
              <w:bottom w:val="nil"/>
            </w:tcBorders>
            <w:shd w:val="clear" w:color="auto" w:fill="CCE2ED"/>
          </w:tcPr>
          <w:p w14:paraId="21C7DCD6" w14:textId="77777777" w:rsidR="00141B97" w:rsidRDefault="00911D63">
            <w:pPr>
              <w:pStyle w:val="TableParagraph"/>
              <w:spacing w:before="23"/>
              <w:ind w:left="97" w:right="97"/>
              <w:jc w:val="center"/>
              <w:rPr>
                <w:sz w:val="16"/>
              </w:rPr>
            </w:pPr>
            <w:r>
              <w:rPr>
                <w:spacing w:val="-2"/>
                <w:sz w:val="16"/>
              </w:rPr>
              <w:t>29.96</w:t>
            </w:r>
          </w:p>
        </w:tc>
        <w:tc>
          <w:tcPr>
            <w:tcW w:w="686" w:type="dxa"/>
            <w:tcBorders>
              <w:bottom w:val="nil"/>
            </w:tcBorders>
            <w:shd w:val="clear" w:color="auto" w:fill="CCE2ED"/>
          </w:tcPr>
          <w:p w14:paraId="0B6FB664" w14:textId="77777777" w:rsidR="00141B97" w:rsidRDefault="00911D63">
            <w:pPr>
              <w:pStyle w:val="TableParagraph"/>
              <w:spacing w:before="23"/>
              <w:ind w:left="151"/>
              <w:rPr>
                <w:sz w:val="16"/>
              </w:rPr>
            </w:pPr>
            <w:r>
              <w:rPr>
                <w:spacing w:val="-2"/>
                <w:sz w:val="16"/>
              </w:rPr>
              <w:t>28.74</w:t>
            </w:r>
          </w:p>
        </w:tc>
        <w:tc>
          <w:tcPr>
            <w:tcW w:w="686" w:type="dxa"/>
            <w:tcBorders>
              <w:bottom w:val="nil"/>
            </w:tcBorders>
            <w:shd w:val="clear" w:color="auto" w:fill="CCE2ED"/>
          </w:tcPr>
          <w:p w14:paraId="57B4DA17" w14:textId="77777777" w:rsidR="00141B97" w:rsidRDefault="00911D63">
            <w:pPr>
              <w:pStyle w:val="TableParagraph"/>
              <w:spacing w:before="23"/>
              <w:ind w:left="97" w:right="97"/>
              <w:jc w:val="center"/>
              <w:rPr>
                <w:sz w:val="16"/>
              </w:rPr>
            </w:pPr>
            <w:r>
              <w:rPr>
                <w:spacing w:val="-2"/>
                <w:sz w:val="16"/>
              </w:rPr>
              <w:t>28.29</w:t>
            </w:r>
          </w:p>
        </w:tc>
        <w:tc>
          <w:tcPr>
            <w:tcW w:w="685" w:type="dxa"/>
            <w:tcBorders>
              <w:bottom w:val="nil"/>
            </w:tcBorders>
            <w:shd w:val="clear" w:color="auto" w:fill="CCE2ED"/>
          </w:tcPr>
          <w:p w14:paraId="501F944C" w14:textId="77777777" w:rsidR="00141B97" w:rsidRDefault="00911D63">
            <w:pPr>
              <w:pStyle w:val="TableParagraph"/>
              <w:spacing w:before="23"/>
              <w:ind w:left="97" w:right="97"/>
              <w:jc w:val="center"/>
              <w:rPr>
                <w:sz w:val="16"/>
              </w:rPr>
            </w:pPr>
            <w:r>
              <w:rPr>
                <w:spacing w:val="-2"/>
                <w:sz w:val="16"/>
              </w:rPr>
              <w:t>28.72</w:t>
            </w:r>
          </w:p>
        </w:tc>
        <w:tc>
          <w:tcPr>
            <w:tcW w:w="686" w:type="dxa"/>
            <w:tcBorders>
              <w:bottom w:val="nil"/>
            </w:tcBorders>
            <w:shd w:val="clear" w:color="auto" w:fill="CCE2ED"/>
          </w:tcPr>
          <w:p w14:paraId="66890FAF" w14:textId="77777777" w:rsidR="00141B97" w:rsidRDefault="00911D63">
            <w:pPr>
              <w:pStyle w:val="TableParagraph"/>
              <w:spacing w:before="23"/>
              <w:ind w:left="98" w:right="97"/>
              <w:jc w:val="center"/>
              <w:rPr>
                <w:sz w:val="16"/>
              </w:rPr>
            </w:pPr>
            <w:r>
              <w:rPr>
                <w:spacing w:val="-2"/>
                <w:sz w:val="16"/>
              </w:rPr>
              <w:t>29.12</w:t>
            </w:r>
          </w:p>
        </w:tc>
        <w:tc>
          <w:tcPr>
            <w:tcW w:w="686" w:type="dxa"/>
            <w:tcBorders>
              <w:bottom w:val="nil"/>
            </w:tcBorders>
            <w:shd w:val="clear" w:color="auto" w:fill="CCE2ED"/>
          </w:tcPr>
          <w:p w14:paraId="332B91E1" w14:textId="77777777" w:rsidR="00141B97" w:rsidRDefault="00911D63">
            <w:pPr>
              <w:pStyle w:val="TableParagraph"/>
              <w:spacing w:before="23"/>
              <w:ind w:right="148"/>
              <w:jc w:val="right"/>
              <w:rPr>
                <w:sz w:val="16"/>
              </w:rPr>
            </w:pPr>
            <w:r>
              <w:rPr>
                <w:spacing w:val="-2"/>
                <w:sz w:val="16"/>
              </w:rPr>
              <w:t>28.68</w:t>
            </w:r>
          </w:p>
        </w:tc>
        <w:tc>
          <w:tcPr>
            <w:tcW w:w="685" w:type="dxa"/>
            <w:tcBorders>
              <w:bottom w:val="nil"/>
            </w:tcBorders>
            <w:shd w:val="clear" w:color="auto" w:fill="CCE2ED"/>
          </w:tcPr>
          <w:p w14:paraId="29882E65" w14:textId="77777777" w:rsidR="00141B97" w:rsidRDefault="00911D63">
            <w:pPr>
              <w:pStyle w:val="TableParagraph"/>
              <w:spacing w:before="23"/>
              <w:ind w:left="151"/>
              <w:rPr>
                <w:sz w:val="16"/>
              </w:rPr>
            </w:pPr>
            <w:r>
              <w:rPr>
                <w:spacing w:val="-2"/>
                <w:sz w:val="16"/>
              </w:rPr>
              <w:t>27.71</w:t>
            </w:r>
          </w:p>
        </w:tc>
        <w:tc>
          <w:tcPr>
            <w:tcW w:w="686" w:type="dxa"/>
            <w:tcBorders>
              <w:bottom w:val="nil"/>
            </w:tcBorders>
            <w:shd w:val="clear" w:color="auto" w:fill="CCE2ED"/>
          </w:tcPr>
          <w:p w14:paraId="6868A15F" w14:textId="77777777" w:rsidR="00141B97" w:rsidRDefault="00911D63">
            <w:pPr>
              <w:pStyle w:val="TableParagraph"/>
              <w:spacing w:before="23"/>
              <w:ind w:left="101" w:right="97"/>
              <w:jc w:val="center"/>
              <w:rPr>
                <w:sz w:val="16"/>
              </w:rPr>
            </w:pPr>
            <w:r>
              <w:rPr>
                <w:spacing w:val="-2"/>
                <w:sz w:val="16"/>
              </w:rPr>
              <w:t>115.15</w:t>
            </w:r>
          </w:p>
        </w:tc>
        <w:tc>
          <w:tcPr>
            <w:tcW w:w="686" w:type="dxa"/>
            <w:tcBorders>
              <w:bottom w:val="nil"/>
            </w:tcBorders>
            <w:shd w:val="clear" w:color="auto" w:fill="CCE2ED"/>
          </w:tcPr>
          <w:p w14:paraId="11039AB2" w14:textId="77777777" w:rsidR="00141B97" w:rsidRDefault="00911D63">
            <w:pPr>
              <w:pStyle w:val="TableParagraph"/>
              <w:spacing w:before="23"/>
              <w:ind w:left="101" w:right="96"/>
              <w:jc w:val="center"/>
              <w:rPr>
                <w:sz w:val="16"/>
              </w:rPr>
            </w:pPr>
            <w:r>
              <w:rPr>
                <w:spacing w:val="-2"/>
                <w:sz w:val="16"/>
              </w:rPr>
              <w:t>115.07</w:t>
            </w:r>
          </w:p>
        </w:tc>
        <w:tc>
          <w:tcPr>
            <w:tcW w:w="685" w:type="dxa"/>
            <w:tcBorders>
              <w:bottom w:val="nil"/>
            </w:tcBorders>
            <w:shd w:val="clear" w:color="auto" w:fill="CCE2ED"/>
          </w:tcPr>
          <w:p w14:paraId="525268B1" w14:textId="77777777" w:rsidR="00141B97" w:rsidRDefault="00911D63">
            <w:pPr>
              <w:pStyle w:val="TableParagraph"/>
              <w:spacing w:before="23"/>
              <w:ind w:left="169"/>
              <w:rPr>
                <w:sz w:val="16"/>
              </w:rPr>
            </w:pPr>
            <w:r>
              <w:rPr>
                <w:spacing w:val="-2"/>
                <w:sz w:val="16"/>
              </w:rPr>
              <w:t>‐0.08</w:t>
            </w:r>
          </w:p>
        </w:tc>
        <w:tc>
          <w:tcPr>
            <w:tcW w:w="677" w:type="dxa"/>
            <w:tcBorders>
              <w:bottom w:val="nil"/>
              <w:right w:val="nil"/>
            </w:tcBorders>
            <w:shd w:val="clear" w:color="auto" w:fill="CCE2ED"/>
          </w:tcPr>
          <w:p w14:paraId="3E8739D3" w14:textId="77777777" w:rsidR="00141B97" w:rsidRDefault="00911D63">
            <w:pPr>
              <w:pStyle w:val="TableParagraph"/>
              <w:spacing w:before="23"/>
              <w:ind w:left="148" w:right="135"/>
              <w:jc w:val="center"/>
              <w:rPr>
                <w:sz w:val="16"/>
              </w:rPr>
            </w:pPr>
            <w:r>
              <w:rPr>
                <w:spacing w:val="-2"/>
                <w:sz w:val="16"/>
              </w:rPr>
              <w:t>‐0.1%</w:t>
            </w:r>
          </w:p>
        </w:tc>
      </w:tr>
    </w:tbl>
    <w:p w14:paraId="065B4357" w14:textId="77777777" w:rsidR="00141B97" w:rsidRDefault="00911D63">
      <w:pPr>
        <w:spacing w:before="21"/>
        <w:ind w:left="114"/>
        <w:jc w:val="both"/>
        <w:rPr>
          <w:sz w:val="16"/>
        </w:rPr>
      </w:pPr>
      <w:r>
        <w:rPr>
          <w:sz w:val="16"/>
        </w:rPr>
        <w:t>Table</w:t>
      </w:r>
      <w:r>
        <w:rPr>
          <w:spacing w:val="-3"/>
          <w:sz w:val="16"/>
        </w:rPr>
        <w:t xml:space="preserve"> </w:t>
      </w:r>
      <w:r>
        <w:rPr>
          <w:sz w:val="16"/>
        </w:rPr>
        <w:t>C3</w:t>
      </w:r>
      <w:r>
        <w:rPr>
          <w:i/>
          <w:sz w:val="16"/>
        </w:rPr>
        <w:t>:</w:t>
      </w:r>
      <w:r>
        <w:rPr>
          <w:i/>
          <w:spacing w:val="-3"/>
          <w:sz w:val="16"/>
        </w:rPr>
        <w:t xml:space="preserve"> </w:t>
      </w:r>
      <w:r>
        <w:rPr>
          <w:sz w:val="16"/>
        </w:rPr>
        <w:t>Rural</w:t>
      </w:r>
      <w:r>
        <w:rPr>
          <w:spacing w:val="-4"/>
          <w:sz w:val="16"/>
        </w:rPr>
        <w:t xml:space="preserve"> </w:t>
      </w:r>
      <w:r>
        <w:rPr>
          <w:sz w:val="16"/>
        </w:rPr>
        <w:t>Revenue</w:t>
      </w:r>
      <w:r>
        <w:rPr>
          <w:spacing w:val="-4"/>
          <w:sz w:val="16"/>
        </w:rPr>
        <w:t xml:space="preserve"> </w:t>
      </w:r>
      <w:r>
        <w:rPr>
          <w:sz w:val="16"/>
        </w:rPr>
        <w:t>($m</w:t>
      </w:r>
      <w:r>
        <w:rPr>
          <w:spacing w:val="-5"/>
          <w:sz w:val="16"/>
        </w:rPr>
        <w:t xml:space="preserve"> </w:t>
      </w:r>
      <w:r>
        <w:rPr>
          <w:spacing w:val="-2"/>
          <w:sz w:val="16"/>
        </w:rPr>
        <w:t>1/1/23)</w:t>
      </w:r>
    </w:p>
    <w:p w14:paraId="76331427" w14:textId="77777777" w:rsidR="00141B97" w:rsidRDefault="00141B97">
      <w:pPr>
        <w:pStyle w:val="BodyText"/>
        <w:spacing w:before="8"/>
        <w:rPr>
          <w:sz w:val="20"/>
        </w:rPr>
      </w:pPr>
    </w:p>
    <w:p w14:paraId="20991B2C" w14:textId="77777777" w:rsidR="00141B97" w:rsidRDefault="00911D63">
      <w:pPr>
        <w:pStyle w:val="ListParagraph"/>
        <w:numPr>
          <w:ilvl w:val="2"/>
          <w:numId w:val="37"/>
        </w:numPr>
        <w:tabs>
          <w:tab w:val="left" w:pos="1112"/>
          <w:tab w:val="left" w:pos="1113"/>
        </w:tabs>
        <w:ind w:left="1112"/>
        <w:jc w:val="both"/>
      </w:pPr>
      <w:r>
        <w:t>Summary</w:t>
      </w:r>
      <w:r>
        <w:rPr>
          <w:spacing w:val="-7"/>
        </w:rPr>
        <w:t xml:space="preserve"> </w:t>
      </w:r>
      <w:r>
        <w:t>Rural</w:t>
      </w:r>
      <w:r>
        <w:rPr>
          <w:spacing w:val="-6"/>
        </w:rPr>
        <w:t xml:space="preserve"> </w:t>
      </w:r>
      <w:r>
        <w:rPr>
          <w:spacing w:val="-2"/>
        </w:rPr>
        <w:t>Prices</w:t>
      </w:r>
    </w:p>
    <w:p w14:paraId="2CB43C54" w14:textId="77777777" w:rsidR="00141B97" w:rsidRDefault="00911D63">
      <w:pPr>
        <w:pStyle w:val="BodyText"/>
        <w:spacing w:before="70" w:line="252" w:lineRule="auto"/>
        <w:ind w:left="114" w:right="947" w:hanging="1"/>
        <w:jc w:val="both"/>
      </w:pPr>
      <w:r>
        <w:t>Table C4 overleaf shows where variations were made in each district, outlining which were rebates (2020‐21) and</w:t>
      </w:r>
      <w:r>
        <w:rPr>
          <w:spacing w:val="-13"/>
        </w:rPr>
        <w:t xml:space="preserve"> </w:t>
      </w:r>
      <w:r>
        <w:t>reductions</w:t>
      </w:r>
      <w:r>
        <w:rPr>
          <w:spacing w:val="-12"/>
        </w:rPr>
        <w:t xml:space="preserve"> </w:t>
      </w:r>
      <w:r>
        <w:t>(2021‐22)</w:t>
      </w:r>
      <w:r>
        <w:rPr>
          <w:spacing w:val="-13"/>
        </w:rPr>
        <w:t xml:space="preserve"> </w:t>
      </w:r>
      <w:r>
        <w:t>in</w:t>
      </w:r>
      <w:r>
        <w:rPr>
          <w:spacing w:val="-12"/>
        </w:rPr>
        <w:t xml:space="preserve"> </w:t>
      </w:r>
      <w:r>
        <w:t>prices</w:t>
      </w:r>
      <w:r>
        <w:rPr>
          <w:spacing w:val="-13"/>
        </w:rPr>
        <w:t xml:space="preserve"> </w:t>
      </w:r>
      <w:r>
        <w:t>below</w:t>
      </w:r>
      <w:r>
        <w:rPr>
          <w:spacing w:val="-12"/>
        </w:rPr>
        <w:t xml:space="preserve"> </w:t>
      </w:r>
      <w:r>
        <w:t>the</w:t>
      </w:r>
      <w:r>
        <w:rPr>
          <w:spacing w:val="-12"/>
        </w:rPr>
        <w:t xml:space="preserve"> </w:t>
      </w:r>
      <w:r>
        <w:t>approved</w:t>
      </w:r>
      <w:r>
        <w:rPr>
          <w:spacing w:val="-12"/>
        </w:rPr>
        <w:t xml:space="preserve"> </w:t>
      </w:r>
      <w:r>
        <w:t>price</w:t>
      </w:r>
      <w:r>
        <w:rPr>
          <w:spacing w:val="-12"/>
        </w:rPr>
        <w:t xml:space="preserve"> </w:t>
      </w:r>
      <w:r>
        <w:t>path</w:t>
      </w:r>
      <w:r>
        <w:rPr>
          <w:spacing w:val="-12"/>
        </w:rPr>
        <w:t xml:space="preserve"> </w:t>
      </w:r>
      <w:r>
        <w:t>which</w:t>
      </w:r>
      <w:r>
        <w:rPr>
          <w:spacing w:val="-13"/>
        </w:rPr>
        <w:t xml:space="preserve"> </w:t>
      </w:r>
      <w:r>
        <w:t>resulted</w:t>
      </w:r>
      <w:r>
        <w:rPr>
          <w:spacing w:val="-12"/>
        </w:rPr>
        <w:t xml:space="preserve"> </w:t>
      </w:r>
      <w:r>
        <w:t>from</w:t>
      </w:r>
      <w:r>
        <w:rPr>
          <w:spacing w:val="-12"/>
        </w:rPr>
        <w:t xml:space="preserve"> </w:t>
      </w:r>
      <w:r>
        <w:t>receiving</w:t>
      </w:r>
      <w:r>
        <w:rPr>
          <w:spacing w:val="-12"/>
        </w:rPr>
        <w:t xml:space="preserve"> </w:t>
      </w:r>
      <w:r>
        <w:t>revenues</w:t>
      </w:r>
      <w:r>
        <w:rPr>
          <w:spacing w:val="-12"/>
        </w:rPr>
        <w:t xml:space="preserve"> </w:t>
      </w:r>
      <w:r>
        <w:t>above the approved Revenue Cap, and LMW’s practice of returning higher revenues where possible.</w:t>
      </w:r>
    </w:p>
    <w:p w14:paraId="197B3816" w14:textId="77777777" w:rsidR="00141B97" w:rsidRDefault="00911D63">
      <w:pPr>
        <w:pStyle w:val="BodyText"/>
        <w:spacing w:before="114" w:line="252" w:lineRule="auto"/>
        <w:ind w:left="113" w:right="948"/>
        <w:jc w:val="both"/>
      </w:pPr>
      <w:r>
        <w:t>With</w:t>
      </w:r>
      <w:r>
        <w:rPr>
          <w:spacing w:val="-10"/>
        </w:rPr>
        <w:t xml:space="preserve"> </w:t>
      </w:r>
      <w:r>
        <w:t>the</w:t>
      </w:r>
      <w:r>
        <w:rPr>
          <w:spacing w:val="-12"/>
        </w:rPr>
        <w:t xml:space="preserve"> </w:t>
      </w:r>
      <w:r>
        <w:t>approval</w:t>
      </w:r>
      <w:r>
        <w:rPr>
          <w:spacing w:val="-12"/>
        </w:rPr>
        <w:t xml:space="preserve"> </w:t>
      </w:r>
      <w:r>
        <w:t>of</w:t>
      </w:r>
      <w:r>
        <w:rPr>
          <w:spacing w:val="-11"/>
        </w:rPr>
        <w:t xml:space="preserve"> </w:t>
      </w:r>
      <w:r>
        <w:t>the</w:t>
      </w:r>
      <w:r>
        <w:rPr>
          <w:spacing w:val="-11"/>
        </w:rPr>
        <w:t xml:space="preserve"> </w:t>
      </w:r>
      <w:r>
        <w:t>ESC,</w:t>
      </w:r>
      <w:r>
        <w:rPr>
          <w:spacing w:val="-12"/>
        </w:rPr>
        <w:t xml:space="preserve"> </w:t>
      </w:r>
      <w:r>
        <w:t>and</w:t>
      </w:r>
      <w:r>
        <w:rPr>
          <w:spacing w:val="-12"/>
        </w:rPr>
        <w:t xml:space="preserve"> </w:t>
      </w:r>
      <w:r>
        <w:t>in</w:t>
      </w:r>
      <w:r>
        <w:rPr>
          <w:spacing w:val="-12"/>
        </w:rPr>
        <w:t xml:space="preserve"> </w:t>
      </w:r>
      <w:r>
        <w:t>consultation</w:t>
      </w:r>
      <w:r>
        <w:rPr>
          <w:spacing w:val="-12"/>
        </w:rPr>
        <w:t xml:space="preserve"> </w:t>
      </w:r>
      <w:r>
        <w:t>with</w:t>
      </w:r>
      <w:r>
        <w:rPr>
          <w:spacing w:val="-11"/>
        </w:rPr>
        <w:t xml:space="preserve"> </w:t>
      </w:r>
      <w:r>
        <w:t>customers</w:t>
      </w:r>
      <w:r>
        <w:rPr>
          <w:spacing w:val="-10"/>
        </w:rPr>
        <w:t xml:space="preserve"> </w:t>
      </w:r>
      <w:r>
        <w:t>through</w:t>
      </w:r>
      <w:r>
        <w:rPr>
          <w:spacing w:val="-12"/>
        </w:rPr>
        <w:t xml:space="preserve"> </w:t>
      </w:r>
      <w:r>
        <w:t>the</w:t>
      </w:r>
      <w:r>
        <w:rPr>
          <w:spacing w:val="-12"/>
        </w:rPr>
        <w:t xml:space="preserve"> </w:t>
      </w:r>
      <w:r>
        <w:t>CSAC</w:t>
      </w:r>
      <w:r>
        <w:rPr>
          <w:spacing w:val="-13"/>
        </w:rPr>
        <w:t xml:space="preserve"> </w:t>
      </w:r>
      <w:r>
        <w:t>and</w:t>
      </w:r>
      <w:r>
        <w:rPr>
          <w:spacing w:val="-11"/>
        </w:rPr>
        <w:t xml:space="preserve"> </w:t>
      </w:r>
      <w:r>
        <w:t>SAC,</w:t>
      </w:r>
      <w:r>
        <w:rPr>
          <w:spacing w:val="-11"/>
        </w:rPr>
        <w:t xml:space="preserve"> </w:t>
      </w:r>
      <w:r>
        <w:t>these</w:t>
      </w:r>
      <w:r>
        <w:rPr>
          <w:spacing w:val="-12"/>
        </w:rPr>
        <w:t xml:space="preserve"> </w:t>
      </w:r>
      <w:r>
        <w:t>rebates</w:t>
      </w:r>
      <w:r>
        <w:rPr>
          <w:spacing w:val="-12"/>
        </w:rPr>
        <w:t xml:space="preserve"> </w:t>
      </w:r>
      <w:r>
        <w:t>were applied noting that LMW also did not seek to recover any revenue shortfalls occurring in individual districts or years of the period to date.</w:t>
      </w:r>
    </w:p>
    <w:p w14:paraId="2723681B" w14:textId="77777777" w:rsidR="00141B97" w:rsidRDefault="00141B97">
      <w:pPr>
        <w:spacing w:line="252" w:lineRule="auto"/>
        <w:jc w:val="both"/>
        <w:sectPr w:rsidR="00141B97">
          <w:pgSz w:w="11910" w:h="16840"/>
          <w:pgMar w:top="860" w:right="40" w:bottom="780" w:left="1020" w:header="0" w:footer="586" w:gutter="0"/>
          <w:cols w:space="720"/>
        </w:sectPr>
      </w:pPr>
    </w:p>
    <w:tbl>
      <w:tblPr>
        <w:tblW w:w="0" w:type="auto"/>
        <w:tblInd w:w="1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76"/>
        <w:gridCol w:w="1315"/>
        <w:gridCol w:w="1479"/>
        <w:gridCol w:w="1477"/>
        <w:gridCol w:w="2414"/>
        <w:gridCol w:w="86"/>
      </w:tblGrid>
      <w:tr w:rsidR="00141B97" w14:paraId="036C572F" w14:textId="77777777">
        <w:trPr>
          <w:trHeight w:val="226"/>
        </w:trPr>
        <w:tc>
          <w:tcPr>
            <w:tcW w:w="3076" w:type="dxa"/>
            <w:tcBorders>
              <w:top w:val="nil"/>
              <w:left w:val="nil"/>
            </w:tcBorders>
            <w:shd w:val="clear" w:color="auto" w:fill="0064A4"/>
          </w:tcPr>
          <w:p w14:paraId="145D8B8F" w14:textId="77777777" w:rsidR="00141B97" w:rsidRDefault="00911D63">
            <w:pPr>
              <w:pStyle w:val="TableParagraph"/>
              <w:spacing w:line="194" w:lineRule="exact"/>
              <w:ind w:left="993"/>
              <w:rPr>
                <w:sz w:val="16"/>
              </w:rPr>
            </w:pPr>
            <w:r>
              <w:rPr>
                <w:color w:val="FFFFFF"/>
                <w:sz w:val="16"/>
              </w:rPr>
              <w:lastRenderedPageBreak/>
              <w:t>Service</w:t>
            </w:r>
            <w:r>
              <w:rPr>
                <w:color w:val="FFFFFF"/>
                <w:spacing w:val="-5"/>
                <w:sz w:val="16"/>
              </w:rPr>
              <w:t xml:space="preserve"> </w:t>
            </w:r>
            <w:r>
              <w:rPr>
                <w:color w:val="FFFFFF"/>
                <w:spacing w:val="-2"/>
                <w:sz w:val="16"/>
              </w:rPr>
              <w:t>Category</w:t>
            </w:r>
          </w:p>
        </w:tc>
        <w:tc>
          <w:tcPr>
            <w:tcW w:w="1315" w:type="dxa"/>
            <w:tcBorders>
              <w:top w:val="nil"/>
              <w:right w:val="single" w:sz="6" w:space="0" w:color="FFFFFF"/>
            </w:tcBorders>
            <w:shd w:val="clear" w:color="auto" w:fill="0064A4"/>
          </w:tcPr>
          <w:p w14:paraId="63BFA5D1" w14:textId="77777777" w:rsidR="00141B97" w:rsidRDefault="00911D63">
            <w:pPr>
              <w:pStyle w:val="TableParagraph"/>
              <w:spacing w:line="194" w:lineRule="exact"/>
              <w:ind w:left="295" w:right="295"/>
              <w:jc w:val="center"/>
              <w:rPr>
                <w:sz w:val="16"/>
              </w:rPr>
            </w:pPr>
            <w:r>
              <w:rPr>
                <w:color w:val="FFFFFF"/>
                <w:spacing w:val="-2"/>
                <w:sz w:val="16"/>
              </w:rPr>
              <w:t>2018‐19</w:t>
            </w:r>
          </w:p>
        </w:tc>
        <w:tc>
          <w:tcPr>
            <w:tcW w:w="1479" w:type="dxa"/>
            <w:tcBorders>
              <w:top w:val="nil"/>
              <w:left w:val="single" w:sz="6" w:space="0" w:color="FFFFFF"/>
            </w:tcBorders>
            <w:shd w:val="clear" w:color="auto" w:fill="0064A4"/>
          </w:tcPr>
          <w:p w14:paraId="4A493DF5" w14:textId="77777777" w:rsidR="00141B97" w:rsidRDefault="00911D63">
            <w:pPr>
              <w:pStyle w:val="TableParagraph"/>
              <w:spacing w:line="194" w:lineRule="exact"/>
              <w:ind w:left="377" w:right="377"/>
              <w:jc w:val="center"/>
              <w:rPr>
                <w:sz w:val="16"/>
              </w:rPr>
            </w:pPr>
            <w:r>
              <w:rPr>
                <w:color w:val="FFFFFF"/>
                <w:spacing w:val="-2"/>
                <w:sz w:val="16"/>
              </w:rPr>
              <w:t>2019‐20</w:t>
            </w:r>
          </w:p>
        </w:tc>
        <w:tc>
          <w:tcPr>
            <w:tcW w:w="1477" w:type="dxa"/>
            <w:tcBorders>
              <w:top w:val="nil"/>
            </w:tcBorders>
            <w:shd w:val="clear" w:color="auto" w:fill="0064A4"/>
          </w:tcPr>
          <w:p w14:paraId="76DAC395" w14:textId="77777777" w:rsidR="00141B97" w:rsidRDefault="00911D63">
            <w:pPr>
              <w:pStyle w:val="TableParagraph"/>
              <w:spacing w:line="194" w:lineRule="exact"/>
              <w:ind w:left="291" w:right="291"/>
              <w:jc w:val="center"/>
              <w:rPr>
                <w:sz w:val="16"/>
              </w:rPr>
            </w:pPr>
            <w:r>
              <w:rPr>
                <w:color w:val="FFFFFF"/>
                <w:spacing w:val="-2"/>
                <w:sz w:val="16"/>
              </w:rPr>
              <w:t>2020‐21</w:t>
            </w:r>
          </w:p>
        </w:tc>
        <w:tc>
          <w:tcPr>
            <w:tcW w:w="2414" w:type="dxa"/>
            <w:tcBorders>
              <w:top w:val="nil"/>
              <w:right w:val="nil"/>
            </w:tcBorders>
            <w:shd w:val="clear" w:color="auto" w:fill="0064A4"/>
          </w:tcPr>
          <w:p w14:paraId="418E1454" w14:textId="77777777" w:rsidR="00141B97" w:rsidRDefault="00911D63">
            <w:pPr>
              <w:pStyle w:val="TableParagraph"/>
              <w:spacing w:line="194" w:lineRule="exact"/>
              <w:ind w:left="925" w:right="921"/>
              <w:jc w:val="center"/>
              <w:rPr>
                <w:sz w:val="16"/>
              </w:rPr>
            </w:pPr>
            <w:r>
              <w:rPr>
                <w:color w:val="FFFFFF"/>
                <w:spacing w:val="-2"/>
                <w:sz w:val="16"/>
              </w:rPr>
              <w:t>2021‐22</w:t>
            </w:r>
          </w:p>
        </w:tc>
        <w:tc>
          <w:tcPr>
            <w:tcW w:w="86" w:type="dxa"/>
            <w:tcBorders>
              <w:top w:val="nil"/>
              <w:left w:val="nil"/>
              <w:right w:val="nil"/>
            </w:tcBorders>
            <w:shd w:val="clear" w:color="auto" w:fill="0064A4"/>
          </w:tcPr>
          <w:p w14:paraId="02AEB542" w14:textId="77777777" w:rsidR="00141B97" w:rsidRDefault="00141B97">
            <w:pPr>
              <w:pStyle w:val="TableParagraph"/>
              <w:rPr>
                <w:rFonts w:ascii="Times New Roman"/>
                <w:sz w:val="16"/>
              </w:rPr>
            </w:pPr>
          </w:p>
        </w:tc>
      </w:tr>
      <w:tr w:rsidR="00141B97" w14:paraId="538D707A" w14:textId="77777777">
        <w:trPr>
          <w:trHeight w:val="224"/>
        </w:trPr>
        <w:tc>
          <w:tcPr>
            <w:tcW w:w="3076" w:type="dxa"/>
            <w:tcBorders>
              <w:left w:val="nil"/>
              <w:bottom w:val="single" w:sz="6" w:space="0" w:color="FFFFFF"/>
            </w:tcBorders>
            <w:shd w:val="clear" w:color="auto" w:fill="CCE2ED"/>
          </w:tcPr>
          <w:p w14:paraId="6E594E03" w14:textId="77777777" w:rsidR="00141B97" w:rsidRDefault="00911D63">
            <w:pPr>
              <w:pStyle w:val="TableParagraph"/>
              <w:spacing w:before="15" w:line="189" w:lineRule="exact"/>
              <w:ind w:left="98"/>
              <w:rPr>
                <w:sz w:val="16"/>
              </w:rPr>
            </w:pPr>
            <w:r>
              <w:rPr>
                <w:sz w:val="16"/>
              </w:rPr>
              <w:t>Mildura</w:t>
            </w:r>
            <w:r>
              <w:rPr>
                <w:spacing w:val="-9"/>
                <w:sz w:val="16"/>
              </w:rPr>
              <w:t xml:space="preserve"> </w:t>
            </w:r>
            <w:r>
              <w:rPr>
                <w:sz w:val="16"/>
              </w:rPr>
              <w:t>irrigation</w:t>
            </w:r>
            <w:r>
              <w:rPr>
                <w:spacing w:val="-8"/>
                <w:sz w:val="16"/>
              </w:rPr>
              <w:t xml:space="preserve"> </w:t>
            </w:r>
            <w:r>
              <w:rPr>
                <w:sz w:val="16"/>
              </w:rPr>
              <w:t>and</w:t>
            </w:r>
            <w:r>
              <w:rPr>
                <w:spacing w:val="-9"/>
                <w:sz w:val="16"/>
              </w:rPr>
              <w:t xml:space="preserve"> </w:t>
            </w:r>
            <w:r>
              <w:rPr>
                <w:spacing w:val="-2"/>
                <w:sz w:val="16"/>
              </w:rPr>
              <w:t>drainage</w:t>
            </w:r>
          </w:p>
        </w:tc>
        <w:tc>
          <w:tcPr>
            <w:tcW w:w="1315" w:type="dxa"/>
            <w:tcBorders>
              <w:bottom w:val="single" w:sz="6" w:space="0" w:color="FFFFFF"/>
              <w:right w:val="single" w:sz="6" w:space="0" w:color="FFFFFF"/>
            </w:tcBorders>
            <w:shd w:val="clear" w:color="auto" w:fill="CCE2ED"/>
          </w:tcPr>
          <w:p w14:paraId="7312B2CD" w14:textId="77777777" w:rsidR="00141B97" w:rsidRDefault="00911D63">
            <w:pPr>
              <w:pStyle w:val="TableParagraph"/>
              <w:spacing w:before="15" w:line="189"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left w:val="single" w:sz="6" w:space="0" w:color="FFFFFF"/>
              <w:bottom w:val="single" w:sz="6" w:space="0" w:color="FFFFFF"/>
            </w:tcBorders>
            <w:shd w:val="clear" w:color="auto" w:fill="CCE2ED"/>
          </w:tcPr>
          <w:p w14:paraId="2F625EC8" w14:textId="77777777" w:rsidR="00141B97" w:rsidRDefault="00911D63">
            <w:pPr>
              <w:pStyle w:val="TableParagraph"/>
              <w:spacing w:before="15" w:line="189"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bottom w:val="single" w:sz="6" w:space="0" w:color="FFFFFF"/>
            </w:tcBorders>
            <w:shd w:val="clear" w:color="auto" w:fill="CCE2ED"/>
          </w:tcPr>
          <w:p w14:paraId="6BDADF51" w14:textId="77777777" w:rsidR="00141B97" w:rsidRDefault="00911D63">
            <w:pPr>
              <w:pStyle w:val="TableParagraph"/>
              <w:spacing w:before="15" w:line="189" w:lineRule="exact"/>
              <w:ind w:left="291" w:right="292"/>
              <w:jc w:val="center"/>
              <w:rPr>
                <w:sz w:val="16"/>
              </w:rPr>
            </w:pPr>
            <w:r>
              <w:rPr>
                <w:sz w:val="16"/>
              </w:rPr>
              <w:t>No</w:t>
            </w:r>
            <w:r>
              <w:rPr>
                <w:spacing w:val="-3"/>
                <w:sz w:val="16"/>
              </w:rPr>
              <w:t xml:space="preserve"> </w:t>
            </w:r>
            <w:r>
              <w:rPr>
                <w:spacing w:val="-2"/>
                <w:sz w:val="16"/>
              </w:rPr>
              <w:t>change</w:t>
            </w:r>
          </w:p>
        </w:tc>
        <w:tc>
          <w:tcPr>
            <w:tcW w:w="2500" w:type="dxa"/>
            <w:gridSpan w:val="2"/>
            <w:tcBorders>
              <w:bottom w:val="single" w:sz="6" w:space="0" w:color="FFFFFF"/>
              <w:right w:val="nil"/>
            </w:tcBorders>
            <w:shd w:val="clear" w:color="auto" w:fill="CCE2ED"/>
          </w:tcPr>
          <w:p w14:paraId="46B61D43" w14:textId="77777777" w:rsidR="00141B97" w:rsidRDefault="00911D63">
            <w:pPr>
              <w:pStyle w:val="TableParagraph"/>
              <w:spacing w:before="15" w:line="189" w:lineRule="exact"/>
              <w:ind w:left="230"/>
              <w:rPr>
                <w:sz w:val="16"/>
              </w:rPr>
            </w:pPr>
            <w:r>
              <w:rPr>
                <w:sz w:val="16"/>
              </w:rPr>
              <w:t>Reduction</w:t>
            </w:r>
            <w:r>
              <w:rPr>
                <w:spacing w:val="-6"/>
                <w:sz w:val="16"/>
              </w:rPr>
              <w:t xml:space="preserve"> </w:t>
            </w:r>
            <w:r>
              <w:rPr>
                <w:sz w:val="16"/>
              </w:rPr>
              <w:t>–</w:t>
            </w:r>
            <w:r>
              <w:rPr>
                <w:spacing w:val="-8"/>
                <w:sz w:val="16"/>
              </w:rPr>
              <w:t xml:space="preserve"> </w:t>
            </w:r>
            <w:r>
              <w:rPr>
                <w:sz w:val="16"/>
              </w:rPr>
              <w:t>SMP2</w:t>
            </w:r>
            <w:r>
              <w:rPr>
                <w:spacing w:val="-7"/>
                <w:sz w:val="16"/>
              </w:rPr>
              <w:t xml:space="preserve"> </w:t>
            </w:r>
            <w:r>
              <w:rPr>
                <w:spacing w:val="-2"/>
                <w:sz w:val="16"/>
              </w:rPr>
              <w:t>adjustment</w:t>
            </w:r>
          </w:p>
        </w:tc>
      </w:tr>
      <w:tr w:rsidR="00141B97" w14:paraId="491B68D0" w14:textId="77777777">
        <w:trPr>
          <w:trHeight w:val="224"/>
        </w:trPr>
        <w:tc>
          <w:tcPr>
            <w:tcW w:w="3076" w:type="dxa"/>
            <w:tcBorders>
              <w:top w:val="single" w:sz="6" w:space="0" w:color="FFFFFF"/>
              <w:left w:val="nil"/>
            </w:tcBorders>
            <w:shd w:val="clear" w:color="auto" w:fill="CCE2ED"/>
          </w:tcPr>
          <w:p w14:paraId="7420C9B1" w14:textId="77777777" w:rsidR="00141B97" w:rsidRDefault="00911D63">
            <w:pPr>
              <w:pStyle w:val="TableParagraph"/>
              <w:spacing w:before="12" w:line="192" w:lineRule="exact"/>
              <w:ind w:left="98"/>
              <w:rPr>
                <w:sz w:val="16"/>
              </w:rPr>
            </w:pPr>
            <w:r>
              <w:rPr>
                <w:sz w:val="16"/>
              </w:rPr>
              <w:t>Merbein</w:t>
            </w:r>
            <w:r>
              <w:rPr>
                <w:spacing w:val="-5"/>
                <w:sz w:val="16"/>
              </w:rPr>
              <w:t xml:space="preserve"> </w:t>
            </w:r>
            <w:r>
              <w:rPr>
                <w:sz w:val="16"/>
              </w:rPr>
              <w:t>irrigation</w:t>
            </w:r>
            <w:r>
              <w:rPr>
                <w:spacing w:val="-6"/>
                <w:sz w:val="16"/>
              </w:rPr>
              <w:t xml:space="preserve"> </w:t>
            </w:r>
            <w:r>
              <w:rPr>
                <w:sz w:val="16"/>
              </w:rPr>
              <w:t>and</w:t>
            </w:r>
            <w:r>
              <w:rPr>
                <w:spacing w:val="-5"/>
                <w:sz w:val="16"/>
              </w:rPr>
              <w:t xml:space="preserve"> </w:t>
            </w:r>
            <w:r>
              <w:rPr>
                <w:spacing w:val="-2"/>
                <w:sz w:val="16"/>
              </w:rPr>
              <w:t>drainage</w:t>
            </w:r>
          </w:p>
        </w:tc>
        <w:tc>
          <w:tcPr>
            <w:tcW w:w="1315" w:type="dxa"/>
            <w:tcBorders>
              <w:top w:val="single" w:sz="6" w:space="0" w:color="FFFFFF"/>
              <w:right w:val="single" w:sz="6" w:space="0" w:color="FFFFFF"/>
            </w:tcBorders>
            <w:shd w:val="clear" w:color="auto" w:fill="CCE2ED"/>
          </w:tcPr>
          <w:p w14:paraId="28E66F2F" w14:textId="77777777" w:rsidR="00141B97" w:rsidRDefault="00911D63">
            <w:pPr>
              <w:pStyle w:val="TableParagraph"/>
              <w:spacing w:before="12" w:line="192"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top w:val="single" w:sz="6" w:space="0" w:color="FFFFFF"/>
              <w:left w:val="single" w:sz="6" w:space="0" w:color="FFFFFF"/>
            </w:tcBorders>
            <w:shd w:val="clear" w:color="auto" w:fill="CCE2ED"/>
          </w:tcPr>
          <w:p w14:paraId="2B44167F" w14:textId="77777777" w:rsidR="00141B97" w:rsidRDefault="00911D63">
            <w:pPr>
              <w:pStyle w:val="TableParagraph"/>
              <w:spacing w:before="12" w:line="192"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top w:val="single" w:sz="6" w:space="0" w:color="FFFFFF"/>
            </w:tcBorders>
            <w:shd w:val="clear" w:color="auto" w:fill="CCE2ED"/>
          </w:tcPr>
          <w:p w14:paraId="6E1FD75B" w14:textId="77777777" w:rsidR="00141B97" w:rsidRDefault="00911D63">
            <w:pPr>
              <w:pStyle w:val="TableParagraph"/>
              <w:spacing w:before="12" w:line="192" w:lineRule="exact"/>
              <w:ind w:left="291" w:right="292"/>
              <w:jc w:val="center"/>
              <w:rPr>
                <w:sz w:val="16"/>
              </w:rPr>
            </w:pPr>
            <w:r>
              <w:rPr>
                <w:sz w:val="16"/>
              </w:rPr>
              <w:t>SMP2</w:t>
            </w:r>
            <w:r>
              <w:rPr>
                <w:spacing w:val="-6"/>
                <w:sz w:val="16"/>
              </w:rPr>
              <w:t xml:space="preserve"> </w:t>
            </w:r>
            <w:r>
              <w:rPr>
                <w:spacing w:val="-2"/>
                <w:sz w:val="16"/>
              </w:rPr>
              <w:t>Rebate</w:t>
            </w:r>
          </w:p>
        </w:tc>
        <w:tc>
          <w:tcPr>
            <w:tcW w:w="2500" w:type="dxa"/>
            <w:gridSpan w:val="2"/>
            <w:tcBorders>
              <w:top w:val="single" w:sz="6" w:space="0" w:color="FFFFFF"/>
              <w:right w:val="nil"/>
            </w:tcBorders>
            <w:shd w:val="clear" w:color="auto" w:fill="CCE2ED"/>
          </w:tcPr>
          <w:p w14:paraId="5695BA5D" w14:textId="77777777" w:rsidR="00141B97" w:rsidRDefault="00911D63">
            <w:pPr>
              <w:pStyle w:val="TableParagraph"/>
              <w:spacing w:before="12" w:line="192" w:lineRule="exact"/>
              <w:ind w:left="230"/>
              <w:rPr>
                <w:sz w:val="16"/>
              </w:rPr>
            </w:pPr>
            <w:r>
              <w:rPr>
                <w:sz w:val="16"/>
              </w:rPr>
              <w:t>Reduction</w:t>
            </w:r>
            <w:r>
              <w:rPr>
                <w:spacing w:val="-6"/>
                <w:sz w:val="16"/>
              </w:rPr>
              <w:t xml:space="preserve"> </w:t>
            </w:r>
            <w:r>
              <w:rPr>
                <w:sz w:val="16"/>
              </w:rPr>
              <w:t>–</w:t>
            </w:r>
            <w:r>
              <w:rPr>
                <w:spacing w:val="-8"/>
                <w:sz w:val="16"/>
              </w:rPr>
              <w:t xml:space="preserve"> </w:t>
            </w:r>
            <w:r>
              <w:rPr>
                <w:sz w:val="16"/>
              </w:rPr>
              <w:t>SMP2</w:t>
            </w:r>
            <w:r>
              <w:rPr>
                <w:spacing w:val="-7"/>
                <w:sz w:val="16"/>
              </w:rPr>
              <w:t xml:space="preserve"> </w:t>
            </w:r>
            <w:r>
              <w:rPr>
                <w:spacing w:val="-2"/>
                <w:sz w:val="16"/>
              </w:rPr>
              <w:t>adjustment</w:t>
            </w:r>
          </w:p>
        </w:tc>
      </w:tr>
      <w:tr w:rsidR="00141B97" w14:paraId="4257F5ED" w14:textId="77777777">
        <w:trPr>
          <w:trHeight w:val="224"/>
        </w:trPr>
        <w:tc>
          <w:tcPr>
            <w:tcW w:w="3076" w:type="dxa"/>
            <w:tcBorders>
              <w:left w:val="nil"/>
              <w:bottom w:val="single" w:sz="6" w:space="0" w:color="FFFFFF"/>
            </w:tcBorders>
            <w:shd w:val="clear" w:color="auto" w:fill="CCE2ED"/>
          </w:tcPr>
          <w:p w14:paraId="3B90C409" w14:textId="77777777" w:rsidR="00141B97" w:rsidRDefault="00911D63">
            <w:pPr>
              <w:pStyle w:val="TableParagraph"/>
              <w:spacing w:before="15" w:line="189" w:lineRule="exact"/>
              <w:ind w:left="98"/>
              <w:rPr>
                <w:sz w:val="16"/>
              </w:rPr>
            </w:pPr>
            <w:r>
              <w:rPr>
                <w:sz w:val="16"/>
              </w:rPr>
              <w:t>Red</w:t>
            </w:r>
            <w:r>
              <w:rPr>
                <w:spacing w:val="-7"/>
                <w:sz w:val="16"/>
              </w:rPr>
              <w:t xml:space="preserve"> </w:t>
            </w:r>
            <w:r>
              <w:rPr>
                <w:sz w:val="16"/>
              </w:rPr>
              <w:t>Cliffs</w:t>
            </w:r>
            <w:r>
              <w:rPr>
                <w:spacing w:val="-6"/>
                <w:sz w:val="16"/>
              </w:rPr>
              <w:t xml:space="preserve"> </w:t>
            </w:r>
            <w:r>
              <w:rPr>
                <w:sz w:val="16"/>
              </w:rPr>
              <w:t>irrigation</w:t>
            </w:r>
            <w:r>
              <w:rPr>
                <w:spacing w:val="-6"/>
                <w:sz w:val="16"/>
              </w:rPr>
              <w:t xml:space="preserve"> </w:t>
            </w:r>
            <w:r>
              <w:rPr>
                <w:sz w:val="16"/>
              </w:rPr>
              <w:t>and</w:t>
            </w:r>
            <w:r>
              <w:rPr>
                <w:spacing w:val="-6"/>
                <w:sz w:val="16"/>
              </w:rPr>
              <w:t xml:space="preserve"> </w:t>
            </w:r>
            <w:r>
              <w:rPr>
                <w:spacing w:val="-2"/>
                <w:sz w:val="16"/>
              </w:rPr>
              <w:t>drainage</w:t>
            </w:r>
          </w:p>
        </w:tc>
        <w:tc>
          <w:tcPr>
            <w:tcW w:w="1315" w:type="dxa"/>
            <w:tcBorders>
              <w:bottom w:val="single" w:sz="6" w:space="0" w:color="FFFFFF"/>
              <w:right w:val="single" w:sz="6" w:space="0" w:color="FFFFFF"/>
            </w:tcBorders>
            <w:shd w:val="clear" w:color="auto" w:fill="CCE2ED"/>
          </w:tcPr>
          <w:p w14:paraId="3BBD6A42" w14:textId="77777777" w:rsidR="00141B97" w:rsidRDefault="00911D63">
            <w:pPr>
              <w:pStyle w:val="TableParagraph"/>
              <w:spacing w:before="15" w:line="189"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left w:val="single" w:sz="6" w:space="0" w:color="FFFFFF"/>
              <w:bottom w:val="single" w:sz="6" w:space="0" w:color="FFFFFF"/>
            </w:tcBorders>
            <w:shd w:val="clear" w:color="auto" w:fill="CCE2ED"/>
          </w:tcPr>
          <w:p w14:paraId="6CA22969" w14:textId="77777777" w:rsidR="00141B97" w:rsidRDefault="00911D63">
            <w:pPr>
              <w:pStyle w:val="TableParagraph"/>
              <w:spacing w:before="15" w:line="189"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bottom w:val="single" w:sz="6" w:space="0" w:color="FFFFFF"/>
            </w:tcBorders>
            <w:shd w:val="clear" w:color="auto" w:fill="CCE2ED"/>
          </w:tcPr>
          <w:p w14:paraId="241B8D45" w14:textId="77777777" w:rsidR="00141B97" w:rsidRDefault="00911D63">
            <w:pPr>
              <w:pStyle w:val="TableParagraph"/>
              <w:spacing w:before="15" w:line="189" w:lineRule="exact"/>
              <w:ind w:left="291" w:right="292"/>
              <w:jc w:val="center"/>
              <w:rPr>
                <w:sz w:val="16"/>
              </w:rPr>
            </w:pPr>
            <w:r>
              <w:rPr>
                <w:sz w:val="16"/>
              </w:rPr>
              <w:t>SMP2</w:t>
            </w:r>
            <w:r>
              <w:rPr>
                <w:spacing w:val="-6"/>
                <w:sz w:val="16"/>
              </w:rPr>
              <w:t xml:space="preserve"> </w:t>
            </w:r>
            <w:r>
              <w:rPr>
                <w:spacing w:val="-2"/>
                <w:sz w:val="16"/>
              </w:rPr>
              <w:t>Rebate</w:t>
            </w:r>
          </w:p>
        </w:tc>
        <w:tc>
          <w:tcPr>
            <w:tcW w:w="2500" w:type="dxa"/>
            <w:gridSpan w:val="2"/>
            <w:tcBorders>
              <w:bottom w:val="single" w:sz="6" w:space="0" w:color="FFFFFF"/>
              <w:right w:val="nil"/>
            </w:tcBorders>
            <w:shd w:val="clear" w:color="auto" w:fill="CCE2ED"/>
          </w:tcPr>
          <w:p w14:paraId="500747BD" w14:textId="77777777" w:rsidR="00141B97" w:rsidRDefault="00911D63">
            <w:pPr>
              <w:pStyle w:val="TableParagraph"/>
              <w:spacing w:before="15" w:line="189" w:lineRule="exact"/>
              <w:ind w:left="230"/>
              <w:rPr>
                <w:sz w:val="16"/>
              </w:rPr>
            </w:pPr>
            <w:r>
              <w:rPr>
                <w:sz w:val="16"/>
              </w:rPr>
              <w:t>Reduction</w:t>
            </w:r>
            <w:r>
              <w:rPr>
                <w:spacing w:val="-6"/>
                <w:sz w:val="16"/>
              </w:rPr>
              <w:t xml:space="preserve"> </w:t>
            </w:r>
            <w:r>
              <w:rPr>
                <w:sz w:val="16"/>
              </w:rPr>
              <w:t>–</w:t>
            </w:r>
            <w:r>
              <w:rPr>
                <w:spacing w:val="-8"/>
                <w:sz w:val="16"/>
              </w:rPr>
              <w:t xml:space="preserve"> </w:t>
            </w:r>
            <w:r>
              <w:rPr>
                <w:sz w:val="16"/>
              </w:rPr>
              <w:t>SMP2</w:t>
            </w:r>
            <w:r>
              <w:rPr>
                <w:spacing w:val="-7"/>
                <w:sz w:val="16"/>
              </w:rPr>
              <w:t xml:space="preserve"> </w:t>
            </w:r>
            <w:r>
              <w:rPr>
                <w:spacing w:val="-2"/>
                <w:sz w:val="16"/>
              </w:rPr>
              <w:t>adjustment</w:t>
            </w:r>
          </w:p>
        </w:tc>
      </w:tr>
      <w:tr w:rsidR="00141B97" w14:paraId="0A94DA65" w14:textId="77777777">
        <w:trPr>
          <w:trHeight w:val="224"/>
        </w:trPr>
        <w:tc>
          <w:tcPr>
            <w:tcW w:w="3076" w:type="dxa"/>
            <w:tcBorders>
              <w:top w:val="single" w:sz="6" w:space="0" w:color="FFFFFF"/>
              <w:left w:val="nil"/>
            </w:tcBorders>
            <w:shd w:val="clear" w:color="auto" w:fill="CCE2ED"/>
          </w:tcPr>
          <w:p w14:paraId="43825DE3" w14:textId="77777777" w:rsidR="00141B97" w:rsidRDefault="00911D63">
            <w:pPr>
              <w:pStyle w:val="TableParagraph"/>
              <w:spacing w:before="12" w:line="192" w:lineRule="exact"/>
              <w:ind w:left="98"/>
              <w:rPr>
                <w:sz w:val="16"/>
              </w:rPr>
            </w:pPr>
            <w:r>
              <w:rPr>
                <w:sz w:val="16"/>
              </w:rPr>
              <w:t>Robinvale</w:t>
            </w:r>
            <w:r>
              <w:rPr>
                <w:spacing w:val="-8"/>
                <w:sz w:val="16"/>
              </w:rPr>
              <w:t xml:space="preserve"> </w:t>
            </w:r>
            <w:r>
              <w:rPr>
                <w:sz w:val="16"/>
              </w:rPr>
              <w:t>irrigation</w:t>
            </w:r>
            <w:r>
              <w:rPr>
                <w:spacing w:val="-9"/>
                <w:sz w:val="16"/>
              </w:rPr>
              <w:t xml:space="preserve"> </w:t>
            </w:r>
            <w:r>
              <w:rPr>
                <w:sz w:val="16"/>
              </w:rPr>
              <w:t>and</w:t>
            </w:r>
            <w:r>
              <w:rPr>
                <w:spacing w:val="-8"/>
                <w:sz w:val="16"/>
              </w:rPr>
              <w:t xml:space="preserve"> </w:t>
            </w:r>
            <w:r>
              <w:rPr>
                <w:spacing w:val="-2"/>
                <w:sz w:val="16"/>
              </w:rPr>
              <w:t>drainage</w:t>
            </w:r>
          </w:p>
        </w:tc>
        <w:tc>
          <w:tcPr>
            <w:tcW w:w="1315" w:type="dxa"/>
            <w:tcBorders>
              <w:top w:val="single" w:sz="6" w:space="0" w:color="FFFFFF"/>
              <w:right w:val="single" w:sz="6" w:space="0" w:color="FFFFFF"/>
            </w:tcBorders>
            <w:shd w:val="clear" w:color="auto" w:fill="CCE2ED"/>
          </w:tcPr>
          <w:p w14:paraId="7B58B0AB" w14:textId="77777777" w:rsidR="00141B97" w:rsidRDefault="00911D63">
            <w:pPr>
              <w:pStyle w:val="TableParagraph"/>
              <w:spacing w:before="12" w:line="192"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top w:val="single" w:sz="6" w:space="0" w:color="FFFFFF"/>
              <w:left w:val="single" w:sz="6" w:space="0" w:color="FFFFFF"/>
            </w:tcBorders>
            <w:shd w:val="clear" w:color="auto" w:fill="CCE2ED"/>
          </w:tcPr>
          <w:p w14:paraId="147E7CD8" w14:textId="77777777" w:rsidR="00141B97" w:rsidRDefault="00911D63">
            <w:pPr>
              <w:pStyle w:val="TableParagraph"/>
              <w:spacing w:before="12" w:line="192"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top w:val="single" w:sz="6" w:space="0" w:color="FFFFFF"/>
            </w:tcBorders>
            <w:shd w:val="clear" w:color="auto" w:fill="CCE2ED"/>
          </w:tcPr>
          <w:p w14:paraId="53883386" w14:textId="77777777" w:rsidR="00141B97" w:rsidRDefault="00911D63">
            <w:pPr>
              <w:pStyle w:val="TableParagraph"/>
              <w:spacing w:before="12" w:line="192" w:lineRule="exact"/>
              <w:ind w:left="291" w:right="292"/>
              <w:jc w:val="center"/>
              <w:rPr>
                <w:sz w:val="16"/>
              </w:rPr>
            </w:pPr>
            <w:r>
              <w:rPr>
                <w:sz w:val="16"/>
              </w:rPr>
              <w:t>No</w:t>
            </w:r>
            <w:r>
              <w:rPr>
                <w:spacing w:val="-3"/>
                <w:sz w:val="16"/>
              </w:rPr>
              <w:t xml:space="preserve"> </w:t>
            </w:r>
            <w:r>
              <w:rPr>
                <w:spacing w:val="-2"/>
                <w:sz w:val="16"/>
              </w:rPr>
              <w:t>change</w:t>
            </w:r>
          </w:p>
        </w:tc>
        <w:tc>
          <w:tcPr>
            <w:tcW w:w="2500" w:type="dxa"/>
            <w:gridSpan w:val="2"/>
            <w:tcBorders>
              <w:top w:val="single" w:sz="6" w:space="0" w:color="FFFFFF"/>
              <w:right w:val="nil"/>
            </w:tcBorders>
            <w:shd w:val="clear" w:color="auto" w:fill="CCE2ED"/>
          </w:tcPr>
          <w:p w14:paraId="2B2D7957" w14:textId="77777777" w:rsidR="00141B97" w:rsidRDefault="00911D63">
            <w:pPr>
              <w:pStyle w:val="TableParagraph"/>
              <w:spacing w:before="12" w:line="192" w:lineRule="exact"/>
              <w:ind w:left="851" w:right="933"/>
              <w:jc w:val="center"/>
              <w:rPr>
                <w:sz w:val="16"/>
              </w:rPr>
            </w:pPr>
            <w:r>
              <w:rPr>
                <w:sz w:val="16"/>
              </w:rPr>
              <w:t>No</w:t>
            </w:r>
            <w:r>
              <w:rPr>
                <w:spacing w:val="-3"/>
                <w:sz w:val="16"/>
              </w:rPr>
              <w:t xml:space="preserve"> </w:t>
            </w:r>
            <w:r>
              <w:rPr>
                <w:spacing w:val="-2"/>
                <w:sz w:val="16"/>
              </w:rPr>
              <w:t>change</w:t>
            </w:r>
          </w:p>
        </w:tc>
      </w:tr>
      <w:tr w:rsidR="00141B97" w14:paraId="4C1B232D" w14:textId="77777777">
        <w:trPr>
          <w:trHeight w:val="224"/>
        </w:trPr>
        <w:tc>
          <w:tcPr>
            <w:tcW w:w="3076" w:type="dxa"/>
            <w:tcBorders>
              <w:left w:val="nil"/>
              <w:bottom w:val="single" w:sz="6" w:space="0" w:color="FFFFFF"/>
            </w:tcBorders>
            <w:shd w:val="clear" w:color="auto" w:fill="CCE2ED"/>
          </w:tcPr>
          <w:p w14:paraId="0B8B1BBA" w14:textId="77777777" w:rsidR="00141B97" w:rsidRDefault="00911D63">
            <w:pPr>
              <w:pStyle w:val="TableParagraph"/>
              <w:spacing w:before="15" w:line="189" w:lineRule="exact"/>
              <w:ind w:left="98"/>
              <w:rPr>
                <w:sz w:val="16"/>
              </w:rPr>
            </w:pPr>
            <w:r>
              <w:rPr>
                <w:spacing w:val="-2"/>
                <w:sz w:val="16"/>
              </w:rPr>
              <w:t>Mildura</w:t>
            </w:r>
            <w:r>
              <w:rPr>
                <w:spacing w:val="2"/>
                <w:sz w:val="16"/>
              </w:rPr>
              <w:t xml:space="preserve"> </w:t>
            </w:r>
            <w:r>
              <w:rPr>
                <w:spacing w:val="-5"/>
                <w:sz w:val="16"/>
              </w:rPr>
              <w:t>HPS</w:t>
            </w:r>
          </w:p>
        </w:tc>
        <w:tc>
          <w:tcPr>
            <w:tcW w:w="1315" w:type="dxa"/>
            <w:tcBorders>
              <w:bottom w:val="single" w:sz="6" w:space="0" w:color="FFFFFF"/>
              <w:right w:val="single" w:sz="6" w:space="0" w:color="FFFFFF"/>
            </w:tcBorders>
            <w:shd w:val="clear" w:color="auto" w:fill="CCE2ED"/>
          </w:tcPr>
          <w:p w14:paraId="72B36989" w14:textId="77777777" w:rsidR="00141B97" w:rsidRDefault="00911D63">
            <w:pPr>
              <w:pStyle w:val="TableParagraph"/>
              <w:spacing w:before="15" w:line="189"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left w:val="single" w:sz="6" w:space="0" w:color="FFFFFF"/>
              <w:bottom w:val="single" w:sz="6" w:space="0" w:color="FFFFFF"/>
            </w:tcBorders>
            <w:shd w:val="clear" w:color="auto" w:fill="CCE2ED"/>
          </w:tcPr>
          <w:p w14:paraId="67E4AB19" w14:textId="77777777" w:rsidR="00141B97" w:rsidRDefault="00911D63">
            <w:pPr>
              <w:pStyle w:val="TableParagraph"/>
              <w:spacing w:before="15" w:line="189"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bottom w:val="single" w:sz="6" w:space="0" w:color="FFFFFF"/>
            </w:tcBorders>
            <w:shd w:val="clear" w:color="auto" w:fill="CCE2ED"/>
          </w:tcPr>
          <w:p w14:paraId="4A84C183" w14:textId="77777777" w:rsidR="00141B97" w:rsidRDefault="00911D63">
            <w:pPr>
              <w:pStyle w:val="TableParagraph"/>
              <w:spacing w:before="15" w:line="189" w:lineRule="exact"/>
              <w:ind w:left="291" w:right="292"/>
              <w:jc w:val="center"/>
              <w:rPr>
                <w:sz w:val="16"/>
              </w:rPr>
            </w:pPr>
            <w:r>
              <w:rPr>
                <w:sz w:val="16"/>
              </w:rPr>
              <w:t>SMP2</w:t>
            </w:r>
            <w:r>
              <w:rPr>
                <w:spacing w:val="-6"/>
                <w:sz w:val="16"/>
              </w:rPr>
              <w:t xml:space="preserve"> </w:t>
            </w:r>
            <w:r>
              <w:rPr>
                <w:spacing w:val="-2"/>
                <w:sz w:val="16"/>
              </w:rPr>
              <w:t>Rebate</w:t>
            </w:r>
          </w:p>
        </w:tc>
        <w:tc>
          <w:tcPr>
            <w:tcW w:w="2500" w:type="dxa"/>
            <w:gridSpan w:val="2"/>
            <w:tcBorders>
              <w:bottom w:val="single" w:sz="6" w:space="0" w:color="FFFFFF"/>
              <w:right w:val="nil"/>
            </w:tcBorders>
            <w:shd w:val="clear" w:color="auto" w:fill="CCE2ED"/>
          </w:tcPr>
          <w:p w14:paraId="620099DA" w14:textId="77777777" w:rsidR="00141B97" w:rsidRDefault="00911D63">
            <w:pPr>
              <w:pStyle w:val="TableParagraph"/>
              <w:spacing w:before="15" w:line="189" w:lineRule="exact"/>
              <w:ind w:left="851" w:right="933"/>
              <w:jc w:val="center"/>
              <w:rPr>
                <w:sz w:val="16"/>
              </w:rPr>
            </w:pPr>
            <w:r>
              <w:rPr>
                <w:sz w:val="16"/>
              </w:rPr>
              <w:t>No</w:t>
            </w:r>
            <w:r>
              <w:rPr>
                <w:spacing w:val="-3"/>
                <w:sz w:val="16"/>
              </w:rPr>
              <w:t xml:space="preserve"> </w:t>
            </w:r>
            <w:r>
              <w:rPr>
                <w:spacing w:val="-2"/>
                <w:sz w:val="16"/>
              </w:rPr>
              <w:t>change</w:t>
            </w:r>
          </w:p>
        </w:tc>
      </w:tr>
      <w:tr w:rsidR="00141B97" w14:paraId="7A3355E9" w14:textId="77777777">
        <w:trPr>
          <w:trHeight w:val="224"/>
        </w:trPr>
        <w:tc>
          <w:tcPr>
            <w:tcW w:w="3076" w:type="dxa"/>
            <w:tcBorders>
              <w:top w:val="single" w:sz="6" w:space="0" w:color="FFFFFF"/>
              <w:left w:val="nil"/>
            </w:tcBorders>
            <w:shd w:val="clear" w:color="auto" w:fill="CCE2ED"/>
          </w:tcPr>
          <w:p w14:paraId="48214D2A" w14:textId="77777777" w:rsidR="00141B97" w:rsidRDefault="00911D63">
            <w:pPr>
              <w:pStyle w:val="TableParagraph"/>
              <w:spacing w:before="12" w:line="192" w:lineRule="exact"/>
              <w:ind w:left="98"/>
              <w:rPr>
                <w:sz w:val="16"/>
              </w:rPr>
            </w:pPr>
            <w:r>
              <w:rPr>
                <w:spacing w:val="-2"/>
                <w:sz w:val="16"/>
              </w:rPr>
              <w:t>Millewa</w:t>
            </w:r>
            <w:r>
              <w:rPr>
                <w:spacing w:val="3"/>
                <w:sz w:val="16"/>
              </w:rPr>
              <w:t xml:space="preserve"> </w:t>
            </w:r>
            <w:r>
              <w:rPr>
                <w:spacing w:val="-2"/>
                <w:sz w:val="16"/>
              </w:rPr>
              <w:t>Urban</w:t>
            </w:r>
          </w:p>
        </w:tc>
        <w:tc>
          <w:tcPr>
            <w:tcW w:w="1315" w:type="dxa"/>
            <w:tcBorders>
              <w:top w:val="single" w:sz="6" w:space="0" w:color="FFFFFF"/>
              <w:right w:val="single" w:sz="6" w:space="0" w:color="FFFFFF"/>
            </w:tcBorders>
            <w:shd w:val="clear" w:color="auto" w:fill="CCE2ED"/>
          </w:tcPr>
          <w:p w14:paraId="409A199A" w14:textId="77777777" w:rsidR="00141B97" w:rsidRDefault="00911D63">
            <w:pPr>
              <w:pStyle w:val="TableParagraph"/>
              <w:spacing w:before="12" w:line="192"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top w:val="single" w:sz="6" w:space="0" w:color="FFFFFF"/>
              <w:left w:val="single" w:sz="6" w:space="0" w:color="FFFFFF"/>
            </w:tcBorders>
            <w:shd w:val="clear" w:color="auto" w:fill="CCE2ED"/>
          </w:tcPr>
          <w:p w14:paraId="72D4FE83" w14:textId="77777777" w:rsidR="00141B97" w:rsidRDefault="00911D63">
            <w:pPr>
              <w:pStyle w:val="TableParagraph"/>
              <w:spacing w:before="12" w:line="192"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top w:val="single" w:sz="6" w:space="0" w:color="FFFFFF"/>
            </w:tcBorders>
            <w:shd w:val="clear" w:color="auto" w:fill="CCE2ED"/>
          </w:tcPr>
          <w:p w14:paraId="7034D20F" w14:textId="77777777" w:rsidR="00141B97" w:rsidRDefault="00911D63">
            <w:pPr>
              <w:pStyle w:val="TableParagraph"/>
              <w:spacing w:before="12" w:line="192" w:lineRule="exact"/>
              <w:ind w:left="291" w:right="292"/>
              <w:jc w:val="center"/>
              <w:rPr>
                <w:sz w:val="16"/>
              </w:rPr>
            </w:pPr>
            <w:r>
              <w:rPr>
                <w:sz w:val="16"/>
              </w:rPr>
              <w:t>No</w:t>
            </w:r>
            <w:r>
              <w:rPr>
                <w:spacing w:val="-3"/>
                <w:sz w:val="16"/>
              </w:rPr>
              <w:t xml:space="preserve"> </w:t>
            </w:r>
            <w:r>
              <w:rPr>
                <w:spacing w:val="-2"/>
                <w:sz w:val="16"/>
              </w:rPr>
              <w:t>change</w:t>
            </w:r>
          </w:p>
        </w:tc>
        <w:tc>
          <w:tcPr>
            <w:tcW w:w="2500" w:type="dxa"/>
            <w:gridSpan w:val="2"/>
            <w:tcBorders>
              <w:top w:val="single" w:sz="6" w:space="0" w:color="FFFFFF"/>
              <w:right w:val="nil"/>
            </w:tcBorders>
            <w:shd w:val="clear" w:color="auto" w:fill="CCE2ED"/>
          </w:tcPr>
          <w:p w14:paraId="356B8E00" w14:textId="77777777" w:rsidR="00141B97" w:rsidRDefault="00911D63">
            <w:pPr>
              <w:pStyle w:val="TableParagraph"/>
              <w:spacing w:before="12" w:line="192" w:lineRule="exact"/>
              <w:ind w:left="230"/>
              <w:rPr>
                <w:sz w:val="16"/>
              </w:rPr>
            </w:pPr>
            <w:r>
              <w:rPr>
                <w:sz w:val="16"/>
              </w:rPr>
              <w:t>Reduction</w:t>
            </w:r>
            <w:r>
              <w:rPr>
                <w:spacing w:val="-6"/>
                <w:sz w:val="16"/>
              </w:rPr>
              <w:t xml:space="preserve"> </w:t>
            </w:r>
            <w:r>
              <w:rPr>
                <w:sz w:val="16"/>
              </w:rPr>
              <w:t>–</w:t>
            </w:r>
            <w:r>
              <w:rPr>
                <w:spacing w:val="-8"/>
                <w:sz w:val="16"/>
              </w:rPr>
              <w:t xml:space="preserve"> </w:t>
            </w:r>
            <w:r>
              <w:rPr>
                <w:sz w:val="16"/>
              </w:rPr>
              <w:t>SMP2</w:t>
            </w:r>
            <w:r>
              <w:rPr>
                <w:spacing w:val="-7"/>
                <w:sz w:val="16"/>
              </w:rPr>
              <w:t xml:space="preserve"> </w:t>
            </w:r>
            <w:r>
              <w:rPr>
                <w:spacing w:val="-2"/>
                <w:sz w:val="16"/>
              </w:rPr>
              <w:t>adjustment</w:t>
            </w:r>
          </w:p>
        </w:tc>
      </w:tr>
      <w:tr w:rsidR="00141B97" w14:paraId="7A5EEECC" w14:textId="77777777">
        <w:trPr>
          <w:trHeight w:val="224"/>
        </w:trPr>
        <w:tc>
          <w:tcPr>
            <w:tcW w:w="3076" w:type="dxa"/>
            <w:tcBorders>
              <w:left w:val="nil"/>
              <w:bottom w:val="single" w:sz="6" w:space="0" w:color="FFFFFF"/>
            </w:tcBorders>
            <w:shd w:val="clear" w:color="auto" w:fill="CCE2ED"/>
          </w:tcPr>
          <w:p w14:paraId="1E73C987" w14:textId="77777777" w:rsidR="00141B97" w:rsidRDefault="00911D63">
            <w:pPr>
              <w:pStyle w:val="TableParagraph"/>
              <w:spacing w:before="15" w:line="189" w:lineRule="exact"/>
              <w:ind w:left="98"/>
              <w:rPr>
                <w:sz w:val="16"/>
              </w:rPr>
            </w:pPr>
            <w:r>
              <w:rPr>
                <w:spacing w:val="-2"/>
                <w:sz w:val="16"/>
              </w:rPr>
              <w:t>Millewa</w:t>
            </w:r>
            <w:r>
              <w:rPr>
                <w:spacing w:val="3"/>
                <w:sz w:val="16"/>
              </w:rPr>
              <w:t xml:space="preserve"> </w:t>
            </w:r>
            <w:r>
              <w:rPr>
                <w:spacing w:val="-2"/>
                <w:sz w:val="16"/>
              </w:rPr>
              <w:t>Rural</w:t>
            </w:r>
          </w:p>
        </w:tc>
        <w:tc>
          <w:tcPr>
            <w:tcW w:w="1315" w:type="dxa"/>
            <w:tcBorders>
              <w:bottom w:val="single" w:sz="6" w:space="0" w:color="FFFFFF"/>
              <w:right w:val="single" w:sz="6" w:space="0" w:color="FFFFFF"/>
            </w:tcBorders>
            <w:shd w:val="clear" w:color="auto" w:fill="CCE2ED"/>
          </w:tcPr>
          <w:p w14:paraId="5B06F983" w14:textId="77777777" w:rsidR="00141B97" w:rsidRDefault="00911D63">
            <w:pPr>
              <w:pStyle w:val="TableParagraph"/>
              <w:spacing w:before="15" w:line="189"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left w:val="single" w:sz="6" w:space="0" w:color="FFFFFF"/>
              <w:bottom w:val="single" w:sz="6" w:space="0" w:color="FFFFFF"/>
            </w:tcBorders>
            <w:shd w:val="clear" w:color="auto" w:fill="CCE2ED"/>
          </w:tcPr>
          <w:p w14:paraId="359EFCA5" w14:textId="77777777" w:rsidR="00141B97" w:rsidRDefault="00911D63">
            <w:pPr>
              <w:pStyle w:val="TableParagraph"/>
              <w:spacing w:before="15" w:line="189"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bottom w:val="single" w:sz="6" w:space="0" w:color="FFFFFF"/>
            </w:tcBorders>
            <w:shd w:val="clear" w:color="auto" w:fill="CCE2ED"/>
          </w:tcPr>
          <w:p w14:paraId="2F4F088E" w14:textId="77777777" w:rsidR="00141B97" w:rsidRDefault="00911D63">
            <w:pPr>
              <w:pStyle w:val="TableParagraph"/>
              <w:spacing w:before="15" w:line="189" w:lineRule="exact"/>
              <w:ind w:left="291" w:right="292"/>
              <w:jc w:val="center"/>
              <w:rPr>
                <w:sz w:val="16"/>
              </w:rPr>
            </w:pPr>
            <w:r>
              <w:rPr>
                <w:sz w:val="16"/>
              </w:rPr>
              <w:t>SMP2</w:t>
            </w:r>
            <w:r>
              <w:rPr>
                <w:spacing w:val="-6"/>
                <w:sz w:val="16"/>
              </w:rPr>
              <w:t xml:space="preserve"> </w:t>
            </w:r>
            <w:r>
              <w:rPr>
                <w:spacing w:val="-2"/>
                <w:sz w:val="16"/>
              </w:rPr>
              <w:t>Rebate</w:t>
            </w:r>
          </w:p>
        </w:tc>
        <w:tc>
          <w:tcPr>
            <w:tcW w:w="2500" w:type="dxa"/>
            <w:gridSpan w:val="2"/>
            <w:tcBorders>
              <w:bottom w:val="single" w:sz="6" w:space="0" w:color="FFFFFF"/>
              <w:right w:val="nil"/>
            </w:tcBorders>
            <w:shd w:val="clear" w:color="auto" w:fill="CCE2ED"/>
          </w:tcPr>
          <w:p w14:paraId="0607F56C" w14:textId="77777777" w:rsidR="00141B97" w:rsidRDefault="00911D63">
            <w:pPr>
              <w:pStyle w:val="TableParagraph"/>
              <w:spacing w:before="15" w:line="189" w:lineRule="exact"/>
              <w:ind w:left="230"/>
              <w:rPr>
                <w:sz w:val="16"/>
              </w:rPr>
            </w:pPr>
            <w:r>
              <w:rPr>
                <w:sz w:val="16"/>
              </w:rPr>
              <w:t>Reduction</w:t>
            </w:r>
            <w:r>
              <w:rPr>
                <w:spacing w:val="-6"/>
                <w:sz w:val="16"/>
              </w:rPr>
              <w:t xml:space="preserve"> </w:t>
            </w:r>
            <w:r>
              <w:rPr>
                <w:sz w:val="16"/>
              </w:rPr>
              <w:t>–</w:t>
            </w:r>
            <w:r>
              <w:rPr>
                <w:spacing w:val="-8"/>
                <w:sz w:val="16"/>
              </w:rPr>
              <w:t xml:space="preserve"> </w:t>
            </w:r>
            <w:r>
              <w:rPr>
                <w:sz w:val="16"/>
              </w:rPr>
              <w:t>SMP2</w:t>
            </w:r>
            <w:r>
              <w:rPr>
                <w:spacing w:val="-7"/>
                <w:sz w:val="16"/>
              </w:rPr>
              <w:t xml:space="preserve"> </w:t>
            </w:r>
            <w:r>
              <w:rPr>
                <w:spacing w:val="-2"/>
                <w:sz w:val="16"/>
              </w:rPr>
              <w:t>adjustment</w:t>
            </w:r>
          </w:p>
        </w:tc>
      </w:tr>
      <w:tr w:rsidR="00141B97" w14:paraId="42ECCA7D" w14:textId="77777777">
        <w:trPr>
          <w:trHeight w:val="224"/>
        </w:trPr>
        <w:tc>
          <w:tcPr>
            <w:tcW w:w="3076" w:type="dxa"/>
            <w:tcBorders>
              <w:top w:val="single" w:sz="6" w:space="0" w:color="FFFFFF"/>
              <w:left w:val="nil"/>
            </w:tcBorders>
            <w:shd w:val="clear" w:color="auto" w:fill="CCE2ED"/>
          </w:tcPr>
          <w:p w14:paraId="26FBFBA7" w14:textId="77777777" w:rsidR="00141B97" w:rsidRDefault="00911D63">
            <w:pPr>
              <w:pStyle w:val="TableParagraph"/>
              <w:spacing w:before="12" w:line="192" w:lineRule="exact"/>
              <w:ind w:left="98"/>
              <w:rPr>
                <w:sz w:val="16"/>
              </w:rPr>
            </w:pPr>
            <w:r>
              <w:rPr>
                <w:sz w:val="16"/>
              </w:rPr>
              <w:t>Other</w:t>
            </w:r>
            <w:r>
              <w:rPr>
                <w:spacing w:val="-4"/>
                <w:sz w:val="16"/>
              </w:rPr>
              <w:t xml:space="preserve"> </w:t>
            </w:r>
            <w:r>
              <w:rPr>
                <w:sz w:val="16"/>
              </w:rPr>
              <w:t>stock</w:t>
            </w:r>
            <w:r>
              <w:rPr>
                <w:spacing w:val="-4"/>
                <w:sz w:val="16"/>
              </w:rPr>
              <w:t xml:space="preserve"> </w:t>
            </w:r>
            <w:r>
              <w:rPr>
                <w:sz w:val="16"/>
              </w:rPr>
              <w:t>and</w:t>
            </w:r>
            <w:r>
              <w:rPr>
                <w:spacing w:val="-4"/>
                <w:sz w:val="16"/>
              </w:rPr>
              <w:t xml:space="preserve"> </w:t>
            </w:r>
            <w:r>
              <w:rPr>
                <w:spacing w:val="-2"/>
                <w:sz w:val="16"/>
              </w:rPr>
              <w:t>domestic</w:t>
            </w:r>
          </w:p>
        </w:tc>
        <w:tc>
          <w:tcPr>
            <w:tcW w:w="1315" w:type="dxa"/>
            <w:tcBorders>
              <w:top w:val="single" w:sz="6" w:space="0" w:color="FFFFFF"/>
              <w:right w:val="single" w:sz="6" w:space="0" w:color="FFFFFF"/>
            </w:tcBorders>
            <w:shd w:val="clear" w:color="auto" w:fill="CCE2ED"/>
          </w:tcPr>
          <w:p w14:paraId="2BF1ECBE" w14:textId="77777777" w:rsidR="00141B97" w:rsidRDefault="00911D63">
            <w:pPr>
              <w:pStyle w:val="TableParagraph"/>
              <w:spacing w:before="12" w:line="192"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top w:val="single" w:sz="6" w:space="0" w:color="FFFFFF"/>
              <w:left w:val="single" w:sz="6" w:space="0" w:color="FFFFFF"/>
            </w:tcBorders>
            <w:shd w:val="clear" w:color="auto" w:fill="CCE2ED"/>
          </w:tcPr>
          <w:p w14:paraId="7B13FBE7" w14:textId="77777777" w:rsidR="00141B97" w:rsidRDefault="00911D63">
            <w:pPr>
              <w:pStyle w:val="TableParagraph"/>
              <w:spacing w:before="12" w:line="192"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top w:val="single" w:sz="6" w:space="0" w:color="FFFFFF"/>
            </w:tcBorders>
            <w:shd w:val="clear" w:color="auto" w:fill="CCE2ED"/>
          </w:tcPr>
          <w:p w14:paraId="48B3C6AD" w14:textId="77777777" w:rsidR="00141B97" w:rsidRDefault="00911D63">
            <w:pPr>
              <w:pStyle w:val="TableParagraph"/>
              <w:spacing w:before="12" w:line="192" w:lineRule="exact"/>
              <w:ind w:left="291" w:right="292"/>
              <w:jc w:val="center"/>
              <w:rPr>
                <w:sz w:val="16"/>
              </w:rPr>
            </w:pPr>
            <w:r>
              <w:rPr>
                <w:sz w:val="16"/>
              </w:rPr>
              <w:t>SMP2</w:t>
            </w:r>
            <w:r>
              <w:rPr>
                <w:spacing w:val="-6"/>
                <w:sz w:val="16"/>
              </w:rPr>
              <w:t xml:space="preserve"> </w:t>
            </w:r>
            <w:r>
              <w:rPr>
                <w:spacing w:val="-2"/>
                <w:sz w:val="16"/>
              </w:rPr>
              <w:t>Rebate</w:t>
            </w:r>
          </w:p>
        </w:tc>
        <w:tc>
          <w:tcPr>
            <w:tcW w:w="2500" w:type="dxa"/>
            <w:gridSpan w:val="2"/>
            <w:tcBorders>
              <w:top w:val="single" w:sz="6" w:space="0" w:color="FFFFFF"/>
              <w:right w:val="nil"/>
            </w:tcBorders>
            <w:shd w:val="clear" w:color="auto" w:fill="CCE2ED"/>
          </w:tcPr>
          <w:p w14:paraId="33D9BB22" w14:textId="77777777" w:rsidR="00141B97" w:rsidRDefault="00911D63">
            <w:pPr>
              <w:pStyle w:val="TableParagraph"/>
              <w:spacing w:before="12" w:line="192" w:lineRule="exact"/>
              <w:ind w:left="230"/>
              <w:rPr>
                <w:sz w:val="16"/>
              </w:rPr>
            </w:pPr>
            <w:r>
              <w:rPr>
                <w:sz w:val="16"/>
              </w:rPr>
              <w:t>Reduction</w:t>
            </w:r>
            <w:r>
              <w:rPr>
                <w:spacing w:val="-6"/>
                <w:sz w:val="16"/>
              </w:rPr>
              <w:t xml:space="preserve"> </w:t>
            </w:r>
            <w:r>
              <w:rPr>
                <w:sz w:val="16"/>
              </w:rPr>
              <w:t>–</w:t>
            </w:r>
            <w:r>
              <w:rPr>
                <w:spacing w:val="-8"/>
                <w:sz w:val="16"/>
              </w:rPr>
              <w:t xml:space="preserve"> </w:t>
            </w:r>
            <w:r>
              <w:rPr>
                <w:sz w:val="16"/>
              </w:rPr>
              <w:t>SMP2</w:t>
            </w:r>
            <w:r>
              <w:rPr>
                <w:spacing w:val="-7"/>
                <w:sz w:val="16"/>
              </w:rPr>
              <w:t xml:space="preserve"> </w:t>
            </w:r>
            <w:r>
              <w:rPr>
                <w:spacing w:val="-2"/>
                <w:sz w:val="16"/>
              </w:rPr>
              <w:t>adjustment</w:t>
            </w:r>
          </w:p>
        </w:tc>
      </w:tr>
      <w:tr w:rsidR="00141B97" w14:paraId="08D2673C" w14:textId="77777777">
        <w:trPr>
          <w:trHeight w:val="226"/>
        </w:trPr>
        <w:tc>
          <w:tcPr>
            <w:tcW w:w="3076" w:type="dxa"/>
            <w:tcBorders>
              <w:left w:val="nil"/>
              <w:bottom w:val="nil"/>
            </w:tcBorders>
            <w:shd w:val="clear" w:color="auto" w:fill="CCE2ED"/>
          </w:tcPr>
          <w:p w14:paraId="1120EDA9" w14:textId="77777777" w:rsidR="00141B97" w:rsidRDefault="00911D63">
            <w:pPr>
              <w:pStyle w:val="TableParagraph"/>
              <w:spacing w:before="15" w:line="191" w:lineRule="exact"/>
              <w:ind w:left="98"/>
              <w:rPr>
                <w:sz w:val="16"/>
              </w:rPr>
            </w:pPr>
            <w:r>
              <w:rPr>
                <w:spacing w:val="-2"/>
                <w:sz w:val="16"/>
              </w:rPr>
              <w:t>Diversions</w:t>
            </w:r>
          </w:p>
        </w:tc>
        <w:tc>
          <w:tcPr>
            <w:tcW w:w="1315" w:type="dxa"/>
            <w:tcBorders>
              <w:bottom w:val="nil"/>
              <w:right w:val="single" w:sz="6" w:space="0" w:color="FFFFFF"/>
            </w:tcBorders>
            <w:shd w:val="clear" w:color="auto" w:fill="CCE2ED"/>
          </w:tcPr>
          <w:p w14:paraId="374A347A" w14:textId="77777777" w:rsidR="00141B97" w:rsidRDefault="00911D63">
            <w:pPr>
              <w:pStyle w:val="TableParagraph"/>
              <w:spacing w:before="15" w:line="191" w:lineRule="exact"/>
              <w:ind w:left="295" w:right="296"/>
              <w:jc w:val="center"/>
              <w:rPr>
                <w:sz w:val="16"/>
              </w:rPr>
            </w:pPr>
            <w:r>
              <w:rPr>
                <w:sz w:val="16"/>
              </w:rPr>
              <w:t>No</w:t>
            </w:r>
            <w:r>
              <w:rPr>
                <w:spacing w:val="-3"/>
                <w:sz w:val="16"/>
              </w:rPr>
              <w:t xml:space="preserve"> </w:t>
            </w:r>
            <w:r>
              <w:rPr>
                <w:spacing w:val="-2"/>
                <w:sz w:val="16"/>
              </w:rPr>
              <w:t>change</w:t>
            </w:r>
          </w:p>
        </w:tc>
        <w:tc>
          <w:tcPr>
            <w:tcW w:w="1479" w:type="dxa"/>
            <w:tcBorders>
              <w:left w:val="single" w:sz="6" w:space="0" w:color="FFFFFF"/>
              <w:bottom w:val="nil"/>
            </w:tcBorders>
            <w:shd w:val="clear" w:color="auto" w:fill="CCE2ED"/>
          </w:tcPr>
          <w:p w14:paraId="34CBFC1F" w14:textId="77777777" w:rsidR="00141B97" w:rsidRDefault="00911D63">
            <w:pPr>
              <w:pStyle w:val="TableParagraph"/>
              <w:spacing w:before="15" w:line="191" w:lineRule="exact"/>
              <w:ind w:left="377" w:right="378"/>
              <w:jc w:val="center"/>
              <w:rPr>
                <w:sz w:val="16"/>
              </w:rPr>
            </w:pPr>
            <w:r>
              <w:rPr>
                <w:sz w:val="16"/>
              </w:rPr>
              <w:t>No</w:t>
            </w:r>
            <w:r>
              <w:rPr>
                <w:spacing w:val="-3"/>
                <w:sz w:val="16"/>
              </w:rPr>
              <w:t xml:space="preserve"> </w:t>
            </w:r>
            <w:r>
              <w:rPr>
                <w:spacing w:val="-2"/>
                <w:sz w:val="16"/>
              </w:rPr>
              <w:t>change</w:t>
            </w:r>
          </w:p>
        </w:tc>
        <w:tc>
          <w:tcPr>
            <w:tcW w:w="1477" w:type="dxa"/>
            <w:tcBorders>
              <w:bottom w:val="nil"/>
            </w:tcBorders>
            <w:shd w:val="clear" w:color="auto" w:fill="CCE2ED"/>
          </w:tcPr>
          <w:p w14:paraId="1093F5E6" w14:textId="77777777" w:rsidR="00141B97" w:rsidRDefault="00911D63">
            <w:pPr>
              <w:pStyle w:val="TableParagraph"/>
              <w:spacing w:before="15" w:line="191" w:lineRule="exact"/>
              <w:ind w:left="291" w:right="292"/>
              <w:jc w:val="center"/>
              <w:rPr>
                <w:sz w:val="16"/>
              </w:rPr>
            </w:pPr>
            <w:r>
              <w:rPr>
                <w:sz w:val="16"/>
              </w:rPr>
              <w:t>No</w:t>
            </w:r>
            <w:r>
              <w:rPr>
                <w:spacing w:val="-3"/>
                <w:sz w:val="16"/>
              </w:rPr>
              <w:t xml:space="preserve"> </w:t>
            </w:r>
            <w:r>
              <w:rPr>
                <w:spacing w:val="-2"/>
                <w:sz w:val="16"/>
              </w:rPr>
              <w:t>change</w:t>
            </w:r>
          </w:p>
        </w:tc>
        <w:tc>
          <w:tcPr>
            <w:tcW w:w="2500" w:type="dxa"/>
            <w:gridSpan w:val="2"/>
            <w:tcBorders>
              <w:bottom w:val="nil"/>
              <w:right w:val="nil"/>
            </w:tcBorders>
            <w:shd w:val="clear" w:color="auto" w:fill="CCE2ED"/>
          </w:tcPr>
          <w:p w14:paraId="174D3AB8" w14:textId="77777777" w:rsidR="00141B97" w:rsidRDefault="00911D63">
            <w:pPr>
              <w:pStyle w:val="TableParagraph"/>
              <w:spacing w:before="15" w:line="191" w:lineRule="exact"/>
              <w:ind w:left="851" w:right="933"/>
              <w:jc w:val="center"/>
              <w:rPr>
                <w:sz w:val="16"/>
              </w:rPr>
            </w:pPr>
            <w:r>
              <w:rPr>
                <w:sz w:val="16"/>
              </w:rPr>
              <w:t>No</w:t>
            </w:r>
            <w:r>
              <w:rPr>
                <w:spacing w:val="-3"/>
                <w:sz w:val="16"/>
              </w:rPr>
              <w:t xml:space="preserve"> </w:t>
            </w:r>
            <w:r>
              <w:rPr>
                <w:spacing w:val="-2"/>
                <w:sz w:val="16"/>
              </w:rPr>
              <w:t>change</w:t>
            </w:r>
          </w:p>
        </w:tc>
      </w:tr>
    </w:tbl>
    <w:p w14:paraId="0ACF19BB" w14:textId="77777777" w:rsidR="00141B97" w:rsidRDefault="00911D63">
      <w:pPr>
        <w:spacing w:before="37"/>
        <w:ind w:left="114"/>
        <w:rPr>
          <w:sz w:val="16"/>
        </w:rPr>
      </w:pPr>
      <w:r>
        <w:rPr>
          <w:sz w:val="16"/>
        </w:rPr>
        <w:t>Table</w:t>
      </w:r>
      <w:r>
        <w:rPr>
          <w:spacing w:val="-7"/>
          <w:sz w:val="16"/>
        </w:rPr>
        <w:t xml:space="preserve"> </w:t>
      </w:r>
      <w:r>
        <w:rPr>
          <w:sz w:val="16"/>
        </w:rPr>
        <w:t>C4</w:t>
      </w:r>
      <w:r>
        <w:rPr>
          <w:rFonts w:ascii="Trebuchet MS"/>
          <w:b/>
          <w:sz w:val="16"/>
        </w:rPr>
        <w:t>:</w:t>
      </w:r>
      <w:r>
        <w:rPr>
          <w:rFonts w:ascii="Trebuchet MS"/>
          <w:b/>
          <w:spacing w:val="-12"/>
          <w:sz w:val="16"/>
        </w:rPr>
        <w:t xml:space="preserve"> </w:t>
      </w:r>
      <w:r>
        <w:rPr>
          <w:sz w:val="16"/>
        </w:rPr>
        <w:t>Rural</w:t>
      </w:r>
      <w:r>
        <w:rPr>
          <w:spacing w:val="-5"/>
          <w:sz w:val="16"/>
        </w:rPr>
        <w:t xml:space="preserve"> </w:t>
      </w:r>
      <w:r>
        <w:rPr>
          <w:sz w:val="16"/>
        </w:rPr>
        <w:t>Price</w:t>
      </w:r>
      <w:r>
        <w:rPr>
          <w:spacing w:val="-4"/>
          <w:sz w:val="16"/>
        </w:rPr>
        <w:t xml:space="preserve"> </w:t>
      </w:r>
      <w:r>
        <w:rPr>
          <w:sz w:val="16"/>
        </w:rPr>
        <w:t>Changes</w:t>
      </w:r>
      <w:r>
        <w:rPr>
          <w:spacing w:val="-5"/>
          <w:sz w:val="16"/>
        </w:rPr>
        <w:t xml:space="preserve"> </w:t>
      </w:r>
      <w:r>
        <w:rPr>
          <w:sz w:val="16"/>
        </w:rPr>
        <w:t>Relative</w:t>
      </w:r>
      <w:r>
        <w:rPr>
          <w:spacing w:val="-5"/>
          <w:sz w:val="16"/>
        </w:rPr>
        <w:t xml:space="preserve"> </w:t>
      </w:r>
      <w:r>
        <w:rPr>
          <w:sz w:val="16"/>
        </w:rPr>
        <w:t>to</w:t>
      </w:r>
      <w:r>
        <w:rPr>
          <w:spacing w:val="-5"/>
          <w:sz w:val="16"/>
        </w:rPr>
        <w:t xml:space="preserve"> </w:t>
      </w:r>
      <w:r>
        <w:rPr>
          <w:sz w:val="16"/>
        </w:rPr>
        <w:t>PS4</w:t>
      </w:r>
      <w:r>
        <w:rPr>
          <w:spacing w:val="-5"/>
          <w:sz w:val="16"/>
        </w:rPr>
        <w:t xml:space="preserve"> </w:t>
      </w:r>
      <w:r>
        <w:rPr>
          <w:sz w:val="16"/>
        </w:rPr>
        <w:t>Approved</w:t>
      </w:r>
      <w:r>
        <w:rPr>
          <w:spacing w:val="-4"/>
          <w:sz w:val="16"/>
        </w:rPr>
        <w:t xml:space="preserve"> </w:t>
      </w:r>
      <w:r>
        <w:rPr>
          <w:sz w:val="16"/>
        </w:rPr>
        <w:t>Price</w:t>
      </w:r>
      <w:r>
        <w:rPr>
          <w:spacing w:val="-4"/>
          <w:sz w:val="16"/>
        </w:rPr>
        <w:t xml:space="preserve"> Path</w:t>
      </w:r>
    </w:p>
    <w:p w14:paraId="461ABF80" w14:textId="77777777" w:rsidR="00141B97" w:rsidRDefault="00141B97">
      <w:pPr>
        <w:pStyle w:val="BodyText"/>
        <w:rPr>
          <w:sz w:val="18"/>
        </w:rPr>
      </w:pPr>
    </w:p>
    <w:p w14:paraId="0B315D8E" w14:textId="77777777" w:rsidR="00141B97" w:rsidRDefault="00911D63">
      <w:pPr>
        <w:pStyle w:val="Heading2"/>
        <w:numPr>
          <w:ilvl w:val="1"/>
          <w:numId w:val="37"/>
        </w:numPr>
        <w:tabs>
          <w:tab w:val="left" w:pos="1112"/>
          <w:tab w:val="left" w:pos="1113"/>
        </w:tabs>
        <w:spacing w:before="160"/>
        <w:rPr>
          <w:color w:val="009BAC"/>
        </w:rPr>
      </w:pPr>
      <w:r>
        <w:rPr>
          <w:color w:val="009BAC"/>
        </w:rPr>
        <w:t>Operating</w:t>
      </w:r>
      <w:r>
        <w:rPr>
          <w:color w:val="009BAC"/>
          <w:spacing w:val="-9"/>
        </w:rPr>
        <w:t xml:space="preserve"> </w:t>
      </w:r>
      <w:r>
        <w:rPr>
          <w:color w:val="009BAC"/>
        </w:rPr>
        <w:t>Expenditure</w:t>
      </w:r>
      <w:r>
        <w:rPr>
          <w:color w:val="009BAC"/>
          <w:spacing w:val="-10"/>
        </w:rPr>
        <w:t xml:space="preserve"> </w:t>
      </w:r>
      <w:r>
        <w:rPr>
          <w:color w:val="009BAC"/>
        </w:rPr>
        <w:t>for</w:t>
      </w:r>
      <w:r>
        <w:rPr>
          <w:color w:val="009BAC"/>
          <w:spacing w:val="-10"/>
        </w:rPr>
        <w:t xml:space="preserve"> </w:t>
      </w:r>
      <w:r>
        <w:rPr>
          <w:color w:val="009BAC"/>
        </w:rPr>
        <w:t>the</w:t>
      </w:r>
      <w:r>
        <w:rPr>
          <w:color w:val="009BAC"/>
          <w:spacing w:val="-9"/>
        </w:rPr>
        <w:t xml:space="preserve"> </w:t>
      </w:r>
      <w:r>
        <w:rPr>
          <w:color w:val="009BAC"/>
        </w:rPr>
        <w:t>Delivery</w:t>
      </w:r>
      <w:r>
        <w:rPr>
          <w:color w:val="009BAC"/>
          <w:spacing w:val="-8"/>
        </w:rPr>
        <w:t xml:space="preserve"> </w:t>
      </w:r>
      <w:r>
        <w:rPr>
          <w:color w:val="009BAC"/>
        </w:rPr>
        <w:t>of</w:t>
      </w:r>
      <w:r>
        <w:rPr>
          <w:color w:val="009BAC"/>
          <w:spacing w:val="-9"/>
        </w:rPr>
        <w:t xml:space="preserve"> </w:t>
      </w:r>
      <w:r>
        <w:rPr>
          <w:color w:val="009BAC"/>
          <w:spacing w:val="-2"/>
        </w:rPr>
        <w:t>Outcomes</w:t>
      </w:r>
    </w:p>
    <w:p w14:paraId="7FDED212" w14:textId="77777777" w:rsidR="00141B97" w:rsidRDefault="00911D63">
      <w:pPr>
        <w:pStyle w:val="BodyText"/>
        <w:spacing w:before="132" w:line="252" w:lineRule="auto"/>
        <w:ind w:left="113" w:right="962"/>
      </w:pPr>
      <w:r>
        <w:t>Overall, total rural prescribed opex was $5.2m or 5.9% above approved budget for the four years to date, as shown in Table C5.</w:t>
      </w:r>
    </w:p>
    <w:p w14:paraId="222DF34D" w14:textId="77777777" w:rsidR="00141B97" w:rsidRDefault="00141B97">
      <w:pPr>
        <w:pStyle w:val="BodyText"/>
        <w:spacing w:after="1"/>
        <w:rPr>
          <w:sz w:val="10"/>
        </w:rPr>
      </w:pPr>
    </w:p>
    <w:tbl>
      <w:tblPr>
        <w:tblW w:w="0" w:type="auto"/>
        <w:tblCellSpacing w:w="9" w:type="dxa"/>
        <w:tblInd w:w="140" w:type="dxa"/>
        <w:tblLayout w:type="fixed"/>
        <w:tblCellMar>
          <w:left w:w="0" w:type="dxa"/>
          <w:right w:w="0" w:type="dxa"/>
        </w:tblCellMar>
        <w:tblLook w:val="01E0" w:firstRow="1" w:lastRow="1" w:firstColumn="1" w:lastColumn="1" w:noHBand="0" w:noVBand="0"/>
      </w:tblPr>
      <w:tblGrid>
        <w:gridCol w:w="1933"/>
        <w:gridCol w:w="674"/>
        <w:gridCol w:w="674"/>
        <w:gridCol w:w="673"/>
        <w:gridCol w:w="674"/>
        <w:gridCol w:w="674"/>
        <w:gridCol w:w="674"/>
        <w:gridCol w:w="674"/>
        <w:gridCol w:w="674"/>
        <w:gridCol w:w="673"/>
        <w:gridCol w:w="674"/>
        <w:gridCol w:w="619"/>
        <w:gridCol w:w="820"/>
      </w:tblGrid>
      <w:tr w:rsidR="00141B97" w14:paraId="4A9685FC" w14:textId="77777777">
        <w:trPr>
          <w:trHeight w:val="420"/>
          <w:tblCellSpacing w:w="9" w:type="dxa"/>
        </w:trPr>
        <w:tc>
          <w:tcPr>
            <w:tcW w:w="1906" w:type="dxa"/>
            <w:tcBorders>
              <w:top w:val="nil"/>
              <w:left w:val="nil"/>
            </w:tcBorders>
            <w:shd w:val="clear" w:color="auto" w:fill="006CA3"/>
          </w:tcPr>
          <w:p w14:paraId="57DBA710" w14:textId="77777777" w:rsidR="00141B97" w:rsidRDefault="00141B97">
            <w:pPr>
              <w:pStyle w:val="TableParagraph"/>
              <w:rPr>
                <w:rFonts w:ascii="Times New Roman"/>
                <w:sz w:val="18"/>
              </w:rPr>
            </w:pPr>
          </w:p>
        </w:tc>
        <w:tc>
          <w:tcPr>
            <w:tcW w:w="2623" w:type="dxa"/>
            <w:gridSpan w:val="4"/>
            <w:tcBorders>
              <w:top w:val="nil"/>
            </w:tcBorders>
            <w:shd w:val="clear" w:color="auto" w:fill="006CA3"/>
          </w:tcPr>
          <w:p w14:paraId="20A505B4" w14:textId="77777777" w:rsidR="00141B97" w:rsidRDefault="00911D63">
            <w:pPr>
              <w:pStyle w:val="TableParagraph"/>
              <w:tabs>
                <w:tab w:val="left" w:pos="1685"/>
              </w:tabs>
              <w:spacing w:before="113"/>
              <w:ind w:left="376"/>
              <w:rPr>
                <w:sz w:val="16"/>
              </w:rPr>
            </w:pPr>
            <w:r>
              <w:rPr>
                <w:color w:val="FFFFFF"/>
                <w:spacing w:val="-2"/>
                <w:sz w:val="16"/>
              </w:rPr>
              <w:t>2018‐19</w:t>
            </w:r>
            <w:r>
              <w:rPr>
                <w:color w:val="FFFFFF"/>
                <w:sz w:val="16"/>
              </w:rPr>
              <w:tab/>
            </w:r>
            <w:r>
              <w:rPr>
                <w:color w:val="FFFFFF"/>
                <w:spacing w:val="-2"/>
                <w:sz w:val="16"/>
              </w:rPr>
              <w:t>2019‐20</w:t>
            </w:r>
          </w:p>
        </w:tc>
        <w:tc>
          <w:tcPr>
            <w:tcW w:w="1312" w:type="dxa"/>
            <w:gridSpan w:val="2"/>
            <w:tcBorders>
              <w:top w:val="nil"/>
            </w:tcBorders>
            <w:shd w:val="clear" w:color="auto" w:fill="006CA3"/>
          </w:tcPr>
          <w:p w14:paraId="75D88BA6" w14:textId="77777777" w:rsidR="00141B97" w:rsidRDefault="00911D63">
            <w:pPr>
              <w:pStyle w:val="TableParagraph"/>
              <w:spacing w:before="113"/>
              <w:ind w:left="372"/>
              <w:rPr>
                <w:sz w:val="16"/>
              </w:rPr>
            </w:pPr>
            <w:r>
              <w:rPr>
                <w:color w:val="FFFFFF"/>
                <w:spacing w:val="-2"/>
                <w:sz w:val="16"/>
              </w:rPr>
              <w:t>2020‐21</w:t>
            </w:r>
          </w:p>
        </w:tc>
        <w:tc>
          <w:tcPr>
            <w:tcW w:w="2623" w:type="dxa"/>
            <w:gridSpan w:val="4"/>
            <w:tcBorders>
              <w:top w:val="nil"/>
            </w:tcBorders>
            <w:shd w:val="clear" w:color="auto" w:fill="006CA3"/>
          </w:tcPr>
          <w:p w14:paraId="0F726787" w14:textId="77777777" w:rsidR="00141B97" w:rsidRDefault="00911D63">
            <w:pPr>
              <w:pStyle w:val="TableParagraph"/>
              <w:tabs>
                <w:tab w:val="left" w:pos="1483"/>
              </w:tabs>
              <w:spacing w:before="113"/>
              <w:ind w:left="370"/>
              <w:rPr>
                <w:sz w:val="16"/>
              </w:rPr>
            </w:pPr>
            <w:r>
              <w:rPr>
                <w:color w:val="FFFFFF"/>
                <w:spacing w:val="-2"/>
                <w:sz w:val="16"/>
              </w:rPr>
              <w:t>2021‐22</w:t>
            </w:r>
            <w:r>
              <w:rPr>
                <w:color w:val="FFFFFF"/>
                <w:sz w:val="16"/>
              </w:rPr>
              <w:tab/>
              <w:t>Period</w:t>
            </w:r>
            <w:r>
              <w:rPr>
                <w:color w:val="FFFFFF"/>
                <w:spacing w:val="-4"/>
                <w:sz w:val="16"/>
              </w:rPr>
              <w:t xml:space="preserve"> </w:t>
            </w:r>
            <w:r>
              <w:rPr>
                <w:color w:val="FFFFFF"/>
                <w:sz w:val="16"/>
              </w:rPr>
              <w:t>to</w:t>
            </w:r>
            <w:r>
              <w:rPr>
                <w:color w:val="FFFFFF"/>
                <w:spacing w:val="-4"/>
                <w:sz w:val="16"/>
              </w:rPr>
              <w:t xml:space="preserve"> Date</w:t>
            </w:r>
          </w:p>
        </w:tc>
        <w:tc>
          <w:tcPr>
            <w:tcW w:w="1394" w:type="dxa"/>
            <w:gridSpan w:val="2"/>
            <w:tcBorders>
              <w:top w:val="nil"/>
              <w:right w:val="nil"/>
            </w:tcBorders>
            <w:shd w:val="clear" w:color="auto" w:fill="006CA3"/>
          </w:tcPr>
          <w:p w14:paraId="32FA6236" w14:textId="77777777" w:rsidR="00141B97" w:rsidRDefault="00911D63">
            <w:pPr>
              <w:pStyle w:val="TableParagraph"/>
              <w:spacing w:before="113"/>
              <w:ind w:left="324"/>
              <w:rPr>
                <w:sz w:val="16"/>
              </w:rPr>
            </w:pPr>
            <w:r>
              <w:rPr>
                <w:color w:val="FFFFFF"/>
                <w:spacing w:val="-2"/>
                <w:sz w:val="16"/>
              </w:rPr>
              <w:t>Variances</w:t>
            </w:r>
          </w:p>
        </w:tc>
      </w:tr>
      <w:tr w:rsidR="00141B97" w14:paraId="50C4710F" w14:textId="77777777">
        <w:trPr>
          <w:trHeight w:val="344"/>
          <w:tblCellSpacing w:w="9" w:type="dxa"/>
        </w:trPr>
        <w:tc>
          <w:tcPr>
            <w:tcW w:w="1906" w:type="dxa"/>
            <w:tcBorders>
              <w:left w:val="nil"/>
            </w:tcBorders>
            <w:shd w:val="clear" w:color="auto" w:fill="006CA3"/>
          </w:tcPr>
          <w:p w14:paraId="0B9F029F" w14:textId="77777777" w:rsidR="00141B97" w:rsidRDefault="00911D63">
            <w:pPr>
              <w:pStyle w:val="TableParagraph"/>
              <w:spacing w:before="75"/>
              <w:ind w:left="580"/>
              <w:rPr>
                <w:sz w:val="16"/>
              </w:rPr>
            </w:pPr>
            <w:r>
              <w:rPr>
                <w:color w:val="FFFFFF"/>
                <w:sz w:val="16"/>
              </w:rPr>
              <w:t>$m,</w:t>
            </w:r>
            <w:r>
              <w:rPr>
                <w:color w:val="FFFFFF"/>
                <w:spacing w:val="-3"/>
                <w:sz w:val="16"/>
              </w:rPr>
              <w:t xml:space="preserve"> </w:t>
            </w:r>
            <w:r>
              <w:rPr>
                <w:color w:val="FFFFFF"/>
                <w:spacing w:val="-2"/>
                <w:sz w:val="16"/>
              </w:rPr>
              <w:t>1/1/23</w:t>
            </w:r>
          </w:p>
        </w:tc>
        <w:tc>
          <w:tcPr>
            <w:tcW w:w="656" w:type="dxa"/>
            <w:shd w:val="clear" w:color="auto" w:fill="006CA3"/>
          </w:tcPr>
          <w:p w14:paraId="6E343AB7" w14:textId="77777777" w:rsidR="00141B97" w:rsidRDefault="00911D63">
            <w:pPr>
              <w:pStyle w:val="TableParagraph"/>
              <w:spacing w:before="75"/>
              <w:ind w:right="87"/>
              <w:jc w:val="right"/>
              <w:rPr>
                <w:sz w:val="16"/>
              </w:rPr>
            </w:pPr>
            <w:r>
              <w:rPr>
                <w:color w:val="FFFFFF"/>
                <w:spacing w:val="-2"/>
                <w:sz w:val="16"/>
              </w:rPr>
              <w:t>Budget</w:t>
            </w:r>
          </w:p>
        </w:tc>
        <w:tc>
          <w:tcPr>
            <w:tcW w:w="656" w:type="dxa"/>
            <w:shd w:val="clear" w:color="auto" w:fill="006CA3"/>
          </w:tcPr>
          <w:p w14:paraId="64BD7E15" w14:textId="77777777" w:rsidR="00141B97" w:rsidRDefault="00911D63">
            <w:pPr>
              <w:pStyle w:val="TableParagraph"/>
              <w:spacing w:before="75"/>
              <w:ind w:right="115"/>
              <w:jc w:val="right"/>
              <w:rPr>
                <w:sz w:val="16"/>
              </w:rPr>
            </w:pPr>
            <w:r>
              <w:rPr>
                <w:color w:val="FFFFFF"/>
                <w:spacing w:val="-2"/>
                <w:sz w:val="16"/>
              </w:rPr>
              <w:t>Actual</w:t>
            </w:r>
          </w:p>
        </w:tc>
        <w:tc>
          <w:tcPr>
            <w:tcW w:w="655" w:type="dxa"/>
            <w:shd w:val="clear" w:color="auto" w:fill="006CA3"/>
          </w:tcPr>
          <w:p w14:paraId="549AD25B" w14:textId="77777777" w:rsidR="00141B97" w:rsidRDefault="00911D63">
            <w:pPr>
              <w:pStyle w:val="TableParagraph"/>
              <w:spacing w:before="75"/>
              <w:ind w:right="87"/>
              <w:jc w:val="right"/>
              <w:rPr>
                <w:sz w:val="16"/>
              </w:rPr>
            </w:pPr>
            <w:r>
              <w:rPr>
                <w:color w:val="FFFFFF"/>
                <w:spacing w:val="-2"/>
                <w:sz w:val="16"/>
              </w:rPr>
              <w:t>Budget</w:t>
            </w:r>
          </w:p>
        </w:tc>
        <w:tc>
          <w:tcPr>
            <w:tcW w:w="656" w:type="dxa"/>
            <w:shd w:val="clear" w:color="auto" w:fill="006CA3"/>
          </w:tcPr>
          <w:p w14:paraId="5284C805" w14:textId="77777777" w:rsidR="00141B97" w:rsidRDefault="00911D63">
            <w:pPr>
              <w:pStyle w:val="TableParagraph"/>
              <w:spacing w:before="75"/>
              <w:ind w:right="116"/>
              <w:jc w:val="right"/>
              <w:rPr>
                <w:sz w:val="16"/>
              </w:rPr>
            </w:pPr>
            <w:r>
              <w:rPr>
                <w:color w:val="FFFFFF"/>
                <w:spacing w:val="-2"/>
                <w:sz w:val="16"/>
              </w:rPr>
              <w:t>Actual</w:t>
            </w:r>
          </w:p>
        </w:tc>
        <w:tc>
          <w:tcPr>
            <w:tcW w:w="656" w:type="dxa"/>
            <w:shd w:val="clear" w:color="auto" w:fill="006CA3"/>
          </w:tcPr>
          <w:p w14:paraId="4AFA5549" w14:textId="77777777" w:rsidR="00141B97" w:rsidRDefault="00911D63">
            <w:pPr>
              <w:pStyle w:val="TableParagraph"/>
              <w:spacing w:before="75"/>
              <w:ind w:right="90"/>
              <w:jc w:val="right"/>
              <w:rPr>
                <w:sz w:val="16"/>
              </w:rPr>
            </w:pPr>
            <w:r>
              <w:rPr>
                <w:color w:val="FFFFFF"/>
                <w:spacing w:val="-2"/>
                <w:sz w:val="16"/>
              </w:rPr>
              <w:t>Budget</w:t>
            </w:r>
          </w:p>
        </w:tc>
        <w:tc>
          <w:tcPr>
            <w:tcW w:w="656" w:type="dxa"/>
            <w:shd w:val="clear" w:color="auto" w:fill="006CA3"/>
          </w:tcPr>
          <w:p w14:paraId="00A6B9D3" w14:textId="77777777" w:rsidR="00141B97" w:rsidRDefault="00911D63">
            <w:pPr>
              <w:pStyle w:val="TableParagraph"/>
              <w:spacing w:before="75"/>
              <w:ind w:right="118"/>
              <w:jc w:val="right"/>
              <w:rPr>
                <w:sz w:val="16"/>
              </w:rPr>
            </w:pPr>
            <w:r>
              <w:rPr>
                <w:color w:val="FFFFFF"/>
                <w:spacing w:val="-2"/>
                <w:sz w:val="16"/>
              </w:rPr>
              <w:t>Actual</w:t>
            </w:r>
          </w:p>
        </w:tc>
        <w:tc>
          <w:tcPr>
            <w:tcW w:w="656" w:type="dxa"/>
            <w:shd w:val="clear" w:color="auto" w:fill="006CA3"/>
          </w:tcPr>
          <w:p w14:paraId="17338123" w14:textId="77777777" w:rsidR="00141B97" w:rsidRDefault="00911D63">
            <w:pPr>
              <w:pStyle w:val="TableParagraph"/>
              <w:spacing w:before="75"/>
              <w:ind w:right="92"/>
              <w:jc w:val="right"/>
              <w:rPr>
                <w:sz w:val="16"/>
              </w:rPr>
            </w:pPr>
            <w:r>
              <w:rPr>
                <w:color w:val="FFFFFF"/>
                <w:spacing w:val="-2"/>
                <w:sz w:val="16"/>
              </w:rPr>
              <w:t>Budget</w:t>
            </w:r>
          </w:p>
        </w:tc>
        <w:tc>
          <w:tcPr>
            <w:tcW w:w="656" w:type="dxa"/>
            <w:shd w:val="clear" w:color="auto" w:fill="006CA3"/>
          </w:tcPr>
          <w:p w14:paraId="2DEDD902" w14:textId="77777777" w:rsidR="00141B97" w:rsidRDefault="00911D63">
            <w:pPr>
              <w:pStyle w:val="TableParagraph"/>
              <w:spacing w:before="75"/>
              <w:ind w:right="120"/>
              <w:jc w:val="right"/>
              <w:rPr>
                <w:sz w:val="16"/>
              </w:rPr>
            </w:pPr>
            <w:r>
              <w:rPr>
                <w:color w:val="FFFFFF"/>
                <w:spacing w:val="-2"/>
                <w:sz w:val="16"/>
              </w:rPr>
              <w:t>Actual</w:t>
            </w:r>
          </w:p>
        </w:tc>
        <w:tc>
          <w:tcPr>
            <w:tcW w:w="655" w:type="dxa"/>
            <w:shd w:val="clear" w:color="auto" w:fill="006CA3"/>
          </w:tcPr>
          <w:p w14:paraId="18AAF709" w14:textId="77777777" w:rsidR="00141B97" w:rsidRDefault="00911D63">
            <w:pPr>
              <w:pStyle w:val="TableParagraph"/>
              <w:spacing w:before="75"/>
              <w:ind w:right="92"/>
              <w:jc w:val="right"/>
              <w:rPr>
                <w:sz w:val="16"/>
              </w:rPr>
            </w:pPr>
            <w:r>
              <w:rPr>
                <w:color w:val="FFFFFF"/>
                <w:spacing w:val="-2"/>
                <w:sz w:val="16"/>
              </w:rPr>
              <w:t>Budget</w:t>
            </w:r>
          </w:p>
        </w:tc>
        <w:tc>
          <w:tcPr>
            <w:tcW w:w="656" w:type="dxa"/>
            <w:shd w:val="clear" w:color="auto" w:fill="006CA3"/>
          </w:tcPr>
          <w:p w14:paraId="71D3D32B" w14:textId="77777777" w:rsidR="00141B97" w:rsidRDefault="00911D63">
            <w:pPr>
              <w:pStyle w:val="TableParagraph"/>
              <w:spacing w:before="75"/>
              <w:ind w:right="121"/>
              <w:jc w:val="right"/>
              <w:rPr>
                <w:sz w:val="16"/>
              </w:rPr>
            </w:pPr>
            <w:r>
              <w:rPr>
                <w:color w:val="FFFFFF"/>
                <w:spacing w:val="-2"/>
                <w:sz w:val="16"/>
              </w:rPr>
              <w:t>Actual</w:t>
            </w:r>
          </w:p>
        </w:tc>
        <w:tc>
          <w:tcPr>
            <w:tcW w:w="601" w:type="dxa"/>
            <w:shd w:val="clear" w:color="auto" w:fill="006CA3"/>
          </w:tcPr>
          <w:p w14:paraId="66591856" w14:textId="77777777" w:rsidR="00141B97" w:rsidRDefault="00911D63">
            <w:pPr>
              <w:pStyle w:val="TableParagraph"/>
              <w:spacing w:before="75"/>
              <w:ind w:left="176"/>
              <w:rPr>
                <w:sz w:val="16"/>
              </w:rPr>
            </w:pPr>
            <w:r>
              <w:rPr>
                <w:color w:val="FFFFFF"/>
                <w:spacing w:val="-5"/>
                <w:sz w:val="16"/>
              </w:rPr>
              <w:t>$m</w:t>
            </w:r>
          </w:p>
        </w:tc>
        <w:tc>
          <w:tcPr>
            <w:tcW w:w="793" w:type="dxa"/>
            <w:tcBorders>
              <w:right w:val="nil"/>
            </w:tcBorders>
            <w:shd w:val="clear" w:color="auto" w:fill="006CA3"/>
          </w:tcPr>
          <w:p w14:paraId="03077948" w14:textId="77777777" w:rsidR="00141B97" w:rsidRDefault="00911D63">
            <w:pPr>
              <w:pStyle w:val="TableParagraph"/>
              <w:spacing w:before="75"/>
              <w:ind w:right="102"/>
              <w:jc w:val="center"/>
              <w:rPr>
                <w:sz w:val="16"/>
              </w:rPr>
            </w:pPr>
            <w:r>
              <w:rPr>
                <w:color w:val="FFFFFF"/>
                <w:w w:val="99"/>
                <w:sz w:val="16"/>
              </w:rPr>
              <w:t>%</w:t>
            </w:r>
          </w:p>
        </w:tc>
      </w:tr>
      <w:tr w:rsidR="00141B97" w14:paraId="4B49546A" w14:textId="77777777">
        <w:trPr>
          <w:trHeight w:val="270"/>
          <w:tblCellSpacing w:w="9" w:type="dxa"/>
        </w:trPr>
        <w:tc>
          <w:tcPr>
            <w:tcW w:w="1906" w:type="dxa"/>
            <w:tcBorders>
              <w:left w:val="nil"/>
            </w:tcBorders>
            <w:shd w:val="clear" w:color="auto" w:fill="CCE2ED"/>
          </w:tcPr>
          <w:p w14:paraId="1B32253F" w14:textId="77777777" w:rsidR="00141B97" w:rsidRDefault="00911D63">
            <w:pPr>
              <w:pStyle w:val="TableParagraph"/>
              <w:spacing w:before="38"/>
              <w:ind w:left="97"/>
              <w:rPr>
                <w:sz w:val="16"/>
              </w:rPr>
            </w:pPr>
            <w:r>
              <w:rPr>
                <w:spacing w:val="-2"/>
                <w:sz w:val="16"/>
              </w:rPr>
              <w:t>Irrigation</w:t>
            </w:r>
          </w:p>
        </w:tc>
        <w:tc>
          <w:tcPr>
            <w:tcW w:w="656" w:type="dxa"/>
            <w:shd w:val="clear" w:color="auto" w:fill="CCE2ED"/>
          </w:tcPr>
          <w:p w14:paraId="6DCB8F5E" w14:textId="77777777" w:rsidR="00141B97" w:rsidRDefault="00911D63">
            <w:pPr>
              <w:pStyle w:val="TableParagraph"/>
              <w:spacing w:before="38"/>
              <w:ind w:right="97"/>
              <w:jc w:val="right"/>
              <w:rPr>
                <w:sz w:val="16"/>
              </w:rPr>
            </w:pPr>
            <w:r>
              <w:rPr>
                <w:spacing w:val="-4"/>
                <w:sz w:val="16"/>
              </w:rPr>
              <w:t>13.2</w:t>
            </w:r>
          </w:p>
        </w:tc>
        <w:tc>
          <w:tcPr>
            <w:tcW w:w="656" w:type="dxa"/>
            <w:shd w:val="clear" w:color="auto" w:fill="CCE2ED"/>
          </w:tcPr>
          <w:p w14:paraId="3547ECCE" w14:textId="77777777" w:rsidR="00141B97" w:rsidRDefault="00911D63">
            <w:pPr>
              <w:pStyle w:val="TableParagraph"/>
              <w:spacing w:before="38"/>
              <w:ind w:right="98"/>
              <w:jc w:val="right"/>
              <w:rPr>
                <w:sz w:val="16"/>
              </w:rPr>
            </w:pPr>
            <w:r>
              <w:rPr>
                <w:spacing w:val="-4"/>
                <w:sz w:val="16"/>
              </w:rPr>
              <w:t>14.4</w:t>
            </w:r>
          </w:p>
        </w:tc>
        <w:tc>
          <w:tcPr>
            <w:tcW w:w="655" w:type="dxa"/>
            <w:shd w:val="clear" w:color="auto" w:fill="CCE2ED"/>
          </w:tcPr>
          <w:p w14:paraId="235464CB" w14:textId="77777777" w:rsidR="00141B97" w:rsidRDefault="00911D63">
            <w:pPr>
              <w:pStyle w:val="TableParagraph"/>
              <w:spacing w:before="38"/>
              <w:ind w:right="99"/>
              <w:jc w:val="right"/>
              <w:rPr>
                <w:sz w:val="16"/>
              </w:rPr>
            </w:pPr>
            <w:r>
              <w:rPr>
                <w:spacing w:val="-4"/>
                <w:sz w:val="16"/>
              </w:rPr>
              <w:t>12.9</w:t>
            </w:r>
          </w:p>
        </w:tc>
        <w:tc>
          <w:tcPr>
            <w:tcW w:w="656" w:type="dxa"/>
            <w:shd w:val="clear" w:color="auto" w:fill="CCE2ED"/>
          </w:tcPr>
          <w:p w14:paraId="77AB7DEF" w14:textId="77777777" w:rsidR="00141B97" w:rsidRDefault="00911D63">
            <w:pPr>
              <w:pStyle w:val="TableParagraph"/>
              <w:spacing w:before="38"/>
              <w:ind w:right="100"/>
              <w:jc w:val="right"/>
              <w:rPr>
                <w:sz w:val="16"/>
              </w:rPr>
            </w:pPr>
            <w:r>
              <w:rPr>
                <w:spacing w:val="-4"/>
                <w:sz w:val="16"/>
              </w:rPr>
              <w:t>13.9</w:t>
            </w:r>
          </w:p>
        </w:tc>
        <w:tc>
          <w:tcPr>
            <w:tcW w:w="656" w:type="dxa"/>
            <w:shd w:val="clear" w:color="auto" w:fill="CCE2ED"/>
          </w:tcPr>
          <w:p w14:paraId="090B30E4" w14:textId="77777777" w:rsidR="00141B97" w:rsidRDefault="00911D63">
            <w:pPr>
              <w:pStyle w:val="TableParagraph"/>
              <w:spacing w:before="38"/>
              <w:ind w:right="101"/>
              <w:jc w:val="right"/>
              <w:rPr>
                <w:sz w:val="16"/>
              </w:rPr>
            </w:pPr>
            <w:r>
              <w:rPr>
                <w:spacing w:val="-4"/>
                <w:sz w:val="16"/>
              </w:rPr>
              <w:t>12.9</w:t>
            </w:r>
          </w:p>
        </w:tc>
        <w:tc>
          <w:tcPr>
            <w:tcW w:w="656" w:type="dxa"/>
            <w:shd w:val="clear" w:color="auto" w:fill="CCE2ED"/>
          </w:tcPr>
          <w:p w14:paraId="0D5F4012" w14:textId="77777777" w:rsidR="00141B97" w:rsidRDefault="00911D63">
            <w:pPr>
              <w:pStyle w:val="TableParagraph"/>
              <w:spacing w:before="38"/>
              <w:ind w:right="102"/>
              <w:jc w:val="right"/>
              <w:rPr>
                <w:sz w:val="16"/>
              </w:rPr>
            </w:pPr>
            <w:r>
              <w:rPr>
                <w:spacing w:val="-4"/>
                <w:sz w:val="16"/>
              </w:rPr>
              <w:t>13.6</w:t>
            </w:r>
          </w:p>
        </w:tc>
        <w:tc>
          <w:tcPr>
            <w:tcW w:w="656" w:type="dxa"/>
            <w:shd w:val="clear" w:color="auto" w:fill="CCE2ED"/>
          </w:tcPr>
          <w:p w14:paraId="1A29B095" w14:textId="77777777" w:rsidR="00141B97" w:rsidRDefault="00911D63">
            <w:pPr>
              <w:pStyle w:val="TableParagraph"/>
              <w:spacing w:before="38"/>
              <w:ind w:right="102"/>
              <w:jc w:val="right"/>
              <w:rPr>
                <w:sz w:val="16"/>
              </w:rPr>
            </w:pPr>
            <w:r>
              <w:rPr>
                <w:spacing w:val="-4"/>
                <w:sz w:val="16"/>
              </w:rPr>
              <w:t>12.7</w:t>
            </w:r>
          </w:p>
        </w:tc>
        <w:tc>
          <w:tcPr>
            <w:tcW w:w="656" w:type="dxa"/>
            <w:shd w:val="clear" w:color="auto" w:fill="CCE2ED"/>
          </w:tcPr>
          <w:p w14:paraId="4C6806E4" w14:textId="77777777" w:rsidR="00141B97" w:rsidRDefault="00911D63">
            <w:pPr>
              <w:pStyle w:val="TableParagraph"/>
              <w:spacing w:before="38"/>
              <w:ind w:right="103"/>
              <w:jc w:val="right"/>
              <w:rPr>
                <w:sz w:val="16"/>
              </w:rPr>
            </w:pPr>
            <w:r>
              <w:rPr>
                <w:spacing w:val="-4"/>
                <w:sz w:val="16"/>
              </w:rPr>
              <w:t>13.0</w:t>
            </w:r>
          </w:p>
        </w:tc>
        <w:tc>
          <w:tcPr>
            <w:tcW w:w="655" w:type="dxa"/>
            <w:shd w:val="clear" w:color="auto" w:fill="CCE2ED"/>
          </w:tcPr>
          <w:p w14:paraId="4DDD2C99" w14:textId="77777777" w:rsidR="00141B97" w:rsidRDefault="00911D63">
            <w:pPr>
              <w:pStyle w:val="TableParagraph"/>
              <w:spacing w:before="38"/>
              <w:ind w:right="104"/>
              <w:jc w:val="right"/>
              <w:rPr>
                <w:sz w:val="16"/>
              </w:rPr>
            </w:pPr>
            <w:r>
              <w:rPr>
                <w:spacing w:val="-4"/>
                <w:sz w:val="16"/>
              </w:rPr>
              <w:t>51.7</w:t>
            </w:r>
          </w:p>
        </w:tc>
        <w:tc>
          <w:tcPr>
            <w:tcW w:w="656" w:type="dxa"/>
            <w:shd w:val="clear" w:color="auto" w:fill="CCE2ED"/>
          </w:tcPr>
          <w:p w14:paraId="3904C645" w14:textId="77777777" w:rsidR="00141B97" w:rsidRDefault="00911D63">
            <w:pPr>
              <w:pStyle w:val="TableParagraph"/>
              <w:spacing w:before="38"/>
              <w:ind w:right="105"/>
              <w:jc w:val="right"/>
              <w:rPr>
                <w:sz w:val="16"/>
              </w:rPr>
            </w:pPr>
            <w:r>
              <w:rPr>
                <w:spacing w:val="-4"/>
                <w:sz w:val="16"/>
              </w:rPr>
              <w:t>54.9</w:t>
            </w:r>
          </w:p>
        </w:tc>
        <w:tc>
          <w:tcPr>
            <w:tcW w:w="601" w:type="dxa"/>
            <w:shd w:val="clear" w:color="auto" w:fill="CCE2ED"/>
          </w:tcPr>
          <w:p w14:paraId="073712FF" w14:textId="77777777" w:rsidR="00141B97" w:rsidRDefault="00911D63">
            <w:pPr>
              <w:pStyle w:val="TableParagraph"/>
              <w:spacing w:before="38"/>
              <w:ind w:right="106"/>
              <w:jc w:val="right"/>
              <w:rPr>
                <w:sz w:val="16"/>
              </w:rPr>
            </w:pPr>
            <w:r>
              <w:rPr>
                <w:spacing w:val="-5"/>
                <w:sz w:val="16"/>
              </w:rPr>
              <w:t>3.2</w:t>
            </w:r>
          </w:p>
        </w:tc>
        <w:tc>
          <w:tcPr>
            <w:tcW w:w="793" w:type="dxa"/>
            <w:tcBorders>
              <w:right w:val="nil"/>
            </w:tcBorders>
            <w:shd w:val="clear" w:color="auto" w:fill="CCE2ED"/>
          </w:tcPr>
          <w:p w14:paraId="66E07084" w14:textId="77777777" w:rsidR="00141B97" w:rsidRDefault="00911D63">
            <w:pPr>
              <w:pStyle w:val="TableParagraph"/>
              <w:spacing w:before="38"/>
              <w:ind w:right="189"/>
              <w:jc w:val="right"/>
              <w:rPr>
                <w:sz w:val="16"/>
              </w:rPr>
            </w:pPr>
            <w:r>
              <w:rPr>
                <w:spacing w:val="-4"/>
                <w:sz w:val="16"/>
              </w:rPr>
              <w:t>6.2%</w:t>
            </w:r>
          </w:p>
        </w:tc>
      </w:tr>
      <w:tr w:rsidR="00141B97" w14:paraId="32DA389B" w14:textId="77777777">
        <w:trPr>
          <w:trHeight w:val="270"/>
          <w:tblCellSpacing w:w="9" w:type="dxa"/>
        </w:trPr>
        <w:tc>
          <w:tcPr>
            <w:tcW w:w="1906" w:type="dxa"/>
            <w:tcBorders>
              <w:left w:val="nil"/>
            </w:tcBorders>
            <w:shd w:val="clear" w:color="auto" w:fill="CCE2ED"/>
          </w:tcPr>
          <w:p w14:paraId="573845E4" w14:textId="77777777" w:rsidR="00141B97" w:rsidRDefault="00911D63">
            <w:pPr>
              <w:pStyle w:val="TableParagraph"/>
              <w:spacing w:before="37"/>
              <w:ind w:left="97"/>
              <w:rPr>
                <w:sz w:val="16"/>
              </w:rPr>
            </w:pPr>
            <w:r>
              <w:rPr>
                <w:spacing w:val="-2"/>
                <w:sz w:val="16"/>
              </w:rPr>
              <w:t>Drainage</w:t>
            </w:r>
          </w:p>
        </w:tc>
        <w:tc>
          <w:tcPr>
            <w:tcW w:w="656" w:type="dxa"/>
            <w:shd w:val="clear" w:color="auto" w:fill="CCE2ED"/>
          </w:tcPr>
          <w:p w14:paraId="24DE1E70" w14:textId="77777777" w:rsidR="00141B97" w:rsidRDefault="00911D63">
            <w:pPr>
              <w:pStyle w:val="TableParagraph"/>
              <w:spacing w:before="37"/>
              <w:ind w:right="97"/>
              <w:jc w:val="right"/>
              <w:rPr>
                <w:sz w:val="16"/>
              </w:rPr>
            </w:pPr>
            <w:r>
              <w:rPr>
                <w:spacing w:val="-5"/>
                <w:sz w:val="16"/>
              </w:rPr>
              <w:t>3.0</w:t>
            </w:r>
          </w:p>
        </w:tc>
        <w:tc>
          <w:tcPr>
            <w:tcW w:w="656" w:type="dxa"/>
            <w:shd w:val="clear" w:color="auto" w:fill="CCE2ED"/>
          </w:tcPr>
          <w:p w14:paraId="784263A9" w14:textId="77777777" w:rsidR="00141B97" w:rsidRDefault="00911D63">
            <w:pPr>
              <w:pStyle w:val="TableParagraph"/>
              <w:spacing w:before="37"/>
              <w:ind w:right="98"/>
              <w:jc w:val="right"/>
              <w:rPr>
                <w:sz w:val="16"/>
              </w:rPr>
            </w:pPr>
            <w:r>
              <w:rPr>
                <w:spacing w:val="-5"/>
                <w:sz w:val="16"/>
              </w:rPr>
              <w:t>3.5</w:t>
            </w:r>
          </w:p>
        </w:tc>
        <w:tc>
          <w:tcPr>
            <w:tcW w:w="655" w:type="dxa"/>
            <w:shd w:val="clear" w:color="auto" w:fill="CCE2ED"/>
          </w:tcPr>
          <w:p w14:paraId="25F63458" w14:textId="77777777" w:rsidR="00141B97" w:rsidRDefault="00911D63">
            <w:pPr>
              <w:pStyle w:val="TableParagraph"/>
              <w:spacing w:before="37"/>
              <w:ind w:right="99"/>
              <w:jc w:val="right"/>
              <w:rPr>
                <w:sz w:val="16"/>
              </w:rPr>
            </w:pPr>
            <w:r>
              <w:rPr>
                <w:spacing w:val="-5"/>
                <w:sz w:val="16"/>
              </w:rPr>
              <w:t>3.0</w:t>
            </w:r>
          </w:p>
        </w:tc>
        <w:tc>
          <w:tcPr>
            <w:tcW w:w="656" w:type="dxa"/>
            <w:shd w:val="clear" w:color="auto" w:fill="CCE2ED"/>
          </w:tcPr>
          <w:p w14:paraId="7142E7D0" w14:textId="77777777" w:rsidR="00141B97" w:rsidRDefault="00911D63">
            <w:pPr>
              <w:pStyle w:val="TableParagraph"/>
              <w:spacing w:before="37"/>
              <w:ind w:right="100"/>
              <w:jc w:val="right"/>
              <w:rPr>
                <w:sz w:val="16"/>
              </w:rPr>
            </w:pPr>
            <w:r>
              <w:rPr>
                <w:spacing w:val="-5"/>
                <w:sz w:val="16"/>
              </w:rPr>
              <w:t>3.4</w:t>
            </w:r>
          </w:p>
        </w:tc>
        <w:tc>
          <w:tcPr>
            <w:tcW w:w="656" w:type="dxa"/>
            <w:shd w:val="clear" w:color="auto" w:fill="CCE2ED"/>
          </w:tcPr>
          <w:p w14:paraId="2EC3FA38" w14:textId="77777777" w:rsidR="00141B97" w:rsidRDefault="00911D63">
            <w:pPr>
              <w:pStyle w:val="TableParagraph"/>
              <w:spacing w:before="37"/>
              <w:ind w:right="101"/>
              <w:jc w:val="right"/>
              <w:rPr>
                <w:sz w:val="16"/>
              </w:rPr>
            </w:pPr>
            <w:r>
              <w:rPr>
                <w:spacing w:val="-5"/>
                <w:sz w:val="16"/>
              </w:rPr>
              <w:t>2.9</w:t>
            </w:r>
          </w:p>
        </w:tc>
        <w:tc>
          <w:tcPr>
            <w:tcW w:w="656" w:type="dxa"/>
            <w:shd w:val="clear" w:color="auto" w:fill="CCE2ED"/>
          </w:tcPr>
          <w:p w14:paraId="2F63004D" w14:textId="77777777" w:rsidR="00141B97" w:rsidRDefault="00911D63">
            <w:pPr>
              <w:pStyle w:val="TableParagraph"/>
              <w:spacing w:before="37"/>
              <w:ind w:right="102"/>
              <w:jc w:val="right"/>
              <w:rPr>
                <w:sz w:val="16"/>
              </w:rPr>
            </w:pPr>
            <w:r>
              <w:rPr>
                <w:spacing w:val="-5"/>
                <w:sz w:val="16"/>
              </w:rPr>
              <w:t>3.1</w:t>
            </w:r>
          </w:p>
        </w:tc>
        <w:tc>
          <w:tcPr>
            <w:tcW w:w="656" w:type="dxa"/>
            <w:shd w:val="clear" w:color="auto" w:fill="CCE2ED"/>
          </w:tcPr>
          <w:p w14:paraId="040F482B" w14:textId="77777777" w:rsidR="00141B97" w:rsidRDefault="00911D63">
            <w:pPr>
              <w:pStyle w:val="TableParagraph"/>
              <w:spacing w:before="37"/>
              <w:ind w:right="102"/>
              <w:jc w:val="right"/>
              <w:rPr>
                <w:sz w:val="16"/>
              </w:rPr>
            </w:pPr>
            <w:r>
              <w:rPr>
                <w:spacing w:val="-5"/>
                <w:sz w:val="16"/>
              </w:rPr>
              <w:t>2.9</w:t>
            </w:r>
          </w:p>
        </w:tc>
        <w:tc>
          <w:tcPr>
            <w:tcW w:w="656" w:type="dxa"/>
            <w:shd w:val="clear" w:color="auto" w:fill="CCE2ED"/>
          </w:tcPr>
          <w:p w14:paraId="595043F4" w14:textId="77777777" w:rsidR="00141B97" w:rsidRDefault="00911D63">
            <w:pPr>
              <w:pStyle w:val="TableParagraph"/>
              <w:spacing w:before="37"/>
              <w:ind w:right="103"/>
              <w:jc w:val="right"/>
              <w:rPr>
                <w:sz w:val="16"/>
              </w:rPr>
            </w:pPr>
            <w:r>
              <w:rPr>
                <w:spacing w:val="-5"/>
                <w:sz w:val="16"/>
              </w:rPr>
              <w:t>3.5</w:t>
            </w:r>
          </w:p>
        </w:tc>
        <w:tc>
          <w:tcPr>
            <w:tcW w:w="655" w:type="dxa"/>
            <w:shd w:val="clear" w:color="auto" w:fill="CCE2ED"/>
          </w:tcPr>
          <w:p w14:paraId="774BD987" w14:textId="77777777" w:rsidR="00141B97" w:rsidRDefault="00911D63">
            <w:pPr>
              <w:pStyle w:val="TableParagraph"/>
              <w:spacing w:before="37"/>
              <w:ind w:right="104"/>
              <w:jc w:val="right"/>
              <w:rPr>
                <w:sz w:val="16"/>
              </w:rPr>
            </w:pPr>
            <w:r>
              <w:rPr>
                <w:spacing w:val="-4"/>
                <w:sz w:val="16"/>
              </w:rPr>
              <w:t>11.9</w:t>
            </w:r>
          </w:p>
        </w:tc>
        <w:tc>
          <w:tcPr>
            <w:tcW w:w="656" w:type="dxa"/>
            <w:shd w:val="clear" w:color="auto" w:fill="CCE2ED"/>
          </w:tcPr>
          <w:p w14:paraId="33E513D8" w14:textId="77777777" w:rsidR="00141B97" w:rsidRDefault="00911D63">
            <w:pPr>
              <w:pStyle w:val="TableParagraph"/>
              <w:spacing w:before="37"/>
              <w:ind w:right="105"/>
              <w:jc w:val="right"/>
              <w:rPr>
                <w:sz w:val="16"/>
              </w:rPr>
            </w:pPr>
            <w:r>
              <w:rPr>
                <w:spacing w:val="-4"/>
                <w:sz w:val="16"/>
              </w:rPr>
              <w:t>13.5</w:t>
            </w:r>
          </w:p>
        </w:tc>
        <w:tc>
          <w:tcPr>
            <w:tcW w:w="601" w:type="dxa"/>
            <w:shd w:val="clear" w:color="auto" w:fill="CCE2ED"/>
          </w:tcPr>
          <w:p w14:paraId="76370C6C" w14:textId="77777777" w:rsidR="00141B97" w:rsidRDefault="00911D63">
            <w:pPr>
              <w:pStyle w:val="TableParagraph"/>
              <w:spacing w:before="37"/>
              <w:ind w:right="106"/>
              <w:jc w:val="right"/>
              <w:rPr>
                <w:sz w:val="16"/>
              </w:rPr>
            </w:pPr>
            <w:r>
              <w:rPr>
                <w:spacing w:val="-5"/>
                <w:sz w:val="16"/>
              </w:rPr>
              <w:t>1.6</w:t>
            </w:r>
          </w:p>
        </w:tc>
        <w:tc>
          <w:tcPr>
            <w:tcW w:w="793" w:type="dxa"/>
            <w:tcBorders>
              <w:right w:val="nil"/>
            </w:tcBorders>
            <w:shd w:val="clear" w:color="auto" w:fill="CCE2ED"/>
          </w:tcPr>
          <w:p w14:paraId="38E48BF6" w14:textId="77777777" w:rsidR="00141B97" w:rsidRDefault="00911D63">
            <w:pPr>
              <w:pStyle w:val="TableParagraph"/>
              <w:spacing w:before="37"/>
              <w:ind w:right="189"/>
              <w:jc w:val="right"/>
              <w:rPr>
                <w:sz w:val="16"/>
              </w:rPr>
            </w:pPr>
            <w:r>
              <w:rPr>
                <w:spacing w:val="-2"/>
                <w:sz w:val="16"/>
              </w:rPr>
              <w:t>13.6%</w:t>
            </w:r>
          </w:p>
        </w:tc>
      </w:tr>
      <w:tr w:rsidR="00141B97" w14:paraId="6AE04897" w14:textId="77777777">
        <w:trPr>
          <w:trHeight w:val="254"/>
          <w:tblCellSpacing w:w="9" w:type="dxa"/>
        </w:trPr>
        <w:tc>
          <w:tcPr>
            <w:tcW w:w="1906" w:type="dxa"/>
            <w:tcBorders>
              <w:left w:val="nil"/>
            </w:tcBorders>
            <w:shd w:val="clear" w:color="auto" w:fill="CCE2ED"/>
          </w:tcPr>
          <w:p w14:paraId="78BA5CC9" w14:textId="77777777" w:rsidR="00141B97" w:rsidRDefault="00911D63">
            <w:pPr>
              <w:pStyle w:val="TableParagraph"/>
              <w:spacing w:before="29"/>
              <w:ind w:left="97"/>
              <w:rPr>
                <w:sz w:val="16"/>
              </w:rPr>
            </w:pPr>
            <w:r>
              <w:rPr>
                <w:sz w:val="16"/>
              </w:rPr>
              <w:t>Domestic</w:t>
            </w:r>
            <w:r>
              <w:rPr>
                <w:spacing w:val="-7"/>
                <w:sz w:val="16"/>
              </w:rPr>
              <w:t xml:space="preserve"> </w:t>
            </w:r>
            <w:r>
              <w:rPr>
                <w:sz w:val="16"/>
              </w:rPr>
              <w:t>and</w:t>
            </w:r>
            <w:r>
              <w:rPr>
                <w:spacing w:val="-8"/>
                <w:sz w:val="16"/>
              </w:rPr>
              <w:t xml:space="preserve"> </w:t>
            </w:r>
            <w:r>
              <w:rPr>
                <w:spacing w:val="-2"/>
                <w:sz w:val="16"/>
              </w:rPr>
              <w:t>stock</w:t>
            </w:r>
          </w:p>
        </w:tc>
        <w:tc>
          <w:tcPr>
            <w:tcW w:w="656" w:type="dxa"/>
            <w:shd w:val="clear" w:color="auto" w:fill="CCE2ED"/>
          </w:tcPr>
          <w:p w14:paraId="208679FE" w14:textId="77777777" w:rsidR="00141B97" w:rsidRDefault="00911D63">
            <w:pPr>
              <w:pStyle w:val="TableParagraph"/>
              <w:spacing w:before="29"/>
              <w:ind w:right="97"/>
              <w:jc w:val="right"/>
              <w:rPr>
                <w:sz w:val="16"/>
              </w:rPr>
            </w:pPr>
            <w:r>
              <w:rPr>
                <w:spacing w:val="-5"/>
                <w:sz w:val="16"/>
              </w:rPr>
              <w:t>1.1</w:t>
            </w:r>
          </w:p>
        </w:tc>
        <w:tc>
          <w:tcPr>
            <w:tcW w:w="656" w:type="dxa"/>
            <w:shd w:val="clear" w:color="auto" w:fill="CCE2ED"/>
          </w:tcPr>
          <w:p w14:paraId="6202B932" w14:textId="77777777" w:rsidR="00141B97" w:rsidRDefault="00911D63">
            <w:pPr>
              <w:pStyle w:val="TableParagraph"/>
              <w:spacing w:before="29"/>
              <w:ind w:right="98"/>
              <w:jc w:val="right"/>
              <w:rPr>
                <w:sz w:val="16"/>
              </w:rPr>
            </w:pPr>
            <w:r>
              <w:rPr>
                <w:spacing w:val="-5"/>
                <w:sz w:val="16"/>
              </w:rPr>
              <w:t>1.1</w:t>
            </w:r>
          </w:p>
        </w:tc>
        <w:tc>
          <w:tcPr>
            <w:tcW w:w="655" w:type="dxa"/>
            <w:shd w:val="clear" w:color="auto" w:fill="CCE2ED"/>
          </w:tcPr>
          <w:p w14:paraId="1D87AEA6" w14:textId="77777777" w:rsidR="00141B97" w:rsidRDefault="00911D63">
            <w:pPr>
              <w:pStyle w:val="TableParagraph"/>
              <w:spacing w:before="29"/>
              <w:ind w:right="99"/>
              <w:jc w:val="right"/>
              <w:rPr>
                <w:sz w:val="16"/>
              </w:rPr>
            </w:pPr>
            <w:r>
              <w:rPr>
                <w:spacing w:val="-5"/>
                <w:sz w:val="16"/>
              </w:rPr>
              <w:t>0.7</w:t>
            </w:r>
          </w:p>
        </w:tc>
        <w:tc>
          <w:tcPr>
            <w:tcW w:w="656" w:type="dxa"/>
            <w:shd w:val="clear" w:color="auto" w:fill="CCE2ED"/>
          </w:tcPr>
          <w:p w14:paraId="7943D6F7" w14:textId="77777777" w:rsidR="00141B97" w:rsidRDefault="00911D63">
            <w:pPr>
              <w:pStyle w:val="TableParagraph"/>
              <w:spacing w:before="29"/>
              <w:ind w:right="100"/>
              <w:jc w:val="right"/>
              <w:rPr>
                <w:sz w:val="16"/>
              </w:rPr>
            </w:pPr>
            <w:r>
              <w:rPr>
                <w:spacing w:val="-5"/>
                <w:sz w:val="16"/>
              </w:rPr>
              <w:t>0.6</w:t>
            </w:r>
          </w:p>
        </w:tc>
        <w:tc>
          <w:tcPr>
            <w:tcW w:w="656" w:type="dxa"/>
            <w:shd w:val="clear" w:color="auto" w:fill="CCE2ED"/>
          </w:tcPr>
          <w:p w14:paraId="3A9AB891" w14:textId="77777777" w:rsidR="00141B97" w:rsidRDefault="00911D63">
            <w:pPr>
              <w:pStyle w:val="TableParagraph"/>
              <w:spacing w:before="29"/>
              <w:ind w:right="101"/>
              <w:jc w:val="right"/>
              <w:rPr>
                <w:sz w:val="16"/>
              </w:rPr>
            </w:pPr>
            <w:r>
              <w:rPr>
                <w:spacing w:val="-5"/>
                <w:sz w:val="16"/>
              </w:rPr>
              <w:t>0.7</w:t>
            </w:r>
          </w:p>
        </w:tc>
        <w:tc>
          <w:tcPr>
            <w:tcW w:w="656" w:type="dxa"/>
            <w:shd w:val="clear" w:color="auto" w:fill="CCE2ED"/>
          </w:tcPr>
          <w:p w14:paraId="5CA76FCF" w14:textId="77777777" w:rsidR="00141B97" w:rsidRDefault="00911D63">
            <w:pPr>
              <w:pStyle w:val="TableParagraph"/>
              <w:spacing w:before="29"/>
              <w:ind w:right="102"/>
              <w:jc w:val="right"/>
              <w:rPr>
                <w:sz w:val="16"/>
              </w:rPr>
            </w:pPr>
            <w:r>
              <w:rPr>
                <w:spacing w:val="-5"/>
                <w:sz w:val="16"/>
              </w:rPr>
              <w:t>1.2</w:t>
            </w:r>
          </w:p>
        </w:tc>
        <w:tc>
          <w:tcPr>
            <w:tcW w:w="656" w:type="dxa"/>
            <w:shd w:val="clear" w:color="auto" w:fill="CCE2ED"/>
          </w:tcPr>
          <w:p w14:paraId="1E794FF0" w14:textId="77777777" w:rsidR="00141B97" w:rsidRDefault="00911D63">
            <w:pPr>
              <w:pStyle w:val="TableParagraph"/>
              <w:spacing w:before="29"/>
              <w:ind w:right="102"/>
              <w:jc w:val="right"/>
              <w:rPr>
                <w:sz w:val="16"/>
              </w:rPr>
            </w:pPr>
            <w:r>
              <w:rPr>
                <w:spacing w:val="-5"/>
                <w:sz w:val="16"/>
              </w:rPr>
              <w:t>0.7</w:t>
            </w:r>
          </w:p>
        </w:tc>
        <w:tc>
          <w:tcPr>
            <w:tcW w:w="656" w:type="dxa"/>
            <w:shd w:val="clear" w:color="auto" w:fill="CCE2ED"/>
          </w:tcPr>
          <w:p w14:paraId="2EFC67B4" w14:textId="77777777" w:rsidR="00141B97" w:rsidRDefault="00911D63">
            <w:pPr>
              <w:pStyle w:val="TableParagraph"/>
              <w:spacing w:before="29"/>
              <w:ind w:right="103"/>
              <w:jc w:val="right"/>
              <w:rPr>
                <w:sz w:val="16"/>
              </w:rPr>
            </w:pPr>
            <w:r>
              <w:rPr>
                <w:spacing w:val="-5"/>
                <w:sz w:val="16"/>
              </w:rPr>
              <w:t>0.9</w:t>
            </w:r>
          </w:p>
        </w:tc>
        <w:tc>
          <w:tcPr>
            <w:tcW w:w="655" w:type="dxa"/>
            <w:shd w:val="clear" w:color="auto" w:fill="CCE2ED"/>
          </w:tcPr>
          <w:p w14:paraId="2423431A" w14:textId="77777777" w:rsidR="00141B97" w:rsidRDefault="00911D63">
            <w:pPr>
              <w:pStyle w:val="TableParagraph"/>
              <w:spacing w:before="29"/>
              <w:ind w:right="104"/>
              <w:jc w:val="right"/>
              <w:rPr>
                <w:sz w:val="16"/>
              </w:rPr>
            </w:pPr>
            <w:r>
              <w:rPr>
                <w:spacing w:val="-5"/>
                <w:sz w:val="16"/>
              </w:rPr>
              <w:t>3.1</w:t>
            </w:r>
          </w:p>
        </w:tc>
        <w:tc>
          <w:tcPr>
            <w:tcW w:w="656" w:type="dxa"/>
            <w:shd w:val="clear" w:color="auto" w:fill="CCE2ED"/>
          </w:tcPr>
          <w:p w14:paraId="77D206B2" w14:textId="77777777" w:rsidR="00141B97" w:rsidRDefault="00911D63">
            <w:pPr>
              <w:pStyle w:val="TableParagraph"/>
              <w:spacing w:before="29"/>
              <w:ind w:right="105"/>
              <w:jc w:val="right"/>
              <w:rPr>
                <w:sz w:val="16"/>
              </w:rPr>
            </w:pPr>
            <w:r>
              <w:rPr>
                <w:spacing w:val="-5"/>
                <w:sz w:val="16"/>
              </w:rPr>
              <w:t>3.9</w:t>
            </w:r>
          </w:p>
        </w:tc>
        <w:tc>
          <w:tcPr>
            <w:tcW w:w="601" w:type="dxa"/>
            <w:shd w:val="clear" w:color="auto" w:fill="CCE2ED"/>
          </w:tcPr>
          <w:p w14:paraId="4F57DB17" w14:textId="77777777" w:rsidR="00141B97" w:rsidRDefault="00911D63">
            <w:pPr>
              <w:pStyle w:val="TableParagraph"/>
              <w:spacing w:before="29"/>
              <w:ind w:right="106"/>
              <w:jc w:val="right"/>
              <w:rPr>
                <w:sz w:val="16"/>
              </w:rPr>
            </w:pPr>
            <w:r>
              <w:rPr>
                <w:spacing w:val="-5"/>
                <w:sz w:val="16"/>
              </w:rPr>
              <w:t>0.7</w:t>
            </w:r>
          </w:p>
        </w:tc>
        <w:tc>
          <w:tcPr>
            <w:tcW w:w="793" w:type="dxa"/>
            <w:tcBorders>
              <w:right w:val="nil"/>
            </w:tcBorders>
            <w:shd w:val="clear" w:color="auto" w:fill="CCE2ED"/>
          </w:tcPr>
          <w:p w14:paraId="787CE814" w14:textId="77777777" w:rsidR="00141B97" w:rsidRDefault="00911D63">
            <w:pPr>
              <w:pStyle w:val="TableParagraph"/>
              <w:spacing w:before="29"/>
              <w:ind w:right="189"/>
              <w:jc w:val="right"/>
              <w:rPr>
                <w:sz w:val="16"/>
              </w:rPr>
            </w:pPr>
            <w:r>
              <w:rPr>
                <w:spacing w:val="-2"/>
                <w:sz w:val="16"/>
              </w:rPr>
              <w:t>23.2%</w:t>
            </w:r>
          </w:p>
        </w:tc>
      </w:tr>
      <w:tr w:rsidR="00141B97" w14:paraId="0E9BA1CA" w14:textId="77777777">
        <w:trPr>
          <w:trHeight w:val="254"/>
          <w:tblCellSpacing w:w="9" w:type="dxa"/>
        </w:trPr>
        <w:tc>
          <w:tcPr>
            <w:tcW w:w="1906" w:type="dxa"/>
            <w:tcBorders>
              <w:left w:val="nil"/>
            </w:tcBorders>
            <w:shd w:val="clear" w:color="auto" w:fill="CCE2ED"/>
          </w:tcPr>
          <w:p w14:paraId="394DB67A" w14:textId="77777777" w:rsidR="00141B97" w:rsidRDefault="00911D63">
            <w:pPr>
              <w:pStyle w:val="TableParagraph"/>
              <w:spacing w:before="29"/>
              <w:ind w:left="97"/>
              <w:rPr>
                <w:sz w:val="16"/>
              </w:rPr>
            </w:pPr>
            <w:r>
              <w:rPr>
                <w:sz w:val="16"/>
              </w:rPr>
              <w:t>Surface</w:t>
            </w:r>
            <w:r>
              <w:rPr>
                <w:spacing w:val="-6"/>
                <w:sz w:val="16"/>
              </w:rPr>
              <w:t xml:space="preserve"> </w:t>
            </w:r>
            <w:r>
              <w:rPr>
                <w:sz w:val="16"/>
              </w:rPr>
              <w:t>water</w:t>
            </w:r>
            <w:r>
              <w:rPr>
                <w:spacing w:val="-5"/>
                <w:sz w:val="16"/>
              </w:rPr>
              <w:t xml:space="preserve"> </w:t>
            </w:r>
            <w:r>
              <w:rPr>
                <w:spacing w:val="-2"/>
                <w:sz w:val="16"/>
              </w:rPr>
              <w:t>diversions</w:t>
            </w:r>
          </w:p>
        </w:tc>
        <w:tc>
          <w:tcPr>
            <w:tcW w:w="656" w:type="dxa"/>
            <w:shd w:val="clear" w:color="auto" w:fill="CCE2ED"/>
          </w:tcPr>
          <w:p w14:paraId="755E3644" w14:textId="77777777" w:rsidR="00141B97" w:rsidRDefault="00911D63">
            <w:pPr>
              <w:pStyle w:val="TableParagraph"/>
              <w:spacing w:before="29"/>
              <w:ind w:right="97"/>
              <w:jc w:val="right"/>
              <w:rPr>
                <w:sz w:val="16"/>
              </w:rPr>
            </w:pPr>
            <w:r>
              <w:rPr>
                <w:spacing w:val="-5"/>
                <w:sz w:val="16"/>
              </w:rPr>
              <w:t>1.5</w:t>
            </w:r>
          </w:p>
        </w:tc>
        <w:tc>
          <w:tcPr>
            <w:tcW w:w="656" w:type="dxa"/>
            <w:shd w:val="clear" w:color="auto" w:fill="CCE2ED"/>
          </w:tcPr>
          <w:p w14:paraId="3A54C7A3" w14:textId="77777777" w:rsidR="00141B97" w:rsidRDefault="00911D63">
            <w:pPr>
              <w:pStyle w:val="TableParagraph"/>
              <w:spacing w:before="29"/>
              <w:ind w:right="98"/>
              <w:jc w:val="right"/>
              <w:rPr>
                <w:sz w:val="16"/>
              </w:rPr>
            </w:pPr>
            <w:r>
              <w:rPr>
                <w:spacing w:val="-5"/>
                <w:sz w:val="16"/>
              </w:rPr>
              <w:t>1.6</w:t>
            </w:r>
          </w:p>
        </w:tc>
        <w:tc>
          <w:tcPr>
            <w:tcW w:w="655" w:type="dxa"/>
            <w:shd w:val="clear" w:color="auto" w:fill="CCE2ED"/>
          </w:tcPr>
          <w:p w14:paraId="617B98A5" w14:textId="77777777" w:rsidR="00141B97" w:rsidRDefault="00911D63">
            <w:pPr>
              <w:pStyle w:val="TableParagraph"/>
              <w:spacing w:before="29"/>
              <w:ind w:right="99"/>
              <w:jc w:val="right"/>
              <w:rPr>
                <w:sz w:val="16"/>
              </w:rPr>
            </w:pPr>
            <w:r>
              <w:rPr>
                <w:spacing w:val="-5"/>
                <w:sz w:val="16"/>
              </w:rPr>
              <w:t>1.5</w:t>
            </w:r>
          </w:p>
        </w:tc>
        <w:tc>
          <w:tcPr>
            <w:tcW w:w="656" w:type="dxa"/>
            <w:shd w:val="clear" w:color="auto" w:fill="CCE2ED"/>
          </w:tcPr>
          <w:p w14:paraId="5D9BE960" w14:textId="77777777" w:rsidR="00141B97" w:rsidRDefault="00911D63">
            <w:pPr>
              <w:pStyle w:val="TableParagraph"/>
              <w:spacing w:before="29"/>
              <w:ind w:right="100"/>
              <w:jc w:val="right"/>
              <w:rPr>
                <w:sz w:val="16"/>
              </w:rPr>
            </w:pPr>
            <w:r>
              <w:rPr>
                <w:spacing w:val="-5"/>
                <w:sz w:val="16"/>
              </w:rPr>
              <w:t>1.6</w:t>
            </w:r>
          </w:p>
        </w:tc>
        <w:tc>
          <w:tcPr>
            <w:tcW w:w="656" w:type="dxa"/>
            <w:shd w:val="clear" w:color="auto" w:fill="CCE2ED"/>
          </w:tcPr>
          <w:p w14:paraId="4154F63F" w14:textId="77777777" w:rsidR="00141B97" w:rsidRDefault="00911D63">
            <w:pPr>
              <w:pStyle w:val="TableParagraph"/>
              <w:spacing w:before="29"/>
              <w:ind w:right="101"/>
              <w:jc w:val="right"/>
              <w:rPr>
                <w:sz w:val="16"/>
              </w:rPr>
            </w:pPr>
            <w:r>
              <w:rPr>
                <w:spacing w:val="-5"/>
                <w:sz w:val="16"/>
              </w:rPr>
              <w:t>1.3</w:t>
            </w:r>
          </w:p>
        </w:tc>
        <w:tc>
          <w:tcPr>
            <w:tcW w:w="656" w:type="dxa"/>
            <w:shd w:val="clear" w:color="auto" w:fill="CCE2ED"/>
          </w:tcPr>
          <w:p w14:paraId="737797B7" w14:textId="77777777" w:rsidR="00141B97" w:rsidRDefault="00911D63">
            <w:pPr>
              <w:pStyle w:val="TableParagraph"/>
              <w:spacing w:before="29"/>
              <w:ind w:right="102"/>
              <w:jc w:val="right"/>
              <w:rPr>
                <w:sz w:val="16"/>
              </w:rPr>
            </w:pPr>
            <w:r>
              <w:rPr>
                <w:spacing w:val="-5"/>
                <w:sz w:val="16"/>
              </w:rPr>
              <w:t>1.5</w:t>
            </w:r>
          </w:p>
        </w:tc>
        <w:tc>
          <w:tcPr>
            <w:tcW w:w="656" w:type="dxa"/>
            <w:shd w:val="clear" w:color="auto" w:fill="CCE2ED"/>
          </w:tcPr>
          <w:p w14:paraId="4E043699" w14:textId="77777777" w:rsidR="00141B97" w:rsidRDefault="00911D63">
            <w:pPr>
              <w:pStyle w:val="TableParagraph"/>
              <w:spacing w:before="29"/>
              <w:ind w:right="102"/>
              <w:jc w:val="right"/>
              <w:rPr>
                <w:sz w:val="16"/>
              </w:rPr>
            </w:pPr>
            <w:r>
              <w:rPr>
                <w:spacing w:val="-5"/>
                <w:sz w:val="16"/>
              </w:rPr>
              <w:t>1.3</w:t>
            </w:r>
          </w:p>
        </w:tc>
        <w:tc>
          <w:tcPr>
            <w:tcW w:w="656" w:type="dxa"/>
            <w:shd w:val="clear" w:color="auto" w:fill="CCE2ED"/>
          </w:tcPr>
          <w:p w14:paraId="12AF73CF" w14:textId="77777777" w:rsidR="00141B97" w:rsidRDefault="00911D63">
            <w:pPr>
              <w:pStyle w:val="TableParagraph"/>
              <w:spacing w:before="29"/>
              <w:ind w:right="103"/>
              <w:jc w:val="right"/>
              <w:rPr>
                <w:sz w:val="16"/>
              </w:rPr>
            </w:pPr>
            <w:r>
              <w:rPr>
                <w:spacing w:val="-5"/>
                <w:sz w:val="16"/>
              </w:rPr>
              <w:t>1.6</w:t>
            </w:r>
          </w:p>
        </w:tc>
        <w:tc>
          <w:tcPr>
            <w:tcW w:w="655" w:type="dxa"/>
            <w:shd w:val="clear" w:color="auto" w:fill="CCE2ED"/>
          </w:tcPr>
          <w:p w14:paraId="6FFA9913" w14:textId="77777777" w:rsidR="00141B97" w:rsidRDefault="00911D63">
            <w:pPr>
              <w:pStyle w:val="TableParagraph"/>
              <w:spacing w:before="29"/>
              <w:ind w:right="104"/>
              <w:jc w:val="right"/>
              <w:rPr>
                <w:sz w:val="16"/>
              </w:rPr>
            </w:pPr>
            <w:r>
              <w:rPr>
                <w:spacing w:val="-5"/>
                <w:sz w:val="16"/>
              </w:rPr>
              <w:t>5.6</w:t>
            </w:r>
          </w:p>
        </w:tc>
        <w:tc>
          <w:tcPr>
            <w:tcW w:w="656" w:type="dxa"/>
            <w:shd w:val="clear" w:color="auto" w:fill="CCE2ED"/>
          </w:tcPr>
          <w:p w14:paraId="7BCF55AD" w14:textId="77777777" w:rsidR="00141B97" w:rsidRDefault="00911D63">
            <w:pPr>
              <w:pStyle w:val="TableParagraph"/>
              <w:spacing w:before="29"/>
              <w:ind w:right="105"/>
              <w:jc w:val="right"/>
              <w:rPr>
                <w:sz w:val="16"/>
              </w:rPr>
            </w:pPr>
            <w:r>
              <w:rPr>
                <w:spacing w:val="-5"/>
                <w:sz w:val="16"/>
              </w:rPr>
              <w:t>6.3</w:t>
            </w:r>
          </w:p>
        </w:tc>
        <w:tc>
          <w:tcPr>
            <w:tcW w:w="601" w:type="dxa"/>
            <w:shd w:val="clear" w:color="auto" w:fill="CCE2ED"/>
          </w:tcPr>
          <w:p w14:paraId="5C16BDB7" w14:textId="77777777" w:rsidR="00141B97" w:rsidRDefault="00911D63">
            <w:pPr>
              <w:pStyle w:val="TableParagraph"/>
              <w:spacing w:before="29"/>
              <w:ind w:right="106"/>
              <w:jc w:val="right"/>
              <w:rPr>
                <w:sz w:val="16"/>
              </w:rPr>
            </w:pPr>
            <w:r>
              <w:rPr>
                <w:spacing w:val="-5"/>
                <w:sz w:val="16"/>
              </w:rPr>
              <w:t>0.7</w:t>
            </w:r>
          </w:p>
        </w:tc>
        <w:tc>
          <w:tcPr>
            <w:tcW w:w="793" w:type="dxa"/>
            <w:tcBorders>
              <w:right w:val="nil"/>
            </w:tcBorders>
            <w:shd w:val="clear" w:color="auto" w:fill="CCE2ED"/>
          </w:tcPr>
          <w:p w14:paraId="6F78F6A9" w14:textId="77777777" w:rsidR="00141B97" w:rsidRDefault="00911D63">
            <w:pPr>
              <w:pStyle w:val="TableParagraph"/>
              <w:spacing w:before="29"/>
              <w:ind w:right="189"/>
              <w:jc w:val="right"/>
              <w:rPr>
                <w:sz w:val="16"/>
              </w:rPr>
            </w:pPr>
            <w:r>
              <w:rPr>
                <w:spacing w:val="-2"/>
                <w:sz w:val="16"/>
              </w:rPr>
              <w:t>12.4%</w:t>
            </w:r>
          </w:p>
        </w:tc>
      </w:tr>
      <w:tr w:rsidR="00141B97" w14:paraId="188A39CD" w14:textId="77777777">
        <w:trPr>
          <w:trHeight w:val="254"/>
          <w:tblCellSpacing w:w="9" w:type="dxa"/>
        </w:trPr>
        <w:tc>
          <w:tcPr>
            <w:tcW w:w="1906" w:type="dxa"/>
            <w:tcBorders>
              <w:left w:val="nil"/>
            </w:tcBorders>
            <w:shd w:val="clear" w:color="auto" w:fill="CCE2ED"/>
          </w:tcPr>
          <w:p w14:paraId="039A878C" w14:textId="77777777" w:rsidR="00141B97" w:rsidRDefault="00911D63">
            <w:pPr>
              <w:pStyle w:val="TableParagraph"/>
              <w:spacing w:before="29"/>
              <w:ind w:left="97"/>
              <w:rPr>
                <w:sz w:val="16"/>
              </w:rPr>
            </w:pPr>
            <w:r>
              <w:rPr>
                <w:sz w:val="16"/>
              </w:rPr>
              <w:t>Non</w:t>
            </w:r>
            <w:r>
              <w:rPr>
                <w:spacing w:val="-9"/>
                <w:sz w:val="16"/>
              </w:rPr>
              <w:t xml:space="preserve"> </w:t>
            </w:r>
            <w:r>
              <w:rPr>
                <w:sz w:val="16"/>
              </w:rPr>
              <w:t>controllable</w:t>
            </w:r>
            <w:r>
              <w:rPr>
                <w:spacing w:val="-8"/>
                <w:sz w:val="16"/>
              </w:rPr>
              <w:t xml:space="preserve"> </w:t>
            </w:r>
            <w:r>
              <w:rPr>
                <w:spacing w:val="-2"/>
                <w:sz w:val="16"/>
              </w:rPr>
              <w:t>costs</w:t>
            </w:r>
          </w:p>
        </w:tc>
        <w:tc>
          <w:tcPr>
            <w:tcW w:w="656" w:type="dxa"/>
            <w:shd w:val="clear" w:color="auto" w:fill="CCE2ED"/>
          </w:tcPr>
          <w:p w14:paraId="5A4EAC12" w14:textId="77777777" w:rsidR="00141B97" w:rsidRDefault="00911D63">
            <w:pPr>
              <w:pStyle w:val="TableParagraph"/>
              <w:spacing w:before="29"/>
              <w:ind w:right="97"/>
              <w:jc w:val="right"/>
              <w:rPr>
                <w:sz w:val="16"/>
              </w:rPr>
            </w:pPr>
            <w:r>
              <w:rPr>
                <w:spacing w:val="-5"/>
                <w:sz w:val="16"/>
              </w:rPr>
              <w:t>4.1</w:t>
            </w:r>
          </w:p>
        </w:tc>
        <w:tc>
          <w:tcPr>
            <w:tcW w:w="656" w:type="dxa"/>
            <w:shd w:val="clear" w:color="auto" w:fill="CCE2ED"/>
          </w:tcPr>
          <w:p w14:paraId="172C20CF" w14:textId="77777777" w:rsidR="00141B97" w:rsidRDefault="00911D63">
            <w:pPr>
              <w:pStyle w:val="TableParagraph"/>
              <w:spacing w:before="29"/>
              <w:ind w:right="98"/>
              <w:jc w:val="right"/>
              <w:rPr>
                <w:sz w:val="16"/>
              </w:rPr>
            </w:pPr>
            <w:r>
              <w:rPr>
                <w:spacing w:val="-5"/>
                <w:sz w:val="16"/>
              </w:rPr>
              <w:t>4.1</w:t>
            </w:r>
          </w:p>
        </w:tc>
        <w:tc>
          <w:tcPr>
            <w:tcW w:w="655" w:type="dxa"/>
            <w:shd w:val="clear" w:color="auto" w:fill="CCE2ED"/>
          </w:tcPr>
          <w:p w14:paraId="12F358C1" w14:textId="77777777" w:rsidR="00141B97" w:rsidRDefault="00911D63">
            <w:pPr>
              <w:pStyle w:val="TableParagraph"/>
              <w:spacing w:before="29"/>
              <w:ind w:right="99"/>
              <w:jc w:val="right"/>
              <w:rPr>
                <w:sz w:val="16"/>
              </w:rPr>
            </w:pPr>
            <w:r>
              <w:rPr>
                <w:spacing w:val="-5"/>
                <w:sz w:val="16"/>
              </w:rPr>
              <w:t>4.1</w:t>
            </w:r>
          </w:p>
        </w:tc>
        <w:tc>
          <w:tcPr>
            <w:tcW w:w="656" w:type="dxa"/>
            <w:shd w:val="clear" w:color="auto" w:fill="CCE2ED"/>
          </w:tcPr>
          <w:p w14:paraId="1CA09665" w14:textId="77777777" w:rsidR="00141B97" w:rsidRDefault="00911D63">
            <w:pPr>
              <w:pStyle w:val="TableParagraph"/>
              <w:spacing w:before="29"/>
              <w:ind w:right="100"/>
              <w:jc w:val="right"/>
              <w:rPr>
                <w:sz w:val="16"/>
              </w:rPr>
            </w:pPr>
            <w:r>
              <w:rPr>
                <w:spacing w:val="-5"/>
                <w:sz w:val="16"/>
              </w:rPr>
              <w:t>3.9</w:t>
            </w:r>
          </w:p>
        </w:tc>
        <w:tc>
          <w:tcPr>
            <w:tcW w:w="656" w:type="dxa"/>
            <w:shd w:val="clear" w:color="auto" w:fill="CCE2ED"/>
          </w:tcPr>
          <w:p w14:paraId="57B64F98" w14:textId="77777777" w:rsidR="00141B97" w:rsidRDefault="00911D63">
            <w:pPr>
              <w:pStyle w:val="TableParagraph"/>
              <w:spacing w:before="29"/>
              <w:ind w:right="101"/>
              <w:jc w:val="right"/>
              <w:rPr>
                <w:sz w:val="16"/>
              </w:rPr>
            </w:pPr>
            <w:r>
              <w:rPr>
                <w:spacing w:val="-5"/>
                <w:sz w:val="16"/>
              </w:rPr>
              <w:t>4.1</w:t>
            </w:r>
          </w:p>
        </w:tc>
        <w:tc>
          <w:tcPr>
            <w:tcW w:w="656" w:type="dxa"/>
            <w:shd w:val="clear" w:color="auto" w:fill="CCE2ED"/>
          </w:tcPr>
          <w:p w14:paraId="08186F30" w14:textId="77777777" w:rsidR="00141B97" w:rsidRDefault="00911D63">
            <w:pPr>
              <w:pStyle w:val="TableParagraph"/>
              <w:spacing w:before="29"/>
              <w:ind w:right="102"/>
              <w:jc w:val="right"/>
              <w:rPr>
                <w:sz w:val="16"/>
              </w:rPr>
            </w:pPr>
            <w:r>
              <w:rPr>
                <w:spacing w:val="-5"/>
                <w:sz w:val="16"/>
              </w:rPr>
              <w:t>3.7</w:t>
            </w:r>
          </w:p>
        </w:tc>
        <w:tc>
          <w:tcPr>
            <w:tcW w:w="656" w:type="dxa"/>
            <w:shd w:val="clear" w:color="auto" w:fill="CCE2ED"/>
          </w:tcPr>
          <w:p w14:paraId="2C6E264E" w14:textId="77777777" w:rsidR="00141B97" w:rsidRDefault="00911D63">
            <w:pPr>
              <w:pStyle w:val="TableParagraph"/>
              <w:spacing w:before="29"/>
              <w:ind w:right="102"/>
              <w:jc w:val="right"/>
              <w:rPr>
                <w:sz w:val="16"/>
              </w:rPr>
            </w:pPr>
            <w:r>
              <w:rPr>
                <w:spacing w:val="-5"/>
                <w:sz w:val="16"/>
              </w:rPr>
              <w:t>4.1</w:t>
            </w:r>
          </w:p>
        </w:tc>
        <w:tc>
          <w:tcPr>
            <w:tcW w:w="656" w:type="dxa"/>
            <w:shd w:val="clear" w:color="auto" w:fill="CCE2ED"/>
          </w:tcPr>
          <w:p w14:paraId="18C05C13" w14:textId="77777777" w:rsidR="00141B97" w:rsidRDefault="00911D63">
            <w:pPr>
              <w:pStyle w:val="TableParagraph"/>
              <w:spacing w:before="29"/>
              <w:ind w:right="103"/>
              <w:jc w:val="right"/>
              <w:rPr>
                <w:sz w:val="16"/>
              </w:rPr>
            </w:pPr>
            <w:r>
              <w:rPr>
                <w:spacing w:val="-5"/>
                <w:sz w:val="16"/>
              </w:rPr>
              <w:t>3.8</w:t>
            </w:r>
          </w:p>
        </w:tc>
        <w:tc>
          <w:tcPr>
            <w:tcW w:w="655" w:type="dxa"/>
            <w:shd w:val="clear" w:color="auto" w:fill="CCE2ED"/>
          </w:tcPr>
          <w:p w14:paraId="2699014C" w14:textId="77777777" w:rsidR="00141B97" w:rsidRDefault="00911D63">
            <w:pPr>
              <w:pStyle w:val="TableParagraph"/>
              <w:spacing w:before="29"/>
              <w:ind w:right="104"/>
              <w:jc w:val="right"/>
              <w:rPr>
                <w:sz w:val="16"/>
              </w:rPr>
            </w:pPr>
            <w:r>
              <w:rPr>
                <w:spacing w:val="-4"/>
                <w:sz w:val="16"/>
              </w:rPr>
              <w:t>16.6</w:t>
            </w:r>
          </w:p>
        </w:tc>
        <w:tc>
          <w:tcPr>
            <w:tcW w:w="656" w:type="dxa"/>
            <w:shd w:val="clear" w:color="auto" w:fill="CCE2ED"/>
          </w:tcPr>
          <w:p w14:paraId="56D38385" w14:textId="77777777" w:rsidR="00141B97" w:rsidRDefault="00911D63">
            <w:pPr>
              <w:pStyle w:val="TableParagraph"/>
              <w:spacing w:before="29"/>
              <w:ind w:right="105"/>
              <w:jc w:val="right"/>
              <w:rPr>
                <w:sz w:val="16"/>
              </w:rPr>
            </w:pPr>
            <w:r>
              <w:rPr>
                <w:spacing w:val="-4"/>
                <w:sz w:val="16"/>
              </w:rPr>
              <w:t>15.6</w:t>
            </w:r>
          </w:p>
        </w:tc>
        <w:tc>
          <w:tcPr>
            <w:tcW w:w="601" w:type="dxa"/>
            <w:shd w:val="clear" w:color="auto" w:fill="CCE2ED"/>
          </w:tcPr>
          <w:p w14:paraId="0B696707" w14:textId="77777777" w:rsidR="00141B97" w:rsidRDefault="00911D63">
            <w:pPr>
              <w:pStyle w:val="TableParagraph"/>
              <w:spacing w:before="29"/>
              <w:ind w:right="106"/>
              <w:jc w:val="right"/>
              <w:rPr>
                <w:sz w:val="16"/>
              </w:rPr>
            </w:pPr>
            <w:r>
              <w:rPr>
                <w:spacing w:val="-4"/>
                <w:sz w:val="16"/>
              </w:rPr>
              <w:t>‐1.0</w:t>
            </w:r>
          </w:p>
        </w:tc>
        <w:tc>
          <w:tcPr>
            <w:tcW w:w="793" w:type="dxa"/>
            <w:tcBorders>
              <w:right w:val="nil"/>
            </w:tcBorders>
            <w:shd w:val="clear" w:color="auto" w:fill="CCE2ED"/>
          </w:tcPr>
          <w:p w14:paraId="65A2259F" w14:textId="77777777" w:rsidR="00141B97" w:rsidRDefault="00911D63">
            <w:pPr>
              <w:pStyle w:val="TableParagraph"/>
              <w:spacing w:before="29"/>
              <w:ind w:right="189"/>
              <w:jc w:val="right"/>
              <w:rPr>
                <w:sz w:val="16"/>
              </w:rPr>
            </w:pPr>
            <w:r>
              <w:rPr>
                <w:spacing w:val="-2"/>
                <w:sz w:val="16"/>
              </w:rPr>
              <w:t>‐6.2%</w:t>
            </w:r>
          </w:p>
        </w:tc>
      </w:tr>
      <w:tr w:rsidR="00141B97" w14:paraId="5D9160E6" w14:textId="77777777">
        <w:trPr>
          <w:trHeight w:val="254"/>
          <w:tblCellSpacing w:w="9" w:type="dxa"/>
        </w:trPr>
        <w:tc>
          <w:tcPr>
            <w:tcW w:w="1906" w:type="dxa"/>
            <w:tcBorders>
              <w:left w:val="nil"/>
            </w:tcBorders>
            <w:shd w:val="clear" w:color="auto" w:fill="BFBFBF"/>
          </w:tcPr>
          <w:p w14:paraId="09D83CAD" w14:textId="77777777" w:rsidR="00141B97" w:rsidRDefault="00911D63">
            <w:pPr>
              <w:pStyle w:val="TableParagraph"/>
              <w:spacing w:before="59" w:line="175" w:lineRule="exact"/>
              <w:ind w:left="97"/>
              <w:rPr>
                <w:sz w:val="16"/>
              </w:rPr>
            </w:pPr>
            <w:r>
              <w:rPr>
                <w:sz w:val="16"/>
              </w:rPr>
              <w:t>Total</w:t>
            </w:r>
            <w:r>
              <w:rPr>
                <w:spacing w:val="-6"/>
                <w:sz w:val="16"/>
              </w:rPr>
              <w:t xml:space="preserve"> </w:t>
            </w:r>
            <w:r>
              <w:rPr>
                <w:sz w:val="16"/>
              </w:rPr>
              <w:t>prescribed</w:t>
            </w:r>
            <w:r>
              <w:rPr>
                <w:spacing w:val="-7"/>
                <w:sz w:val="16"/>
              </w:rPr>
              <w:t xml:space="preserve"> </w:t>
            </w:r>
            <w:r>
              <w:rPr>
                <w:spacing w:val="-4"/>
                <w:sz w:val="16"/>
              </w:rPr>
              <w:t>opex</w:t>
            </w:r>
          </w:p>
        </w:tc>
        <w:tc>
          <w:tcPr>
            <w:tcW w:w="656" w:type="dxa"/>
            <w:shd w:val="clear" w:color="auto" w:fill="BFBFBF"/>
          </w:tcPr>
          <w:p w14:paraId="479C6C19" w14:textId="77777777" w:rsidR="00141B97" w:rsidRDefault="00911D63">
            <w:pPr>
              <w:pStyle w:val="TableParagraph"/>
              <w:spacing w:before="29"/>
              <w:ind w:right="96"/>
              <w:jc w:val="right"/>
              <w:rPr>
                <w:sz w:val="16"/>
              </w:rPr>
            </w:pPr>
            <w:r>
              <w:rPr>
                <w:spacing w:val="-4"/>
                <w:sz w:val="16"/>
              </w:rPr>
              <w:t>23.0</w:t>
            </w:r>
          </w:p>
        </w:tc>
        <w:tc>
          <w:tcPr>
            <w:tcW w:w="656" w:type="dxa"/>
            <w:shd w:val="clear" w:color="auto" w:fill="BFBFBF"/>
          </w:tcPr>
          <w:p w14:paraId="56EBDE36" w14:textId="77777777" w:rsidR="00141B97" w:rsidRDefault="00911D63">
            <w:pPr>
              <w:pStyle w:val="TableParagraph"/>
              <w:spacing w:before="29"/>
              <w:ind w:right="97"/>
              <w:jc w:val="right"/>
              <w:rPr>
                <w:sz w:val="16"/>
              </w:rPr>
            </w:pPr>
            <w:r>
              <w:rPr>
                <w:spacing w:val="-4"/>
                <w:sz w:val="16"/>
              </w:rPr>
              <w:t>24.7</w:t>
            </w:r>
          </w:p>
        </w:tc>
        <w:tc>
          <w:tcPr>
            <w:tcW w:w="655" w:type="dxa"/>
            <w:shd w:val="clear" w:color="auto" w:fill="BFBFBF"/>
          </w:tcPr>
          <w:p w14:paraId="31B8A35F" w14:textId="77777777" w:rsidR="00141B97" w:rsidRDefault="00911D63">
            <w:pPr>
              <w:pStyle w:val="TableParagraph"/>
              <w:spacing w:before="29"/>
              <w:ind w:right="98"/>
              <w:jc w:val="right"/>
              <w:rPr>
                <w:sz w:val="16"/>
              </w:rPr>
            </w:pPr>
            <w:r>
              <w:rPr>
                <w:spacing w:val="-4"/>
                <w:sz w:val="16"/>
              </w:rPr>
              <w:t>22.2</w:t>
            </w:r>
          </w:p>
        </w:tc>
        <w:tc>
          <w:tcPr>
            <w:tcW w:w="656" w:type="dxa"/>
            <w:shd w:val="clear" w:color="auto" w:fill="BFBFBF"/>
          </w:tcPr>
          <w:p w14:paraId="1360409E" w14:textId="77777777" w:rsidR="00141B97" w:rsidRDefault="00911D63">
            <w:pPr>
              <w:pStyle w:val="TableParagraph"/>
              <w:spacing w:before="29"/>
              <w:ind w:right="99"/>
              <w:jc w:val="right"/>
              <w:rPr>
                <w:sz w:val="16"/>
              </w:rPr>
            </w:pPr>
            <w:r>
              <w:rPr>
                <w:spacing w:val="-4"/>
                <w:sz w:val="16"/>
              </w:rPr>
              <w:t>23.5</w:t>
            </w:r>
          </w:p>
        </w:tc>
        <w:tc>
          <w:tcPr>
            <w:tcW w:w="656" w:type="dxa"/>
            <w:shd w:val="clear" w:color="auto" w:fill="BFBFBF"/>
          </w:tcPr>
          <w:p w14:paraId="6E9B9D5A" w14:textId="77777777" w:rsidR="00141B97" w:rsidRDefault="00911D63">
            <w:pPr>
              <w:pStyle w:val="TableParagraph"/>
              <w:spacing w:before="29"/>
              <w:ind w:right="100"/>
              <w:jc w:val="right"/>
              <w:rPr>
                <w:sz w:val="16"/>
              </w:rPr>
            </w:pPr>
            <w:r>
              <w:rPr>
                <w:spacing w:val="-4"/>
                <w:sz w:val="16"/>
              </w:rPr>
              <w:t>22.0</w:t>
            </w:r>
          </w:p>
        </w:tc>
        <w:tc>
          <w:tcPr>
            <w:tcW w:w="656" w:type="dxa"/>
            <w:shd w:val="clear" w:color="auto" w:fill="BFBFBF"/>
          </w:tcPr>
          <w:p w14:paraId="62F06920" w14:textId="77777777" w:rsidR="00141B97" w:rsidRDefault="00911D63">
            <w:pPr>
              <w:pStyle w:val="TableParagraph"/>
              <w:spacing w:before="29"/>
              <w:ind w:right="100"/>
              <w:jc w:val="right"/>
              <w:rPr>
                <w:sz w:val="16"/>
              </w:rPr>
            </w:pPr>
            <w:r>
              <w:rPr>
                <w:spacing w:val="-4"/>
                <w:sz w:val="16"/>
              </w:rPr>
              <w:t>23.1</w:t>
            </w:r>
          </w:p>
        </w:tc>
        <w:tc>
          <w:tcPr>
            <w:tcW w:w="656" w:type="dxa"/>
            <w:shd w:val="clear" w:color="auto" w:fill="BFBFBF"/>
          </w:tcPr>
          <w:p w14:paraId="3BFDCBF7" w14:textId="77777777" w:rsidR="00141B97" w:rsidRDefault="00911D63">
            <w:pPr>
              <w:pStyle w:val="TableParagraph"/>
              <w:spacing w:before="29"/>
              <w:ind w:right="101"/>
              <w:jc w:val="right"/>
              <w:rPr>
                <w:sz w:val="16"/>
              </w:rPr>
            </w:pPr>
            <w:r>
              <w:rPr>
                <w:spacing w:val="-4"/>
                <w:sz w:val="16"/>
              </w:rPr>
              <w:t>21.8</w:t>
            </w:r>
          </w:p>
        </w:tc>
        <w:tc>
          <w:tcPr>
            <w:tcW w:w="656" w:type="dxa"/>
            <w:shd w:val="clear" w:color="auto" w:fill="BFBFBF"/>
          </w:tcPr>
          <w:p w14:paraId="12868652" w14:textId="77777777" w:rsidR="00141B97" w:rsidRDefault="00911D63">
            <w:pPr>
              <w:pStyle w:val="TableParagraph"/>
              <w:spacing w:before="29"/>
              <w:ind w:right="102"/>
              <w:jc w:val="right"/>
              <w:rPr>
                <w:sz w:val="16"/>
              </w:rPr>
            </w:pPr>
            <w:r>
              <w:rPr>
                <w:spacing w:val="-4"/>
                <w:sz w:val="16"/>
              </w:rPr>
              <w:t>22.8</w:t>
            </w:r>
          </w:p>
        </w:tc>
        <w:tc>
          <w:tcPr>
            <w:tcW w:w="655" w:type="dxa"/>
            <w:shd w:val="clear" w:color="auto" w:fill="BFBFBF"/>
          </w:tcPr>
          <w:p w14:paraId="4DDBA51F" w14:textId="77777777" w:rsidR="00141B97" w:rsidRDefault="00911D63">
            <w:pPr>
              <w:pStyle w:val="TableParagraph"/>
              <w:spacing w:before="29"/>
              <w:ind w:right="103"/>
              <w:jc w:val="right"/>
              <w:rPr>
                <w:sz w:val="16"/>
              </w:rPr>
            </w:pPr>
            <w:r>
              <w:rPr>
                <w:spacing w:val="-4"/>
                <w:sz w:val="16"/>
              </w:rPr>
              <w:t>88.9</w:t>
            </w:r>
          </w:p>
        </w:tc>
        <w:tc>
          <w:tcPr>
            <w:tcW w:w="656" w:type="dxa"/>
            <w:shd w:val="clear" w:color="auto" w:fill="BFBFBF"/>
          </w:tcPr>
          <w:p w14:paraId="7E5A6BFA" w14:textId="77777777" w:rsidR="00141B97" w:rsidRDefault="00911D63">
            <w:pPr>
              <w:pStyle w:val="TableParagraph"/>
              <w:spacing w:before="29"/>
              <w:ind w:right="104"/>
              <w:jc w:val="right"/>
              <w:rPr>
                <w:sz w:val="16"/>
              </w:rPr>
            </w:pPr>
            <w:r>
              <w:rPr>
                <w:spacing w:val="-4"/>
                <w:sz w:val="16"/>
              </w:rPr>
              <w:t>94.1</w:t>
            </w:r>
          </w:p>
        </w:tc>
        <w:tc>
          <w:tcPr>
            <w:tcW w:w="601" w:type="dxa"/>
            <w:shd w:val="clear" w:color="auto" w:fill="BFBFBF"/>
          </w:tcPr>
          <w:p w14:paraId="6DED4E3A" w14:textId="77777777" w:rsidR="00141B97" w:rsidRDefault="00911D63">
            <w:pPr>
              <w:pStyle w:val="TableParagraph"/>
              <w:spacing w:before="29"/>
              <w:ind w:right="105"/>
              <w:jc w:val="right"/>
              <w:rPr>
                <w:sz w:val="16"/>
              </w:rPr>
            </w:pPr>
            <w:r>
              <w:rPr>
                <w:spacing w:val="-5"/>
                <w:sz w:val="16"/>
              </w:rPr>
              <w:t>5.2</w:t>
            </w:r>
          </w:p>
        </w:tc>
        <w:tc>
          <w:tcPr>
            <w:tcW w:w="793" w:type="dxa"/>
            <w:tcBorders>
              <w:right w:val="nil"/>
            </w:tcBorders>
            <w:shd w:val="clear" w:color="auto" w:fill="BFBFBF"/>
          </w:tcPr>
          <w:p w14:paraId="43DF0360" w14:textId="77777777" w:rsidR="00141B97" w:rsidRDefault="00911D63">
            <w:pPr>
              <w:pStyle w:val="TableParagraph"/>
              <w:spacing w:before="29"/>
              <w:ind w:right="188"/>
              <w:jc w:val="right"/>
              <w:rPr>
                <w:sz w:val="16"/>
              </w:rPr>
            </w:pPr>
            <w:r>
              <w:rPr>
                <w:spacing w:val="-4"/>
                <w:sz w:val="16"/>
              </w:rPr>
              <w:t>5.9%</w:t>
            </w:r>
          </w:p>
        </w:tc>
      </w:tr>
      <w:tr w:rsidR="00141B97" w14:paraId="49EC8F85" w14:textId="77777777">
        <w:trPr>
          <w:trHeight w:val="255"/>
          <w:tblCellSpacing w:w="9" w:type="dxa"/>
        </w:trPr>
        <w:tc>
          <w:tcPr>
            <w:tcW w:w="1906" w:type="dxa"/>
            <w:tcBorders>
              <w:left w:val="nil"/>
              <w:bottom w:val="nil"/>
            </w:tcBorders>
            <w:shd w:val="clear" w:color="auto" w:fill="BFBFBF"/>
          </w:tcPr>
          <w:p w14:paraId="2D3F4E64" w14:textId="77777777" w:rsidR="00141B97" w:rsidRDefault="00911D63">
            <w:pPr>
              <w:pStyle w:val="TableParagraph"/>
              <w:spacing w:before="59" w:line="176" w:lineRule="exact"/>
              <w:ind w:left="97"/>
              <w:rPr>
                <w:sz w:val="16"/>
              </w:rPr>
            </w:pPr>
            <w:r>
              <w:rPr>
                <w:spacing w:val="-2"/>
                <w:sz w:val="16"/>
              </w:rPr>
              <w:t>Variance</w:t>
            </w:r>
          </w:p>
        </w:tc>
        <w:tc>
          <w:tcPr>
            <w:tcW w:w="656" w:type="dxa"/>
            <w:tcBorders>
              <w:bottom w:val="nil"/>
            </w:tcBorders>
            <w:shd w:val="clear" w:color="auto" w:fill="BFBFBF"/>
          </w:tcPr>
          <w:p w14:paraId="70AF2F50" w14:textId="77777777" w:rsidR="00141B97" w:rsidRDefault="00141B97">
            <w:pPr>
              <w:pStyle w:val="TableParagraph"/>
              <w:rPr>
                <w:rFonts w:ascii="Times New Roman"/>
                <w:sz w:val="18"/>
              </w:rPr>
            </w:pPr>
          </w:p>
        </w:tc>
        <w:tc>
          <w:tcPr>
            <w:tcW w:w="656" w:type="dxa"/>
            <w:tcBorders>
              <w:bottom w:val="nil"/>
            </w:tcBorders>
            <w:shd w:val="clear" w:color="auto" w:fill="BFBFBF"/>
          </w:tcPr>
          <w:p w14:paraId="0BB6F9DD" w14:textId="77777777" w:rsidR="00141B97" w:rsidRDefault="00911D63">
            <w:pPr>
              <w:pStyle w:val="TableParagraph"/>
              <w:spacing w:before="31"/>
              <w:ind w:right="97"/>
              <w:jc w:val="right"/>
              <w:rPr>
                <w:sz w:val="16"/>
              </w:rPr>
            </w:pPr>
            <w:r>
              <w:rPr>
                <w:spacing w:val="-5"/>
                <w:sz w:val="16"/>
              </w:rPr>
              <w:t>1.7</w:t>
            </w:r>
          </w:p>
        </w:tc>
        <w:tc>
          <w:tcPr>
            <w:tcW w:w="655" w:type="dxa"/>
            <w:tcBorders>
              <w:bottom w:val="nil"/>
            </w:tcBorders>
            <w:shd w:val="clear" w:color="auto" w:fill="BFBFBF"/>
          </w:tcPr>
          <w:p w14:paraId="059C590C" w14:textId="77777777" w:rsidR="00141B97" w:rsidRDefault="00141B97">
            <w:pPr>
              <w:pStyle w:val="TableParagraph"/>
              <w:rPr>
                <w:rFonts w:ascii="Times New Roman"/>
                <w:sz w:val="18"/>
              </w:rPr>
            </w:pPr>
          </w:p>
        </w:tc>
        <w:tc>
          <w:tcPr>
            <w:tcW w:w="656" w:type="dxa"/>
            <w:tcBorders>
              <w:bottom w:val="nil"/>
            </w:tcBorders>
            <w:shd w:val="clear" w:color="auto" w:fill="BFBFBF"/>
          </w:tcPr>
          <w:p w14:paraId="5A10D8F4" w14:textId="77777777" w:rsidR="00141B97" w:rsidRDefault="00911D63">
            <w:pPr>
              <w:pStyle w:val="TableParagraph"/>
              <w:spacing w:before="31"/>
              <w:ind w:right="99"/>
              <w:jc w:val="right"/>
              <w:rPr>
                <w:sz w:val="16"/>
              </w:rPr>
            </w:pPr>
            <w:r>
              <w:rPr>
                <w:spacing w:val="-5"/>
                <w:sz w:val="16"/>
              </w:rPr>
              <w:t>1.3</w:t>
            </w:r>
          </w:p>
        </w:tc>
        <w:tc>
          <w:tcPr>
            <w:tcW w:w="656" w:type="dxa"/>
            <w:tcBorders>
              <w:bottom w:val="nil"/>
            </w:tcBorders>
            <w:shd w:val="clear" w:color="auto" w:fill="BFBFBF"/>
          </w:tcPr>
          <w:p w14:paraId="5360004D" w14:textId="77777777" w:rsidR="00141B97" w:rsidRDefault="00141B97">
            <w:pPr>
              <w:pStyle w:val="TableParagraph"/>
              <w:rPr>
                <w:rFonts w:ascii="Times New Roman"/>
                <w:sz w:val="18"/>
              </w:rPr>
            </w:pPr>
          </w:p>
        </w:tc>
        <w:tc>
          <w:tcPr>
            <w:tcW w:w="656" w:type="dxa"/>
            <w:tcBorders>
              <w:bottom w:val="nil"/>
            </w:tcBorders>
            <w:shd w:val="clear" w:color="auto" w:fill="BFBFBF"/>
          </w:tcPr>
          <w:p w14:paraId="24F866E3" w14:textId="77777777" w:rsidR="00141B97" w:rsidRDefault="00911D63">
            <w:pPr>
              <w:pStyle w:val="TableParagraph"/>
              <w:spacing w:before="31"/>
              <w:ind w:right="100"/>
              <w:jc w:val="right"/>
              <w:rPr>
                <w:sz w:val="16"/>
              </w:rPr>
            </w:pPr>
            <w:r>
              <w:rPr>
                <w:spacing w:val="-5"/>
                <w:sz w:val="16"/>
              </w:rPr>
              <w:t>1.1</w:t>
            </w:r>
          </w:p>
        </w:tc>
        <w:tc>
          <w:tcPr>
            <w:tcW w:w="656" w:type="dxa"/>
            <w:tcBorders>
              <w:bottom w:val="nil"/>
            </w:tcBorders>
            <w:shd w:val="clear" w:color="auto" w:fill="BFBFBF"/>
          </w:tcPr>
          <w:p w14:paraId="688FCEEE" w14:textId="77777777" w:rsidR="00141B97" w:rsidRDefault="00141B97">
            <w:pPr>
              <w:pStyle w:val="TableParagraph"/>
              <w:rPr>
                <w:rFonts w:ascii="Times New Roman"/>
                <w:sz w:val="18"/>
              </w:rPr>
            </w:pPr>
          </w:p>
        </w:tc>
        <w:tc>
          <w:tcPr>
            <w:tcW w:w="656" w:type="dxa"/>
            <w:tcBorders>
              <w:bottom w:val="nil"/>
            </w:tcBorders>
            <w:shd w:val="clear" w:color="auto" w:fill="BFBFBF"/>
          </w:tcPr>
          <w:p w14:paraId="700270B3" w14:textId="77777777" w:rsidR="00141B97" w:rsidRDefault="00911D63">
            <w:pPr>
              <w:pStyle w:val="TableParagraph"/>
              <w:spacing w:before="31"/>
              <w:ind w:right="102"/>
              <w:jc w:val="right"/>
              <w:rPr>
                <w:sz w:val="16"/>
              </w:rPr>
            </w:pPr>
            <w:r>
              <w:rPr>
                <w:spacing w:val="-5"/>
                <w:sz w:val="16"/>
              </w:rPr>
              <w:t>1.1</w:t>
            </w:r>
          </w:p>
        </w:tc>
        <w:tc>
          <w:tcPr>
            <w:tcW w:w="655" w:type="dxa"/>
            <w:tcBorders>
              <w:bottom w:val="nil"/>
            </w:tcBorders>
            <w:shd w:val="clear" w:color="auto" w:fill="BFBFBF"/>
          </w:tcPr>
          <w:p w14:paraId="28AA86FA" w14:textId="77777777" w:rsidR="00141B97" w:rsidRDefault="00141B97">
            <w:pPr>
              <w:pStyle w:val="TableParagraph"/>
              <w:rPr>
                <w:rFonts w:ascii="Times New Roman"/>
                <w:sz w:val="18"/>
              </w:rPr>
            </w:pPr>
          </w:p>
        </w:tc>
        <w:tc>
          <w:tcPr>
            <w:tcW w:w="656" w:type="dxa"/>
            <w:tcBorders>
              <w:bottom w:val="nil"/>
            </w:tcBorders>
            <w:shd w:val="clear" w:color="auto" w:fill="BFBFBF"/>
          </w:tcPr>
          <w:p w14:paraId="3108F9B7" w14:textId="77777777" w:rsidR="00141B97" w:rsidRDefault="00911D63">
            <w:pPr>
              <w:pStyle w:val="TableParagraph"/>
              <w:spacing w:before="31"/>
              <w:ind w:right="104"/>
              <w:jc w:val="right"/>
              <w:rPr>
                <w:sz w:val="16"/>
              </w:rPr>
            </w:pPr>
            <w:r>
              <w:rPr>
                <w:spacing w:val="-5"/>
                <w:sz w:val="16"/>
              </w:rPr>
              <w:t>5.2</w:t>
            </w:r>
          </w:p>
        </w:tc>
        <w:tc>
          <w:tcPr>
            <w:tcW w:w="601" w:type="dxa"/>
            <w:tcBorders>
              <w:bottom w:val="nil"/>
            </w:tcBorders>
            <w:shd w:val="clear" w:color="auto" w:fill="BFBFBF"/>
          </w:tcPr>
          <w:p w14:paraId="4060B39A" w14:textId="77777777" w:rsidR="00141B97" w:rsidRDefault="00141B97">
            <w:pPr>
              <w:pStyle w:val="TableParagraph"/>
              <w:rPr>
                <w:rFonts w:ascii="Times New Roman"/>
                <w:sz w:val="18"/>
              </w:rPr>
            </w:pPr>
          </w:p>
        </w:tc>
        <w:tc>
          <w:tcPr>
            <w:tcW w:w="793" w:type="dxa"/>
            <w:tcBorders>
              <w:bottom w:val="nil"/>
              <w:right w:val="nil"/>
            </w:tcBorders>
            <w:shd w:val="clear" w:color="auto" w:fill="BFBFBF"/>
          </w:tcPr>
          <w:p w14:paraId="58D6F7C8" w14:textId="77777777" w:rsidR="00141B97" w:rsidRDefault="00141B97">
            <w:pPr>
              <w:pStyle w:val="TableParagraph"/>
              <w:rPr>
                <w:rFonts w:ascii="Times New Roman"/>
                <w:sz w:val="18"/>
              </w:rPr>
            </w:pPr>
          </w:p>
        </w:tc>
      </w:tr>
    </w:tbl>
    <w:p w14:paraId="134AAF52" w14:textId="77777777" w:rsidR="00141B97" w:rsidRDefault="00911D63">
      <w:pPr>
        <w:spacing w:before="26"/>
        <w:ind w:left="114"/>
        <w:rPr>
          <w:sz w:val="16"/>
        </w:rPr>
      </w:pPr>
      <w:r>
        <w:rPr>
          <w:sz w:val="16"/>
        </w:rPr>
        <w:t>Table</w:t>
      </w:r>
      <w:r>
        <w:rPr>
          <w:spacing w:val="-4"/>
          <w:sz w:val="16"/>
        </w:rPr>
        <w:t xml:space="preserve"> </w:t>
      </w:r>
      <w:r>
        <w:rPr>
          <w:sz w:val="16"/>
        </w:rPr>
        <w:t>C5:</w:t>
      </w:r>
      <w:r>
        <w:rPr>
          <w:spacing w:val="-4"/>
          <w:sz w:val="16"/>
        </w:rPr>
        <w:t xml:space="preserve"> </w:t>
      </w:r>
      <w:r>
        <w:rPr>
          <w:sz w:val="16"/>
        </w:rPr>
        <w:t>Approved</w:t>
      </w:r>
      <w:r>
        <w:rPr>
          <w:spacing w:val="-4"/>
          <w:sz w:val="16"/>
        </w:rPr>
        <w:t xml:space="preserve"> </w:t>
      </w:r>
      <w:r>
        <w:rPr>
          <w:sz w:val="16"/>
        </w:rPr>
        <w:t>Rural</w:t>
      </w:r>
      <w:r>
        <w:rPr>
          <w:spacing w:val="-4"/>
          <w:sz w:val="16"/>
        </w:rPr>
        <w:t xml:space="preserve"> </w:t>
      </w:r>
      <w:r>
        <w:rPr>
          <w:sz w:val="16"/>
        </w:rPr>
        <w:t>Budget</w:t>
      </w:r>
      <w:r>
        <w:rPr>
          <w:spacing w:val="-6"/>
          <w:sz w:val="16"/>
        </w:rPr>
        <w:t xml:space="preserve"> </w:t>
      </w:r>
      <w:r>
        <w:rPr>
          <w:sz w:val="16"/>
        </w:rPr>
        <w:t>and</w:t>
      </w:r>
      <w:r>
        <w:rPr>
          <w:spacing w:val="-5"/>
          <w:sz w:val="16"/>
        </w:rPr>
        <w:t xml:space="preserve"> </w:t>
      </w:r>
      <w:r>
        <w:rPr>
          <w:sz w:val="16"/>
        </w:rPr>
        <w:t>Actual</w:t>
      </w:r>
      <w:r>
        <w:rPr>
          <w:spacing w:val="-5"/>
          <w:sz w:val="16"/>
        </w:rPr>
        <w:t xml:space="preserve"> </w:t>
      </w:r>
      <w:r>
        <w:rPr>
          <w:sz w:val="16"/>
        </w:rPr>
        <w:t>Operating</w:t>
      </w:r>
      <w:r>
        <w:rPr>
          <w:spacing w:val="-6"/>
          <w:sz w:val="16"/>
        </w:rPr>
        <w:t xml:space="preserve"> </w:t>
      </w:r>
      <w:r>
        <w:rPr>
          <w:sz w:val="16"/>
        </w:rPr>
        <w:t>Expenditure</w:t>
      </w:r>
      <w:r>
        <w:rPr>
          <w:spacing w:val="-5"/>
          <w:sz w:val="16"/>
        </w:rPr>
        <w:t xml:space="preserve"> </w:t>
      </w:r>
      <w:r>
        <w:rPr>
          <w:sz w:val="16"/>
        </w:rPr>
        <w:t>($m</w:t>
      </w:r>
      <w:r>
        <w:rPr>
          <w:spacing w:val="-5"/>
          <w:sz w:val="16"/>
        </w:rPr>
        <w:t xml:space="preserve"> </w:t>
      </w:r>
      <w:r>
        <w:rPr>
          <w:spacing w:val="-2"/>
          <w:sz w:val="16"/>
        </w:rPr>
        <w:t>1/1/23)</w:t>
      </w:r>
    </w:p>
    <w:p w14:paraId="333493A3" w14:textId="77777777" w:rsidR="00141B97" w:rsidRDefault="00141B97">
      <w:pPr>
        <w:pStyle w:val="BodyText"/>
      </w:pPr>
    </w:p>
    <w:p w14:paraId="0310AC8F" w14:textId="77777777" w:rsidR="00141B97" w:rsidRDefault="00911D63">
      <w:pPr>
        <w:pStyle w:val="BodyText"/>
        <w:ind w:left="114"/>
        <w:jc w:val="both"/>
      </w:pPr>
      <w:r>
        <w:t>Opex</w:t>
      </w:r>
      <w:r>
        <w:rPr>
          <w:spacing w:val="-7"/>
        </w:rPr>
        <w:t xml:space="preserve"> </w:t>
      </w:r>
      <w:r>
        <w:t>variances</w:t>
      </w:r>
      <w:r>
        <w:rPr>
          <w:spacing w:val="-7"/>
        </w:rPr>
        <w:t xml:space="preserve"> </w:t>
      </w:r>
      <w:r>
        <w:t>are</w:t>
      </w:r>
      <w:r>
        <w:rPr>
          <w:spacing w:val="-8"/>
        </w:rPr>
        <w:t xml:space="preserve"> </w:t>
      </w:r>
      <w:r>
        <w:t>more</w:t>
      </w:r>
      <w:r>
        <w:rPr>
          <w:spacing w:val="-8"/>
        </w:rPr>
        <w:t xml:space="preserve"> </w:t>
      </w:r>
      <w:r>
        <w:t>readily</w:t>
      </w:r>
      <w:r>
        <w:rPr>
          <w:spacing w:val="-6"/>
        </w:rPr>
        <w:t xml:space="preserve"> </w:t>
      </w:r>
      <w:r>
        <w:t>explained</w:t>
      </w:r>
      <w:r>
        <w:rPr>
          <w:spacing w:val="-7"/>
        </w:rPr>
        <w:t xml:space="preserve"> </w:t>
      </w:r>
      <w:r>
        <w:t>by</w:t>
      </w:r>
      <w:r>
        <w:rPr>
          <w:spacing w:val="-7"/>
        </w:rPr>
        <w:t xml:space="preserve"> </w:t>
      </w:r>
      <w:r>
        <w:t>examining</w:t>
      </w:r>
      <w:r>
        <w:rPr>
          <w:spacing w:val="-7"/>
        </w:rPr>
        <w:t xml:space="preserve"> </w:t>
      </w:r>
      <w:r>
        <w:t>them</w:t>
      </w:r>
      <w:r>
        <w:rPr>
          <w:spacing w:val="-7"/>
        </w:rPr>
        <w:t xml:space="preserve"> </w:t>
      </w:r>
      <w:r>
        <w:t>by</w:t>
      </w:r>
      <w:r>
        <w:rPr>
          <w:spacing w:val="-6"/>
        </w:rPr>
        <w:t xml:space="preserve"> </w:t>
      </w:r>
      <w:r>
        <w:t>expenditure</w:t>
      </w:r>
      <w:r>
        <w:rPr>
          <w:spacing w:val="-7"/>
        </w:rPr>
        <w:t xml:space="preserve"> </w:t>
      </w:r>
      <w:r>
        <w:t>category,</w:t>
      </w:r>
      <w:r>
        <w:rPr>
          <w:spacing w:val="-7"/>
        </w:rPr>
        <w:t xml:space="preserve"> </w:t>
      </w:r>
      <w:r>
        <w:t>as</w:t>
      </w:r>
      <w:r>
        <w:rPr>
          <w:spacing w:val="-7"/>
        </w:rPr>
        <w:t xml:space="preserve"> </w:t>
      </w:r>
      <w:r>
        <w:t>shown</w:t>
      </w:r>
      <w:r>
        <w:rPr>
          <w:spacing w:val="-7"/>
        </w:rPr>
        <w:t xml:space="preserve"> </w:t>
      </w:r>
      <w:r>
        <w:t>in</w:t>
      </w:r>
      <w:r>
        <w:rPr>
          <w:spacing w:val="-6"/>
        </w:rPr>
        <w:t xml:space="preserve"> </w:t>
      </w:r>
      <w:r>
        <w:t>Table</w:t>
      </w:r>
      <w:r>
        <w:rPr>
          <w:spacing w:val="-7"/>
        </w:rPr>
        <w:t xml:space="preserve"> </w:t>
      </w:r>
      <w:r>
        <w:rPr>
          <w:spacing w:val="-5"/>
        </w:rPr>
        <w:t>C6.</w:t>
      </w:r>
    </w:p>
    <w:p w14:paraId="31B8A358" w14:textId="77777777" w:rsidR="00141B97" w:rsidRDefault="00141B97">
      <w:pPr>
        <w:pStyle w:val="BodyText"/>
        <w:spacing w:before="10" w:after="1"/>
      </w:pPr>
    </w:p>
    <w:tbl>
      <w:tblPr>
        <w:tblW w:w="0" w:type="auto"/>
        <w:tblCellSpacing w:w="5" w:type="dxa"/>
        <w:tblInd w:w="136" w:type="dxa"/>
        <w:tblLayout w:type="fixed"/>
        <w:tblCellMar>
          <w:left w:w="0" w:type="dxa"/>
          <w:right w:w="0" w:type="dxa"/>
        </w:tblCellMar>
        <w:tblLook w:val="01E0" w:firstRow="1" w:lastRow="1" w:firstColumn="1" w:lastColumn="1" w:noHBand="0" w:noVBand="0"/>
      </w:tblPr>
      <w:tblGrid>
        <w:gridCol w:w="1900"/>
        <w:gridCol w:w="674"/>
        <w:gridCol w:w="674"/>
        <w:gridCol w:w="673"/>
        <w:gridCol w:w="674"/>
        <w:gridCol w:w="674"/>
        <w:gridCol w:w="673"/>
        <w:gridCol w:w="674"/>
        <w:gridCol w:w="674"/>
        <w:gridCol w:w="673"/>
        <w:gridCol w:w="674"/>
        <w:gridCol w:w="580"/>
        <w:gridCol w:w="767"/>
      </w:tblGrid>
      <w:tr w:rsidR="00141B97" w14:paraId="486C3B5E" w14:textId="77777777">
        <w:trPr>
          <w:trHeight w:val="389"/>
          <w:tblCellSpacing w:w="5" w:type="dxa"/>
        </w:trPr>
        <w:tc>
          <w:tcPr>
            <w:tcW w:w="1885" w:type="dxa"/>
            <w:tcBorders>
              <w:top w:val="nil"/>
              <w:left w:val="nil"/>
            </w:tcBorders>
            <w:shd w:val="clear" w:color="auto" w:fill="0064A4"/>
          </w:tcPr>
          <w:p w14:paraId="135F460F" w14:textId="77777777" w:rsidR="00141B97" w:rsidRDefault="00911D63">
            <w:pPr>
              <w:pStyle w:val="TableParagraph"/>
              <w:spacing w:line="194" w:lineRule="exact"/>
              <w:ind w:left="362"/>
              <w:rPr>
                <w:sz w:val="16"/>
              </w:rPr>
            </w:pPr>
            <w:r>
              <w:rPr>
                <w:color w:val="FFFFFF"/>
                <w:sz w:val="16"/>
              </w:rPr>
              <w:t>Expense</w:t>
            </w:r>
            <w:r>
              <w:rPr>
                <w:color w:val="FFFFFF"/>
                <w:spacing w:val="-7"/>
                <w:sz w:val="16"/>
              </w:rPr>
              <w:t xml:space="preserve"> </w:t>
            </w:r>
            <w:r>
              <w:rPr>
                <w:color w:val="FFFFFF"/>
                <w:spacing w:val="-2"/>
                <w:sz w:val="16"/>
              </w:rPr>
              <w:t>Category</w:t>
            </w:r>
          </w:p>
        </w:tc>
        <w:tc>
          <w:tcPr>
            <w:tcW w:w="1328" w:type="dxa"/>
            <w:gridSpan w:val="2"/>
            <w:tcBorders>
              <w:top w:val="nil"/>
            </w:tcBorders>
            <w:shd w:val="clear" w:color="auto" w:fill="0064A4"/>
          </w:tcPr>
          <w:p w14:paraId="490F64D2" w14:textId="77777777" w:rsidR="00141B97" w:rsidRDefault="00911D63">
            <w:pPr>
              <w:pStyle w:val="TableParagraph"/>
              <w:spacing w:line="194" w:lineRule="exact"/>
              <w:ind w:left="391"/>
              <w:rPr>
                <w:sz w:val="16"/>
              </w:rPr>
            </w:pPr>
            <w:r>
              <w:rPr>
                <w:color w:val="FFFFFF"/>
                <w:spacing w:val="-2"/>
                <w:sz w:val="16"/>
              </w:rPr>
              <w:t>2018‐19</w:t>
            </w:r>
          </w:p>
        </w:tc>
        <w:tc>
          <w:tcPr>
            <w:tcW w:w="1327" w:type="dxa"/>
            <w:gridSpan w:val="2"/>
            <w:tcBorders>
              <w:top w:val="nil"/>
              <w:right w:val="nil"/>
            </w:tcBorders>
            <w:shd w:val="clear" w:color="auto" w:fill="0064A4"/>
          </w:tcPr>
          <w:p w14:paraId="6E9BAF0B" w14:textId="77777777" w:rsidR="00141B97" w:rsidRDefault="00911D63">
            <w:pPr>
              <w:pStyle w:val="TableParagraph"/>
              <w:spacing w:line="194" w:lineRule="exact"/>
              <w:ind w:left="389"/>
              <w:rPr>
                <w:sz w:val="16"/>
              </w:rPr>
            </w:pPr>
            <w:r>
              <w:rPr>
                <w:color w:val="FFFFFF"/>
                <w:spacing w:val="-2"/>
                <w:sz w:val="16"/>
              </w:rPr>
              <w:t>2019‐20</w:t>
            </w:r>
          </w:p>
        </w:tc>
        <w:tc>
          <w:tcPr>
            <w:tcW w:w="1327" w:type="dxa"/>
            <w:gridSpan w:val="2"/>
            <w:tcBorders>
              <w:top w:val="nil"/>
              <w:left w:val="nil"/>
            </w:tcBorders>
            <w:shd w:val="clear" w:color="auto" w:fill="0064A4"/>
          </w:tcPr>
          <w:p w14:paraId="65972245" w14:textId="77777777" w:rsidR="00141B97" w:rsidRDefault="00911D63">
            <w:pPr>
              <w:pStyle w:val="TableParagraph"/>
              <w:spacing w:line="194" w:lineRule="exact"/>
              <w:ind w:left="389"/>
              <w:rPr>
                <w:sz w:val="16"/>
              </w:rPr>
            </w:pPr>
            <w:r>
              <w:rPr>
                <w:color w:val="FFFFFF"/>
                <w:spacing w:val="-2"/>
                <w:sz w:val="16"/>
              </w:rPr>
              <w:t>2020‐21</w:t>
            </w:r>
          </w:p>
        </w:tc>
        <w:tc>
          <w:tcPr>
            <w:tcW w:w="1328" w:type="dxa"/>
            <w:gridSpan w:val="2"/>
            <w:tcBorders>
              <w:top w:val="nil"/>
            </w:tcBorders>
            <w:shd w:val="clear" w:color="auto" w:fill="0064A4"/>
          </w:tcPr>
          <w:p w14:paraId="720A92D8" w14:textId="77777777" w:rsidR="00141B97" w:rsidRDefault="00911D63">
            <w:pPr>
              <w:pStyle w:val="TableParagraph"/>
              <w:spacing w:line="194" w:lineRule="exact"/>
              <w:ind w:left="393"/>
              <w:rPr>
                <w:sz w:val="16"/>
              </w:rPr>
            </w:pPr>
            <w:r>
              <w:rPr>
                <w:color w:val="FFFFFF"/>
                <w:spacing w:val="-2"/>
                <w:sz w:val="16"/>
              </w:rPr>
              <w:t>2021‐22</w:t>
            </w:r>
          </w:p>
        </w:tc>
        <w:tc>
          <w:tcPr>
            <w:tcW w:w="1327" w:type="dxa"/>
            <w:gridSpan w:val="2"/>
            <w:tcBorders>
              <w:top w:val="nil"/>
              <w:right w:val="nil"/>
            </w:tcBorders>
            <w:shd w:val="clear" w:color="auto" w:fill="0064A4"/>
          </w:tcPr>
          <w:p w14:paraId="1AB06A3F" w14:textId="77777777" w:rsidR="00141B97" w:rsidRDefault="00911D63">
            <w:pPr>
              <w:pStyle w:val="TableParagraph"/>
              <w:spacing w:line="194" w:lineRule="exact"/>
              <w:ind w:left="193" w:right="188"/>
              <w:jc w:val="center"/>
              <w:rPr>
                <w:sz w:val="16"/>
              </w:rPr>
            </w:pPr>
            <w:r>
              <w:rPr>
                <w:color w:val="FFFFFF"/>
                <w:sz w:val="16"/>
              </w:rPr>
              <w:t>Period</w:t>
            </w:r>
            <w:r>
              <w:rPr>
                <w:color w:val="FFFFFF"/>
                <w:spacing w:val="-4"/>
                <w:sz w:val="16"/>
              </w:rPr>
              <w:t xml:space="preserve"> </w:t>
            </w:r>
            <w:r>
              <w:rPr>
                <w:color w:val="FFFFFF"/>
                <w:sz w:val="16"/>
              </w:rPr>
              <w:t>to</w:t>
            </w:r>
            <w:r>
              <w:rPr>
                <w:color w:val="FFFFFF"/>
                <w:spacing w:val="-4"/>
                <w:sz w:val="16"/>
              </w:rPr>
              <w:t xml:space="preserve"> Date</w:t>
            </w:r>
          </w:p>
          <w:p w14:paraId="7CE8BD70" w14:textId="77777777" w:rsidR="00141B97" w:rsidRDefault="00911D63">
            <w:pPr>
              <w:pStyle w:val="TableParagraph"/>
              <w:spacing w:line="175" w:lineRule="exact"/>
              <w:ind w:left="193" w:right="187"/>
              <w:jc w:val="center"/>
              <w:rPr>
                <w:sz w:val="16"/>
              </w:rPr>
            </w:pPr>
            <w:r>
              <w:rPr>
                <w:color w:val="FFFFFF"/>
                <w:spacing w:val="-2"/>
                <w:sz w:val="16"/>
              </w:rPr>
              <w:t>Total</w:t>
            </w:r>
          </w:p>
        </w:tc>
        <w:tc>
          <w:tcPr>
            <w:tcW w:w="1322" w:type="dxa"/>
            <w:gridSpan w:val="2"/>
            <w:tcBorders>
              <w:top w:val="nil"/>
              <w:left w:val="nil"/>
              <w:right w:val="nil"/>
            </w:tcBorders>
            <w:shd w:val="clear" w:color="auto" w:fill="0064A4"/>
          </w:tcPr>
          <w:p w14:paraId="07B867A1" w14:textId="77777777" w:rsidR="00141B97" w:rsidRDefault="00911D63">
            <w:pPr>
              <w:pStyle w:val="TableParagraph"/>
              <w:spacing w:line="194" w:lineRule="exact"/>
              <w:ind w:left="346"/>
              <w:rPr>
                <w:sz w:val="16"/>
              </w:rPr>
            </w:pPr>
            <w:r>
              <w:rPr>
                <w:color w:val="FFFFFF"/>
                <w:spacing w:val="-2"/>
                <w:sz w:val="16"/>
              </w:rPr>
              <w:t>Variances</w:t>
            </w:r>
          </w:p>
        </w:tc>
      </w:tr>
      <w:tr w:rsidR="00141B97" w14:paraId="69047F72" w14:textId="77777777">
        <w:trPr>
          <w:trHeight w:val="243"/>
          <w:tblCellSpacing w:w="5" w:type="dxa"/>
        </w:trPr>
        <w:tc>
          <w:tcPr>
            <w:tcW w:w="1885" w:type="dxa"/>
            <w:tcBorders>
              <w:left w:val="nil"/>
            </w:tcBorders>
            <w:shd w:val="clear" w:color="auto" w:fill="0064A4"/>
          </w:tcPr>
          <w:p w14:paraId="7B2E619B" w14:textId="77777777" w:rsidR="00141B97" w:rsidRDefault="00911D63">
            <w:pPr>
              <w:pStyle w:val="TableParagraph"/>
              <w:spacing w:before="35"/>
              <w:ind w:left="98"/>
              <w:rPr>
                <w:sz w:val="14"/>
              </w:rPr>
            </w:pPr>
            <w:r>
              <w:rPr>
                <w:color w:val="FFFFFF"/>
                <w:sz w:val="14"/>
              </w:rPr>
              <w:t>Sm,</w:t>
            </w:r>
            <w:r>
              <w:rPr>
                <w:color w:val="FFFFFF"/>
                <w:spacing w:val="-1"/>
                <w:sz w:val="14"/>
              </w:rPr>
              <w:t xml:space="preserve"> </w:t>
            </w:r>
            <w:r>
              <w:rPr>
                <w:color w:val="FFFFFF"/>
                <w:spacing w:val="-2"/>
                <w:sz w:val="14"/>
              </w:rPr>
              <w:t>1/1/23</w:t>
            </w:r>
          </w:p>
        </w:tc>
        <w:tc>
          <w:tcPr>
            <w:tcW w:w="664" w:type="dxa"/>
            <w:tcBorders>
              <w:right w:val="nil"/>
            </w:tcBorders>
            <w:shd w:val="clear" w:color="auto" w:fill="0064A4"/>
          </w:tcPr>
          <w:p w14:paraId="3D637D0E" w14:textId="77777777" w:rsidR="00141B97" w:rsidRDefault="00911D63">
            <w:pPr>
              <w:pStyle w:val="TableParagraph"/>
              <w:spacing w:before="35"/>
              <w:ind w:right="98"/>
              <w:jc w:val="right"/>
              <w:rPr>
                <w:sz w:val="14"/>
              </w:rPr>
            </w:pPr>
            <w:r>
              <w:rPr>
                <w:color w:val="FFFFFF"/>
                <w:spacing w:val="-2"/>
                <w:sz w:val="14"/>
              </w:rPr>
              <w:t>Budget</w:t>
            </w:r>
          </w:p>
        </w:tc>
        <w:tc>
          <w:tcPr>
            <w:tcW w:w="664" w:type="dxa"/>
            <w:tcBorders>
              <w:left w:val="nil"/>
            </w:tcBorders>
            <w:shd w:val="clear" w:color="auto" w:fill="0064A4"/>
          </w:tcPr>
          <w:p w14:paraId="2CC164C5" w14:textId="77777777" w:rsidR="00141B97" w:rsidRDefault="00911D63">
            <w:pPr>
              <w:pStyle w:val="TableParagraph"/>
              <w:spacing w:before="35"/>
              <w:ind w:right="98"/>
              <w:jc w:val="right"/>
              <w:rPr>
                <w:sz w:val="14"/>
              </w:rPr>
            </w:pPr>
            <w:r>
              <w:rPr>
                <w:color w:val="FFFFFF"/>
                <w:spacing w:val="-2"/>
                <w:sz w:val="14"/>
              </w:rPr>
              <w:t>Actual</w:t>
            </w:r>
          </w:p>
        </w:tc>
        <w:tc>
          <w:tcPr>
            <w:tcW w:w="663" w:type="dxa"/>
            <w:shd w:val="clear" w:color="auto" w:fill="0064A4"/>
          </w:tcPr>
          <w:p w14:paraId="12439583" w14:textId="77777777" w:rsidR="00141B97" w:rsidRDefault="00911D63">
            <w:pPr>
              <w:pStyle w:val="TableParagraph"/>
              <w:spacing w:before="35"/>
              <w:ind w:right="99"/>
              <w:jc w:val="right"/>
              <w:rPr>
                <w:sz w:val="14"/>
              </w:rPr>
            </w:pPr>
            <w:r>
              <w:rPr>
                <w:color w:val="FFFFFF"/>
                <w:spacing w:val="-2"/>
                <w:sz w:val="14"/>
              </w:rPr>
              <w:t>Budget</w:t>
            </w:r>
          </w:p>
        </w:tc>
        <w:tc>
          <w:tcPr>
            <w:tcW w:w="664" w:type="dxa"/>
            <w:tcBorders>
              <w:right w:val="nil"/>
            </w:tcBorders>
            <w:shd w:val="clear" w:color="auto" w:fill="0064A4"/>
          </w:tcPr>
          <w:p w14:paraId="45CB820E" w14:textId="77777777" w:rsidR="00141B97" w:rsidRDefault="00911D63">
            <w:pPr>
              <w:pStyle w:val="TableParagraph"/>
              <w:spacing w:before="35"/>
              <w:ind w:right="97"/>
              <w:jc w:val="right"/>
              <w:rPr>
                <w:sz w:val="14"/>
              </w:rPr>
            </w:pPr>
            <w:r>
              <w:rPr>
                <w:color w:val="FFFFFF"/>
                <w:spacing w:val="-2"/>
                <w:sz w:val="14"/>
              </w:rPr>
              <w:t>Actual</w:t>
            </w:r>
          </w:p>
        </w:tc>
        <w:tc>
          <w:tcPr>
            <w:tcW w:w="664" w:type="dxa"/>
            <w:tcBorders>
              <w:left w:val="nil"/>
            </w:tcBorders>
            <w:shd w:val="clear" w:color="auto" w:fill="0064A4"/>
          </w:tcPr>
          <w:p w14:paraId="2B492728" w14:textId="77777777" w:rsidR="00141B97" w:rsidRDefault="00911D63">
            <w:pPr>
              <w:pStyle w:val="TableParagraph"/>
              <w:spacing w:before="35"/>
              <w:ind w:right="97"/>
              <w:jc w:val="right"/>
              <w:rPr>
                <w:sz w:val="14"/>
              </w:rPr>
            </w:pPr>
            <w:r>
              <w:rPr>
                <w:color w:val="FFFFFF"/>
                <w:spacing w:val="-2"/>
                <w:sz w:val="14"/>
              </w:rPr>
              <w:t>Budget</w:t>
            </w:r>
          </w:p>
        </w:tc>
        <w:tc>
          <w:tcPr>
            <w:tcW w:w="663" w:type="dxa"/>
            <w:shd w:val="clear" w:color="auto" w:fill="0064A4"/>
          </w:tcPr>
          <w:p w14:paraId="306FFBBB" w14:textId="77777777" w:rsidR="00141B97" w:rsidRDefault="00911D63">
            <w:pPr>
              <w:pStyle w:val="TableParagraph"/>
              <w:spacing w:before="35"/>
              <w:ind w:right="98"/>
              <w:jc w:val="right"/>
              <w:rPr>
                <w:sz w:val="14"/>
              </w:rPr>
            </w:pPr>
            <w:r>
              <w:rPr>
                <w:color w:val="FFFFFF"/>
                <w:spacing w:val="-2"/>
                <w:sz w:val="14"/>
              </w:rPr>
              <w:t>Actual</w:t>
            </w:r>
          </w:p>
        </w:tc>
        <w:tc>
          <w:tcPr>
            <w:tcW w:w="664" w:type="dxa"/>
            <w:tcBorders>
              <w:right w:val="nil"/>
            </w:tcBorders>
            <w:shd w:val="clear" w:color="auto" w:fill="0064A4"/>
          </w:tcPr>
          <w:p w14:paraId="5318F260" w14:textId="77777777" w:rsidR="00141B97" w:rsidRDefault="00911D63">
            <w:pPr>
              <w:pStyle w:val="TableParagraph"/>
              <w:spacing w:before="35"/>
              <w:ind w:right="96"/>
              <w:jc w:val="right"/>
              <w:rPr>
                <w:sz w:val="14"/>
              </w:rPr>
            </w:pPr>
            <w:r>
              <w:rPr>
                <w:color w:val="FFFFFF"/>
                <w:spacing w:val="-2"/>
                <w:sz w:val="14"/>
              </w:rPr>
              <w:t>Budget</w:t>
            </w:r>
          </w:p>
        </w:tc>
        <w:tc>
          <w:tcPr>
            <w:tcW w:w="664" w:type="dxa"/>
            <w:tcBorders>
              <w:left w:val="nil"/>
            </w:tcBorders>
            <w:shd w:val="clear" w:color="auto" w:fill="0064A4"/>
          </w:tcPr>
          <w:p w14:paraId="7F17249D" w14:textId="77777777" w:rsidR="00141B97" w:rsidRDefault="00911D63">
            <w:pPr>
              <w:pStyle w:val="TableParagraph"/>
              <w:spacing w:before="35"/>
              <w:ind w:right="96"/>
              <w:jc w:val="right"/>
              <w:rPr>
                <w:sz w:val="14"/>
              </w:rPr>
            </w:pPr>
            <w:r>
              <w:rPr>
                <w:color w:val="FFFFFF"/>
                <w:spacing w:val="-2"/>
                <w:sz w:val="14"/>
              </w:rPr>
              <w:t>Actual</w:t>
            </w:r>
          </w:p>
        </w:tc>
        <w:tc>
          <w:tcPr>
            <w:tcW w:w="663" w:type="dxa"/>
            <w:shd w:val="clear" w:color="auto" w:fill="0064A4"/>
          </w:tcPr>
          <w:p w14:paraId="35E48FC6" w14:textId="77777777" w:rsidR="00141B97" w:rsidRDefault="00911D63">
            <w:pPr>
              <w:pStyle w:val="TableParagraph"/>
              <w:spacing w:before="35"/>
              <w:ind w:left="142" w:right="90"/>
              <w:jc w:val="center"/>
              <w:rPr>
                <w:sz w:val="14"/>
              </w:rPr>
            </w:pPr>
            <w:r>
              <w:rPr>
                <w:color w:val="FFFFFF"/>
                <w:spacing w:val="-2"/>
                <w:sz w:val="14"/>
              </w:rPr>
              <w:t>Budget</w:t>
            </w:r>
          </w:p>
        </w:tc>
        <w:tc>
          <w:tcPr>
            <w:tcW w:w="664" w:type="dxa"/>
            <w:tcBorders>
              <w:right w:val="nil"/>
            </w:tcBorders>
            <w:shd w:val="clear" w:color="auto" w:fill="0064A4"/>
          </w:tcPr>
          <w:p w14:paraId="1C6C78C5" w14:textId="77777777" w:rsidR="00141B97" w:rsidRDefault="00911D63">
            <w:pPr>
              <w:pStyle w:val="TableParagraph"/>
              <w:spacing w:before="35"/>
              <w:ind w:right="95"/>
              <w:jc w:val="right"/>
              <w:rPr>
                <w:sz w:val="14"/>
              </w:rPr>
            </w:pPr>
            <w:r>
              <w:rPr>
                <w:color w:val="FFFFFF"/>
                <w:spacing w:val="-2"/>
                <w:sz w:val="14"/>
              </w:rPr>
              <w:t>Actual</w:t>
            </w:r>
          </w:p>
        </w:tc>
        <w:tc>
          <w:tcPr>
            <w:tcW w:w="570" w:type="dxa"/>
            <w:tcBorders>
              <w:left w:val="nil"/>
              <w:right w:val="nil"/>
            </w:tcBorders>
            <w:shd w:val="clear" w:color="auto" w:fill="0064A4"/>
          </w:tcPr>
          <w:p w14:paraId="0861EF3E" w14:textId="77777777" w:rsidR="00141B97" w:rsidRDefault="00911D63">
            <w:pPr>
              <w:pStyle w:val="TableParagraph"/>
              <w:spacing w:before="35"/>
              <w:ind w:right="96"/>
              <w:jc w:val="right"/>
              <w:rPr>
                <w:sz w:val="14"/>
              </w:rPr>
            </w:pPr>
            <w:r>
              <w:rPr>
                <w:color w:val="FFFFFF"/>
                <w:spacing w:val="-5"/>
                <w:sz w:val="14"/>
              </w:rPr>
              <w:t>$m</w:t>
            </w:r>
          </w:p>
        </w:tc>
        <w:tc>
          <w:tcPr>
            <w:tcW w:w="752" w:type="dxa"/>
            <w:tcBorders>
              <w:left w:val="nil"/>
              <w:right w:val="nil"/>
            </w:tcBorders>
            <w:shd w:val="clear" w:color="auto" w:fill="0064A4"/>
          </w:tcPr>
          <w:p w14:paraId="3023D08D" w14:textId="77777777" w:rsidR="00141B97" w:rsidRDefault="00911D63">
            <w:pPr>
              <w:pStyle w:val="TableParagraph"/>
              <w:spacing w:before="35"/>
              <w:ind w:right="90"/>
              <w:jc w:val="right"/>
              <w:rPr>
                <w:sz w:val="14"/>
              </w:rPr>
            </w:pPr>
            <w:r>
              <w:rPr>
                <w:color w:val="FFFFFF"/>
                <w:sz w:val="14"/>
              </w:rPr>
              <w:t>%</w:t>
            </w:r>
          </w:p>
        </w:tc>
      </w:tr>
      <w:tr w:rsidR="00141B97" w14:paraId="661C88E2" w14:textId="77777777">
        <w:trPr>
          <w:trHeight w:val="297"/>
          <w:tblCellSpacing w:w="5" w:type="dxa"/>
        </w:trPr>
        <w:tc>
          <w:tcPr>
            <w:tcW w:w="1885" w:type="dxa"/>
            <w:tcBorders>
              <w:left w:val="nil"/>
              <w:bottom w:val="nil"/>
            </w:tcBorders>
            <w:shd w:val="clear" w:color="auto" w:fill="CCE2ED"/>
          </w:tcPr>
          <w:p w14:paraId="6C9A2A87" w14:textId="77777777" w:rsidR="00141B97" w:rsidRDefault="00911D63">
            <w:pPr>
              <w:pStyle w:val="TableParagraph"/>
              <w:spacing w:before="52"/>
              <w:ind w:left="98"/>
              <w:rPr>
                <w:sz w:val="16"/>
              </w:rPr>
            </w:pPr>
            <w:r>
              <w:rPr>
                <w:spacing w:val="-2"/>
                <w:sz w:val="16"/>
              </w:rPr>
              <w:t>Labour</w:t>
            </w:r>
          </w:p>
        </w:tc>
        <w:tc>
          <w:tcPr>
            <w:tcW w:w="664" w:type="dxa"/>
            <w:tcBorders>
              <w:bottom w:val="nil"/>
              <w:right w:val="nil"/>
            </w:tcBorders>
            <w:shd w:val="clear" w:color="auto" w:fill="CCE2ED"/>
          </w:tcPr>
          <w:p w14:paraId="715E6F62" w14:textId="77777777" w:rsidR="00141B97" w:rsidRDefault="00911D63">
            <w:pPr>
              <w:pStyle w:val="TableParagraph"/>
              <w:spacing w:before="52"/>
              <w:ind w:right="99"/>
              <w:jc w:val="right"/>
              <w:rPr>
                <w:sz w:val="16"/>
              </w:rPr>
            </w:pPr>
            <w:r>
              <w:rPr>
                <w:spacing w:val="-5"/>
                <w:sz w:val="16"/>
              </w:rPr>
              <w:t>8.4</w:t>
            </w:r>
          </w:p>
        </w:tc>
        <w:tc>
          <w:tcPr>
            <w:tcW w:w="664" w:type="dxa"/>
            <w:tcBorders>
              <w:left w:val="nil"/>
              <w:bottom w:val="nil"/>
            </w:tcBorders>
            <w:shd w:val="clear" w:color="auto" w:fill="CCE2ED"/>
          </w:tcPr>
          <w:p w14:paraId="4EE3E3A2" w14:textId="77777777" w:rsidR="00141B97" w:rsidRDefault="00911D63">
            <w:pPr>
              <w:pStyle w:val="TableParagraph"/>
              <w:spacing w:before="52"/>
              <w:ind w:right="99"/>
              <w:jc w:val="right"/>
              <w:rPr>
                <w:sz w:val="16"/>
              </w:rPr>
            </w:pPr>
            <w:r>
              <w:rPr>
                <w:spacing w:val="-5"/>
                <w:sz w:val="16"/>
              </w:rPr>
              <w:t>8.0</w:t>
            </w:r>
          </w:p>
        </w:tc>
        <w:tc>
          <w:tcPr>
            <w:tcW w:w="663" w:type="dxa"/>
            <w:tcBorders>
              <w:bottom w:val="nil"/>
            </w:tcBorders>
            <w:shd w:val="clear" w:color="auto" w:fill="CCE2ED"/>
          </w:tcPr>
          <w:p w14:paraId="17A0A063" w14:textId="77777777" w:rsidR="00141B97" w:rsidRDefault="00911D63">
            <w:pPr>
              <w:pStyle w:val="TableParagraph"/>
              <w:spacing w:before="52"/>
              <w:ind w:right="100"/>
              <w:jc w:val="right"/>
              <w:rPr>
                <w:sz w:val="16"/>
              </w:rPr>
            </w:pPr>
            <w:r>
              <w:rPr>
                <w:spacing w:val="-5"/>
                <w:sz w:val="16"/>
              </w:rPr>
              <w:t>8.4</w:t>
            </w:r>
          </w:p>
        </w:tc>
        <w:tc>
          <w:tcPr>
            <w:tcW w:w="664" w:type="dxa"/>
            <w:tcBorders>
              <w:bottom w:val="nil"/>
              <w:right w:val="nil"/>
            </w:tcBorders>
            <w:shd w:val="clear" w:color="auto" w:fill="CCE2ED"/>
          </w:tcPr>
          <w:p w14:paraId="0835A3F9" w14:textId="77777777" w:rsidR="00141B97" w:rsidRDefault="00911D63">
            <w:pPr>
              <w:pStyle w:val="TableParagraph"/>
              <w:spacing w:before="52"/>
              <w:ind w:right="98"/>
              <w:jc w:val="right"/>
              <w:rPr>
                <w:sz w:val="16"/>
              </w:rPr>
            </w:pPr>
            <w:r>
              <w:rPr>
                <w:spacing w:val="-5"/>
                <w:sz w:val="16"/>
              </w:rPr>
              <w:t>8.3</w:t>
            </w:r>
          </w:p>
        </w:tc>
        <w:tc>
          <w:tcPr>
            <w:tcW w:w="664" w:type="dxa"/>
            <w:tcBorders>
              <w:left w:val="nil"/>
              <w:bottom w:val="nil"/>
            </w:tcBorders>
            <w:shd w:val="clear" w:color="auto" w:fill="CCE2ED"/>
          </w:tcPr>
          <w:p w14:paraId="0CE04F2B" w14:textId="77777777" w:rsidR="00141B97" w:rsidRDefault="00911D63">
            <w:pPr>
              <w:pStyle w:val="TableParagraph"/>
              <w:spacing w:before="52"/>
              <w:ind w:right="98"/>
              <w:jc w:val="right"/>
              <w:rPr>
                <w:sz w:val="16"/>
              </w:rPr>
            </w:pPr>
            <w:r>
              <w:rPr>
                <w:spacing w:val="-5"/>
                <w:sz w:val="16"/>
              </w:rPr>
              <w:t>8.0</w:t>
            </w:r>
          </w:p>
        </w:tc>
        <w:tc>
          <w:tcPr>
            <w:tcW w:w="663" w:type="dxa"/>
            <w:tcBorders>
              <w:bottom w:val="nil"/>
            </w:tcBorders>
            <w:shd w:val="clear" w:color="auto" w:fill="CCE2ED"/>
          </w:tcPr>
          <w:p w14:paraId="1449D195" w14:textId="77777777" w:rsidR="00141B97" w:rsidRDefault="00911D63">
            <w:pPr>
              <w:pStyle w:val="TableParagraph"/>
              <w:spacing w:before="52"/>
              <w:ind w:right="99"/>
              <w:jc w:val="right"/>
              <w:rPr>
                <w:sz w:val="16"/>
              </w:rPr>
            </w:pPr>
            <w:r>
              <w:rPr>
                <w:spacing w:val="-5"/>
                <w:sz w:val="16"/>
              </w:rPr>
              <w:t>8.7</w:t>
            </w:r>
          </w:p>
        </w:tc>
        <w:tc>
          <w:tcPr>
            <w:tcW w:w="664" w:type="dxa"/>
            <w:tcBorders>
              <w:bottom w:val="nil"/>
              <w:right w:val="nil"/>
            </w:tcBorders>
            <w:shd w:val="clear" w:color="auto" w:fill="CCE2ED"/>
          </w:tcPr>
          <w:p w14:paraId="6EF9F401" w14:textId="77777777" w:rsidR="00141B97" w:rsidRDefault="00911D63">
            <w:pPr>
              <w:pStyle w:val="TableParagraph"/>
              <w:spacing w:before="52"/>
              <w:ind w:right="97"/>
              <w:jc w:val="right"/>
              <w:rPr>
                <w:sz w:val="16"/>
              </w:rPr>
            </w:pPr>
            <w:r>
              <w:rPr>
                <w:spacing w:val="-5"/>
                <w:sz w:val="16"/>
              </w:rPr>
              <w:t>7.8</w:t>
            </w:r>
          </w:p>
        </w:tc>
        <w:tc>
          <w:tcPr>
            <w:tcW w:w="664" w:type="dxa"/>
            <w:tcBorders>
              <w:left w:val="nil"/>
              <w:bottom w:val="nil"/>
            </w:tcBorders>
            <w:shd w:val="clear" w:color="auto" w:fill="CCE2ED"/>
          </w:tcPr>
          <w:p w14:paraId="0612B105" w14:textId="77777777" w:rsidR="00141B97" w:rsidRDefault="00911D63">
            <w:pPr>
              <w:pStyle w:val="TableParagraph"/>
              <w:spacing w:before="52"/>
              <w:ind w:right="97"/>
              <w:jc w:val="right"/>
              <w:rPr>
                <w:sz w:val="16"/>
              </w:rPr>
            </w:pPr>
            <w:r>
              <w:rPr>
                <w:spacing w:val="-5"/>
                <w:sz w:val="16"/>
              </w:rPr>
              <w:t>8.8</w:t>
            </w:r>
          </w:p>
        </w:tc>
        <w:tc>
          <w:tcPr>
            <w:tcW w:w="663" w:type="dxa"/>
            <w:tcBorders>
              <w:bottom w:val="nil"/>
            </w:tcBorders>
            <w:shd w:val="clear" w:color="auto" w:fill="CCE2ED"/>
          </w:tcPr>
          <w:p w14:paraId="161DBA9A" w14:textId="77777777" w:rsidR="00141B97" w:rsidRDefault="00911D63">
            <w:pPr>
              <w:pStyle w:val="TableParagraph"/>
              <w:spacing w:before="52"/>
              <w:ind w:left="260" w:right="90"/>
              <w:jc w:val="center"/>
              <w:rPr>
                <w:sz w:val="16"/>
              </w:rPr>
            </w:pPr>
            <w:r>
              <w:rPr>
                <w:spacing w:val="-4"/>
                <w:sz w:val="16"/>
              </w:rPr>
              <w:t>32.5</w:t>
            </w:r>
          </w:p>
        </w:tc>
        <w:tc>
          <w:tcPr>
            <w:tcW w:w="664" w:type="dxa"/>
            <w:tcBorders>
              <w:bottom w:val="nil"/>
              <w:right w:val="nil"/>
            </w:tcBorders>
            <w:shd w:val="clear" w:color="auto" w:fill="CCE2ED"/>
          </w:tcPr>
          <w:p w14:paraId="0D8C58C0" w14:textId="77777777" w:rsidR="00141B97" w:rsidRDefault="00911D63">
            <w:pPr>
              <w:pStyle w:val="TableParagraph"/>
              <w:spacing w:before="52"/>
              <w:ind w:right="96"/>
              <w:jc w:val="right"/>
              <w:rPr>
                <w:sz w:val="16"/>
              </w:rPr>
            </w:pPr>
            <w:r>
              <w:rPr>
                <w:spacing w:val="-4"/>
                <w:sz w:val="16"/>
              </w:rPr>
              <w:t>33.8</w:t>
            </w:r>
          </w:p>
        </w:tc>
        <w:tc>
          <w:tcPr>
            <w:tcW w:w="570" w:type="dxa"/>
            <w:tcBorders>
              <w:left w:val="nil"/>
              <w:bottom w:val="nil"/>
              <w:right w:val="nil"/>
            </w:tcBorders>
            <w:shd w:val="clear" w:color="auto" w:fill="CCE2ED"/>
          </w:tcPr>
          <w:p w14:paraId="5C357712" w14:textId="77777777" w:rsidR="00141B97" w:rsidRDefault="00911D63">
            <w:pPr>
              <w:pStyle w:val="TableParagraph"/>
              <w:spacing w:before="52"/>
              <w:ind w:right="96"/>
              <w:jc w:val="right"/>
              <w:rPr>
                <w:sz w:val="16"/>
              </w:rPr>
            </w:pPr>
            <w:r>
              <w:rPr>
                <w:spacing w:val="-5"/>
                <w:sz w:val="16"/>
              </w:rPr>
              <w:t>1.2</w:t>
            </w:r>
          </w:p>
        </w:tc>
        <w:tc>
          <w:tcPr>
            <w:tcW w:w="752" w:type="dxa"/>
            <w:tcBorders>
              <w:left w:val="nil"/>
              <w:bottom w:val="nil"/>
              <w:right w:val="nil"/>
            </w:tcBorders>
            <w:shd w:val="clear" w:color="auto" w:fill="CCE2ED"/>
          </w:tcPr>
          <w:p w14:paraId="0A25C5A9" w14:textId="77777777" w:rsidR="00141B97" w:rsidRDefault="00911D63">
            <w:pPr>
              <w:pStyle w:val="TableParagraph"/>
              <w:spacing w:before="52"/>
              <w:ind w:right="92"/>
              <w:jc w:val="right"/>
              <w:rPr>
                <w:sz w:val="16"/>
              </w:rPr>
            </w:pPr>
            <w:r>
              <w:rPr>
                <w:spacing w:val="-4"/>
                <w:sz w:val="16"/>
              </w:rPr>
              <w:t>3.8%</w:t>
            </w:r>
          </w:p>
        </w:tc>
      </w:tr>
      <w:tr w:rsidR="00141B97" w14:paraId="05393447" w14:textId="77777777">
        <w:trPr>
          <w:trHeight w:val="297"/>
          <w:tblCellSpacing w:w="5" w:type="dxa"/>
        </w:trPr>
        <w:tc>
          <w:tcPr>
            <w:tcW w:w="1885" w:type="dxa"/>
            <w:tcBorders>
              <w:top w:val="nil"/>
              <w:left w:val="nil"/>
            </w:tcBorders>
            <w:shd w:val="clear" w:color="auto" w:fill="CCE2ED"/>
          </w:tcPr>
          <w:p w14:paraId="6FBC318C" w14:textId="77777777" w:rsidR="00141B97" w:rsidRDefault="00911D63">
            <w:pPr>
              <w:pStyle w:val="TableParagraph"/>
              <w:spacing w:before="49"/>
              <w:ind w:left="98"/>
              <w:rPr>
                <w:sz w:val="16"/>
              </w:rPr>
            </w:pPr>
            <w:r>
              <w:rPr>
                <w:spacing w:val="-2"/>
                <w:sz w:val="16"/>
              </w:rPr>
              <w:t>Electricity</w:t>
            </w:r>
          </w:p>
        </w:tc>
        <w:tc>
          <w:tcPr>
            <w:tcW w:w="664" w:type="dxa"/>
            <w:tcBorders>
              <w:top w:val="nil"/>
              <w:right w:val="nil"/>
            </w:tcBorders>
            <w:shd w:val="clear" w:color="auto" w:fill="CCE2ED"/>
          </w:tcPr>
          <w:p w14:paraId="21C5B3D5" w14:textId="77777777" w:rsidR="00141B97" w:rsidRDefault="00911D63">
            <w:pPr>
              <w:pStyle w:val="TableParagraph"/>
              <w:spacing w:before="49"/>
              <w:ind w:right="99"/>
              <w:jc w:val="right"/>
              <w:rPr>
                <w:sz w:val="16"/>
              </w:rPr>
            </w:pPr>
            <w:r>
              <w:rPr>
                <w:spacing w:val="-5"/>
                <w:sz w:val="16"/>
              </w:rPr>
              <w:t>5.7</w:t>
            </w:r>
          </w:p>
        </w:tc>
        <w:tc>
          <w:tcPr>
            <w:tcW w:w="664" w:type="dxa"/>
            <w:tcBorders>
              <w:top w:val="nil"/>
              <w:left w:val="nil"/>
            </w:tcBorders>
            <w:shd w:val="clear" w:color="auto" w:fill="CCE2ED"/>
          </w:tcPr>
          <w:p w14:paraId="3890C27A" w14:textId="77777777" w:rsidR="00141B97" w:rsidRDefault="00911D63">
            <w:pPr>
              <w:pStyle w:val="TableParagraph"/>
              <w:spacing w:before="49"/>
              <w:ind w:right="99"/>
              <w:jc w:val="right"/>
              <w:rPr>
                <w:sz w:val="16"/>
              </w:rPr>
            </w:pPr>
            <w:r>
              <w:rPr>
                <w:spacing w:val="-5"/>
                <w:sz w:val="16"/>
              </w:rPr>
              <w:t>5.8</w:t>
            </w:r>
          </w:p>
        </w:tc>
        <w:tc>
          <w:tcPr>
            <w:tcW w:w="663" w:type="dxa"/>
            <w:tcBorders>
              <w:top w:val="nil"/>
            </w:tcBorders>
            <w:shd w:val="clear" w:color="auto" w:fill="CCE2ED"/>
          </w:tcPr>
          <w:p w14:paraId="2481A2D4" w14:textId="77777777" w:rsidR="00141B97" w:rsidRDefault="00911D63">
            <w:pPr>
              <w:pStyle w:val="TableParagraph"/>
              <w:spacing w:before="49"/>
              <w:ind w:right="100"/>
              <w:jc w:val="right"/>
              <w:rPr>
                <w:sz w:val="16"/>
              </w:rPr>
            </w:pPr>
            <w:r>
              <w:rPr>
                <w:spacing w:val="-5"/>
                <w:sz w:val="16"/>
              </w:rPr>
              <w:t>5.3</w:t>
            </w:r>
          </w:p>
        </w:tc>
        <w:tc>
          <w:tcPr>
            <w:tcW w:w="664" w:type="dxa"/>
            <w:tcBorders>
              <w:top w:val="nil"/>
              <w:right w:val="nil"/>
            </w:tcBorders>
            <w:shd w:val="clear" w:color="auto" w:fill="CCE2ED"/>
          </w:tcPr>
          <w:p w14:paraId="1C50770F" w14:textId="77777777" w:rsidR="00141B97" w:rsidRDefault="00911D63">
            <w:pPr>
              <w:pStyle w:val="TableParagraph"/>
              <w:spacing w:before="49"/>
              <w:ind w:right="98"/>
              <w:jc w:val="right"/>
              <w:rPr>
                <w:sz w:val="16"/>
              </w:rPr>
            </w:pPr>
            <w:r>
              <w:rPr>
                <w:spacing w:val="-5"/>
                <w:sz w:val="16"/>
              </w:rPr>
              <w:t>4.9</w:t>
            </w:r>
          </w:p>
        </w:tc>
        <w:tc>
          <w:tcPr>
            <w:tcW w:w="664" w:type="dxa"/>
            <w:tcBorders>
              <w:top w:val="nil"/>
              <w:left w:val="nil"/>
            </w:tcBorders>
            <w:shd w:val="clear" w:color="auto" w:fill="CCE2ED"/>
          </w:tcPr>
          <w:p w14:paraId="55F43E55" w14:textId="77777777" w:rsidR="00141B97" w:rsidRDefault="00911D63">
            <w:pPr>
              <w:pStyle w:val="TableParagraph"/>
              <w:spacing w:before="49"/>
              <w:ind w:right="98"/>
              <w:jc w:val="right"/>
              <w:rPr>
                <w:sz w:val="16"/>
              </w:rPr>
            </w:pPr>
            <w:r>
              <w:rPr>
                <w:spacing w:val="-5"/>
                <w:sz w:val="16"/>
              </w:rPr>
              <w:t>5.4</w:t>
            </w:r>
          </w:p>
        </w:tc>
        <w:tc>
          <w:tcPr>
            <w:tcW w:w="663" w:type="dxa"/>
            <w:tcBorders>
              <w:top w:val="nil"/>
            </w:tcBorders>
            <w:shd w:val="clear" w:color="auto" w:fill="CCE2ED"/>
          </w:tcPr>
          <w:p w14:paraId="16083273" w14:textId="77777777" w:rsidR="00141B97" w:rsidRDefault="00911D63">
            <w:pPr>
              <w:pStyle w:val="TableParagraph"/>
              <w:spacing w:before="49"/>
              <w:ind w:right="99"/>
              <w:jc w:val="right"/>
              <w:rPr>
                <w:sz w:val="16"/>
              </w:rPr>
            </w:pPr>
            <w:r>
              <w:rPr>
                <w:spacing w:val="-5"/>
                <w:sz w:val="16"/>
              </w:rPr>
              <w:t>4.9</w:t>
            </w:r>
          </w:p>
        </w:tc>
        <w:tc>
          <w:tcPr>
            <w:tcW w:w="664" w:type="dxa"/>
            <w:tcBorders>
              <w:top w:val="nil"/>
              <w:right w:val="nil"/>
            </w:tcBorders>
            <w:shd w:val="clear" w:color="auto" w:fill="CCE2ED"/>
          </w:tcPr>
          <w:p w14:paraId="53842B03" w14:textId="77777777" w:rsidR="00141B97" w:rsidRDefault="00911D63">
            <w:pPr>
              <w:pStyle w:val="TableParagraph"/>
              <w:spacing w:before="49"/>
              <w:ind w:right="97"/>
              <w:jc w:val="right"/>
              <w:rPr>
                <w:sz w:val="16"/>
              </w:rPr>
            </w:pPr>
            <w:r>
              <w:rPr>
                <w:spacing w:val="-5"/>
                <w:sz w:val="16"/>
              </w:rPr>
              <w:t>5.4</w:t>
            </w:r>
          </w:p>
        </w:tc>
        <w:tc>
          <w:tcPr>
            <w:tcW w:w="664" w:type="dxa"/>
            <w:tcBorders>
              <w:top w:val="nil"/>
              <w:left w:val="nil"/>
            </w:tcBorders>
            <w:shd w:val="clear" w:color="auto" w:fill="CCE2ED"/>
          </w:tcPr>
          <w:p w14:paraId="1072E5A3" w14:textId="77777777" w:rsidR="00141B97" w:rsidRDefault="00911D63">
            <w:pPr>
              <w:pStyle w:val="TableParagraph"/>
              <w:spacing w:before="49"/>
              <w:ind w:right="97"/>
              <w:jc w:val="right"/>
              <w:rPr>
                <w:sz w:val="16"/>
              </w:rPr>
            </w:pPr>
            <w:r>
              <w:rPr>
                <w:spacing w:val="-5"/>
                <w:sz w:val="16"/>
              </w:rPr>
              <w:t>4.1</w:t>
            </w:r>
          </w:p>
        </w:tc>
        <w:tc>
          <w:tcPr>
            <w:tcW w:w="663" w:type="dxa"/>
            <w:tcBorders>
              <w:top w:val="nil"/>
            </w:tcBorders>
            <w:shd w:val="clear" w:color="auto" w:fill="CCE2ED"/>
          </w:tcPr>
          <w:p w14:paraId="22E06600" w14:textId="77777777" w:rsidR="00141B97" w:rsidRDefault="00911D63">
            <w:pPr>
              <w:pStyle w:val="TableParagraph"/>
              <w:spacing w:before="49"/>
              <w:ind w:left="260" w:right="90"/>
              <w:jc w:val="center"/>
              <w:rPr>
                <w:sz w:val="16"/>
              </w:rPr>
            </w:pPr>
            <w:r>
              <w:rPr>
                <w:spacing w:val="-4"/>
                <w:sz w:val="16"/>
              </w:rPr>
              <w:t>21.7</w:t>
            </w:r>
          </w:p>
        </w:tc>
        <w:tc>
          <w:tcPr>
            <w:tcW w:w="664" w:type="dxa"/>
            <w:tcBorders>
              <w:top w:val="nil"/>
              <w:right w:val="nil"/>
            </w:tcBorders>
            <w:shd w:val="clear" w:color="auto" w:fill="CCE2ED"/>
          </w:tcPr>
          <w:p w14:paraId="15B5C1EE" w14:textId="77777777" w:rsidR="00141B97" w:rsidRDefault="00911D63">
            <w:pPr>
              <w:pStyle w:val="TableParagraph"/>
              <w:spacing w:before="49"/>
              <w:ind w:right="96"/>
              <w:jc w:val="right"/>
              <w:rPr>
                <w:sz w:val="16"/>
              </w:rPr>
            </w:pPr>
            <w:r>
              <w:rPr>
                <w:spacing w:val="-4"/>
                <w:sz w:val="16"/>
              </w:rPr>
              <w:t>19.6</w:t>
            </w:r>
          </w:p>
        </w:tc>
        <w:tc>
          <w:tcPr>
            <w:tcW w:w="570" w:type="dxa"/>
            <w:tcBorders>
              <w:top w:val="nil"/>
              <w:left w:val="nil"/>
              <w:right w:val="nil"/>
            </w:tcBorders>
            <w:shd w:val="clear" w:color="auto" w:fill="CCE2ED"/>
          </w:tcPr>
          <w:p w14:paraId="78DD7637" w14:textId="77777777" w:rsidR="00141B97" w:rsidRDefault="00911D63">
            <w:pPr>
              <w:pStyle w:val="TableParagraph"/>
              <w:spacing w:before="49"/>
              <w:ind w:right="96"/>
              <w:jc w:val="right"/>
              <w:rPr>
                <w:sz w:val="16"/>
              </w:rPr>
            </w:pPr>
            <w:r>
              <w:rPr>
                <w:spacing w:val="-4"/>
                <w:sz w:val="16"/>
              </w:rPr>
              <w:t>‐2.1</w:t>
            </w:r>
          </w:p>
        </w:tc>
        <w:tc>
          <w:tcPr>
            <w:tcW w:w="752" w:type="dxa"/>
            <w:tcBorders>
              <w:top w:val="nil"/>
              <w:left w:val="nil"/>
              <w:right w:val="nil"/>
            </w:tcBorders>
            <w:shd w:val="clear" w:color="auto" w:fill="CCE2ED"/>
          </w:tcPr>
          <w:p w14:paraId="630D0301" w14:textId="77777777" w:rsidR="00141B97" w:rsidRDefault="00911D63">
            <w:pPr>
              <w:pStyle w:val="TableParagraph"/>
              <w:spacing w:before="49"/>
              <w:ind w:right="92"/>
              <w:jc w:val="right"/>
              <w:rPr>
                <w:sz w:val="16"/>
              </w:rPr>
            </w:pPr>
            <w:r>
              <w:rPr>
                <w:spacing w:val="-2"/>
                <w:sz w:val="16"/>
              </w:rPr>
              <w:t>‐9.8%</w:t>
            </w:r>
          </w:p>
        </w:tc>
      </w:tr>
      <w:tr w:rsidR="00141B97" w14:paraId="6E9C38A7" w14:textId="77777777">
        <w:trPr>
          <w:trHeight w:val="299"/>
          <w:tblCellSpacing w:w="5" w:type="dxa"/>
        </w:trPr>
        <w:tc>
          <w:tcPr>
            <w:tcW w:w="1885" w:type="dxa"/>
            <w:tcBorders>
              <w:left w:val="nil"/>
            </w:tcBorders>
            <w:shd w:val="clear" w:color="auto" w:fill="CCE2ED"/>
          </w:tcPr>
          <w:p w14:paraId="7E974561" w14:textId="77777777" w:rsidR="00141B97" w:rsidRDefault="00911D63">
            <w:pPr>
              <w:pStyle w:val="TableParagraph"/>
              <w:spacing w:before="51"/>
              <w:ind w:left="98"/>
              <w:rPr>
                <w:sz w:val="16"/>
              </w:rPr>
            </w:pPr>
            <w:r>
              <w:rPr>
                <w:spacing w:val="-2"/>
                <w:sz w:val="16"/>
              </w:rPr>
              <w:t>Contractors/Consultants</w:t>
            </w:r>
          </w:p>
        </w:tc>
        <w:tc>
          <w:tcPr>
            <w:tcW w:w="664" w:type="dxa"/>
            <w:tcBorders>
              <w:right w:val="nil"/>
            </w:tcBorders>
            <w:shd w:val="clear" w:color="auto" w:fill="CCE2ED"/>
          </w:tcPr>
          <w:p w14:paraId="0C4DA648" w14:textId="77777777" w:rsidR="00141B97" w:rsidRDefault="00911D63">
            <w:pPr>
              <w:pStyle w:val="TableParagraph"/>
              <w:spacing w:before="51"/>
              <w:ind w:right="99"/>
              <w:jc w:val="right"/>
              <w:rPr>
                <w:sz w:val="16"/>
              </w:rPr>
            </w:pPr>
            <w:r>
              <w:rPr>
                <w:spacing w:val="-5"/>
                <w:sz w:val="16"/>
              </w:rPr>
              <w:t>0.3</w:t>
            </w:r>
          </w:p>
        </w:tc>
        <w:tc>
          <w:tcPr>
            <w:tcW w:w="664" w:type="dxa"/>
            <w:tcBorders>
              <w:left w:val="nil"/>
            </w:tcBorders>
            <w:shd w:val="clear" w:color="auto" w:fill="CCE2ED"/>
          </w:tcPr>
          <w:p w14:paraId="19F0DE5E" w14:textId="77777777" w:rsidR="00141B97" w:rsidRDefault="00911D63">
            <w:pPr>
              <w:pStyle w:val="TableParagraph"/>
              <w:spacing w:before="51"/>
              <w:ind w:right="99"/>
              <w:jc w:val="right"/>
              <w:rPr>
                <w:sz w:val="16"/>
              </w:rPr>
            </w:pPr>
            <w:r>
              <w:rPr>
                <w:spacing w:val="-5"/>
                <w:sz w:val="16"/>
              </w:rPr>
              <w:t>0.7</w:t>
            </w:r>
          </w:p>
        </w:tc>
        <w:tc>
          <w:tcPr>
            <w:tcW w:w="663" w:type="dxa"/>
            <w:shd w:val="clear" w:color="auto" w:fill="CCE2ED"/>
          </w:tcPr>
          <w:p w14:paraId="488F7731" w14:textId="77777777" w:rsidR="00141B97" w:rsidRDefault="00911D63">
            <w:pPr>
              <w:pStyle w:val="TableParagraph"/>
              <w:spacing w:before="51"/>
              <w:ind w:right="100"/>
              <w:jc w:val="right"/>
              <w:rPr>
                <w:sz w:val="16"/>
              </w:rPr>
            </w:pPr>
            <w:r>
              <w:rPr>
                <w:spacing w:val="-5"/>
                <w:sz w:val="16"/>
              </w:rPr>
              <w:t>0.3</w:t>
            </w:r>
          </w:p>
        </w:tc>
        <w:tc>
          <w:tcPr>
            <w:tcW w:w="664" w:type="dxa"/>
            <w:tcBorders>
              <w:right w:val="nil"/>
            </w:tcBorders>
            <w:shd w:val="clear" w:color="auto" w:fill="CCE2ED"/>
          </w:tcPr>
          <w:p w14:paraId="42DC71BC" w14:textId="77777777" w:rsidR="00141B97" w:rsidRDefault="00911D63">
            <w:pPr>
              <w:pStyle w:val="TableParagraph"/>
              <w:spacing w:before="51"/>
              <w:ind w:right="98"/>
              <w:jc w:val="right"/>
              <w:rPr>
                <w:sz w:val="16"/>
              </w:rPr>
            </w:pPr>
            <w:r>
              <w:rPr>
                <w:spacing w:val="-5"/>
                <w:sz w:val="16"/>
              </w:rPr>
              <w:t>0.9</w:t>
            </w:r>
          </w:p>
        </w:tc>
        <w:tc>
          <w:tcPr>
            <w:tcW w:w="664" w:type="dxa"/>
            <w:tcBorders>
              <w:left w:val="nil"/>
            </w:tcBorders>
            <w:shd w:val="clear" w:color="auto" w:fill="CCE2ED"/>
          </w:tcPr>
          <w:p w14:paraId="1E041875" w14:textId="77777777" w:rsidR="00141B97" w:rsidRDefault="00911D63">
            <w:pPr>
              <w:pStyle w:val="TableParagraph"/>
              <w:spacing w:before="51"/>
              <w:ind w:right="98"/>
              <w:jc w:val="right"/>
              <w:rPr>
                <w:sz w:val="16"/>
              </w:rPr>
            </w:pPr>
            <w:r>
              <w:rPr>
                <w:spacing w:val="-5"/>
                <w:sz w:val="16"/>
              </w:rPr>
              <w:t>0.3</w:t>
            </w:r>
          </w:p>
        </w:tc>
        <w:tc>
          <w:tcPr>
            <w:tcW w:w="663" w:type="dxa"/>
            <w:shd w:val="clear" w:color="auto" w:fill="CCE2ED"/>
          </w:tcPr>
          <w:p w14:paraId="1E2B0E35" w14:textId="77777777" w:rsidR="00141B97" w:rsidRDefault="00911D63">
            <w:pPr>
              <w:pStyle w:val="TableParagraph"/>
              <w:spacing w:before="51"/>
              <w:ind w:right="99"/>
              <w:jc w:val="right"/>
              <w:rPr>
                <w:sz w:val="16"/>
              </w:rPr>
            </w:pPr>
            <w:r>
              <w:rPr>
                <w:spacing w:val="-5"/>
                <w:sz w:val="16"/>
              </w:rPr>
              <w:t>0.8</w:t>
            </w:r>
          </w:p>
        </w:tc>
        <w:tc>
          <w:tcPr>
            <w:tcW w:w="664" w:type="dxa"/>
            <w:tcBorders>
              <w:right w:val="nil"/>
            </w:tcBorders>
            <w:shd w:val="clear" w:color="auto" w:fill="CCE2ED"/>
          </w:tcPr>
          <w:p w14:paraId="74CCC897" w14:textId="77777777" w:rsidR="00141B97" w:rsidRDefault="00911D63">
            <w:pPr>
              <w:pStyle w:val="TableParagraph"/>
              <w:spacing w:before="51"/>
              <w:ind w:right="97"/>
              <w:jc w:val="right"/>
              <w:rPr>
                <w:sz w:val="16"/>
              </w:rPr>
            </w:pPr>
            <w:r>
              <w:rPr>
                <w:spacing w:val="-5"/>
                <w:sz w:val="16"/>
              </w:rPr>
              <w:t>0.5</w:t>
            </w:r>
          </w:p>
        </w:tc>
        <w:tc>
          <w:tcPr>
            <w:tcW w:w="664" w:type="dxa"/>
            <w:tcBorders>
              <w:left w:val="nil"/>
            </w:tcBorders>
            <w:shd w:val="clear" w:color="auto" w:fill="CCE2ED"/>
          </w:tcPr>
          <w:p w14:paraId="6F3831AD" w14:textId="77777777" w:rsidR="00141B97" w:rsidRDefault="00911D63">
            <w:pPr>
              <w:pStyle w:val="TableParagraph"/>
              <w:spacing w:before="51"/>
              <w:ind w:right="97"/>
              <w:jc w:val="right"/>
              <w:rPr>
                <w:sz w:val="16"/>
              </w:rPr>
            </w:pPr>
            <w:r>
              <w:rPr>
                <w:spacing w:val="-5"/>
                <w:sz w:val="16"/>
              </w:rPr>
              <w:t>1.0</w:t>
            </w:r>
          </w:p>
        </w:tc>
        <w:tc>
          <w:tcPr>
            <w:tcW w:w="663" w:type="dxa"/>
            <w:shd w:val="clear" w:color="auto" w:fill="CCE2ED"/>
          </w:tcPr>
          <w:p w14:paraId="59D6BE8B" w14:textId="77777777" w:rsidR="00141B97" w:rsidRDefault="00911D63">
            <w:pPr>
              <w:pStyle w:val="TableParagraph"/>
              <w:spacing w:before="51"/>
              <w:ind w:left="263" w:right="12"/>
              <w:jc w:val="center"/>
              <w:rPr>
                <w:sz w:val="16"/>
              </w:rPr>
            </w:pPr>
            <w:r>
              <w:rPr>
                <w:spacing w:val="-5"/>
                <w:sz w:val="16"/>
              </w:rPr>
              <w:t>1.5</w:t>
            </w:r>
          </w:p>
        </w:tc>
        <w:tc>
          <w:tcPr>
            <w:tcW w:w="664" w:type="dxa"/>
            <w:tcBorders>
              <w:right w:val="nil"/>
            </w:tcBorders>
            <w:shd w:val="clear" w:color="auto" w:fill="CCE2ED"/>
          </w:tcPr>
          <w:p w14:paraId="1E58CEB6" w14:textId="77777777" w:rsidR="00141B97" w:rsidRDefault="00911D63">
            <w:pPr>
              <w:pStyle w:val="TableParagraph"/>
              <w:spacing w:before="51"/>
              <w:ind w:right="96"/>
              <w:jc w:val="right"/>
              <w:rPr>
                <w:sz w:val="16"/>
              </w:rPr>
            </w:pPr>
            <w:r>
              <w:rPr>
                <w:spacing w:val="-5"/>
                <w:sz w:val="16"/>
              </w:rPr>
              <w:t>3.3</w:t>
            </w:r>
          </w:p>
        </w:tc>
        <w:tc>
          <w:tcPr>
            <w:tcW w:w="570" w:type="dxa"/>
            <w:tcBorders>
              <w:left w:val="nil"/>
              <w:right w:val="nil"/>
            </w:tcBorders>
            <w:shd w:val="clear" w:color="auto" w:fill="CCE2ED"/>
          </w:tcPr>
          <w:p w14:paraId="4FFEEB64" w14:textId="77777777" w:rsidR="00141B97" w:rsidRDefault="00911D63">
            <w:pPr>
              <w:pStyle w:val="TableParagraph"/>
              <w:spacing w:before="51"/>
              <w:ind w:right="96"/>
              <w:jc w:val="right"/>
              <w:rPr>
                <w:sz w:val="16"/>
              </w:rPr>
            </w:pPr>
            <w:r>
              <w:rPr>
                <w:spacing w:val="-5"/>
                <w:sz w:val="16"/>
              </w:rPr>
              <w:t>1.8</w:t>
            </w:r>
          </w:p>
        </w:tc>
        <w:tc>
          <w:tcPr>
            <w:tcW w:w="752" w:type="dxa"/>
            <w:tcBorders>
              <w:left w:val="nil"/>
              <w:right w:val="nil"/>
            </w:tcBorders>
            <w:shd w:val="clear" w:color="auto" w:fill="CCE2ED"/>
          </w:tcPr>
          <w:p w14:paraId="01993BEA" w14:textId="77777777" w:rsidR="00141B97" w:rsidRDefault="00911D63">
            <w:pPr>
              <w:pStyle w:val="TableParagraph"/>
              <w:spacing w:before="51"/>
              <w:ind w:right="92"/>
              <w:jc w:val="right"/>
              <w:rPr>
                <w:sz w:val="16"/>
              </w:rPr>
            </w:pPr>
            <w:r>
              <w:rPr>
                <w:spacing w:val="-2"/>
                <w:sz w:val="16"/>
              </w:rPr>
              <w:t>125.0%</w:t>
            </w:r>
          </w:p>
        </w:tc>
      </w:tr>
      <w:tr w:rsidR="00141B97" w14:paraId="69907F7B" w14:textId="77777777">
        <w:trPr>
          <w:trHeight w:val="297"/>
          <w:tblCellSpacing w:w="5" w:type="dxa"/>
        </w:trPr>
        <w:tc>
          <w:tcPr>
            <w:tcW w:w="1885" w:type="dxa"/>
            <w:tcBorders>
              <w:left w:val="nil"/>
              <w:bottom w:val="nil"/>
            </w:tcBorders>
            <w:shd w:val="clear" w:color="auto" w:fill="CCE2ED"/>
          </w:tcPr>
          <w:p w14:paraId="7A3644CB" w14:textId="77777777" w:rsidR="00141B97" w:rsidRDefault="00911D63">
            <w:pPr>
              <w:pStyle w:val="TableParagraph"/>
              <w:spacing w:before="52"/>
              <w:ind w:left="98"/>
              <w:rPr>
                <w:sz w:val="16"/>
              </w:rPr>
            </w:pPr>
            <w:r>
              <w:rPr>
                <w:spacing w:val="-2"/>
                <w:sz w:val="16"/>
              </w:rPr>
              <w:t>Irrigation</w:t>
            </w:r>
            <w:r>
              <w:rPr>
                <w:spacing w:val="10"/>
                <w:sz w:val="16"/>
              </w:rPr>
              <w:t xml:space="preserve"> </w:t>
            </w:r>
            <w:r>
              <w:rPr>
                <w:spacing w:val="-2"/>
                <w:sz w:val="16"/>
              </w:rPr>
              <w:t>Reticulation</w:t>
            </w:r>
            <w:r>
              <w:rPr>
                <w:spacing w:val="11"/>
                <w:sz w:val="16"/>
              </w:rPr>
              <w:t xml:space="preserve"> </w:t>
            </w:r>
            <w:r>
              <w:rPr>
                <w:spacing w:val="-5"/>
                <w:sz w:val="16"/>
              </w:rPr>
              <w:t>Exp</w:t>
            </w:r>
          </w:p>
        </w:tc>
        <w:tc>
          <w:tcPr>
            <w:tcW w:w="664" w:type="dxa"/>
            <w:tcBorders>
              <w:bottom w:val="nil"/>
              <w:right w:val="nil"/>
            </w:tcBorders>
            <w:shd w:val="clear" w:color="auto" w:fill="CCE2ED"/>
          </w:tcPr>
          <w:p w14:paraId="0EFA1B4E" w14:textId="77777777" w:rsidR="00141B97" w:rsidRDefault="00911D63">
            <w:pPr>
              <w:pStyle w:val="TableParagraph"/>
              <w:spacing w:before="52"/>
              <w:ind w:right="99"/>
              <w:jc w:val="right"/>
              <w:rPr>
                <w:sz w:val="16"/>
              </w:rPr>
            </w:pPr>
            <w:r>
              <w:rPr>
                <w:spacing w:val="-5"/>
                <w:sz w:val="16"/>
              </w:rPr>
              <w:t>1.8</w:t>
            </w:r>
          </w:p>
        </w:tc>
        <w:tc>
          <w:tcPr>
            <w:tcW w:w="664" w:type="dxa"/>
            <w:tcBorders>
              <w:left w:val="nil"/>
              <w:bottom w:val="nil"/>
            </w:tcBorders>
            <w:shd w:val="clear" w:color="auto" w:fill="CCE2ED"/>
          </w:tcPr>
          <w:p w14:paraId="2BF6470B" w14:textId="77777777" w:rsidR="00141B97" w:rsidRDefault="00911D63">
            <w:pPr>
              <w:pStyle w:val="TableParagraph"/>
              <w:spacing w:before="52"/>
              <w:ind w:right="99"/>
              <w:jc w:val="right"/>
              <w:rPr>
                <w:sz w:val="16"/>
              </w:rPr>
            </w:pPr>
            <w:r>
              <w:rPr>
                <w:spacing w:val="-5"/>
                <w:sz w:val="16"/>
              </w:rPr>
              <w:t>2.0</w:t>
            </w:r>
          </w:p>
        </w:tc>
        <w:tc>
          <w:tcPr>
            <w:tcW w:w="663" w:type="dxa"/>
            <w:tcBorders>
              <w:bottom w:val="nil"/>
            </w:tcBorders>
            <w:shd w:val="clear" w:color="auto" w:fill="CCE2ED"/>
          </w:tcPr>
          <w:p w14:paraId="22104452" w14:textId="77777777" w:rsidR="00141B97" w:rsidRDefault="00911D63">
            <w:pPr>
              <w:pStyle w:val="TableParagraph"/>
              <w:spacing w:before="52"/>
              <w:ind w:right="100"/>
              <w:jc w:val="right"/>
              <w:rPr>
                <w:sz w:val="16"/>
              </w:rPr>
            </w:pPr>
            <w:r>
              <w:rPr>
                <w:spacing w:val="-5"/>
                <w:sz w:val="16"/>
              </w:rPr>
              <w:t>1.5</w:t>
            </w:r>
          </w:p>
        </w:tc>
        <w:tc>
          <w:tcPr>
            <w:tcW w:w="664" w:type="dxa"/>
            <w:tcBorders>
              <w:bottom w:val="nil"/>
              <w:right w:val="nil"/>
            </w:tcBorders>
            <w:shd w:val="clear" w:color="auto" w:fill="CCE2ED"/>
          </w:tcPr>
          <w:p w14:paraId="6519B0AA" w14:textId="77777777" w:rsidR="00141B97" w:rsidRDefault="00911D63">
            <w:pPr>
              <w:pStyle w:val="TableParagraph"/>
              <w:spacing w:before="52"/>
              <w:ind w:right="98"/>
              <w:jc w:val="right"/>
              <w:rPr>
                <w:sz w:val="16"/>
              </w:rPr>
            </w:pPr>
            <w:r>
              <w:rPr>
                <w:spacing w:val="-5"/>
                <w:sz w:val="16"/>
              </w:rPr>
              <w:t>1.7</w:t>
            </w:r>
          </w:p>
        </w:tc>
        <w:tc>
          <w:tcPr>
            <w:tcW w:w="664" w:type="dxa"/>
            <w:tcBorders>
              <w:left w:val="nil"/>
              <w:bottom w:val="nil"/>
            </w:tcBorders>
            <w:shd w:val="clear" w:color="auto" w:fill="CCE2ED"/>
          </w:tcPr>
          <w:p w14:paraId="259B5069" w14:textId="77777777" w:rsidR="00141B97" w:rsidRDefault="00911D63">
            <w:pPr>
              <w:pStyle w:val="TableParagraph"/>
              <w:spacing w:before="52"/>
              <w:ind w:right="98"/>
              <w:jc w:val="right"/>
              <w:rPr>
                <w:sz w:val="16"/>
              </w:rPr>
            </w:pPr>
            <w:r>
              <w:rPr>
                <w:spacing w:val="-5"/>
                <w:sz w:val="16"/>
              </w:rPr>
              <w:t>1.5</w:t>
            </w:r>
          </w:p>
        </w:tc>
        <w:tc>
          <w:tcPr>
            <w:tcW w:w="663" w:type="dxa"/>
            <w:tcBorders>
              <w:bottom w:val="nil"/>
            </w:tcBorders>
            <w:shd w:val="clear" w:color="auto" w:fill="CCE2ED"/>
          </w:tcPr>
          <w:p w14:paraId="5268A023" w14:textId="77777777" w:rsidR="00141B97" w:rsidRDefault="00911D63">
            <w:pPr>
              <w:pStyle w:val="TableParagraph"/>
              <w:spacing w:before="52"/>
              <w:ind w:right="99"/>
              <w:jc w:val="right"/>
              <w:rPr>
                <w:sz w:val="16"/>
              </w:rPr>
            </w:pPr>
            <w:r>
              <w:rPr>
                <w:spacing w:val="-5"/>
                <w:sz w:val="16"/>
              </w:rPr>
              <w:t>1.7</w:t>
            </w:r>
          </w:p>
        </w:tc>
        <w:tc>
          <w:tcPr>
            <w:tcW w:w="664" w:type="dxa"/>
            <w:tcBorders>
              <w:bottom w:val="nil"/>
              <w:right w:val="nil"/>
            </w:tcBorders>
            <w:shd w:val="clear" w:color="auto" w:fill="CCE2ED"/>
          </w:tcPr>
          <w:p w14:paraId="12D4504F" w14:textId="77777777" w:rsidR="00141B97" w:rsidRDefault="00911D63">
            <w:pPr>
              <w:pStyle w:val="TableParagraph"/>
              <w:spacing w:before="52"/>
              <w:ind w:right="97"/>
              <w:jc w:val="right"/>
              <w:rPr>
                <w:sz w:val="16"/>
              </w:rPr>
            </w:pPr>
            <w:r>
              <w:rPr>
                <w:spacing w:val="-5"/>
                <w:sz w:val="16"/>
              </w:rPr>
              <w:t>1.5</w:t>
            </w:r>
          </w:p>
        </w:tc>
        <w:tc>
          <w:tcPr>
            <w:tcW w:w="664" w:type="dxa"/>
            <w:tcBorders>
              <w:left w:val="nil"/>
              <w:bottom w:val="nil"/>
            </w:tcBorders>
            <w:shd w:val="clear" w:color="auto" w:fill="CCE2ED"/>
          </w:tcPr>
          <w:p w14:paraId="7619A842" w14:textId="77777777" w:rsidR="00141B97" w:rsidRDefault="00911D63">
            <w:pPr>
              <w:pStyle w:val="TableParagraph"/>
              <w:spacing w:before="52"/>
              <w:ind w:right="97"/>
              <w:jc w:val="right"/>
              <w:rPr>
                <w:sz w:val="16"/>
              </w:rPr>
            </w:pPr>
            <w:r>
              <w:rPr>
                <w:spacing w:val="-5"/>
                <w:sz w:val="16"/>
              </w:rPr>
              <w:t>1.7</w:t>
            </w:r>
          </w:p>
        </w:tc>
        <w:tc>
          <w:tcPr>
            <w:tcW w:w="663" w:type="dxa"/>
            <w:tcBorders>
              <w:bottom w:val="nil"/>
            </w:tcBorders>
            <w:shd w:val="clear" w:color="auto" w:fill="CCE2ED"/>
          </w:tcPr>
          <w:p w14:paraId="5158E9B5" w14:textId="77777777" w:rsidR="00141B97" w:rsidRDefault="00911D63">
            <w:pPr>
              <w:pStyle w:val="TableParagraph"/>
              <w:spacing w:before="52"/>
              <w:ind w:left="263" w:right="12"/>
              <w:jc w:val="center"/>
              <w:rPr>
                <w:sz w:val="16"/>
              </w:rPr>
            </w:pPr>
            <w:r>
              <w:rPr>
                <w:spacing w:val="-5"/>
                <w:sz w:val="16"/>
              </w:rPr>
              <w:t>6.3</w:t>
            </w:r>
          </w:p>
        </w:tc>
        <w:tc>
          <w:tcPr>
            <w:tcW w:w="664" w:type="dxa"/>
            <w:tcBorders>
              <w:bottom w:val="nil"/>
              <w:right w:val="nil"/>
            </w:tcBorders>
            <w:shd w:val="clear" w:color="auto" w:fill="CCE2ED"/>
          </w:tcPr>
          <w:p w14:paraId="5B0A96CD" w14:textId="77777777" w:rsidR="00141B97" w:rsidRDefault="00911D63">
            <w:pPr>
              <w:pStyle w:val="TableParagraph"/>
              <w:spacing w:before="52"/>
              <w:ind w:right="96"/>
              <w:jc w:val="right"/>
              <w:rPr>
                <w:sz w:val="16"/>
              </w:rPr>
            </w:pPr>
            <w:r>
              <w:rPr>
                <w:spacing w:val="-5"/>
                <w:sz w:val="16"/>
              </w:rPr>
              <w:t>7.1</w:t>
            </w:r>
          </w:p>
        </w:tc>
        <w:tc>
          <w:tcPr>
            <w:tcW w:w="570" w:type="dxa"/>
            <w:tcBorders>
              <w:left w:val="nil"/>
              <w:bottom w:val="nil"/>
              <w:right w:val="nil"/>
            </w:tcBorders>
            <w:shd w:val="clear" w:color="auto" w:fill="CCE2ED"/>
          </w:tcPr>
          <w:p w14:paraId="40480C57" w14:textId="77777777" w:rsidR="00141B97" w:rsidRDefault="00911D63">
            <w:pPr>
              <w:pStyle w:val="TableParagraph"/>
              <w:spacing w:before="52"/>
              <w:ind w:right="96"/>
              <w:jc w:val="right"/>
              <w:rPr>
                <w:sz w:val="16"/>
              </w:rPr>
            </w:pPr>
            <w:r>
              <w:rPr>
                <w:spacing w:val="-5"/>
                <w:sz w:val="16"/>
              </w:rPr>
              <w:t>0.8</w:t>
            </w:r>
          </w:p>
        </w:tc>
        <w:tc>
          <w:tcPr>
            <w:tcW w:w="752" w:type="dxa"/>
            <w:tcBorders>
              <w:left w:val="nil"/>
              <w:bottom w:val="nil"/>
              <w:right w:val="nil"/>
            </w:tcBorders>
            <w:shd w:val="clear" w:color="auto" w:fill="CCE2ED"/>
          </w:tcPr>
          <w:p w14:paraId="270E4597" w14:textId="77777777" w:rsidR="00141B97" w:rsidRDefault="00911D63">
            <w:pPr>
              <w:pStyle w:val="TableParagraph"/>
              <w:spacing w:before="52"/>
              <w:ind w:right="91"/>
              <w:jc w:val="right"/>
              <w:rPr>
                <w:sz w:val="16"/>
              </w:rPr>
            </w:pPr>
            <w:r>
              <w:rPr>
                <w:spacing w:val="-2"/>
                <w:sz w:val="16"/>
              </w:rPr>
              <w:t>12.6%</w:t>
            </w:r>
          </w:p>
        </w:tc>
      </w:tr>
      <w:tr w:rsidR="00141B97" w14:paraId="5D307B28" w14:textId="77777777">
        <w:trPr>
          <w:trHeight w:val="387"/>
          <w:tblCellSpacing w:w="5" w:type="dxa"/>
        </w:trPr>
        <w:tc>
          <w:tcPr>
            <w:tcW w:w="1885" w:type="dxa"/>
            <w:tcBorders>
              <w:top w:val="nil"/>
              <w:left w:val="nil"/>
              <w:bottom w:val="nil"/>
            </w:tcBorders>
            <w:shd w:val="clear" w:color="auto" w:fill="CCE2ED"/>
          </w:tcPr>
          <w:p w14:paraId="6777726A" w14:textId="77777777" w:rsidR="00141B97" w:rsidRDefault="00911D63">
            <w:pPr>
              <w:pStyle w:val="TableParagraph"/>
              <w:spacing w:line="192" w:lineRule="exact"/>
              <w:ind w:left="98"/>
              <w:rPr>
                <w:sz w:val="16"/>
              </w:rPr>
            </w:pPr>
            <w:r>
              <w:rPr>
                <w:sz w:val="16"/>
              </w:rPr>
              <w:t>Millewa</w:t>
            </w:r>
            <w:r>
              <w:rPr>
                <w:spacing w:val="-6"/>
                <w:sz w:val="16"/>
              </w:rPr>
              <w:t xml:space="preserve"> </w:t>
            </w:r>
            <w:r>
              <w:rPr>
                <w:sz w:val="16"/>
              </w:rPr>
              <w:t>PS</w:t>
            </w:r>
            <w:r>
              <w:rPr>
                <w:spacing w:val="-6"/>
                <w:sz w:val="16"/>
              </w:rPr>
              <w:t xml:space="preserve"> </w:t>
            </w:r>
            <w:r>
              <w:rPr>
                <w:sz w:val="16"/>
              </w:rPr>
              <w:t>Temp</w:t>
            </w:r>
            <w:r>
              <w:rPr>
                <w:spacing w:val="-7"/>
                <w:sz w:val="16"/>
              </w:rPr>
              <w:t xml:space="preserve"> </w:t>
            </w:r>
            <w:r>
              <w:rPr>
                <w:spacing w:val="-4"/>
                <w:sz w:val="16"/>
              </w:rPr>
              <w:t>Pump</w:t>
            </w:r>
          </w:p>
          <w:p w14:paraId="6C6D3973" w14:textId="77777777" w:rsidR="00141B97" w:rsidRDefault="00911D63">
            <w:pPr>
              <w:pStyle w:val="TableParagraph"/>
              <w:spacing w:line="176" w:lineRule="exact"/>
              <w:ind w:left="98"/>
              <w:rPr>
                <w:sz w:val="16"/>
              </w:rPr>
            </w:pPr>
            <w:r>
              <w:rPr>
                <w:spacing w:val="-4"/>
                <w:sz w:val="16"/>
              </w:rPr>
              <w:t>Hire</w:t>
            </w:r>
          </w:p>
        </w:tc>
        <w:tc>
          <w:tcPr>
            <w:tcW w:w="664" w:type="dxa"/>
            <w:tcBorders>
              <w:top w:val="nil"/>
              <w:bottom w:val="nil"/>
              <w:right w:val="nil"/>
            </w:tcBorders>
            <w:shd w:val="clear" w:color="auto" w:fill="CCE2ED"/>
          </w:tcPr>
          <w:p w14:paraId="3541F507" w14:textId="77777777" w:rsidR="00141B97" w:rsidRDefault="00911D63">
            <w:pPr>
              <w:pStyle w:val="TableParagraph"/>
              <w:spacing w:before="95"/>
              <w:ind w:right="99"/>
              <w:jc w:val="right"/>
              <w:rPr>
                <w:sz w:val="16"/>
              </w:rPr>
            </w:pPr>
            <w:r>
              <w:rPr>
                <w:spacing w:val="-5"/>
                <w:sz w:val="16"/>
              </w:rPr>
              <w:t>0.0</w:t>
            </w:r>
          </w:p>
        </w:tc>
        <w:tc>
          <w:tcPr>
            <w:tcW w:w="664" w:type="dxa"/>
            <w:tcBorders>
              <w:top w:val="nil"/>
              <w:left w:val="nil"/>
              <w:bottom w:val="nil"/>
            </w:tcBorders>
            <w:shd w:val="clear" w:color="auto" w:fill="CCE2ED"/>
          </w:tcPr>
          <w:p w14:paraId="3E61D7F2" w14:textId="77777777" w:rsidR="00141B97" w:rsidRDefault="00911D63">
            <w:pPr>
              <w:pStyle w:val="TableParagraph"/>
              <w:spacing w:before="95"/>
              <w:ind w:right="99"/>
              <w:jc w:val="right"/>
              <w:rPr>
                <w:sz w:val="16"/>
              </w:rPr>
            </w:pPr>
            <w:r>
              <w:rPr>
                <w:spacing w:val="-5"/>
                <w:sz w:val="16"/>
              </w:rPr>
              <w:t>0.0</w:t>
            </w:r>
          </w:p>
        </w:tc>
        <w:tc>
          <w:tcPr>
            <w:tcW w:w="663" w:type="dxa"/>
            <w:tcBorders>
              <w:top w:val="nil"/>
              <w:bottom w:val="nil"/>
            </w:tcBorders>
            <w:shd w:val="clear" w:color="auto" w:fill="CCE2ED"/>
          </w:tcPr>
          <w:p w14:paraId="4AA646EA" w14:textId="77777777" w:rsidR="00141B97" w:rsidRDefault="00911D63">
            <w:pPr>
              <w:pStyle w:val="TableParagraph"/>
              <w:spacing w:before="95"/>
              <w:ind w:right="100"/>
              <w:jc w:val="right"/>
              <w:rPr>
                <w:sz w:val="16"/>
              </w:rPr>
            </w:pPr>
            <w:r>
              <w:rPr>
                <w:spacing w:val="-5"/>
                <w:sz w:val="16"/>
              </w:rPr>
              <w:t>0.0</w:t>
            </w:r>
          </w:p>
        </w:tc>
        <w:tc>
          <w:tcPr>
            <w:tcW w:w="664" w:type="dxa"/>
            <w:tcBorders>
              <w:top w:val="nil"/>
              <w:bottom w:val="nil"/>
              <w:right w:val="nil"/>
            </w:tcBorders>
            <w:shd w:val="clear" w:color="auto" w:fill="CCE2ED"/>
          </w:tcPr>
          <w:p w14:paraId="67FB5D57" w14:textId="77777777" w:rsidR="00141B97" w:rsidRDefault="00911D63">
            <w:pPr>
              <w:pStyle w:val="TableParagraph"/>
              <w:spacing w:before="95"/>
              <w:ind w:right="98"/>
              <w:jc w:val="right"/>
              <w:rPr>
                <w:sz w:val="16"/>
              </w:rPr>
            </w:pPr>
            <w:r>
              <w:rPr>
                <w:spacing w:val="-5"/>
                <w:sz w:val="16"/>
              </w:rPr>
              <w:t>0.0</w:t>
            </w:r>
          </w:p>
        </w:tc>
        <w:tc>
          <w:tcPr>
            <w:tcW w:w="664" w:type="dxa"/>
            <w:tcBorders>
              <w:top w:val="nil"/>
              <w:left w:val="nil"/>
              <w:bottom w:val="nil"/>
            </w:tcBorders>
            <w:shd w:val="clear" w:color="auto" w:fill="CCE2ED"/>
          </w:tcPr>
          <w:p w14:paraId="3138C6BF" w14:textId="77777777" w:rsidR="00141B97" w:rsidRDefault="00911D63">
            <w:pPr>
              <w:pStyle w:val="TableParagraph"/>
              <w:spacing w:before="95"/>
              <w:ind w:right="98"/>
              <w:jc w:val="right"/>
              <w:rPr>
                <w:sz w:val="16"/>
              </w:rPr>
            </w:pPr>
            <w:r>
              <w:rPr>
                <w:spacing w:val="-5"/>
                <w:sz w:val="16"/>
              </w:rPr>
              <w:t>0.0</w:t>
            </w:r>
          </w:p>
        </w:tc>
        <w:tc>
          <w:tcPr>
            <w:tcW w:w="663" w:type="dxa"/>
            <w:tcBorders>
              <w:top w:val="nil"/>
              <w:bottom w:val="nil"/>
            </w:tcBorders>
            <w:shd w:val="clear" w:color="auto" w:fill="CCE2ED"/>
          </w:tcPr>
          <w:p w14:paraId="6A2D55B1" w14:textId="77777777" w:rsidR="00141B97" w:rsidRDefault="00911D63">
            <w:pPr>
              <w:pStyle w:val="TableParagraph"/>
              <w:spacing w:before="95"/>
              <w:ind w:right="99"/>
              <w:jc w:val="right"/>
              <w:rPr>
                <w:sz w:val="16"/>
              </w:rPr>
            </w:pPr>
            <w:r>
              <w:rPr>
                <w:spacing w:val="-5"/>
                <w:sz w:val="16"/>
              </w:rPr>
              <w:t>0.3</w:t>
            </w:r>
          </w:p>
        </w:tc>
        <w:tc>
          <w:tcPr>
            <w:tcW w:w="664" w:type="dxa"/>
            <w:tcBorders>
              <w:top w:val="nil"/>
              <w:bottom w:val="nil"/>
              <w:right w:val="nil"/>
            </w:tcBorders>
            <w:shd w:val="clear" w:color="auto" w:fill="CCE2ED"/>
          </w:tcPr>
          <w:p w14:paraId="683D4C01" w14:textId="77777777" w:rsidR="00141B97" w:rsidRDefault="00911D63">
            <w:pPr>
              <w:pStyle w:val="TableParagraph"/>
              <w:spacing w:before="95"/>
              <w:ind w:right="97"/>
              <w:jc w:val="right"/>
              <w:rPr>
                <w:sz w:val="16"/>
              </w:rPr>
            </w:pPr>
            <w:r>
              <w:rPr>
                <w:spacing w:val="-5"/>
                <w:sz w:val="16"/>
              </w:rPr>
              <w:t>0.0</w:t>
            </w:r>
          </w:p>
        </w:tc>
        <w:tc>
          <w:tcPr>
            <w:tcW w:w="664" w:type="dxa"/>
            <w:tcBorders>
              <w:top w:val="nil"/>
              <w:left w:val="nil"/>
              <w:bottom w:val="nil"/>
            </w:tcBorders>
            <w:shd w:val="clear" w:color="auto" w:fill="CCE2ED"/>
          </w:tcPr>
          <w:p w14:paraId="1299A100" w14:textId="77777777" w:rsidR="00141B97" w:rsidRDefault="00911D63">
            <w:pPr>
              <w:pStyle w:val="TableParagraph"/>
              <w:spacing w:before="95"/>
              <w:ind w:right="97"/>
              <w:jc w:val="right"/>
              <w:rPr>
                <w:sz w:val="16"/>
              </w:rPr>
            </w:pPr>
            <w:r>
              <w:rPr>
                <w:spacing w:val="-5"/>
                <w:sz w:val="16"/>
              </w:rPr>
              <w:t>0.3</w:t>
            </w:r>
          </w:p>
        </w:tc>
        <w:tc>
          <w:tcPr>
            <w:tcW w:w="663" w:type="dxa"/>
            <w:tcBorders>
              <w:top w:val="nil"/>
              <w:bottom w:val="nil"/>
            </w:tcBorders>
            <w:shd w:val="clear" w:color="auto" w:fill="CCE2ED"/>
          </w:tcPr>
          <w:p w14:paraId="2AC2404A" w14:textId="77777777" w:rsidR="00141B97" w:rsidRDefault="00911D63">
            <w:pPr>
              <w:pStyle w:val="TableParagraph"/>
              <w:spacing w:before="95"/>
              <w:ind w:left="263" w:right="12"/>
              <w:jc w:val="center"/>
              <w:rPr>
                <w:sz w:val="16"/>
              </w:rPr>
            </w:pPr>
            <w:r>
              <w:rPr>
                <w:spacing w:val="-5"/>
                <w:sz w:val="16"/>
              </w:rPr>
              <w:t>0.0</w:t>
            </w:r>
          </w:p>
        </w:tc>
        <w:tc>
          <w:tcPr>
            <w:tcW w:w="664" w:type="dxa"/>
            <w:tcBorders>
              <w:top w:val="nil"/>
              <w:bottom w:val="nil"/>
              <w:right w:val="nil"/>
            </w:tcBorders>
            <w:shd w:val="clear" w:color="auto" w:fill="CCE2ED"/>
          </w:tcPr>
          <w:p w14:paraId="79290EB4" w14:textId="77777777" w:rsidR="00141B97" w:rsidRDefault="00911D63">
            <w:pPr>
              <w:pStyle w:val="TableParagraph"/>
              <w:spacing w:before="95"/>
              <w:ind w:right="96"/>
              <w:jc w:val="right"/>
              <w:rPr>
                <w:sz w:val="16"/>
              </w:rPr>
            </w:pPr>
            <w:r>
              <w:rPr>
                <w:spacing w:val="-5"/>
                <w:sz w:val="16"/>
              </w:rPr>
              <w:t>0.7</w:t>
            </w:r>
          </w:p>
        </w:tc>
        <w:tc>
          <w:tcPr>
            <w:tcW w:w="570" w:type="dxa"/>
            <w:tcBorders>
              <w:top w:val="nil"/>
              <w:left w:val="nil"/>
              <w:bottom w:val="nil"/>
              <w:right w:val="nil"/>
            </w:tcBorders>
            <w:shd w:val="clear" w:color="auto" w:fill="CCE2ED"/>
          </w:tcPr>
          <w:p w14:paraId="3725F598" w14:textId="77777777" w:rsidR="00141B97" w:rsidRDefault="00911D63">
            <w:pPr>
              <w:pStyle w:val="TableParagraph"/>
              <w:spacing w:before="95"/>
              <w:ind w:right="96"/>
              <w:jc w:val="right"/>
              <w:rPr>
                <w:sz w:val="16"/>
              </w:rPr>
            </w:pPr>
            <w:r>
              <w:rPr>
                <w:spacing w:val="-5"/>
                <w:sz w:val="16"/>
              </w:rPr>
              <w:t>0.7</w:t>
            </w:r>
          </w:p>
        </w:tc>
        <w:tc>
          <w:tcPr>
            <w:tcW w:w="752" w:type="dxa"/>
            <w:tcBorders>
              <w:top w:val="nil"/>
              <w:left w:val="nil"/>
              <w:bottom w:val="nil"/>
              <w:right w:val="nil"/>
            </w:tcBorders>
            <w:shd w:val="clear" w:color="auto" w:fill="CCE2ED"/>
          </w:tcPr>
          <w:p w14:paraId="464B98C4" w14:textId="77777777" w:rsidR="00141B97" w:rsidRDefault="00911D63">
            <w:pPr>
              <w:pStyle w:val="TableParagraph"/>
              <w:spacing w:before="95"/>
              <w:ind w:right="92"/>
              <w:jc w:val="right"/>
              <w:rPr>
                <w:sz w:val="16"/>
              </w:rPr>
            </w:pPr>
            <w:r>
              <w:rPr>
                <w:spacing w:val="-2"/>
                <w:sz w:val="16"/>
              </w:rPr>
              <w:t>100.0%</w:t>
            </w:r>
          </w:p>
        </w:tc>
      </w:tr>
    </w:tbl>
    <w:p w14:paraId="27F19336" w14:textId="77777777" w:rsidR="00141B97" w:rsidRDefault="00911D63">
      <w:pPr>
        <w:spacing w:before="14"/>
        <w:ind w:left="114"/>
        <w:rPr>
          <w:sz w:val="16"/>
        </w:rPr>
      </w:pPr>
      <w:r>
        <w:rPr>
          <w:sz w:val="16"/>
        </w:rPr>
        <w:t>Table</w:t>
      </w:r>
      <w:r>
        <w:rPr>
          <w:spacing w:val="-4"/>
          <w:sz w:val="16"/>
        </w:rPr>
        <w:t xml:space="preserve"> </w:t>
      </w:r>
      <w:r>
        <w:rPr>
          <w:sz w:val="16"/>
        </w:rPr>
        <w:t>C6:</w:t>
      </w:r>
      <w:r>
        <w:rPr>
          <w:spacing w:val="-3"/>
          <w:sz w:val="16"/>
        </w:rPr>
        <w:t xml:space="preserve"> </w:t>
      </w:r>
      <w:r>
        <w:rPr>
          <w:sz w:val="16"/>
        </w:rPr>
        <w:t>Rural</w:t>
      </w:r>
      <w:r>
        <w:rPr>
          <w:spacing w:val="-5"/>
          <w:sz w:val="16"/>
        </w:rPr>
        <w:t xml:space="preserve"> </w:t>
      </w:r>
      <w:r>
        <w:rPr>
          <w:sz w:val="16"/>
        </w:rPr>
        <w:t>Opex</w:t>
      </w:r>
      <w:r>
        <w:rPr>
          <w:spacing w:val="-4"/>
          <w:sz w:val="16"/>
        </w:rPr>
        <w:t xml:space="preserve"> </w:t>
      </w:r>
      <w:r>
        <w:rPr>
          <w:sz w:val="16"/>
        </w:rPr>
        <w:t>Expenditure</w:t>
      </w:r>
      <w:r>
        <w:rPr>
          <w:spacing w:val="-5"/>
          <w:sz w:val="16"/>
        </w:rPr>
        <w:t xml:space="preserve"> </w:t>
      </w:r>
      <w:r>
        <w:rPr>
          <w:sz w:val="16"/>
        </w:rPr>
        <w:t>Variances</w:t>
      </w:r>
      <w:r>
        <w:rPr>
          <w:spacing w:val="-5"/>
          <w:sz w:val="16"/>
        </w:rPr>
        <w:t xml:space="preserve"> </w:t>
      </w:r>
      <w:r>
        <w:rPr>
          <w:sz w:val="16"/>
        </w:rPr>
        <w:t>by</w:t>
      </w:r>
      <w:r>
        <w:rPr>
          <w:spacing w:val="-4"/>
          <w:sz w:val="16"/>
        </w:rPr>
        <w:t xml:space="preserve"> </w:t>
      </w:r>
      <w:r>
        <w:rPr>
          <w:sz w:val="16"/>
        </w:rPr>
        <w:t>Expense</w:t>
      </w:r>
      <w:r>
        <w:rPr>
          <w:spacing w:val="-5"/>
          <w:sz w:val="16"/>
        </w:rPr>
        <w:t xml:space="preserve"> </w:t>
      </w:r>
      <w:r>
        <w:rPr>
          <w:sz w:val="16"/>
        </w:rPr>
        <w:t>Category</w:t>
      </w:r>
      <w:r>
        <w:rPr>
          <w:spacing w:val="-6"/>
          <w:sz w:val="16"/>
        </w:rPr>
        <w:t xml:space="preserve"> </w:t>
      </w:r>
      <w:r>
        <w:rPr>
          <w:sz w:val="16"/>
        </w:rPr>
        <w:t>($m</w:t>
      </w:r>
      <w:r>
        <w:rPr>
          <w:spacing w:val="-4"/>
          <w:sz w:val="16"/>
        </w:rPr>
        <w:t xml:space="preserve"> </w:t>
      </w:r>
      <w:r>
        <w:rPr>
          <w:spacing w:val="-2"/>
          <w:sz w:val="16"/>
        </w:rPr>
        <w:t>1/1/23)</w:t>
      </w:r>
    </w:p>
    <w:p w14:paraId="79A944BF" w14:textId="77777777" w:rsidR="00141B97" w:rsidRDefault="00141B97">
      <w:pPr>
        <w:pStyle w:val="BodyText"/>
        <w:spacing w:before="1"/>
      </w:pPr>
    </w:p>
    <w:p w14:paraId="6DBF5430" w14:textId="77777777" w:rsidR="00141B97" w:rsidRDefault="00911D63">
      <w:pPr>
        <w:pStyle w:val="BodyText"/>
        <w:ind w:left="113" w:right="949"/>
        <w:jc w:val="both"/>
      </w:pPr>
      <w:r>
        <w:t>Labour costs were higher than anticipated due to the corporate restructure undertaken in 2019‐20 which resulted in the addition of new roles, whereas PS4 had anticipated a reduction in FTEs due to natural attrition achieved through business transformation efficiency gains, which did not eventuate.</w:t>
      </w:r>
    </w:p>
    <w:p w14:paraId="600D9891" w14:textId="77777777" w:rsidR="00141B97" w:rsidRDefault="00141B97">
      <w:pPr>
        <w:pStyle w:val="BodyText"/>
        <w:spacing w:before="12"/>
        <w:rPr>
          <w:sz w:val="21"/>
        </w:rPr>
      </w:pPr>
    </w:p>
    <w:p w14:paraId="04A2D882" w14:textId="77777777" w:rsidR="00141B97" w:rsidRDefault="00911D63">
      <w:pPr>
        <w:pStyle w:val="BodyText"/>
        <w:ind w:left="113" w:right="948" w:hanging="1"/>
        <w:jc w:val="both"/>
      </w:pPr>
      <w:r>
        <w:t>Additional unplanned costs associated with the pandemic have also contributed to higher operational expenditure with price period</w:t>
      </w:r>
      <w:r>
        <w:rPr>
          <w:spacing w:val="-1"/>
        </w:rPr>
        <w:t xml:space="preserve"> </w:t>
      </w:r>
      <w:r>
        <w:t>costs as at 2021‐22 currently totalling $330k due to additional labour costs such as Working from Home allowance and pandemic leave, as well as increase in other costs such as purchase of masks, hand sanitiser and other consumables.</w:t>
      </w:r>
    </w:p>
    <w:p w14:paraId="7658A0EE" w14:textId="77777777" w:rsidR="00141B97" w:rsidRDefault="00141B97">
      <w:pPr>
        <w:pStyle w:val="BodyText"/>
      </w:pPr>
    </w:p>
    <w:p w14:paraId="4122C305" w14:textId="77777777" w:rsidR="00141B97" w:rsidRDefault="00911D63">
      <w:pPr>
        <w:pStyle w:val="BodyText"/>
        <w:ind w:left="114" w:right="948" w:hanging="1"/>
        <w:jc w:val="both"/>
      </w:pPr>
      <w:r>
        <w:t>Electricity costs decreased due to a lower volumetric usage demand from irrigation customers noting the decrease</w:t>
      </w:r>
      <w:r>
        <w:rPr>
          <w:spacing w:val="-4"/>
        </w:rPr>
        <w:t xml:space="preserve"> </w:t>
      </w:r>
      <w:r>
        <w:t>in</w:t>
      </w:r>
      <w:r>
        <w:rPr>
          <w:spacing w:val="-3"/>
        </w:rPr>
        <w:t xml:space="preserve"> </w:t>
      </w:r>
      <w:r>
        <w:t>demand</w:t>
      </w:r>
      <w:r>
        <w:rPr>
          <w:spacing w:val="-3"/>
        </w:rPr>
        <w:t xml:space="preserve"> </w:t>
      </w:r>
      <w:r>
        <w:t>was</w:t>
      </w:r>
      <w:r>
        <w:rPr>
          <w:spacing w:val="-4"/>
        </w:rPr>
        <w:t xml:space="preserve"> </w:t>
      </w:r>
      <w:r>
        <w:t>due</w:t>
      </w:r>
      <w:r>
        <w:rPr>
          <w:spacing w:val="-5"/>
        </w:rPr>
        <w:t xml:space="preserve"> </w:t>
      </w:r>
      <w:r>
        <w:t>to</w:t>
      </w:r>
      <w:r>
        <w:rPr>
          <w:spacing w:val="-5"/>
        </w:rPr>
        <w:t xml:space="preserve"> </w:t>
      </w:r>
      <w:r>
        <w:t>2019‐20</w:t>
      </w:r>
      <w:r>
        <w:rPr>
          <w:spacing w:val="-4"/>
        </w:rPr>
        <w:t xml:space="preserve"> </w:t>
      </w:r>
      <w:r>
        <w:t>water</w:t>
      </w:r>
      <w:r>
        <w:rPr>
          <w:spacing w:val="-5"/>
        </w:rPr>
        <w:t xml:space="preserve"> </w:t>
      </w:r>
      <w:r>
        <w:t>allocations</w:t>
      </w:r>
      <w:r>
        <w:rPr>
          <w:spacing w:val="-4"/>
        </w:rPr>
        <w:t xml:space="preserve"> </w:t>
      </w:r>
      <w:r>
        <w:t>being</w:t>
      </w:r>
      <w:r>
        <w:rPr>
          <w:spacing w:val="-3"/>
        </w:rPr>
        <w:t xml:space="preserve"> </w:t>
      </w:r>
      <w:r>
        <w:t>restricted</w:t>
      </w:r>
      <w:r>
        <w:rPr>
          <w:spacing w:val="-3"/>
        </w:rPr>
        <w:t xml:space="preserve"> </w:t>
      </w:r>
      <w:r>
        <w:t>to</w:t>
      </w:r>
      <w:r>
        <w:rPr>
          <w:spacing w:val="-4"/>
        </w:rPr>
        <w:t xml:space="preserve"> </w:t>
      </w:r>
      <w:r>
        <w:t>66%</w:t>
      </w:r>
      <w:r>
        <w:rPr>
          <w:spacing w:val="-5"/>
        </w:rPr>
        <w:t xml:space="preserve"> </w:t>
      </w:r>
      <w:r>
        <w:t>as</w:t>
      </w:r>
      <w:r>
        <w:rPr>
          <w:spacing w:val="-4"/>
        </w:rPr>
        <w:t xml:space="preserve"> </w:t>
      </w:r>
      <w:r>
        <w:t>well</w:t>
      </w:r>
      <w:r>
        <w:rPr>
          <w:spacing w:val="-5"/>
        </w:rPr>
        <w:t xml:space="preserve"> </w:t>
      </w:r>
      <w:r>
        <w:t>as</w:t>
      </w:r>
      <w:r>
        <w:rPr>
          <w:spacing w:val="-3"/>
        </w:rPr>
        <w:t xml:space="preserve"> </w:t>
      </w:r>
      <w:r>
        <w:t>increase</w:t>
      </w:r>
      <w:r>
        <w:rPr>
          <w:spacing w:val="-4"/>
        </w:rPr>
        <w:t xml:space="preserve"> </w:t>
      </w:r>
      <w:r>
        <w:t>in</w:t>
      </w:r>
      <w:r>
        <w:rPr>
          <w:spacing w:val="-3"/>
        </w:rPr>
        <w:t xml:space="preserve"> </w:t>
      </w:r>
      <w:r>
        <w:t>rainfall compared to averages for 2020‐21 and 2021‐22.</w:t>
      </w:r>
    </w:p>
    <w:p w14:paraId="6DA07AB1" w14:textId="77777777" w:rsidR="00141B97" w:rsidRDefault="00141B97">
      <w:pPr>
        <w:pStyle w:val="BodyText"/>
      </w:pPr>
    </w:p>
    <w:p w14:paraId="408FDD60" w14:textId="77777777" w:rsidR="00141B97" w:rsidRDefault="00911D63">
      <w:pPr>
        <w:pStyle w:val="BodyText"/>
        <w:ind w:left="114" w:right="948"/>
        <w:jc w:val="both"/>
      </w:pPr>
      <w:r>
        <w:t>An increase in contractor and consultancy costs, particularly in FY22 (and anticipated for FY23), is due to costs associated</w:t>
      </w:r>
      <w:r>
        <w:rPr>
          <w:spacing w:val="-8"/>
        </w:rPr>
        <w:t xml:space="preserve"> </w:t>
      </w:r>
      <w:r>
        <w:t>with</w:t>
      </w:r>
      <w:r>
        <w:rPr>
          <w:spacing w:val="-9"/>
        </w:rPr>
        <w:t xml:space="preserve"> </w:t>
      </w:r>
      <w:r>
        <w:t>the</w:t>
      </w:r>
      <w:r>
        <w:rPr>
          <w:spacing w:val="-9"/>
        </w:rPr>
        <w:t xml:space="preserve"> </w:t>
      </w:r>
      <w:r>
        <w:t>preparation</w:t>
      </w:r>
      <w:r>
        <w:rPr>
          <w:spacing w:val="-8"/>
        </w:rPr>
        <w:t xml:space="preserve"> </w:t>
      </w:r>
      <w:r>
        <w:t>of</w:t>
      </w:r>
      <w:r>
        <w:rPr>
          <w:spacing w:val="-9"/>
        </w:rPr>
        <w:t xml:space="preserve"> </w:t>
      </w:r>
      <w:r>
        <w:t>PS5,</w:t>
      </w:r>
      <w:r>
        <w:rPr>
          <w:spacing w:val="-8"/>
        </w:rPr>
        <w:t xml:space="preserve"> </w:t>
      </w:r>
      <w:r>
        <w:t>including</w:t>
      </w:r>
      <w:r>
        <w:rPr>
          <w:spacing w:val="-9"/>
        </w:rPr>
        <w:t xml:space="preserve"> </w:t>
      </w:r>
      <w:r>
        <w:t>review</w:t>
      </w:r>
      <w:r>
        <w:rPr>
          <w:spacing w:val="-8"/>
        </w:rPr>
        <w:t xml:space="preserve"> </w:t>
      </w:r>
      <w:r>
        <w:t>of</w:t>
      </w:r>
      <w:r>
        <w:rPr>
          <w:spacing w:val="-9"/>
        </w:rPr>
        <w:t xml:space="preserve"> </w:t>
      </w:r>
      <w:r>
        <w:t>renewals</w:t>
      </w:r>
      <w:r>
        <w:rPr>
          <w:spacing w:val="-10"/>
        </w:rPr>
        <w:t xml:space="preserve"> </w:t>
      </w:r>
      <w:r>
        <w:t>forecasts</w:t>
      </w:r>
      <w:r>
        <w:rPr>
          <w:spacing w:val="-8"/>
        </w:rPr>
        <w:t xml:space="preserve"> </w:t>
      </w:r>
      <w:r>
        <w:t>and</w:t>
      </w:r>
      <w:r>
        <w:rPr>
          <w:spacing w:val="-9"/>
        </w:rPr>
        <w:t xml:space="preserve"> </w:t>
      </w:r>
      <w:r>
        <w:t>rural</w:t>
      </w:r>
      <w:r>
        <w:rPr>
          <w:spacing w:val="-9"/>
        </w:rPr>
        <w:t xml:space="preserve"> </w:t>
      </w:r>
      <w:r>
        <w:t>service</w:t>
      </w:r>
      <w:r>
        <w:rPr>
          <w:spacing w:val="-10"/>
        </w:rPr>
        <w:t xml:space="preserve"> </w:t>
      </w:r>
      <w:r>
        <w:t>strategy,</w:t>
      </w:r>
      <w:r>
        <w:rPr>
          <w:spacing w:val="-9"/>
        </w:rPr>
        <w:t xml:space="preserve"> </w:t>
      </w:r>
      <w:r>
        <w:t>as</w:t>
      </w:r>
      <w:r>
        <w:rPr>
          <w:spacing w:val="-9"/>
        </w:rPr>
        <w:t xml:space="preserve"> </w:t>
      </w:r>
      <w:r>
        <w:t>well</w:t>
      </w:r>
    </w:p>
    <w:p w14:paraId="6A2C7620" w14:textId="77777777" w:rsidR="00141B97" w:rsidRDefault="00141B97">
      <w:pPr>
        <w:jc w:val="both"/>
        <w:sectPr w:rsidR="00141B97">
          <w:pgSz w:w="11910" w:h="16840"/>
          <w:pgMar w:top="840" w:right="40" w:bottom="780" w:left="1020" w:header="0" w:footer="586" w:gutter="0"/>
          <w:cols w:space="720"/>
        </w:sectPr>
      </w:pPr>
    </w:p>
    <w:p w14:paraId="46BCAA0D" w14:textId="77777777" w:rsidR="00141B97" w:rsidRDefault="00911D63">
      <w:pPr>
        <w:pStyle w:val="BodyText"/>
        <w:spacing w:before="31"/>
        <w:ind w:left="114" w:right="950" w:hanging="1"/>
        <w:jc w:val="both"/>
      </w:pPr>
      <w:r>
        <w:lastRenderedPageBreak/>
        <w:t>as</w:t>
      </w:r>
      <w:r>
        <w:rPr>
          <w:spacing w:val="-13"/>
        </w:rPr>
        <w:t xml:space="preserve"> </w:t>
      </w:r>
      <w:r>
        <w:t>costs</w:t>
      </w:r>
      <w:r>
        <w:rPr>
          <w:spacing w:val="-12"/>
        </w:rPr>
        <w:t xml:space="preserve"> </w:t>
      </w:r>
      <w:r>
        <w:t>associated</w:t>
      </w:r>
      <w:r>
        <w:rPr>
          <w:spacing w:val="-13"/>
        </w:rPr>
        <w:t xml:space="preserve"> </w:t>
      </w:r>
      <w:r>
        <w:t>with</w:t>
      </w:r>
      <w:r>
        <w:rPr>
          <w:spacing w:val="-12"/>
        </w:rPr>
        <w:t xml:space="preserve"> </w:t>
      </w:r>
      <w:r>
        <w:t>asset</w:t>
      </w:r>
      <w:r>
        <w:rPr>
          <w:spacing w:val="-13"/>
        </w:rPr>
        <w:t xml:space="preserve"> </w:t>
      </w:r>
      <w:r>
        <w:t>condition</w:t>
      </w:r>
      <w:r>
        <w:rPr>
          <w:spacing w:val="-12"/>
        </w:rPr>
        <w:t xml:space="preserve"> </w:t>
      </w:r>
      <w:r>
        <w:t>assessments</w:t>
      </w:r>
      <w:r>
        <w:rPr>
          <w:spacing w:val="-13"/>
        </w:rPr>
        <w:t xml:space="preserve"> </w:t>
      </w:r>
      <w:r>
        <w:t>and</w:t>
      </w:r>
      <w:r>
        <w:rPr>
          <w:spacing w:val="-12"/>
        </w:rPr>
        <w:t xml:space="preserve"> </w:t>
      </w:r>
      <w:r>
        <w:t>investigation</w:t>
      </w:r>
      <w:r>
        <w:rPr>
          <w:spacing w:val="-12"/>
        </w:rPr>
        <w:t xml:space="preserve"> </w:t>
      </w:r>
      <w:r>
        <w:t>works</w:t>
      </w:r>
      <w:r>
        <w:rPr>
          <w:spacing w:val="-13"/>
        </w:rPr>
        <w:t xml:space="preserve"> </w:t>
      </w:r>
      <w:r>
        <w:t>required</w:t>
      </w:r>
      <w:r>
        <w:rPr>
          <w:spacing w:val="-12"/>
        </w:rPr>
        <w:t xml:space="preserve"> </w:t>
      </w:r>
      <w:r>
        <w:t>for</w:t>
      </w:r>
      <w:r>
        <w:rPr>
          <w:spacing w:val="-13"/>
        </w:rPr>
        <w:t xml:space="preserve"> </w:t>
      </w:r>
      <w:r>
        <w:t>development</w:t>
      </w:r>
      <w:r>
        <w:rPr>
          <w:spacing w:val="-12"/>
        </w:rPr>
        <w:t xml:space="preserve"> </w:t>
      </w:r>
      <w:r>
        <w:t>of</w:t>
      </w:r>
      <w:r>
        <w:rPr>
          <w:spacing w:val="-13"/>
        </w:rPr>
        <w:t xml:space="preserve"> </w:t>
      </w:r>
      <w:r>
        <w:t>major capital work project scope statements prior to delivery.</w:t>
      </w:r>
    </w:p>
    <w:p w14:paraId="4ED49B4D" w14:textId="77777777" w:rsidR="00141B97" w:rsidRDefault="00141B97">
      <w:pPr>
        <w:pStyle w:val="BodyText"/>
        <w:spacing w:before="12"/>
        <w:rPr>
          <w:sz w:val="21"/>
        </w:rPr>
      </w:pPr>
    </w:p>
    <w:p w14:paraId="4D56A600" w14:textId="77777777" w:rsidR="00141B97" w:rsidRDefault="00911D63">
      <w:pPr>
        <w:pStyle w:val="BodyText"/>
        <w:ind w:left="114" w:right="949" w:hanging="1"/>
        <w:jc w:val="both"/>
      </w:pPr>
      <w:r>
        <w:t>Irrigation</w:t>
      </w:r>
      <w:r>
        <w:rPr>
          <w:spacing w:val="-3"/>
        </w:rPr>
        <w:t xml:space="preserve"> </w:t>
      </w:r>
      <w:r>
        <w:t>reticulation</w:t>
      </w:r>
      <w:r>
        <w:rPr>
          <w:spacing w:val="-4"/>
        </w:rPr>
        <w:t xml:space="preserve"> </w:t>
      </w:r>
      <w:r>
        <w:t>expenditure</w:t>
      </w:r>
      <w:r>
        <w:rPr>
          <w:spacing w:val="-4"/>
        </w:rPr>
        <w:t xml:space="preserve"> </w:t>
      </w:r>
      <w:r>
        <w:t>increased</w:t>
      </w:r>
      <w:r>
        <w:rPr>
          <w:spacing w:val="-5"/>
        </w:rPr>
        <w:t xml:space="preserve"> </w:t>
      </w:r>
      <w:r>
        <w:t>with</w:t>
      </w:r>
      <w:r>
        <w:rPr>
          <w:spacing w:val="-6"/>
        </w:rPr>
        <w:t xml:space="preserve"> </w:t>
      </w:r>
      <w:r>
        <w:t>key</w:t>
      </w:r>
      <w:r>
        <w:rPr>
          <w:spacing w:val="-4"/>
        </w:rPr>
        <w:t xml:space="preserve"> </w:t>
      </w:r>
      <w:r>
        <w:t>activities</w:t>
      </w:r>
      <w:r>
        <w:rPr>
          <w:spacing w:val="-5"/>
        </w:rPr>
        <w:t xml:space="preserve"> </w:t>
      </w:r>
      <w:r>
        <w:t>being</w:t>
      </w:r>
      <w:r>
        <w:rPr>
          <w:spacing w:val="-5"/>
        </w:rPr>
        <w:t xml:space="preserve"> </w:t>
      </w:r>
      <w:r>
        <w:t>pipeline</w:t>
      </w:r>
      <w:r>
        <w:rPr>
          <w:spacing w:val="-5"/>
        </w:rPr>
        <w:t xml:space="preserve"> </w:t>
      </w:r>
      <w:r>
        <w:t>and</w:t>
      </w:r>
      <w:r>
        <w:rPr>
          <w:spacing w:val="-5"/>
        </w:rPr>
        <w:t xml:space="preserve"> </w:t>
      </w:r>
      <w:r>
        <w:t>channel</w:t>
      </w:r>
      <w:r>
        <w:rPr>
          <w:spacing w:val="-4"/>
        </w:rPr>
        <w:t xml:space="preserve"> </w:t>
      </w:r>
      <w:r>
        <w:t>maintenance</w:t>
      </w:r>
      <w:r>
        <w:rPr>
          <w:spacing w:val="-5"/>
        </w:rPr>
        <w:t xml:space="preserve"> </w:t>
      </w:r>
      <w:r>
        <w:t>as</w:t>
      </w:r>
      <w:r>
        <w:rPr>
          <w:spacing w:val="-4"/>
        </w:rPr>
        <w:t xml:space="preserve"> </w:t>
      </w:r>
      <w:r>
        <w:t>well as additional costs associated with contract meter reading.</w:t>
      </w:r>
    </w:p>
    <w:p w14:paraId="102B1D5A" w14:textId="77777777" w:rsidR="00141B97" w:rsidRDefault="00141B97">
      <w:pPr>
        <w:pStyle w:val="BodyText"/>
      </w:pPr>
    </w:p>
    <w:p w14:paraId="6111C6E2" w14:textId="77777777" w:rsidR="00141B97" w:rsidRDefault="00911D63">
      <w:pPr>
        <w:pStyle w:val="BodyText"/>
        <w:ind w:left="113" w:right="947"/>
        <w:jc w:val="both"/>
      </w:pPr>
      <w:r>
        <w:t>Temporary</w:t>
      </w:r>
      <w:r>
        <w:rPr>
          <w:spacing w:val="-13"/>
        </w:rPr>
        <w:t xml:space="preserve"> </w:t>
      </w:r>
      <w:r>
        <w:t>pump</w:t>
      </w:r>
      <w:r>
        <w:rPr>
          <w:spacing w:val="-12"/>
        </w:rPr>
        <w:t xml:space="preserve"> </w:t>
      </w:r>
      <w:r>
        <w:t>hire</w:t>
      </w:r>
      <w:r>
        <w:rPr>
          <w:spacing w:val="-12"/>
        </w:rPr>
        <w:t xml:space="preserve"> </w:t>
      </w:r>
      <w:r>
        <w:t>costs</w:t>
      </w:r>
      <w:r>
        <w:rPr>
          <w:spacing w:val="-11"/>
        </w:rPr>
        <w:t xml:space="preserve"> </w:t>
      </w:r>
      <w:r>
        <w:t>at</w:t>
      </w:r>
      <w:r>
        <w:rPr>
          <w:spacing w:val="-11"/>
        </w:rPr>
        <w:t xml:space="preserve"> </w:t>
      </w:r>
      <w:r>
        <w:t>the</w:t>
      </w:r>
      <w:r>
        <w:rPr>
          <w:spacing w:val="-12"/>
        </w:rPr>
        <w:t xml:space="preserve"> </w:t>
      </w:r>
      <w:r>
        <w:t>Millewa</w:t>
      </w:r>
      <w:r>
        <w:rPr>
          <w:spacing w:val="-12"/>
        </w:rPr>
        <w:t xml:space="preserve"> </w:t>
      </w:r>
      <w:r>
        <w:t>pump</w:t>
      </w:r>
      <w:r>
        <w:rPr>
          <w:spacing w:val="-12"/>
        </w:rPr>
        <w:t xml:space="preserve"> </w:t>
      </w:r>
      <w:r>
        <w:t>station</w:t>
      </w:r>
      <w:r>
        <w:rPr>
          <w:spacing w:val="-11"/>
        </w:rPr>
        <w:t xml:space="preserve"> </w:t>
      </w:r>
      <w:r>
        <w:t>were</w:t>
      </w:r>
      <w:r>
        <w:rPr>
          <w:spacing w:val="-11"/>
        </w:rPr>
        <w:t xml:space="preserve"> </w:t>
      </w:r>
      <w:r>
        <w:t>unbudgeted</w:t>
      </w:r>
      <w:r>
        <w:rPr>
          <w:spacing w:val="-11"/>
        </w:rPr>
        <w:t xml:space="preserve"> </w:t>
      </w:r>
      <w:r>
        <w:t>for</w:t>
      </w:r>
      <w:r>
        <w:rPr>
          <w:spacing w:val="-11"/>
        </w:rPr>
        <w:t xml:space="preserve"> </w:t>
      </w:r>
      <w:r>
        <w:t>in</w:t>
      </w:r>
      <w:r>
        <w:rPr>
          <w:spacing w:val="-12"/>
        </w:rPr>
        <w:t xml:space="preserve"> </w:t>
      </w:r>
      <w:r>
        <w:t>PS4</w:t>
      </w:r>
      <w:r>
        <w:rPr>
          <w:spacing w:val="-10"/>
        </w:rPr>
        <w:t xml:space="preserve"> </w:t>
      </w:r>
      <w:r>
        <w:t>and</w:t>
      </w:r>
      <w:r>
        <w:rPr>
          <w:spacing w:val="-11"/>
        </w:rPr>
        <w:t xml:space="preserve"> </w:t>
      </w:r>
      <w:r>
        <w:t>were</w:t>
      </w:r>
      <w:r>
        <w:rPr>
          <w:spacing w:val="-13"/>
        </w:rPr>
        <w:t xml:space="preserve"> </w:t>
      </w:r>
      <w:r>
        <w:t>required</w:t>
      </w:r>
      <w:r>
        <w:rPr>
          <w:spacing w:val="-11"/>
        </w:rPr>
        <w:t xml:space="preserve"> </w:t>
      </w:r>
      <w:r>
        <w:t>to</w:t>
      </w:r>
      <w:r>
        <w:rPr>
          <w:spacing w:val="-10"/>
        </w:rPr>
        <w:t xml:space="preserve"> </w:t>
      </w:r>
      <w:r>
        <w:t>assist with</w:t>
      </w:r>
      <w:r>
        <w:rPr>
          <w:spacing w:val="-1"/>
        </w:rPr>
        <w:t xml:space="preserve"> </w:t>
      </w:r>
      <w:r>
        <w:t>high</w:t>
      </w:r>
      <w:r>
        <w:rPr>
          <w:spacing w:val="-1"/>
        </w:rPr>
        <w:t xml:space="preserve"> </w:t>
      </w:r>
      <w:r>
        <w:t>demand, as well as provide</w:t>
      </w:r>
      <w:r>
        <w:rPr>
          <w:spacing w:val="-2"/>
        </w:rPr>
        <w:t xml:space="preserve"> </w:t>
      </w:r>
      <w:r>
        <w:t>additional</w:t>
      </w:r>
      <w:r>
        <w:rPr>
          <w:spacing w:val="-1"/>
        </w:rPr>
        <w:t xml:space="preserve"> </w:t>
      </w:r>
      <w:r>
        <w:t>backup</w:t>
      </w:r>
      <w:r>
        <w:rPr>
          <w:spacing w:val="-1"/>
        </w:rPr>
        <w:t xml:space="preserve"> </w:t>
      </w:r>
      <w:r>
        <w:t>and</w:t>
      </w:r>
      <w:r>
        <w:rPr>
          <w:spacing w:val="-1"/>
        </w:rPr>
        <w:t xml:space="preserve"> </w:t>
      </w:r>
      <w:r>
        <w:t>support</w:t>
      </w:r>
      <w:r>
        <w:rPr>
          <w:spacing w:val="-1"/>
        </w:rPr>
        <w:t xml:space="preserve"> </w:t>
      </w:r>
      <w:r>
        <w:t>when the pump</w:t>
      </w:r>
      <w:r>
        <w:rPr>
          <w:spacing w:val="-1"/>
        </w:rPr>
        <w:t xml:space="preserve"> </w:t>
      </w:r>
      <w:r>
        <w:t>station was offline due</w:t>
      </w:r>
      <w:r>
        <w:rPr>
          <w:spacing w:val="-1"/>
        </w:rPr>
        <w:t xml:space="preserve"> </w:t>
      </w:r>
      <w:r>
        <w:t xml:space="preserve">to breakdowns and routine maintenance. These costs will decrease once the new pump station has been </w:t>
      </w:r>
      <w:r>
        <w:rPr>
          <w:spacing w:val="-2"/>
        </w:rPr>
        <w:t>commissioned.</w:t>
      </w:r>
    </w:p>
    <w:p w14:paraId="0207A6FE" w14:textId="77777777" w:rsidR="00141B97" w:rsidRDefault="00141B97">
      <w:pPr>
        <w:pStyle w:val="BodyText"/>
        <w:spacing w:before="1"/>
        <w:rPr>
          <w:sz w:val="31"/>
        </w:rPr>
      </w:pPr>
    </w:p>
    <w:p w14:paraId="7A9E1E69" w14:textId="77777777" w:rsidR="00141B97" w:rsidRDefault="00911D63">
      <w:pPr>
        <w:pStyle w:val="Heading2"/>
        <w:numPr>
          <w:ilvl w:val="1"/>
          <w:numId w:val="37"/>
        </w:numPr>
        <w:tabs>
          <w:tab w:val="left" w:pos="1112"/>
          <w:tab w:val="left" w:pos="1113"/>
        </w:tabs>
        <w:spacing w:before="1"/>
        <w:rPr>
          <w:color w:val="009BAC"/>
        </w:rPr>
      </w:pPr>
      <w:r>
        <w:rPr>
          <w:color w:val="009BAC"/>
        </w:rPr>
        <w:t>Capital</w:t>
      </w:r>
      <w:r>
        <w:rPr>
          <w:color w:val="009BAC"/>
          <w:spacing w:val="-8"/>
        </w:rPr>
        <w:t xml:space="preserve"> </w:t>
      </w:r>
      <w:r>
        <w:rPr>
          <w:color w:val="009BAC"/>
          <w:spacing w:val="-2"/>
        </w:rPr>
        <w:t>Expenditure</w:t>
      </w:r>
    </w:p>
    <w:p w14:paraId="1F018E92" w14:textId="77777777" w:rsidR="00141B97" w:rsidRDefault="00911D63">
      <w:pPr>
        <w:pStyle w:val="BodyText"/>
        <w:spacing w:before="119" w:line="249" w:lineRule="auto"/>
        <w:ind w:left="114" w:right="948" w:hanging="1"/>
        <w:jc w:val="both"/>
      </w:pPr>
      <w:r>
        <w:t>As for urban, but to a lesser extent, the negative</w:t>
      </w:r>
      <w:r>
        <w:rPr>
          <w:spacing w:val="-1"/>
        </w:rPr>
        <w:t xml:space="preserve"> </w:t>
      </w:r>
      <w:r>
        <w:t>variance in rural capex resulted from a slow</w:t>
      </w:r>
      <w:r>
        <w:rPr>
          <w:sz w:val="24"/>
        </w:rPr>
        <w:t>er‐</w:t>
      </w:r>
      <w:r>
        <w:t>than‐expected ramp‐up of capital delivery in 2018‐19.</w:t>
      </w:r>
      <w:r>
        <w:rPr>
          <w:spacing w:val="40"/>
        </w:rPr>
        <w:t xml:space="preserve"> </w:t>
      </w:r>
      <w:r>
        <w:t>A significant upturn in capital delivery in the years since then, and particularly</w:t>
      </w:r>
      <w:r>
        <w:rPr>
          <w:spacing w:val="-6"/>
        </w:rPr>
        <w:t xml:space="preserve"> </w:t>
      </w:r>
      <w:r>
        <w:t>in</w:t>
      </w:r>
      <w:r>
        <w:rPr>
          <w:spacing w:val="-6"/>
        </w:rPr>
        <w:t xml:space="preserve"> </w:t>
      </w:r>
      <w:r>
        <w:t>2021‐22,</w:t>
      </w:r>
      <w:r>
        <w:rPr>
          <w:spacing w:val="-6"/>
        </w:rPr>
        <w:t xml:space="preserve"> </w:t>
      </w:r>
      <w:r>
        <w:t>has</w:t>
      </w:r>
      <w:r>
        <w:rPr>
          <w:spacing w:val="-5"/>
        </w:rPr>
        <w:t xml:space="preserve"> </w:t>
      </w:r>
      <w:r>
        <w:t>resulted</w:t>
      </w:r>
      <w:r>
        <w:rPr>
          <w:spacing w:val="-6"/>
        </w:rPr>
        <w:t xml:space="preserve"> </w:t>
      </w:r>
      <w:r>
        <w:t>in</w:t>
      </w:r>
      <w:r>
        <w:rPr>
          <w:spacing w:val="-6"/>
        </w:rPr>
        <w:t xml:space="preserve"> </w:t>
      </w:r>
      <w:r>
        <w:t>period‐to‐date</w:t>
      </w:r>
      <w:r>
        <w:rPr>
          <w:spacing w:val="-6"/>
        </w:rPr>
        <w:t xml:space="preserve"> </w:t>
      </w:r>
      <w:r>
        <w:t>actual</w:t>
      </w:r>
      <w:r>
        <w:rPr>
          <w:spacing w:val="-6"/>
        </w:rPr>
        <w:t xml:space="preserve"> </w:t>
      </w:r>
      <w:r>
        <w:t>expenditure</w:t>
      </w:r>
      <w:r>
        <w:rPr>
          <w:spacing w:val="-7"/>
        </w:rPr>
        <w:t xml:space="preserve"> </w:t>
      </w:r>
      <w:r>
        <w:t>within</w:t>
      </w:r>
      <w:r>
        <w:rPr>
          <w:spacing w:val="-6"/>
        </w:rPr>
        <w:t xml:space="preserve"> </w:t>
      </w:r>
      <w:r>
        <w:t>$0.62m</w:t>
      </w:r>
      <w:r>
        <w:rPr>
          <w:spacing w:val="-7"/>
        </w:rPr>
        <w:t xml:space="preserve"> </w:t>
      </w:r>
      <w:r>
        <w:t>or</w:t>
      </w:r>
      <w:r>
        <w:rPr>
          <w:spacing w:val="-7"/>
        </w:rPr>
        <w:t xml:space="preserve"> </w:t>
      </w:r>
      <w:r>
        <w:t>1.9%</w:t>
      </w:r>
      <w:r>
        <w:rPr>
          <w:spacing w:val="-6"/>
        </w:rPr>
        <w:t xml:space="preserve"> </w:t>
      </w:r>
      <w:r>
        <w:t>of</w:t>
      </w:r>
      <w:r>
        <w:rPr>
          <w:spacing w:val="-6"/>
        </w:rPr>
        <w:t xml:space="preserve"> </w:t>
      </w:r>
      <w:r>
        <w:t>budget,</w:t>
      </w:r>
      <w:r>
        <w:rPr>
          <w:spacing w:val="-6"/>
        </w:rPr>
        <w:t xml:space="preserve"> </w:t>
      </w:r>
      <w:r>
        <w:t>and forecast to largely achieve budget by the end of the PS4 period.</w:t>
      </w:r>
    </w:p>
    <w:p w14:paraId="19C73B27" w14:textId="77777777" w:rsidR="00141B97" w:rsidRDefault="00141B97">
      <w:pPr>
        <w:pStyle w:val="BodyText"/>
        <w:spacing w:before="10"/>
        <w:rPr>
          <w:sz w:val="19"/>
        </w:rPr>
      </w:pPr>
    </w:p>
    <w:p w14:paraId="0B34FEEB" w14:textId="77777777" w:rsidR="00141B97" w:rsidRDefault="00911D63">
      <w:pPr>
        <w:pStyle w:val="BodyText"/>
        <w:spacing w:before="1" w:line="249" w:lineRule="auto"/>
        <w:ind w:left="113" w:right="947"/>
        <w:jc w:val="both"/>
      </w:pPr>
      <w:r>
        <w:t>Contributing factors to the underspend include fish screens and NSW government regulatory requirements delaying</w:t>
      </w:r>
      <w:r>
        <w:rPr>
          <w:spacing w:val="-2"/>
        </w:rPr>
        <w:t xml:space="preserve"> </w:t>
      </w:r>
      <w:r>
        <w:t>replacement</w:t>
      </w:r>
      <w:r>
        <w:rPr>
          <w:spacing w:val="-2"/>
        </w:rPr>
        <w:t xml:space="preserve"> </w:t>
      </w:r>
      <w:r>
        <w:t>of</w:t>
      </w:r>
      <w:r>
        <w:rPr>
          <w:spacing w:val="-1"/>
        </w:rPr>
        <w:t xml:space="preserve"> </w:t>
      </w:r>
      <w:r>
        <w:t>the</w:t>
      </w:r>
      <w:r>
        <w:rPr>
          <w:spacing w:val="-4"/>
        </w:rPr>
        <w:t xml:space="preserve"> </w:t>
      </w:r>
      <w:r>
        <w:t>Millewa</w:t>
      </w:r>
      <w:r>
        <w:rPr>
          <w:spacing w:val="-2"/>
        </w:rPr>
        <w:t xml:space="preserve"> </w:t>
      </w:r>
      <w:r>
        <w:t>River</w:t>
      </w:r>
      <w:r>
        <w:rPr>
          <w:spacing w:val="-3"/>
        </w:rPr>
        <w:t xml:space="preserve"> </w:t>
      </w:r>
      <w:r>
        <w:t>Pump</w:t>
      </w:r>
      <w:r>
        <w:rPr>
          <w:spacing w:val="-3"/>
        </w:rPr>
        <w:t xml:space="preserve"> </w:t>
      </w:r>
      <w:r>
        <w:t>Station</w:t>
      </w:r>
      <w:r>
        <w:rPr>
          <w:spacing w:val="-4"/>
        </w:rPr>
        <w:t xml:space="preserve"> </w:t>
      </w:r>
      <w:r>
        <w:t>which</w:t>
      </w:r>
      <w:r>
        <w:rPr>
          <w:spacing w:val="-2"/>
        </w:rPr>
        <w:t xml:space="preserve"> </w:t>
      </w:r>
      <w:r>
        <w:t>has</w:t>
      </w:r>
      <w:r>
        <w:rPr>
          <w:spacing w:val="-3"/>
        </w:rPr>
        <w:t xml:space="preserve"> </w:t>
      </w:r>
      <w:r>
        <w:t>resulting</w:t>
      </w:r>
      <w:r>
        <w:rPr>
          <w:spacing w:val="-2"/>
        </w:rPr>
        <w:t xml:space="preserve"> </w:t>
      </w:r>
      <w:r>
        <w:t>in</w:t>
      </w:r>
      <w:r>
        <w:rPr>
          <w:spacing w:val="-1"/>
        </w:rPr>
        <w:t xml:space="preserve"> </w:t>
      </w:r>
      <w:r>
        <w:t>a</w:t>
      </w:r>
      <w:r>
        <w:rPr>
          <w:spacing w:val="-3"/>
        </w:rPr>
        <w:t xml:space="preserve"> </w:t>
      </w:r>
      <w:r>
        <w:t>reprioritising</w:t>
      </w:r>
      <w:r>
        <w:rPr>
          <w:spacing w:val="-4"/>
        </w:rPr>
        <w:t xml:space="preserve"> </w:t>
      </w:r>
      <w:r>
        <w:t>of</w:t>
      </w:r>
      <w:r>
        <w:rPr>
          <w:spacing w:val="-1"/>
        </w:rPr>
        <w:t xml:space="preserve"> </w:t>
      </w:r>
      <w:r>
        <w:t>investment</w:t>
      </w:r>
      <w:r>
        <w:rPr>
          <w:spacing w:val="-4"/>
        </w:rPr>
        <w:t xml:space="preserve"> </w:t>
      </w:r>
      <w:r>
        <w:t>to maintain</w:t>
      </w:r>
      <w:r>
        <w:rPr>
          <w:spacing w:val="-7"/>
        </w:rPr>
        <w:t xml:space="preserve"> </w:t>
      </w:r>
      <w:r>
        <w:t>delivery</w:t>
      </w:r>
      <w:r>
        <w:rPr>
          <w:spacing w:val="-7"/>
        </w:rPr>
        <w:t xml:space="preserve"> </w:t>
      </w:r>
      <w:r>
        <w:t>of</w:t>
      </w:r>
      <w:r>
        <w:rPr>
          <w:spacing w:val="-7"/>
        </w:rPr>
        <w:t xml:space="preserve"> </w:t>
      </w:r>
      <w:r>
        <w:t>customer</w:t>
      </w:r>
      <w:r>
        <w:rPr>
          <w:spacing w:val="-6"/>
        </w:rPr>
        <w:t xml:space="preserve"> </w:t>
      </w:r>
      <w:r>
        <w:t>value.</w:t>
      </w:r>
      <w:r>
        <w:rPr>
          <w:spacing w:val="37"/>
        </w:rPr>
        <w:t xml:space="preserve"> </w:t>
      </w:r>
      <w:r>
        <w:t>The</w:t>
      </w:r>
      <w:r>
        <w:rPr>
          <w:spacing w:val="-7"/>
        </w:rPr>
        <w:t xml:space="preserve"> </w:t>
      </w:r>
      <w:r>
        <w:t>project</w:t>
      </w:r>
      <w:r>
        <w:rPr>
          <w:spacing w:val="-7"/>
        </w:rPr>
        <w:t xml:space="preserve"> </w:t>
      </w:r>
      <w:r>
        <w:t>has</w:t>
      </w:r>
      <w:r>
        <w:rPr>
          <w:spacing w:val="-8"/>
        </w:rPr>
        <w:t xml:space="preserve"> </w:t>
      </w:r>
      <w:r>
        <w:t>external</w:t>
      </w:r>
      <w:r>
        <w:rPr>
          <w:spacing w:val="-7"/>
        </w:rPr>
        <w:t xml:space="preserve"> </w:t>
      </w:r>
      <w:r>
        <w:t>funding</w:t>
      </w:r>
      <w:r>
        <w:rPr>
          <w:spacing w:val="-7"/>
        </w:rPr>
        <w:t xml:space="preserve"> </w:t>
      </w:r>
      <w:r>
        <w:t>attached</w:t>
      </w:r>
      <w:r>
        <w:rPr>
          <w:spacing w:val="-7"/>
        </w:rPr>
        <w:t xml:space="preserve"> </w:t>
      </w:r>
      <w:r>
        <w:t>and</w:t>
      </w:r>
      <w:r>
        <w:rPr>
          <w:spacing w:val="-7"/>
        </w:rPr>
        <w:t xml:space="preserve"> </w:t>
      </w:r>
      <w:r>
        <w:t>is</w:t>
      </w:r>
      <w:r>
        <w:rPr>
          <w:spacing w:val="-8"/>
        </w:rPr>
        <w:t xml:space="preserve"> </w:t>
      </w:r>
      <w:r>
        <w:t>forecast</w:t>
      </w:r>
      <w:r>
        <w:rPr>
          <w:spacing w:val="-8"/>
        </w:rPr>
        <w:t xml:space="preserve"> </w:t>
      </w:r>
      <w:r>
        <w:t>to</w:t>
      </w:r>
      <w:r>
        <w:rPr>
          <w:spacing w:val="-7"/>
        </w:rPr>
        <w:t xml:space="preserve"> </w:t>
      </w:r>
      <w:r>
        <w:t>be</w:t>
      </w:r>
      <w:r>
        <w:rPr>
          <w:spacing w:val="-7"/>
        </w:rPr>
        <w:t xml:space="preserve"> </w:t>
      </w:r>
      <w:r>
        <w:t>completed by the end of the PS4 period. $7m has been included in the first year of PS5 to capture this expenditure in the Regulatory Asset Base (RAB) for 2023/24.</w:t>
      </w:r>
    </w:p>
    <w:p w14:paraId="0B24363F" w14:textId="77777777" w:rsidR="00141B97" w:rsidRDefault="00141B97">
      <w:pPr>
        <w:pStyle w:val="BodyText"/>
        <w:spacing w:before="10"/>
        <w:rPr>
          <w:sz w:val="19"/>
        </w:rPr>
      </w:pPr>
    </w:p>
    <w:p w14:paraId="0741BD32" w14:textId="77777777" w:rsidR="00141B97" w:rsidRDefault="00911D63">
      <w:pPr>
        <w:pStyle w:val="BodyText"/>
        <w:spacing w:line="249" w:lineRule="auto"/>
        <w:ind w:left="114" w:right="947" w:hanging="1"/>
        <w:jc w:val="both"/>
      </w:pPr>
      <w:r>
        <w:t>The inclusion of the Merbein electricity substation in the Government’s bushfire prevention measure of installing</w:t>
      </w:r>
      <w:r>
        <w:rPr>
          <w:spacing w:val="-3"/>
        </w:rPr>
        <w:t xml:space="preserve"> </w:t>
      </w:r>
      <w:r>
        <w:t>Rapid</w:t>
      </w:r>
      <w:r>
        <w:rPr>
          <w:spacing w:val="-4"/>
        </w:rPr>
        <w:t xml:space="preserve"> </w:t>
      </w:r>
      <w:r>
        <w:t>Earth</w:t>
      </w:r>
      <w:r>
        <w:rPr>
          <w:spacing w:val="-3"/>
        </w:rPr>
        <w:t xml:space="preserve"> </w:t>
      </w:r>
      <w:r>
        <w:t>Fault</w:t>
      </w:r>
      <w:r>
        <w:rPr>
          <w:spacing w:val="-2"/>
        </w:rPr>
        <w:t xml:space="preserve"> </w:t>
      </w:r>
      <w:r>
        <w:t>Current</w:t>
      </w:r>
      <w:r>
        <w:rPr>
          <w:spacing w:val="-4"/>
        </w:rPr>
        <w:t xml:space="preserve"> </w:t>
      </w:r>
      <w:r>
        <w:t>Limiter</w:t>
      </w:r>
      <w:r>
        <w:rPr>
          <w:spacing w:val="-5"/>
        </w:rPr>
        <w:t xml:space="preserve"> </w:t>
      </w:r>
      <w:r>
        <w:t>(REFCL),</w:t>
      </w:r>
      <w:r>
        <w:rPr>
          <w:spacing w:val="-4"/>
        </w:rPr>
        <w:t xml:space="preserve"> </w:t>
      </w:r>
      <w:r>
        <w:t>required</w:t>
      </w:r>
      <w:r>
        <w:rPr>
          <w:spacing w:val="-3"/>
        </w:rPr>
        <w:t xml:space="preserve"> </w:t>
      </w:r>
      <w:r>
        <w:t>additional</w:t>
      </w:r>
      <w:r>
        <w:rPr>
          <w:spacing w:val="-5"/>
        </w:rPr>
        <w:t xml:space="preserve"> </w:t>
      </w:r>
      <w:r>
        <w:t>works</w:t>
      </w:r>
      <w:r>
        <w:rPr>
          <w:spacing w:val="-3"/>
        </w:rPr>
        <w:t xml:space="preserve"> </w:t>
      </w:r>
      <w:r>
        <w:t>in</w:t>
      </w:r>
      <w:r>
        <w:rPr>
          <w:spacing w:val="-3"/>
        </w:rPr>
        <w:t xml:space="preserve"> </w:t>
      </w:r>
      <w:r>
        <w:t>asset</w:t>
      </w:r>
      <w:r>
        <w:rPr>
          <w:spacing w:val="-3"/>
        </w:rPr>
        <w:t xml:space="preserve"> </w:t>
      </w:r>
      <w:r>
        <w:t>upgrades</w:t>
      </w:r>
      <w:r>
        <w:rPr>
          <w:spacing w:val="-4"/>
        </w:rPr>
        <w:t xml:space="preserve"> </w:t>
      </w:r>
      <w:r>
        <w:t>at</w:t>
      </w:r>
      <w:r>
        <w:rPr>
          <w:spacing w:val="-3"/>
        </w:rPr>
        <w:t xml:space="preserve"> </w:t>
      </w:r>
      <w:r>
        <w:t>the</w:t>
      </w:r>
      <w:r>
        <w:rPr>
          <w:spacing w:val="-5"/>
        </w:rPr>
        <w:t xml:space="preserve"> </w:t>
      </w:r>
      <w:r>
        <w:t>Merbein and Mildura Seventeenth Street pump stations. These unforeseen works have largely been delivered within existing budgets.</w:t>
      </w:r>
    </w:p>
    <w:p w14:paraId="0003E462" w14:textId="77777777" w:rsidR="00141B97" w:rsidRDefault="00141B97">
      <w:pPr>
        <w:pStyle w:val="BodyText"/>
        <w:rPr>
          <w:sz w:val="20"/>
        </w:rPr>
      </w:pPr>
    </w:p>
    <w:p w14:paraId="305D4670" w14:textId="77777777" w:rsidR="00141B97" w:rsidRDefault="00141B97">
      <w:pPr>
        <w:pStyle w:val="BodyText"/>
        <w:spacing w:before="11"/>
        <w:rPr>
          <w:sz w:val="12"/>
        </w:rPr>
      </w:pPr>
    </w:p>
    <w:tbl>
      <w:tblPr>
        <w:tblW w:w="0" w:type="auto"/>
        <w:tblCellSpacing w:w="4" w:type="dxa"/>
        <w:tblInd w:w="135" w:type="dxa"/>
        <w:tblLayout w:type="fixed"/>
        <w:tblCellMar>
          <w:left w:w="0" w:type="dxa"/>
          <w:right w:w="0" w:type="dxa"/>
        </w:tblCellMar>
        <w:tblLook w:val="01E0" w:firstRow="1" w:lastRow="1" w:firstColumn="1" w:lastColumn="1" w:noHBand="0" w:noVBand="0"/>
      </w:tblPr>
      <w:tblGrid>
        <w:gridCol w:w="1432"/>
        <w:gridCol w:w="754"/>
        <w:gridCol w:w="708"/>
        <w:gridCol w:w="712"/>
        <w:gridCol w:w="706"/>
        <w:gridCol w:w="712"/>
        <w:gridCol w:w="706"/>
        <w:gridCol w:w="714"/>
        <w:gridCol w:w="706"/>
        <w:gridCol w:w="713"/>
        <w:gridCol w:w="709"/>
        <w:gridCol w:w="689"/>
        <w:gridCol w:w="689"/>
      </w:tblGrid>
      <w:tr w:rsidR="00141B97" w14:paraId="793418AA" w14:textId="77777777">
        <w:trPr>
          <w:trHeight w:val="390"/>
          <w:tblCellSpacing w:w="4" w:type="dxa"/>
        </w:trPr>
        <w:tc>
          <w:tcPr>
            <w:tcW w:w="1420" w:type="dxa"/>
            <w:tcBorders>
              <w:top w:val="nil"/>
              <w:left w:val="nil"/>
              <w:right w:val="nil"/>
            </w:tcBorders>
            <w:shd w:val="clear" w:color="auto" w:fill="0064A4"/>
          </w:tcPr>
          <w:p w14:paraId="0564116E" w14:textId="77777777" w:rsidR="00141B97" w:rsidRDefault="00911D63">
            <w:pPr>
              <w:pStyle w:val="TableParagraph"/>
              <w:ind w:left="95"/>
              <w:rPr>
                <w:sz w:val="16"/>
              </w:rPr>
            </w:pPr>
            <w:r>
              <w:rPr>
                <w:color w:val="FFFFFF"/>
                <w:sz w:val="16"/>
              </w:rPr>
              <w:t>Service</w:t>
            </w:r>
            <w:r>
              <w:rPr>
                <w:color w:val="FFFFFF"/>
                <w:spacing w:val="-5"/>
                <w:sz w:val="16"/>
              </w:rPr>
              <w:t xml:space="preserve"> </w:t>
            </w:r>
            <w:r>
              <w:rPr>
                <w:color w:val="FFFFFF"/>
                <w:spacing w:val="-2"/>
                <w:sz w:val="16"/>
              </w:rPr>
              <w:t>Category</w:t>
            </w:r>
          </w:p>
        </w:tc>
        <w:tc>
          <w:tcPr>
            <w:tcW w:w="1446" w:type="dxa"/>
            <w:gridSpan w:val="2"/>
            <w:tcBorders>
              <w:top w:val="nil"/>
              <w:left w:val="nil"/>
            </w:tcBorders>
            <w:shd w:val="clear" w:color="auto" w:fill="0064A4"/>
          </w:tcPr>
          <w:p w14:paraId="6AFD68FC" w14:textId="77777777" w:rsidR="00141B97" w:rsidRDefault="00911D63">
            <w:pPr>
              <w:pStyle w:val="TableParagraph"/>
              <w:ind w:left="448"/>
              <w:rPr>
                <w:sz w:val="16"/>
              </w:rPr>
            </w:pPr>
            <w:r>
              <w:rPr>
                <w:color w:val="FFFFFF"/>
                <w:spacing w:val="-2"/>
                <w:sz w:val="16"/>
              </w:rPr>
              <w:t>2018‐19</w:t>
            </w:r>
          </w:p>
        </w:tc>
        <w:tc>
          <w:tcPr>
            <w:tcW w:w="1402" w:type="dxa"/>
            <w:gridSpan w:val="2"/>
            <w:tcBorders>
              <w:top w:val="nil"/>
            </w:tcBorders>
            <w:shd w:val="clear" w:color="auto" w:fill="0064A4"/>
          </w:tcPr>
          <w:p w14:paraId="16B180B3" w14:textId="77777777" w:rsidR="00141B97" w:rsidRDefault="00911D63">
            <w:pPr>
              <w:pStyle w:val="TableParagraph"/>
              <w:ind w:left="428"/>
              <w:rPr>
                <w:sz w:val="16"/>
              </w:rPr>
            </w:pPr>
            <w:r>
              <w:rPr>
                <w:color w:val="FFFFFF"/>
                <w:spacing w:val="-2"/>
                <w:sz w:val="16"/>
              </w:rPr>
              <w:t>2019‐20</w:t>
            </w:r>
          </w:p>
        </w:tc>
        <w:tc>
          <w:tcPr>
            <w:tcW w:w="1402" w:type="dxa"/>
            <w:gridSpan w:val="2"/>
            <w:tcBorders>
              <w:top w:val="nil"/>
            </w:tcBorders>
            <w:shd w:val="clear" w:color="auto" w:fill="0064A4"/>
          </w:tcPr>
          <w:p w14:paraId="32A31989" w14:textId="77777777" w:rsidR="00141B97" w:rsidRDefault="00911D63">
            <w:pPr>
              <w:pStyle w:val="TableParagraph"/>
              <w:ind w:left="429"/>
              <w:rPr>
                <w:sz w:val="16"/>
              </w:rPr>
            </w:pPr>
            <w:r>
              <w:rPr>
                <w:color w:val="FFFFFF"/>
                <w:spacing w:val="-2"/>
                <w:sz w:val="16"/>
              </w:rPr>
              <w:t>2020‐21</w:t>
            </w:r>
          </w:p>
        </w:tc>
        <w:tc>
          <w:tcPr>
            <w:tcW w:w="1404" w:type="dxa"/>
            <w:gridSpan w:val="2"/>
            <w:tcBorders>
              <w:top w:val="nil"/>
            </w:tcBorders>
            <w:shd w:val="clear" w:color="auto" w:fill="0064A4"/>
          </w:tcPr>
          <w:p w14:paraId="361773B0" w14:textId="77777777" w:rsidR="00141B97" w:rsidRDefault="00911D63">
            <w:pPr>
              <w:pStyle w:val="TableParagraph"/>
              <w:ind w:left="431"/>
              <w:rPr>
                <w:sz w:val="16"/>
              </w:rPr>
            </w:pPr>
            <w:r>
              <w:rPr>
                <w:color w:val="FFFFFF"/>
                <w:spacing w:val="-2"/>
                <w:sz w:val="16"/>
              </w:rPr>
              <w:t>2021‐22</w:t>
            </w:r>
          </w:p>
        </w:tc>
        <w:tc>
          <w:tcPr>
            <w:tcW w:w="1406" w:type="dxa"/>
            <w:gridSpan w:val="2"/>
            <w:tcBorders>
              <w:top w:val="nil"/>
            </w:tcBorders>
            <w:shd w:val="clear" w:color="auto" w:fill="0064A4"/>
          </w:tcPr>
          <w:p w14:paraId="3CBDF563" w14:textId="77777777" w:rsidR="00141B97" w:rsidRDefault="00911D63">
            <w:pPr>
              <w:pStyle w:val="TableParagraph"/>
              <w:ind w:left="233" w:right="226"/>
              <w:jc w:val="center"/>
              <w:rPr>
                <w:sz w:val="16"/>
              </w:rPr>
            </w:pPr>
            <w:r>
              <w:rPr>
                <w:color w:val="FFFFFF"/>
                <w:sz w:val="16"/>
              </w:rPr>
              <w:t>Period</w:t>
            </w:r>
            <w:r>
              <w:rPr>
                <w:color w:val="FFFFFF"/>
                <w:spacing w:val="-4"/>
                <w:sz w:val="16"/>
              </w:rPr>
              <w:t xml:space="preserve"> </w:t>
            </w:r>
            <w:r>
              <w:rPr>
                <w:color w:val="FFFFFF"/>
                <w:sz w:val="16"/>
              </w:rPr>
              <w:t>to</w:t>
            </w:r>
            <w:r>
              <w:rPr>
                <w:color w:val="FFFFFF"/>
                <w:spacing w:val="-4"/>
                <w:sz w:val="16"/>
              </w:rPr>
              <w:t xml:space="preserve"> Date</w:t>
            </w:r>
          </w:p>
          <w:p w14:paraId="5E7BB79F" w14:textId="77777777" w:rsidR="00141B97" w:rsidRDefault="00911D63">
            <w:pPr>
              <w:pStyle w:val="TableParagraph"/>
              <w:spacing w:line="175" w:lineRule="exact"/>
              <w:ind w:left="233" w:right="225"/>
              <w:jc w:val="center"/>
              <w:rPr>
                <w:sz w:val="16"/>
              </w:rPr>
            </w:pPr>
            <w:r>
              <w:rPr>
                <w:color w:val="FFFFFF"/>
                <w:spacing w:val="-2"/>
                <w:sz w:val="16"/>
              </w:rPr>
              <w:t>Total</w:t>
            </w:r>
          </w:p>
        </w:tc>
        <w:tc>
          <w:tcPr>
            <w:tcW w:w="1358" w:type="dxa"/>
            <w:gridSpan w:val="2"/>
            <w:tcBorders>
              <w:top w:val="nil"/>
              <w:right w:val="nil"/>
            </w:tcBorders>
            <w:shd w:val="clear" w:color="auto" w:fill="0064A4"/>
          </w:tcPr>
          <w:p w14:paraId="4B4034BD" w14:textId="77777777" w:rsidR="00141B97" w:rsidRDefault="00911D63">
            <w:pPr>
              <w:pStyle w:val="TableParagraph"/>
              <w:ind w:left="370"/>
              <w:rPr>
                <w:sz w:val="16"/>
              </w:rPr>
            </w:pPr>
            <w:r>
              <w:rPr>
                <w:color w:val="FFFFFF"/>
                <w:spacing w:val="-2"/>
                <w:sz w:val="16"/>
              </w:rPr>
              <w:t>Variances</w:t>
            </w:r>
          </w:p>
        </w:tc>
      </w:tr>
      <w:tr w:rsidR="00141B97" w14:paraId="00822176" w14:textId="77777777">
        <w:trPr>
          <w:trHeight w:val="195"/>
          <w:tblCellSpacing w:w="4" w:type="dxa"/>
        </w:trPr>
        <w:tc>
          <w:tcPr>
            <w:tcW w:w="1420" w:type="dxa"/>
            <w:tcBorders>
              <w:left w:val="nil"/>
              <w:right w:val="nil"/>
            </w:tcBorders>
            <w:shd w:val="clear" w:color="auto" w:fill="0064A4"/>
          </w:tcPr>
          <w:p w14:paraId="5EA32213" w14:textId="77777777" w:rsidR="00141B97" w:rsidRDefault="00911D63">
            <w:pPr>
              <w:pStyle w:val="TableParagraph"/>
              <w:spacing w:line="175" w:lineRule="exact"/>
              <w:ind w:left="95"/>
              <w:rPr>
                <w:sz w:val="16"/>
              </w:rPr>
            </w:pPr>
            <w:r>
              <w:rPr>
                <w:color w:val="FFFFFF"/>
                <w:sz w:val="16"/>
              </w:rPr>
              <w:t>Sm,</w:t>
            </w:r>
            <w:r>
              <w:rPr>
                <w:color w:val="FFFFFF"/>
                <w:spacing w:val="-3"/>
                <w:sz w:val="16"/>
              </w:rPr>
              <w:t xml:space="preserve"> </w:t>
            </w:r>
            <w:r>
              <w:rPr>
                <w:color w:val="FFFFFF"/>
                <w:spacing w:val="-2"/>
                <w:sz w:val="16"/>
              </w:rPr>
              <w:t>1/1/23</w:t>
            </w:r>
          </w:p>
        </w:tc>
        <w:tc>
          <w:tcPr>
            <w:tcW w:w="746" w:type="dxa"/>
            <w:tcBorders>
              <w:left w:val="nil"/>
              <w:right w:val="nil"/>
            </w:tcBorders>
            <w:shd w:val="clear" w:color="auto" w:fill="0064A4"/>
          </w:tcPr>
          <w:p w14:paraId="335F1788" w14:textId="77777777" w:rsidR="00141B97" w:rsidRDefault="00911D63">
            <w:pPr>
              <w:pStyle w:val="TableParagraph"/>
              <w:spacing w:line="175" w:lineRule="exact"/>
              <w:ind w:left="101"/>
              <w:rPr>
                <w:sz w:val="16"/>
              </w:rPr>
            </w:pPr>
            <w:r>
              <w:rPr>
                <w:color w:val="FFFFFF"/>
                <w:spacing w:val="-2"/>
                <w:sz w:val="16"/>
              </w:rPr>
              <w:t>Budget</w:t>
            </w:r>
          </w:p>
        </w:tc>
        <w:tc>
          <w:tcPr>
            <w:tcW w:w="700" w:type="dxa"/>
            <w:tcBorders>
              <w:left w:val="nil"/>
            </w:tcBorders>
            <w:shd w:val="clear" w:color="auto" w:fill="0064A4"/>
          </w:tcPr>
          <w:p w14:paraId="62169412" w14:textId="77777777" w:rsidR="00141B97" w:rsidRDefault="00911D63">
            <w:pPr>
              <w:pStyle w:val="TableParagraph"/>
              <w:spacing w:line="175" w:lineRule="exact"/>
              <w:ind w:left="100"/>
              <w:rPr>
                <w:sz w:val="16"/>
              </w:rPr>
            </w:pPr>
            <w:r>
              <w:rPr>
                <w:color w:val="FFFFFF"/>
                <w:spacing w:val="-2"/>
                <w:sz w:val="16"/>
              </w:rPr>
              <w:t>Actual</w:t>
            </w:r>
          </w:p>
        </w:tc>
        <w:tc>
          <w:tcPr>
            <w:tcW w:w="704" w:type="dxa"/>
            <w:shd w:val="clear" w:color="auto" w:fill="0064A4"/>
          </w:tcPr>
          <w:p w14:paraId="173B6450" w14:textId="77777777" w:rsidR="00141B97" w:rsidRDefault="00911D63">
            <w:pPr>
              <w:pStyle w:val="TableParagraph"/>
              <w:spacing w:line="175" w:lineRule="exact"/>
              <w:ind w:right="128"/>
              <w:jc w:val="right"/>
              <w:rPr>
                <w:sz w:val="16"/>
              </w:rPr>
            </w:pPr>
            <w:r>
              <w:rPr>
                <w:color w:val="FFFFFF"/>
                <w:spacing w:val="-2"/>
                <w:sz w:val="16"/>
              </w:rPr>
              <w:t>Budget</w:t>
            </w:r>
          </w:p>
        </w:tc>
        <w:tc>
          <w:tcPr>
            <w:tcW w:w="698" w:type="dxa"/>
            <w:shd w:val="clear" w:color="auto" w:fill="0064A4"/>
          </w:tcPr>
          <w:p w14:paraId="5C840882" w14:textId="77777777" w:rsidR="00141B97" w:rsidRDefault="00911D63">
            <w:pPr>
              <w:pStyle w:val="TableParagraph"/>
              <w:spacing w:line="175" w:lineRule="exact"/>
              <w:ind w:left="104"/>
              <w:rPr>
                <w:sz w:val="16"/>
              </w:rPr>
            </w:pPr>
            <w:r>
              <w:rPr>
                <w:color w:val="FFFFFF"/>
                <w:spacing w:val="-2"/>
                <w:sz w:val="16"/>
              </w:rPr>
              <w:t>Actual</w:t>
            </w:r>
          </w:p>
        </w:tc>
        <w:tc>
          <w:tcPr>
            <w:tcW w:w="704" w:type="dxa"/>
            <w:shd w:val="clear" w:color="auto" w:fill="0064A4"/>
          </w:tcPr>
          <w:p w14:paraId="50474CF3" w14:textId="77777777" w:rsidR="00141B97" w:rsidRDefault="00911D63">
            <w:pPr>
              <w:pStyle w:val="TableParagraph"/>
              <w:spacing w:line="175" w:lineRule="exact"/>
              <w:ind w:right="127"/>
              <w:jc w:val="right"/>
              <w:rPr>
                <w:sz w:val="16"/>
              </w:rPr>
            </w:pPr>
            <w:r>
              <w:rPr>
                <w:color w:val="FFFFFF"/>
                <w:spacing w:val="-2"/>
                <w:sz w:val="16"/>
              </w:rPr>
              <w:t>Budget</w:t>
            </w:r>
          </w:p>
        </w:tc>
        <w:tc>
          <w:tcPr>
            <w:tcW w:w="698" w:type="dxa"/>
            <w:shd w:val="clear" w:color="auto" w:fill="0064A4"/>
          </w:tcPr>
          <w:p w14:paraId="5A5FEB6E" w14:textId="77777777" w:rsidR="00141B97" w:rsidRDefault="00911D63">
            <w:pPr>
              <w:pStyle w:val="TableParagraph"/>
              <w:spacing w:line="175" w:lineRule="exact"/>
              <w:ind w:left="105"/>
              <w:rPr>
                <w:sz w:val="16"/>
              </w:rPr>
            </w:pPr>
            <w:r>
              <w:rPr>
                <w:color w:val="FFFFFF"/>
                <w:spacing w:val="-2"/>
                <w:sz w:val="16"/>
              </w:rPr>
              <w:t>Actual</w:t>
            </w:r>
          </w:p>
        </w:tc>
        <w:tc>
          <w:tcPr>
            <w:tcW w:w="706" w:type="dxa"/>
            <w:shd w:val="clear" w:color="auto" w:fill="0064A4"/>
          </w:tcPr>
          <w:p w14:paraId="2CD7BD0B" w14:textId="77777777" w:rsidR="00141B97" w:rsidRDefault="00911D63">
            <w:pPr>
              <w:pStyle w:val="TableParagraph"/>
              <w:spacing w:line="175" w:lineRule="exact"/>
              <w:ind w:right="128"/>
              <w:jc w:val="right"/>
              <w:rPr>
                <w:sz w:val="16"/>
              </w:rPr>
            </w:pPr>
            <w:r>
              <w:rPr>
                <w:color w:val="FFFFFF"/>
                <w:spacing w:val="-2"/>
                <w:sz w:val="16"/>
              </w:rPr>
              <w:t>Budget</w:t>
            </w:r>
          </w:p>
        </w:tc>
        <w:tc>
          <w:tcPr>
            <w:tcW w:w="698" w:type="dxa"/>
            <w:shd w:val="clear" w:color="auto" w:fill="0064A4"/>
          </w:tcPr>
          <w:p w14:paraId="6B7C1FEB" w14:textId="77777777" w:rsidR="00141B97" w:rsidRDefault="00911D63">
            <w:pPr>
              <w:pStyle w:val="TableParagraph"/>
              <w:spacing w:line="175" w:lineRule="exact"/>
              <w:ind w:left="106"/>
              <w:rPr>
                <w:sz w:val="16"/>
              </w:rPr>
            </w:pPr>
            <w:r>
              <w:rPr>
                <w:color w:val="FFFFFF"/>
                <w:spacing w:val="-2"/>
                <w:sz w:val="16"/>
              </w:rPr>
              <w:t>Actual</w:t>
            </w:r>
          </w:p>
        </w:tc>
        <w:tc>
          <w:tcPr>
            <w:tcW w:w="705" w:type="dxa"/>
            <w:shd w:val="clear" w:color="auto" w:fill="0064A4"/>
          </w:tcPr>
          <w:p w14:paraId="13E15ACF" w14:textId="77777777" w:rsidR="00141B97" w:rsidRDefault="00911D63">
            <w:pPr>
              <w:pStyle w:val="TableParagraph"/>
              <w:spacing w:line="175" w:lineRule="exact"/>
              <w:ind w:right="126"/>
              <w:jc w:val="right"/>
              <w:rPr>
                <w:sz w:val="16"/>
              </w:rPr>
            </w:pPr>
            <w:r>
              <w:rPr>
                <w:color w:val="FFFFFF"/>
                <w:spacing w:val="-2"/>
                <w:sz w:val="16"/>
              </w:rPr>
              <w:t>Budget</w:t>
            </w:r>
          </w:p>
        </w:tc>
        <w:tc>
          <w:tcPr>
            <w:tcW w:w="701" w:type="dxa"/>
            <w:shd w:val="clear" w:color="auto" w:fill="0064A4"/>
          </w:tcPr>
          <w:p w14:paraId="476561FC" w14:textId="77777777" w:rsidR="00141B97" w:rsidRDefault="00911D63">
            <w:pPr>
              <w:pStyle w:val="TableParagraph"/>
              <w:spacing w:line="175" w:lineRule="exact"/>
              <w:ind w:left="107"/>
              <w:rPr>
                <w:sz w:val="16"/>
              </w:rPr>
            </w:pPr>
            <w:r>
              <w:rPr>
                <w:color w:val="FFFFFF"/>
                <w:spacing w:val="-2"/>
                <w:sz w:val="16"/>
              </w:rPr>
              <w:t>Actual</w:t>
            </w:r>
          </w:p>
        </w:tc>
        <w:tc>
          <w:tcPr>
            <w:tcW w:w="681" w:type="dxa"/>
            <w:shd w:val="clear" w:color="auto" w:fill="0064A4"/>
          </w:tcPr>
          <w:p w14:paraId="176CCF86" w14:textId="77777777" w:rsidR="00141B97" w:rsidRDefault="00911D63">
            <w:pPr>
              <w:pStyle w:val="TableParagraph"/>
              <w:spacing w:line="175" w:lineRule="exact"/>
              <w:ind w:left="108"/>
              <w:rPr>
                <w:sz w:val="16"/>
              </w:rPr>
            </w:pPr>
            <w:r>
              <w:rPr>
                <w:color w:val="FFFFFF"/>
                <w:spacing w:val="-5"/>
                <w:sz w:val="16"/>
              </w:rPr>
              <w:t>$m</w:t>
            </w:r>
          </w:p>
        </w:tc>
        <w:tc>
          <w:tcPr>
            <w:tcW w:w="677" w:type="dxa"/>
            <w:tcBorders>
              <w:right w:val="nil"/>
            </w:tcBorders>
            <w:shd w:val="clear" w:color="auto" w:fill="0064A4"/>
          </w:tcPr>
          <w:p w14:paraId="44620C64" w14:textId="77777777" w:rsidR="00141B97" w:rsidRDefault="00911D63">
            <w:pPr>
              <w:pStyle w:val="TableParagraph"/>
              <w:spacing w:line="175" w:lineRule="exact"/>
              <w:ind w:left="108"/>
              <w:rPr>
                <w:sz w:val="16"/>
              </w:rPr>
            </w:pPr>
            <w:r>
              <w:rPr>
                <w:color w:val="FFFFFF"/>
                <w:w w:val="99"/>
                <w:sz w:val="16"/>
              </w:rPr>
              <w:t>%</w:t>
            </w:r>
          </w:p>
        </w:tc>
      </w:tr>
      <w:tr w:rsidR="00141B97" w14:paraId="16B0C462" w14:textId="77777777">
        <w:trPr>
          <w:trHeight w:val="195"/>
          <w:tblCellSpacing w:w="4" w:type="dxa"/>
        </w:trPr>
        <w:tc>
          <w:tcPr>
            <w:tcW w:w="1420" w:type="dxa"/>
            <w:tcBorders>
              <w:left w:val="nil"/>
              <w:right w:val="nil"/>
            </w:tcBorders>
            <w:shd w:val="clear" w:color="auto" w:fill="CCE2ED"/>
          </w:tcPr>
          <w:p w14:paraId="1B4A6A23" w14:textId="77777777" w:rsidR="00141B97" w:rsidRDefault="00911D63">
            <w:pPr>
              <w:pStyle w:val="TableParagraph"/>
              <w:spacing w:line="175" w:lineRule="exact"/>
              <w:ind w:left="95"/>
              <w:rPr>
                <w:sz w:val="16"/>
              </w:rPr>
            </w:pPr>
            <w:r>
              <w:rPr>
                <w:spacing w:val="-2"/>
                <w:sz w:val="16"/>
              </w:rPr>
              <w:t>Irrigation</w:t>
            </w:r>
          </w:p>
        </w:tc>
        <w:tc>
          <w:tcPr>
            <w:tcW w:w="746" w:type="dxa"/>
            <w:tcBorders>
              <w:left w:val="nil"/>
              <w:right w:val="nil"/>
            </w:tcBorders>
            <w:shd w:val="clear" w:color="auto" w:fill="CCE2ED"/>
          </w:tcPr>
          <w:p w14:paraId="10D67206" w14:textId="77777777" w:rsidR="00141B97" w:rsidRDefault="00911D63">
            <w:pPr>
              <w:pStyle w:val="TableParagraph"/>
              <w:spacing w:line="175" w:lineRule="exact"/>
              <w:ind w:right="97"/>
              <w:jc w:val="right"/>
              <w:rPr>
                <w:sz w:val="16"/>
              </w:rPr>
            </w:pPr>
            <w:r>
              <w:rPr>
                <w:spacing w:val="-2"/>
                <w:sz w:val="16"/>
              </w:rPr>
              <w:t>15.10</w:t>
            </w:r>
          </w:p>
        </w:tc>
        <w:tc>
          <w:tcPr>
            <w:tcW w:w="700" w:type="dxa"/>
            <w:tcBorders>
              <w:left w:val="nil"/>
            </w:tcBorders>
            <w:shd w:val="clear" w:color="auto" w:fill="CCE2ED"/>
          </w:tcPr>
          <w:p w14:paraId="0DE0FCBA" w14:textId="77777777" w:rsidR="00141B97" w:rsidRDefault="00911D63">
            <w:pPr>
              <w:pStyle w:val="TableParagraph"/>
              <w:spacing w:line="175" w:lineRule="exact"/>
              <w:ind w:right="100"/>
              <w:jc w:val="right"/>
              <w:rPr>
                <w:sz w:val="16"/>
              </w:rPr>
            </w:pPr>
            <w:r>
              <w:rPr>
                <w:spacing w:val="-4"/>
                <w:sz w:val="16"/>
              </w:rPr>
              <w:t>9.34</w:t>
            </w:r>
          </w:p>
        </w:tc>
        <w:tc>
          <w:tcPr>
            <w:tcW w:w="704" w:type="dxa"/>
            <w:shd w:val="clear" w:color="auto" w:fill="CCE2ED"/>
          </w:tcPr>
          <w:p w14:paraId="0B4C31AB" w14:textId="77777777" w:rsidR="00141B97" w:rsidRDefault="00911D63">
            <w:pPr>
              <w:pStyle w:val="TableParagraph"/>
              <w:spacing w:line="175" w:lineRule="exact"/>
              <w:ind w:right="100"/>
              <w:jc w:val="right"/>
              <w:rPr>
                <w:sz w:val="16"/>
              </w:rPr>
            </w:pPr>
            <w:r>
              <w:rPr>
                <w:spacing w:val="-4"/>
                <w:sz w:val="16"/>
              </w:rPr>
              <w:t>6.17</w:t>
            </w:r>
          </w:p>
        </w:tc>
        <w:tc>
          <w:tcPr>
            <w:tcW w:w="698" w:type="dxa"/>
            <w:shd w:val="clear" w:color="auto" w:fill="CCE2ED"/>
          </w:tcPr>
          <w:p w14:paraId="051A30E6" w14:textId="77777777" w:rsidR="00141B97" w:rsidRDefault="00911D63">
            <w:pPr>
              <w:pStyle w:val="TableParagraph"/>
              <w:spacing w:line="175" w:lineRule="exact"/>
              <w:ind w:right="100"/>
              <w:jc w:val="right"/>
              <w:rPr>
                <w:sz w:val="16"/>
              </w:rPr>
            </w:pPr>
            <w:r>
              <w:rPr>
                <w:spacing w:val="-4"/>
                <w:sz w:val="16"/>
              </w:rPr>
              <w:t>7.47</w:t>
            </w:r>
          </w:p>
        </w:tc>
        <w:tc>
          <w:tcPr>
            <w:tcW w:w="704" w:type="dxa"/>
            <w:shd w:val="clear" w:color="auto" w:fill="CCE2ED"/>
          </w:tcPr>
          <w:p w14:paraId="58D29320" w14:textId="77777777" w:rsidR="00141B97" w:rsidRDefault="00911D63">
            <w:pPr>
              <w:pStyle w:val="TableParagraph"/>
              <w:spacing w:line="175" w:lineRule="exact"/>
              <w:ind w:right="100"/>
              <w:jc w:val="right"/>
              <w:rPr>
                <w:sz w:val="16"/>
              </w:rPr>
            </w:pPr>
            <w:r>
              <w:rPr>
                <w:spacing w:val="-4"/>
                <w:sz w:val="16"/>
              </w:rPr>
              <w:t>5.33</w:t>
            </w:r>
          </w:p>
        </w:tc>
        <w:tc>
          <w:tcPr>
            <w:tcW w:w="698" w:type="dxa"/>
            <w:shd w:val="clear" w:color="auto" w:fill="CCE2ED"/>
          </w:tcPr>
          <w:p w14:paraId="21631139" w14:textId="77777777" w:rsidR="00141B97" w:rsidRDefault="00911D63">
            <w:pPr>
              <w:pStyle w:val="TableParagraph"/>
              <w:spacing w:line="175" w:lineRule="exact"/>
              <w:ind w:right="99"/>
              <w:jc w:val="right"/>
              <w:rPr>
                <w:sz w:val="16"/>
              </w:rPr>
            </w:pPr>
            <w:r>
              <w:rPr>
                <w:spacing w:val="-4"/>
                <w:sz w:val="16"/>
              </w:rPr>
              <w:t>5.13</w:t>
            </w:r>
          </w:p>
        </w:tc>
        <w:tc>
          <w:tcPr>
            <w:tcW w:w="706" w:type="dxa"/>
            <w:shd w:val="clear" w:color="auto" w:fill="CCE2ED"/>
          </w:tcPr>
          <w:p w14:paraId="70988ABA" w14:textId="77777777" w:rsidR="00141B97" w:rsidRDefault="00911D63">
            <w:pPr>
              <w:pStyle w:val="TableParagraph"/>
              <w:spacing w:line="175" w:lineRule="exact"/>
              <w:ind w:right="98"/>
              <w:jc w:val="right"/>
              <w:rPr>
                <w:sz w:val="16"/>
              </w:rPr>
            </w:pPr>
            <w:r>
              <w:rPr>
                <w:spacing w:val="-4"/>
                <w:sz w:val="16"/>
              </w:rPr>
              <w:t>4.39</w:t>
            </w:r>
          </w:p>
        </w:tc>
        <w:tc>
          <w:tcPr>
            <w:tcW w:w="698" w:type="dxa"/>
            <w:shd w:val="clear" w:color="auto" w:fill="CCE2ED"/>
          </w:tcPr>
          <w:p w14:paraId="270EE54D" w14:textId="77777777" w:rsidR="00141B97" w:rsidRDefault="00911D63">
            <w:pPr>
              <w:pStyle w:val="TableParagraph"/>
              <w:spacing w:line="175" w:lineRule="exact"/>
              <w:ind w:right="98"/>
              <w:jc w:val="right"/>
              <w:rPr>
                <w:sz w:val="16"/>
              </w:rPr>
            </w:pPr>
            <w:r>
              <w:rPr>
                <w:spacing w:val="-4"/>
                <w:sz w:val="16"/>
              </w:rPr>
              <w:t>7.97</w:t>
            </w:r>
          </w:p>
        </w:tc>
        <w:tc>
          <w:tcPr>
            <w:tcW w:w="705" w:type="dxa"/>
            <w:shd w:val="clear" w:color="auto" w:fill="CCE2ED"/>
          </w:tcPr>
          <w:p w14:paraId="017F8BD3" w14:textId="77777777" w:rsidR="00141B97" w:rsidRDefault="00911D63">
            <w:pPr>
              <w:pStyle w:val="TableParagraph"/>
              <w:spacing w:line="175" w:lineRule="exact"/>
              <w:ind w:right="97"/>
              <w:jc w:val="right"/>
              <w:rPr>
                <w:sz w:val="16"/>
              </w:rPr>
            </w:pPr>
            <w:r>
              <w:rPr>
                <w:spacing w:val="-2"/>
                <w:sz w:val="16"/>
              </w:rPr>
              <w:t>30.99</w:t>
            </w:r>
          </w:p>
        </w:tc>
        <w:tc>
          <w:tcPr>
            <w:tcW w:w="701" w:type="dxa"/>
            <w:shd w:val="clear" w:color="auto" w:fill="CCE2ED"/>
          </w:tcPr>
          <w:p w14:paraId="1523D0C2" w14:textId="77777777" w:rsidR="00141B97" w:rsidRDefault="00911D63">
            <w:pPr>
              <w:pStyle w:val="TableParagraph"/>
              <w:spacing w:line="175" w:lineRule="exact"/>
              <w:ind w:right="96"/>
              <w:jc w:val="right"/>
              <w:rPr>
                <w:sz w:val="16"/>
              </w:rPr>
            </w:pPr>
            <w:r>
              <w:rPr>
                <w:spacing w:val="-2"/>
                <w:sz w:val="16"/>
              </w:rPr>
              <w:t>29.91</w:t>
            </w:r>
          </w:p>
        </w:tc>
        <w:tc>
          <w:tcPr>
            <w:tcW w:w="681" w:type="dxa"/>
            <w:shd w:val="clear" w:color="auto" w:fill="CCE2ED"/>
          </w:tcPr>
          <w:p w14:paraId="1A0C5150" w14:textId="77777777" w:rsidR="00141B97" w:rsidRDefault="00911D63">
            <w:pPr>
              <w:pStyle w:val="TableParagraph"/>
              <w:spacing w:line="175" w:lineRule="exact"/>
              <w:ind w:right="96"/>
              <w:jc w:val="right"/>
              <w:rPr>
                <w:sz w:val="16"/>
              </w:rPr>
            </w:pPr>
            <w:r>
              <w:rPr>
                <w:spacing w:val="-2"/>
                <w:sz w:val="16"/>
              </w:rPr>
              <w:t>‐1.08</w:t>
            </w:r>
          </w:p>
        </w:tc>
        <w:tc>
          <w:tcPr>
            <w:tcW w:w="677" w:type="dxa"/>
            <w:tcBorders>
              <w:right w:val="nil"/>
            </w:tcBorders>
            <w:shd w:val="clear" w:color="auto" w:fill="CCE2ED"/>
          </w:tcPr>
          <w:p w14:paraId="659816D5" w14:textId="77777777" w:rsidR="00141B97" w:rsidRDefault="00911D63">
            <w:pPr>
              <w:pStyle w:val="TableParagraph"/>
              <w:spacing w:line="175" w:lineRule="exact"/>
              <w:ind w:right="90"/>
              <w:jc w:val="right"/>
              <w:rPr>
                <w:sz w:val="16"/>
              </w:rPr>
            </w:pPr>
            <w:r>
              <w:rPr>
                <w:spacing w:val="-2"/>
                <w:sz w:val="16"/>
              </w:rPr>
              <w:t>‐3.5%</w:t>
            </w:r>
          </w:p>
        </w:tc>
      </w:tr>
      <w:tr w:rsidR="00141B97" w14:paraId="0AC0C088" w14:textId="77777777">
        <w:trPr>
          <w:trHeight w:val="193"/>
          <w:tblCellSpacing w:w="4" w:type="dxa"/>
        </w:trPr>
        <w:tc>
          <w:tcPr>
            <w:tcW w:w="1420" w:type="dxa"/>
            <w:tcBorders>
              <w:left w:val="nil"/>
              <w:bottom w:val="nil"/>
              <w:right w:val="nil"/>
            </w:tcBorders>
            <w:shd w:val="clear" w:color="auto" w:fill="CCE2ED"/>
          </w:tcPr>
          <w:p w14:paraId="166A9B0D" w14:textId="77777777" w:rsidR="00141B97" w:rsidRDefault="00911D63">
            <w:pPr>
              <w:pStyle w:val="TableParagraph"/>
              <w:spacing w:line="173" w:lineRule="exact"/>
              <w:ind w:left="95"/>
              <w:rPr>
                <w:sz w:val="16"/>
              </w:rPr>
            </w:pPr>
            <w:r>
              <w:rPr>
                <w:spacing w:val="-2"/>
                <w:sz w:val="16"/>
              </w:rPr>
              <w:t>Drainage</w:t>
            </w:r>
          </w:p>
        </w:tc>
        <w:tc>
          <w:tcPr>
            <w:tcW w:w="746" w:type="dxa"/>
            <w:tcBorders>
              <w:left w:val="nil"/>
              <w:bottom w:val="nil"/>
              <w:right w:val="nil"/>
            </w:tcBorders>
            <w:shd w:val="clear" w:color="auto" w:fill="CCE2ED"/>
          </w:tcPr>
          <w:p w14:paraId="12CB0516" w14:textId="77777777" w:rsidR="00141B97" w:rsidRDefault="00911D63">
            <w:pPr>
              <w:pStyle w:val="TableParagraph"/>
              <w:spacing w:line="173" w:lineRule="exact"/>
              <w:ind w:right="98"/>
              <w:jc w:val="right"/>
              <w:rPr>
                <w:sz w:val="16"/>
              </w:rPr>
            </w:pPr>
            <w:r>
              <w:rPr>
                <w:spacing w:val="-4"/>
                <w:sz w:val="16"/>
              </w:rPr>
              <w:t>0.25</w:t>
            </w:r>
          </w:p>
        </w:tc>
        <w:tc>
          <w:tcPr>
            <w:tcW w:w="700" w:type="dxa"/>
            <w:tcBorders>
              <w:left w:val="nil"/>
              <w:bottom w:val="nil"/>
            </w:tcBorders>
            <w:shd w:val="clear" w:color="auto" w:fill="CCE2ED"/>
          </w:tcPr>
          <w:p w14:paraId="118EDBC9" w14:textId="77777777" w:rsidR="00141B97" w:rsidRDefault="00911D63">
            <w:pPr>
              <w:pStyle w:val="TableParagraph"/>
              <w:spacing w:line="173" w:lineRule="exact"/>
              <w:ind w:right="100"/>
              <w:jc w:val="right"/>
              <w:rPr>
                <w:sz w:val="16"/>
              </w:rPr>
            </w:pPr>
            <w:r>
              <w:rPr>
                <w:spacing w:val="-4"/>
                <w:sz w:val="16"/>
              </w:rPr>
              <w:t>0.24</w:t>
            </w:r>
          </w:p>
        </w:tc>
        <w:tc>
          <w:tcPr>
            <w:tcW w:w="704" w:type="dxa"/>
            <w:tcBorders>
              <w:bottom w:val="nil"/>
            </w:tcBorders>
            <w:shd w:val="clear" w:color="auto" w:fill="CCE2ED"/>
          </w:tcPr>
          <w:p w14:paraId="309269BD" w14:textId="77777777" w:rsidR="00141B97" w:rsidRDefault="00911D63">
            <w:pPr>
              <w:pStyle w:val="TableParagraph"/>
              <w:spacing w:line="173" w:lineRule="exact"/>
              <w:ind w:right="100"/>
              <w:jc w:val="right"/>
              <w:rPr>
                <w:sz w:val="16"/>
              </w:rPr>
            </w:pPr>
            <w:r>
              <w:rPr>
                <w:spacing w:val="-4"/>
                <w:sz w:val="16"/>
              </w:rPr>
              <w:t>0.25</w:t>
            </w:r>
          </w:p>
        </w:tc>
        <w:tc>
          <w:tcPr>
            <w:tcW w:w="698" w:type="dxa"/>
            <w:tcBorders>
              <w:bottom w:val="nil"/>
            </w:tcBorders>
            <w:shd w:val="clear" w:color="auto" w:fill="CCE2ED"/>
          </w:tcPr>
          <w:p w14:paraId="7BEF4894" w14:textId="77777777" w:rsidR="00141B97" w:rsidRDefault="00911D63">
            <w:pPr>
              <w:pStyle w:val="TableParagraph"/>
              <w:spacing w:line="173" w:lineRule="exact"/>
              <w:ind w:right="100"/>
              <w:jc w:val="right"/>
              <w:rPr>
                <w:sz w:val="16"/>
              </w:rPr>
            </w:pPr>
            <w:r>
              <w:rPr>
                <w:spacing w:val="-4"/>
                <w:sz w:val="16"/>
              </w:rPr>
              <w:t>0.34</w:t>
            </w:r>
          </w:p>
        </w:tc>
        <w:tc>
          <w:tcPr>
            <w:tcW w:w="704" w:type="dxa"/>
            <w:tcBorders>
              <w:bottom w:val="nil"/>
            </w:tcBorders>
            <w:shd w:val="clear" w:color="auto" w:fill="CCE2ED"/>
          </w:tcPr>
          <w:p w14:paraId="25C05C90" w14:textId="77777777" w:rsidR="00141B97" w:rsidRDefault="00911D63">
            <w:pPr>
              <w:pStyle w:val="TableParagraph"/>
              <w:spacing w:line="173" w:lineRule="exact"/>
              <w:ind w:right="100"/>
              <w:jc w:val="right"/>
              <w:rPr>
                <w:sz w:val="16"/>
              </w:rPr>
            </w:pPr>
            <w:r>
              <w:rPr>
                <w:spacing w:val="-4"/>
                <w:sz w:val="16"/>
              </w:rPr>
              <w:t>0.25</w:t>
            </w:r>
          </w:p>
        </w:tc>
        <w:tc>
          <w:tcPr>
            <w:tcW w:w="698" w:type="dxa"/>
            <w:tcBorders>
              <w:bottom w:val="nil"/>
            </w:tcBorders>
            <w:shd w:val="clear" w:color="auto" w:fill="CCE2ED"/>
          </w:tcPr>
          <w:p w14:paraId="5FABD175" w14:textId="77777777" w:rsidR="00141B97" w:rsidRDefault="00911D63">
            <w:pPr>
              <w:pStyle w:val="TableParagraph"/>
              <w:spacing w:line="173" w:lineRule="exact"/>
              <w:ind w:right="99"/>
              <w:jc w:val="right"/>
              <w:rPr>
                <w:sz w:val="16"/>
              </w:rPr>
            </w:pPr>
            <w:r>
              <w:rPr>
                <w:spacing w:val="-4"/>
                <w:sz w:val="16"/>
              </w:rPr>
              <w:t>0.17</w:t>
            </w:r>
          </w:p>
        </w:tc>
        <w:tc>
          <w:tcPr>
            <w:tcW w:w="706" w:type="dxa"/>
            <w:tcBorders>
              <w:bottom w:val="nil"/>
            </w:tcBorders>
            <w:shd w:val="clear" w:color="auto" w:fill="CCE2ED"/>
          </w:tcPr>
          <w:p w14:paraId="5D8F6AD7" w14:textId="77777777" w:rsidR="00141B97" w:rsidRDefault="00911D63">
            <w:pPr>
              <w:pStyle w:val="TableParagraph"/>
              <w:spacing w:line="173" w:lineRule="exact"/>
              <w:ind w:right="98"/>
              <w:jc w:val="right"/>
              <w:rPr>
                <w:sz w:val="16"/>
              </w:rPr>
            </w:pPr>
            <w:r>
              <w:rPr>
                <w:spacing w:val="-4"/>
                <w:sz w:val="16"/>
              </w:rPr>
              <w:t>0.31</w:t>
            </w:r>
          </w:p>
        </w:tc>
        <w:tc>
          <w:tcPr>
            <w:tcW w:w="698" w:type="dxa"/>
            <w:tcBorders>
              <w:bottom w:val="nil"/>
            </w:tcBorders>
            <w:shd w:val="clear" w:color="auto" w:fill="CCE2ED"/>
          </w:tcPr>
          <w:p w14:paraId="6202A52D" w14:textId="77777777" w:rsidR="00141B97" w:rsidRDefault="00911D63">
            <w:pPr>
              <w:pStyle w:val="TableParagraph"/>
              <w:spacing w:line="173" w:lineRule="exact"/>
              <w:ind w:right="98"/>
              <w:jc w:val="right"/>
              <w:rPr>
                <w:sz w:val="16"/>
              </w:rPr>
            </w:pPr>
            <w:r>
              <w:rPr>
                <w:spacing w:val="-4"/>
                <w:sz w:val="16"/>
              </w:rPr>
              <w:t>0.08</w:t>
            </w:r>
          </w:p>
        </w:tc>
        <w:tc>
          <w:tcPr>
            <w:tcW w:w="705" w:type="dxa"/>
            <w:tcBorders>
              <w:bottom w:val="nil"/>
            </w:tcBorders>
            <w:shd w:val="clear" w:color="auto" w:fill="CCE2ED"/>
          </w:tcPr>
          <w:p w14:paraId="1A879ED8" w14:textId="77777777" w:rsidR="00141B97" w:rsidRDefault="00911D63">
            <w:pPr>
              <w:pStyle w:val="TableParagraph"/>
              <w:spacing w:line="173" w:lineRule="exact"/>
              <w:ind w:right="97"/>
              <w:jc w:val="right"/>
              <w:rPr>
                <w:sz w:val="16"/>
              </w:rPr>
            </w:pPr>
            <w:r>
              <w:rPr>
                <w:spacing w:val="-4"/>
                <w:sz w:val="16"/>
              </w:rPr>
              <w:t>1.05</w:t>
            </w:r>
          </w:p>
        </w:tc>
        <w:tc>
          <w:tcPr>
            <w:tcW w:w="701" w:type="dxa"/>
            <w:tcBorders>
              <w:bottom w:val="nil"/>
            </w:tcBorders>
            <w:shd w:val="clear" w:color="auto" w:fill="CCE2ED"/>
          </w:tcPr>
          <w:p w14:paraId="5FE582BC" w14:textId="77777777" w:rsidR="00141B97" w:rsidRDefault="00911D63">
            <w:pPr>
              <w:pStyle w:val="TableParagraph"/>
              <w:spacing w:line="173" w:lineRule="exact"/>
              <w:ind w:right="96"/>
              <w:jc w:val="right"/>
              <w:rPr>
                <w:sz w:val="16"/>
              </w:rPr>
            </w:pPr>
            <w:r>
              <w:rPr>
                <w:spacing w:val="-4"/>
                <w:sz w:val="16"/>
              </w:rPr>
              <w:t>0.82</w:t>
            </w:r>
          </w:p>
        </w:tc>
        <w:tc>
          <w:tcPr>
            <w:tcW w:w="681" w:type="dxa"/>
            <w:tcBorders>
              <w:bottom w:val="nil"/>
            </w:tcBorders>
            <w:shd w:val="clear" w:color="auto" w:fill="CCE2ED"/>
          </w:tcPr>
          <w:p w14:paraId="02D53DF8" w14:textId="77777777" w:rsidR="00141B97" w:rsidRDefault="00911D63">
            <w:pPr>
              <w:pStyle w:val="TableParagraph"/>
              <w:spacing w:line="173" w:lineRule="exact"/>
              <w:ind w:right="96"/>
              <w:jc w:val="right"/>
              <w:rPr>
                <w:sz w:val="16"/>
              </w:rPr>
            </w:pPr>
            <w:r>
              <w:rPr>
                <w:spacing w:val="-2"/>
                <w:sz w:val="16"/>
              </w:rPr>
              <w:t>‐0.23</w:t>
            </w:r>
          </w:p>
        </w:tc>
        <w:tc>
          <w:tcPr>
            <w:tcW w:w="677" w:type="dxa"/>
            <w:tcBorders>
              <w:bottom w:val="nil"/>
              <w:right w:val="nil"/>
            </w:tcBorders>
            <w:shd w:val="clear" w:color="auto" w:fill="CCE2ED"/>
          </w:tcPr>
          <w:p w14:paraId="49B6F423" w14:textId="77777777" w:rsidR="00141B97" w:rsidRDefault="00911D63">
            <w:pPr>
              <w:pStyle w:val="TableParagraph"/>
              <w:spacing w:line="173" w:lineRule="exact"/>
              <w:ind w:right="90"/>
              <w:jc w:val="right"/>
              <w:rPr>
                <w:sz w:val="16"/>
              </w:rPr>
            </w:pPr>
            <w:r>
              <w:rPr>
                <w:spacing w:val="-2"/>
                <w:sz w:val="16"/>
              </w:rPr>
              <w:t>‐21.8%</w:t>
            </w:r>
          </w:p>
        </w:tc>
      </w:tr>
      <w:tr w:rsidR="00141B97" w14:paraId="49F0ED48" w14:textId="77777777">
        <w:trPr>
          <w:trHeight w:val="387"/>
          <w:tblCellSpacing w:w="4" w:type="dxa"/>
        </w:trPr>
        <w:tc>
          <w:tcPr>
            <w:tcW w:w="1420" w:type="dxa"/>
            <w:tcBorders>
              <w:top w:val="nil"/>
              <w:left w:val="nil"/>
              <w:right w:val="nil"/>
            </w:tcBorders>
            <w:shd w:val="clear" w:color="auto" w:fill="CCE2ED"/>
          </w:tcPr>
          <w:p w14:paraId="1FA6D569" w14:textId="77777777" w:rsidR="00141B97" w:rsidRDefault="00911D63">
            <w:pPr>
              <w:pStyle w:val="TableParagraph"/>
              <w:spacing w:line="192" w:lineRule="exact"/>
              <w:ind w:left="95"/>
              <w:rPr>
                <w:sz w:val="16"/>
              </w:rPr>
            </w:pPr>
            <w:r>
              <w:rPr>
                <w:spacing w:val="-2"/>
                <w:sz w:val="16"/>
              </w:rPr>
              <w:t>Domestic</w:t>
            </w:r>
            <w:r>
              <w:rPr>
                <w:spacing w:val="4"/>
                <w:sz w:val="16"/>
              </w:rPr>
              <w:t xml:space="preserve"> </w:t>
            </w:r>
            <w:r>
              <w:rPr>
                <w:spacing w:val="-5"/>
                <w:sz w:val="16"/>
              </w:rPr>
              <w:t>and</w:t>
            </w:r>
          </w:p>
          <w:p w14:paraId="5E55D2DE" w14:textId="77777777" w:rsidR="00141B97" w:rsidRDefault="00911D63">
            <w:pPr>
              <w:pStyle w:val="TableParagraph"/>
              <w:spacing w:line="175" w:lineRule="exact"/>
              <w:ind w:left="95"/>
              <w:rPr>
                <w:sz w:val="16"/>
              </w:rPr>
            </w:pPr>
            <w:r>
              <w:rPr>
                <w:spacing w:val="-2"/>
                <w:sz w:val="16"/>
              </w:rPr>
              <w:t>Stock</w:t>
            </w:r>
          </w:p>
        </w:tc>
        <w:tc>
          <w:tcPr>
            <w:tcW w:w="746" w:type="dxa"/>
            <w:tcBorders>
              <w:top w:val="nil"/>
              <w:left w:val="nil"/>
              <w:right w:val="nil"/>
            </w:tcBorders>
            <w:shd w:val="clear" w:color="auto" w:fill="CCE2ED"/>
          </w:tcPr>
          <w:p w14:paraId="1D87718E" w14:textId="77777777" w:rsidR="00141B97" w:rsidRDefault="00911D63">
            <w:pPr>
              <w:pStyle w:val="TableParagraph"/>
              <w:spacing w:before="95"/>
              <w:ind w:right="98"/>
              <w:jc w:val="right"/>
              <w:rPr>
                <w:sz w:val="16"/>
              </w:rPr>
            </w:pPr>
            <w:r>
              <w:rPr>
                <w:spacing w:val="-4"/>
                <w:sz w:val="16"/>
              </w:rPr>
              <w:t>0.07</w:t>
            </w:r>
          </w:p>
        </w:tc>
        <w:tc>
          <w:tcPr>
            <w:tcW w:w="700" w:type="dxa"/>
            <w:tcBorders>
              <w:top w:val="nil"/>
              <w:left w:val="nil"/>
            </w:tcBorders>
            <w:shd w:val="clear" w:color="auto" w:fill="CCE2ED"/>
          </w:tcPr>
          <w:p w14:paraId="701C256E" w14:textId="77777777" w:rsidR="00141B97" w:rsidRDefault="00911D63">
            <w:pPr>
              <w:pStyle w:val="TableParagraph"/>
              <w:spacing w:before="95"/>
              <w:ind w:right="100"/>
              <w:jc w:val="right"/>
              <w:rPr>
                <w:sz w:val="16"/>
              </w:rPr>
            </w:pPr>
            <w:r>
              <w:rPr>
                <w:spacing w:val="-4"/>
                <w:sz w:val="16"/>
              </w:rPr>
              <w:t>0.13</w:t>
            </w:r>
          </w:p>
        </w:tc>
        <w:tc>
          <w:tcPr>
            <w:tcW w:w="704" w:type="dxa"/>
            <w:tcBorders>
              <w:top w:val="nil"/>
            </w:tcBorders>
            <w:shd w:val="clear" w:color="auto" w:fill="CCE2ED"/>
          </w:tcPr>
          <w:p w14:paraId="02D4ECCB" w14:textId="77777777" w:rsidR="00141B97" w:rsidRDefault="00911D63">
            <w:pPr>
              <w:pStyle w:val="TableParagraph"/>
              <w:spacing w:before="95"/>
              <w:ind w:right="100"/>
              <w:jc w:val="right"/>
              <w:rPr>
                <w:sz w:val="16"/>
              </w:rPr>
            </w:pPr>
            <w:r>
              <w:rPr>
                <w:spacing w:val="-4"/>
                <w:sz w:val="16"/>
              </w:rPr>
              <w:t>0.07</w:t>
            </w:r>
          </w:p>
        </w:tc>
        <w:tc>
          <w:tcPr>
            <w:tcW w:w="698" w:type="dxa"/>
            <w:tcBorders>
              <w:top w:val="nil"/>
            </w:tcBorders>
            <w:shd w:val="clear" w:color="auto" w:fill="CCE2ED"/>
          </w:tcPr>
          <w:p w14:paraId="3D8CD6BA" w14:textId="77777777" w:rsidR="00141B97" w:rsidRDefault="00911D63">
            <w:pPr>
              <w:pStyle w:val="TableParagraph"/>
              <w:spacing w:before="95"/>
              <w:ind w:right="100"/>
              <w:jc w:val="right"/>
              <w:rPr>
                <w:sz w:val="16"/>
              </w:rPr>
            </w:pPr>
            <w:r>
              <w:rPr>
                <w:spacing w:val="-4"/>
                <w:sz w:val="16"/>
              </w:rPr>
              <w:t>0.16</w:t>
            </w:r>
          </w:p>
        </w:tc>
        <w:tc>
          <w:tcPr>
            <w:tcW w:w="704" w:type="dxa"/>
            <w:tcBorders>
              <w:top w:val="nil"/>
            </w:tcBorders>
            <w:shd w:val="clear" w:color="auto" w:fill="CCE2ED"/>
          </w:tcPr>
          <w:p w14:paraId="5F167324" w14:textId="77777777" w:rsidR="00141B97" w:rsidRDefault="00911D63">
            <w:pPr>
              <w:pStyle w:val="TableParagraph"/>
              <w:spacing w:before="95"/>
              <w:ind w:right="100"/>
              <w:jc w:val="right"/>
              <w:rPr>
                <w:sz w:val="16"/>
              </w:rPr>
            </w:pPr>
            <w:r>
              <w:rPr>
                <w:spacing w:val="-4"/>
                <w:sz w:val="16"/>
              </w:rPr>
              <w:t>0.07</w:t>
            </w:r>
          </w:p>
        </w:tc>
        <w:tc>
          <w:tcPr>
            <w:tcW w:w="698" w:type="dxa"/>
            <w:tcBorders>
              <w:top w:val="nil"/>
            </w:tcBorders>
            <w:shd w:val="clear" w:color="auto" w:fill="CCE2ED"/>
          </w:tcPr>
          <w:p w14:paraId="7B4C0730" w14:textId="77777777" w:rsidR="00141B97" w:rsidRDefault="00911D63">
            <w:pPr>
              <w:pStyle w:val="TableParagraph"/>
              <w:spacing w:before="95"/>
              <w:ind w:right="99"/>
              <w:jc w:val="right"/>
              <w:rPr>
                <w:sz w:val="16"/>
              </w:rPr>
            </w:pPr>
            <w:r>
              <w:rPr>
                <w:spacing w:val="-4"/>
                <w:sz w:val="16"/>
              </w:rPr>
              <w:t>0.08</w:t>
            </w:r>
          </w:p>
        </w:tc>
        <w:tc>
          <w:tcPr>
            <w:tcW w:w="706" w:type="dxa"/>
            <w:tcBorders>
              <w:top w:val="nil"/>
            </w:tcBorders>
            <w:shd w:val="clear" w:color="auto" w:fill="CCE2ED"/>
          </w:tcPr>
          <w:p w14:paraId="2EBCB7D9" w14:textId="77777777" w:rsidR="00141B97" w:rsidRDefault="00911D63">
            <w:pPr>
              <w:pStyle w:val="TableParagraph"/>
              <w:spacing w:before="95"/>
              <w:ind w:right="98"/>
              <w:jc w:val="right"/>
              <w:rPr>
                <w:sz w:val="16"/>
              </w:rPr>
            </w:pPr>
            <w:r>
              <w:rPr>
                <w:spacing w:val="-4"/>
                <w:sz w:val="16"/>
              </w:rPr>
              <w:t>0.07</w:t>
            </w:r>
          </w:p>
        </w:tc>
        <w:tc>
          <w:tcPr>
            <w:tcW w:w="698" w:type="dxa"/>
            <w:tcBorders>
              <w:top w:val="nil"/>
            </w:tcBorders>
            <w:shd w:val="clear" w:color="auto" w:fill="CCE2ED"/>
          </w:tcPr>
          <w:p w14:paraId="18E5B99B" w14:textId="77777777" w:rsidR="00141B97" w:rsidRDefault="00911D63">
            <w:pPr>
              <w:pStyle w:val="TableParagraph"/>
              <w:spacing w:before="95"/>
              <w:ind w:right="98"/>
              <w:jc w:val="right"/>
              <w:rPr>
                <w:sz w:val="16"/>
              </w:rPr>
            </w:pPr>
            <w:r>
              <w:rPr>
                <w:spacing w:val="-4"/>
                <w:sz w:val="16"/>
              </w:rPr>
              <w:t>0.07</w:t>
            </w:r>
          </w:p>
        </w:tc>
        <w:tc>
          <w:tcPr>
            <w:tcW w:w="705" w:type="dxa"/>
            <w:tcBorders>
              <w:top w:val="nil"/>
            </w:tcBorders>
            <w:shd w:val="clear" w:color="auto" w:fill="CCE2ED"/>
          </w:tcPr>
          <w:p w14:paraId="400E2482" w14:textId="77777777" w:rsidR="00141B97" w:rsidRDefault="00911D63">
            <w:pPr>
              <w:pStyle w:val="TableParagraph"/>
              <w:spacing w:before="95"/>
              <w:ind w:right="97"/>
              <w:jc w:val="right"/>
              <w:rPr>
                <w:sz w:val="16"/>
              </w:rPr>
            </w:pPr>
            <w:r>
              <w:rPr>
                <w:spacing w:val="-4"/>
                <w:sz w:val="16"/>
              </w:rPr>
              <w:t>0.27</w:t>
            </w:r>
          </w:p>
        </w:tc>
        <w:tc>
          <w:tcPr>
            <w:tcW w:w="701" w:type="dxa"/>
            <w:tcBorders>
              <w:top w:val="nil"/>
            </w:tcBorders>
            <w:shd w:val="clear" w:color="auto" w:fill="CCE2ED"/>
          </w:tcPr>
          <w:p w14:paraId="799B67B7" w14:textId="77777777" w:rsidR="00141B97" w:rsidRDefault="00911D63">
            <w:pPr>
              <w:pStyle w:val="TableParagraph"/>
              <w:spacing w:before="95"/>
              <w:ind w:right="96"/>
              <w:jc w:val="right"/>
              <w:rPr>
                <w:sz w:val="16"/>
              </w:rPr>
            </w:pPr>
            <w:r>
              <w:rPr>
                <w:spacing w:val="-4"/>
                <w:sz w:val="16"/>
              </w:rPr>
              <w:t>0.44</w:t>
            </w:r>
          </w:p>
        </w:tc>
        <w:tc>
          <w:tcPr>
            <w:tcW w:w="681" w:type="dxa"/>
            <w:tcBorders>
              <w:top w:val="nil"/>
            </w:tcBorders>
            <w:shd w:val="clear" w:color="auto" w:fill="CCE2ED"/>
          </w:tcPr>
          <w:p w14:paraId="59E6C52D" w14:textId="77777777" w:rsidR="00141B97" w:rsidRDefault="00911D63">
            <w:pPr>
              <w:pStyle w:val="TableParagraph"/>
              <w:spacing w:before="95"/>
              <w:ind w:right="96"/>
              <w:jc w:val="right"/>
              <w:rPr>
                <w:sz w:val="16"/>
              </w:rPr>
            </w:pPr>
            <w:r>
              <w:rPr>
                <w:spacing w:val="-4"/>
                <w:sz w:val="16"/>
              </w:rPr>
              <w:t>0.17</w:t>
            </w:r>
          </w:p>
        </w:tc>
        <w:tc>
          <w:tcPr>
            <w:tcW w:w="677" w:type="dxa"/>
            <w:tcBorders>
              <w:top w:val="nil"/>
              <w:right w:val="nil"/>
            </w:tcBorders>
            <w:shd w:val="clear" w:color="auto" w:fill="CCE2ED"/>
          </w:tcPr>
          <w:p w14:paraId="05272632" w14:textId="77777777" w:rsidR="00141B97" w:rsidRDefault="00911D63">
            <w:pPr>
              <w:pStyle w:val="TableParagraph"/>
              <w:spacing w:before="95"/>
              <w:ind w:right="90"/>
              <w:jc w:val="right"/>
              <w:rPr>
                <w:sz w:val="16"/>
              </w:rPr>
            </w:pPr>
            <w:r>
              <w:rPr>
                <w:spacing w:val="-5"/>
                <w:sz w:val="16"/>
              </w:rPr>
              <w:t>65%</w:t>
            </w:r>
          </w:p>
        </w:tc>
      </w:tr>
      <w:tr w:rsidR="00141B97" w14:paraId="0B694DBE" w14:textId="77777777">
        <w:trPr>
          <w:trHeight w:val="390"/>
          <w:tblCellSpacing w:w="4" w:type="dxa"/>
        </w:trPr>
        <w:tc>
          <w:tcPr>
            <w:tcW w:w="1420" w:type="dxa"/>
            <w:tcBorders>
              <w:left w:val="nil"/>
              <w:right w:val="nil"/>
            </w:tcBorders>
            <w:shd w:val="clear" w:color="auto" w:fill="CCE2ED"/>
          </w:tcPr>
          <w:p w14:paraId="3ACBC7EF" w14:textId="77777777" w:rsidR="00141B97" w:rsidRDefault="00911D63">
            <w:pPr>
              <w:pStyle w:val="TableParagraph"/>
              <w:ind w:left="95"/>
              <w:rPr>
                <w:sz w:val="16"/>
              </w:rPr>
            </w:pPr>
            <w:r>
              <w:rPr>
                <w:sz w:val="16"/>
              </w:rPr>
              <w:t>Surface</w:t>
            </w:r>
            <w:r>
              <w:rPr>
                <w:spacing w:val="-6"/>
                <w:sz w:val="16"/>
              </w:rPr>
              <w:t xml:space="preserve"> </w:t>
            </w:r>
            <w:r>
              <w:rPr>
                <w:spacing w:val="-2"/>
                <w:sz w:val="16"/>
              </w:rPr>
              <w:t>water</w:t>
            </w:r>
          </w:p>
          <w:p w14:paraId="36C2016E" w14:textId="77777777" w:rsidR="00141B97" w:rsidRDefault="00911D63">
            <w:pPr>
              <w:pStyle w:val="TableParagraph"/>
              <w:spacing w:line="175" w:lineRule="exact"/>
              <w:ind w:left="95"/>
              <w:rPr>
                <w:sz w:val="16"/>
              </w:rPr>
            </w:pPr>
            <w:r>
              <w:rPr>
                <w:spacing w:val="-2"/>
                <w:sz w:val="16"/>
              </w:rPr>
              <w:t>diversions</w:t>
            </w:r>
          </w:p>
        </w:tc>
        <w:tc>
          <w:tcPr>
            <w:tcW w:w="746" w:type="dxa"/>
            <w:tcBorders>
              <w:left w:val="nil"/>
              <w:right w:val="nil"/>
            </w:tcBorders>
            <w:shd w:val="clear" w:color="auto" w:fill="CCE2ED"/>
          </w:tcPr>
          <w:p w14:paraId="4BBD9820" w14:textId="77777777" w:rsidR="00141B97" w:rsidRDefault="00911D63">
            <w:pPr>
              <w:pStyle w:val="TableParagraph"/>
              <w:spacing w:before="98"/>
              <w:ind w:right="98"/>
              <w:jc w:val="right"/>
              <w:rPr>
                <w:sz w:val="16"/>
              </w:rPr>
            </w:pPr>
            <w:r>
              <w:rPr>
                <w:spacing w:val="-4"/>
                <w:sz w:val="16"/>
              </w:rPr>
              <w:t>0.19</w:t>
            </w:r>
          </w:p>
        </w:tc>
        <w:tc>
          <w:tcPr>
            <w:tcW w:w="700" w:type="dxa"/>
            <w:tcBorders>
              <w:left w:val="nil"/>
            </w:tcBorders>
            <w:shd w:val="clear" w:color="auto" w:fill="CCE2ED"/>
          </w:tcPr>
          <w:p w14:paraId="4381E22F" w14:textId="77777777" w:rsidR="00141B97" w:rsidRDefault="00911D63">
            <w:pPr>
              <w:pStyle w:val="TableParagraph"/>
              <w:spacing w:before="98"/>
              <w:ind w:right="100"/>
              <w:jc w:val="right"/>
              <w:rPr>
                <w:sz w:val="16"/>
              </w:rPr>
            </w:pPr>
            <w:r>
              <w:rPr>
                <w:spacing w:val="-4"/>
                <w:sz w:val="16"/>
              </w:rPr>
              <w:t>0.35</w:t>
            </w:r>
          </w:p>
        </w:tc>
        <w:tc>
          <w:tcPr>
            <w:tcW w:w="704" w:type="dxa"/>
            <w:shd w:val="clear" w:color="auto" w:fill="CCE2ED"/>
          </w:tcPr>
          <w:p w14:paraId="68CF07C1" w14:textId="77777777" w:rsidR="00141B97" w:rsidRDefault="00911D63">
            <w:pPr>
              <w:pStyle w:val="TableParagraph"/>
              <w:spacing w:before="98"/>
              <w:ind w:right="100"/>
              <w:jc w:val="right"/>
              <w:rPr>
                <w:sz w:val="16"/>
              </w:rPr>
            </w:pPr>
            <w:r>
              <w:rPr>
                <w:spacing w:val="-4"/>
                <w:sz w:val="16"/>
              </w:rPr>
              <w:t>0.19</w:t>
            </w:r>
          </w:p>
        </w:tc>
        <w:tc>
          <w:tcPr>
            <w:tcW w:w="698" w:type="dxa"/>
            <w:shd w:val="clear" w:color="auto" w:fill="CCE2ED"/>
          </w:tcPr>
          <w:p w14:paraId="6969596B" w14:textId="77777777" w:rsidR="00141B97" w:rsidRDefault="00911D63">
            <w:pPr>
              <w:pStyle w:val="TableParagraph"/>
              <w:spacing w:before="98"/>
              <w:ind w:right="100"/>
              <w:jc w:val="right"/>
              <w:rPr>
                <w:sz w:val="16"/>
              </w:rPr>
            </w:pPr>
            <w:r>
              <w:rPr>
                <w:spacing w:val="-4"/>
                <w:sz w:val="16"/>
              </w:rPr>
              <w:t>0.32</w:t>
            </w:r>
          </w:p>
        </w:tc>
        <w:tc>
          <w:tcPr>
            <w:tcW w:w="704" w:type="dxa"/>
            <w:shd w:val="clear" w:color="auto" w:fill="CCE2ED"/>
          </w:tcPr>
          <w:p w14:paraId="099843B4" w14:textId="77777777" w:rsidR="00141B97" w:rsidRDefault="00911D63">
            <w:pPr>
              <w:pStyle w:val="TableParagraph"/>
              <w:spacing w:before="98"/>
              <w:ind w:right="100"/>
              <w:jc w:val="right"/>
              <w:rPr>
                <w:sz w:val="16"/>
              </w:rPr>
            </w:pPr>
            <w:r>
              <w:rPr>
                <w:spacing w:val="-4"/>
                <w:sz w:val="16"/>
              </w:rPr>
              <w:t>0.13</w:t>
            </w:r>
          </w:p>
        </w:tc>
        <w:tc>
          <w:tcPr>
            <w:tcW w:w="698" w:type="dxa"/>
            <w:shd w:val="clear" w:color="auto" w:fill="CCE2ED"/>
          </w:tcPr>
          <w:p w14:paraId="3169FE19" w14:textId="77777777" w:rsidR="00141B97" w:rsidRDefault="00911D63">
            <w:pPr>
              <w:pStyle w:val="TableParagraph"/>
              <w:spacing w:before="98"/>
              <w:ind w:right="99"/>
              <w:jc w:val="right"/>
              <w:rPr>
                <w:sz w:val="16"/>
              </w:rPr>
            </w:pPr>
            <w:r>
              <w:rPr>
                <w:spacing w:val="-4"/>
                <w:sz w:val="16"/>
              </w:rPr>
              <w:t>0.28</w:t>
            </w:r>
          </w:p>
        </w:tc>
        <w:tc>
          <w:tcPr>
            <w:tcW w:w="706" w:type="dxa"/>
            <w:shd w:val="clear" w:color="auto" w:fill="CCE2ED"/>
          </w:tcPr>
          <w:p w14:paraId="4A45D747" w14:textId="77777777" w:rsidR="00141B97" w:rsidRDefault="00911D63">
            <w:pPr>
              <w:pStyle w:val="TableParagraph"/>
              <w:spacing w:before="98"/>
              <w:ind w:right="98"/>
              <w:jc w:val="right"/>
              <w:rPr>
                <w:sz w:val="16"/>
              </w:rPr>
            </w:pPr>
            <w:r>
              <w:rPr>
                <w:spacing w:val="-4"/>
                <w:sz w:val="16"/>
              </w:rPr>
              <w:t>0.13</w:t>
            </w:r>
          </w:p>
        </w:tc>
        <w:tc>
          <w:tcPr>
            <w:tcW w:w="698" w:type="dxa"/>
            <w:shd w:val="clear" w:color="auto" w:fill="CCE2ED"/>
          </w:tcPr>
          <w:p w14:paraId="7460A298" w14:textId="77777777" w:rsidR="00141B97" w:rsidRDefault="00911D63">
            <w:pPr>
              <w:pStyle w:val="TableParagraph"/>
              <w:spacing w:before="98"/>
              <w:ind w:right="98"/>
              <w:jc w:val="right"/>
              <w:rPr>
                <w:sz w:val="16"/>
              </w:rPr>
            </w:pPr>
            <w:r>
              <w:rPr>
                <w:spacing w:val="-4"/>
                <w:sz w:val="16"/>
              </w:rPr>
              <w:t>0.21</w:t>
            </w:r>
          </w:p>
        </w:tc>
        <w:tc>
          <w:tcPr>
            <w:tcW w:w="705" w:type="dxa"/>
            <w:shd w:val="clear" w:color="auto" w:fill="CCE2ED"/>
          </w:tcPr>
          <w:p w14:paraId="3A4A9F53" w14:textId="77777777" w:rsidR="00141B97" w:rsidRDefault="00911D63">
            <w:pPr>
              <w:pStyle w:val="TableParagraph"/>
              <w:spacing w:before="98"/>
              <w:ind w:right="97"/>
              <w:jc w:val="right"/>
              <w:rPr>
                <w:sz w:val="16"/>
              </w:rPr>
            </w:pPr>
            <w:r>
              <w:rPr>
                <w:spacing w:val="-4"/>
                <w:sz w:val="16"/>
              </w:rPr>
              <w:t>0.65</w:t>
            </w:r>
          </w:p>
        </w:tc>
        <w:tc>
          <w:tcPr>
            <w:tcW w:w="701" w:type="dxa"/>
            <w:shd w:val="clear" w:color="auto" w:fill="CCE2ED"/>
          </w:tcPr>
          <w:p w14:paraId="5BCF019A" w14:textId="77777777" w:rsidR="00141B97" w:rsidRDefault="00911D63">
            <w:pPr>
              <w:pStyle w:val="TableParagraph"/>
              <w:spacing w:before="98"/>
              <w:ind w:right="96"/>
              <w:jc w:val="right"/>
              <w:rPr>
                <w:sz w:val="16"/>
              </w:rPr>
            </w:pPr>
            <w:r>
              <w:rPr>
                <w:spacing w:val="-4"/>
                <w:sz w:val="16"/>
              </w:rPr>
              <w:t>1.16</w:t>
            </w:r>
          </w:p>
        </w:tc>
        <w:tc>
          <w:tcPr>
            <w:tcW w:w="681" w:type="dxa"/>
            <w:shd w:val="clear" w:color="auto" w:fill="CCE2ED"/>
          </w:tcPr>
          <w:p w14:paraId="2F7D519B" w14:textId="77777777" w:rsidR="00141B97" w:rsidRDefault="00911D63">
            <w:pPr>
              <w:pStyle w:val="TableParagraph"/>
              <w:spacing w:before="98"/>
              <w:ind w:right="96"/>
              <w:jc w:val="right"/>
              <w:rPr>
                <w:sz w:val="16"/>
              </w:rPr>
            </w:pPr>
            <w:r>
              <w:rPr>
                <w:spacing w:val="-4"/>
                <w:sz w:val="16"/>
              </w:rPr>
              <w:t>0.51</w:t>
            </w:r>
          </w:p>
        </w:tc>
        <w:tc>
          <w:tcPr>
            <w:tcW w:w="677" w:type="dxa"/>
            <w:tcBorders>
              <w:right w:val="nil"/>
            </w:tcBorders>
            <w:shd w:val="clear" w:color="auto" w:fill="CCE2ED"/>
          </w:tcPr>
          <w:p w14:paraId="75B066EB" w14:textId="77777777" w:rsidR="00141B97" w:rsidRDefault="00911D63">
            <w:pPr>
              <w:pStyle w:val="TableParagraph"/>
              <w:spacing w:before="98"/>
              <w:ind w:right="90"/>
              <w:jc w:val="right"/>
              <w:rPr>
                <w:sz w:val="16"/>
              </w:rPr>
            </w:pPr>
            <w:r>
              <w:rPr>
                <w:spacing w:val="-2"/>
                <w:sz w:val="16"/>
              </w:rPr>
              <w:t>78.7%</w:t>
            </w:r>
          </w:p>
        </w:tc>
      </w:tr>
      <w:tr w:rsidR="00141B97" w14:paraId="6FD43492" w14:textId="77777777">
        <w:trPr>
          <w:trHeight w:val="195"/>
          <w:tblCellSpacing w:w="4" w:type="dxa"/>
        </w:trPr>
        <w:tc>
          <w:tcPr>
            <w:tcW w:w="1420" w:type="dxa"/>
            <w:tcBorders>
              <w:left w:val="nil"/>
              <w:right w:val="nil"/>
            </w:tcBorders>
            <w:shd w:val="clear" w:color="auto" w:fill="CCE2ED"/>
          </w:tcPr>
          <w:p w14:paraId="61D83BFA" w14:textId="77777777" w:rsidR="00141B97" w:rsidRDefault="00911D63">
            <w:pPr>
              <w:pStyle w:val="TableParagraph"/>
              <w:spacing w:line="175" w:lineRule="exact"/>
              <w:ind w:left="95"/>
              <w:rPr>
                <w:sz w:val="16"/>
              </w:rPr>
            </w:pPr>
            <w:r>
              <w:rPr>
                <w:sz w:val="16"/>
              </w:rPr>
              <w:t>Total</w:t>
            </w:r>
            <w:r>
              <w:rPr>
                <w:spacing w:val="-8"/>
                <w:sz w:val="16"/>
              </w:rPr>
              <w:t xml:space="preserve"> </w:t>
            </w:r>
            <w:r>
              <w:rPr>
                <w:spacing w:val="-2"/>
                <w:sz w:val="16"/>
              </w:rPr>
              <w:t>capex</w:t>
            </w:r>
          </w:p>
        </w:tc>
        <w:tc>
          <w:tcPr>
            <w:tcW w:w="746" w:type="dxa"/>
            <w:tcBorders>
              <w:left w:val="nil"/>
              <w:right w:val="nil"/>
            </w:tcBorders>
            <w:shd w:val="clear" w:color="auto" w:fill="CCE2ED"/>
          </w:tcPr>
          <w:p w14:paraId="3F81CA60" w14:textId="77777777" w:rsidR="00141B97" w:rsidRDefault="00911D63">
            <w:pPr>
              <w:pStyle w:val="TableParagraph"/>
              <w:spacing w:line="175" w:lineRule="exact"/>
              <w:ind w:right="97"/>
              <w:jc w:val="right"/>
              <w:rPr>
                <w:sz w:val="16"/>
              </w:rPr>
            </w:pPr>
            <w:r>
              <w:rPr>
                <w:spacing w:val="-2"/>
                <w:sz w:val="16"/>
              </w:rPr>
              <w:t>15.60</w:t>
            </w:r>
          </w:p>
        </w:tc>
        <w:tc>
          <w:tcPr>
            <w:tcW w:w="700" w:type="dxa"/>
            <w:tcBorders>
              <w:left w:val="nil"/>
            </w:tcBorders>
            <w:shd w:val="clear" w:color="auto" w:fill="CCE2ED"/>
          </w:tcPr>
          <w:p w14:paraId="713D9592" w14:textId="77777777" w:rsidR="00141B97" w:rsidRDefault="00911D63">
            <w:pPr>
              <w:pStyle w:val="TableParagraph"/>
              <w:spacing w:line="175" w:lineRule="exact"/>
              <w:ind w:right="99"/>
              <w:jc w:val="right"/>
              <w:rPr>
                <w:sz w:val="16"/>
              </w:rPr>
            </w:pPr>
            <w:r>
              <w:rPr>
                <w:spacing w:val="-2"/>
                <w:sz w:val="16"/>
              </w:rPr>
              <w:t>10.05</w:t>
            </w:r>
          </w:p>
        </w:tc>
        <w:tc>
          <w:tcPr>
            <w:tcW w:w="704" w:type="dxa"/>
            <w:shd w:val="clear" w:color="auto" w:fill="CCE2ED"/>
          </w:tcPr>
          <w:p w14:paraId="629FF3EE" w14:textId="77777777" w:rsidR="00141B97" w:rsidRDefault="00911D63">
            <w:pPr>
              <w:pStyle w:val="TableParagraph"/>
              <w:spacing w:line="175" w:lineRule="exact"/>
              <w:ind w:right="100"/>
              <w:jc w:val="right"/>
              <w:rPr>
                <w:sz w:val="16"/>
              </w:rPr>
            </w:pPr>
            <w:r>
              <w:rPr>
                <w:spacing w:val="-4"/>
                <w:sz w:val="16"/>
              </w:rPr>
              <w:t>6.67</w:t>
            </w:r>
          </w:p>
        </w:tc>
        <w:tc>
          <w:tcPr>
            <w:tcW w:w="698" w:type="dxa"/>
            <w:shd w:val="clear" w:color="auto" w:fill="CCE2ED"/>
          </w:tcPr>
          <w:p w14:paraId="2D5DCEE6" w14:textId="77777777" w:rsidR="00141B97" w:rsidRDefault="00911D63">
            <w:pPr>
              <w:pStyle w:val="TableParagraph"/>
              <w:spacing w:line="175" w:lineRule="exact"/>
              <w:ind w:right="100"/>
              <w:jc w:val="right"/>
              <w:rPr>
                <w:sz w:val="16"/>
              </w:rPr>
            </w:pPr>
            <w:r>
              <w:rPr>
                <w:spacing w:val="-4"/>
                <w:sz w:val="16"/>
              </w:rPr>
              <w:t>8.29</w:t>
            </w:r>
          </w:p>
        </w:tc>
        <w:tc>
          <w:tcPr>
            <w:tcW w:w="704" w:type="dxa"/>
            <w:shd w:val="clear" w:color="auto" w:fill="CCE2ED"/>
          </w:tcPr>
          <w:p w14:paraId="02D71471" w14:textId="77777777" w:rsidR="00141B97" w:rsidRDefault="00911D63">
            <w:pPr>
              <w:pStyle w:val="TableParagraph"/>
              <w:spacing w:line="175" w:lineRule="exact"/>
              <w:ind w:right="100"/>
              <w:jc w:val="right"/>
              <w:rPr>
                <w:sz w:val="16"/>
              </w:rPr>
            </w:pPr>
            <w:r>
              <w:rPr>
                <w:spacing w:val="-4"/>
                <w:sz w:val="16"/>
              </w:rPr>
              <w:t>5.78</w:t>
            </w:r>
          </w:p>
        </w:tc>
        <w:tc>
          <w:tcPr>
            <w:tcW w:w="698" w:type="dxa"/>
            <w:shd w:val="clear" w:color="auto" w:fill="CCE2ED"/>
          </w:tcPr>
          <w:p w14:paraId="1037E016" w14:textId="77777777" w:rsidR="00141B97" w:rsidRDefault="00911D63">
            <w:pPr>
              <w:pStyle w:val="TableParagraph"/>
              <w:spacing w:line="175" w:lineRule="exact"/>
              <w:ind w:right="99"/>
              <w:jc w:val="right"/>
              <w:rPr>
                <w:sz w:val="16"/>
              </w:rPr>
            </w:pPr>
            <w:r>
              <w:rPr>
                <w:spacing w:val="-4"/>
                <w:sz w:val="16"/>
              </w:rPr>
              <w:t>5.66</w:t>
            </w:r>
          </w:p>
        </w:tc>
        <w:tc>
          <w:tcPr>
            <w:tcW w:w="706" w:type="dxa"/>
            <w:shd w:val="clear" w:color="auto" w:fill="CCE2ED"/>
          </w:tcPr>
          <w:p w14:paraId="4A9C65D7" w14:textId="77777777" w:rsidR="00141B97" w:rsidRDefault="00911D63">
            <w:pPr>
              <w:pStyle w:val="TableParagraph"/>
              <w:spacing w:line="175" w:lineRule="exact"/>
              <w:ind w:right="98"/>
              <w:jc w:val="right"/>
              <w:rPr>
                <w:sz w:val="16"/>
              </w:rPr>
            </w:pPr>
            <w:r>
              <w:rPr>
                <w:spacing w:val="-4"/>
                <w:sz w:val="16"/>
              </w:rPr>
              <w:t>4.91</w:t>
            </w:r>
          </w:p>
        </w:tc>
        <w:tc>
          <w:tcPr>
            <w:tcW w:w="698" w:type="dxa"/>
            <w:shd w:val="clear" w:color="auto" w:fill="CCE2ED"/>
          </w:tcPr>
          <w:p w14:paraId="6CFBBC46" w14:textId="77777777" w:rsidR="00141B97" w:rsidRDefault="00911D63">
            <w:pPr>
              <w:pStyle w:val="TableParagraph"/>
              <w:spacing w:line="175" w:lineRule="exact"/>
              <w:ind w:right="98"/>
              <w:jc w:val="right"/>
              <w:rPr>
                <w:sz w:val="16"/>
              </w:rPr>
            </w:pPr>
            <w:r>
              <w:rPr>
                <w:spacing w:val="-4"/>
                <w:sz w:val="16"/>
              </w:rPr>
              <w:t>8.34</w:t>
            </w:r>
          </w:p>
        </w:tc>
        <w:tc>
          <w:tcPr>
            <w:tcW w:w="705" w:type="dxa"/>
            <w:shd w:val="clear" w:color="auto" w:fill="CCE2ED"/>
          </w:tcPr>
          <w:p w14:paraId="1072BB19" w14:textId="77777777" w:rsidR="00141B97" w:rsidRDefault="00911D63">
            <w:pPr>
              <w:pStyle w:val="TableParagraph"/>
              <w:spacing w:line="175" w:lineRule="exact"/>
              <w:ind w:right="97"/>
              <w:jc w:val="right"/>
              <w:rPr>
                <w:sz w:val="16"/>
              </w:rPr>
            </w:pPr>
            <w:r>
              <w:rPr>
                <w:spacing w:val="-2"/>
                <w:sz w:val="16"/>
              </w:rPr>
              <w:t>32.96</w:t>
            </w:r>
          </w:p>
        </w:tc>
        <w:tc>
          <w:tcPr>
            <w:tcW w:w="701" w:type="dxa"/>
            <w:shd w:val="clear" w:color="auto" w:fill="CCE2ED"/>
          </w:tcPr>
          <w:p w14:paraId="1C8076B1" w14:textId="77777777" w:rsidR="00141B97" w:rsidRDefault="00911D63">
            <w:pPr>
              <w:pStyle w:val="TableParagraph"/>
              <w:spacing w:line="175" w:lineRule="exact"/>
              <w:ind w:right="96"/>
              <w:jc w:val="right"/>
              <w:rPr>
                <w:sz w:val="16"/>
              </w:rPr>
            </w:pPr>
            <w:r>
              <w:rPr>
                <w:spacing w:val="-2"/>
                <w:sz w:val="16"/>
              </w:rPr>
              <w:t>32.34</w:t>
            </w:r>
          </w:p>
        </w:tc>
        <w:tc>
          <w:tcPr>
            <w:tcW w:w="681" w:type="dxa"/>
            <w:shd w:val="clear" w:color="auto" w:fill="CCE2ED"/>
          </w:tcPr>
          <w:p w14:paraId="07561828" w14:textId="77777777" w:rsidR="00141B97" w:rsidRDefault="00911D63">
            <w:pPr>
              <w:pStyle w:val="TableParagraph"/>
              <w:spacing w:line="175" w:lineRule="exact"/>
              <w:ind w:right="96"/>
              <w:jc w:val="right"/>
              <w:rPr>
                <w:sz w:val="16"/>
              </w:rPr>
            </w:pPr>
            <w:r>
              <w:rPr>
                <w:spacing w:val="-2"/>
                <w:sz w:val="16"/>
              </w:rPr>
              <w:t>‐0.62</w:t>
            </w:r>
          </w:p>
        </w:tc>
        <w:tc>
          <w:tcPr>
            <w:tcW w:w="677" w:type="dxa"/>
            <w:tcBorders>
              <w:right w:val="nil"/>
            </w:tcBorders>
            <w:shd w:val="clear" w:color="auto" w:fill="CCE2ED"/>
          </w:tcPr>
          <w:p w14:paraId="0CE95E52" w14:textId="77777777" w:rsidR="00141B97" w:rsidRDefault="00911D63">
            <w:pPr>
              <w:pStyle w:val="TableParagraph"/>
              <w:spacing w:line="175" w:lineRule="exact"/>
              <w:ind w:right="90"/>
              <w:jc w:val="right"/>
              <w:rPr>
                <w:sz w:val="16"/>
              </w:rPr>
            </w:pPr>
            <w:r>
              <w:rPr>
                <w:spacing w:val="-2"/>
                <w:sz w:val="16"/>
              </w:rPr>
              <w:t>‐1.9%</w:t>
            </w:r>
          </w:p>
        </w:tc>
      </w:tr>
      <w:tr w:rsidR="00141B97" w14:paraId="0B8B3D24" w14:textId="77777777">
        <w:trPr>
          <w:trHeight w:val="195"/>
          <w:tblCellSpacing w:w="4" w:type="dxa"/>
        </w:trPr>
        <w:tc>
          <w:tcPr>
            <w:tcW w:w="1420" w:type="dxa"/>
            <w:tcBorders>
              <w:left w:val="nil"/>
              <w:bottom w:val="nil"/>
              <w:right w:val="nil"/>
            </w:tcBorders>
            <w:shd w:val="clear" w:color="auto" w:fill="CCE2ED"/>
          </w:tcPr>
          <w:p w14:paraId="3AF1BB80" w14:textId="77777777" w:rsidR="00141B97" w:rsidRDefault="00911D63">
            <w:pPr>
              <w:pStyle w:val="TableParagraph"/>
              <w:spacing w:line="175" w:lineRule="exact"/>
              <w:ind w:left="95"/>
              <w:rPr>
                <w:sz w:val="16"/>
              </w:rPr>
            </w:pPr>
            <w:r>
              <w:rPr>
                <w:spacing w:val="-2"/>
                <w:sz w:val="16"/>
              </w:rPr>
              <w:t>Variance</w:t>
            </w:r>
          </w:p>
        </w:tc>
        <w:tc>
          <w:tcPr>
            <w:tcW w:w="746" w:type="dxa"/>
            <w:tcBorders>
              <w:left w:val="nil"/>
              <w:bottom w:val="nil"/>
              <w:right w:val="nil"/>
            </w:tcBorders>
            <w:shd w:val="clear" w:color="auto" w:fill="CCE2ED"/>
          </w:tcPr>
          <w:p w14:paraId="66B2FE15" w14:textId="77777777" w:rsidR="00141B97" w:rsidRDefault="00141B97">
            <w:pPr>
              <w:pStyle w:val="TableParagraph"/>
              <w:rPr>
                <w:rFonts w:ascii="Times New Roman"/>
                <w:sz w:val="12"/>
              </w:rPr>
            </w:pPr>
          </w:p>
        </w:tc>
        <w:tc>
          <w:tcPr>
            <w:tcW w:w="700" w:type="dxa"/>
            <w:tcBorders>
              <w:left w:val="nil"/>
              <w:bottom w:val="nil"/>
            </w:tcBorders>
            <w:shd w:val="clear" w:color="auto" w:fill="CCE2ED"/>
          </w:tcPr>
          <w:p w14:paraId="7BCA4AA2" w14:textId="77777777" w:rsidR="00141B97" w:rsidRDefault="00911D63">
            <w:pPr>
              <w:pStyle w:val="TableParagraph"/>
              <w:spacing w:line="175" w:lineRule="exact"/>
              <w:ind w:right="100"/>
              <w:jc w:val="right"/>
              <w:rPr>
                <w:sz w:val="16"/>
              </w:rPr>
            </w:pPr>
            <w:r>
              <w:rPr>
                <w:spacing w:val="-2"/>
                <w:sz w:val="16"/>
              </w:rPr>
              <w:t>‐5.55</w:t>
            </w:r>
          </w:p>
        </w:tc>
        <w:tc>
          <w:tcPr>
            <w:tcW w:w="704" w:type="dxa"/>
            <w:tcBorders>
              <w:bottom w:val="nil"/>
            </w:tcBorders>
            <w:shd w:val="clear" w:color="auto" w:fill="CCE2ED"/>
          </w:tcPr>
          <w:p w14:paraId="1A9E3558" w14:textId="77777777" w:rsidR="00141B97" w:rsidRDefault="00141B97">
            <w:pPr>
              <w:pStyle w:val="TableParagraph"/>
              <w:rPr>
                <w:rFonts w:ascii="Times New Roman"/>
                <w:sz w:val="12"/>
              </w:rPr>
            </w:pPr>
          </w:p>
        </w:tc>
        <w:tc>
          <w:tcPr>
            <w:tcW w:w="698" w:type="dxa"/>
            <w:tcBorders>
              <w:bottom w:val="nil"/>
            </w:tcBorders>
            <w:shd w:val="clear" w:color="auto" w:fill="CCE2ED"/>
          </w:tcPr>
          <w:p w14:paraId="42713AA0" w14:textId="77777777" w:rsidR="00141B97" w:rsidRDefault="00911D63">
            <w:pPr>
              <w:pStyle w:val="TableParagraph"/>
              <w:spacing w:line="175" w:lineRule="exact"/>
              <w:ind w:right="100"/>
              <w:jc w:val="right"/>
              <w:rPr>
                <w:sz w:val="16"/>
              </w:rPr>
            </w:pPr>
            <w:r>
              <w:rPr>
                <w:spacing w:val="-4"/>
                <w:sz w:val="16"/>
              </w:rPr>
              <w:t>1.62</w:t>
            </w:r>
          </w:p>
        </w:tc>
        <w:tc>
          <w:tcPr>
            <w:tcW w:w="704" w:type="dxa"/>
            <w:tcBorders>
              <w:bottom w:val="nil"/>
            </w:tcBorders>
            <w:shd w:val="clear" w:color="auto" w:fill="CCE2ED"/>
          </w:tcPr>
          <w:p w14:paraId="0CE2D4CF" w14:textId="77777777" w:rsidR="00141B97" w:rsidRDefault="00141B97">
            <w:pPr>
              <w:pStyle w:val="TableParagraph"/>
              <w:rPr>
                <w:rFonts w:ascii="Times New Roman"/>
                <w:sz w:val="12"/>
              </w:rPr>
            </w:pPr>
          </w:p>
        </w:tc>
        <w:tc>
          <w:tcPr>
            <w:tcW w:w="698" w:type="dxa"/>
            <w:tcBorders>
              <w:bottom w:val="nil"/>
            </w:tcBorders>
            <w:shd w:val="clear" w:color="auto" w:fill="CCE2ED"/>
          </w:tcPr>
          <w:p w14:paraId="750AC404" w14:textId="77777777" w:rsidR="00141B97" w:rsidRDefault="00911D63">
            <w:pPr>
              <w:pStyle w:val="TableParagraph"/>
              <w:spacing w:line="175" w:lineRule="exact"/>
              <w:ind w:right="99"/>
              <w:jc w:val="right"/>
              <w:rPr>
                <w:sz w:val="16"/>
              </w:rPr>
            </w:pPr>
            <w:r>
              <w:rPr>
                <w:spacing w:val="-2"/>
                <w:sz w:val="16"/>
              </w:rPr>
              <w:t>‐0.12</w:t>
            </w:r>
          </w:p>
        </w:tc>
        <w:tc>
          <w:tcPr>
            <w:tcW w:w="706" w:type="dxa"/>
            <w:tcBorders>
              <w:bottom w:val="nil"/>
            </w:tcBorders>
            <w:shd w:val="clear" w:color="auto" w:fill="CCE2ED"/>
          </w:tcPr>
          <w:p w14:paraId="390EBDD9" w14:textId="77777777" w:rsidR="00141B97" w:rsidRDefault="00141B97">
            <w:pPr>
              <w:pStyle w:val="TableParagraph"/>
              <w:rPr>
                <w:rFonts w:ascii="Times New Roman"/>
                <w:sz w:val="12"/>
              </w:rPr>
            </w:pPr>
          </w:p>
        </w:tc>
        <w:tc>
          <w:tcPr>
            <w:tcW w:w="698" w:type="dxa"/>
            <w:tcBorders>
              <w:bottom w:val="nil"/>
            </w:tcBorders>
            <w:shd w:val="clear" w:color="auto" w:fill="CCE2ED"/>
          </w:tcPr>
          <w:p w14:paraId="0595F2FF" w14:textId="77777777" w:rsidR="00141B97" w:rsidRDefault="00911D63">
            <w:pPr>
              <w:pStyle w:val="TableParagraph"/>
              <w:spacing w:line="175" w:lineRule="exact"/>
              <w:ind w:right="98"/>
              <w:jc w:val="right"/>
              <w:rPr>
                <w:sz w:val="16"/>
              </w:rPr>
            </w:pPr>
            <w:r>
              <w:rPr>
                <w:spacing w:val="-4"/>
                <w:sz w:val="16"/>
              </w:rPr>
              <w:t>3.43</w:t>
            </w:r>
          </w:p>
        </w:tc>
        <w:tc>
          <w:tcPr>
            <w:tcW w:w="705" w:type="dxa"/>
            <w:tcBorders>
              <w:bottom w:val="nil"/>
            </w:tcBorders>
            <w:shd w:val="clear" w:color="auto" w:fill="CCE2ED"/>
          </w:tcPr>
          <w:p w14:paraId="6497C6D9" w14:textId="77777777" w:rsidR="00141B97" w:rsidRDefault="00141B97">
            <w:pPr>
              <w:pStyle w:val="TableParagraph"/>
              <w:rPr>
                <w:rFonts w:ascii="Times New Roman"/>
                <w:sz w:val="12"/>
              </w:rPr>
            </w:pPr>
          </w:p>
        </w:tc>
        <w:tc>
          <w:tcPr>
            <w:tcW w:w="701" w:type="dxa"/>
            <w:tcBorders>
              <w:bottom w:val="nil"/>
            </w:tcBorders>
            <w:shd w:val="clear" w:color="auto" w:fill="CCE2ED"/>
          </w:tcPr>
          <w:p w14:paraId="2DB46519" w14:textId="77777777" w:rsidR="00141B97" w:rsidRDefault="00911D63">
            <w:pPr>
              <w:pStyle w:val="TableParagraph"/>
              <w:spacing w:line="175" w:lineRule="exact"/>
              <w:ind w:right="96"/>
              <w:jc w:val="right"/>
              <w:rPr>
                <w:sz w:val="16"/>
              </w:rPr>
            </w:pPr>
            <w:r>
              <w:rPr>
                <w:spacing w:val="-2"/>
                <w:sz w:val="16"/>
              </w:rPr>
              <w:t>‐0.62</w:t>
            </w:r>
          </w:p>
        </w:tc>
        <w:tc>
          <w:tcPr>
            <w:tcW w:w="681" w:type="dxa"/>
            <w:tcBorders>
              <w:bottom w:val="nil"/>
            </w:tcBorders>
            <w:shd w:val="clear" w:color="auto" w:fill="CCE2ED"/>
          </w:tcPr>
          <w:p w14:paraId="7C9749FE" w14:textId="77777777" w:rsidR="00141B97" w:rsidRDefault="00141B97">
            <w:pPr>
              <w:pStyle w:val="TableParagraph"/>
              <w:rPr>
                <w:rFonts w:ascii="Times New Roman"/>
                <w:sz w:val="12"/>
              </w:rPr>
            </w:pPr>
          </w:p>
        </w:tc>
        <w:tc>
          <w:tcPr>
            <w:tcW w:w="677" w:type="dxa"/>
            <w:tcBorders>
              <w:bottom w:val="nil"/>
              <w:right w:val="nil"/>
            </w:tcBorders>
            <w:shd w:val="clear" w:color="auto" w:fill="CCE2ED"/>
          </w:tcPr>
          <w:p w14:paraId="52FE9447" w14:textId="77777777" w:rsidR="00141B97" w:rsidRDefault="00141B97">
            <w:pPr>
              <w:pStyle w:val="TableParagraph"/>
              <w:rPr>
                <w:rFonts w:ascii="Times New Roman"/>
                <w:sz w:val="12"/>
              </w:rPr>
            </w:pPr>
          </w:p>
        </w:tc>
      </w:tr>
    </w:tbl>
    <w:p w14:paraId="77B53D48" w14:textId="77777777" w:rsidR="00141B97" w:rsidRDefault="00911D63">
      <w:pPr>
        <w:spacing w:before="13"/>
        <w:ind w:left="226"/>
        <w:rPr>
          <w:i/>
          <w:sz w:val="16"/>
        </w:rPr>
      </w:pPr>
      <w:r>
        <w:rPr>
          <w:i/>
          <w:sz w:val="16"/>
        </w:rPr>
        <w:t>Note:</w:t>
      </w:r>
      <w:r>
        <w:rPr>
          <w:i/>
          <w:spacing w:val="-6"/>
          <w:sz w:val="16"/>
        </w:rPr>
        <w:t xml:space="preserve"> </w:t>
      </w:r>
      <w:r>
        <w:rPr>
          <w:i/>
          <w:sz w:val="16"/>
        </w:rPr>
        <w:t>Excludes</w:t>
      </w:r>
      <w:r>
        <w:rPr>
          <w:i/>
          <w:spacing w:val="-6"/>
          <w:sz w:val="16"/>
        </w:rPr>
        <w:t xml:space="preserve"> </w:t>
      </w:r>
      <w:r>
        <w:rPr>
          <w:i/>
          <w:sz w:val="16"/>
        </w:rPr>
        <w:t>SMP2</w:t>
      </w:r>
      <w:r>
        <w:rPr>
          <w:i/>
          <w:spacing w:val="-6"/>
          <w:sz w:val="16"/>
        </w:rPr>
        <w:t xml:space="preserve"> </w:t>
      </w:r>
      <w:r>
        <w:rPr>
          <w:i/>
          <w:sz w:val="16"/>
        </w:rPr>
        <w:t>as</w:t>
      </w:r>
      <w:r>
        <w:rPr>
          <w:i/>
          <w:spacing w:val="-5"/>
          <w:sz w:val="16"/>
        </w:rPr>
        <w:t xml:space="preserve"> </w:t>
      </w:r>
      <w:r>
        <w:rPr>
          <w:i/>
          <w:sz w:val="16"/>
        </w:rPr>
        <w:t>was</w:t>
      </w:r>
      <w:r>
        <w:rPr>
          <w:i/>
          <w:spacing w:val="-5"/>
          <w:sz w:val="16"/>
        </w:rPr>
        <w:t xml:space="preserve"> </w:t>
      </w:r>
      <w:r>
        <w:rPr>
          <w:i/>
          <w:sz w:val="16"/>
        </w:rPr>
        <w:t>not</w:t>
      </w:r>
      <w:r>
        <w:rPr>
          <w:i/>
          <w:spacing w:val="-3"/>
          <w:sz w:val="16"/>
        </w:rPr>
        <w:t xml:space="preserve"> </w:t>
      </w:r>
      <w:r>
        <w:rPr>
          <w:i/>
          <w:sz w:val="16"/>
        </w:rPr>
        <w:t>included</w:t>
      </w:r>
      <w:r>
        <w:rPr>
          <w:i/>
          <w:spacing w:val="-6"/>
          <w:sz w:val="16"/>
        </w:rPr>
        <w:t xml:space="preserve"> </w:t>
      </w:r>
      <w:r>
        <w:rPr>
          <w:i/>
          <w:sz w:val="16"/>
        </w:rPr>
        <w:t>in</w:t>
      </w:r>
      <w:r>
        <w:rPr>
          <w:i/>
          <w:spacing w:val="-5"/>
          <w:sz w:val="16"/>
        </w:rPr>
        <w:t xml:space="preserve"> </w:t>
      </w:r>
      <w:r>
        <w:rPr>
          <w:i/>
          <w:sz w:val="16"/>
        </w:rPr>
        <w:t>the</w:t>
      </w:r>
      <w:r>
        <w:rPr>
          <w:i/>
          <w:spacing w:val="-4"/>
          <w:sz w:val="16"/>
        </w:rPr>
        <w:t xml:space="preserve"> </w:t>
      </w:r>
      <w:r>
        <w:rPr>
          <w:i/>
          <w:sz w:val="16"/>
        </w:rPr>
        <w:t>PS4</w:t>
      </w:r>
      <w:r>
        <w:rPr>
          <w:i/>
          <w:spacing w:val="-5"/>
          <w:sz w:val="16"/>
        </w:rPr>
        <w:t xml:space="preserve"> </w:t>
      </w:r>
      <w:r>
        <w:rPr>
          <w:i/>
          <w:sz w:val="16"/>
        </w:rPr>
        <w:t>submission</w:t>
      </w:r>
      <w:r>
        <w:rPr>
          <w:i/>
          <w:spacing w:val="-5"/>
          <w:sz w:val="16"/>
        </w:rPr>
        <w:t xml:space="preserve"> </w:t>
      </w:r>
      <w:r>
        <w:rPr>
          <w:i/>
          <w:sz w:val="16"/>
        </w:rPr>
        <w:t>being</w:t>
      </w:r>
      <w:r>
        <w:rPr>
          <w:i/>
          <w:spacing w:val="-5"/>
          <w:sz w:val="16"/>
        </w:rPr>
        <w:t xml:space="preserve"> </w:t>
      </w:r>
      <w:r>
        <w:rPr>
          <w:i/>
          <w:sz w:val="16"/>
        </w:rPr>
        <w:t>an</w:t>
      </w:r>
      <w:r>
        <w:rPr>
          <w:i/>
          <w:spacing w:val="-5"/>
          <w:sz w:val="16"/>
        </w:rPr>
        <w:t xml:space="preserve"> </w:t>
      </w:r>
      <w:r>
        <w:rPr>
          <w:i/>
          <w:sz w:val="16"/>
        </w:rPr>
        <w:t>uncertain</w:t>
      </w:r>
      <w:r>
        <w:rPr>
          <w:i/>
          <w:spacing w:val="-5"/>
          <w:sz w:val="16"/>
        </w:rPr>
        <w:t xml:space="preserve"> </w:t>
      </w:r>
      <w:r>
        <w:rPr>
          <w:i/>
          <w:sz w:val="16"/>
        </w:rPr>
        <w:t>project</w:t>
      </w:r>
      <w:r>
        <w:rPr>
          <w:i/>
          <w:spacing w:val="-4"/>
          <w:sz w:val="16"/>
        </w:rPr>
        <w:t xml:space="preserve"> </w:t>
      </w:r>
      <w:r>
        <w:rPr>
          <w:i/>
          <w:sz w:val="16"/>
        </w:rPr>
        <w:t>at</w:t>
      </w:r>
      <w:r>
        <w:rPr>
          <w:i/>
          <w:spacing w:val="-5"/>
          <w:sz w:val="16"/>
        </w:rPr>
        <w:t xml:space="preserve"> </w:t>
      </w:r>
      <w:r>
        <w:rPr>
          <w:i/>
          <w:sz w:val="16"/>
        </w:rPr>
        <w:t>the</w:t>
      </w:r>
      <w:r>
        <w:rPr>
          <w:i/>
          <w:spacing w:val="-4"/>
          <w:sz w:val="16"/>
        </w:rPr>
        <w:t xml:space="preserve"> time</w:t>
      </w:r>
    </w:p>
    <w:p w14:paraId="7EFCDDA0" w14:textId="77777777" w:rsidR="00141B97" w:rsidRDefault="00911D63">
      <w:pPr>
        <w:spacing w:before="11"/>
        <w:ind w:left="114"/>
        <w:jc w:val="both"/>
        <w:rPr>
          <w:sz w:val="16"/>
        </w:rPr>
      </w:pPr>
      <w:r>
        <w:rPr>
          <w:sz w:val="16"/>
        </w:rPr>
        <w:t>Table</w:t>
      </w:r>
      <w:r>
        <w:rPr>
          <w:spacing w:val="-3"/>
          <w:sz w:val="16"/>
        </w:rPr>
        <w:t xml:space="preserve"> </w:t>
      </w:r>
      <w:r>
        <w:rPr>
          <w:sz w:val="16"/>
        </w:rPr>
        <w:t>C7:</w:t>
      </w:r>
      <w:r>
        <w:rPr>
          <w:spacing w:val="-3"/>
          <w:sz w:val="16"/>
        </w:rPr>
        <w:t xml:space="preserve"> </w:t>
      </w:r>
      <w:r>
        <w:rPr>
          <w:sz w:val="16"/>
        </w:rPr>
        <w:t>Actual</w:t>
      </w:r>
      <w:r>
        <w:rPr>
          <w:spacing w:val="-4"/>
          <w:sz w:val="16"/>
        </w:rPr>
        <w:t xml:space="preserve"> </w:t>
      </w:r>
      <w:r>
        <w:rPr>
          <w:sz w:val="16"/>
        </w:rPr>
        <w:t>to</w:t>
      </w:r>
      <w:r>
        <w:rPr>
          <w:spacing w:val="-4"/>
          <w:sz w:val="16"/>
        </w:rPr>
        <w:t xml:space="preserve"> </w:t>
      </w:r>
      <w:r>
        <w:rPr>
          <w:sz w:val="16"/>
        </w:rPr>
        <w:t>Budget</w:t>
      </w:r>
      <w:r>
        <w:rPr>
          <w:spacing w:val="-4"/>
          <w:sz w:val="16"/>
        </w:rPr>
        <w:t xml:space="preserve"> </w:t>
      </w:r>
      <w:r>
        <w:rPr>
          <w:sz w:val="16"/>
        </w:rPr>
        <w:t>Rural</w:t>
      </w:r>
      <w:r>
        <w:rPr>
          <w:spacing w:val="-4"/>
          <w:sz w:val="16"/>
        </w:rPr>
        <w:t xml:space="preserve"> </w:t>
      </w:r>
      <w:r>
        <w:rPr>
          <w:spacing w:val="-2"/>
          <w:sz w:val="16"/>
        </w:rPr>
        <w:t>Capex</w:t>
      </w:r>
    </w:p>
    <w:p w14:paraId="45CF47AC" w14:textId="77777777" w:rsidR="00141B97" w:rsidRDefault="00141B97">
      <w:pPr>
        <w:pStyle w:val="BodyText"/>
        <w:spacing w:before="7"/>
        <w:rPr>
          <w:sz w:val="20"/>
        </w:rPr>
      </w:pPr>
    </w:p>
    <w:p w14:paraId="3BFD77C3" w14:textId="77777777" w:rsidR="00141B97" w:rsidRDefault="00911D63">
      <w:pPr>
        <w:pStyle w:val="ListParagraph"/>
        <w:numPr>
          <w:ilvl w:val="2"/>
          <w:numId w:val="37"/>
        </w:numPr>
        <w:tabs>
          <w:tab w:val="left" w:pos="1112"/>
          <w:tab w:val="left" w:pos="1113"/>
        </w:tabs>
        <w:spacing w:before="1"/>
        <w:ind w:left="1112"/>
        <w:jc w:val="both"/>
      </w:pPr>
      <w:r>
        <w:t>Major</w:t>
      </w:r>
      <w:r>
        <w:rPr>
          <w:spacing w:val="-6"/>
        </w:rPr>
        <w:t xml:space="preserve"> </w:t>
      </w:r>
      <w:r>
        <w:t>Rural</w:t>
      </w:r>
      <w:r>
        <w:rPr>
          <w:spacing w:val="-6"/>
        </w:rPr>
        <w:t xml:space="preserve"> </w:t>
      </w:r>
      <w:r>
        <w:rPr>
          <w:spacing w:val="-2"/>
        </w:rPr>
        <w:t>Projects</w:t>
      </w:r>
    </w:p>
    <w:p w14:paraId="05E84B5C" w14:textId="77777777" w:rsidR="00141B97" w:rsidRDefault="00911D63">
      <w:pPr>
        <w:pStyle w:val="BodyText"/>
        <w:spacing w:before="60" w:line="256" w:lineRule="auto"/>
        <w:ind w:left="113" w:right="948"/>
        <w:jc w:val="both"/>
      </w:pPr>
      <w:r>
        <w:t>Irrigation mains replacement and channel lining projects within the rural pumped districts are on track to be achieved slightly below budget. These works will reduce water losses and concrete lined channel patching maintenance costs to improve supply reliability as well as remove risk of channel failure in areas where the channel condition was assessed as poor, particularly where the channel is elevated in relation to surrounding topography with the associated flooding risk.</w:t>
      </w:r>
      <w:r>
        <w:rPr>
          <w:spacing w:val="40"/>
        </w:rPr>
        <w:t xml:space="preserve"> </w:t>
      </w:r>
      <w:r>
        <w:t xml:space="preserve">This is supported by the reduction in bursts and leaks against </w:t>
      </w:r>
      <w:r>
        <w:rPr>
          <w:spacing w:val="-2"/>
        </w:rPr>
        <w:t>targets.</w:t>
      </w:r>
    </w:p>
    <w:p w14:paraId="3B9FC1E4" w14:textId="77777777" w:rsidR="00141B97" w:rsidRDefault="00141B97">
      <w:pPr>
        <w:pStyle w:val="BodyText"/>
        <w:spacing w:before="7"/>
        <w:rPr>
          <w:sz w:val="23"/>
        </w:rPr>
      </w:pPr>
    </w:p>
    <w:p w14:paraId="7ADE2DE1" w14:textId="77777777" w:rsidR="00141B97" w:rsidRDefault="00911D63">
      <w:pPr>
        <w:pStyle w:val="BodyText"/>
        <w:spacing w:line="256" w:lineRule="auto"/>
        <w:ind w:left="113" w:right="947"/>
        <w:jc w:val="both"/>
      </w:pPr>
      <w:r>
        <w:t>Mildura</w:t>
      </w:r>
      <w:r>
        <w:rPr>
          <w:spacing w:val="-13"/>
        </w:rPr>
        <w:t xml:space="preserve"> </w:t>
      </w:r>
      <w:r>
        <w:t>Central</w:t>
      </w:r>
      <w:r>
        <w:rPr>
          <w:spacing w:val="-12"/>
        </w:rPr>
        <w:t xml:space="preserve"> </w:t>
      </w:r>
      <w:r>
        <w:t>Pump</w:t>
      </w:r>
      <w:r>
        <w:rPr>
          <w:spacing w:val="-13"/>
        </w:rPr>
        <w:t xml:space="preserve"> </w:t>
      </w:r>
      <w:r>
        <w:t>Station</w:t>
      </w:r>
      <w:r>
        <w:rPr>
          <w:spacing w:val="-12"/>
        </w:rPr>
        <w:t xml:space="preserve"> </w:t>
      </w:r>
      <w:r>
        <w:t>rising</w:t>
      </w:r>
      <w:r>
        <w:rPr>
          <w:spacing w:val="-13"/>
        </w:rPr>
        <w:t xml:space="preserve"> </w:t>
      </w:r>
      <w:r>
        <w:t>main</w:t>
      </w:r>
      <w:r>
        <w:rPr>
          <w:spacing w:val="-12"/>
        </w:rPr>
        <w:t xml:space="preserve"> </w:t>
      </w:r>
      <w:r>
        <w:t>replacement</w:t>
      </w:r>
      <w:r>
        <w:rPr>
          <w:spacing w:val="-13"/>
        </w:rPr>
        <w:t xml:space="preserve"> </w:t>
      </w:r>
      <w:r>
        <w:t>was</w:t>
      </w:r>
      <w:r>
        <w:rPr>
          <w:spacing w:val="-12"/>
        </w:rPr>
        <w:t xml:space="preserve"> </w:t>
      </w:r>
      <w:r>
        <w:t>delayed</w:t>
      </w:r>
      <w:r>
        <w:rPr>
          <w:spacing w:val="-12"/>
        </w:rPr>
        <w:t xml:space="preserve"> </w:t>
      </w:r>
      <w:r>
        <w:t>to</w:t>
      </w:r>
      <w:r>
        <w:rPr>
          <w:spacing w:val="-13"/>
        </w:rPr>
        <w:t xml:space="preserve"> </w:t>
      </w:r>
      <w:r>
        <w:t>better</w:t>
      </w:r>
      <w:r>
        <w:rPr>
          <w:spacing w:val="-12"/>
        </w:rPr>
        <w:t xml:space="preserve"> </w:t>
      </w:r>
      <w:r>
        <w:t>align</w:t>
      </w:r>
      <w:r>
        <w:rPr>
          <w:spacing w:val="-13"/>
        </w:rPr>
        <w:t xml:space="preserve"> </w:t>
      </w:r>
      <w:r>
        <w:t>with</w:t>
      </w:r>
      <w:r>
        <w:rPr>
          <w:spacing w:val="-12"/>
        </w:rPr>
        <w:t xml:space="preserve"> </w:t>
      </w:r>
      <w:r>
        <w:t>irrigators’</w:t>
      </w:r>
      <w:r>
        <w:rPr>
          <w:spacing w:val="-13"/>
        </w:rPr>
        <w:t xml:space="preserve"> </w:t>
      </w:r>
      <w:r>
        <w:t>water</w:t>
      </w:r>
      <w:r>
        <w:rPr>
          <w:spacing w:val="-12"/>
        </w:rPr>
        <w:t xml:space="preserve"> </w:t>
      </w:r>
      <w:r>
        <w:t>demand and minimise disruption by undertaking construction works during the low demand winter period. The project was</w:t>
      </w:r>
      <w:r>
        <w:rPr>
          <w:spacing w:val="-8"/>
        </w:rPr>
        <w:t xml:space="preserve"> </w:t>
      </w:r>
      <w:r>
        <w:t>delivered</w:t>
      </w:r>
      <w:r>
        <w:rPr>
          <w:spacing w:val="-7"/>
        </w:rPr>
        <w:t xml:space="preserve"> </w:t>
      </w:r>
      <w:r>
        <w:t>slightly</w:t>
      </w:r>
      <w:r>
        <w:rPr>
          <w:spacing w:val="-8"/>
        </w:rPr>
        <w:t xml:space="preserve"> </w:t>
      </w:r>
      <w:r>
        <w:t>above</w:t>
      </w:r>
      <w:r>
        <w:rPr>
          <w:spacing w:val="-8"/>
        </w:rPr>
        <w:t xml:space="preserve"> </w:t>
      </w:r>
      <w:r>
        <w:t>budget</w:t>
      </w:r>
      <w:r>
        <w:rPr>
          <w:spacing w:val="-7"/>
        </w:rPr>
        <w:t xml:space="preserve"> </w:t>
      </w:r>
      <w:r>
        <w:t>due</w:t>
      </w:r>
      <w:r>
        <w:rPr>
          <w:spacing w:val="-7"/>
        </w:rPr>
        <w:t xml:space="preserve"> </w:t>
      </w:r>
      <w:r>
        <w:t>to</w:t>
      </w:r>
      <w:r>
        <w:rPr>
          <w:spacing w:val="-8"/>
        </w:rPr>
        <w:t xml:space="preserve"> </w:t>
      </w:r>
      <w:r>
        <w:t>the</w:t>
      </w:r>
      <w:r>
        <w:rPr>
          <w:spacing w:val="-7"/>
        </w:rPr>
        <w:t xml:space="preserve"> </w:t>
      </w:r>
      <w:r>
        <w:t>additional</w:t>
      </w:r>
      <w:r>
        <w:rPr>
          <w:spacing w:val="-7"/>
        </w:rPr>
        <w:t xml:space="preserve"> </w:t>
      </w:r>
      <w:r>
        <w:t>replacement</w:t>
      </w:r>
      <w:r>
        <w:rPr>
          <w:spacing w:val="-7"/>
        </w:rPr>
        <w:t xml:space="preserve"> </w:t>
      </w:r>
      <w:r>
        <w:t>of</w:t>
      </w:r>
      <w:r>
        <w:rPr>
          <w:spacing w:val="-7"/>
        </w:rPr>
        <w:t xml:space="preserve"> </w:t>
      </w:r>
      <w:r>
        <w:t>the</w:t>
      </w:r>
      <w:r>
        <w:rPr>
          <w:spacing w:val="-7"/>
        </w:rPr>
        <w:t xml:space="preserve"> </w:t>
      </w:r>
      <w:r>
        <w:t>pipe</w:t>
      </w:r>
      <w:r>
        <w:rPr>
          <w:spacing w:val="-9"/>
        </w:rPr>
        <w:t xml:space="preserve"> </w:t>
      </w:r>
      <w:r>
        <w:t>manifold</w:t>
      </w:r>
      <w:r>
        <w:rPr>
          <w:spacing w:val="-6"/>
        </w:rPr>
        <w:t xml:space="preserve"> </w:t>
      </w:r>
      <w:r>
        <w:t>at</w:t>
      </w:r>
      <w:r>
        <w:rPr>
          <w:spacing w:val="-7"/>
        </w:rPr>
        <w:t xml:space="preserve"> </w:t>
      </w:r>
      <w:r>
        <w:t>the</w:t>
      </w:r>
      <w:r>
        <w:rPr>
          <w:spacing w:val="-7"/>
        </w:rPr>
        <w:t xml:space="preserve"> </w:t>
      </w:r>
      <w:r>
        <w:t>pump</w:t>
      </w:r>
      <w:r>
        <w:rPr>
          <w:spacing w:val="-8"/>
        </w:rPr>
        <w:t xml:space="preserve"> </w:t>
      </w:r>
      <w:r>
        <w:t>station as</w:t>
      </w:r>
      <w:r>
        <w:rPr>
          <w:spacing w:val="-3"/>
        </w:rPr>
        <w:t xml:space="preserve"> </w:t>
      </w:r>
      <w:r>
        <w:t>it</w:t>
      </w:r>
      <w:r>
        <w:rPr>
          <w:spacing w:val="-3"/>
        </w:rPr>
        <w:t xml:space="preserve"> </w:t>
      </w:r>
      <w:r>
        <w:t>was</w:t>
      </w:r>
      <w:r>
        <w:rPr>
          <w:spacing w:val="-3"/>
        </w:rPr>
        <w:t xml:space="preserve"> </w:t>
      </w:r>
      <w:r>
        <w:t>found</w:t>
      </w:r>
      <w:r>
        <w:rPr>
          <w:spacing w:val="-3"/>
        </w:rPr>
        <w:t xml:space="preserve"> </w:t>
      </w:r>
      <w:r>
        <w:t>to</w:t>
      </w:r>
      <w:r>
        <w:rPr>
          <w:spacing w:val="-3"/>
        </w:rPr>
        <w:t xml:space="preserve"> </w:t>
      </w:r>
      <w:r>
        <w:t>be</w:t>
      </w:r>
      <w:r>
        <w:rPr>
          <w:spacing w:val="-4"/>
        </w:rPr>
        <w:t xml:space="preserve"> </w:t>
      </w:r>
      <w:r>
        <w:t>cost</w:t>
      </w:r>
      <w:r>
        <w:rPr>
          <w:spacing w:val="-2"/>
        </w:rPr>
        <w:t xml:space="preserve"> </w:t>
      </w:r>
      <w:r>
        <w:t>effective</w:t>
      </w:r>
      <w:r>
        <w:rPr>
          <w:spacing w:val="-2"/>
        </w:rPr>
        <w:t xml:space="preserve"> </w:t>
      </w:r>
      <w:r>
        <w:t>to</w:t>
      </w:r>
      <w:r>
        <w:rPr>
          <w:spacing w:val="-3"/>
        </w:rPr>
        <w:t xml:space="preserve"> </w:t>
      </w:r>
      <w:r>
        <w:t>deliver</w:t>
      </w:r>
      <w:r>
        <w:rPr>
          <w:spacing w:val="-4"/>
        </w:rPr>
        <w:t xml:space="preserve"> </w:t>
      </w:r>
      <w:r>
        <w:t>together</w:t>
      </w:r>
      <w:r>
        <w:rPr>
          <w:spacing w:val="-3"/>
        </w:rPr>
        <w:t xml:space="preserve"> </w:t>
      </w:r>
      <w:r>
        <w:t>with</w:t>
      </w:r>
      <w:r>
        <w:rPr>
          <w:spacing w:val="-4"/>
        </w:rPr>
        <w:t xml:space="preserve"> </w:t>
      </w:r>
      <w:r>
        <w:t>the</w:t>
      </w:r>
      <w:r>
        <w:rPr>
          <w:spacing w:val="-3"/>
        </w:rPr>
        <w:t xml:space="preserve"> </w:t>
      </w:r>
      <w:r>
        <w:t>works</w:t>
      </w:r>
      <w:r>
        <w:rPr>
          <w:spacing w:val="-3"/>
        </w:rPr>
        <w:t xml:space="preserve"> </w:t>
      </w:r>
      <w:r>
        <w:t>and</w:t>
      </w:r>
      <w:r>
        <w:rPr>
          <w:spacing w:val="-2"/>
        </w:rPr>
        <w:t xml:space="preserve"> </w:t>
      </w:r>
      <w:r>
        <w:t>improve</w:t>
      </w:r>
      <w:r>
        <w:rPr>
          <w:spacing w:val="-4"/>
        </w:rPr>
        <w:t xml:space="preserve"> </w:t>
      </w:r>
      <w:r>
        <w:t>the</w:t>
      </w:r>
      <w:r>
        <w:rPr>
          <w:spacing w:val="-4"/>
        </w:rPr>
        <w:t xml:space="preserve"> </w:t>
      </w:r>
      <w:r>
        <w:t>reliability</w:t>
      </w:r>
      <w:r>
        <w:rPr>
          <w:spacing w:val="-3"/>
        </w:rPr>
        <w:t xml:space="preserve"> </w:t>
      </w:r>
      <w:r>
        <w:t>of</w:t>
      </w:r>
      <w:r>
        <w:rPr>
          <w:spacing w:val="-3"/>
        </w:rPr>
        <w:t xml:space="preserve"> </w:t>
      </w:r>
      <w:r>
        <w:t>the</w:t>
      </w:r>
      <w:r>
        <w:rPr>
          <w:spacing w:val="-4"/>
        </w:rPr>
        <w:t xml:space="preserve"> </w:t>
      </w:r>
      <w:r>
        <w:t>system.</w:t>
      </w:r>
    </w:p>
    <w:p w14:paraId="3892F9B7" w14:textId="77777777" w:rsidR="00141B97" w:rsidRDefault="00141B97">
      <w:pPr>
        <w:spacing w:line="256" w:lineRule="auto"/>
        <w:jc w:val="both"/>
        <w:sectPr w:rsidR="00141B97">
          <w:pgSz w:w="11910" w:h="16840"/>
          <w:pgMar w:top="820" w:right="40" w:bottom="780" w:left="1020" w:header="0" w:footer="586" w:gutter="0"/>
          <w:cols w:space="720"/>
        </w:sectPr>
      </w:pPr>
    </w:p>
    <w:p w14:paraId="7982A763" w14:textId="77777777" w:rsidR="00141B97" w:rsidRDefault="00911D63">
      <w:pPr>
        <w:pStyle w:val="BodyText"/>
        <w:spacing w:before="42" w:line="249" w:lineRule="auto"/>
        <w:ind w:left="113" w:right="948"/>
        <w:jc w:val="both"/>
      </w:pPr>
      <w:r>
        <w:lastRenderedPageBreak/>
        <w:t>The</w:t>
      </w:r>
      <w:r>
        <w:rPr>
          <w:spacing w:val="-6"/>
        </w:rPr>
        <w:t xml:space="preserve"> </w:t>
      </w:r>
      <w:r>
        <w:t>Millewa</w:t>
      </w:r>
      <w:r>
        <w:rPr>
          <w:spacing w:val="-4"/>
        </w:rPr>
        <w:t xml:space="preserve"> </w:t>
      </w:r>
      <w:r>
        <w:t>River</w:t>
      </w:r>
      <w:r>
        <w:rPr>
          <w:spacing w:val="-4"/>
        </w:rPr>
        <w:t xml:space="preserve"> </w:t>
      </w:r>
      <w:r>
        <w:t>Pump</w:t>
      </w:r>
      <w:r>
        <w:rPr>
          <w:spacing w:val="-6"/>
        </w:rPr>
        <w:t xml:space="preserve"> </w:t>
      </w:r>
      <w:r>
        <w:t>Station</w:t>
      </w:r>
      <w:r>
        <w:rPr>
          <w:spacing w:val="-5"/>
        </w:rPr>
        <w:t xml:space="preserve"> </w:t>
      </w:r>
      <w:r>
        <w:t>was</w:t>
      </w:r>
      <w:r>
        <w:rPr>
          <w:spacing w:val="-4"/>
        </w:rPr>
        <w:t xml:space="preserve"> </w:t>
      </w:r>
      <w:r>
        <w:t>initially</w:t>
      </w:r>
      <w:r>
        <w:rPr>
          <w:spacing w:val="-4"/>
        </w:rPr>
        <w:t xml:space="preserve"> </w:t>
      </w:r>
      <w:r>
        <w:t>budgeted</w:t>
      </w:r>
      <w:r>
        <w:rPr>
          <w:spacing w:val="-6"/>
        </w:rPr>
        <w:t xml:space="preserve"> </w:t>
      </w:r>
      <w:r>
        <w:t>at</w:t>
      </w:r>
      <w:r>
        <w:rPr>
          <w:spacing w:val="-4"/>
        </w:rPr>
        <w:t xml:space="preserve"> </w:t>
      </w:r>
      <w:r>
        <w:t>$1.25m,</w:t>
      </w:r>
      <w:r>
        <w:rPr>
          <w:spacing w:val="-4"/>
        </w:rPr>
        <w:t xml:space="preserve"> </w:t>
      </w:r>
      <w:r>
        <w:t>however</w:t>
      </w:r>
      <w:r>
        <w:rPr>
          <w:spacing w:val="-5"/>
        </w:rPr>
        <w:t xml:space="preserve"> </w:t>
      </w:r>
      <w:r>
        <w:t>the</w:t>
      </w:r>
      <w:r>
        <w:rPr>
          <w:spacing w:val="-5"/>
        </w:rPr>
        <w:t xml:space="preserve"> </w:t>
      </w:r>
      <w:r>
        <w:t>actual</w:t>
      </w:r>
      <w:r>
        <w:rPr>
          <w:spacing w:val="-5"/>
        </w:rPr>
        <w:t xml:space="preserve"> </w:t>
      </w:r>
      <w:r>
        <w:t>and</w:t>
      </w:r>
      <w:r>
        <w:rPr>
          <w:spacing w:val="-4"/>
        </w:rPr>
        <w:t xml:space="preserve"> </w:t>
      </w:r>
      <w:r>
        <w:t>forecast</w:t>
      </w:r>
      <w:r>
        <w:rPr>
          <w:spacing w:val="-5"/>
        </w:rPr>
        <w:t xml:space="preserve"> </w:t>
      </w:r>
      <w:r>
        <w:t>expenditure for this project is $8.09m. This is mainly due to an increase in scope and market cost escalation. Extensive consultation was conducted with the private diverter customers who are most affected by the reliability and capacity limits of the existing pump station, on the design capacity and cost of the new pump station. Support was unanimous for the new pump station and proposed pricing structure. The operating level of the river will change as part of NSW Basin Plan water saving measures. Consequently, the existing inlet structure could not be used, which required the construction of a new pump station. Additionally, fish screens were added to the scope due to NSW government regulatory requirements. Note that the additional expenditure is not included in Table C8 as it will be included in the first year of PS5 to capture this expenditure in the RAB for 2023/24.</w:t>
      </w:r>
    </w:p>
    <w:p w14:paraId="245C6CDD" w14:textId="77777777" w:rsidR="00141B97" w:rsidRDefault="00141B97">
      <w:pPr>
        <w:pStyle w:val="BodyText"/>
        <w:spacing w:before="4"/>
        <w:rPr>
          <w:sz w:val="23"/>
        </w:rPr>
      </w:pPr>
    </w:p>
    <w:tbl>
      <w:tblPr>
        <w:tblW w:w="0" w:type="auto"/>
        <w:tblCellSpacing w:w="5" w:type="dxa"/>
        <w:tblInd w:w="131" w:type="dxa"/>
        <w:tblLayout w:type="fixed"/>
        <w:tblCellMar>
          <w:left w:w="0" w:type="dxa"/>
          <w:right w:w="0" w:type="dxa"/>
        </w:tblCellMar>
        <w:tblLook w:val="01E0" w:firstRow="1" w:lastRow="1" w:firstColumn="1" w:lastColumn="1" w:noHBand="0" w:noVBand="0"/>
      </w:tblPr>
      <w:tblGrid>
        <w:gridCol w:w="1425"/>
        <w:gridCol w:w="1840"/>
        <w:gridCol w:w="1150"/>
        <w:gridCol w:w="1030"/>
        <w:gridCol w:w="826"/>
        <w:gridCol w:w="1007"/>
        <w:gridCol w:w="1148"/>
        <w:gridCol w:w="1513"/>
      </w:tblGrid>
      <w:tr w:rsidR="00141B97" w14:paraId="632D6C6D" w14:textId="77777777">
        <w:trPr>
          <w:trHeight w:val="585"/>
          <w:tblCellSpacing w:w="5" w:type="dxa"/>
        </w:trPr>
        <w:tc>
          <w:tcPr>
            <w:tcW w:w="1410" w:type="dxa"/>
            <w:tcBorders>
              <w:top w:val="nil"/>
              <w:left w:val="nil"/>
            </w:tcBorders>
            <w:shd w:val="clear" w:color="auto" w:fill="0064A4"/>
          </w:tcPr>
          <w:p w14:paraId="08C92358" w14:textId="77777777" w:rsidR="00141B97" w:rsidRDefault="00911D63">
            <w:pPr>
              <w:pStyle w:val="TableParagraph"/>
              <w:ind w:left="103"/>
              <w:rPr>
                <w:sz w:val="16"/>
              </w:rPr>
            </w:pPr>
            <w:r>
              <w:rPr>
                <w:color w:val="FFFFFF"/>
                <w:sz w:val="16"/>
              </w:rPr>
              <w:t>Major</w:t>
            </w:r>
            <w:r>
              <w:rPr>
                <w:color w:val="FFFFFF"/>
                <w:spacing w:val="-6"/>
                <w:sz w:val="16"/>
              </w:rPr>
              <w:t xml:space="preserve"> </w:t>
            </w:r>
            <w:r>
              <w:rPr>
                <w:color w:val="FFFFFF"/>
                <w:spacing w:val="-2"/>
                <w:sz w:val="16"/>
              </w:rPr>
              <w:t>Projects</w:t>
            </w:r>
          </w:p>
        </w:tc>
        <w:tc>
          <w:tcPr>
            <w:tcW w:w="1830" w:type="dxa"/>
            <w:tcBorders>
              <w:top w:val="nil"/>
            </w:tcBorders>
            <w:shd w:val="clear" w:color="auto" w:fill="0064A4"/>
          </w:tcPr>
          <w:p w14:paraId="275D9E45" w14:textId="77777777" w:rsidR="00141B97" w:rsidRDefault="00911D63">
            <w:pPr>
              <w:pStyle w:val="TableParagraph"/>
              <w:ind w:left="103"/>
              <w:rPr>
                <w:sz w:val="16"/>
              </w:rPr>
            </w:pPr>
            <w:r>
              <w:rPr>
                <w:color w:val="FFFFFF"/>
                <w:spacing w:val="-2"/>
                <w:sz w:val="16"/>
              </w:rPr>
              <w:t>Purpose</w:t>
            </w:r>
          </w:p>
        </w:tc>
        <w:tc>
          <w:tcPr>
            <w:tcW w:w="1140" w:type="dxa"/>
            <w:tcBorders>
              <w:top w:val="nil"/>
            </w:tcBorders>
            <w:shd w:val="clear" w:color="auto" w:fill="0064A4"/>
          </w:tcPr>
          <w:p w14:paraId="4D8D727D" w14:textId="77777777" w:rsidR="00141B97" w:rsidRDefault="00911D63">
            <w:pPr>
              <w:pStyle w:val="TableParagraph"/>
              <w:ind w:left="103"/>
              <w:rPr>
                <w:sz w:val="16"/>
              </w:rPr>
            </w:pPr>
            <w:r>
              <w:rPr>
                <w:color w:val="FFFFFF"/>
                <w:sz w:val="16"/>
              </w:rPr>
              <w:t>Major</w:t>
            </w:r>
            <w:r>
              <w:rPr>
                <w:color w:val="FFFFFF"/>
                <w:spacing w:val="-10"/>
                <w:sz w:val="16"/>
              </w:rPr>
              <w:t xml:space="preserve"> </w:t>
            </w:r>
            <w:r>
              <w:rPr>
                <w:color w:val="FFFFFF"/>
                <w:sz w:val="16"/>
              </w:rPr>
              <w:t>Service</w:t>
            </w:r>
            <w:r>
              <w:rPr>
                <w:color w:val="FFFFFF"/>
                <w:spacing w:val="40"/>
                <w:sz w:val="16"/>
              </w:rPr>
              <w:t xml:space="preserve"> </w:t>
            </w:r>
            <w:r>
              <w:rPr>
                <w:color w:val="FFFFFF"/>
                <w:spacing w:val="-2"/>
                <w:sz w:val="16"/>
              </w:rPr>
              <w:t>Category</w:t>
            </w:r>
          </w:p>
        </w:tc>
        <w:tc>
          <w:tcPr>
            <w:tcW w:w="1020" w:type="dxa"/>
            <w:tcBorders>
              <w:top w:val="nil"/>
            </w:tcBorders>
            <w:shd w:val="clear" w:color="auto" w:fill="0064A4"/>
          </w:tcPr>
          <w:p w14:paraId="466E12CE" w14:textId="77777777" w:rsidR="00141B97" w:rsidRDefault="00911D63">
            <w:pPr>
              <w:pStyle w:val="TableParagraph"/>
              <w:ind w:left="102" w:right="35"/>
              <w:rPr>
                <w:sz w:val="16"/>
              </w:rPr>
            </w:pPr>
            <w:r>
              <w:rPr>
                <w:color w:val="FFFFFF"/>
                <w:spacing w:val="-2"/>
                <w:sz w:val="16"/>
              </w:rPr>
              <w:t>Budget</w:t>
            </w:r>
            <w:r>
              <w:rPr>
                <w:color w:val="FFFFFF"/>
                <w:spacing w:val="40"/>
                <w:sz w:val="16"/>
              </w:rPr>
              <w:t xml:space="preserve"> </w:t>
            </w:r>
            <w:r>
              <w:rPr>
                <w:color w:val="FFFFFF"/>
                <w:sz w:val="16"/>
              </w:rPr>
              <w:t>Project</w:t>
            </w:r>
            <w:r>
              <w:rPr>
                <w:color w:val="FFFFFF"/>
                <w:spacing w:val="-10"/>
                <w:sz w:val="16"/>
              </w:rPr>
              <w:t xml:space="preserve"> </w:t>
            </w:r>
            <w:r>
              <w:rPr>
                <w:color w:val="FFFFFF"/>
                <w:sz w:val="16"/>
              </w:rPr>
              <w:t>Cost</w:t>
            </w:r>
          </w:p>
          <w:p w14:paraId="07D44A2C" w14:textId="77777777" w:rsidR="00141B97" w:rsidRDefault="00911D63">
            <w:pPr>
              <w:pStyle w:val="TableParagraph"/>
              <w:spacing w:line="175" w:lineRule="exact"/>
              <w:ind w:left="102"/>
              <w:rPr>
                <w:sz w:val="16"/>
              </w:rPr>
            </w:pPr>
            <w:r>
              <w:rPr>
                <w:color w:val="FFFFFF"/>
                <w:spacing w:val="-4"/>
                <w:sz w:val="16"/>
              </w:rPr>
              <w:t>($m)</w:t>
            </w:r>
          </w:p>
        </w:tc>
        <w:tc>
          <w:tcPr>
            <w:tcW w:w="816" w:type="dxa"/>
            <w:tcBorders>
              <w:top w:val="nil"/>
            </w:tcBorders>
            <w:shd w:val="clear" w:color="auto" w:fill="0064A4"/>
          </w:tcPr>
          <w:p w14:paraId="762E2B95" w14:textId="77777777" w:rsidR="00141B97" w:rsidRDefault="00911D63">
            <w:pPr>
              <w:pStyle w:val="TableParagraph"/>
              <w:ind w:left="102" w:right="136"/>
              <w:rPr>
                <w:sz w:val="16"/>
              </w:rPr>
            </w:pPr>
            <w:r>
              <w:rPr>
                <w:color w:val="FFFFFF"/>
                <w:spacing w:val="-2"/>
                <w:sz w:val="16"/>
              </w:rPr>
              <w:t>Total</w:t>
            </w:r>
            <w:r>
              <w:rPr>
                <w:color w:val="FFFFFF"/>
                <w:spacing w:val="40"/>
                <w:sz w:val="16"/>
              </w:rPr>
              <w:t xml:space="preserve"> </w:t>
            </w:r>
            <w:r>
              <w:rPr>
                <w:color w:val="FFFFFF"/>
                <w:sz w:val="16"/>
              </w:rPr>
              <w:t>Cost</w:t>
            </w:r>
            <w:r>
              <w:rPr>
                <w:color w:val="FFFFFF"/>
                <w:spacing w:val="-10"/>
                <w:sz w:val="16"/>
              </w:rPr>
              <w:t xml:space="preserve"> </w:t>
            </w:r>
            <w:r>
              <w:rPr>
                <w:color w:val="FFFFFF"/>
                <w:sz w:val="16"/>
              </w:rPr>
              <w:t>to</w:t>
            </w:r>
          </w:p>
          <w:p w14:paraId="644AFCC5" w14:textId="77777777" w:rsidR="00141B97" w:rsidRDefault="00911D63">
            <w:pPr>
              <w:pStyle w:val="TableParagraph"/>
              <w:spacing w:line="175" w:lineRule="exact"/>
              <w:ind w:left="102"/>
              <w:rPr>
                <w:sz w:val="16"/>
              </w:rPr>
            </w:pPr>
            <w:r>
              <w:rPr>
                <w:color w:val="FFFFFF"/>
                <w:spacing w:val="-4"/>
                <w:sz w:val="16"/>
              </w:rPr>
              <w:t>Date</w:t>
            </w:r>
          </w:p>
        </w:tc>
        <w:tc>
          <w:tcPr>
            <w:tcW w:w="997" w:type="dxa"/>
            <w:tcBorders>
              <w:top w:val="nil"/>
            </w:tcBorders>
            <w:shd w:val="clear" w:color="auto" w:fill="0064A4"/>
          </w:tcPr>
          <w:p w14:paraId="2BD00555" w14:textId="77777777" w:rsidR="00141B97" w:rsidRDefault="00911D63">
            <w:pPr>
              <w:pStyle w:val="TableParagraph"/>
              <w:ind w:left="102"/>
              <w:rPr>
                <w:sz w:val="16"/>
              </w:rPr>
            </w:pPr>
            <w:r>
              <w:rPr>
                <w:color w:val="FFFFFF"/>
                <w:sz w:val="16"/>
              </w:rPr>
              <w:t>Estimate</w:t>
            </w:r>
            <w:r>
              <w:rPr>
                <w:color w:val="FFFFFF"/>
                <w:spacing w:val="-10"/>
                <w:sz w:val="16"/>
              </w:rPr>
              <w:t xml:space="preserve"> </w:t>
            </w:r>
            <w:r>
              <w:rPr>
                <w:color w:val="FFFFFF"/>
                <w:sz w:val="16"/>
              </w:rPr>
              <w:t>to</w:t>
            </w:r>
            <w:r>
              <w:rPr>
                <w:color w:val="FFFFFF"/>
                <w:spacing w:val="40"/>
                <w:sz w:val="16"/>
              </w:rPr>
              <w:t xml:space="preserve"> </w:t>
            </w:r>
            <w:r>
              <w:rPr>
                <w:color w:val="FFFFFF"/>
                <w:spacing w:val="-2"/>
                <w:sz w:val="16"/>
              </w:rPr>
              <w:t>Complete</w:t>
            </w:r>
          </w:p>
        </w:tc>
        <w:tc>
          <w:tcPr>
            <w:tcW w:w="1138" w:type="dxa"/>
            <w:tcBorders>
              <w:top w:val="nil"/>
              <w:right w:val="nil"/>
            </w:tcBorders>
            <w:shd w:val="clear" w:color="auto" w:fill="0064A4"/>
          </w:tcPr>
          <w:p w14:paraId="666959B4" w14:textId="77777777" w:rsidR="00141B97" w:rsidRDefault="00911D63">
            <w:pPr>
              <w:pStyle w:val="TableParagraph"/>
              <w:ind w:left="100"/>
              <w:rPr>
                <w:sz w:val="16"/>
              </w:rPr>
            </w:pPr>
            <w:r>
              <w:rPr>
                <w:color w:val="FFFFFF"/>
                <w:sz w:val="16"/>
              </w:rPr>
              <w:t>Actual</w:t>
            </w:r>
            <w:r>
              <w:rPr>
                <w:color w:val="FFFFFF"/>
                <w:spacing w:val="-5"/>
                <w:sz w:val="16"/>
              </w:rPr>
              <w:t xml:space="preserve"> </w:t>
            </w:r>
            <w:r>
              <w:rPr>
                <w:color w:val="FFFFFF"/>
                <w:sz w:val="16"/>
              </w:rPr>
              <w:t>/</w:t>
            </w:r>
            <w:r>
              <w:rPr>
                <w:color w:val="FFFFFF"/>
                <w:spacing w:val="40"/>
                <w:sz w:val="16"/>
              </w:rPr>
              <w:t xml:space="preserve"> </w:t>
            </w:r>
            <w:r>
              <w:rPr>
                <w:color w:val="FFFFFF"/>
                <w:spacing w:val="-2"/>
                <w:sz w:val="16"/>
              </w:rPr>
              <w:t>Estimated</w:t>
            </w:r>
          </w:p>
          <w:p w14:paraId="72A347B2" w14:textId="77777777" w:rsidR="00141B97" w:rsidRDefault="00911D63">
            <w:pPr>
              <w:pStyle w:val="TableParagraph"/>
              <w:spacing w:line="175" w:lineRule="exact"/>
              <w:ind w:left="100"/>
              <w:rPr>
                <w:sz w:val="16"/>
              </w:rPr>
            </w:pPr>
            <w:r>
              <w:rPr>
                <w:color w:val="FFFFFF"/>
                <w:sz w:val="16"/>
              </w:rPr>
              <w:t>Final</w:t>
            </w:r>
            <w:r>
              <w:rPr>
                <w:color w:val="FFFFFF"/>
                <w:spacing w:val="-5"/>
                <w:sz w:val="16"/>
              </w:rPr>
              <w:t xml:space="preserve"> </w:t>
            </w:r>
            <w:r>
              <w:rPr>
                <w:color w:val="FFFFFF"/>
                <w:spacing w:val="-4"/>
                <w:sz w:val="16"/>
              </w:rPr>
              <w:t>Cost</w:t>
            </w:r>
          </w:p>
        </w:tc>
        <w:tc>
          <w:tcPr>
            <w:tcW w:w="1498" w:type="dxa"/>
            <w:tcBorders>
              <w:top w:val="nil"/>
              <w:left w:val="nil"/>
              <w:right w:val="nil"/>
            </w:tcBorders>
            <w:shd w:val="clear" w:color="auto" w:fill="0064A4"/>
          </w:tcPr>
          <w:p w14:paraId="7D027AC9" w14:textId="77777777" w:rsidR="00141B97" w:rsidRDefault="00911D63">
            <w:pPr>
              <w:pStyle w:val="TableParagraph"/>
              <w:ind w:left="100"/>
              <w:rPr>
                <w:sz w:val="16"/>
              </w:rPr>
            </w:pPr>
            <w:r>
              <w:rPr>
                <w:color w:val="FFFFFF"/>
                <w:spacing w:val="-2"/>
                <w:sz w:val="16"/>
              </w:rPr>
              <w:t>Status/Outcome/</w:t>
            </w:r>
            <w:r>
              <w:rPr>
                <w:color w:val="FFFFFF"/>
                <w:spacing w:val="40"/>
                <w:sz w:val="16"/>
              </w:rPr>
              <w:t xml:space="preserve"> </w:t>
            </w:r>
            <w:r>
              <w:rPr>
                <w:color w:val="FFFFFF"/>
                <w:spacing w:val="-2"/>
                <w:sz w:val="16"/>
              </w:rPr>
              <w:t>Comment</w:t>
            </w:r>
          </w:p>
        </w:tc>
      </w:tr>
      <w:tr w:rsidR="00141B97" w14:paraId="7C9D624B" w14:textId="77777777">
        <w:trPr>
          <w:trHeight w:val="586"/>
          <w:tblCellSpacing w:w="5" w:type="dxa"/>
        </w:trPr>
        <w:tc>
          <w:tcPr>
            <w:tcW w:w="1410" w:type="dxa"/>
            <w:tcBorders>
              <w:left w:val="nil"/>
            </w:tcBorders>
            <w:shd w:val="clear" w:color="auto" w:fill="CCE2ED"/>
          </w:tcPr>
          <w:p w14:paraId="60A571BB" w14:textId="77777777" w:rsidR="00141B97" w:rsidRDefault="00911D63">
            <w:pPr>
              <w:pStyle w:val="TableParagraph"/>
              <w:ind w:left="277" w:right="47" w:hanging="142"/>
              <w:rPr>
                <w:sz w:val="16"/>
              </w:rPr>
            </w:pPr>
            <w:r>
              <w:rPr>
                <w:sz w:val="16"/>
              </w:rPr>
              <w:t>1.</w:t>
            </w:r>
            <w:r>
              <w:rPr>
                <w:spacing w:val="-15"/>
                <w:sz w:val="16"/>
              </w:rPr>
              <w:t xml:space="preserve"> </w:t>
            </w:r>
            <w:r>
              <w:rPr>
                <w:sz w:val="16"/>
              </w:rPr>
              <w:t>Pipeline</w:t>
            </w:r>
            <w:r>
              <w:rPr>
                <w:spacing w:val="40"/>
                <w:sz w:val="16"/>
              </w:rPr>
              <w:t xml:space="preserve"> </w:t>
            </w:r>
            <w:r>
              <w:rPr>
                <w:spacing w:val="-2"/>
                <w:sz w:val="16"/>
              </w:rPr>
              <w:t>Renewals</w:t>
            </w:r>
          </w:p>
        </w:tc>
        <w:tc>
          <w:tcPr>
            <w:tcW w:w="1830" w:type="dxa"/>
            <w:shd w:val="clear" w:color="auto" w:fill="CCE2ED"/>
          </w:tcPr>
          <w:p w14:paraId="4608EE7F" w14:textId="77777777" w:rsidR="00141B97" w:rsidRDefault="00911D63">
            <w:pPr>
              <w:pStyle w:val="TableParagraph"/>
              <w:ind w:left="103"/>
              <w:rPr>
                <w:sz w:val="16"/>
              </w:rPr>
            </w:pPr>
            <w:r>
              <w:rPr>
                <w:spacing w:val="-2"/>
                <w:sz w:val="16"/>
              </w:rPr>
              <w:t>Irrigation</w:t>
            </w:r>
            <w:r>
              <w:rPr>
                <w:spacing w:val="6"/>
                <w:sz w:val="16"/>
              </w:rPr>
              <w:t xml:space="preserve"> </w:t>
            </w:r>
            <w:r>
              <w:rPr>
                <w:spacing w:val="-2"/>
                <w:sz w:val="16"/>
              </w:rPr>
              <w:t>Mains</w:t>
            </w:r>
          </w:p>
          <w:p w14:paraId="5FB256A0" w14:textId="77777777" w:rsidR="00141B97" w:rsidRDefault="00911D63">
            <w:pPr>
              <w:pStyle w:val="TableParagraph"/>
              <w:spacing w:line="190" w:lineRule="atLeast"/>
              <w:ind w:left="103"/>
              <w:rPr>
                <w:sz w:val="16"/>
              </w:rPr>
            </w:pPr>
            <w:r>
              <w:rPr>
                <w:sz w:val="16"/>
              </w:rPr>
              <w:t>Replacement</w:t>
            </w:r>
            <w:r>
              <w:rPr>
                <w:spacing w:val="-10"/>
                <w:sz w:val="16"/>
              </w:rPr>
              <w:t xml:space="preserve"> </w:t>
            </w:r>
            <w:r>
              <w:rPr>
                <w:sz w:val="16"/>
              </w:rPr>
              <w:t>(Mildura,</w:t>
            </w:r>
            <w:r>
              <w:rPr>
                <w:spacing w:val="40"/>
                <w:sz w:val="16"/>
              </w:rPr>
              <w:t xml:space="preserve"> </w:t>
            </w:r>
            <w:r>
              <w:rPr>
                <w:sz w:val="16"/>
              </w:rPr>
              <w:t>Merbein, Red Cliffs)</w:t>
            </w:r>
          </w:p>
        </w:tc>
        <w:tc>
          <w:tcPr>
            <w:tcW w:w="1140" w:type="dxa"/>
            <w:shd w:val="clear" w:color="auto" w:fill="CCE2ED"/>
          </w:tcPr>
          <w:p w14:paraId="57B225D2" w14:textId="77777777" w:rsidR="00141B97" w:rsidRDefault="00911D63">
            <w:pPr>
              <w:pStyle w:val="TableParagraph"/>
              <w:ind w:left="103" w:right="163"/>
              <w:rPr>
                <w:sz w:val="16"/>
              </w:rPr>
            </w:pPr>
            <w:r>
              <w:rPr>
                <w:spacing w:val="-2"/>
                <w:sz w:val="16"/>
              </w:rPr>
              <w:t>Rural</w:t>
            </w:r>
            <w:r>
              <w:rPr>
                <w:spacing w:val="40"/>
                <w:sz w:val="16"/>
              </w:rPr>
              <w:t xml:space="preserve"> </w:t>
            </w:r>
            <w:r>
              <w:rPr>
                <w:spacing w:val="-2"/>
                <w:sz w:val="16"/>
              </w:rPr>
              <w:t>Irrigation</w:t>
            </w:r>
          </w:p>
        </w:tc>
        <w:tc>
          <w:tcPr>
            <w:tcW w:w="1020" w:type="dxa"/>
            <w:shd w:val="clear" w:color="auto" w:fill="CCE2ED"/>
          </w:tcPr>
          <w:p w14:paraId="6861C021" w14:textId="77777777" w:rsidR="00141B97" w:rsidRDefault="00911D63">
            <w:pPr>
              <w:pStyle w:val="TableParagraph"/>
              <w:ind w:right="101"/>
              <w:jc w:val="right"/>
              <w:rPr>
                <w:sz w:val="16"/>
              </w:rPr>
            </w:pPr>
            <w:r>
              <w:rPr>
                <w:spacing w:val="-2"/>
                <w:sz w:val="16"/>
              </w:rPr>
              <w:t>10.25</w:t>
            </w:r>
          </w:p>
        </w:tc>
        <w:tc>
          <w:tcPr>
            <w:tcW w:w="816" w:type="dxa"/>
            <w:shd w:val="clear" w:color="auto" w:fill="CCE2ED"/>
          </w:tcPr>
          <w:p w14:paraId="09149FD6" w14:textId="77777777" w:rsidR="00141B97" w:rsidRDefault="00911D63">
            <w:pPr>
              <w:pStyle w:val="TableParagraph"/>
              <w:ind w:right="102"/>
              <w:jc w:val="right"/>
              <w:rPr>
                <w:sz w:val="16"/>
              </w:rPr>
            </w:pPr>
            <w:r>
              <w:rPr>
                <w:spacing w:val="-4"/>
                <w:sz w:val="16"/>
              </w:rPr>
              <w:t>8.69</w:t>
            </w:r>
          </w:p>
        </w:tc>
        <w:tc>
          <w:tcPr>
            <w:tcW w:w="997" w:type="dxa"/>
            <w:shd w:val="clear" w:color="auto" w:fill="CCE2ED"/>
          </w:tcPr>
          <w:p w14:paraId="77449328" w14:textId="77777777" w:rsidR="00141B97" w:rsidRDefault="00911D63">
            <w:pPr>
              <w:pStyle w:val="TableParagraph"/>
              <w:ind w:right="101"/>
              <w:jc w:val="right"/>
              <w:rPr>
                <w:sz w:val="16"/>
              </w:rPr>
            </w:pPr>
            <w:r>
              <w:rPr>
                <w:spacing w:val="-4"/>
                <w:sz w:val="16"/>
              </w:rPr>
              <w:t>1.37</w:t>
            </w:r>
          </w:p>
        </w:tc>
        <w:tc>
          <w:tcPr>
            <w:tcW w:w="1138" w:type="dxa"/>
            <w:tcBorders>
              <w:right w:val="nil"/>
            </w:tcBorders>
            <w:shd w:val="clear" w:color="auto" w:fill="CCE2ED"/>
          </w:tcPr>
          <w:p w14:paraId="1CCE4B23" w14:textId="77777777" w:rsidR="00141B97" w:rsidRDefault="00911D63">
            <w:pPr>
              <w:pStyle w:val="TableParagraph"/>
              <w:ind w:right="99"/>
              <w:jc w:val="right"/>
              <w:rPr>
                <w:sz w:val="16"/>
              </w:rPr>
            </w:pPr>
            <w:r>
              <w:rPr>
                <w:spacing w:val="-2"/>
                <w:sz w:val="16"/>
              </w:rPr>
              <w:t>10.06</w:t>
            </w:r>
          </w:p>
        </w:tc>
        <w:tc>
          <w:tcPr>
            <w:tcW w:w="1498" w:type="dxa"/>
            <w:tcBorders>
              <w:left w:val="nil"/>
              <w:right w:val="nil"/>
            </w:tcBorders>
            <w:shd w:val="clear" w:color="auto" w:fill="CCE2ED"/>
          </w:tcPr>
          <w:p w14:paraId="31253CE1" w14:textId="77777777" w:rsidR="00141B97" w:rsidRDefault="00911D63">
            <w:pPr>
              <w:pStyle w:val="TableParagraph"/>
              <w:ind w:left="100"/>
              <w:rPr>
                <w:sz w:val="16"/>
              </w:rPr>
            </w:pPr>
            <w:r>
              <w:rPr>
                <w:sz w:val="16"/>
              </w:rPr>
              <w:t>Annual</w:t>
            </w:r>
            <w:r>
              <w:rPr>
                <w:spacing w:val="-10"/>
                <w:sz w:val="16"/>
              </w:rPr>
              <w:t xml:space="preserve"> </w:t>
            </w:r>
            <w:r>
              <w:rPr>
                <w:sz w:val="16"/>
              </w:rPr>
              <w:t>program</w:t>
            </w:r>
            <w:r>
              <w:rPr>
                <w:spacing w:val="-9"/>
                <w:sz w:val="16"/>
              </w:rPr>
              <w:t xml:space="preserve"> </w:t>
            </w:r>
            <w:r>
              <w:rPr>
                <w:sz w:val="16"/>
              </w:rPr>
              <w:t>of</w:t>
            </w:r>
            <w:r>
              <w:rPr>
                <w:spacing w:val="40"/>
                <w:sz w:val="16"/>
              </w:rPr>
              <w:t xml:space="preserve"> </w:t>
            </w:r>
            <w:r>
              <w:rPr>
                <w:sz w:val="16"/>
              </w:rPr>
              <w:t>works on track</w:t>
            </w:r>
          </w:p>
        </w:tc>
      </w:tr>
      <w:tr w:rsidR="00141B97" w14:paraId="619CBC35" w14:textId="77777777">
        <w:trPr>
          <w:trHeight w:val="585"/>
          <w:tblCellSpacing w:w="5" w:type="dxa"/>
        </w:trPr>
        <w:tc>
          <w:tcPr>
            <w:tcW w:w="1410" w:type="dxa"/>
            <w:tcBorders>
              <w:left w:val="nil"/>
              <w:bottom w:val="nil"/>
            </w:tcBorders>
            <w:shd w:val="clear" w:color="auto" w:fill="CCE2ED"/>
          </w:tcPr>
          <w:p w14:paraId="3CD0E04A" w14:textId="77777777" w:rsidR="00141B97" w:rsidRDefault="00911D63">
            <w:pPr>
              <w:pStyle w:val="TableParagraph"/>
              <w:ind w:left="277" w:hanging="142"/>
              <w:rPr>
                <w:sz w:val="16"/>
              </w:rPr>
            </w:pPr>
            <w:r>
              <w:rPr>
                <w:sz w:val="16"/>
              </w:rPr>
              <w:t>2.</w:t>
            </w:r>
            <w:r>
              <w:rPr>
                <w:spacing w:val="-15"/>
                <w:sz w:val="16"/>
              </w:rPr>
              <w:t xml:space="preserve"> </w:t>
            </w:r>
            <w:r>
              <w:rPr>
                <w:sz w:val="16"/>
              </w:rPr>
              <w:t>Central</w:t>
            </w:r>
            <w:r>
              <w:rPr>
                <w:spacing w:val="-10"/>
                <w:sz w:val="16"/>
              </w:rPr>
              <w:t xml:space="preserve"> </w:t>
            </w:r>
            <w:r>
              <w:rPr>
                <w:sz w:val="16"/>
              </w:rPr>
              <w:t>Rising</w:t>
            </w:r>
            <w:r>
              <w:rPr>
                <w:spacing w:val="40"/>
                <w:sz w:val="16"/>
              </w:rPr>
              <w:t xml:space="preserve"> </w:t>
            </w:r>
            <w:r>
              <w:rPr>
                <w:spacing w:val="-4"/>
                <w:sz w:val="16"/>
              </w:rPr>
              <w:t>Main</w:t>
            </w:r>
          </w:p>
          <w:p w14:paraId="34395944" w14:textId="77777777" w:rsidR="00141B97" w:rsidRDefault="00911D63">
            <w:pPr>
              <w:pStyle w:val="TableParagraph"/>
              <w:spacing w:line="175" w:lineRule="exact"/>
              <w:ind w:left="277"/>
              <w:rPr>
                <w:sz w:val="16"/>
              </w:rPr>
            </w:pPr>
            <w:r>
              <w:rPr>
                <w:spacing w:val="-2"/>
                <w:sz w:val="16"/>
              </w:rPr>
              <w:t>Replacement</w:t>
            </w:r>
          </w:p>
        </w:tc>
        <w:tc>
          <w:tcPr>
            <w:tcW w:w="1830" w:type="dxa"/>
            <w:tcBorders>
              <w:bottom w:val="nil"/>
            </w:tcBorders>
            <w:shd w:val="clear" w:color="auto" w:fill="CCE2ED"/>
          </w:tcPr>
          <w:p w14:paraId="17224C23" w14:textId="77777777" w:rsidR="00141B97" w:rsidRDefault="00911D63">
            <w:pPr>
              <w:pStyle w:val="TableParagraph"/>
              <w:ind w:left="103"/>
              <w:rPr>
                <w:sz w:val="16"/>
              </w:rPr>
            </w:pPr>
            <w:r>
              <w:rPr>
                <w:sz w:val="16"/>
              </w:rPr>
              <w:t>Mildura Central Pump</w:t>
            </w:r>
            <w:r>
              <w:rPr>
                <w:spacing w:val="40"/>
                <w:sz w:val="16"/>
              </w:rPr>
              <w:t xml:space="preserve"> </w:t>
            </w:r>
            <w:r>
              <w:rPr>
                <w:sz w:val="16"/>
              </w:rPr>
              <w:t>Station</w:t>
            </w:r>
            <w:r>
              <w:rPr>
                <w:spacing w:val="-10"/>
                <w:sz w:val="16"/>
              </w:rPr>
              <w:t xml:space="preserve"> </w:t>
            </w:r>
            <w:r>
              <w:rPr>
                <w:sz w:val="16"/>
              </w:rPr>
              <w:t>Replacement</w:t>
            </w:r>
            <w:r>
              <w:rPr>
                <w:spacing w:val="-9"/>
                <w:sz w:val="16"/>
              </w:rPr>
              <w:t xml:space="preserve"> </w:t>
            </w:r>
            <w:r>
              <w:rPr>
                <w:sz w:val="16"/>
              </w:rPr>
              <w:t>of</w:t>
            </w:r>
          </w:p>
          <w:p w14:paraId="19CFAAAA" w14:textId="77777777" w:rsidR="00141B97" w:rsidRDefault="00911D63">
            <w:pPr>
              <w:pStyle w:val="TableParagraph"/>
              <w:spacing w:line="175" w:lineRule="exact"/>
              <w:ind w:left="103"/>
              <w:rPr>
                <w:sz w:val="16"/>
              </w:rPr>
            </w:pPr>
            <w:r>
              <w:rPr>
                <w:w w:val="95"/>
                <w:sz w:val="16"/>
              </w:rPr>
              <w:t>Manifold/Rising</w:t>
            </w:r>
            <w:r>
              <w:rPr>
                <w:spacing w:val="31"/>
                <w:sz w:val="16"/>
              </w:rPr>
              <w:t xml:space="preserve"> </w:t>
            </w:r>
            <w:r>
              <w:rPr>
                <w:spacing w:val="-4"/>
                <w:sz w:val="16"/>
              </w:rPr>
              <w:t>Main</w:t>
            </w:r>
          </w:p>
        </w:tc>
        <w:tc>
          <w:tcPr>
            <w:tcW w:w="1140" w:type="dxa"/>
            <w:tcBorders>
              <w:bottom w:val="nil"/>
            </w:tcBorders>
            <w:shd w:val="clear" w:color="auto" w:fill="CCE2ED"/>
          </w:tcPr>
          <w:p w14:paraId="4ED30E54" w14:textId="77777777" w:rsidR="00141B97" w:rsidRDefault="00911D63">
            <w:pPr>
              <w:pStyle w:val="TableParagraph"/>
              <w:ind w:left="103" w:right="163"/>
              <w:rPr>
                <w:sz w:val="16"/>
              </w:rPr>
            </w:pPr>
            <w:r>
              <w:rPr>
                <w:spacing w:val="-2"/>
                <w:sz w:val="16"/>
              </w:rPr>
              <w:t>Rural</w:t>
            </w:r>
            <w:r>
              <w:rPr>
                <w:spacing w:val="40"/>
                <w:sz w:val="16"/>
              </w:rPr>
              <w:t xml:space="preserve"> </w:t>
            </w:r>
            <w:r>
              <w:rPr>
                <w:spacing w:val="-2"/>
                <w:sz w:val="16"/>
              </w:rPr>
              <w:t>Irrigation</w:t>
            </w:r>
          </w:p>
        </w:tc>
        <w:tc>
          <w:tcPr>
            <w:tcW w:w="1020" w:type="dxa"/>
            <w:tcBorders>
              <w:bottom w:val="nil"/>
            </w:tcBorders>
            <w:shd w:val="clear" w:color="auto" w:fill="CCE2ED"/>
          </w:tcPr>
          <w:p w14:paraId="11D98CCD" w14:textId="77777777" w:rsidR="00141B97" w:rsidRDefault="00911D63">
            <w:pPr>
              <w:pStyle w:val="TableParagraph"/>
              <w:ind w:right="102"/>
              <w:jc w:val="right"/>
              <w:rPr>
                <w:sz w:val="16"/>
              </w:rPr>
            </w:pPr>
            <w:r>
              <w:rPr>
                <w:spacing w:val="-4"/>
                <w:sz w:val="16"/>
              </w:rPr>
              <w:t>4.40</w:t>
            </w:r>
          </w:p>
        </w:tc>
        <w:tc>
          <w:tcPr>
            <w:tcW w:w="816" w:type="dxa"/>
            <w:tcBorders>
              <w:bottom w:val="nil"/>
            </w:tcBorders>
            <w:shd w:val="clear" w:color="auto" w:fill="CCE2ED"/>
          </w:tcPr>
          <w:p w14:paraId="61FB579B" w14:textId="77777777" w:rsidR="00141B97" w:rsidRDefault="00911D63">
            <w:pPr>
              <w:pStyle w:val="TableParagraph"/>
              <w:ind w:right="102"/>
              <w:jc w:val="right"/>
              <w:rPr>
                <w:sz w:val="16"/>
              </w:rPr>
            </w:pPr>
            <w:r>
              <w:rPr>
                <w:spacing w:val="-4"/>
                <w:sz w:val="16"/>
              </w:rPr>
              <w:t>5.07</w:t>
            </w:r>
          </w:p>
        </w:tc>
        <w:tc>
          <w:tcPr>
            <w:tcW w:w="997" w:type="dxa"/>
            <w:tcBorders>
              <w:bottom w:val="nil"/>
            </w:tcBorders>
            <w:shd w:val="clear" w:color="auto" w:fill="CCE2ED"/>
          </w:tcPr>
          <w:p w14:paraId="025CCBED" w14:textId="77777777" w:rsidR="00141B97" w:rsidRDefault="00911D63">
            <w:pPr>
              <w:pStyle w:val="TableParagraph"/>
              <w:ind w:right="101"/>
              <w:jc w:val="right"/>
              <w:rPr>
                <w:sz w:val="16"/>
              </w:rPr>
            </w:pPr>
            <w:r>
              <w:rPr>
                <w:w w:val="99"/>
                <w:sz w:val="16"/>
              </w:rPr>
              <w:t>0</w:t>
            </w:r>
          </w:p>
        </w:tc>
        <w:tc>
          <w:tcPr>
            <w:tcW w:w="1138" w:type="dxa"/>
            <w:tcBorders>
              <w:bottom w:val="nil"/>
              <w:right w:val="nil"/>
            </w:tcBorders>
            <w:shd w:val="clear" w:color="auto" w:fill="CCE2ED"/>
          </w:tcPr>
          <w:p w14:paraId="3D07E4D1" w14:textId="77777777" w:rsidR="00141B97" w:rsidRDefault="00911D63">
            <w:pPr>
              <w:pStyle w:val="TableParagraph"/>
              <w:ind w:right="99"/>
              <w:jc w:val="right"/>
              <w:rPr>
                <w:sz w:val="16"/>
              </w:rPr>
            </w:pPr>
            <w:r>
              <w:rPr>
                <w:spacing w:val="-4"/>
                <w:sz w:val="16"/>
              </w:rPr>
              <w:t>5.07</w:t>
            </w:r>
          </w:p>
        </w:tc>
        <w:tc>
          <w:tcPr>
            <w:tcW w:w="1498" w:type="dxa"/>
            <w:tcBorders>
              <w:left w:val="nil"/>
              <w:bottom w:val="nil"/>
              <w:right w:val="nil"/>
            </w:tcBorders>
            <w:shd w:val="clear" w:color="auto" w:fill="CCE2ED"/>
          </w:tcPr>
          <w:p w14:paraId="72E1F5B9" w14:textId="77777777" w:rsidR="00141B97" w:rsidRDefault="00911D63">
            <w:pPr>
              <w:pStyle w:val="TableParagraph"/>
              <w:ind w:left="100"/>
              <w:rPr>
                <w:sz w:val="16"/>
              </w:rPr>
            </w:pPr>
            <w:r>
              <w:rPr>
                <w:sz w:val="16"/>
              </w:rPr>
              <w:t>Project</w:t>
            </w:r>
            <w:r>
              <w:rPr>
                <w:spacing w:val="-6"/>
                <w:sz w:val="16"/>
              </w:rPr>
              <w:t xml:space="preserve"> </w:t>
            </w:r>
            <w:r>
              <w:rPr>
                <w:spacing w:val="-2"/>
                <w:sz w:val="16"/>
              </w:rPr>
              <w:t>Completed</w:t>
            </w:r>
          </w:p>
        </w:tc>
      </w:tr>
    </w:tbl>
    <w:p w14:paraId="54ED1CC9" w14:textId="77777777" w:rsidR="00141B97" w:rsidRDefault="00911D63">
      <w:pPr>
        <w:spacing w:before="12"/>
        <w:ind w:left="114"/>
        <w:jc w:val="both"/>
        <w:rPr>
          <w:sz w:val="16"/>
        </w:rPr>
      </w:pPr>
      <w:r>
        <w:rPr>
          <w:sz w:val="16"/>
        </w:rPr>
        <w:t>Table</w:t>
      </w:r>
      <w:r>
        <w:rPr>
          <w:spacing w:val="-3"/>
          <w:sz w:val="16"/>
        </w:rPr>
        <w:t xml:space="preserve"> </w:t>
      </w:r>
      <w:r>
        <w:rPr>
          <w:sz w:val="16"/>
        </w:rPr>
        <w:t>C8:</w:t>
      </w:r>
      <w:r>
        <w:rPr>
          <w:spacing w:val="-3"/>
          <w:sz w:val="16"/>
        </w:rPr>
        <w:t xml:space="preserve"> </w:t>
      </w:r>
      <w:r>
        <w:rPr>
          <w:sz w:val="16"/>
        </w:rPr>
        <w:t>Major</w:t>
      </w:r>
      <w:r>
        <w:rPr>
          <w:spacing w:val="-3"/>
          <w:sz w:val="16"/>
        </w:rPr>
        <w:t xml:space="preserve"> </w:t>
      </w:r>
      <w:r>
        <w:rPr>
          <w:sz w:val="16"/>
        </w:rPr>
        <w:t>Rural</w:t>
      </w:r>
      <w:r>
        <w:rPr>
          <w:spacing w:val="-4"/>
          <w:sz w:val="16"/>
        </w:rPr>
        <w:t xml:space="preserve"> </w:t>
      </w:r>
      <w:r>
        <w:rPr>
          <w:sz w:val="16"/>
        </w:rPr>
        <w:t>Capex</w:t>
      </w:r>
      <w:r>
        <w:rPr>
          <w:spacing w:val="-3"/>
          <w:sz w:val="16"/>
        </w:rPr>
        <w:t xml:space="preserve"> </w:t>
      </w:r>
      <w:r>
        <w:rPr>
          <w:sz w:val="16"/>
        </w:rPr>
        <w:t>projects</w:t>
      </w:r>
      <w:r>
        <w:rPr>
          <w:spacing w:val="-5"/>
          <w:sz w:val="16"/>
        </w:rPr>
        <w:t xml:space="preserve"> </w:t>
      </w:r>
      <w:r>
        <w:rPr>
          <w:sz w:val="16"/>
        </w:rPr>
        <w:t>–</w:t>
      </w:r>
      <w:r>
        <w:rPr>
          <w:spacing w:val="-3"/>
          <w:sz w:val="16"/>
        </w:rPr>
        <w:t xml:space="preserve"> </w:t>
      </w:r>
      <w:r>
        <w:rPr>
          <w:sz w:val="16"/>
        </w:rPr>
        <w:t>planned</w:t>
      </w:r>
      <w:r>
        <w:rPr>
          <w:spacing w:val="-5"/>
          <w:sz w:val="16"/>
        </w:rPr>
        <w:t xml:space="preserve"> </w:t>
      </w:r>
      <w:r>
        <w:rPr>
          <w:sz w:val="16"/>
        </w:rPr>
        <w:t>to</w:t>
      </w:r>
      <w:r>
        <w:rPr>
          <w:spacing w:val="-4"/>
          <w:sz w:val="16"/>
        </w:rPr>
        <w:t xml:space="preserve"> </w:t>
      </w:r>
      <w:r>
        <w:rPr>
          <w:sz w:val="16"/>
        </w:rPr>
        <w:t>actual</w:t>
      </w:r>
      <w:r>
        <w:rPr>
          <w:spacing w:val="-4"/>
          <w:sz w:val="16"/>
        </w:rPr>
        <w:t xml:space="preserve"> </w:t>
      </w:r>
      <w:r>
        <w:rPr>
          <w:sz w:val="16"/>
        </w:rPr>
        <w:t>($m</w:t>
      </w:r>
      <w:r>
        <w:rPr>
          <w:spacing w:val="-3"/>
          <w:sz w:val="16"/>
        </w:rPr>
        <w:t xml:space="preserve"> </w:t>
      </w:r>
      <w:r>
        <w:rPr>
          <w:spacing w:val="-2"/>
          <w:sz w:val="16"/>
        </w:rPr>
        <w:t>1/1/23)</w:t>
      </w:r>
    </w:p>
    <w:p w14:paraId="27763B90" w14:textId="77777777" w:rsidR="00141B97" w:rsidRDefault="00141B97">
      <w:pPr>
        <w:pStyle w:val="BodyText"/>
        <w:spacing w:before="10"/>
        <w:rPr>
          <w:sz w:val="21"/>
        </w:rPr>
      </w:pPr>
    </w:p>
    <w:p w14:paraId="7DD7D668" w14:textId="77777777" w:rsidR="00141B97" w:rsidRDefault="00911D63">
      <w:pPr>
        <w:pStyle w:val="ListParagraph"/>
        <w:numPr>
          <w:ilvl w:val="2"/>
          <w:numId w:val="37"/>
        </w:numPr>
        <w:tabs>
          <w:tab w:val="left" w:pos="1112"/>
          <w:tab w:val="left" w:pos="1113"/>
        </w:tabs>
        <w:spacing w:before="1"/>
        <w:ind w:left="1112"/>
        <w:jc w:val="both"/>
      </w:pPr>
      <w:r>
        <w:t>Uncertain</w:t>
      </w:r>
      <w:r>
        <w:rPr>
          <w:spacing w:val="-12"/>
        </w:rPr>
        <w:t xml:space="preserve"> </w:t>
      </w:r>
      <w:r>
        <w:rPr>
          <w:spacing w:val="-2"/>
        </w:rPr>
        <w:t>Projects</w:t>
      </w:r>
    </w:p>
    <w:p w14:paraId="5C493E7A" w14:textId="77777777" w:rsidR="00141B97" w:rsidRDefault="00911D63">
      <w:pPr>
        <w:pStyle w:val="BodyText"/>
        <w:spacing w:before="59"/>
        <w:ind w:left="113" w:right="947"/>
        <w:jc w:val="both"/>
      </w:pPr>
      <w:r>
        <w:t>In</w:t>
      </w:r>
      <w:r>
        <w:rPr>
          <w:spacing w:val="-2"/>
        </w:rPr>
        <w:t xml:space="preserve"> </w:t>
      </w:r>
      <w:r>
        <w:t>addition</w:t>
      </w:r>
      <w:r>
        <w:rPr>
          <w:spacing w:val="-1"/>
        </w:rPr>
        <w:t xml:space="preserve"> </w:t>
      </w:r>
      <w:r>
        <w:t>to</w:t>
      </w:r>
      <w:r>
        <w:rPr>
          <w:spacing w:val="-1"/>
        </w:rPr>
        <w:t xml:space="preserve"> </w:t>
      </w:r>
      <w:r>
        <w:t>the</w:t>
      </w:r>
      <w:r>
        <w:rPr>
          <w:spacing w:val="-3"/>
        </w:rPr>
        <w:t xml:space="preserve"> </w:t>
      </w:r>
      <w:r>
        <w:t>approved</w:t>
      </w:r>
      <w:r>
        <w:rPr>
          <w:spacing w:val="-2"/>
        </w:rPr>
        <w:t xml:space="preserve"> </w:t>
      </w:r>
      <w:r>
        <w:t>capital</w:t>
      </w:r>
      <w:r>
        <w:rPr>
          <w:spacing w:val="-2"/>
        </w:rPr>
        <w:t xml:space="preserve"> </w:t>
      </w:r>
      <w:r>
        <w:t>program</w:t>
      </w:r>
      <w:r>
        <w:rPr>
          <w:spacing w:val="-2"/>
        </w:rPr>
        <w:t xml:space="preserve"> </w:t>
      </w:r>
      <w:r>
        <w:t>in</w:t>
      </w:r>
      <w:r>
        <w:rPr>
          <w:spacing w:val="-2"/>
        </w:rPr>
        <w:t xml:space="preserve"> </w:t>
      </w:r>
      <w:r>
        <w:t>PS4,</w:t>
      </w:r>
      <w:r>
        <w:rPr>
          <w:spacing w:val="-2"/>
        </w:rPr>
        <w:t xml:space="preserve"> </w:t>
      </w:r>
      <w:r>
        <w:t>LMW</w:t>
      </w:r>
      <w:r>
        <w:rPr>
          <w:spacing w:val="-2"/>
        </w:rPr>
        <w:t xml:space="preserve"> </w:t>
      </w:r>
      <w:r>
        <w:t>nominated</w:t>
      </w:r>
      <w:r>
        <w:rPr>
          <w:spacing w:val="-3"/>
        </w:rPr>
        <w:t xml:space="preserve"> </w:t>
      </w:r>
      <w:r>
        <w:t>SMP2</w:t>
      </w:r>
      <w:r>
        <w:rPr>
          <w:spacing w:val="-1"/>
        </w:rPr>
        <w:t xml:space="preserve"> </w:t>
      </w:r>
      <w:r>
        <w:t>as</w:t>
      </w:r>
      <w:r>
        <w:rPr>
          <w:spacing w:val="-1"/>
        </w:rPr>
        <w:t xml:space="preserve"> </w:t>
      </w:r>
      <w:r>
        <w:t>an</w:t>
      </w:r>
      <w:r>
        <w:rPr>
          <w:spacing w:val="-2"/>
        </w:rPr>
        <w:t xml:space="preserve"> </w:t>
      </w:r>
      <w:r>
        <w:t>uncertain</w:t>
      </w:r>
      <w:r>
        <w:rPr>
          <w:spacing w:val="-1"/>
        </w:rPr>
        <w:t xml:space="preserve"> </w:t>
      </w:r>
      <w:r>
        <w:t>project.</w:t>
      </w:r>
      <w:r>
        <w:rPr>
          <w:spacing w:val="-2"/>
        </w:rPr>
        <w:t xml:space="preserve"> </w:t>
      </w:r>
      <w:r>
        <w:t>At</w:t>
      </w:r>
      <w:r>
        <w:rPr>
          <w:spacing w:val="-2"/>
        </w:rPr>
        <w:t xml:space="preserve"> </w:t>
      </w:r>
      <w:r>
        <w:t>the time of the PS4 submission, the SMP2 proposal had been developed by LMW to business case stage, expressions of interest</w:t>
      </w:r>
      <w:r>
        <w:rPr>
          <w:spacing w:val="-5"/>
        </w:rPr>
        <w:t xml:space="preserve"> </w:t>
      </w:r>
      <w:r>
        <w:t>and</w:t>
      </w:r>
      <w:r>
        <w:rPr>
          <w:spacing w:val="-6"/>
        </w:rPr>
        <w:t xml:space="preserve"> </w:t>
      </w:r>
      <w:r>
        <w:t>financial</w:t>
      </w:r>
      <w:r>
        <w:rPr>
          <w:spacing w:val="-6"/>
        </w:rPr>
        <w:t xml:space="preserve"> </w:t>
      </w:r>
      <w:r>
        <w:t>commitments</w:t>
      </w:r>
      <w:r>
        <w:rPr>
          <w:spacing w:val="-5"/>
        </w:rPr>
        <w:t xml:space="preserve"> </w:t>
      </w:r>
      <w:r>
        <w:t>had</w:t>
      </w:r>
      <w:r>
        <w:rPr>
          <w:spacing w:val="-6"/>
        </w:rPr>
        <w:t xml:space="preserve"> </w:t>
      </w:r>
      <w:r>
        <w:t>been</w:t>
      </w:r>
      <w:r>
        <w:rPr>
          <w:spacing w:val="-5"/>
        </w:rPr>
        <w:t xml:space="preserve"> </w:t>
      </w:r>
      <w:r>
        <w:t>made</w:t>
      </w:r>
      <w:r>
        <w:rPr>
          <w:spacing w:val="-4"/>
        </w:rPr>
        <w:t xml:space="preserve"> </w:t>
      </w:r>
      <w:r>
        <w:t>by</w:t>
      </w:r>
      <w:r>
        <w:rPr>
          <w:spacing w:val="-5"/>
        </w:rPr>
        <w:t xml:space="preserve"> </w:t>
      </w:r>
      <w:r>
        <w:t>potential</w:t>
      </w:r>
      <w:r>
        <w:rPr>
          <w:spacing w:val="-7"/>
        </w:rPr>
        <w:t xml:space="preserve"> </w:t>
      </w:r>
      <w:r>
        <w:t>participants,</w:t>
      </w:r>
      <w:r>
        <w:rPr>
          <w:spacing w:val="-6"/>
        </w:rPr>
        <w:t xml:space="preserve"> </w:t>
      </w:r>
      <w:r>
        <w:t>and</w:t>
      </w:r>
      <w:r>
        <w:rPr>
          <w:spacing w:val="-5"/>
        </w:rPr>
        <w:t xml:space="preserve"> </w:t>
      </w:r>
      <w:r>
        <w:t>a</w:t>
      </w:r>
      <w:r>
        <w:rPr>
          <w:spacing w:val="-6"/>
        </w:rPr>
        <w:t xml:space="preserve"> </w:t>
      </w:r>
      <w:r>
        <w:t>submission</w:t>
      </w:r>
      <w:r>
        <w:rPr>
          <w:spacing w:val="-6"/>
        </w:rPr>
        <w:t xml:space="preserve"> </w:t>
      </w:r>
      <w:r>
        <w:t>had</w:t>
      </w:r>
      <w:r>
        <w:rPr>
          <w:spacing w:val="-6"/>
        </w:rPr>
        <w:t xml:space="preserve"> </w:t>
      </w:r>
      <w:r>
        <w:t>been</w:t>
      </w:r>
      <w:r>
        <w:rPr>
          <w:spacing w:val="-4"/>
        </w:rPr>
        <w:t xml:space="preserve"> </w:t>
      </w:r>
      <w:r>
        <w:t>made to</w:t>
      </w:r>
      <w:r>
        <w:rPr>
          <w:spacing w:val="-6"/>
        </w:rPr>
        <w:t xml:space="preserve"> </w:t>
      </w:r>
      <w:r>
        <w:t>government.</w:t>
      </w:r>
      <w:r>
        <w:rPr>
          <w:spacing w:val="-7"/>
        </w:rPr>
        <w:t xml:space="preserve"> </w:t>
      </w:r>
      <w:r>
        <w:t>The</w:t>
      </w:r>
      <w:r>
        <w:rPr>
          <w:spacing w:val="-6"/>
        </w:rPr>
        <w:t xml:space="preserve"> </w:t>
      </w:r>
      <w:r>
        <w:t>SMP2</w:t>
      </w:r>
      <w:r>
        <w:rPr>
          <w:spacing w:val="-4"/>
        </w:rPr>
        <w:t xml:space="preserve"> </w:t>
      </w:r>
      <w:r>
        <w:t>business</w:t>
      </w:r>
      <w:r>
        <w:rPr>
          <w:spacing w:val="-6"/>
        </w:rPr>
        <w:t xml:space="preserve"> </w:t>
      </w:r>
      <w:r>
        <w:t>case</w:t>
      </w:r>
      <w:r>
        <w:rPr>
          <w:spacing w:val="-6"/>
        </w:rPr>
        <w:t xml:space="preserve"> </w:t>
      </w:r>
      <w:r>
        <w:t>evolved</w:t>
      </w:r>
      <w:r>
        <w:rPr>
          <w:spacing w:val="-5"/>
        </w:rPr>
        <w:t xml:space="preserve"> </w:t>
      </w:r>
      <w:r>
        <w:t>from</w:t>
      </w:r>
      <w:r>
        <w:rPr>
          <w:spacing w:val="-5"/>
        </w:rPr>
        <w:t xml:space="preserve"> </w:t>
      </w:r>
      <w:r>
        <w:t>a</w:t>
      </w:r>
      <w:r>
        <w:rPr>
          <w:spacing w:val="-6"/>
        </w:rPr>
        <w:t xml:space="preserve"> </w:t>
      </w:r>
      <w:r>
        <w:t>public</w:t>
      </w:r>
      <w:r>
        <w:rPr>
          <w:spacing w:val="-6"/>
        </w:rPr>
        <w:t xml:space="preserve"> </w:t>
      </w:r>
      <w:r>
        <w:t>registration</w:t>
      </w:r>
      <w:r>
        <w:rPr>
          <w:spacing w:val="-5"/>
        </w:rPr>
        <w:t xml:space="preserve"> </w:t>
      </w:r>
      <w:r>
        <w:t>of</w:t>
      </w:r>
      <w:r>
        <w:rPr>
          <w:spacing w:val="-6"/>
        </w:rPr>
        <w:t xml:space="preserve"> </w:t>
      </w:r>
      <w:r>
        <w:t>Intent</w:t>
      </w:r>
      <w:r>
        <w:rPr>
          <w:spacing w:val="-6"/>
        </w:rPr>
        <w:t xml:space="preserve"> </w:t>
      </w:r>
      <w:r>
        <w:t>process</w:t>
      </w:r>
      <w:r>
        <w:rPr>
          <w:spacing w:val="-6"/>
        </w:rPr>
        <w:t xml:space="preserve"> </w:t>
      </w:r>
      <w:r>
        <w:t>that</w:t>
      </w:r>
      <w:r>
        <w:rPr>
          <w:spacing w:val="-7"/>
        </w:rPr>
        <w:t xml:space="preserve"> </w:t>
      </w:r>
      <w:r>
        <w:t>has</w:t>
      </w:r>
      <w:r>
        <w:rPr>
          <w:spacing w:val="-5"/>
        </w:rPr>
        <w:t xml:space="preserve"> </w:t>
      </w:r>
      <w:r>
        <w:t>led</w:t>
      </w:r>
      <w:r>
        <w:rPr>
          <w:spacing w:val="-7"/>
        </w:rPr>
        <w:t xml:space="preserve"> </w:t>
      </w:r>
      <w:r>
        <w:t>to</w:t>
      </w:r>
      <w:r>
        <w:rPr>
          <w:spacing w:val="-6"/>
        </w:rPr>
        <w:t xml:space="preserve"> </w:t>
      </w:r>
      <w:r>
        <w:t>two scheme Out‐of‐district area extensions of Red Cliffs (Sunraysia South) and Merbein (Sunraysia West) being proposed and funded 50% by government.</w:t>
      </w:r>
    </w:p>
    <w:p w14:paraId="00EEC157" w14:textId="77777777" w:rsidR="00141B97" w:rsidRDefault="00141B97">
      <w:pPr>
        <w:pStyle w:val="BodyText"/>
      </w:pPr>
    </w:p>
    <w:p w14:paraId="627BD31C" w14:textId="77777777" w:rsidR="00141B97" w:rsidRDefault="00911D63">
      <w:pPr>
        <w:pStyle w:val="BodyText"/>
        <w:ind w:left="113" w:right="947"/>
        <w:jc w:val="both"/>
      </w:pPr>
      <w:r>
        <w:t>Subsequently, government approval was received, and the project was implemented successfully, resulting in both rebates and reductions in tariffs to rural customers, as discussed in Section 2.3. Now that SMP2 has been completed,</w:t>
      </w:r>
      <w:r>
        <w:rPr>
          <w:spacing w:val="-8"/>
        </w:rPr>
        <w:t xml:space="preserve"> </w:t>
      </w:r>
      <w:r>
        <w:t>LMW</w:t>
      </w:r>
      <w:r>
        <w:rPr>
          <w:spacing w:val="-9"/>
        </w:rPr>
        <w:t xml:space="preserve"> </w:t>
      </w:r>
      <w:r>
        <w:t>has</w:t>
      </w:r>
      <w:r>
        <w:rPr>
          <w:spacing w:val="-9"/>
        </w:rPr>
        <w:t xml:space="preserve"> </w:t>
      </w:r>
      <w:r>
        <w:t>greater</w:t>
      </w:r>
      <w:r>
        <w:rPr>
          <w:spacing w:val="-9"/>
        </w:rPr>
        <w:t xml:space="preserve"> </w:t>
      </w:r>
      <w:r>
        <w:t>certainty</w:t>
      </w:r>
      <w:r>
        <w:rPr>
          <w:spacing w:val="-9"/>
        </w:rPr>
        <w:t xml:space="preserve"> </w:t>
      </w:r>
      <w:r>
        <w:t>regarding</w:t>
      </w:r>
      <w:r>
        <w:rPr>
          <w:spacing w:val="-9"/>
        </w:rPr>
        <w:t xml:space="preserve"> </w:t>
      </w:r>
      <w:r>
        <w:t>the</w:t>
      </w:r>
      <w:r>
        <w:rPr>
          <w:spacing w:val="-9"/>
        </w:rPr>
        <w:t xml:space="preserve"> </w:t>
      </w:r>
      <w:r>
        <w:t>cost</w:t>
      </w:r>
      <w:r>
        <w:rPr>
          <w:spacing w:val="-9"/>
        </w:rPr>
        <w:t xml:space="preserve"> </w:t>
      </w:r>
      <w:r>
        <w:t>to</w:t>
      </w:r>
      <w:r>
        <w:rPr>
          <w:spacing w:val="-10"/>
        </w:rPr>
        <w:t xml:space="preserve"> </w:t>
      </w:r>
      <w:r>
        <w:t>provide</w:t>
      </w:r>
      <w:r>
        <w:rPr>
          <w:spacing w:val="-9"/>
        </w:rPr>
        <w:t xml:space="preserve"> </w:t>
      </w:r>
      <w:r>
        <w:t>the</w:t>
      </w:r>
      <w:r>
        <w:rPr>
          <w:spacing w:val="-10"/>
        </w:rPr>
        <w:t xml:space="preserve"> </w:t>
      </w:r>
      <w:r>
        <w:t>service</w:t>
      </w:r>
      <w:r>
        <w:rPr>
          <w:spacing w:val="-9"/>
        </w:rPr>
        <w:t xml:space="preserve"> </w:t>
      </w:r>
      <w:r>
        <w:t>outcomes</w:t>
      </w:r>
      <w:r>
        <w:rPr>
          <w:spacing w:val="-7"/>
        </w:rPr>
        <w:t xml:space="preserve"> </w:t>
      </w:r>
      <w:r>
        <w:t>and</w:t>
      </w:r>
      <w:r>
        <w:rPr>
          <w:spacing w:val="-9"/>
        </w:rPr>
        <w:t xml:space="preserve"> </w:t>
      </w:r>
      <w:r>
        <w:t>the</w:t>
      </w:r>
      <w:r>
        <w:rPr>
          <w:spacing w:val="-8"/>
        </w:rPr>
        <w:t xml:space="preserve"> </w:t>
      </w:r>
      <w:r>
        <w:t>revenue</w:t>
      </w:r>
      <w:r>
        <w:rPr>
          <w:spacing w:val="-9"/>
        </w:rPr>
        <w:t xml:space="preserve"> </w:t>
      </w:r>
      <w:r>
        <w:t>that will be generated in providing the service. During PS4 LMW is in the fortunate position of having generated more revenue (net of direct expenditure) than the Revenue Requirement approved. After considerable customer consultation in 2021 the LMW Board evaluated options to share revenue to customers to achieve a fair</w:t>
      </w:r>
      <w:r>
        <w:rPr>
          <w:spacing w:val="-2"/>
        </w:rPr>
        <w:t xml:space="preserve"> </w:t>
      </w:r>
      <w:r>
        <w:t>and</w:t>
      </w:r>
      <w:r>
        <w:rPr>
          <w:spacing w:val="-2"/>
        </w:rPr>
        <w:t xml:space="preserve"> </w:t>
      </w:r>
      <w:r>
        <w:t>equitable</w:t>
      </w:r>
      <w:r>
        <w:rPr>
          <w:spacing w:val="-3"/>
        </w:rPr>
        <w:t xml:space="preserve"> </w:t>
      </w:r>
      <w:r>
        <w:t>revenue</w:t>
      </w:r>
      <w:r>
        <w:rPr>
          <w:spacing w:val="-2"/>
        </w:rPr>
        <w:t xml:space="preserve"> </w:t>
      </w:r>
      <w:r>
        <w:t>distribution</w:t>
      </w:r>
      <w:r>
        <w:rPr>
          <w:spacing w:val="-3"/>
        </w:rPr>
        <w:t xml:space="preserve"> </w:t>
      </w:r>
      <w:r>
        <w:t>for</w:t>
      </w:r>
      <w:r>
        <w:rPr>
          <w:spacing w:val="-2"/>
        </w:rPr>
        <w:t xml:space="preserve"> </w:t>
      </w:r>
      <w:r>
        <w:t>districts</w:t>
      </w:r>
      <w:r>
        <w:rPr>
          <w:spacing w:val="-2"/>
        </w:rPr>
        <w:t xml:space="preserve"> </w:t>
      </w:r>
      <w:r>
        <w:t>whilst</w:t>
      </w:r>
      <w:r>
        <w:rPr>
          <w:spacing w:val="-1"/>
        </w:rPr>
        <w:t xml:space="preserve"> </w:t>
      </w:r>
      <w:r>
        <w:t>being</w:t>
      </w:r>
      <w:r>
        <w:rPr>
          <w:spacing w:val="-2"/>
        </w:rPr>
        <w:t xml:space="preserve"> </w:t>
      </w:r>
      <w:r>
        <w:t>mindful</w:t>
      </w:r>
      <w:r>
        <w:rPr>
          <w:spacing w:val="-2"/>
        </w:rPr>
        <w:t xml:space="preserve"> </w:t>
      </w:r>
      <w:r>
        <w:t>providing</w:t>
      </w:r>
      <w:r>
        <w:rPr>
          <w:spacing w:val="-1"/>
        </w:rPr>
        <w:t xml:space="preserve"> </w:t>
      </w:r>
      <w:r>
        <w:t>a</w:t>
      </w:r>
      <w:r>
        <w:rPr>
          <w:spacing w:val="-2"/>
        </w:rPr>
        <w:t xml:space="preserve"> </w:t>
      </w:r>
      <w:r>
        <w:t>good</w:t>
      </w:r>
      <w:r>
        <w:rPr>
          <w:spacing w:val="-2"/>
        </w:rPr>
        <w:t xml:space="preserve"> </w:t>
      </w:r>
      <w:r>
        <w:t>financial</w:t>
      </w:r>
      <w:r>
        <w:rPr>
          <w:spacing w:val="-3"/>
        </w:rPr>
        <w:t xml:space="preserve"> </w:t>
      </w:r>
      <w:r>
        <w:t>outcome</w:t>
      </w:r>
      <w:r>
        <w:rPr>
          <w:spacing w:val="-2"/>
        </w:rPr>
        <w:t xml:space="preserve"> </w:t>
      </w:r>
      <w:r>
        <w:t>for LMW corporation.</w:t>
      </w:r>
    </w:p>
    <w:p w14:paraId="435ED554" w14:textId="77777777" w:rsidR="00141B97" w:rsidRDefault="00141B97">
      <w:pPr>
        <w:pStyle w:val="BodyText"/>
      </w:pPr>
    </w:p>
    <w:p w14:paraId="282ADBFF" w14:textId="77777777" w:rsidR="00141B97" w:rsidRDefault="00911D63">
      <w:pPr>
        <w:pStyle w:val="BodyText"/>
        <w:ind w:left="113"/>
        <w:jc w:val="both"/>
      </w:pPr>
      <w:r>
        <w:t>Table</w:t>
      </w:r>
      <w:r>
        <w:rPr>
          <w:spacing w:val="-7"/>
        </w:rPr>
        <w:t xml:space="preserve"> </w:t>
      </w:r>
      <w:r>
        <w:t>C9</w:t>
      </w:r>
      <w:r>
        <w:rPr>
          <w:spacing w:val="-7"/>
        </w:rPr>
        <w:t xml:space="preserve"> </w:t>
      </w:r>
      <w:r>
        <w:t>below</w:t>
      </w:r>
      <w:r>
        <w:rPr>
          <w:spacing w:val="-7"/>
        </w:rPr>
        <w:t xml:space="preserve"> </w:t>
      </w:r>
      <w:r>
        <w:t>shows</w:t>
      </w:r>
      <w:r>
        <w:rPr>
          <w:spacing w:val="-7"/>
        </w:rPr>
        <w:t xml:space="preserve"> </w:t>
      </w:r>
      <w:r>
        <w:t>the</w:t>
      </w:r>
      <w:r>
        <w:rPr>
          <w:spacing w:val="-7"/>
        </w:rPr>
        <w:t xml:space="preserve"> </w:t>
      </w:r>
      <w:r>
        <w:t>expenditure</w:t>
      </w:r>
      <w:r>
        <w:rPr>
          <w:spacing w:val="-6"/>
        </w:rPr>
        <w:t xml:space="preserve"> </w:t>
      </w:r>
      <w:r>
        <w:t>and</w:t>
      </w:r>
      <w:r>
        <w:rPr>
          <w:spacing w:val="-7"/>
        </w:rPr>
        <w:t xml:space="preserve"> </w:t>
      </w:r>
      <w:r>
        <w:t>funding</w:t>
      </w:r>
      <w:r>
        <w:rPr>
          <w:spacing w:val="-7"/>
        </w:rPr>
        <w:t xml:space="preserve"> </w:t>
      </w:r>
      <w:r>
        <w:t>contributions</w:t>
      </w:r>
      <w:r>
        <w:rPr>
          <w:spacing w:val="-5"/>
        </w:rPr>
        <w:t xml:space="preserve"> </w:t>
      </w:r>
      <w:r>
        <w:t>to</w:t>
      </w:r>
      <w:r>
        <w:rPr>
          <w:spacing w:val="-7"/>
        </w:rPr>
        <w:t xml:space="preserve"> </w:t>
      </w:r>
      <w:r>
        <w:t>deliver</w:t>
      </w:r>
      <w:r>
        <w:rPr>
          <w:spacing w:val="-8"/>
        </w:rPr>
        <w:t xml:space="preserve"> </w:t>
      </w:r>
      <w:r>
        <w:t>the</w:t>
      </w:r>
      <w:r>
        <w:rPr>
          <w:spacing w:val="-7"/>
        </w:rPr>
        <w:t xml:space="preserve"> </w:t>
      </w:r>
      <w:r>
        <w:t>SMP2</w:t>
      </w:r>
      <w:r>
        <w:rPr>
          <w:spacing w:val="-7"/>
        </w:rPr>
        <w:t xml:space="preserve"> </w:t>
      </w:r>
      <w:r>
        <w:rPr>
          <w:spacing w:val="-2"/>
        </w:rPr>
        <w:t>project:</w:t>
      </w:r>
    </w:p>
    <w:p w14:paraId="0F468F5F" w14:textId="77777777" w:rsidR="00141B97" w:rsidRDefault="00141B97">
      <w:pPr>
        <w:pStyle w:val="BodyText"/>
        <w:spacing w:before="6"/>
        <w:rPr>
          <w:sz w:val="21"/>
        </w:rPr>
      </w:pPr>
    </w:p>
    <w:tbl>
      <w:tblPr>
        <w:tblW w:w="0" w:type="auto"/>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09"/>
        <w:gridCol w:w="1044"/>
        <w:gridCol w:w="1044"/>
        <w:gridCol w:w="1043"/>
        <w:gridCol w:w="1043"/>
        <w:gridCol w:w="1043"/>
        <w:gridCol w:w="1125"/>
      </w:tblGrid>
      <w:tr w:rsidR="00141B97" w14:paraId="616EC15B" w14:textId="77777777">
        <w:trPr>
          <w:trHeight w:val="269"/>
        </w:trPr>
        <w:tc>
          <w:tcPr>
            <w:tcW w:w="3509" w:type="dxa"/>
            <w:tcBorders>
              <w:top w:val="nil"/>
              <w:left w:val="nil"/>
            </w:tcBorders>
            <w:shd w:val="clear" w:color="auto" w:fill="006CA3"/>
          </w:tcPr>
          <w:p w14:paraId="20F6D8CD" w14:textId="77777777" w:rsidR="00141B97" w:rsidRDefault="00911D63">
            <w:pPr>
              <w:pStyle w:val="TableParagraph"/>
              <w:spacing w:before="25"/>
              <w:ind w:left="1350" w:right="1350"/>
              <w:jc w:val="center"/>
              <w:rPr>
                <w:sz w:val="18"/>
              </w:rPr>
            </w:pPr>
            <w:r>
              <w:rPr>
                <w:color w:val="FFFFFF"/>
                <w:sz w:val="18"/>
              </w:rPr>
              <w:t xml:space="preserve">$m </w:t>
            </w:r>
            <w:r>
              <w:rPr>
                <w:color w:val="FFFFFF"/>
                <w:spacing w:val="-2"/>
                <w:sz w:val="18"/>
              </w:rPr>
              <w:t>1/1/23</w:t>
            </w:r>
          </w:p>
        </w:tc>
        <w:tc>
          <w:tcPr>
            <w:tcW w:w="1044" w:type="dxa"/>
            <w:tcBorders>
              <w:top w:val="nil"/>
            </w:tcBorders>
            <w:shd w:val="clear" w:color="auto" w:fill="006CA3"/>
          </w:tcPr>
          <w:p w14:paraId="38E7E72C" w14:textId="77777777" w:rsidR="00141B97" w:rsidRDefault="00911D63">
            <w:pPr>
              <w:pStyle w:val="TableParagraph"/>
              <w:spacing w:before="25"/>
              <w:ind w:left="208"/>
              <w:rPr>
                <w:sz w:val="18"/>
              </w:rPr>
            </w:pPr>
            <w:r>
              <w:rPr>
                <w:color w:val="FFFFFF"/>
                <w:spacing w:val="-2"/>
                <w:sz w:val="18"/>
              </w:rPr>
              <w:t>2018‐19</w:t>
            </w:r>
          </w:p>
        </w:tc>
        <w:tc>
          <w:tcPr>
            <w:tcW w:w="1044" w:type="dxa"/>
            <w:tcBorders>
              <w:top w:val="nil"/>
            </w:tcBorders>
            <w:shd w:val="clear" w:color="auto" w:fill="006CA3"/>
          </w:tcPr>
          <w:p w14:paraId="339C4D64" w14:textId="77777777" w:rsidR="00141B97" w:rsidRDefault="00911D63">
            <w:pPr>
              <w:pStyle w:val="TableParagraph"/>
              <w:spacing w:before="25"/>
              <w:ind w:left="208"/>
              <w:rPr>
                <w:sz w:val="18"/>
              </w:rPr>
            </w:pPr>
            <w:r>
              <w:rPr>
                <w:color w:val="FFFFFF"/>
                <w:spacing w:val="-2"/>
                <w:sz w:val="18"/>
              </w:rPr>
              <w:t>2019‐20</w:t>
            </w:r>
          </w:p>
        </w:tc>
        <w:tc>
          <w:tcPr>
            <w:tcW w:w="1043" w:type="dxa"/>
            <w:tcBorders>
              <w:top w:val="nil"/>
            </w:tcBorders>
            <w:shd w:val="clear" w:color="auto" w:fill="006CA3"/>
          </w:tcPr>
          <w:p w14:paraId="0E51B6F8" w14:textId="77777777" w:rsidR="00141B97" w:rsidRDefault="00911D63">
            <w:pPr>
              <w:pStyle w:val="TableParagraph"/>
              <w:spacing w:before="25"/>
              <w:ind w:left="208"/>
              <w:rPr>
                <w:sz w:val="18"/>
              </w:rPr>
            </w:pPr>
            <w:r>
              <w:rPr>
                <w:color w:val="FFFFFF"/>
                <w:spacing w:val="-2"/>
                <w:sz w:val="18"/>
              </w:rPr>
              <w:t>2020‐21</w:t>
            </w:r>
          </w:p>
        </w:tc>
        <w:tc>
          <w:tcPr>
            <w:tcW w:w="1043" w:type="dxa"/>
            <w:tcBorders>
              <w:top w:val="nil"/>
            </w:tcBorders>
            <w:shd w:val="clear" w:color="auto" w:fill="006CA3"/>
          </w:tcPr>
          <w:p w14:paraId="6FE50010" w14:textId="77777777" w:rsidR="00141B97" w:rsidRDefault="00911D63">
            <w:pPr>
              <w:pStyle w:val="TableParagraph"/>
              <w:spacing w:before="25"/>
              <w:ind w:left="209"/>
              <w:rPr>
                <w:sz w:val="18"/>
              </w:rPr>
            </w:pPr>
            <w:r>
              <w:rPr>
                <w:color w:val="FFFFFF"/>
                <w:spacing w:val="-2"/>
                <w:sz w:val="18"/>
              </w:rPr>
              <w:t>2021‐22</w:t>
            </w:r>
          </w:p>
        </w:tc>
        <w:tc>
          <w:tcPr>
            <w:tcW w:w="1043" w:type="dxa"/>
            <w:tcBorders>
              <w:top w:val="nil"/>
            </w:tcBorders>
            <w:shd w:val="clear" w:color="auto" w:fill="006CA3"/>
          </w:tcPr>
          <w:p w14:paraId="3F4059F4" w14:textId="77777777" w:rsidR="00141B97" w:rsidRDefault="00911D63">
            <w:pPr>
              <w:pStyle w:val="TableParagraph"/>
              <w:spacing w:before="25"/>
              <w:ind w:left="209"/>
              <w:rPr>
                <w:sz w:val="18"/>
              </w:rPr>
            </w:pPr>
            <w:r>
              <w:rPr>
                <w:color w:val="FFFFFF"/>
                <w:spacing w:val="-2"/>
                <w:sz w:val="18"/>
              </w:rPr>
              <w:t>2022‐23</w:t>
            </w:r>
          </w:p>
        </w:tc>
        <w:tc>
          <w:tcPr>
            <w:tcW w:w="1125" w:type="dxa"/>
            <w:tcBorders>
              <w:top w:val="nil"/>
              <w:right w:val="nil"/>
            </w:tcBorders>
            <w:shd w:val="clear" w:color="auto" w:fill="006CA3"/>
          </w:tcPr>
          <w:p w14:paraId="22C7AE19" w14:textId="77777777" w:rsidR="00141B97" w:rsidRDefault="00911D63">
            <w:pPr>
              <w:pStyle w:val="TableParagraph"/>
              <w:spacing w:before="25"/>
              <w:ind w:left="277"/>
              <w:rPr>
                <w:sz w:val="18"/>
              </w:rPr>
            </w:pPr>
            <w:r>
              <w:rPr>
                <w:color w:val="FFFFFF"/>
                <w:spacing w:val="-2"/>
                <w:sz w:val="18"/>
              </w:rPr>
              <w:t>TOTAL</w:t>
            </w:r>
          </w:p>
        </w:tc>
      </w:tr>
      <w:tr w:rsidR="00141B97" w14:paraId="7DAF8D70" w14:textId="77777777">
        <w:trPr>
          <w:trHeight w:val="270"/>
        </w:trPr>
        <w:tc>
          <w:tcPr>
            <w:tcW w:w="3509" w:type="dxa"/>
            <w:tcBorders>
              <w:left w:val="nil"/>
            </w:tcBorders>
            <w:shd w:val="clear" w:color="auto" w:fill="D0CECE"/>
          </w:tcPr>
          <w:p w14:paraId="70FCBCD0" w14:textId="77777777" w:rsidR="00141B97" w:rsidRDefault="00911D63">
            <w:pPr>
              <w:pStyle w:val="TableParagraph"/>
              <w:spacing w:before="26"/>
              <w:ind w:left="98"/>
              <w:rPr>
                <w:sz w:val="18"/>
              </w:rPr>
            </w:pPr>
            <w:r>
              <w:rPr>
                <w:sz w:val="18"/>
              </w:rPr>
              <w:t xml:space="preserve">Capital </w:t>
            </w:r>
            <w:r>
              <w:rPr>
                <w:spacing w:val="-2"/>
                <w:sz w:val="18"/>
              </w:rPr>
              <w:t>Expenditure</w:t>
            </w:r>
          </w:p>
        </w:tc>
        <w:tc>
          <w:tcPr>
            <w:tcW w:w="1044" w:type="dxa"/>
            <w:shd w:val="clear" w:color="auto" w:fill="D0CECE"/>
          </w:tcPr>
          <w:p w14:paraId="2AE461F6" w14:textId="77777777" w:rsidR="00141B97" w:rsidRDefault="00141B97">
            <w:pPr>
              <w:pStyle w:val="TableParagraph"/>
              <w:rPr>
                <w:rFonts w:ascii="Times New Roman"/>
                <w:sz w:val="20"/>
              </w:rPr>
            </w:pPr>
          </w:p>
        </w:tc>
        <w:tc>
          <w:tcPr>
            <w:tcW w:w="1044" w:type="dxa"/>
            <w:shd w:val="clear" w:color="auto" w:fill="D0CECE"/>
          </w:tcPr>
          <w:p w14:paraId="168EF183" w14:textId="77777777" w:rsidR="00141B97" w:rsidRDefault="00141B97">
            <w:pPr>
              <w:pStyle w:val="TableParagraph"/>
              <w:rPr>
                <w:rFonts w:ascii="Times New Roman"/>
                <w:sz w:val="20"/>
              </w:rPr>
            </w:pPr>
          </w:p>
        </w:tc>
        <w:tc>
          <w:tcPr>
            <w:tcW w:w="1043" w:type="dxa"/>
            <w:shd w:val="clear" w:color="auto" w:fill="D0CECE"/>
          </w:tcPr>
          <w:p w14:paraId="04D3EB96" w14:textId="77777777" w:rsidR="00141B97" w:rsidRDefault="00141B97">
            <w:pPr>
              <w:pStyle w:val="TableParagraph"/>
              <w:rPr>
                <w:rFonts w:ascii="Times New Roman"/>
                <w:sz w:val="20"/>
              </w:rPr>
            </w:pPr>
          </w:p>
        </w:tc>
        <w:tc>
          <w:tcPr>
            <w:tcW w:w="1043" w:type="dxa"/>
            <w:shd w:val="clear" w:color="auto" w:fill="D0CECE"/>
          </w:tcPr>
          <w:p w14:paraId="5101876C" w14:textId="77777777" w:rsidR="00141B97" w:rsidRDefault="00141B97">
            <w:pPr>
              <w:pStyle w:val="TableParagraph"/>
              <w:rPr>
                <w:rFonts w:ascii="Times New Roman"/>
                <w:sz w:val="20"/>
              </w:rPr>
            </w:pPr>
          </w:p>
        </w:tc>
        <w:tc>
          <w:tcPr>
            <w:tcW w:w="1043" w:type="dxa"/>
            <w:shd w:val="clear" w:color="auto" w:fill="D0CECE"/>
          </w:tcPr>
          <w:p w14:paraId="42B52156" w14:textId="77777777" w:rsidR="00141B97" w:rsidRDefault="00141B97">
            <w:pPr>
              <w:pStyle w:val="TableParagraph"/>
              <w:rPr>
                <w:rFonts w:ascii="Times New Roman"/>
                <w:sz w:val="20"/>
              </w:rPr>
            </w:pPr>
          </w:p>
        </w:tc>
        <w:tc>
          <w:tcPr>
            <w:tcW w:w="1125" w:type="dxa"/>
            <w:tcBorders>
              <w:right w:val="nil"/>
            </w:tcBorders>
            <w:shd w:val="clear" w:color="auto" w:fill="D0CECE"/>
          </w:tcPr>
          <w:p w14:paraId="39CCB7AF" w14:textId="77777777" w:rsidR="00141B97" w:rsidRDefault="00141B97">
            <w:pPr>
              <w:pStyle w:val="TableParagraph"/>
              <w:rPr>
                <w:rFonts w:ascii="Times New Roman"/>
                <w:sz w:val="20"/>
              </w:rPr>
            </w:pPr>
          </w:p>
        </w:tc>
      </w:tr>
      <w:tr w:rsidR="00141B97" w14:paraId="30D3D9DF" w14:textId="77777777">
        <w:trPr>
          <w:trHeight w:val="270"/>
        </w:trPr>
        <w:tc>
          <w:tcPr>
            <w:tcW w:w="3509" w:type="dxa"/>
            <w:tcBorders>
              <w:left w:val="nil"/>
            </w:tcBorders>
            <w:shd w:val="clear" w:color="auto" w:fill="CCE2ED"/>
          </w:tcPr>
          <w:p w14:paraId="52D1EBDC" w14:textId="77777777" w:rsidR="00141B97" w:rsidRDefault="00911D63">
            <w:pPr>
              <w:pStyle w:val="TableParagraph"/>
              <w:spacing w:before="26"/>
              <w:ind w:left="98"/>
              <w:rPr>
                <w:sz w:val="18"/>
              </w:rPr>
            </w:pPr>
            <w:r>
              <w:rPr>
                <w:spacing w:val="-2"/>
                <w:sz w:val="18"/>
              </w:rPr>
              <w:t>Irrigation</w:t>
            </w:r>
          </w:p>
        </w:tc>
        <w:tc>
          <w:tcPr>
            <w:tcW w:w="1044" w:type="dxa"/>
            <w:shd w:val="clear" w:color="auto" w:fill="CCE2ED"/>
          </w:tcPr>
          <w:p w14:paraId="5A523F98" w14:textId="77777777" w:rsidR="00141B97" w:rsidRDefault="00911D63">
            <w:pPr>
              <w:pStyle w:val="TableParagraph"/>
              <w:spacing w:before="26"/>
              <w:ind w:right="97"/>
              <w:jc w:val="right"/>
              <w:rPr>
                <w:sz w:val="18"/>
              </w:rPr>
            </w:pPr>
            <w:r>
              <w:rPr>
                <w:spacing w:val="-4"/>
                <w:sz w:val="18"/>
              </w:rPr>
              <w:t>3.73</w:t>
            </w:r>
          </w:p>
        </w:tc>
        <w:tc>
          <w:tcPr>
            <w:tcW w:w="1044" w:type="dxa"/>
            <w:shd w:val="clear" w:color="auto" w:fill="CCE2ED"/>
          </w:tcPr>
          <w:p w14:paraId="205EA0E8" w14:textId="77777777" w:rsidR="00141B97" w:rsidRDefault="00911D63">
            <w:pPr>
              <w:pStyle w:val="TableParagraph"/>
              <w:spacing w:before="26"/>
              <w:ind w:right="97"/>
              <w:jc w:val="right"/>
              <w:rPr>
                <w:sz w:val="18"/>
              </w:rPr>
            </w:pPr>
            <w:r>
              <w:rPr>
                <w:spacing w:val="-4"/>
                <w:sz w:val="18"/>
              </w:rPr>
              <w:t>4.66</w:t>
            </w:r>
          </w:p>
        </w:tc>
        <w:tc>
          <w:tcPr>
            <w:tcW w:w="1043" w:type="dxa"/>
            <w:shd w:val="clear" w:color="auto" w:fill="CCE2ED"/>
          </w:tcPr>
          <w:p w14:paraId="694FB354" w14:textId="77777777" w:rsidR="00141B97" w:rsidRDefault="00141B97">
            <w:pPr>
              <w:pStyle w:val="TableParagraph"/>
              <w:rPr>
                <w:rFonts w:ascii="Times New Roman"/>
                <w:sz w:val="20"/>
              </w:rPr>
            </w:pPr>
          </w:p>
        </w:tc>
        <w:tc>
          <w:tcPr>
            <w:tcW w:w="1043" w:type="dxa"/>
            <w:shd w:val="clear" w:color="auto" w:fill="CCE2ED"/>
          </w:tcPr>
          <w:p w14:paraId="319F8F8F" w14:textId="77777777" w:rsidR="00141B97" w:rsidRDefault="00141B97">
            <w:pPr>
              <w:pStyle w:val="TableParagraph"/>
              <w:rPr>
                <w:rFonts w:ascii="Times New Roman"/>
                <w:sz w:val="20"/>
              </w:rPr>
            </w:pPr>
          </w:p>
        </w:tc>
        <w:tc>
          <w:tcPr>
            <w:tcW w:w="1043" w:type="dxa"/>
            <w:shd w:val="clear" w:color="auto" w:fill="CCE2ED"/>
          </w:tcPr>
          <w:p w14:paraId="515325F5" w14:textId="77777777" w:rsidR="00141B97" w:rsidRDefault="00141B97">
            <w:pPr>
              <w:pStyle w:val="TableParagraph"/>
              <w:rPr>
                <w:rFonts w:ascii="Times New Roman"/>
                <w:sz w:val="20"/>
              </w:rPr>
            </w:pPr>
          </w:p>
        </w:tc>
        <w:tc>
          <w:tcPr>
            <w:tcW w:w="1125" w:type="dxa"/>
            <w:tcBorders>
              <w:right w:val="nil"/>
            </w:tcBorders>
            <w:shd w:val="clear" w:color="auto" w:fill="CCE2ED"/>
          </w:tcPr>
          <w:p w14:paraId="7DE40D01" w14:textId="77777777" w:rsidR="00141B97" w:rsidRDefault="00911D63">
            <w:pPr>
              <w:pStyle w:val="TableParagraph"/>
              <w:spacing w:before="26"/>
              <w:ind w:right="176"/>
              <w:jc w:val="right"/>
              <w:rPr>
                <w:sz w:val="18"/>
              </w:rPr>
            </w:pPr>
            <w:r>
              <w:rPr>
                <w:spacing w:val="-4"/>
                <w:sz w:val="18"/>
              </w:rPr>
              <w:t>8.39</w:t>
            </w:r>
          </w:p>
        </w:tc>
      </w:tr>
      <w:tr w:rsidR="00141B97" w14:paraId="4674E238" w14:textId="77777777">
        <w:trPr>
          <w:trHeight w:val="269"/>
        </w:trPr>
        <w:tc>
          <w:tcPr>
            <w:tcW w:w="3509" w:type="dxa"/>
            <w:tcBorders>
              <w:left w:val="nil"/>
            </w:tcBorders>
            <w:shd w:val="clear" w:color="auto" w:fill="CCE2ED"/>
          </w:tcPr>
          <w:p w14:paraId="4A5A1940" w14:textId="77777777" w:rsidR="00141B97" w:rsidRDefault="00911D63">
            <w:pPr>
              <w:pStyle w:val="TableParagraph"/>
              <w:spacing w:before="25"/>
              <w:ind w:left="98"/>
              <w:rPr>
                <w:sz w:val="18"/>
              </w:rPr>
            </w:pPr>
            <w:r>
              <w:rPr>
                <w:spacing w:val="-2"/>
                <w:sz w:val="18"/>
              </w:rPr>
              <w:t>Drainage</w:t>
            </w:r>
          </w:p>
        </w:tc>
        <w:tc>
          <w:tcPr>
            <w:tcW w:w="1044" w:type="dxa"/>
            <w:shd w:val="clear" w:color="auto" w:fill="CCE2ED"/>
          </w:tcPr>
          <w:p w14:paraId="7D8792E6" w14:textId="77777777" w:rsidR="00141B97" w:rsidRDefault="00141B97">
            <w:pPr>
              <w:pStyle w:val="TableParagraph"/>
              <w:rPr>
                <w:rFonts w:ascii="Times New Roman"/>
                <w:sz w:val="18"/>
              </w:rPr>
            </w:pPr>
          </w:p>
        </w:tc>
        <w:tc>
          <w:tcPr>
            <w:tcW w:w="1044" w:type="dxa"/>
            <w:shd w:val="clear" w:color="auto" w:fill="CCE2ED"/>
          </w:tcPr>
          <w:p w14:paraId="551B7BE9" w14:textId="77777777" w:rsidR="00141B97" w:rsidRDefault="00141B97">
            <w:pPr>
              <w:pStyle w:val="TableParagraph"/>
              <w:rPr>
                <w:rFonts w:ascii="Times New Roman"/>
                <w:sz w:val="18"/>
              </w:rPr>
            </w:pPr>
          </w:p>
        </w:tc>
        <w:tc>
          <w:tcPr>
            <w:tcW w:w="1043" w:type="dxa"/>
            <w:shd w:val="clear" w:color="auto" w:fill="CCE2ED"/>
          </w:tcPr>
          <w:p w14:paraId="1A6D8B50" w14:textId="77777777" w:rsidR="00141B97" w:rsidRDefault="00141B97">
            <w:pPr>
              <w:pStyle w:val="TableParagraph"/>
              <w:rPr>
                <w:rFonts w:ascii="Times New Roman"/>
                <w:sz w:val="18"/>
              </w:rPr>
            </w:pPr>
          </w:p>
        </w:tc>
        <w:tc>
          <w:tcPr>
            <w:tcW w:w="1043" w:type="dxa"/>
            <w:shd w:val="clear" w:color="auto" w:fill="CCE2ED"/>
          </w:tcPr>
          <w:p w14:paraId="77864497" w14:textId="77777777" w:rsidR="00141B97" w:rsidRDefault="00141B97">
            <w:pPr>
              <w:pStyle w:val="TableParagraph"/>
              <w:rPr>
                <w:rFonts w:ascii="Times New Roman"/>
                <w:sz w:val="18"/>
              </w:rPr>
            </w:pPr>
          </w:p>
        </w:tc>
        <w:tc>
          <w:tcPr>
            <w:tcW w:w="1043" w:type="dxa"/>
            <w:shd w:val="clear" w:color="auto" w:fill="CCE2ED"/>
          </w:tcPr>
          <w:p w14:paraId="75024E76" w14:textId="77777777" w:rsidR="00141B97" w:rsidRDefault="00141B97">
            <w:pPr>
              <w:pStyle w:val="TableParagraph"/>
              <w:rPr>
                <w:rFonts w:ascii="Times New Roman"/>
                <w:sz w:val="18"/>
              </w:rPr>
            </w:pPr>
          </w:p>
        </w:tc>
        <w:tc>
          <w:tcPr>
            <w:tcW w:w="1125" w:type="dxa"/>
            <w:tcBorders>
              <w:right w:val="nil"/>
            </w:tcBorders>
            <w:shd w:val="clear" w:color="auto" w:fill="CCE2ED"/>
          </w:tcPr>
          <w:p w14:paraId="7488FD93" w14:textId="77777777" w:rsidR="00141B97" w:rsidRDefault="00911D63">
            <w:pPr>
              <w:pStyle w:val="TableParagraph"/>
              <w:spacing w:before="25"/>
              <w:ind w:right="176"/>
              <w:jc w:val="right"/>
              <w:rPr>
                <w:sz w:val="18"/>
              </w:rPr>
            </w:pPr>
            <w:r>
              <w:rPr>
                <w:spacing w:val="-4"/>
                <w:sz w:val="18"/>
              </w:rPr>
              <w:t>0.00</w:t>
            </w:r>
          </w:p>
        </w:tc>
      </w:tr>
      <w:tr w:rsidR="00141B97" w14:paraId="58DF31A5" w14:textId="77777777">
        <w:trPr>
          <w:trHeight w:val="270"/>
        </w:trPr>
        <w:tc>
          <w:tcPr>
            <w:tcW w:w="3509" w:type="dxa"/>
            <w:tcBorders>
              <w:left w:val="nil"/>
            </w:tcBorders>
            <w:shd w:val="clear" w:color="auto" w:fill="CCE2ED"/>
          </w:tcPr>
          <w:p w14:paraId="0D1754E4" w14:textId="77777777" w:rsidR="00141B97" w:rsidRDefault="00911D63">
            <w:pPr>
              <w:pStyle w:val="TableParagraph"/>
              <w:spacing w:before="26"/>
              <w:ind w:left="98"/>
              <w:rPr>
                <w:sz w:val="18"/>
              </w:rPr>
            </w:pPr>
            <w:r>
              <w:rPr>
                <w:sz w:val="18"/>
              </w:rPr>
              <w:t>Domestic</w:t>
            </w:r>
            <w:r>
              <w:rPr>
                <w:spacing w:val="-4"/>
                <w:sz w:val="18"/>
              </w:rPr>
              <w:t xml:space="preserve"> </w:t>
            </w:r>
            <w:r>
              <w:rPr>
                <w:sz w:val="18"/>
              </w:rPr>
              <w:t>and</w:t>
            </w:r>
            <w:r>
              <w:rPr>
                <w:spacing w:val="-3"/>
                <w:sz w:val="18"/>
              </w:rPr>
              <w:t xml:space="preserve"> </w:t>
            </w:r>
            <w:r>
              <w:rPr>
                <w:spacing w:val="-2"/>
                <w:sz w:val="18"/>
              </w:rPr>
              <w:t>stock</w:t>
            </w:r>
          </w:p>
        </w:tc>
        <w:tc>
          <w:tcPr>
            <w:tcW w:w="1044" w:type="dxa"/>
            <w:shd w:val="clear" w:color="auto" w:fill="CCE2ED"/>
          </w:tcPr>
          <w:p w14:paraId="53205A70" w14:textId="77777777" w:rsidR="00141B97" w:rsidRDefault="00141B97">
            <w:pPr>
              <w:pStyle w:val="TableParagraph"/>
              <w:rPr>
                <w:rFonts w:ascii="Times New Roman"/>
                <w:sz w:val="20"/>
              </w:rPr>
            </w:pPr>
          </w:p>
        </w:tc>
        <w:tc>
          <w:tcPr>
            <w:tcW w:w="1044" w:type="dxa"/>
            <w:shd w:val="clear" w:color="auto" w:fill="CCE2ED"/>
          </w:tcPr>
          <w:p w14:paraId="1B3A4997" w14:textId="77777777" w:rsidR="00141B97" w:rsidRDefault="00141B97">
            <w:pPr>
              <w:pStyle w:val="TableParagraph"/>
              <w:rPr>
                <w:rFonts w:ascii="Times New Roman"/>
                <w:sz w:val="20"/>
              </w:rPr>
            </w:pPr>
          </w:p>
        </w:tc>
        <w:tc>
          <w:tcPr>
            <w:tcW w:w="1043" w:type="dxa"/>
            <w:shd w:val="clear" w:color="auto" w:fill="CCE2ED"/>
          </w:tcPr>
          <w:p w14:paraId="2625E399" w14:textId="77777777" w:rsidR="00141B97" w:rsidRDefault="00141B97">
            <w:pPr>
              <w:pStyle w:val="TableParagraph"/>
              <w:rPr>
                <w:rFonts w:ascii="Times New Roman"/>
                <w:sz w:val="20"/>
              </w:rPr>
            </w:pPr>
          </w:p>
        </w:tc>
        <w:tc>
          <w:tcPr>
            <w:tcW w:w="1043" w:type="dxa"/>
            <w:shd w:val="clear" w:color="auto" w:fill="CCE2ED"/>
          </w:tcPr>
          <w:p w14:paraId="169931D6" w14:textId="77777777" w:rsidR="00141B97" w:rsidRDefault="00141B97">
            <w:pPr>
              <w:pStyle w:val="TableParagraph"/>
              <w:rPr>
                <w:rFonts w:ascii="Times New Roman"/>
                <w:sz w:val="20"/>
              </w:rPr>
            </w:pPr>
          </w:p>
        </w:tc>
        <w:tc>
          <w:tcPr>
            <w:tcW w:w="1043" w:type="dxa"/>
            <w:shd w:val="clear" w:color="auto" w:fill="CCE2ED"/>
          </w:tcPr>
          <w:p w14:paraId="0E199CA3" w14:textId="77777777" w:rsidR="00141B97" w:rsidRDefault="00141B97">
            <w:pPr>
              <w:pStyle w:val="TableParagraph"/>
              <w:rPr>
                <w:rFonts w:ascii="Times New Roman"/>
                <w:sz w:val="20"/>
              </w:rPr>
            </w:pPr>
          </w:p>
        </w:tc>
        <w:tc>
          <w:tcPr>
            <w:tcW w:w="1125" w:type="dxa"/>
            <w:tcBorders>
              <w:right w:val="nil"/>
            </w:tcBorders>
            <w:shd w:val="clear" w:color="auto" w:fill="CCE2ED"/>
          </w:tcPr>
          <w:p w14:paraId="079ACE0B" w14:textId="77777777" w:rsidR="00141B97" w:rsidRDefault="00911D63">
            <w:pPr>
              <w:pStyle w:val="TableParagraph"/>
              <w:spacing w:before="26"/>
              <w:ind w:right="176"/>
              <w:jc w:val="right"/>
              <w:rPr>
                <w:sz w:val="18"/>
              </w:rPr>
            </w:pPr>
            <w:r>
              <w:rPr>
                <w:spacing w:val="-4"/>
                <w:sz w:val="18"/>
              </w:rPr>
              <w:t>0.00</w:t>
            </w:r>
          </w:p>
        </w:tc>
      </w:tr>
      <w:tr w:rsidR="00141B97" w14:paraId="0D0CBFAA" w14:textId="77777777">
        <w:trPr>
          <w:trHeight w:val="270"/>
        </w:trPr>
        <w:tc>
          <w:tcPr>
            <w:tcW w:w="3509" w:type="dxa"/>
            <w:tcBorders>
              <w:left w:val="nil"/>
            </w:tcBorders>
            <w:shd w:val="clear" w:color="auto" w:fill="CCE2ED"/>
          </w:tcPr>
          <w:p w14:paraId="058062E2" w14:textId="77777777" w:rsidR="00141B97" w:rsidRDefault="00911D63">
            <w:pPr>
              <w:pStyle w:val="TableParagraph"/>
              <w:spacing w:before="26"/>
              <w:ind w:left="98"/>
              <w:rPr>
                <w:sz w:val="18"/>
              </w:rPr>
            </w:pPr>
            <w:r>
              <w:rPr>
                <w:sz w:val="18"/>
              </w:rPr>
              <w:t>Surface</w:t>
            </w:r>
            <w:r>
              <w:rPr>
                <w:spacing w:val="-5"/>
                <w:sz w:val="18"/>
              </w:rPr>
              <w:t xml:space="preserve"> </w:t>
            </w:r>
            <w:r>
              <w:rPr>
                <w:sz w:val="18"/>
              </w:rPr>
              <w:t>water</w:t>
            </w:r>
            <w:r>
              <w:rPr>
                <w:spacing w:val="-1"/>
                <w:sz w:val="18"/>
              </w:rPr>
              <w:t xml:space="preserve"> </w:t>
            </w:r>
            <w:r>
              <w:rPr>
                <w:spacing w:val="-2"/>
                <w:sz w:val="18"/>
              </w:rPr>
              <w:t>diversions</w:t>
            </w:r>
          </w:p>
        </w:tc>
        <w:tc>
          <w:tcPr>
            <w:tcW w:w="1044" w:type="dxa"/>
            <w:shd w:val="clear" w:color="auto" w:fill="CCE2ED"/>
          </w:tcPr>
          <w:p w14:paraId="295E26B5" w14:textId="77777777" w:rsidR="00141B97" w:rsidRDefault="00141B97">
            <w:pPr>
              <w:pStyle w:val="TableParagraph"/>
              <w:rPr>
                <w:rFonts w:ascii="Times New Roman"/>
                <w:sz w:val="20"/>
              </w:rPr>
            </w:pPr>
          </w:p>
        </w:tc>
        <w:tc>
          <w:tcPr>
            <w:tcW w:w="1044" w:type="dxa"/>
            <w:shd w:val="clear" w:color="auto" w:fill="CCE2ED"/>
          </w:tcPr>
          <w:p w14:paraId="1BFFC6D9" w14:textId="77777777" w:rsidR="00141B97" w:rsidRDefault="00141B97">
            <w:pPr>
              <w:pStyle w:val="TableParagraph"/>
              <w:rPr>
                <w:rFonts w:ascii="Times New Roman"/>
                <w:sz w:val="20"/>
              </w:rPr>
            </w:pPr>
          </w:p>
        </w:tc>
        <w:tc>
          <w:tcPr>
            <w:tcW w:w="1043" w:type="dxa"/>
            <w:shd w:val="clear" w:color="auto" w:fill="CCE2ED"/>
          </w:tcPr>
          <w:p w14:paraId="3E7C252F" w14:textId="77777777" w:rsidR="00141B97" w:rsidRDefault="00141B97">
            <w:pPr>
              <w:pStyle w:val="TableParagraph"/>
              <w:rPr>
                <w:rFonts w:ascii="Times New Roman"/>
                <w:sz w:val="20"/>
              </w:rPr>
            </w:pPr>
          </w:p>
        </w:tc>
        <w:tc>
          <w:tcPr>
            <w:tcW w:w="1043" w:type="dxa"/>
            <w:shd w:val="clear" w:color="auto" w:fill="CCE2ED"/>
          </w:tcPr>
          <w:p w14:paraId="3BAB5850" w14:textId="77777777" w:rsidR="00141B97" w:rsidRDefault="00141B97">
            <w:pPr>
              <w:pStyle w:val="TableParagraph"/>
              <w:rPr>
                <w:rFonts w:ascii="Times New Roman"/>
                <w:sz w:val="20"/>
              </w:rPr>
            </w:pPr>
          </w:p>
        </w:tc>
        <w:tc>
          <w:tcPr>
            <w:tcW w:w="1043" w:type="dxa"/>
            <w:shd w:val="clear" w:color="auto" w:fill="CCE2ED"/>
          </w:tcPr>
          <w:p w14:paraId="3767BF8B" w14:textId="77777777" w:rsidR="00141B97" w:rsidRDefault="00141B97">
            <w:pPr>
              <w:pStyle w:val="TableParagraph"/>
              <w:rPr>
                <w:rFonts w:ascii="Times New Roman"/>
                <w:sz w:val="20"/>
              </w:rPr>
            </w:pPr>
          </w:p>
        </w:tc>
        <w:tc>
          <w:tcPr>
            <w:tcW w:w="1125" w:type="dxa"/>
            <w:tcBorders>
              <w:right w:val="nil"/>
            </w:tcBorders>
            <w:shd w:val="clear" w:color="auto" w:fill="CCE2ED"/>
          </w:tcPr>
          <w:p w14:paraId="222C001B" w14:textId="77777777" w:rsidR="00141B97" w:rsidRDefault="00911D63">
            <w:pPr>
              <w:pStyle w:val="TableParagraph"/>
              <w:spacing w:before="26"/>
              <w:ind w:right="176"/>
              <w:jc w:val="right"/>
              <w:rPr>
                <w:sz w:val="18"/>
              </w:rPr>
            </w:pPr>
            <w:r>
              <w:rPr>
                <w:spacing w:val="-4"/>
                <w:sz w:val="18"/>
              </w:rPr>
              <w:t>0.00</w:t>
            </w:r>
          </w:p>
        </w:tc>
      </w:tr>
      <w:tr w:rsidR="00141B97" w14:paraId="23EC9037" w14:textId="77777777">
        <w:trPr>
          <w:trHeight w:val="255"/>
        </w:trPr>
        <w:tc>
          <w:tcPr>
            <w:tcW w:w="3509" w:type="dxa"/>
            <w:tcBorders>
              <w:left w:val="nil"/>
              <w:bottom w:val="nil"/>
            </w:tcBorders>
            <w:shd w:val="clear" w:color="auto" w:fill="CCE2ED"/>
          </w:tcPr>
          <w:p w14:paraId="3D21848C" w14:textId="77777777" w:rsidR="00141B97" w:rsidRDefault="00911D63">
            <w:pPr>
              <w:pStyle w:val="TableParagraph"/>
              <w:spacing w:before="18" w:line="217" w:lineRule="exact"/>
              <w:ind w:left="98"/>
              <w:rPr>
                <w:sz w:val="18"/>
              </w:rPr>
            </w:pPr>
            <w:r>
              <w:rPr>
                <w:sz w:val="18"/>
              </w:rPr>
              <w:t>Total</w:t>
            </w:r>
            <w:r>
              <w:rPr>
                <w:spacing w:val="-1"/>
                <w:sz w:val="18"/>
              </w:rPr>
              <w:t xml:space="preserve"> </w:t>
            </w:r>
            <w:r>
              <w:rPr>
                <w:spacing w:val="-2"/>
                <w:sz w:val="18"/>
              </w:rPr>
              <w:t>capex</w:t>
            </w:r>
          </w:p>
        </w:tc>
        <w:tc>
          <w:tcPr>
            <w:tcW w:w="1044" w:type="dxa"/>
            <w:tcBorders>
              <w:bottom w:val="nil"/>
            </w:tcBorders>
            <w:shd w:val="clear" w:color="auto" w:fill="CCE2ED"/>
          </w:tcPr>
          <w:p w14:paraId="49E6B3A5" w14:textId="77777777" w:rsidR="00141B97" w:rsidRDefault="00911D63">
            <w:pPr>
              <w:pStyle w:val="TableParagraph"/>
              <w:spacing w:before="18" w:line="217" w:lineRule="exact"/>
              <w:ind w:right="97"/>
              <w:jc w:val="right"/>
              <w:rPr>
                <w:sz w:val="18"/>
              </w:rPr>
            </w:pPr>
            <w:r>
              <w:rPr>
                <w:spacing w:val="-4"/>
                <w:sz w:val="18"/>
              </w:rPr>
              <w:t>3.73</w:t>
            </w:r>
          </w:p>
        </w:tc>
        <w:tc>
          <w:tcPr>
            <w:tcW w:w="1044" w:type="dxa"/>
            <w:tcBorders>
              <w:bottom w:val="nil"/>
            </w:tcBorders>
            <w:shd w:val="clear" w:color="auto" w:fill="CCE2ED"/>
          </w:tcPr>
          <w:p w14:paraId="3286910A" w14:textId="77777777" w:rsidR="00141B97" w:rsidRDefault="00911D63">
            <w:pPr>
              <w:pStyle w:val="TableParagraph"/>
              <w:spacing w:before="18" w:line="217" w:lineRule="exact"/>
              <w:ind w:right="97"/>
              <w:jc w:val="right"/>
              <w:rPr>
                <w:sz w:val="18"/>
              </w:rPr>
            </w:pPr>
            <w:r>
              <w:rPr>
                <w:spacing w:val="-4"/>
                <w:sz w:val="18"/>
              </w:rPr>
              <w:t>4.66</w:t>
            </w:r>
          </w:p>
        </w:tc>
        <w:tc>
          <w:tcPr>
            <w:tcW w:w="1043" w:type="dxa"/>
            <w:tcBorders>
              <w:bottom w:val="nil"/>
            </w:tcBorders>
            <w:shd w:val="clear" w:color="auto" w:fill="CCE2ED"/>
          </w:tcPr>
          <w:p w14:paraId="6F770D23" w14:textId="77777777" w:rsidR="00141B97" w:rsidRDefault="00911D63">
            <w:pPr>
              <w:pStyle w:val="TableParagraph"/>
              <w:spacing w:before="18" w:line="217" w:lineRule="exact"/>
              <w:ind w:right="97"/>
              <w:jc w:val="right"/>
              <w:rPr>
                <w:sz w:val="18"/>
              </w:rPr>
            </w:pPr>
            <w:r>
              <w:rPr>
                <w:spacing w:val="-4"/>
                <w:sz w:val="18"/>
              </w:rPr>
              <w:t>0.00</w:t>
            </w:r>
          </w:p>
        </w:tc>
        <w:tc>
          <w:tcPr>
            <w:tcW w:w="1043" w:type="dxa"/>
            <w:tcBorders>
              <w:bottom w:val="nil"/>
            </w:tcBorders>
            <w:shd w:val="clear" w:color="auto" w:fill="CCE2ED"/>
          </w:tcPr>
          <w:p w14:paraId="453FF61E" w14:textId="77777777" w:rsidR="00141B97" w:rsidRDefault="00911D63">
            <w:pPr>
              <w:pStyle w:val="TableParagraph"/>
              <w:spacing w:before="18" w:line="217" w:lineRule="exact"/>
              <w:ind w:right="96"/>
              <w:jc w:val="right"/>
              <w:rPr>
                <w:sz w:val="18"/>
              </w:rPr>
            </w:pPr>
            <w:r>
              <w:rPr>
                <w:spacing w:val="-4"/>
                <w:sz w:val="18"/>
              </w:rPr>
              <w:t>0.00</w:t>
            </w:r>
          </w:p>
        </w:tc>
        <w:tc>
          <w:tcPr>
            <w:tcW w:w="1043" w:type="dxa"/>
            <w:tcBorders>
              <w:bottom w:val="nil"/>
            </w:tcBorders>
            <w:shd w:val="clear" w:color="auto" w:fill="CCE2ED"/>
          </w:tcPr>
          <w:p w14:paraId="41D1C739" w14:textId="77777777" w:rsidR="00141B97" w:rsidRDefault="00911D63">
            <w:pPr>
              <w:pStyle w:val="TableParagraph"/>
              <w:spacing w:before="18" w:line="217" w:lineRule="exact"/>
              <w:ind w:right="96"/>
              <w:jc w:val="right"/>
              <w:rPr>
                <w:sz w:val="18"/>
              </w:rPr>
            </w:pPr>
            <w:r>
              <w:rPr>
                <w:spacing w:val="-4"/>
                <w:sz w:val="18"/>
              </w:rPr>
              <w:t>0.00</w:t>
            </w:r>
          </w:p>
        </w:tc>
        <w:tc>
          <w:tcPr>
            <w:tcW w:w="1125" w:type="dxa"/>
            <w:tcBorders>
              <w:bottom w:val="nil"/>
              <w:right w:val="nil"/>
            </w:tcBorders>
            <w:shd w:val="clear" w:color="auto" w:fill="CCE2ED"/>
          </w:tcPr>
          <w:p w14:paraId="27D4A5E2" w14:textId="77777777" w:rsidR="00141B97" w:rsidRDefault="00911D63">
            <w:pPr>
              <w:pStyle w:val="TableParagraph"/>
              <w:spacing w:before="18" w:line="217" w:lineRule="exact"/>
              <w:ind w:right="176"/>
              <w:jc w:val="right"/>
              <w:rPr>
                <w:sz w:val="18"/>
              </w:rPr>
            </w:pPr>
            <w:r>
              <w:rPr>
                <w:spacing w:val="-4"/>
                <w:sz w:val="18"/>
              </w:rPr>
              <w:t>8.39</w:t>
            </w:r>
          </w:p>
        </w:tc>
      </w:tr>
      <w:tr w:rsidR="00141B97" w14:paraId="377522B5" w14:textId="77777777">
        <w:trPr>
          <w:trHeight w:val="254"/>
        </w:trPr>
        <w:tc>
          <w:tcPr>
            <w:tcW w:w="3509" w:type="dxa"/>
            <w:tcBorders>
              <w:top w:val="nil"/>
              <w:left w:val="nil"/>
              <w:bottom w:val="nil"/>
            </w:tcBorders>
            <w:shd w:val="clear" w:color="auto" w:fill="D0CECE"/>
          </w:tcPr>
          <w:p w14:paraId="456561E6" w14:textId="77777777" w:rsidR="00141B97" w:rsidRDefault="00911D63">
            <w:pPr>
              <w:pStyle w:val="TableParagraph"/>
              <w:spacing w:before="18" w:line="216" w:lineRule="exact"/>
              <w:ind w:left="98"/>
              <w:rPr>
                <w:sz w:val="18"/>
              </w:rPr>
            </w:pPr>
            <w:r>
              <w:rPr>
                <w:sz w:val="18"/>
              </w:rPr>
              <w:t xml:space="preserve">SMP2 </w:t>
            </w:r>
            <w:r>
              <w:rPr>
                <w:spacing w:val="-2"/>
                <w:sz w:val="18"/>
              </w:rPr>
              <w:t>Contributions</w:t>
            </w:r>
          </w:p>
        </w:tc>
        <w:tc>
          <w:tcPr>
            <w:tcW w:w="1044" w:type="dxa"/>
            <w:tcBorders>
              <w:top w:val="nil"/>
              <w:bottom w:val="nil"/>
            </w:tcBorders>
            <w:shd w:val="clear" w:color="auto" w:fill="D0CECE"/>
          </w:tcPr>
          <w:p w14:paraId="5D699F2D" w14:textId="77777777" w:rsidR="00141B97" w:rsidRDefault="00141B97">
            <w:pPr>
              <w:pStyle w:val="TableParagraph"/>
              <w:rPr>
                <w:rFonts w:ascii="Times New Roman"/>
                <w:sz w:val="18"/>
              </w:rPr>
            </w:pPr>
          </w:p>
        </w:tc>
        <w:tc>
          <w:tcPr>
            <w:tcW w:w="1044" w:type="dxa"/>
            <w:tcBorders>
              <w:top w:val="nil"/>
              <w:bottom w:val="nil"/>
            </w:tcBorders>
            <w:shd w:val="clear" w:color="auto" w:fill="D0CECE"/>
          </w:tcPr>
          <w:p w14:paraId="380C6D65" w14:textId="77777777" w:rsidR="00141B97" w:rsidRDefault="00141B97">
            <w:pPr>
              <w:pStyle w:val="TableParagraph"/>
              <w:rPr>
                <w:rFonts w:ascii="Times New Roman"/>
                <w:sz w:val="18"/>
              </w:rPr>
            </w:pPr>
          </w:p>
        </w:tc>
        <w:tc>
          <w:tcPr>
            <w:tcW w:w="1043" w:type="dxa"/>
            <w:tcBorders>
              <w:top w:val="nil"/>
              <w:bottom w:val="nil"/>
            </w:tcBorders>
            <w:shd w:val="clear" w:color="auto" w:fill="D0CECE"/>
          </w:tcPr>
          <w:p w14:paraId="4FCD92AF" w14:textId="77777777" w:rsidR="00141B97" w:rsidRDefault="00141B97">
            <w:pPr>
              <w:pStyle w:val="TableParagraph"/>
              <w:rPr>
                <w:rFonts w:ascii="Times New Roman"/>
                <w:sz w:val="18"/>
              </w:rPr>
            </w:pPr>
          </w:p>
        </w:tc>
        <w:tc>
          <w:tcPr>
            <w:tcW w:w="1043" w:type="dxa"/>
            <w:tcBorders>
              <w:top w:val="nil"/>
              <w:bottom w:val="nil"/>
            </w:tcBorders>
            <w:shd w:val="clear" w:color="auto" w:fill="D0CECE"/>
          </w:tcPr>
          <w:p w14:paraId="1C8118FF" w14:textId="77777777" w:rsidR="00141B97" w:rsidRDefault="00141B97">
            <w:pPr>
              <w:pStyle w:val="TableParagraph"/>
              <w:rPr>
                <w:rFonts w:ascii="Times New Roman"/>
                <w:sz w:val="18"/>
              </w:rPr>
            </w:pPr>
          </w:p>
        </w:tc>
        <w:tc>
          <w:tcPr>
            <w:tcW w:w="1043" w:type="dxa"/>
            <w:tcBorders>
              <w:top w:val="nil"/>
              <w:bottom w:val="nil"/>
            </w:tcBorders>
            <w:shd w:val="clear" w:color="auto" w:fill="D0CECE"/>
          </w:tcPr>
          <w:p w14:paraId="1FA8A4D0" w14:textId="77777777" w:rsidR="00141B97" w:rsidRDefault="00141B97">
            <w:pPr>
              <w:pStyle w:val="TableParagraph"/>
              <w:rPr>
                <w:rFonts w:ascii="Times New Roman"/>
                <w:sz w:val="18"/>
              </w:rPr>
            </w:pPr>
          </w:p>
        </w:tc>
        <w:tc>
          <w:tcPr>
            <w:tcW w:w="1125" w:type="dxa"/>
            <w:tcBorders>
              <w:top w:val="nil"/>
              <w:bottom w:val="nil"/>
              <w:right w:val="nil"/>
            </w:tcBorders>
            <w:shd w:val="clear" w:color="auto" w:fill="D0CECE"/>
          </w:tcPr>
          <w:p w14:paraId="23C77F8E" w14:textId="77777777" w:rsidR="00141B97" w:rsidRDefault="00141B97">
            <w:pPr>
              <w:pStyle w:val="TableParagraph"/>
              <w:rPr>
                <w:rFonts w:ascii="Times New Roman"/>
                <w:sz w:val="18"/>
              </w:rPr>
            </w:pPr>
          </w:p>
        </w:tc>
      </w:tr>
      <w:tr w:rsidR="00141B97" w14:paraId="6A1FD41A" w14:textId="77777777">
        <w:trPr>
          <w:trHeight w:val="269"/>
        </w:trPr>
        <w:tc>
          <w:tcPr>
            <w:tcW w:w="3509" w:type="dxa"/>
            <w:tcBorders>
              <w:top w:val="nil"/>
              <w:left w:val="nil"/>
            </w:tcBorders>
            <w:shd w:val="clear" w:color="auto" w:fill="CCE2ED"/>
          </w:tcPr>
          <w:p w14:paraId="23C15578" w14:textId="77777777" w:rsidR="00141B97" w:rsidRDefault="00911D63">
            <w:pPr>
              <w:pStyle w:val="TableParagraph"/>
              <w:spacing w:before="25"/>
              <w:ind w:left="98"/>
              <w:rPr>
                <w:sz w:val="18"/>
              </w:rPr>
            </w:pPr>
            <w:r>
              <w:rPr>
                <w:sz w:val="18"/>
              </w:rPr>
              <w:t>Investor</w:t>
            </w:r>
            <w:r>
              <w:rPr>
                <w:spacing w:val="-7"/>
                <w:sz w:val="18"/>
              </w:rPr>
              <w:t xml:space="preserve"> </w:t>
            </w:r>
            <w:r>
              <w:rPr>
                <w:spacing w:val="-2"/>
                <w:sz w:val="18"/>
              </w:rPr>
              <w:t>contribution</w:t>
            </w:r>
          </w:p>
        </w:tc>
        <w:tc>
          <w:tcPr>
            <w:tcW w:w="1044" w:type="dxa"/>
            <w:tcBorders>
              <w:top w:val="nil"/>
            </w:tcBorders>
            <w:shd w:val="clear" w:color="auto" w:fill="CCE2ED"/>
          </w:tcPr>
          <w:p w14:paraId="4AF89CA8" w14:textId="77777777" w:rsidR="00141B97" w:rsidRDefault="00911D63">
            <w:pPr>
              <w:pStyle w:val="TableParagraph"/>
              <w:spacing w:before="25"/>
              <w:ind w:right="97"/>
              <w:jc w:val="right"/>
              <w:rPr>
                <w:sz w:val="18"/>
              </w:rPr>
            </w:pPr>
            <w:r>
              <w:rPr>
                <w:spacing w:val="-4"/>
                <w:sz w:val="18"/>
              </w:rPr>
              <w:t>2.31</w:t>
            </w:r>
          </w:p>
        </w:tc>
        <w:tc>
          <w:tcPr>
            <w:tcW w:w="1044" w:type="dxa"/>
            <w:tcBorders>
              <w:top w:val="nil"/>
            </w:tcBorders>
            <w:shd w:val="clear" w:color="auto" w:fill="CCE2ED"/>
          </w:tcPr>
          <w:p w14:paraId="3E9EBE7C" w14:textId="77777777" w:rsidR="00141B97" w:rsidRDefault="00911D63">
            <w:pPr>
              <w:pStyle w:val="TableParagraph"/>
              <w:spacing w:before="25"/>
              <w:ind w:right="97"/>
              <w:jc w:val="right"/>
              <w:rPr>
                <w:sz w:val="18"/>
              </w:rPr>
            </w:pPr>
            <w:r>
              <w:rPr>
                <w:spacing w:val="-4"/>
                <w:sz w:val="18"/>
              </w:rPr>
              <w:t>2.56</w:t>
            </w:r>
          </w:p>
        </w:tc>
        <w:tc>
          <w:tcPr>
            <w:tcW w:w="1043" w:type="dxa"/>
            <w:tcBorders>
              <w:top w:val="nil"/>
            </w:tcBorders>
            <w:shd w:val="clear" w:color="auto" w:fill="CCE2ED"/>
          </w:tcPr>
          <w:p w14:paraId="6AFE72A3" w14:textId="77777777" w:rsidR="00141B97" w:rsidRDefault="00141B97">
            <w:pPr>
              <w:pStyle w:val="TableParagraph"/>
              <w:rPr>
                <w:rFonts w:ascii="Times New Roman"/>
                <w:sz w:val="18"/>
              </w:rPr>
            </w:pPr>
          </w:p>
        </w:tc>
        <w:tc>
          <w:tcPr>
            <w:tcW w:w="1043" w:type="dxa"/>
            <w:tcBorders>
              <w:top w:val="nil"/>
            </w:tcBorders>
            <w:shd w:val="clear" w:color="auto" w:fill="CCE2ED"/>
          </w:tcPr>
          <w:p w14:paraId="3E80BE04" w14:textId="77777777" w:rsidR="00141B97" w:rsidRDefault="00141B97">
            <w:pPr>
              <w:pStyle w:val="TableParagraph"/>
              <w:rPr>
                <w:rFonts w:ascii="Times New Roman"/>
                <w:sz w:val="18"/>
              </w:rPr>
            </w:pPr>
          </w:p>
        </w:tc>
        <w:tc>
          <w:tcPr>
            <w:tcW w:w="1043" w:type="dxa"/>
            <w:tcBorders>
              <w:top w:val="nil"/>
            </w:tcBorders>
            <w:shd w:val="clear" w:color="auto" w:fill="CCE2ED"/>
          </w:tcPr>
          <w:p w14:paraId="6C068162" w14:textId="77777777" w:rsidR="00141B97" w:rsidRDefault="00141B97">
            <w:pPr>
              <w:pStyle w:val="TableParagraph"/>
              <w:rPr>
                <w:rFonts w:ascii="Times New Roman"/>
                <w:sz w:val="18"/>
              </w:rPr>
            </w:pPr>
          </w:p>
        </w:tc>
        <w:tc>
          <w:tcPr>
            <w:tcW w:w="1125" w:type="dxa"/>
            <w:tcBorders>
              <w:top w:val="nil"/>
              <w:right w:val="nil"/>
            </w:tcBorders>
            <w:shd w:val="clear" w:color="auto" w:fill="CCE2ED"/>
          </w:tcPr>
          <w:p w14:paraId="509E75F3" w14:textId="77777777" w:rsidR="00141B97" w:rsidRDefault="00911D63">
            <w:pPr>
              <w:pStyle w:val="TableParagraph"/>
              <w:spacing w:before="25"/>
              <w:ind w:right="176"/>
              <w:jc w:val="right"/>
              <w:rPr>
                <w:sz w:val="18"/>
              </w:rPr>
            </w:pPr>
            <w:r>
              <w:rPr>
                <w:spacing w:val="-4"/>
                <w:sz w:val="18"/>
              </w:rPr>
              <w:t>4.87</w:t>
            </w:r>
          </w:p>
        </w:tc>
      </w:tr>
      <w:tr w:rsidR="00141B97" w14:paraId="2C5893DC" w14:textId="77777777">
        <w:trPr>
          <w:trHeight w:val="270"/>
        </w:trPr>
        <w:tc>
          <w:tcPr>
            <w:tcW w:w="3509" w:type="dxa"/>
            <w:tcBorders>
              <w:left w:val="nil"/>
            </w:tcBorders>
            <w:shd w:val="clear" w:color="auto" w:fill="CCE2ED"/>
          </w:tcPr>
          <w:p w14:paraId="6218C7B4" w14:textId="77777777" w:rsidR="00141B97" w:rsidRDefault="00911D63">
            <w:pPr>
              <w:pStyle w:val="TableParagraph"/>
              <w:spacing w:before="26"/>
              <w:ind w:left="98"/>
              <w:rPr>
                <w:sz w:val="18"/>
              </w:rPr>
            </w:pPr>
            <w:r>
              <w:rPr>
                <w:sz w:val="18"/>
              </w:rPr>
              <w:t>Government</w:t>
            </w:r>
            <w:r>
              <w:rPr>
                <w:spacing w:val="-9"/>
                <w:sz w:val="18"/>
              </w:rPr>
              <w:t xml:space="preserve"> </w:t>
            </w:r>
            <w:r>
              <w:rPr>
                <w:spacing w:val="-2"/>
                <w:sz w:val="18"/>
              </w:rPr>
              <w:t>contribution</w:t>
            </w:r>
          </w:p>
        </w:tc>
        <w:tc>
          <w:tcPr>
            <w:tcW w:w="1044" w:type="dxa"/>
            <w:shd w:val="clear" w:color="auto" w:fill="CCE2ED"/>
          </w:tcPr>
          <w:p w14:paraId="6BB2318F" w14:textId="77777777" w:rsidR="00141B97" w:rsidRDefault="00911D63">
            <w:pPr>
              <w:pStyle w:val="TableParagraph"/>
              <w:spacing w:before="26"/>
              <w:ind w:right="97"/>
              <w:jc w:val="right"/>
              <w:rPr>
                <w:sz w:val="18"/>
              </w:rPr>
            </w:pPr>
            <w:r>
              <w:rPr>
                <w:spacing w:val="-4"/>
                <w:sz w:val="18"/>
              </w:rPr>
              <w:t>0.88</w:t>
            </w:r>
          </w:p>
        </w:tc>
        <w:tc>
          <w:tcPr>
            <w:tcW w:w="1044" w:type="dxa"/>
            <w:shd w:val="clear" w:color="auto" w:fill="CCE2ED"/>
          </w:tcPr>
          <w:p w14:paraId="2E242DBE" w14:textId="77777777" w:rsidR="00141B97" w:rsidRDefault="00911D63">
            <w:pPr>
              <w:pStyle w:val="TableParagraph"/>
              <w:spacing w:before="26"/>
              <w:ind w:right="97"/>
              <w:jc w:val="right"/>
              <w:rPr>
                <w:sz w:val="18"/>
              </w:rPr>
            </w:pPr>
            <w:r>
              <w:rPr>
                <w:spacing w:val="-4"/>
                <w:sz w:val="18"/>
              </w:rPr>
              <w:t>2.42</w:t>
            </w:r>
          </w:p>
        </w:tc>
        <w:tc>
          <w:tcPr>
            <w:tcW w:w="1043" w:type="dxa"/>
            <w:shd w:val="clear" w:color="auto" w:fill="CCE2ED"/>
          </w:tcPr>
          <w:p w14:paraId="3CFB8FFD" w14:textId="77777777" w:rsidR="00141B97" w:rsidRDefault="00141B97">
            <w:pPr>
              <w:pStyle w:val="TableParagraph"/>
              <w:rPr>
                <w:rFonts w:ascii="Times New Roman"/>
                <w:sz w:val="20"/>
              </w:rPr>
            </w:pPr>
          </w:p>
        </w:tc>
        <w:tc>
          <w:tcPr>
            <w:tcW w:w="1043" w:type="dxa"/>
            <w:shd w:val="clear" w:color="auto" w:fill="CCE2ED"/>
          </w:tcPr>
          <w:p w14:paraId="19CFBF12" w14:textId="77777777" w:rsidR="00141B97" w:rsidRDefault="00141B97">
            <w:pPr>
              <w:pStyle w:val="TableParagraph"/>
              <w:rPr>
                <w:rFonts w:ascii="Times New Roman"/>
                <w:sz w:val="20"/>
              </w:rPr>
            </w:pPr>
          </w:p>
        </w:tc>
        <w:tc>
          <w:tcPr>
            <w:tcW w:w="1043" w:type="dxa"/>
            <w:shd w:val="clear" w:color="auto" w:fill="CCE2ED"/>
          </w:tcPr>
          <w:p w14:paraId="51E1C711" w14:textId="77777777" w:rsidR="00141B97" w:rsidRDefault="00141B97">
            <w:pPr>
              <w:pStyle w:val="TableParagraph"/>
              <w:rPr>
                <w:rFonts w:ascii="Times New Roman"/>
                <w:sz w:val="20"/>
              </w:rPr>
            </w:pPr>
          </w:p>
        </w:tc>
        <w:tc>
          <w:tcPr>
            <w:tcW w:w="1125" w:type="dxa"/>
            <w:tcBorders>
              <w:right w:val="nil"/>
            </w:tcBorders>
            <w:shd w:val="clear" w:color="auto" w:fill="CCE2ED"/>
          </w:tcPr>
          <w:p w14:paraId="5D9EB37C" w14:textId="77777777" w:rsidR="00141B97" w:rsidRDefault="00911D63">
            <w:pPr>
              <w:pStyle w:val="TableParagraph"/>
              <w:spacing w:before="26"/>
              <w:ind w:right="176"/>
              <w:jc w:val="right"/>
              <w:rPr>
                <w:sz w:val="18"/>
              </w:rPr>
            </w:pPr>
            <w:r>
              <w:rPr>
                <w:spacing w:val="-4"/>
                <w:sz w:val="18"/>
              </w:rPr>
              <w:t>3.30</w:t>
            </w:r>
          </w:p>
        </w:tc>
      </w:tr>
      <w:tr w:rsidR="00141B97" w14:paraId="7F367F50" w14:textId="77777777">
        <w:trPr>
          <w:trHeight w:val="270"/>
        </w:trPr>
        <w:tc>
          <w:tcPr>
            <w:tcW w:w="3509" w:type="dxa"/>
            <w:tcBorders>
              <w:left w:val="nil"/>
            </w:tcBorders>
            <w:shd w:val="clear" w:color="auto" w:fill="CCE2ED"/>
          </w:tcPr>
          <w:p w14:paraId="5D2D2368" w14:textId="77777777" w:rsidR="00141B97" w:rsidRDefault="00911D63">
            <w:pPr>
              <w:pStyle w:val="TableParagraph"/>
              <w:spacing w:before="26"/>
              <w:ind w:left="98"/>
              <w:rPr>
                <w:sz w:val="18"/>
              </w:rPr>
            </w:pPr>
            <w:r>
              <w:rPr>
                <w:sz w:val="18"/>
              </w:rPr>
              <w:t>Lower</w:t>
            </w:r>
            <w:r>
              <w:rPr>
                <w:spacing w:val="-3"/>
                <w:sz w:val="18"/>
              </w:rPr>
              <w:t xml:space="preserve"> </w:t>
            </w:r>
            <w:r>
              <w:rPr>
                <w:sz w:val="18"/>
              </w:rPr>
              <w:t>Murray</w:t>
            </w:r>
            <w:r>
              <w:rPr>
                <w:spacing w:val="-1"/>
                <w:sz w:val="18"/>
              </w:rPr>
              <w:t xml:space="preserve"> </w:t>
            </w:r>
            <w:r>
              <w:rPr>
                <w:spacing w:val="-2"/>
                <w:sz w:val="18"/>
              </w:rPr>
              <w:t>contribution</w:t>
            </w:r>
          </w:p>
        </w:tc>
        <w:tc>
          <w:tcPr>
            <w:tcW w:w="1044" w:type="dxa"/>
            <w:shd w:val="clear" w:color="auto" w:fill="CCE2ED"/>
          </w:tcPr>
          <w:p w14:paraId="27B4275F" w14:textId="77777777" w:rsidR="00141B97" w:rsidRDefault="00141B97">
            <w:pPr>
              <w:pStyle w:val="TableParagraph"/>
              <w:rPr>
                <w:rFonts w:ascii="Times New Roman"/>
                <w:sz w:val="20"/>
              </w:rPr>
            </w:pPr>
          </w:p>
        </w:tc>
        <w:tc>
          <w:tcPr>
            <w:tcW w:w="1044" w:type="dxa"/>
            <w:shd w:val="clear" w:color="auto" w:fill="CCE2ED"/>
          </w:tcPr>
          <w:p w14:paraId="45573224" w14:textId="77777777" w:rsidR="00141B97" w:rsidRDefault="00911D63">
            <w:pPr>
              <w:pStyle w:val="TableParagraph"/>
              <w:spacing w:before="26"/>
              <w:ind w:right="97"/>
              <w:jc w:val="right"/>
              <w:rPr>
                <w:sz w:val="18"/>
              </w:rPr>
            </w:pPr>
            <w:r>
              <w:rPr>
                <w:spacing w:val="-4"/>
                <w:sz w:val="18"/>
              </w:rPr>
              <w:t>0.36</w:t>
            </w:r>
          </w:p>
        </w:tc>
        <w:tc>
          <w:tcPr>
            <w:tcW w:w="1043" w:type="dxa"/>
            <w:shd w:val="clear" w:color="auto" w:fill="CCE2ED"/>
          </w:tcPr>
          <w:p w14:paraId="3D2B659F" w14:textId="77777777" w:rsidR="00141B97" w:rsidRDefault="00141B97">
            <w:pPr>
              <w:pStyle w:val="TableParagraph"/>
              <w:rPr>
                <w:rFonts w:ascii="Times New Roman"/>
                <w:sz w:val="20"/>
              </w:rPr>
            </w:pPr>
          </w:p>
        </w:tc>
        <w:tc>
          <w:tcPr>
            <w:tcW w:w="1043" w:type="dxa"/>
            <w:shd w:val="clear" w:color="auto" w:fill="CCE2ED"/>
          </w:tcPr>
          <w:p w14:paraId="44E656BC" w14:textId="77777777" w:rsidR="00141B97" w:rsidRDefault="00141B97">
            <w:pPr>
              <w:pStyle w:val="TableParagraph"/>
              <w:rPr>
                <w:rFonts w:ascii="Times New Roman"/>
                <w:sz w:val="20"/>
              </w:rPr>
            </w:pPr>
          </w:p>
        </w:tc>
        <w:tc>
          <w:tcPr>
            <w:tcW w:w="1043" w:type="dxa"/>
            <w:shd w:val="clear" w:color="auto" w:fill="CCE2ED"/>
          </w:tcPr>
          <w:p w14:paraId="539A3932" w14:textId="77777777" w:rsidR="00141B97" w:rsidRDefault="00141B97">
            <w:pPr>
              <w:pStyle w:val="TableParagraph"/>
              <w:rPr>
                <w:rFonts w:ascii="Times New Roman"/>
                <w:sz w:val="20"/>
              </w:rPr>
            </w:pPr>
          </w:p>
        </w:tc>
        <w:tc>
          <w:tcPr>
            <w:tcW w:w="1125" w:type="dxa"/>
            <w:tcBorders>
              <w:right w:val="nil"/>
            </w:tcBorders>
            <w:shd w:val="clear" w:color="auto" w:fill="CCE2ED"/>
          </w:tcPr>
          <w:p w14:paraId="5E911744" w14:textId="77777777" w:rsidR="00141B97" w:rsidRDefault="00911D63">
            <w:pPr>
              <w:pStyle w:val="TableParagraph"/>
              <w:spacing w:before="26"/>
              <w:ind w:right="176"/>
              <w:jc w:val="right"/>
              <w:rPr>
                <w:sz w:val="18"/>
              </w:rPr>
            </w:pPr>
            <w:r>
              <w:rPr>
                <w:spacing w:val="-4"/>
                <w:sz w:val="18"/>
              </w:rPr>
              <w:t>0.36</w:t>
            </w:r>
          </w:p>
        </w:tc>
      </w:tr>
      <w:tr w:rsidR="00141B97" w14:paraId="2D8B83CF" w14:textId="77777777">
        <w:trPr>
          <w:trHeight w:val="255"/>
        </w:trPr>
        <w:tc>
          <w:tcPr>
            <w:tcW w:w="3509" w:type="dxa"/>
            <w:tcBorders>
              <w:left w:val="nil"/>
              <w:bottom w:val="nil"/>
            </w:tcBorders>
            <w:shd w:val="clear" w:color="auto" w:fill="CCE2ED"/>
          </w:tcPr>
          <w:p w14:paraId="68BF2AAD" w14:textId="77777777" w:rsidR="00141B97" w:rsidRDefault="00911D63">
            <w:pPr>
              <w:pStyle w:val="TableParagraph"/>
              <w:spacing w:before="18" w:line="217" w:lineRule="exact"/>
              <w:ind w:left="98"/>
              <w:rPr>
                <w:sz w:val="18"/>
              </w:rPr>
            </w:pPr>
            <w:r>
              <w:rPr>
                <w:sz w:val="18"/>
              </w:rPr>
              <w:t>Total</w:t>
            </w:r>
            <w:r>
              <w:rPr>
                <w:spacing w:val="-1"/>
                <w:sz w:val="18"/>
              </w:rPr>
              <w:t xml:space="preserve"> </w:t>
            </w:r>
            <w:r>
              <w:rPr>
                <w:spacing w:val="-2"/>
                <w:sz w:val="18"/>
              </w:rPr>
              <w:t>contributions</w:t>
            </w:r>
          </w:p>
        </w:tc>
        <w:tc>
          <w:tcPr>
            <w:tcW w:w="1044" w:type="dxa"/>
            <w:tcBorders>
              <w:bottom w:val="nil"/>
            </w:tcBorders>
            <w:shd w:val="clear" w:color="auto" w:fill="CCE2ED"/>
          </w:tcPr>
          <w:p w14:paraId="08D5308D" w14:textId="77777777" w:rsidR="00141B97" w:rsidRDefault="00911D63">
            <w:pPr>
              <w:pStyle w:val="TableParagraph"/>
              <w:spacing w:before="18" w:line="217" w:lineRule="exact"/>
              <w:ind w:right="97"/>
              <w:jc w:val="right"/>
              <w:rPr>
                <w:sz w:val="18"/>
              </w:rPr>
            </w:pPr>
            <w:r>
              <w:rPr>
                <w:spacing w:val="-4"/>
                <w:sz w:val="18"/>
              </w:rPr>
              <w:t>3.19</w:t>
            </w:r>
          </w:p>
        </w:tc>
        <w:tc>
          <w:tcPr>
            <w:tcW w:w="1044" w:type="dxa"/>
            <w:tcBorders>
              <w:bottom w:val="nil"/>
            </w:tcBorders>
            <w:shd w:val="clear" w:color="auto" w:fill="CCE2ED"/>
          </w:tcPr>
          <w:p w14:paraId="75B454CE" w14:textId="77777777" w:rsidR="00141B97" w:rsidRDefault="00911D63">
            <w:pPr>
              <w:pStyle w:val="TableParagraph"/>
              <w:spacing w:before="18" w:line="217" w:lineRule="exact"/>
              <w:ind w:right="97"/>
              <w:jc w:val="right"/>
              <w:rPr>
                <w:sz w:val="18"/>
              </w:rPr>
            </w:pPr>
            <w:r>
              <w:rPr>
                <w:spacing w:val="-4"/>
                <w:sz w:val="18"/>
              </w:rPr>
              <w:t>5.33</w:t>
            </w:r>
          </w:p>
        </w:tc>
        <w:tc>
          <w:tcPr>
            <w:tcW w:w="1043" w:type="dxa"/>
            <w:tcBorders>
              <w:bottom w:val="nil"/>
            </w:tcBorders>
            <w:shd w:val="clear" w:color="auto" w:fill="CCE2ED"/>
          </w:tcPr>
          <w:p w14:paraId="22265CE5" w14:textId="77777777" w:rsidR="00141B97" w:rsidRDefault="00911D63">
            <w:pPr>
              <w:pStyle w:val="TableParagraph"/>
              <w:spacing w:before="18" w:line="217" w:lineRule="exact"/>
              <w:ind w:right="97"/>
              <w:jc w:val="right"/>
              <w:rPr>
                <w:sz w:val="18"/>
              </w:rPr>
            </w:pPr>
            <w:r>
              <w:rPr>
                <w:spacing w:val="-4"/>
                <w:sz w:val="18"/>
              </w:rPr>
              <w:t>0.00</w:t>
            </w:r>
          </w:p>
        </w:tc>
        <w:tc>
          <w:tcPr>
            <w:tcW w:w="1043" w:type="dxa"/>
            <w:tcBorders>
              <w:bottom w:val="nil"/>
            </w:tcBorders>
            <w:shd w:val="clear" w:color="auto" w:fill="CCE2ED"/>
          </w:tcPr>
          <w:p w14:paraId="34C692FC" w14:textId="77777777" w:rsidR="00141B97" w:rsidRDefault="00911D63">
            <w:pPr>
              <w:pStyle w:val="TableParagraph"/>
              <w:spacing w:before="18" w:line="217" w:lineRule="exact"/>
              <w:ind w:right="96"/>
              <w:jc w:val="right"/>
              <w:rPr>
                <w:sz w:val="18"/>
              </w:rPr>
            </w:pPr>
            <w:r>
              <w:rPr>
                <w:spacing w:val="-4"/>
                <w:sz w:val="18"/>
              </w:rPr>
              <w:t>0.00</w:t>
            </w:r>
          </w:p>
        </w:tc>
        <w:tc>
          <w:tcPr>
            <w:tcW w:w="1043" w:type="dxa"/>
            <w:tcBorders>
              <w:bottom w:val="nil"/>
            </w:tcBorders>
            <w:shd w:val="clear" w:color="auto" w:fill="CCE2ED"/>
          </w:tcPr>
          <w:p w14:paraId="4101A690" w14:textId="77777777" w:rsidR="00141B97" w:rsidRDefault="00911D63">
            <w:pPr>
              <w:pStyle w:val="TableParagraph"/>
              <w:spacing w:before="18" w:line="217" w:lineRule="exact"/>
              <w:ind w:right="96"/>
              <w:jc w:val="right"/>
              <w:rPr>
                <w:sz w:val="18"/>
              </w:rPr>
            </w:pPr>
            <w:r>
              <w:rPr>
                <w:spacing w:val="-4"/>
                <w:sz w:val="18"/>
              </w:rPr>
              <w:t>0.00</w:t>
            </w:r>
          </w:p>
        </w:tc>
        <w:tc>
          <w:tcPr>
            <w:tcW w:w="1125" w:type="dxa"/>
            <w:tcBorders>
              <w:bottom w:val="nil"/>
              <w:right w:val="nil"/>
            </w:tcBorders>
            <w:shd w:val="clear" w:color="auto" w:fill="CCE2ED"/>
          </w:tcPr>
          <w:p w14:paraId="775FB40E" w14:textId="77777777" w:rsidR="00141B97" w:rsidRDefault="00911D63">
            <w:pPr>
              <w:pStyle w:val="TableParagraph"/>
              <w:spacing w:before="18" w:line="217" w:lineRule="exact"/>
              <w:ind w:right="176"/>
              <w:jc w:val="right"/>
              <w:rPr>
                <w:sz w:val="18"/>
              </w:rPr>
            </w:pPr>
            <w:r>
              <w:rPr>
                <w:spacing w:val="-4"/>
                <w:sz w:val="18"/>
              </w:rPr>
              <w:t>8.52</w:t>
            </w:r>
          </w:p>
        </w:tc>
      </w:tr>
    </w:tbl>
    <w:p w14:paraId="5C4C6674" w14:textId="77777777" w:rsidR="00141B97" w:rsidRDefault="00911D63">
      <w:pPr>
        <w:spacing w:before="54"/>
        <w:ind w:left="226"/>
        <w:rPr>
          <w:rFonts w:ascii="Calibri"/>
          <w:sz w:val="16"/>
        </w:rPr>
      </w:pPr>
      <w:r>
        <w:rPr>
          <w:rFonts w:ascii="Calibri"/>
          <w:sz w:val="16"/>
        </w:rPr>
        <w:t>Note:</w:t>
      </w:r>
      <w:r>
        <w:rPr>
          <w:rFonts w:ascii="Calibri"/>
          <w:spacing w:val="-7"/>
          <w:sz w:val="16"/>
        </w:rPr>
        <w:t xml:space="preserve"> </w:t>
      </w:r>
      <w:r>
        <w:rPr>
          <w:rFonts w:ascii="Calibri"/>
          <w:sz w:val="16"/>
        </w:rPr>
        <w:t>The</w:t>
      </w:r>
      <w:r>
        <w:rPr>
          <w:rFonts w:ascii="Calibri"/>
          <w:spacing w:val="-6"/>
          <w:sz w:val="16"/>
        </w:rPr>
        <w:t xml:space="preserve"> </w:t>
      </w:r>
      <w:r>
        <w:rPr>
          <w:rFonts w:ascii="Calibri"/>
          <w:sz w:val="16"/>
        </w:rPr>
        <w:t>difference</w:t>
      </w:r>
      <w:r>
        <w:rPr>
          <w:rFonts w:ascii="Calibri"/>
          <w:spacing w:val="-7"/>
          <w:sz w:val="16"/>
        </w:rPr>
        <w:t xml:space="preserve"> </w:t>
      </w:r>
      <w:r>
        <w:rPr>
          <w:rFonts w:ascii="Calibri"/>
          <w:sz w:val="16"/>
        </w:rPr>
        <w:t>between</w:t>
      </w:r>
      <w:r>
        <w:rPr>
          <w:rFonts w:ascii="Calibri"/>
          <w:spacing w:val="-6"/>
          <w:sz w:val="16"/>
        </w:rPr>
        <w:t xml:space="preserve"> </w:t>
      </w:r>
      <w:r>
        <w:rPr>
          <w:rFonts w:ascii="Calibri"/>
          <w:sz w:val="16"/>
        </w:rPr>
        <w:t>expenditure</w:t>
      </w:r>
      <w:r>
        <w:rPr>
          <w:rFonts w:ascii="Calibri"/>
          <w:spacing w:val="-6"/>
          <w:sz w:val="16"/>
        </w:rPr>
        <w:t xml:space="preserve"> </w:t>
      </w:r>
      <w:r>
        <w:rPr>
          <w:rFonts w:ascii="Calibri"/>
          <w:sz w:val="16"/>
        </w:rPr>
        <w:t>and</w:t>
      </w:r>
      <w:r>
        <w:rPr>
          <w:rFonts w:ascii="Calibri"/>
          <w:spacing w:val="-7"/>
          <w:sz w:val="16"/>
        </w:rPr>
        <w:t xml:space="preserve"> </w:t>
      </w:r>
      <w:r>
        <w:rPr>
          <w:rFonts w:ascii="Calibri"/>
          <w:sz w:val="16"/>
        </w:rPr>
        <w:t>contributions</w:t>
      </w:r>
      <w:r>
        <w:rPr>
          <w:rFonts w:ascii="Calibri"/>
          <w:spacing w:val="-6"/>
          <w:sz w:val="16"/>
        </w:rPr>
        <w:t xml:space="preserve"> </w:t>
      </w:r>
      <w:r>
        <w:rPr>
          <w:rFonts w:ascii="Calibri"/>
          <w:sz w:val="16"/>
        </w:rPr>
        <w:t>is</w:t>
      </w:r>
      <w:r>
        <w:rPr>
          <w:rFonts w:ascii="Calibri"/>
          <w:spacing w:val="-7"/>
          <w:sz w:val="16"/>
        </w:rPr>
        <w:t xml:space="preserve"> </w:t>
      </w:r>
      <w:r>
        <w:rPr>
          <w:rFonts w:ascii="Calibri"/>
          <w:sz w:val="16"/>
        </w:rPr>
        <w:t>for</w:t>
      </w:r>
      <w:r>
        <w:rPr>
          <w:rFonts w:ascii="Calibri"/>
          <w:spacing w:val="-6"/>
          <w:sz w:val="16"/>
        </w:rPr>
        <w:t xml:space="preserve"> </w:t>
      </w:r>
      <w:r>
        <w:rPr>
          <w:rFonts w:ascii="Calibri"/>
          <w:sz w:val="16"/>
        </w:rPr>
        <w:t>project</w:t>
      </w:r>
      <w:r>
        <w:rPr>
          <w:rFonts w:ascii="Calibri"/>
          <w:spacing w:val="-6"/>
          <w:sz w:val="16"/>
        </w:rPr>
        <w:t xml:space="preserve"> </w:t>
      </w:r>
      <w:r>
        <w:rPr>
          <w:rFonts w:ascii="Calibri"/>
          <w:sz w:val="16"/>
        </w:rPr>
        <w:t>operational</w:t>
      </w:r>
      <w:r>
        <w:rPr>
          <w:rFonts w:ascii="Calibri"/>
          <w:spacing w:val="-5"/>
          <w:sz w:val="16"/>
        </w:rPr>
        <w:t xml:space="preserve"> </w:t>
      </w:r>
      <w:r>
        <w:rPr>
          <w:rFonts w:ascii="Calibri"/>
          <w:spacing w:val="-2"/>
          <w:sz w:val="16"/>
        </w:rPr>
        <w:t>expenditure.</w:t>
      </w:r>
    </w:p>
    <w:p w14:paraId="7A034A34" w14:textId="77777777" w:rsidR="00141B97" w:rsidRDefault="00911D63">
      <w:pPr>
        <w:spacing w:before="39"/>
        <w:ind w:left="114"/>
        <w:jc w:val="both"/>
        <w:rPr>
          <w:sz w:val="16"/>
        </w:rPr>
      </w:pPr>
      <w:r>
        <w:rPr>
          <w:sz w:val="16"/>
        </w:rPr>
        <w:t>Table</w:t>
      </w:r>
      <w:r>
        <w:rPr>
          <w:spacing w:val="-5"/>
          <w:sz w:val="16"/>
        </w:rPr>
        <w:t xml:space="preserve"> </w:t>
      </w:r>
      <w:r>
        <w:rPr>
          <w:sz w:val="16"/>
        </w:rPr>
        <w:t>C9:</w:t>
      </w:r>
      <w:r>
        <w:rPr>
          <w:spacing w:val="-5"/>
          <w:sz w:val="16"/>
        </w:rPr>
        <w:t xml:space="preserve"> </w:t>
      </w:r>
      <w:r>
        <w:rPr>
          <w:sz w:val="16"/>
        </w:rPr>
        <w:t>Uncertain</w:t>
      </w:r>
      <w:r>
        <w:rPr>
          <w:spacing w:val="-5"/>
          <w:sz w:val="16"/>
        </w:rPr>
        <w:t xml:space="preserve"> </w:t>
      </w:r>
      <w:r>
        <w:rPr>
          <w:sz w:val="16"/>
        </w:rPr>
        <w:t>Project</w:t>
      </w:r>
      <w:r>
        <w:rPr>
          <w:spacing w:val="-6"/>
          <w:sz w:val="16"/>
        </w:rPr>
        <w:t xml:space="preserve"> </w:t>
      </w:r>
      <w:r>
        <w:rPr>
          <w:sz w:val="16"/>
        </w:rPr>
        <w:t>–</w:t>
      </w:r>
      <w:r>
        <w:rPr>
          <w:spacing w:val="-6"/>
          <w:sz w:val="16"/>
        </w:rPr>
        <w:t xml:space="preserve"> </w:t>
      </w:r>
      <w:r>
        <w:rPr>
          <w:sz w:val="16"/>
        </w:rPr>
        <w:t>SMP2</w:t>
      </w:r>
      <w:r>
        <w:rPr>
          <w:spacing w:val="-6"/>
          <w:sz w:val="16"/>
        </w:rPr>
        <w:t xml:space="preserve"> </w:t>
      </w:r>
      <w:r>
        <w:rPr>
          <w:sz w:val="16"/>
        </w:rPr>
        <w:t>Expenditure</w:t>
      </w:r>
      <w:r>
        <w:rPr>
          <w:spacing w:val="-6"/>
          <w:sz w:val="16"/>
        </w:rPr>
        <w:t xml:space="preserve"> </w:t>
      </w:r>
      <w:r>
        <w:rPr>
          <w:sz w:val="16"/>
        </w:rPr>
        <w:t>and</w:t>
      </w:r>
      <w:r>
        <w:rPr>
          <w:spacing w:val="-5"/>
          <w:sz w:val="16"/>
        </w:rPr>
        <w:t xml:space="preserve"> </w:t>
      </w:r>
      <w:r>
        <w:rPr>
          <w:sz w:val="16"/>
        </w:rPr>
        <w:t>Contributions</w:t>
      </w:r>
      <w:r>
        <w:rPr>
          <w:spacing w:val="-6"/>
          <w:sz w:val="16"/>
        </w:rPr>
        <w:t xml:space="preserve"> </w:t>
      </w:r>
      <w:r>
        <w:rPr>
          <w:sz w:val="16"/>
        </w:rPr>
        <w:t>($m</w:t>
      </w:r>
      <w:r>
        <w:rPr>
          <w:spacing w:val="-6"/>
          <w:sz w:val="16"/>
        </w:rPr>
        <w:t xml:space="preserve"> </w:t>
      </w:r>
      <w:r>
        <w:rPr>
          <w:spacing w:val="-2"/>
          <w:sz w:val="16"/>
        </w:rPr>
        <w:t>1/1/23)</w:t>
      </w:r>
    </w:p>
    <w:p w14:paraId="6B429377" w14:textId="77777777" w:rsidR="00141B97" w:rsidRDefault="00141B97">
      <w:pPr>
        <w:jc w:val="both"/>
        <w:rPr>
          <w:sz w:val="16"/>
        </w:rPr>
        <w:sectPr w:rsidR="00141B97">
          <w:pgSz w:w="11910" w:h="16840"/>
          <w:pgMar w:top="820" w:right="40" w:bottom="780" w:left="1020" w:header="0" w:footer="586" w:gutter="0"/>
          <w:cols w:space="720"/>
        </w:sectPr>
      </w:pPr>
    </w:p>
    <w:p w14:paraId="74202FB1" w14:textId="77777777" w:rsidR="00141B97" w:rsidRDefault="00911D63">
      <w:pPr>
        <w:pStyle w:val="Heading1"/>
        <w:numPr>
          <w:ilvl w:val="0"/>
          <w:numId w:val="37"/>
        </w:numPr>
        <w:tabs>
          <w:tab w:val="left" w:pos="682"/>
        </w:tabs>
        <w:jc w:val="both"/>
      </w:pPr>
      <w:r>
        <w:rPr>
          <w:color w:val="006CA3"/>
        </w:rPr>
        <w:lastRenderedPageBreak/>
        <w:t>Customer</w:t>
      </w:r>
      <w:r>
        <w:rPr>
          <w:color w:val="006CA3"/>
          <w:spacing w:val="-13"/>
        </w:rPr>
        <w:t xml:space="preserve"> </w:t>
      </w:r>
      <w:r>
        <w:rPr>
          <w:color w:val="006CA3"/>
          <w:spacing w:val="-2"/>
        </w:rPr>
        <w:t>Outcomes</w:t>
      </w:r>
    </w:p>
    <w:p w14:paraId="11D2960F" w14:textId="77777777" w:rsidR="00141B97" w:rsidRDefault="00911D63">
      <w:pPr>
        <w:pStyle w:val="ListParagraph"/>
        <w:numPr>
          <w:ilvl w:val="1"/>
          <w:numId w:val="37"/>
        </w:numPr>
        <w:tabs>
          <w:tab w:val="left" w:pos="682"/>
        </w:tabs>
        <w:spacing w:before="380"/>
        <w:ind w:left="681" w:hanging="568"/>
        <w:jc w:val="both"/>
        <w:rPr>
          <w:color w:val="009BAC"/>
        </w:rPr>
      </w:pPr>
      <w:r>
        <w:rPr>
          <w:color w:val="009BAC"/>
        </w:rPr>
        <w:t>Outcomes</w:t>
      </w:r>
      <w:r>
        <w:rPr>
          <w:color w:val="009BAC"/>
          <w:spacing w:val="-6"/>
        </w:rPr>
        <w:t xml:space="preserve"> </w:t>
      </w:r>
      <w:r>
        <w:rPr>
          <w:color w:val="009BAC"/>
        </w:rPr>
        <w:t>Agreed</w:t>
      </w:r>
      <w:r>
        <w:rPr>
          <w:color w:val="009BAC"/>
          <w:spacing w:val="-6"/>
        </w:rPr>
        <w:t xml:space="preserve"> </w:t>
      </w:r>
      <w:r>
        <w:rPr>
          <w:color w:val="009BAC"/>
        </w:rPr>
        <w:t>with</w:t>
      </w:r>
      <w:r>
        <w:rPr>
          <w:color w:val="009BAC"/>
          <w:spacing w:val="-7"/>
        </w:rPr>
        <w:t xml:space="preserve"> </w:t>
      </w:r>
      <w:r>
        <w:rPr>
          <w:color w:val="009BAC"/>
          <w:spacing w:val="-2"/>
        </w:rPr>
        <w:t>Customers</w:t>
      </w:r>
    </w:p>
    <w:p w14:paraId="56D3818F" w14:textId="77777777" w:rsidR="00141B97" w:rsidRDefault="00911D63">
      <w:pPr>
        <w:pStyle w:val="BodyText"/>
        <w:spacing w:before="120"/>
        <w:ind w:left="113" w:right="949"/>
        <w:jc w:val="both"/>
      </w:pPr>
      <w:r>
        <w:t xml:space="preserve">LMW completed extensive engagement via LMW’s SAC, CSACs for each district and a range of in field engagements directly with irrigation customers to review and refine agreed customer outcomes for the PS5 </w:t>
      </w:r>
      <w:r>
        <w:rPr>
          <w:spacing w:val="-2"/>
        </w:rPr>
        <w:t>period.</w:t>
      </w:r>
    </w:p>
    <w:p w14:paraId="0B1E2910" w14:textId="77777777" w:rsidR="00141B97" w:rsidRDefault="00141B97">
      <w:pPr>
        <w:pStyle w:val="BodyText"/>
      </w:pPr>
    </w:p>
    <w:p w14:paraId="1F1A03AF" w14:textId="77777777" w:rsidR="00141B97" w:rsidRDefault="00911D63">
      <w:pPr>
        <w:pStyle w:val="BodyText"/>
        <w:ind w:left="113" w:right="962" w:hanging="1"/>
      </w:pPr>
      <w:r>
        <w:t>Through this</w:t>
      </w:r>
      <w:r>
        <w:rPr>
          <w:spacing w:val="25"/>
        </w:rPr>
        <w:t xml:space="preserve"> </w:t>
      </w:r>
      <w:r>
        <w:t>collaboration,</w:t>
      </w:r>
      <w:r>
        <w:rPr>
          <w:spacing w:val="25"/>
        </w:rPr>
        <w:t xml:space="preserve"> </w:t>
      </w:r>
      <w:r>
        <w:t>LMW adopted the following four customer outcomes along with the associated</w:t>
      </w:r>
      <w:r>
        <w:rPr>
          <w:spacing w:val="40"/>
        </w:rPr>
        <w:t xml:space="preserve"> </w:t>
      </w:r>
      <w:r>
        <w:t>performance measures and targets:</w:t>
      </w:r>
    </w:p>
    <w:p w14:paraId="440C253E" w14:textId="77777777" w:rsidR="00141B97" w:rsidRDefault="00911D63">
      <w:pPr>
        <w:spacing w:before="88"/>
        <w:ind w:left="535"/>
        <w:rPr>
          <w:sz w:val="20"/>
        </w:rPr>
      </w:pPr>
      <w:r>
        <w:rPr>
          <w:sz w:val="20"/>
        </w:rPr>
        <w:t>Customer</w:t>
      </w:r>
      <w:r>
        <w:rPr>
          <w:spacing w:val="-8"/>
          <w:sz w:val="20"/>
        </w:rPr>
        <w:t xml:space="preserve"> </w:t>
      </w:r>
      <w:r>
        <w:rPr>
          <w:spacing w:val="-2"/>
          <w:sz w:val="20"/>
        </w:rPr>
        <w:t>Outcomes</w:t>
      </w:r>
    </w:p>
    <w:p w14:paraId="20FD9F1B" w14:textId="77777777" w:rsidR="00141B97" w:rsidRDefault="00911D63">
      <w:pPr>
        <w:spacing w:before="115" w:line="295" w:lineRule="auto"/>
        <w:ind w:left="535" w:right="5003"/>
        <w:rPr>
          <w:sz w:val="20"/>
        </w:rPr>
      </w:pPr>
      <w:r>
        <w:rPr>
          <w:sz w:val="20"/>
        </w:rPr>
        <w:t>Outcome 1: Services provide customers value for money. Outcome</w:t>
      </w:r>
      <w:r>
        <w:rPr>
          <w:spacing w:val="-3"/>
          <w:sz w:val="20"/>
        </w:rPr>
        <w:t xml:space="preserve"> </w:t>
      </w:r>
      <w:r>
        <w:rPr>
          <w:sz w:val="20"/>
        </w:rPr>
        <w:t>2:</w:t>
      </w:r>
      <w:r>
        <w:rPr>
          <w:spacing w:val="-3"/>
          <w:sz w:val="20"/>
        </w:rPr>
        <w:t xml:space="preserve"> </w:t>
      </w:r>
      <w:r>
        <w:rPr>
          <w:sz w:val="20"/>
        </w:rPr>
        <w:t>Provide</w:t>
      </w:r>
      <w:r>
        <w:rPr>
          <w:spacing w:val="-3"/>
          <w:sz w:val="20"/>
        </w:rPr>
        <w:t xml:space="preserve"> </w:t>
      </w:r>
      <w:r>
        <w:rPr>
          <w:sz w:val="20"/>
        </w:rPr>
        <w:t>customers</w:t>
      </w:r>
      <w:r>
        <w:rPr>
          <w:spacing w:val="-4"/>
          <w:sz w:val="20"/>
        </w:rPr>
        <w:t xml:space="preserve"> </w:t>
      </w:r>
      <w:r>
        <w:rPr>
          <w:sz w:val="20"/>
        </w:rPr>
        <w:t>with</w:t>
      </w:r>
      <w:r>
        <w:rPr>
          <w:spacing w:val="-4"/>
          <w:sz w:val="20"/>
        </w:rPr>
        <w:t xml:space="preserve"> </w:t>
      </w:r>
      <w:r>
        <w:rPr>
          <w:sz w:val="20"/>
        </w:rPr>
        <w:t>water</w:t>
      </w:r>
      <w:r>
        <w:rPr>
          <w:spacing w:val="-4"/>
          <w:sz w:val="20"/>
        </w:rPr>
        <w:t xml:space="preserve"> </w:t>
      </w:r>
      <w:r>
        <w:rPr>
          <w:sz w:val="20"/>
        </w:rPr>
        <w:t>when</w:t>
      </w:r>
      <w:r>
        <w:rPr>
          <w:spacing w:val="-4"/>
          <w:sz w:val="20"/>
        </w:rPr>
        <w:t xml:space="preserve"> </w:t>
      </w:r>
      <w:r>
        <w:rPr>
          <w:sz w:val="20"/>
        </w:rPr>
        <w:t>they</w:t>
      </w:r>
      <w:r>
        <w:rPr>
          <w:spacing w:val="-4"/>
          <w:sz w:val="20"/>
        </w:rPr>
        <w:t xml:space="preserve"> </w:t>
      </w:r>
      <w:r>
        <w:rPr>
          <w:sz w:val="20"/>
        </w:rPr>
        <w:t>need</w:t>
      </w:r>
      <w:r>
        <w:rPr>
          <w:spacing w:val="-3"/>
          <w:sz w:val="20"/>
        </w:rPr>
        <w:t xml:space="preserve"> </w:t>
      </w:r>
      <w:r>
        <w:rPr>
          <w:sz w:val="20"/>
        </w:rPr>
        <w:t>it.</w:t>
      </w:r>
    </w:p>
    <w:p w14:paraId="3CCD91A5" w14:textId="77777777" w:rsidR="00141B97" w:rsidRDefault="00911D63">
      <w:pPr>
        <w:spacing w:line="295" w:lineRule="auto"/>
        <w:ind w:left="535" w:right="1505" w:hanging="1"/>
        <w:rPr>
          <w:sz w:val="20"/>
        </w:rPr>
      </w:pPr>
      <w:r>
        <w:rPr>
          <w:sz w:val="20"/>
        </w:rPr>
        <w:t>Outcome 3: Provide customer service avenues that are responsive to resolve requests and enquiries. Outcome</w:t>
      </w:r>
      <w:r>
        <w:rPr>
          <w:spacing w:val="-1"/>
          <w:sz w:val="20"/>
        </w:rPr>
        <w:t xml:space="preserve"> </w:t>
      </w:r>
      <w:r>
        <w:rPr>
          <w:sz w:val="20"/>
        </w:rPr>
        <w:t>4:</w:t>
      </w:r>
      <w:r>
        <w:rPr>
          <w:spacing w:val="-3"/>
          <w:sz w:val="20"/>
        </w:rPr>
        <w:t xml:space="preserve"> </w:t>
      </w:r>
      <w:r>
        <w:rPr>
          <w:sz w:val="20"/>
        </w:rPr>
        <w:t>Service</w:t>
      </w:r>
      <w:r>
        <w:rPr>
          <w:spacing w:val="-3"/>
          <w:sz w:val="20"/>
        </w:rPr>
        <w:t xml:space="preserve"> </w:t>
      </w:r>
      <w:r>
        <w:rPr>
          <w:sz w:val="20"/>
        </w:rPr>
        <w:t>our</w:t>
      </w:r>
      <w:r>
        <w:rPr>
          <w:spacing w:val="-1"/>
          <w:sz w:val="20"/>
        </w:rPr>
        <w:t xml:space="preserve"> </w:t>
      </w:r>
      <w:r>
        <w:rPr>
          <w:sz w:val="20"/>
        </w:rPr>
        <w:t>communities</w:t>
      </w:r>
      <w:r>
        <w:rPr>
          <w:spacing w:val="-1"/>
          <w:sz w:val="20"/>
        </w:rPr>
        <w:t xml:space="preserve"> </w:t>
      </w:r>
      <w:r>
        <w:rPr>
          <w:sz w:val="20"/>
        </w:rPr>
        <w:t>in</w:t>
      </w:r>
      <w:r>
        <w:rPr>
          <w:spacing w:val="-3"/>
          <w:sz w:val="20"/>
        </w:rPr>
        <w:t xml:space="preserve"> </w:t>
      </w:r>
      <w:r>
        <w:rPr>
          <w:sz w:val="20"/>
        </w:rPr>
        <w:t>a</w:t>
      </w:r>
      <w:r>
        <w:rPr>
          <w:spacing w:val="-3"/>
          <w:sz w:val="20"/>
        </w:rPr>
        <w:t xml:space="preserve"> </w:t>
      </w:r>
      <w:r>
        <w:rPr>
          <w:sz w:val="20"/>
        </w:rPr>
        <w:t>socially</w:t>
      </w:r>
      <w:r>
        <w:rPr>
          <w:spacing w:val="-3"/>
          <w:sz w:val="20"/>
        </w:rPr>
        <w:t xml:space="preserve"> </w:t>
      </w:r>
      <w:r>
        <w:rPr>
          <w:sz w:val="20"/>
        </w:rPr>
        <w:t>responsible</w:t>
      </w:r>
      <w:r>
        <w:rPr>
          <w:spacing w:val="-3"/>
          <w:sz w:val="20"/>
        </w:rPr>
        <w:t xml:space="preserve"> </w:t>
      </w:r>
      <w:r>
        <w:rPr>
          <w:sz w:val="20"/>
        </w:rPr>
        <w:t>and</w:t>
      </w:r>
      <w:r>
        <w:rPr>
          <w:spacing w:val="-3"/>
          <w:sz w:val="20"/>
        </w:rPr>
        <w:t xml:space="preserve"> </w:t>
      </w:r>
      <w:r>
        <w:rPr>
          <w:sz w:val="20"/>
        </w:rPr>
        <w:t>environmentally</w:t>
      </w:r>
      <w:r>
        <w:rPr>
          <w:spacing w:val="-5"/>
          <w:sz w:val="20"/>
        </w:rPr>
        <w:t xml:space="preserve"> </w:t>
      </w:r>
      <w:r>
        <w:rPr>
          <w:sz w:val="20"/>
        </w:rPr>
        <w:t>sustainable</w:t>
      </w:r>
      <w:r>
        <w:rPr>
          <w:spacing w:val="-3"/>
          <w:sz w:val="20"/>
        </w:rPr>
        <w:t xml:space="preserve"> </w:t>
      </w:r>
      <w:r>
        <w:rPr>
          <w:sz w:val="20"/>
        </w:rPr>
        <w:t>manner.</w:t>
      </w:r>
    </w:p>
    <w:p w14:paraId="355941AE" w14:textId="77777777" w:rsidR="00141B97" w:rsidRDefault="00141B97">
      <w:pPr>
        <w:pStyle w:val="BodyText"/>
        <w:spacing w:before="9"/>
        <w:rPr>
          <w:sz w:val="17"/>
        </w:rPr>
      </w:pPr>
    </w:p>
    <w:p w14:paraId="3C3988C7" w14:textId="77777777" w:rsidR="00141B97" w:rsidRDefault="00911D63">
      <w:pPr>
        <w:pStyle w:val="BodyText"/>
        <w:spacing w:before="1" w:line="259" w:lineRule="auto"/>
        <w:ind w:left="113" w:right="949"/>
        <w:jc w:val="both"/>
      </w:pPr>
      <w:r>
        <w:t>Throughout the four‐stage engagement program, LMW gained agreement from customers regarding major change projects, key operational activities, and inputs in terms of cost movements and resources required to achieve these customer outcomes.</w:t>
      </w:r>
    </w:p>
    <w:p w14:paraId="06410899" w14:textId="77777777" w:rsidR="00141B97" w:rsidRDefault="00141B97">
      <w:pPr>
        <w:pStyle w:val="BodyText"/>
        <w:spacing w:before="8"/>
        <w:rPr>
          <w:sz w:val="23"/>
        </w:rPr>
      </w:pPr>
    </w:p>
    <w:p w14:paraId="07F381F1" w14:textId="77777777" w:rsidR="00141B97" w:rsidRDefault="00911D63">
      <w:pPr>
        <w:pStyle w:val="BodyText"/>
        <w:spacing w:line="259" w:lineRule="auto"/>
        <w:ind w:left="113" w:right="949"/>
        <w:jc w:val="both"/>
      </w:pPr>
      <w:r>
        <w:t>In alignment with the #1LMW approach to treat urban and rural businesses across the service region as one cohesive business, a proactive decision to create stronger alignment and cohesion between both rural and urban customer outcomes was made.</w:t>
      </w:r>
    </w:p>
    <w:p w14:paraId="23CCC269" w14:textId="77777777" w:rsidR="00141B97" w:rsidRDefault="00141B97">
      <w:pPr>
        <w:pStyle w:val="BodyText"/>
        <w:spacing w:before="8"/>
        <w:rPr>
          <w:sz w:val="23"/>
        </w:rPr>
      </w:pPr>
    </w:p>
    <w:p w14:paraId="014AF10B" w14:textId="77777777" w:rsidR="00141B97" w:rsidRDefault="00911D63">
      <w:pPr>
        <w:pStyle w:val="BodyText"/>
        <w:spacing w:line="259" w:lineRule="auto"/>
        <w:ind w:left="113" w:right="948"/>
        <w:jc w:val="both"/>
      </w:pPr>
      <w:r>
        <w:t>It</w:t>
      </w:r>
      <w:r>
        <w:rPr>
          <w:spacing w:val="-8"/>
        </w:rPr>
        <w:t xml:space="preserve"> </w:t>
      </w:r>
      <w:r>
        <w:t>should</w:t>
      </w:r>
      <w:r>
        <w:rPr>
          <w:spacing w:val="-7"/>
        </w:rPr>
        <w:t xml:space="preserve"> </w:t>
      </w:r>
      <w:r>
        <w:t>be</w:t>
      </w:r>
      <w:r>
        <w:rPr>
          <w:spacing w:val="-9"/>
        </w:rPr>
        <w:t xml:space="preserve"> </w:t>
      </w:r>
      <w:r>
        <w:t>noted</w:t>
      </w:r>
      <w:r>
        <w:rPr>
          <w:spacing w:val="-8"/>
        </w:rPr>
        <w:t xml:space="preserve"> </w:t>
      </w:r>
      <w:r>
        <w:t>that</w:t>
      </w:r>
      <w:r>
        <w:rPr>
          <w:spacing w:val="-7"/>
        </w:rPr>
        <w:t xml:space="preserve"> </w:t>
      </w:r>
      <w:r>
        <w:t>LMW</w:t>
      </w:r>
      <w:r>
        <w:rPr>
          <w:spacing w:val="-8"/>
        </w:rPr>
        <w:t xml:space="preserve"> </w:t>
      </w:r>
      <w:r>
        <w:t>have</w:t>
      </w:r>
      <w:r>
        <w:rPr>
          <w:spacing w:val="-9"/>
        </w:rPr>
        <w:t xml:space="preserve"> </w:t>
      </w:r>
      <w:r>
        <w:t>worked</w:t>
      </w:r>
      <w:r>
        <w:rPr>
          <w:spacing w:val="-8"/>
        </w:rPr>
        <w:t xml:space="preserve"> </w:t>
      </w:r>
      <w:r>
        <w:t>with</w:t>
      </w:r>
      <w:r>
        <w:rPr>
          <w:spacing w:val="-7"/>
        </w:rPr>
        <w:t xml:space="preserve"> </w:t>
      </w:r>
      <w:r>
        <w:t>its</w:t>
      </w:r>
      <w:r>
        <w:rPr>
          <w:spacing w:val="-8"/>
        </w:rPr>
        <w:t xml:space="preserve"> </w:t>
      </w:r>
      <w:r>
        <w:t>rural</w:t>
      </w:r>
      <w:r>
        <w:rPr>
          <w:spacing w:val="-9"/>
        </w:rPr>
        <w:t xml:space="preserve"> </w:t>
      </w:r>
      <w:r>
        <w:t>customers</w:t>
      </w:r>
      <w:r>
        <w:rPr>
          <w:spacing w:val="-5"/>
        </w:rPr>
        <w:t xml:space="preserve"> </w:t>
      </w:r>
      <w:r>
        <w:t>to</w:t>
      </w:r>
      <w:r>
        <w:rPr>
          <w:spacing w:val="-7"/>
        </w:rPr>
        <w:t xml:space="preserve"> </w:t>
      </w:r>
      <w:r>
        <w:t>achieve</w:t>
      </w:r>
      <w:r>
        <w:rPr>
          <w:spacing w:val="-8"/>
        </w:rPr>
        <w:t xml:space="preserve"> </w:t>
      </w:r>
      <w:r>
        <w:t>this</w:t>
      </w:r>
      <w:r>
        <w:rPr>
          <w:spacing w:val="-8"/>
        </w:rPr>
        <w:t xml:space="preserve"> </w:t>
      </w:r>
      <w:r>
        <w:t>alignment</w:t>
      </w:r>
      <w:r>
        <w:rPr>
          <w:spacing w:val="-8"/>
        </w:rPr>
        <w:t xml:space="preserve"> </w:t>
      </w:r>
      <w:r>
        <w:t>between</w:t>
      </w:r>
      <w:r>
        <w:rPr>
          <w:spacing w:val="-7"/>
        </w:rPr>
        <w:t xml:space="preserve"> </w:t>
      </w:r>
      <w:r>
        <w:t>the</w:t>
      </w:r>
      <w:r>
        <w:rPr>
          <w:spacing w:val="-8"/>
        </w:rPr>
        <w:t xml:space="preserve"> </w:t>
      </w:r>
      <w:r>
        <w:t>urban and rural businesses with three out of four customer outcomes (including many of the performance measures and targets) crafted, tested, and validated across both urban and rural cohorts.</w:t>
      </w:r>
    </w:p>
    <w:p w14:paraId="330DDDA2" w14:textId="77777777" w:rsidR="00141B97" w:rsidRDefault="00141B97">
      <w:pPr>
        <w:pStyle w:val="BodyText"/>
        <w:spacing w:before="8"/>
        <w:rPr>
          <w:sz w:val="23"/>
        </w:rPr>
      </w:pPr>
    </w:p>
    <w:p w14:paraId="35FC50E4" w14:textId="77777777" w:rsidR="00141B97" w:rsidRDefault="00911D63">
      <w:pPr>
        <w:pStyle w:val="BodyText"/>
        <w:spacing w:before="1" w:line="259" w:lineRule="auto"/>
        <w:ind w:left="113" w:right="949" w:hanging="1"/>
        <w:jc w:val="both"/>
      </w:pPr>
      <w:r>
        <w:t>The</w:t>
      </w:r>
      <w:r>
        <w:rPr>
          <w:spacing w:val="-6"/>
        </w:rPr>
        <w:t xml:space="preserve"> </w:t>
      </w:r>
      <w:r>
        <w:t>only</w:t>
      </w:r>
      <w:r>
        <w:rPr>
          <w:spacing w:val="-4"/>
        </w:rPr>
        <w:t xml:space="preserve"> </w:t>
      </w:r>
      <w:r>
        <w:t>exception</w:t>
      </w:r>
      <w:r>
        <w:rPr>
          <w:spacing w:val="-6"/>
        </w:rPr>
        <w:t xml:space="preserve"> </w:t>
      </w:r>
      <w:r>
        <w:t>to</w:t>
      </w:r>
      <w:r>
        <w:rPr>
          <w:spacing w:val="-5"/>
        </w:rPr>
        <w:t xml:space="preserve"> </w:t>
      </w:r>
      <w:r>
        <w:t>this</w:t>
      </w:r>
      <w:r>
        <w:rPr>
          <w:spacing w:val="-4"/>
        </w:rPr>
        <w:t xml:space="preserve"> </w:t>
      </w:r>
      <w:r>
        <w:t>is</w:t>
      </w:r>
      <w:r>
        <w:rPr>
          <w:spacing w:val="-5"/>
        </w:rPr>
        <w:t xml:space="preserve"> </w:t>
      </w:r>
      <w:r>
        <w:t>a</w:t>
      </w:r>
      <w:r>
        <w:rPr>
          <w:spacing w:val="-6"/>
        </w:rPr>
        <w:t xml:space="preserve"> </w:t>
      </w:r>
      <w:r>
        <w:t>unique</w:t>
      </w:r>
      <w:r>
        <w:rPr>
          <w:spacing w:val="-5"/>
        </w:rPr>
        <w:t xml:space="preserve"> </w:t>
      </w:r>
      <w:r>
        <w:t>and</w:t>
      </w:r>
      <w:r>
        <w:rPr>
          <w:spacing w:val="-6"/>
        </w:rPr>
        <w:t xml:space="preserve"> </w:t>
      </w:r>
      <w:r>
        <w:t>specific</w:t>
      </w:r>
      <w:r>
        <w:rPr>
          <w:spacing w:val="-4"/>
        </w:rPr>
        <w:t xml:space="preserve"> </w:t>
      </w:r>
      <w:r>
        <w:t>outcome</w:t>
      </w:r>
      <w:r>
        <w:rPr>
          <w:spacing w:val="-4"/>
        </w:rPr>
        <w:t xml:space="preserve"> </w:t>
      </w:r>
      <w:r>
        <w:t>for</w:t>
      </w:r>
      <w:r>
        <w:rPr>
          <w:spacing w:val="-4"/>
        </w:rPr>
        <w:t xml:space="preserve"> </w:t>
      </w:r>
      <w:r>
        <w:t>rural</w:t>
      </w:r>
      <w:r>
        <w:rPr>
          <w:spacing w:val="-6"/>
        </w:rPr>
        <w:t xml:space="preserve"> </w:t>
      </w:r>
      <w:r>
        <w:t>customers</w:t>
      </w:r>
      <w:r>
        <w:rPr>
          <w:spacing w:val="-5"/>
        </w:rPr>
        <w:t xml:space="preserve"> </w:t>
      </w:r>
      <w:r>
        <w:t>‐</w:t>
      </w:r>
      <w:r>
        <w:rPr>
          <w:spacing w:val="-4"/>
        </w:rPr>
        <w:t xml:space="preserve"> </w:t>
      </w:r>
      <w:r>
        <w:t>‘Provide</w:t>
      </w:r>
      <w:r>
        <w:rPr>
          <w:spacing w:val="-7"/>
        </w:rPr>
        <w:t xml:space="preserve"> </w:t>
      </w:r>
      <w:r>
        <w:t>customers</w:t>
      </w:r>
      <w:r>
        <w:rPr>
          <w:spacing w:val="-3"/>
        </w:rPr>
        <w:t xml:space="preserve"> </w:t>
      </w:r>
      <w:r>
        <w:t>with</w:t>
      </w:r>
      <w:r>
        <w:rPr>
          <w:spacing w:val="-6"/>
        </w:rPr>
        <w:t xml:space="preserve"> </w:t>
      </w:r>
      <w:r>
        <w:t>water when they need it’ ‐ which impresses the importance of reliable and</w:t>
      </w:r>
      <w:r>
        <w:rPr>
          <w:spacing w:val="-1"/>
        </w:rPr>
        <w:t xml:space="preserve"> </w:t>
      </w:r>
      <w:r>
        <w:t>sustainable irrigation water to the region. Each</w:t>
      </w:r>
      <w:r>
        <w:rPr>
          <w:spacing w:val="-7"/>
        </w:rPr>
        <w:t xml:space="preserve"> </w:t>
      </w:r>
      <w:r>
        <w:t>customer</w:t>
      </w:r>
      <w:r>
        <w:rPr>
          <w:spacing w:val="-8"/>
        </w:rPr>
        <w:t xml:space="preserve"> </w:t>
      </w:r>
      <w:r>
        <w:t>outcome</w:t>
      </w:r>
      <w:r>
        <w:rPr>
          <w:spacing w:val="-7"/>
        </w:rPr>
        <w:t xml:space="preserve"> </w:t>
      </w:r>
      <w:r>
        <w:t>and</w:t>
      </w:r>
      <w:r>
        <w:rPr>
          <w:spacing w:val="-8"/>
        </w:rPr>
        <w:t xml:space="preserve"> </w:t>
      </w:r>
      <w:r>
        <w:t>the</w:t>
      </w:r>
      <w:r>
        <w:rPr>
          <w:spacing w:val="-7"/>
        </w:rPr>
        <w:t xml:space="preserve"> </w:t>
      </w:r>
      <w:r>
        <w:t>associated</w:t>
      </w:r>
      <w:r>
        <w:rPr>
          <w:spacing w:val="-8"/>
        </w:rPr>
        <w:t xml:space="preserve"> </w:t>
      </w:r>
      <w:r>
        <w:t>measures</w:t>
      </w:r>
      <w:r>
        <w:rPr>
          <w:spacing w:val="-5"/>
        </w:rPr>
        <w:t xml:space="preserve"> </w:t>
      </w:r>
      <w:r>
        <w:t>and</w:t>
      </w:r>
      <w:r>
        <w:rPr>
          <w:spacing w:val="-7"/>
        </w:rPr>
        <w:t xml:space="preserve"> </w:t>
      </w:r>
      <w:r>
        <w:t>activities</w:t>
      </w:r>
      <w:r>
        <w:rPr>
          <w:spacing w:val="-6"/>
        </w:rPr>
        <w:t xml:space="preserve"> </w:t>
      </w:r>
      <w:r>
        <w:t>are</w:t>
      </w:r>
      <w:r>
        <w:rPr>
          <w:spacing w:val="-7"/>
        </w:rPr>
        <w:t xml:space="preserve"> </w:t>
      </w:r>
      <w:r>
        <w:t>detailed</w:t>
      </w:r>
      <w:r>
        <w:rPr>
          <w:spacing w:val="-7"/>
        </w:rPr>
        <w:t xml:space="preserve"> </w:t>
      </w:r>
      <w:r>
        <w:t>in</w:t>
      </w:r>
      <w:r>
        <w:rPr>
          <w:spacing w:val="-8"/>
        </w:rPr>
        <w:t xml:space="preserve"> </w:t>
      </w:r>
      <w:r>
        <w:t>the</w:t>
      </w:r>
      <w:r>
        <w:rPr>
          <w:spacing w:val="-7"/>
        </w:rPr>
        <w:t xml:space="preserve"> </w:t>
      </w:r>
      <w:r>
        <w:t>Tables</w:t>
      </w:r>
      <w:r>
        <w:rPr>
          <w:spacing w:val="-6"/>
        </w:rPr>
        <w:t xml:space="preserve"> </w:t>
      </w:r>
      <w:r>
        <w:t>C10</w:t>
      </w:r>
      <w:r>
        <w:rPr>
          <w:spacing w:val="-7"/>
        </w:rPr>
        <w:t xml:space="preserve"> </w:t>
      </w:r>
      <w:r>
        <w:t>to</w:t>
      </w:r>
      <w:r>
        <w:rPr>
          <w:spacing w:val="-7"/>
        </w:rPr>
        <w:t xml:space="preserve"> </w:t>
      </w:r>
      <w:r>
        <w:t>C13</w:t>
      </w:r>
      <w:r>
        <w:rPr>
          <w:spacing w:val="-6"/>
        </w:rPr>
        <w:t xml:space="preserve"> </w:t>
      </w:r>
      <w:r>
        <w:t>below which are easily understood and were agreed with customers.</w:t>
      </w:r>
    </w:p>
    <w:p w14:paraId="2BB81348" w14:textId="77777777" w:rsidR="00141B97" w:rsidRDefault="00141B97">
      <w:pPr>
        <w:spacing w:line="259" w:lineRule="auto"/>
        <w:jc w:val="both"/>
        <w:sectPr w:rsidR="00141B97">
          <w:pgSz w:w="11910" w:h="16840"/>
          <w:pgMar w:top="860" w:right="40" w:bottom="780" w:left="1020" w:header="0" w:footer="586" w:gutter="0"/>
          <w:cols w:space="720"/>
        </w:sectPr>
      </w:pPr>
    </w:p>
    <w:p w14:paraId="4FC88839" w14:textId="77777777" w:rsidR="00141B97" w:rsidRDefault="00911D63">
      <w:pPr>
        <w:pStyle w:val="BodyText"/>
        <w:spacing w:before="31"/>
        <w:ind w:left="114"/>
      </w:pPr>
      <w:r>
        <w:lastRenderedPageBreak/>
        <w:t>Outcome</w:t>
      </w:r>
      <w:r>
        <w:rPr>
          <w:spacing w:val="-7"/>
        </w:rPr>
        <w:t xml:space="preserve"> </w:t>
      </w:r>
      <w:r>
        <w:t>1:</w:t>
      </w:r>
      <w:r>
        <w:rPr>
          <w:spacing w:val="-7"/>
        </w:rPr>
        <w:t xml:space="preserve"> </w:t>
      </w:r>
      <w:r>
        <w:t>Services</w:t>
      </w:r>
      <w:r>
        <w:rPr>
          <w:spacing w:val="-6"/>
        </w:rPr>
        <w:t xml:space="preserve"> </w:t>
      </w:r>
      <w:r>
        <w:t>provide</w:t>
      </w:r>
      <w:r>
        <w:rPr>
          <w:spacing w:val="-7"/>
        </w:rPr>
        <w:t xml:space="preserve"> </w:t>
      </w:r>
      <w:r>
        <w:t>customers</w:t>
      </w:r>
      <w:r>
        <w:rPr>
          <w:spacing w:val="-7"/>
        </w:rPr>
        <w:t xml:space="preserve"> </w:t>
      </w:r>
      <w:r>
        <w:t>value</w:t>
      </w:r>
      <w:r>
        <w:rPr>
          <w:spacing w:val="-7"/>
        </w:rPr>
        <w:t xml:space="preserve"> </w:t>
      </w:r>
      <w:r>
        <w:t>for</w:t>
      </w:r>
      <w:r>
        <w:rPr>
          <w:spacing w:val="-8"/>
        </w:rPr>
        <w:t xml:space="preserve"> </w:t>
      </w:r>
      <w:r>
        <w:rPr>
          <w:spacing w:val="-4"/>
        </w:rPr>
        <w:t>money</w:t>
      </w:r>
    </w:p>
    <w:p w14:paraId="5B1ECF18" w14:textId="77777777" w:rsidR="00141B97" w:rsidRDefault="00141B97">
      <w:pPr>
        <w:pStyle w:val="BodyText"/>
        <w:spacing w:before="7"/>
        <w:rPr>
          <w:sz w:val="23"/>
        </w:rPr>
      </w:pPr>
    </w:p>
    <w:tbl>
      <w:tblPr>
        <w:tblW w:w="0" w:type="auto"/>
        <w:tblInd w:w="14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256"/>
        <w:gridCol w:w="7355"/>
      </w:tblGrid>
      <w:tr w:rsidR="00141B97" w14:paraId="41A23B8A" w14:textId="77777777">
        <w:trPr>
          <w:trHeight w:val="579"/>
        </w:trPr>
        <w:tc>
          <w:tcPr>
            <w:tcW w:w="2256" w:type="dxa"/>
            <w:tcBorders>
              <w:top w:val="nil"/>
              <w:left w:val="nil"/>
              <w:right w:val="single" w:sz="8" w:space="0" w:color="FFFFFF"/>
            </w:tcBorders>
            <w:shd w:val="clear" w:color="auto" w:fill="006CA3"/>
          </w:tcPr>
          <w:p w14:paraId="47FBA422" w14:textId="77777777" w:rsidR="00141B97" w:rsidRDefault="00911D63">
            <w:pPr>
              <w:pStyle w:val="TableParagraph"/>
              <w:ind w:left="88"/>
            </w:pPr>
            <w:r>
              <w:rPr>
                <w:color w:val="FFFFFF"/>
              </w:rPr>
              <w:t>What</w:t>
            </w:r>
            <w:r>
              <w:rPr>
                <w:color w:val="FFFFFF"/>
                <w:spacing w:val="-10"/>
              </w:rPr>
              <w:t xml:space="preserve"> </w:t>
            </w:r>
            <w:r>
              <w:rPr>
                <w:color w:val="FFFFFF"/>
              </w:rPr>
              <w:t>customers</w:t>
            </w:r>
            <w:r>
              <w:rPr>
                <w:color w:val="FFFFFF"/>
                <w:spacing w:val="-7"/>
              </w:rPr>
              <w:t xml:space="preserve"> </w:t>
            </w:r>
            <w:r>
              <w:rPr>
                <w:color w:val="FFFFFF"/>
                <w:spacing w:val="-4"/>
              </w:rPr>
              <w:t>will</w:t>
            </w:r>
          </w:p>
          <w:p w14:paraId="1BD49315" w14:textId="77777777" w:rsidR="00141B97" w:rsidRDefault="00911D63">
            <w:pPr>
              <w:pStyle w:val="TableParagraph"/>
              <w:spacing w:before="22"/>
              <w:ind w:left="88"/>
            </w:pPr>
            <w:r>
              <w:rPr>
                <w:color w:val="FFFFFF"/>
                <w:spacing w:val="-2"/>
              </w:rPr>
              <w:t>receive</w:t>
            </w:r>
          </w:p>
        </w:tc>
        <w:tc>
          <w:tcPr>
            <w:tcW w:w="7355" w:type="dxa"/>
            <w:tcBorders>
              <w:top w:val="nil"/>
              <w:left w:val="single" w:sz="8" w:space="0" w:color="FFFFFF"/>
              <w:right w:val="nil"/>
            </w:tcBorders>
            <w:shd w:val="clear" w:color="auto" w:fill="0064A4"/>
          </w:tcPr>
          <w:p w14:paraId="451B413B" w14:textId="77777777" w:rsidR="00141B97" w:rsidRDefault="00911D63">
            <w:pPr>
              <w:pStyle w:val="TableParagraph"/>
              <w:spacing w:before="145"/>
              <w:ind w:left="98"/>
            </w:pPr>
            <w:r>
              <w:rPr>
                <w:color w:val="FFFFFF"/>
              </w:rPr>
              <w:t>Outcome</w:t>
            </w:r>
            <w:r>
              <w:rPr>
                <w:color w:val="FFFFFF"/>
                <w:spacing w:val="-7"/>
              </w:rPr>
              <w:t xml:space="preserve"> </w:t>
            </w:r>
            <w:r>
              <w:rPr>
                <w:color w:val="FFFFFF"/>
              </w:rPr>
              <w:t>1:</w:t>
            </w:r>
            <w:r>
              <w:rPr>
                <w:color w:val="FFFFFF"/>
                <w:spacing w:val="-7"/>
              </w:rPr>
              <w:t xml:space="preserve"> </w:t>
            </w:r>
            <w:r>
              <w:rPr>
                <w:color w:val="FFFFFF"/>
              </w:rPr>
              <w:t>Services</w:t>
            </w:r>
            <w:r>
              <w:rPr>
                <w:color w:val="FFFFFF"/>
                <w:spacing w:val="-6"/>
              </w:rPr>
              <w:t xml:space="preserve"> </w:t>
            </w:r>
            <w:r>
              <w:rPr>
                <w:color w:val="FFFFFF"/>
              </w:rPr>
              <w:t>provide</w:t>
            </w:r>
            <w:r>
              <w:rPr>
                <w:color w:val="FFFFFF"/>
                <w:spacing w:val="-7"/>
              </w:rPr>
              <w:t xml:space="preserve"> </w:t>
            </w:r>
            <w:r>
              <w:rPr>
                <w:color w:val="FFFFFF"/>
              </w:rPr>
              <w:t>customers</w:t>
            </w:r>
            <w:r>
              <w:rPr>
                <w:color w:val="FFFFFF"/>
                <w:spacing w:val="-7"/>
              </w:rPr>
              <w:t xml:space="preserve"> </w:t>
            </w:r>
            <w:r>
              <w:rPr>
                <w:color w:val="FFFFFF"/>
              </w:rPr>
              <w:t>value</w:t>
            </w:r>
            <w:r>
              <w:rPr>
                <w:color w:val="FFFFFF"/>
                <w:spacing w:val="-7"/>
              </w:rPr>
              <w:t xml:space="preserve"> </w:t>
            </w:r>
            <w:r>
              <w:rPr>
                <w:color w:val="FFFFFF"/>
              </w:rPr>
              <w:t>for</w:t>
            </w:r>
            <w:r>
              <w:rPr>
                <w:color w:val="FFFFFF"/>
                <w:spacing w:val="-8"/>
              </w:rPr>
              <w:t xml:space="preserve"> </w:t>
            </w:r>
            <w:r>
              <w:rPr>
                <w:color w:val="FFFFFF"/>
                <w:spacing w:val="-4"/>
              </w:rPr>
              <w:t>money</w:t>
            </w:r>
          </w:p>
        </w:tc>
      </w:tr>
      <w:tr w:rsidR="00141B97" w14:paraId="4C5FBE43" w14:textId="77777777">
        <w:trPr>
          <w:trHeight w:val="1938"/>
        </w:trPr>
        <w:tc>
          <w:tcPr>
            <w:tcW w:w="2256" w:type="dxa"/>
            <w:tcBorders>
              <w:left w:val="nil"/>
              <w:bottom w:val="single" w:sz="8" w:space="0" w:color="FFFFFF"/>
              <w:right w:val="single" w:sz="8" w:space="0" w:color="FFFFFF"/>
            </w:tcBorders>
            <w:shd w:val="clear" w:color="auto" w:fill="CCE2ED"/>
          </w:tcPr>
          <w:p w14:paraId="07D30570" w14:textId="77777777" w:rsidR="00141B97" w:rsidRDefault="00911D63">
            <w:pPr>
              <w:pStyle w:val="TableParagraph"/>
              <w:ind w:left="88" w:right="197"/>
            </w:pPr>
            <w:r>
              <w:rPr>
                <w:spacing w:val="-2"/>
              </w:rPr>
              <w:t xml:space="preserve">Performance </w:t>
            </w:r>
            <w:r>
              <w:t>measures</w:t>
            </w:r>
            <w:r>
              <w:rPr>
                <w:spacing w:val="-13"/>
              </w:rPr>
              <w:t xml:space="preserve"> </w:t>
            </w:r>
            <w:r>
              <w:t>and</w:t>
            </w:r>
            <w:r>
              <w:rPr>
                <w:spacing w:val="-12"/>
              </w:rPr>
              <w:t xml:space="preserve"> </w:t>
            </w:r>
            <w:r>
              <w:t>targets</w:t>
            </w:r>
          </w:p>
        </w:tc>
        <w:tc>
          <w:tcPr>
            <w:tcW w:w="7355" w:type="dxa"/>
            <w:tcBorders>
              <w:left w:val="single" w:sz="8" w:space="0" w:color="FFFFFF"/>
              <w:bottom w:val="single" w:sz="8" w:space="0" w:color="FFFFFF"/>
              <w:right w:val="nil"/>
            </w:tcBorders>
            <w:shd w:val="clear" w:color="auto" w:fill="CCE2ED"/>
          </w:tcPr>
          <w:p w14:paraId="4584472B" w14:textId="77777777" w:rsidR="00141B97" w:rsidRDefault="00911D63">
            <w:pPr>
              <w:pStyle w:val="TableParagraph"/>
              <w:numPr>
                <w:ilvl w:val="0"/>
                <w:numId w:val="34"/>
              </w:numPr>
              <w:tabs>
                <w:tab w:val="left" w:pos="457"/>
                <w:tab w:val="left" w:pos="458"/>
              </w:tabs>
              <w:spacing w:before="1"/>
              <w:ind w:right="236" w:hanging="360"/>
            </w:pPr>
            <w:r>
              <w:t>Customer</w:t>
            </w:r>
            <w:r>
              <w:rPr>
                <w:spacing w:val="-3"/>
              </w:rPr>
              <w:t xml:space="preserve"> </w:t>
            </w:r>
            <w:r>
              <w:t>satisfaction</w:t>
            </w:r>
            <w:r>
              <w:rPr>
                <w:spacing w:val="-2"/>
              </w:rPr>
              <w:t xml:space="preserve"> </w:t>
            </w:r>
            <w:r>
              <w:t>of</w:t>
            </w:r>
            <w:r>
              <w:rPr>
                <w:spacing w:val="-4"/>
              </w:rPr>
              <w:t xml:space="preserve"> </w:t>
            </w:r>
            <w:r>
              <w:t>overall</w:t>
            </w:r>
            <w:r>
              <w:rPr>
                <w:spacing w:val="-4"/>
              </w:rPr>
              <w:t xml:space="preserve"> </w:t>
            </w:r>
            <w:r>
              <w:t>services</w:t>
            </w:r>
            <w:r>
              <w:rPr>
                <w:spacing w:val="-3"/>
              </w:rPr>
              <w:t xml:space="preserve"> </w:t>
            </w:r>
            <w:r>
              <w:t>value</w:t>
            </w:r>
            <w:r>
              <w:rPr>
                <w:spacing w:val="-3"/>
              </w:rPr>
              <w:t xml:space="preserve"> </w:t>
            </w:r>
            <w:r>
              <w:t>for</w:t>
            </w:r>
            <w:r>
              <w:rPr>
                <w:spacing w:val="-3"/>
              </w:rPr>
              <w:t xml:space="preserve"> </w:t>
            </w:r>
            <w:r>
              <w:t>money</w:t>
            </w:r>
            <w:r>
              <w:rPr>
                <w:spacing w:val="-4"/>
              </w:rPr>
              <w:t xml:space="preserve"> </w:t>
            </w:r>
            <w:r>
              <w:t>Target</w:t>
            </w:r>
            <w:r>
              <w:rPr>
                <w:spacing w:val="-3"/>
              </w:rPr>
              <w:t xml:space="preserve"> </w:t>
            </w:r>
            <w:r>
              <w:t>=</w:t>
            </w:r>
            <w:r>
              <w:rPr>
                <w:spacing w:val="-3"/>
              </w:rPr>
              <w:t xml:space="preserve"> </w:t>
            </w:r>
            <w:r>
              <w:t>&gt;/=</w:t>
            </w:r>
            <w:r>
              <w:rPr>
                <w:spacing w:val="-3"/>
              </w:rPr>
              <w:t xml:space="preserve"> </w:t>
            </w:r>
            <w:r>
              <w:t>prior year performance of survey respondents</w:t>
            </w:r>
          </w:p>
          <w:p w14:paraId="7EAB2046" w14:textId="77777777" w:rsidR="00141B97" w:rsidRDefault="00911D63">
            <w:pPr>
              <w:pStyle w:val="TableParagraph"/>
              <w:numPr>
                <w:ilvl w:val="0"/>
                <w:numId w:val="34"/>
              </w:numPr>
              <w:tabs>
                <w:tab w:val="left" w:pos="457"/>
                <w:tab w:val="left" w:pos="458"/>
              </w:tabs>
              <w:spacing w:line="280" w:lineRule="exact"/>
              <w:ind w:left="457"/>
            </w:pPr>
            <w:r>
              <w:t>Delivery</w:t>
            </w:r>
            <w:r>
              <w:rPr>
                <w:spacing w:val="-7"/>
              </w:rPr>
              <w:t xml:space="preserve"> </w:t>
            </w:r>
            <w:r>
              <w:t>of</w:t>
            </w:r>
            <w:r>
              <w:rPr>
                <w:spacing w:val="-6"/>
              </w:rPr>
              <w:t xml:space="preserve"> </w:t>
            </w:r>
            <w:r>
              <w:t>the</w:t>
            </w:r>
            <w:r>
              <w:rPr>
                <w:spacing w:val="-8"/>
              </w:rPr>
              <w:t xml:space="preserve"> </w:t>
            </w:r>
            <w:r>
              <w:t>approved</w:t>
            </w:r>
            <w:r>
              <w:rPr>
                <w:spacing w:val="-7"/>
              </w:rPr>
              <w:t xml:space="preserve"> </w:t>
            </w:r>
            <w:r>
              <w:t>PS5</w:t>
            </w:r>
            <w:r>
              <w:rPr>
                <w:spacing w:val="-8"/>
              </w:rPr>
              <w:t xml:space="preserve"> </w:t>
            </w:r>
            <w:r>
              <w:t>price</w:t>
            </w:r>
            <w:r>
              <w:rPr>
                <w:spacing w:val="-8"/>
              </w:rPr>
              <w:t xml:space="preserve"> </w:t>
            </w:r>
            <w:r>
              <w:rPr>
                <w:spacing w:val="-2"/>
              </w:rPr>
              <w:t>determination</w:t>
            </w:r>
          </w:p>
          <w:p w14:paraId="06020D9A" w14:textId="77777777" w:rsidR="00141B97" w:rsidRDefault="00911D63">
            <w:pPr>
              <w:pStyle w:val="TableParagraph"/>
              <w:numPr>
                <w:ilvl w:val="0"/>
                <w:numId w:val="34"/>
              </w:numPr>
              <w:tabs>
                <w:tab w:val="left" w:pos="457"/>
                <w:tab w:val="left" w:pos="458"/>
              </w:tabs>
              <w:spacing w:line="280" w:lineRule="exact"/>
              <w:ind w:left="457"/>
            </w:pPr>
            <w:r>
              <w:t>Delivery</w:t>
            </w:r>
            <w:r>
              <w:rPr>
                <w:spacing w:val="-6"/>
              </w:rPr>
              <w:t xml:space="preserve"> </w:t>
            </w:r>
            <w:r>
              <w:t>of</w:t>
            </w:r>
            <w:r>
              <w:rPr>
                <w:spacing w:val="-5"/>
              </w:rPr>
              <w:t xml:space="preserve"> </w:t>
            </w:r>
            <w:r>
              <w:t>price</w:t>
            </w:r>
            <w:r>
              <w:rPr>
                <w:spacing w:val="-7"/>
              </w:rPr>
              <w:t xml:space="preserve"> </w:t>
            </w:r>
            <w:r>
              <w:t>path</w:t>
            </w:r>
            <w:r>
              <w:rPr>
                <w:spacing w:val="-6"/>
              </w:rPr>
              <w:t xml:space="preserve"> </w:t>
            </w:r>
            <w:r>
              <w:t>as</w:t>
            </w:r>
            <w:r>
              <w:rPr>
                <w:spacing w:val="-6"/>
              </w:rPr>
              <w:t xml:space="preserve"> </w:t>
            </w:r>
            <w:r>
              <w:t>described</w:t>
            </w:r>
            <w:r>
              <w:rPr>
                <w:spacing w:val="-7"/>
              </w:rPr>
              <w:t xml:space="preserve"> </w:t>
            </w:r>
            <w:r>
              <w:t>in</w:t>
            </w:r>
            <w:r>
              <w:rPr>
                <w:spacing w:val="-6"/>
              </w:rPr>
              <w:t xml:space="preserve"> </w:t>
            </w:r>
            <w:r>
              <w:t>Water</w:t>
            </w:r>
            <w:r>
              <w:rPr>
                <w:spacing w:val="-7"/>
              </w:rPr>
              <w:t xml:space="preserve"> </w:t>
            </w:r>
            <w:r>
              <w:t>Plan</w:t>
            </w:r>
            <w:r>
              <w:rPr>
                <w:spacing w:val="-7"/>
              </w:rPr>
              <w:t xml:space="preserve"> </w:t>
            </w:r>
            <w:r>
              <w:rPr>
                <w:spacing w:val="-10"/>
              </w:rPr>
              <w:t>5</w:t>
            </w:r>
          </w:p>
          <w:p w14:paraId="17D07D47" w14:textId="77777777" w:rsidR="00141B97" w:rsidRDefault="00911D63">
            <w:pPr>
              <w:pStyle w:val="TableParagraph"/>
              <w:numPr>
                <w:ilvl w:val="0"/>
                <w:numId w:val="34"/>
              </w:numPr>
              <w:tabs>
                <w:tab w:val="left" w:pos="457"/>
                <w:tab w:val="left" w:pos="458"/>
              </w:tabs>
              <w:spacing w:line="280" w:lineRule="exact"/>
              <w:ind w:left="457"/>
            </w:pPr>
            <w:r>
              <w:t>Delivery</w:t>
            </w:r>
            <w:r>
              <w:rPr>
                <w:spacing w:val="-7"/>
              </w:rPr>
              <w:t xml:space="preserve"> </w:t>
            </w:r>
            <w:r>
              <w:t>of</w:t>
            </w:r>
            <w:r>
              <w:rPr>
                <w:spacing w:val="-6"/>
              </w:rPr>
              <w:t xml:space="preserve"> </w:t>
            </w:r>
            <w:r>
              <w:t>the</w:t>
            </w:r>
            <w:r>
              <w:rPr>
                <w:spacing w:val="-8"/>
              </w:rPr>
              <w:t xml:space="preserve"> </w:t>
            </w:r>
            <w:r>
              <w:t>approved</w:t>
            </w:r>
            <w:r>
              <w:rPr>
                <w:spacing w:val="-7"/>
              </w:rPr>
              <w:t xml:space="preserve"> </w:t>
            </w:r>
            <w:r>
              <w:t>PS5</w:t>
            </w:r>
            <w:r>
              <w:rPr>
                <w:spacing w:val="-8"/>
              </w:rPr>
              <w:t xml:space="preserve"> </w:t>
            </w:r>
            <w:r>
              <w:t>price</w:t>
            </w:r>
            <w:r>
              <w:rPr>
                <w:spacing w:val="-8"/>
              </w:rPr>
              <w:t xml:space="preserve"> </w:t>
            </w:r>
            <w:r>
              <w:rPr>
                <w:spacing w:val="-2"/>
              </w:rPr>
              <w:t>determination</w:t>
            </w:r>
          </w:p>
          <w:p w14:paraId="3462C657" w14:textId="77777777" w:rsidR="00141B97" w:rsidRDefault="00911D63">
            <w:pPr>
              <w:pStyle w:val="TableParagraph"/>
              <w:numPr>
                <w:ilvl w:val="0"/>
                <w:numId w:val="34"/>
              </w:numPr>
              <w:tabs>
                <w:tab w:val="left" w:pos="457"/>
                <w:tab w:val="left" w:pos="458"/>
              </w:tabs>
              <w:spacing w:line="270" w:lineRule="atLeast"/>
              <w:ind w:right="147" w:hanging="360"/>
            </w:pPr>
            <w:r>
              <w:t>Delivery</w:t>
            </w:r>
            <w:r>
              <w:rPr>
                <w:spacing w:val="-1"/>
              </w:rPr>
              <w:t xml:space="preserve"> </w:t>
            </w:r>
            <w:r>
              <w:t>of</w:t>
            </w:r>
            <w:r>
              <w:rPr>
                <w:spacing w:val="-1"/>
              </w:rPr>
              <w:t xml:space="preserve"> </w:t>
            </w:r>
            <w:r>
              <w:t>top</w:t>
            </w:r>
            <w:r>
              <w:rPr>
                <w:spacing w:val="-3"/>
              </w:rPr>
              <w:t xml:space="preserve"> </w:t>
            </w:r>
            <w:r>
              <w:t>10</w:t>
            </w:r>
            <w:r>
              <w:rPr>
                <w:spacing w:val="-3"/>
              </w:rPr>
              <w:t xml:space="preserve"> </w:t>
            </w:r>
            <w:r>
              <w:t>capital</w:t>
            </w:r>
            <w:r>
              <w:rPr>
                <w:spacing w:val="-2"/>
              </w:rPr>
              <w:t xml:space="preserve"> </w:t>
            </w:r>
            <w:r>
              <w:t>projects</w:t>
            </w:r>
            <w:r>
              <w:rPr>
                <w:spacing w:val="-2"/>
              </w:rPr>
              <w:t xml:space="preserve"> </w:t>
            </w:r>
            <w:r>
              <w:t>on</w:t>
            </w:r>
            <w:r>
              <w:rPr>
                <w:spacing w:val="-2"/>
              </w:rPr>
              <w:t xml:space="preserve"> </w:t>
            </w:r>
            <w:r>
              <w:t>time</w:t>
            </w:r>
            <w:r>
              <w:rPr>
                <w:spacing w:val="-4"/>
              </w:rPr>
              <w:t xml:space="preserve"> </w:t>
            </w:r>
            <w:r>
              <w:t>and</w:t>
            </w:r>
            <w:r>
              <w:rPr>
                <w:spacing w:val="-2"/>
              </w:rPr>
              <w:t xml:space="preserve"> </w:t>
            </w:r>
            <w:r>
              <w:t>budget</w:t>
            </w:r>
            <w:r>
              <w:rPr>
                <w:spacing w:val="-2"/>
              </w:rPr>
              <w:t xml:space="preserve"> </w:t>
            </w:r>
            <w:r>
              <w:t>(budget</w:t>
            </w:r>
            <w:r>
              <w:rPr>
                <w:spacing w:val="-2"/>
              </w:rPr>
              <w:t xml:space="preserve"> </w:t>
            </w:r>
            <w:r>
              <w:t>set</w:t>
            </w:r>
            <w:r>
              <w:rPr>
                <w:spacing w:val="-2"/>
              </w:rPr>
              <w:t xml:space="preserve"> </w:t>
            </w:r>
            <w:r>
              <w:t>by</w:t>
            </w:r>
            <w:r>
              <w:rPr>
                <w:spacing w:val="-3"/>
              </w:rPr>
              <w:t xml:space="preserve"> </w:t>
            </w:r>
            <w:r>
              <w:t>annual corporate plan, timing set by price determination)</w:t>
            </w:r>
          </w:p>
        </w:tc>
      </w:tr>
      <w:tr w:rsidR="00141B97" w14:paraId="6D4EB4A8" w14:textId="77777777">
        <w:trPr>
          <w:trHeight w:val="4097"/>
        </w:trPr>
        <w:tc>
          <w:tcPr>
            <w:tcW w:w="2256" w:type="dxa"/>
            <w:tcBorders>
              <w:top w:val="single" w:sz="8" w:space="0" w:color="FFFFFF"/>
              <w:left w:val="nil"/>
              <w:bottom w:val="single" w:sz="8" w:space="0" w:color="FFFFFF"/>
              <w:right w:val="single" w:sz="8" w:space="0" w:color="FFFFFF"/>
            </w:tcBorders>
            <w:shd w:val="clear" w:color="auto" w:fill="CCE2ED"/>
          </w:tcPr>
          <w:p w14:paraId="1012F532" w14:textId="77777777" w:rsidR="00141B97" w:rsidRDefault="00911D63">
            <w:pPr>
              <w:pStyle w:val="TableParagraph"/>
              <w:spacing w:line="268" w:lineRule="exact"/>
              <w:ind w:left="88"/>
            </w:pPr>
            <w:r>
              <w:t>Major</w:t>
            </w:r>
            <w:r>
              <w:rPr>
                <w:spacing w:val="-10"/>
              </w:rPr>
              <w:t xml:space="preserve"> </w:t>
            </w:r>
            <w:r>
              <w:t>Change</w:t>
            </w:r>
            <w:r>
              <w:rPr>
                <w:spacing w:val="-10"/>
              </w:rPr>
              <w:t xml:space="preserve"> </w:t>
            </w:r>
            <w:r>
              <w:rPr>
                <w:spacing w:val="-2"/>
              </w:rPr>
              <w:t>Projects</w:t>
            </w:r>
          </w:p>
        </w:tc>
        <w:tc>
          <w:tcPr>
            <w:tcW w:w="7355" w:type="dxa"/>
            <w:tcBorders>
              <w:top w:val="single" w:sz="8" w:space="0" w:color="FFFFFF"/>
              <w:left w:val="single" w:sz="8" w:space="0" w:color="FFFFFF"/>
              <w:bottom w:val="single" w:sz="8" w:space="0" w:color="FFFFFF"/>
              <w:right w:val="nil"/>
            </w:tcBorders>
            <w:shd w:val="clear" w:color="auto" w:fill="CCE2ED"/>
          </w:tcPr>
          <w:p w14:paraId="4255455F" w14:textId="77777777" w:rsidR="00141B97" w:rsidRDefault="00911D63">
            <w:pPr>
              <w:pStyle w:val="TableParagraph"/>
              <w:numPr>
                <w:ilvl w:val="0"/>
                <w:numId w:val="33"/>
              </w:numPr>
              <w:tabs>
                <w:tab w:val="left" w:pos="457"/>
                <w:tab w:val="left" w:pos="458"/>
              </w:tabs>
              <w:ind w:right="366"/>
            </w:pPr>
            <w:r>
              <w:t>Investigate</w:t>
            </w:r>
            <w:r>
              <w:rPr>
                <w:spacing w:val="-3"/>
              </w:rPr>
              <w:t xml:space="preserve"> </w:t>
            </w:r>
            <w:r>
              <w:t>out‐of‐district</w:t>
            </w:r>
            <w:r>
              <w:rPr>
                <w:spacing w:val="-3"/>
              </w:rPr>
              <w:t xml:space="preserve"> </w:t>
            </w:r>
            <w:r>
              <w:t>extensions</w:t>
            </w:r>
            <w:r>
              <w:rPr>
                <w:spacing w:val="-4"/>
              </w:rPr>
              <w:t xml:space="preserve"> </w:t>
            </w:r>
            <w:r>
              <w:t>to</w:t>
            </w:r>
            <w:r>
              <w:rPr>
                <w:spacing w:val="-3"/>
              </w:rPr>
              <w:t xml:space="preserve"> </w:t>
            </w:r>
            <w:r>
              <w:t>enable</w:t>
            </w:r>
            <w:r>
              <w:rPr>
                <w:spacing w:val="-3"/>
              </w:rPr>
              <w:t xml:space="preserve"> </w:t>
            </w:r>
            <w:r>
              <w:t>reductions</w:t>
            </w:r>
            <w:r>
              <w:rPr>
                <w:spacing w:val="-4"/>
              </w:rPr>
              <w:t xml:space="preserve"> </w:t>
            </w:r>
            <w:r>
              <w:t>of</w:t>
            </w:r>
            <w:r>
              <w:rPr>
                <w:spacing w:val="-2"/>
              </w:rPr>
              <w:t xml:space="preserve"> </w:t>
            </w:r>
            <w:r>
              <w:t>tariffs</w:t>
            </w:r>
            <w:r>
              <w:rPr>
                <w:spacing w:val="-4"/>
              </w:rPr>
              <w:t xml:space="preserve"> </w:t>
            </w:r>
            <w:r>
              <w:t>in</w:t>
            </w:r>
            <w:r>
              <w:rPr>
                <w:spacing w:val="-3"/>
              </w:rPr>
              <w:t xml:space="preserve"> </w:t>
            </w:r>
            <w:r>
              <w:t xml:space="preserve">real </w:t>
            </w:r>
            <w:r>
              <w:rPr>
                <w:spacing w:val="-2"/>
              </w:rPr>
              <w:t>terms</w:t>
            </w:r>
          </w:p>
          <w:p w14:paraId="5C532EEB" w14:textId="77777777" w:rsidR="00141B97" w:rsidRDefault="00911D63">
            <w:pPr>
              <w:pStyle w:val="TableParagraph"/>
              <w:numPr>
                <w:ilvl w:val="0"/>
                <w:numId w:val="33"/>
              </w:numPr>
              <w:tabs>
                <w:tab w:val="left" w:pos="457"/>
                <w:tab w:val="left" w:pos="458"/>
              </w:tabs>
              <w:ind w:right="118"/>
            </w:pPr>
            <w:r>
              <w:t>Deliver</w:t>
            </w:r>
            <w:r>
              <w:rPr>
                <w:spacing w:val="-3"/>
              </w:rPr>
              <w:t xml:space="preserve"> </w:t>
            </w:r>
            <w:r>
              <w:t>Horizon</w:t>
            </w:r>
            <w:r>
              <w:rPr>
                <w:spacing w:val="-5"/>
              </w:rPr>
              <w:t xml:space="preserve"> </w:t>
            </w:r>
            <w:r>
              <w:t>2</w:t>
            </w:r>
            <w:r>
              <w:rPr>
                <w:spacing w:val="-3"/>
              </w:rPr>
              <w:t xml:space="preserve"> </w:t>
            </w:r>
            <w:r>
              <w:t>of</w:t>
            </w:r>
            <w:r>
              <w:rPr>
                <w:spacing w:val="-2"/>
              </w:rPr>
              <w:t xml:space="preserve"> </w:t>
            </w:r>
            <w:r>
              <w:t>the</w:t>
            </w:r>
            <w:r>
              <w:rPr>
                <w:spacing w:val="-5"/>
              </w:rPr>
              <w:t xml:space="preserve"> </w:t>
            </w:r>
            <w:r>
              <w:t>Business</w:t>
            </w:r>
            <w:r>
              <w:rPr>
                <w:spacing w:val="-3"/>
              </w:rPr>
              <w:t xml:space="preserve"> </w:t>
            </w:r>
            <w:r>
              <w:t>Transformation</w:t>
            </w:r>
            <w:r>
              <w:rPr>
                <w:spacing w:val="-2"/>
              </w:rPr>
              <w:t xml:space="preserve"> </w:t>
            </w:r>
            <w:r>
              <w:t>Program</w:t>
            </w:r>
            <w:r>
              <w:rPr>
                <w:spacing w:val="-3"/>
              </w:rPr>
              <w:t xml:space="preserve"> </w:t>
            </w:r>
            <w:r>
              <w:t>to</w:t>
            </w:r>
            <w:r>
              <w:rPr>
                <w:spacing w:val="-3"/>
              </w:rPr>
              <w:t xml:space="preserve"> </w:t>
            </w:r>
            <w:r>
              <w:t>drive</w:t>
            </w:r>
            <w:r>
              <w:rPr>
                <w:spacing w:val="-4"/>
              </w:rPr>
              <w:t xml:space="preserve"> </w:t>
            </w:r>
            <w:r>
              <w:t>efficiency and improve service delivery</w:t>
            </w:r>
          </w:p>
          <w:p w14:paraId="7E3BCC4D" w14:textId="77777777" w:rsidR="00141B97" w:rsidRDefault="00911D63">
            <w:pPr>
              <w:pStyle w:val="TableParagraph"/>
              <w:numPr>
                <w:ilvl w:val="0"/>
                <w:numId w:val="33"/>
              </w:numPr>
              <w:tabs>
                <w:tab w:val="left" w:pos="457"/>
                <w:tab w:val="left" w:pos="458"/>
              </w:tabs>
              <w:ind w:right="410"/>
            </w:pPr>
            <w:r>
              <w:t>Embed</w:t>
            </w:r>
            <w:r>
              <w:rPr>
                <w:spacing w:val="-5"/>
              </w:rPr>
              <w:t xml:space="preserve"> </w:t>
            </w:r>
            <w:r>
              <w:t>LMW’s</w:t>
            </w:r>
            <w:r>
              <w:rPr>
                <w:spacing w:val="-5"/>
              </w:rPr>
              <w:t xml:space="preserve"> </w:t>
            </w:r>
            <w:r>
              <w:t>Leadership</w:t>
            </w:r>
            <w:r>
              <w:rPr>
                <w:spacing w:val="-3"/>
              </w:rPr>
              <w:t xml:space="preserve"> </w:t>
            </w:r>
            <w:r>
              <w:t>and</w:t>
            </w:r>
            <w:r>
              <w:rPr>
                <w:spacing w:val="-5"/>
              </w:rPr>
              <w:t xml:space="preserve"> </w:t>
            </w:r>
            <w:r>
              <w:t>Talent</w:t>
            </w:r>
            <w:r>
              <w:rPr>
                <w:spacing w:val="-5"/>
              </w:rPr>
              <w:t xml:space="preserve"> </w:t>
            </w:r>
            <w:r>
              <w:t>Management</w:t>
            </w:r>
            <w:r>
              <w:rPr>
                <w:spacing w:val="-5"/>
              </w:rPr>
              <w:t xml:space="preserve"> </w:t>
            </w:r>
            <w:r>
              <w:t>Framework</w:t>
            </w:r>
            <w:r>
              <w:rPr>
                <w:spacing w:val="-3"/>
              </w:rPr>
              <w:t xml:space="preserve"> </w:t>
            </w:r>
            <w:r>
              <w:t>to</w:t>
            </w:r>
            <w:r>
              <w:rPr>
                <w:spacing w:val="-3"/>
              </w:rPr>
              <w:t xml:space="preserve"> </w:t>
            </w:r>
            <w:r>
              <w:t>ensure LMW staff have the right skills and capabilities</w:t>
            </w:r>
          </w:p>
          <w:p w14:paraId="5719AB7E" w14:textId="77777777" w:rsidR="00141B97" w:rsidRDefault="00911D63">
            <w:pPr>
              <w:pStyle w:val="TableParagraph"/>
              <w:numPr>
                <w:ilvl w:val="0"/>
                <w:numId w:val="33"/>
              </w:numPr>
              <w:tabs>
                <w:tab w:val="left" w:pos="457"/>
                <w:tab w:val="left" w:pos="458"/>
              </w:tabs>
              <w:ind w:right="221"/>
            </w:pPr>
            <w:r>
              <w:t>Manage delivery share use to promote regional growth through water security, attracting industry or supporting existing industry, regional development initiatives maximising the utilisation of existing irrigation networks,</w:t>
            </w:r>
            <w:r>
              <w:rPr>
                <w:spacing w:val="-5"/>
              </w:rPr>
              <w:t xml:space="preserve"> </w:t>
            </w:r>
            <w:r>
              <w:t>fostering</w:t>
            </w:r>
            <w:r>
              <w:rPr>
                <w:spacing w:val="-5"/>
              </w:rPr>
              <w:t xml:space="preserve"> </w:t>
            </w:r>
            <w:r>
              <w:t>crop</w:t>
            </w:r>
            <w:r>
              <w:rPr>
                <w:spacing w:val="-3"/>
              </w:rPr>
              <w:t xml:space="preserve"> </w:t>
            </w:r>
            <w:r>
              <w:t>diversity</w:t>
            </w:r>
            <w:r>
              <w:rPr>
                <w:spacing w:val="-4"/>
              </w:rPr>
              <w:t xml:space="preserve"> </w:t>
            </w:r>
            <w:r>
              <w:t>to</w:t>
            </w:r>
            <w:r>
              <w:rPr>
                <w:spacing w:val="-4"/>
              </w:rPr>
              <w:t xml:space="preserve"> </w:t>
            </w:r>
            <w:r>
              <w:t>enhance</w:t>
            </w:r>
            <w:r>
              <w:rPr>
                <w:spacing w:val="-5"/>
              </w:rPr>
              <w:t xml:space="preserve"> </w:t>
            </w:r>
            <w:r>
              <w:t>annual</w:t>
            </w:r>
            <w:r>
              <w:rPr>
                <w:spacing w:val="-5"/>
              </w:rPr>
              <w:t xml:space="preserve"> </w:t>
            </w:r>
            <w:r>
              <w:t>capacity</w:t>
            </w:r>
            <w:r>
              <w:rPr>
                <w:spacing w:val="-4"/>
              </w:rPr>
              <w:t xml:space="preserve"> </w:t>
            </w:r>
            <w:r>
              <w:t>management and customer economics</w:t>
            </w:r>
          </w:p>
          <w:p w14:paraId="0ED4F4FE" w14:textId="77777777" w:rsidR="00141B97" w:rsidRDefault="00911D63">
            <w:pPr>
              <w:pStyle w:val="TableParagraph"/>
              <w:numPr>
                <w:ilvl w:val="0"/>
                <w:numId w:val="33"/>
              </w:numPr>
              <w:tabs>
                <w:tab w:val="left" w:pos="457"/>
                <w:tab w:val="left" w:pos="458"/>
              </w:tabs>
              <w:ind w:right="262"/>
            </w:pPr>
            <w:r>
              <w:t>Develop</w:t>
            </w:r>
            <w:r>
              <w:rPr>
                <w:spacing w:val="-4"/>
              </w:rPr>
              <w:t xml:space="preserve"> </w:t>
            </w:r>
            <w:r>
              <w:t>innovative</w:t>
            </w:r>
            <w:r>
              <w:rPr>
                <w:spacing w:val="-4"/>
              </w:rPr>
              <w:t xml:space="preserve"> </w:t>
            </w:r>
            <w:r>
              <w:t>partnerships</w:t>
            </w:r>
            <w:r>
              <w:rPr>
                <w:spacing w:val="-4"/>
              </w:rPr>
              <w:t xml:space="preserve"> </w:t>
            </w:r>
            <w:r>
              <w:t>and</w:t>
            </w:r>
            <w:r>
              <w:rPr>
                <w:spacing w:val="-4"/>
              </w:rPr>
              <w:t xml:space="preserve"> </w:t>
            </w:r>
            <w:r>
              <w:t>shared</w:t>
            </w:r>
            <w:r>
              <w:rPr>
                <w:spacing w:val="-4"/>
              </w:rPr>
              <w:t xml:space="preserve"> </w:t>
            </w:r>
            <w:r>
              <w:t>services</w:t>
            </w:r>
            <w:r>
              <w:rPr>
                <w:spacing w:val="-4"/>
              </w:rPr>
              <w:t xml:space="preserve"> </w:t>
            </w:r>
            <w:r>
              <w:t>for</w:t>
            </w:r>
            <w:r>
              <w:rPr>
                <w:spacing w:val="-4"/>
              </w:rPr>
              <w:t xml:space="preserve"> </w:t>
            </w:r>
            <w:r>
              <w:t>support</w:t>
            </w:r>
            <w:r>
              <w:rPr>
                <w:spacing w:val="-5"/>
              </w:rPr>
              <w:t xml:space="preserve"> </w:t>
            </w:r>
            <w:r>
              <w:t>functions, and procurement collaboration to drive efficiencies in purchasing and delivering services</w:t>
            </w:r>
          </w:p>
          <w:p w14:paraId="1AC75D30" w14:textId="77777777" w:rsidR="00141B97" w:rsidRDefault="00911D63">
            <w:pPr>
              <w:pStyle w:val="TableParagraph"/>
              <w:numPr>
                <w:ilvl w:val="0"/>
                <w:numId w:val="33"/>
              </w:numPr>
              <w:tabs>
                <w:tab w:val="left" w:pos="457"/>
                <w:tab w:val="left" w:pos="458"/>
              </w:tabs>
              <w:spacing w:line="259" w:lineRule="exact"/>
            </w:pPr>
            <w:r>
              <w:t>Undertake</w:t>
            </w:r>
            <w:r>
              <w:rPr>
                <w:spacing w:val="-10"/>
              </w:rPr>
              <w:t xml:space="preserve"> </w:t>
            </w:r>
            <w:r>
              <w:t>annual</w:t>
            </w:r>
            <w:r>
              <w:rPr>
                <w:spacing w:val="-10"/>
              </w:rPr>
              <w:t xml:space="preserve"> </w:t>
            </w:r>
            <w:r>
              <w:t>tariff</w:t>
            </w:r>
            <w:r>
              <w:rPr>
                <w:spacing w:val="-10"/>
              </w:rPr>
              <w:t xml:space="preserve"> </w:t>
            </w:r>
            <w:r>
              <w:rPr>
                <w:spacing w:val="-2"/>
              </w:rPr>
              <w:t>reviews</w:t>
            </w:r>
          </w:p>
        </w:tc>
      </w:tr>
      <w:tr w:rsidR="00141B97" w14:paraId="723629EB" w14:textId="77777777">
        <w:trPr>
          <w:trHeight w:val="2207"/>
        </w:trPr>
        <w:tc>
          <w:tcPr>
            <w:tcW w:w="2256" w:type="dxa"/>
            <w:tcBorders>
              <w:top w:val="single" w:sz="8" w:space="0" w:color="FFFFFF"/>
              <w:left w:val="nil"/>
              <w:bottom w:val="single" w:sz="8" w:space="0" w:color="FFFFFF"/>
              <w:right w:val="single" w:sz="8" w:space="0" w:color="FFFFFF"/>
            </w:tcBorders>
            <w:shd w:val="clear" w:color="auto" w:fill="CCE2ED"/>
          </w:tcPr>
          <w:p w14:paraId="7F757009" w14:textId="77777777" w:rsidR="00141B97" w:rsidRDefault="00911D63">
            <w:pPr>
              <w:pStyle w:val="TableParagraph"/>
              <w:ind w:left="88"/>
            </w:pPr>
            <w:r>
              <w:t>Key</w:t>
            </w:r>
            <w:r>
              <w:rPr>
                <w:spacing w:val="-13"/>
              </w:rPr>
              <w:t xml:space="preserve"> </w:t>
            </w:r>
            <w:r>
              <w:t xml:space="preserve">Operational </w:t>
            </w:r>
            <w:r>
              <w:rPr>
                <w:spacing w:val="-2"/>
              </w:rPr>
              <w:t>Activities</w:t>
            </w:r>
          </w:p>
        </w:tc>
        <w:tc>
          <w:tcPr>
            <w:tcW w:w="7355" w:type="dxa"/>
            <w:tcBorders>
              <w:top w:val="single" w:sz="8" w:space="0" w:color="FFFFFF"/>
              <w:left w:val="single" w:sz="8" w:space="0" w:color="FFFFFF"/>
              <w:bottom w:val="single" w:sz="8" w:space="0" w:color="FFFFFF"/>
              <w:right w:val="nil"/>
            </w:tcBorders>
            <w:shd w:val="clear" w:color="auto" w:fill="CCE2ED"/>
          </w:tcPr>
          <w:p w14:paraId="575815C2" w14:textId="77777777" w:rsidR="00141B97" w:rsidRDefault="00911D63">
            <w:pPr>
              <w:pStyle w:val="TableParagraph"/>
              <w:numPr>
                <w:ilvl w:val="0"/>
                <w:numId w:val="32"/>
              </w:numPr>
              <w:tabs>
                <w:tab w:val="left" w:pos="457"/>
                <w:tab w:val="left" w:pos="458"/>
              </w:tabs>
              <w:ind w:right="548"/>
            </w:pPr>
            <w:r>
              <w:t>Provide</w:t>
            </w:r>
            <w:r>
              <w:rPr>
                <w:spacing w:val="-4"/>
              </w:rPr>
              <w:t xml:space="preserve"> </w:t>
            </w:r>
            <w:r>
              <w:t>guidance</w:t>
            </w:r>
            <w:r>
              <w:rPr>
                <w:spacing w:val="-4"/>
              </w:rPr>
              <w:t xml:space="preserve"> </w:t>
            </w:r>
            <w:r>
              <w:t>materials</w:t>
            </w:r>
            <w:r>
              <w:rPr>
                <w:spacing w:val="-2"/>
              </w:rPr>
              <w:t xml:space="preserve"> </w:t>
            </w:r>
            <w:r>
              <w:t>to</w:t>
            </w:r>
            <w:r>
              <w:rPr>
                <w:spacing w:val="-2"/>
              </w:rPr>
              <w:t xml:space="preserve"> </w:t>
            </w:r>
            <w:r>
              <w:t>assist</w:t>
            </w:r>
            <w:r>
              <w:rPr>
                <w:spacing w:val="-3"/>
              </w:rPr>
              <w:t xml:space="preserve"> </w:t>
            </w:r>
            <w:r>
              <w:t>in</w:t>
            </w:r>
            <w:r>
              <w:rPr>
                <w:spacing w:val="-3"/>
              </w:rPr>
              <w:t xml:space="preserve"> </w:t>
            </w:r>
            <w:r>
              <w:t>the</w:t>
            </w:r>
            <w:r>
              <w:rPr>
                <w:spacing w:val="-4"/>
              </w:rPr>
              <w:t xml:space="preserve"> </w:t>
            </w:r>
            <w:r>
              <w:t>understanding</w:t>
            </w:r>
            <w:r>
              <w:rPr>
                <w:spacing w:val="-4"/>
              </w:rPr>
              <w:t xml:space="preserve"> </w:t>
            </w:r>
            <w:r>
              <w:t>of</w:t>
            </w:r>
            <w:r>
              <w:rPr>
                <w:spacing w:val="-1"/>
              </w:rPr>
              <w:t xml:space="preserve"> </w:t>
            </w:r>
            <w:r>
              <w:t>all</w:t>
            </w:r>
            <w:r>
              <w:rPr>
                <w:spacing w:val="-4"/>
              </w:rPr>
              <w:t xml:space="preserve"> </w:t>
            </w:r>
            <w:r>
              <w:t>fees</w:t>
            </w:r>
            <w:r>
              <w:rPr>
                <w:spacing w:val="-1"/>
              </w:rPr>
              <w:t xml:space="preserve"> </w:t>
            </w:r>
            <w:r>
              <w:t>and charges associated with rural water services</w:t>
            </w:r>
          </w:p>
          <w:p w14:paraId="6947A37E" w14:textId="77777777" w:rsidR="00141B97" w:rsidRDefault="00911D63">
            <w:pPr>
              <w:pStyle w:val="TableParagraph"/>
              <w:numPr>
                <w:ilvl w:val="0"/>
                <w:numId w:val="32"/>
              </w:numPr>
              <w:tabs>
                <w:tab w:val="left" w:pos="457"/>
                <w:tab w:val="left" w:pos="458"/>
              </w:tabs>
              <w:spacing w:before="1"/>
              <w:ind w:right="565"/>
            </w:pPr>
            <w:r>
              <w:t>Maintain</w:t>
            </w:r>
            <w:r>
              <w:rPr>
                <w:spacing w:val="-3"/>
              </w:rPr>
              <w:t xml:space="preserve"> </w:t>
            </w:r>
            <w:r>
              <w:t>long</w:t>
            </w:r>
            <w:r>
              <w:rPr>
                <w:spacing w:val="-3"/>
              </w:rPr>
              <w:t xml:space="preserve"> </w:t>
            </w:r>
            <w:r>
              <w:t>term</w:t>
            </w:r>
            <w:r>
              <w:rPr>
                <w:spacing w:val="-3"/>
              </w:rPr>
              <w:t xml:space="preserve"> </w:t>
            </w:r>
            <w:r>
              <w:t>financial</w:t>
            </w:r>
            <w:r>
              <w:rPr>
                <w:spacing w:val="-5"/>
              </w:rPr>
              <w:t xml:space="preserve"> </w:t>
            </w:r>
            <w:r>
              <w:t>viability</w:t>
            </w:r>
            <w:r>
              <w:rPr>
                <w:spacing w:val="-3"/>
              </w:rPr>
              <w:t xml:space="preserve"> </w:t>
            </w:r>
            <w:r>
              <w:t>and</w:t>
            </w:r>
            <w:r>
              <w:rPr>
                <w:spacing w:val="-2"/>
              </w:rPr>
              <w:t xml:space="preserve"> </w:t>
            </w:r>
            <w:r>
              <w:t>sustainability</w:t>
            </w:r>
            <w:r>
              <w:rPr>
                <w:spacing w:val="-2"/>
              </w:rPr>
              <w:t xml:space="preserve"> </w:t>
            </w:r>
            <w:r>
              <w:t>through</w:t>
            </w:r>
            <w:r>
              <w:rPr>
                <w:spacing w:val="-5"/>
              </w:rPr>
              <w:t xml:space="preserve"> </w:t>
            </w:r>
            <w:r>
              <w:t>full</w:t>
            </w:r>
            <w:r>
              <w:rPr>
                <w:spacing w:val="-3"/>
              </w:rPr>
              <w:t xml:space="preserve"> </w:t>
            </w:r>
            <w:r>
              <w:t xml:space="preserve">cost </w:t>
            </w:r>
            <w:r>
              <w:rPr>
                <w:spacing w:val="-2"/>
              </w:rPr>
              <w:t>recovery</w:t>
            </w:r>
          </w:p>
          <w:p w14:paraId="7C5807D0" w14:textId="77777777" w:rsidR="00141B97" w:rsidRDefault="00911D63">
            <w:pPr>
              <w:pStyle w:val="TableParagraph"/>
              <w:numPr>
                <w:ilvl w:val="0"/>
                <w:numId w:val="32"/>
              </w:numPr>
              <w:tabs>
                <w:tab w:val="left" w:pos="457"/>
                <w:tab w:val="left" w:pos="458"/>
              </w:tabs>
              <w:spacing w:line="280" w:lineRule="exact"/>
            </w:pPr>
            <w:r>
              <w:t>Improve</w:t>
            </w:r>
            <w:r>
              <w:rPr>
                <w:spacing w:val="-7"/>
              </w:rPr>
              <w:t xml:space="preserve"> </w:t>
            </w:r>
            <w:r>
              <w:t>asset</w:t>
            </w:r>
            <w:r>
              <w:rPr>
                <w:spacing w:val="-7"/>
              </w:rPr>
              <w:t xml:space="preserve"> </w:t>
            </w:r>
            <w:r>
              <w:t>management</w:t>
            </w:r>
            <w:r>
              <w:rPr>
                <w:spacing w:val="-8"/>
              </w:rPr>
              <w:t xml:space="preserve"> </w:t>
            </w:r>
            <w:r>
              <w:t>system</w:t>
            </w:r>
            <w:r>
              <w:rPr>
                <w:spacing w:val="-6"/>
              </w:rPr>
              <w:t xml:space="preserve"> </w:t>
            </w:r>
            <w:r>
              <w:t>to</w:t>
            </w:r>
            <w:r>
              <w:rPr>
                <w:spacing w:val="-6"/>
              </w:rPr>
              <w:t xml:space="preserve"> </w:t>
            </w:r>
            <w:r>
              <w:t>optimise</w:t>
            </w:r>
            <w:r>
              <w:rPr>
                <w:spacing w:val="-7"/>
              </w:rPr>
              <w:t xml:space="preserve"> </w:t>
            </w:r>
            <w:r>
              <w:t>whole</w:t>
            </w:r>
            <w:r>
              <w:rPr>
                <w:spacing w:val="-7"/>
              </w:rPr>
              <w:t xml:space="preserve"> </w:t>
            </w:r>
            <w:r>
              <w:t>of</w:t>
            </w:r>
            <w:r>
              <w:rPr>
                <w:spacing w:val="-8"/>
              </w:rPr>
              <w:t xml:space="preserve"> </w:t>
            </w:r>
            <w:r>
              <w:t>life</w:t>
            </w:r>
            <w:r>
              <w:rPr>
                <w:spacing w:val="-7"/>
              </w:rPr>
              <w:t xml:space="preserve"> </w:t>
            </w:r>
            <w:r>
              <w:t>cycle</w:t>
            </w:r>
            <w:r>
              <w:rPr>
                <w:spacing w:val="-5"/>
              </w:rPr>
              <w:t xml:space="preserve"> </w:t>
            </w:r>
            <w:r>
              <w:rPr>
                <w:spacing w:val="-2"/>
              </w:rPr>
              <w:t>costs</w:t>
            </w:r>
          </w:p>
          <w:p w14:paraId="5830BE1B" w14:textId="77777777" w:rsidR="00141B97" w:rsidRDefault="00911D63">
            <w:pPr>
              <w:pStyle w:val="TableParagraph"/>
              <w:numPr>
                <w:ilvl w:val="0"/>
                <w:numId w:val="32"/>
              </w:numPr>
              <w:tabs>
                <w:tab w:val="left" w:pos="457"/>
                <w:tab w:val="left" w:pos="458"/>
              </w:tabs>
              <w:spacing w:line="280" w:lineRule="exact"/>
            </w:pPr>
            <w:r>
              <w:t>Promote</w:t>
            </w:r>
            <w:r>
              <w:rPr>
                <w:spacing w:val="-9"/>
              </w:rPr>
              <w:t xml:space="preserve"> </w:t>
            </w:r>
            <w:r>
              <w:t>growth</w:t>
            </w:r>
            <w:r>
              <w:rPr>
                <w:spacing w:val="-9"/>
              </w:rPr>
              <w:t xml:space="preserve"> </w:t>
            </w:r>
            <w:r>
              <w:t>by</w:t>
            </w:r>
            <w:r>
              <w:rPr>
                <w:spacing w:val="-8"/>
              </w:rPr>
              <w:t xml:space="preserve"> </w:t>
            </w:r>
            <w:r>
              <w:t>maximising</w:t>
            </w:r>
            <w:r>
              <w:rPr>
                <w:spacing w:val="-8"/>
              </w:rPr>
              <w:t xml:space="preserve"> </w:t>
            </w:r>
            <w:r>
              <w:t>utilisation</w:t>
            </w:r>
            <w:r>
              <w:rPr>
                <w:spacing w:val="-9"/>
              </w:rPr>
              <w:t xml:space="preserve"> </w:t>
            </w:r>
            <w:r>
              <w:t>of</w:t>
            </w:r>
            <w:r>
              <w:rPr>
                <w:spacing w:val="-8"/>
              </w:rPr>
              <w:t xml:space="preserve"> </w:t>
            </w:r>
            <w:r>
              <w:t>irrigation</w:t>
            </w:r>
            <w:r>
              <w:rPr>
                <w:spacing w:val="-8"/>
              </w:rPr>
              <w:t xml:space="preserve"> </w:t>
            </w:r>
            <w:r>
              <w:rPr>
                <w:spacing w:val="-2"/>
              </w:rPr>
              <w:t>networks</w:t>
            </w:r>
          </w:p>
          <w:p w14:paraId="60FA0246" w14:textId="77777777" w:rsidR="00141B97" w:rsidRDefault="00911D63">
            <w:pPr>
              <w:pStyle w:val="TableParagraph"/>
              <w:numPr>
                <w:ilvl w:val="0"/>
                <w:numId w:val="32"/>
              </w:numPr>
              <w:tabs>
                <w:tab w:val="left" w:pos="457"/>
                <w:tab w:val="left" w:pos="458"/>
              </w:tabs>
              <w:spacing w:line="270" w:lineRule="atLeast"/>
              <w:ind w:right="148"/>
            </w:pPr>
            <w:r>
              <w:t>Improve</w:t>
            </w:r>
            <w:r>
              <w:rPr>
                <w:spacing w:val="-3"/>
              </w:rPr>
              <w:t xml:space="preserve"> </w:t>
            </w:r>
            <w:r>
              <w:t>capability</w:t>
            </w:r>
            <w:r>
              <w:rPr>
                <w:spacing w:val="-3"/>
              </w:rPr>
              <w:t xml:space="preserve"> </w:t>
            </w:r>
            <w:r>
              <w:t>of</w:t>
            </w:r>
            <w:r>
              <w:rPr>
                <w:spacing w:val="-4"/>
              </w:rPr>
              <w:t xml:space="preserve"> </w:t>
            </w:r>
            <w:r>
              <w:t>LMW’s</w:t>
            </w:r>
            <w:r>
              <w:rPr>
                <w:spacing w:val="-4"/>
              </w:rPr>
              <w:t xml:space="preserve"> </w:t>
            </w:r>
            <w:r>
              <w:t>workforce</w:t>
            </w:r>
            <w:r>
              <w:rPr>
                <w:spacing w:val="-4"/>
              </w:rPr>
              <w:t xml:space="preserve"> </w:t>
            </w:r>
            <w:r>
              <w:t>to</w:t>
            </w:r>
            <w:r>
              <w:rPr>
                <w:spacing w:val="-3"/>
              </w:rPr>
              <w:t xml:space="preserve"> </w:t>
            </w:r>
            <w:r>
              <w:t>ensure</w:t>
            </w:r>
            <w:r>
              <w:rPr>
                <w:spacing w:val="-4"/>
              </w:rPr>
              <w:t xml:space="preserve"> </w:t>
            </w:r>
            <w:r>
              <w:t>services</w:t>
            </w:r>
            <w:r>
              <w:rPr>
                <w:spacing w:val="-3"/>
              </w:rPr>
              <w:t xml:space="preserve"> </w:t>
            </w:r>
            <w:r>
              <w:t>are</w:t>
            </w:r>
            <w:r>
              <w:rPr>
                <w:spacing w:val="-3"/>
              </w:rPr>
              <w:t xml:space="preserve"> </w:t>
            </w:r>
            <w:r>
              <w:t>delivered</w:t>
            </w:r>
            <w:r>
              <w:rPr>
                <w:spacing w:val="-5"/>
              </w:rPr>
              <w:t xml:space="preserve"> </w:t>
            </w:r>
            <w:r>
              <w:t>first time right</w:t>
            </w:r>
          </w:p>
        </w:tc>
      </w:tr>
      <w:tr w:rsidR="00141B97" w14:paraId="6A47922B" w14:textId="77777777">
        <w:trPr>
          <w:trHeight w:val="1365"/>
        </w:trPr>
        <w:tc>
          <w:tcPr>
            <w:tcW w:w="2256" w:type="dxa"/>
            <w:tcBorders>
              <w:top w:val="single" w:sz="8" w:space="0" w:color="FFFFFF"/>
              <w:left w:val="nil"/>
              <w:bottom w:val="nil"/>
              <w:right w:val="single" w:sz="8" w:space="0" w:color="FFFFFF"/>
            </w:tcBorders>
            <w:shd w:val="clear" w:color="auto" w:fill="CCE2ED"/>
          </w:tcPr>
          <w:p w14:paraId="22F30B31" w14:textId="77777777" w:rsidR="00141B97" w:rsidRDefault="00911D63">
            <w:pPr>
              <w:pStyle w:val="TableParagraph"/>
              <w:spacing w:line="268" w:lineRule="exact"/>
              <w:ind w:left="88"/>
            </w:pPr>
            <w:r>
              <w:rPr>
                <w:spacing w:val="-2"/>
              </w:rPr>
              <w:t>Inputs</w:t>
            </w:r>
          </w:p>
          <w:p w14:paraId="61012327" w14:textId="77777777" w:rsidR="00141B97" w:rsidRDefault="00911D63">
            <w:pPr>
              <w:pStyle w:val="TableParagraph"/>
              <w:numPr>
                <w:ilvl w:val="0"/>
                <w:numId w:val="31"/>
              </w:numPr>
              <w:tabs>
                <w:tab w:val="left" w:pos="808"/>
                <w:tab w:val="left" w:pos="809"/>
              </w:tabs>
              <w:ind w:right="378"/>
            </w:pPr>
            <w:r>
              <w:rPr>
                <w:spacing w:val="-4"/>
              </w:rPr>
              <w:t xml:space="preserve">Cost </w:t>
            </w:r>
            <w:r>
              <w:rPr>
                <w:spacing w:val="-2"/>
              </w:rPr>
              <w:t>movements</w:t>
            </w:r>
          </w:p>
          <w:p w14:paraId="03AE6C88" w14:textId="77777777" w:rsidR="00141B97" w:rsidRDefault="00911D63">
            <w:pPr>
              <w:pStyle w:val="TableParagraph"/>
              <w:numPr>
                <w:ilvl w:val="0"/>
                <w:numId w:val="31"/>
              </w:numPr>
              <w:tabs>
                <w:tab w:val="left" w:pos="808"/>
                <w:tab w:val="left" w:pos="809"/>
              </w:tabs>
              <w:spacing w:line="268" w:lineRule="exact"/>
              <w:ind w:right="523"/>
            </w:pPr>
            <w:r>
              <w:rPr>
                <w:spacing w:val="-2"/>
              </w:rPr>
              <w:t>Resources required</w:t>
            </w:r>
          </w:p>
        </w:tc>
        <w:tc>
          <w:tcPr>
            <w:tcW w:w="7355" w:type="dxa"/>
            <w:tcBorders>
              <w:top w:val="single" w:sz="8" w:space="0" w:color="FFFFFF"/>
              <w:left w:val="single" w:sz="8" w:space="0" w:color="FFFFFF"/>
              <w:bottom w:val="nil"/>
              <w:right w:val="nil"/>
            </w:tcBorders>
            <w:shd w:val="clear" w:color="auto" w:fill="CCE2ED"/>
          </w:tcPr>
          <w:p w14:paraId="55865D52" w14:textId="77777777" w:rsidR="00141B97" w:rsidRDefault="00911D63">
            <w:pPr>
              <w:pStyle w:val="TableParagraph"/>
              <w:numPr>
                <w:ilvl w:val="0"/>
                <w:numId w:val="30"/>
              </w:numPr>
              <w:tabs>
                <w:tab w:val="left" w:pos="457"/>
                <w:tab w:val="left" w:pos="458"/>
              </w:tabs>
              <w:spacing w:line="280" w:lineRule="exact"/>
            </w:pPr>
            <w:r>
              <w:t>Business</w:t>
            </w:r>
            <w:r>
              <w:rPr>
                <w:spacing w:val="-8"/>
              </w:rPr>
              <w:t xml:space="preserve"> </w:t>
            </w:r>
            <w:r>
              <w:t>Transformation</w:t>
            </w:r>
            <w:r>
              <w:rPr>
                <w:spacing w:val="-6"/>
              </w:rPr>
              <w:t xml:space="preserve"> </w:t>
            </w:r>
            <w:r>
              <w:t>Horizon</w:t>
            </w:r>
            <w:r>
              <w:rPr>
                <w:spacing w:val="-7"/>
              </w:rPr>
              <w:t xml:space="preserve"> </w:t>
            </w:r>
            <w:r>
              <w:t>2</w:t>
            </w:r>
            <w:r>
              <w:rPr>
                <w:spacing w:val="-8"/>
              </w:rPr>
              <w:t xml:space="preserve"> </w:t>
            </w:r>
            <w:r>
              <w:t>total</w:t>
            </w:r>
            <w:r>
              <w:rPr>
                <w:spacing w:val="-8"/>
              </w:rPr>
              <w:t xml:space="preserve"> </w:t>
            </w:r>
            <w:r>
              <w:t>investment</w:t>
            </w:r>
            <w:r>
              <w:rPr>
                <w:spacing w:val="-7"/>
              </w:rPr>
              <w:t xml:space="preserve"> </w:t>
            </w:r>
            <w:r>
              <w:t>of</w:t>
            </w:r>
            <w:r>
              <w:rPr>
                <w:spacing w:val="-7"/>
              </w:rPr>
              <w:t xml:space="preserve"> </w:t>
            </w:r>
            <w:r>
              <w:rPr>
                <w:spacing w:val="-2"/>
              </w:rPr>
              <w:t>$2.86m</w:t>
            </w:r>
          </w:p>
          <w:p w14:paraId="1EB6EA4F" w14:textId="77777777" w:rsidR="00141B97" w:rsidRDefault="00911D63">
            <w:pPr>
              <w:pStyle w:val="TableParagraph"/>
              <w:numPr>
                <w:ilvl w:val="0"/>
                <w:numId w:val="30"/>
              </w:numPr>
              <w:tabs>
                <w:tab w:val="left" w:pos="457"/>
                <w:tab w:val="left" w:pos="458"/>
              </w:tabs>
            </w:pPr>
            <w:r>
              <w:t>Infrastructure</w:t>
            </w:r>
            <w:r>
              <w:rPr>
                <w:spacing w:val="-11"/>
              </w:rPr>
              <w:t xml:space="preserve"> </w:t>
            </w:r>
            <w:r>
              <w:t>renewal</w:t>
            </w:r>
            <w:r>
              <w:rPr>
                <w:spacing w:val="-10"/>
              </w:rPr>
              <w:t xml:space="preserve"> </w:t>
            </w:r>
            <w:r>
              <w:t>program</w:t>
            </w:r>
            <w:r>
              <w:rPr>
                <w:spacing w:val="-11"/>
              </w:rPr>
              <w:t xml:space="preserve"> </w:t>
            </w:r>
            <w:r>
              <w:t>investment</w:t>
            </w:r>
            <w:r>
              <w:rPr>
                <w:spacing w:val="-10"/>
              </w:rPr>
              <w:t xml:space="preserve"> </w:t>
            </w:r>
            <w:r>
              <w:t>of</w:t>
            </w:r>
            <w:r>
              <w:rPr>
                <w:spacing w:val="-11"/>
              </w:rPr>
              <w:t xml:space="preserve"> </w:t>
            </w:r>
            <w:r>
              <w:t>$22.91m</w:t>
            </w:r>
            <w:r>
              <w:rPr>
                <w:spacing w:val="-11"/>
              </w:rPr>
              <w:t xml:space="preserve"> </w:t>
            </w:r>
            <w:r>
              <w:t>over</w:t>
            </w:r>
            <w:r>
              <w:rPr>
                <w:spacing w:val="-11"/>
              </w:rPr>
              <w:t xml:space="preserve"> </w:t>
            </w:r>
            <w:r>
              <w:rPr>
                <w:spacing w:val="-5"/>
              </w:rPr>
              <w:t>PS5</w:t>
            </w:r>
          </w:p>
        </w:tc>
      </w:tr>
    </w:tbl>
    <w:p w14:paraId="56BF61AC" w14:textId="77777777" w:rsidR="00141B97" w:rsidRDefault="00911D63">
      <w:pPr>
        <w:spacing w:before="21"/>
        <w:ind w:left="114"/>
        <w:rPr>
          <w:sz w:val="16"/>
        </w:rPr>
      </w:pPr>
      <w:r>
        <w:rPr>
          <w:sz w:val="16"/>
        </w:rPr>
        <w:t>Table</w:t>
      </w:r>
      <w:r>
        <w:rPr>
          <w:spacing w:val="-4"/>
          <w:sz w:val="16"/>
        </w:rPr>
        <w:t xml:space="preserve"> </w:t>
      </w:r>
      <w:r>
        <w:rPr>
          <w:sz w:val="16"/>
        </w:rPr>
        <w:t>C10:</w:t>
      </w:r>
      <w:r>
        <w:rPr>
          <w:spacing w:val="-4"/>
          <w:sz w:val="16"/>
        </w:rPr>
        <w:t xml:space="preserve"> </w:t>
      </w:r>
      <w:r>
        <w:rPr>
          <w:sz w:val="16"/>
        </w:rPr>
        <w:t>Outcome</w:t>
      </w:r>
      <w:r>
        <w:rPr>
          <w:spacing w:val="-4"/>
          <w:sz w:val="16"/>
        </w:rPr>
        <w:t xml:space="preserve"> </w:t>
      </w:r>
      <w:r>
        <w:rPr>
          <w:sz w:val="16"/>
        </w:rPr>
        <w:t>1</w:t>
      </w:r>
      <w:r>
        <w:rPr>
          <w:spacing w:val="-5"/>
          <w:sz w:val="16"/>
        </w:rPr>
        <w:t xml:space="preserve"> </w:t>
      </w:r>
      <w:r>
        <w:rPr>
          <w:sz w:val="16"/>
        </w:rPr>
        <w:t>‐</w:t>
      </w:r>
      <w:r>
        <w:rPr>
          <w:spacing w:val="-6"/>
          <w:sz w:val="16"/>
        </w:rPr>
        <w:t xml:space="preserve"> </w:t>
      </w:r>
      <w:r>
        <w:rPr>
          <w:sz w:val="16"/>
        </w:rPr>
        <w:t>Services</w:t>
      </w:r>
      <w:r>
        <w:rPr>
          <w:spacing w:val="-7"/>
          <w:sz w:val="16"/>
        </w:rPr>
        <w:t xml:space="preserve"> </w:t>
      </w:r>
      <w:r>
        <w:rPr>
          <w:sz w:val="16"/>
        </w:rPr>
        <w:t>Provide</w:t>
      </w:r>
      <w:r>
        <w:rPr>
          <w:spacing w:val="-5"/>
          <w:sz w:val="16"/>
        </w:rPr>
        <w:t xml:space="preserve"> </w:t>
      </w:r>
      <w:r>
        <w:rPr>
          <w:sz w:val="16"/>
        </w:rPr>
        <w:t>Customers</w:t>
      </w:r>
      <w:r>
        <w:rPr>
          <w:spacing w:val="-6"/>
          <w:sz w:val="16"/>
        </w:rPr>
        <w:t xml:space="preserve"> </w:t>
      </w:r>
      <w:r>
        <w:rPr>
          <w:sz w:val="16"/>
        </w:rPr>
        <w:t>Value</w:t>
      </w:r>
      <w:r>
        <w:rPr>
          <w:spacing w:val="-5"/>
          <w:sz w:val="16"/>
        </w:rPr>
        <w:t xml:space="preserve"> </w:t>
      </w:r>
      <w:r>
        <w:rPr>
          <w:sz w:val="16"/>
        </w:rPr>
        <w:t>for</w:t>
      </w:r>
      <w:r>
        <w:rPr>
          <w:spacing w:val="-6"/>
          <w:sz w:val="16"/>
        </w:rPr>
        <w:t xml:space="preserve"> </w:t>
      </w:r>
      <w:r>
        <w:rPr>
          <w:spacing w:val="-4"/>
          <w:sz w:val="16"/>
        </w:rPr>
        <w:t>Money</w:t>
      </w:r>
    </w:p>
    <w:p w14:paraId="0712EC76" w14:textId="77777777" w:rsidR="00141B97" w:rsidRDefault="00141B97">
      <w:pPr>
        <w:rPr>
          <w:sz w:val="16"/>
        </w:rPr>
        <w:sectPr w:rsidR="00141B97">
          <w:pgSz w:w="11910" w:h="16840"/>
          <w:pgMar w:top="820" w:right="40" w:bottom="780" w:left="1020" w:header="0" w:footer="586" w:gutter="0"/>
          <w:cols w:space="720"/>
        </w:sectPr>
      </w:pPr>
    </w:p>
    <w:p w14:paraId="7C0630B2" w14:textId="77777777" w:rsidR="00141B97" w:rsidRDefault="00911D63">
      <w:pPr>
        <w:pStyle w:val="BodyText"/>
        <w:spacing w:before="41"/>
        <w:ind w:left="114"/>
      </w:pPr>
      <w:r>
        <w:lastRenderedPageBreak/>
        <w:t>Outcome</w:t>
      </w:r>
      <w:r>
        <w:rPr>
          <w:spacing w:val="-6"/>
        </w:rPr>
        <w:t xml:space="preserve"> </w:t>
      </w:r>
      <w:r>
        <w:t>2:</w:t>
      </w:r>
      <w:r>
        <w:rPr>
          <w:spacing w:val="-6"/>
        </w:rPr>
        <w:t xml:space="preserve"> </w:t>
      </w:r>
      <w:r>
        <w:t>Provide</w:t>
      </w:r>
      <w:r>
        <w:rPr>
          <w:spacing w:val="-7"/>
        </w:rPr>
        <w:t xml:space="preserve"> </w:t>
      </w:r>
      <w:r>
        <w:t>customers</w:t>
      </w:r>
      <w:r>
        <w:rPr>
          <w:spacing w:val="-5"/>
        </w:rPr>
        <w:t xml:space="preserve"> </w:t>
      </w:r>
      <w:r>
        <w:t>with</w:t>
      </w:r>
      <w:r>
        <w:rPr>
          <w:spacing w:val="-5"/>
        </w:rPr>
        <w:t xml:space="preserve"> </w:t>
      </w:r>
      <w:r>
        <w:t>water</w:t>
      </w:r>
      <w:r>
        <w:rPr>
          <w:spacing w:val="-6"/>
        </w:rPr>
        <w:t xml:space="preserve"> </w:t>
      </w:r>
      <w:r>
        <w:t>when</w:t>
      </w:r>
      <w:r>
        <w:rPr>
          <w:spacing w:val="-6"/>
        </w:rPr>
        <w:t xml:space="preserve"> </w:t>
      </w:r>
      <w:r>
        <w:t>they</w:t>
      </w:r>
      <w:r>
        <w:rPr>
          <w:spacing w:val="-6"/>
        </w:rPr>
        <w:t xml:space="preserve"> </w:t>
      </w:r>
      <w:r>
        <w:t>need</w:t>
      </w:r>
      <w:r>
        <w:rPr>
          <w:spacing w:val="-5"/>
        </w:rPr>
        <w:t xml:space="preserve"> it</w:t>
      </w:r>
    </w:p>
    <w:p w14:paraId="148727F5" w14:textId="77777777" w:rsidR="00141B97" w:rsidRDefault="00141B97">
      <w:pPr>
        <w:pStyle w:val="BodyText"/>
        <w:spacing w:before="7"/>
        <w:rPr>
          <w:sz w:val="1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283"/>
        <w:gridCol w:w="7382"/>
      </w:tblGrid>
      <w:tr w:rsidR="00141B97" w14:paraId="54BD03D6" w14:textId="77777777">
        <w:trPr>
          <w:trHeight w:val="538"/>
          <w:tblCellSpacing w:w="9" w:type="dxa"/>
        </w:trPr>
        <w:tc>
          <w:tcPr>
            <w:tcW w:w="2256" w:type="dxa"/>
            <w:tcBorders>
              <w:top w:val="nil"/>
              <w:left w:val="nil"/>
            </w:tcBorders>
            <w:shd w:val="clear" w:color="auto" w:fill="006CA3"/>
          </w:tcPr>
          <w:p w14:paraId="2014AF42" w14:textId="77777777" w:rsidR="00141B97" w:rsidRDefault="00911D63">
            <w:pPr>
              <w:pStyle w:val="TableParagraph"/>
              <w:spacing w:line="270" w:lineRule="atLeast"/>
              <w:ind w:left="88"/>
            </w:pPr>
            <w:r>
              <w:rPr>
                <w:color w:val="FFFFFF"/>
              </w:rPr>
              <w:t>What</w:t>
            </w:r>
            <w:r>
              <w:rPr>
                <w:color w:val="FFFFFF"/>
                <w:spacing w:val="-10"/>
              </w:rPr>
              <w:t xml:space="preserve"> </w:t>
            </w:r>
            <w:r>
              <w:rPr>
                <w:color w:val="FFFFFF"/>
              </w:rPr>
              <w:t>customers</w:t>
            </w:r>
            <w:r>
              <w:rPr>
                <w:color w:val="FFFFFF"/>
                <w:spacing w:val="-7"/>
              </w:rPr>
              <w:t xml:space="preserve"> </w:t>
            </w:r>
            <w:r>
              <w:rPr>
                <w:color w:val="FFFFFF"/>
              </w:rPr>
              <w:t xml:space="preserve">will </w:t>
            </w:r>
            <w:r>
              <w:rPr>
                <w:color w:val="FFFFFF"/>
                <w:spacing w:val="-2"/>
              </w:rPr>
              <w:t>receive</w:t>
            </w:r>
          </w:p>
        </w:tc>
        <w:tc>
          <w:tcPr>
            <w:tcW w:w="7355" w:type="dxa"/>
            <w:tcBorders>
              <w:top w:val="nil"/>
              <w:right w:val="nil"/>
            </w:tcBorders>
            <w:shd w:val="clear" w:color="auto" w:fill="006CA3"/>
          </w:tcPr>
          <w:p w14:paraId="549434DE" w14:textId="77777777" w:rsidR="00141B97" w:rsidRDefault="00911D63">
            <w:pPr>
              <w:pStyle w:val="TableParagraph"/>
              <w:spacing w:before="136"/>
              <w:ind w:left="98"/>
            </w:pPr>
            <w:r>
              <w:rPr>
                <w:color w:val="FFFFFF"/>
              </w:rPr>
              <w:t>Outcome</w:t>
            </w:r>
            <w:r>
              <w:rPr>
                <w:color w:val="FFFFFF"/>
                <w:spacing w:val="-6"/>
              </w:rPr>
              <w:t xml:space="preserve"> </w:t>
            </w:r>
            <w:r>
              <w:rPr>
                <w:color w:val="FFFFFF"/>
              </w:rPr>
              <w:t>2:</w:t>
            </w:r>
            <w:r>
              <w:rPr>
                <w:color w:val="FFFFFF"/>
                <w:spacing w:val="-6"/>
              </w:rPr>
              <w:t xml:space="preserve"> </w:t>
            </w:r>
            <w:r>
              <w:rPr>
                <w:color w:val="FFFFFF"/>
              </w:rPr>
              <w:t>Provide</w:t>
            </w:r>
            <w:r>
              <w:rPr>
                <w:color w:val="FFFFFF"/>
                <w:spacing w:val="-7"/>
              </w:rPr>
              <w:t xml:space="preserve"> </w:t>
            </w:r>
            <w:r>
              <w:rPr>
                <w:color w:val="FFFFFF"/>
              </w:rPr>
              <w:t>customers</w:t>
            </w:r>
            <w:r>
              <w:rPr>
                <w:color w:val="FFFFFF"/>
                <w:spacing w:val="-5"/>
              </w:rPr>
              <w:t xml:space="preserve"> </w:t>
            </w:r>
            <w:r>
              <w:rPr>
                <w:color w:val="FFFFFF"/>
              </w:rPr>
              <w:t>with</w:t>
            </w:r>
            <w:r>
              <w:rPr>
                <w:color w:val="FFFFFF"/>
                <w:spacing w:val="-5"/>
              </w:rPr>
              <w:t xml:space="preserve"> </w:t>
            </w:r>
            <w:r>
              <w:rPr>
                <w:color w:val="FFFFFF"/>
              </w:rPr>
              <w:t>water</w:t>
            </w:r>
            <w:r>
              <w:rPr>
                <w:color w:val="FFFFFF"/>
                <w:spacing w:val="-6"/>
              </w:rPr>
              <w:t xml:space="preserve"> </w:t>
            </w:r>
            <w:r>
              <w:rPr>
                <w:color w:val="FFFFFF"/>
              </w:rPr>
              <w:t>when</w:t>
            </w:r>
            <w:r>
              <w:rPr>
                <w:color w:val="FFFFFF"/>
                <w:spacing w:val="-6"/>
              </w:rPr>
              <w:t xml:space="preserve"> </w:t>
            </w:r>
            <w:r>
              <w:rPr>
                <w:color w:val="FFFFFF"/>
              </w:rPr>
              <w:t>they</w:t>
            </w:r>
            <w:r>
              <w:rPr>
                <w:color w:val="FFFFFF"/>
                <w:spacing w:val="-6"/>
              </w:rPr>
              <w:t xml:space="preserve"> </w:t>
            </w:r>
            <w:r>
              <w:rPr>
                <w:color w:val="FFFFFF"/>
              </w:rPr>
              <w:t>need</w:t>
            </w:r>
            <w:r>
              <w:rPr>
                <w:color w:val="FFFFFF"/>
                <w:spacing w:val="-5"/>
              </w:rPr>
              <w:t xml:space="preserve"> it</w:t>
            </w:r>
          </w:p>
        </w:tc>
      </w:tr>
      <w:tr w:rsidR="00141B97" w14:paraId="119B0CCF" w14:textId="77777777">
        <w:trPr>
          <w:trHeight w:val="1482"/>
          <w:tblCellSpacing w:w="9" w:type="dxa"/>
        </w:trPr>
        <w:tc>
          <w:tcPr>
            <w:tcW w:w="2256" w:type="dxa"/>
            <w:tcBorders>
              <w:left w:val="nil"/>
            </w:tcBorders>
            <w:shd w:val="clear" w:color="auto" w:fill="CCE2ED"/>
          </w:tcPr>
          <w:p w14:paraId="724904C0" w14:textId="77777777" w:rsidR="00141B97" w:rsidRDefault="00911D63">
            <w:pPr>
              <w:pStyle w:val="TableParagraph"/>
              <w:ind w:left="88" w:right="207"/>
            </w:pPr>
            <w:r>
              <w:rPr>
                <w:spacing w:val="-2"/>
              </w:rPr>
              <w:t xml:space="preserve">Performance </w:t>
            </w:r>
            <w:r>
              <w:t>measures</w:t>
            </w:r>
            <w:r>
              <w:rPr>
                <w:spacing w:val="-9"/>
              </w:rPr>
              <w:t xml:space="preserve"> </w:t>
            </w:r>
            <w:r>
              <w:t>and</w:t>
            </w:r>
            <w:r>
              <w:rPr>
                <w:spacing w:val="-10"/>
              </w:rPr>
              <w:t xml:space="preserve"> </w:t>
            </w:r>
            <w:r>
              <w:t>targets</w:t>
            </w:r>
          </w:p>
        </w:tc>
        <w:tc>
          <w:tcPr>
            <w:tcW w:w="7355" w:type="dxa"/>
            <w:tcBorders>
              <w:right w:val="nil"/>
            </w:tcBorders>
            <w:shd w:val="clear" w:color="auto" w:fill="CCE2ED"/>
          </w:tcPr>
          <w:p w14:paraId="76483C0C" w14:textId="77777777" w:rsidR="00141B97" w:rsidRDefault="00911D63">
            <w:pPr>
              <w:pStyle w:val="TableParagraph"/>
              <w:numPr>
                <w:ilvl w:val="0"/>
                <w:numId w:val="29"/>
              </w:numPr>
              <w:tabs>
                <w:tab w:val="left" w:pos="457"/>
                <w:tab w:val="left" w:pos="458"/>
              </w:tabs>
              <w:spacing w:line="279" w:lineRule="exact"/>
            </w:pPr>
            <w:r>
              <w:t>Deliver</w:t>
            </w:r>
            <w:r>
              <w:rPr>
                <w:spacing w:val="-7"/>
              </w:rPr>
              <w:t xml:space="preserve"> </w:t>
            </w:r>
            <w:r>
              <w:t>water</w:t>
            </w:r>
            <w:r>
              <w:rPr>
                <w:spacing w:val="-5"/>
              </w:rPr>
              <w:t xml:space="preserve"> </w:t>
            </w:r>
            <w:r>
              <w:t>orders</w:t>
            </w:r>
            <w:r>
              <w:rPr>
                <w:spacing w:val="-4"/>
              </w:rPr>
              <w:t xml:space="preserve"> </w:t>
            </w:r>
            <w:r>
              <w:t>on</w:t>
            </w:r>
            <w:r>
              <w:rPr>
                <w:spacing w:val="-5"/>
              </w:rPr>
              <w:t xml:space="preserve"> </w:t>
            </w:r>
            <w:r>
              <w:t>time</w:t>
            </w:r>
            <w:r>
              <w:rPr>
                <w:spacing w:val="-6"/>
              </w:rPr>
              <w:t xml:space="preserve"> </w:t>
            </w:r>
            <w:r>
              <w:t>–</w:t>
            </w:r>
            <w:r>
              <w:rPr>
                <w:spacing w:val="-5"/>
              </w:rPr>
              <w:t xml:space="preserve"> </w:t>
            </w:r>
            <w:r>
              <w:t>Target</w:t>
            </w:r>
            <w:r>
              <w:rPr>
                <w:spacing w:val="-6"/>
              </w:rPr>
              <w:t xml:space="preserve"> </w:t>
            </w:r>
            <w:r>
              <w:t>=</w:t>
            </w:r>
            <w:r>
              <w:rPr>
                <w:spacing w:val="-5"/>
              </w:rPr>
              <w:t xml:space="preserve"> </w:t>
            </w:r>
            <w:r>
              <w:t>98%</w:t>
            </w:r>
            <w:r>
              <w:rPr>
                <w:spacing w:val="-5"/>
              </w:rPr>
              <w:t xml:space="preserve"> </w:t>
            </w:r>
            <w:r>
              <w:t>or</w:t>
            </w:r>
            <w:r>
              <w:rPr>
                <w:spacing w:val="-4"/>
              </w:rPr>
              <w:t xml:space="preserve"> more</w:t>
            </w:r>
          </w:p>
          <w:p w14:paraId="4C3493C4" w14:textId="77777777" w:rsidR="00141B97" w:rsidRDefault="00911D63">
            <w:pPr>
              <w:pStyle w:val="TableParagraph"/>
              <w:numPr>
                <w:ilvl w:val="0"/>
                <w:numId w:val="29"/>
              </w:numPr>
              <w:tabs>
                <w:tab w:val="left" w:pos="457"/>
                <w:tab w:val="left" w:pos="458"/>
              </w:tabs>
              <w:ind w:right="597"/>
            </w:pPr>
            <w:r>
              <w:t>Provide</w:t>
            </w:r>
            <w:r>
              <w:rPr>
                <w:spacing w:val="-3"/>
              </w:rPr>
              <w:t xml:space="preserve"> </w:t>
            </w:r>
            <w:r>
              <w:t>report</w:t>
            </w:r>
            <w:r>
              <w:rPr>
                <w:spacing w:val="-4"/>
              </w:rPr>
              <w:t xml:space="preserve"> </w:t>
            </w:r>
            <w:r>
              <w:t>to</w:t>
            </w:r>
            <w:r>
              <w:rPr>
                <w:spacing w:val="-3"/>
              </w:rPr>
              <w:t xml:space="preserve"> </w:t>
            </w:r>
            <w:r>
              <w:t>customer</w:t>
            </w:r>
            <w:r>
              <w:rPr>
                <w:spacing w:val="-1"/>
              </w:rPr>
              <w:t xml:space="preserve"> </w:t>
            </w:r>
            <w:r>
              <w:t>committees annually</w:t>
            </w:r>
            <w:r>
              <w:rPr>
                <w:spacing w:val="-2"/>
              </w:rPr>
              <w:t xml:space="preserve"> </w:t>
            </w:r>
            <w:r>
              <w:t>re:</w:t>
            </w:r>
            <w:r>
              <w:rPr>
                <w:spacing w:val="-2"/>
              </w:rPr>
              <w:t xml:space="preserve"> </w:t>
            </w:r>
            <w:r>
              <w:t>service</w:t>
            </w:r>
            <w:r>
              <w:rPr>
                <w:spacing w:val="-3"/>
              </w:rPr>
              <w:t xml:space="preserve"> </w:t>
            </w:r>
            <w:r>
              <w:t>request</w:t>
            </w:r>
            <w:r>
              <w:rPr>
                <w:spacing w:val="-3"/>
              </w:rPr>
              <w:t xml:space="preserve"> </w:t>
            </w:r>
            <w:r>
              <w:t>vs. service provision – Target = 1</w:t>
            </w:r>
          </w:p>
          <w:p w14:paraId="1815A657" w14:textId="77777777" w:rsidR="00141B97" w:rsidRDefault="00911D63">
            <w:pPr>
              <w:pStyle w:val="TableParagraph"/>
              <w:numPr>
                <w:ilvl w:val="0"/>
                <w:numId w:val="29"/>
              </w:numPr>
              <w:tabs>
                <w:tab w:val="left" w:pos="457"/>
                <w:tab w:val="left" w:pos="458"/>
              </w:tabs>
              <w:ind w:right="443"/>
            </w:pPr>
            <w:r>
              <w:t>Maintain</w:t>
            </w:r>
            <w:r>
              <w:rPr>
                <w:spacing w:val="-2"/>
              </w:rPr>
              <w:t xml:space="preserve"> </w:t>
            </w:r>
            <w:r>
              <w:t>or</w:t>
            </w:r>
            <w:r>
              <w:rPr>
                <w:spacing w:val="-2"/>
              </w:rPr>
              <w:t xml:space="preserve"> </w:t>
            </w:r>
            <w:r>
              <w:t>improve</w:t>
            </w:r>
            <w:r>
              <w:rPr>
                <w:spacing w:val="-3"/>
              </w:rPr>
              <w:t xml:space="preserve"> </w:t>
            </w:r>
            <w:r>
              <w:t>system</w:t>
            </w:r>
            <w:r>
              <w:rPr>
                <w:spacing w:val="-3"/>
              </w:rPr>
              <w:t xml:space="preserve"> </w:t>
            </w:r>
            <w:r>
              <w:t>reliability</w:t>
            </w:r>
            <w:r>
              <w:rPr>
                <w:spacing w:val="-2"/>
              </w:rPr>
              <w:t xml:space="preserve"> </w:t>
            </w:r>
            <w:r>
              <w:t>–</w:t>
            </w:r>
            <w:r>
              <w:rPr>
                <w:spacing w:val="-2"/>
              </w:rPr>
              <w:t xml:space="preserve"> </w:t>
            </w:r>
            <w:r>
              <w:t>Target</w:t>
            </w:r>
            <w:r>
              <w:rPr>
                <w:spacing w:val="-2"/>
              </w:rPr>
              <w:t xml:space="preserve"> </w:t>
            </w:r>
            <w:r>
              <w:t>=</w:t>
            </w:r>
            <w:r>
              <w:rPr>
                <w:spacing w:val="-2"/>
              </w:rPr>
              <w:t xml:space="preserve"> </w:t>
            </w:r>
            <w:r>
              <w:t>year</w:t>
            </w:r>
            <w:r>
              <w:rPr>
                <w:spacing w:val="-2"/>
              </w:rPr>
              <w:t xml:space="preserve"> </w:t>
            </w:r>
            <w:r>
              <w:t>on</w:t>
            </w:r>
            <w:r>
              <w:rPr>
                <w:spacing w:val="-2"/>
              </w:rPr>
              <w:t xml:space="preserve"> </w:t>
            </w:r>
            <w:r>
              <w:t>year</w:t>
            </w:r>
            <w:r>
              <w:rPr>
                <w:spacing w:val="-4"/>
              </w:rPr>
              <w:t xml:space="preserve"> </w:t>
            </w:r>
            <w:r>
              <w:t>unplanned outages time =/&lt; prior year performance</w:t>
            </w:r>
          </w:p>
        </w:tc>
      </w:tr>
      <w:tr w:rsidR="00141B97" w14:paraId="49FC1A5C" w14:textId="77777777">
        <w:trPr>
          <w:trHeight w:val="1669"/>
          <w:tblCellSpacing w:w="9" w:type="dxa"/>
        </w:trPr>
        <w:tc>
          <w:tcPr>
            <w:tcW w:w="2256" w:type="dxa"/>
            <w:tcBorders>
              <w:left w:val="nil"/>
            </w:tcBorders>
            <w:shd w:val="clear" w:color="auto" w:fill="CCE2ED"/>
          </w:tcPr>
          <w:p w14:paraId="04471355" w14:textId="77777777" w:rsidR="00141B97" w:rsidRDefault="00911D63">
            <w:pPr>
              <w:pStyle w:val="TableParagraph"/>
              <w:ind w:left="88"/>
            </w:pPr>
            <w:r>
              <w:t>Major</w:t>
            </w:r>
            <w:r>
              <w:rPr>
                <w:spacing w:val="-10"/>
              </w:rPr>
              <w:t xml:space="preserve"> </w:t>
            </w:r>
            <w:r>
              <w:t>Change</w:t>
            </w:r>
            <w:r>
              <w:rPr>
                <w:spacing w:val="-10"/>
              </w:rPr>
              <w:t xml:space="preserve"> </w:t>
            </w:r>
            <w:r>
              <w:rPr>
                <w:spacing w:val="-2"/>
              </w:rPr>
              <w:t>Projects</w:t>
            </w:r>
          </w:p>
        </w:tc>
        <w:tc>
          <w:tcPr>
            <w:tcW w:w="7355" w:type="dxa"/>
            <w:tcBorders>
              <w:right w:val="nil"/>
            </w:tcBorders>
            <w:shd w:val="clear" w:color="auto" w:fill="CCE2ED"/>
          </w:tcPr>
          <w:p w14:paraId="35BD44D9" w14:textId="77777777" w:rsidR="00141B97" w:rsidRDefault="00911D63">
            <w:pPr>
              <w:pStyle w:val="TableParagraph"/>
              <w:numPr>
                <w:ilvl w:val="0"/>
                <w:numId w:val="28"/>
              </w:numPr>
              <w:tabs>
                <w:tab w:val="left" w:pos="457"/>
                <w:tab w:val="left" w:pos="458"/>
              </w:tabs>
              <w:ind w:right="278"/>
            </w:pPr>
            <w:r>
              <w:t>Invest</w:t>
            </w:r>
            <w:r>
              <w:rPr>
                <w:spacing w:val="-3"/>
              </w:rPr>
              <w:t xml:space="preserve"> </w:t>
            </w:r>
            <w:r>
              <w:t>$5.81m</w:t>
            </w:r>
            <w:r>
              <w:rPr>
                <w:spacing w:val="-3"/>
              </w:rPr>
              <w:t xml:space="preserve"> </w:t>
            </w:r>
            <w:r>
              <w:t>to</w:t>
            </w:r>
            <w:r>
              <w:rPr>
                <w:spacing w:val="-2"/>
              </w:rPr>
              <w:t xml:space="preserve"> </w:t>
            </w:r>
            <w:r>
              <w:t>replace</w:t>
            </w:r>
            <w:r>
              <w:rPr>
                <w:spacing w:val="-1"/>
              </w:rPr>
              <w:t xml:space="preserve"> </w:t>
            </w:r>
            <w:r>
              <w:t>meters</w:t>
            </w:r>
            <w:r>
              <w:rPr>
                <w:spacing w:val="-3"/>
              </w:rPr>
              <w:t xml:space="preserve"> </w:t>
            </w:r>
            <w:r>
              <w:t>for</w:t>
            </w:r>
            <w:r>
              <w:rPr>
                <w:spacing w:val="-3"/>
              </w:rPr>
              <w:t xml:space="preserve"> </w:t>
            </w:r>
            <w:r>
              <w:t>irrigation,</w:t>
            </w:r>
            <w:r>
              <w:rPr>
                <w:spacing w:val="-3"/>
              </w:rPr>
              <w:t xml:space="preserve"> </w:t>
            </w:r>
            <w:r>
              <w:t>diverters,</w:t>
            </w:r>
            <w:r>
              <w:rPr>
                <w:spacing w:val="-3"/>
              </w:rPr>
              <w:t xml:space="preserve"> </w:t>
            </w:r>
            <w:r>
              <w:t>and</w:t>
            </w:r>
            <w:r>
              <w:rPr>
                <w:spacing w:val="-3"/>
              </w:rPr>
              <w:t xml:space="preserve"> </w:t>
            </w:r>
            <w:r>
              <w:t>domestic</w:t>
            </w:r>
            <w:r>
              <w:rPr>
                <w:spacing w:val="-2"/>
              </w:rPr>
              <w:t xml:space="preserve"> </w:t>
            </w:r>
            <w:r>
              <w:t>and stock services in Millewa to maintain meter and billing accuracy</w:t>
            </w:r>
          </w:p>
          <w:p w14:paraId="39070FAD" w14:textId="77777777" w:rsidR="00141B97" w:rsidRDefault="00911D63">
            <w:pPr>
              <w:pStyle w:val="TableParagraph"/>
              <w:numPr>
                <w:ilvl w:val="0"/>
                <w:numId w:val="28"/>
              </w:numPr>
              <w:tabs>
                <w:tab w:val="left" w:pos="457"/>
                <w:tab w:val="left" w:pos="458"/>
              </w:tabs>
              <w:spacing w:line="280" w:lineRule="exact"/>
            </w:pPr>
            <w:r>
              <w:t>Enhance</w:t>
            </w:r>
            <w:r>
              <w:rPr>
                <w:spacing w:val="-9"/>
              </w:rPr>
              <w:t xml:space="preserve"> </w:t>
            </w:r>
            <w:r>
              <w:t>water</w:t>
            </w:r>
            <w:r>
              <w:rPr>
                <w:spacing w:val="-7"/>
              </w:rPr>
              <w:t xml:space="preserve"> </w:t>
            </w:r>
            <w:r>
              <w:t>ordering</w:t>
            </w:r>
            <w:r>
              <w:rPr>
                <w:spacing w:val="-8"/>
              </w:rPr>
              <w:t xml:space="preserve"> </w:t>
            </w:r>
            <w:r>
              <w:t>services</w:t>
            </w:r>
            <w:r>
              <w:rPr>
                <w:spacing w:val="-7"/>
              </w:rPr>
              <w:t xml:space="preserve"> </w:t>
            </w:r>
            <w:r>
              <w:t>via</w:t>
            </w:r>
            <w:r>
              <w:rPr>
                <w:spacing w:val="-7"/>
              </w:rPr>
              <w:t xml:space="preserve"> </w:t>
            </w:r>
            <w:r>
              <w:t>a</w:t>
            </w:r>
            <w:r>
              <w:rPr>
                <w:spacing w:val="-7"/>
              </w:rPr>
              <w:t xml:space="preserve"> </w:t>
            </w:r>
            <w:r>
              <w:t>mobile</w:t>
            </w:r>
            <w:r>
              <w:rPr>
                <w:spacing w:val="-7"/>
              </w:rPr>
              <w:t xml:space="preserve"> </w:t>
            </w:r>
            <w:r>
              <w:rPr>
                <w:spacing w:val="-2"/>
              </w:rPr>
              <w:t>application</w:t>
            </w:r>
          </w:p>
          <w:p w14:paraId="5EF12754" w14:textId="77777777" w:rsidR="00141B97" w:rsidRDefault="00911D63">
            <w:pPr>
              <w:pStyle w:val="TableParagraph"/>
              <w:numPr>
                <w:ilvl w:val="0"/>
                <w:numId w:val="28"/>
              </w:numPr>
              <w:tabs>
                <w:tab w:val="left" w:pos="457"/>
                <w:tab w:val="left" w:pos="458"/>
              </w:tabs>
              <w:spacing w:before="1" w:line="280" w:lineRule="exact"/>
            </w:pPr>
            <w:r>
              <w:t>Invest</w:t>
            </w:r>
            <w:r>
              <w:rPr>
                <w:spacing w:val="-8"/>
              </w:rPr>
              <w:t xml:space="preserve"> </w:t>
            </w:r>
            <w:r>
              <w:t>$4.03m</w:t>
            </w:r>
            <w:r>
              <w:rPr>
                <w:spacing w:val="-8"/>
              </w:rPr>
              <w:t xml:space="preserve"> </w:t>
            </w:r>
            <w:r>
              <w:t>in</w:t>
            </w:r>
            <w:r>
              <w:rPr>
                <w:spacing w:val="-6"/>
              </w:rPr>
              <w:t xml:space="preserve"> </w:t>
            </w:r>
            <w:r>
              <w:t>irrigation</w:t>
            </w:r>
            <w:r>
              <w:rPr>
                <w:spacing w:val="-8"/>
              </w:rPr>
              <w:t xml:space="preserve"> </w:t>
            </w:r>
            <w:r>
              <w:t>pipeline</w:t>
            </w:r>
            <w:r>
              <w:rPr>
                <w:spacing w:val="-7"/>
              </w:rPr>
              <w:t xml:space="preserve"> </w:t>
            </w:r>
            <w:r>
              <w:rPr>
                <w:spacing w:val="-2"/>
              </w:rPr>
              <w:t>renewals</w:t>
            </w:r>
          </w:p>
          <w:p w14:paraId="647EA64B" w14:textId="77777777" w:rsidR="00141B97" w:rsidRDefault="00911D63">
            <w:pPr>
              <w:pStyle w:val="TableParagraph"/>
              <w:numPr>
                <w:ilvl w:val="0"/>
                <w:numId w:val="28"/>
              </w:numPr>
              <w:tabs>
                <w:tab w:val="left" w:pos="457"/>
                <w:tab w:val="left" w:pos="458"/>
              </w:tabs>
              <w:spacing w:line="280" w:lineRule="exact"/>
            </w:pPr>
            <w:r>
              <w:t>Decommission</w:t>
            </w:r>
            <w:r>
              <w:rPr>
                <w:spacing w:val="-12"/>
              </w:rPr>
              <w:t xml:space="preserve"> </w:t>
            </w:r>
            <w:r>
              <w:t>redundant</w:t>
            </w:r>
            <w:r>
              <w:rPr>
                <w:spacing w:val="-10"/>
              </w:rPr>
              <w:t xml:space="preserve"> </w:t>
            </w:r>
            <w:r>
              <w:t>infrastructure</w:t>
            </w:r>
            <w:r>
              <w:rPr>
                <w:spacing w:val="-9"/>
              </w:rPr>
              <w:t xml:space="preserve"> </w:t>
            </w:r>
            <w:r>
              <w:t>in</w:t>
            </w:r>
            <w:r>
              <w:rPr>
                <w:spacing w:val="-10"/>
              </w:rPr>
              <w:t xml:space="preserve"> </w:t>
            </w:r>
            <w:r>
              <w:t>Robinvale</w:t>
            </w:r>
            <w:r>
              <w:rPr>
                <w:spacing w:val="-9"/>
              </w:rPr>
              <w:t xml:space="preserve"> </w:t>
            </w:r>
            <w:r>
              <w:t>District</w:t>
            </w:r>
            <w:r>
              <w:rPr>
                <w:spacing w:val="-12"/>
              </w:rPr>
              <w:t xml:space="preserve"> </w:t>
            </w:r>
            <w:r>
              <w:rPr>
                <w:spacing w:val="-2"/>
              </w:rPr>
              <w:t>($2.15m)</w:t>
            </w:r>
          </w:p>
          <w:p w14:paraId="69BE70D9" w14:textId="77777777" w:rsidR="00141B97" w:rsidRDefault="00911D63">
            <w:pPr>
              <w:pStyle w:val="TableParagraph"/>
              <w:numPr>
                <w:ilvl w:val="0"/>
                <w:numId w:val="28"/>
              </w:numPr>
              <w:tabs>
                <w:tab w:val="left" w:pos="457"/>
                <w:tab w:val="left" w:pos="458"/>
              </w:tabs>
              <w:spacing w:line="260" w:lineRule="exact"/>
            </w:pPr>
            <w:r>
              <w:t>Minimise</w:t>
            </w:r>
            <w:r>
              <w:rPr>
                <w:spacing w:val="-10"/>
              </w:rPr>
              <w:t xml:space="preserve"> </w:t>
            </w:r>
            <w:r>
              <w:t>critical</w:t>
            </w:r>
            <w:r>
              <w:rPr>
                <w:spacing w:val="-10"/>
              </w:rPr>
              <w:t xml:space="preserve"> </w:t>
            </w:r>
            <w:r>
              <w:t>asset</w:t>
            </w:r>
            <w:r>
              <w:rPr>
                <w:spacing w:val="-8"/>
              </w:rPr>
              <w:t xml:space="preserve"> </w:t>
            </w:r>
            <w:r>
              <w:t>failures</w:t>
            </w:r>
            <w:r>
              <w:rPr>
                <w:spacing w:val="-10"/>
              </w:rPr>
              <w:t xml:space="preserve"> </w:t>
            </w:r>
            <w:r>
              <w:t>through</w:t>
            </w:r>
            <w:r>
              <w:rPr>
                <w:spacing w:val="-9"/>
              </w:rPr>
              <w:t xml:space="preserve"> </w:t>
            </w:r>
            <w:r>
              <w:t>replacement</w:t>
            </w:r>
            <w:r>
              <w:rPr>
                <w:spacing w:val="-8"/>
              </w:rPr>
              <w:t xml:space="preserve"> </w:t>
            </w:r>
            <w:r>
              <w:rPr>
                <w:spacing w:val="-2"/>
              </w:rPr>
              <w:t>programs</w:t>
            </w:r>
          </w:p>
        </w:tc>
      </w:tr>
      <w:tr w:rsidR="00141B97" w14:paraId="28211DBB" w14:textId="77777777">
        <w:trPr>
          <w:trHeight w:val="5231"/>
          <w:tblCellSpacing w:w="9" w:type="dxa"/>
        </w:trPr>
        <w:tc>
          <w:tcPr>
            <w:tcW w:w="2256" w:type="dxa"/>
            <w:tcBorders>
              <w:left w:val="nil"/>
            </w:tcBorders>
            <w:shd w:val="clear" w:color="auto" w:fill="CCE2ED"/>
          </w:tcPr>
          <w:p w14:paraId="678C19FB" w14:textId="77777777" w:rsidR="00141B97" w:rsidRDefault="00911D63">
            <w:pPr>
              <w:pStyle w:val="TableParagraph"/>
              <w:ind w:left="88" w:right="207"/>
            </w:pPr>
            <w:r>
              <w:t>Key</w:t>
            </w:r>
            <w:r>
              <w:rPr>
                <w:spacing w:val="-13"/>
              </w:rPr>
              <w:t xml:space="preserve"> </w:t>
            </w:r>
            <w:r>
              <w:t xml:space="preserve">Operational </w:t>
            </w:r>
            <w:r>
              <w:rPr>
                <w:spacing w:val="-2"/>
              </w:rPr>
              <w:t>Activities</w:t>
            </w:r>
          </w:p>
        </w:tc>
        <w:tc>
          <w:tcPr>
            <w:tcW w:w="7355" w:type="dxa"/>
            <w:tcBorders>
              <w:right w:val="nil"/>
            </w:tcBorders>
            <w:shd w:val="clear" w:color="auto" w:fill="CCE2ED"/>
          </w:tcPr>
          <w:p w14:paraId="04CD94DE" w14:textId="77777777" w:rsidR="00141B97" w:rsidRDefault="00911D63">
            <w:pPr>
              <w:pStyle w:val="TableParagraph"/>
              <w:numPr>
                <w:ilvl w:val="0"/>
                <w:numId w:val="27"/>
              </w:numPr>
              <w:tabs>
                <w:tab w:val="left" w:pos="457"/>
                <w:tab w:val="left" w:pos="458"/>
              </w:tabs>
            </w:pPr>
            <w:r>
              <w:t>Invest</w:t>
            </w:r>
            <w:r>
              <w:rPr>
                <w:spacing w:val="-7"/>
              </w:rPr>
              <w:t xml:space="preserve"> </w:t>
            </w:r>
            <w:r>
              <w:t>$2.41m</w:t>
            </w:r>
            <w:r>
              <w:rPr>
                <w:spacing w:val="-7"/>
              </w:rPr>
              <w:t xml:space="preserve"> </w:t>
            </w:r>
            <w:r>
              <w:t>in</w:t>
            </w:r>
            <w:r>
              <w:rPr>
                <w:spacing w:val="-6"/>
              </w:rPr>
              <w:t xml:space="preserve"> </w:t>
            </w:r>
            <w:r>
              <w:t>drainage</w:t>
            </w:r>
            <w:r>
              <w:rPr>
                <w:spacing w:val="-7"/>
              </w:rPr>
              <w:t xml:space="preserve"> </w:t>
            </w:r>
            <w:r>
              <w:t>system</w:t>
            </w:r>
            <w:r>
              <w:rPr>
                <w:spacing w:val="-6"/>
              </w:rPr>
              <w:t xml:space="preserve"> </w:t>
            </w:r>
            <w:r>
              <w:t>maintenance</w:t>
            </w:r>
            <w:r>
              <w:rPr>
                <w:spacing w:val="-7"/>
              </w:rPr>
              <w:t xml:space="preserve"> </w:t>
            </w:r>
            <w:r>
              <w:t>of</w:t>
            </w:r>
            <w:r>
              <w:rPr>
                <w:spacing w:val="-5"/>
              </w:rPr>
              <w:t xml:space="preserve"> </w:t>
            </w:r>
            <w:r>
              <w:t>over</w:t>
            </w:r>
            <w:r>
              <w:rPr>
                <w:spacing w:val="-7"/>
              </w:rPr>
              <w:t xml:space="preserve"> </w:t>
            </w:r>
            <w:r>
              <w:t>5</w:t>
            </w:r>
            <w:r>
              <w:rPr>
                <w:spacing w:val="-6"/>
              </w:rPr>
              <w:t xml:space="preserve"> </w:t>
            </w:r>
            <w:r>
              <w:rPr>
                <w:spacing w:val="-2"/>
              </w:rPr>
              <w:t>years</w:t>
            </w:r>
          </w:p>
          <w:p w14:paraId="5DD4C497" w14:textId="77777777" w:rsidR="00141B97" w:rsidRDefault="00911D63">
            <w:pPr>
              <w:pStyle w:val="TableParagraph"/>
              <w:numPr>
                <w:ilvl w:val="0"/>
                <w:numId w:val="27"/>
              </w:numPr>
              <w:tabs>
                <w:tab w:val="left" w:pos="457"/>
                <w:tab w:val="left" w:pos="458"/>
              </w:tabs>
              <w:spacing w:before="1"/>
              <w:ind w:right="548"/>
            </w:pPr>
            <w:r>
              <w:t>Plan</w:t>
            </w:r>
            <w:r>
              <w:rPr>
                <w:spacing w:val="-2"/>
              </w:rPr>
              <w:t xml:space="preserve"> </w:t>
            </w:r>
            <w:r>
              <w:t>and</w:t>
            </w:r>
            <w:r>
              <w:rPr>
                <w:spacing w:val="-2"/>
              </w:rPr>
              <w:t xml:space="preserve"> </w:t>
            </w:r>
            <w:r>
              <w:t>secure</w:t>
            </w:r>
            <w:r>
              <w:rPr>
                <w:spacing w:val="-4"/>
              </w:rPr>
              <w:t xml:space="preserve"> </w:t>
            </w:r>
            <w:r>
              <w:t>LMW’s</w:t>
            </w:r>
            <w:r>
              <w:rPr>
                <w:spacing w:val="-2"/>
              </w:rPr>
              <w:t xml:space="preserve"> </w:t>
            </w:r>
            <w:r>
              <w:t>irrigation</w:t>
            </w:r>
            <w:r>
              <w:rPr>
                <w:spacing w:val="-3"/>
              </w:rPr>
              <w:t xml:space="preserve"> </w:t>
            </w:r>
            <w:r>
              <w:t>water</w:t>
            </w:r>
            <w:r>
              <w:rPr>
                <w:spacing w:val="-2"/>
              </w:rPr>
              <w:t xml:space="preserve"> </w:t>
            </w:r>
            <w:r>
              <w:t>needs</w:t>
            </w:r>
            <w:r>
              <w:rPr>
                <w:spacing w:val="-3"/>
              </w:rPr>
              <w:t xml:space="preserve"> </w:t>
            </w:r>
            <w:r>
              <w:t>through</w:t>
            </w:r>
            <w:r>
              <w:rPr>
                <w:spacing w:val="-3"/>
              </w:rPr>
              <w:t xml:space="preserve"> </w:t>
            </w:r>
            <w:r>
              <w:t>government</w:t>
            </w:r>
            <w:r>
              <w:rPr>
                <w:spacing w:val="-4"/>
              </w:rPr>
              <w:t xml:space="preserve"> </w:t>
            </w:r>
            <w:r>
              <w:t>and industry advocacy</w:t>
            </w:r>
          </w:p>
          <w:p w14:paraId="4686BAAF" w14:textId="77777777" w:rsidR="00141B97" w:rsidRDefault="00911D63">
            <w:pPr>
              <w:pStyle w:val="TableParagraph"/>
              <w:numPr>
                <w:ilvl w:val="0"/>
                <w:numId w:val="27"/>
              </w:numPr>
              <w:tabs>
                <w:tab w:val="left" w:pos="457"/>
                <w:tab w:val="left" w:pos="458"/>
              </w:tabs>
              <w:ind w:right="146"/>
            </w:pPr>
            <w:r>
              <w:t>Regular</w:t>
            </w:r>
            <w:r>
              <w:rPr>
                <w:spacing w:val="-2"/>
              </w:rPr>
              <w:t xml:space="preserve"> </w:t>
            </w:r>
            <w:r>
              <w:t>direct</w:t>
            </w:r>
            <w:r>
              <w:rPr>
                <w:spacing w:val="-4"/>
              </w:rPr>
              <w:t xml:space="preserve"> </w:t>
            </w:r>
            <w:r>
              <w:t>engagement</w:t>
            </w:r>
            <w:r>
              <w:rPr>
                <w:spacing w:val="-4"/>
              </w:rPr>
              <w:t xml:space="preserve"> </w:t>
            </w:r>
            <w:r>
              <w:t>with</w:t>
            </w:r>
            <w:r>
              <w:rPr>
                <w:spacing w:val="-4"/>
              </w:rPr>
              <w:t xml:space="preserve"> </w:t>
            </w:r>
            <w:r>
              <w:t>customers</w:t>
            </w:r>
            <w:r>
              <w:rPr>
                <w:spacing w:val="-2"/>
              </w:rPr>
              <w:t xml:space="preserve"> </w:t>
            </w:r>
            <w:r>
              <w:t>to</w:t>
            </w:r>
            <w:r>
              <w:rPr>
                <w:spacing w:val="-2"/>
              </w:rPr>
              <w:t xml:space="preserve"> </w:t>
            </w:r>
            <w:r>
              <w:t>understand</w:t>
            </w:r>
            <w:r>
              <w:rPr>
                <w:spacing w:val="-2"/>
              </w:rPr>
              <w:t xml:space="preserve"> </w:t>
            </w:r>
            <w:r>
              <w:t>needs</w:t>
            </w:r>
            <w:r>
              <w:rPr>
                <w:spacing w:val="-2"/>
              </w:rPr>
              <w:t xml:space="preserve"> </w:t>
            </w:r>
            <w:r>
              <w:t>and</w:t>
            </w:r>
            <w:r>
              <w:rPr>
                <w:spacing w:val="-2"/>
              </w:rPr>
              <w:t xml:space="preserve"> </w:t>
            </w:r>
            <w:r>
              <w:t>ensure transparency in reporting on performance</w:t>
            </w:r>
          </w:p>
          <w:p w14:paraId="39B49FA5" w14:textId="77777777" w:rsidR="00141B97" w:rsidRDefault="00911D63">
            <w:pPr>
              <w:pStyle w:val="TableParagraph"/>
              <w:numPr>
                <w:ilvl w:val="0"/>
                <w:numId w:val="27"/>
              </w:numPr>
              <w:tabs>
                <w:tab w:val="left" w:pos="457"/>
                <w:tab w:val="left" w:pos="458"/>
              </w:tabs>
              <w:ind w:right="899"/>
            </w:pPr>
            <w:r>
              <w:t>Maintain</w:t>
            </w:r>
            <w:r>
              <w:rPr>
                <w:spacing w:val="-2"/>
              </w:rPr>
              <w:t xml:space="preserve"> </w:t>
            </w:r>
            <w:r>
              <w:t>safety</w:t>
            </w:r>
            <w:r>
              <w:rPr>
                <w:spacing w:val="-3"/>
              </w:rPr>
              <w:t xml:space="preserve"> </w:t>
            </w:r>
            <w:r>
              <w:t>and</w:t>
            </w:r>
            <w:r>
              <w:rPr>
                <w:spacing w:val="-2"/>
              </w:rPr>
              <w:t xml:space="preserve"> </w:t>
            </w:r>
            <w:r>
              <w:t>security</w:t>
            </w:r>
            <w:r>
              <w:rPr>
                <w:spacing w:val="-4"/>
              </w:rPr>
              <w:t xml:space="preserve"> </w:t>
            </w:r>
            <w:r>
              <w:t>of</w:t>
            </w:r>
            <w:r>
              <w:rPr>
                <w:spacing w:val="-1"/>
              </w:rPr>
              <w:t xml:space="preserve"> </w:t>
            </w:r>
            <w:r>
              <w:t>irrigation</w:t>
            </w:r>
            <w:r>
              <w:rPr>
                <w:spacing w:val="-2"/>
              </w:rPr>
              <w:t xml:space="preserve"> </w:t>
            </w:r>
            <w:r>
              <w:t>assets</w:t>
            </w:r>
            <w:r>
              <w:rPr>
                <w:spacing w:val="-2"/>
              </w:rPr>
              <w:t xml:space="preserve"> </w:t>
            </w:r>
            <w:r>
              <w:t>for</w:t>
            </w:r>
            <w:r>
              <w:rPr>
                <w:spacing w:val="-2"/>
              </w:rPr>
              <w:t xml:space="preserve"> </w:t>
            </w:r>
            <w:r>
              <w:t>growers</w:t>
            </w:r>
            <w:r>
              <w:rPr>
                <w:spacing w:val="-2"/>
              </w:rPr>
              <w:t xml:space="preserve"> </w:t>
            </w:r>
            <w:r>
              <w:t>and</w:t>
            </w:r>
            <w:r>
              <w:rPr>
                <w:spacing w:val="-3"/>
              </w:rPr>
              <w:t xml:space="preserve"> </w:t>
            </w:r>
            <w:r>
              <w:t xml:space="preserve">the </w:t>
            </w:r>
            <w:r>
              <w:rPr>
                <w:spacing w:val="-2"/>
              </w:rPr>
              <w:t>community</w:t>
            </w:r>
          </w:p>
          <w:p w14:paraId="615D4F23" w14:textId="77777777" w:rsidR="00141B97" w:rsidRDefault="00911D63">
            <w:pPr>
              <w:pStyle w:val="TableParagraph"/>
              <w:numPr>
                <w:ilvl w:val="0"/>
                <w:numId w:val="27"/>
              </w:numPr>
              <w:tabs>
                <w:tab w:val="left" w:pos="457"/>
                <w:tab w:val="left" w:pos="458"/>
              </w:tabs>
              <w:spacing w:line="280" w:lineRule="exact"/>
            </w:pPr>
            <w:r>
              <w:t>Support</w:t>
            </w:r>
            <w:r>
              <w:rPr>
                <w:spacing w:val="-10"/>
              </w:rPr>
              <w:t xml:space="preserve"> </w:t>
            </w:r>
            <w:r>
              <w:t>reliability</w:t>
            </w:r>
            <w:r>
              <w:rPr>
                <w:spacing w:val="-9"/>
              </w:rPr>
              <w:t xml:space="preserve"> </w:t>
            </w:r>
            <w:r>
              <w:t>with</w:t>
            </w:r>
            <w:r>
              <w:rPr>
                <w:spacing w:val="-8"/>
              </w:rPr>
              <w:t xml:space="preserve"> </w:t>
            </w:r>
            <w:r>
              <w:t>backup</w:t>
            </w:r>
            <w:r>
              <w:rPr>
                <w:spacing w:val="-9"/>
              </w:rPr>
              <w:t xml:space="preserve"> </w:t>
            </w:r>
            <w:r>
              <w:rPr>
                <w:spacing w:val="-2"/>
              </w:rPr>
              <w:t>generators</w:t>
            </w:r>
          </w:p>
          <w:p w14:paraId="53B1D585" w14:textId="77777777" w:rsidR="00141B97" w:rsidRDefault="00911D63">
            <w:pPr>
              <w:pStyle w:val="TableParagraph"/>
              <w:numPr>
                <w:ilvl w:val="0"/>
                <w:numId w:val="27"/>
              </w:numPr>
              <w:tabs>
                <w:tab w:val="left" w:pos="457"/>
                <w:tab w:val="left" w:pos="458"/>
              </w:tabs>
              <w:spacing w:line="280" w:lineRule="exact"/>
            </w:pPr>
            <w:r>
              <w:t>Promote</w:t>
            </w:r>
            <w:r>
              <w:rPr>
                <w:spacing w:val="-7"/>
              </w:rPr>
              <w:t xml:space="preserve"> </w:t>
            </w:r>
            <w:r>
              <w:t>river</w:t>
            </w:r>
            <w:r>
              <w:rPr>
                <w:spacing w:val="-7"/>
              </w:rPr>
              <w:t xml:space="preserve"> </w:t>
            </w:r>
            <w:r>
              <w:t>water</w:t>
            </w:r>
            <w:r>
              <w:rPr>
                <w:spacing w:val="-7"/>
              </w:rPr>
              <w:t xml:space="preserve"> </w:t>
            </w:r>
            <w:r>
              <w:t>supply</w:t>
            </w:r>
            <w:r>
              <w:rPr>
                <w:spacing w:val="-6"/>
              </w:rPr>
              <w:t xml:space="preserve"> </w:t>
            </w:r>
            <w:r>
              <w:t>management</w:t>
            </w:r>
            <w:r>
              <w:rPr>
                <w:spacing w:val="-7"/>
              </w:rPr>
              <w:t xml:space="preserve"> </w:t>
            </w:r>
            <w:r>
              <w:t>to</w:t>
            </w:r>
            <w:r>
              <w:rPr>
                <w:spacing w:val="-6"/>
              </w:rPr>
              <w:t xml:space="preserve"> </w:t>
            </w:r>
            <w:r>
              <w:t>a</w:t>
            </w:r>
            <w:r>
              <w:rPr>
                <w:spacing w:val="-7"/>
              </w:rPr>
              <w:t xml:space="preserve"> </w:t>
            </w:r>
            <w:r>
              <w:t>higher</w:t>
            </w:r>
            <w:r>
              <w:rPr>
                <w:spacing w:val="-6"/>
              </w:rPr>
              <w:t xml:space="preserve"> </w:t>
            </w:r>
            <w:r>
              <w:rPr>
                <w:spacing w:val="-4"/>
              </w:rPr>
              <w:t>level</w:t>
            </w:r>
          </w:p>
          <w:p w14:paraId="6859270E" w14:textId="77777777" w:rsidR="00141B97" w:rsidRDefault="00911D63">
            <w:pPr>
              <w:pStyle w:val="TableParagraph"/>
              <w:numPr>
                <w:ilvl w:val="0"/>
                <w:numId w:val="27"/>
              </w:numPr>
              <w:tabs>
                <w:tab w:val="left" w:pos="457"/>
                <w:tab w:val="left" w:pos="458"/>
              </w:tabs>
              <w:ind w:right="351"/>
            </w:pPr>
            <w:r>
              <w:t>Manage and maintain irrigation, drainage and domestic and stock water networks</w:t>
            </w:r>
            <w:r>
              <w:rPr>
                <w:spacing w:val="-3"/>
              </w:rPr>
              <w:t xml:space="preserve"> </w:t>
            </w:r>
            <w:r>
              <w:t>to</w:t>
            </w:r>
            <w:r>
              <w:rPr>
                <w:spacing w:val="-2"/>
              </w:rPr>
              <w:t xml:space="preserve"> </w:t>
            </w:r>
            <w:r>
              <w:t>meet</w:t>
            </w:r>
            <w:r>
              <w:rPr>
                <w:spacing w:val="-2"/>
              </w:rPr>
              <w:t xml:space="preserve"> </w:t>
            </w:r>
            <w:r>
              <w:t>agreed</w:t>
            </w:r>
            <w:r>
              <w:rPr>
                <w:spacing w:val="-2"/>
              </w:rPr>
              <w:t xml:space="preserve"> </w:t>
            </w:r>
            <w:r>
              <w:t>customer</w:t>
            </w:r>
            <w:r>
              <w:rPr>
                <w:spacing w:val="-2"/>
              </w:rPr>
              <w:t xml:space="preserve"> </w:t>
            </w:r>
            <w:r>
              <w:t>standards</w:t>
            </w:r>
            <w:r>
              <w:rPr>
                <w:spacing w:val="-2"/>
              </w:rPr>
              <w:t xml:space="preserve"> </w:t>
            </w:r>
            <w:r>
              <w:t>of</w:t>
            </w:r>
            <w:r>
              <w:rPr>
                <w:spacing w:val="-3"/>
              </w:rPr>
              <w:t xml:space="preserve"> </w:t>
            </w:r>
            <w:r>
              <w:t>service</w:t>
            </w:r>
            <w:r>
              <w:rPr>
                <w:spacing w:val="-4"/>
              </w:rPr>
              <w:t xml:space="preserve"> </w:t>
            </w:r>
            <w:r>
              <w:t>while</w:t>
            </w:r>
            <w:r>
              <w:rPr>
                <w:spacing w:val="-3"/>
              </w:rPr>
              <w:t xml:space="preserve"> </w:t>
            </w:r>
            <w:r>
              <w:t>adapting</w:t>
            </w:r>
            <w:r>
              <w:rPr>
                <w:spacing w:val="-2"/>
              </w:rPr>
              <w:t xml:space="preserve"> </w:t>
            </w:r>
            <w:r>
              <w:t>to changing customer needs</w:t>
            </w:r>
          </w:p>
          <w:p w14:paraId="3F3C38D3" w14:textId="77777777" w:rsidR="00141B97" w:rsidRDefault="00911D63">
            <w:pPr>
              <w:pStyle w:val="TableParagraph"/>
              <w:numPr>
                <w:ilvl w:val="0"/>
                <w:numId w:val="27"/>
              </w:numPr>
              <w:tabs>
                <w:tab w:val="left" w:pos="457"/>
                <w:tab w:val="left" w:pos="458"/>
              </w:tabs>
              <w:ind w:right="554"/>
            </w:pPr>
            <w:r>
              <w:t>Undertake</w:t>
            </w:r>
            <w:r>
              <w:rPr>
                <w:spacing w:val="-4"/>
              </w:rPr>
              <w:t xml:space="preserve"> </w:t>
            </w:r>
            <w:r>
              <w:t>condition</w:t>
            </w:r>
            <w:r>
              <w:rPr>
                <w:spacing w:val="-2"/>
              </w:rPr>
              <w:t xml:space="preserve"> </w:t>
            </w:r>
            <w:r>
              <w:t>assessment</w:t>
            </w:r>
            <w:r>
              <w:rPr>
                <w:spacing w:val="-2"/>
              </w:rPr>
              <w:t xml:space="preserve"> </w:t>
            </w:r>
            <w:r>
              <w:t>of</w:t>
            </w:r>
            <w:r>
              <w:rPr>
                <w:spacing w:val="-3"/>
              </w:rPr>
              <w:t xml:space="preserve"> </w:t>
            </w:r>
            <w:r>
              <w:t>critical</w:t>
            </w:r>
            <w:r>
              <w:rPr>
                <w:spacing w:val="-1"/>
              </w:rPr>
              <w:t xml:space="preserve"> </w:t>
            </w:r>
            <w:r>
              <w:t>irrigation</w:t>
            </w:r>
            <w:r>
              <w:rPr>
                <w:spacing w:val="-1"/>
              </w:rPr>
              <w:t xml:space="preserve"> </w:t>
            </w:r>
            <w:r>
              <w:t>pipelines</w:t>
            </w:r>
            <w:r>
              <w:rPr>
                <w:spacing w:val="-2"/>
              </w:rPr>
              <w:t xml:space="preserve"> </w:t>
            </w:r>
            <w:r>
              <w:t>with</w:t>
            </w:r>
            <w:r>
              <w:rPr>
                <w:spacing w:val="-4"/>
              </w:rPr>
              <w:t xml:space="preserve"> </w:t>
            </w:r>
            <w:r>
              <w:t>high potential for failure</w:t>
            </w:r>
          </w:p>
          <w:p w14:paraId="045CD058" w14:textId="77777777" w:rsidR="00141B97" w:rsidRDefault="00911D63">
            <w:pPr>
              <w:pStyle w:val="TableParagraph"/>
              <w:numPr>
                <w:ilvl w:val="0"/>
                <w:numId w:val="27"/>
              </w:numPr>
              <w:tabs>
                <w:tab w:val="left" w:pos="457"/>
                <w:tab w:val="left" w:pos="458"/>
              </w:tabs>
              <w:spacing w:line="280" w:lineRule="exact"/>
            </w:pPr>
            <w:r>
              <w:t>Investigate</w:t>
            </w:r>
            <w:r>
              <w:rPr>
                <w:spacing w:val="-8"/>
              </w:rPr>
              <w:t xml:space="preserve"> </w:t>
            </w:r>
            <w:r>
              <w:t>assessment</w:t>
            </w:r>
            <w:r>
              <w:rPr>
                <w:spacing w:val="-8"/>
              </w:rPr>
              <w:t xml:space="preserve"> </w:t>
            </w:r>
            <w:r>
              <w:t>of</w:t>
            </w:r>
            <w:r>
              <w:rPr>
                <w:spacing w:val="-5"/>
              </w:rPr>
              <w:t xml:space="preserve"> </w:t>
            </w:r>
            <w:r>
              <w:t>methods</w:t>
            </w:r>
            <w:r>
              <w:rPr>
                <w:spacing w:val="-9"/>
              </w:rPr>
              <w:t xml:space="preserve"> </w:t>
            </w:r>
            <w:r>
              <w:t>for</w:t>
            </w:r>
            <w:r>
              <w:rPr>
                <w:spacing w:val="-7"/>
              </w:rPr>
              <w:t xml:space="preserve"> </w:t>
            </w:r>
            <w:r>
              <w:t>the</w:t>
            </w:r>
            <w:r>
              <w:rPr>
                <w:spacing w:val="-9"/>
              </w:rPr>
              <w:t xml:space="preserve"> </w:t>
            </w:r>
            <w:r>
              <w:t>rehabilitating</w:t>
            </w:r>
            <w:r>
              <w:rPr>
                <w:spacing w:val="-10"/>
              </w:rPr>
              <w:t xml:space="preserve"> </w:t>
            </w:r>
            <w:r>
              <w:t>drainage</w:t>
            </w:r>
            <w:r>
              <w:rPr>
                <w:spacing w:val="-8"/>
              </w:rPr>
              <w:t xml:space="preserve"> </w:t>
            </w:r>
            <w:r>
              <w:rPr>
                <w:spacing w:val="-2"/>
              </w:rPr>
              <w:t>lines</w:t>
            </w:r>
          </w:p>
          <w:p w14:paraId="77B183B3" w14:textId="77777777" w:rsidR="00141B97" w:rsidRDefault="00911D63">
            <w:pPr>
              <w:pStyle w:val="TableParagraph"/>
              <w:numPr>
                <w:ilvl w:val="0"/>
                <w:numId w:val="27"/>
              </w:numPr>
              <w:tabs>
                <w:tab w:val="left" w:pos="457"/>
                <w:tab w:val="left" w:pos="458"/>
              </w:tabs>
              <w:ind w:right="782"/>
            </w:pPr>
            <w:r>
              <w:t>Ensure</w:t>
            </w:r>
            <w:r>
              <w:rPr>
                <w:spacing w:val="-4"/>
              </w:rPr>
              <w:t xml:space="preserve"> </w:t>
            </w:r>
            <w:r>
              <w:t>open</w:t>
            </w:r>
            <w:r>
              <w:rPr>
                <w:spacing w:val="-3"/>
              </w:rPr>
              <w:t xml:space="preserve"> </w:t>
            </w:r>
            <w:r>
              <w:t>communication</w:t>
            </w:r>
            <w:r>
              <w:rPr>
                <w:spacing w:val="-3"/>
              </w:rPr>
              <w:t xml:space="preserve"> </w:t>
            </w:r>
            <w:r>
              <w:t>channels</w:t>
            </w:r>
            <w:r>
              <w:rPr>
                <w:spacing w:val="-3"/>
              </w:rPr>
              <w:t xml:space="preserve"> </w:t>
            </w:r>
            <w:r>
              <w:t>between</w:t>
            </w:r>
            <w:r>
              <w:rPr>
                <w:spacing w:val="-3"/>
              </w:rPr>
              <w:t xml:space="preserve"> </w:t>
            </w:r>
            <w:r>
              <w:t>operational</w:t>
            </w:r>
            <w:r>
              <w:rPr>
                <w:spacing w:val="-4"/>
              </w:rPr>
              <w:t xml:space="preserve"> </w:t>
            </w:r>
            <w:r>
              <w:t>staff</w:t>
            </w:r>
            <w:r>
              <w:rPr>
                <w:spacing w:val="-3"/>
              </w:rPr>
              <w:t xml:space="preserve"> </w:t>
            </w:r>
            <w:r>
              <w:t xml:space="preserve">and </w:t>
            </w:r>
            <w:r>
              <w:rPr>
                <w:spacing w:val="-2"/>
              </w:rPr>
              <w:t>customers</w:t>
            </w:r>
          </w:p>
          <w:p w14:paraId="70167205" w14:textId="77777777" w:rsidR="00141B97" w:rsidRDefault="00911D63">
            <w:pPr>
              <w:pStyle w:val="TableParagraph"/>
              <w:numPr>
                <w:ilvl w:val="0"/>
                <w:numId w:val="27"/>
              </w:numPr>
              <w:tabs>
                <w:tab w:val="left" w:pos="457"/>
                <w:tab w:val="left" w:pos="458"/>
              </w:tabs>
              <w:spacing w:line="268" w:lineRule="exact"/>
              <w:ind w:right="999"/>
            </w:pPr>
            <w:r>
              <w:t>Provide customers with the opportunity to influence the winter maintenance</w:t>
            </w:r>
            <w:r>
              <w:rPr>
                <w:spacing w:val="-3"/>
              </w:rPr>
              <w:t xml:space="preserve"> </w:t>
            </w:r>
            <w:r>
              <w:t>programs</w:t>
            </w:r>
            <w:r>
              <w:rPr>
                <w:spacing w:val="-5"/>
              </w:rPr>
              <w:t xml:space="preserve"> </w:t>
            </w:r>
            <w:r>
              <w:t>through</w:t>
            </w:r>
            <w:r>
              <w:rPr>
                <w:spacing w:val="-5"/>
              </w:rPr>
              <w:t xml:space="preserve"> </w:t>
            </w:r>
            <w:r>
              <w:t>customer</w:t>
            </w:r>
            <w:r>
              <w:rPr>
                <w:spacing w:val="-5"/>
              </w:rPr>
              <w:t xml:space="preserve"> </w:t>
            </w:r>
            <w:r>
              <w:t>committee</w:t>
            </w:r>
            <w:r>
              <w:rPr>
                <w:spacing w:val="-4"/>
              </w:rPr>
              <w:t xml:space="preserve"> </w:t>
            </w:r>
            <w:r>
              <w:t>engagement</w:t>
            </w:r>
          </w:p>
        </w:tc>
      </w:tr>
      <w:tr w:rsidR="00141B97" w14:paraId="48E85C4F" w14:textId="77777777">
        <w:trPr>
          <w:trHeight w:val="1366"/>
          <w:tblCellSpacing w:w="9" w:type="dxa"/>
        </w:trPr>
        <w:tc>
          <w:tcPr>
            <w:tcW w:w="2256" w:type="dxa"/>
            <w:tcBorders>
              <w:left w:val="nil"/>
              <w:bottom w:val="nil"/>
            </w:tcBorders>
            <w:shd w:val="clear" w:color="auto" w:fill="CCE2ED"/>
          </w:tcPr>
          <w:p w14:paraId="197E68C6" w14:textId="77777777" w:rsidR="00141B97" w:rsidRDefault="00911D63">
            <w:pPr>
              <w:pStyle w:val="TableParagraph"/>
              <w:ind w:left="88"/>
            </w:pPr>
            <w:r>
              <w:rPr>
                <w:spacing w:val="-2"/>
              </w:rPr>
              <w:t>Inputs</w:t>
            </w:r>
          </w:p>
          <w:p w14:paraId="2186459B" w14:textId="77777777" w:rsidR="00141B97" w:rsidRDefault="00911D63">
            <w:pPr>
              <w:pStyle w:val="TableParagraph"/>
              <w:numPr>
                <w:ilvl w:val="0"/>
                <w:numId w:val="26"/>
              </w:numPr>
              <w:tabs>
                <w:tab w:val="left" w:pos="808"/>
                <w:tab w:val="left" w:pos="809"/>
              </w:tabs>
              <w:ind w:right="378"/>
            </w:pPr>
            <w:r>
              <w:rPr>
                <w:spacing w:val="-4"/>
              </w:rPr>
              <w:t xml:space="preserve">Cost </w:t>
            </w:r>
            <w:r>
              <w:rPr>
                <w:spacing w:val="-2"/>
              </w:rPr>
              <w:t>movements</w:t>
            </w:r>
          </w:p>
          <w:p w14:paraId="3728FE56" w14:textId="77777777" w:rsidR="00141B97" w:rsidRDefault="00911D63">
            <w:pPr>
              <w:pStyle w:val="TableParagraph"/>
              <w:numPr>
                <w:ilvl w:val="0"/>
                <w:numId w:val="26"/>
              </w:numPr>
              <w:tabs>
                <w:tab w:val="left" w:pos="808"/>
                <w:tab w:val="left" w:pos="809"/>
              </w:tabs>
              <w:spacing w:line="268" w:lineRule="exact"/>
              <w:ind w:right="523"/>
            </w:pPr>
            <w:r>
              <w:rPr>
                <w:spacing w:val="-2"/>
              </w:rPr>
              <w:t>Resources required</w:t>
            </w:r>
          </w:p>
        </w:tc>
        <w:tc>
          <w:tcPr>
            <w:tcW w:w="7355" w:type="dxa"/>
            <w:tcBorders>
              <w:bottom w:val="nil"/>
              <w:right w:val="nil"/>
            </w:tcBorders>
            <w:shd w:val="clear" w:color="auto" w:fill="CCE2ED"/>
          </w:tcPr>
          <w:p w14:paraId="3AB1F778" w14:textId="77777777" w:rsidR="00141B97" w:rsidRDefault="00911D63">
            <w:pPr>
              <w:pStyle w:val="TableParagraph"/>
              <w:numPr>
                <w:ilvl w:val="0"/>
                <w:numId w:val="25"/>
              </w:numPr>
              <w:tabs>
                <w:tab w:val="left" w:pos="384"/>
              </w:tabs>
              <w:ind w:right="730"/>
            </w:pPr>
            <w:r>
              <w:t>Total</w:t>
            </w:r>
            <w:r>
              <w:rPr>
                <w:spacing w:val="-3"/>
              </w:rPr>
              <w:t xml:space="preserve"> </w:t>
            </w:r>
            <w:r>
              <w:t>capital</w:t>
            </w:r>
            <w:r>
              <w:rPr>
                <w:spacing w:val="-2"/>
              </w:rPr>
              <w:t xml:space="preserve"> </w:t>
            </w:r>
            <w:r>
              <w:t>investment</w:t>
            </w:r>
            <w:r>
              <w:rPr>
                <w:spacing w:val="-3"/>
              </w:rPr>
              <w:t xml:space="preserve"> </w:t>
            </w:r>
            <w:r>
              <w:t>of</w:t>
            </w:r>
            <w:r>
              <w:rPr>
                <w:spacing w:val="-1"/>
              </w:rPr>
              <w:t xml:space="preserve"> </w:t>
            </w:r>
            <w:r>
              <w:t>$41.44m</w:t>
            </w:r>
            <w:r>
              <w:rPr>
                <w:spacing w:val="-3"/>
              </w:rPr>
              <w:t xml:space="preserve"> </w:t>
            </w:r>
            <w:r>
              <w:t>in</w:t>
            </w:r>
            <w:r>
              <w:rPr>
                <w:spacing w:val="-3"/>
              </w:rPr>
              <w:t xml:space="preserve"> </w:t>
            </w:r>
            <w:r>
              <w:t>irrigation</w:t>
            </w:r>
            <w:r>
              <w:rPr>
                <w:spacing w:val="-2"/>
              </w:rPr>
              <w:t xml:space="preserve"> </w:t>
            </w:r>
            <w:r>
              <w:t>and</w:t>
            </w:r>
            <w:r>
              <w:rPr>
                <w:spacing w:val="-3"/>
              </w:rPr>
              <w:t xml:space="preserve"> </w:t>
            </w:r>
            <w:r>
              <w:t>drainage</w:t>
            </w:r>
            <w:r>
              <w:rPr>
                <w:spacing w:val="-4"/>
              </w:rPr>
              <w:t xml:space="preserve"> </w:t>
            </w:r>
            <w:r>
              <w:t>systems (excluding corporate capex)</w:t>
            </w:r>
          </w:p>
          <w:p w14:paraId="586F8258" w14:textId="77777777" w:rsidR="00141B97" w:rsidRDefault="00911D63">
            <w:pPr>
              <w:pStyle w:val="TableParagraph"/>
              <w:numPr>
                <w:ilvl w:val="0"/>
                <w:numId w:val="25"/>
              </w:numPr>
              <w:tabs>
                <w:tab w:val="left" w:pos="384"/>
              </w:tabs>
              <w:spacing w:before="1"/>
            </w:pPr>
            <w:r>
              <w:t>Total</w:t>
            </w:r>
            <w:r>
              <w:rPr>
                <w:spacing w:val="-8"/>
              </w:rPr>
              <w:t xml:space="preserve"> </w:t>
            </w:r>
            <w:r>
              <w:t>controllable</w:t>
            </w:r>
            <w:r>
              <w:rPr>
                <w:spacing w:val="-7"/>
              </w:rPr>
              <w:t xml:space="preserve"> </w:t>
            </w:r>
            <w:r>
              <w:t>opex</w:t>
            </w:r>
            <w:r>
              <w:rPr>
                <w:spacing w:val="-6"/>
              </w:rPr>
              <w:t xml:space="preserve"> </w:t>
            </w:r>
            <w:r>
              <w:t>of</w:t>
            </w:r>
            <w:r>
              <w:rPr>
                <w:spacing w:val="-5"/>
              </w:rPr>
              <w:t xml:space="preserve"> </w:t>
            </w:r>
            <w:r>
              <w:t>$85.76m</w:t>
            </w:r>
            <w:r>
              <w:rPr>
                <w:spacing w:val="-8"/>
              </w:rPr>
              <w:t xml:space="preserve"> </w:t>
            </w:r>
            <w:r>
              <w:t>in</w:t>
            </w:r>
            <w:r>
              <w:rPr>
                <w:spacing w:val="-8"/>
              </w:rPr>
              <w:t xml:space="preserve"> </w:t>
            </w:r>
            <w:r>
              <w:t>irrigation</w:t>
            </w:r>
            <w:r>
              <w:rPr>
                <w:spacing w:val="-6"/>
              </w:rPr>
              <w:t xml:space="preserve"> </w:t>
            </w:r>
            <w:r>
              <w:t>and</w:t>
            </w:r>
            <w:r>
              <w:rPr>
                <w:spacing w:val="-8"/>
              </w:rPr>
              <w:t xml:space="preserve"> </w:t>
            </w:r>
            <w:r>
              <w:t>drainage</w:t>
            </w:r>
            <w:r>
              <w:rPr>
                <w:spacing w:val="-8"/>
              </w:rPr>
              <w:t xml:space="preserve"> </w:t>
            </w:r>
            <w:r>
              <w:rPr>
                <w:spacing w:val="-2"/>
              </w:rPr>
              <w:t>systems</w:t>
            </w:r>
          </w:p>
        </w:tc>
      </w:tr>
    </w:tbl>
    <w:p w14:paraId="152A2396" w14:textId="77777777" w:rsidR="00141B97" w:rsidRDefault="00911D63">
      <w:pPr>
        <w:spacing w:before="23"/>
        <w:ind w:left="114"/>
        <w:rPr>
          <w:sz w:val="16"/>
        </w:rPr>
      </w:pPr>
      <w:r>
        <w:rPr>
          <w:sz w:val="16"/>
        </w:rPr>
        <w:t>Table</w:t>
      </w:r>
      <w:r>
        <w:rPr>
          <w:spacing w:val="-5"/>
          <w:sz w:val="16"/>
        </w:rPr>
        <w:t xml:space="preserve"> </w:t>
      </w:r>
      <w:r>
        <w:rPr>
          <w:sz w:val="16"/>
        </w:rPr>
        <w:t>C11:</w:t>
      </w:r>
      <w:r>
        <w:rPr>
          <w:spacing w:val="-4"/>
          <w:sz w:val="16"/>
        </w:rPr>
        <w:t xml:space="preserve"> </w:t>
      </w:r>
      <w:r>
        <w:rPr>
          <w:sz w:val="16"/>
        </w:rPr>
        <w:t>Outcome</w:t>
      </w:r>
      <w:r>
        <w:rPr>
          <w:spacing w:val="-4"/>
          <w:sz w:val="16"/>
        </w:rPr>
        <w:t xml:space="preserve"> </w:t>
      </w:r>
      <w:r>
        <w:rPr>
          <w:sz w:val="16"/>
        </w:rPr>
        <w:t>2</w:t>
      </w:r>
      <w:r>
        <w:rPr>
          <w:spacing w:val="-5"/>
          <w:sz w:val="16"/>
        </w:rPr>
        <w:t xml:space="preserve"> </w:t>
      </w:r>
      <w:r>
        <w:rPr>
          <w:sz w:val="16"/>
        </w:rPr>
        <w:t>‐</w:t>
      </w:r>
      <w:r>
        <w:rPr>
          <w:spacing w:val="-6"/>
          <w:sz w:val="16"/>
        </w:rPr>
        <w:t xml:space="preserve"> </w:t>
      </w:r>
      <w:r>
        <w:rPr>
          <w:sz w:val="16"/>
        </w:rPr>
        <w:t>Provide</w:t>
      </w:r>
      <w:r>
        <w:rPr>
          <w:spacing w:val="-6"/>
          <w:sz w:val="16"/>
        </w:rPr>
        <w:t xml:space="preserve"> </w:t>
      </w:r>
      <w:r>
        <w:rPr>
          <w:sz w:val="16"/>
        </w:rPr>
        <w:t>Customers</w:t>
      </w:r>
      <w:r>
        <w:rPr>
          <w:spacing w:val="-6"/>
          <w:sz w:val="16"/>
        </w:rPr>
        <w:t xml:space="preserve"> </w:t>
      </w:r>
      <w:r>
        <w:rPr>
          <w:sz w:val="16"/>
        </w:rPr>
        <w:t>With</w:t>
      </w:r>
      <w:r>
        <w:rPr>
          <w:spacing w:val="-5"/>
          <w:sz w:val="16"/>
        </w:rPr>
        <w:t xml:space="preserve"> </w:t>
      </w:r>
      <w:r>
        <w:rPr>
          <w:sz w:val="16"/>
        </w:rPr>
        <w:t>Water</w:t>
      </w:r>
      <w:r>
        <w:rPr>
          <w:spacing w:val="-4"/>
          <w:sz w:val="16"/>
        </w:rPr>
        <w:t xml:space="preserve"> </w:t>
      </w:r>
      <w:r>
        <w:rPr>
          <w:sz w:val="16"/>
        </w:rPr>
        <w:t>When</w:t>
      </w:r>
      <w:r>
        <w:rPr>
          <w:spacing w:val="-5"/>
          <w:sz w:val="16"/>
        </w:rPr>
        <w:t xml:space="preserve"> </w:t>
      </w:r>
      <w:r>
        <w:rPr>
          <w:sz w:val="16"/>
        </w:rPr>
        <w:t>They</w:t>
      </w:r>
      <w:r>
        <w:rPr>
          <w:spacing w:val="-5"/>
          <w:sz w:val="16"/>
        </w:rPr>
        <w:t xml:space="preserve"> </w:t>
      </w:r>
      <w:r>
        <w:rPr>
          <w:sz w:val="16"/>
        </w:rPr>
        <w:t>Need</w:t>
      </w:r>
      <w:r>
        <w:rPr>
          <w:spacing w:val="-5"/>
          <w:sz w:val="16"/>
        </w:rPr>
        <w:t xml:space="preserve"> It</w:t>
      </w:r>
    </w:p>
    <w:p w14:paraId="0CA3DFA7" w14:textId="77777777" w:rsidR="00141B97" w:rsidRDefault="00141B97">
      <w:pPr>
        <w:rPr>
          <w:sz w:val="16"/>
        </w:rPr>
        <w:sectPr w:rsidR="00141B97">
          <w:pgSz w:w="11910" w:h="16840"/>
          <w:pgMar w:top="1200" w:right="40" w:bottom="780" w:left="1020" w:header="0" w:footer="586" w:gutter="0"/>
          <w:cols w:space="720"/>
        </w:sectPr>
      </w:pPr>
    </w:p>
    <w:p w14:paraId="05C7B8F4" w14:textId="77777777" w:rsidR="00141B97" w:rsidRDefault="00911D63">
      <w:pPr>
        <w:pStyle w:val="BodyText"/>
        <w:spacing w:before="27"/>
        <w:ind w:left="113" w:right="1030"/>
      </w:pPr>
      <w:r>
        <w:lastRenderedPageBreak/>
        <w:t>Outcome</w:t>
      </w:r>
      <w:r>
        <w:rPr>
          <w:spacing w:val="-1"/>
        </w:rPr>
        <w:t xml:space="preserve"> </w:t>
      </w:r>
      <w:r>
        <w:t>3:</w:t>
      </w:r>
      <w:r>
        <w:rPr>
          <w:spacing w:val="-1"/>
        </w:rPr>
        <w:t xml:space="preserve"> </w:t>
      </w:r>
      <w:r>
        <w:t>Customer service</w:t>
      </w:r>
      <w:r>
        <w:rPr>
          <w:spacing w:val="-2"/>
        </w:rPr>
        <w:t xml:space="preserve"> </w:t>
      </w:r>
      <w:r>
        <w:t>avenues</w:t>
      </w:r>
      <w:r>
        <w:rPr>
          <w:spacing w:val="-1"/>
        </w:rPr>
        <w:t xml:space="preserve"> </w:t>
      </w:r>
      <w:r>
        <w:t>that</w:t>
      </w:r>
      <w:r>
        <w:rPr>
          <w:spacing w:val="-1"/>
        </w:rPr>
        <w:t xml:space="preserve"> </w:t>
      </w:r>
      <w:r>
        <w:t>are</w:t>
      </w:r>
      <w:r>
        <w:rPr>
          <w:spacing w:val="-3"/>
        </w:rPr>
        <w:t xml:space="preserve"> </w:t>
      </w:r>
      <w:r>
        <w:t>responsive</w:t>
      </w:r>
      <w:r>
        <w:rPr>
          <w:spacing w:val="-2"/>
        </w:rPr>
        <w:t xml:space="preserve"> </w:t>
      </w:r>
      <w:r>
        <w:t>to</w:t>
      </w:r>
      <w:r>
        <w:rPr>
          <w:spacing w:val="-3"/>
        </w:rPr>
        <w:t xml:space="preserve"> </w:t>
      </w:r>
      <w:r>
        <w:t>resolve requests/enquiries</w:t>
      </w:r>
      <w:r>
        <w:rPr>
          <w:spacing w:val="-2"/>
        </w:rPr>
        <w:t xml:space="preserve"> </w:t>
      </w:r>
      <w:r>
        <w:t>within</w:t>
      </w:r>
      <w:r>
        <w:rPr>
          <w:spacing w:val="-1"/>
        </w:rPr>
        <w:t xml:space="preserve"> </w:t>
      </w:r>
      <w:r>
        <w:t>the</w:t>
      </w:r>
      <w:r>
        <w:rPr>
          <w:spacing w:val="-2"/>
        </w:rPr>
        <w:t xml:space="preserve"> </w:t>
      </w:r>
      <w:r>
        <w:t xml:space="preserve">agreed </w:t>
      </w:r>
      <w:r>
        <w:rPr>
          <w:spacing w:val="-4"/>
        </w:rPr>
        <w:t>KPIs</w:t>
      </w:r>
    </w:p>
    <w:p w14:paraId="5A0F0D5B" w14:textId="77777777" w:rsidR="00141B97" w:rsidRDefault="00141B97">
      <w:pPr>
        <w:pStyle w:val="BodyText"/>
        <w:spacing w:before="5" w:after="1"/>
        <w:rPr>
          <w:sz w:val="1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283"/>
        <w:gridCol w:w="7382"/>
      </w:tblGrid>
      <w:tr w:rsidR="00141B97" w14:paraId="7170803D" w14:textId="77777777">
        <w:trPr>
          <w:trHeight w:val="660"/>
          <w:tblCellSpacing w:w="9" w:type="dxa"/>
        </w:trPr>
        <w:tc>
          <w:tcPr>
            <w:tcW w:w="2256" w:type="dxa"/>
            <w:tcBorders>
              <w:top w:val="nil"/>
              <w:left w:val="nil"/>
            </w:tcBorders>
            <w:shd w:val="clear" w:color="auto" w:fill="006CA3"/>
          </w:tcPr>
          <w:p w14:paraId="0E80360D" w14:textId="77777777" w:rsidR="00141B97" w:rsidRDefault="00911D63">
            <w:pPr>
              <w:pStyle w:val="TableParagraph"/>
              <w:spacing w:before="63"/>
              <w:ind w:left="88"/>
            </w:pPr>
            <w:r>
              <w:rPr>
                <w:color w:val="FFFFFF"/>
              </w:rPr>
              <w:t>What</w:t>
            </w:r>
            <w:r>
              <w:rPr>
                <w:color w:val="FFFFFF"/>
                <w:spacing w:val="-10"/>
              </w:rPr>
              <w:t xml:space="preserve"> </w:t>
            </w:r>
            <w:r>
              <w:rPr>
                <w:color w:val="FFFFFF"/>
              </w:rPr>
              <w:t>customers</w:t>
            </w:r>
            <w:r>
              <w:rPr>
                <w:color w:val="FFFFFF"/>
                <w:spacing w:val="-7"/>
              </w:rPr>
              <w:t xml:space="preserve"> </w:t>
            </w:r>
            <w:r>
              <w:rPr>
                <w:color w:val="FFFFFF"/>
              </w:rPr>
              <w:t xml:space="preserve">will </w:t>
            </w:r>
            <w:r>
              <w:rPr>
                <w:color w:val="FFFFFF"/>
                <w:spacing w:val="-2"/>
              </w:rPr>
              <w:t>receive</w:t>
            </w:r>
          </w:p>
        </w:tc>
        <w:tc>
          <w:tcPr>
            <w:tcW w:w="7355" w:type="dxa"/>
            <w:tcBorders>
              <w:top w:val="nil"/>
              <w:right w:val="nil"/>
            </w:tcBorders>
            <w:shd w:val="clear" w:color="auto" w:fill="006CA3"/>
          </w:tcPr>
          <w:p w14:paraId="67A649F7" w14:textId="77777777" w:rsidR="00141B97" w:rsidRDefault="00911D63">
            <w:pPr>
              <w:pStyle w:val="TableParagraph"/>
              <w:spacing w:before="63"/>
              <w:ind w:left="98"/>
            </w:pPr>
            <w:r>
              <w:rPr>
                <w:color w:val="FFFFFF"/>
              </w:rPr>
              <w:t>Outcome</w:t>
            </w:r>
            <w:r>
              <w:rPr>
                <w:color w:val="FFFFFF"/>
                <w:spacing w:val="-1"/>
              </w:rPr>
              <w:t xml:space="preserve"> </w:t>
            </w:r>
            <w:r>
              <w:rPr>
                <w:color w:val="FFFFFF"/>
              </w:rPr>
              <w:t>3:</w:t>
            </w:r>
            <w:r>
              <w:rPr>
                <w:color w:val="FFFFFF"/>
                <w:spacing w:val="-1"/>
              </w:rPr>
              <w:t xml:space="preserve"> </w:t>
            </w:r>
            <w:r>
              <w:rPr>
                <w:color w:val="FFFFFF"/>
              </w:rPr>
              <w:t>Customer Service</w:t>
            </w:r>
            <w:r>
              <w:rPr>
                <w:color w:val="FFFFFF"/>
                <w:spacing w:val="-2"/>
              </w:rPr>
              <w:t xml:space="preserve"> </w:t>
            </w:r>
            <w:r>
              <w:rPr>
                <w:color w:val="FFFFFF"/>
              </w:rPr>
              <w:t>avenues</w:t>
            </w:r>
            <w:r>
              <w:rPr>
                <w:color w:val="FFFFFF"/>
                <w:spacing w:val="-1"/>
              </w:rPr>
              <w:t xml:space="preserve"> </w:t>
            </w:r>
            <w:r>
              <w:rPr>
                <w:color w:val="FFFFFF"/>
              </w:rPr>
              <w:t>that</w:t>
            </w:r>
            <w:r>
              <w:rPr>
                <w:color w:val="FFFFFF"/>
                <w:spacing w:val="-1"/>
              </w:rPr>
              <w:t xml:space="preserve"> </w:t>
            </w:r>
            <w:r>
              <w:rPr>
                <w:color w:val="FFFFFF"/>
              </w:rPr>
              <w:t>are</w:t>
            </w:r>
            <w:r>
              <w:rPr>
                <w:color w:val="FFFFFF"/>
                <w:spacing w:val="-3"/>
              </w:rPr>
              <w:t xml:space="preserve"> </w:t>
            </w:r>
            <w:r>
              <w:rPr>
                <w:color w:val="FFFFFF"/>
              </w:rPr>
              <w:t>responsive</w:t>
            </w:r>
            <w:r>
              <w:rPr>
                <w:color w:val="FFFFFF"/>
                <w:spacing w:val="-2"/>
              </w:rPr>
              <w:t xml:space="preserve"> </w:t>
            </w:r>
            <w:r>
              <w:rPr>
                <w:color w:val="FFFFFF"/>
              </w:rPr>
              <w:t>to</w:t>
            </w:r>
            <w:r>
              <w:rPr>
                <w:color w:val="FFFFFF"/>
                <w:spacing w:val="-3"/>
              </w:rPr>
              <w:t xml:space="preserve"> </w:t>
            </w:r>
            <w:r>
              <w:rPr>
                <w:color w:val="FFFFFF"/>
              </w:rPr>
              <w:t>resolve requests/enquiries within the agreed KPIs</w:t>
            </w:r>
          </w:p>
        </w:tc>
      </w:tr>
      <w:tr w:rsidR="00141B97" w14:paraId="2E9F54BF" w14:textId="77777777">
        <w:trPr>
          <w:trHeight w:val="2195"/>
          <w:tblCellSpacing w:w="9" w:type="dxa"/>
        </w:trPr>
        <w:tc>
          <w:tcPr>
            <w:tcW w:w="2256" w:type="dxa"/>
            <w:tcBorders>
              <w:left w:val="nil"/>
            </w:tcBorders>
            <w:shd w:val="clear" w:color="auto" w:fill="CCE2ED"/>
          </w:tcPr>
          <w:p w14:paraId="03F49980" w14:textId="77777777" w:rsidR="00141B97" w:rsidRDefault="00911D63">
            <w:pPr>
              <w:pStyle w:val="TableParagraph"/>
              <w:ind w:left="88" w:right="207"/>
            </w:pPr>
            <w:r>
              <w:rPr>
                <w:spacing w:val="-2"/>
              </w:rPr>
              <w:t xml:space="preserve">Performance </w:t>
            </w:r>
            <w:r>
              <w:t>measures</w:t>
            </w:r>
            <w:r>
              <w:rPr>
                <w:spacing w:val="-9"/>
              </w:rPr>
              <w:t xml:space="preserve"> </w:t>
            </w:r>
            <w:r>
              <w:t>and</w:t>
            </w:r>
            <w:r>
              <w:rPr>
                <w:spacing w:val="-10"/>
              </w:rPr>
              <w:t xml:space="preserve"> </w:t>
            </w:r>
            <w:r>
              <w:t>targets</w:t>
            </w:r>
          </w:p>
        </w:tc>
        <w:tc>
          <w:tcPr>
            <w:tcW w:w="7355" w:type="dxa"/>
            <w:tcBorders>
              <w:right w:val="nil"/>
            </w:tcBorders>
            <w:shd w:val="clear" w:color="auto" w:fill="CCE2ED"/>
          </w:tcPr>
          <w:p w14:paraId="59B1885C" w14:textId="77777777" w:rsidR="00141B97" w:rsidRDefault="00911D63">
            <w:pPr>
              <w:pStyle w:val="TableParagraph"/>
              <w:numPr>
                <w:ilvl w:val="0"/>
                <w:numId w:val="24"/>
              </w:numPr>
              <w:tabs>
                <w:tab w:val="left" w:pos="413"/>
              </w:tabs>
              <w:ind w:right="560"/>
            </w:pPr>
            <w:r>
              <w:t>Resolve</w:t>
            </w:r>
            <w:r>
              <w:rPr>
                <w:spacing w:val="-2"/>
              </w:rPr>
              <w:t xml:space="preserve"> </w:t>
            </w:r>
            <w:r>
              <w:t>customer</w:t>
            </w:r>
            <w:r>
              <w:rPr>
                <w:spacing w:val="-2"/>
              </w:rPr>
              <w:t xml:space="preserve"> </w:t>
            </w:r>
            <w:r>
              <w:t>requests</w:t>
            </w:r>
            <w:r>
              <w:rPr>
                <w:spacing w:val="-1"/>
              </w:rPr>
              <w:t xml:space="preserve"> </w:t>
            </w:r>
            <w:r>
              <w:t>/</w:t>
            </w:r>
            <w:r>
              <w:rPr>
                <w:spacing w:val="-3"/>
              </w:rPr>
              <w:t xml:space="preserve"> </w:t>
            </w:r>
            <w:r>
              <w:t>enquiries</w:t>
            </w:r>
            <w:r>
              <w:rPr>
                <w:spacing w:val="-3"/>
              </w:rPr>
              <w:t xml:space="preserve"> </w:t>
            </w:r>
            <w:r>
              <w:t>within</w:t>
            </w:r>
            <w:r>
              <w:rPr>
                <w:spacing w:val="-2"/>
              </w:rPr>
              <w:t xml:space="preserve"> </w:t>
            </w:r>
            <w:r>
              <w:t>the</w:t>
            </w:r>
            <w:r>
              <w:rPr>
                <w:spacing w:val="-4"/>
              </w:rPr>
              <w:t xml:space="preserve"> </w:t>
            </w:r>
            <w:r>
              <w:t>defined</w:t>
            </w:r>
            <w:r>
              <w:rPr>
                <w:spacing w:val="-4"/>
              </w:rPr>
              <w:t xml:space="preserve"> </w:t>
            </w:r>
            <w:r>
              <w:t>response</w:t>
            </w:r>
            <w:r>
              <w:rPr>
                <w:spacing w:val="-4"/>
              </w:rPr>
              <w:t xml:space="preserve"> </w:t>
            </w:r>
            <w:r>
              <w:t>time (Mean Time to Resolve) – Target = % =/&gt; per year from 2024/25</w:t>
            </w:r>
          </w:p>
          <w:p w14:paraId="0AC9087E" w14:textId="77777777" w:rsidR="00141B97" w:rsidRDefault="00911D63">
            <w:pPr>
              <w:pStyle w:val="TableParagraph"/>
              <w:numPr>
                <w:ilvl w:val="0"/>
                <w:numId w:val="24"/>
              </w:numPr>
              <w:tabs>
                <w:tab w:val="left" w:pos="413"/>
              </w:tabs>
              <w:spacing w:before="1"/>
              <w:ind w:right="93"/>
            </w:pPr>
            <w:r>
              <w:t>Resolve</w:t>
            </w:r>
            <w:r>
              <w:rPr>
                <w:spacing w:val="-1"/>
              </w:rPr>
              <w:t xml:space="preserve"> </w:t>
            </w:r>
            <w:r>
              <w:t>customer</w:t>
            </w:r>
            <w:r>
              <w:rPr>
                <w:spacing w:val="-1"/>
              </w:rPr>
              <w:t xml:space="preserve"> </w:t>
            </w:r>
            <w:r>
              <w:t>requests /</w:t>
            </w:r>
            <w:r>
              <w:rPr>
                <w:spacing w:val="-2"/>
              </w:rPr>
              <w:t xml:space="preserve"> </w:t>
            </w:r>
            <w:r>
              <w:t>enquiries</w:t>
            </w:r>
            <w:r>
              <w:rPr>
                <w:spacing w:val="-2"/>
              </w:rPr>
              <w:t xml:space="preserve"> </w:t>
            </w:r>
            <w:r>
              <w:t>“First</w:t>
            </w:r>
            <w:r>
              <w:rPr>
                <w:spacing w:val="-2"/>
              </w:rPr>
              <w:t xml:space="preserve"> </w:t>
            </w:r>
            <w:r>
              <w:t>Time</w:t>
            </w:r>
            <w:r>
              <w:rPr>
                <w:spacing w:val="-2"/>
              </w:rPr>
              <w:t xml:space="preserve"> </w:t>
            </w:r>
            <w:r>
              <w:t>Right”</w:t>
            </w:r>
            <w:r>
              <w:rPr>
                <w:spacing w:val="-2"/>
              </w:rPr>
              <w:t xml:space="preserve"> </w:t>
            </w:r>
            <w:r>
              <w:t>–</w:t>
            </w:r>
            <w:r>
              <w:rPr>
                <w:spacing w:val="-2"/>
              </w:rPr>
              <w:t xml:space="preserve"> </w:t>
            </w:r>
            <w:r>
              <w:t>Target</w:t>
            </w:r>
            <w:r>
              <w:rPr>
                <w:spacing w:val="-1"/>
              </w:rPr>
              <w:t xml:space="preserve"> </w:t>
            </w:r>
            <w:r>
              <w:t>= %</w:t>
            </w:r>
            <w:r>
              <w:rPr>
                <w:spacing w:val="-3"/>
              </w:rPr>
              <w:t xml:space="preserve"> </w:t>
            </w:r>
            <w:r>
              <w:t>=/&gt;</w:t>
            </w:r>
            <w:r>
              <w:rPr>
                <w:spacing w:val="-1"/>
              </w:rPr>
              <w:t xml:space="preserve"> </w:t>
            </w:r>
            <w:r>
              <w:t>per year from 2024/25</w:t>
            </w:r>
          </w:p>
          <w:p w14:paraId="5D577FCC" w14:textId="77777777" w:rsidR="00141B97" w:rsidRDefault="00911D63">
            <w:pPr>
              <w:pStyle w:val="TableParagraph"/>
              <w:numPr>
                <w:ilvl w:val="0"/>
                <w:numId w:val="24"/>
              </w:numPr>
              <w:tabs>
                <w:tab w:val="left" w:pos="413"/>
              </w:tabs>
              <w:ind w:right="301"/>
            </w:pPr>
            <w:r>
              <w:t>Customers</w:t>
            </w:r>
            <w:r>
              <w:rPr>
                <w:spacing w:val="-2"/>
              </w:rPr>
              <w:t xml:space="preserve"> </w:t>
            </w:r>
            <w:r>
              <w:t>registered</w:t>
            </w:r>
            <w:r>
              <w:rPr>
                <w:spacing w:val="-2"/>
              </w:rPr>
              <w:t xml:space="preserve"> </w:t>
            </w:r>
            <w:r>
              <w:t>for</w:t>
            </w:r>
            <w:r>
              <w:rPr>
                <w:spacing w:val="-2"/>
              </w:rPr>
              <w:t xml:space="preserve"> </w:t>
            </w:r>
            <w:r>
              <w:t>self‐service</w:t>
            </w:r>
            <w:r>
              <w:rPr>
                <w:spacing w:val="-3"/>
              </w:rPr>
              <w:t xml:space="preserve"> </w:t>
            </w:r>
            <w:r>
              <w:t>portal</w:t>
            </w:r>
            <w:r>
              <w:rPr>
                <w:spacing w:val="-3"/>
              </w:rPr>
              <w:t xml:space="preserve"> </w:t>
            </w:r>
            <w:r>
              <w:t>–</w:t>
            </w:r>
            <w:r>
              <w:rPr>
                <w:spacing w:val="-3"/>
              </w:rPr>
              <w:t xml:space="preserve"> </w:t>
            </w:r>
            <w:r>
              <w:t>Target =</w:t>
            </w:r>
            <w:r>
              <w:rPr>
                <w:spacing w:val="-3"/>
              </w:rPr>
              <w:t xml:space="preserve"> </w:t>
            </w:r>
            <w:r>
              <w:t>10%</w:t>
            </w:r>
            <w:r>
              <w:rPr>
                <w:spacing w:val="-2"/>
              </w:rPr>
              <w:t xml:space="preserve"> </w:t>
            </w:r>
            <w:r>
              <w:t>in</w:t>
            </w:r>
            <w:r>
              <w:rPr>
                <w:spacing w:val="-2"/>
              </w:rPr>
              <w:t xml:space="preserve"> </w:t>
            </w:r>
            <w:r>
              <w:t>first</w:t>
            </w:r>
            <w:r>
              <w:rPr>
                <w:spacing w:val="-1"/>
              </w:rPr>
              <w:t xml:space="preserve"> </w:t>
            </w:r>
            <w:r>
              <w:t>year</w:t>
            </w:r>
            <w:r>
              <w:rPr>
                <w:spacing w:val="-2"/>
              </w:rPr>
              <w:t xml:space="preserve"> </w:t>
            </w:r>
            <w:r>
              <w:t>and 5% increase per Year for subsequent years</w:t>
            </w:r>
          </w:p>
          <w:p w14:paraId="00CE8D87" w14:textId="77777777" w:rsidR="00141B97" w:rsidRDefault="00911D63">
            <w:pPr>
              <w:pStyle w:val="TableParagraph"/>
              <w:numPr>
                <w:ilvl w:val="0"/>
                <w:numId w:val="24"/>
              </w:numPr>
              <w:tabs>
                <w:tab w:val="left" w:pos="413"/>
              </w:tabs>
              <w:spacing w:line="280" w:lineRule="exact"/>
            </w:pPr>
            <w:r>
              <w:t>Customer</w:t>
            </w:r>
            <w:r>
              <w:rPr>
                <w:spacing w:val="-7"/>
              </w:rPr>
              <w:t xml:space="preserve"> </w:t>
            </w:r>
            <w:r>
              <w:t>satisfaction</w:t>
            </w:r>
            <w:r>
              <w:rPr>
                <w:spacing w:val="-6"/>
              </w:rPr>
              <w:t xml:space="preserve"> </w:t>
            </w:r>
            <w:r>
              <w:t>for</w:t>
            </w:r>
            <w:r>
              <w:rPr>
                <w:spacing w:val="-8"/>
              </w:rPr>
              <w:t xml:space="preserve"> </w:t>
            </w:r>
            <w:r>
              <w:t>responsiveness</w:t>
            </w:r>
            <w:r>
              <w:rPr>
                <w:spacing w:val="-8"/>
              </w:rPr>
              <w:t xml:space="preserve"> </w:t>
            </w:r>
            <w:r>
              <w:t>to</w:t>
            </w:r>
            <w:r>
              <w:rPr>
                <w:spacing w:val="-6"/>
              </w:rPr>
              <w:t xml:space="preserve"> </w:t>
            </w:r>
            <w:r>
              <w:t>enquiry</w:t>
            </w:r>
            <w:r>
              <w:rPr>
                <w:spacing w:val="-8"/>
              </w:rPr>
              <w:t xml:space="preserve"> </w:t>
            </w:r>
            <w:r>
              <w:t>or</w:t>
            </w:r>
            <w:r>
              <w:rPr>
                <w:spacing w:val="-7"/>
              </w:rPr>
              <w:t xml:space="preserve"> </w:t>
            </w:r>
            <w:r>
              <w:t>request</w:t>
            </w:r>
            <w:r>
              <w:rPr>
                <w:spacing w:val="-7"/>
              </w:rPr>
              <w:t xml:space="preserve"> </w:t>
            </w:r>
            <w:r>
              <w:t>–</w:t>
            </w:r>
            <w:r>
              <w:rPr>
                <w:spacing w:val="-7"/>
              </w:rPr>
              <w:t xml:space="preserve"> </w:t>
            </w:r>
            <w:r>
              <w:t>Target</w:t>
            </w:r>
            <w:r>
              <w:rPr>
                <w:spacing w:val="-6"/>
              </w:rPr>
              <w:t xml:space="preserve"> </w:t>
            </w:r>
            <w:r>
              <w:rPr>
                <w:spacing w:val="-10"/>
              </w:rPr>
              <w:t>=</w:t>
            </w:r>
          </w:p>
          <w:p w14:paraId="0F183469" w14:textId="77777777" w:rsidR="00141B97" w:rsidRDefault="00911D63">
            <w:pPr>
              <w:pStyle w:val="TableParagraph"/>
              <w:spacing w:line="248" w:lineRule="exact"/>
              <w:ind w:left="412"/>
            </w:pPr>
            <w:r>
              <w:t>=/&gt;</w:t>
            </w:r>
            <w:r>
              <w:rPr>
                <w:spacing w:val="-6"/>
              </w:rPr>
              <w:t xml:space="preserve"> </w:t>
            </w:r>
            <w:r>
              <w:t>prior</w:t>
            </w:r>
            <w:r>
              <w:rPr>
                <w:spacing w:val="-6"/>
              </w:rPr>
              <w:t xml:space="preserve"> </w:t>
            </w:r>
            <w:r>
              <w:t>year</w:t>
            </w:r>
            <w:r>
              <w:rPr>
                <w:spacing w:val="-7"/>
              </w:rPr>
              <w:t xml:space="preserve"> </w:t>
            </w:r>
            <w:r>
              <w:t>performance</w:t>
            </w:r>
            <w:r>
              <w:rPr>
                <w:spacing w:val="-7"/>
              </w:rPr>
              <w:t xml:space="preserve"> </w:t>
            </w:r>
            <w:r>
              <w:t>of</w:t>
            </w:r>
            <w:r>
              <w:rPr>
                <w:spacing w:val="-7"/>
              </w:rPr>
              <w:t xml:space="preserve"> </w:t>
            </w:r>
            <w:r>
              <w:t>survey</w:t>
            </w:r>
            <w:r>
              <w:rPr>
                <w:spacing w:val="-6"/>
              </w:rPr>
              <w:t xml:space="preserve"> </w:t>
            </w:r>
            <w:r>
              <w:rPr>
                <w:spacing w:val="-2"/>
              </w:rPr>
              <w:t>respondents</w:t>
            </w:r>
          </w:p>
        </w:tc>
      </w:tr>
      <w:tr w:rsidR="00141B97" w14:paraId="7275534A" w14:textId="77777777">
        <w:trPr>
          <w:trHeight w:val="1682"/>
          <w:tblCellSpacing w:w="9" w:type="dxa"/>
        </w:trPr>
        <w:tc>
          <w:tcPr>
            <w:tcW w:w="2256" w:type="dxa"/>
            <w:tcBorders>
              <w:left w:val="nil"/>
            </w:tcBorders>
            <w:shd w:val="clear" w:color="auto" w:fill="CCE2ED"/>
          </w:tcPr>
          <w:p w14:paraId="3182F5FF" w14:textId="77777777" w:rsidR="00141B97" w:rsidRDefault="00911D63">
            <w:pPr>
              <w:pStyle w:val="TableParagraph"/>
              <w:ind w:left="88"/>
            </w:pPr>
            <w:r>
              <w:t>Major</w:t>
            </w:r>
            <w:r>
              <w:rPr>
                <w:spacing w:val="-10"/>
              </w:rPr>
              <w:t xml:space="preserve"> </w:t>
            </w:r>
            <w:r>
              <w:t>Change</w:t>
            </w:r>
            <w:r>
              <w:rPr>
                <w:spacing w:val="-10"/>
              </w:rPr>
              <w:t xml:space="preserve"> </w:t>
            </w:r>
            <w:r>
              <w:rPr>
                <w:spacing w:val="-2"/>
              </w:rPr>
              <w:t>Projects</w:t>
            </w:r>
          </w:p>
        </w:tc>
        <w:tc>
          <w:tcPr>
            <w:tcW w:w="7355" w:type="dxa"/>
            <w:tcBorders>
              <w:right w:val="nil"/>
            </w:tcBorders>
            <w:shd w:val="clear" w:color="auto" w:fill="CCE2ED"/>
          </w:tcPr>
          <w:p w14:paraId="0824083A" w14:textId="77777777" w:rsidR="00141B97" w:rsidRDefault="00911D63">
            <w:pPr>
              <w:pStyle w:val="TableParagraph"/>
              <w:numPr>
                <w:ilvl w:val="0"/>
                <w:numId w:val="23"/>
              </w:numPr>
              <w:tabs>
                <w:tab w:val="left" w:pos="413"/>
              </w:tabs>
              <w:ind w:right="572"/>
            </w:pPr>
            <w:r>
              <w:t>Deliver</w:t>
            </w:r>
            <w:r>
              <w:rPr>
                <w:spacing w:val="-2"/>
              </w:rPr>
              <w:t xml:space="preserve"> </w:t>
            </w:r>
            <w:r>
              <w:t>projects</w:t>
            </w:r>
            <w:r>
              <w:rPr>
                <w:spacing w:val="-3"/>
              </w:rPr>
              <w:t xml:space="preserve"> </w:t>
            </w:r>
            <w:r>
              <w:t>in</w:t>
            </w:r>
            <w:r>
              <w:rPr>
                <w:spacing w:val="-2"/>
              </w:rPr>
              <w:t xml:space="preserve"> </w:t>
            </w:r>
            <w:r>
              <w:t>Horizon</w:t>
            </w:r>
            <w:r>
              <w:rPr>
                <w:spacing w:val="-1"/>
              </w:rPr>
              <w:t xml:space="preserve"> </w:t>
            </w:r>
            <w:r>
              <w:t>2</w:t>
            </w:r>
            <w:r>
              <w:rPr>
                <w:spacing w:val="-3"/>
              </w:rPr>
              <w:t xml:space="preserve"> </w:t>
            </w:r>
            <w:r>
              <w:t>of</w:t>
            </w:r>
            <w:r>
              <w:rPr>
                <w:spacing w:val="-3"/>
              </w:rPr>
              <w:t xml:space="preserve"> </w:t>
            </w:r>
            <w:r>
              <w:t>the</w:t>
            </w:r>
            <w:r>
              <w:rPr>
                <w:spacing w:val="-3"/>
              </w:rPr>
              <w:t xml:space="preserve"> </w:t>
            </w:r>
            <w:r>
              <w:t>Business</w:t>
            </w:r>
            <w:r>
              <w:rPr>
                <w:spacing w:val="-3"/>
              </w:rPr>
              <w:t xml:space="preserve"> </w:t>
            </w:r>
            <w:r>
              <w:t>Transformation</w:t>
            </w:r>
            <w:r>
              <w:rPr>
                <w:spacing w:val="-1"/>
              </w:rPr>
              <w:t xml:space="preserve"> </w:t>
            </w:r>
            <w:r>
              <w:t>Program</w:t>
            </w:r>
            <w:r>
              <w:rPr>
                <w:spacing w:val="-3"/>
              </w:rPr>
              <w:t xml:space="preserve"> </w:t>
            </w:r>
            <w:r>
              <w:t>to improve the digital customer experience</w:t>
            </w:r>
          </w:p>
          <w:p w14:paraId="695C46F6" w14:textId="77777777" w:rsidR="00141B97" w:rsidRDefault="00911D63">
            <w:pPr>
              <w:pStyle w:val="TableParagraph"/>
              <w:numPr>
                <w:ilvl w:val="0"/>
                <w:numId w:val="23"/>
              </w:numPr>
              <w:tabs>
                <w:tab w:val="left" w:pos="413"/>
              </w:tabs>
              <w:spacing w:before="1" w:line="280" w:lineRule="exact"/>
            </w:pPr>
            <w:r>
              <w:t>Expand</w:t>
            </w:r>
            <w:r>
              <w:rPr>
                <w:spacing w:val="-9"/>
              </w:rPr>
              <w:t xml:space="preserve"> </w:t>
            </w:r>
            <w:r>
              <w:t>the</w:t>
            </w:r>
            <w:r>
              <w:rPr>
                <w:spacing w:val="-10"/>
              </w:rPr>
              <w:t xml:space="preserve"> </w:t>
            </w:r>
            <w:r>
              <w:t>Customer</w:t>
            </w:r>
            <w:r>
              <w:rPr>
                <w:spacing w:val="-9"/>
              </w:rPr>
              <w:t xml:space="preserve"> </w:t>
            </w:r>
            <w:r>
              <w:t>Portal</w:t>
            </w:r>
            <w:r>
              <w:rPr>
                <w:spacing w:val="-10"/>
              </w:rPr>
              <w:t xml:space="preserve"> </w:t>
            </w:r>
            <w:r>
              <w:rPr>
                <w:spacing w:val="-2"/>
              </w:rPr>
              <w:t>functionality</w:t>
            </w:r>
          </w:p>
          <w:p w14:paraId="141B422B" w14:textId="77777777" w:rsidR="00141B97" w:rsidRDefault="00911D63">
            <w:pPr>
              <w:pStyle w:val="TableParagraph"/>
              <w:numPr>
                <w:ilvl w:val="0"/>
                <w:numId w:val="23"/>
              </w:numPr>
              <w:tabs>
                <w:tab w:val="left" w:pos="413"/>
              </w:tabs>
              <w:spacing w:line="280" w:lineRule="exact"/>
            </w:pPr>
            <w:r>
              <w:t>Invest</w:t>
            </w:r>
            <w:r>
              <w:rPr>
                <w:spacing w:val="-8"/>
              </w:rPr>
              <w:t xml:space="preserve"> </w:t>
            </w:r>
            <w:r>
              <w:t>in</w:t>
            </w:r>
            <w:r>
              <w:rPr>
                <w:spacing w:val="-7"/>
              </w:rPr>
              <w:t xml:space="preserve"> </w:t>
            </w:r>
            <w:r>
              <w:t>mobility</w:t>
            </w:r>
            <w:r>
              <w:rPr>
                <w:spacing w:val="-7"/>
              </w:rPr>
              <w:t xml:space="preserve"> </w:t>
            </w:r>
            <w:r>
              <w:t>to</w:t>
            </w:r>
            <w:r>
              <w:rPr>
                <w:spacing w:val="-8"/>
              </w:rPr>
              <w:t xml:space="preserve"> </w:t>
            </w:r>
            <w:r>
              <w:t>allow</w:t>
            </w:r>
            <w:r>
              <w:rPr>
                <w:spacing w:val="-6"/>
              </w:rPr>
              <w:t xml:space="preserve"> </w:t>
            </w:r>
            <w:r>
              <w:t>in‐field</w:t>
            </w:r>
            <w:r>
              <w:rPr>
                <w:spacing w:val="-6"/>
              </w:rPr>
              <w:t xml:space="preserve"> </w:t>
            </w:r>
            <w:r>
              <w:t>resolution</w:t>
            </w:r>
            <w:r>
              <w:rPr>
                <w:spacing w:val="-7"/>
              </w:rPr>
              <w:t xml:space="preserve"> </w:t>
            </w:r>
            <w:r>
              <w:t>of</w:t>
            </w:r>
            <w:r>
              <w:rPr>
                <w:spacing w:val="-7"/>
              </w:rPr>
              <w:t xml:space="preserve"> </w:t>
            </w:r>
            <w:r>
              <w:rPr>
                <w:spacing w:val="-2"/>
              </w:rPr>
              <w:t>issues</w:t>
            </w:r>
          </w:p>
          <w:p w14:paraId="74C631E7" w14:textId="77777777" w:rsidR="00141B97" w:rsidRDefault="00911D63">
            <w:pPr>
              <w:pStyle w:val="TableParagraph"/>
              <w:numPr>
                <w:ilvl w:val="0"/>
                <w:numId w:val="23"/>
              </w:numPr>
              <w:tabs>
                <w:tab w:val="left" w:pos="413"/>
              </w:tabs>
            </w:pPr>
            <w:r>
              <w:t>Expand</w:t>
            </w:r>
            <w:r>
              <w:rPr>
                <w:spacing w:val="-9"/>
              </w:rPr>
              <w:t xml:space="preserve"> </w:t>
            </w:r>
            <w:r>
              <w:t>and</w:t>
            </w:r>
            <w:r>
              <w:rPr>
                <w:spacing w:val="-8"/>
              </w:rPr>
              <w:t xml:space="preserve"> </w:t>
            </w:r>
            <w:r>
              <w:t>enhance</w:t>
            </w:r>
            <w:r>
              <w:rPr>
                <w:spacing w:val="-9"/>
              </w:rPr>
              <w:t xml:space="preserve"> </w:t>
            </w:r>
            <w:r>
              <w:t>customer</w:t>
            </w:r>
            <w:r>
              <w:rPr>
                <w:spacing w:val="-8"/>
              </w:rPr>
              <w:t xml:space="preserve"> </w:t>
            </w:r>
            <w:r>
              <w:t>feedback</w:t>
            </w:r>
            <w:r>
              <w:rPr>
                <w:spacing w:val="-8"/>
              </w:rPr>
              <w:t xml:space="preserve"> </w:t>
            </w:r>
            <w:r>
              <w:rPr>
                <w:spacing w:val="-2"/>
              </w:rPr>
              <w:t>mechanisms</w:t>
            </w:r>
          </w:p>
        </w:tc>
      </w:tr>
      <w:tr w:rsidR="00141B97" w14:paraId="08412056" w14:textId="77777777">
        <w:trPr>
          <w:trHeight w:val="5267"/>
          <w:tblCellSpacing w:w="9" w:type="dxa"/>
        </w:trPr>
        <w:tc>
          <w:tcPr>
            <w:tcW w:w="2256" w:type="dxa"/>
            <w:tcBorders>
              <w:left w:val="nil"/>
            </w:tcBorders>
            <w:shd w:val="clear" w:color="auto" w:fill="CCE2ED"/>
          </w:tcPr>
          <w:p w14:paraId="1A093F23" w14:textId="77777777" w:rsidR="00141B97" w:rsidRDefault="00911D63">
            <w:pPr>
              <w:pStyle w:val="TableParagraph"/>
              <w:spacing w:before="1"/>
              <w:ind w:left="88" w:right="207"/>
            </w:pPr>
            <w:r>
              <w:t>Key</w:t>
            </w:r>
            <w:r>
              <w:rPr>
                <w:spacing w:val="-13"/>
              </w:rPr>
              <w:t xml:space="preserve"> </w:t>
            </w:r>
            <w:r>
              <w:t xml:space="preserve">Operational </w:t>
            </w:r>
            <w:r>
              <w:rPr>
                <w:spacing w:val="-2"/>
              </w:rPr>
              <w:t>Activities</w:t>
            </w:r>
          </w:p>
        </w:tc>
        <w:tc>
          <w:tcPr>
            <w:tcW w:w="7355" w:type="dxa"/>
            <w:tcBorders>
              <w:right w:val="nil"/>
            </w:tcBorders>
            <w:shd w:val="clear" w:color="auto" w:fill="CCE2ED"/>
          </w:tcPr>
          <w:p w14:paraId="6FC7E1ED" w14:textId="77777777" w:rsidR="00141B97" w:rsidRDefault="00911D63">
            <w:pPr>
              <w:pStyle w:val="TableParagraph"/>
              <w:numPr>
                <w:ilvl w:val="0"/>
                <w:numId w:val="22"/>
              </w:numPr>
              <w:tabs>
                <w:tab w:val="left" w:pos="413"/>
              </w:tabs>
            </w:pPr>
            <w:r>
              <w:t>Manage</w:t>
            </w:r>
            <w:r>
              <w:rPr>
                <w:spacing w:val="-10"/>
              </w:rPr>
              <w:t xml:space="preserve"> </w:t>
            </w:r>
            <w:r>
              <w:t>an</w:t>
            </w:r>
            <w:r>
              <w:rPr>
                <w:spacing w:val="-9"/>
              </w:rPr>
              <w:t xml:space="preserve"> </w:t>
            </w:r>
            <w:r>
              <w:t>efficient,</w:t>
            </w:r>
            <w:r>
              <w:rPr>
                <w:spacing w:val="-9"/>
              </w:rPr>
              <w:t xml:space="preserve"> </w:t>
            </w:r>
            <w:r>
              <w:t>customer‐responsive</w:t>
            </w:r>
            <w:r>
              <w:rPr>
                <w:spacing w:val="-10"/>
              </w:rPr>
              <w:t xml:space="preserve"> </w:t>
            </w:r>
            <w:r>
              <w:t>water</w:t>
            </w:r>
            <w:r>
              <w:rPr>
                <w:spacing w:val="-9"/>
              </w:rPr>
              <w:t xml:space="preserve"> </w:t>
            </w:r>
            <w:r>
              <w:t>ordering</w:t>
            </w:r>
            <w:r>
              <w:rPr>
                <w:spacing w:val="-9"/>
              </w:rPr>
              <w:t xml:space="preserve"> </w:t>
            </w:r>
            <w:r>
              <w:t>and</w:t>
            </w:r>
            <w:r>
              <w:rPr>
                <w:spacing w:val="-9"/>
              </w:rPr>
              <w:t xml:space="preserve"> </w:t>
            </w:r>
            <w:r>
              <w:t>control</w:t>
            </w:r>
            <w:r>
              <w:rPr>
                <w:spacing w:val="-11"/>
              </w:rPr>
              <w:t xml:space="preserve"> </w:t>
            </w:r>
            <w:r>
              <w:rPr>
                <w:spacing w:val="-2"/>
              </w:rPr>
              <w:t>system</w:t>
            </w:r>
          </w:p>
          <w:p w14:paraId="6233347C" w14:textId="77777777" w:rsidR="00141B97" w:rsidRDefault="00911D63">
            <w:pPr>
              <w:pStyle w:val="TableParagraph"/>
              <w:numPr>
                <w:ilvl w:val="0"/>
                <w:numId w:val="22"/>
              </w:numPr>
              <w:tabs>
                <w:tab w:val="left" w:pos="413"/>
              </w:tabs>
              <w:spacing w:before="1" w:line="280" w:lineRule="exact"/>
            </w:pPr>
            <w:r>
              <w:rPr>
                <w:spacing w:val="-2"/>
              </w:rPr>
              <w:t>Responsive</w:t>
            </w:r>
            <w:r>
              <w:rPr>
                <w:spacing w:val="3"/>
              </w:rPr>
              <w:t xml:space="preserve"> </w:t>
            </w:r>
            <w:r>
              <w:rPr>
                <w:spacing w:val="-2"/>
              </w:rPr>
              <w:t>service</w:t>
            </w:r>
            <w:r>
              <w:rPr>
                <w:spacing w:val="5"/>
              </w:rPr>
              <w:t xml:space="preserve"> </w:t>
            </w:r>
            <w:r>
              <w:rPr>
                <w:spacing w:val="-2"/>
              </w:rPr>
              <w:t>channels</w:t>
            </w:r>
          </w:p>
          <w:p w14:paraId="61716EC2" w14:textId="77777777" w:rsidR="00141B97" w:rsidRDefault="00911D63">
            <w:pPr>
              <w:pStyle w:val="TableParagraph"/>
              <w:numPr>
                <w:ilvl w:val="0"/>
                <w:numId w:val="22"/>
              </w:numPr>
              <w:tabs>
                <w:tab w:val="left" w:pos="413"/>
              </w:tabs>
              <w:spacing w:line="280" w:lineRule="exact"/>
            </w:pPr>
            <w:r>
              <w:rPr>
                <w:spacing w:val="-2"/>
              </w:rPr>
              <w:t>Customer</w:t>
            </w:r>
            <w:r>
              <w:rPr>
                <w:spacing w:val="8"/>
              </w:rPr>
              <w:t xml:space="preserve"> </w:t>
            </w:r>
            <w:r>
              <w:rPr>
                <w:spacing w:val="-2"/>
              </w:rPr>
              <w:t>Portal</w:t>
            </w:r>
            <w:r>
              <w:rPr>
                <w:spacing w:val="7"/>
              </w:rPr>
              <w:t xml:space="preserve"> </w:t>
            </w:r>
            <w:r>
              <w:rPr>
                <w:spacing w:val="-2"/>
              </w:rPr>
              <w:t>(Self‐Service,</w:t>
            </w:r>
            <w:r>
              <w:rPr>
                <w:spacing w:val="7"/>
              </w:rPr>
              <w:t xml:space="preserve"> </w:t>
            </w:r>
            <w:r>
              <w:rPr>
                <w:spacing w:val="-2"/>
              </w:rPr>
              <w:t>Self‐Enablement,</w:t>
            </w:r>
            <w:r>
              <w:rPr>
                <w:spacing w:val="8"/>
              </w:rPr>
              <w:t xml:space="preserve"> </w:t>
            </w:r>
            <w:r>
              <w:rPr>
                <w:spacing w:val="-2"/>
              </w:rPr>
              <w:t>Service</w:t>
            </w:r>
            <w:r>
              <w:rPr>
                <w:spacing w:val="8"/>
              </w:rPr>
              <w:t xml:space="preserve"> </w:t>
            </w:r>
            <w:r>
              <w:rPr>
                <w:spacing w:val="-2"/>
              </w:rPr>
              <w:t>Request)</w:t>
            </w:r>
          </w:p>
          <w:p w14:paraId="57B2F007" w14:textId="77777777" w:rsidR="00141B97" w:rsidRDefault="00911D63">
            <w:pPr>
              <w:pStyle w:val="TableParagraph"/>
              <w:numPr>
                <w:ilvl w:val="0"/>
                <w:numId w:val="22"/>
              </w:numPr>
              <w:tabs>
                <w:tab w:val="left" w:pos="413"/>
              </w:tabs>
            </w:pPr>
            <w:r>
              <w:t>Contact</w:t>
            </w:r>
            <w:r>
              <w:rPr>
                <w:spacing w:val="-9"/>
              </w:rPr>
              <w:t xml:space="preserve"> </w:t>
            </w:r>
            <w:r>
              <w:t>Centre</w:t>
            </w:r>
            <w:r>
              <w:rPr>
                <w:spacing w:val="-9"/>
              </w:rPr>
              <w:t xml:space="preserve"> </w:t>
            </w:r>
            <w:r>
              <w:t>(Phone,</w:t>
            </w:r>
            <w:r>
              <w:rPr>
                <w:spacing w:val="-9"/>
              </w:rPr>
              <w:t xml:space="preserve"> </w:t>
            </w:r>
            <w:r>
              <w:t>Walk‐In,</w:t>
            </w:r>
            <w:r>
              <w:rPr>
                <w:spacing w:val="-9"/>
              </w:rPr>
              <w:t xml:space="preserve"> </w:t>
            </w:r>
            <w:r>
              <w:t>Online</w:t>
            </w:r>
            <w:r>
              <w:rPr>
                <w:spacing w:val="-8"/>
              </w:rPr>
              <w:t xml:space="preserve"> </w:t>
            </w:r>
            <w:r>
              <w:rPr>
                <w:spacing w:val="-2"/>
              </w:rPr>
              <w:t>Chat)</w:t>
            </w:r>
          </w:p>
          <w:p w14:paraId="06AF176F" w14:textId="77777777" w:rsidR="00141B97" w:rsidRDefault="00911D63">
            <w:pPr>
              <w:pStyle w:val="TableParagraph"/>
              <w:numPr>
                <w:ilvl w:val="0"/>
                <w:numId w:val="22"/>
              </w:numPr>
              <w:tabs>
                <w:tab w:val="left" w:pos="413"/>
              </w:tabs>
              <w:spacing w:before="1" w:line="280" w:lineRule="exact"/>
            </w:pPr>
            <w:r>
              <w:t>Afterhours</w:t>
            </w:r>
            <w:r>
              <w:rPr>
                <w:spacing w:val="-7"/>
              </w:rPr>
              <w:t xml:space="preserve"> </w:t>
            </w:r>
            <w:r>
              <w:t>Services</w:t>
            </w:r>
            <w:r>
              <w:rPr>
                <w:spacing w:val="-9"/>
              </w:rPr>
              <w:t xml:space="preserve"> </w:t>
            </w:r>
            <w:r>
              <w:t>(Fault</w:t>
            </w:r>
            <w:r>
              <w:rPr>
                <w:spacing w:val="-7"/>
              </w:rPr>
              <w:t xml:space="preserve"> </w:t>
            </w:r>
            <w:r>
              <w:t>&amp;</w:t>
            </w:r>
            <w:r>
              <w:rPr>
                <w:spacing w:val="-9"/>
              </w:rPr>
              <w:t xml:space="preserve"> </w:t>
            </w:r>
            <w:r>
              <w:rPr>
                <w:spacing w:val="-2"/>
              </w:rPr>
              <w:t>Emergency)</w:t>
            </w:r>
          </w:p>
          <w:p w14:paraId="0622BD77" w14:textId="77777777" w:rsidR="00141B97" w:rsidRDefault="00911D63">
            <w:pPr>
              <w:pStyle w:val="TableParagraph"/>
              <w:numPr>
                <w:ilvl w:val="0"/>
                <w:numId w:val="22"/>
              </w:numPr>
              <w:tabs>
                <w:tab w:val="left" w:pos="413"/>
              </w:tabs>
              <w:ind w:right="847"/>
            </w:pPr>
            <w:r>
              <w:t>Capture</w:t>
            </w:r>
            <w:r>
              <w:rPr>
                <w:spacing w:val="-2"/>
              </w:rPr>
              <w:t xml:space="preserve"> </w:t>
            </w:r>
            <w:r>
              <w:t>all</w:t>
            </w:r>
            <w:r>
              <w:rPr>
                <w:spacing w:val="-4"/>
              </w:rPr>
              <w:t xml:space="preserve"> </w:t>
            </w:r>
            <w:r>
              <w:t>customer</w:t>
            </w:r>
            <w:r>
              <w:rPr>
                <w:spacing w:val="-3"/>
              </w:rPr>
              <w:t xml:space="preserve"> </w:t>
            </w:r>
            <w:r>
              <w:t>requests</w:t>
            </w:r>
            <w:r>
              <w:rPr>
                <w:spacing w:val="-3"/>
              </w:rPr>
              <w:t xml:space="preserve"> </w:t>
            </w:r>
            <w:r>
              <w:t>/</w:t>
            </w:r>
            <w:r>
              <w:rPr>
                <w:spacing w:val="-2"/>
              </w:rPr>
              <w:t xml:space="preserve"> </w:t>
            </w:r>
            <w:r>
              <w:t>enquiries</w:t>
            </w:r>
            <w:r>
              <w:rPr>
                <w:spacing w:val="-3"/>
              </w:rPr>
              <w:t xml:space="preserve"> </w:t>
            </w:r>
            <w:r>
              <w:t>in</w:t>
            </w:r>
            <w:r>
              <w:rPr>
                <w:spacing w:val="-2"/>
              </w:rPr>
              <w:t xml:space="preserve"> </w:t>
            </w:r>
            <w:r>
              <w:t>a</w:t>
            </w:r>
            <w:r>
              <w:rPr>
                <w:spacing w:val="-3"/>
              </w:rPr>
              <w:t xml:space="preserve"> </w:t>
            </w:r>
            <w:r>
              <w:t>Customer</w:t>
            </w:r>
            <w:r>
              <w:rPr>
                <w:spacing w:val="-2"/>
              </w:rPr>
              <w:t xml:space="preserve"> </w:t>
            </w:r>
            <w:r>
              <w:t>Relationship Management System.</w:t>
            </w:r>
          </w:p>
          <w:p w14:paraId="7DCB4449" w14:textId="77777777" w:rsidR="00141B97" w:rsidRDefault="00911D63">
            <w:pPr>
              <w:pStyle w:val="TableParagraph"/>
              <w:numPr>
                <w:ilvl w:val="0"/>
                <w:numId w:val="22"/>
              </w:numPr>
              <w:tabs>
                <w:tab w:val="left" w:pos="413"/>
              </w:tabs>
              <w:ind w:right="224"/>
            </w:pPr>
            <w:r>
              <w:t>Respond</w:t>
            </w:r>
            <w:r>
              <w:rPr>
                <w:spacing w:val="-2"/>
              </w:rPr>
              <w:t xml:space="preserve"> </w:t>
            </w:r>
            <w:r>
              <w:t>promptly</w:t>
            </w:r>
            <w:r>
              <w:rPr>
                <w:spacing w:val="-1"/>
              </w:rPr>
              <w:t xml:space="preserve"> </w:t>
            </w:r>
            <w:r>
              <w:t>and</w:t>
            </w:r>
            <w:r>
              <w:rPr>
                <w:spacing w:val="-2"/>
              </w:rPr>
              <w:t xml:space="preserve"> </w:t>
            </w:r>
            <w:r>
              <w:t>effectively</w:t>
            </w:r>
            <w:r>
              <w:rPr>
                <w:spacing w:val="-2"/>
              </w:rPr>
              <w:t xml:space="preserve"> </w:t>
            </w:r>
            <w:r>
              <w:t>to</w:t>
            </w:r>
            <w:r>
              <w:rPr>
                <w:spacing w:val="-2"/>
              </w:rPr>
              <w:t xml:space="preserve"> </w:t>
            </w:r>
            <w:r>
              <w:t>service</w:t>
            </w:r>
            <w:r>
              <w:rPr>
                <w:spacing w:val="-3"/>
              </w:rPr>
              <w:t xml:space="preserve"> </w:t>
            </w:r>
            <w:r>
              <w:t>requests</w:t>
            </w:r>
            <w:r>
              <w:rPr>
                <w:spacing w:val="-3"/>
              </w:rPr>
              <w:t xml:space="preserve"> </w:t>
            </w:r>
            <w:r>
              <w:t>and</w:t>
            </w:r>
            <w:r>
              <w:rPr>
                <w:spacing w:val="-2"/>
              </w:rPr>
              <w:t xml:space="preserve"> </w:t>
            </w:r>
            <w:r>
              <w:t>complaints</w:t>
            </w:r>
            <w:r>
              <w:rPr>
                <w:spacing w:val="-2"/>
              </w:rPr>
              <w:t xml:space="preserve"> </w:t>
            </w:r>
            <w:r>
              <w:t>within agreed Mean Time to Resolve (MTTR)</w:t>
            </w:r>
          </w:p>
          <w:p w14:paraId="7A079E5A" w14:textId="77777777" w:rsidR="00141B97" w:rsidRDefault="00911D63">
            <w:pPr>
              <w:pStyle w:val="TableParagraph"/>
              <w:numPr>
                <w:ilvl w:val="0"/>
                <w:numId w:val="22"/>
              </w:numPr>
              <w:tabs>
                <w:tab w:val="left" w:pos="413"/>
              </w:tabs>
              <w:spacing w:line="280" w:lineRule="exact"/>
            </w:pPr>
            <w:r>
              <w:t>Defined</w:t>
            </w:r>
            <w:r>
              <w:rPr>
                <w:spacing w:val="-9"/>
              </w:rPr>
              <w:t xml:space="preserve"> </w:t>
            </w:r>
            <w:r>
              <w:t>Services</w:t>
            </w:r>
            <w:r>
              <w:rPr>
                <w:spacing w:val="-10"/>
              </w:rPr>
              <w:t xml:space="preserve"> </w:t>
            </w:r>
            <w:r>
              <w:t>Catalogue</w:t>
            </w:r>
            <w:r>
              <w:rPr>
                <w:spacing w:val="-9"/>
              </w:rPr>
              <w:t xml:space="preserve"> </w:t>
            </w:r>
            <w:r>
              <w:t>with</w:t>
            </w:r>
            <w:r>
              <w:rPr>
                <w:spacing w:val="-9"/>
              </w:rPr>
              <w:t xml:space="preserve"> </w:t>
            </w:r>
            <w:r>
              <w:t>Service</w:t>
            </w:r>
            <w:r>
              <w:rPr>
                <w:spacing w:val="-8"/>
              </w:rPr>
              <w:t xml:space="preserve"> </w:t>
            </w:r>
            <w:r>
              <w:rPr>
                <w:spacing w:val="-2"/>
              </w:rPr>
              <w:t>KPI’s</w:t>
            </w:r>
          </w:p>
          <w:p w14:paraId="1152CA06" w14:textId="77777777" w:rsidR="00141B97" w:rsidRDefault="00911D63">
            <w:pPr>
              <w:pStyle w:val="TableParagraph"/>
              <w:numPr>
                <w:ilvl w:val="0"/>
                <w:numId w:val="22"/>
              </w:numPr>
              <w:tabs>
                <w:tab w:val="left" w:pos="413"/>
              </w:tabs>
              <w:ind w:right="843"/>
            </w:pPr>
            <w:r>
              <w:t>Deliver</w:t>
            </w:r>
            <w:r>
              <w:rPr>
                <w:spacing w:val="-3"/>
              </w:rPr>
              <w:t xml:space="preserve"> </w:t>
            </w:r>
            <w:r>
              <w:t>open</w:t>
            </w:r>
            <w:r>
              <w:rPr>
                <w:spacing w:val="-1"/>
              </w:rPr>
              <w:t xml:space="preserve"> </w:t>
            </w:r>
            <w:r>
              <w:t>and</w:t>
            </w:r>
            <w:r>
              <w:rPr>
                <w:spacing w:val="-4"/>
              </w:rPr>
              <w:t xml:space="preserve"> </w:t>
            </w:r>
            <w:r>
              <w:t>transparent</w:t>
            </w:r>
            <w:r>
              <w:rPr>
                <w:spacing w:val="-4"/>
              </w:rPr>
              <w:t xml:space="preserve"> </w:t>
            </w:r>
            <w:r>
              <w:t>customer</w:t>
            </w:r>
            <w:r>
              <w:rPr>
                <w:spacing w:val="-2"/>
              </w:rPr>
              <w:t xml:space="preserve"> </w:t>
            </w:r>
            <w:r>
              <w:t>and</w:t>
            </w:r>
            <w:r>
              <w:rPr>
                <w:spacing w:val="-3"/>
              </w:rPr>
              <w:t xml:space="preserve"> </w:t>
            </w:r>
            <w:r>
              <w:t>community</w:t>
            </w:r>
            <w:r>
              <w:rPr>
                <w:spacing w:val="-3"/>
              </w:rPr>
              <w:t xml:space="preserve"> </w:t>
            </w:r>
            <w:r>
              <w:t xml:space="preserve">engagement </w:t>
            </w:r>
            <w:r>
              <w:rPr>
                <w:spacing w:val="-2"/>
              </w:rPr>
              <w:t>program</w:t>
            </w:r>
          </w:p>
          <w:p w14:paraId="301D0E3D" w14:textId="77777777" w:rsidR="00141B97" w:rsidRDefault="00911D63">
            <w:pPr>
              <w:pStyle w:val="TableParagraph"/>
              <w:numPr>
                <w:ilvl w:val="0"/>
                <w:numId w:val="22"/>
              </w:numPr>
              <w:tabs>
                <w:tab w:val="left" w:pos="413"/>
              </w:tabs>
              <w:spacing w:before="1" w:line="280" w:lineRule="exact"/>
            </w:pPr>
            <w:r>
              <w:t>On</w:t>
            </w:r>
            <w:r>
              <w:rPr>
                <w:spacing w:val="-7"/>
              </w:rPr>
              <w:t xml:space="preserve"> </w:t>
            </w:r>
            <w:r>
              <w:t>farm</w:t>
            </w:r>
            <w:r>
              <w:rPr>
                <w:spacing w:val="-6"/>
              </w:rPr>
              <w:t xml:space="preserve"> </w:t>
            </w:r>
            <w:r>
              <w:t>business</w:t>
            </w:r>
            <w:r>
              <w:rPr>
                <w:spacing w:val="-6"/>
              </w:rPr>
              <w:t xml:space="preserve"> </w:t>
            </w:r>
            <w:r>
              <w:t>to</w:t>
            </w:r>
            <w:r>
              <w:rPr>
                <w:spacing w:val="-6"/>
              </w:rPr>
              <w:t xml:space="preserve"> </w:t>
            </w:r>
            <w:r>
              <w:t>business</w:t>
            </w:r>
            <w:r>
              <w:rPr>
                <w:spacing w:val="-6"/>
              </w:rPr>
              <w:t xml:space="preserve"> </w:t>
            </w:r>
            <w:r>
              <w:rPr>
                <w:spacing w:val="-2"/>
              </w:rPr>
              <w:t>engagement</w:t>
            </w:r>
          </w:p>
          <w:p w14:paraId="65B80DA1" w14:textId="77777777" w:rsidR="00141B97" w:rsidRDefault="00911D63">
            <w:pPr>
              <w:pStyle w:val="TableParagraph"/>
              <w:numPr>
                <w:ilvl w:val="0"/>
                <w:numId w:val="22"/>
              </w:numPr>
              <w:tabs>
                <w:tab w:val="left" w:pos="413"/>
              </w:tabs>
              <w:spacing w:line="280" w:lineRule="exact"/>
            </w:pPr>
            <w:r>
              <w:t>Minimum</w:t>
            </w:r>
            <w:r>
              <w:rPr>
                <w:spacing w:val="-5"/>
              </w:rPr>
              <w:t xml:space="preserve"> </w:t>
            </w:r>
            <w:r>
              <w:t>of</w:t>
            </w:r>
            <w:r>
              <w:rPr>
                <w:spacing w:val="-3"/>
              </w:rPr>
              <w:t xml:space="preserve"> </w:t>
            </w:r>
            <w:r>
              <w:t>1</w:t>
            </w:r>
            <w:r>
              <w:rPr>
                <w:spacing w:val="-6"/>
              </w:rPr>
              <w:t xml:space="preserve"> </w:t>
            </w:r>
            <w:r>
              <w:t>in‐field</w:t>
            </w:r>
            <w:r>
              <w:rPr>
                <w:spacing w:val="-5"/>
              </w:rPr>
              <w:t xml:space="preserve"> </w:t>
            </w:r>
            <w:r>
              <w:t>CSAC</w:t>
            </w:r>
            <w:r>
              <w:rPr>
                <w:spacing w:val="-6"/>
              </w:rPr>
              <w:t xml:space="preserve"> </w:t>
            </w:r>
            <w:r>
              <w:t>meeting</w:t>
            </w:r>
            <w:r>
              <w:rPr>
                <w:spacing w:val="-5"/>
              </w:rPr>
              <w:t xml:space="preserve"> </w:t>
            </w:r>
            <w:r>
              <w:t>per</w:t>
            </w:r>
            <w:r>
              <w:rPr>
                <w:spacing w:val="-6"/>
              </w:rPr>
              <w:t xml:space="preserve"> </w:t>
            </w:r>
            <w:r>
              <w:t>district</w:t>
            </w:r>
            <w:r>
              <w:rPr>
                <w:spacing w:val="-5"/>
              </w:rPr>
              <w:t xml:space="preserve"> </w:t>
            </w:r>
            <w:r>
              <w:t>per</w:t>
            </w:r>
            <w:r>
              <w:rPr>
                <w:spacing w:val="-5"/>
              </w:rPr>
              <w:t xml:space="preserve"> </w:t>
            </w:r>
            <w:r>
              <w:rPr>
                <w:spacing w:val="-4"/>
              </w:rPr>
              <w:t>year</w:t>
            </w:r>
          </w:p>
          <w:p w14:paraId="60EFC0AA" w14:textId="77777777" w:rsidR="00141B97" w:rsidRDefault="00911D63">
            <w:pPr>
              <w:pStyle w:val="TableParagraph"/>
              <w:numPr>
                <w:ilvl w:val="0"/>
                <w:numId w:val="22"/>
              </w:numPr>
              <w:tabs>
                <w:tab w:val="left" w:pos="413"/>
              </w:tabs>
              <w:spacing w:line="280" w:lineRule="exact"/>
            </w:pPr>
            <w:r>
              <w:t>Manage</w:t>
            </w:r>
            <w:r>
              <w:rPr>
                <w:spacing w:val="-9"/>
              </w:rPr>
              <w:t xml:space="preserve"> </w:t>
            </w:r>
            <w:r>
              <w:t>customer</w:t>
            </w:r>
            <w:r>
              <w:rPr>
                <w:spacing w:val="-7"/>
              </w:rPr>
              <w:t xml:space="preserve"> </w:t>
            </w:r>
            <w:r>
              <w:t>services</w:t>
            </w:r>
            <w:r>
              <w:rPr>
                <w:spacing w:val="-7"/>
              </w:rPr>
              <w:t xml:space="preserve"> </w:t>
            </w:r>
            <w:r>
              <w:t>to</w:t>
            </w:r>
            <w:r>
              <w:rPr>
                <w:spacing w:val="-7"/>
              </w:rPr>
              <w:t xml:space="preserve"> </w:t>
            </w:r>
            <w:r>
              <w:t>comply</w:t>
            </w:r>
            <w:r>
              <w:rPr>
                <w:spacing w:val="-8"/>
              </w:rPr>
              <w:t xml:space="preserve"> </w:t>
            </w:r>
            <w:r>
              <w:t>with</w:t>
            </w:r>
            <w:r>
              <w:rPr>
                <w:spacing w:val="-8"/>
              </w:rPr>
              <w:t xml:space="preserve"> </w:t>
            </w:r>
            <w:r>
              <w:t>Water</w:t>
            </w:r>
            <w:r>
              <w:rPr>
                <w:spacing w:val="-9"/>
              </w:rPr>
              <w:t xml:space="preserve"> </w:t>
            </w:r>
            <w:r>
              <w:t>Customer</w:t>
            </w:r>
            <w:r>
              <w:rPr>
                <w:spacing w:val="-8"/>
              </w:rPr>
              <w:t xml:space="preserve"> </w:t>
            </w:r>
            <w:r>
              <w:t>Service</w:t>
            </w:r>
            <w:r>
              <w:rPr>
                <w:spacing w:val="-9"/>
              </w:rPr>
              <w:t xml:space="preserve"> </w:t>
            </w:r>
            <w:r>
              <w:rPr>
                <w:spacing w:val="-4"/>
              </w:rPr>
              <w:t>Code</w:t>
            </w:r>
          </w:p>
          <w:p w14:paraId="68BF182A" w14:textId="77777777" w:rsidR="00141B97" w:rsidRDefault="00911D63">
            <w:pPr>
              <w:pStyle w:val="TableParagraph"/>
              <w:numPr>
                <w:ilvl w:val="0"/>
                <w:numId w:val="22"/>
              </w:numPr>
              <w:tabs>
                <w:tab w:val="left" w:pos="413"/>
              </w:tabs>
              <w:ind w:right="279"/>
            </w:pPr>
            <w:r>
              <w:t>Attract and</w:t>
            </w:r>
            <w:r>
              <w:rPr>
                <w:spacing w:val="-2"/>
              </w:rPr>
              <w:t xml:space="preserve"> </w:t>
            </w:r>
            <w:r>
              <w:t>retain</w:t>
            </w:r>
            <w:r>
              <w:rPr>
                <w:spacing w:val="-2"/>
              </w:rPr>
              <w:t xml:space="preserve"> </w:t>
            </w:r>
            <w:r>
              <w:t>suitably</w:t>
            </w:r>
            <w:r>
              <w:rPr>
                <w:spacing w:val="-1"/>
              </w:rPr>
              <w:t xml:space="preserve"> </w:t>
            </w:r>
            <w:r>
              <w:t>trained</w:t>
            </w:r>
            <w:r>
              <w:rPr>
                <w:spacing w:val="-3"/>
              </w:rPr>
              <w:t xml:space="preserve"> </w:t>
            </w:r>
            <w:r>
              <w:t>staff</w:t>
            </w:r>
            <w:r>
              <w:rPr>
                <w:spacing w:val="-1"/>
              </w:rPr>
              <w:t xml:space="preserve"> </w:t>
            </w:r>
            <w:r>
              <w:t>and</w:t>
            </w:r>
            <w:r>
              <w:rPr>
                <w:spacing w:val="-2"/>
              </w:rPr>
              <w:t xml:space="preserve"> </w:t>
            </w:r>
            <w:r>
              <w:t>resources</w:t>
            </w:r>
            <w:r>
              <w:rPr>
                <w:spacing w:val="-2"/>
              </w:rPr>
              <w:t xml:space="preserve"> </w:t>
            </w:r>
            <w:r>
              <w:t>to</w:t>
            </w:r>
            <w:r>
              <w:rPr>
                <w:spacing w:val="-1"/>
              </w:rPr>
              <w:t xml:space="preserve"> </w:t>
            </w:r>
            <w:r>
              <w:t>respond</w:t>
            </w:r>
            <w:r>
              <w:rPr>
                <w:spacing w:val="-2"/>
              </w:rPr>
              <w:t xml:space="preserve"> </w:t>
            </w:r>
            <w:r>
              <w:t>to</w:t>
            </w:r>
            <w:r>
              <w:rPr>
                <w:spacing w:val="-3"/>
              </w:rPr>
              <w:t xml:space="preserve"> </w:t>
            </w:r>
            <w:r>
              <w:t xml:space="preserve">service </w:t>
            </w:r>
            <w:r>
              <w:rPr>
                <w:spacing w:val="-2"/>
              </w:rPr>
              <w:t>issues</w:t>
            </w:r>
          </w:p>
          <w:p w14:paraId="060EFE5E" w14:textId="77777777" w:rsidR="00141B97" w:rsidRDefault="00911D63">
            <w:pPr>
              <w:pStyle w:val="TableParagraph"/>
              <w:numPr>
                <w:ilvl w:val="0"/>
                <w:numId w:val="22"/>
              </w:numPr>
              <w:tabs>
                <w:tab w:val="left" w:pos="413"/>
              </w:tabs>
              <w:spacing w:line="270" w:lineRule="atLeast"/>
              <w:ind w:right="647"/>
            </w:pPr>
            <w:r>
              <w:t>Maintain</w:t>
            </w:r>
            <w:r>
              <w:rPr>
                <w:spacing w:val="-3"/>
              </w:rPr>
              <w:t xml:space="preserve"> </w:t>
            </w:r>
            <w:r>
              <w:t>functionality</w:t>
            </w:r>
            <w:r>
              <w:rPr>
                <w:spacing w:val="-3"/>
              </w:rPr>
              <w:t xml:space="preserve"> </w:t>
            </w:r>
            <w:r>
              <w:t>of</w:t>
            </w:r>
            <w:r>
              <w:rPr>
                <w:spacing w:val="-4"/>
              </w:rPr>
              <w:t xml:space="preserve"> </w:t>
            </w:r>
            <w:r>
              <w:t>Irrigations</w:t>
            </w:r>
            <w:r>
              <w:rPr>
                <w:spacing w:val="-2"/>
              </w:rPr>
              <w:t xml:space="preserve"> </w:t>
            </w:r>
            <w:r>
              <w:t>Operations</w:t>
            </w:r>
            <w:r>
              <w:rPr>
                <w:spacing w:val="-2"/>
              </w:rPr>
              <w:t xml:space="preserve"> </w:t>
            </w:r>
            <w:r>
              <w:t>Room</w:t>
            </w:r>
            <w:r>
              <w:rPr>
                <w:spacing w:val="-2"/>
              </w:rPr>
              <w:t xml:space="preserve"> </w:t>
            </w:r>
            <w:r>
              <w:t>–</w:t>
            </w:r>
            <w:r>
              <w:rPr>
                <w:spacing w:val="-4"/>
              </w:rPr>
              <w:t xml:space="preserve"> </w:t>
            </w:r>
            <w:r>
              <w:t>use</w:t>
            </w:r>
            <w:r>
              <w:rPr>
                <w:spacing w:val="-4"/>
              </w:rPr>
              <w:t xml:space="preserve"> </w:t>
            </w:r>
            <w:r>
              <w:t>technology where possible to ensure systems are efficient.</w:t>
            </w:r>
          </w:p>
        </w:tc>
      </w:tr>
      <w:tr w:rsidR="00141B97" w14:paraId="6DC07761" w14:textId="77777777">
        <w:trPr>
          <w:trHeight w:val="1365"/>
          <w:tblCellSpacing w:w="9" w:type="dxa"/>
        </w:trPr>
        <w:tc>
          <w:tcPr>
            <w:tcW w:w="2256" w:type="dxa"/>
            <w:tcBorders>
              <w:left w:val="nil"/>
              <w:bottom w:val="nil"/>
            </w:tcBorders>
            <w:shd w:val="clear" w:color="auto" w:fill="CCE2ED"/>
          </w:tcPr>
          <w:p w14:paraId="458241F5" w14:textId="77777777" w:rsidR="00141B97" w:rsidRDefault="00911D63">
            <w:pPr>
              <w:pStyle w:val="TableParagraph"/>
              <w:spacing w:line="268" w:lineRule="exact"/>
              <w:ind w:left="88"/>
            </w:pPr>
            <w:r>
              <w:rPr>
                <w:spacing w:val="-2"/>
              </w:rPr>
              <w:t>Inputs</w:t>
            </w:r>
          </w:p>
          <w:p w14:paraId="31292F1E" w14:textId="77777777" w:rsidR="00141B97" w:rsidRDefault="00911D63">
            <w:pPr>
              <w:pStyle w:val="TableParagraph"/>
              <w:numPr>
                <w:ilvl w:val="0"/>
                <w:numId w:val="21"/>
              </w:numPr>
              <w:tabs>
                <w:tab w:val="left" w:pos="808"/>
                <w:tab w:val="left" w:pos="809"/>
              </w:tabs>
              <w:ind w:right="378"/>
            </w:pPr>
            <w:r>
              <w:rPr>
                <w:spacing w:val="-4"/>
              </w:rPr>
              <w:t xml:space="preserve">Cost </w:t>
            </w:r>
            <w:r>
              <w:rPr>
                <w:spacing w:val="-2"/>
              </w:rPr>
              <w:t>movements</w:t>
            </w:r>
          </w:p>
          <w:p w14:paraId="140166F2" w14:textId="77777777" w:rsidR="00141B97" w:rsidRDefault="00911D63">
            <w:pPr>
              <w:pStyle w:val="TableParagraph"/>
              <w:numPr>
                <w:ilvl w:val="0"/>
                <w:numId w:val="21"/>
              </w:numPr>
              <w:tabs>
                <w:tab w:val="left" w:pos="808"/>
                <w:tab w:val="left" w:pos="809"/>
              </w:tabs>
              <w:spacing w:line="268" w:lineRule="exact"/>
              <w:ind w:right="523"/>
            </w:pPr>
            <w:r>
              <w:rPr>
                <w:spacing w:val="-2"/>
              </w:rPr>
              <w:t>Resources required</w:t>
            </w:r>
          </w:p>
        </w:tc>
        <w:tc>
          <w:tcPr>
            <w:tcW w:w="7355" w:type="dxa"/>
            <w:tcBorders>
              <w:bottom w:val="nil"/>
              <w:right w:val="nil"/>
            </w:tcBorders>
            <w:shd w:val="clear" w:color="auto" w:fill="CCE2ED"/>
          </w:tcPr>
          <w:p w14:paraId="14D70B9D" w14:textId="77777777" w:rsidR="00141B97" w:rsidRDefault="00911D63">
            <w:pPr>
              <w:pStyle w:val="TableParagraph"/>
              <w:numPr>
                <w:ilvl w:val="0"/>
                <w:numId w:val="20"/>
              </w:numPr>
              <w:tabs>
                <w:tab w:val="left" w:pos="413"/>
              </w:tabs>
              <w:spacing w:line="279" w:lineRule="exact"/>
            </w:pPr>
            <w:r>
              <w:t>Horizon</w:t>
            </w:r>
            <w:r>
              <w:rPr>
                <w:spacing w:val="-8"/>
              </w:rPr>
              <w:t xml:space="preserve"> </w:t>
            </w:r>
            <w:r>
              <w:t>2</w:t>
            </w:r>
            <w:r>
              <w:rPr>
                <w:spacing w:val="-7"/>
              </w:rPr>
              <w:t xml:space="preserve"> </w:t>
            </w:r>
            <w:r>
              <w:t>Business</w:t>
            </w:r>
            <w:r>
              <w:rPr>
                <w:spacing w:val="-6"/>
              </w:rPr>
              <w:t xml:space="preserve"> </w:t>
            </w:r>
            <w:r>
              <w:t>Transformation</w:t>
            </w:r>
            <w:r>
              <w:rPr>
                <w:spacing w:val="-6"/>
              </w:rPr>
              <w:t xml:space="preserve"> </w:t>
            </w:r>
            <w:r>
              <w:t>$2.86m</w:t>
            </w:r>
            <w:r>
              <w:rPr>
                <w:spacing w:val="-7"/>
              </w:rPr>
              <w:t xml:space="preserve"> </w:t>
            </w:r>
            <w:r>
              <w:t>over</w:t>
            </w:r>
            <w:r>
              <w:rPr>
                <w:spacing w:val="-7"/>
              </w:rPr>
              <w:t xml:space="preserve"> </w:t>
            </w:r>
            <w:r>
              <w:t>5</w:t>
            </w:r>
            <w:r>
              <w:rPr>
                <w:spacing w:val="-8"/>
              </w:rPr>
              <w:t xml:space="preserve"> </w:t>
            </w:r>
            <w:r>
              <w:rPr>
                <w:spacing w:val="-4"/>
              </w:rPr>
              <w:t>years</w:t>
            </w:r>
          </w:p>
          <w:p w14:paraId="18E53445" w14:textId="77777777" w:rsidR="00141B97" w:rsidRDefault="00911D63">
            <w:pPr>
              <w:pStyle w:val="TableParagraph"/>
              <w:numPr>
                <w:ilvl w:val="0"/>
                <w:numId w:val="20"/>
              </w:numPr>
              <w:tabs>
                <w:tab w:val="left" w:pos="413"/>
              </w:tabs>
              <w:spacing w:line="280" w:lineRule="exact"/>
            </w:pPr>
            <w:r>
              <w:t>Redesign</w:t>
            </w:r>
            <w:r>
              <w:rPr>
                <w:spacing w:val="-7"/>
              </w:rPr>
              <w:t xml:space="preserve"> </w:t>
            </w:r>
            <w:r>
              <w:t>of</w:t>
            </w:r>
            <w:r>
              <w:rPr>
                <w:spacing w:val="-8"/>
              </w:rPr>
              <w:t xml:space="preserve"> </w:t>
            </w:r>
            <w:r>
              <w:t>positions</w:t>
            </w:r>
            <w:r>
              <w:rPr>
                <w:spacing w:val="-7"/>
              </w:rPr>
              <w:t xml:space="preserve"> </w:t>
            </w:r>
            <w:r>
              <w:t>to</w:t>
            </w:r>
            <w:r>
              <w:rPr>
                <w:spacing w:val="-8"/>
              </w:rPr>
              <w:t xml:space="preserve"> </w:t>
            </w:r>
            <w:r>
              <w:t>reflect</w:t>
            </w:r>
            <w:r>
              <w:rPr>
                <w:spacing w:val="-7"/>
              </w:rPr>
              <w:t xml:space="preserve"> </w:t>
            </w:r>
            <w:r>
              <w:t>changed</w:t>
            </w:r>
            <w:r>
              <w:rPr>
                <w:spacing w:val="-5"/>
              </w:rPr>
              <w:t xml:space="preserve"> </w:t>
            </w:r>
            <w:r>
              <w:t>ways</w:t>
            </w:r>
            <w:r>
              <w:rPr>
                <w:spacing w:val="-7"/>
              </w:rPr>
              <w:t xml:space="preserve"> </w:t>
            </w:r>
            <w:r>
              <w:t>of</w:t>
            </w:r>
            <w:r>
              <w:rPr>
                <w:spacing w:val="-8"/>
              </w:rPr>
              <w:t xml:space="preserve"> </w:t>
            </w:r>
            <w:r>
              <w:rPr>
                <w:spacing w:val="-2"/>
              </w:rPr>
              <w:t>working</w:t>
            </w:r>
          </w:p>
          <w:p w14:paraId="2C12F151" w14:textId="77777777" w:rsidR="00141B97" w:rsidRDefault="00911D63">
            <w:pPr>
              <w:pStyle w:val="TableParagraph"/>
              <w:numPr>
                <w:ilvl w:val="0"/>
                <w:numId w:val="20"/>
              </w:numPr>
              <w:tabs>
                <w:tab w:val="left" w:pos="413"/>
              </w:tabs>
              <w:ind w:right="506"/>
            </w:pPr>
            <w:r>
              <w:t>Leadership</w:t>
            </w:r>
            <w:r>
              <w:rPr>
                <w:spacing w:val="-4"/>
              </w:rPr>
              <w:t xml:space="preserve"> </w:t>
            </w:r>
            <w:r>
              <w:t>and</w:t>
            </w:r>
            <w:r>
              <w:rPr>
                <w:spacing w:val="-3"/>
              </w:rPr>
              <w:t xml:space="preserve"> </w:t>
            </w:r>
            <w:r>
              <w:t>Talent</w:t>
            </w:r>
            <w:r>
              <w:rPr>
                <w:spacing w:val="-2"/>
              </w:rPr>
              <w:t xml:space="preserve"> </w:t>
            </w:r>
            <w:r>
              <w:t>Management</w:t>
            </w:r>
            <w:r>
              <w:rPr>
                <w:spacing w:val="-3"/>
              </w:rPr>
              <w:t xml:space="preserve"> </w:t>
            </w:r>
            <w:r>
              <w:t>investment</w:t>
            </w:r>
            <w:r>
              <w:rPr>
                <w:spacing w:val="-2"/>
              </w:rPr>
              <w:t xml:space="preserve"> </w:t>
            </w:r>
            <w:r>
              <w:t>in</w:t>
            </w:r>
            <w:r>
              <w:rPr>
                <w:spacing w:val="-2"/>
              </w:rPr>
              <w:t xml:space="preserve"> </w:t>
            </w:r>
            <w:r>
              <w:t>our</w:t>
            </w:r>
            <w:r>
              <w:rPr>
                <w:spacing w:val="-3"/>
              </w:rPr>
              <w:t xml:space="preserve"> </w:t>
            </w:r>
            <w:r>
              <w:t>people</w:t>
            </w:r>
            <w:r>
              <w:rPr>
                <w:spacing w:val="-2"/>
              </w:rPr>
              <w:t xml:space="preserve"> </w:t>
            </w:r>
            <w:r>
              <w:t>of</w:t>
            </w:r>
            <w:r>
              <w:rPr>
                <w:spacing w:val="-1"/>
              </w:rPr>
              <w:t xml:space="preserve"> </w:t>
            </w:r>
            <w:r>
              <w:t>$1.09m over 5 years</w:t>
            </w:r>
          </w:p>
        </w:tc>
      </w:tr>
    </w:tbl>
    <w:p w14:paraId="0BB0C4F8" w14:textId="77777777" w:rsidR="00141B97" w:rsidRDefault="00911D63">
      <w:pPr>
        <w:spacing w:before="21"/>
        <w:ind w:left="114"/>
        <w:rPr>
          <w:sz w:val="16"/>
        </w:rPr>
      </w:pPr>
      <w:r>
        <w:rPr>
          <w:sz w:val="16"/>
        </w:rPr>
        <w:t>Table</w:t>
      </w:r>
      <w:r>
        <w:rPr>
          <w:spacing w:val="-5"/>
          <w:sz w:val="16"/>
        </w:rPr>
        <w:t xml:space="preserve"> </w:t>
      </w:r>
      <w:r>
        <w:rPr>
          <w:sz w:val="16"/>
        </w:rPr>
        <w:t>C12:</w:t>
      </w:r>
      <w:r>
        <w:rPr>
          <w:spacing w:val="-5"/>
          <w:sz w:val="16"/>
        </w:rPr>
        <w:t xml:space="preserve"> </w:t>
      </w:r>
      <w:r>
        <w:rPr>
          <w:sz w:val="16"/>
        </w:rPr>
        <w:t>Outcome</w:t>
      </w:r>
      <w:r>
        <w:rPr>
          <w:spacing w:val="-5"/>
          <w:sz w:val="16"/>
        </w:rPr>
        <w:t xml:space="preserve"> </w:t>
      </w:r>
      <w:r>
        <w:rPr>
          <w:sz w:val="16"/>
        </w:rPr>
        <w:t>3</w:t>
      </w:r>
      <w:r>
        <w:rPr>
          <w:spacing w:val="-6"/>
          <w:sz w:val="16"/>
        </w:rPr>
        <w:t xml:space="preserve"> </w:t>
      </w:r>
      <w:r>
        <w:rPr>
          <w:sz w:val="16"/>
        </w:rPr>
        <w:t>‐</w:t>
      </w:r>
      <w:r>
        <w:rPr>
          <w:spacing w:val="-7"/>
          <w:sz w:val="16"/>
        </w:rPr>
        <w:t xml:space="preserve"> </w:t>
      </w:r>
      <w:r>
        <w:rPr>
          <w:sz w:val="16"/>
        </w:rPr>
        <w:t>Customer</w:t>
      </w:r>
      <w:r>
        <w:rPr>
          <w:spacing w:val="-4"/>
          <w:sz w:val="16"/>
        </w:rPr>
        <w:t xml:space="preserve"> </w:t>
      </w:r>
      <w:r>
        <w:rPr>
          <w:sz w:val="16"/>
        </w:rPr>
        <w:t>Service</w:t>
      </w:r>
      <w:r>
        <w:rPr>
          <w:spacing w:val="-7"/>
          <w:sz w:val="16"/>
        </w:rPr>
        <w:t xml:space="preserve"> </w:t>
      </w:r>
      <w:r>
        <w:rPr>
          <w:sz w:val="16"/>
        </w:rPr>
        <w:t>Avenues</w:t>
      </w:r>
      <w:r>
        <w:rPr>
          <w:spacing w:val="-7"/>
          <w:sz w:val="16"/>
        </w:rPr>
        <w:t xml:space="preserve"> </w:t>
      </w:r>
      <w:r>
        <w:rPr>
          <w:sz w:val="16"/>
        </w:rPr>
        <w:t>that</w:t>
      </w:r>
      <w:r>
        <w:rPr>
          <w:spacing w:val="-5"/>
          <w:sz w:val="16"/>
        </w:rPr>
        <w:t xml:space="preserve"> </w:t>
      </w:r>
      <w:r>
        <w:rPr>
          <w:sz w:val="16"/>
        </w:rPr>
        <w:t>are</w:t>
      </w:r>
      <w:r>
        <w:rPr>
          <w:spacing w:val="-6"/>
          <w:sz w:val="16"/>
        </w:rPr>
        <w:t xml:space="preserve"> </w:t>
      </w:r>
      <w:r>
        <w:rPr>
          <w:sz w:val="16"/>
        </w:rPr>
        <w:t>Responsive</w:t>
      </w:r>
      <w:r>
        <w:rPr>
          <w:spacing w:val="-6"/>
          <w:sz w:val="16"/>
        </w:rPr>
        <w:t xml:space="preserve"> </w:t>
      </w:r>
      <w:r>
        <w:rPr>
          <w:sz w:val="16"/>
        </w:rPr>
        <w:t>to</w:t>
      </w:r>
      <w:r>
        <w:rPr>
          <w:spacing w:val="-6"/>
          <w:sz w:val="16"/>
        </w:rPr>
        <w:t xml:space="preserve"> </w:t>
      </w:r>
      <w:r>
        <w:rPr>
          <w:sz w:val="16"/>
        </w:rPr>
        <w:t>Resolve</w:t>
      </w:r>
      <w:r>
        <w:rPr>
          <w:spacing w:val="-5"/>
          <w:sz w:val="16"/>
        </w:rPr>
        <w:t xml:space="preserve"> </w:t>
      </w:r>
      <w:r>
        <w:rPr>
          <w:sz w:val="16"/>
        </w:rPr>
        <w:t>Requests/Enquiries</w:t>
      </w:r>
      <w:r>
        <w:rPr>
          <w:spacing w:val="-7"/>
          <w:sz w:val="16"/>
        </w:rPr>
        <w:t xml:space="preserve"> </w:t>
      </w:r>
      <w:r>
        <w:rPr>
          <w:sz w:val="16"/>
        </w:rPr>
        <w:t>Within</w:t>
      </w:r>
      <w:r>
        <w:rPr>
          <w:spacing w:val="-6"/>
          <w:sz w:val="16"/>
        </w:rPr>
        <w:t xml:space="preserve"> </w:t>
      </w:r>
      <w:r>
        <w:rPr>
          <w:sz w:val="16"/>
        </w:rPr>
        <w:t>the</w:t>
      </w:r>
      <w:r>
        <w:rPr>
          <w:spacing w:val="-5"/>
          <w:sz w:val="16"/>
        </w:rPr>
        <w:t xml:space="preserve"> </w:t>
      </w:r>
      <w:r>
        <w:rPr>
          <w:sz w:val="16"/>
        </w:rPr>
        <w:t>Agreed</w:t>
      </w:r>
      <w:r>
        <w:rPr>
          <w:spacing w:val="-5"/>
          <w:sz w:val="16"/>
        </w:rPr>
        <w:t xml:space="preserve"> </w:t>
      </w:r>
      <w:r>
        <w:rPr>
          <w:spacing w:val="-4"/>
          <w:sz w:val="16"/>
        </w:rPr>
        <w:t>KPIs</w:t>
      </w:r>
    </w:p>
    <w:p w14:paraId="178113F8" w14:textId="77777777" w:rsidR="00141B97" w:rsidRDefault="00141B97">
      <w:pPr>
        <w:rPr>
          <w:sz w:val="16"/>
        </w:rPr>
        <w:sectPr w:rsidR="00141B97">
          <w:pgSz w:w="11910" w:h="16840"/>
          <w:pgMar w:top="1020" w:right="40" w:bottom="780" w:left="1020" w:header="0" w:footer="586" w:gutter="0"/>
          <w:cols w:space="720"/>
        </w:sectPr>
      </w:pPr>
    </w:p>
    <w:p w14:paraId="4DE7DB92" w14:textId="77777777" w:rsidR="00141B97" w:rsidRDefault="00911D63">
      <w:pPr>
        <w:pStyle w:val="BodyText"/>
        <w:spacing w:before="31"/>
        <w:ind w:left="114"/>
      </w:pPr>
      <w:r>
        <w:lastRenderedPageBreak/>
        <w:t>Outcome</w:t>
      </w:r>
      <w:r>
        <w:rPr>
          <w:spacing w:val="-8"/>
        </w:rPr>
        <w:t xml:space="preserve"> </w:t>
      </w:r>
      <w:r>
        <w:t>4:</w:t>
      </w:r>
      <w:r>
        <w:rPr>
          <w:spacing w:val="-7"/>
        </w:rPr>
        <w:t xml:space="preserve"> </w:t>
      </w:r>
      <w:r>
        <w:t>Service</w:t>
      </w:r>
      <w:r>
        <w:rPr>
          <w:spacing w:val="-8"/>
        </w:rPr>
        <w:t xml:space="preserve"> </w:t>
      </w:r>
      <w:r>
        <w:t>our</w:t>
      </w:r>
      <w:r>
        <w:rPr>
          <w:spacing w:val="-8"/>
        </w:rPr>
        <w:t xml:space="preserve"> </w:t>
      </w:r>
      <w:r>
        <w:t>communities</w:t>
      </w:r>
      <w:r>
        <w:rPr>
          <w:spacing w:val="-7"/>
        </w:rPr>
        <w:t xml:space="preserve"> </w:t>
      </w:r>
      <w:r>
        <w:t>in</w:t>
      </w:r>
      <w:r>
        <w:rPr>
          <w:spacing w:val="-7"/>
        </w:rPr>
        <w:t xml:space="preserve"> </w:t>
      </w:r>
      <w:r>
        <w:t>a</w:t>
      </w:r>
      <w:r>
        <w:rPr>
          <w:spacing w:val="-8"/>
        </w:rPr>
        <w:t xml:space="preserve"> </w:t>
      </w:r>
      <w:r>
        <w:t>socially</w:t>
      </w:r>
      <w:r>
        <w:rPr>
          <w:spacing w:val="-8"/>
        </w:rPr>
        <w:t xml:space="preserve"> </w:t>
      </w:r>
      <w:r>
        <w:t>responsible</w:t>
      </w:r>
      <w:r>
        <w:rPr>
          <w:spacing w:val="-8"/>
        </w:rPr>
        <w:t xml:space="preserve"> </w:t>
      </w:r>
      <w:r>
        <w:t>and</w:t>
      </w:r>
      <w:r>
        <w:rPr>
          <w:spacing w:val="-8"/>
        </w:rPr>
        <w:t xml:space="preserve"> </w:t>
      </w:r>
      <w:r>
        <w:t>environmentally</w:t>
      </w:r>
      <w:r>
        <w:rPr>
          <w:spacing w:val="-7"/>
        </w:rPr>
        <w:t xml:space="preserve"> </w:t>
      </w:r>
      <w:r>
        <w:t>sustainable</w:t>
      </w:r>
      <w:r>
        <w:rPr>
          <w:spacing w:val="-8"/>
        </w:rPr>
        <w:t xml:space="preserve"> </w:t>
      </w:r>
      <w:r>
        <w:rPr>
          <w:spacing w:val="-2"/>
        </w:rPr>
        <w:t>manner</w:t>
      </w:r>
    </w:p>
    <w:p w14:paraId="52DF5F02" w14:textId="77777777" w:rsidR="00141B97" w:rsidRDefault="00141B97">
      <w:pPr>
        <w:pStyle w:val="BodyText"/>
        <w:spacing w:before="7"/>
        <w:rPr>
          <w:sz w:val="23"/>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6"/>
        <w:gridCol w:w="7355"/>
      </w:tblGrid>
      <w:tr w:rsidR="00141B97" w14:paraId="78C4CE2C" w14:textId="77777777">
        <w:trPr>
          <w:trHeight w:val="555"/>
        </w:trPr>
        <w:tc>
          <w:tcPr>
            <w:tcW w:w="2256" w:type="dxa"/>
            <w:tcBorders>
              <w:top w:val="nil"/>
              <w:left w:val="nil"/>
            </w:tcBorders>
            <w:shd w:val="clear" w:color="auto" w:fill="006CA3"/>
          </w:tcPr>
          <w:p w14:paraId="5E4CA9F0" w14:textId="77777777" w:rsidR="00141B97" w:rsidRDefault="00911D63">
            <w:pPr>
              <w:pStyle w:val="TableParagraph"/>
              <w:spacing w:line="270" w:lineRule="atLeast"/>
              <w:ind w:left="88"/>
            </w:pPr>
            <w:r>
              <w:rPr>
                <w:color w:val="FFFFFF"/>
              </w:rPr>
              <w:t>What</w:t>
            </w:r>
            <w:r>
              <w:rPr>
                <w:color w:val="FFFFFF"/>
                <w:spacing w:val="-13"/>
              </w:rPr>
              <w:t xml:space="preserve"> </w:t>
            </w:r>
            <w:r>
              <w:rPr>
                <w:color w:val="FFFFFF"/>
              </w:rPr>
              <w:t>customers</w:t>
            </w:r>
            <w:r>
              <w:rPr>
                <w:color w:val="FFFFFF"/>
                <w:spacing w:val="-12"/>
              </w:rPr>
              <w:t xml:space="preserve"> </w:t>
            </w:r>
            <w:r>
              <w:rPr>
                <w:color w:val="FFFFFF"/>
              </w:rPr>
              <w:t xml:space="preserve">will </w:t>
            </w:r>
            <w:r>
              <w:rPr>
                <w:color w:val="FFFFFF"/>
                <w:spacing w:val="-2"/>
              </w:rPr>
              <w:t>receive</w:t>
            </w:r>
          </w:p>
        </w:tc>
        <w:tc>
          <w:tcPr>
            <w:tcW w:w="7355" w:type="dxa"/>
            <w:tcBorders>
              <w:top w:val="nil"/>
              <w:right w:val="nil"/>
            </w:tcBorders>
            <w:shd w:val="clear" w:color="auto" w:fill="006CA3"/>
          </w:tcPr>
          <w:p w14:paraId="3E2050B4" w14:textId="77777777" w:rsidR="00141B97" w:rsidRDefault="00911D63">
            <w:pPr>
              <w:pStyle w:val="TableParagraph"/>
              <w:spacing w:line="270" w:lineRule="atLeast"/>
              <w:ind w:left="98" w:right="68"/>
            </w:pPr>
            <w:r>
              <w:rPr>
                <w:color w:val="FFFFFF"/>
              </w:rPr>
              <w:t>Outcome</w:t>
            </w:r>
            <w:r>
              <w:rPr>
                <w:color w:val="FFFFFF"/>
                <w:spacing w:val="-2"/>
              </w:rPr>
              <w:t xml:space="preserve"> </w:t>
            </w:r>
            <w:r>
              <w:rPr>
                <w:color w:val="FFFFFF"/>
              </w:rPr>
              <w:t>4:</w:t>
            </w:r>
            <w:r>
              <w:rPr>
                <w:color w:val="FFFFFF"/>
                <w:spacing w:val="-2"/>
              </w:rPr>
              <w:t xml:space="preserve"> </w:t>
            </w:r>
            <w:r>
              <w:rPr>
                <w:color w:val="FFFFFF"/>
              </w:rPr>
              <w:t>Service</w:t>
            </w:r>
            <w:r>
              <w:rPr>
                <w:color w:val="FFFFFF"/>
                <w:spacing w:val="-2"/>
              </w:rPr>
              <w:t xml:space="preserve"> </w:t>
            </w:r>
            <w:r>
              <w:rPr>
                <w:color w:val="FFFFFF"/>
              </w:rPr>
              <w:t>our</w:t>
            </w:r>
            <w:r>
              <w:rPr>
                <w:color w:val="FFFFFF"/>
                <w:spacing w:val="-3"/>
              </w:rPr>
              <w:t xml:space="preserve"> </w:t>
            </w:r>
            <w:r>
              <w:rPr>
                <w:color w:val="FFFFFF"/>
              </w:rPr>
              <w:t>communities</w:t>
            </w:r>
            <w:r>
              <w:rPr>
                <w:color w:val="FFFFFF"/>
                <w:spacing w:val="-2"/>
              </w:rPr>
              <w:t xml:space="preserve"> </w:t>
            </w:r>
            <w:r>
              <w:rPr>
                <w:color w:val="FFFFFF"/>
              </w:rPr>
              <w:t>in</w:t>
            </w:r>
            <w:r>
              <w:rPr>
                <w:color w:val="FFFFFF"/>
                <w:spacing w:val="-2"/>
              </w:rPr>
              <w:t xml:space="preserve"> </w:t>
            </w:r>
            <w:r>
              <w:rPr>
                <w:color w:val="FFFFFF"/>
              </w:rPr>
              <w:t>a</w:t>
            </w:r>
            <w:r>
              <w:rPr>
                <w:color w:val="FFFFFF"/>
                <w:spacing w:val="-2"/>
              </w:rPr>
              <w:t xml:space="preserve"> </w:t>
            </w:r>
            <w:r>
              <w:rPr>
                <w:color w:val="FFFFFF"/>
              </w:rPr>
              <w:t>socially</w:t>
            </w:r>
            <w:r>
              <w:rPr>
                <w:color w:val="FFFFFF"/>
                <w:spacing w:val="-3"/>
              </w:rPr>
              <w:t xml:space="preserve"> </w:t>
            </w:r>
            <w:r>
              <w:rPr>
                <w:color w:val="FFFFFF"/>
              </w:rPr>
              <w:t>responsible</w:t>
            </w:r>
            <w:r>
              <w:rPr>
                <w:color w:val="FFFFFF"/>
                <w:spacing w:val="-3"/>
              </w:rPr>
              <w:t xml:space="preserve"> </w:t>
            </w:r>
            <w:r>
              <w:rPr>
                <w:color w:val="FFFFFF"/>
              </w:rPr>
              <w:t>and environmentally sustainable manner</w:t>
            </w:r>
          </w:p>
        </w:tc>
      </w:tr>
      <w:tr w:rsidR="00141B97" w14:paraId="3AA88632" w14:textId="77777777">
        <w:trPr>
          <w:trHeight w:val="1647"/>
        </w:trPr>
        <w:tc>
          <w:tcPr>
            <w:tcW w:w="2256" w:type="dxa"/>
            <w:tcBorders>
              <w:left w:val="nil"/>
              <w:bottom w:val="single" w:sz="24" w:space="0" w:color="FFFFFF"/>
            </w:tcBorders>
            <w:shd w:val="clear" w:color="auto" w:fill="CCE2ED"/>
          </w:tcPr>
          <w:p w14:paraId="31266472" w14:textId="77777777" w:rsidR="00141B97" w:rsidRDefault="00911D63">
            <w:pPr>
              <w:pStyle w:val="TableParagraph"/>
              <w:ind w:left="88" w:right="197"/>
            </w:pPr>
            <w:r>
              <w:rPr>
                <w:spacing w:val="-2"/>
              </w:rPr>
              <w:t xml:space="preserve">Performance </w:t>
            </w:r>
            <w:r>
              <w:t>measures</w:t>
            </w:r>
            <w:r>
              <w:rPr>
                <w:spacing w:val="-13"/>
              </w:rPr>
              <w:t xml:space="preserve"> </w:t>
            </w:r>
            <w:r>
              <w:t>and</w:t>
            </w:r>
            <w:r>
              <w:rPr>
                <w:spacing w:val="-12"/>
              </w:rPr>
              <w:t xml:space="preserve"> </w:t>
            </w:r>
            <w:r>
              <w:t>targets</w:t>
            </w:r>
          </w:p>
        </w:tc>
        <w:tc>
          <w:tcPr>
            <w:tcW w:w="7355" w:type="dxa"/>
            <w:tcBorders>
              <w:bottom w:val="single" w:sz="24" w:space="0" w:color="FFFFFF"/>
              <w:right w:val="nil"/>
            </w:tcBorders>
            <w:shd w:val="clear" w:color="auto" w:fill="CCE2ED"/>
          </w:tcPr>
          <w:p w14:paraId="28E84A00" w14:textId="77777777" w:rsidR="00141B97" w:rsidRDefault="00911D63">
            <w:pPr>
              <w:pStyle w:val="TableParagraph"/>
              <w:numPr>
                <w:ilvl w:val="0"/>
                <w:numId w:val="19"/>
              </w:numPr>
              <w:tabs>
                <w:tab w:val="left" w:pos="457"/>
                <w:tab w:val="left" w:pos="458"/>
              </w:tabs>
              <w:ind w:right="157"/>
            </w:pPr>
            <w:r>
              <w:t>Customer</w:t>
            </w:r>
            <w:r>
              <w:rPr>
                <w:spacing w:val="-2"/>
              </w:rPr>
              <w:t xml:space="preserve"> </w:t>
            </w:r>
            <w:r>
              <w:t>overall</w:t>
            </w:r>
            <w:r>
              <w:rPr>
                <w:spacing w:val="-4"/>
              </w:rPr>
              <w:t xml:space="preserve"> </w:t>
            </w:r>
            <w:r>
              <w:t>satisfaction</w:t>
            </w:r>
            <w:r>
              <w:rPr>
                <w:spacing w:val="-3"/>
              </w:rPr>
              <w:t xml:space="preserve"> </w:t>
            </w:r>
            <w:r>
              <w:t>of</w:t>
            </w:r>
            <w:r>
              <w:rPr>
                <w:spacing w:val="-4"/>
              </w:rPr>
              <w:t xml:space="preserve"> </w:t>
            </w:r>
            <w:r>
              <w:t>LMW</w:t>
            </w:r>
            <w:r>
              <w:rPr>
                <w:spacing w:val="-3"/>
              </w:rPr>
              <w:t xml:space="preserve"> </w:t>
            </w:r>
            <w:r>
              <w:t>–</w:t>
            </w:r>
            <w:r>
              <w:rPr>
                <w:spacing w:val="-3"/>
              </w:rPr>
              <w:t xml:space="preserve"> </w:t>
            </w:r>
            <w:r>
              <w:t>Target</w:t>
            </w:r>
            <w:r>
              <w:rPr>
                <w:spacing w:val="-3"/>
              </w:rPr>
              <w:t xml:space="preserve"> </w:t>
            </w:r>
            <w:r>
              <w:t>=</w:t>
            </w:r>
            <w:r>
              <w:rPr>
                <w:spacing w:val="-4"/>
              </w:rPr>
              <w:t xml:space="preserve"> </w:t>
            </w:r>
            <w:r>
              <w:t>&gt;/=</w:t>
            </w:r>
            <w:r>
              <w:rPr>
                <w:spacing w:val="-2"/>
              </w:rPr>
              <w:t xml:space="preserve"> </w:t>
            </w:r>
            <w:r>
              <w:t>prior</w:t>
            </w:r>
            <w:r>
              <w:rPr>
                <w:spacing w:val="-5"/>
              </w:rPr>
              <w:t xml:space="preserve"> </w:t>
            </w:r>
            <w:r>
              <w:t>year</w:t>
            </w:r>
            <w:r>
              <w:rPr>
                <w:spacing w:val="-3"/>
              </w:rPr>
              <w:t xml:space="preserve"> </w:t>
            </w:r>
            <w:r>
              <w:t>performance of survey respondents</w:t>
            </w:r>
          </w:p>
          <w:p w14:paraId="726B9AA5" w14:textId="77777777" w:rsidR="00141B97" w:rsidRDefault="00911D63">
            <w:pPr>
              <w:pStyle w:val="TableParagraph"/>
              <w:numPr>
                <w:ilvl w:val="0"/>
                <w:numId w:val="19"/>
              </w:numPr>
              <w:tabs>
                <w:tab w:val="left" w:pos="457"/>
                <w:tab w:val="left" w:pos="458"/>
              </w:tabs>
              <w:ind w:right="247"/>
            </w:pPr>
            <w:r>
              <w:t>Percentage</w:t>
            </w:r>
            <w:r>
              <w:rPr>
                <w:spacing w:val="-3"/>
              </w:rPr>
              <w:t xml:space="preserve"> </w:t>
            </w:r>
            <w:r>
              <w:t>of</w:t>
            </w:r>
            <w:r>
              <w:rPr>
                <w:spacing w:val="-3"/>
              </w:rPr>
              <w:t xml:space="preserve"> </w:t>
            </w:r>
            <w:r>
              <w:t>electrical</w:t>
            </w:r>
            <w:r>
              <w:rPr>
                <w:spacing w:val="-3"/>
              </w:rPr>
              <w:t xml:space="preserve"> </w:t>
            </w:r>
            <w:r>
              <w:t>energy</w:t>
            </w:r>
            <w:r>
              <w:rPr>
                <w:spacing w:val="-3"/>
              </w:rPr>
              <w:t xml:space="preserve"> </w:t>
            </w:r>
            <w:r>
              <w:t>from</w:t>
            </w:r>
            <w:r>
              <w:rPr>
                <w:spacing w:val="-3"/>
              </w:rPr>
              <w:t xml:space="preserve"> </w:t>
            </w:r>
            <w:r>
              <w:t>renewable</w:t>
            </w:r>
            <w:r>
              <w:rPr>
                <w:spacing w:val="-3"/>
              </w:rPr>
              <w:t xml:space="preserve"> </w:t>
            </w:r>
            <w:r>
              <w:t>sources</w:t>
            </w:r>
            <w:r>
              <w:rPr>
                <w:spacing w:val="-3"/>
              </w:rPr>
              <w:t xml:space="preserve"> </w:t>
            </w:r>
            <w:r>
              <w:t>by</w:t>
            </w:r>
            <w:r>
              <w:rPr>
                <w:spacing w:val="-3"/>
              </w:rPr>
              <w:t xml:space="preserve"> </w:t>
            </w:r>
            <w:r>
              <w:t>2025</w:t>
            </w:r>
            <w:r>
              <w:rPr>
                <w:spacing w:val="-3"/>
              </w:rPr>
              <w:t xml:space="preserve"> </w:t>
            </w:r>
            <w:r>
              <w:t>–</w:t>
            </w:r>
            <w:r>
              <w:rPr>
                <w:spacing w:val="-3"/>
              </w:rPr>
              <w:t xml:space="preserve"> </w:t>
            </w:r>
            <w:r>
              <w:t>Target</w:t>
            </w:r>
            <w:r>
              <w:rPr>
                <w:spacing w:val="-3"/>
              </w:rPr>
              <w:t xml:space="preserve"> </w:t>
            </w:r>
            <w:r>
              <w:t>= 100% from 2025</w:t>
            </w:r>
          </w:p>
          <w:p w14:paraId="25189212" w14:textId="77777777" w:rsidR="00141B97" w:rsidRDefault="00911D63">
            <w:pPr>
              <w:pStyle w:val="TableParagraph"/>
              <w:numPr>
                <w:ilvl w:val="0"/>
                <w:numId w:val="19"/>
              </w:numPr>
              <w:tabs>
                <w:tab w:val="left" w:pos="457"/>
                <w:tab w:val="left" w:pos="458"/>
              </w:tabs>
              <w:spacing w:line="270" w:lineRule="atLeast"/>
              <w:ind w:right="703"/>
            </w:pPr>
            <w:r>
              <w:t>Percentage</w:t>
            </w:r>
            <w:r>
              <w:rPr>
                <w:spacing w:val="-5"/>
              </w:rPr>
              <w:t xml:space="preserve"> </w:t>
            </w:r>
            <w:r>
              <w:t>compliance</w:t>
            </w:r>
            <w:r>
              <w:rPr>
                <w:spacing w:val="-5"/>
              </w:rPr>
              <w:t xml:space="preserve"> </w:t>
            </w:r>
            <w:r>
              <w:t>with</w:t>
            </w:r>
            <w:r>
              <w:rPr>
                <w:spacing w:val="-3"/>
              </w:rPr>
              <w:t xml:space="preserve"> </w:t>
            </w:r>
            <w:r>
              <w:t>EPA</w:t>
            </w:r>
            <w:r>
              <w:rPr>
                <w:spacing w:val="-4"/>
              </w:rPr>
              <w:t xml:space="preserve"> </w:t>
            </w:r>
            <w:r>
              <w:t>General</w:t>
            </w:r>
            <w:r>
              <w:rPr>
                <w:spacing w:val="-3"/>
              </w:rPr>
              <w:t xml:space="preserve"> </w:t>
            </w:r>
            <w:r>
              <w:t>Environmental</w:t>
            </w:r>
            <w:r>
              <w:rPr>
                <w:spacing w:val="-4"/>
              </w:rPr>
              <w:t xml:space="preserve"> </w:t>
            </w:r>
            <w:r>
              <w:t>Duty</w:t>
            </w:r>
            <w:r>
              <w:rPr>
                <w:spacing w:val="-3"/>
              </w:rPr>
              <w:t xml:space="preserve"> </w:t>
            </w:r>
            <w:r>
              <w:t>(GED)</w:t>
            </w:r>
            <w:r>
              <w:rPr>
                <w:spacing w:val="-4"/>
              </w:rPr>
              <w:t xml:space="preserve"> </w:t>
            </w:r>
            <w:r>
              <w:t>– Target ‐ 100% (no reportable incidents)</w:t>
            </w:r>
          </w:p>
        </w:tc>
      </w:tr>
      <w:tr w:rsidR="00141B97" w14:paraId="51B08E14" w14:textId="77777777">
        <w:trPr>
          <w:trHeight w:val="3022"/>
        </w:trPr>
        <w:tc>
          <w:tcPr>
            <w:tcW w:w="2256" w:type="dxa"/>
            <w:tcBorders>
              <w:top w:val="single" w:sz="24" w:space="0" w:color="FFFFFF"/>
              <w:left w:val="nil"/>
            </w:tcBorders>
            <w:shd w:val="clear" w:color="auto" w:fill="CCE2ED"/>
          </w:tcPr>
          <w:p w14:paraId="6E30F4D8" w14:textId="77777777" w:rsidR="00141B97" w:rsidRDefault="00911D63">
            <w:pPr>
              <w:pStyle w:val="TableParagraph"/>
              <w:spacing w:line="267" w:lineRule="exact"/>
              <w:ind w:left="88"/>
            </w:pPr>
            <w:r>
              <w:t>Major</w:t>
            </w:r>
            <w:r>
              <w:rPr>
                <w:spacing w:val="-10"/>
              </w:rPr>
              <w:t xml:space="preserve"> </w:t>
            </w:r>
            <w:r>
              <w:t>change</w:t>
            </w:r>
            <w:r>
              <w:rPr>
                <w:spacing w:val="-9"/>
              </w:rPr>
              <w:t xml:space="preserve"> </w:t>
            </w:r>
            <w:r>
              <w:rPr>
                <w:spacing w:val="-2"/>
              </w:rPr>
              <w:t>projects</w:t>
            </w:r>
          </w:p>
        </w:tc>
        <w:tc>
          <w:tcPr>
            <w:tcW w:w="7355" w:type="dxa"/>
            <w:tcBorders>
              <w:top w:val="single" w:sz="24" w:space="0" w:color="FFFFFF"/>
              <w:right w:val="nil"/>
            </w:tcBorders>
            <w:shd w:val="clear" w:color="auto" w:fill="CCE2ED"/>
          </w:tcPr>
          <w:p w14:paraId="672DE3A6" w14:textId="77777777" w:rsidR="00141B97" w:rsidRDefault="00911D63">
            <w:pPr>
              <w:pStyle w:val="TableParagraph"/>
              <w:numPr>
                <w:ilvl w:val="0"/>
                <w:numId w:val="18"/>
              </w:numPr>
              <w:tabs>
                <w:tab w:val="left" w:pos="526"/>
                <w:tab w:val="left" w:pos="527"/>
              </w:tabs>
              <w:ind w:right="303"/>
            </w:pPr>
            <w:r>
              <w:t>Invest</w:t>
            </w:r>
            <w:r>
              <w:rPr>
                <w:spacing w:val="-3"/>
              </w:rPr>
              <w:t xml:space="preserve"> </w:t>
            </w:r>
            <w:r>
              <w:t>in</w:t>
            </w:r>
            <w:r>
              <w:rPr>
                <w:spacing w:val="-3"/>
              </w:rPr>
              <w:t xml:space="preserve"> </w:t>
            </w:r>
            <w:r>
              <w:t>blueprint</w:t>
            </w:r>
            <w:r>
              <w:rPr>
                <w:spacing w:val="-3"/>
              </w:rPr>
              <w:t xml:space="preserve"> </w:t>
            </w:r>
            <w:r>
              <w:t>and</w:t>
            </w:r>
            <w:r>
              <w:rPr>
                <w:spacing w:val="-3"/>
              </w:rPr>
              <w:t xml:space="preserve"> </w:t>
            </w:r>
            <w:r>
              <w:t>business</w:t>
            </w:r>
            <w:r>
              <w:rPr>
                <w:spacing w:val="-4"/>
              </w:rPr>
              <w:t xml:space="preserve"> </w:t>
            </w:r>
            <w:r>
              <w:t>case</w:t>
            </w:r>
            <w:r>
              <w:rPr>
                <w:spacing w:val="-3"/>
              </w:rPr>
              <w:t xml:space="preserve"> </w:t>
            </w:r>
            <w:r>
              <w:t>for</w:t>
            </w:r>
            <w:r>
              <w:rPr>
                <w:spacing w:val="-2"/>
              </w:rPr>
              <w:t xml:space="preserve"> </w:t>
            </w:r>
            <w:r>
              <w:t>all</w:t>
            </w:r>
            <w:r>
              <w:rPr>
                <w:spacing w:val="-2"/>
              </w:rPr>
              <w:t xml:space="preserve"> </w:t>
            </w:r>
            <w:r>
              <w:t>of</w:t>
            </w:r>
            <w:r>
              <w:rPr>
                <w:spacing w:val="-1"/>
              </w:rPr>
              <w:t xml:space="preserve"> </w:t>
            </w:r>
            <w:r>
              <w:t>business</w:t>
            </w:r>
            <w:r>
              <w:rPr>
                <w:spacing w:val="-3"/>
              </w:rPr>
              <w:t xml:space="preserve"> </w:t>
            </w:r>
            <w:r>
              <w:t>digital</w:t>
            </w:r>
            <w:r>
              <w:rPr>
                <w:spacing w:val="-3"/>
              </w:rPr>
              <w:t xml:space="preserve"> </w:t>
            </w:r>
            <w:r>
              <w:t>metering</w:t>
            </w:r>
            <w:r>
              <w:rPr>
                <w:spacing w:val="-1"/>
              </w:rPr>
              <w:t xml:space="preserve"> </w:t>
            </w:r>
            <w:r>
              <w:t>to promote water efficiency and ensure compliance</w:t>
            </w:r>
          </w:p>
          <w:p w14:paraId="668347C5" w14:textId="77777777" w:rsidR="00141B97" w:rsidRDefault="00911D63">
            <w:pPr>
              <w:pStyle w:val="TableParagraph"/>
              <w:numPr>
                <w:ilvl w:val="0"/>
                <w:numId w:val="18"/>
              </w:numPr>
              <w:tabs>
                <w:tab w:val="left" w:pos="526"/>
                <w:tab w:val="left" w:pos="527"/>
              </w:tabs>
              <w:ind w:right="398"/>
            </w:pPr>
            <w:r>
              <w:t>Embed</w:t>
            </w:r>
            <w:r>
              <w:rPr>
                <w:spacing w:val="-4"/>
              </w:rPr>
              <w:t xml:space="preserve"> </w:t>
            </w:r>
            <w:r>
              <w:t>Compliance</w:t>
            </w:r>
            <w:r>
              <w:rPr>
                <w:spacing w:val="-4"/>
              </w:rPr>
              <w:t xml:space="preserve"> </w:t>
            </w:r>
            <w:r>
              <w:t>Framework</w:t>
            </w:r>
            <w:r>
              <w:rPr>
                <w:spacing w:val="-3"/>
              </w:rPr>
              <w:t xml:space="preserve"> </w:t>
            </w:r>
            <w:r>
              <w:t>to</w:t>
            </w:r>
            <w:r>
              <w:rPr>
                <w:spacing w:val="-3"/>
              </w:rPr>
              <w:t xml:space="preserve"> </w:t>
            </w:r>
            <w:r>
              <w:t>ensure</w:t>
            </w:r>
            <w:r>
              <w:rPr>
                <w:spacing w:val="-5"/>
              </w:rPr>
              <w:t xml:space="preserve"> </w:t>
            </w:r>
            <w:r>
              <w:t>all</w:t>
            </w:r>
            <w:r>
              <w:rPr>
                <w:spacing w:val="-3"/>
              </w:rPr>
              <w:t xml:space="preserve"> </w:t>
            </w:r>
            <w:r>
              <w:t>customers</w:t>
            </w:r>
            <w:r>
              <w:rPr>
                <w:spacing w:val="-3"/>
              </w:rPr>
              <w:t xml:space="preserve"> </w:t>
            </w:r>
            <w:r>
              <w:t>are</w:t>
            </w:r>
            <w:r>
              <w:rPr>
                <w:spacing w:val="-5"/>
              </w:rPr>
              <w:t xml:space="preserve"> </w:t>
            </w:r>
            <w:r>
              <w:t>treated</w:t>
            </w:r>
            <w:r>
              <w:rPr>
                <w:spacing w:val="-3"/>
              </w:rPr>
              <w:t xml:space="preserve"> </w:t>
            </w:r>
            <w:r>
              <w:t>fairly and appropriately</w:t>
            </w:r>
          </w:p>
          <w:p w14:paraId="5565430E" w14:textId="77777777" w:rsidR="00141B97" w:rsidRDefault="00911D63">
            <w:pPr>
              <w:pStyle w:val="TableParagraph"/>
              <w:numPr>
                <w:ilvl w:val="0"/>
                <w:numId w:val="18"/>
              </w:numPr>
              <w:tabs>
                <w:tab w:val="left" w:pos="526"/>
                <w:tab w:val="left" w:pos="527"/>
              </w:tabs>
              <w:ind w:right="202"/>
            </w:pPr>
            <w:r>
              <w:t>Develop/deliver</w:t>
            </w:r>
            <w:r>
              <w:rPr>
                <w:spacing w:val="-5"/>
              </w:rPr>
              <w:t xml:space="preserve"> </w:t>
            </w:r>
            <w:r>
              <w:t>strategy</w:t>
            </w:r>
            <w:r>
              <w:rPr>
                <w:spacing w:val="-4"/>
              </w:rPr>
              <w:t xml:space="preserve"> </w:t>
            </w:r>
            <w:r>
              <w:t>for</w:t>
            </w:r>
            <w:r>
              <w:rPr>
                <w:spacing w:val="-4"/>
              </w:rPr>
              <w:t xml:space="preserve"> </w:t>
            </w:r>
            <w:r>
              <w:t>gender</w:t>
            </w:r>
            <w:r>
              <w:rPr>
                <w:spacing w:val="-3"/>
              </w:rPr>
              <w:t xml:space="preserve"> </w:t>
            </w:r>
            <w:r>
              <w:t>equity</w:t>
            </w:r>
            <w:r>
              <w:rPr>
                <w:spacing w:val="-3"/>
              </w:rPr>
              <w:t xml:space="preserve"> </w:t>
            </w:r>
            <w:r>
              <w:t>and</w:t>
            </w:r>
            <w:r>
              <w:rPr>
                <w:spacing w:val="-3"/>
              </w:rPr>
              <w:t xml:space="preserve"> </w:t>
            </w:r>
            <w:r>
              <w:t>Aboriginal</w:t>
            </w:r>
            <w:r>
              <w:rPr>
                <w:spacing w:val="-3"/>
              </w:rPr>
              <w:t xml:space="preserve"> </w:t>
            </w:r>
            <w:r>
              <w:t>and</w:t>
            </w:r>
            <w:r>
              <w:rPr>
                <w:spacing w:val="-4"/>
              </w:rPr>
              <w:t xml:space="preserve"> </w:t>
            </w:r>
            <w:r>
              <w:t>Torres</w:t>
            </w:r>
            <w:r>
              <w:rPr>
                <w:spacing w:val="-3"/>
              </w:rPr>
              <w:t xml:space="preserve"> </w:t>
            </w:r>
            <w:r>
              <w:t>Strait Islander inclusion</w:t>
            </w:r>
          </w:p>
          <w:p w14:paraId="28CA5EE8" w14:textId="77777777" w:rsidR="00141B97" w:rsidRDefault="00911D63">
            <w:pPr>
              <w:pStyle w:val="TableParagraph"/>
              <w:numPr>
                <w:ilvl w:val="0"/>
                <w:numId w:val="18"/>
              </w:numPr>
              <w:tabs>
                <w:tab w:val="left" w:pos="526"/>
                <w:tab w:val="left" w:pos="527"/>
              </w:tabs>
              <w:ind w:right="439"/>
            </w:pPr>
            <w:r>
              <w:t>Review recreational water management plan for Lake Cullulleraine, and extend</w:t>
            </w:r>
            <w:r>
              <w:rPr>
                <w:spacing w:val="-4"/>
              </w:rPr>
              <w:t xml:space="preserve"> </w:t>
            </w:r>
            <w:r>
              <w:t>to</w:t>
            </w:r>
            <w:r>
              <w:rPr>
                <w:spacing w:val="-5"/>
              </w:rPr>
              <w:t xml:space="preserve"> </w:t>
            </w:r>
            <w:r>
              <w:t>maintenance</w:t>
            </w:r>
            <w:r>
              <w:rPr>
                <w:spacing w:val="-4"/>
              </w:rPr>
              <w:t xml:space="preserve"> </w:t>
            </w:r>
            <w:r>
              <w:t>of</w:t>
            </w:r>
            <w:r>
              <w:rPr>
                <w:spacing w:val="-2"/>
              </w:rPr>
              <w:t xml:space="preserve"> </w:t>
            </w:r>
            <w:r>
              <w:t>key</w:t>
            </w:r>
            <w:r>
              <w:rPr>
                <w:spacing w:val="-4"/>
              </w:rPr>
              <w:t xml:space="preserve"> </w:t>
            </w:r>
            <w:r>
              <w:t>community</w:t>
            </w:r>
            <w:r>
              <w:rPr>
                <w:spacing w:val="-4"/>
              </w:rPr>
              <w:t xml:space="preserve"> </w:t>
            </w:r>
            <w:r>
              <w:t>assets</w:t>
            </w:r>
            <w:r>
              <w:rPr>
                <w:spacing w:val="-3"/>
              </w:rPr>
              <w:t xml:space="preserve"> </w:t>
            </w:r>
            <w:r>
              <w:t>during</w:t>
            </w:r>
            <w:r>
              <w:rPr>
                <w:spacing w:val="-4"/>
              </w:rPr>
              <w:t xml:space="preserve"> </w:t>
            </w:r>
            <w:r>
              <w:t>drought</w:t>
            </w:r>
            <w:r>
              <w:rPr>
                <w:spacing w:val="-4"/>
              </w:rPr>
              <w:t xml:space="preserve"> </w:t>
            </w:r>
            <w:r>
              <w:t>periods</w:t>
            </w:r>
          </w:p>
          <w:p w14:paraId="76A7B68E" w14:textId="77777777" w:rsidR="00141B97" w:rsidRDefault="00911D63">
            <w:pPr>
              <w:pStyle w:val="TableParagraph"/>
              <w:numPr>
                <w:ilvl w:val="0"/>
                <w:numId w:val="18"/>
              </w:numPr>
              <w:tabs>
                <w:tab w:val="left" w:pos="526"/>
                <w:tab w:val="left" w:pos="527"/>
              </w:tabs>
              <w:ind w:right="342"/>
            </w:pPr>
            <w:r>
              <w:t>Work</w:t>
            </w:r>
            <w:r>
              <w:rPr>
                <w:spacing w:val="-3"/>
              </w:rPr>
              <w:t xml:space="preserve"> </w:t>
            </w:r>
            <w:r>
              <w:t>with</w:t>
            </w:r>
            <w:r>
              <w:rPr>
                <w:spacing w:val="-5"/>
              </w:rPr>
              <w:t xml:space="preserve"> </w:t>
            </w:r>
            <w:r>
              <w:t>regional</w:t>
            </w:r>
            <w:r>
              <w:rPr>
                <w:spacing w:val="-3"/>
              </w:rPr>
              <w:t xml:space="preserve"> </w:t>
            </w:r>
            <w:r>
              <w:t>Catchment</w:t>
            </w:r>
            <w:r>
              <w:rPr>
                <w:spacing w:val="-3"/>
              </w:rPr>
              <w:t xml:space="preserve"> </w:t>
            </w:r>
            <w:r>
              <w:t>Management</w:t>
            </w:r>
            <w:r>
              <w:rPr>
                <w:spacing w:val="-6"/>
              </w:rPr>
              <w:t xml:space="preserve"> </w:t>
            </w:r>
            <w:r>
              <w:t>Authorities</w:t>
            </w:r>
            <w:r>
              <w:rPr>
                <w:spacing w:val="-3"/>
              </w:rPr>
              <w:t xml:space="preserve"> </w:t>
            </w:r>
            <w:r>
              <w:t>on</w:t>
            </w:r>
            <w:r>
              <w:rPr>
                <w:spacing w:val="-3"/>
              </w:rPr>
              <w:t xml:space="preserve"> </w:t>
            </w:r>
            <w:r>
              <w:t>water</w:t>
            </w:r>
            <w:r>
              <w:rPr>
                <w:spacing w:val="-4"/>
              </w:rPr>
              <w:t xml:space="preserve"> </w:t>
            </w:r>
            <w:r>
              <w:t>quality and Sustainable Diversion Limit projects</w:t>
            </w:r>
          </w:p>
          <w:p w14:paraId="1B136258" w14:textId="77777777" w:rsidR="00141B97" w:rsidRDefault="00911D63">
            <w:pPr>
              <w:pStyle w:val="TableParagraph"/>
              <w:numPr>
                <w:ilvl w:val="0"/>
                <w:numId w:val="18"/>
              </w:numPr>
              <w:tabs>
                <w:tab w:val="left" w:pos="526"/>
                <w:tab w:val="left" w:pos="527"/>
              </w:tabs>
              <w:spacing w:line="259" w:lineRule="exact"/>
              <w:ind w:hanging="437"/>
            </w:pPr>
            <w:r>
              <w:t>Partner</w:t>
            </w:r>
            <w:r>
              <w:rPr>
                <w:spacing w:val="-9"/>
              </w:rPr>
              <w:t xml:space="preserve"> </w:t>
            </w:r>
            <w:r>
              <w:t>with</w:t>
            </w:r>
            <w:r>
              <w:rPr>
                <w:spacing w:val="-7"/>
              </w:rPr>
              <w:t xml:space="preserve"> </w:t>
            </w:r>
            <w:r>
              <w:t>local</w:t>
            </w:r>
            <w:r>
              <w:rPr>
                <w:spacing w:val="-9"/>
              </w:rPr>
              <w:t xml:space="preserve"> </w:t>
            </w:r>
            <w:r>
              <w:t>stakeholders</w:t>
            </w:r>
            <w:r>
              <w:rPr>
                <w:spacing w:val="-6"/>
              </w:rPr>
              <w:t xml:space="preserve"> </w:t>
            </w:r>
            <w:r>
              <w:t>on</w:t>
            </w:r>
            <w:r>
              <w:rPr>
                <w:spacing w:val="-8"/>
              </w:rPr>
              <w:t xml:space="preserve"> </w:t>
            </w:r>
            <w:r>
              <w:t>Integrated</w:t>
            </w:r>
            <w:r>
              <w:rPr>
                <w:spacing w:val="-8"/>
              </w:rPr>
              <w:t xml:space="preserve"> </w:t>
            </w:r>
            <w:r>
              <w:t>Water</w:t>
            </w:r>
            <w:r>
              <w:rPr>
                <w:spacing w:val="-7"/>
              </w:rPr>
              <w:t xml:space="preserve"> </w:t>
            </w:r>
            <w:r>
              <w:rPr>
                <w:spacing w:val="-2"/>
              </w:rPr>
              <w:t>Management</w:t>
            </w:r>
          </w:p>
        </w:tc>
      </w:tr>
      <w:tr w:rsidR="00141B97" w14:paraId="45125AD0" w14:textId="77777777">
        <w:trPr>
          <w:trHeight w:val="4950"/>
        </w:trPr>
        <w:tc>
          <w:tcPr>
            <w:tcW w:w="2256" w:type="dxa"/>
            <w:tcBorders>
              <w:left w:val="nil"/>
            </w:tcBorders>
            <w:shd w:val="clear" w:color="auto" w:fill="CCE2ED"/>
          </w:tcPr>
          <w:p w14:paraId="7D47735F" w14:textId="77777777" w:rsidR="00141B97" w:rsidRDefault="00911D63">
            <w:pPr>
              <w:pStyle w:val="TableParagraph"/>
              <w:ind w:left="88" w:right="197"/>
            </w:pPr>
            <w:r>
              <w:t>Key</w:t>
            </w:r>
            <w:r>
              <w:rPr>
                <w:spacing w:val="-13"/>
              </w:rPr>
              <w:t xml:space="preserve"> </w:t>
            </w:r>
            <w:r>
              <w:t xml:space="preserve">operational </w:t>
            </w:r>
            <w:r>
              <w:rPr>
                <w:spacing w:val="-2"/>
              </w:rPr>
              <w:t>activities</w:t>
            </w:r>
          </w:p>
        </w:tc>
        <w:tc>
          <w:tcPr>
            <w:tcW w:w="7355" w:type="dxa"/>
            <w:tcBorders>
              <w:right w:val="nil"/>
            </w:tcBorders>
            <w:shd w:val="clear" w:color="auto" w:fill="CCE2ED"/>
          </w:tcPr>
          <w:p w14:paraId="3922091C" w14:textId="77777777" w:rsidR="00141B97" w:rsidRDefault="00911D63">
            <w:pPr>
              <w:pStyle w:val="TableParagraph"/>
              <w:numPr>
                <w:ilvl w:val="0"/>
                <w:numId w:val="17"/>
              </w:numPr>
              <w:tabs>
                <w:tab w:val="left" w:pos="526"/>
                <w:tab w:val="left" w:pos="527"/>
              </w:tabs>
            </w:pPr>
            <w:r>
              <w:t>Partner</w:t>
            </w:r>
            <w:r>
              <w:rPr>
                <w:spacing w:val="-8"/>
              </w:rPr>
              <w:t xml:space="preserve"> </w:t>
            </w:r>
            <w:r>
              <w:t>with</w:t>
            </w:r>
            <w:r>
              <w:rPr>
                <w:spacing w:val="-6"/>
              </w:rPr>
              <w:t xml:space="preserve"> </w:t>
            </w:r>
            <w:r>
              <w:t>DELWP</w:t>
            </w:r>
            <w:r>
              <w:rPr>
                <w:spacing w:val="-6"/>
              </w:rPr>
              <w:t xml:space="preserve"> </w:t>
            </w:r>
            <w:r>
              <w:t>on</w:t>
            </w:r>
            <w:r>
              <w:rPr>
                <w:spacing w:val="-8"/>
              </w:rPr>
              <w:t xml:space="preserve"> </w:t>
            </w:r>
            <w:r>
              <w:t>the</w:t>
            </w:r>
            <w:r>
              <w:rPr>
                <w:spacing w:val="-8"/>
              </w:rPr>
              <w:t xml:space="preserve"> </w:t>
            </w:r>
            <w:r>
              <w:t>strategic</w:t>
            </w:r>
            <w:r>
              <w:rPr>
                <w:spacing w:val="-6"/>
              </w:rPr>
              <w:t xml:space="preserve"> </w:t>
            </w:r>
            <w:r>
              <w:t>review</w:t>
            </w:r>
            <w:r>
              <w:rPr>
                <w:spacing w:val="-8"/>
              </w:rPr>
              <w:t xml:space="preserve"> </w:t>
            </w:r>
            <w:r>
              <w:t>for</w:t>
            </w:r>
            <w:r>
              <w:rPr>
                <w:spacing w:val="-7"/>
              </w:rPr>
              <w:t xml:space="preserve"> </w:t>
            </w:r>
            <w:r>
              <w:t>recreational</w:t>
            </w:r>
            <w:r>
              <w:rPr>
                <w:spacing w:val="-8"/>
              </w:rPr>
              <w:t xml:space="preserve"> </w:t>
            </w:r>
            <w:r>
              <w:rPr>
                <w:spacing w:val="-2"/>
              </w:rPr>
              <w:t>water</w:t>
            </w:r>
          </w:p>
          <w:p w14:paraId="69C44BEA" w14:textId="77777777" w:rsidR="00141B97" w:rsidRDefault="00911D63">
            <w:pPr>
              <w:pStyle w:val="TableParagraph"/>
              <w:numPr>
                <w:ilvl w:val="0"/>
                <w:numId w:val="17"/>
              </w:numPr>
              <w:tabs>
                <w:tab w:val="left" w:pos="526"/>
                <w:tab w:val="left" w:pos="527"/>
              </w:tabs>
              <w:spacing w:before="1"/>
              <w:ind w:right="531"/>
            </w:pPr>
            <w:r>
              <w:t>Manage</w:t>
            </w:r>
            <w:r>
              <w:rPr>
                <w:spacing w:val="-3"/>
              </w:rPr>
              <w:t xml:space="preserve"> </w:t>
            </w:r>
            <w:r>
              <w:t>the</w:t>
            </w:r>
            <w:r>
              <w:rPr>
                <w:spacing w:val="-4"/>
              </w:rPr>
              <w:t xml:space="preserve"> </w:t>
            </w:r>
            <w:r>
              <w:t>business</w:t>
            </w:r>
            <w:r>
              <w:rPr>
                <w:spacing w:val="-3"/>
              </w:rPr>
              <w:t xml:space="preserve"> </w:t>
            </w:r>
            <w:r>
              <w:t>so</w:t>
            </w:r>
            <w:r>
              <w:rPr>
                <w:spacing w:val="-2"/>
              </w:rPr>
              <w:t xml:space="preserve"> </w:t>
            </w:r>
            <w:r>
              <w:t>that</w:t>
            </w:r>
            <w:r>
              <w:rPr>
                <w:spacing w:val="-3"/>
              </w:rPr>
              <w:t xml:space="preserve"> </w:t>
            </w:r>
            <w:r>
              <w:t>it</w:t>
            </w:r>
            <w:r>
              <w:rPr>
                <w:spacing w:val="-3"/>
              </w:rPr>
              <w:t xml:space="preserve"> </w:t>
            </w:r>
            <w:r>
              <w:t>meets</w:t>
            </w:r>
            <w:r>
              <w:rPr>
                <w:spacing w:val="-3"/>
              </w:rPr>
              <w:t xml:space="preserve"> </w:t>
            </w:r>
            <w:r>
              <w:t>its</w:t>
            </w:r>
            <w:r>
              <w:rPr>
                <w:spacing w:val="-2"/>
              </w:rPr>
              <w:t xml:space="preserve"> </w:t>
            </w:r>
            <w:r>
              <w:t>obligations</w:t>
            </w:r>
            <w:r>
              <w:rPr>
                <w:spacing w:val="-2"/>
              </w:rPr>
              <w:t xml:space="preserve"> </w:t>
            </w:r>
            <w:r>
              <w:t>and</w:t>
            </w:r>
            <w:r>
              <w:rPr>
                <w:spacing w:val="-3"/>
              </w:rPr>
              <w:t xml:space="preserve"> </w:t>
            </w:r>
            <w:r>
              <w:t>does</w:t>
            </w:r>
            <w:r>
              <w:rPr>
                <w:spacing w:val="-2"/>
              </w:rPr>
              <w:t xml:space="preserve"> </w:t>
            </w:r>
            <w:r>
              <w:t>not</w:t>
            </w:r>
            <w:r>
              <w:rPr>
                <w:spacing w:val="-2"/>
              </w:rPr>
              <w:t xml:space="preserve"> </w:t>
            </w:r>
            <w:r>
              <w:t>incur penalties for non‐performance</w:t>
            </w:r>
          </w:p>
          <w:p w14:paraId="2AA13A8F" w14:textId="77777777" w:rsidR="00141B97" w:rsidRDefault="00911D63">
            <w:pPr>
              <w:pStyle w:val="TableParagraph"/>
              <w:numPr>
                <w:ilvl w:val="0"/>
                <w:numId w:val="17"/>
              </w:numPr>
              <w:tabs>
                <w:tab w:val="left" w:pos="526"/>
                <w:tab w:val="left" w:pos="527"/>
              </w:tabs>
              <w:ind w:right="825"/>
            </w:pPr>
            <w:r>
              <w:t>Act</w:t>
            </w:r>
            <w:r>
              <w:rPr>
                <w:spacing w:val="-4"/>
              </w:rPr>
              <w:t xml:space="preserve"> </w:t>
            </w:r>
            <w:r>
              <w:t>as</w:t>
            </w:r>
            <w:r>
              <w:rPr>
                <w:spacing w:val="-3"/>
              </w:rPr>
              <w:t xml:space="preserve"> </w:t>
            </w:r>
            <w:r>
              <w:t>the</w:t>
            </w:r>
            <w:r>
              <w:rPr>
                <w:spacing w:val="-5"/>
              </w:rPr>
              <w:t xml:space="preserve"> </w:t>
            </w:r>
            <w:r>
              <w:t>regional</w:t>
            </w:r>
            <w:r>
              <w:rPr>
                <w:spacing w:val="-4"/>
              </w:rPr>
              <w:t xml:space="preserve"> </w:t>
            </w:r>
            <w:r>
              <w:t>coordinator</w:t>
            </w:r>
            <w:r>
              <w:rPr>
                <w:spacing w:val="-4"/>
              </w:rPr>
              <w:t xml:space="preserve"> </w:t>
            </w:r>
            <w:r>
              <w:t>for</w:t>
            </w:r>
            <w:r>
              <w:rPr>
                <w:spacing w:val="-3"/>
              </w:rPr>
              <w:t xml:space="preserve"> </w:t>
            </w:r>
            <w:r>
              <w:t>blue‐green</w:t>
            </w:r>
            <w:r>
              <w:rPr>
                <w:spacing w:val="-4"/>
              </w:rPr>
              <w:t xml:space="preserve"> </w:t>
            </w:r>
            <w:r>
              <w:t>algae</w:t>
            </w:r>
            <w:r>
              <w:rPr>
                <w:spacing w:val="-4"/>
              </w:rPr>
              <w:t xml:space="preserve"> </w:t>
            </w:r>
            <w:r>
              <w:t>monitoring</w:t>
            </w:r>
            <w:r>
              <w:rPr>
                <w:spacing w:val="-3"/>
              </w:rPr>
              <w:t xml:space="preserve"> </w:t>
            </w:r>
            <w:r>
              <w:t xml:space="preserve">and </w:t>
            </w:r>
            <w:r>
              <w:rPr>
                <w:spacing w:val="-2"/>
              </w:rPr>
              <w:t>reporting</w:t>
            </w:r>
          </w:p>
          <w:p w14:paraId="06503EAB" w14:textId="77777777" w:rsidR="00141B97" w:rsidRDefault="00911D63">
            <w:pPr>
              <w:pStyle w:val="TableParagraph"/>
              <w:numPr>
                <w:ilvl w:val="0"/>
                <w:numId w:val="17"/>
              </w:numPr>
              <w:tabs>
                <w:tab w:val="left" w:pos="526"/>
                <w:tab w:val="left" w:pos="527"/>
              </w:tabs>
              <w:spacing w:line="280" w:lineRule="exact"/>
            </w:pPr>
            <w:r>
              <w:t>Maintain</w:t>
            </w:r>
            <w:r>
              <w:rPr>
                <w:spacing w:val="-10"/>
              </w:rPr>
              <w:t xml:space="preserve"> </w:t>
            </w:r>
            <w:r>
              <w:t>and</w:t>
            </w:r>
            <w:r>
              <w:rPr>
                <w:spacing w:val="-8"/>
              </w:rPr>
              <w:t xml:space="preserve"> </w:t>
            </w:r>
            <w:r>
              <w:t>enhance</w:t>
            </w:r>
            <w:r>
              <w:rPr>
                <w:spacing w:val="-9"/>
              </w:rPr>
              <w:t xml:space="preserve"> </w:t>
            </w:r>
            <w:r>
              <w:t>hardship</w:t>
            </w:r>
            <w:r>
              <w:rPr>
                <w:spacing w:val="-9"/>
              </w:rPr>
              <w:t xml:space="preserve"> </w:t>
            </w:r>
            <w:r>
              <w:t>programs</w:t>
            </w:r>
            <w:r>
              <w:rPr>
                <w:spacing w:val="-10"/>
              </w:rPr>
              <w:t xml:space="preserve"> </w:t>
            </w:r>
            <w:r>
              <w:t>for</w:t>
            </w:r>
            <w:r>
              <w:rPr>
                <w:spacing w:val="-10"/>
              </w:rPr>
              <w:t xml:space="preserve"> </w:t>
            </w:r>
            <w:r>
              <w:t>vulnerable</w:t>
            </w:r>
            <w:r>
              <w:rPr>
                <w:spacing w:val="-10"/>
              </w:rPr>
              <w:t xml:space="preserve"> </w:t>
            </w:r>
            <w:r>
              <w:rPr>
                <w:spacing w:val="-2"/>
              </w:rPr>
              <w:t>customers</w:t>
            </w:r>
          </w:p>
          <w:p w14:paraId="4F80DADF" w14:textId="77777777" w:rsidR="00141B97" w:rsidRDefault="00911D63">
            <w:pPr>
              <w:pStyle w:val="TableParagraph"/>
              <w:numPr>
                <w:ilvl w:val="0"/>
                <w:numId w:val="17"/>
              </w:numPr>
              <w:tabs>
                <w:tab w:val="left" w:pos="526"/>
                <w:tab w:val="left" w:pos="527"/>
              </w:tabs>
              <w:ind w:right="244"/>
            </w:pPr>
            <w:r>
              <w:t>Manage</w:t>
            </w:r>
            <w:r>
              <w:rPr>
                <w:spacing w:val="-4"/>
              </w:rPr>
              <w:t xml:space="preserve"> </w:t>
            </w:r>
            <w:r>
              <w:t>waterways</w:t>
            </w:r>
            <w:r>
              <w:rPr>
                <w:spacing w:val="-4"/>
              </w:rPr>
              <w:t xml:space="preserve"> </w:t>
            </w:r>
            <w:r>
              <w:t>and</w:t>
            </w:r>
            <w:r>
              <w:rPr>
                <w:spacing w:val="-4"/>
              </w:rPr>
              <w:t xml:space="preserve"> </w:t>
            </w:r>
            <w:r>
              <w:t>wetlands</w:t>
            </w:r>
            <w:r>
              <w:rPr>
                <w:spacing w:val="-3"/>
              </w:rPr>
              <w:t xml:space="preserve"> </w:t>
            </w:r>
            <w:r>
              <w:t>used</w:t>
            </w:r>
            <w:r>
              <w:rPr>
                <w:spacing w:val="-4"/>
              </w:rPr>
              <w:t xml:space="preserve"> </w:t>
            </w:r>
            <w:r>
              <w:t>for</w:t>
            </w:r>
            <w:r>
              <w:rPr>
                <w:spacing w:val="-4"/>
              </w:rPr>
              <w:t xml:space="preserve"> </w:t>
            </w:r>
            <w:r>
              <w:t>(rural)</w:t>
            </w:r>
            <w:r>
              <w:rPr>
                <w:spacing w:val="-3"/>
              </w:rPr>
              <w:t xml:space="preserve"> </w:t>
            </w:r>
            <w:r>
              <w:t>water</w:t>
            </w:r>
            <w:r>
              <w:rPr>
                <w:spacing w:val="-4"/>
              </w:rPr>
              <w:t xml:space="preserve"> </w:t>
            </w:r>
            <w:r>
              <w:t>supply</w:t>
            </w:r>
            <w:r>
              <w:rPr>
                <w:spacing w:val="-3"/>
              </w:rPr>
              <w:t xml:space="preserve"> </w:t>
            </w:r>
            <w:r>
              <w:t>to</w:t>
            </w:r>
            <w:r>
              <w:rPr>
                <w:spacing w:val="-3"/>
              </w:rPr>
              <w:t xml:space="preserve"> </w:t>
            </w:r>
            <w:r>
              <w:t xml:space="preserve">enhance ecological and recreational benefits and implement Murray‐Darling Basin </w:t>
            </w:r>
            <w:r>
              <w:rPr>
                <w:spacing w:val="-2"/>
              </w:rPr>
              <w:t>obligations</w:t>
            </w:r>
          </w:p>
          <w:p w14:paraId="1D59720F" w14:textId="77777777" w:rsidR="00141B97" w:rsidRDefault="00911D63">
            <w:pPr>
              <w:pStyle w:val="TableParagraph"/>
              <w:numPr>
                <w:ilvl w:val="0"/>
                <w:numId w:val="17"/>
              </w:numPr>
              <w:tabs>
                <w:tab w:val="left" w:pos="526"/>
                <w:tab w:val="left" w:pos="527"/>
              </w:tabs>
              <w:ind w:right="617"/>
            </w:pPr>
            <w:r>
              <w:t>Contribute</w:t>
            </w:r>
            <w:r>
              <w:rPr>
                <w:spacing w:val="-5"/>
              </w:rPr>
              <w:t xml:space="preserve"> </w:t>
            </w:r>
            <w:r>
              <w:t>to</w:t>
            </w:r>
            <w:r>
              <w:rPr>
                <w:spacing w:val="-4"/>
              </w:rPr>
              <w:t xml:space="preserve"> </w:t>
            </w:r>
            <w:r>
              <w:t>state</w:t>
            </w:r>
            <w:r>
              <w:rPr>
                <w:spacing w:val="-6"/>
              </w:rPr>
              <w:t xml:space="preserve"> </w:t>
            </w:r>
            <w:r>
              <w:t>development</w:t>
            </w:r>
            <w:r>
              <w:rPr>
                <w:spacing w:val="-5"/>
              </w:rPr>
              <w:t xml:space="preserve"> </w:t>
            </w:r>
            <w:r>
              <w:t>objectives</w:t>
            </w:r>
            <w:r>
              <w:rPr>
                <w:spacing w:val="-4"/>
              </w:rPr>
              <w:t xml:space="preserve"> </w:t>
            </w:r>
            <w:r>
              <w:t>and</w:t>
            </w:r>
            <w:r>
              <w:rPr>
                <w:spacing w:val="-4"/>
              </w:rPr>
              <w:t xml:space="preserve"> </w:t>
            </w:r>
            <w:r>
              <w:t>projects</w:t>
            </w:r>
            <w:r>
              <w:rPr>
                <w:spacing w:val="-4"/>
              </w:rPr>
              <w:t xml:space="preserve"> </w:t>
            </w:r>
            <w:r>
              <w:t>including</w:t>
            </w:r>
            <w:r>
              <w:rPr>
                <w:spacing w:val="-4"/>
              </w:rPr>
              <w:t xml:space="preserve"> </w:t>
            </w:r>
            <w:r>
              <w:t>the development of sustainable irrigation policies</w:t>
            </w:r>
          </w:p>
          <w:p w14:paraId="0B796326" w14:textId="77777777" w:rsidR="00141B97" w:rsidRDefault="00911D63">
            <w:pPr>
              <w:pStyle w:val="TableParagraph"/>
              <w:numPr>
                <w:ilvl w:val="0"/>
                <w:numId w:val="17"/>
              </w:numPr>
              <w:tabs>
                <w:tab w:val="left" w:pos="526"/>
                <w:tab w:val="left" w:pos="527"/>
              </w:tabs>
              <w:ind w:right="483"/>
            </w:pPr>
            <w:r>
              <w:t>Increase</w:t>
            </w:r>
            <w:r>
              <w:rPr>
                <w:spacing w:val="-5"/>
              </w:rPr>
              <w:t xml:space="preserve"> </w:t>
            </w:r>
            <w:r>
              <w:t>diversity,</w:t>
            </w:r>
            <w:r>
              <w:rPr>
                <w:spacing w:val="-5"/>
              </w:rPr>
              <w:t xml:space="preserve"> </w:t>
            </w:r>
            <w:r>
              <w:t>inclusion</w:t>
            </w:r>
            <w:r>
              <w:rPr>
                <w:spacing w:val="-5"/>
              </w:rPr>
              <w:t xml:space="preserve"> </w:t>
            </w:r>
            <w:r>
              <w:t>and</w:t>
            </w:r>
            <w:r>
              <w:rPr>
                <w:spacing w:val="-3"/>
              </w:rPr>
              <w:t xml:space="preserve"> </w:t>
            </w:r>
            <w:r>
              <w:t>equality</w:t>
            </w:r>
            <w:r>
              <w:rPr>
                <w:spacing w:val="-5"/>
              </w:rPr>
              <w:t xml:space="preserve"> </w:t>
            </w:r>
            <w:r>
              <w:t>achieved</w:t>
            </w:r>
            <w:r>
              <w:rPr>
                <w:spacing w:val="-4"/>
              </w:rPr>
              <w:t xml:space="preserve"> </w:t>
            </w:r>
            <w:r>
              <w:t>through</w:t>
            </w:r>
            <w:r>
              <w:rPr>
                <w:spacing w:val="-4"/>
              </w:rPr>
              <w:t xml:space="preserve"> </w:t>
            </w:r>
            <w:r>
              <w:t>the</w:t>
            </w:r>
            <w:r>
              <w:rPr>
                <w:spacing w:val="-5"/>
              </w:rPr>
              <w:t xml:space="preserve"> </w:t>
            </w:r>
            <w:r>
              <w:t>effective delivery of LMW’s Gender Equality Action Plan (GEAP)</w:t>
            </w:r>
          </w:p>
          <w:p w14:paraId="4ADD5709" w14:textId="77777777" w:rsidR="00141B97" w:rsidRDefault="00911D63">
            <w:pPr>
              <w:pStyle w:val="TableParagraph"/>
              <w:numPr>
                <w:ilvl w:val="0"/>
                <w:numId w:val="17"/>
              </w:numPr>
              <w:tabs>
                <w:tab w:val="left" w:pos="526"/>
                <w:tab w:val="left" w:pos="527"/>
              </w:tabs>
              <w:ind w:right="1267"/>
            </w:pPr>
            <w:r>
              <w:t>Improve</w:t>
            </w:r>
            <w:r>
              <w:rPr>
                <w:spacing w:val="-4"/>
              </w:rPr>
              <w:t xml:space="preserve"> </w:t>
            </w:r>
            <w:r>
              <w:t>mechanisms</w:t>
            </w:r>
            <w:r>
              <w:rPr>
                <w:spacing w:val="-4"/>
              </w:rPr>
              <w:t xml:space="preserve"> </w:t>
            </w:r>
            <w:r>
              <w:t>to</w:t>
            </w:r>
            <w:r>
              <w:rPr>
                <w:spacing w:val="-4"/>
              </w:rPr>
              <w:t xml:space="preserve"> </w:t>
            </w:r>
            <w:r>
              <w:t>collect</w:t>
            </w:r>
            <w:r>
              <w:rPr>
                <w:spacing w:val="-5"/>
              </w:rPr>
              <w:t xml:space="preserve"> </w:t>
            </w:r>
            <w:r>
              <w:t>feedback</w:t>
            </w:r>
            <w:r>
              <w:rPr>
                <w:spacing w:val="-4"/>
              </w:rPr>
              <w:t xml:space="preserve"> </w:t>
            </w:r>
            <w:r>
              <w:t>to</w:t>
            </w:r>
            <w:r>
              <w:rPr>
                <w:spacing w:val="-4"/>
              </w:rPr>
              <w:t xml:space="preserve"> </w:t>
            </w:r>
            <w:r>
              <w:t>ensure</w:t>
            </w:r>
            <w:r>
              <w:rPr>
                <w:spacing w:val="-4"/>
              </w:rPr>
              <w:t xml:space="preserve"> </w:t>
            </w:r>
            <w:r>
              <w:t>continuous improvement of service delivery</w:t>
            </w:r>
          </w:p>
          <w:p w14:paraId="2860D0E2" w14:textId="77777777" w:rsidR="00141B97" w:rsidRDefault="00911D63">
            <w:pPr>
              <w:pStyle w:val="TableParagraph"/>
              <w:numPr>
                <w:ilvl w:val="0"/>
                <w:numId w:val="17"/>
              </w:numPr>
              <w:tabs>
                <w:tab w:val="left" w:pos="526"/>
                <w:tab w:val="left" w:pos="527"/>
              </w:tabs>
              <w:spacing w:line="280" w:lineRule="exact"/>
            </w:pPr>
            <w:r>
              <w:t>Identify</w:t>
            </w:r>
            <w:r>
              <w:rPr>
                <w:spacing w:val="-8"/>
              </w:rPr>
              <w:t xml:space="preserve"> </w:t>
            </w:r>
            <w:r>
              <w:t>and</w:t>
            </w:r>
            <w:r>
              <w:rPr>
                <w:spacing w:val="-7"/>
              </w:rPr>
              <w:t xml:space="preserve"> </w:t>
            </w:r>
            <w:r>
              <w:t>deliver</w:t>
            </w:r>
            <w:r>
              <w:rPr>
                <w:spacing w:val="-7"/>
              </w:rPr>
              <w:t xml:space="preserve"> </w:t>
            </w:r>
            <w:r>
              <w:t>of</w:t>
            </w:r>
            <w:r>
              <w:rPr>
                <w:spacing w:val="-8"/>
              </w:rPr>
              <w:t xml:space="preserve"> </w:t>
            </w:r>
            <w:r>
              <w:t>Cultural</w:t>
            </w:r>
            <w:r>
              <w:rPr>
                <w:spacing w:val="-8"/>
              </w:rPr>
              <w:t xml:space="preserve"> </w:t>
            </w:r>
            <w:r>
              <w:t>Heritage</w:t>
            </w:r>
            <w:r>
              <w:rPr>
                <w:spacing w:val="-7"/>
              </w:rPr>
              <w:t xml:space="preserve"> </w:t>
            </w:r>
            <w:r>
              <w:rPr>
                <w:spacing w:val="-2"/>
              </w:rPr>
              <w:t>programs</w:t>
            </w:r>
          </w:p>
          <w:p w14:paraId="253A3510" w14:textId="77777777" w:rsidR="00141B97" w:rsidRDefault="00911D63">
            <w:pPr>
              <w:pStyle w:val="TableParagraph"/>
              <w:numPr>
                <w:ilvl w:val="0"/>
                <w:numId w:val="17"/>
              </w:numPr>
              <w:tabs>
                <w:tab w:val="left" w:pos="526"/>
                <w:tab w:val="left" w:pos="527"/>
              </w:tabs>
            </w:pPr>
            <w:r>
              <w:t>Provide</w:t>
            </w:r>
            <w:r>
              <w:rPr>
                <w:spacing w:val="-8"/>
              </w:rPr>
              <w:t xml:space="preserve"> </w:t>
            </w:r>
            <w:r>
              <w:t>sponsorship</w:t>
            </w:r>
            <w:r>
              <w:rPr>
                <w:spacing w:val="-8"/>
              </w:rPr>
              <w:t xml:space="preserve"> </w:t>
            </w:r>
            <w:r>
              <w:t>to</w:t>
            </w:r>
            <w:r>
              <w:rPr>
                <w:spacing w:val="-8"/>
              </w:rPr>
              <w:t xml:space="preserve"> </w:t>
            </w:r>
            <w:r>
              <w:t>key</w:t>
            </w:r>
            <w:r>
              <w:rPr>
                <w:spacing w:val="-6"/>
              </w:rPr>
              <w:t xml:space="preserve"> </w:t>
            </w:r>
            <w:r>
              <w:t>community</w:t>
            </w:r>
            <w:r>
              <w:rPr>
                <w:spacing w:val="-5"/>
              </w:rPr>
              <w:t xml:space="preserve"> </w:t>
            </w:r>
            <w:r>
              <w:t>and</w:t>
            </w:r>
            <w:r>
              <w:rPr>
                <w:spacing w:val="-7"/>
              </w:rPr>
              <w:t xml:space="preserve"> </w:t>
            </w:r>
            <w:r>
              <w:t>trade</w:t>
            </w:r>
            <w:r>
              <w:rPr>
                <w:spacing w:val="-5"/>
              </w:rPr>
              <w:t xml:space="preserve"> </w:t>
            </w:r>
            <w:r>
              <w:rPr>
                <w:spacing w:val="-2"/>
              </w:rPr>
              <w:t>events</w:t>
            </w:r>
          </w:p>
        </w:tc>
      </w:tr>
      <w:tr w:rsidR="00141B97" w14:paraId="0B49D441" w14:textId="77777777">
        <w:trPr>
          <w:trHeight w:val="1939"/>
        </w:trPr>
        <w:tc>
          <w:tcPr>
            <w:tcW w:w="2256" w:type="dxa"/>
            <w:tcBorders>
              <w:left w:val="nil"/>
              <w:bottom w:val="nil"/>
            </w:tcBorders>
            <w:shd w:val="clear" w:color="auto" w:fill="CCE2ED"/>
          </w:tcPr>
          <w:p w14:paraId="6C32B9A6" w14:textId="77777777" w:rsidR="00141B97" w:rsidRDefault="00911D63">
            <w:pPr>
              <w:pStyle w:val="TableParagraph"/>
              <w:spacing w:before="1"/>
              <w:ind w:left="88"/>
            </w:pPr>
            <w:r>
              <w:rPr>
                <w:spacing w:val="-2"/>
              </w:rPr>
              <w:t>Inputs</w:t>
            </w:r>
          </w:p>
          <w:p w14:paraId="7108F835" w14:textId="77777777" w:rsidR="00141B97" w:rsidRDefault="00911D63">
            <w:pPr>
              <w:pStyle w:val="TableParagraph"/>
              <w:numPr>
                <w:ilvl w:val="0"/>
                <w:numId w:val="16"/>
              </w:numPr>
              <w:tabs>
                <w:tab w:val="left" w:pos="808"/>
                <w:tab w:val="left" w:pos="809"/>
              </w:tabs>
              <w:spacing w:before="1"/>
              <w:ind w:right="378"/>
            </w:pPr>
            <w:r>
              <w:rPr>
                <w:spacing w:val="-4"/>
              </w:rPr>
              <w:t xml:space="preserve">Cost </w:t>
            </w:r>
            <w:r>
              <w:rPr>
                <w:spacing w:val="-2"/>
              </w:rPr>
              <w:t>movements</w:t>
            </w:r>
          </w:p>
          <w:p w14:paraId="00270078" w14:textId="77777777" w:rsidR="00141B97" w:rsidRDefault="00911D63">
            <w:pPr>
              <w:pStyle w:val="TableParagraph"/>
              <w:numPr>
                <w:ilvl w:val="0"/>
                <w:numId w:val="16"/>
              </w:numPr>
              <w:tabs>
                <w:tab w:val="left" w:pos="808"/>
                <w:tab w:val="left" w:pos="809"/>
              </w:tabs>
              <w:ind w:right="523"/>
            </w:pPr>
            <w:r>
              <w:rPr>
                <w:spacing w:val="-2"/>
              </w:rPr>
              <w:t>Resources required</w:t>
            </w:r>
          </w:p>
        </w:tc>
        <w:tc>
          <w:tcPr>
            <w:tcW w:w="7355" w:type="dxa"/>
            <w:tcBorders>
              <w:bottom w:val="nil"/>
              <w:right w:val="nil"/>
            </w:tcBorders>
            <w:shd w:val="clear" w:color="auto" w:fill="CCE2ED"/>
          </w:tcPr>
          <w:p w14:paraId="7349AEC4" w14:textId="77777777" w:rsidR="00141B97" w:rsidRDefault="00911D63">
            <w:pPr>
              <w:pStyle w:val="TableParagraph"/>
              <w:numPr>
                <w:ilvl w:val="0"/>
                <w:numId w:val="15"/>
              </w:numPr>
              <w:tabs>
                <w:tab w:val="left" w:pos="457"/>
                <w:tab w:val="left" w:pos="458"/>
              </w:tabs>
              <w:spacing w:before="1" w:line="280" w:lineRule="exact"/>
            </w:pPr>
            <w:r>
              <w:t>Digital</w:t>
            </w:r>
            <w:r>
              <w:rPr>
                <w:spacing w:val="-9"/>
              </w:rPr>
              <w:t xml:space="preserve"> </w:t>
            </w:r>
            <w:r>
              <w:t>metering</w:t>
            </w:r>
            <w:r>
              <w:rPr>
                <w:spacing w:val="-8"/>
              </w:rPr>
              <w:t xml:space="preserve"> </w:t>
            </w:r>
            <w:r>
              <w:t>business</w:t>
            </w:r>
            <w:r>
              <w:rPr>
                <w:spacing w:val="-8"/>
              </w:rPr>
              <w:t xml:space="preserve"> </w:t>
            </w:r>
            <w:r>
              <w:t>case</w:t>
            </w:r>
            <w:r>
              <w:rPr>
                <w:spacing w:val="-8"/>
              </w:rPr>
              <w:t xml:space="preserve"> </w:t>
            </w:r>
            <w:r>
              <w:t>and</w:t>
            </w:r>
            <w:r>
              <w:rPr>
                <w:spacing w:val="-8"/>
              </w:rPr>
              <w:t xml:space="preserve"> </w:t>
            </w:r>
            <w:r>
              <w:t>blueprint</w:t>
            </w:r>
            <w:r>
              <w:rPr>
                <w:spacing w:val="-9"/>
              </w:rPr>
              <w:t xml:space="preserve"> </w:t>
            </w:r>
            <w:r>
              <w:t>development</w:t>
            </w:r>
            <w:r>
              <w:rPr>
                <w:spacing w:val="-9"/>
              </w:rPr>
              <w:t xml:space="preserve"> </w:t>
            </w:r>
            <w:r>
              <w:t>‐</w:t>
            </w:r>
            <w:r>
              <w:rPr>
                <w:spacing w:val="-8"/>
              </w:rPr>
              <w:t xml:space="preserve"> </w:t>
            </w:r>
            <w:r>
              <w:rPr>
                <w:spacing w:val="-2"/>
              </w:rPr>
              <w:t>$0.07m</w:t>
            </w:r>
          </w:p>
          <w:p w14:paraId="6CC297BA" w14:textId="77777777" w:rsidR="00141B97" w:rsidRDefault="00911D63">
            <w:pPr>
              <w:pStyle w:val="TableParagraph"/>
              <w:numPr>
                <w:ilvl w:val="0"/>
                <w:numId w:val="15"/>
              </w:numPr>
              <w:tabs>
                <w:tab w:val="left" w:pos="457"/>
                <w:tab w:val="left" w:pos="458"/>
              </w:tabs>
              <w:spacing w:line="280" w:lineRule="exact"/>
            </w:pPr>
            <w:r>
              <w:t>Maintain</w:t>
            </w:r>
            <w:r>
              <w:rPr>
                <w:spacing w:val="-8"/>
              </w:rPr>
              <w:t xml:space="preserve"> </w:t>
            </w:r>
            <w:r>
              <w:t>a</w:t>
            </w:r>
            <w:r>
              <w:rPr>
                <w:spacing w:val="-8"/>
              </w:rPr>
              <w:t xml:space="preserve"> </w:t>
            </w:r>
            <w:r>
              <w:t>minimum</w:t>
            </w:r>
            <w:r>
              <w:rPr>
                <w:spacing w:val="-8"/>
              </w:rPr>
              <w:t xml:space="preserve"> </w:t>
            </w:r>
            <w:r>
              <w:t>of</w:t>
            </w:r>
            <w:r>
              <w:rPr>
                <w:spacing w:val="-6"/>
              </w:rPr>
              <w:t xml:space="preserve"> </w:t>
            </w:r>
            <w:r>
              <w:t>one</w:t>
            </w:r>
            <w:r>
              <w:rPr>
                <w:spacing w:val="-9"/>
              </w:rPr>
              <w:t xml:space="preserve"> </w:t>
            </w:r>
            <w:r>
              <w:t>identified</w:t>
            </w:r>
            <w:r>
              <w:rPr>
                <w:spacing w:val="-8"/>
              </w:rPr>
              <w:t xml:space="preserve"> </w:t>
            </w:r>
            <w:r>
              <w:t>Aboriginal</w:t>
            </w:r>
            <w:r>
              <w:rPr>
                <w:spacing w:val="-7"/>
              </w:rPr>
              <w:t xml:space="preserve"> </w:t>
            </w:r>
            <w:r>
              <w:rPr>
                <w:spacing w:val="-2"/>
              </w:rPr>
              <w:t>position</w:t>
            </w:r>
          </w:p>
          <w:p w14:paraId="0043B2D6" w14:textId="77777777" w:rsidR="00141B97" w:rsidRDefault="00911D63">
            <w:pPr>
              <w:pStyle w:val="TableParagraph"/>
              <w:numPr>
                <w:ilvl w:val="0"/>
                <w:numId w:val="15"/>
              </w:numPr>
              <w:tabs>
                <w:tab w:val="left" w:pos="457"/>
                <w:tab w:val="left" w:pos="458"/>
              </w:tabs>
              <w:spacing w:before="1"/>
              <w:ind w:right="283"/>
            </w:pPr>
            <w:r>
              <w:t>Maintain</w:t>
            </w:r>
            <w:r>
              <w:rPr>
                <w:spacing w:val="-3"/>
              </w:rPr>
              <w:t xml:space="preserve"> </w:t>
            </w:r>
            <w:r>
              <w:t>a</w:t>
            </w:r>
            <w:r>
              <w:rPr>
                <w:spacing w:val="-3"/>
              </w:rPr>
              <w:t xml:space="preserve"> </w:t>
            </w:r>
            <w:r>
              <w:t>Diversity</w:t>
            </w:r>
            <w:r>
              <w:rPr>
                <w:spacing w:val="-3"/>
              </w:rPr>
              <w:t xml:space="preserve"> </w:t>
            </w:r>
            <w:r>
              <w:t>and</w:t>
            </w:r>
            <w:r>
              <w:rPr>
                <w:spacing w:val="-3"/>
              </w:rPr>
              <w:t xml:space="preserve"> </w:t>
            </w:r>
            <w:r>
              <w:t>Inclusion</w:t>
            </w:r>
            <w:r>
              <w:rPr>
                <w:spacing w:val="-4"/>
              </w:rPr>
              <w:t xml:space="preserve"> </w:t>
            </w:r>
            <w:r>
              <w:t>Officer</w:t>
            </w:r>
            <w:r>
              <w:rPr>
                <w:spacing w:val="-4"/>
              </w:rPr>
              <w:t xml:space="preserve"> </w:t>
            </w:r>
            <w:r>
              <w:t>to</w:t>
            </w:r>
            <w:r>
              <w:rPr>
                <w:spacing w:val="-3"/>
              </w:rPr>
              <w:t xml:space="preserve"> </w:t>
            </w:r>
            <w:r>
              <w:t>support</w:t>
            </w:r>
            <w:r>
              <w:rPr>
                <w:spacing w:val="-5"/>
              </w:rPr>
              <w:t xml:space="preserve"> </w:t>
            </w:r>
            <w:r>
              <w:t>the</w:t>
            </w:r>
            <w:r>
              <w:rPr>
                <w:spacing w:val="-3"/>
              </w:rPr>
              <w:t xml:space="preserve"> </w:t>
            </w:r>
            <w:r>
              <w:t>delivery</w:t>
            </w:r>
            <w:r>
              <w:rPr>
                <w:spacing w:val="-3"/>
              </w:rPr>
              <w:t xml:space="preserve"> </w:t>
            </w:r>
            <w:r>
              <w:t>of</w:t>
            </w:r>
            <w:r>
              <w:rPr>
                <w:spacing w:val="-2"/>
              </w:rPr>
              <w:t xml:space="preserve"> </w:t>
            </w:r>
            <w:r>
              <w:t>LMW’s RAP and GEAP</w:t>
            </w:r>
          </w:p>
          <w:p w14:paraId="40305D63" w14:textId="77777777" w:rsidR="00141B97" w:rsidRDefault="00911D63">
            <w:pPr>
              <w:pStyle w:val="TableParagraph"/>
              <w:numPr>
                <w:ilvl w:val="0"/>
                <w:numId w:val="15"/>
              </w:numPr>
              <w:tabs>
                <w:tab w:val="left" w:pos="457"/>
                <w:tab w:val="left" w:pos="458"/>
              </w:tabs>
              <w:ind w:right="351"/>
            </w:pPr>
            <w:r>
              <w:t>Diversity</w:t>
            </w:r>
            <w:r>
              <w:rPr>
                <w:spacing w:val="-3"/>
              </w:rPr>
              <w:t xml:space="preserve"> </w:t>
            </w:r>
            <w:r>
              <w:t>investment</w:t>
            </w:r>
            <w:r>
              <w:rPr>
                <w:spacing w:val="-3"/>
              </w:rPr>
              <w:t xml:space="preserve"> </w:t>
            </w:r>
            <w:r>
              <w:t>of</w:t>
            </w:r>
            <w:r>
              <w:rPr>
                <w:spacing w:val="-2"/>
              </w:rPr>
              <w:t xml:space="preserve"> </w:t>
            </w:r>
            <w:r>
              <w:t>$0.02m</w:t>
            </w:r>
            <w:r>
              <w:rPr>
                <w:spacing w:val="-3"/>
              </w:rPr>
              <w:t xml:space="preserve"> </w:t>
            </w:r>
            <w:r>
              <w:t>per</w:t>
            </w:r>
            <w:r>
              <w:rPr>
                <w:spacing w:val="-3"/>
              </w:rPr>
              <w:t xml:space="preserve"> </w:t>
            </w:r>
            <w:r>
              <w:t>annum</w:t>
            </w:r>
            <w:r>
              <w:rPr>
                <w:spacing w:val="-3"/>
              </w:rPr>
              <w:t xml:space="preserve"> </w:t>
            </w:r>
            <w:r>
              <w:t>to</w:t>
            </w:r>
            <w:r>
              <w:rPr>
                <w:spacing w:val="-4"/>
              </w:rPr>
              <w:t xml:space="preserve"> </w:t>
            </w:r>
            <w:r>
              <w:t>support</w:t>
            </w:r>
            <w:r>
              <w:rPr>
                <w:spacing w:val="-4"/>
              </w:rPr>
              <w:t xml:space="preserve"> </w:t>
            </w:r>
            <w:r>
              <w:t>delivery</w:t>
            </w:r>
            <w:r>
              <w:rPr>
                <w:spacing w:val="-3"/>
              </w:rPr>
              <w:t xml:space="preserve"> </w:t>
            </w:r>
            <w:r>
              <w:t>of</w:t>
            </w:r>
            <w:r>
              <w:rPr>
                <w:spacing w:val="-2"/>
              </w:rPr>
              <w:t xml:space="preserve"> </w:t>
            </w:r>
            <w:r>
              <w:t>RAP</w:t>
            </w:r>
            <w:r>
              <w:rPr>
                <w:spacing w:val="-3"/>
              </w:rPr>
              <w:t xml:space="preserve"> </w:t>
            </w:r>
            <w:r>
              <w:t xml:space="preserve">and </w:t>
            </w:r>
            <w:r>
              <w:rPr>
                <w:spacing w:val="-4"/>
              </w:rPr>
              <w:t>GEAP</w:t>
            </w:r>
          </w:p>
          <w:p w14:paraId="1A7B67CD" w14:textId="77777777" w:rsidR="00141B97" w:rsidRDefault="00911D63">
            <w:pPr>
              <w:pStyle w:val="TableParagraph"/>
              <w:numPr>
                <w:ilvl w:val="0"/>
                <w:numId w:val="15"/>
              </w:numPr>
              <w:tabs>
                <w:tab w:val="left" w:pos="457"/>
                <w:tab w:val="left" w:pos="458"/>
              </w:tabs>
              <w:spacing w:line="260" w:lineRule="exact"/>
            </w:pPr>
            <w:r>
              <w:t>Victorian</w:t>
            </w:r>
            <w:r>
              <w:rPr>
                <w:spacing w:val="-7"/>
              </w:rPr>
              <w:t xml:space="preserve"> </w:t>
            </w:r>
            <w:r>
              <w:t>Protective</w:t>
            </w:r>
            <w:r>
              <w:rPr>
                <w:spacing w:val="-9"/>
              </w:rPr>
              <w:t xml:space="preserve"> </w:t>
            </w:r>
            <w:r>
              <w:t>Data</w:t>
            </w:r>
            <w:r>
              <w:rPr>
                <w:spacing w:val="-8"/>
              </w:rPr>
              <w:t xml:space="preserve"> </w:t>
            </w:r>
            <w:r>
              <w:t>Security</w:t>
            </w:r>
            <w:r>
              <w:rPr>
                <w:spacing w:val="-8"/>
              </w:rPr>
              <w:t xml:space="preserve"> </w:t>
            </w:r>
            <w:r>
              <w:t>Standards</w:t>
            </w:r>
            <w:r>
              <w:rPr>
                <w:spacing w:val="-7"/>
              </w:rPr>
              <w:t xml:space="preserve"> </w:t>
            </w:r>
            <w:r>
              <w:t>(VPDSS)</w:t>
            </w:r>
            <w:r>
              <w:rPr>
                <w:spacing w:val="-7"/>
              </w:rPr>
              <w:t xml:space="preserve"> </w:t>
            </w:r>
            <w:r>
              <w:t>‐</w:t>
            </w:r>
            <w:r>
              <w:rPr>
                <w:spacing w:val="-8"/>
              </w:rPr>
              <w:t xml:space="preserve"> </w:t>
            </w:r>
            <w:r>
              <w:t>$0.02m</w:t>
            </w:r>
            <w:r>
              <w:rPr>
                <w:spacing w:val="-8"/>
              </w:rPr>
              <w:t xml:space="preserve"> </w:t>
            </w:r>
            <w:r>
              <w:t>per</w:t>
            </w:r>
            <w:r>
              <w:rPr>
                <w:spacing w:val="-7"/>
              </w:rPr>
              <w:t xml:space="preserve"> </w:t>
            </w:r>
            <w:r>
              <w:rPr>
                <w:spacing w:val="-2"/>
              </w:rPr>
              <w:t>annum.</w:t>
            </w:r>
          </w:p>
        </w:tc>
      </w:tr>
    </w:tbl>
    <w:p w14:paraId="2A607E9B" w14:textId="77777777" w:rsidR="00141B97" w:rsidRDefault="00911D63">
      <w:pPr>
        <w:spacing w:before="21"/>
        <w:ind w:left="114"/>
        <w:rPr>
          <w:sz w:val="16"/>
        </w:rPr>
      </w:pPr>
      <w:r>
        <w:rPr>
          <w:sz w:val="16"/>
        </w:rPr>
        <w:t>Table</w:t>
      </w:r>
      <w:r>
        <w:rPr>
          <w:spacing w:val="-5"/>
          <w:sz w:val="16"/>
        </w:rPr>
        <w:t xml:space="preserve"> </w:t>
      </w:r>
      <w:r>
        <w:rPr>
          <w:sz w:val="16"/>
        </w:rPr>
        <w:t>C13:</w:t>
      </w:r>
      <w:r>
        <w:rPr>
          <w:spacing w:val="-5"/>
          <w:sz w:val="16"/>
        </w:rPr>
        <w:t xml:space="preserve"> </w:t>
      </w:r>
      <w:r>
        <w:rPr>
          <w:sz w:val="16"/>
        </w:rPr>
        <w:t>Outcome</w:t>
      </w:r>
      <w:r>
        <w:rPr>
          <w:spacing w:val="-5"/>
          <w:sz w:val="16"/>
        </w:rPr>
        <w:t xml:space="preserve"> </w:t>
      </w:r>
      <w:r>
        <w:rPr>
          <w:sz w:val="16"/>
        </w:rPr>
        <w:t>4</w:t>
      </w:r>
      <w:r>
        <w:rPr>
          <w:spacing w:val="-5"/>
          <w:sz w:val="16"/>
        </w:rPr>
        <w:t xml:space="preserve"> </w:t>
      </w:r>
      <w:r>
        <w:rPr>
          <w:sz w:val="16"/>
        </w:rPr>
        <w:t>‐</w:t>
      </w:r>
      <w:r>
        <w:rPr>
          <w:spacing w:val="-6"/>
          <w:sz w:val="16"/>
        </w:rPr>
        <w:t xml:space="preserve"> </w:t>
      </w:r>
      <w:r>
        <w:rPr>
          <w:sz w:val="16"/>
        </w:rPr>
        <w:t>Service</w:t>
      </w:r>
      <w:r>
        <w:rPr>
          <w:spacing w:val="-6"/>
          <w:sz w:val="16"/>
        </w:rPr>
        <w:t xml:space="preserve"> </w:t>
      </w:r>
      <w:r>
        <w:rPr>
          <w:sz w:val="16"/>
        </w:rPr>
        <w:t>our</w:t>
      </w:r>
      <w:r>
        <w:rPr>
          <w:spacing w:val="-5"/>
          <w:sz w:val="16"/>
        </w:rPr>
        <w:t xml:space="preserve"> </w:t>
      </w:r>
      <w:r>
        <w:rPr>
          <w:sz w:val="16"/>
        </w:rPr>
        <w:t>Communities</w:t>
      </w:r>
      <w:r>
        <w:rPr>
          <w:spacing w:val="-6"/>
          <w:sz w:val="16"/>
        </w:rPr>
        <w:t xml:space="preserve"> </w:t>
      </w:r>
      <w:r>
        <w:rPr>
          <w:sz w:val="16"/>
        </w:rPr>
        <w:t>in</w:t>
      </w:r>
      <w:r>
        <w:rPr>
          <w:spacing w:val="-6"/>
          <w:sz w:val="16"/>
        </w:rPr>
        <w:t xml:space="preserve"> </w:t>
      </w:r>
      <w:r>
        <w:rPr>
          <w:sz w:val="16"/>
        </w:rPr>
        <w:t>a</w:t>
      </w:r>
      <w:r>
        <w:rPr>
          <w:spacing w:val="-6"/>
          <w:sz w:val="16"/>
        </w:rPr>
        <w:t xml:space="preserve"> </w:t>
      </w:r>
      <w:r>
        <w:rPr>
          <w:sz w:val="16"/>
        </w:rPr>
        <w:t>Socially</w:t>
      </w:r>
      <w:r>
        <w:rPr>
          <w:spacing w:val="-5"/>
          <w:sz w:val="16"/>
        </w:rPr>
        <w:t xml:space="preserve"> </w:t>
      </w:r>
      <w:r>
        <w:rPr>
          <w:sz w:val="16"/>
        </w:rPr>
        <w:t>Responsible</w:t>
      </w:r>
      <w:r>
        <w:rPr>
          <w:spacing w:val="-6"/>
          <w:sz w:val="16"/>
        </w:rPr>
        <w:t xml:space="preserve"> </w:t>
      </w:r>
      <w:r>
        <w:rPr>
          <w:sz w:val="16"/>
        </w:rPr>
        <w:t>and</w:t>
      </w:r>
      <w:r>
        <w:rPr>
          <w:spacing w:val="-6"/>
          <w:sz w:val="16"/>
        </w:rPr>
        <w:t xml:space="preserve"> </w:t>
      </w:r>
      <w:r>
        <w:rPr>
          <w:sz w:val="16"/>
        </w:rPr>
        <w:t>Environmentally</w:t>
      </w:r>
      <w:r>
        <w:rPr>
          <w:spacing w:val="-7"/>
          <w:sz w:val="16"/>
        </w:rPr>
        <w:t xml:space="preserve"> </w:t>
      </w:r>
      <w:r>
        <w:rPr>
          <w:sz w:val="16"/>
        </w:rPr>
        <w:t>Sustainable</w:t>
      </w:r>
      <w:r>
        <w:rPr>
          <w:spacing w:val="-5"/>
          <w:sz w:val="16"/>
        </w:rPr>
        <w:t xml:space="preserve"> </w:t>
      </w:r>
      <w:r>
        <w:rPr>
          <w:spacing w:val="-2"/>
          <w:sz w:val="16"/>
        </w:rPr>
        <w:t>Manner</w:t>
      </w:r>
    </w:p>
    <w:p w14:paraId="52E5D49A" w14:textId="77777777" w:rsidR="00141B97" w:rsidRDefault="00141B97">
      <w:pPr>
        <w:rPr>
          <w:sz w:val="16"/>
        </w:rPr>
        <w:sectPr w:rsidR="00141B97">
          <w:pgSz w:w="11910" w:h="16840"/>
          <w:pgMar w:top="820" w:right="40" w:bottom="780" w:left="1020" w:header="0" w:footer="586" w:gutter="0"/>
          <w:cols w:space="720"/>
        </w:sectPr>
      </w:pPr>
    </w:p>
    <w:p w14:paraId="5619FF0C" w14:textId="77777777" w:rsidR="00141B97" w:rsidRDefault="00911D63">
      <w:pPr>
        <w:pStyle w:val="Heading2"/>
        <w:numPr>
          <w:ilvl w:val="1"/>
          <w:numId w:val="37"/>
        </w:numPr>
        <w:tabs>
          <w:tab w:val="left" w:pos="1112"/>
          <w:tab w:val="left" w:pos="1113"/>
        </w:tabs>
        <w:spacing w:before="31"/>
        <w:rPr>
          <w:color w:val="009BAC"/>
        </w:rPr>
      </w:pPr>
      <w:r>
        <w:rPr>
          <w:color w:val="009BAC"/>
        </w:rPr>
        <w:lastRenderedPageBreak/>
        <w:t>Service</w:t>
      </w:r>
      <w:r>
        <w:rPr>
          <w:color w:val="009BAC"/>
          <w:spacing w:val="-10"/>
        </w:rPr>
        <w:t xml:space="preserve"> </w:t>
      </w:r>
      <w:r>
        <w:rPr>
          <w:color w:val="009BAC"/>
          <w:spacing w:val="-2"/>
        </w:rPr>
        <w:t>Standards</w:t>
      </w:r>
    </w:p>
    <w:p w14:paraId="3E5A46CD" w14:textId="77777777" w:rsidR="00141B97" w:rsidRDefault="00911D63">
      <w:pPr>
        <w:pStyle w:val="BodyText"/>
        <w:spacing w:before="120"/>
        <w:ind w:left="113" w:right="948"/>
        <w:jc w:val="both"/>
      </w:pPr>
      <w:r>
        <w:t>During the review and development of customer outcomes for PS5, relevant services standards were also reviewed</w:t>
      </w:r>
      <w:r>
        <w:rPr>
          <w:spacing w:val="-8"/>
        </w:rPr>
        <w:t xml:space="preserve"> </w:t>
      </w:r>
      <w:r>
        <w:t>and</w:t>
      </w:r>
      <w:r>
        <w:rPr>
          <w:spacing w:val="-8"/>
        </w:rPr>
        <w:t xml:space="preserve"> </w:t>
      </w:r>
      <w:r>
        <w:t>discussed</w:t>
      </w:r>
      <w:r>
        <w:rPr>
          <w:spacing w:val="-10"/>
        </w:rPr>
        <w:t xml:space="preserve"> </w:t>
      </w:r>
      <w:r>
        <w:t>with</w:t>
      </w:r>
      <w:r>
        <w:rPr>
          <w:spacing w:val="-9"/>
        </w:rPr>
        <w:t xml:space="preserve"> </w:t>
      </w:r>
      <w:r>
        <w:t>customers,</w:t>
      </w:r>
      <w:r>
        <w:rPr>
          <w:spacing w:val="-6"/>
        </w:rPr>
        <w:t xml:space="preserve"> </w:t>
      </w:r>
      <w:r>
        <w:t>explaining</w:t>
      </w:r>
      <w:r>
        <w:rPr>
          <w:spacing w:val="-9"/>
        </w:rPr>
        <w:t xml:space="preserve"> </w:t>
      </w:r>
      <w:r>
        <w:t>that</w:t>
      </w:r>
      <w:r>
        <w:rPr>
          <w:spacing w:val="-9"/>
        </w:rPr>
        <w:t xml:space="preserve"> </w:t>
      </w:r>
      <w:r>
        <w:t>they</w:t>
      </w:r>
      <w:r>
        <w:rPr>
          <w:spacing w:val="-9"/>
        </w:rPr>
        <w:t xml:space="preserve"> </w:t>
      </w:r>
      <w:r>
        <w:t>related</w:t>
      </w:r>
      <w:r>
        <w:rPr>
          <w:spacing w:val="-10"/>
        </w:rPr>
        <w:t xml:space="preserve"> </w:t>
      </w:r>
      <w:r>
        <w:t>to</w:t>
      </w:r>
      <w:r>
        <w:rPr>
          <w:spacing w:val="-10"/>
        </w:rPr>
        <w:t xml:space="preserve"> </w:t>
      </w:r>
      <w:r>
        <w:t>service</w:t>
      </w:r>
      <w:r>
        <w:rPr>
          <w:spacing w:val="-9"/>
        </w:rPr>
        <w:t xml:space="preserve"> </w:t>
      </w:r>
      <w:r>
        <w:t>reliability</w:t>
      </w:r>
      <w:r>
        <w:rPr>
          <w:spacing w:val="-9"/>
        </w:rPr>
        <w:t xml:space="preserve"> </w:t>
      </w:r>
      <w:r>
        <w:t>and</w:t>
      </w:r>
      <w:r>
        <w:rPr>
          <w:spacing w:val="-8"/>
        </w:rPr>
        <w:t xml:space="preserve"> </w:t>
      </w:r>
      <w:r>
        <w:t>attending</w:t>
      </w:r>
      <w:r>
        <w:rPr>
          <w:spacing w:val="-9"/>
        </w:rPr>
        <w:t xml:space="preserve"> </w:t>
      </w:r>
      <w:r>
        <w:t>to</w:t>
      </w:r>
      <w:r>
        <w:rPr>
          <w:spacing w:val="-10"/>
        </w:rPr>
        <w:t xml:space="preserve"> </w:t>
      </w:r>
      <w:r>
        <w:t>faults under</w:t>
      </w:r>
      <w:r>
        <w:rPr>
          <w:spacing w:val="-7"/>
        </w:rPr>
        <w:t xml:space="preserve"> </w:t>
      </w:r>
      <w:r>
        <w:t>the</w:t>
      </w:r>
      <w:r>
        <w:rPr>
          <w:spacing w:val="-7"/>
        </w:rPr>
        <w:t xml:space="preserve"> </w:t>
      </w:r>
      <w:r>
        <w:t>provisions</w:t>
      </w:r>
      <w:r>
        <w:rPr>
          <w:spacing w:val="-6"/>
        </w:rPr>
        <w:t xml:space="preserve"> </w:t>
      </w:r>
      <w:r>
        <w:t>of</w:t>
      </w:r>
      <w:r>
        <w:rPr>
          <w:spacing w:val="-7"/>
        </w:rPr>
        <w:t xml:space="preserve"> </w:t>
      </w:r>
      <w:r>
        <w:t>the</w:t>
      </w:r>
      <w:r>
        <w:rPr>
          <w:spacing w:val="-6"/>
        </w:rPr>
        <w:t xml:space="preserve"> </w:t>
      </w:r>
      <w:r>
        <w:t>ESC</w:t>
      </w:r>
      <w:r>
        <w:rPr>
          <w:spacing w:val="-7"/>
        </w:rPr>
        <w:t xml:space="preserve"> </w:t>
      </w:r>
      <w:r>
        <w:t>rural</w:t>
      </w:r>
      <w:r>
        <w:rPr>
          <w:spacing w:val="-7"/>
        </w:rPr>
        <w:t xml:space="preserve"> </w:t>
      </w:r>
      <w:r>
        <w:t>water</w:t>
      </w:r>
      <w:r>
        <w:rPr>
          <w:spacing w:val="-7"/>
        </w:rPr>
        <w:t xml:space="preserve"> </w:t>
      </w:r>
      <w:r>
        <w:t>Customer</w:t>
      </w:r>
      <w:r>
        <w:rPr>
          <w:spacing w:val="-5"/>
        </w:rPr>
        <w:t xml:space="preserve"> </w:t>
      </w:r>
      <w:r>
        <w:t>Service</w:t>
      </w:r>
      <w:r>
        <w:rPr>
          <w:spacing w:val="-8"/>
        </w:rPr>
        <w:t xml:space="preserve"> </w:t>
      </w:r>
      <w:r>
        <w:t>Code.</w:t>
      </w:r>
      <w:r>
        <w:rPr>
          <w:spacing w:val="-6"/>
        </w:rPr>
        <w:t xml:space="preserve"> </w:t>
      </w:r>
      <w:r>
        <w:t>Further,</w:t>
      </w:r>
      <w:r>
        <w:rPr>
          <w:spacing w:val="-7"/>
        </w:rPr>
        <w:t xml:space="preserve"> </w:t>
      </w:r>
      <w:r>
        <w:t>it</w:t>
      </w:r>
      <w:r>
        <w:rPr>
          <w:spacing w:val="-7"/>
        </w:rPr>
        <w:t xml:space="preserve"> </w:t>
      </w:r>
      <w:r>
        <w:t>was</w:t>
      </w:r>
      <w:r>
        <w:rPr>
          <w:spacing w:val="-6"/>
        </w:rPr>
        <w:t xml:space="preserve"> </w:t>
      </w:r>
      <w:r>
        <w:t>explained</w:t>
      </w:r>
      <w:r>
        <w:rPr>
          <w:spacing w:val="-7"/>
        </w:rPr>
        <w:t xml:space="preserve"> </w:t>
      </w:r>
      <w:r>
        <w:t>that</w:t>
      </w:r>
      <w:r>
        <w:rPr>
          <w:spacing w:val="-7"/>
        </w:rPr>
        <w:t xml:space="preserve"> </w:t>
      </w:r>
      <w:r>
        <w:t>any</w:t>
      </w:r>
      <w:r>
        <w:rPr>
          <w:spacing w:val="-6"/>
        </w:rPr>
        <w:t xml:space="preserve"> </w:t>
      </w:r>
      <w:r>
        <w:t xml:space="preserve">proposed changes in service levels or targets must relate to equivalent service levels or targets in the current regulatory </w:t>
      </w:r>
      <w:r>
        <w:rPr>
          <w:spacing w:val="-2"/>
        </w:rPr>
        <w:t>period.</w:t>
      </w:r>
    </w:p>
    <w:p w14:paraId="285AFF57" w14:textId="77777777" w:rsidR="00141B97" w:rsidRDefault="00141B97">
      <w:pPr>
        <w:pStyle w:val="BodyText"/>
      </w:pPr>
    </w:p>
    <w:p w14:paraId="4602706A" w14:textId="77777777" w:rsidR="00141B97" w:rsidRDefault="00911D63">
      <w:pPr>
        <w:pStyle w:val="BodyText"/>
        <w:ind w:left="114" w:right="948" w:hanging="1"/>
        <w:jc w:val="both"/>
      </w:pPr>
      <w:r>
        <w:t>LMW does not propose any changes to current service standards as outlined in the rural customer charter, which</w:t>
      </w:r>
      <w:r>
        <w:rPr>
          <w:spacing w:val="-1"/>
        </w:rPr>
        <w:t xml:space="preserve"> </w:t>
      </w:r>
      <w:r>
        <w:t>was supported by customers who</w:t>
      </w:r>
      <w:r>
        <w:rPr>
          <w:spacing w:val="-1"/>
        </w:rPr>
        <w:t xml:space="preserve"> </w:t>
      </w:r>
      <w:r>
        <w:t>confirmed</w:t>
      </w:r>
      <w:r>
        <w:rPr>
          <w:spacing w:val="-1"/>
        </w:rPr>
        <w:t xml:space="preserve"> </w:t>
      </w:r>
      <w:r>
        <w:t>they were</w:t>
      </w:r>
      <w:r>
        <w:rPr>
          <w:spacing w:val="-1"/>
        </w:rPr>
        <w:t xml:space="preserve"> </w:t>
      </w:r>
      <w:r>
        <w:t>satisfied</w:t>
      </w:r>
      <w:r>
        <w:rPr>
          <w:spacing w:val="-1"/>
        </w:rPr>
        <w:t xml:space="preserve"> </w:t>
      </w:r>
      <w:r>
        <w:t>with</w:t>
      </w:r>
      <w:r>
        <w:rPr>
          <w:spacing w:val="-1"/>
        </w:rPr>
        <w:t xml:space="preserve"> </w:t>
      </w:r>
      <w:r>
        <w:t>LMW’s</w:t>
      </w:r>
      <w:r>
        <w:rPr>
          <w:spacing w:val="-1"/>
        </w:rPr>
        <w:t xml:space="preserve"> </w:t>
      </w:r>
      <w:r>
        <w:t>current services</w:t>
      </w:r>
      <w:r>
        <w:rPr>
          <w:spacing w:val="-1"/>
        </w:rPr>
        <w:t xml:space="preserve"> </w:t>
      </w:r>
      <w:r>
        <w:t>standards. Proposed Service Standards are outlined in Table C14:</w:t>
      </w:r>
    </w:p>
    <w:p w14:paraId="669F7B1B" w14:textId="77777777" w:rsidR="00141B97" w:rsidRDefault="00141B97">
      <w:pPr>
        <w:pStyle w:val="BodyText"/>
        <w:spacing w:before="7"/>
        <w:rPr>
          <w:sz w:val="23"/>
        </w:rPr>
      </w:pPr>
    </w:p>
    <w:tbl>
      <w:tblPr>
        <w:tblW w:w="0" w:type="auto"/>
        <w:tblInd w:w="1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362"/>
        <w:gridCol w:w="2399"/>
      </w:tblGrid>
      <w:tr w:rsidR="00141B97" w14:paraId="67049948" w14:textId="77777777">
        <w:trPr>
          <w:trHeight w:val="439"/>
        </w:trPr>
        <w:tc>
          <w:tcPr>
            <w:tcW w:w="7362" w:type="dxa"/>
            <w:tcBorders>
              <w:top w:val="nil"/>
              <w:left w:val="nil"/>
              <w:right w:val="single" w:sz="8" w:space="0" w:color="FFFFFF"/>
            </w:tcBorders>
            <w:shd w:val="clear" w:color="auto" w:fill="0064A4"/>
          </w:tcPr>
          <w:p w14:paraId="0F42AA88" w14:textId="77777777" w:rsidR="00141B97" w:rsidRDefault="00911D63">
            <w:pPr>
              <w:pStyle w:val="TableParagraph"/>
              <w:spacing w:before="97"/>
              <w:ind w:left="75"/>
              <w:rPr>
                <w:sz w:val="18"/>
              </w:rPr>
            </w:pPr>
            <w:r>
              <w:rPr>
                <w:color w:val="FFFFFF"/>
                <w:sz w:val="18"/>
              </w:rPr>
              <w:t>Service</w:t>
            </w:r>
            <w:r>
              <w:rPr>
                <w:color w:val="FFFFFF"/>
                <w:spacing w:val="-2"/>
                <w:sz w:val="18"/>
              </w:rPr>
              <w:t xml:space="preserve"> </w:t>
            </w:r>
            <w:r>
              <w:rPr>
                <w:color w:val="FFFFFF"/>
                <w:sz w:val="18"/>
              </w:rPr>
              <w:t>Standards</w:t>
            </w:r>
            <w:r>
              <w:rPr>
                <w:color w:val="FFFFFF"/>
                <w:spacing w:val="-2"/>
                <w:sz w:val="18"/>
              </w:rPr>
              <w:t xml:space="preserve"> </w:t>
            </w:r>
            <w:r>
              <w:rPr>
                <w:color w:val="FFFFFF"/>
                <w:sz w:val="18"/>
              </w:rPr>
              <w:t xml:space="preserve">‐ </w:t>
            </w:r>
            <w:r>
              <w:rPr>
                <w:color w:val="FFFFFF"/>
                <w:spacing w:val="-2"/>
                <w:sz w:val="18"/>
              </w:rPr>
              <w:t>Rural</w:t>
            </w:r>
          </w:p>
        </w:tc>
        <w:tc>
          <w:tcPr>
            <w:tcW w:w="2399" w:type="dxa"/>
            <w:tcBorders>
              <w:top w:val="nil"/>
              <w:left w:val="single" w:sz="8" w:space="0" w:color="FFFFFF"/>
              <w:right w:val="nil"/>
            </w:tcBorders>
            <w:shd w:val="clear" w:color="auto" w:fill="0064A4"/>
          </w:tcPr>
          <w:p w14:paraId="0B94D038" w14:textId="77777777" w:rsidR="00141B97" w:rsidRDefault="00911D63">
            <w:pPr>
              <w:pStyle w:val="TableParagraph"/>
              <w:spacing w:before="97"/>
              <w:ind w:left="577" w:right="577"/>
              <w:jc w:val="center"/>
              <w:rPr>
                <w:sz w:val="18"/>
              </w:rPr>
            </w:pPr>
            <w:r>
              <w:rPr>
                <w:color w:val="FFFFFF"/>
                <w:spacing w:val="-2"/>
                <w:sz w:val="18"/>
              </w:rPr>
              <w:t>Target</w:t>
            </w:r>
          </w:p>
        </w:tc>
      </w:tr>
      <w:tr w:rsidR="00141B97" w14:paraId="66B41BF7" w14:textId="77777777">
        <w:trPr>
          <w:trHeight w:val="372"/>
        </w:trPr>
        <w:tc>
          <w:tcPr>
            <w:tcW w:w="9761" w:type="dxa"/>
            <w:gridSpan w:val="2"/>
            <w:tcBorders>
              <w:left w:val="nil"/>
              <w:right w:val="nil"/>
            </w:tcBorders>
            <w:shd w:val="clear" w:color="auto" w:fill="BFBFBF"/>
          </w:tcPr>
          <w:p w14:paraId="36794E0D" w14:textId="77777777" w:rsidR="00141B97" w:rsidRDefault="00911D63">
            <w:pPr>
              <w:pStyle w:val="TableParagraph"/>
              <w:spacing w:before="85"/>
              <w:ind w:left="85"/>
              <w:rPr>
                <w:sz w:val="18"/>
              </w:rPr>
            </w:pPr>
            <w:r>
              <w:rPr>
                <w:sz w:val="18"/>
              </w:rPr>
              <w:t>Water</w:t>
            </w:r>
            <w:r>
              <w:rPr>
                <w:spacing w:val="-4"/>
                <w:sz w:val="18"/>
              </w:rPr>
              <w:t xml:space="preserve"> </w:t>
            </w:r>
            <w:r>
              <w:rPr>
                <w:spacing w:val="-2"/>
                <w:sz w:val="18"/>
              </w:rPr>
              <w:t>Supply</w:t>
            </w:r>
          </w:p>
        </w:tc>
      </w:tr>
      <w:tr w:rsidR="00141B97" w14:paraId="2D26D692" w14:textId="77777777">
        <w:trPr>
          <w:trHeight w:val="371"/>
        </w:trPr>
        <w:tc>
          <w:tcPr>
            <w:tcW w:w="7362" w:type="dxa"/>
            <w:tcBorders>
              <w:left w:val="nil"/>
              <w:right w:val="single" w:sz="8" w:space="0" w:color="FFFFFF"/>
            </w:tcBorders>
            <w:shd w:val="clear" w:color="auto" w:fill="CCE2ED"/>
          </w:tcPr>
          <w:p w14:paraId="26A1CB5E" w14:textId="77777777" w:rsidR="00141B97" w:rsidRDefault="00911D63">
            <w:pPr>
              <w:pStyle w:val="TableParagraph"/>
              <w:spacing w:before="61"/>
              <w:ind w:left="75"/>
              <w:rPr>
                <w:sz w:val="18"/>
              </w:rPr>
            </w:pPr>
            <w:r>
              <w:rPr>
                <w:sz w:val="18"/>
              </w:rPr>
              <w:t>Maximum</w:t>
            </w:r>
            <w:r>
              <w:rPr>
                <w:spacing w:val="-1"/>
                <w:sz w:val="18"/>
              </w:rPr>
              <w:t xml:space="preserve"> </w:t>
            </w:r>
            <w:r>
              <w:rPr>
                <w:sz w:val="18"/>
              </w:rPr>
              <w:t>number</w:t>
            </w:r>
            <w:r>
              <w:rPr>
                <w:spacing w:val="-1"/>
                <w:sz w:val="18"/>
              </w:rPr>
              <w:t xml:space="preserve"> </w:t>
            </w:r>
            <w:r>
              <w:rPr>
                <w:sz w:val="18"/>
              </w:rPr>
              <w:t>channel</w:t>
            </w:r>
            <w:r>
              <w:rPr>
                <w:spacing w:val="-1"/>
                <w:sz w:val="18"/>
              </w:rPr>
              <w:t xml:space="preserve"> </w:t>
            </w:r>
            <w:r>
              <w:rPr>
                <w:sz w:val="18"/>
              </w:rPr>
              <w:t>bursts</w:t>
            </w:r>
            <w:r>
              <w:rPr>
                <w:spacing w:val="-2"/>
                <w:sz w:val="18"/>
              </w:rPr>
              <w:t xml:space="preserve"> </w:t>
            </w:r>
            <w:r>
              <w:rPr>
                <w:sz w:val="18"/>
              </w:rPr>
              <w:t>and leaks</w:t>
            </w:r>
            <w:r>
              <w:rPr>
                <w:spacing w:val="-2"/>
                <w:sz w:val="18"/>
              </w:rPr>
              <w:t xml:space="preserve"> </w:t>
            </w:r>
            <w:r>
              <w:rPr>
                <w:sz w:val="18"/>
              </w:rPr>
              <w:t>(per</w:t>
            </w:r>
            <w:r>
              <w:rPr>
                <w:spacing w:val="-2"/>
                <w:sz w:val="18"/>
              </w:rPr>
              <w:t xml:space="preserve"> </w:t>
            </w:r>
            <w:r>
              <w:rPr>
                <w:sz w:val="18"/>
              </w:rPr>
              <w:t>100km)</w:t>
            </w:r>
            <w:r>
              <w:rPr>
                <w:spacing w:val="-2"/>
                <w:sz w:val="18"/>
              </w:rPr>
              <w:t xml:space="preserve"> </w:t>
            </w:r>
            <w:r>
              <w:rPr>
                <w:sz w:val="18"/>
              </w:rPr>
              <w:t xml:space="preserve">‐ </w:t>
            </w:r>
            <w:r>
              <w:rPr>
                <w:spacing w:val="-2"/>
                <w:sz w:val="18"/>
              </w:rPr>
              <w:t>Merbein</w:t>
            </w:r>
          </w:p>
        </w:tc>
        <w:tc>
          <w:tcPr>
            <w:tcW w:w="2399" w:type="dxa"/>
            <w:tcBorders>
              <w:left w:val="single" w:sz="8" w:space="0" w:color="FFFFFF"/>
              <w:right w:val="nil"/>
            </w:tcBorders>
            <w:shd w:val="clear" w:color="auto" w:fill="CCE2ED"/>
          </w:tcPr>
          <w:p w14:paraId="2803998F" w14:textId="77777777" w:rsidR="00141B97" w:rsidRDefault="00911D63">
            <w:pPr>
              <w:pStyle w:val="TableParagraph"/>
              <w:spacing w:before="91"/>
              <w:ind w:left="577" w:right="578"/>
              <w:jc w:val="center"/>
              <w:rPr>
                <w:sz w:val="18"/>
              </w:rPr>
            </w:pPr>
            <w:r>
              <w:rPr>
                <w:spacing w:val="-5"/>
                <w:sz w:val="18"/>
              </w:rPr>
              <w:t>151</w:t>
            </w:r>
          </w:p>
        </w:tc>
      </w:tr>
      <w:tr w:rsidR="00141B97" w14:paraId="752D5AB7" w14:textId="77777777">
        <w:trPr>
          <w:trHeight w:val="372"/>
        </w:trPr>
        <w:tc>
          <w:tcPr>
            <w:tcW w:w="7362" w:type="dxa"/>
            <w:tcBorders>
              <w:left w:val="nil"/>
              <w:right w:val="single" w:sz="8" w:space="0" w:color="FFFFFF"/>
            </w:tcBorders>
            <w:shd w:val="clear" w:color="auto" w:fill="CCE2ED"/>
          </w:tcPr>
          <w:p w14:paraId="46026DCA" w14:textId="77777777" w:rsidR="00141B97" w:rsidRDefault="00911D63">
            <w:pPr>
              <w:pStyle w:val="TableParagraph"/>
              <w:spacing w:before="61"/>
              <w:ind w:left="75"/>
              <w:rPr>
                <w:sz w:val="18"/>
              </w:rPr>
            </w:pPr>
            <w:r>
              <w:rPr>
                <w:sz w:val="18"/>
              </w:rPr>
              <w:t>Maximum</w:t>
            </w:r>
            <w:r>
              <w:rPr>
                <w:spacing w:val="-1"/>
                <w:sz w:val="18"/>
              </w:rPr>
              <w:t xml:space="preserve"> </w:t>
            </w:r>
            <w:r>
              <w:rPr>
                <w:sz w:val="18"/>
              </w:rPr>
              <w:t>number</w:t>
            </w:r>
            <w:r>
              <w:rPr>
                <w:spacing w:val="-1"/>
                <w:sz w:val="18"/>
              </w:rPr>
              <w:t xml:space="preserve"> </w:t>
            </w:r>
            <w:r>
              <w:rPr>
                <w:sz w:val="18"/>
              </w:rPr>
              <w:t>channel</w:t>
            </w:r>
            <w:r>
              <w:rPr>
                <w:spacing w:val="-1"/>
                <w:sz w:val="18"/>
              </w:rPr>
              <w:t xml:space="preserve"> </w:t>
            </w:r>
            <w:r>
              <w:rPr>
                <w:sz w:val="18"/>
              </w:rPr>
              <w:t>bursts</w:t>
            </w:r>
            <w:r>
              <w:rPr>
                <w:spacing w:val="-1"/>
                <w:sz w:val="18"/>
              </w:rPr>
              <w:t xml:space="preserve"> </w:t>
            </w:r>
            <w:r>
              <w:rPr>
                <w:sz w:val="18"/>
              </w:rPr>
              <w:t>and</w:t>
            </w:r>
            <w:r>
              <w:rPr>
                <w:spacing w:val="-1"/>
                <w:sz w:val="18"/>
              </w:rPr>
              <w:t xml:space="preserve"> </w:t>
            </w:r>
            <w:r>
              <w:rPr>
                <w:sz w:val="18"/>
              </w:rPr>
              <w:t>leaks</w:t>
            </w:r>
            <w:r>
              <w:rPr>
                <w:spacing w:val="-2"/>
                <w:sz w:val="18"/>
              </w:rPr>
              <w:t xml:space="preserve"> </w:t>
            </w:r>
            <w:r>
              <w:rPr>
                <w:sz w:val="18"/>
              </w:rPr>
              <w:t>(per</w:t>
            </w:r>
            <w:r>
              <w:rPr>
                <w:spacing w:val="-1"/>
                <w:sz w:val="18"/>
              </w:rPr>
              <w:t xml:space="preserve"> </w:t>
            </w:r>
            <w:r>
              <w:rPr>
                <w:sz w:val="18"/>
              </w:rPr>
              <w:t>100km)</w:t>
            </w:r>
            <w:r>
              <w:rPr>
                <w:spacing w:val="-2"/>
                <w:sz w:val="18"/>
              </w:rPr>
              <w:t xml:space="preserve"> </w:t>
            </w:r>
            <w:r>
              <w:rPr>
                <w:sz w:val="18"/>
              </w:rPr>
              <w:t>–</w:t>
            </w:r>
            <w:r>
              <w:rPr>
                <w:spacing w:val="-1"/>
                <w:sz w:val="18"/>
              </w:rPr>
              <w:t xml:space="preserve"> </w:t>
            </w:r>
            <w:r>
              <w:rPr>
                <w:sz w:val="18"/>
              </w:rPr>
              <w:t xml:space="preserve">Red </w:t>
            </w:r>
            <w:r>
              <w:rPr>
                <w:spacing w:val="-2"/>
                <w:sz w:val="18"/>
              </w:rPr>
              <w:t>Cliffs</w:t>
            </w:r>
          </w:p>
        </w:tc>
        <w:tc>
          <w:tcPr>
            <w:tcW w:w="2399" w:type="dxa"/>
            <w:tcBorders>
              <w:left w:val="single" w:sz="8" w:space="0" w:color="FFFFFF"/>
              <w:right w:val="nil"/>
            </w:tcBorders>
            <w:shd w:val="clear" w:color="auto" w:fill="CCE2ED"/>
          </w:tcPr>
          <w:p w14:paraId="663AB48C" w14:textId="77777777" w:rsidR="00141B97" w:rsidRDefault="00911D63">
            <w:pPr>
              <w:pStyle w:val="TableParagraph"/>
              <w:spacing w:before="91"/>
              <w:ind w:left="577" w:right="578"/>
              <w:jc w:val="center"/>
              <w:rPr>
                <w:sz w:val="18"/>
              </w:rPr>
            </w:pPr>
            <w:r>
              <w:rPr>
                <w:spacing w:val="-5"/>
                <w:sz w:val="18"/>
              </w:rPr>
              <w:t>61</w:t>
            </w:r>
          </w:p>
        </w:tc>
      </w:tr>
      <w:tr w:rsidR="00141B97" w14:paraId="6D3A6B26" w14:textId="77777777">
        <w:trPr>
          <w:trHeight w:val="372"/>
        </w:trPr>
        <w:tc>
          <w:tcPr>
            <w:tcW w:w="7362" w:type="dxa"/>
            <w:tcBorders>
              <w:left w:val="nil"/>
              <w:right w:val="single" w:sz="8" w:space="0" w:color="FFFFFF"/>
            </w:tcBorders>
            <w:shd w:val="clear" w:color="auto" w:fill="CCE2ED"/>
          </w:tcPr>
          <w:p w14:paraId="67FE01FC" w14:textId="77777777" w:rsidR="00141B97" w:rsidRDefault="00911D63">
            <w:pPr>
              <w:pStyle w:val="TableParagraph"/>
              <w:spacing w:before="61"/>
              <w:ind w:left="75"/>
              <w:rPr>
                <w:sz w:val="18"/>
              </w:rPr>
            </w:pPr>
            <w:r>
              <w:rPr>
                <w:sz w:val="18"/>
              </w:rPr>
              <w:t>Maximum</w:t>
            </w:r>
            <w:r>
              <w:rPr>
                <w:spacing w:val="-3"/>
                <w:sz w:val="18"/>
              </w:rPr>
              <w:t xml:space="preserve"> </w:t>
            </w:r>
            <w:r>
              <w:rPr>
                <w:sz w:val="18"/>
              </w:rPr>
              <w:t>number</w:t>
            </w:r>
            <w:r>
              <w:rPr>
                <w:spacing w:val="-1"/>
                <w:sz w:val="18"/>
              </w:rPr>
              <w:t xml:space="preserve"> </w:t>
            </w:r>
            <w:r>
              <w:rPr>
                <w:sz w:val="18"/>
              </w:rPr>
              <w:t>channel</w:t>
            </w:r>
            <w:r>
              <w:rPr>
                <w:spacing w:val="-1"/>
                <w:sz w:val="18"/>
              </w:rPr>
              <w:t xml:space="preserve"> </w:t>
            </w:r>
            <w:r>
              <w:rPr>
                <w:sz w:val="18"/>
              </w:rPr>
              <w:t>bursts</w:t>
            </w:r>
            <w:r>
              <w:rPr>
                <w:spacing w:val="-2"/>
                <w:sz w:val="18"/>
              </w:rPr>
              <w:t xml:space="preserve"> </w:t>
            </w:r>
            <w:r>
              <w:rPr>
                <w:sz w:val="18"/>
              </w:rPr>
              <w:t>and leaks</w:t>
            </w:r>
            <w:r>
              <w:rPr>
                <w:spacing w:val="-2"/>
                <w:sz w:val="18"/>
              </w:rPr>
              <w:t xml:space="preserve"> </w:t>
            </w:r>
            <w:r>
              <w:rPr>
                <w:sz w:val="18"/>
              </w:rPr>
              <w:t>(per</w:t>
            </w:r>
            <w:r>
              <w:rPr>
                <w:spacing w:val="-2"/>
                <w:sz w:val="18"/>
              </w:rPr>
              <w:t xml:space="preserve"> </w:t>
            </w:r>
            <w:r>
              <w:rPr>
                <w:sz w:val="18"/>
              </w:rPr>
              <w:t>100km)</w:t>
            </w:r>
            <w:r>
              <w:rPr>
                <w:spacing w:val="-2"/>
                <w:sz w:val="18"/>
              </w:rPr>
              <w:t xml:space="preserve"> </w:t>
            </w:r>
            <w:r>
              <w:rPr>
                <w:sz w:val="18"/>
              </w:rPr>
              <w:t xml:space="preserve">‐ </w:t>
            </w:r>
            <w:r>
              <w:rPr>
                <w:spacing w:val="-2"/>
                <w:sz w:val="18"/>
              </w:rPr>
              <w:t>Robinvale</w:t>
            </w:r>
          </w:p>
        </w:tc>
        <w:tc>
          <w:tcPr>
            <w:tcW w:w="2399" w:type="dxa"/>
            <w:tcBorders>
              <w:left w:val="single" w:sz="8" w:space="0" w:color="FFFFFF"/>
              <w:right w:val="nil"/>
            </w:tcBorders>
            <w:shd w:val="clear" w:color="auto" w:fill="CCE2ED"/>
          </w:tcPr>
          <w:p w14:paraId="169F02C8" w14:textId="77777777" w:rsidR="00141B97" w:rsidRDefault="00911D63">
            <w:pPr>
              <w:pStyle w:val="TableParagraph"/>
              <w:spacing w:before="91"/>
              <w:ind w:left="577" w:right="578"/>
              <w:jc w:val="center"/>
              <w:rPr>
                <w:sz w:val="18"/>
              </w:rPr>
            </w:pPr>
            <w:r>
              <w:rPr>
                <w:spacing w:val="-5"/>
                <w:sz w:val="18"/>
              </w:rPr>
              <w:t>10</w:t>
            </w:r>
          </w:p>
        </w:tc>
      </w:tr>
      <w:tr w:rsidR="00141B97" w14:paraId="3B1DA7CC" w14:textId="77777777">
        <w:trPr>
          <w:trHeight w:val="371"/>
        </w:trPr>
        <w:tc>
          <w:tcPr>
            <w:tcW w:w="7362" w:type="dxa"/>
            <w:tcBorders>
              <w:left w:val="nil"/>
              <w:right w:val="single" w:sz="8" w:space="0" w:color="FFFFFF"/>
            </w:tcBorders>
            <w:shd w:val="clear" w:color="auto" w:fill="CCE2ED"/>
          </w:tcPr>
          <w:p w14:paraId="752D8F5B" w14:textId="77777777" w:rsidR="00141B97" w:rsidRDefault="00911D63">
            <w:pPr>
              <w:pStyle w:val="TableParagraph"/>
              <w:spacing w:before="61"/>
              <w:ind w:left="75"/>
              <w:rPr>
                <w:sz w:val="18"/>
              </w:rPr>
            </w:pPr>
            <w:r>
              <w:rPr>
                <w:sz w:val="18"/>
              </w:rPr>
              <w:t>Maximum</w:t>
            </w:r>
            <w:r>
              <w:rPr>
                <w:spacing w:val="-1"/>
                <w:sz w:val="18"/>
              </w:rPr>
              <w:t xml:space="preserve"> </w:t>
            </w:r>
            <w:r>
              <w:rPr>
                <w:sz w:val="18"/>
              </w:rPr>
              <w:t>number</w:t>
            </w:r>
            <w:r>
              <w:rPr>
                <w:spacing w:val="-1"/>
                <w:sz w:val="18"/>
              </w:rPr>
              <w:t xml:space="preserve"> </w:t>
            </w:r>
            <w:r>
              <w:rPr>
                <w:sz w:val="18"/>
              </w:rPr>
              <w:t>channel</w:t>
            </w:r>
            <w:r>
              <w:rPr>
                <w:spacing w:val="-1"/>
                <w:sz w:val="18"/>
              </w:rPr>
              <w:t xml:space="preserve"> </w:t>
            </w:r>
            <w:r>
              <w:rPr>
                <w:sz w:val="18"/>
              </w:rPr>
              <w:t>bursts</w:t>
            </w:r>
            <w:r>
              <w:rPr>
                <w:spacing w:val="-2"/>
                <w:sz w:val="18"/>
              </w:rPr>
              <w:t xml:space="preserve"> </w:t>
            </w:r>
            <w:r>
              <w:rPr>
                <w:sz w:val="18"/>
              </w:rPr>
              <w:t>and leaks</w:t>
            </w:r>
            <w:r>
              <w:rPr>
                <w:spacing w:val="-2"/>
                <w:sz w:val="18"/>
              </w:rPr>
              <w:t xml:space="preserve"> </w:t>
            </w:r>
            <w:r>
              <w:rPr>
                <w:sz w:val="18"/>
              </w:rPr>
              <w:t>(per</w:t>
            </w:r>
            <w:r>
              <w:rPr>
                <w:spacing w:val="-2"/>
                <w:sz w:val="18"/>
              </w:rPr>
              <w:t xml:space="preserve"> </w:t>
            </w:r>
            <w:r>
              <w:rPr>
                <w:sz w:val="18"/>
              </w:rPr>
              <w:t>100km)</w:t>
            </w:r>
            <w:r>
              <w:rPr>
                <w:spacing w:val="-2"/>
                <w:sz w:val="18"/>
              </w:rPr>
              <w:t xml:space="preserve"> </w:t>
            </w:r>
            <w:r>
              <w:rPr>
                <w:sz w:val="18"/>
              </w:rPr>
              <w:t xml:space="preserve">‐ </w:t>
            </w:r>
            <w:r>
              <w:rPr>
                <w:spacing w:val="-2"/>
                <w:sz w:val="18"/>
              </w:rPr>
              <w:t>Millewa</w:t>
            </w:r>
          </w:p>
        </w:tc>
        <w:tc>
          <w:tcPr>
            <w:tcW w:w="2399" w:type="dxa"/>
            <w:tcBorders>
              <w:left w:val="single" w:sz="8" w:space="0" w:color="FFFFFF"/>
              <w:right w:val="nil"/>
            </w:tcBorders>
            <w:shd w:val="clear" w:color="auto" w:fill="CCE2ED"/>
          </w:tcPr>
          <w:p w14:paraId="6FE18E51" w14:textId="77777777" w:rsidR="00141B97" w:rsidRDefault="00911D63">
            <w:pPr>
              <w:pStyle w:val="TableParagraph"/>
              <w:spacing w:before="91"/>
              <w:ind w:right="1"/>
              <w:jc w:val="center"/>
              <w:rPr>
                <w:sz w:val="18"/>
              </w:rPr>
            </w:pPr>
            <w:r>
              <w:rPr>
                <w:sz w:val="18"/>
              </w:rPr>
              <w:t>7</w:t>
            </w:r>
          </w:p>
        </w:tc>
      </w:tr>
      <w:tr w:rsidR="00141B97" w14:paraId="1FCE7D61" w14:textId="77777777">
        <w:trPr>
          <w:trHeight w:val="372"/>
        </w:trPr>
        <w:tc>
          <w:tcPr>
            <w:tcW w:w="7362" w:type="dxa"/>
            <w:tcBorders>
              <w:left w:val="nil"/>
              <w:right w:val="single" w:sz="8" w:space="0" w:color="FFFFFF"/>
            </w:tcBorders>
            <w:shd w:val="clear" w:color="auto" w:fill="CCE2ED"/>
          </w:tcPr>
          <w:p w14:paraId="7BBB0603" w14:textId="77777777" w:rsidR="00141B97" w:rsidRDefault="00911D63">
            <w:pPr>
              <w:pStyle w:val="TableParagraph"/>
              <w:spacing w:before="61"/>
              <w:ind w:left="75"/>
              <w:rPr>
                <w:sz w:val="18"/>
              </w:rPr>
            </w:pPr>
            <w:r>
              <w:rPr>
                <w:sz w:val="18"/>
              </w:rPr>
              <w:t>Maximum</w:t>
            </w:r>
            <w:r>
              <w:rPr>
                <w:spacing w:val="-1"/>
                <w:sz w:val="18"/>
              </w:rPr>
              <w:t xml:space="preserve"> </w:t>
            </w:r>
            <w:r>
              <w:rPr>
                <w:sz w:val="18"/>
              </w:rPr>
              <w:t>number</w:t>
            </w:r>
            <w:r>
              <w:rPr>
                <w:spacing w:val="-1"/>
                <w:sz w:val="18"/>
              </w:rPr>
              <w:t xml:space="preserve"> </w:t>
            </w:r>
            <w:r>
              <w:rPr>
                <w:sz w:val="18"/>
              </w:rPr>
              <w:t>channel</w:t>
            </w:r>
            <w:r>
              <w:rPr>
                <w:spacing w:val="-1"/>
                <w:sz w:val="18"/>
              </w:rPr>
              <w:t xml:space="preserve"> </w:t>
            </w:r>
            <w:r>
              <w:rPr>
                <w:sz w:val="18"/>
              </w:rPr>
              <w:t>bursts</w:t>
            </w:r>
            <w:r>
              <w:rPr>
                <w:spacing w:val="-2"/>
                <w:sz w:val="18"/>
              </w:rPr>
              <w:t xml:space="preserve"> </w:t>
            </w:r>
            <w:r>
              <w:rPr>
                <w:sz w:val="18"/>
              </w:rPr>
              <w:t>and leaks</w:t>
            </w:r>
            <w:r>
              <w:rPr>
                <w:spacing w:val="-2"/>
                <w:sz w:val="18"/>
              </w:rPr>
              <w:t xml:space="preserve"> </w:t>
            </w:r>
            <w:r>
              <w:rPr>
                <w:sz w:val="18"/>
              </w:rPr>
              <w:t>(per</w:t>
            </w:r>
            <w:r>
              <w:rPr>
                <w:spacing w:val="-2"/>
                <w:sz w:val="18"/>
              </w:rPr>
              <w:t xml:space="preserve"> </w:t>
            </w:r>
            <w:r>
              <w:rPr>
                <w:sz w:val="18"/>
              </w:rPr>
              <w:t>100km)</w:t>
            </w:r>
            <w:r>
              <w:rPr>
                <w:spacing w:val="-2"/>
                <w:sz w:val="18"/>
              </w:rPr>
              <w:t xml:space="preserve"> </w:t>
            </w:r>
            <w:r>
              <w:rPr>
                <w:sz w:val="18"/>
              </w:rPr>
              <w:t xml:space="preserve">‐ </w:t>
            </w:r>
            <w:r>
              <w:rPr>
                <w:spacing w:val="-2"/>
                <w:sz w:val="18"/>
              </w:rPr>
              <w:t>Mildura</w:t>
            </w:r>
          </w:p>
        </w:tc>
        <w:tc>
          <w:tcPr>
            <w:tcW w:w="2399" w:type="dxa"/>
            <w:tcBorders>
              <w:left w:val="single" w:sz="8" w:space="0" w:color="FFFFFF"/>
              <w:right w:val="nil"/>
            </w:tcBorders>
            <w:shd w:val="clear" w:color="auto" w:fill="CCE2ED"/>
          </w:tcPr>
          <w:p w14:paraId="50E2972D" w14:textId="77777777" w:rsidR="00141B97" w:rsidRDefault="00911D63">
            <w:pPr>
              <w:pStyle w:val="TableParagraph"/>
              <w:spacing w:before="91"/>
              <w:ind w:left="577" w:right="578"/>
              <w:jc w:val="center"/>
              <w:rPr>
                <w:sz w:val="18"/>
              </w:rPr>
            </w:pPr>
            <w:r>
              <w:rPr>
                <w:spacing w:val="-5"/>
                <w:sz w:val="18"/>
              </w:rPr>
              <w:t>142</w:t>
            </w:r>
          </w:p>
        </w:tc>
      </w:tr>
      <w:tr w:rsidR="00141B97" w14:paraId="302FAEB1" w14:textId="77777777">
        <w:trPr>
          <w:trHeight w:val="371"/>
        </w:trPr>
        <w:tc>
          <w:tcPr>
            <w:tcW w:w="9761" w:type="dxa"/>
            <w:gridSpan w:val="2"/>
            <w:tcBorders>
              <w:left w:val="nil"/>
              <w:right w:val="nil"/>
            </w:tcBorders>
            <w:shd w:val="clear" w:color="auto" w:fill="BFBFBF"/>
          </w:tcPr>
          <w:p w14:paraId="4FACB885" w14:textId="77777777" w:rsidR="00141B97" w:rsidRDefault="00911D63">
            <w:pPr>
              <w:pStyle w:val="TableParagraph"/>
              <w:spacing w:before="91"/>
              <w:ind w:left="85"/>
              <w:rPr>
                <w:sz w:val="18"/>
              </w:rPr>
            </w:pPr>
            <w:r>
              <w:rPr>
                <w:sz w:val="18"/>
              </w:rPr>
              <w:t>Customer</w:t>
            </w:r>
            <w:r>
              <w:rPr>
                <w:spacing w:val="-5"/>
                <w:sz w:val="18"/>
              </w:rPr>
              <w:t xml:space="preserve"> </w:t>
            </w:r>
            <w:r>
              <w:rPr>
                <w:spacing w:val="-2"/>
                <w:sz w:val="18"/>
              </w:rPr>
              <w:t>Service</w:t>
            </w:r>
          </w:p>
        </w:tc>
      </w:tr>
      <w:tr w:rsidR="00141B97" w14:paraId="5D0763B7" w14:textId="77777777">
        <w:trPr>
          <w:trHeight w:val="372"/>
        </w:trPr>
        <w:tc>
          <w:tcPr>
            <w:tcW w:w="7362" w:type="dxa"/>
            <w:tcBorders>
              <w:left w:val="nil"/>
              <w:right w:val="single" w:sz="8" w:space="0" w:color="FFFFFF"/>
            </w:tcBorders>
            <w:shd w:val="clear" w:color="auto" w:fill="CCE2ED"/>
          </w:tcPr>
          <w:p w14:paraId="304D971D" w14:textId="77777777" w:rsidR="00141B97" w:rsidRDefault="00911D63">
            <w:pPr>
              <w:pStyle w:val="TableParagraph"/>
              <w:spacing w:before="61"/>
              <w:ind w:left="75"/>
              <w:rPr>
                <w:sz w:val="18"/>
              </w:rPr>
            </w:pPr>
            <w:r>
              <w:rPr>
                <w:sz w:val="18"/>
              </w:rPr>
              <w:t>Average</w:t>
            </w:r>
            <w:r>
              <w:rPr>
                <w:spacing w:val="-2"/>
                <w:sz w:val="18"/>
              </w:rPr>
              <w:t xml:space="preserve"> </w:t>
            </w:r>
            <w:r>
              <w:rPr>
                <w:sz w:val="18"/>
              </w:rPr>
              <w:t>time</w:t>
            </w:r>
            <w:r>
              <w:rPr>
                <w:spacing w:val="-3"/>
                <w:sz w:val="18"/>
              </w:rPr>
              <w:t xml:space="preserve"> </w:t>
            </w:r>
            <w:r>
              <w:rPr>
                <w:sz w:val="18"/>
              </w:rPr>
              <w:t>for</w:t>
            </w:r>
            <w:r>
              <w:rPr>
                <w:spacing w:val="-3"/>
                <w:sz w:val="18"/>
              </w:rPr>
              <w:t xml:space="preserve"> </w:t>
            </w:r>
            <w:r>
              <w:rPr>
                <w:sz w:val="18"/>
              </w:rPr>
              <w:t>calls</w:t>
            </w:r>
            <w:r>
              <w:rPr>
                <w:spacing w:val="-1"/>
                <w:sz w:val="18"/>
              </w:rPr>
              <w:t xml:space="preserve"> </w:t>
            </w:r>
            <w:r>
              <w:rPr>
                <w:sz w:val="18"/>
              </w:rPr>
              <w:t>to</w:t>
            </w:r>
            <w:r>
              <w:rPr>
                <w:spacing w:val="-3"/>
                <w:sz w:val="18"/>
              </w:rPr>
              <w:t xml:space="preserve"> </w:t>
            </w:r>
            <w:r>
              <w:rPr>
                <w:sz w:val="18"/>
              </w:rPr>
              <w:t>be</w:t>
            </w:r>
            <w:r>
              <w:rPr>
                <w:spacing w:val="-3"/>
                <w:sz w:val="18"/>
              </w:rPr>
              <w:t xml:space="preserve"> </w:t>
            </w:r>
            <w:r>
              <w:rPr>
                <w:sz w:val="18"/>
              </w:rPr>
              <w:t>answered</w:t>
            </w:r>
            <w:r>
              <w:rPr>
                <w:spacing w:val="-3"/>
                <w:sz w:val="18"/>
              </w:rPr>
              <w:t xml:space="preserve"> </w:t>
            </w:r>
            <w:r>
              <w:rPr>
                <w:sz w:val="18"/>
              </w:rPr>
              <w:t>in</w:t>
            </w:r>
            <w:r>
              <w:rPr>
                <w:spacing w:val="-1"/>
                <w:sz w:val="18"/>
              </w:rPr>
              <w:t xml:space="preserve"> </w:t>
            </w:r>
            <w:r>
              <w:rPr>
                <w:sz w:val="18"/>
              </w:rPr>
              <w:t>operations</w:t>
            </w:r>
            <w:r>
              <w:rPr>
                <w:spacing w:val="-2"/>
                <w:sz w:val="18"/>
              </w:rPr>
              <w:t xml:space="preserve"> </w:t>
            </w:r>
            <w:r>
              <w:rPr>
                <w:sz w:val="18"/>
              </w:rPr>
              <w:t>/</w:t>
            </w:r>
            <w:r>
              <w:rPr>
                <w:spacing w:val="-3"/>
                <w:sz w:val="18"/>
              </w:rPr>
              <w:t xml:space="preserve"> </w:t>
            </w:r>
            <w:r>
              <w:rPr>
                <w:sz w:val="18"/>
              </w:rPr>
              <w:t>contact</w:t>
            </w:r>
            <w:r>
              <w:rPr>
                <w:spacing w:val="-1"/>
                <w:sz w:val="18"/>
              </w:rPr>
              <w:t xml:space="preserve"> </w:t>
            </w:r>
            <w:r>
              <w:rPr>
                <w:spacing w:val="-4"/>
                <w:sz w:val="18"/>
              </w:rPr>
              <w:t>room</w:t>
            </w:r>
          </w:p>
        </w:tc>
        <w:tc>
          <w:tcPr>
            <w:tcW w:w="2399" w:type="dxa"/>
            <w:tcBorders>
              <w:left w:val="single" w:sz="8" w:space="0" w:color="FFFFFF"/>
              <w:right w:val="nil"/>
            </w:tcBorders>
            <w:shd w:val="clear" w:color="auto" w:fill="CCE2ED"/>
          </w:tcPr>
          <w:p w14:paraId="2BAB1312" w14:textId="77777777" w:rsidR="00141B97" w:rsidRDefault="00911D63">
            <w:pPr>
              <w:pStyle w:val="TableParagraph"/>
              <w:spacing w:before="91"/>
              <w:ind w:left="577" w:right="578"/>
              <w:jc w:val="center"/>
              <w:rPr>
                <w:sz w:val="18"/>
              </w:rPr>
            </w:pPr>
            <w:r>
              <w:rPr>
                <w:sz w:val="18"/>
              </w:rPr>
              <w:t xml:space="preserve">60 </w:t>
            </w:r>
            <w:r>
              <w:rPr>
                <w:spacing w:val="-2"/>
                <w:sz w:val="18"/>
              </w:rPr>
              <w:t>seconds</w:t>
            </w:r>
          </w:p>
        </w:tc>
      </w:tr>
      <w:tr w:rsidR="00141B97" w14:paraId="5E25B3C5" w14:textId="77777777">
        <w:trPr>
          <w:trHeight w:val="556"/>
        </w:trPr>
        <w:tc>
          <w:tcPr>
            <w:tcW w:w="7362" w:type="dxa"/>
            <w:tcBorders>
              <w:left w:val="nil"/>
              <w:bottom w:val="single" w:sz="8" w:space="0" w:color="FFFFFF"/>
              <w:right w:val="single" w:sz="8" w:space="0" w:color="FFFFFF"/>
            </w:tcBorders>
            <w:shd w:val="clear" w:color="auto" w:fill="CCE2ED"/>
          </w:tcPr>
          <w:p w14:paraId="7F895CF0" w14:textId="77777777" w:rsidR="00141B97" w:rsidRDefault="00911D63">
            <w:pPr>
              <w:pStyle w:val="TableParagraph"/>
              <w:spacing w:before="25" w:line="276" w:lineRule="auto"/>
              <w:ind w:left="75"/>
              <w:rPr>
                <w:sz w:val="18"/>
              </w:rPr>
            </w:pPr>
            <w:r>
              <w:rPr>
                <w:sz w:val="18"/>
              </w:rPr>
              <w:t>Maximum</w:t>
            </w:r>
            <w:r>
              <w:rPr>
                <w:spacing w:val="-2"/>
                <w:sz w:val="18"/>
              </w:rPr>
              <w:t xml:space="preserve"> </w:t>
            </w:r>
            <w:r>
              <w:rPr>
                <w:sz w:val="18"/>
              </w:rPr>
              <w:t>time</w:t>
            </w:r>
            <w:r>
              <w:rPr>
                <w:spacing w:val="-3"/>
                <w:sz w:val="18"/>
              </w:rPr>
              <w:t xml:space="preserve"> </w:t>
            </w:r>
            <w:r>
              <w:rPr>
                <w:sz w:val="18"/>
              </w:rPr>
              <w:t>to</w:t>
            </w:r>
            <w:r>
              <w:rPr>
                <w:spacing w:val="-3"/>
                <w:sz w:val="18"/>
              </w:rPr>
              <w:t xml:space="preserve"> </w:t>
            </w:r>
            <w:r>
              <w:rPr>
                <w:sz w:val="18"/>
              </w:rPr>
              <w:t>process</w:t>
            </w:r>
            <w:r>
              <w:rPr>
                <w:spacing w:val="-3"/>
                <w:sz w:val="18"/>
              </w:rPr>
              <w:t xml:space="preserve"> </w:t>
            </w:r>
            <w:r>
              <w:rPr>
                <w:sz w:val="18"/>
              </w:rPr>
              <w:t>a</w:t>
            </w:r>
            <w:r>
              <w:rPr>
                <w:spacing w:val="-2"/>
                <w:sz w:val="18"/>
              </w:rPr>
              <w:t xml:space="preserve"> </w:t>
            </w:r>
            <w:r>
              <w:rPr>
                <w:sz w:val="18"/>
              </w:rPr>
              <w:t>property</w:t>
            </w:r>
            <w:r>
              <w:rPr>
                <w:spacing w:val="-2"/>
                <w:sz w:val="18"/>
              </w:rPr>
              <w:t xml:space="preserve"> </w:t>
            </w:r>
            <w:r>
              <w:rPr>
                <w:sz w:val="18"/>
              </w:rPr>
              <w:t>Information</w:t>
            </w:r>
            <w:r>
              <w:rPr>
                <w:spacing w:val="-3"/>
                <w:sz w:val="18"/>
              </w:rPr>
              <w:t xml:space="preserve"> </w:t>
            </w:r>
            <w:r>
              <w:rPr>
                <w:sz w:val="18"/>
              </w:rPr>
              <w:t>Statement</w:t>
            </w:r>
            <w:r>
              <w:rPr>
                <w:spacing w:val="-3"/>
                <w:sz w:val="18"/>
              </w:rPr>
              <w:t xml:space="preserve"> </w:t>
            </w:r>
            <w:r>
              <w:rPr>
                <w:sz w:val="18"/>
              </w:rPr>
              <w:t>(upon</w:t>
            </w:r>
            <w:r>
              <w:rPr>
                <w:spacing w:val="-2"/>
                <w:sz w:val="18"/>
              </w:rPr>
              <w:t xml:space="preserve"> </w:t>
            </w:r>
            <w:r>
              <w:rPr>
                <w:sz w:val="18"/>
              </w:rPr>
              <w:t>receipt</w:t>
            </w:r>
            <w:r>
              <w:rPr>
                <w:spacing w:val="-3"/>
                <w:sz w:val="18"/>
              </w:rPr>
              <w:t xml:space="preserve"> </w:t>
            </w:r>
            <w:r>
              <w:rPr>
                <w:sz w:val="18"/>
              </w:rPr>
              <w:t>of</w:t>
            </w:r>
            <w:r>
              <w:rPr>
                <w:spacing w:val="-2"/>
                <w:sz w:val="18"/>
              </w:rPr>
              <w:t xml:space="preserve"> </w:t>
            </w:r>
            <w:r>
              <w:rPr>
                <w:sz w:val="18"/>
              </w:rPr>
              <w:t>fully</w:t>
            </w:r>
            <w:r>
              <w:rPr>
                <w:spacing w:val="-3"/>
                <w:sz w:val="18"/>
              </w:rPr>
              <w:t xml:space="preserve"> </w:t>
            </w:r>
            <w:r>
              <w:rPr>
                <w:sz w:val="18"/>
              </w:rPr>
              <w:t>completed application and payment) (10 days)</w:t>
            </w:r>
          </w:p>
        </w:tc>
        <w:tc>
          <w:tcPr>
            <w:tcW w:w="2399" w:type="dxa"/>
            <w:tcBorders>
              <w:left w:val="single" w:sz="8" w:space="0" w:color="FFFFFF"/>
              <w:bottom w:val="single" w:sz="8" w:space="0" w:color="FFFFFF"/>
              <w:right w:val="nil"/>
            </w:tcBorders>
            <w:shd w:val="clear" w:color="auto" w:fill="CCE2ED"/>
          </w:tcPr>
          <w:p w14:paraId="53BF4DE2" w14:textId="77777777" w:rsidR="00141B97" w:rsidRDefault="00141B97">
            <w:pPr>
              <w:pStyle w:val="TableParagraph"/>
              <w:spacing w:before="10"/>
              <w:rPr>
                <w:sz w:val="14"/>
              </w:rPr>
            </w:pPr>
          </w:p>
          <w:p w14:paraId="6D1BCA1D" w14:textId="77777777" w:rsidR="00141B97" w:rsidRDefault="00911D63">
            <w:pPr>
              <w:pStyle w:val="TableParagraph"/>
              <w:ind w:left="577" w:right="578"/>
              <w:jc w:val="center"/>
              <w:rPr>
                <w:sz w:val="18"/>
              </w:rPr>
            </w:pPr>
            <w:r>
              <w:rPr>
                <w:sz w:val="18"/>
              </w:rPr>
              <w:t>10 business</w:t>
            </w:r>
            <w:r>
              <w:rPr>
                <w:spacing w:val="-1"/>
                <w:sz w:val="18"/>
              </w:rPr>
              <w:t xml:space="preserve"> </w:t>
            </w:r>
            <w:r>
              <w:rPr>
                <w:spacing w:val="-4"/>
                <w:sz w:val="18"/>
              </w:rPr>
              <w:t>days</w:t>
            </w:r>
          </w:p>
        </w:tc>
      </w:tr>
      <w:tr w:rsidR="00141B97" w14:paraId="16683A38" w14:textId="77777777">
        <w:trPr>
          <w:trHeight w:val="381"/>
        </w:trPr>
        <w:tc>
          <w:tcPr>
            <w:tcW w:w="7362" w:type="dxa"/>
            <w:tcBorders>
              <w:top w:val="single" w:sz="8" w:space="0" w:color="FFFFFF"/>
              <w:left w:val="nil"/>
              <w:bottom w:val="single" w:sz="8" w:space="0" w:color="FFFFFF"/>
              <w:right w:val="single" w:sz="8" w:space="0" w:color="FFFFFF"/>
            </w:tcBorders>
            <w:shd w:val="clear" w:color="auto" w:fill="CCE2ED"/>
          </w:tcPr>
          <w:p w14:paraId="676E6282" w14:textId="77777777" w:rsidR="00141B97" w:rsidRDefault="00911D63">
            <w:pPr>
              <w:pStyle w:val="TableParagraph"/>
              <w:spacing w:before="67"/>
              <w:ind w:left="75"/>
              <w:rPr>
                <w:sz w:val="18"/>
              </w:rPr>
            </w:pPr>
            <w:r>
              <w:rPr>
                <w:sz w:val="18"/>
              </w:rPr>
              <w:t>Average</w:t>
            </w:r>
            <w:r>
              <w:rPr>
                <w:spacing w:val="-3"/>
                <w:sz w:val="18"/>
              </w:rPr>
              <w:t xml:space="preserve"> </w:t>
            </w:r>
            <w:r>
              <w:rPr>
                <w:sz w:val="18"/>
              </w:rPr>
              <w:t>time</w:t>
            </w:r>
            <w:r>
              <w:rPr>
                <w:spacing w:val="-2"/>
                <w:sz w:val="18"/>
              </w:rPr>
              <w:t xml:space="preserve"> </w:t>
            </w:r>
            <w:r>
              <w:rPr>
                <w:sz w:val="18"/>
              </w:rPr>
              <w:t>to</w:t>
            </w:r>
            <w:r>
              <w:rPr>
                <w:spacing w:val="-2"/>
                <w:sz w:val="18"/>
              </w:rPr>
              <w:t xml:space="preserve"> </w:t>
            </w:r>
            <w:r>
              <w:rPr>
                <w:sz w:val="18"/>
              </w:rPr>
              <w:t>make</w:t>
            </w:r>
            <w:r>
              <w:rPr>
                <w:spacing w:val="-1"/>
                <w:sz w:val="18"/>
              </w:rPr>
              <w:t xml:space="preserve"> </w:t>
            </w:r>
            <w:r>
              <w:rPr>
                <w:sz w:val="18"/>
              </w:rPr>
              <w:t>Water</w:t>
            </w:r>
            <w:r>
              <w:rPr>
                <w:spacing w:val="-1"/>
                <w:sz w:val="18"/>
              </w:rPr>
              <w:t xml:space="preserve"> </w:t>
            </w:r>
            <w:r>
              <w:rPr>
                <w:sz w:val="18"/>
              </w:rPr>
              <w:t>Use</w:t>
            </w:r>
            <w:r>
              <w:rPr>
                <w:spacing w:val="-2"/>
                <w:sz w:val="18"/>
              </w:rPr>
              <w:t xml:space="preserve"> </w:t>
            </w:r>
            <w:r>
              <w:rPr>
                <w:sz w:val="18"/>
              </w:rPr>
              <w:t>licences</w:t>
            </w:r>
            <w:r>
              <w:rPr>
                <w:spacing w:val="-2"/>
                <w:sz w:val="18"/>
              </w:rPr>
              <w:t xml:space="preserve"> </w:t>
            </w:r>
            <w:r>
              <w:rPr>
                <w:sz w:val="18"/>
              </w:rPr>
              <w:t>determination</w:t>
            </w:r>
            <w:r>
              <w:rPr>
                <w:spacing w:val="-2"/>
                <w:sz w:val="18"/>
              </w:rPr>
              <w:t xml:space="preserve"> </w:t>
            </w:r>
            <w:r>
              <w:rPr>
                <w:sz w:val="18"/>
              </w:rPr>
              <w:t xml:space="preserve">(30 </w:t>
            </w:r>
            <w:r>
              <w:rPr>
                <w:spacing w:val="-4"/>
                <w:sz w:val="18"/>
              </w:rPr>
              <w:t>days)</w:t>
            </w:r>
          </w:p>
        </w:tc>
        <w:tc>
          <w:tcPr>
            <w:tcW w:w="2399" w:type="dxa"/>
            <w:tcBorders>
              <w:top w:val="single" w:sz="8" w:space="0" w:color="FFFFFF"/>
              <w:left w:val="single" w:sz="8" w:space="0" w:color="FFFFFF"/>
              <w:bottom w:val="single" w:sz="8" w:space="0" w:color="FFFFFF"/>
              <w:right w:val="nil"/>
            </w:tcBorders>
            <w:shd w:val="clear" w:color="auto" w:fill="CCE2ED"/>
          </w:tcPr>
          <w:p w14:paraId="10C5FC2E" w14:textId="77777777" w:rsidR="00141B97" w:rsidRDefault="00911D63">
            <w:pPr>
              <w:pStyle w:val="TableParagraph"/>
              <w:spacing w:before="97"/>
              <w:ind w:left="577" w:right="578"/>
              <w:jc w:val="center"/>
              <w:rPr>
                <w:sz w:val="18"/>
              </w:rPr>
            </w:pPr>
            <w:r>
              <w:rPr>
                <w:spacing w:val="-5"/>
                <w:sz w:val="18"/>
              </w:rPr>
              <w:t>90%</w:t>
            </w:r>
          </w:p>
        </w:tc>
      </w:tr>
      <w:tr w:rsidR="00141B97" w14:paraId="7FAF8C26" w14:textId="77777777">
        <w:trPr>
          <w:trHeight w:val="382"/>
        </w:trPr>
        <w:tc>
          <w:tcPr>
            <w:tcW w:w="7362" w:type="dxa"/>
            <w:tcBorders>
              <w:top w:val="single" w:sz="8" w:space="0" w:color="FFFFFF"/>
              <w:left w:val="nil"/>
              <w:bottom w:val="single" w:sz="8" w:space="0" w:color="FFFFFF"/>
              <w:right w:val="single" w:sz="8" w:space="0" w:color="FFFFFF"/>
            </w:tcBorders>
            <w:shd w:val="clear" w:color="auto" w:fill="CCE2ED"/>
          </w:tcPr>
          <w:p w14:paraId="378E3117" w14:textId="77777777" w:rsidR="00141B97" w:rsidRDefault="00911D63">
            <w:pPr>
              <w:pStyle w:val="TableParagraph"/>
              <w:spacing w:before="67"/>
              <w:ind w:left="75"/>
              <w:rPr>
                <w:sz w:val="18"/>
              </w:rPr>
            </w:pPr>
            <w:r>
              <w:rPr>
                <w:sz w:val="18"/>
              </w:rPr>
              <w:t>Average</w:t>
            </w:r>
            <w:r>
              <w:rPr>
                <w:spacing w:val="-2"/>
                <w:sz w:val="18"/>
              </w:rPr>
              <w:t xml:space="preserve"> </w:t>
            </w:r>
            <w:r>
              <w:rPr>
                <w:sz w:val="18"/>
              </w:rPr>
              <w:t>processing</w:t>
            </w:r>
            <w:r>
              <w:rPr>
                <w:spacing w:val="-3"/>
                <w:sz w:val="18"/>
              </w:rPr>
              <w:t xml:space="preserve"> </w:t>
            </w:r>
            <w:r>
              <w:rPr>
                <w:sz w:val="18"/>
              </w:rPr>
              <w:t>time</w:t>
            </w:r>
            <w:r>
              <w:rPr>
                <w:spacing w:val="-2"/>
                <w:sz w:val="18"/>
              </w:rPr>
              <w:t xml:space="preserve"> </w:t>
            </w:r>
            <w:r>
              <w:rPr>
                <w:sz w:val="18"/>
              </w:rPr>
              <w:t>to</w:t>
            </w:r>
            <w:r>
              <w:rPr>
                <w:spacing w:val="-3"/>
                <w:sz w:val="18"/>
              </w:rPr>
              <w:t xml:space="preserve"> </w:t>
            </w:r>
            <w:r>
              <w:rPr>
                <w:sz w:val="18"/>
              </w:rPr>
              <w:t>transfer</w:t>
            </w:r>
            <w:r>
              <w:rPr>
                <w:spacing w:val="-1"/>
                <w:sz w:val="18"/>
              </w:rPr>
              <w:t xml:space="preserve"> </w:t>
            </w:r>
            <w:r>
              <w:rPr>
                <w:sz w:val="18"/>
              </w:rPr>
              <w:t>of</w:t>
            </w:r>
            <w:r>
              <w:rPr>
                <w:spacing w:val="-2"/>
                <w:sz w:val="18"/>
              </w:rPr>
              <w:t xml:space="preserve"> </w:t>
            </w:r>
            <w:r>
              <w:rPr>
                <w:sz w:val="18"/>
              </w:rPr>
              <w:t>water</w:t>
            </w:r>
            <w:r>
              <w:rPr>
                <w:spacing w:val="-1"/>
                <w:sz w:val="18"/>
              </w:rPr>
              <w:t xml:space="preserve"> </w:t>
            </w:r>
            <w:r>
              <w:rPr>
                <w:sz w:val="18"/>
              </w:rPr>
              <w:t>use</w:t>
            </w:r>
            <w:r>
              <w:rPr>
                <w:spacing w:val="-3"/>
                <w:sz w:val="18"/>
              </w:rPr>
              <w:t xml:space="preserve"> </w:t>
            </w:r>
            <w:r>
              <w:rPr>
                <w:sz w:val="18"/>
              </w:rPr>
              <w:t>licences</w:t>
            </w:r>
            <w:r>
              <w:rPr>
                <w:spacing w:val="-1"/>
                <w:sz w:val="18"/>
              </w:rPr>
              <w:t xml:space="preserve"> </w:t>
            </w:r>
            <w:r>
              <w:rPr>
                <w:sz w:val="18"/>
              </w:rPr>
              <w:t>between</w:t>
            </w:r>
            <w:r>
              <w:rPr>
                <w:spacing w:val="-3"/>
                <w:sz w:val="18"/>
              </w:rPr>
              <w:t xml:space="preserve"> </w:t>
            </w:r>
            <w:r>
              <w:rPr>
                <w:sz w:val="18"/>
              </w:rPr>
              <w:t>LMW</w:t>
            </w:r>
            <w:r>
              <w:rPr>
                <w:spacing w:val="-2"/>
                <w:sz w:val="18"/>
              </w:rPr>
              <w:t xml:space="preserve"> </w:t>
            </w:r>
            <w:r>
              <w:rPr>
                <w:sz w:val="18"/>
              </w:rPr>
              <w:t>Customers</w:t>
            </w:r>
            <w:r>
              <w:rPr>
                <w:spacing w:val="-2"/>
                <w:sz w:val="18"/>
              </w:rPr>
              <w:t xml:space="preserve"> </w:t>
            </w:r>
            <w:r>
              <w:rPr>
                <w:sz w:val="18"/>
              </w:rPr>
              <w:t>(10</w:t>
            </w:r>
            <w:r>
              <w:rPr>
                <w:spacing w:val="-1"/>
                <w:sz w:val="18"/>
              </w:rPr>
              <w:t xml:space="preserve"> </w:t>
            </w:r>
            <w:r>
              <w:rPr>
                <w:spacing w:val="-2"/>
                <w:sz w:val="18"/>
              </w:rPr>
              <w:t>days)</w:t>
            </w:r>
          </w:p>
        </w:tc>
        <w:tc>
          <w:tcPr>
            <w:tcW w:w="2399" w:type="dxa"/>
            <w:tcBorders>
              <w:top w:val="single" w:sz="8" w:space="0" w:color="FFFFFF"/>
              <w:left w:val="single" w:sz="8" w:space="0" w:color="FFFFFF"/>
              <w:bottom w:val="single" w:sz="8" w:space="0" w:color="FFFFFF"/>
              <w:right w:val="nil"/>
            </w:tcBorders>
            <w:shd w:val="clear" w:color="auto" w:fill="CCE2ED"/>
          </w:tcPr>
          <w:p w14:paraId="64FE026A" w14:textId="77777777" w:rsidR="00141B97" w:rsidRDefault="00911D63">
            <w:pPr>
              <w:pStyle w:val="TableParagraph"/>
              <w:spacing w:before="97"/>
              <w:ind w:left="577" w:right="578"/>
              <w:jc w:val="center"/>
              <w:rPr>
                <w:sz w:val="18"/>
              </w:rPr>
            </w:pPr>
            <w:r>
              <w:rPr>
                <w:spacing w:val="-5"/>
                <w:sz w:val="18"/>
              </w:rPr>
              <w:t>90%</w:t>
            </w:r>
          </w:p>
        </w:tc>
      </w:tr>
      <w:tr w:rsidR="00141B97" w14:paraId="3DECF6A0" w14:textId="77777777">
        <w:trPr>
          <w:trHeight w:val="556"/>
        </w:trPr>
        <w:tc>
          <w:tcPr>
            <w:tcW w:w="7362" w:type="dxa"/>
            <w:tcBorders>
              <w:top w:val="single" w:sz="8" w:space="0" w:color="FFFFFF"/>
              <w:left w:val="nil"/>
              <w:right w:val="single" w:sz="8" w:space="0" w:color="FFFFFF"/>
            </w:tcBorders>
            <w:shd w:val="clear" w:color="auto" w:fill="CCE2ED"/>
          </w:tcPr>
          <w:p w14:paraId="0CA08060" w14:textId="77777777" w:rsidR="00141B97" w:rsidRDefault="00911D63">
            <w:pPr>
              <w:pStyle w:val="TableParagraph"/>
              <w:spacing w:before="30" w:line="276" w:lineRule="auto"/>
              <w:ind w:left="75" w:right="112"/>
              <w:rPr>
                <w:sz w:val="18"/>
              </w:rPr>
            </w:pPr>
            <w:r>
              <w:rPr>
                <w:sz w:val="18"/>
              </w:rPr>
              <w:t>Average</w:t>
            </w:r>
            <w:r>
              <w:rPr>
                <w:spacing w:val="-2"/>
                <w:sz w:val="18"/>
              </w:rPr>
              <w:t xml:space="preserve"> </w:t>
            </w:r>
            <w:r>
              <w:rPr>
                <w:sz w:val="18"/>
              </w:rPr>
              <w:t>processing</w:t>
            </w:r>
            <w:r>
              <w:rPr>
                <w:spacing w:val="-3"/>
                <w:sz w:val="18"/>
              </w:rPr>
              <w:t xml:space="preserve"> </w:t>
            </w:r>
            <w:r>
              <w:rPr>
                <w:sz w:val="18"/>
              </w:rPr>
              <w:t>time</w:t>
            </w:r>
            <w:r>
              <w:rPr>
                <w:spacing w:val="-3"/>
                <w:sz w:val="18"/>
              </w:rPr>
              <w:t xml:space="preserve"> </w:t>
            </w:r>
            <w:r>
              <w:rPr>
                <w:sz w:val="18"/>
              </w:rPr>
              <w:t>for</w:t>
            </w:r>
            <w:r>
              <w:rPr>
                <w:spacing w:val="-2"/>
                <w:sz w:val="18"/>
              </w:rPr>
              <w:t xml:space="preserve"> </w:t>
            </w:r>
            <w:r>
              <w:rPr>
                <w:sz w:val="18"/>
              </w:rPr>
              <w:t>permanent</w:t>
            </w:r>
            <w:r>
              <w:rPr>
                <w:spacing w:val="-3"/>
                <w:sz w:val="18"/>
              </w:rPr>
              <w:t xml:space="preserve"> </w:t>
            </w:r>
            <w:r>
              <w:rPr>
                <w:sz w:val="18"/>
              </w:rPr>
              <w:t>transfer</w:t>
            </w:r>
            <w:r>
              <w:rPr>
                <w:spacing w:val="-2"/>
                <w:sz w:val="18"/>
              </w:rPr>
              <w:t xml:space="preserve"> </w:t>
            </w:r>
            <w:r>
              <w:rPr>
                <w:sz w:val="18"/>
              </w:rPr>
              <w:t>of</w:t>
            </w:r>
            <w:r>
              <w:rPr>
                <w:spacing w:val="-3"/>
                <w:sz w:val="18"/>
              </w:rPr>
              <w:t xml:space="preserve"> </w:t>
            </w:r>
            <w:r>
              <w:rPr>
                <w:sz w:val="18"/>
              </w:rPr>
              <w:t>water</w:t>
            </w:r>
            <w:r>
              <w:rPr>
                <w:spacing w:val="-2"/>
                <w:sz w:val="18"/>
              </w:rPr>
              <w:t xml:space="preserve"> </w:t>
            </w:r>
            <w:r>
              <w:rPr>
                <w:sz w:val="18"/>
              </w:rPr>
              <w:t>shares</w:t>
            </w:r>
            <w:r>
              <w:rPr>
                <w:spacing w:val="-2"/>
                <w:sz w:val="18"/>
              </w:rPr>
              <w:t xml:space="preserve"> </w:t>
            </w:r>
            <w:r>
              <w:rPr>
                <w:sz w:val="18"/>
              </w:rPr>
              <w:t>between</w:t>
            </w:r>
            <w:r>
              <w:rPr>
                <w:spacing w:val="-3"/>
                <w:sz w:val="18"/>
              </w:rPr>
              <w:t xml:space="preserve"> </w:t>
            </w:r>
            <w:r>
              <w:rPr>
                <w:sz w:val="18"/>
              </w:rPr>
              <w:t>LMW</w:t>
            </w:r>
            <w:r>
              <w:rPr>
                <w:spacing w:val="-3"/>
                <w:sz w:val="18"/>
              </w:rPr>
              <w:t xml:space="preserve"> </w:t>
            </w:r>
            <w:r>
              <w:rPr>
                <w:sz w:val="18"/>
              </w:rPr>
              <w:t>Customers</w:t>
            </w:r>
            <w:r>
              <w:rPr>
                <w:spacing w:val="-2"/>
                <w:sz w:val="18"/>
              </w:rPr>
              <w:t xml:space="preserve"> </w:t>
            </w:r>
            <w:r>
              <w:rPr>
                <w:sz w:val="18"/>
              </w:rPr>
              <w:t xml:space="preserve">(10 </w:t>
            </w:r>
            <w:r>
              <w:rPr>
                <w:spacing w:val="-2"/>
                <w:sz w:val="18"/>
              </w:rPr>
              <w:t>days)</w:t>
            </w:r>
          </w:p>
        </w:tc>
        <w:tc>
          <w:tcPr>
            <w:tcW w:w="2399" w:type="dxa"/>
            <w:tcBorders>
              <w:top w:val="single" w:sz="8" w:space="0" w:color="FFFFFF"/>
              <w:left w:val="single" w:sz="8" w:space="0" w:color="FFFFFF"/>
              <w:right w:val="nil"/>
            </w:tcBorders>
            <w:shd w:val="clear" w:color="auto" w:fill="CCE2ED"/>
          </w:tcPr>
          <w:p w14:paraId="04698C04" w14:textId="77777777" w:rsidR="00141B97" w:rsidRDefault="00141B97">
            <w:pPr>
              <w:pStyle w:val="TableParagraph"/>
              <w:spacing w:before="2"/>
              <w:rPr>
                <w:sz w:val="15"/>
              </w:rPr>
            </w:pPr>
          </w:p>
          <w:p w14:paraId="602D1E36" w14:textId="77777777" w:rsidR="00141B97" w:rsidRDefault="00911D63">
            <w:pPr>
              <w:pStyle w:val="TableParagraph"/>
              <w:ind w:left="577" w:right="578"/>
              <w:jc w:val="center"/>
              <w:rPr>
                <w:sz w:val="18"/>
              </w:rPr>
            </w:pPr>
            <w:r>
              <w:rPr>
                <w:spacing w:val="-5"/>
                <w:sz w:val="18"/>
              </w:rPr>
              <w:t>85%</w:t>
            </w:r>
          </w:p>
        </w:tc>
      </w:tr>
      <w:tr w:rsidR="00141B97" w14:paraId="01922D3E" w14:textId="77777777">
        <w:trPr>
          <w:trHeight w:val="371"/>
        </w:trPr>
        <w:tc>
          <w:tcPr>
            <w:tcW w:w="7362" w:type="dxa"/>
            <w:tcBorders>
              <w:left w:val="nil"/>
              <w:right w:val="single" w:sz="8" w:space="0" w:color="FFFFFF"/>
            </w:tcBorders>
            <w:shd w:val="clear" w:color="auto" w:fill="CCE2ED"/>
          </w:tcPr>
          <w:p w14:paraId="46BE3F60" w14:textId="77777777" w:rsidR="00141B97" w:rsidRDefault="00911D63">
            <w:pPr>
              <w:pStyle w:val="TableParagraph"/>
              <w:spacing w:before="61"/>
              <w:ind w:left="75"/>
              <w:rPr>
                <w:sz w:val="18"/>
              </w:rPr>
            </w:pPr>
            <w:r>
              <w:rPr>
                <w:sz w:val="18"/>
              </w:rPr>
              <w:t>Average</w:t>
            </w:r>
            <w:r>
              <w:rPr>
                <w:spacing w:val="-3"/>
                <w:sz w:val="18"/>
              </w:rPr>
              <w:t xml:space="preserve"> </w:t>
            </w:r>
            <w:r>
              <w:rPr>
                <w:sz w:val="18"/>
              </w:rPr>
              <w:t>processing</w:t>
            </w:r>
            <w:r>
              <w:rPr>
                <w:spacing w:val="-2"/>
                <w:sz w:val="18"/>
              </w:rPr>
              <w:t xml:space="preserve"> </w:t>
            </w:r>
            <w:r>
              <w:rPr>
                <w:sz w:val="18"/>
              </w:rPr>
              <w:t>time</w:t>
            </w:r>
            <w:r>
              <w:rPr>
                <w:spacing w:val="-1"/>
                <w:sz w:val="18"/>
              </w:rPr>
              <w:t xml:space="preserve"> </w:t>
            </w:r>
            <w:r>
              <w:rPr>
                <w:sz w:val="18"/>
              </w:rPr>
              <w:t>for</w:t>
            </w:r>
            <w:r>
              <w:rPr>
                <w:spacing w:val="-1"/>
                <w:sz w:val="18"/>
              </w:rPr>
              <w:t xml:space="preserve"> </w:t>
            </w:r>
            <w:r>
              <w:rPr>
                <w:sz w:val="18"/>
              </w:rPr>
              <w:t>amendment</w:t>
            </w:r>
            <w:r>
              <w:rPr>
                <w:spacing w:val="-2"/>
                <w:sz w:val="18"/>
              </w:rPr>
              <w:t xml:space="preserve"> </w:t>
            </w:r>
            <w:r>
              <w:rPr>
                <w:sz w:val="18"/>
              </w:rPr>
              <w:t>to</w:t>
            </w:r>
            <w:r>
              <w:rPr>
                <w:spacing w:val="-1"/>
                <w:sz w:val="18"/>
              </w:rPr>
              <w:t xml:space="preserve"> </w:t>
            </w:r>
            <w:r>
              <w:rPr>
                <w:sz w:val="18"/>
              </w:rPr>
              <w:t>works</w:t>
            </w:r>
            <w:r>
              <w:rPr>
                <w:spacing w:val="-2"/>
                <w:sz w:val="18"/>
              </w:rPr>
              <w:t xml:space="preserve"> </w:t>
            </w:r>
            <w:r>
              <w:rPr>
                <w:sz w:val="18"/>
              </w:rPr>
              <w:t>licence</w:t>
            </w:r>
            <w:r>
              <w:rPr>
                <w:spacing w:val="-2"/>
                <w:sz w:val="18"/>
              </w:rPr>
              <w:t xml:space="preserve"> </w:t>
            </w:r>
            <w:r>
              <w:rPr>
                <w:sz w:val="18"/>
              </w:rPr>
              <w:t xml:space="preserve">(30 </w:t>
            </w:r>
            <w:r>
              <w:rPr>
                <w:spacing w:val="-4"/>
                <w:sz w:val="18"/>
              </w:rPr>
              <w:t>days)</w:t>
            </w:r>
          </w:p>
        </w:tc>
        <w:tc>
          <w:tcPr>
            <w:tcW w:w="2399" w:type="dxa"/>
            <w:tcBorders>
              <w:left w:val="single" w:sz="8" w:space="0" w:color="FFFFFF"/>
              <w:right w:val="nil"/>
            </w:tcBorders>
            <w:shd w:val="clear" w:color="auto" w:fill="CCE2ED"/>
          </w:tcPr>
          <w:p w14:paraId="0B922B42" w14:textId="77777777" w:rsidR="00141B97" w:rsidRDefault="00911D63">
            <w:pPr>
              <w:pStyle w:val="TableParagraph"/>
              <w:spacing w:before="91"/>
              <w:ind w:left="577" w:right="578"/>
              <w:jc w:val="center"/>
              <w:rPr>
                <w:sz w:val="18"/>
              </w:rPr>
            </w:pPr>
            <w:r>
              <w:rPr>
                <w:spacing w:val="-5"/>
                <w:sz w:val="18"/>
              </w:rPr>
              <w:t>90%</w:t>
            </w:r>
          </w:p>
        </w:tc>
      </w:tr>
      <w:tr w:rsidR="00141B97" w14:paraId="6C8C1166" w14:textId="77777777">
        <w:trPr>
          <w:trHeight w:val="372"/>
        </w:trPr>
        <w:tc>
          <w:tcPr>
            <w:tcW w:w="9761" w:type="dxa"/>
            <w:gridSpan w:val="2"/>
            <w:tcBorders>
              <w:left w:val="nil"/>
              <w:right w:val="nil"/>
            </w:tcBorders>
            <w:shd w:val="clear" w:color="auto" w:fill="BFBFBF"/>
          </w:tcPr>
          <w:p w14:paraId="5FDE41B8" w14:textId="77777777" w:rsidR="00141B97" w:rsidRDefault="00911D63">
            <w:pPr>
              <w:pStyle w:val="TableParagraph"/>
              <w:spacing w:before="91"/>
              <w:ind w:left="85"/>
              <w:rPr>
                <w:sz w:val="18"/>
              </w:rPr>
            </w:pPr>
            <w:r>
              <w:rPr>
                <w:spacing w:val="-2"/>
                <w:sz w:val="18"/>
              </w:rPr>
              <w:t>Complaints</w:t>
            </w:r>
          </w:p>
        </w:tc>
      </w:tr>
      <w:tr w:rsidR="00141B97" w14:paraId="478671EA" w14:textId="77777777">
        <w:trPr>
          <w:trHeight w:val="376"/>
        </w:trPr>
        <w:tc>
          <w:tcPr>
            <w:tcW w:w="7362" w:type="dxa"/>
            <w:tcBorders>
              <w:left w:val="nil"/>
              <w:bottom w:val="nil"/>
              <w:right w:val="single" w:sz="8" w:space="0" w:color="FFFFFF"/>
            </w:tcBorders>
            <w:shd w:val="clear" w:color="auto" w:fill="CCE2ED"/>
          </w:tcPr>
          <w:p w14:paraId="54846E63" w14:textId="77777777" w:rsidR="00141B97" w:rsidRDefault="00911D63">
            <w:pPr>
              <w:pStyle w:val="TableParagraph"/>
              <w:spacing w:before="61"/>
              <w:ind w:left="75"/>
              <w:rPr>
                <w:sz w:val="18"/>
              </w:rPr>
            </w:pPr>
            <w:r>
              <w:rPr>
                <w:sz w:val="18"/>
              </w:rPr>
              <w:t>Maximum</w:t>
            </w:r>
            <w:r>
              <w:rPr>
                <w:spacing w:val="-1"/>
                <w:sz w:val="18"/>
              </w:rPr>
              <w:t xml:space="preserve"> </w:t>
            </w:r>
            <w:r>
              <w:rPr>
                <w:sz w:val="18"/>
              </w:rPr>
              <w:t>time</w:t>
            </w:r>
            <w:r>
              <w:rPr>
                <w:spacing w:val="-2"/>
                <w:sz w:val="18"/>
              </w:rPr>
              <w:t xml:space="preserve"> </w:t>
            </w:r>
            <w:r>
              <w:rPr>
                <w:sz w:val="18"/>
              </w:rPr>
              <w:t>for</w:t>
            </w:r>
            <w:r>
              <w:rPr>
                <w:spacing w:val="-1"/>
                <w:sz w:val="18"/>
              </w:rPr>
              <w:t xml:space="preserve"> </w:t>
            </w:r>
            <w:r>
              <w:rPr>
                <w:sz w:val="18"/>
              </w:rPr>
              <w:t>initial</w:t>
            </w:r>
            <w:r>
              <w:rPr>
                <w:spacing w:val="-1"/>
                <w:sz w:val="18"/>
              </w:rPr>
              <w:t xml:space="preserve"> </w:t>
            </w:r>
            <w:r>
              <w:rPr>
                <w:sz w:val="18"/>
              </w:rPr>
              <w:t>respond</w:t>
            </w:r>
            <w:r>
              <w:rPr>
                <w:spacing w:val="-2"/>
                <w:sz w:val="18"/>
              </w:rPr>
              <w:t xml:space="preserve"> </w:t>
            </w:r>
            <w:r>
              <w:rPr>
                <w:sz w:val="18"/>
              </w:rPr>
              <w:t>to</w:t>
            </w:r>
            <w:r>
              <w:rPr>
                <w:spacing w:val="-1"/>
                <w:sz w:val="18"/>
              </w:rPr>
              <w:t xml:space="preserve"> </w:t>
            </w:r>
            <w:r>
              <w:rPr>
                <w:sz w:val="18"/>
              </w:rPr>
              <w:t>a</w:t>
            </w:r>
            <w:r>
              <w:rPr>
                <w:spacing w:val="-1"/>
                <w:sz w:val="18"/>
              </w:rPr>
              <w:t xml:space="preserve"> </w:t>
            </w:r>
            <w:r>
              <w:rPr>
                <w:sz w:val="18"/>
              </w:rPr>
              <w:t>complaint</w:t>
            </w:r>
            <w:r>
              <w:rPr>
                <w:spacing w:val="-3"/>
                <w:sz w:val="18"/>
              </w:rPr>
              <w:t xml:space="preserve"> </w:t>
            </w:r>
            <w:r>
              <w:rPr>
                <w:sz w:val="18"/>
              </w:rPr>
              <w:t xml:space="preserve">or </w:t>
            </w:r>
            <w:r>
              <w:rPr>
                <w:spacing w:val="-2"/>
                <w:sz w:val="18"/>
              </w:rPr>
              <w:t>enquiry</w:t>
            </w:r>
          </w:p>
        </w:tc>
        <w:tc>
          <w:tcPr>
            <w:tcW w:w="2399" w:type="dxa"/>
            <w:tcBorders>
              <w:left w:val="single" w:sz="8" w:space="0" w:color="FFFFFF"/>
              <w:bottom w:val="nil"/>
              <w:right w:val="nil"/>
            </w:tcBorders>
            <w:shd w:val="clear" w:color="auto" w:fill="CCE2ED"/>
          </w:tcPr>
          <w:p w14:paraId="778BC160" w14:textId="77777777" w:rsidR="00141B97" w:rsidRDefault="00911D63">
            <w:pPr>
              <w:pStyle w:val="TableParagraph"/>
              <w:spacing w:before="91"/>
              <w:ind w:left="577" w:right="578"/>
              <w:jc w:val="center"/>
              <w:rPr>
                <w:sz w:val="18"/>
              </w:rPr>
            </w:pPr>
            <w:r>
              <w:rPr>
                <w:sz w:val="18"/>
              </w:rPr>
              <w:t>10 business</w:t>
            </w:r>
            <w:r>
              <w:rPr>
                <w:spacing w:val="-1"/>
                <w:sz w:val="18"/>
              </w:rPr>
              <w:t xml:space="preserve"> </w:t>
            </w:r>
            <w:r>
              <w:rPr>
                <w:spacing w:val="-4"/>
                <w:sz w:val="18"/>
              </w:rPr>
              <w:t>days</w:t>
            </w:r>
          </w:p>
        </w:tc>
      </w:tr>
    </w:tbl>
    <w:p w14:paraId="0BCD0989" w14:textId="77777777" w:rsidR="00141B97" w:rsidRDefault="00911D63">
      <w:pPr>
        <w:spacing w:before="27"/>
        <w:ind w:left="114"/>
        <w:jc w:val="both"/>
        <w:rPr>
          <w:sz w:val="16"/>
        </w:rPr>
      </w:pPr>
      <w:r>
        <w:rPr>
          <w:sz w:val="16"/>
        </w:rPr>
        <w:t>Table</w:t>
      </w:r>
      <w:r>
        <w:rPr>
          <w:spacing w:val="-4"/>
          <w:sz w:val="16"/>
        </w:rPr>
        <w:t xml:space="preserve"> </w:t>
      </w:r>
      <w:r>
        <w:rPr>
          <w:sz w:val="16"/>
        </w:rPr>
        <w:t>C14:</w:t>
      </w:r>
      <w:r>
        <w:rPr>
          <w:spacing w:val="-6"/>
          <w:sz w:val="16"/>
        </w:rPr>
        <w:t xml:space="preserve"> </w:t>
      </w:r>
      <w:r>
        <w:rPr>
          <w:sz w:val="16"/>
        </w:rPr>
        <w:t>Rural</w:t>
      </w:r>
      <w:r>
        <w:rPr>
          <w:spacing w:val="-4"/>
          <w:sz w:val="16"/>
        </w:rPr>
        <w:t xml:space="preserve"> </w:t>
      </w:r>
      <w:r>
        <w:rPr>
          <w:sz w:val="16"/>
        </w:rPr>
        <w:t>Service</w:t>
      </w:r>
      <w:r>
        <w:rPr>
          <w:spacing w:val="-6"/>
          <w:sz w:val="16"/>
        </w:rPr>
        <w:t xml:space="preserve"> </w:t>
      </w:r>
      <w:r>
        <w:rPr>
          <w:spacing w:val="-2"/>
          <w:sz w:val="16"/>
        </w:rPr>
        <w:t>Outcomes</w:t>
      </w:r>
    </w:p>
    <w:p w14:paraId="53F372FB" w14:textId="77777777" w:rsidR="00141B97" w:rsidRDefault="00141B97">
      <w:pPr>
        <w:pStyle w:val="BodyText"/>
        <w:rPr>
          <w:sz w:val="16"/>
        </w:rPr>
      </w:pPr>
    </w:p>
    <w:p w14:paraId="3D8EF973" w14:textId="77777777" w:rsidR="00141B97" w:rsidRDefault="00141B97">
      <w:pPr>
        <w:pStyle w:val="BodyText"/>
        <w:spacing w:before="2"/>
        <w:rPr>
          <w:sz w:val="15"/>
        </w:rPr>
      </w:pPr>
    </w:p>
    <w:p w14:paraId="31048AB1" w14:textId="77777777" w:rsidR="00141B97" w:rsidRDefault="00911D63">
      <w:pPr>
        <w:pStyle w:val="Heading2"/>
        <w:numPr>
          <w:ilvl w:val="1"/>
          <w:numId w:val="37"/>
        </w:numPr>
        <w:tabs>
          <w:tab w:val="left" w:pos="1112"/>
          <w:tab w:val="left" w:pos="1113"/>
        </w:tabs>
        <w:rPr>
          <w:color w:val="009BAC"/>
        </w:rPr>
      </w:pPr>
      <w:r>
        <w:rPr>
          <w:color w:val="009BAC"/>
        </w:rPr>
        <w:t>Performance</w:t>
      </w:r>
      <w:r>
        <w:rPr>
          <w:color w:val="009BAC"/>
          <w:spacing w:val="-13"/>
        </w:rPr>
        <w:t xml:space="preserve"> </w:t>
      </w:r>
      <w:r>
        <w:rPr>
          <w:color w:val="009BAC"/>
        </w:rPr>
        <w:t>Measurement</w:t>
      </w:r>
      <w:r>
        <w:rPr>
          <w:color w:val="009BAC"/>
          <w:spacing w:val="-12"/>
        </w:rPr>
        <w:t xml:space="preserve"> </w:t>
      </w:r>
      <w:r>
        <w:rPr>
          <w:color w:val="009BAC"/>
        </w:rPr>
        <w:t>and</w:t>
      </w:r>
      <w:r>
        <w:rPr>
          <w:color w:val="009BAC"/>
          <w:spacing w:val="-12"/>
        </w:rPr>
        <w:t xml:space="preserve"> </w:t>
      </w:r>
      <w:r>
        <w:rPr>
          <w:color w:val="009BAC"/>
          <w:spacing w:val="-2"/>
        </w:rPr>
        <w:t>Reporting</w:t>
      </w:r>
    </w:p>
    <w:p w14:paraId="164980F2" w14:textId="77777777" w:rsidR="00141B97" w:rsidRDefault="00911D63">
      <w:pPr>
        <w:pStyle w:val="BodyText"/>
        <w:tabs>
          <w:tab w:val="left" w:pos="1112"/>
        </w:tabs>
        <w:spacing w:before="252"/>
        <w:ind w:left="114"/>
        <w:jc w:val="both"/>
      </w:pPr>
      <w:r>
        <w:rPr>
          <w:spacing w:val="-2"/>
        </w:rPr>
        <w:t>3.2.1</w:t>
      </w:r>
      <w:r>
        <w:tab/>
        <w:t>Proposed</w:t>
      </w:r>
      <w:r>
        <w:rPr>
          <w:spacing w:val="-9"/>
        </w:rPr>
        <w:t xml:space="preserve"> </w:t>
      </w:r>
      <w:r>
        <w:t>Outputs,</w:t>
      </w:r>
      <w:r>
        <w:rPr>
          <w:spacing w:val="-7"/>
        </w:rPr>
        <w:t xml:space="preserve"> </w:t>
      </w:r>
      <w:r>
        <w:t>Performance</w:t>
      </w:r>
      <w:r>
        <w:rPr>
          <w:spacing w:val="-9"/>
        </w:rPr>
        <w:t xml:space="preserve"> </w:t>
      </w:r>
      <w:r>
        <w:t>Measures</w:t>
      </w:r>
      <w:r>
        <w:rPr>
          <w:spacing w:val="-9"/>
        </w:rPr>
        <w:t xml:space="preserve"> </w:t>
      </w:r>
      <w:r>
        <w:t>and</w:t>
      </w:r>
      <w:r>
        <w:rPr>
          <w:spacing w:val="-8"/>
        </w:rPr>
        <w:t xml:space="preserve"> </w:t>
      </w:r>
      <w:r>
        <w:rPr>
          <w:spacing w:val="-2"/>
        </w:rPr>
        <w:t>Targets.</w:t>
      </w:r>
    </w:p>
    <w:p w14:paraId="1CE472D2" w14:textId="77777777" w:rsidR="00141B97" w:rsidRDefault="00911D63">
      <w:pPr>
        <w:pStyle w:val="BodyText"/>
        <w:spacing w:before="60"/>
        <w:ind w:left="113" w:right="947"/>
        <w:jc w:val="both"/>
      </w:pPr>
      <w:r>
        <w:t>Proposed performance standards and targets for reporting to customers are derived from the customer outcomes</w:t>
      </w:r>
      <w:r>
        <w:rPr>
          <w:spacing w:val="-3"/>
        </w:rPr>
        <w:t xml:space="preserve"> </w:t>
      </w:r>
      <w:r>
        <w:t>detailed</w:t>
      </w:r>
      <w:r>
        <w:rPr>
          <w:spacing w:val="-4"/>
        </w:rPr>
        <w:t xml:space="preserve"> </w:t>
      </w:r>
      <w:r>
        <w:t>in</w:t>
      </w:r>
      <w:r>
        <w:rPr>
          <w:spacing w:val="-6"/>
        </w:rPr>
        <w:t xml:space="preserve"> </w:t>
      </w:r>
      <w:r>
        <w:t>Part</w:t>
      </w:r>
      <w:r>
        <w:rPr>
          <w:spacing w:val="-5"/>
        </w:rPr>
        <w:t xml:space="preserve"> </w:t>
      </w:r>
      <w:r>
        <w:t>C,</w:t>
      </w:r>
      <w:r>
        <w:rPr>
          <w:spacing w:val="-5"/>
        </w:rPr>
        <w:t xml:space="preserve"> </w:t>
      </w:r>
      <w:r>
        <w:t>Section</w:t>
      </w:r>
      <w:r>
        <w:rPr>
          <w:spacing w:val="-5"/>
        </w:rPr>
        <w:t xml:space="preserve"> </w:t>
      </w:r>
      <w:r>
        <w:t>3.1.</w:t>
      </w:r>
      <w:r>
        <w:rPr>
          <w:spacing w:val="-5"/>
        </w:rPr>
        <w:t xml:space="preserve"> </w:t>
      </w:r>
      <w:r>
        <w:t>Where</w:t>
      </w:r>
      <w:r>
        <w:rPr>
          <w:spacing w:val="-5"/>
        </w:rPr>
        <w:t xml:space="preserve"> </w:t>
      </w:r>
      <w:r>
        <w:t>possible</w:t>
      </w:r>
      <w:r>
        <w:rPr>
          <w:spacing w:val="-5"/>
        </w:rPr>
        <w:t xml:space="preserve"> </w:t>
      </w:r>
      <w:r>
        <w:t>and</w:t>
      </w:r>
      <w:r>
        <w:rPr>
          <w:spacing w:val="-4"/>
        </w:rPr>
        <w:t xml:space="preserve"> </w:t>
      </w:r>
      <w:r>
        <w:t>appropriate,</w:t>
      </w:r>
      <w:r>
        <w:rPr>
          <w:spacing w:val="-5"/>
        </w:rPr>
        <w:t xml:space="preserve"> </w:t>
      </w:r>
      <w:r>
        <w:t>LMW</w:t>
      </w:r>
      <w:r>
        <w:rPr>
          <w:spacing w:val="-5"/>
        </w:rPr>
        <w:t xml:space="preserve"> </w:t>
      </w:r>
      <w:r>
        <w:t>has</w:t>
      </w:r>
      <w:r>
        <w:rPr>
          <w:spacing w:val="-5"/>
        </w:rPr>
        <w:t xml:space="preserve"> </w:t>
      </w:r>
      <w:r>
        <w:t>utilised</w:t>
      </w:r>
      <w:r>
        <w:rPr>
          <w:spacing w:val="-6"/>
        </w:rPr>
        <w:t xml:space="preserve"> </w:t>
      </w:r>
      <w:r>
        <w:t>measures</w:t>
      </w:r>
      <w:r>
        <w:rPr>
          <w:spacing w:val="-5"/>
        </w:rPr>
        <w:t xml:space="preserve"> </w:t>
      </w:r>
      <w:r>
        <w:t>from</w:t>
      </w:r>
      <w:r>
        <w:rPr>
          <w:spacing w:val="-3"/>
        </w:rPr>
        <w:t xml:space="preserve"> </w:t>
      </w:r>
      <w:r>
        <w:t>the current</w:t>
      </w:r>
      <w:r>
        <w:rPr>
          <w:spacing w:val="-9"/>
        </w:rPr>
        <w:t xml:space="preserve"> </w:t>
      </w:r>
      <w:r>
        <w:t>ESC</w:t>
      </w:r>
      <w:r>
        <w:rPr>
          <w:spacing w:val="-9"/>
        </w:rPr>
        <w:t xml:space="preserve"> </w:t>
      </w:r>
      <w:r>
        <w:t>performance</w:t>
      </w:r>
      <w:r>
        <w:rPr>
          <w:spacing w:val="-9"/>
        </w:rPr>
        <w:t xml:space="preserve"> </w:t>
      </w:r>
      <w:r>
        <w:t>reporting</w:t>
      </w:r>
      <w:r>
        <w:rPr>
          <w:spacing w:val="-9"/>
        </w:rPr>
        <w:t xml:space="preserve"> </w:t>
      </w:r>
      <w:r>
        <w:t>suite</w:t>
      </w:r>
      <w:r>
        <w:rPr>
          <w:spacing w:val="-9"/>
        </w:rPr>
        <w:t xml:space="preserve"> </w:t>
      </w:r>
      <w:r>
        <w:t>to</w:t>
      </w:r>
      <w:r>
        <w:rPr>
          <w:spacing w:val="-10"/>
        </w:rPr>
        <w:t xml:space="preserve"> </w:t>
      </w:r>
      <w:r>
        <w:t>track</w:t>
      </w:r>
      <w:r>
        <w:rPr>
          <w:spacing w:val="-9"/>
        </w:rPr>
        <w:t xml:space="preserve"> </w:t>
      </w:r>
      <w:r>
        <w:t>performance</w:t>
      </w:r>
      <w:r>
        <w:rPr>
          <w:spacing w:val="-10"/>
        </w:rPr>
        <w:t xml:space="preserve"> </w:t>
      </w:r>
      <w:r>
        <w:t>and</w:t>
      </w:r>
      <w:r>
        <w:rPr>
          <w:spacing w:val="-9"/>
        </w:rPr>
        <w:t xml:space="preserve"> </w:t>
      </w:r>
      <w:r>
        <w:t>demonstrate</w:t>
      </w:r>
      <w:r>
        <w:rPr>
          <w:spacing w:val="-9"/>
        </w:rPr>
        <w:t xml:space="preserve"> </w:t>
      </w:r>
      <w:r>
        <w:t>improvement</w:t>
      </w:r>
      <w:r>
        <w:rPr>
          <w:spacing w:val="-9"/>
        </w:rPr>
        <w:t xml:space="preserve"> </w:t>
      </w:r>
      <w:r>
        <w:t>over</w:t>
      </w:r>
      <w:r>
        <w:rPr>
          <w:spacing w:val="-9"/>
        </w:rPr>
        <w:t xml:space="preserve"> </w:t>
      </w:r>
      <w:r>
        <w:t>time.</w:t>
      </w:r>
      <w:r>
        <w:rPr>
          <w:spacing w:val="-9"/>
        </w:rPr>
        <w:t xml:space="preserve"> </w:t>
      </w:r>
      <w:r>
        <w:t>These are</w:t>
      </w:r>
      <w:r>
        <w:rPr>
          <w:spacing w:val="-12"/>
        </w:rPr>
        <w:t xml:space="preserve"> </w:t>
      </w:r>
      <w:r>
        <w:t>supplemented</w:t>
      </w:r>
      <w:r>
        <w:rPr>
          <w:spacing w:val="-11"/>
        </w:rPr>
        <w:t xml:space="preserve"> </w:t>
      </w:r>
      <w:r>
        <w:t>by</w:t>
      </w:r>
      <w:r>
        <w:rPr>
          <w:spacing w:val="-11"/>
        </w:rPr>
        <w:t xml:space="preserve"> </w:t>
      </w:r>
      <w:r>
        <w:t>a</w:t>
      </w:r>
      <w:r>
        <w:rPr>
          <w:spacing w:val="-10"/>
        </w:rPr>
        <w:t xml:space="preserve"> </w:t>
      </w:r>
      <w:r>
        <w:t>range</w:t>
      </w:r>
      <w:r>
        <w:rPr>
          <w:spacing w:val="-12"/>
        </w:rPr>
        <w:t xml:space="preserve"> </w:t>
      </w:r>
      <w:r>
        <w:t>of</w:t>
      </w:r>
      <w:r>
        <w:rPr>
          <w:spacing w:val="-10"/>
        </w:rPr>
        <w:t xml:space="preserve"> </w:t>
      </w:r>
      <w:r>
        <w:t>relevant</w:t>
      </w:r>
      <w:r>
        <w:rPr>
          <w:spacing w:val="-11"/>
        </w:rPr>
        <w:t xml:space="preserve"> </w:t>
      </w:r>
      <w:r>
        <w:t>new</w:t>
      </w:r>
      <w:r>
        <w:rPr>
          <w:spacing w:val="-10"/>
        </w:rPr>
        <w:t xml:space="preserve"> </w:t>
      </w:r>
      <w:r>
        <w:t>measures</w:t>
      </w:r>
      <w:r>
        <w:rPr>
          <w:spacing w:val="-10"/>
        </w:rPr>
        <w:t xml:space="preserve"> </w:t>
      </w:r>
      <w:r>
        <w:t>agreed</w:t>
      </w:r>
      <w:r>
        <w:rPr>
          <w:spacing w:val="-12"/>
        </w:rPr>
        <w:t xml:space="preserve"> </w:t>
      </w:r>
      <w:r>
        <w:t>with</w:t>
      </w:r>
      <w:r>
        <w:rPr>
          <w:spacing w:val="-12"/>
        </w:rPr>
        <w:t xml:space="preserve"> </w:t>
      </w:r>
      <w:r>
        <w:t>customers</w:t>
      </w:r>
      <w:r>
        <w:rPr>
          <w:spacing w:val="-8"/>
        </w:rPr>
        <w:t xml:space="preserve"> </w:t>
      </w:r>
      <w:r>
        <w:t>during</w:t>
      </w:r>
      <w:r>
        <w:rPr>
          <w:spacing w:val="-10"/>
        </w:rPr>
        <w:t xml:space="preserve"> </w:t>
      </w:r>
      <w:r>
        <w:t>the</w:t>
      </w:r>
      <w:r>
        <w:rPr>
          <w:spacing w:val="-11"/>
        </w:rPr>
        <w:t xml:space="preserve"> </w:t>
      </w:r>
      <w:r>
        <w:t>engagement</w:t>
      </w:r>
      <w:r>
        <w:rPr>
          <w:spacing w:val="-11"/>
        </w:rPr>
        <w:t xml:space="preserve"> </w:t>
      </w:r>
      <w:r>
        <w:t>process, eg.</w:t>
      </w:r>
      <w:r>
        <w:rPr>
          <w:spacing w:val="-1"/>
        </w:rPr>
        <w:t xml:space="preserve"> </w:t>
      </w:r>
      <w:r>
        <w:t>Resolve</w:t>
      </w:r>
      <w:r>
        <w:rPr>
          <w:spacing w:val="-3"/>
        </w:rPr>
        <w:t xml:space="preserve"> </w:t>
      </w:r>
      <w:r>
        <w:t>customer</w:t>
      </w:r>
      <w:r>
        <w:rPr>
          <w:spacing w:val="-2"/>
        </w:rPr>
        <w:t xml:space="preserve"> </w:t>
      </w:r>
      <w:r>
        <w:t>requests</w:t>
      </w:r>
      <w:r>
        <w:rPr>
          <w:spacing w:val="-2"/>
        </w:rPr>
        <w:t xml:space="preserve"> </w:t>
      </w:r>
      <w:r>
        <w:t>/</w:t>
      </w:r>
      <w:r>
        <w:rPr>
          <w:spacing w:val="-1"/>
        </w:rPr>
        <w:t xml:space="preserve"> </w:t>
      </w:r>
      <w:r>
        <w:t>enquiries</w:t>
      </w:r>
      <w:r>
        <w:rPr>
          <w:spacing w:val="-2"/>
        </w:rPr>
        <w:t xml:space="preserve"> </w:t>
      </w:r>
      <w:r>
        <w:t>within</w:t>
      </w:r>
      <w:r>
        <w:rPr>
          <w:spacing w:val="-3"/>
        </w:rPr>
        <w:t xml:space="preserve"> </w:t>
      </w:r>
      <w:r>
        <w:t>the</w:t>
      </w:r>
      <w:r>
        <w:rPr>
          <w:spacing w:val="-1"/>
        </w:rPr>
        <w:t xml:space="preserve"> </w:t>
      </w:r>
      <w:r>
        <w:t>defined</w:t>
      </w:r>
      <w:r>
        <w:rPr>
          <w:spacing w:val="-1"/>
        </w:rPr>
        <w:t xml:space="preserve"> </w:t>
      </w:r>
      <w:r>
        <w:t>response</w:t>
      </w:r>
      <w:r>
        <w:rPr>
          <w:spacing w:val="-3"/>
        </w:rPr>
        <w:t xml:space="preserve"> </w:t>
      </w:r>
      <w:r>
        <w:t>time</w:t>
      </w:r>
      <w:r>
        <w:rPr>
          <w:spacing w:val="-1"/>
        </w:rPr>
        <w:t xml:space="preserve"> </w:t>
      </w:r>
      <w:r>
        <w:t>(Mean</w:t>
      </w:r>
      <w:r>
        <w:rPr>
          <w:spacing w:val="-2"/>
        </w:rPr>
        <w:t xml:space="preserve"> </w:t>
      </w:r>
      <w:r>
        <w:t>Time</w:t>
      </w:r>
      <w:r>
        <w:rPr>
          <w:spacing w:val="-3"/>
        </w:rPr>
        <w:t xml:space="preserve"> </w:t>
      </w:r>
      <w:r>
        <w:t>to</w:t>
      </w:r>
      <w:r>
        <w:rPr>
          <w:spacing w:val="-1"/>
        </w:rPr>
        <w:t xml:space="preserve"> </w:t>
      </w:r>
      <w:r>
        <w:t>Resolve) –</w:t>
      </w:r>
      <w:r>
        <w:rPr>
          <w:spacing w:val="-2"/>
        </w:rPr>
        <w:t xml:space="preserve"> </w:t>
      </w:r>
      <w:r>
        <w:t>Target = 75% or more.</w:t>
      </w:r>
      <w:r>
        <w:rPr>
          <w:spacing w:val="40"/>
        </w:rPr>
        <w:t xml:space="preserve"> </w:t>
      </w:r>
      <w:r>
        <w:t>The proposed Performance Assessment Criteria along</w:t>
      </w:r>
      <w:r>
        <w:rPr>
          <w:spacing w:val="-1"/>
        </w:rPr>
        <w:t xml:space="preserve"> </w:t>
      </w:r>
      <w:r>
        <w:t>with their annual targets are summarised in Table C15 overleaf.</w:t>
      </w:r>
    </w:p>
    <w:p w14:paraId="0315B0E5" w14:textId="77777777" w:rsidR="00141B97" w:rsidRDefault="00141B97">
      <w:pPr>
        <w:pStyle w:val="BodyText"/>
        <w:spacing w:before="11"/>
        <w:rPr>
          <w:sz w:val="21"/>
        </w:rPr>
      </w:pPr>
    </w:p>
    <w:p w14:paraId="722FE30E" w14:textId="77777777" w:rsidR="00141B97" w:rsidRDefault="00911D63">
      <w:pPr>
        <w:pStyle w:val="BodyText"/>
        <w:spacing w:before="1"/>
        <w:ind w:left="113" w:right="946" w:hanging="1"/>
        <w:jc w:val="both"/>
      </w:pPr>
      <w:r>
        <w:t>To provide customers with confidence that LMW is delivering on its commitments, and ensure transparency where changes occur or challenges exist, all results will be published annually in summary on LMW’s website with</w:t>
      </w:r>
      <w:r>
        <w:rPr>
          <w:spacing w:val="-1"/>
        </w:rPr>
        <w:t xml:space="preserve"> </w:t>
      </w:r>
      <w:r>
        <w:t>a</w:t>
      </w:r>
      <w:r>
        <w:rPr>
          <w:spacing w:val="-2"/>
        </w:rPr>
        <w:t xml:space="preserve"> </w:t>
      </w:r>
      <w:r>
        <w:t>supporting</w:t>
      </w:r>
      <w:r>
        <w:rPr>
          <w:spacing w:val="-2"/>
        </w:rPr>
        <w:t xml:space="preserve"> </w:t>
      </w:r>
      <w:r>
        <w:t>downloadable</w:t>
      </w:r>
      <w:r>
        <w:rPr>
          <w:spacing w:val="-3"/>
        </w:rPr>
        <w:t xml:space="preserve"> </w:t>
      </w:r>
      <w:r>
        <w:t>report.</w:t>
      </w:r>
      <w:r>
        <w:rPr>
          <w:spacing w:val="-1"/>
        </w:rPr>
        <w:t xml:space="preserve"> </w:t>
      </w:r>
      <w:r>
        <w:t>Results</w:t>
      </w:r>
      <w:r>
        <w:rPr>
          <w:spacing w:val="-2"/>
        </w:rPr>
        <w:t xml:space="preserve"> </w:t>
      </w:r>
      <w:r>
        <w:t>will</w:t>
      </w:r>
      <w:r>
        <w:rPr>
          <w:spacing w:val="-3"/>
        </w:rPr>
        <w:t xml:space="preserve"> </w:t>
      </w:r>
      <w:r>
        <w:t>be</w:t>
      </w:r>
      <w:r>
        <w:rPr>
          <w:spacing w:val="-3"/>
        </w:rPr>
        <w:t xml:space="preserve"> </w:t>
      </w:r>
      <w:r>
        <w:t>reported</w:t>
      </w:r>
      <w:r>
        <w:rPr>
          <w:spacing w:val="-3"/>
        </w:rPr>
        <w:t xml:space="preserve"> </w:t>
      </w:r>
      <w:r>
        <w:t>to</w:t>
      </w:r>
      <w:r>
        <w:rPr>
          <w:spacing w:val="-1"/>
        </w:rPr>
        <w:t xml:space="preserve"> </w:t>
      </w:r>
      <w:r>
        <w:t>and</w:t>
      </w:r>
      <w:r>
        <w:rPr>
          <w:spacing w:val="-1"/>
        </w:rPr>
        <w:t xml:space="preserve"> </w:t>
      </w:r>
      <w:r>
        <w:t>discussed</w:t>
      </w:r>
      <w:r>
        <w:rPr>
          <w:spacing w:val="-3"/>
        </w:rPr>
        <w:t xml:space="preserve"> </w:t>
      </w:r>
      <w:r>
        <w:t>at</w:t>
      </w:r>
      <w:r>
        <w:rPr>
          <w:spacing w:val="-1"/>
        </w:rPr>
        <w:t xml:space="preserve"> </w:t>
      </w:r>
      <w:r>
        <w:t>SAC</w:t>
      </w:r>
      <w:r>
        <w:rPr>
          <w:spacing w:val="-1"/>
        </w:rPr>
        <w:t xml:space="preserve"> </w:t>
      </w:r>
      <w:r>
        <w:t>and</w:t>
      </w:r>
      <w:r>
        <w:rPr>
          <w:spacing w:val="-1"/>
        </w:rPr>
        <w:t xml:space="preserve"> </w:t>
      </w:r>
      <w:r>
        <w:t>CSAC</w:t>
      </w:r>
      <w:r>
        <w:rPr>
          <w:spacing w:val="-2"/>
        </w:rPr>
        <w:t xml:space="preserve"> </w:t>
      </w:r>
      <w:r>
        <w:t>meetings</w:t>
      </w:r>
      <w:r>
        <w:rPr>
          <w:spacing w:val="-2"/>
        </w:rPr>
        <w:t xml:space="preserve"> </w:t>
      </w:r>
      <w:r>
        <w:t>as part of normal meeting regimes.</w:t>
      </w:r>
    </w:p>
    <w:p w14:paraId="32269430" w14:textId="77777777" w:rsidR="00141B97" w:rsidRDefault="00141B97">
      <w:pPr>
        <w:jc w:val="both"/>
        <w:sectPr w:rsidR="00141B97">
          <w:pgSz w:w="11910" w:h="16840"/>
          <w:pgMar w:top="820" w:right="40" w:bottom="780" w:left="1020" w:header="0" w:footer="586" w:gutter="0"/>
          <w:cols w:space="720"/>
        </w:sectPr>
      </w:pPr>
    </w:p>
    <w:p w14:paraId="0D0FC8D6" w14:textId="77777777" w:rsidR="00141B97" w:rsidRDefault="00911D63">
      <w:pPr>
        <w:pStyle w:val="BodyText"/>
        <w:spacing w:before="31"/>
        <w:ind w:left="114" w:right="949" w:hanging="1"/>
        <w:jc w:val="both"/>
      </w:pPr>
      <w:r>
        <w:lastRenderedPageBreak/>
        <w:t>In addition to the customer reporting outlined above, LMW has a range of reporting obligations under its Statement of Obligations, the Minister’s Letter of Expectations and to other regulators, of which much is also required to be reported publicly.</w:t>
      </w:r>
    </w:p>
    <w:p w14:paraId="31987397" w14:textId="77777777" w:rsidR="00141B97" w:rsidRDefault="00141B97">
      <w:pPr>
        <w:pStyle w:val="BodyText"/>
        <w:rPr>
          <w:sz w:val="24"/>
        </w:rPr>
      </w:pPr>
    </w:p>
    <w:tbl>
      <w:tblPr>
        <w:tblW w:w="0" w:type="auto"/>
        <w:tblCellSpacing w:w="7" w:type="dxa"/>
        <w:tblInd w:w="145" w:type="dxa"/>
        <w:tblLayout w:type="fixed"/>
        <w:tblCellMar>
          <w:left w:w="0" w:type="dxa"/>
          <w:right w:w="0" w:type="dxa"/>
        </w:tblCellMar>
        <w:tblLook w:val="01E0" w:firstRow="1" w:lastRow="1" w:firstColumn="1" w:lastColumn="1" w:noHBand="0" w:noVBand="0"/>
      </w:tblPr>
      <w:tblGrid>
        <w:gridCol w:w="4862"/>
        <w:gridCol w:w="747"/>
        <w:gridCol w:w="928"/>
        <w:gridCol w:w="792"/>
        <w:gridCol w:w="788"/>
        <w:gridCol w:w="792"/>
        <w:gridCol w:w="947"/>
      </w:tblGrid>
      <w:tr w:rsidR="00141B97" w14:paraId="20F9BEEE" w14:textId="77777777">
        <w:trPr>
          <w:trHeight w:val="586"/>
          <w:tblCellSpacing w:w="7" w:type="dxa"/>
        </w:trPr>
        <w:tc>
          <w:tcPr>
            <w:tcW w:w="9744" w:type="dxa"/>
            <w:gridSpan w:val="7"/>
            <w:shd w:val="clear" w:color="auto" w:fill="0064A4"/>
          </w:tcPr>
          <w:p w14:paraId="40972406" w14:textId="77777777" w:rsidR="00141B97" w:rsidRDefault="00911D63">
            <w:pPr>
              <w:pStyle w:val="TableParagraph"/>
              <w:tabs>
                <w:tab w:val="left" w:pos="6383"/>
              </w:tabs>
              <w:ind w:left="4869"/>
              <w:rPr>
                <w:sz w:val="16"/>
              </w:rPr>
            </w:pPr>
            <w:r>
              <w:rPr>
                <w:color w:val="FFFFFF"/>
                <w:spacing w:val="-2"/>
                <w:sz w:val="16"/>
              </w:rPr>
              <w:t>Average/</w:t>
            </w:r>
            <w:r>
              <w:rPr>
                <w:color w:val="FFFFFF"/>
                <w:sz w:val="16"/>
              </w:rPr>
              <w:tab/>
              <w:t>Annual</w:t>
            </w:r>
            <w:r>
              <w:rPr>
                <w:color w:val="FFFFFF"/>
                <w:spacing w:val="-5"/>
                <w:sz w:val="16"/>
              </w:rPr>
              <w:t xml:space="preserve"> </w:t>
            </w:r>
            <w:r>
              <w:rPr>
                <w:color w:val="FFFFFF"/>
                <w:sz w:val="16"/>
              </w:rPr>
              <w:t>target</w:t>
            </w:r>
            <w:r>
              <w:rPr>
                <w:color w:val="FFFFFF"/>
                <w:spacing w:val="-5"/>
                <w:sz w:val="16"/>
              </w:rPr>
              <w:t xml:space="preserve"> </w:t>
            </w:r>
            <w:r>
              <w:rPr>
                <w:color w:val="FFFFFF"/>
                <w:sz w:val="16"/>
              </w:rPr>
              <w:t>for</w:t>
            </w:r>
            <w:r>
              <w:rPr>
                <w:color w:val="FFFFFF"/>
                <w:spacing w:val="-5"/>
                <w:sz w:val="16"/>
              </w:rPr>
              <w:t xml:space="preserve"> </w:t>
            </w:r>
            <w:r>
              <w:rPr>
                <w:color w:val="FFFFFF"/>
                <w:sz w:val="16"/>
              </w:rPr>
              <w:t>fifth</w:t>
            </w:r>
            <w:r>
              <w:rPr>
                <w:color w:val="FFFFFF"/>
                <w:spacing w:val="-4"/>
                <w:sz w:val="16"/>
              </w:rPr>
              <w:t xml:space="preserve"> </w:t>
            </w:r>
            <w:r>
              <w:rPr>
                <w:color w:val="FFFFFF"/>
                <w:sz w:val="16"/>
              </w:rPr>
              <w:t>regulatory</w:t>
            </w:r>
            <w:r>
              <w:rPr>
                <w:color w:val="FFFFFF"/>
                <w:spacing w:val="-5"/>
                <w:sz w:val="16"/>
              </w:rPr>
              <w:t xml:space="preserve"> </w:t>
            </w:r>
            <w:r>
              <w:rPr>
                <w:color w:val="FFFFFF"/>
                <w:spacing w:val="-2"/>
                <w:sz w:val="16"/>
              </w:rPr>
              <w:t>period</w:t>
            </w:r>
          </w:p>
          <w:p w14:paraId="014DCE8E" w14:textId="77777777" w:rsidR="00141B97" w:rsidRDefault="00911D63">
            <w:pPr>
              <w:pStyle w:val="TableParagraph"/>
              <w:tabs>
                <w:tab w:val="left" w:pos="4869"/>
                <w:tab w:val="left" w:pos="5763"/>
                <w:tab w:val="left" w:pos="6609"/>
                <w:tab w:val="left" w:pos="7387"/>
                <w:tab w:val="left" w:pos="8163"/>
                <w:tab w:val="left" w:pos="9020"/>
              </w:tabs>
              <w:spacing w:before="7" w:line="182" w:lineRule="exact"/>
              <w:ind w:left="4869" w:right="183" w:hanging="4848"/>
              <w:rPr>
                <w:sz w:val="16"/>
              </w:rPr>
            </w:pPr>
            <w:r>
              <w:rPr>
                <w:color w:val="FFFFFF"/>
                <w:position w:val="1"/>
                <w:sz w:val="16"/>
              </w:rPr>
              <w:t>Performance Assessment Criteria</w:t>
            </w:r>
            <w:r>
              <w:rPr>
                <w:color w:val="FFFFFF"/>
                <w:position w:val="1"/>
                <w:sz w:val="16"/>
              </w:rPr>
              <w:tab/>
              <w:t>Target</w:t>
            </w:r>
            <w:r>
              <w:rPr>
                <w:color w:val="FFFFFF"/>
                <w:spacing w:val="-5"/>
                <w:position w:val="1"/>
                <w:sz w:val="16"/>
              </w:rPr>
              <w:t xml:space="preserve"> </w:t>
            </w:r>
            <w:r>
              <w:rPr>
                <w:color w:val="FFFFFF"/>
                <w:position w:val="1"/>
                <w:sz w:val="16"/>
              </w:rPr>
              <w:t>for</w:t>
            </w:r>
            <w:r>
              <w:rPr>
                <w:color w:val="FFFFFF"/>
                <w:position w:val="1"/>
                <w:sz w:val="16"/>
              </w:rPr>
              <w:tab/>
            </w:r>
            <w:r>
              <w:rPr>
                <w:color w:val="FFFFFF"/>
                <w:spacing w:val="-2"/>
                <w:sz w:val="16"/>
              </w:rPr>
              <w:t>2023‐24</w:t>
            </w:r>
            <w:r>
              <w:rPr>
                <w:color w:val="FFFFFF"/>
                <w:sz w:val="16"/>
              </w:rPr>
              <w:tab/>
            </w:r>
            <w:r>
              <w:rPr>
                <w:color w:val="FFFFFF"/>
                <w:spacing w:val="-2"/>
                <w:sz w:val="16"/>
              </w:rPr>
              <w:t>2024‐25</w:t>
            </w:r>
            <w:r>
              <w:rPr>
                <w:color w:val="FFFFFF"/>
                <w:sz w:val="16"/>
              </w:rPr>
              <w:tab/>
            </w:r>
            <w:r>
              <w:rPr>
                <w:color w:val="FFFFFF"/>
                <w:spacing w:val="-2"/>
                <w:sz w:val="16"/>
              </w:rPr>
              <w:t>2025‐26</w:t>
            </w:r>
            <w:r>
              <w:rPr>
                <w:color w:val="FFFFFF"/>
                <w:sz w:val="16"/>
              </w:rPr>
              <w:tab/>
            </w:r>
            <w:r>
              <w:rPr>
                <w:color w:val="FFFFFF"/>
                <w:spacing w:val="-2"/>
                <w:sz w:val="16"/>
              </w:rPr>
              <w:t>2026‐27</w:t>
            </w:r>
            <w:r>
              <w:rPr>
                <w:color w:val="FFFFFF"/>
                <w:sz w:val="16"/>
              </w:rPr>
              <w:tab/>
            </w:r>
            <w:r>
              <w:rPr>
                <w:color w:val="FFFFFF"/>
                <w:spacing w:val="-2"/>
                <w:sz w:val="16"/>
              </w:rPr>
              <w:t>2027‐28</w:t>
            </w:r>
            <w:r>
              <w:rPr>
                <w:color w:val="FFFFFF"/>
                <w:spacing w:val="40"/>
                <w:sz w:val="16"/>
              </w:rPr>
              <w:t xml:space="preserve"> </w:t>
            </w:r>
            <w:r>
              <w:rPr>
                <w:color w:val="FFFFFF"/>
                <w:spacing w:val="-4"/>
                <w:sz w:val="16"/>
              </w:rPr>
              <w:t>PS4</w:t>
            </w:r>
          </w:p>
        </w:tc>
      </w:tr>
      <w:tr w:rsidR="00141B97" w14:paraId="35B27466" w14:textId="77777777">
        <w:trPr>
          <w:trHeight w:val="195"/>
          <w:tblCellSpacing w:w="7" w:type="dxa"/>
        </w:trPr>
        <w:tc>
          <w:tcPr>
            <w:tcW w:w="9744" w:type="dxa"/>
            <w:gridSpan w:val="7"/>
            <w:shd w:val="clear" w:color="auto" w:fill="BFBFBF"/>
          </w:tcPr>
          <w:p w14:paraId="281E83C9" w14:textId="77777777" w:rsidR="00141B97" w:rsidRDefault="00911D63">
            <w:pPr>
              <w:pStyle w:val="TableParagraph"/>
              <w:spacing w:line="175" w:lineRule="exact"/>
              <w:ind w:left="21"/>
              <w:rPr>
                <w:sz w:val="16"/>
              </w:rPr>
            </w:pPr>
            <w:r>
              <w:rPr>
                <w:sz w:val="16"/>
              </w:rPr>
              <w:t>Outcome</w:t>
            </w:r>
            <w:r>
              <w:rPr>
                <w:spacing w:val="-5"/>
                <w:sz w:val="16"/>
              </w:rPr>
              <w:t xml:space="preserve"> </w:t>
            </w:r>
            <w:r>
              <w:rPr>
                <w:sz w:val="16"/>
              </w:rPr>
              <w:t>1:</w:t>
            </w:r>
            <w:r>
              <w:rPr>
                <w:spacing w:val="-5"/>
                <w:sz w:val="16"/>
              </w:rPr>
              <w:t xml:space="preserve"> </w:t>
            </w:r>
            <w:r>
              <w:rPr>
                <w:sz w:val="16"/>
              </w:rPr>
              <w:t>Services</w:t>
            </w:r>
            <w:r>
              <w:rPr>
                <w:spacing w:val="-7"/>
                <w:sz w:val="16"/>
              </w:rPr>
              <w:t xml:space="preserve"> </w:t>
            </w:r>
            <w:r>
              <w:rPr>
                <w:sz w:val="16"/>
              </w:rPr>
              <w:t>provide</w:t>
            </w:r>
            <w:r>
              <w:rPr>
                <w:spacing w:val="-5"/>
                <w:sz w:val="16"/>
              </w:rPr>
              <w:t xml:space="preserve"> </w:t>
            </w:r>
            <w:r>
              <w:rPr>
                <w:sz w:val="16"/>
              </w:rPr>
              <w:t>customer</w:t>
            </w:r>
            <w:r>
              <w:rPr>
                <w:spacing w:val="-5"/>
                <w:sz w:val="16"/>
              </w:rPr>
              <w:t xml:space="preserve"> </w:t>
            </w:r>
            <w:r>
              <w:rPr>
                <w:sz w:val="16"/>
              </w:rPr>
              <w:t>value</w:t>
            </w:r>
            <w:r>
              <w:rPr>
                <w:spacing w:val="-6"/>
                <w:sz w:val="16"/>
              </w:rPr>
              <w:t xml:space="preserve"> </w:t>
            </w:r>
            <w:r>
              <w:rPr>
                <w:sz w:val="16"/>
              </w:rPr>
              <w:t>for</w:t>
            </w:r>
            <w:r>
              <w:rPr>
                <w:spacing w:val="-4"/>
                <w:sz w:val="16"/>
              </w:rPr>
              <w:t xml:space="preserve"> money</w:t>
            </w:r>
          </w:p>
        </w:tc>
      </w:tr>
      <w:tr w:rsidR="00141B97" w14:paraId="5C05F42E" w14:textId="77777777">
        <w:trPr>
          <w:trHeight w:val="390"/>
          <w:tblCellSpacing w:w="7" w:type="dxa"/>
        </w:trPr>
        <w:tc>
          <w:tcPr>
            <w:tcW w:w="4841" w:type="dxa"/>
            <w:shd w:val="clear" w:color="auto" w:fill="CCE2ED"/>
          </w:tcPr>
          <w:p w14:paraId="1A283BFF" w14:textId="77777777" w:rsidR="00141B97" w:rsidRDefault="00911D63">
            <w:pPr>
              <w:pStyle w:val="TableParagraph"/>
              <w:spacing w:line="195" w:lineRule="exact"/>
              <w:ind w:left="14"/>
              <w:rPr>
                <w:sz w:val="16"/>
              </w:rPr>
            </w:pPr>
            <w:r>
              <w:rPr>
                <w:sz w:val="16"/>
              </w:rPr>
              <w:t>Customer</w:t>
            </w:r>
            <w:r>
              <w:rPr>
                <w:spacing w:val="-5"/>
                <w:sz w:val="16"/>
              </w:rPr>
              <w:t xml:space="preserve"> </w:t>
            </w:r>
            <w:r>
              <w:rPr>
                <w:sz w:val="16"/>
              </w:rPr>
              <w:t>satisfaction</w:t>
            </w:r>
            <w:r>
              <w:rPr>
                <w:spacing w:val="-7"/>
                <w:sz w:val="16"/>
              </w:rPr>
              <w:t xml:space="preserve"> </w:t>
            </w:r>
            <w:r>
              <w:rPr>
                <w:sz w:val="16"/>
              </w:rPr>
              <w:t>for</w:t>
            </w:r>
            <w:r>
              <w:rPr>
                <w:spacing w:val="-6"/>
                <w:sz w:val="16"/>
              </w:rPr>
              <w:t xml:space="preserve"> </w:t>
            </w:r>
            <w:r>
              <w:rPr>
                <w:sz w:val="16"/>
              </w:rPr>
              <w:t>overall</w:t>
            </w:r>
            <w:r>
              <w:rPr>
                <w:spacing w:val="-5"/>
                <w:sz w:val="16"/>
              </w:rPr>
              <w:t xml:space="preserve"> </w:t>
            </w:r>
            <w:r>
              <w:rPr>
                <w:sz w:val="16"/>
              </w:rPr>
              <w:t>services</w:t>
            </w:r>
            <w:r>
              <w:rPr>
                <w:spacing w:val="-6"/>
                <w:sz w:val="16"/>
              </w:rPr>
              <w:t xml:space="preserve"> </w:t>
            </w:r>
            <w:r>
              <w:rPr>
                <w:sz w:val="16"/>
              </w:rPr>
              <w:t>value</w:t>
            </w:r>
            <w:r>
              <w:rPr>
                <w:spacing w:val="-6"/>
                <w:sz w:val="16"/>
              </w:rPr>
              <w:t xml:space="preserve"> </w:t>
            </w:r>
            <w:r>
              <w:rPr>
                <w:sz w:val="16"/>
              </w:rPr>
              <w:t>for</w:t>
            </w:r>
            <w:r>
              <w:rPr>
                <w:spacing w:val="-5"/>
                <w:sz w:val="16"/>
              </w:rPr>
              <w:t xml:space="preserve"> </w:t>
            </w:r>
            <w:r>
              <w:rPr>
                <w:sz w:val="16"/>
              </w:rPr>
              <w:t>money</w:t>
            </w:r>
            <w:r>
              <w:rPr>
                <w:spacing w:val="-5"/>
                <w:sz w:val="16"/>
              </w:rPr>
              <w:t xml:space="preserve"> </w:t>
            </w:r>
            <w:r>
              <w:rPr>
                <w:sz w:val="16"/>
              </w:rPr>
              <w:t>‐</w:t>
            </w:r>
            <w:r>
              <w:rPr>
                <w:spacing w:val="-7"/>
                <w:sz w:val="16"/>
              </w:rPr>
              <w:t xml:space="preserve"> </w:t>
            </w:r>
            <w:r>
              <w:rPr>
                <w:sz w:val="16"/>
              </w:rPr>
              <w:t>Target</w:t>
            </w:r>
            <w:r>
              <w:rPr>
                <w:spacing w:val="-5"/>
                <w:sz w:val="16"/>
              </w:rPr>
              <w:t xml:space="preserve"> </w:t>
            </w:r>
            <w:r>
              <w:rPr>
                <w:sz w:val="16"/>
              </w:rPr>
              <w:t>=</w:t>
            </w:r>
            <w:r>
              <w:rPr>
                <w:spacing w:val="-7"/>
                <w:sz w:val="16"/>
              </w:rPr>
              <w:t xml:space="preserve"> </w:t>
            </w:r>
            <w:r>
              <w:rPr>
                <w:spacing w:val="-5"/>
                <w:sz w:val="16"/>
              </w:rPr>
              <w:t>&gt;/=</w:t>
            </w:r>
          </w:p>
          <w:p w14:paraId="149253A5" w14:textId="77777777" w:rsidR="00141B97" w:rsidRDefault="00911D63">
            <w:pPr>
              <w:pStyle w:val="TableParagraph"/>
              <w:spacing w:line="175" w:lineRule="exact"/>
              <w:ind w:left="14"/>
              <w:rPr>
                <w:sz w:val="16"/>
              </w:rPr>
            </w:pPr>
            <w:r>
              <w:rPr>
                <w:sz w:val="16"/>
              </w:rPr>
              <w:t>prior</w:t>
            </w:r>
            <w:r>
              <w:rPr>
                <w:spacing w:val="-6"/>
                <w:sz w:val="16"/>
              </w:rPr>
              <w:t xml:space="preserve"> </w:t>
            </w:r>
            <w:r>
              <w:rPr>
                <w:sz w:val="16"/>
              </w:rPr>
              <w:t>year</w:t>
            </w:r>
            <w:r>
              <w:rPr>
                <w:spacing w:val="-6"/>
                <w:sz w:val="16"/>
              </w:rPr>
              <w:t xml:space="preserve"> </w:t>
            </w:r>
            <w:r>
              <w:rPr>
                <w:sz w:val="16"/>
              </w:rPr>
              <w:t>performance</w:t>
            </w:r>
            <w:r>
              <w:rPr>
                <w:spacing w:val="-6"/>
                <w:sz w:val="16"/>
              </w:rPr>
              <w:t xml:space="preserve"> </w:t>
            </w:r>
            <w:r>
              <w:rPr>
                <w:sz w:val="16"/>
              </w:rPr>
              <w:t>of</w:t>
            </w:r>
            <w:r>
              <w:rPr>
                <w:spacing w:val="-5"/>
                <w:sz w:val="16"/>
              </w:rPr>
              <w:t xml:space="preserve"> </w:t>
            </w:r>
            <w:r>
              <w:rPr>
                <w:sz w:val="16"/>
              </w:rPr>
              <w:t>annual</w:t>
            </w:r>
            <w:r>
              <w:rPr>
                <w:spacing w:val="-5"/>
                <w:sz w:val="16"/>
              </w:rPr>
              <w:t xml:space="preserve"> </w:t>
            </w:r>
            <w:r>
              <w:rPr>
                <w:sz w:val="16"/>
              </w:rPr>
              <w:t>survey</w:t>
            </w:r>
            <w:r>
              <w:rPr>
                <w:spacing w:val="-5"/>
                <w:sz w:val="16"/>
              </w:rPr>
              <w:t xml:space="preserve"> </w:t>
            </w:r>
            <w:r>
              <w:rPr>
                <w:spacing w:val="-2"/>
                <w:sz w:val="16"/>
              </w:rPr>
              <w:t>respondents</w:t>
            </w:r>
          </w:p>
        </w:tc>
        <w:tc>
          <w:tcPr>
            <w:tcW w:w="733" w:type="dxa"/>
            <w:shd w:val="clear" w:color="auto" w:fill="CCE2ED"/>
          </w:tcPr>
          <w:p w14:paraId="4C9FA8A6" w14:textId="77777777" w:rsidR="00141B97" w:rsidRDefault="00911D63">
            <w:pPr>
              <w:pStyle w:val="TableParagraph"/>
              <w:spacing w:before="97"/>
              <w:ind w:left="21"/>
              <w:rPr>
                <w:sz w:val="16"/>
              </w:rPr>
            </w:pPr>
            <w:r>
              <w:rPr>
                <w:spacing w:val="-5"/>
                <w:sz w:val="16"/>
              </w:rPr>
              <w:t>N/A</w:t>
            </w:r>
          </w:p>
        </w:tc>
        <w:tc>
          <w:tcPr>
            <w:tcW w:w="914" w:type="dxa"/>
            <w:shd w:val="clear" w:color="auto" w:fill="CCE2ED"/>
          </w:tcPr>
          <w:p w14:paraId="2415BBA1" w14:textId="77777777" w:rsidR="00141B97" w:rsidRDefault="00911D63">
            <w:pPr>
              <w:pStyle w:val="TableParagraph"/>
              <w:spacing w:before="97"/>
              <w:ind w:right="147"/>
              <w:jc w:val="right"/>
              <w:rPr>
                <w:sz w:val="16"/>
              </w:rPr>
            </w:pPr>
            <w:r>
              <w:rPr>
                <w:spacing w:val="-2"/>
                <w:sz w:val="16"/>
              </w:rPr>
              <w:t>=/&gt;22/23</w:t>
            </w:r>
          </w:p>
        </w:tc>
        <w:tc>
          <w:tcPr>
            <w:tcW w:w="778" w:type="dxa"/>
            <w:shd w:val="clear" w:color="auto" w:fill="CCE2ED"/>
          </w:tcPr>
          <w:p w14:paraId="70CBC25D" w14:textId="77777777" w:rsidR="00141B97" w:rsidRDefault="00911D63">
            <w:pPr>
              <w:pStyle w:val="TableParagraph"/>
              <w:spacing w:before="97"/>
              <w:ind w:right="78"/>
              <w:jc w:val="right"/>
              <w:rPr>
                <w:sz w:val="16"/>
              </w:rPr>
            </w:pPr>
            <w:r>
              <w:rPr>
                <w:spacing w:val="-2"/>
                <w:sz w:val="16"/>
              </w:rPr>
              <w:t>=/&gt;23/24</w:t>
            </w:r>
          </w:p>
        </w:tc>
        <w:tc>
          <w:tcPr>
            <w:tcW w:w="774" w:type="dxa"/>
            <w:shd w:val="clear" w:color="auto" w:fill="CCE2ED"/>
          </w:tcPr>
          <w:p w14:paraId="53EC5070" w14:textId="77777777" w:rsidR="00141B97" w:rsidRDefault="00911D63">
            <w:pPr>
              <w:pStyle w:val="TableParagraph"/>
              <w:spacing w:before="97"/>
              <w:ind w:right="75"/>
              <w:jc w:val="right"/>
              <w:rPr>
                <w:sz w:val="16"/>
              </w:rPr>
            </w:pPr>
            <w:r>
              <w:rPr>
                <w:spacing w:val="-2"/>
                <w:sz w:val="16"/>
              </w:rPr>
              <w:t>=/&gt;24/25</w:t>
            </w:r>
          </w:p>
        </w:tc>
        <w:tc>
          <w:tcPr>
            <w:tcW w:w="778" w:type="dxa"/>
            <w:shd w:val="clear" w:color="auto" w:fill="CCE2ED"/>
          </w:tcPr>
          <w:p w14:paraId="2BD6ACD5" w14:textId="77777777" w:rsidR="00141B97" w:rsidRDefault="00911D63">
            <w:pPr>
              <w:pStyle w:val="TableParagraph"/>
              <w:spacing w:before="97"/>
              <w:ind w:right="76"/>
              <w:jc w:val="right"/>
              <w:rPr>
                <w:sz w:val="16"/>
              </w:rPr>
            </w:pPr>
            <w:r>
              <w:rPr>
                <w:spacing w:val="-2"/>
                <w:sz w:val="16"/>
              </w:rPr>
              <w:t>=/&gt;25/26</w:t>
            </w:r>
          </w:p>
        </w:tc>
        <w:tc>
          <w:tcPr>
            <w:tcW w:w="926" w:type="dxa"/>
            <w:shd w:val="clear" w:color="auto" w:fill="CCE2ED"/>
          </w:tcPr>
          <w:p w14:paraId="65B1408B" w14:textId="77777777" w:rsidR="00141B97" w:rsidRDefault="00911D63">
            <w:pPr>
              <w:pStyle w:val="TableParagraph"/>
              <w:spacing w:before="97"/>
              <w:ind w:right="146"/>
              <w:jc w:val="right"/>
              <w:rPr>
                <w:sz w:val="16"/>
              </w:rPr>
            </w:pPr>
            <w:r>
              <w:rPr>
                <w:spacing w:val="-2"/>
                <w:sz w:val="16"/>
              </w:rPr>
              <w:t>=/&gt;26/27</w:t>
            </w:r>
          </w:p>
        </w:tc>
      </w:tr>
      <w:tr w:rsidR="00141B97" w14:paraId="2ED4FB90" w14:textId="77777777">
        <w:trPr>
          <w:trHeight w:val="195"/>
          <w:tblCellSpacing w:w="7" w:type="dxa"/>
        </w:trPr>
        <w:tc>
          <w:tcPr>
            <w:tcW w:w="4841" w:type="dxa"/>
            <w:shd w:val="clear" w:color="auto" w:fill="CCE2ED"/>
          </w:tcPr>
          <w:p w14:paraId="6B7560D3" w14:textId="77777777" w:rsidR="00141B97" w:rsidRDefault="00911D63">
            <w:pPr>
              <w:pStyle w:val="TableParagraph"/>
              <w:spacing w:line="175" w:lineRule="exact"/>
              <w:ind w:left="14"/>
              <w:rPr>
                <w:sz w:val="16"/>
              </w:rPr>
            </w:pPr>
            <w:r>
              <w:rPr>
                <w:sz w:val="16"/>
              </w:rPr>
              <w:t>Delivery</w:t>
            </w:r>
            <w:r>
              <w:rPr>
                <w:spacing w:val="-4"/>
                <w:sz w:val="16"/>
              </w:rPr>
              <w:t xml:space="preserve"> </w:t>
            </w:r>
            <w:r>
              <w:rPr>
                <w:sz w:val="16"/>
              </w:rPr>
              <w:t>of</w:t>
            </w:r>
            <w:r>
              <w:rPr>
                <w:spacing w:val="-4"/>
                <w:sz w:val="16"/>
              </w:rPr>
              <w:t xml:space="preserve"> </w:t>
            </w:r>
            <w:r>
              <w:rPr>
                <w:sz w:val="16"/>
              </w:rPr>
              <w:t>the</w:t>
            </w:r>
            <w:r>
              <w:rPr>
                <w:spacing w:val="-3"/>
                <w:sz w:val="16"/>
              </w:rPr>
              <w:t xml:space="preserve"> </w:t>
            </w:r>
            <w:r>
              <w:rPr>
                <w:sz w:val="16"/>
              </w:rPr>
              <w:t>approved</w:t>
            </w:r>
            <w:r>
              <w:rPr>
                <w:spacing w:val="-5"/>
                <w:sz w:val="16"/>
              </w:rPr>
              <w:t xml:space="preserve"> </w:t>
            </w:r>
            <w:r>
              <w:rPr>
                <w:sz w:val="16"/>
              </w:rPr>
              <w:t>PS5</w:t>
            </w:r>
            <w:r>
              <w:rPr>
                <w:spacing w:val="-4"/>
                <w:sz w:val="16"/>
              </w:rPr>
              <w:t xml:space="preserve"> </w:t>
            </w:r>
            <w:r>
              <w:rPr>
                <w:sz w:val="16"/>
              </w:rPr>
              <w:t>price</w:t>
            </w:r>
            <w:r>
              <w:rPr>
                <w:spacing w:val="-5"/>
                <w:sz w:val="16"/>
              </w:rPr>
              <w:t xml:space="preserve"> </w:t>
            </w:r>
            <w:r>
              <w:rPr>
                <w:spacing w:val="-2"/>
                <w:sz w:val="16"/>
              </w:rPr>
              <w:t>determination</w:t>
            </w:r>
          </w:p>
        </w:tc>
        <w:tc>
          <w:tcPr>
            <w:tcW w:w="733" w:type="dxa"/>
            <w:shd w:val="clear" w:color="auto" w:fill="CCE2ED"/>
          </w:tcPr>
          <w:p w14:paraId="11106FDF" w14:textId="77777777" w:rsidR="00141B97" w:rsidRDefault="00911D63">
            <w:pPr>
              <w:pStyle w:val="TableParagraph"/>
              <w:spacing w:line="175" w:lineRule="exact"/>
              <w:ind w:left="21"/>
              <w:rPr>
                <w:sz w:val="16"/>
              </w:rPr>
            </w:pPr>
            <w:r>
              <w:rPr>
                <w:spacing w:val="-4"/>
                <w:sz w:val="16"/>
              </w:rPr>
              <w:t>Pass</w:t>
            </w:r>
          </w:p>
        </w:tc>
        <w:tc>
          <w:tcPr>
            <w:tcW w:w="4170" w:type="dxa"/>
            <w:gridSpan w:val="5"/>
            <w:shd w:val="clear" w:color="auto" w:fill="CCE2ED"/>
          </w:tcPr>
          <w:p w14:paraId="3EA0832C" w14:textId="77777777" w:rsidR="00141B97" w:rsidRDefault="00911D63">
            <w:pPr>
              <w:pStyle w:val="TableParagraph"/>
              <w:spacing w:line="175" w:lineRule="exact"/>
              <w:ind w:left="1812" w:right="1801"/>
              <w:jc w:val="center"/>
              <w:rPr>
                <w:sz w:val="16"/>
              </w:rPr>
            </w:pPr>
            <w:r>
              <w:rPr>
                <w:sz w:val="16"/>
              </w:rPr>
              <w:t>Yes</w:t>
            </w:r>
            <w:r>
              <w:rPr>
                <w:spacing w:val="-3"/>
                <w:sz w:val="16"/>
              </w:rPr>
              <w:t xml:space="preserve"> </w:t>
            </w:r>
            <w:r>
              <w:rPr>
                <w:sz w:val="16"/>
              </w:rPr>
              <w:t>/</w:t>
            </w:r>
            <w:r>
              <w:rPr>
                <w:spacing w:val="-2"/>
                <w:sz w:val="16"/>
              </w:rPr>
              <w:t xml:space="preserve"> </w:t>
            </w:r>
            <w:r>
              <w:rPr>
                <w:spacing w:val="-5"/>
                <w:sz w:val="16"/>
              </w:rPr>
              <w:t>No</w:t>
            </w:r>
          </w:p>
        </w:tc>
      </w:tr>
      <w:tr w:rsidR="00141B97" w14:paraId="3DCC7453" w14:textId="77777777">
        <w:trPr>
          <w:trHeight w:val="390"/>
          <w:tblCellSpacing w:w="7" w:type="dxa"/>
        </w:trPr>
        <w:tc>
          <w:tcPr>
            <w:tcW w:w="4841" w:type="dxa"/>
            <w:shd w:val="clear" w:color="auto" w:fill="CCE2ED"/>
          </w:tcPr>
          <w:p w14:paraId="3BC38F37" w14:textId="77777777" w:rsidR="00141B97" w:rsidRDefault="00911D63">
            <w:pPr>
              <w:pStyle w:val="TableParagraph"/>
              <w:spacing w:line="195" w:lineRule="exact"/>
              <w:ind w:left="14"/>
              <w:rPr>
                <w:sz w:val="16"/>
              </w:rPr>
            </w:pPr>
            <w:r>
              <w:rPr>
                <w:sz w:val="16"/>
              </w:rPr>
              <w:t>Delivery</w:t>
            </w:r>
            <w:r>
              <w:rPr>
                <w:spacing w:val="-4"/>
                <w:sz w:val="16"/>
              </w:rPr>
              <w:t xml:space="preserve"> </w:t>
            </w:r>
            <w:r>
              <w:rPr>
                <w:sz w:val="16"/>
              </w:rPr>
              <w:t>of</w:t>
            </w:r>
            <w:r>
              <w:rPr>
                <w:spacing w:val="-4"/>
                <w:sz w:val="16"/>
              </w:rPr>
              <w:t xml:space="preserve"> </w:t>
            </w:r>
            <w:r>
              <w:rPr>
                <w:sz w:val="16"/>
              </w:rPr>
              <w:t>top</w:t>
            </w:r>
            <w:r>
              <w:rPr>
                <w:spacing w:val="-3"/>
                <w:sz w:val="16"/>
              </w:rPr>
              <w:t xml:space="preserve"> </w:t>
            </w:r>
            <w:r>
              <w:rPr>
                <w:sz w:val="16"/>
              </w:rPr>
              <w:t>10</w:t>
            </w:r>
            <w:r>
              <w:rPr>
                <w:spacing w:val="-4"/>
                <w:sz w:val="16"/>
              </w:rPr>
              <w:t xml:space="preserve"> </w:t>
            </w:r>
            <w:r>
              <w:rPr>
                <w:sz w:val="16"/>
              </w:rPr>
              <w:t>capital</w:t>
            </w:r>
            <w:r>
              <w:rPr>
                <w:spacing w:val="-4"/>
                <w:sz w:val="16"/>
              </w:rPr>
              <w:t xml:space="preserve"> </w:t>
            </w:r>
            <w:r>
              <w:rPr>
                <w:sz w:val="16"/>
              </w:rPr>
              <w:t>projects</w:t>
            </w:r>
            <w:r>
              <w:rPr>
                <w:spacing w:val="-6"/>
                <w:sz w:val="16"/>
              </w:rPr>
              <w:t xml:space="preserve"> </w:t>
            </w:r>
            <w:r>
              <w:rPr>
                <w:sz w:val="16"/>
              </w:rPr>
              <w:t>on</w:t>
            </w:r>
            <w:r>
              <w:rPr>
                <w:spacing w:val="-2"/>
                <w:sz w:val="16"/>
              </w:rPr>
              <w:t xml:space="preserve"> </w:t>
            </w:r>
            <w:r>
              <w:rPr>
                <w:sz w:val="16"/>
              </w:rPr>
              <w:t>time</w:t>
            </w:r>
            <w:r>
              <w:rPr>
                <w:spacing w:val="-4"/>
                <w:sz w:val="16"/>
              </w:rPr>
              <w:t xml:space="preserve"> </w:t>
            </w:r>
            <w:r>
              <w:rPr>
                <w:sz w:val="16"/>
              </w:rPr>
              <w:t>and</w:t>
            </w:r>
            <w:r>
              <w:rPr>
                <w:spacing w:val="-4"/>
                <w:sz w:val="16"/>
              </w:rPr>
              <w:t xml:space="preserve"> </w:t>
            </w:r>
            <w:r>
              <w:rPr>
                <w:sz w:val="16"/>
              </w:rPr>
              <w:t>budget</w:t>
            </w:r>
            <w:r>
              <w:rPr>
                <w:spacing w:val="-5"/>
                <w:sz w:val="16"/>
              </w:rPr>
              <w:t xml:space="preserve"> </w:t>
            </w:r>
            <w:r>
              <w:rPr>
                <w:sz w:val="16"/>
              </w:rPr>
              <w:t>(budget</w:t>
            </w:r>
            <w:r>
              <w:rPr>
                <w:spacing w:val="-3"/>
                <w:sz w:val="16"/>
              </w:rPr>
              <w:t xml:space="preserve"> </w:t>
            </w:r>
            <w:r>
              <w:rPr>
                <w:sz w:val="16"/>
              </w:rPr>
              <w:t>set</w:t>
            </w:r>
            <w:r>
              <w:rPr>
                <w:spacing w:val="-4"/>
                <w:sz w:val="16"/>
              </w:rPr>
              <w:t xml:space="preserve"> </w:t>
            </w:r>
            <w:r>
              <w:rPr>
                <w:spacing w:val="-5"/>
                <w:sz w:val="16"/>
              </w:rPr>
              <w:t>by</w:t>
            </w:r>
          </w:p>
          <w:p w14:paraId="585A0AE5" w14:textId="77777777" w:rsidR="00141B97" w:rsidRDefault="00911D63">
            <w:pPr>
              <w:pStyle w:val="TableParagraph"/>
              <w:spacing w:line="175" w:lineRule="exact"/>
              <w:ind w:left="14"/>
              <w:rPr>
                <w:sz w:val="16"/>
              </w:rPr>
            </w:pPr>
            <w:r>
              <w:rPr>
                <w:sz w:val="16"/>
              </w:rPr>
              <w:t>annual</w:t>
            </w:r>
            <w:r>
              <w:rPr>
                <w:spacing w:val="-6"/>
                <w:sz w:val="16"/>
              </w:rPr>
              <w:t xml:space="preserve"> </w:t>
            </w:r>
            <w:r>
              <w:rPr>
                <w:sz w:val="16"/>
              </w:rPr>
              <w:t>corporate</w:t>
            </w:r>
            <w:r>
              <w:rPr>
                <w:spacing w:val="-5"/>
                <w:sz w:val="16"/>
              </w:rPr>
              <w:t xml:space="preserve"> </w:t>
            </w:r>
            <w:r>
              <w:rPr>
                <w:sz w:val="16"/>
              </w:rPr>
              <w:t>plan,</w:t>
            </w:r>
            <w:r>
              <w:rPr>
                <w:spacing w:val="-5"/>
                <w:sz w:val="16"/>
              </w:rPr>
              <w:t xml:space="preserve"> </w:t>
            </w:r>
            <w:r>
              <w:rPr>
                <w:sz w:val="16"/>
              </w:rPr>
              <w:t>timing</w:t>
            </w:r>
            <w:r>
              <w:rPr>
                <w:spacing w:val="-5"/>
                <w:sz w:val="16"/>
              </w:rPr>
              <w:t xml:space="preserve"> </w:t>
            </w:r>
            <w:r>
              <w:rPr>
                <w:sz w:val="16"/>
              </w:rPr>
              <w:t>set</w:t>
            </w:r>
            <w:r>
              <w:rPr>
                <w:spacing w:val="-5"/>
                <w:sz w:val="16"/>
              </w:rPr>
              <w:t xml:space="preserve"> </w:t>
            </w:r>
            <w:r>
              <w:rPr>
                <w:sz w:val="16"/>
              </w:rPr>
              <w:t>by</w:t>
            </w:r>
            <w:r>
              <w:rPr>
                <w:spacing w:val="-4"/>
                <w:sz w:val="16"/>
              </w:rPr>
              <w:t xml:space="preserve"> </w:t>
            </w:r>
            <w:r>
              <w:rPr>
                <w:sz w:val="16"/>
              </w:rPr>
              <w:t>pricing</w:t>
            </w:r>
            <w:r>
              <w:rPr>
                <w:spacing w:val="-5"/>
                <w:sz w:val="16"/>
              </w:rPr>
              <w:t xml:space="preserve"> </w:t>
            </w:r>
            <w:r>
              <w:rPr>
                <w:spacing w:val="-2"/>
                <w:sz w:val="16"/>
              </w:rPr>
              <w:t>submission)</w:t>
            </w:r>
          </w:p>
        </w:tc>
        <w:tc>
          <w:tcPr>
            <w:tcW w:w="733" w:type="dxa"/>
            <w:shd w:val="clear" w:color="auto" w:fill="CCE2ED"/>
          </w:tcPr>
          <w:p w14:paraId="1160CBD6" w14:textId="77777777" w:rsidR="00141B97" w:rsidRDefault="00911D63">
            <w:pPr>
              <w:pStyle w:val="TableParagraph"/>
              <w:spacing w:before="98"/>
              <w:ind w:left="21"/>
              <w:rPr>
                <w:sz w:val="16"/>
              </w:rPr>
            </w:pPr>
            <w:r>
              <w:rPr>
                <w:spacing w:val="-5"/>
                <w:sz w:val="16"/>
              </w:rPr>
              <w:t>NA</w:t>
            </w:r>
          </w:p>
        </w:tc>
        <w:tc>
          <w:tcPr>
            <w:tcW w:w="3244" w:type="dxa"/>
            <w:gridSpan w:val="4"/>
            <w:shd w:val="clear" w:color="auto" w:fill="CCE2ED"/>
          </w:tcPr>
          <w:p w14:paraId="49787FA6" w14:textId="77777777" w:rsidR="00141B97" w:rsidRDefault="00911D63">
            <w:pPr>
              <w:pStyle w:val="TableParagraph"/>
              <w:spacing w:before="98"/>
              <w:ind w:left="305"/>
              <w:rPr>
                <w:sz w:val="16"/>
              </w:rPr>
            </w:pPr>
            <w:r>
              <w:rPr>
                <w:sz w:val="16"/>
              </w:rPr>
              <w:t>=/&gt;</w:t>
            </w:r>
            <w:r>
              <w:rPr>
                <w:spacing w:val="-7"/>
                <w:sz w:val="16"/>
              </w:rPr>
              <w:t xml:space="preserve"> </w:t>
            </w:r>
            <w:r>
              <w:rPr>
                <w:sz w:val="16"/>
              </w:rPr>
              <w:t>progress</w:t>
            </w:r>
            <w:r>
              <w:rPr>
                <w:spacing w:val="-7"/>
                <w:sz w:val="16"/>
              </w:rPr>
              <w:t xml:space="preserve"> </w:t>
            </w:r>
            <w:r>
              <w:rPr>
                <w:sz w:val="16"/>
              </w:rPr>
              <w:t>against</w:t>
            </w:r>
            <w:r>
              <w:rPr>
                <w:spacing w:val="-7"/>
                <w:sz w:val="16"/>
              </w:rPr>
              <w:t xml:space="preserve"> </w:t>
            </w:r>
            <w:r>
              <w:rPr>
                <w:sz w:val="16"/>
              </w:rPr>
              <w:t>capital</w:t>
            </w:r>
            <w:r>
              <w:rPr>
                <w:spacing w:val="-8"/>
                <w:sz w:val="16"/>
              </w:rPr>
              <w:t xml:space="preserve"> </w:t>
            </w:r>
            <w:r>
              <w:rPr>
                <w:sz w:val="16"/>
              </w:rPr>
              <w:t>delivery</w:t>
            </w:r>
            <w:r>
              <w:rPr>
                <w:spacing w:val="-6"/>
                <w:sz w:val="16"/>
              </w:rPr>
              <w:t xml:space="preserve"> </w:t>
            </w:r>
            <w:r>
              <w:rPr>
                <w:spacing w:val="-4"/>
                <w:sz w:val="16"/>
              </w:rPr>
              <w:t>plan</w:t>
            </w:r>
          </w:p>
        </w:tc>
        <w:tc>
          <w:tcPr>
            <w:tcW w:w="926" w:type="dxa"/>
            <w:shd w:val="clear" w:color="auto" w:fill="CCE2ED"/>
          </w:tcPr>
          <w:p w14:paraId="2EC5D1E8" w14:textId="77777777" w:rsidR="00141B97" w:rsidRDefault="00911D63">
            <w:pPr>
              <w:pStyle w:val="TableParagraph"/>
              <w:spacing w:line="195" w:lineRule="exact"/>
              <w:ind w:left="284"/>
              <w:rPr>
                <w:sz w:val="16"/>
              </w:rPr>
            </w:pPr>
            <w:r>
              <w:rPr>
                <w:spacing w:val="-4"/>
                <w:sz w:val="16"/>
              </w:rPr>
              <w:t>100%</w:t>
            </w:r>
          </w:p>
          <w:p w14:paraId="76127982" w14:textId="77777777" w:rsidR="00141B97" w:rsidRDefault="00911D63">
            <w:pPr>
              <w:pStyle w:val="TableParagraph"/>
              <w:spacing w:line="175" w:lineRule="exact"/>
              <w:ind w:left="209"/>
              <w:rPr>
                <w:sz w:val="16"/>
              </w:rPr>
            </w:pPr>
            <w:r>
              <w:rPr>
                <w:spacing w:val="-2"/>
                <w:sz w:val="16"/>
              </w:rPr>
              <w:t>delivery</w:t>
            </w:r>
          </w:p>
        </w:tc>
      </w:tr>
      <w:tr w:rsidR="00141B97" w14:paraId="38BC6B6D" w14:textId="77777777">
        <w:trPr>
          <w:trHeight w:val="195"/>
          <w:tblCellSpacing w:w="7" w:type="dxa"/>
        </w:trPr>
        <w:tc>
          <w:tcPr>
            <w:tcW w:w="9744" w:type="dxa"/>
            <w:gridSpan w:val="7"/>
            <w:shd w:val="clear" w:color="auto" w:fill="BFBFBF"/>
          </w:tcPr>
          <w:p w14:paraId="679776FB" w14:textId="77777777" w:rsidR="00141B97" w:rsidRDefault="00911D63">
            <w:pPr>
              <w:pStyle w:val="TableParagraph"/>
              <w:spacing w:line="175" w:lineRule="exact"/>
              <w:ind w:left="57"/>
              <w:rPr>
                <w:sz w:val="16"/>
              </w:rPr>
            </w:pPr>
            <w:r>
              <w:rPr>
                <w:sz w:val="16"/>
              </w:rPr>
              <w:t>Outcome</w:t>
            </w:r>
            <w:r>
              <w:rPr>
                <w:spacing w:val="-5"/>
                <w:sz w:val="16"/>
              </w:rPr>
              <w:t xml:space="preserve"> </w:t>
            </w:r>
            <w:r>
              <w:rPr>
                <w:sz w:val="16"/>
              </w:rPr>
              <w:t>2:</w:t>
            </w:r>
            <w:r>
              <w:rPr>
                <w:spacing w:val="-4"/>
                <w:sz w:val="16"/>
              </w:rPr>
              <w:t xml:space="preserve"> </w:t>
            </w:r>
            <w:r>
              <w:rPr>
                <w:sz w:val="16"/>
              </w:rPr>
              <w:t>Provide</w:t>
            </w:r>
            <w:r>
              <w:rPr>
                <w:spacing w:val="-5"/>
                <w:sz w:val="16"/>
              </w:rPr>
              <w:t xml:space="preserve"> </w:t>
            </w:r>
            <w:r>
              <w:rPr>
                <w:sz w:val="16"/>
              </w:rPr>
              <w:t>customers</w:t>
            </w:r>
            <w:r>
              <w:rPr>
                <w:spacing w:val="-5"/>
                <w:sz w:val="16"/>
              </w:rPr>
              <w:t xml:space="preserve"> </w:t>
            </w:r>
            <w:r>
              <w:rPr>
                <w:sz w:val="16"/>
              </w:rPr>
              <w:t>with</w:t>
            </w:r>
            <w:r>
              <w:rPr>
                <w:spacing w:val="-6"/>
                <w:sz w:val="16"/>
              </w:rPr>
              <w:t xml:space="preserve"> </w:t>
            </w:r>
            <w:r>
              <w:rPr>
                <w:sz w:val="16"/>
              </w:rPr>
              <w:t>water</w:t>
            </w:r>
            <w:r>
              <w:rPr>
                <w:spacing w:val="-5"/>
                <w:sz w:val="16"/>
              </w:rPr>
              <w:t xml:space="preserve"> </w:t>
            </w:r>
            <w:r>
              <w:rPr>
                <w:sz w:val="16"/>
              </w:rPr>
              <w:t>when</w:t>
            </w:r>
            <w:r>
              <w:rPr>
                <w:spacing w:val="-6"/>
                <w:sz w:val="16"/>
              </w:rPr>
              <w:t xml:space="preserve"> </w:t>
            </w:r>
            <w:r>
              <w:rPr>
                <w:sz w:val="16"/>
              </w:rPr>
              <w:t>they</w:t>
            </w:r>
            <w:r>
              <w:rPr>
                <w:spacing w:val="-4"/>
                <w:sz w:val="16"/>
              </w:rPr>
              <w:t xml:space="preserve"> </w:t>
            </w:r>
            <w:r>
              <w:rPr>
                <w:sz w:val="16"/>
              </w:rPr>
              <w:t>need</w:t>
            </w:r>
            <w:r>
              <w:rPr>
                <w:spacing w:val="-5"/>
                <w:sz w:val="16"/>
              </w:rPr>
              <w:t xml:space="preserve"> it</w:t>
            </w:r>
          </w:p>
        </w:tc>
      </w:tr>
      <w:tr w:rsidR="00141B97" w14:paraId="29E6ADED" w14:textId="77777777">
        <w:trPr>
          <w:trHeight w:val="295"/>
          <w:tblCellSpacing w:w="7" w:type="dxa"/>
        </w:trPr>
        <w:tc>
          <w:tcPr>
            <w:tcW w:w="4841" w:type="dxa"/>
            <w:shd w:val="clear" w:color="auto" w:fill="CCE2ED"/>
          </w:tcPr>
          <w:p w14:paraId="2F72122F" w14:textId="77777777" w:rsidR="00141B97" w:rsidRDefault="00911D63">
            <w:pPr>
              <w:pStyle w:val="TableParagraph"/>
              <w:spacing w:before="1"/>
              <w:ind w:left="14"/>
              <w:rPr>
                <w:sz w:val="16"/>
              </w:rPr>
            </w:pPr>
            <w:r>
              <w:rPr>
                <w:sz w:val="16"/>
              </w:rPr>
              <w:t>Deliver</w:t>
            </w:r>
            <w:r>
              <w:rPr>
                <w:spacing w:val="-5"/>
                <w:sz w:val="16"/>
              </w:rPr>
              <w:t xml:space="preserve"> </w:t>
            </w:r>
            <w:r>
              <w:rPr>
                <w:sz w:val="16"/>
              </w:rPr>
              <w:t>water</w:t>
            </w:r>
            <w:r>
              <w:rPr>
                <w:spacing w:val="-5"/>
                <w:sz w:val="16"/>
              </w:rPr>
              <w:t xml:space="preserve"> </w:t>
            </w:r>
            <w:r>
              <w:rPr>
                <w:sz w:val="16"/>
              </w:rPr>
              <w:t>orders</w:t>
            </w:r>
            <w:r>
              <w:rPr>
                <w:spacing w:val="-4"/>
                <w:sz w:val="16"/>
              </w:rPr>
              <w:t xml:space="preserve"> </w:t>
            </w:r>
            <w:r>
              <w:rPr>
                <w:sz w:val="16"/>
              </w:rPr>
              <w:t>on</w:t>
            </w:r>
            <w:r>
              <w:rPr>
                <w:spacing w:val="-3"/>
                <w:sz w:val="16"/>
              </w:rPr>
              <w:t xml:space="preserve"> </w:t>
            </w:r>
            <w:r>
              <w:rPr>
                <w:sz w:val="16"/>
              </w:rPr>
              <w:t>time</w:t>
            </w:r>
            <w:r>
              <w:rPr>
                <w:spacing w:val="-3"/>
                <w:sz w:val="16"/>
              </w:rPr>
              <w:t xml:space="preserve"> </w:t>
            </w:r>
            <w:r>
              <w:rPr>
                <w:sz w:val="16"/>
              </w:rPr>
              <w:t>–</w:t>
            </w:r>
            <w:r>
              <w:rPr>
                <w:spacing w:val="-5"/>
                <w:sz w:val="16"/>
              </w:rPr>
              <w:t xml:space="preserve"> </w:t>
            </w:r>
            <w:r>
              <w:rPr>
                <w:sz w:val="16"/>
              </w:rPr>
              <w:t>Target</w:t>
            </w:r>
            <w:r>
              <w:rPr>
                <w:spacing w:val="-3"/>
                <w:sz w:val="16"/>
              </w:rPr>
              <w:t xml:space="preserve"> </w:t>
            </w:r>
            <w:r>
              <w:rPr>
                <w:sz w:val="16"/>
              </w:rPr>
              <w:t>=</w:t>
            </w:r>
            <w:r>
              <w:rPr>
                <w:spacing w:val="-5"/>
                <w:sz w:val="16"/>
              </w:rPr>
              <w:t xml:space="preserve"> </w:t>
            </w:r>
            <w:r>
              <w:rPr>
                <w:sz w:val="16"/>
              </w:rPr>
              <w:t>98%</w:t>
            </w:r>
            <w:r>
              <w:rPr>
                <w:spacing w:val="-4"/>
                <w:sz w:val="16"/>
              </w:rPr>
              <w:t xml:space="preserve"> </w:t>
            </w:r>
            <w:r>
              <w:rPr>
                <w:sz w:val="16"/>
              </w:rPr>
              <w:t>or</w:t>
            </w:r>
            <w:r>
              <w:rPr>
                <w:spacing w:val="-3"/>
                <w:sz w:val="16"/>
              </w:rPr>
              <w:t xml:space="preserve"> </w:t>
            </w:r>
            <w:r>
              <w:rPr>
                <w:spacing w:val="-4"/>
                <w:sz w:val="16"/>
              </w:rPr>
              <w:t>more</w:t>
            </w:r>
          </w:p>
        </w:tc>
        <w:tc>
          <w:tcPr>
            <w:tcW w:w="733" w:type="dxa"/>
            <w:shd w:val="clear" w:color="auto" w:fill="CCE2ED"/>
          </w:tcPr>
          <w:p w14:paraId="463069E5" w14:textId="77777777" w:rsidR="00141B97" w:rsidRDefault="00911D63">
            <w:pPr>
              <w:pStyle w:val="TableParagraph"/>
              <w:spacing w:before="50"/>
              <w:ind w:left="21"/>
              <w:rPr>
                <w:sz w:val="16"/>
              </w:rPr>
            </w:pPr>
            <w:r>
              <w:rPr>
                <w:spacing w:val="-2"/>
                <w:sz w:val="16"/>
              </w:rPr>
              <w:t>99.8%</w:t>
            </w:r>
          </w:p>
        </w:tc>
        <w:tc>
          <w:tcPr>
            <w:tcW w:w="4170" w:type="dxa"/>
            <w:gridSpan w:val="5"/>
            <w:shd w:val="clear" w:color="auto" w:fill="CCE2ED"/>
          </w:tcPr>
          <w:p w14:paraId="4A5B4158" w14:textId="77777777" w:rsidR="00141B97" w:rsidRDefault="00911D63">
            <w:pPr>
              <w:pStyle w:val="TableParagraph"/>
              <w:spacing w:before="50"/>
              <w:ind w:left="1811" w:right="1801"/>
              <w:jc w:val="center"/>
              <w:rPr>
                <w:sz w:val="16"/>
              </w:rPr>
            </w:pPr>
            <w:r>
              <w:rPr>
                <w:spacing w:val="-2"/>
                <w:sz w:val="16"/>
              </w:rPr>
              <w:t>=/&gt;98%</w:t>
            </w:r>
          </w:p>
        </w:tc>
      </w:tr>
      <w:tr w:rsidR="00141B97" w14:paraId="04E972C6" w14:textId="77777777">
        <w:trPr>
          <w:trHeight w:val="490"/>
          <w:tblCellSpacing w:w="7" w:type="dxa"/>
        </w:trPr>
        <w:tc>
          <w:tcPr>
            <w:tcW w:w="4841" w:type="dxa"/>
            <w:shd w:val="clear" w:color="auto" w:fill="CCE2ED"/>
          </w:tcPr>
          <w:p w14:paraId="11AB3897" w14:textId="77777777" w:rsidR="00141B97" w:rsidRDefault="00911D63">
            <w:pPr>
              <w:pStyle w:val="TableParagraph"/>
              <w:ind w:left="14"/>
              <w:rPr>
                <w:sz w:val="16"/>
              </w:rPr>
            </w:pPr>
            <w:r>
              <w:rPr>
                <w:sz w:val="16"/>
              </w:rPr>
              <w:t>Provide</w:t>
            </w:r>
            <w:r>
              <w:rPr>
                <w:spacing w:val="-3"/>
                <w:sz w:val="16"/>
              </w:rPr>
              <w:t xml:space="preserve"> </w:t>
            </w:r>
            <w:r>
              <w:rPr>
                <w:sz w:val="16"/>
              </w:rPr>
              <w:t>report</w:t>
            </w:r>
            <w:r>
              <w:rPr>
                <w:spacing w:val="-4"/>
                <w:sz w:val="16"/>
              </w:rPr>
              <w:t xml:space="preserve"> </w:t>
            </w:r>
            <w:r>
              <w:rPr>
                <w:sz w:val="16"/>
              </w:rPr>
              <w:t>to</w:t>
            </w:r>
            <w:r>
              <w:rPr>
                <w:spacing w:val="-3"/>
                <w:sz w:val="16"/>
              </w:rPr>
              <w:t xml:space="preserve"> </w:t>
            </w:r>
            <w:r>
              <w:rPr>
                <w:sz w:val="16"/>
              </w:rPr>
              <w:t>customer</w:t>
            </w:r>
            <w:r>
              <w:rPr>
                <w:spacing w:val="-3"/>
                <w:sz w:val="16"/>
              </w:rPr>
              <w:t xml:space="preserve"> </w:t>
            </w:r>
            <w:r>
              <w:rPr>
                <w:sz w:val="16"/>
              </w:rPr>
              <w:t>committees</w:t>
            </w:r>
            <w:r>
              <w:rPr>
                <w:spacing w:val="-4"/>
                <w:sz w:val="16"/>
              </w:rPr>
              <w:t xml:space="preserve"> </w:t>
            </w:r>
            <w:r>
              <w:rPr>
                <w:sz w:val="16"/>
              </w:rPr>
              <w:t>annually</w:t>
            </w:r>
            <w:r>
              <w:rPr>
                <w:spacing w:val="-4"/>
                <w:sz w:val="16"/>
              </w:rPr>
              <w:t xml:space="preserve"> </w:t>
            </w:r>
            <w:r>
              <w:rPr>
                <w:sz w:val="16"/>
              </w:rPr>
              <w:t>re:</w:t>
            </w:r>
            <w:r>
              <w:rPr>
                <w:spacing w:val="-4"/>
                <w:sz w:val="16"/>
              </w:rPr>
              <w:t xml:space="preserve"> </w:t>
            </w:r>
            <w:r>
              <w:rPr>
                <w:sz w:val="16"/>
              </w:rPr>
              <w:t>service</w:t>
            </w:r>
            <w:r>
              <w:rPr>
                <w:spacing w:val="-4"/>
                <w:sz w:val="16"/>
              </w:rPr>
              <w:t xml:space="preserve"> </w:t>
            </w:r>
            <w:r>
              <w:rPr>
                <w:sz w:val="16"/>
              </w:rPr>
              <w:t>request</w:t>
            </w:r>
            <w:r>
              <w:rPr>
                <w:spacing w:val="-3"/>
                <w:sz w:val="16"/>
              </w:rPr>
              <w:t xml:space="preserve"> </w:t>
            </w:r>
            <w:r>
              <w:rPr>
                <w:sz w:val="16"/>
              </w:rPr>
              <w:t>vs.</w:t>
            </w:r>
            <w:r>
              <w:rPr>
                <w:spacing w:val="40"/>
                <w:sz w:val="16"/>
              </w:rPr>
              <w:t xml:space="preserve"> </w:t>
            </w:r>
            <w:r>
              <w:rPr>
                <w:sz w:val="16"/>
              </w:rPr>
              <w:t>service provision (Water Now) – Target = 1</w:t>
            </w:r>
          </w:p>
        </w:tc>
        <w:tc>
          <w:tcPr>
            <w:tcW w:w="733" w:type="dxa"/>
            <w:shd w:val="clear" w:color="auto" w:fill="CCE2ED"/>
          </w:tcPr>
          <w:p w14:paraId="70A6A403" w14:textId="77777777" w:rsidR="00141B97" w:rsidRDefault="00141B97">
            <w:pPr>
              <w:pStyle w:val="TableParagraph"/>
              <w:rPr>
                <w:sz w:val="12"/>
              </w:rPr>
            </w:pPr>
          </w:p>
          <w:p w14:paraId="43EEF8E8" w14:textId="77777777" w:rsidR="00141B97" w:rsidRDefault="00911D63">
            <w:pPr>
              <w:pStyle w:val="TableParagraph"/>
              <w:spacing w:before="1"/>
              <w:ind w:left="21"/>
              <w:rPr>
                <w:sz w:val="16"/>
              </w:rPr>
            </w:pPr>
            <w:r>
              <w:rPr>
                <w:spacing w:val="-5"/>
                <w:sz w:val="16"/>
              </w:rPr>
              <w:t>NA</w:t>
            </w:r>
          </w:p>
        </w:tc>
        <w:tc>
          <w:tcPr>
            <w:tcW w:w="914" w:type="dxa"/>
            <w:shd w:val="clear" w:color="auto" w:fill="CCE2ED"/>
          </w:tcPr>
          <w:p w14:paraId="41CFB2D3" w14:textId="77777777" w:rsidR="00141B97" w:rsidRDefault="00141B97">
            <w:pPr>
              <w:pStyle w:val="TableParagraph"/>
              <w:rPr>
                <w:sz w:val="12"/>
              </w:rPr>
            </w:pPr>
          </w:p>
          <w:p w14:paraId="580C1A9F" w14:textId="77777777" w:rsidR="00141B97" w:rsidRDefault="00911D63">
            <w:pPr>
              <w:pStyle w:val="TableParagraph"/>
              <w:spacing w:before="1"/>
              <w:ind w:left="306" w:right="306"/>
              <w:jc w:val="center"/>
              <w:rPr>
                <w:sz w:val="16"/>
              </w:rPr>
            </w:pPr>
            <w:r>
              <w:rPr>
                <w:spacing w:val="-5"/>
                <w:sz w:val="16"/>
              </w:rPr>
              <w:t>NA</w:t>
            </w:r>
          </w:p>
        </w:tc>
        <w:tc>
          <w:tcPr>
            <w:tcW w:w="3256" w:type="dxa"/>
            <w:gridSpan w:val="4"/>
            <w:shd w:val="clear" w:color="auto" w:fill="CCE2ED"/>
          </w:tcPr>
          <w:p w14:paraId="63663B06" w14:textId="77777777" w:rsidR="00141B97" w:rsidRDefault="00141B97">
            <w:pPr>
              <w:pStyle w:val="TableParagraph"/>
              <w:rPr>
                <w:sz w:val="12"/>
              </w:rPr>
            </w:pPr>
          </w:p>
          <w:p w14:paraId="63F33948" w14:textId="77777777" w:rsidR="00141B97" w:rsidRDefault="00911D63">
            <w:pPr>
              <w:pStyle w:val="TableParagraph"/>
              <w:spacing w:before="1"/>
              <w:ind w:left="10"/>
              <w:jc w:val="center"/>
              <w:rPr>
                <w:sz w:val="16"/>
              </w:rPr>
            </w:pPr>
            <w:r>
              <w:rPr>
                <w:w w:val="99"/>
                <w:sz w:val="16"/>
              </w:rPr>
              <w:t>1</w:t>
            </w:r>
          </w:p>
        </w:tc>
      </w:tr>
      <w:tr w:rsidR="00141B97" w14:paraId="7C418CD0" w14:textId="77777777">
        <w:trPr>
          <w:trHeight w:val="390"/>
          <w:tblCellSpacing w:w="7" w:type="dxa"/>
        </w:trPr>
        <w:tc>
          <w:tcPr>
            <w:tcW w:w="4841" w:type="dxa"/>
            <w:shd w:val="clear" w:color="auto" w:fill="CCE2ED"/>
          </w:tcPr>
          <w:p w14:paraId="0AE4D3D3" w14:textId="77777777" w:rsidR="00141B97" w:rsidRDefault="00911D63">
            <w:pPr>
              <w:pStyle w:val="TableParagraph"/>
              <w:spacing w:before="1" w:line="195" w:lineRule="exact"/>
              <w:ind w:left="14"/>
              <w:rPr>
                <w:sz w:val="16"/>
              </w:rPr>
            </w:pPr>
            <w:r>
              <w:rPr>
                <w:sz w:val="16"/>
              </w:rPr>
              <w:t>Maintain</w:t>
            </w:r>
            <w:r>
              <w:rPr>
                <w:spacing w:val="-5"/>
                <w:sz w:val="16"/>
              </w:rPr>
              <w:t xml:space="preserve"> </w:t>
            </w:r>
            <w:r>
              <w:rPr>
                <w:sz w:val="16"/>
              </w:rPr>
              <w:t>or</w:t>
            </w:r>
            <w:r>
              <w:rPr>
                <w:spacing w:val="-4"/>
                <w:sz w:val="16"/>
              </w:rPr>
              <w:t xml:space="preserve"> </w:t>
            </w:r>
            <w:r>
              <w:rPr>
                <w:sz w:val="16"/>
              </w:rPr>
              <w:t>improve</w:t>
            </w:r>
            <w:r>
              <w:rPr>
                <w:spacing w:val="-6"/>
                <w:sz w:val="16"/>
              </w:rPr>
              <w:t xml:space="preserve"> </w:t>
            </w:r>
            <w:r>
              <w:rPr>
                <w:sz w:val="16"/>
              </w:rPr>
              <w:t>system</w:t>
            </w:r>
            <w:r>
              <w:rPr>
                <w:spacing w:val="-5"/>
                <w:sz w:val="16"/>
              </w:rPr>
              <w:t xml:space="preserve"> </w:t>
            </w:r>
            <w:r>
              <w:rPr>
                <w:sz w:val="16"/>
              </w:rPr>
              <w:t>reliability</w:t>
            </w:r>
            <w:r>
              <w:rPr>
                <w:spacing w:val="-5"/>
                <w:sz w:val="16"/>
              </w:rPr>
              <w:t xml:space="preserve"> </w:t>
            </w:r>
            <w:r>
              <w:rPr>
                <w:sz w:val="16"/>
              </w:rPr>
              <w:t>–</w:t>
            </w:r>
            <w:r>
              <w:rPr>
                <w:spacing w:val="-6"/>
                <w:sz w:val="16"/>
              </w:rPr>
              <w:t xml:space="preserve"> </w:t>
            </w:r>
            <w:r>
              <w:rPr>
                <w:sz w:val="16"/>
              </w:rPr>
              <w:t>Target</w:t>
            </w:r>
            <w:r>
              <w:rPr>
                <w:spacing w:val="-5"/>
                <w:sz w:val="16"/>
              </w:rPr>
              <w:t xml:space="preserve"> </w:t>
            </w:r>
            <w:r>
              <w:rPr>
                <w:sz w:val="16"/>
              </w:rPr>
              <w:t>=</w:t>
            </w:r>
            <w:r>
              <w:rPr>
                <w:spacing w:val="-4"/>
                <w:sz w:val="16"/>
              </w:rPr>
              <w:t xml:space="preserve"> </w:t>
            </w:r>
            <w:r>
              <w:rPr>
                <w:sz w:val="16"/>
              </w:rPr>
              <w:t>year</w:t>
            </w:r>
            <w:r>
              <w:rPr>
                <w:spacing w:val="-6"/>
                <w:sz w:val="16"/>
              </w:rPr>
              <w:t xml:space="preserve"> </w:t>
            </w:r>
            <w:r>
              <w:rPr>
                <w:sz w:val="16"/>
              </w:rPr>
              <w:t>on</w:t>
            </w:r>
            <w:r>
              <w:rPr>
                <w:spacing w:val="-6"/>
                <w:sz w:val="16"/>
              </w:rPr>
              <w:t xml:space="preserve"> </w:t>
            </w:r>
            <w:r>
              <w:rPr>
                <w:sz w:val="16"/>
              </w:rPr>
              <w:t>year</w:t>
            </w:r>
            <w:r>
              <w:rPr>
                <w:spacing w:val="-5"/>
                <w:sz w:val="16"/>
              </w:rPr>
              <w:t xml:space="preserve"> </w:t>
            </w:r>
            <w:r>
              <w:rPr>
                <w:spacing w:val="-2"/>
                <w:sz w:val="16"/>
              </w:rPr>
              <w:t>unplanned</w:t>
            </w:r>
          </w:p>
          <w:p w14:paraId="079EFA7B" w14:textId="77777777" w:rsidR="00141B97" w:rsidRDefault="00911D63">
            <w:pPr>
              <w:pStyle w:val="TableParagraph"/>
              <w:spacing w:line="175" w:lineRule="exact"/>
              <w:ind w:left="14"/>
              <w:rPr>
                <w:sz w:val="16"/>
              </w:rPr>
            </w:pPr>
            <w:r>
              <w:rPr>
                <w:sz w:val="16"/>
              </w:rPr>
              <w:t>outages</w:t>
            </w:r>
            <w:r>
              <w:rPr>
                <w:spacing w:val="-6"/>
                <w:sz w:val="16"/>
              </w:rPr>
              <w:t xml:space="preserve"> </w:t>
            </w:r>
            <w:r>
              <w:rPr>
                <w:sz w:val="16"/>
              </w:rPr>
              <w:t>time</w:t>
            </w:r>
            <w:r>
              <w:rPr>
                <w:spacing w:val="-4"/>
                <w:sz w:val="16"/>
              </w:rPr>
              <w:t xml:space="preserve"> </w:t>
            </w:r>
            <w:r>
              <w:rPr>
                <w:sz w:val="16"/>
              </w:rPr>
              <w:t>=/&lt;</w:t>
            </w:r>
            <w:r>
              <w:rPr>
                <w:spacing w:val="-5"/>
                <w:sz w:val="16"/>
              </w:rPr>
              <w:t xml:space="preserve"> </w:t>
            </w:r>
            <w:r>
              <w:rPr>
                <w:sz w:val="16"/>
              </w:rPr>
              <w:t>prior</w:t>
            </w:r>
            <w:r>
              <w:rPr>
                <w:spacing w:val="-5"/>
                <w:sz w:val="16"/>
              </w:rPr>
              <w:t xml:space="preserve"> </w:t>
            </w:r>
            <w:r>
              <w:rPr>
                <w:sz w:val="16"/>
              </w:rPr>
              <w:t>year</w:t>
            </w:r>
            <w:r>
              <w:rPr>
                <w:spacing w:val="-6"/>
                <w:sz w:val="16"/>
              </w:rPr>
              <w:t xml:space="preserve"> </w:t>
            </w:r>
            <w:r>
              <w:rPr>
                <w:spacing w:val="-2"/>
                <w:sz w:val="16"/>
              </w:rPr>
              <w:t>performance</w:t>
            </w:r>
          </w:p>
        </w:tc>
        <w:tc>
          <w:tcPr>
            <w:tcW w:w="733" w:type="dxa"/>
            <w:shd w:val="clear" w:color="auto" w:fill="CCE2ED"/>
          </w:tcPr>
          <w:p w14:paraId="78FBF654" w14:textId="77777777" w:rsidR="00141B97" w:rsidRDefault="00911D63">
            <w:pPr>
              <w:pStyle w:val="TableParagraph"/>
              <w:spacing w:before="1" w:line="195" w:lineRule="exact"/>
              <w:ind w:left="21"/>
              <w:rPr>
                <w:sz w:val="16"/>
              </w:rPr>
            </w:pPr>
            <w:r>
              <w:rPr>
                <w:spacing w:val="-2"/>
                <w:sz w:val="16"/>
              </w:rPr>
              <w:t>2022/23</w:t>
            </w:r>
          </w:p>
          <w:p w14:paraId="7525F6D0" w14:textId="77777777" w:rsidR="00141B97" w:rsidRDefault="00911D63">
            <w:pPr>
              <w:pStyle w:val="TableParagraph"/>
              <w:spacing w:line="175" w:lineRule="exact"/>
              <w:ind w:left="21"/>
              <w:rPr>
                <w:sz w:val="16"/>
              </w:rPr>
            </w:pPr>
            <w:r>
              <w:rPr>
                <w:spacing w:val="-2"/>
                <w:sz w:val="16"/>
              </w:rPr>
              <w:t>actual</w:t>
            </w:r>
          </w:p>
        </w:tc>
        <w:tc>
          <w:tcPr>
            <w:tcW w:w="914" w:type="dxa"/>
            <w:shd w:val="clear" w:color="auto" w:fill="CCE2ED"/>
          </w:tcPr>
          <w:p w14:paraId="4C7A84F8" w14:textId="77777777" w:rsidR="00141B97" w:rsidRDefault="00911D63">
            <w:pPr>
              <w:pStyle w:val="TableParagraph"/>
              <w:spacing w:before="98"/>
              <w:ind w:left="21"/>
              <w:rPr>
                <w:sz w:val="16"/>
              </w:rPr>
            </w:pPr>
            <w:r>
              <w:rPr>
                <w:spacing w:val="-2"/>
                <w:sz w:val="16"/>
              </w:rPr>
              <w:t>=/&gt;22/23</w:t>
            </w:r>
          </w:p>
        </w:tc>
        <w:tc>
          <w:tcPr>
            <w:tcW w:w="778" w:type="dxa"/>
            <w:shd w:val="clear" w:color="auto" w:fill="CCE2ED"/>
          </w:tcPr>
          <w:p w14:paraId="134BFE3B" w14:textId="77777777" w:rsidR="00141B97" w:rsidRDefault="00911D63">
            <w:pPr>
              <w:pStyle w:val="TableParagraph"/>
              <w:spacing w:before="98"/>
              <w:ind w:left="21"/>
              <w:rPr>
                <w:sz w:val="16"/>
              </w:rPr>
            </w:pPr>
            <w:r>
              <w:rPr>
                <w:spacing w:val="-2"/>
                <w:sz w:val="16"/>
              </w:rPr>
              <w:t>=/&gt;23/24</w:t>
            </w:r>
          </w:p>
        </w:tc>
        <w:tc>
          <w:tcPr>
            <w:tcW w:w="774" w:type="dxa"/>
            <w:shd w:val="clear" w:color="auto" w:fill="CCE2ED"/>
          </w:tcPr>
          <w:p w14:paraId="6564D2A1" w14:textId="77777777" w:rsidR="00141B97" w:rsidRDefault="00911D63">
            <w:pPr>
              <w:pStyle w:val="TableParagraph"/>
              <w:spacing w:before="98"/>
              <w:ind w:right="134"/>
              <w:jc w:val="right"/>
              <w:rPr>
                <w:sz w:val="16"/>
              </w:rPr>
            </w:pPr>
            <w:r>
              <w:rPr>
                <w:spacing w:val="-2"/>
                <w:sz w:val="16"/>
              </w:rPr>
              <w:t>=/&gt;24/25</w:t>
            </w:r>
          </w:p>
        </w:tc>
        <w:tc>
          <w:tcPr>
            <w:tcW w:w="778" w:type="dxa"/>
            <w:shd w:val="clear" w:color="auto" w:fill="CCE2ED"/>
          </w:tcPr>
          <w:p w14:paraId="67F16957" w14:textId="77777777" w:rsidR="00141B97" w:rsidRDefault="00911D63">
            <w:pPr>
              <w:pStyle w:val="TableParagraph"/>
              <w:spacing w:before="98"/>
              <w:ind w:left="23"/>
              <w:rPr>
                <w:sz w:val="16"/>
              </w:rPr>
            </w:pPr>
            <w:r>
              <w:rPr>
                <w:spacing w:val="-2"/>
                <w:sz w:val="16"/>
              </w:rPr>
              <w:t>=/&gt;25/26</w:t>
            </w:r>
          </w:p>
        </w:tc>
        <w:tc>
          <w:tcPr>
            <w:tcW w:w="926" w:type="dxa"/>
            <w:shd w:val="clear" w:color="auto" w:fill="CCE2ED"/>
          </w:tcPr>
          <w:p w14:paraId="33631C4D" w14:textId="77777777" w:rsidR="00141B97" w:rsidRDefault="00911D63">
            <w:pPr>
              <w:pStyle w:val="TableParagraph"/>
              <w:spacing w:before="98"/>
              <w:ind w:left="24"/>
              <w:rPr>
                <w:sz w:val="16"/>
              </w:rPr>
            </w:pPr>
            <w:r>
              <w:rPr>
                <w:spacing w:val="-2"/>
                <w:sz w:val="16"/>
              </w:rPr>
              <w:t>=/&gt;26/27</w:t>
            </w:r>
          </w:p>
        </w:tc>
      </w:tr>
      <w:tr w:rsidR="00141B97" w14:paraId="6DAA7BB5" w14:textId="77777777">
        <w:trPr>
          <w:trHeight w:val="196"/>
          <w:tblCellSpacing w:w="7" w:type="dxa"/>
        </w:trPr>
        <w:tc>
          <w:tcPr>
            <w:tcW w:w="9744" w:type="dxa"/>
            <w:gridSpan w:val="7"/>
            <w:shd w:val="clear" w:color="auto" w:fill="BFBFBF"/>
          </w:tcPr>
          <w:p w14:paraId="79C3F567" w14:textId="77777777" w:rsidR="00141B97" w:rsidRDefault="00911D63">
            <w:pPr>
              <w:pStyle w:val="TableParagraph"/>
              <w:spacing w:before="1" w:line="175" w:lineRule="exact"/>
              <w:ind w:left="21"/>
              <w:rPr>
                <w:sz w:val="16"/>
              </w:rPr>
            </w:pPr>
            <w:r>
              <w:rPr>
                <w:sz w:val="16"/>
              </w:rPr>
              <w:t>Outcome</w:t>
            </w:r>
            <w:r>
              <w:rPr>
                <w:spacing w:val="-5"/>
                <w:sz w:val="16"/>
              </w:rPr>
              <w:t xml:space="preserve"> </w:t>
            </w:r>
            <w:r>
              <w:rPr>
                <w:sz w:val="16"/>
              </w:rPr>
              <w:t>3:</w:t>
            </w:r>
            <w:r>
              <w:rPr>
                <w:spacing w:val="-6"/>
                <w:sz w:val="16"/>
              </w:rPr>
              <w:t xml:space="preserve"> </w:t>
            </w:r>
            <w:r>
              <w:rPr>
                <w:sz w:val="16"/>
              </w:rPr>
              <w:t>Provide</w:t>
            </w:r>
            <w:r>
              <w:rPr>
                <w:spacing w:val="-6"/>
                <w:sz w:val="16"/>
              </w:rPr>
              <w:t xml:space="preserve"> </w:t>
            </w:r>
            <w:r>
              <w:rPr>
                <w:sz w:val="16"/>
              </w:rPr>
              <w:t>customer</w:t>
            </w:r>
            <w:r>
              <w:rPr>
                <w:spacing w:val="-4"/>
                <w:sz w:val="16"/>
              </w:rPr>
              <w:t xml:space="preserve"> </w:t>
            </w:r>
            <w:r>
              <w:rPr>
                <w:sz w:val="16"/>
              </w:rPr>
              <w:t>service</w:t>
            </w:r>
            <w:r>
              <w:rPr>
                <w:spacing w:val="-6"/>
                <w:sz w:val="16"/>
              </w:rPr>
              <w:t xml:space="preserve"> </w:t>
            </w:r>
            <w:r>
              <w:rPr>
                <w:sz w:val="16"/>
              </w:rPr>
              <w:t>channels</w:t>
            </w:r>
            <w:r>
              <w:rPr>
                <w:spacing w:val="-6"/>
                <w:sz w:val="16"/>
              </w:rPr>
              <w:t xml:space="preserve"> </w:t>
            </w:r>
            <w:r>
              <w:rPr>
                <w:sz w:val="16"/>
              </w:rPr>
              <w:t>that</w:t>
            </w:r>
            <w:r>
              <w:rPr>
                <w:spacing w:val="-7"/>
                <w:sz w:val="16"/>
              </w:rPr>
              <w:t xml:space="preserve"> </w:t>
            </w:r>
            <w:r>
              <w:rPr>
                <w:sz w:val="16"/>
              </w:rPr>
              <w:t>are</w:t>
            </w:r>
            <w:r>
              <w:rPr>
                <w:spacing w:val="-5"/>
                <w:sz w:val="16"/>
              </w:rPr>
              <w:t xml:space="preserve"> </w:t>
            </w:r>
            <w:r>
              <w:rPr>
                <w:sz w:val="16"/>
              </w:rPr>
              <w:t>responsive</w:t>
            </w:r>
            <w:r>
              <w:rPr>
                <w:spacing w:val="-5"/>
                <w:sz w:val="16"/>
              </w:rPr>
              <w:t xml:space="preserve"> </w:t>
            </w:r>
            <w:r>
              <w:rPr>
                <w:sz w:val="16"/>
              </w:rPr>
              <w:t>to</w:t>
            </w:r>
            <w:r>
              <w:rPr>
                <w:spacing w:val="-6"/>
                <w:sz w:val="16"/>
              </w:rPr>
              <w:t xml:space="preserve"> </w:t>
            </w:r>
            <w:r>
              <w:rPr>
                <w:sz w:val="16"/>
              </w:rPr>
              <w:t>resolve</w:t>
            </w:r>
            <w:r>
              <w:rPr>
                <w:spacing w:val="-5"/>
                <w:sz w:val="16"/>
              </w:rPr>
              <w:t xml:space="preserve"> </w:t>
            </w:r>
            <w:r>
              <w:rPr>
                <w:sz w:val="16"/>
              </w:rPr>
              <w:t>requests</w:t>
            </w:r>
            <w:r>
              <w:rPr>
                <w:spacing w:val="-6"/>
                <w:sz w:val="16"/>
              </w:rPr>
              <w:t xml:space="preserve"> </w:t>
            </w:r>
            <w:r>
              <w:rPr>
                <w:sz w:val="16"/>
              </w:rPr>
              <w:t>and</w:t>
            </w:r>
            <w:r>
              <w:rPr>
                <w:spacing w:val="-6"/>
                <w:sz w:val="16"/>
              </w:rPr>
              <w:t xml:space="preserve"> </w:t>
            </w:r>
            <w:r>
              <w:rPr>
                <w:spacing w:val="-2"/>
                <w:sz w:val="16"/>
              </w:rPr>
              <w:t>enquiries</w:t>
            </w:r>
          </w:p>
        </w:tc>
      </w:tr>
      <w:tr w:rsidR="00141B97" w14:paraId="40C98365" w14:textId="77777777">
        <w:trPr>
          <w:trHeight w:val="390"/>
          <w:tblCellSpacing w:w="7" w:type="dxa"/>
        </w:trPr>
        <w:tc>
          <w:tcPr>
            <w:tcW w:w="4841" w:type="dxa"/>
            <w:shd w:val="clear" w:color="auto" w:fill="CCE2ED"/>
          </w:tcPr>
          <w:p w14:paraId="4058C25E" w14:textId="77777777" w:rsidR="00141B97" w:rsidRDefault="00911D63">
            <w:pPr>
              <w:pStyle w:val="TableParagraph"/>
              <w:spacing w:line="195" w:lineRule="exact"/>
              <w:ind w:left="14"/>
              <w:rPr>
                <w:sz w:val="16"/>
              </w:rPr>
            </w:pPr>
            <w:r>
              <w:rPr>
                <w:sz w:val="16"/>
              </w:rPr>
              <w:t>Resolve</w:t>
            </w:r>
            <w:r>
              <w:rPr>
                <w:spacing w:val="-7"/>
                <w:sz w:val="16"/>
              </w:rPr>
              <w:t xml:space="preserve"> </w:t>
            </w:r>
            <w:r>
              <w:rPr>
                <w:sz w:val="16"/>
              </w:rPr>
              <w:t>customer</w:t>
            </w:r>
            <w:r>
              <w:rPr>
                <w:spacing w:val="-6"/>
                <w:sz w:val="16"/>
              </w:rPr>
              <w:t xml:space="preserve"> </w:t>
            </w:r>
            <w:r>
              <w:rPr>
                <w:sz w:val="16"/>
              </w:rPr>
              <w:t>requests</w:t>
            </w:r>
            <w:r>
              <w:rPr>
                <w:spacing w:val="-6"/>
                <w:sz w:val="16"/>
              </w:rPr>
              <w:t xml:space="preserve"> </w:t>
            </w:r>
            <w:r>
              <w:rPr>
                <w:sz w:val="16"/>
              </w:rPr>
              <w:t>/</w:t>
            </w:r>
            <w:r>
              <w:rPr>
                <w:spacing w:val="-7"/>
                <w:sz w:val="16"/>
              </w:rPr>
              <w:t xml:space="preserve"> </w:t>
            </w:r>
            <w:r>
              <w:rPr>
                <w:sz w:val="16"/>
              </w:rPr>
              <w:t>enquiries</w:t>
            </w:r>
            <w:r>
              <w:rPr>
                <w:spacing w:val="-8"/>
                <w:sz w:val="16"/>
              </w:rPr>
              <w:t xml:space="preserve"> </w:t>
            </w:r>
            <w:r>
              <w:rPr>
                <w:sz w:val="16"/>
              </w:rPr>
              <w:t>within</w:t>
            </w:r>
            <w:r>
              <w:rPr>
                <w:spacing w:val="-7"/>
                <w:sz w:val="16"/>
              </w:rPr>
              <w:t xml:space="preserve"> </w:t>
            </w:r>
            <w:r>
              <w:rPr>
                <w:sz w:val="16"/>
              </w:rPr>
              <w:t>the</w:t>
            </w:r>
            <w:r>
              <w:rPr>
                <w:spacing w:val="-6"/>
                <w:sz w:val="16"/>
              </w:rPr>
              <w:t xml:space="preserve"> </w:t>
            </w:r>
            <w:r>
              <w:rPr>
                <w:sz w:val="16"/>
              </w:rPr>
              <w:t>defined</w:t>
            </w:r>
            <w:r>
              <w:rPr>
                <w:spacing w:val="-7"/>
                <w:sz w:val="16"/>
              </w:rPr>
              <w:t xml:space="preserve"> </w:t>
            </w:r>
            <w:r>
              <w:rPr>
                <w:sz w:val="16"/>
              </w:rPr>
              <w:t>response</w:t>
            </w:r>
            <w:r>
              <w:rPr>
                <w:spacing w:val="-7"/>
                <w:sz w:val="16"/>
              </w:rPr>
              <w:t xml:space="preserve"> </w:t>
            </w:r>
            <w:r>
              <w:rPr>
                <w:spacing w:val="-4"/>
                <w:sz w:val="16"/>
              </w:rPr>
              <w:t>time</w:t>
            </w:r>
          </w:p>
          <w:p w14:paraId="2825747B" w14:textId="77777777" w:rsidR="00141B97" w:rsidRDefault="00911D63">
            <w:pPr>
              <w:pStyle w:val="TableParagraph"/>
              <w:spacing w:line="175" w:lineRule="exact"/>
              <w:ind w:left="14"/>
              <w:rPr>
                <w:sz w:val="16"/>
              </w:rPr>
            </w:pPr>
            <w:r>
              <w:rPr>
                <w:sz w:val="16"/>
              </w:rPr>
              <w:t>(Mean</w:t>
            </w:r>
            <w:r>
              <w:rPr>
                <w:spacing w:val="-5"/>
                <w:sz w:val="16"/>
              </w:rPr>
              <w:t xml:space="preserve"> </w:t>
            </w:r>
            <w:r>
              <w:rPr>
                <w:sz w:val="16"/>
              </w:rPr>
              <w:t>Time</w:t>
            </w:r>
            <w:r>
              <w:rPr>
                <w:spacing w:val="-3"/>
                <w:sz w:val="16"/>
              </w:rPr>
              <w:t xml:space="preserve"> </w:t>
            </w:r>
            <w:r>
              <w:rPr>
                <w:sz w:val="16"/>
              </w:rPr>
              <w:t>to</w:t>
            </w:r>
            <w:r>
              <w:rPr>
                <w:spacing w:val="-5"/>
                <w:sz w:val="16"/>
              </w:rPr>
              <w:t xml:space="preserve"> </w:t>
            </w:r>
            <w:r>
              <w:rPr>
                <w:sz w:val="16"/>
              </w:rPr>
              <w:t>Resolve)</w:t>
            </w:r>
            <w:r>
              <w:rPr>
                <w:spacing w:val="-3"/>
                <w:sz w:val="16"/>
              </w:rPr>
              <w:t xml:space="preserve"> </w:t>
            </w:r>
            <w:r>
              <w:rPr>
                <w:sz w:val="16"/>
              </w:rPr>
              <w:t>‐</w:t>
            </w:r>
            <w:r>
              <w:rPr>
                <w:spacing w:val="-5"/>
                <w:sz w:val="16"/>
              </w:rPr>
              <w:t xml:space="preserve"> </w:t>
            </w:r>
            <w:r>
              <w:rPr>
                <w:sz w:val="16"/>
              </w:rPr>
              <w:t>%</w:t>
            </w:r>
            <w:r>
              <w:rPr>
                <w:spacing w:val="-4"/>
                <w:sz w:val="16"/>
              </w:rPr>
              <w:t xml:space="preserve"> </w:t>
            </w:r>
            <w:r>
              <w:rPr>
                <w:sz w:val="16"/>
              </w:rPr>
              <w:t>=/&gt;</w:t>
            </w:r>
            <w:r>
              <w:rPr>
                <w:spacing w:val="-4"/>
                <w:sz w:val="16"/>
              </w:rPr>
              <w:t xml:space="preserve"> </w:t>
            </w:r>
            <w:r>
              <w:rPr>
                <w:sz w:val="16"/>
              </w:rPr>
              <w:t>per</w:t>
            </w:r>
            <w:r>
              <w:rPr>
                <w:spacing w:val="-5"/>
                <w:sz w:val="16"/>
              </w:rPr>
              <w:t xml:space="preserve"> </w:t>
            </w:r>
            <w:r>
              <w:rPr>
                <w:sz w:val="16"/>
              </w:rPr>
              <w:t>year</w:t>
            </w:r>
            <w:r>
              <w:rPr>
                <w:spacing w:val="-4"/>
                <w:sz w:val="16"/>
              </w:rPr>
              <w:t xml:space="preserve"> </w:t>
            </w:r>
            <w:r>
              <w:rPr>
                <w:sz w:val="16"/>
              </w:rPr>
              <w:t>from</w:t>
            </w:r>
            <w:r>
              <w:rPr>
                <w:spacing w:val="-5"/>
                <w:sz w:val="16"/>
              </w:rPr>
              <w:t xml:space="preserve"> </w:t>
            </w:r>
            <w:r>
              <w:rPr>
                <w:spacing w:val="-2"/>
                <w:sz w:val="16"/>
              </w:rPr>
              <w:t>2024/25</w:t>
            </w:r>
          </w:p>
        </w:tc>
        <w:tc>
          <w:tcPr>
            <w:tcW w:w="733" w:type="dxa"/>
            <w:shd w:val="clear" w:color="auto" w:fill="CCE2ED"/>
          </w:tcPr>
          <w:p w14:paraId="3FF24E7A" w14:textId="77777777" w:rsidR="00141B97" w:rsidRDefault="00911D63">
            <w:pPr>
              <w:pStyle w:val="TableParagraph"/>
              <w:spacing w:before="97"/>
              <w:ind w:left="21"/>
              <w:rPr>
                <w:sz w:val="16"/>
              </w:rPr>
            </w:pPr>
            <w:r>
              <w:rPr>
                <w:spacing w:val="-5"/>
                <w:sz w:val="16"/>
              </w:rPr>
              <w:t>NA</w:t>
            </w:r>
          </w:p>
        </w:tc>
        <w:tc>
          <w:tcPr>
            <w:tcW w:w="914" w:type="dxa"/>
            <w:shd w:val="clear" w:color="auto" w:fill="CCE2ED"/>
          </w:tcPr>
          <w:p w14:paraId="4DB97636" w14:textId="77777777" w:rsidR="00141B97" w:rsidRDefault="00911D63">
            <w:pPr>
              <w:pStyle w:val="TableParagraph"/>
              <w:spacing w:before="97"/>
              <w:ind w:left="306" w:right="306"/>
              <w:jc w:val="center"/>
              <w:rPr>
                <w:sz w:val="16"/>
              </w:rPr>
            </w:pPr>
            <w:r>
              <w:rPr>
                <w:spacing w:val="-5"/>
                <w:sz w:val="16"/>
              </w:rPr>
              <w:t>NA</w:t>
            </w:r>
          </w:p>
        </w:tc>
        <w:tc>
          <w:tcPr>
            <w:tcW w:w="778" w:type="dxa"/>
            <w:shd w:val="clear" w:color="auto" w:fill="CCE2ED"/>
          </w:tcPr>
          <w:p w14:paraId="5EF8D1ED" w14:textId="77777777" w:rsidR="00141B97" w:rsidRDefault="00911D63">
            <w:pPr>
              <w:pStyle w:val="TableParagraph"/>
              <w:spacing w:line="195" w:lineRule="exact"/>
              <w:ind w:left="165"/>
              <w:rPr>
                <w:sz w:val="16"/>
              </w:rPr>
            </w:pPr>
            <w:r>
              <w:rPr>
                <w:spacing w:val="-2"/>
                <w:sz w:val="16"/>
              </w:rPr>
              <w:t>=&gt;60%</w:t>
            </w:r>
          </w:p>
        </w:tc>
        <w:tc>
          <w:tcPr>
            <w:tcW w:w="774" w:type="dxa"/>
            <w:shd w:val="clear" w:color="auto" w:fill="CCE2ED"/>
          </w:tcPr>
          <w:p w14:paraId="0A9A68E9" w14:textId="77777777" w:rsidR="00141B97" w:rsidRDefault="00911D63">
            <w:pPr>
              <w:pStyle w:val="TableParagraph"/>
              <w:spacing w:line="195" w:lineRule="exact"/>
              <w:ind w:right="160"/>
              <w:jc w:val="right"/>
              <w:rPr>
                <w:sz w:val="16"/>
              </w:rPr>
            </w:pPr>
            <w:r>
              <w:rPr>
                <w:spacing w:val="-2"/>
                <w:sz w:val="16"/>
              </w:rPr>
              <w:t>=&gt;65%</w:t>
            </w:r>
          </w:p>
        </w:tc>
        <w:tc>
          <w:tcPr>
            <w:tcW w:w="778" w:type="dxa"/>
            <w:shd w:val="clear" w:color="auto" w:fill="CCE2ED"/>
          </w:tcPr>
          <w:p w14:paraId="60B77721" w14:textId="77777777" w:rsidR="00141B97" w:rsidRDefault="00911D63">
            <w:pPr>
              <w:pStyle w:val="TableParagraph"/>
              <w:spacing w:line="195" w:lineRule="exact"/>
              <w:ind w:left="167"/>
              <w:rPr>
                <w:sz w:val="16"/>
              </w:rPr>
            </w:pPr>
            <w:r>
              <w:rPr>
                <w:spacing w:val="-2"/>
                <w:sz w:val="16"/>
              </w:rPr>
              <w:t>=&gt;70%</w:t>
            </w:r>
          </w:p>
        </w:tc>
        <w:tc>
          <w:tcPr>
            <w:tcW w:w="926" w:type="dxa"/>
            <w:shd w:val="clear" w:color="auto" w:fill="CCE2ED"/>
          </w:tcPr>
          <w:p w14:paraId="79620793" w14:textId="77777777" w:rsidR="00141B97" w:rsidRDefault="00911D63">
            <w:pPr>
              <w:pStyle w:val="TableParagraph"/>
              <w:spacing w:line="195" w:lineRule="exact"/>
              <w:ind w:left="245"/>
              <w:rPr>
                <w:sz w:val="16"/>
              </w:rPr>
            </w:pPr>
            <w:r>
              <w:rPr>
                <w:spacing w:val="-2"/>
                <w:sz w:val="16"/>
              </w:rPr>
              <w:t>=&gt;75%</w:t>
            </w:r>
          </w:p>
        </w:tc>
      </w:tr>
      <w:tr w:rsidR="00141B97" w14:paraId="49F953EB" w14:textId="77777777">
        <w:trPr>
          <w:trHeight w:val="390"/>
          <w:tblCellSpacing w:w="7" w:type="dxa"/>
        </w:trPr>
        <w:tc>
          <w:tcPr>
            <w:tcW w:w="4841" w:type="dxa"/>
            <w:shd w:val="clear" w:color="auto" w:fill="CCE2ED"/>
          </w:tcPr>
          <w:p w14:paraId="0DC2903D" w14:textId="77777777" w:rsidR="00141B97" w:rsidRDefault="00911D63">
            <w:pPr>
              <w:pStyle w:val="TableParagraph"/>
              <w:spacing w:line="195" w:lineRule="exact"/>
              <w:ind w:left="14"/>
              <w:rPr>
                <w:sz w:val="16"/>
              </w:rPr>
            </w:pPr>
            <w:r>
              <w:rPr>
                <w:sz w:val="16"/>
              </w:rPr>
              <w:t>Resolve</w:t>
            </w:r>
            <w:r>
              <w:rPr>
                <w:spacing w:val="-5"/>
                <w:sz w:val="16"/>
              </w:rPr>
              <w:t xml:space="preserve"> </w:t>
            </w:r>
            <w:r>
              <w:rPr>
                <w:sz w:val="16"/>
              </w:rPr>
              <w:t>customer</w:t>
            </w:r>
            <w:r>
              <w:rPr>
                <w:spacing w:val="-4"/>
                <w:sz w:val="16"/>
              </w:rPr>
              <w:t xml:space="preserve"> </w:t>
            </w:r>
            <w:r>
              <w:rPr>
                <w:sz w:val="16"/>
              </w:rPr>
              <w:t>requests</w:t>
            </w:r>
            <w:r>
              <w:rPr>
                <w:spacing w:val="-5"/>
                <w:sz w:val="16"/>
              </w:rPr>
              <w:t xml:space="preserve"> </w:t>
            </w:r>
            <w:r>
              <w:rPr>
                <w:sz w:val="16"/>
              </w:rPr>
              <w:t>/</w:t>
            </w:r>
            <w:r>
              <w:rPr>
                <w:spacing w:val="-5"/>
                <w:sz w:val="16"/>
              </w:rPr>
              <w:t xml:space="preserve"> </w:t>
            </w:r>
            <w:r>
              <w:rPr>
                <w:sz w:val="16"/>
              </w:rPr>
              <w:t>enquiries</w:t>
            </w:r>
            <w:r>
              <w:rPr>
                <w:spacing w:val="-6"/>
                <w:sz w:val="16"/>
              </w:rPr>
              <w:t xml:space="preserve"> </w:t>
            </w:r>
            <w:r>
              <w:rPr>
                <w:sz w:val="16"/>
              </w:rPr>
              <w:t>“First</w:t>
            </w:r>
            <w:r>
              <w:rPr>
                <w:spacing w:val="-5"/>
                <w:sz w:val="16"/>
              </w:rPr>
              <w:t xml:space="preserve"> </w:t>
            </w:r>
            <w:r>
              <w:rPr>
                <w:sz w:val="16"/>
              </w:rPr>
              <w:t>Time</w:t>
            </w:r>
            <w:r>
              <w:rPr>
                <w:spacing w:val="-4"/>
                <w:sz w:val="16"/>
              </w:rPr>
              <w:t xml:space="preserve"> </w:t>
            </w:r>
            <w:r>
              <w:rPr>
                <w:sz w:val="16"/>
              </w:rPr>
              <w:t>Right”</w:t>
            </w:r>
            <w:r>
              <w:rPr>
                <w:spacing w:val="-6"/>
                <w:sz w:val="16"/>
              </w:rPr>
              <w:t xml:space="preserve"> </w:t>
            </w:r>
            <w:r>
              <w:rPr>
                <w:sz w:val="16"/>
              </w:rPr>
              <w:t>–</w:t>
            </w:r>
            <w:r>
              <w:rPr>
                <w:spacing w:val="-5"/>
                <w:sz w:val="16"/>
              </w:rPr>
              <w:t xml:space="preserve"> </w:t>
            </w:r>
            <w:r>
              <w:rPr>
                <w:sz w:val="16"/>
              </w:rPr>
              <w:t>Target</w:t>
            </w:r>
            <w:r>
              <w:rPr>
                <w:spacing w:val="-4"/>
                <w:sz w:val="16"/>
              </w:rPr>
              <w:t xml:space="preserve"> </w:t>
            </w:r>
            <w:r>
              <w:rPr>
                <w:sz w:val="16"/>
              </w:rPr>
              <w:t>‐</w:t>
            </w:r>
            <w:r>
              <w:rPr>
                <w:spacing w:val="-6"/>
                <w:sz w:val="16"/>
              </w:rPr>
              <w:t xml:space="preserve"> </w:t>
            </w:r>
            <w:r>
              <w:rPr>
                <w:sz w:val="16"/>
              </w:rPr>
              <w:t>%</w:t>
            </w:r>
            <w:r>
              <w:rPr>
                <w:spacing w:val="-4"/>
                <w:sz w:val="16"/>
              </w:rPr>
              <w:t xml:space="preserve"> </w:t>
            </w:r>
            <w:r>
              <w:rPr>
                <w:spacing w:val="-5"/>
                <w:sz w:val="16"/>
              </w:rPr>
              <w:t>=/&gt;</w:t>
            </w:r>
          </w:p>
          <w:p w14:paraId="7C241FC4" w14:textId="77777777" w:rsidR="00141B97" w:rsidRDefault="00911D63">
            <w:pPr>
              <w:pStyle w:val="TableParagraph"/>
              <w:spacing w:line="175" w:lineRule="exact"/>
              <w:ind w:left="14"/>
              <w:rPr>
                <w:sz w:val="16"/>
              </w:rPr>
            </w:pPr>
            <w:r>
              <w:rPr>
                <w:sz w:val="16"/>
              </w:rPr>
              <w:t>per</w:t>
            </w:r>
            <w:r>
              <w:rPr>
                <w:spacing w:val="-5"/>
                <w:sz w:val="16"/>
              </w:rPr>
              <w:t xml:space="preserve"> </w:t>
            </w:r>
            <w:r>
              <w:rPr>
                <w:sz w:val="16"/>
              </w:rPr>
              <w:t>year</w:t>
            </w:r>
            <w:r>
              <w:rPr>
                <w:spacing w:val="-5"/>
                <w:sz w:val="16"/>
              </w:rPr>
              <w:t xml:space="preserve"> </w:t>
            </w:r>
            <w:r>
              <w:rPr>
                <w:sz w:val="16"/>
              </w:rPr>
              <w:t>from</w:t>
            </w:r>
            <w:r>
              <w:rPr>
                <w:spacing w:val="-5"/>
                <w:sz w:val="16"/>
              </w:rPr>
              <w:t xml:space="preserve"> </w:t>
            </w:r>
            <w:r>
              <w:rPr>
                <w:spacing w:val="-2"/>
                <w:sz w:val="16"/>
              </w:rPr>
              <w:t>2024/25</w:t>
            </w:r>
          </w:p>
        </w:tc>
        <w:tc>
          <w:tcPr>
            <w:tcW w:w="733" w:type="dxa"/>
            <w:shd w:val="clear" w:color="auto" w:fill="CCE2ED"/>
          </w:tcPr>
          <w:p w14:paraId="10E39778" w14:textId="77777777" w:rsidR="00141B97" w:rsidRDefault="00911D63">
            <w:pPr>
              <w:pStyle w:val="TableParagraph"/>
              <w:spacing w:before="97"/>
              <w:ind w:left="21"/>
              <w:rPr>
                <w:sz w:val="16"/>
              </w:rPr>
            </w:pPr>
            <w:r>
              <w:rPr>
                <w:spacing w:val="-5"/>
                <w:sz w:val="16"/>
              </w:rPr>
              <w:t>NA</w:t>
            </w:r>
          </w:p>
        </w:tc>
        <w:tc>
          <w:tcPr>
            <w:tcW w:w="914" w:type="dxa"/>
            <w:shd w:val="clear" w:color="auto" w:fill="CCE2ED"/>
          </w:tcPr>
          <w:p w14:paraId="0636946A" w14:textId="77777777" w:rsidR="00141B97" w:rsidRDefault="00911D63">
            <w:pPr>
              <w:pStyle w:val="TableParagraph"/>
              <w:spacing w:before="97"/>
              <w:ind w:left="306" w:right="306"/>
              <w:jc w:val="center"/>
              <w:rPr>
                <w:sz w:val="16"/>
              </w:rPr>
            </w:pPr>
            <w:r>
              <w:rPr>
                <w:spacing w:val="-5"/>
                <w:sz w:val="16"/>
              </w:rPr>
              <w:t>NA</w:t>
            </w:r>
          </w:p>
        </w:tc>
        <w:tc>
          <w:tcPr>
            <w:tcW w:w="3256" w:type="dxa"/>
            <w:gridSpan w:val="4"/>
            <w:shd w:val="clear" w:color="auto" w:fill="CCE2ED"/>
          </w:tcPr>
          <w:p w14:paraId="76E8545C" w14:textId="77777777" w:rsidR="00141B97" w:rsidRDefault="00911D63">
            <w:pPr>
              <w:pStyle w:val="TableParagraph"/>
              <w:spacing w:before="97"/>
              <w:ind w:left="1400" w:right="1391"/>
              <w:jc w:val="center"/>
              <w:rPr>
                <w:sz w:val="16"/>
              </w:rPr>
            </w:pPr>
            <w:r>
              <w:rPr>
                <w:spacing w:val="-2"/>
                <w:sz w:val="16"/>
              </w:rPr>
              <w:t>=&gt;75%</w:t>
            </w:r>
          </w:p>
        </w:tc>
      </w:tr>
      <w:tr w:rsidR="00141B97" w14:paraId="537899C9" w14:textId="77777777">
        <w:trPr>
          <w:trHeight w:val="390"/>
          <w:tblCellSpacing w:w="7" w:type="dxa"/>
        </w:trPr>
        <w:tc>
          <w:tcPr>
            <w:tcW w:w="4841" w:type="dxa"/>
            <w:shd w:val="clear" w:color="auto" w:fill="CCE2ED"/>
          </w:tcPr>
          <w:p w14:paraId="7D153A01" w14:textId="77777777" w:rsidR="00141B97" w:rsidRDefault="00911D63">
            <w:pPr>
              <w:pStyle w:val="TableParagraph"/>
              <w:spacing w:line="195" w:lineRule="exact"/>
              <w:ind w:left="14"/>
              <w:rPr>
                <w:sz w:val="16"/>
              </w:rPr>
            </w:pPr>
            <w:r>
              <w:rPr>
                <w:sz w:val="16"/>
              </w:rPr>
              <w:t>Customers</w:t>
            </w:r>
            <w:r>
              <w:rPr>
                <w:spacing w:val="-4"/>
                <w:sz w:val="16"/>
              </w:rPr>
              <w:t xml:space="preserve"> </w:t>
            </w:r>
            <w:r>
              <w:rPr>
                <w:sz w:val="16"/>
              </w:rPr>
              <w:t>registered</w:t>
            </w:r>
            <w:r>
              <w:rPr>
                <w:spacing w:val="-6"/>
                <w:sz w:val="16"/>
              </w:rPr>
              <w:t xml:space="preserve"> </w:t>
            </w:r>
            <w:r>
              <w:rPr>
                <w:sz w:val="16"/>
              </w:rPr>
              <w:t>for</w:t>
            </w:r>
            <w:r>
              <w:rPr>
                <w:spacing w:val="-6"/>
                <w:sz w:val="16"/>
              </w:rPr>
              <w:t xml:space="preserve"> </w:t>
            </w:r>
            <w:r>
              <w:rPr>
                <w:sz w:val="16"/>
              </w:rPr>
              <w:t>self‐service</w:t>
            </w:r>
            <w:r>
              <w:rPr>
                <w:spacing w:val="-4"/>
                <w:sz w:val="16"/>
              </w:rPr>
              <w:t xml:space="preserve"> </w:t>
            </w:r>
            <w:r>
              <w:rPr>
                <w:sz w:val="16"/>
              </w:rPr>
              <w:t>portal</w:t>
            </w:r>
            <w:r>
              <w:rPr>
                <w:spacing w:val="-6"/>
                <w:sz w:val="16"/>
              </w:rPr>
              <w:t xml:space="preserve"> </w:t>
            </w:r>
            <w:r>
              <w:rPr>
                <w:sz w:val="16"/>
              </w:rPr>
              <w:t>–</w:t>
            </w:r>
            <w:r>
              <w:rPr>
                <w:spacing w:val="-5"/>
                <w:sz w:val="16"/>
              </w:rPr>
              <w:t xml:space="preserve"> </w:t>
            </w:r>
            <w:r>
              <w:rPr>
                <w:sz w:val="16"/>
              </w:rPr>
              <w:t>Target</w:t>
            </w:r>
            <w:r>
              <w:rPr>
                <w:spacing w:val="-5"/>
                <w:sz w:val="16"/>
              </w:rPr>
              <w:t xml:space="preserve"> </w:t>
            </w:r>
            <w:r>
              <w:rPr>
                <w:sz w:val="16"/>
              </w:rPr>
              <w:t>‐</w:t>
            </w:r>
            <w:r>
              <w:rPr>
                <w:spacing w:val="-6"/>
                <w:sz w:val="16"/>
              </w:rPr>
              <w:t xml:space="preserve"> </w:t>
            </w:r>
            <w:r>
              <w:rPr>
                <w:sz w:val="16"/>
              </w:rPr>
              <w:t>10%</w:t>
            </w:r>
            <w:r>
              <w:rPr>
                <w:spacing w:val="-5"/>
                <w:sz w:val="16"/>
              </w:rPr>
              <w:t xml:space="preserve"> </w:t>
            </w:r>
            <w:r>
              <w:rPr>
                <w:sz w:val="16"/>
              </w:rPr>
              <w:t>in</w:t>
            </w:r>
            <w:r>
              <w:rPr>
                <w:spacing w:val="-6"/>
                <w:sz w:val="16"/>
              </w:rPr>
              <w:t xml:space="preserve"> </w:t>
            </w:r>
            <w:r>
              <w:rPr>
                <w:sz w:val="16"/>
              </w:rPr>
              <w:t>first</w:t>
            </w:r>
            <w:r>
              <w:rPr>
                <w:spacing w:val="-5"/>
                <w:sz w:val="16"/>
              </w:rPr>
              <w:t xml:space="preserve"> </w:t>
            </w:r>
            <w:r>
              <w:rPr>
                <w:sz w:val="16"/>
              </w:rPr>
              <w:t>year</w:t>
            </w:r>
            <w:r>
              <w:rPr>
                <w:spacing w:val="-6"/>
                <w:sz w:val="16"/>
              </w:rPr>
              <w:t xml:space="preserve"> </w:t>
            </w:r>
            <w:r>
              <w:rPr>
                <w:spacing w:val="-5"/>
                <w:sz w:val="16"/>
              </w:rPr>
              <w:t>and</w:t>
            </w:r>
          </w:p>
          <w:p w14:paraId="325F3E30" w14:textId="77777777" w:rsidR="00141B97" w:rsidRDefault="00911D63">
            <w:pPr>
              <w:pStyle w:val="TableParagraph"/>
              <w:spacing w:line="175" w:lineRule="exact"/>
              <w:ind w:left="14"/>
              <w:rPr>
                <w:sz w:val="16"/>
              </w:rPr>
            </w:pPr>
            <w:r>
              <w:rPr>
                <w:sz w:val="16"/>
              </w:rPr>
              <w:t>5%</w:t>
            </w:r>
            <w:r>
              <w:rPr>
                <w:spacing w:val="-7"/>
                <w:sz w:val="16"/>
              </w:rPr>
              <w:t xml:space="preserve"> </w:t>
            </w:r>
            <w:r>
              <w:rPr>
                <w:sz w:val="16"/>
              </w:rPr>
              <w:t>increase</w:t>
            </w:r>
            <w:r>
              <w:rPr>
                <w:spacing w:val="-5"/>
                <w:sz w:val="16"/>
              </w:rPr>
              <w:t xml:space="preserve"> </w:t>
            </w:r>
            <w:r>
              <w:rPr>
                <w:sz w:val="16"/>
              </w:rPr>
              <w:t>per</w:t>
            </w:r>
            <w:r>
              <w:rPr>
                <w:spacing w:val="-6"/>
                <w:sz w:val="16"/>
              </w:rPr>
              <w:t xml:space="preserve"> </w:t>
            </w:r>
            <w:r>
              <w:rPr>
                <w:sz w:val="16"/>
              </w:rPr>
              <w:t>year</w:t>
            </w:r>
            <w:r>
              <w:rPr>
                <w:spacing w:val="-6"/>
                <w:sz w:val="16"/>
              </w:rPr>
              <w:t xml:space="preserve"> </w:t>
            </w:r>
            <w:r>
              <w:rPr>
                <w:sz w:val="16"/>
              </w:rPr>
              <w:t>for</w:t>
            </w:r>
            <w:r>
              <w:rPr>
                <w:spacing w:val="-7"/>
                <w:sz w:val="16"/>
              </w:rPr>
              <w:t xml:space="preserve"> </w:t>
            </w:r>
            <w:r>
              <w:rPr>
                <w:sz w:val="16"/>
              </w:rPr>
              <w:t>subsequent</w:t>
            </w:r>
            <w:r>
              <w:rPr>
                <w:spacing w:val="-4"/>
                <w:sz w:val="16"/>
              </w:rPr>
              <w:t xml:space="preserve"> </w:t>
            </w:r>
            <w:r>
              <w:rPr>
                <w:spacing w:val="-2"/>
                <w:sz w:val="16"/>
              </w:rPr>
              <w:t>years</w:t>
            </w:r>
          </w:p>
        </w:tc>
        <w:tc>
          <w:tcPr>
            <w:tcW w:w="733" w:type="dxa"/>
            <w:shd w:val="clear" w:color="auto" w:fill="CCE2ED"/>
          </w:tcPr>
          <w:p w14:paraId="0AE17ACD" w14:textId="77777777" w:rsidR="00141B97" w:rsidRDefault="00911D63">
            <w:pPr>
              <w:pStyle w:val="TableParagraph"/>
              <w:spacing w:before="97"/>
              <w:ind w:left="21"/>
              <w:rPr>
                <w:sz w:val="16"/>
              </w:rPr>
            </w:pPr>
            <w:r>
              <w:rPr>
                <w:spacing w:val="-5"/>
                <w:sz w:val="16"/>
              </w:rPr>
              <w:t>NA</w:t>
            </w:r>
          </w:p>
        </w:tc>
        <w:tc>
          <w:tcPr>
            <w:tcW w:w="914" w:type="dxa"/>
            <w:shd w:val="clear" w:color="auto" w:fill="CCE2ED"/>
          </w:tcPr>
          <w:p w14:paraId="0730C944" w14:textId="77777777" w:rsidR="00141B97" w:rsidRDefault="00911D63">
            <w:pPr>
              <w:pStyle w:val="TableParagraph"/>
              <w:spacing w:line="195" w:lineRule="exact"/>
              <w:ind w:left="306" w:right="306"/>
              <w:jc w:val="center"/>
              <w:rPr>
                <w:sz w:val="16"/>
              </w:rPr>
            </w:pPr>
            <w:r>
              <w:rPr>
                <w:spacing w:val="-5"/>
                <w:sz w:val="16"/>
              </w:rPr>
              <w:t>10%</w:t>
            </w:r>
          </w:p>
        </w:tc>
        <w:tc>
          <w:tcPr>
            <w:tcW w:w="778" w:type="dxa"/>
            <w:shd w:val="clear" w:color="auto" w:fill="CCE2ED"/>
          </w:tcPr>
          <w:p w14:paraId="75A5F16B" w14:textId="77777777" w:rsidR="00141B97" w:rsidRDefault="00911D63">
            <w:pPr>
              <w:pStyle w:val="TableParagraph"/>
              <w:spacing w:before="97"/>
              <w:ind w:left="244"/>
              <w:rPr>
                <w:sz w:val="16"/>
              </w:rPr>
            </w:pPr>
            <w:r>
              <w:rPr>
                <w:spacing w:val="-5"/>
                <w:sz w:val="16"/>
              </w:rPr>
              <w:t>15%</w:t>
            </w:r>
          </w:p>
        </w:tc>
        <w:tc>
          <w:tcPr>
            <w:tcW w:w="774" w:type="dxa"/>
            <w:shd w:val="clear" w:color="auto" w:fill="CCE2ED"/>
          </w:tcPr>
          <w:p w14:paraId="7A2B8D27" w14:textId="77777777" w:rsidR="00141B97" w:rsidRDefault="00911D63">
            <w:pPr>
              <w:pStyle w:val="TableParagraph"/>
              <w:spacing w:before="97"/>
              <w:ind w:left="244"/>
              <w:rPr>
                <w:sz w:val="16"/>
              </w:rPr>
            </w:pPr>
            <w:r>
              <w:rPr>
                <w:spacing w:val="-5"/>
                <w:sz w:val="16"/>
              </w:rPr>
              <w:t>20%</w:t>
            </w:r>
          </w:p>
        </w:tc>
        <w:tc>
          <w:tcPr>
            <w:tcW w:w="778" w:type="dxa"/>
            <w:shd w:val="clear" w:color="auto" w:fill="CCE2ED"/>
          </w:tcPr>
          <w:p w14:paraId="73D317F6" w14:textId="77777777" w:rsidR="00141B97" w:rsidRDefault="00911D63">
            <w:pPr>
              <w:pStyle w:val="TableParagraph"/>
              <w:spacing w:before="97"/>
              <w:ind w:left="246"/>
              <w:rPr>
                <w:sz w:val="16"/>
              </w:rPr>
            </w:pPr>
            <w:r>
              <w:rPr>
                <w:spacing w:val="-5"/>
                <w:sz w:val="16"/>
              </w:rPr>
              <w:t>25%</w:t>
            </w:r>
          </w:p>
        </w:tc>
        <w:tc>
          <w:tcPr>
            <w:tcW w:w="926" w:type="dxa"/>
            <w:shd w:val="clear" w:color="auto" w:fill="CCE2ED"/>
          </w:tcPr>
          <w:p w14:paraId="044B2FE2" w14:textId="77777777" w:rsidR="00141B97" w:rsidRDefault="00911D63">
            <w:pPr>
              <w:pStyle w:val="TableParagraph"/>
              <w:spacing w:before="97"/>
              <w:ind w:left="319" w:right="306"/>
              <w:jc w:val="center"/>
              <w:rPr>
                <w:sz w:val="16"/>
              </w:rPr>
            </w:pPr>
            <w:r>
              <w:rPr>
                <w:spacing w:val="-5"/>
                <w:sz w:val="16"/>
              </w:rPr>
              <w:t>25%</w:t>
            </w:r>
          </w:p>
        </w:tc>
      </w:tr>
      <w:tr w:rsidR="00141B97" w14:paraId="3EA537A2" w14:textId="77777777">
        <w:trPr>
          <w:trHeight w:val="390"/>
          <w:tblCellSpacing w:w="7" w:type="dxa"/>
        </w:trPr>
        <w:tc>
          <w:tcPr>
            <w:tcW w:w="4841" w:type="dxa"/>
            <w:shd w:val="clear" w:color="auto" w:fill="CCE2ED"/>
          </w:tcPr>
          <w:p w14:paraId="54B0A60F" w14:textId="77777777" w:rsidR="00141B97" w:rsidRDefault="00911D63">
            <w:pPr>
              <w:pStyle w:val="TableParagraph"/>
              <w:spacing w:line="195" w:lineRule="exact"/>
              <w:ind w:left="14"/>
              <w:rPr>
                <w:sz w:val="16"/>
              </w:rPr>
            </w:pPr>
            <w:r>
              <w:rPr>
                <w:sz w:val="16"/>
              </w:rPr>
              <w:t>Customer</w:t>
            </w:r>
            <w:r>
              <w:rPr>
                <w:spacing w:val="-6"/>
                <w:sz w:val="16"/>
              </w:rPr>
              <w:t xml:space="preserve"> </w:t>
            </w:r>
            <w:r>
              <w:rPr>
                <w:sz w:val="16"/>
              </w:rPr>
              <w:t>satisfaction</w:t>
            </w:r>
            <w:r>
              <w:rPr>
                <w:spacing w:val="-8"/>
                <w:sz w:val="16"/>
              </w:rPr>
              <w:t xml:space="preserve"> </w:t>
            </w:r>
            <w:r>
              <w:rPr>
                <w:sz w:val="16"/>
              </w:rPr>
              <w:t>for</w:t>
            </w:r>
            <w:r>
              <w:rPr>
                <w:spacing w:val="-7"/>
                <w:sz w:val="16"/>
              </w:rPr>
              <w:t xml:space="preserve"> </w:t>
            </w:r>
            <w:r>
              <w:rPr>
                <w:sz w:val="16"/>
              </w:rPr>
              <w:t>responsiveness</w:t>
            </w:r>
            <w:r>
              <w:rPr>
                <w:spacing w:val="-8"/>
                <w:sz w:val="16"/>
              </w:rPr>
              <w:t xml:space="preserve"> </w:t>
            </w:r>
            <w:r>
              <w:rPr>
                <w:sz w:val="16"/>
              </w:rPr>
              <w:t>to</w:t>
            </w:r>
            <w:r>
              <w:rPr>
                <w:spacing w:val="-7"/>
                <w:sz w:val="16"/>
              </w:rPr>
              <w:t xml:space="preserve"> </w:t>
            </w:r>
            <w:r>
              <w:rPr>
                <w:sz w:val="16"/>
              </w:rPr>
              <w:t>enquiry</w:t>
            </w:r>
            <w:r>
              <w:rPr>
                <w:spacing w:val="-7"/>
                <w:sz w:val="16"/>
              </w:rPr>
              <w:t xml:space="preserve"> </w:t>
            </w:r>
            <w:r>
              <w:rPr>
                <w:sz w:val="16"/>
              </w:rPr>
              <w:t>or</w:t>
            </w:r>
            <w:r>
              <w:rPr>
                <w:spacing w:val="-5"/>
                <w:sz w:val="16"/>
              </w:rPr>
              <w:t xml:space="preserve"> </w:t>
            </w:r>
            <w:r>
              <w:rPr>
                <w:sz w:val="16"/>
              </w:rPr>
              <w:t>request</w:t>
            </w:r>
            <w:r>
              <w:rPr>
                <w:spacing w:val="-6"/>
                <w:sz w:val="16"/>
              </w:rPr>
              <w:t xml:space="preserve"> </w:t>
            </w:r>
            <w:r>
              <w:rPr>
                <w:sz w:val="16"/>
              </w:rPr>
              <w:t>–</w:t>
            </w:r>
            <w:r>
              <w:rPr>
                <w:spacing w:val="-7"/>
                <w:sz w:val="16"/>
              </w:rPr>
              <w:t xml:space="preserve"> </w:t>
            </w:r>
            <w:r>
              <w:rPr>
                <w:sz w:val="16"/>
              </w:rPr>
              <w:t>Target</w:t>
            </w:r>
            <w:r>
              <w:rPr>
                <w:spacing w:val="-6"/>
                <w:sz w:val="16"/>
              </w:rPr>
              <w:t xml:space="preserve"> </w:t>
            </w:r>
            <w:r>
              <w:rPr>
                <w:spacing w:val="-10"/>
                <w:sz w:val="16"/>
              </w:rPr>
              <w:t>=</w:t>
            </w:r>
          </w:p>
          <w:p w14:paraId="17DF78D3" w14:textId="77777777" w:rsidR="00141B97" w:rsidRDefault="00911D63">
            <w:pPr>
              <w:pStyle w:val="TableParagraph"/>
              <w:spacing w:line="175" w:lineRule="exact"/>
              <w:ind w:left="14"/>
              <w:rPr>
                <w:sz w:val="16"/>
              </w:rPr>
            </w:pPr>
            <w:r>
              <w:rPr>
                <w:sz w:val="16"/>
              </w:rPr>
              <w:t>=/&gt;</w:t>
            </w:r>
            <w:r>
              <w:rPr>
                <w:spacing w:val="-6"/>
                <w:sz w:val="16"/>
              </w:rPr>
              <w:t xml:space="preserve"> </w:t>
            </w:r>
            <w:r>
              <w:rPr>
                <w:sz w:val="16"/>
              </w:rPr>
              <w:t>prior</w:t>
            </w:r>
            <w:r>
              <w:rPr>
                <w:spacing w:val="-4"/>
                <w:sz w:val="16"/>
              </w:rPr>
              <w:t xml:space="preserve"> </w:t>
            </w:r>
            <w:r>
              <w:rPr>
                <w:sz w:val="16"/>
              </w:rPr>
              <w:t>year</w:t>
            </w:r>
            <w:r>
              <w:rPr>
                <w:spacing w:val="-7"/>
                <w:sz w:val="16"/>
              </w:rPr>
              <w:t xml:space="preserve"> </w:t>
            </w:r>
            <w:r>
              <w:rPr>
                <w:sz w:val="16"/>
              </w:rPr>
              <w:t>performance</w:t>
            </w:r>
            <w:r>
              <w:rPr>
                <w:spacing w:val="-6"/>
                <w:sz w:val="16"/>
              </w:rPr>
              <w:t xml:space="preserve"> </w:t>
            </w:r>
            <w:r>
              <w:rPr>
                <w:sz w:val="16"/>
              </w:rPr>
              <w:t>of</w:t>
            </w:r>
            <w:r>
              <w:rPr>
                <w:spacing w:val="-4"/>
                <w:sz w:val="16"/>
              </w:rPr>
              <w:t xml:space="preserve"> </w:t>
            </w:r>
            <w:r>
              <w:rPr>
                <w:sz w:val="16"/>
              </w:rPr>
              <w:t>survey</w:t>
            </w:r>
            <w:r>
              <w:rPr>
                <w:spacing w:val="-6"/>
                <w:sz w:val="16"/>
              </w:rPr>
              <w:t xml:space="preserve"> </w:t>
            </w:r>
            <w:r>
              <w:rPr>
                <w:spacing w:val="-2"/>
                <w:sz w:val="16"/>
              </w:rPr>
              <w:t>respondents</w:t>
            </w:r>
          </w:p>
        </w:tc>
        <w:tc>
          <w:tcPr>
            <w:tcW w:w="733" w:type="dxa"/>
            <w:shd w:val="clear" w:color="auto" w:fill="CCE2ED"/>
          </w:tcPr>
          <w:p w14:paraId="732AF54A" w14:textId="77777777" w:rsidR="00141B97" w:rsidRDefault="00911D63">
            <w:pPr>
              <w:pStyle w:val="TableParagraph"/>
              <w:spacing w:before="97"/>
              <w:ind w:left="21"/>
              <w:rPr>
                <w:sz w:val="16"/>
              </w:rPr>
            </w:pPr>
            <w:r>
              <w:rPr>
                <w:spacing w:val="-5"/>
                <w:sz w:val="16"/>
              </w:rPr>
              <w:t>NA</w:t>
            </w:r>
          </w:p>
        </w:tc>
        <w:tc>
          <w:tcPr>
            <w:tcW w:w="914" w:type="dxa"/>
            <w:shd w:val="clear" w:color="auto" w:fill="CCE2ED"/>
          </w:tcPr>
          <w:p w14:paraId="52111264" w14:textId="77777777" w:rsidR="00141B97" w:rsidRDefault="00911D63">
            <w:pPr>
              <w:pStyle w:val="TableParagraph"/>
              <w:spacing w:before="97"/>
              <w:ind w:right="147"/>
              <w:jc w:val="right"/>
              <w:rPr>
                <w:sz w:val="16"/>
              </w:rPr>
            </w:pPr>
            <w:r>
              <w:rPr>
                <w:spacing w:val="-2"/>
                <w:sz w:val="16"/>
              </w:rPr>
              <w:t>=/&gt;22/23</w:t>
            </w:r>
          </w:p>
        </w:tc>
        <w:tc>
          <w:tcPr>
            <w:tcW w:w="778" w:type="dxa"/>
            <w:shd w:val="clear" w:color="auto" w:fill="CCE2ED"/>
          </w:tcPr>
          <w:p w14:paraId="73FB5F91" w14:textId="77777777" w:rsidR="00141B97" w:rsidRDefault="00911D63">
            <w:pPr>
              <w:pStyle w:val="TableParagraph"/>
              <w:spacing w:before="97"/>
              <w:ind w:right="78"/>
              <w:jc w:val="right"/>
              <w:rPr>
                <w:sz w:val="16"/>
              </w:rPr>
            </w:pPr>
            <w:r>
              <w:rPr>
                <w:spacing w:val="-2"/>
                <w:sz w:val="16"/>
              </w:rPr>
              <w:t>=/&gt;23/24</w:t>
            </w:r>
          </w:p>
        </w:tc>
        <w:tc>
          <w:tcPr>
            <w:tcW w:w="774" w:type="dxa"/>
            <w:shd w:val="clear" w:color="auto" w:fill="CCE2ED"/>
          </w:tcPr>
          <w:p w14:paraId="0D8E2455" w14:textId="77777777" w:rsidR="00141B97" w:rsidRDefault="00911D63">
            <w:pPr>
              <w:pStyle w:val="TableParagraph"/>
              <w:spacing w:before="97"/>
              <w:ind w:right="75"/>
              <w:jc w:val="right"/>
              <w:rPr>
                <w:sz w:val="16"/>
              </w:rPr>
            </w:pPr>
            <w:r>
              <w:rPr>
                <w:spacing w:val="-2"/>
                <w:sz w:val="16"/>
              </w:rPr>
              <w:t>=/&gt;24/25</w:t>
            </w:r>
          </w:p>
        </w:tc>
        <w:tc>
          <w:tcPr>
            <w:tcW w:w="778" w:type="dxa"/>
            <w:shd w:val="clear" w:color="auto" w:fill="CCE2ED"/>
          </w:tcPr>
          <w:p w14:paraId="21147EAA" w14:textId="77777777" w:rsidR="00141B97" w:rsidRDefault="00911D63">
            <w:pPr>
              <w:pStyle w:val="TableParagraph"/>
              <w:spacing w:before="97"/>
              <w:ind w:right="76"/>
              <w:jc w:val="right"/>
              <w:rPr>
                <w:sz w:val="16"/>
              </w:rPr>
            </w:pPr>
            <w:r>
              <w:rPr>
                <w:spacing w:val="-2"/>
                <w:sz w:val="16"/>
              </w:rPr>
              <w:t>=/&gt;25/26</w:t>
            </w:r>
          </w:p>
        </w:tc>
        <w:tc>
          <w:tcPr>
            <w:tcW w:w="926" w:type="dxa"/>
            <w:shd w:val="clear" w:color="auto" w:fill="CCE2ED"/>
          </w:tcPr>
          <w:p w14:paraId="2A4BF290" w14:textId="77777777" w:rsidR="00141B97" w:rsidRDefault="00911D63">
            <w:pPr>
              <w:pStyle w:val="TableParagraph"/>
              <w:spacing w:before="97"/>
              <w:ind w:right="146"/>
              <w:jc w:val="right"/>
              <w:rPr>
                <w:sz w:val="16"/>
              </w:rPr>
            </w:pPr>
            <w:r>
              <w:rPr>
                <w:spacing w:val="-2"/>
                <w:sz w:val="16"/>
              </w:rPr>
              <w:t>=/&gt;26/27</w:t>
            </w:r>
          </w:p>
        </w:tc>
      </w:tr>
      <w:tr w:rsidR="00141B97" w14:paraId="2C7509F3" w14:textId="77777777">
        <w:trPr>
          <w:trHeight w:val="194"/>
          <w:tblCellSpacing w:w="7" w:type="dxa"/>
        </w:trPr>
        <w:tc>
          <w:tcPr>
            <w:tcW w:w="9744" w:type="dxa"/>
            <w:gridSpan w:val="7"/>
            <w:shd w:val="clear" w:color="auto" w:fill="BFBFBF"/>
          </w:tcPr>
          <w:p w14:paraId="635419F7" w14:textId="77777777" w:rsidR="00141B97" w:rsidRDefault="00911D63">
            <w:pPr>
              <w:pStyle w:val="TableParagraph"/>
              <w:spacing w:line="175" w:lineRule="exact"/>
              <w:ind w:left="21"/>
              <w:rPr>
                <w:sz w:val="16"/>
              </w:rPr>
            </w:pPr>
            <w:r>
              <w:rPr>
                <w:sz w:val="16"/>
              </w:rPr>
              <w:t>Outcome</w:t>
            </w:r>
            <w:r>
              <w:rPr>
                <w:spacing w:val="-5"/>
                <w:sz w:val="16"/>
              </w:rPr>
              <w:t xml:space="preserve"> </w:t>
            </w:r>
            <w:r>
              <w:rPr>
                <w:sz w:val="16"/>
              </w:rPr>
              <w:t>4:</w:t>
            </w:r>
            <w:r>
              <w:rPr>
                <w:spacing w:val="-5"/>
                <w:sz w:val="16"/>
              </w:rPr>
              <w:t xml:space="preserve"> </w:t>
            </w:r>
            <w:r>
              <w:rPr>
                <w:sz w:val="16"/>
              </w:rPr>
              <w:t>Service</w:t>
            </w:r>
            <w:r>
              <w:rPr>
                <w:spacing w:val="-6"/>
                <w:sz w:val="16"/>
              </w:rPr>
              <w:t xml:space="preserve"> </w:t>
            </w:r>
            <w:r>
              <w:rPr>
                <w:sz w:val="16"/>
              </w:rPr>
              <w:t>our</w:t>
            </w:r>
            <w:r>
              <w:rPr>
                <w:spacing w:val="-6"/>
                <w:sz w:val="16"/>
              </w:rPr>
              <w:t xml:space="preserve"> </w:t>
            </w:r>
            <w:r>
              <w:rPr>
                <w:sz w:val="16"/>
              </w:rPr>
              <w:t>communities</w:t>
            </w:r>
            <w:r>
              <w:rPr>
                <w:spacing w:val="-6"/>
                <w:sz w:val="16"/>
              </w:rPr>
              <w:t xml:space="preserve"> </w:t>
            </w:r>
            <w:r>
              <w:rPr>
                <w:sz w:val="16"/>
              </w:rPr>
              <w:t>in</w:t>
            </w:r>
            <w:r>
              <w:rPr>
                <w:spacing w:val="-6"/>
                <w:sz w:val="16"/>
              </w:rPr>
              <w:t xml:space="preserve"> </w:t>
            </w:r>
            <w:r>
              <w:rPr>
                <w:sz w:val="16"/>
              </w:rPr>
              <w:t>a</w:t>
            </w:r>
            <w:r>
              <w:rPr>
                <w:spacing w:val="-5"/>
                <w:sz w:val="16"/>
              </w:rPr>
              <w:t xml:space="preserve"> </w:t>
            </w:r>
            <w:r>
              <w:rPr>
                <w:sz w:val="16"/>
              </w:rPr>
              <w:t>socially</w:t>
            </w:r>
            <w:r>
              <w:rPr>
                <w:spacing w:val="-7"/>
                <w:sz w:val="16"/>
              </w:rPr>
              <w:t xml:space="preserve"> </w:t>
            </w:r>
            <w:r>
              <w:rPr>
                <w:sz w:val="16"/>
              </w:rPr>
              <w:t>responsible</w:t>
            </w:r>
            <w:r>
              <w:rPr>
                <w:spacing w:val="-6"/>
                <w:sz w:val="16"/>
              </w:rPr>
              <w:t xml:space="preserve"> </w:t>
            </w:r>
            <w:r>
              <w:rPr>
                <w:sz w:val="16"/>
              </w:rPr>
              <w:t>and</w:t>
            </w:r>
            <w:r>
              <w:rPr>
                <w:spacing w:val="-6"/>
                <w:sz w:val="16"/>
              </w:rPr>
              <w:t xml:space="preserve"> </w:t>
            </w:r>
            <w:r>
              <w:rPr>
                <w:sz w:val="16"/>
              </w:rPr>
              <w:t>environmentally</w:t>
            </w:r>
            <w:r>
              <w:rPr>
                <w:spacing w:val="-6"/>
                <w:sz w:val="16"/>
              </w:rPr>
              <w:t xml:space="preserve"> </w:t>
            </w:r>
            <w:r>
              <w:rPr>
                <w:sz w:val="16"/>
              </w:rPr>
              <w:t>sustainable</w:t>
            </w:r>
            <w:r>
              <w:rPr>
                <w:spacing w:val="-6"/>
                <w:sz w:val="16"/>
              </w:rPr>
              <w:t xml:space="preserve"> </w:t>
            </w:r>
            <w:r>
              <w:rPr>
                <w:spacing w:val="-2"/>
                <w:sz w:val="16"/>
              </w:rPr>
              <w:t>manner</w:t>
            </w:r>
          </w:p>
        </w:tc>
      </w:tr>
      <w:tr w:rsidR="00141B97" w14:paraId="677988B1" w14:textId="77777777">
        <w:trPr>
          <w:trHeight w:val="490"/>
          <w:tblCellSpacing w:w="7" w:type="dxa"/>
        </w:trPr>
        <w:tc>
          <w:tcPr>
            <w:tcW w:w="4841" w:type="dxa"/>
            <w:shd w:val="clear" w:color="auto" w:fill="CCE2ED"/>
          </w:tcPr>
          <w:p w14:paraId="210B745D" w14:textId="77777777" w:rsidR="00141B97" w:rsidRDefault="00911D63">
            <w:pPr>
              <w:pStyle w:val="TableParagraph"/>
              <w:ind w:left="14"/>
              <w:rPr>
                <w:sz w:val="16"/>
              </w:rPr>
            </w:pPr>
            <w:r>
              <w:rPr>
                <w:sz w:val="16"/>
              </w:rPr>
              <w:t>Percentage</w:t>
            </w:r>
            <w:r>
              <w:rPr>
                <w:spacing w:val="-4"/>
                <w:sz w:val="16"/>
              </w:rPr>
              <w:t xml:space="preserve"> </w:t>
            </w:r>
            <w:r>
              <w:rPr>
                <w:sz w:val="16"/>
              </w:rPr>
              <w:t>compliance</w:t>
            </w:r>
            <w:r>
              <w:rPr>
                <w:spacing w:val="-4"/>
                <w:sz w:val="16"/>
              </w:rPr>
              <w:t xml:space="preserve"> </w:t>
            </w:r>
            <w:r>
              <w:rPr>
                <w:sz w:val="16"/>
              </w:rPr>
              <w:t>with</w:t>
            </w:r>
            <w:r>
              <w:rPr>
                <w:spacing w:val="-4"/>
                <w:sz w:val="16"/>
              </w:rPr>
              <w:t xml:space="preserve"> </w:t>
            </w:r>
            <w:r>
              <w:rPr>
                <w:sz w:val="16"/>
              </w:rPr>
              <w:t>EPA</w:t>
            </w:r>
            <w:r>
              <w:rPr>
                <w:spacing w:val="-4"/>
                <w:sz w:val="16"/>
              </w:rPr>
              <w:t xml:space="preserve"> </w:t>
            </w:r>
            <w:r>
              <w:rPr>
                <w:sz w:val="16"/>
              </w:rPr>
              <w:t>General</w:t>
            </w:r>
            <w:r>
              <w:rPr>
                <w:spacing w:val="-4"/>
                <w:sz w:val="16"/>
              </w:rPr>
              <w:t xml:space="preserve"> </w:t>
            </w:r>
            <w:r>
              <w:rPr>
                <w:sz w:val="16"/>
              </w:rPr>
              <w:t>Environmental</w:t>
            </w:r>
            <w:r>
              <w:rPr>
                <w:spacing w:val="-3"/>
                <w:sz w:val="16"/>
              </w:rPr>
              <w:t xml:space="preserve"> </w:t>
            </w:r>
            <w:r>
              <w:rPr>
                <w:sz w:val="16"/>
              </w:rPr>
              <w:t>Duty</w:t>
            </w:r>
            <w:r>
              <w:rPr>
                <w:spacing w:val="-3"/>
                <w:sz w:val="16"/>
              </w:rPr>
              <w:t xml:space="preserve"> </w:t>
            </w:r>
            <w:r>
              <w:rPr>
                <w:sz w:val="16"/>
              </w:rPr>
              <w:t>(GED)</w:t>
            </w:r>
            <w:r>
              <w:rPr>
                <w:spacing w:val="-3"/>
                <w:sz w:val="16"/>
              </w:rPr>
              <w:t xml:space="preserve"> </w:t>
            </w:r>
            <w:r>
              <w:rPr>
                <w:sz w:val="16"/>
              </w:rPr>
              <w:t>–</w:t>
            </w:r>
            <w:r>
              <w:rPr>
                <w:spacing w:val="40"/>
                <w:sz w:val="16"/>
              </w:rPr>
              <w:t xml:space="preserve"> </w:t>
            </w:r>
            <w:r>
              <w:rPr>
                <w:sz w:val="16"/>
              </w:rPr>
              <w:t>Target ‐ 100% (no reportable incidents)</w:t>
            </w:r>
          </w:p>
        </w:tc>
        <w:tc>
          <w:tcPr>
            <w:tcW w:w="733" w:type="dxa"/>
            <w:shd w:val="clear" w:color="auto" w:fill="CCE2ED"/>
          </w:tcPr>
          <w:p w14:paraId="4F7BD965" w14:textId="77777777" w:rsidR="00141B97" w:rsidRDefault="00141B97">
            <w:pPr>
              <w:pStyle w:val="TableParagraph"/>
              <w:rPr>
                <w:sz w:val="12"/>
              </w:rPr>
            </w:pPr>
          </w:p>
          <w:p w14:paraId="5D4FC7B7" w14:textId="77777777" w:rsidR="00141B97" w:rsidRDefault="00911D63">
            <w:pPr>
              <w:pStyle w:val="TableParagraph"/>
              <w:spacing w:before="1"/>
              <w:ind w:left="21"/>
              <w:rPr>
                <w:sz w:val="16"/>
              </w:rPr>
            </w:pPr>
            <w:r>
              <w:rPr>
                <w:spacing w:val="-4"/>
                <w:sz w:val="16"/>
              </w:rPr>
              <w:t>100%</w:t>
            </w:r>
          </w:p>
        </w:tc>
        <w:tc>
          <w:tcPr>
            <w:tcW w:w="4170" w:type="dxa"/>
            <w:gridSpan w:val="5"/>
            <w:shd w:val="clear" w:color="auto" w:fill="CCE2ED"/>
          </w:tcPr>
          <w:p w14:paraId="58AD9105" w14:textId="77777777" w:rsidR="00141B97" w:rsidRDefault="00141B97">
            <w:pPr>
              <w:pStyle w:val="TableParagraph"/>
              <w:rPr>
                <w:sz w:val="12"/>
              </w:rPr>
            </w:pPr>
          </w:p>
          <w:p w14:paraId="15A148FB" w14:textId="77777777" w:rsidR="00141B97" w:rsidRDefault="00911D63">
            <w:pPr>
              <w:pStyle w:val="TableParagraph"/>
              <w:spacing w:before="1"/>
              <w:ind w:left="1811" w:right="1801"/>
              <w:jc w:val="center"/>
              <w:rPr>
                <w:sz w:val="16"/>
              </w:rPr>
            </w:pPr>
            <w:r>
              <w:rPr>
                <w:spacing w:val="-4"/>
                <w:sz w:val="16"/>
              </w:rPr>
              <w:t>100%</w:t>
            </w:r>
          </w:p>
        </w:tc>
      </w:tr>
      <w:tr w:rsidR="00141B97" w14:paraId="570563CE" w14:textId="77777777">
        <w:trPr>
          <w:trHeight w:val="491"/>
          <w:tblCellSpacing w:w="7" w:type="dxa"/>
        </w:trPr>
        <w:tc>
          <w:tcPr>
            <w:tcW w:w="4841" w:type="dxa"/>
            <w:shd w:val="clear" w:color="auto" w:fill="CCE2ED"/>
          </w:tcPr>
          <w:p w14:paraId="3C7DE164" w14:textId="77777777" w:rsidR="00141B97" w:rsidRDefault="00911D63">
            <w:pPr>
              <w:pStyle w:val="TableParagraph"/>
              <w:spacing w:before="1"/>
              <w:ind w:left="14" w:right="29"/>
              <w:rPr>
                <w:sz w:val="16"/>
              </w:rPr>
            </w:pPr>
            <w:r>
              <w:rPr>
                <w:sz w:val="16"/>
              </w:rPr>
              <w:t>Customer</w:t>
            </w:r>
            <w:r>
              <w:rPr>
                <w:spacing w:val="-2"/>
                <w:sz w:val="16"/>
              </w:rPr>
              <w:t xml:space="preserve"> </w:t>
            </w:r>
            <w:r>
              <w:rPr>
                <w:sz w:val="16"/>
              </w:rPr>
              <w:t>overall</w:t>
            </w:r>
            <w:r>
              <w:rPr>
                <w:spacing w:val="-4"/>
                <w:sz w:val="16"/>
              </w:rPr>
              <w:t xml:space="preserve"> </w:t>
            </w:r>
            <w:r>
              <w:rPr>
                <w:sz w:val="16"/>
              </w:rPr>
              <w:t>satisfaction</w:t>
            </w:r>
            <w:r>
              <w:rPr>
                <w:spacing w:val="-2"/>
                <w:sz w:val="16"/>
              </w:rPr>
              <w:t xml:space="preserve"> </w:t>
            </w:r>
            <w:r>
              <w:rPr>
                <w:sz w:val="16"/>
              </w:rPr>
              <w:t>of</w:t>
            </w:r>
            <w:r>
              <w:rPr>
                <w:spacing w:val="-3"/>
                <w:sz w:val="16"/>
              </w:rPr>
              <w:t xml:space="preserve"> </w:t>
            </w:r>
            <w:r>
              <w:rPr>
                <w:sz w:val="16"/>
              </w:rPr>
              <w:t>LMW</w:t>
            </w:r>
            <w:r>
              <w:rPr>
                <w:spacing w:val="-3"/>
                <w:sz w:val="16"/>
              </w:rPr>
              <w:t xml:space="preserve"> </w:t>
            </w:r>
            <w:r>
              <w:rPr>
                <w:sz w:val="16"/>
              </w:rPr>
              <w:t>–</w:t>
            </w:r>
            <w:r>
              <w:rPr>
                <w:spacing w:val="-4"/>
                <w:sz w:val="16"/>
              </w:rPr>
              <w:t xml:space="preserve"> </w:t>
            </w:r>
            <w:r>
              <w:rPr>
                <w:sz w:val="16"/>
              </w:rPr>
              <w:t>Target</w:t>
            </w:r>
            <w:r>
              <w:rPr>
                <w:spacing w:val="-2"/>
                <w:sz w:val="16"/>
              </w:rPr>
              <w:t xml:space="preserve"> </w:t>
            </w:r>
            <w:r>
              <w:rPr>
                <w:sz w:val="16"/>
              </w:rPr>
              <w:t>=</w:t>
            </w:r>
            <w:r>
              <w:rPr>
                <w:spacing w:val="-4"/>
                <w:sz w:val="16"/>
              </w:rPr>
              <w:t xml:space="preserve"> </w:t>
            </w:r>
            <w:r>
              <w:rPr>
                <w:sz w:val="16"/>
              </w:rPr>
              <w:t>&gt;/=</w:t>
            </w:r>
            <w:r>
              <w:rPr>
                <w:spacing w:val="-4"/>
                <w:sz w:val="16"/>
              </w:rPr>
              <w:t xml:space="preserve"> </w:t>
            </w:r>
            <w:r>
              <w:rPr>
                <w:sz w:val="16"/>
              </w:rPr>
              <w:t>prior</w:t>
            </w:r>
            <w:r>
              <w:rPr>
                <w:spacing w:val="-4"/>
                <w:sz w:val="16"/>
              </w:rPr>
              <w:t xml:space="preserve"> </w:t>
            </w:r>
            <w:r>
              <w:rPr>
                <w:sz w:val="16"/>
              </w:rPr>
              <w:t>year</w:t>
            </w:r>
            <w:r>
              <w:rPr>
                <w:spacing w:val="40"/>
                <w:sz w:val="16"/>
              </w:rPr>
              <w:t xml:space="preserve"> </w:t>
            </w:r>
            <w:r>
              <w:rPr>
                <w:sz w:val="16"/>
              </w:rPr>
              <w:t>performance of survey respondents</w:t>
            </w:r>
          </w:p>
        </w:tc>
        <w:tc>
          <w:tcPr>
            <w:tcW w:w="733" w:type="dxa"/>
            <w:shd w:val="clear" w:color="auto" w:fill="CCE2ED"/>
          </w:tcPr>
          <w:p w14:paraId="443C932B" w14:textId="77777777" w:rsidR="00141B97" w:rsidRDefault="00911D63">
            <w:pPr>
              <w:pStyle w:val="TableParagraph"/>
              <w:spacing w:before="50"/>
              <w:ind w:left="21"/>
              <w:rPr>
                <w:sz w:val="16"/>
              </w:rPr>
            </w:pPr>
            <w:r>
              <w:rPr>
                <w:spacing w:val="-2"/>
                <w:sz w:val="16"/>
              </w:rPr>
              <w:t>2022/23</w:t>
            </w:r>
          </w:p>
          <w:p w14:paraId="62E6AA4B" w14:textId="77777777" w:rsidR="00141B97" w:rsidRDefault="00911D63">
            <w:pPr>
              <w:pStyle w:val="TableParagraph"/>
              <w:ind w:left="21"/>
              <w:rPr>
                <w:sz w:val="16"/>
              </w:rPr>
            </w:pPr>
            <w:r>
              <w:rPr>
                <w:spacing w:val="-2"/>
                <w:sz w:val="16"/>
              </w:rPr>
              <w:t>result</w:t>
            </w:r>
          </w:p>
        </w:tc>
        <w:tc>
          <w:tcPr>
            <w:tcW w:w="914" w:type="dxa"/>
            <w:shd w:val="clear" w:color="auto" w:fill="CCE2ED"/>
          </w:tcPr>
          <w:p w14:paraId="461FD8A3" w14:textId="77777777" w:rsidR="00141B97" w:rsidRDefault="00141B97">
            <w:pPr>
              <w:pStyle w:val="TableParagraph"/>
              <w:spacing w:before="2"/>
              <w:rPr>
                <w:sz w:val="12"/>
              </w:rPr>
            </w:pPr>
          </w:p>
          <w:p w14:paraId="4EC6B370" w14:textId="77777777" w:rsidR="00141B97" w:rsidRDefault="00911D63">
            <w:pPr>
              <w:pStyle w:val="TableParagraph"/>
              <w:ind w:right="147"/>
              <w:jc w:val="right"/>
              <w:rPr>
                <w:sz w:val="16"/>
              </w:rPr>
            </w:pPr>
            <w:r>
              <w:rPr>
                <w:spacing w:val="-2"/>
                <w:sz w:val="16"/>
              </w:rPr>
              <w:t>=/&gt;22/23</w:t>
            </w:r>
          </w:p>
        </w:tc>
        <w:tc>
          <w:tcPr>
            <w:tcW w:w="778" w:type="dxa"/>
            <w:shd w:val="clear" w:color="auto" w:fill="CCE2ED"/>
          </w:tcPr>
          <w:p w14:paraId="37DEC1CE" w14:textId="77777777" w:rsidR="00141B97" w:rsidRDefault="00141B97">
            <w:pPr>
              <w:pStyle w:val="TableParagraph"/>
              <w:spacing w:before="2"/>
              <w:rPr>
                <w:sz w:val="12"/>
              </w:rPr>
            </w:pPr>
          </w:p>
          <w:p w14:paraId="77BDC7CF" w14:textId="77777777" w:rsidR="00141B97" w:rsidRDefault="00911D63">
            <w:pPr>
              <w:pStyle w:val="TableParagraph"/>
              <w:ind w:right="78"/>
              <w:jc w:val="right"/>
              <w:rPr>
                <w:sz w:val="16"/>
              </w:rPr>
            </w:pPr>
            <w:r>
              <w:rPr>
                <w:spacing w:val="-2"/>
                <w:sz w:val="16"/>
              </w:rPr>
              <w:t>=/&gt;23/24</w:t>
            </w:r>
          </w:p>
        </w:tc>
        <w:tc>
          <w:tcPr>
            <w:tcW w:w="774" w:type="dxa"/>
            <w:shd w:val="clear" w:color="auto" w:fill="CCE2ED"/>
          </w:tcPr>
          <w:p w14:paraId="46A75772" w14:textId="77777777" w:rsidR="00141B97" w:rsidRDefault="00141B97">
            <w:pPr>
              <w:pStyle w:val="TableParagraph"/>
              <w:spacing w:before="2"/>
              <w:rPr>
                <w:sz w:val="12"/>
              </w:rPr>
            </w:pPr>
          </w:p>
          <w:p w14:paraId="1CD28503" w14:textId="77777777" w:rsidR="00141B97" w:rsidRDefault="00911D63">
            <w:pPr>
              <w:pStyle w:val="TableParagraph"/>
              <w:ind w:right="75"/>
              <w:jc w:val="right"/>
              <w:rPr>
                <w:sz w:val="16"/>
              </w:rPr>
            </w:pPr>
            <w:r>
              <w:rPr>
                <w:spacing w:val="-2"/>
                <w:sz w:val="16"/>
              </w:rPr>
              <w:t>=/&gt;24/25</w:t>
            </w:r>
          </w:p>
        </w:tc>
        <w:tc>
          <w:tcPr>
            <w:tcW w:w="778" w:type="dxa"/>
            <w:shd w:val="clear" w:color="auto" w:fill="CCE2ED"/>
          </w:tcPr>
          <w:p w14:paraId="53457A56" w14:textId="77777777" w:rsidR="00141B97" w:rsidRDefault="00141B97">
            <w:pPr>
              <w:pStyle w:val="TableParagraph"/>
              <w:spacing w:before="2"/>
              <w:rPr>
                <w:sz w:val="12"/>
              </w:rPr>
            </w:pPr>
          </w:p>
          <w:p w14:paraId="2B732290" w14:textId="77777777" w:rsidR="00141B97" w:rsidRDefault="00911D63">
            <w:pPr>
              <w:pStyle w:val="TableParagraph"/>
              <w:ind w:right="76"/>
              <w:jc w:val="right"/>
              <w:rPr>
                <w:sz w:val="16"/>
              </w:rPr>
            </w:pPr>
            <w:r>
              <w:rPr>
                <w:spacing w:val="-2"/>
                <w:sz w:val="16"/>
              </w:rPr>
              <w:t>=/&gt;25/26</w:t>
            </w:r>
          </w:p>
        </w:tc>
        <w:tc>
          <w:tcPr>
            <w:tcW w:w="926" w:type="dxa"/>
            <w:shd w:val="clear" w:color="auto" w:fill="CCE2ED"/>
          </w:tcPr>
          <w:p w14:paraId="7B01C8AC" w14:textId="77777777" w:rsidR="00141B97" w:rsidRDefault="00141B97">
            <w:pPr>
              <w:pStyle w:val="TableParagraph"/>
              <w:spacing w:before="2"/>
              <w:rPr>
                <w:sz w:val="12"/>
              </w:rPr>
            </w:pPr>
          </w:p>
          <w:p w14:paraId="0E7C70F0" w14:textId="77777777" w:rsidR="00141B97" w:rsidRDefault="00911D63">
            <w:pPr>
              <w:pStyle w:val="TableParagraph"/>
              <w:ind w:right="146"/>
              <w:jc w:val="right"/>
              <w:rPr>
                <w:sz w:val="16"/>
              </w:rPr>
            </w:pPr>
            <w:r>
              <w:rPr>
                <w:spacing w:val="-2"/>
                <w:sz w:val="16"/>
              </w:rPr>
              <w:t>=/&gt;26/27</w:t>
            </w:r>
          </w:p>
        </w:tc>
      </w:tr>
      <w:tr w:rsidR="00141B97" w14:paraId="3F3B7590" w14:textId="77777777">
        <w:trPr>
          <w:trHeight w:val="390"/>
          <w:tblCellSpacing w:w="7" w:type="dxa"/>
        </w:trPr>
        <w:tc>
          <w:tcPr>
            <w:tcW w:w="4841" w:type="dxa"/>
            <w:shd w:val="clear" w:color="auto" w:fill="CCE2ED"/>
          </w:tcPr>
          <w:p w14:paraId="04D2ADA8" w14:textId="77777777" w:rsidR="00141B97" w:rsidRDefault="00911D63">
            <w:pPr>
              <w:pStyle w:val="TableParagraph"/>
              <w:spacing w:line="195" w:lineRule="exact"/>
              <w:ind w:left="14"/>
              <w:rPr>
                <w:sz w:val="16"/>
              </w:rPr>
            </w:pPr>
            <w:r>
              <w:rPr>
                <w:sz w:val="16"/>
              </w:rPr>
              <w:t>Percentage</w:t>
            </w:r>
            <w:r>
              <w:rPr>
                <w:spacing w:val="-7"/>
                <w:sz w:val="16"/>
              </w:rPr>
              <w:t xml:space="preserve"> </w:t>
            </w:r>
            <w:r>
              <w:rPr>
                <w:sz w:val="16"/>
              </w:rPr>
              <w:t>of</w:t>
            </w:r>
            <w:r>
              <w:rPr>
                <w:spacing w:val="-5"/>
                <w:sz w:val="16"/>
              </w:rPr>
              <w:t xml:space="preserve"> </w:t>
            </w:r>
            <w:r>
              <w:rPr>
                <w:sz w:val="16"/>
              </w:rPr>
              <w:t>electrical</w:t>
            </w:r>
            <w:r>
              <w:rPr>
                <w:spacing w:val="-6"/>
                <w:sz w:val="16"/>
              </w:rPr>
              <w:t xml:space="preserve"> </w:t>
            </w:r>
            <w:r>
              <w:rPr>
                <w:sz w:val="16"/>
              </w:rPr>
              <w:t>energy</w:t>
            </w:r>
            <w:r>
              <w:rPr>
                <w:spacing w:val="-5"/>
                <w:sz w:val="16"/>
              </w:rPr>
              <w:t xml:space="preserve"> </w:t>
            </w:r>
            <w:r>
              <w:rPr>
                <w:sz w:val="16"/>
              </w:rPr>
              <w:t>from</w:t>
            </w:r>
            <w:r>
              <w:rPr>
                <w:spacing w:val="-4"/>
                <w:sz w:val="16"/>
              </w:rPr>
              <w:t xml:space="preserve"> </w:t>
            </w:r>
            <w:r>
              <w:rPr>
                <w:sz w:val="16"/>
              </w:rPr>
              <w:t>renewable</w:t>
            </w:r>
            <w:r>
              <w:rPr>
                <w:spacing w:val="-6"/>
                <w:sz w:val="16"/>
              </w:rPr>
              <w:t xml:space="preserve"> </w:t>
            </w:r>
            <w:r>
              <w:rPr>
                <w:sz w:val="16"/>
              </w:rPr>
              <w:t>sources</w:t>
            </w:r>
            <w:r>
              <w:rPr>
                <w:spacing w:val="-6"/>
                <w:sz w:val="16"/>
              </w:rPr>
              <w:t xml:space="preserve"> </w:t>
            </w:r>
            <w:r>
              <w:rPr>
                <w:sz w:val="16"/>
              </w:rPr>
              <w:t>by</w:t>
            </w:r>
            <w:r>
              <w:rPr>
                <w:spacing w:val="-5"/>
                <w:sz w:val="16"/>
              </w:rPr>
              <w:t xml:space="preserve"> </w:t>
            </w:r>
            <w:r>
              <w:rPr>
                <w:sz w:val="16"/>
              </w:rPr>
              <w:t>2025</w:t>
            </w:r>
            <w:r>
              <w:rPr>
                <w:spacing w:val="-7"/>
                <w:sz w:val="16"/>
              </w:rPr>
              <w:t xml:space="preserve"> </w:t>
            </w:r>
            <w:r>
              <w:rPr>
                <w:sz w:val="16"/>
              </w:rPr>
              <w:t>–</w:t>
            </w:r>
            <w:r>
              <w:rPr>
                <w:spacing w:val="-5"/>
                <w:sz w:val="16"/>
              </w:rPr>
              <w:t xml:space="preserve"> </w:t>
            </w:r>
            <w:r>
              <w:rPr>
                <w:spacing w:val="-2"/>
                <w:sz w:val="16"/>
              </w:rPr>
              <w:t>Target</w:t>
            </w:r>
          </w:p>
          <w:p w14:paraId="215CB503" w14:textId="77777777" w:rsidR="00141B97" w:rsidRDefault="00911D63">
            <w:pPr>
              <w:pStyle w:val="TableParagraph"/>
              <w:spacing w:line="176" w:lineRule="exact"/>
              <w:ind w:left="14"/>
              <w:rPr>
                <w:sz w:val="16"/>
              </w:rPr>
            </w:pPr>
            <w:r>
              <w:rPr>
                <w:sz w:val="16"/>
              </w:rPr>
              <w:t>=</w:t>
            </w:r>
            <w:r>
              <w:rPr>
                <w:spacing w:val="-2"/>
                <w:sz w:val="16"/>
              </w:rPr>
              <w:t xml:space="preserve"> </w:t>
            </w:r>
            <w:r>
              <w:rPr>
                <w:spacing w:val="-4"/>
                <w:sz w:val="16"/>
              </w:rPr>
              <w:t>100%</w:t>
            </w:r>
          </w:p>
        </w:tc>
        <w:tc>
          <w:tcPr>
            <w:tcW w:w="733" w:type="dxa"/>
            <w:shd w:val="clear" w:color="auto" w:fill="CCE2ED"/>
          </w:tcPr>
          <w:p w14:paraId="7C9909A8" w14:textId="77777777" w:rsidR="00141B97" w:rsidRDefault="00911D63">
            <w:pPr>
              <w:pStyle w:val="TableParagraph"/>
              <w:spacing w:before="97"/>
              <w:ind w:left="57"/>
              <w:rPr>
                <w:sz w:val="16"/>
              </w:rPr>
            </w:pPr>
            <w:r>
              <w:rPr>
                <w:spacing w:val="-5"/>
                <w:sz w:val="16"/>
              </w:rPr>
              <w:t>NA</w:t>
            </w:r>
          </w:p>
        </w:tc>
        <w:tc>
          <w:tcPr>
            <w:tcW w:w="1692" w:type="dxa"/>
            <w:gridSpan w:val="2"/>
            <w:shd w:val="clear" w:color="auto" w:fill="CCE2ED"/>
          </w:tcPr>
          <w:p w14:paraId="16145C82" w14:textId="77777777" w:rsidR="00141B97" w:rsidRDefault="00911D63">
            <w:pPr>
              <w:pStyle w:val="TableParagraph"/>
              <w:spacing w:before="97"/>
              <w:ind w:left="735" w:right="733"/>
              <w:jc w:val="center"/>
              <w:rPr>
                <w:sz w:val="16"/>
              </w:rPr>
            </w:pPr>
            <w:r>
              <w:rPr>
                <w:spacing w:val="-5"/>
                <w:sz w:val="16"/>
              </w:rPr>
              <w:t>NA</w:t>
            </w:r>
          </w:p>
        </w:tc>
        <w:tc>
          <w:tcPr>
            <w:tcW w:w="2478" w:type="dxa"/>
            <w:gridSpan w:val="3"/>
            <w:shd w:val="clear" w:color="auto" w:fill="CCE2ED"/>
          </w:tcPr>
          <w:p w14:paraId="262D9F0D" w14:textId="77777777" w:rsidR="00141B97" w:rsidRDefault="00911D63">
            <w:pPr>
              <w:pStyle w:val="TableParagraph"/>
              <w:spacing w:before="97"/>
              <w:ind w:left="1053" w:right="1043"/>
              <w:jc w:val="center"/>
              <w:rPr>
                <w:sz w:val="16"/>
              </w:rPr>
            </w:pPr>
            <w:r>
              <w:rPr>
                <w:spacing w:val="-4"/>
                <w:sz w:val="16"/>
              </w:rPr>
              <w:t>100%</w:t>
            </w:r>
          </w:p>
        </w:tc>
      </w:tr>
    </w:tbl>
    <w:p w14:paraId="6719E5DC" w14:textId="77777777" w:rsidR="00141B97" w:rsidRDefault="00911D63">
      <w:pPr>
        <w:spacing w:before="23"/>
        <w:ind w:left="114"/>
        <w:jc w:val="both"/>
        <w:rPr>
          <w:sz w:val="16"/>
        </w:rPr>
      </w:pPr>
      <w:r>
        <w:rPr>
          <w:sz w:val="16"/>
        </w:rPr>
        <w:t>Table</w:t>
      </w:r>
      <w:r>
        <w:rPr>
          <w:spacing w:val="-6"/>
          <w:sz w:val="16"/>
        </w:rPr>
        <w:t xml:space="preserve"> </w:t>
      </w:r>
      <w:r>
        <w:rPr>
          <w:sz w:val="16"/>
        </w:rPr>
        <w:t>C15:</w:t>
      </w:r>
      <w:r>
        <w:rPr>
          <w:spacing w:val="-7"/>
          <w:sz w:val="16"/>
        </w:rPr>
        <w:t xml:space="preserve"> </w:t>
      </w:r>
      <w:r>
        <w:rPr>
          <w:sz w:val="16"/>
        </w:rPr>
        <w:t>Customer</w:t>
      </w:r>
      <w:r>
        <w:rPr>
          <w:spacing w:val="-7"/>
          <w:sz w:val="16"/>
        </w:rPr>
        <w:t xml:space="preserve"> </w:t>
      </w:r>
      <w:r>
        <w:rPr>
          <w:sz w:val="16"/>
        </w:rPr>
        <w:t>Outcomes</w:t>
      </w:r>
      <w:r>
        <w:rPr>
          <w:spacing w:val="-8"/>
          <w:sz w:val="16"/>
        </w:rPr>
        <w:t xml:space="preserve"> </w:t>
      </w:r>
      <w:r>
        <w:rPr>
          <w:sz w:val="16"/>
        </w:rPr>
        <w:t>and</w:t>
      </w:r>
      <w:r>
        <w:rPr>
          <w:spacing w:val="-7"/>
          <w:sz w:val="16"/>
        </w:rPr>
        <w:t xml:space="preserve"> </w:t>
      </w:r>
      <w:r>
        <w:rPr>
          <w:sz w:val="16"/>
        </w:rPr>
        <w:t>Proposed</w:t>
      </w:r>
      <w:r>
        <w:rPr>
          <w:spacing w:val="-6"/>
          <w:sz w:val="16"/>
        </w:rPr>
        <w:t xml:space="preserve"> </w:t>
      </w:r>
      <w:r>
        <w:rPr>
          <w:sz w:val="16"/>
        </w:rPr>
        <w:t>Performance</w:t>
      </w:r>
      <w:r>
        <w:rPr>
          <w:spacing w:val="-6"/>
          <w:sz w:val="16"/>
        </w:rPr>
        <w:t xml:space="preserve"> </w:t>
      </w:r>
      <w:r>
        <w:rPr>
          <w:spacing w:val="-2"/>
          <w:sz w:val="16"/>
        </w:rPr>
        <w:t>Targets</w:t>
      </w:r>
    </w:p>
    <w:p w14:paraId="67940CE0" w14:textId="77777777" w:rsidR="00141B97" w:rsidRDefault="00141B97">
      <w:pPr>
        <w:pStyle w:val="BodyText"/>
        <w:spacing w:before="11"/>
      </w:pPr>
    </w:p>
    <w:p w14:paraId="35BED30E" w14:textId="77777777" w:rsidR="00141B97" w:rsidRDefault="00911D63">
      <w:pPr>
        <w:pStyle w:val="BodyText"/>
        <w:ind w:left="113" w:right="949"/>
        <w:jc w:val="both"/>
      </w:pPr>
      <w:r>
        <w:t>As detailed in above in Section 3.2, proposed changes to service levels and annual targets were informed by LMW’s customer preferences. Customer engagement has clarified and refined the business operations key priorities to ensure changes to people, processes and technology are planned to deliver customer outcomes and value. As LMW continues its business transformation journey existing staff roles and new technology will be designed to meet outcome deliverables with no expected impacts on expenditure forecasts.</w:t>
      </w:r>
    </w:p>
    <w:p w14:paraId="74B38637" w14:textId="77777777" w:rsidR="00141B97" w:rsidRDefault="00141B97">
      <w:pPr>
        <w:pStyle w:val="BodyText"/>
        <w:spacing w:before="1"/>
        <w:rPr>
          <w:sz w:val="31"/>
        </w:rPr>
      </w:pPr>
    </w:p>
    <w:p w14:paraId="2630ECC9" w14:textId="77777777" w:rsidR="00141B97" w:rsidRDefault="00911D63">
      <w:pPr>
        <w:pStyle w:val="Heading2"/>
        <w:numPr>
          <w:ilvl w:val="1"/>
          <w:numId w:val="37"/>
        </w:numPr>
        <w:tabs>
          <w:tab w:val="left" w:pos="1112"/>
          <w:tab w:val="left" w:pos="1113"/>
        </w:tabs>
        <w:spacing w:before="1"/>
        <w:rPr>
          <w:color w:val="009BAC"/>
        </w:rPr>
      </w:pPr>
      <w:r>
        <w:rPr>
          <w:color w:val="009BAC"/>
        </w:rPr>
        <w:t>Delivering</w:t>
      </w:r>
      <w:r>
        <w:rPr>
          <w:color w:val="009BAC"/>
          <w:spacing w:val="-11"/>
        </w:rPr>
        <w:t xml:space="preserve"> </w:t>
      </w:r>
      <w:r>
        <w:rPr>
          <w:color w:val="009BAC"/>
        </w:rPr>
        <w:t>on</w:t>
      </w:r>
      <w:r>
        <w:rPr>
          <w:color w:val="009BAC"/>
          <w:spacing w:val="-8"/>
        </w:rPr>
        <w:t xml:space="preserve"> </w:t>
      </w:r>
      <w:r>
        <w:rPr>
          <w:color w:val="009BAC"/>
        </w:rPr>
        <w:t>Outcomes</w:t>
      </w:r>
      <w:r>
        <w:rPr>
          <w:color w:val="009BAC"/>
          <w:spacing w:val="-8"/>
        </w:rPr>
        <w:t xml:space="preserve"> </w:t>
      </w:r>
      <w:r>
        <w:rPr>
          <w:color w:val="009BAC"/>
          <w:spacing w:val="-2"/>
        </w:rPr>
        <w:t>Commitments</w:t>
      </w:r>
    </w:p>
    <w:p w14:paraId="3DF897C9" w14:textId="77777777" w:rsidR="00141B97" w:rsidRDefault="00911D63">
      <w:pPr>
        <w:pStyle w:val="BodyText"/>
        <w:spacing w:before="121"/>
        <w:ind w:left="113" w:right="949"/>
        <w:jc w:val="both"/>
      </w:pPr>
      <w:r>
        <w:t>LMW’s</w:t>
      </w:r>
      <w:r>
        <w:rPr>
          <w:spacing w:val="-3"/>
        </w:rPr>
        <w:t xml:space="preserve"> </w:t>
      </w:r>
      <w:r>
        <w:t>Board</w:t>
      </w:r>
      <w:r>
        <w:rPr>
          <w:spacing w:val="-2"/>
        </w:rPr>
        <w:t xml:space="preserve"> </w:t>
      </w:r>
      <w:r>
        <w:t>adopted</w:t>
      </w:r>
      <w:r>
        <w:rPr>
          <w:spacing w:val="-2"/>
        </w:rPr>
        <w:t xml:space="preserve"> </w:t>
      </w:r>
      <w:r>
        <w:t>the</w:t>
      </w:r>
      <w:r>
        <w:rPr>
          <w:spacing w:val="-3"/>
        </w:rPr>
        <w:t xml:space="preserve"> </w:t>
      </w:r>
      <w:r>
        <w:t>Customer</w:t>
      </w:r>
      <w:r>
        <w:rPr>
          <w:spacing w:val="-1"/>
        </w:rPr>
        <w:t xml:space="preserve"> </w:t>
      </w:r>
      <w:r>
        <w:t>Engagement</w:t>
      </w:r>
      <w:r>
        <w:rPr>
          <w:spacing w:val="-4"/>
        </w:rPr>
        <w:t xml:space="preserve"> </w:t>
      </w:r>
      <w:r>
        <w:t>Strategy</w:t>
      </w:r>
      <w:r>
        <w:rPr>
          <w:spacing w:val="-2"/>
        </w:rPr>
        <w:t xml:space="preserve"> </w:t>
      </w:r>
      <w:r>
        <w:t>in</w:t>
      </w:r>
      <w:r>
        <w:rPr>
          <w:spacing w:val="-2"/>
        </w:rPr>
        <w:t xml:space="preserve"> </w:t>
      </w:r>
      <w:r>
        <w:t>2021</w:t>
      </w:r>
      <w:r>
        <w:rPr>
          <w:spacing w:val="-3"/>
        </w:rPr>
        <w:t xml:space="preserve"> </w:t>
      </w:r>
      <w:r>
        <w:t>which</w:t>
      </w:r>
      <w:r>
        <w:rPr>
          <w:spacing w:val="-3"/>
        </w:rPr>
        <w:t xml:space="preserve"> </w:t>
      </w:r>
      <w:r>
        <w:t>included</w:t>
      </w:r>
      <w:r>
        <w:rPr>
          <w:spacing w:val="-2"/>
        </w:rPr>
        <w:t xml:space="preserve"> </w:t>
      </w:r>
      <w:r>
        <w:t>the</w:t>
      </w:r>
      <w:r>
        <w:rPr>
          <w:spacing w:val="-2"/>
        </w:rPr>
        <w:t xml:space="preserve"> </w:t>
      </w:r>
      <w:r>
        <w:t>principles</w:t>
      </w:r>
      <w:r>
        <w:rPr>
          <w:spacing w:val="-2"/>
        </w:rPr>
        <w:t xml:space="preserve"> </w:t>
      </w:r>
      <w:r>
        <w:t>articulated</w:t>
      </w:r>
      <w:r>
        <w:rPr>
          <w:spacing w:val="-3"/>
        </w:rPr>
        <w:t xml:space="preserve"> </w:t>
      </w:r>
      <w:r>
        <w:t>by the IAP2. The key aim of this is to ensure a better level of trust, service and appreciation between customers, stakeholders and LMW.</w:t>
      </w:r>
    </w:p>
    <w:p w14:paraId="04E3DFC7" w14:textId="77777777" w:rsidR="00141B97" w:rsidRDefault="00141B97">
      <w:pPr>
        <w:pStyle w:val="BodyText"/>
        <w:spacing w:before="11"/>
        <w:rPr>
          <w:sz w:val="21"/>
        </w:rPr>
      </w:pPr>
    </w:p>
    <w:p w14:paraId="350C7C08" w14:textId="77777777" w:rsidR="00141B97" w:rsidRDefault="00911D63">
      <w:pPr>
        <w:pStyle w:val="BodyText"/>
        <w:spacing w:before="1"/>
        <w:ind w:left="113" w:right="947"/>
        <w:jc w:val="both"/>
      </w:pPr>
      <w:r>
        <w:t>LMW’s</w:t>
      </w:r>
      <w:r>
        <w:rPr>
          <w:spacing w:val="-13"/>
        </w:rPr>
        <w:t xml:space="preserve"> </w:t>
      </w:r>
      <w:r>
        <w:t>review</w:t>
      </w:r>
      <w:r>
        <w:rPr>
          <w:spacing w:val="-12"/>
        </w:rPr>
        <w:t xml:space="preserve"> </w:t>
      </w:r>
      <w:r>
        <w:t>of</w:t>
      </w:r>
      <w:r>
        <w:rPr>
          <w:spacing w:val="-13"/>
        </w:rPr>
        <w:t xml:space="preserve"> </w:t>
      </w:r>
      <w:r>
        <w:t>its</w:t>
      </w:r>
      <w:r>
        <w:rPr>
          <w:spacing w:val="-12"/>
        </w:rPr>
        <w:t xml:space="preserve"> </w:t>
      </w:r>
      <w:r>
        <w:t>People,</w:t>
      </w:r>
      <w:r>
        <w:rPr>
          <w:spacing w:val="-13"/>
        </w:rPr>
        <w:t xml:space="preserve"> </w:t>
      </w:r>
      <w:r>
        <w:t>Customer</w:t>
      </w:r>
      <w:r>
        <w:rPr>
          <w:spacing w:val="-12"/>
        </w:rPr>
        <w:t xml:space="preserve"> </w:t>
      </w:r>
      <w:r>
        <w:t>and</w:t>
      </w:r>
      <w:r>
        <w:rPr>
          <w:spacing w:val="-13"/>
        </w:rPr>
        <w:t xml:space="preserve"> </w:t>
      </w:r>
      <w:r>
        <w:t>Stakeholder</w:t>
      </w:r>
      <w:r>
        <w:rPr>
          <w:spacing w:val="-12"/>
        </w:rPr>
        <w:t xml:space="preserve"> </w:t>
      </w:r>
      <w:r>
        <w:t>functions</w:t>
      </w:r>
      <w:r>
        <w:rPr>
          <w:spacing w:val="-12"/>
        </w:rPr>
        <w:t xml:space="preserve"> </w:t>
      </w:r>
      <w:r>
        <w:t>in</w:t>
      </w:r>
      <w:r>
        <w:rPr>
          <w:spacing w:val="-13"/>
        </w:rPr>
        <w:t xml:space="preserve"> </w:t>
      </w:r>
      <w:r>
        <w:t>2021</w:t>
      </w:r>
      <w:r>
        <w:rPr>
          <w:spacing w:val="-12"/>
        </w:rPr>
        <w:t xml:space="preserve"> </w:t>
      </w:r>
      <w:r>
        <w:t>to</w:t>
      </w:r>
      <w:r>
        <w:rPr>
          <w:spacing w:val="-13"/>
        </w:rPr>
        <w:t xml:space="preserve"> </w:t>
      </w:r>
      <w:r>
        <w:t>strengthen</w:t>
      </w:r>
      <w:r>
        <w:rPr>
          <w:spacing w:val="-12"/>
        </w:rPr>
        <w:t xml:space="preserve"> </w:t>
      </w:r>
      <w:r>
        <w:t>the</w:t>
      </w:r>
      <w:r>
        <w:rPr>
          <w:spacing w:val="-13"/>
        </w:rPr>
        <w:t xml:space="preserve"> </w:t>
      </w:r>
      <w:r>
        <w:t>link</w:t>
      </w:r>
      <w:r>
        <w:rPr>
          <w:spacing w:val="-12"/>
        </w:rPr>
        <w:t xml:space="preserve"> </w:t>
      </w:r>
      <w:r>
        <w:t>between</w:t>
      </w:r>
      <w:r>
        <w:rPr>
          <w:spacing w:val="-12"/>
        </w:rPr>
        <w:t xml:space="preserve"> </w:t>
      </w:r>
      <w:r>
        <w:t>internal and</w:t>
      </w:r>
      <w:r>
        <w:rPr>
          <w:spacing w:val="-9"/>
        </w:rPr>
        <w:t xml:space="preserve"> </w:t>
      </w:r>
      <w:r>
        <w:t>external</w:t>
      </w:r>
      <w:r>
        <w:rPr>
          <w:spacing w:val="-10"/>
        </w:rPr>
        <w:t xml:space="preserve"> </w:t>
      </w:r>
      <w:r>
        <w:t>customers</w:t>
      </w:r>
      <w:r>
        <w:rPr>
          <w:spacing w:val="-8"/>
        </w:rPr>
        <w:t xml:space="preserve"> </w:t>
      </w:r>
      <w:r>
        <w:t>has</w:t>
      </w:r>
      <w:r>
        <w:rPr>
          <w:spacing w:val="-10"/>
        </w:rPr>
        <w:t xml:space="preserve"> </w:t>
      </w:r>
      <w:r>
        <w:t>enabled</w:t>
      </w:r>
      <w:r>
        <w:rPr>
          <w:spacing w:val="-9"/>
        </w:rPr>
        <w:t xml:space="preserve"> </w:t>
      </w:r>
      <w:r>
        <w:t>LMW</w:t>
      </w:r>
      <w:r>
        <w:rPr>
          <w:spacing w:val="-11"/>
        </w:rPr>
        <w:t xml:space="preserve"> </w:t>
      </w:r>
      <w:r>
        <w:t>to</w:t>
      </w:r>
      <w:r>
        <w:rPr>
          <w:spacing w:val="-10"/>
        </w:rPr>
        <w:t xml:space="preserve"> </w:t>
      </w:r>
      <w:r>
        <w:t>engage</w:t>
      </w:r>
      <w:r>
        <w:rPr>
          <w:spacing w:val="-9"/>
        </w:rPr>
        <w:t xml:space="preserve"> </w:t>
      </w:r>
      <w:r>
        <w:t>more</w:t>
      </w:r>
      <w:r>
        <w:rPr>
          <w:spacing w:val="-10"/>
        </w:rPr>
        <w:t xml:space="preserve"> </w:t>
      </w:r>
      <w:r>
        <w:t>authentically</w:t>
      </w:r>
      <w:r>
        <w:rPr>
          <w:spacing w:val="-10"/>
        </w:rPr>
        <w:t xml:space="preserve"> </w:t>
      </w:r>
      <w:r>
        <w:t>with</w:t>
      </w:r>
      <w:r>
        <w:rPr>
          <w:spacing w:val="-9"/>
        </w:rPr>
        <w:t xml:space="preserve"> </w:t>
      </w:r>
      <w:r>
        <w:t>the</w:t>
      </w:r>
      <w:r>
        <w:rPr>
          <w:spacing w:val="-10"/>
        </w:rPr>
        <w:t xml:space="preserve"> </w:t>
      </w:r>
      <w:r>
        <w:t>urban</w:t>
      </w:r>
      <w:r>
        <w:rPr>
          <w:spacing w:val="-11"/>
        </w:rPr>
        <w:t xml:space="preserve"> </w:t>
      </w:r>
      <w:r>
        <w:t>customer</w:t>
      </w:r>
      <w:r>
        <w:rPr>
          <w:spacing w:val="-9"/>
        </w:rPr>
        <w:t xml:space="preserve"> </w:t>
      </w:r>
      <w:r>
        <w:t>base,</w:t>
      </w:r>
      <w:r>
        <w:rPr>
          <w:spacing w:val="-9"/>
        </w:rPr>
        <w:t xml:space="preserve"> </w:t>
      </w:r>
      <w:r>
        <w:t>creating better</w:t>
      </w:r>
      <w:r>
        <w:rPr>
          <w:spacing w:val="-5"/>
        </w:rPr>
        <w:t xml:space="preserve"> </w:t>
      </w:r>
      <w:r>
        <w:t>understanding</w:t>
      </w:r>
      <w:r>
        <w:rPr>
          <w:spacing w:val="-5"/>
        </w:rPr>
        <w:t xml:space="preserve"> </w:t>
      </w:r>
      <w:r>
        <w:t>of</w:t>
      </w:r>
      <w:r>
        <w:rPr>
          <w:spacing w:val="-4"/>
        </w:rPr>
        <w:t xml:space="preserve"> </w:t>
      </w:r>
      <w:r>
        <w:t>the</w:t>
      </w:r>
      <w:r>
        <w:rPr>
          <w:spacing w:val="-5"/>
        </w:rPr>
        <w:t xml:space="preserve"> </w:t>
      </w:r>
      <w:r>
        <w:t>diverse</w:t>
      </w:r>
      <w:r>
        <w:rPr>
          <w:spacing w:val="-5"/>
        </w:rPr>
        <w:t xml:space="preserve"> </w:t>
      </w:r>
      <w:r>
        <w:t>needs</w:t>
      </w:r>
      <w:r>
        <w:rPr>
          <w:spacing w:val="-5"/>
        </w:rPr>
        <w:t xml:space="preserve"> </w:t>
      </w:r>
      <w:r>
        <w:t>of</w:t>
      </w:r>
      <w:r>
        <w:rPr>
          <w:spacing w:val="-4"/>
        </w:rPr>
        <w:t xml:space="preserve"> </w:t>
      </w:r>
      <w:r>
        <w:t>this</w:t>
      </w:r>
      <w:r>
        <w:rPr>
          <w:spacing w:val="-4"/>
        </w:rPr>
        <w:t xml:space="preserve"> </w:t>
      </w:r>
      <w:r>
        <w:t>cohort.</w:t>
      </w:r>
      <w:r>
        <w:rPr>
          <w:spacing w:val="-4"/>
        </w:rPr>
        <w:t xml:space="preserve"> </w:t>
      </w:r>
      <w:r>
        <w:t>Early</w:t>
      </w:r>
      <w:r>
        <w:rPr>
          <w:spacing w:val="-4"/>
        </w:rPr>
        <w:t xml:space="preserve"> </w:t>
      </w:r>
      <w:r>
        <w:t>engagement</w:t>
      </w:r>
      <w:r>
        <w:rPr>
          <w:spacing w:val="-4"/>
        </w:rPr>
        <w:t xml:space="preserve"> </w:t>
      </w:r>
      <w:r>
        <w:t>undertaken</w:t>
      </w:r>
      <w:r>
        <w:rPr>
          <w:spacing w:val="-5"/>
        </w:rPr>
        <w:t xml:space="preserve"> </w:t>
      </w:r>
      <w:r>
        <w:t>for</w:t>
      </w:r>
      <w:r>
        <w:rPr>
          <w:spacing w:val="-4"/>
        </w:rPr>
        <w:t xml:space="preserve"> </w:t>
      </w:r>
      <w:r>
        <w:t>PS5</w:t>
      </w:r>
      <w:r>
        <w:rPr>
          <w:spacing w:val="-5"/>
        </w:rPr>
        <w:t xml:space="preserve"> </w:t>
      </w:r>
      <w:r>
        <w:t>has</w:t>
      </w:r>
      <w:r>
        <w:rPr>
          <w:spacing w:val="-4"/>
        </w:rPr>
        <w:t xml:space="preserve"> </w:t>
      </w:r>
      <w:r>
        <w:t>formed</w:t>
      </w:r>
      <w:r>
        <w:rPr>
          <w:spacing w:val="-6"/>
        </w:rPr>
        <w:t xml:space="preserve"> </w:t>
      </w:r>
      <w:r>
        <w:t>the foundation to maintain momentum with customers and strengthen trust and deeper engagement as the transition</w:t>
      </w:r>
      <w:r>
        <w:rPr>
          <w:spacing w:val="-5"/>
        </w:rPr>
        <w:t xml:space="preserve"> </w:t>
      </w:r>
      <w:r>
        <w:t>into</w:t>
      </w:r>
      <w:r>
        <w:rPr>
          <w:spacing w:val="-5"/>
        </w:rPr>
        <w:t xml:space="preserve"> </w:t>
      </w:r>
      <w:r>
        <w:t>the</w:t>
      </w:r>
      <w:r>
        <w:rPr>
          <w:spacing w:val="-5"/>
        </w:rPr>
        <w:t xml:space="preserve"> </w:t>
      </w:r>
      <w:r>
        <w:t>next</w:t>
      </w:r>
      <w:r>
        <w:rPr>
          <w:spacing w:val="-5"/>
        </w:rPr>
        <w:t xml:space="preserve"> </w:t>
      </w:r>
      <w:r>
        <w:t>regulatory</w:t>
      </w:r>
      <w:r>
        <w:rPr>
          <w:spacing w:val="-4"/>
        </w:rPr>
        <w:t xml:space="preserve"> </w:t>
      </w:r>
      <w:r>
        <w:t>period</w:t>
      </w:r>
      <w:r>
        <w:rPr>
          <w:spacing w:val="-5"/>
        </w:rPr>
        <w:t xml:space="preserve"> </w:t>
      </w:r>
      <w:r>
        <w:t>begins.</w:t>
      </w:r>
      <w:r>
        <w:rPr>
          <w:spacing w:val="-4"/>
        </w:rPr>
        <w:t xml:space="preserve"> </w:t>
      </w:r>
      <w:r>
        <w:t>It</w:t>
      </w:r>
      <w:r>
        <w:rPr>
          <w:spacing w:val="-3"/>
        </w:rPr>
        <w:t xml:space="preserve"> </w:t>
      </w:r>
      <w:r>
        <w:t>will</w:t>
      </w:r>
      <w:r>
        <w:rPr>
          <w:spacing w:val="-4"/>
        </w:rPr>
        <w:t xml:space="preserve"> </w:t>
      </w:r>
      <w:r>
        <w:t>also</w:t>
      </w:r>
      <w:r>
        <w:rPr>
          <w:spacing w:val="-5"/>
        </w:rPr>
        <w:t xml:space="preserve"> </w:t>
      </w:r>
      <w:r>
        <w:t>enable</w:t>
      </w:r>
      <w:r>
        <w:rPr>
          <w:spacing w:val="-5"/>
        </w:rPr>
        <w:t xml:space="preserve"> </w:t>
      </w:r>
      <w:r>
        <w:t>better</w:t>
      </w:r>
      <w:r>
        <w:rPr>
          <w:spacing w:val="-5"/>
        </w:rPr>
        <w:t xml:space="preserve"> </w:t>
      </w:r>
      <w:r>
        <w:t>customer</w:t>
      </w:r>
      <w:r>
        <w:rPr>
          <w:spacing w:val="-3"/>
        </w:rPr>
        <w:t xml:space="preserve"> </w:t>
      </w:r>
      <w:r>
        <w:t>reporting</w:t>
      </w:r>
      <w:r>
        <w:rPr>
          <w:spacing w:val="-6"/>
        </w:rPr>
        <w:t xml:space="preserve"> </w:t>
      </w:r>
      <w:r>
        <w:t>arrangements</w:t>
      </w:r>
      <w:r>
        <w:rPr>
          <w:spacing w:val="-4"/>
        </w:rPr>
        <w:t xml:space="preserve"> </w:t>
      </w:r>
      <w:r>
        <w:t>on the customer outcomes.</w:t>
      </w:r>
    </w:p>
    <w:p w14:paraId="3AFF1539" w14:textId="77777777" w:rsidR="00141B97" w:rsidRDefault="00141B97">
      <w:pPr>
        <w:pStyle w:val="BodyText"/>
        <w:spacing w:before="11"/>
        <w:rPr>
          <w:sz w:val="21"/>
        </w:rPr>
      </w:pPr>
    </w:p>
    <w:p w14:paraId="66DE0F23" w14:textId="77777777" w:rsidR="00141B97" w:rsidRDefault="00911D63">
      <w:pPr>
        <w:pStyle w:val="BodyText"/>
        <w:ind w:left="113" w:right="949"/>
        <w:jc w:val="both"/>
      </w:pPr>
      <w:r>
        <w:t>LMW</w:t>
      </w:r>
      <w:r>
        <w:rPr>
          <w:spacing w:val="-5"/>
        </w:rPr>
        <w:t xml:space="preserve"> </w:t>
      </w:r>
      <w:r>
        <w:t>will</w:t>
      </w:r>
      <w:r>
        <w:rPr>
          <w:spacing w:val="-4"/>
        </w:rPr>
        <w:t xml:space="preserve"> </w:t>
      </w:r>
      <w:r>
        <w:t>continue</w:t>
      </w:r>
      <w:r>
        <w:rPr>
          <w:spacing w:val="-5"/>
        </w:rPr>
        <w:t xml:space="preserve"> </w:t>
      </w:r>
      <w:r>
        <w:t>to</w:t>
      </w:r>
      <w:r>
        <w:rPr>
          <w:spacing w:val="-5"/>
        </w:rPr>
        <w:t xml:space="preserve"> </w:t>
      </w:r>
      <w:r>
        <w:t>meet</w:t>
      </w:r>
      <w:r>
        <w:rPr>
          <w:spacing w:val="-3"/>
        </w:rPr>
        <w:t xml:space="preserve"> </w:t>
      </w:r>
      <w:r>
        <w:t>with</w:t>
      </w:r>
      <w:r>
        <w:rPr>
          <w:spacing w:val="-3"/>
        </w:rPr>
        <w:t xml:space="preserve"> </w:t>
      </w:r>
      <w:r>
        <w:t>its</w:t>
      </w:r>
      <w:r>
        <w:rPr>
          <w:spacing w:val="-4"/>
        </w:rPr>
        <w:t xml:space="preserve"> </w:t>
      </w:r>
      <w:r>
        <w:t>SAC</w:t>
      </w:r>
      <w:r>
        <w:rPr>
          <w:spacing w:val="-2"/>
        </w:rPr>
        <w:t xml:space="preserve"> </w:t>
      </w:r>
      <w:r>
        <w:t>and</w:t>
      </w:r>
      <w:r>
        <w:rPr>
          <w:spacing w:val="-4"/>
        </w:rPr>
        <w:t xml:space="preserve"> </w:t>
      </w:r>
      <w:r>
        <w:t>district‐based</w:t>
      </w:r>
      <w:r>
        <w:rPr>
          <w:spacing w:val="-3"/>
        </w:rPr>
        <w:t xml:space="preserve"> </w:t>
      </w:r>
      <w:r>
        <w:t>CSACs</w:t>
      </w:r>
      <w:r>
        <w:rPr>
          <w:spacing w:val="-4"/>
        </w:rPr>
        <w:t xml:space="preserve"> </w:t>
      </w:r>
      <w:r>
        <w:t>and</w:t>
      </w:r>
      <w:r>
        <w:rPr>
          <w:spacing w:val="-4"/>
        </w:rPr>
        <w:t xml:space="preserve"> </w:t>
      </w:r>
      <w:r>
        <w:t>will</w:t>
      </w:r>
      <w:r>
        <w:rPr>
          <w:spacing w:val="-3"/>
        </w:rPr>
        <w:t xml:space="preserve"> </w:t>
      </w:r>
      <w:r>
        <w:t>develop</w:t>
      </w:r>
      <w:r>
        <w:rPr>
          <w:spacing w:val="-5"/>
        </w:rPr>
        <w:t xml:space="preserve"> </w:t>
      </w:r>
      <w:r>
        <w:t>a</w:t>
      </w:r>
      <w:r>
        <w:rPr>
          <w:spacing w:val="-3"/>
        </w:rPr>
        <w:t xml:space="preserve"> </w:t>
      </w:r>
      <w:r>
        <w:t>new</w:t>
      </w:r>
      <w:r>
        <w:rPr>
          <w:spacing w:val="-3"/>
        </w:rPr>
        <w:t xml:space="preserve"> </w:t>
      </w:r>
      <w:r>
        <w:t>digital</w:t>
      </w:r>
      <w:r>
        <w:rPr>
          <w:spacing w:val="-5"/>
        </w:rPr>
        <w:t xml:space="preserve"> </w:t>
      </w:r>
      <w:r>
        <w:t>communication method to ensure continual updates on achievements can be provided to the community. This is to ensure accountability in meeting the outcomes agreed with the community and that the actions LMW has articulated over the 5‐year period are delivered.</w:t>
      </w:r>
    </w:p>
    <w:p w14:paraId="6FF78CFA" w14:textId="77777777" w:rsidR="00141B97" w:rsidRDefault="00141B97">
      <w:pPr>
        <w:jc w:val="both"/>
        <w:sectPr w:rsidR="00141B97">
          <w:pgSz w:w="11910" w:h="16840"/>
          <w:pgMar w:top="820" w:right="40" w:bottom="780" w:left="1020" w:header="0" w:footer="586" w:gutter="0"/>
          <w:cols w:space="720"/>
        </w:sectPr>
      </w:pPr>
    </w:p>
    <w:p w14:paraId="06E835CE" w14:textId="77777777" w:rsidR="00141B97" w:rsidRDefault="00911D63">
      <w:pPr>
        <w:pStyle w:val="BodyText"/>
        <w:spacing w:before="31"/>
        <w:ind w:left="113" w:right="947"/>
        <w:jc w:val="both"/>
      </w:pPr>
      <w:r>
        <w:lastRenderedPageBreak/>
        <w:t>Rural customers are seeking a greater business partnership model from LMW, where LMW considers and engages with all rural customers as stakeholders. SAC and CSAC meetings currently exist as a feedback loop to share information and test approaches and options and further opportunity to deepen and value‐add to this relationship exists and will continue to be explored.</w:t>
      </w:r>
      <w:r>
        <w:rPr>
          <w:spacing w:val="40"/>
        </w:rPr>
        <w:t xml:space="preserve"> </w:t>
      </w:r>
      <w:r>
        <w:t>Members of LMW’s SAC and in‐district CSACs also want LMW to utilise these committee structures to work together in lobbying government to invest in innovative solutions within the Sunraysia region to achieve government initiatives without increasing costs for the agriculture</w:t>
      </w:r>
      <w:r>
        <w:rPr>
          <w:spacing w:val="-1"/>
        </w:rPr>
        <w:t xml:space="preserve"> </w:t>
      </w:r>
      <w:r>
        <w:t>sector, which already faces significant pressures.</w:t>
      </w:r>
      <w:r>
        <w:rPr>
          <w:spacing w:val="40"/>
        </w:rPr>
        <w:t xml:space="preserve"> </w:t>
      </w:r>
      <w:r>
        <w:t>This presents an opportunity for LMW to align its corporate strategy and customer outcomes to achieve growth for the region and LMW as a successful water corporation delivering its community’s needs.</w:t>
      </w:r>
    </w:p>
    <w:p w14:paraId="1564D15E" w14:textId="77777777" w:rsidR="00141B97" w:rsidRDefault="00141B97">
      <w:pPr>
        <w:pStyle w:val="BodyText"/>
      </w:pPr>
    </w:p>
    <w:p w14:paraId="57C0B918" w14:textId="77777777" w:rsidR="00141B97" w:rsidRDefault="00911D63">
      <w:pPr>
        <w:pStyle w:val="BodyText"/>
        <w:ind w:left="113" w:right="948" w:hanging="1"/>
        <w:jc w:val="both"/>
      </w:pPr>
      <w:r>
        <w:t>Internal reporting to the Board and management for tracking of progress has been established during the current regulatory period and will continue to be refined to support stringent monitoring of progress, performance,</w:t>
      </w:r>
      <w:r>
        <w:rPr>
          <w:spacing w:val="-2"/>
        </w:rPr>
        <w:t xml:space="preserve"> </w:t>
      </w:r>
      <w:r>
        <w:t>and</w:t>
      </w:r>
      <w:r>
        <w:rPr>
          <w:spacing w:val="-2"/>
        </w:rPr>
        <w:t xml:space="preserve"> </w:t>
      </w:r>
      <w:r>
        <w:t>management of</w:t>
      </w:r>
      <w:r>
        <w:rPr>
          <w:spacing w:val="-2"/>
        </w:rPr>
        <w:t xml:space="preserve"> </w:t>
      </w:r>
      <w:r>
        <w:t>challenges</w:t>
      </w:r>
      <w:r>
        <w:rPr>
          <w:spacing w:val="-2"/>
        </w:rPr>
        <w:t xml:space="preserve"> </w:t>
      </w:r>
      <w:r>
        <w:t>and</w:t>
      </w:r>
      <w:r>
        <w:rPr>
          <w:spacing w:val="-2"/>
        </w:rPr>
        <w:t xml:space="preserve"> </w:t>
      </w:r>
      <w:r>
        <w:t>possible</w:t>
      </w:r>
      <w:r>
        <w:rPr>
          <w:spacing w:val="-3"/>
        </w:rPr>
        <w:t xml:space="preserve"> </w:t>
      </w:r>
      <w:r>
        <w:t>underperformance</w:t>
      </w:r>
      <w:r>
        <w:rPr>
          <w:spacing w:val="-2"/>
        </w:rPr>
        <w:t xml:space="preserve"> </w:t>
      </w:r>
      <w:r>
        <w:t>throughout</w:t>
      </w:r>
      <w:r>
        <w:rPr>
          <w:spacing w:val="-2"/>
        </w:rPr>
        <w:t xml:space="preserve"> </w:t>
      </w:r>
      <w:r>
        <w:t>the</w:t>
      </w:r>
      <w:r>
        <w:rPr>
          <w:spacing w:val="-2"/>
        </w:rPr>
        <w:t xml:space="preserve"> </w:t>
      </w:r>
      <w:r>
        <w:t>PS5</w:t>
      </w:r>
      <w:r>
        <w:rPr>
          <w:spacing w:val="-1"/>
        </w:rPr>
        <w:t xml:space="preserve"> </w:t>
      </w:r>
      <w:r>
        <w:t>period. This will include all SAC and CSAC Chairs attending a Board meeting with LMW Directors annually to discuss LMW’s progress and performance against the PS5 deliverables and achievement of customer outcomes.</w:t>
      </w:r>
    </w:p>
    <w:p w14:paraId="1789C588" w14:textId="77777777" w:rsidR="00141B97" w:rsidRDefault="00141B97">
      <w:pPr>
        <w:pStyle w:val="BodyText"/>
      </w:pPr>
    </w:p>
    <w:p w14:paraId="1B6BB6E5" w14:textId="77777777" w:rsidR="00141B97" w:rsidRDefault="00911D63">
      <w:pPr>
        <w:pStyle w:val="BodyText"/>
        <w:ind w:left="113" w:right="949"/>
        <w:jc w:val="both"/>
      </w:pPr>
      <w:r>
        <w:t>The strategic scorecard will cascade key performance indicators throughout the business to allow all staff to have</w:t>
      </w:r>
      <w:r>
        <w:rPr>
          <w:spacing w:val="-5"/>
        </w:rPr>
        <w:t xml:space="preserve"> </w:t>
      </w:r>
      <w:r>
        <w:t>‘line</w:t>
      </w:r>
      <w:r>
        <w:rPr>
          <w:spacing w:val="-4"/>
        </w:rPr>
        <w:t xml:space="preserve"> </w:t>
      </w:r>
      <w:r>
        <w:t>of</w:t>
      </w:r>
      <w:r>
        <w:rPr>
          <w:spacing w:val="-4"/>
        </w:rPr>
        <w:t xml:space="preserve"> </w:t>
      </w:r>
      <w:r>
        <w:t>sight’</w:t>
      </w:r>
      <w:r>
        <w:rPr>
          <w:spacing w:val="-4"/>
        </w:rPr>
        <w:t xml:space="preserve"> </w:t>
      </w:r>
      <w:r>
        <w:t>of</w:t>
      </w:r>
      <w:r>
        <w:rPr>
          <w:spacing w:val="-4"/>
        </w:rPr>
        <w:t xml:space="preserve"> </w:t>
      </w:r>
      <w:r>
        <w:t>where</w:t>
      </w:r>
      <w:r>
        <w:rPr>
          <w:spacing w:val="-5"/>
        </w:rPr>
        <w:t xml:space="preserve"> </w:t>
      </w:r>
      <w:r>
        <w:t>their</w:t>
      </w:r>
      <w:r>
        <w:rPr>
          <w:spacing w:val="-3"/>
        </w:rPr>
        <w:t xml:space="preserve"> </w:t>
      </w:r>
      <w:r>
        <w:t>actions</w:t>
      </w:r>
      <w:r>
        <w:rPr>
          <w:spacing w:val="-4"/>
        </w:rPr>
        <w:t xml:space="preserve"> </w:t>
      </w:r>
      <w:r>
        <w:t>and</w:t>
      </w:r>
      <w:r>
        <w:rPr>
          <w:spacing w:val="-4"/>
        </w:rPr>
        <w:t xml:space="preserve"> </w:t>
      </w:r>
      <w:r>
        <w:t>performance</w:t>
      </w:r>
      <w:r>
        <w:rPr>
          <w:spacing w:val="-4"/>
        </w:rPr>
        <w:t xml:space="preserve"> </w:t>
      </w:r>
      <w:r>
        <w:t>indicators</w:t>
      </w:r>
      <w:r>
        <w:rPr>
          <w:spacing w:val="-5"/>
        </w:rPr>
        <w:t xml:space="preserve"> </w:t>
      </w:r>
      <w:r>
        <w:t>influence</w:t>
      </w:r>
      <w:r>
        <w:rPr>
          <w:spacing w:val="-4"/>
        </w:rPr>
        <w:t xml:space="preserve"> </w:t>
      </w:r>
      <w:r>
        <w:t>the</w:t>
      </w:r>
      <w:r>
        <w:rPr>
          <w:spacing w:val="-4"/>
        </w:rPr>
        <w:t xml:space="preserve"> </w:t>
      </w:r>
      <w:r>
        <w:t>outputs</w:t>
      </w:r>
      <w:r>
        <w:rPr>
          <w:spacing w:val="-3"/>
        </w:rPr>
        <w:t xml:space="preserve"> </w:t>
      </w:r>
      <w:r>
        <w:t>of</w:t>
      </w:r>
      <w:r>
        <w:rPr>
          <w:spacing w:val="-4"/>
        </w:rPr>
        <w:t xml:space="preserve"> </w:t>
      </w:r>
      <w:r>
        <w:t>the</w:t>
      </w:r>
      <w:r>
        <w:rPr>
          <w:spacing w:val="-4"/>
        </w:rPr>
        <w:t xml:space="preserve"> </w:t>
      </w:r>
      <w:r>
        <w:t>business</w:t>
      </w:r>
      <w:r>
        <w:rPr>
          <w:spacing w:val="-5"/>
        </w:rPr>
        <w:t xml:space="preserve"> </w:t>
      </w:r>
      <w:r>
        <w:t>and the</w:t>
      </w:r>
      <w:r>
        <w:rPr>
          <w:spacing w:val="-13"/>
        </w:rPr>
        <w:t xml:space="preserve"> </w:t>
      </w:r>
      <w:r>
        <w:t>overall</w:t>
      </w:r>
      <w:r>
        <w:rPr>
          <w:spacing w:val="-12"/>
        </w:rPr>
        <w:t xml:space="preserve"> </w:t>
      </w:r>
      <w:r>
        <w:t>achievement</w:t>
      </w:r>
      <w:r>
        <w:rPr>
          <w:spacing w:val="-13"/>
        </w:rPr>
        <w:t xml:space="preserve"> </w:t>
      </w:r>
      <w:r>
        <w:t>of</w:t>
      </w:r>
      <w:r>
        <w:rPr>
          <w:spacing w:val="-12"/>
        </w:rPr>
        <w:t xml:space="preserve"> </w:t>
      </w:r>
      <w:r>
        <w:t>customer</w:t>
      </w:r>
      <w:r>
        <w:rPr>
          <w:spacing w:val="-13"/>
        </w:rPr>
        <w:t xml:space="preserve"> </w:t>
      </w:r>
      <w:r>
        <w:t>outcomes.</w:t>
      </w:r>
      <w:r>
        <w:rPr>
          <w:spacing w:val="-12"/>
        </w:rPr>
        <w:t xml:space="preserve"> </w:t>
      </w:r>
      <w:r>
        <w:t>The</w:t>
      </w:r>
      <w:r>
        <w:rPr>
          <w:spacing w:val="-12"/>
        </w:rPr>
        <w:t xml:space="preserve"> </w:t>
      </w:r>
      <w:r>
        <w:t>strategic</w:t>
      </w:r>
      <w:r>
        <w:rPr>
          <w:spacing w:val="-13"/>
        </w:rPr>
        <w:t xml:space="preserve"> </w:t>
      </w:r>
      <w:r>
        <w:t>scorecard</w:t>
      </w:r>
      <w:r>
        <w:rPr>
          <w:spacing w:val="-12"/>
        </w:rPr>
        <w:t xml:space="preserve"> </w:t>
      </w:r>
      <w:r>
        <w:t>will</w:t>
      </w:r>
      <w:r>
        <w:rPr>
          <w:spacing w:val="-12"/>
        </w:rPr>
        <w:t xml:space="preserve"> </w:t>
      </w:r>
      <w:r>
        <w:t>become</w:t>
      </w:r>
      <w:r>
        <w:rPr>
          <w:spacing w:val="-13"/>
        </w:rPr>
        <w:t xml:space="preserve"> </w:t>
      </w:r>
      <w:r>
        <w:t>a</w:t>
      </w:r>
      <w:r>
        <w:rPr>
          <w:spacing w:val="-12"/>
        </w:rPr>
        <w:t xml:space="preserve"> </w:t>
      </w:r>
      <w:r>
        <w:t>key</w:t>
      </w:r>
      <w:r>
        <w:rPr>
          <w:spacing w:val="-11"/>
        </w:rPr>
        <w:t xml:space="preserve"> </w:t>
      </w:r>
      <w:r>
        <w:t>business</w:t>
      </w:r>
      <w:r>
        <w:rPr>
          <w:spacing w:val="-13"/>
        </w:rPr>
        <w:t xml:space="preserve"> </w:t>
      </w:r>
      <w:r>
        <w:t>process</w:t>
      </w:r>
      <w:r>
        <w:rPr>
          <w:spacing w:val="-11"/>
        </w:rPr>
        <w:t xml:space="preserve"> </w:t>
      </w:r>
      <w:r>
        <w:t>with at</w:t>
      </w:r>
      <w:r>
        <w:rPr>
          <w:spacing w:val="-2"/>
        </w:rPr>
        <w:t xml:space="preserve"> </w:t>
      </w:r>
      <w:r>
        <w:t>least</w:t>
      </w:r>
      <w:r>
        <w:rPr>
          <w:spacing w:val="-2"/>
        </w:rPr>
        <w:t xml:space="preserve"> </w:t>
      </w:r>
      <w:r>
        <w:t>quarterly</w:t>
      </w:r>
      <w:r>
        <w:rPr>
          <w:spacing w:val="-2"/>
        </w:rPr>
        <w:t xml:space="preserve"> </w:t>
      </w:r>
      <w:r>
        <w:t>review</w:t>
      </w:r>
      <w:r>
        <w:rPr>
          <w:spacing w:val="-2"/>
        </w:rPr>
        <w:t xml:space="preserve"> </w:t>
      </w:r>
      <w:r>
        <w:t>at</w:t>
      </w:r>
      <w:r>
        <w:rPr>
          <w:spacing w:val="-2"/>
        </w:rPr>
        <w:t xml:space="preserve"> </w:t>
      </w:r>
      <w:r>
        <w:t>Board</w:t>
      </w:r>
      <w:r>
        <w:rPr>
          <w:spacing w:val="-2"/>
        </w:rPr>
        <w:t xml:space="preserve"> </w:t>
      </w:r>
      <w:r>
        <w:t>and</w:t>
      </w:r>
      <w:r>
        <w:rPr>
          <w:spacing w:val="-2"/>
        </w:rPr>
        <w:t xml:space="preserve"> </w:t>
      </w:r>
      <w:r>
        <w:t>Executive</w:t>
      </w:r>
      <w:r>
        <w:rPr>
          <w:spacing w:val="-2"/>
        </w:rPr>
        <w:t xml:space="preserve"> </w:t>
      </w:r>
      <w:r>
        <w:t>level.</w:t>
      </w:r>
      <w:r>
        <w:rPr>
          <w:spacing w:val="-1"/>
        </w:rPr>
        <w:t xml:space="preserve"> </w:t>
      </w:r>
      <w:r>
        <w:t>This</w:t>
      </w:r>
      <w:r>
        <w:rPr>
          <w:spacing w:val="-2"/>
        </w:rPr>
        <w:t xml:space="preserve"> </w:t>
      </w:r>
      <w:r>
        <w:t>means</w:t>
      </w:r>
      <w:r>
        <w:rPr>
          <w:spacing w:val="-2"/>
        </w:rPr>
        <w:t xml:space="preserve"> </w:t>
      </w:r>
      <w:r>
        <w:t>that</w:t>
      </w:r>
      <w:r>
        <w:rPr>
          <w:spacing w:val="-2"/>
        </w:rPr>
        <w:t xml:space="preserve"> </w:t>
      </w:r>
      <w:r>
        <w:t>there</w:t>
      </w:r>
      <w:r>
        <w:rPr>
          <w:spacing w:val="-3"/>
        </w:rPr>
        <w:t xml:space="preserve"> </w:t>
      </w:r>
      <w:r>
        <w:t>will</w:t>
      </w:r>
      <w:r>
        <w:rPr>
          <w:spacing w:val="-3"/>
        </w:rPr>
        <w:t xml:space="preserve"> </w:t>
      </w:r>
      <w:r>
        <w:t>be</w:t>
      </w:r>
      <w:r>
        <w:rPr>
          <w:spacing w:val="-2"/>
        </w:rPr>
        <w:t xml:space="preserve"> </w:t>
      </w:r>
      <w:r>
        <w:t>a</w:t>
      </w:r>
      <w:r>
        <w:rPr>
          <w:spacing w:val="-2"/>
        </w:rPr>
        <w:t xml:space="preserve"> </w:t>
      </w:r>
      <w:r>
        <w:t>greater</w:t>
      </w:r>
      <w:r>
        <w:rPr>
          <w:spacing w:val="-2"/>
        </w:rPr>
        <w:t xml:space="preserve"> </w:t>
      </w:r>
      <w:r>
        <w:t>level</w:t>
      </w:r>
      <w:r>
        <w:rPr>
          <w:spacing w:val="-3"/>
        </w:rPr>
        <w:t xml:space="preserve"> </w:t>
      </w:r>
      <w:r>
        <w:t>of</w:t>
      </w:r>
      <w:r>
        <w:rPr>
          <w:spacing w:val="-1"/>
        </w:rPr>
        <w:t xml:space="preserve"> </w:t>
      </w:r>
      <w:r>
        <w:t>customer engagement embedded throughout the entire organisation.</w:t>
      </w:r>
    </w:p>
    <w:p w14:paraId="0E54236B" w14:textId="77777777" w:rsidR="00141B97" w:rsidRDefault="00141B97">
      <w:pPr>
        <w:pStyle w:val="BodyText"/>
      </w:pPr>
    </w:p>
    <w:p w14:paraId="4CDF8A80" w14:textId="77777777" w:rsidR="00141B97" w:rsidRDefault="00911D63">
      <w:pPr>
        <w:pStyle w:val="BodyText"/>
        <w:spacing w:before="1" w:line="259" w:lineRule="auto"/>
        <w:ind w:left="113" w:right="949"/>
        <w:jc w:val="both"/>
      </w:pPr>
      <w:r>
        <w:t>Commitments have been made to customers to further engage and adapt to changing circumstances and changing customer preferences by:</w:t>
      </w:r>
    </w:p>
    <w:p w14:paraId="36D1270B" w14:textId="77777777" w:rsidR="00141B97" w:rsidRDefault="00911D63">
      <w:pPr>
        <w:pStyle w:val="ListParagraph"/>
        <w:numPr>
          <w:ilvl w:val="0"/>
          <w:numId w:val="14"/>
        </w:numPr>
        <w:tabs>
          <w:tab w:val="left" w:pos="824"/>
        </w:tabs>
        <w:spacing w:line="256" w:lineRule="auto"/>
        <w:ind w:right="949"/>
        <w:jc w:val="both"/>
      </w:pPr>
      <w:r>
        <w:t>Maintaining membership and quarterly meetings with the SAC and in‐district CSAC committees including</w:t>
      </w:r>
      <w:r>
        <w:rPr>
          <w:spacing w:val="-7"/>
        </w:rPr>
        <w:t xml:space="preserve"> </w:t>
      </w:r>
      <w:r>
        <w:t>a</w:t>
      </w:r>
      <w:r>
        <w:rPr>
          <w:spacing w:val="-7"/>
        </w:rPr>
        <w:t xml:space="preserve"> </w:t>
      </w:r>
      <w:r>
        <w:t>minimum,</w:t>
      </w:r>
      <w:r>
        <w:rPr>
          <w:spacing w:val="-7"/>
        </w:rPr>
        <w:t xml:space="preserve"> </w:t>
      </w:r>
      <w:r>
        <w:t>annual</w:t>
      </w:r>
      <w:r>
        <w:rPr>
          <w:spacing w:val="-7"/>
        </w:rPr>
        <w:t xml:space="preserve"> </w:t>
      </w:r>
      <w:r>
        <w:t>briefing</w:t>
      </w:r>
      <w:r>
        <w:rPr>
          <w:spacing w:val="-7"/>
        </w:rPr>
        <w:t xml:space="preserve"> </w:t>
      </w:r>
      <w:r>
        <w:t>session</w:t>
      </w:r>
      <w:r>
        <w:rPr>
          <w:spacing w:val="-7"/>
        </w:rPr>
        <w:t xml:space="preserve"> </w:t>
      </w:r>
      <w:r>
        <w:t>to</w:t>
      </w:r>
      <w:r>
        <w:rPr>
          <w:spacing w:val="-7"/>
        </w:rPr>
        <w:t xml:space="preserve"> </w:t>
      </w:r>
      <w:r>
        <w:t>advise</w:t>
      </w:r>
      <w:r>
        <w:rPr>
          <w:spacing w:val="-7"/>
        </w:rPr>
        <w:t xml:space="preserve"> </w:t>
      </w:r>
      <w:r>
        <w:t>on</w:t>
      </w:r>
      <w:r>
        <w:rPr>
          <w:spacing w:val="-7"/>
        </w:rPr>
        <w:t xml:space="preserve"> </w:t>
      </w:r>
      <w:r>
        <w:t>progress</w:t>
      </w:r>
      <w:r>
        <w:rPr>
          <w:spacing w:val="-7"/>
        </w:rPr>
        <w:t xml:space="preserve"> </w:t>
      </w:r>
      <w:r>
        <w:t>against</w:t>
      </w:r>
      <w:r>
        <w:rPr>
          <w:spacing w:val="-7"/>
        </w:rPr>
        <w:t xml:space="preserve"> </w:t>
      </w:r>
      <w:r>
        <w:t>the</w:t>
      </w:r>
      <w:r>
        <w:rPr>
          <w:spacing w:val="-7"/>
        </w:rPr>
        <w:t xml:space="preserve"> </w:t>
      </w:r>
      <w:r>
        <w:t>customer</w:t>
      </w:r>
      <w:r>
        <w:rPr>
          <w:spacing w:val="-7"/>
        </w:rPr>
        <w:t xml:space="preserve"> </w:t>
      </w:r>
      <w:r>
        <w:t>outcomes</w:t>
      </w:r>
      <w:r>
        <w:rPr>
          <w:spacing w:val="-7"/>
        </w:rPr>
        <w:t xml:space="preserve"> </w:t>
      </w:r>
      <w:r>
        <w:t>and PS5 delivery.</w:t>
      </w:r>
    </w:p>
    <w:p w14:paraId="10D3A2F9" w14:textId="77777777" w:rsidR="00141B97" w:rsidRDefault="00911D63">
      <w:pPr>
        <w:pStyle w:val="ListParagraph"/>
        <w:numPr>
          <w:ilvl w:val="0"/>
          <w:numId w:val="14"/>
        </w:numPr>
        <w:tabs>
          <w:tab w:val="left" w:pos="824"/>
        </w:tabs>
        <w:spacing w:before="4" w:line="256" w:lineRule="auto"/>
        <w:ind w:right="950"/>
        <w:jc w:val="both"/>
      </w:pPr>
      <w:r>
        <w:t>Through business transformation and the implementation of the customer portal, establish electronic means to collect continuous feedback throughout the year which can be discussed with the customer committees at least annually.</w:t>
      </w:r>
    </w:p>
    <w:p w14:paraId="221FD2FF" w14:textId="77777777" w:rsidR="00141B97" w:rsidRDefault="00911D63">
      <w:pPr>
        <w:pStyle w:val="ListParagraph"/>
        <w:numPr>
          <w:ilvl w:val="0"/>
          <w:numId w:val="14"/>
        </w:numPr>
        <w:tabs>
          <w:tab w:val="left" w:pos="824"/>
        </w:tabs>
        <w:spacing w:before="6" w:line="256" w:lineRule="auto"/>
        <w:ind w:right="949"/>
        <w:jc w:val="both"/>
      </w:pPr>
      <w:r>
        <w:t>Providing</w:t>
      </w:r>
      <w:r>
        <w:rPr>
          <w:spacing w:val="-3"/>
        </w:rPr>
        <w:t xml:space="preserve"> </w:t>
      </w:r>
      <w:r>
        <w:t>opportunities</w:t>
      </w:r>
      <w:r>
        <w:rPr>
          <w:spacing w:val="-3"/>
        </w:rPr>
        <w:t xml:space="preserve"> </w:t>
      </w:r>
      <w:r>
        <w:t>for</w:t>
      </w:r>
      <w:r>
        <w:rPr>
          <w:spacing w:val="-2"/>
        </w:rPr>
        <w:t xml:space="preserve"> </w:t>
      </w:r>
      <w:r>
        <w:t>indigenous</w:t>
      </w:r>
      <w:r>
        <w:rPr>
          <w:spacing w:val="-3"/>
        </w:rPr>
        <w:t xml:space="preserve"> </w:t>
      </w:r>
      <w:r>
        <w:t>engagement</w:t>
      </w:r>
      <w:r>
        <w:rPr>
          <w:spacing w:val="-3"/>
        </w:rPr>
        <w:t xml:space="preserve"> </w:t>
      </w:r>
      <w:r>
        <w:t>as</w:t>
      </w:r>
      <w:r>
        <w:rPr>
          <w:spacing w:val="-4"/>
        </w:rPr>
        <w:t xml:space="preserve"> </w:t>
      </w:r>
      <w:r>
        <w:t>LMW’s</w:t>
      </w:r>
      <w:r>
        <w:rPr>
          <w:spacing w:val="-3"/>
        </w:rPr>
        <w:t xml:space="preserve"> </w:t>
      </w:r>
      <w:r>
        <w:t>Reconciliation</w:t>
      </w:r>
      <w:r>
        <w:rPr>
          <w:spacing w:val="-3"/>
        </w:rPr>
        <w:t xml:space="preserve"> </w:t>
      </w:r>
      <w:r>
        <w:t>Action</w:t>
      </w:r>
      <w:r>
        <w:rPr>
          <w:spacing w:val="-5"/>
        </w:rPr>
        <w:t xml:space="preserve"> </w:t>
      </w:r>
      <w:r>
        <w:t>Plan</w:t>
      </w:r>
      <w:r>
        <w:rPr>
          <w:spacing w:val="-3"/>
        </w:rPr>
        <w:t xml:space="preserve"> </w:t>
      </w:r>
      <w:r>
        <w:t>develops,</w:t>
      </w:r>
      <w:r>
        <w:rPr>
          <w:spacing w:val="-3"/>
        </w:rPr>
        <w:t xml:space="preserve"> </w:t>
      </w:r>
      <w:r>
        <w:t>and indigenous relationships strengthen.</w:t>
      </w:r>
    </w:p>
    <w:p w14:paraId="39EE3E61" w14:textId="77777777" w:rsidR="00141B97" w:rsidRDefault="00141B97">
      <w:pPr>
        <w:pStyle w:val="BodyText"/>
        <w:rPr>
          <w:sz w:val="24"/>
        </w:rPr>
      </w:pPr>
    </w:p>
    <w:p w14:paraId="03DBDC7E" w14:textId="77777777" w:rsidR="00141B97" w:rsidRDefault="00911D63">
      <w:pPr>
        <w:pStyle w:val="BodyText"/>
        <w:spacing w:line="259" w:lineRule="auto"/>
        <w:ind w:left="113" w:right="949"/>
        <w:jc w:val="both"/>
      </w:pPr>
      <w:r>
        <w:t>In this way the relevance of the outcomes and measures can be tested and refined as PS5 progresses. It is anticipated that this process will feed directly into the sixth regulatory period (PS6) and influence the annual business planning process.</w:t>
      </w:r>
    </w:p>
    <w:p w14:paraId="24A68BAB" w14:textId="77777777" w:rsidR="00141B97" w:rsidRDefault="00141B97">
      <w:pPr>
        <w:pStyle w:val="BodyText"/>
        <w:rPr>
          <w:sz w:val="31"/>
        </w:rPr>
      </w:pPr>
    </w:p>
    <w:p w14:paraId="2448D3F3" w14:textId="77777777" w:rsidR="00141B97" w:rsidRDefault="00911D63">
      <w:pPr>
        <w:pStyle w:val="Heading2"/>
        <w:numPr>
          <w:ilvl w:val="1"/>
          <w:numId w:val="37"/>
        </w:numPr>
        <w:tabs>
          <w:tab w:val="left" w:pos="1112"/>
          <w:tab w:val="left" w:pos="1113"/>
        </w:tabs>
        <w:rPr>
          <w:color w:val="009BAC"/>
        </w:rPr>
      </w:pPr>
      <w:r>
        <w:rPr>
          <w:color w:val="009BAC"/>
        </w:rPr>
        <w:t>Guaranteed</w:t>
      </w:r>
      <w:r>
        <w:rPr>
          <w:color w:val="009BAC"/>
          <w:spacing w:val="-13"/>
        </w:rPr>
        <w:t xml:space="preserve"> </w:t>
      </w:r>
      <w:r>
        <w:rPr>
          <w:color w:val="009BAC"/>
        </w:rPr>
        <w:t>Service</w:t>
      </w:r>
      <w:r>
        <w:rPr>
          <w:color w:val="009BAC"/>
          <w:spacing w:val="-13"/>
        </w:rPr>
        <w:t xml:space="preserve"> </w:t>
      </w:r>
      <w:r>
        <w:rPr>
          <w:color w:val="009BAC"/>
          <w:spacing w:val="-2"/>
        </w:rPr>
        <w:t>Levels</w:t>
      </w:r>
    </w:p>
    <w:p w14:paraId="18F7C6EE" w14:textId="77777777" w:rsidR="00141B97" w:rsidRDefault="00911D63">
      <w:pPr>
        <w:pStyle w:val="BodyText"/>
        <w:spacing w:before="132" w:line="249" w:lineRule="auto"/>
        <w:ind w:left="114" w:right="949" w:hanging="1"/>
        <w:jc w:val="both"/>
      </w:pPr>
      <w:r>
        <w:t>LMW</w:t>
      </w:r>
      <w:r>
        <w:rPr>
          <w:spacing w:val="-9"/>
        </w:rPr>
        <w:t xml:space="preserve"> </w:t>
      </w:r>
      <w:r>
        <w:t>engaged</w:t>
      </w:r>
      <w:r>
        <w:rPr>
          <w:spacing w:val="-10"/>
        </w:rPr>
        <w:t xml:space="preserve"> </w:t>
      </w:r>
      <w:r>
        <w:t>with</w:t>
      </w:r>
      <w:r>
        <w:rPr>
          <w:spacing w:val="-9"/>
        </w:rPr>
        <w:t xml:space="preserve"> </w:t>
      </w:r>
      <w:r>
        <w:t>its</w:t>
      </w:r>
      <w:r>
        <w:rPr>
          <w:spacing w:val="-10"/>
        </w:rPr>
        <w:t xml:space="preserve"> </w:t>
      </w:r>
      <w:r>
        <w:t>customers</w:t>
      </w:r>
      <w:r>
        <w:rPr>
          <w:spacing w:val="-7"/>
        </w:rPr>
        <w:t xml:space="preserve"> </w:t>
      </w:r>
      <w:r>
        <w:t>on</w:t>
      </w:r>
      <w:r>
        <w:rPr>
          <w:spacing w:val="-9"/>
        </w:rPr>
        <w:t xml:space="preserve"> </w:t>
      </w:r>
      <w:r>
        <w:t>the</w:t>
      </w:r>
      <w:r>
        <w:rPr>
          <w:spacing w:val="-9"/>
        </w:rPr>
        <w:t xml:space="preserve"> </w:t>
      </w:r>
      <w:r>
        <w:t>need</w:t>
      </w:r>
      <w:r>
        <w:rPr>
          <w:spacing w:val="-10"/>
        </w:rPr>
        <w:t xml:space="preserve"> </w:t>
      </w:r>
      <w:r>
        <w:t>for</w:t>
      </w:r>
      <w:r>
        <w:rPr>
          <w:spacing w:val="-9"/>
        </w:rPr>
        <w:t xml:space="preserve"> </w:t>
      </w:r>
      <w:r>
        <w:t>rural</w:t>
      </w:r>
      <w:r>
        <w:rPr>
          <w:spacing w:val="-10"/>
        </w:rPr>
        <w:t xml:space="preserve"> </w:t>
      </w:r>
      <w:r>
        <w:t>Guaranteed</w:t>
      </w:r>
      <w:r>
        <w:rPr>
          <w:spacing w:val="-8"/>
        </w:rPr>
        <w:t xml:space="preserve"> </w:t>
      </w:r>
      <w:r>
        <w:t>Service</w:t>
      </w:r>
      <w:r>
        <w:rPr>
          <w:spacing w:val="-10"/>
        </w:rPr>
        <w:t xml:space="preserve"> </w:t>
      </w:r>
      <w:r>
        <w:t>Levels</w:t>
      </w:r>
      <w:r>
        <w:rPr>
          <w:spacing w:val="-9"/>
        </w:rPr>
        <w:t xml:space="preserve"> </w:t>
      </w:r>
      <w:r>
        <w:t>(GSLs).</w:t>
      </w:r>
      <w:r>
        <w:rPr>
          <w:spacing w:val="-10"/>
        </w:rPr>
        <w:t xml:space="preserve"> </w:t>
      </w:r>
      <w:r>
        <w:t>This</w:t>
      </w:r>
      <w:r>
        <w:rPr>
          <w:spacing w:val="-8"/>
        </w:rPr>
        <w:t xml:space="preserve"> </w:t>
      </w:r>
      <w:r>
        <w:t>process</w:t>
      </w:r>
      <w:r>
        <w:rPr>
          <w:spacing w:val="-9"/>
        </w:rPr>
        <w:t xml:space="preserve"> </w:t>
      </w:r>
      <w:r>
        <w:t>identified that customers consider compensation that effectively adds additional costs to the rural customer base is not productive. Customers want LMW to be responsive</w:t>
      </w:r>
      <w:r>
        <w:rPr>
          <w:spacing w:val="-1"/>
        </w:rPr>
        <w:t xml:space="preserve"> </w:t>
      </w:r>
      <w:r>
        <w:t>and quickly communicate service delivery issues and focus available</w:t>
      </w:r>
      <w:r>
        <w:rPr>
          <w:spacing w:val="-10"/>
        </w:rPr>
        <w:t xml:space="preserve"> </w:t>
      </w:r>
      <w:r>
        <w:t>resources</w:t>
      </w:r>
      <w:r>
        <w:rPr>
          <w:spacing w:val="-9"/>
        </w:rPr>
        <w:t xml:space="preserve"> </w:t>
      </w:r>
      <w:r>
        <w:t>on</w:t>
      </w:r>
      <w:r>
        <w:rPr>
          <w:spacing w:val="-8"/>
        </w:rPr>
        <w:t xml:space="preserve"> </w:t>
      </w:r>
      <w:r>
        <w:t>improving</w:t>
      </w:r>
      <w:r>
        <w:rPr>
          <w:spacing w:val="-9"/>
        </w:rPr>
        <w:t xml:space="preserve"> </w:t>
      </w:r>
      <w:r>
        <w:t>the</w:t>
      </w:r>
      <w:r>
        <w:rPr>
          <w:spacing w:val="-10"/>
        </w:rPr>
        <w:t xml:space="preserve"> </w:t>
      </w:r>
      <w:r>
        <w:t>performance</w:t>
      </w:r>
      <w:r>
        <w:rPr>
          <w:spacing w:val="-9"/>
        </w:rPr>
        <w:t xml:space="preserve"> </w:t>
      </w:r>
      <w:r>
        <w:t>of</w:t>
      </w:r>
      <w:r>
        <w:rPr>
          <w:spacing w:val="-9"/>
        </w:rPr>
        <w:t xml:space="preserve"> </w:t>
      </w:r>
      <w:r>
        <w:t>the</w:t>
      </w:r>
      <w:r>
        <w:rPr>
          <w:spacing w:val="-10"/>
        </w:rPr>
        <w:t xml:space="preserve"> </w:t>
      </w:r>
      <w:r>
        <w:t>asset</w:t>
      </w:r>
      <w:r>
        <w:rPr>
          <w:spacing w:val="-9"/>
        </w:rPr>
        <w:t xml:space="preserve"> </w:t>
      </w:r>
      <w:r>
        <w:t>base.</w:t>
      </w:r>
      <w:r>
        <w:rPr>
          <w:spacing w:val="-11"/>
        </w:rPr>
        <w:t xml:space="preserve"> </w:t>
      </w:r>
      <w:r>
        <w:t>Consequently,</w:t>
      </w:r>
      <w:r>
        <w:rPr>
          <w:spacing w:val="-11"/>
        </w:rPr>
        <w:t xml:space="preserve"> </w:t>
      </w:r>
      <w:r>
        <w:t>no</w:t>
      </w:r>
      <w:r>
        <w:rPr>
          <w:spacing w:val="-10"/>
        </w:rPr>
        <w:t xml:space="preserve"> </w:t>
      </w:r>
      <w:r>
        <w:t>GSLs</w:t>
      </w:r>
      <w:r>
        <w:rPr>
          <w:spacing w:val="-10"/>
        </w:rPr>
        <w:t xml:space="preserve"> </w:t>
      </w:r>
      <w:r>
        <w:t>were</w:t>
      </w:r>
      <w:r>
        <w:rPr>
          <w:spacing w:val="-10"/>
        </w:rPr>
        <w:t xml:space="preserve"> </w:t>
      </w:r>
      <w:r>
        <w:t>developed</w:t>
      </w:r>
      <w:r>
        <w:rPr>
          <w:spacing w:val="-10"/>
        </w:rPr>
        <w:t xml:space="preserve"> </w:t>
      </w:r>
      <w:r>
        <w:t>for the rural business.</w:t>
      </w:r>
    </w:p>
    <w:p w14:paraId="74974E08" w14:textId="77777777" w:rsidR="00141B97" w:rsidRDefault="00141B97">
      <w:pPr>
        <w:spacing w:line="249" w:lineRule="auto"/>
        <w:jc w:val="both"/>
        <w:sectPr w:rsidR="00141B97">
          <w:pgSz w:w="11910" w:h="16840"/>
          <w:pgMar w:top="820" w:right="40" w:bottom="780" w:left="1020" w:header="0" w:footer="586" w:gutter="0"/>
          <w:cols w:space="720"/>
        </w:sectPr>
      </w:pPr>
    </w:p>
    <w:p w14:paraId="6B99843C" w14:textId="77777777" w:rsidR="00141B97" w:rsidRDefault="00911D63">
      <w:pPr>
        <w:pStyle w:val="Heading1"/>
        <w:numPr>
          <w:ilvl w:val="0"/>
          <w:numId w:val="37"/>
        </w:numPr>
        <w:tabs>
          <w:tab w:val="left" w:pos="1112"/>
          <w:tab w:val="left" w:pos="1113"/>
        </w:tabs>
        <w:ind w:left="1112" w:hanging="999"/>
      </w:pPr>
      <w:r>
        <w:rPr>
          <w:color w:val="006CA3"/>
          <w:spacing w:val="-2"/>
        </w:rPr>
        <w:lastRenderedPageBreak/>
        <w:t>Revenue</w:t>
      </w:r>
      <w:r>
        <w:rPr>
          <w:color w:val="006CA3"/>
          <w:spacing w:val="-20"/>
        </w:rPr>
        <w:t xml:space="preserve"> </w:t>
      </w:r>
      <w:r>
        <w:rPr>
          <w:color w:val="006CA3"/>
          <w:spacing w:val="-2"/>
        </w:rPr>
        <w:t>Requirement</w:t>
      </w:r>
    </w:p>
    <w:p w14:paraId="7B72F165" w14:textId="77777777" w:rsidR="00141B97" w:rsidRDefault="00911D63">
      <w:pPr>
        <w:pStyle w:val="Heading2"/>
        <w:numPr>
          <w:ilvl w:val="1"/>
          <w:numId w:val="37"/>
        </w:numPr>
        <w:tabs>
          <w:tab w:val="left" w:pos="1112"/>
          <w:tab w:val="left" w:pos="1113"/>
        </w:tabs>
        <w:spacing w:before="379"/>
        <w:rPr>
          <w:color w:val="009BAC"/>
        </w:rPr>
      </w:pPr>
      <w:r>
        <w:rPr>
          <w:color w:val="009BAC"/>
        </w:rPr>
        <w:t>Overview</w:t>
      </w:r>
      <w:r>
        <w:rPr>
          <w:color w:val="009BAC"/>
          <w:spacing w:val="-7"/>
        </w:rPr>
        <w:t xml:space="preserve"> </w:t>
      </w:r>
      <w:r>
        <w:rPr>
          <w:color w:val="009BAC"/>
        </w:rPr>
        <w:t>of</w:t>
      </w:r>
      <w:r>
        <w:rPr>
          <w:color w:val="009BAC"/>
          <w:spacing w:val="-8"/>
        </w:rPr>
        <w:t xml:space="preserve"> </w:t>
      </w:r>
      <w:r>
        <w:rPr>
          <w:color w:val="009BAC"/>
        </w:rPr>
        <w:t>Revenue</w:t>
      </w:r>
      <w:r>
        <w:rPr>
          <w:color w:val="009BAC"/>
          <w:spacing w:val="-6"/>
        </w:rPr>
        <w:t xml:space="preserve"> </w:t>
      </w:r>
      <w:r>
        <w:rPr>
          <w:color w:val="009BAC"/>
          <w:spacing w:val="-2"/>
        </w:rPr>
        <w:t>Requirement</w:t>
      </w:r>
    </w:p>
    <w:p w14:paraId="03A3BCC9" w14:textId="77777777" w:rsidR="00141B97" w:rsidRDefault="00911D63">
      <w:pPr>
        <w:pStyle w:val="BodyText"/>
        <w:spacing w:before="121"/>
        <w:ind w:left="114" w:right="949" w:hanging="1"/>
        <w:jc w:val="both"/>
      </w:pPr>
      <w:r>
        <w:t>Table C16 summarises the revenue requirement from the last year of the PS4 period through the PS5 period. The total revenue requirement for the PS5 period is $139.18m.</w:t>
      </w:r>
    </w:p>
    <w:p w14:paraId="3B8E1FB2" w14:textId="77777777" w:rsidR="00141B97" w:rsidRDefault="00141B97">
      <w:pPr>
        <w:pStyle w:val="BodyText"/>
      </w:pPr>
    </w:p>
    <w:p w14:paraId="5662BDBD" w14:textId="77777777" w:rsidR="00141B97" w:rsidRDefault="00911D63">
      <w:pPr>
        <w:pStyle w:val="BodyText"/>
        <w:ind w:left="114" w:right="949" w:hanging="1"/>
        <w:jc w:val="both"/>
      </w:pPr>
      <w:r>
        <w:t>The</w:t>
      </w:r>
      <w:r>
        <w:rPr>
          <w:spacing w:val="-12"/>
        </w:rPr>
        <w:t xml:space="preserve"> </w:t>
      </w:r>
      <w:r>
        <w:t>table</w:t>
      </w:r>
      <w:r>
        <w:rPr>
          <w:spacing w:val="-11"/>
        </w:rPr>
        <w:t xml:space="preserve"> </w:t>
      </w:r>
      <w:r>
        <w:t>shows</w:t>
      </w:r>
      <w:r>
        <w:rPr>
          <w:spacing w:val="-11"/>
        </w:rPr>
        <w:t xml:space="preserve"> </w:t>
      </w:r>
      <w:r>
        <w:t>the</w:t>
      </w:r>
      <w:r>
        <w:rPr>
          <w:spacing w:val="-12"/>
        </w:rPr>
        <w:t xml:space="preserve"> </w:t>
      </w:r>
      <w:r>
        <w:t>2022‐23</w:t>
      </w:r>
      <w:r>
        <w:rPr>
          <w:spacing w:val="-11"/>
        </w:rPr>
        <w:t xml:space="preserve"> </w:t>
      </w:r>
      <w:r>
        <w:t>PS5</w:t>
      </w:r>
      <w:r>
        <w:rPr>
          <w:spacing w:val="-11"/>
        </w:rPr>
        <w:t xml:space="preserve"> </w:t>
      </w:r>
      <w:r>
        <w:t>revenue</w:t>
      </w:r>
      <w:r>
        <w:rPr>
          <w:spacing w:val="-11"/>
        </w:rPr>
        <w:t xml:space="preserve"> </w:t>
      </w:r>
      <w:r>
        <w:t>requirement</w:t>
      </w:r>
      <w:r>
        <w:rPr>
          <w:spacing w:val="-11"/>
        </w:rPr>
        <w:t xml:space="preserve"> </w:t>
      </w:r>
      <w:r>
        <w:t>of</w:t>
      </w:r>
      <w:r>
        <w:rPr>
          <w:spacing w:val="-11"/>
        </w:rPr>
        <w:t xml:space="preserve"> </w:t>
      </w:r>
      <w:r>
        <w:t>$29.27m</w:t>
      </w:r>
      <w:r>
        <w:rPr>
          <w:spacing w:val="-11"/>
        </w:rPr>
        <w:t xml:space="preserve"> </w:t>
      </w:r>
      <w:r>
        <w:t>falling</w:t>
      </w:r>
      <w:r>
        <w:rPr>
          <w:spacing w:val="-10"/>
        </w:rPr>
        <w:t xml:space="preserve"> </w:t>
      </w:r>
      <w:r>
        <w:t>to</w:t>
      </w:r>
      <w:r>
        <w:rPr>
          <w:spacing w:val="-11"/>
        </w:rPr>
        <w:t xml:space="preserve"> </w:t>
      </w:r>
      <w:r>
        <w:t>$26.99m</w:t>
      </w:r>
      <w:r>
        <w:rPr>
          <w:spacing w:val="-11"/>
        </w:rPr>
        <w:t xml:space="preserve"> </w:t>
      </w:r>
      <w:r>
        <w:t>in</w:t>
      </w:r>
      <w:r>
        <w:rPr>
          <w:spacing w:val="-10"/>
        </w:rPr>
        <w:t xml:space="preserve"> </w:t>
      </w:r>
      <w:r>
        <w:t>2023‐24,</w:t>
      </w:r>
      <w:r>
        <w:rPr>
          <w:spacing w:val="-11"/>
        </w:rPr>
        <w:t xml:space="preserve"> </w:t>
      </w:r>
      <w:r>
        <w:t>a</w:t>
      </w:r>
      <w:r>
        <w:rPr>
          <w:spacing w:val="-12"/>
        </w:rPr>
        <w:t xml:space="preserve"> </w:t>
      </w:r>
      <w:r>
        <w:t>step</w:t>
      </w:r>
      <w:r>
        <w:rPr>
          <w:spacing w:val="-9"/>
        </w:rPr>
        <w:t xml:space="preserve"> </w:t>
      </w:r>
      <w:r>
        <w:t>change of $2.28m in the first year of the PS5 period. This reduction is driven by the following changes in the building block component of the revenue requirement:</w:t>
      </w:r>
    </w:p>
    <w:p w14:paraId="2515DFD7" w14:textId="77777777" w:rsidR="00141B97" w:rsidRDefault="00911D63">
      <w:pPr>
        <w:pStyle w:val="ListParagraph"/>
        <w:numPr>
          <w:ilvl w:val="0"/>
          <w:numId w:val="13"/>
        </w:numPr>
        <w:tabs>
          <w:tab w:val="left" w:pos="833"/>
          <w:tab w:val="left" w:pos="835"/>
        </w:tabs>
        <w:ind w:left="833" w:right="949"/>
      </w:pPr>
      <w:r>
        <w:t>Decrease of $1.43m in operating expenditure – reductions in electricity and corporate cost allocation methodology change.</w:t>
      </w:r>
    </w:p>
    <w:p w14:paraId="53390F53" w14:textId="77777777" w:rsidR="00141B97" w:rsidRDefault="00911D63">
      <w:pPr>
        <w:pStyle w:val="ListParagraph"/>
        <w:numPr>
          <w:ilvl w:val="0"/>
          <w:numId w:val="13"/>
        </w:numPr>
        <w:tabs>
          <w:tab w:val="left" w:pos="833"/>
          <w:tab w:val="left" w:pos="834"/>
        </w:tabs>
        <w:spacing w:line="280" w:lineRule="exact"/>
        <w:ind w:hanging="361"/>
      </w:pPr>
      <w:r>
        <w:rPr>
          <w:w w:val="95"/>
        </w:rPr>
        <w:t>Decrease</w:t>
      </w:r>
      <w:r>
        <w:rPr>
          <w:spacing w:val="8"/>
        </w:rPr>
        <w:t xml:space="preserve"> </w:t>
      </w:r>
      <w:r>
        <w:rPr>
          <w:w w:val="95"/>
        </w:rPr>
        <w:t>in</w:t>
      </w:r>
      <w:r>
        <w:rPr>
          <w:spacing w:val="11"/>
        </w:rPr>
        <w:t xml:space="preserve"> </w:t>
      </w:r>
      <w:r>
        <w:rPr>
          <w:w w:val="95"/>
        </w:rPr>
        <w:t>return</w:t>
      </w:r>
      <w:r>
        <w:rPr>
          <w:spacing w:val="7"/>
        </w:rPr>
        <w:t xml:space="preserve"> </w:t>
      </w:r>
      <w:r>
        <w:rPr>
          <w:w w:val="95"/>
        </w:rPr>
        <w:t>on</w:t>
      </w:r>
      <w:r>
        <w:rPr>
          <w:spacing w:val="9"/>
        </w:rPr>
        <w:t xml:space="preserve"> </w:t>
      </w:r>
      <w:r>
        <w:rPr>
          <w:w w:val="95"/>
        </w:rPr>
        <w:t>assets</w:t>
      </w:r>
      <w:r>
        <w:rPr>
          <w:spacing w:val="9"/>
        </w:rPr>
        <w:t xml:space="preserve"> </w:t>
      </w:r>
      <w:r>
        <w:rPr>
          <w:w w:val="95"/>
        </w:rPr>
        <w:t>$1.12m</w:t>
      </w:r>
      <w:r>
        <w:rPr>
          <w:spacing w:val="8"/>
        </w:rPr>
        <w:t xml:space="preserve"> </w:t>
      </w:r>
      <w:r>
        <w:rPr>
          <w:w w:val="95"/>
        </w:rPr>
        <w:t>‐</w:t>
      </w:r>
      <w:r>
        <w:rPr>
          <w:spacing w:val="9"/>
        </w:rPr>
        <w:t xml:space="preserve"> </w:t>
      </w:r>
      <w:r>
        <w:rPr>
          <w:w w:val="95"/>
        </w:rPr>
        <w:t>driven</w:t>
      </w:r>
      <w:r>
        <w:rPr>
          <w:spacing w:val="9"/>
        </w:rPr>
        <w:t xml:space="preserve"> </w:t>
      </w:r>
      <w:r>
        <w:rPr>
          <w:w w:val="95"/>
        </w:rPr>
        <w:t>by</w:t>
      </w:r>
      <w:r>
        <w:rPr>
          <w:spacing w:val="10"/>
        </w:rPr>
        <w:t xml:space="preserve"> </w:t>
      </w:r>
      <w:r>
        <w:rPr>
          <w:w w:val="95"/>
        </w:rPr>
        <w:t>a</w:t>
      </w:r>
      <w:r>
        <w:rPr>
          <w:spacing w:val="9"/>
        </w:rPr>
        <w:t xml:space="preserve"> </w:t>
      </w:r>
      <w:r>
        <w:rPr>
          <w:w w:val="95"/>
        </w:rPr>
        <w:t>reduction</w:t>
      </w:r>
      <w:r>
        <w:rPr>
          <w:spacing w:val="9"/>
        </w:rPr>
        <w:t xml:space="preserve"> </w:t>
      </w:r>
      <w:r>
        <w:rPr>
          <w:w w:val="95"/>
        </w:rPr>
        <w:t>of</w:t>
      </w:r>
      <w:r>
        <w:rPr>
          <w:spacing w:val="9"/>
        </w:rPr>
        <w:t xml:space="preserve"> </w:t>
      </w:r>
      <w:r>
        <w:rPr>
          <w:w w:val="95"/>
        </w:rPr>
        <w:t>the</w:t>
      </w:r>
      <w:r>
        <w:rPr>
          <w:spacing w:val="9"/>
        </w:rPr>
        <w:t xml:space="preserve"> </w:t>
      </w:r>
      <w:r>
        <w:rPr>
          <w:w w:val="95"/>
        </w:rPr>
        <w:t>average</w:t>
      </w:r>
      <w:r>
        <w:rPr>
          <w:spacing w:val="7"/>
        </w:rPr>
        <w:t xml:space="preserve"> </w:t>
      </w:r>
      <w:r>
        <w:rPr>
          <w:w w:val="95"/>
        </w:rPr>
        <w:t>10‐year</w:t>
      </w:r>
      <w:r>
        <w:rPr>
          <w:spacing w:val="9"/>
        </w:rPr>
        <w:t xml:space="preserve"> </w:t>
      </w:r>
      <w:r>
        <w:rPr>
          <w:w w:val="95"/>
        </w:rPr>
        <w:t>trailing</w:t>
      </w:r>
      <w:r>
        <w:rPr>
          <w:spacing w:val="9"/>
        </w:rPr>
        <w:t xml:space="preserve"> </w:t>
      </w:r>
      <w:r>
        <w:rPr>
          <w:w w:val="95"/>
        </w:rPr>
        <w:t>Cost</w:t>
      </w:r>
      <w:r>
        <w:rPr>
          <w:spacing w:val="8"/>
        </w:rPr>
        <w:t xml:space="preserve"> </w:t>
      </w:r>
      <w:r>
        <w:rPr>
          <w:w w:val="95"/>
        </w:rPr>
        <w:t>of</w:t>
      </w:r>
      <w:r>
        <w:rPr>
          <w:spacing w:val="9"/>
        </w:rPr>
        <w:t xml:space="preserve"> </w:t>
      </w:r>
      <w:r>
        <w:rPr>
          <w:spacing w:val="-4"/>
          <w:w w:val="95"/>
        </w:rPr>
        <w:t>Debt.</w:t>
      </w:r>
    </w:p>
    <w:p w14:paraId="4F0DC349" w14:textId="77777777" w:rsidR="00141B97" w:rsidRDefault="00911D63">
      <w:pPr>
        <w:pStyle w:val="ListParagraph"/>
        <w:numPr>
          <w:ilvl w:val="0"/>
          <w:numId w:val="13"/>
        </w:numPr>
        <w:tabs>
          <w:tab w:val="left" w:pos="833"/>
          <w:tab w:val="left" w:pos="834"/>
        </w:tabs>
        <w:spacing w:line="280" w:lineRule="exact"/>
        <w:ind w:left="833" w:hanging="361"/>
      </w:pPr>
      <w:r>
        <w:t>Increase</w:t>
      </w:r>
      <w:r>
        <w:rPr>
          <w:spacing w:val="-9"/>
        </w:rPr>
        <w:t xml:space="preserve"> </w:t>
      </w:r>
      <w:r>
        <w:t>in</w:t>
      </w:r>
      <w:r>
        <w:rPr>
          <w:spacing w:val="-7"/>
        </w:rPr>
        <w:t xml:space="preserve"> </w:t>
      </w:r>
      <w:r>
        <w:t>regulatory</w:t>
      </w:r>
      <w:r>
        <w:rPr>
          <w:spacing w:val="-8"/>
        </w:rPr>
        <w:t xml:space="preserve"> </w:t>
      </w:r>
      <w:r>
        <w:t>depreciation</w:t>
      </w:r>
      <w:r>
        <w:rPr>
          <w:spacing w:val="-8"/>
        </w:rPr>
        <w:t xml:space="preserve"> </w:t>
      </w:r>
      <w:r>
        <w:t>–</w:t>
      </w:r>
      <w:r>
        <w:rPr>
          <w:spacing w:val="-7"/>
        </w:rPr>
        <w:t xml:space="preserve"> </w:t>
      </w:r>
      <w:r>
        <w:t>growth</w:t>
      </w:r>
      <w:r>
        <w:rPr>
          <w:spacing w:val="-8"/>
        </w:rPr>
        <w:t xml:space="preserve"> </w:t>
      </w:r>
      <w:r>
        <w:t>in</w:t>
      </w:r>
      <w:r>
        <w:rPr>
          <w:spacing w:val="-7"/>
        </w:rPr>
        <w:t xml:space="preserve"> </w:t>
      </w:r>
      <w:r>
        <w:t>regulatory</w:t>
      </w:r>
      <w:r>
        <w:rPr>
          <w:spacing w:val="-7"/>
        </w:rPr>
        <w:t xml:space="preserve"> </w:t>
      </w:r>
      <w:r>
        <w:t>asset</w:t>
      </w:r>
      <w:r>
        <w:rPr>
          <w:spacing w:val="-7"/>
        </w:rPr>
        <w:t xml:space="preserve"> </w:t>
      </w:r>
      <w:r>
        <w:rPr>
          <w:spacing w:val="-2"/>
        </w:rPr>
        <w:t>base.</w:t>
      </w:r>
    </w:p>
    <w:p w14:paraId="5E09A315" w14:textId="77777777" w:rsidR="00141B97" w:rsidRDefault="00141B97">
      <w:pPr>
        <w:pStyle w:val="BodyText"/>
        <w:spacing w:before="8"/>
        <w:rPr>
          <w:sz w:val="21"/>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536"/>
        <w:gridCol w:w="1009"/>
        <w:gridCol w:w="1057"/>
        <w:gridCol w:w="1058"/>
        <w:gridCol w:w="1057"/>
        <w:gridCol w:w="1057"/>
        <w:gridCol w:w="1057"/>
        <w:gridCol w:w="1058"/>
      </w:tblGrid>
      <w:tr w:rsidR="00141B97" w14:paraId="5810684B" w14:textId="77777777">
        <w:trPr>
          <w:trHeight w:val="291"/>
          <w:tblCellSpacing w:w="9" w:type="dxa"/>
        </w:trPr>
        <w:tc>
          <w:tcPr>
            <w:tcW w:w="2509" w:type="dxa"/>
            <w:tcBorders>
              <w:top w:val="nil"/>
              <w:left w:val="nil"/>
            </w:tcBorders>
            <w:shd w:val="clear" w:color="auto" w:fill="006CA3"/>
          </w:tcPr>
          <w:p w14:paraId="32C2351F" w14:textId="77777777" w:rsidR="00141B97" w:rsidRDefault="00141B97">
            <w:pPr>
              <w:pStyle w:val="TableParagraph"/>
              <w:rPr>
                <w:rFonts w:ascii="Times New Roman"/>
                <w:sz w:val="20"/>
              </w:rPr>
            </w:pPr>
          </w:p>
        </w:tc>
        <w:tc>
          <w:tcPr>
            <w:tcW w:w="991" w:type="dxa"/>
            <w:tcBorders>
              <w:top w:val="nil"/>
            </w:tcBorders>
            <w:shd w:val="clear" w:color="auto" w:fill="006CA3"/>
          </w:tcPr>
          <w:p w14:paraId="5F7CAD98" w14:textId="77777777" w:rsidR="00141B97" w:rsidRDefault="00911D63">
            <w:pPr>
              <w:pStyle w:val="TableParagraph"/>
              <w:spacing w:before="48"/>
              <w:ind w:left="238"/>
              <w:rPr>
                <w:sz w:val="16"/>
              </w:rPr>
            </w:pPr>
            <w:r>
              <w:rPr>
                <w:color w:val="FFFFFF"/>
                <w:spacing w:val="-2"/>
                <w:sz w:val="16"/>
              </w:rPr>
              <w:t>Current</w:t>
            </w:r>
          </w:p>
        </w:tc>
        <w:tc>
          <w:tcPr>
            <w:tcW w:w="6227" w:type="dxa"/>
            <w:gridSpan w:val="6"/>
            <w:tcBorders>
              <w:top w:val="nil"/>
              <w:right w:val="nil"/>
            </w:tcBorders>
            <w:shd w:val="clear" w:color="auto" w:fill="006CA3"/>
          </w:tcPr>
          <w:p w14:paraId="4D1C770F" w14:textId="77777777" w:rsidR="00141B97" w:rsidRDefault="00911D63">
            <w:pPr>
              <w:pStyle w:val="TableParagraph"/>
              <w:spacing w:before="48"/>
              <w:ind w:left="2371" w:right="2360"/>
              <w:jc w:val="center"/>
              <w:rPr>
                <w:sz w:val="16"/>
              </w:rPr>
            </w:pPr>
            <w:r>
              <w:rPr>
                <w:color w:val="FFFFFF"/>
                <w:sz w:val="16"/>
              </w:rPr>
              <w:t>Fifth</w:t>
            </w:r>
            <w:r>
              <w:rPr>
                <w:color w:val="FFFFFF"/>
                <w:spacing w:val="-6"/>
                <w:sz w:val="16"/>
              </w:rPr>
              <w:t xml:space="preserve"> </w:t>
            </w:r>
            <w:r>
              <w:rPr>
                <w:color w:val="FFFFFF"/>
                <w:sz w:val="16"/>
              </w:rPr>
              <w:t>Regulatory</w:t>
            </w:r>
            <w:r>
              <w:rPr>
                <w:color w:val="FFFFFF"/>
                <w:spacing w:val="-4"/>
                <w:sz w:val="16"/>
              </w:rPr>
              <w:t xml:space="preserve"> </w:t>
            </w:r>
            <w:r>
              <w:rPr>
                <w:color w:val="FFFFFF"/>
                <w:spacing w:val="-2"/>
                <w:sz w:val="16"/>
              </w:rPr>
              <w:t>Period</w:t>
            </w:r>
          </w:p>
        </w:tc>
      </w:tr>
      <w:tr w:rsidR="00141B97" w14:paraId="170FAFBF" w14:textId="77777777">
        <w:trPr>
          <w:trHeight w:val="290"/>
          <w:tblCellSpacing w:w="9" w:type="dxa"/>
        </w:trPr>
        <w:tc>
          <w:tcPr>
            <w:tcW w:w="2509" w:type="dxa"/>
            <w:tcBorders>
              <w:left w:val="nil"/>
            </w:tcBorders>
            <w:shd w:val="clear" w:color="auto" w:fill="006CA3"/>
          </w:tcPr>
          <w:p w14:paraId="087DEA07" w14:textId="77777777" w:rsidR="00141B97" w:rsidRDefault="00911D63">
            <w:pPr>
              <w:pStyle w:val="TableParagraph"/>
              <w:spacing w:before="49"/>
              <w:ind w:left="88"/>
              <w:rPr>
                <w:sz w:val="16"/>
              </w:rPr>
            </w:pPr>
            <w:r>
              <w:rPr>
                <w:color w:val="FFFFFF"/>
                <w:sz w:val="16"/>
              </w:rPr>
              <w:t>($m</w:t>
            </w:r>
            <w:r>
              <w:rPr>
                <w:color w:val="FFFFFF"/>
                <w:spacing w:val="-3"/>
                <w:sz w:val="16"/>
              </w:rPr>
              <w:t xml:space="preserve"> </w:t>
            </w:r>
            <w:r>
              <w:rPr>
                <w:color w:val="FFFFFF"/>
                <w:spacing w:val="-2"/>
                <w:sz w:val="16"/>
              </w:rPr>
              <w:t>1/1/23)</w:t>
            </w:r>
          </w:p>
        </w:tc>
        <w:tc>
          <w:tcPr>
            <w:tcW w:w="991" w:type="dxa"/>
            <w:shd w:val="clear" w:color="auto" w:fill="006CA3"/>
          </w:tcPr>
          <w:p w14:paraId="6187CDC8" w14:textId="77777777" w:rsidR="00141B97" w:rsidRDefault="00911D63">
            <w:pPr>
              <w:pStyle w:val="TableParagraph"/>
              <w:spacing w:before="49"/>
              <w:ind w:left="218"/>
              <w:rPr>
                <w:sz w:val="16"/>
              </w:rPr>
            </w:pPr>
            <w:r>
              <w:rPr>
                <w:color w:val="FFFFFF"/>
                <w:spacing w:val="-2"/>
                <w:sz w:val="16"/>
              </w:rPr>
              <w:t>2022‐23</w:t>
            </w:r>
          </w:p>
        </w:tc>
        <w:tc>
          <w:tcPr>
            <w:tcW w:w="1039" w:type="dxa"/>
            <w:shd w:val="clear" w:color="auto" w:fill="006CA3"/>
          </w:tcPr>
          <w:p w14:paraId="31EE572F" w14:textId="77777777" w:rsidR="00141B97" w:rsidRDefault="00911D63">
            <w:pPr>
              <w:pStyle w:val="TableParagraph"/>
              <w:spacing w:before="49"/>
              <w:ind w:left="241"/>
              <w:rPr>
                <w:sz w:val="16"/>
              </w:rPr>
            </w:pPr>
            <w:r>
              <w:rPr>
                <w:color w:val="FFFFFF"/>
                <w:spacing w:val="-2"/>
                <w:sz w:val="16"/>
              </w:rPr>
              <w:t>2023‐24</w:t>
            </w:r>
          </w:p>
        </w:tc>
        <w:tc>
          <w:tcPr>
            <w:tcW w:w="1040" w:type="dxa"/>
            <w:shd w:val="clear" w:color="auto" w:fill="006CA3"/>
          </w:tcPr>
          <w:p w14:paraId="1F9384A3" w14:textId="77777777" w:rsidR="00141B97" w:rsidRDefault="00911D63">
            <w:pPr>
              <w:pStyle w:val="TableParagraph"/>
              <w:spacing w:before="49"/>
              <w:ind w:left="242"/>
              <w:rPr>
                <w:sz w:val="16"/>
              </w:rPr>
            </w:pPr>
            <w:r>
              <w:rPr>
                <w:color w:val="FFFFFF"/>
                <w:spacing w:val="-2"/>
                <w:sz w:val="16"/>
              </w:rPr>
              <w:t>2024‐25</w:t>
            </w:r>
          </w:p>
        </w:tc>
        <w:tc>
          <w:tcPr>
            <w:tcW w:w="1039" w:type="dxa"/>
            <w:shd w:val="clear" w:color="auto" w:fill="006CA3"/>
          </w:tcPr>
          <w:p w14:paraId="79541D87" w14:textId="77777777" w:rsidR="00141B97" w:rsidRDefault="00911D63">
            <w:pPr>
              <w:pStyle w:val="TableParagraph"/>
              <w:spacing w:before="49"/>
              <w:ind w:left="241"/>
              <w:rPr>
                <w:sz w:val="16"/>
              </w:rPr>
            </w:pPr>
            <w:r>
              <w:rPr>
                <w:color w:val="FFFFFF"/>
                <w:spacing w:val="-2"/>
                <w:sz w:val="16"/>
              </w:rPr>
              <w:t>2025‐26</w:t>
            </w:r>
          </w:p>
        </w:tc>
        <w:tc>
          <w:tcPr>
            <w:tcW w:w="1039" w:type="dxa"/>
            <w:shd w:val="clear" w:color="auto" w:fill="006CA3"/>
          </w:tcPr>
          <w:p w14:paraId="2AFDCCB7" w14:textId="77777777" w:rsidR="00141B97" w:rsidRDefault="00911D63">
            <w:pPr>
              <w:pStyle w:val="TableParagraph"/>
              <w:spacing w:before="49"/>
              <w:ind w:left="243"/>
              <w:rPr>
                <w:sz w:val="16"/>
              </w:rPr>
            </w:pPr>
            <w:r>
              <w:rPr>
                <w:color w:val="FFFFFF"/>
                <w:spacing w:val="-2"/>
                <w:sz w:val="16"/>
              </w:rPr>
              <w:t>2027‐27</w:t>
            </w:r>
          </w:p>
        </w:tc>
        <w:tc>
          <w:tcPr>
            <w:tcW w:w="1039" w:type="dxa"/>
            <w:shd w:val="clear" w:color="auto" w:fill="006CA3"/>
          </w:tcPr>
          <w:p w14:paraId="65A347F1" w14:textId="77777777" w:rsidR="00141B97" w:rsidRDefault="00911D63">
            <w:pPr>
              <w:pStyle w:val="TableParagraph"/>
              <w:spacing w:before="49"/>
              <w:ind w:left="242"/>
              <w:rPr>
                <w:sz w:val="16"/>
              </w:rPr>
            </w:pPr>
            <w:r>
              <w:rPr>
                <w:color w:val="FFFFFF"/>
                <w:spacing w:val="-2"/>
                <w:sz w:val="16"/>
              </w:rPr>
              <w:t>2027‐28</w:t>
            </w:r>
          </w:p>
        </w:tc>
        <w:tc>
          <w:tcPr>
            <w:tcW w:w="1031" w:type="dxa"/>
            <w:tcBorders>
              <w:right w:val="nil"/>
            </w:tcBorders>
            <w:shd w:val="clear" w:color="auto" w:fill="006CA3"/>
          </w:tcPr>
          <w:p w14:paraId="440BE2FC" w14:textId="77777777" w:rsidR="00141B97" w:rsidRDefault="00911D63">
            <w:pPr>
              <w:pStyle w:val="TableParagraph"/>
              <w:spacing w:before="49"/>
              <w:ind w:left="303"/>
              <w:rPr>
                <w:sz w:val="16"/>
              </w:rPr>
            </w:pPr>
            <w:r>
              <w:rPr>
                <w:color w:val="FFFFFF"/>
                <w:spacing w:val="-2"/>
                <w:sz w:val="16"/>
              </w:rPr>
              <w:t>TOTAL</w:t>
            </w:r>
          </w:p>
        </w:tc>
      </w:tr>
      <w:tr w:rsidR="00141B97" w14:paraId="729B2F85" w14:textId="77777777">
        <w:trPr>
          <w:trHeight w:val="292"/>
          <w:tblCellSpacing w:w="9" w:type="dxa"/>
        </w:trPr>
        <w:tc>
          <w:tcPr>
            <w:tcW w:w="2509" w:type="dxa"/>
            <w:tcBorders>
              <w:left w:val="nil"/>
            </w:tcBorders>
            <w:shd w:val="clear" w:color="auto" w:fill="CCE2ED"/>
          </w:tcPr>
          <w:p w14:paraId="4FD5EFD4" w14:textId="77777777" w:rsidR="00141B97" w:rsidRDefault="00911D63">
            <w:pPr>
              <w:pStyle w:val="TableParagraph"/>
              <w:spacing w:before="49"/>
              <w:ind w:left="88"/>
              <w:rPr>
                <w:sz w:val="16"/>
              </w:rPr>
            </w:pPr>
            <w:r>
              <w:rPr>
                <w:sz w:val="16"/>
              </w:rPr>
              <w:t>Operating</w:t>
            </w:r>
            <w:r>
              <w:rPr>
                <w:spacing w:val="-8"/>
                <w:sz w:val="16"/>
              </w:rPr>
              <w:t xml:space="preserve"> </w:t>
            </w:r>
            <w:r>
              <w:rPr>
                <w:spacing w:val="-2"/>
                <w:sz w:val="16"/>
              </w:rPr>
              <w:t>expenditure</w:t>
            </w:r>
          </w:p>
        </w:tc>
        <w:tc>
          <w:tcPr>
            <w:tcW w:w="991" w:type="dxa"/>
            <w:shd w:val="clear" w:color="auto" w:fill="CCE2ED"/>
          </w:tcPr>
          <w:p w14:paraId="5D5E6FC1" w14:textId="77777777" w:rsidR="00141B97" w:rsidRDefault="00911D63">
            <w:pPr>
              <w:pStyle w:val="TableParagraph"/>
              <w:spacing w:before="49"/>
              <w:ind w:right="93"/>
              <w:jc w:val="right"/>
              <w:rPr>
                <w:sz w:val="16"/>
              </w:rPr>
            </w:pPr>
            <w:r>
              <w:rPr>
                <w:spacing w:val="-2"/>
                <w:sz w:val="16"/>
              </w:rPr>
              <w:t>22.15</w:t>
            </w:r>
          </w:p>
        </w:tc>
        <w:tc>
          <w:tcPr>
            <w:tcW w:w="1039" w:type="dxa"/>
            <w:shd w:val="clear" w:color="auto" w:fill="CCE2ED"/>
          </w:tcPr>
          <w:p w14:paraId="0AF233DB" w14:textId="77777777" w:rsidR="00141B97" w:rsidRDefault="00911D63">
            <w:pPr>
              <w:pStyle w:val="TableParagraph"/>
              <w:spacing w:before="49"/>
              <w:ind w:right="94"/>
              <w:jc w:val="right"/>
              <w:rPr>
                <w:sz w:val="16"/>
              </w:rPr>
            </w:pPr>
            <w:r>
              <w:rPr>
                <w:spacing w:val="-2"/>
                <w:sz w:val="16"/>
              </w:rPr>
              <w:t>20.72</w:t>
            </w:r>
          </w:p>
        </w:tc>
        <w:tc>
          <w:tcPr>
            <w:tcW w:w="1040" w:type="dxa"/>
            <w:shd w:val="clear" w:color="auto" w:fill="CCE2ED"/>
          </w:tcPr>
          <w:p w14:paraId="08BC0BE3" w14:textId="77777777" w:rsidR="00141B97" w:rsidRDefault="00911D63">
            <w:pPr>
              <w:pStyle w:val="TableParagraph"/>
              <w:spacing w:before="49"/>
              <w:ind w:right="94"/>
              <w:jc w:val="right"/>
              <w:rPr>
                <w:sz w:val="16"/>
              </w:rPr>
            </w:pPr>
            <w:r>
              <w:rPr>
                <w:spacing w:val="-2"/>
                <w:sz w:val="16"/>
              </w:rPr>
              <w:t>20.82</w:t>
            </w:r>
          </w:p>
        </w:tc>
        <w:tc>
          <w:tcPr>
            <w:tcW w:w="1039" w:type="dxa"/>
            <w:shd w:val="clear" w:color="auto" w:fill="CCE2ED"/>
          </w:tcPr>
          <w:p w14:paraId="3120C734" w14:textId="77777777" w:rsidR="00141B97" w:rsidRDefault="00911D63">
            <w:pPr>
              <w:pStyle w:val="TableParagraph"/>
              <w:spacing w:before="49"/>
              <w:ind w:right="94"/>
              <w:jc w:val="right"/>
              <w:rPr>
                <w:sz w:val="16"/>
              </w:rPr>
            </w:pPr>
            <w:r>
              <w:rPr>
                <w:spacing w:val="-2"/>
                <w:sz w:val="16"/>
              </w:rPr>
              <w:t>21.46</w:t>
            </w:r>
          </w:p>
        </w:tc>
        <w:tc>
          <w:tcPr>
            <w:tcW w:w="1039" w:type="dxa"/>
            <w:shd w:val="clear" w:color="auto" w:fill="CCE2ED"/>
          </w:tcPr>
          <w:p w14:paraId="5186D128" w14:textId="77777777" w:rsidR="00141B97" w:rsidRDefault="00911D63">
            <w:pPr>
              <w:pStyle w:val="TableParagraph"/>
              <w:spacing w:before="49"/>
              <w:ind w:right="92"/>
              <w:jc w:val="right"/>
              <w:rPr>
                <w:sz w:val="16"/>
              </w:rPr>
            </w:pPr>
            <w:r>
              <w:rPr>
                <w:spacing w:val="-2"/>
                <w:sz w:val="16"/>
              </w:rPr>
              <w:t>21.81</w:t>
            </w:r>
          </w:p>
        </w:tc>
        <w:tc>
          <w:tcPr>
            <w:tcW w:w="1039" w:type="dxa"/>
            <w:shd w:val="clear" w:color="auto" w:fill="CCE2ED"/>
          </w:tcPr>
          <w:p w14:paraId="3C12DF5F" w14:textId="77777777" w:rsidR="00141B97" w:rsidRDefault="00911D63">
            <w:pPr>
              <w:pStyle w:val="TableParagraph"/>
              <w:spacing w:before="49"/>
              <w:ind w:right="93"/>
              <w:jc w:val="right"/>
              <w:rPr>
                <w:sz w:val="16"/>
              </w:rPr>
            </w:pPr>
            <w:r>
              <w:rPr>
                <w:spacing w:val="-2"/>
                <w:sz w:val="16"/>
              </w:rPr>
              <w:t>21.39</w:t>
            </w:r>
          </w:p>
        </w:tc>
        <w:tc>
          <w:tcPr>
            <w:tcW w:w="1031" w:type="dxa"/>
            <w:tcBorders>
              <w:right w:val="nil"/>
            </w:tcBorders>
            <w:shd w:val="clear" w:color="auto" w:fill="CCE2ED"/>
          </w:tcPr>
          <w:p w14:paraId="3B10124F" w14:textId="77777777" w:rsidR="00141B97" w:rsidRDefault="00911D63">
            <w:pPr>
              <w:pStyle w:val="TableParagraph"/>
              <w:spacing w:before="49"/>
              <w:ind w:right="84"/>
              <w:jc w:val="right"/>
              <w:rPr>
                <w:sz w:val="16"/>
              </w:rPr>
            </w:pPr>
            <w:r>
              <w:rPr>
                <w:spacing w:val="-2"/>
                <w:sz w:val="16"/>
              </w:rPr>
              <w:t>106.20</w:t>
            </w:r>
          </w:p>
        </w:tc>
      </w:tr>
      <w:tr w:rsidR="00141B97" w14:paraId="38BFA2E9" w14:textId="77777777">
        <w:trPr>
          <w:trHeight w:val="290"/>
          <w:tblCellSpacing w:w="9" w:type="dxa"/>
        </w:trPr>
        <w:tc>
          <w:tcPr>
            <w:tcW w:w="2509" w:type="dxa"/>
            <w:tcBorders>
              <w:left w:val="nil"/>
            </w:tcBorders>
            <w:shd w:val="clear" w:color="auto" w:fill="CCE2ED"/>
          </w:tcPr>
          <w:p w14:paraId="467B04D1" w14:textId="77777777" w:rsidR="00141B97" w:rsidRDefault="00911D63">
            <w:pPr>
              <w:pStyle w:val="TableParagraph"/>
              <w:spacing w:before="49"/>
              <w:ind w:left="88"/>
              <w:rPr>
                <w:sz w:val="16"/>
              </w:rPr>
            </w:pPr>
            <w:r>
              <w:rPr>
                <w:sz w:val="16"/>
              </w:rPr>
              <w:t>Return</w:t>
            </w:r>
            <w:r>
              <w:rPr>
                <w:spacing w:val="-6"/>
                <w:sz w:val="16"/>
              </w:rPr>
              <w:t xml:space="preserve"> </w:t>
            </w:r>
            <w:r>
              <w:rPr>
                <w:sz w:val="16"/>
              </w:rPr>
              <w:t>on</w:t>
            </w:r>
            <w:r>
              <w:rPr>
                <w:spacing w:val="-5"/>
                <w:sz w:val="16"/>
              </w:rPr>
              <w:t xml:space="preserve"> </w:t>
            </w:r>
            <w:r>
              <w:rPr>
                <w:sz w:val="16"/>
              </w:rPr>
              <w:t>existing</w:t>
            </w:r>
            <w:r>
              <w:rPr>
                <w:spacing w:val="-5"/>
                <w:sz w:val="16"/>
              </w:rPr>
              <w:t xml:space="preserve"> </w:t>
            </w:r>
            <w:r>
              <w:rPr>
                <w:spacing w:val="-2"/>
                <w:sz w:val="16"/>
              </w:rPr>
              <w:t>assets</w:t>
            </w:r>
          </w:p>
        </w:tc>
        <w:tc>
          <w:tcPr>
            <w:tcW w:w="991" w:type="dxa"/>
            <w:shd w:val="clear" w:color="auto" w:fill="CCE2ED"/>
          </w:tcPr>
          <w:p w14:paraId="7874975F" w14:textId="77777777" w:rsidR="00141B97" w:rsidRDefault="00911D63">
            <w:pPr>
              <w:pStyle w:val="TableParagraph"/>
              <w:spacing w:before="49"/>
              <w:ind w:right="95"/>
              <w:jc w:val="right"/>
              <w:rPr>
                <w:sz w:val="16"/>
              </w:rPr>
            </w:pPr>
            <w:r>
              <w:rPr>
                <w:spacing w:val="-4"/>
                <w:sz w:val="16"/>
              </w:rPr>
              <w:t>4.06</w:t>
            </w:r>
          </w:p>
        </w:tc>
        <w:tc>
          <w:tcPr>
            <w:tcW w:w="1039" w:type="dxa"/>
            <w:shd w:val="clear" w:color="auto" w:fill="CCE2ED"/>
          </w:tcPr>
          <w:p w14:paraId="2BE0025C" w14:textId="77777777" w:rsidR="00141B97" w:rsidRDefault="00911D63">
            <w:pPr>
              <w:pStyle w:val="TableParagraph"/>
              <w:spacing w:before="49"/>
              <w:ind w:right="96"/>
              <w:jc w:val="right"/>
              <w:rPr>
                <w:sz w:val="16"/>
              </w:rPr>
            </w:pPr>
            <w:r>
              <w:rPr>
                <w:spacing w:val="-4"/>
                <w:sz w:val="16"/>
              </w:rPr>
              <w:t>2.79</w:t>
            </w:r>
          </w:p>
        </w:tc>
        <w:tc>
          <w:tcPr>
            <w:tcW w:w="1040" w:type="dxa"/>
            <w:shd w:val="clear" w:color="auto" w:fill="CCE2ED"/>
          </w:tcPr>
          <w:p w14:paraId="4BC75E29" w14:textId="77777777" w:rsidR="00141B97" w:rsidRDefault="00911D63">
            <w:pPr>
              <w:pStyle w:val="TableParagraph"/>
              <w:spacing w:before="49"/>
              <w:ind w:right="96"/>
              <w:jc w:val="right"/>
              <w:rPr>
                <w:sz w:val="16"/>
              </w:rPr>
            </w:pPr>
            <w:r>
              <w:rPr>
                <w:spacing w:val="-4"/>
                <w:sz w:val="16"/>
              </w:rPr>
              <w:t>2.48</w:t>
            </w:r>
          </w:p>
        </w:tc>
        <w:tc>
          <w:tcPr>
            <w:tcW w:w="1039" w:type="dxa"/>
            <w:shd w:val="clear" w:color="auto" w:fill="CCE2ED"/>
          </w:tcPr>
          <w:p w14:paraId="3A742376" w14:textId="77777777" w:rsidR="00141B97" w:rsidRDefault="00911D63">
            <w:pPr>
              <w:pStyle w:val="TableParagraph"/>
              <w:spacing w:before="49"/>
              <w:ind w:right="95"/>
              <w:jc w:val="right"/>
              <w:rPr>
                <w:sz w:val="16"/>
              </w:rPr>
            </w:pPr>
            <w:r>
              <w:rPr>
                <w:spacing w:val="-4"/>
                <w:sz w:val="16"/>
              </w:rPr>
              <w:t>2.30</w:t>
            </w:r>
          </w:p>
        </w:tc>
        <w:tc>
          <w:tcPr>
            <w:tcW w:w="1039" w:type="dxa"/>
            <w:shd w:val="clear" w:color="auto" w:fill="CCE2ED"/>
          </w:tcPr>
          <w:p w14:paraId="1481342C" w14:textId="77777777" w:rsidR="00141B97" w:rsidRDefault="00911D63">
            <w:pPr>
              <w:pStyle w:val="TableParagraph"/>
              <w:spacing w:before="49"/>
              <w:ind w:right="94"/>
              <w:jc w:val="right"/>
              <w:rPr>
                <w:sz w:val="16"/>
              </w:rPr>
            </w:pPr>
            <w:r>
              <w:rPr>
                <w:spacing w:val="-4"/>
                <w:sz w:val="16"/>
              </w:rPr>
              <w:t>2.14</w:t>
            </w:r>
          </w:p>
        </w:tc>
        <w:tc>
          <w:tcPr>
            <w:tcW w:w="1039" w:type="dxa"/>
            <w:shd w:val="clear" w:color="auto" w:fill="CCE2ED"/>
          </w:tcPr>
          <w:p w14:paraId="3BBB2858" w14:textId="77777777" w:rsidR="00141B97" w:rsidRDefault="00911D63">
            <w:pPr>
              <w:pStyle w:val="TableParagraph"/>
              <w:spacing w:before="49"/>
              <w:ind w:right="95"/>
              <w:jc w:val="right"/>
              <w:rPr>
                <w:sz w:val="16"/>
              </w:rPr>
            </w:pPr>
            <w:r>
              <w:rPr>
                <w:spacing w:val="-4"/>
                <w:sz w:val="16"/>
              </w:rPr>
              <w:t>2.02</w:t>
            </w:r>
          </w:p>
        </w:tc>
        <w:tc>
          <w:tcPr>
            <w:tcW w:w="1031" w:type="dxa"/>
            <w:tcBorders>
              <w:right w:val="nil"/>
            </w:tcBorders>
            <w:shd w:val="clear" w:color="auto" w:fill="CCE2ED"/>
          </w:tcPr>
          <w:p w14:paraId="16077FD4" w14:textId="77777777" w:rsidR="00141B97" w:rsidRDefault="00911D63">
            <w:pPr>
              <w:pStyle w:val="TableParagraph"/>
              <w:spacing w:before="49"/>
              <w:ind w:right="84"/>
              <w:jc w:val="right"/>
              <w:rPr>
                <w:sz w:val="16"/>
              </w:rPr>
            </w:pPr>
            <w:r>
              <w:rPr>
                <w:spacing w:val="-2"/>
                <w:sz w:val="16"/>
              </w:rPr>
              <w:t>11.72</w:t>
            </w:r>
          </w:p>
        </w:tc>
      </w:tr>
      <w:tr w:rsidR="00141B97" w14:paraId="2FF13E8B" w14:textId="77777777">
        <w:trPr>
          <w:trHeight w:val="291"/>
          <w:tblCellSpacing w:w="9" w:type="dxa"/>
        </w:trPr>
        <w:tc>
          <w:tcPr>
            <w:tcW w:w="2509" w:type="dxa"/>
            <w:tcBorders>
              <w:left w:val="nil"/>
            </w:tcBorders>
            <w:shd w:val="clear" w:color="auto" w:fill="CCE2ED"/>
          </w:tcPr>
          <w:p w14:paraId="2AD995A5" w14:textId="77777777" w:rsidR="00141B97" w:rsidRDefault="00911D63">
            <w:pPr>
              <w:pStyle w:val="TableParagraph"/>
              <w:spacing w:before="49"/>
              <w:ind w:left="88"/>
              <w:rPr>
                <w:sz w:val="16"/>
              </w:rPr>
            </w:pPr>
            <w:r>
              <w:rPr>
                <w:sz w:val="16"/>
              </w:rPr>
              <w:t>Return</w:t>
            </w:r>
            <w:r>
              <w:rPr>
                <w:spacing w:val="-5"/>
                <w:sz w:val="16"/>
              </w:rPr>
              <w:t xml:space="preserve"> </w:t>
            </w:r>
            <w:r>
              <w:rPr>
                <w:sz w:val="16"/>
              </w:rPr>
              <w:t>on</w:t>
            </w:r>
            <w:r>
              <w:rPr>
                <w:spacing w:val="-2"/>
                <w:sz w:val="16"/>
              </w:rPr>
              <w:t xml:space="preserve"> </w:t>
            </w:r>
            <w:r>
              <w:rPr>
                <w:sz w:val="16"/>
              </w:rPr>
              <w:t>new</w:t>
            </w:r>
            <w:r>
              <w:rPr>
                <w:spacing w:val="-4"/>
                <w:sz w:val="16"/>
              </w:rPr>
              <w:t xml:space="preserve"> </w:t>
            </w:r>
            <w:r>
              <w:rPr>
                <w:spacing w:val="-2"/>
                <w:sz w:val="16"/>
              </w:rPr>
              <w:t>assets</w:t>
            </w:r>
          </w:p>
        </w:tc>
        <w:tc>
          <w:tcPr>
            <w:tcW w:w="991" w:type="dxa"/>
            <w:shd w:val="clear" w:color="auto" w:fill="CCE2ED"/>
          </w:tcPr>
          <w:p w14:paraId="784E9BFA" w14:textId="77777777" w:rsidR="00141B97" w:rsidRDefault="00911D63">
            <w:pPr>
              <w:pStyle w:val="TableParagraph"/>
              <w:spacing w:before="49"/>
              <w:ind w:right="94"/>
              <w:jc w:val="right"/>
              <w:rPr>
                <w:sz w:val="16"/>
              </w:rPr>
            </w:pPr>
            <w:r>
              <w:rPr>
                <w:w w:val="99"/>
                <w:sz w:val="16"/>
              </w:rPr>
              <w:t>‐</w:t>
            </w:r>
          </w:p>
        </w:tc>
        <w:tc>
          <w:tcPr>
            <w:tcW w:w="1039" w:type="dxa"/>
            <w:shd w:val="clear" w:color="auto" w:fill="CCE2ED"/>
          </w:tcPr>
          <w:p w14:paraId="7AC2B922" w14:textId="77777777" w:rsidR="00141B97" w:rsidRDefault="00911D63">
            <w:pPr>
              <w:pStyle w:val="TableParagraph"/>
              <w:spacing w:before="49"/>
              <w:ind w:right="96"/>
              <w:jc w:val="right"/>
              <w:rPr>
                <w:sz w:val="16"/>
              </w:rPr>
            </w:pPr>
            <w:r>
              <w:rPr>
                <w:spacing w:val="-4"/>
                <w:sz w:val="16"/>
              </w:rPr>
              <w:t>0.15</w:t>
            </w:r>
          </w:p>
        </w:tc>
        <w:tc>
          <w:tcPr>
            <w:tcW w:w="1040" w:type="dxa"/>
            <w:shd w:val="clear" w:color="auto" w:fill="CCE2ED"/>
          </w:tcPr>
          <w:p w14:paraId="1B453C2C" w14:textId="77777777" w:rsidR="00141B97" w:rsidRDefault="00911D63">
            <w:pPr>
              <w:pStyle w:val="TableParagraph"/>
              <w:spacing w:before="49"/>
              <w:ind w:right="96"/>
              <w:jc w:val="right"/>
              <w:rPr>
                <w:sz w:val="16"/>
              </w:rPr>
            </w:pPr>
            <w:r>
              <w:rPr>
                <w:spacing w:val="-4"/>
                <w:sz w:val="16"/>
              </w:rPr>
              <w:t>0.37</w:t>
            </w:r>
          </w:p>
        </w:tc>
        <w:tc>
          <w:tcPr>
            <w:tcW w:w="1039" w:type="dxa"/>
            <w:shd w:val="clear" w:color="auto" w:fill="CCE2ED"/>
          </w:tcPr>
          <w:p w14:paraId="4A223056" w14:textId="77777777" w:rsidR="00141B97" w:rsidRDefault="00911D63">
            <w:pPr>
              <w:pStyle w:val="TableParagraph"/>
              <w:spacing w:before="49"/>
              <w:ind w:right="95"/>
              <w:jc w:val="right"/>
              <w:rPr>
                <w:sz w:val="16"/>
              </w:rPr>
            </w:pPr>
            <w:r>
              <w:rPr>
                <w:spacing w:val="-4"/>
                <w:sz w:val="16"/>
              </w:rPr>
              <w:t>0.52</w:t>
            </w:r>
          </w:p>
        </w:tc>
        <w:tc>
          <w:tcPr>
            <w:tcW w:w="1039" w:type="dxa"/>
            <w:shd w:val="clear" w:color="auto" w:fill="CCE2ED"/>
          </w:tcPr>
          <w:p w14:paraId="1CA5309B" w14:textId="77777777" w:rsidR="00141B97" w:rsidRDefault="00911D63">
            <w:pPr>
              <w:pStyle w:val="TableParagraph"/>
              <w:spacing w:before="49"/>
              <w:ind w:right="94"/>
              <w:jc w:val="right"/>
              <w:rPr>
                <w:sz w:val="16"/>
              </w:rPr>
            </w:pPr>
            <w:r>
              <w:rPr>
                <w:spacing w:val="-4"/>
                <w:sz w:val="16"/>
              </w:rPr>
              <w:t>0.67</w:t>
            </w:r>
          </w:p>
        </w:tc>
        <w:tc>
          <w:tcPr>
            <w:tcW w:w="1039" w:type="dxa"/>
            <w:shd w:val="clear" w:color="auto" w:fill="CCE2ED"/>
          </w:tcPr>
          <w:p w14:paraId="08466A3A" w14:textId="77777777" w:rsidR="00141B97" w:rsidRDefault="00911D63">
            <w:pPr>
              <w:pStyle w:val="TableParagraph"/>
              <w:spacing w:before="49"/>
              <w:ind w:right="95"/>
              <w:jc w:val="right"/>
              <w:rPr>
                <w:sz w:val="16"/>
              </w:rPr>
            </w:pPr>
            <w:r>
              <w:rPr>
                <w:spacing w:val="-4"/>
                <w:sz w:val="16"/>
              </w:rPr>
              <w:t>0.80</w:t>
            </w:r>
          </w:p>
        </w:tc>
        <w:tc>
          <w:tcPr>
            <w:tcW w:w="1031" w:type="dxa"/>
            <w:tcBorders>
              <w:right w:val="nil"/>
            </w:tcBorders>
            <w:shd w:val="clear" w:color="auto" w:fill="CCE2ED"/>
          </w:tcPr>
          <w:p w14:paraId="1065E43A" w14:textId="77777777" w:rsidR="00141B97" w:rsidRDefault="00911D63">
            <w:pPr>
              <w:pStyle w:val="TableParagraph"/>
              <w:spacing w:before="49"/>
              <w:ind w:right="86"/>
              <w:jc w:val="right"/>
              <w:rPr>
                <w:sz w:val="16"/>
              </w:rPr>
            </w:pPr>
            <w:r>
              <w:rPr>
                <w:spacing w:val="-4"/>
                <w:sz w:val="16"/>
              </w:rPr>
              <w:t>2.52</w:t>
            </w:r>
          </w:p>
        </w:tc>
      </w:tr>
      <w:tr w:rsidR="00141B97" w14:paraId="77D90C92" w14:textId="77777777">
        <w:trPr>
          <w:trHeight w:val="486"/>
          <w:tblCellSpacing w:w="9" w:type="dxa"/>
        </w:trPr>
        <w:tc>
          <w:tcPr>
            <w:tcW w:w="2509" w:type="dxa"/>
            <w:tcBorders>
              <w:left w:val="nil"/>
            </w:tcBorders>
            <w:shd w:val="clear" w:color="auto" w:fill="CCE2ED"/>
          </w:tcPr>
          <w:p w14:paraId="54F91A2F" w14:textId="77777777" w:rsidR="00141B97" w:rsidRDefault="00911D63">
            <w:pPr>
              <w:pStyle w:val="TableParagraph"/>
              <w:spacing w:before="47"/>
              <w:ind w:left="88"/>
              <w:rPr>
                <w:sz w:val="16"/>
              </w:rPr>
            </w:pPr>
            <w:r>
              <w:rPr>
                <w:sz w:val="16"/>
              </w:rPr>
              <w:t>Regulatory</w:t>
            </w:r>
            <w:r>
              <w:rPr>
                <w:spacing w:val="-6"/>
                <w:sz w:val="16"/>
              </w:rPr>
              <w:t xml:space="preserve"> </w:t>
            </w:r>
            <w:r>
              <w:rPr>
                <w:sz w:val="16"/>
              </w:rPr>
              <w:t>depreciation</w:t>
            </w:r>
            <w:r>
              <w:rPr>
                <w:spacing w:val="-7"/>
                <w:sz w:val="16"/>
              </w:rPr>
              <w:t xml:space="preserve"> </w:t>
            </w:r>
            <w:r>
              <w:rPr>
                <w:sz w:val="16"/>
              </w:rPr>
              <w:t>of</w:t>
            </w:r>
            <w:r>
              <w:rPr>
                <w:spacing w:val="-6"/>
                <w:sz w:val="16"/>
              </w:rPr>
              <w:t xml:space="preserve"> </w:t>
            </w:r>
            <w:r>
              <w:rPr>
                <w:sz w:val="16"/>
              </w:rPr>
              <w:t>existing</w:t>
            </w:r>
            <w:r>
              <w:rPr>
                <w:spacing w:val="40"/>
                <w:sz w:val="16"/>
              </w:rPr>
              <w:t xml:space="preserve"> </w:t>
            </w:r>
            <w:r>
              <w:rPr>
                <w:spacing w:val="-2"/>
                <w:sz w:val="16"/>
              </w:rPr>
              <w:t>assets</w:t>
            </w:r>
          </w:p>
        </w:tc>
        <w:tc>
          <w:tcPr>
            <w:tcW w:w="991" w:type="dxa"/>
            <w:shd w:val="clear" w:color="auto" w:fill="CCE2ED"/>
          </w:tcPr>
          <w:p w14:paraId="736E660C" w14:textId="77777777" w:rsidR="00141B97" w:rsidRDefault="00141B97">
            <w:pPr>
              <w:pStyle w:val="TableParagraph"/>
              <w:spacing w:before="11"/>
              <w:rPr>
                <w:sz w:val="11"/>
              </w:rPr>
            </w:pPr>
          </w:p>
          <w:p w14:paraId="6D4DC68E" w14:textId="77777777" w:rsidR="00141B97" w:rsidRDefault="00911D63">
            <w:pPr>
              <w:pStyle w:val="TableParagraph"/>
              <w:ind w:right="95"/>
              <w:jc w:val="right"/>
              <w:rPr>
                <w:sz w:val="16"/>
              </w:rPr>
            </w:pPr>
            <w:r>
              <w:rPr>
                <w:spacing w:val="-4"/>
                <w:sz w:val="16"/>
              </w:rPr>
              <w:t>3.06</w:t>
            </w:r>
          </w:p>
        </w:tc>
        <w:tc>
          <w:tcPr>
            <w:tcW w:w="1039" w:type="dxa"/>
            <w:shd w:val="clear" w:color="auto" w:fill="CCE2ED"/>
          </w:tcPr>
          <w:p w14:paraId="5BC71A83" w14:textId="77777777" w:rsidR="00141B97" w:rsidRDefault="00141B97">
            <w:pPr>
              <w:pStyle w:val="TableParagraph"/>
              <w:spacing w:before="11"/>
              <w:rPr>
                <w:sz w:val="11"/>
              </w:rPr>
            </w:pPr>
          </w:p>
          <w:p w14:paraId="00510735" w14:textId="77777777" w:rsidR="00141B97" w:rsidRDefault="00911D63">
            <w:pPr>
              <w:pStyle w:val="TableParagraph"/>
              <w:ind w:right="96"/>
              <w:jc w:val="right"/>
              <w:rPr>
                <w:sz w:val="16"/>
              </w:rPr>
            </w:pPr>
            <w:r>
              <w:rPr>
                <w:spacing w:val="-4"/>
                <w:sz w:val="16"/>
              </w:rPr>
              <w:t>3.12</w:t>
            </w:r>
          </w:p>
        </w:tc>
        <w:tc>
          <w:tcPr>
            <w:tcW w:w="1040" w:type="dxa"/>
            <w:shd w:val="clear" w:color="auto" w:fill="CCE2ED"/>
          </w:tcPr>
          <w:p w14:paraId="3F8E3A25" w14:textId="77777777" w:rsidR="00141B97" w:rsidRDefault="00141B97">
            <w:pPr>
              <w:pStyle w:val="TableParagraph"/>
              <w:spacing w:before="11"/>
              <w:rPr>
                <w:sz w:val="11"/>
              </w:rPr>
            </w:pPr>
          </w:p>
          <w:p w14:paraId="4E5978A1" w14:textId="77777777" w:rsidR="00141B97" w:rsidRDefault="00911D63">
            <w:pPr>
              <w:pStyle w:val="TableParagraph"/>
              <w:ind w:right="96"/>
              <w:jc w:val="right"/>
              <w:rPr>
                <w:sz w:val="16"/>
              </w:rPr>
            </w:pPr>
            <w:r>
              <w:rPr>
                <w:spacing w:val="-4"/>
                <w:sz w:val="16"/>
              </w:rPr>
              <w:t>3.02</w:t>
            </w:r>
          </w:p>
        </w:tc>
        <w:tc>
          <w:tcPr>
            <w:tcW w:w="1039" w:type="dxa"/>
            <w:shd w:val="clear" w:color="auto" w:fill="CCE2ED"/>
          </w:tcPr>
          <w:p w14:paraId="5975A2E3" w14:textId="77777777" w:rsidR="00141B97" w:rsidRDefault="00141B97">
            <w:pPr>
              <w:pStyle w:val="TableParagraph"/>
              <w:spacing w:before="11"/>
              <w:rPr>
                <w:sz w:val="11"/>
              </w:rPr>
            </w:pPr>
          </w:p>
          <w:p w14:paraId="10F6B59C" w14:textId="77777777" w:rsidR="00141B97" w:rsidRDefault="00911D63">
            <w:pPr>
              <w:pStyle w:val="TableParagraph"/>
              <w:ind w:right="95"/>
              <w:jc w:val="right"/>
              <w:rPr>
                <w:sz w:val="16"/>
              </w:rPr>
            </w:pPr>
            <w:r>
              <w:rPr>
                <w:spacing w:val="-4"/>
                <w:sz w:val="16"/>
              </w:rPr>
              <w:t>2.89</w:t>
            </w:r>
          </w:p>
        </w:tc>
        <w:tc>
          <w:tcPr>
            <w:tcW w:w="1039" w:type="dxa"/>
            <w:shd w:val="clear" w:color="auto" w:fill="CCE2ED"/>
          </w:tcPr>
          <w:p w14:paraId="63A1DEA9" w14:textId="77777777" w:rsidR="00141B97" w:rsidRDefault="00141B97">
            <w:pPr>
              <w:pStyle w:val="TableParagraph"/>
              <w:spacing w:before="11"/>
              <w:rPr>
                <w:sz w:val="11"/>
              </w:rPr>
            </w:pPr>
          </w:p>
          <w:p w14:paraId="53E7F40D" w14:textId="77777777" w:rsidR="00141B97" w:rsidRDefault="00911D63">
            <w:pPr>
              <w:pStyle w:val="TableParagraph"/>
              <w:ind w:right="94"/>
              <w:jc w:val="right"/>
              <w:rPr>
                <w:sz w:val="16"/>
              </w:rPr>
            </w:pPr>
            <w:r>
              <w:rPr>
                <w:spacing w:val="-4"/>
                <w:sz w:val="16"/>
              </w:rPr>
              <w:t>2.81</w:t>
            </w:r>
          </w:p>
        </w:tc>
        <w:tc>
          <w:tcPr>
            <w:tcW w:w="1039" w:type="dxa"/>
            <w:shd w:val="clear" w:color="auto" w:fill="CCE2ED"/>
          </w:tcPr>
          <w:p w14:paraId="048A7DD4" w14:textId="77777777" w:rsidR="00141B97" w:rsidRDefault="00141B97">
            <w:pPr>
              <w:pStyle w:val="TableParagraph"/>
              <w:spacing w:before="11"/>
              <w:rPr>
                <w:sz w:val="11"/>
              </w:rPr>
            </w:pPr>
          </w:p>
          <w:p w14:paraId="5009DF18" w14:textId="77777777" w:rsidR="00141B97" w:rsidRDefault="00911D63">
            <w:pPr>
              <w:pStyle w:val="TableParagraph"/>
              <w:ind w:right="95"/>
              <w:jc w:val="right"/>
              <w:rPr>
                <w:sz w:val="16"/>
              </w:rPr>
            </w:pPr>
            <w:r>
              <w:rPr>
                <w:spacing w:val="-4"/>
                <w:sz w:val="16"/>
              </w:rPr>
              <w:t>2.69</w:t>
            </w:r>
          </w:p>
        </w:tc>
        <w:tc>
          <w:tcPr>
            <w:tcW w:w="1031" w:type="dxa"/>
            <w:tcBorders>
              <w:right w:val="nil"/>
            </w:tcBorders>
            <w:shd w:val="clear" w:color="auto" w:fill="CCE2ED"/>
          </w:tcPr>
          <w:p w14:paraId="25C07496" w14:textId="77777777" w:rsidR="00141B97" w:rsidRDefault="00141B97">
            <w:pPr>
              <w:pStyle w:val="TableParagraph"/>
              <w:spacing w:before="11"/>
              <w:rPr>
                <w:sz w:val="19"/>
              </w:rPr>
            </w:pPr>
          </w:p>
          <w:p w14:paraId="6345624D" w14:textId="77777777" w:rsidR="00141B97" w:rsidRDefault="00911D63">
            <w:pPr>
              <w:pStyle w:val="TableParagraph"/>
              <w:ind w:right="84"/>
              <w:jc w:val="right"/>
              <w:rPr>
                <w:sz w:val="16"/>
              </w:rPr>
            </w:pPr>
            <w:r>
              <w:rPr>
                <w:spacing w:val="-2"/>
                <w:sz w:val="16"/>
              </w:rPr>
              <w:t>14.53</w:t>
            </w:r>
          </w:p>
        </w:tc>
      </w:tr>
      <w:tr w:rsidR="00141B97" w14:paraId="6606C157" w14:textId="77777777">
        <w:trPr>
          <w:trHeight w:val="486"/>
          <w:tblCellSpacing w:w="9" w:type="dxa"/>
        </w:trPr>
        <w:tc>
          <w:tcPr>
            <w:tcW w:w="2509" w:type="dxa"/>
            <w:tcBorders>
              <w:left w:val="nil"/>
            </w:tcBorders>
            <w:shd w:val="clear" w:color="auto" w:fill="CCE2ED"/>
          </w:tcPr>
          <w:p w14:paraId="5CC42CC1" w14:textId="77777777" w:rsidR="00141B97" w:rsidRDefault="00911D63">
            <w:pPr>
              <w:pStyle w:val="TableParagraph"/>
              <w:spacing w:before="47"/>
              <w:ind w:left="88" w:right="59"/>
              <w:rPr>
                <w:sz w:val="16"/>
              </w:rPr>
            </w:pPr>
            <w:r>
              <w:rPr>
                <w:sz w:val="16"/>
              </w:rPr>
              <w:t>Regulatory</w:t>
            </w:r>
            <w:r>
              <w:rPr>
                <w:spacing w:val="-7"/>
                <w:sz w:val="16"/>
              </w:rPr>
              <w:t xml:space="preserve"> </w:t>
            </w:r>
            <w:r>
              <w:rPr>
                <w:sz w:val="16"/>
              </w:rPr>
              <w:t>depreciation</w:t>
            </w:r>
            <w:r>
              <w:rPr>
                <w:spacing w:val="-7"/>
                <w:sz w:val="16"/>
              </w:rPr>
              <w:t xml:space="preserve"> </w:t>
            </w:r>
            <w:r>
              <w:rPr>
                <w:sz w:val="16"/>
              </w:rPr>
              <w:t>of</w:t>
            </w:r>
            <w:r>
              <w:rPr>
                <w:spacing w:val="-6"/>
                <w:sz w:val="16"/>
              </w:rPr>
              <w:t xml:space="preserve"> </w:t>
            </w:r>
            <w:r>
              <w:rPr>
                <w:sz w:val="16"/>
              </w:rPr>
              <w:t>new</w:t>
            </w:r>
            <w:r>
              <w:rPr>
                <w:spacing w:val="40"/>
                <w:sz w:val="16"/>
              </w:rPr>
              <w:t xml:space="preserve"> </w:t>
            </w:r>
            <w:r>
              <w:rPr>
                <w:spacing w:val="-2"/>
                <w:sz w:val="16"/>
              </w:rPr>
              <w:t>assets</w:t>
            </w:r>
          </w:p>
        </w:tc>
        <w:tc>
          <w:tcPr>
            <w:tcW w:w="991" w:type="dxa"/>
            <w:shd w:val="clear" w:color="auto" w:fill="CCE2ED"/>
          </w:tcPr>
          <w:p w14:paraId="6CF5E1B8" w14:textId="77777777" w:rsidR="00141B97" w:rsidRDefault="00141B97">
            <w:pPr>
              <w:pStyle w:val="TableParagraph"/>
              <w:spacing w:before="11"/>
              <w:rPr>
                <w:sz w:val="11"/>
              </w:rPr>
            </w:pPr>
          </w:p>
          <w:p w14:paraId="2FE1487B" w14:textId="77777777" w:rsidR="00141B97" w:rsidRDefault="00911D63">
            <w:pPr>
              <w:pStyle w:val="TableParagraph"/>
              <w:ind w:right="94"/>
              <w:jc w:val="right"/>
              <w:rPr>
                <w:sz w:val="16"/>
              </w:rPr>
            </w:pPr>
            <w:r>
              <w:rPr>
                <w:w w:val="99"/>
                <w:sz w:val="16"/>
              </w:rPr>
              <w:t>‐</w:t>
            </w:r>
          </w:p>
        </w:tc>
        <w:tc>
          <w:tcPr>
            <w:tcW w:w="1039" w:type="dxa"/>
            <w:shd w:val="clear" w:color="auto" w:fill="CCE2ED"/>
          </w:tcPr>
          <w:p w14:paraId="70A65B3E" w14:textId="77777777" w:rsidR="00141B97" w:rsidRDefault="00141B97">
            <w:pPr>
              <w:pStyle w:val="TableParagraph"/>
              <w:spacing w:before="11"/>
              <w:rPr>
                <w:sz w:val="11"/>
              </w:rPr>
            </w:pPr>
          </w:p>
          <w:p w14:paraId="39073B15" w14:textId="77777777" w:rsidR="00141B97" w:rsidRDefault="00911D63">
            <w:pPr>
              <w:pStyle w:val="TableParagraph"/>
              <w:ind w:right="96"/>
              <w:jc w:val="right"/>
              <w:rPr>
                <w:sz w:val="16"/>
              </w:rPr>
            </w:pPr>
            <w:r>
              <w:rPr>
                <w:spacing w:val="-4"/>
                <w:sz w:val="16"/>
              </w:rPr>
              <w:t>0.20</w:t>
            </w:r>
          </w:p>
        </w:tc>
        <w:tc>
          <w:tcPr>
            <w:tcW w:w="1040" w:type="dxa"/>
            <w:shd w:val="clear" w:color="auto" w:fill="CCE2ED"/>
          </w:tcPr>
          <w:p w14:paraId="65725B49" w14:textId="77777777" w:rsidR="00141B97" w:rsidRDefault="00141B97">
            <w:pPr>
              <w:pStyle w:val="TableParagraph"/>
              <w:spacing w:before="11"/>
              <w:rPr>
                <w:sz w:val="11"/>
              </w:rPr>
            </w:pPr>
          </w:p>
          <w:p w14:paraId="6F24E45F" w14:textId="77777777" w:rsidR="00141B97" w:rsidRDefault="00911D63">
            <w:pPr>
              <w:pStyle w:val="TableParagraph"/>
              <w:ind w:right="96"/>
              <w:jc w:val="right"/>
              <w:rPr>
                <w:sz w:val="16"/>
              </w:rPr>
            </w:pPr>
            <w:r>
              <w:rPr>
                <w:spacing w:val="-4"/>
                <w:sz w:val="16"/>
              </w:rPr>
              <w:t>0.57</w:t>
            </w:r>
          </w:p>
        </w:tc>
        <w:tc>
          <w:tcPr>
            <w:tcW w:w="1039" w:type="dxa"/>
            <w:shd w:val="clear" w:color="auto" w:fill="CCE2ED"/>
          </w:tcPr>
          <w:p w14:paraId="7559FD14" w14:textId="77777777" w:rsidR="00141B97" w:rsidRDefault="00141B97">
            <w:pPr>
              <w:pStyle w:val="TableParagraph"/>
              <w:spacing w:before="11"/>
              <w:rPr>
                <w:sz w:val="11"/>
              </w:rPr>
            </w:pPr>
          </w:p>
          <w:p w14:paraId="184EF01D" w14:textId="77777777" w:rsidR="00141B97" w:rsidRDefault="00911D63">
            <w:pPr>
              <w:pStyle w:val="TableParagraph"/>
              <w:ind w:right="95"/>
              <w:jc w:val="right"/>
              <w:rPr>
                <w:sz w:val="16"/>
              </w:rPr>
            </w:pPr>
            <w:r>
              <w:rPr>
                <w:spacing w:val="-4"/>
                <w:sz w:val="16"/>
              </w:rPr>
              <w:t>0.89</w:t>
            </w:r>
          </w:p>
        </w:tc>
        <w:tc>
          <w:tcPr>
            <w:tcW w:w="1039" w:type="dxa"/>
            <w:shd w:val="clear" w:color="auto" w:fill="CCE2ED"/>
          </w:tcPr>
          <w:p w14:paraId="275E4827" w14:textId="77777777" w:rsidR="00141B97" w:rsidRDefault="00141B97">
            <w:pPr>
              <w:pStyle w:val="TableParagraph"/>
              <w:spacing w:before="11"/>
              <w:rPr>
                <w:sz w:val="11"/>
              </w:rPr>
            </w:pPr>
          </w:p>
          <w:p w14:paraId="6702BBCF" w14:textId="77777777" w:rsidR="00141B97" w:rsidRDefault="00911D63">
            <w:pPr>
              <w:pStyle w:val="TableParagraph"/>
              <w:ind w:right="94"/>
              <w:jc w:val="right"/>
              <w:rPr>
                <w:sz w:val="16"/>
              </w:rPr>
            </w:pPr>
            <w:r>
              <w:rPr>
                <w:spacing w:val="-4"/>
                <w:sz w:val="16"/>
              </w:rPr>
              <w:t>1.15</w:t>
            </w:r>
          </w:p>
        </w:tc>
        <w:tc>
          <w:tcPr>
            <w:tcW w:w="1039" w:type="dxa"/>
            <w:shd w:val="clear" w:color="auto" w:fill="CCE2ED"/>
          </w:tcPr>
          <w:p w14:paraId="6EEBE484" w14:textId="77777777" w:rsidR="00141B97" w:rsidRDefault="00141B97">
            <w:pPr>
              <w:pStyle w:val="TableParagraph"/>
              <w:spacing w:before="11"/>
              <w:rPr>
                <w:sz w:val="11"/>
              </w:rPr>
            </w:pPr>
          </w:p>
          <w:p w14:paraId="6AAA8081" w14:textId="77777777" w:rsidR="00141B97" w:rsidRDefault="00911D63">
            <w:pPr>
              <w:pStyle w:val="TableParagraph"/>
              <w:ind w:right="95"/>
              <w:jc w:val="right"/>
              <w:rPr>
                <w:sz w:val="16"/>
              </w:rPr>
            </w:pPr>
            <w:r>
              <w:rPr>
                <w:spacing w:val="-4"/>
                <w:sz w:val="16"/>
              </w:rPr>
              <w:t>1.40</w:t>
            </w:r>
          </w:p>
        </w:tc>
        <w:tc>
          <w:tcPr>
            <w:tcW w:w="1031" w:type="dxa"/>
            <w:tcBorders>
              <w:right w:val="nil"/>
            </w:tcBorders>
            <w:shd w:val="clear" w:color="auto" w:fill="CCE2ED"/>
          </w:tcPr>
          <w:p w14:paraId="2A10CC13" w14:textId="77777777" w:rsidR="00141B97" w:rsidRDefault="00141B97">
            <w:pPr>
              <w:pStyle w:val="TableParagraph"/>
              <w:spacing w:before="11"/>
              <w:rPr>
                <w:sz w:val="19"/>
              </w:rPr>
            </w:pPr>
          </w:p>
          <w:p w14:paraId="6171CE5D" w14:textId="77777777" w:rsidR="00141B97" w:rsidRDefault="00911D63">
            <w:pPr>
              <w:pStyle w:val="TableParagraph"/>
              <w:ind w:right="86"/>
              <w:jc w:val="right"/>
              <w:rPr>
                <w:sz w:val="16"/>
              </w:rPr>
            </w:pPr>
            <w:r>
              <w:rPr>
                <w:spacing w:val="-4"/>
                <w:sz w:val="16"/>
              </w:rPr>
              <w:t>4.20</w:t>
            </w:r>
          </w:p>
        </w:tc>
      </w:tr>
      <w:tr w:rsidR="00141B97" w14:paraId="4995C204" w14:textId="77777777">
        <w:trPr>
          <w:trHeight w:val="291"/>
          <w:tblCellSpacing w:w="9" w:type="dxa"/>
        </w:trPr>
        <w:tc>
          <w:tcPr>
            <w:tcW w:w="2509" w:type="dxa"/>
            <w:tcBorders>
              <w:left w:val="nil"/>
            </w:tcBorders>
            <w:shd w:val="clear" w:color="auto" w:fill="CCE2ED"/>
          </w:tcPr>
          <w:p w14:paraId="2C34149A" w14:textId="77777777" w:rsidR="00141B97" w:rsidRDefault="00911D63">
            <w:pPr>
              <w:pStyle w:val="TableParagraph"/>
              <w:spacing w:before="49"/>
              <w:ind w:left="88"/>
              <w:rPr>
                <w:sz w:val="16"/>
              </w:rPr>
            </w:pPr>
            <w:r>
              <w:rPr>
                <w:sz w:val="16"/>
              </w:rPr>
              <w:t>Adjustments</w:t>
            </w:r>
            <w:r>
              <w:rPr>
                <w:spacing w:val="-8"/>
                <w:sz w:val="16"/>
              </w:rPr>
              <w:t xml:space="preserve"> </w:t>
            </w:r>
            <w:r>
              <w:rPr>
                <w:sz w:val="16"/>
              </w:rPr>
              <w:t>from</w:t>
            </w:r>
            <w:r>
              <w:rPr>
                <w:spacing w:val="-8"/>
                <w:sz w:val="16"/>
              </w:rPr>
              <w:t xml:space="preserve"> </w:t>
            </w:r>
            <w:r>
              <w:rPr>
                <w:sz w:val="16"/>
              </w:rPr>
              <w:t>last</w:t>
            </w:r>
            <w:r>
              <w:rPr>
                <w:spacing w:val="-8"/>
                <w:sz w:val="16"/>
              </w:rPr>
              <w:t xml:space="preserve"> </w:t>
            </w:r>
            <w:r>
              <w:rPr>
                <w:spacing w:val="-2"/>
                <w:sz w:val="16"/>
              </w:rPr>
              <w:t>period</w:t>
            </w:r>
          </w:p>
        </w:tc>
        <w:tc>
          <w:tcPr>
            <w:tcW w:w="991" w:type="dxa"/>
            <w:shd w:val="clear" w:color="auto" w:fill="CCE2ED"/>
          </w:tcPr>
          <w:p w14:paraId="6507244C" w14:textId="77777777" w:rsidR="00141B97" w:rsidRDefault="00911D63">
            <w:pPr>
              <w:pStyle w:val="TableParagraph"/>
              <w:spacing w:before="49"/>
              <w:ind w:right="94"/>
              <w:jc w:val="right"/>
              <w:rPr>
                <w:sz w:val="16"/>
              </w:rPr>
            </w:pPr>
            <w:r>
              <w:rPr>
                <w:w w:val="99"/>
                <w:sz w:val="16"/>
              </w:rPr>
              <w:t>‐</w:t>
            </w:r>
          </w:p>
        </w:tc>
        <w:tc>
          <w:tcPr>
            <w:tcW w:w="1039" w:type="dxa"/>
            <w:shd w:val="clear" w:color="auto" w:fill="CCE2ED"/>
          </w:tcPr>
          <w:p w14:paraId="5E0854F8" w14:textId="77777777" w:rsidR="00141B97" w:rsidRDefault="00911D63">
            <w:pPr>
              <w:pStyle w:val="TableParagraph"/>
              <w:spacing w:before="49"/>
              <w:ind w:right="95"/>
              <w:jc w:val="right"/>
              <w:rPr>
                <w:sz w:val="16"/>
              </w:rPr>
            </w:pPr>
            <w:r>
              <w:rPr>
                <w:w w:val="99"/>
                <w:sz w:val="16"/>
              </w:rPr>
              <w:t>‐</w:t>
            </w:r>
          </w:p>
        </w:tc>
        <w:tc>
          <w:tcPr>
            <w:tcW w:w="1040" w:type="dxa"/>
            <w:shd w:val="clear" w:color="auto" w:fill="CCE2ED"/>
          </w:tcPr>
          <w:p w14:paraId="00B09460" w14:textId="77777777" w:rsidR="00141B97" w:rsidRDefault="00911D63">
            <w:pPr>
              <w:pStyle w:val="TableParagraph"/>
              <w:spacing w:before="49"/>
              <w:ind w:right="95"/>
              <w:jc w:val="right"/>
              <w:rPr>
                <w:sz w:val="16"/>
              </w:rPr>
            </w:pPr>
            <w:r>
              <w:rPr>
                <w:w w:val="99"/>
                <w:sz w:val="16"/>
              </w:rPr>
              <w:t>‐</w:t>
            </w:r>
          </w:p>
        </w:tc>
        <w:tc>
          <w:tcPr>
            <w:tcW w:w="1039" w:type="dxa"/>
            <w:shd w:val="clear" w:color="auto" w:fill="CCE2ED"/>
          </w:tcPr>
          <w:p w14:paraId="1138D808" w14:textId="77777777" w:rsidR="00141B97" w:rsidRDefault="00911D63">
            <w:pPr>
              <w:pStyle w:val="TableParagraph"/>
              <w:spacing w:before="49"/>
              <w:ind w:right="95"/>
              <w:jc w:val="right"/>
              <w:rPr>
                <w:sz w:val="16"/>
              </w:rPr>
            </w:pPr>
            <w:r>
              <w:rPr>
                <w:w w:val="99"/>
                <w:sz w:val="16"/>
              </w:rPr>
              <w:t>‐</w:t>
            </w:r>
          </w:p>
        </w:tc>
        <w:tc>
          <w:tcPr>
            <w:tcW w:w="1039" w:type="dxa"/>
            <w:shd w:val="clear" w:color="auto" w:fill="CCE2ED"/>
          </w:tcPr>
          <w:p w14:paraId="4CC46461" w14:textId="77777777" w:rsidR="00141B97" w:rsidRDefault="00911D63">
            <w:pPr>
              <w:pStyle w:val="TableParagraph"/>
              <w:spacing w:before="49"/>
              <w:ind w:right="93"/>
              <w:jc w:val="right"/>
              <w:rPr>
                <w:sz w:val="16"/>
              </w:rPr>
            </w:pPr>
            <w:r>
              <w:rPr>
                <w:w w:val="99"/>
                <w:sz w:val="16"/>
              </w:rPr>
              <w:t>‐</w:t>
            </w:r>
          </w:p>
        </w:tc>
        <w:tc>
          <w:tcPr>
            <w:tcW w:w="1039" w:type="dxa"/>
            <w:shd w:val="clear" w:color="auto" w:fill="CCE2ED"/>
          </w:tcPr>
          <w:p w14:paraId="254BA86E" w14:textId="77777777" w:rsidR="00141B97" w:rsidRDefault="00911D63">
            <w:pPr>
              <w:pStyle w:val="TableParagraph"/>
              <w:spacing w:before="49"/>
              <w:ind w:right="94"/>
              <w:jc w:val="right"/>
              <w:rPr>
                <w:sz w:val="16"/>
              </w:rPr>
            </w:pPr>
            <w:r>
              <w:rPr>
                <w:w w:val="99"/>
                <w:sz w:val="16"/>
              </w:rPr>
              <w:t>‐</w:t>
            </w:r>
          </w:p>
        </w:tc>
        <w:tc>
          <w:tcPr>
            <w:tcW w:w="1031" w:type="dxa"/>
            <w:tcBorders>
              <w:right w:val="nil"/>
            </w:tcBorders>
            <w:shd w:val="clear" w:color="auto" w:fill="CCE2ED"/>
          </w:tcPr>
          <w:p w14:paraId="6289552E" w14:textId="77777777" w:rsidR="00141B97" w:rsidRDefault="00911D63">
            <w:pPr>
              <w:pStyle w:val="TableParagraph"/>
              <w:spacing w:before="49"/>
              <w:ind w:right="85"/>
              <w:jc w:val="right"/>
              <w:rPr>
                <w:sz w:val="16"/>
              </w:rPr>
            </w:pPr>
            <w:r>
              <w:rPr>
                <w:w w:val="99"/>
                <w:sz w:val="16"/>
              </w:rPr>
              <w:t>‐</w:t>
            </w:r>
          </w:p>
        </w:tc>
      </w:tr>
      <w:tr w:rsidR="00141B97" w14:paraId="4BAB5F36" w14:textId="77777777">
        <w:trPr>
          <w:trHeight w:val="290"/>
          <w:tblCellSpacing w:w="9" w:type="dxa"/>
        </w:trPr>
        <w:tc>
          <w:tcPr>
            <w:tcW w:w="2509" w:type="dxa"/>
            <w:tcBorders>
              <w:left w:val="nil"/>
            </w:tcBorders>
            <w:shd w:val="clear" w:color="auto" w:fill="CCE2ED"/>
          </w:tcPr>
          <w:p w14:paraId="1140FA68" w14:textId="77777777" w:rsidR="00141B97" w:rsidRDefault="00911D63">
            <w:pPr>
              <w:pStyle w:val="TableParagraph"/>
              <w:spacing w:before="47"/>
              <w:ind w:left="88"/>
              <w:rPr>
                <w:sz w:val="16"/>
              </w:rPr>
            </w:pPr>
            <w:r>
              <w:rPr>
                <w:sz w:val="16"/>
              </w:rPr>
              <w:t>Benchmark</w:t>
            </w:r>
            <w:r>
              <w:rPr>
                <w:spacing w:val="-5"/>
                <w:sz w:val="16"/>
              </w:rPr>
              <w:t xml:space="preserve"> </w:t>
            </w:r>
            <w:r>
              <w:rPr>
                <w:sz w:val="16"/>
              </w:rPr>
              <w:t>tax</w:t>
            </w:r>
            <w:r>
              <w:rPr>
                <w:spacing w:val="-5"/>
                <w:sz w:val="16"/>
              </w:rPr>
              <w:t xml:space="preserve"> </w:t>
            </w:r>
            <w:r>
              <w:rPr>
                <w:spacing w:val="-2"/>
                <w:sz w:val="16"/>
              </w:rPr>
              <w:t>liability</w:t>
            </w:r>
          </w:p>
        </w:tc>
        <w:tc>
          <w:tcPr>
            <w:tcW w:w="991" w:type="dxa"/>
            <w:shd w:val="clear" w:color="auto" w:fill="CCE2ED"/>
          </w:tcPr>
          <w:p w14:paraId="04D3314A" w14:textId="77777777" w:rsidR="00141B97" w:rsidRDefault="00911D63">
            <w:pPr>
              <w:pStyle w:val="TableParagraph"/>
              <w:spacing w:before="47"/>
              <w:ind w:right="94"/>
              <w:jc w:val="right"/>
              <w:rPr>
                <w:sz w:val="16"/>
              </w:rPr>
            </w:pPr>
            <w:r>
              <w:rPr>
                <w:w w:val="99"/>
                <w:sz w:val="16"/>
              </w:rPr>
              <w:t>‐</w:t>
            </w:r>
          </w:p>
        </w:tc>
        <w:tc>
          <w:tcPr>
            <w:tcW w:w="1039" w:type="dxa"/>
            <w:shd w:val="clear" w:color="auto" w:fill="CCE2ED"/>
          </w:tcPr>
          <w:p w14:paraId="35169EA1" w14:textId="77777777" w:rsidR="00141B97" w:rsidRDefault="00911D63">
            <w:pPr>
              <w:pStyle w:val="TableParagraph"/>
              <w:spacing w:before="47"/>
              <w:ind w:right="95"/>
              <w:jc w:val="right"/>
              <w:rPr>
                <w:sz w:val="16"/>
              </w:rPr>
            </w:pPr>
            <w:r>
              <w:rPr>
                <w:w w:val="99"/>
                <w:sz w:val="16"/>
              </w:rPr>
              <w:t>‐</w:t>
            </w:r>
          </w:p>
        </w:tc>
        <w:tc>
          <w:tcPr>
            <w:tcW w:w="1040" w:type="dxa"/>
            <w:shd w:val="clear" w:color="auto" w:fill="CCE2ED"/>
          </w:tcPr>
          <w:p w14:paraId="3FD0498D" w14:textId="77777777" w:rsidR="00141B97" w:rsidRDefault="00911D63">
            <w:pPr>
              <w:pStyle w:val="TableParagraph"/>
              <w:spacing w:before="47"/>
              <w:ind w:right="95"/>
              <w:jc w:val="right"/>
              <w:rPr>
                <w:sz w:val="16"/>
              </w:rPr>
            </w:pPr>
            <w:r>
              <w:rPr>
                <w:w w:val="99"/>
                <w:sz w:val="16"/>
              </w:rPr>
              <w:t>‐</w:t>
            </w:r>
          </w:p>
        </w:tc>
        <w:tc>
          <w:tcPr>
            <w:tcW w:w="1039" w:type="dxa"/>
            <w:shd w:val="clear" w:color="auto" w:fill="CCE2ED"/>
          </w:tcPr>
          <w:p w14:paraId="34A26F81" w14:textId="77777777" w:rsidR="00141B97" w:rsidRDefault="00911D63">
            <w:pPr>
              <w:pStyle w:val="TableParagraph"/>
              <w:spacing w:before="47"/>
              <w:ind w:right="95"/>
              <w:jc w:val="right"/>
              <w:rPr>
                <w:sz w:val="16"/>
              </w:rPr>
            </w:pPr>
            <w:r>
              <w:rPr>
                <w:w w:val="99"/>
                <w:sz w:val="16"/>
              </w:rPr>
              <w:t>‐</w:t>
            </w:r>
          </w:p>
        </w:tc>
        <w:tc>
          <w:tcPr>
            <w:tcW w:w="1039" w:type="dxa"/>
            <w:shd w:val="clear" w:color="auto" w:fill="CCE2ED"/>
          </w:tcPr>
          <w:p w14:paraId="569C7410" w14:textId="77777777" w:rsidR="00141B97" w:rsidRDefault="00911D63">
            <w:pPr>
              <w:pStyle w:val="TableParagraph"/>
              <w:spacing w:before="47"/>
              <w:ind w:right="93"/>
              <w:jc w:val="right"/>
              <w:rPr>
                <w:sz w:val="16"/>
              </w:rPr>
            </w:pPr>
            <w:r>
              <w:rPr>
                <w:w w:val="99"/>
                <w:sz w:val="16"/>
              </w:rPr>
              <w:t>‐</w:t>
            </w:r>
          </w:p>
        </w:tc>
        <w:tc>
          <w:tcPr>
            <w:tcW w:w="1039" w:type="dxa"/>
            <w:shd w:val="clear" w:color="auto" w:fill="CCE2ED"/>
          </w:tcPr>
          <w:p w14:paraId="4B1D7F99" w14:textId="77777777" w:rsidR="00141B97" w:rsidRDefault="00911D63">
            <w:pPr>
              <w:pStyle w:val="TableParagraph"/>
              <w:spacing w:before="47"/>
              <w:ind w:right="94"/>
              <w:jc w:val="right"/>
              <w:rPr>
                <w:sz w:val="16"/>
              </w:rPr>
            </w:pPr>
            <w:r>
              <w:rPr>
                <w:w w:val="99"/>
                <w:sz w:val="16"/>
              </w:rPr>
              <w:t>‐</w:t>
            </w:r>
          </w:p>
        </w:tc>
        <w:tc>
          <w:tcPr>
            <w:tcW w:w="1031" w:type="dxa"/>
            <w:tcBorders>
              <w:right w:val="nil"/>
            </w:tcBorders>
            <w:shd w:val="clear" w:color="auto" w:fill="CCE2ED"/>
          </w:tcPr>
          <w:p w14:paraId="45B4FF1A" w14:textId="77777777" w:rsidR="00141B97" w:rsidRDefault="00911D63">
            <w:pPr>
              <w:pStyle w:val="TableParagraph"/>
              <w:spacing w:before="47"/>
              <w:ind w:right="85"/>
              <w:jc w:val="right"/>
              <w:rPr>
                <w:sz w:val="16"/>
              </w:rPr>
            </w:pPr>
            <w:r>
              <w:rPr>
                <w:w w:val="99"/>
                <w:sz w:val="16"/>
              </w:rPr>
              <w:t>‐</w:t>
            </w:r>
          </w:p>
        </w:tc>
      </w:tr>
      <w:tr w:rsidR="00141B97" w14:paraId="55D7EAD4" w14:textId="77777777">
        <w:trPr>
          <w:trHeight w:val="291"/>
          <w:tblCellSpacing w:w="9" w:type="dxa"/>
        </w:trPr>
        <w:tc>
          <w:tcPr>
            <w:tcW w:w="2509" w:type="dxa"/>
            <w:tcBorders>
              <w:left w:val="nil"/>
              <w:bottom w:val="nil"/>
            </w:tcBorders>
            <w:shd w:val="clear" w:color="auto" w:fill="CCE2ED"/>
          </w:tcPr>
          <w:p w14:paraId="0870817F" w14:textId="77777777" w:rsidR="00141B97" w:rsidRDefault="00911D63">
            <w:pPr>
              <w:pStyle w:val="TableParagraph"/>
              <w:spacing w:before="49"/>
              <w:ind w:left="88"/>
              <w:rPr>
                <w:sz w:val="16"/>
              </w:rPr>
            </w:pPr>
            <w:r>
              <w:rPr>
                <w:sz w:val="16"/>
              </w:rPr>
              <w:t>Total</w:t>
            </w:r>
            <w:r>
              <w:rPr>
                <w:spacing w:val="-5"/>
                <w:sz w:val="16"/>
              </w:rPr>
              <w:t xml:space="preserve"> </w:t>
            </w:r>
            <w:r>
              <w:rPr>
                <w:sz w:val="16"/>
              </w:rPr>
              <w:t>revenue</w:t>
            </w:r>
            <w:r>
              <w:rPr>
                <w:spacing w:val="-5"/>
                <w:sz w:val="16"/>
              </w:rPr>
              <w:t xml:space="preserve"> </w:t>
            </w:r>
            <w:r>
              <w:rPr>
                <w:spacing w:val="-2"/>
                <w:sz w:val="16"/>
              </w:rPr>
              <w:t>requirement</w:t>
            </w:r>
          </w:p>
        </w:tc>
        <w:tc>
          <w:tcPr>
            <w:tcW w:w="991" w:type="dxa"/>
            <w:tcBorders>
              <w:bottom w:val="nil"/>
            </w:tcBorders>
            <w:shd w:val="clear" w:color="auto" w:fill="CCE2ED"/>
          </w:tcPr>
          <w:p w14:paraId="5F24A7AC" w14:textId="77777777" w:rsidR="00141B97" w:rsidRDefault="00911D63">
            <w:pPr>
              <w:pStyle w:val="TableParagraph"/>
              <w:spacing w:before="49"/>
              <w:ind w:right="95"/>
              <w:jc w:val="right"/>
              <w:rPr>
                <w:sz w:val="16"/>
              </w:rPr>
            </w:pPr>
            <w:r>
              <w:rPr>
                <w:spacing w:val="-2"/>
                <w:sz w:val="16"/>
              </w:rPr>
              <w:t>29.27</w:t>
            </w:r>
          </w:p>
        </w:tc>
        <w:tc>
          <w:tcPr>
            <w:tcW w:w="1039" w:type="dxa"/>
            <w:tcBorders>
              <w:bottom w:val="nil"/>
            </w:tcBorders>
            <w:shd w:val="clear" w:color="auto" w:fill="CCE2ED"/>
          </w:tcPr>
          <w:p w14:paraId="1C4156B7" w14:textId="77777777" w:rsidR="00141B97" w:rsidRDefault="00911D63">
            <w:pPr>
              <w:pStyle w:val="TableParagraph"/>
              <w:spacing w:before="49"/>
              <w:ind w:right="96"/>
              <w:jc w:val="right"/>
              <w:rPr>
                <w:sz w:val="16"/>
              </w:rPr>
            </w:pPr>
            <w:r>
              <w:rPr>
                <w:spacing w:val="-2"/>
                <w:sz w:val="16"/>
              </w:rPr>
              <w:t>26.99</w:t>
            </w:r>
          </w:p>
        </w:tc>
        <w:tc>
          <w:tcPr>
            <w:tcW w:w="1040" w:type="dxa"/>
            <w:tcBorders>
              <w:bottom w:val="nil"/>
            </w:tcBorders>
            <w:shd w:val="clear" w:color="auto" w:fill="CCE2ED"/>
          </w:tcPr>
          <w:p w14:paraId="11A86D2B" w14:textId="77777777" w:rsidR="00141B97" w:rsidRDefault="00911D63">
            <w:pPr>
              <w:pStyle w:val="TableParagraph"/>
              <w:spacing w:before="49"/>
              <w:ind w:right="96"/>
              <w:jc w:val="right"/>
              <w:rPr>
                <w:sz w:val="16"/>
              </w:rPr>
            </w:pPr>
            <w:r>
              <w:rPr>
                <w:spacing w:val="-2"/>
                <w:sz w:val="16"/>
              </w:rPr>
              <w:t>27.26</w:t>
            </w:r>
          </w:p>
        </w:tc>
        <w:tc>
          <w:tcPr>
            <w:tcW w:w="1039" w:type="dxa"/>
            <w:tcBorders>
              <w:bottom w:val="nil"/>
            </w:tcBorders>
            <w:shd w:val="clear" w:color="auto" w:fill="CCE2ED"/>
          </w:tcPr>
          <w:p w14:paraId="0570D76D" w14:textId="77777777" w:rsidR="00141B97" w:rsidRDefault="00911D63">
            <w:pPr>
              <w:pStyle w:val="TableParagraph"/>
              <w:spacing w:before="49"/>
              <w:ind w:right="95"/>
              <w:jc w:val="right"/>
              <w:rPr>
                <w:sz w:val="16"/>
              </w:rPr>
            </w:pPr>
            <w:r>
              <w:rPr>
                <w:spacing w:val="-2"/>
                <w:sz w:val="16"/>
              </w:rPr>
              <w:t>28.06</w:t>
            </w:r>
          </w:p>
        </w:tc>
        <w:tc>
          <w:tcPr>
            <w:tcW w:w="1039" w:type="dxa"/>
            <w:tcBorders>
              <w:bottom w:val="nil"/>
            </w:tcBorders>
            <w:shd w:val="clear" w:color="auto" w:fill="CCE2ED"/>
          </w:tcPr>
          <w:p w14:paraId="55052B0A" w14:textId="77777777" w:rsidR="00141B97" w:rsidRDefault="00911D63">
            <w:pPr>
              <w:pStyle w:val="TableParagraph"/>
              <w:spacing w:before="49"/>
              <w:ind w:right="94"/>
              <w:jc w:val="right"/>
              <w:rPr>
                <w:sz w:val="16"/>
              </w:rPr>
            </w:pPr>
            <w:r>
              <w:rPr>
                <w:spacing w:val="-2"/>
                <w:sz w:val="16"/>
              </w:rPr>
              <w:t>28.57</w:t>
            </w:r>
          </w:p>
        </w:tc>
        <w:tc>
          <w:tcPr>
            <w:tcW w:w="1039" w:type="dxa"/>
            <w:tcBorders>
              <w:bottom w:val="nil"/>
            </w:tcBorders>
            <w:shd w:val="clear" w:color="auto" w:fill="CCE2ED"/>
          </w:tcPr>
          <w:p w14:paraId="4251128C" w14:textId="77777777" w:rsidR="00141B97" w:rsidRDefault="00911D63">
            <w:pPr>
              <w:pStyle w:val="TableParagraph"/>
              <w:spacing w:before="49"/>
              <w:ind w:right="95"/>
              <w:jc w:val="right"/>
              <w:rPr>
                <w:sz w:val="16"/>
              </w:rPr>
            </w:pPr>
            <w:r>
              <w:rPr>
                <w:spacing w:val="-2"/>
                <w:sz w:val="16"/>
              </w:rPr>
              <w:t>28.29</w:t>
            </w:r>
          </w:p>
        </w:tc>
        <w:tc>
          <w:tcPr>
            <w:tcW w:w="1031" w:type="dxa"/>
            <w:tcBorders>
              <w:bottom w:val="nil"/>
              <w:right w:val="nil"/>
            </w:tcBorders>
            <w:shd w:val="clear" w:color="auto" w:fill="CCE2ED"/>
          </w:tcPr>
          <w:p w14:paraId="3B415EA0" w14:textId="77777777" w:rsidR="00141B97" w:rsidRDefault="00911D63">
            <w:pPr>
              <w:pStyle w:val="TableParagraph"/>
              <w:spacing w:before="49"/>
              <w:ind w:right="84"/>
              <w:jc w:val="right"/>
              <w:rPr>
                <w:sz w:val="16"/>
              </w:rPr>
            </w:pPr>
            <w:r>
              <w:rPr>
                <w:spacing w:val="-2"/>
                <w:sz w:val="16"/>
              </w:rPr>
              <w:t>139.18</w:t>
            </w:r>
          </w:p>
        </w:tc>
      </w:tr>
    </w:tbl>
    <w:p w14:paraId="5758A486" w14:textId="77777777" w:rsidR="00141B97" w:rsidRDefault="00911D63">
      <w:pPr>
        <w:spacing w:before="26"/>
        <w:ind w:left="154"/>
        <w:jc w:val="both"/>
        <w:rPr>
          <w:sz w:val="16"/>
        </w:rPr>
      </w:pPr>
      <w:r>
        <w:rPr>
          <w:sz w:val="16"/>
        </w:rPr>
        <w:t>Table</w:t>
      </w:r>
      <w:r>
        <w:rPr>
          <w:spacing w:val="-5"/>
          <w:sz w:val="16"/>
        </w:rPr>
        <w:t xml:space="preserve"> </w:t>
      </w:r>
      <w:r>
        <w:rPr>
          <w:sz w:val="16"/>
        </w:rPr>
        <w:t>C16:</w:t>
      </w:r>
      <w:r>
        <w:rPr>
          <w:spacing w:val="-6"/>
          <w:sz w:val="16"/>
        </w:rPr>
        <w:t xml:space="preserve"> </w:t>
      </w:r>
      <w:r>
        <w:rPr>
          <w:sz w:val="16"/>
        </w:rPr>
        <w:t>Revenue</w:t>
      </w:r>
      <w:r>
        <w:rPr>
          <w:spacing w:val="-5"/>
          <w:sz w:val="16"/>
        </w:rPr>
        <w:t xml:space="preserve"> </w:t>
      </w:r>
      <w:r>
        <w:rPr>
          <w:sz w:val="16"/>
        </w:rPr>
        <w:t>Requirement</w:t>
      </w:r>
      <w:r>
        <w:rPr>
          <w:spacing w:val="-5"/>
          <w:sz w:val="16"/>
        </w:rPr>
        <w:t xml:space="preserve"> </w:t>
      </w:r>
      <w:r>
        <w:rPr>
          <w:sz w:val="16"/>
        </w:rPr>
        <w:t>($m</w:t>
      </w:r>
      <w:r>
        <w:rPr>
          <w:spacing w:val="-5"/>
          <w:sz w:val="16"/>
        </w:rPr>
        <w:t xml:space="preserve"> </w:t>
      </w:r>
      <w:r>
        <w:rPr>
          <w:spacing w:val="-2"/>
          <w:sz w:val="16"/>
        </w:rPr>
        <w:t>1/1/23)</w:t>
      </w:r>
    </w:p>
    <w:p w14:paraId="7EAC9CE4" w14:textId="77777777" w:rsidR="00141B97" w:rsidRDefault="00141B97">
      <w:pPr>
        <w:pStyle w:val="BodyText"/>
        <w:spacing w:before="12"/>
        <w:rPr>
          <w:sz w:val="21"/>
        </w:rPr>
      </w:pPr>
    </w:p>
    <w:p w14:paraId="3F0BCC77" w14:textId="750E411D" w:rsidR="00141B97" w:rsidRDefault="00911D63">
      <w:pPr>
        <w:pStyle w:val="BodyText"/>
        <w:ind w:left="113" w:right="948"/>
        <w:jc w:val="both"/>
      </w:pPr>
      <w:r>
        <w:rPr>
          <w:noProof/>
        </w:rPr>
        <mc:AlternateContent>
          <mc:Choice Requires="wpg">
            <w:drawing>
              <wp:anchor distT="0" distB="0" distL="114300" distR="114300" simplePos="0" relativeHeight="15758336" behindDoc="0" locked="0" layoutInCell="1" allowOverlap="1" wp14:anchorId="37EDA566" wp14:editId="7F4AD65A">
                <wp:simplePos x="0" y="0"/>
                <wp:positionH relativeFrom="page">
                  <wp:posOffset>758190</wp:posOffset>
                </wp:positionH>
                <wp:positionV relativeFrom="paragraph">
                  <wp:posOffset>977265</wp:posOffset>
                </wp:positionV>
                <wp:extent cx="6228715" cy="2588895"/>
                <wp:effectExtent l="0" t="0" r="0" b="0"/>
                <wp:wrapNone/>
                <wp:docPr id="284"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2588895"/>
                          <a:chOff x="1194" y="1539"/>
                          <a:chExt cx="9809" cy="4077"/>
                        </a:xfrm>
                      </wpg:grpSpPr>
                      <pic:pic xmlns:pic="http://schemas.openxmlformats.org/drawingml/2006/picture">
                        <pic:nvPicPr>
                          <pic:cNvPr id="285" name="docshape1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321" y="1538"/>
                            <a:ext cx="9682"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docshape138"/>
                        <wps:cNvSpPr>
                          <a:spLocks noChangeArrowheads="1"/>
                        </wps:cNvSpPr>
                        <wps:spPr bwMode="auto">
                          <a:xfrm>
                            <a:off x="1194" y="2355"/>
                            <a:ext cx="342" cy="1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75BE3" id="docshapegroup136" o:spid="_x0000_s1026" style="position:absolute;margin-left:59.7pt;margin-top:76.95pt;width:490.45pt;height:203.85pt;z-index:15758336;mso-position-horizontal-relative:page" coordorigin="1194,1539" coordsize="9809,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">
                <v:shape id="docshape137" o:spid="_x0000_s1027" type="#_x0000_t75" style="position:absolute;left:1321;top:1538;width:9682;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">
                  <v:imagedata r:id="rId91" o:title=""/>
                </v:shape>
                <v:rect id="docshape138" o:spid="_x0000_s1028" style="position:absolute;left:1194;top:2355;width:342;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w10:wrap anchorx="page"/>
              </v:group>
            </w:pict>
          </mc:Fallback>
        </mc:AlternateContent>
      </w:r>
      <w:r>
        <w:rPr>
          <w:noProof/>
        </w:rPr>
        <mc:AlternateContent>
          <mc:Choice Requires="wps">
            <w:drawing>
              <wp:anchor distT="0" distB="0" distL="114300" distR="114300" simplePos="0" relativeHeight="15758848" behindDoc="0" locked="0" layoutInCell="1" allowOverlap="1" wp14:anchorId="32EEF8D9" wp14:editId="27A1C1FD">
                <wp:simplePos x="0" y="0"/>
                <wp:positionH relativeFrom="page">
                  <wp:posOffset>796290</wp:posOffset>
                </wp:positionH>
                <wp:positionV relativeFrom="paragraph">
                  <wp:posOffset>1688465</wp:posOffset>
                </wp:positionV>
                <wp:extent cx="139065" cy="481965"/>
                <wp:effectExtent l="0" t="0" r="0" b="0"/>
                <wp:wrapNone/>
                <wp:docPr id="283"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6748" w14:textId="77777777" w:rsidR="00141B97" w:rsidRDefault="00911D63">
                            <w:pPr>
                              <w:spacing w:before="14"/>
                              <w:ind w:left="20"/>
                              <w:rPr>
                                <w:rFonts w:ascii="Arial"/>
                                <w:b/>
                                <w:sz w:val="16"/>
                              </w:rPr>
                            </w:pPr>
                            <w:r>
                              <w:rPr>
                                <w:rFonts w:ascii="Arial"/>
                                <w:b/>
                                <w:sz w:val="16"/>
                              </w:rPr>
                              <w:t>$m</w:t>
                            </w:r>
                            <w:r>
                              <w:rPr>
                                <w:rFonts w:ascii="Arial"/>
                                <w:b/>
                                <w:spacing w:val="-5"/>
                                <w:sz w:val="16"/>
                              </w:rPr>
                              <w:t xml:space="preserve"> </w:t>
                            </w:r>
                            <w:r>
                              <w:rPr>
                                <w:rFonts w:ascii="Arial"/>
                                <w:b/>
                                <w:spacing w:val="-2"/>
                                <w:sz w:val="16"/>
                              </w:rPr>
                              <w:t>1/1/23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F8D9" id="docshape139" o:spid="_x0000_s1106" type="#_x0000_t202" style="position:absolute;left:0;text-align:left;margin-left:62.7pt;margin-top:132.95pt;width:10.95pt;height:37.9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" filled="f" stroked="f">
                <v:textbox style="layout-flow:vertical;mso-layout-flow-alt:bottom-to-top" inset="0,0,0,0">
                  <w:txbxContent>
                    <w:p w14:paraId="12E46748" w14:textId="77777777" w:rsidR="00141B97" w:rsidRDefault="00911D63">
                      <w:pPr>
                        <w:spacing w:before="14"/>
                        <w:ind w:left="20"/>
                        <w:rPr>
                          <w:rFonts w:ascii="Arial"/>
                          <w:b/>
                          <w:sz w:val="16"/>
                        </w:rPr>
                      </w:pPr>
                      <w:r>
                        <w:rPr>
                          <w:rFonts w:ascii="Arial"/>
                          <w:b/>
                          <w:sz w:val="16"/>
                        </w:rPr>
                        <w:t>$m</w:t>
                      </w:r>
                      <w:r>
                        <w:rPr>
                          <w:rFonts w:ascii="Arial"/>
                          <w:b/>
                          <w:spacing w:val="-5"/>
                          <w:sz w:val="16"/>
                        </w:rPr>
                        <w:t xml:space="preserve"> </w:t>
                      </w:r>
                      <w:r>
                        <w:rPr>
                          <w:rFonts w:ascii="Arial"/>
                          <w:b/>
                          <w:spacing w:val="-2"/>
                          <w:sz w:val="16"/>
                        </w:rPr>
                        <w:t>1/1/23</w:t>
                      </w:r>
                    </w:p>
                  </w:txbxContent>
                </v:textbox>
                <w10:wrap anchorx="page"/>
              </v:shape>
            </w:pict>
          </mc:Fallback>
        </mc:AlternateContent>
      </w:r>
      <w:r>
        <w:t>Figure</w:t>
      </w:r>
      <w:r>
        <w:rPr>
          <w:spacing w:val="-7"/>
        </w:rPr>
        <w:t xml:space="preserve"> </w:t>
      </w:r>
      <w:r>
        <w:t>C1</w:t>
      </w:r>
      <w:r>
        <w:rPr>
          <w:spacing w:val="-6"/>
        </w:rPr>
        <w:t xml:space="preserve"> </w:t>
      </w:r>
      <w:r>
        <w:t>depicts</w:t>
      </w:r>
      <w:r>
        <w:rPr>
          <w:spacing w:val="-7"/>
        </w:rPr>
        <w:t xml:space="preserve"> </w:t>
      </w:r>
      <w:r>
        <w:t>the</w:t>
      </w:r>
      <w:r>
        <w:rPr>
          <w:spacing w:val="-7"/>
        </w:rPr>
        <w:t xml:space="preserve"> </w:t>
      </w:r>
      <w:r>
        <w:t>revenue</w:t>
      </w:r>
      <w:r>
        <w:rPr>
          <w:spacing w:val="-7"/>
        </w:rPr>
        <w:t xml:space="preserve"> </w:t>
      </w:r>
      <w:r>
        <w:t>requirement</w:t>
      </w:r>
      <w:r>
        <w:rPr>
          <w:spacing w:val="-7"/>
        </w:rPr>
        <w:t xml:space="preserve"> </w:t>
      </w:r>
      <w:r>
        <w:t>through</w:t>
      </w:r>
      <w:r>
        <w:rPr>
          <w:spacing w:val="-7"/>
        </w:rPr>
        <w:t xml:space="preserve"> </w:t>
      </w:r>
      <w:r>
        <w:t>to</w:t>
      </w:r>
      <w:r>
        <w:rPr>
          <w:spacing w:val="-6"/>
        </w:rPr>
        <w:t xml:space="preserve"> </w:t>
      </w:r>
      <w:r>
        <w:t>the</w:t>
      </w:r>
      <w:r>
        <w:rPr>
          <w:spacing w:val="-7"/>
        </w:rPr>
        <w:t xml:space="preserve"> </w:t>
      </w:r>
      <w:r>
        <w:t>PS6</w:t>
      </w:r>
      <w:r>
        <w:rPr>
          <w:spacing w:val="-6"/>
        </w:rPr>
        <w:t xml:space="preserve"> </w:t>
      </w:r>
      <w:r>
        <w:t>period.</w:t>
      </w:r>
      <w:r>
        <w:rPr>
          <w:spacing w:val="-6"/>
        </w:rPr>
        <w:t xml:space="preserve"> </w:t>
      </w:r>
      <w:r>
        <w:t>After</w:t>
      </w:r>
      <w:r>
        <w:rPr>
          <w:spacing w:val="-5"/>
        </w:rPr>
        <w:t xml:space="preserve"> </w:t>
      </w:r>
      <w:r>
        <w:t>a</w:t>
      </w:r>
      <w:r>
        <w:rPr>
          <w:spacing w:val="-7"/>
        </w:rPr>
        <w:t xml:space="preserve"> </w:t>
      </w:r>
      <w:r>
        <w:t>declining</w:t>
      </w:r>
      <w:r>
        <w:rPr>
          <w:spacing w:val="-6"/>
        </w:rPr>
        <w:t xml:space="preserve"> </w:t>
      </w:r>
      <w:r>
        <w:t>revenue</w:t>
      </w:r>
      <w:r>
        <w:rPr>
          <w:spacing w:val="-6"/>
        </w:rPr>
        <w:t xml:space="preserve"> </w:t>
      </w:r>
      <w:r>
        <w:t>requirement</w:t>
      </w:r>
      <w:r>
        <w:rPr>
          <w:spacing w:val="-6"/>
        </w:rPr>
        <w:t xml:space="preserve"> </w:t>
      </w:r>
      <w:r>
        <w:t>in the</w:t>
      </w:r>
      <w:r>
        <w:rPr>
          <w:spacing w:val="-13"/>
        </w:rPr>
        <w:t xml:space="preserve"> </w:t>
      </w:r>
      <w:r>
        <w:t>current</w:t>
      </w:r>
      <w:r>
        <w:rPr>
          <w:spacing w:val="-12"/>
        </w:rPr>
        <w:t xml:space="preserve"> </w:t>
      </w:r>
      <w:r>
        <w:t>regulatory</w:t>
      </w:r>
      <w:r>
        <w:rPr>
          <w:spacing w:val="-13"/>
        </w:rPr>
        <w:t xml:space="preserve"> </w:t>
      </w:r>
      <w:r>
        <w:t>period,</w:t>
      </w:r>
      <w:r>
        <w:rPr>
          <w:spacing w:val="-12"/>
        </w:rPr>
        <w:t xml:space="preserve"> </w:t>
      </w:r>
      <w:r>
        <w:t>a</w:t>
      </w:r>
      <w:r>
        <w:rPr>
          <w:spacing w:val="-13"/>
        </w:rPr>
        <w:t xml:space="preserve"> </w:t>
      </w:r>
      <w:r>
        <w:t>significant</w:t>
      </w:r>
      <w:r>
        <w:rPr>
          <w:spacing w:val="-12"/>
        </w:rPr>
        <w:t xml:space="preserve"> </w:t>
      </w:r>
      <w:r>
        <w:t>reduction</w:t>
      </w:r>
      <w:r>
        <w:rPr>
          <w:spacing w:val="-13"/>
        </w:rPr>
        <w:t xml:space="preserve"> </w:t>
      </w:r>
      <w:r>
        <w:t>in</w:t>
      </w:r>
      <w:r>
        <w:rPr>
          <w:spacing w:val="-12"/>
        </w:rPr>
        <w:t xml:space="preserve"> </w:t>
      </w:r>
      <w:r>
        <w:t>year</w:t>
      </w:r>
      <w:r>
        <w:rPr>
          <w:spacing w:val="-12"/>
        </w:rPr>
        <w:t xml:space="preserve"> </w:t>
      </w:r>
      <w:r>
        <w:t>one</w:t>
      </w:r>
      <w:r>
        <w:rPr>
          <w:spacing w:val="-13"/>
        </w:rPr>
        <w:t xml:space="preserve"> </w:t>
      </w:r>
      <w:r>
        <w:t>(1)</w:t>
      </w:r>
      <w:r>
        <w:rPr>
          <w:spacing w:val="-11"/>
        </w:rPr>
        <w:t xml:space="preserve"> </w:t>
      </w:r>
      <w:r>
        <w:t>of</w:t>
      </w:r>
      <w:r>
        <w:rPr>
          <w:spacing w:val="-11"/>
        </w:rPr>
        <w:t xml:space="preserve"> </w:t>
      </w:r>
      <w:r>
        <w:t>the</w:t>
      </w:r>
      <w:r>
        <w:rPr>
          <w:spacing w:val="-13"/>
        </w:rPr>
        <w:t xml:space="preserve"> </w:t>
      </w:r>
      <w:r>
        <w:t>5</w:t>
      </w:r>
      <w:r>
        <w:rPr>
          <w:vertAlign w:val="superscript"/>
        </w:rPr>
        <w:t>th</w:t>
      </w:r>
      <w:r>
        <w:rPr>
          <w:spacing w:val="-12"/>
        </w:rPr>
        <w:t xml:space="preserve"> </w:t>
      </w:r>
      <w:r>
        <w:t>period</w:t>
      </w:r>
      <w:r>
        <w:rPr>
          <w:spacing w:val="-12"/>
        </w:rPr>
        <w:t xml:space="preserve"> </w:t>
      </w:r>
      <w:r>
        <w:t>was</w:t>
      </w:r>
      <w:r>
        <w:rPr>
          <w:spacing w:val="-13"/>
        </w:rPr>
        <w:t xml:space="preserve"> </w:t>
      </w:r>
      <w:r>
        <w:t>forecast</w:t>
      </w:r>
      <w:r>
        <w:rPr>
          <w:spacing w:val="-12"/>
        </w:rPr>
        <w:t xml:space="preserve"> </w:t>
      </w:r>
      <w:r>
        <w:t>due</w:t>
      </w:r>
      <w:r>
        <w:rPr>
          <w:spacing w:val="-12"/>
        </w:rPr>
        <w:t xml:space="preserve"> </w:t>
      </w:r>
      <w:r>
        <w:t>to</w:t>
      </w:r>
      <w:r>
        <w:rPr>
          <w:spacing w:val="-13"/>
        </w:rPr>
        <w:t xml:space="preserve"> </w:t>
      </w:r>
      <w:r>
        <w:t>reasons detailed above, and a steady increase over the 5</w:t>
      </w:r>
      <w:r>
        <w:rPr>
          <w:vertAlign w:val="superscript"/>
        </w:rPr>
        <w:t>th</w:t>
      </w:r>
      <w:r>
        <w:rPr>
          <w:spacing w:val="-13"/>
        </w:rPr>
        <w:t xml:space="preserve"> </w:t>
      </w:r>
      <w:r>
        <w:t>and 6</w:t>
      </w:r>
      <w:r>
        <w:rPr>
          <w:vertAlign w:val="superscript"/>
        </w:rPr>
        <w:t>th</w:t>
      </w:r>
      <w:r>
        <w:t xml:space="preserve"> period out to 2032‐33. Increases in the later part of the</w:t>
      </w:r>
      <w:r>
        <w:rPr>
          <w:spacing w:val="-12"/>
        </w:rPr>
        <w:t xml:space="preserve"> </w:t>
      </w:r>
      <w:r>
        <w:t>5</w:t>
      </w:r>
      <w:r>
        <w:rPr>
          <w:vertAlign w:val="superscript"/>
        </w:rPr>
        <w:t>th</w:t>
      </w:r>
      <w:r>
        <w:rPr>
          <w:spacing w:val="-11"/>
        </w:rPr>
        <w:t xml:space="preserve"> </w:t>
      </w:r>
      <w:r>
        <w:t>period</w:t>
      </w:r>
      <w:r>
        <w:rPr>
          <w:spacing w:val="-12"/>
        </w:rPr>
        <w:t xml:space="preserve"> </w:t>
      </w:r>
      <w:r>
        <w:t>and</w:t>
      </w:r>
      <w:r>
        <w:rPr>
          <w:spacing w:val="-13"/>
        </w:rPr>
        <w:t xml:space="preserve"> </w:t>
      </w:r>
      <w:r>
        <w:t>6</w:t>
      </w:r>
      <w:r>
        <w:rPr>
          <w:vertAlign w:val="superscript"/>
        </w:rPr>
        <w:t>th</w:t>
      </w:r>
      <w:r>
        <w:rPr>
          <w:spacing w:val="-11"/>
        </w:rPr>
        <w:t xml:space="preserve"> </w:t>
      </w:r>
      <w:r>
        <w:t>period</w:t>
      </w:r>
      <w:r>
        <w:rPr>
          <w:spacing w:val="-12"/>
        </w:rPr>
        <w:t xml:space="preserve"> </w:t>
      </w:r>
      <w:r>
        <w:t>are</w:t>
      </w:r>
      <w:r>
        <w:rPr>
          <w:spacing w:val="-12"/>
        </w:rPr>
        <w:t xml:space="preserve"> </w:t>
      </w:r>
      <w:r>
        <w:t>driven</w:t>
      </w:r>
      <w:r>
        <w:rPr>
          <w:spacing w:val="-12"/>
        </w:rPr>
        <w:t xml:space="preserve"> </w:t>
      </w:r>
      <w:r>
        <w:t>by</w:t>
      </w:r>
      <w:r>
        <w:rPr>
          <w:spacing w:val="-11"/>
        </w:rPr>
        <w:t xml:space="preserve"> </w:t>
      </w:r>
      <w:r>
        <w:t>annual</w:t>
      </w:r>
      <w:r>
        <w:rPr>
          <w:spacing w:val="-12"/>
        </w:rPr>
        <w:t xml:space="preserve"> </w:t>
      </w:r>
      <w:r>
        <w:t>increases</w:t>
      </w:r>
      <w:r>
        <w:rPr>
          <w:spacing w:val="-11"/>
        </w:rPr>
        <w:t xml:space="preserve"> </w:t>
      </w:r>
      <w:r>
        <w:t>in</w:t>
      </w:r>
      <w:r>
        <w:rPr>
          <w:spacing w:val="-13"/>
        </w:rPr>
        <w:t xml:space="preserve"> </w:t>
      </w:r>
      <w:r>
        <w:t>ICT</w:t>
      </w:r>
      <w:r>
        <w:rPr>
          <w:spacing w:val="-10"/>
        </w:rPr>
        <w:t xml:space="preserve"> </w:t>
      </w:r>
      <w:r>
        <w:t>costs,</w:t>
      </w:r>
      <w:r>
        <w:rPr>
          <w:spacing w:val="-12"/>
        </w:rPr>
        <w:t xml:space="preserve"> </w:t>
      </w:r>
      <w:r>
        <w:t>purchase</w:t>
      </w:r>
      <w:r>
        <w:rPr>
          <w:spacing w:val="-13"/>
        </w:rPr>
        <w:t xml:space="preserve"> </w:t>
      </w:r>
      <w:r>
        <w:t>of</w:t>
      </w:r>
      <w:r>
        <w:rPr>
          <w:spacing w:val="-10"/>
        </w:rPr>
        <w:t xml:space="preserve"> </w:t>
      </w:r>
      <w:r>
        <w:t>Large</w:t>
      </w:r>
      <w:r>
        <w:rPr>
          <w:spacing w:val="-13"/>
        </w:rPr>
        <w:t xml:space="preserve"> </w:t>
      </w:r>
      <w:r>
        <w:t>Generator</w:t>
      </w:r>
      <w:r>
        <w:rPr>
          <w:spacing w:val="-11"/>
        </w:rPr>
        <w:t xml:space="preserve"> </w:t>
      </w:r>
      <w:r>
        <w:t>Certificates (LGCs) and growth of the RAB, increasing regulatory depreciation.</w:t>
      </w:r>
    </w:p>
    <w:p w14:paraId="42AFD1F7" w14:textId="77777777" w:rsidR="00141B97" w:rsidRDefault="00141B97">
      <w:pPr>
        <w:pStyle w:val="BodyText"/>
      </w:pPr>
    </w:p>
    <w:p w14:paraId="6E16B74F" w14:textId="77777777" w:rsidR="00141B97" w:rsidRDefault="00141B97">
      <w:pPr>
        <w:pStyle w:val="BodyText"/>
      </w:pPr>
    </w:p>
    <w:p w14:paraId="788355F2" w14:textId="77777777" w:rsidR="00141B97" w:rsidRDefault="00141B97">
      <w:pPr>
        <w:pStyle w:val="BodyText"/>
      </w:pPr>
    </w:p>
    <w:p w14:paraId="618515AE" w14:textId="77777777" w:rsidR="00141B97" w:rsidRDefault="00141B97">
      <w:pPr>
        <w:pStyle w:val="BodyText"/>
      </w:pPr>
    </w:p>
    <w:p w14:paraId="499D9C49" w14:textId="77777777" w:rsidR="00141B97" w:rsidRDefault="00141B97">
      <w:pPr>
        <w:pStyle w:val="BodyText"/>
      </w:pPr>
    </w:p>
    <w:p w14:paraId="3E8181D3" w14:textId="77777777" w:rsidR="00141B97" w:rsidRDefault="00141B97">
      <w:pPr>
        <w:pStyle w:val="BodyText"/>
      </w:pPr>
    </w:p>
    <w:p w14:paraId="095E454F" w14:textId="77777777" w:rsidR="00141B97" w:rsidRDefault="00141B97">
      <w:pPr>
        <w:pStyle w:val="BodyText"/>
      </w:pPr>
    </w:p>
    <w:p w14:paraId="0095B062" w14:textId="77777777" w:rsidR="00141B97" w:rsidRDefault="00141B97">
      <w:pPr>
        <w:pStyle w:val="BodyText"/>
      </w:pPr>
    </w:p>
    <w:p w14:paraId="099C5A6D" w14:textId="77777777" w:rsidR="00141B97" w:rsidRDefault="00141B97">
      <w:pPr>
        <w:pStyle w:val="BodyText"/>
      </w:pPr>
    </w:p>
    <w:p w14:paraId="4E45AB44" w14:textId="77777777" w:rsidR="00141B97" w:rsidRDefault="00141B97">
      <w:pPr>
        <w:pStyle w:val="BodyText"/>
      </w:pPr>
    </w:p>
    <w:p w14:paraId="61C8205D" w14:textId="77777777" w:rsidR="00141B97" w:rsidRDefault="00141B97">
      <w:pPr>
        <w:pStyle w:val="BodyText"/>
      </w:pPr>
    </w:p>
    <w:p w14:paraId="558E6B0C" w14:textId="77777777" w:rsidR="00141B97" w:rsidRDefault="00141B97">
      <w:pPr>
        <w:pStyle w:val="BodyText"/>
      </w:pPr>
    </w:p>
    <w:p w14:paraId="53AD8E57" w14:textId="77777777" w:rsidR="00141B97" w:rsidRDefault="00141B97">
      <w:pPr>
        <w:pStyle w:val="BodyText"/>
      </w:pPr>
    </w:p>
    <w:p w14:paraId="443A776C" w14:textId="77777777" w:rsidR="00141B97" w:rsidRDefault="00141B97">
      <w:pPr>
        <w:pStyle w:val="BodyText"/>
      </w:pPr>
    </w:p>
    <w:p w14:paraId="12043F95" w14:textId="77777777" w:rsidR="00141B97" w:rsidRDefault="00141B97">
      <w:pPr>
        <w:pStyle w:val="BodyText"/>
      </w:pPr>
    </w:p>
    <w:p w14:paraId="4807E655" w14:textId="77777777" w:rsidR="00141B97" w:rsidRDefault="00141B97">
      <w:pPr>
        <w:pStyle w:val="BodyText"/>
        <w:spacing w:before="6"/>
        <w:rPr>
          <w:sz w:val="27"/>
        </w:rPr>
      </w:pPr>
    </w:p>
    <w:p w14:paraId="721C3559" w14:textId="77777777" w:rsidR="00141B97" w:rsidRDefault="00911D63">
      <w:pPr>
        <w:ind w:left="114"/>
        <w:jc w:val="both"/>
        <w:rPr>
          <w:sz w:val="16"/>
        </w:rPr>
      </w:pPr>
      <w:r>
        <w:rPr>
          <w:sz w:val="16"/>
        </w:rPr>
        <w:t>Figure</w:t>
      </w:r>
      <w:r>
        <w:rPr>
          <w:spacing w:val="-5"/>
          <w:sz w:val="16"/>
        </w:rPr>
        <w:t xml:space="preserve"> </w:t>
      </w:r>
      <w:r>
        <w:rPr>
          <w:sz w:val="16"/>
        </w:rPr>
        <w:t>C1:</w:t>
      </w:r>
      <w:r>
        <w:rPr>
          <w:spacing w:val="-5"/>
          <w:sz w:val="16"/>
        </w:rPr>
        <w:t xml:space="preserve"> </w:t>
      </w:r>
      <w:r>
        <w:rPr>
          <w:sz w:val="16"/>
        </w:rPr>
        <w:t>Revenue</w:t>
      </w:r>
      <w:r>
        <w:rPr>
          <w:spacing w:val="-5"/>
          <w:sz w:val="16"/>
        </w:rPr>
        <w:t xml:space="preserve"> </w:t>
      </w:r>
      <w:r>
        <w:rPr>
          <w:sz w:val="16"/>
        </w:rPr>
        <w:t>Requirement</w:t>
      </w:r>
      <w:r>
        <w:rPr>
          <w:spacing w:val="-5"/>
          <w:sz w:val="16"/>
        </w:rPr>
        <w:t xml:space="preserve"> </w:t>
      </w:r>
      <w:r>
        <w:rPr>
          <w:sz w:val="16"/>
        </w:rPr>
        <w:t>($m</w:t>
      </w:r>
      <w:r>
        <w:rPr>
          <w:spacing w:val="-4"/>
          <w:sz w:val="16"/>
        </w:rPr>
        <w:t xml:space="preserve"> </w:t>
      </w:r>
      <w:r>
        <w:rPr>
          <w:spacing w:val="-2"/>
          <w:sz w:val="16"/>
        </w:rPr>
        <w:t>1/1/23)</w:t>
      </w:r>
    </w:p>
    <w:p w14:paraId="3F379BCE" w14:textId="77777777" w:rsidR="00141B97" w:rsidRDefault="00141B97">
      <w:pPr>
        <w:jc w:val="both"/>
        <w:rPr>
          <w:sz w:val="16"/>
        </w:rPr>
        <w:sectPr w:rsidR="00141B97">
          <w:pgSz w:w="11910" w:h="16840"/>
          <w:pgMar w:top="860" w:right="40" w:bottom="780" w:left="1020" w:header="0" w:footer="586" w:gutter="0"/>
          <w:cols w:space="720"/>
        </w:sectPr>
      </w:pPr>
    </w:p>
    <w:p w14:paraId="53610D12" w14:textId="77777777" w:rsidR="00141B97" w:rsidRDefault="00911D63">
      <w:pPr>
        <w:pStyle w:val="Heading2"/>
        <w:numPr>
          <w:ilvl w:val="1"/>
          <w:numId w:val="37"/>
        </w:numPr>
        <w:tabs>
          <w:tab w:val="left" w:pos="1113"/>
        </w:tabs>
        <w:spacing w:before="31"/>
        <w:jc w:val="both"/>
        <w:rPr>
          <w:color w:val="009BAC"/>
        </w:rPr>
      </w:pPr>
      <w:r>
        <w:rPr>
          <w:color w:val="009BAC"/>
          <w:spacing w:val="-2"/>
        </w:rPr>
        <w:lastRenderedPageBreak/>
        <w:t>Demand</w:t>
      </w:r>
    </w:p>
    <w:p w14:paraId="4D3F4035" w14:textId="77777777" w:rsidR="00141B97" w:rsidRDefault="00141B97">
      <w:pPr>
        <w:pStyle w:val="BodyText"/>
        <w:spacing w:before="8"/>
        <w:rPr>
          <w:sz w:val="20"/>
        </w:rPr>
      </w:pPr>
    </w:p>
    <w:p w14:paraId="0E8F14D6" w14:textId="77777777" w:rsidR="00141B97" w:rsidRDefault="00911D63">
      <w:pPr>
        <w:pStyle w:val="ListParagraph"/>
        <w:numPr>
          <w:ilvl w:val="2"/>
          <w:numId w:val="37"/>
        </w:numPr>
        <w:tabs>
          <w:tab w:val="left" w:pos="1112"/>
          <w:tab w:val="left" w:pos="1113"/>
        </w:tabs>
        <w:ind w:left="1112"/>
        <w:jc w:val="both"/>
      </w:pPr>
      <w:r>
        <w:t>Rural</w:t>
      </w:r>
      <w:r>
        <w:rPr>
          <w:spacing w:val="-7"/>
        </w:rPr>
        <w:t xml:space="preserve"> </w:t>
      </w:r>
      <w:r>
        <w:t>Demand</w:t>
      </w:r>
      <w:r>
        <w:rPr>
          <w:spacing w:val="-7"/>
        </w:rPr>
        <w:t xml:space="preserve"> </w:t>
      </w:r>
      <w:r>
        <w:t>Context</w:t>
      </w:r>
      <w:r>
        <w:rPr>
          <w:spacing w:val="-6"/>
        </w:rPr>
        <w:t xml:space="preserve"> </w:t>
      </w:r>
      <w:r>
        <w:t>and</w:t>
      </w:r>
      <w:r>
        <w:rPr>
          <w:spacing w:val="-7"/>
        </w:rPr>
        <w:t xml:space="preserve"> </w:t>
      </w:r>
      <w:r>
        <w:rPr>
          <w:spacing w:val="-2"/>
        </w:rPr>
        <w:t>Drivers</w:t>
      </w:r>
    </w:p>
    <w:p w14:paraId="221F1895" w14:textId="77777777" w:rsidR="00141B97" w:rsidRDefault="00911D63">
      <w:pPr>
        <w:pStyle w:val="BodyText"/>
        <w:spacing w:before="59"/>
        <w:ind w:left="113"/>
        <w:jc w:val="both"/>
      </w:pPr>
      <w:r>
        <w:t>LMW</w:t>
      </w:r>
      <w:r>
        <w:rPr>
          <w:spacing w:val="-8"/>
        </w:rPr>
        <w:t xml:space="preserve"> </w:t>
      </w:r>
      <w:r>
        <w:t>revenue</w:t>
      </w:r>
      <w:r>
        <w:rPr>
          <w:spacing w:val="-9"/>
        </w:rPr>
        <w:t xml:space="preserve"> </w:t>
      </w:r>
      <w:r>
        <w:t>is</w:t>
      </w:r>
      <w:r>
        <w:rPr>
          <w:spacing w:val="-7"/>
        </w:rPr>
        <w:t xml:space="preserve"> </w:t>
      </w:r>
      <w:r>
        <w:t>dependent</w:t>
      </w:r>
      <w:r>
        <w:rPr>
          <w:spacing w:val="-8"/>
        </w:rPr>
        <w:t xml:space="preserve"> </w:t>
      </w:r>
      <w:r>
        <w:t>on</w:t>
      </w:r>
      <w:r>
        <w:rPr>
          <w:spacing w:val="-8"/>
        </w:rPr>
        <w:t xml:space="preserve"> </w:t>
      </w:r>
      <w:r>
        <w:t>demand</w:t>
      </w:r>
      <w:r>
        <w:rPr>
          <w:spacing w:val="-8"/>
        </w:rPr>
        <w:t xml:space="preserve"> </w:t>
      </w:r>
      <w:r>
        <w:t>from</w:t>
      </w:r>
      <w:r>
        <w:rPr>
          <w:spacing w:val="-7"/>
        </w:rPr>
        <w:t xml:space="preserve"> </w:t>
      </w:r>
      <w:r>
        <w:t>several</w:t>
      </w:r>
      <w:r>
        <w:rPr>
          <w:spacing w:val="-8"/>
        </w:rPr>
        <w:t xml:space="preserve"> </w:t>
      </w:r>
      <w:r>
        <w:t>relatively</w:t>
      </w:r>
      <w:r>
        <w:rPr>
          <w:spacing w:val="-8"/>
        </w:rPr>
        <w:t xml:space="preserve"> </w:t>
      </w:r>
      <w:r>
        <w:t>discrete</w:t>
      </w:r>
      <w:r>
        <w:rPr>
          <w:spacing w:val="-9"/>
        </w:rPr>
        <w:t xml:space="preserve"> </w:t>
      </w:r>
      <w:r>
        <w:rPr>
          <w:spacing w:val="-2"/>
        </w:rPr>
        <w:t>markets:</w:t>
      </w:r>
    </w:p>
    <w:p w14:paraId="1DFEC082" w14:textId="77777777" w:rsidR="00141B97" w:rsidRDefault="00911D63">
      <w:pPr>
        <w:pStyle w:val="ListParagraph"/>
        <w:numPr>
          <w:ilvl w:val="0"/>
          <w:numId w:val="12"/>
        </w:numPr>
        <w:tabs>
          <w:tab w:val="left" w:pos="1040"/>
          <w:tab w:val="left" w:pos="1041"/>
        </w:tabs>
        <w:spacing w:before="1" w:line="280" w:lineRule="exact"/>
        <w:ind w:hanging="361"/>
        <w:rPr>
          <w:rFonts w:ascii="Symbol" w:hAnsi="Symbol"/>
        </w:rPr>
      </w:pPr>
      <w:r>
        <w:t>Pumped</w:t>
      </w:r>
      <w:r>
        <w:rPr>
          <w:spacing w:val="-12"/>
        </w:rPr>
        <w:t xml:space="preserve"> </w:t>
      </w:r>
      <w:r>
        <w:t>districts</w:t>
      </w:r>
      <w:r>
        <w:rPr>
          <w:spacing w:val="-13"/>
        </w:rPr>
        <w:t xml:space="preserve"> </w:t>
      </w:r>
      <w:r>
        <w:rPr>
          <w:spacing w:val="-2"/>
        </w:rPr>
        <w:t>irrigation.</w:t>
      </w:r>
    </w:p>
    <w:p w14:paraId="512BED6E" w14:textId="77777777" w:rsidR="00141B97" w:rsidRDefault="00911D63">
      <w:pPr>
        <w:pStyle w:val="ListParagraph"/>
        <w:numPr>
          <w:ilvl w:val="0"/>
          <w:numId w:val="12"/>
        </w:numPr>
        <w:tabs>
          <w:tab w:val="left" w:pos="1040"/>
          <w:tab w:val="left" w:pos="1041"/>
        </w:tabs>
        <w:spacing w:line="280" w:lineRule="exact"/>
        <w:ind w:hanging="361"/>
        <w:rPr>
          <w:rFonts w:ascii="Symbol" w:hAnsi="Symbol"/>
        </w:rPr>
      </w:pPr>
      <w:r>
        <w:t>Private</w:t>
      </w:r>
      <w:r>
        <w:rPr>
          <w:spacing w:val="-9"/>
        </w:rPr>
        <w:t xml:space="preserve"> </w:t>
      </w:r>
      <w:r>
        <w:rPr>
          <w:spacing w:val="-2"/>
        </w:rPr>
        <w:t>diversion.</w:t>
      </w:r>
    </w:p>
    <w:p w14:paraId="1D406343" w14:textId="77777777" w:rsidR="00141B97" w:rsidRDefault="00911D63">
      <w:pPr>
        <w:pStyle w:val="ListParagraph"/>
        <w:numPr>
          <w:ilvl w:val="0"/>
          <w:numId w:val="12"/>
        </w:numPr>
        <w:tabs>
          <w:tab w:val="left" w:pos="1040"/>
          <w:tab w:val="left" w:pos="1041"/>
        </w:tabs>
        <w:ind w:hanging="361"/>
        <w:rPr>
          <w:rFonts w:ascii="Symbol" w:hAnsi="Symbol"/>
        </w:rPr>
      </w:pPr>
      <w:r>
        <w:t>Stock</w:t>
      </w:r>
      <w:r>
        <w:rPr>
          <w:spacing w:val="-7"/>
        </w:rPr>
        <w:t xml:space="preserve"> </w:t>
      </w:r>
      <w:r>
        <w:t>and</w:t>
      </w:r>
      <w:r>
        <w:rPr>
          <w:spacing w:val="-5"/>
        </w:rPr>
        <w:t xml:space="preserve"> </w:t>
      </w:r>
      <w:r>
        <w:t>domestic</w:t>
      </w:r>
      <w:r>
        <w:rPr>
          <w:spacing w:val="-6"/>
        </w:rPr>
        <w:t xml:space="preserve"> </w:t>
      </w:r>
      <w:r>
        <w:t>and</w:t>
      </w:r>
      <w:r>
        <w:rPr>
          <w:spacing w:val="-5"/>
        </w:rPr>
        <w:t xml:space="preserve"> </w:t>
      </w:r>
      <w:r>
        <w:t>other</w:t>
      </w:r>
      <w:r>
        <w:rPr>
          <w:spacing w:val="-6"/>
        </w:rPr>
        <w:t xml:space="preserve"> </w:t>
      </w:r>
      <w:r>
        <w:rPr>
          <w:spacing w:val="-2"/>
        </w:rPr>
        <w:t>services.</w:t>
      </w:r>
    </w:p>
    <w:p w14:paraId="4A2CD40F" w14:textId="77777777" w:rsidR="00141B97" w:rsidRDefault="00141B97">
      <w:pPr>
        <w:pStyle w:val="BodyText"/>
        <w:spacing w:before="12"/>
        <w:rPr>
          <w:sz w:val="21"/>
        </w:rPr>
      </w:pPr>
    </w:p>
    <w:p w14:paraId="34D031AB" w14:textId="77777777" w:rsidR="00141B97" w:rsidRDefault="00911D63">
      <w:pPr>
        <w:pStyle w:val="BodyText"/>
        <w:ind w:left="113" w:right="946" w:hanging="1"/>
        <w:jc w:val="both"/>
      </w:pPr>
      <w:r>
        <w:t>Demand changes impact on capital and operating costs but to a lesser extent than for the urban business. The pumped irrigation districts were largely established decades ago and have not been expanded significantly to date as new capacity for irrigation has been built on greenfield sites that are serviced by private diversion. Nevertheless, modernisation of irrigation infrastructure over the last decade has enabled 365‐day irrigation access</w:t>
      </w:r>
      <w:r>
        <w:rPr>
          <w:spacing w:val="-3"/>
        </w:rPr>
        <w:t xml:space="preserve"> </w:t>
      </w:r>
      <w:r>
        <w:t>in</w:t>
      </w:r>
      <w:r>
        <w:rPr>
          <w:spacing w:val="-3"/>
        </w:rPr>
        <w:t xml:space="preserve"> </w:t>
      </w:r>
      <w:r>
        <w:t>most</w:t>
      </w:r>
      <w:r>
        <w:rPr>
          <w:spacing w:val="-3"/>
        </w:rPr>
        <w:t xml:space="preserve"> </w:t>
      </w:r>
      <w:r>
        <w:t>districts</w:t>
      </w:r>
      <w:r>
        <w:rPr>
          <w:spacing w:val="-4"/>
        </w:rPr>
        <w:t xml:space="preserve"> </w:t>
      </w:r>
      <w:r>
        <w:t>via</w:t>
      </w:r>
      <w:r>
        <w:rPr>
          <w:spacing w:val="-2"/>
        </w:rPr>
        <w:t xml:space="preserve"> </w:t>
      </w:r>
      <w:r>
        <w:t>pressure</w:t>
      </w:r>
      <w:r>
        <w:rPr>
          <w:spacing w:val="-5"/>
        </w:rPr>
        <w:t xml:space="preserve"> </w:t>
      </w:r>
      <w:r>
        <w:t>systems</w:t>
      </w:r>
      <w:r>
        <w:rPr>
          <w:spacing w:val="-3"/>
        </w:rPr>
        <w:t xml:space="preserve"> </w:t>
      </w:r>
      <w:r>
        <w:t>that</w:t>
      </w:r>
      <w:r>
        <w:rPr>
          <w:spacing w:val="-3"/>
        </w:rPr>
        <w:t xml:space="preserve"> </w:t>
      </w:r>
      <w:r>
        <w:t>have</w:t>
      </w:r>
      <w:r>
        <w:rPr>
          <w:spacing w:val="-4"/>
        </w:rPr>
        <w:t xml:space="preserve"> </w:t>
      </w:r>
      <w:r>
        <w:t>improved</w:t>
      </w:r>
      <w:r>
        <w:rPr>
          <w:spacing w:val="-3"/>
        </w:rPr>
        <w:t xml:space="preserve"> </w:t>
      </w:r>
      <w:r>
        <w:t>irrigation</w:t>
      </w:r>
      <w:r>
        <w:rPr>
          <w:spacing w:val="-2"/>
        </w:rPr>
        <w:t xml:space="preserve"> </w:t>
      </w:r>
      <w:r>
        <w:t>efficiency</w:t>
      </w:r>
      <w:r>
        <w:rPr>
          <w:spacing w:val="-2"/>
        </w:rPr>
        <w:t xml:space="preserve"> </w:t>
      </w:r>
      <w:r>
        <w:t>and</w:t>
      </w:r>
      <w:r>
        <w:rPr>
          <w:spacing w:val="-3"/>
        </w:rPr>
        <w:t xml:space="preserve"> </w:t>
      </w:r>
      <w:r>
        <w:t>reduced</w:t>
      </w:r>
      <w:r>
        <w:rPr>
          <w:spacing w:val="-3"/>
        </w:rPr>
        <w:t xml:space="preserve"> </w:t>
      </w:r>
      <w:r>
        <w:t>water</w:t>
      </w:r>
      <w:r>
        <w:rPr>
          <w:spacing w:val="-3"/>
        </w:rPr>
        <w:t xml:space="preserve"> </w:t>
      </w:r>
      <w:r>
        <w:t>losses, compared to the original seasonal‐supply systems. Other services, which include drainage and stock and domestic services, are not major revenue items so even in periods of change, the impact on revenue can be relatively minor.</w:t>
      </w:r>
    </w:p>
    <w:p w14:paraId="320E4E61" w14:textId="77777777" w:rsidR="00141B97" w:rsidRDefault="00141B97">
      <w:pPr>
        <w:pStyle w:val="BodyText"/>
      </w:pPr>
    </w:p>
    <w:p w14:paraId="69E1B03C" w14:textId="77777777" w:rsidR="00141B97" w:rsidRDefault="00911D63">
      <w:pPr>
        <w:pStyle w:val="BodyText"/>
        <w:spacing w:before="1"/>
        <w:ind w:left="113" w:right="947"/>
        <w:jc w:val="both"/>
      </w:pPr>
      <w:r>
        <w:t>Diverters</w:t>
      </w:r>
      <w:r>
        <w:rPr>
          <w:spacing w:val="-2"/>
        </w:rPr>
        <w:t xml:space="preserve"> </w:t>
      </w:r>
      <w:r>
        <w:t>use</w:t>
      </w:r>
      <w:r>
        <w:rPr>
          <w:spacing w:val="-3"/>
        </w:rPr>
        <w:t xml:space="preserve"> </w:t>
      </w:r>
      <w:r>
        <w:t>much</w:t>
      </w:r>
      <w:r>
        <w:rPr>
          <w:spacing w:val="-3"/>
        </w:rPr>
        <w:t xml:space="preserve"> </w:t>
      </w:r>
      <w:r>
        <w:t>larger</w:t>
      </w:r>
      <w:r>
        <w:rPr>
          <w:spacing w:val="-3"/>
        </w:rPr>
        <w:t xml:space="preserve"> </w:t>
      </w:r>
      <w:r>
        <w:t>volumes</w:t>
      </w:r>
      <w:r>
        <w:rPr>
          <w:spacing w:val="-2"/>
        </w:rPr>
        <w:t xml:space="preserve"> </w:t>
      </w:r>
      <w:r>
        <w:t>of</w:t>
      </w:r>
      <w:r>
        <w:rPr>
          <w:spacing w:val="-3"/>
        </w:rPr>
        <w:t xml:space="preserve"> </w:t>
      </w:r>
      <w:r>
        <w:t>water</w:t>
      </w:r>
      <w:r>
        <w:rPr>
          <w:spacing w:val="-3"/>
        </w:rPr>
        <w:t xml:space="preserve"> </w:t>
      </w:r>
      <w:r>
        <w:t>than</w:t>
      </w:r>
      <w:r>
        <w:rPr>
          <w:spacing w:val="-3"/>
        </w:rPr>
        <w:t xml:space="preserve"> </w:t>
      </w:r>
      <w:r>
        <w:t>customers</w:t>
      </w:r>
      <w:r>
        <w:rPr>
          <w:spacing w:val="-1"/>
        </w:rPr>
        <w:t xml:space="preserve"> </w:t>
      </w:r>
      <w:r>
        <w:t>in</w:t>
      </w:r>
      <w:r>
        <w:rPr>
          <w:spacing w:val="-2"/>
        </w:rPr>
        <w:t xml:space="preserve"> </w:t>
      </w:r>
      <w:r>
        <w:t>the</w:t>
      </w:r>
      <w:r>
        <w:rPr>
          <w:spacing w:val="-1"/>
        </w:rPr>
        <w:t xml:space="preserve"> </w:t>
      </w:r>
      <w:r>
        <w:t>pumped</w:t>
      </w:r>
      <w:r>
        <w:rPr>
          <w:spacing w:val="-4"/>
        </w:rPr>
        <w:t xml:space="preserve"> </w:t>
      </w:r>
      <w:r>
        <w:t>irrigation</w:t>
      </w:r>
      <w:r>
        <w:rPr>
          <w:spacing w:val="-4"/>
        </w:rPr>
        <w:t xml:space="preserve"> </w:t>
      </w:r>
      <w:r>
        <w:t>districts.</w:t>
      </w:r>
      <w:r>
        <w:rPr>
          <w:spacing w:val="-3"/>
        </w:rPr>
        <w:t xml:space="preserve"> </w:t>
      </w:r>
      <w:r>
        <w:t>Nonetheless</w:t>
      </w:r>
      <w:r>
        <w:rPr>
          <w:spacing w:val="-3"/>
        </w:rPr>
        <w:t xml:space="preserve"> </w:t>
      </w:r>
      <w:r>
        <w:t>the work and costs associated with diverters tends to be similar regardless of the volume of water being managed as all the assets used to divert water are owned by the customers.</w:t>
      </w:r>
    </w:p>
    <w:p w14:paraId="1232D533" w14:textId="77777777" w:rsidR="00141B97" w:rsidRDefault="00141B97">
      <w:pPr>
        <w:pStyle w:val="BodyText"/>
        <w:spacing w:before="7"/>
        <w:rPr>
          <w:sz w:val="20"/>
        </w:rPr>
      </w:pPr>
    </w:p>
    <w:p w14:paraId="4329D27B" w14:textId="77777777" w:rsidR="00141B97" w:rsidRDefault="00911D63">
      <w:pPr>
        <w:pStyle w:val="ListParagraph"/>
        <w:numPr>
          <w:ilvl w:val="2"/>
          <w:numId w:val="37"/>
        </w:numPr>
        <w:tabs>
          <w:tab w:val="left" w:pos="1112"/>
          <w:tab w:val="left" w:pos="1113"/>
        </w:tabs>
        <w:ind w:left="1112" w:hanging="1000"/>
        <w:jc w:val="both"/>
      </w:pPr>
      <w:r>
        <w:t>Basis</w:t>
      </w:r>
      <w:r>
        <w:rPr>
          <w:spacing w:val="-7"/>
        </w:rPr>
        <w:t xml:space="preserve"> </w:t>
      </w:r>
      <w:r>
        <w:t>for</w:t>
      </w:r>
      <w:r>
        <w:rPr>
          <w:spacing w:val="-7"/>
        </w:rPr>
        <w:t xml:space="preserve"> </w:t>
      </w:r>
      <w:r>
        <w:t>Demand</w:t>
      </w:r>
      <w:r>
        <w:rPr>
          <w:spacing w:val="-7"/>
        </w:rPr>
        <w:t xml:space="preserve"> </w:t>
      </w:r>
      <w:r>
        <w:rPr>
          <w:spacing w:val="-2"/>
        </w:rPr>
        <w:t>Forecasts</w:t>
      </w:r>
    </w:p>
    <w:p w14:paraId="367C8111" w14:textId="77777777" w:rsidR="00141B97" w:rsidRDefault="00911D63">
      <w:pPr>
        <w:pStyle w:val="BodyText"/>
        <w:spacing w:before="59" w:line="268" w:lineRule="exact"/>
        <w:ind w:left="113"/>
        <w:jc w:val="both"/>
      </w:pPr>
      <w:r>
        <w:t>Charges</w:t>
      </w:r>
      <w:r>
        <w:rPr>
          <w:spacing w:val="-6"/>
        </w:rPr>
        <w:t xml:space="preserve"> </w:t>
      </w:r>
      <w:r>
        <w:t>to</w:t>
      </w:r>
      <w:r>
        <w:rPr>
          <w:spacing w:val="-9"/>
        </w:rPr>
        <w:t xml:space="preserve"> </w:t>
      </w:r>
      <w:r>
        <w:t>LMW’s</w:t>
      </w:r>
      <w:r>
        <w:rPr>
          <w:spacing w:val="-7"/>
        </w:rPr>
        <w:t xml:space="preserve"> </w:t>
      </w:r>
      <w:r>
        <w:t>rural</w:t>
      </w:r>
      <w:r>
        <w:rPr>
          <w:spacing w:val="-8"/>
        </w:rPr>
        <w:t xml:space="preserve"> </w:t>
      </w:r>
      <w:r>
        <w:t>customers</w:t>
      </w:r>
      <w:r>
        <w:rPr>
          <w:spacing w:val="-8"/>
        </w:rPr>
        <w:t xml:space="preserve"> </w:t>
      </w:r>
      <w:r>
        <w:t>are</w:t>
      </w:r>
      <w:r>
        <w:rPr>
          <w:spacing w:val="-6"/>
        </w:rPr>
        <w:t xml:space="preserve"> </w:t>
      </w:r>
      <w:r>
        <w:t>levied</w:t>
      </w:r>
      <w:r>
        <w:rPr>
          <w:spacing w:val="-7"/>
        </w:rPr>
        <w:t xml:space="preserve"> </w:t>
      </w:r>
      <w:r>
        <w:t>on</w:t>
      </w:r>
      <w:r>
        <w:rPr>
          <w:spacing w:val="-7"/>
        </w:rPr>
        <w:t xml:space="preserve"> </w:t>
      </w:r>
      <w:r>
        <w:t>the</w:t>
      </w:r>
      <w:r>
        <w:rPr>
          <w:spacing w:val="-7"/>
        </w:rPr>
        <w:t xml:space="preserve"> </w:t>
      </w:r>
      <w:r>
        <w:t>following</w:t>
      </w:r>
      <w:r>
        <w:rPr>
          <w:spacing w:val="-8"/>
        </w:rPr>
        <w:t xml:space="preserve"> </w:t>
      </w:r>
      <w:r>
        <w:t>bases,</w:t>
      </w:r>
      <w:r>
        <w:rPr>
          <w:spacing w:val="-7"/>
        </w:rPr>
        <w:t xml:space="preserve"> </w:t>
      </w:r>
      <w:r>
        <w:t>unchanged</w:t>
      </w:r>
      <w:r>
        <w:rPr>
          <w:spacing w:val="-8"/>
        </w:rPr>
        <w:t xml:space="preserve"> </w:t>
      </w:r>
      <w:r>
        <w:t>from</w:t>
      </w:r>
      <w:r>
        <w:rPr>
          <w:spacing w:val="-6"/>
        </w:rPr>
        <w:t xml:space="preserve"> </w:t>
      </w:r>
      <w:r>
        <w:rPr>
          <w:spacing w:val="-4"/>
        </w:rPr>
        <w:t>PS4:</w:t>
      </w:r>
    </w:p>
    <w:p w14:paraId="61702E7C" w14:textId="77777777" w:rsidR="00141B97" w:rsidRDefault="00911D63">
      <w:pPr>
        <w:pStyle w:val="ListParagraph"/>
        <w:numPr>
          <w:ilvl w:val="0"/>
          <w:numId w:val="11"/>
        </w:numPr>
        <w:tabs>
          <w:tab w:val="left" w:pos="823"/>
          <w:tab w:val="left" w:pos="824"/>
        </w:tabs>
        <w:ind w:hanging="426"/>
        <w:rPr>
          <w:rFonts w:ascii="Symbol" w:hAnsi="Symbol"/>
          <w:sz w:val="24"/>
        </w:rPr>
      </w:pPr>
      <w:r>
        <w:rPr>
          <w:spacing w:val="-2"/>
        </w:rPr>
        <w:t>Irrigation:</w:t>
      </w:r>
    </w:p>
    <w:p w14:paraId="27B42590" w14:textId="77777777" w:rsidR="00141B97" w:rsidRDefault="00911D63">
      <w:pPr>
        <w:pStyle w:val="ListParagraph"/>
        <w:numPr>
          <w:ilvl w:val="1"/>
          <w:numId w:val="11"/>
        </w:numPr>
        <w:tabs>
          <w:tab w:val="left" w:pos="1390"/>
        </w:tabs>
        <w:spacing w:before="10" w:line="228" w:lineRule="auto"/>
        <w:ind w:right="949"/>
      </w:pPr>
      <w:r>
        <w:t>Delivery share, measured as megalitres (ML) of delivery share (being the maximum volume of</w:t>
      </w:r>
      <w:r>
        <w:rPr>
          <w:spacing w:val="40"/>
        </w:rPr>
        <w:t xml:space="preserve"> </w:t>
      </w:r>
      <w:r>
        <w:t>water able to be delivered in a 14‐day period)</w:t>
      </w:r>
    </w:p>
    <w:p w14:paraId="4511C8F9" w14:textId="77777777" w:rsidR="00141B97" w:rsidRDefault="00911D63">
      <w:pPr>
        <w:pStyle w:val="ListParagraph"/>
        <w:numPr>
          <w:ilvl w:val="1"/>
          <w:numId w:val="11"/>
        </w:numPr>
        <w:tabs>
          <w:tab w:val="left" w:pos="1390"/>
        </w:tabs>
        <w:spacing w:before="5" w:line="275" w:lineRule="exact"/>
        <w:ind w:hanging="426"/>
      </w:pPr>
      <w:r>
        <w:t>Water</w:t>
      </w:r>
      <w:r>
        <w:rPr>
          <w:spacing w:val="-7"/>
        </w:rPr>
        <w:t xml:space="preserve"> </w:t>
      </w:r>
      <w:r>
        <w:t>usage,</w:t>
      </w:r>
      <w:r>
        <w:rPr>
          <w:spacing w:val="-6"/>
        </w:rPr>
        <w:t xml:space="preserve"> </w:t>
      </w:r>
      <w:r>
        <w:t>measured</w:t>
      </w:r>
      <w:r>
        <w:rPr>
          <w:spacing w:val="-5"/>
        </w:rPr>
        <w:t xml:space="preserve"> </w:t>
      </w:r>
      <w:r>
        <w:t>in</w:t>
      </w:r>
      <w:r>
        <w:rPr>
          <w:spacing w:val="-6"/>
        </w:rPr>
        <w:t xml:space="preserve"> </w:t>
      </w:r>
      <w:r>
        <w:t>terms</w:t>
      </w:r>
      <w:r>
        <w:rPr>
          <w:spacing w:val="-6"/>
        </w:rPr>
        <w:t xml:space="preserve"> </w:t>
      </w:r>
      <w:r>
        <w:t>of</w:t>
      </w:r>
      <w:r>
        <w:rPr>
          <w:spacing w:val="-7"/>
        </w:rPr>
        <w:t xml:space="preserve"> </w:t>
      </w:r>
      <w:r>
        <w:t>ML</w:t>
      </w:r>
      <w:r>
        <w:rPr>
          <w:spacing w:val="-5"/>
        </w:rPr>
        <w:t xml:space="preserve"> </w:t>
      </w:r>
      <w:r>
        <w:t>of</w:t>
      </w:r>
      <w:r>
        <w:rPr>
          <w:spacing w:val="-7"/>
        </w:rPr>
        <w:t xml:space="preserve"> </w:t>
      </w:r>
      <w:r>
        <w:t>actual</w:t>
      </w:r>
      <w:r>
        <w:rPr>
          <w:spacing w:val="-7"/>
        </w:rPr>
        <w:t xml:space="preserve"> </w:t>
      </w:r>
      <w:r>
        <w:t>water</w:t>
      </w:r>
      <w:r>
        <w:rPr>
          <w:spacing w:val="-6"/>
        </w:rPr>
        <w:t xml:space="preserve"> </w:t>
      </w:r>
      <w:r>
        <w:rPr>
          <w:spacing w:val="-2"/>
        </w:rPr>
        <w:t>delivered</w:t>
      </w:r>
    </w:p>
    <w:p w14:paraId="5657D31F" w14:textId="77777777" w:rsidR="00141B97" w:rsidRDefault="00911D63">
      <w:pPr>
        <w:pStyle w:val="ListParagraph"/>
        <w:numPr>
          <w:ilvl w:val="1"/>
          <w:numId w:val="11"/>
        </w:numPr>
        <w:tabs>
          <w:tab w:val="left" w:pos="1390"/>
        </w:tabs>
        <w:spacing w:before="3" w:line="228" w:lineRule="auto"/>
        <w:ind w:right="949"/>
      </w:pPr>
      <w:r>
        <w:t>Entitlement storage fees, measured in ML of water shares held in the Victorian Water Register, with charges differentiated according to the source of water</w:t>
      </w:r>
    </w:p>
    <w:p w14:paraId="024B1DDD" w14:textId="77777777" w:rsidR="00141B97" w:rsidRDefault="00911D63">
      <w:pPr>
        <w:pStyle w:val="ListParagraph"/>
        <w:numPr>
          <w:ilvl w:val="1"/>
          <w:numId w:val="11"/>
        </w:numPr>
        <w:tabs>
          <w:tab w:val="left" w:pos="1390"/>
        </w:tabs>
        <w:spacing w:before="4" w:line="275" w:lineRule="exact"/>
        <w:ind w:hanging="426"/>
      </w:pPr>
      <w:r>
        <w:t>A</w:t>
      </w:r>
      <w:r>
        <w:rPr>
          <w:spacing w:val="-7"/>
        </w:rPr>
        <w:t xml:space="preserve"> </w:t>
      </w:r>
      <w:r>
        <w:t>service</w:t>
      </w:r>
      <w:r>
        <w:rPr>
          <w:spacing w:val="-6"/>
        </w:rPr>
        <w:t xml:space="preserve"> </w:t>
      </w:r>
      <w:r>
        <w:t>charge</w:t>
      </w:r>
      <w:r>
        <w:rPr>
          <w:spacing w:val="-6"/>
        </w:rPr>
        <w:t xml:space="preserve"> </w:t>
      </w:r>
      <w:r>
        <w:t>levied</w:t>
      </w:r>
      <w:r>
        <w:rPr>
          <w:spacing w:val="-6"/>
        </w:rPr>
        <w:t xml:space="preserve"> </w:t>
      </w:r>
      <w:r>
        <w:t>on</w:t>
      </w:r>
      <w:r>
        <w:rPr>
          <w:spacing w:val="-5"/>
        </w:rPr>
        <w:t xml:space="preserve"> </w:t>
      </w:r>
      <w:r>
        <w:t>each</w:t>
      </w:r>
      <w:r>
        <w:rPr>
          <w:spacing w:val="-7"/>
        </w:rPr>
        <w:t xml:space="preserve"> </w:t>
      </w:r>
      <w:r>
        <w:rPr>
          <w:spacing w:val="-2"/>
        </w:rPr>
        <w:t>account.</w:t>
      </w:r>
    </w:p>
    <w:p w14:paraId="16C55359" w14:textId="77777777" w:rsidR="00141B97" w:rsidRDefault="00911D63">
      <w:pPr>
        <w:pStyle w:val="ListParagraph"/>
        <w:numPr>
          <w:ilvl w:val="0"/>
          <w:numId w:val="11"/>
        </w:numPr>
        <w:tabs>
          <w:tab w:val="left" w:pos="823"/>
          <w:tab w:val="left" w:pos="824"/>
        </w:tabs>
        <w:spacing w:line="294" w:lineRule="exact"/>
        <w:ind w:hanging="426"/>
        <w:rPr>
          <w:rFonts w:ascii="Symbol" w:hAnsi="Symbol"/>
          <w:sz w:val="24"/>
        </w:rPr>
      </w:pPr>
      <w:r>
        <w:t>Drainage</w:t>
      </w:r>
      <w:r>
        <w:rPr>
          <w:spacing w:val="-10"/>
        </w:rPr>
        <w:t xml:space="preserve"> </w:t>
      </w:r>
      <w:r>
        <w:t>for</w:t>
      </w:r>
      <w:r>
        <w:rPr>
          <w:spacing w:val="-8"/>
        </w:rPr>
        <w:t xml:space="preserve"> </w:t>
      </w:r>
      <w:r>
        <w:t>irrigation</w:t>
      </w:r>
      <w:r>
        <w:rPr>
          <w:spacing w:val="-10"/>
        </w:rPr>
        <w:t xml:space="preserve"> </w:t>
      </w:r>
      <w:r>
        <w:rPr>
          <w:spacing w:val="-2"/>
        </w:rPr>
        <w:t>customers:</w:t>
      </w:r>
    </w:p>
    <w:p w14:paraId="2B1B2952" w14:textId="77777777" w:rsidR="00141B97" w:rsidRDefault="00911D63">
      <w:pPr>
        <w:pStyle w:val="ListParagraph"/>
        <w:numPr>
          <w:ilvl w:val="1"/>
          <w:numId w:val="11"/>
        </w:numPr>
        <w:tabs>
          <w:tab w:val="left" w:pos="1390"/>
        </w:tabs>
        <w:spacing w:line="275" w:lineRule="exact"/>
        <w:ind w:hanging="426"/>
      </w:pPr>
      <w:r>
        <w:t>Fees</w:t>
      </w:r>
      <w:r>
        <w:rPr>
          <w:spacing w:val="-6"/>
        </w:rPr>
        <w:t xml:space="preserve"> </w:t>
      </w:r>
      <w:r>
        <w:t>are</w:t>
      </w:r>
      <w:r>
        <w:rPr>
          <w:spacing w:val="-5"/>
        </w:rPr>
        <w:t xml:space="preserve"> </w:t>
      </w:r>
      <w:r>
        <w:t>levied</w:t>
      </w:r>
      <w:r>
        <w:rPr>
          <w:spacing w:val="-6"/>
        </w:rPr>
        <w:t xml:space="preserve"> </w:t>
      </w:r>
      <w:r>
        <w:t>on</w:t>
      </w:r>
      <w:r>
        <w:rPr>
          <w:spacing w:val="-7"/>
        </w:rPr>
        <w:t xml:space="preserve"> </w:t>
      </w:r>
      <w:r>
        <w:t>the</w:t>
      </w:r>
      <w:r>
        <w:rPr>
          <w:spacing w:val="-6"/>
        </w:rPr>
        <w:t xml:space="preserve"> </w:t>
      </w:r>
      <w:r>
        <w:t>basis</w:t>
      </w:r>
      <w:r>
        <w:rPr>
          <w:spacing w:val="-5"/>
        </w:rPr>
        <w:t xml:space="preserve"> </w:t>
      </w:r>
      <w:r>
        <w:t>of</w:t>
      </w:r>
      <w:r>
        <w:rPr>
          <w:spacing w:val="-5"/>
        </w:rPr>
        <w:t xml:space="preserve"> </w:t>
      </w:r>
      <w:r>
        <w:t>delivery</w:t>
      </w:r>
      <w:r>
        <w:rPr>
          <w:spacing w:val="-5"/>
        </w:rPr>
        <w:t xml:space="preserve"> </w:t>
      </w:r>
      <w:r>
        <w:rPr>
          <w:spacing w:val="-2"/>
        </w:rPr>
        <w:t>shares.</w:t>
      </w:r>
    </w:p>
    <w:p w14:paraId="4C0CEACE" w14:textId="77777777" w:rsidR="00141B97" w:rsidRDefault="00911D63">
      <w:pPr>
        <w:pStyle w:val="ListParagraph"/>
        <w:numPr>
          <w:ilvl w:val="0"/>
          <w:numId w:val="11"/>
        </w:numPr>
        <w:tabs>
          <w:tab w:val="left" w:pos="823"/>
          <w:tab w:val="left" w:pos="824"/>
        </w:tabs>
        <w:spacing w:line="294" w:lineRule="exact"/>
        <w:ind w:hanging="426"/>
        <w:rPr>
          <w:rFonts w:ascii="Symbol" w:hAnsi="Symbol"/>
          <w:sz w:val="24"/>
        </w:rPr>
      </w:pPr>
      <w:r>
        <w:t>Water</w:t>
      </w:r>
      <w:r>
        <w:rPr>
          <w:spacing w:val="-7"/>
        </w:rPr>
        <w:t xml:space="preserve"> </w:t>
      </w:r>
      <w:r>
        <w:t>Works</w:t>
      </w:r>
      <w:r>
        <w:rPr>
          <w:spacing w:val="-7"/>
        </w:rPr>
        <w:t xml:space="preserve"> </w:t>
      </w:r>
      <w:r>
        <w:rPr>
          <w:spacing w:val="-2"/>
        </w:rPr>
        <w:t>District:</w:t>
      </w:r>
    </w:p>
    <w:p w14:paraId="2698CDA2" w14:textId="77777777" w:rsidR="00141B97" w:rsidRDefault="00911D63">
      <w:pPr>
        <w:pStyle w:val="ListParagraph"/>
        <w:numPr>
          <w:ilvl w:val="1"/>
          <w:numId w:val="11"/>
        </w:numPr>
        <w:tabs>
          <w:tab w:val="left" w:pos="1390"/>
        </w:tabs>
        <w:spacing w:before="1" w:line="275" w:lineRule="exact"/>
        <w:ind w:hanging="426"/>
      </w:pPr>
      <w:r>
        <w:t>Per</w:t>
      </w:r>
      <w:r>
        <w:rPr>
          <w:spacing w:val="-7"/>
        </w:rPr>
        <w:t xml:space="preserve"> </w:t>
      </w:r>
      <w:r>
        <w:t>connection</w:t>
      </w:r>
      <w:r>
        <w:rPr>
          <w:spacing w:val="-6"/>
        </w:rPr>
        <w:t xml:space="preserve"> </w:t>
      </w:r>
      <w:r>
        <w:t>and</w:t>
      </w:r>
      <w:r>
        <w:rPr>
          <w:spacing w:val="-6"/>
        </w:rPr>
        <w:t xml:space="preserve"> </w:t>
      </w:r>
      <w:r>
        <w:t>per</w:t>
      </w:r>
      <w:r>
        <w:rPr>
          <w:spacing w:val="-6"/>
        </w:rPr>
        <w:t xml:space="preserve"> </w:t>
      </w:r>
      <w:r>
        <w:t>ML</w:t>
      </w:r>
      <w:r>
        <w:rPr>
          <w:spacing w:val="-4"/>
        </w:rPr>
        <w:t xml:space="preserve"> </w:t>
      </w:r>
      <w:r>
        <w:rPr>
          <w:spacing w:val="-2"/>
        </w:rPr>
        <w:t>usage.</w:t>
      </w:r>
    </w:p>
    <w:p w14:paraId="4F158FCD" w14:textId="77777777" w:rsidR="00141B97" w:rsidRDefault="00911D63">
      <w:pPr>
        <w:pStyle w:val="ListParagraph"/>
        <w:numPr>
          <w:ilvl w:val="0"/>
          <w:numId w:val="11"/>
        </w:numPr>
        <w:tabs>
          <w:tab w:val="left" w:pos="823"/>
          <w:tab w:val="left" w:pos="824"/>
        </w:tabs>
        <w:spacing w:line="294" w:lineRule="exact"/>
        <w:ind w:hanging="426"/>
        <w:rPr>
          <w:rFonts w:ascii="Symbol" w:hAnsi="Symbol"/>
          <w:sz w:val="24"/>
        </w:rPr>
      </w:pPr>
      <w:r>
        <w:t>Millewa</w:t>
      </w:r>
      <w:r>
        <w:rPr>
          <w:spacing w:val="-8"/>
        </w:rPr>
        <w:t xml:space="preserve"> </w:t>
      </w:r>
      <w:r>
        <w:t>stock</w:t>
      </w:r>
      <w:r>
        <w:rPr>
          <w:spacing w:val="-8"/>
        </w:rPr>
        <w:t xml:space="preserve"> </w:t>
      </w:r>
      <w:r>
        <w:t>and</w:t>
      </w:r>
      <w:r>
        <w:rPr>
          <w:spacing w:val="-7"/>
        </w:rPr>
        <w:t xml:space="preserve"> </w:t>
      </w:r>
      <w:r>
        <w:t>domestic</w:t>
      </w:r>
      <w:r>
        <w:rPr>
          <w:spacing w:val="-10"/>
        </w:rPr>
        <w:t xml:space="preserve"> </w:t>
      </w:r>
      <w:r>
        <w:rPr>
          <w:spacing w:val="-2"/>
        </w:rPr>
        <w:t>districts:</w:t>
      </w:r>
    </w:p>
    <w:p w14:paraId="093A7E0C" w14:textId="77777777" w:rsidR="00141B97" w:rsidRDefault="00911D63">
      <w:pPr>
        <w:pStyle w:val="ListParagraph"/>
        <w:numPr>
          <w:ilvl w:val="1"/>
          <w:numId w:val="11"/>
        </w:numPr>
        <w:tabs>
          <w:tab w:val="left" w:pos="1390"/>
        </w:tabs>
        <w:spacing w:before="1" w:line="275" w:lineRule="exact"/>
        <w:ind w:hanging="426"/>
      </w:pPr>
      <w:r>
        <w:t>Number</w:t>
      </w:r>
      <w:r>
        <w:rPr>
          <w:spacing w:val="-7"/>
        </w:rPr>
        <w:t xml:space="preserve"> </w:t>
      </w:r>
      <w:r>
        <w:t>of</w:t>
      </w:r>
      <w:r>
        <w:rPr>
          <w:spacing w:val="-7"/>
        </w:rPr>
        <w:t xml:space="preserve"> </w:t>
      </w:r>
      <w:r>
        <w:rPr>
          <w:spacing w:val="-2"/>
        </w:rPr>
        <w:t>connections</w:t>
      </w:r>
    </w:p>
    <w:p w14:paraId="24024C48" w14:textId="77777777" w:rsidR="00141B97" w:rsidRDefault="00911D63">
      <w:pPr>
        <w:pStyle w:val="ListParagraph"/>
        <w:numPr>
          <w:ilvl w:val="1"/>
          <w:numId w:val="11"/>
        </w:numPr>
        <w:tabs>
          <w:tab w:val="left" w:pos="1390"/>
        </w:tabs>
        <w:spacing w:line="268" w:lineRule="exact"/>
        <w:ind w:hanging="426"/>
      </w:pPr>
      <w:r>
        <w:t>Per</w:t>
      </w:r>
      <w:r>
        <w:rPr>
          <w:spacing w:val="-8"/>
        </w:rPr>
        <w:t xml:space="preserve"> </w:t>
      </w:r>
      <w:r>
        <w:t>kilolitre</w:t>
      </w:r>
      <w:r>
        <w:rPr>
          <w:spacing w:val="-8"/>
        </w:rPr>
        <w:t xml:space="preserve"> </w:t>
      </w:r>
      <w:r>
        <w:t>(kL)</w:t>
      </w:r>
      <w:r>
        <w:rPr>
          <w:spacing w:val="-8"/>
        </w:rPr>
        <w:t xml:space="preserve"> </w:t>
      </w:r>
      <w:r>
        <w:t>water</w:t>
      </w:r>
      <w:r>
        <w:rPr>
          <w:spacing w:val="-6"/>
        </w:rPr>
        <w:t xml:space="preserve"> </w:t>
      </w:r>
      <w:r>
        <w:rPr>
          <w:spacing w:val="-4"/>
        </w:rPr>
        <w:t>usage</w:t>
      </w:r>
    </w:p>
    <w:p w14:paraId="0735294C" w14:textId="77777777" w:rsidR="00141B97" w:rsidRDefault="00911D63">
      <w:pPr>
        <w:pStyle w:val="ListParagraph"/>
        <w:numPr>
          <w:ilvl w:val="1"/>
          <w:numId w:val="11"/>
        </w:numPr>
        <w:tabs>
          <w:tab w:val="left" w:pos="1390"/>
        </w:tabs>
        <w:spacing w:line="268" w:lineRule="exact"/>
        <w:ind w:hanging="426"/>
      </w:pPr>
      <w:r>
        <w:t>Number</w:t>
      </w:r>
      <w:r>
        <w:rPr>
          <w:spacing w:val="-6"/>
        </w:rPr>
        <w:t xml:space="preserve"> </w:t>
      </w:r>
      <w:r>
        <w:t>of</w:t>
      </w:r>
      <w:r>
        <w:rPr>
          <w:spacing w:val="-5"/>
        </w:rPr>
        <w:t xml:space="preserve"> </w:t>
      </w:r>
      <w:r>
        <w:t>scrub</w:t>
      </w:r>
      <w:r>
        <w:rPr>
          <w:spacing w:val="-6"/>
        </w:rPr>
        <w:t xml:space="preserve"> </w:t>
      </w:r>
      <w:r>
        <w:t>or</w:t>
      </w:r>
      <w:r>
        <w:rPr>
          <w:spacing w:val="-7"/>
        </w:rPr>
        <w:t xml:space="preserve"> </w:t>
      </w:r>
      <w:r>
        <w:t>stocked</w:t>
      </w:r>
      <w:r>
        <w:rPr>
          <w:spacing w:val="-6"/>
        </w:rPr>
        <w:t xml:space="preserve"> </w:t>
      </w:r>
      <w:r>
        <w:t>hectares</w:t>
      </w:r>
      <w:r>
        <w:rPr>
          <w:spacing w:val="-6"/>
        </w:rPr>
        <w:t xml:space="preserve"> </w:t>
      </w:r>
      <w:r>
        <w:t>on</w:t>
      </w:r>
      <w:r>
        <w:rPr>
          <w:spacing w:val="-6"/>
        </w:rPr>
        <w:t xml:space="preserve"> </w:t>
      </w:r>
      <w:r>
        <w:t>each</w:t>
      </w:r>
      <w:r>
        <w:rPr>
          <w:spacing w:val="-7"/>
        </w:rPr>
        <w:t xml:space="preserve"> </w:t>
      </w:r>
      <w:r>
        <w:rPr>
          <w:spacing w:val="-2"/>
        </w:rPr>
        <w:t>account.</w:t>
      </w:r>
    </w:p>
    <w:p w14:paraId="1D7DF27F" w14:textId="77777777" w:rsidR="00141B97" w:rsidRDefault="00911D63">
      <w:pPr>
        <w:pStyle w:val="ListParagraph"/>
        <w:numPr>
          <w:ilvl w:val="0"/>
          <w:numId w:val="11"/>
        </w:numPr>
        <w:tabs>
          <w:tab w:val="left" w:pos="823"/>
          <w:tab w:val="left" w:pos="824"/>
        </w:tabs>
        <w:spacing w:line="294" w:lineRule="exact"/>
        <w:ind w:hanging="426"/>
        <w:rPr>
          <w:rFonts w:ascii="Symbol" w:hAnsi="Symbol"/>
          <w:sz w:val="24"/>
        </w:rPr>
      </w:pPr>
      <w:r>
        <w:t>Private</w:t>
      </w:r>
      <w:r>
        <w:rPr>
          <w:spacing w:val="-9"/>
        </w:rPr>
        <w:t xml:space="preserve"> </w:t>
      </w:r>
      <w:r>
        <w:rPr>
          <w:spacing w:val="-2"/>
        </w:rPr>
        <w:t>diverters:</w:t>
      </w:r>
    </w:p>
    <w:p w14:paraId="03CCBA39" w14:textId="77777777" w:rsidR="00141B97" w:rsidRDefault="00911D63">
      <w:pPr>
        <w:pStyle w:val="ListParagraph"/>
        <w:numPr>
          <w:ilvl w:val="1"/>
          <w:numId w:val="11"/>
        </w:numPr>
        <w:tabs>
          <w:tab w:val="left" w:pos="1390"/>
        </w:tabs>
        <w:spacing w:line="275" w:lineRule="exact"/>
        <w:ind w:hanging="426"/>
      </w:pPr>
      <w:r>
        <w:t>Largely</w:t>
      </w:r>
      <w:r>
        <w:rPr>
          <w:spacing w:val="-6"/>
        </w:rPr>
        <w:t xml:space="preserve"> </w:t>
      </w:r>
      <w:r>
        <w:t>based</w:t>
      </w:r>
      <w:r>
        <w:rPr>
          <w:spacing w:val="-5"/>
        </w:rPr>
        <w:t xml:space="preserve"> </w:t>
      </w:r>
      <w:r>
        <w:t>on</w:t>
      </w:r>
      <w:r>
        <w:rPr>
          <w:spacing w:val="-6"/>
        </w:rPr>
        <w:t xml:space="preserve"> </w:t>
      </w:r>
      <w:r>
        <w:t>ML</w:t>
      </w:r>
      <w:r>
        <w:rPr>
          <w:spacing w:val="-7"/>
        </w:rPr>
        <w:t xml:space="preserve"> </w:t>
      </w:r>
      <w:r>
        <w:t>per</w:t>
      </w:r>
      <w:r>
        <w:rPr>
          <w:spacing w:val="-6"/>
        </w:rPr>
        <w:t xml:space="preserve"> </w:t>
      </w:r>
      <w:r>
        <w:t>annual</w:t>
      </w:r>
      <w:r>
        <w:rPr>
          <w:spacing w:val="-7"/>
        </w:rPr>
        <w:t xml:space="preserve"> </w:t>
      </w:r>
      <w:r>
        <w:t>use</w:t>
      </w:r>
      <w:r>
        <w:rPr>
          <w:spacing w:val="-7"/>
        </w:rPr>
        <w:t xml:space="preserve"> </w:t>
      </w:r>
      <w:r>
        <w:t>limit,</w:t>
      </w:r>
      <w:r>
        <w:rPr>
          <w:spacing w:val="-7"/>
        </w:rPr>
        <w:t xml:space="preserve"> </w:t>
      </w:r>
      <w:r>
        <w:rPr>
          <w:spacing w:val="-4"/>
        </w:rPr>
        <w:t>plus</w:t>
      </w:r>
    </w:p>
    <w:p w14:paraId="6010C624" w14:textId="77777777" w:rsidR="00141B97" w:rsidRDefault="00911D63">
      <w:pPr>
        <w:pStyle w:val="ListParagraph"/>
        <w:numPr>
          <w:ilvl w:val="1"/>
          <w:numId w:val="11"/>
        </w:numPr>
        <w:tabs>
          <w:tab w:val="left" w:pos="1390"/>
        </w:tabs>
        <w:spacing w:before="3" w:line="228" w:lineRule="auto"/>
        <w:ind w:right="948"/>
      </w:pPr>
      <w:r>
        <w:t>Pass</w:t>
      </w:r>
      <w:r>
        <w:rPr>
          <w:spacing w:val="-3"/>
        </w:rPr>
        <w:t xml:space="preserve"> </w:t>
      </w:r>
      <w:r>
        <w:t>through</w:t>
      </w:r>
      <w:r>
        <w:rPr>
          <w:spacing w:val="-2"/>
        </w:rPr>
        <w:t xml:space="preserve"> </w:t>
      </w:r>
      <w:r>
        <w:t>Goulburn‐Murray</w:t>
      </w:r>
      <w:r>
        <w:rPr>
          <w:spacing w:val="-3"/>
        </w:rPr>
        <w:t xml:space="preserve"> </w:t>
      </w:r>
      <w:r>
        <w:t>Water</w:t>
      </w:r>
      <w:r>
        <w:rPr>
          <w:spacing w:val="-3"/>
        </w:rPr>
        <w:t xml:space="preserve"> </w:t>
      </w:r>
      <w:r>
        <w:t>(GMW)</w:t>
      </w:r>
      <w:r>
        <w:rPr>
          <w:spacing w:val="-3"/>
        </w:rPr>
        <w:t xml:space="preserve"> </w:t>
      </w:r>
      <w:r>
        <w:t>charges</w:t>
      </w:r>
      <w:r>
        <w:rPr>
          <w:spacing w:val="-1"/>
        </w:rPr>
        <w:t xml:space="preserve"> </w:t>
      </w:r>
      <w:r>
        <w:t>based</w:t>
      </w:r>
      <w:r>
        <w:rPr>
          <w:spacing w:val="-2"/>
        </w:rPr>
        <w:t xml:space="preserve"> </w:t>
      </w:r>
      <w:r>
        <w:t>on</w:t>
      </w:r>
      <w:r>
        <w:rPr>
          <w:spacing w:val="-3"/>
        </w:rPr>
        <w:t xml:space="preserve"> </w:t>
      </w:r>
      <w:r>
        <w:t>per</w:t>
      </w:r>
      <w:r>
        <w:rPr>
          <w:spacing w:val="-2"/>
        </w:rPr>
        <w:t xml:space="preserve"> </w:t>
      </w:r>
      <w:r>
        <w:t>ML</w:t>
      </w:r>
      <w:r>
        <w:rPr>
          <w:spacing w:val="-2"/>
        </w:rPr>
        <w:t xml:space="preserve"> </w:t>
      </w:r>
      <w:r>
        <w:t>water</w:t>
      </w:r>
      <w:r>
        <w:rPr>
          <w:spacing w:val="-3"/>
        </w:rPr>
        <w:t xml:space="preserve"> </w:t>
      </w:r>
      <w:r>
        <w:t>shares</w:t>
      </w:r>
      <w:r>
        <w:rPr>
          <w:spacing w:val="-2"/>
        </w:rPr>
        <w:t xml:space="preserve"> </w:t>
      </w:r>
      <w:r>
        <w:t>held</w:t>
      </w:r>
      <w:r>
        <w:rPr>
          <w:spacing w:val="-3"/>
        </w:rPr>
        <w:t xml:space="preserve"> </w:t>
      </w:r>
      <w:r>
        <w:t>in</w:t>
      </w:r>
      <w:r>
        <w:rPr>
          <w:spacing w:val="-3"/>
        </w:rPr>
        <w:t xml:space="preserve"> </w:t>
      </w:r>
      <w:r>
        <w:t>the Victorian Water Register as at 1 July each year for the forthcoming year.</w:t>
      </w:r>
    </w:p>
    <w:p w14:paraId="7E8E3E12" w14:textId="77777777" w:rsidR="00141B97" w:rsidRDefault="00141B97">
      <w:pPr>
        <w:pStyle w:val="BodyText"/>
        <w:rPr>
          <w:sz w:val="21"/>
        </w:rPr>
      </w:pPr>
    </w:p>
    <w:p w14:paraId="31F0476E" w14:textId="77777777" w:rsidR="00141B97" w:rsidRDefault="00911D63">
      <w:pPr>
        <w:pStyle w:val="ListParagraph"/>
        <w:numPr>
          <w:ilvl w:val="2"/>
          <w:numId w:val="37"/>
        </w:numPr>
        <w:tabs>
          <w:tab w:val="left" w:pos="1112"/>
          <w:tab w:val="left" w:pos="1113"/>
        </w:tabs>
        <w:spacing w:before="1"/>
        <w:ind w:left="1112" w:hanging="1000"/>
        <w:jc w:val="both"/>
      </w:pPr>
      <w:r>
        <w:t>Demand</w:t>
      </w:r>
      <w:r>
        <w:rPr>
          <w:spacing w:val="-8"/>
        </w:rPr>
        <w:t xml:space="preserve"> </w:t>
      </w:r>
      <w:r>
        <w:rPr>
          <w:spacing w:val="-2"/>
        </w:rPr>
        <w:t>Forecast</w:t>
      </w:r>
    </w:p>
    <w:p w14:paraId="69F1096C" w14:textId="77777777" w:rsidR="00141B97" w:rsidRDefault="00911D63">
      <w:pPr>
        <w:pStyle w:val="BodyText"/>
        <w:spacing w:before="70" w:line="252" w:lineRule="auto"/>
        <w:ind w:left="113" w:right="948"/>
        <w:jc w:val="both"/>
      </w:pPr>
      <w:r>
        <w:t>The</w:t>
      </w:r>
      <w:r>
        <w:rPr>
          <w:spacing w:val="-9"/>
        </w:rPr>
        <w:t xml:space="preserve"> </w:t>
      </w:r>
      <w:r>
        <w:t>demand</w:t>
      </w:r>
      <w:r>
        <w:rPr>
          <w:spacing w:val="-9"/>
        </w:rPr>
        <w:t xml:space="preserve"> </w:t>
      </w:r>
      <w:r>
        <w:t>forecasts</w:t>
      </w:r>
      <w:r>
        <w:rPr>
          <w:spacing w:val="-9"/>
        </w:rPr>
        <w:t xml:space="preserve"> </w:t>
      </w:r>
      <w:r>
        <w:t>for</w:t>
      </w:r>
      <w:r>
        <w:rPr>
          <w:spacing w:val="-8"/>
        </w:rPr>
        <w:t xml:space="preserve"> </w:t>
      </w:r>
      <w:r>
        <w:t>all</w:t>
      </w:r>
      <w:r>
        <w:rPr>
          <w:spacing w:val="-9"/>
        </w:rPr>
        <w:t xml:space="preserve"> </w:t>
      </w:r>
      <w:r>
        <w:t>services</w:t>
      </w:r>
      <w:r>
        <w:rPr>
          <w:spacing w:val="-9"/>
        </w:rPr>
        <w:t xml:space="preserve"> </w:t>
      </w:r>
      <w:r>
        <w:t>making</w:t>
      </w:r>
      <w:r>
        <w:rPr>
          <w:spacing w:val="-8"/>
        </w:rPr>
        <w:t xml:space="preserve"> </w:t>
      </w:r>
      <w:r>
        <w:t>up</w:t>
      </w:r>
      <w:r>
        <w:rPr>
          <w:spacing w:val="-9"/>
        </w:rPr>
        <w:t xml:space="preserve"> </w:t>
      </w:r>
      <w:r>
        <w:t>the</w:t>
      </w:r>
      <w:r>
        <w:rPr>
          <w:spacing w:val="-9"/>
        </w:rPr>
        <w:t xml:space="preserve"> </w:t>
      </w:r>
      <w:r>
        <w:t>charging</w:t>
      </w:r>
      <w:r>
        <w:rPr>
          <w:spacing w:val="-8"/>
        </w:rPr>
        <w:t xml:space="preserve"> </w:t>
      </w:r>
      <w:r>
        <w:t>base</w:t>
      </w:r>
      <w:r>
        <w:rPr>
          <w:spacing w:val="-9"/>
        </w:rPr>
        <w:t xml:space="preserve"> </w:t>
      </w:r>
      <w:r>
        <w:t>for</w:t>
      </w:r>
      <w:r>
        <w:rPr>
          <w:spacing w:val="-9"/>
        </w:rPr>
        <w:t xml:space="preserve"> </w:t>
      </w:r>
      <w:r>
        <w:t>the</w:t>
      </w:r>
      <w:r>
        <w:rPr>
          <w:spacing w:val="-9"/>
        </w:rPr>
        <w:t xml:space="preserve"> </w:t>
      </w:r>
      <w:r>
        <w:t>rural</w:t>
      </w:r>
      <w:r>
        <w:rPr>
          <w:spacing w:val="-9"/>
        </w:rPr>
        <w:t xml:space="preserve"> </w:t>
      </w:r>
      <w:r>
        <w:t>business</w:t>
      </w:r>
      <w:r>
        <w:rPr>
          <w:spacing w:val="-9"/>
        </w:rPr>
        <w:t xml:space="preserve"> </w:t>
      </w:r>
      <w:r>
        <w:t>are</w:t>
      </w:r>
      <w:r>
        <w:rPr>
          <w:spacing w:val="-9"/>
        </w:rPr>
        <w:t xml:space="preserve"> </w:t>
      </w:r>
      <w:r>
        <w:t>summarised</w:t>
      </w:r>
      <w:r>
        <w:rPr>
          <w:spacing w:val="-9"/>
        </w:rPr>
        <w:t xml:space="preserve"> </w:t>
      </w:r>
      <w:r>
        <w:t>below. These</w:t>
      </w:r>
      <w:r>
        <w:rPr>
          <w:spacing w:val="-2"/>
        </w:rPr>
        <w:t xml:space="preserve"> </w:t>
      </w:r>
      <w:r>
        <w:t>forecasts</w:t>
      </w:r>
      <w:r>
        <w:rPr>
          <w:spacing w:val="-2"/>
        </w:rPr>
        <w:t xml:space="preserve"> </w:t>
      </w:r>
      <w:r>
        <w:t>form the</w:t>
      </w:r>
      <w:r>
        <w:rPr>
          <w:spacing w:val="-1"/>
        </w:rPr>
        <w:t xml:space="preserve"> </w:t>
      </w:r>
      <w:r>
        <w:t>basis</w:t>
      </w:r>
      <w:r>
        <w:rPr>
          <w:spacing w:val="-2"/>
        </w:rPr>
        <w:t xml:space="preserve"> </w:t>
      </w:r>
      <w:r>
        <w:t>of</w:t>
      </w:r>
      <w:r>
        <w:rPr>
          <w:spacing w:val="-1"/>
        </w:rPr>
        <w:t xml:space="preserve"> </w:t>
      </w:r>
      <w:r>
        <w:t>future</w:t>
      </w:r>
      <w:r>
        <w:rPr>
          <w:spacing w:val="-1"/>
        </w:rPr>
        <w:t xml:space="preserve"> </w:t>
      </w:r>
      <w:r>
        <w:t>revenue, and</w:t>
      </w:r>
      <w:r>
        <w:rPr>
          <w:spacing w:val="-1"/>
        </w:rPr>
        <w:t xml:space="preserve"> </w:t>
      </w:r>
      <w:r>
        <w:t>the</w:t>
      </w:r>
      <w:r>
        <w:rPr>
          <w:spacing w:val="-2"/>
        </w:rPr>
        <w:t xml:space="preserve"> </w:t>
      </w:r>
      <w:r>
        <w:t>water</w:t>
      </w:r>
      <w:r>
        <w:rPr>
          <w:spacing w:val="-2"/>
        </w:rPr>
        <w:t xml:space="preserve"> </w:t>
      </w:r>
      <w:r>
        <w:t>volume</w:t>
      </w:r>
      <w:r>
        <w:rPr>
          <w:spacing w:val="-2"/>
        </w:rPr>
        <w:t xml:space="preserve"> </w:t>
      </w:r>
      <w:r>
        <w:t>forecasts</w:t>
      </w:r>
      <w:r>
        <w:rPr>
          <w:spacing w:val="-2"/>
        </w:rPr>
        <w:t xml:space="preserve"> </w:t>
      </w:r>
      <w:r>
        <w:t>that</w:t>
      </w:r>
      <w:r>
        <w:rPr>
          <w:spacing w:val="-1"/>
        </w:rPr>
        <w:t xml:space="preserve"> </w:t>
      </w:r>
      <w:r>
        <w:t>underpin</w:t>
      </w:r>
      <w:r>
        <w:rPr>
          <w:spacing w:val="-2"/>
        </w:rPr>
        <w:t xml:space="preserve"> </w:t>
      </w:r>
      <w:r>
        <w:t>LMW’s</w:t>
      </w:r>
      <w:r>
        <w:rPr>
          <w:spacing w:val="-2"/>
        </w:rPr>
        <w:t xml:space="preserve"> </w:t>
      </w:r>
      <w:r>
        <w:t>capital expenditure requirements.</w:t>
      </w:r>
    </w:p>
    <w:p w14:paraId="5F03527E" w14:textId="77777777" w:rsidR="00141B97" w:rsidRDefault="00911D63">
      <w:pPr>
        <w:pStyle w:val="BodyText"/>
        <w:spacing w:before="115"/>
        <w:ind w:left="114"/>
        <w:jc w:val="both"/>
      </w:pPr>
      <w:r>
        <w:t>The</w:t>
      </w:r>
      <w:r>
        <w:rPr>
          <w:spacing w:val="-9"/>
        </w:rPr>
        <w:t xml:space="preserve"> </w:t>
      </w:r>
      <w:r>
        <w:t>methodology</w:t>
      </w:r>
      <w:r>
        <w:rPr>
          <w:spacing w:val="-7"/>
        </w:rPr>
        <w:t xml:space="preserve"> </w:t>
      </w:r>
      <w:r>
        <w:t>applied</w:t>
      </w:r>
      <w:r>
        <w:rPr>
          <w:spacing w:val="-9"/>
        </w:rPr>
        <w:t xml:space="preserve"> </w:t>
      </w:r>
      <w:r>
        <w:t>to</w:t>
      </w:r>
      <w:r>
        <w:rPr>
          <w:spacing w:val="-9"/>
        </w:rPr>
        <w:t xml:space="preserve"> </w:t>
      </w:r>
      <w:r>
        <w:t>forecasting</w:t>
      </w:r>
      <w:r>
        <w:rPr>
          <w:spacing w:val="-8"/>
        </w:rPr>
        <w:t xml:space="preserve"> </w:t>
      </w:r>
      <w:r>
        <w:t>rural</w:t>
      </w:r>
      <w:r>
        <w:rPr>
          <w:spacing w:val="-7"/>
        </w:rPr>
        <w:t xml:space="preserve"> </w:t>
      </w:r>
      <w:r>
        <w:t>demand</w:t>
      </w:r>
      <w:r>
        <w:rPr>
          <w:spacing w:val="-8"/>
        </w:rPr>
        <w:t xml:space="preserve"> </w:t>
      </w:r>
      <w:r>
        <w:rPr>
          <w:spacing w:val="-2"/>
        </w:rPr>
        <w:t>considers:</w:t>
      </w:r>
    </w:p>
    <w:p w14:paraId="1D8098F2" w14:textId="77777777" w:rsidR="00141B97" w:rsidRDefault="00911D63">
      <w:pPr>
        <w:pStyle w:val="ListParagraph"/>
        <w:numPr>
          <w:ilvl w:val="0"/>
          <w:numId w:val="10"/>
        </w:numPr>
        <w:tabs>
          <w:tab w:val="left" w:pos="828"/>
        </w:tabs>
        <w:spacing w:before="119"/>
        <w:ind w:right="948"/>
        <w:jc w:val="both"/>
        <w:rPr>
          <w:rFonts w:ascii="Symbol" w:hAnsi="Symbol"/>
        </w:rPr>
      </w:pPr>
      <w:r>
        <w:t>Historic</w:t>
      </w:r>
      <w:r>
        <w:rPr>
          <w:spacing w:val="-13"/>
        </w:rPr>
        <w:t xml:space="preserve"> </w:t>
      </w:r>
      <w:r>
        <w:t>demands</w:t>
      </w:r>
      <w:r>
        <w:rPr>
          <w:spacing w:val="-12"/>
        </w:rPr>
        <w:t xml:space="preserve"> </w:t>
      </w:r>
      <w:r>
        <w:t>and</w:t>
      </w:r>
      <w:r>
        <w:rPr>
          <w:spacing w:val="-13"/>
        </w:rPr>
        <w:t xml:space="preserve"> </w:t>
      </w:r>
      <w:r>
        <w:t>influences,</w:t>
      </w:r>
      <w:r>
        <w:rPr>
          <w:spacing w:val="-12"/>
        </w:rPr>
        <w:t xml:space="preserve"> </w:t>
      </w:r>
      <w:r>
        <w:t>including</w:t>
      </w:r>
      <w:r>
        <w:rPr>
          <w:spacing w:val="-13"/>
        </w:rPr>
        <w:t xml:space="preserve"> </w:t>
      </w:r>
      <w:r>
        <w:t>changes</w:t>
      </w:r>
      <w:r>
        <w:rPr>
          <w:spacing w:val="-12"/>
        </w:rPr>
        <w:t xml:space="preserve"> </w:t>
      </w:r>
      <w:r>
        <w:t>to</w:t>
      </w:r>
      <w:r>
        <w:rPr>
          <w:spacing w:val="-13"/>
        </w:rPr>
        <w:t xml:space="preserve"> </w:t>
      </w:r>
      <w:r>
        <w:t>occupancy</w:t>
      </w:r>
      <w:r>
        <w:rPr>
          <w:spacing w:val="-12"/>
        </w:rPr>
        <w:t xml:space="preserve"> </w:t>
      </w:r>
      <w:r>
        <w:t>and</w:t>
      </w:r>
      <w:r>
        <w:rPr>
          <w:spacing w:val="-12"/>
        </w:rPr>
        <w:t xml:space="preserve"> </w:t>
      </w:r>
      <w:r>
        <w:t>crop</w:t>
      </w:r>
      <w:r>
        <w:rPr>
          <w:spacing w:val="-13"/>
        </w:rPr>
        <w:t xml:space="preserve"> </w:t>
      </w:r>
      <w:r>
        <w:t>types</w:t>
      </w:r>
      <w:r>
        <w:rPr>
          <w:spacing w:val="-12"/>
        </w:rPr>
        <w:t xml:space="preserve"> </w:t>
      </w:r>
      <w:r>
        <w:t>reported</w:t>
      </w:r>
      <w:r>
        <w:rPr>
          <w:spacing w:val="-13"/>
        </w:rPr>
        <w:t xml:space="preserve"> </w:t>
      </w:r>
      <w:r>
        <w:t>by</w:t>
      </w:r>
      <w:r>
        <w:rPr>
          <w:spacing w:val="-12"/>
        </w:rPr>
        <w:t xml:space="preserve"> </w:t>
      </w:r>
      <w:r>
        <w:t>the</w:t>
      </w:r>
      <w:r>
        <w:rPr>
          <w:spacing w:val="-13"/>
        </w:rPr>
        <w:t xml:space="preserve"> </w:t>
      </w:r>
      <w:r>
        <w:t>Mallee Catchment</w:t>
      </w:r>
      <w:r>
        <w:rPr>
          <w:spacing w:val="-5"/>
        </w:rPr>
        <w:t xml:space="preserve"> </w:t>
      </w:r>
      <w:r>
        <w:t>Management</w:t>
      </w:r>
      <w:r>
        <w:rPr>
          <w:spacing w:val="-5"/>
        </w:rPr>
        <w:t xml:space="preserve"> </w:t>
      </w:r>
      <w:r>
        <w:t>Authority</w:t>
      </w:r>
      <w:r>
        <w:rPr>
          <w:spacing w:val="-5"/>
        </w:rPr>
        <w:t xml:space="preserve"> </w:t>
      </w:r>
      <w:r>
        <w:t>(MCMA)</w:t>
      </w:r>
      <w:r>
        <w:rPr>
          <w:spacing w:val="-5"/>
        </w:rPr>
        <w:t xml:space="preserve"> </w:t>
      </w:r>
      <w:r>
        <w:t>in</w:t>
      </w:r>
      <w:r>
        <w:rPr>
          <w:spacing w:val="-6"/>
        </w:rPr>
        <w:t xml:space="preserve"> </w:t>
      </w:r>
      <w:r>
        <w:t>2019</w:t>
      </w:r>
      <w:r>
        <w:rPr>
          <w:vertAlign w:val="superscript"/>
        </w:rPr>
        <w:t>2</w:t>
      </w:r>
      <w:r>
        <w:rPr>
          <w:spacing w:val="-6"/>
        </w:rPr>
        <w:t xml:space="preserve"> </w:t>
      </w:r>
      <w:r>
        <w:t>and</w:t>
      </w:r>
      <w:r>
        <w:rPr>
          <w:spacing w:val="-6"/>
        </w:rPr>
        <w:t xml:space="preserve"> </w:t>
      </w:r>
      <w:r>
        <w:t>2021</w:t>
      </w:r>
      <w:r>
        <w:rPr>
          <w:vertAlign w:val="superscript"/>
        </w:rPr>
        <w:t>3</w:t>
      </w:r>
      <w:r>
        <w:t>,</w:t>
      </w:r>
      <w:r>
        <w:rPr>
          <w:spacing w:val="-5"/>
        </w:rPr>
        <w:t xml:space="preserve"> </w:t>
      </w:r>
      <w:r>
        <w:t>and</w:t>
      </w:r>
      <w:r>
        <w:rPr>
          <w:spacing w:val="-6"/>
        </w:rPr>
        <w:t xml:space="preserve"> </w:t>
      </w:r>
      <w:r>
        <w:t>weather,</w:t>
      </w:r>
      <w:r>
        <w:rPr>
          <w:spacing w:val="-5"/>
        </w:rPr>
        <w:t xml:space="preserve"> </w:t>
      </w:r>
      <w:r>
        <w:t>COVID‐19</w:t>
      </w:r>
      <w:r>
        <w:rPr>
          <w:spacing w:val="-5"/>
        </w:rPr>
        <w:t xml:space="preserve"> </w:t>
      </w:r>
      <w:r>
        <w:t>and</w:t>
      </w:r>
      <w:r>
        <w:rPr>
          <w:spacing w:val="-4"/>
        </w:rPr>
        <w:t xml:space="preserve"> </w:t>
      </w:r>
      <w:r>
        <w:t>allocation impact on historic forecasts.</w:t>
      </w:r>
    </w:p>
    <w:p w14:paraId="69784857" w14:textId="35663B8F" w:rsidR="00141B97" w:rsidRDefault="00911D63">
      <w:pPr>
        <w:pStyle w:val="BodyText"/>
        <w:spacing w:before="11"/>
        <w:rPr>
          <w:sz w:val="10"/>
        </w:rPr>
      </w:pPr>
      <w:r>
        <w:rPr>
          <w:noProof/>
        </w:rPr>
        <mc:AlternateContent>
          <mc:Choice Requires="wps">
            <w:drawing>
              <wp:anchor distT="0" distB="0" distL="0" distR="0" simplePos="0" relativeHeight="487618560" behindDoc="1" locked="0" layoutInCell="1" allowOverlap="1" wp14:anchorId="14CD588E" wp14:editId="10234DA4">
                <wp:simplePos x="0" y="0"/>
                <wp:positionH relativeFrom="page">
                  <wp:posOffset>720090</wp:posOffset>
                </wp:positionH>
                <wp:positionV relativeFrom="paragraph">
                  <wp:posOffset>100330</wp:posOffset>
                </wp:positionV>
                <wp:extent cx="1828800" cy="6350"/>
                <wp:effectExtent l="0" t="0" r="0" b="0"/>
                <wp:wrapTopAndBottom/>
                <wp:docPr id="28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3FFCF" id="docshape140" o:spid="_x0000_s1026" style="position:absolute;margin-left:56.7pt;margin-top:7.9pt;width:2in;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" fillcolor="black" stroked="f">
                <w10:wrap type="topAndBottom" anchorx="page"/>
              </v:rect>
            </w:pict>
          </mc:Fallback>
        </mc:AlternateContent>
      </w:r>
    </w:p>
    <w:p w14:paraId="467C15EF" w14:textId="77777777" w:rsidR="00141B97" w:rsidRDefault="00911D63">
      <w:pPr>
        <w:spacing w:before="84"/>
        <w:ind w:left="114"/>
        <w:rPr>
          <w:rFonts w:ascii="Trebuchet MS"/>
          <w:sz w:val="14"/>
        </w:rPr>
      </w:pPr>
      <w:r>
        <w:rPr>
          <w:rFonts w:ascii="Trebuchet MS"/>
          <w:sz w:val="14"/>
          <w:vertAlign w:val="superscript"/>
        </w:rPr>
        <w:t>2</w:t>
      </w:r>
      <w:r>
        <w:rPr>
          <w:rFonts w:ascii="Trebuchet MS"/>
          <w:spacing w:val="-5"/>
          <w:sz w:val="14"/>
        </w:rPr>
        <w:t xml:space="preserve"> </w:t>
      </w:r>
      <w:r>
        <w:rPr>
          <w:rFonts w:ascii="Trebuchet MS"/>
          <w:sz w:val="14"/>
        </w:rPr>
        <w:t>MCMA</w:t>
      </w:r>
      <w:r>
        <w:rPr>
          <w:rFonts w:ascii="Trebuchet MS"/>
          <w:spacing w:val="-4"/>
          <w:sz w:val="14"/>
        </w:rPr>
        <w:t xml:space="preserve"> </w:t>
      </w:r>
      <w:r>
        <w:rPr>
          <w:rFonts w:ascii="Trebuchet MS"/>
          <w:sz w:val="14"/>
        </w:rPr>
        <w:t>Horticulture</w:t>
      </w:r>
      <w:r>
        <w:rPr>
          <w:rFonts w:ascii="Trebuchet MS"/>
          <w:spacing w:val="-6"/>
          <w:sz w:val="14"/>
        </w:rPr>
        <w:t xml:space="preserve"> </w:t>
      </w:r>
      <w:r>
        <w:rPr>
          <w:rFonts w:ascii="Trebuchet MS"/>
          <w:sz w:val="14"/>
        </w:rPr>
        <w:t>Crop</w:t>
      </w:r>
      <w:r>
        <w:rPr>
          <w:rFonts w:ascii="Trebuchet MS"/>
          <w:spacing w:val="-4"/>
          <w:sz w:val="14"/>
        </w:rPr>
        <w:t xml:space="preserve"> </w:t>
      </w:r>
      <w:r>
        <w:rPr>
          <w:rFonts w:ascii="Trebuchet MS"/>
          <w:sz w:val="14"/>
        </w:rPr>
        <w:t>Report</w:t>
      </w:r>
      <w:r>
        <w:rPr>
          <w:rFonts w:ascii="Trebuchet MS"/>
          <w:spacing w:val="-5"/>
          <w:sz w:val="14"/>
        </w:rPr>
        <w:t xml:space="preserve"> </w:t>
      </w:r>
      <w:r>
        <w:rPr>
          <w:rFonts w:ascii="Trebuchet MS"/>
          <w:sz w:val="14"/>
        </w:rPr>
        <w:t>2019</w:t>
      </w:r>
      <w:r>
        <w:rPr>
          <w:rFonts w:ascii="Trebuchet MS"/>
          <w:spacing w:val="-3"/>
          <w:sz w:val="14"/>
        </w:rPr>
        <w:t xml:space="preserve"> </w:t>
      </w:r>
      <w:r>
        <w:rPr>
          <w:rFonts w:ascii="Trebuchet MS"/>
          <w:spacing w:val="-2"/>
          <w:sz w:val="14"/>
        </w:rPr>
        <w:t>Addendum</w:t>
      </w:r>
    </w:p>
    <w:p w14:paraId="216253FC" w14:textId="77777777" w:rsidR="00141B97" w:rsidRDefault="00911D63">
      <w:pPr>
        <w:spacing w:before="100"/>
        <w:ind w:left="114"/>
        <w:rPr>
          <w:rFonts w:ascii="Trebuchet MS"/>
          <w:sz w:val="14"/>
        </w:rPr>
      </w:pPr>
      <w:r>
        <w:rPr>
          <w:rFonts w:ascii="Trebuchet MS"/>
          <w:sz w:val="14"/>
          <w:vertAlign w:val="superscript"/>
        </w:rPr>
        <w:t>3</w:t>
      </w:r>
      <w:r>
        <w:rPr>
          <w:rFonts w:ascii="Trebuchet MS"/>
          <w:spacing w:val="-5"/>
          <w:sz w:val="14"/>
        </w:rPr>
        <w:t xml:space="preserve"> </w:t>
      </w:r>
      <w:r>
        <w:rPr>
          <w:rFonts w:ascii="Trebuchet MS"/>
          <w:sz w:val="14"/>
        </w:rPr>
        <w:t>MCMA</w:t>
      </w:r>
      <w:r>
        <w:rPr>
          <w:rFonts w:ascii="Trebuchet MS"/>
          <w:spacing w:val="-5"/>
          <w:sz w:val="14"/>
        </w:rPr>
        <w:t xml:space="preserve"> </w:t>
      </w:r>
      <w:r>
        <w:rPr>
          <w:rFonts w:ascii="Trebuchet MS"/>
          <w:sz w:val="14"/>
        </w:rPr>
        <w:t>Horticulture</w:t>
      </w:r>
      <w:r>
        <w:rPr>
          <w:rFonts w:ascii="Trebuchet MS"/>
          <w:spacing w:val="-5"/>
          <w:sz w:val="14"/>
        </w:rPr>
        <w:t xml:space="preserve"> </w:t>
      </w:r>
      <w:r>
        <w:rPr>
          <w:rFonts w:ascii="Trebuchet MS"/>
          <w:sz w:val="14"/>
        </w:rPr>
        <w:t>Crop</w:t>
      </w:r>
      <w:r>
        <w:rPr>
          <w:rFonts w:ascii="Trebuchet MS"/>
          <w:spacing w:val="-5"/>
          <w:sz w:val="14"/>
        </w:rPr>
        <w:t xml:space="preserve"> </w:t>
      </w:r>
      <w:r>
        <w:rPr>
          <w:rFonts w:ascii="Trebuchet MS"/>
          <w:sz w:val="14"/>
        </w:rPr>
        <w:t>Report</w:t>
      </w:r>
      <w:r>
        <w:rPr>
          <w:rFonts w:ascii="Trebuchet MS"/>
          <w:spacing w:val="-4"/>
          <w:sz w:val="14"/>
        </w:rPr>
        <w:t xml:space="preserve"> 2021</w:t>
      </w:r>
    </w:p>
    <w:p w14:paraId="543C9C13" w14:textId="77777777" w:rsidR="00141B97" w:rsidRDefault="00141B97">
      <w:pPr>
        <w:rPr>
          <w:rFonts w:ascii="Trebuchet MS"/>
          <w:sz w:val="14"/>
        </w:rPr>
        <w:sectPr w:rsidR="00141B97">
          <w:pgSz w:w="11910" w:h="16840"/>
          <w:pgMar w:top="820" w:right="40" w:bottom="780" w:left="1020" w:header="0" w:footer="586" w:gutter="0"/>
          <w:cols w:space="720"/>
        </w:sectPr>
      </w:pPr>
    </w:p>
    <w:p w14:paraId="343C6137" w14:textId="77777777" w:rsidR="00141B97" w:rsidRDefault="00911D63">
      <w:pPr>
        <w:pStyle w:val="ListParagraph"/>
        <w:numPr>
          <w:ilvl w:val="0"/>
          <w:numId w:val="10"/>
        </w:numPr>
        <w:tabs>
          <w:tab w:val="left" w:pos="828"/>
        </w:tabs>
        <w:spacing w:before="71"/>
        <w:ind w:right="949"/>
        <w:jc w:val="both"/>
        <w:rPr>
          <w:rFonts w:ascii="Symbol" w:hAnsi="Symbol"/>
        </w:rPr>
      </w:pPr>
      <w:r>
        <w:lastRenderedPageBreak/>
        <w:t>Analysis of the effect of both the SMP1 project implemented prior to, and SMP2 project implemented during, the current period, on customer growth and demand.</w:t>
      </w:r>
    </w:p>
    <w:p w14:paraId="0B6A4C6E" w14:textId="77777777" w:rsidR="00141B97" w:rsidRDefault="00911D63">
      <w:pPr>
        <w:pStyle w:val="ListParagraph"/>
        <w:numPr>
          <w:ilvl w:val="0"/>
          <w:numId w:val="10"/>
        </w:numPr>
        <w:tabs>
          <w:tab w:val="left" w:pos="829"/>
        </w:tabs>
        <w:spacing w:line="280" w:lineRule="exact"/>
        <w:ind w:hanging="359"/>
        <w:jc w:val="both"/>
        <w:rPr>
          <w:rFonts w:ascii="Symbol" w:hAnsi="Symbol"/>
        </w:rPr>
      </w:pPr>
      <w:r>
        <w:t>Forecasting</w:t>
      </w:r>
      <w:r>
        <w:rPr>
          <w:spacing w:val="-9"/>
        </w:rPr>
        <w:t xml:space="preserve"> </w:t>
      </w:r>
      <w:r>
        <w:t>changes</w:t>
      </w:r>
      <w:r>
        <w:rPr>
          <w:spacing w:val="-7"/>
        </w:rPr>
        <w:t xml:space="preserve"> </w:t>
      </w:r>
      <w:r>
        <w:t>to</w:t>
      </w:r>
      <w:r>
        <w:rPr>
          <w:spacing w:val="-8"/>
        </w:rPr>
        <w:t xml:space="preserve"> </w:t>
      </w:r>
      <w:r>
        <w:t>customer</w:t>
      </w:r>
      <w:r>
        <w:rPr>
          <w:spacing w:val="-8"/>
        </w:rPr>
        <w:t xml:space="preserve"> </w:t>
      </w:r>
      <w:r>
        <w:t>demand</w:t>
      </w:r>
      <w:r>
        <w:rPr>
          <w:spacing w:val="-8"/>
        </w:rPr>
        <w:t xml:space="preserve"> </w:t>
      </w:r>
      <w:r>
        <w:t>based</w:t>
      </w:r>
      <w:r>
        <w:rPr>
          <w:spacing w:val="-8"/>
        </w:rPr>
        <w:t xml:space="preserve"> </w:t>
      </w:r>
      <w:r>
        <w:t>on</w:t>
      </w:r>
      <w:r>
        <w:rPr>
          <w:spacing w:val="-7"/>
        </w:rPr>
        <w:t xml:space="preserve"> </w:t>
      </w:r>
      <w:r>
        <w:t>crop</w:t>
      </w:r>
      <w:r>
        <w:rPr>
          <w:spacing w:val="-7"/>
        </w:rPr>
        <w:t xml:space="preserve"> </w:t>
      </w:r>
      <w:r>
        <w:t>type</w:t>
      </w:r>
      <w:r>
        <w:rPr>
          <w:spacing w:val="-8"/>
        </w:rPr>
        <w:t xml:space="preserve"> </w:t>
      </w:r>
      <w:r>
        <w:t>and</w:t>
      </w:r>
      <w:r>
        <w:rPr>
          <w:spacing w:val="-7"/>
        </w:rPr>
        <w:t xml:space="preserve"> </w:t>
      </w:r>
      <w:r>
        <w:t>irrigation</w:t>
      </w:r>
      <w:r>
        <w:rPr>
          <w:spacing w:val="-8"/>
        </w:rPr>
        <w:t xml:space="preserve"> </w:t>
      </w:r>
      <w:r>
        <w:t>method</w:t>
      </w:r>
      <w:r>
        <w:rPr>
          <w:spacing w:val="-6"/>
        </w:rPr>
        <w:t xml:space="preserve"> </w:t>
      </w:r>
      <w:r>
        <w:rPr>
          <w:spacing w:val="-2"/>
        </w:rPr>
        <w:t>assumptions.</w:t>
      </w:r>
    </w:p>
    <w:p w14:paraId="0802DC73" w14:textId="77777777" w:rsidR="00141B97" w:rsidRDefault="00911D63">
      <w:pPr>
        <w:pStyle w:val="ListParagraph"/>
        <w:numPr>
          <w:ilvl w:val="0"/>
          <w:numId w:val="10"/>
        </w:numPr>
        <w:tabs>
          <w:tab w:val="left" w:pos="828"/>
        </w:tabs>
        <w:spacing w:before="1"/>
        <w:ind w:left="827" w:right="948"/>
        <w:jc w:val="both"/>
        <w:rPr>
          <w:rFonts w:ascii="Symbol" w:hAnsi="Symbol"/>
        </w:rPr>
      </w:pPr>
      <w:r>
        <w:t xml:space="preserve">Forecasting growth based on available/vacant land, urban encroachment and property exits, available system capacity, and forecast development and maturing of plantings through engagement with </w:t>
      </w:r>
      <w:r>
        <w:rPr>
          <w:spacing w:val="-2"/>
        </w:rPr>
        <w:t>customers.</w:t>
      </w:r>
    </w:p>
    <w:p w14:paraId="70CFDC00" w14:textId="77777777" w:rsidR="00141B97" w:rsidRDefault="00911D63">
      <w:pPr>
        <w:pStyle w:val="ListParagraph"/>
        <w:numPr>
          <w:ilvl w:val="0"/>
          <w:numId w:val="10"/>
        </w:numPr>
        <w:tabs>
          <w:tab w:val="left" w:pos="829"/>
        </w:tabs>
        <w:ind w:right="949"/>
        <w:jc w:val="both"/>
        <w:rPr>
          <w:rFonts w:ascii="Symbol" w:hAnsi="Symbol"/>
        </w:rPr>
      </w:pPr>
      <w:r>
        <w:t>Potential constraints to water allocation along with climate influences and making assumptions regarding their impact on demand.</w:t>
      </w:r>
    </w:p>
    <w:p w14:paraId="7137DCFD" w14:textId="77777777" w:rsidR="00141B97" w:rsidRDefault="00141B97">
      <w:pPr>
        <w:pStyle w:val="BodyText"/>
        <w:spacing w:before="11"/>
        <w:rPr>
          <w:sz w:val="21"/>
        </w:rPr>
      </w:pPr>
    </w:p>
    <w:p w14:paraId="0725D2D2" w14:textId="77777777" w:rsidR="00141B97" w:rsidRDefault="00911D63">
      <w:pPr>
        <w:pStyle w:val="BodyText"/>
        <w:ind w:left="114" w:right="948" w:hanging="1"/>
        <w:jc w:val="both"/>
      </w:pPr>
      <w:r>
        <w:t>The MCMA report is one of the most valuable estimates of the local Mallee Catchment and the different commodities in the region by area, commodity type, irrigation method, compared to other methods which do not break down data by target area. In broad terms:</w:t>
      </w:r>
    </w:p>
    <w:p w14:paraId="51156DF9" w14:textId="77777777" w:rsidR="00141B97" w:rsidRDefault="00911D63">
      <w:pPr>
        <w:pStyle w:val="ListParagraph"/>
        <w:numPr>
          <w:ilvl w:val="0"/>
          <w:numId w:val="10"/>
        </w:numPr>
        <w:tabs>
          <w:tab w:val="left" w:pos="823"/>
          <w:tab w:val="left" w:pos="824"/>
        </w:tabs>
        <w:spacing w:before="1" w:line="300" w:lineRule="exact"/>
        <w:ind w:left="823" w:hanging="426"/>
        <w:rPr>
          <w:rFonts w:ascii="Symbol" w:hAnsi="Symbol"/>
          <w:sz w:val="24"/>
        </w:rPr>
      </w:pPr>
      <w:r>
        <w:t>The</w:t>
      </w:r>
      <w:r>
        <w:rPr>
          <w:spacing w:val="-7"/>
        </w:rPr>
        <w:t xml:space="preserve"> </w:t>
      </w:r>
      <w:r>
        <w:t>key</w:t>
      </w:r>
      <w:r>
        <w:rPr>
          <w:spacing w:val="-6"/>
        </w:rPr>
        <w:t xml:space="preserve"> </w:t>
      </w:r>
      <w:r>
        <w:t>factor</w:t>
      </w:r>
      <w:r>
        <w:rPr>
          <w:spacing w:val="-8"/>
        </w:rPr>
        <w:t xml:space="preserve"> </w:t>
      </w:r>
      <w:r>
        <w:t>in</w:t>
      </w:r>
      <w:r>
        <w:rPr>
          <w:spacing w:val="-6"/>
        </w:rPr>
        <w:t xml:space="preserve"> </w:t>
      </w:r>
      <w:r>
        <w:t>determining</w:t>
      </w:r>
      <w:r>
        <w:rPr>
          <w:spacing w:val="-7"/>
        </w:rPr>
        <w:t xml:space="preserve"> </w:t>
      </w:r>
      <w:r>
        <w:t>demand</w:t>
      </w:r>
      <w:r>
        <w:rPr>
          <w:spacing w:val="-6"/>
        </w:rPr>
        <w:t xml:space="preserve"> </w:t>
      </w:r>
      <w:r>
        <w:t>usage</w:t>
      </w:r>
      <w:r>
        <w:rPr>
          <w:spacing w:val="-6"/>
        </w:rPr>
        <w:t xml:space="preserve"> </w:t>
      </w:r>
      <w:r>
        <w:t>is</w:t>
      </w:r>
      <w:r>
        <w:rPr>
          <w:spacing w:val="-7"/>
        </w:rPr>
        <w:t xml:space="preserve"> </w:t>
      </w:r>
      <w:r>
        <w:t>the</w:t>
      </w:r>
      <w:r>
        <w:rPr>
          <w:spacing w:val="-7"/>
        </w:rPr>
        <w:t xml:space="preserve"> </w:t>
      </w:r>
      <w:r>
        <w:t>amount</w:t>
      </w:r>
      <w:r>
        <w:rPr>
          <w:spacing w:val="-6"/>
        </w:rPr>
        <w:t xml:space="preserve"> </w:t>
      </w:r>
      <w:r>
        <w:t>of</w:t>
      </w:r>
      <w:r>
        <w:rPr>
          <w:spacing w:val="-5"/>
        </w:rPr>
        <w:t xml:space="preserve"> </w:t>
      </w:r>
      <w:r>
        <w:t>allocation</w:t>
      </w:r>
      <w:r>
        <w:rPr>
          <w:spacing w:val="-7"/>
        </w:rPr>
        <w:t xml:space="preserve"> </w:t>
      </w:r>
      <w:r>
        <w:t>provided,</w:t>
      </w:r>
      <w:r>
        <w:rPr>
          <w:spacing w:val="-6"/>
        </w:rPr>
        <w:t xml:space="preserve"> </w:t>
      </w:r>
      <w:r>
        <w:t>and</w:t>
      </w:r>
      <w:r>
        <w:rPr>
          <w:spacing w:val="-6"/>
        </w:rPr>
        <w:t xml:space="preserve"> </w:t>
      </w:r>
      <w:r>
        <w:t>the</w:t>
      </w:r>
      <w:r>
        <w:rPr>
          <w:spacing w:val="-6"/>
        </w:rPr>
        <w:t xml:space="preserve"> </w:t>
      </w:r>
      <w:r>
        <w:rPr>
          <w:spacing w:val="-2"/>
        </w:rPr>
        <w:t>weather.</w:t>
      </w:r>
    </w:p>
    <w:p w14:paraId="3E28BF53" w14:textId="77777777" w:rsidR="00141B97" w:rsidRDefault="00911D63">
      <w:pPr>
        <w:pStyle w:val="ListParagraph"/>
        <w:numPr>
          <w:ilvl w:val="0"/>
          <w:numId w:val="10"/>
        </w:numPr>
        <w:tabs>
          <w:tab w:val="left" w:pos="823"/>
          <w:tab w:val="left" w:pos="824"/>
        </w:tabs>
        <w:ind w:left="823" w:right="949" w:hanging="425"/>
        <w:rPr>
          <w:rFonts w:ascii="Symbol" w:hAnsi="Symbol"/>
          <w:sz w:val="24"/>
        </w:rPr>
      </w:pPr>
      <w:r>
        <w:t>Water deliveries to the irrigation districts are based on steady growth in all irrigation pumped districts except Robinvale which is at capacity.</w:t>
      </w:r>
    </w:p>
    <w:p w14:paraId="3C40B323" w14:textId="77777777" w:rsidR="00141B97" w:rsidRDefault="00911D63">
      <w:pPr>
        <w:pStyle w:val="ListParagraph"/>
        <w:numPr>
          <w:ilvl w:val="0"/>
          <w:numId w:val="10"/>
        </w:numPr>
        <w:tabs>
          <w:tab w:val="left" w:pos="823"/>
          <w:tab w:val="left" w:pos="824"/>
        </w:tabs>
        <w:spacing w:line="300" w:lineRule="exact"/>
        <w:ind w:left="823" w:hanging="426"/>
        <w:rPr>
          <w:rFonts w:ascii="Symbol" w:hAnsi="Symbol"/>
          <w:sz w:val="24"/>
        </w:rPr>
      </w:pPr>
      <w:r>
        <w:t>100%</w:t>
      </w:r>
      <w:r>
        <w:rPr>
          <w:spacing w:val="-8"/>
        </w:rPr>
        <w:t xml:space="preserve"> </w:t>
      </w:r>
      <w:r>
        <w:t>water</w:t>
      </w:r>
      <w:r>
        <w:rPr>
          <w:spacing w:val="-5"/>
        </w:rPr>
        <w:t xml:space="preserve"> </w:t>
      </w:r>
      <w:r>
        <w:t>allocation</w:t>
      </w:r>
      <w:r>
        <w:rPr>
          <w:spacing w:val="-6"/>
        </w:rPr>
        <w:t xml:space="preserve"> </w:t>
      </w:r>
      <w:r>
        <w:t>for</w:t>
      </w:r>
      <w:r>
        <w:rPr>
          <w:spacing w:val="-5"/>
        </w:rPr>
        <w:t xml:space="preserve"> </w:t>
      </w:r>
      <w:r>
        <w:t>the</w:t>
      </w:r>
      <w:r>
        <w:rPr>
          <w:spacing w:val="-6"/>
        </w:rPr>
        <w:t xml:space="preserve"> </w:t>
      </w:r>
      <w:r>
        <w:t>period</w:t>
      </w:r>
      <w:r>
        <w:rPr>
          <w:spacing w:val="-7"/>
        </w:rPr>
        <w:t xml:space="preserve"> </w:t>
      </w:r>
      <w:r>
        <w:t>has</w:t>
      </w:r>
      <w:r>
        <w:rPr>
          <w:spacing w:val="-6"/>
        </w:rPr>
        <w:t xml:space="preserve"> </w:t>
      </w:r>
      <w:r>
        <w:t>been</w:t>
      </w:r>
      <w:r>
        <w:rPr>
          <w:spacing w:val="-6"/>
        </w:rPr>
        <w:t xml:space="preserve"> </w:t>
      </w:r>
      <w:r>
        <w:rPr>
          <w:spacing w:val="-2"/>
        </w:rPr>
        <w:t>assumed.</w:t>
      </w:r>
    </w:p>
    <w:p w14:paraId="19251358" w14:textId="77777777" w:rsidR="00141B97" w:rsidRDefault="00911D63">
      <w:pPr>
        <w:pStyle w:val="ListParagraph"/>
        <w:numPr>
          <w:ilvl w:val="0"/>
          <w:numId w:val="10"/>
        </w:numPr>
        <w:tabs>
          <w:tab w:val="left" w:pos="823"/>
          <w:tab w:val="left" w:pos="824"/>
        </w:tabs>
        <w:ind w:left="823" w:right="949" w:hanging="425"/>
        <w:rPr>
          <w:rFonts w:ascii="Symbol" w:hAnsi="Symbol"/>
          <w:sz w:val="24"/>
        </w:rPr>
      </w:pPr>
      <w:r>
        <w:t>Delivery</w:t>
      </w:r>
      <w:r>
        <w:rPr>
          <w:spacing w:val="25"/>
        </w:rPr>
        <w:t xml:space="preserve"> </w:t>
      </w:r>
      <w:r>
        <w:t>shares</w:t>
      </w:r>
      <w:r>
        <w:rPr>
          <w:spacing w:val="26"/>
        </w:rPr>
        <w:t xml:space="preserve"> </w:t>
      </w:r>
      <w:r>
        <w:t>are</w:t>
      </w:r>
      <w:r>
        <w:rPr>
          <w:spacing w:val="25"/>
        </w:rPr>
        <w:t xml:space="preserve"> </w:t>
      </w:r>
      <w:r>
        <w:t>projected</w:t>
      </w:r>
      <w:r>
        <w:rPr>
          <w:spacing w:val="25"/>
        </w:rPr>
        <w:t xml:space="preserve"> </w:t>
      </w:r>
      <w:r>
        <w:t>to</w:t>
      </w:r>
      <w:r>
        <w:rPr>
          <w:spacing w:val="25"/>
        </w:rPr>
        <w:t xml:space="preserve"> </w:t>
      </w:r>
      <w:r>
        <w:t>be</w:t>
      </w:r>
      <w:r>
        <w:rPr>
          <w:spacing w:val="25"/>
        </w:rPr>
        <w:t xml:space="preserve"> </w:t>
      </w:r>
      <w:r>
        <w:t>stable</w:t>
      </w:r>
      <w:r>
        <w:rPr>
          <w:spacing w:val="25"/>
        </w:rPr>
        <w:t xml:space="preserve"> </w:t>
      </w:r>
      <w:r>
        <w:t>throughout</w:t>
      </w:r>
      <w:r>
        <w:rPr>
          <w:spacing w:val="25"/>
        </w:rPr>
        <w:t xml:space="preserve"> </w:t>
      </w:r>
      <w:r>
        <w:t>the</w:t>
      </w:r>
      <w:r>
        <w:rPr>
          <w:spacing w:val="25"/>
        </w:rPr>
        <w:t xml:space="preserve"> </w:t>
      </w:r>
      <w:r>
        <w:t>regulatory</w:t>
      </w:r>
      <w:r>
        <w:rPr>
          <w:spacing w:val="25"/>
        </w:rPr>
        <w:t xml:space="preserve"> </w:t>
      </w:r>
      <w:r>
        <w:t>period.</w:t>
      </w:r>
      <w:r>
        <w:rPr>
          <w:spacing w:val="26"/>
        </w:rPr>
        <w:t xml:space="preserve"> </w:t>
      </w:r>
      <w:r>
        <w:t>The</w:t>
      </w:r>
      <w:r>
        <w:rPr>
          <w:spacing w:val="25"/>
        </w:rPr>
        <w:t xml:space="preserve"> </w:t>
      </w:r>
      <w:r>
        <w:t>Mildura</w:t>
      </w:r>
      <w:r>
        <w:rPr>
          <w:spacing w:val="27"/>
        </w:rPr>
        <w:t xml:space="preserve"> </w:t>
      </w:r>
      <w:r>
        <w:t>Irrigation District will have Termination Fees revenue factored in with urban residential encroachment.</w:t>
      </w:r>
    </w:p>
    <w:p w14:paraId="3E63D157" w14:textId="77777777" w:rsidR="00141B97" w:rsidRDefault="00911D63">
      <w:pPr>
        <w:pStyle w:val="ListParagraph"/>
        <w:numPr>
          <w:ilvl w:val="0"/>
          <w:numId w:val="10"/>
        </w:numPr>
        <w:tabs>
          <w:tab w:val="left" w:pos="823"/>
          <w:tab w:val="left" w:pos="824"/>
        </w:tabs>
        <w:ind w:left="823" w:hanging="426"/>
        <w:rPr>
          <w:rFonts w:ascii="Symbol" w:hAnsi="Symbol"/>
          <w:sz w:val="24"/>
        </w:rPr>
      </w:pPr>
      <w:r>
        <w:t>There</w:t>
      </w:r>
      <w:r>
        <w:rPr>
          <w:spacing w:val="-6"/>
        </w:rPr>
        <w:t xml:space="preserve"> </w:t>
      </w:r>
      <w:r>
        <w:t>is</w:t>
      </w:r>
      <w:r>
        <w:rPr>
          <w:spacing w:val="-6"/>
        </w:rPr>
        <w:t xml:space="preserve"> </w:t>
      </w:r>
      <w:r>
        <w:t>projected</w:t>
      </w:r>
      <w:r>
        <w:rPr>
          <w:spacing w:val="-7"/>
        </w:rPr>
        <w:t xml:space="preserve"> </w:t>
      </w:r>
      <w:r>
        <w:t>growth</w:t>
      </w:r>
      <w:r>
        <w:rPr>
          <w:spacing w:val="-5"/>
        </w:rPr>
        <w:t xml:space="preserve"> </w:t>
      </w:r>
      <w:r>
        <w:t>in</w:t>
      </w:r>
      <w:r>
        <w:rPr>
          <w:spacing w:val="-7"/>
        </w:rPr>
        <w:t xml:space="preserve"> </w:t>
      </w:r>
      <w:r>
        <w:t>the</w:t>
      </w:r>
      <w:r>
        <w:rPr>
          <w:spacing w:val="-7"/>
        </w:rPr>
        <w:t xml:space="preserve"> </w:t>
      </w:r>
      <w:r>
        <w:t>annual</w:t>
      </w:r>
      <w:r>
        <w:rPr>
          <w:spacing w:val="-6"/>
        </w:rPr>
        <w:t xml:space="preserve"> </w:t>
      </w:r>
      <w:r>
        <w:t>use</w:t>
      </w:r>
      <w:r>
        <w:rPr>
          <w:spacing w:val="-7"/>
        </w:rPr>
        <w:t xml:space="preserve"> </w:t>
      </w:r>
      <w:r>
        <w:t>limits</w:t>
      </w:r>
      <w:r>
        <w:rPr>
          <w:spacing w:val="-6"/>
        </w:rPr>
        <w:t xml:space="preserve"> </w:t>
      </w:r>
      <w:r>
        <w:t>of</w:t>
      </w:r>
      <w:r>
        <w:rPr>
          <w:spacing w:val="-5"/>
        </w:rPr>
        <w:t xml:space="preserve"> </w:t>
      </w:r>
      <w:r>
        <w:t>private</w:t>
      </w:r>
      <w:r>
        <w:rPr>
          <w:spacing w:val="-7"/>
        </w:rPr>
        <w:t xml:space="preserve"> </w:t>
      </w:r>
      <w:r>
        <w:rPr>
          <w:spacing w:val="-2"/>
        </w:rPr>
        <w:t>diverters.</w:t>
      </w:r>
    </w:p>
    <w:p w14:paraId="1662BD31" w14:textId="77777777" w:rsidR="00141B97" w:rsidRDefault="00911D63">
      <w:pPr>
        <w:pStyle w:val="BodyText"/>
        <w:spacing w:before="268"/>
        <w:ind w:left="113"/>
        <w:jc w:val="both"/>
      </w:pPr>
      <w:r>
        <w:t>Pumped</w:t>
      </w:r>
      <w:r>
        <w:rPr>
          <w:spacing w:val="-9"/>
        </w:rPr>
        <w:t xml:space="preserve"> </w:t>
      </w:r>
      <w:r>
        <w:rPr>
          <w:spacing w:val="-2"/>
        </w:rPr>
        <w:t>Irrigation</w:t>
      </w:r>
    </w:p>
    <w:p w14:paraId="6500B852" w14:textId="77777777" w:rsidR="00141B97" w:rsidRDefault="00911D63">
      <w:pPr>
        <w:pStyle w:val="BodyText"/>
        <w:spacing w:line="259" w:lineRule="auto"/>
        <w:ind w:left="113" w:right="947"/>
        <w:jc w:val="both"/>
      </w:pPr>
      <w:r>
        <w:t>Irrigation water demand from the variety of crops grown in the irrigation districts is rather stable in most irrigation seasons, the recent exceptions being the Millennium drought and 2011 flood. The majority of the irrigated</w:t>
      </w:r>
      <w:r>
        <w:rPr>
          <w:spacing w:val="-1"/>
        </w:rPr>
        <w:t xml:space="preserve"> </w:t>
      </w:r>
      <w:r>
        <w:t>land</w:t>
      </w:r>
      <w:r>
        <w:rPr>
          <w:spacing w:val="-1"/>
        </w:rPr>
        <w:t xml:space="preserve"> </w:t>
      </w:r>
      <w:r>
        <w:t>has</w:t>
      </w:r>
      <w:r>
        <w:rPr>
          <w:spacing w:val="-1"/>
        </w:rPr>
        <w:t xml:space="preserve"> </w:t>
      </w:r>
      <w:r>
        <w:t>permanent</w:t>
      </w:r>
      <w:r>
        <w:rPr>
          <w:spacing w:val="-2"/>
        </w:rPr>
        <w:t xml:space="preserve"> </w:t>
      </w:r>
      <w:r>
        <w:t>plantings with</w:t>
      </w:r>
      <w:r>
        <w:rPr>
          <w:spacing w:val="-1"/>
        </w:rPr>
        <w:t xml:space="preserve"> </w:t>
      </w:r>
      <w:r>
        <w:t>few</w:t>
      </w:r>
      <w:r>
        <w:rPr>
          <w:spacing w:val="-1"/>
        </w:rPr>
        <w:t xml:space="preserve"> </w:t>
      </w:r>
      <w:r>
        <w:t>seasonal</w:t>
      </w:r>
      <w:r>
        <w:rPr>
          <w:spacing w:val="-2"/>
        </w:rPr>
        <w:t xml:space="preserve"> </w:t>
      </w:r>
      <w:r>
        <w:t>or</w:t>
      </w:r>
      <w:r>
        <w:rPr>
          <w:spacing w:val="-2"/>
        </w:rPr>
        <w:t xml:space="preserve"> </w:t>
      </w:r>
      <w:r>
        <w:t>similar</w:t>
      </w:r>
      <w:r>
        <w:rPr>
          <w:spacing w:val="-2"/>
        </w:rPr>
        <w:t xml:space="preserve"> </w:t>
      </w:r>
      <w:r>
        <w:t>crops,</w:t>
      </w:r>
      <w:r>
        <w:rPr>
          <w:spacing w:val="-1"/>
        </w:rPr>
        <w:t xml:space="preserve"> </w:t>
      </w:r>
      <w:r>
        <w:t>with</w:t>
      </w:r>
      <w:r>
        <w:rPr>
          <w:spacing w:val="-1"/>
        </w:rPr>
        <w:t xml:space="preserve"> </w:t>
      </w:r>
      <w:r>
        <w:t>the</w:t>
      </w:r>
      <w:r>
        <w:rPr>
          <w:spacing w:val="-1"/>
        </w:rPr>
        <w:t xml:space="preserve"> </w:t>
      </w:r>
      <w:r>
        <w:t>latest</w:t>
      </w:r>
      <w:r>
        <w:rPr>
          <w:spacing w:val="-1"/>
        </w:rPr>
        <w:t xml:space="preserve"> </w:t>
      </w:r>
      <w:r>
        <w:t>information</w:t>
      </w:r>
      <w:r>
        <w:rPr>
          <w:spacing w:val="-1"/>
        </w:rPr>
        <w:t xml:space="preserve"> </w:t>
      </w:r>
      <w:r>
        <w:t>available on the irrigation districts’ crop types</w:t>
      </w:r>
      <w:r>
        <w:rPr>
          <w:vertAlign w:val="superscript"/>
        </w:rPr>
        <w:t>4</w:t>
      </w:r>
      <w:r>
        <w:t xml:space="preserve"> indicating that on average permanent plantings are 68%, seasonal plantings 8%, with 24% vacant land. Crop types change over the long term in response to market factors, as does the method of irrigation which is progressively moving towards more efficient drip or low‐level sprays.</w:t>
      </w:r>
    </w:p>
    <w:p w14:paraId="67AC127B" w14:textId="77777777" w:rsidR="00141B97" w:rsidRDefault="00141B97">
      <w:pPr>
        <w:pStyle w:val="BodyText"/>
        <w:spacing w:before="8"/>
        <w:rPr>
          <w:sz w:val="23"/>
        </w:rPr>
      </w:pPr>
    </w:p>
    <w:p w14:paraId="4F4DD9B7" w14:textId="77777777" w:rsidR="00141B97" w:rsidRDefault="00911D63">
      <w:pPr>
        <w:pStyle w:val="BodyText"/>
        <w:spacing w:before="1" w:line="259" w:lineRule="auto"/>
        <w:ind w:left="113" w:right="948" w:hanging="1"/>
        <w:jc w:val="both"/>
      </w:pPr>
      <w:r>
        <w:t>The pandemic has slowed growth in the short term due to labour shortages, as well disruption to product transport nationally and internationally, creating market and price challenges. Climate change has been considered,</w:t>
      </w:r>
      <w:r>
        <w:rPr>
          <w:spacing w:val="-2"/>
        </w:rPr>
        <w:t xml:space="preserve"> </w:t>
      </w:r>
      <w:r>
        <w:t>based</w:t>
      </w:r>
      <w:r>
        <w:rPr>
          <w:spacing w:val="-3"/>
        </w:rPr>
        <w:t xml:space="preserve"> </w:t>
      </w:r>
      <w:r>
        <w:t>on</w:t>
      </w:r>
      <w:r>
        <w:rPr>
          <w:spacing w:val="-3"/>
        </w:rPr>
        <w:t xml:space="preserve"> </w:t>
      </w:r>
      <w:r>
        <w:t>the</w:t>
      </w:r>
      <w:r>
        <w:rPr>
          <w:spacing w:val="-2"/>
        </w:rPr>
        <w:t xml:space="preserve"> </w:t>
      </w:r>
      <w:r>
        <w:t>Mallee</w:t>
      </w:r>
      <w:r>
        <w:rPr>
          <w:spacing w:val="-3"/>
        </w:rPr>
        <w:t xml:space="preserve"> </w:t>
      </w:r>
      <w:r>
        <w:t>Climate</w:t>
      </w:r>
      <w:r>
        <w:rPr>
          <w:spacing w:val="-4"/>
        </w:rPr>
        <w:t xml:space="preserve"> </w:t>
      </w:r>
      <w:r>
        <w:t>Projections</w:t>
      </w:r>
      <w:r>
        <w:rPr>
          <w:spacing w:val="-1"/>
        </w:rPr>
        <w:t xml:space="preserve"> </w:t>
      </w:r>
      <w:r>
        <w:t>2019</w:t>
      </w:r>
      <w:r>
        <w:rPr>
          <w:vertAlign w:val="superscript"/>
        </w:rPr>
        <w:t>5</w:t>
      </w:r>
      <w:r>
        <w:t>.</w:t>
      </w:r>
      <w:r>
        <w:rPr>
          <w:spacing w:val="-4"/>
        </w:rPr>
        <w:t xml:space="preserve"> </w:t>
      </w:r>
      <w:r>
        <w:t>The</w:t>
      </w:r>
      <w:r>
        <w:rPr>
          <w:spacing w:val="-4"/>
        </w:rPr>
        <w:t xml:space="preserve"> </w:t>
      </w:r>
      <w:r>
        <w:t>projected</w:t>
      </w:r>
      <w:r>
        <w:rPr>
          <w:spacing w:val="-3"/>
        </w:rPr>
        <w:t xml:space="preserve"> </w:t>
      </w:r>
      <w:r>
        <w:t>changes</w:t>
      </w:r>
      <w:r>
        <w:rPr>
          <w:spacing w:val="-3"/>
        </w:rPr>
        <w:t xml:space="preserve"> </w:t>
      </w:r>
      <w:r>
        <w:t>to</w:t>
      </w:r>
      <w:r>
        <w:rPr>
          <w:spacing w:val="-3"/>
        </w:rPr>
        <w:t xml:space="preserve"> </w:t>
      </w:r>
      <w:r>
        <w:t>temperature</w:t>
      </w:r>
      <w:r>
        <w:rPr>
          <w:spacing w:val="-4"/>
        </w:rPr>
        <w:t xml:space="preserve"> </w:t>
      </w:r>
      <w:r>
        <w:t>and</w:t>
      </w:r>
      <w:r>
        <w:rPr>
          <w:spacing w:val="-3"/>
        </w:rPr>
        <w:t xml:space="preserve"> </w:t>
      </w:r>
      <w:r>
        <w:t>rainfall over the relatively short forecast period will be within the variability range of the other demand factors described above, and hence not material to the demand forecasts. Price elasticity is not considered as its influence is negligible compared to the other factors described above.</w:t>
      </w:r>
    </w:p>
    <w:p w14:paraId="78A623EF" w14:textId="77777777" w:rsidR="00141B97" w:rsidRDefault="00141B97">
      <w:pPr>
        <w:pStyle w:val="BodyText"/>
        <w:spacing w:before="10"/>
        <w:rPr>
          <w:sz w:val="21"/>
        </w:rPr>
      </w:pPr>
    </w:p>
    <w:p w14:paraId="18BD7B97" w14:textId="77777777" w:rsidR="00141B97" w:rsidRDefault="00911D63">
      <w:pPr>
        <w:pStyle w:val="BodyText"/>
        <w:spacing w:before="1" w:line="268" w:lineRule="exact"/>
        <w:ind w:left="114"/>
        <w:jc w:val="both"/>
      </w:pPr>
      <w:r>
        <w:t>By</w:t>
      </w:r>
      <w:r>
        <w:rPr>
          <w:spacing w:val="-4"/>
        </w:rPr>
        <w:t xml:space="preserve"> </w:t>
      </w:r>
      <w:r>
        <w:rPr>
          <w:spacing w:val="-2"/>
        </w:rPr>
        <w:t>district:</w:t>
      </w:r>
    </w:p>
    <w:p w14:paraId="383B1BC2" w14:textId="77777777" w:rsidR="00141B97" w:rsidRDefault="00911D63">
      <w:pPr>
        <w:pStyle w:val="ListParagraph"/>
        <w:numPr>
          <w:ilvl w:val="0"/>
          <w:numId w:val="10"/>
        </w:numPr>
        <w:tabs>
          <w:tab w:val="left" w:pos="834"/>
        </w:tabs>
        <w:ind w:left="834" w:right="948" w:hanging="361"/>
        <w:jc w:val="both"/>
        <w:rPr>
          <w:rFonts w:ascii="Symbol" w:hAnsi="Symbol"/>
        </w:rPr>
      </w:pPr>
      <w:r>
        <w:t>Mildura and Mildura High Pressure systems demand is forecast to remain stable whereby urban encroachment</w:t>
      </w:r>
      <w:r>
        <w:rPr>
          <w:spacing w:val="-11"/>
        </w:rPr>
        <w:t xml:space="preserve"> </w:t>
      </w:r>
      <w:r>
        <w:t>will</w:t>
      </w:r>
      <w:r>
        <w:rPr>
          <w:spacing w:val="-9"/>
        </w:rPr>
        <w:t xml:space="preserve"> </w:t>
      </w:r>
      <w:r>
        <w:t>continue</w:t>
      </w:r>
      <w:r>
        <w:rPr>
          <w:spacing w:val="-11"/>
        </w:rPr>
        <w:t xml:space="preserve"> </w:t>
      </w:r>
      <w:r>
        <w:t>but</w:t>
      </w:r>
      <w:r>
        <w:rPr>
          <w:spacing w:val="-9"/>
        </w:rPr>
        <w:t xml:space="preserve"> </w:t>
      </w:r>
      <w:r>
        <w:t>balances</w:t>
      </w:r>
      <w:r>
        <w:rPr>
          <w:spacing w:val="-11"/>
        </w:rPr>
        <w:t xml:space="preserve"> </w:t>
      </w:r>
      <w:r>
        <w:t>land</w:t>
      </w:r>
      <w:r>
        <w:rPr>
          <w:spacing w:val="-10"/>
        </w:rPr>
        <w:t xml:space="preserve"> </w:t>
      </w:r>
      <w:r>
        <w:t>that</w:t>
      </w:r>
      <w:r>
        <w:rPr>
          <w:spacing w:val="-9"/>
        </w:rPr>
        <w:t xml:space="preserve"> </w:t>
      </w:r>
      <w:r>
        <w:t>still</w:t>
      </w:r>
      <w:r>
        <w:rPr>
          <w:spacing w:val="-11"/>
        </w:rPr>
        <w:t xml:space="preserve"> </w:t>
      </w:r>
      <w:r>
        <w:t>holds</w:t>
      </w:r>
      <w:r>
        <w:rPr>
          <w:spacing w:val="-10"/>
        </w:rPr>
        <w:t xml:space="preserve"> </w:t>
      </w:r>
      <w:r>
        <w:t>delivery</w:t>
      </w:r>
      <w:r>
        <w:rPr>
          <w:spacing w:val="-10"/>
        </w:rPr>
        <w:t xml:space="preserve"> </w:t>
      </w:r>
      <w:r>
        <w:t>share</w:t>
      </w:r>
      <w:r>
        <w:rPr>
          <w:spacing w:val="-10"/>
        </w:rPr>
        <w:t xml:space="preserve"> </w:t>
      </w:r>
      <w:r>
        <w:t>entitlements</w:t>
      </w:r>
      <w:r>
        <w:rPr>
          <w:spacing w:val="-10"/>
        </w:rPr>
        <w:t xml:space="preserve"> </w:t>
      </w:r>
      <w:r>
        <w:t>and</w:t>
      </w:r>
      <w:r>
        <w:rPr>
          <w:spacing w:val="-9"/>
        </w:rPr>
        <w:t xml:space="preserve"> </w:t>
      </w:r>
      <w:r>
        <w:t>is</w:t>
      </w:r>
      <w:r>
        <w:rPr>
          <w:spacing w:val="-9"/>
        </w:rPr>
        <w:t xml:space="preserve"> </w:t>
      </w:r>
      <w:r>
        <w:t>forecast to redevelop.</w:t>
      </w:r>
    </w:p>
    <w:p w14:paraId="4EA4BB64" w14:textId="77777777" w:rsidR="00141B97" w:rsidRDefault="00911D63">
      <w:pPr>
        <w:pStyle w:val="ListParagraph"/>
        <w:numPr>
          <w:ilvl w:val="0"/>
          <w:numId w:val="10"/>
        </w:numPr>
        <w:tabs>
          <w:tab w:val="left" w:pos="835"/>
        </w:tabs>
        <w:ind w:left="834" w:right="948" w:hanging="360"/>
        <w:jc w:val="both"/>
        <w:rPr>
          <w:rFonts w:ascii="Symbol" w:hAnsi="Symbol"/>
        </w:rPr>
      </w:pPr>
      <w:r>
        <w:t>The Merbein District demand is forecast to increase slightly from the completion of development resulting from SMP2.</w:t>
      </w:r>
    </w:p>
    <w:p w14:paraId="20B5C3F8" w14:textId="77777777" w:rsidR="00141B97" w:rsidRDefault="00911D63">
      <w:pPr>
        <w:pStyle w:val="ListParagraph"/>
        <w:numPr>
          <w:ilvl w:val="0"/>
          <w:numId w:val="10"/>
        </w:numPr>
        <w:tabs>
          <w:tab w:val="left" w:pos="834"/>
        </w:tabs>
        <w:spacing w:line="280" w:lineRule="exact"/>
        <w:ind w:left="833" w:hanging="361"/>
        <w:jc w:val="both"/>
        <w:rPr>
          <w:rFonts w:ascii="Symbol" w:hAnsi="Symbol"/>
        </w:rPr>
      </w:pPr>
      <w:r>
        <w:t>The</w:t>
      </w:r>
      <w:r>
        <w:rPr>
          <w:spacing w:val="-8"/>
        </w:rPr>
        <w:t xml:space="preserve"> </w:t>
      </w:r>
      <w:r>
        <w:t>Red</w:t>
      </w:r>
      <w:r>
        <w:rPr>
          <w:spacing w:val="-6"/>
        </w:rPr>
        <w:t xml:space="preserve"> </w:t>
      </w:r>
      <w:r>
        <w:t>Cliffs</w:t>
      </w:r>
      <w:r>
        <w:rPr>
          <w:spacing w:val="-7"/>
        </w:rPr>
        <w:t xml:space="preserve"> </w:t>
      </w:r>
      <w:r>
        <w:t>District</w:t>
      </w:r>
      <w:r>
        <w:rPr>
          <w:spacing w:val="-7"/>
        </w:rPr>
        <w:t xml:space="preserve"> </w:t>
      </w:r>
      <w:r>
        <w:t>demand</w:t>
      </w:r>
      <w:r>
        <w:rPr>
          <w:spacing w:val="-6"/>
        </w:rPr>
        <w:t xml:space="preserve"> </w:t>
      </w:r>
      <w:r>
        <w:t>is</w:t>
      </w:r>
      <w:r>
        <w:rPr>
          <w:spacing w:val="-8"/>
        </w:rPr>
        <w:t xml:space="preserve"> </w:t>
      </w:r>
      <w:r>
        <w:t>also</w:t>
      </w:r>
      <w:r>
        <w:rPr>
          <w:spacing w:val="-7"/>
        </w:rPr>
        <w:t xml:space="preserve"> </w:t>
      </w:r>
      <w:r>
        <w:t>forecast</w:t>
      </w:r>
      <w:r>
        <w:rPr>
          <w:spacing w:val="-6"/>
        </w:rPr>
        <w:t xml:space="preserve"> </w:t>
      </w:r>
      <w:r>
        <w:t>to</w:t>
      </w:r>
      <w:r>
        <w:rPr>
          <w:spacing w:val="-6"/>
        </w:rPr>
        <w:t xml:space="preserve"> </w:t>
      </w:r>
      <w:r>
        <w:t>increase</w:t>
      </w:r>
      <w:r>
        <w:rPr>
          <w:spacing w:val="-7"/>
        </w:rPr>
        <w:t xml:space="preserve"> </w:t>
      </w:r>
      <w:r>
        <w:t>as</w:t>
      </w:r>
      <w:r>
        <w:rPr>
          <w:spacing w:val="-8"/>
        </w:rPr>
        <w:t xml:space="preserve"> </w:t>
      </w:r>
      <w:r>
        <w:t>redevelopment</w:t>
      </w:r>
      <w:r>
        <w:rPr>
          <w:spacing w:val="-7"/>
        </w:rPr>
        <w:t xml:space="preserve"> </w:t>
      </w:r>
      <w:r>
        <w:t>from</w:t>
      </w:r>
      <w:r>
        <w:rPr>
          <w:spacing w:val="-5"/>
        </w:rPr>
        <w:t xml:space="preserve"> </w:t>
      </w:r>
      <w:r>
        <w:t>SMP2</w:t>
      </w:r>
      <w:r>
        <w:rPr>
          <w:spacing w:val="-7"/>
        </w:rPr>
        <w:t xml:space="preserve"> </w:t>
      </w:r>
      <w:r>
        <w:rPr>
          <w:spacing w:val="-2"/>
        </w:rPr>
        <w:t>continues.</w:t>
      </w:r>
    </w:p>
    <w:p w14:paraId="782BD65C" w14:textId="77777777" w:rsidR="00141B97" w:rsidRDefault="00911D63">
      <w:pPr>
        <w:pStyle w:val="ListParagraph"/>
        <w:numPr>
          <w:ilvl w:val="0"/>
          <w:numId w:val="10"/>
        </w:numPr>
        <w:tabs>
          <w:tab w:val="left" w:pos="834"/>
        </w:tabs>
        <w:ind w:left="833" w:right="948" w:hanging="361"/>
        <w:jc w:val="both"/>
        <w:rPr>
          <w:rFonts w:ascii="Symbol" w:hAnsi="Symbol"/>
        </w:rPr>
      </w:pPr>
      <w:r>
        <w:t>The Robinvale District is fully developed and, even with the introduction of cooling sprays, LMW does not foresee any changes to the district’s crop types so demand is forecast to be flat.</w:t>
      </w:r>
    </w:p>
    <w:p w14:paraId="44CB7C63" w14:textId="77777777" w:rsidR="00141B97" w:rsidRDefault="00141B97">
      <w:pPr>
        <w:pStyle w:val="BodyText"/>
      </w:pPr>
    </w:p>
    <w:p w14:paraId="4D6FAA45" w14:textId="77777777" w:rsidR="00141B97" w:rsidRDefault="00911D63">
      <w:pPr>
        <w:pStyle w:val="BodyText"/>
        <w:ind w:left="114" w:right="947" w:hanging="1"/>
        <w:jc w:val="both"/>
      </w:pPr>
      <w:r>
        <w:t>Figure C2 below shows the actual historic volumes delivered to the irrigation districts since 2013‐14, and the forecast</w:t>
      </w:r>
      <w:r>
        <w:rPr>
          <w:spacing w:val="-13"/>
        </w:rPr>
        <w:t xml:space="preserve"> </w:t>
      </w:r>
      <w:r>
        <w:t>for</w:t>
      </w:r>
      <w:r>
        <w:rPr>
          <w:spacing w:val="-12"/>
        </w:rPr>
        <w:t xml:space="preserve"> </w:t>
      </w:r>
      <w:r>
        <w:t>the</w:t>
      </w:r>
      <w:r>
        <w:rPr>
          <w:spacing w:val="-13"/>
        </w:rPr>
        <w:t xml:space="preserve"> </w:t>
      </w:r>
      <w:r>
        <w:t>fifth</w:t>
      </w:r>
      <w:r>
        <w:rPr>
          <w:spacing w:val="-12"/>
        </w:rPr>
        <w:t xml:space="preserve"> </w:t>
      </w:r>
      <w:r>
        <w:t>regulatory</w:t>
      </w:r>
      <w:r>
        <w:rPr>
          <w:spacing w:val="-13"/>
        </w:rPr>
        <w:t xml:space="preserve"> </w:t>
      </w:r>
      <w:r>
        <w:t>period.</w:t>
      </w:r>
      <w:r>
        <w:rPr>
          <w:spacing w:val="-12"/>
        </w:rPr>
        <w:t xml:space="preserve"> </w:t>
      </w:r>
      <w:r>
        <w:t>The</w:t>
      </w:r>
      <w:r>
        <w:rPr>
          <w:spacing w:val="-13"/>
        </w:rPr>
        <w:t xml:space="preserve"> </w:t>
      </w:r>
      <w:r>
        <w:t>historical</w:t>
      </w:r>
      <w:r>
        <w:rPr>
          <w:spacing w:val="-12"/>
        </w:rPr>
        <w:t xml:space="preserve"> </w:t>
      </w:r>
      <w:r>
        <w:t>volumes</w:t>
      </w:r>
      <w:r>
        <w:rPr>
          <w:spacing w:val="-12"/>
        </w:rPr>
        <w:t xml:space="preserve"> </w:t>
      </w:r>
      <w:r>
        <w:t>show</w:t>
      </w:r>
      <w:r>
        <w:rPr>
          <w:spacing w:val="-13"/>
        </w:rPr>
        <w:t xml:space="preserve"> </w:t>
      </w:r>
      <w:r>
        <w:t>the</w:t>
      </w:r>
      <w:r>
        <w:rPr>
          <w:spacing w:val="-12"/>
        </w:rPr>
        <w:t xml:space="preserve"> </w:t>
      </w:r>
      <w:r>
        <w:t>impact</w:t>
      </w:r>
      <w:r>
        <w:rPr>
          <w:spacing w:val="-13"/>
        </w:rPr>
        <w:t xml:space="preserve"> </w:t>
      </w:r>
      <w:r>
        <w:t>of</w:t>
      </w:r>
      <w:r>
        <w:rPr>
          <w:spacing w:val="-12"/>
        </w:rPr>
        <w:t xml:space="preserve"> </w:t>
      </w:r>
      <w:r>
        <w:t>wet</w:t>
      </w:r>
      <w:r>
        <w:rPr>
          <w:spacing w:val="-13"/>
        </w:rPr>
        <w:t xml:space="preserve"> </w:t>
      </w:r>
      <w:r>
        <w:t>and</w:t>
      </w:r>
      <w:r>
        <w:rPr>
          <w:spacing w:val="-12"/>
        </w:rPr>
        <w:t xml:space="preserve"> </w:t>
      </w:r>
      <w:r>
        <w:t>dry</w:t>
      </w:r>
      <w:r>
        <w:rPr>
          <w:spacing w:val="-12"/>
        </w:rPr>
        <w:t xml:space="preserve"> </w:t>
      </w:r>
      <w:r>
        <w:t>years</w:t>
      </w:r>
      <w:r>
        <w:rPr>
          <w:spacing w:val="-13"/>
        </w:rPr>
        <w:t xml:space="preserve"> </w:t>
      </w:r>
      <w:r>
        <w:t>and</w:t>
      </w:r>
      <w:r>
        <w:rPr>
          <w:spacing w:val="-12"/>
        </w:rPr>
        <w:t xml:space="preserve"> </w:t>
      </w:r>
      <w:r>
        <w:t>industry conditions. It can be seen that the PS5 forecast is consistent with actual and forecast usage for PS4, but higher than the previous period and the 8‐year average to 2020‐21.</w:t>
      </w:r>
    </w:p>
    <w:p w14:paraId="4FE3FDC5" w14:textId="77777777" w:rsidR="00141B97" w:rsidRDefault="00141B97">
      <w:pPr>
        <w:pStyle w:val="BodyText"/>
        <w:rPr>
          <w:sz w:val="20"/>
        </w:rPr>
      </w:pPr>
    </w:p>
    <w:p w14:paraId="788B4D33" w14:textId="77777777" w:rsidR="00141B97" w:rsidRDefault="00141B97">
      <w:pPr>
        <w:pStyle w:val="BodyText"/>
        <w:rPr>
          <w:sz w:val="20"/>
        </w:rPr>
      </w:pPr>
    </w:p>
    <w:p w14:paraId="131D872E" w14:textId="34747DCC" w:rsidR="00141B97" w:rsidRDefault="00911D63">
      <w:pPr>
        <w:pStyle w:val="BodyText"/>
        <w:spacing w:before="4"/>
        <w:rPr>
          <w:sz w:val="28"/>
        </w:rPr>
      </w:pPr>
      <w:r>
        <w:rPr>
          <w:noProof/>
        </w:rPr>
        <mc:AlternateContent>
          <mc:Choice Requires="wps">
            <w:drawing>
              <wp:anchor distT="0" distB="0" distL="0" distR="0" simplePos="0" relativeHeight="487619072" behindDoc="1" locked="0" layoutInCell="1" allowOverlap="1" wp14:anchorId="24CAEA26" wp14:editId="411096C3">
                <wp:simplePos x="0" y="0"/>
                <wp:positionH relativeFrom="page">
                  <wp:posOffset>720090</wp:posOffset>
                </wp:positionH>
                <wp:positionV relativeFrom="paragraph">
                  <wp:posOffset>235585</wp:posOffset>
                </wp:positionV>
                <wp:extent cx="1828800" cy="6350"/>
                <wp:effectExtent l="0" t="0" r="0" b="0"/>
                <wp:wrapTopAndBottom/>
                <wp:docPr id="281"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C96DA" id="docshape141" o:spid="_x0000_s1026" style="position:absolute;margin-left:56.7pt;margin-top:18.55pt;width:2in;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" fillcolor="black" stroked="f">
                <w10:wrap type="topAndBottom" anchorx="page"/>
              </v:rect>
            </w:pict>
          </mc:Fallback>
        </mc:AlternateContent>
      </w:r>
    </w:p>
    <w:p w14:paraId="6ED7A7AE" w14:textId="77777777" w:rsidR="00141B97" w:rsidRDefault="00911D63">
      <w:pPr>
        <w:spacing w:before="84"/>
        <w:ind w:left="114"/>
        <w:rPr>
          <w:rFonts w:ascii="Trebuchet MS"/>
          <w:sz w:val="14"/>
        </w:rPr>
      </w:pPr>
      <w:r>
        <w:rPr>
          <w:rFonts w:ascii="Trebuchet MS"/>
          <w:sz w:val="14"/>
          <w:vertAlign w:val="superscript"/>
        </w:rPr>
        <w:t>4</w:t>
      </w:r>
      <w:r>
        <w:rPr>
          <w:rFonts w:ascii="Trebuchet MS"/>
          <w:spacing w:val="-5"/>
          <w:sz w:val="14"/>
        </w:rPr>
        <w:t xml:space="preserve"> </w:t>
      </w:r>
      <w:r>
        <w:rPr>
          <w:rFonts w:ascii="Trebuchet MS"/>
          <w:sz w:val="14"/>
        </w:rPr>
        <w:t>MCMA</w:t>
      </w:r>
      <w:r>
        <w:rPr>
          <w:rFonts w:ascii="Trebuchet MS"/>
          <w:spacing w:val="-4"/>
          <w:sz w:val="14"/>
        </w:rPr>
        <w:t xml:space="preserve"> </w:t>
      </w:r>
      <w:r>
        <w:rPr>
          <w:rFonts w:ascii="Trebuchet MS"/>
          <w:sz w:val="14"/>
        </w:rPr>
        <w:t>Horticulture</w:t>
      </w:r>
      <w:r>
        <w:rPr>
          <w:rFonts w:ascii="Trebuchet MS"/>
          <w:spacing w:val="-6"/>
          <w:sz w:val="14"/>
        </w:rPr>
        <w:t xml:space="preserve"> </w:t>
      </w:r>
      <w:r>
        <w:rPr>
          <w:rFonts w:ascii="Trebuchet MS"/>
          <w:sz w:val="14"/>
        </w:rPr>
        <w:t>Crop</w:t>
      </w:r>
      <w:r>
        <w:rPr>
          <w:rFonts w:ascii="Trebuchet MS"/>
          <w:spacing w:val="-4"/>
          <w:sz w:val="14"/>
        </w:rPr>
        <w:t xml:space="preserve"> </w:t>
      </w:r>
      <w:r>
        <w:rPr>
          <w:rFonts w:ascii="Trebuchet MS"/>
          <w:sz w:val="14"/>
        </w:rPr>
        <w:t>Report</w:t>
      </w:r>
      <w:r>
        <w:rPr>
          <w:rFonts w:ascii="Trebuchet MS"/>
          <w:spacing w:val="-5"/>
          <w:sz w:val="14"/>
        </w:rPr>
        <w:t xml:space="preserve"> </w:t>
      </w:r>
      <w:r>
        <w:rPr>
          <w:rFonts w:ascii="Trebuchet MS"/>
          <w:sz w:val="14"/>
        </w:rPr>
        <w:t>2019</w:t>
      </w:r>
      <w:r>
        <w:rPr>
          <w:rFonts w:ascii="Trebuchet MS"/>
          <w:spacing w:val="-3"/>
          <w:sz w:val="14"/>
        </w:rPr>
        <w:t xml:space="preserve"> </w:t>
      </w:r>
      <w:r>
        <w:rPr>
          <w:rFonts w:ascii="Trebuchet MS"/>
          <w:spacing w:val="-2"/>
          <w:sz w:val="14"/>
        </w:rPr>
        <w:t>Addendum</w:t>
      </w:r>
    </w:p>
    <w:p w14:paraId="6248B259" w14:textId="77777777" w:rsidR="00141B97" w:rsidRDefault="00911D63">
      <w:pPr>
        <w:spacing w:before="100"/>
        <w:ind w:left="114"/>
        <w:rPr>
          <w:rFonts w:ascii="Trebuchet MS"/>
          <w:sz w:val="14"/>
        </w:rPr>
      </w:pPr>
      <w:r>
        <w:rPr>
          <w:rFonts w:ascii="Trebuchet MS"/>
          <w:sz w:val="14"/>
          <w:vertAlign w:val="superscript"/>
        </w:rPr>
        <w:t>5</w:t>
      </w:r>
      <w:r>
        <w:rPr>
          <w:rFonts w:ascii="Trebuchet MS"/>
          <w:spacing w:val="-5"/>
          <w:sz w:val="14"/>
        </w:rPr>
        <w:t xml:space="preserve"> </w:t>
      </w:r>
      <w:r>
        <w:rPr>
          <w:rFonts w:ascii="Trebuchet MS"/>
          <w:sz w:val="14"/>
        </w:rPr>
        <w:t>Mallee</w:t>
      </w:r>
      <w:r>
        <w:rPr>
          <w:rFonts w:ascii="Trebuchet MS"/>
          <w:spacing w:val="-5"/>
          <w:sz w:val="14"/>
        </w:rPr>
        <w:t xml:space="preserve"> </w:t>
      </w:r>
      <w:r>
        <w:rPr>
          <w:rFonts w:ascii="Trebuchet MS"/>
          <w:sz w:val="14"/>
        </w:rPr>
        <w:t>Climate</w:t>
      </w:r>
      <w:r>
        <w:rPr>
          <w:rFonts w:ascii="Trebuchet MS"/>
          <w:spacing w:val="-5"/>
          <w:sz w:val="14"/>
        </w:rPr>
        <w:t xml:space="preserve"> </w:t>
      </w:r>
      <w:r>
        <w:rPr>
          <w:rFonts w:ascii="Trebuchet MS"/>
          <w:sz w:val="14"/>
        </w:rPr>
        <w:t>Projections</w:t>
      </w:r>
      <w:r>
        <w:rPr>
          <w:rFonts w:ascii="Trebuchet MS"/>
          <w:spacing w:val="-5"/>
          <w:sz w:val="14"/>
        </w:rPr>
        <w:t xml:space="preserve"> </w:t>
      </w:r>
      <w:r>
        <w:rPr>
          <w:rFonts w:ascii="Trebuchet MS"/>
          <w:sz w:val="14"/>
        </w:rPr>
        <w:t>2019,</w:t>
      </w:r>
      <w:r>
        <w:rPr>
          <w:rFonts w:ascii="Trebuchet MS"/>
          <w:spacing w:val="-5"/>
          <w:sz w:val="14"/>
        </w:rPr>
        <w:t xml:space="preserve"> </w:t>
      </w:r>
      <w:r>
        <w:rPr>
          <w:rFonts w:ascii="Trebuchet MS"/>
          <w:sz w:val="14"/>
        </w:rPr>
        <w:t>CSIRO</w:t>
      </w:r>
      <w:r>
        <w:rPr>
          <w:rFonts w:ascii="Trebuchet MS"/>
          <w:spacing w:val="-5"/>
          <w:sz w:val="14"/>
        </w:rPr>
        <w:t xml:space="preserve"> </w:t>
      </w:r>
      <w:r>
        <w:rPr>
          <w:rFonts w:ascii="Trebuchet MS"/>
          <w:sz w:val="14"/>
        </w:rPr>
        <w:t>and</w:t>
      </w:r>
      <w:r>
        <w:rPr>
          <w:rFonts w:ascii="Trebuchet MS"/>
          <w:spacing w:val="-5"/>
          <w:sz w:val="14"/>
        </w:rPr>
        <w:t xml:space="preserve"> </w:t>
      </w:r>
      <w:r>
        <w:rPr>
          <w:rFonts w:ascii="Trebuchet MS"/>
          <w:spacing w:val="-4"/>
          <w:sz w:val="14"/>
        </w:rPr>
        <w:t>DELWP</w:t>
      </w:r>
    </w:p>
    <w:p w14:paraId="19EEEF27" w14:textId="77777777" w:rsidR="00141B97" w:rsidRDefault="00141B97">
      <w:pPr>
        <w:rPr>
          <w:rFonts w:ascii="Trebuchet MS"/>
          <w:sz w:val="14"/>
        </w:rPr>
        <w:sectPr w:rsidR="00141B97">
          <w:pgSz w:w="11910" w:h="16840"/>
          <w:pgMar w:top="780" w:right="40" w:bottom="780" w:left="1020" w:header="0" w:footer="586" w:gutter="0"/>
          <w:cols w:space="720"/>
        </w:sectPr>
      </w:pPr>
    </w:p>
    <w:p w14:paraId="7E597771" w14:textId="77777777" w:rsidR="00141B97" w:rsidRDefault="00911D63">
      <w:pPr>
        <w:pStyle w:val="BodyText"/>
        <w:spacing w:before="31"/>
        <w:ind w:left="114" w:right="949" w:hanging="1"/>
        <w:jc w:val="both"/>
      </w:pPr>
      <w:r>
        <w:lastRenderedPageBreak/>
        <w:t>The allocation of risk of actual demand not meeting forecast demand lies with LMW, particularly when taking into account the history of LMW not recovering foregone revenue, and returning revenue earned over the revenue cap through decreased prices the following year.</w:t>
      </w:r>
    </w:p>
    <w:p w14:paraId="494826CE" w14:textId="77777777" w:rsidR="00141B97" w:rsidRDefault="00141B97">
      <w:pPr>
        <w:pStyle w:val="BodyText"/>
        <w:rPr>
          <w:sz w:val="21"/>
        </w:rPr>
      </w:pPr>
    </w:p>
    <w:p w14:paraId="7005974E" w14:textId="5964EBF0" w:rsidR="00141B97" w:rsidRDefault="00911D63">
      <w:pPr>
        <w:spacing w:before="100"/>
        <w:ind w:left="566"/>
        <w:rPr>
          <w:rFonts w:ascii="Arial"/>
          <w:sz w:val="16"/>
        </w:rPr>
      </w:pPr>
      <w:r>
        <w:rPr>
          <w:noProof/>
        </w:rPr>
        <mc:AlternateContent>
          <mc:Choice Requires="wpg">
            <w:drawing>
              <wp:anchor distT="0" distB="0" distL="114300" distR="114300" simplePos="0" relativeHeight="15760896" behindDoc="0" locked="0" layoutInCell="1" allowOverlap="1" wp14:anchorId="17856DE0" wp14:editId="634140EF">
                <wp:simplePos x="0" y="0"/>
                <wp:positionH relativeFrom="page">
                  <wp:posOffset>1448435</wp:posOffset>
                </wp:positionH>
                <wp:positionV relativeFrom="paragraph">
                  <wp:posOffset>122555</wp:posOffset>
                </wp:positionV>
                <wp:extent cx="4942205" cy="1755775"/>
                <wp:effectExtent l="0" t="0" r="0" b="0"/>
                <wp:wrapNone/>
                <wp:docPr id="94"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05" cy="1755775"/>
                          <a:chOff x="2281" y="193"/>
                          <a:chExt cx="7783" cy="2765"/>
                        </a:xfrm>
                      </wpg:grpSpPr>
                      <wps:wsp>
                        <wps:cNvPr id="96" name="docshape143"/>
                        <wps:cNvSpPr>
                          <a:spLocks/>
                        </wps:cNvSpPr>
                        <wps:spPr bwMode="auto">
                          <a:xfrm>
                            <a:off x="2331" y="2519"/>
                            <a:ext cx="629" cy="2"/>
                          </a:xfrm>
                          <a:custGeom>
                            <a:avLst/>
                            <a:gdLst>
                              <a:gd name="T0" fmla="+- 0 2332 2332"/>
                              <a:gd name="T1" fmla="*/ T0 w 629"/>
                              <a:gd name="T2" fmla="+- 0 2478 2332"/>
                              <a:gd name="T3" fmla="*/ T2 w 629"/>
                              <a:gd name="T4" fmla="+- 0 2670 2332"/>
                              <a:gd name="T5" fmla="*/ T4 w 629"/>
                              <a:gd name="T6" fmla="+- 0 2960 2332"/>
                              <a:gd name="T7" fmla="*/ T6 w 629"/>
                            </a:gdLst>
                            <a:ahLst/>
                            <a:cxnLst>
                              <a:cxn ang="0">
                                <a:pos x="T1" y="0"/>
                              </a:cxn>
                              <a:cxn ang="0">
                                <a:pos x="T3" y="0"/>
                              </a:cxn>
                              <a:cxn ang="0">
                                <a:pos x="T5" y="0"/>
                              </a:cxn>
                              <a:cxn ang="0">
                                <a:pos x="T7" y="0"/>
                              </a:cxn>
                            </a:cxnLst>
                            <a:rect l="0" t="0" r="r" b="b"/>
                            <a:pathLst>
                              <a:path w="629">
                                <a:moveTo>
                                  <a:pt x="0" y="0"/>
                                </a:moveTo>
                                <a:lnTo>
                                  <a:pt x="146" y="0"/>
                                </a:lnTo>
                                <a:moveTo>
                                  <a:pt x="338" y="0"/>
                                </a:moveTo>
                                <a:lnTo>
                                  <a:pt x="628" y="0"/>
                                </a:lnTo>
                              </a:path>
                            </a:pathLst>
                          </a:custGeom>
                          <a:noFill/>
                          <a:ln w="52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144"/>
                        <wps:cNvSpPr>
                          <a:spLocks noChangeArrowheads="1"/>
                        </wps:cNvSpPr>
                        <wps:spPr bwMode="auto">
                          <a:xfrm>
                            <a:off x="2478" y="2221"/>
                            <a:ext cx="192" cy="687"/>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209"/>
                        <wps:cNvCnPr>
                          <a:cxnSpLocks noChangeShapeType="1"/>
                        </wps:cNvCnPr>
                        <wps:spPr bwMode="auto">
                          <a:xfrm>
                            <a:off x="3152" y="2519"/>
                            <a:ext cx="29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02" name="docshape145"/>
                        <wps:cNvSpPr>
                          <a:spLocks noChangeArrowheads="1"/>
                        </wps:cNvSpPr>
                        <wps:spPr bwMode="auto">
                          <a:xfrm>
                            <a:off x="2960" y="2317"/>
                            <a:ext cx="192" cy="59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207"/>
                        <wps:cNvCnPr>
                          <a:cxnSpLocks noChangeShapeType="1"/>
                        </wps:cNvCnPr>
                        <wps:spPr bwMode="auto">
                          <a:xfrm>
                            <a:off x="3637" y="2519"/>
                            <a:ext cx="28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06" name="docshape146"/>
                        <wps:cNvSpPr>
                          <a:spLocks noChangeArrowheads="1"/>
                        </wps:cNvSpPr>
                        <wps:spPr bwMode="auto">
                          <a:xfrm>
                            <a:off x="3442" y="2338"/>
                            <a:ext cx="195" cy="570"/>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205"/>
                        <wps:cNvCnPr>
                          <a:cxnSpLocks noChangeShapeType="1"/>
                        </wps:cNvCnPr>
                        <wps:spPr bwMode="auto">
                          <a:xfrm>
                            <a:off x="4120" y="2519"/>
                            <a:ext cx="289"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0" name="docshape147"/>
                        <wps:cNvSpPr>
                          <a:spLocks noChangeArrowheads="1"/>
                        </wps:cNvSpPr>
                        <wps:spPr bwMode="auto">
                          <a:xfrm>
                            <a:off x="3925" y="2275"/>
                            <a:ext cx="195" cy="633"/>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203"/>
                        <wps:cNvCnPr>
                          <a:cxnSpLocks noChangeShapeType="1"/>
                        </wps:cNvCnPr>
                        <wps:spPr bwMode="auto">
                          <a:xfrm>
                            <a:off x="4601" y="2519"/>
                            <a:ext cx="290"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4" name="docshape148"/>
                        <wps:cNvSpPr>
                          <a:spLocks noChangeArrowheads="1"/>
                        </wps:cNvSpPr>
                        <wps:spPr bwMode="auto">
                          <a:xfrm>
                            <a:off x="4408" y="2377"/>
                            <a:ext cx="192" cy="53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201"/>
                        <wps:cNvCnPr>
                          <a:cxnSpLocks noChangeShapeType="1"/>
                        </wps:cNvCnPr>
                        <wps:spPr bwMode="auto">
                          <a:xfrm>
                            <a:off x="5083" y="2519"/>
                            <a:ext cx="29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7" name="docshape149"/>
                        <wps:cNvSpPr>
                          <a:spLocks noChangeArrowheads="1"/>
                        </wps:cNvSpPr>
                        <wps:spPr bwMode="auto">
                          <a:xfrm>
                            <a:off x="4891" y="2275"/>
                            <a:ext cx="192" cy="633"/>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99"/>
                        <wps:cNvCnPr>
                          <a:cxnSpLocks noChangeShapeType="1"/>
                        </wps:cNvCnPr>
                        <wps:spPr bwMode="auto">
                          <a:xfrm>
                            <a:off x="5568" y="2519"/>
                            <a:ext cx="28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9" name="docshape150"/>
                        <wps:cNvSpPr>
                          <a:spLocks noChangeArrowheads="1"/>
                        </wps:cNvSpPr>
                        <wps:spPr bwMode="auto">
                          <a:xfrm>
                            <a:off x="5373" y="2215"/>
                            <a:ext cx="195" cy="693"/>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97"/>
                        <wps:cNvCnPr>
                          <a:cxnSpLocks noChangeShapeType="1"/>
                        </wps:cNvCnPr>
                        <wps:spPr bwMode="auto">
                          <a:xfrm>
                            <a:off x="6050" y="2519"/>
                            <a:ext cx="29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21" name="docshape151"/>
                        <wps:cNvSpPr>
                          <a:spLocks noChangeArrowheads="1"/>
                        </wps:cNvSpPr>
                        <wps:spPr bwMode="auto">
                          <a:xfrm>
                            <a:off x="5856" y="2281"/>
                            <a:ext cx="195" cy="627"/>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95"/>
                        <wps:cNvCnPr>
                          <a:cxnSpLocks noChangeShapeType="1"/>
                        </wps:cNvCnPr>
                        <wps:spPr bwMode="auto">
                          <a:xfrm>
                            <a:off x="6533" y="2519"/>
                            <a:ext cx="290"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23" name="docshape152"/>
                        <wps:cNvSpPr>
                          <a:spLocks noChangeArrowheads="1"/>
                        </wps:cNvSpPr>
                        <wps:spPr bwMode="auto">
                          <a:xfrm>
                            <a:off x="6340" y="2305"/>
                            <a:ext cx="192" cy="603"/>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93"/>
                        <wps:cNvCnPr>
                          <a:cxnSpLocks noChangeShapeType="1"/>
                        </wps:cNvCnPr>
                        <wps:spPr bwMode="auto">
                          <a:xfrm>
                            <a:off x="7018" y="2519"/>
                            <a:ext cx="28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25" name="docshape153"/>
                        <wps:cNvSpPr>
                          <a:spLocks noChangeArrowheads="1"/>
                        </wps:cNvSpPr>
                        <wps:spPr bwMode="auto">
                          <a:xfrm>
                            <a:off x="6823" y="2347"/>
                            <a:ext cx="195" cy="56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91"/>
                        <wps:cNvCnPr>
                          <a:cxnSpLocks noChangeShapeType="1"/>
                        </wps:cNvCnPr>
                        <wps:spPr bwMode="auto">
                          <a:xfrm>
                            <a:off x="7499" y="2519"/>
                            <a:ext cx="290"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27" name="docshape154"/>
                        <wps:cNvSpPr>
                          <a:spLocks noChangeArrowheads="1"/>
                        </wps:cNvSpPr>
                        <wps:spPr bwMode="auto">
                          <a:xfrm>
                            <a:off x="7305" y="2297"/>
                            <a:ext cx="194" cy="61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89"/>
                        <wps:cNvCnPr>
                          <a:cxnSpLocks noChangeShapeType="1"/>
                        </wps:cNvCnPr>
                        <wps:spPr bwMode="auto">
                          <a:xfrm>
                            <a:off x="7981" y="2519"/>
                            <a:ext cx="29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29" name="docshape155"/>
                        <wps:cNvSpPr>
                          <a:spLocks noChangeArrowheads="1"/>
                        </wps:cNvSpPr>
                        <wps:spPr bwMode="auto">
                          <a:xfrm>
                            <a:off x="7789" y="2297"/>
                            <a:ext cx="192" cy="61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87"/>
                        <wps:cNvCnPr>
                          <a:cxnSpLocks noChangeShapeType="1"/>
                        </wps:cNvCnPr>
                        <wps:spPr bwMode="auto">
                          <a:xfrm>
                            <a:off x="8464" y="2519"/>
                            <a:ext cx="290"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31" name="docshape156"/>
                        <wps:cNvSpPr>
                          <a:spLocks noChangeArrowheads="1"/>
                        </wps:cNvSpPr>
                        <wps:spPr bwMode="auto">
                          <a:xfrm>
                            <a:off x="8271" y="2297"/>
                            <a:ext cx="192" cy="61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85"/>
                        <wps:cNvCnPr>
                          <a:cxnSpLocks noChangeShapeType="1"/>
                        </wps:cNvCnPr>
                        <wps:spPr bwMode="auto">
                          <a:xfrm>
                            <a:off x="8948" y="2519"/>
                            <a:ext cx="28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33" name="docshape157"/>
                        <wps:cNvSpPr>
                          <a:spLocks noChangeArrowheads="1"/>
                        </wps:cNvSpPr>
                        <wps:spPr bwMode="auto">
                          <a:xfrm>
                            <a:off x="8754" y="2297"/>
                            <a:ext cx="195" cy="61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83"/>
                        <wps:cNvCnPr>
                          <a:cxnSpLocks noChangeShapeType="1"/>
                        </wps:cNvCnPr>
                        <wps:spPr bwMode="auto">
                          <a:xfrm>
                            <a:off x="9431" y="2519"/>
                            <a:ext cx="290"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35" name="docshape158"/>
                        <wps:cNvSpPr>
                          <a:spLocks noChangeArrowheads="1"/>
                        </wps:cNvSpPr>
                        <wps:spPr bwMode="auto">
                          <a:xfrm>
                            <a:off x="9236" y="2297"/>
                            <a:ext cx="195" cy="61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81"/>
                        <wps:cNvCnPr>
                          <a:cxnSpLocks noChangeShapeType="1"/>
                        </wps:cNvCnPr>
                        <wps:spPr bwMode="auto">
                          <a:xfrm>
                            <a:off x="9913" y="2519"/>
                            <a:ext cx="147"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37" name="docshape159"/>
                        <wps:cNvSpPr>
                          <a:spLocks noChangeArrowheads="1"/>
                        </wps:cNvSpPr>
                        <wps:spPr bwMode="auto">
                          <a:xfrm>
                            <a:off x="9721" y="2297"/>
                            <a:ext cx="192" cy="611"/>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160"/>
                        <wps:cNvSpPr>
                          <a:spLocks/>
                        </wps:cNvSpPr>
                        <wps:spPr bwMode="auto">
                          <a:xfrm>
                            <a:off x="2331" y="2130"/>
                            <a:ext cx="629" cy="5"/>
                          </a:xfrm>
                          <a:custGeom>
                            <a:avLst/>
                            <a:gdLst>
                              <a:gd name="T0" fmla="+- 0 2332 2332"/>
                              <a:gd name="T1" fmla="*/ T0 w 629"/>
                              <a:gd name="T2" fmla="+- 0 2135 2131"/>
                              <a:gd name="T3" fmla="*/ 2135 h 5"/>
                              <a:gd name="T4" fmla="+- 0 2478 2332"/>
                              <a:gd name="T5" fmla="*/ T4 w 629"/>
                              <a:gd name="T6" fmla="+- 0 2135 2131"/>
                              <a:gd name="T7" fmla="*/ 2135 h 5"/>
                              <a:gd name="T8" fmla="+- 0 2332 2332"/>
                              <a:gd name="T9" fmla="*/ T8 w 629"/>
                              <a:gd name="T10" fmla="+- 0 2131 2131"/>
                              <a:gd name="T11" fmla="*/ 2131 h 5"/>
                              <a:gd name="T12" fmla="+- 0 2478 2332"/>
                              <a:gd name="T13" fmla="*/ T12 w 629"/>
                              <a:gd name="T14" fmla="+- 0 2131 2131"/>
                              <a:gd name="T15" fmla="*/ 2131 h 5"/>
                              <a:gd name="T16" fmla="+- 0 2670 2332"/>
                              <a:gd name="T17" fmla="*/ T16 w 629"/>
                              <a:gd name="T18" fmla="+- 0 2135 2131"/>
                              <a:gd name="T19" fmla="*/ 2135 h 5"/>
                              <a:gd name="T20" fmla="+- 0 2960 2332"/>
                              <a:gd name="T21" fmla="*/ T20 w 629"/>
                              <a:gd name="T22" fmla="+- 0 2135 2131"/>
                              <a:gd name="T23" fmla="*/ 2135 h 5"/>
                              <a:gd name="T24" fmla="+- 0 2670 2332"/>
                              <a:gd name="T25" fmla="*/ T24 w 629"/>
                              <a:gd name="T26" fmla="+- 0 2131 2131"/>
                              <a:gd name="T27" fmla="*/ 2131 h 5"/>
                              <a:gd name="T28" fmla="+- 0 2960 2332"/>
                              <a:gd name="T29" fmla="*/ T28 w 629"/>
                              <a:gd name="T30" fmla="+- 0 2131 2131"/>
                              <a:gd name="T31" fmla="*/ 2131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5">
                                <a:moveTo>
                                  <a:pt x="0" y="4"/>
                                </a:moveTo>
                                <a:lnTo>
                                  <a:pt x="146" y="4"/>
                                </a:lnTo>
                                <a:moveTo>
                                  <a:pt x="0" y="0"/>
                                </a:moveTo>
                                <a:lnTo>
                                  <a:pt x="146" y="0"/>
                                </a:lnTo>
                                <a:moveTo>
                                  <a:pt x="338" y="4"/>
                                </a:moveTo>
                                <a:lnTo>
                                  <a:pt x="628" y="4"/>
                                </a:lnTo>
                                <a:moveTo>
                                  <a:pt x="338" y="0"/>
                                </a:moveTo>
                                <a:lnTo>
                                  <a:pt x="628"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61"/>
                        <wps:cNvSpPr>
                          <a:spLocks/>
                        </wps:cNvSpPr>
                        <wps:spPr bwMode="auto">
                          <a:xfrm>
                            <a:off x="2478" y="2143"/>
                            <a:ext cx="2606" cy="235"/>
                          </a:xfrm>
                          <a:custGeom>
                            <a:avLst/>
                            <a:gdLst>
                              <a:gd name="T0" fmla="+- 0 2670 2478"/>
                              <a:gd name="T1" fmla="*/ T0 w 2606"/>
                              <a:gd name="T2" fmla="+- 0 2144 2144"/>
                              <a:gd name="T3" fmla="*/ 2144 h 235"/>
                              <a:gd name="T4" fmla="+- 0 2478 2478"/>
                              <a:gd name="T5" fmla="*/ T4 w 2606"/>
                              <a:gd name="T6" fmla="+- 0 2144 2144"/>
                              <a:gd name="T7" fmla="*/ 2144 h 235"/>
                              <a:gd name="T8" fmla="+- 0 2478 2478"/>
                              <a:gd name="T9" fmla="*/ T8 w 2606"/>
                              <a:gd name="T10" fmla="+- 0 2222 2144"/>
                              <a:gd name="T11" fmla="*/ 2222 h 235"/>
                              <a:gd name="T12" fmla="+- 0 2670 2478"/>
                              <a:gd name="T13" fmla="*/ T12 w 2606"/>
                              <a:gd name="T14" fmla="+- 0 2222 2144"/>
                              <a:gd name="T15" fmla="*/ 2222 h 235"/>
                              <a:gd name="T16" fmla="+- 0 2670 2478"/>
                              <a:gd name="T17" fmla="*/ T16 w 2606"/>
                              <a:gd name="T18" fmla="+- 0 2144 2144"/>
                              <a:gd name="T19" fmla="*/ 2144 h 235"/>
                              <a:gd name="T20" fmla="+- 0 3152 2478"/>
                              <a:gd name="T21" fmla="*/ T20 w 2606"/>
                              <a:gd name="T22" fmla="+- 0 2247 2144"/>
                              <a:gd name="T23" fmla="*/ 2247 h 235"/>
                              <a:gd name="T24" fmla="+- 0 2960 2478"/>
                              <a:gd name="T25" fmla="*/ T24 w 2606"/>
                              <a:gd name="T26" fmla="+- 0 2247 2144"/>
                              <a:gd name="T27" fmla="*/ 2247 h 235"/>
                              <a:gd name="T28" fmla="+- 0 2960 2478"/>
                              <a:gd name="T29" fmla="*/ T28 w 2606"/>
                              <a:gd name="T30" fmla="+- 0 2318 2144"/>
                              <a:gd name="T31" fmla="*/ 2318 h 235"/>
                              <a:gd name="T32" fmla="+- 0 3152 2478"/>
                              <a:gd name="T33" fmla="*/ T32 w 2606"/>
                              <a:gd name="T34" fmla="+- 0 2318 2144"/>
                              <a:gd name="T35" fmla="*/ 2318 h 235"/>
                              <a:gd name="T36" fmla="+- 0 3152 2478"/>
                              <a:gd name="T37" fmla="*/ T36 w 2606"/>
                              <a:gd name="T38" fmla="+- 0 2247 2144"/>
                              <a:gd name="T39" fmla="*/ 2247 h 235"/>
                              <a:gd name="T40" fmla="+- 0 3637 2478"/>
                              <a:gd name="T41" fmla="*/ T40 w 2606"/>
                              <a:gd name="T42" fmla="+- 0 2272 2144"/>
                              <a:gd name="T43" fmla="*/ 2272 h 235"/>
                              <a:gd name="T44" fmla="+- 0 3443 2478"/>
                              <a:gd name="T45" fmla="*/ T44 w 2606"/>
                              <a:gd name="T46" fmla="+- 0 2272 2144"/>
                              <a:gd name="T47" fmla="*/ 2272 h 235"/>
                              <a:gd name="T48" fmla="+- 0 3443 2478"/>
                              <a:gd name="T49" fmla="*/ T48 w 2606"/>
                              <a:gd name="T50" fmla="+- 0 2338 2144"/>
                              <a:gd name="T51" fmla="*/ 2338 h 235"/>
                              <a:gd name="T52" fmla="+- 0 3637 2478"/>
                              <a:gd name="T53" fmla="*/ T52 w 2606"/>
                              <a:gd name="T54" fmla="+- 0 2338 2144"/>
                              <a:gd name="T55" fmla="*/ 2338 h 235"/>
                              <a:gd name="T56" fmla="+- 0 3637 2478"/>
                              <a:gd name="T57" fmla="*/ T56 w 2606"/>
                              <a:gd name="T58" fmla="+- 0 2272 2144"/>
                              <a:gd name="T59" fmla="*/ 2272 h 235"/>
                              <a:gd name="T60" fmla="+- 0 4120 2478"/>
                              <a:gd name="T61" fmla="*/ T60 w 2606"/>
                              <a:gd name="T62" fmla="+- 0 2210 2144"/>
                              <a:gd name="T63" fmla="*/ 2210 h 235"/>
                              <a:gd name="T64" fmla="+- 0 3925 2478"/>
                              <a:gd name="T65" fmla="*/ T64 w 2606"/>
                              <a:gd name="T66" fmla="+- 0 2210 2144"/>
                              <a:gd name="T67" fmla="*/ 2210 h 235"/>
                              <a:gd name="T68" fmla="+- 0 3925 2478"/>
                              <a:gd name="T69" fmla="*/ T68 w 2606"/>
                              <a:gd name="T70" fmla="+- 0 2276 2144"/>
                              <a:gd name="T71" fmla="*/ 2276 h 235"/>
                              <a:gd name="T72" fmla="+- 0 4120 2478"/>
                              <a:gd name="T73" fmla="*/ T72 w 2606"/>
                              <a:gd name="T74" fmla="+- 0 2276 2144"/>
                              <a:gd name="T75" fmla="*/ 2276 h 235"/>
                              <a:gd name="T76" fmla="+- 0 4120 2478"/>
                              <a:gd name="T77" fmla="*/ T76 w 2606"/>
                              <a:gd name="T78" fmla="+- 0 2210 2144"/>
                              <a:gd name="T79" fmla="*/ 2210 h 235"/>
                              <a:gd name="T80" fmla="+- 0 4601 2478"/>
                              <a:gd name="T81" fmla="*/ T80 w 2606"/>
                              <a:gd name="T82" fmla="+- 0 2321 2144"/>
                              <a:gd name="T83" fmla="*/ 2321 h 235"/>
                              <a:gd name="T84" fmla="+- 0 4409 2478"/>
                              <a:gd name="T85" fmla="*/ T84 w 2606"/>
                              <a:gd name="T86" fmla="+- 0 2321 2144"/>
                              <a:gd name="T87" fmla="*/ 2321 h 235"/>
                              <a:gd name="T88" fmla="+- 0 4409 2478"/>
                              <a:gd name="T89" fmla="*/ T88 w 2606"/>
                              <a:gd name="T90" fmla="+- 0 2378 2144"/>
                              <a:gd name="T91" fmla="*/ 2378 h 235"/>
                              <a:gd name="T92" fmla="+- 0 4601 2478"/>
                              <a:gd name="T93" fmla="*/ T92 w 2606"/>
                              <a:gd name="T94" fmla="+- 0 2378 2144"/>
                              <a:gd name="T95" fmla="*/ 2378 h 235"/>
                              <a:gd name="T96" fmla="+- 0 4601 2478"/>
                              <a:gd name="T97" fmla="*/ T96 w 2606"/>
                              <a:gd name="T98" fmla="+- 0 2321 2144"/>
                              <a:gd name="T99" fmla="*/ 2321 h 235"/>
                              <a:gd name="T100" fmla="+- 0 5083 2478"/>
                              <a:gd name="T101" fmla="*/ T100 w 2606"/>
                              <a:gd name="T102" fmla="+- 0 2207 2144"/>
                              <a:gd name="T103" fmla="*/ 2207 h 235"/>
                              <a:gd name="T104" fmla="+- 0 4891 2478"/>
                              <a:gd name="T105" fmla="*/ T104 w 2606"/>
                              <a:gd name="T106" fmla="+- 0 2207 2144"/>
                              <a:gd name="T107" fmla="*/ 2207 h 235"/>
                              <a:gd name="T108" fmla="+- 0 4891 2478"/>
                              <a:gd name="T109" fmla="*/ T108 w 2606"/>
                              <a:gd name="T110" fmla="+- 0 2276 2144"/>
                              <a:gd name="T111" fmla="*/ 2276 h 235"/>
                              <a:gd name="T112" fmla="+- 0 5083 2478"/>
                              <a:gd name="T113" fmla="*/ T112 w 2606"/>
                              <a:gd name="T114" fmla="+- 0 2276 2144"/>
                              <a:gd name="T115" fmla="*/ 2276 h 235"/>
                              <a:gd name="T116" fmla="+- 0 5083 2478"/>
                              <a:gd name="T117" fmla="*/ T116 w 2606"/>
                              <a:gd name="T118" fmla="+- 0 2207 2144"/>
                              <a:gd name="T119" fmla="*/ 2207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6" h="235">
                                <a:moveTo>
                                  <a:pt x="192" y="0"/>
                                </a:moveTo>
                                <a:lnTo>
                                  <a:pt x="0" y="0"/>
                                </a:lnTo>
                                <a:lnTo>
                                  <a:pt x="0" y="78"/>
                                </a:lnTo>
                                <a:lnTo>
                                  <a:pt x="192" y="78"/>
                                </a:lnTo>
                                <a:lnTo>
                                  <a:pt x="192" y="0"/>
                                </a:lnTo>
                                <a:close/>
                                <a:moveTo>
                                  <a:pt x="674" y="103"/>
                                </a:moveTo>
                                <a:lnTo>
                                  <a:pt x="482" y="103"/>
                                </a:lnTo>
                                <a:lnTo>
                                  <a:pt x="482" y="174"/>
                                </a:lnTo>
                                <a:lnTo>
                                  <a:pt x="674" y="174"/>
                                </a:lnTo>
                                <a:lnTo>
                                  <a:pt x="674" y="103"/>
                                </a:lnTo>
                                <a:close/>
                                <a:moveTo>
                                  <a:pt x="1159" y="128"/>
                                </a:moveTo>
                                <a:lnTo>
                                  <a:pt x="965" y="128"/>
                                </a:lnTo>
                                <a:lnTo>
                                  <a:pt x="965" y="194"/>
                                </a:lnTo>
                                <a:lnTo>
                                  <a:pt x="1159" y="194"/>
                                </a:lnTo>
                                <a:lnTo>
                                  <a:pt x="1159" y="128"/>
                                </a:lnTo>
                                <a:close/>
                                <a:moveTo>
                                  <a:pt x="1642" y="66"/>
                                </a:moveTo>
                                <a:lnTo>
                                  <a:pt x="1447" y="66"/>
                                </a:lnTo>
                                <a:lnTo>
                                  <a:pt x="1447" y="132"/>
                                </a:lnTo>
                                <a:lnTo>
                                  <a:pt x="1642" y="132"/>
                                </a:lnTo>
                                <a:lnTo>
                                  <a:pt x="1642" y="66"/>
                                </a:lnTo>
                                <a:close/>
                                <a:moveTo>
                                  <a:pt x="2123" y="177"/>
                                </a:moveTo>
                                <a:lnTo>
                                  <a:pt x="1931" y="177"/>
                                </a:lnTo>
                                <a:lnTo>
                                  <a:pt x="1931" y="234"/>
                                </a:lnTo>
                                <a:lnTo>
                                  <a:pt x="2123" y="234"/>
                                </a:lnTo>
                                <a:lnTo>
                                  <a:pt x="2123" y="177"/>
                                </a:lnTo>
                                <a:close/>
                                <a:moveTo>
                                  <a:pt x="2605" y="63"/>
                                </a:moveTo>
                                <a:lnTo>
                                  <a:pt x="2413" y="63"/>
                                </a:lnTo>
                                <a:lnTo>
                                  <a:pt x="2413" y="132"/>
                                </a:lnTo>
                                <a:lnTo>
                                  <a:pt x="2605" y="132"/>
                                </a:lnTo>
                                <a:lnTo>
                                  <a:pt x="2605" y="63"/>
                                </a:lnTo>
                                <a:close/>
                              </a:path>
                            </a:pathLst>
                          </a:custGeom>
                          <a:solidFill>
                            <a:srgbClr val="5A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162"/>
                        <wps:cNvSpPr>
                          <a:spLocks/>
                        </wps:cNvSpPr>
                        <wps:spPr bwMode="auto">
                          <a:xfrm>
                            <a:off x="5083" y="2130"/>
                            <a:ext cx="773" cy="5"/>
                          </a:xfrm>
                          <a:custGeom>
                            <a:avLst/>
                            <a:gdLst>
                              <a:gd name="T0" fmla="+- 0 5083 5083"/>
                              <a:gd name="T1" fmla="*/ T0 w 773"/>
                              <a:gd name="T2" fmla="+- 0 2135 2131"/>
                              <a:gd name="T3" fmla="*/ 2135 h 5"/>
                              <a:gd name="T4" fmla="+- 0 5856 5083"/>
                              <a:gd name="T5" fmla="*/ T4 w 773"/>
                              <a:gd name="T6" fmla="+- 0 2135 2131"/>
                              <a:gd name="T7" fmla="*/ 2135 h 5"/>
                              <a:gd name="T8" fmla="+- 0 5083 5083"/>
                              <a:gd name="T9" fmla="*/ T8 w 773"/>
                              <a:gd name="T10" fmla="+- 0 2131 2131"/>
                              <a:gd name="T11" fmla="*/ 2131 h 5"/>
                              <a:gd name="T12" fmla="+- 0 5374 5083"/>
                              <a:gd name="T13" fmla="*/ T12 w 773"/>
                              <a:gd name="T14" fmla="+- 0 2131 2131"/>
                              <a:gd name="T15" fmla="*/ 2131 h 5"/>
                              <a:gd name="T16" fmla="+- 0 5568 5083"/>
                              <a:gd name="T17" fmla="*/ T16 w 773"/>
                              <a:gd name="T18" fmla="+- 0 2131 2131"/>
                              <a:gd name="T19" fmla="*/ 2131 h 5"/>
                              <a:gd name="T20" fmla="+- 0 5856 5083"/>
                              <a:gd name="T21" fmla="*/ T20 w 773"/>
                              <a:gd name="T22" fmla="+- 0 2131 2131"/>
                              <a:gd name="T23" fmla="*/ 2131 h 5"/>
                            </a:gdLst>
                            <a:ahLst/>
                            <a:cxnLst>
                              <a:cxn ang="0">
                                <a:pos x="T1" y="T3"/>
                              </a:cxn>
                              <a:cxn ang="0">
                                <a:pos x="T5" y="T7"/>
                              </a:cxn>
                              <a:cxn ang="0">
                                <a:pos x="T9" y="T11"/>
                              </a:cxn>
                              <a:cxn ang="0">
                                <a:pos x="T13" y="T15"/>
                              </a:cxn>
                              <a:cxn ang="0">
                                <a:pos x="T17" y="T19"/>
                              </a:cxn>
                              <a:cxn ang="0">
                                <a:pos x="T21" y="T23"/>
                              </a:cxn>
                            </a:cxnLst>
                            <a:rect l="0" t="0" r="r" b="b"/>
                            <a:pathLst>
                              <a:path w="773" h="5">
                                <a:moveTo>
                                  <a:pt x="0" y="4"/>
                                </a:moveTo>
                                <a:lnTo>
                                  <a:pt x="773" y="4"/>
                                </a:lnTo>
                                <a:moveTo>
                                  <a:pt x="0" y="0"/>
                                </a:moveTo>
                                <a:lnTo>
                                  <a:pt x="291" y="0"/>
                                </a:lnTo>
                                <a:moveTo>
                                  <a:pt x="485" y="0"/>
                                </a:moveTo>
                                <a:lnTo>
                                  <a:pt x="773"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163"/>
                        <wps:cNvSpPr>
                          <a:spLocks/>
                        </wps:cNvSpPr>
                        <wps:spPr bwMode="auto">
                          <a:xfrm>
                            <a:off x="5373" y="2132"/>
                            <a:ext cx="2126" cy="215"/>
                          </a:xfrm>
                          <a:custGeom>
                            <a:avLst/>
                            <a:gdLst>
                              <a:gd name="T0" fmla="+- 0 5568 5374"/>
                              <a:gd name="T1" fmla="*/ T0 w 2126"/>
                              <a:gd name="T2" fmla="+- 0 2133 2133"/>
                              <a:gd name="T3" fmla="*/ 2133 h 215"/>
                              <a:gd name="T4" fmla="+- 0 5374 5374"/>
                              <a:gd name="T5" fmla="*/ T4 w 2126"/>
                              <a:gd name="T6" fmla="+- 0 2133 2133"/>
                              <a:gd name="T7" fmla="*/ 2133 h 215"/>
                              <a:gd name="T8" fmla="+- 0 5374 5374"/>
                              <a:gd name="T9" fmla="*/ T8 w 2126"/>
                              <a:gd name="T10" fmla="+- 0 2216 2133"/>
                              <a:gd name="T11" fmla="*/ 2216 h 215"/>
                              <a:gd name="T12" fmla="+- 0 5568 5374"/>
                              <a:gd name="T13" fmla="*/ T12 w 2126"/>
                              <a:gd name="T14" fmla="+- 0 2216 2133"/>
                              <a:gd name="T15" fmla="*/ 2216 h 215"/>
                              <a:gd name="T16" fmla="+- 0 5568 5374"/>
                              <a:gd name="T17" fmla="*/ T16 w 2126"/>
                              <a:gd name="T18" fmla="+- 0 2133 2133"/>
                              <a:gd name="T19" fmla="*/ 2133 h 215"/>
                              <a:gd name="T20" fmla="+- 0 6050 5374"/>
                              <a:gd name="T21" fmla="*/ T20 w 2126"/>
                              <a:gd name="T22" fmla="+- 0 2219 2133"/>
                              <a:gd name="T23" fmla="*/ 2219 h 215"/>
                              <a:gd name="T24" fmla="+- 0 5856 5374"/>
                              <a:gd name="T25" fmla="*/ T24 w 2126"/>
                              <a:gd name="T26" fmla="+- 0 2219 2133"/>
                              <a:gd name="T27" fmla="*/ 2219 h 215"/>
                              <a:gd name="T28" fmla="+- 0 5856 5374"/>
                              <a:gd name="T29" fmla="*/ T28 w 2126"/>
                              <a:gd name="T30" fmla="+- 0 2282 2133"/>
                              <a:gd name="T31" fmla="*/ 2282 h 215"/>
                              <a:gd name="T32" fmla="+- 0 6050 5374"/>
                              <a:gd name="T33" fmla="*/ T32 w 2126"/>
                              <a:gd name="T34" fmla="+- 0 2282 2133"/>
                              <a:gd name="T35" fmla="*/ 2282 h 215"/>
                              <a:gd name="T36" fmla="+- 0 6050 5374"/>
                              <a:gd name="T37" fmla="*/ T36 w 2126"/>
                              <a:gd name="T38" fmla="+- 0 2219 2133"/>
                              <a:gd name="T39" fmla="*/ 2219 h 215"/>
                              <a:gd name="T40" fmla="+- 0 6533 5374"/>
                              <a:gd name="T41" fmla="*/ T40 w 2126"/>
                              <a:gd name="T42" fmla="+- 0 2234 2133"/>
                              <a:gd name="T43" fmla="*/ 2234 h 215"/>
                              <a:gd name="T44" fmla="+- 0 6341 5374"/>
                              <a:gd name="T45" fmla="*/ T44 w 2126"/>
                              <a:gd name="T46" fmla="+- 0 2234 2133"/>
                              <a:gd name="T47" fmla="*/ 2234 h 215"/>
                              <a:gd name="T48" fmla="+- 0 6341 5374"/>
                              <a:gd name="T49" fmla="*/ T48 w 2126"/>
                              <a:gd name="T50" fmla="+- 0 2306 2133"/>
                              <a:gd name="T51" fmla="*/ 2306 h 215"/>
                              <a:gd name="T52" fmla="+- 0 6533 5374"/>
                              <a:gd name="T53" fmla="*/ T52 w 2126"/>
                              <a:gd name="T54" fmla="+- 0 2306 2133"/>
                              <a:gd name="T55" fmla="*/ 2306 h 215"/>
                              <a:gd name="T56" fmla="+- 0 6533 5374"/>
                              <a:gd name="T57" fmla="*/ T56 w 2126"/>
                              <a:gd name="T58" fmla="+- 0 2234 2133"/>
                              <a:gd name="T59" fmla="*/ 2234 h 215"/>
                              <a:gd name="T60" fmla="+- 0 7018 5374"/>
                              <a:gd name="T61" fmla="*/ T60 w 2126"/>
                              <a:gd name="T62" fmla="+- 0 2279 2133"/>
                              <a:gd name="T63" fmla="*/ 2279 h 215"/>
                              <a:gd name="T64" fmla="+- 0 6823 5374"/>
                              <a:gd name="T65" fmla="*/ T64 w 2126"/>
                              <a:gd name="T66" fmla="+- 0 2279 2133"/>
                              <a:gd name="T67" fmla="*/ 2279 h 215"/>
                              <a:gd name="T68" fmla="+- 0 6823 5374"/>
                              <a:gd name="T69" fmla="*/ T68 w 2126"/>
                              <a:gd name="T70" fmla="+- 0 2348 2133"/>
                              <a:gd name="T71" fmla="*/ 2348 h 215"/>
                              <a:gd name="T72" fmla="+- 0 7018 5374"/>
                              <a:gd name="T73" fmla="*/ T72 w 2126"/>
                              <a:gd name="T74" fmla="+- 0 2348 2133"/>
                              <a:gd name="T75" fmla="*/ 2348 h 215"/>
                              <a:gd name="T76" fmla="+- 0 7018 5374"/>
                              <a:gd name="T77" fmla="*/ T76 w 2126"/>
                              <a:gd name="T78" fmla="+- 0 2279 2133"/>
                              <a:gd name="T79" fmla="*/ 2279 h 215"/>
                              <a:gd name="T80" fmla="+- 0 7499 5374"/>
                              <a:gd name="T81" fmla="*/ T80 w 2126"/>
                              <a:gd name="T82" fmla="+- 0 2231 2133"/>
                              <a:gd name="T83" fmla="*/ 2231 h 215"/>
                              <a:gd name="T84" fmla="+- 0 7306 5374"/>
                              <a:gd name="T85" fmla="*/ T84 w 2126"/>
                              <a:gd name="T86" fmla="+- 0 2231 2133"/>
                              <a:gd name="T87" fmla="*/ 2231 h 215"/>
                              <a:gd name="T88" fmla="+- 0 7306 5374"/>
                              <a:gd name="T89" fmla="*/ T88 w 2126"/>
                              <a:gd name="T90" fmla="+- 0 2297 2133"/>
                              <a:gd name="T91" fmla="*/ 2297 h 215"/>
                              <a:gd name="T92" fmla="+- 0 7499 5374"/>
                              <a:gd name="T93" fmla="*/ T92 w 2126"/>
                              <a:gd name="T94" fmla="+- 0 2297 2133"/>
                              <a:gd name="T95" fmla="*/ 2297 h 215"/>
                              <a:gd name="T96" fmla="+- 0 7499 5374"/>
                              <a:gd name="T97" fmla="*/ T96 w 2126"/>
                              <a:gd name="T98" fmla="+- 0 2231 2133"/>
                              <a:gd name="T99" fmla="*/ 22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26" h="215">
                                <a:moveTo>
                                  <a:pt x="194" y="0"/>
                                </a:moveTo>
                                <a:lnTo>
                                  <a:pt x="0" y="0"/>
                                </a:lnTo>
                                <a:lnTo>
                                  <a:pt x="0" y="83"/>
                                </a:lnTo>
                                <a:lnTo>
                                  <a:pt x="194" y="83"/>
                                </a:lnTo>
                                <a:lnTo>
                                  <a:pt x="194" y="0"/>
                                </a:lnTo>
                                <a:close/>
                                <a:moveTo>
                                  <a:pt x="676" y="86"/>
                                </a:moveTo>
                                <a:lnTo>
                                  <a:pt x="482" y="86"/>
                                </a:lnTo>
                                <a:lnTo>
                                  <a:pt x="482" y="149"/>
                                </a:lnTo>
                                <a:lnTo>
                                  <a:pt x="676" y="149"/>
                                </a:lnTo>
                                <a:lnTo>
                                  <a:pt x="676" y="86"/>
                                </a:lnTo>
                                <a:close/>
                                <a:moveTo>
                                  <a:pt x="1159" y="101"/>
                                </a:moveTo>
                                <a:lnTo>
                                  <a:pt x="967" y="101"/>
                                </a:lnTo>
                                <a:lnTo>
                                  <a:pt x="967" y="173"/>
                                </a:lnTo>
                                <a:lnTo>
                                  <a:pt x="1159" y="173"/>
                                </a:lnTo>
                                <a:lnTo>
                                  <a:pt x="1159" y="101"/>
                                </a:lnTo>
                                <a:close/>
                                <a:moveTo>
                                  <a:pt x="1644" y="146"/>
                                </a:moveTo>
                                <a:lnTo>
                                  <a:pt x="1449" y="146"/>
                                </a:lnTo>
                                <a:lnTo>
                                  <a:pt x="1449" y="215"/>
                                </a:lnTo>
                                <a:lnTo>
                                  <a:pt x="1644" y="215"/>
                                </a:lnTo>
                                <a:lnTo>
                                  <a:pt x="1644" y="146"/>
                                </a:lnTo>
                                <a:close/>
                                <a:moveTo>
                                  <a:pt x="2125" y="98"/>
                                </a:moveTo>
                                <a:lnTo>
                                  <a:pt x="1932" y="98"/>
                                </a:lnTo>
                                <a:lnTo>
                                  <a:pt x="1932" y="164"/>
                                </a:lnTo>
                                <a:lnTo>
                                  <a:pt x="2125" y="164"/>
                                </a:lnTo>
                                <a:lnTo>
                                  <a:pt x="2125" y="98"/>
                                </a:lnTo>
                                <a:close/>
                              </a:path>
                            </a:pathLst>
                          </a:custGeom>
                          <a:solidFill>
                            <a:srgbClr val="5A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64"/>
                        <wps:cNvSpPr>
                          <a:spLocks/>
                        </wps:cNvSpPr>
                        <wps:spPr bwMode="auto">
                          <a:xfrm>
                            <a:off x="2331" y="1741"/>
                            <a:ext cx="629" cy="5"/>
                          </a:xfrm>
                          <a:custGeom>
                            <a:avLst/>
                            <a:gdLst>
                              <a:gd name="T0" fmla="+- 0 2332 2332"/>
                              <a:gd name="T1" fmla="*/ T0 w 629"/>
                              <a:gd name="T2" fmla="+- 0 1746 1741"/>
                              <a:gd name="T3" fmla="*/ 1746 h 5"/>
                              <a:gd name="T4" fmla="+- 0 2478 2332"/>
                              <a:gd name="T5" fmla="*/ T4 w 629"/>
                              <a:gd name="T6" fmla="+- 0 1746 1741"/>
                              <a:gd name="T7" fmla="*/ 1746 h 5"/>
                              <a:gd name="T8" fmla="+- 0 2332 2332"/>
                              <a:gd name="T9" fmla="*/ T8 w 629"/>
                              <a:gd name="T10" fmla="+- 0 1741 1741"/>
                              <a:gd name="T11" fmla="*/ 1741 h 5"/>
                              <a:gd name="T12" fmla="+- 0 2478 2332"/>
                              <a:gd name="T13" fmla="*/ T12 w 629"/>
                              <a:gd name="T14" fmla="+- 0 1741 1741"/>
                              <a:gd name="T15" fmla="*/ 1741 h 5"/>
                              <a:gd name="T16" fmla="+- 0 2670 2332"/>
                              <a:gd name="T17" fmla="*/ T16 w 629"/>
                              <a:gd name="T18" fmla="+- 0 1746 1741"/>
                              <a:gd name="T19" fmla="*/ 1746 h 5"/>
                              <a:gd name="T20" fmla="+- 0 2960 2332"/>
                              <a:gd name="T21" fmla="*/ T20 w 629"/>
                              <a:gd name="T22" fmla="+- 0 1746 1741"/>
                              <a:gd name="T23" fmla="*/ 1746 h 5"/>
                              <a:gd name="T24" fmla="+- 0 2670 2332"/>
                              <a:gd name="T25" fmla="*/ T24 w 629"/>
                              <a:gd name="T26" fmla="+- 0 1741 1741"/>
                              <a:gd name="T27" fmla="*/ 1741 h 5"/>
                              <a:gd name="T28" fmla="+- 0 2960 2332"/>
                              <a:gd name="T29" fmla="*/ T28 w 629"/>
                              <a:gd name="T30" fmla="+- 0 1741 1741"/>
                              <a:gd name="T31" fmla="*/ 1741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5">
                                <a:moveTo>
                                  <a:pt x="0" y="5"/>
                                </a:moveTo>
                                <a:lnTo>
                                  <a:pt x="146" y="5"/>
                                </a:lnTo>
                                <a:moveTo>
                                  <a:pt x="0" y="0"/>
                                </a:moveTo>
                                <a:lnTo>
                                  <a:pt x="146" y="0"/>
                                </a:lnTo>
                                <a:moveTo>
                                  <a:pt x="338" y="5"/>
                                </a:moveTo>
                                <a:lnTo>
                                  <a:pt x="628" y="5"/>
                                </a:lnTo>
                                <a:moveTo>
                                  <a:pt x="338" y="0"/>
                                </a:moveTo>
                                <a:lnTo>
                                  <a:pt x="628" y="0"/>
                                </a:lnTo>
                              </a:path>
                            </a:pathLst>
                          </a:custGeom>
                          <a:noFill/>
                          <a:ln w="4934">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65"/>
                        <wps:cNvSpPr>
                          <a:spLocks noChangeArrowheads="1"/>
                        </wps:cNvSpPr>
                        <wps:spPr bwMode="auto">
                          <a:xfrm>
                            <a:off x="2478" y="1751"/>
                            <a:ext cx="192" cy="39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166"/>
                        <wps:cNvSpPr>
                          <a:spLocks/>
                        </wps:cNvSpPr>
                        <wps:spPr bwMode="auto">
                          <a:xfrm>
                            <a:off x="3152" y="2130"/>
                            <a:ext cx="291" cy="5"/>
                          </a:xfrm>
                          <a:custGeom>
                            <a:avLst/>
                            <a:gdLst>
                              <a:gd name="T0" fmla="+- 0 3152 3152"/>
                              <a:gd name="T1" fmla="*/ T0 w 291"/>
                              <a:gd name="T2" fmla="+- 0 2135 2131"/>
                              <a:gd name="T3" fmla="*/ 2135 h 5"/>
                              <a:gd name="T4" fmla="+- 0 3443 3152"/>
                              <a:gd name="T5" fmla="*/ T4 w 291"/>
                              <a:gd name="T6" fmla="+- 0 2135 2131"/>
                              <a:gd name="T7" fmla="*/ 2135 h 5"/>
                              <a:gd name="T8" fmla="+- 0 3152 3152"/>
                              <a:gd name="T9" fmla="*/ T8 w 291"/>
                              <a:gd name="T10" fmla="+- 0 2131 2131"/>
                              <a:gd name="T11" fmla="*/ 2131 h 5"/>
                              <a:gd name="T12" fmla="+- 0 3443 3152"/>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1" y="4"/>
                                </a:lnTo>
                                <a:moveTo>
                                  <a:pt x="0" y="0"/>
                                </a:moveTo>
                                <a:lnTo>
                                  <a:pt x="291"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167"/>
                        <wps:cNvSpPr>
                          <a:spLocks noChangeArrowheads="1"/>
                        </wps:cNvSpPr>
                        <wps:spPr bwMode="auto">
                          <a:xfrm>
                            <a:off x="2960" y="1895"/>
                            <a:ext cx="192" cy="35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168"/>
                        <wps:cNvSpPr>
                          <a:spLocks/>
                        </wps:cNvSpPr>
                        <wps:spPr bwMode="auto">
                          <a:xfrm>
                            <a:off x="3637" y="2130"/>
                            <a:ext cx="288" cy="5"/>
                          </a:xfrm>
                          <a:custGeom>
                            <a:avLst/>
                            <a:gdLst>
                              <a:gd name="T0" fmla="+- 0 3637 3637"/>
                              <a:gd name="T1" fmla="*/ T0 w 288"/>
                              <a:gd name="T2" fmla="+- 0 2135 2131"/>
                              <a:gd name="T3" fmla="*/ 2135 h 5"/>
                              <a:gd name="T4" fmla="+- 0 3925 3637"/>
                              <a:gd name="T5" fmla="*/ T4 w 288"/>
                              <a:gd name="T6" fmla="+- 0 2135 2131"/>
                              <a:gd name="T7" fmla="*/ 2135 h 5"/>
                              <a:gd name="T8" fmla="+- 0 3637 3637"/>
                              <a:gd name="T9" fmla="*/ T8 w 288"/>
                              <a:gd name="T10" fmla="+- 0 2131 2131"/>
                              <a:gd name="T11" fmla="*/ 2131 h 5"/>
                              <a:gd name="T12" fmla="+- 0 3925 3637"/>
                              <a:gd name="T13" fmla="*/ T12 w 288"/>
                              <a:gd name="T14" fmla="+- 0 2131 2131"/>
                              <a:gd name="T15" fmla="*/ 2131 h 5"/>
                            </a:gdLst>
                            <a:ahLst/>
                            <a:cxnLst>
                              <a:cxn ang="0">
                                <a:pos x="T1" y="T3"/>
                              </a:cxn>
                              <a:cxn ang="0">
                                <a:pos x="T5" y="T7"/>
                              </a:cxn>
                              <a:cxn ang="0">
                                <a:pos x="T9" y="T11"/>
                              </a:cxn>
                              <a:cxn ang="0">
                                <a:pos x="T13" y="T15"/>
                              </a:cxn>
                            </a:cxnLst>
                            <a:rect l="0" t="0" r="r" b="b"/>
                            <a:pathLst>
                              <a:path w="288" h="5">
                                <a:moveTo>
                                  <a:pt x="0" y="4"/>
                                </a:moveTo>
                                <a:lnTo>
                                  <a:pt x="288" y="4"/>
                                </a:lnTo>
                                <a:moveTo>
                                  <a:pt x="0" y="0"/>
                                </a:moveTo>
                                <a:lnTo>
                                  <a:pt x="288"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169"/>
                        <wps:cNvSpPr>
                          <a:spLocks noChangeArrowheads="1"/>
                        </wps:cNvSpPr>
                        <wps:spPr bwMode="auto">
                          <a:xfrm>
                            <a:off x="3442" y="1931"/>
                            <a:ext cx="195" cy="34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docshape170"/>
                        <wps:cNvSpPr>
                          <a:spLocks/>
                        </wps:cNvSpPr>
                        <wps:spPr bwMode="auto">
                          <a:xfrm>
                            <a:off x="4119" y="2130"/>
                            <a:ext cx="290" cy="5"/>
                          </a:xfrm>
                          <a:custGeom>
                            <a:avLst/>
                            <a:gdLst>
                              <a:gd name="T0" fmla="+- 0 4120 4120"/>
                              <a:gd name="T1" fmla="*/ T0 w 290"/>
                              <a:gd name="T2" fmla="+- 0 2135 2131"/>
                              <a:gd name="T3" fmla="*/ 2135 h 5"/>
                              <a:gd name="T4" fmla="+- 0 4409 4120"/>
                              <a:gd name="T5" fmla="*/ T4 w 290"/>
                              <a:gd name="T6" fmla="+- 0 2135 2131"/>
                              <a:gd name="T7" fmla="*/ 2135 h 5"/>
                              <a:gd name="T8" fmla="+- 0 4120 4120"/>
                              <a:gd name="T9" fmla="*/ T8 w 290"/>
                              <a:gd name="T10" fmla="+- 0 2131 2131"/>
                              <a:gd name="T11" fmla="*/ 2131 h 5"/>
                              <a:gd name="T12" fmla="+- 0 4409 4120"/>
                              <a:gd name="T13" fmla="*/ T12 w 290"/>
                              <a:gd name="T14" fmla="+- 0 2131 2131"/>
                              <a:gd name="T15" fmla="*/ 2131 h 5"/>
                            </a:gdLst>
                            <a:ahLst/>
                            <a:cxnLst>
                              <a:cxn ang="0">
                                <a:pos x="T1" y="T3"/>
                              </a:cxn>
                              <a:cxn ang="0">
                                <a:pos x="T5" y="T7"/>
                              </a:cxn>
                              <a:cxn ang="0">
                                <a:pos x="T9" y="T11"/>
                              </a:cxn>
                              <a:cxn ang="0">
                                <a:pos x="T13" y="T15"/>
                              </a:cxn>
                            </a:cxnLst>
                            <a:rect l="0" t="0" r="r" b="b"/>
                            <a:pathLst>
                              <a:path w="290" h="5">
                                <a:moveTo>
                                  <a:pt x="0" y="4"/>
                                </a:moveTo>
                                <a:lnTo>
                                  <a:pt x="289" y="4"/>
                                </a:lnTo>
                                <a:moveTo>
                                  <a:pt x="0" y="0"/>
                                </a:moveTo>
                                <a:lnTo>
                                  <a:pt x="289"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171"/>
                        <wps:cNvSpPr>
                          <a:spLocks noChangeArrowheads="1"/>
                        </wps:cNvSpPr>
                        <wps:spPr bwMode="auto">
                          <a:xfrm>
                            <a:off x="3925" y="1837"/>
                            <a:ext cx="195" cy="37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docshape172"/>
                        <wps:cNvSpPr>
                          <a:spLocks/>
                        </wps:cNvSpPr>
                        <wps:spPr bwMode="auto">
                          <a:xfrm>
                            <a:off x="4600" y="2130"/>
                            <a:ext cx="291" cy="5"/>
                          </a:xfrm>
                          <a:custGeom>
                            <a:avLst/>
                            <a:gdLst>
                              <a:gd name="T0" fmla="+- 0 4601 4601"/>
                              <a:gd name="T1" fmla="*/ T0 w 291"/>
                              <a:gd name="T2" fmla="+- 0 2135 2131"/>
                              <a:gd name="T3" fmla="*/ 2135 h 5"/>
                              <a:gd name="T4" fmla="+- 0 4891 4601"/>
                              <a:gd name="T5" fmla="*/ T4 w 291"/>
                              <a:gd name="T6" fmla="+- 0 2135 2131"/>
                              <a:gd name="T7" fmla="*/ 2135 h 5"/>
                              <a:gd name="T8" fmla="+- 0 4601 4601"/>
                              <a:gd name="T9" fmla="*/ T8 w 291"/>
                              <a:gd name="T10" fmla="+- 0 2131 2131"/>
                              <a:gd name="T11" fmla="*/ 2131 h 5"/>
                              <a:gd name="T12" fmla="+- 0 4891 4601"/>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0" y="4"/>
                                </a:lnTo>
                                <a:moveTo>
                                  <a:pt x="0" y="0"/>
                                </a:moveTo>
                                <a:lnTo>
                                  <a:pt x="290"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73"/>
                        <wps:cNvSpPr>
                          <a:spLocks/>
                        </wps:cNvSpPr>
                        <wps:spPr bwMode="auto">
                          <a:xfrm>
                            <a:off x="4408" y="1831"/>
                            <a:ext cx="675" cy="490"/>
                          </a:xfrm>
                          <a:custGeom>
                            <a:avLst/>
                            <a:gdLst>
                              <a:gd name="T0" fmla="+- 0 4601 4409"/>
                              <a:gd name="T1" fmla="*/ T0 w 675"/>
                              <a:gd name="T2" fmla="+- 0 1995 1832"/>
                              <a:gd name="T3" fmla="*/ 1995 h 490"/>
                              <a:gd name="T4" fmla="+- 0 4409 4409"/>
                              <a:gd name="T5" fmla="*/ T4 w 675"/>
                              <a:gd name="T6" fmla="+- 0 1995 1832"/>
                              <a:gd name="T7" fmla="*/ 1995 h 490"/>
                              <a:gd name="T8" fmla="+- 0 4409 4409"/>
                              <a:gd name="T9" fmla="*/ T8 w 675"/>
                              <a:gd name="T10" fmla="+- 0 2321 1832"/>
                              <a:gd name="T11" fmla="*/ 2321 h 490"/>
                              <a:gd name="T12" fmla="+- 0 4601 4409"/>
                              <a:gd name="T13" fmla="*/ T12 w 675"/>
                              <a:gd name="T14" fmla="+- 0 2321 1832"/>
                              <a:gd name="T15" fmla="*/ 2321 h 490"/>
                              <a:gd name="T16" fmla="+- 0 4601 4409"/>
                              <a:gd name="T17" fmla="*/ T16 w 675"/>
                              <a:gd name="T18" fmla="+- 0 1995 1832"/>
                              <a:gd name="T19" fmla="*/ 1995 h 490"/>
                              <a:gd name="T20" fmla="+- 0 5083 4409"/>
                              <a:gd name="T21" fmla="*/ T20 w 675"/>
                              <a:gd name="T22" fmla="+- 0 1832 1832"/>
                              <a:gd name="T23" fmla="*/ 1832 h 490"/>
                              <a:gd name="T24" fmla="+- 0 4891 4409"/>
                              <a:gd name="T25" fmla="*/ T24 w 675"/>
                              <a:gd name="T26" fmla="+- 0 1832 1832"/>
                              <a:gd name="T27" fmla="*/ 1832 h 490"/>
                              <a:gd name="T28" fmla="+- 0 4891 4409"/>
                              <a:gd name="T29" fmla="*/ T28 w 675"/>
                              <a:gd name="T30" fmla="+- 0 2207 1832"/>
                              <a:gd name="T31" fmla="*/ 2207 h 490"/>
                              <a:gd name="T32" fmla="+- 0 5083 4409"/>
                              <a:gd name="T33" fmla="*/ T32 w 675"/>
                              <a:gd name="T34" fmla="+- 0 2207 1832"/>
                              <a:gd name="T35" fmla="*/ 2207 h 490"/>
                              <a:gd name="T36" fmla="+- 0 5083 4409"/>
                              <a:gd name="T37" fmla="*/ T36 w 675"/>
                              <a:gd name="T38" fmla="+- 0 1832 1832"/>
                              <a:gd name="T39" fmla="*/ 183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5" h="490">
                                <a:moveTo>
                                  <a:pt x="192" y="163"/>
                                </a:moveTo>
                                <a:lnTo>
                                  <a:pt x="0" y="163"/>
                                </a:lnTo>
                                <a:lnTo>
                                  <a:pt x="0" y="489"/>
                                </a:lnTo>
                                <a:lnTo>
                                  <a:pt x="192" y="489"/>
                                </a:lnTo>
                                <a:lnTo>
                                  <a:pt x="192" y="163"/>
                                </a:lnTo>
                                <a:close/>
                                <a:moveTo>
                                  <a:pt x="674" y="0"/>
                                </a:moveTo>
                                <a:lnTo>
                                  <a:pt x="482" y="0"/>
                                </a:lnTo>
                                <a:lnTo>
                                  <a:pt x="482" y="375"/>
                                </a:lnTo>
                                <a:lnTo>
                                  <a:pt x="674" y="375"/>
                                </a:lnTo>
                                <a:lnTo>
                                  <a:pt x="67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65"/>
                        <wps:cNvCnPr>
                          <a:cxnSpLocks noChangeShapeType="1"/>
                        </wps:cNvCnPr>
                        <wps:spPr bwMode="auto">
                          <a:xfrm>
                            <a:off x="5083" y="1746"/>
                            <a:ext cx="773"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53" name="docshape174"/>
                        <wps:cNvSpPr>
                          <a:spLocks/>
                        </wps:cNvSpPr>
                        <wps:spPr bwMode="auto">
                          <a:xfrm>
                            <a:off x="5083" y="1739"/>
                            <a:ext cx="773" cy="4"/>
                          </a:xfrm>
                          <a:custGeom>
                            <a:avLst/>
                            <a:gdLst>
                              <a:gd name="T0" fmla="+- 0 5083 5083"/>
                              <a:gd name="T1" fmla="*/ T0 w 773"/>
                              <a:gd name="T2" fmla="+- 0 1740 1740"/>
                              <a:gd name="T3" fmla="*/ 1740 h 4"/>
                              <a:gd name="T4" fmla="+- 0 5856 5083"/>
                              <a:gd name="T5" fmla="*/ T4 w 773"/>
                              <a:gd name="T6" fmla="+- 0 1740 1740"/>
                              <a:gd name="T7" fmla="*/ 1740 h 4"/>
                              <a:gd name="T8" fmla="+- 0 5083 5083"/>
                              <a:gd name="T9" fmla="*/ T8 w 773"/>
                              <a:gd name="T10" fmla="+- 0 1743 1740"/>
                              <a:gd name="T11" fmla="*/ 1743 h 4"/>
                              <a:gd name="T12" fmla="+- 0 5856 5083"/>
                              <a:gd name="T13" fmla="*/ T12 w 773"/>
                              <a:gd name="T14" fmla="+- 0 1743 1740"/>
                              <a:gd name="T15" fmla="*/ 1743 h 4"/>
                            </a:gdLst>
                            <a:ahLst/>
                            <a:cxnLst>
                              <a:cxn ang="0">
                                <a:pos x="T1" y="T3"/>
                              </a:cxn>
                              <a:cxn ang="0">
                                <a:pos x="T5" y="T7"/>
                              </a:cxn>
                              <a:cxn ang="0">
                                <a:pos x="T9" y="T11"/>
                              </a:cxn>
                              <a:cxn ang="0">
                                <a:pos x="T13" y="T15"/>
                              </a:cxn>
                            </a:cxnLst>
                            <a:rect l="0" t="0" r="r" b="b"/>
                            <a:pathLst>
                              <a:path w="773" h="4">
                                <a:moveTo>
                                  <a:pt x="0" y="0"/>
                                </a:moveTo>
                                <a:lnTo>
                                  <a:pt x="773" y="0"/>
                                </a:lnTo>
                                <a:moveTo>
                                  <a:pt x="0" y="3"/>
                                </a:moveTo>
                                <a:lnTo>
                                  <a:pt x="773"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75"/>
                        <wps:cNvSpPr>
                          <a:spLocks noChangeArrowheads="1"/>
                        </wps:cNvSpPr>
                        <wps:spPr bwMode="auto">
                          <a:xfrm>
                            <a:off x="5373" y="1741"/>
                            <a:ext cx="195" cy="39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docshape176"/>
                        <wps:cNvSpPr>
                          <a:spLocks/>
                        </wps:cNvSpPr>
                        <wps:spPr bwMode="auto">
                          <a:xfrm>
                            <a:off x="6050" y="2130"/>
                            <a:ext cx="291" cy="5"/>
                          </a:xfrm>
                          <a:custGeom>
                            <a:avLst/>
                            <a:gdLst>
                              <a:gd name="T0" fmla="+- 0 6050 6050"/>
                              <a:gd name="T1" fmla="*/ T0 w 291"/>
                              <a:gd name="T2" fmla="+- 0 2135 2131"/>
                              <a:gd name="T3" fmla="*/ 2135 h 5"/>
                              <a:gd name="T4" fmla="+- 0 6341 6050"/>
                              <a:gd name="T5" fmla="*/ T4 w 291"/>
                              <a:gd name="T6" fmla="+- 0 2135 2131"/>
                              <a:gd name="T7" fmla="*/ 2135 h 5"/>
                              <a:gd name="T8" fmla="+- 0 6050 6050"/>
                              <a:gd name="T9" fmla="*/ T8 w 291"/>
                              <a:gd name="T10" fmla="+- 0 2131 2131"/>
                              <a:gd name="T11" fmla="*/ 2131 h 5"/>
                              <a:gd name="T12" fmla="+- 0 6341 6050"/>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1" y="4"/>
                                </a:lnTo>
                                <a:moveTo>
                                  <a:pt x="0" y="0"/>
                                </a:moveTo>
                                <a:lnTo>
                                  <a:pt x="291"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177"/>
                        <wps:cNvSpPr>
                          <a:spLocks noChangeArrowheads="1"/>
                        </wps:cNvSpPr>
                        <wps:spPr bwMode="auto">
                          <a:xfrm>
                            <a:off x="5856" y="1885"/>
                            <a:ext cx="195" cy="33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178"/>
                        <wps:cNvSpPr>
                          <a:spLocks/>
                        </wps:cNvSpPr>
                        <wps:spPr bwMode="auto">
                          <a:xfrm>
                            <a:off x="6532" y="2130"/>
                            <a:ext cx="291" cy="5"/>
                          </a:xfrm>
                          <a:custGeom>
                            <a:avLst/>
                            <a:gdLst>
                              <a:gd name="T0" fmla="+- 0 6533 6533"/>
                              <a:gd name="T1" fmla="*/ T0 w 291"/>
                              <a:gd name="T2" fmla="+- 0 2135 2131"/>
                              <a:gd name="T3" fmla="*/ 2135 h 5"/>
                              <a:gd name="T4" fmla="+- 0 6823 6533"/>
                              <a:gd name="T5" fmla="*/ T4 w 291"/>
                              <a:gd name="T6" fmla="+- 0 2135 2131"/>
                              <a:gd name="T7" fmla="*/ 2135 h 5"/>
                              <a:gd name="T8" fmla="+- 0 6533 6533"/>
                              <a:gd name="T9" fmla="*/ T8 w 291"/>
                              <a:gd name="T10" fmla="+- 0 2131 2131"/>
                              <a:gd name="T11" fmla="*/ 2131 h 5"/>
                              <a:gd name="T12" fmla="+- 0 6823 6533"/>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0" y="4"/>
                                </a:lnTo>
                                <a:moveTo>
                                  <a:pt x="0" y="0"/>
                                </a:moveTo>
                                <a:lnTo>
                                  <a:pt x="290"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179"/>
                        <wps:cNvSpPr>
                          <a:spLocks noChangeArrowheads="1"/>
                        </wps:cNvSpPr>
                        <wps:spPr bwMode="auto">
                          <a:xfrm>
                            <a:off x="6340" y="1909"/>
                            <a:ext cx="192" cy="32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docshape180"/>
                        <wps:cNvSpPr>
                          <a:spLocks/>
                        </wps:cNvSpPr>
                        <wps:spPr bwMode="auto">
                          <a:xfrm>
                            <a:off x="7017" y="2130"/>
                            <a:ext cx="288" cy="5"/>
                          </a:xfrm>
                          <a:custGeom>
                            <a:avLst/>
                            <a:gdLst>
                              <a:gd name="T0" fmla="+- 0 7018 7018"/>
                              <a:gd name="T1" fmla="*/ T0 w 288"/>
                              <a:gd name="T2" fmla="+- 0 2135 2131"/>
                              <a:gd name="T3" fmla="*/ 2135 h 5"/>
                              <a:gd name="T4" fmla="+- 0 7306 7018"/>
                              <a:gd name="T5" fmla="*/ T4 w 288"/>
                              <a:gd name="T6" fmla="+- 0 2135 2131"/>
                              <a:gd name="T7" fmla="*/ 2135 h 5"/>
                              <a:gd name="T8" fmla="+- 0 7018 7018"/>
                              <a:gd name="T9" fmla="*/ T8 w 288"/>
                              <a:gd name="T10" fmla="+- 0 2131 2131"/>
                              <a:gd name="T11" fmla="*/ 2131 h 5"/>
                              <a:gd name="T12" fmla="+- 0 7306 7018"/>
                              <a:gd name="T13" fmla="*/ T12 w 288"/>
                              <a:gd name="T14" fmla="+- 0 2131 2131"/>
                              <a:gd name="T15" fmla="*/ 2131 h 5"/>
                            </a:gdLst>
                            <a:ahLst/>
                            <a:cxnLst>
                              <a:cxn ang="0">
                                <a:pos x="T1" y="T3"/>
                              </a:cxn>
                              <a:cxn ang="0">
                                <a:pos x="T5" y="T7"/>
                              </a:cxn>
                              <a:cxn ang="0">
                                <a:pos x="T9" y="T11"/>
                              </a:cxn>
                              <a:cxn ang="0">
                                <a:pos x="T13" y="T15"/>
                              </a:cxn>
                            </a:cxnLst>
                            <a:rect l="0" t="0" r="r" b="b"/>
                            <a:pathLst>
                              <a:path w="288" h="5">
                                <a:moveTo>
                                  <a:pt x="0" y="4"/>
                                </a:moveTo>
                                <a:lnTo>
                                  <a:pt x="288" y="4"/>
                                </a:lnTo>
                                <a:moveTo>
                                  <a:pt x="0" y="0"/>
                                </a:moveTo>
                                <a:lnTo>
                                  <a:pt x="288"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docshape181"/>
                        <wps:cNvSpPr>
                          <a:spLocks noChangeArrowheads="1"/>
                        </wps:cNvSpPr>
                        <wps:spPr bwMode="auto">
                          <a:xfrm>
                            <a:off x="6823" y="1940"/>
                            <a:ext cx="195" cy="33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docshape182"/>
                        <wps:cNvSpPr>
                          <a:spLocks/>
                        </wps:cNvSpPr>
                        <wps:spPr bwMode="auto">
                          <a:xfrm>
                            <a:off x="7498" y="2130"/>
                            <a:ext cx="291" cy="5"/>
                          </a:xfrm>
                          <a:custGeom>
                            <a:avLst/>
                            <a:gdLst>
                              <a:gd name="T0" fmla="+- 0 7499 7499"/>
                              <a:gd name="T1" fmla="*/ T0 w 291"/>
                              <a:gd name="T2" fmla="+- 0 2135 2131"/>
                              <a:gd name="T3" fmla="*/ 2135 h 5"/>
                              <a:gd name="T4" fmla="+- 0 7789 7499"/>
                              <a:gd name="T5" fmla="*/ T4 w 291"/>
                              <a:gd name="T6" fmla="+- 0 2135 2131"/>
                              <a:gd name="T7" fmla="*/ 2135 h 5"/>
                              <a:gd name="T8" fmla="+- 0 7499 7499"/>
                              <a:gd name="T9" fmla="*/ T8 w 291"/>
                              <a:gd name="T10" fmla="+- 0 2131 2131"/>
                              <a:gd name="T11" fmla="*/ 2131 h 5"/>
                              <a:gd name="T12" fmla="+- 0 7789 7499"/>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0" y="4"/>
                                </a:lnTo>
                                <a:moveTo>
                                  <a:pt x="0" y="0"/>
                                </a:moveTo>
                                <a:lnTo>
                                  <a:pt x="290"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183"/>
                        <wps:cNvSpPr>
                          <a:spLocks noChangeArrowheads="1"/>
                        </wps:cNvSpPr>
                        <wps:spPr bwMode="auto">
                          <a:xfrm>
                            <a:off x="7305" y="1862"/>
                            <a:ext cx="194" cy="36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184"/>
                        <wps:cNvSpPr>
                          <a:spLocks/>
                        </wps:cNvSpPr>
                        <wps:spPr bwMode="auto">
                          <a:xfrm>
                            <a:off x="7981" y="2130"/>
                            <a:ext cx="291" cy="5"/>
                          </a:xfrm>
                          <a:custGeom>
                            <a:avLst/>
                            <a:gdLst>
                              <a:gd name="T0" fmla="+- 0 7981 7981"/>
                              <a:gd name="T1" fmla="*/ T0 w 291"/>
                              <a:gd name="T2" fmla="+- 0 2135 2131"/>
                              <a:gd name="T3" fmla="*/ 2135 h 5"/>
                              <a:gd name="T4" fmla="+- 0 8272 7981"/>
                              <a:gd name="T5" fmla="*/ T4 w 291"/>
                              <a:gd name="T6" fmla="+- 0 2135 2131"/>
                              <a:gd name="T7" fmla="*/ 2135 h 5"/>
                              <a:gd name="T8" fmla="+- 0 7981 7981"/>
                              <a:gd name="T9" fmla="*/ T8 w 291"/>
                              <a:gd name="T10" fmla="+- 0 2131 2131"/>
                              <a:gd name="T11" fmla="*/ 2131 h 5"/>
                              <a:gd name="T12" fmla="+- 0 8272 7981"/>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1" y="4"/>
                                </a:lnTo>
                                <a:moveTo>
                                  <a:pt x="0" y="0"/>
                                </a:moveTo>
                                <a:lnTo>
                                  <a:pt x="291"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185"/>
                        <wps:cNvSpPr>
                          <a:spLocks noChangeArrowheads="1"/>
                        </wps:cNvSpPr>
                        <wps:spPr bwMode="auto">
                          <a:xfrm>
                            <a:off x="7789" y="1919"/>
                            <a:ext cx="192" cy="37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docshape186"/>
                        <wps:cNvSpPr>
                          <a:spLocks/>
                        </wps:cNvSpPr>
                        <wps:spPr bwMode="auto">
                          <a:xfrm>
                            <a:off x="8463" y="2130"/>
                            <a:ext cx="291" cy="5"/>
                          </a:xfrm>
                          <a:custGeom>
                            <a:avLst/>
                            <a:gdLst>
                              <a:gd name="T0" fmla="+- 0 8464 8464"/>
                              <a:gd name="T1" fmla="*/ T0 w 291"/>
                              <a:gd name="T2" fmla="+- 0 2135 2131"/>
                              <a:gd name="T3" fmla="*/ 2135 h 5"/>
                              <a:gd name="T4" fmla="+- 0 8754 8464"/>
                              <a:gd name="T5" fmla="*/ T4 w 291"/>
                              <a:gd name="T6" fmla="+- 0 2135 2131"/>
                              <a:gd name="T7" fmla="*/ 2135 h 5"/>
                              <a:gd name="T8" fmla="+- 0 8464 8464"/>
                              <a:gd name="T9" fmla="*/ T8 w 291"/>
                              <a:gd name="T10" fmla="+- 0 2131 2131"/>
                              <a:gd name="T11" fmla="*/ 2131 h 5"/>
                              <a:gd name="T12" fmla="+- 0 8754 8464"/>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0" y="4"/>
                                </a:lnTo>
                                <a:moveTo>
                                  <a:pt x="0" y="0"/>
                                </a:moveTo>
                                <a:lnTo>
                                  <a:pt x="290"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187"/>
                        <wps:cNvSpPr>
                          <a:spLocks noChangeArrowheads="1"/>
                        </wps:cNvSpPr>
                        <wps:spPr bwMode="auto">
                          <a:xfrm>
                            <a:off x="8271" y="1907"/>
                            <a:ext cx="192" cy="39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docshape188"/>
                        <wps:cNvSpPr>
                          <a:spLocks/>
                        </wps:cNvSpPr>
                        <wps:spPr bwMode="auto">
                          <a:xfrm>
                            <a:off x="8948" y="2130"/>
                            <a:ext cx="288" cy="5"/>
                          </a:xfrm>
                          <a:custGeom>
                            <a:avLst/>
                            <a:gdLst>
                              <a:gd name="T0" fmla="+- 0 8948 8948"/>
                              <a:gd name="T1" fmla="*/ T0 w 288"/>
                              <a:gd name="T2" fmla="+- 0 2135 2131"/>
                              <a:gd name="T3" fmla="*/ 2135 h 5"/>
                              <a:gd name="T4" fmla="+- 0 9236 8948"/>
                              <a:gd name="T5" fmla="*/ T4 w 288"/>
                              <a:gd name="T6" fmla="+- 0 2135 2131"/>
                              <a:gd name="T7" fmla="*/ 2135 h 5"/>
                              <a:gd name="T8" fmla="+- 0 8948 8948"/>
                              <a:gd name="T9" fmla="*/ T8 w 288"/>
                              <a:gd name="T10" fmla="+- 0 2131 2131"/>
                              <a:gd name="T11" fmla="*/ 2131 h 5"/>
                              <a:gd name="T12" fmla="+- 0 9236 8948"/>
                              <a:gd name="T13" fmla="*/ T12 w 288"/>
                              <a:gd name="T14" fmla="+- 0 2131 2131"/>
                              <a:gd name="T15" fmla="*/ 2131 h 5"/>
                            </a:gdLst>
                            <a:ahLst/>
                            <a:cxnLst>
                              <a:cxn ang="0">
                                <a:pos x="T1" y="T3"/>
                              </a:cxn>
                              <a:cxn ang="0">
                                <a:pos x="T5" y="T7"/>
                              </a:cxn>
                              <a:cxn ang="0">
                                <a:pos x="T9" y="T11"/>
                              </a:cxn>
                              <a:cxn ang="0">
                                <a:pos x="T13" y="T15"/>
                              </a:cxn>
                            </a:cxnLst>
                            <a:rect l="0" t="0" r="r" b="b"/>
                            <a:pathLst>
                              <a:path w="288" h="5">
                                <a:moveTo>
                                  <a:pt x="0" y="4"/>
                                </a:moveTo>
                                <a:lnTo>
                                  <a:pt x="288" y="4"/>
                                </a:lnTo>
                                <a:moveTo>
                                  <a:pt x="0" y="0"/>
                                </a:moveTo>
                                <a:lnTo>
                                  <a:pt x="288"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docshape189"/>
                        <wps:cNvSpPr>
                          <a:spLocks noChangeArrowheads="1"/>
                        </wps:cNvSpPr>
                        <wps:spPr bwMode="auto">
                          <a:xfrm>
                            <a:off x="8754" y="1895"/>
                            <a:ext cx="195" cy="40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docshape190"/>
                        <wps:cNvSpPr>
                          <a:spLocks/>
                        </wps:cNvSpPr>
                        <wps:spPr bwMode="auto">
                          <a:xfrm>
                            <a:off x="9430" y="2130"/>
                            <a:ext cx="291" cy="5"/>
                          </a:xfrm>
                          <a:custGeom>
                            <a:avLst/>
                            <a:gdLst>
                              <a:gd name="T0" fmla="+- 0 9431 9431"/>
                              <a:gd name="T1" fmla="*/ T0 w 291"/>
                              <a:gd name="T2" fmla="+- 0 2135 2131"/>
                              <a:gd name="T3" fmla="*/ 2135 h 5"/>
                              <a:gd name="T4" fmla="+- 0 9721 9431"/>
                              <a:gd name="T5" fmla="*/ T4 w 291"/>
                              <a:gd name="T6" fmla="+- 0 2135 2131"/>
                              <a:gd name="T7" fmla="*/ 2135 h 5"/>
                              <a:gd name="T8" fmla="+- 0 9431 9431"/>
                              <a:gd name="T9" fmla="*/ T8 w 291"/>
                              <a:gd name="T10" fmla="+- 0 2131 2131"/>
                              <a:gd name="T11" fmla="*/ 2131 h 5"/>
                              <a:gd name="T12" fmla="+- 0 9721 9431"/>
                              <a:gd name="T13" fmla="*/ T12 w 291"/>
                              <a:gd name="T14" fmla="+- 0 2131 2131"/>
                              <a:gd name="T15" fmla="*/ 2131 h 5"/>
                            </a:gdLst>
                            <a:ahLst/>
                            <a:cxnLst>
                              <a:cxn ang="0">
                                <a:pos x="T1" y="T3"/>
                              </a:cxn>
                              <a:cxn ang="0">
                                <a:pos x="T5" y="T7"/>
                              </a:cxn>
                              <a:cxn ang="0">
                                <a:pos x="T9" y="T11"/>
                              </a:cxn>
                              <a:cxn ang="0">
                                <a:pos x="T13" y="T15"/>
                              </a:cxn>
                            </a:cxnLst>
                            <a:rect l="0" t="0" r="r" b="b"/>
                            <a:pathLst>
                              <a:path w="291" h="5">
                                <a:moveTo>
                                  <a:pt x="0" y="4"/>
                                </a:moveTo>
                                <a:lnTo>
                                  <a:pt x="290" y="4"/>
                                </a:lnTo>
                                <a:moveTo>
                                  <a:pt x="0" y="0"/>
                                </a:moveTo>
                                <a:lnTo>
                                  <a:pt x="290"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191"/>
                        <wps:cNvSpPr>
                          <a:spLocks noChangeArrowheads="1"/>
                        </wps:cNvSpPr>
                        <wps:spPr bwMode="auto">
                          <a:xfrm>
                            <a:off x="9236" y="1891"/>
                            <a:ext cx="195" cy="40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docshape192"/>
                        <wps:cNvSpPr>
                          <a:spLocks/>
                        </wps:cNvSpPr>
                        <wps:spPr bwMode="auto">
                          <a:xfrm>
                            <a:off x="9913" y="2130"/>
                            <a:ext cx="147" cy="5"/>
                          </a:xfrm>
                          <a:custGeom>
                            <a:avLst/>
                            <a:gdLst>
                              <a:gd name="T0" fmla="+- 0 9913 9913"/>
                              <a:gd name="T1" fmla="*/ T0 w 147"/>
                              <a:gd name="T2" fmla="+- 0 2135 2131"/>
                              <a:gd name="T3" fmla="*/ 2135 h 5"/>
                              <a:gd name="T4" fmla="+- 0 10060 9913"/>
                              <a:gd name="T5" fmla="*/ T4 w 147"/>
                              <a:gd name="T6" fmla="+- 0 2135 2131"/>
                              <a:gd name="T7" fmla="*/ 2135 h 5"/>
                              <a:gd name="T8" fmla="+- 0 9913 9913"/>
                              <a:gd name="T9" fmla="*/ T8 w 147"/>
                              <a:gd name="T10" fmla="+- 0 2131 2131"/>
                              <a:gd name="T11" fmla="*/ 2131 h 5"/>
                              <a:gd name="T12" fmla="+- 0 10060 9913"/>
                              <a:gd name="T13" fmla="*/ T12 w 147"/>
                              <a:gd name="T14" fmla="+- 0 2131 2131"/>
                              <a:gd name="T15" fmla="*/ 2131 h 5"/>
                            </a:gdLst>
                            <a:ahLst/>
                            <a:cxnLst>
                              <a:cxn ang="0">
                                <a:pos x="T1" y="T3"/>
                              </a:cxn>
                              <a:cxn ang="0">
                                <a:pos x="T5" y="T7"/>
                              </a:cxn>
                              <a:cxn ang="0">
                                <a:pos x="T9" y="T11"/>
                              </a:cxn>
                              <a:cxn ang="0">
                                <a:pos x="T13" y="T15"/>
                              </a:cxn>
                            </a:cxnLst>
                            <a:rect l="0" t="0" r="r" b="b"/>
                            <a:pathLst>
                              <a:path w="147" h="5">
                                <a:moveTo>
                                  <a:pt x="0" y="4"/>
                                </a:moveTo>
                                <a:lnTo>
                                  <a:pt x="147" y="4"/>
                                </a:lnTo>
                                <a:moveTo>
                                  <a:pt x="0" y="0"/>
                                </a:moveTo>
                                <a:lnTo>
                                  <a:pt x="147"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93"/>
                        <wps:cNvSpPr>
                          <a:spLocks noChangeArrowheads="1"/>
                        </wps:cNvSpPr>
                        <wps:spPr bwMode="auto">
                          <a:xfrm>
                            <a:off x="9721" y="1885"/>
                            <a:ext cx="192" cy="41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194"/>
                        <wps:cNvSpPr>
                          <a:spLocks/>
                        </wps:cNvSpPr>
                        <wps:spPr bwMode="auto">
                          <a:xfrm>
                            <a:off x="2331" y="1357"/>
                            <a:ext cx="629" cy="2"/>
                          </a:xfrm>
                          <a:custGeom>
                            <a:avLst/>
                            <a:gdLst>
                              <a:gd name="T0" fmla="+- 0 2332 2332"/>
                              <a:gd name="T1" fmla="*/ T0 w 629"/>
                              <a:gd name="T2" fmla="+- 0 2478 2332"/>
                              <a:gd name="T3" fmla="*/ T2 w 629"/>
                              <a:gd name="T4" fmla="+- 0 2670 2332"/>
                              <a:gd name="T5" fmla="*/ T4 w 629"/>
                              <a:gd name="T6" fmla="+- 0 2960 2332"/>
                              <a:gd name="T7" fmla="*/ T6 w 629"/>
                            </a:gdLst>
                            <a:ahLst/>
                            <a:cxnLst>
                              <a:cxn ang="0">
                                <a:pos x="T1" y="0"/>
                              </a:cxn>
                              <a:cxn ang="0">
                                <a:pos x="T3" y="0"/>
                              </a:cxn>
                              <a:cxn ang="0">
                                <a:pos x="T5" y="0"/>
                              </a:cxn>
                              <a:cxn ang="0">
                                <a:pos x="T7" y="0"/>
                              </a:cxn>
                            </a:cxnLst>
                            <a:rect l="0" t="0" r="r" b="b"/>
                            <a:pathLst>
                              <a:path w="629">
                                <a:moveTo>
                                  <a:pt x="0" y="0"/>
                                </a:moveTo>
                                <a:lnTo>
                                  <a:pt x="146" y="0"/>
                                </a:lnTo>
                                <a:moveTo>
                                  <a:pt x="338" y="0"/>
                                </a:moveTo>
                                <a:lnTo>
                                  <a:pt x="628" y="0"/>
                                </a:lnTo>
                              </a:path>
                            </a:pathLst>
                          </a:custGeom>
                          <a:noFill/>
                          <a:ln w="52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docshape195"/>
                        <wps:cNvSpPr>
                          <a:spLocks noChangeArrowheads="1"/>
                        </wps:cNvSpPr>
                        <wps:spPr bwMode="auto">
                          <a:xfrm>
                            <a:off x="2478" y="1106"/>
                            <a:ext cx="192" cy="64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docshape196"/>
                        <wps:cNvSpPr>
                          <a:spLocks/>
                        </wps:cNvSpPr>
                        <wps:spPr bwMode="auto">
                          <a:xfrm>
                            <a:off x="3152" y="1741"/>
                            <a:ext cx="291" cy="5"/>
                          </a:xfrm>
                          <a:custGeom>
                            <a:avLst/>
                            <a:gdLst>
                              <a:gd name="T0" fmla="+- 0 3152 3152"/>
                              <a:gd name="T1" fmla="*/ T0 w 291"/>
                              <a:gd name="T2" fmla="+- 0 1746 1741"/>
                              <a:gd name="T3" fmla="*/ 1746 h 5"/>
                              <a:gd name="T4" fmla="+- 0 3443 3152"/>
                              <a:gd name="T5" fmla="*/ T4 w 291"/>
                              <a:gd name="T6" fmla="+- 0 1746 1741"/>
                              <a:gd name="T7" fmla="*/ 1746 h 5"/>
                              <a:gd name="T8" fmla="+- 0 3152 3152"/>
                              <a:gd name="T9" fmla="*/ T8 w 291"/>
                              <a:gd name="T10" fmla="+- 0 1741 1741"/>
                              <a:gd name="T11" fmla="*/ 1741 h 5"/>
                              <a:gd name="T12" fmla="+- 0 3443 3152"/>
                              <a:gd name="T13" fmla="*/ T12 w 291"/>
                              <a:gd name="T14" fmla="+- 0 1741 1741"/>
                              <a:gd name="T15" fmla="*/ 1741 h 5"/>
                            </a:gdLst>
                            <a:ahLst/>
                            <a:cxnLst>
                              <a:cxn ang="0">
                                <a:pos x="T1" y="T3"/>
                              </a:cxn>
                              <a:cxn ang="0">
                                <a:pos x="T5" y="T7"/>
                              </a:cxn>
                              <a:cxn ang="0">
                                <a:pos x="T9" y="T11"/>
                              </a:cxn>
                              <a:cxn ang="0">
                                <a:pos x="T13" y="T15"/>
                              </a:cxn>
                            </a:cxnLst>
                            <a:rect l="0" t="0" r="r" b="b"/>
                            <a:pathLst>
                              <a:path w="291" h="5">
                                <a:moveTo>
                                  <a:pt x="0" y="5"/>
                                </a:moveTo>
                                <a:lnTo>
                                  <a:pt x="291" y="5"/>
                                </a:lnTo>
                                <a:moveTo>
                                  <a:pt x="0" y="0"/>
                                </a:moveTo>
                                <a:lnTo>
                                  <a:pt x="291" y="0"/>
                                </a:lnTo>
                              </a:path>
                            </a:pathLst>
                          </a:custGeom>
                          <a:noFill/>
                          <a:ln w="4934">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41"/>
                        <wps:cNvCnPr>
                          <a:cxnSpLocks noChangeShapeType="1"/>
                        </wps:cNvCnPr>
                        <wps:spPr bwMode="auto">
                          <a:xfrm>
                            <a:off x="3152" y="1358"/>
                            <a:ext cx="29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77" name="docshape197"/>
                        <wps:cNvSpPr>
                          <a:spLocks noChangeArrowheads="1"/>
                        </wps:cNvSpPr>
                        <wps:spPr bwMode="auto">
                          <a:xfrm>
                            <a:off x="2960" y="1325"/>
                            <a:ext cx="192" cy="57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198"/>
                        <wps:cNvSpPr>
                          <a:spLocks/>
                        </wps:cNvSpPr>
                        <wps:spPr bwMode="auto">
                          <a:xfrm>
                            <a:off x="3637" y="1741"/>
                            <a:ext cx="288" cy="5"/>
                          </a:xfrm>
                          <a:custGeom>
                            <a:avLst/>
                            <a:gdLst>
                              <a:gd name="T0" fmla="+- 0 3637 3637"/>
                              <a:gd name="T1" fmla="*/ T0 w 288"/>
                              <a:gd name="T2" fmla="+- 0 1746 1741"/>
                              <a:gd name="T3" fmla="*/ 1746 h 5"/>
                              <a:gd name="T4" fmla="+- 0 3925 3637"/>
                              <a:gd name="T5" fmla="*/ T4 w 288"/>
                              <a:gd name="T6" fmla="+- 0 1746 1741"/>
                              <a:gd name="T7" fmla="*/ 1746 h 5"/>
                              <a:gd name="T8" fmla="+- 0 3637 3637"/>
                              <a:gd name="T9" fmla="*/ T8 w 288"/>
                              <a:gd name="T10" fmla="+- 0 1741 1741"/>
                              <a:gd name="T11" fmla="*/ 1741 h 5"/>
                              <a:gd name="T12" fmla="+- 0 3925 3637"/>
                              <a:gd name="T13" fmla="*/ T12 w 288"/>
                              <a:gd name="T14" fmla="+- 0 1741 1741"/>
                              <a:gd name="T15" fmla="*/ 1741 h 5"/>
                            </a:gdLst>
                            <a:ahLst/>
                            <a:cxnLst>
                              <a:cxn ang="0">
                                <a:pos x="T1" y="T3"/>
                              </a:cxn>
                              <a:cxn ang="0">
                                <a:pos x="T5" y="T7"/>
                              </a:cxn>
                              <a:cxn ang="0">
                                <a:pos x="T9" y="T11"/>
                              </a:cxn>
                              <a:cxn ang="0">
                                <a:pos x="T13" y="T15"/>
                              </a:cxn>
                            </a:cxnLst>
                            <a:rect l="0" t="0" r="r" b="b"/>
                            <a:pathLst>
                              <a:path w="288" h="5">
                                <a:moveTo>
                                  <a:pt x="0" y="5"/>
                                </a:moveTo>
                                <a:lnTo>
                                  <a:pt x="288" y="5"/>
                                </a:lnTo>
                                <a:moveTo>
                                  <a:pt x="0" y="0"/>
                                </a:moveTo>
                                <a:lnTo>
                                  <a:pt x="288" y="0"/>
                                </a:lnTo>
                              </a:path>
                            </a:pathLst>
                          </a:custGeom>
                          <a:noFill/>
                          <a:ln w="4934">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38"/>
                        <wps:cNvCnPr>
                          <a:cxnSpLocks noChangeShapeType="1"/>
                        </wps:cNvCnPr>
                        <wps:spPr bwMode="auto">
                          <a:xfrm>
                            <a:off x="3637" y="1358"/>
                            <a:ext cx="28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80" name="docshape199"/>
                        <wps:cNvSpPr>
                          <a:spLocks noChangeArrowheads="1"/>
                        </wps:cNvSpPr>
                        <wps:spPr bwMode="auto">
                          <a:xfrm>
                            <a:off x="3442" y="1391"/>
                            <a:ext cx="195" cy="54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docshape200"/>
                        <wps:cNvSpPr>
                          <a:spLocks/>
                        </wps:cNvSpPr>
                        <wps:spPr bwMode="auto">
                          <a:xfrm>
                            <a:off x="4119" y="1741"/>
                            <a:ext cx="290" cy="5"/>
                          </a:xfrm>
                          <a:custGeom>
                            <a:avLst/>
                            <a:gdLst>
                              <a:gd name="T0" fmla="+- 0 4120 4120"/>
                              <a:gd name="T1" fmla="*/ T0 w 290"/>
                              <a:gd name="T2" fmla="+- 0 1746 1741"/>
                              <a:gd name="T3" fmla="*/ 1746 h 5"/>
                              <a:gd name="T4" fmla="+- 0 4409 4120"/>
                              <a:gd name="T5" fmla="*/ T4 w 290"/>
                              <a:gd name="T6" fmla="+- 0 1746 1741"/>
                              <a:gd name="T7" fmla="*/ 1746 h 5"/>
                              <a:gd name="T8" fmla="+- 0 4120 4120"/>
                              <a:gd name="T9" fmla="*/ T8 w 290"/>
                              <a:gd name="T10" fmla="+- 0 1741 1741"/>
                              <a:gd name="T11" fmla="*/ 1741 h 5"/>
                              <a:gd name="T12" fmla="+- 0 4409 4120"/>
                              <a:gd name="T13" fmla="*/ T12 w 290"/>
                              <a:gd name="T14" fmla="+- 0 1741 1741"/>
                              <a:gd name="T15" fmla="*/ 1741 h 5"/>
                            </a:gdLst>
                            <a:ahLst/>
                            <a:cxnLst>
                              <a:cxn ang="0">
                                <a:pos x="T1" y="T3"/>
                              </a:cxn>
                              <a:cxn ang="0">
                                <a:pos x="T5" y="T7"/>
                              </a:cxn>
                              <a:cxn ang="0">
                                <a:pos x="T9" y="T11"/>
                              </a:cxn>
                              <a:cxn ang="0">
                                <a:pos x="T13" y="T15"/>
                              </a:cxn>
                            </a:cxnLst>
                            <a:rect l="0" t="0" r="r" b="b"/>
                            <a:pathLst>
                              <a:path w="290" h="5">
                                <a:moveTo>
                                  <a:pt x="0" y="5"/>
                                </a:moveTo>
                                <a:lnTo>
                                  <a:pt x="289" y="5"/>
                                </a:lnTo>
                                <a:moveTo>
                                  <a:pt x="0" y="0"/>
                                </a:moveTo>
                                <a:lnTo>
                                  <a:pt x="289" y="0"/>
                                </a:lnTo>
                              </a:path>
                            </a:pathLst>
                          </a:custGeom>
                          <a:noFill/>
                          <a:ln w="4934">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35"/>
                        <wps:cNvCnPr>
                          <a:cxnSpLocks noChangeShapeType="1"/>
                        </wps:cNvCnPr>
                        <wps:spPr bwMode="auto">
                          <a:xfrm>
                            <a:off x="4120" y="1358"/>
                            <a:ext cx="289"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83" name="docshape201"/>
                        <wps:cNvSpPr>
                          <a:spLocks noChangeArrowheads="1"/>
                        </wps:cNvSpPr>
                        <wps:spPr bwMode="auto">
                          <a:xfrm>
                            <a:off x="3925" y="1292"/>
                            <a:ext cx="195" cy="54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202"/>
                        <wps:cNvSpPr>
                          <a:spLocks/>
                        </wps:cNvSpPr>
                        <wps:spPr bwMode="auto">
                          <a:xfrm>
                            <a:off x="4600" y="1741"/>
                            <a:ext cx="291" cy="5"/>
                          </a:xfrm>
                          <a:custGeom>
                            <a:avLst/>
                            <a:gdLst>
                              <a:gd name="T0" fmla="+- 0 4601 4601"/>
                              <a:gd name="T1" fmla="*/ T0 w 291"/>
                              <a:gd name="T2" fmla="+- 0 1746 1741"/>
                              <a:gd name="T3" fmla="*/ 1746 h 5"/>
                              <a:gd name="T4" fmla="+- 0 4891 4601"/>
                              <a:gd name="T5" fmla="*/ T4 w 291"/>
                              <a:gd name="T6" fmla="+- 0 1746 1741"/>
                              <a:gd name="T7" fmla="*/ 1746 h 5"/>
                              <a:gd name="T8" fmla="+- 0 4601 4601"/>
                              <a:gd name="T9" fmla="*/ T8 w 291"/>
                              <a:gd name="T10" fmla="+- 0 1741 1741"/>
                              <a:gd name="T11" fmla="*/ 1741 h 5"/>
                              <a:gd name="T12" fmla="+- 0 4891 4601"/>
                              <a:gd name="T13" fmla="*/ T12 w 291"/>
                              <a:gd name="T14" fmla="+- 0 1741 1741"/>
                              <a:gd name="T15" fmla="*/ 1741 h 5"/>
                            </a:gdLst>
                            <a:ahLst/>
                            <a:cxnLst>
                              <a:cxn ang="0">
                                <a:pos x="T1" y="T3"/>
                              </a:cxn>
                              <a:cxn ang="0">
                                <a:pos x="T5" y="T7"/>
                              </a:cxn>
                              <a:cxn ang="0">
                                <a:pos x="T9" y="T11"/>
                              </a:cxn>
                              <a:cxn ang="0">
                                <a:pos x="T13" y="T15"/>
                              </a:cxn>
                            </a:cxnLst>
                            <a:rect l="0" t="0" r="r" b="b"/>
                            <a:pathLst>
                              <a:path w="291" h="5">
                                <a:moveTo>
                                  <a:pt x="0" y="5"/>
                                </a:moveTo>
                                <a:lnTo>
                                  <a:pt x="290" y="5"/>
                                </a:lnTo>
                                <a:moveTo>
                                  <a:pt x="0" y="0"/>
                                </a:moveTo>
                                <a:lnTo>
                                  <a:pt x="290" y="0"/>
                                </a:lnTo>
                              </a:path>
                            </a:pathLst>
                          </a:custGeom>
                          <a:noFill/>
                          <a:ln w="4934">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203"/>
                        <wps:cNvSpPr>
                          <a:spLocks noChangeArrowheads="1"/>
                        </wps:cNvSpPr>
                        <wps:spPr bwMode="auto">
                          <a:xfrm>
                            <a:off x="4408" y="1532"/>
                            <a:ext cx="192" cy="46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docshape204"/>
                        <wps:cNvSpPr>
                          <a:spLocks/>
                        </wps:cNvSpPr>
                        <wps:spPr bwMode="auto">
                          <a:xfrm>
                            <a:off x="4600" y="1357"/>
                            <a:ext cx="773" cy="2"/>
                          </a:xfrm>
                          <a:custGeom>
                            <a:avLst/>
                            <a:gdLst>
                              <a:gd name="T0" fmla="+- 0 4601 4601"/>
                              <a:gd name="T1" fmla="*/ T0 w 773"/>
                              <a:gd name="T2" fmla="+- 0 4891 4601"/>
                              <a:gd name="T3" fmla="*/ T2 w 773"/>
                              <a:gd name="T4" fmla="+- 0 5083 4601"/>
                              <a:gd name="T5" fmla="*/ T4 w 773"/>
                              <a:gd name="T6" fmla="+- 0 5374 4601"/>
                              <a:gd name="T7" fmla="*/ T6 w 773"/>
                            </a:gdLst>
                            <a:ahLst/>
                            <a:cxnLst>
                              <a:cxn ang="0">
                                <a:pos x="T1" y="0"/>
                              </a:cxn>
                              <a:cxn ang="0">
                                <a:pos x="T3" y="0"/>
                              </a:cxn>
                              <a:cxn ang="0">
                                <a:pos x="T5" y="0"/>
                              </a:cxn>
                              <a:cxn ang="0">
                                <a:pos x="T7" y="0"/>
                              </a:cxn>
                            </a:cxnLst>
                            <a:rect l="0" t="0" r="r" b="b"/>
                            <a:pathLst>
                              <a:path w="773">
                                <a:moveTo>
                                  <a:pt x="0" y="0"/>
                                </a:moveTo>
                                <a:lnTo>
                                  <a:pt x="290" y="0"/>
                                </a:lnTo>
                                <a:moveTo>
                                  <a:pt x="482" y="0"/>
                                </a:moveTo>
                                <a:lnTo>
                                  <a:pt x="773" y="0"/>
                                </a:lnTo>
                              </a:path>
                            </a:pathLst>
                          </a:custGeom>
                          <a:noFill/>
                          <a:ln w="52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205"/>
                        <wps:cNvSpPr>
                          <a:spLocks noChangeArrowheads="1"/>
                        </wps:cNvSpPr>
                        <wps:spPr bwMode="auto">
                          <a:xfrm>
                            <a:off x="4891" y="1247"/>
                            <a:ext cx="192" cy="58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206"/>
                        <wps:cNvSpPr>
                          <a:spLocks/>
                        </wps:cNvSpPr>
                        <wps:spPr bwMode="auto">
                          <a:xfrm>
                            <a:off x="5568" y="1357"/>
                            <a:ext cx="773" cy="5"/>
                          </a:xfrm>
                          <a:custGeom>
                            <a:avLst/>
                            <a:gdLst>
                              <a:gd name="T0" fmla="+- 0 5568 5568"/>
                              <a:gd name="T1" fmla="*/ T0 w 773"/>
                              <a:gd name="T2" fmla="+- 0 1362 1357"/>
                              <a:gd name="T3" fmla="*/ 1362 h 5"/>
                              <a:gd name="T4" fmla="+- 0 6341 5568"/>
                              <a:gd name="T5" fmla="*/ T4 w 773"/>
                              <a:gd name="T6" fmla="+- 0 1362 1357"/>
                              <a:gd name="T7" fmla="*/ 1362 h 5"/>
                              <a:gd name="T8" fmla="+- 0 5568 5568"/>
                              <a:gd name="T9" fmla="*/ T8 w 773"/>
                              <a:gd name="T10" fmla="+- 0 1357 1357"/>
                              <a:gd name="T11" fmla="*/ 1357 h 5"/>
                              <a:gd name="T12" fmla="+- 0 5856 5568"/>
                              <a:gd name="T13" fmla="*/ T12 w 773"/>
                              <a:gd name="T14" fmla="+- 0 1357 1357"/>
                              <a:gd name="T15" fmla="*/ 1357 h 5"/>
                              <a:gd name="T16" fmla="+- 0 6050 5568"/>
                              <a:gd name="T17" fmla="*/ T16 w 773"/>
                              <a:gd name="T18" fmla="+- 0 1357 1357"/>
                              <a:gd name="T19" fmla="*/ 1357 h 5"/>
                              <a:gd name="T20" fmla="+- 0 6341 5568"/>
                              <a:gd name="T21" fmla="*/ T20 w 773"/>
                              <a:gd name="T22" fmla="+- 0 1357 1357"/>
                              <a:gd name="T23" fmla="*/ 1357 h 5"/>
                            </a:gdLst>
                            <a:ahLst/>
                            <a:cxnLst>
                              <a:cxn ang="0">
                                <a:pos x="T1" y="T3"/>
                              </a:cxn>
                              <a:cxn ang="0">
                                <a:pos x="T5" y="T7"/>
                              </a:cxn>
                              <a:cxn ang="0">
                                <a:pos x="T9" y="T11"/>
                              </a:cxn>
                              <a:cxn ang="0">
                                <a:pos x="T13" y="T15"/>
                              </a:cxn>
                              <a:cxn ang="0">
                                <a:pos x="T17" y="T19"/>
                              </a:cxn>
                              <a:cxn ang="0">
                                <a:pos x="T21" y="T23"/>
                              </a:cxn>
                            </a:cxnLst>
                            <a:rect l="0" t="0" r="r" b="b"/>
                            <a:pathLst>
                              <a:path w="773" h="5">
                                <a:moveTo>
                                  <a:pt x="0" y="5"/>
                                </a:moveTo>
                                <a:lnTo>
                                  <a:pt x="773" y="5"/>
                                </a:lnTo>
                                <a:moveTo>
                                  <a:pt x="0" y="0"/>
                                </a:moveTo>
                                <a:lnTo>
                                  <a:pt x="288" y="0"/>
                                </a:lnTo>
                                <a:moveTo>
                                  <a:pt x="482" y="0"/>
                                </a:moveTo>
                                <a:lnTo>
                                  <a:pt x="773"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207"/>
                        <wps:cNvSpPr>
                          <a:spLocks noChangeArrowheads="1"/>
                        </wps:cNvSpPr>
                        <wps:spPr bwMode="auto">
                          <a:xfrm>
                            <a:off x="5373" y="1141"/>
                            <a:ext cx="195" cy="60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27"/>
                        <wps:cNvCnPr>
                          <a:cxnSpLocks noChangeShapeType="1"/>
                        </wps:cNvCnPr>
                        <wps:spPr bwMode="auto">
                          <a:xfrm>
                            <a:off x="6050" y="1746"/>
                            <a:ext cx="291"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91" name="docshape208"/>
                        <wps:cNvSpPr>
                          <a:spLocks/>
                        </wps:cNvSpPr>
                        <wps:spPr bwMode="auto">
                          <a:xfrm>
                            <a:off x="6050" y="1739"/>
                            <a:ext cx="291" cy="4"/>
                          </a:xfrm>
                          <a:custGeom>
                            <a:avLst/>
                            <a:gdLst>
                              <a:gd name="T0" fmla="+- 0 6050 6050"/>
                              <a:gd name="T1" fmla="*/ T0 w 291"/>
                              <a:gd name="T2" fmla="+- 0 1740 1740"/>
                              <a:gd name="T3" fmla="*/ 1740 h 4"/>
                              <a:gd name="T4" fmla="+- 0 6341 6050"/>
                              <a:gd name="T5" fmla="*/ T4 w 291"/>
                              <a:gd name="T6" fmla="+- 0 1740 1740"/>
                              <a:gd name="T7" fmla="*/ 1740 h 4"/>
                              <a:gd name="T8" fmla="+- 0 6050 6050"/>
                              <a:gd name="T9" fmla="*/ T8 w 291"/>
                              <a:gd name="T10" fmla="+- 0 1743 1740"/>
                              <a:gd name="T11" fmla="*/ 1743 h 4"/>
                              <a:gd name="T12" fmla="+- 0 6341 6050"/>
                              <a:gd name="T13" fmla="*/ T12 w 291"/>
                              <a:gd name="T14" fmla="+- 0 1743 1740"/>
                              <a:gd name="T15" fmla="*/ 1743 h 4"/>
                            </a:gdLst>
                            <a:ahLst/>
                            <a:cxnLst>
                              <a:cxn ang="0">
                                <a:pos x="T1" y="T3"/>
                              </a:cxn>
                              <a:cxn ang="0">
                                <a:pos x="T5" y="T7"/>
                              </a:cxn>
                              <a:cxn ang="0">
                                <a:pos x="T9" y="T11"/>
                              </a:cxn>
                              <a:cxn ang="0">
                                <a:pos x="T13" y="T15"/>
                              </a:cxn>
                            </a:cxnLst>
                            <a:rect l="0" t="0" r="r" b="b"/>
                            <a:pathLst>
                              <a:path w="291" h="4">
                                <a:moveTo>
                                  <a:pt x="0" y="0"/>
                                </a:moveTo>
                                <a:lnTo>
                                  <a:pt x="291" y="0"/>
                                </a:lnTo>
                                <a:moveTo>
                                  <a:pt x="0" y="3"/>
                                </a:moveTo>
                                <a:lnTo>
                                  <a:pt x="291"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209"/>
                        <wps:cNvSpPr>
                          <a:spLocks noChangeArrowheads="1"/>
                        </wps:cNvSpPr>
                        <wps:spPr bwMode="auto">
                          <a:xfrm>
                            <a:off x="5856" y="1361"/>
                            <a:ext cx="195" cy="52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24"/>
                        <wps:cNvCnPr>
                          <a:cxnSpLocks noChangeShapeType="1"/>
                        </wps:cNvCnPr>
                        <wps:spPr bwMode="auto">
                          <a:xfrm>
                            <a:off x="6533" y="1746"/>
                            <a:ext cx="290"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94" name="docshape210"/>
                        <wps:cNvSpPr>
                          <a:spLocks/>
                        </wps:cNvSpPr>
                        <wps:spPr bwMode="auto">
                          <a:xfrm>
                            <a:off x="6532" y="1739"/>
                            <a:ext cx="291" cy="4"/>
                          </a:xfrm>
                          <a:custGeom>
                            <a:avLst/>
                            <a:gdLst>
                              <a:gd name="T0" fmla="+- 0 6533 6533"/>
                              <a:gd name="T1" fmla="*/ T0 w 291"/>
                              <a:gd name="T2" fmla="+- 0 1740 1740"/>
                              <a:gd name="T3" fmla="*/ 1740 h 4"/>
                              <a:gd name="T4" fmla="+- 0 6823 6533"/>
                              <a:gd name="T5" fmla="*/ T4 w 291"/>
                              <a:gd name="T6" fmla="+- 0 1740 1740"/>
                              <a:gd name="T7" fmla="*/ 1740 h 4"/>
                              <a:gd name="T8" fmla="+- 0 6533 6533"/>
                              <a:gd name="T9" fmla="*/ T8 w 291"/>
                              <a:gd name="T10" fmla="+- 0 1743 1740"/>
                              <a:gd name="T11" fmla="*/ 1743 h 4"/>
                              <a:gd name="T12" fmla="+- 0 6823 6533"/>
                              <a:gd name="T13" fmla="*/ T12 w 291"/>
                              <a:gd name="T14" fmla="+- 0 1743 1740"/>
                              <a:gd name="T15" fmla="*/ 1743 h 4"/>
                            </a:gdLst>
                            <a:ahLst/>
                            <a:cxnLst>
                              <a:cxn ang="0">
                                <a:pos x="T1" y="T3"/>
                              </a:cxn>
                              <a:cxn ang="0">
                                <a:pos x="T5" y="T7"/>
                              </a:cxn>
                              <a:cxn ang="0">
                                <a:pos x="T9" y="T11"/>
                              </a:cxn>
                              <a:cxn ang="0">
                                <a:pos x="T13" y="T15"/>
                              </a:cxn>
                            </a:cxnLst>
                            <a:rect l="0" t="0" r="r" b="b"/>
                            <a:pathLst>
                              <a:path w="291" h="4">
                                <a:moveTo>
                                  <a:pt x="0" y="0"/>
                                </a:moveTo>
                                <a:lnTo>
                                  <a:pt x="290" y="0"/>
                                </a:lnTo>
                                <a:moveTo>
                                  <a:pt x="0" y="3"/>
                                </a:moveTo>
                                <a:lnTo>
                                  <a:pt x="290"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docshape211"/>
                        <wps:cNvSpPr>
                          <a:spLocks/>
                        </wps:cNvSpPr>
                        <wps:spPr bwMode="auto">
                          <a:xfrm>
                            <a:off x="6532" y="1357"/>
                            <a:ext cx="291" cy="5"/>
                          </a:xfrm>
                          <a:custGeom>
                            <a:avLst/>
                            <a:gdLst>
                              <a:gd name="T0" fmla="+- 0 6533 6533"/>
                              <a:gd name="T1" fmla="*/ T0 w 291"/>
                              <a:gd name="T2" fmla="+- 0 1362 1357"/>
                              <a:gd name="T3" fmla="*/ 1362 h 5"/>
                              <a:gd name="T4" fmla="+- 0 6823 6533"/>
                              <a:gd name="T5" fmla="*/ T4 w 291"/>
                              <a:gd name="T6" fmla="+- 0 1362 1357"/>
                              <a:gd name="T7" fmla="*/ 1362 h 5"/>
                              <a:gd name="T8" fmla="+- 0 6533 6533"/>
                              <a:gd name="T9" fmla="*/ T8 w 291"/>
                              <a:gd name="T10" fmla="+- 0 1357 1357"/>
                              <a:gd name="T11" fmla="*/ 1357 h 5"/>
                              <a:gd name="T12" fmla="+- 0 6823 6533"/>
                              <a:gd name="T13" fmla="*/ T12 w 291"/>
                              <a:gd name="T14" fmla="+- 0 1357 1357"/>
                              <a:gd name="T15" fmla="*/ 1357 h 5"/>
                            </a:gdLst>
                            <a:ahLst/>
                            <a:cxnLst>
                              <a:cxn ang="0">
                                <a:pos x="T1" y="T3"/>
                              </a:cxn>
                              <a:cxn ang="0">
                                <a:pos x="T5" y="T7"/>
                              </a:cxn>
                              <a:cxn ang="0">
                                <a:pos x="T9" y="T11"/>
                              </a:cxn>
                              <a:cxn ang="0">
                                <a:pos x="T13" y="T15"/>
                              </a:cxn>
                            </a:cxnLst>
                            <a:rect l="0" t="0" r="r" b="b"/>
                            <a:pathLst>
                              <a:path w="291" h="5">
                                <a:moveTo>
                                  <a:pt x="0" y="5"/>
                                </a:moveTo>
                                <a:lnTo>
                                  <a:pt x="290" y="5"/>
                                </a:lnTo>
                                <a:moveTo>
                                  <a:pt x="0" y="0"/>
                                </a:moveTo>
                                <a:lnTo>
                                  <a:pt x="290"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212"/>
                        <wps:cNvSpPr>
                          <a:spLocks noChangeArrowheads="1"/>
                        </wps:cNvSpPr>
                        <wps:spPr bwMode="auto">
                          <a:xfrm>
                            <a:off x="6340" y="1355"/>
                            <a:ext cx="192" cy="55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20"/>
                        <wps:cNvCnPr>
                          <a:cxnSpLocks noChangeShapeType="1"/>
                        </wps:cNvCnPr>
                        <wps:spPr bwMode="auto">
                          <a:xfrm>
                            <a:off x="7018" y="1746"/>
                            <a:ext cx="288"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98" name="docshape213"/>
                        <wps:cNvSpPr>
                          <a:spLocks/>
                        </wps:cNvSpPr>
                        <wps:spPr bwMode="auto">
                          <a:xfrm>
                            <a:off x="7017" y="1739"/>
                            <a:ext cx="288" cy="4"/>
                          </a:xfrm>
                          <a:custGeom>
                            <a:avLst/>
                            <a:gdLst>
                              <a:gd name="T0" fmla="+- 0 7018 7018"/>
                              <a:gd name="T1" fmla="*/ T0 w 288"/>
                              <a:gd name="T2" fmla="+- 0 1740 1740"/>
                              <a:gd name="T3" fmla="*/ 1740 h 4"/>
                              <a:gd name="T4" fmla="+- 0 7306 7018"/>
                              <a:gd name="T5" fmla="*/ T4 w 288"/>
                              <a:gd name="T6" fmla="+- 0 1740 1740"/>
                              <a:gd name="T7" fmla="*/ 1740 h 4"/>
                              <a:gd name="T8" fmla="+- 0 7018 7018"/>
                              <a:gd name="T9" fmla="*/ T8 w 288"/>
                              <a:gd name="T10" fmla="+- 0 1743 1740"/>
                              <a:gd name="T11" fmla="*/ 1743 h 4"/>
                              <a:gd name="T12" fmla="+- 0 7306 7018"/>
                              <a:gd name="T13" fmla="*/ T12 w 288"/>
                              <a:gd name="T14" fmla="+- 0 1743 1740"/>
                              <a:gd name="T15" fmla="*/ 1743 h 4"/>
                            </a:gdLst>
                            <a:ahLst/>
                            <a:cxnLst>
                              <a:cxn ang="0">
                                <a:pos x="T1" y="T3"/>
                              </a:cxn>
                              <a:cxn ang="0">
                                <a:pos x="T5" y="T7"/>
                              </a:cxn>
                              <a:cxn ang="0">
                                <a:pos x="T9" y="T11"/>
                              </a:cxn>
                              <a:cxn ang="0">
                                <a:pos x="T13" y="T15"/>
                              </a:cxn>
                            </a:cxnLst>
                            <a:rect l="0" t="0" r="r" b="b"/>
                            <a:pathLst>
                              <a:path w="288" h="4">
                                <a:moveTo>
                                  <a:pt x="0" y="0"/>
                                </a:moveTo>
                                <a:lnTo>
                                  <a:pt x="288" y="0"/>
                                </a:lnTo>
                                <a:moveTo>
                                  <a:pt x="0" y="3"/>
                                </a:moveTo>
                                <a:lnTo>
                                  <a:pt x="288"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214"/>
                        <wps:cNvSpPr>
                          <a:spLocks/>
                        </wps:cNvSpPr>
                        <wps:spPr bwMode="auto">
                          <a:xfrm>
                            <a:off x="7017" y="1357"/>
                            <a:ext cx="288" cy="5"/>
                          </a:xfrm>
                          <a:custGeom>
                            <a:avLst/>
                            <a:gdLst>
                              <a:gd name="T0" fmla="+- 0 7018 7018"/>
                              <a:gd name="T1" fmla="*/ T0 w 288"/>
                              <a:gd name="T2" fmla="+- 0 1362 1357"/>
                              <a:gd name="T3" fmla="*/ 1362 h 5"/>
                              <a:gd name="T4" fmla="+- 0 7306 7018"/>
                              <a:gd name="T5" fmla="*/ T4 w 288"/>
                              <a:gd name="T6" fmla="+- 0 1362 1357"/>
                              <a:gd name="T7" fmla="*/ 1362 h 5"/>
                              <a:gd name="T8" fmla="+- 0 7018 7018"/>
                              <a:gd name="T9" fmla="*/ T8 w 288"/>
                              <a:gd name="T10" fmla="+- 0 1357 1357"/>
                              <a:gd name="T11" fmla="*/ 1357 h 5"/>
                              <a:gd name="T12" fmla="+- 0 7306 7018"/>
                              <a:gd name="T13" fmla="*/ T12 w 288"/>
                              <a:gd name="T14" fmla="+- 0 1357 1357"/>
                              <a:gd name="T15" fmla="*/ 1357 h 5"/>
                            </a:gdLst>
                            <a:ahLst/>
                            <a:cxnLst>
                              <a:cxn ang="0">
                                <a:pos x="T1" y="T3"/>
                              </a:cxn>
                              <a:cxn ang="0">
                                <a:pos x="T5" y="T7"/>
                              </a:cxn>
                              <a:cxn ang="0">
                                <a:pos x="T9" y="T11"/>
                              </a:cxn>
                              <a:cxn ang="0">
                                <a:pos x="T13" y="T15"/>
                              </a:cxn>
                            </a:cxnLst>
                            <a:rect l="0" t="0" r="r" b="b"/>
                            <a:pathLst>
                              <a:path w="288" h="5">
                                <a:moveTo>
                                  <a:pt x="0" y="5"/>
                                </a:moveTo>
                                <a:lnTo>
                                  <a:pt x="288" y="5"/>
                                </a:lnTo>
                                <a:moveTo>
                                  <a:pt x="0" y="0"/>
                                </a:moveTo>
                                <a:lnTo>
                                  <a:pt x="288"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215"/>
                        <wps:cNvSpPr>
                          <a:spLocks noChangeArrowheads="1"/>
                        </wps:cNvSpPr>
                        <wps:spPr bwMode="auto">
                          <a:xfrm>
                            <a:off x="6823" y="1355"/>
                            <a:ext cx="195" cy="58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16"/>
                        <wps:cNvCnPr>
                          <a:cxnSpLocks noChangeShapeType="1"/>
                        </wps:cNvCnPr>
                        <wps:spPr bwMode="auto">
                          <a:xfrm>
                            <a:off x="7499" y="1746"/>
                            <a:ext cx="290"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02" name="docshape216"/>
                        <wps:cNvSpPr>
                          <a:spLocks/>
                        </wps:cNvSpPr>
                        <wps:spPr bwMode="auto">
                          <a:xfrm>
                            <a:off x="7498" y="1739"/>
                            <a:ext cx="291" cy="4"/>
                          </a:xfrm>
                          <a:custGeom>
                            <a:avLst/>
                            <a:gdLst>
                              <a:gd name="T0" fmla="+- 0 7499 7499"/>
                              <a:gd name="T1" fmla="*/ T0 w 291"/>
                              <a:gd name="T2" fmla="+- 0 1740 1740"/>
                              <a:gd name="T3" fmla="*/ 1740 h 4"/>
                              <a:gd name="T4" fmla="+- 0 7789 7499"/>
                              <a:gd name="T5" fmla="*/ T4 w 291"/>
                              <a:gd name="T6" fmla="+- 0 1740 1740"/>
                              <a:gd name="T7" fmla="*/ 1740 h 4"/>
                              <a:gd name="T8" fmla="+- 0 7499 7499"/>
                              <a:gd name="T9" fmla="*/ T8 w 291"/>
                              <a:gd name="T10" fmla="+- 0 1743 1740"/>
                              <a:gd name="T11" fmla="*/ 1743 h 4"/>
                              <a:gd name="T12" fmla="+- 0 7789 7499"/>
                              <a:gd name="T13" fmla="*/ T12 w 291"/>
                              <a:gd name="T14" fmla="+- 0 1743 1740"/>
                              <a:gd name="T15" fmla="*/ 1743 h 4"/>
                            </a:gdLst>
                            <a:ahLst/>
                            <a:cxnLst>
                              <a:cxn ang="0">
                                <a:pos x="T1" y="T3"/>
                              </a:cxn>
                              <a:cxn ang="0">
                                <a:pos x="T5" y="T7"/>
                              </a:cxn>
                              <a:cxn ang="0">
                                <a:pos x="T9" y="T11"/>
                              </a:cxn>
                              <a:cxn ang="0">
                                <a:pos x="T13" y="T15"/>
                              </a:cxn>
                            </a:cxnLst>
                            <a:rect l="0" t="0" r="r" b="b"/>
                            <a:pathLst>
                              <a:path w="291" h="4">
                                <a:moveTo>
                                  <a:pt x="0" y="0"/>
                                </a:moveTo>
                                <a:lnTo>
                                  <a:pt x="290" y="0"/>
                                </a:lnTo>
                                <a:moveTo>
                                  <a:pt x="0" y="3"/>
                                </a:moveTo>
                                <a:lnTo>
                                  <a:pt x="290"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217"/>
                        <wps:cNvSpPr>
                          <a:spLocks/>
                        </wps:cNvSpPr>
                        <wps:spPr bwMode="auto">
                          <a:xfrm>
                            <a:off x="7498" y="1357"/>
                            <a:ext cx="291" cy="5"/>
                          </a:xfrm>
                          <a:custGeom>
                            <a:avLst/>
                            <a:gdLst>
                              <a:gd name="T0" fmla="+- 0 7499 7499"/>
                              <a:gd name="T1" fmla="*/ T0 w 291"/>
                              <a:gd name="T2" fmla="+- 0 1362 1357"/>
                              <a:gd name="T3" fmla="*/ 1362 h 5"/>
                              <a:gd name="T4" fmla="+- 0 7789 7499"/>
                              <a:gd name="T5" fmla="*/ T4 w 291"/>
                              <a:gd name="T6" fmla="+- 0 1362 1357"/>
                              <a:gd name="T7" fmla="*/ 1362 h 5"/>
                              <a:gd name="T8" fmla="+- 0 7499 7499"/>
                              <a:gd name="T9" fmla="*/ T8 w 291"/>
                              <a:gd name="T10" fmla="+- 0 1357 1357"/>
                              <a:gd name="T11" fmla="*/ 1357 h 5"/>
                              <a:gd name="T12" fmla="+- 0 7789 7499"/>
                              <a:gd name="T13" fmla="*/ T12 w 291"/>
                              <a:gd name="T14" fmla="+- 0 1357 1357"/>
                              <a:gd name="T15" fmla="*/ 1357 h 5"/>
                            </a:gdLst>
                            <a:ahLst/>
                            <a:cxnLst>
                              <a:cxn ang="0">
                                <a:pos x="T1" y="T3"/>
                              </a:cxn>
                              <a:cxn ang="0">
                                <a:pos x="T5" y="T7"/>
                              </a:cxn>
                              <a:cxn ang="0">
                                <a:pos x="T9" y="T11"/>
                              </a:cxn>
                              <a:cxn ang="0">
                                <a:pos x="T13" y="T15"/>
                              </a:cxn>
                            </a:cxnLst>
                            <a:rect l="0" t="0" r="r" b="b"/>
                            <a:pathLst>
                              <a:path w="291" h="5">
                                <a:moveTo>
                                  <a:pt x="0" y="5"/>
                                </a:moveTo>
                                <a:lnTo>
                                  <a:pt x="290" y="5"/>
                                </a:lnTo>
                                <a:moveTo>
                                  <a:pt x="0" y="0"/>
                                </a:moveTo>
                                <a:lnTo>
                                  <a:pt x="290"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docshape218"/>
                        <wps:cNvSpPr>
                          <a:spLocks noChangeArrowheads="1"/>
                        </wps:cNvSpPr>
                        <wps:spPr bwMode="auto">
                          <a:xfrm>
                            <a:off x="7305" y="1189"/>
                            <a:ext cx="194" cy="67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12"/>
                        <wps:cNvCnPr>
                          <a:cxnSpLocks noChangeShapeType="1"/>
                        </wps:cNvCnPr>
                        <wps:spPr bwMode="auto">
                          <a:xfrm>
                            <a:off x="7981" y="1746"/>
                            <a:ext cx="291"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06" name="docshape219"/>
                        <wps:cNvSpPr>
                          <a:spLocks/>
                        </wps:cNvSpPr>
                        <wps:spPr bwMode="auto">
                          <a:xfrm>
                            <a:off x="7981" y="1739"/>
                            <a:ext cx="291" cy="4"/>
                          </a:xfrm>
                          <a:custGeom>
                            <a:avLst/>
                            <a:gdLst>
                              <a:gd name="T0" fmla="+- 0 7981 7981"/>
                              <a:gd name="T1" fmla="*/ T0 w 291"/>
                              <a:gd name="T2" fmla="+- 0 1740 1740"/>
                              <a:gd name="T3" fmla="*/ 1740 h 4"/>
                              <a:gd name="T4" fmla="+- 0 8272 7981"/>
                              <a:gd name="T5" fmla="*/ T4 w 291"/>
                              <a:gd name="T6" fmla="+- 0 1740 1740"/>
                              <a:gd name="T7" fmla="*/ 1740 h 4"/>
                              <a:gd name="T8" fmla="+- 0 7981 7981"/>
                              <a:gd name="T9" fmla="*/ T8 w 291"/>
                              <a:gd name="T10" fmla="+- 0 1743 1740"/>
                              <a:gd name="T11" fmla="*/ 1743 h 4"/>
                              <a:gd name="T12" fmla="+- 0 8272 7981"/>
                              <a:gd name="T13" fmla="*/ T12 w 291"/>
                              <a:gd name="T14" fmla="+- 0 1743 1740"/>
                              <a:gd name="T15" fmla="*/ 1743 h 4"/>
                            </a:gdLst>
                            <a:ahLst/>
                            <a:cxnLst>
                              <a:cxn ang="0">
                                <a:pos x="T1" y="T3"/>
                              </a:cxn>
                              <a:cxn ang="0">
                                <a:pos x="T5" y="T7"/>
                              </a:cxn>
                              <a:cxn ang="0">
                                <a:pos x="T9" y="T11"/>
                              </a:cxn>
                              <a:cxn ang="0">
                                <a:pos x="T13" y="T15"/>
                              </a:cxn>
                            </a:cxnLst>
                            <a:rect l="0" t="0" r="r" b="b"/>
                            <a:pathLst>
                              <a:path w="291" h="4">
                                <a:moveTo>
                                  <a:pt x="0" y="0"/>
                                </a:moveTo>
                                <a:lnTo>
                                  <a:pt x="291" y="0"/>
                                </a:lnTo>
                                <a:moveTo>
                                  <a:pt x="0" y="3"/>
                                </a:moveTo>
                                <a:lnTo>
                                  <a:pt x="291"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220"/>
                        <wps:cNvSpPr>
                          <a:spLocks/>
                        </wps:cNvSpPr>
                        <wps:spPr bwMode="auto">
                          <a:xfrm>
                            <a:off x="7981" y="1357"/>
                            <a:ext cx="291" cy="5"/>
                          </a:xfrm>
                          <a:custGeom>
                            <a:avLst/>
                            <a:gdLst>
                              <a:gd name="T0" fmla="+- 0 7981 7981"/>
                              <a:gd name="T1" fmla="*/ T0 w 291"/>
                              <a:gd name="T2" fmla="+- 0 1362 1357"/>
                              <a:gd name="T3" fmla="*/ 1362 h 5"/>
                              <a:gd name="T4" fmla="+- 0 8272 7981"/>
                              <a:gd name="T5" fmla="*/ T4 w 291"/>
                              <a:gd name="T6" fmla="+- 0 1362 1357"/>
                              <a:gd name="T7" fmla="*/ 1362 h 5"/>
                              <a:gd name="T8" fmla="+- 0 7981 7981"/>
                              <a:gd name="T9" fmla="*/ T8 w 291"/>
                              <a:gd name="T10" fmla="+- 0 1357 1357"/>
                              <a:gd name="T11" fmla="*/ 1357 h 5"/>
                              <a:gd name="T12" fmla="+- 0 8272 7981"/>
                              <a:gd name="T13" fmla="*/ T12 w 291"/>
                              <a:gd name="T14" fmla="+- 0 1357 1357"/>
                              <a:gd name="T15" fmla="*/ 1357 h 5"/>
                            </a:gdLst>
                            <a:ahLst/>
                            <a:cxnLst>
                              <a:cxn ang="0">
                                <a:pos x="T1" y="T3"/>
                              </a:cxn>
                              <a:cxn ang="0">
                                <a:pos x="T5" y="T7"/>
                              </a:cxn>
                              <a:cxn ang="0">
                                <a:pos x="T9" y="T11"/>
                              </a:cxn>
                              <a:cxn ang="0">
                                <a:pos x="T13" y="T15"/>
                              </a:cxn>
                            </a:cxnLst>
                            <a:rect l="0" t="0" r="r" b="b"/>
                            <a:pathLst>
                              <a:path w="291" h="5">
                                <a:moveTo>
                                  <a:pt x="0" y="5"/>
                                </a:moveTo>
                                <a:lnTo>
                                  <a:pt x="291" y="5"/>
                                </a:lnTo>
                                <a:moveTo>
                                  <a:pt x="0" y="0"/>
                                </a:moveTo>
                                <a:lnTo>
                                  <a:pt x="291"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221"/>
                        <wps:cNvSpPr>
                          <a:spLocks noChangeArrowheads="1"/>
                        </wps:cNvSpPr>
                        <wps:spPr bwMode="auto">
                          <a:xfrm>
                            <a:off x="7789" y="1231"/>
                            <a:ext cx="192" cy="68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08"/>
                        <wps:cNvCnPr>
                          <a:cxnSpLocks noChangeShapeType="1"/>
                        </wps:cNvCnPr>
                        <wps:spPr bwMode="auto">
                          <a:xfrm>
                            <a:off x="8464" y="1746"/>
                            <a:ext cx="290"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10" name="docshape222"/>
                        <wps:cNvSpPr>
                          <a:spLocks/>
                        </wps:cNvSpPr>
                        <wps:spPr bwMode="auto">
                          <a:xfrm>
                            <a:off x="8463" y="1739"/>
                            <a:ext cx="291" cy="4"/>
                          </a:xfrm>
                          <a:custGeom>
                            <a:avLst/>
                            <a:gdLst>
                              <a:gd name="T0" fmla="+- 0 8464 8464"/>
                              <a:gd name="T1" fmla="*/ T0 w 291"/>
                              <a:gd name="T2" fmla="+- 0 1740 1740"/>
                              <a:gd name="T3" fmla="*/ 1740 h 4"/>
                              <a:gd name="T4" fmla="+- 0 8754 8464"/>
                              <a:gd name="T5" fmla="*/ T4 w 291"/>
                              <a:gd name="T6" fmla="+- 0 1740 1740"/>
                              <a:gd name="T7" fmla="*/ 1740 h 4"/>
                              <a:gd name="T8" fmla="+- 0 8464 8464"/>
                              <a:gd name="T9" fmla="*/ T8 w 291"/>
                              <a:gd name="T10" fmla="+- 0 1743 1740"/>
                              <a:gd name="T11" fmla="*/ 1743 h 4"/>
                              <a:gd name="T12" fmla="+- 0 8754 8464"/>
                              <a:gd name="T13" fmla="*/ T12 w 291"/>
                              <a:gd name="T14" fmla="+- 0 1743 1740"/>
                              <a:gd name="T15" fmla="*/ 1743 h 4"/>
                            </a:gdLst>
                            <a:ahLst/>
                            <a:cxnLst>
                              <a:cxn ang="0">
                                <a:pos x="T1" y="T3"/>
                              </a:cxn>
                              <a:cxn ang="0">
                                <a:pos x="T5" y="T7"/>
                              </a:cxn>
                              <a:cxn ang="0">
                                <a:pos x="T9" y="T11"/>
                              </a:cxn>
                              <a:cxn ang="0">
                                <a:pos x="T13" y="T15"/>
                              </a:cxn>
                            </a:cxnLst>
                            <a:rect l="0" t="0" r="r" b="b"/>
                            <a:pathLst>
                              <a:path w="291" h="4">
                                <a:moveTo>
                                  <a:pt x="0" y="0"/>
                                </a:moveTo>
                                <a:lnTo>
                                  <a:pt x="290" y="0"/>
                                </a:lnTo>
                                <a:moveTo>
                                  <a:pt x="0" y="3"/>
                                </a:moveTo>
                                <a:lnTo>
                                  <a:pt x="290"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223"/>
                        <wps:cNvSpPr>
                          <a:spLocks/>
                        </wps:cNvSpPr>
                        <wps:spPr bwMode="auto">
                          <a:xfrm>
                            <a:off x="8463" y="1357"/>
                            <a:ext cx="291" cy="5"/>
                          </a:xfrm>
                          <a:custGeom>
                            <a:avLst/>
                            <a:gdLst>
                              <a:gd name="T0" fmla="+- 0 8464 8464"/>
                              <a:gd name="T1" fmla="*/ T0 w 291"/>
                              <a:gd name="T2" fmla="+- 0 1362 1357"/>
                              <a:gd name="T3" fmla="*/ 1362 h 5"/>
                              <a:gd name="T4" fmla="+- 0 8754 8464"/>
                              <a:gd name="T5" fmla="*/ T4 w 291"/>
                              <a:gd name="T6" fmla="+- 0 1362 1357"/>
                              <a:gd name="T7" fmla="*/ 1362 h 5"/>
                              <a:gd name="T8" fmla="+- 0 8464 8464"/>
                              <a:gd name="T9" fmla="*/ T8 w 291"/>
                              <a:gd name="T10" fmla="+- 0 1357 1357"/>
                              <a:gd name="T11" fmla="*/ 1357 h 5"/>
                              <a:gd name="T12" fmla="+- 0 8754 8464"/>
                              <a:gd name="T13" fmla="*/ T12 w 291"/>
                              <a:gd name="T14" fmla="+- 0 1357 1357"/>
                              <a:gd name="T15" fmla="*/ 1357 h 5"/>
                            </a:gdLst>
                            <a:ahLst/>
                            <a:cxnLst>
                              <a:cxn ang="0">
                                <a:pos x="T1" y="T3"/>
                              </a:cxn>
                              <a:cxn ang="0">
                                <a:pos x="T5" y="T7"/>
                              </a:cxn>
                              <a:cxn ang="0">
                                <a:pos x="T9" y="T11"/>
                              </a:cxn>
                              <a:cxn ang="0">
                                <a:pos x="T13" y="T15"/>
                              </a:cxn>
                            </a:cxnLst>
                            <a:rect l="0" t="0" r="r" b="b"/>
                            <a:pathLst>
                              <a:path w="291" h="5">
                                <a:moveTo>
                                  <a:pt x="0" y="5"/>
                                </a:moveTo>
                                <a:lnTo>
                                  <a:pt x="290" y="5"/>
                                </a:lnTo>
                                <a:moveTo>
                                  <a:pt x="0" y="0"/>
                                </a:moveTo>
                                <a:lnTo>
                                  <a:pt x="290"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224"/>
                        <wps:cNvSpPr>
                          <a:spLocks noChangeArrowheads="1"/>
                        </wps:cNvSpPr>
                        <wps:spPr bwMode="auto">
                          <a:xfrm>
                            <a:off x="8271" y="1211"/>
                            <a:ext cx="192" cy="69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04"/>
                        <wps:cNvCnPr>
                          <a:cxnSpLocks noChangeShapeType="1"/>
                        </wps:cNvCnPr>
                        <wps:spPr bwMode="auto">
                          <a:xfrm>
                            <a:off x="8948" y="1746"/>
                            <a:ext cx="288"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14" name="docshape225"/>
                        <wps:cNvSpPr>
                          <a:spLocks/>
                        </wps:cNvSpPr>
                        <wps:spPr bwMode="auto">
                          <a:xfrm>
                            <a:off x="8948" y="1739"/>
                            <a:ext cx="288" cy="4"/>
                          </a:xfrm>
                          <a:custGeom>
                            <a:avLst/>
                            <a:gdLst>
                              <a:gd name="T0" fmla="+- 0 8948 8948"/>
                              <a:gd name="T1" fmla="*/ T0 w 288"/>
                              <a:gd name="T2" fmla="+- 0 1740 1740"/>
                              <a:gd name="T3" fmla="*/ 1740 h 4"/>
                              <a:gd name="T4" fmla="+- 0 9236 8948"/>
                              <a:gd name="T5" fmla="*/ T4 w 288"/>
                              <a:gd name="T6" fmla="+- 0 1740 1740"/>
                              <a:gd name="T7" fmla="*/ 1740 h 4"/>
                              <a:gd name="T8" fmla="+- 0 8948 8948"/>
                              <a:gd name="T9" fmla="*/ T8 w 288"/>
                              <a:gd name="T10" fmla="+- 0 1743 1740"/>
                              <a:gd name="T11" fmla="*/ 1743 h 4"/>
                              <a:gd name="T12" fmla="+- 0 9236 8948"/>
                              <a:gd name="T13" fmla="*/ T12 w 288"/>
                              <a:gd name="T14" fmla="+- 0 1743 1740"/>
                              <a:gd name="T15" fmla="*/ 1743 h 4"/>
                            </a:gdLst>
                            <a:ahLst/>
                            <a:cxnLst>
                              <a:cxn ang="0">
                                <a:pos x="T1" y="T3"/>
                              </a:cxn>
                              <a:cxn ang="0">
                                <a:pos x="T5" y="T7"/>
                              </a:cxn>
                              <a:cxn ang="0">
                                <a:pos x="T9" y="T11"/>
                              </a:cxn>
                              <a:cxn ang="0">
                                <a:pos x="T13" y="T15"/>
                              </a:cxn>
                            </a:cxnLst>
                            <a:rect l="0" t="0" r="r" b="b"/>
                            <a:pathLst>
                              <a:path w="288" h="4">
                                <a:moveTo>
                                  <a:pt x="0" y="0"/>
                                </a:moveTo>
                                <a:lnTo>
                                  <a:pt x="288" y="0"/>
                                </a:lnTo>
                                <a:moveTo>
                                  <a:pt x="0" y="3"/>
                                </a:moveTo>
                                <a:lnTo>
                                  <a:pt x="288"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docshape226"/>
                        <wps:cNvSpPr>
                          <a:spLocks/>
                        </wps:cNvSpPr>
                        <wps:spPr bwMode="auto">
                          <a:xfrm>
                            <a:off x="8948" y="1357"/>
                            <a:ext cx="288" cy="5"/>
                          </a:xfrm>
                          <a:custGeom>
                            <a:avLst/>
                            <a:gdLst>
                              <a:gd name="T0" fmla="+- 0 8948 8948"/>
                              <a:gd name="T1" fmla="*/ T0 w 288"/>
                              <a:gd name="T2" fmla="+- 0 1362 1357"/>
                              <a:gd name="T3" fmla="*/ 1362 h 5"/>
                              <a:gd name="T4" fmla="+- 0 9236 8948"/>
                              <a:gd name="T5" fmla="*/ T4 w 288"/>
                              <a:gd name="T6" fmla="+- 0 1362 1357"/>
                              <a:gd name="T7" fmla="*/ 1362 h 5"/>
                              <a:gd name="T8" fmla="+- 0 8948 8948"/>
                              <a:gd name="T9" fmla="*/ T8 w 288"/>
                              <a:gd name="T10" fmla="+- 0 1357 1357"/>
                              <a:gd name="T11" fmla="*/ 1357 h 5"/>
                              <a:gd name="T12" fmla="+- 0 9236 8948"/>
                              <a:gd name="T13" fmla="*/ T12 w 288"/>
                              <a:gd name="T14" fmla="+- 0 1357 1357"/>
                              <a:gd name="T15" fmla="*/ 1357 h 5"/>
                            </a:gdLst>
                            <a:ahLst/>
                            <a:cxnLst>
                              <a:cxn ang="0">
                                <a:pos x="T1" y="T3"/>
                              </a:cxn>
                              <a:cxn ang="0">
                                <a:pos x="T5" y="T7"/>
                              </a:cxn>
                              <a:cxn ang="0">
                                <a:pos x="T9" y="T11"/>
                              </a:cxn>
                              <a:cxn ang="0">
                                <a:pos x="T13" y="T15"/>
                              </a:cxn>
                            </a:cxnLst>
                            <a:rect l="0" t="0" r="r" b="b"/>
                            <a:pathLst>
                              <a:path w="288" h="5">
                                <a:moveTo>
                                  <a:pt x="0" y="5"/>
                                </a:moveTo>
                                <a:lnTo>
                                  <a:pt x="288" y="5"/>
                                </a:lnTo>
                                <a:moveTo>
                                  <a:pt x="0" y="0"/>
                                </a:moveTo>
                                <a:lnTo>
                                  <a:pt x="288"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227"/>
                        <wps:cNvSpPr>
                          <a:spLocks noChangeArrowheads="1"/>
                        </wps:cNvSpPr>
                        <wps:spPr bwMode="auto">
                          <a:xfrm>
                            <a:off x="8754" y="1148"/>
                            <a:ext cx="195" cy="74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00"/>
                        <wps:cNvCnPr>
                          <a:cxnSpLocks noChangeShapeType="1"/>
                        </wps:cNvCnPr>
                        <wps:spPr bwMode="auto">
                          <a:xfrm>
                            <a:off x="9431" y="1746"/>
                            <a:ext cx="290"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18" name="docshape228"/>
                        <wps:cNvSpPr>
                          <a:spLocks/>
                        </wps:cNvSpPr>
                        <wps:spPr bwMode="auto">
                          <a:xfrm>
                            <a:off x="9430" y="1739"/>
                            <a:ext cx="291" cy="4"/>
                          </a:xfrm>
                          <a:custGeom>
                            <a:avLst/>
                            <a:gdLst>
                              <a:gd name="T0" fmla="+- 0 9431 9431"/>
                              <a:gd name="T1" fmla="*/ T0 w 291"/>
                              <a:gd name="T2" fmla="+- 0 1740 1740"/>
                              <a:gd name="T3" fmla="*/ 1740 h 4"/>
                              <a:gd name="T4" fmla="+- 0 9721 9431"/>
                              <a:gd name="T5" fmla="*/ T4 w 291"/>
                              <a:gd name="T6" fmla="+- 0 1740 1740"/>
                              <a:gd name="T7" fmla="*/ 1740 h 4"/>
                              <a:gd name="T8" fmla="+- 0 9431 9431"/>
                              <a:gd name="T9" fmla="*/ T8 w 291"/>
                              <a:gd name="T10" fmla="+- 0 1743 1740"/>
                              <a:gd name="T11" fmla="*/ 1743 h 4"/>
                              <a:gd name="T12" fmla="+- 0 9721 9431"/>
                              <a:gd name="T13" fmla="*/ T12 w 291"/>
                              <a:gd name="T14" fmla="+- 0 1743 1740"/>
                              <a:gd name="T15" fmla="*/ 1743 h 4"/>
                            </a:gdLst>
                            <a:ahLst/>
                            <a:cxnLst>
                              <a:cxn ang="0">
                                <a:pos x="T1" y="T3"/>
                              </a:cxn>
                              <a:cxn ang="0">
                                <a:pos x="T5" y="T7"/>
                              </a:cxn>
                              <a:cxn ang="0">
                                <a:pos x="T9" y="T11"/>
                              </a:cxn>
                              <a:cxn ang="0">
                                <a:pos x="T13" y="T15"/>
                              </a:cxn>
                            </a:cxnLst>
                            <a:rect l="0" t="0" r="r" b="b"/>
                            <a:pathLst>
                              <a:path w="291" h="4">
                                <a:moveTo>
                                  <a:pt x="0" y="0"/>
                                </a:moveTo>
                                <a:lnTo>
                                  <a:pt x="290" y="0"/>
                                </a:lnTo>
                                <a:moveTo>
                                  <a:pt x="0" y="3"/>
                                </a:moveTo>
                                <a:lnTo>
                                  <a:pt x="290"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229"/>
                        <wps:cNvSpPr>
                          <a:spLocks/>
                        </wps:cNvSpPr>
                        <wps:spPr bwMode="auto">
                          <a:xfrm>
                            <a:off x="9430" y="1357"/>
                            <a:ext cx="291" cy="5"/>
                          </a:xfrm>
                          <a:custGeom>
                            <a:avLst/>
                            <a:gdLst>
                              <a:gd name="T0" fmla="+- 0 9431 9431"/>
                              <a:gd name="T1" fmla="*/ T0 w 291"/>
                              <a:gd name="T2" fmla="+- 0 1362 1357"/>
                              <a:gd name="T3" fmla="*/ 1362 h 5"/>
                              <a:gd name="T4" fmla="+- 0 9721 9431"/>
                              <a:gd name="T5" fmla="*/ T4 w 291"/>
                              <a:gd name="T6" fmla="+- 0 1362 1357"/>
                              <a:gd name="T7" fmla="*/ 1362 h 5"/>
                              <a:gd name="T8" fmla="+- 0 9431 9431"/>
                              <a:gd name="T9" fmla="*/ T8 w 291"/>
                              <a:gd name="T10" fmla="+- 0 1357 1357"/>
                              <a:gd name="T11" fmla="*/ 1357 h 5"/>
                              <a:gd name="T12" fmla="+- 0 9721 9431"/>
                              <a:gd name="T13" fmla="*/ T12 w 291"/>
                              <a:gd name="T14" fmla="+- 0 1357 1357"/>
                              <a:gd name="T15" fmla="*/ 1357 h 5"/>
                            </a:gdLst>
                            <a:ahLst/>
                            <a:cxnLst>
                              <a:cxn ang="0">
                                <a:pos x="T1" y="T3"/>
                              </a:cxn>
                              <a:cxn ang="0">
                                <a:pos x="T5" y="T7"/>
                              </a:cxn>
                              <a:cxn ang="0">
                                <a:pos x="T9" y="T11"/>
                              </a:cxn>
                              <a:cxn ang="0">
                                <a:pos x="T13" y="T15"/>
                              </a:cxn>
                            </a:cxnLst>
                            <a:rect l="0" t="0" r="r" b="b"/>
                            <a:pathLst>
                              <a:path w="291" h="5">
                                <a:moveTo>
                                  <a:pt x="0" y="5"/>
                                </a:moveTo>
                                <a:lnTo>
                                  <a:pt x="290" y="5"/>
                                </a:lnTo>
                                <a:moveTo>
                                  <a:pt x="0" y="0"/>
                                </a:moveTo>
                                <a:lnTo>
                                  <a:pt x="290"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230"/>
                        <wps:cNvSpPr>
                          <a:spLocks noChangeArrowheads="1"/>
                        </wps:cNvSpPr>
                        <wps:spPr bwMode="auto">
                          <a:xfrm>
                            <a:off x="9236" y="1122"/>
                            <a:ext cx="195" cy="77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96"/>
                        <wps:cNvCnPr>
                          <a:cxnSpLocks noChangeShapeType="1"/>
                        </wps:cNvCnPr>
                        <wps:spPr bwMode="auto">
                          <a:xfrm>
                            <a:off x="9913" y="1746"/>
                            <a:ext cx="147" cy="0"/>
                          </a:xfrm>
                          <a:prstGeom prst="line">
                            <a:avLst/>
                          </a:prstGeom>
                          <a:noFill/>
                          <a:ln w="4934">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22" name="docshape231"/>
                        <wps:cNvSpPr>
                          <a:spLocks/>
                        </wps:cNvSpPr>
                        <wps:spPr bwMode="auto">
                          <a:xfrm>
                            <a:off x="9913" y="1739"/>
                            <a:ext cx="147" cy="4"/>
                          </a:xfrm>
                          <a:custGeom>
                            <a:avLst/>
                            <a:gdLst>
                              <a:gd name="T0" fmla="+- 0 9913 9913"/>
                              <a:gd name="T1" fmla="*/ T0 w 147"/>
                              <a:gd name="T2" fmla="+- 0 1740 1740"/>
                              <a:gd name="T3" fmla="*/ 1740 h 4"/>
                              <a:gd name="T4" fmla="+- 0 10060 9913"/>
                              <a:gd name="T5" fmla="*/ T4 w 147"/>
                              <a:gd name="T6" fmla="+- 0 1740 1740"/>
                              <a:gd name="T7" fmla="*/ 1740 h 4"/>
                              <a:gd name="T8" fmla="+- 0 9913 9913"/>
                              <a:gd name="T9" fmla="*/ T8 w 147"/>
                              <a:gd name="T10" fmla="+- 0 1743 1740"/>
                              <a:gd name="T11" fmla="*/ 1743 h 4"/>
                              <a:gd name="T12" fmla="+- 0 10060 9913"/>
                              <a:gd name="T13" fmla="*/ T12 w 147"/>
                              <a:gd name="T14" fmla="+- 0 1743 1740"/>
                              <a:gd name="T15" fmla="*/ 1743 h 4"/>
                            </a:gdLst>
                            <a:ahLst/>
                            <a:cxnLst>
                              <a:cxn ang="0">
                                <a:pos x="T1" y="T3"/>
                              </a:cxn>
                              <a:cxn ang="0">
                                <a:pos x="T5" y="T7"/>
                              </a:cxn>
                              <a:cxn ang="0">
                                <a:pos x="T9" y="T11"/>
                              </a:cxn>
                              <a:cxn ang="0">
                                <a:pos x="T13" y="T15"/>
                              </a:cxn>
                            </a:cxnLst>
                            <a:rect l="0" t="0" r="r" b="b"/>
                            <a:pathLst>
                              <a:path w="147" h="4">
                                <a:moveTo>
                                  <a:pt x="0" y="0"/>
                                </a:moveTo>
                                <a:lnTo>
                                  <a:pt x="147" y="0"/>
                                </a:lnTo>
                                <a:moveTo>
                                  <a:pt x="0" y="3"/>
                                </a:moveTo>
                                <a:lnTo>
                                  <a:pt x="147" y="3"/>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232"/>
                        <wps:cNvSpPr>
                          <a:spLocks/>
                        </wps:cNvSpPr>
                        <wps:spPr bwMode="auto">
                          <a:xfrm>
                            <a:off x="9913" y="1357"/>
                            <a:ext cx="147" cy="5"/>
                          </a:xfrm>
                          <a:custGeom>
                            <a:avLst/>
                            <a:gdLst>
                              <a:gd name="T0" fmla="+- 0 9913 9913"/>
                              <a:gd name="T1" fmla="*/ T0 w 147"/>
                              <a:gd name="T2" fmla="+- 0 1362 1357"/>
                              <a:gd name="T3" fmla="*/ 1362 h 5"/>
                              <a:gd name="T4" fmla="+- 0 10060 9913"/>
                              <a:gd name="T5" fmla="*/ T4 w 147"/>
                              <a:gd name="T6" fmla="+- 0 1362 1357"/>
                              <a:gd name="T7" fmla="*/ 1362 h 5"/>
                              <a:gd name="T8" fmla="+- 0 9913 9913"/>
                              <a:gd name="T9" fmla="*/ T8 w 147"/>
                              <a:gd name="T10" fmla="+- 0 1357 1357"/>
                              <a:gd name="T11" fmla="*/ 1357 h 5"/>
                              <a:gd name="T12" fmla="+- 0 10060 9913"/>
                              <a:gd name="T13" fmla="*/ T12 w 147"/>
                              <a:gd name="T14" fmla="+- 0 1357 1357"/>
                              <a:gd name="T15" fmla="*/ 1357 h 5"/>
                            </a:gdLst>
                            <a:ahLst/>
                            <a:cxnLst>
                              <a:cxn ang="0">
                                <a:pos x="T1" y="T3"/>
                              </a:cxn>
                              <a:cxn ang="0">
                                <a:pos x="T5" y="T7"/>
                              </a:cxn>
                              <a:cxn ang="0">
                                <a:pos x="T9" y="T11"/>
                              </a:cxn>
                              <a:cxn ang="0">
                                <a:pos x="T13" y="T15"/>
                              </a:cxn>
                            </a:cxnLst>
                            <a:rect l="0" t="0" r="r" b="b"/>
                            <a:pathLst>
                              <a:path w="147" h="5">
                                <a:moveTo>
                                  <a:pt x="0" y="5"/>
                                </a:moveTo>
                                <a:lnTo>
                                  <a:pt x="147" y="5"/>
                                </a:lnTo>
                                <a:moveTo>
                                  <a:pt x="0" y="0"/>
                                </a:moveTo>
                                <a:lnTo>
                                  <a:pt x="147" y="0"/>
                                </a:lnTo>
                              </a:path>
                            </a:pathLst>
                          </a:custGeom>
                          <a:noFill/>
                          <a:ln w="362">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233"/>
                        <wps:cNvSpPr>
                          <a:spLocks noChangeArrowheads="1"/>
                        </wps:cNvSpPr>
                        <wps:spPr bwMode="auto">
                          <a:xfrm>
                            <a:off x="9721" y="1094"/>
                            <a:ext cx="192" cy="79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92"/>
                        <wps:cNvCnPr>
                          <a:cxnSpLocks noChangeShapeType="1"/>
                        </wps:cNvCnPr>
                        <wps:spPr bwMode="auto">
                          <a:xfrm>
                            <a:off x="2332" y="971"/>
                            <a:ext cx="146"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26" name="docshape234"/>
                        <wps:cNvSpPr>
                          <a:spLocks/>
                        </wps:cNvSpPr>
                        <wps:spPr bwMode="auto">
                          <a:xfrm>
                            <a:off x="2670" y="969"/>
                            <a:ext cx="1256" cy="5"/>
                          </a:xfrm>
                          <a:custGeom>
                            <a:avLst/>
                            <a:gdLst>
                              <a:gd name="T0" fmla="+- 0 2670 2670"/>
                              <a:gd name="T1" fmla="*/ T0 w 1256"/>
                              <a:gd name="T2" fmla="+- 0 973 969"/>
                              <a:gd name="T3" fmla="*/ 973 h 5"/>
                              <a:gd name="T4" fmla="+- 0 3925 2670"/>
                              <a:gd name="T5" fmla="*/ T4 w 1256"/>
                              <a:gd name="T6" fmla="+- 0 973 969"/>
                              <a:gd name="T7" fmla="*/ 973 h 5"/>
                              <a:gd name="T8" fmla="+- 0 2670 2670"/>
                              <a:gd name="T9" fmla="*/ T8 w 1256"/>
                              <a:gd name="T10" fmla="+- 0 969 969"/>
                              <a:gd name="T11" fmla="*/ 969 h 5"/>
                              <a:gd name="T12" fmla="+- 0 3925 2670"/>
                              <a:gd name="T13" fmla="*/ T12 w 1256"/>
                              <a:gd name="T14" fmla="+- 0 969 969"/>
                              <a:gd name="T15" fmla="*/ 969 h 5"/>
                            </a:gdLst>
                            <a:ahLst/>
                            <a:cxnLst>
                              <a:cxn ang="0">
                                <a:pos x="T1" y="T3"/>
                              </a:cxn>
                              <a:cxn ang="0">
                                <a:pos x="T5" y="T7"/>
                              </a:cxn>
                              <a:cxn ang="0">
                                <a:pos x="T9" y="T11"/>
                              </a:cxn>
                              <a:cxn ang="0">
                                <a:pos x="T13" y="T15"/>
                              </a:cxn>
                            </a:cxnLst>
                            <a:rect l="0" t="0" r="r" b="b"/>
                            <a:pathLst>
                              <a:path w="1256" h="5">
                                <a:moveTo>
                                  <a:pt x="0" y="4"/>
                                </a:moveTo>
                                <a:lnTo>
                                  <a:pt x="1255" y="4"/>
                                </a:lnTo>
                                <a:moveTo>
                                  <a:pt x="0" y="0"/>
                                </a:moveTo>
                                <a:lnTo>
                                  <a:pt x="1255"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235"/>
                        <wps:cNvSpPr>
                          <a:spLocks/>
                        </wps:cNvSpPr>
                        <wps:spPr bwMode="auto">
                          <a:xfrm>
                            <a:off x="2478" y="689"/>
                            <a:ext cx="1160" cy="702"/>
                          </a:xfrm>
                          <a:custGeom>
                            <a:avLst/>
                            <a:gdLst>
                              <a:gd name="T0" fmla="+- 0 2670 2478"/>
                              <a:gd name="T1" fmla="*/ T0 w 1160"/>
                              <a:gd name="T2" fmla="+- 0 689 689"/>
                              <a:gd name="T3" fmla="*/ 689 h 702"/>
                              <a:gd name="T4" fmla="+- 0 2478 2478"/>
                              <a:gd name="T5" fmla="*/ T4 w 1160"/>
                              <a:gd name="T6" fmla="+- 0 689 689"/>
                              <a:gd name="T7" fmla="*/ 689 h 702"/>
                              <a:gd name="T8" fmla="+- 0 2478 2478"/>
                              <a:gd name="T9" fmla="*/ T8 w 1160"/>
                              <a:gd name="T10" fmla="+- 0 1107 689"/>
                              <a:gd name="T11" fmla="*/ 1107 h 702"/>
                              <a:gd name="T12" fmla="+- 0 2670 2478"/>
                              <a:gd name="T13" fmla="*/ T12 w 1160"/>
                              <a:gd name="T14" fmla="+- 0 1107 689"/>
                              <a:gd name="T15" fmla="*/ 1107 h 702"/>
                              <a:gd name="T16" fmla="+- 0 2670 2478"/>
                              <a:gd name="T17" fmla="*/ T16 w 1160"/>
                              <a:gd name="T18" fmla="+- 0 689 689"/>
                              <a:gd name="T19" fmla="*/ 689 h 702"/>
                              <a:gd name="T20" fmla="+- 0 3152 2478"/>
                              <a:gd name="T21" fmla="*/ T20 w 1160"/>
                              <a:gd name="T22" fmla="+- 0 971 689"/>
                              <a:gd name="T23" fmla="*/ 971 h 702"/>
                              <a:gd name="T24" fmla="+- 0 2960 2478"/>
                              <a:gd name="T25" fmla="*/ T24 w 1160"/>
                              <a:gd name="T26" fmla="+- 0 971 689"/>
                              <a:gd name="T27" fmla="*/ 971 h 702"/>
                              <a:gd name="T28" fmla="+- 0 2960 2478"/>
                              <a:gd name="T29" fmla="*/ T28 w 1160"/>
                              <a:gd name="T30" fmla="+- 0 1325 689"/>
                              <a:gd name="T31" fmla="*/ 1325 h 702"/>
                              <a:gd name="T32" fmla="+- 0 3152 2478"/>
                              <a:gd name="T33" fmla="*/ T32 w 1160"/>
                              <a:gd name="T34" fmla="+- 0 1325 689"/>
                              <a:gd name="T35" fmla="*/ 1325 h 702"/>
                              <a:gd name="T36" fmla="+- 0 3152 2478"/>
                              <a:gd name="T37" fmla="*/ T36 w 1160"/>
                              <a:gd name="T38" fmla="+- 0 971 689"/>
                              <a:gd name="T39" fmla="*/ 971 h 702"/>
                              <a:gd name="T40" fmla="+- 0 3637 2478"/>
                              <a:gd name="T41" fmla="*/ T40 w 1160"/>
                              <a:gd name="T42" fmla="+- 0 1029 689"/>
                              <a:gd name="T43" fmla="*/ 1029 h 702"/>
                              <a:gd name="T44" fmla="+- 0 3443 2478"/>
                              <a:gd name="T45" fmla="*/ T44 w 1160"/>
                              <a:gd name="T46" fmla="+- 0 1029 689"/>
                              <a:gd name="T47" fmla="*/ 1029 h 702"/>
                              <a:gd name="T48" fmla="+- 0 3443 2478"/>
                              <a:gd name="T49" fmla="*/ T48 w 1160"/>
                              <a:gd name="T50" fmla="+- 0 1391 689"/>
                              <a:gd name="T51" fmla="*/ 1391 h 702"/>
                              <a:gd name="T52" fmla="+- 0 3637 2478"/>
                              <a:gd name="T53" fmla="*/ T52 w 1160"/>
                              <a:gd name="T54" fmla="+- 0 1391 689"/>
                              <a:gd name="T55" fmla="*/ 1391 h 702"/>
                              <a:gd name="T56" fmla="+- 0 3637 2478"/>
                              <a:gd name="T57" fmla="*/ T56 w 1160"/>
                              <a:gd name="T58" fmla="+- 0 1029 689"/>
                              <a:gd name="T59" fmla="*/ 1029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60" h="702">
                                <a:moveTo>
                                  <a:pt x="192" y="0"/>
                                </a:moveTo>
                                <a:lnTo>
                                  <a:pt x="0" y="0"/>
                                </a:lnTo>
                                <a:lnTo>
                                  <a:pt x="0" y="418"/>
                                </a:lnTo>
                                <a:lnTo>
                                  <a:pt x="192" y="418"/>
                                </a:lnTo>
                                <a:lnTo>
                                  <a:pt x="192" y="0"/>
                                </a:lnTo>
                                <a:close/>
                                <a:moveTo>
                                  <a:pt x="674" y="282"/>
                                </a:moveTo>
                                <a:lnTo>
                                  <a:pt x="482" y="282"/>
                                </a:lnTo>
                                <a:lnTo>
                                  <a:pt x="482" y="636"/>
                                </a:lnTo>
                                <a:lnTo>
                                  <a:pt x="674" y="636"/>
                                </a:lnTo>
                                <a:lnTo>
                                  <a:pt x="674" y="282"/>
                                </a:lnTo>
                                <a:close/>
                                <a:moveTo>
                                  <a:pt x="1159" y="340"/>
                                </a:moveTo>
                                <a:lnTo>
                                  <a:pt x="965" y="340"/>
                                </a:lnTo>
                                <a:lnTo>
                                  <a:pt x="965" y="702"/>
                                </a:lnTo>
                                <a:lnTo>
                                  <a:pt x="1159" y="702"/>
                                </a:lnTo>
                                <a:lnTo>
                                  <a:pt x="1159" y="34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236"/>
                        <wps:cNvSpPr>
                          <a:spLocks/>
                        </wps:cNvSpPr>
                        <wps:spPr bwMode="auto">
                          <a:xfrm>
                            <a:off x="4119" y="969"/>
                            <a:ext cx="772" cy="5"/>
                          </a:xfrm>
                          <a:custGeom>
                            <a:avLst/>
                            <a:gdLst>
                              <a:gd name="T0" fmla="+- 0 4120 4120"/>
                              <a:gd name="T1" fmla="*/ T0 w 772"/>
                              <a:gd name="T2" fmla="+- 0 973 969"/>
                              <a:gd name="T3" fmla="*/ 973 h 5"/>
                              <a:gd name="T4" fmla="+- 0 4891 4120"/>
                              <a:gd name="T5" fmla="*/ T4 w 772"/>
                              <a:gd name="T6" fmla="+- 0 973 969"/>
                              <a:gd name="T7" fmla="*/ 973 h 5"/>
                              <a:gd name="T8" fmla="+- 0 4120 4120"/>
                              <a:gd name="T9" fmla="*/ T8 w 772"/>
                              <a:gd name="T10" fmla="+- 0 969 969"/>
                              <a:gd name="T11" fmla="*/ 969 h 5"/>
                              <a:gd name="T12" fmla="+- 0 4891 4120"/>
                              <a:gd name="T13" fmla="*/ T12 w 772"/>
                              <a:gd name="T14" fmla="+- 0 969 969"/>
                              <a:gd name="T15" fmla="*/ 969 h 5"/>
                            </a:gdLst>
                            <a:ahLst/>
                            <a:cxnLst>
                              <a:cxn ang="0">
                                <a:pos x="T1" y="T3"/>
                              </a:cxn>
                              <a:cxn ang="0">
                                <a:pos x="T5" y="T7"/>
                              </a:cxn>
                              <a:cxn ang="0">
                                <a:pos x="T9" y="T11"/>
                              </a:cxn>
                              <a:cxn ang="0">
                                <a:pos x="T13" y="T15"/>
                              </a:cxn>
                            </a:cxnLst>
                            <a:rect l="0" t="0" r="r" b="b"/>
                            <a:pathLst>
                              <a:path w="772" h="5">
                                <a:moveTo>
                                  <a:pt x="0" y="4"/>
                                </a:moveTo>
                                <a:lnTo>
                                  <a:pt x="771" y="4"/>
                                </a:lnTo>
                                <a:moveTo>
                                  <a:pt x="0" y="0"/>
                                </a:moveTo>
                                <a:lnTo>
                                  <a:pt x="771"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237"/>
                        <wps:cNvSpPr>
                          <a:spLocks/>
                        </wps:cNvSpPr>
                        <wps:spPr bwMode="auto">
                          <a:xfrm>
                            <a:off x="3925" y="866"/>
                            <a:ext cx="676" cy="666"/>
                          </a:xfrm>
                          <a:custGeom>
                            <a:avLst/>
                            <a:gdLst>
                              <a:gd name="T0" fmla="+- 0 4120 3925"/>
                              <a:gd name="T1" fmla="*/ T0 w 676"/>
                              <a:gd name="T2" fmla="+- 0 867 867"/>
                              <a:gd name="T3" fmla="*/ 867 h 666"/>
                              <a:gd name="T4" fmla="+- 0 3925 3925"/>
                              <a:gd name="T5" fmla="*/ T4 w 676"/>
                              <a:gd name="T6" fmla="+- 0 867 867"/>
                              <a:gd name="T7" fmla="*/ 867 h 666"/>
                              <a:gd name="T8" fmla="+- 0 3925 3925"/>
                              <a:gd name="T9" fmla="*/ T8 w 676"/>
                              <a:gd name="T10" fmla="+- 0 1293 867"/>
                              <a:gd name="T11" fmla="*/ 1293 h 666"/>
                              <a:gd name="T12" fmla="+- 0 4120 3925"/>
                              <a:gd name="T13" fmla="*/ T12 w 676"/>
                              <a:gd name="T14" fmla="+- 0 1293 867"/>
                              <a:gd name="T15" fmla="*/ 1293 h 666"/>
                              <a:gd name="T16" fmla="+- 0 4120 3925"/>
                              <a:gd name="T17" fmla="*/ T16 w 676"/>
                              <a:gd name="T18" fmla="+- 0 867 867"/>
                              <a:gd name="T19" fmla="*/ 867 h 666"/>
                              <a:gd name="T20" fmla="+- 0 4601 3925"/>
                              <a:gd name="T21" fmla="*/ T20 w 676"/>
                              <a:gd name="T22" fmla="+- 0 1181 867"/>
                              <a:gd name="T23" fmla="*/ 1181 h 666"/>
                              <a:gd name="T24" fmla="+- 0 4409 3925"/>
                              <a:gd name="T25" fmla="*/ T24 w 676"/>
                              <a:gd name="T26" fmla="+- 0 1181 867"/>
                              <a:gd name="T27" fmla="*/ 1181 h 666"/>
                              <a:gd name="T28" fmla="+- 0 4409 3925"/>
                              <a:gd name="T29" fmla="*/ T28 w 676"/>
                              <a:gd name="T30" fmla="+- 0 1533 867"/>
                              <a:gd name="T31" fmla="*/ 1533 h 666"/>
                              <a:gd name="T32" fmla="+- 0 4601 3925"/>
                              <a:gd name="T33" fmla="*/ T32 w 676"/>
                              <a:gd name="T34" fmla="+- 0 1533 867"/>
                              <a:gd name="T35" fmla="*/ 1533 h 666"/>
                              <a:gd name="T36" fmla="+- 0 4601 3925"/>
                              <a:gd name="T37" fmla="*/ T36 w 676"/>
                              <a:gd name="T38" fmla="+- 0 1181 867"/>
                              <a:gd name="T39" fmla="*/ 1181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6" h="666">
                                <a:moveTo>
                                  <a:pt x="195" y="0"/>
                                </a:moveTo>
                                <a:lnTo>
                                  <a:pt x="0" y="0"/>
                                </a:lnTo>
                                <a:lnTo>
                                  <a:pt x="0" y="426"/>
                                </a:lnTo>
                                <a:lnTo>
                                  <a:pt x="195" y="426"/>
                                </a:lnTo>
                                <a:lnTo>
                                  <a:pt x="195" y="0"/>
                                </a:lnTo>
                                <a:close/>
                                <a:moveTo>
                                  <a:pt x="676" y="314"/>
                                </a:moveTo>
                                <a:lnTo>
                                  <a:pt x="484" y="314"/>
                                </a:lnTo>
                                <a:lnTo>
                                  <a:pt x="484" y="666"/>
                                </a:lnTo>
                                <a:lnTo>
                                  <a:pt x="676" y="666"/>
                                </a:lnTo>
                                <a:lnTo>
                                  <a:pt x="676" y="3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238"/>
                        <wps:cNvSpPr>
                          <a:spLocks/>
                        </wps:cNvSpPr>
                        <wps:spPr bwMode="auto">
                          <a:xfrm>
                            <a:off x="5083" y="969"/>
                            <a:ext cx="291" cy="5"/>
                          </a:xfrm>
                          <a:custGeom>
                            <a:avLst/>
                            <a:gdLst>
                              <a:gd name="T0" fmla="+- 0 5083 5083"/>
                              <a:gd name="T1" fmla="*/ T0 w 291"/>
                              <a:gd name="T2" fmla="+- 0 973 969"/>
                              <a:gd name="T3" fmla="*/ 973 h 5"/>
                              <a:gd name="T4" fmla="+- 0 5374 5083"/>
                              <a:gd name="T5" fmla="*/ T4 w 291"/>
                              <a:gd name="T6" fmla="+- 0 973 969"/>
                              <a:gd name="T7" fmla="*/ 973 h 5"/>
                              <a:gd name="T8" fmla="+- 0 5083 5083"/>
                              <a:gd name="T9" fmla="*/ T8 w 291"/>
                              <a:gd name="T10" fmla="+- 0 969 969"/>
                              <a:gd name="T11" fmla="*/ 969 h 5"/>
                              <a:gd name="T12" fmla="+- 0 5374 5083"/>
                              <a:gd name="T13" fmla="*/ T12 w 291"/>
                              <a:gd name="T14" fmla="+- 0 969 969"/>
                              <a:gd name="T15" fmla="*/ 969 h 5"/>
                            </a:gdLst>
                            <a:ahLst/>
                            <a:cxnLst>
                              <a:cxn ang="0">
                                <a:pos x="T1" y="T3"/>
                              </a:cxn>
                              <a:cxn ang="0">
                                <a:pos x="T5" y="T7"/>
                              </a:cxn>
                              <a:cxn ang="0">
                                <a:pos x="T9" y="T11"/>
                              </a:cxn>
                              <a:cxn ang="0">
                                <a:pos x="T13" y="T15"/>
                              </a:cxn>
                            </a:cxnLst>
                            <a:rect l="0" t="0" r="r" b="b"/>
                            <a:pathLst>
                              <a:path w="291" h="5">
                                <a:moveTo>
                                  <a:pt x="0" y="4"/>
                                </a:moveTo>
                                <a:lnTo>
                                  <a:pt x="291" y="4"/>
                                </a:lnTo>
                                <a:moveTo>
                                  <a:pt x="0" y="0"/>
                                </a:moveTo>
                                <a:lnTo>
                                  <a:pt x="291" y="0"/>
                                </a:lnTo>
                              </a:path>
                            </a:pathLst>
                          </a:custGeom>
                          <a:noFill/>
                          <a:ln w="2648">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239"/>
                        <wps:cNvSpPr>
                          <a:spLocks noChangeArrowheads="1"/>
                        </wps:cNvSpPr>
                        <wps:spPr bwMode="auto">
                          <a:xfrm>
                            <a:off x="4891" y="848"/>
                            <a:ext cx="192" cy="399"/>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docshape240"/>
                        <wps:cNvSpPr>
                          <a:spLocks/>
                        </wps:cNvSpPr>
                        <wps:spPr bwMode="auto">
                          <a:xfrm>
                            <a:off x="5568" y="971"/>
                            <a:ext cx="1738" cy="3"/>
                          </a:xfrm>
                          <a:custGeom>
                            <a:avLst/>
                            <a:gdLst>
                              <a:gd name="T0" fmla="+- 0 5568 5568"/>
                              <a:gd name="T1" fmla="*/ T0 w 1738"/>
                              <a:gd name="T2" fmla="+- 0 974 972"/>
                              <a:gd name="T3" fmla="*/ 974 h 3"/>
                              <a:gd name="T4" fmla="+- 0 7306 5568"/>
                              <a:gd name="T5" fmla="*/ T4 w 1738"/>
                              <a:gd name="T6" fmla="+- 0 974 972"/>
                              <a:gd name="T7" fmla="*/ 974 h 3"/>
                              <a:gd name="T8" fmla="+- 0 5568 5568"/>
                              <a:gd name="T9" fmla="*/ T8 w 1738"/>
                              <a:gd name="T10" fmla="+- 0 972 972"/>
                              <a:gd name="T11" fmla="*/ 972 h 3"/>
                              <a:gd name="T12" fmla="+- 0 7306 5568"/>
                              <a:gd name="T13" fmla="*/ T12 w 1738"/>
                              <a:gd name="T14" fmla="+- 0 972 972"/>
                              <a:gd name="T15" fmla="*/ 972 h 3"/>
                            </a:gdLst>
                            <a:ahLst/>
                            <a:cxnLst>
                              <a:cxn ang="0">
                                <a:pos x="T1" y="T3"/>
                              </a:cxn>
                              <a:cxn ang="0">
                                <a:pos x="T5" y="T7"/>
                              </a:cxn>
                              <a:cxn ang="0">
                                <a:pos x="T9" y="T11"/>
                              </a:cxn>
                              <a:cxn ang="0">
                                <a:pos x="T13" y="T15"/>
                              </a:cxn>
                            </a:cxnLst>
                            <a:rect l="0" t="0" r="r" b="b"/>
                            <a:pathLst>
                              <a:path w="1738" h="3">
                                <a:moveTo>
                                  <a:pt x="0" y="2"/>
                                </a:moveTo>
                                <a:lnTo>
                                  <a:pt x="1738" y="2"/>
                                </a:lnTo>
                                <a:moveTo>
                                  <a:pt x="0" y="0"/>
                                </a:moveTo>
                                <a:lnTo>
                                  <a:pt x="1738"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84"/>
                        <wps:cNvCnPr>
                          <a:cxnSpLocks noChangeShapeType="1"/>
                        </wps:cNvCnPr>
                        <wps:spPr bwMode="auto">
                          <a:xfrm>
                            <a:off x="5568" y="969"/>
                            <a:ext cx="1738"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34" name="docshape241"/>
                        <wps:cNvSpPr>
                          <a:spLocks/>
                        </wps:cNvSpPr>
                        <wps:spPr bwMode="auto">
                          <a:xfrm>
                            <a:off x="5373" y="708"/>
                            <a:ext cx="1644" cy="653"/>
                          </a:xfrm>
                          <a:custGeom>
                            <a:avLst/>
                            <a:gdLst>
                              <a:gd name="T0" fmla="+- 0 5568 5374"/>
                              <a:gd name="T1" fmla="*/ T0 w 1644"/>
                              <a:gd name="T2" fmla="+- 0 708 708"/>
                              <a:gd name="T3" fmla="*/ 708 h 653"/>
                              <a:gd name="T4" fmla="+- 0 5374 5374"/>
                              <a:gd name="T5" fmla="*/ T4 w 1644"/>
                              <a:gd name="T6" fmla="+- 0 708 708"/>
                              <a:gd name="T7" fmla="*/ 708 h 653"/>
                              <a:gd name="T8" fmla="+- 0 5374 5374"/>
                              <a:gd name="T9" fmla="*/ T8 w 1644"/>
                              <a:gd name="T10" fmla="+- 0 1142 708"/>
                              <a:gd name="T11" fmla="*/ 1142 h 653"/>
                              <a:gd name="T12" fmla="+- 0 5568 5374"/>
                              <a:gd name="T13" fmla="*/ T12 w 1644"/>
                              <a:gd name="T14" fmla="+- 0 1142 708"/>
                              <a:gd name="T15" fmla="*/ 1142 h 653"/>
                              <a:gd name="T16" fmla="+- 0 5568 5374"/>
                              <a:gd name="T17" fmla="*/ T16 w 1644"/>
                              <a:gd name="T18" fmla="+- 0 708 708"/>
                              <a:gd name="T19" fmla="*/ 708 h 653"/>
                              <a:gd name="T20" fmla="+- 0 6050 5374"/>
                              <a:gd name="T21" fmla="*/ T20 w 1644"/>
                              <a:gd name="T22" fmla="+- 0 972 708"/>
                              <a:gd name="T23" fmla="*/ 972 h 653"/>
                              <a:gd name="T24" fmla="+- 0 5856 5374"/>
                              <a:gd name="T25" fmla="*/ T24 w 1644"/>
                              <a:gd name="T26" fmla="+- 0 972 708"/>
                              <a:gd name="T27" fmla="*/ 972 h 653"/>
                              <a:gd name="T28" fmla="+- 0 5856 5374"/>
                              <a:gd name="T29" fmla="*/ T28 w 1644"/>
                              <a:gd name="T30" fmla="+- 0 1361 708"/>
                              <a:gd name="T31" fmla="*/ 1361 h 653"/>
                              <a:gd name="T32" fmla="+- 0 6050 5374"/>
                              <a:gd name="T33" fmla="*/ T32 w 1644"/>
                              <a:gd name="T34" fmla="+- 0 1361 708"/>
                              <a:gd name="T35" fmla="*/ 1361 h 653"/>
                              <a:gd name="T36" fmla="+- 0 6050 5374"/>
                              <a:gd name="T37" fmla="*/ T36 w 1644"/>
                              <a:gd name="T38" fmla="+- 0 972 708"/>
                              <a:gd name="T39" fmla="*/ 972 h 653"/>
                              <a:gd name="T40" fmla="+- 0 6533 5374"/>
                              <a:gd name="T41" fmla="*/ T40 w 1644"/>
                              <a:gd name="T42" fmla="+- 0 981 708"/>
                              <a:gd name="T43" fmla="*/ 981 h 653"/>
                              <a:gd name="T44" fmla="+- 0 6341 5374"/>
                              <a:gd name="T45" fmla="*/ T44 w 1644"/>
                              <a:gd name="T46" fmla="+- 0 981 708"/>
                              <a:gd name="T47" fmla="*/ 981 h 653"/>
                              <a:gd name="T48" fmla="+- 0 6341 5374"/>
                              <a:gd name="T49" fmla="*/ T48 w 1644"/>
                              <a:gd name="T50" fmla="+- 0 1355 708"/>
                              <a:gd name="T51" fmla="*/ 1355 h 653"/>
                              <a:gd name="T52" fmla="+- 0 6533 5374"/>
                              <a:gd name="T53" fmla="*/ T52 w 1644"/>
                              <a:gd name="T54" fmla="+- 0 1355 708"/>
                              <a:gd name="T55" fmla="*/ 1355 h 653"/>
                              <a:gd name="T56" fmla="+- 0 6533 5374"/>
                              <a:gd name="T57" fmla="*/ T56 w 1644"/>
                              <a:gd name="T58" fmla="+- 0 981 708"/>
                              <a:gd name="T59" fmla="*/ 981 h 653"/>
                              <a:gd name="T60" fmla="+- 0 7018 5374"/>
                              <a:gd name="T61" fmla="*/ T60 w 1644"/>
                              <a:gd name="T62" fmla="+- 0 993 708"/>
                              <a:gd name="T63" fmla="*/ 993 h 653"/>
                              <a:gd name="T64" fmla="+- 0 6823 5374"/>
                              <a:gd name="T65" fmla="*/ T64 w 1644"/>
                              <a:gd name="T66" fmla="+- 0 993 708"/>
                              <a:gd name="T67" fmla="*/ 993 h 653"/>
                              <a:gd name="T68" fmla="+- 0 6823 5374"/>
                              <a:gd name="T69" fmla="*/ T68 w 1644"/>
                              <a:gd name="T70" fmla="+- 0 1355 708"/>
                              <a:gd name="T71" fmla="*/ 1355 h 653"/>
                              <a:gd name="T72" fmla="+- 0 7018 5374"/>
                              <a:gd name="T73" fmla="*/ T72 w 1644"/>
                              <a:gd name="T74" fmla="+- 0 1355 708"/>
                              <a:gd name="T75" fmla="*/ 1355 h 653"/>
                              <a:gd name="T76" fmla="+- 0 7018 5374"/>
                              <a:gd name="T77" fmla="*/ T76 w 1644"/>
                              <a:gd name="T78" fmla="+- 0 993 708"/>
                              <a:gd name="T79" fmla="*/ 993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44" h="653">
                                <a:moveTo>
                                  <a:pt x="194" y="0"/>
                                </a:moveTo>
                                <a:lnTo>
                                  <a:pt x="0" y="0"/>
                                </a:lnTo>
                                <a:lnTo>
                                  <a:pt x="0" y="434"/>
                                </a:lnTo>
                                <a:lnTo>
                                  <a:pt x="194" y="434"/>
                                </a:lnTo>
                                <a:lnTo>
                                  <a:pt x="194" y="0"/>
                                </a:lnTo>
                                <a:close/>
                                <a:moveTo>
                                  <a:pt x="676" y="264"/>
                                </a:moveTo>
                                <a:lnTo>
                                  <a:pt x="482" y="264"/>
                                </a:lnTo>
                                <a:lnTo>
                                  <a:pt x="482" y="653"/>
                                </a:lnTo>
                                <a:lnTo>
                                  <a:pt x="676" y="653"/>
                                </a:lnTo>
                                <a:lnTo>
                                  <a:pt x="676" y="264"/>
                                </a:lnTo>
                                <a:close/>
                                <a:moveTo>
                                  <a:pt x="1159" y="273"/>
                                </a:moveTo>
                                <a:lnTo>
                                  <a:pt x="967" y="273"/>
                                </a:lnTo>
                                <a:lnTo>
                                  <a:pt x="967" y="647"/>
                                </a:lnTo>
                                <a:lnTo>
                                  <a:pt x="1159" y="647"/>
                                </a:lnTo>
                                <a:lnTo>
                                  <a:pt x="1159" y="273"/>
                                </a:lnTo>
                                <a:close/>
                                <a:moveTo>
                                  <a:pt x="1644" y="285"/>
                                </a:moveTo>
                                <a:lnTo>
                                  <a:pt x="1449" y="285"/>
                                </a:lnTo>
                                <a:lnTo>
                                  <a:pt x="1449" y="647"/>
                                </a:lnTo>
                                <a:lnTo>
                                  <a:pt x="1644" y="647"/>
                                </a:lnTo>
                                <a:lnTo>
                                  <a:pt x="1644" y="2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docshape242"/>
                        <wps:cNvSpPr>
                          <a:spLocks/>
                        </wps:cNvSpPr>
                        <wps:spPr bwMode="auto">
                          <a:xfrm>
                            <a:off x="7498" y="971"/>
                            <a:ext cx="291" cy="3"/>
                          </a:xfrm>
                          <a:custGeom>
                            <a:avLst/>
                            <a:gdLst>
                              <a:gd name="T0" fmla="+- 0 7499 7499"/>
                              <a:gd name="T1" fmla="*/ T0 w 291"/>
                              <a:gd name="T2" fmla="+- 0 974 972"/>
                              <a:gd name="T3" fmla="*/ 974 h 3"/>
                              <a:gd name="T4" fmla="+- 0 7789 7499"/>
                              <a:gd name="T5" fmla="*/ T4 w 291"/>
                              <a:gd name="T6" fmla="+- 0 974 972"/>
                              <a:gd name="T7" fmla="*/ 974 h 3"/>
                              <a:gd name="T8" fmla="+- 0 7499 7499"/>
                              <a:gd name="T9" fmla="*/ T8 w 291"/>
                              <a:gd name="T10" fmla="+- 0 972 972"/>
                              <a:gd name="T11" fmla="*/ 972 h 3"/>
                              <a:gd name="T12" fmla="+- 0 7789 7499"/>
                              <a:gd name="T13" fmla="*/ T12 w 291"/>
                              <a:gd name="T14" fmla="+- 0 972 972"/>
                              <a:gd name="T15" fmla="*/ 972 h 3"/>
                            </a:gdLst>
                            <a:ahLst/>
                            <a:cxnLst>
                              <a:cxn ang="0">
                                <a:pos x="T1" y="T3"/>
                              </a:cxn>
                              <a:cxn ang="0">
                                <a:pos x="T5" y="T7"/>
                              </a:cxn>
                              <a:cxn ang="0">
                                <a:pos x="T9" y="T11"/>
                              </a:cxn>
                              <a:cxn ang="0">
                                <a:pos x="T13" y="T15"/>
                              </a:cxn>
                            </a:cxnLst>
                            <a:rect l="0" t="0" r="r" b="b"/>
                            <a:pathLst>
                              <a:path w="291" h="3">
                                <a:moveTo>
                                  <a:pt x="0" y="2"/>
                                </a:moveTo>
                                <a:lnTo>
                                  <a:pt x="290" y="2"/>
                                </a:lnTo>
                                <a:moveTo>
                                  <a:pt x="0" y="0"/>
                                </a:moveTo>
                                <a:lnTo>
                                  <a:pt x="290"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81"/>
                        <wps:cNvCnPr>
                          <a:cxnSpLocks noChangeShapeType="1"/>
                        </wps:cNvCnPr>
                        <wps:spPr bwMode="auto">
                          <a:xfrm>
                            <a:off x="7499" y="969"/>
                            <a:ext cx="290"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37" name="docshape243"/>
                        <wps:cNvSpPr>
                          <a:spLocks noChangeArrowheads="1"/>
                        </wps:cNvSpPr>
                        <wps:spPr bwMode="auto">
                          <a:xfrm>
                            <a:off x="7305" y="803"/>
                            <a:ext cx="194" cy="387"/>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docshape244"/>
                        <wps:cNvSpPr>
                          <a:spLocks/>
                        </wps:cNvSpPr>
                        <wps:spPr bwMode="auto">
                          <a:xfrm>
                            <a:off x="7981" y="971"/>
                            <a:ext cx="291" cy="3"/>
                          </a:xfrm>
                          <a:custGeom>
                            <a:avLst/>
                            <a:gdLst>
                              <a:gd name="T0" fmla="+- 0 7981 7981"/>
                              <a:gd name="T1" fmla="*/ T0 w 291"/>
                              <a:gd name="T2" fmla="+- 0 974 972"/>
                              <a:gd name="T3" fmla="*/ 974 h 3"/>
                              <a:gd name="T4" fmla="+- 0 8272 7981"/>
                              <a:gd name="T5" fmla="*/ T4 w 291"/>
                              <a:gd name="T6" fmla="+- 0 974 972"/>
                              <a:gd name="T7" fmla="*/ 974 h 3"/>
                              <a:gd name="T8" fmla="+- 0 7981 7981"/>
                              <a:gd name="T9" fmla="*/ T8 w 291"/>
                              <a:gd name="T10" fmla="+- 0 972 972"/>
                              <a:gd name="T11" fmla="*/ 972 h 3"/>
                              <a:gd name="T12" fmla="+- 0 8272 7981"/>
                              <a:gd name="T13" fmla="*/ T12 w 291"/>
                              <a:gd name="T14" fmla="+- 0 972 972"/>
                              <a:gd name="T15" fmla="*/ 972 h 3"/>
                            </a:gdLst>
                            <a:ahLst/>
                            <a:cxnLst>
                              <a:cxn ang="0">
                                <a:pos x="T1" y="T3"/>
                              </a:cxn>
                              <a:cxn ang="0">
                                <a:pos x="T5" y="T7"/>
                              </a:cxn>
                              <a:cxn ang="0">
                                <a:pos x="T9" y="T11"/>
                              </a:cxn>
                              <a:cxn ang="0">
                                <a:pos x="T13" y="T15"/>
                              </a:cxn>
                            </a:cxnLst>
                            <a:rect l="0" t="0" r="r" b="b"/>
                            <a:pathLst>
                              <a:path w="291" h="3">
                                <a:moveTo>
                                  <a:pt x="0" y="2"/>
                                </a:moveTo>
                                <a:lnTo>
                                  <a:pt x="291" y="2"/>
                                </a:lnTo>
                                <a:moveTo>
                                  <a:pt x="0" y="0"/>
                                </a:moveTo>
                                <a:lnTo>
                                  <a:pt x="291"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78"/>
                        <wps:cNvCnPr>
                          <a:cxnSpLocks noChangeShapeType="1"/>
                        </wps:cNvCnPr>
                        <wps:spPr bwMode="auto">
                          <a:xfrm>
                            <a:off x="7981" y="969"/>
                            <a:ext cx="291"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40" name="docshape245"/>
                        <wps:cNvSpPr>
                          <a:spLocks noChangeArrowheads="1"/>
                        </wps:cNvSpPr>
                        <wps:spPr bwMode="auto">
                          <a:xfrm>
                            <a:off x="7789" y="845"/>
                            <a:ext cx="192" cy="387"/>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246"/>
                        <wps:cNvSpPr>
                          <a:spLocks/>
                        </wps:cNvSpPr>
                        <wps:spPr bwMode="auto">
                          <a:xfrm>
                            <a:off x="8463" y="971"/>
                            <a:ext cx="291" cy="3"/>
                          </a:xfrm>
                          <a:custGeom>
                            <a:avLst/>
                            <a:gdLst>
                              <a:gd name="T0" fmla="+- 0 8464 8464"/>
                              <a:gd name="T1" fmla="*/ T0 w 291"/>
                              <a:gd name="T2" fmla="+- 0 974 972"/>
                              <a:gd name="T3" fmla="*/ 974 h 3"/>
                              <a:gd name="T4" fmla="+- 0 8754 8464"/>
                              <a:gd name="T5" fmla="*/ T4 w 291"/>
                              <a:gd name="T6" fmla="+- 0 974 972"/>
                              <a:gd name="T7" fmla="*/ 974 h 3"/>
                              <a:gd name="T8" fmla="+- 0 8464 8464"/>
                              <a:gd name="T9" fmla="*/ T8 w 291"/>
                              <a:gd name="T10" fmla="+- 0 972 972"/>
                              <a:gd name="T11" fmla="*/ 972 h 3"/>
                              <a:gd name="T12" fmla="+- 0 8754 8464"/>
                              <a:gd name="T13" fmla="*/ T12 w 291"/>
                              <a:gd name="T14" fmla="+- 0 972 972"/>
                              <a:gd name="T15" fmla="*/ 972 h 3"/>
                            </a:gdLst>
                            <a:ahLst/>
                            <a:cxnLst>
                              <a:cxn ang="0">
                                <a:pos x="T1" y="T3"/>
                              </a:cxn>
                              <a:cxn ang="0">
                                <a:pos x="T5" y="T7"/>
                              </a:cxn>
                              <a:cxn ang="0">
                                <a:pos x="T9" y="T11"/>
                              </a:cxn>
                              <a:cxn ang="0">
                                <a:pos x="T13" y="T15"/>
                              </a:cxn>
                            </a:cxnLst>
                            <a:rect l="0" t="0" r="r" b="b"/>
                            <a:pathLst>
                              <a:path w="291" h="3">
                                <a:moveTo>
                                  <a:pt x="0" y="2"/>
                                </a:moveTo>
                                <a:lnTo>
                                  <a:pt x="290" y="2"/>
                                </a:lnTo>
                                <a:moveTo>
                                  <a:pt x="0" y="0"/>
                                </a:moveTo>
                                <a:lnTo>
                                  <a:pt x="290"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75"/>
                        <wps:cNvCnPr>
                          <a:cxnSpLocks noChangeShapeType="1"/>
                        </wps:cNvCnPr>
                        <wps:spPr bwMode="auto">
                          <a:xfrm>
                            <a:off x="8464" y="969"/>
                            <a:ext cx="290"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43" name="docshape247"/>
                        <wps:cNvSpPr>
                          <a:spLocks noChangeArrowheads="1"/>
                        </wps:cNvSpPr>
                        <wps:spPr bwMode="auto">
                          <a:xfrm>
                            <a:off x="8271" y="824"/>
                            <a:ext cx="192" cy="387"/>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48"/>
                        <wps:cNvSpPr>
                          <a:spLocks/>
                        </wps:cNvSpPr>
                        <wps:spPr bwMode="auto">
                          <a:xfrm>
                            <a:off x="8948" y="971"/>
                            <a:ext cx="288" cy="3"/>
                          </a:xfrm>
                          <a:custGeom>
                            <a:avLst/>
                            <a:gdLst>
                              <a:gd name="T0" fmla="+- 0 8948 8948"/>
                              <a:gd name="T1" fmla="*/ T0 w 288"/>
                              <a:gd name="T2" fmla="+- 0 974 972"/>
                              <a:gd name="T3" fmla="*/ 974 h 3"/>
                              <a:gd name="T4" fmla="+- 0 9236 8948"/>
                              <a:gd name="T5" fmla="*/ T4 w 288"/>
                              <a:gd name="T6" fmla="+- 0 974 972"/>
                              <a:gd name="T7" fmla="*/ 974 h 3"/>
                              <a:gd name="T8" fmla="+- 0 8948 8948"/>
                              <a:gd name="T9" fmla="*/ T8 w 288"/>
                              <a:gd name="T10" fmla="+- 0 972 972"/>
                              <a:gd name="T11" fmla="*/ 972 h 3"/>
                              <a:gd name="T12" fmla="+- 0 9236 8948"/>
                              <a:gd name="T13" fmla="*/ T12 w 288"/>
                              <a:gd name="T14" fmla="+- 0 972 972"/>
                              <a:gd name="T15" fmla="*/ 972 h 3"/>
                            </a:gdLst>
                            <a:ahLst/>
                            <a:cxnLst>
                              <a:cxn ang="0">
                                <a:pos x="T1" y="T3"/>
                              </a:cxn>
                              <a:cxn ang="0">
                                <a:pos x="T5" y="T7"/>
                              </a:cxn>
                              <a:cxn ang="0">
                                <a:pos x="T9" y="T11"/>
                              </a:cxn>
                              <a:cxn ang="0">
                                <a:pos x="T13" y="T15"/>
                              </a:cxn>
                            </a:cxnLst>
                            <a:rect l="0" t="0" r="r" b="b"/>
                            <a:pathLst>
                              <a:path w="288" h="3">
                                <a:moveTo>
                                  <a:pt x="0" y="2"/>
                                </a:moveTo>
                                <a:lnTo>
                                  <a:pt x="288" y="2"/>
                                </a:lnTo>
                                <a:moveTo>
                                  <a:pt x="0" y="0"/>
                                </a:moveTo>
                                <a:lnTo>
                                  <a:pt x="288"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72"/>
                        <wps:cNvCnPr>
                          <a:cxnSpLocks noChangeShapeType="1"/>
                        </wps:cNvCnPr>
                        <wps:spPr bwMode="auto">
                          <a:xfrm>
                            <a:off x="8948" y="969"/>
                            <a:ext cx="288"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46" name="docshape249"/>
                        <wps:cNvSpPr>
                          <a:spLocks noChangeArrowheads="1"/>
                        </wps:cNvSpPr>
                        <wps:spPr bwMode="auto">
                          <a:xfrm>
                            <a:off x="8754" y="762"/>
                            <a:ext cx="195" cy="387"/>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250"/>
                        <wps:cNvSpPr>
                          <a:spLocks/>
                        </wps:cNvSpPr>
                        <wps:spPr bwMode="auto">
                          <a:xfrm>
                            <a:off x="9430" y="971"/>
                            <a:ext cx="291" cy="3"/>
                          </a:xfrm>
                          <a:custGeom>
                            <a:avLst/>
                            <a:gdLst>
                              <a:gd name="T0" fmla="+- 0 9431 9431"/>
                              <a:gd name="T1" fmla="*/ T0 w 291"/>
                              <a:gd name="T2" fmla="+- 0 974 972"/>
                              <a:gd name="T3" fmla="*/ 974 h 3"/>
                              <a:gd name="T4" fmla="+- 0 9721 9431"/>
                              <a:gd name="T5" fmla="*/ T4 w 291"/>
                              <a:gd name="T6" fmla="+- 0 974 972"/>
                              <a:gd name="T7" fmla="*/ 974 h 3"/>
                              <a:gd name="T8" fmla="+- 0 9431 9431"/>
                              <a:gd name="T9" fmla="*/ T8 w 291"/>
                              <a:gd name="T10" fmla="+- 0 972 972"/>
                              <a:gd name="T11" fmla="*/ 972 h 3"/>
                              <a:gd name="T12" fmla="+- 0 9721 9431"/>
                              <a:gd name="T13" fmla="*/ T12 w 291"/>
                              <a:gd name="T14" fmla="+- 0 972 972"/>
                              <a:gd name="T15" fmla="*/ 972 h 3"/>
                            </a:gdLst>
                            <a:ahLst/>
                            <a:cxnLst>
                              <a:cxn ang="0">
                                <a:pos x="T1" y="T3"/>
                              </a:cxn>
                              <a:cxn ang="0">
                                <a:pos x="T5" y="T7"/>
                              </a:cxn>
                              <a:cxn ang="0">
                                <a:pos x="T9" y="T11"/>
                              </a:cxn>
                              <a:cxn ang="0">
                                <a:pos x="T13" y="T15"/>
                              </a:cxn>
                            </a:cxnLst>
                            <a:rect l="0" t="0" r="r" b="b"/>
                            <a:pathLst>
                              <a:path w="291" h="3">
                                <a:moveTo>
                                  <a:pt x="0" y="2"/>
                                </a:moveTo>
                                <a:lnTo>
                                  <a:pt x="290" y="2"/>
                                </a:lnTo>
                                <a:moveTo>
                                  <a:pt x="0" y="0"/>
                                </a:moveTo>
                                <a:lnTo>
                                  <a:pt x="290"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69"/>
                        <wps:cNvCnPr>
                          <a:cxnSpLocks noChangeShapeType="1"/>
                        </wps:cNvCnPr>
                        <wps:spPr bwMode="auto">
                          <a:xfrm>
                            <a:off x="9431" y="969"/>
                            <a:ext cx="290"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49" name="docshape251"/>
                        <wps:cNvSpPr>
                          <a:spLocks noChangeArrowheads="1"/>
                        </wps:cNvSpPr>
                        <wps:spPr bwMode="auto">
                          <a:xfrm>
                            <a:off x="9236" y="737"/>
                            <a:ext cx="195" cy="386"/>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252"/>
                        <wps:cNvSpPr>
                          <a:spLocks/>
                        </wps:cNvSpPr>
                        <wps:spPr bwMode="auto">
                          <a:xfrm>
                            <a:off x="9913" y="971"/>
                            <a:ext cx="147" cy="3"/>
                          </a:xfrm>
                          <a:custGeom>
                            <a:avLst/>
                            <a:gdLst>
                              <a:gd name="T0" fmla="+- 0 9913 9913"/>
                              <a:gd name="T1" fmla="*/ T0 w 147"/>
                              <a:gd name="T2" fmla="+- 0 974 972"/>
                              <a:gd name="T3" fmla="*/ 974 h 3"/>
                              <a:gd name="T4" fmla="+- 0 10060 9913"/>
                              <a:gd name="T5" fmla="*/ T4 w 147"/>
                              <a:gd name="T6" fmla="+- 0 974 972"/>
                              <a:gd name="T7" fmla="*/ 974 h 3"/>
                              <a:gd name="T8" fmla="+- 0 9913 9913"/>
                              <a:gd name="T9" fmla="*/ T8 w 147"/>
                              <a:gd name="T10" fmla="+- 0 972 972"/>
                              <a:gd name="T11" fmla="*/ 972 h 3"/>
                              <a:gd name="T12" fmla="+- 0 10060 9913"/>
                              <a:gd name="T13" fmla="*/ T12 w 147"/>
                              <a:gd name="T14" fmla="+- 0 972 972"/>
                              <a:gd name="T15" fmla="*/ 972 h 3"/>
                            </a:gdLst>
                            <a:ahLst/>
                            <a:cxnLst>
                              <a:cxn ang="0">
                                <a:pos x="T1" y="T3"/>
                              </a:cxn>
                              <a:cxn ang="0">
                                <a:pos x="T5" y="T7"/>
                              </a:cxn>
                              <a:cxn ang="0">
                                <a:pos x="T9" y="T11"/>
                              </a:cxn>
                              <a:cxn ang="0">
                                <a:pos x="T13" y="T15"/>
                              </a:cxn>
                            </a:cxnLst>
                            <a:rect l="0" t="0" r="r" b="b"/>
                            <a:pathLst>
                              <a:path w="147" h="3">
                                <a:moveTo>
                                  <a:pt x="0" y="2"/>
                                </a:moveTo>
                                <a:lnTo>
                                  <a:pt x="147" y="2"/>
                                </a:lnTo>
                                <a:moveTo>
                                  <a:pt x="0" y="0"/>
                                </a:moveTo>
                                <a:lnTo>
                                  <a:pt x="147" y="0"/>
                                </a:lnTo>
                              </a:path>
                            </a:pathLst>
                          </a:custGeom>
                          <a:noFill/>
                          <a:ln w="188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66"/>
                        <wps:cNvCnPr>
                          <a:cxnSpLocks noChangeShapeType="1"/>
                        </wps:cNvCnPr>
                        <wps:spPr bwMode="auto">
                          <a:xfrm>
                            <a:off x="9913" y="969"/>
                            <a:ext cx="147" cy="0"/>
                          </a:xfrm>
                          <a:prstGeom prst="line">
                            <a:avLst/>
                          </a:prstGeom>
                          <a:noFill/>
                          <a:ln w="2648">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2" name="docshape253"/>
                        <wps:cNvSpPr>
                          <a:spLocks noChangeArrowheads="1"/>
                        </wps:cNvSpPr>
                        <wps:spPr bwMode="auto">
                          <a:xfrm>
                            <a:off x="9721" y="710"/>
                            <a:ext cx="192" cy="384"/>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64"/>
                        <wps:cNvCnPr>
                          <a:cxnSpLocks noChangeShapeType="1"/>
                        </wps:cNvCnPr>
                        <wps:spPr bwMode="auto">
                          <a:xfrm>
                            <a:off x="2332" y="582"/>
                            <a:ext cx="772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4" name="Line 63"/>
                        <wps:cNvCnPr>
                          <a:cxnSpLocks noChangeShapeType="1"/>
                        </wps:cNvCnPr>
                        <wps:spPr bwMode="auto">
                          <a:xfrm>
                            <a:off x="2332" y="197"/>
                            <a:ext cx="7728"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5" name="Line 62"/>
                        <wps:cNvCnPr>
                          <a:cxnSpLocks noChangeShapeType="1"/>
                        </wps:cNvCnPr>
                        <wps:spPr bwMode="auto">
                          <a:xfrm>
                            <a:off x="2332" y="2908"/>
                            <a:ext cx="0"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6" name="Line 61"/>
                        <wps:cNvCnPr>
                          <a:cxnSpLocks noChangeShapeType="1"/>
                        </wps:cNvCnPr>
                        <wps:spPr bwMode="auto">
                          <a:xfrm>
                            <a:off x="2281" y="2908"/>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7" name="Line 60"/>
                        <wps:cNvCnPr>
                          <a:cxnSpLocks noChangeShapeType="1"/>
                        </wps:cNvCnPr>
                        <wps:spPr bwMode="auto">
                          <a:xfrm>
                            <a:off x="2281" y="2519"/>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8" name="Line 59"/>
                        <wps:cNvCnPr>
                          <a:cxnSpLocks noChangeShapeType="1"/>
                        </wps:cNvCnPr>
                        <wps:spPr bwMode="auto">
                          <a:xfrm>
                            <a:off x="2281" y="2133"/>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59" name="Line 58"/>
                        <wps:cNvCnPr>
                          <a:cxnSpLocks noChangeShapeType="1"/>
                        </wps:cNvCnPr>
                        <wps:spPr bwMode="auto">
                          <a:xfrm>
                            <a:off x="2281" y="1745"/>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0" name="Line 57"/>
                        <wps:cNvCnPr>
                          <a:cxnSpLocks noChangeShapeType="1"/>
                        </wps:cNvCnPr>
                        <wps:spPr bwMode="auto">
                          <a:xfrm>
                            <a:off x="2281" y="1358"/>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1" name="Line 56"/>
                        <wps:cNvCnPr>
                          <a:cxnSpLocks noChangeShapeType="1"/>
                        </wps:cNvCnPr>
                        <wps:spPr bwMode="auto">
                          <a:xfrm>
                            <a:off x="2281" y="971"/>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2" name="Line 55"/>
                        <wps:cNvCnPr>
                          <a:cxnSpLocks noChangeShapeType="1"/>
                        </wps:cNvCnPr>
                        <wps:spPr bwMode="auto">
                          <a:xfrm>
                            <a:off x="2281" y="582"/>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3" name="Line 54"/>
                        <wps:cNvCnPr>
                          <a:cxnSpLocks noChangeShapeType="1"/>
                        </wps:cNvCnPr>
                        <wps:spPr bwMode="auto">
                          <a:xfrm>
                            <a:off x="2281" y="197"/>
                            <a:ext cx="51" cy="0"/>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4" name="docshape254"/>
                        <wps:cNvSpPr>
                          <a:spLocks/>
                        </wps:cNvSpPr>
                        <wps:spPr bwMode="auto">
                          <a:xfrm>
                            <a:off x="2331" y="2908"/>
                            <a:ext cx="7728" cy="50"/>
                          </a:xfrm>
                          <a:custGeom>
                            <a:avLst/>
                            <a:gdLst>
                              <a:gd name="T0" fmla="+- 0 2332 2332"/>
                              <a:gd name="T1" fmla="*/ T0 w 7728"/>
                              <a:gd name="T2" fmla="+- 0 2908 2908"/>
                              <a:gd name="T3" fmla="*/ 2908 h 50"/>
                              <a:gd name="T4" fmla="+- 0 10060 2332"/>
                              <a:gd name="T5" fmla="*/ T4 w 7728"/>
                              <a:gd name="T6" fmla="+- 0 2908 2908"/>
                              <a:gd name="T7" fmla="*/ 2908 h 50"/>
                              <a:gd name="T8" fmla="+- 0 2332 2332"/>
                              <a:gd name="T9" fmla="*/ T8 w 7728"/>
                              <a:gd name="T10" fmla="+- 0 2908 2908"/>
                              <a:gd name="T11" fmla="*/ 2908 h 50"/>
                              <a:gd name="T12" fmla="+- 0 2332 2332"/>
                              <a:gd name="T13" fmla="*/ T12 w 7728"/>
                              <a:gd name="T14" fmla="+- 0 2957 2908"/>
                              <a:gd name="T15" fmla="*/ 2957 h 50"/>
                            </a:gdLst>
                            <a:ahLst/>
                            <a:cxnLst>
                              <a:cxn ang="0">
                                <a:pos x="T1" y="T3"/>
                              </a:cxn>
                              <a:cxn ang="0">
                                <a:pos x="T5" y="T7"/>
                              </a:cxn>
                              <a:cxn ang="0">
                                <a:pos x="T9" y="T11"/>
                              </a:cxn>
                              <a:cxn ang="0">
                                <a:pos x="T13" y="T15"/>
                              </a:cxn>
                            </a:cxnLst>
                            <a:rect l="0" t="0" r="r" b="b"/>
                            <a:pathLst>
                              <a:path w="7728" h="50">
                                <a:moveTo>
                                  <a:pt x="0" y="0"/>
                                </a:moveTo>
                                <a:lnTo>
                                  <a:pt x="7728" y="0"/>
                                </a:lnTo>
                                <a:moveTo>
                                  <a:pt x="0" y="0"/>
                                </a:moveTo>
                                <a:lnTo>
                                  <a:pt x="0" y="49"/>
                                </a:lnTo>
                              </a:path>
                            </a:pathLst>
                          </a:custGeom>
                          <a:noFill/>
                          <a:ln w="52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52"/>
                        <wps:cNvCnPr>
                          <a:cxnSpLocks noChangeShapeType="1"/>
                        </wps:cNvCnPr>
                        <wps:spPr bwMode="auto">
                          <a:xfrm>
                            <a:off x="2814"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6" name="Line 51"/>
                        <wps:cNvCnPr>
                          <a:cxnSpLocks noChangeShapeType="1"/>
                        </wps:cNvCnPr>
                        <wps:spPr bwMode="auto">
                          <a:xfrm>
                            <a:off x="3299"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7" name="Line 50"/>
                        <wps:cNvCnPr>
                          <a:cxnSpLocks noChangeShapeType="1"/>
                        </wps:cNvCnPr>
                        <wps:spPr bwMode="auto">
                          <a:xfrm>
                            <a:off x="3781"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8" name="Line 49"/>
                        <wps:cNvCnPr>
                          <a:cxnSpLocks noChangeShapeType="1"/>
                        </wps:cNvCnPr>
                        <wps:spPr bwMode="auto">
                          <a:xfrm>
                            <a:off x="4264"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69" name="Line 48"/>
                        <wps:cNvCnPr>
                          <a:cxnSpLocks noChangeShapeType="1"/>
                        </wps:cNvCnPr>
                        <wps:spPr bwMode="auto">
                          <a:xfrm>
                            <a:off x="4747"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0" name="Line 47"/>
                        <wps:cNvCnPr>
                          <a:cxnSpLocks noChangeShapeType="1"/>
                        </wps:cNvCnPr>
                        <wps:spPr bwMode="auto">
                          <a:xfrm>
                            <a:off x="5230"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1" name="Line 46"/>
                        <wps:cNvCnPr>
                          <a:cxnSpLocks noChangeShapeType="1"/>
                        </wps:cNvCnPr>
                        <wps:spPr bwMode="auto">
                          <a:xfrm>
                            <a:off x="5712"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2" name="Line 45"/>
                        <wps:cNvCnPr>
                          <a:cxnSpLocks noChangeShapeType="1"/>
                        </wps:cNvCnPr>
                        <wps:spPr bwMode="auto">
                          <a:xfrm>
                            <a:off x="6194"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3" name="Line 44"/>
                        <wps:cNvCnPr>
                          <a:cxnSpLocks noChangeShapeType="1"/>
                        </wps:cNvCnPr>
                        <wps:spPr bwMode="auto">
                          <a:xfrm>
                            <a:off x="6679"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4" name="Line 43"/>
                        <wps:cNvCnPr>
                          <a:cxnSpLocks noChangeShapeType="1"/>
                        </wps:cNvCnPr>
                        <wps:spPr bwMode="auto">
                          <a:xfrm>
                            <a:off x="7162"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5" name="Line 42"/>
                        <wps:cNvCnPr>
                          <a:cxnSpLocks noChangeShapeType="1"/>
                        </wps:cNvCnPr>
                        <wps:spPr bwMode="auto">
                          <a:xfrm>
                            <a:off x="7644"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6" name="Line 41"/>
                        <wps:cNvCnPr>
                          <a:cxnSpLocks noChangeShapeType="1"/>
                        </wps:cNvCnPr>
                        <wps:spPr bwMode="auto">
                          <a:xfrm>
                            <a:off x="8125"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7" name="Line 40"/>
                        <wps:cNvCnPr>
                          <a:cxnSpLocks noChangeShapeType="1"/>
                        </wps:cNvCnPr>
                        <wps:spPr bwMode="auto">
                          <a:xfrm>
                            <a:off x="8610"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8" name="Line 39"/>
                        <wps:cNvCnPr>
                          <a:cxnSpLocks noChangeShapeType="1"/>
                        </wps:cNvCnPr>
                        <wps:spPr bwMode="auto">
                          <a:xfrm>
                            <a:off x="9092"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79" name="Line 38"/>
                        <wps:cNvCnPr>
                          <a:cxnSpLocks noChangeShapeType="1"/>
                        </wps:cNvCnPr>
                        <wps:spPr bwMode="auto">
                          <a:xfrm>
                            <a:off x="9575"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80" name="Line 37"/>
                        <wps:cNvCnPr>
                          <a:cxnSpLocks noChangeShapeType="1"/>
                        </wps:cNvCnPr>
                        <wps:spPr bwMode="auto">
                          <a:xfrm>
                            <a:off x="10060" y="2908"/>
                            <a:ext cx="0" cy="49"/>
                          </a:xfrm>
                          <a:prstGeom prst="line">
                            <a:avLst/>
                          </a:prstGeom>
                          <a:noFill/>
                          <a:ln w="5296">
                            <a:solidFill>
                              <a:srgbClr val="88888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0C79F1" id="docshapegroup142" o:spid="_x0000_s1026" style="position:absolute;margin-left:114.05pt;margin-top:9.65pt;width:389.15pt;height:138.25pt;z-index:15760896;mso-position-horizontal-relative:page" coordorigin="2281,193" coordsize="778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">
                <v:shape id="docshape143" o:spid="_x0000_s1027" style="position:absolute;left:2331;top:2519;width:629;height: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" path="m,l146,m338,l628,e" filled="f" strokecolor="#888" strokeweight=".14711mm">
                  <v:path arrowok="t" o:connecttype="custom" o:connectlocs="0,0;146,0;338,0;628,0" o:connectangles="0,0,0,0"/>
                </v:shape>
                <v:rect id="docshape144" o:spid="_x0000_s1028" style="position:absolute;left:2478;top:2221;width:19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" fillcolor="#4371c3" stroked="f"/>
                <v:line id="Line 209" o:spid="_x0000_s1029" style="position:absolute;visibility:visible;mso-wrap-style:square" from="3152,2519" to="3443,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" strokecolor="#888" strokeweight=".14711mm"/>
                <v:rect id="docshape145" o:spid="_x0000_s1030" style="position:absolute;left:2960;top:2317;width:19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" fillcolor="#4371c3" stroked="f"/>
                <v:line id="Line 207" o:spid="_x0000_s1031" style="position:absolute;visibility:visible;mso-wrap-style:square" from="3637,2519" to="392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" strokecolor="#888" strokeweight=".14711mm"/>
                <v:rect id="docshape146" o:spid="_x0000_s1032" style="position:absolute;left:3442;top:2338;width:19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" fillcolor="#4371c3" stroked="f"/>
                <v:line id="Line 205" o:spid="_x0000_s1033" style="position:absolute;visibility:visible;mso-wrap-style:square" from="4120,2519" to="4409,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" strokecolor="#888" strokeweight=".14711mm"/>
                <v:rect id="docshape147" o:spid="_x0000_s1034" style="position:absolute;left:3925;top:2275;width:19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" fillcolor="#4371c3" stroked="f"/>
                <v:line id="Line 203" o:spid="_x0000_s1035" style="position:absolute;visibility:visible;mso-wrap-style:square" from="4601,2519" to="489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" strokecolor="#888" strokeweight=".14711mm"/>
                <v:rect id="docshape148" o:spid="_x0000_s1036" style="position:absolute;left:4408;top:2377;width:19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" fillcolor="#4371c3" stroked="f"/>
                <v:line id="Line 201" o:spid="_x0000_s1037" style="position:absolute;visibility:visible;mso-wrap-style:square" from="5083,2519" to="5374,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" strokecolor="#888" strokeweight=".14711mm"/>
                <v:rect id="docshape149" o:spid="_x0000_s1038" style="position:absolute;left:4891;top:2275;width:192;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" fillcolor="#4371c3" stroked="f"/>
                <v:line id="Line 199" o:spid="_x0000_s1039" style="position:absolute;visibility:visible;mso-wrap-style:square" from="5568,2519" to="5856,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" strokecolor="#888" strokeweight=".14711mm"/>
                <v:rect id="docshape150" o:spid="_x0000_s1040" style="position:absolute;left:5373;top:2215;width:19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" fillcolor="#4371c3" stroked="f"/>
                <v:line id="Line 197" o:spid="_x0000_s1041" style="position:absolute;visibility:visible;mso-wrap-style:square" from="6050,2519" to="634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" strokecolor="#888" strokeweight=".14711mm"/>
                <v:rect id="docshape151" o:spid="_x0000_s1042" style="position:absolute;left:5856;top:2281;width:19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" fillcolor="#4371c3" stroked="f"/>
                <v:line id="Line 195" o:spid="_x0000_s1043" style="position:absolute;visibility:visible;mso-wrap-style:square" from="6533,2519" to="6823,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" strokecolor="#888" strokeweight=".14711mm"/>
                <v:rect id="docshape152" o:spid="_x0000_s1044" style="position:absolute;left:6340;top:2305;width:1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" fillcolor="#4371c3" stroked="f"/>
                <v:line id="Line 193" o:spid="_x0000_s1045" style="position:absolute;visibility:visible;mso-wrap-style:square" from="7018,2519" to="7306,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" strokecolor="#888" strokeweight=".14711mm"/>
                <v:rect id="docshape153" o:spid="_x0000_s1046" style="position:absolute;left:6823;top:2347;width:19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" fillcolor="#4371c3" stroked="f"/>
                <v:line id="Line 191" o:spid="_x0000_s1047" style="position:absolute;visibility:visible;mso-wrap-style:square" from="7499,2519" to="7789,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" strokecolor="#888" strokeweight=".14711mm"/>
                <v:rect id="docshape154" o:spid="_x0000_s1048" style="position:absolute;left:7305;top:2297;width:19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" fillcolor="#4371c3" stroked="f"/>
                <v:line id="Line 189" o:spid="_x0000_s1049" style="position:absolute;visibility:visible;mso-wrap-style:square" from="7981,2519" to="8272,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" strokecolor="#888" strokeweight=".14711mm"/>
                <v:rect id="docshape155" o:spid="_x0000_s1050" style="position:absolute;left:7789;top:2297;width:19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" fillcolor="#4371c3" stroked="f"/>
                <v:line id="Line 187" o:spid="_x0000_s1051" style="position:absolute;visibility:visible;mso-wrap-style:square" from="8464,2519" to="8754,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" strokecolor="#888" strokeweight=".14711mm"/>
                <v:rect id="docshape156" o:spid="_x0000_s1052" style="position:absolute;left:8271;top:2297;width:19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" fillcolor="#4371c3" stroked="f"/>
                <v:line id="Line 185" o:spid="_x0000_s1053" style="position:absolute;visibility:visible;mso-wrap-style:square" from="8948,2519" to="9236,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" strokecolor="#888" strokeweight=".14711mm"/>
                <v:rect id="docshape157" o:spid="_x0000_s1054" style="position:absolute;left:8754;top:2297;width:19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" fillcolor="#4371c3" stroked="f"/>
                <v:line id="Line 183" o:spid="_x0000_s1055" style="position:absolute;visibility:visible;mso-wrap-style:square" from="9431,2519" to="972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" strokecolor="#888" strokeweight=".14711mm"/>
                <v:rect id="docshape158" o:spid="_x0000_s1056" style="position:absolute;left:9236;top:2297;width:19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" fillcolor="#4371c3" stroked="f"/>
                <v:line id="Line 181" o:spid="_x0000_s1057" style="position:absolute;visibility:visible;mso-wrap-style:square" from="9913,2519" to="1006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" strokecolor="#888" strokeweight=".14711mm"/>
                <v:rect id="docshape159" o:spid="_x0000_s1058" style="position:absolute;left:9721;top:2297;width:19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" fillcolor="#4371c3" stroked="f"/>
                <v:shape id="docshape160" o:spid="_x0000_s1059" style="position:absolute;left:2331;top:2130;width:629;height:5;visibility:visible;mso-wrap-style:square;v-text-anchor:top" coordsize="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" path="m,4r146,m,l146,m338,4r290,m338,l628,e" filled="f" strokecolor="#888" strokeweight=".07356mm">
                  <v:path arrowok="t" o:connecttype="custom" o:connectlocs="0,2135;146,2135;0,2131;146,2131;338,2135;628,2135;338,2131;628,2131" o:connectangles="0,0,0,0,0,0,0,0"/>
                </v:shape>
                <v:shape id="docshape161" o:spid="_x0000_s1060" style="position:absolute;left:2478;top:2143;width:2606;height:235;visibility:visible;mso-wrap-style:square;v-text-anchor:top" coordsize="260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" path="m192,l,,,78r192,l192,xm674,103r-192,l482,174r192,l674,103xm1159,128r-194,l965,194r194,l1159,128xm1642,66r-195,l1447,132r195,l1642,66xm2123,177r-192,l1931,234r192,l2123,177xm2605,63r-192,l2413,132r192,l2605,63xe" fillcolor="#5a9ad4" stroked="f">
                  <v:path arrowok="t" o:connecttype="custom" o:connectlocs="192,2144;0,2144;0,2222;192,2222;192,2144;674,2247;482,2247;482,2318;674,2318;674,2247;1159,2272;965,2272;965,2338;1159,2338;1159,2272;1642,2210;1447,2210;1447,2276;1642,2276;1642,2210;2123,2321;1931,2321;1931,2378;2123,2378;2123,2321;2605,2207;2413,2207;2413,2276;2605,2276;2605,2207" o:connectangles="0,0,0,0,0,0,0,0,0,0,0,0,0,0,0,0,0,0,0,0,0,0,0,0,0,0,0,0,0,0"/>
                </v:shape>
                <v:shape id="docshape162" o:spid="_x0000_s1061" style="position:absolute;left:5083;top:2130;width:773;height:5;visibility:visible;mso-wrap-style:square;v-text-anchor:top" coordsize="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" path="m,4r773,m,l291,m485,l773,e" filled="f" strokecolor="#888" strokeweight=".07356mm">
                  <v:path arrowok="t" o:connecttype="custom" o:connectlocs="0,2135;773,2135;0,2131;291,2131;485,2131;773,2131" o:connectangles="0,0,0,0,0,0"/>
                </v:shape>
                <v:shape id="docshape163" o:spid="_x0000_s1062" style="position:absolute;left:5373;top:2132;width:2126;height:215;visibility:visible;mso-wrap-style:square;v-text-anchor:top" coordsize="212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" path="m194,l,,,83r194,l194,xm676,86r-194,l482,149r194,l676,86xm1159,101r-192,l967,173r192,l1159,101xm1644,146r-195,l1449,215r195,l1644,146xm2125,98r-193,l1932,164r193,l2125,98xe" fillcolor="#5a9ad4" stroked="f">
                  <v:path arrowok="t" o:connecttype="custom" o:connectlocs="194,2133;0,2133;0,2216;194,2216;194,2133;676,2219;482,2219;482,2282;676,2282;676,2219;1159,2234;967,2234;967,2306;1159,2306;1159,2234;1644,2279;1449,2279;1449,2348;1644,2348;1644,2279;2125,2231;1932,2231;1932,2297;2125,2297;2125,2231" o:connectangles="0,0,0,0,0,0,0,0,0,0,0,0,0,0,0,0,0,0,0,0,0,0,0,0,0"/>
                </v:shape>
                <v:shape id="docshape164" o:spid="_x0000_s1063" style="position:absolute;left:2331;top:1741;width:629;height:5;visibility:visible;mso-wrap-style:square;v-text-anchor:top" coordsize="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" path="m,5r146,m,l146,m338,5r290,m338,l628,e" filled="f" strokecolor="#888" strokeweight=".1371mm">
                  <v:path arrowok="t" o:connecttype="custom" o:connectlocs="0,1746;146,1746;0,1741;146,1741;338,1746;628,1746;338,1741;628,1741" o:connectangles="0,0,0,0,0,0,0,0"/>
                </v:shape>
                <v:rect id="docshape165" o:spid="_x0000_s1064" style="position:absolute;left:2478;top:1751;width:19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" fillcolor="#ec7c30" stroked="f"/>
                <v:shape id="docshape166" o:spid="_x0000_s1065" style="position:absolute;left:3152;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" path="m,4r291,m,l291,e" filled="f" strokecolor="#888" strokeweight=".07356mm">
                  <v:path arrowok="t" o:connecttype="custom" o:connectlocs="0,2135;291,2135;0,2131;291,2131" o:connectangles="0,0,0,0"/>
                </v:shape>
                <v:rect id="docshape167" o:spid="_x0000_s1066" style="position:absolute;left:2960;top:1895;width:19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" fillcolor="#ec7c30" stroked="f"/>
                <v:shape id="docshape168" o:spid="_x0000_s1067" style="position:absolute;left:3637;top:2130;width:288;height: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" path="m,4r288,m,l288,e" filled="f" strokecolor="#888" strokeweight=".07356mm">
                  <v:path arrowok="t" o:connecttype="custom" o:connectlocs="0,2135;288,2135;0,2131;288,2131" o:connectangles="0,0,0,0"/>
                </v:shape>
                <v:rect id="docshape169" o:spid="_x0000_s1068" style="position:absolute;left:3442;top:1931;width:19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" fillcolor="#ec7c30" stroked="f"/>
                <v:shape id="docshape170" o:spid="_x0000_s1069" style="position:absolute;left:4119;top:2130;width:290;height:5;visibility:visible;mso-wrap-style:square;v-text-anchor:top" coordsize="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" path="m,4r289,m,l289,e" filled="f" strokecolor="#888" strokeweight=".07356mm">
                  <v:path arrowok="t" o:connecttype="custom" o:connectlocs="0,2135;289,2135;0,2131;289,2131" o:connectangles="0,0,0,0"/>
                </v:shape>
                <v:rect id="docshape171" o:spid="_x0000_s1070" style="position:absolute;left:3925;top:1837;width:19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" fillcolor="#ec7c30" stroked="f"/>
                <v:shape id="docshape172" o:spid="_x0000_s1071" style="position:absolute;left:4600;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" path="m,4r290,m,l290,e" filled="f" strokecolor="#888" strokeweight=".07356mm">
                  <v:path arrowok="t" o:connecttype="custom" o:connectlocs="0,2135;290,2135;0,2131;290,2131" o:connectangles="0,0,0,0"/>
                </v:shape>
                <v:shape id="docshape173" o:spid="_x0000_s1072" style="position:absolute;left:4408;top:1831;width:675;height:490;visibility:visible;mso-wrap-style:square;v-text-anchor:top" coordsize="67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" path="m192,163l,163,,489r192,l192,163xm674,l482,r,375l674,375,674,xe" fillcolor="#ec7c30" stroked="f">
                  <v:path arrowok="t" o:connecttype="custom" o:connectlocs="192,1995;0,1995;0,2321;192,2321;192,1995;674,1832;482,1832;482,2207;674,2207;674,1832" o:connectangles="0,0,0,0,0,0,0,0,0,0"/>
                </v:shape>
                <v:line id="Line 165" o:spid="_x0000_s1073" style="position:absolute;visibility:visible;mso-wrap-style:square" from="5083,1746" to="5856,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" strokecolor="#888" strokeweight=".1371mm"/>
                <v:shape id="docshape174" o:spid="_x0000_s1074" style="position:absolute;left:5083;top:1739;width:773;height:4;visibility:visible;mso-wrap-style:square;v-text-anchor:top" coordsize="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" path="m,l773,m,3r773,e" filled="f" strokecolor="#888" strokeweight=".07356mm">
                  <v:path arrowok="t" o:connecttype="custom" o:connectlocs="0,1740;773,1740;0,1743;773,1743" o:connectangles="0,0,0,0"/>
                </v:shape>
                <v:rect id="docshape175" o:spid="_x0000_s1075" style="position:absolute;left:5373;top:1741;width:19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" fillcolor="#ec7c30" stroked="f"/>
                <v:shape id="docshape176" o:spid="_x0000_s1076" style="position:absolute;left:6050;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" path="m,4r291,m,l291,e" filled="f" strokecolor="#888" strokeweight=".07356mm">
                  <v:path arrowok="t" o:connecttype="custom" o:connectlocs="0,2135;291,2135;0,2131;291,2131" o:connectangles="0,0,0,0"/>
                </v:shape>
                <v:rect id="docshape177" o:spid="_x0000_s1077" style="position:absolute;left:5856;top:1885;width:19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" fillcolor="#ec7c30" stroked="f"/>
                <v:shape id="docshape178" o:spid="_x0000_s1078" style="position:absolute;left:6532;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" path="m,4r290,m,l290,e" filled="f" strokecolor="#888" strokeweight=".07356mm">
                  <v:path arrowok="t" o:connecttype="custom" o:connectlocs="0,2135;290,2135;0,2131;290,2131" o:connectangles="0,0,0,0"/>
                </v:shape>
                <v:rect id="docshape179" o:spid="_x0000_s1079" style="position:absolute;left:6340;top:1909;width:19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" fillcolor="#ec7c30" stroked="f"/>
                <v:shape id="docshape180" o:spid="_x0000_s1080" style="position:absolute;left:7017;top:2130;width:288;height: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" path="m,4r288,m,l288,e" filled="f" strokecolor="#888" strokeweight=".07356mm">
                  <v:path arrowok="t" o:connecttype="custom" o:connectlocs="0,2135;288,2135;0,2131;288,2131" o:connectangles="0,0,0,0"/>
                </v:shape>
                <v:rect id="docshape181" o:spid="_x0000_s1081" style="position:absolute;left:6823;top:1940;width:19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" fillcolor="#ec7c30" stroked="f"/>
                <v:shape id="docshape182" o:spid="_x0000_s1082" style="position:absolute;left:7498;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" path="m,4r290,m,l290,e" filled="f" strokecolor="#888" strokeweight=".07356mm">
                  <v:path arrowok="t" o:connecttype="custom" o:connectlocs="0,2135;290,2135;0,2131;290,2131" o:connectangles="0,0,0,0"/>
                </v:shape>
                <v:rect id="docshape183" o:spid="_x0000_s1083" style="position:absolute;left:7305;top:1862;width:194;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" fillcolor="#ec7c30" stroked="f"/>
                <v:shape id="docshape184" o:spid="_x0000_s1084" style="position:absolute;left:7981;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" path="m,4r291,m,l291,e" filled="f" strokecolor="#888" strokeweight=".07356mm">
                  <v:path arrowok="t" o:connecttype="custom" o:connectlocs="0,2135;291,2135;0,2131;291,2131" o:connectangles="0,0,0,0"/>
                </v:shape>
                <v:rect id="docshape185" o:spid="_x0000_s1085" style="position:absolute;left:7789;top:1919;width:19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" fillcolor="#ec7c30" stroked="f"/>
                <v:shape id="docshape186" o:spid="_x0000_s1086" style="position:absolute;left:8463;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" path="m,4r290,m,l290,e" filled="f" strokecolor="#888" strokeweight=".07356mm">
                  <v:path arrowok="t" o:connecttype="custom" o:connectlocs="0,2135;290,2135;0,2131;290,2131" o:connectangles="0,0,0,0"/>
                </v:shape>
                <v:rect id="docshape187" o:spid="_x0000_s1087" style="position:absolute;left:8271;top:1907;width:19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" fillcolor="#ec7c30" stroked="f"/>
                <v:shape id="docshape188" o:spid="_x0000_s1088" style="position:absolute;left:8948;top:2130;width:288;height: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" path="m,4r288,m,l288,e" filled="f" strokecolor="#888" strokeweight=".07356mm">
                  <v:path arrowok="t" o:connecttype="custom" o:connectlocs="0,2135;288,2135;0,2131;288,2131" o:connectangles="0,0,0,0"/>
                </v:shape>
                <v:rect id="docshape189" o:spid="_x0000_s1089" style="position:absolute;left:8754;top:1895;width:19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" fillcolor="#ec7c30" stroked="f"/>
                <v:shape id="docshape190" o:spid="_x0000_s1090" style="position:absolute;left:9430;top:2130;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" path="m,4r290,m,l290,e" filled="f" strokecolor="#888" strokeweight=".07356mm">
                  <v:path arrowok="t" o:connecttype="custom" o:connectlocs="0,2135;290,2135;0,2131;290,2131" o:connectangles="0,0,0,0"/>
                </v:shape>
                <v:rect id="docshape191" o:spid="_x0000_s1091" style="position:absolute;left:9236;top:1891;width:19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" fillcolor="#ec7c30" stroked="f"/>
                <v:shape id="docshape192" o:spid="_x0000_s1092" style="position:absolute;left:9913;top:2130;width:147;height: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" path="m,4r147,m,l147,e" filled="f" strokecolor="#888" strokeweight=".07356mm">
                  <v:path arrowok="t" o:connecttype="custom" o:connectlocs="0,2135;147,2135;0,2131;147,2131" o:connectangles="0,0,0,0"/>
                </v:shape>
                <v:rect id="docshape193" o:spid="_x0000_s1093" style="position:absolute;left:9721;top:1885;width:1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" fillcolor="#ec7c30" stroked="f"/>
                <v:shape id="docshape194" o:spid="_x0000_s1094" style="position:absolute;left:2331;top:1357;width:629;height: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" path="m,l146,m338,l628,e" filled="f" strokecolor="#888" strokeweight=".14711mm">
                  <v:path arrowok="t" o:connecttype="custom" o:connectlocs="0,0;146,0;338,0;628,0" o:connectangles="0,0,0,0"/>
                </v:shape>
                <v:rect id="docshape195" o:spid="_x0000_s1095" style="position:absolute;left:2478;top:1106;width:192;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" fillcolor="#a4a4a4" stroked="f"/>
                <v:shape id="docshape196" o:spid="_x0000_s1096" style="position:absolute;left:3152;top:1741;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" path="m,5r291,m,l291,e" filled="f" strokecolor="#888" strokeweight=".1371mm">
                  <v:path arrowok="t" o:connecttype="custom" o:connectlocs="0,1746;291,1746;0,1741;291,1741" o:connectangles="0,0,0,0"/>
                </v:shape>
                <v:line id="Line 141" o:spid="_x0000_s1097" style="position:absolute;visibility:visible;mso-wrap-style:square" from="3152,1358" to="3443,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" strokecolor="#888" strokeweight=".14711mm"/>
                <v:rect id="docshape197" o:spid="_x0000_s1098" style="position:absolute;left:2960;top:1325;width:19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" fillcolor="#a4a4a4" stroked="f"/>
                <v:shape id="docshape198" o:spid="_x0000_s1099" style="position:absolute;left:3637;top:1741;width:288;height: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" path="m,5r288,m,l288,e" filled="f" strokecolor="#888" strokeweight=".1371mm">
                  <v:path arrowok="t" o:connecttype="custom" o:connectlocs="0,1746;288,1746;0,1741;288,1741" o:connectangles="0,0,0,0"/>
                </v:shape>
                <v:line id="Line 138" o:spid="_x0000_s1100" style="position:absolute;visibility:visible;mso-wrap-style:square" from="3637,1358" to="392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" strokecolor="#888" strokeweight=".14711mm"/>
                <v:rect id="docshape199" o:spid="_x0000_s1101" style="position:absolute;left:3442;top:1391;width:1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" fillcolor="#a4a4a4" stroked="f"/>
                <v:shape id="docshape200" o:spid="_x0000_s1102" style="position:absolute;left:4119;top:1741;width:290;height:5;visibility:visible;mso-wrap-style:square;v-text-anchor:top" coordsize="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" path="m,5r289,m,l289,e" filled="f" strokecolor="#888" strokeweight=".1371mm">
                  <v:path arrowok="t" o:connecttype="custom" o:connectlocs="0,1746;289,1746;0,1741;289,1741" o:connectangles="0,0,0,0"/>
                </v:shape>
                <v:line id="Line 135" o:spid="_x0000_s1103" style="position:absolute;visibility:visible;mso-wrap-style:square" from="4120,1358" to="440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" strokecolor="#888" strokeweight=".14711mm"/>
                <v:rect id="docshape201" o:spid="_x0000_s1104" style="position:absolute;left:3925;top:1292;width:19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" fillcolor="#a4a4a4" stroked="f"/>
                <v:shape id="docshape202" o:spid="_x0000_s1105" style="position:absolute;left:4600;top:1741;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" path="m,5r290,m,l290,e" filled="f" strokecolor="#888" strokeweight=".1371mm">
                  <v:path arrowok="t" o:connecttype="custom" o:connectlocs="0,1746;290,1746;0,1741;290,1741" o:connectangles="0,0,0,0"/>
                </v:shape>
                <v:rect id="docshape203" o:spid="_x0000_s1106" style="position:absolute;left:4408;top:1532;width:19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" fillcolor="#a4a4a4" stroked="f"/>
                <v:shape id="docshape204" o:spid="_x0000_s1107" style="position:absolute;left:4600;top:1357;width:773;height:2;visibility:visible;mso-wrap-style:square;v-text-anchor:top" coordsize="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" path="m,l290,m482,l773,e" filled="f" strokecolor="#888" strokeweight=".14711mm">
                  <v:path arrowok="t" o:connecttype="custom" o:connectlocs="0,0;290,0;482,0;773,0" o:connectangles="0,0,0,0"/>
                </v:shape>
                <v:rect id="docshape205" o:spid="_x0000_s1108" style="position:absolute;left:4891;top:1247;width:19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" fillcolor="#a4a4a4" stroked="f"/>
                <v:shape id="docshape206" o:spid="_x0000_s1109" style="position:absolute;left:5568;top:1357;width:773;height:5;visibility:visible;mso-wrap-style:square;v-text-anchor:top" coordsize="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" path="m,5r773,m,l288,m482,l773,e" filled="f" strokecolor="#888" strokeweight=".0101mm">
                  <v:path arrowok="t" o:connecttype="custom" o:connectlocs="0,1362;773,1362;0,1357;288,1357;482,1357;773,1357" o:connectangles="0,0,0,0,0,0"/>
                </v:shape>
                <v:rect id="docshape207" o:spid="_x0000_s1110" style="position:absolute;left:5373;top:1141;width:1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" fillcolor="#a4a4a4" stroked="f"/>
                <v:line id="Line 127" o:spid="_x0000_s1111" style="position:absolute;visibility:visible;mso-wrap-style:square" from="6050,1746" to="634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" strokecolor="#888" strokeweight=".1371mm"/>
                <v:shape id="docshape208" o:spid="_x0000_s1112" style="position:absolute;left:6050;top:1739;width:291;height: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" path="m,l291,m,3r291,e" filled="f" strokecolor="#888" strokeweight=".07356mm">
                  <v:path arrowok="t" o:connecttype="custom" o:connectlocs="0,1740;291,1740;0,1743;291,1743" o:connectangles="0,0,0,0"/>
                </v:shape>
                <v:rect id="docshape209" o:spid="_x0000_s1113" style="position:absolute;left:5856;top:1361;width:19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" fillcolor="#a4a4a4" stroked="f"/>
                <v:line id="Line 124" o:spid="_x0000_s1114" style="position:absolute;visibility:visible;mso-wrap-style:square" from="6533,1746" to="6823,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" strokecolor="#888" strokeweight=".1371mm"/>
                <v:shape id="docshape210" o:spid="_x0000_s1115" style="position:absolute;left:6532;top:1739;width:291;height: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" path="m,l290,m,3r290,e" filled="f" strokecolor="#888" strokeweight=".07356mm">
                  <v:path arrowok="t" o:connecttype="custom" o:connectlocs="0,1740;290,1740;0,1743;290,1743" o:connectangles="0,0,0,0"/>
                </v:shape>
                <v:shape id="docshape211" o:spid="_x0000_s1116" style="position:absolute;left:6532;top:1357;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" path="m,5r290,m,l290,e" filled="f" strokecolor="#888" strokeweight=".0101mm">
                  <v:path arrowok="t" o:connecttype="custom" o:connectlocs="0,1362;290,1362;0,1357;290,1357" o:connectangles="0,0,0,0"/>
                </v:shape>
                <v:rect id="docshape212" o:spid="_x0000_s1117" style="position:absolute;left:6340;top:1355;width:1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" fillcolor="#a4a4a4" stroked="f"/>
                <v:line id="Line 120" o:spid="_x0000_s1118" style="position:absolute;visibility:visible;mso-wrap-style:square" from="7018,1746" to="7306,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" strokecolor="#888" strokeweight=".1371mm"/>
                <v:shape id="docshape213" o:spid="_x0000_s1119" style="position:absolute;left:7017;top:1739;width:288;height:4;visibility:visible;mso-wrap-style:square;v-text-anchor:top" coordsize="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" path="m,l288,m,3r288,e" filled="f" strokecolor="#888" strokeweight=".07356mm">
                  <v:path arrowok="t" o:connecttype="custom" o:connectlocs="0,1740;288,1740;0,1743;288,1743" o:connectangles="0,0,0,0"/>
                </v:shape>
                <v:shape id="docshape214" o:spid="_x0000_s1120" style="position:absolute;left:7017;top:1357;width:288;height: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" path="m,5r288,m,l288,e" filled="f" strokecolor="#888" strokeweight=".0101mm">
                  <v:path arrowok="t" o:connecttype="custom" o:connectlocs="0,1362;288,1362;0,1357;288,1357" o:connectangles="0,0,0,0"/>
                </v:shape>
                <v:rect id="docshape215" o:spid="_x0000_s1121" style="position:absolute;left:6823;top:1355;width:19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" fillcolor="#a4a4a4" stroked="f"/>
                <v:line id="Line 116" o:spid="_x0000_s1122" style="position:absolute;visibility:visible;mso-wrap-style:square" from="7499,1746" to="7789,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" strokecolor="#888" strokeweight=".1371mm"/>
                <v:shape id="docshape216" o:spid="_x0000_s1123" style="position:absolute;left:7498;top:1739;width:291;height: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" path="m,l290,m,3r290,e" filled="f" strokecolor="#888" strokeweight=".07356mm">
                  <v:path arrowok="t" o:connecttype="custom" o:connectlocs="0,1740;290,1740;0,1743;290,1743" o:connectangles="0,0,0,0"/>
                </v:shape>
                <v:shape id="docshape217" o:spid="_x0000_s1124" style="position:absolute;left:7498;top:1357;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" path="m,5r290,m,l290,e" filled="f" strokecolor="#888" strokeweight=".0101mm">
                  <v:path arrowok="t" o:connecttype="custom" o:connectlocs="0,1362;290,1362;0,1357;290,1357" o:connectangles="0,0,0,0"/>
                </v:shape>
                <v:rect id="docshape218" o:spid="_x0000_s1125" style="position:absolute;left:7305;top:1189;width:19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" fillcolor="#a4a4a4" stroked="f"/>
                <v:line id="Line 112" o:spid="_x0000_s1126" style="position:absolute;visibility:visible;mso-wrap-style:square" from="7981,1746" to="8272,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" strokecolor="#888" strokeweight=".1371mm"/>
                <v:shape id="docshape219" o:spid="_x0000_s1127" style="position:absolute;left:7981;top:1739;width:291;height: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" path="m,l291,m,3r291,e" filled="f" strokecolor="#888" strokeweight=".07356mm">
                  <v:path arrowok="t" o:connecttype="custom" o:connectlocs="0,1740;291,1740;0,1743;291,1743" o:connectangles="0,0,0,0"/>
                </v:shape>
                <v:shape id="docshape220" o:spid="_x0000_s1128" style="position:absolute;left:7981;top:1357;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" path="m,5r291,m,l291,e" filled="f" strokecolor="#888" strokeweight=".0101mm">
                  <v:path arrowok="t" o:connecttype="custom" o:connectlocs="0,1362;291,1362;0,1357;291,1357" o:connectangles="0,0,0,0"/>
                </v:shape>
                <v:rect id="docshape221" o:spid="_x0000_s1129" style="position:absolute;left:7789;top:1231;width:192;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" fillcolor="#a4a4a4" stroked="f"/>
                <v:line id="Line 108" o:spid="_x0000_s1130" style="position:absolute;visibility:visible;mso-wrap-style:square" from="8464,1746" to="8754,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" strokecolor="#888" strokeweight=".1371mm"/>
                <v:shape id="docshape222" o:spid="_x0000_s1131" style="position:absolute;left:8463;top:1739;width:291;height: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" path="m,l290,m,3r290,e" filled="f" strokecolor="#888" strokeweight=".07356mm">
                  <v:path arrowok="t" o:connecttype="custom" o:connectlocs="0,1740;290,1740;0,1743;290,1743" o:connectangles="0,0,0,0"/>
                </v:shape>
                <v:shape id="docshape223" o:spid="_x0000_s1132" style="position:absolute;left:8463;top:1357;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" path="m,5r290,m,l290,e" filled="f" strokecolor="#888" strokeweight=".0101mm">
                  <v:path arrowok="t" o:connecttype="custom" o:connectlocs="0,1362;290,1362;0,1357;290,1357" o:connectangles="0,0,0,0"/>
                </v:shape>
                <v:rect id="docshape224" o:spid="_x0000_s1133" style="position:absolute;left:8271;top:1211;width:19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" fillcolor="#a4a4a4" stroked="f"/>
                <v:line id="Line 104" o:spid="_x0000_s1134" style="position:absolute;visibility:visible;mso-wrap-style:square" from="8948,1746" to="9236,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" strokecolor="#888" strokeweight=".1371mm"/>
                <v:shape id="docshape225" o:spid="_x0000_s1135" style="position:absolute;left:8948;top:1739;width:288;height:4;visibility:visible;mso-wrap-style:square;v-text-anchor:top" coordsize="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" path="m,l288,m,3r288,e" filled="f" strokecolor="#888" strokeweight=".07356mm">
                  <v:path arrowok="t" o:connecttype="custom" o:connectlocs="0,1740;288,1740;0,1743;288,1743" o:connectangles="0,0,0,0"/>
                </v:shape>
                <v:shape id="docshape226" o:spid="_x0000_s1136" style="position:absolute;left:8948;top:1357;width:288;height: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" path="m,5r288,m,l288,e" filled="f" strokecolor="#888" strokeweight=".0101mm">
                  <v:path arrowok="t" o:connecttype="custom" o:connectlocs="0,1362;288,1362;0,1357;288,1357" o:connectangles="0,0,0,0"/>
                </v:shape>
                <v:rect id="docshape227" o:spid="_x0000_s1137" style="position:absolute;left:8754;top:1148;width:195;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" fillcolor="#a4a4a4" stroked="f"/>
                <v:line id="Line 100" o:spid="_x0000_s1138" style="position:absolute;visibility:visible;mso-wrap-style:square" from="9431,1746" to="972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" strokecolor="#888" strokeweight=".1371mm"/>
                <v:shape id="docshape228" o:spid="_x0000_s1139" style="position:absolute;left:9430;top:1739;width:291;height: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" path="m,l290,m,3r290,e" filled="f" strokecolor="#888" strokeweight=".07356mm">
                  <v:path arrowok="t" o:connecttype="custom" o:connectlocs="0,1740;290,1740;0,1743;290,1743" o:connectangles="0,0,0,0"/>
                </v:shape>
                <v:shape id="docshape229" o:spid="_x0000_s1140" style="position:absolute;left:9430;top:1357;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" path="m,5r290,m,l290,e" filled="f" strokecolor="#888" strokeweight=".0101mm">
                  <v:path arrowok="t" o:connecttype="custom" o:connectlocs="0,1362;290,1362;0,1357;290,1357" o:connectangles="0,0,0,0"/>
                </v:shape>
                <v:rect id="docshape230" o:spid="_x0000_s1141" style="position:absolute;left:9236;top:1122;width:195;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" fillcolor="#a4a4a4" stroked="f"/>
                <v:line id="Line 96" o:spid="_x0000_s1142" style="position:absolute;visibility:visible;mso-wrap-style:square" from="9913,1746" to="1006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" strokecolor="#888" strokeweight=".1371mm"/>
                <v:shape id="docshape231" o:spid="_x0000_s1143" style="position:absolute;left:9913;top:1739;width:147;height:4;visibility:visible;mso-wrap-style:square;v-text-anchor:top" coordsize="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" path="m,l147,m,3r147,e" filled="f" strokecolor="#888" strokeweight=".07356mm">
                  <v:path arrowok="t" o:connecttype="custom" o:connectlocs="0,1740;147,1740;0,1743;147,1743" o:connectangles="0,0,0,0"/>
                </v:shape>
                <v:shape id="docshape232" o:spid="_x0000_s1144" style="position:absolute;left:9913;top:1357;width:147;height:5;visibility:visible;mso-wrap-style:square;v-text-anchor:top" coordsize="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" path="m,5r147,m,l147,e" filled="f" strokecolor="#888" strokeweight=".0101mm">
                  <v:path arrowok="t" o:connecttype="custom" o:connectlocs="0,1362;147,1362;0,1357;147,1357" o:connectangles="0,0,0,0"/>
                </v:shape>
                <v:rect id="docshape233" o:spid="_x0000_s1145" style="position:absolute;left:9721;top:1094;width:192;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" fillcolor="#a4a4a4" stroked="f"/>
                <v:line id="Line 92" o:spid="_x0000_s1146" style="position:absolute;visibility:visible;mso-wrap-style:square" from="2332,971" to="247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" strokecolor="#888" strokeweight=".14711mm"/>
                <v:shape id="docshape234" o:spid="_x0000_s1147" style="position:absolute;left:2670;top:969;width:1256;height:5;visibility:visible;mso-wrap-style:square;v-text-anchor:top" coordsize="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" path="m,4r1255,m,l1255,e" filled="f" strokecolor="#888" strokeweight=".07356mm">
                  <v:path arrowok="t" o:connecttype="custom" o:connectlocs="0,973;1255,973;0,969;1255,969" o:connectangles="0,0,0,0"/>
                </v:shape>
                <v:shape id="docshape235" o:spid="_x0000_s1148" style="position:absolute;left:2478;top:689;width:1160;height:702;visibility:visible;mso-wrap-style:square;v-text-anchor:top" coordsize="116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" path="m192,l,,,418r192,l192,xm674,282r-192,l482,636r192,l674,282xm1159,340r-194,l965,702r194,l1159,340xe" fillcolor="#ffbf00" stroked="f">
                  <v:path arrowok="t" o:connecttype="custom" o:connectlocs="192,689;0,689;0,1107;192,1107;192,689;674,971;482,971;482,1325;674,1325;674,971;1159,1029;965,1029;965,1391;1159,1391;1159,1029" o:connectangles="0,0,0,0,0,0,0,0,0,0,0,0,0,0,0"/>
                </v:shape>
                <v:shape id="docshape236" o:spid="_x0000_s1149" style="position:absolute;left:4119;top:969;width:772;height:5;visibility:visible;mso-wrap-style:square;v-text-anchor:top" coordsize="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" path="m,4r771,m,l771,e" filled="f" strokecolor="#888" strokeweight=".07356mm">
                  <v:path arrowok="t" o:connecttype="custom" o:connectlocs="0,973;771,973;0,969;771,969" o:connectangles="0,0,0,0"/>
                </v:shape>
                <v:shape id="docshape237" o:spid="_x0000_s1150" style="position:absolute;left:3925;top:866;width:676;height:666;visibility:visible;mso-wrap-style:square;v-text-anchor:top" coordsize="67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" path="m195,l,,,426r195,l195,xm676,314r-192,l484,666r192,l676,314xe" fillcolor="#ffbf00" stroked="f">
                  <v:path arrowok="t" o:connecttype="custom" o:connectlocs="195,867;0,867;0,1293;195,1293;195,867;676,1181;484,1181;484,1533;676,1533;676,1181" o:connectangles="0,0,0,0,0,0,0,0,0,0"/>
                </v:shape>
                <v:shape id="docshape238" o:spid="_x0000_s1151" style="position:absolute;left:5083;top:969;width:291;height: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" path="m,4r291,m,l291,e" filled="f" strokecolor="#888" strokeweight=".07356mm">
                  <v:path arrowok="t" o:connecttype="custom" o:connectlocs="0,973;291,973;0,969;291,969" o:connectangles="0,0,0,0"/>
                </v:shape>
                <v:rect id="docshape239" o:spid="_x0000_s1152" style="position:absolute;left:4891;top:848;width:19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" fillcolor="#ffbf00" stroked="f"/>
                <v:shape id="docshape240" o:spid="_x0000_s1153" style="position:absolute;left:5568;top:971;width:1738;height:3;visibility:visible;mso-wrap-style:square;v-text-anchor:top" coordsize="1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" path="m,2r1738,m,l1738,e" filled="f" strokecolor="#888" strokeweight=".05239mm">
                  <v:path arrowok="t" o:connecttype="custom" o:connectlocs="0,974;1738,974;0,972;1738,972" o:connectangles="0,0,0,0"/>
                </v:shape>
                <v:line id="Line 84" o:spid="_x0000_s1154" style="position:absolute;visibility:visible;mso-wrap-style:square" from="5568,969" to="730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" strokecolor="#888" strokeweight=".07356mm"/>
                <v:shape id="docshape241" o:spid="_x0000_s1155" style="position:absolute;left:5373;top:708;width:1644;height:653;visibility:visible;mso-wrap-style:square;v-text-anchor:top" coordsize="164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" path="m194,l,,,434r194,l194,xm676,264r-194,l482,653r194,l676,264xm1159,273r-192,l967,647r192,l1159,273xm1644,285r-195,l1449,647r195,l1644,285xe" fillcolor="#ffbf00" stroked="f">
                  <v:path arrowok="t" o:connecttype="custom" o:connectlocs="194,708;0,708;0,1142;194,1142;194,708;676,972;482,972;482,1361;676,1361;676,972;1159,981;967,981;967,1355;1159,1355;1159,981;1644,993;1449,993;1449,1355;1644,1355;1644,993" o:connectangles="0,0,0,0,0,0,0,0,0,0,0,0,0,0,0,0,0,0,0,0"/>
                </v:shape>
                <v:shape id="docshape242" o:spid="_x0000_s1156" style="position:absolute;left:7498;top:971;width:291;height: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" path="m,2r290,m,l290,e" filled="f" strokecolor="#888" strokeweight=".05239mm">
                  <v:path arrowok="t" o:connecttype="custom" o:connectlocs="0,974;290,974;0,972;290,972" o:connectangles="0,0,0,0"/>
                </v:shape>
                <v:line id="Line 81" o:spid="_x0000_s1157" style="position:absolute;visibility:visible;mso-wrap-style:square" from="7499,969" to="778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" strokecolor="#888" strokeweight=".07356mm"/>
                <v:rect id="docshape243" o:spid="_x0000_s1158" style="position:absolute;left:7305;top:803;width:19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" fillcolor="#ffbf00" stroked="f"/>
                <v:shape id="docshape244" o:spid="_x0000_s1159" style="position:absolute;left:7981;top:971;width:291;height: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" path="m,2r291,m,l291,e" filled="f" strokecolor="#888" strokeweight=".05239mm">
                  <v:path arrowok="t" o:connecttype="custom" o:connectlocs="0,974;291,974;0,972;291,972" o:connectangles="0,0,0,0"/>
                </v:shape>
                <v:line id="Line 78" o:spid="_x0000_s1160" style="position:absolute;visibility:visible;mso-wrap-style:square" from="7981,969" to="827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" strokecolor="#888" strokeweight=".07356mm"/>
                <v:rect id="docshape245" o:spid="_x0000_s1161" style="position:absolute;left:7789;top:845;width:192;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" fillcolor="#ffbf00" stroked="f"/>
                <v:shape id="docshape246" o:spid="_x0000_s1162" style="position:absolute;left:8463;top:971;width:291;height: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" path="m,2r290,m,l290,e" filled="f" strokecolor="#888" strokeweight=".05239mm">
                  <v:path arrowok="t" o:connecttype="custom" o:connectlocs="0,974;290,974;0,972;290,972" o:connectangles="0,0,0,0"/>
                </v:shape>
                <v:line id="Line 75" o:spid="_x0000_s1163" style="position:absolute;visibility:visible;mso-wrap-style:square" from="8464,969" to="875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" strokecolor="#888" strokeweight=".07356mm"/>
                <v:rect id="docshape247" o:spid="_x0000_s1164" style="position:absolute;left:8271;top:824;width:192;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" fillcolor="#ffbf00" stroked="f"/>
                <v:shape id="docshape248" o:spid="_x0000_s1165" style="position:absolute;left:8948;top:971;width:288;height:3;visibility:visible;mso-wrap-style:square;v-text-anchor:top" coordsize="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" path="m,2r288,m,l288,e" filled="f" strokecolor="#888" strokeweight=".05239mm">
                  <v:path arrowok="t" o:connecttype="custom" o:connectlocs="0,974;288,974;0,972;288,972" o:connectangles="0,0,0,0"/>
                </v:shape>
                <v:line id="Line 72" o:spid="_x0000_s1166" style="position:absolute;visibility:visible;mso-wrap-style:square" from="8948,969" to="923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" strokecolor="#888" strokeweight=".07356mm"/>
                <v:rect id="docshape249" o:spid="_x0000_s1167" style="position:absolute;left:8754;top:762;width:19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" fillcolor="#ffbf00" stroked="f"/>
                <v:shape id="docshape250" o:spid="_x0000_s1168" style="position:absolute;left:9430;top:971;width:291;height:3;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" path="m,2r290,m,l290,e" filled="f" strokecolor="#888" strokeweight=".05239mm">
                  <v:path arrowok="t" o:connecttype="custom" o:connectlocs="0,974;290,974;0,972;290,972" o:connectangles="0,0,0,0"/>
                </v:shape>
                <v:line id="Line 69" o:spid="_x0000_s1169" style="position:absolute;visibility:visible;mso-wrap-style:square" from="9431,969" to="97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" strokecolor="#888" strokeweight=".07356mm"/>
                <v:rect id="docshape251" o:spid="_x0000_s1170" style="position:absolute;left:9236;top:737;width:19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" fillcolor="#ffbf00" stroked="f"/>
                <v:shape id="docshape252" o:spid="_x0000_s1171" style="position:absolute;left:9913;top:971;width:147;height:3;visibility:visible;mso-wrap-style:square;v-text-anchor:top" coordsize="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" path="m,2r147,m,l147,e" filled="f" strokecolor="#888" strokeweight=".05239mm">
                  <v:path arrowok="t" o:connecttype="custom" o:connectlocs="0,974;147,974;0,972;147,972" o:connectangles="0,0,0,0"/>
                </v:shape>
                <v:line id="Line 66" o:spid="_x0000_s1172" style="position:absolute;visibility:visible;mso-wrap-style:square" from="9913,969" to="1006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" strokecolor="#888" strokeweight=".07356mm"/>
                <v:rect id="docshape253" o:spid="_x0000_s1173" style="position:absolute;left:9721;top:710;width:19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" fillcolor="#ffbf00" stroked="f"/>
                <v:line id="Line 64" o:spid="_x0000_s1174" style="position:absolute;visibility:visible;mso-wrap-style:square" from="2332,582" to="1006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" strokecolor="#888" strokeweight=".14711mm"/>
                <v:line id="Line 63" o:spid="_x0000_s1175" style="position:absolute;visibility:visible;mso-wrap-style:square" from="2332,197" to="1006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" strokecolor="#888" strokeweight=".14711mm"/>
                <v:line id="Line 62" o:spid="_x0000_s1176" style="position:absolute;visibility:visible;mso-wrap-style:square" from="2332,2908" to="2332,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" strokecolor="#888" strokeweight=".14711mm"/>
                <v:line id="Line 61" o:spid="_x0000_s1177" style="position:absolute;visibility:visible;mso-wrap-style:square" from="2281,2908" to="2332,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" strokecolor="#888" strokeweight=".14711mm"/>
                <v:line id="Line 60" o:spid="_x0000_s1178" style="position:absolute;visibility:visible;mso-wrap-style:square" from="2281,2519" to="2332,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" strokecolor="#888" strokeweight=".14711mm"/>
                <v:line id="Line 59" o:spid="_x0000_s1179" style="position:absolute;visibility:visible;mso-wrap-style:square" from="2281,2133" to="233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" strokecolor="#888" strokeweight=".14711mm"/>
                <v:line id="Line 58" o:spid="_x0000_s1180" style="position:absolute;visibility:visible;mso-wrap-style:square" from="2281,1745" to="233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" strokecolor="#888" strokeweight=".14711mm"/>
                <v:line id="Line 57" o:spid="_x0000_s1181" style="position:absolute;visibility:visible;mso-wrap-style:square" from="2281,1358" to="233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" strokecolor="#888" strokeweight=".14711mm"/>
                <v:line id="Line 56" o:spid="_x0000_s1182" style="position:absolute;visibility:visible;mso-wrap-style:square" from="2281,971" to="23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" strokecolor="#888" strokeweight=".14711mm"/>
                <v:line id="Line 55" o:spid="_x0000_s1183" style="position:absolute;visibility:visible;mso-wrap-style:square" from="2281,582" to="233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" strokecolor="#888" strokeweight=".14711mm"/>
                <v:line id="Line 54" o:spid="_x0000_s1184" style="position:absolute;visibility:visible;mso-wrap-style:square" from="2281,197" to="23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" strokecolor="#888" strokeweight=".14711mm"/>
                <v:shape id="docshape254" o:spid="_x0000_s1185" style="position:absolute;left:2331;top:2908;width:7728;height:50;visibility:visible;mso-wrap-style:square;v-text-anchor:top" coordsize="7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" path="m,l7728,m,l,49e" filled="f" strokecolor="#888" strokeweight=".14711mm">
                  <v:path arrowok="t" o:connecttype="custom" o:connectlocs="0,2908;7728,2908;0,2908;0,2957" o:connectangles="0,0,0,0"/>
                </v:shape>
                <v:line id="Line 52" o:spid="_x0000_s1186" style="position:absolute;visibility:visible;mso-wrap-style:square" from="2814,2908" to="281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" strokecolor="#888" strokeweight=".14711mm"/>
                <v:line id="Line 51" o:spid="_x0000_s1187" style="position:absolute;visibility:visible;mso-wrap-style:square" from="3299,2908" to="3299,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" strokecolor="#888" strokeweight=".14711mm"/>
                <v:line id="Line 50" o:spid="_x0000_s1188" style="position:absolute;visibility:visible;mso-wrap-style:square" from="3781,2908" to="378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" strokecolor="#888" strokeweight=".14711mm"/>
                <v:line id="Line 49" o:spid="_x0000_s1189" style="position:absolute;visibility:visible;mso-wrap-style:square" from="4264,2908" to="426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" strokecolor="#888" strokeweight=".14711mm"/>
                <v:line id="Line 48" o:spid="_x0000_s1190" style="position:absolute;visibility:visible;mso-wrap-style:square" from="4747,2908" to="4747,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" strokecolor="#888" strokeweight=".14711mm"/>
                <v:line id="Line 47" o:spid="_x0000_s1191" style="position:absolute;visibility:visible;mso-wrap-style:square" from="5230,2908" to="523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" strokecolor="#888" strokeweight=".14711mm"/>
                <v:line id="Line 46" o:spid="_x0000_s1192" style="position:absolute;visibility:visible;mso-wrap-style:square" from="5712,2908" to="571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" strokecolor="#888" strokeweight=".14711mm"/>
                <v:line id="Line 45" o:spid="_x0000_s1193" style="position:absolute;visibility:visible;mso-wrap-style:square" from="6194,2908" to="619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" strokecolor="#888" strokeweight=".14711mm"/>
                <v:line id="Line 44" o:spid="_x0000_s1194" style="position:absolute;visibility:visible;mso-wrap-style:square" from="6679,2908" to="6679,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" strokecolor="#888" strokeweight=".14711mm"/>
                <v:line id="Line 43" o:spid="_x0000_s1195" style="position:absolute;visibility:visible;mso-wrap-style:square" from="7162,2908" to="716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" strokecolor="#888" strokeweight=".14711mm"/>
                <v:line id="Line 42" o:spid="_x0000_s1196" style="position:absolute;visibility:visible;mso-wrap-style:square" from="7644,2908" to="764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" strokecolor="#888" strokeweight=".14711mm"/>
                <v:line id="Line 41" o:spid="_x0000_s1197" style="position:absolute;visibility:visible;mso-wrap-style:square" from="8125,2908" to="8125,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" strokecolor="#888" strokeweight=".14711mm"/>
                <v:line id="Line 40" o:spid="_x0000_s1198" style="position:absolute;visibility:visible;mso-wrap-style:square" from="8610,2908" to="861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" strokecolor="#888" strokeweight=".14711mm"/>
                <v:line id="Line 39" o:spid="_x0000_s1199" style="position:absolute;visibility:visible;mso-wrap-style:square" from="9092,2908" to="9092,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" strokecolor="#888" strokeweight=".14711mm"/>
                <v:line id="Line 38" o:spid="_x0000_s1200" style="position:absolute;visibility:visible;mso-wrap-style:square" from="9575,2908" to="9575,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" strokecolor="#888" strokeweight=".14711mm"/>
                <v:line id="Line 37" o:spid="_x0000_s1201" style="position:absolute;visibility:visible;mso-wrap-style:square" from="10060,2908" to="1006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" strokecolor="#888" strokeweight=".14711mm"/>
                <w10:wrap anchorx="page"/>
              </v:group>
            </w:pict>
          </mc:Fallback>
        </mc:AlternateContent>
      </w:r>
      <w:r>
        <w:rPr>
          <w:rFonts w:ascii="Arial"/>
          <w:spacing w:val="-2"/>
          <w:w w:val="105"/>
          <w:sz w:val="16"/>
        </w:rPr>
        <w:t>140,000</w:t>
      </w:r>
    </w:p>
    <w:p w14:paraId="218A8FD0" w14:textId="77777777" w:rsidR="00141B97" w:rsidRDefault="00141B97">
      <w:pPr>
        <w:pStyle w:val="BodyText"/>
        <w:spacing w:before="10"/>
        <w:rPr>
          <w:rFonts w:ascii="Arial"/>
          <w:sz w:val="8"/>
        </w:rPr>
      </w:pPr>
    </w:p>
    <w:p w14:paraId="5BBBD76F" w14:textId="77777777" w:rsidR="00141B97" w:rsidRDefault="00911D63">
      <w:pPr>
        <w:spacing w:before="101"/>
        <w:ind w:left="566"/>
        <w:rPr>
          <w:rFonts w:ascii="Arial"/>
          <w:sz w:val="16"/>
        </w:rPr>
      </w:pPr>
      <w:r>
        <w:rPr>
          <w:rFonts w:ascii="Arial"/>
          <w:spacing w:val="-2"/>
          <w:w w:val="105"/>
          <w:sz w:val="16"/>
        </w:rPr>
        <w:t>120,000</w:t>
      </w:r>
    </w:p>
    <w:p w14:paraId="504491FE" w14:textId="77777777" w:rsidR="00141B97" w:rsidRDefault="00141B97">
      <w:pPr>
        <w:pStyle w:val="BodyText"/>
        <w:spacing w:before="11"/>
        <w:rPr>
          <w:rFonts w:ascii="Arial"/>
          <w:sz w:val="8"/>
        </w:rPr>
      </w:pPr>
    </w:p>
    <w:p w14:paraId="71A1A0DA" w14:textId="7819A883" w:rsidR="00141B97" w:rsidRDefault="00911D63">
      <w:pPr>
        <w:spacing w:before="100"/>
        <w:ind w:left="566"/>
        <w:rPr>
          <w:rFonts w:ascii="Arial"/>
          <w:sz w:val="16"/>
        </w:rPr>
      </w:pPr>
      <w:r>
        <w:rPr>
          <w:noProof/>
        </w:rPr>
        <mc:AlternateContent>
          <mc:Choice Requires="wps">
            <w:drawing>
              <wp:anchor distT="0" distB="0" distL="114300" distR="114300" simplePos="0" relativeHeight="15763968" behindDoc="0" locked="0" layoutInCell="1" allowOverlap="1" wp14:anchorId="74D4FB72" wp14:editId="32942344">
                <wp:simplePos x="0" y="0"/>
                <wp:positionH relativeFrom="page">
                  <wp:posOffset>844550</wp:posOffset>
                </wp:positionH>
                <wp:positionV relativeFrom="paragraph">
                  <wp:posOffset>137160</wp:posOffset>
                </wp:positionV>
                <wp:extent cx="143510" cy="714375"/>
                <wp:effectExtent l="0" t="0" r="0" b="0"/>
                <wp:wrapNone/>
                <wp:docPr id="92"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054F" w14:textId="77777777" w:rsidR="00141B97" w:rsidRDefault="00911D63">
                            <w:pPr>
                              <w:spacing w:before="20"/>
                              <w:ind w:left="20"/>
                              <w:rPr>
                                <w:rFonts w:ascii="Arial"/>
                                <w:b/>
                                <w:sz w:val="16"/>
                              </w:rPr>
                            </w:pPr>
                            <w:r>
                              <w:rPr>
                                <w:rFonts w:ascii="Arial"/>
                                <w:b/>
                                <w:w w:val="105"/>
                                <w:sz w:val="16"/>
                              </w:rPr>
                              <w:t>Ml</w:t>
                            </w:r>
                            <w:r>
                              <w:rPr>
                                <w:rFonts w:ascii="Arial"/>
                                <w:b/>
                                <w:spacing w:val="-6"/>
                                <w:w w:val="105"/>
                                <w:sz w:val="16"/>
                              </w:rPr>
                              <w:t xml:space="preserve"> </w:t>
                            </w:r>
                            <w:r>
                              <w:rPr>
                                <w:rFonts w:ascii="Arial"/>
                                <w:b/>
                                <w:w w:val="105"/>
                                <w:sz w:val="16"/>
                              </w:rPr>
                              <w:t>per</w:t>
                            </w:r>
                            <w:r>
                              <w:rPr>
                                <w:rFonts w:ascii="Arial"/>
                                <w:b/>
                                <w:spacing w:val="-3"/>
                                <w:w w:val="105"/>
                                <w:sz w:val="16"/>
                              </w:rPr>
                              <w:t xml:space="preserve"> </w:t>
                            </w:r>
                            <w:r>
                              <w:rPr>
                                <w:rFonts w:ascii="Arial"/>
                                <w:b/>
                                <w:spacing w:val="-2"/>
                                <w:w w:val="105"/>
                                <w:sz w:val="16"/>
                              </w:rPr>
                              <w:t>annum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FB72" id="docshape255" o:spid="_x0000_s1107" type="#_x0000_t202" style="position:absolute;left:0;text-align:left;margin-left:66.5pt;margin-top:10.8pt;width:11.3pt;height:56.2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" filled="f" stroked="f">
                <v:textbox style="layout-flow:vertical;mso-layout-flow-alt:bottom-to-top" inset="0,0,0,0">
                  <w:txbxContent>
                    <w:p w14:paraId="3D31054F" w14:textId="77777777" w:rsidR="00141B97" w:rsidRDefault="00911D63">
                      <w:pPr>
                        <w:spacing w:before="20"/>
                        <w:ind w:left="20"/>
                        <w:rPr>
                          <w:rFonts w:ascii="Arial"/>
                          <w:b/>
                          <w:sz w:val="16"/>
                        </w:rPr>
                      </w:pPr>
                      <w:r>
                        <w:rPr>
                          <w:rFonts w:ascii="Arial"/>
                          <w:b/>
                          <w:w w:val="105"/>
                          <w:sz w:val="16"/>
                        </w:rPr>
                        <w:t>Ml</w:t>
                      </w:r>
                      <w:r>
                        <w:rPr>
                          <w:rFonts w:ascii="Arial"/>
                          <w:b/>
                          <w:spacing w:val="-6"/>
                          <w:w w:val="105"/>
                          <w:sz w:val="16"/>
                        </w:rPr>
                        <w:t xml:space="preserve"> </w:t>
                      </w:r>
                      <w:r>
                        <w:rPr>
                          <w:rFonts w:ascii="Arial"/>
                          <w:b/>
                          <w:w w:val="105"/>
                          <w:sz w:val="16"/>
                        </w:rPr>
                        <w:t>per</w:t>
                      </w:r>
                      <w:r>
                        <w:rPr>
                          <w:rFonts w:ascii="Arial"/>
                          <w:b/>
                          <w:spacing w:val="-3"/>
                          <w:w w:val="105"/>
                          <w:sz w:val="16"/>
                        </w:rPr>
                        <w:t xml:space="preserve"> </w:t>
                      </w:r>
                      <w:r>
                        <w:rPr>
                          <w:rFonts w:ascii="Arial"/>
                          <w:b/>
                          <w:spacing w:val="-2"/>
                          <w:w w:val="105"/>
                          <w:sz w:val="16"/>
                        </w:rPr>
                        <w:t>annum</w:t>
                      </w:r>
                    </w:p>
                  </w:txbxContent>
                </v:textbox>
                <w10:wrap anchorx="page"/>
              </v:shape>
            </w:pict>
          </mc:Fallback>
        </mc:AlternateContent>
      </w:r>
      <w:r>
        <w:rPr>
          <w:rFonts w:ascii="Arial"/>
          <w:spacing w:val="-2"/>
          <w:w w:val="105"/>
          <w:sz w:val="16"/>
        </w:rPr>
        <w:t>100,000</w:t>
      </w:r>
    </w:p>
    <w:p w14:paraId="60A4B465" w14:textId="77777777" w:rsidR="00141B97" w:rsidRDefault="00141B97">
      <w:pPr>
        <w:pStyle w:val="BodyText"/>
        <w:rPr>
          <w:rFonts w:ascii="Arial"/>
          <w:sz w:val="9"/>
        </w:rPr>
      </w:pPr>
    </w:p>
    <w:p w14:paraId="29A9616E" w14:textId="77777777" w:rsidR="00141B97" w:rsidRDefault="00911D63">
      <w:pPr>
        <w:spacing w:before="100"/>
        <w:ind w:left="658"/>
        <w:rPr>
          <w:rFonts w:ascii="Arial"/>
          <w:sz w:val="16"/>
        </w:rPr>
      </w:pPr>
      <w:r>
        <w:rPr>
          <w:rFonts w:ascii="Arial"/>
          <w:spacing w:val="-2"/>
          <w:w w:val="105"/>
          <w:sz w:val="16"/>
        </w:rPr>
        <w:t>80,000</w:t>
      </w:r>
    </w:p>
    <w:p w14:paraId="620B9186" w14:textId="77777777" w:rsidR="00141B97" w:rsidRDefault="00141B97">
      <w:pPr>
        <w:pStyle w:val="BodyText"/>
        <w:spacing w:before="10"/>
        <w:rPr>
          <w:rFonts w:ascii="Arial"/>
          <w:sz w:val="8"/>
        </w:rPr>
      </w:pPr>
    </w:p>
    <w:p w14:paraId="70DAB657" w14:textId="77777777" w:rsidR="00141B97" w:rsidRDefault="00911D63">
      <w:pPr>
        <w:spacing w:before="101"/>
        <w:ind w:left="658"/>
        <w:rPr>
          <w:rFonts w:ascii="Arial"/>
          <w:sz w:val="16"/>
        </w:rPr>
      </w:pPr>
      <w:r>
        <w:rPr>
          <w:rFonts w:ascii="Arial"/>
          <w:spacing w:val="-2"/>
          <w:w w:val="105"/>
          <w:sz w:val="16"/>
        </w:rPr>
        <w:t>60,000</w:t>
      </w:r>
    </w:p>
    <w:p w14:paraId="119220B1" w14:textId="77777777" w:rsidR="00141B97" w:rsidRDefault="00141B97">
      <w:pPr>
        <w:pStyle w:val="BodyText"/>
        <w:rPr>
          <w:rFonts w:ascii="Arial"/>
          <w:sz w:val="9"/>
        </w:rPr>
      </w:pPr>
    </w:p>
    <w:p w14:paraId="2DFCEE29" w14:textId="77777777" w:rsidR="00141B97" w:rsidRDefault="00911D63">
      <w:pPr>
        <w:spacing w:before="100"/>
        <w:ind w:left="658"/>
        <w:rPr>
          <w:rFonts w:ascii="Arial"/>
          <w:sz w:val="16"/>
        </w:rPr>
      </w:pPr>
      <w:r>
        <w:rPr>
          <w:rFonts w:ascii="Arial"/>
          <w:spacing w:val="-2"/>
          <w:w w:val="105"/>
          <w:sz w:val="16"/>
        </w:rPr>
        <w:t>40,000</w:t>
      </w:r>
    </w:p>
    <w:p w14:paraId="5B4955C9" w14:textId="77777777" w:rsidR="00141B97" w:rsidRDefault="00141B97">
      <w:pPr>
        <w:pStyle w:val="BodyText"/>
        <w:spacing w:before="10"/>
        <w:rPr>
          <w:rFonts w:ascii="Arial"/>
          <w:sz w:val="8"/>
        </w:rPr>
      </w:pPr>
    </w:p>
    <w:p w14:paraId="276CF762" w14:textId="77777777" w:rsidR="00141B97" w:rsidRDefault="00911D63">
      <w:pPr>
        <w:spacing w:before="100"/>
        <w:ind w:left="658"/>
        <w:rPr>
          <w:rFonts w:ascii="Arial"/>
          <w:sz w:val="16"/>
        </w:rPr>
      </w:pPr>
      <w:r>
        <w:rPr>
          <w:rFonts w:ascii="Arial"/>
          <w:spacing w:val="-2"/>
          <w:w w:val="105"/>
          <w:sz w:val="16"/>
        </w:rPr>
        <w:t>20,000</w:t>
      </w:r>
    </w:p>
    <w:p w14:paraId="1A5B2BA4" w14:textId="77777777" w:rsidR="00141B97" w:rsidRDefault="00141B97">
      <w:pPr>
        <w:pStyle w:val="BodyText"/>
        <w:rPr>
          <w:rFonts w:ascii="Arial"/>
          <w:sz w:val="9"/>
        </w:rPr>
      </w:pPr>
    </w:p>
    <w:p w14:paraId="36A5FF88" w14:textId="77777777" w:rsidR="00141B97" w:rsidRDefault="00911D63">
      <w:pPr>
        <w:spacing w:before="100"/>
        <w:ind w:left="1076"/>
        <w:rPr>
          <w:rFonts w:ascii="Arial"/>
          <w:sz w:val="16"/>
        </w:rPr>
      </w:pPr>
      <w:r>
        <w:rPr>
          <w:noProof/>
        </w:rPr>
        <w:drawing>
          <wp:anchor distT="0" distB="0" distL="0" distR="0" simplePos="0" relativeHeight="62" behindDoc="0" locked="0" layoutInCell="1" allowOverlap="1" wp14:anchorId="29BF32C9" wp14:editId="270C11ED">
            <wp:simplePos x="0" y="0"/>
            <wp:positionH relativeFrom="page">
              <wp:posOffset>1343405</wp:posOffset>
            </wp:positionH>
            <wp:positionV relativeFrom="paragraph">
              <wp:posOffset>207571</wp:posOffset>
            </wp:positionV>
            <wp:extent cx="4865706" cy="319087"/>
            <wp:effectExtent l="0" t="0" r="0" b="0"/>
            <wp:wrapTopAndBottom/>
            <wp:docPr id="8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png"/>
                    <pic:cNvPicPr/>
                  </pic:nvPicPr>
                  <pic:blipFill>
                    <a:blip r:embed="rId92" cstate="email">
                      <a:extLst>
                        <a:ext uri="{28A0092B-C50C-407E-A947-70E740481C1C}">
                          <a14:useLocalDpi xmlns:a14="http://schemas.microsoft.com/office/drawing/2010/main"/>
                        </a:ext>
                      </a:extLst>
                    </a:blip>
                    <a:stretch>
                      <a:fillRect/>
                    </a:stretch>
                  </pic:blipFill>
                  <pic:spPr>
                    <a:xfrm>
                      <a:off x="0" y="0"/>
                      <a:ext cx="4865706" cy="319087"/>
                    </a:xfrm>
                    <a:prstGeom prst="rect">
                      <a:avLst/>
                    </a:prstGeom>
                  </pic:spPr>
                </pic:pic>
              </a:graphicData>
            </a:graphic>
          </wp:anchor>
        </w:drawing>
      </w:r>
      <w:r>
        <w:rPr>
          <w:rFonts w:ascii="Arial"/>
          <w:w w:val="103"/>
          <w:sz w:val="16"/>
        </w:rPr>
        <w:t>0</w:t>
      </w:r>
    </w:p>
    <w:p w14:paraId="1948CCCA" w14:textId="77777777" w:rsidR="00141B97" w:rsidRDefault="00141B97">
      <w:pPr>
        <w:pStyle w:val="BodyText"/>
        <w:spacing w:before="5"/>
        <w:rPr>
          <w:rFonts w:ascii="Arial"/>
          <w:sz w:val="7"/>
        </w:rPr>
      </w:pPr>
    </w:p>
    <w:p w14:paraId="18E526B2" w14:textId="186119A1" w:rsidR="00141B97" w:rsidRDefault="00911D63">
      <w:pPr>
        <w:tabs>
          <w:tab w:val="left" w:pos="3217"/>
          <w:tab w:val="left" w:pos="4467"/>
          <w:tab w:val="left" w:pos="5383"/>
          <w:tab w:val="left" w:pos="6421"/>
        </w:tabs>
        <w:spacing w:before="100"/>
        <w:ind w:left="2356"/>
        <w:rPr>
          <w:rFonts w:ascii="Arial"/>
          <w:sz w:val="16"/>
        </w:rPr>
      </w:pPr>
      <w:r>
        <w:rPr>
          <w:noProof/>
        </w:rPr>
        <mc:AlternateContent>
          <mc:Choice Requires="wps">
            <w:drawing>
              <wp:anchor distT="0" distB="0" distL="114300" distR="114300" simplePos="0" relativeHeight="15761408" behindDoc="0" locked="0" layoutInCell="1" allowOverlap="1" wp14:anchorId="151880D3" wp14:editId="4C81532F">
                <wp:simplePos x="0" y="0"/>
                <wp:positionH relativeFrom="page">
                  <wp:posOffset>2068195</wp:posOffset>
                </wp:positionH>
                <wp:positionV relativeFrom="paragraph">
                  <wp:posOffset>98425</wp:posOffset>
                </wp:positionV>
                <wp:extent cx="53340" cy="53340"/>
                <wp:effectExtent l="0" t="0" r="0" b="0"/>
                <wp:wrapNone/>
                <wp:docPr id="90"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940C7" id="docshape256" o:spid="_x0000_s1026" style="position:absolute;margin-left:162.85pt;margin-top:7.75pt;width:4.2pt;height:4.2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" fillcolor="#4371c3" stroked="f">
                <w10:wrap anchorx="page"/>
              </v:rect>
            </w:pict>
          </mc:Fallback>
        </mc:AlternateContent>
      </w:r>
      <w:r>
        <w:rPr>
          <w:noProof/>
        </w:rPr>
        <mc:AlternateContent>
          <mc:Choice Requires="wps">
            <w:drawing>
              <wp:anchor distT="0" distB="0" distL="114300" distR="114300" simplePos="0" relativeHeight="471458816" behindDoc="1" locked="0" layoutInCell="1" allowOverlap="1" wp14:anchorId="6812DC51" wp14:editId="653B8425">
                <wp:simplePos x="0" y="0"/>
                <wp:positionH relativeFrom="page">
                  <wp:posOffset>2614295</wp:posOffset>
                </wp:positionH>
                <wp:positionV relativeFrom="paragraph">
                  <wp:posOffset>98425</wp:posOffset>
                </wp:positionV>
                <wp:extent cx="53340" cy="53340"/>
                <wp:effectExtent l="0" t="0" r="0" b="0"/>
                <wp:wrapNone/>
                <wp:docPr id="88"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rect">
                          <a:avLst/>
                        </a:prstGeom>
                        <a:solidFill>
                          <a:srgbClr val="5A9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96F2F" id="docshape257" o:spid="_x0000_s1026" style="position:absolute;margin-left:205.85pt;margin-top:7.75pt;width:4.2pt;height:4.2pt;z-index:-318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" fillcolor="#5a9ad4" stroked="f">
                <w10:wrap anchorx="page"/>
              </v:rect>
            </w:pict>
          </mc:Fallback>
        </mc:AlternateContent>
      </w:r>
      <w:r>
        <w:rPr>
          <w:noProof/>
        </w:rPr>
        <mc:AlternateContent>
          <mc:Choice Requires="wps">
            <w:drawing>
              <wp:anchor distT="0" distB="0" distL="114300" distR="114300" simplePos="0" relativeHeight="471459328" behindDoc="1" locked="0" layoutInCell="1" allowOverlap="1" wp14:anchorId="369AFC13" wp14:editId="5A28C3E0">
                <wp:simplePos x="0" y="0"/>
                <wp:positionH relativeFrom="page">
                  <wp:posOffset>3408680</wp:posOffset>
                </wp:positionH>
                <wp:positionV relativeFrom="paragraph">
                  <wp:posOffset>98425</wp:posOffset>
                </wp:positionV>
                <wp:extent cx="53340" cy="53340"/>
                <wp:effectExtent l="0" t="0" r="0" b="0"/>
                <wp:wrapNone/>
                <wp:docPr id="86"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12C9B" id="docshape258" o:spid="_x0000_s1026" style="position:absolute;margin-left:268.4pt;margin-top:7.75pt;width:4.2pt;height:4.2pt;z-index:-31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" fillcolor="#ec7c30" stroked="f">
                <w10:wrap anchorx="page"/>
              </v:rect>
            </w:pict>
          </mc:Fallback>
        </mc:AlternateContent>
      </w:r>
      <w:r>
        <w:rPr>
          <w:noProof/>
        </w:rPr>
        <mc:AlternateContent>
          <mc:Choice Requires="wps">
            <w:drawing>
              <wp:anchor distT="0" distB="0" distL="114300" distR="114300" simplePos="0" relativeHeight="471459840" behindDoc="1" locked="0" layoutInCell="1" allowOverlap="1" wp14:anchorId="72C526E9" wp14:editId="4D450920">
                <wp:simplePos x="0" y="0"/>
                <wp:positionH relativeFrom="page">
                  <wp:posOffset>3990340</wp:posOffset>
                </wp:positionH>
                <wp:positionV relativeFrom="paragraph">
                  <wp:posOffset>98425</wp:posOffset>
                </wp:positionV>
                <wp:extent cx="52070" cy="53340"/>
                <wp:effectExtent l="0" t="0" r="0" b="0"/>
                <wp:wrapNone/>
                <wp:docPr id="84"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334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B11A1" id="docshape259" o:spid="_x0000_s1026" style="position:absolute;margin-left:314.2pt;margin-top:7.75pt;width:4.1pt;height:4.2pt;z-index:-31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" fillcolor="#a4a4a4" stroked="f">
                <w10:wrap anchorx="page"/>
              </v:rect>
            </w:pict>
          </mc:Fallback>
        </mc:AlternateContent>
      </w:r>
      <w:r>
        <w:rPr>
          <w:noProof/>
        </w:rPr>
        <mc:AlternateContent>
          <mc:Choice Requires="wps">
            <w:drawing>
              <wp:anchor distT="0" distB="0" distL="114300" distR="114300" simplePos="0" relativeHeight="471460352" behindDoc="1" locked="0" layoutInCell="1" allowOverlap="1" wp14:anchorId="1072B9D3" wp14:editId="2484AFAD">
                <wp:simplePos x="0" y="0"/>
                <wp:positionH relativeFrom="page">
                  <wp:posOffset>4648835</wp:posOffset>
                </wp:positionH>
                <wp:positionV relativeFrom="paragraph">
                  <wp:posOffset>98425</wp:posOffset>
                </wp:positionV>
                <wp:extent cx="52070" cy="53340"/>
                <wp:effectExtent l="0" t="0" r="0" b="0"/>
                <wp:wrapNone/>
                <wp:docPr id="82"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53340"/>
                        </a:xfrm>
                        <a:prstGeom prst="rect">
                          <a:avLst/>
                        </a:prstGeom>
                        <a:solidFill>
                          <a:srgbClr val="FFB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39545" id="docshape260" o:spid="_x0000_s1026" style="position:absolute;margin-left:366.05pt;margin-top:7.75pt;width:4.1pt;height:4.2pt;z-index:-31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" fillcolor="#ffbf00" stroked="f">
                <w10:wrap anchorx="page"/>
              </v:rect>
            </w:pict>
          </mc:Fallback>
        </mc:AlternateContent>
      </w:r>
      <w:r>
        <w:rPr>
          <w:rFonts w:ascii="Arial"/>
          <w:spacing w:val="-2"/>
          <w:w w:val="105"/>
          <w:sz w:val="16"/>
        </w:rPr>
        <w:t>Mildura</w:t>
      </w:r>
      <w:r>
        <w:rPr>
          <w:rFonts w:ascii="Arial"/>
          <w:sz w:val="16"/>
        </w:rPr>
        <w:tab/>
        <w:t>Mildura</w:t>
      </w:r>
      <w:r>
        <w:rPr>
          <w:rFonts w:ascii="Arial"/>
          <w:spacing w:val="14"/>
          <w:w w:val="105"/>
          <w:sz w:val="16"/>
        </w:rPr>
        <w:t xml:space="preserve"> </w:t>
      </w:r>
      <w:r>
        <w:rPr>
          <w:rFonts w:ascii="Arial"/>
          <w:spacing w:val="-5"/>
          <w:w w:val="105"/>
          <w:sz w:val="16"/>
        </w:rPr>
        <w:t>HPS</w:t>
      </w:r>
      <w:r>
        <w:rPr>
          <w:rFonts w:ascii="Arial"/>
          <w:sz w:val="16"/>
        </w:rPr>
        <w:tab/>
      </w:r>
      <w:r>
        <w:rPr>
          <w:rFonts w:ascii="Arial"/>
          <w:spacing w:val="-2"/>
          <w:w w:val="105"/>
          <w:sz w:val="16"/>
        </w:rPr>
        <w:t>Merbein</w:t>
      </w:r>
      <w:r>
        <w:rPr>
          <w:rFonts w:ascii="Arial"/>
          <w:sz w:val="16"/>
        </w:rPr>
        <w:tab/>
      </w:r>
      <w:r>
        <w:rPr>
          <w:rFonts w:ascii="Arial"/>
          <w:w w:val="105"/>
          <w:sz w:val="16"/>
        </w:rPr>
        <w:t>Red</w:t>
      </w:r>
      <w:r>
        <w:rPr>
          <w:rFonts w:ascii="Arial"/>
          <w:spacing w:val="-6"/>
          <w:w w:val="105"/>
          <w:sz w:val="16"/>
        </w:rPr>
        <w:t xml:space="preserve"> </w:t>
      </w:r>
      <w:r>
        <w:rPr>
          <w:rFonts w:ascii="Arial"/>
          <w:spacing w:val="-2"/>
          <w:w w:val="105"/>
          <w:sz w:val="16"/>
        </w:rPr>
        <w:t>Cliffs</w:t>
      </w:r>
      <w:r>
        <w:rPr>
          <w:rFonts w:ascii="Arial"/>
          <w:sz w:val="16"/>
        </w:rPr>
        <w:tab/>
      </w:r>
      <w:r>
        <w:rPr>
          <w:rFonts w:ascii="Arial"/>
          <w:spacing w:val="-2"/>
          <w:w w:val="105"/>
          <w:sz w:val="16"/>
        </w:rPr>
        <w:t>Robinvale</w:t>
      </w:r>
    </w:p>
    <w:p w14:paraId="2A0A2ED1" w14:textId="77777777" w:rsidR="00141B97" w:rsidRDefault="00141B97">
      <w:pPr>
        <w:pStyle w:val="BodyText"/>
        <w:spacing w:before="6"/>
        <w:rPr>
          <w:rFonts w:ascii="Arial"/>
          <w:sz w:val="13"/>
        </w:rPr>
      </w:pPr>
    </w:p>
    <w:p w14:paraId="63B2CB96" w14:textId="77777777" w:rsidR="00141B97" w:rsidRDefault="00911D63">
      <w:pPr>
        <w:spacing w:before="1"/>
        <w:ind w:left="114"/>
        <w:jc w:val="both"/>
        <w:rPr>
          <w:sz w:val="16"/>
        </w:rPr>
      </w:pPr>
      <w:r>
        <w:rPr>
          <w:sz w:val="16"/>
        </w:rPr>
        <w:t>Figure</w:t>
      </w:r>
      <w:r>
        <w:rPr>
          <w:spacing w:val="-6"/>
          <w:sz w:val="16"/>
        </w:rPr>
        <w:t xml:space="preserve"> </w:t>
      </w:r>
      <w:r>
        <w:rPr>
          <w:sz w:val="16"/>
        </w:rPr>
        <w:t>C2:</w:t>
      </w:r>
      <w:r>
        <w:rPr>
          <w:spacing w:val="-4"/>
          <w:sz w:val="16"/>
        </w:rPr>
        <w:t xml:space="preserve"> </w:t>
      </w:r>
      <w:r>
        <w:rPr>
          <w:sz w:val="16"/>
        </w:rPr>
        <w:t>Historic</w:t>
      </w:r>
      <w:r>
        <w:rPr>
          <w:spacing w:val="-5"/>
          <w:sz w:val="16"/>
        </w:rPr>
        <w:t xml:space="preserve"> </w:t>
      </w:r>
      <w:r>
        <w:rPr>
          <w:sz w:val="16"/>
        </w:rPr>
        <w:t>and</w:t>
      </w:r>
      <w:r>
        <w:rPr>
          <w:spacing w:val="-5"/>
          <w:sz w:val="16"/>
        </w:rPr>
        <w:t xml:space="preserve"> </w:t>
      </w:r>
      <w:r>
        <w:rPr>
          <w:sz w:val="16"/>
        </w:rPr>
        <w:t>Forecast</w:t>
      </w:r>
      <w:r>
        <w:rPr>
          <w:spacing w:val="-5"/>
          <w:sz w:val="16"/>
        </w:rPr>
        <w:t xml:space="preserve"> </w:t>
      </w:r>
      <w:r>
        <w:rPr>
          <w:sz w:val="16"/>
        </w:rPr>
        <w:t>Water</w:t>
      </w:r>
      <w:r>
        <w:rPr>
          <w:spacing w:val="-6"/>
          <w:sz w:val="16"/>
        </w:rPr>
        <w:t xml:space="preserve"> </w:t>
      </w:r>
      <w:r>
        <w:rPr>
          <w:sz w:val="16"/>
        </w:rPr>
        <w:t>Usage</w:t>
      </w:r>
      <w:r>
        <w:rPr>
          <w:spacing w:val="-5"/>
          <w:sz w:val="16"/>
        </w:rPr>
        <w:t xml:space="preserve"> </w:t>
      </w:r>
      <w:r>
        <w:rPr>
          <w:sz w:val="16"/>
        </w:rPr>
        <w:t>Irrigation</w:t>
      </w:r>
      <w:r>
        <w:rPr>
          <w:spacing w:val="-5"/>
          <w:sz w:val="16"/>
        </w:rPr>
        <w:t xml:space="preserve"> </w:t>
      </w:r>
      <w:r>
        <w:rPr>
          <w:sz w:val="16"/>
        </w:rPr>
        <w:t>Districts</w:t>
      </w:r>
      <w:r>
        <w:rPr>
          <w:spacing w:val="-7"/>
          <w:sz w:val="16"/>
        </w:rPr>
        <w:t xml:space="preserve"> </w:t>
      </w:r>
      <w:r>
        <w:rPr>
          <w:sz w:val="16"/>
        </w:rPr>
        <w:t>(ML</w:t>
      </w:r>
      <w:r>
        <w:rPr>
          <w:spacing w:val="-5"/>
          <w:sz w:val="16"/>
        </w:rPr>
        <w:t xml:space="preserve"> pa)</w:t>
      </w:r>
    </w:p>
    <w:p w14:paraId="5D391427" w14:textId="77777777" w:rsidR="00141B97" w:rsidRDefault="00141B97">
      <w:pPr>
        <w:pStyle w:val="BodyText"/>
        <w:spacing w:before="11"/>
        <w:rPr>
          <w:sz w:val="21"/>
        </w:rPr>
      </w:pPr>
    </w:p>
    <w:p w14:paraId="71C71420" w14:textId="77777777" w:rsidR="00141B97" w:rsidRDefault="00911D63">
      <w:pPr>
        <w:pStyle w:val="BodyText"/>
        <w:spacing w:before="1"/>
        <w:ind w:left="114"/>
        <w:jc w:val="both"/>
      </w:pPr>
      <w:r>
        <w:t>Stock</w:t>
      </w:r>
      <w:r>
        <w:rPr>
          <w:spacing w:val="-5"/>
        </w:rPr>
        <w:t xml:space="preserve"> </w:t>
      </w:r>
      <w:r>
        <w:t>and</w:t>
      </w:r>
      <w:r>
        <w:rPr>
          <w:spacing w:val="-4"/>
        </w:rPr>
        <w:t xml:space="preserve"> </w:t>
      </w:r>
      <w:r>
        <w:rPr>
          <w:spacing w:val="-2"/>
        </w:rPr>
        <w:t>Domestic</w:t>
      </w:r>
    </w:p>
    <w:p w14:paraId="7D5C0868" w14:textId="77777777" w:rsidR="00141B97" w:rsidRDefault="00911D63">
      <w:pPr>
        <w:pStyle w:val="BodyText"/>
        <w:ind w:left="113" w:right="948"/>
        <w:jc w:val="both"/>
      </w:pPr>
      <w:r>
        <w:t>The Millewa stock and domestic system sees significant water use variation from year‐to‐year due to weather and</w:t>
      </w:r>
      <w:r>
        <w:rPr>
          <w:spacing w:val="-3"/>
        </w:rPr>
        <w:t xml:space="preserve"> </w:t>
      </w:r>
      <w:r>
        <w:t>market</w:t>
      </w:r>
      <w:r>
        <w:rPr>
          <w:spacing w:val="-2"/>
        </w:rPr>
        <w:t xml:space="preserve"> </w:t>
      </w:r>
      <w:r>
        <w:t>conditions</w:t>
      </w:r>
      <w:r>
        <w:rPr>
          <w:spacing w:val="-3"/>
        </w:rPr>
        <w:t xml:space="preserve"> </w:t>
      </w:r>
      <w:r>
        <w:t>causing</w:t>
      </w:r>
      <w:r>
        <w:rPr>
          <w:spacing w:val="-3"/>
        </w:rPr>
        <w:t xml:space="preserve"> </w:t>
      </w:r>
      <w:r>
        <w:t>stocking</w:t>
      </w:r>
      <w:r>
        <w:rPr>
          <w:spacing w:val="-1"/>
        </w:rPr>
        <w:t xml:space="preserve"> </w:t>
      </w:r>
      <w:r>
        <w:t>and</w:t>
      </w:r>
      <w:r>
        <w:rPr>
          <w:spacing w:val="-3"/>
        </w:rPr>
        <w:t xml:space="preserve"> </w:t>
      </w:r>
      <w:r>
        <w:t>destocking</w:t>
      </w:r>
      <w:r>
        <w:rPr>
          <w:spacing w:val="-3"/>
        </w:rPr>
        <w:t xml:space="preserve"> </w:t>
      </w:r>
      <w:r>
        <w:t>of</w:t>
      </w:r>
      <w:r>
        <w:rPr>
          <w:spacing w:val="-3"/>
        </w:rPr>
        <w:t xml:space="preserve"> </w:t>
      </w:r>
      <w:r>
        <w:t>farmland</w:t>
      </w:r>
      <w:r>
        <w:rPr>
          <w:spacing w:val="-3"/>
        </w:rPr>
        <w:t xml:space="preserve"> </w:t>
      </w:r>
      <w:r>
        <w:t>properties.</w:t>
      </w:r>
      <w:r>
        <w:rPr>
          <w:spacing w:val="-1"/>
        </w:rPr>
        <w:t xml:space="preserve"> </w:t>
      </w:r>
      <w:r>
        <w:t>The</w:t>
      </w:r>
      <w:r>
        <w:rPr>
          <w:spacing w:val="-3"/>
        </w:rPr>
        <w:t xml:space="preserve"> </w:t>
      </w:r>
      <w:r>
        <w:t>four</w:t>
      </w:r>
      <w:r>
        <w:rPr>
          <w:spacing w:val="-3"/>
        </w:rPr>
        <w:t xml:space="preserve"> </w:t>
      </w:r>
      <w:r>
        <w:t>years</w:t>
      </w:r>
      <w:r>
        <w:rPr>
          <w:spacing w:val="-3"/>
        </w:rPr>
        <w:t xml:space="preserve"> </w:t>
      </w:r>
      <w:r>
        <w:t>prior</w:t>
      </w:r>
      <w:r>
        <w:rPr>
          <w:spacing w:val="-2"/>
        </w:rPr>
        <w:t xml:space="preserve"> </w:t>
      </w:r>
      <w:r>
        <w:t>to</w:t>
      </w:r>
      <w:r>
        <w:rPr>
          <w:spacing w:val="-2"/>
        </w:rPr>
        <w:t xml:space="preserve"> </w:t>
      </w:r>
      <w:r>
        <w:t>2021‐22 included both stocked (high demand) and destocked (low demand) years, and the average of these has been used as the forecast.</w:t>
      </w:r>
    </w:p>
    <w:p w14:paraId="4EBB767D" w14:textId="77777777" w:rsidR="00141B97" w:rsidRDefault="00141B97">
      <w:pPr>
        <w:pStyle w:val="BodyText"/>
      </w:pPr>
    </w:p>
    <w:p w14:paraId="08BD8B3B" w14:textId="77777777" w:rsidR="00141B97" w:rsidRDefault="00911D63">
      <w:pPr>
        <w:pStyle w:val="BodyText"/>
        <w:ind w:left="113"/>
      </w:pPr>
      <w:r>
        <w:rPr>
          <w:spacing w:val="-2"/>
        </w:rPr>
        <w:t>Diverters</w:t>
      </w:r>
    </w:p>
    <w:p w14:paraId="6A930689" w14:textId="77777777" w:rsidR="00141B97" w:rsidRDefault="00911D63">
      <w:pPr>
        <w:pStyle w:val="BodyText"/>
        <w:spacing w:before="71" w:line="249" w:lineRule="auto"/>
        <w:ind w:left="113" w:right="949"/>
        <w:jc w:val="both"/>
      </w:pPr>
      <w:r>
        <w:t xml:space="preserve">LMW does not bill private diverters for usage and hence no forecast on water usage is required. Charges for private diverters are based on ML per annual use limit, which are forecast to grow by some 5.5% over the forthcoming period to allow for plantings that have occurred coming into full production and likely new </w:t>
      </w:r>
      <w:r>
        <w:rPr>
          <w:spacing w:val="-2"/>
        </w:rPr>
        <w:t>developments.</w:t>
      </w:r>
    </w:p>
    <w:p w14:paraId="256EA723" w14:textId="77777777" w:rsidR="00141B97" w:rsidRDefault="00141B97">
      <w:pPr>
        <w:pStyle w:val="BodyText"/>
        <w:spacing w:before="12"/>
        <w:rPr>
          <w:sz w:val="19"/>
        </w:rPr>
      </w:pPr>
    </w:p>
    <w:p w14:paraId="210EBCBD" w14:textId="77777777" w:rsidR="00141B97" w:rsidRDefault="00911D63">
      <w:pPr>
        <w:pStyle w:val="ListParagraph"/>
        <w:numPr>
          <w:ilvl w:val="2"/>
          <w:numId w:val="37"/>
        </w:numPr>
        <w:tabs>
          <w:tab w:val="left" w:pos="1112"/>
          <w:tab w:val="left" w:pos="1113"/>
        </w:tabs>
        <w:ind w:left="1112" w:hanging="1000"/>
      </w:pPr>
      <w:r>
        <w:t>Overall</w:t>
      </w:r>
      <w:r>
        <w:rPr>
          <w:spacing w:val="-7"/>
        </w:rPr>
        <w:t xml:space="preserve"> </w:t>
      </w:r>
      <w:r>
        <w:rPr>
          <w:spacing w:val="-2"/>
        </w:rPr>
        <w:t>Forecast</w:t>
      </w:r>
    </w:p>
    <w:p w14:paraId="4D6B5C07" w14:textId="77777777" w:rsidR="00141B97" w:rsidRDefault="00911D63">
      <w:pPr>
        <w:pStyle w:val="BodyText"/>
        <w:spacing w:before="59"/>
        <w:ind w:left="113" w:right="962"/>
      </w:pPr>
      <w:r>
        <w:t>Table</w:t>
      </w:r>
      <w:r>
        <w:rPr>
          <w:spacing w:val="-1"/>
        </w:rPr>
        <w:t xml:space="preserve"> </w:t>
      </w:r>
      <w:r>
        <w:t>C17 shows</w:t>
      </w:r>
      <w:r>
        <w:rPr>
          <w:spacing w:val="-1"/>
        </w:rPr>
        <w:t xml:space="preserve"> </w:t>
      </w:r>
      <w:r>
        <w:t>the</w:t>
      </w:r>
      <w:r>
        <w:rPr>
          <w:spacing w:val="-3"/>
        </w:rPr>
        <w:t xml:space="preserve"> </w:t>
      </w:r>
      <w:r>
        <w:t>forecast</w:t>
      </w:r>
      <w:r>
        <w:rPr>
          <w:spacing w:val="-2"/>
        </w:rPr>
        <w:t xml:space="preserve"> </w:t>
      </w:r>
      <w:r>
        <w:t>volumes</w:t>
      </w:r>
      <w:r>
        <w:rPr>
          <w:spacing w:val="-1"/>
        </w:rPr>
        <w:t xml:space="preserve"> </w:t>
      </w:r>
      <w:r>
        <w:t>for</w:t>
      </w:r>
      <w:r>
        <w:rPr>
          <w:spacing w:val="-1"/>
        </w:rPr>
        <w:t xml:space="preserve"> </w:t>
      </w:r>
      <w:r>
        <w:t>all</w:t>
      </w:r>
      <w:r>
        <w:rPr>
          <w:spacing w:val="-1"/>
        </w:rPr>
        <w:t xml:space="preserve"> </w:t>
      </w:r>
      <w:r>
        <w:t>services.</w:t>
      </w:r>
      <w:r>
        <w:rPr>
          <w:spacing w:val="-1"/>
        </w:rPr>
        <w:t xml:space="preserve"> </w:t>
      </w:r>
      <w:r>
        <w:t>Detailed</w:t>
      </w:r>
      <w:r>
        <w:rPr>
          <w:spacing w:val="-1"/>
        </w:rPr>
        <w:t xml:space="preserve"> </w:t>
      </w:r>
      <w:r>
        <w:t>analysis of the</w:t>
      </w:r>
      <w:r>
        <w:rPr>
          <w:spacing w:val="-1"/>
        </w:rPr>
        <w:t xml:space="preserve"> </w:t>
      </w:r>
      <w:r>
        <w:t>basis</w:t>
      </w:r>
      <w:r>
        <w:rPr>
          <w:spacing w:val="-2"/>
        </w:rPr>
        <w:t xml:space="preserve"> </w:t>
      </w:r>
      <w:r>
        <w:t>for</w:t>
      </w:r>
      <w:r>
        <w:rPr>
          <w:spacing w:val="-1"/>
        </w:rPr>
        <w:t xml:space="preserve"> </w:t>
      </w:r>
      <w:r>
        <w:t>each</w:t>
      </w:r>
      <w:r>
        <w:rPr>
          <w:spacing w:val="-2"/>
        </w:rPr>
        <w:t xml:space="preserve"> </w:t>
      </w:r>
      <w:r>
        <w:t>component</w:t>
      </w:r>
      <w:r>
        <w:rPr>
          <w:spacing w:val="-2"/>
        </w:rPr>
        <w:t xml:space="preserve"> </w:t>
      </w:r>
      <w:r>
        <w:t>of the charging base is provided in Appendix C1.</w:t>
      </w:r>
    </w:p>
    <w:p w14:paraId="2AB64951" w14:textId="77777777" w:rsidR="00141B97" w:rsidRDefault="00141B97">
      <w:pPr>
        <w:pStyle w:val="BodyText"/>
        <w:rPr>
          <w:sz w:val="20"/>
        </w:rPr>
      </w:pPr>
    </w:p>
    <w:p w14:paraId="2E277AEC" w14:textId="77777777" w:rsidR="00141B97" w:rsidRDefault="00141B97">
      <w:pPr>
        <w:pStyle w:val="BodyText"/>
        <w:spacing w:before="7"/>
        <w:rPr>
          <w:sz w:val="13"/>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54"/>
        <w:gridCol w:w="1288"/>
        <w:gridCol w:w="1334"/>
        <w:gridCol w:w="1318"/>
        <w:gridCol w:w="1319"/>
        <w:gridCol w:w="1318"/>
        <w:gridCol w:w="1313"/>
      </w:tblGrid>
      <w:tr w:rsidR="00141B97" w14:paraId="74EC920D" w14:textId="77777777">
        <w:trPr>
          <w:trHeight w:val="239"/>
        </w:trPr>
        <w:tc>
          <w:tcPr>
            <w:tcW w:w="1854" w:type="dxa"/>
            <w:vMerge w:val="restart"/>
            <w:tcBorders>
              <w:top w:val="nil"/>
              <w:left w:val="nil"/>
            </w:tcBorders>
            <w:shd w:val="clear" w:color="auto" w:fill="006CA3"/>
          </w:tcPr>
          <w:p w14:paraId="3BA3890D" w14:textId="77777777" w:rsidR="00141B97" w:rsidRDefault="00911D63">
            <w:pPr>
              <w:pStyle w:val="TableParagraph"/>
              <w:spacing w:before="140"/>
              <w:ind w:left="88"/>
              <w:rPr>
                <w:sz w:val="18"/>
              </w:rPr>
            </w:pPr>
            <w:r>
              <w:rPr>
                <w:color w:val="FFFFFF"/>
                <w:spacing w:val="-2"/>
                <w:sz w:val="18"/>
              </w:rPr>
              <w:t>Service/District</w:t>
            </w:r>
          </w:p>
        </w:tc>
        <w:tc>
          <w:tcPr>
            <w:tcW w:w="1288" w:type="dxa"/>
            <w:tcBorders>
              <w:top w:val="nil"/>
            </w:tcBorders>
            <w:shd w:val="clear" w:color="auto" w:fill="006CA3"/>
          </w:tcPr>
          <w:p w14:paraId="0BCD7EFC" w14:textId="77777777" w:rsidR="00141B97" w:rsidRDefault="00911D63">
            <w:pPr>
              <w:pStyle w:val="TableParagraph"/>
              <w:spacing w:line="219" w:lineRule="exact"/>
              <w:ind w:left="97"/>
              <w:rPr>
                <w:sz w:val="18"/>
              </w:rPr>
            </w:pPr>
            <w:r>
              <w:rPr>
                <w:color w:val="FFFFFF"/>
                <w:spacing w:val="-2"/>
                <w:sz w:val="18"/>
              </w:rPr>
              <w:t>Current</w:t>
            </w:r>
          </w:p>
        </w:tc>
        <w:tc>
          <w:tcPr>
            <w:tcW w:w="6602" w:type="dxa"/>
            <w:gridSpan w:val="5"/>
            <w:tcBorders>
              <w:top w:val="nil"/>
              <w:right w:val="nil"/>
            </w:tcBorders>
            <w:shd w:val="clear" w:color="auto" w:fill="006CA3"/>
          </w:tcPr>
          <w:p w14:paraId="658D330E" w14:textId="77777777" w:rsidR="00141B97" w:rsidRDefault="00911D63">
            <w:pPr>
              <w:pStyle w:val="TableParagraph"/>
              <w:spacing w:line="219" w:lineRule="exact"/>
              <w:ind w:left="97"/>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38E17560" w14:textId="77777777">
        <w:trPr>
          <w:trHeight w:val="240"/>
        </w:trPr>
        <w:tc>
          <w:tcPr>
            <w:tcW w:w="1854" w:type="dxa"/>
            <w:vMerge/>
            <w:tcBorders>
              <w:top w:val="nil"/>
              <w:left w:val="nil"/>
            </w:tcBorders>
            <w:shd w:val="clear" w:color="auto" w:fill="006CA3"/>
          </w:tcPr>
          <w:p w14:paraId="32ABE121" w14:textId="77777777" w:rsidR="00141B97" w:rsidRDefault="00141B97">
            <w:pPr>
              <w:rPr>
                <w:sz w:val="2"/>
                <w:szCs w:val="2"/>
              </w:rPr>
            </w:pPr>
          </w:p>
        </w:tc>
        <w:tc>
          <w:tcPr>
            <w:tcW w:w="1288" w:type="dxa"/>
            <w:shd w:val="clear" w:color="auto" w:fill="006CA3"/>
          </w:tcPr>
          <w:p w14:paraId="06E871C1" w14:textId="77777777" w:rsidR="00141B97" w:rsidRDefault="00911D63">
            <w:pPr>
              <w:pStyle w:val="TableParagraph"/>
              <w:spacing w:before="12" w:line="209" w:lineRule="exact"/>
              <w:ind w:left="331"/>
              <w:rPr>
                <w:sz w:val="18"/>
              </w:rPr>
            </w:pPr>
            <w:r>
              <w:rPr>
                <w:color w:val="FFFFFF"/>
                <w:spacing w:val="-2"/>
                <w:sz w:val="18"/>
              </w:rPr>
              <w:t>2022‐23</w:t>
            </w:r>
          </w:p>
        </w:tc>
        <w:tc>
          <w:tcPr>
            <w:tcW w:w="1334" w:type="dxa"/>
            <w:shd w:val="clear" w:color="auto" w:fill="006CA3"/>
          </w:tcPr>
          <w:p w14:paraId="1E60A686" w14:textId="77777777" w:rsidR="00141B97" w:rsidRDefault="00911D63">
            <w:pPr>
              <w:pStyle w:val="TableParagraph"/>
              <w:spacing w:before="12" w:line="209" w:lineRule="exact"/>
              <w:ind w:left="354"/>
              <w:rPr>
                <w:sz w:val="18"/>
              </w:rPr>
            </w:pPr>
            <w:r>
              <w:rPr>
                <w:color w:val="FFFFFF"/>
                <w:spacing w:val="-2"/>
                <w:sz w:val="18"/>
              </w:rPr>
              <w:t>2023‐24</w:t>
            </w:r>
          </w:p>
        </w:tc>
        <w:tc>
          <w:tcPr>
            <w:tcW w:w="1318" w:type="dxa"/>
            <w:shd w:val="clear" w:color="auto" w:fill="006CA3"/>
          </w:tcPr>
          <w:p w14:paraId="7CE11900" w14:textId="77777777" w:rsidR="00141B97" w:rsidRDefault="00911D63">
            <w:pPr>
              <w:pStyle w:val="TableParagraph"/>
              <w:spacing w:before="12" w:line="209" w:lineRule="exact"/>
              <w:ind w:left="345"/>
              <w:rPr>
                <w:sz w:val="18"/>
              </w:rPr>
            </w:pPr>
            <w:r>
              <w:rPr>
                <w:color w:val="FFFFFF"/>
                <w:spacing w:val="-2"/>
                <w:sz w:val="18"/>
              </w:rPr>
              <w:t>2024‐25</w:t>
            </w:r>
          </w:p>
        </w:tc>
        <w:tc>
          <w:tcPr>
            <w:tcW w:w="1319" w:type="dxa"/>
            <w:shd w:val="clear" w:color="auto" w:fill="006CA3"/>
          </w:tcPr>
          <w:p w14:paraId="62890949" w14:textId="77777777" w:rsidR="00141B97" w:rsidRDefault="00911D63">
            <w:pPr>
              <w:pStyle w:val="TableParagraph"/>
              <w:spacing w:before="12" w:line="209" w:lineRule="exact"/>
              <w:ind w:left="344"/>
              <w:rPr>
                <w:sz w:val="18"/>
              </w:rPr>
            </w:pPr>
            <w:r>
              <w:rPr>
                <w:color w:val="FFFFFF"/>
                <w:spacing w:val="-2"/>
                <w:sz w:val="18"/>
              </w:rPr>
              <w:t>2025‐26</w:t>
            </w:r>
          </w:p>
        </w:tc>
        <w:tc>
          <w:tcPr>
            <w:tcW w:w="1318" w:type="dxa"/>
            <w:shd w:val="clear" w:color="auto" w:fill="006CA3"/>
          </w:tcPr>
          <w:p w14:paraId="3E363220" w14:textId="77777777" w:rsidR="00141B97" w:rsidRDefault="00911D63">
            <w:pPr>
              <w:pStyle w:val="TableParagraph"/>
              <w:spacing w:before="12" w:line="209" w:lineRule="exact"/>
              <w:ind w:left="344"/>
              <w:rPr>
                <w:sz w:val="18"/>
              </w:rPr>
            </w:pPr>
            <w:r>
              <w:rPr>
                <w:color w:val="FFFFFF"/>
                <w:spacing w:val="-2"/>
                <w:sz w:val="18"/>
              </w:rPr>
              <w:t>2026‐27</w:t>
            </w:r>
          </w:p>
        </w:tc>
        <w:tc>
          <w:tcPr>
            <w:tcW w:w="1313" w:type="dxa"/>
            <w:tcBorders>
              <w:right w:val="nil"/>
            </w:tcBorders>
            <w:shd w:val="clear" w:color="auto" w:fill="006CA3"/>
          </w:tcPr>
          <w:p w14:paraId="402DD216" w14:textId="77777777" w:rsidR="00141B97" w:rsidRDefault="00911D63">
            <w:pPr>
              <w:pStyle w:val="TableParagraph"/>
              <w:spacing w:before="12" w:line="209" w:lineRule="exact"/>
              <w:ind w:left="346"/>
              <w:rPr>
                <w:sz w:val="18"/>
              </w:rPr>
            </w:pPr>
            <w:r>
              <w:rPr>
                <w:color w:val="FFFFFF"/>
                <w:spacing w:val="-2"/>
                <w:sz w:val="18"/>
              </w:rPr>
              <w:t>2027‐28</w:t>
            </w:r>
          </w:p>
        </w:tc>
      </w:tr>
      <w:tr w:rsidR="00141B97" w14:paraId="67AB3805" w14:textId="77777777">
        <w:trPr>
          <w:trHeight w:val="240"/>
        </w:trPr>
        <w:tc>
          <w:tcPr>
            <w:tcW w:w="9744" w:type="dxa"/>
            <w:gridSpan w:val="7"/>
            <w:tcBorders>
              <w:left w:val="nil"/>
              <w:right w:val="nil"/>
            </w:tcBorders>
            <w:shd w:val="clear" w:color="auto" w:fill="006CA3"/>
          </w:tcPr>
          <w:p w14:paraId="3C60C67B" w14:textId="77777777" w:rsidR="00141B97" w:rsidRDefault="00911D63">
            <w:pPr>
              <w:pStyle w:val="TableParagraph"/>
              <w:spacing w:before="1" w:line="219" w:lineRule="exact"/>
              <w:ind w:left="98"/>
              <w:rPr>
                <w:sz w:val="18"/>
              </w:rPr>
            </w:pPr>
            <w:r>
              <w:rPr>
                <w:color w:val="FFFFFF"/>
                <w:sz w:val="18"/>
              </w:rPr>
              <w:t xml:space="preserve">Pumped </w:t>
            </w:r>
            <w:r>
              <w:rPr>
                <w:color w:val="FFFFFF"/>
                <w:spacing w:val="-2"/>
                <w:sz w:val="18"/>
              </w:rPr>
              <w:t>Irrigation</w:t>
            </w:r>
          </w:p>
        </w:tc>
      </w:tr>
      <w:tr w:rsidR="00141B97" w14:paraId="2C9112A8" w14:textId="77777777">
        <w:trPr>
          <w:trHeight w:val="239"/>
        </w:trPr>
        <w:tc>
          <w:tcPr>
            <w:tcW w:w="1854" w:type="dxa"/>
            <w:tcBorders>
              <w:left w:val="nil"/>
            </w:tcBorders>
            <w:shd w:val="clear" w:color="auto" w:fill="CCE2ED"/>
          </w:tcPr>
          <w:p w14:paraId="2E9101C4" w14:textId="77777777" w:rsidR="00141B97" w:rsidRDefault="00911D63">
            <w:pPr>
              <w:pStyle w:val="TableParagraph"/>
              <w:spacing w:line="219" w:lineRule="exact"/>
              <w:ind w:left="88"/>
              <w:rPr>
                <w:sz w:val="18"/>
              </w:rPr>
            </w:pPr>
            <w:r>
              <w:rPr>
                <w:spacing w:val="-2"/>
                <w:sz w:val="18"/>
              </w:rPr>
              <w:t>Mildura</w:t>
            </w:r>
          </w:p>
        </w:tc>
        <w:tc>
          <w:tcPr>
            <w:tcW w:w="1288" w:type="dxa"/>
            <w:shd w:val="clear" w:color="auto" w:fill="CCE2ED"/>
          </w:tcPr>
          <w:p w14:paraId="0BFD8FE7" w14:textId="77777777" w:rsidR="00141B97" w:rsidRDefault="00911D63">
            <w:pPr>
              <w:pStyle w:val="TableParagraph"/>
              <w:spacing w:before="10" w:line="209" w:lineRule="exact"/>
              <w:ind w:right="96"/>
              <w:jc w:val="right"/>
              <w:rPr>
                <w:sz w:val="18"/>
              </w:rPr>
            </w:pPr>
            <w:r>
              <w:rPr>
                <w:spacing w:val="-2"/>
                <w:sz w:val="18"/>
              </w:rPr>
              <w:t>31,425</w:t>
            </w:r>
          </w:p>
        </w:tc>
        <w:tc>
          <w:tcPr>
            <w:tcW w:w="1334" w:type="dxa"/>
            <w:shd w:val="clear" w:color="auto" w:fill="CCE2ED"/>
          </w:tcPr>
          <w:p w14:paraId="19864046" w14:textId="77777777" w:rsidR="00141B97" w:rsidRDefault="00911D63">
            <w:pPr>
              <w:pStyle w:val="TableParagraph"/>
              <w:spacing w:before="10" w:line="209" w:lineRule="exact"/>
              <w:ind w:right="97"/>
              <w:jc w:val="right"/>
              <w:rPr>
                <w:sz w:val="18"/>
              </w:rPr>
            </w:pPr>
            <w:r>
              <w:rPr>
                <w:spacing w:val="-2"/>
                <w:sz w:val="18"/>
              </w:rPr>
              <w:t>31,425</w:t>
            </w:r>
          </w:p>
        </w:tc>
        <w:tc>
          <w:tcPr>
            <w:tcW w:w="1318" w:type="dxa"/>
            <w:shd w:val="clear" w:color="auto" w:fill="CCE2ED"/>
          </w:tcPr>
          <w:p w14:paraId="4E5C8F7A" w14:textId="77777777" w:rsidR="00141B97" w:rsidRDefault="00911D63">
            <w:pPr>
              <w:pStyle w:val="TableParagraph"/>
              <w:spacing w:before="10" w:line="209" w:lineRule="exact"/>
              <w:ind w:right="97"/>
              <w:jc w:val="right"/>
              <w:rPr>
                <w:sz w:val="18"/>
              </w:rPr>
            </w:pPr>
            <w:r>
              <w:rPr>
                <w:spacing w:val="-2"/>
                <w:sz w:val="18"/>
              </w:rPr>
              <w:t>31,425</w:t>
            </w:r>
          </w:p>
        </w:tc>
        <w:tc>
          <w:tcPr>
            <w:tcW w:w="1319" w:type="dxa"/>
            <w:shd w:val="clear" w:color="auto" w:fill="CCE2ED"/>
          </w:tcPr>
          <w:p w14:paraId="4FF91130" w14:textId="77777777" w:rsidR="00141B97" w:rsidRDefault="00911D63">
            <w:pPr>
              <w:pStyle w:val="TableParagraph"/>
              <w:spacing w:before="10" w:line="209" w:lineRule="exact"/>
              <w:ind w:right="98"/>
              <w:jc w:val="right"/>
              <w:rPr>
                <w:sz w:val="18"/>
              </w:rPr>
            </w:pPr>
            <w:r>
              <w:rPr>
                <w:spacing w:val="-2"/>
                <w:sz w:val="18"/>
              </w:rPr>
              <w:t>31,425</w:t>
            </w:r>
          </w:p>
        </w:tc>
        <w:tc>
          <w:tcPr>
            <w:tcW w:w="1318" w:type="dxa"/>
            <w:shd w:val="clear" w:color="auto" w:fill="CCE2ED"/>
          </w:tcPr>
          <w:p w14:paraId="21153E6C" w14:textId="77777777" w:rsidR="00141B97" w:rsidRDefault="00911D63">
            <w:pPr>
              <w:pStyle w:val="TableParagraph"/>
              <w:spacing w:before="10" w:line="209" w:lineRule="exact"/>
              <w:ind w:right="98"/>
              <w:jc w:val="right"/>
              <w:rPr>
                <w:sz w:val="18"/>
              </w:rPr>
            </w:pPr>
            <w:r>
              <w:rPr>
                <w:spacing w:val="-2"/>
                <w:sz w:val="18"/>
              </w:rPr>
              <w:t>31,425</w:t>
            </w:r>
          </w:p>
        </w:tc>
        <w:tc>
          <w:tcPr>
            <w:tcW w:w="1313" w:type="dxa"/>
            <w:tcBorders>
              <w:right w:val="nil"/>
            </w:tcBorders>
            <w:shd w:val="clear" w:color="auto" w:fill="CCE2ED"/>
          </w:tcPr>
          <w:p w14:paraId="470882DC" w14:textId="77777777" w:rsidR="00141B97" w:rsidRDefault="00911D63">
            <w:pPr>
              <w:pStyle w:val="TableParagraph"/>
              <w:spacing w:before="10" w:line="209" w:lineRule="exact"/>
              <w:ind w:right="88"/>
              <w:jc w:val="right"/>
              <w:rPr>
                <w:sz w:val="18"/>
              </w:rPr>
            </w:pPr>
            <w:r>
              <w:rPr>
                <w:spacing w:val="-2"/>
                <w:sz w:val="18"/>
              </w:rPr>
              <w:t>31,425</w:t>
            </w:r>
          </w:p>
        </w:tc>
      </w:tr>
      <w:tr w:rsidR="00141B97" w14:paraId="4C5D4776" w14:textId="77777777">
        <w:trPr>
          <w:trHeight w:val="240"/>
        </w:trPr>
        <w:tc>
          <w:tcPr>
            <w:tcW w:w="1854" w:type="dxa"/>
            <w:tcBorders>
              <w:left w:val="nil"/>
            </w:tcBorders>
            <w:shd w:val="clear" w:color="auto" w:fill="CCE2ED"/>
          </w:tcPr>
          <w:p w14:paraId="54857D9D" w14:textId="77777777" w:rsidR="00141B97" w:rsidRDefault="00911D63">
            <w:pPr>
              <w:pStyle w:val="TableParagraph"/>
              <w:spacing w:before="1" w:line="219" w:lineRule="exact"/>
              <w:ind w:left="88"/>
              <w:rPr>
                <w:sz w:val="18"/>
              </w:rPr>
            </w:pPr>
            <w:r>
              <w:rPr>
                <w:sz w:val="18"/>
              </w:rPr>
              <w:t xml:space="preserve">Mildura </w:t>
            </w:r>
            <w:r>
              <w:rPr>
                <w:spacing w:val="-5"/>
                <w:sz w:val="18"/>
              </w:rPr>
              <w:t>HPS</w:t>
            </w:r>
          </w:p>
        </w:tc>
        <w:tc>
          <w:tcPr>
            <w:tcW w:w="1288" w:type="dxa"/>
            <w:shd w:val="clear" w:color="auto" w:fill="CCE2ED"/>
          </w:tcPr>
          <w:p w14:paraId="2030CDEC" w14:textId="77777777" w:rsidR="00141B97" w:rsidRDefault="00911D63">
            <w:pPr>
              <w:pStyle w:val="TableParagraph"/>
              <w:spacing w:before="12" w:line="209" w:lineRule="exact"/>
              <w:ind w:right="96"/>
              <w:jc w:val="right"/>
              <w:rPr>
                <w:sz w:val="18"/>
              </w:rPr>
            </w:pPr>
            <w:r>
              <w:rPr>
                <w:spacing w:val="-2"/>
                <w:sz w:val="18"/>
              </w:rPr>
              <w:t>3,509</w:t>
            </w:r>
          </w:p>
        </w:tc>
        <w:tc>
          <w:tcPr>
            <w:tcW w:w="1334" w:type="dxa"/>
            <w:shd w:val="clear" w:color="auto" w:fill="CCE2ED"/>
          </w:tcPr>
          <w:p w14:paraId="0B58A111" w14:textId="77777777" w:rsidR="00141B97" w:rsidRDefault="00911D63">
            <w:pPr>
              <w:pStyle w:val="TableParagraph"/>
              <w:spacing w:before="12" w:line="209" w:lineRule="exact"/>
              <w:ind w:right="97"/>
              <w:jc w:val="right"/>
              <w:rPr>
                <w:sz w:val="18"/>
              </w:rPr>
            </w:pPr>
            <w:r>
              <w:rPr>
                <w:spacing w:val="-2"/>
                <w:sz w:val="18"/>
              </w:rPr>
              <w:t>3,509</w:t>
            </w:r>
          </w:p>
        </w:tc>
        <w:tc>
          <w:tcPr>
            <w:tcW w:w="1318" w:type="dxa"/>
            <w:shd w:val="clear" w:color="auto" w:fill="CCE2ED"/>
          </w:tcPr>
          <w:p w14:paraId="6227C3D8" w14:textId="77777777" w:rsidR="00141B97" w:rsidRDefault="00911D63">
            <w:pPr>
              <w:pStyle w:val="TableParagraph"/>
              <w:spacing w:before="12" w:line="209" w:lineRule="exact"/>
              <w:ind w:right="97"/>
              <w:jc w:val="right"/>
              <w:rPr>
                <w:sz w:val="18"/>
              </w:rPr>
            </w:pPr>
            <w:r>
              <w:rPr>
                <w:spacing w:val="-2"/>
                <w:sz w:val="18"/>
              </w:rPr>
              <w:t>3,509</w:t>
            </w:r>
          </w:p>
        </w:tc>
        <w:tc>
          <w:tcPr>
            <w:tcW w:w="1319" w:type="dxa"/>
            <w:shd w:val="clear" w:color="auto" w:fill="CCE2ED"/>
          </w:tcPr>
          <w:p w14:paraId="2A9117ED" w14:textId="77777777" w:rsidR="00141B97" w:rsidRDefault="00911D63">
            <w:pPr>
              <w:pStyle w:val="TableParagraph"/>
              <w:spacing w:before="12" w:line="209" w:lineRule="exact"/>
              <w:ind w:right="98"/>
              <w:jc w:val="right"/>
              <w:rPr>
                <w:sz w:val="18"/>
              </w:rPr>
            </w:pPr>
            <w:r>
              <w:rPr>
                <w:spacing w:val="-2"/>
                <w:sz w:val="18"/>
              </w:rPr>
              <w:t>3,509</w:t>
            </w:r>
          </w:p>
        </w:tc>
        <w:tc>
          <w:tcPr>
            <w:tcW w:w="1318" w:type="dxa"/>
            <w:shd w:val="clear" w:color="auto" w:fill="CCE2ED"/>
          </w:tcPr>
          <w:p w14:paraId="1B4FAC80" w14:textId="77777777" w:rsidR="00141B97" w:rsidRDefault="00911D63">
            <w:pPr>
              <w:pStyle w:val="TableParagraph"/>
              <w:spacing w:before="12" w:line="209" w:lineRule="exact"/>
              <w:ind w:right="98"/>
              <w:jc w:val="right"/>
              <w:rPr>
                <w:sz w:val="18"/>
              </w:rPr>
            </w:pPr>
            <w:r>
              <w:rPr>
                <w:spacing w:val="-2"/>
                <w:sz w:val="18"/>
              </w:rPr>
              <w:t>3,509</w:t>
            </w:r>
          </w:p>
        </w:tc>
        <w:tc>
          <w:tcPr>
            <w:tcW w:w="1313" w:type="dxa"/>
            <w:tcBorders>
              <w:right w:val="nil"/>
            </w:tcBorders>
            <w:shd w:val="clear" w:color="auto" w:fill="CCE2ED"/>
          </w:tcPr>
          <w:p w14:paraId="5A997653" w14:textId="77777777" w:rsidR="00141B97" w:rsidRDefault="00911D63">
            <w:pPr>
              <w:pStyle w:val="TableParagraph"/>
              <w:spacing w:before="12" w:line="209" w:lineRule="exact"/>
              <w:ind w:right="88"/>
              <w:jc w:val="right"/>
              <w:rPr>
                <w:sz w:val="18"/>
              </w:rPr>
            </w:pPr>
            <w:r>
              <w:rPr>
                <w:spacing w:val="-2"/>
                <w:sz w:val="18"/>
              </w:rPr>
              <w:t>3,509</w:t>
            </w:r>
          </w:p>
        </w:tc>
      </w:tr>
      <w:tr w:rsidR="00141B97" w14:paraId="30191E34" w14:textId="77777777">
        <w:trPr>
          <w:trHeight w:val="240"/>
        </w:trPr>
        <w:tc>
          <w:tcPr>
            <w:tcW w:w="1854" w:type="dxa"/>
            <w:tcBorders>
              <w:left w:val="nil"/>
            </w:tcBorders>
            <w:shd w:val="clear" w:color="auto" w:fill="CCE2ED"/>
          </w:tcPr>
          <w:p w14:paraId="318B56A1" w14:textId="77777777" w:rsidR="00141B97" w:rsidRDefault="00911D63">
            <w:pPr>
              <w:pStyle w:val="TableParagraph"/>
              <w:spacing w:before="1" w:line="219" w:lineRule="exact"/>
              <w:ind w:left="88"/>
              <w:rPr>
                <w:sz w:val="18"/>
              </w:rPr>
            </w:pPr>
            <w:r>
              <w:rPr>
                <w:spacing w:val="-2"/>
                <w:sz w:val="18"/>
              </w:rPr>
              <w:t>Merbein</w:t>
            </w:r>
          </w:p>
        </w:tc>
        <w:tc>
          <w:tcPr>
            <w:tcW w:w="1288" w:type="dxa"/>
            <w:shd w:val="clear" w:color="auto" w:fill="CCE2ED"/>
          </w:tcPr>
          <w:p w14:paraId="49873362" w14:textId="77777777" w:rsidR="00141B97" w:rsidRDefault="00911D63">
            <w:pPr>
              <w:pStyle w:val="TableParagraph"/>
              <w:spacing w:before="10" w:line="210" w:lineRule="exact"/>
              <w:ind w:right="96"/>
              <w:jc w:val="right"/>
              <w:rPr>
                <w:sz w:val="18"/>
              </w:rPr>
            </w:pPr>
            <w:r>
              <w:rPr>
                <w:spacing w:val="-2"/>
                <w:sz w:val="18"/>
              </w:rPr>
              <w:t>18,978</w:t>
            </w:r>
          </w:p>
        </w:tc>
        <w:tc>
          <w:tcPr>
            <w:tcW w:w="1334" w:type="dxa"/>
            <w:shd w:val="clear" w:color="auto" w:fill="CCE2ED"/>
          </w:tcPr>
          <w:p w14:paraId="62CB08B9" w14:textId="77777777" w:rsidR="00141B97" w:rsidRDefault="00911D63">
            <w:pPr>
              <w:pStyle w:val="TableParagraph"/>
              <w:spacing w:before="10" w:line="210" w:lineRule="exact"/>
              <w:ind w:right="97"/>
              <w:jc w:val="right"/>
              <w:rPr>
                <w:sz w:val="18"/>
              </w:rPr>
            </w:pPr>
            <w:r>
              <w:rPr>
                <w:spacing w:val="-2"/>
                <w:sz w:val="18"/>
              </w:rPr>
              <w:t>19,621</w:t>
            </w:r>
          </w:p>
        </w:tc>
        <w:tc>
          <w:tcPr>
            <w:tcW w:w="1318" w:type="dxa"/>
            <w:shd w:val="clear" w:color="auto" w:fill="CCE2ED"/>
          </w:tcPr>
          <w:p w14:paraId="221A7E0C" w14:textId="77777777" w:rsidR="00141B97" w:rsidRDefault="00911D63">
            <w:pPr>
              <w:pStyle w:val="TableParagraph"/>
              <w:spacing w:before="10" w:line="210" w:lineRule="exact"/>
              <w:ind w:right="97"/>
              <w:jc w:val="right"/>
              <w:rPr>
                <w:sz w:val="18"/>
              </w:rPr>
            </w:pPr>
            <w:r>
              <w:rPr>
                <w:spacing w:val="-2"/>
                <w:sz w:val="18"/>
              </w:rPr>
              <w:t>20,211</w:t>
            </w:r>
          </w:p>
        </w:tc>
        <w:tc>
          <w:tcPr>
            <w:tcW w:w="1319" w:type="dxa"/>
            <w:shd w:val="clear" w:color="auto" w:fill="CCE2ED"/>
          </w:tcPr>
          <w:p w14:paraId="6D6247DB" w14:textId="77777777" w:rsidR="00141B97" w:rsidRDefault="00911D63">
            <w:pPr>
              <w:pStyle w:val="TableParagraph"/>
              <w:spacing w:before="10" w:line="210" w:lineRule="exact"/>
              <w:ind w:right="98"/>
              <w:jc w:val="right"/>
              <w:rPr>
                <w:sz w:val="18"/>
              </w:rPr>
            </w:pPr>
            <w:r>
              <w:rPr>
                <w:spacing w:val="-2"/>
                <w:sz w:val="18"/>
              </w:rPr>
              <w:t>20,781</w:t>
            </w:r>
          </w:p>
        </w:tc>
        <w:tc>
          <w:tcPr>
            <w:tcW w:w="1318" w:type="dxa"/>
            <w:shd w:val="clear" w:color="auto" w:fill="CCE2ED"/>
          </w:tcPr>
          <w:p w14:paraId="6E6B90EB" w14:textId="77777777" w:rsidR="00141B97" w:rsidRDefault="00911D63">
            <w:pPr>
              <w:pStyle w:val="TableParagraph"/>
              <w:spacing w:before="10" w:line="210" w:lineRule="exact"/>
              <w:ind w:right="98"/>
              <w:jc w:val="right"/>
              <w:rPr>
                <w:sz w:val="18"/>
              </w:rPr>
            </w:pPr>
            <w:r>
              <w:rPr>
                <w:spacing w:val="-2"/>
                <w:sz w:val="18"/>
              </w:rPr>
              <w:t>21,039</w:t>
            </w:r>
          </w:p>
        </w:tc>
        <w:tc>
          <w:tcPr>
            <w:tcW w:w="1313" w:type="dxa"/>
            <w:tcBorders>
              <w:right w:val="nil"/>
            </w:tcBorders>
            <w:shd w:val="clear" w:color="auto" w:fill="CCE2ED"/>
          </w:tcPr>
          <w:p w14:paraId="2FA38B05" w14:textId="77777777" w:rsidR="00141B97" w:rsidRDefault="00911D63">
            <w:pPr>
              <w:pStyle w:val="TableParagraph"/>
              <w:spacing w:before="10" w:line="210" w:lineRule="exact"/>
              <w:ind w:right="88"/>
              <w:jc w:val="right"/>
              <w:rPr>
                <w:sz w:val="18"/>
              </w:rPr>
            </w:pPr>
            <w:r>
              <w:rPr>
                <w:spacing w:val="-2"/>
                <w:sz w:val="18"/>
              </w:rPr>
              <w:t>21,323</w:t>
            </w:r>
          </w:p>
        </w:tc>
      </w:tr>
      <w:tr w:rsidR="00141B97" w14:paraId="4FE3731F" w14:textId="77777777">
        <w:trPr>
          <w:trHeight w:val="239"/>
        </w:trPr>
        <w:tc>
          <w:tcPr>
            <w:tcW w:w="1854" w:type="dxa"/>
            <w:tcBorders>
              <w:left w:val="nil"/>
            </w:tcBorders>
            <w:shd w:val="clear" w:color="auto" w:fill="CCE2ED"/>
          </w:tcPr>
          <w:p w14:paraId="4EA86D22" w14:textId="77777777" w:rsidR="00141B97" w:rsidRDefault="00911D63">
            <w:pPr>
              <w:pStyle w:val="TableParagraph"/>
              <w:spacing w:line="219" w:lineRule="exact"/>
              <w:ind w:left="88"/>
              <w:rPr>
                <w:sz w:val="18"/>
              </w:rPr>
            </w:pPr>
            <w:r>
              <w:rPr>
                <w:sz w:val="18"/>
              </w:rPr>
              <w:t xml:space="preserve">Red </w:t>
            </w:r>
            <w:r>
              <w:rPr>
                <w:spacing w:val="-2"/>
                <w:sz w:val="18"/>
              </w:rPr>
              <w:t>Cliffs</w:t>
            </w:r>
          </w:p>
        </w:tc>
        <w:tc>
          <w:tcPr>
            <w:tcW w:w="1288" w:type="dxa"/>
            <w:shd w:val="clear" w:color="auto" w:fill="CCE2ED"/>
          </w:tcPr>
          <w:p w14:paraId="2E6F8CB1" w14:textId="77777777" w:rsidR="00141B97" w:rsidRDefault="00911D63">
            <w:pPr>
              <w:pStyle w:val="TableParagraph"/>
              <w:spacing w:before="10" w:line="209" w:lineRule="exact"/>
              <w:ind w:right="96"/>
              <w:jc w:val="right"/>
              <w:rPr>
                <w:sz w:val="18"/>
              </w:rPr>
            </w:pPr>
            <w:r>
              <w:rPr>
                <w:spacing w:val="-2"/>
                <w:sz w:val="18"/>
              </w:rPr>
              <w:t>34,858</w:t>
            </w:r>
          </w:p>
        </w:tc>
        <w:tc>
          <w:tcPr>
            <w:tcW w:w="1334" w:type="dxa"/>
            <w:shd w:val="clear" w:color="auto" w:fill="CCE2ED"/>
          </w:tcPr>
          <w:p w14:paraId="087525E4" w14:textId="77777777" w:rsidR="00141B97" w:rsidRDefault="00911D63">
            <w:pPr>
              <w:pStyle w:val="TableParagraph"/>
              <w:spacing w:before="10" w:line="209" w:lineRule="exact"/>
              <w:ind w:right="97"/>
              <w:jc w:val="right"/>
              <w:rPr>
                <w:sz w:val="18"/>
              </w:rPr>
            </w:pPr>
            <w:r>
              <w:rPr>
                <w:spacing w:val="-2"/>
                <w:sz w:val="18"/>
              </w:rPr>
              <w:t>35,543</w:t>
            </w:r>
          </w:p>
        </w:tc>
        <w:tc>
          <w:tcPr>
            <w:tcW w:w="1318" w:type="dxa"/>
            <w:shd w:val="clear" w:color="auto" w:fill="CCE2ED"/>
          </w:tcPr>
          <w:p w14:paraId="113B492A" w14:textId="77777777" w:rsidR="00141B97" w:rsidRDefault="00911D63">
            <w:pPr>
              <w:pStyle w:val="TableParagraph"/>
              <w:spacing w:before="10" w:line="209" w:lineRule="exact"/>
              <w:ind w:right="97"/>
              <w:jc w:val="right"/>
              <w:rPr>
                <w:sz w:val="18"/>
              </w:rPr>
            </w:pPr>
            <w:r>
              <w:rPr>
                <w:spacing w:val="-2"/>
                <w:sz w:val="18"/>
              </w:rPr>
              <w:t>35,990</w:t>
            </w:r>
          </w:p>
        </w:tc>
        <w:tc>
          <w:tcPr>
            <w:tcW w:w="1319" w:type="dxa"/>
            <w:shd w:val="clear" w:color="auto" w:fill="CCE2ED"/>
          </w:tcPr>
          <w:p w14:paraId="2A727F9D" w14:textId="77777777" w:rsidR="00141B97" w:rsidRDefault="00911D63">
            <w:pPr>
              <w:pStyle w:val="TableParagraph"/>
              <w:spacing w:before="10" w:line="209" w:lineRule="exact"/>
              <w:ind w:right="98"/>
              <w:jc w:val="right"/>
              <w:rPr>
                <w:sz w:val="18"/>
              </w:rPr>
            </w:pPr>
            <w:r>
              <w:rPr>
                <w:spacing w:val="-2"/>
                <w:sz w:val="18"/>
              </w:rPr>
              <w:t>38,620</w:t>
            </w:r>
          </w:p>
        </w:tc>
        <w:tc>
          <w:tcPr>
            <w:tcW w:w="1318" w:type="dxa"/>
            <w:shd w:val="clear" w:color="auto" w:fill="CCE2ED"/>
          </w:tcPr>
          <w:p w14:paraId="05967C16" w14:textId="77777777" w:rsidR="00141B97" w:rsidRDefault="00911D63">
            <w:pPr>
              <w:pStyle w:val="TableParagraph"/>
              <w:spacing w:before="10" w:line="209" w:lineRule="exact"/>
              <w:ind w:right="98"/>
              <w:jc w:val="right"/>
              <w:rPr>
                <w:sz w:val="18"/>
              </w:rPr>
            </w:pPr>
            <w:r>
              <w:rPr>
                <w:spacing w:val="-2"/>
                <w:sz w:val="18"/>
              </w:rPr>
              <w:t>39,655</w:t>
            </w:r>
          </w:p>
        </w:tc>
        <w:tc>
          <w:tcPr>
            <w:tcW w:w="1313" w:type="dxa"/>
            <w:tcBorders>
              <w:right w:val="nil"/>
            </w:tcBorders>
            <w:shd w:val="clear" w:color="auto" w:fill="CCE2ED"/>
          </w:tcPr>
          <w:p w14:paraId="7923077E" w14:textId="77777777" w:rsidR="00141B97" w:rsidRDefault="00911D63">
            <w:pPr>
              <w:pStyle w:val="TableParagraph"/>
              <w:spacing w:before="10" w:line="209" w:lineRule="exact"/>
              <w:ind w:right="88"/>
              <w:jc w:val="right"/>
              <w:rPr>
                <w:sz w:val="18"/>
              </w:rPr>
            </w:pPr>
            <w:r>
              <w:rPr>
                <w:spacing w:val="-2"/>
                <w:sz w:val="18"/>
              </w:rPr>
              <w:t>40,793</w:t>
            </w:r>
          </w:p>
        </w:tc>
      </w:tr>
      <w:tr w:rsidR="00141B97" w14:paraId="58615D5D" w14:textId="77777777">
        <w:trPr>
          <w:trHeight w:val="240"/>
        </w:trPr>
        <w:tc>
          <w:tcPr>
            <w:tcW w:w="1854" w:type="dxa"/>
            <w:tcBorders>
              <w:left w:val="nil"/>
            </w:tcBorders>
            <w:shd w:val="clear" w:color="auto" w:fill="CCE2ED"/>
          </w:tcPr>
          <w:p w14:paraId="63C439F6" w14:textId="77777777" w:rsidR="00141B97" w:rsidRDefault="00911D63">
            <w:pPr>
              <w:pStyle w:val="TableParagraph"/>
              <w:spacing w:before="1" w:line="219" w:lineRule="exact"/>
              <w:ind w:left="88"/>
              <w:rPr>
                <w:sz w:val="18"/>
              </w:rPr>
            </w:pPr>
            <w:r>
              <w:rPr>
                <w:spacing w:val="-2"/>
                <w:sz w:val="18"/>
              </w:rPr>
              <w:t>Robinvale</w:t>
            </w:r>
          </w:p>
        </w:tc>
        <w:tc>
          <w:tcPr>
            <w:tcW w:w="1288" w:type="dxa"/>
            <w:shd w:val="clear" w:color="auto" w:fill="CCE2ED"/>
          </w:tcPr>
          <w:p w14:paraId="79F07A11" w14:textId="77777777" w:rsidR="00141B97" w:rsidRDefault="00911D63">
            <w:pPr>
              <w:pStyle w:val="TableParagraph"/>
              <w:spacing w:before="12" w:line="209" w:lineRule="exact"/>
              <w:ind w:right="96"/>
              <w:jc w:val="right"/>
              <w:rPr>
                <w:sz w:val="18"/>
              </w:rPr>
            </w:pPr>
            <w:r>
              <w:rPr>
                <w:spacing w:val="-2"/>
                <w:sz w:val="18"/>
              </w:rPr>
              <w:t>19,934</w:t>
            </w:r>
          </w:p>
        </w:tc>
        <w:tc>
          <w:tcPr>
            <w:tcW w:w="1334" w:type="dxa"/>
            <w:shd w:val="clear" w:color="auto" w:fill="CCE2ED"/>
          </w:tcPr>
          <w:p w14:paraId="1987C701" w14:textId="77777777" w:rsidR="00141B97" w:rsidRDefault="00911D63">
            <w:pPr>
              <w:pStyle w:val="TableParagraph"/>
              <w:spacing w:before="12" w:line="209" w:lineRule="exact"/>
              <w:ind w:right="97"/>
              <w:jc w:val="right"/>
              <w:rPr>
                <w:sz w:val="18"/>
              </w:rPr>
            </w:pPr>
            <w:r>
              <w:rPr>
                <w:spacing w:val="-2"/>
                <w:sz w:val="18"/>
              </w:rPr>
              <w:t>19,934</w:t>
            </w:r>
          </w:p>
        </w:tc>
        <w:tc>
          <w:tcPr>
            <w:tcW w:w="1318" w:type="dxa"/>
            <w:shd w:val="clear" w:color="auto" w:fill="CCE2ED"/>
          </w:tcPr>
          <w:p w14:paraId="08EA2957" w14:textId="77777777" w:rsidR="00141B97" w:rsidRDefault="00911D63">
            <w:pPr>
              <w:pStyle w:val="TableParagraph"/>
              <w:spacing w:before="12" w:line="209" w:lineRule="exact"/>
              <w:ind w:right="97"/>
              <w:jc w:val="right"/>
              <w:rPr>
                <w:sz w:val="18"/>
              </w:rPr>
            </w:pPr>
            <w:r>
              <w:rPr>
                <w:spacing w:val="-2"/>
                <w:sz w:val="18"/>
              </w:rPr>
              <w:t>19,934</w:t>
            </w:r>
          </w:p>
        </w:tc>
        <w:tc>
          <w:tcPr>
            <w:tcW w:w="1319" w:type="dxa"/>
            <w:shd w:val="clear" w:color="auto" w:fill="CCE2ED"/>
          </w:tcPr>
          <w:p w14:paraId="1A409605" w14:textId="77777777" w:rsidR="00141B97" w:rsidRDefault="00911D63">
            <w:pPr>
              <w:pStyle w:val="TableParagraph"/>
              <w:spacing w:before="12" w:line="209" w:lineRule="exact"/>
              <w:ind w:right="98"/>
              <w:jc w:val="right"/>
              <w:rPr>
                <w:sz w:val="18"/>
              </w:rPr>
            </w:pPr>
            <w:r>
              <w:rPr>
                <w:spacing w:val="-2"/>
                <w:sz w:val="18"/>
              </w:rPr>
              <w:t>19,934</w:t>
            </w:r>
          </w:p>
        </w:tc>
        <w:tc>
          <w:tcPr>
            <w:tcW w:w="1318" w:type="dxa"/>
            <w:shd w:val="clear" w:color="auto" w:fill="CCE2ED"/>
          </w:tcPr>
          <w:p w14:paraId="3AC8061F" w14:textId="77777777" w:rsidR="00141B97" w:rsidRDefault="00911D63">
            <w:pPr>
              <w:pStyle w:val="TableParagraph"/>
              <w:spacing w:before="12" w:line="209" w:lineRule="exact"/>
              <w:ind w:right="98"/>
              <w:jc w:val="right"/>
              <w:rPr>
                <w:sz w:val="18"/>
              </w:rPr>
            </w:pPr>
            <w:r>
              <w:rPr>
                <w:spacing w:val="-2"/>
                <w:sz w:val="18"/>
              </w:rPr>
              <w:t>19,934</w:t>
            </w:r>
          </w:p>
        </w:tc>
        <w:tc>
          <w:tcPr>
            <w:tcW w:w="1313" w:type="dxa"/>
            <w:tcBorders>
              <w:right w:val="nil"/>
            </w:tcBorders>
            <w:shd w:val="clear" w:color="auto" w:fill="CCE2ED"/>
          </w:tcPr>
          <w:p w14:paraId="269FB7F8" w14:textId="77777777" w:rsidR="00141B97" w:rsidRDefault="00911D63">
            <w:pPr>
              <w:pStyle w:val="TableParagraph"/>
              <w:spacing w:before="12" w:line="209" w:lineRule="exact"/>
              <w:ind w:right="88"/>
              <w:jc w:val="right"/>
              <w:rPr>
                <w:sz w:val="18"/>
              </w:rPr>
            </w:pPr>
            <w:r>
              <w:rPr>
                <w:spacing w:val="-2"/>
                <w:sz w:val="18"/>
              </w:rPr>
              <w:t>19,934</w:t>
            </w:r>
          </w:p>
        </w:tc>
      </w:tr>
      <w:tr w:rsidR="00141B97" w14:paraId="35FA1B4E" w14:textId="77777777">
        <w:trPr>
          <w:trHeight w:val="240"/>
        </w:trPr>
        <w:tc>
          <w:tcPr>
            <w:tcW w:w="1854" w:type="dxa"/>
            <w:tcBorders>
              <w:left w:val="nil"/>
            </w:tcBorders>
            <w:shd w:val="clear" w:color="auto" w:fill="BFBFBF"/>
          </w:tcPr>
          <w:p w14:paraId="2A47A270" w14:textId="77777777" w:rsidR="00141B97" w:rsidRDefault="00911D63">
            <w:pPr>
              <w:pStyle w:val="TableParagraph"/>
              <w:spacing w:before="1" w:line="219" w:lineRule="exact"/>
              <w:ind w:left="88"/>
              <w:rPr>
                <w:sz w:val="18"/>
              </w:rPr>
            </w:pPr>
            <w:r>
              <w:rPr>
                <w:sz w:val="18"/>
              </w:rPr>
              <w:t>Total</w:t>
            </w:r>
            <w:r>
              <w:rPr>
                <w:spacing w:val="-1"/>
                <w:sz w:val="18"/>
              </w:rPr>
              <w:t xml:space="preserve"> </w:t>
            </w:r>
            <w:r>
              <w:rPr>
                <w:spacing w:val="-2"/>
                <w:sz w:val="18"/>
              </w:rPr>
              <w:t>Irrigation</w:t>
            </w:r>
          </w:p>
        </w:tc>
        <w:tc>
          <w:tcPr>
            <w:tcW w:w="1288" w:type="dxa"/>
            <w:shd w:val="clear" w:color="auto" w:fill="BFBFBF"/>
          </w:tcPr>
          <w:p w14:paraId="192F5A83" w14:textId="77777777" w:rsidR="00141B97" w:rsidRDefault="00911D63">
            <w:pPr>
              <w:pStyle w:val="TableParagraph"/>
              <w:spacing w:before="10" w:line="210" w:lineRule="exact"/>
              <w:ind w:right="96"/>
              <w:jc w:val="right"/>
              <w:rPr>
                <w:sz w:val="18"/>
              </w:rPr>
            </w:pPr>
            <w:r>
              <w:rPr>
                <w:spacing w:val="-2"/>
                <w:sz w:val="18"/>
              </w:rPr>
              <w:t>108,704</w:t>
            </w:r>
          </w:p>
        </w:tc>
        <w:tc>
          <w:tcPr>
            <w:tcW w:w="1334" w:type="dxa"/>
            <w:shd w:val="clear" w:color="auto" w:fill="BFBFBF"/>
          </w:tcPr>
          <w:p w14:paraId="48B0136E" w14:textId="77777777" w:rsidR="00141B97" w:rsidRDefault="00911D63">
            <w:pPr>
              <w:pStyle w:val="TableParagraph"/>
              <w:spacing w:before="10" w:line="210" w:lineRule="exact"/>
              <w:ind w:right="97"/>
              <w:jc w:val="right"/>
              <w:rPr>
                <w:sz w:val="18"/>
              </w:rPr>
            </w:pPr>
            <w:r>
              <w:rPr>
                <w:spacing w:val="-2"/>
                <w:sz w:val="18"/>
              </w:rPr>
              <w:t>110,032</w:t>
            </w:r>
          </w:p>
        </w:tc>
        <w:tc>
          <w:tcPr>
            <w:tcW w:w="1318" w:type="dxa"/>
            <w:shd w:val="clear" w:color="auto" w:fill="BFBFBF"/>
          </w:tcPr>
          <w:p w14:paraId="25E63383" w14:textId="77777777" w:rsidR="00141B97" w:rsidRDefault="00911D63">
            <w:pPr>
              <w:pStyle w:val="TableParagraph"/>
              <w:spacing w:before="10" w:line="210" w:lineRule="exact"/>
              <w:ind w:right="97"/>
              <w:jc w:val="right"/>
              <w:rPr>
                <w:sz w:val="18"/>
              </w:rPr>
            </w:pPr>
            <w:r>
              <w:rPr>
                <w:spacing w:val="-2"/>
                <w:sz w:val="18"/>
              </w:rPr>
              <w:t>111,069</w:t>
            </w:r>
          </w:p>
        </w:tc>
        <w:tc>
          <w:tcPr>
            <w:tcW w:w="1319" w:type="dxa"/>
            <w:shd w:val="clear" w:color="auto" w:fill="BFBFBF"/>
          </w:tcPr>
          <w:p w14:paraId="0B52E62F" w14:textId="77777777" w:rsidR="00141B97" w:rsidRDefault="00911D63">
            <w:pPr>
              <w:pStyle w:val="TableParagraph"/>
              <w:spacing w:before="10" w:line="210" w:lineRule="exact"/>
              <w:ind w:right="98"/>
              <w:jc w:val="right"/>
              <w:rPr>
                <w:sz w:val="18"/>
              </w:rPr>
            </w:pPr>
            <w:r>
              <w:rPr>
                <w:spacing w:val="-2"/>
                <w:sz w:val="18"/>
              </w:rPr>
              <w:t>114,269</w:t>
            </w:r>
          </w:p>
        </w:tc>
        <w:tc>
          <w:tcPr>
            <w:tcW w:w="1318" w:type="dxa"/>
            <w:shd w:val="clear" w:color="auto" w:fill="BFBFBF"/>
          </w:tcPr>
          <w:p w14:paraId="06555864" w14:textId="77777777" w:rsidR="00141B97" w:rsidRDefault="00911D63">
            <w:pPr>
              <w:pStyle w:val="TableParagraph"/>
              <w:spacing w:before="10" w:line="210" w:lineRule="exact"/>
              <w:ind w:right="98"/>
              <w:jc w:val="right"/>
              <w:rPr>
                <w:sz w:val="18"/>
              </w:rPr>
            </w:pPr>
            <w:r>
              <w:rPr>
                <w:spacing w:val="-2"/>
                <w:sz w:val="18"/>
              </w:rPr>
              <w:t>115,562</w:t>
            </w:r>
          </w:p>
        </w:tc>
        <w:tc>
          <w:tcPr>
            <w:tcW w:w="1313" w:type="dxa"/>
            <w:tcBorders>
              <w:right w:val="nil"/>
            </w:tcBorders>
            <w:shd w:val="clear" w:color="auto" w:fill="BFBFBF"/>
          </w:tcPr>
          <w:p w14:paraId="132CBA77" w14:textId="77777777" w:rsidR="00141B97" w:rsidRDefault="00911D63">
            <w:pPr>
              <w:pStyle w:val="TableParagraph"/>
              <w:spacing w:before="10" w:line="210" w:lineRule="exact"/>
              <w:ind w:right="88"/>
              <w:jc w:val="right"/>
              <w:rPr>
                <w:sz w:val="18"/>
              </w:rPr>
            </w:pPr>
            <w:r>
              <w:rPr>
                <w:spacing w:val="-2"/>
                <w:sz w:val="18"/>
              </w:rPr>
              <w:t>116,984</w:t>
            </w:r>
          </w:p>
        </w:tc>
      </w:tr>
      <w:tr w:rsidR="00141B97" w14:paraId="4529751D" w14:textId="77777777">
        <w:trPr>
          <w:trHeight w:val="239"/>
        </w:trPr>
        <w:tc>
          <w:tcPr>
            <w:tcW w:w="9744" w:type="dxa"/>
            <w:gridSpan w:val="7"/>
            <w:tcBorders>
              <w:left w:val="nil"/>
              <w:right w:val="nil"/>
            </w:tcBorders>
            <w:shd w:val="clear" w:color="auto" w:fill="006CA3"/>
          </w:tcPr>
          <w:p w14:paraId="56F66264" w14:textId="77777777" w:rsidR="00141B97" w:rsidRDefault="00911D63">
            <w:pPr>
              <w:pStyle w:val="TableParagraph"/>
              <w:spacing w:line="219" w:lineRule="exact"/>
              <w:ind w:left="98"/>
              <w:rPr>
                <w:sz w:val="18"/>
              </w:rPr>
            </w:pPr>
            <w:r>
              <w:rPr>
                <w:color w:val="FFFFFF"/>
                <w:sz w:val="18"/>
              </w:rPr>
              <w:t>Stock</w:t>
            </w:r>
            <w:r>
              <w:rPr>
                <w:color w:val="FFFFFF"/>
                <w:spacing w:val="-1"/>
                <w:sz w:val="18"/>
              </w:rPr>
              <w:t xml:space="preserve"> </w:t>
            </w:r>
            <w:r>
              <w:rPr>
                <w:color w:val="FFFFFF"/>
                <w:sz w:val="18"/>
              </w:rPr>
              <w:t xml:space="preserve">&amp; </w:t>
            </w:r>
            <w:r>
              <w:rPr>
                <w:color w:val="FFFFFF"/>
                <w:spacing w:val="-2"/>
                <w:sz w:val="18"/>
              </w:rPr>
              <w:t>Domestic</w:t>
            </w:r>
          </w:p>
        </w:tc>
      </w:tr>
      <w:tr w:rsidR="00141B97" w14:paraId="5FA4D61F" w14:textId="77777777">
        <w:trPr>
          <w:trHeight w:val="240"/>
        </w:trPr>
        <w:tc>
          <w:tcPr>
            <w:tcW w:w="1854" w:type="dxa"/>
            <w:tcBorders>
              <w:left w:val="nil"/>
            </w:tcBorders>
            <w:shd w:val="clear" w:color="auto" w:fill="CCE2ED"/>
          </w:tcPr>
          <w:p w14:paraId="627EAAC1" w14:textId="77777777" w:rsidR="00141B97" w:rsidRDefault="00911D63">
            <w:pPr>
              <w:pStyle w:val="TableParagraph"/>
              <w:spacing w:before="1" w:line="219" w:lineRule="exact"/>
              <w:ind w:left="88"/>
              <w:rPr>
                <w:sz w:val="18"/>
              </w:rPr>
            </w:pPr>
            <w:r>
              <w:rPr>
                <w:sz w:val="18"/>
              </w:rPr>
              <w:t xml:space="preserve">Millewa </w:t>
            </w:r>
            <w:r>
              <w:rPr>
                <w:spacing w:val="-2"/>
                <w:sz w:val="18"/>
              </w:rPr>
              <w:t>Urban</w:t>
            </w:r>
          </w:p>
        </w:tc>
        <w:tc>
          <w:tcPr>
            <w:tcW w:w="1288" w:type="dxa"/>
            <w:shd w:val="clear" w:color="auto" w:fill="CCE2ED"/>
          </w:tcPr>
          <w:p w14:paraId="3069AA6C" w14:textId="77777777" w:rsidR="00141B97" w:rsidRDefault="00911D63">
            <w:pPr>
              <w:pStyle w:val="TableParagraph"/>
              <w:spacing w:before="12" w:line="209" w:lineRule="exact"/>
              <w:ind w:right="96"/>
              <w:jc w:val="right"/>
              <w:rPr>
                <w:sz w:val="18"/>
              </w:rPr>
            </w:pPr>
            <w:r>
              <w:rPr>
                <w:spacing w:val="-5"/>
                <w:sz w:val="18"/>
              </w:rPr>
              <w:t>46</w:t>
            </w:r>
          </w:p>
        </w:tc>
        <w:tc>
          <w:tcPr>
            <w:tcW w:w="1334" w:type="dxa"/>
            <w:shd w:val="clear" w:color="auto" w:fill="CCE2ED"/>
          </w:tcPr>
          <w:p w14:paraId="60BBB1D2" w14:textId="77777777" w:rsidR="00141B97" w:rsidRDefault="00911D63">
            <w:pPr>
              <w:pStyle w:val="TableParagraph"/>
              <w:spacing w:before="12" w:line="209" w:lineRule="exact"/>
              <w:ind w:right="97"/>
              <w:jc w:val="right"/>
              <w:rPr>
                <w:sz w:val="18"/>
              </w:rPr>
            </w:pPr>
            <w:r>
              <w:rPr>
                <w:spacing w:val="-5"/>
                <w:sz w:val="18"/>
              </w:rPr>
              <w:t>46</w:t>
            </w:r>
          </w:p>
        </w:tc>
        <w:tc>
          <w:tcPr>
            <w:tcW w:w="1318" w:type="dxa"/>
            <w:shd w:val="clear" w:color="auto" w:fill="CCE2ED"/>
          </w:tcPr>
          <w:p w14:paraId="1BA1B529" w14:textId="77777777" w:rsidR="00141B97" w:rsidRDefault="00911D63">
            <w:pPr>
              <w:pStyle w:val="TableParagraph"/>
              <w:spacing w:before="12" w:line="209" w:lineRule="exact"/>
              <w:ind w:right="97"/>
              <w:jc w:val="right"/>
              <w:rPr>
                <w:sz w:val="18"/>
              </w:rPr>
            </w:pPr>
            <w:r>
              <w:rPr>
                <w:spacing w:val="-5"/>
                <w:sz w:val="18"/>
              </w:rPr>
              <w:t>46</w:t>
            </w:r>
          </w:p>
        </w:tc>
        <w:tc>
          <w:tcPr>
            <w:tcW w:w="1319" w:type="dxa"/>
            <w:shd w:val="clear" w:color="auto" w:fill="CCE2ED"/>
          </w:tcPr>
          <w:p w14:paraId="25AFA0A4" w14:textId="77777777" w:rsidR="00141B97" w:rsidRDefault="00911D63">
            <w:pPr>
              <w:pStyle w:val="TableParagraph"/>
              <w:spacing w:before="12" w:line="209" w:lineRule="exact"/>
              <w:ind w:right="98"/>
              <w:jc w:val="right"/>
              <w:rPr>
                <w:sz w:val="18"/>
              </w:rPr>
            </w:pPr>
            <w:r>
              <w:rPr>
                <w:spacing w:val="-5"/>
                <w:sz w:val="18"/>
              </w:rPr>
              <w:t>46</w:t>
            </w:r>
          </w:p>
        </w:tc>
        <w:tc>
          <w:tcPr>
            <w:tcW w:w="1318" w:type="dxa"/>
            <w:shd w:val="clear" w:color="auto" w:fill="CCE2ED"/>
          </w:tcPr>
          <w:p w14:paraId="5DB276A3" w14:textId="77777777" w:rsidR="00141B97" w:rsidRDefault="00911D63">
            <w:pPr>
              <w:pStyle w:val="TableParagraph"/>
              <w:spacing w:before="12" w:line="209" w:lineRule="exact"/>
              <w:ind w:right="98"/>
              <w:jc w:val="right"/>
              <w:rPr>
                <w:sz w:val="18"/>
              </w:rPr>
            </w:pPr>
            <w:r>
              <w:rPr>
                <w:spacing w:val="-5"/>
                <w:sz w:val="18"/>
              </w:rPr>
              <w:t>46</w:t>
            </w:r>
          </w:p>
        </w:tc>
        <w:tc>
          <w:tcPr>
            <w:tcW w:w="1313" w:type="dxa"/>
            <w:tcBorders>
              <w:right w:val="nil"/>
            </w:tcBorders>
            <w:shd w:val="clear" w:color="auto" w:fill="CCE2ED"/>
          </w:tcPr>
          <w:p w14:paraId="227E3ADC" w14:textId="77777777" w:rsidR="00141B97" w:rsidRDefault="00911D63">
            <w:pPr>
              <w:pStyle w:val="TableParagraph"/>
              <w:spacing w:before="12" w:line="209" w:lineRule="exact"/>
              <w:ind w:right="88"/>
              <w:jc w:val="right"/>
              <w:rPr>
                <w:sz w:val="18"/>
              </w:rPr>
            </w:pPr>
            <w:r>
              <w:rPr>
                <w:spacing w:val="-5"/>
                <w:sz w:val="18"/>
              </w:rPr>
              <w:t>46</w:t>
            </w:r>
          </w:p>
        </w:tc>
      </w:tr>
      <w:tr w:rsidR="00141B97" w14:paraId="17B0D144" w14:textId="77777777">
        <w:trPr>
          <w:trHeight w:val="240"/>
        </w:trPr>
        <w:tc>
          <w:tcPr>
            <w:tcW w:w="1854" w:type="dxa"/>
            <w:tcBorders>
              <w:left w:val="nil"/>
            </w:tcBorders>
            <w:shd w:val="clear" w:color="auto" w:fill="CCE2ED"/>
          </w:tcPr>
          <w:p w14:paraId="51B7590C" w14:textId="77777777" w:rsidR="00141B97" w:rsidRDefault="00911D63">
            <w:pPr>
              <w:pStyle w:val="TableParagraph"/>
              <w:spacing w:before="1" w:line="219" w:lineRule="exact"/>
              <w:ind w:left="88"/>
              <w:rPr>
                <w:sz w:val="18"/>
              </w:rPr>
            </w:pPr>
            <w:r>
              <w:rPr>
                <w:sz w:val="18"/>
              </w:rPr>
              <w:t xml:space="preserve">Millewa </w:t>
            </w:r>
            <w:r>
              <w:rPr>
                <w:spacing w:val="-2"/>
                <w:sz w:val="18"/>
              </w:rPr>
              <w:t>Rural</w:t>
            </w:r>
          </w:p>
        </w:tc>
        <w:tc>
          <w:tcPr>
            <w:tcW w:w="1288" w:type="dxa"/>
            <w:shd w:val="clear" w:color="auto" w:fill="CCE2ED"/>
          </w:tcPr>
          <w:p w14:paraId="01E00FE2" w14:textId="77777777" w:rsidR="00141B97" w:rsidRDefault="00911D63">
            <w:pPr>
              <w:pStyle w:val="TableParagraph"/>
              <w:spacing w:before="10" w:line="210" w:lineRule="exact"/>
              <w:ind w:right="96"/>
              <w:jc w:val="right"/>
              <w:rPr>
                <w:sz w:val="18"/>
              </w:rPr>
            </w:pPr>
            <w:r>
              <w:rPr>
                <w:spacing w:val="-5"/>
                <w:sz w:val="18"/>
              </w:rPr>
              <w:t>816</w:t>
            </w:r>
          </w:p>
        </w:tc>
        <w:tc>
          <w:tcPr>
            <w:tcW w:w="1334" w:type="dxa"/>
            <w:shd w:val="clear" w:color="auto" w:fill="CCE2ED"/>
          </w:tcPr>
          <w:p w14:paraId="0BCE0182" w14:textId="77777777" w:rsidR="00141B97" w:rsidRDefault="00911D63">
            <w:pPr>
              <w:pStyle w:val="TableParagraph"/>
              <w:spacing w:before="10" w:line="210" w:lineRule="exact"/>
              <w:ind w:right="97"/>
              <w:jc w:val="right"/>
              <w:rPr>
                <w:sz w:val="18"/>
              </w:rPr>
            </w:pPr>
            <w:r>
              <w:rPr>
                <w:spacing w:val="-5"/>
                <w:sz w:val="18"/>
              </w:rPr>
              <w:t>816</w:t>
            </w:r>
          </w:p>
        </w:tc>
        <w:tc>
          <w:tcPr>
            <w:tcW w:w="1318" w:type="dxa"/>
            <w:shd w:val="clear" w:color="auto" w:fill="CCE2ED"/>
          </w:tcPr>
          <w:p w14:paraId="791C98BD" w14:textId="77777777" w:rsidR="00141B97" w:rsidRDefault="00911D63">
            <w:pPr>
              <w:pStyle w:val="TableParagraph"/>
              <w:spacing w:before="10" w:line="210" w:lineRule="exact"/>
              <w:ind w:right="97"/>
              <w:jc w:val="right"/>
              <w:rPr>
                <w:sz w:val="18"/>
              </w:rPr>
            </w:pPr>
            <w:r>
              <w:rPr>
                <w:spacing w:val="-5"/>
                <w:sz w:val="18"/>
              </w:rPr>
              <w:t>816</w:t>
            </w:r>
          </w:p>
        </w:tc>
        <w:tc>
          <w:tcPr>
            <w:tcW w:w="1319" w:type="dxa"/>
            <w:shd w:val="clear" w:color="auto" w:fill="CCE2ED"/>
          </w:tcPr>
          <w:p w14:paraId="591C8A8D" w14:textId="77777777" w:rsidR="00141B97" w:rsidRDefault="00911D63">
            <w:pPr>
              <w:pStyle w:val="TableParagraph"/>
              <w:spacing w:before="10" w:line="210" w:lineRule="exact"/>
              <w:ind w:right="98"/>
              <w:jc w:val="right"/>
              <w:rPr>
                <w:sz w:val="18"/>
              </w:rPr>
            </w:pPr>
            <w:r>
              <w:rPr>
                <w:spacing w:val="-5"/>
                <w:sz w:val="18"/>
              </w:rPr>
              <w:t>816</w:t>
            </w:r>
          </w:p>
        </w:tc>
        <w:tc>
          <w:tcPr>
            <w:tcW w:w="1318" w:type="dxa"/>
            <w:shd w:val="clear" w:color="auto" w:fill="CCE2ED"/>
          </w:tcPr>
          <w:p w14:paraId="36FC368A" w14:textId="77777777" w:rsidR="00141B97" w:rsidRDefault="00911D63">
            <w:pPr>
              <w:pStyle w:val="TableParagraph"/>
              <w:spacing w:before="10" w:line="210" w:lineRule="exact"/>
              <w:ind w:right="98"/>
              <w:jc w:val="right"/>
              <w:rPr>
                <w:sz w:val="18"/>
              </w:rPr>
            </w:pPr>
            <w:r>
              <w:rPr>
                <w:spacing w:val="-5"/>
                <w:sz w:val="18"/>
              </w:rPr>
              <w:t>816</w:t>
            </w:r>
          </w:p>
        </w:tc>
        <w:tc>
          <w:tcPr>
            <w:tcW w:w="1313" w:type="dxa"/>
            <w:tcBorders>
              <w:right w:val="nil"/>
            </w:tcBorders>
            <w:shd w:val="clear" w:color="auto" w:fill="CCE2ED"/>
          </w:tcPr>
          <w:p w14:paraId="04C51484" w14:textId="77777777" w:rsidR="00141B97" w:rsidRDefault="00911D63">
            <w:pPr>
              <w:pStyle w:val="TableParagraph"/>
              <w:spacing w:before="10" w:line="210" w:lineRule="exact"/>
              <w:ind w:right="88"/>
              <w:jc w:val="right"/>
              <w:rPr>
                <w:sz w:val="18"/>
              </w:rPr>
            </w:pPr>
            <w:r>
              <w:rPr>
                <w:spacing w:val="-5"/>
                <w:sz w:val="18"/>
              </w:rPr>
              <w:t>816</w:t>
            </w:r>
          </w:p>
        </w:tc>
      </w:tr>
      <w:tr w:rsidR="00141B97" w14:paraId="6B778237" w14:textId="77777777">
        <w:trPr>
          <w:trHeight w:val="239"/>
        </w:trPr>
        <w:tc>
          <w:tcPr>
            <w:tcW w:w="9744" w:type="dxa"/>
            <w:gridSpan w:val="7"/>
            <w:tcBorders>
              <w:left w:val="nil"/>
              <w:right w:val="nil"/>
            </w:tcBorders>
            <w:shd w:val="clear" w:color="auto" w:fill="006CA3"/>
          </w:tcPr>
          <w:p w14:paraId="7558D1DA" w14:textId="77777777" w:rsidR="00141B97" w:rsidRDefault="00911D63">
            <w:pPr>
              <w:pStyle w:val="TableParagraph"/>
              <w:spacing w:line="219" w:lineRule="exact"/>
              <w:ind w:left="98"/>
              <w:rPr>
                <w:sz w:val="18"/>
              </w:rPr>
            </w:pPr>
            <w:r>
              <w:rPr>
                <w:color w:val="FFFFFF"/>
                <w:spacing w:val="-2"/>
                <w:sz w:val="18"/>
              </w:rPr>
              <w:t>Diverters</w:t>
            </w:r>
          </w:p>
        </w:tc>
      </w:tr>
      <w:tr w:rsidR="00141B97" w14:paraId="5D0B455D" w14:textId="77777777">
        <w:trPr>
          <w:trHeight w:val="240"/>
        </w:trPr>
        <w:tc>
          <w:tcPr>
            <w:tcW w:w="1854" w:type="dxa"/>
            <w:tcBorders>
              <w:left w:val="nil"/>
              <w:bottom w:val="nil"/>
            </w:tcBorders>
            <w:shd w:val="clear" w:color="auto" w:fill="CCE2ED"/>
          </w:tcPr>
          <w:p w14:paraId="62CB7915" w14:textId="77777777" w:rsidR="00141B97" w:rsidRDefault="00911D63">
            <w:pPr>
              <w:pStyle w:val="TableParagraph"/>
              <w:spacing w:before="1"/>
              <w:ind w:left="88"/>
              <w:rPr>
                <w:sz w:val="18"/>
              </w:rPr>
            </w:pPr>
            <w:r>
              <w:rPr>
                <w:sz w:val="18"/>
              </w:rPr>
              <w:t xml:space="preserve">Diverters </w:t>
            </w:r>
            <w:r>
              <w:rPr>
                <w:spacing w:val="-2"/>
                <w:sz w:val="18"/>
              </w:rPr>
              <w:t>(AUL)</w:t>
            </w:r>
          </w:p>
        </w:tc>
        <w:tc>
          <w:tcPr>
            <w:tcW w:w="1288" w:type="dxa"/>
            <w:tcBorders>
              <w:bottom w:val="nil"/>
            </w:tcBorders>
            <w:shd w:val="clear" w:color="auto" w:fill="CCE2ED"/>
          </w:tcPr>
          <w:p w14:paraId="32F0F345" w14:textId="77777777" w:rsidR="00141B97" w:rsidRDefault="00911D63">
            <w:pPr>
              <w:pStyle w:val="TableParagraph"/>
              <w:spacing w:before="12" w:line="209" w:lineRule="exact"/>
              <w:ind w:right="96"/>
              <w:jc w:val="right"/>
              <w:rPr>
                <w:sz w:val="18"/>
              </w:rPr>
            </w:pPr>
            <w:r>
              <w:rPr>
                <w:spacing w:val="-2"/>
                <w:sz w:val="18"/>
              </w:rPr>
              <w:t>682,770</w:t>
            </w:r>
          </w:p>
        </w:tc>
        <w:tc>
          <w:tcPr>
            <w:tcW w:w="1334" w:type="dxa"/>
            <w:tcBorders>
              <w:bottom w:val="nil"/>
            </w:tcBorders>
            <w:shd w:val="clear" w:color="auto" w:fill="CCE2ED"/>
          </w:tcPr>
          <w:p w14:paraId="60B17355" w14:textId="77777777" w:rsidR="00141B97" w:rsidRDefault="00911D63">
            <w:pPr>
              <w:pStyle w:val="TableParagraph"/>
              <w:spacing w:before="12" w:line="209" w:lineRule="exact"/>
              <w:ind w:right="97"/>
              <w:jc w:val="right"/>
              <w:rPr>
                <w:sz w:val="18"/>
              </w:rPr>
            </w:pPr>
            <w:r>
              <w:rPr>
                <w:spacing w:val="-2"/>
                <w:sz w:val="18"/>
              </w:rPr>
              <w:t>702,216</w:t>
            </w:r>
          </w:p>
        </w:tc>
        <w:tc>
          <w:tcPr>
            <w:tcW w:w="1318" w:type="dxa"/>
            <w:tcBorders>
              <w:bottom w:val="nil"/>
            </w:tcBorders>
            <w:shd w:val="clear" w:color="auto" w:fill="CCE2ED"/>
          </w:tcPr>
          <w:p w14:paraId="12A278D8" w14:textId="77777777" w:rsidR="00141B97" w:rsidRDefault="00911D63">
            <w:pPr>
              <w:pStyle w:val="TableParagraph"/>
              <w:spacing w:before="12" w:line="209" w:lineRule="exact"/>
              <w:ind w:right="97"/>
              <w:jc w:val="right"/>
              <w:rPr>
                <w:sz w:val="18"/>
              </w:rPr>
            </w:pPr>
            <w:r>
              <w:rPr>
                <w:spacing w:val="-2"/>
                <w:sz w:val="18"/>
              </w:rPr>
              <w:t>708,759</w:t>
            </w:r>
          </w:p>
        </w:tc>
        <w:tc>
          <w:tcPr>
            <w:tcW w:w="1319" w:type="dxa"/>
            <w:tcBorders>
              <w:bottom w:val="nil"/>
            </w:tcBorders>
            <w:shd w:val="clear" w:color="auto" w:fill="CCE2ED"/>
          </w:tcPr>
          <w:p w14:paraId="7E02BEB2" w14:textId="77777777" w:rsidR="00141B97" w:rsidRDefault="00911D63">
            <w:pPr>
              <w:pStyle w:val="TableParagraph"/>
              <w:spacing w:before="12" w:line="209" w:lineRule="exact"/>
              <w:ind w:right="98"/>
              <w:jc w:val="right"/>
              <w:rPr>
                <w:sz w:val="18"/>
              </w:rPr>
            </w:pPr>
            <w:r>
              <w:rPr>
                <w:spacing w:val="-2"/>
                <w:sz w:val="18"/>
              </w:rPr>
              <w:t>715,106</w:t>
            </w:r>
          </w:p>
        </w:tc>
        <w:tc>
          <w:tcPr>
            <w:tcW w:w="1318" w:type="dxa"/>
            <w:tcBorders>
              <w:bottom w:val="nil"/>
            </w:tcBorders>
            <w:shd w:val="clear" w:color="auto" w:fill="CCE2ED"/>
          </w:tcPr>
          <w:p w14:paraId="4A5AB6C3" w14:textId="77777777" w:rsidR="00141B97" w:rsidRDefault="00911D63">
            <w:pPr>
              <w:pStyle w:val="TableParagraph"/>
              <w:spacing w:before="12" w:line="209" w:lineRule="exact"/>
              <w:ind w:right="98"/>
              <w:jc w:val="right"/>
              <w:rPr>
                <w:sz w:val="18"/>
              </w:rPr>
            </w:pPr>
            <w:r>
              <w:rPr>
                <w:spacing w:val="-2"/>
                <w:sz w:val="18"/>
              </w:rPr>
              <w:t>719,570</w:t>
            </w:r>
          </w:p>
        </w:tc>
        <w:tc>
          <w:tcPr>
            <w:tcW w:w="1313" w:type="dxa"/>
            <w:tcBorders>
              <w:bottom w:val="nil"/>
              <w:right w:val="nil"/>
            </w:tcBorders>
            <w:shd w:val="clear" w:color="auto" w:fill="CCE2ED"/>
          </w:tcPr>
          <w:p w14:paraId="152239AC" w14:textId="77777777" w:rsidR="00141B97" w:rsidRDefault="00911D63">
            <w:pPr>
              <w:pStyle w:val="TableParagraph"/>
              <w:spacing w:before="12" w:line="209" w:lineRule="exact"/>
              <w:ind w:right="88"/>
              <w:jc w:val="right"/>
              <w:rPr>
                <w:sz w:val="18"/>
              </w:rPr>
            </w:pPr>
            <w:r>
              <w:rPr>
                <w:spacing w:val="-2"/>
                <w:sz w:val="18"/>
              </w:rPr>
              <w:t>720,605</w:t>
            </w:r>
          </w:p>
        </w:tc>
      </w:tr>
      <w:tr w:rsidR="00141B97" w14:paraId="0722AC32" w14:textId="77777777">
        <w:trPr>
          <w:trHeight w:val="278"/>
        </w:trPr>
        <w:tc>
          <w:tcPr>
            <w:tcW w:w="4476" w:type="dxa"/>
            <w:gridSpan w:val="3"/>
            <w:tcBorders>
              <w:top w:val="nil"/>
              <w:left w:val="nil"/>
              <w:bottom w:val="nil"/>
            </w:tcBorders>
          </w:tcPr>
          <w:p w14:paraId="1470DE60" w14:textId="77777777" w:rsidR="00141B97" w:rsidRDefault="00911D63">
            <w:pPr>
              <w:pStyle w:val="TableParagraph"/>
              <w:spacing w:before="20"/>
              <w:ind w:left="-30"/>
              <w:rPr>
                <w:sz w:val="16"/>
              </w:rPr>
            </w:pPr>
            <w:r>
              <w:rPr>
                <w:sz w:val="16"/>
              </w:rPr>
              <w:t>Table</w:t>
            </w:r>
            <w:r>
              <w:rPr>
                <w:spacing w:val="-4"/>
                <w:sz w:val="16"/>
              </w:rPr>
              <w:t xml:space="preserve"> </w:t>
            </w:r>
            <w:r>
              <w:rPr>
                <w:sz w:val="16"/>
              </w:rPr>
              <w:t>C17:</w:t>
            </w:r>
            <w:r>
              <w:rPr>
                <w:spacing w:val="-5"/>
                <w:sz w:val="16"/>
              </w:rPr>
              <w:t xml:space="preserve"> </w:t>
            </w:r>
            <w:r>
              <w:rPr>
                <w:sz w:val="16"/>
              </w:rPr>
              <w:t>Rural</w:t>
            </w:r>
            <w:r>
              <w:rPr>
                <w:spacing w:val="-5"/>
                <w:sz w:val="16"/>
              </w:rPr>
              <w:t xml:space="preserve"> </w:t>
            </w:r>
            <w:r>
              <w:rPr>
                <w:sz w:val="16"/>
              </w:rPr>
              <w:t>Services</w:t>
            </w:r>
            <w:r>
              <w:rPr>
                <w:spacing w:val="-6"/>
                <w:sz w:val="16"/>
              </w:rPr>
              <w:t xml:space="preserve"> </w:t>
            </w:r>
            <w:r>
              <w:rPr>
                <w:sz w:val="16"/>
              </w:rPr>
              <w:t>Forecast</w:t>
            </w:r>
            <w:r>
              <w:rPr>
                <w:spacing w:val="-5"/>
                <w:sz w:val="16"/>
              </w:rPr>
              <w:t xml:space="preserve"> </w:t>
            </w:r>
            <w:r>
              <w:rPr>
                <w:sz w:val="16"/>
              </w:rPr>
              <w:t>Volumes</w:t>
            </w:r>
            <w:r>
              <w:rPr>
                <w:spacing w:val="-5"/>
                <w:sz w:val="16"/>
              </w:rPr>
              <w:t xml:space="preserve"> </w:t>
            </w:r>
            <w:r>
              <w:rPr>
                <w:sz w:val="16"/>
              </w:rPr>
              <w:t>Summary</w:t>
            </w:r>
            <w:r>
              <w:rPr>
                <w:spacing w:val="-5"/>
                <w:sz w:val="16"/>
              </w:rPr>
              <w:t xml:space="preserve"> </w:t>
            </w:r>
            <w:r>
              <w:rPr>
                <w:sz w:val="16"/>
              </w:rPr>
              <w:t>–</w:t>
            </w:r>
            <w:r>
              <w:rPr>
                <w:spacing w:val="-5"/>
                <w:sz w:val="16"/>
              </w:rPr>
              <w:t xml:space="preserve"> </w:t>
            </w:r>
            <w:r>
              <w:rPr>
                <w:sz w:val="16"/>
              </w:rPr>
              <w:t>ML</w:t>
            </w:r>
            <w:r>
              <w:rPr>
                <w:spacing w:val="-3"/>
                <w:sz w:val="16"/>
              </w:rPr>
              <w:t xml:space="preserve"> </w:t>
            </w:r>
            <w:r>
              <w:rPr>
                <w:spacing w:val="-5"/>
                <w:sz w:val="16"/>
              </w:rPr>
              <w:t>pa</w:t>
            </w:r>
          </w:p>
        </w:tc>
        <w:tc>
          <w:tcPr>
            <w:tcW w:w="1318" w:type="dxa"/>
            <w:tcBorders>
              <w:top w:val="nil"/>
              <w:bottom w:val="nil"/>
            </w:tcBorders>
          </w:tcPr>
          <w:p w14:paraId="490FB755" w14:textId="77777777" w:rsidR="00141B97" w:rsidRDefault="00141B97">
            <w:pPr>
              <w:pStyle w:val="TableParagraph"/>
              <w:rPr>
                <w:rFonts w:ascii="Times New Roman"/>
                <w:sz w:val="20"/>
              </w:rPr>
            </w:pPr>
          </w:p>
        </w:tc>
        <w:tc>
          <w:tcPr>
            <w:tcW w:w="1319" w:type="dxa"/>
            <w:tcBorders>
              <w:top w:val="nil"/>
              <w:bottom w:val="nil"/>
            </w:tcBorders>
          </w:tcPr>
          <w:p w14:paraId="7AF90307" w14:textId="77777777" w:rsidR="00141B97" w:rsidRDefault="00141B97">
            <w:pPr>
              <w:pStyle w:val="TableParagraph"/>
              <w:rPr>
                <w:rFonts w:ascii="Times New Roman"/>
                <w:sz w:val="20"/>
              </w:rPr>
            </w:pPr>
          </w:p>
        </w:tc>
        <w:tc>
          <w:tcPr>
            <w:tcW w:w="1318" w:type="dxa"/>
            <w:tcBorders>
              <w:top w:val="nil"/>
              <w:bottom w:val="nil"/>
            </w:tcBorders>
          </w:tcPr>
          <w:p w14:paraId="3DF62ADD" w14:textId="77777777" w:rsidR="00141B97" w:rsidRDefault="00141B97">
            <w:pPr>
              <w:pStyle w:val="TableParagraph"/>
              <w:rPr>
                <w:rFonts w:ascii="Times New Roman"/>
                <w:sz w:val="20"/>
              </w:rPr>
            </w:pPr>
          </w:p>
        </w:tc>
        <w:tc>
          <w:tcPr>
            <w:tcW w:w="1313" w:type="dxa"/>
            <w:tcBorders>
              <w:top w:val="nil"/>
              <w:bottom w:val="nil"/>
              <w:right w:val="nil"/>
            </w:tcBorders>
          </w:tcPr>
          <w:p w14:paraId="27D73BED" w14:textId="77777777" w:rsidR="00141B97" w:rsidRDefault="00141B97">
            <w:pPr>
              <w:pStyle w:val="TableParagraph"/>
              <w:rPr>
                <w:rFonts w:ascii="Times New Roman"/>
                <w:sz w:val="20"/>
              </w:rPr>
            </w:pPr>
          </w:p>
        </w:tc>
      </w:tr>
    </w:tbl>
    <w:p w14:paraId="5834BD60" w14:textId="77777777" w:rsidR="00141B97" w:rsidRDefault="00141B97">
      <w:pPr>
        <w:rPr>
          <w:rFonts w:ascii="Times New Roman"/>
          <w:sz w:val="20"/>
        </w:rPr>
        <w:sectPr w:rsidR="00141B97">
          <w:pgSz w:w="11910" w:h="16840"/>
          <w:pgMar w:top="820" w:right="40" w:bottom="780" w:left="1020" w:header="0" w:footer="586" w:gutter="0"/>
          <w:cols w:space="720"/>
        </w:sectPr>
      </w:pPr>
    </w:p>
    <w:p w14:paraId="7A51E317" w14:textId="77777777" w:rsidR="00141B97" w:rsidRDefault="00911D63">
      <w:pPr>
        <w:pStyle w:val="ListParagraph"/>
        <w:numPr>
          <w:ilvl w:val="2"/>
          <w:numId w:val="37"/>
        </w:numPr>
        <w:tabs>
          <w:tab w:val="left" w:pos="1112"/>
          <w:tab w:val="left" w:pos="1113"/>
        </w:tabs>
        <w:spacing w:before="43" w:line="292" w:lineRule="auto"/>
        <w:ind w:left="114" w:right="8447" w:firstLine="0"/>
      </w:pPr>
      <w:r>
        <w:lastRenderedPageBreak/>
        <w:t>Other</w:t>
      </w:r>
      <w:r>
        <w:rPr>
          <w:spacing w:val="-13"/>
        </w:rPr>
        <w:t xml:space="preserve"> </w:t>
      </w:r>
      <w:r>
        <w:t>Services Water Trading</w:t>
      </w:r>
    </w:p>
    <w:p w14:paraId="3281D3AE" w14:textId="77777777" w:rsidR="00141B97" w:rsidRDefault="00911D63">
      <w:pPr>
        <w:pStyle w:val="BodyText"/>
        <w:spacing w:line="210" w:lineRule="exact"/>
        <w:ind w:left="114"/>
      </w:pPr>
      <w:r>
        <w:t>Water</w:t>
      </w:r>
      <w:r>
        <w:rPr>
          <w:spacing w:val="5"/>
        </w:rPr>
        <w:t xml:space="preserve"> </w:t>
      </w:r>
      <w:r>
        <w:t>trading</w:t>
      </w:r>
      <w:r>
        <w:rPr>
          <w:spacing w:val="4"/>
        </w:rPr>
        <w:t xml:space="preserve"> </w:t>
      </w:r>
      <w:r>
        <w:t>is</w:t>
      </w:r>
      <w:r>
        <w:rPr>
          <w:spacing w:val="5"/>
        </w:rPr>
        <w:t xml:space="preserve"> </w:t>
      </w:r>
      <w:r>
        <w:t>a</w:t>
      </w:r>
      <w:r>
        <w:rPr>
          <w:spacing w:val="6"/>
        </w:rPr>
        <w:t xml:space="preserve"> </w:t>
      </w:r>
      <w:r>
        <w:t>key</w:t>
      </w:r>
      <w:r>
        <w:rPr>
          <w:spacing w:val="4"/>
        </w:rPr>
        <w:t xml:space="preserve"> </w:t>
      </w:r>
      <w:r>
        <w:t>feature</w:t>
      </w:r>
      <w:r>
        <w:rPr>
          <w:spacing w:val="5"/>
        </w:rPr>
        <w:t xml:space="preserve"> </w:t>
      </w:r>
      <w:r>
        <w:t>of</w:t>
      </w:r>
      <w:r>
        <w:rPr>
          <w:spacing w:val="4"/>
        </w:rPr>
        <w:t xml:space="preserve"> </w:t>
      </w:r>
      <w:r>
        <w:t>the</w:t>
      </w:r>
      <w:r>
        <w:rPr>
          <w:spacing w:val="5"/>
        </w:rPr>
        <w:t xml:space="preserve"> </w:t>
      </w:r>
      <w:r>
        <w:t>irrigation</w:t>
      </w:r>
      <w:r>
        <w:rPr>
          <w:spacing w:val="5"/>
        </w:rPr>
        <w:t xml:space="preserve"> </w:t>
      </w:r>
      <w:r>
        <w:t>sector.</w:t>
      </w:r>
      <w:r>
        <w:rPr>
          <w:spacing w:val="4"/>
        </w:rPr>
        <w:t xml:space="preserve"> </w:t>
      </w:r>
      <w:r>
        <w:t>LMW</w:t>
      </w:r>
      <w:r>
        <w:rPr>
          <w:spacing w:val="6"/>
        </w:rPr>
        <w:t xml:space="preserve"> </w:t>
      </w:r>
      <w:r>
        <w:t>anticipates</w:t>
      </w:r>
      <w:r>
        <w:rPr>
          <w:spacing w:val="6"/>
        </w:rPr>
        <w:t xml:space="preserve"> </w:t>
      </w:r>
      <w:r>
        <w:t>continued</w:t>
      </w:r>
      <w:r>
        <w:rPr>
          <w:spacing w:val="6"/>
        </w:rPr>
        <w:t xml:space="preserve"> </w:t>
      </w:r>
      <w:r>
        <w:t>trading</w:t>
      </w:r>
      <w:r>
        <w:rPr>
          <w:spacing w:val="5"/>
        </w:rPr>
        <w:t xml:space="preserve"> </w:t>
      </w:r>
      <w:r>
        <w:t>in</w:t>
      </w:r>
      <w:r>
        <w:rPr>
          <w:spacing w:val="6"/>
        </w:rPr>
        <w:t xml:space="preserve"> </w:t>
      </w:r>
      <w:r>
        <w:t>both</w:t>
      </w:r>
      <w:r>
        <w:rPr>
          <w:spacing w:val="5"/>
        </w:rPr>
        <w:t xml:space="preserve"> </w:t>
      </w:r>
      <w:r>
        <w:rPr>
          <w:spacing w:val="-2"/>
        </w:rPr>
        <w:t>permanent</w:t>
      </w:r>
    </w:p>
    <w:p w14:paraId="39A28A76" w14:textId="77777777" w:rsidR="00141B97" w:rsidRDefault="00911D63">
      <w:pPr>
        <w:pStyle w:val="BodyText"/>
        <w:ind w:left="114" w:right="962" w:hanging="1"/>
      </w:pPr>
      <w:r>
        <w:t>water shares and in annual allocation as irrigators reposition their businesses to manage risk and to maximise commodity price opportunities.</w:t>
      </w:r>
    </w:p>
    <w:p w14:paraId="2BA698F3" w14:textId="77777777" w:rsidR="00141B97" w:rsidRDefault="00141B97">
      <w:pPr>
        <w:pStyle w:val="BodyText"/>
      </w:pPr>
    </w:p>
    <w:p w14:paraId="31467214" w14:textId="77777777" w:rsidR="00141B97" w:rsidRDefault="00911D63">
      <w:pPr>
        <w:pStyle w:val="BodyText"/>
        <w:ind w:left="114"/>
      </w:pPr>
      <w:r>
        <w:rPr>
          <w:spacing w:val="-2"/>
        </w:rPr>
        <w:t>Drainage</w:t>
      </w:r>
    </w:p>
    <w:p w14:paraId="76932DE6" w14:textId="77777777" w:rsidR="00141B97" w:rsidRDefault="00911D63">
      <w:pPr>
        <w:pStyle w:val="BodyText"/>
        <w:spacing w:line="259" w:lineRule="auto"/>
        <w:ind w:left="114" w:right="812"/>
      </w:pPr>
      <w:r>
        <w:t>Drainage</w:t>
      </w:r>
      <w:r>
        <w:rPr>
          <w:spacing w:val="-8"/>
        </w:rPr>
        <w:t xml:space="preserve"> </w:t>
      </w:r>
      <w:r>
        <w:t>services</w:t>
      </w:r>
      <w:r>
        <w:rPr>
          <w:spacing w:val="-6"/>
        </w:rPr>
        <w:t xml:space="preserve"> </w:t>
      </w:r>
      <w:r>
        <w:t>are</w:t>
      </w:r>
      <w:r>
        <w:rPr>
          <w:spacing w:val="-7"/>
        </w:rPr>
        <w:t xml:space="preserve"> </w:t>
      </w:r>
      <w:r>
        <w:t>expected</w:t>
      </w:r>
      <w:r>
        <w:rPr>
          <w:spacing w:val="-6"/>
        </w:rPr>
        <w:t xml:space="preserve"> </w:t>
      </w:r>
      <w:r>
        <w:t>to</w:t>
      </w:r>
      <w:r>
        <w:rPr>
          <w:spacing w:val="-7"/>
        </w:rPr>
        <w:t xml:space="preserve"> </w:t>
      </w:r>
      <w:r>
        <w:t>be</w:t>
      </w:r>
      <w:r>
        <w:rPr>
          <w:spacing w:val="-7"/>
        </w:rPr>
        <w:t xml:space="preserve"> </w:t>
      </w:r>
      <w:r>
        <w:t>maintained</w:t>
      </w:r>
      <w:r>
        <w:rPr>
          <w:spacing w:val="-7"/>
        </w:rPr>
        <w:t xml:space="preserve"> </w:t>
      </w:r>
      <w:r>
        <w:t>at</w:t>
      </w:r>
      <w:r>
        <w:rPr>
          <w:spacing w:val="-7"/>
        </w:rPr>
        <w:t xml:space="preserve"> </w:t>
      </w:r>
      <w:r>
        <w:t>existing</w:t>
      </w:r>
      <w:r>
        <w:rPr>
          <w:spacing w:val="-7"/>
        </w:rPr>
        <w:t xml:space="preserve"> </w:t>
      </w:r>
      <w:r>
        <w:t>levels</w:t>
      </w:r>
      <w:r>
        <w:rPr>
          <w:spacing w:val="-8"/>
        </w:rPr>
        <w:t xml:space="preserve"> </w:t>
      </w:r>
      <w:r>
        <w:t>for</w:t>
      </w:r>
      <w:r>
        <w:rPr>
          <w:spacing w:val="-7"/>
        </w:rPr>
        <w:t xml:space="preserve"> </w:t>
      </w:r>
      <w:r>
        <w:t>the</w:t>
      </w:r>
      <w:r>
        <w:rPr>
          <w:spacing w:val="-7"/>
        </w:rPr>
        <w:t xml:space="preserve"> </w:t>
      </w:r>
      <w:r>
        <w:t>duration</w:t>
      </w:r>
      <w:r>
        <w:rPr>
          <w:spacing w:val="-7"/>
        </w:rPr>
        <w:t xml:space="preserve"> </w:t>
      </w:r>
      <w:r>
        <w:t>of</w:t>
      </w:r>
      <w:r>
        <w:rPr>
          <w:spacing w:val="-7"/>
        </w:rPr>
        <w:t xml:space="preserve"> </w:t>
      </w:r>
      <w:r>
        <w:t>the</w:t>
      </w:r>
      <w:r>
        <w:rPr>
          <w:spacing w:val="-7"/>
        </w:rPr>
        <w:t xml:space="preserve"> </w:t>
      </w:r>
      <w:r>
        <w:t>regulatory</w:t>
      </w:r>
      <w:r>
        <w:rPr>
          <w:spacing w:val="-7"/>
        </w:rPr>
        <w:t xml:space="preserve"> </w:t>
      </w:r>
      <w:r>
        <w:t>period.</w:t>
      </w:r>
      <w:r>
        <w:rPr>
          <w:spacing w:val="-5"/>
        </w:rPr>
        <w:t xml:space="preserve"> </w:t>
      </w:r>
      <w:r>
        <w:t>The forecast for drainage delivery share will mirror the forecast changes for irrigation delivery share.</w:t>
      </w:r>
    </w:p>
    <w:p w14:paraId="0754B915" w14:textId="77777777" w:rsidR="00141B97" w:rsidRDefault="00141B97">
      <w:pPr>
        <w:pStyle w:val="BodyText"/>
        <w:spacing w:before="9"/>
        <w:rPr>
          <w:sz w:val="23"/>
        </w:rPr>
      </w:pPr>
    </w:p>
    <w:p w14:paraId="584D1D17" w14:textId="77777777" w:rsidR="00141B97" w:rsidRDefault="00911D63">
      <w:pPr>
        <w:pStyle w:val="BodyText"/>
        <w:ind w:left="113"/>
      </w:pPr>
      <w:r>
        <w:rPr>
          <w:spacing w:val="-2"/>
        </w:rPr>
        <w:t>Groundwater</w:t>
      </w:r>
    </w:p>
    <w:p w14:paraId="2161D99E" w14:textId="77777777" w:rsidR="00141B97" w:rsidRDefault="00911D63">
      <w:pPr>
        <w:pStyle w:val="BodyText"/>
        <w:spacing w:before="21" w:line="259" w:lineRule="auto"/>
        <w:ind w:left="113" w:right="949" w:hanging="1"/>
        <w:jc w:val="both"/>
      </w:pPr>
      <w:r>
        <w:t xml:space="preserve">LMW is responsible for approving Take and Use licences and ongoing management of groundwater extracted from aquifers within LMW’s service area. This service currently has one approved licence with 5GL of licenced </w:t>
      </w:r>
      <w:r>
        <w:rPr>
          <w:spacing w:val="-2"/>
        </w:rPr>
        <w:t>volume.</w:t>
      </w:r>
    </w:p>
    <w:p w14:paraId="41E64935" w14:textId="77777777" w:rsidR="00141B97" w:rsidRDefault="00141B97">
      <w:pPr>
        <w:pStyle w:val="BodyText"/>
        <w:spacing w:before="1"/>
        <w:rPr>
          <w:sz w:val="31"/>
        </w:rPr>
      </w:pPr>
    </w:p>
    <w:p w14:paraId="3A9342AE" w14:textId="77777777" w:rsidR="00141B97" w:rsidRDefault="00911D63">
      <w:pPr>
        <w:pStyle w:val="Heading2"/>
        <w:numPr>
          <w:ilvl w:val="1"/>
          <w:numId w:val="37"/>
        </w:numPr>
        <w:tabs>
          <w:tab w:val="left" w:pos="1112"/>
          <w:tab w:val="left" w:pos="1113"/>
        </w:tabs>
        <w:rPr>
          <w:color w:val="009BAC"/>
        </w:rPr>
      </w:pPr>
      <w:r>
        <w:rPr>
          <w:color w:val="009BAC"/>
        </w:rPr>
        <w:t>Forecast</w:t>
      </w:r>
      <w:r>
        <w:rPr>
          <w:color w:val="009BAC"/>
          <w:spacing w:val="-13"/>
        </w:rPr>
        <w:t xml:space="preserve"> </w:t>
      </w:r>
      <w:r>
        <w:rPr>
          <w:color w:val="009BAC"/>
        </w:rPr>
        <w:t>Operating</w:t>
      </w:r>
      <w:r>
        <w:rPr>
          <w:color w:val="009BAC"/>
          <w:spacing w:val="-12"/>
        </w:rPr>
        <w:t xml:space="preserve"> </w:t>
      </w:r>
      <w:r>
        <w:rPr>
          <w:color w:val="009BAC"/>
          <w:spacing w:val="-2"/>
        </w:rPr>
        <w:t>Expenditure</w:t>
      </w:r>
    </w:p>
    <w:p w14:paraId="3E71F18A" w14:textId="77777777" w:rsidR="00141B97" w:rsidRDefault="00141B97">
      <w:pPr>
        <w:pStyle w:val="BodyText"/>
        <w:spacing w:before="7"/>
        <w:rPr>
          <w:sz w:val="20"/>
        </w:rPr>
      </w:pPr>
    </w:p>
    <w:p w14:paraId="344C1D4A" w14:textId="77777777" w:rsidR="00141B97" w:rsidRDefault="00911D63">
      <w:pPr>
        <w:pStyle w:val="ListParagraph"/>
        <w:numPr>
          <w:ilvl w:val="2"/>
          <w:numId w:val="37"/>
        </w:numPr>
        <w:tabs>
          <w:tab w:val="left" w:pos="1112"/>
          <w:tab w:val="left" w:pos="1113"/>
        </w:tabs>
        <w:spacing w:before="1"/>
        <w:ind w:left="1112"/>
        <w:jc w:val="both"/>
      </w:pPr>
      <w:r>
        <w:t>Actual</w:t>
      </w:r>
      <w:r>
        <w:rPr>
          <w:spacing w:val="-7"/>
        </w:rPr>
        <w:t xml:space="preserve"> </w:t>
      </w:r>
      <w:r>
        <w:t>and</w:t>
      </w:r>
      <w:r>
        <w:rPr>
          <w:spacing w:val="-7"/>
        </w:rPr>
        <w:t xml:space="preserve"> </w:t>
      </w:r>
      <w:r>
        <w:t>Planned</w:t>
      </w:r>
      <w:r>
        <w:rPr>
          <w:spacing w:val="-7"/>
        </w:rPr>
        <w:t xml:space="preserve"> </w:t>
      </w:r>
      <w:r>
        <w:t>Operating</w:t>
      </w:r>
      <w:r>
        <w:rPr>
          <w:spacing w:val="-5"/>
        </w:rPr>
        <w:t xml:space="preserve"> </w:t>
      </w:r>
      <w:r>
        <w:rPr>
          <w:spacing w:val="-2"/>
        </w:rPr>
        <w:t>Expenditure</w:t>
      </w:r>
    </w:p>
    <w:p w14:paraId="670C77C6" w14:textId="77777777" w:rsidR="00141B97" w:rsidRDefault="00911D63">
      <w:pPr>
        <w:pStyle w:val="BodyText"/>
        <w:spacing w:before="59"/>
        <w:ind w:left="114" w:right="812" w:hanging="1"/>
      </w:pPr>
      <w:r>
        <w:t>Table</w:t>
      </w:r>
      <w:r>
        <w:rPr>
          <w:spacing w:val="26"/>
        </w:rPr>
        <w:t xml:space="preserve"> </w:t>
      </w:r>
      <w:r>
        <w:t>C18</w:t>
      </w:r>
      <w:r>
        <w:rPr>
          <w:spacing w:val="26"/>
        </w:rPr>
        <w:t xml:space="preserve"> </w:t>
      </w:r>
      <w:r>
        <w:t>sets</w:t>
      </w:r>
      <w:r>
        <w:rPr>
          <w:spacing w:val="26"/>
        </w:rPr>
        <w:t xml:space="preserve"> </w:t>
      </w:r>
      <w:r>
        <w:t>out</w:t>
      </w:r>
      <w:r>
        <w:rPr>
          <w:spacing w:val="26"/>
        </w:rPr>
        <w:t xml:space="preserve"> </w:t>
      </w:r>
      <w:r>
        <w:t>LMW’s</w:t>
      </w:r>
      <w:r>
        <w:rPr>
          <w:spacing w:val="27"/>
        </w:rPr>
        <w:t xml:space="preserve"> </w:t>
      </w:r>
      <w:r>
        <w:t>proposed</w:t>
      </w:r>
      <w:r>
        <w:rPr>
          <w:spacing w:val="26"/>
        </w:rPr>
        <w:t xml:space="preserve"> </w:t>
      </w:r>
      <w:r>
        <w:t>prudent</w:t>
      </w:r>
      <w:r>
        <w:rPr>
          <w:spacing w:val="25"/>
        </w:rPr>
        <w:t xml:space="preserve"> </w:t>
      </w:r>
      <w:r>
        <w:t>and</w:t>
      </w:r>
      <w:r>
        <w:rPr>
          <w:spacing w:val="27"/>
        </w:rPr>
        <w:t xml:space="preserve"> </w:t>
      </w:r>
      <w:r>
        <w:t>efficient</w:t>
      </w:r>
      <w:r>
        <w:rPr>
          <w:spacing w:val="26"/>
        </w:rPr>
        <w:t xml:space="preserve"> </w:t>
      </w:r>
      <w:r>
        <w:t>operating</w:t>
      </w:r>
      <w:r>
        <w:rPr>
          <w:spacing w:val="26"/>
        </w:rPr>
        <w:t xml:space="preserve"> </w:t>
      </w:r>
      <w:r>
        <w:t>expenditure</w:t>
      </w:r>
      <w:r>
        <w:rPr>
          <w:spacing w:val="25"/>
        </w:rPr>
        <w:t xml:space="preserve"> </w:t>
      </w:r>
      <w:r>
        <w:t>for</w:t>
      </w:r>
      <w:r>
        <w:rPr>
          <w:spacing w:val="26"/>
        </w:rPr>
        <w:t xml:space="preserve"> </w:t>
      </w:r>
      <w:r>
        <w:t>each</w:t>
      </w:r>
      <w:r>
        <w:rPr>
          <w:spacing w:val="27"/>
        </w:rPr>
        <w:t xml:space="preserve"> </w:t>
      </w:r>
      <w:r>
        <w:t>year</w:t>
      </w:r>
      <w:r>
        <w:rPr>
          <w:spacing w:val="27"/>
        </w:rPr>
        <w:t xml:space="preserve"> </w:t>
      </w:r>
      <w:r>
        <w:t>of</w:t>
      </w:r>
      <w:r>
        <w:rPr>
          <w:spacing w:val="27"/>
        </w:rPr>
        <w:t xml:space="preserve"> </w:t>
      </w:r>
      <w:r>
        <w:t>the</w:t>
      </w:r>
      <w:r>
        <w:rPr>
          <w:spacing w:val="27"/>
        </w:rPr>
        <w:t xml:space="preserve"> </w:t>
      </w:r>
      <w:r>
        <w:t>fifth regulatory period, across each major service category, amounting to $106.20m in real dollars ($1/1/23).</w:t>
      </w:r>
    </w:p>
    <w:p w14:paraId="645BC33D"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050"/>
        <w:gridCol w:w="979"/>
        <w:gridCol w:w="917"/>
        <w:gridCol w:w="996"/>
        <w:gridCol w:w="996"/>
        <w:gridCol w:w="996"/>
        <w:gridCol w:w="996"/>
        <w:gridCol w:w="996"/>
        <w:gridCol w:w="995"/>
      </w:tblGrid>
      <w:tr w:rsidR="00141B97" w14:paraId="47A7B5B5" w14:textId="77777777">
        <w:trPr>
          <w:trHeight w:val="255"/>
          <w:tblCellSpacing w:w="9" w:type="dxa"/>
        </w:trPr>
        <w:tc>
          <w:tcPr>
            <w:tcW w:w="2023" w:type="dxa"/>
            <w:tcBorders>
              <w:top w:val="nil"/>
              <w:left w:val="nil"/>
            </w:tcBorders>
            <w:shd w:val="clear" w:color="auto" w:fill="006CA3"/>
          </w:tcPr>
          <w:p w14:paraId="2F5DF2F9" w14:textId="77777777" w:rsidR="00141B97" w:rsidRDefault="00141B97">
            <w:pPr>
              <w:pStyle w:val="TableParagraph"/>
              <w:rPr>
                <w:rFonts w:ascii="Times New Roman"/>
                <w:sz w:val="18"/>
              </w:rPr>
            </w:pPr>
          </w:p>
        </w:tc>
        <w:tc>
          <w:tcPr>
            <w:tcW w:w="1860" w:type="dxa"/>
            <w:gridSpan w:val="2"/>
            <w:tcBorders>
              <w:top w:val="nil"/>
            </w:tcBorders>
            <w:shd w:val="clear" w:color="auto" w:fill="006CA3"/>
          </w:tcPr>
          <w:p w14:paraId="423EFEF1" w14:textId="77777777" w:rsidR="00141B97" w:rsidRDefault="00911D63">
            <w:pPr>
              <w:pStyle w:val="TableParagraph"/>
              <w:spacing w:before="30"/>
              <w:ind w:left="445"/>
              <w:rPr>
                <w:sz w:val="16"/>
              </w:rPr>
            </w:pPr>
            <w:r>
              <w:rPr>
                <w:color w:val="FFFFFF"/>
                <w:sz w:val="16"/>
              </w:rPr>
              <w:t>Current</w:t>
            </w:r>
            <w:r>
              <w:rPr>
                <w:color w:val="FFFFFF"/>
                <w:spacing w:val="-6"/>
                <w:sz w:val="16"/>
              </w:rPr>
              <w:t xml:space="preserve"> </w:t>
            </w:r>
            <w:r>
              <w:rPr>
                <w:color w:val="FFFFFF"/>
                <w:spacing w:val="-2"/>
                <w:sz w:val="16"/>
              </w:rPr>
              <w:t>Period</w:t>
            </w:r>
          </w:p>
        </w:tc>
        <w:tc>
          <w:tcPr>
            <w:tcW w:w="5858" w:type="dxa"/>
            <w:gridSpan w:val="6"/>
            <w:tcBorders>
              <w:top w:val="nil"/>
              <w:right w:val="nil"/>
            </w:tcBorders>
            <w:shd w:val="clear" w:color="auto" w:fill="006CA3"/>
          </w:tcPr>
          <w:p w14:paraId="05C73E25" w14:textId="77777777" w:rsidR="00141B97" w:rsidRDefault="00911D63">
            <w:pPr>
              <w:pStyle w:val="TableParagraph"/>
              <w:spacing w:before="30"/>
              <w:ind w:left="2185" w:right="2178"/>
              <w:jc w:val="center"/>
              <w:rPr>
                <w:sz w:val="16"/>
              </w:rPr>
            </w:pPr>
            <w:r>
              <w:rPr>
                <w:color w:val="FFFFFF"/>
                <w:sz w:val="16"/>
              </w:rPr>
              <w:t>Fifth</w:t>
            </w:r>
            <w:r>
              <w:rPr>
                <w:color w:val="FFFFFF"/>
                <w:spacing w:val="-6"/>
                <w:sz w:val="16"/>
              </w:rPr>
              <w:t xml:space="preserve"> </w:t>
            </w:r>
            <w:r>
              <w:rPr>
                <w:color w:val="FFFFFF"/>
                <w:sz w:val="16"/>
              </w:rPr>
              <w:t>Regulatory</w:t>
            </w:r>
            <w:r>
              <w:rPr>
                <w:color w:val="FFFFFF"/>
                <w:spacing w:val="-5"/>
                <w:sz w:val="16"/>
              </w:rPr>
              <w:t xml:space="preserve"> </w:t>
            </w:r>
            <w:r>
              <w:rPr>
                <w:color w:val="FFFFFF"/>
                <w:spacing w:val="-2"/>
                <w:sz w:val="16"/>
              </w:rPr>
              <w:t>Period</w:t>
            </w:r>
          </w:p>
        </w:tc>
      </w:tr>
      <w:tr w:rsidR="00141B97" w14:paraId="72C83894" w14:textId="77777777">
        <w:trPr>
          <w:trHeight w:val="254"/>
          <w:tblCellSpacing w:w="9" w:type="dxa"/>
        </w:trPr>
        <w:tc>
          <w:tcPr>
            <w:tcW w:w="2023" w:type="dxa"/>
            <w:tcBorders>
              <w:left w:val="nil"/>
            </w:tcBorders>
            <w:shd w:val="clear" w:color="auto" w:fill="006CA3"/>
          </w:tcPr>
          <w:p w14:paraId="07F2B74D" w14:textId="77777777" w:rsidR="00141B97" w:rsidRDefault="00911D63">
            <w:pPr>
              <w:pStyle w:val="TableParagraph"/>
              <w:spacing w:before="31"/>
              <w:ind w:left="9"/>
              <w:rPr>
                <w:sz w:val="16"/>
              </w:rPr>
            </w:pPr>
            <w:r>
              <w:rPr>
                <w:color w:val="FFFFFF"/>
                <w:sz w:val="16"/>
              </w:rPr>
              <w:t>$m,</w:t>
            </w:r>
            <w:r>
              <w:rPr>
                <w:color w:val="FFFFFF"/>
                <w:spacing w:val="-3"/>
                <w:sz w:val="16"/>
              </w:rPr>
              <w:t xml:space="preserve"> </w:t>
            </w:r>
            <w:r>
              <w:rPr>
                <w:color w:val="FFFFFF"/>
                <w:spacing w:val="-2"/>
                <w:sz w:val="16"/>
              </w:rPr>
              <w:t>1/1/23</w:t>
            </w:r>
          </w:p>
        </w:tc>
        <w:tc>
          <w:tcPr>
            <w:tcW w:w="961" w:type="dxa"/>
            <w:shd w:val="clear" w:color="auto" w:fill="006CA3"/>
          </w:tcPr>
          <w:p w14:paraId="056EB096" w14:textId="77777777" w:rsidR="00141B97" w:rsidRDefault="00911D63">
            <w:pPr>
              <w:pStyle w:val="TableParagraph"/>
              <w:spacing w:before="31"/>
              <w:ind w:left="200" w:right="199"/>
              <w:jc w:val="center"/>
              <w:rPr>
                <w:sz w:val="16"/>
              </w:rPr>
            </w:pPr>
            <w:r>
              <w:rPr>
                <w:color w:val="FFFFFF"/>
                <w:spacing w:val="-2"/>
                <w:sz w:val="16"/>
              </w:rPr>
              <w:t>2021‐22</w:t>
            </w:r>
          </w:p>
        </w:tc>
        <w:tc>
          <w:tcPr>
            <w:tcW w:w="899" w:type="dxa"/>
            <w:shd w:val="clear" w:color="auto" w:fill="006CA3"/>
          </w:tcPr>
          <w:p w14:paraId="02791308" w14:textId="77777777" w:rsidR="00141B97" w:rsidRDefault="00911D63">
            <w:pPr>
              <w:pStyle w:val="TableParagraph"/>
              <w:spacing w:before="31"/>
              <w:ind w:left="169" w:right="168"/>
              <w:jc w:val="center"/>
              <w:rPr>
                <w:sz w:val="16"/>
              </w:rPr>
            </w:pPr>
            <w:r>
              <w:rPr>
                <w:color w:val="FFFFFF"/>
                <w:spacing w:val="-2"/>
                <w:sz w:val="16"/>
              </w:rPr>
              <w:t>2022‐23</w:t>
            </w:r>
          </w:p>
        </w:tc>
        <w:tc>
          <w:tcPr>
            <w:tcW w:w="978" w:type="dxa"/>
            <w:shd w:val="clear" w:color="auto" w:fill="006CA3"/>
          </w:tcPr>
          <w:p w14:paraId="79DBD7A5" w14:textId="77777777" w:rsidR="00141B97" w:rsidRDefault="00911D63">
            <w:pPr>
              <w:pStyle w:val="TableParagraph"/>
              <w:spacing w:before="31"/>
              <w:ind w:left="208" w:right="208"/>
              <w:jc w:val="center"/>
              <w:rPr>
                <w:sz w:val="16"/>
              </w:rPr>
            </w:pPr>
            <w:r>
              <w:rPr>
                <w:color w:val="FFFFFF"/>
                <w:spacing w:val="-2"/>
                <w:sz w:val="16"/>
              </w:rPr>
              <w:t>2023‐24</w:t>
            </w:r>
          </w:p>
        </w:tc>
        <w:tc>
          <w:tcPr>
            <w:tcW w:w="978" w:type="dxa"/>
            <w:shd w:val="clear" w:color="auto" w:fill="006CA3"/>
          </w:tcPr>
          <w:p w14:paraId="01ECC890" w14:textId="77777777" w:rsidR="00141B97" w:rsidRDefault="00911D63">
            <w:pPr>
              <w:pStyle w:val="TableParagraph"/>
              <w:spacing w:before="31"/>
              <w:ind w:left="208" w:right="208"/>
              <w:jc w:val="center"/>
              <w:rPr>
                <w:sz w:val="16"/>
              </w:rPr>
            </w:pPr>
            <w:r>
              <w:rPr>
                <w:color w:val="FFFFFF"/>
                <w:spacing w:val="-2"/>
                <w:sz w:val="16"/>
              </w:rPr>
              <w:t>2024‐25</w:t>
            </w:r>
          </w:p>
        </w:tc>
        <w:tc>
          <w:tcPr>
            <w:tcW w:w="978" w:type="dxa"/>
            <w:shd w:val="clear" w:color="auto" w:fill="006CA3"/>
          </w:tcPr>
          <w:p w14:paraId="73D6EAD7" w14:textId="77777777" w:rsidR="00141B97" w:rsidRDefault="00911D63">
            <w:pPr>
              <w:pStyle w:val="TableParagraph"/>
              <w:spacing w:before="31"/>
              <w:ind w:left="208" w:right="208"/>
              <w:jc w:val="center"/>
              <w:rPr>
                <w:sz w:val="16"/>
              </w:rPr>
            </w:pPr>
            <w:r>
              <w:rPr>
                <w:color w:val="FFFFFF"/>
                <w:spacing w:val="-2"/>
                <w:sz w:val="16"/>
              </w:rPr>
              <w:t>2025‐26</w:t>
            </w:r>
          </w:p>
        </w:tc>
        <w:tc>
          <w:tcPr>
            <w:tcW w:w="978" w:type="dxa"/>
            <w:shd w:val="clear" w:color="auto" w:fill="006CA3"/>
          </w:tcPr>
          <w:p w14:paraId="16FC3298" w14:textId="77777777" w:rsidR="00141B97" w:rsidRDefault="00911D63">
            <w:pPr>
              <w:pStyle w:val="TableParagraph"/>
              <w:spacing w:before="31"/>
              <w:ind w:left="208" w:right="208"/>
              <w:jc w:val="center"/>
              <w:rPr>
                <w:sz w:val="16"/>
              </w:rPr>
            </w:pPr>
            <w:r>
              <w:rPr>
                <w:color w:val="FFFFFF"/>
                <w:spacing w:val="-2"/>
                <w:sz w:val="16"/>
              </w:rPr>
              <w:t>2026‐27</w:t>
            </w:r>
          </w:p>
        </w:tc>
        <w:tc>
          <w:tcPr>
            <w:tcW w:w="978" w:type="dxa"/>
            <w:shd w:val="clear" w:color="auto" w:fill="006CA3"/>
          </w:tcPr>
          <w:p w14:paraId="642DBEC5" w14:textId="77777777" w:rsidR="00141B97" w:rsidRDefault="00911D63">
            <w:pPr>
              <w:pStyle w:val="TableParagraph"/>
              <w:spacing w:before="31"/>
              <w:ind w:left="208" w:right="208"/>
              <w:jc w:val="center"/>
              <w:rPr>
                <w:sz w:val="16"/>
              </w:rPr>
            </w:pPr>
            <w:r>
              <w:rPr>
                <w:color w:val="FFFFFF"/>
                <w:spacing w:val="-2"/>
                <w:sz w:val="16"/>
              </w:rPr>
              <w:t>2027‐28</w:t>
            </w:r>
          </w:p>
        </w:tc>
        <w:tc>
          <w:tcPr>
            <w:tcW w:w="968" w:type="dxa"/>
            <w:tcBorders>
              <w:right w:val="nil"/>
            </w:tcBorders>
            <w:shd w:val="clear" w:color="auto" w:fill="006CA3"/>
          </w:tcPr>
          <w:p w14:paraId="49FC6555" w14:textId="77777777" w:rsidR="00141B97" w:rsidRDefault="00911D63">
            <w:pPr>
              <w:pStyle w:val="TableParagraph"/>
              <w:spacing w:before="31"/>
              <w:ind w:left="224" w:right="213"/>
              <w:jc w:val="center"/>
              <w:rPr>
                <w:sz w:val="16"/>
              </w:rPr>
            </w:pPr>
            <w:r>
              <w:rPr>
                <w:color w:val="FFFFFF"/>
                <w:spacing w:val="-2"/>
                <w:sz w:val="16"/>
              </w:rPr>
              <w:t>TOTAL</w:t>
            </w:r>
          </w:p>
        </w:tc>
      </w:tr>
      <w:tr w:rsidR="00141B97" w14:paraId="68C0266D" w14:textId="77777777">
        <w:trPr>
          <w:trHeight w:val="270"/>
          <w:tblCellSpacing w:w="9" w:type="dxa"/>
        </w:trPr>
        <w:tc>
          <w:tcPr>
            <w:tcW w:w="9741" w:type="dxa"/>
            <w:gridSpan w:val="9"/>
            <w:tcBorders>
              <w:left w:val="nil"/>
              <w:right w:val="nil"/>
            </w:tcBorders>
            <w:shd w:val="clear" w:color="auto" w:fill="006CA3"/>
          </w:tcPr>
          <w:p w14:paraId="062F89A5" w14:textId="77777777" w:rsidR="00141B97" w:rsidRDefault="00911D63">
            <w:pPr>
              <w:pStyle w:val="TableParagraph"/>
              <w:spacing w:before="38"/>
              <w:ind w:left="19"/>
              <w:rPr>
                <w:sz w:val="16"/>
              </w:rPr>
            </w:pPr>
            <w:r>
              <w:rPr>
                <w:color w:val="FFFFFF"/>
                <w:spacing w:val="-2"/>
                <w:sz w:val="16"/>
              </w:rPr>
              <w:t>Controllable</w:t>
            </w:r>
            <w:r>
              <w:rPr>
                <w:color w:val="FFFFFF"/>
                <w:spacing w:val="10"/>
                <w:sz w:val="16"/>
              </w:rPr>
              <w:t xml:space="preserve"> </w:t>
            </w:r>
            <w:r>
              <w:rPr>
                <w:color w:val="FFFFFF"/>
                <w:spacing w:val="-2"/>
                <w:sz w:val="16"/>
              </w:rPr>
              <w:t>Costs</w:t>
            </w:r>
          </w:p>
        </w:tc>
      </w:tr>
      <w:tr w:rsidR="00141B97" w14:paraId="2FC3E8BE" w14:textId="77777777">
        <w:trPr>
          <w:trHeight w:val="270"/>
          <w:tblCellSpacing w:w="9" w:type="dxa"/>
        </w:trPr>
        <w:tc>
          <w:tcPr>
            <w:tcW w:w="2023" w:type="dxa"/>
            <w:tcBorders>
              <w:left w:val="nil"/>
            </w:tcBorders>
            <w:shd w:val="clear" w:color="auto" w:fill="CCE2ED"/>
          </w:tcPr>
          <w:p w14:paraId="2E8F193D" w14:textId="77777777" w:rsidR="00141B97" w:rsidRDefault="00911D63">
            <w:pPr>
              <w:pStyle w:val="TableParagraph"/>
              <w:spacing w:before="38"/>
              <w:ind w:left="9"/>
              <w:rPr>
                <w:sz w:val="16"/>
              </w:rPr>
            </w:pPr>
            <w:r>
              <w:rPr>
                <w:spacing w:val="-2"/>
                <w:sz w:val="16"/>
              </w:rPr>
              <w:t>Irrigation</w:t>
            </w:r>
          </w:p>
        </w:tc>
        <w:tc>
          <w:tcPr>
            <w:tcW w:w="961" w:type="dxa"/>
            <w:shd w:val="clear" w:color="auto" w:fill="CCE2ED"/>
          </w:tcPr>
          <w:p w14:paraId="42C7F361" w14:textId="77777777" w:rsidR="00141B97" w:rsidRDefault="00911D63">
            <w:pPr>
              <w:pStyle w:val="TableParagraph"/>
              <w:spacing w:before="26"/>
              <w:ind w:left="199" w:right="199"/>
              <w:jc w:val="center"/>
              <w:rPr>
                <w:sz w:val="18"/>
              </w:rPr>
            </w:pPr>
            <w:r>
              <w:rPr>
                <w:spacing w:val="-2"/>
                <w:sz w:val="18"/>
              </w:rPr>
              <w:t>12.99</w:t>
            </w:r>
          </w:p>
        </w:tc>
        <w:tc>
          <w:tcPr>
            <w:tcW w:w="899" w:type="dxa"/>
            <w:shd w:val="clear" w:color="auto" w:fill="CCE2ED"/>
          </w:tcPr>
          <w:p w14:paraId="0BD0AF40" w14:textId="77777777" w:rsidR="00141B97" w:rsidRDefault="00911D63">
            <w:pPr>
              <w:pStyle w:val="TableParagraph"/>
              <w:spacing w:before="26"/>
              <w:ind w:left="168" w:right="168"/>
              <w:jc w:val="center"/>
              <w:rPr>
                <w:sz w:val="18"/>
              </w:rPr>
            </w:pPr>
            <w:r>
              <w:rPr>
                <w:spacing w:val="-2"/>
                <w:sz w:val="18"/>
              </w:rPr>
              <w:t>12.27</w:t>
            </w:r>
          </w:p>
        </w:tc>
        <w:tc>
          <w:tcPr>
            <w:tcW w:w="978" w:type="dxa"/>
            <w:shd w:val="clear" w:color="auto" w:fill="CCE2ED"/>
          </w:tcPr>
          <w:p w14:paraId="5FDFEA03" w14:textId="77777777" w:rsidR="00141B97" w:rsidRDefault="00911D63">
            <w:pPr>
              <w:pStyle w:val="TableParagraph"/>
              <w:spacing w:before="26"/>
              <w:ind w:left="207" w:right="208"/>
              <w:jc w:val="center"/>
              <w:rPr>
                <w:sz w:val="18"/>
              </w:rPr>
            </w:pPr>
            <w:r>
              <w:rPr>
                <w:spacing w:val="-2"/>
                <w:sz w:val="18"/>
              </w:rPr>
              <w:t>11.90</w:t>
            </w:r>
          </w:p>
        </w:tc>
        <w:tc>
          <w:tcPr>
            <w:tcW w:w="978" w:type="dxa"/>
            <w:shd w:val="clear" w:color="auto" w:fill="CCE2ED"/>
          </w:tcPr>
          <w:p w14:paraId="2C216509" w14:textId="77777777" w:rsidR="00141B97" w:rsidRDefault="00911D63">
            <w:pPr>
              <w:pStyle w:val="TableParagraph"/>
              <w:spacing w:before="26"/>
              <w:ind w:left="207" w:right="208"/>
              <w:jc w:val="center"/>
              <w:rPr>
                <w:sz w:val="18"/>
              </w:rPr>
            </w:pPr>
            <w:r>
              <w:rPr>
                <w:spacing w:val="-2"/>
                <w:sz w:val="18"/>
              </w:rPr>
              <w:t>11.94</w:t>
            </w:r>
          </w:p>
        </w:tc>
        <w:tc>
          <w:tcPr>
            <w:tcW w:w="978" w:type="dxa"/>
            <w:shd w:val="clear" w:color="auto" w:fill="CCE2ED"/>
          </w:tcPr>
          <w:p w14:paraId="182DCBFC" w14:textId="77777777" w:rsidR="00141B97" w:rsidRDefault="00911D63">
            <w:pPr>
              <w:pStyle w:val="TableParagraph"/>
              <w:spacing w:before="26"/>
              <w:ind w:left="207" w:right="208"/>
              <w:jc w:val="center"/>
              <w:rPr>
                <w:sz w:val="18"/>
              </w:rPr>
            </w:pPr>
            <w:r>
              <w:rPr>
                <w:spacing w:val="-2"/>
                <w:sz w:val="18"/>
              </w:rPr>
              <w:t>12.38</w:t>
            </w:r>
          </w:p>
        </w:tc>
        <w:tc>
          <w:tcPr>
            <w:tcW w:w="978" w:type="dxa"/>
            <w:shd w:val="clear" w:color="auto" w:fill="CCE2ED"/>
          </w:tcPr>
          <w:p w14:paraId="2FF7417D" w14:textId="77777777" w:rsidR="00141B97" w:rsidRDefault="00911D63">
            <w:pPr>
              <w:pStyle w:val="TableParagraph"/>
              <w:spacing w:before="26"/>
              <w:ind w:left="207" w:right="208"/>
              <w:jc w:val="center"/>
              <w:rPr>
                <w:sz w:val="18"/>
              </w:rPr>
            </w:pPr>
            <w:r>
              <w:rPr>
                <w:spacing w:val="-2"/>
                <w:sz w:val="18"/>
              </w:rPr>
              <w:t>12.40</w:t>
            </w:r>
          </w:p>
        </w:tc>
        <w:tc>
          <w:tcPr>
            <w:tcW w:w="978" w:type="dxa"/>
            <w:shd w:val="clear" w:color="auto" w:fill="CCE2ED"/>
          </w:tcPr>
          <w:p w14:paraId="3B982211" w14:textId="77777777" w:rsidR="00141B97" w:rsidRDefault="00911D63">
            <w:pPr>
              <w:pStyle w:val="TableParagraph"/>
              <w:spacing w:before="26"/>
              <w:ind w:left="207" w:right="208"/>
              <w:jc w:val="center"/>
              <w:rPr>
                <w:sz w:val="18"/>
              </w:rPr>
            </w:pPr>
            <w:r>
              <w:rPr>
                <w:spacing w:val="-2"/>
                <w:sz w:val="18"/>
              </w:rPr>
              <w:t>12.18</w:t>
            </w:r>
          </w:p>
        </w:tc>
        <w:tc>
          <w:tcPr>
            <w:tcW w:w="968" w:type="dxa"/>
            <w:tcBorders>
              <w:right w:val="nil"/>
            </w:tcBorders>
            <w:shd w:val="clear" w:color="auto" w:fill="CCE2ED"/>
          </w:tcPr>
          <w:p w14:paraId="565FAEDB" w14:textId="77777777" w:rsidR="00141B97" w:rsidRDefault="00911D63">
            <w:pPr>
              <w:pStyle w:val="TableParagraph"/>
              <w:spacing w:before="26"/>
              <w:ind w:left="224" w:right="214"/>
              <w:jc w:val="center"/>
              <w:rPr>
                <w:sz w:val="18"/>
              </w:rPr>
            </w:pPr>
            <w:r>
              <w:rPr>
                <w:spacing w:val="-2"/>
                <w:sz w:val="18"/>
              </w:rPr>
              <w:t>60.81</w:t>
            </w:r>
          </w:p>
        </w:tc>
      </w:tr>
      <w:tr w:rsidR="00141B97" w14:paraId="7FB655EC" w14:textId="77777777">
        <w:trPr>
          <w:trHeight w:val="269"/>
          <w:tblCellSpacing w:w="9" w:type="dxa"/>
        </w:trPr>
        <w:tc>
          <w:tcPr>
            <w:tcW w:w="2023" w:type="dxa"/>
            <w:tcBorders>
              <w:left w:val="nil"/>
            </w:tcBorders>
            <w:shd w:val="clear" w:color="auto" w:fill="CCE2ED"/>
          </w:tcPr>
          <w:p w14:paraId="09C48B0E" w14:textId="77777777" w:rsidR="00141B97" w:rsidRDefault="00911D63">
            <w:pPr>
              <w:pStyle w:val="TableParagraph"/>
              <w:spacing w:before="37"/>
              <w:ind w:left="9"/>
              <w:rPr>
                <w:sz w:val="16"/>
              </w:rPr>
            </w:pPr>
            <w:r>
              <w:rPr>
                <w:spacing w:val="-2"/>
                <w:sz w:val="16"/>
              </w:rPr>
              <w:t>Drainage</w:t>
            </w:r>
          </w:p>
        </w:tc>
        <w:tc>
          <w:tcPr>
            <w:tcW w:w="961" w:type="dxa"/>
            <w:shd w:val="clear" w:color="auto" w:fill="CCE2ED"/>
          </w:tcPr>
          <w:p w14:paraId="54175D3E" w14:textId="77777777" w:rsidR="00141B97" w:rsidRDefault="00911D63">
            <w:pPr>
              <w:pStyle w:val="TableParagraph"/>
              <w:spacing w:before="25"/>
              <w:ind w:left="199" w:right="199"/>
              <w:jc w:val="center"/>
              <w:rPr>
                <w:sz w:val="18"/>
              </w:rPr>
            </w:pPr>
            <w:r>
              <w:rPr>
                <w:spacing w:val="-4"/>
                <w:sz w:val="18"/>
              </w:rPr>
              <w:t>3.55</w:t>
            </w:r>
          </w:p>
        </w:tc>
        <w:tc>
          <w:tcPr>
            <w:tcW w:w="899" w:type="dxa"/>
            <w:shd w:val="clear" w:color="auto" w:fill="CCE2ED"/>
          </w:tcPr>
          <w:p w14:paraId="1F610677" w14:textId="77777777" w:rsidR="00141B97" w:rsidRDefault="00911D63">
            <w:pPr>
              <w:pStyle w:val="TableParagraph"/>
              <w:spacing w:before="25"/>
              <w:ind w:left="168" w:right="168"/>
              <w:jc w:val="center"/>
              <w:rPr>
                <w:sz w:val="18"/>
              </w:rPr>
            </w:pPr>
            <w:r>
              <w:rPr>
                <w:spacing w:val="-4"/>
                <w:sz w:val="18"/>
              </w:rPr>
              <w:t>3.49</w:t>
            </w:r>
          </w:p>
        </w:tc>
        <w:tc>
          <w:tcPr>
            <w:tcW w:w="978" w:type="dxa"/>
            <w:shd w:val="clear" w:color="auto" w:fill="CCE2ED"/>
          </w:tcPr>
          <w:p w14:paraId="6841CF21" w14:textId="77777777" w:rsidR="00141B97" w:rsidRDefault="00911D63">
            <w:pPr>
              <w:pStyle w:val="TableParagraph"/>
              <w:spacing w:before="25"/>
              <w:ind w:left="207" w:right="208"/>
              <w:jc w:val="center"/>
              <w:rPr>
                <w:sz w:val="18"/>
              </w:rPr>
            </w:pPr>
            <w:r>
              <w:rPr>
                <w:spacing w:val="-4"/>
                <w:sz w:val="18"/>
              </w:rPr>
              <w:t>2.90</w:t>
            </w:r>
          </w:p>
        </w:tc>
        <w:tc>
          <w:tcPr>
            <w:tcW w:w="978" w:type="dxa"/>
            <w:shd w:val="clear" w:color="auto" w:fill="CCE2ED"/>
          </w:tcPr>
          <w:p w14:paraId="3FB42544" w14:textId="77777777" w:rsidR="00141B97" w:rsidRDefault="00911D63">
            <w:pPr>
              <w:pStyle w:val="TableParagraph"/>
              <w:spacing w:before="25"/>
              <w:ind w:left="207" w:right="208"/>
              <w:jc w:val="center"/>
              <w:rPr>
                <w:sz w:val="18"/>
              </w:rPr>
            </w:pPr>
            <w:r>
              <w:rPr>
                <w:spacing w:val="-4"/>
                <w:sz w:val="18"/>
              </w:rPr>
              <w:t>2.82</w:t>
            </w:r>
          </w:p>
        </w:tc>
        <w:tc>
          <w:tcPr>
            <w:tcW w:w="978" w:type="dxa"/>
            <w:shd w:val="clear" w:color="auto" w:fill="CCE2ED"/>
          </w:tcPr>
          <w:p w14:paraId="7D067A57" w14:textId="77777777" w:rsidR="00141B97" w:rsidRDefault="00911D63">
            <w:pPr>
              <w:pStyle w:val="TableParagraph"/>
              <w:spacing w:before="25"/>
              <w:ind w:left="207" w:right="208"/>
              <w:jc w:val="center"/>
              <w:rPr>
                <w:sz w:val="18"/>
              </w:rPr>
            </w:pPr>
            <w:r>
              <w:rPr>
                <w:spacing w:val="-4"/>
                <w:sz w:val="18"/>
              </w:rPr>
              <w:t>2.84</w:t>
            </w:r>
          </w:p>
        </w:tc>
        <w:tc>
          <w:tcPr>
            <w:tcW w:w="978" w:type="dxa"/>
            <w:shd w:val="clear" w:color="auto" w:fill="CCE2ED"/>
          </w:tcPr>
          <w:p w14:paraId="7C90573C" w14:textId="77777777" w:rsidR="00141B97" w:rsidRDefault="00911D63">
            <w:pPr>
              <w:pStyle w:val="TableParagraph"/>
              <w:spacing w:before="25"/>
              <w:ind w:left="207" w:right="208"/>
              <w:jc w:val="center"/>
              <w:rPr>
                <w:sz w:val="18"/>
              </w:rPr>
            </w:pPr>
            <w:r>
              <w:rPr>
                <w:spacing w:val="-4"/>
                <w:sz w:val="18"/>
              </w:rPr>
              <w:t>2.98</w:t>
            </w:r>
          </w:p>
        </w:tc>
        <w:tc>
          <w:tcPr>
            <w:tcW w:w="978" w:type="dxa"/>
            <w:shd w:val="clear" w:color="auto" w:fill="CCE2ED"/>
          </w:tcPr>
          <w:p w14:paraId="486F8DE9" w14:textId="77777777" w:rsidR="00141B97" w:rsidRDefault="00911D63">
            <w:pPr>
              <w:pStyle w:val="TableParagraph"/>
              <w:spacing w:before="25"/>
              <w:ind w:left="207" w:right="208"/>
              <w:jc w:val="center"/>
              <w:rPr>
                <w:sz w:val="18"/>
              </w:rPr>
            </w:pPr>
            <w:r>
              <w:rPr>
                <w:spacing w:val="-4"/>
                <w:sz w:val="18"/>
              </w:rPr>
              <w:t>2.83</w:t>
            </w:r>
          </w:p>
        </w:tc>
        <w:tc>
          <w:tcPr>
            <w:tcW w:w="968" w:type="dxa"/>
            <w:tcBorders>
              <w:right w:val="nil"/>
            </w:tcBorders>
            <w:shd w:val="clear" w:color="auto" w:fill="CCE2ED"/>
          </w:tcPr>
          <w:p w14:paraId="7AA3F9E2" w14:textId="77777777" w:rsidR="00141B97" w:rsidRDefault="00911D63">
            <w:pPr>
              <w:pStyle w:val="TableParagraph"/>
              <w:spacing w:before="25"/>
              <w:ind w:left="224" w:right="214"/>
              <w:jc w:val="center"/>
              <w:rPr>
                <w:sz w:val="18"/>
              </w:rPr>
            </w:pPr>
            <w:r>
              <w:rPr>
                <w:spacing w:val="-2"/>
                <w:sz w:val="18"/>
              </w:rPr>
              <w:t>14.37</w:t>
            </w:r>
          </w:p>
        </w:tc>
      </w:tr>
      <w:tr w:rsidR="00141B97" w14:paraId="23E02C9F" w14:textId="77777777">
        <w:trPr>
          <w:trHeight w:val="255"/>
          <w:tblCellSpacing w:w="9" w:type="dxa"/>
        </w:trPr>
        <w:tc>
          <w:tcPr>
            <w:tcW w:w="2023" w:type="dxa"/>
            <w:tcBorders>
              <w:left w:val="nil"/>
            </w:tcBorders>
            <w:shd w:val="clear" w:color="auto" w:fill="CCE2ED"/>
          </w:tcPr>
          <w:p w14:paraId="110B44A2" w14:textId="77777777" w:rsidR="00141B97" w:rsidRDefault="00911D63">
            <w:pPr>
              <w:pStyle w:val="TableParagraph"/>
              <w:spacing w:before="31"/>
              <w:ind w:left="9"/>
              <w:rPr>
                <w:sz w:val="16"/>
              </w:rPr>
            </w:pPr>
            <w:r>
              <w:rPr>
                <w:sz w:val="16"/>
              </w:rPr>
              <w:t>Domestic</w:t>
            </w:r>
            <w:r>
              <w:rPr>
                <w:spacing w:val="-7"/>
                <w:sz w:val="16"/>
              </w:rPr>
              <w:t xml:space="preserve"> </w:t>
            </w:r>
            <w:r>
              <w:rPr>
                <w:sz w:val="16"/>
              </w:rPr>
              <w:t>and</w:t>
            </w:r>
            <w:r>
              <w:rPr>
                <w:spacing w:val="-8"/>
                <w:sz w:val="16"/>
              </w:rPr>
              <w:t xml:space="preserve"> </w:t>
            </w:r>
            <w:r>
              <w:rPr>
                <w:spacing w:val="-2"/>
                <w:sz w:val="16"/>
              </w:rPr>
              <w:t>stock</w:t>
            </w:r>
          </w:p>
        </w:tc>
        <w:tc>
          <w:tcPr>
            <w:tcW w:w="961" w:type="dxa"/>
            <w:shd w:val="clear" w:color="auto" w:fill="CCE2ED"/>
          </w:tcPr>
          <w:p w14:paraId="7854C51A" w14:textId="77777777" w:rsidR="00141B97" w:rsidRDefault="00911D63">
            <w:pPr>
              <w:pStyle w:val="TableParagraph"/>
              <w:spacing w:before="19" w:line="217" w:lineRule="exact"/>
              <w:ind w:left="199" w:right="199"/>
              <w:jc w:val="center"/>
              <w:rPr>
                <w:sz w:val="18"/>
              </w:rPr>
            </w:pPr>
            <w:r>
              <w:rPr>
                <w:spacing w:val="-4"/>
                <w:sz w:val="18"/>
              </w:rPr>
              <w:t>0.91</w:t>
            </w:r>
          </w:p>
        </w:tc>
        <w:tc>
          <w:tcPr>
            <w:tcW w:w="899" w:type="dxa"/>
            <w:shd w:val="clear" w:color="auto" w:fill="CCE2ED"/>
          </w:tcPr>
          <w:p w14:paraId="671A76DF" w14:textId="77777777" w:rsidR="00141B97" w:rsidRDefault="00911D63">
            <w:pPr>
              <w:pStyle w:val="TableParagraph"/>
              <w:spacing w:before="19" w:line="217" w:lineRule="exact"/>
              <w:ind w:left="168" w:right="168"/>
              <w:jc w:val="center"/>
              <w:rPr>
                <w:sz w:val="18"/>
              </w:rPr>
            </w:pPr>
            <w:r>
              <w:rPr>
                <w:spacing w:val="-4"/>
                <w:sz w:val="18"/>
              </w:rPr>
              <w:t>1.08</w:t>
            </w:r>
          </w:p>
        </w:tc>
        <w:tc>
          <w:tcPr>
            <w:tcW w:w="978" w:type="dxa"/>
            <w:shd w:val="clear" w:color="auto" w:fill="CCE2ED"/>
          </w:tcPr>
          <w:p w14:paraId="7D4F2FBC" w14:textId="77777777" w:rsidR="00141B97" w:rsidRDefault="00911D63">
            <w:pPr>
              <w:pStyle w:val="TableParagraph"/>
              <w:spacing w:before="19" w:line="217" w:lineRule="exact"/>
              <w:ind w:left="207" w:right="208"/>
              <w:jc w:val="center"/>
              <w:rPr>
                <w:sz w:val="18"/>
              </w:rPr>
            </w:pPr>
            <w:r>
              <w:rPr>
                <w:spacing w:val="-4"/>
                <w:sz w:val="18"/>
              </w:rPr>
              <w:t>0.73</w:t>
            </w:r>
          </w:p>
        </w:tc>
        <w:tc>
          <w:tcPr>
            <w:tcW w:w="978" w:type="dxa"/>
            <w:shd w:val="clear" w:color="auto" w:fill="CCE2ED"/>
          </w:tcPr>
          <w:p w14:paraId="61E7409F" w14:textId="77777777" w:rsidR="00141B97" w:rsidRDefault="00911D63">
            <w:pPr>
              <w:pStyle w:val="TableParagraph"/>
              <w:spacing w:before="19" w:line="217" w:lineRule="exact"/>
              <w:ind w:left="207" w:right="208"/>
              <w:jc w:val="center"/>
              <w:rPr>
                <w:sz w:val="18"/>
              </w:rPr>
            </w:pPr>
            <w:r>
              <w:rPr>
                <w:spacing w:val="-4"/>
                <w:sz w:val="18"/>
              </w:rPr>
              <w:t>0.75</w:t>
            </w:r>
          </w:p>
        </w:tc>
        <w:tc>
          <w:tcPr>
            <w:tcW w:w="978" w:type="dxa"/>
            <w:shd w:val="clear" w:color="auto" w:fill="CCE2ED"/>
          </w:tcPr>
          <w:p w14:paraId="7FA70161" w14:textId="77777777" w:rsidR="00141B97" w:rsidRDefault="00911D63">
            <w:pPr>
              <w:pStyle w:val="TableParagraph"/>
              <w:spacing w:before="19" w:line="217" w:lineRule="exact"/>
              <w:ind w:left="207" w:right="208"/>
              <w:jc w:val="center"/>
              <w:rPr>
                <w:sz w:val="18"/>
              </w:rPr>
            </w:pPr>
            <w:r>
              <w:rPr>
                <w:spacing w:val="-4"/>
                <w:sz w:val="18"/>
              </w:rPr>
              <w:t>0.76</w:t>
            </w:r>
          </w:p>
        </w:tc>
        <w:tc>
          <w:tcPr>
            <w:tcW w:w="978" w:type="dxa"/>
            <w:shd w:val="clear" w:color="auto" w:fill="CCE2ED"/>
          </w:tcPr>
          <w:p w14:paraId="44ECDC7A" w14:textId="77777777" w:rsidR="00141B97" w:rsidRDefault="00911D63">
            <w:pPr>
              <w:pStyle w:val="TableParagraph"/>
              <w:spacing w:before="19" w:line="217" w:lineRule="exact"/>
              <w:ind w:left="207" w:right="208"/>
              <w:jc w:val="center"/>
              <w:rPr>
                <w:sz w:val="18"/>
              </w:rPr>
            </w:pPr>
            <w:r>
              <w:rPr>
                <w:spacing w:val="-4"/>
                <w:sz w:val="18"/>
              </w:rPr>
              <w:t>0.76</w:t>
            </w:r>
          </w:p>
        </w:tc>
        <w:tc>
          <w:tcPr>
            <w:tcW w:w="978" w:type="dxa"/>
            <w:shd w:val="clear" w:color="auto" w:fill="CCE2ED"/>
          </w:tcPr>
          <w:p w14:paraId="4DD30013" w14:textId="77777777" w:rsidR="00141B97" w:rsidRDefault="00911D63">
            <w:pPr>
              <w:pStyle w:val="TableParagraph"/>
              <w:spacing w:before="19" w:line="217" w:lineRule="exact"/>
              <w:ind w:left="207" w:right="208"/>
              <w:jc w:val="center"/>
              <w:rPr>
                <w:sz w:val="18"/>
              </w:rPr>
            </w:pPr>
            <w:r>
              <w:rPr>
                <w:spacing w:val="-4"/>
                <w:sz w:val="18"/>
              </w:rPr>
              <w:t>0.75</w:t>
            </w:r>
          </w:p>
        </w:tc>
        <w:tc>
          <w:tcPr>
            <w:tcW w:w="968" w:type="dxa"/>
            <w:tcBorders>
              <w:right w:val="nil"/>
            </w:tcBorders>
            <w:shd w:val="clear" w:color="auto" w:fill="CCE2ED"/>
          </w:tcPr>
          <w:p w14:paraId="32B6A4E1" w14:textId="77777777" w:rsidR="00141B97" w:rsidRDefault="00911D63">
            <w:pPr>
              <w:pStyle w:val="TableParagraph"/>
              <w:spacing w:before="19" w:line="217" w:lineRule="exact"/>
              <w:ind w:left="224" w:right="214"/>
              <w:jc w:val="center"/>
              <w:rPr>
                <w:sz w:val="18"/>
              </w:rPr>
            </w:pPr>
            <w:r>
              <w:rPr>
                <w:spacing w:val="-4"/>
                <w:sz w:val="18"/>
              </w:rPr>
              <w:t>3.76</w:t>
            </w:r>
          </w:p>
        </w:tc>
      </w:tr>
      <w:tr w:rsidR="00141B97" w14:paraId="3485B2E6" w14:textId="77777777">
        <w:trPr>
          <w:trHeight w:val="254"/>
          <w:tblCellSpacing w:w="9" w:type="dxa"/>
        </w:trPr>
        <w:tc>
          <w:tcPr>
            <w:tcW w:w="2023" w:type="dxa"/>
            <w:tcBorders>
              <w:left w:val="nil"/>
            </w:tcBorders>
            <w:shd w:val="clear" w:color="auto" w:fill="CCE2ED"/>
          </w:tcPr>
          <w:p w14:paraId="6A1CA447" w14:textId="77777777" w:rsidR="00141B97" w:rsidRDefault="00911D63">
            <w:pPr>
              <w:pStyle w:val="TableParagraph"/>
              <w:spacing w:before="29"/>
              <w:ind w:left="9"/>
              <w:rPr>
                <w:sz w:val="16"/>
              </w:rPr>
            </w:pPr>
            <w:r>
              <w:rPr>
                <w:sz w:val="16"/>
              </w:rPr>
              <w:t>Surface</w:t>
            </w:r>
            <w:r>
              <w:rPr>
                <w:spacing w:val="-6"/>
                <w:sz w:val="16"/>
              </w:rPr>
              <w:t xml:space="preserve"> </w:t>
            </w:r>
            <w:r>
              <w:rPr>
                <w:sz w:val="16"/>
              </w:rPr>
              <w:t>water</w:t>
            </w:r>
            <w:r>
              <w:rPr>
                <w:spacing w:val="-5"/>
                <w:sz w:val="16"/>
              </w:rPr>
              <w:t xml:space="preserve"> </w:t>
            </w:r>
            <w:r>
              <w:rPr>
                <w:spacing w:val="-2"/>
                <w:sz w:val="16"/>
              </w:rPr>
              <w:t>diversions</w:t>
            </w:r>
          </w:p>
        </w:tc>
        <w:tc>
          <w:tcPr>
            <w:tcW w:w="961" w:type="dxa"/>
            <w:shd w:val="clear" w:color="auto" w:fill="CCE2ED"/>
          </w:tcPr>
          <w:p w14:paraId="67D733CC" w14:textId="77777777" w:rsidR="00141B97" w:rsidRDefault="00911D63">
            <w:pPr>
              <w:pStyle w:val="TableParagraph"/>
              <w:spacing w:before="18" w:line="217" w:lineRule="exact"/>
              <w:ind w:left="199" w:right="199"/>
              <w:jc w:val="center"/>
              <w:rPr>
                <w:sz w:val="18"/>
              </w:rPr>
            </w:pPr>
            <w:r>
              <w:rPr>
                <w:spacing w:val="-4"/>
                <w:sz w:val="18"/>
              </w:rPr>
              <w:t>1.59</w:t>
            </w:r>
          </w:p>
        </w:tc>
        <w:tc>
          <w:tcPr>
            <w:tcW w:w="899" w:type="dxa"/>
            <w:shd w:val="clear" w:color="auto" w:fill="CCE2ED"/>
          </w:tcPr>
          <w:p w14:paraId="45EB0A8D" w14:textId="77777777" w:rsidR="00141B97" w:rsidRDefault="00911D63">
            <w:pPr>
              <w:pStyle w:val="TableParagraph"/>
              <w:spacing w:before="18" w:line="217" w:lineRule="exact"/>
              <w:ind w:left="168" w:right="168"/>
              <w:jc w:val="center"/>
              <w:rPr>
                <w:sz w:val="18"/>
              </w:rPr>
            </w:pPr>
            <w:r>
              <w:rPr>
                <w:spacing w:val="-4"/>
                <w:sz w:val="18"/>
              </w:rPr>
              <w:t>1.64</w:t>
            </w:r>
          </w:p>
        </w:tc>
        <w:tc>
          <w:tcPr>
            <w:tcW w:w="978" w:type="dxa"/>
            <w:shd w:val="clear" w:color="auto" w:fill="CCE2ED"/>
          </w:tcPr>
          <w:p w14:paraId="65009D36" w14:textId="77777777" w:rsidR="00141B97" w:rsidRDefault="00911D63">
            <w:pPr>
              <w:pStyle w:val="TableParagraph"/>
              <w:spacing w:before="18" w:line="217" w:lineRule="exact"/>
              <w:ind w:left="207" w:right="208"/>
              <w:jc w:val="center"/>
              <w:rPr>
                <w:sz w:val="18"/>
              </w:rPr>
            </w:pPr>
            <w:r>
              <w:rPr>
                <w:spacing w:val="-4"/>
                <w:sz w:val="18"/>
              </w:rPr>
              <w:t>1.36</w:t>
            </w:r>
          </w:p>
        </w:tc>
        <w:tc>
          <w:tcPr>
            <w:tcW w:w="978" w:type="dxa"/>
            <w:shd w:val="clear" w:color="auto" w:fill="CCE2ED"/>
          </w:tcPr>
          <w:p w14:paraId="639C0039" w14:textId="77777777" w:rsidR="00141B97" w:rsidRDefault="00911D63">
            <w:pPr>
              <w:pStyle w:val="TableParagraph"/>
              <w:spacing w:before="18" w:line="217" w:lineRule="exact"/>
              <w:ind w:left="207" w:right="208"/>
              <w:jc w:val="center"/>
              <w:rPr>
                <w:sz w:val="18"/>
              </w:rPr>
            </w:pPr>
            <w:r>
              <w:rPr>
                <w:spacing w:val="-4"/>
                <w:sz w:val="18"/>
              </w:rPr>
              <w:t>1.34</w:t>
            </w:r>
          </w:p>
        </w:tc>
        <w:tc>
          <w:tcPr>
            <w:tcW w:w="978" w:type="dxa"/>
            <w:shd w:val="clear" w:color="auto" w:fill="CCE2ED"/>
          </w:tcPr>
          <w:p w14:paraId="72C18237" w14:textId="77777777" w:rsidR="00141B97" w:rsidRDefault="00911D63">
            <w:pPr>
              <w:pStyle w:val="TableParagraph"/>
              <w:spacing w:before="18" w:line="217" w:lineRule="exact"/>
              <w:ind w:left="207" w:right="208"/>
              <w:jc w:val="center"/>
              <w:rPr>
                <w:sz w:val="18"/>
              </w:rPr>
            </w:pPr>
            <w:r>
              <w:rPr>
                <w:spacing w:val="-4"/>
                <w:sz w:val="18"/>
              </w:rPr>
              <w:t>1.35</w:t>
            </w:r>
          </w:p>
        </w:tc>
        <w:tc>
          <w:tcPr>
            <w:tcW w:w="978" w:type="dxa"/>
            <w:shd w:val="clear" w:color="auto" w:fill="CCE2ED"/>
          </w:tcPr>
          <w:p w14:paraId="04AD6D52" w14:textId="77777777" w:rsidR="00141B97" w:rsidRDefault="00911D63">
            <w:pPr>
              <w:pStyle w:val="TableParagraph"/>
              <w:spacing w:before="18" w:line="217" w:lineRule="exact"/>
              <w:ind w:left="207" w:right="208"/>
              <w:jc w:val="center"/>
              <w:rPr>
                <w:sz w:val="18"/>
              </w:rPr>
            </w:pPr>
            <w:r>
              <w:rPr>
                <w:spacing w:val="-4"/>
                <w:sz w:val="18"/>
              </w:rPr>
              <w:t>1.38</w:t>
            </w:r>
          </w:p>
        </w:tc>
        <w:tc>
          <w:tcPr>
            <w:tcW w:w="978" w:type="dxa"/>
            <w:shd w:val="clear" w:color="auto" w:fill="CCE2ED"/>
          </w:tcPr>
          <w:p w14:paraId="0C47A7A7" w14:textId="77777777" w:rsidR="00141B97" w:rsidRDefault="00911D63">
            <w:pPr>
              <w:pStyle w:val="TableParagraph"/>
              <w:spacing w:before="18" w:line="217" w:lineRule="exact"/>
              <w:ind w:left="207" w:right="208"/>
              <w:jc w:val="center"/>
              <w:rPr>
                <w:sz w:val="18"/>
              </w:rPr>
            </w:pPr>
            <w:r>
              <w:rPr>
                <w:spacing w:val="-4"/>
                <w:sz w:val="18"/>
              </w:rPr>
              <w:t>1.35</w:t>
            </w:r>
          </w:p>
        </w:tc>
        <w:tc>
          <w:tcPr>
            <w:tcW w:w="968" w:type="dxa"/>
            <w:tcBorders>
              <w:right w:val="nil"/>
            </w:tcBorders>
            <w:shd w:val="clear" w:color="auto" w:fill="CCE2ED"/>
          </w:tcPr>
          <w:p w14:paraId="33F7625F" w14:textId="77777777" w:rsidR="00141B97" w:rsidRDefault="00911D63">
            <w:pPr>
              <w:pStyle w:val="TableParagraph"/>
              <w:spacing w:before="18" w:line="217" w:lineRule="exact"/>
              <w:ind w:left="224" w:right="214"/>
              <w:jc w:val="center"/>
              <w:rPr>
                <w:sz w:val="18"/>
              </w:rPr>
            </w:pPr>
            <w:r>
              <w:rPr>
                <w:spacing w:val="-4"/>
                <w:sz w:val="18"/>
              </w:rPr>
              <w:t>6.79</w:t>
            </w:r>
          </w:p>
        </w:tc>
      </w:tr>
      <w:tr w:rsidR="00141B97" w14:paraId="1171EFE8" w14:textId="77777777">
        <w:trPr>
          <w:trHeight w:val="254"/>
          <w:tblCellSpacing w:w="9" w:type="dxa"/>
        </w:trPr>
        <w:tc>
          <w:tcPr>
            <w:tcW w:w="2023" w:type="dxa"/>
            <w:tcBorders>
              <w:left w:val="nil"/>
            </w:tcBorders>
            <w:shd w:val="clear" w:color="auto" w:fill="CCE2ED"/>
          </w:tcPr>
          <w:p w14:paraId="082CF9F9" w14:textId="77777777" w:rsidR="00141B97" w:rsidRDefault="00911D63">
            <w:pPr>
              <w:pStyle w:val="TableParagraph"/>
              <w:spacing w:before="29"/>
              <w:ind w:left="9"/>
              <w:rPr>
                <w:sz w:val="16"/>
              </w:rPr>
            </w:pPr>
            <w:r>
              <w:rPr>
                <w:w w:val="95"/>
                <w:sz w:val="16"/>
              </w:rPr>
              <w:t>Groundwater</w:t>
            </w:r>
            <w:r>
              <w:rPr>
                <w:spacing w:val="31"/>
                <w:sz w:val="16"/>
              </w:rPr>
              <w:t xml:space="preserve"> </w:t>
            </w:r>
            <w:r>
              <w:rPr>
                <w:spacing w:val="-2"/>
                <w:sz w:val="16"/>
              </w:rPr>
              <w:t>diversion</w:t>
            </w:r>
          </w:p>
        </w:tc>
        <w:tc>
          <w:tcPr>
            <w:tcW w:w="961" w:type="dxa"/>
            <w:shd w:val="clear" w:color="auto" w:fill="CCE2ED"/>
          </w:tcPr>
          <w:p w14:paraId="407E85D2" w14:textId="77777777" w:rsidR="00141B97" w:rsidRDefault="00911D63">
            <w:pPr>
              <w:pStyle w:val="TableParagraph"/>
              <w:spacing w:before="18" w:line="217" w:lineRule="exact"/>
              <w:ind w:left="199" w:right="199"/>
              <w:jc w:val="center"/>
              <w:rPr>
                <w:sz w:val="18"/>
              </w:rPr>
            </w:pPr>
            <w:r>
              <w:rPr>
                <w:spacing w:val="-4"/>
                <w:sz w:val="18"/>
              </w:rPr>
              <w:t>0.00</w:t>
            </w:r>
          </w:p>
        </w:tc>
        <w:tc>
          <w:tcPr>
            <w:tcW w:w="899" w:type="dxa"/>
            <w:shd w:val="clear" w:color="auto" w:fill="CCE2ED"/>
          </w:tcPr>
          <w:p w14:paraId="50E0A440" w14:textId="77777777" w:rsidR="00141B97" w:rsidRDefault="00911D63">
            <w:pPr>
              <w:pStyle w:val="TableParagraph"/>
              <w:spacing w:before="18" w:line="217" w:lineRule="exact"/>
              <w:ind w:left="168" w:right="168"/>
              <w:jc w:val="center"/>
              <w:rPr>
                <w:sz w:val="18"/>
              </w:rPr>
            </w:pPr>
            <w:r>
              <w:rPr>
                <w:spacing w:val="-4"/>
                <w:sz w:val="18"/>
              </w:rPr>
              <w:t>0.00</w:t>
            </w:r>
          </w:p>
        </w:tc>
        <w:tc>
          <w:tcPr>
            <w:tcW w:w="978" w:type="dxa"/>
            <w:shd w:val="clear" w:color="auto" w:fill="CCE2ED"/>
          </w:tcPr>
          <w:p w14:paraId="550A18B8" w14:textId="77777777" w:rsidR="00141B97" w:rsidRDefault="00911D63">
            <w:pPr>
              <w:pStyle w:val="TableParagraph"/>
              <w:spacing w:before="18" w:line="217" w:lineRule="exact"/>
              <w:ind w:left="207" w:right="208"/>
              <w:jc w:val="center"/>
              <w:rPr>
                <w:sz w:val="18"/>
              </w:rPr>
            </w:pPr>
            <w:r>
              <w:rPr>
                <w:spacing w:val="-4"/>
                <w:sz w:val="18"/>
              </w:rPr>
              <w:t>0.01</w:t>
            </w:r>
          </w:p>
        </w:tc>
        <w:tc>
          <w:tcPr>
            <w:tcW w:w="978" w:type="dxa"/>
            <w:shd w:val="clear" w:color="auto" w:fill="CCE2ED"/>
          </w:tcPr>
          <w:p w14:paraId="7F633324" w14:textId="77777777" w:rsidR="00141B97" w:rsidRDefault="00911D63">
            <w:pPr>
              <w:pStyle w:val="TableParagraph"/>
              <w:spacing w:before="18" w:line="217" w:lineRule="exact"/>
              <w:ind w:left="207" w:right="208"/>
              <w:jc w:val="center"/>
              <w:rPr>
                <w:sz w:val="18"/>
              </w:rPr>
            </w:pPr>
            <w:r>
              <w:rPr>
                <w:spacing w:val="-4"/>
                <w:sz w:val="18"/>
              </w:rPr>
              <w:t>0.01</w:t>
            </w:r>
          </w:p>
        </w:tc>
        <w:tc>
          <w:tcPr>
            <w:tcW w:w="978" w:type="dxa"/>
            <w:shd w:val="clear" w:color="auto" w:fill="CCE2ED"/>
          </w:tcPr>
          <w:p w14:paraId="1BADE64A" w14:textId="77777777" w:rsidR="00141B97" w:rsidRDefault="00911D63">
            <w:pPr>
              <w:pStyle w:val="TableParagraph"/>
              <w:spacing w:before="18" w:line="217" w:lineRule="exact"/>
              <w:ind w:left="207" w:right="208"/>
              <w:jc w:val="center"/>
              <w:rPr>
                <w:sz w:val="18"/>
              </w:rPr>
            </w:pPr>
            <w:r>
              <w:rPr>
                <w:spacing w:val="-4"/>
                <w:sz w:val="18"/>
              </w:rPr>
              <w:t>0.01</w:t>
            </w:r>
          </w:p>
        </w:tc>
        <w:tc>
          <w:tcPr>
            <w:tcW w:w="978" w:type="dxa"/>
            <w:shd w:val="clear" w:color="auto" w:fill="CCE2ED"/>
          </w:tcPr>
          <w:p w14:paraId="7968623F" w14:textId="77777777" w:rsidR="00141B97" w:rsidRDefault="00911D63">
            <w:pPr>
              <w:pStyle w:val="TableParagraph"/>
              <w:spacing w:before="18" w:line="217" w:lineRule="exact"/>
              <w:ind w:left="207" w:right="208"/>
              <w:jc w:val="center"/>
              <w:rPr>
                <w:sz w:val="18"/>
              </w:rPr>
            </w:pPr>
            <w:r>
              <w:rPr>
                <w:spacing w:val="-4"/>
                <w:sz w:val="18"/>
              </w:rPr>
              <w:t>0.01</w:t>
            </w:r>
          </w:p>
        </w:tc>
        <w:tc>
          <w:tcPr>
            <w:tcW w:w="978" w:type="dxa"/>
            <w:shd w:val="clear" w:color="auto" w:fill="CCE2ED"/>
          </w:tcPr>
          <w:p w14:paraId="348E0206" w14:textId="77777777" w:rsidR="00141B97" w:rsidRDefault="00911D63">
            <w:pPr>
              <w:pStyle w:val="TableParagraph"/>
              <w:spacing w:before="18" w:line="217" w:lineRule="exact"/>
              <w:ind w:left="207" w:right="208"/>
              <w:jc w:val="center"/>
              <w:rPr>
                <w:sz w:val="18"/>
              </w:rPr>
            </w:pPr>
            <w:r>
              <w:rPr>
                <w:spacing w:val="-4"/>
                <w:sz w:val="18"/>
              </w:rPr>
              <w:t>0.01</w:t>
            </w:r>
          </w:p>
        </w:tc>
        <w:tc>
          <w:tcPr>
            <w:tcW w:w="968" w:type="dxa"/>
            <w:tcBorders>
              <w:right w:val="nil"/>
            </w:tcBorders>
            <w:shd w:val="clear" w:color="auto" w:fill="CCE2ED"/>
          </w:tcPr>
          <w:p w14:paraId="46F072D3" w14:textId="77777777" w:rsidR="00141B97" w:rsidRDefault="00911D63">
            <w:pPr>
              <w:pStyle w:val="TableParagraph"/>
              <w:spacing w:before="18" w:line="217" w:lineRule="exact"/>
              <w:ind w:left="224" w:right="214"/>
              <w:jc w:val="center"/>
              <w:rPr>
                <w:sz w:val="18"/>
              </w:rPr>
            </w:pPr>
            <w:r>
              <w:rPr>
                <w:spacing w:val="-4"/>
                <w:sz w:val="18"/>
              </w:rPr>
              <w:t>0.04</w:t>
            </w:r>
          </w:p>
        </w:tc>
      </w:tr>
      <w:tr w:rsidR="00141B97" w14:paraId="140E069E" w14:textId="77777777">
        <w:trPr>
          <w:trHeight w:val="254"/>
          <w:tblCellSpacing w:w="9" w:type="dxa"/>
        </w:trPr>
        <w:tc>
          <w:tcPr>
            <w:tcW w:w="2023" w:type="dxa"/>
            <w:tcBorders>
              <w:left w:val="nil"/>
            </w:tcBorders>
            <w:shd w:val="clear" w:color="auto" w:fill="BFBFBF"/>
          </w:tcPr>
          <w:p w14:paraId="5B0D564B" w14:textId="77777777" w:rsidR="00141B97" w:rsidRDefault="00911D63">
            <w:pPr>
              <w:pStyle w:val="TableParagraph"/>
              <w:spacing w:before="29"/>
              <w:ind w:left="9"/>
              <w:rPr>
                <w:sz w:val="16"/>
              </w:rPr>
            </w:pPr>
            <w:r>
              <w:rPr>
                <w:spacing w:val="-2"/>
                <w:sz w:val="16"/>
              </w:rPr>
              <w:t>Total</w:t>
            </w:r>
            <w:r>
              <w:rPr>
                <w:spacing w:val="8"/>
                <w:sz w:val="16"/>
              </w:rPr>
              <w:t xml:space="preserve"> </w:t>
            </w:r>
            <w:r>
              <w:rPr>
                <w:spacing w:val="-2"/>
                <w:sz w:val="16"/>
              </w:rPr>
              <w:t>Controllable</w:t>
            </w:r>
            <w:r>
              <w:rPr>
                <w:spacing w:val="6"/>
                <w:sz w:val="16"/>
              </w:rPr>
              <w:t xml:space="preserve"> </w:t>
            </w:r>
            <w:r>
              <w:rPr>
                <w:spacing w:val="-2"/>
                <w:sz w:val="16"/>
              </w:rPr>
              <w:t>costs</w:t>
            </w:r>
          </w:p>
        </w:tc>
        <w:tc>
          <w:tcPr>
            <w:tcW w:w="961" w:type="dxa"/>
            <w:shd w:val="clear" w:color="auto" w:fill="BFBFBF"/>
          </w:tcPr>
          <w:p w14:paraId="29B4723C" w14:textId="77777777" w:rsidR="00141B97" w:rsidRDefault="00911D63">
            <w:pPr>
              <w:pStyle w:val="TableParagraph"/>
              <w:spacing w:before="18" w:line="217" w:lineRule="exact"/>
              <w:ind w:left="199" w:right="199"/>
              <w:jc w:val="center"/>
              <w:rPr>
                <w:sz w:val="18"/>
              </w:rPr>
            </w:pPr>
            <w:r>
              <w:rPr>
                <w:spacing w:val="-2"/>
                <w:sz w:val="18"/>
              </w:rPr>
              <w:t>19.04</w:t>
            </w:r>
          </w:p>
        </w:tc>
        <w:tc>
          <w:tcPr>
            <w:tcW w:w="899" w:type="dxa"/>
            <w:shd w:val="clear" w:color="auto" w:fill="BFBFBF"/>
          </w:tcPr>
          <w:p w14:paraId="0A8F2C5C" w14:textId="77777777" w:rsidR="00141B97" w:rsidRDefault="00911D63">
            <w:pPr>
              <w:pStyle w:val="TableParagraph"/>
              <w:spacing w:before="18" w:line="217" w:lineRule="exact"/>
              <w:ind w:left="168" w:right="168"/>
              <w:jc w:val="center"/>
              <w:rPr>
                <w:sz w:val="18"/>
              </w:rPr>
            </w:pPr>
            <w:r>
              <w:rPr>
                <w:spacing w:val="-2"/>
                <w:sz w:val="18"/>
              </w:rPr>
              <w:t>18.47</w:t>
            </w:r>
          </w:p>
        </w:tc>
        <w:tc>
          <w:tcPr>
            <w:tcW w:w="978" w:type="dxa"/>
            <w:shd w:val="clear" w:color="auto" w:fill="BFBFBF"/>
          </w:tcPr>
          <w:p w14:paraId="31A5809E" w14:textId="77777777" w:rsidR="00141B97" w:rsidRDefault="00911D63">
            <w:pPr>
              <w:pStyle w:val="TableParagraph"/>
              <w:spacing w:before="18" w:line="217" w:lineRule="exact"/>
              <w:ind w:left="207" w:right="208"/>
              <w:jc w:val="center"/>
              <w:rPr>
                <w:sz w:val="18"/>
              </w:rPr>
            </w:pPr>
            <w:r>
              <w:rPr>
                <w:spacing w:val="-2"/>
                <w:sz w:val="18"/>
              </w:rPr>
              <w:t>16.91</w:t>
            </w:r>
          </w:p>
        </w:tc>
        <w:tc>
          <w:tcPr>
            <w:tcW w:w="978" w:type="dxa"/>
            <w:shd w:val="clear" w:color="auto" w:fill="BFBFBF"/>
          </w:tcPr>
          <w:p w14:paraId="3543F3E8" w14:textId="77777777" w:rsidR="00141B97" w:rsidRDefault="00911D63">
            <w:pPr>
              <w:pStyle w:val="TableParagraph"/>
              <w:spacing w:before="18" w:line="217" w:lineRule="exact"/>
              <w:ind w:left="207" w:right="208"/>
              <w:jc w:val="center"/>
              <w:rPr>
                <w:sz w:val="18"/>
              </w:rPr>
            </w:pPr>
            <w:r>
              <w:rPr>
                <w:spacing w:val="-2"/>
                <w:sz w:val="18"/>
              </w:rPr>
              <w:t>16.86</w:t>
            </w:r>
          </w:p>
        </w:tc>
        <w:tc>
          <w:tcPr>
            <w:tcW w:w="978" w:type="dxa"/>
            <w:shd w:val="clear" w:color="auto" w:fill="BFBFBF"/>
          </w:tcPr>
          <w:p w14:paraId="0AF0E234" w14:textId="77777777" w:rsidR="00141B97" w:rsidRDefault="00911D63">
            <w:pPr>
              <w:pStyle w:val="TableParagraph"/>
              <w:spacing w:before="18" w:line="217" w:lineRule="exact"/>
              <w:ind w:left="207" w:right="208"/>
              <w:jc w:val="center"/>
              <w:rPr>
                <w:sz w:val="18"/>
              </w:rPr>
            </w:pPr>
            <w:r>
              <w:rPr>
                <w:spacing w:val="-2"/>
                <w:sz w:val="18"/>
              </w:rPr>
              <w:t>17.34</w:t>
            </w:r>
          </w:p>
        </w:tc>
        <w:tc>
          <w:tcPr>
            <w:tcW w:w="978" w:type="dxa"/>
            <w:shd w:val="clear" w:color="auto" w:fill="BFBFBF"/>
          </w:tcPr>
          <w:p w14:paraId="56228CFA" w14:textId="77777777" w:rsidR="00141B97" w:rsidRDefault="00911D63">
            <w:pPr>
              <w:pStyle w:val="TableParagraph"/>
              <w:spacing w:before="18" w:line="217" w:lineRule="exact"/>
              <w:ind w:left="207" w:right="208"/>
              <w:jc w:val="center"/>
              <w:rPr>
                <w:sz w:val="18"/>
              </w:rPr>
            </w:pPr>
            <w:r>
              <w:rPr>
                <w:spacing w:val="-2"/>
                <w:sz w:val="18"/>
              </w:rPr>
              <w:t>17.53</w:t>
            </w:r>
          </w:p>
        </w:tc>
        <w:tc>
          <w:tcPr>
            <w:tcW w:w="978" w:type="dxa"/>
            <w:shd w:val="clear" w:color="auto" w:fill="BFBFBF"/>
          </w:tcPr>
          <w:p w14:paraId="0687337B" w14:textId="77777777" w:rsidR="00141B97" w:rsidRDefault="00911D63">
            <w:pPr>
              <w:pStyle w:val="TableParagraph"/>
              <w:spacing w:before="18" w:line="217" w:lineRule="exact"/>
              <w:ind w:left="207" w:right="208"/>
              <w:jc w:val="center"/>
              <w:rPr>
                <w:sz w:val="18"/>
              </w:rPr>
            </w:pPr>
            <w:r>
              <w:rPr>
                <w:spacing w:val="-2"/>
                <w:sz w:val="18"/>
              </w:rPr>
              <w:t>17.12</w:t>
            </w:r>
          </w:p>
        </w:tc>
        <w:tc>
          <w:tcPr>
            <w:tcW w:w="968" w:type="dxa"/>
            <w:tcBorders>
              <w:right w:val="nil"/>
            </w:tcBorders>
            <w:shd w:val="clear" w:color="auto" w:fill="BFBFBF"/>
          </w:tcPr>
          <w:p w14:paraId="0BCEB54D" w14:textId="77777777" w:rsidR="00141B97" w:rsidRDefault="00911D63">
            <w:pPr>
              <w:pStyle w:val="TableParagraph"/>
              <w:spacing w:before="18" w:line="217" w:lineRule="exact"/>
              <w:ind w:left="224" w:right="214"/>
              <w:jc w:val="center"/>
              <w:rPr>
                <w:sz w:val="18"/>
              </w:rPr>
            </w:pPr>
            <w:r>
              <w:rPr>
                <w:spacing w:val="-2"/>
                <w:sz w:val="18"/>
              </w:rPr>
              <w:t>85.76</w:t>
            </w:r>
          </w:p>
        </w:tc>
      </w:tr>
      <w:tr w:rsidR="00141B97" w14:paraId="6A43B08B" w14:textId="77777777">
        <w:trPr>
          <w:trHeight w:val="254"/>
          <w:tblCellSpacing w:w="9" w:type="dxa"/>
        </w:trPr>
        <w:tc>
          <w:tcPr>
            <w:tcW w:w="2023" w:type="dxa"/>
            <w:tcBorders>
              <w:left w:val="nil"/>
            </w:tcBorders>
            <w:shd w:val="clear" w:color="auto" w:fill="BFBFBF"/>
          </w:tcPr>
          <w:p w14:paraId="7920A559" w14:textId="77777777" w:rsidR="00141B97" w:rsidRDefault="00911D63">
            <w:pPr>
              <w:pStyle w:val="TableParagraph"/>
              <w:spacing w:before="29"/>
              <w:ind w:left="9"/>
              <w:rPr>
                <w:sz w:val="16"/>
              </w:rPr>
            </w:pPr>
            <w:r>
              <w:rPr>
                <w:spacing w:val="-2"/>
                <w:sz w:val="16"/>
              </w:rPr>
              <w:t>Total</w:t>
            </w:r>
            <w:r>
              <w:rPr>
                <w:spacing w:val="11"/>
                <w:sz w:val="16"/>
              </w:rPr>
              <w:t xml:space="preserve"> </w:t>
            </w:r>
            <w:r>
              <w:rPr>
                <w:spacing w:val="-2"/>
                <w:sz w:val="16"/>
              </w:rPr>
              <w:t>Non‐controllable</w:t>
            </w:r>
            <w:r>
              <w:rPr>
                <w:spacing w:val="10"/>
                <w:sz w:val="16"/>
              </w:rPr>
              <w:t xml:space="preserve"> </w:t>
            </w:r>
            <w:r>
              <w:rPr>
                <w:spacing w:val="-2"/>
                <w:sz w:val="16"/>
              </w:rPr>
              <w:t>costs</w:t>
            </w:r>
          </w:p>
        </w:tc>
        <w:tc>
          <w:tcPr>
            <w:tcW w:w="961" w:type="dxa"/>
            <w:shd w:val="clear" w:color="auto" w:fill="BFBFBF"/>
          </w:tcPr>
          <w:p w14:paraId="7474523F" w14:textId="77777777" w:rsidR="00141B97" w:rsidRDefault="00911D63">
            <w:pPr>
              <w:pStyle w:val="TableParagraph"/>
              <w:spacing w:before="18" w:line="217" w:lineRule="exact"/>
              <w:ind w:left="199" w:right="199"/>
              <w:jc w:val="center"/>
              <w:rPr>
                <w:sz w:val="18"/>
              </w:rPr>
            </w:pPr>
            <w:r>
              <w:rPr>
                <w:spacing w:val="-4"/>
                <w:sz w:val="18"/>
              </w:rPr>
              <w:t>3.81</w:t>
            </w:r>
          </w:p>
        </w:tc>
        <w:tc>
          <w:tcPr>
            <w:tcW w:w="899" w:type="dxa"/>
            <w:shd w:val="clear" w:color="auto" w:fill="BFBFBF"/>
          </w:tcPr>
          <w:p w14:paraId="2D843219" w14:textId="77777777" w:rsidR="00141B97" w:rsidRDefault="00911D63">
            <w:pPr>
              <w:pStyle w:val="TableParagraph"/>
              <w:spacing w:before="18" w:line="217" w:lineRule="exact"/>
              <w:ind w:left="168" w:right="168"/>
              <w:jc w:val="center"/>
              <w:rPr>
                <w:sz w:val="18"/>
              </w:rPr>
            </w:pPr>
            <w:r>
              <w:rPr>
                <w:spacing w:val="-4"/>
                <w:sz w:val="18"/>
              </w:rPr>
              <w:t>3.68</w:t>
            </w:r>
          </w:p>
        </w:tc>
        <w:tc>
          <w:tcPr>
            <w:tcW w:w="978" w:type="dxa"/>
            <w:shd w:val="clear" w:color="auto" w:fill="BFBFBF"/>
          </w:tcPr>
          <w:p w14:paraId="4382C29F" w14:textId="77777777" w:rsidR="00141B97" w:rsidRDefault="00911D63">
            <w:pPr>
              <w:pStyle w:val="TableParagraph"/>
              <w:spacing w:before="18" w:line="217" w:lineRule="exact"/>
              <w:ind w:left="207" w:right="208"/>
              <w:jc w:val="center"/>
              <w:rPr>
                <w:sz w:val="18"/>
              </w:rPr>
            </w:pPr>
            <w:r>
              <w:rPr>
                <w:spacing w:val="-4"/>
                <w:sz w:val="18"/>
              </w:rPr>
              <w:t>3.81</w:t>
            </w:r>
          </w:p>
        </w:tc>
        <w:tc>
          <w:tcPr>
            <w:tcW w:w="978" w:type="dxa"/>
            <w:shd w:val="clear" w:color="auto" w:fill="BFBFBF"/>
          </w:tcPr>
          <w:p w14:paraId="0A7129ED" w14:textId="77777777" w:rsidR="00141B97" w:rsidRDefault="00911D63">
            <w:pPr>
              <w:pStyle w:val="TableParagraph"/>
              <w:spacing w:before="18" w:line="217" w:lineRule="exact"/>
              <w:ind w:left="207" w:right="208"/>
              <w:jc w:val="center"/>
              <w:rPr>
                <w:sz w:val="18"/>
              </w:rPr>
            </w:pPr>
            <w:r>
              <w:rPr>
                <w:spacing w:val="-4"/>
                <w:sz w:val="18"/>
              </w:rPr>
              <w:t>3.97</w:t>
            </w:r>
          </w:p>
        </w:tc>
        <w:tc>
          <w:tcPr>
            <w:tcW w:w="978" w:type="dxa"/>
            <w:shd w:val="clear" w:color="auto" w:fill="BFBFBF"/>
          </w:tcPr>
          <w:p w14:paraId="32622C9C" w14:textId="77777777" w:rsidR="00141B97" w:rsidRDefault="00911D63">
            <w:pPr>
              <w:pStyle w:val="TableParagraph"/>
              <w:spacing w:before="18" w:line="217" w:lineRule="exact"/>
              <w:ind w:left="207" w:right="208"/>
              <w:jc w:val="center"/>
              <w:rPr>
                <w:sz w:val="18"/>
              </w:rPr>
            </w:pPr>
            <w:r>
              <w:rPr>
                <w:spacing w:val="-4"/>
                <w:sz w:val="18"/>
              </w:rPr>
              <w:t>4.12</w:t>
            </w:r>
          </w:p>
        </w:tc>
        <w:tc>
          <w:tcPr>
            <w:tcW w:w="978" w:type="dxa"/>
            <w:shd w:val="clear" w:color="auto" w:fill="BFBFBF"/>
          </w:tcPr>
          <w:p w14:paraId="7B562965" w14:textId="77777777" w:rsidR="00141B97" w:rsidRDefault="00911D63">
            <w:pPr>
              <w:pStyle w:val="TableParagraph"/>
              <w:spacing w:before="18" w:line="217" w:lineRule="exact"/>
              <w:ind w:left="207" w:right="208"/>
              <w:jc w:val="center"/>
              <w:rPr>
                <w:sz w:val="18"/>
              </w:rPr>
            </w:pPr>
            <w:r>
              <w:rPr>
                <w:spacing w:val="-4"/>
                <w:sz w:val="18"/>
              </w:rPr>
              <w:t>4.28</w:t>
            </w:r>
          </w:p>
        </w:tc>
        <w:tc>
          <w:tcPr>
            <w:tcW w:w="978" w:type="dxa"/>
            <w:shd w:val="clear" w:color="auto" w:fill="BFBFBF"/>
          </w:tcPr>
          <w:p w14:paraId="337F07E5" w14:textId="77777777" w:rsidR="00141B97" w:rsidRDefault="00911D63">
            <w:pPr>
              <w:pStyle w:val="TableParagraph"/>
              <w:spacing w:before="18" w:line="217" w:lineRule="exact"/>
              <w:ind w:left="207" w:right="208"/>
              <w:jc w:val="center"/>
              <w:rPr>
                <w:sz w:val="18"/>
              </w:rPr>
            </w:pPr>
            <w:r>
              <w:rPr>
                <w:spacing w:val="-4"/>
                <w:sz w:val="18"/>
              </w:rPr>
              <w:t>4.28</w:t>
            </w:r>
          </w:p>
        </w:tc>
        <w:tc>
          <w:tcPr>
            <w:tcW w:w="968" w:type="dxa"/>
            <w:tcBorders>
              <w:right w:val="nil"/>
            </w:tcBorders>
            <w:shd w:val="clear" w:color="auto" w:fill="BFBFBF"/>
          </w:tcPr>
          <w:p w14:paraId="2B5EADF1" w14:textId="77777777" w:rsidR="00141B97" w:rsidRDefault="00911D63">
            <w:pPr>
              <w:pStyle w:val="TableParagraph"/>
              <w:spacing w:before="18" w:line="217" w:lineRule="exact"/>
              <w:ind w:left="224" w:right="214"/>
              <w:jc w:val="center"/>
              <w:rPr>
                <w:sz w:val="18"/>
              </w:rPr>
            </w:pPr>
            <w:r>
              <w:rPr>
                <w:spacing w:val="-2"/>
                <w:sz w:val="18"/>
              </w:rPr>
              <w:t>20.45</w:t>
            </w:r>
          </w:p>
        </w:tc>
      </w:tr>
      <w:tr w:rsidR="00141B97" w14:paraId="7463EC3D" w14:textId="77777777">
        <w:trPr>
          <w:trHeight w:val="255"/>
          <w:tblCellSpacing w:w="9" w:type="dxa"/>
        </w:trPr>
        <w:tc>
          <w:tcPr>
            <w:tcW w:w="2023" w:type="dxa"/>
            <w:tcBorders>
              <w:left w:val="nil"/>
              <w:bottom w:val="nil"/>
            </w:tcBorders>
            <w:shd w:val="clear" w:color="auto" w:fill="BFBFBF"/>
          </w:tcPr>
          <w:p w14:paraId="41D8B4F7" w14:textId="77777777" w:rsidR="00141B97" w:rsidRDefault="00911D63">
            <w:pPr>
              <w:pStyle w:val="TableParagraph"/>
              <w:spacing w:before="31"/>
              <w:ind w:left="9"/>
              <w:rPr>
                <w:sz w:val="16"/>
              </w:rPr>
            </w:pPr>
            <w:r>
              <w:rPr>
                <w:sz w:val="16"/>
              </w:rPr>
              <w:t>Total</w:t>
            </w:r>
            <w:r>
              <w:rPr>
                <w:spacing w:val="-6"/>
                <w:sz w:val="16"/>
              </w:rPr>
              <w:t xml:space="preserve"> </w:t>
            </w:r>
            <w:r>
              <w:rPr>
                <w:sz w:val="16"/>
              </w:rPr>
              <w:t>prescribed</w:t>
            </w:r>
            <w:r>
              <w:rPr>
                <w:spacing w:val="-7"/>
                <w:sz w:val="16"/>
              </w:rPr>
              <w:t xml:space="preserve"> </w:t>
            </w:r>
            <w:r>
              <w:rPr>
                <w:spacing w:val="-4"/>
                <w:sz w:val="16"/>
              </w:rPr>
              <w:t>opex</w:t>
            </w:r>
          </w:p>
        </w:tc>
        <w:tc>
          <w:tcPr>
            <w:tcW w:w="961" w:type="dxa"/>
            <w:tcBorders>
              <w:bottom w:val="nil"/>
            </w:tcBorders>
            <w:shd w:val="clear" w:color="auto" w:fill="BFBFBF"/>
          </w:tcPr>
          <w:p w14:paraId="31A333DC" w14:textId="77777777" w:rsidR="00141B97" w:rsidRDefault="00911D63">
            <w:pPr>
              <w:pStyle w:val="TableParagraph"/>
              <w:spacing w:before="19" w:line="216" w:lineRule="exact"/>
              <w:ind w:left="199" w:right="199"/>
              <w:jc w:val="center"/>
              <w:rPr>
                <w:sz w:val="18"/>
              </w:rPr>
            </w:pPr>
            <w:r>
              <w:rPr>
                <w:spacing w:val="-2"/>
                <w:sz w:val="18"/>
              </w:rPr>
              <w:t>22.85</w:t>
            </w:r>
          </w:p>
        </w:tc>
        <w:tc>
          <w:tcPr>
            <w:tcW w:w="899" w:type="dxa"/>
            <w:tcBorders>
              <w:bottom w:val="nil"/>
            </w:tcBorders>
            <w:shd w:val="clear" w:color="auto" w:fill="BFBFBF"/>
          </w:tcPr>
          <w:p w14:paraId="5D094760" w14:textId="77777777" w:rsidR="00141B97" w:rsidRDefault="00911D63">
            <w:pPr>
              <w:pStyle w:val="TableParagraph"/>
              <w:spacing w:before="19" w:line="216" w:lineRule="exact"/>
              <w:ind w:left="168" w:right="168"/>
              <w:jc w:val="center"/>
              <w:rPr>
                <w:sz w:val="18"/>
              </w:rPr>
            </w:pPr>
            <w:r>
              <w:rPr>
                <w:spacing w:val="-2"/>
                <w:sz w:val="18"/>
              </w:rPr>
              <w:t>22.15</w:t>
            </w:r>
          </w:p>
        </w:tc>
        <w:tc>
          <w:tcPr>
            <w:tcW w:w="978" w:type="dxa"/>
            <w:tcBorders>
              <w:bottom w:val="nil"/>
            </w:tcBorders>
            <w:shd w:val="clear" w:color="auto" w:fill="BFBFBF"/>
          </w:tcPr>
          <w:p w14:paraId="48042084" w14:textId="77777777" w:rsidR="00141B97" w:rsidRDefault="00911D63">
            <w:pPr>
              <w:pStyle w:val="TableParagraph"/>
              <w:spacing w:before="19" w:line="216" w:lineRule="exact"/>
              <w:ind w:left="207" w:right="208"/>
              <w:jc w:val="center"/>
              <w:rPr>
                <w:sz w:val="18"/>
              </w:rPr>
            </w:pPr>
            <w:r>
              <w:rPr>
                <w:spacing w:val="-2"/>
                <w:sz w:val="18"/>
              </w:rPr>
              <w:t>20.72</w:t>
            </w:r>
          </w:p>
        </w:tc>
        <w:tc>
          <w:tcPr>
            <w:tcW w:w="978" w:type="dxa"/>
            <w:tcBorders>
              <w:bottom w:val="nil"/>
            </w:tcBorders>
            <w:shd w:val="clear" w:color="auto" w:fill="BFBFBF"/>
          </w:tcPr>
          <w:p w14:paraId="61603E58" w14:textId="77777777" w:rsidR="00141B97" w:rsidRDefault="00911D63">
            <w:pPr>
              <w:pStyle w:val="TableParagraph"/>
              <w:spacing w:before="19" w:line="216" w:lineRule="exact"/>
              <w:ind w:left="207" w:right="208"/>
              <w:jc w:val="center"/>
              <w:rPr>
                <w:sz w:val="18"/>
              </w:rPr>
            </w:pPr>
            <w:r>
              <w:rPr>
                <w:spacing w:val="-2"/>
                <w:sz w:val="18"/>
              </w:rPr>
              <w:t>20.82</w:t>
            </w:r>
          </w:p>
        </w:tc>
        <w:tc>
          <w:tcPr>
            <w:tcW w:w="978" w:type="dxa"/>
            <w:tcBorders>
              <w:bottom w:val="nil"/>
            </w:tcBorders>
            <w:shd w:val="clear" w:color="auto" w:fill="BFBFBF"/>
          </w:tcPr>
          <w:p w14:paraId="4444A05E" w14:textId="77777777" w:rsidR="00141B97" w:rsidRDefault="00911D63">
            <w:pPr>
              <w:pStyle w:val="TableParagraph"/>
              <w:spacing w:before="19" w:line="216" w:lineRule="exact"/>
              <w:ind w:left="207" w:right="208"/>
              <w:jc w:val="center"/>
              <w:rPr>
                <w:sz w:val="18"/>
              </w:rPr>
            </w:pPr>
            <w:r>
              <w:rPr>
                <w:spacing w:val="-2"/>
                <w:sz w:val="18"/>
              </w:rPr>
              <w:t>21.46</w:t>
            </w:r>
          </w:p>
        </w:tc>
        <w:tc>
          <w:tcPr>
            <w:tcW w:w="978" w:type="dxa"/>
            <w:tcBorders>
              <w:bottom w:val="nil"/>
            </w:tcBorders>
            <w:shd w:val="clear" w:color="auto" w:fill="BFBFBF"/>
          </w:tcPr>
          <w:p w14:paraId="17C90D4B" w14:textId="77777777" w:rsidR="00141B97" w:rsidRDefault="00911D63">
            <w:pPr>
              <w:pStyle w:val="TableParagraph"/>
              <w:spacing w:before="19" w:line="216" w:lineRule="exact"/>
              <w:ind w:left="207" w:right="208"/>
              <w:jc w:val="center"/>
              <w:rPr>
                <w:sz w:val="18"/>
              </w:rPr>
            </w:pPr>
            <w:r>
              <w:rPr>
                <w:spacing w:val="-2"/>
                <w:sz w:val="18"/>
              </w:rPr>
              <w:t>21.81</w:t>
            </w:r>
          </w:p>
        </w:tc>
        <w:tc>
          <w:tcPr>
            <w:tcW w:w="978" w:type="dxa"/>
            <w:tcBorders>
              <w:bottom w:val="nil"/>
            </w:tcBorders>
            <w:shd w:val="clear" w:color="auto" w:fill="BFBFBF"/>
          </w:tcPr>
          <w:p w14:paraId="170FB33E" w14:textId="77777777" w:rsidR="00141B97" w:rsidRDefault="00911D63">
            <w:pPr>
              <w:pStyle w:val="TableParagraph"/>
              <w:spacing w:before="19" w:line="216" w:lineRule="exact"/>
              <w:ind w:left="207" w:right="208"/>
              <w:jc w:val="center"/>
              <w:rPr>
                <w:sz w:val="18"/>
              </w:rPr>
            </w:pPr>
            <w:r>
              <w:rPr>
                <w:spacing w:val="-2"/>
                <w:sz w:val="18"/>
              </w:rPr>
              <w:t>21.39</w:t>
            </w:r>
          </w:p>
        </w:tc>
        <w:tc>
          <w:tcPr>
            <w:tcW w:w="968" w:type="dxa"/>
            <w:tcBorders>
              <w:bottom w:val="nil"/>
              <w:right w:val="nil"/>
            </w:tcBorders>
            <w:shd w:val="clear" w:color="auto" w:fill="BFBFBF"/>
          </w:tcPr>
          <w:p w14:paraId="505BFF74" w14:textId="77777777" w:rsidR="00141B97" w:rsidRDefault="00911D63">
            <w:pPr>
              <w:pStyle w:val="TableParagraph"/>
              <w:spacing w:before="19" w:line="216" w:lineRule="exact"/>
              <w:ind w:left="224" w:right="214"/>
              <w:jc w:val="center"/>
              <w:rPr>
                <w:sz w:val="18"/>
              </w:rPr>
            </w:pPr>
            <w:r>
              <w:rPr>
                <w:spacing w:val="-2"/>
                <w:sz w:val="18"/>
              </w:rPr>
              <w:t>106.20</w:t>
            </w:r>
          </w:p>
        </w:tc>
      </w:tr>
    </w:tbl>
    <w:p w14:paraId="386ADDF7" w14:textId="77777777" w:rsidR="00141B97" w:rsidRDefault="00911D63">
      <w:pPr>
        <w:spacing w:before="27"/>
        <w:ind w:left="114"/>
        <w:jc w:val="both"/>
        <w:rPr>
          <w:sz w:val="16"/>
        </w:rPr>
      </w:pPr>
      <w:r>
        <w:rPr>
          <w:sz w:val="16"/>
        </w:rPr>
        <w:t>Table</w:t>
      </w:r>
      <w:r>
        <w:rPr>
          <w:spacing w:val="-4"/>
          <w:sz w:val="16"/>
        </w:rPr>
        <w:t xml:space="preserve"> </w:t>
      </w:r>
      <w:r>
        <w:rPr>
          <w:sz w:val="16"/>
        </w:rPr>
        <w:t>C18:</w:t>
      </w:r>
      <w:r>
        <w:rPr>
          <w:spacing w:val="-5"/>
          <w:sz w:val="16"/>
        </w:rPr>
        <w:t xml:space="preserve"> </w:t>
      </w:r>
      <w:r>
        <w:rPr>
          <w:sz w:val="16"/>
        </w:rPr>
        <w:t>Actual</w:t>
      </w:r>
      <w:r>
        <w:rPr>
          <w:spacing w:val="-5"/>
          <w:sz w:val="16"/>
        </w:rPr>
        <w:t xml:space="preserve"> </w:t>
      </w:r>
      <w:r>
        <w:rPr>
          <w:sz w:val="16"/>
        </w:rPr>
        <w:t>and</w:t>
      </w:r>
      <w:r>
        <w:rPr>
          <w:spacing w:val="-5"/>
          <w:sz w:val="16"/>
        </w:rPr>
        <w:t xml:space="preserve"> </w:t>
      </w:r>
      <w:r>
        <w:rPr>
          <w:sz w:val="16"/>
        </w:rPr>
        <w:t>Planned</w:t>
      </w:r>
      <w:r>
        <w:rPr>
          <w:spacing w:val="-6"/>
          <w:sz w:val="16"/>
        </w:rPr>
        <w:t xml:space="preserve"> </w:t>
      </w:r>
      <w:r>
        <w:rPr>
          <w:sz w:val="16"/>
        </w:rPr>
        <w:t>Operating</w:t>
      </w:r>
      <w:r>
        <w:rPr>
          <w:spacing w:val="-5"/>
          <w:sz w:val="16"/>
        </w:rPr>
        <w:t xml:space="preserve"> </w:t>
      </w:r>
      <w:r>
        <w:rPr>
          <w:sz w:val="16"/>
        </w:rPr>
        <w:t>Expenditure</w:t>
      </w:r>
      <w:r>
        <w:rPr>
          <w:spacing w:val="-5"/>
          <w:sz w:val="16"/>
        </w:rPr>
        <w:t xml:space="preserve"> </w:t>
      </w:r>
      <w:r>
        <w:rPr>
          <w:sz w:val="16"/>
        </w:rPr>
        <w:t>($m</w:t>
      </w:r>
      <w:r>
        <w:rPr>
          <w:spacing w:val="-5"/>
          <w:sz w:val="16"/>
        </w:rPr>
        <w:t xml:space="preserve"> </w:t>
      </w:r>
      <w:r>
        <w:rPr>
          <w:spacing w:val="-2"/>
          <w:sz w:val="16"/>
        </w:rPr>
        <w:t>1/1/23)</w:t>
      </w:r>
    </w:p>
    <w:p w14:paraId="76D225AB" w14:textId="77777777" w:rsidR="00141B97" w:rsidRDefault="00141B97">
      <w:pPr>
        <w:pStyle w:val="BodyText"/>
        <w:spacing w:before="11"/>
        <w:rPr>
          <w:sz w:val="21"/>
        </w:rPr>
      </w:pPr>
    </w:p>
    <w:p w14:paraId="76FC0243" w14:textId="77777777" w:rsidR="00141B97" w:rsidRDefault="00911D63">
      <w:pPr>
        <w:pStyle w:val="BodyText"/>
        <w:spacing w:before="1"/>
        <w:ind w:left="114" w:right="949"/>
        <w:jc w:val="both"/>
      </w:pPr>
      <w:r>
        <w:t>The</w:t>
      </w:r>
      <w:r>
        <w:rPr>
          <w:spacing w:val="-6"/>
        </w:rPr>
        <w:t xml:space="preserve"> </w:t>
      </w:r>
      <w:r>
        <w:t>table</w:t>
      </w:r>
      <w:r>
        <w:rPr>
          <w:spacing w:val="-6"/>
        </w:rPr>
        <w:t xml:space="preserve"> </w:t>
      </w:r>
      <w:r>
        <w:t>separates</w:t>
      </w:r>
      <w:r>
        <w:rPr>
          <w:spacing w:val="-6"/>
        </w:rPr>
        <w:t xml:space="preserve"> </w:t>
      </w:r>
      <w:r>
        <w:t>out</w:t>
      </w:r>
      <w:r>
        <w:rPr>
          <w:spacing w:val="-6"/>
        </w:rPr>
        <w:t xml:space="preserve"> </w:t>
      </w:r>
      <w:r>
        <w:t>the</w:t>
      </w:r>
      <w:r>
        <w:rPr>
          <w:spacing w:val="-6"/>
        </w:rPr>
        <w:t xml:space="preserve"> </w:t>
      </w:r>
      <w:r>
        <w:t>costs</w:t>
      </w:r>
      <w:r>
        <w:rPr>
          <w:spacing w:val="-5"/>
        </w:rPr>
        <w:t xml:space="preserve"> </w:t>
      </w:r>
      <w:r>
        <w:t>that</w:t>
      </w:r>
      <w:r>
        <w:rPr>
          <w:spacing w:val="-6"/>
        </w:rPr>
        <w:t xml:space="preserve"> </w:t>
      </w:r>
      <w:r>
        <w:t>are</w:t>
      </w:r>
      <w:r>
        <w:rPr>
          <w:spacing w:val="-6"/>
        </w:rPr>
        <w:t xml:space="preserve"> </w:t>
      </w:r>
      <w:r>
        <w:t>controllable</w:t>
      </w:r>
      <w:r>
        <w:rPr>
          <w:spacing w:val="-8"/>
        </w:rPr>
        <w:t xml:space="preserve"> </w:t>
      </w:r>
      <w:r>
        <w:t>by</w:t>
      </w:r>
      <w:r>
        <w:rPr>
          <w:spacing w:val="-5"/>
        </w:rPr>
        <w:t xml:space="preserve"> </w:t>
      </w:r>
      <w:r>
        <w:t>LMW</w:t>
      </w:r>
      <w:r>
        <w:rPr>
          <w:spacing w:val="-5"/>
        </w:rPr>
        <w:t xml:space="preserve"> </w:t>
      </w:r>
      <w:r>
        <w:t>and</w:t>
      </w:r>
      <w:r>
        <w:rPr>
          <w:spacing w:val="-6"/>
        </w:rPr>
        <w:t xml:space="preserve"> </w:t>
      </w:r>
      <w:r>
        <w:t>those</w:t>
      </w:r>
      <w:r>
        <w:rPr>
          <w:spacing w:val="-5"/>
        </w:rPr>
        <w:t xml:space="preserve"> </w:t>
      </w:r>
      <w:r>
        <w:t>that</w:t>
      </w:r>
      <w:r>
        <w:rPr>
          <w:spacing w:val="-5"/>
        </w:rPr>
        <w:t xml:space="preserve"> </w:t>
      </w:r>
      <w:r>
        <w:t>are</w:t>
      </w:r>
      <w:r>
        <w:rPr>
          <w:spacing w:val="-6"/>
        </w:rPr>
        <w:t xml:space="preserve"> </w:t>
      </w:r>
      <w:r>
        <w:t>non‐controllable.</w:t>
      </w:r>
      <w:r>
        <w:rPr>
          <w:spacing w:val="-6"/>
        </w:rPr>
        <w:t xml:space="preserve"> </w:t>
      </w:r>
      <w:r>
        <w:t>The</w:t>
      </w:r>
      <w:r>
        <w:rPr>
          <w:spacing w:val="-5"/>
        </w:rPr>
        <w:t xml:space="preserve"> </w:t>
      </w:r>
      <w:r>
        <w:t>largest portion of these non‐controllable costs, $17.11m, are pass through fees detailed below in Section 4.3.2, with the balance of $3.04m comprising environmental levy contribution and regulatory licence fees of the ESC. Material expenditure impacts are discussed below.</w:t>
      </w:r>
    </w:p>
    <w:p w14:paraId="3CEFA8F8" w14:textId="77777777" w:rsidR="00141B97" w:rsidRDefault="00141B97">
      <w:pPr>
        <w:pStyle w:val="BodyText"/>
        <w:spacing w:before="8"/>
        <w:rPr>
          <w:sz w:val="19"/>
        </w:rPr>
      </w:pPr>
    </w:p>
    <w:p w14:paraId="513209D6" w14:textId="77777777" w:rsidR="00141B97" w:rsidRDefault="00911D63">
      <w:pPr>
        <w:pStyle w:val="ListParagraph"/>
        <w:numPr>
          <w:ilvl w:val="3"/>
          <w:numId w:val="37"/>
        </w:numPr>
        <w:tabs>
          <w:tab w:val="left" w:pos="1113"/>
        </w:tabs>
        <w:spacing w:before="1"/>
        <w:ind w:hanging="1000"/>
        <w:jc w:val="both"/>
        <w:rPr>
          <w:i/>
        </w:rPr>
      </w:pPr>
      <w:r>
        <w:rPr>
          <w:i/>
          <w:spacing w:val="-2"/>
        </w:rPr>
        <w:t>Electricity</w:t>
      </w:r>
    </w:p>
    <w:p w14:paraId="07B0251F" w14:textId="77777777" w:rsidR="00141B97" w:rsidRDefault="00911D63">
      <w:pPr>
        <w:pStyle w:val="BodyText"/>
        <w:spacing w:before="59"/>
        <w:ind w:left="113" w:right="949"/>
        <w:jc w:val="both"/>
      </w:pPr>
      <w:r>
        <w:t>A significant decrease in the electricity forecast</w:t>
      </w:r>
      <w:r>
        <w:rPr>
          <w:spacing w:val="-1"/>
        </w:rPr>
        <w:t xml:space="preserve"> </w:t>
      </w:r>
      <w:r>
        <w:t>from the current period is due to the stabilisation of electricity prices compared to the significant increases anticipated in 2017 during the development of PS4. For PS5, forecasts for electricity costs are based on:</w:t>
      </w:r>
    </w:p>
    <w:p w14:paraId="0B8CC997" w14:textId="77777777" w:rsidR="00141B97" w:rsidRDefault="00911D63">
      <w:pPr>
        <w:pStyle w:val="ListParagraph"/>
        <w:numPr>
          <w:ilvl w:val="4"/>
          <w:numId w:val="37"/>
        </w:numPr>
        <w:tabs>
          <w:tab w:val="left" w:pos="834"/>
        </w:tabs>
        <w:spacing w:before="1"/>
        <w:ind w:right="951" w:hanging="360"/>
        <w:jc w:val="both"/>
        <w:rPr>
          <w:rFonts w:ascii="Symbol" w:hAnsi="Symbol"/>
        </w:rPr>
      </w:pPr>
      <w:r>
        <w:t>A Victorian water industry (agency‐wide) forecast for energy prices and overall demand prepared by Schneider Electric to provide an informed and consistent basis across the State’s water businesses.</w:t>
      </w:r>
    </w:p>
    <w:p w14:paraId="331E6997" w14:textId="77777777" w:rsidR="00141B97" w:rsidRDefault="00911D63">
      <w:pPr>
        <w:pStyle w:val="ListParagraph"/>
        <w:numPr>
          <w:ilvl w:val="4"/>
          <w:numId w:val="37"/>
        </w:numPr>
        <w:tabs>
          <w:tab w:val="left" w:pos="834"/>
        </w:tabs>
        <w:ind w:right="946" w:hanging="361"/>
        <w:jc w:val="both"/>
        <w:rPr>
          <w:rFonts w:ascii="Symbol" w:hAnsi="Symbol"/>
        </w:rPr>
      </w:pPr>
      <w:r>
        <w:t>Modelling of forecast energy costs by Schneider Electric based on these forecast prices, applied to LMW’s site‐specific and seasonal energy requirements for:</w:t>
      </w:r>
    </w:p>
    <w:p w14:paraId="30C5A77D" w14:textId="77777777" w:rsidR="00141B97" w:rsidRDefault="00911D63">
      <w:pPr>
        <w:pStyle w:val="ListParagraph"/>
        <w:numPr>
          <w:ilvl w:val="5"/>
          <w:numId w:val="37"/>
        </w:numPr>
        <w:tabs>
          <w:tab w:val="left" w:pos="1402"/>
        </w:tabs>
        <w:spacing w:line="280" w:lineRule="exact"/>
        <w:ind w:hanging="361"/>
        <w:jc w:val="both"/>
      </w:pPr>
      <w:r>
        <w:t>Energy</w:t>
      </w:r>
      <w:r>
        <w:rPr>
          <w:spacing w:val="-8"/>
        </w:rPr>
        <w:t xml:space="preserve"> </w:t>
      </w:r>
      <w:r>
        <w:t>and</w:t>
      </w:r>
      <w:r>
        <w:rPr>
          <w:spacing w:val="-6"/>
        </w:rPr>
        <w:t xml:space="preserve"> </w:t>
      </w:r>
      <w:r>
        <w:t>other</w:t>
      </w:r>
      <w:r>
        <w:rPr>
          <w:spacing w:val="-6"/>
        </w:rPr>
        <w:t xml:space="preserve"> </w:t>
      </w:r>
      <w:r>
        <w:t>electricity</w:t>
      </w:r>
      <w:r>
        <w:rPr>
          <w:spacing w:val="-7"/>
        </w:rPr>
        <w:t xml:space="preserve"> </w:t>
      </w:r>
      <w:r>
        <w:t>bill</w:t>
      </w:r>
      <w:r>
        <w:rPr>
          <w:spacing w:val="-6"/>
        </w:rPr>
        <w:t xml:space="preserve"> </w:t>
      </w:r>
      <w:r>
        <w:t>tariff</w:t>
      </w:r>
      <w:r>
        <w:rPr>
          <w:spacing w:val="-7"/>
        </w:rPr>
        <w:t xml:space="preserve"> </w:t>
      </w:r>
      <w:r>
        <w:rPr>
          <w:spacing w:val="-2"/>
        </w:rPr>
        <w:t>components.</w:t>
      </w:r>
    </w:p>
    <w:p w14:paraId="29B733E3" w14:textId="77777777" w:rsidR="00141B97" w:rsidRDefault="00911D63">
      <w:pPr>
        <w:pStyle w:val="ListParagraph"/>
        <w:numPr>
          <w:ilvl w:val="5"/>
          <w:numId w:val="37"/>
        </w:numPr>
        <w:tabs>
          <w:tab w:val="left" w:pos="1402"/>
        </w:tabs>
        <w:ind w:hanging="361"/>
        <w:jc w:val="both"/>
      </w:pPr>
      <w:r>
        <w:t>Large</w:t>
      </w:r>
      <w:r>
        <w:rPr>
          <w:spacing w:val="-11"/>
        </w:rPr>
        <w:t xml:space="preserve"> </w:t>
      </w:r>
      <w:r>
        <w:t>Generator</w:t>
      </w:r>
      <w:r>
        <w:rPr>
          <w:spacing w:val="-8"/>
        </w:rPr>
        <w:t xml:space="preserve"> </w:t>
      </w:r>
      <w:r>
        <w:t>Certificate</w:t>
      </w:r>
      <w:r>
        <w:rPr>
          <w:spacing w:val="-10"/>
        </w:rPr>
        <w:t xml:space="preserve"> </w:t>
      </w:r>
      <w:r>
        <w:t>(LGC)</w:t>
      </w:r>
      <w:r>
        <w:rPr>
          <w:spacing w:val="-9"/>
        </w:rPr>
        <w:t xml:space="preserve"> </w:t>
      </w:r>
      <w:r>
        <w:t>pricing</w:t>
      </w:r>
      <w:r>
        <w:rPr>
          <w:spacing w:val="-9"/>
        </w:rPr>
        <w:t xml:space="preserve"> </w:t>
      </w:r>
      <w:r>
        <w:t>for</w:t>
      </w:r>
      <w:r>
        <w:rPr>
          <w:spacing w:val="-9"/>
        </w:rPr>
        <w:t xml:space="preserve"> </w:t>
      </w:r>
      <w:r>
        <w:t>the</w:t>
      </w:r>
      <w:r>
        <w:rPr>
          <w:spacing w:val="-10"/>
        </w:rPr>
        <w:t xml:space="preserve"> </w:t>
      </w:r>
      <w:r>
        <w:t>emission</w:t>
      </w:r>
      <w:r>
        <w:rPr>
          <w:spacing w:val="-9"/>
        </w:rPr>
        <w:t xml:space="preserve"> </w:t>
      </w:r>
      <w:r>
        <w:t>reduction</w:t>
      </w:r>
      <w:r>
        <w:rPr>
          <w:spacing w:val="-8"/>
        </w:rPr>
        <w:t xml:space="preserve"> </w:t>
      </w:r>
      <w:r>
        <w:rPr>
          <w:spacing w:val="-2"/>
        </w:rPr>
        <w:t>requirements.</w:t>
      </w:r>
    </w:p>
    <w:p w14:paraId="744E5E42" w14:textId="77777777" w:rsidR="00141B97" w:rsidRDefault="00141B97">
      <w:pPr>
        <w:pStyle w:val="BodyText"/>
        <w:spacing w:before="8"/>
        <w:rPr>
          <w:sz w:val="23"/>
        </w:rPr>
      </w:pPr>
    </w:p>
    <w:p w14:paraId="7D82FF29" w14:textId="77777777" w:rsidR="00141B97" w:rsidRDefault="00911D63">
      <w:pPr>
        <w:pStyle w:val="BodyText"/>
        <w:spacing w:line="259" w:lineRule="auto"/>
        <w:ind w:left="113" w:right="949" w:hanging="1"/>
        <w:jc w:val="both"/>
      </w:pPr>
      <w:r>
        <w:t>The</w:t>
      </w:r>
      <w:r>
        <w:rPr>
          <w:spacing w:val="-7"/>
        </w:rPr>
        <w:t xml:space="preserve"> </w:t>
      </w:r>
      <w:r>
        <w:t>State</w:t>
      </w:r>
      <w:r>
        <w:rPr>
          <w:spacing w:val="-6"/>
        </w:rPr>
        <w:t xml:space="preserve"> </w:t>
      </w:r>
      <w:r>
        <w:t>Government</w:t>
      </w:r>
      <w:r>
        <w:rPr>
          <w:spacing w:val="-6"/>
        </w:rPr>
        <w:t xml:space="preserve"> </w:t>
      </w:r>
      <w:r>
        <w:t>mandates</w:t>
      </w:r>
      <w:r>
        <w:rPr>
          <w:spacing w:val="-5"/>
        </w:rPr>
        <w:t xml:space="preserve"> </w:t>
      </w:r>
      <w:r>
        <w:t>that,</w:t>
      </w:r>
      <w:r>
        <w:rPr>
          <w:spacing w:val="-7"/>
        </w:rPr>
        <w:t xml:space="preserve"> </w:t>
      </w:r>
      <w:r>
        <w:t>from</w:t>
      </w:r>
      <w:r>
        <w:rPr>
          <w:spacing w:val="-6"/>
        </w:rPr>
        <w:t xml:space="preserve"> </w:t>
      </w:r>
      <w:r>
        <w:t>1</w:t>
      </w:r>
      <w:r>
        <w:rPr>
          <w:spacing w:val="-5"/>
        </w:rPr>
        <w:t xml:space="preserve"> </w:t>
      </w:r>
      <w:r>
        <w:t>July</w:t>
      </w:r>
      <w:r>
        <w:rPr>
          <w:spacing w:val="-5"/>
        </w:rPr>
        <w:t xml:space="preserve"> </w:t>
      </w:r>
      <w:r>
        <w:t>2023,</w:t>
      </w:r>
      <w:r>
        <w:rPr>
          <w:spacing w:val="-7"/>
        </w:rPr>
        <w:t xml:space="preserve"> </w:t>
      </w:r>
      <w:r>
        <w:t>LMW</w:t>
      </w:r>
      <w:r>
        <w:rPr>
          <w:spacing w:val="-7"/>
        </w:rPr>
        <w:t xml:space="preserve"> </w:t>
      </w:r>
      <w:r>
        <w:t>must</w:t>
      </w:r>
      <w:r>
        <w:rPr>
          <w:spacing w:val="-4"/>
        </w:rPr>
        <w:t xml:space="preserve"> </w:t>
      </w:r>
      <w:r>
        <w:t>participate</w:t>
      </w:r>
      <w:r>
        <w:rPr>
          <w:spacing w:val="-7"/>
        </w:rPr>
        <w:t xml:space="preserve"> </w:t>
      </w:r>
      <w:r>
        <w:t>in</w:t>
      </w:r>
      <w:r>
        <w:rPr>
          <w:spacing w:val="-4"/>
        </w:rPr>
        <w:t xml:space="preserve"> </w:t>
      </w:r>
      <w:r>
        <w:t>the</w:t>
      </w:r>
      <w:r>
        <w:rPr>
          <w:spacing w:val="-6"/>
        </w:rPr>
        <w:t xml:space="preserve"> </w:t>
      </w:r>
      <w:r>
        <w:t>large</w:t>
      </w:r>
      <w:r>
        <w:rPr>
          <w:spacing w:val="-6"/>
        </w:rPr>
        <w:t xml:space="preserve"> </w:t>
      </w:r>
      <w:r>
        <w:t>and</w:t>
      </w:r>
      <w:r>
        <w:rPr>
          <w:spacing w:val="-4"/>
        </w:rPr>
        <w:t xml:space="preserve"> </w:t>
      </w:r>
      <w:r>
        <w:t>small</w:t>
      </w:r>
      <w:r>
        <w:rPr>
          <w:spacing w:val="-6"/>
        </w:rPr>
        <w:t xml:space="preserve"> </w:t>
      </w:r>
      <w:r>
        <w:t>electricity State purchase contracts via the Victorian Government Purchasing Board (VGPB). These contracts have been</w:t>
      </w:r>
    </w:p>
    <w:p w14:paraId="2583CB65" w14:textId="77777777" w:rsidR="00141B97" w:rsidRDefault="00141B97">
      <w:pPr>
        <w:spacing w:line="259" w:lineRule="auto"/>
        <w:jc w:val="both"/>
        <w:sectPr w:rsidR="00141B97">
          <w:pgSz w:w="11910" w:h="16840"/>
          <w:pgMar w:top="820" w:right="40" w:bottom="780" w:left="1020" w:header="0" w:footer="586" w:gutter="0"/>
          <w:cols w:space="720"/>
        </w:sectPr>
      </w:pPr>
    </w:p>
    <w:p w14:paraId="4C1EB323" w14:textId="77777777" w:rsidR="00141B97" w:rsidRDefault="00911D63">
      <w:pPr>
        <w:pStyle w:val="BodyText"/>
        <w:spacing w:before="31" w:line="259" w:lineRule="auto"/>
        <w:ind w:left="114" w:right="947" w:hanging="1"/>
        <w:jc w:val="both"/>
      </w:pPr>
      <w:r>
        <w:lastRenderedPageBreak/>
        <w:t>largely</w:t>
      </w:r>
      <w:r>
        <w:rPr>
          <w:spacing w:val="-8"/>
        </w:rPr>
        <w:t xml:space="preserve"> </w:t>
      </w:r>
      <w:r>
        <w:t>locked</w:t>
      </w:r>
      <w:r>
        <w:rPr>
          <w:spacing w:val="-8"/>
        </w:rPr>
        <w:t xml:space="preserve"> </w:t>
      </w:r>
      <w:r>
        <w:t>in</w:t>
      </w:r>
      <w:r>
        <w:rPr>
          <w:spacing w:val="-8"/>
        </w:rPr>
        <w:t xml:space="preserve"> </w:t>
      </w:r>
      <w:r>
        <w:t>for</w:t>
      </w:r>
      <w:r>
        <w:rPr>
          <w:spacing w:val="-8"/>
        </w:rPr>
        <w:t xml:space="preserve"> </w:t>
      </w:r>
      <w:r>
        <w:t>the</w:t>
      </w:r>
      <w:r>
        <w:rPr>
          <w:spacing w:val="-8"/>
        </w:rPr>
        <w:t xml:space="preserve"> </w:t>
      </w:r>
      <w:r>
        <w:t>next</w:t>
      </w:r>
      <w:r>
        <w:rPr>
          <w:spacing w:val="-9"/>
        </w:rPr>
        <w:t xml:space="preserve"> </w:t>
      </w:r>
      <w:r>
        <w:t>three</w:t>
      </w:r>
      <w:r>
        <w:rPr>
          <w:spacing w:val="-8"/>
        </w:rPr>
        <w:t xml:space="preserve"> </w:t>
      </w:r>
      <w:r>
        <w:t>years,</w:t>
      </w:r>
      <w:r>
        <w:rPr>
          <w:spacing w:val="-7"/>
        </w:rPr>
        <w:t xml:space="preserve"> </w:t>
      </w:r>
      <w:r>
        <w:t>reducing</w:t>
      </w:r>
      <w:r>
        <w:rPr>
          <w:spacing w:val="-8"/>
        </w:rPr>
        <w:t xml:space="preserve"> </w:t>
      </w:r>
      <w:r>
        <w:t>volatility</w:t>
      </w:r>
      <w:r>
        <w:rPr>
          <w:spacing w:val="-8"/>
        </w:rPr>
        <w:t xml:space="preserve"> </w:t>
      </w:r>
      <w:r>
        <w:t>in</w:t>
      </w:r>
      <w:r>
        <w:rPr>
          <w:spacing w:val="-8"/>
        </w:rPr>
        <w:t xml:space="preserve"> </w:t>
      </w:r>
      <w:r>
        <w:t>prices</w:t>
      </w:r>
      <w:r>
        <w:rPr>
          <w:spacing w:val="-7"/>
        </w:rPr>
        <w:t xml:space="preserve"> </w:t>
      </w:r>
      <w:r>
        <w:t>in</w:t>
      </w:r>
      <w:r>
        <w:rPr>
          <w:spacing w:val="-8"/>
        </w:rPr>
        <w:t xml:space="preserve"> </w:t>
      </w:r>
      <w:r>
        <w:t>the</w:t>
      </w:r>
      <w:r>
        <w:rPr>
          <w:spacing w:val="-8"/>
        </w:rPr>
        <w:t xml:space="preserve"> </w:t>
      </w:r>
      <w:r>
        <w:t>short</w:t>
      </w:r>
      <w:r>
        <w:rPr>
          <w:spacing w:val="-8"/>
        </w:rPr>
        <w:t xml:space="preserve"> </w:t>
      </w:r>
      <w:r>
        <w:t>term</w:t>
      </w:r>
      <w:r>
        <w:rPr>
          <w:spacing w:val="-8"/>
        </w:rPr>
        <w:t xml:space="preserve"> </w:t>
      </w:r>
      <w:r>
        <w:t>and</w:t>
      </w:r>
      <w:r>
        <w:rPr>
          <w:spacing w:val="-8"/>
        </w:rPr>
        <w:t xml:space="preserve"> </w:t>
      </w:r>
      <w:r>
        <w:t>high</w:t>
      </w:r>
      <w:r>
        <w:rPr>
          <w:spacing w:val="-7"/>
        </w:rPr>
        <w:t xml:space="preserve"> </w:t>
      </w:r>
      <w:r>
        <w:t>energy</w:t>
      </w:r>
      <w:r>
        <w:rPr>
          <w:spacing w:val="-9"/>
        </w:rPr>
        <w:t xml:space="preserve"> </w:t>
      </w:r>
      <w:r>
        <w:t>price</w:t>
      </w:r>
      <w:r>
        <w:rPr>
          <w:spacing w:val="-10"/>
        </w:rPr>
        <w:t xml:space="preserve"> </w:t>
      </w:r>
      <w:r>
        <w:t xml:space="preserve">risk </w:t>
      </w:r>
      <w:r>
        <w:rPr>
          <w:spacing w:val="-2"/>
        </w:rPr>
        <w:t>subsequently.</w:t>
      </w:r>
    </w:p>
    <w:p w14:paraId="50CB3090" w14:textId="77777777" w:rsidR="00141B97" w:rsidRDefault="00141B97">
      <w:pPr>
        <w:pStyle w:val="BodyText"/>
        <w:spacing w:before="9"/>
        <w:rPr>
          <w:sz w:val="23"/>
        </w:rPr>
      </w:pPr>
    </w:p>
    <w:p w14:paraId="1E12DEE7" w14:textId="77777777" w:rsidR="00141B97" w:rsidRDefault="00911D63">
      <w:pPr>
        <w:pStyle w:val="BodyText"/>
        <w:spacing w:line="259" w:lineRule="auto"/>
        <w:ind w:left="113" w:right="948"/>
        <w:jc w:val="both"/>
      </w:pPr>
      <w:r>
        <w:t>For the PS4 period, LMW has had an ‘electricity collar’ mechanism in its rural and urban price paths to enable significant electricity price variations outside specified upper and lower bounds to</w:t>
      </w:r>
      <w:r>
        <w:rPr>
          <w:spacing w:val="-1"/>
        </w:rPr>
        <w:t xml:space="preserve"> </w:t>
      </w:r>
      <w:r>
        <w:t>be reflected</w:t>
      </w:r>
      <w:r>
        <w:rPr>
          <w:spacing w:val="-1"/>
        </w:rPr>
        <w:t xml:space="preserve"> </w:t>
      </w:r>
      <w:r>
        <w:t>in either higher or</w:t>
      </w:r>
      <w:r>
        <w:rPr>
          <w:spacing w:val="-2"/>
        </w:rPr>
        <w:t xml:space="preserve"> </w:t>
      </w:r>
      <w:r>
        <w:t>lower</w:t>
      </w:r>
      <w:r>
        <w:rPr>
          <w:spacing w:val="-2"/>
        </w:rPr>
        <w:t xml:space="preserve"> </w:t>
      </w:r>
      <w:r>
        <w:t>prices</w:t>
      </w:r>
      <w:r>
        <w:rPr>
          <w:spacing w:val="-3"/>
        </w:rPr>
        <w:t xml:space="preserve"> </w:t>
      </w:r>
      <w:r>
        <w:t>to</w:t>
      </w:r>
      <w:r>
        <w:rPr>
          <w:spacing w:val="-2"/>
        </w:rPr>
        <w:t xml:space="preserve"> </w:t>
      </w:r>
      <w:r>
        <w:t>customers.</w:t>
      </w:r>
      <w:r>
        <w:rPr>
          <w:spacing w:val="-2"/>
        </w:rPr>
        <w:t xml:space="preserve"> </w:t>
      </w:r>
      <w:r>
        <w:t>This</w:t>
      </w:r>
      <w:r>
        <w:rPr>
          <w:spacing w:val="-1"/>
        </w:rPr>
        <w:t xml:space="preserve"> </w:t>
      </w:r>
      <w:r>
        <w:t>mechanism</w:t>
      </w:r>
      <w:r>
        <w:rPr>
          <w:spacing w:val="-2"/>
        </w:rPr>
        <w:t xml:space="preserve"> </w:t>
      </w:r>
      <w:r>
        <w:t>has</w:t>
      </w:r>
      <w:r>
        <w:rPr>
          <w:spacing w:val="-2"/>
        </w:rPr>
        <w:t xml:space="preserve"> </w:t>
      </w:r>
      <w:r>
        <w:t>been</w:t>
      </w:r>
      <w:r>
        <w:rPr>
          <w:spacing w:val="-2"/>
        </w:rPr>
        <w:t xml:space="preserve"> </w:t>
      </w:r>
      <w:r>
        <w:t>carefully</w:t>
      </w:r>
      <w:r>
        <w:rPr>
          <w:spacing w:val="-1"/>
        </w:rPr>
        <w:t xml:space="preserve"> </w:t>
      </w:r>
      <w:r>
        <w:t>considered</w:t>
      </w:r>
      <w:r>
        <w:rPr>
          <w:spacing w:val="-1"/>
        </w:rPr>
        <w:t xml:space="preserve"> </w:t>
      </w:r>
      <w:r>
        <w:t>in</w:t>
      </w:r>
      <w:r>
        <w:rPr>
          <w:spacing w:val="-2"/>
        </w:rPr>
        <w:t xml:space="preserve"> </w:t>
      </w:r>
      <w:r>
        <w:t>the</w:t>
      </w:r>
      <w:r>
        <w:rPr>
          <w:spacing w:val="-2"/>
        </w:rPr>
        <w:t xml:space="preserve"> </w:t>
      </w:r>
      <w:r>
        <w:t>light</w:t>
      </w:r>
      <w:r>
        <w:rPr>
          <w:spacing w:val="-2"/>
        </w:rPr>
        <w:t xml:space="preserve"> </w:t>
      </w:r>
      <w:r>
        <w:t>of</w:t>
      </w:r>
      <w:r>
        <w:rPr>
          <w:spacing w:val="-1"/>
        </w:rPr>
        <w:t xml:space="preserve"> </w:t>
      </w:r>
      <w:r>
        <w:t>the</w:t>
      </w:r>
      <w:r>
        <w:rPr>
          <w:spacing w:val="-4"/>
        </w:rPr>
        <w:t xml:space="preserve"> </w:t>
      </w:r>
      <w:r>
        <w:t>current</w:t>
      </w:r>
      <w:r>
        <w:rPr>
          <w:spacing w:val="-2"/>
        </w:rPr>
        <w:t xml:space="preserve"> </w:t>
      </w:r>
      <w:r>
        <w:t>forecast and</w:t>
      </w:r>
      <w:r>
        <w:rPr>
          <w:spacing w:val="-3"/>
        </w:rPr>
        <w:t xml:space="preserve"> </w:t>
      </w:r>
      <w:r>
        <w:t>assessment</w:t>
      </w:r>
      <w:r>
        <w:rPr>
          <w:spacing w:val="-4"/>
        </w:rPr>
        <w:t xml:space="preserve"> </w:t>
      </w:r>
      <w:r>
        <w:t>of</w:t>
      </w:r>
      <w:r>
        <w:rPr>
          <w:spacing w:val="-3"/>
        </w:rPr>
        <w:t xml:space="preserve"> </w:t>
      </w:r>
      <w:r>
        <w:t>market</w:t>
      </w:r>
      <w:r>
        <w:rPr>
          <w:spacing w:val="-2"/>
        </w:rPr>
        <w:t xml:space="preserve"> </w:t>
      </w:r>
      <w:r>
        <w:t>volatility</w:t>
      </w:r>
      <w:r>
        <w:rPr>
          <w:spacing w:val="-3"/>
        </w:rPr>
        <w:t xml:space="preserve"> </w:t>
      </w:r>
      <w:r>
        <w:t>and</w:t>
      </w:r>
      <w:r>
        <w:rPr>
          <w:spacing w:val="-2"/>
        </w:rPr>
        <w:t xml:space="preserve"> </w:t>
      </w:r>
      <w:r>
        <w:t>the</w:t>
      </w:r>
      <w:r>
        <w:rPr>
          <w:spacing w:val="-2"/>
        </w:rPr>
        <w:t xml:space="preserve"> </w:t>
      </w:r>
      <w:r>
        <w:t>VGPB</w:t>
      </w:r>
      <w:r>
        <w:rPr>
          <w:spacing w:val="-2"/>
        </w:rPr>
        <w:t xml:space="preserve"> </w:t>
      </w:r>
      <w:r>
        <w:t>procurement</w:t>
      </w:r>
      <w:r>
        <w:rPr>
          <w:spacing w:val="-2"/>
        </w:rPr>
        <w:t xml:space="preserve"> </w:t>
      </w:r>
      <w:r>
        <w:t>arrangements,</w:t>
      </w:r>
      <w:r>
        <w:rPr>
          <w:spacing w:val="-3"/>
        </w:rPr>
        <w:t xml:space="preserve"> </w:t>
      </w:r>
      <w:r>
        <w:t>and</w:t>
      </w:r>
      <w:r>
        <w:rPr>
          <w:spacing w:val="-3"/>
        </w:rPr>
        <w:t xml:space="preserve"> </w:t>
      </w:r>
      <w:r>
        <w:t>the</w:t>
      </w:r>
      <w:r>
        <w:rPr>
          <w:spacing w:val="-2"/>
        </w:rPr>
        <w:t xml:space="preserve"> </w:t>
      </w:r>
      <w:r>
        <w:t>experience</w:t>
      </w:r>
      <w:r>
        <w:rPr>
          <w:spacing w:val="-2"/>
        </w:rPr>
        <w:t xml:space="preserve"> </w:t>
      </w:r>
      <w:r>
        <w:t>in</w:t>
      </w:r>
      <w:r>
        <w:rPr>
          <w:spacing w:val="-2"/>
        </w:rPr>
        <w:t xml:space="preserve"> </w:t>
      </w:r>
      <w:r>
        <w:t>the</w:t>
      </w:r>
      <w:r>
        <w:rPr>
          <w:spacing w:val="-4"/>
        </w:rPr>
        <w:t xml:space="preserve"> </w:t>
      </w:r>
      <w:r>
        <w:t>collar mechanism application during the PS4 period. While there has been very recent instability in the electricity market,</w:t>
      </w:r>
      <w:r>
        <w:rPr>
          <w:spacing w:val="-6"/>
        </w:rPr>
        <w:t xml:space="preserve"> </w:t>
      </w:r>
      <w:r>
        <w:t>LMW</w:t>
      </w:r>
      <w:r>
        <w:rPr>
          <w:spacing w:val="-7"/>
        </w:rPr>
        <w:t xml:space="preserve"> </w:t>
      </w:r>
      <w:r>
        <w:t>considers</w:t>
      </w:r>
      <w:r>
        <w:rPr>
          <w:spacing w:val="-6"/>
        </w:rPr>
        <w:t xml:space="preserve"> </w:t>
      </w:r>
      <w:r>
        <w:t>that</w:t>
      </w:r>
      <w:r>
        <w:rPr>
          <w:spacing w:val="-8"/>
        </w:rPr>
        <w:t xml:space="preserve"> </w:t>
      </w:r>
      <w:r>
        <w:t>the</w:t>
      </w:r>
      <w:r>
        <w:rPr>
          <w:spacing w:val="-7"/>
        </w:rPr>
        <w:t xml:space="preserve"> </w:t>
      </w:r>
      <w:r>
        <w:t>risk</w:t>
      </w:r>
      <w:r>
        <w:rPr>
          <w:spacing w:val="-6"/>
        </w:rPr>
        <w:t xml:space="preserve"> </w:t>
      </w:r>
      <w:r>
        <w:t>of</w:t>
      </w:r>
      <w:r>
        <w:rPr>
          <w:spacing w:val="-7"/>
        </w:rPr>
        <w:t xml:space="preserve"> </w:t>
      </w:r>
      <w:r>
        <w:t>material</w:t>
      </w:r>
      <w:r>
        <w:rPr>
          <w:spacing w:val="-9"/>
        </w:rPr>
        <w:t xml:space="preserve"> </w:t>
      </w:r>
      <w:r>
        <w:t>changes</w:t>
      </w:r>
      <w:r>
        <w:rPr>
          <w:spacing w:val="-7"/>
        </w:rPr>
        <w:t xml:space="preserve"> </w:t>
      </w:r>
      <w:r>
        <w:t>in</w:t>
      </w:r>
      <w:r>
        <w:rPr>
          <w:spacing w:val="-7"/>
        </w:rPr>
        <w:t xml:space="preserve"> </w:t>
      </w:r>
      <w:r>
        <w:t>electricity</w:t>
      </w:r>
      <w:r>
        <w:rPr>
          <w:spacing w:val="-8"/>
        </w:rPr>
        <w:t xml:space="preserve"> </w:t>
      </w:r>
      <w:r>
        <w:t>prices</w:t>
      </w:r>
      <w:r>
        <w:rPr>
          <w:spacing w:val="-7"/>
        </w:rPr>
        <w:t xml:space="preserve"> </w:t>
      </w:r>
      <w:r>
        <w:t>is</w:t>
      </w:r>
      <w:r>
        <w:rPr>
          <w:spacing w:val="-6"/>
        </w:rPr>
        <w:t xml:space="preserve"> </w:t>
      </w:r>
      <w:r>
        <w:t>sufficiently</w:t>
      </w:r>
      <w:r>
        <w:rPr>
          <w:spacing w:val="-6"/>
        </w:rPr>
        <w:t xml:space="preserve"> </w:t>
      </w:r>
      <w:r>
        <w:t>low</w:t>
      </w:r>
      <w:r>
        <w:rPr>
          <w:spacing w:val="-7"/>
        </w:rPr>
        <w:t xml:space="preserve"> </w:t>
      </w:r>
      <w:r>
        <w:t>to</w:t>
      </w:r>
      <w:r>
        <w:rPr>
          <w:spacing w:val="-7"/>
        </w:rPr>
        <w:t xml:space="preserve"> </w:t>
      </w:r>
      <w:r>
        <w:t>not</w:t>
      </w:r>
      <w:r>
        <w:rPr>
          <w:spacing w:val="-7"/>
        </w:rPr>
        <w:t xml:space="preserve"> </w:t>
      </w:r>
      <w:r>
        <w:t>extend</w:t>
      </w:r>
      <w:r>
        <w:rPr>
          <w:spacing w:val="-7"/>
        </w:rPr>
        <w:t xml:space="preserve"> </w:t>
      </w:r>
      <w:r>
        <w:t>the collar</w:t>
      </w:r>
      <w:r>
        <w:rPr>
          <w:spacing w:val="-5"/>
        </w:rPr>
        <w:t xml:space="preserve"> </w:t>
      </w:r>
      <w:r>
        <w:t>mechanism</w:t>
      </w:r>
      <w:r>
        <w:rPr>
          <w:spacing w:val="-5"/>
        </w:rPr>
        <w:t xml:space="preserve"> </w:t>
      </w:r>
      <w:r>
        <w:t>to</w:t>
      </w:r>
      <w:r>
        <w:rPr>
          <w:spacing w:val="-5"/>
        </w:rPr>
        <w:t xml:space="preserve"> </w:t>
      </w:r>
      <w:r>
        <w:t>the</w:t>
      </w:r>
      <w:r>
        <w:rPr>
          <w:spacing w:val="-6"/>
        </w:rPr>
        <w:t xml:space="preserve"> </w:t>
      </w:r>
      <w:r>
        <w:t>forthcoming</w:t>
      </w:r>
      <w:r>
        <w:rPr>
          <w:spacing w:val="-5"/>
        </w:rPr>
        <w:t xml:space="preserve"> </w:t>
      </w:r>
      <w:r>
        <w:t>period</w:t>
      </w:r>
      <w:r>
        <w:rPr>
          <w:spacing w:val="-6"/>
        </w:rPr>
        <w:t xml:space="preserve"> </w:t>
      </w:r>
      <w:r>
        <w:t>noting</w:t>
      </w:r>
      <w:r>
        <w:rPr>
          <w:spacing w:val="-6"/>
        </w:rPr>
        <w:t xml:space="preserve"> </w:t>
      </w:r>
      <w:r>
        <w:t>that</w:t>
      </w:r>
      <w:r>
        <w:rPr>
          <w:spacing w:val="-6"/>
        </w:rPr>
        <w:t xml:space="preserve"> </w:t>
      </w:r>
      <w:r>
        <w:t>this</w:t>
      </w:r>
      <w:r>
        <w:rPr>
          <w:spacing w:val="-5"/>
        </w:rPr>
        <w:t xml:space="preserve"> </w:t>
      </w:r>
      <w:r>
        <w:t>was</w:t>
      </w:r>
      <w:r>
        <w:rPr>
          <w:spacing w:val="-5"/>
        </w:rPr>
        <w:t xml:space="preserve"> </w:t>
      </w:r>
      <w:r>
        <w:t>discussed</w:t>
      </w:r>
      <w:r>
        <w:rPr>
          <w:spacing w:val="-6"/>
        </w:rPr>
        <w:t xml:space="preserve"> </w:t>
      </w:r>
      <w:r>
        <w:t>with</w:t>
      </w:r>
      <w:r>
        <w:rPr>
          <w:spacing w:val="-5"/>
        </w:rPr>
        <w:t xml:space="preserve"> </w:t>
      </w:r>
      <w:r>
        <w:t>customers</w:t>
      </w:r>
      <w:r>
        <w:rPr>
          <w:spacing w:val="-5"/>
        </w:rPr>
        <w:t xml:space="preserve"> </w:t>
      </w:r>
      <w:r>
        <w:t>during</w:t>
      </w:r>
      <w:r>
        <w:rPr>
          <w:spacing w:val="-6"/>
        </w:rPr>
        <w:t xml:space="preserve"> </w:t>
      </w:r>
      <w:r>
        <w:t>consultation.</w:t>
      </w:r>
    </w:p>
    <w:p w14:paraId="54FE0E8C" w14:textId="77777777" w:rsidR="00141B97" w:rsidRDefault="00141B97">
      <w:pPr>
        <w:pStyle w:val="BodyText"/>
        <w:spacing w:before="6"/>
        <w:rPr>
          <w:sz w:val="19"/>
        </w:rPr>
      </w:pPr>
    </w:p>
    <w:p w14:paraId="3180E767" w14:textId="77777777" w:rsidR="00141B97" w:rsidRDefault="00911D63">
      <w:pPr>
        <w:pStyle w:val="ListParagraph"/>
        <w:numPr>
          <w:ilvl w:val="3"/>
          <w:numId w:val="37"/>
        </w:numPr>
        <w:tabs>
          <w:tab w:val="left" w:pos="1113"/>
        </w:tabs>
        <w:jc w:val="both"/>
        <w:rPr>
          <w:i/>
        </w:rPr>
      </w:pPr>
      <w:r>
        <w:rPr>
          <w:i/>
          <w:spacing w:val="-2"/>
        </w:rPr>
        <w:t>Labour</w:t>
      </w:r>
    </w:p>
    <w:p w14:paraId="393A2C64" w14:textId="77777777" w:rsidR="00141B97" w:rsidRDefault="00911D63">
      <w:pPr>
        <w:pStyle w:val="BodyText"/>
        <w:spacing w:before="60" w:line="259" w:lineRule="auto"/>
        <w:ind w:left="113" w:right="947"/>
        <w:jc w:val="both"/>
      </w:pPr>
      <w:r>
        <w:t>Labour costs include the 2021‐22 Board‐approved organisational structure roles, which were built bottom‐up as</w:t>
      </w:r>
      <w:r>
        <w:rPr>
          <w:spacing w:val="-8"/>
        </w:rPr>
        <w:t xml:space="preserve"> </w:t>
      </w:r>
      <w:r>
        <w:t>an</w:t>
      </w:r>
      <w:r>
        <w:rPr>
          <w:spacing w:val="-7"/>
        </w:rPr>
        <w:t xml:space="preserve"> </w:t>
      </w:r>
      <w:r>
        <w:t>efficient</w:t>
      </w:r>
      <w:r>
        <w:rPr>
          <w:spacing w:val="-7"/>
        </w:rPr>
        <w:t xml:space="preserve"> </w:t>
      </w:r>
      <w:r>
        <w:t>structure</w:t>
      </w:r>
      <w:r>
        <w:rPr>
          <w:spacing w:val="-8"/>
        </w:rPr>
        <w:t xml:space="preserve"> </w:t>
      </w:r>
      <w:r>
        <w:t>required</w:t>
      </w:r>
      <w:r>
        <w:rPr>
          <w:spacing w:val="-8"/>
        </w:rPr>
        <w:t xml:space="preserve"> </w:t>
      </w:r>
      <w:r>
        <w:t>to</w:t>
      </w:r>
      <w:r>
        <w:rPr>
          <w:spacing w:val="-7"/>
        </w:rPr>
        <w:t xml:space="preserve"> </w:t>
      </w:r>
      <w:r>
        <w:t>deliver</w:t>
      </w:r>
      <w:r>
        <w:rPr>
          <w:spacing w:val="-7"/>
        </w:rPr>
        <w:t xml:space="preserve"> </w:t>
      </w:r>
      <w:r>
        <w:t>LMW’s</w:t>
      </w:r>
      <w:r>
        <w:rPr>
          <w:spacing w:val="-6"/>
        </w:rPr>
        <w:t xml:space="preserve"> </w:t>
      </w:r>
      <w:r>
        <w:t>commitment</w:t>
      </w:r>
      <w:r>
        <w:rPr>
          <w:spacing w:val="-6"/>
        </w:rPr>
        <w:t xml:space="preserve"> </w:t>
      </w:r>
      <w:r>
        <w:t>to</w:t>
      </w:r>
      <w:r>
        <w:rPr>
          <w:spacing w:val="-6"/>
        </w:rPr>
        <w:t xml:space="preserve"> </w:t>
      </w:r>
      <w:r>
        <w:t>customer</w:t>
      </w:r>
      <w:r>
        <w:rPr>
          <w:spacing w:val="-6"/>
        </w:rPr>
        <w:t xml:space="preserve"> </w:t>
      </w:r>
      <w:r>
        <w:t>services.</w:t>
      </w:r>
      <w:r>
        <w:rPr>
          <w:spacing w:val="-8"/>
        </w:rPr>
        <w:t xml:space="preserve"> </w:t>
      </w:r>
      <w:r>
        <w:t>There</w:t>
      </w:r>
      <w:r>
        <w:rPr>
          <w:spacing w:val="-7"/>
        </w:rPr>
        <w:t xml:space="preserve"> </w:t>
      </w:r>
      <w:r>
        <w:t>are</w:t>
      </w:r>
      <w:r>
        <w:rPr>
          <w:spacing w:val="-7"/>
        </w:rPr>
        <w:t xml:space="preserve"> </w:t>
      </w:r>
      <w:r>
        <w:t>only</w:t>
      </w:r>
      <w:r>
        <w:rPr>
          <w:spacing w:val="-6"/>
        </w:rPr>
        <w:t xml:space="preserve"> </w:t>
      </w:r>
      <w:r>
        <w:t>minor</w:t>
      </w:r>
      <w:r>
        <w:rPr>
          <w:spacing w:val="-6"/>
        </w:rPr>
        <w:t xml:space="preserve"> </w:t>
      </w:r>
      <w:r>
        <w:t>FTE changes forecast for the</w:t>
      </w:r>
      <w:r>
        <w:rPr>
          <w:spacing w:val="-2"/>
        </w:rPr>
        <w:t xml:space="preserve"> </w:t>
      </w:r>
      <w:r>
        <w:t>PS5 period</w:t>
      </w:r>
      <w:r>
        <w:rPr>
          <w:spacing w:val="-2"/>
        </w:rPr>
        <w:t xml:space="preserve"> </w:t>
      </w:r>
      <w:r>
        <w:t>as</w:t>
      </w:r>
      <w:r>
        <w:rPr>
          <w:spacing w:val="-2"/>
        </w:rPr>
        <w:t xml:space="preserve"> </w:t>
      </w:r>
      <w:r>
        <w:t>the labour efficiencies</w:t>
      </w:r>
      <w:r>
        <w:rPr>
          <w:spacing w:val="-1"/>
        </w:rPr>
        <w:t xml:space="preserve"> </w:t>
      </w:r>
      <w:r>
        <w:t>and benefits from the BTP Horizon 2 have been forecast</w:t>
      </w:r>
      <w:r>
        <w:rPr>
          <w:spacing w:val="-1"/>
        </w:rPr>
        <w:t xml:space="preserve"> </w:t>
      </w:r>
      <w:r>
        <w:t>in</w:t>
      </w:r>
      <w:r>
        <w:rPr>
          <w:spacing w:val="-1"/>
        </w:rPr>
        <w:t xml:space="preserve"> </w:t>
      </w:r>
      <w:r>
        <w:t>PS6.</w:t>
      </w:r>
      <w:r>
        <w:rPr>
          <w:spacing w:val="-1"/>
        </w:rPr>
        <w:t xml:space="preserve"> </w:t>
      </w:r>
      <w:r>
        <w:t>The</w:t>
      </w:r>
      <w:r>
        <w:rPr>
          <w:spacing w:val="-2"/>
        </w:rPr>
        <w:t xml:space="preserve"> </w:t>
      </w:r>
      <w:r>
        <w:t>labour</w:t>
      </w:r>
      <w:r>
        <w:rPr>
          <w:spacing w:val="-1"/>
        </w:rPr>
        <w:t xml:space="preserve"> </w:t>
      </w:r>
      <w:r>
        <w:t>forecast</w:t>
      </w:r>
      <w:r>
        <w:rPr>
          <w:spacing w:val="-1"/>
        </w:rPr>
        <w:t xml:space="preserve"> </w:t>
      </w:r>
      <w:r>
        <w:t>includes</w:t>
      </w:r>
      <w:r>
        <w:rPr>
          <w:spacing w:val="-2"/>
        </w:rPr>
        <w:t xml:space="preserve"> </w:t>
      </w:r>
      <w:r>
        <w:t>an</w:t>
      </w:r>
      <w:r>
        <w:rPr>
          <w:spacing w:val="-1"/>
        </w:rPr>
        <w:t xml:space="preserve"> </w:t>
      </w:r>
      <w:r>
        <w:t>EBA</w:t>
      </w:r>
      <w:r>
        <w:rPr>
          <w:spacing w:val="-1"/>
        </w:rPr>
        <w:t xml:space="preserve"> </w:t>
      </w:r>
      <w:r>
        <w:t>increase</w:t>
      </w:r>
      <w:r>
        <w:rPr>
          <w:spacing w:val="-2"/>
        </w:rPr>
        <w:t xml:space="preserve"> </w:t>
      </w:r>
      <w:r>
        <w:t>of</w:t>
      </w:r>
      <w:r>
        <w:rPr>
          <w:spacing w:val="-1"/>
        </w:rPr>
        <w:t xml:space="preserve"> </w:t>
      </w:r>
      <w:r>
        <w:t>2.5%</w:t>
      </w:r>
      <w:r>
        <w:rPr>
          <w:spacing w:val="-1"/>
        </w:rPr>
        <w:t xml:space="preserve"> </w:t>
      </w:r>
      <w:r>
        <w:t>until</w:t>
      </w:r>
      <w:r>
        <w:rPr>
          <w:spacing w:val="-2"/>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t>current</w:t>
      </w:r>
      <w:r>
        <w:rPr>
          <w:spacing w:val="-2"/>
        </w:rPr>
        <w:t xml:space="preserve"> </w:t>
      </w:r>
      <w:r>
        <w:t>agreement</w:t>
      </w:r>
      <w:r>
        <w:rPr>
          <w:spacing w:val="-1"/>
        </w:rPr>
        <w:t xml:space="preserve"> </w:t>
      </w:r>
      <w:r>
        <w:t>in June 2025, an increase of 3.0% has been incorporated in the labour forecast for years 2025‐26 to 2026‐28.</w:t>
      </w:r>
    </w:p>
    <w:p w14:paraId="07C5C73B" w14:textId="77777777" w:rsidR="00141B97" w:rsidRDefault="00141B97">
      <w:pPr>
        <w:pStyle w:val="BodyText"/>
        <w:spacing w:before="8"/>
        <w:rPr>
          <w:sz w:val="23"/>
        </w:rPr>
      </w:pPr>
    </w:p>
    <w:p w14:paraId="4978E02D" w14:textId="77777777" w:rsidR="00141B97" w:rsidRDefault="00911D63">
      <w:pPr>
        <w:pStyle w:val="BodyText"/>
        <w:ind w:left="113" w:right="945" w:hanging="1"/>
        <w:jc w:val="both"/>
      </w:pPr>
      <w:r>
        <w:t>The benefits from BTP Horizon 2 will result in job redesign into new roles throughout the business as LMW evolves into a digitally connected utility to support regional growth, increased regulatory obligations and customer expectations. Labour efficiencies identified in BTP Horizon 2 business case will pave the way for the business</w:t>
      </w:r>
      <w:r>
        <w:rPr>
          <w:spacing w:val="-11"/>
        </w:rPr>
        <w:t xml:space="preserve"> </w:t>
      </w:r>
      <w:r>
        <w:t>to</w:t>
      </w:r>
      <w:r>
        <w:rPr>
          <w:spacing w:val="-11"/>
        </w:rPr>
        <w:t xml:space="preserve"> </w:t>
      </w:r>
      <w:r>
        <w:t>improve</w:t>
      </w:r>
      <w:r>
        <w:rPr>
          <w:spacing w:val="-11"/>
        </w:rPr>
        <w:t xml:space="preserve"> </w:t>
      </w:r>
      <w:r>
        <w:t>service</w:t>
      </w:r>
      <w:r>
        <w:rPr>
          <w:spacing w:val="-12"/>
        </w:rPr>
        <w:t xml:space="preserve"> </w:t>
      </w:r>
      <w:r>
        <w:t>delivery</w:t>
      </w:r>
      <w:r>
        <w:rPr>
          <w:spacing w:val="-10"/>
        </w:rPr>
        <w:t xml:space="preserve"> </w:t>
      </w:r>
      <w:r>
        <w:t>and</w:t>
      </w:r>
      <w:r>
        <w:rPr>
          <w:spacing w:val="-12"/>
        </w:rPr>
        <w:t xml:space="preserve"> </w:t>
      </w:r>
      <w:r>
        <w:t>customer</w:t>
      </w:r>
      <w:r>
        <w:rPr>
          <w:spacing w:val="-10"/>
        </w:rPr>
        <w:t xml:space="preserve"> </w:t>
      </w:r>
      <w:r>
        <w:t>outcomes</w:t>
      </w:r>
      <w:r>
        <w:rPr>
          <w:spacing w:val="-11"/>
        </w:rPr>
        <w:t xml:space="preserve"> </w:t>
      </w:r>
      <w:r>
        <w:t>through</w:t>
      </w:r>
      <w:r>
        <w:rPr>
          <w:spacing w:val="-12"/>
        </w:rPr>
        <w:t xml:space="preserve"> </w:t>
      </w:r>
      <w:r>
        <w:t>enhanced</w:t>
      </w:r>
      <w:r>
        <w:rPr>
          <w:spacing w:val="-11"/>
        </w:rPr>
        <w:t xml:space="preserve"> </w:t>
      </w:r>
      <w:r>
        <w:t>communication</w:t>
      </w:r>
      <w:r>
        <w:rPr>
          <w:spacing w:val="-11"/>
        </w:rPr>
        <w:t xml:space="preserve"> </w:t>
      </w:r>
      <w:r>
        <w:t>and</w:t>
      </w:r>
      <w:r>
        <w:rPr>
          <w:spacing w:val="-12"/>
        </w:rPr>
        <w:t xml:space="preserve"> </w:t>
      </w:r>
      <w:r>
        <w:t xml:space="preserve">responsive </w:t>
      </w:r>
      <w:r>
        <w:rPr>
          <w:spacing w:val="-2"/>
        </w:rPr>
        <w:t>actions.</w:t>
      </w:r>
    </w:p>
    <w:p w14:paraId="3D3CEB99" w14:textId="77777777" w:rsidR="00141B97" w:rsidRDefault="00141B97">
      <w:pPr>
        <w:pStyle w:val="BodyText"/>
        <w:spacing w:before="8"/>
        <w:rPr>
          <w:sz w:val="19"/>
        </w:rPr>
      </w:pPr>
    </w:p>
    <w:p w14:paraId="652730D6" w14:textId="77777777" w:rsidR="00141B97" w:rsidRDefault="00911D63">
      <w:pPr>
        <w:pStyle w:val="ListParagraph"/>
        <w:numPr>
          <w:ilvl w:val="3"/>
          <w:numId w:val="37"/>
        </w:numPr>
        <w:tabs>
          <w:tab w:val="left" w:pos="1113"/>
        </w:tabs>
        <w:jc w:val="both"/>
        <w:rPr>
          <w:i/>
        </w:rPr>
      </w:pPr>
      <w:r>
        <w:rPr>
          <w:i/>
        </w:rPr>
        <w:t>10‐year</w:t>
      </w:r>
      <w:r>
        <w:rPr>
          <w:i/>
          <w:spacing w:val="-10"/>
        </w:rPr>
        <w:t xml:space="preserve"> </w:t>
      </w:r>
      <w:r>
        <w:rPr>
          <w:i/>
        </w:rPr>
        <w:t>Operating</w:t>
      </w:r>
      <w:r>
        <w:rPr>
          <w:i/>
          <w:spacing w:val="-9"/>
        </w:rPr>
        <w:t xml:space="preserve"> </w:t>
      </w:r>
      <w:r>
        <w:rPr>
          <w:i/>
        </w:rPr>
        <w:t>Expenditure</w:t>
      </w:r>
      <w:r>
        <w:rPr>
          <w:i/>
          <w:spacing w:val="-11"/>
        </w:rPr>
        <w:t xml:space="preserve"> </w:t>
      </w:r>
      <w:r>
        <w:rPr>
          <w:i/>
          <w:spacing w:val="-2"/>
        </w:rPr>
        <w:t>Trend</w:t>
      </w:r>
    </w:p>
    <w:p w14:paraId="2B895CEE" w14:textId="20C6FDA6" w:rsidR="00141B97" w:rsidRDefault="00911D63">
      <w:pPr>
        <w:pStyle w:val="BodyText"/>
        <w:spacing w:before="60"/>
        <w:ind w:left="113"/>
        <w:jc w:val="both"/>
      </w:pPr>
      <w:r>
        <w:rPr>
          <w:noProof/>
        </w:rPr>
        <mc:AlternateContent>
          <mc:Choice Requires="wpg">
            <w:drawing>
              <wp:anchor distT="0" distB="0" distL="0" distR="0" simplePos="0" relativeHeight="487623680" behindDoc="1" locked="0" layoutInCell="1" allowOverlap="1" wp14:anchorId="1C4F8CD3" wp14:editId="5A203611">
                <wp:simplePos x="0" y="0"/>
                <wp:positionH relativeFrom="page">
                  <wp:posOffset>716280</wp:posOffset>
                </wp:positionH>
                <wp:positionV relativeFrom="paragraph">
                  <wp:posOffset>237490</wp:posOffset>
                </wp:positionV>
                <wp:extent cx="6114415" cy="3068320"/>
                <wp:effectExtent l="0" t="0" r="0" b="0"/>
                <wp:wrapTopAndBottom/>
                <wp:docPr id="68"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068320"/>
                          <a:chOff x="1128" y="374"/>
                          <a:chExt cx="9629" cy="4832"/>
                        </a:xfrm>
                      </wpg:grpSpPr>
                      <pic:pic xmlns:pic="http://schemas.openxmlformats.org/drawingml/2006/picture">
                        <pic:nvPicPr>
                          <pic:cNvPr id="70" name="docshape2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28" y="587"/>
                            <a:ext cx="9629" cy="4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263"/>
                        <wps:cNvSpPr>
                          <a:spLocks/>
                        </wps:cNvSpPr>
                        <wps:spPr bwMode="auto">
                          <a:xfrm>
                            <a:off x="2720" y="496"/>
                            <a:ext cx="4828" cy="371"/>
                          </a:xfrm>
                          <a:custGeom>
                            <a:avLst/>
                            <a:gdLst>
                              <a:gd name="T0" fmla="+- 0 4610 2720"/>
                              <a:gd name="T1" fmla="*/ T0 w 4828"/>
                              <a:gd name="T2" fmla="+- 0 496 496"/>
                              <a:gd name="T3" fmla="*/ 496 h 371"/>
                              <a:gd name="T4" fmla="+- 0 2720 2720"/>
                              <a:gd name="T5" fmla="*/ T4 w 4828"/>
                              <a:gd name="T6" fmla="+- 0 496 496"/>
                              <a:gd name="T7" fmla="*/ 496 h 371"/>
                              <a:gd name="T8" fmla="+- 0 2720 2720"/>
                              <a:gd name="T9" fmla="*/ T8 w 4828"/>
                              <a:gd name="T10" fmla="+- 0 866 496"/>
                              <a:gd name="T11" fmla="*/ 866 h 371"/>
                              <a:gd name="T12" fmla="+- 0 4610 2720"/>
                              <a:gd name="T13" fmla="*/ T12 w 4828"/>
                              <a:gd name="T14" fmla="+- 0 866 496"/>
                              <a:gd name="T15" fmla="*/ 866 h 371"/>
                              <a:gd name="T16" fmla="+- 0 4610 2720"/>
                              <a:gd name="T17" fmla="*/ T16 w 4828"/>
                              <a:gd name="T18" fmla="+- 0 496 496"/>
                              <a:gd name="T19" fmla="*/ 496 h 371"/>
                              <a:gd name="T20" fmla="+- 0 7548 2720"/>
                              <a:gd name="T21" fmla="*/ T20 w 4828"/>
                              <a:gd name="T22" fmla="+- 0 497 496"/>
                              <a:gd name="T23" fmla="*/ 497 h 371"/>
                              <a:gd name="T24" fmla="+- 0 5394 2720"/>
                              <a:gd name="T25" fmla="*/ T24 w 4828"/>
                              <a:gd name="T26" fmla="+- 0 497 496"/>
                              <a:gd name="T27" fmla="*/ 497 h 371"/>
                              <a:gd name="T28" fmla="+- 0 5394 2720"/>
                              <a:gd name="T29" fmla="*/ T28 w 4828"/>
                              <a:gd name="T30" fmla="+- 0 867 496"/>
                              <a:gd name="T31" fmla="*/ 867 h 371"/>
                              <a:gd name="T32" fmla="+- 0 7548 2720"/>
                              <a:gd name="T33" fmla="*/ T32 w 4828"/>
                              <a:gd name="T34" fmla="+- 0 867 496"/>
                              <a:gd name="T35" fmla="*/ 867 h 371"/>
                              <a:gd name="T36" fmla="+- 0 7548 2720"/>
                              <a:gd name="T37" fmla="*/ T36 w 4828"/>
                              <a:gd name="T38" fmla="+- 0 497 496"/>
                              <a:gd name="T39" fmla="*/ 49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28" h="371">
                                <a:moveTo>
                                  <a:pt x="1890" y="0"/>
                                </a:moveTo>
                                <a:lnTo>
                                  <a:pt x="0" y="0"/>
                                </a:lnTo>
                                <a:lnTo>
                                  <a:pt x="0" y="370"/>
                                </a:lnTo>
                                <a:lnTo>
                                  <a:pt x="1890" y="370"/>
                                </a:lnTo>
                                <a:lnTo>
                                  <a:pt x="1890" y="0"/>
                                </a:lnTo>
                                <a:close/>
                                <a:moveTo>
                                  <a:pt x="4828" y="1"/>
                                </a:moveTo>
                                <a:lnTo>
                                  <a:pt x="2674" y="1"/>
                                </a:lnTo>
                                <a:lnTo>
                                  <a:pt x="2674" y="371"/>
                                </a:lnTo>
                                <a:lnTo>
                                  <a:pt x="4828" y="371"/>
                                </a:lnTo>
                                <a:lnTo>
                                  <a:pt x="482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264"/>
                        <wps:cNvSpPr txBox="1">
                          <a:spLocks noChangeArrowheads="1"/>
                        </wps:cNvSpPr>
                        <wps:spPr bwMode="auto">
                          <a:xfrm>
                            <a:off x="1133" y="373"/>
                            <a:ext cx="161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BF44" w14:textId="77777777" w:rsidR="00141B97" w:rsidRDefault="00911D63">
                              <w:pPr>
                                <w:spacing w:line="220" w:lineRule="exact"/>
                              </w:pPr>
                              <w:r>
                                <w:t>regulatory</w:t>
                              </w:r>
                              <w:r>
                                <w:rPr>
                                  <w:spacing w:val="-11"/>
                                </w:rPr>
                                <w:t xml:space="preserve"> </w:t>
                              </w:r>
                              <w:r>
                                <w:rPr>
                                  <w:spacing w:val="-2"/>
                                </w:rPr>
                                <w:t>period.</w:t>
                              </w:r>
                            </w:p>
                          </w:txbxContent>
                        </wps:txbx>
                        <wps:bodyPr rot="0" vert="horz" wrap="square" lIns="0" tIns="0" rIns="0" bIns="0" anchor="t" anchorCtr="0" upright="1">
                          <a:noAutofit/>
                        </wps:bodyPr>
                      </wps:wsp>
                      <wps:wsp>
                        <wps:cNvPr id="76" name="docshape265"/>
                        <wps:cNvSpPr txBox="1">
                          <a:spLocks noChangeArrowheads="1"/>
                        </wps:cNvSpPr>
                        <wps:spPr bwMode="auto">
                          <a:xfrm>
                            <a:off x="2869" y="626"/>
                            <a:ext cx="158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9F72" w14:textId="77777777" w:rsidR="00141B97" w:rsidRDefault="00911D63">
                              <w:pPr>
                                <w:rPr>
                                  <w:rFonts w:ascii="Arial"/>
                                  <w:b/>
                                  <w:sz w:val="14"/>
                                </w:rPr>
                              </w:pPr>
                              <w:r>
                                <w:rPr>
                                  <w:rFonts w:ascii="Arial"/>
                                  <w:b/>
                                  <w:sz w:val="14"/>
                                </w:rPr>
                                <w:t>Forecast</w:t>
                              </w:r>
                              <w:r>
                                <w:rPr>
                                  <w:rFonts w:ascii="Arial"/>
                                  <w:b/>
                                  <w:spacing w:val="-3"/>
                                  <w:sz w:val="14"/>
                                </w:rPr>
                                <w:t xml:space="preserve"> </w:t>
                              </w:r>
                              <w:r>
                                <w:rPr>
                                  <w:rFonts w:ascii="Arial"/>
                                  <w:b/>
                                  <w:sz w:val="14"/>
                                </w:rPr>
                                <w:t>4</w:t>
                              </w:r>
                              <w:r>
                                <w:rPr>
                                  <w:rFonts w:ascii="Arial"/>
                                  <w:b/>
                                  <w:sz w:val="14"/>
                                  <w:vertAlign w:val="superscript"/>
                                </w:rPr>
                                <w:t>th</w:t>
                              </w:r>
                              <w:r>
                                <w:rPr>
                                  <w:rFonts w:ascii="Arial"/>
                                  <w:b/>
                                  <w:spacing w:val="-4"/>
                                  <w:sz w:val="14"/>
                                </w:rPr>
                                <w:t xml:space="preserve"> </w:t>
                              </w:r>
                              <w:r>
                                <w:rPr>
                                  <w:rFonts w:ascii="Arial"/>
                                  <w:b/>
                                  <w:sz w:val="14"/>
                                </w:rPr>
                                <w:t>Reg</w:t>
                              </w:r>
                              <w:r>
                                <w:rPr>
                                  <w:rFonts w:ascii="Arial"/>
                                  <w:b/>
                                  <w:spacing w:val="-3"/>
                                  <w:sz w:val="14"/>
                                </w:rPr>
                                <w:t xml:space="preserve"> </w:t>
                              </w:r>
                              <w:r>
                                <w:rPr>
                                  <w:rFonts w:ascii="Arial"/>
                                  <w:b/>
                                  <w:spacing w:val="-2"/>
                                  <w:sz w:val="14"/>
                                </w:rPr>
                                <w:t>Period</w:t>
                              </w:r>
                            </w:p>
                          </w:txbxContent>
                        </wps:txbx>
                        <wps:bodyPr rot="0" vert="horz" wrap="square" lIns="0" tIns="0" rIns="0" bIns="0" anchor="t" anchorCtr="0" upright="1">
                          <a:noAutofit/>
                        </wps:bodyPr>
                      </wps:wsp>
                      <wps:wsp>
                        <wps:cNvPr id="78" name="docshape266"/>
                        <wps:cNvSpPr txBox="1">
                          <a:spLocks noChangeArrowheads="1"/>
                        </wps:cNvSpPr>
                        <wps:spPr bwMode="auto">
                          <a:xfrm>
                            <a:off x="5541" y="627"/>
                            <a:ext cx="158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B428B" w14:textId="77777777" w:rsidR="00141B97" w:rsidRDefault="00911D63">
                              <w:pPr>
                                <w:rPr>
                                  <w:rFonts w:ascii="Arial"/>
                                  <w:b/>
                                  <w:sz w:val="14"/>
                                </w:rPr>
                              </w:pPr>
                              <w:r>
                                <w:rPr>
                                  <w:rFonts w:ascii="Arial"/>
                                  <w:b/>
                                  <w:sz w:val="14"/>
                                </w:rPr>
                                <w:t>Forecast</w:t>
                              </w:r>
                              <w:r>
                                <w:rPr>
                                  <w:rFonts w:ascii="Arial"/>
                                  <w:b/>
                                  <w:spacing w:val="-3"/>
                                  <w:sz w:val="14"/>
                                </w:rPr>
                                <w:t xml:space="preserve"> </w:t>
                              </w:r>
                              <w:r>
                                <w:rPr>
                                  <w:rFonts w:ascii="Arial"/>
                                  <w:b/>
                                  <w:sz w:val="14"/>
                                </w:rPr>
                                <w:t>5</w:t>
                              </w:r>
                              <w:r>
                                <w:rPr>
                                  <w:rFonts w:ascii="Arial"/>
                                  <w:b/>
                                  <w:sz w:val="14"/>
                                  <w:vertAlign w:val="superscript"/>
                                </w:rPr>
                                <w:t>th</w:t>
                              </w:r>
                              <w:r>
                                <w:rPr>
                                  <w:rFonts w:ascii="Arial"/>
                                  <w:b/>
                                  <w:spacing w:val="-4"/>
                                  <w:sz w:val="14"/>
                                </w:rPr>
                                <w:t xml:space="preserve"> </w:t>
                              </w:r>
                              <w:r>
                                <w:rPr>
                                  <w:rFonts w:ascii="Arial"/>
                                  <w:b/>
                                  <w:sz w:val="14"/>
                                </w:rPr>
                                <w:t>Reg</w:t>
                              </w:r>
                              <w:r>
                                <w:rPr>
                                  <w:rFonts w:ascii="Arial"/>
                                  <w:b/>
                                  <w:spacing w:val="-3"/>
                                  <w:sz w:val="14"/>
                                </w:rPr>
                                <w:t xml:space="preserve"> </w:t>
                              </w:r>
                              <w:r>
                                <w:rPr>
                                  <w:rFonts w:ascii="Arial"/>
                                  <w:b/>
                                  <w:spacing w:val="-2"/>
                                  <w:sz w:val="14"/>
                                </w:rPr>
                                <w:t>Period</w:t>
                              </w:r>
                            </w:p>
                          </w:txbxContent>
                        </wps:txbx>
                        <wps:bodyPr rot="0" vert="horz" wrap="square" lIns="0" tIns="0" rIns="0" bIns="0" anchor="t" anchorCtr="0" upright="1">
                          <a:noAutofit/>
                        </wps:bodyPr>
                      </wps:wsp>
                      <wps:wsp>
                        <wps:cNvPr id="80" name="docshape267"/>
                        <wps:cNvSpPr txBox="1">
                          <a:spLocks noChangeArrowheads="1"/>
                        </wps:cNvSpPr>
                        <wps:spPr bwMode="auto">
                          <a:xfrm>
                            <a:off x="8299" y="626"/>
                            <a:ext cx="158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A531" w14:textId="77777777" w:rsidR="00141B97" w:rsidRDefault="00911D63">
                              <w:pPr>
                                <w:rPr>
                                  <w:rFonts w:ascii="Arial"/>
                                  <w:b/>
                                  <w:sz w:val="14"/>
                                </w:rPr>
                              </w:pPr>
                              <w:r>
                                <w:rPr>
                                  <w:rFonts w:ascii="Arial"/>
                                  <w:b/>
                                  <w:sz w:val="14"/>
                                </w:rPr>
                                <w:t>Forecast</w:t>
                              </w:r>
                              <w:r>
                                <w:rPr>
                                  <w:rFonts w:ascii="Arial"/>
                                  <w:b/>
                                  <w:spacing w:val="-3"/>
                                  <w:sz w:val="14"/>
                                </w:rPr>
                                <w:t xml:space="preserve"> </w:t>
                              </w:r>
                              <w:r>
                                <w:rPr>
                                  <w:rFonts w:ascii="Arial"/>
                                  <w:b/>
                                  <w:sz w:val="14"/>
                                </w:rPr>
                                <w:t>6</w:t>
                              </w:r>
                              <w:r>
                                <w:rPr>
                                  <w:rFonts w:ascii="Arial"/>
                                  <w:b/>
                                  <w:sz w:val="14"/>
                                  <w:vertAlign w:val="superscript"/>
                                </w:rPr>
                                <w:t>th</w:t>
                              </w:r>
                              <w:r>
                                <w:rPr>
                                  <w:rFonts w:ascii="Arial"/>
                                  <w:b/>
                                  <w:spacing w:val="-4"/>
                                  <w:sz w:val="14"/>
                                </w:rPr>
                                <w:t xml:space="preserve"> </w:t>
                              </w:r>
                              <w:r>
                                <w:rPr>
                                  <w:rFonts w:ascii="Arial"/>
                                  <w:b/>
                                  <w:sz w:val="14"/>
                                </w:rPr>
                                <w:t>Reg</w:t>
                              </w:r>
                              <w:r>
                                <w:rPr>
                                  <w:rFonts w:ascii="Arial"/>
                                  <w:b/>
                                  <w:spacing w:val="-3"/>
                                  <w:sz w:val="14"/>
                                </w:rPr>
                                <w:t xml:space="preserve"> </w:t>
                              </w:r>
                              <w:r>
                                <w:rPr>
                                  <w:rFonts w:ascii="Arial"/>
                                  <w:b/>
                                  <w:spacing w:val="-2"/>
                                  <w:sz w:val="14"/>
                                </w:rPr>
                                <w:t>Period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F8CD3" id="docshapegroup261" o:spid="_x0000_s1108" style="position:absolute;left:0;text-align:left;margin-left:56.4pt;margin-top:18.7pt;width:481.45pt;height:241.6pt;z-index:-15692800;mso-wrap-distance-left:0;mso-wrap-distance-right:0;mso-position-horizontal-relative:page" coordorigin="1128,374" coordsize="9629,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">
                <v:shape id="docshape262" o:spid="_x0000_s1109" type="#_x0000_t75" style="position:absolute;left:1128;top:587;width:9629;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">
                  <v:imagedata r:id="rId94" o:title=""/>
                </v:shape>
                <v:shape id="docshape263" o:spid="_x0000_s1110" style="position:absolute;left:2720;top:496;width:4828;height:371;visibility:visible;mso-wrap-style:square;v-text-anchor:top" coordsize="482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" path="m1890,l,,,370r1890,l1890,xm4828,1l2674,1r,370l4828,371r,-370xe" stroked="f">
                  <v:path arrowok="t" o:connecttype="custom" o:connectlocs="1890,496;0,496;0,866;1890,866;1890,496;4828,497;2674,497;2674,867;4828,867;4828,497" o:connectangles="0,0,0,0,0,0,0,0,0,0"/>
                </v:shape>
                <v:shape id="docshape264" o:spid="_x0000_s1111" type="#_x0000_t202" style="position:absolute;left:1133;top:373;width:161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430BF44" w14:textId="77777777" w:rsidR="00141B97" w:rsidRDefault="00911D63">
                        <w:pPr>
                          <w:spacing w:line="220" w:lineRule="exact"/>
                        </w:pPr>
                        <w:r>
                          <w:t>regulatory</w:t>
                        </w:r>
                        <w:r>
                          <w:rPr>
                            <w:spacing w:val="-11"/>
                          </w:rPr>
                          <w:t xml:space="preserve"> </w:t>
                        </w:r>
                        <w:r>
                          <w:rPr>
                            <w:spacing w:val="-2"/>
                          </w:rPr>
                          <w:t>period.</w:t>
                        </w:r>
                      </w:p>
                    </w:txbxContent>
                  </v:textbox>
                </v:shape>
                <v:shape id="docshape265" o:spid="_x0000_s1112" type="#_x0000_t202" style="position:absolute;left:2869;top:626;width:158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0B09F72" w14:textId="77777777" w:rsidR="00141B97" w:rsidRDefault="00911D63">
                        <w:pPr>
                          <w:rPr>
                            <w:rFonts w:ascii="Arial"/>
                            <w:b/>
                            <w:sz w:val="14"/>
                          </w:rPr>
                        </w:pPr>
                        <w:r>
                          <w:rPr>
                            <w:rFonts w:ascii="Arial"/>
                            <w:b/>
                            <w:sz w:val="14"/>
                          </w:rPr>
                          <w:t>Forecast</w:t>
                        </w:r>
                        <w:r>
                          <w:rPr>
                            <w:rFonts w:ascii="Arial"/>
                            <w:b/>
                            <w:spacing w:val="-3"/>
                            <w:sz w:val="14"/>
                          </w:rPr>
                          <w:t xml:space="preserve"> </w:t>
                        </w:r>
                        <w:r>
                          <w:rPr>
                            <w:rFonts w:ascii="Arial"/>
                            <w:b/>
                            <w:sz w:val="14"/>
                          </w:rPr>
                          <w:t>4</w:t>
                        </w:r>
                        <w:r>
                          <w:rPr>
                            <w:rFonts w:ascii="Arial"/>
                            <w:b/>
                            <w:sz w:val="14"/>
                            <w:vertAlign w:val="superscript"/>
                          </w:rPr>
                          <w:t>th</w:t>
                        </w:r>
                        <w:r>
                          <w:rPr>
                            <w:rFonts w:ascii="Arial"/>
                            <w:b/>
                            <w:spacing w:val="-4"/>
                            <w:sz w:val="14"/>
                          </w:rPr>
                          <w:t xml:space="preserve"> </w:t>
                        </w:r>
                        <w:r>
                          <w:rPr>
                            <w:rFonts w:ascii="Arial"/>
                            <w:b/>
                            <w:sz w:val="14"/>
                          </w:rPr>
                          <w:t>Reg</w:t>
                        </w:r>
                        <w:r>
                          <w:rPr>
                            <w:rFonts w:ascii="Arial"/>
                            <w:b/>
                            <w:spacing w:val="-3"/>
                            <w:sz w:val="14"/>
                          </w:rPr>
                          <w:t xml:space="preserve"> </w:t>
                        </w:r>
                        <w:r>
                          <w:rPr>
                            <w:rFonts w:ascii="Arial"/>
                            <w:b/>
                            <w:spacing w:val="-2"/>
                            <w:sz w:val="14"/>
                          </w:rPr>
                          <w:t>Period</w:t>
                        </w:r>
                      </w:p>
                    </w:txbxContent>
                  </v:textbox>
                </v:shape>
                <v:shape id="docshape266" o:spid="_x0000_s1113" type="#_x0000_t202" style="position:absolute;left:5541;top:627;width:158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3EB428B" w14:textId="77777777" w:rsidR="00141B97" w:rsidRDefault="00911D63">
                        <w:pPr>
                          <w:rPr>
                            <w:rFonts w:ascii="Arial"/>
                            <w:b/>
                            <w:sz w:val="14"/>
                          </w:rPr>
                        </w:pPr>
                        <w:r>
                          <w:rPr>
                            <w:rFonts w:ascii="Arial"/>
                            <w:b/>
                            <w:sz w:val="14"/>
                          </w:rPr>
                          <w:t>Forecast</w:t>
                        </w:r>
                        <w:r>
                          <w:rPr>
                            <w:rFonts w:ascii="Arial"/>
                            <w:b/>
                            <w:spacing w:val="-3"/>
                            <w:sz w:val="14"/>
                          </w:rPr>
                          <w:t xml:space="preserve"> </w:t>
                        </w:r>
                        <w:r>
                          <w:rPr>
                            <w:rFonts w:ascii="Arial"/>
                            <w:b/>
                            <w:sz w:val="14"/>
                          </w:rPr>
                          <w:t>5</w:t>
                        </w:r>
                        <w:r>
                          <w:rPr>
                            <w:rFonts w:ascii="Arial"/>
                            <w:b/>
                            <w:sz w:val="14"/>
                            <w:vertAlign w:val="superscript"/>
                          </w:rPr>
                          <w:t>th</w:t>
                        </w:r>
                        <w:r>
                          <w:rPr>
                            <w:rFonts w:ascii="Arial"/>
                            <w:b/>
                            <w:spacing w:val="-4"/>
                            <w:sz w:val="14"/>
                          </w:rPr>
                          <w:t xml:space="preserve"> </w:t>
                        </w:r>
                        <w:r>
                          <w:rPr>
                            <w:rFonts w:ascii="Arial"/>
                            <w:b/>
                            <w:sz w:val="14"/>
                          </w:rPr>
                          <w:t>Reg</w:t>
                        </w:r>
                        <w:r>
                          <w:rPr>
                            <w:rFonts w:ascii="Arial"/>
                            <w:b/>
                            <w:spacing w:val="-3"/>
                            <w:sz w:val="14"/>
                          </w:rPr>
                          <w:t xml:space="preserve"> </w:t>
                        </w:r>
                        <w:r>
                          <w:rPr>
                            <w:rFonts w:ascii="Arial"/>
                            <w:b/>
                            <w:spacing w:val="-2"/>
                            <w:sz w:val="14"/>
                          </w:rPr>
                          <w:t>Period</w:t>
                        </w:r>
                      </w:p>
                    </w:txbxContent>
                  </v:textbox>
                </v:shape>
                <v:shape id="docshape267" o:spid="_x0000_s1114" type="#_x0000_t202" style="position:absolute;left:8299;top:626;width:158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353A531" w14:textId="77777777" w:rsidR="00141B97" w:rsidRDefault="00911D63">
                        <w:pPr>
                          <w:rPr>
                            <w:rFonts w:ascii="Arial"/>
                            <w:b/>
                            <w:sz w:val="14"/>
                          </w:rPr>
                        </w:pPr>
                        <w:r>
                          <w:rPr>
                            <w:rFonts w:ascii="Arial"/>
                            <w:b/>
                            <w:sz w:val="14"/>
                          </w:rPr>
                          <w:t>Forecast</w:t>
                        </w:r>
                        <w:r>
                          <w:rPr>
                            <w:rFonts w:ascii="Arial"/>
                            <w:b/>
                            <w:spacing w:val="-3"/>
                            <w:sz w:val="14"/>
                          </w:rPr>
                          <w:t xml:space="preserve"> </w:t>
                        </w:r>
                        <w:r>
                          <w:rPr>
                            <w:rFonts w:ascii="Arial"/>
                            <w:b/>
                            <w:sz w:val="14"/>
                          </w:rPr>
                          <w:t>6</w:t>
                        </w:r>
                        <w:r>
                          <w:rPr>
                            <w:rFonts w:ascii="Arial"/>
                            <w:b/>
                            <w:sz w:val="14"/>
                            <w:vertAlign w:val="superscript"/>
                          </w:rPr>
                          <w:t>th</w:t>
                        </w:r>
                        <w:r>
                          <w:rPr>
                            <w:rFonts w:ascii="Arial"/>
                            <w:b/>
                            <w:spacing w:val="-4"/>
                            <w:sz w:val="14"/>
                          </w:rPr>
                          <w:t xml:space="preserve"> </w:t>
                        </w:r>
                        <w:r>
                          <w:rPr>
                            <w:rFonts w:ascii="Arial"/>
                            <w:b/>
                            <w:sz w:val="14"/>
                          </w:rPr>
                          <w:t>Reg</w:t>
                        </w:r>
                        <w:r>
                          <w:rPr>
                            <w:rFonts w:ascii="Arial"/>
                            <w:b/>
                            <w:spacing w:val="-3"/>
                            <w:sz w:val="14"/>
                          </w:rPr>
                          <w:t xml:space="preserve"> </w:t>
                        </w:r>
                        <w:r>
                          <w:rPr>
                            <w:rFonts w:ascii="Arial"/>
                            <w:b/>
                            <w:spacing w:val="-2"/>
                            <w:sz w:val="14"/>
                          </w:rPr>
                          <w:t>Period</w:t>
                        </w:r>
                      </w:p>
                    </w:txbxContent>
                  </v:textbox>
                </v:shape>
                <w10:wrap type="topAndBottom" anchorx="page"/>
              </v:group>
            </w:pict>
          </mc:Fallback>
        </mc:AlternateContent>
      </w:r>
      <w:r>
        <w:t>Figure</w:t>
      </w:r>
      <w:r>
        <w:rPr>
          <w:spacing w:val="-5"/>
        </w:rPr>
        <w:t xml:space="preserve"> </w:t>
      </w:r>
      <w:r>
        <w:t>C3</w:t>
      </w:r>
      <w:r>
        <w:rPr>
          <w:spacing w:val="-4"/>
        </w:rPr>
        <w:t xml:space="preserve"> </w:t>
      </w:r>
      <w:r>
        <w:t>shows</w:t>
      </w:r>
      <w:r>
        <w:rPr>
          <w:spacing w:val="-4"/>
        </w:rPr>
        <w:t xml:space="preserve"> </w:t>
      </w:r>
      <w:r>
        <w:t>the</w:t>
      </w:r>
      <w:r>
        <w:rPr>
          <w:spacing w:val="-4"/>
        </w:rPr>
        <w:t xml:space="preserve"> </w:t>
      </w:r>
      <w:r>
        <w:t>increase</w:t>
      </w:r>
      <w:r>
        <w:rPr>
          <w:spacing w:val="-5"/>
        </w:rPr>
        <w:t xml:space="preserve"> </w:t>
      </w:r>
      <w:r>
        <w:t>in</w:t>
      </w:r>
      <w:r>
        <w:rPr>
          <w:spacing w:val="-4"/>
        </w:rPr>
        <w:t xml:space="preserve"> </w:t>
      </w:r>
      <w:r>
        <w:t>proposed</w:t>
      </w:r>
      <w:r>
        <w:rPr>
          <w:spacing w:val="-4"/>
        </w:rPr>
        <w:t xml:space="preserve"> </w:t>
      </w:r>
      <w:r>
        <w:t>rural</w:t>
      </w:r>
      <w:r>
        <w:rPr>
          <w:spacing w:val="-3"/>
        </w:rPr>
        <w:t xml:space="preserve"> </w:t>
      </w:r>
      <w:r>
        <w:t>operating</w:t>
      </w:r>
      <w:r>
        <w:rPr>
          <w:spacing w:val="-3"/>
        </w:rPr>
        <w:t xml:space="preserve"> </w:t>
      </w:r>
      <w:r>
        <w:t>expenditure</w:t>
      </w:r>
      <w:r>
        <w:rPr>
          <w:spacing w:val="-3"/>
        </w:rPr>
        <w:t xml:space="preserve"> </w:t>
      </w:r>
      <w:r>
        <w:t>and</w:t>
      </w:r>
      <w:r>
        <w:rPr>
          <w:spacing w:val="-4"/>
        </w:rPr>
        <w:t xml:space="preserve"> </w:t>
      </w:r>
      <w:r>
        <w:t>the</w:t>
      </w:r>
      <w:r>
        <w:rPr>
          <w:spacing w:val="-4"/>
        </w:rPr>
        <w:t xml:space="preserve"> </w:t>
      </w:r>
      <w:r>
        <w:t>trend</w:t>
      </w:r>
      <w:r>
        <w:rPr>
          <w:spacing w:val="-5"/>
        </w:rPr>
        <w:t xml:space="preserve"> </w:t>
      </w:r>
      <w:r>
        <w:t>forecast</w:t>
      </w:r>
      <w:r>
        <w:rPr>
          <w:spacing w:val="-4"/>
        </w:rPr>
        <w:t xml:space="preserve"> </w:t>
      </w:r>
      <w:r>
        <w:t>through</w:t>
      </w:r>
      <w:r>
        <w:rPr>
          <w:spacing w:val="-4"/>
        </w:rPr>
        <w:t xml:space="preserve"> </w:t>
      </w:r>
      <w:r>
        <w:t>the</w:t>
      </w:r>
      <w:r>
        <w:rPr>
          <w:spacing w:val="-4"/>
        </w:rPr>
        <w:t xml:space="preserve"> next</w:t>
      </w:r>
    </w:p>
    <w:p w14:paraId="4FBEF279" w14:textId="77777777" w:rsidR="00141B97" w:rsidRDefault="00911D63">
      <w:pPr>
        <w:spacing w:line="192" w:lineRule="exact"/>
        <w:ind w:left="114"/>
        <w:jc w:val="both"/>
        <w:rPr>
          <w:sz w:val="16"/>
        </w:rPr>
      </w:pPr>
      <w:r>
        <w:rPr>
          <w:sz w:val="16"/>
        </w:rPr>
        <w:t>Figure</w:t>
      </w:r>
      <w:r>
        <w:rPr>
          <w:spacing w:val="-5"/>
          <w:sz w:val="16"/>
        </w:rPr>
        <w:t xml:space="preserve"> </w:t>
      </w:r>
      <w:r>
        <w:rPr>
          <w:sz w:val="16"/>
        </w:rPr>
        <w:t>C3:</w:t>
      </w:r>
      <w:r>
        <w:rPr>
          <w:spacing w:val="-3"/>
          <w:sz w:val="16"/>
        </w:rPr>
        <w:t xml:space="preserve"> </w:t>
      </w:r>
      <w:r>
        <w:rPr>
          <w:sz w:val="16"/>
        </w:rPr>
        <w:t>Forecast</w:t>
      </w:r>
      <w:r>
        <w:rPr>
          <w:spacing w:val="-5"/>
          <w:sz w:val="16"/>
        </w:rPr>
        <w:t xml:space="preserve"> </w:t>
      </w:r>
      <w:r>
        <w:rPr>
          <w:sz w:val="16"/>
        </w:rPr>
        <w:t>Operating</w:t>
      </w:r>
      <w:r>
        <w:rPr>
          <w:spacing w:val="-5"/>
          <w:sz w:val="16"/>
        </w:rPr>
        <w:t xml:space="preserve"> </w:t>
      </w:r>
      <w:r>
        <w:rPr>
          <w:sz w:val="16"/>
        </w:rPr>
        <w:t>Expenditure</w:t>
      </w:r>
      <w:r>
        <w:rPr>
          <w:spacing w:val="-4"/>
          <w:sz w:val="16"/>
        </w:rPr>
        <w:t xml:space="preserve"> </w:t>
      </w:r>
      <w:r>
        <w:rPr>
          <w:sz w:val="16"/>
        </w:rPr>
        <w:t>‐</w:t>
      </w:r>
      <w:r>
        <w:rPr>
          <w:spacing w:val="-4"/>
          <w:sz w:val="16"/>
        </w:rPr>
        <w:t xml:space="preserve"> </w:t>
      </w:r>
      <w:r>
        <w:rPr>
          <w:sz w:val="16"/>
        </w:rPr>
        <w:t>$m</w:t>
      </w:r>
      <w:r>
        <w:rPr>
          <w:spacing w:val="-4"/>
          <w:sz w:val="16"/>
        </w:rPr>
        <w:t xml:space="preserve"> </w:t>
      </w:r>
      <w:r>
        <w:rPr>
          <w:spacing w:val="-2"/>
          <w:sz w:val="16"/>
        </w:rPr>
        <w:t>1/1/23</w:t>
      </w:r>
    </w:p>
    <w:p w14:paraId="6B68E7E4" w14:textId="77777777" w:rsidR="00141B97" w:rsidRDefault="00141B97">
      <w:pPr>
        <w:pStyle w:val="BodyText"/>
        <w:spacing w:before="12"/>
        <w:rPr>
          <w:sz w:val="21"/>
        </w:rPr>
      </w:pPr>
    </w:p>
    <w:p w14:paraId="32951129" w14:textId="77777777" w:rsidR="00141B97" w:rsidRDefault="00911D63">
      <w:pPr>
        <w:pStyle w:val="BodyText"/>
        <w:ind w:left="113" w:right="948"/>
        <w:jc w:val="both"/>
      </w:pPr>
      <w:r>
        <w:t>This trend shows stable operating expenditure through to the sixth regulatory period and highlights the significant</w:t>
      </w:r>
      <w:r>
        <w:rPr>
          <w:spacing w:val="-7"/>
        </w:rPr>
        <w:t xml:space="preserve"> </w:t>
      </w:r>
      <w:r>
        <w:t>reductions</w:t>
      </w:r>
      <w:r>
        <w:rPr>
          <w:spacing w:val="-7"/>
        </w:rPr>
        <w:t xml:space="preserve"> </w:t>
      </w:r>
      <w:r>
        <w:t>in</w:t>
      </w:r>
      <w:r>
        <w:rPr>
          <w:spacing w:val="-7"/>
        </w:rPr>
        <w:t xml:space="preserve"> </w:t>
      </w:r>
      <w:r>
        <w:t>operating</w:t>
      </w:r>
      <w:r>
        <w:rPr>
          <w:spacing w:val="-5"/>
        </w:rPr>
        <w:t xml:space="preserve"> </w:t>
      </w:r>
      <w:r>
        <w:t>expenditure</w:t>
      </w:r>
      <w:r>
        <w:rPr>
          <w:spacing w:val="-7"/>
        </w:rPr>
        <w:t xml:space="preserve"> </w:t>
      </w:r>
      <w:r>
        <w:t>through</w:t>
      </w:r>
      <w:r>
        <w:rPr>
          <w:spacing w:val="-7"/>
        </w:rPr>
        <w:t xml:space="preserve"> </w:t>
      </w:r>
      <w:r>
        <w:t>the</w:t>
      </w:r>
      <w:r>
        <w:rPr>
          <w:spacing w:val="-7"/>
        </w:rPr>
        <w:t xml:space="preserve"> </w:t>
      </w:r>
      <w:r>
        <w:t>PS4</w:t>
      </w:r>
      <w:r>
        <w:rPr>
          <w:spacing w:val="-6"/>
        </w:rPr>
        <w:t xml:space="preserve"> </w:t>
      </w:r>
      <w:r>
        <w:t>period,</w:t>
      </w:r>
      <w:r>
        <w:rPr>
          <w:spacing w:val="-6"/>
        </w:rPr>
        <w:t xml:space="preserve"> </w:t>
      </w:r>
      <w:r>
        <w:t>mainly</w:t>
      </w:r>
      <w:r>
        <w:rPr>
          <w:spacing w:val="-6"/>
        </w:rPr>
        <w:t xml:space="preserve"> </w:t>
      </w:r>
      <w:r>
        <w:t>due</w:t>
      </w:r>
      <w:r>
        <w:rPr>
          <w:spacing w:val="-7"/>
        </w:rPr>
        <w:t xml:space="preserve"> </w:t>
      </w:r>
      <w:r>
        <w:t>to</w:t>
      </w:r>
      <w:r>
        <w:rPr>
          <w:spacing w:val="-7"/>
        </w:rPr>
        <w:t xml:space="preserve"> </w:t>
      </w:r>
      <w:r>
        <w:t>reducing</w:t>
      </w:r>
      <w:r>
        <w:rPr>
          <w:spacing w:val="-7"/>
        </w:rPr>
        <w:t xml:space="preserve"> </w:t>
      </w:r>
      <w:r>
        <w:t>electricity</w:t>
      </w:r>
      <w:r>
        <w:rPr>
          <w:spacing w:val="-6"/>
        </w:rPr>
        <w:t xml:space="preserve"> </w:t>
      </w:r>
      <w:r>
        <w:t>costs.</w:t>
      </w:r>
    </w:p>
    <w:p w14:paraId="1BC02B23" w14:textId="77777777" w:rsidR="00141B97" w:rsidRDefault="00141B97">
      <w:pPr>
        <w:pStyle w:val="BodyText"/>
        <w:spacing w:before="8"/>
        <w:rPr>
          <w:sz w:val="20"/>
        </w:rPr>
      </w:pPr>
    </w:p>
    <w:p w14:paraId="36439E01" w14:textId="77777777" w:rsidR="00141B97" w:rsidRDefault="00911D63">
      <w:pPr>
        <w:pStyle w:val="ListParagraph"/>
        <w:numPr>
          <w:ilvl w:val="2"/>
          <w:numId w:val="37"/>
        </w:numPr>
        <w:tabs>
          <w:tab w:val="left" w:pos="1112"/>
          <w:tab w:val="left" w:pos="1113"/>
        </w:tabs>
        <w:ind w:left="1112" w:hanging="1000"/>
        <w:jc w:val="both"/>
      </w:pPr>
      <w:r>
        <w:t>Pass</w:t>
      </w:r>
      <w:r>
        <w:rPr>
          <w:spacing w:val="-8"/>
        </w:rPr>
        <w:t xml:space="preserve"> </w:t>
      </w:r>
      <w:r>
        <w:t>Through</w:t>
      </w:r>
      <w:r>
        <w:rPr>
          <w:spacing w:val="-7"/>
        </w:rPr>
        <w:t xml:space="preserve"> </w:t>
      </w:r>
      <w:r>
        <w:rPr>
          <w:spacing w:val="-4"/>
        </w:rPr>
        <w:t>Fees</w:t>
      </w:r>
    </w:p>
    <w:p w14:paraId="5B11605B" w14:textId="77777777" w:rsidR="00141B97" w:rsidRDefault="00911D63">
      <w:pPr>
        <w:pStyle w:val="BodyText"/>
        <w:spacing w:before="59"/>
        <w:ind w:left="113" w:right="949" w:hanging="1"/>
        <w:jc w:val="both"/>
      </w:pPr>
      <w:r>
        <w:t>LMW levies ‘pass through’ fees, raised on behalf of other agencies in which the revenue collected is remitted by</w:t>
      </w:r>
      <w:r>
        <w:rPr>
          <w:spacing w:val="-8"/>
        </w:rPr>
        <w:t xml:space="preserve"> </w:t>
      </w:r>
      <w:r>
        <w:t>LMW</w:t>
      </w:r>
      <w:r>
        <w:rPr>
          <w:spacing w:val="-8"/>
        </w:rPr>
        <w:t xml:space="preserve"> </w:t>
      </w:r>
      <w:r>
        <w:t>to</w:t>
      </w:r>
      <w:r>
        <w:rPr>
          <w:spacing w:val="-9"/>
        </w:rPr>
        <w:t xml:space="preserve"> </w:t>
      </w:r>
      <w:r>
        <w:t>those</w:t>
      </w:r>
      <w:r>
        <w:rPr>
          <w:spacing w:val="-8"/>
        </w:rPr>
        <w:t xml:space="preserve"> </w:t>
      </w:r>
      <w:r>
        <w:t>agencies.</w:t>
      </w:r>
      <w:r>
        <w:rPr>
          <w:spacing w:val="-8"/>
        </w:rPr>
        <w:t xml:space="preserve"> </w:t>
      </w:r>
      <w:r>
        <w:t>The</w:t>
      </w:r>
      <w:r>
        <w:rPr>
          <w:spacing w:val="-8"/>
        </w:rPr>
        <w:t xml:space="preserve"> </w:t>
      </w:r>
      <w:r>
        <w:t>cost</w:t>
      </w:r>
      <w:r>
        <w:rPr>
          <w:spacing w:val="-8"/>
        </w:rPr>
        <w:t xml:space="preserve"> </w:t>
      </w:r>
      <w:r>
        <w:t>categories</w:t>
      </w:r>
      <w:r>
        <w:rPr>
          <w:spacing w:val="-8"/>
        </w:rPr>
        <w:t xml:space="preserve"> </w:t>
      </w:r>
      <w:r>
        <w:t>and</w:t>
      </w:r>
      <w:r>
        <w:rPr>
          <w:spacing w:val="-8"/>
        </w:rPr>
        <w:t xml:space="preserve"> </w:t>
      </w:r>
      <w:r>
        <w:t>costs</w:t>
      </w:r>
      <w:r>
        <w:rPr>
          <w:spacing w:val="-8"/>
        </w:rPr>
        <w:t xml:space="preserve"> </w:t>
      </w:r>
      <w:r>
        <w:t>LMW</w:t>
      </w:r>
      <w:r>
        <w:rPr>
          <w:spacing w:val="-8"/>
        </w:rPr>
        <w:t xml:space="preserve"> </w:t>
      </w:r>
      <w:r>
        <w:t>incurs</w:t>
      </w:r>
      <w:r>
        <w:rPr>
          <w:spacing w:val="-8"/>
        </w:rPr>
        <w:t xml:space="preserve"> </w:t>
      </w:r>
      <w:r>
        <w:t>for</w:t>
      </w:r>
      <w:r>
        <w:rPr>
          <w:spacing w:val="-8"/>
        </w:rPr>
        <w:t xml:space="preserve"> </w:t>
      </w:r>
      <w:r>
        <w:t>‘pass</w:t>
      </w:r>
      <w:r>
        <w:rPr>
          <w:spacing w:val="-8"/>
        </w:rPr>
        <w:t xml:space="preserve"> </w:t>
      </w:r>
      <w:r>
        <w:t>through’</w:t>
      </w:r>
      <w:r>
        <w:rPr>
          <w:spacing w:val="-8"/>
        </w:rPr>
        <w:t xml:space="preserve"> </w:t>
      </w:r>
      <w:r>
        <w:t>fees</w:t>
      </w:r>
      <w:r>
        <w:rPr>
          <w:spacing w:val="-8"/>
        </w:rPr>
        <w:t xml:space="preserve"> </w:t>
      </w:r>
      <w:r>
        <w:t>are</w:t>
      </w:r>
      <w:r>
        <w:rPr>
          <w:spacing w:val="-9"/>
        </w:rPr>
        <w:t xml:space="preserve"> </w:t>
      </w:r>
      <w:r>
        <w:t>set</w:t>
      </w:r>
      <w:r>
        <w:rPr>
          <w:spacing w:val="-8"/>
        </w:rPr>
        <w:t xml:space="preserve"> </w:t>
      </w:r>
      <w:r>
        <w:t>out</w:t>
      </w:r>
      <w:r>
        <w:rPr>
          <w:spacing w:val="-8"/>
        </w:rPr>
        <w:t xml:space="preserve"> </w:t>
      </w:r>
      <w:r>
        <w:t>in</w:t>
      </w:r>
      <w:r>
        <w:rPr>
          <w:spacing w:val="-8"/>
        </w:rPr>
        <w:t xml:space="preserve"> </w:t>
      </w:r>
      <w:r>
        <w:t>Table C19, including:</w:t>
      </w:r>
    </w:p>
    <w:p w14:paraId="44AA74A6" w14:textId="77777777" w:rsidR="00141B97" w:rsidRDefault="00141B97">
      <w:pPr>
        <w:jc w:val="both"/>
        <w:sectPr w:rsidR="00141B97">
          <w:pgSz w:w="11910" w:h="16840"/>
          <w:pgMar w:top="820" w:right="40" w:bottom="780" w:left="1020" w:header="0" w:footer="586" w:gutter="0"/>
          <w:cols w:space="720"/>
        </w:sectPr>
      </w:pPr>
    </w:p>
    <w:p w14:paraId="5A49EC3B" w14:textId="77777777" w:rsidR="00141B97" w:rsidRDefault="00911D63">
      <w:pPr>
        <w:pStyle w:val="ListParagraph"/>
        <w:numPr>
          <w:ilvl w:val="0"/>
          <w:numId w:val="9"/>
        </w:numPr>
        <w:tabs>
          <w:tab w:val="left" w:pos="1106"/>
          <w:tab w:val="left" w:pos="1107"/>
        </w:tabs>
        <w:spacing w:before="71" w:line="280" w:lineRule="exact"/>
        <w:ind w:hanging="361"/>
      </w:pPr>
      <w:r>
        <w:lastRenderedPageBreak/>
        <w:t>Spillable</w:t>
      </w:r>
      <w:r>
        <w:rPr>
          <w:spacing w:val="-10"/>
        </w:rPr>
        <w:t xml:space="preserve"> </w:t>
      </w:r>
      <w:r>
        <w:t>water</w:t>
      </w:r>
      <w:r>
        <w:rPr>
          <w:spacing w:val="-10"/>
        </w:rPr>
        <w:t xml:space="preserve"> </w:t>
      </w:r>
      <w:r>
        <w:rPr>
          <w:spacing w:val="-5"/>
        </w:rPr>
        <w:t>fee</w:t>
      </w:r>
    </w:p>
    <w:p w14:paraId="60F86ACC" w14:textId="77777777" w:rsidR="00141B97" w:rsidRDefault="00911D63">
      <w:pPr>
        <w:pStyle w:val="ListParagraph"/>
        <w:numPr>
          <w:ilvl w:val="0"/>
          <w:numId w:val="9"/>
        </w:numPr>
        <w:tabs>
          <w:tab w:val="left" w:pos="1106"/>
          <w:tab w:val="left" w:pos="1107"/>
        </w:tabs>
        <w:spacing w:line="280" w:lineRule="exact"/>
        <w:ind w:hanging="361"/>
      </w:pPr>
      <w:r>
        <w:t>Water</w:t>
      </w:r>
      <w:r>
        <w:rPr>
          <w:spacing w:val="-11"/>
        </w:rPr>
        <w:t xml:space="preserve"> </w:t>
      </w:r>
      <w:r>
        <w:t>storage</w:t>
      </w:r>
      <w:r>
        <w:rPr>
          <w:spacing w:val="-10"/>
        </w:rPr>
        <w:t xml:space="preserve"> </w:t>
      </w:r>
      <w:r>
        <w:t>entitlement</w:t>
      </w:r>
      <w:r>
        <w:rPr>
          <w:spacing w:val="-10"/>
        </w:rPr>
        <w:t xml:space="preserve"> </w:t>
      </w:r>
      <w:r>
        <w:rPr>
          <w:spacing w:val="-2"/>
        </w:rPr>
        <w:t>fees,</w:t>
      </w:r>
    </w:p>
    <w:p w14:paraId="35260C5F" w14:textId="77777777" w:rsidR="00141B97" w:rsidRDefault="00911D63">
      <w:pPr>
        <w:pStyle w:val="ListParagraph"/>
        <w:numPr>
          <w:ilvl w:val="0"/>
          <w:numId w:val="9"/>
        </w:numPr>
        <w:tabs>
          <w:tab w:val="left" w:pos="1106"/>
          <w:tab w:val="left" w:pos="1107"/>
        </w:tabs>
        <w:spacing w:before="1"/>
        <w:ind w:hanging="361"/>
      </w:pPr>
      <w:r>
        <w:t>Delivery</w:t>
      </w:r>
      <w:r>
        <w:rPr>
          <w:spacing w:val="-8"/>
        </w:rPr>
        <w:t xml:space="preserve"> </w:t>
      </w:r>
      <w:r>
        <w:t>Share</w:t>
      </w:r>
      <w:r>
        <w:rPr>
          <w:spacing w:val="-8"/>
        </w:rPr>
        <w:t xml:space="preserve"> </w:t>
      </w:r>
      <w:r>
        <w:t>Entity</w:t>
      </w:r>
      <w:r>
        <w:rPr>
          <w:spacing w:val="-8"/>
        </w:rPr>
        <w:t xml:space="preserve"> </w:t>
      </w:r>
      <w:r>
        <w:t>(DSE)</w:t>
      </w:r>
      <w:r>
        <w:rPr>
          <w:spacing w:val="-7"/>
        </w:rPr>
        <w:t xml:space="preserve"> </w:t>
      </w:r>
      <w:r>
        <w:t>water</w:t>
      </w:r>
      <w:r>
        <w:rPr>
          <w:spacing w:val="-8"/>
        </w:rPr>
        <w:t xml:space="preserve"> </w:t>
      </w:r>
      <w:r>
        <w:t>share</w:t>
      </w:r>
      <w:r>
        <w:rPr>
          <w:spacing w:val="-9"/>
        </w:rPr>
        <w:t xml:space="preserve"> </w:t>
      </w:r>
      <w:r>
        <w:rPr>
          <w:spacing w:val="-4"/>
        </w:rPr>
        <w:t>fees</w:t>
      </w:r>
    </w:p>
    <w:p w14:paraId="0FB56072" w14:textId="77777777" w:rsidR="00141B97" w:rsidRDefault="00141B97">
      <w:pPr>
        <w:pStyle w:val="BodyText"/>
        <w:spacing w:before="11"/>
        <w:rPr>
          <w:sz w:val="21"/>
        </w:rPr>
      </w:pPr>
    </w:p>
    <w:p w14:paraId="3C41B747" w14:textId="77777777" w:rsidR="00141B97" w:rsidRDefault="00911D63">
      <w:pPr>
        <w:pStyle w:val="BodyText"/>
        <w:ind w:left="113" w:right="947" w:hanging="1"/>
        <w:jc w:val="both"/>
      </w:pPr>
      <w:r>
        <w:t>The revenue expected to be raised from these charges are included as other revenue. The amount of the fees is</w:t>
      </w:r>
      <w:r>
        <w:rPr>
          <w:spacing w:val="-4"/>
        </w:rPr>
        <w:t xml:space="preserve"> </w:t>
      </w:r>
      <w:r>
        <w:t>also</w:t>
      </w:r>
      <w:r>
        <w:rPr>
          <w:spacing w:val="-4"/>
        </w:rPr>
        <w:t xml:space="preserve"> </w:t>
      </w:r>
      <w:r>
        <w:t>included</w:t>
      </w:r>
      <w:r>
        <w:rPr>
          <w:spacing w:val="-5"/>
        </w:rPr>
        <w:t xml:space="preserve"> </w:t>
      </w:r>
      <w:r>
        <w:t>in</w:t>
      </w:r>
      <w:r>
        <w:rPr>
          <w:spacing w:val="-3"/>
        </w:rPr>
        <w:t xml:space="preserve"> </w:t>
      </w:r>
      <w:r>
        <w:t>LMW’s</w:t>
      </w:r>
      <w:r>
        <w:rPr>
          <w:spacing w:val="-4"/>
        </w:rPr>
        <w:t xml:space="preserve"> </w:t>
      </w:r>
      <w:r>
        <w:t>cost</w:t>
      </w:r>
      <w:r>
        <w:rPr>
          <w:spacing w:val="-5"/>
        </w:rPr>
        <w:t xml:space="preserve"> </w:t>
      </w:r>
      <w:r>
        <w:t>base,</w:t>
      </w:r>
      <w:r>
        <w:rPr>
          <w:spacing w:val="-3"/>
        </w:rPr>
        <w:t xml:space="preserve"> </w:t>
      </w:r>
      <w:r>
        <w:t>ensuring</w:t>
      </w:r>
      <w:r>
        <w:rPr>
          <w:spacing w:val="-3"/>
        </w:rPr>
        <w:t xml:space="preserve"> </w:t>
      </w:r>
      <w:r>
        <w:t>that</w:t>
      </w:r>
      <w:r>
        <w:rPr>
          <w:spacing w:val="-5"/>
        </w:rPr>
        <w:t xml:space="preserve"> </w:t>
      </w:r>
      <w:r>
        <w:t>the</w:t>
      </w:r>
      <w:r>
        <w:rPr>
          <w:spacing w:val="-4"/>
        </w:rPr>
        <w:t xml:space="preserve"> </w:t>
      </w:r>
      <w:r>
        <w:t>pass</w:t>
      </w:r>
      <w:r>
        <w:rPr>
          <w:spacing w:val="-5"/>
        </w:rPr>
        <w:t xml:space="preserve"> </w:t>
      </w:r>
      <w:r>
        <w:t>through</w:t>
      </w:r>
      <w:r>
        <w:rPr>
          <w:spacing w:val="-4"/>
        </w:rPr>
        <w:t xml:space="preserve"> </w:t>
      </w:r>
      <w:r>
        <w:t>of</w:t>
      </w:r>
      <w:r>
        <w:rPr>
          <w:spacing w:val="-4"/>
        </w:rPr>
        <w:t xml:space="preserve"> </w:t>
      </w:r>
      <w:r>
        <w:t>these</w:t>
      </w:r>
      <w:r>
        <w:rPr>
          <w:spacing w:val="-5"/>
        </w:rPr>
        <w:t xml:space="preserve"> </w:t>
      </w:r>
      <w:r>
        <w:t>fees</w:t>
      </w:r>
      <w:r>
        <w:rPr>
          <w:spacing w:val="-3"/>
        </w:rPr>
        <w:t xml:space="preserve"> </w:t>
      </w:r>
      <w:r>
        <w:t>has</w:t>
      </w:r>
      <w:r>
        <w:rPr>
          <w:spacing w:val="-4"/>
        </w:rPr>
        <w:t xml:space="preserve"> </w:t>
      </w:r>
      <w:r>
        <w:t>no</w:t>
      </w:r>
      <w:r>
        <w:rPr>
          <w:spacing w:val="-5"/>
        </w:rPr>
        <w:t xml:space="preserve"> </w:t>
      </w:r>
      <w:r>
        <w:t>net</w:t>
      </w:r>
      <w:r>
        <w:rPr>
          <w:spacing w:val="-4"/>
        </w:rPr>
        <w:t xml:space="preserve"> </w:t>
      </w:r>
      <w:r>
        <w:t>effect</w:t>
      </w:r>
      <w:r>
        <w:rPr>
          <w:spacing w:val="-3"/>
        </w:rPr>
        <w:t xml:space="preserve"> </w:t>
      </w:r>
      <w:r>
        <w:t>on</w:t>
      </w:r>
      <w:r>
        <w:rPr>
          <w:spacing w:val="-3"/>
        </w:rPr>
        <w:t xml:space="preserve"> </w:t>
      </w:r>
      <w:r>
        <w:t>the</w:t>
      </w:r>
      <w:r>
        <w:rPr>
          <w:spacing w:val="-5"/>
        </w:rPr>
        <w:t xml:space="preserve"> </w:t>
      </w:r>
      <w:r>
        <w:t>tariffs levied by LMW on its customers.</w:t>
      </w:r>
    </w:p>
    <w:p w14:paraId="4020EBAB" w14:textId="77777777" w:rsidR="00141B97" w:rsidRDefault="00141B97">
      <w:pPr>
        <w:pStyle w:val="BodyText"/>
        <w:spacing w:before="8"/>
        <w:rPr>
          <w:sz w:val="1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308"/>
        <w:gridCol w:w="950"/>
        <w:gridCol w:w="952"/>
        <w:gridCol w:w="951"/>
        <w:gridCol w:w="950"/>
        <w:gridCol w:w="951"/>
        <w:gridCol w:w="950"/>
        <w:gridCol w:w="951"/>
        <w:gridCol w:w="954"/>
      </w:tblGrid>
      <w:tr w:rsidR="00141B97" w14:paraId="59D6EE1E" w14:textId="77777777">
        <w:trPr>
          <w:trHeight w:val="255"/>
          <w:tblCellSpacing w:w="9" w:type="dxa"/>
        </w:trPr>
        <w:tc>
          <w:tcPr>
            <w:tcW w:w="2281" w:type="dxa"/>
            <w:tcBorders>
              <w:top w:val="nil"/>
              <w:left w:val="nil"/>
            </w:tcBorders>
            <w:shd w:val="clear" w:color="auto" w:fill="006CA3"/>
          </w:tcPr>
          <w:p w14:paraId="49FDE6E6" w14:textId="77777777" w:rsidR="00141B97" w:rsidRDefault="00141B97">
            <w:pPr>
              <w:pStyle w:val="TableParagraph"/>
              <w:rPr>
                <w:rFonts w:ascii="Times New Roman"/>
                <w:sz w:val="18"/>
              </w:rPr>
            </w:pPr>
          </w:p>
        </w:tc>
        <w:tc>
          <w:tcPr>
            <w:tcW w:w="1866" w:type="dxa"/>
            <w:gridSpan w:val="2"/>
            <w:tcBorders>
              <w:top w:val="nil"/>
            </w:tcBorders>
            <w:shd w:val="clear" w:color="auto" w:fill="006CA3"/>
          </w:tcPr>
          <w:p w14:paraId="2C8FCEFC" w14:textId="77777777" w:rsidR="00141B97" w:rsidRDefault="00911D63">
            <w:pPr>
              <w:pStyle w:val="TableParagraph"/>
              <w:spacing w:before="30"/>
              <w:ind w:left="449"/>
              <w:rPr>
                <w:sz w:val="16"/>
              </w:rPr>
            </w:pPr>
            <w:r>
              <w:rPr>
                <w:color w:val="FFFFFF"/>
                <w:sz w:val="16"/>
              </w:rPr>
              <w:t>Current</w:t>
            </w:r>
            <w:r>
              <w:rPr>
                <w:color w:val="FFFFFF"/>
                <w:spacing w:val="-6"/>
                <w:sz w:val="16"/>
              </w:rPr>
              <w:t xml:space="preserve"> </w:t>
            </w:r>
            <w:r>
              <w:rPr>
                <w:color w:val="FFFFFF"/>
                <w:spacing w:val="-2"/>
                <w:sz w:val="16"/>
              </w:rPr>
              <w:t>Period</w:t>
            </w:r>
          </w:p>
        </w:tc>
        <w:tc>
          <w:tcPr>
            <w:tcW w:w="5590" w:type="dxa"/>
            <w:gridSpan w:val="6"/>
            <w:tcBorders>
              <w:top w:val="nil"/>
              <w:right w:val="nil"/>
            </w:tcBorders>
            <w:shd w:val="clear" w:color="auto" w:fill="006CA3"/>
          </w:tcPr>
          <w:p w14:paraId="240473B0" w14:textId="77777777" w:rsidR="00141B97" w:rsidRDefault="00911D63">
            <w:pPr>
              <w:pStyle w:val="TableParagraph"/>
              <w:spacing w:before="30"/>
              <w:ind w:left="2055" w:right="2041"/>
              <w:jc w:val="center"/>
              <w:rPr>
                <w:sz w:val="16"/>
              </w:rPr>
            </w:pPr>
            <w:r>
              <w:rPr>
                <w:color w:val="FFFFFF"/>
                <w:sz w:val="16"/>
              </w:rPr>
              <w:t>Fifth</w:t>
            </w:r>
            <w:r>
              <w:rPr>
                <w:color w:val="FFFFFF"/>
                <w:spacing w:val="-6"/>
                <w:sz w:val="16"/>
              </w:rPr>
              <w:t xml:space="preserve"> </w:t>
            </w:r>
            <w:r>
              <w:rPr>
                <w:color w:val="FFFFFF"/>
                <w:sz w:val="16"/>
              </w:rPr>
              <w:t>Regulatory</w:t>
            </w:r>
            <w:r>
              <w:rPr>
                <w:color w:val="FFFFFF"/>
                <w:spacing w:val="-5"/>
                <w:sz w:val="16"/>
              </w:rPr>
              <w:t xml:space="preserve"> </w:t>
            </w:r>
            <w:r>
              <w:rPr>
                <w:color w:val="FFFFFF"/>
                <w:spacing w:val="-2"/>
                <w:sz w:val="16"/>
              </w:rPr>
              <w:t>Period</w:t>
            </w:r>
          </w:p>
        </w:tc>
      </w:tr>
      <w:tr w:rsidR="00141B97" w14:paraId="61C5EEEE" w14:textId="77777777">
        <w:trPr>
          <w:trHeight w:val="254"/>
          <w:tblCellSpacing w:w="9" w:type="dxa"/>
        </w:trPr>
        <w:tc>
          <w:tcPr>
            <w:tcW w:w="2281" w:type="dxa"/>
            <w:tcBorders>
              <w:left w:val="nil"/>
            </w:tcBorders>
            <w:shd w:val="clear" w:color="auto" w:fill="006CA3"/>
          </w:tcPr>
          <w:p w14:paraId="2579E42B" w14:textId="77777777" w:rsidR="00141B97" w:rsidRDefault="00911D63">
            <w:pPr>
              <w:pStyle w:val="TableParagraph"/>
              <w:spacing w:before="29"/>
              <w:ind w:left="88"/>
              <w:rPr>
                <w:sz w:val="16"/>
              </w:rPr>
            </w:pPr>
            <w:r>
              <w:rPr>
                <w:color w:val="FFFFFF"/>
                <w:sz w:val="16"/>
              </w:rPr>
              <w:t>$m,</w:t>
            </w:r>
            <w:r>
              <w:rPr>
                <w:color w:val="FFFFFF"/>
                <w:spacing w:val="-3"/>
                <w:sz w:val="16"/>
              </w:rPr>
              <w:t xml:space="preserve"> </w:t>
            </w:r>
            <w:r>
              <w:rPr>
                <w:color w:val="FFFFFF"/>
                <w:spacing w:val="-2"/>
                <w:sz w:val="16"/>
              </w:rPr>
              <w:t>1/1/23</w:t>
            </w:r>
          </w:p>
        </w:tc>
        <w:tc>
          <w:tcPr>
            <w:tcW w:w="932" w:type="dxa"/>
            <w:shd w:val="clear" w:color="auto" w:fill="006CA3"/>
          </w:tcPr>
          <w:p w14:paraId="50331558" w14:textId="77777777" w:rsidR="00141B97" w:rsidRDefault="00911D63">
            <w:pPr>
              <w:pStyle w:val="TableParagraph"/>
              <w:spacing w:before="29"/>
              <w:ind w:left="188"/>
              <w:rPr>
                <w:sz w:val="16"/>
              </w:rPr>
            </w:pPr>
            <w:r>
              <w:rPr>
                <w:color w:val="FFFFFF"/>
                <w:spacing w:val="-2"/>
                <w:sz w:val="16"/>
              </w:rPr>
              <w:t>2021‐22</w:t>
            </w:r>
          </w:p>
        </w:tc>
        <w:tc>
          <w:tcPr>
            <w:tcW w:w="934" w:type="dxa"/>
            <w:shd w:val="clear" w:color="auto" w:fill="006CA3"/>
          </w:tcPr>
          <w:p w14:paraId="52C6B4FF" w14:textId="77777777" w:rsidR="00141B97" w:rsidRDefault="00911D63">
            <w:pPr>
              <w:pStyle w:val="TableParagraph"/>
              <w:spacing w:before="29"/>
              <w:ind w:left="189"/>
              <w:rPr>
                <w:sz w:val="16"/>
              </w:rPr>
            </w:pPr>
            <w:r>
              <w:rPr>
                <w:color w:val="FFFFFF"/>
                <w:spacing w:val="-2"/>
                <w:sz w:val="16"/>
              </w:rPr>
              <w:t>2022‐23</w:t>
            </w:r>
          </w:p>
        </w:tc>
        <w:tc>
          <w:tcPr>
            <w:tcW w:w="933" w:type="dxa"/>
            <w:shd w:val="clear" w:color="auto" w:fill="006CA3"/>
          </w:tcPr>
          <w:p w14:paraId="2C1A8749" w14:textId="77777777" w:rsidR="00141B97" w:rsidRDefault="00911D63">
            <w:pPr>
              <w:pStyle w:val="TableParagraph"/>
              <w:spacing w:before="29"/>
              <w:ind w:left="189"/>
              <w:rPr>
                <w:sz w:val="16"/>
              </w:rPr>
            </w:pPr>
            <w:r>
              <w:rPr>
                <w:color w:val="FFFFFF"/>
                <w:spacing w:val="-2"/>
                <w:sz w:val="16"/>
              </w:rPr>
              <w:t>2023‐24</w:t>
            </w:r>
          </w:p>
        </w:tc>
        <w:tc>
          <w:tcPr>
            <w:tcW w:w="932" w:type="dxa"/>
            <w:shd w:val="clear" w:color="auto" w:fill="006CA3"/>
          </w:tcPr>
          <w:p w14:paraId="10C4BD89" w14:textId="77777777" w:rsidR="00141B97" w:rsidRDefault="00911D63">
            <w:pPr>
              <w:pStyle w:val="TableParagraph"/>
              <w:spacing w:before="29"/>
              <w:ind w:left="190"/>
              <w:rPr>
                <w:sz w:val="16"/>
              </w:rPr>
            </w:pPr>
            <w:r>
              <w:rPr>
                <w:color w:val="FFFFFF"/>
                <w:spacing w:val="-2"/>
                <w:sz w:val="16"/>
              </w:rPr>
              <w:t>2024‐25</w:t>
            </w:r>
          </w:p>
        </w:tc>
        <w:tc>
          <w:tcPr>
            <w:tcW w:w="933" w:type="dxa"/>
            <w:shd w:val="clear" w:color="auto" w:fill="006CA3"/>
          </w:tcPr>
          <w:p w14:paraId="66A7E538" w14:textId="77777777" w:rsidR="00141B97" w:rsidRDefault="00911D63">
            <w:pPr>
              <w:pStyle w:val="TableParagraph"/>
              <w:spacing w:before="29"/>
              <w:ind w:left="190"/>
              <w:rPr>
                <w:sz w:val="16"/>
              </w:rPr>
            </w:pPr>
            <w:r>
              <w:rPr>
                <w:color w:val="FFFFFF"/>
                <w:spacing w:val="-2"/>
                <w:sz w:val="16"/>
              </w:rPr>
              <w:t>2025‐26</w:t>
            </w:r>
          </w:p>
        </w:tc>
        <w:tc>
          <w:tcPr>
            <w:tcW w:w="932" w:type="dxa"/>
            <w:shd w:val="clear" w:color="auto" w:fill="006CA3"/>
          </w:tcPr>
          <w:p w14:paraId="521174E0" w14:textId="77777777" w:rsidR="00141B97" w:rsidRDefault="00911D63">
            <w:pPr>
              <w:pStyle w:val="TableParagraph"/>
              <w:spacing w:before="29"/>
              <w:ind w:left="191"/>
              <w:rPr>
                <w:sz w:val="16"/>
              </w:rPr>
            </w:pPr>
            <w:r>
              <w:rPr>
                <w:color w:val="FFFFFF"/>
                <w:spacing w:val="-2"/>
                <w:sz w:val="16"/>
              </w:rPr>
              <w:t>2026‐27</w:t>
            </w:r>
          </w:p>
        </w:tc>
        <w:tc>
          <w:tcPr>
            <w:tcW w:w="933" w:type="dxa"/>
            <w:shd w:val="clear" w:color="auto" w:fill="006CA3"/>
          </w:tcPr>
          <w:p w14:paraId="02BDA5EC" w14:textId="77777777" w:rsidR="00141B97" w:rsidRDefault="00911D63">
            <w:pPr>
              <w:pStyle w:val="TableParagraph"/>
              <w:spacing w:before="29"/>
              <w:ind w:left="191"/>
              <w:rPr>
                <w:sz w:val="16"/>
              </w:rPr>
            </w:pPr>
            <w:r>
              <w:rPr>
                <w:color w:val="FFFFFF"/>
                <w:spacing w:val="-2"/>
                <w:sz w:val="16"/>
              </w:rPr>
              <w:t>2027‐28</w:t>
            </w:r>
          </w:p>
        </w:tc>
        <w:tc>
          <w:tcPr>
            <w:tcW w:w="927" w:type="dxa"/>
            <w:tcBorders>
              <w:right w:val="nil"/>
            </w:tcBorders>
            <w:shd w:val="clear" w:color="auto" w:fill="006CA3"/>
          </w:tcPr>
          <w:p w14:paraId="4092FB78" w14:textId="77777777" w:rsidR="00141B97" w:rsidRDefault="00911D63">
            <w:pPr>
              <w:pStyle w:val="TableParagraph"/>
              <w:spacing w:line="195" w:lineRule="exact"/>
              <w:ind w:left="249" w:right="230"/>
              <w:jc w:val="center"/>
              <w:rPr>
                <w:sz w:val="16"/>
              </w:rPr>
            </w:pPr>
            <w:r>
              <w:rPr>
                <w:color w:val="FFFFFF"/>
                <w:spacing w:val="-2"/>
                <w:sz w:val="16"/>
              </w:rPr>
              <w:t>TOTAL</w:t>
            </w:r>
          </w:p>
        </w:tc>
      </w:tr>
      <w:tr w:rsidR="00141B97" w14:paraId="67223FB6" w14:textId="77777777">
        <w:trPr>
          <w:trHeight w:val="270"/>
          <w:tblCellSpacing w:w="9" w:type="dxa"/>
        </w:trPr>
        <w:tc>
          <w:tcPr>
            <w:tcW w:w="2281" w:type="dxa"/>
            <w:tcBorders>
              <w:left w:val="nil"/>
            </w:tcBorders>
            <w:shd w:val="clear" w:color="auto" w:fill="CCE2ED"/>
          </w:tcPr>
          <w:p w14:paraId="016C041F" w14:textId="77777777" w:rsidR="00141B97" w:rsidRDefault="00911D63">
            <w:pPr>
              <w:pStyle w:val="TableParagraph"/>
              <w:spacing w:before="38"/>
              <w:ind w:left="88"/>
              <w:rPr>
                <w:sz w:val="16"/>
              </w:rPr>
            </w:pPr>
            <w:r>
              <w:rPr>
                <w:spacing w:val="-2"/>
                <w:sz w:val="16"/>
              </w:rPr>
              <w:t>Spillable</w:t>
            </w:r>
            <w:r>
              <w:rPr>
                <w:spacing w:val="7"/>
                <w:sz w:val="16"/>
              </w:rPr>
              <w:t xml:space="preserve"> </w:t>
            </w:r>
            <w:r>
              <w:rPr>
                <w:spacing w:val="-2"/>
                <w:sz w:val="16"/>
              </w:rPr>
              <w:t>water</w:t>
            </w:r>
          </w:p>
        </w:tc>
        <w:tc>
          <w:tcPr>
            <w:tcW w:w="932" w:type="dxa"/>
            <w:shd w:val="clear" w:color="auto" w:fill="CCE2ED"/>
          </w:tcPr>
          <w:p w14:paraId="27E6BCB4" w14:textId="77777777" w:rsidR="00141B97" w:rsidRDefault="00911D63">
            <w:pPr>
              <w:pStyle w:val="TableParagraph"/>
              <w:spacing w:before="38"/>
              <w:ind w:right="95"/>
              <w:jc w:val="right"/>
              <w:rPr>
                <w:sz w:val="16"/>
              </w:rPr>
            </w:pPr>
            <w:r>
              <w:rPr>
                <w:spacing w:val="-4"/>
                <w:sz w:val="16"/>
              </w:rPr>
              <w:t>0.00</w:t>
            </w:r>
          </w:p>
        </w:tc>
        <w:tc>
          <w:tcPr>
            <w:tcW w:w="934" w:type="dxa"/>
            <w:shd w:val="clear" w:color="auto" w:fill="CCE2ED"/>
          </w:tcPr>
          <w:p w14:paraId="59E21C02" w14:textId="77777777" w:rsidR="00141B97" w:rsidRDefault="00911D63">
            <w:pPr>
              <w:pStyle w:val="TableParagraph"/>
              <w:spacing w:before="38"/>
              <w:ind w:right="95"/>
              <w:jc w:val="right"/>
              <w:rPr>
                <w:sz w:val="16"/>
              </w:rPr>
            </w:pPr>
            <w:r>
              <w:rPr>
                <w:spacing w:val="-4"/>
                <w:sz w:val="16"/>
              </w:rPr>
              <w:t>0.00</w:t>
            </w:r>
          </w:p>
        </w:tc>
        <w:tc>
          <w:tcPr>
            <w:tcW w:w="933" w:type="dxa"/>
            <w:shd w:val="clear" w:color="auto" w:fill="CCE2ED"/>
          </w:tcPr>
          <w:p w14:paraId="52595D2B" w14:textId="77777777" w:rsidR="00141B97" w:rsidRDefault="00911D63">
            <w:pPr>
              <w:pStyle w:val="TableParagraph"/>
              <w:spacing w:before="38"/>
              <w:ind w:right="95"/>
              <w:jc w:val="right"/>
              <w:rPr>
                <w:sz w:val="16"/>
              </w:rPr>
            </w:pPr>
            <w:r>
              <w:rPr>
                <w:spacing w:val="-4"/>
                <w:sz w:val="16"/>
              </w:rPr>
              <w:t>0.00</w:t>
            </w:r>
          </w:p>
        </w:tc>
        <w:tc>
          <w:tcPr>
            <w:tcW w:w="932" w:type="dxa"/>
            <w:shd w:val="clear" w:color="auto" w:fill="CCE2ED"/>
          </w:tcPr>
          <w:p w14:paraId="49581416" w14:textId="77777777" w:rsidR="00141B97" w:rsidRDefault="00911D63">
            <w:pPr>
              <w:pStyle w:val="TableParagraph"/>
              <w:spacing w:before="38"/>
              <w:ind w:right="93"/>
              <w:jc w:val="right"/>
              <w:rPr>
                <w:sz w:val="16"/>
              </w:rPr>
            </w:pPr>
            <w:r>
              <w:rPr>
                <w:spacing w:val="-4"/>
                <w:sz w:val="16"/>
              </w:rPr>
              <w:t>0.00</w:t>
            </w:r>
          </w:p>
        </w:tc>
        <w:tc>
          <w:tcPr>
            <w:tcW w:w="933" w:type="dxa"/>
            <w:shd w:val="clear" w:color="auto" w:fill="CCE2ED"/>
          </w:tcPr>
          <w:p w14:paraId="5307652F" w14:textId="77777777" w:rsidR="00141B97" w:rsidRDefault="00911D63">
            <w:pPr>
              <w:pStyle w:val="TableParagraph"/>
              <w:spacing w:before="38"/>
              <w:ind w:right="94"/>
              <w:jc w:val="right"/>
              <w:rPr>
                <w:sz w:val="16"/>
              </w:rPr>
            </w:pPr>
            <w:r>
              <w:rPr>
                <w:spacing w:val="-4"/>
                <w:sz w:val="16"/>
              </w:rPr>
              <w:t>0.00</w:t>
            </w:r>
          </w:p>
        </w:tc>
        <w:tc>
          <w:tcPr>
            <w:tcW w:w="932" w:type="dxa"/>
            <w:shd w:val="clear" w:color="auto" w:fill="CCE2ED"/>
          </w:tcPr>
          <w:p w14:paraId="5DC1AA11" w14:textId="77777777" w:rsidR="00141B97" w:rsidRDefault="00911D63">
            <w:pPr>
              <w:pStyle w:val="TableParagraph"/>
              <w:spacing w:before="38"/>
              <w:ind w:right="92"/>
              <w:jc w:val="right"/>
              <w:rPr>
                <w:sz w:val="16"/>
              </w:rPr>
            </w:pPr>
            <w:r>
              <w:rPr>
                <w:spacing w:val="-4"/>
                <w:sz w:val="16"/>
              </w:rPr>
              <w:t>0.00</w:t>
            </w:r>
          </w:p>
        </w:tc>
        <w:tc>
          <w:tcPr>
            <w:tcW w:w="933" w:type="dxa"/>
            <w:shd w:val="clear" w:color="auto" w:fill="CCE2ED"/>
          </w:tcPr>
          <w:p w14:paraId="69A640E4" w14:textId="77777777" w:rsidR="00141B97" w:rsidRDefault="00911D63">
            <w:pPr>
              <w:pStyle w:val="TableParagraph"/>
              <w:spacing w:before="38"/>
              <w:ind w:right="93"/>
              <w:jc w:val="right"/>
              <w:rPr>
                <w:sz w:val="16"/>
              </w:rPr>
            </w:pPr>
            <w:r>
              <w:rPr>
                <w:spacing w:val="-4"/>
                <w:sz w:val="16"/>
              </w:rPr>
              <w:t>0.00</w:t>
            </w:r>
          </w:p>
        </w:tc>
        <w:tc>
          <w:tcPr>
            <w:tcW w:w="927" w:type="dxa"/>
            <w:tcBorders>
              <w:right w:val="nil"/>
            </w:tcBorders>
            <w:shd w:val="clear" w:color="auto" w:fill="CCE2ED"/>
          </w:tcPr>
          <w:p w14:paraId="2A144831" w14:textId="77777777" w:rsidR="00141B97" w:rsidRDefault="00911D63">
            <w:pPr>
              <w:pStyle w:val="TableParagraph"/>
              <w:spacing w:before="38"/>
              <w:ind w:left="247" w:right="230"/>
              <w:jc w:val="center"/>
              <w:rPr>
                <w:sz w:val="16"/>
              </w:rPr>
            </w:pPr>
            <w:r>
              <w:rPr>
                <w:spacing w:val="-4"/>
                <w:sz w:val="16"/>
              </w:rPr>
              <w:t>0.00</w:t>
            </w:r>
          </w:p>
        </w:tc>
      </w:tr>
      <w:tr w:rsidR="00141B97" w14:paraId="77104C47" w14:textId="77777777">
        <w:trPr>
          <w:trHeight w:val="390"/>
          <w:tblCellSpacing w:w="9" w:type="dxa"/>
        </w:trPr>
        <w:tc>
          <w:tcPr>
            <w:tcW w:w="2281" w:type="dxa"/>
            <w:tcBorders>
              <w:left w:val="nil"/>
            </w:tcBorders>
            <w:shd w:val="clear" w:color="auto" w:fill="CCE2ED"/>
          </w:tcPr>
          <w:p w14:paraId="27F32700" w14:textId="77777777" w:rsidR="00141B97" w:rsidRDefault="00911D63">
            <w:pPr>
              <w:pStyle w:val="TableParagraph"/>
              <w:spacing w:line="195" w:lineRule="exact"/>
              <w:ind w:left="257"/>
              <w:rPr>
                <w:i/>
                <w:sz w:val="16"/>
              </w:rPr>
            </w:pPr>
            <w:r>
              <w:rPr>
                <w:i/>
                <w:sz w:val="16"/>
              </w:rPr>
              <w:t>Storage</w:t>
            </w:r>
            <w:r>
              <w:rPr>
                <w:i/>
                <w:spacing w:val="-7"/>
                <w:sz w:val="16"/>
              </w:rPr>
              <w:t xml:space="preserve"> </w:t>
            </w:r>
            <w:r>
              <w:rPr>
                <w:i/>
                <w:sz w:val="16"/>
              </w:rPr>
              <w:t>entitlement</w:t>
            </w:r>
            <w:r>
              <w:rPr>
                <w:i/>
                <w:spacing w:val="-8"/>
                <w:sz w:val="16"/>
              </w:rPr>
              <w:t xml:space="preserve"> </w:t>
            </w:r>
            <w:r>
              <w:rPr>
                <w:i/>
                <w:sz w:val="16"/>
              </w:rPr>
              <w:t>fees</w:t>
            </w:r>
            <w:r>
              <w:rPr>
                <w:i/>
                <w:spacing w:val="-7"/>
                <w:sz w:val="16"/>
              </w:rPr>
              <w:t xml:space="preserve"> </w:t>
            </w:r>
            <w:r>
              <w:rPr>
                <w:i/>
                <w:spacing w:val="-10"/>
                <w:sz w:val="16"/>
              </w:rPr>
              <w:t>‐</w:t>
            </w:r>
          </w:p>
          <w:p w14:paraId="362BE479" w14:textId="77777777" w:rsidR="00141B97" w:rsidRDefault="00911D63">
            <w:pPr>
              <w:pStyle w:val="TableParagraph"/>
              <w:spacing w:line="175" w:lineRule="exact"/>
              <w:ind w:left="257"/>
              <w:rPr>
                <w:i/>
                <w:sz w:val="16"/>
              </w:rPr>
            </w:pPr>
            <w:r>
              <w:rPr>
                <w:i/>
                <w:sz w:val="16"/>
              </w:rPr>
              <w:t>total</w:t>
            </w:r>
            <w:r>
              <w:rPr>
                <w:i/>
                <w:spacing w:val="-6"/>
                <w:sz w:val="16"/>
              </w:rPr>
              <w:t xml:space="preserve"> </w:t>
            </w:r>
            <w:r>
              <w:rPr>
                <w:i/>
                <w:spacing w:val="-4"/>
                <w:sz w:val="16"/>
              </w:rPr>
              <w:t>cost</w:t>
            </w:r>
          </w:p>
        </w:tc>
        <w:tc>
          <w:tcPr>
            <w:tcW w:w="932" w:type="dxa"/>
            <w:shd w:val="clear" w:color="auto" w:fill="CCE2ED"/>
          </w:tcPr>
          <w:p w14:paraId="4CE8B5A5" w14:textId="77777777" w:rsidR="00141B97" w:rsidRDefault="00911D63">
            <w:pPr>
              <w:pStyle w:val="TableParagraph"/>
              <w:spacing w:before="98"/>
              <w:ind w:right="95"/>
              <w:jc w:val="right"/>
              <w:rPr>
                <w:i/>
                <w:sz w:val="16"/>
              </w:rPr>
            </w:pPr>
            <w:r>
              <w:rPr>
                <w:i/>
                <w:spacing w:val="-4"/>
                <w:sz w:val="16"/>
              </w:rPr>
              <w:t>3.21</w:t>
            </w:r>
          </w:p>
        </w:tc>
        <w:tc>
          <w:tcPr>
            <w:tcW w:w="934" w:type="dxa"/>
            <w:shd w:val="clear" w:color="auto" w:fill="CCE2ED"/>
          </w:tcPr>
          <w:p w14:paraId="168D63EB" w14:textId="77777777" w:rsidR="00141B97" w:rsidRDefault="00911D63">
            <w:pPr>
              <w:pStyle w:val="TableParagraph"/>
              <w:spacing w:before="98"/>
              <w:ind w:right="95"/>
              <w:jc w:val="right"/>
              <w:rPr>
                <w:i/>
                <w:sz w:val="16"/>
              </w:rPr>
            </w:pPr>
            <w:r>
              <w:rPr>
                <w:i/>
                <w:spacing w:val="-4"/>
                <w:sz w:val="16"/>
              </w:rPr>
              <w:t>3.13</w:t>
            </w:r>
          </w:p>
        </w:tc>
        <w:tc>
          <w:tcPr>
            <w:tcW w:w="933" w:type="dxa"/>
            <w:shd w:val="clear" w:color="auto" w:fill="CCE2ED"/>
          </w:tcPr>
          <w:p w14:paraId="493EF434" w14:textId="77777777" w:rsidR="00141B97" w:rsidRDefault="00911D63">
            <w:pPr>
              <w:pStyle w:val="TableParagraph"/>
              <w:spacing w:before="98"/>
              <w:ind w:right="95"/>
              <w:jc w:val="right"/>
              <w:rPr>
                <w:i/>
                <w:sz w:val="16"/>
              </w:rPr>
            </w:pPr>
            <w:r>
              <w:rPr>
                <w:i/>
                <w:spacing w:val="-4"/>
                <w:sz w:val="16"/>
              </w:rPr>
              <w:t>3.28</w:t>
            </w:r>
          </w:p>
        </w:tc>
        <w:tc>
          <w:tcPr>
            <w:tcW w:w="932" w:type="dxa"/>
            <w:shd w:val="clear" w:color="auto" w:fill="CCE2ED"/>
          </w:tcPr>
          <w:p w14:paraId="0F2B53D3" w14:textId="77777777" w:rsidR="00141B97" w:rsidRDefault="00911D63">
            <w:pPr>
              <w:pStyle w:val="TableParagraph"/>
              <w:spacing w:before="98"/>
              <w:ind w:right="93"/>
              <w:jc w:val="right"/>
              <w:rPr>
                <w:i/>
                <w:sz w:val="16"/>
              </w:rPr>
            </w:pPr>
            <w:r>
              <w:rPr>
                <w:i/>
                <w:spacing w:val="-4"/>
                <w:sz w:val="16"/>
              </w:rPr>
              <w:t>3.43</w:t>
            </w:r>
          </w:p>
        </w:tc>
        <w:tc>
          <w:tcPr>
            <w:tcW w:w="933" w:type="dxa"/>
            <w:shd w:val="clear" w:color="auto" w:fill="CCE2ED"/>
          </w:tcPr>
          <w:p w14:paraId="0C3B6C78" w14:textId="77777777" w:rsidR="00141B97" w:rsidRDefault="00911D63">
            <w:pPr>
              <w:pStyle w:val="TableParagraph"/>
              <w:spacing w:before="98"/>
              <w:ind w:right="94"/>
              <w:jc w:val="right"/>
              <w:rPr>
                <w:i/>
                <w:sz w:val="16"/>
              </w:rPr>
            </w:pPr>
            <w:r>
              <w:rPr>
                <w:i/>
                <w:spacing w:val="-4"/>
                <w:sz w:val="16"/>
              </w:rPr>
              <w:t>3.57</w:t>
            </w:r>
          </w:p>
        </w:tc>
        <w:tc>
          <w:tcPr>
            <w:tcW w:w="932" w:type="dxa"/>
            <w:shd w:val="clear" w:color="auto" w:fill="CCE2ED"/>
          </w:tcPr>
          <w:p w14:paraId="5EBCEE84" w14:textId="77777777" w:rsidR="00141B97" w:rsidRDefault="00911D63">
            <w:pPr>
              <w:pStyle w:val="TableParagraph"/>
              <w:spacing w:before="98"/>
              <w:ind w:right="92"/>
              <w:jc w:val="right"/>
              <w:rPr>
                <w:i/>
                <w:sz w:val="16"/>
              </w:rPr>
            </w:pPr>
            <w:r>
              <w:rPr>
                <w:i/>
                <w:spacing w:val="-4"/>
                <w:sz w:val="16"/>
              </w:rPr>
              <w:t>3.72</w:t>
            </w:r>
          </w:p>
        </w:tc>
        <w:tc>
          <w:tcPr>
            <w:tcW w:w="933" w:type="dxa"/>
            <w:shd w:val="clear" w:color="auto" w:fill="CCE2ED"/>
          </w:tcPr>
          <w:p w14:paraId="11171D44" w14:textId="77777777" w:rsidR="00141B97" w:rsidRDefault="00911D63">
            <w:pPr>
              <w:pStyle w:val="TableParagraph"/>
              <w:spacing w:before="98"/>
              <w:ind w:right="93"/>
              <w:jc w:val="right"/>
              <w:rPr>
                <w:i/>
                <w:sz w:val="16"/>
              </w:rPr>
            </w:pPr>
            <w:r>
              <w:rPr>
                <w:i/>
                <w:spacing w:val="-4"/>
                <w:sz w:val="16"/>
              </w:rPr>
              <w:t>3.72</w:t>
            </w:r>
          </w:p>
        </w:tc>
        <w:tc>
          <w:tcPr>
            <w:tcW w:w="927" w:type="dxa"/>
            <w:tcBorders>
              <w:right w:val="nil"/>
            </w:tcBorders>
            <w:shd w:val="clear" w:color="auto" w:fill="CCE2ED"/>
          </w:tcPr>
          <w:p w14:paraId="3ECA6EFA" w14:textId="77777777" w:rsidR="00141B97" w:rsidRDefault="00911D63">
            <w:pPr>
              <w:pStyle w:val="TableParagraph"/>
              <w:spacing w:before="98"/>
              <w:ind w:left="247" w:right="230"/>
              <w:jc w:val="center"/>
              <w:rPr>
                <w:i/>
                <w:sz w:val="16"/>
              </w:rPr>
            </w:pPr>
            <w:r>
              <w:rPr>
                <w:i/>
                <w:spacing w:val="-2"/>
                <w:sz w:val="16"/>
              </w:rPr>
              <w:t>17.72</w:t>
            </w:r>
          </w:p>
        </w:tc>
      </w:tr>
      <w:tr w:rsidR="00141B97" w14:paraId="2A783044" w14:textId="77777777">
        <w:trPr>
          <w:trHeight w:val="585"/>
          <w:tblCellSpacing w:w="9" w:type="dxa"/>
        </w:trPr>
        <w:tc>
          <w:tcPr>
            <w:tcW w:w="2281" w:type="dxa"/>
            <w:tcBorders>
              <w:left w:val="nil"/>
            </w:tcBorders>
            <w:shd w:val="clear" w:color="auto" w:fill="CCE2ED"/>
          </w:tcPr>
          <w:p w14:paraId="474B295E" w14:textId="77777777" w:rsidR="00141B97" w:rsidRDefault="00911D63">
            <w:pPr>
              <w:pStyle w:val="TableParagraph"/>
              <w:spacing w:line="195" w:lineRule="exact"/>
              <w:ind w:left="257"/>
              <w:rPr>
                <w:i/>
                <w:sz w:val="16"/>
              </w:rPr>
            </w:pPr>
            <w:r>
              <w:rPr>
                <w:i/>
                <w:spacing w:val="-2"/>
                <w:sz w:val="16"/>
              </w:rPr>
              <w:t>LESS</w:t>
            </w:r>
            <w:r>
              <w:rPr>
                <w:i/>
                <w:spacing w:val="5"/>
                <w:sz w:val="16"/>
              </w:rPr>
              <w:t xml:space="preserve"> </w:t>
            </w:r>
            <w:r>
              <w:rPr>
                <w:i/>
                <w:spacing w:val="-2"/>
                <w:sz w:val="16"/>
              </w:rPr>
              <w:t>Storage</w:t>
            </w:r>
            <w:r>
              <w:rPr>
                <w:i/>
                <w:spacing w:val="6"/>
                <w:sz w:val="16"/>
              </w:rPr>
              <w:t xml:space="preserve"> </w:t>
            </w:r>
            <w:r>
              <w:rPr>
                <w:i/>
                <w:spacing w:val="-2"/>
                <w:sz w:val="16"/>
              </w:rPr>
              <w:t>entitlement</w:t>
            </w:r>
            <w:r>
              <w:rPr>
                <w:i/>
                <w:spacing w:val="5"/>
                <w:sz w:val="16"/>
              </w:rPr>
              <w:t xml:space="preserve"> </w:t>
            </w:r>
            <w:r>
              <w:rPr>
                <w:i/>
                <w:spacing w:val="-10"/>
                <w:sz w:val="16"/>
              </w:rPr>
              <w:t>‐</w:t>
            </w:r>
          </w:p>
          <w:p w14:paraId="297ED271" w14:textId="77777777" w:rsidR="00141B97" w:rsidRDefault="00911D63">
            <w:pPr>
              <w:pStyle w:val="TableParagraph"/>
              <w:spacing w:line="190" w:lineRule="atLeast"/>
              <w:ind w:left="257" w:right="166"/>
              <w:rPr>
                <w:i/>
                <w:sz w:val="16"/>
              </w:rPr>
            </w:pPr>
            <w:r>
              <w:rPr>
                <w:i/>
                <w:sz w:val="16"/>
              </w:rPr>
              <w:t>losses</w:t>
            </w:r>
            <w:r>
              <w:rPr>
                <w:i/>
                <w:spacing w:val="-7"/>
                <w:sz w:val="16"/>
              </w:rPr>
              <w:t xml:space="preserve"> </w:t>
            </w:r>
            <w:r>
              <w:rPr>
                <w:i/>
                <w:sz w:val="16"/>
              </w:rPr>
              <w:t>charge</w:t>
            </w:r>
            <w:r>
              <w:rPr>
                <w:i/>
                <w:spacing w:val="-6"/>
                <w:sz w:val="16"/>
              </w:rPr>
              <w:t xml:space="preserve"> </w:t>
            </w:r>
            <w:r>
              <w:rPr>
                <w:i/>
                <w:sz w:val="16"/>
              </w:rPr>
              <w:t>to</w:t>
            </w:r>
            <w:r>
              <w:rPr>
                <w:i/>
                <w:spacing w:val="-6"/>
                <w:sz w:val="16"/>
              </w:rPr>
              <w:t xml:space="preserve"> </w:t>
            </w:r>
            <w:r>
              <w:rPr>
                <w:i/>
                <w:sz w:val="16"/>
              </w:rPr>
              <w:t>delivery</w:t>
            </w:r>
            <w:r>
              <w:rPr>
                <w:i/>
                <w:spacing w:val="40"/>
                <w:sz w:val="16"/>
              </w:rPr>
              <w:t xml:space="preserve"> </w:t>
            </w:r>
            <w:r>
              <w:rPr>
                <w:i/>
                <w:spacing w:val="-2"/>
                <w:sz w:val="16"/>
              </w:rPr>
              <w:t>share</w:t>
            </w:r>
          </w:p>
        </w:tc>
        <w:tc>
          <w:tcPr>
            <w:tcW w:w="932" w:type="dxa"/>
            <w:shd w:val="clear" w:color="auto" w:fill="CCE2ED"/>
          </w:tcPr>
          <w:p w14:paraId="015C03FC" w14:textId="77777777" w:rsidR="00141B97" w:rsidRDefault="00141B97">
            <w:pPr>
              <w:pStyle w:val="TableParagraph"/>
              <w:spacing w:before="12"/>
              <w:rPr>
                <w:sz w:val="15"/>
              </w:rPr>
            </w:pPr>
          </w:p>
          <w:p w14:paraId="4211803C" w14:textId="77777777" w:rsidR="00141B97" w:rsidRDefault="00911D63">
            <w:pPr>
              <w:pStyle w:val="TableParagraph"/>
              <w:ind w:right="95"/>
              <w:jc w:val="right"/>
              <w:rPr>
                <w:i/>
                <w:sz w:val="16"/>
              </w:rPr>
            </w:pPr>
            <w:r>
              <w:rPr>
                <w:i/>
                <w:spacing w:val="-4"/>
                <w:sz w:val="16"/>
              </w:rPr>
              <w:t>0.09</w:t>
            </w:r>
          </w:p>
        </w:tc>
        <w:tc>
          <w:tcPr>
            <w:tcW w:w="934" w:type="dxa"/>
            <w:shd w:val="clear" w:color="auto" w:fill="CCE2ED"/>
          </w:tcPr>
          <w:p w14:paraId="347165A6" w14:textId="77777777" w:rsidR="00141B97" w:rsidRDefault="00141B97">
            <w:pPr>
              <w:pStyle w:val="TableParagraph"/>
              <w:spacing w:before="12"/>
              <w:rPr>
                <w:sz w:val="15"/>
              </w:rPr>
            </w:pPr>
          </w:p>
          <w:p w14:paraId="7D556D2A" w14:textId="77777777" w:rsidR="00141B97" w:rsidRDefault="00911D63">
            <w:pPr>
              <w:pStyle w:val="TableParagraph"/>
              <w:ind w:right="95"/>
              <w:jc w:val="right"/>
              <w:rPr>
                <w:i/>
                <w:sz w:val="16"/>
              </w:rPr>
            </w:pPr>
            <w:r>
              <w:rPr>
                <w:i/>
                <w:spacing w:val="-4"/>
                <w:sz w:val="16"/>
              </w:rPr>
              <w:t>0.10</w:t>
            </w:r>
          </w:p>
        </w:tc>
        <w:tc>
          <w:tcPr>
            <w:tcW w:w="933" w:type="dxa"/>
            <w:shd w:val="clear" w:color="auto" w:fill="CCE2ED"/>
          </w:tcPr>
          <w:p w14:paraId="5149D89F" w14:textId="77777777" w:rsidR="00141B97" w:rsidRDefault="00141B97">
            <w:pPr>
              <w:pStyle w:val="TableParagraph"/>
              <w:spacing w:before="12"/>
              <w:rPr>
                <w:sz w:val="15"/>
              </w:rPr>
            </w:pPr>
          </w:p>
          <w:p w14:paraId="1908290D" w14:textId="77777777" w:rsidR="00141B97" w:rsidRDefault="00911D63">
            <w:pPr>
              <w:pStyle w:val="TableParagraph"/>
              <w:ind w:right="95"/>
              <w:jc w:val="right"/>
              <w:rPr>
                <w:i/>
                <w:sz w:val="16"/>
              </w:rPr>
            </w:pPr>
            <w:r>
              <w:rPr>
                <w:i/>
                <w:spacing w:val="-4"/>
                <w:sz w:val="16"/>
              </w:rPr>
              <w:t>0.12</w:t>
            </w:r>
          </w:p>
        </w:tc>
        <w:tc>
          <w:tcPr>
            <w:tcW w:w="932" w:type="dxa"/>
            <w:shd w:val="clear" w:color="auto" w:fill="CCE2ED"/>
          </w:tcPr>
          <w:p w14:paraId="691B90AA" w14:textId="77777777" w:rsidR="00141B97" w:rsidRDefault="00141B97">
            <w:pPr>
              <w:pStyle w:val="TableParagraph"/>
              <w:spacing w:before="12"/>
              <w:rPr>
                <w:sz w:val="15"/>
              </w:rPr>
            </w:pPr>
          </w:p>
          <w:p w14:paraId="6189CBC2" w14:textId="77777777" w:rsidR="00141B97" w:rsidRDefault="00911D63">
            <w:pPr>
              <w:pStyle w:val="TableParagraph"/>
              <w:ind w:right="93"/>
              <w:jc w:val="right"/>
              <w:rPr>
                <w:i/>
                <w:sz w:val="16"/>
              </w:rPr>
            </w:pPr>
            <w:r>
              <w:rPr>
                <w:i/>
                <w:spacing w:val="-4"/>
                <w:sz w:val="16"/>
              </w:rPr>
              <w:t>0.15</w:t>
            </w:r>
          </w:p>
        </w:tc>
        <w:tc>
          <w:tcPr>
            <w:tcW w:w="933" w:type="dxa"/>
            <w:shd w:val="clear" w:color="auto" w:fill="CCE2ED"/>
          </w:tcPr>
          <w:p w14:paraId="7E5AB0EF" w14:textId="77777777" w:rsidR="00141B97" w:rsidRDefault="00141B97">
            <w:pPr>
              <w:pStyle w:val="TableParagraph"/>
              <w:spacing w:before="12"/>
              <w:rPr>
                <w:sz w:val="15"/>
              </w:rPr>
            </w:pPr>
          </w:p>
          <w:p w14:paraId="7842AA65" w14:textId="77777777" w:rsidR="00141B97" w:rsidRDefault="00911D63">
            <w:pPr>
              <w:pStyle w:val="TableParagraph"/>
              <w:ind w:right="94"/>
              <w:jc w:val="right"/>
              <w:rPr>
                <w:i/>
                <w:sz w:val="16"/>
              </w:rPr>
            </w:pPr>
            <w:r>
              <w:rPr>
                <w:i/>
                <w:spacing w:val="-4"/>
                <w:sz w:val="16"/>
              </w:rPr>
              <w:t>0.20</w:t>
            </w:r>
          </w:p>
        </w:tc>
        <w:tc>
          <w:tcPr>
            <w:tcW w:w="932" w:type="dxa"/>
            <w:shd w:val="clear" w:color="auto" w:fill="CCE2ED"/>
          </w:tcPr>
          <w:p w14:paraId="308FE259" w14:textId="77777777" w:rsidR="00141B97" w:rsidRDefault="00141B97">
            <w:pPr>
              <w:pStyle w:val="TableParagraph"/>
              <w:spacing w:before="12"/>
              <w:rPr>
                <w:sz w:val="15"/>
              </w:rPr>
            </w:pPr>
          </w:p>
          <w:p w14:paraId="1AEB3B56" w14:textId="77777777" w:rsidR="00141B97" w:rsidRDefault="00911D63">
            <w:pPr>
              <w:pStyle w:val="TableParagraph"/>
              <w:ind w:right="92"/>
              <w:jc w:val="right"/>
              <w:rPr>
                <w:i/>
                <w:sz w:val="16"/>
              </w:rPr>
            </w:pPr>
            <w:r>
              <w:rPr>
                <w:i/>
                <w:spacing w:val="-4"/>
                <w:sz w:val="16"/>
              </w:rPr>
              <w:t>0.24</w:t>
            </w:r>
          </w:p>
        </w:tc>
        <w:tc>
          <w:tcPr>
            <w:tcW w:w="933" w:type="dxa"/>
            <w:shd w:val="clear" w:color="auto" w:fill="CCE2ED"/>
          </w:tcPr>
          <w:p w14:paraId="4D502543" w14:textId="77777777" w:rsidR="00141B97" w:rsidRDefault="00141B97">
            <w:pPr>
              <w:pStyle w:val="TableParagraph"/>
              <w:spacing w:before="12"/>
              <w:rPr>
                <w:sz w:val="15"/>
              </w:rPr>
            </w:pPr>
          </w:p>
          <w:p w14:paraId="16B25F12" w14:textId="77777777" w:rsidR="00141B97" w:rsidRDefault="00911D63">
            <w:pPr>
              <w:pStyle w:val="TableParagraph"/>
              <w:ind w:right="93"/>
              <w:jc w:val="right"/>
              <w:rPr>
                <w:i/>
                <w:sz w:val="16"/>
              </w:rPr>
            </w:pPr>
            <w:r>
              <w:rPr>
                <w:i/>
                <w:spacing w:val="-4"/>
                <w:sz w:val="16"/>
              </w:rPr>
              <w:t>0.28</w:t>
            </w:r>
          </w:p>
        </w:tc>
        <w:tc>
          <w:tcPr>
            <w:tcW w:w="927" w:type="dxa"/>
            <w:tcBorders>
              <w:right w:val="nil"/>
            </w:tcBorders>
            <w:shd w:val="clear" w:color="auto" w:fill="CCE2ED"/>
          </w:tcPr>
          <w:p w14:paraId="53F60650" w14:textId="77777777" w:rsidR="00141B97" w:rsidRDefault="00141B97">
            <w:pPr>
              <w:pStyle w:val="TableParagraph"/>
              <w:spacing w:before="12"/>
              <w:rPr>
                <w:sz w:val="15"/>
              </w:rPr>
            </w:pPr>
          </w:p>
          <w:p w14:paraId="205CFD90" w14:textId="77777777" w:rsidR="00141B97" w:rsidRDefault="00911D63">
            <w:pPr>
              <w:pStyle w:val="TableParagraph"/>
              <w:ind w:left="247" w:right="230"/>
              <w:jc w:val="center"/>
              <w:rPr>
                <w:i/>
                <w:sz w:val="16"/>
              </w:rPr>
            </w:pPr>
            <w:r>
              <w:rPr>
                <w:i/>
                <w:spacing w:val="-4"/>
                <w:sz w:val="16"/>
              </w:rPr>
              <w:t>0.99</w:t>
            </w:r>
          </w:p>
        </w:tc>
      </w:tr>
      <w:tr w:rsidR="00141B97" w14:paraId="7A5F4443" w14:textId="77777777">
        <w:trPr>
          <w:trHeight w:val="390"/>
          <w:tblCellSpacing w:w="9" w:type="dxa"/>
        </w:trPr>
        <w:tc>
          <w:tcPr>
            <w:tcW w:w="2281" w:type="dxa"/>
            <w:tcBorders>
              <w:left w:val="nil"/>
            </w:tcBorders>
            <w:shd w:val="clear" w:color="auto" w:fill="CCE2ED"/>
          </w:tcPr>
          <w:p w14:paraId="5FE067F5" w14:textId="77777777" w:rsidR="00141B97" w:rsidRDefault="00911D63">
            <w:pPr>
              <w:pStyle w:val="TableParagraph"/>
              <w:spacing w:line="195" w:lineRule="exact"/>
              <w:ind w:left="88"/>
              <w:rPr>
                <w:sz w:val="16"/>
              </w:rPr>
            </w:pPr>
            <w:r>
              <w:rPr>
                <w:sz w:val="16"/>
              </w:rPr>
              <w:t>Storage</w:t>
            </w:r>
            <w:r>
              <w:rPr>
                <w:spacing w:val="-5"/>
                <w:sz w:val="16"/>
              </w:rPr>
              <w:t xml:space="preserve"> </w:t>
            </w:r>
            <w:r>
              <w:rPr>
                <w:sz w:val="16"/>
              </w:rPr>
              <w:t>entitlement</w:t>
            </w:r>
            <w:r>
              <w:rPr>
                <w:spacing w:val="-4"/>
                <w:sz w:val="16"/>
              </w:rPr>
              <w:t xml:space="preserve"> </w:t>
            </w:r>
            <w:r>
              <w:rPr>
                <w:sz w:val="16"/>
              </w:rPr>
              <w:t>fees</w:t>
            </w:r>
            <w:r>
              <w:rPr>
                <w:spacing w:val="-5"/>
                <w:sz w:val="16"/>
              </w:rPr>
              <w:t xml:space="preserve"> </w:t>
            </w:r>
            <w:r>
              <w:rPr>
                <w:sz w:val="16"/>
              </w:rPr>
              <w:t>‐</w:t>
            </w:r>
            <w:r>
              <w:rPr>
                <w:spacing w:val="-5"/>
                <w:sz w:val="16"/>
              </w:rPr>
              <w:t xml:space="preserve"> net</w:t>
            </w:r>
          </w:p>
          <w:p w14:paraId="3F01183E" w14:textId="77777777" w:rsidR="00141B97" w:rsidRDefault="00911D63">
            <w:pPr>
              <w:pStyle w:val="TableParagraph"/>
              <w:spacing w:line="175" w:lineRule="exact"/>
              <w:ind w:left="88"/>
              <w:rPr>
                <w:sz w:val="16"/>
              </w:rPr>
            </w:pPr>
            <w:r>
              <w:rPr>
                <w:sz w:val="16"/>
              </w:rPr>
              <w:t>cost</w:t>
            </w:r>
            <w:r>
              <w:rPr>
                <w:spacing w:val="-5"/>
                <w:sz w:val="16"/>
              </w:rPr>
              <w:t xml:space="preserve"> </w:t>
            </w:r>
            <w:r>
              <w:rPr>
                <w:sz w:val="16"/>
              </w:rPr>
              <w:t>passed</w:t>
            </w:r>
            <w:r>
              <w:rPr>
                <w:spacing w:val="-5"/>
                <w:sz w:val="16"/>
              </w:rPr>
              <w:t xml:space="preserve"> on</w:t>
            </w:r>
          </w:p>
        </w:tc>
        <w:tc>
          <w:tcPr>
            <w:tcW w:w="932" w:type="dxa"/>
            <w:shd w:val="clear" w:color="auto" w:fill="CCE2ED"/>
          </w:tcPr>
          <w:p w14:paraId="280BCE21" w14:textId="77777777" w:rsidR="00141B97" w:rsidRDefault="00911D63">
            <w:pPr>
              <w:pStyle w:val="TableParagraph"/>
              <w:spacing w:before="98"/>
              <w:ind w:right="95"/>
              <w:jc w:val="right"/>
              <w:rPr>
                <w:sz w:val="16"/>
              </w:rPr>
            </w:pPr>
            <w:r>
              <w:rPr>
                <w:spacing w:val="-4"/>
                <w:sz w:val="16"/>
              </w:rPr>
              <w:t>3.12</w:t>
            </w:r>
          </w:p>
        </w:tc>
        <w:tc>
          <w:tcPr>
            <w:tcW w:w="934" w:type="dxa"/>
            <w:shd w:val="clear" w:color="auto" w:fill="CCE2ED"/>
          </w:tcPr>
          <w:p w14:paraId="67EF8607" w14:textId="77777777" w:rsidR="00141B97" w:rsidRDefault="00911D63">
            <w:pPr>
              <w:pStyle w:val="TableParagraph"/>
              <w:spacing w:before="98"/>
              <w:ind w:right="95"/>
              <w:jc w:val="right"/>
              <w:rPr>
                <w:sz w:val="16"/>
              </w:rPr>
            </w:pPr>
            <w:r>
              <w:rPr>
                <w:spacing w:val="-4"/>
                <w:sz w:val="16"/>
              </w:rPr>
              <w:t>3.03</w:t>
            </w:r>
          </w:p>
        </w:tc>
        <w:tc>
          <w:tcPr>
            <w:tcW w:w="933" w:type="dxa"/>
            <w:shd w:val="clear" w:color="auto" w:fill="CCE2ED"/>
          </w:tcPr>
          <w:p w14:paraId="6AF5A3AA" w14:textId="77777777" w:rsidR="00141B97" w:rsidRDefault="00911D63">
            <w:pPr>
              <w:pStyle w:val="TableParagraph"/>
              <w:spacing w:before="98"/>
              <w:ind w:right="95"/>
              <w:jc w:val="right"/>
              <w:rPr>
                <w:sz w:val="16"/>
              </w:rPr>
            </w:pPr>
            <w:r>
              <w:rPr>
                <w:spacing w:val="-4"/>
                <w:sz w:val="16"/>
              </w:rPr>
              <w:t>3.16</w:t>
            </w:r>
          </w:p>
        </w:tc>
        <w:tc>
          <w:tcPr>
            <w:tcW w:w="932" w:type="dxa"/>
            <w:shd w:val="clear" w:color="auto" w:fill="CCE2ED"/>
          </w:tcPr>
          <w:p w14:paraId="6C94AAE3" w14:textId="77777777" w:rsidR="00141B97" w:rsidRDefault="00911D63">
            <w:pPr>
              <w:pStyle w:val="TableParagraph"/>
              <w:spacing w:before="98"/>
              <w:ind w:right="93"/>
              <w:jc w:val="right"/>
              <w:rPr>
                <w:sz w:val="16"/>
              </w:rPr>
            </w:pPr>
            <w:r>
              <w:rPr>
                <w:spacing w:val="-4"/>
                <w:sz w:val="16"/>
              </w:rPr>
              <w:t>3.27</w:t>
            </w:r>
          </w:p>
        </w:tc>
        <w:tc>
          <w:tcPr>
            <w:tcW w:w="933" w:type="dxa"/>
            <w:shd w:val="clear" w:color="auto" w:fill="CCE2ED"/>
          </w:tcPr>
          <w:p w14:paraId="1E6CC9AB" w14:textId="77777777" w:rsidR="00141B97" w:rsidRDefault="00911D63">
            <w:pPr>
              <w:pStyle w:val="TableParagraph"/>
              <w:spacing w:before="98"/>
              <w:ind w:right="94"/>
              <w:jc w:val="right"/>
              <w:rPr>
                <w:sz w:val="16"/>
              </w:rPr>
            </w:pPr>
            <w:r>
              <w:rPr>
                <w:spacing w:val="-4"/>
                <w:sz w:val="16"/>
              </w:rPr>
              <w:t>3.38</w:t>
            </w:r>
          </w:p>
        </w:tc>
        <w:tc>
          <w:tcPr>
            <w:tcW w:w="932" w:type="dxa"/>
            <w:shd w:val="clear" w:color="auto" w:fill="CCE2ED"/>
          </w:tcPr>
          <w:p w14:paraId="4E815AB2" w14:textId="77777777" w:rsidR="00141B97" w:rsidRDefault="00911D63">
            <w:pPr>
              <w:pStyle w:val="TableParagraph"/>
              <w:spacing w:before="98"/>
              <w:ind w:right="92"/>
              <w:jc w:val="right"/>
              <w:rPr>
                <w:sz w:val="16"/>
              </w:rPr>
            </w:pPr>
            <w:r>
              <w:rPr>
                <w:spacing w:val="-4"/>
                <w:sz w:val="16"/>
              </w:rPr>
              <w:t>3.48</w:t>
            </w:r>
          </w:p>
        </w:tc>
        <w:tc>
          <w:tcPr>
            <w:tcW w:w="933" w:type="dxa"/>
            <w:shd w:val="clear" w:color="auto" w:fill="CCE2ED"/>
          </w:tcPr>
          <w:p w14:paraId="538133A2" w14:textId="77777777" w:rsidR="00141B97" w:rsidRDefault="00911D63">
            <w:pPr>
              <w:pStyle w:val="TableParagraph"/>
              <w:spacing w:before="98"/>
              <w:ind w:right="93"/>
              <w:jc w:val="right"/>
              <w:rPr>
                <w:sz w:val="16"/>
              </w:rPr>
            </w:pPr>
            <w:r>
              <w:rPr>
                <w:spacing w:val="-4"/>
                <w:sz w:val="16"/>
              </w:rPr>
              <w:t>3.45</w:t>
            </w:r>
          </w:p>
        </w:tc>
        <w:tc>
          <w:tcPr>
            <w:tcW w:w="927" w:type="dxa"/>
            <w:tcBorders>
              <w:right w:val="nil"/>
            </w:tcBorders>
            <w:shd w:val="clear" w:color="auto" w:fill="CCE2ED"/>
          </w:tcPr>
          <w:p w14:paraId="1EA6A6F2" w14:textId="77777777" w:rsidR="00141B97" w:rsidRDefault="00911D63">
            <w:pPr>
              <w:pStyle w:val="TableParagraph"/>
              <w:spacing w:before="98"/>
              <w:ind w:left="247" w:right="230"/>
              <w:jc w:val="center"/>
              <w:rPr>
                <w:sz w:val="16"/>
              </w:rPr>
            </w:pPr>
            <w:r>
              <w:rPr>
                <w:spacing w:val="-2"/>
                <w:sz w:val="16"/>
              </w:rPr>
              <w:t>16.73</w:t>
            </w:r>
          </w:p>
        </w:tc>
      </w:tr>
      <w:tr w:rsidR="00141B97" w14:paraId="7B9BABC2" w14:textId="77777777">
        <w:trPr>
          <w:trHeight w:val="254"/>
          <w:tblCellSpacing w:w="9" w:type="dxa"/>
        </w:trPr>
        <w:tc>
          <w:tcPr>
            <w:tcW w:w="2281" w:type="dxa"/>
            <w:tcBorders>
              <w:left w:val="nil"/>
            </w:tcBorders>
            <w:shd w:val="clear" w:color="auto" w:fill="CCE2ED"/>
          </w:tcPr>
          <w:p w14:paraId="33CAC0F1" w14:textId="77777777" w:rsidR="00141B97" w:rsidRDefault="00911D63">
            <w:pPr>
              <w:pStyle w:val="TableParagraph"/>
              <w:spacing w:before="29"/>
              <w:ind w:left="88"/>
              <w:rPr>
                <w:sz w:val="16"/>
              </w:rPr>
            </w:pPr>
            <w:r>
              <w:rPr>
                <w:sz w:val="16"/>
              </w:rPr>
              <w:t>Water</w:t>
            </w:r>
            <w:r>
              <w:rPr>
                <w:spacing w:val="-8"/>
                <w:sz w:val="16"/>
              </w:rPr>
              <w:t xml:space="preserve"> </w:t>
            </w:r>
            <w:r>
              <w:rPr>
                <w:sz w:val="16"/>
              </w:rPr>
              <w:t>share</w:t>
            </w:r>
            <w:r>
              <w:rPr>
                <w:spacing w:val="-5"/>
                <w:sz w:val="16"/>
              </w:rPr>
              <w:t xml:space="preserve"> </w:t>
            </w:r>
            <w:r>
              <w:rPr>
                <w:sz w:val="16"/>
              </w:rPr>
              <w:t>(DSE)</w:t>
            </w:r>
            <w:r>
              <w:rPr>
                <w:spacing w:val="-3"/>
                <w:sz w:val="16"/>
              </w:rPr>
              <w:t xml:space="preserve"> </w:t>
            </w:r>
            <w:r>
              <w:rPr>
                <w:spacing w:val="-2"/>
                <w:sz w:val="16"/>
              </w:rPr>
              <w:t>charge</w:t>
            </w:r>
          </w:p>
        </w:tc>
        <w:tc>
          <w:tcPr>
            <w:tcW w:w="932" w:type="dxa"/>
            <w:shd w:val="clear" w:color="auto" w:fill="CCE2ED"/>
          </w:tcPr>
          <w:p w14:paraId="0458A81C" w14:textId="77777777" w:rsidR="00141B97" w:rsidRDefault="00911D63">
            <w:pPr>
              <w:pStyle w:val="TableParagraph"/>
              <w:spacing w:before="29"/>
              <w:ind w:right="95"/>
              <w:jc w:val="right"/>
              <w:rPr>
                <w:sz w:val="16"/>
              </w:rPr>
            </w:pPr>
            <w:r>
              <w:rPr>
                <w:spacing w:val="-4"/>
                <w:sz w:val="16"/>
              </w:rPr>
              <w:t>0.08</w:t>
            </w:r>
          </w:p>
        </w:tc>
        <w:tc>
          <w:tcPr>
            <w:tcW w:w="934" w:type="dxa"/>
            <w:shd w:val="clear" w:color="auto" w:fill="CCE2ED"/>
          </w:tcPr>
          <w:p w14:paraId="5835E362" w14:textId="77777777" w:rsidR="00141B97" w:rsidRDefault="00911D63">
            <w:pPr>
              <w:pStyle w:val="TableParagraph"/>
              <w:spacing w:before="29"/>
              <w:ind w:right="95"/>
              <w:jc w:val="right"/>
              <w:rPr>
                <w:sz w:val="16"/>
              </w:rPr>
            </w:pPr>
            <w:r>
              <w:rPr>
                <w:spacing w:val="-4"/>
                <w:sz w:val="16"/>
              </w:rPr>
              <w:t>0.08</w:t>
            </w:r>
          </w:p>
        </w:tc>
        <w:tc>
          <w:tcPr>
            <w:tcW w:w="933" w:type="dxa"/>
            <w:shd w:val="clear" w:color="auto" w:fill="CCE2ED"/>
          </w:tcPr>
          <w:p w14:paraId="2660FCB2" w14:textId="77777777" w:rsidR="00141B97" w:rsidRDefault="00911D63">
            <w:pPr>
              <w:pStyle w:val="TableParagraph"/>
              <w:spacing w:before="29"/>
              <w:ind w:right="95"/>
              <w:jc w:val="right"/>
              <w:rPr>
                <w:sz w:val="16"/>
              </w:rPr>
            </w:pPr>
            <w:r>
              <w:rPr>
                <w:spacing w:val="-4"/>
                <w:sz w:val="16"/>
              </w:rPr>
              <w:t>0.08</w:t>
            </w:r>
          </w:p>
        </w:tc>
        <w:tc>
          <w:tcPr>
            <w:tcW w:w="932" w:type="dxa"/>
            <w:shd w:val="clear" w:color="auto" w:fill="CCE2ED"/>
          </w:tcPr>
          <w:p w14:paraId="71CB0730" w14:textId="77777777" w:rsidR="00141B97" w:rsidRDefault="00911D63">
            <w:pPr>
              <w:pStyle w:val="TableParagraph"/>
              <w:spacing w:before="29"/>
              <w:ind w:right="93"/>
              <w:jc w:val="right"/>
              <w:rPr>
                <w:sz w:val="16"/>
              </w:rPr>
            </w:pPr>
            <w:r>
              <w:rPr>
                <w:spacing w:val="-4"/>
                <w:sz w:val="16"/>
              </w:rPr>
              <w:t>0.08</w:t>
            </w:r>
          </w:p>
        </w:tc>
        <w:tc>
          <w:tcPr>
            <w:tcW w:w="933" w:type="dxa"/>
            <w:shd w:val="clear" w:color="auto" w:fill="CCE2ED"/>
          </w:tcPr>
          <w:p w14:paraId="14DFA411" w14:textId="77777777" w:rsidR="00141B97" w:rsidRDefault="00911D63">
            <w:pPr>
              <w:pStyle w:val="TableParagraph"/>
              <w:spacing w:before="29"/>
              <w:ind w:right="94"/>
              <w:jc w:val="right"/>
              <w:rPr>
                <w:sz w:val="16"/>
              </w:rPr>
            </w:pPr>
            <w:r>
              <w:rPr>
                <w:spacing w:val="-4"/>
                <w:sz w:val="16"/>
              </w:rPr>
              <w:t>0.08</w:t>
            </w:r>
          </w:p>
        </w:tc>
        <w:tc>
          <w:tcPr>
            <w:tcW w:w="932" w:type="dxa"/>
            <w:shd w:val="clear" w:color="auto" w:fill="CCE2ED"/>
          </w:tcPr>
          <w:p w14:paraId="62A5DBBE" w14:textId="77777777" w:rsidR="00141B97" w:rsidRDefault="00911D63">
            <w:pPr>
              <w:pStyle w:val="TableParagraph"/>
              <w:spacing w:before="29"/>
              <w:ind w:right="92"/>
              <w:jc w:val="right"/>
              <w:rPr>
                <w:sz w:val="16"/>
              </w:rPr>
            </w:pPr>
            <w:r>
              <w:rPr>
                <w:spacing w:val="-4"/>
                <w:sz w:val="16"/>
              </w:rPr>
              <w:t>0.07</w:t>
            </w:r>
          </w:p>
        </w:tc>
        <w:tc>
          <w:tcPr>
            <w:tcW w:w="933" w:type="dxa"/>
            <w:shd w:val="clear" w:color="auto" w:fill="CCE2ED"/>
          </w:tcPr>
          <w:p w14:paraId="0FEBF160" w14:textId="77777777" w:rsidR="00141B97" w:rsidRDefault="00911D63">
            <w:pPr>
              <w:pStyle w:val="TableParagraph"/>
              <w:spacing w:before="29"/>
              <w:ind w:right="93"/>
              <w:jc w:val="right"/>
              <w:rPr>
                <w:sz w:val="16"/>
              </w:rPr>
            </w:pPr>
            <w:r>
              <w:rPr>
                <w:spacing w:val="-4"/>
                <w:sz w:val="16"/>
              </w:rPr>
              <w:t>0.07</w:t>
            </w:r>
          </w:p>
        </w:tc>
        <w:tc>
          <w:tcPr>
            <w:tcW w:w="927" w:type="dxa"/>
            <w:tcBorders>
              <w:right w:val="nil"/>
            </w:tcBorders>
            <w:shd w:val="clear" w:color="auto" w:fill="CCE2ED"/>
          </w:tcPr>
          <w:p w14:paraId="6997B22F" w14:textId="77777777" w:rsidR="00141B97" w:rsidRDefault="00911D63">
            <w:pPr>
              <w:pStyle w:val="TableParagraph"/>
              <w:spacing w:before="29"/>
              <w:ind w:left="247" w:right="230"/>
              <w:jc w:val="center"/>
              <w:rPr>
                <w:sz w:val="16"/>
              </w:rPr>
            </w:pPr>
            <w:r>
              <w:rPr>
                <w:spacing w:val="-4"/>
                <w:sz w:val="16"/>
              </w:rPr>
              <w:t>0.38</w:t>
            </w:r>
          </w:p>
        </w:tc>
      </w:tr>
      <w:tr w:rsidR="00141B97" w14:paraId="5FDA9D6C" w14:textId="77777777">
        <w:trPr>
          <w:trHeight w:val="390"/>
          <w:tblCellSpacing w:w="9" w:type="dxa"/>
        </w:trPr>
        <w:tc>
          <w:tcPr>
            <w:tcW w:w="2281" w:type="dxa"/>
            <w:tcBorders>
              <w:left w:val="nil"/>
              <w:bottom w:val="nil"/>
            </w:tcBorders>
            <w:shd w:val="clear" w:color="auto" w:fill="BFBFBF"/>
          </w:tcPr>
          <w:p w14:paraId="1E1926E4" w14:textId="77777777" w:rsidR="00141B97" w:rsidRDefault="00911D63">
            <w:pPr>
              <w:pStyle w:val="TableParagraph"/>
              <w:spacing w:before="1" w:line="195" w:lineRule="exact"/>
              <w:ind w:left="88"/>
              <w:rPr>
                <w:sz w:val="16"/>
              </w:rPr>
            </w:pPr>
            <w:r>
              <w:rPr>
                <w:sz w:val="16"/>
              </w:rPr>
              <w:t>Total</w:t>
            </w:r>
            <w:r>
              <w:rPr>
                <w:spacing w:val="-4"/>
                <w:sz w:val="16"/>
              </w:rPr>
              <w:t xml:space="preserve"> </w:t>
            </w:r>
            <w:r>
              <w:rPr>
                <w:sz w:val="16"/>
              </w:rPr>
              <w:t>Costs</w:t>
            </w:r>
            <w:r>
              <w:rPr>
                <w:spacing w:val="-4"/>
                <w:sz w:val="16"/>
              </w:rPr>
              <w:t xml:space="preserve"> </w:t>
            </w:r>
            <w:r>
              <w:rPr>
                <w:sz w:val="16"/>
              </w:rPr>
              <w:t>to</w:t>
            </w:r>
            <w:r>
              <w:rPr>
                <w:spacing w:val="-3"/>
                <w:sz w:val="16"/>
              </w:rPr>
              <w:t xml:space="preserve"> </w:t>
            </w:r>
            <w:r>
              <w:rPr>
                <w:sz w:val="16"/>
              </w:rPr>
              <w:t>be</w:t>
            </w:r>
            <w:r>
              <w:rPr>
                <w:spacing w:val="-3"/>
                <w:sz w:val="16"/>
              </w:rPr>
              <w:t xml:space="preserve"> </w:t>
            </w:r>
            <w:r>
              <w:rPr>
                <w:spacing w:val="-2"/>
                <w:sz w:val="16"/>
              </w:rPr>
              <w:t>Passed</w:t>
            </w:r>
          </w:p>
          <w:p w14:paraId="45F5C495" w14:textId="77777777" w:rsidR="00141B97" w:rsidRDefault="00911D63">
            <w:pPr>
              <w:pStyle w:val="TableParagraph"/>
              <w:spacing w:line="175" w:lineRule="exact"/>
              <w:ind w:left="88"/>
              <w:rPr>
                <w:sz w:val="16"/>
              </w:rPr>
            </w:pPr>
            <w:r>
              <w:rPr>
                <w:spacing w:val="-2"/>
                <w:sz w:val="16"/>
              </w:rPr>
              <w:t>Through</w:t>
            </w:r>
          </w:p>
        </w:tc>
        <w:tc>
          <w:tcPr>
            <w:tcW w:w="932" w:type="dxa"/>
            <w:tcBorders>
              <w:bottom w:val="nil"/>
            </w:tcBorders>
            <w:shd w:val="clear" w:color="auto" w:fill="BFBFBF"/>
          </w:tcPr>
          <w:p w14:paraId="0083541C" w14:textId="77777777" w:rsidR="00141B97" w:rsidRDefault="00911D63">
            <w:pPr>
              <w:pStyle w:val="TableParagraph"/>
              <w:spacing w:before="98"/>
              <w:ind w:right="93"/>
              <w:jc w:val="right"/>
              <w:rPr>
                <w:sz w:val="16"/>
              </w:rPr>
            </w:pPr>
            <w:r>
              <w:rPr>
                <w:spacing w:val="-4"/>
                <w:sz w:val="16"/>
              </w:rPr>
              <w:t>3.20</w:t>
            </w:r>
          </w:p>
        </w:tc>
        <w:tc>
          <w:tcPr>
            <w:tcW w:w="934" w:type="dxa"/>
            <w:tcBorders>
              <w:bottom w:val="nil"/>
            </w:tcBorders>
            <w:shd w:val="clear" w:color="auto" w:fill="BFBFBF"/>
          </w:tcPr>
          <w:p w14:paraId="493E70B1" w14:textId="77777777" w:rsidR="00141B97" w:rsidRDefault="00911D63">
            <w:pPr>
              <w:pStyle w:val="TableParagraph"/>
              <w:spacing w:before="98"/>
              <w:ind w:right="94"/>
              <w:jc w:val="right"/>
              <w:rPr>
                <w:sz w:val="16"/>
              </w:rPr>
            </w:pPr>
            <w:r>
              <w:rPr>
                <w:spacing w:val="-4"/>
                <w:sz w:val="16"/>
              </w:rPr>
              <w:t>3.11</w:t>
            </w:r>
          </w:p>
        </w:tc>
        <w:tc>
          <w:tcPr>
            <w:tcW w:w="933" w:type="dxa"/>
            <w:tcBorders>
              <w:bottom w:val="nil"/>
            </w:tcBorders>
            <w:shd w:val="clear" w:color="auto" w:fill="BFBFBF"/>
          </w:tcPr>
          <w:p w14:paraId="7B760AD1" w14:textId="77777777" w:rsidR="00141B97" w:rsidRDefault="00911D63">
            <w:pPr>
              <w:pStyle w:val="TableParagraph"/>
              <w:spacing w:before="98"/>
              <w:ind w:right="93"/>
              <w:jc w:val="right"/>
              <w:rPr>
                <w:sz w:val="16"/>
              </w:rPr>
            </w:pPr>
            <w:r>
              <w:rPr>
                <w:spacing w:val="-4"/>
                <w:sz w:val="16"/>
              </w:rPr>
              <w:t>3.24</w:t>
            </w:r>
          </w:p>
        </w:tc>
        <w:tc>
          <w:tcPr>
            <w:tcW w:w="932" w:type="dxa"/>
            <w:tcBorders>
              <w:bottom w:val="nil"/>
            </w:tcBorders>
            <w:shd w:val="clear" w:color="auto" w:fill="BFBFBF"/>
          </w:tcPr>
          <w:p w14:paraId="7A89FB65" w14:textId="77777777" w:rsidR="00141B97" w:rsidRDefault="00911D63">
            <w:pPr>
              <w:pStyle w:val="TableParagraph"/>
              <w:spacing w:before="98"/>
              <w:ind w:right="91"/>
              <w:jc w:val="right"/>
              <w:rPr>
                <w:sz w:val="16"/>
              </w:rPr>
            </w:pPr>
            <w:r>
              <w:rPr>
                <w:spacing w:val="-4"/>
                <w:sz w:val="16"/>
              </w:rPr>
              <w:t>3.35</w:t>
            </w:r>
          </w:p>
        </w:tc>
        <w:tc>
          <w:tcPr>
            <w:tcW w:w="933" w:type="dxa"/>
            <w:tcBorders>
              <w:bottom w:val="nil"/>
            </w:tcBorders>
            <w:shd w:val="clear" w:color="auto" w:fill="BFBFBF"/>
          </w:tcPr>
          <w:p w14:paraId="1A7E3B1E" w14:textId="77777777" w:rsidR="00141B97" w:rsidRDefault="00911D63">
            <w:pPr>
              <w:pStyle w:val="TableParagraph"/>
              <w:spacing w:before="98"/>
              <w:ind w:right="92"/>
              <w:jc w:val="right"/>
              <w:rPr>
                <w:sz w:val="16"/>
              </w:rPr>
            </w:pPr>
            <w:r>
              <w:rPr>
                <w:spacing w:val="-4"/>
                <w:sz w:val="16"/>
              </w:rPr>
              <w:t>3.45</w:t>
            </w:r>
          </w:p>
        </w:tc>
        <w:tc>
          <w:tcPr>
            <w:tcW w:w="932" w:type="dxa"/>
            <w:tcBorders>
              <w:bottom w:val="nil"/>
            </w:tcBorders>
            <w:shd w:val="clear" w:color="auto" w:fill="BFBFBF"/>
          </w:tcPr>
          <w:p w14:paraId="77AEB740" w14:textId="77777777" w:rsidR="00141B97" w:rsidRDefault="00911D63">
            <w:pPr>
              <w:pStyle w:val="TableParagraph"/>
              <w:spacing w:before="98"/>
              <w:ind w:right="90"/>
              <w:jc w:val="right"/>
              <w:rPr>
                <w:sz w:val="16"/>
              </w:rPr>
            </w:pPr>
            <w:r>
              <w:rPr>
                <w:spacing w:val="-4"/>
                <w:sz w:val="16"/>
              </w:rPr>
              <w:t>3.55</w:t>
            </w:r>
          </w:p>
        </w:tc>
        <w:tc>
          <w:tcPr>
            <w:tcW w:w="933" w:type="dxa"/>
            <w:tcBorders>
              <w:bottom w:val="nil"/>
            </w:tcBorders>
            <w:shd w:val="clear" w:color="auto" w:fill="BFBFBF"/>
          </w:tcPr>
          <w:p w14:paraId="04B90BCA" w14:textId="77777777" w:rsidR="00141B97" w:rsidRDefault="00911D63">
            <w:pPr>
              <w:pStyle w:val="TableParagraph"/>
              <w:spacing w:before="98"/>
              <w:ind w:right="91"/>
              <w:jc w:val="right"/>
              <w:rPr>
                <w:sz w:val="16"/>
              </w:rPr>
            </w:pPr>
            <w:r>
              <w:rPr>
                <w:spacing w:val="-4"/>
                <w:sz w:val="16"/>
              </w:rPr>
              <w:t>3.52</w:t>
            </w:r>
          </w:p>
        </w:tc>
        <w:tc>
          <w:tcPr>
            <w:tcW w:w="927" w:type="dxa"/>
            <w:tcBorders>
              <w:bottom w:val="nil"/>
              <w:right w:val="nil"/>
            </w:tcBorders>
            <w:shd w:val="clear" w:color="auto" w:fill="BFBFBF"/>
          </w:tcPr>
          <w:p w14:paraId="4A05E979" w14:textId="77777777" w:rsidR="00141B97" w:rsidRDefault="00911D63">
            <w:pPr>
              <w:pStyle w:val="TableParagraph"/>
              <w:spacing w:before="98"/>
              <w:ind w:left="248" w:right="230"/>
              <w:jc w:val="center"/>
              <w:rPr>
                <w:sz w:val="16"/>
              </w:rPr>
            </w:pPr>
            <w:r>
              <w:rPr>
                <w:spacing w:val="-2"/>
                <w:sz w:val="16"/>
              </w:rPr>
              <w:t>17.11</w:t>
            </w:r>
          </w:p>
        </w:tc>
      </w:tr>
    </w:tbl>
    <w:p w14:paraId="60D62999" w14:textId="77777777" w:rsidR="00141B97" w:rsidRDefault="00911D63">
      <w:pPr>
        <w:spacing w:before="25"/>
        <w:ind w:left="114"/>
        <w:jc w:val="both"/>
        <w:rPr>
          <w:sz w:val="16"/>
        </w:rPr>
      </w:pPr>
      <w:r>
        <w:rPr>
          <w:sz w:val="16"/>
        </w:rPr>
        <w:t>Table</w:t>
      </w:r>
      <w:r>
        <w:rPr>
          <w:spacing w:val="-4"/>
          <w:sz w:val="16"/>
        </w:rPr>
        <w:t xml:space="preserve"> </w:t>
      </w:r>
      <w:r>
        <w:rPr>
          <w:sz w:val="16"/>
        </w:rPr>
        <w:t>C19:</w:t>
      </w:r>
      <w:r>
        <w:rPr>
          <w:spacing w:val="-3"/>
          <w:sz w:val="16"/>
        </w:rPr>
        <w:t xml:space="preserve"> </w:t>
      </w:r>
      <w:r>
        <w:rPr>
          <w:sz w:val="16"/>
        </w:rPr>
        <w:t>Costs</w:t>
      </w:r>
      <w:r>
        <w:rPr>
          <w:spacing w:val="-4"/>
          <w:sz w:val="16"/>
        </w:rPr>
        <w:t xml:space="preserve"> </w:t>
      </w:r>
      <w:r>
        <w:rPr>
          <w:sz w:val="16"/>
        </w:rPr>
        <w:t>Attributable</w:t>
      </w:r>
      <w:r>
        <w:rPr>
          <w:spacing w:val="-3"/>
          <w:sz w:val="16"/>
        </w:rPr>
        <w:t xml:space="preserve"> </w:t>
      </w:r>
      <w:r>
        <w:rPr>
          <w:sz w:val="16"/>
        </w:rPr>
        <w:t>to</w:t>
      </w:r>
      <w:r>
        <w:rPr>
          <w:spacing w:val="-5"/>
          <w:sz w:val="16"/>
        </w:rPr>
        <w:t xml:space="preserve"> </w:t>
      </w:r>
      <w:r>
        <w:rPr>
          <w:sz w:val="16"/>
        </w:rPr>
        <w:t>Pass</w:t>
      </w:r>
      <w:r>
        <w:rPr>
          <w:spacing w:val="-5"/>
          <w:sz w:val="16"/>
        </w:rPr>
        <w:t xml:space="preserve"> </w:t>
      </w:r>
      <w:r>
        <w:rPr>
          <w:sz w:val="16"/>
        </w:rPr>
        <w:t>Through</w:t>
      </w:r>
      <w:r>
        <w:rPr>
          <w:spacing w:val="-5"/>
          <w:sz w:val="16"/>
        </w:rPr>
        <w:t xml:space="preserve"> </w:t>
      </w:r>
      <w:r>
        <w:rPr>
          <w:sz w:val="16"/>
        </w:rPr>
        <w:t>Fees</w:t>
      </w:r>
      <w:r>
        <w:rPr>
          <w:spacing w:val="-5"/>
          <w:sz w:val="16"/>
        </w:rPr>
        <w:t xml:space="preserve"> </w:t>
      </w:r>
      <w:r>
        <w:rPr>
          <w:sz w:val="16"/>
        </w:rPr>
        <w:t>‐</w:t>
      </w:r>
      <w:r>
        <w:rPr>
          <w:spacing w:val="-3"/>
          <w:sz w:val="16"/>
        </w:rPr>
        <w:t xml:space="preserve"> </w:t>
      </w:r>
      <w:r>
        <w:rPr>
          <w:sz w:val="16"/>
        </w:rPr>
        <w:t>$m</w:t>
      </w:r>
      <w:r>
        <w:rPr>
          <w:spacing w:val="-4"/>
          <w:sz w:val="16"/>
        </w:rPr>
        <w:t xml:space="preserve"> </w:t>
      </w:r>
      <w:r>
        <w:rPr>
          <w:spacing w:val="-2"/>
          <w:sz w:val="16"/>
        </w:rPr>
        <w:t>1/1/23</w:t>
      </w:r>
    </w:p>
    <w:p w14:paraId="1306CBF8" w14:textId="77777777" w:rsidR="00141B97" w:rsidRDefault="00141B97">
      <w:pPr>
        <w:pStyle w:val="BodyText"/>
        <w:spacing w:before="8"/>
        <w:rPr>
          <w:sz w:val="20"/>
        </w:rPr>
      </w:pPr>
    </w:p>
    <w:p w14:paraId="06CBA677" w14:textId="77777777" w:rsidR="00141B97" w:rsidRDefault="00911D63">
      <w:pPr>
        <w:pStyle w:val="ListParagraph"/>
        <w:numPr>
          <w:ilvl w:val="2"/>
          <w:numId w:val="37"/>
        </w:numPr>
        <w:tabs>
          <w:tab w:val="left" w:pos="1112"/>
          <w:tab w:val="left" w:pos="1113"/>
        </w:tabs>
        <w:spacing w:before="1"/>
        <w:ind w:left="1112"/>
        <w:jc w:val="both"/>
      </w:pPr>
      <w:r>
        <w:t>Baseline</w:t>
      </w:r>
      <w:r>
        <w:rPr>
          <w:spacing w:val="-12"/>
        </w:rPr>
        <w:t xml:space="preserve"> </w:t>
      </w:r>
      <w:r>
        <w:t>Controllable</w:t>
      </w:r>
      <w:r>
        <w:rPr>
          <w:spacing w:val="-12"/>
        </w:rPr>
        <w:t xml:space="preserve"> </w:t>
      </w:r>
      <w:r>
        <w:t>Operating</w:t>
      </w:r>
      <w:r>
        <w:rPr>
          <w:spacing w:val="-11"/>
        </w:rPr>
        <w:t xml:space="preserve"> </w:t>
      </w:r>
      <w:r>
        <w:rPr>
          <w:spacing w:val="-2"/>
        </w:rPr>
        <w:t>Expenditure</w:t>
      </w:r>
    </w:p>
    <w:p w14:paraId="4DBDCDA4" w14:textId="77777777" w:rsidR="00141B97" w:rsidRDefault="00911D63">
      <w:pPr>
        <w:pStyle w:val="BodyText"/>
        <w:spacing w:before="59"/>
        <w:ind w:left="113" w:right="951"/>
        <w:jc w:val="both"/>
      </w:pPr>
      <w:r>
        <w:t>Table</w:t>
      </w:r>
      <w:r>
        <w:rPr>
          <w:spacing w:val="-5"/>
        </w:rPr>
        <w:t xml:space="preserve"> </w:t>
      </w:r>
      <w:r>
        <w:t>C20</w:t>
      </w:r>
      <w:r>
        <w:rPr>
          <w:spacing w:val="-4"/>
        </w:rPr>
        <w:t xml:space="preserve"> </w:t>
      </w:r>
      <w:r>
        <w:t>overleaf</w:t>
      </w:r>
      <w:r>
        <w:rPr>
          <w:spacing w:val="-5"/>
        </w:rPr>
        <w:t xml:space="preserve"> </w:t>
      </w:r>
      <w:r>
        <w:t>shows</w:t>
      </w:r>
      <w:r>
        <w:rPr>
          <w:spacing w:val="-4"/>
        </w:rPr>
        <w:t xml:space="preserve"> </w:t>
      </w:r>
      <w:r>
        <w:t>the</w:t>
      </w:r>
      <w:r>
        <w:rPr>
          <w:spacing w:val="-6"/>
        </w:rPr>
        <w:t xml:space="preserve"> </w:t>
      </w:r>
      <w:r>
        <w:t>summary</w:t>
      </w:r>
      <w:r>
        <w:rPr>
          <w:spacing w:val="-4"/>
        </w:rPr>
        <w:t xml:space="preserve"> </w:t>
      </w:r>
      <w:r>
        <w:t>calculation</w:t>
      </w:r>
      <w:r>
        <w:rPr>
          <w:spacing w:val="-3"/>
        </w:rPr>
        <w:t xml:space="preserve"> </w:t>
      </w:r>
      <w:r>
        <w:t>of</w:t>
      </w:r>
      <w:r>
        <w:rPr>
          <w:spacing w:val="-4"/>
        </w:rPr>
        <w:t xml:space="preserve"> </w:t>
      </w:r>
      <w:r>
        <w:t>the</w:t>
      </w:r>
      <w:r>
        <w:rPr>
          <w:spacing w:val="-6"/>
        </w:rPr>
        <w:t xml:space="preserve"> </w:t>
      </w:r>
      <w:r>
        <w:t>2021‐22</w:t>
      </w:r>
      <w:r>
        <w:rPr>
          <w:spacing w:val="-4"/>
        </w:rPr>
        <w:t xml:space="preserve"> </w:t>
      </w:r>
      <w:r>
        <w:t>baseline</w:t>
      </w:r>
      <w:r>
        <w:rPr>
          <w:spacing w:val="-6"/>
        </w:rPr>
        <w:t xml:space="preserve"> </w:t>
      </w:r>
      <w:r>
        <w:t>controllable</w:t>
      </w:r>
      <w:r>
        <w:rPr>
          <w:spacing w:val="-3"/>
        </w:rPr>
        <w:t xml:space="preserve"> </w:t>
      </w:r>
      <w:r>
        <w:t>operating</w:t>
      </w:r>
      <w:r>
        <w:rPr>
          <w:spacing w:val="-4"/>
        </w:rPr>
        <w:t xml:space="preserve"> </w:t>
      </w:r>
      <w:r>
        <w:t>expenditure, and projection through the PS5 period including a reconciliation of variations to the baseline.</w:t>
      </w:r>
    </w:p>
    <w:p w14:paraId="0586DF14"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459"/>
        <w:gridCol w:w="962"/>
        <w:gridCol w:w="862"/>
        <w:gridCol w:w="936"/>
        <w:gridCol w:w="920"/>
        <w:gridCol w:w="921"/>
        <w:gridCol w:w="920"/>
        <w:gridCol w:w="920"/>
        <w:gridCol w:w="1011"/>
      </w:tblGrid>
      <w:tr w:rsidR="00141B97" w14:paraId="6B7906E4" w14:textId="77777777">
        <w:trPr>
          <w:trHeight w:val="239"/>
          <w:tblCellSpacing w:w="9" w:type="dxa"/>
        </w:trPr>
        <w:tc>
          <w:tcPr>
            <w:tcW w:w="2432" w:type="dxa"/>
            <w:vMerge w:val="restart"/>
            <w:tcBorders>
              <w:top w:val="nil"/>
              <w:left w:val="nil"/>
            </w:tcBorders>
            <w:shd w:val="clear" w:color="auto" w:fill="006CA3"/>
          </w:tcPr>
          <w:p w14:paraId="2228B538" w14:textId="77777777" w:rsidR="00141B97" w:rsidRDefault="00141B97">
            <w:pPr>
              <w:pStyle w:val="TableParagraph"/>
              <w:spacing w:before="5"/>
              <w:rPr>
                <w:sz w:val="12"/>
              </w:rPr>
            </w:pPr>
          </w:p>
          <w:p w14:paraId="0EBCEC9B" w14:textId="77777777" w:rsidR="00141B97" w:rsidRDefault="00911D63">
            <w:pPr>
              <w:pStyle w:val="TableParagraph"/>
              <w:spacing w:before="1"/>
              <w:ind w:left="88"/>
              <w:rPr>
                <w:sz w:val="16"/>
              </w:rPr>
            </w:pPr>
            <w:r>
              <w:rPr>
                <w:color w:val="FFFFFF"/>
                <w:spacing w:val="-2"/>
                <w:sz w:val="16"/>
              </w:rPr>
              <w:t>Component</w:t>
            </w:r>
          </w:p>
        </w:tc>
        <w:tc>
          <w:tcPr>
            <w:tcW w:w="7299" w:type="dxa"/>
            <w:gridSpan w:val="8"/>
            <w:tcBorders>
              <w:top w:val="nil"/>
              <w:right w:val="nil"/>
            </w:tcBorders>
            <w:shd w:val="clear" w:color="auto" w:fill="006CA3"/>
          </w:tcPr>
          <w:p w14:paraId="00CD9FD3" w14:textId="77777777" w:rsidR="00141B97" w:rsidRDefault="00911D63">
            <w:pPr>
              <w:pStyle w:val="TableParagraph"/>
              <w:tabs>
                <w:tab w:val="left" w:pos="1887"/>
              </w:tabs>
              <w:spacing w:before="23"/>
              <w:ind w:left="97"/>
              <w:rPr>
                <w:sz w:val="16"/>
              </w:rPr>
            </w:pPr>
            <w:r>
              <w:rPr>
                <w:color w:val="FFFFFF"/>
                <w:sz w:val="16"/>
              </w:rPr>
              <w:t>Current</w:t>
            </w:r>
            <w:r>
              <w:rPr>
                <w:color w:val="FFFFFF"/>
                <w:spacing w:val="-6"/>
                <w:sz w:val="16"/>
              </w:rPr>
              <w:t xml:space="preserve"> </w:t>
            </w:r>
            <w:r>
              <w:rPr>
                <w:color w:val="FFFFFF"/>
                <w:spacing w:val="-2"/>
                <w:sz w:val="16"/>
              </w:rPr>
              <w:t>Period</w:t>
            </w:r>
            <w:r>
              <w:rPr>
                <w:color w:val="FFFFFF"/>
                <w:sz w:val="16"/>
              </w:rPr>
              <w:tab/>
              <w:t>Fifth</w:t>
            </w:r>
            <w:r>
              <w:rPr>
                <w:color w:val="FFFFFF"/>
                <w:spacing w:val="-6"/>
                <w:sz w:val="16"/>
              </w:rPr>
              <w:t xml:space="preserve"> </w:t>
            </w:r>
            <w:r>
              <w:rPr>
                <w:color w:val="FFFFFF"/>
                <w:sz w:val="16"/>
              </w:rPr>
              <w:t>Regulatory</w:t>
            </w:r>
            <w:r>
              <w:rPr>
                <w:color w:val="FFFFFF"/>
                <w:spacing w:val="-5"/>
                <w:sz w:val="16"/>
              </w:rPr>
              <w:t xml:space="preserve"> </w:t>
            </w:r>
            <w:r>
              <w:rPr>
                <w:color w:val="FFFFFF"/>
                <w:spacing w:val="-2"/>
                <w:sz w:val="16"/>
              </w:rPr>
              <w:t>Period</w:t>
            </w:r>
          </w:p>
        </w:tc>
      </w:tr>
      <w:tr w:rsidR="00141B97" w14:paraId="12B97639" w14:textId="77777777">
        <w:trPr>
          <w:trHeight w:val="240"/>
          <w:tblCellSpacing w:w="9" w:type="dxa"/>
        </w:trPr>
        <w:tc>
          <w:tcPr>
            <w:tcW w:w="2432" w:type="dxa"/>
            <w:vMerge/>
            <w:tcBorders>
              <w:top w:val="nil"/>
              <w:left w:val="nil"/>
            </w:tcBorders>
            <w:shd w:val="clear" w:color="auto" w:fill="006CA3"/>
          </w:tcPr>
          <w:p w14:paraId="1D0A3D3C" w14:textId="77777777" w:rsidR="00141B97" w:rsidRDefault="00141B97">
            <w:pPr>
              <w:rPr>
                <w:sz w:val="2"/>
                <w:szCs w:val="2"/>
              </w:rPr>
            </w:pPr>
          </w:p>
        </w:tc>
        <w:tc>
          <w:tcPr>
            <w:tcW w:w="944" w:type="dxa"/>
            <w:shd w:val="clear" w:color="auto" w:fill="006CA3"/>
          </w:tcPr>
          <w:p w14:paraId="2CDBF519" w14:textId="77777777" w:rsidR="00141B97" w:rsidRDefault="00911D63">
            <w:pPr>
              <w:pStyle w:val="TableParagraph"/>
              <w:spacing w:before="22"/>
              <w:ind w:left="97"/>
              <w:rPr>
                <w:sz w:val="16"/>
              </w:rPr>
            </w:pPr>
            <w:r>
              <w:rPr>
                <w:color w:val="FFFFFF"/>
                <w:spacing w:val="-2"/>
                <w:sz w:val="16"/>
              </w:rPr>
              <w:t>2021‐22</w:t>
            </w:r>
          </w:p>
        </w:tc>
        <w:tc>
          <w:tcPr>
            <w:tcW w:w="844" w:type="dxa"/>
            <w:shd w:val="clear" w:color="auto" w:fill="006CA3"/>
          </w:tcPr>
          <w:p w14:paraId="0D5692CE" w14:textId="77777777" w:rsidR="00141B97" w:rsidRDefault="00911D63">
            <w:pPr>
              <w:pStyle w:val="TableParagraph"/>
              <w:spacing w:before="22"/>
              <w:ind w:left="98"/>
              <w:rPr>
                <w:sz w:val="16"/>
              </w:rPr>
            </w:pPr>
            <w:r>
              <w:rPr>
                <w:color w:val="FFFFFF"/>
                <w:spacing w:val="-2"/>
                <w:sz w:val="16"/>
              </w:rPr>
              <w:t>2022‐23</w:t>
            </w:r>
          </w:p>
        </w:tc>
        <w:tc>
          <w:tcPr>
            <w:tcW w:w="918" w:type="dxa"/>
            <w:shd w:val="clear" w:color="auto" w:fill="006CA3"/>
          </w:tcPr>
          <w:p w14:paraId="4D4AB0B1" w14:textId="77777777" w:rsidR="00141B97" w:rsidRDefault="00911D63">
            <w:pPr>
              <w:pStyle w:val="TableParagraph"/>
              <w:spacing w:before="22"/>
              <w:ind w:left="99"/>
              <w:rPr>
                <w:sz w:val="16"/>
              </w:rPr>
            </w:pPr>
            <w:r>
              <w:rPr>
                <w:color w:val="FFFFFF"/>
                <w:spacing w:val="-2"/>
                <w:sz w:val="16"/>
              </w:rPr>
              <w:t>2023‐24</w:t>
            </w:r>
          </w:p>
        </w:tc>
        <w:tc>
          <w:tcPr>
            <w:tcW w:w="902" w:type="dxa"/>
            <w:shd w:val="clear" w:color="auto" w:fill="006CA3"/>
          </w:tcPr>
          <w:p w14:paraId="4569578F" w14:textId="77777777" w:rsidR="00141B97" w:rsidRDefault="00911D63">
            <w:pPr>
              <w:pStyle w:val="TableParagraph"/>
              <w:spacing w:before="22"/>
              <w:ind w:left="100"/>
              <w:rPr>
                <w:sz w:val="16"/>
              </w:rPr>
            </w:pPr>
            <w:r>
              <w:rPr>
                <w:color w:val="FFFFFF"/>
                <w:spacing w:val="-2"/>
                <w:sz w:val="16"/>
              </w:rPr>
              <w:t>2024‐25</w:t>
            </w:r>
          </w:p>
        </w:tc>
        <w:tc>
          <w:tcPr>
            <w:tcW w:w="903" w:type="dxa"/>
            <w:shd w:val="clear" w:color="auto" w:fill="006CA3"/>
          </w:tcPr>
          <w:p w14:paraId="7550D9F2" w14:textId="77777777" w:rsidR="00141B97" w:rsidRDefault="00911D63">
            <w:pPr>
              <w:pStyle w:val="TableParagraph"/>
              <w:spacing w:before="22"/>
              <w:ind w:left="102"/>
              <w:rPr>
                <w:sz w:val="16"/>
              </w:rPr>
            </w:pPr>
            <w:r>
              <w:rPr>
                <w:color w:val="FFFFFF"/>
                <w:spacing w:val="-2"/>
                <w:sz w:val="16"/>
              </w:rPr>
              <w:t>2025‐26</w:t>
            </w:r>
          </w:p>
        </w:tc>
        <w:tc>
          <w:tcPr>
            <w:tcW w:w="902" w:type="dxa"/>
            <w:shd w:val="clear" w:color="auto" w:fill="006CA3"/>
          </w:tcPr>
          <w:p w14:paraId="39C60051" w14:textId="77777777" w:rsidR="00141B97" w:rsidRDefault="00911D63">
            <w:pPr>
              <w:pStyle w:val="TableParagraph"/>
              <w:spacing w:before="22"/>
              <w:ind w:left="104"/>
              <w:rPr>
                <w:sz w:val="16"/>
              </w:rPr>
            </w:pPr>
            <w:r>
              <w:rPr>
                <w:color w:val="FFFFFF"/>
                <w:spacing w:val="-2"/>
                <w:sz w:val="16"/>
              </w:rPr>
              <w:t>2026‐27</w:t>
            </w:r>
          </w:p>
        </w:tc>
        <w:tc>
          <w:tcPr>
            <w:tcW w:w="902" w:type="dxa"/>
            <w:shd w:val="clear" w:color="auto" w:fill="006CA3"/>
          </w:tcPr>
          <w:p w14:paraId="7C06F060" w14:textId="77777777" w:rsidR="00141B97" w:rsidRDefault="00911D63">
            <w:pPr>
              <w:pStyle w:val="TableParagraph"/>
              <w:spacing w:before="22"/>
              <w:ind w:left="105"/>
              <w:rPr>
                <w:sz w:val="16"/>
              </w:rPr>
            </w:pPr>
            <w:r>
              <w:rPr>
                <w:color w:val="FFFFFF"/>
                <w:spacing w:val="-2"/>
                <w:sz w:val="16"/>
              </w:rPr>
              <w:t>2027‐28</w:t>
            </w:r>
          </w:p>
        </w:tc>
        <w:tc>
          <w:tcPr>
            <w:tcW w:w="984" w:type="dxa"/>
            <w:tcBorders>
              <w:right w:val="nil"/>
            </w:tcBorders>
            <w:shd w:val="clear" w:color="auto" w:fill="006CA3"/>
          </w:tcPr>
          <w:p w14:paraId="3140819F" w14:textId="77777777" w:rsidR="00141B97" w:rsidRDefault="00911D63">
            <w:pPr>
              <w:pStyle w:val="TableParagraph"/>
              <w:spacing w:before="22"/>
              <w:ind w:left="107"/>
              <w:rPr>
                <w:sz w:val="16"/>
              </w:rPr>
            </w:pPr>
            <w:r>
              <w:rPr>
                <w:color w:val="FFFFFF"/>
                <w:sz w:val="16"/>
              </w:rPr>
              <w:t>Total</w:t>
            </w:r>
            <w:r>
              <w:rPr>
                <w:color w:val="FFFFFF"/>
                <w:spacing w:val="-5"/>
                <w:sz w:val="16"/>
              </w:rPr>
              <w:t xml:space="preserve"> PS5</w:t>
            </w:r>
          </w:p>
        </w:tc>
      </w:tr>
      <w:tr w:rsidR="00141B97" w14:paraId="15F077EE" w14:textId="77777777">
        <w:trPr>
          <w:trHeight w:val="194"/>
          <w:tblCellSpacing w:w="9" w:type="dxa"/>
        </w:trPr>
        <w:tc>
          <w:tcPr>
            <w:tcW w:w="2432" w:type="dxa"/>
            <w:tcBorders>
              <w:left w:val="nil"/>
            </w:tcBorders>
            <w:shd w:val="clear" w:color="auto" w:fill="CCE2ED"/>
          </w:tcPr>
          <w:p w14:paraId="6FF92ACB" w14:textId="77777777" w:rsidR="00141B97" w:rsidRDefault="00911D63">
            <w:pPr>
              <w:pStyle w:val="TableParagraph"/>
              <w:spacing w:line="175" w:lineRule="exact"/>
              <w:ind w:left="88"/>
              <w:rPr>
                <w:sz w:val="16"/>
              </w:rPr>
            </w:pPr>
            <w:r>
              <w:rPr>
                <w:sz w:val="16"/>
              </w:rPr>
              <w:t>Prescribed</w:t>
            </w:r>
            <w:r>
              <w:rPr>
                <w:spacing w:val="-6"/>
                <w:sz w:val="16"/>
              </w:rPr>
              <w:t xml:space="preserve"> </w:t>
            </w:r>
            <w:r>
              <w:rPr>
                <w:sz w:val="16"/>
              </w:rPr>
              <w:t>opex</w:t>
            </w:r>
            <w:r>
              <w:rPr>
                <w:spacing w:val="-5"/>
                <w:sz w:val="16"/>
              </w:rPr>
              <w:t xml:space="preserve"> </w:t>
            </w:r>
            <w:r>
              <w:rPr>
                <w:sz w:val="16"/>
              </w:rPr>
              <w:t>in</w:t>
            </w:r>
            <w:r>
              <w:rPr>
                <w:spacing w:val="-5"/>
                <w:sz w:val="16"/>
              </w:rPr>
              <w:t xml:space="preserve"> </w:t>
            </w:r>
            <w:r>
              <w:rPr>
                <w:spacing w:val="-2"/>
                <w:sz w:val="16"/>
              </w:rPr>
              <w:t>2021‐22</w:t>
            </w:r>
          </w:p>
        </w:tc>
        <w:tc>
          <w:tcPr>
            <w:tcW w:w="944" w:type="dxa"/>
            <w:shd w:val="clear" w:color="auto" w:fill="CCE2ED"/>
          </w:tcPr>
          <w:p w14:paraId="44EB8F87" w14:textId="77777777" w:rsidR="00141B97" w:rsidRDefault="00911D63">
            <w:pPr>
              <w:pStyle w:val="TableParagraph"/>
              <w:spacing w:line="175" w:lineRule="exact"/>
              <w:ind w:right="97"/>
              <w:jc w:val="right"/>
              <w:rPr>
                <w:sz w:val="16"/>
              </w:rPr>
            </w:pPr>
            <w:r>
              <w:rPr>
                <w:spacing w:val="-2"/>
                <w:sz w:val="16"/>
              </w:rPr>
              <w:t>22.85</w:t>
            </w:r>
          </w:p>
        </w:tc>
        <w:tc>
          <w:tcPr>
            <w:tcW w:w="6355" w:type="dxa"/>
            <w:gridSpan w:val="7"/>
            <w:vMerge w:val="restart"/>
            <w:tcBorders>
              <w:right w:val="nil"/>
            </w:tcBorders>
            <w:shd w:val="clear" w:color="auto" w:fill="CCE2ED"/>
          </w:tcPr>
          <w:p w14:paraId="1BEE0988" w14:textId="77777777" w:rsidR="00141B97" w:rsidRDefault="00141B97">
            <w:pPr>
              <w:pStyle w:val="TableParagraph"/>
              <w:rPr>
                <w:rFonts w:ascii="Times New Roman"/>
                <w:sz w:val="18"/>
              </w:rPr>
            </w:pPr>
          </w:p>
        </w:tc>
      </w:tr>
      <w:tr w:rsidR="00141B97" w14:paraId="7CE8F92B" w14:textId="77777777">
        <w:trPr>
          <w:trHeight w:val="195"/>
          <w:tblCellSpacing w:w="9" w:type="dxa"/>
        </w:trPr>
        <w:tc>
          <w:tcPr>
            <w:tcW w:w="2432" w:type="dxa"/>
            <w:tcBorders>
              <w:left w:val="nil"/>
            </w:tcBorders>
            <w:shd w:val="clear" w:color="auto" w:fill="CCE2ED"/>
          </w:tcPr>
          <w:p w14:paraId="4535B0EA" w14:textId="77777777" w:rsidR="00141B97" w:rsidRDefault="00911D63">
            <w:pPr>
              <w:pStyle w:val="TableParagraph"/>
              <w:spacing w:before="1" w:line="175" w:lineRule="exact"/>
              <w:ind w:left="256"/>
              <w:rPr>
                <w:i/>
                <w:sz w:val="16"/>
              </w:rPr>
            </w:pPr>
            <w:r>
              <w:rPr>
                <w:i/>
                <w:sz w:val="16"/>
              </w:rPr>
              <w:t>Less</w:t>
            </w:r>
            <w:r>
              <w:rPr>
                <w:i/>
                <w:spacing w:val="-8"/>
                <w:sz w:val="16"/>
              </w:rPr>
              <w:t xml:space="preserve"> </w:t>
            </w:r>
            <w:r>
              <w:rPr>
                <w:i/>
                <w:sz w:val="16"/>
              </w:rPr>
              <w:t>non</w:t>
            </w:r>
            <w:r>
              <w:rPr>
                <w:i/>
                <w:spacing w:val="-7"/>
                <w:sz w:val="16"/>
              </w:rPr>
              <w:t xml:space="preserve"> </w:t>
            </w:r>
            <w:r>
              <w:rPr>
                <w:i/>
                <w:sz w:val="16"/>
              </w:rPr>
              <w:t>controllable</w:t>
            </w:r>
            <w:r>
              <w:rPr>
                <w:i/>
                <w:spacing w:val="-7"/>
                <w:sz w:val="16"/>
              </w:rPr>
              <w:t xml:space="preserve"> </w:t>
            </w:r>
            <w:r>
              <w:rPr>
                <w:i/>
                <w:spacing w:val="-4"/>
                <w:sz w:val="16"/>
              </w:rPr>
              <w:t>opex</w:t>
            </w:r>
          </w:p>
        </w:tc>
        <w:tc>
          <w:tcPr>
            <w:tcW w:w="944" w:type="dxa"/>
            <w:shd w:val="clear" w:color="auto" w:fill="CCE2ED"/>
          </w:tcPr>
          <w:p w14:paraId="37D0D77A" w14:textId="77777777" w:rsidR="00141B97" w:rsidRDefault="00911D63">
            <w:pPr>
              <w:pStyle w:val="TableParagraph"/>
              <w:spacing w:before="1" w:line="175" w:lineRule="exact"/>
              <w:ind w:right="97"/>
              <w:jc w:val="right"/>
              <w:rPr>
                <w:sz w:val="16"/>
              </w:rPr>
            </w:pPr>
            <w:r>
              <w:rPr>
                <w:spacing w:val="-2"/>
                <w:sz w:val="16"/>
              </w:rPr>
              <w:t>‐3.81</w:t>
            </w:r>
          </w:p>
        </w:tc>
        <w:tc>
          <w:tcPr>
            <w:tcW w:w="6355" w:type="dxa"/>
            <w:gridSpan w:val="7"/>
            <w:vMerge/>
            <w:tcBorders>
              <w:top w:val="nil"/>
              <w:right w:val="nil"/>
            </w:tcBorders>
            <w:shd w:val="clear" w:color="auto" w:fill="CCE2ED"/>
          </w:tcPr>
          <w:p w14:paraId="61E72E52" w14:textId="77777777" w:rsidR="00141B97" w:rsidRDefault="00141B97">
            <w:pPr>
              <w:rPr>
                <w:sz w:val="2"/>
                <w:szCs w:val="2"/>
              </w:rPr>
            </w:pPr>
          </w:p>
        </w:tc>
      </w:tr>
      <w:tr w:rsidR="00141B97" w14:paraId="3B665A61" w14:textId="77777777">
        <w:trPr>
          <w:trHeight w:val="344"/>
          <w:tblCellSpacing w:w="9" w:type="dxa"/>
        </w:trPr>
        <w:tc>
          <w:tcPr>
            <w:tcW w:w="2432" w:type="dxa"/>
            <w:tcBorders>
              <w:left w:val="nil"/>
            </w:tcBorders>
            <w:shd w:val="clear" w:color="auto" w:fill="CCE2ED"/>
          </w:tcPr>
          <w:p w14:paraId="10ABF0B8" w14:textId="77777777" w:rsidR="00141B97" w:rsidRDefault="00911D63">
            <w:pPr>
              <w:pStyle w:val="TableParagraph"/>
              <w:spacing w:before="75"/>
              <w:ind w:left="88"/>
              <w:rPr>
                <w:sz w:val="16"/>
              </w:rPr>
            </w:pPr>
            <w:r>
              <w:rPr>
                <w:sz w:val="16"/>
              </w:rPr>
              <w:t>Total</w:t>
            </w:r>
            <w:r>
              <w:rPr>
                <w:spacing w:val="-7"/>
                <w:sz w:val="16"/>
              </w:rPr>
              <w:t xml:space="preserve"> </w:t>
            </w:r>
            <w:r>
              <w:rPr>
                <w:sz w:val="16"/>
              </w:rPr>
              <w:t>controllable</w:t>
            </w:r>
            <w:r>
              <w:rPr>
                <w:spacing w:val="-7"/>
                <w:sz w:val="16"/>
              </w:rPr>
              <w:t xml:space="preserve"> </w:t>
            </w:r>
            <w:r>
              <w:rPr>
                <w:sz w:val="16"/>
              </w:rPr>
              <w:t>opex</w:t>
            </w:r>
            <w:r>
              <w:rPr>
                <w:spacing w:val="-6"/>
                <w:sz w:val="16"/>
              </w:rPr>
              <w:t xml:space="preserve"> </w:t>
            </w:r>
            <w:r>
              <w:rPr>
                <w:spacing w:val="-2"/>
                <w:sz w:val="16"/>
              </w:rPr>
              <w:t>2021‐22</w:t>
            </w:r>
          </w:p>
        </w:tc>
        <w:tc>
          <w:tcPr>
            <w:tcW w:w="944" w:type="dxa"/>
            <w:shd w:val="clear" w:color="auto" w:fill="CCE2ED"/>
          </w:tcPr>
          <w:p w14:paraId="2F3E6D54" w14:textId="77777777" w:rsidR="00141B97" w:rsidRDefault="00911D63">
            <w:pPr>
              <w:pStyle w:val="TableParagraph"/>
              <w:spacing w:before="75"/>
              <w:ind w:right="95"/>
              <w:jc w:val="right"/>
              <w:rPr>
                <w:sz w:val="16"/>
              </w:rPr>
            </w:pPr>
            <w:r>
              <w:rPr>
                <w:spacing w:val="-2"/>
                <w:sz w:val="16"/>
              </w:rPr>
              <w:t>19.04</w:t>
            </w:r>
          </w:p>
        </w:tc>
        <w:tc>
          <w:tcPr>
            <w:tcW w:w="6355" w:type="dxa"/>
            <w:gridSpan w:val="7"/>
            <w:vMerge/>
            <w:tcBorders>
              <w:top w:val="nil"/>
              <w:right w:val="nil"/>
            </w:tcBorders>
            <w:shd w:val="clear" w:color="auto" w:fill="CCE2ED"/>
          </w:tcPr>
          <w:p w14:paraId="08F508FC" w14:textId="77777777" w:rsidR="00141B97" w:rsidRDefault="00141B97">
            <w:pPr>
              <w:rPr>
                <w:sz w:val="2"/>
                <w:szCs w:val="2"/>
              </w:rPr>
            </w:pPr>
          </w:p>
        </w:tc>
      </w:tr>
      <w:tr w:rsidR="00141B97" w14:paraId="27EF23B8" w14:textId="77777777">
        <w:trPr>
          <w:trHeight w:val="240"/>
          <w:tblCellSpacing w:w="9" w:type="dxa"/>
        </w:trPr>
        <w:tc>
          <w:tcPr>
            <w:tcW w:w="2432" w:type="dxa"/>
            <w:tcBorders>
              <w:left w:val="nil"/>
            </w:tcBorders>
            <w:shd w:val="clear" w:color="auto" w:fill="CCE2ED"/>
          </w:tcPr>
          <w:p w14:paraId="60A602DE" w14:textId="77777777" w:rsidR="00141B97" w:rsidRDefault="00911D63">
            <w:pPr>
              <w:pStyle w:val="TableParagraph"/>
              <w:spacing w:before="22"/>
              <w:ind w:left="88"/>
              <w:rPr>
                <w:sz w:val="16"/>
              </w:rPr>
            </w:pPr>
            <w:r>
              <w:rPr>
                <w:sz w:val="16"/>
              </w:rPr>
              <w:t>One‐off</w:t>
            </w:r>
            <w:r>
              <w:rPr>
                <w:spacing w:val="-9"/>
                <w:sz w:val="16"/>
              </w:rPr>
              <w:t xml:space="preserve"> </w:t>
            </w:r>
            <w:r>
              <w:rPr>
                <w:spacing w:val="-2"/>
                <w:sz w:val="16"/>
              </w:rPr>
              <w:t>adjustments</w:t>
            </w:r>
          </w:p>
        </w:tc>
        <w:tc>
          <w:tcPr>
            <w:tcW w:w="944" w:type="dxa"/>
            <w:shd w:val="clear" w:color="auto" w:fill="CCE2ED"/>
          </w:tcPr>
          <w:p w14:paraId="5BC8F15D" w14:textId="77777777" w:rsidR="00141B97" w:rsidRDefault="00141B97">
            <w:pPr>
              <w:pStyle w:val="TableParagraph"/>
              <w:rPr>
                <w:rFonts w:ascii="Times New Roman"/>
                <w:sz w:val="16"/>
              </w:rPr>
            </w:pPr>
          </w:p>
        </w:tc>
        <w:tc>
          <w:tcPr>
            <w:tcW w:w="6355" w:type="dxa"/>
            <w:gridSpan w:val="7"/>
            <w:vMerge/>
            <w:tcBorders>
              <w:top w:val="nil"/>
              <w:right w:val="nil"/>
            </w:tcBorders>
            <w:shd w:val="clear" w:color="auto" w:fill="CCE2ED"/>
          </w:tcPr>
          <w:p w14:paraId="46E05A25" w14:textId="77777777" w:rsidR="00141B97" w:rsidRDefault="00141B97">
            <w:pPr>
              <w:rPr>
                <w:sz w:val="2"/>
                <w:szCs w:val="2"/>
              </w:rPr>
            </w:pPr>
          </w:p>
        </w:tc>
      </w:tr>
      <w:tr w:rsidR="00141B97" w14:paraId="062FEFE3" w14:textId="77777777">
        <w:trPr>
          <w:trHeight w:val="239"/>
          <w:tblCellSpacing w:w="9" w:type="dxa"/>
        </w:trPr>
        <w:tc>
          <w:tcPr>
            <w:tcW w:w="2432" w:type="dxa"/>
            <w:tcBorders>
              <w:left w:val="nil"/>
            </w:tcBorders>
            <w:shd w:val="clear" w:color="auto" w:fill="CCE2ED"/>
          </w:tcPr>
          <w:p w14:paraId="1C3A215D" w14:textId="77777777" w:rsidR="00141B97" w:rsidRDefault="00911D63">
            <w:pPr>
              <w:pStyle w:val="TableParagraph"/>
              <w:spacing w:before="22"/>
              <w:ind w:left="88"/>
              <w:rPr>
                <w:sz w:val="16"/>
              </w:rPr>
            </w:pPr>
            <w:r>
              <w:rPr>
                <w:sz w:val="16"/>
              </w:rPr>
              <w:t>Corporate</w:t>
            </w:r>
            <w:r>
              <w:rPr>
                <w:spacing w:val="-8"/>
                <w:sz w:val="16"/>
              </w:rPr>
              <w:t xml:space="preserve"> </w:t>
            </w:r>
            <w:r>
              <w:rPr>
                <w:sz w:val="16"/>
              </w:rPr>
              <w:t>Cost</w:t>
            </w:r>
            <w:r>
              <w:rPr>
                <w:spacing w:val="-8"/>
                <w:sz w:val="16"/>
              </w:rPr>
              <w:t xml:space="preserve"> </w:t>
            </w:r>
            <w:r>
              <w:rPr>
                <w:sz w:val="16"/>
              </w:rPr>
              <w:t>Allocation</w:t>
            </w:r>
            <w:r>
              <w:rPr>
                <w:spacing w:val="-8"/>
                <w:sz w:val="16"/>
              </w:rPr>
              <w:t xml:space="preserve"> </w:t>
            </w:r>
            <w:r>
              <w:rPr>
                <w:spacing w:val="-2"/>
                <w:sz w:val="16"/>
              </w:rPr>
              <w:t>changes</w:t>
            </w:r>
          </w:p>
        </w:tc>
        <w:tc>
          <w:tcPr>
            <w:tcW w:w="944" w:type="dxa"/>
            <w:shd w:val="clear" w:color="auto" w:fill="CCE2ED"/>
          </w:tcPr>
          <w:p w14:paraId="7D1EA640" w14:textId="77777777" w:rsidR="00141B97" w:rsidRDefault="00911D63">
            <w:pPr>
              <w:pStyle w:val="TableParagraph"/>
              <w:spacing w:before="22"/>
              <w:ind w:right="97"/>
              <w:jc w:val="right"/>
              <w:rPr>
                <w:sz w:val="16"/>
              </w:rPr>
            </w:pPr>
            <w:r>
              <w:rPr>
                <w:spacing w:val="-2"/>
                <w:sz w:val="16"/>
              </w:rPr>
              <w:t>‐0.90</w:t>
            </w:r>
          </w:p>
        </w:tc>
        <w:tc>
          <w:tcPr>
            <w:tcW w:w="6355" w:type="dxa"/>
            <w:gridSpan w:val="7"/>
            <w:vMerge/>
            <w:tcBorders>
              <w:top w:val="nil"/>
              <w:right w:val="nil"/>
            </w:tcBorders>
            <w:shd w:val="clear" w:color="auto" w:fill="CCE2ED"/>
          </w:tcPr>
          <w:p w14:paraId="1BDCF1AB" w14:textId="77777777" w:rsidR="00141B97" w:rsidRDefault="00141B97">
            <w:pPr>
              <w:rPr>
                <w:sz w:val="2"/>
                <w:szCs w:val="2"/>
              </w:rPr>
            </w:pPr>
          </w:p>
        </w:tc>
      </w:tr>
      <w:tr w:rsidR="00141B97" w14:paraId="7096B9D3" w14:textId="77777777">
        <w:trPr>
          <w:trHeight w:val="240"/>
          <w:tblCellSpacing w:w="9" w:type="dxa"/>
        </w:trPr>
        <w:tc>
          <w:tcPr>
            <w:tcW w:w="2432" w:type="dxa"/>
            <w:tcBorders>
              <w:left w:val="nil"/>
            </w:tcBorders>
            <w:shd w:val="clear" w:color="auto" w:fill="CCE2ED"/>
          </w:tcPr>
          <w:p w14:paraId="781284DE" w14:textId="77777777" w:rsidR="00141B97" w:rsidRDefault="00911D63">
            <w:pPr>
              <w:pStyle w:val="TableParagraph"/>
              <w:spacing w:before="22"/>
              <w:ind w:left="88"/>
              <w:rPr>
                <w:sz w:val="16"/>
              </w:rPr>
            </w:pPr>
            <w:r>
              <w:rPr>
                <w:sz w:val="16"/>
              </w:rPr>
              <w:t>PS5</w:t>
            </w:r>
            <w:r>
              <w:rPr>
                <w:spacing w:val="-6"/>
                <w:sz w:val="16"/>
              </w:rPr>
              <w:t xml:space="preserve"> </w:t>
            </w:r>
            <w:r>
              <w:rPr>
                <w:sz w:val="16"/>
              </w:rPr>
              <w:t>Planning</w:t>
            </w:r>
            <w:r>
              <w:rPr>
                <w:spacing w:val="-5"/>
                <w:sz w:val="16"/>
              </w:rPr>
              <w:t xml:space="preserve"> </w:t>
            </w:r>
            <w:r>
              <w:rPr>
                <w:spacing w:val="-2"/>
                <w:sz w:val="16"/>
              </w:rPr>
              <w:t>Costs</w:t>
            </w:r>
          </w:p>
        </w:tc>
        <w:tc>
          <w:tcPr>
            <w:tcW w:w="944" w:type="dxa"/>
            <w:shd w:val="clear" w:color="auto" w:fill="CCE2ED"/>
          </w:tcPr>
          <w:p w14:paraId="79803BB2" w14:textId="77777777" w:rsidR="00141B97" w:rsidRDefault="00911D63">
            <w:pPr>
              <w:pStyle w:val="TableParagraph"/>
              <w:spacing w:before="22"/>
              <w:ind w:right="97"/>
              <w:jc w:val="right"/>
              <w:rPr>
                <w:sz w:val="16"/>
              </w:rPr>
            </w:pPr>
            <w:r>
              <w:rPr>
                <w:spacing w:val="-2"/>
                <w:sz w:val="16"/>
              </w:rPr>
              <w:t>‐0.39</w:t>
            </w:r>
          </w:p>
        </w:tc>
        <w:tc>
          <w:tcPr>
            <w:tcW w:w="6355" w:type="dxa"/>
            <w:gridSpan w:val="7"/>
            <w:vMerge/>
            <w:tcBorders>
              <w:top w:val="nil"/>
              <w:right w:val="nil"/>
            </w:tcBorders>
            <w:shd w:val="clear" w:color="auto" w:fill="CCE2ED"/>
          </w:tcPr>
          <w:p w14:paraId="477F1007" w14:textId="77777777" w:rsidR="00141B97" w:rsidRDefault="00141B97">
            <w:pPr>
              <w:rPr>
                <w:sz w:val="2"/>
                <w:szCs w:val="2"/>
              </w:rPr>
            </w:pPr>
          </w:p>
        </w:tc>
      </w:tr>
      <w:tr w:rsidR="00141B97" w14:paraId="0CE755AF" w14:textId="77777777">
        <w:trPr>
          <w:trHeight w:val="240"/>
          <w:tblCellSpacing w:w="9" w:type="dxa"/>
        </w:trPr>
        <w:tc>
          <w:tcPr>
            <w:tcW w:w="2432" w:type="dxa"/>
            <w:tcBorders>
              <w:left w:val="nil"/>
            </w:tcBorders>
            <w:shd w:val="clear" w:color="auto" w:fill="CCE2ED"/>
          </w:tcPr>
          <w:p w14:paraId="6163D953" w14:textId="77777777" w:rsidR="00141B97" w:rsidRDefault="00911D63">
            <w:pPr>
              <w:pStyle w:val="TableParagraph"/>
              <w:spacing w:before="22"/>
              <w:ind w:left="88"/>
              <w:rPr>
                <w:sz w:val="16"/>
              </w:rPr>
            </w:pPr>
            <w:r>
              <w:rPr>
                <w:sz w:val="16"/>
              </w:rPr>
              <w:t>Millewa</w:t>
            </w:r>
            <w:r>
              <w:rPr>
                <w:spacing w:val="-6"/>
                <w:sz w:val="16"/>
              </w:rPr>
              <w:t xml:space="preserve"> </w:t>
            </w:r>
            <w:r>
              <w:rPr>
                <w:sz w:val="16"/>
              </w:rPr>
              <w:t>PS</w:t>
            </w:r>
            <w:r>
              <w:rPr>
                <w:spacing w:val="-6"/>
                <w:sz w:val="16"/>
              </w:rPr>
              <w:t xml:space="preserve"> </w:t>
            </w:r>
            <w:r>
              <w:rPr>
                <w:sz w:val="16"/>
              </w:rPr>
              <w:t>Temp</w:t>
            </w:r>
            <w:r>
              <w:rPr>
                <w:spacing w:val="-7"/>
                <w:sz w:val="16"/>
              </w:rPr>
              <w:t xml:space="preserve"> </w:t>
            </w:r>
            <w:r>
              <w:rPr>
                <w:spacing w:val="-4"/>
                <w:sz w:val="16"/>
              </w:rPr>
              <w:t>Pump</w:t>
            </w:r>
          </w:p>
        </w:tc>
        <w:tc>
          <w:tcPr>
            <w:tcW w:w="944" w:type="dxa"/>
            <w:shd w:val="clear" w:color="auto" w:fill="CCE2ED"/>
          </w:tcPr>
          <w:p w14:paraId="4E9520CA" w14:textId="77777777" w:rsidR="00141B97" w:rsidRDefault="00911D63">
            <w:pPr>
              <w:pStyle w:val="TableParagraph"/>
              <w:spacing w:before="22"/>
              <w:ind w:right="97"/>
              <w:jc w:val="right"/>
              <w:rPr>
                <w:sz w:val="16"/>
              </w:rPr>
            </w:pPr>
            <w:r>
              <w:rPr>
                <w:spacing w:val="-2"/>
                <w:sz w:val="16"/>
              </w:rPr>
              <w:t>‐0.29</w:t>
            </w:r>
          </w:p>
        </w:tc>
        <w:tc>
          <w:tcPr>
            <w:tcW w:w="6355" w:type="dxa"/>
            <w:gridSpan w:val="7"/>
            <w:vMerge/>
            <w:tcBorders>
              <w:top w:val="nil"/>
              <w:right w:val="nil"/>
            </w:tcBorders>
            <w:shd w:val="clear" w:color="auto" w:fill="CCE2ED"/>
          </w:tcPr>
          <w:p w14:paraId="4A17C4D7" w14:textId="77777777" w:rsidR="00141B97" w:rsidRDefault="00141B97">
            <w:pPr>
              <w:rPr>
                <w:sz w:val="2"/>
                <w:szCs w:val="2"/>
              </w:rPr>
            </w:pPr>
          </w:p>
        </w:tc>
      </w:tr>
      <w:tr w:rsidR="00141B97" w14:paraId="0D7972C3" w14:textId="77777777">
        <w:trPr>
          <w:trHeight w:val="239"/>
          <w:tblCellSpacing w:w="9" w:type="dxa"/>
        </w:trPr>
        <w:tc>
          <w:tcPr>
            <w:tcW w:w="2432" w:type="dxa"/>
            <w:tcBorders>
              <w:left w:val="nil"/>
            </w:tcBorders>
            <w:shd w:val="clear" w:color="auto" w:fill="CCE2ED"/>
          </w:tcPr>
          <w:p w14:paraId="21CECB6E" w14:textId="77777777" w:rsidR="00141B97" w:rsidRDefault="00911D63">
            <w:pPr>
              <w:pStyle w:val="TableParagraph"/>
              <w:spacing w:before="22"/>
              <w:ind w:left="88"/>
              <w:rPr>
                <w:sz w:val="16"/>
              </w:rPr>
            </w:pPr>
            <w:r>
              <w:rPr>
                <w:spacing w:val="-2"/>
                <w:sz w:val="16"/>
              </w:rPr>
              <w:t>Covid‐19</w:t>
            </w:r>
            <w:r>
              <w:rPr>
                <w:spacing w:val="6"/>
                <w:sz w:val="16"/>
              </w:rPr>
              <w:t xml:space="preserve"> </w:t>
            </w:r>
            <w:r>
              <w:rPr>
                <w:spacing w:val="-2"/>
                <w:sz w:val="16"/>
              </w:rPr>
              <w:t>Costs</w:t>
            </w:r>
          </w:p>
        </w:tc>
        <w:tc>
          <w:tcPr>
            <w:tcW w:w="944" w:type="dxa"/>
            <w:shd w:val="clear" w:color="auto" w:fill="CCE2ED"/>
          </w:tcPr>
          <w:p w14:paraId="155EFEED" w14:textId="77777777" w:rsidR="00141B97" w:rsidRDefault="00911D63">
            <w:pPr>
              <w:pStyle w:val="TableParagraph"/>
              <w:spacing w:before="22"/>
              <w:ind w:right="97"/>
              <w:jc w:val="right"/>
              <w:rPr>
                <w:sz w:val="16"/>
              </w:rPr>
            </w:pPr>
            <w:r>
              <w:rPr>
                <w:spacing w:val="-2"/>
                <w:sz w:val="16"/>
              </w:rPr>
              <w:t>‐0.18</w:t>
            </w:r>
          </w:p>
        </w:tc>
        <w:tc>
          <w:tcPr>
            <w:tcW w:w="6355" w:type="dxa"/>
            <w:gridSpan w:val="7"/>
            <w:vMerge/>
            <w:tcBorders>
              <w:top w:val="nil"/>
              <w:right w:val="nil"/>
            </w:tcBorders>
            <w:shd w:val="clear" w:color="auto" w:fill="CCE2ED"/>
          </w:tcPr>
          <w:p w14:paraId="786673E8" w14:textId="77777777" w:rsidR="00141B97" w:rsidRDefault="00141B97">
            <w:pPr>
              <w:rPr>
                <w:sz w:val="2"/>
                <w:szCs w:val="2"/>
              </w:rPr>
            </w:pPr>
          </w:p>
        </w:tc>
      </w:tr>
      <w:tr w:rsidR="00141B97" w14:paraId="4D24C371" w14:textId="77777777">
        <w:trPr>
          <w:trHeight w:val="240"/>
          <w:tblCellSpacing w:w="9" w:type="dxa"/>
        </w:trPr>
        <w:tc>
          <w:tcPr>
            <w:tcW w:w="2432" w:type="dxa"/>
            <w:tcBorders>
              <w:left w:val="nil"/>
            </w:tcBorders>
            <w:shd w:val="clear" w:color="auto" w:fill="CCE2ED"/>
          </w:tcPr>
          <w:p w14:paraId="0734507A" w14:textId="77777777" w:rsidR="00141B97" w:rsidRDefault="00911D63">
            <w:pPr>
              <w:pStyle w:val="TableParagraph"/>
              <w:spacing w:before="22"/>
              <w:ind w:left="88"/>
              <w:rPr>
                <w:sz w:val="16"/>
              </w:rPr>
            </w:pPr>
            <w:r>
              <w:rPr>
                <w:sz w:val="16"/>
              </w:rPr>
              <w:t>WEP</w:t>
            </w:r>
            <w:r>
              <w:rPr>
                <w:spacing w:val="-7"/>
                <w:sz w:val="16"/>
              </w:rPr>
              <w:t xml:space="preserve"> </w:t>
            </w:r>
            <w:r>
              <w:rPr>
                <w:spacing w:val="-2"/>
                <w:sz w:val="16"/>
              </w:rPr>
              <w:t>Costs</w:t>
            </w:r>
          </w:p>
        </w:tc>
        <w:tc>
          <w:tcPr>
            <w:tcW w:w="944" w:type="dxa"/>
            <w:shd w:val="clear" w:color="auto" w:fill="CCE2ED"/>
          </w:tcPr>
          <w:p w14:paraId="7CFFFD2F" w14:textId="77777777" w:rsidR="00141B97" w:rsidRDefault="00911D63">
            <w:pPr>
              <w:pStyle w:val="TableParagraph"/>
              <w:spacing w:before="22"/>
              <w:ind w:right="97"/>
              <w:jc w:val="right"/>
              <w:rPr>
                <w:sz w:val="16"/>
              </w:rPr>
            </w:pPr>
            <w:r>
              <w:rPr>
                <w:spacing w:val="-2"/>
                <w:sz w:val="16"/>
              </w:rPr>
              <w:t>‐0.16</w:t>
            </w:r>
          </w:p>
        </w:tc>
        <w:tc>
          <w:tcPr>
            <w:tcW w:w="6355" w:type="dxa"/>
            <w:gridSpan w:val="7"/>
            <w:vMerge/>
            <w:tcBorders>
              <w:top w:val="nil"/>
              <w:right w:val="nil"/>
            </w:tcBorders>
            <w:shd w:val="clear" w:color="auto" w:fill="CCE2ED"/>
          </w:tcPr>
          <w:p w14:paraId="03A0DC01" w14:textId="77777777" w:rsidR="00141B97" w:rsidRDefault="00141B97">
            <w:pPr>
              <w:rPr>
                <w:sz w:val="2"/>
                <w:szCs w:val="2"/>
              </w:rPr>
            </w:pPr>
          </w:p>
        </w:tc>
      </w:tr>
      <w:tr w:rsidR="00141B97" w14:paraId="6138686A" w14:textId="77777777">
        <w:trPr>
          <w:trHeight w:val="240"/>
          <w:tblCellSpacing w:w="9" w:type="dxa"/>
        </w:trPr>
        <w:tc>
          <w:tcPr>
            <w:tcW w:w="2432" w:type="dxa"/>
            <w:tcBorders>
              <w:left w:val="nil"/>
            </w:tcBorders>
            <w:shd w:val="clear" w:color="auto" w:fill="CCE2ED"/>
          </w:tcPr>
          <w:p w14:paraId="166A9EEB" w14:textId="77777777" w:rsidR="00141B97" w:rsidRDefault="00911D63">
            <w:pPr>
              <w:pStyle w:val="TableParagraph"/>
              <w:spacing w:before="22"/>
              <w:ind w:left="88"/>
              <w:rPr>
                <w:sz w:val="16"/>
              </w:rPr>
            </w:pPr>
            <w:r>
              <w:rPr>
                <w:spacing w:val="-2"/>
                <w:sz w:val="16"/>
              </w:rPr>
              <w:t>Electricity</w:t>
            </w:r>
          </w:p>
        </w:tc>
        <w:tc>
          <w:tcPr>
            <w:tcW w:w="944" w:type="dxa"/>
            <w:shd w:val="clear" w:color="auto" w:fill="CCE2ED"/>
          </w:tcPr>
          <w:p w14:paraId="135F612F" w14:textId="77777777" w:rsidR="00141B97" w:rsidRDefault="00911D63">
            <w:pPr>
              <w:pStyle w:val="TableParagraph"/>
              <w:spacing w:before="22"/>
              <w:ind w:right="97"/>
              <w:jc w:val="right"/>
              <w:rPr>
                <w:sz w:val="16"/>
              </w:rPr>
            </w:pPr>
            <w:r>
              <w:rPr>
                <w:spacing w:val="-4"/>
                <w:sz w:val="16"/>
              </w:rPr>
              <w:t>0.29</w:t>
            </w:r>
          </w:p>
        </w:tc>
        <w:tc>
          <w:tcPr>
            <w:tcW w:w="6355" w:type="dxa"/>
            <w:gridSpan w:val="7"/>
            <w:vMerge/>
            <w:tcBorders>
              <w:top w:val="nil"/>
              <w:right w:val="nil"/>
            </w:tcBorders>
            <w:shd w:val="clear" w:color="auto" w:fill="CCE2ED"/>
          </w:tcPr>
          <w:p w14:paraId="4D200A4F" w14:textId="77777777" w:rsidR="00141B97" w:rsidRDefault="00141B97">
            <w:pPr>
              <w:rPr>
                <w:sz w:val="2"/>
                <w:szCs w:val="2"/>
              </w:rPr>
            </w:pPr>
          </w:p>
        </w:tc>
      </w:tr>
      <w:tr w:rsidR="00141B97" w14:paraId="3E3ADF1C" w14:textId="77777777">
        <w:trPr>
          <w:trHeight w:val="239"/>
          <w:tblCellSpacing w:w="9" w:type="dxa"/>
        </w:trPr>
        <w:tc>
          <w:tcPr>
            <w:tcW w:w="2432" w:type="dxa"/>
            <w:tcBorders>
              <w:left w:val="nil"/>
            </w:tcBorders>
            <w:shd w:val="clear" w:color="auto" w:fill="CCE2ED"/>
          </w:tcPr>
          <w:p w14:paraId="4C0AA40B" w14:textId="77777777" w:rsidR="00141B97" w:rsidRDefault="00911D63">
            <w:pPr>
              <w:pStyle w:val="TableParagraph"/>
              <w:spacing w:before="22"/>
              <w:ind w:left="88"/>
              <w:rPr>
                <w:sz w:val="16"/>
              </w:rPr>
            </w:pPr>
            <w:r>
              <w:rPr>
                <w:sz w:val="16"/>
              </w:rPr>
              <w:t>Training</w:t>
            </w:r>
            <w:r>
              <w:rPr>
                <w:spacing w:val="-5"/>
                <w:sz w:val="16"/>
              </w:rPr>
              <w:t xml:space="preserve"> </w:t>
            </w:r>
            <w:r>
              <w:rPr>
                <w:sz w:val="16"/>
              </w:rPr>
              <w:t>&amp;</w:t>
            </w:r>
            <w:r>
              <w:rPr>
                <w:spacing w:val="-7"/>
                <w:sz w:val="16"/>
              </w:rPr>
              <w:t xml:space="preserve"> </w:t>
            </w:r>
            <w:r>
              <w:rPr>
                <w:spacing w:val="-2"/>
                <w:sz w:val="16"/>
              </w:rPr>
              <w:t>Travel</w:t>
            </w:r>
          </w:p>
        </w:tc>
        <w:tc>
          <w:tcPr>
            <w:tcW w:w="944" w:type="dxa"/>
            <w:shd w:val="clear" w:color="auto" w:fill="CCE2ED"/>
          </w:tcPr>
          <w:p w14:paraId="4F44054C" w14:textId="77777777" w:rsidR="00141B97" w:rsidRDefault="00911D63">
            <w:pPr>
              <w:pStyle w:val="TableParagraph"/>
              <w:spacing w:before="22"/>
              <w:ind w:right="97"/>
              <w:jc w:val="right"/>
              <w:rPr>
                <w:sz w:val="16"/>
              </w:rPr>
            </w:pPr>
            <w:r>
              <w:rPr>
                <w:spacing w:val="-4"/>
                <w:sz w:val="16"/>
              </w:rPr>
              <w:t>0.08</w:t>
            </w:r>
          </w:p>
        </w:tc>
        <w:tc>
          <w:tcPr>
            <w:tcW w:w="6355" w:type="dxa"/>
            <w:gridSpan w:val="7"/>
            <w:vMerge/>
            <w:tcBorders>
              <w:top w:val="nil"/>
              <w:right w:val="nil"/>
            </w:tcBorders>
            <w:shd w:val="clear" w:color="auto" w:fill="CCE2ED"/>
          </w:tcPr>
          <w:p w14:paraId="7F8C2380" w14:textId="77777777" w:rsidR="00141B97" w:rsidRDefault="00141B97">
            <w:pPr>
              <w:rPr>
                <w:sz w:val="2"/>
                <w:szCs w:val="2"/>
              </w:rPr>
            </w:pPr>
          </w:p>
        </w:tc>
      </w:tr>
      <w:tr w:rsidR="00141B97" w14:paraId="099A530D" w14:textId="77777777">
        <w:trPr>
          <w:trHeight w:val="390"/>
          <w:tblCellSpacing w:w="9" w:type="dxa"/>
        </w:trPr>
        <w:tc>
          <w:tcPr>
            <w:tcW w:w="2432" w:type="dxa"/>
            <w:tcBorders>
              <w:left w:val="nil"/>
            </w:tcBorders>
            <w:shd w:val="clear" w:color="auto" w:fill="BFBFBF"/>
          </w:tcPr>
          <w:p w14:paraId="738E0784" w14:textId="77777777" w:rsidR="00141B97" w:rsidRDefault="00911D63">
            <w:pPr>
              <w:pStyle w:val="TableParagraph"/>
              <w:spacing w:before="1" w:line="195" w:lineRule="exact"/>
              <w:ind w:left="88"/>
              <w:rPr>
                <w:sz w:val="16"/>
              </w:rPr>
            </w:pPr>
            <w:r>
              <w:rPr>
                <w:spacing w:val="-2"/>
                <w:sz w:val="16"/>
              </w:rPr>
              <w:t>Baseline</w:t>
            </w:r>
            <w:r>
              <w:rPr>
                <w:spacing w:val="8"/>
                <w:sz w:val="16"/>
              </w:rPr>
              <w:t xml:space="preserve"> </w:t>
            </w:r>
            <w:r>
              <w:rPr>
                <w:spacing w:val="-2"/>
                <w:sz w:val="16"/>
              </w:rPr>
              <w:t>controllable</w:t>
            </w:r>
            <w:r>
              <w:rPr>
                <w:spacing w:val="8"/>
                <w:sz w:val="16"/>
              </w:rPr>
              <w:t xml:space="preserve"> </w:t>
            </w:r>
            <w:r>
              <w:rPr>
                <w:spacing w:val="-2"/>
                <w:sz w:val="16"/>
              </w:rPr>
              <w:t>operating</w:t>
            </w:r>
          </w:p>
          <w:p w14:paraId="2AC344B2" w14:textId="77777777" w:rsidR="00141B97" w:rsidRDefault="00911D63">
            <w:pPr>
              <w:pStyle w:val="TableParagraph"/>
              <w:spacing w:line="175" w:lineRule="exact"/>
              <w:ind w:left="88"/>
              <w:rPr>
                <w:sz w:val="16"/>
              </w:rPr>
            </w:pPr>
            <w:r>
              <w:rPr>
                <w:spacing w:val="-2"/>
                <w:sz w:val="16"/>
              </w:rPr>
              <w:t>expenditure</w:t>
            </w:r>
          </w:p>
        </w:tc>
        <w:tc>
          <w:tcPr>
            <w:tcW w:w="944" w:type="dxa"/>
            <w:shd w:val="clear" w:color="auto" w:fill="BFBFBF"/>
          </w:tcPr>
          <w:p w14:paraId="202F3051" w14:textId="77777777" w:rsidR="00141B97" w:rsidRDefault="00911D63">
            <w:pPr>
              <w:pStyle w:val="TableParagraph"/>
              <w:spacing w:before="98"/>
              <w:ind w:right="95"/>
              <w:jc w:val="right"/>
              <w:rPr>
                <w:sz w:val="16"/>
              </w:rPr>
            </w:pPr>
            <w:r>
              <w:rPr>
                <w:spacing w:val="-2"/>
                <w:sz w:val="16"/>
              </w:rPr>
              <w:t>17.51</w:t>
            </w:r>
          </w:p>
        </w:tc>
        <w:tc>
          <w:tcPr>
            <w:tcW w:w="844" w:type="dxa"/>
            <w:shd w:val="clear" w:color="auto" w:fill="BFBFBF"/>
          </w:tcPr>
          <w:p w14:paraId="4D5D4A1F" w14:textId="77777777" w:rsidR="00141B97" w:rsidRDefault="00911D63">
            <w:pPr>
              <w:pStyle w:val="TableParagraph"/>
              <w:spacing w:before="98"/>
              <w:ind w:left="364"/>
              <w:rPr>
                <w:sz w:val="16"/>
              </w:rPr>
            </w:pPr>
            <w:r>
              <w:rPr>
                <w:spacing w:val="-2"/>
                <w:sz w:val="16"/>
              </w:rPr>
              <w:t>17.51</w:t>
            </w:r>
          </w:p>
        </w:tc>
        <w:tc>
          <w:tcPr>
            <w:tcW w:w="918" w:type="dxa"/>
            <w:shd w:val="clear" w:color="auto" w:fill="BFBFBF"/>
          </w:tcPr>
          <w:p w14:paraId="0EF17808" w14:textId="77777777" w:rsidR="00141B97" w:rsidRDefault="00911D63">
            <w:pPr>
              <w:pStyle w:val="TableParagraph"/>
              <w:spacing w:before="91"/>
              <w:ind w:right="92"/>
              <w:jc w:val="right"/>
              <w:rPr>
                <w:sz w:val="16"/>
              </w:rPr>
            </w:pPr>
            <w:r>
              <w:rPr>
                <w:spacing w:val="-2"/>
                <w:sz w:val="16"/>
              </w:rPr>
              <w:t>17.51</w:t>
            </w:r>
          </w:p>
        </w:tc>
        <w:tc>
          <w:tcPr>
            <w:tcW w:w="902" w:type="dxa"/>
            <w:shd w:val="clear" w:color="auto" w:fill="BFBFBF"/>
          </w:tcPr>
          <w:p w14:paraId="60968C8B" w14:textId="77777777" w:rsidR="00141B97" w:rsidRDefault="00911D63">
            <w:pPr>
              <w:pStyle w:val="TableParagraph"/>
              <w:spacing w:before="91"/>
              <w:ind w:right="90"/>
              <w:jc w:val="right"/>
              <w:rPr>
                <w:sz w:val="16"/>
              </w:rPr>
            </w:pPr>
            <w:r>
              <w:rPr>
                <w:spacing w:val="-2"/>
                <w:sz w:val="16"/>
              </w:rPr>
              <w:t>17.51</w:t>
            </w:r>
          </w:p>
        </w:tc>
        <w:tc>
          <w:tcPr>
            <w:tcW w:w="903" w:type="dxa"/>
            <w:shd w:val="clear" w:color="auto" w:fill="BFBFBF"/>
          </w:tcPr>
          <w:p w14:paraId="0A9A8ED6" w14:textId="77777777" w:rsidR="00141B97" w:rsidRDefault="00911D63">
            <w:pPr>
              <w:pStyle w:val="TableParagraph"/>
              <w:spacing w:before="91"/>
              <w:ind w:right="90"/>
              <w:jc w:val="right"/>
              <w:rPr>
                <w:sz w:val="16"/>
              </w:rPr>
            </w:pPr>
            <w:r>
              <w:rPr>
                <w:spacing w:val="-2"/>
                <w:sz w:val="16"/>
              </w:rPr>
              <w:t>17.51</w:t>
            </w:r>
          </w:p>
        </w:tc>
        <w:tc>
          <w:tcPr>
            <w:tcW w:w="902" w:type="dxa"/>
            <w:shd w:val="clear" w:color="auto" w:fill="BFBFBF"/>
          </w:tcPr>
          <w:p w14:paraId="66664F27" w14:textId="77777777" w:rsidR="00141B97" w:rsidRDefault="00911D63">
            <w:pPr>
              <w:pStyle w:val="TableParagraph"/>
              <w:spacing w:before="91"/>
              <w:ind w:right="87"/>
              <w:jc w:val="right"/>
              <w:rPr>
                <w:sz w:val="16"/>
              </w:rPr>
            </w:pPr>
            <w:r>
              <w:rPr>
                <w:spacing w:val="-2"/>
                <w:sz w:val="16"/>
              </w:rPr>
              <w:t>17.51</w:t>
            </w:r>
          </w:p>
        </w:tc>
        <w:tc>
          <w:tcPr>
            <w:tcW w:w="902" w:type="dxa"/>
            <w:shd w:val="clear" w:color="auto" w:fill="BFBFBF"/>
          </w:tcPr>
          <w:p w14:paraId="7DF779D5" w14:textId="77777777" w:rsidR="00141B97" w:rsidRDefault="00911D63">
            <w:pPr>
              <w:pStyle w:val="TableParagraph"/>
              <w:spacing w:before="91"/>
              <w:ind w:right="85"/>
              <w:jc w:val="right"/>
              <w:rPr>
                <w:sz w:val="16"/>
              </w:rPr>
            </w:pPr>
            <w:r>
              <w:rPr>
                <w:spacing w:val="-2"/>
                <w:sz w:val="16"/>
              </w:rPr>
              <w:t>17.51</w:t>
            </w:r>
          </w:p>
        </w:tc>
        <w:tc>
          <w:tcPr>
            <w:tcW w:w="984" w:type="dxa"/>
            <w:tcBorders>
              <w:right w:val="nil"/>
            </w:tcBorders>
            <w:shd w:val="clear" w:color="auto" w:fill="BFBFBF"/>
          </w:tcPr>
          <w:p w14:paraId="1A09EB73" w14:textId="77777777" w:rsidR="00141B97" w:rsidRDefault="00911D63">
            <w:pPr>
              <w:pStyle w:val="TableParagraph"/>
              <w:spacing w:before="91"/>
              <w:ind w:right="76"/>
              <w:jc w:val="right"/>
              <w:rPr>
                <w:sz w:val="16"/>
              </w:rPr>
            </w:pPr>
            <w:r>
              <w:rPr>
                <w:spacing w:val="-2"/>
                <w:sz w:val="16"/>
              </w:rPr>
              <w:t>87.53</w:t>
            </w:r>
          </w:p>
        </w:tc>
      </w:tr>
      <w:tr w:rsidR="00141B97" w14:paraId="35A03BE1" w14:textId="77777777">
        <w:trPr>
          <w:trHeight w:val="240"/>
          <w:tblCellSpacing w:w="9" w:type="dxa"/>
        </w:trPr>
        <w:tc>
          <w:tcPr>
            <w:tcW w:w="2432" w:type="dxa"/>
            <w:tcBorders>
              <w:left w:val="nil"/>
            </w:tcBorders>
            <w:shd w:val="clear" w:color="auto" w:fill="CCE2ED"/>
          </w:tcPr>
          <w:p w14:paraId="0070DD03" w14:textId="77777777" w:rsidR="00141B97" w:rsidRDefault="00911D63">
            <w:pPr>
              <w:pStyle w:val="TableParagraph"/>
              <w:spacing w:before="23"/>
              <w:ind w:left="88"/>
              <w:rPr>
                <w:sz w:val="16"/>
              </w:rPr>
            </w:pPr>
            <w:r>
              <w:rPr>
                <w:sz w:val="16"/>
              </w:rPr>
              <w:t>Variations</w:t>
            </w:r>
            <w:r>
              <w:rPr>
                <w:spacing w:val="-6"/>
                <w:sz w:val="16"/>
              </w:rPr>
              <w:t xml:space="preserve"> </w:t>
            </w:r>
            <w:r>
              <w:rPr>
                <w:sz w:val="16"/>
              </w:rPr>
              <w:t>to</w:t>
            </w:r>
            <w:r>
              <w:rPr>
                <w:spacing w:val="-4"/>
                <w:sz w:val="16"/>
              </w:rPr>
              <w:t xml:space="preserve"> </w:t>
            </w:r>
            <w:r>
              <w:rPr>
                <w:spacing w:val="-2"/>
                <w:sz w:val="16"/>
              </w:rPr>
              <w:t>Baseline</w:t>
            </w:r>
          </w:p>
        </w:tc>
        <w:tc>
          <w:tcPr>
            <w:tcW w:w="1788" w:type="dxa"/>
            <w:gridSpan w:val="2"/>
            <w:vMerge w:val="restart"/>
            <w:shd w:val="clear" w:color="auto" w:fill="CCE2ED"/>
          </w:tcPr>
          <w:p w14:paraId="04DB73EA" w14:textId="77777777" w:rsidR="00141B97" w:rsidRDefault="00141B97">
            <w:pPr>
              <w:pStyle w:val="TableParagraph"/>
              <w:rPr>
                <w:rFonts w:ascii="Times New Roman"/>
                <w:sz w:val="18"/>
              </w:rPr>
            </w:pPr>
          </w:p>
        </w:tc>
        <w:tc>
          <w:tcPr>
            <w:tcW w:w="5511" w:type="dxa"/>
            <w:gridSpan w:val="6"/>
            <w:tcBorders>
              <w:right w:val="nil"/>
            </w:tcBorders>
            <w:shd w:val="clear" w:color="auto" w:fill="CCE2ED"/>
          </w:tcPr>
          <w:p w14:paraId="71FA97D8" w14:textId="77777777" w:rsidR="00141B97" w:rsidRDefault="00141B97">
            <w:pPr>
              <w:pStyle w:val="TableParagraph"/>
              <w:rPr>
                <w:rFonts w:ascii="Times New Roman"/>
                <w:sz w:val="16"/>
              </w:rPr>
            </w:pPr>
          </w:p>
        </w:tc>
      </w:tr>
      <w:tr w:rsidR="00141B97" w14:paraId="2BCE8D41" w14:textId="77777777">
        <w:trPr>
          <w:trHeight w:val="240"/>
          <w:tblCellSpacing w:w="9" w:type="dxa"/>
        </w:trPr>
        <w:tc>
          <w:tcPr>
            <w:tcW w:w="2432" w:type="dxa"/>
            <w:tcBorders>
              <w:left w:val="nil"/>
            </w:tcBorders>
            <w:shd w:val="clear" w:color="auto" w:fill="CCE2ED"/>
          </w:tcPr>
          <w:p w14:paraId="5F25EB72" w14:textId="77777777" w:rsidR="00141B97" w:rsidRDefault="00911D63">
            <w:pPr>
              <w:pStyle w:val="TableParagraph"/>
              <w:spacing w:before="22"/>
              <w:ind w:left="88"/>
              <w:rPr>
                <w:i/>
                <w:sz w:val="16"/>
              </w:rPr>
            </w:pPr>
            <w:r>
              <w:rPr>
                <w:i/>
                <w:spacing w:val="-2"/>
                <w:sz w:val="16"/>
              </w:rPr>
              <w:t>Electricity</w:t>
            </w:r>
          </w:p>
        </w:tc>
        <w:tc>
          <w:tcPr>
            <w:tcW w:w="1788" w:type="dxa"/>
            <w:gridSpan w:val="2"/>
            <w:vMerge/>
            <w:tcBorders>
              <w:top w:val="nil"/>
            </w:tcBorders>
            <w:shd w:val="clear" w:color="auto" w:fill="CCE2ED"/>
          </w:tcPr>
          <w:p w14:paraId="4CC663E8" w14:textId="77777777" w:rsidR="00141B97" w:rsidRDefault="00141B97">
            <w:pPr>
              <w:rPr>
                <w:sz w:val="2"/>
                <w:szCs w:val="2"/>
              </w:rPr>
            </w:pPr>
          </w:p>
        </w:tc>
        <w:tc>
          <w:tcPr>
            <w:tcW w:w="918" w:type="dxa"/>
            <w:shd w:val="clear" w:color="auto" w:fill="CCE2ED"/>
          </w:tcPr>
          <w:p w14:paraId="71F39FE8" w14:textId="77777777" w:rsidR="00141B97" w:rsidRDefault="00911D63">
            <w:pPr>
              <w:pStyle w:val="TableParagraph"/>
              <w:spacing w:before="22"/>
              <w:ind w:right="94"/>
              <w:jc w:val="right"/>
              <w:rPr>
                <w:sz w:val="16"/>
              </w:rPr>
            </w:pPr>
            <w:r>
              <w:rPr>
                <w:i/>
                <w:spacing w:val="-2"/>
                <w:sz w:val="16"/>
              </w:rPr>
              <w:t>‐0.</w:t>
            </w:r>
            <w:r>
              <w:rPr>
                <w:spacing w:val="-2"/>
                <w:sz w:val="16"/>
              </w:rPr>
              <w:t>37</w:t>
            </w:r>
          </w:p>
        </w:tc>
        <w:tc>
          <w:tcPr>
            <w:tcW w:w="902" w:type="dxa"/>
            <w:shd w:val="clear" w:color="auto" w:fill="CCE2ED"/>
          </w:tcPr>
          <w:p w14:paraId="2A4A8550" w14:textId="77777777" w:rsidR="00141B97" w:rsidRDefault="00911D63">
            <w:pPr>
              <w:pStyle w:val="TableParagraph"/>
              <w:spacing w:before="22"/>
              <w:ind w:right="92"/>
              <w:jc w:val="right"/>
              <w:rPr>
                <w:sz w:val="16"/>
              </w:rPr>
            </w:pPr>
            <w:r>
              <w:rPr>
                <w:i/>
                <w:spacing w:val="-2"/>
                <w:sz w:val="16"/>
              </w:rPr>
              <w:t>‐0.</w:t>
            </w:r>
            <w:r>
              <w:rPr>
                <w:spacing w:val="-2"/>
                <w:sz w:val="16"/>
              </w:rPr>
              <w:t>37</w:t>
            </w:r>
          </w:p>
        </w:tc>
        <w:tc>
          <w:tcPr>
            <w:tcW w:w="903" w:type="dxa"/>
            <w:shd w:val="clear" w:color="auto" w:fill="CCE2ED"/>
          </w:tcPr>
          <w:p w14:paraId="07E9159F" w14:textId="77777777" w:rsidR="00141B97" w:rsidRDefault="00911D63">
            <w:pPr>
              <w:pStyle w:val="TableParagraph"/>
              <w:spacing w:before="22"/>
              <w:ind w:right="92"/>
              <w:jc w:val="right"/>
              <w:rPr>
                <w:sz w:val="16"/>
              </w:rPr>
            </w:pPr>
            <w:r>
              <w:rPr>
                <w:i/>
                <w:spacing w:val="-2"/>
                <w:sz w:val="16"/>
              </w:rPr>
              <w:t>‐0.</w:t>
            </w:r>
            <w:r>
              <w:rPr>
                <w:spacing w:val="-2"/>
                <w:sz w:val="16"/>
              </w:rPr>
              <w:t>29</w:t>
            </w:r>
          </w:p>
        </w:tc>
        <w:tc>
          <w:tcPr>
            <w:tcW w:w="902" w:type="dxa"/>
            <w:shd w:val="clear" w:color="auto" w:fill="CCE2ED"/>
          </w:tcPr>
          <w:p w14:paraId="13EF3A26" w14:textId="77777777" w:rsidR="00141B97" w:rsidRDefault="00911D63">
            <w:pPr>
              <w:pStyle w:val="TableParagraph"/>
              <w:spacing w:before="22"/>
              <w:ind w:right="89"/>
              <w:jc w:val="right"/>
              <w:rPr>
                <w:sz w:val="16"/>
              </w:rPr>
            </w:pPr>
            <w:r>
              <w:rPr>
                <w:i/>
                <w:spacing w:val="-2"/>
                <w:sz w:val="16"/>
              </w:rPr>
              <w:t>‐0.</w:t>
            </w:r>
            <w:r>
              <w:rPr>
                <w:spacing w:val="-2"/>
                <w:sz w:val="16"/>
              </w:rPr>
              <w:t>23</w:t>
            </w:r>
          </w:p>
        </w:tc>
        <w:tc>
          <w:tcPr>
            <w:tcW w:w="902" w:type="dxa"/>
            <w:shd w:val="clear" w:color="auto" w:fill="CCE2ED"/>
          </w:tcPr>
          <w:p w14:paraId="5B967EEC" w14:textId="77777777" w:rsidR="00141B97" w:rsidRDefault="00911D63">
            <w:pPr>
              <w:pStyle w:val="TableParagraph"/>
              <w:spacing w:before="22"/>
              <w:ind w:right="87"/>
              <w:jc w:val="right"/>
              <w:rPr>
                <w:sz w:val="16"/>
              </w:rPr>
            </w:pPr>
            <w:r>
              <w:rPr>
                <w:i/>
                <w:spacing w:val="-2"/>
                <w:sz w:val="16"/>
              </w:rPr>
              <w:t>‐0.</w:t>
            </w:r>
            <w:r>
              <w:rPr>
                <w:spacing w:val="-2"/>
                <w:sz w:val="16"/>
              </w:rPr>
              <w:t>30</w:t>
            </w:r>
          </w:p>
        </w:tc>
        <w:tc>
          <w:tcPr>
            <w:tcW w:w="984" w:type="dxa"/>
            <w:tcBorders>
              <w:right w:val="nil"/>
            </w:tcBorders>
            <w:shd w:val="clear" w:color="auto" w:fill="CCE2ED"/>
          </w:tcPr>
          <w:p w14:paraId="379009A3" w14:textId="77777777" w:rsidR="00141B97" w:rsidRDefault="00911D63">
            <w:pPr>
              <w:pStyle w:val="TableParagraph"/>
              <w:spacing w:before="22"/>
              <w:ind w:right="78"/>
              <w:jc w:val="right"/>
              <w:rPr>
                <w:sz w:val="16"/>
              </w:rPr>
            </w:pPr>
            <w:r>
              <w:rPr>
                <w:i/>
                <w:spacing w:val="-2"/>
                <w:sz w:val="16"/>
              </w:rPr>
              <w:t>‐1.</w:t>
            </w:r>
            <w:r>
              <w:rPr>
                <w:spacing w:val="-2"/>
                <w:sz w:val="16"/>
              </w:rPr>
              <w:t>56</w:t>
            </w:r>
          </w:p>
        </w:tc>
      </w:tr>
      <w:tr w:rsidR="00141B97" w14:paraId="1FF7CF1F" w14:textId="77777777">
        <w:trPr>
          <w:trHeight w:val="194"/>
          <w:tblCellSpacing w:w="9" w:type="dxa"/>
        </w:trPr>
        <w:tc>
          <w:tcPr>
            <w:tcW w:w="2432" w:type="dxa"/>
            <w:tcBorders>
              <w:left w:val="nil"/>
            </w:tcBorders>
            <w:shd w:val="clear" w:color="auto" w:fill="CCE2ED"/>
          </w:tcPr>
          <w:p w14:paraId="2E0DC4B1" w14:textId="77777777" w:rsidR="00141B97" w:rsidRDefault="00911D63">
            <w:pPr>
              <w:pStyle w:val="TableParagraph"/>
              <w:spacing w:line="175" w:lineRule="exact"/>
              <w:ind w:left="88"/>
              <w:rPr>
                <w:i/>
                <w:sz w:val="16"/>
              </w:rPr>
            </w:pPr>
            <w:r>
              <w:rPr>
                <w:i/>
                <w:spacing w:val="-2"/>
                <w:sz w:val="16"/>
              </w:rPr>
              <w:t>LGC’s</w:t>
            </w:r>
          </w:p>
        </w:tc>
        <w:tc>
          <w:tcPr>
            <w:tcW w:w="1788" w:type="dxa"/>
            <w:gridSpan w:val="2"/>
            <w:vMerge/>
            <w:tcBorders>
              <w:top w:val="nil"/>
            </w:tcBorders>
            <w:shd w:val="clear" w:color="auto" w:fill="CCE2ED"/>
          </w:tcPr>
          <w:p w14:paraId="613F781D" w14:textId="77777777" w:rsidR="00141B97" w:rsidRDefault="00141B97">
            <w:pPr>
              <w:rPr>
                <w:sz w:val="2"/>
                <w:szCs w:val="2"/>
              </w:rPr>
            </w:pPr>
          </w:p>
        </w:tc>
        <w:tc>
          <w:tcPr>
            <w:tcW w:w="918" w:type="dxa"/>
            <w:shd w:val="clear" w:color="auto" w:fill="CCE2ED"/>
          </w:tcPr>
          <w:p w14:paraId="5AEFEB1E" w14:textId="77777777" w:rsidR="00141B97" w:rsidRDefault="00911D63">
            <w:pPr>
              <w:pStyle w:val="TableParagraph"/>
              <w:spacing w:line="175" w:lineRule="exact"/>
              <w:ind w:right="94"/>
              <w:jc w:val="right"/>
              <w:rPr>
                <w:i/>
                <w:sz w:val="16"/>
              </w:rPr>
            </w:pPr>
            <w:r>
              <w:rPr>
                <w:i/>
                <w:spacing w:val="-4"/>
                <w:sz w:val="16"/>
              </w:rPr>
              <w:t>0.00</w:t>
            </w:r>
          </w:p>
        </w:tc>
        <w:tc>
          <w:tcPr>
            <w:tcW w:w="902" w:type="dxa"/>
            <w:shd w:val="clear" w:color="auto" w:fill="CCE2ED"/>
          </w:tcPr>
          <w:p w14:paraId="411BBE08" w14:textId="77777777" w:rsidR="00141B97" w:rsidRDefault="00911D63">
            <w:pPr>
              <w:pStyle w:val="TableParagraph"/>
              <w:spacing w:line="175" w:lineRule="exact"/>
              <w:ind w:right="92"/>
              <w:jc w:val="right"/>
              <w:rPr>
                <w:i/>
                <w:sz w:val="16"/>
              </w:rPr>
            </w:pPr>
            <w:r>
              <w:rPr>
                <w:i/>
                <w:spacing w:val="-4"/>
                <w:sz w:val="16"/>
              </w:rPr>
              <w:t>0.06</w:t>
            </w:r>
          </w:p>
        </w:tc>
        <w:tc>
          <w:tcPr>
            <w:tcW w:w="903" w:type="dxa"/>
            <w:shd w:val="clear" w:color="auto" w:fill="CCE2ED"/>
          </w:tcPr>
          <w:p w14:paraId="60561478" w14:textId="77777777" w:rsidR="00141B97" w:rsidRDefault="00911D63">
            <w:pPr>
              <w:pStyle w:val="TableParagraph"/>
              <w:spacing w:line="175" w:lineRule="exact"/>
              <w:ind w:right="92"/>
              <w:jc w:val="right"/>
              <w:rPr>
                <w:i/>
                <w:sz w:val="16"/>
              </w:rPr>
            </w:pPr>
            <w:r>
              <w:rPr>
                <w:i/>
                <w:spacing w:val="-4"/>
                <w:sz w:val="16"/>
              </w:rPr>
              <w:t>0.37</w:t>
            </w:r>
          </w:p>
        </w:tc>
        <w:tc>
          <w:tcPr>
            <w:tcW w:w="902" w:type="dxa"/>
            <w:shd w:val="clear" w:color="auto" w:fill="CCE2ED"/>
          </w:tcPr>
          <w:p w14:paraId="615C1815" w14:textId="77777777" w:rsidR="00141B97" w:rsidRDefault="00911D63">
            <w:pPr>
              <w:pStyle w:val="TableParagraph"/>
              <w:spacing w:line="175" w:lineRule="exact"/>
              <w:ind w:right="89"/>
              <w:jc w:val="right"/>
              <w:rPr>
                <w:i/>
                <w:sz w:val="16"/>
              </w:rPr>
            </w:pPr>
            <w:r>
              <w:rPr>
                <w:i/>
                <w:spacing w:val="-4"/>
                <w:sz w:val="16"/>
              </w:rPr>
              <w:t>0.26</w:t>
            </w:r>
          </w:p>
        </w:tc>
        <w:tc>
          <w:tcPr>
            <w:tcW w:w="902" w:type="dxa"/>
            <w:shd w:val="clear" w:color="auto" w:fill="CCE2ED"/>
          </w:tcPr>
          <w:p w14:paraId="2514CB53" w14:textId="77777777" w:rsidR="00141B97" w:rsidRDefault="00911D63">
            <w:pPr>
              <w:pStyle w:val="TableParagraph"/>
              <w:spacing w:line="175" w:lineRule="exact"/>
              <w:ind w:right="87"/>
              <w:jc w:val="right"/>
              <w:rPr>
                <w:i/>
                <w:sz w:val="16"/>
              </w:rPr>
            </w:pPr>
            <w:r>
              <w:rPr>
                <w:i/>
                <w:spacing w:val="-4"/>
                <w:sz w:val="16"/>
              </w:rPr>
              <w:t>0.19</w:t>
            </w:r>
          </w:p>
        </w:tc>
        <w:tc>
          <w:tcPr>
            <w:tcW w:w="984" w:type="dxa"/>
            <w:tcBorders>
              <w:right w:val="nil"/>
            </w:tcBorders>
            <w:shd w:val="clear" w:color="auto" w:fill="CCE2ED"/>
          </w:tcPr>
          <w:p w14:paraId="29C905FF" w14:textId="77777777" w:rsidR="00141B97" w:rsidRDefault="00911D63">
            <w:pPr>
              <w:pStyle w:val="TableParagraph"/>
              <w:spacing w:line="175" w:lineRule="exact"/>
              <w:ind w:right="78"/>
              <w:jc w:val="right"/>
              <w:rPr>
                <w:i/>
                <w:sz w:val="16"/>
              </w:rPr>
            </w:pPr>
            <w:r>
              <w:rPr>
                <w:i/>
                <w:spacing w:val="-4"/>
                <w:sz w:val="16"/>
              </w:rPr>
              <w:t>0.88</w:t>
            </w:r>
          </w:p>
        </w:tc>
      </w:tr>
      <w:tr w:rsidR="00141B97" w14:paraId="07B115A2" w14:textId="77777777">
        <w:trPr>
          <w:trHeight w:val="195"/>
          <w:tblCellSpacing w:w="9" w:type="dxa"/>
        </w:trPr>
        <w:tc>
          <w:tcPr>
            <w:tcW w:w="2432" w:type="dxa"/>
            <w:tcBorders>
              <w:left w:val="nil"/>
            </w:tcBorders>
            <w:shd w:val="clear" w:color="auto" w:fill="CCE2ED"/>
          </w:tcPr>
          <w:p w14:paraId="00D196AE" w14:textId="77777777" w:rsidR="00141B97" w:rsidRDefault="00911D63">
            <w:pPr>
              <w:pStyle w:val="TableParagraph"/>
              <w:spacing w:before="1" w:line="175" w:lineRule="exact"/>
              <w:ind w:left="88"/>
              <w:rPr>
                <w:i/>
                <w:sz w:val="16"/>
              </w:rPr>
            </w:pPr>
            <w:r>
              <w:rPr>
                <w:i/>
                <w:sz w:val="16"/>
              </w:rPr>
              <w:t>PS6</w:t>
            </w:r>
            <w:r>
              <w:rPr>
                <w:i/>
                <w:spacing w:val="-9"/>
                <w:sz w:val="16"/>
              </w:rPr>
              <w:t xml:space="preserve"> </w:t>
            </w:r>
            <w:r>
              <w:rPr>
                <w:i/>
                <w:sz w:val="16"/>
              </w:rPr>
              <w:t>Consulting</w:t>
            </w:r>
            <w:r>
              <w:rPr>
                <w:i/>
                <w:spacing w:val="-9"/>
                <w:sz w:val="16"/>
              </w:rPr>
              <w:t xml:space="preserve"> </w:t>
            </w:r>
            <w:r>
              <w:rPr>
                <w:i/>
                <w:spacing w:val="-2"/>
                <w:sz w:val="16"/>
              </w:rPr>
              <w:t>Costs</w:t>
            </w:r>
          </w:p>
        </w:tc>
        <w:tc>
          <w:tcPr>
            <w:tcW w:w="1788" w:type="dxa"/>
            <w:gridSpan w:val="2"/>
            <w:vMerge/>
            <w:tcBorders>
              <w:top w:val="nil"/>
            </w:tcBorders>
            <w:shd w:val="clear" w:color="auto" w:fill="CCE2ED"/>
          </w:tcPr>
          <w:p w14:paraId="038E5074" w14:textId="77777777" w:rsidR="00141B97" w:rsidRDefault="00141B97">
            <w:pPr>
              <w:rPr>
                <w:sz w:val="2"/>
                <w:szCs w:val="2"/>
              </w:rPr>
            </w:pPr>
          </w:p>
        </w:tc>
        <w:tc>
          <w:tcPr>
            <w:tcW w:w="918" w:type="dxa"/>
            <w:shd w:val="clear" w:color="auto" w:fill="CCE2ED"/>
          </w:tcPr>
          <w:p w14:paraId="05B1314F" w14:textId="77777777" w:rsidR="00141B97" w:rsidRDefault="00911D63">
            <w:pPr>
              <w:pStyle w:val="TableParagraph"/>
              <w:spacing w:before="1" w:line="175" w:lineRule="exact"/>
              <w:ind w:right="94"/>
              <w:jc w:val="right"/>
              <w:rPr>
                <w:i/>
                <w:sz w:val="16"/>
              </w:rPr>
            </w:pPr>
            <w:r>
              <w:rPr>
                <w:i/>
                <w:spacing w:val="-4"/>
                <w:sz w:val="16"/>
              </w:rPr>
              <w:t>0.00</w:t>
            </w:r>
          </w:p>
        </w:tc>
        <w:tc>
          <w:tcPr>
            <w:tcW w:w="902" w:type="dxa"/>
            <w:shd w:val="clear" w:color="auto" w:fill="CCE2ED"/>
          </w:tcPr>
          <w:p w14:paraId="79BD6764" w14:textId="77777777" w:rsidR="00141B97" w:rsidRDefault="00911D63">
            <w:pPr>
              <w:pStyle w:val="TableParagraph"/>
              <w:spacing w:before="1" w:line="175" w:lineRule="exact"/>
              <w:ind w:right="92"/>
              <w:jc w:val="right"/>
              <w:rPr>
                <w:i/>
                <w:sz w:val="16"/>
              </w:rPr>
            </w:pPr>
            <w:r>
              <w:rPr>
                <w:i/>
                <w:spacing w:val="-4"/>
                <w:sz w:val="16"/>
              </w:rPr>
              <w:t>0.00</w:t>
            </w:r>
          </w:p>
        </w:tc>
        <w:tc>
          <w:tcPr>
            <w:tcW w:w="903" w:type="dxa"/>
            <w:shd w:val="clear" w:color="auto" w:fill="CCE2ED"/>
          </w:tcPr>
          <w:p w14:paraId="72345107" w14:textId="77777777" w:rsidR="00141B97" w:rsidRDefault="00911D63">
            <w:pPr>
              <w:pStyle w:val="TableParagraph"/>
              <w:spacing w:before="1" w:line="175" w:lineRule="exact"/>
              <w:ind w:right="92"/>
              <w:jc w:val="right"/>
              <w:rPr>
                <w:i/>
                <w:sz w:val="16"/>
              </w:rPr>
            </w:pPr>
            <w:r>
              <w:rPr>
                <w:i/>
                <w:spacing w:val="-4"/>
                <w:sz w:val="16"/>
              </w:rPr>
              <w:t>0.00</w:t>
            </w:r>
          </w:p>
        </w:tc>
        <w:tc>
          <w:tcPr>
            <w:tcW w:w="902" w:type="dxa"/>
            <w:shd w:val="clear" w:color="auto" w:fill="CCE2ED"/>
          </w:tcPr>
          <w:p w14:paraId="5C155EEB" w14:textId="77777777" w:rsidR="00141B97" w:rsidRDefault="00911D63">
            <w:pPr>
              <w:pStyle w:val="TableParagraph"/>
              <w:spacing w:before="1" w:line="175" w:lineRule="exact"/>
              <w:ind w:right="89"/>
              <w:jc w:val="right"/>
              <w:rPr>
                <w:i/>
                <w:sz w:val="16"/>
              </w:rPr>
            </w:pPr>
            <w:r>
              <w:rPr>
                <w:i/>
                <w:spacing w:val="-4"/>
                <w:sz w:val="16"/>
              </w:rPr>
              <w:t>0.17</w:t>
            </w:r>
          </w:p>
        </w:tc>
        <w:tc>
          <w:tcPr>
            <w:tcW w:w="902" w:type="dxa"/>
            <w:shd w:val="clear" w:color="auto" w:fill="CCE2ED"/>
          </w:tcPr>
          <w:p w14:paraId="3AE7546F" w14:textId="77777777" w:rsidR="00141B97" w:rsidRDefault="00911D63">
            <w:pPr>
              <w:pStyle w:val="TableParagraph"/>
              <w:spacing w:before="1" w:line="175" w:lineRule="exact"/>
              <w:ind w:right="87"/>
              <w:jc w:val="right"/>
              <w:rPr>
                <w:i/>
                <w:sz w:val="16"/>
              </w:rPr>
            </w:pPr>
            <w:r>
              <w:rPr>
                <w:i/>
                <w:spacing w:val="-4"/>
                <w:sz w:val="16"/>
              </w:rPr>
              <w:t>0.05</w:t>
            </w:r>
          </w:p>
        </w:tc>
        <w:tc>
          <w:tcPr>
            <w:tcW w:w="984" w:type="dxa"/>
            <w:tcBorders>
              <w:right w:val="nil"/>
            </w:tcBorders>
            <w:shd w:val="clear" w:color="auto" w:fill="CCE2ED"/>
          </w:tcPr>
          <w:p w14:paraId="579EF1DA" w14:textId="77777777" w:rsidR="00141B97" w:rsidRDefault="00911D63">
            <w:pPr>
              <w:pStyle w:val="TableParagraph"/>
              <w:spacing w:before="1" w:line="175" w:lineRule="exact"/>
              <w:ind w:right="78"/>
              <w:jc w:val="right"/>
              <w:rPr>
                <w:i/>
                <w:sz w:val="16"/>
              </w:rPr>
            </w:pPr>
            <w:r>
              <w:rPr>
                <w:i/>
                <w:spacing w:val="-4"/>
                <w:sz w:val="16"/>
              </w:rPr>
              <w:t>0.22</w:t>
            </w:r>
          </w:p>
        </w:tc>
      </w:tr>
      <w:tr w:rsidR="00141B97" w14:paraId="5813CE53" w14:textId="77777777">
        <w:trPr>
          <w:trHeight w:val="210"/>
          <w:tblCellSpacing w:w="9" w:type="dxa"/>
        </w:trPr>
        <w:tc>
          <w:tcPr>
            <w:tcW w:w="2432" w:type="dxa"/>
            <w:tcBorders>
              <w:left w:val="nil"/>
            </w:tcBorders>
            <w:shd w:val="clear" w:color="auto" w:fill="CCE2ED"/>
          </w:tcPr>
          <w:p w14:paraId="2F97AEBC" w14:textId="77777777" w:rsidR="00141B97" w:rsidRDefault="00911D63">
            <w:pPr>
              <w:pStyle w:val="TableParagraph"/>
              <w:spacing w:before="8" w:line="182" w:lineRule="exact"/>
              <w:ind w:left="88"/>
              <w:rPr>
                <w:sz w:val="16"/>
              </w:rPr>
            </w:pPr>
            <w:r>
              <w:rPr>
                <w:spacing w:val="-2"/>
                <w:sz w:val="16"/>
              </w:rPr>
              <w:t>Balancing</w:t>
            </w:r>
            <w:r>
              <w:rPr>
                <w:spacing w:val="6"/>
                <w:sz w:val="16"/>
              </w:rPr>
              <w:t xml:space="preserve"> </w:t>
            </w:r>
            <w:r>
              <w:rPr>
                <w:spacing w:val="-2"/>
                <w:sz w:val="16"/>
              </w:rPr>
              <w:t>variations</w:t>
            </w:r>
          </w:p>
        </w:tc>
        <w:tc>
          <w:tcPr>
            <w:tcW w:w="1788" w:type="dxa"/>
            <w:gridSpan w:val="2"/>
            <w:vMerge/>
            <w:tcBorders>
              <w:top w:val="nil"/>
            </w:tcBorders>
            <w:shd w:val="clear" w:color="auto" w:fill="CCE2ED"/>
          </w:tcPr>
          <w:p w14:paraId="691735B1" w14:textId="77777777" w:rsidR="00141B97" w:rsidRDefault="00141B97">
            <w:pPr>
              <w:rPr>
                <w:sz w:val="2"/>
                <w:szCs w:val="2"/>
              </w:rPr>
            </w:pPr>
          </w:p>
        </w:tc>
        <w:tc>
          <w:tcPr>
            <w:tcW w:w="918" w:type="dxa"/>
            <w:shd w:val="clear" w:color="auto" w:fill="CCE2ED"/>
          </w:tcPr>
          <w:p w14:paraId="3A73A782" w14:textId="77777777" w:rsidR="00141B97" w:rsidRDefault="00911D63">
            <w:pPr>
              <w:pStyle w:val="TableParagraph"/>
              <w:spacing w:before="8" w:line="182" w:lineRule="exact"/>
              <w:ind w:right="94"/>
              <w:jc w:val="right"/>
              <w:rPr>
                <w:sz w:val="16"/>
              </w:rPr>
            </w:pPr>
            <w:r>
              <w:rPr>
                <w:i/>
                <w:spacing w:val="-2"/>
                <w:sz w:val="16"/>
              </w:rPr>
              <w:t>‐0.</w:t>
            </w:r>
            <w:r>
              <w:rPr>
                <w:spacing w:val="-2"/>
                <w:sz w:val="16"/>
              </w:rPr>
              <w:t>22</w:t>
            </w:r>
          </w:p>
        </w:tc>
        <w:tc>
          <w:tcPr>
            <w:tcW w:w="902" w:type="dxa"/>
            <w:shd w:val="clear" w:color="auto" w:fill="CCE2ED"/>
          </w:tcPr>
          <w:p w14:paraId="01EE08C3" w14:textId="77777777" w:rsidR="00141B97" w:rsidRDefault="00911D63">
            <w:pPr>
              <w:pStyle w:val="TableParagraph"/>
              <w:spacing w:line="190" w:lineRule="exact"/>
              <w:ind w:right="92"/>
              <w:jc w:val="right"/>
              <w:rPr>
                <w:sz w:val="16"/>
              </w:rPr>
            </w:pPr>
            <w:r>
              <w:rPr>
                <w:i/>
                <w:spacing w:val="-2"/>
                <w:sz w:val="16"/>
              </w:rPr>
              <w:t>‐0.</w:t>
            </w:r>
            <w:r>
              <w:rPr>
                <w:spacing w:val="-2"/>
                <w:sz w:val="16"/>
              </w:rPr>
              <w:t>35</w:t>
            </w:r>
          </w:p>
        </w:tc>
        <w:tc>
          <w:tcPr>
            <w:tcW w:w="903" w:type="dxa"/>
            <w:shd w:val="clear" w:color="auto" w:fill="CCE2ED"/>
          </w:tcPr>
          <w:p w14:paraId="23D2CED9" w14:textId="77777777" w:rsidR="00141B97" w:rsidRDefault="00911D63">
            <w:pPr>
              <w:pStyle w:val="TableParagraph"/>
              <w:spacing w:line="190" w:lineRule="exact"/>
              <w:ind w:right="92"/>
              <w:jc w:val="right"/>
              <w:rPr>
                <w:sz w:val="16"/>
              </w:rPr>
            </w:pPr>
            <w:r>
              <w:rPr>
                <w:spacing w:val="-2"/>
                <w:sz w:val="16"/>
              </w:rPr>
              <w:t>‐</w:t>
            </w:r>
            <w:r>
              <w:rPr>
                <w:i/>
                <w:spacing w:val="-2"/>
                <w:sz w:val="16"/>
              </w:rPr>
              <w:t>0.</w:t>
            </w:r>
            <w:r>
              <w:rPr>
                <w:spacing w:val="-2"/>
                <w:sz w:val="16"/>
              </w:rPr>
              <w:t>24</w:t>
            </w:r>
          </w:p>
        </w:tc>
        <w:tc>
          <w:tcPr>
            <w:tcW w:w="902" w:type="dxa"/>
            <w:shd w:val="clear" w:color="auto" w:fill="CCE2ED"/>
          </w:tcPr>
          <w:p w14:paraId="6956228A" w14:textId="77777777" w:rsidR="00141B97" w:rsidRDefault="00911D63">
            <w:pPr>
              <w:pStyle w:val="TableParagraph"/>
              <w:spacing w:line="190" w:lineRule="exact"/>
              <w:ind w:right="89"/>
              <w:jc w:val="right"/>
              <w:rPr>
                <w:sz w:val="16"/>
              </w:rPr>
            </w:pPr>
            <w:r>
              <w:rPr>
                <w:spacing w:val="-2"/>
                <w:sz w:val="16"/>
              </w:rPr>
              <w:t>‐</w:t>
            </w:r>
            <w:r>
              <w:rPr>
                <w:i/>
                <w:spacing w:val="-2"/>
                <w:sz w:val="16"/>
              </w:rPr>
              <w:t>0.</w:t>
            </w:r>
            <w:r>
              <w:rPr>
                <w:spacing w:val="-2"/>
                <w:sz w:val="16"/>
              </w:rPr>
              <w:t>17</w:t>
            </w:r>
          </w:p>
        </w:tc>
        <w:tc>
          <w:tcPr>
            <w:tcW w:w="902" w:type="dxa"/>
            <w:shd w:val="clear" w:color="auto" w:fill="CCE2ED"/>
          </w:tcPr>
          <w:p w14:paraId="2877F275" w14:textId="77777777" w:rsidR="00141B97" w:rsidRDefault="00911D63">
            <w:pPr>
              <w:pStyle w:val="TableParagraph"/>
              <w:spacing w:line="190" w:lineRule="exact"/>
              <w:ind w:right="87"/>
              <w:jc w:val="right"/>
              <w:rPr>
                <w:sz w:val="16"/>
              </w:rPr>
            </w:pPr>
            <w:r>
              <w:rPr>
                <w:spacing w:val="-2"/>
                <w:sz w:val="16"/>
              </w:rPr>
              <w:t>‐</w:t>
            </w:r>
            <w:r>
              <w:rPr>
                <w:i/>
                <w:spacing w:val="-2"/>
                <w:sz w:val="16"/>
              </w:rPr>
              <w:t>0.</w:t>
            </w:r>
            <w:r>
              <w:rPr>
                <w:spacing w:val="-2"/>
                <w:sz w:val="16"/>
              </w:rPr>
              <w:t>32</w:t>
            </w:r>
          </w:p>
        </w:tc>
        <w:tc>
          <w:tcPr>
            <w:tcW w:w="984" w:type="dxa"/>
            <w:tcBorders>
              <w:right w:val="nil"/>
            </w:tcBorders>
            <w:shd w:val="clear" w:color="auto" w:fill="CCE2ED"/>
          </w:tcPr>
          <w:p w14:paraId="1C9D42AE" w14:textId="77777777" w:rsidR="00141B97" w:rsidRDefault="00911D63">
            <w:pPr>
              <w:pStyle w:val="TableParagraph"/>
              <w:spacing w:line="190" w:lineRule="exact"/>
              <w:ind w:right="78"/>
              <w:jc w:val="right"/>
              <w:rPr>
                <w:sz w:val="16"/>
              </w:rPr>
            </w:pPr>
            <w:r>
              <w:rPr>
                <w:spacing w:val="-2"/>
                <w:sz w:val="16"/>
              </w:rPr>
              <w:t>‐1.31</w:t>
            </w:r>
          </w:p>
        </w:tc>
      </w:tr>
      <w:tr w:rsidR="00141B97" w14:paraId="53A5AA24" w14:textId="77777777">
        <w:trPr>
          <w:trHeight w:val="240"/>
          <w:tblCellSpacing w:w="9" w:type="dxa"/>
        </w:trPr>
        <w:tc>
          <w:tcPr>
            <w:tcW w:w="2432" w:type="dxa"/>
            <w:tcBorders>
              <w:left w:val="nil"/>
              <w:bottom w:val="nil"/>
            </w:tcBorders>
            <w:shd w:val="clear" w:color="auto" w:fill="BFBFBF"/>
          </w:tcPr>
          <w:p w14:paraId="0ADF1A13" w14:textId="77777777" w:rsidR="00141B97" w:rsidRDefault="00911D63">
            <w:pPr>
              <w:pStyle w:val="TableParagraph"/>
              <w:spacing w:before="22"/>
              <w:ind w:left="88"/>
              <w:rPr>
                <w:sz w:val="16"/>
              </w:rPr>
            </w:pPr>
            <w:r>
              <w:rPr>
                <w:spacing w:val="-2"/>
                <w:sz w:val="16"/>
              </w:rPr>
              <w:t>Total</w:t>
            </w:r>
            <w:r>
              <w:rPr>
                <w:spacing w:val="8"/>
                <w:sz w:val="16"/>
              </w:rPr>
              <w:t xml:space="preserve"> </w:t>
            </w:r>
            <w:r>
              <w:rPr>
                <w:spacing w:val="-2"/>
                <w:sz w:val="16"/>
              </w:rPr>
              <w:t>Controllable</w:t>
            </w:r>
            <w:r>
              <w:rPr>
                <w:spacing w:val="8"/>
                <w:sz w:val="16"/>
              </w:rPr>
              <w:t xml:space="preserve"> </w:t>
            </w:r>
            <w:r>
              <w:rPr>
                <w:spacing w:val="-2"/>
                <w:sz w:val="16"/>
              </w:rPr>
              <w:t>Operating</w:t>
            </w:r>
            <w:r>
              <w:rPr>
                <w:spacing w:val="8"/>
                <w:sz w:val="16"/>
              </w:rPr>
              <w:t xml:space="preserve"> </w:t>
            </w:r>
            <w:r>
              <w:rPr>
                <w:spacing w:val="-2"/>
                <w:sz w:val="16"/>
              </w:rPr>
              <w:t>Costs</w:t>
            </w:r>
          </w:p>
        </w:tc>
        <w:tc>
          <w:tcPr>
            <w:tcW w:w="944" w:type="dxa"/>
            <w:tcBorders>
              <w:bottom w:val="nil"/>
            </w:tcBorders>
            <w:shd w:val="clear" w:color="auto" w:fill="BFBFBF"/>
          </w:tcPr>
          <w:p w14:paraId="2BF80F2A" w14:textId="77777777" w:rsidR="00141B97" w:rsidRDefault="00141B97">
            <w:pPr>
              <w:pStyle w:val="TableParagraph"/>
              <w:rPr>
                <w:rFonts w:ascii="Times New Roman"/>
                <w:sz w:val="16"/>
              </w:rPr>
            </w:pPr>
          </w:p>
        </w:tc>
        <w:tc>
          <w:tcPr>
            <w:tcW w:w="844" w:type="dxa"/>
            <w:tcBorders>
              <w:bottom w:val="nil"/>
            </w:tcBorders>
            <w:shd w:val="clear" w:color="auto" w:fill="BFBFBF"/>
          </w:tcPr>
          <w:p w14:paraId="666A83F0" w14:textId="77777777" w:rsidR="00141B97" w:rsidRDefault="00141B97">
            <w:pPr>
              <w:pStyle w:val="TableParagraph"/>
              <w:rPr>
                <w:rFonts w:ascii="Times New Roman"/>
                <w:sz w:val="16"/>
              </w:rPr>
            </w:pPr>
          </w:p>
        </w:tc>
        <w:tc>
          <w:tcPr>
            <w:tcW w:w="918" w:type="dxa"/>
            <w:tcBorders>
              <w:bottom w:val="nil"/>
            </w:tcBorders>
            <w:shd w:val="clear" w:color="auto" w:fill="BFBFBF"/>
          </w:tcPr>
          <w:p w14:paraId="1F548B8B" w14:textId="77777777" w:rsidR="00141B97" w:rsidRDefault="00911D63">
            <w:pPr>
              <w:pStyle w:val="TableParagraph"/>
              <w:spacing w:before="22"/>
              <w:ind w:right="92"/>
              <w:jc w:val="right"/>
              <w:rPr>
                <w:sz w:val="16"/>
              </w:rPr>
            </w:pPr>
            <w:r>
              <w:rPr>
                <w:spacing w:val="-2"/>
                <w:sz w:val="16"/>
              </w:rPr>
              <w:t>16.91</w:t>
            </w:r>
          </w:p>
        </w:tc>
        <w:tc>
          <w:tcPr>
            <w:tcW w:w="902" w:type="dxa"/>
            <w:tcBorders>
              <w:bottom w:val="nil"/>
            </w:tcBorders>
            <w:shd w:val="clear" w:color="auto" w:fill="BFBFBF"/>
          </w:tcPr>
          <w:p w14:paraId="097A28EB" w14:textId="77777777" w:rsidR="00141B97" w:rsidRDefault="00911D63">
            <w:pPr>
              <w:pStyle w:val="TableParagraph"/>
              <w:spacing w:before="22"/>
              <w:ind w:right="90"/>
              <w:jc w:val="right"/>
              <w:rPr>
                <w:sz w:val="16"/>
              </w:rPr>
            </w:pPr>
            <w:r>
              <w:rPr>
                <w:spacing w:val="-2"/>
                <w:sz w:val="16"/>
              </w:rPr>
              <w:t>16.86</w:t>
            </w:r>
          </w:p>
        </w:tc>
        <w:tc>
          <w:tcPr>
            <w:tcW w:w="903" w:type="dxa"/>
            <w:tcBorders>
              <w:bottom w:val="nil"/>
            </w:tcBorders>
            <w:shd w:val="clear" w:color="auto" w:fill="BFBFBF"/>
          </w:tcPr>
          <w:p w14:paraId="2E80758C" w14:textId="77777777" w:rsidR="00141B97" w:rsidRDefault="00911D63">
            <w:pPr>
              <w:pStyle w:val="TableParagraph"/>
              <w:spacing w:before="22"/>
              <w:ind w:right="90"/>
              <w:jc w:val="right"/>
              <w:rPr>
                <w:sz w:val="16"/>
              </w:rPr>
            </w:pPr>
            <w:r>
              <w:rPr>
                <w:spacing w:val="-2"/>
                <w:sz w:val="16"/>
              </w:rPr>
              <w:t>17.34</w:t>
            </w:r>
          </w:p>
        </w:tc>
        <w:tc>
          <w:tcPr>
            <w:tcW w:w="902" w:type="dxa"/>
            <w:tcBorders>
              <w:bottom w:val="nil"/>
            </w:tcBorders>
            <w:shd w:val="clear" w:color="auto" w:fill="BFBFBF"/>
          </w:tcPr>
          <w:p w14:paraId="112A3BDA" w14:textId="77777777" w:rsidR="00141B97" w:rsidRDefault="00911D63">
            <w:pPr>
              <w:pStyle w:val="TableParagraph"/>
              <w:spacing w:before="22"/>
              <w:ind w:right="87"/>
              <w:jc w:val="right"/>
              <w:rPr>
                <w:sz w:val="16"/>
              </w:rPr>
            </w:pPr>
            <w:r>
              <w:rPr>
                <w:spacing w:val="-2"/>
                <w:sz w:val="16"/>
              </w:rPr>
              <w:t>17.53</w:t>
            </w:r>
          </w:p>
        </w:tc>
        <w:tc>
          <w:tcPr>
            <w:tcW w:w="902" w:type="dxa"/>
            <w:tcBorders>
              <w:bottom w:val="nil"/>
            </w:tcBorders>
            <w:shd w:val="clear" w:color="auto" w:fill="BFBFBF"/>
          </w:tcPr>
          <w:p w14:paraId="1C46D252" w14:textId="77777777" w:rsidR="00141B97" w:rsidRDefault="00911D63">
            <w:pPr>
              <w:pStyle w:val="TableParagraph"/>
              <w:spacing w:before="22"/>
              <w:ind w:right="85"/>
              <w:jc w:val="right"/>
              <w:rPr>
                <w:sz w:val="16"/>
              </w:rPr>
            </w:pPr>
            <w:r>
              <w:rPr>
                <w:spacing w:val="-2"/>
                <w:sz w:val="16"/>
              </w:rPr>
              <w:t>17.12</w:t>
            </w:r>
          </w:p>
        </w:tc>
        <w:tc>
          <w:tcPr>
            <w:tcW w:w="984" w:type="dxa"/>
            <w:tcBorders>
              <w:bottom w:val="nil"/>
              <w:right w:val="nil"/>
            </w:tcBorders>
            <w:shd w:val="clear" w:color="auto" w:fill="BFBFBF"/>
          </w:tcPr>
          <w:p w14:paraId="63FF4923" w14:textId="77777777" w:rsidR="00141B97" w:rsidRDefault="00911D63">
            <w:pPr>
              <w:pStyle w:val="TableParagraph"/>
              <w:spacing w:before="22"/>
              <w:ind w:right="76"/>
              <w:jc w:val="right"/>
              <w:rPr>
                <w:sz w:val="16"/>
              </w:rPr>
            </w:pPr>
            <w:r>
              <w:rPr>
                <w:spacing w:val="-2"/>
                <w:sz w:val="16"/>
              </w:rPr>
              <w:t>85.76</w:t>
            </w:r>
          </w:p>
        </w:tc>
      </w:tr>
    </w:tbl>
    <w:p w14:paraId="157D0C89" w14:textId="77777777" w:rsidR="00141B97" w:rsidRDefault="00911D63">
      <w:pPr>
        <w:spacing w:before="29"/>
        <w:ind w:left="163"/>
        <w:jc w:val="both"/>
        <w:rPr>
          <w:sz w:val="16"/>
        </w:rPr>
      </w:pPr>
      <w:r>
        <w:rPr>
          <w:sz w:val="16"/>
        </w:rPr>
        <w:t>Table</w:t>
      </w:r>
      <w:r>
        <w:rPr>
          <w:spacing w:val="-7"/>
          <w:sz w:val="16"/>
        </w:rPr>
        <w:t xml:space="preserve"> </w:t>
      </w:r>
      <w:r>
        <w:rPr>
          <w:sz w:val="16"/>
        </w:rPr>
        <w:t>C20:</w:t>
      </w:r>
      <w:r>
        <w:rPr>
          <w:spacing w:val="-8"/>
          <w:sz w:val="16"/>
        </w:rPr>
        <w:t xml:space="preserve"> </w:t>
      </w:r>
      <w:r>
        <w:rPr>
          <w:sz w:val="16"/>
        </w:rPr>
        <w:t>Baseline</w:t>
      </w:r>
      <w:r>
        <w:rPr>
          <w:spacing w:val="-6"/>
          <w:sz w:val="16"/>
        </w:rPr>
        <w:t xml:space="preserve"> </w:t>
      </w:r>
      <w:r>
        <w:rPr>
          <w:sz w:val="16"/>
        </w:rPr>
        <w:t>Controllable</w:t>
      </w:r>
      <w:r>
        <w:rPr>
          <w:spacing w:val="-7"/>
          <w:sz w:val="16"/>
        </w:rPr>
        <w:t xml:space="preserve"> </w:t>
      </w:r>
      <w:r>
        <w:rPr>
          <w:sz w:val="16"/>
        </w:rPr>
        <w:t>Operating</w:t>
      </w:r>
      <w:r>
        <w:rPr>
          <w:spacing w:val="-7"/>
          <w:sz w:val="16"/>
        </w:rPr>
        <w:t xml:space="preserve"> </w:t>
      </w:r>
      <w:r>
        <w:rPr>
          <w:sz w:val="16"/>
        </w:rPr>
        <w:t>Expenditure</w:t>
      </w:r>
      <w:r>
        <w:rPr>
          <w:spacing w:val="-6"/>
          <w:sz w:val="16"/>
        </w:rPr>
        <w:t xml:space="preserve"> </w:t>
      </w:r>
      <w:r>
        <w:rPr>
          <w:sz w:val="16"/>
        </w:rPr>
        <w:t>2021‐22</w:t>
      </w:r>
      <w:r>
        <w:rPr>
          <w:spacing w:val="-7"/>
          <w:sz w:val="16"/>
        </w:rPr>
        <w:t xml:space="preserve"> </w:t>
      </w:r>
      <w:r>
        <w:rPr>
          <w:sz w:val="16"/>
        </w:rPr>
        <w:t>$m</w:t>
      </w:r>
      <w:r>
        <w:rPr>
          <w:spacing w:val="-7"/>
          <w:sz w:val="16"/>
        </w:rPr>
        <w:t xml:space="preserve"> </w:t>
      </w:r>
      <w:r>
        <w:rPr>
          <w:spacing w:val="-2"/>
          <w:sz w:val="16"/>
        </w:rPr>
        <w:t>1/1/23</w:t>
      </w:r>
    </w:p>
    <w:p w14:paraId="795694FF" w14:textId="77777777" w:rsidR="00141B97" w:rsidRDefault="00141B97">
      <w:pPr>
        <w:pStyle w:val="BodyText"/>
        <w:spacing w:before="9"/>
        <w:rPr>
          <w:sz w:val="19"/>
        </w:rPr>
      </w:pPr>
    </w:p>
    <w:p w14:paraId="099EE171" w14:textId="77777777" w:rsidR="00141B97" w:rsidRDefault="00911D63">
      <w:pPr>
        <w:pStyle w:val="ListParagraph"/>
        <w:numPr>
          <w:ilvl w:val="3"/>
          <w:numId w:val="37"/>
        </w:numPr>
        <w:tabs>
          <w:tab w:val="left" w:pos="1113"/>
        </w:tabs>
        <w:jc w:val="both"/>
        <w:rPr>
          <w:i/>
        </w:rPr>
      </w:pPr>
      <w:r>
        <w:rPr>
          <w:i/>
        </w:rPr>
        <w:t>Establishing</w:t>
      </w:r>
      <w:r>
        <w:rPr>
          <w:i/>
          <w:spacing w:val="-10"/>
        </w:rPr>
        <w:t xml:space="preserve"> </w:t>
      </w:r>
      <w:r>
        <w:rPr>
          <w:i/>
        </w:rPr>
        <w:t>the</w:t>
      </w:r>
      <w:r>
        <w:rPr>
          <w:i/>
          <w:spacing w:val="-8"/>
        </w:rPr>
        <w:t xml:space="preserve"> </w:t>
      </w:r>
      <w:r>
        <w:rPr>
          <w:i/>
        </w:rPr>
        <w:t>2021‐22</w:t>
      </w:r>
      <w:r>
        <w:rPr>
          <w:i/>
          <w:spacing w:val="-8"/>
        </w:rPr>
        <w:t xml:space="preserve"> </w:t>
      </w:r>
      <w:r>
        <w:rPr>
          <w:i/>
          <w:spacing w:val="-2"/>
        </w:rPr>
        <w:t>Baseline</w:t>
      </w:r>
    </w:p>
    <w:p w14:paraId="2F3B679F" w14:textId="77777777" w:rsidR="00141B97" w:rsidRDefault="00911D63">
      <w:pPr>
        <w:pStyle w:val="BodyText"/>
        <w:spacing w:before="60"/>
        <w:ind w:left="113" w:right="949"/>
        <w:jc w:val="both"/>
      </w:pPr>
      <w:r>
        <w:t>The 2021‐22 baseline year requires some one‐off adjustments to realign prescribed controllable operational expenditure with expected business as usual (BAU) costs. A summary of the one‐off baseline adjustments to 2021‐22 is provided below:</w:t>
      </w:r>
    </w:p>
    <w:p w14:paraId="150301C0" w14:textId="77777777" w:rsidR="00141B97" w:rsidRDefault="00141B97">
      <w:pPr>
        <w:pStyle w:val="BodyText"/>
        <w:spacing w:before="12"/>
        <w:rPr>
          <w:sz w:val="21"/>
        </w:rPr>
      </w:pPr>
    </w:p>
    <w:p w14:paraId="2F66E510" w14:textId="77777777" w:rsidR="00141B97" w:rsidRDefault="00911D63">
      <w:pPr>
        <w:pStyle w:val="ListParagraph"/>
        <w:numPr>
          <w:ilvl w:val="4"/>
          <w:numId w:val="37"/>
        </w:numPr>
        <w:tabs>
          <w:tab w:val="left" w:pos="823"/>
          <w:tab w:val="left" w:pos="824"/>
        </w:tabs>
        <w:ind w:left="823" w:right="950" w:hanging="399"/>
        <w:rPr>
          <w:rFonts w:ascii="Symbol" w:hAnsi="Symbol"/>
          <w:sz w:val="24"/>
        </w:rPr>
      </w:pPr>
      <w:r>
        <w:t>Corporate costs were the largest adjustment, reducing by $0.90m to allow for the revised Corporate Cost Allocation Framework rates proposed for PS5.</w:t>
      </w:r>
    </w:p>
    <w:p w14:paraId="196E6723" w14:textId="77777777" w:rsidR="00141B97" w:rsidRDefault="00911D63">
      <w:pPr>
        <w:pStyle w:val="ListParagraph"/>
        <w:numPr>
          <w:ilvl w:val="4"/>
          <w:numId w:val="37"/>
        </w:numPr>
        <w:tabs>
          <w:tab w:val="left" w:pos="823"/>
          <w:tab w:val="left" w:pos="824"/>
        </w:tabs>
        <w:ind w:left="823" w:right="947" w:hanging="399"/>
        <w:rPr>
          <w:rFonts w:ascii="Symbol" w:hAnsi="Symbol"/>
          <w:sz w:val="24"/>
        </w:rPr>
      </w:pPr>
      <w:r>
        <w:t>PS5 preparation and planning costs were removed, including customer consultation and engagement, financial modelling, project management and PREMO assessment review.</w:t>
      </w:r>
    </w:p>
    <w:p w14:paraId="3B7778C4" w14:textId="77777777" w:rsidR="00141B97" w:rsidRDefault="00141B97">
      <w:pPr>
        <w:rPr>
          <w:rFonts w:ascii="Symbol" w:hAnsi="Symbol"/>
          <w:sz w:val="24"/>
        </w:rPr>
        <w:sectPr w:rsidR="00141B97">
          <w:pgSz w:w="11910" w:h="16840"/>
          <w:pgMar w:top="780" w:right="40" w:bottom="780" w:left="1020" w:header="0" w:footer="586" w:gutter="0"/>
          <w:cols w:space="720"/>
        </w:sectPr>
      </w:pPr>
    </w:p>
    <w:p w14:paraId="7160C2E1" w14:textId="77777777" w:rsidR="00141B97" w:rsidRDefault="00911D63">
      <w:pPr>
        <w:pStyle w:val="ListParagraph"/>
        <w:numPr>
          <w:ilvl w:val="4"/>
          <w:numId w:val="37"/>
        </w:numPr>
        <w:tabs>
          <w:tab w:val="left" w:pos="824"/>
        </w:tabs>
        <w:spacing w:before="70"/>
        <w:ind w:left="823" w:right="947" w:hanging="399"/>
        <w:jc w:val="both"/>
        <w:rPr>
          <w:rFonts w:ascii="Symbol" w:hAnsi="Symbol"/>
          <w:sz w:val="24"/>
        </w:rPr>
      </w:pPr>
      <w:r>
        <w:lastRenderedPageBreak/>
        <w:t>Temporary pump hire costs at the Millewa Pump Station were required in 2021‐22 to assist with increased demand and provide contingency when the pump station was offline for repairs and maintenance. These costs have been removed from the baseline as the new pump station being constructed in 2022‐23 will be able to meet demand requirements.</w:t>
      </w:r>
    </w:p>
    <w:p w14:paraId="28211D1D" w14:textId="77777777" w:rsidR="00141B97" w:rsidRDefault="00911D63">
      <w:pPr>
        <w:pStyle w:val="ListParagraph"/>
        <w:numPr>
          <w:ilvl w:val="4"/>
          <w:numId w:val="37"/>
        </w:numPr>
        <w:tabs>
          <w:tab w:val="left" w:pos="824"/>
        </w:tabs>
        <w:spacing w:before="1"/>
        <w:ind w:left="823" w:right="948" w:hanging="399"/>
        <w:jc w:val="both"/>
        <w:rPr>
          <w:rFonts w:ascii="Symbol" w:hAnsi="Symbol"/>
          <w:sz w:val="24"/>
        </w:rPr>
      </w:pPr>
      <w:r>
        <w:t>Covid‐19</w:t>
      </w:r>
      <w:r>
        <w:rPr>
          <w:spacing w:val="-11"/>
        </w:rPr>
        <w:t xml:space="preserve"> </w:t>
      </w:r>
      <w:r>
        <w:t>costs,</w:t>
      </w:r>
      <w:r>
        <w:rPr>
          <w:spacing w:val="-11"/>
        </w:rPr>
        <w:t xml:space="preserve"> </w:t>
      </w:r>
      <w:r>
        <w:t>with</w:t>
      </w:r>
      <w:r>
        <w:rPr>
          <w:spacing w:val="-10"/>
        </w:rPr>
        <w:t xml:space="preserve"> </w:t>
      </w:r>
      <w:r>
        <w:t>the</w:t>
      </w:r>
      <w:r>
        <w:rPr>
          <w:spacing w:val="-12"/>
        </w:rPr>
        <w:t xml:space="preserve"> </w:t>
      </w:r>
      <w:r>
        <w:t>majority</w:t>
      </w:r>
      <w:r>
        <w:rPr>
          <w:spacing w:val="-11"/>
        </w:rPr>
        <w:t xml:space="preserve"> </w:t>
      </w:r>
      <w:r>
        <w:t>associated</w:t>
      </w:r>
      <w:r>
        <w:rPr>
          <w:spacing w:val="-12"/>
        </w:rPr>
        <w:t xml:space="preserve"> </w:t>
      </w:r>
      <w:r>
        <w:t>with</w:t>
      </w:r>
      <w:r>
        <w:rPr>
          <w:spacing w:val="-11"/>
        </w:rPr>
        <w:t xml:space="preserve"> </w:t>
      </w:r>
      <w:r>
        <w:t>labour</w:t>
      </w:r>
      <w:r>
        <w:rPr>
          <w:spacing w:val="-12"/>
        </w:rPr>
        <w:t xml:space="preserve"> </w:t>
      </w:r>
      <w:r>
        <w:t>costs</w:t>
      </w:r>
      <w:r>
        <w:rPr>
          <w:spacing w:val="-10"/>
        </w:rPr>
        <w:t xml:space="preserve"> </w:t>
      </w:r>
      <w:r>
        <w:t>including</w:t>
      </w:r>
      <w:r>
        <w:rPr>
          <w:spacing w:val="-12"/>
        </w:rPr>
        <w:t xml:space="preserve"> </w:t>
      </w:r>
      <w:r>
        <w:t>Working</w:t>
      </w:r>
      <w:r>
        <w:rPr>
          <w:spacing w:val="-11"/>
        </w:rPr>
        <w:t xml:space="preserve"> </w:t>
      </w:r>
      <w:r>
        <w:t>from</w:t>
      </w:r>
      <w:r>
        <w:rPr>
          <w:spacing w:val="-9"/>
        </w:rPr>
        <w:t xml:space="preserve"> </w:t>
      </w:r>
      <w:r>
        <w:t>Home</w:t>
      </w:r>
      <w:r>
        <w:rPr>
          <w:spacing w:val="-11"/>
        </w:rPr>
        <w:t xml:space="preserve"> </w:t>
      </w:r>
      <w:r>
        <w:t>allowances and Covid‐19 leave payments to assist with home schooling, illness, testing and vaccinations.</w:t>
      </w:r>
    </w:p>
    <w:p w14:paraId="1966A041" w14:textId="77777777" w:rsidR="00141B97" w:rsidRDefault="00911D63">
      <w:pPr>
        <w:pStyle w:val="ListParagraph"/>
        <w:numPr>
          <w:ilvl w:val="4"/>
          <w:numId w:val="37"/>
        </w:numPr>
        <w:tabs>
          <w:tab w:val="left" w:pos="824"/>
        </w:tabs>
        <w:ind w:left="823" w:right="949" w:hanging="399"/>
        <w:jc w:val="both"/>
        <w:rPr>
          <w:rFonts w:ascii="Symbol" w:hAnsi="Symbol"/>
          <w:sz w:val="24"/>
        </w:rPr>
      </w:pPr>
      <w:r>
        <w:t>Business case costs associated with the Water Efficiency Project (WEP) as these are one‐off costs and will not continue into PS5 period.</w:t>
      </w:r>
    </w:p>
    <w:p w14:paraId="111E925E" w14:textId="77777777" w:rsidR="00141B97" w:rsidRDefault="00911D63">
      <w:pPr>
        <w:pStyle w:val="ListParagraph"/>
        <w:numPr>
          <w:ilvl w:val="4"/>
          <w:numId w:val="37"/>
        </w:numPr>
        <w:tabs>
          <w:tab w:val="left" w:pos="824"/>
        </w:tabs>
        <w:ind w:left="823" w:right="947" w:hanging="399"/>
        <w:jc w:val="both"/>
        <w:rPr>
          <w:rFonts w:ascii="Symbol" w:hAnsi="Symbol"/>
          <w:sz w:val="24"/>
        </w:rPr>
      </w:pPr>
      <w:r>
        <w:t>Electricity costs have been added to the baseline due to 2021‐22 having a decreased volumetric demand, which is a key driver of electricity costs, as demand was reduced because of higher rainfall compared to prior year averages.</w:t>
      </w:r>
    </w:p>
    <w:p w14:paraId="5CE1CED4" w14:textId="77777777" w:rsidR="00141B97" w:rsidRDefault="00911D63">
      <w:pPr>
        <w:pStyle w:val="ListParagraph"/>
        <w:numPr>
          <w:ilvl w:val="4"/>
          <w:numId w:val="37"/>
        </w:numPr>
        <w:tabs>
          <w:tab w:val="left" w:pos="824"/>
        </w:tabs>
        <w:ind w:left="823" w:right="949" w:hanging="399"/>
        <w:jc w:val="both"/>
        <w:rPr>
          <w:rFonts w:ascii="Symbol" w:hAnsi="Symbol"/>
          <w:sz w:val="24"/>
        </w:rPr>
      </w:pPr>
      <w:r>
        <w:t>Training and travel costs have been added to the baseline due to 2021‐22 being affected by Covid‐19 restrictions including travel and work from home directives, as many training programs were delayed and rescheduled. These costs are forecast to increase to ensure that LMW staff remain compliant and upskilled with ever‐changing requirements in the water industry.</w:t>
      </w:r>
    </w:p>
    <w:p w14:paraId="5DC87B12" w14:textId="77777777" w:rsidR="00141B97" w:rsidRDefault="00141B97">
      <w:pPr>
        <w:pStyle w:val="BodyText"/>
        <w:spacing w:before="12"/>
        <w:rPr>
          <w:sz w:val="21"/>
        </w:rPr>
      </w:pPr>
    </w:p>
    <w:p w14:paraId="6F265C7E" w14:textId="77777777" w:rsidR="00141B97" w:rsidRDefault="00911D63">
      <w:pPr>
        <w:pStyle w:val="BodyText"/>
        <w:ind w:left="114" w:right="948" w:hanging="1"/>
        <w:jc w:val="both"/>
      </w:pPr>
      <w:r>
        <w:t>The net impact of the above adjustments to ‘normalise’ the 2021‐22 operating cost to a baseline for efficient and prudent operation, is a decrease of $1.53m of controllable operating expenditure.</w:t>
      </w:r>
    </w:p>
    <w:p w14:paraId="2DB750C0" w14:textId="77777777" w:rsidR="00141B97" w:rsidRDefault="00141B97">
      <w:pPr>
        <w:pStyle w:val="BodyText"/>
        <w:spacing w:before="8"/>
        <w:rPr>
          <w:sz w:val="19"/>
        </w:rPr>
      </w:pPr>
    </w:p>
    <w:p w14:paraId="6CA19CB4" w14:textId="77777777" w:rsidR="00141B97" w:rsidRDefault="00911D63">
      <w:pPr>
        <w:pStyle w:val="ListParagraph"/>
        <w:numPr>
          <w:ilvl w:val="3"/>
          <w:numId w:val="37"/>
        </w:numPr>
        <w:tabs>
          <w:tab w:val="left" w:pos="1113"/>
        </w:tabs>
        <w:ind w:hanging="1000"/>
        <w:jc w:val="both"/>
        <w:rPr>
          <w:i/>
        </w:rPr>
      </w:pPr>
      <w:r>
        <w:rPr>
          <w:i/>
        </w:rPr>
        <w:t>Variation</w:t>
      </w:r>
      <w:r>
        <w:rPr>
          <w:i/>
          <w:spacing w:val="-7"/>
        </w:rPr>
        <w:t xml:space="preserve"> </w:t>
      </w:r>
      <w:r>
        <w:rPr>
          <w:i/>
        </w:rPr>
        <w:t>to</w:t>
      </w:r>
      <w:r>
        <w:rPr>
          <w:i/>
          <w:spacing w:val="-7"/>
        </w:rPr>
        <w:t xml:space="preserve"> </w:t>
      </w:r>
      <w:r>
        <w:rPr>
          <w:i/>
        </w:rPr>
        <w:t>Baseline</w:t>
      </w:r>
      <w:r>
        <w:rPr>
          <w:i/>
          <w:spacing w:val="-6"/>
        </w:rPr>
        <w:t xml:space="preserve"> </w:t>
      </w:r>
      <w:r>
        <w:rPr>
          <w:i/>
        </w:rPr>
        <w:t>Costs</w:t>
      </w:r>
      <w:r>
        <w:rPr>
          <w:i/>
          <w:spacing w:val="-6"/>
        </w:rPr>
        <w:t xml:space="preserve"> </w:t>
      </w:r>
      <w:r>
        <w:rPr>
          <w:i/>
        </w:rPr>
        <w:t>for</w:t>
      </w:r>
      <w:r>
        <w:rPr>
          <w:i/>
          <w:spacing w:val="-7"/>
        </w:rPr>
        <w:t xml:space="preserve"> </w:t>
      </w:r>
      <w:r>
        <w:rPr>
          <w:i/>
          <w:spacing w:val="-5"/>
        </w:rPr>
        <w:t>PS5</w:t>
      </w:r>
    </w:p>
    <w:p w14:paraId="0F05A61F" w14:textId="77777777" w:rsidR="00141B97" w:rsidRDefault="00911D63">
      <w:pPr>
        <w:pStyle w:val="BodyText"/>
        <w:spacing w:before="61" w:line="259" w:lineRule="auto"/>
        <w:ind w:left="114" w:right="949" w:hanging="1"/>
        <w:jc w:val="both"/>
      </w:pPr>
      <w:r>
        <w:t>Throughout the PS5 period, there are several variations to baseline expenditure forecast to occur with key movements related to electricity, LGC purchases and Price Submission 2028‐33 (PS6) preparation costs:</w:t>
      </w:r>
    </w:p>
    <w:p w14:paraId="66C2A922" w14:textId="77777777" w:rsidR="00141B97" w:rsidRDefault="00911D63">
      <w:pPr>
        <w:pStyle w:val="ListParagraph"/>
        <w:numPr>
          <w:ilvl w:val="4"/>
          <w:numId w:val="37"/>
        </w:numPr>
        <w:tabs>
          <w:tab w:val="left" w:pos="834"/>
        </w:tabs>
        <w:spacing w:line="259" w:lineRule="auto"/>
        <w:ind w:left="834" w:right="948" w:hanging="361"/>
        <w:jc w:val="both"/>
        <w:rPr>
          <w:rFonts w:ascii="Symbol" w:hAnsi="Symbol"/>
        </w:rPr>
      </w:pPr>
      <w:r>
        <w:t>Electricity costs are forecast to decrease due to stabilisation of prices compared to PS4 period as discussed above.</w:t>
      </w:r>
    </w:p>
    <w:p w14:paraId="54DF6E31" w14:textId="77777777" w:rsidR="00141B97" w:rsidRDefault="00911D63">
      <w:pPr>
        <w:pStyle w:val="ListParagraph"/>
        <w:numPr>
          <w:ilvl w:val="4"/>
          <w:numId w:val="37"/>
        </w:numPr>
        <w:tabs>
          <w:tab w:val="left" w:pos="835"/>
        </w:tabs>
        <w:spacing w:line="259" w:lineRule="auto"/>
        <w:ind w:right="947" w:hanging="360"/>
        <w:jc w:val="both"/>
        <w:rPr>
          <w:rFonts w:ascii="Symbol" w:hAnsi="Symbol"/>
        </w:rPr>
      </w:pPr>
      <w:r>
        <w:t>As</w:t>
      </w:r>
      <w:r>
        <w:rPr>
          <w:spacing w:val="-4"/>
        </w:rPr>
        <w:t xml:space="preserve"> </w:t>
      </w:r>
      <w:r>
        <w:t>part</w:t>
      </w:r>
      <w:r>
        <w:rPr>
          <w:spacing w:val="-3"/>
        </w:rPr>
        <w:t xml:space="preserve"> </w:t>
      </w:r>
      <w:r>
        <w:t>of</w:t>
      </w:r>
      <w:r>
        <w:rPr>
          <w:spacing w:val="-3"/>
        </w:rPr>
        <w:t xml:space="preserve"> </w:t>
      </w:r>
      <w:r>
        <w:t>the</w:t>
      </w:r>
      <w:r>
        <w:rPr>
          <w:spacing w:val="-4"/>
        </w:rPr>
        <w:t xml:space="preserve"> </w:t>
      </w:r>
      <w:r>
        <w:t>Victorian</w:t>
      </w:r>
      <w:r>
        <w:rPr>
          <w:spacing w:val="-3"/>
        </w:rPr>
        <w:t xml:space="preserve"> </w:t>
      </w:r>
      <w:r>
        <w:t>Government</w:t>
      </w:r>
      <w:r>
        <w:rPr>
          <w:spacing w:val="-2"/>
        </w:rPr>
        <w:t xml:space="preserve"> </w:t>
      </w:r>
      <w:r>
        <w:t>policy</w:t>
      </w:r>
      <w:r>
        <w:rPr>
          <w:spacing w:val="-4"/>
        </w:rPr>
        <w:t xml:space="preserve"> </w:t>
      </w:r>
      <w:r>
        <w:t>for</w:t>
      </w:r>
      <w:r>
        <w:rPr>
          <w:spacing w:val="-3"/>
        </w:rPr>
        <w:t xml:space="preserve"> </w:t>
      </w:r>
      <w:r>
        <w:t>all</w:t>
      </w:r>
      <w:r>
        <w:rPr>
          <w:spacing w:val="-4"/>
        </w:rPr>
        <w:t xml:space="preserve"> </w:t>
      </w:r>
      <w:r>
        <w:t>sectors</w:t>
      </w:r>
      <w:r>
        <w:rPr>
          <w:spacing w:val="-3"/>
        </w:rPr>
        <w:t xml:space="preserve"> </w:t>
      </w:r>
      <w:r>
        <w:t>of</w:t>
      </w:r>
      <w:r>
        <w:rPr>
          <w:spacing w:val="-3"/>
        </w:rPr>
        <w:t xml:space="preserve"> </w:t>
      </w:r>
      <w:r>
        <w:t>government</w:t>
      </w:r>
      <w:r>
        <w:rPr>
          <w:spacing w:val="-4"/>
        </w:rPr>
        <w:t xml:space="preserve"> </w:t>
      </w:r>
      <w:r>
        <w:t>to</w:t>
      </w:r>
      <w:r>
        <w:rPr>
          <w:spacing w:val="-5"/>
        </w:rPr>
        <w:t xml:space="preserve"> </w:t>
      </w:r>
      <w:r>
        <w:t>source</w:t>
      </w:r>
      <w:r>
        <w:rPr>
          <w:spacing w:val="-4"/>
        </w:rPr>
        <w:t xml:space="preserve"> </w:t>
      </w:r>
      <w:r>
        <w:t>all</w:t>
      </w:r>
      <w:r>
        <w:rPr>
          <w:spacing w:val="-2"/>
        </w:rPr>
        <w:t xml:space="preserve"> </w:t>
      </w:r>
      <w:r>
        <w:t>electricity</w:t>
      </w:r>
      <w:r>
        <w:rPr>
          <w:spacing w:val="-4"/>
        </w:rPr>
        <w:t xml:space="preserve"> </w:t>
      </w:r>
      <w:r>
        <w:t>(Scope 2 Emissions) from renewable sources or purchase offsets by 2025, LMW has budgeted to purchase offsets in the form of LGCs from the market to meet this obligation.</w:t>
      </w:r>
    </w:p>
    <w:p w14:paraId="1A933CC6" w14:textId="77777777" w:rsidR="00141B97" w:rsidRDefault="00911D63">
      <w:pPr>
        <w:pStyle w:val="ListParagraph"/>
        <w:numPr>
          <w:ilvl w:val="4"/>
          <w:numId w:val="37"/>
        </w:numPr>
        <w:tabs>
          <w:tab w:val="left" w:pos="835"/>
        </w:tabs>
        <w:spacing w:line="259" w:lineRule="auto"/>
        <w:ind w:left="834" w:right="948" w:hanging="361"/>
        <w:jc w:val="both"/>
        <w:rPr>
          <w:rFonts w:ascii="Symbol" w:hAnsi="Symbol"/>
        </w:rPr>
      </w:pPr>
      <w:r>
        <w:t>PS6 preparation costs are forecast for the final two years of the PS5 period and will include activities such</w:t>
      </w:r>
      <w:r>
        <w:rPr>
          <w:spacing w:val="-3"/>
        </w:rPr>
        <w:t xml:space="preserve"> </w:t>
      </w:r>
      <w:r>
        <w:t>as</w:t>
      </w:r>
      <w:r>
        <w:rPr>
          <w:spacing w:val="-3"/>
        </w:rPr>
        <w:t xml:space="preserve"> </w:t>
      </w:r>
      <w:r>
        <w:t>customer</w:t>
      </w:r>
      <w:r>
        <w:rPr>
          <w:spacing w:val="-2"/>
        </w:rPr>
        <w:t xml:space="preserve"> </w:t>
      </w:r>
      <w:r>
        <w:t>consultation</w:t>
      </w:r>
      <w:r>
        <w:rPr>
          <w:spacing w:val="-2"/>
        </w:rPr>
        <w:t xml:space="preserve"> </w:t>
      </w:r>
      <w:r>
        <w:t>and</w:t>
      </w:r>
      <w:r>
        <w:rPr>
          <w:spacing w:val="-2"/>
        </w:rPr>
        <w:t xml:space="preserve"> </w:t>
      </w:r>
      <w:r>
        <w:t>engagement,</w:t>
      </w:r>
      <w:r>
        <w:rPr>
          <w:spacing w:val="-2"/>
        </w:rPr>
        <w:t xml:space="preserve"> </w:t>
      </w:r>
      <w:r>
        <w:t>financial</w:t>
      </w:r>
      <w:r>
        <w:rPr>
          <w:spacing w:val="-2"/>
        </w:rPr>
        <w:t xml:space="preserve"> </w:t>
      </w:r>
      <w:r>
        <w:t>modelling,</w:t>
      </w:r>
      <w:r>
        <w:rPr>
          <w:spacing w:val="-3"/>
        </w:rPr>
        <w:t xml:space="preserve"> </w:t>
      </w:r>
      <w:r>
        <w:t>project</w:t>
      </w:r>
      <w:r>
        <w:rPr>
          <w:spacing w:val="-2"/>
        </w:rPr>
        <w:t xml:space="preserve"> </w:t>
      </w:r>
      <w:r>
        <w:t>management</w:t>
      </w:r>
      <w:r>
        <w:rPr>
          <w:spacing w:val="-2"/>
        </w:rPr>
        <w:t xml:space="preserve"> </w:t>
      </w:r>
      <w:r>
        <w:t>and</w:t>
      </w:r>
      <w:r>
        <w:rPr>
          <w:spacing w:val="-3"/>
        </w:rPr>
        <w:t xml:space="preserve"> </w:t>
      </w:r>
      <w:r>
        <w:t>PREMO assessment review.</w:t>
      </w:r>
    </w:p>
    <w:p w14:paraId="1D8F2BC8" w14:textId="77777777" w:rsidR="00141B97" w:rsidRDefault="00141B97">
      <w:pPr>
        <w:pStyle w:val="BodyText"/>
        <w:spacing w:before="4"/>
        <w:rPr>
          <w:sz w:val="20"/>
        </w:rPr>
      </w:pPr>
    </w:p>
    <w:p w14:paraId="188F65CF" w14:textId="77777777" w:rsidR="00141B97" w:rsidRDefault="00911D63">
      <w:pPr>
        <w:pStyle w:val="ListParagraph"/>
        <w:numPr>
          <w:ilvl w:val="2"/>
          <w:numId w:val="37"/>
        </w:numPr>
        <w:tabs>
          <w:tab w:val="left" w:pos="1112"/>
          <w:tab w:val="left" w:pos="1113"/>
        </w:tabs>
        <w:spacing w:before="1"/>
        <w:ind w:left="1112"/>
        <w:jc w:val="both"/>
      </w:pPr>
      <w:r>
        <w:t>Productivity</w:t>
      </w:r>
      <w:r>
        <w:rPr>
          <w:spacing w:val="-10"/>
        </w:rPr>
        <w:t xml:space="preserve"> </w:t>
      </w:r>
      <w:r>
        <w:t>Improvements</w:t>
      </w:r>
      <w:r>
        <w:rPr>
          <w:spacing w:val="-9"/>
        </w:rPr>
        <w:t xml:space="preserve"> </w:t>
      </w:r>
      <w:r>
        <w:t>for</w:t>
      </w:r>
      <w:r>
        <w:rPr>
          <w:spacing w:val="-9"/>
        </w:rPr>
        <w:t xml:space="preserve"> </w:t>
      </w:r>
      <w:r>
        <w:t>the</w:t>
      </w:r>
      <w:r>
        <w:rPr>
          <w:spacing w:val="-10"/>
        </w:rPr>
        <w:t xml:space="preserve"> </w:t>
      </w:r>
      <w:r>
        <w:t>Forthcoming</w:t>
      </w:r>
      <w:r>
        <w:rPr>
          <w:spacing w:val="-10"/>
        </w:rPr>
        <w:t xml:space="preserve"> </w:t>
      </w:r>
      <w:r>
        <w:rPr>
          <w:spacing w:val="-2"/>
        </w:rPr>
        <w:t>Period</w:t>
      </w:r>
    </w:p>
    <w:p w14:paraId="50417AFC" w14:textId="77777777" w:rsidR="00141B97" w:rsidRDefault="00911D63">
      <w:pPr>
        <w:pStyle w:val="BodyText"/>
        <w:spacing w:before="71" w:line="249" w:lineRule="auto"/>
        <w:ind w:left="113" w:right="947"/>
        <w:jc w:val="both"/>
      </w:pPr>
      <w:r>
        <w:t>In general terms, LMW’s proposed service performance represents an incremental improvement on current service levels. Customers have advised they are highly satisfied with LMW service levels and that they wish to keep costs to a minimum. Customers have confirmed that a reliable water supply is their highest priority, followed closely by affordability.</w:t>
      </w:r>
    </w:p>
    <w:p w14:paraId="7B17E5A4" w14:textId="77777777" w:rsidR="00141B97" w:rsidRDefault="00911D63">
      <w:pPr>
        <w:pStyle w:val="BodyText"/>
        <w:spacing w:before="122" w:line="249" w:lineRule="auto"/>
        <w:ind w:left="114" w:right="948"/>
        <w:jc w:val="both"/>
      </w:pPr>
      <w:r>
        <w:t>In</w:t>
      </w:r>
      <w:r>
        <w:rPr>
          <w:spacing w:val="-2"/>
        </w:rPr>
        <w:t xml:space="preserve"> </w:t>
      </w:r>
      <w:r>
        <w:t>seeking</w:t>
      </w:r>
      <w:r>
        <w:rPr>
          <w:spacing w:val="-2"/>
        </w:rPr>
        <w:t xml:space="preserve"> </w:t>
      </w:r>
      <w:r>
        <w:t>productivity improvements, LMW</w:t>
      </w:r>
      <w:r>
        <w:rPr>
          <w:spacing w:val="-2"/>
        </w:rPr>
        <w:t xml:space="preserve"> </w:t>
      </w:r>
      <w:r>
        <w:t>has</w:t>
      </w:r>
      <w:r>
        <w:rPr>
          <w:spacing w:val="-1"/>
        </w:rPr>
        <w:t xml:space="preserve"> </w:t>
      </w:r>
      <w:r>
        <w:t>not</w:t>
      </w:r>
      <w:r>
        <w:rPr>
          <w:spacing w:val="-1"/>
        </w:rPr>
        <w:t xml:space="preserve"> </w:t>
      </w:r>
      <w:r>
        <w:t>proposed</w:t>
      </w:r>
      <w:r>
        <w:rPr>
          <w:spacing w:val="-1"/>
        </w:rPr>
        <w:t xml:space="preserve"> </w:t>
      </w:r>
      <w:r>
        <w:t>any</w:t>
      </w:r>
      <w:r>
        <w:rPr>
          <w:spacing w:val="-2"/>
        </w:rPr>
        <w:t xml:space="preserve"> </w:t>
      </w:r>
      <w:r>
        <w:t>cost</w:t>
      </w:r>
      <w:r>
        <w:rPr>
          <w:spacing w:val="-2"/>
        </w:rPr>
        <w:t xml:space="preserve"> </w:t>
      </w:r>
      <w:r>
        <w:t>savings</w:t>
      </w:r>
      <w:r>
        <w:rPr>
          <w:spacing w:val="-1"/>
        </w:rPr>
        <w:t xml:space="preserve"> </w:t>
      </w:r>
      <w:r>
        <w:t>that</w:t>
      </w:r>
      <w:r>
        <w:rPr>
          <w:spacing w:val="-1"/>
        </w:rPr>
        <w:t xml:space="preserve"> </w:t>
      </w:r>
      <w:r>
        <w:t>would</w:t>
      </w:r>
      <w:r>
        <w:rPr>
          <w:spacing w:val="-1"/>
        </w:rPr>
        <w:t xml:space="preserve"> </w:t>
      </w:r>
      <w:r>
        <w:t>reduce</w:t>
      </w:r>
      <w:r>
        <w:rPr>
          <w:spacing w:val="-3"/>
        </w:rPr>
        <w:t xml:space="preserve"> </w:t>
      </w:r>
      <w:r>
        <w:t>LMW’s level of service to its customers. LMW has, however, sought productivity improvements through an organisation restructure resulting in improved service delivery teams across the business. Delivery of BTP Horizon 1 and 2 projects will not result in forecast FTE savings in PS5 however the business will deliver outcomes to enhance two of the key customer strategy objectives: improving customer experience, and service excellence.</w:t>
      </w:r>
    </w:p>
    <w:p w14:paraId="5ED1CB73" w14:textId="77777777" w:rsidR="00141B97" w:rsidRDefault="00911D63">
      <w:pPr>
        <w:pStyle w:val="BodyText"/>
        <w:spacing w:before="124" w:line="249" w:lineRule="auto"/>
        <w:ind w:left="113" w:right="948" w:hanging="1"/>
        <w:jc w:val="both"/>
      </w:pPr>
      <w:r>
        <w:t>LMW recognises that it can streamline business processes with the use of technology and enable the information and procedural tasks to flow more efficiently throughout its workforce. Moving into</w:t>
      </w:r>
      <w:r>
        <w:rPr>
          <w:spacing w:val="-4"/>
        </w:rPr>
        <w:t xml:space="preserve"> </w:t>
      </w:r>
      <w:r>
        <w:t>PS6 post‐BTP Horizon 2</w:t>
      </w:r>
      <w:r>
        <w:rPr>
          <w:spacing w:val="-1"/>
        </w:rPr>
        <w:t xml:space="preserve"> </w:t>
      </w:r>
      <w:r>
        <w:t>after new systems</w:t>
      </w:r>
      <w:r>
        <w:rPr>
          <w:spacing w:val="-1"/>
        </w:rPr>
        <w:t xml:space="preserve"> </w:t>
      </w:r>
      <w:r>
        <w:t>and ways of working</w:t>
      </w:r>
      <w:r>
        <w:rPr>
          <w:spacing w:val="-1"/>
        </w:rPr>
        <w:t xml:space="preserve"> </w:t>
      </w:r>
      <w:r>
        <w:t>will continue to be embedded</w:t>
      </w:r>
      <w:r>
        <w:rPr>
          <w:spacing w:val="-1"/>
        </w:rPr>
        <w:t xml:space="preserve"> </w:t>
      </w:r>
      <w:r>
        <w:t>across the business,</w:t>
      </w:r>
      <w:r>
        <w:rPr>
          <w:spacing w:val="-1"/>
        </w:rPr>
        <w:t xml:space="preserve"> </w:t>
      </w:r>
      <w:r>
        <w:t>LMW</w:t>
      </w:r>
      <w:r>
        <w:rPr>
          <w:spacing w:val="-1"/>
        </w:rPr>
        <w:t xml:space="preserve"> </w:t>
      </w:r>
      <w:r>
        <w:t>has forecast a reduction in roles impacted by digitisation and automation of functions, offset by the forecast new operational roles to manage a growing service delivery customer base.</w:t>
      </w:r>
    </w:p>
    <w:p w14:paraId="3176D2D2" w14:textId="77777777" w:rsidR="00141B97" w:rsidRDefault="00911D63">
      <w:pPr>
        <w:pStyle w:val="BodyText"/>
        <w:spacing w:before="123" w:line="252" w:lineRule="auto"/>
        <w:ind w:left="113" w:right="950"/>
        <w:jc w:val="both"/>
      </w:pPr>
      <w:r>
        <w:t>Under</w:t>
      </w:r>
      <w:r>
        <w:rPr>
          <w:spacing w:val="-4"/>
        </w:rPr>
        <w:t xml:space="preserve"> </w:t>
      </w:r>
      <w:r>
        <w:t>the</w:t>
      </w:r>
      <w:r>
        <w:rPr>
          <w:spacing w:val="-5"/>
        </w:rPr>
        <w:t xml:space="preserve"> </w:t>
      </w:r>
      <w:r>
        <w:t>State</w:t>
      </w:r>
      <w:r>
        <w:rPr>
          <w:spacing w:val="-5"/>
        </w:rPr>
        <w:t xml:space="preserve"> </w:t>
      </w:r>
      <w:r>
        <w:t>Government</w:t>
      </w:r>
      <w:r>
        <w:rPr>
          <w:spacing w:val="-6"/>
        </w:rPr>
        <w:t xml:space="preserve"> </w:t>
      </w:r>
      <w:r>
        <w:t>mandate,</w:t>
      </w:r>
      <w:r>
        <w:rPr>
          <w:spacing w:val="-5"/>
        </w:rPr>
        <w:t xml:space="preserve"> </w:t>
      </w:r>
      <w:r>
        <w:t>LMW</w:t>
      </w:r>
      <w:r>
        <w:rPr>
          <w:spacing w:val="-4"/>
        </w:rPr>
        <w:t xml:space="preserve"> </w:t>
      </w:r>
      <w:r>
        <w:t>is</w:t>
      </w:r>
      <w:r>
        <w:rPr>
          <w:spacing w:val="-4"/>
        </w:rPr>
        <w:t xml:space="preserve"> </w:t>
      </w:r>
      <w:r>
        <w:t>participating</w:t>
      </w:r>
      <w:r>
        <w:rPr>
          <w:spacing w:val="-4"/>
        </w:rPr>
        <w:t xml:space="preserve"> </w:t>
      </w:r>
      <w:r>
        <w:t>in</w:t>
      </w:r>
      <w:r>
        <w:rPr>
          <w:spacing w:val="-4"/>
        </w:rPr>
        <w:t xml:space="preserve"> </w:t>
      </w:r>
      <w:r>
        <w:t>the</w:t>
      </w:r>
      <w:r>
        <w:rPr>
          <w:spacing w:val="-4"/>
        </w:rPr>
        <w:t xml:space="preserve"> </w:t>
      </w:r>
      <w:r>
        <w:t>VGPB</w:t>
      </w:r>
      <w:r>
        <w:rPr>
          <w:spacing w:val="-4"/>
        </w:rPr>
        <w:t xml:space="preserve"> </w:t>
      </w:r>
      <w:r>
        <w:t>electricity</w:t>
      </w:r>
      <w:r>
        <w:rPr>
          <w:spacing w:val="-4"/>
        </w:rPr>
        <w:t xml:space="preserve"> </w:t>
      </w:r>
      <w:r>
        <w:t>purchase</w:t>
      </w:r>
      <w:r>
        <w:rPr>
          <w:spacing w:val="-5"/>
        </w:rPr>
        <w:t xml:space="preserve"> </w:t>
      </w:r>
      <w:r>
        <w:t>contract,</w:t>
      </w:r>
      <w:r>
        <w:rPr>
          <w:spacing w:val="-4"/>
        </w:rPr>
        <w:t xml:space="preserve"> </w:t>
      </w:r>
      <w:r>
        <w:t>which</w:t>
      </w:r>
      <w:r>
        <w:rPr>
          <w:spacing w:val="-4"/>
        </w:rPr>
        <w:t xml:space="preserve"> </w:t>
      </w:r>
      <w:r>
        <w:t>is expected to deliver efficient electricity prices for the PS5 period.</w:t>
      </w:r>
    </w:p>
    <w:p w14:paraId="3682862D" w14:textId="77777777" w:rsidR="00141B97" w:rsidRDefault="00141B97">
      <w:pPr>
        <w:spacing w:line="252" w:lineRule="auto"/>
        <w:jc w:val="both"/>
        <w:sectPr w:rsidR="00141B97">
          <w:pgSz w:w="11910" w:h="16840"/>
          <w:pgMar w:top="780" w:right="40" w:bottom="780" w:left="1020" w:header="0" w:footer="586" w:gutter="0"/>
          <w:cols w:space="720"/>
        </w:sectPr>
      </w:pPr>
    </w:p>
    <w:p w14:paraId="4862358D" w14:textId="77777777" w:rsidR="00141B97" w:rsidRDefault="00911D63">
      <w:pPr>
        <w:pStyle w:val="ListParagraph"/>
        <w:numPr>
          <w:ilvl w:val="2"/>
          <w:numId w:val="37"/>
        </w:numPr>
        <w:tabs>
          <w:tab w:val="left" w:pos="1112"/>
          <w:tab w:val="left" w:pos="1113"/>
        </w:tabs>
        <w:spacing w:before="43"/>
        <w:ind w:left="1112"/>
        <w:jc w:val="both"/>
      </w:pPr>
      <w:r>
        <w:lastRenderedPageBreak/>
        <w:t>Allocation</w:t>
      </w:r>
      <w:r>
        <w:rPr>
          <w:spacing w:val="-7"/>
        </w:rPr>
        <w:t xml:space="preserve"> </w:t>
      </w:r>
      <w:r>
        <w:t>of</w:t>
      </w:r>
      <w:r>
        <w:rPr>
          <w:spacing w:val="-8"/>
        </w:rPr>
        <w:t xml:space="preserve"> </w:t>
      </w:r>
      <w:r>
        <w:t>Shared</w:t>
      </w:r>
      <w:r>
        <w:rPr>
          <w:spacing w:val="-6"/>
        </w:rPr>
        <w:t xml:space="preserve"> </w:t>
      </w:r>
      <w:r>
        <w:rPr>
          <w:spacing w:val="-4"/>
        </w:rPr>
        <w:t>Costs</w:t>
      </w:r>
    </w:p>
    <w:p w14:paraId="7AAD4DD1" w14:textId="77777777" w:rsidR="00141B97" w:rsidRDefault="00911D63">
      <w:pPr>
        <w:pStyle w:val="BodyText"/>
        <w:spacing w:before="72"/>
        <w:ind w:left="113"/>
        <w:jc w:val="both"/>
      </w:pPr>
      <w:r>
        <w:t>The</w:t>
      </w:r>
      <w:r>
        <w:rPr>
          <w:spacing w:val="-7"/>
        </w:rPr>
        <w:t xml:space="preserve"> </w:t>
      </w:r>
      <w:r>
        <w:t>corporate</w:t>
      </w:r>
      <w:r>
        <w:rPr>
          <w:spacing w:val="-7"/>
        </w:rPr>
        <w:t xml:space="preserve"> </w:t>
      </w:r>
      <w:r>
        <w:t>cost</w:t>
      </w:r>
      <w:r>
        <w:rPr>
          <w:spacing w:val="-7"/>
        </w:rPr>
        <w:t xml:space="preserve"> </w:t>
      </w:r>
      <w:r>
        <w:t>allocation</w:t>
      </w:r>
      <w:r>
        <w:rPr>
          <w:spacing w:val="-6"/>
        </w:rPr>
        <w:t xml:space="preserve"> </w:t>
      </w:r>
      <w:r>
        <w:t>between</w:t>
      </w:r>
      <w:r>
        <w:rPr>
          <w:spacing w:val="-6"/>
        </w:rPr>
        <w:t xml:space="preserve"> </w:t>
      </w:r>
      <w:r>
        <w:t>the</w:t>
      </w:r>
      <w:r>
        <w:rPr>
          <w:spacing w:val="-6"/>
        </w:rPr>
        <w:t xml:space="preserve"> </w:t>
      </w:r>
      <w:r>
        <w:t>urban</w:t>
      </w:r>
      <w:r>
        <w:rPr>
          <w:spacing w:val="-6"/>
        </w:rPr>
        <w:t xml:space="preserve"> </w:t>
      </w:r>
      <w:r>
        <w:t>and</w:t>
      </w:r>
      <w:r>
        <w:rPr>
          <w:spacing w:val="-6"/>
        </w:rPr>
        <w:t xml:space="preserve"> </w:t>
      </w:r>
      <w:r>
        <w:t>rural</w:t>
      </w:r>
      <w:r>
        <w:rPr>
          <w:spacing w:val="-6"/>
        </w:rPr>
        <w:t xml:space="preserve"> </w:t>
      </w:r>
      <w:r>
        <w:t>business</w:t>
      </w:r>
      <w:r>
        <w:rPr>
          <w:spacing w:val="-7"/>
        </w:rPr>
        <w:t xml:space="preserve"> </w:t>
      </w:r>
      <w:r>
        <w:t>is</w:t>
      </w:r>
      <w:r>
        <w:rPr>
          <w:spacing w:val="-7"/>
        </w:rPr>
        <w:t xml:space="preserve"> </w:t>
      </w:r>
      <w:r>
        <w:t>discussed</w:t>
      </w:r>
      <w:r>
        <w:rPr>
          <w:spacing w:val="-7"/>
        </w:rPr>
        <w:t xml:space="preserve"> </w:t>
      </w:r>
      <w:r>
        <w:t>in</w:t>
      </w:r>
      <w:r>
        <w:rPr>
          <w:spacing w:val="-7"/>
        </w:rPr>
        <w:t xml:space="preserve"> </w:t>
      </w:r>
      <w:r>
        <w:t>Part</w:t>
      </w:r>
      <w:r>
        <w:rPr>
          <w:spacing w:val="-7"/>
        </w:rPr>
        <w:t xml:space="preserve"> </w:t>
      </w:r>
      <w:r>
        <w:t>A,</w:t>
      </w:r>
      <w:r>
        <w:rPr>
          <w:spacing w:val="-5"/>
        </w:rPr>
        <w:t xml:space="preserve"> </w:t>
      </w:r>
      <w:r>
        <w:t>Section</w:t>
      </w:r>
      <w:r>
        <w:rPr>
          <w:spacing w:val="-8"/>
        </w:rPr>
        <w:t xml:space="preserve"> </w:t>
      </w:r>
      <w:r>
        <w:rPr>
          <w:spacing w:val="-4"/>
        </w:rPr>
        <w:t>4.5.</w:t>
      </w:r>
    </w:p>
    <w:p w14:paraId="658F44D5" w14:textId="77777777" w:rsidR="00141B97" w:rsidRDefault="00911D63">
      <w:pPr>
        <w:pStyle w:val="BodyText"/>
        <w:spacing w:before="130" w:line="252" w:lineRule="auto"/>
        <w:ind w:left="113" w:right="948"/>
        <w:jc w:val="both"/>
      </w:pPr>
      <w:r>
        <w:t>After expenditure is split between urban and rural, there is further cost allocation between rural districts in accordance with the Corporate Allocation Framework, as set out in Table C21. The Framework prescribes two expense categories and different allocation methods for district allocations based on the following:</w:t>
      </w:r>
    </w:p>
    <w:p w14:paraId="44508D99" w14:textId="77777777" w:rsidR="00141B97" w:rsidRDefault="00911D63">
      <w:pPr>
        <w:pStyle w:val="ListParagraph"/>
        <w:numPr>
          <w:ilvl w:val="0"/>
          <w:numId w:val="8"/>
        </w:numPr>
        <w:tabs>
          <w:tab w:val="left" w:pos="828"/>
        </w:tabs>
        <w:spacing w:before="102"/>
        <w:ind w:right="1132"/>
        <w:jc w:val="both"/>
        <w:rPr>
          <w:rFonts w:ascii="Symbol" w:hAnsi="Symbol"/>
        </w:rPr>
      </w:pPr>
      <w:r>
        <w:t>Corporate</w:t>
      </w:r>
      <w:r>
        <w:rPr>
          <w:spacing w:val="-2"/>
        </w:rPr>
        <w:t xml:space="preserve"> </w:t>
      </w:r>
      <w:r>
        <w:t>costs</w:t>
      </w:r>
      <w:r>
        <w:rPr>
          <w:spacing w:val="-3"/>
        </w:rPr>
        <w:t xml:space="preserve"> </w:t>
      </w:r>
      <w:r>
        <w:t>(with</w:t>
      </w:r>
      <w:r>
        <w:rPr>
          <w:spacing w:val="-2"/>
        </w:rPr>
        <w:t xml:space="preserve"> </w:t>
      </w:r>
      <w:r>
        <w:t>exception</w:t>
      </w:r>
      <w:r>
        <w:rPr>
          <w:spacing w:val="-2"/>
        </w:rPr>
        <w:t xml:space="preserve"> </w:t>
      </w:r>
      <w:r>
        <w:t>of</w:t>
      </w:r>
      <w:r>
        <w:rPr>
          <w:spacing w:val="-3"/>
        </w:rPr>
        <w:t xml:space="preserve"> </w:t>
      </w:r>
      <w:r>
        <w:t>asset</w:t>
      </w:r>
      <w:r>
        <w:rPr>
          <w:spacing w:val="-2"/>
        </w:rPr>
        <w:t xml:space="preserve"> </w:t>
      </w:r>
      <w:r>
        <w:t>planning</w:t>
      </w:r>
      <w:r>
        <w:rPr>
          <w:spacing w:val="-3"/>
        </w:rPr>
        <w:t xml:space="preserve"> </w:t>
      </w:r>
      <w:r>
        <w:t>activities)</w:t>
      </w:r>
      <w:r>
        <w:rPr>
          <w:spacing w:val="-2"/>
        </w:rPr>
        <w:t xml:space="preserve"> </w:t>
      </w:r>
      <w:r>
        <w:t>are</w:t>
      </w:r>
      <w:r>
        <w:rPr>
          <w:spacing w:val="-4"/>
        </w:rPr>
        <w:t xml:space="preserve"> </w:t>
      </w:r>
      <w:r>
        <w:t>then</w:t>
      </w:r>
      <w:r>
        <w:rPr>
          <w:spacing w:val="-3"/>
        </w:rPr>
        <w:t xml:space="preserve"> </w:t>
      </w:r>
      <w:r>
        <w:t>split</w:t>
      </w:r>
      <w:r>
        <w:rPr>
          <w:spacing w:val="-2"/>
        </w:rPr>
        <w:t xml:space="preserve"> </w:t>
      </w:r>
      <w:r>
        <w:t>based</w:t>
      </w:r>
      <w:r>
        <w:rPr>
          <w:spacing w:val="-2"/>
        </w:rPr>
        <w:t xml:space="preserve"> </w:t>
      </w:r>
      <w:r>
        <w:t>on</w:t>
      </w:r>
      <w:r>
        <w:rPr>
          <w:spacing w:val="-3"/>
        </w:rPr>
        <w:t xml:space="preserve"> </w:t>
      </w:r>
      <w:r>
        <w:t>customer</w:t>
      </w:r>
      <w:r>
        <w:rPr>
          <w:spacing w:val="-2"/>
        </w:rPr>
        <w:t xml:space="preserve"> </w:t>
      </w:r>
      <w:r>
        <w:t xml:space="preserve">service </w:t>
      </w:r>
      <w:r>
        <w:rPr>
          <w:spacing w:val="-2"/>
        </w:rPr>
        <w:t>numbers.</w:t>
      </w:r>
    </w:p>
    <w:p w14:paraId="615507D6" w14:textId="77777777" w:rsidR="00141B97" w:rsidRDefault="00911D63">
      <w:pPr>
        <w:pStyle w:val="ListParagraph"/>
        <w:numPr>
          <w:ilvl w:val="0"/>
          <w:numId w:val="8"/>
        </w:numPr>
        <w:tabs>
          <w:tab w:val="left" w:pos="828"/>
        </w:tabs>
        <w:ind w:right="1147"/>
        <w:jc w:val="both"/>
        <w:rPr>
          <w:rFonts w:ascii="Symbol" w:hAnsi="Symbol"/>
          <w:sz w:val="24"/>
        </w:rPr>
      </w:pPr>
      <w:r>
        <w:t>Asset</w:t>
      </w:r>
      <w:r>
        <w:rPr>
          <w:spacing w:val="-2"/>
        </w:rPr>
        <w:t xml:space="preserve"> </w:t>
      </w:r>
      <w:r>
        <w:t>planning</w:t>
      </w:r>
      <w:r>
        <w:rPr>
          <w:spacing w:val="-4"/>
        </w:rPr>
        <w:t xml:space="preserve"> </w:t>
      </w:r>
      <w:r>
        <w:t>(inc.</w:t>
      </w:r>
      <w:r>
        <w:rPr>
          <w:spacing w:val="-3"/>
        </w:rPr>
        <w:t xml:space="preserve"> </w:t>
      </w:r>
      <w:r>
        <w:t>Geographic</w:t>
      </w:r>
      <w:r>
        <w:rPr>
          <w:spacing w:val="-3"/>
        </w:rPr>
        <w:t xml:space="preserve"> </w:t>
      </w:r>
      <w:r>
        <w:t>Information</w:t>
      </w:r>
      <w:r>
        <w:rPr>
          <w:spacing w:val="-2"/>
        </w:rPr>
        <w:t xml:space="preserve"> </w:t>
      </w:r>
      <w:r>
        <w:t>System</w:t>
      </w:r>
      <w:r>
        <w:rPr>
          <w:spacing w:val="-2"/>
        </w:rPr>
        <w:t xml:space="preserve"> </w:t>
      </w:r>
      <w:r>
        <w:t>(GIS))</w:t>
      </w:r>
      <w:r>
        <w:rPr>
          <w:spacing w:val="-3"/>
        </w:rPr>
        <w:t xml:space="preserve"> </w:t>
      </w:r>
      <w:r>
        <w:t>activity</w:t>
      </w:r>
      <w:r>
        <w:rPr>
          <w:spacing w:val="-2"/>
        </w:rPr>
        <w:t xml:space="preserve"> </w:t>
      </w:r>
      <w:r>
        <w:t>expenditure</w:t>
      </w:r>
      <w:r>
        <w:rPr>
          <w:spacing w:val="-3"/>
        </w:rPr>
        <w:t xml:space="preserve"> </w:t>
      </w:r>
      <w:r>
        <w:t>is</w:t>
      </w:r>
      <w:r>
        <w:rPr>
          <w:spacing w:val="-3"/>
        </w:rPr>
        <w:t xml:space="preserve"> </w:t>
      </w:r>
      <w:r>
        <w:t>split</w:t>
      </w:r>
      <w:r>
        <w:rPr>
          <w:spacing w:val="-2"/>
        </w:rPr>
        <w:t xml:space="preserve"> </w:t>
      </w:r>
      <w:r>
        <w:t>based</w:t>
      </w:r>
      <w:r>
        <w:rPr>
          <w:spacing w:val="-2"/>
        </w:rPr>
        <w:t xml:space="preserve"> </w:t>
      </w:r>
      <w:r>
        <w:t>on</w:t>
      </w:r>
      <w:r>
        <w:rPr>
          <w:spacing w:val="-1"/>
        </w:rPr>
        <w:t xml:space="preserve"> </w:t>
      </w:r>
      <w:r>
        <w:t>asset replacement costs.</w:t>
      </w:r>
    </w:p>
    <w:p w14:paraId="161A941B" w14:textId="77777777" w:rsidR="00141B97" w:rsidRDefault="00141B97">
      <w:pPr>
        <w:pStyle w:val="BodyText"/>
        <w:spacing w:before="7"/>
        <w:rPr>
          <w:sz w:val="25"/>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764"/>
        <w:gridCol w:w="2917"/>
        <w:gridCol w:w="3152"/>
      </w:tblGrid>
      <w:tr w:rsidR="00141B97" w14:paraId="1A5088BB" w14:textId="77777777">
        <w:trPr>
          <w:trHeight w:val="390"/>
          <w:tblCellSpacing w:w="9" w:type="dxa"/>
        </w:trPr>
        <w:tc>
          <w:tcPr>
            <w:tcW w:w="3737" w:type="dxa"/>
            <w:tcBorders>
              <w:top w:val="nil"/>
              <w:left w:val="nil"/>
            </w:tcBorders>
            <w:shd w:val="clear" w:color="auto" w:fill="006CA3"/>
          </w:tcPr>
          <w:p w14:paraId="14B090D9" w14:textId="77777777" w:rsidR="00141B97" w:rsidRDefault="00911D63">
            <w:pPr>
              <w:pStyle w:val="TableParagraph"/>
              <w:spacing w:before="73"/>
              <w:ind w:left="701"/>
              <w:rPr>
                <w:sz w:val="20"/>
              </w:rPr>
            </w:pPr>
            <w:r>
              <w:rPr>
                <w:color w:val="FFFFFF"/>
                <w:spacing w:val="-2"/>
                <w:sz w:val="20"/>
              </w:rPr>
              <w:t>District</w:t>
            </w:r>
          </w:p>
        </w:tc>
        <w:tc>
          <w:tcPr>
            <w:tcW w:w="2899" w:type="dxa"/>
            <w:tcBorders>
              <w:top w:val="nil"/>
            </w:tcBorders>
            <w:shd w:val="clear" w:color="auto" w:fill="006CA3"/>
          </w:tcPr>
          <w:p w14:paraId="54B1A1C8" w14:textId="77777777" w:rsidR="00141B97" w:rsidRDefault="00911D63">
            <w:pPr>
              <w:pStyle w:val="TableParagraph"/>
              <w:spacing w:before="73"/>
              <w:ind w:left="700" w:right="699"/>
              <w:jc w:val="center"/>
              <w:rPr>
                <w:sz w:val="20"/>
              </w:rPr>
            </w:pPr>
            <w:r>
              <w:rPr>
                <w:color w:val="FFFFFF"/>
                <w:sz w:val="20"/>
              </w:rPr>
              <w:t>Corporate</w:t>
            </w:r>
            <w:r>
              <w:rPr>
                <w:color w:val="FFFFFF"/>
                <w:spacing w:val="-5"/>
                <w:sz w:val="20"/>
              </w:rPr>
              <w:t xml:space="preserve"> </w:t>
            </w:r>
            <w:r>
              <w:rPr>
                <w:color w:val="FFFFFF"/>
                <w:sz w:val="20"/>
              </w:rPr>
              <w:t>Costs</w:t>
            </w:r>
            <w:r>
              <w:rPr>
                <w:color w:val="FFFFFF"/>
                <w:spacing w:val="-5"/>
                <w:sz w:val="20"/>
              </w:rPr>
              <w:t xml:space="preserve"> </w:t>
            </w:r>
            <w:r>
              <w:rPr>
                <w:color w:val="FFFFFF"/>
                <w:spacing w:val="-10"/>
                <w:sz w:val="20"/>
              </w:rPr>
              <w:t>%</w:t>
            </w:r>
          </w:p>
        </w:tc>
        <w:tc>
          <w:tcPr>
            <w:tcW w:w="3125" w:type="dxa"/>
            <w:tcBorders>
              <w:top w:val="nil"/>
              <w:right w:val="nil"/>
            </w:tcBorders>
            <w:shd w:val="clear" w:color="auto" w:fill="006CA3"/>
          </w:tcPr>
          <w:p w14:paraId="3D986467" w14:textId="77777777" w:rsidR="00141B97" w:rsidRDefault="00911D63">
            <w:pPr>
              <w:pStyle w:val="TableParagraph"/>
              <w:spacing w:before="73"/>
              <w:ind w:left="870" w:right="878"/>
              <w:jc w:val="center"/>
              <w:rPr>
                <w:sz w:val="20"/>
              </w:rPr>
            </w:pPr>
            <w:r>
              <w:rPr>
                <w:color w:val="FFFFFF"/>
                <w:sz w:val="20"/>
              </w:rPr>
              <w:t>Asset</w:t>
            </w:r>
            <w:r>
              <w:rPr>
                <w:color w:val="FFFFFF"/>
                <w:spacing w:val="-4"/>
                <w:sz w:val="20"/>
              </w:rPr>
              <w:t xml:space="preserve"> </w:t>
            </w:r>
            <w:r>
              <w:rPr>
                <w:color w:val="FFFFFF"/>
                <w:sz w:val="20"/>
              </w:rPr>
              <w:t>Planning</w:t>
            </w:r>
            <w:r>
              <w:rPr>
                <w:color w:val="FFFFFF"/>
                <w:spacing w:val="-4"/>
                <w:sz w:val="20"/>
              </w:rPr>
              <w:t xml:space="preserve"> </w:t>
            </w:r>
            <w:r>
              <w:rPr>
                <w:color w:val="FFFFFF"/>
                <w:spacing w:val="-10"/>
                <w:sz w:val="20"/>
              </w:rPr>
              <w:t>%</w:t>
            </w:r>
          </w:p>
        </w:tc>
      </w:tr>
      <w:tr w:rsidR="00141B97" w14:paraId="6C83BC79" w14:textId="77777777">
        <w:trPr>
          <w:trHeight w:val="254"/>
          <w:tblCellSpacing w:w="9" w:type="dxa"/>
        </w:trPr>
        <w:tc>
          <w:tcPr>
            <w:tcW w:w="3737" w:type="dxa"/>
            <w:tcBorders>
              <w:left w:val="nil"/>
            </w:tcBorders>
            <w:shd w:val="clear" w:color="auto" w:fill="CCE2ED"/>
          </w:tcPr>
          <w:p w14:paraId="1E9A2216" w14:textId="77777777" w:rsidR="00141B97" w:rsidRDefault="00911D63">
            <w:pPr>
              <w:pStyle w:val="TableParagraph"/>
              <w:spacing w:before="10" w:line="224" w:lineRule="exact"/>
              <w:ind w:left="88"/>
              <w:rPr>
                <w:sz w:val="20"/>
              </w:rPr>
            </w:pPr>
            <w:r>
              <w:rPr>
                <w:spacing w:val="-2"/>
                <w:sz w:val="20"/>
              </w:rPr>
              <w:t>Mildura</w:t>
            </w:r>
          </w:p>
        </w:tc>
        <w:tc>
          <w:tcPr>
            <w:tcW w:w="2899" w:type="dxa"/>
            <w:shd w:val="clear" w:color="auto" w:fill="CCE2ED"/>
          </w:tcPr>
          <w:p w14:paraId="1A1A69A8" w14:textId="77777777" w:rsidR="00141B97" w:rsidRDefault="00911D63">
            <w:pPr>
              <w:pStyle w:val="TableParagraph"/>
              <w:spacing w:before="4" w:line="230" w:lineRule="exact"/>
              <w:ind w:left="700" w:right="699"/>
              <w:jc w:val="center"/>
              <w:rPr>
                <w:sz w:val="20"/>
              </w:rPr>
            </w:pPr>
            <w:r>
              <w:rPr>
                <w:spacing w:val="-2"/>
                <w:sz w:val="20"/>
              </w:rPr>
              <w:t>34.64%</w:t>
            </w:r>
          </w:p>
        </w:tc>
        <w:tc>
          <w:tcPr>
            <w:tcW w:w="3125" w:type="dxa"/>
            <w:tcBorders>
              <w:right w:val="nil"/>
            </w:tcBorders>
            <w:shd w:val="clear" w:color="auto" w:fill="CCE2ED"/>
          </w:tcPr>
          <w:p w14:paraId="02540656" w14:textId="77777777" w:rsidR="00141B97" w:rsidRDefault="00911D63">
            <w:pPr>
              <w:pStyle w:val="TableParagraph"/>
              <w:spacing w:before="4" w:line="230" w:lineRule="exact"/>
              <w:ind w:left="870" w:right="876"/>
              <w:jc w:val="center"/>
              <w:rPr>
                <w:sz w:val="20"/>
              </w:rPr>
            </w:pPr>
            <w:r>
              <w:rPr>
                <w:spacing w:val="-2"/>
                <w:sz w:val="20"/>
              </w:rPr>
              <w:t>35.24%</w:t>
            </w:r>
          </w:p>
        </w:tc>
      </w:tr>
      <w:tr w:rsidR="00141B97" w14:paraId="42A8CCA7" w14:textId="77777777">
        <w:trPr>
          <w:trHeight w:val="254"/>
          <w:tblCellSpacing w:w="9" w:type="dxa"/>
        </w:trPr>
        <w:tc>
          <w:tcPr>
            <w:tcW w:w="3737" w:type="dxa"/>
            <w:tcBorders>
              <w:left w:val="nil"/>
            </w:tcBorders>
            <w:shd w:val="clear" w:color="auto" w:fill="CCE2ED"/>
          </w:tcPr>
          <w:p w14:paraId="14E266BF" w14:textId="77777777" w:rsidR="00141B97" w:rsidRDefault="00911D63">
            <w:pPr>
              <w:pStyle w:val="TableParagraph"/>
              <w:spacing w:before="10" w:line="224" w:lineRule="exact"/>
              <w:ind w:left="88"/>
              <w:rPr>
                <w:sz w:val="20"/>
              </w:rPr>
            </w:pPr>
            <w:r>
              <w:rPr>
                <w:sz w:val="20"/>
              </w:rPr>
              <w:t>Mildura</w:t>
            </w:r>
            <w:r>
              <w:rPr>
                <w:spacing w:val="-2"/>
                <w:sz w:val="20"/>
              </w:rPr>
              <w:t xml:space="preserve"> </w:t>
            </w:r>
            <w:r>
              <w:rPr>
                <w:spacing w:val="-5"/>
                <w:sz w:val="20"/>
              </w:rPr>
              <w:t>HP</w:t>
            </w:r>
          </w:p>
        </w:tc>
        <w:tc>
          <w:tcPr>
            <w:tcW w:w="2899" w:type="dxa"/>
            <w:shd w:val="clear" w:color="auto" w:fill="CCE2ED"/>
          </w:tcPr>
          <w:p w14:paraId="4C8C7072" w14:textId="77777777" w:rsidR="00141B97" w:rsidRDefault="00911D63">
            <w:pPr>
              <w:pStyle w:val="TableParagraph"/>
              <w:spacing w:before="4" w:line="230" w:lineRule="exact"/>
              <w:ind w:left="700" w:right="699"/>
              <w:jc w:val="center"/>
              <w:rPr>
                <w:sz w:val="20"/>
              </w:rPr>
            </w:pPr>
            <w:r>
              <w:rPr>
                <w:spacing w:val="-2"/>
                <w:sz w:val="20"/>
              </w:rPr>
              <w:t>1.43%</w:t>
            </w:r>
          </w:p>
        </w:tc>
        <w:tc>
          <w:tcPr>
            <w:tcW w:w="3125" w:type="dxa"/>
            <w:tcBorders>
              <w:right w:val="nil"/>
            </w:tcBorders>
            <w:shd w:val="clear" w:color="auto" w:fill="CCE2ED"/>
          </w:tcPr>
          <w:p w14:paraId="42C2B50F" w14:textId="77777777" w:rsidR="00141B97" w:rsidRDefault="00911D63">
            <w:pPr>
              <w:pStyle w:val="TableParagraph"/>
              <w:spacing w:before="4" w:line="230" w:lineRule="exact"/>
              <w:ind w:left="870" w:right="876"/>
              <w:jc w:val="center"/>
              <w:rPr>
                <w:sz w:val="20"/>
              </w:rPr>
            </w:pPr>
            <w:r>
              <w:rPr>
                <w:spacing w:val="-2"/>
                <w:sz w:val="20"/>
              </w:rPr>
              <w:t>1.02%</w:t>
            </w:r>
          </w:p>
        </w:tc>
      </w:tr>
      <w:tr w:rsidR="00141B97" w14:paraId="23E92DF5" w14:textId="77777777">
        <w:trPr>
          <w:trHeight w:val="255"/>
          <w:tblCellSpacing w:w="9" w:type="dxa"/>
        </w:trPr>
        <w:tc>
          <w:tcPr>
            <w:tcW w:w="3737" w:type="dxa"/>
            <w:tcBorders>
              <w:left w:val="nil"/>
            </w:tcBorders>
            <w:shd w:val="clear" w:color="auto" w:fill="CCE2ED"/>
          </w:tcPr>
          <w:p w14:paraId="60BFF217" w14:textId="77777777" w:rsidR="00141B97" w:rsidRDefault="00911D63">
            <w:pPr>
              <w:pStyle w:val="TableParagraph"/>
              <w:spacing w:before="10" w:line="225" w:lineRule="exact"/>
              <w:ind w:left="88"/>
              <w:rPr>
                <w:sz w:val="20"/>
              </w:rPr>
            </w:pPr>
            <w:r>
              <w:rPr>
                <w:spacing w:val="-2"/>
                <w:sz w:val="20"/>
              </w:rPr>
              <w:t>Merbein</w:t>
            </w:r>
          </w:p>
        </w:tc>
        <w:tc>
          <w:tcPr>
            <w:tcW w:w="2899" w:type="dxa"/>
            <w:shd w:val="clear" w:color="auto" w:fill="CCE2ED"/>
          </w:tcPr>
          <w:p w14:paraId="3EB74AE0" w14:textId="77777777" w:rsidR="00141B97" w:rsidRDefault="00911D63">
            <w:pPr>
              <w:pStyle w:val="TableParagraph"/>
              <w:spacing w:before="6" w:line="230" w:lineRule="exact"/>
              <w:ind w:left="700" w:right="699"/>
              <w:jc w:val="center"/>
              <w:rPr>
                <w:sz w:val="20"/>
              </w:rPr>
            </w:pPr>
            <w:r>
              <w:rPr>
                <w:spacing w:val="-2"/>
                <w:sz w:val="20"/>
              </w:rPr>
              <w:t>14.15%</w:t>
            </w:r>
          </w:p>
        </w:tc>
        <w:tc>
          <w:tcPr>
            <w:tcW w:w="3125" w:type="dxa"/>
            <w:tcBorders>
              <w:right w:val="nil"/>
            </w:tcBorders>
            <w:shd w:val="clear" w:color="auto" w:fill="CCE2ED"/>
          </w:tcPr>
          <w:p w14:paraId="18C04A25" w14:textId="77777777" w:rsidR="00141B97" w:rsidRDefault="00911D63">
            <w:pPr>
              <w:pStyle w:val="TableParagraph"/>
              <w:spacing w:before="6" w:line="230" w:lineRule="exact"/>
              <w:ind w:left="870" w:right="876"/>
              <w:jc w:val="center"/>
              <w:rPr>
                <w:sz w:val="20"/>
              </w:rPr>
            </w:pPr>
            <w:r>
              <w:rPr>
                <w:spacing w:val="-2"/>
                <w:sz w:val="20"/>
              </w:rPr>
              <w:t>15.01%</w:t>
            </w:r>
          </w:p>
        </w:tc>
      </w:tr>
      <w:tr w:rsidR="00141B97" w14:paraId="5A191DC2" w14:textId="77777777">
        <w:trPr>
          <w:trHeight w:val="254"/>
          <w:tblCellSpacing w:w="9" w:type="dxa"/>
        </w:trPr>
        <w:tc>
          <w:tcPr>
            <w:tcW w:w="3737" w:type="dxa"/>
            <w:tcBorders>
              <w:left w:val="nil"/>
            </w:tcBorders>
            <w:shd w:val="clear" w:color="auto" w:fill="CCE2ED"/>
          </w:tcPr>
          <w:p w14:paraId="4394D28A" w14:textId="77777777" w:rsidR="00141B97" w:rsidRDefault="00911D63">
            <w:pPr>
              <w:pStyle w:val="TableParagraph"/>
              <w:spacing w:before="9" w:line="225" w:lineRule="exact"/>
              <w:ind w:left="88"/>
              <w:rPr>
                <w:sz w:val="20"/>
              </w:rPr>
            </w:pPr>
            <w:r>
              <w:rPr>
                <w:sz w:val="20"/>
              </w:rPr>
              <w:t>Red</w:t>
            </w:r>
            <w:r>
              <w:rPr>
                <w:spacing w:val="-3"/>
                <w:sz w:val="20"/>
              </w:rPr>
              <w:t xml:space="preserve"> </w:t>
            </w:r>
            <w:r>
              <w:rPr>
                <w:spacing w:val="-2"/>
                <w:sz w:val="20"/>
              </w:rPr>
              <w:t>Cliffs</w:t>
            </w:r>
          </w:p>
        </w:tc>
        <w:tc>
          <w:tcPr>
            <w:tcW w:w="2899" w:type="dxa"/>
            <w:shd w:val="clear" w:color="auto" w:fill="CCE2ED"/>
          </w:tcPr>
          <w:p w14:paraId="3F5DDD5C" w14:textId="77777777" w:rsidR="00141B97" w:rsidRDefault="00911D63">
            <w:pPr>
              <w:pStyle w:val="TableParagraph"/>
              <w:spacing w:before="4" w:line="230" w:lineRule="exact"/>
              <w:ind w:left="700" w:right="699"/>
              <w:jc w:val="center"/>
              <w:rPr>
                <w:sz w:val="20"/>
              </w:rPr>
            </w:pPr>
            <w:r>
              <w:rPr>
                <w:spacing w:val="-2"/>
                <w:sz w:val="20"/>
              </w:rPr>
              <w:t>23.35%</w:t>
            </w:r>
          </w:p>
        </w:tc>
        <w:tc>
          <w:tcPr>
            <w:tcW w:w="3125" w:type="dxa"/>
            <w:tcBorders>
              <w:right w:val="nil"/>
            </w:tcBorders>
            <w:shd w:val="clear" w:color="auto" w:fill="CCE2ED"/>
          </w:tcPr>
          <w:p w14:paraId="0F01FB7A" w14:textId="77777777" w:rsidR="00141B97" w:rsidRDefault="00911D63">
            <w:pPr>
              <w:pStyle w:val="TableParagraph"/>
              <w:spacing w:before="4" w:line="230" w:lineRule="exact"/>
              <w:ind w:left="870" w:right="876"/>
              <w:jc w:val="center"/>
              <w:rPr>
                <w:sz w:val="20"/>
              </w:rPr>
            </w:pPr>
            <w:r>
              <w:rPr>
                <w:spacing w:val="-2"/>
                <w:sz w:val="20"/>
              </w:rPr>
              <w:t>23.41%</w:t>
            </w:r>
          </w:p>
        </w:tc>
      </w:tr>
      <w:tr w:rsidR="00141B97" w14:paraId="2D45F10A" w14:textId="77777777">
        <w:trPr>
          <w:trHeight w:val="254"/>
          <w:tblCellSpacing w:w="9" w:type="dxa"/>
        </w:trPr>
        <w:tc>
          <w:tcPr>
            <w:tcW w:w="3737" w:type="dxa"/>
            <w:tcBorders>
              <w:left w:val="nil"/>
            </w:tcBorders>
            <w:shd w:val="clear" w:color="auto" w:fill="CCE2ED"/>
          </w:tcPr>
          <w:p w14:paraId="10977C4A" w14:textId="77777777" w:rsidR="00141B97" w:rsidRDefault="00911D63">
            <w:pPr>
              <w:pStyle w:val="TableParagraph"/>
              <w:spacing w:before="9" w:line="225" w:lineRule="exact"/>
              <w:ind w:left="88"/>
              <w:rPr>
                <w:sz w:val="20"/>
              </w:rPr>
            </w:pPr>
            <w:r>
              <w:rPr>
                <w:spacing w:val="-2"/>
                <w:sz w:val="20"/>
              </w:rPr>
              <w:t>Robinvale</w:t>
            </w:r>
          </w:p>
        </w:tc>
        <w:tc>
          <w:tcPr>
            <w:tcW w:w="2899" w:type="dxa"/>
            <w:shd w:val="clear" w:color="auto" w:fill="CCE2ED"/>
          </w:tcPr>
          <w:p w14:paraId="1E87CA13" w14:textId="77777777" w:rsidR="00141B97" w:rsidRDefault="00911D63">
            <w:pPr>
              <w:pStyle w:val="TableParagraph"/>
              <w:spacing w:before="4" w:line="230" w:lineRule="exact"/>
              <w:ind w:left="700" w:right="699"/>
              <w:jc w:val="center"/>
              <w:rPr>
                <w:sz w:val="20"/>
              </w:rPr>
            </w:pPr>
            <w:r>
              <w:rPr>
                <w:spacing w:val="-2"/>
                <w:sz w:val="20"/>
              </w:rPr>
              <w:t>6.30%</w:t>
            </w:r>
          </w:p>
        </w:tc>
        <w:tc>
          <w:tcPr>
            <w:tcW w:w="3125" w:type="dxa"/>
            <w:tcBorders>
              <w:right w:val="nil"/>
            </w:tcBorders>
            <w:shd w:val="clear" w:color="auto" w:fill="CCE2ED"/>
          </w:tcPr>
          <w:p w14:paraId="5A5FEE4D" w14:textId="77777777" w:rsidR="00141B97" w:rsidRDefault="00911D63">
            <w:pPr>
              <w:pStyle w:val="TableParagraph"/>
              <w:spacing w:before="4" w:line="230" w:lineRule="exact"/>
              <w:ind w:left="870" w:right="876"/>
              <w:jc w:val="center"/>
              <w:rPr>
                <w:sz w:val="20"/>
              </w:rPr>
            </w:pPr>
            <w:r>
              <w:rPr>
                <w:spacing w:val="-2"/>
                <w:sz w:val="20"/>
              </w:rPr>
              <w:t>11.53%</w:t>
            </w:r>
          </w:p>
        </w:tc>
      </w:tr>
      <w:tr w:rsidR="00141B97" w14:paraId="59C57DC5" w14:textId="77777777">
        <w:trPr>
          <w:trHeight w:val="254"/>
          <w:tblCellSpacing w:w="9" w:type="dxa"/>
        </w:trPr>
        <w:tc>
          <w:tcPr>
            <w:tcW w:w="3737" w:type="dxa"/>
            <w:tcBorders>
              <w:left w:val="nil"/>
            </w:tcBorders>
            <w:shd w:val="clear" w:color="auto" w:fill="CCE2ED"/>
          </w:tcPr>
          <w:p w14:paraId="6F3CEA24" w14:textId="77777777" w:rsidR="00141B97" w:rsidRDefault="00911D63">
            <w:pPr>
              <w:pStyle w:val="TableParagraph"/>
              <w:spacing w:before="10" w:line="224" w:lineRule="exact"/>
              <w:ind w:left="88"/>
              <w:rPr>
                <w:sz w:val="20"/>
              </w:rPr>
            </w:pPr>
            <w:r>
              <w:rPr>
                <w:spacing w:val="-5"/>
                <w:sz w:val="20"/>
              </w:rPr>
              <w:t>WWD</w:t>
            </w:r>
          </w:p>
        </w:tc>
        <w:tc>
          <w:tcPr>
            <w:tcW w:w="2899" w:type="dxa"/>
            <w:shd w:val="clear" w:color="auto" w:fill="CCE2ED"/>
          </w:tcPr>
          <w:p w14:paraId="0EEF5B4C" w14:textId="77777777" w:rsidR="00141B97" w:rsidRDefault="00911D63">
            <w:pPr>
              <w:pStyle w:val="TableParagraph"/>
              <w:spacing w:before="4" w:line="230" w:lineRule="exact"/>
              <w:ind w:left="700" w:right="699"/>
              <w:jc w:val="center"/>
              <w:rPr>
                <w:sz w:val="20"/>
              </w:rPr>
            </w:pPr>
            <w:r>
              <w:rPr>
                <w:spacing w:val="-2"/>
                <w:sz w:val="20"/>
              </w:rPr>
              <w:t>0.14%</w:t>
            </w:r>
          </w:p>
        </w:tc>
        <w:tc>
          <w:tcPr>
            <w:tcW w:w="3125" w:type="dxa"/>
            <w:tcBorders>
              <w:right w:val="nil"/>
            </w:tcBorders>
            <w:shd w:val="clear" w:color="auto" w:fill="CCE2ED"/>
          </w:tcPr>
          <w:p w14:paraId="0F8E1B99" w14:textId="77777777" w:rsidR="00141B97" w:rsidRDefault="00911D63">
            <w:pPr>
              <w:pStyle w:val="TableParagraph"/>
              <w:spacing w:before="4" w:line="230" w:lineRule="exact"/>
              <w:ind w:left="870" w:right="876"/>
              <w:jc w:val="center"/>
              <w:rPr>
                <w:sz w:val="20"/>
              </w:rPr>
            </w:pPr>
            <w:r>
              <w:rPr>
                <w:spacing w:val="-2"/>
                <w:sz w:val="20"/>
              </w:rPr>
              <w:t>0.21%</w:t>
            </w:r>
          </w:p>
        </w:tc>
      </w:tr>
      <w:tr w:rsidR="00141B97" w14:paraId="08F4C879" w14:textId="77777777">
        <w:trPr>
          <w:trHeight w:val="254"/>
          <w:tblCellSpacing w:w="9" w:type="dxa"/>
        </w:trPr>
        <w:tc>
          <w:tcPr>
            <w:tcW w:w="3737" w:type="dxa"/>
            <w:tcBorders>
              <w:left w:val="nil"/>
            </w:tcBorders>
            <w:shd w:val="clear" w:color="auto" w:fill="CCE2ED"/>
          </w:tcPr>
          <w:p w14:paraId="0876C975" w14:textId="77777777" w:rsidR="00141B97" w:rsidRDefault="00911D63">
            <w:pPr>
              <w:pStyle w:val="TableParagraph"/>
              <w:spacing w:before="10" w:line="224" w:lineRule="exact"/>
              <w:ind w:left="88"/>
              <w:rPr>
                <w:sz w:val="20"/>
              </w:rPr>
            </w:pPr>
            <w:r>
              <w:rPr>
                <w:sz w:val="20"/>
              </w:rPr>
              <w:t>Millewa</w:t>
            </w:r>
            <w:r>
              <w:rPr>
                <w:spacing w:val="-1"/>
                <w:sz w:val="20"/>
              </w:rPr>
              <w:t xml:space="preserve"> </w:t>
            </w:r>
            <w:r>
              <w:rPr>
                <w:spacing w:val="-2"/>
                <w:sz w:val="20"/>
              </w:rPr>
              <w:t>Rural</w:t>
            </w:r>
          </w:p>
        </w:tc>
        <w:tc>
          <w:tcPr>
            <w:tcW w:w="2899" w:type="dxa"/>
            <w:shd w:val="clear" w:color="auto" w:fill="CCE2ED"/>
          </w:tcPr>
          <w:p w14:paraId="501B4DA4" w14:textId="77777777" w:rsidR="00141B97" w:rsidRDefault="00911D63">
            <w:pPr>
              <w:pStyle w:val="TableParagraph"/>
              <w:spacing w:before="4" w:line="230" w:lineRule="exact"/>
              <w:ind w:left="700" w:right="699"/>
              <w:jc w:val="center"/>
              <w:rPr>
                <w:sz w:val="20"/>
              </w:rPr>
            </w:pPr>
            <w:r>
              <w:rPr>
                <w:spacing w:val="-2"/>
                <w:sz w:val="20"/>
              </w:rPr>
              <w:t>2.27%</w:t>
            </w:r>
          </w:p>
        </w:tc>
        <w:tc>
          <w:tcPr>
            <w:tcW w:w="3125" w:type="dxa"/>
            <w:tcBorders>
              <w:right w:val="nil"/>
            </w:tcBorders>
            <w:shd w:val="clear" w:color="auto" w:fill="CCE2ED"/>
          </w:tcPr>
          <w:p w14:paraId="427E7900" w14:textId="77777777" w:rsidR="00141B97" w:rsidRDefault="00911D63">
            <w:pPr>
              <w:pStyle w:val="TableParagraph"/>
              <w:spacing w:before="4" w:line="230" w:lineRule="exact"/>
              <w:ind w:left="870" w:right="876"/>
              <w:jc w:val="center"/>
              <w:rPr>
                <w:sz w:val="20"/>
              </w:rPr>
            </w:pPr>
            <w:r>
              <w:rPr>
                <w:spacing w:val="-2"/>
                <w:sz w:val="20"/>
              </w:rPr>
              <w:t>9.77%</w:t>
            </w:r>
          </w:p>
        </w:tc>
      </w:tr>
      <w:tr w:rsidR="00141B97" w14:paraId="2A622ADD" w14:textId="77777777">
        <w:trPr>
          <w:trHeight w:val="254"/>
          <w:tblCellSpacing w:w="9" w:type="dxa"/>
        </w:trPr>
        <w:tc>
          <w:tcPr>
            <w:tcW w:w="3737" w:type="dxa"/>
            <w:tcBorders>
              <w:left w:val="nil"/>
            </w:tcBorders>
            <w:shd w:val="clear" w:color="auto" w:fill="CCE2ED"/>
          </w:tcPr>
          <w:p w14:paraId="31BB8AC5" w14:textId="77777777" w:rsidR="00141B97" w:rsidRDefault="00911D63">
            <w:pPr>
              <w:pStyle w:val="TableParagraph"/>
              <w:spacing w:before="10" w:line="224" w:lineRule="exact"/>
              <w:ind w:left="88"/>
              <w:rPr>
                <w:sz w:val="20"/>
              </w:rPr>
            </w:pPr>
            <w:r>
              <w:rPr>
                <w:sz w:val="20"/>
              </w:rPr>
              <w:t>Millewa</w:t>
            </w:r>
            <w:r>
              <w:rPr>
                <w:spacing w:val="-1"/>
                <w:sz w:val="20"/>
              </w:rPr>
              <w:t xml:space="preserve"> </w:t>
            </w:r>
            <w:r>
              <w:rPr>
                <w:spacing w:val="-2"/>
                <w:sz w:val="20"/>
              </w:rPr>
              <w:t>Urban</w:t>
            </w:r>
          </w:p>
        </w:tc>
        <w:tc>
          <w:tcPr>
            <w:tcW w:w="2899" w:type="dxa"/>
            <w:shd w:val="clear" w:color="auto" w:fill="CCE2ED"/>
          </w:tcPr>
          <w:p w14:paraId="02C785FB" w14:textId="77777777" w:rsidR="00141B97" w:rsidRDefault="00911D63">
            <w:pPr>
              <w:pStyle w:val="TableParagraph"/>
              <w:spacing w:before="4" w:line="230" w:lineRule="exact"/>
              <w:ind w:left="700" w:right="699"/>
              <w:jc w:val="center"/>
              <w:rPr>
                <w:sz w:val="20"/>
              </w:rPr>
            </w:pPr>
            <w:r>
              <w:rPr>
                <w:spacing w:val="-2"/>
                <w:sz w:val="20"/>
              </w:rPr>
              <w:t>1.09%</w:t>
            </w:r>
          </w:p>
        </w:tc>
        <w:tc>
          <w:tcPr>
            <w:tcW w:w="3125" w:type="dxa"/>
            <w:tcBorders>
              <w:right w:val="nil"/>
            </w:tcBorders>
            <w:shd w:val="clear" w:color="auto" w:fill="CCE2ED"/>
          </w:tcPr>
          <w:p w14:paraId="3B6B9C91" w14:textId="77777777" w:rsidR="00141B97" w:rsidRDefault="00911D63">
            <w:pPr>
              <w:pStyle w:val="TableParagraph"/>
              <w:spacing w:before="4" w:line="230" w:lineRule="exact"/>
              <w:ind w:left="870" w:right="876"/>
              <w:jc w:val="center"/>
              <w:rPr>
                <w:sz w:val="20"/>
              </w:rPr>
            </w:pPr>
            <w:r>
              <w:rPr>
                <w:spacing w:val="-2"/>
                <w:sz w:val="20"/>
              </w:rPr>
              <w:t>0.00%</w:t>
            </w:r>
          </w:p>
        </w:tc>
      </w:tr>
      <w:tr w:rsidR="00141B97" w14:paraId="6DF12312" w14:textId="77777777">
        <w:trPr>
          <w:trHeight w:val="255"/>
          <w:tblCellSpacing w:w="9" w:type="dxa"/>
        </w:trPr>
        <w:tc>
          <w:tcPr>
            <w:tcW w:w="3737" w:type="dxa"/>
            <w:tcBorders>
              <w:left w:val="nil"/>
            </w:tcBorders>
            <w:shd w:val="clear" w:color="auto" w:fill="CCE2ED"/>
          </w:tcPr>
          <w:p w14:paraId="13133602" w14:textId="77777777" w:rsidR="00141B97" w:rsidRDefault="00911D63">
            <w:pPr>
              <w:pStyle w:val="TableParagraph"/>
              <w:spacing w:before="10" w:line="225" w:lineRule="exact"/>
              <w:ind w:left="88"/>
              <w:rPr>
                <w:sz w:val="20"/>
              </w:rPr>
            </w:pPr>
            <w:r>
              <w:rPr>
                <w:spacing w:val="-2"/>
                <w:sz w:val="20"/>
              </w:rPr>
              <w:t>Diverters</w:t>
            </w:r>
          </w:p>
        </w:tc>
        <w:tc>
          <w:tcPr>
            <w:tcW w:w="2899" w:type="dxa"/>
            <w:shd w:val="clear" w:color="auto" w:fill="CCE2ED"/>
          </w:tcPr>
          <w:p w14:paraId="630B9668" w14:textId="77777777" w:rsidR="00141B97" w:rsidRDefault="00911D63">
            <w:pPr>
              <w:pStyle w:val="TableParagraph"/>
              <w:spacing w:before="6" w:line="230" w:lineRule="exact"/>
              <w:ind w:left="700" w:right="699"/>
              <w:jc w:val="center"/>
              <w:rPr>
                <w:sz w:val="20"/>
              </w:rPr>
            </w:pPr>
            <w:r>
              <w:rPr>
                <w:spacing w:val="-2"/>
                <w:sz w:val="20"/>
              </w:rPr>
              <w:t>14.29%</w:t>
            </w:r>
          </w:p>
        </w:tc>
        <w:tc>
          <w:tcPr>
            <w:tcW w:w="3125" w:type="dxa"/>
            <w:tcBorders>
              <w:right w:val="nil"/>
            </w:tcBorders>
            <w:shd w:val="clear" w:color="auto" w:fill="CCE2ED"/>
          </w:tcPr>
          <w:p w14:paraId="4E961003" w14:textId="77777777" w:rsidR="00141B97" w:rsidRDefault="00911D63">
            <w:pPr>
              <w:pStyle w:val="TableParagraph"/>
              <w:spacing w:before="6" w:line="230" w:lineRule="exact"/>
              <w:ind w:left="870" w:right="876"/>
              <w:jc w:val="center"/>
              <w:rPr>
                <w:sz w:val="20"/>
              </w:rPr>
            </w:pPr>
            <w:r>
              <w:rPr>
                <w:spacing w:val="-2"/>
                <w:sz w:val="20"/>
              </w:rPr>
              <w:t>0.70%</w:t>
            </w:r>
          </w:p>
        </w:tc>
      </w:tr>
      <w:tr w:rsidR="00141B97" w14:paraId="6915AB42" w14:textId="77777777">
        <w:trPr>
          <w:trHeight w:val="269"/>
          <w:tblCellSpacing w:w="9" w:type="dxa"/>
        </w:trPr>
        <w:tc>
          <w:tcPr>
            <w:tcW w:w="3737" w:type="dxa"/>
            <w:tcBorders>
              <w:left w:val="nil"/>
            </w:tcBorders>
            <w:shd w:val="clear" w:color="auto" w:fill="CCE2ED"/>
          </w:tcPr>
          <w:p w14:paraId="56DB5D87" w14:textId="77777777" w:rsidR="00141B97" w:rsidRDefault="00911D63">
            <w:pPr>
              <w:pStyle w:val="TableParagraph"/>
              <w:spacing w:before="25" w:line="224" w:lineRule="exact"/>
              <w:ind w:left="88"/>
              <w:rPr>
                <w:sz w:val="20"/>
              </w:rPr>
            </w:pPr>
            <w:r>
              <w:rPr>
                <w:sz w:val="20"/>
              </w:rPr>
              <w:t>Small</w:t>
            </w:r>
            <w:r>
              <w:rPr>
                <w:spacing w:val="-1"/>
                <w:sz w:val="20"/>
              </w:rPr>
              <w:t xml:space="preserve"> </w:t>
            </w:r>
            <w:r>
              <w:rPr>
                <w:spacing w:val="-2"/>
                <w:sz w:val="20"/>
              </w:rPr>
              <w:t>Drainage</w:t>
            </w:r>
          </w:p>
        </w:tc>
        <w:tc>
          <w:tcPr>
            <w:tcW w:w="2899" w:type="dxa"/>
            <w:shd w:val="clear" w:color="auto" w:fill="CCE2ED"/>
          </w:tcPr>
          <w:p w14:paraId="389FE4C7" w14:textId="77777777" w:rsidR="00141B97" w:rsidRDefault="00911D63">
            <w:pPr>
              <w:pStyle w:val="TableParagraph"/>
              <w:spacing w:before="12" w:line="237" w:lineRule="exact"/>
              <w:ind w:left="700" w:right="699"/>
              <w:jc w:val="center"/>
              <w:rPr>
                <w:sz w:val="20"/>
              </w:rPr>
            </w:pPr>
            <w:r>
              <w:rPr>
                <w:spacing w:val="-2"/>
                <w:sz w:val="20"/>
              </w:rPr>
              <w:t>2.34%</w:t>
            </w:r>
          </w:p>
        </w:tc>
        <w:tc>
          <w:tcPr>
            <w:tcW w:w="3125" w:type="dxa"/>
            <w:tcBorders>
              <w:right w:val="nil"/>
            </w:tcBorders>
            <w:shd w:val="clear" w:color="auto" w:fill="CCE2ED"/>
          </w:tcPr>
          <w:p w14:paraId="69186CE0" w14:textId="77777777" w:rsidR="00141B97" w:rsidRDefault="00911D63">
            <w:pPr>
              <w:pStyle w:val="TableParagraph"/>
              <w:spacing w:before="12" w:line="237" w:lineRule="exact"/>
              <w:ind w:left="870" w:right="876"/>
              <w:jc w:val="center"/>
              <w:rPr>
                <w:sz w:val="20"/>
              </w:rPr>
            </w:pPr>
            <w:r>
              <w:rPr>
                <w:spacing w:val="-2"/>
                <w:sz w:val="20"/>
              </w:rPr>
              <w:t>3.11%</w:t>
            </w:r>
          </w:p>
        </w:tc>
      </w:tr>
      <w:tr w:rsidR="00141B97" w14:paraId="31994179" w14:textId="77777777">
        <w:trPr>
          <w:trHeight w:val="285"/>
          <w:tblCellSpacing w:w="9" w:type="dxa"/>
        </w:trPr>
        <w:tc>
          <w:tcPr>
            <w:tcW w:w="3737" w:type="dxa"/>
            <w:tcBorders>
              <w:left w:val="nil"/>
              <w:bottom w:val="nil"/>
            </w:tcBorders>
            <w:shd w:val="clear" w:color="auto" w:fill="BFBFBF"/>
          </w:tcPr>
          <w:p w14:paraId="7F57F3AA" w14:textId="77777777" w:rsidR="00141B97" w:rsidRDefault="00141B97">
            <w:pPr>
              <w:pStyle w:val="TableParagraph"/>
              <w:rPr>
                <w:rFonts w:ascii="Times New Roman"/>
                <w:sz w:val="20"/>
              </w:rPr>
            </w:pPr>
          </w:p>
        </w:tc>
        <w:tc>
          <w:tcPr>
            <w:tcW w:w="2899" w:type="dxa"/>
            <w:tcBorders>
              <w:bottom w:val="nil"/>
            </w:tcBorders>
            <w:shd w:val="clear" w:color="auto" w:fill="BFBFBF"/>
          </w:tcPr>
          <w:p w14:paraId="6C2BC827" w14:textId="77777777" w:rsidR="00141B97" w:rsidRDefault="00911D63">
            <w:pPr>
              <w:pStyle w:val="TableParagraph"/>
              <w:spacing w:before="20"/>
              <w:ind w:left="700" w:right="699"/>
              <w:jc w:val="center"/>
              <w:rPr>
                <w:sz w:val="20"/>
              </w:rPr>
            </w:pPr>
            <w:r>
              <w:rPr>
                <w:spacing w:val="-2"/>
                <w:sz w:val="20"/>
              </w:rPr>
              <w:t>100.00%</w:t>
            </w:r>
          </w:p>
        </w:tc>
        <w:tc>
          <w:tcPr>
            <w:tcW w:w="3125" w:type="dxa"/>
            <w:tcBorders>
              <w:bottom w:val="nil"/>
              <w:right w:val="nil"/>
            </w:tcBorders>
            <w:shd w:val="clear" w:color="auto" w:fill="BFBFBF"/>
          </w:tcPr>
          <w:p w14:paraId="66AA62B2" w14:textId="77777777" w:rsidR="00141B97" w:rsidRDefault="00911D63">
            <w:pPr>
              <w:pStyle w:val="TableParagraph"/>
              <w:spacing w:before="20"/>
              <w:ind w:left="870" w:right="875"/>
              <w:jc w:val="center"/>
              <w:rPr>
                <w:sz w:val="20"/>
              </w:rPr>
            </w:pPr>
            <w:r>
              <w:rPr>
                <w:spacing w:val="-2"/>
                <w:sz w:val="20"/>
              </w:rPr>
              <w:t>100.00%</w:t>
            </w:r>
          </w:p>
        </w:tc>
      </w:tr>
    </w:tbl>
    <w:p w14:paraId="5F718DA1" w14:textId="77777777" w:rsidR="00141B97" w:rsidRDefault="00911D63">
      <w:pPr>
        <w:spacing w:before="29"/>
        <w:ind w:left="114"/>
        <w:jc w:val="both"/>
        <w:rPr>
          <w:sz w:val="16"/>
        </w:rPr>
      </w:pPr>
      <w:r>
        <w:rPr>
          <w:sz w:val="16"/>
        </w:rPr>
        <w:t>Table</w:t>
      </w:r>
      <w:r>
        <w:rPr>
          <w:spacing w:val="-4"/>
          <w:sz w:val="16"/>
        </w:rPr>
        <w:t xml:space="preserve"> </w:t>
      </w:r>
      <w:r>
        <w:rPr>
          <w:sz w:val="16"/>
        </w:rPr>
        <w:t>C21:</w:t>
      </w:r>
      <w:r>
        <w:rPr>
          <w:spacing w:val="-4"/>
          <w:sz w:val="16"/>
        </w:rPr>
        <w:t xml:space="preserve"> </w:t>
      </w:r>
      <w:r>
        <w:rPr>
          <w:sz w:val="16"/>
        </w:rPr>
        <w:t>Allocation</w:t>
      </w:r>
      <w:r>
        <w:rPr>
          <w:spacing w:val="-5"/>
          <w:sz w:val="16"/>
        </w:rPr>
        <w:t xml:space="preserve"> </w:t>
      </w:r>
      <w:r>
        <w:rPr>
          <w:sz w:val="16"/>
        </w:rPr>
        <w:t>of</w:t>
      </w:r>
      <w:r>
        <w:rPr>
          <w:spacing w:val="-4"/>
          <w:sz w:val="16"/>
        </w:rPr>
        <w:t xml:space="preserve"> </w:t>
      </w:r>
      <w:r>
        <w:rPr>
          <w:sz w:val="16"/>
        </w:rPr>
        <w:t>Shared</w:t>
      </w:r>
      <w:r>
        <w:rPr>
          <w:spacing w:val="-6"/>
          <w:sz w:val="16"/>
        </w:rPr>
        <w:t xml:space="preserve"> </w:t>
      </w:r>
      <w:r>
        <w:rPr>
          <w:spacing w:val="-4"/>
          <w:sz w:val="16"/>
        </w:rPr>
        <w:t>Costs</w:t>
      </w:r>
    </w:p>
    <w:p w14:paraId="22534F0E" w14:textId="77777777" w:rsidR="00141B97" w:rsidRDefault="00141B97">
      <w:pPr>
        <w:pStyle w:val="BodyText"/>
        <w:spacing w:before="8"/>
        <w:rPr>
          <w:sz w:val="20"/>
        </w:rPr>
      </w:pPr>
    </w:p>
    <w:p w14:paraId="710C7F56" w14:textId="77777777" w:rsidR="00141B97" w:rsidRDefault="00911D63">
      <w:pPr>
        <w:pStyle w:val="ListParagraph"/>
        <w:numPr>
          <w:ilvl w:val="2"/>
          <w:numId w:val="37"/>
        </w:numPr>
        <w:tabs>
          <w:tab w:val="left" w:pos="1112"/>
          <w:tab w:val="left" w:pos="1113"/>
        </w:tabs>
        <w:spacing w:before="1"/>
        <w:ind w:left="1112"/>
        <w:jc w:val="both"/>
      </w:pPr>
      <w:r>
        <w:t>Potential</w:t>
      </w:r>
      <w:r>
        <w:rPr>
          <w:spacing w:val="-10"/>
        </w:rPr>
        <w:t xml:space="preserve"> </w:t>
      </w:r>
      <w:r>
        <w:t>Uncertain</w:t>
      </w:r>
      <w:r>
        <w:rPr>
          <w:spacing w:val="-8"/>
        </w:rPr>
        <w:t xml:space="preserve"> </w:t>
      </w:r>
      <w:r>
        <w:rPr>
          <w:spacing w:val="-2"/>
        </w:rPr>
        <w:t>Events</w:t>
      </w:r>
    </w:p>
    <w:p w14:paraId="077DE960" w14:textId="77777777" w:rsidR="00141B97" w:rsidRDefault="00911D63">
      <w:pPr>
        <w:pStyle w:val="BodyText"/>
        <w:spacing w:before="69" w:line="249" w:lineRule="auto"/>
        <w:ind w:left="113" w:right="947"/>
        <w:jc w:val="both"/>
      </w:pPr>
      <w:r>
        <w:t>Potential uncertain events include VMFRP and WEP as discussed in Part A, Section 4.9, noting that the VMFRP is isolated from the existing LMW business. These events may influence opex positively, but the scope, costs and efficiencies cannot be determined at this stage. In addition, the following uncertain events that could influence operating expenditure include:</w:t>
      </w:r>
    </w:p>
    <w:p w14:paraId="046EC758" w14:textId="77777777" w:rsidR="00141B97" w:rsidRDefault="00911D63">
      <w:pPr>
        <w:pStyle w:val="ListParagraph"/>
        <w:numPr>
          <w:ilvl w:val="0"/>
          <w:numId w:val="7"/>
        </w:numPr>
        <w:tabs>
          <w:tab w:val="left" w:pos="827"/>
          <w:tab w:val="left" w:pos="828"/>
        </w:tabs>
        <w:spacing w:before="112"/>
      </w:pPr>
      <w:r>
        <w:t>Unforeseen</w:t>
      </w:r>
      <w:r>
        <w:rPr>
          <w:spacing w:val="-11"/>
        </w:rPr>
        <w:t xml:space="preserve"> </w:t>
      </w:r>
      <w:r>
        <w:t>legislative</w:t>
      </w:r>
      <w:r>
        <w:rPr>
          <w:spacing w:val="-12"/>
        </w:rPr>
        <w:t xml:space="preserve"> </w:t>
      </w:r>
      <w:r>
        <w:t>compliance</w:t>
      </w:r>
      <w:r>
        <w:rPr>
          <w:spacing w:val="-11"/>
        </w:rPr>
        <w:t xml:space="preserve"> </w:t>
      </w:r>
      <w:r>
        <w:t>standards</w:t>
      </w:r>
      <w:r>
        <w:rPr>
          <w:spacing w:val="-11"/>
        </w:rPr>
        <w:t xml:space="preserve"> </w:t>
      </w:r>
      <w:r>
        <w:t>and</w:t>
      </w:r>
      <w:r>
        <w:rPr>
          <w:spacing w:val="-10"/>
        </w:rPr>
        <w:t xml:space="preserve"> </w:t>
      </w:r>
      <w:r>
        <w:t>regulations</w:t>
      </w:r>
      <w:r>
        <w:rPr>
          <w:spacing w:val="-11"/>
        </w:rPr>
        <w:t xml:space="preserve"> </w:t>
      </w:r>
      <w:r>
        <w:t>driving</w:t>
      </w:r>
      <w:r>
        <w:rPr>
          <w:spacing w:val="-11"/>
        </w:rPr>
        <w:t xml:space="preserve"> </w:t>
      </w:r>
      <w:r>
        <w:t>increases</w:t>
      </w:r>
      <w:r>
        <w:rPr>
          <w:spacing w:val="-10"/>
        </w:rPr>
        <w:t xml:space="preserve"> </w:t>
      </w:r>
      <w:r>
        <w:t>in</w:t>
      </w:r>
      <w:r>
        <w:rPr>
          <w:spacing w:val="-11"/>
        </w:rPr>
        <w:t xml:space="preserve"> </w:t>
      </w:r>
      <w:r>
        <w:t>compliance</w:t>
      </w:r>
      <w:r>
        <w:rPr>
          <w:spacing w:val="-12"/>
        </w:rPr>
        <w:t xml:space="preserve"> </w:t>
      </w:r>
      <w:r>
        <w:rPr>
          <w:spacing w:val="-2"/>
        </w:rPr>
        <w:t>costs.</w:t>
      </w:r>
    </w:p>
    <w:p w14:paraId="28E228AD" w14:textId="77777777" w:rsidR="00141B97" w:rsidRDefault="00911D63">
      <w:pPr>
        <w:pStyle w:val="ListParagraph"/>
        <w:numPr>
          <w:ilvl w:val="0"/>
          <w:numId w:val="7"/>
        </w:numPr>
        <w:tabs>
          <w:tab w:val="left" w:pos="827"/>
          <w:tab w:val="left" w:pos="828"/>
        </w:tabs>
        <w:spacing w:before="1" w:line="280" w:lineRule="exact"/>
      </w:pPr>
      <w:r>
        <w:t>Material</w:t>
      </w:r>
      <w:r>
        <w:rPr>
          <w:spacing w:val="-8"/>
        </w:rPr>
        <w:t xml:space="preserve"> </w:t>
      </w:r>
      <w:r>
        <w:t>breakdowns</w:t>
      </w:r>
      <w:r>
        <w:rPr>
          <w:spacing w:val="-7"/>
        </w:rPr>
        <w:t xml:space="preserve"> </w:t>
      </w:r>
      <w:r>
        <w:t>of</w:t>
      </w:r>
      <w:r>
        <w:rPr>
          <w:spacing w:val="-7"/>
        </w:rPr>
        <w:t xml:space="preserve"> </w:t>
      </w:r>
      <w:r>
        <w:t>major</w:t>
      </w:r>
      <w:r>
        <w:rPr>
          <w:spacing w:val="-7"/>
        </w:rPr>
        <w:t xml:space="preserve"> </w:t>
      </w:r>
      <w:r>
        <w:t>plant</w:t>
      </w:r>
      <w:r>
        <w:rPr>
          <w:spacing w:val="-8"/>
        </w:rPr>
        <w:t xml:space="preserve"> </w:t>
      </w:r>
      <w:r>
        <w:t>and</w:t>
      </w:r>
      <w:r>
        <w:rPr>
          <w:spacing w:val="-7"/>
        </w:rPr>
        <w:t xml:space="preserve"> </w:t>
      </w:r>
      <w:r>
        <w:t>pumping</w:t>
      </w:r>
      <w:r>
        <w:rPr>
          <w:spacing w:val="-7"/>
        </w:rPr>
        <w:t xml:space="preserve"> </w:t>
      </w:r>
      <w:r>
        <w:rPr>
          <w:spacing w:val="-2"/>
        </w:rPr>
        <w:t>operations.</w:t>
      </w:r>
    </w:p>
    <w:p w14:paraId="073F470C" w14:textId="77777777" w:rsidR="00141B97" w:rsidRDefault="00911D63">
      <w:pPr>
        <w:pStyle w:val="ListParagraph"/>
        <w:numPr>
          <w:ilvl w:val="0"/>
          <w:numId w:val="7"/>
        </w:numPr>
        <w:tabs>
          <w:tab w:val="left" w:pos="827"/>
          <w:tab w:val="left" w:pos="828"/>
        </w:tabs>
        <w:spacing w:line="280" w:lineRule="exact"/>
      </w:pPr>
      <w:r>
        <w:t>Fines</w:t>
      </w:r>
      <w:r>
        <w:rPr>
          <w:spacing w:val="-6"/>
        </w:rPr>
        <w:t xml:space="preserve"> </w:t>
      </w:r>
      <w:r>
        <w:t>and</w:t>
      </w:r>
      <w:r>
        <w:rPr>
          <w:spacing w:val="-6"/>
        </w:rPr>
        <w:t xml:space="preserve"> </w:t>
      </w:r>
      <w:r>
        <w:t>court</w:t>
      </w:r>
      <w:r>
        <w:rPr>
          <w:spacing w:val="-5"/>
        </w:rPr>
        <w:t xml:space="preserve"> </w:t>
      </w:r>
      <w:r>
        <w:rPr>
          <w:spacing w:val="-2"/>
        </w:rPr>
        <w:t>prosecutions.</w:t>
      </w:r>
    </w:p>
    <w:p w14:paraId="219554CE" w14:textId="77777777" w:rsidR="00141B97" w:rsidRDefault="00911D63">
      <w:pPr>
        <w:pStyle w:val="ListParagraph"/>
        <w:numPr>
          <w:ilvl w:val="0"/>
          <w:numId w:val="7"/>
        </w:numPr>
        <w:tabs>
          <w:tab w:val="left" w:pos="827"/>
          <w:tab w:val="left" w:pos="828"/>
        </w:tabs>
        <w:spacing w:line="280" w:lineRule="exact"/>
      </w:pPr>
      <w:r>
        <w:t>Escalation</w:t>
      </w:r>
      <w:r>
        <w:rPr>
          <w:spacing w:val="-8"/>
        </w:rPr>
        <w:t xml:space="preserve"> </w:t>
      </w:r>
      <w:r>
        <w:t>of</w:t>
      </w:r>
      <w:r>
        <w:rPr>
          <w:spacing w:val="-6"/>
        </w:rPr>
        <w:t xml:space="preserve"> </w:t>
      </w:r>
      <w:r>
        <w:t>labour</w:t>
      </w:r>
      <w:r>
        <w:rPr>
          <w:spacing w:val="-9"/>
        </w:rPr>
        <w:t xml:space="preserve"> </w:t>
      </w:r>
      <w:r>
        <w:t>costs</w:t>
      </w:r>
      <w:r>
        <w:rPr>
          <w:spacing w:val="-8"/>
        </w:rPr>
        <w:t xml:space="preserve"> </w:t>
      </w:r>
      <w:r>
        <w:t>during</w:t>
      </w:r>
      <w:r>
        <w:rPr>
          <w:spacing w:val="-7"/>
        </w:rPr>
        <w:t xml:space="preserve"> </w:t>
      </w:r>
      <w:r>
        <w:t>the</w:t>
      </w:r>
      <w:r>
        <w:rPr>
          <w:spacing w:val="-9"/>
        </w:rPr>
        <w:t xml:space="preserve"> </w:t>
      </w:r>
      <w:r>
        <w:t>2025</w:t>
      </w:r>
      <w:r>
        <w:rPr>
          <w:spacing w:val="-8"/>
        </w:rPr>
        <w:t xml:space="preserve"> </w:t>
      </w:r>
      <w:r>
        <w:t>Enterprise</w:t>
      </w:r>
      <w:r>
        <w:rPr>
          <w:spacing w:val="-8"/>
        </w:rPr>
        <w:t xml:space="preserve"> </w:t>
      </w:r>
      <w:r>
        <w:rPr>
          <w:spacing w:val="-2"/>
        </w:rPr>
        <w:t>Agreement.</w:t>
      </w:r>
    </w:p>
    <w:p w14:paraId="78E31436" w14:textId="77777777" w:rsidR="00141B97" w:rsidRDefault="00911D63">
      <w:pPr>
        <w:pStyle w:val="ListParagraph"/>
        <w:numPr>
          <w:ilvl w:val="0"/>
          <w:numId w:val="7"/>
        </w:numPr>
        <w:tabs>
          <w:tab w:val="left" w:pos="827"/>
          <w:tab w:val="left" w:pos="828"/>
        </w:tabs>
        <w:spacing w:line="280" w:lineRule="exact"/>
      </w:pPr>
      <w:r>
        <w:t>Major</w:t>
      </w:r>
      <w:r>
        <w:rPr>
          <w:spacing w:val="-10"/>
        </w:rPr>
        <w:t xml:space="preserve"> </w:t>
      </w:r>
      <w:r>
        <w:t>deviation</w:t>
      </w:r>
      <w:r>
        <w:rPr>
          <w:spacing w:val="-10"/>
        </w:rPr>
        <w:t xml:space="preserve"> </w:t>
      </w:r>
      <w:r>
        <w:t>between</w:t>
      </w:r>
      <w:r>
        <w:rPr>
          <w:spacing w:val="-10"/>
        </w:rPr>
        <w:t xml:space="preserve"> </w:t>
      </w:r>
      <w:r>
        <w:t>actual</w:t>
      </w:r>
      <w:r>
        <w:rPr>
          <w:spacing w:val="-10"/>
        </w:rPr>
        <w:t xml:space="preserve"> </w:t>
      </w:r>
      <w:r>
        <w:t>and</w:t>
      </w:r>
      <w:r>
        <w:rPr>
          <w:spacing w:val="-10"/>
        </w:rPr>
        <w:t xml:space="preserve"> </w:t>
      </w:r>
      <w:r>
        <w:t>forecast</w:t>
      </w:r>
      <w:r>
        <w:rPr>
          <w:spacing w:val="-10"/>
        </w:rPr>
        <w:t xml:space="preserve"> </w:t>
      </w:r>
      <w:r>
        <w:t>electricity</w:t>
      </w:r>
      <w:r>
        <w:rPr>
          <w:spacing w:val="-10"/>
        </w:rPr>
        <w:t xml:space="preserve"> </w:t>
      </w:r>
      <w:r>
        <w:rPr>
          <w:spacing w:val="-2"/>
        </w:rPr>
        <w:t>prices.</w:t>
      </w:r>
    </w:p>
    <w:p w14:paraId="3A8B505B" w14:textId="77777777" w:rsidR="00141B97" w:rsidRDefault="00141B97">
      <w:pPr>
        <w:pStyle w:val="BodyText"/>
        <w:spacing w:before="2"/>
        <w:rPr>
          <w:sz w:val="31"/>
        </w:rPr>
      </w:pPr>
    </w:p>
    <w:p w14:paraId="0D968CE7" w14:textId="77777777" w:rsidR="00141B97" w:rsidRDefault="00911D63">
      <w:pPr>
        <w:pStyle w:val="Heading2"/>
        <w:numPr>
          <w:ilvl w:val="1"/>
          <w:numId w:val="37"/>
        </w:numPr>
        <w:tabs>
          <w:tab w:val="left" w:pos="1113"/>
        </w:tabs>
        <w:jc w:val="both"/>
        <w:rPr>
          <w:color w:val="009BAC"/>
        </w:rPr>
      </w:pPr>
      <w:r>
        <w:rPr>
          <w:color w:val="009BAC"/>
        </w:rPr>
        <w:t>Forecast</w:t>
      </w:r>
      <w:r>
        <w:rPr>
          <w:color w:val="009BAC"/>
          <w:spacing w:val="-9"/>
        </w:rPr>
        <w:t xml:space="preserve"> </w:t>
      </w:r>
      <w:r>
        <w:rPr>
          <w:color w:val="009BAC"/>
        </w:rPr>
        <w:t>Capital</w:t>
      </w:r>
      <w:r>
        <w:rPr>
          <w:color w:val="009BAC"/>
          <w:spacing w:val="-9"/>
        </w:rPr>
        <w:t xml:space="preserve"> </w:t>
      </w:r>
      <w:r>
        <w:rPr>
          <w:color w:val="009BAC"/>
          <w:spacing w:val="-2"/>
        </w:rPr>
        <w:t>Expenditure</w:t>
      </w:r>
    </w:p>
    <w:p w14:paraId="63A8253A" w14:textId="77777777" w:rsidR="00141B97" w:rsidRDefault="00141B97">
      <w:pPr>
        <w:pStyle w:val="BodyText"/>
        <w:spacing w:before="9"/>
        <w:rPr>
          <w:sz w:val="20"/>
        </w:rPr>
      </w:pPr>
    </w:p>
    <w:p w14:paraId="44A8FB76" w14:textId="77777777" w:rsidR="00141B97" w:rsidRDefault="00911D63">
      <w:pPr>
        <w:pStyle w:val="ListParagraph"/>
        <w:numPr>
          <w:ilvl w:val="2"/>
          <w:numId w:val="37"/>
        </w:numPr>
        <w:tabs>
          <w:tab w:val="left" w:pos="1112"/>
          <w:tab w:val="left" w:pos="1113"/>
        </w:tabs>
        <w:ind w:left="1112"/>
        <w:jc w:val="both"/>
      </w:pPr>
      <w:r>
        <w:t>Forecast</w:t>
      </w:r>
      <w:r>
        <w:rPr>
          <w:spacing w:val="-8"/>
        </w:rPr>
        <w:t xml:space="preserve"> </w:t>
      </w:r>
      <w:r>
        <w:t>Capital</w:t>
      </w:r>
      <w:r>
        <w:rPr>
          <w:spacing w:val="-7"/>
        </w:rPr>
        <w:t xml:space="preserve"> </w:t>
      </w:r>
      <w:r>
        <w:rPr>
          <w:spacing w:val="-2"/>
        </w:rPr>
        <w:t>Expenditure</w:t>
      </w:r>
    </w:p>
    <w:p w14:paraId="21C3AC18" w14:textId="77777777" w:rsidR="00141B97" w:rsidRDefault="00911D63">
      <w:pPr>
        <w:pStyle w:val="BodyText"/>
        <w:spacing w:before="59"/>
        <w:ind w:left="114" w:right="946" w:hanging="1"/>
        <w:jc w:val="both"/>
      </w:pPr>
      <w:r>
        <w:t>Forecast</w:t>
      </w:r>
      <w:r>
        <w:rPr>
          <w:spacing w:val="-4"/>
        </w:rPr>
        <w:t xml:space="preserve"> </w:t>
      </w:r>
      <w:r>
        <w:t>capital</w:t>
      </w:r>
      <w:r>
        <w:rPr>
          <w:spacing w:val="-4"/>
        </w:rPr>
        <w:t xml:space="preserve"> </w:t>
      </w:r>
      <w:r>
        <w:t>expenditure</w:t>
      </w:r>
      <w:r>
        <w:rPr>
          <w:spacing w:val="-4"/>
        </w:rPr>
        <w:t xml:space="preserve"> </w:t>
      </w:r>
      <w:r>
        <w:t>was</w:t>
      </w:r>
      <w:r>
        <w:rPr>
          <w:spacing w:val="-3"/>
        </w:rPr>
        <w:t xml:space="preserve"> </w:t>
      </w:r>
      <w:r>
        <w:t>developed</w:t>
      </w:r>
      <w:r>
        <w:rPr>
          <w:spacing w:val="-4"/>
        </w:rPr>
        <w:t xml:space="preserve"> </w:t>
      </w:r>
      <w:r>
        <w:t>in</w:t>
      </w:r>
      <w:r>
        <w:rPr>
          <w:spacing w:val="-3"/>
        </w:rPr>
        <w:t xml:space="preserve"> </w:t>
      </w:r>
      <w:r>
        <w:t>accordance</w:t>
      </w:r>
      <w:r>
        <w:rPr>
          <w:spacing w:val="-5"/>
        </w:rPr>
        <w:t xml:space="preserve"> </w:t>
      </w:r>
      <w:r>
        <w:t>with</w:t>
      </w:r>
      <w:r>
        <w:rPr>
          <w:spacing w:val="-3"/>
        </w:rPr>
        <w:t xml:space="preserve"> </w:t>
      </w:r>
      <w:r>
        <w:t>the</w:t>
      </w:r>
      <w:r>
        <w:rPr>
          <w:spacing w:val="-4"/>
        </w:rPr>
        <w:t xml:space="preserve"> </w:t>
      </w:r>
      <w:r>
        <w:t>process</w:t>
      </w:r>
      <w:r>
        <w:rPr>
          <w:spacing w:val="-4"/>
        </w:rPr>
        <w:t xml:space="preserve"> </w:t>
      </w:r>
      <w:r>
        <w:t>set</w:t>
      </w:r>
      <w:r>
        <w:rPr>
          <w:spacing w:val="-3"/>
        </w:rPr>
        <w:t xml:space="preserve"> </w:t>
      </w:r>
      <w:r>
        <w:t>out</w:t>
      </w:r>
      <w:r>
        <w:rPr>
          <w:spacing w:val="-4"/>
        </w:rPr>
        <w:t xml:space="preserve"> </w:t>
      </w:r>
      <w:r>
        <w:t>in</w:t>
      </w:r>
      <w:r>
        <w:rPr>
          <w:spacing w:val="-3"/>
        </w:rPr>
        <w:t xml:space="preserve"> </w:t>
      </w:r>
      <w:r>
        <w:t>Part</w:t>
      </w:r>
      <w:r>
        <w:rPr>
          <w:spacing w:val="-5"/>
        </w:rPr>
        <w:t xml:space="preserve"> </w:t>
      </w:r>
      <w:r>
        <w:t>A,</w:t>
      </w:r>
      <w:r>
        <w:rPr>
          <w:spacing w:val="-4"/>
        </w:rPr>
        <w:t xml:space="preserve"> </w:t>
      </w:r>
      <w:r>
        <w:t>Section</w:t>
      </w:r>
      <w:r>
        <w:rPr>
          <w:spacing w:val="-5"/>
        </w:rPr>
        <w:t xml:space="preserve"> </w:t>
      </w:r>
      <w:r>
        <w:t>4.6.</w:t>
      </w:r>
      <w:r>
        <w:rPr>
          <w:spacing w:val="-4"/>
        </w:rPr>
        <w:t xml:space="preserve"> </w:t>
      </w:r>
      <w:r>
        <w:t>Table C22 overleaf sets out LMW’s proposed prudent and efficient capital expenditure for each year of the fifth regulatory</w:t>
      </w:r>
      <w:r>
        <w:rPr>
          <w:spacing w:val="-10"/>
        </w:rPr>
        <w:t xml:space="preserve"> </w:t>
      </w:r>
      <w:r>
        <w:t>period,</w:t>
      </w:r>
      <w:r>
        <w:rPr>
          <w:spacing w:val="-10"/>
        </w:rPr>
        <w:t xml:space="preserve"> </w:t>
      </w:r>
      <w:r>
        <w:t>across</w:t>
      </w:r>
      <w:r>
        <w:rPr>
          <w:spacing w:val="-9"/>
        </w:rPr>
        <w:t xml:space="preserve"> </w:t>
      </w:r>
      <w:r>
        <w:t>each</w:t>
      </w:r>
      <w:r>
        <w:rPr>
          <w:spacing w:val="-10"/>
        </w:rPr>
        <w:t xml:space="preserve"> </w:t>
      </w:r>
      <w:r>
        <w:t>major</w:t>
      </w:r>
      <w:r>
        <w:rPr>
          <w:spacing w:val="-9"/>
        </w:rPr>
        <w:t xml:space="preserve"> </w:t>
      </w:r>
      <w:r>
        <w:t>service</w:t>
      </w:r>
      <w:r>
        <w:rPr>
          <w:spacing w:val="-11"/>
        </w:rPr>
        <w:t xml:space="preserve"> </w:t>
      </w:r>
      <w:r>
        <w:t>category,</w:t>
      </w:r>
      <w:r>
        <w:rPr>
          <w:spacing w:val="-8"/>
        </w:rPr>
        <w:t xml:space="preserve"> </w:t>
      </w:r>
      <w:r>
        <w:t>amounting</w:t>
      </w:r>
      <w:r>
        <w:rPr>
          <w:spacing w:val="-10"/>
        </w:rPr>
        <w:t xml:space="preserve"> </w:t>
      </w:r>
      <w:r>
        <w:t>to</w:t>
      </w:r>
      <w:r>
        <w:rPr>
          <w:spacing w:val="-11"/>
        </w:rPr>
        <w:t xml:space="preserve"> </w:t>
      </w:r>
      <w:r>
        <w:t>a</w:t>
      </w:r>
      <w:r>
        <w:rPr>
          <w:spacing w:val="-9"/>
        </w:rPr>
        <w:t xml:space="preserve"> </w:t>
      </w:r>
      <w:r>
        <w:t>total</w:t>
      </w:r>
      <w:r>
        <w:rPr>
          <w:spacing w:val="-10"/>
        </w:rPr>
        <w:t xml:space="preserve"> </w:t>
      </w:r>
      <w:r>
        <w:t>of</w:t>
      </w:r>
      <w:r>
        <w:rPr>
          <w:spacing w:val="-10"/>
        </w:rPr>
        <w:t xml:space="preserve"> </w:t>
      </w:r>
      <w:r>
        <w:t>$50.35m</w:t>
      </w:r>
      <w:r>
        <w:rPr>
          <w:spacing w:val="-10"/>
        </w:rPr>
        <w:t xml:space="preserve"> </w:t>
      </w:r>
      <w:r>
        <w:t>in</w:t>
      </w:r>
      <w:r>
        <w:rPr>
          <w:spacing w:val="-10"/>
        </w:rPr>
        <w:t xml:space="preserve"> </w:t>
      </w:r>
      <w:r>
        <w:t>real</w:t>
      </w:r>
      <w:r>
        <w:rPr>
          <w:spacing w:val="-10"/>
        </w:rPr>
        <w:t xml:space="preserve"> </w:t>
      </w:r>
      <w:r>
        <w:t>dollars</w:t>
      </w:r>
      <w:r>
        <w:rPr>
          <w:spacing w:val="-9"/>
        </w:rPr>
        <w:t xml:space="preserve"> </w:t>
      </w:r>
      <w:r>
        <w:t>($1/1/23). A detailed capital expenditure program is provided in Appendix C2.</w:t>
      </w:r>
    </w:p>
    <w:p w14:paraId="6AADE078" w14:textId="77777777" w:rsidR="00141B97" w:rsidRDefault="00141B97">
      <w:pPr>
        <w:pStyle w:val="BodyText"/>
        <w:spacing w:before="6"/>
        <w:rPr>
          <w:sz w:val="1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1685"/>
        <w:gridCol w:w="898"/>
        <w:gridCol w:w="1050"/>
        <w:gridCol w:w="1049"/>
        <w:gridCol w:w="1050"/>
        <w:gridCol w:w="1050"/>
        <w:gridCol w:w="1050"/>
        <w:gridCol w:w="1050"/>
        <w:gridCol w:w="1049"/>
      </w:tblGrid>
      <w:tr w:rsidR="00141B97" w14:paraId="56917112" w14:textId="77777777">
        <w:trPr>
          <w:trHeight w:val="255"/>
          <w:tblCellSpacing w:w="9" w:type="dxa"/>
        </w:trPr>
        <w:tc>
          <w:tcPr>
            <w:tcW w:w="1658" w:type="dxa"/>
            <w:tcBorders>
              <w:top w:val="nil"/>
              <w:left w:val="nil"/>
            </w:tcBorders>
            <w:shd w:val="clear" w:color="auto" w:fill="006CA3"/>
          </w:tcPr>
          <w:p w14:paraId="2B894DF0" w14:textId="77777777" w:rsidR="00141B97" w:rsidRDefault="00141B97">
            <w:pPr>
              <w:pStyle w:val="TableParagraph"/>
              <w:rPr>
                <w:rFonts w:ascii="Times New Roman"/>
                <w:sz w:val="18"/>
              </w:rPr>
            </w:pPr>
          </w:p>
        </w:tc>
        <w:tc>
          <w:tcPr>
            <w:tcW w:w="1912" w:type="dxa"/>
            <w:gridSpan w:val="2"/>
            <w:tcBorders>
              <w:top w:val="nil"/>
            </w:tcBorders>
            <w:shd w:val="clear" w:color="auto" w:fill="006CA3"/>
          </w:tcPr>
          <w:p w14:paraId="4D7FAAB5" w14:textId="77777777" w:rsidR="00141B97" w:rsidRDefault="00911D63">
            <w:pPr>
              <w:pStyle w:val="TableParagraph"/>
              <w:spacing w:before="18" w:line="217" w:lineRule="exact"/>
              <w:ind w:left="411"/>
              <w:rPr>
                <w:sz w:val="18"/>
              </w:rPr>
            </w:pPr>
            <w:r>
              <w:rPr>
                <w:color w:val="FFFFFF"/>
                <w:sz w:val="18"/>
              </w:rPr>
              <w:t>Current</w:t>
            </w:r>
            <w:r>
              <w:rPr>
                <w:color w:val="FFFFFF"/>
                <w:spacing w:val="-1"/>
                <w:sz w:val="18"/>
              </w:rPr>
              <w:t xml:space="preserve"> </w:t>
            </w:r>
            <w:r>
              <w:rPr>
                <w:color w:val="FFFFFF"/>
                <w:spacing w:val="-2"/>
                <w:sz w:val="18"/>
              </w:rPr>
              <w:t>period</w:t>
            </w:r>
          </w:p>
        </w:tc>
        <w:tc>
          <w:tcPr>
            <w:tcW w:w="6181" w:type="dxa"/>
            <w:gridSpan w:val="6"/>
            <w:tcBorders>
              <w:top w:val="nil"/>
              <w:right w:val="nil"/>
            </w:tcBorders>
            <w:shd w:val="clear" w:color="auto" w:fill="006CA3"/>
          </w:tcPr>
          <w:p w14:paraId="35C4B646" w14:textId="77777777" w:rsidR="00141B97" w:rsidRDefault="00911D63">
            <w:pPr>
              <w:pStyle w:val="TableParagraph"/>
              <w:spacing w:before="18" w:line="217" w:lineRule="exact"/>
              <w:ind w:left="2272" w:right="2253"/>
              <w:jc w:val="center"/>
              <w:rPr>
                <w:sz w:val="18"/>
              </w:rPr>
            </w:pPr>
            <w:r>
              <w:rPr>
                <w:color w:val="FFFFFF"/>
                <w:sz w:val="18"/>
              </w:rPr>
              <w:t>Fifth</w:t>
            </w:r>
            <w:r>
              <w:rPr>
                <w:color w:val="FFFFFF"/>
                <w:spacing w:val="-2"/>
                <w:sz w:val="18"/>
              </w:rPr>
              <w:t xml:space="preserve"> </w:t>
            </w:r>
            <w:r>
              <w:rPr>
                <w:color w:val="FFFFFF"/>
                <w:sz w:val="18"/>
              </w:rPr>
              <w:t>regulatory</w:t>
            </w:r>
            <w:r>
              <w:rPr>
                <w:color w:val="FFFFFF"/>
                <w:spacing w:val="-1"/>
                <w:sz w:val="18"/>
              </w:rPr>
              <w:t xml:space="preserve"> </w:t>
            </w:r>
            <w:r>
              <w:rPr>
                <w:color w:val="FFFFFF"/>
                <w:spacing w:val="-2"/>
                <w:sz w:val="18"/>
              </w:rPr>
              <w:t>period</w:t>
            </w:r>
          </w:p>
        </w:tc>
      </w:tr>
      <w:tr w:rsidR="00141B97" w14:paraId="51596ACB" w14:textId="77777777">
        <w:trPr>
          <w:trHeight w:val="254"/>
          <w:tblCellSpacing w:w="9" w:type="dxa"/>
        </w:trPr>
        <w:tc>
          <w:tcPr>
            <w:tcW w:w="1658" w:type="dxa"/>
            <w:tcBorders>
              <w:left w:val="nil"/>
            </w:tcBorders>
            <w:shd w:val="clear" w:color="auto" w:fill="006CA3"/>
          </w:tcPr>
          <w:p w14:paraId="24ABB0FC" w14:textId="77777777" w:rsidR="00141B97" w:rsidRDefault="00911D63">
            <w:pPr>
              <w:pStyle w:val="TableParagraph"/>
              <w:spacing w:before="19" w:line="216" w:lineRule="exact"/>
              <w:ind w:left="88"/>
              <w:rPr>
                <w:sz w:val="18"/>
              </w:rPr>
            </w:pPr>
            <w:r>
              <w:rPr>
                <w:color w:val="FFFFFF"/>
                <w:sz w:val="18"/>
              </w:rPr>
              <w:t xml:space="preserve">$m, </w:t>
            </w:r>
            <w:r>
              <w:rPr>
                <w:color w:val="FFFFFF"/>
                <w:spacing w:val="-2"/>
                <w:sz w:val="18"/>
              </w:rPr>
              <w:t>1/1/23</w:t>
            </w:r>
          </w:p>
        </w:tc>
        <w:tc>
          <w:tcPr>
            <w:tcW w:w="880" w:type="dxa"/>
            <w:shd w:val="clear" w:color="auto" w:fill="006CA3"/>
          </w:tcPr>
          <w:p w14:paraId="69B1672C" w14:textId="77777777" w:rsidR="00141B97" w:rsidRDefault="00911D63">
            <w:pPr>
              <w:pStyle w:val="TableParagraph"/>
              <w:spacing w:before="19" w:line="216" w:lineRule="exact"/>
              <w:ind w:right="154"/>
              <w:jc w:val="right"/>
              <w:rPr>
                <w:sz w:val="18"/>
              </w:rPr>
            </w:pPr>
            <w:r>
              <w:rPr>
                <w:color w:val="FFFFFF"/>
                <w:spacing w:val="-2"/>
                <w:sz w:val="18"/>
              </w:rPr>
              <w:t>2021‐22</w:t>
            </w:r>
          </w:p>
        </w:tc>
        <w:tc>
          <w:tcPr>
            <w:tcW w:w="1032" w:type="dxa"/>
            <w:shd w:val="clear" w:color="auto" w:fill="006CA3"/>
          </w:tcPr>
          <w:p w14:paraId="55CFE298" w14:textId="77777777" w:rsidR="00141B97" w:rsidRDefault="00911D63">
            <w:pPr>
              <w:pStyle w:val="TableParagraph"/>
              <w:spacing w:before="19" w:line="216" w:lineRule="exact"/>
              <w:ind w:left="206"/>
              <w:rPr>
                <w:sz w:val="18"/>
              </w:rPr>
            </w:pPr>
            <w:r>
              <w:rPr>
                <w:color w:val="FFFFFF"/>
                <w:spacing w:val="-2"/>
                <w:sz w:val="18"/>
              </w:rPr>
              <w:t>2022‐23</w:t>
            </w:r>
          </w:p>
        </w:tc>
        <w:tc>
          <w:tcPr>
            <w:tcW w:w="1031" w:type="dxa"/>
            <w:shd w:val="clear" w:color="auto" w:fill="006CA3"/>
          </w:tcPr>
          <w:p w14:paraId="2334B25E" w14:textId="77777777" w:rsidR="00141B97" w:rsidRDefault="00911D63">
            <w:pPr>
              <w:pStyle w:val="TableParagraph"/>
              <w:spacing w:before="19" w:line="216" w:lineRule="exact"/>
              <w:ind w:left="206"/>
              <w:rPr>
                <w:sz w:val="18"/>
              </w:rPr>
            </w:pPr>
            <w:r>
              <w:rPr>
                <w:color w:val="FFFFFF"/>
                <w:spacing w:val="-2"/>
                <w:sz w:val="18"/>
              </w:rPr>
              <w:t>2023‐24</w:t>
            </w:r>
          </w:p>
        </w:tc>
        <w:tc>
          <w:tcPr>
            <w:tcW w:w="1032" w:type="dxa"/>
            <w:shd w:val="clear" w:color="auto" w:fill="006CA3"/>
          </w:tcPr>
          <w:p w14:paraId="37AB8F20" w14:textId="77777777" w:rsidR="00141B97" w:rsidRDefault="00911D63">
            <w:pPr>
              <w:pStyle w:val="TableParagraph"/>
              <w:spacing w:before="19" w:line="216" w:lineRule="exact"/>
              <w:ind w:left="208"/>
              <w:rPr>
                <w:sz w:val="18"/>
              </w:rPr>
            </w:pPr>
            <w:r>
              <w:rPr>
                <w:color w:val="FFFFFF"/>
                <w:spacing w:val="-2"/>
                <w:sz w:val="18"/>
              </w:rPr>
              <w:t>2024‐25</w:t>
            </w:r>
          </w:p>
        </w:tc>
        <w:tc>
          <w:tcPr>
            <w:tcW w:w="1032" w:type="dxa"/>
            <w:shd w:val="clear" w:color="auto" w:fill="006CA3"/>
          </w:tcPr>
          <w:p w14:paraId="4B9E8355" w14:textId="77777777" w:rsidR="00141B97" w:rsidRDefault="00911D63">
            <w:pPr>
              <w:pStyle w:val="TableParagraph"/>
              <w:spacing w:before="19" w:line="216" w:lineRule="exact"/>
              <w:ind w:left="209"/>
              <w:rPr>
                <w:sz w:val="18"/>
              </w:rPr>
            </w:pPr>
            <w:r>
              <w:rPr>
                <w:color w:val="FFFFFF"/>
                <w:spacing w:val="-2"/>
                <w:sz w:val="18"/>
              </w:rPr>
              <w:t>2025‐26</w:t>
            </w:r>
          </w:p>
        </w:tc>
        <w:tc>
          <w:tcPr>
            <w:tcW w:w="1032" w:type="dxa"/>
            <w:shd w:val="clear" w:color="auto" w:fill="006CA3"/>
          </w:tcPr>
          <w:p w14:paraId="1B214360" w14:textId="77777777" w:rsidR="00141B97" w:rsidRDefault="00911D63">
            <w:pPr>
              <w:pStyle w:val="TableParagraph"/>
              <w:spacing w:before="19" w:line="216" w:lineRule="exact"/>
              <w:ind w:left="210"/>
              <w:rPr>
                <w:sz w:val="18"/>
              </w:rPr>
            </w:pPr>
            <w:r>
              <w:rPr>
                <w:color w:val="FFFFFF"/>
                <w:spacing w:val="-2"/>
                <w:sz w:val="18"/>
              </w:rPr>
              <w:t>2026‐27</w:t>
            </w:r>
          </w:p>
        </w:tc>
        <w:tc>
          <w:tcPr>
            <w:tcW w:w="1032" w:type="dxa"/>
            <w:shd w:val="clear" w:color="auto" w:fill="006CA3"/>
          </w:tcPr>
          <w:p w14:paraId="66227823" w14:textId="77777777" w:rsidR="00141B97" w:rsidRDefault="00911D63">
            <w:pPr>
              <w:pStyle w:val="TableParagraph"/>
              <w:spacing w:before="19" w:line="216" w:lineRule="exact"/>
              <w:ind w:left="211"/>
              <w:rPr>
                <w:sz w:val="18"/>
              </w:rPr>
            </w:pPr>
            <w:r>
              <w:rPr>
                <w:color w:val="FFFFFF"/>
                <w:spacing w:val="-2"/>
                <w:sz w:val="18"/>
              </w:rPr>
              <w:t>2027‐28</w:t>
            </w:r>
          </w:p>
        </w:tc>
        <w:tc>
          <w:tcPr>
            <w:tcW w:w="1022" w:type="dxa"/>
            <w:tcBorders>
              <w:right w:val="nil"/>
            </w:tcBorders>
            <w:shd w:val="clear" w:color="auto" w:fill="006CA3"/>
          </w:tcPr>
          <w:p w14:paraId="5367D4BE" w14:textId="77777777" w:rsidR="00141B97" w:rsidRDefault="00911D63">
            <w:pPr>
              <w:pStyle w:val="TableParagraph"/>
              <w:spacing w:before="19" w:line="216" w:lineRule="exact"/>
              <w:ind w:left="179"/>
              <w:rPr>
                <w:sz w:val="18"/>
              </w:rPr>
            </w:pPr>
            <w:r>
              <w:rPr>
                <w:color w:val="FFFFFF"/>
                <w:sz w:val="18"/>
              </w:rPr>
              <w:t>Total</w:t>
            </w:r>
            <w:r>
              <w:rPr>
                <w:color w:val="FFFFFF"/>
                <w:spacing w:val="-1"/>
                <w:sz w:val="18"/>
              </w:rPr>
              <w:t xml:space="preserve"> </w:t>
            </w:r>
            <w:r>
              <w:rPr>
                <w:color w:val="FFFFFF"/>
                <w:spacing w:val="-5"/>
                <w:sz w:val="18"/>
              </w:rPr>
              <w:t>PS5</w:t>
            </w:r>
          </w:p>
        </w:tc>
      </w:tr>
      <w:tr w:rsidR="00141B97" w14:paraId="1C639AC8" w14:textId="77777777">
        <w:trPr>
          <w:trHeight w:val="270"/>
          <w:tblCellSpacing w:w="9" w:type="dxa"/>
        </w:trPr>
        <w:tc>
          <w:tcPr>
            <w:tcW w:w="1658" w:type="dxa"/>
            <w:tcBorders>
              <w:left w:val="nil"/>
            </w:tcBorders>
            <w:shd w:val="clear" w:color="auto" w:fill="CCE2ED"/>
          </w:tcPr>
          <w:p w14:paraId="6E62CB8E" w14:textId="77777777" w:rsidR="00141B97" w:rsidRDefault="00911D63">
            <w:pPr>
              <w:pStyle w:val="TableParagraph"/>
              <w:spacing w:before="1"/>
              <w:ind w:left="88"/>
              <w:rPr>
                <w:sz w:val="18"/>
              </w:rPr>
            </w:pPr>
            <w:r>
              <w:rPr>
                <w:spacing w:val="-2"/>
                <w:sz w:val="18"/>
              </w:rPr>
              <w:t>Irrigation</w:t>
            </w:r>
          </w:p>
        </w:tc>
        <w:tc>
          <w:tcPr>
            <w:tcW w:w="880" w:type="dxa"/>
            <w:shd w:val="clear" w:color="auto" w:fill="CCE2ED"/>
          </w:tcPr>
          <w:p w14:paraId="5F27F04F" w14:textId="77777777" w:rsidR="00141B97" w:rsidRDefault="00911D63">
            <w:pPr>
              <w:pStyle w:val="TableParagraph"/>
              <w:spacing w:before="26"/>
              <w:ind w:right="95"/>
              <w:jc w:val="right"/>
              <w:rPr>
                <w:sz w:val="18"/>
              </w:rPr>
            </w:pPr>
            <w:r>
              <w:rPr>
                <w:spacing w:val="-4"/>
                <w:sz w:val="18"/>
              </w:rPr>
              <w:t>7.97</w:t>
            </w:r>
          </w:p>
        </w:tc>
        <w:tc>
          <w:tcPr>
            <w:tcW w:w="1032" w:type="dxa"/>
            <w:shd w:val="clear" w:color="auto" w:fill="CCE2ED"/>
          </w:tcPr>
          <w:p w14:paraId="1A3AEBEE" w14:textId="77777777" w:rsidR="00141B97" w:rsidRDefault="00911D63">
            <w:pPr>
              <w:pStyle w:val="TableParagraph"/>
              <w:spacing w:before="26"/>
              <w:ind w:right="93"/>
              <w:jc w:val="right"/>
              <w:rPr>
                <w:sz w:val="18"/>
              </w:rPr>
            </w:pPr>
            <w:r>
              <w:rPr>
                <w:spacing w:val="-4"/>
                <w:sz w:val="18"/>
              </w:rPr>
              <w:t>5.36</w:t>
            </w:r>
          </w:p>
        </w:tc>
        <w:tc>
          <w:tcPr>
            <w:tcW w:w="1031" w:type="dxa"/>
            <w:shd w:val="clear" w:color="auto" w:fill="CCE2ED"/>
          </w:tcPr>
          <w:p w14:paraId="6179CC25" w14:textId="77777777" w:rsidR="00141B97" w:rsidRDefault="00911D63">
            <w:pPr>
              <w:pStyle w:val="TableParagraph"/>
              <w:spacing w:before="26"/>
              <w:ind w:right="92"/>
              <w:jc w:val="right"/>
              <w:rPr>
                <w:sz w:val="18"/>
              </w:rPr>
            </w:pPr>
            <w:r>
              <w:rPr>
                <w:spacing w:val="-2"/>
                <w:sz w:val="18"/>
              </w:rPr>
              <w:t>15.12</w:t>
            </w:r>
          </w:p>
        </w:tc>
        <w:tc>
          <w:tcPr>
            <w:tcW w:w="1032" w:type="dxa"/>
            <w:shd w:val="clear" w:color="auto" w:fill="CCE2ED"/>
          </w:tcPr>
          <w:p w14:paraId="18999A9C" w14:textId="77777777" w:rsidR="00141B97" w:rsidRDefault="00911D63">
            <w:pPr>
              <w:pStyle w:val="TableParagraph"/>
              <w:spacing w:before="26"/>
              <w:ind w:right="91"/>
              <w:jc w:val="right"/>
              <w:rPr>
                <w:sz w:val="18"/>
              </w:rPr>
            </w:pPr>
            <w:r>
              <w:rPr>
                <w:spacing w:val="-4"/>
                <w:sz w:val="18"/>
              </w:rPr>
              <w:t>7.01</w:t>
            </w:r>
          </w:p>
        </w:tc>
        <w:tc>
          <w:tcPr>
            <w:tcW w:w="1032" w:type="dxa"/>
            <w:shd w:val="clear" w:color="auto" w:fill="CCE2ED"/>
          </w:tcPr>
          <w:p w14:paraId="57CD0D1D" w14:textId="77777777" w:rsidR="00141B97" w:rsidRDefault="00911D63">
            <w:pPr>
              <w:pStyle w:val="TableParagraph"/>
              <w:spacing w:before="26"/>
              <w:ind w:right="90"/>
              <w:jc w:val="right"/>
              <w:rPr>
                <w:sz w:val="18"/>
              </w:rPr>
            </w:pPr>
            <w:r>
              <w:rPr>
                <w:spacing w:val="-4"/>
                <w:sz w:val="18"/>
              </w:rPr>
              <w:t>6.75</w:t>
            </w:r>
          </w:p>
        </w:tc>
        <w:tc>
          <w:tcPr>
            <w:tcW w:w="1032" w:type="dxa"/>
            <w:shd w:val="clear" w:color="auto" w:fill="CCE2ED"/>
          </w:tcPr>
          <w:p w14:paraId="707D0572" w14:textId="77777777" w:rsidR="00141B97" w:rsidRDefault="00911D63">
            <w:pPr>
              <w:pStyle w:val="TableParagraph"/>
              <w:spacing w:before="26"/>
              <w:ind w:right="88"/>
              <w:jc w:val="right"/>
              <w:rPr>
                <w:sz w:val="18"/>
              </w:rPr>
            </w:pPr>
            <w:r>
              <w:rPr>
                <w:spacing w:val="-4"/>
                <w:sz w:val="18"/>
              </w:rPr>
              <w:t>7.82</w:t>
            </w:r>
          </w:p>
        </w:tc>
        <w:tc>
          <w:tcPr>
            <w:tcW w:w="1032" w:type="dxa"/>
            <w:shd w:val="clear" w:color="auto" w:fill="CCE2ED"/>
          </w:tcPr>
          <w:p w14:paraId="0746E68C" w14:textId="77777777" w:rsidR="00141B97" w:rsidRDefault="00911D63">
            <w:pPr>
              <w:pStyle w:val="TableParagraph"/>
              <w:spacing w:before="26"/>
              <w:ind w:right="87"/>
              <w:jc w:val="right"/>
              <w:rPr>
                <w:sz w:val="18"/>
              </w:rPr>
            </w:pPr>
            <w:r>
              <w:rPr>
                <w:spacing w:val="-4"/>
                <w:sz w:val="18"/>
              </w:rPr>
              <w:t>6.96</w:t>
            </w:r>
          </w:p>
        </w:tc>
        <w:tc>
          <w:tcPr>
            <w:tcW w:w="1022" w:type="dxa"/>
            <w:tcBorders>
              <w:right w:val="nil"/>
            </w:tcBorders>
            <w:shd w:val="clear" w:color="auto" w:fill="CCE2ED"/>
          </w:tcPr>
          <w:p w14:paraId="46072D59" w14:textId="77777777" w:rsidR="00141B97" w:rsidRDefault="00911D63">
            <w:pPr>
              <w:pStyle w:val="TableParagraph"/>
              <w:spacing w:before="26"/>
              <w:ind w:right="76"/>
              <w:jc w:val="right"/>
              <w:rPr>
                <w:sz w:val="18"/>
              </w:rPr>
            </w:pPr>
            <w:r>
              <w:rPr>
                <w:spacing w:val="-2"/>
                <w:sz w:val="18"/>
              </w:rPr>
              <w:t>43.66</w:t>
            </w:r>
          </w:p>
        </w:tc>
      </w:tr>
      <w:tr w:rsidR="00141B97" w14:paraId="5EF3C611" w14:textId="77777777">
        <w:trPr>
          <w:trHeight w:val="270"/>
          <w:tblCellSpacing w:w="9" w:type="dxa"/>
        </w:trPr>
        <w:tc>
          <w:tcPr>
            <w:tcW w:w="1658" w:type="dxa"/>
            <w:tcBorders>
              <w:left w:val="nil"/>
            </w:tcBorders>
            <w:shd w:val="clear" w:color="auto" w:fill="CCE2ED"/>
          </w:tcPr>
          <w:p w14:paraId="3435B044" w14:textId="77777777" w:rsidR="00141B97" w:rsidRDefault="00911D63">
            <w:pPr>
              <w:pStyle w:val="TableParagraph"/>
              <w:spacing w:before="1"/>
              <w:ind w:left="88"/>
              <w:rPr>
                <w:sz w:val="18"/>
              </w:rPr>
            </w:pPr>
            <w:r>
              <w:rPr>
                <w:spacing w:val="-2"/>
                <w:sz w:val="18"/>
              </w:rPr>
              <w:t>Drainage</w:t>
            </w:r>
          </w:p>
        </w:tc>
        <w:tc>
          <w:tcPr>
            <w:tcW w:w="880" w:type="dxa"/>
            <w:shd w:val="clear" w:color="auto" w:fill="CCE2ED"/>
          </w:tcPr>
          <w:p w14:paraId="0AB7F0BB" w14:textId="77777777" w:rsidR="00141B97" w:rsidRDefault="00911D63">
            <w:pPr>
              <w:pStyle w:val="TableParagraph"/>
              <w:spacing w:before="26"/>
              <w:ind w:right="95"/>
              <w:jc w:val="right"/>
              <w:rPr>
                <w:sz w:val="18"/>
              </w:rPr>
            </w:pPr>
            <w:r>
              <w:rPr>
                <w:spacing w:val="-4"/>
                <w:sz w:val="18"/>
              </w:rPr>
              <w:t>0.08</w:t>
            </w:r>
          </w:p>
        </w:tc>
        <w:tc>
          <w:tcPr>
            <w:tcW w:w="1032" w:type="dxa"/>
            <w:shd w:val="clear" w:color="auto" w:fill="CCE2ED"/>
          </w:tcPr>
          <w:p w14:paraId="4D9AE91C" w14:textId="77777777" w:rsidR="00141B97" w:rsidRDefault="00911D63">
            <w:pPr>
              <w:pStyle w:val="TableParagraph"/>
              <w:spacing w:before="26"/>
              <w:ind w:right="93"/>
              <w:jc w:val="right"/>
              <w:rPr>
                <w:sz w:val="18"/>
              </w:rPr>
            </w:pPr>
            <w:r>
              <w:rPr>
                <w:spacing w:val="-4"/>
                <w:sz w:val="18"/>
              </w:rPr>
              <w:t>0.27</w:t>
            </w:r>
          </w:p>
        </w:tc>
        <w:tc>
          <w:tcPr>
            <w:tcW w:w="1031" w:type="dxa"/>
            <w:shd w:val="clear" w:color="auto" w:fill="CCE2ED"/>
          </w:tcPr>
          <w:p w14:paraId="4AEDB355" w14:textId="77777777" w:rsidR="00141B97" w:rsidRDefault="00911D63">
            <w:pPr>
              <w:pStyle w:val="TableParagraph"/>
              <w:spacing w:before="26"/>
              <w:ind w:right="92"/>
              <w:jc w:val="right"/>
              <w:rPr>
                <w:sz w:val="18"/>
              </w:rPr>
            </w:pPr>
            <w:r>
              <w:rPr>
                <w:spacing w:val="-4"/>
                <w:sz w:val="18"/>
              </w:rPr>
              <w:t>0.39</w:t>
            </w:r>
          </w:p>
        </w:tc>
        <w:tc>
          <w:tcPr>
            <w:tcW w:w="1032" w:type="dxa"/>
            <w:shd w:val="clear" w:color="auto" w:fill="CCE2ED"/>
          </w:tcPr>
          <w:p w14:paraId="1C05ADC1" w14:textId="77777777" w:rsidR="00141B97" w:rsidRDefault="00911D63">
            <w:pPr>
              <w:pStyle w:val="TableParagraph"/>
              <w:spacing w:before="26"/>
              <w:ind w:right="91"/>
              <w:jc w:val="right"/>
              <w:rPr>
                <w:sz w:val="18"/>
              </w:rPr>
            </w:pPr>
            <w:r>
              <w:rPr>
                <w:spacing w:val="-4"/>
                <w:sz w:val="18"/>
              </w:rPr>
              <w:t>0.53</w:t>
            </w:r>
          </w:p>
        </w:tc>
        <w:tc>
          <w:tcPr>
            <w:tcW w:w="1032" w:type="dxa"/>
            <w:shd w:val="clear" w:color="auto" w:fill="CCE2ED"/>
          </w:tcPr>
          <w:p w14:paraId="20E791D8" w14:textId="77777777" w:rsidR="00141B97" w:rsidRDefault="00911D63">
            <w:pPr>
              <w:pStyle w:val="TableParagraph"/>
              <w:spacing w:before="26"/>
              <w:ind w:right="90"/>
              <w:jc w:val="right"/>
              <w:rPr>
                <w:sz w:val="18"/>
              </w:rPr>
            </w:pPr>
            <w:r>
              <w:rPr>
                <w:spacing w:val="-4"/>
                <w:sz w:val="18"/>
              </w:rPr>
              <w:t>0.55</w:t>
            </w:r>
          </w:p>
        </w:tc>
        <w:tc>
          <w:tcPr>
            <w:tcW w:w="1032" w:type="dxa"/>
            <w:shd w:val="clear" w:color="auto" w:fill="CCE2ED"/>
          </w:tcPr>
          <w:p w14:paraId="6ED2BEF1" w14:textId="77777777" w:rsidR="00141B97" w:rsidRDefault="00911D63">
            <w:pPr>
              <w:pStyle w:val="TableParagraph"/>
              <w:spacing w:before="26"/>
              <w:ind w:right="88"/>
              <w:jc w:val="right"/>
              <w:rPr>
                <w:sz w:val="18"/>
              </w:rPr>
            </w:pPr>
            <w:r>
              <w:rPr>
                <w:spacing w:val="-4"/>
                <w:sz w:val="18"/>
              </w:rPr>
              <w:t>0.21</w:t>
            </w:r>
          </w:p>
        </w:tc>
        <w:tc>
          <w:tcPr>
            <w:tcW w:w="1032" w:type="dxa"/>
            <w:shd w:val="clear" w:color="auto" w:fill="CCE2ED"/>
          </w:tcPr>
          <w:p w14:paraId="25F41B96" w14:textId="77777777" w:rsidR="00141B97" w:rsidRDefault="00911D63">
            <w:pPr>
              <w:pStyle w:val="TableParagraph"/>
              <w:spacing w:before="26"/>
              <w:ind w:right="87"/>
              <w:jc w:val="right"/>
              <w:rPr>
                <w:sz w:val="18"/>
              </w:rPr>
            </w:pPr>
            <w:r>
              <w:rPr>
                <w:spacing w:val="-4"/>
                <w:sz w:val="18"/>
              </w:rPr>
              <w:t>0.89</w:t>
            </w:r>
          </w:p>
        </w:tc>
        <w:tc>
          <w:tcPr>
            <w:tcW w:w="1022" w:type="dxa"/>
            <w:tcBorders>
              <w:right w:val="nil"/>
            </w:tcBorders>
            <w:shd w:val="clear" w:color="auto" w:fill="CCE2ED"/>
          </w:tcPr>
          <w:p w14:paraId="20D32309" w14:textId="77777777" w:rsidR="00141B97" w:rsidRDefault="00911D63">
            <w:pPr>
              <w:pStyle w:val="TableParagraph"/>
              <w:spacing w:before="26"/>
              <w:ind w:right="76"/>
              <w:jc w:val="right"/>
              <w:rPr>
                <w:sz w:val="18"/>
              </w:rPr>
            </w:pPr>
            <w:r>
              <w:rPr>
                <w:spacing w:val="-4"/>
                <w:sz w:val="18"/>
              </w:rPr>
              <w:t>2.57</w:t>
            </w:r>
          </w:p>
        </w:tc>
      </w:tr>
      <w:tr w:rsidR="00141B97" w14:paraId="2E244878" w14:textId="77777777">
        <w:trPr>
          <w:trHeight w:val="269"/>
          <w:tblCellSpacing w:w="9" w:type="dxa"/>
        </w:trPr>
        <w:tc>
          <w:tcPr>
            <w:tcW w:w="1658" w:type="dxa"/>
            <w:tcBorders>
              <w:left w:val="nil"/>
            </w:tcBorders>
            <w:shd w:val="clear" w:color="auto" w:fill="CCE2ED"/>
          </w:tcPr>
          <w:p w14:paraId="4902640D" w14:textId="77777777" w:rsidR="00141B97" w:rsidRDefault="00911D63">
            <w:pPr>
              <w:pStyle w:val="TableParagraph"/>
              <w:ind w:left="88"/>
              <w:rPr>
                <w:sz w:val="18"/>
              </w:rPr>
            </w:pPr>
            <w:r>
              <w:rPr>
                <w:sz w:val="18"/>
              </w:rPr>
              <w:t>Domestic</w:t>
            </w:r>
            <w:r>
              <w:rPr>
                <w:spacing w:val="-4"/>
                <w:sz w:val="18"/>
              </w:rPr>
              <w:t xml:space="preserve"> </w:t>
            </w:r>
            <w:r>
              <w:rPr>
                <w:sz w:val="18"/>
              </w:rPr>
              <w:t>and</w:t>
            </w:r>
            <w:r>
              <w:rPr>
                <w:spacing w:val="-3"/>
                <w:sz w:val="18"/>
              </w:rPr>
              <w:t xml:space="preserve"> </w:t>
            </w:r>
            <w:r>
              <w:rPr>
                <w:spacing w:val="-2"/>
                <w:sz w:val="18"/>
              </w:rPr>
              <w:t>stock</w:t>
            </w:r>
          </w:p>
        </w:tc>
        <w:tc>
          <w:tcPr>
            <w:tcW w:w="880" w:type="dxa"/>
            <w:shd w:val="clear" w:color="auto" w:fill="CCE2ED"/>
          </w:tcPr>
          <w:p w14:paraId="7BC51372" w14:textId="77777777" w:rsidR="00141B97" w:rsidRDefault="00911D63">
            <w:pPr>
              <w:pStyle w:val="TableParagraph"/>
              <w:spacing w:before="25"/>
              <w:ind w:right="95"/>
              <w:jc w:val="right"/>
              <w:rPr>
                <w:sz w:val="18"/>
              </w:rPr>
            </w:pPr>
            <w:r>
              <w:rPr>
                <w:spacing w:val="-4"/>
                <w:sz w:val="18"/>
              </w:rPr>
              <w:t>0.07</w:t>
            </w:r>
          </w:p>
        </w:tc>
        <w:tc>
          <w:tcPr>
            <w:tcW w:w="1032" w:type="dxa"/>
            <w:shd w:val="clear" w:color="auto" w:fill="CCE2ED"/>
          </w:tcPr>
          <w:p w14:paraId="5287FC9E" w14:textId="77777777" w:rsidR="00141B97" w:rsidRDefault="00911D63">
            <w:pPr>
              <w:pStyle w:val="TableParagraph"/>
              <w:spacing w:before="25"/>
              <w:ind w:right="93"/>
              <w:jc w:val="right"/>
              <w:rPr>
                <w:sz w:val="18"/>
              </w:rPr>
            </w:pPr>
            <w:r>
              <w:rPr>
                <w:spacing w:val="-4"/>
                <w:sz w:val="18"/>
              </w:rPr>
              <w:t>0.06</w:t>
            </w:r>
          </w:p>
        </w:tc>
        <w:tc>
          <w:tcPr>
            <w:tcW w:w="1031" w:type="dxa"/>
            <w:shd w:val="clear" w:color="auto" w:fill="CCE2ED"/>
          </w:tcPr>
          <w:p w14:paraId="45F30B25" w14:textId="77777777" w:rsidR="00141B97" w:rsidRDefault="00911D63">
            <w:pPr>
              <w:pStyle w:val="TableParagraph"/>
              <w:spacing w:before="25"/>
              <w:ind w:right="92"/>
              <w:jc w:val="right"/>
              <w:rPr>
                <w:sz w:val="18"/>
              </w:rPr>
            </w:pPr>
            <w:r>
              <w:rPr>
                <w:spacing w:val="-4"/>
                <w:sz w:val="18"/>
              </w:rPr>
              <w:t>0.07</w:t>
            </w:r>
          </w:p>
        </w:tc>
        <w:tc>
          <w:tcPr>
            <w:tcW w:w="1032" w:type="dxa"/>
            <w:shd w:val="clear" w:color="auto" w:fill="CCE2ED"/>
          </w:tcPr>
          <w:p w14:paraId="17FF6ACD" w14:textId="77777777" w:rsidR="00141B97" w:rsidRDefault="00911D63">
            <w:pPr>
              <w:pStyle w:val="TableParagraph"/>
              <w:spacing w:before="25"/>
              <w:ind w:right="91"/>
              <w:jc w:val="right"/>
              <w:rPr>
                <w:sz w:val="18"/>
              </w:rPr>
            </w:pPr>
            <w:r>
              <w:rPr>
                <w:spacing w:val="-4"/>
                <w:sz w:val="18"/>
              </w:rPr>
              <w:t>0.47</w:t>
            </w:r>
          </w:p>
        </w:tc>
        <w:tc>
          <w:tcPr>
            <w:tcW w:w="1032" w:type="dxa"/>
            <w:shd w:val="clear" w:color="auto" w:fill="CCE2ED"/>
          </w:tcPr>
          <w:p w14:paraId="3CB10494" w14:textId="77777777" w:rsidR="00141B97" w:rsidRDefault="00911D63">
            <w:pPr>
              <w:pStyle w:val="TableParagraph"/>
              <w:spacing w:before="25"/>
              <w:ind w:right="90"/>
              <w:jc w:val="right"/>
              <w:rPr>
                <w:sz w:val="18"/>
              </w:rPr>
            </w:pPr>
            <w:r>
              <w:rPr>
                <w:spacing w:val="-4"/>
                <w:sz w:val="18"/>
              </w:rPr>
              <w:t>0.27</w:t>
            </w:r>
          </w:p>
        </w:tc>
        <w:tc>
          <w:tcPr>
            <w:tcW w:w="1032" w:type="dxa"/>
            <w:shd w:val="clear" w:color="auto" w:fill="CCE2ED"/>
          </w:tcPr>
          <w:p w14:paraId="6E096DE4" w14:textId="77777777" w:rsidR="00141B97" w:rsidRDefault="00911D63">
            <w:pPr>
              <w:pStyle w:val="TableParagraph"/>
              <w:spacing w:before="25"/>
              <w:ind w:right="88"/>
              <w:jc w:val="right"/>
              <w:rPr>
                <w:sz w:val="18"/>
              </w:rPr>
            </w:pPr>
            <w:r>
              <w:rPr>
                <w:spacing w:val="-4"/>
                <w:sz w:val="18"/>
              </w:rPr>
              <w:t>0.77</w:t>
            </w:r>
          </w:p>
        </w:tc>
        <w:tc>
          <w:tcPr>
            <w:tcW w:w="1032" w:type="dxa"/>
            <w:shd w:val="clear" w:color="auto" w:fill="CCE2ED"/>
          </w:tcPr>
          <w:p w14:paraId="7AC9B2A5" w14:textId="77777777" w:rsidR="00141B97" w:rsidRDefault="00911D63">
            <w:pPr>
              <w:pStyle w:val="TableParagraph"/>
              <w:spacing w:before="25"/>
              <w:ind w:right="87"/>
              <w:jc w:val="right"/>
              <w:rPr>
                <w:sz w:val="18"/>
              </w:rPr>
            </w:pPr>
            <w:r>
              <w:rPr>
                <w:spacing w:val="-4"/>
                <w:sz w:val="18"/>
              </w:rPr>
              <w:t>0.07</w:t>
            </w:r>
          </w:p>
        </w:tc>
        <w:tc>
          <w:tcPr>
            <w:tcW w:w="1022" w:type="dxa"/>
            <w:tcBorders>
              <w:right w:val="nil"/>
            </w:tcBorders>
            <w:shd w:val="clear" w:color="auto" w:fill="CCE2ED"/>
          </w:tcPr>
          <w:p w14:paraId="26D756A9" w14:textId="77777777" w:rsidR="00141B97" w:rsidRDefault="00911D63">
            <w:pPr>
              <w:pStyle w:val="TableParagraph"/>
              <w:spacing w:before="25"/>
              <w:ind w:right="76"/>
              <w:jc w:val="right"/>
              <w:rPr>
                <w:sz w:val="18"/>
              </w:rPr>
            </w:pPr>
            <w:r>
              <w:rPr>
                <w:spacing w:val="-4"/>
                <w:sz w:val="18"/>
              </w:rPr>
              <w:t>1.64</w:t>
            </w:r>
          </w:p>
        </w:tc>
      </w:tr>
      <w:tr w:rsidR="00141B97" w14:paraId="5DEBE798" w14:textId="77777777">
        <w:trPr>
          <w:trHeight w:val="439"/>
          <w:tblCellSpacing w:w="9" w:type="dxa"/>
        </w:trPr>
        <w:tc>
          <w:tcPr>
            <w:tcW w:w="1658" w:type="dxa"/>
            <w:tcBorders>
              <w:left w:val="nil"/>
            </w:tcBorders>
            <w:shd w:val="clear" w:color="auto" w:fill="CCE2ED"/>
          </w:tcPr>
          <w:p w14:paraId="40FCEA7A" w14:textId="77777777" w:rsidR="00141B97" w:rsidRDefault="00911D63">
            <w:pPr>
              <w:pStyle w:val="TableParagraph"/>
              <w:spacing w:line="220" w:lineRule="atLeast"/>
              <w:ind w:left="88"/>
              <w:rPr>
                <w:sz w:val="18"/>
              </w:rPr>
            </w:pPr>
            <w:r>
              <w:rPr>
                <w:sz w:val="18"/>
              </w:rPr>
              <w:t>Surface</w:t>
            </w:r>
            <w:r>
              <w:rPr>
                <w:spacing w:val="-11"/>
                <w:sz w:val="18"/>
              </w:rPr>
              <w:t xml:space="preserve"> </w:t>
            </w:r>
            <w:r>
              <w:rPr>
                <w:sz w:val="18"/>
              </w:rPr>
              <w:t xml:space="preserve">water </w:t>
            </w:r>
            <w:r>
              <w:rPr>
                <w:spacing w:val="-2"/>
                <w:sz w:val="18"/>
              </w:rPr>
              <w:t>diversions</w:t>
            </w:r>
          </w:p>
        </w:tc>
        <w:tc>
          <w:tcPr>
            <w:tcW w:w="880" w:type="dxa"/>
            <w:shd w:val="clear" w:color="auto" w:fill="CCE2ED"/>
          </w:tcPr>
          <w:p w14:paraId="41BC1DB7" w14:textId="77777777" w:rsidR="00141B97" w:rsidRDefault="00911D63">
            <w:pPr>
              <w:pStyle w:val="TableParagraph"/>
              <w:spacing w:before="111"/>
              <w:ind w:right="95"/>
              <w:jc w:val="right"/>
              <w:rPr>
                <w:sz w:val="18"/>
              </w:rPr>
            </w:pPr>
            <w:r>
              <w:rPr>
                <w:spacing w:val="-4"/>
                <w:sz w:val="18"/>
              </w:rPr>
              <w:t>0.21</w:t>
            </w:r>
          </w:p>
        </w:tc>
        <w:tc>
          <w:tcPr>
            <w:tcW w:w="1032" w:type="dxa"/>
            <w:shd w:val="clear" w:color="auto" w:fill="CCE2ED"/>
          </w:tcPr>
          <w:p w14:paraId="68CCD5B0" w14:textId="77777777" w:rsidR="00141B97" w:rsidRDefault="00911D63">
            <w:pPr>
              <w:pStyle w:val="TableParagraph"/>
              <w:spacing w:before="111"/>
              <w:ind w:right="93"/>
              <w:jc w:val="right"/>
              <w:rPr>
                <w:sz w:val="18"/>
              </w:rPr>
            </w:pPr>
            <w:r>
              <w:rPr>
                <w:spacing w:val="-4"/>
                <w:sz w:val="18"/>
              </w:rPr>
              <w:t>0.33</w:t>
            </w:r>
          </w:p>
        </w:tc>
        <w:tc>
          <w:tcPr>
            <w:tcW w:w="1031" w:type="dxa"/>
            <w:shd w:val="clear" w:color="auto" w:fill="CCE2ED"/>
          </w:tcPr>
          <w:p w14:paraId="152EA379" w14:textId="77777777" w:rsidR="00141B97" w:rsidRDefault="00911D63">
            <w:pPr>
              <w:pStyle w:val="TableParagraph"/>
              <w:spacing w:before="111"/>
              <w:ind w:right="92"/>
              <w:jc w:val="right"/>
              <w:rPr>
                <w:sz w:val="18"/>
              </w:rPr>
            </w:pPr>
            <w:r>
              <w:rPr>
                <w:spacing w:val="-4"/>
                <w:sz w:val="18"/>
              </w:rPr>
              <w:t>0.50</w:t>
            </w:r>
          </w:p>
        </w:tc>
        <w:tc>
          <w:tcPr>
            <w:tcW w:w="1032" w:type="dxa"/>
            <w:shd w:val="clear" w:color="auto" w:fill="CCE2ED"/>
          </w:tcPr>
          <w:p w14:paraId="394206F7" w14:textId="77777777" w:rsidR="00141B97" w:rsidRDefault="00911D63">
            <w:pPr>
              <w:pStyle w:val="TableParagraph"/>
              <w:spacing w:before="111"/>
              <w:ind w:right="91"/>
              <w:jc w:val="right"/>
              <w:rPr>
                <w:sz w:val="18"/>
              </w:rPr>
            </w:pPr>
            <w:r>
              <w:rPr>
                <w:spacing w:val="-4"/>
                <w:sz w:val="18"/>
              </w:rPr>
              <w:t>0.50</w:t>
            </w:r>
          </w:p>
        </w:tc>
        <w:tc>
          <w:tcPr>
            <w:tcW w:w="1032" w:type="dxa"/>
            <w:shd w:val="clear" w:color="auto" w:fill="CCE2ED"/>
          </w:tcPr>
          <w:p w14:paraId="3511F970" w14:textId="77777777" w:rsidR="00141B97" w:rsidRDefault="00911D63">
            <w:pPr>
              <w:pStyle w:val="TableParagraph"/>
              <w:spacing w:before="111"/>
              <w:ind w:right="90"/>
              <w:jc w:val="right"/>
              <w:rPr>
                <w:sz w:val="18"/>
              </w:rPr>
            </w:pPr>
            <w:r>
              <w:rPr>
                <w:spacing w:val="-4"/>
                <w:sz w:val="18"/>
              </w:rPr>
              <w:t>0.50</w:t>
            </w:r>
          </w:p>
        </w:tc>
        <w:tc>
          <w:tcPr>
            <w:tcW w:w="1032" w:type="dxa"/>
            <w:shd w:val="clear" w:color="auto" w:fill="CCE2ED"/>
          </w:tcPr>
          <w:p w14:paraId="0D9B1103" w14:textId="77777777" w:rsidR="00141B97" w:rsidRDefault="00911D63">
            <w:pPr>
              <w:pStyle w:val="TableParagraph"/>
              <w:spacing w:before="111"/>
              <w:ind w:right="88"/>
              <w:jc w:val="right"/>
              <w:rPr>
                <w:sz w:val="18"/>
              </w:rPr>
            </w:pPr>
            <w:r>
              <w:rPr>
                <w:spacing w:val="-4"/>
                <w:sz w:val="18"/>
              </w:rPr>
              <w:t>0.50</w:t>
            </w:r>
          </w:p>
        </w:tc>
        <w:tc>
          <w:tcPr>
            <w:tcW w:w="1032" w:type="dxa"/>
            <w:shd w:val="clear" w:color="auto" w:fill="CCE2ED"/>
          </w:tcPr>
          <w:p w14:paraId="10E852F8" w14:textId="77777777" w:rsidR="00141B97" w:rsidRDefault="00911D63">
            <w:pPr>
              <w:pStyle w:val="TableParagraph"/>
              <w:spacing w:before="111"/>
              <w:ind w:right="87"/>
              <w:jc w:val="right"/>
              <w:rPr>
                <w:sz w:val="18"/>
              </w:rPr>
            </w:pPr>
            <w:r>
              <w:rPr>
                <w:spacing w:val="-4"/>
                <w:sz w:val="18"/>
              </w:rPr>
              <w:t>0.50</w:t>
            </w:r>
          </w:p>
        </w:tc>
        <w:tc>
          <w:tcPr>
            <w:tcW w:w="1022" w:type="dxa"/>
            <w:tcBorders>
              <w:right w:val="nil"/>
            </w:tcBorders>
            <w:shd w:val="clear" w:color="auto" w:fill="CCE2ED"/>
          </w:tcPr>
          <w:p w14:paraId="3BC3B462" w14:textId="77777777" w:rsidR="00141B97" w:rsidRDefault="00911D63">
            <w:pPr>
              <w:pStyle w:val="TableParagraph"/>
              <w:spacing w:before="111"/>
              <w:ind w:right="76"/>
              <w:jc w:val="right"/>
              <w:rPr>
                <w:sz w:val="18"/>
              </w:rPr>
            </w:pPr>
            <w:r>
              <w:rPr>
                <w:spacing w:val="-4"/>
                <w:sz w:val="18"/>
              </w:rPr>
              <w:t>2.49</w:t>
            </w:r>
          </w:p>
        </w:tc>
      </w:tr>
      <w:tr w:rsidR="00141B97" w14:paraId="5BE97F80" w14:textId="77777777">
        <w:trPr>
          <w:trHeight w:val="255"/>
          <w:tblCellSpacing w:w="9" w:type="dxa"/>
        </w:trPr>
        <w:tc>
          <w:tcPr>
            <w:tcW w:w="1658" w:type="dxa"/>
            <w:tcBorders>
              <w:left w:val="nil"/>
              <w:bottom w:val="nil"/>
            </w:tcBorders>
            <w:shd w:val="clear" w:color="auto" w:fill="BFBFBF"/>
          </w:tcPr>
          <w:p w14:paraId="3E20A3CF" w14:textId="77777777" w:rsidR="00141B97" w:rsidRDefault="00911D63">
            <w:pPr>
              <w:pStyle w:val="TableParagraph"/>
              <w:ind w:left="88"/>
              <w:rPr>
                <w:sz w:val="18"/>
              </w:rPr>
            </w:pPr>
            <w:r>
              <w:rPr>
                <w:sz w:val="18"/>
              </w:rPr>
              <w:t>Total</w:t>
            </w:r>
            <w:r>
              <w:rPr>
                <w:spacing w:val="-1"/>
                <w:sz w:val="18"/>
              </w:rPr>
              <w:t xml:space="preserve"> </w:t>
            </w:r>
            <w:r>
              <w:rPr>
                <w:spacing w:val="-2"/>
                <w:sz w:val="18"/>
              </w:rPr>
              <w:t>capex</w:t>
            </w:r>
          </w:p>
        </w:tc>
        <w:tc>
          <w:tcPr>
            <w:tcW w:w="880" w:type="dxa"/>
            <w:tcBorders>
              <w:bottom w:val="nil"/>
            </w:tcBorders>
            <w:shd w:val="clear" w:color="auto" w:fill="BFBFBF"/>
          </w:tcPr>
          <w:p w14:paraId="05392421" w14:textId="77777777" w:rsidR="00141B97" w:rsidRDefault="00911D63">
            <w:pPr>
              <w:pStyle w:val="TableParagraph"/>
              <w:spacing w:before="18" w:line="216" w:lineRule="exact"/>
              <w:ind w:right="95"/>
              <w:jc w:val="right"/>
              <w:rPr>
                <w:sz w:val="18"/>
              </w:rPr>
            </w:pPr>
            <w:r>
              <w:rPr>
                <w:spacing w:val="-4"/>
                <w:sz w:val="18"/>
              </w:rPr>
              <w:t>8.34</w:t>
            </w:r>
          </w:p>
        </w:tc>
        <w:tc>
          <w:tcPr>
            <w:tcW w:w="1032" w:type="dxa"/>
            <w:tcBorders>
              <w:bottom w:val="nil"/>
            </w:tcBorders>
            <w:shd w:val="clear" w:color="auto" w:fill="BFBFBF"/>
          </w:tcPr>
          <w:p w14:paraId="7C2BB6FD" w14:textId="77777777" w:rsidR="00141B97" w:rsidRDefault="00911D63">
            <w:pPr>
              <w:pStyle w:val="TableParagraph"/>
              <w:spacing w:before="18" w:line="216" w:lineRule="exact"/>
              <w:ind w:right="93"/>
              <w:jc w:val="right"/>
              <w:rPr>
                <w:sz w:val="18"/>
              </w:rPr>
            </w:pPr>
            <w:r>
              <w:rPr>
                <w:spacing w:val="-4"/>
                <w:sz w:val="18"/>
              </w:rPr>
              <w:t>6.02</w:t>
            </w:r>
          </w:p>
        </w:tc>
        <w:tc>
          <w:tcPr>
            <w:tcW w:w="1031" w:type="dxa"/>
            <w:tcBorders>
              <w:bottom w:val="nil"/>
            </w:tcBorders>
            <w:shd w:val="clear" w:color="auto" w:fill="BFBFBF"/>
          </w:tcPr>
          <w:p w14:paraId="3418002C" w14:textId="77777777" w:rsidR="00141B97" w:rsidRDefault="00911D63">
            <w:pPr>
              <w:pStyle w:val="TableParagraph"/>
              <w:spacing w:before="18" w:line="216" w:lineRule="exact"/>
              <w:ind w:right="92"/>
              <w:jc w:val="right"/>
              <w:rPr>
                <w:sz w:val="18"/>
              </w:rPr>
            </w:pPr>
            <w:r>
              <w:rPr>
                <w:spacing w:val="-2"/>
                <w:sz w:val="18"/>
              </w:rPr>
              <w:t>16.08</w:t>
            </w:r>
          </w:p>
        </w:tc>
        <w:tc>
          <w:tcPr>
            <w:tcW w:w="1032" w:type="dxa"/>
            <w:tcBorders>
              <w:bottom w:val="nil"/>
            </w:tcBorders>
            <w:shd w:val="clear" w:color="auto" w:fill="BFBFBF"/>
          </w:tcPr>
          <w:p w14:paraId="17CB5FFE" w14:textId="77777777" w:rsidR="00141B97" w:rsidRDefault="00911D63">
            <w:pPr>
              <w:pStyle w:val="TableParagraph"/>
              <w:spacing w:before="18" w:line="216" w:lineRule="exact"/>
              <w:ind w:right="91"/>
              <w:jc w:val="right"/>
              <w:rPr>
                <w:sz w:val="18"/>
              </w:rPr>
            </w:pPr>
            <w:r>
              <w:rPr>
                <w:spacing w:val="-4"/>
                <w:sz w:val="18"/>
              </w:rPr>
              <w:t>8.51</w:t>
            </w:r>
          </w:p>
        </w:tc>
        <w:tc>
          <w:tcPr>
            <w:tcW w:w="1032" w:type="dxa"/>
            <w:tcBorders>
              <w:bottom w:val="nil"/>
            </w:tcBorders>
            <w:shd w:val="clear" w:color="auto" w:fill="BFBFBF"/>
          </w:tcPr>
          <w:p w14:paraId="702E5C1A" w14:textId="77777777" w:rsidR="00141B97" w:rsidRDefault="00911D63">
            <w:pPr>
              <w:pStyle w:val="TableParagraph"/>
              <w:spacing w:before="18" w:line="216" w:lineRule="exact"/>
              <w:ind w:right="90"/>
              <w:jc w:val="right"/>
              <w:rPr>
                <w:sz w:val="18"/>
              </w:rPr>
            </w:pPr>
            <w:r>
              <w:rPr>
                <w:spacing w:val="-4"/>
                <w:sz w:val="18"/>
              </w:rPr>
              <w:t>8.06</w:t>
            </w:r>
          </w:p>
        </w:tc>
        <w:tc>
          <w:tcPr>
            <w:tcW w:w="1032" w:type="dxa"/>
            <w:tcBorders>
              <w:bottom w:val="nil"/>
            </w:tcBorders>
            <w:shd w:val="clear" w:color="auto" w:fill="BFBFBF"/>
          </w:tcPr>
          <w:p w14:paraId="3D904090" w14:textId="77777777" w:rsidR="00141B97" w:rsidRDefault="00911D63">
            <w:pPr>
              <w:pStyle w:val="TableParagraph"/>
              <w:spacing w:before="18" w:line="216" w:lineRule="exact"/>
              <w:ind w:right="88"/>
              <w:jc w:val="right"/>
              <w:rPr>
                <w:sz w:val="18"/>
              </w:rPr>
            </w:pPr>
            <w:r>
              <w:rPr>
                <w:spacing w:val="-4"/>
                <w:sz w:val="18"/>
              </w:rPr>
              <w:t>9.30</w:t>
            </w:r>
          </w:p>
        </w:tc>
        <w:tc>
          <w:tcPr>
            <w:tcW w:w="1032" w:type="dxa"/>
            <w:tcBorders>
              <w:bottom w:val="nil"/>
            </w:tcBorders>
            <w:shd w:val="clear" w:color="auto" w:fill="BFBFBF"/>
          </w:tcPr>
          <w:p w14:paraId="6209BC89" w14:textId="77777777" w:rsidR="00141B97" w:rsidRDefault="00911D63">
            <w:pPr>
              <w:pStyle w:val="TableParagraph"/>
              <w:spacing w:before="18" w:line="216" w:lineRule="exact"/>
              <w:ind w:right="87"/>
              <w:jc w:val="right"/>
              <w:rPr>
                <w:sz w:val="18"/>
              </w:rPr>
            </w:pPr>
            <w:r>
              <w:rPr>
                <w:spacing w:val="-4"/>
                <w:sz w:val="18"/>
              </w:rPr>
              <w:t>8.41</w:t>
            </w:r>
          </w:p>
        </w:tc>
        <w:tc>
          <w:tcPr>
            <w:tcW w:w="1022" w:type="dxa"/>
            <w:tcBorders>
              <w:bottom w:val="nil"/>
              <w:right w:val="nil"/>
            </w:tcBorders>
            <w:shd w:val="clear" w:color="auto" w:fill="BFBFBF"/>
          </w:tcPr>
          <w:p w14:paraId="2A92C703" w14:textId="77777777" w:rsidR="00141B97" w:rsidRDefault="00911D63">
            <w:pPr>
              <w:pStyle w:val="TableParagraph"/>
              <w:spacing w:before="18" w:line="216" w:lineRule="exact"/>
              <w:ind w:right="76"/>
              <w:jc w:val="right"/>
              <w:rPr>
                <w:sz w:val="18"/>
              </w:rPr>
            </w:pPr>
            <w:r>
              <w:rPr>
                <w:spacing w:val="-2"/>
                <w:sz w:val="18"/>
              </w:rPr>
              <w:t>50.35</w:t>
            </w:r>
          </w:p>
        </w:tc>
      </w:tr>
    </w:tbl>
    <w:p w14:paraId="27CD414B" w14:textId="77777777" w:rsidR="00141B97" w:rsidRDefault="00911D63">
      <w:pPr>
        <w:spacing w:before="23"/>
        <w:ind w:left="163"/>
        <w:jc w:val="both"/>
        <w:rPr>
          <w:sz w:val="16"/>
        </w:rPr>
      </w:pPr>
      <w:r>
        <w:rPr>
          <w:sz w:val="16"/>
        </w:rPr>
        <w:t>Table</w:t>
      </w:r>
      <w:r>
        <w:rPr>
          <w:spacing w:val="-5"/>
          <w:sz w:val="16"/>
        </w:rPr>
        <w:t xml:space="preserve"> </w:t>
      </w:r>
      <w:r>
        <w:rPr>
          <w:sz w:val="16"/>
        </w:rPr>
        <w:t>C22:</w:t>
      </w:r>
      <w:r>
        <w:rPr>
          <w:spacing w:val="-5"/>
          <w:sz w:val="16"/>
        </w:rPr>
        <w:t xml:space="preserve"> </w:t>
      </w:r>
      <w:r>
        <w:rPr>
          <w:sz w:val="16"/>
        </w:rPr>
        <w:t>Forecast</w:t>
      </w:r>
      <w:r>
        <w:rPr>
          <w:spacing w:val="-4"/>
          <w:sz w:val="16"/>
        </w:rPr>
        <w:t xml:space="preserve"> </w:t>
      </w:r>
      <w:r>
        <w:rPr>
          <w:sz w:val="16"/>
        </w:rPr>
        <w:t>Capital</w:t>
      </w:r>
      <w:r>
        <w:rPr>
          <w:spacing w:val="-5"/>
          <w:sz w:val="16"/>
        </w:rPr>
        <w:t xml:space="preserve"> </w:t>
      </w:r>
      <w:r>
        <w:rPr>
          <w:sz w:val="16"/>
        </w:rPr>
        <w:t>Expenditure</w:t>
      </w:r>
      <w:r>
        <w:rPr>
          <w:spacing w:val="-3"/>
          <w:sz w:val="16"/>
        </w:rPr>
        <w:t xml:space="preserve"> </w:t>
      </w:r>
      <w:r>
        <w:rPr>
          <w:sz w:val="16"/>
        </w:rPr>
        <w:t>‐</w:t>
      </w:r>
      <w:r>
        <w:rPr>
          <w:spacing w:val="-5"/>
          <w:sz w:val="16"/>
        </w:rPr>
        <w:t xml:space="preserve"> </w:t>
      </w:r>
      <w:r>
        <w:rPr>
          <w:sz w:val="16"/>
        </w:rPr>
        <w:t>$m</w:t>
      </w:r>
      <w:r>
        <w:rPr>
          <w:spacing w:val="-4"/>
          <w:sz w:val="16"/>
        </w:rPr>
        <w:t xml:space="preserve"> </w:t>
      </w:r>
      <w:r>
        <w:rPr>
          <w:spacing w:val="-2"/>
          <w:sz w:val="16"/>
        </w:rPr>
        <w:t>1/1/23</w:t>
      </w:r>
    </w:p>
    <w:p w14:paraId="084EB463" w14:textId="77777777" w:rsidR="00141B97" w:rsidRDefault="00141B97">
      <w:pPr>
        <w:jc w:val="both"/>
        <w:rPr>
          <w:sz w:val="16"/>
        </w:rPr>
        <w:sectPr w:rsidR="00141B97">
          <w:pgSz w:w="11910" w:h="16840"/>
          <w:pgMar w:top="820" w:right="40" w:bottom="780" w:left="1020" w:header="0" w:footer="586" w:gutter="0"/>
          <w:cols w:space="720"/>
        </w:sectPr>
      </w:pPr>
    </w:p>
    <w:p w14:paraId="4E6B0125" w14:textId="77777777" w:rsidR="00141B97" w:rsidRDefault="00911D63">
      <w:pPr>
        <w:pStyle w:val="BodyText"/>
        <w:spacing w:before="31"/>
        <w:ind w:left="113" w:right="949"/>
        <w:jc w:val="both"/>
      </w:pPr>
      <w:r>
        <w:lastRenderedPageBreak/>
        <w:t>Figure</w:t>
      </w:r>
      <w:r>
        <w:rPr>
          <w:spacing w:val="-13"/>
        </w:rPr>
        <w:t xml:space="preserve"> </w:t>
      </w:r>
      <w:r>
        <w:t>C4</w:t>
      </w:r>
      <w:r>
        <w:rPr>
          <w:spacing w:val="-12"/>
        </w:rPr>
        <w:t xml:space="preserve"> </w:t>
      </w:r>
      <w:r>
        <w:t>shows</w:t>
      </w:r>
      <w:r>
        <w:rPr>
          <w:spacing w:val="-13"/>
        </w:rPr>
        <w:t xml:space="preserve"> </w:t>
      </w:r>
      <w:r>
        <w:t>the</w:t>
      </w:r>
      <w:r>
        <w:rPr>
          <w:spacing w:val="-12"/>
        </w:rPr>
        <w:t xml:space="preserve"> </w:t>
      </w:r>
      <w:r>
        <w:t>proposed</w:t>
      </w:r>
      <w:r>
        <w:rPr>
          <w:spacing w:val="-13"/>
        </w:rPr>
        <w:t xml:space="preserve"> </w:t>
      </w:r>
      <w:r>
        <w:t>PS5</w:t>
      </w:r>
      <w:r>
        <w:rPr>
          <w:spacing w:val="-12"/>
        </w:rPr>
        <w:t xml:space="preserve"> </w:t>
      </w:r>
      <w:r>
        <w:t>capital</w:t>
      </w:r>
      <w:r>
        <w:rPr>
          <w:spacing w:val="-13"/>
        </w:rPr>
        <w:t xml:space="preserve"> </w:t>
      </w:r>
      <w:r>
        <w:t>expenditure</w:t>
      </w:r>
      <w:r>
        <w:rPr>
          <w:spacing w:val="-12"/>
        </w:rPr>
        <w:t xml:space="preserve"> </w:t>
      </w:r>
      <w:r>
        <w:t>along</w:t>
      </w:r>
      <w:r>
        <w:rPr>
          <w:spacing w:val="-12"/>
        </w:rPr>
        <w:t xml:space="preserve"> </w:t>
      </w:r>
      <w:r>
        <w:t>with</w:t>
      </w:r>
      <w:r>
        <w:rPr>
          <w:spacing w:val="-13"/>
        </w:rPr>
        <w:t xml:space="preserve"> </w:t>
      </w:r>
      <w:r>
        <w:t>the</w:t>
      </w:r>
      <w:r>
        <w:rPr>
          <w:spacing w:val="-12"/>
        </w:rPr>
        <w:t xml:space="preserve"> </w:t>
      </w:r>
      <w:r>
        <w:t>trend</w:t>
      </w:r>
      <w:r>
        <w:rPr>
          <w:spacing w:val="-13"/>
        </w:rPr>
        <w:t xml:space="preserve"> </w:t>
      </w:r>
      <w:r>
        <w:t>forecast</w:t>
      </w:r>
      <w:r>
        <w:rPr>
          <w:spacing w:val="-12"/>
        </w:rPr>
        <w:t xml:space="preserve"> </w:t>
      </w:r>
      <w:r>
        <w:t>through</w:t>
      </w:r>
      <w:r>
        <w:rPr>
          <w:spacing w:val="-13"/>
        </w:rPr>
        <w:t xml:space="preserve"> </w:t>
      </w:r>
      <w:r>
        <w:t>the</w:t>
      </w:r>
      <w:r>
        <w:rPr>
          <w:spacing w:val="-12"/>
        </w:rPr>
        <w:t xml:space="preserve"> </w:t>
      </w:r>
      <w:r>
        <w:t>sixth</w:t>
      </w:r>
      <w:r>
        <w:rPr>
          <w:spacing w:val="-12"/>
        </w:rPr>
        <w:t xml:space="preserve"> </w:t>
      </w:r>
      <w:r>
        <w:t>regulatory period, revealing a similar program to that delivered over the PS4 period.</w:t>
      </w:r>
    </w:p>
    <w:p w14:paraId="7A17D7B5" w14:textId="77777777" w:rsidR="00141B97" w:rsidRDefault="00911D63">
      <w:pPr>
        <w:pStyle w:val="BodyText"/>
        <w:spacing w:before="2"/>
        <w:rPr>
          <w:sz w:val="19"/>
        </w:rPr>
      </w:pPr>
      <w:r>
        <w:rPr>
          <w:noProof/>
        </w:rPr>
        <w:drawing>
          <wp:anchor distT="0" distB="0" distL="0" distR="0" simplePos="0" relativeHeight="71" behindDoc="0" locked="0" layoutInCell="1" allowOverlap="1" wp14:anchorId="32DA44D5" wp14:editId="7A8F7279">
            <wp:simplePos x="0" y="0"/>
            <wp:positionH relativeFrom="page">
              <wp:posOffset>716280</wp:posOffset>
            </wp:positionH>
            <wp:positionV relativeFrom="paragraph">
              <wp:posOffset>164014</wp:posOffset>
            </wp:positionV>
            <wp:extent cx="5907276" cy="3081528"/>
            <wp:effectExtent l="0" t="0" r="0" b="0"/>
            <wp:wrapTopAndBottom/>
            <wp:docPr id="8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95" cstate="email">
                      <a:extLst>
                        <a:ext uri="{28A0092B-C50C-407E-A947-70E740481C1C}">
                          <a14:useLocalDpi xmlns:a14="http://schemas.microsoft.com/office/drawing/2010/main"/>
                        </a:ext>
                      </a:extLst>
                    </a:blip>
                    <a:stretch>
                      <a:fillRect/>
                    </a:stretch>
                  </pic:blipFill>
                  <pic:spPr>
                    <a:xfrm>
                      <a:off x="0" y="0"/>
                      <a:ext cx="5907276" cy="3081528"/>
                    </a:xfrm>
                    <a:prstGeom prst="rect">
                      <a:avLst/>
                    </a:prstGeom>
                  </pic:spPr>
                </pic:pic>
              </a:graphicData>
            </a:graphic>
          </wp:anchor>
        </w:drawing>
      </w:r>
    </w:p>
    <w:p w14:paraId="7FBB30D6" w14:textId="77777777" w:rsidR="00141B97" w:rsidRDefault="00911D63">
      <w:pPr>
        <w:spacing w:before="2"/>
        <w:ind w:left="114"/>
        <w:jc w:val="both"/>
        <w:rPr>
          <w:sz w:val="16"/>
        </w:rPr>
      </w:pPr>
      <w:r>
        <w:rPr>
          <w:sz w:val="16"/>
        </w:rPr>
        <w:t>Figure</w:t>
      </w:r>
      <w:r>
        <w:rPr>
          <w:spacing w:val="-5"/>
          <w:sz w:val="16"/>
        </w:rPr>
        <w:t xml:space="preserve"> </w:t>
      </w:r>
      <w:r>
        <w:rPr>
          <w:sz w:val="16"/>
        </w:rPr>
        <w:t>C4:</w:t>
      </w:r>
      <w:r>
        <w:rPr>
          <w:spacing w:val="-5"/>
          <w:sz w:val="16"/>
        </w:rPr>
        <w:t xml:space="preserve"> </w:t>
      </w:r>
      <w:r>
        <w:rPr>
          <w:sz w:val="16"/>
        </w:rPr>
        <w:t>Forecast</w:t>
      </w:r>
      <w:r>
        <w:rPr>
          <w:spacing w:val="-4"/>
          <w:sz w:val="16"/>
        </w:rPr>
        <w:t xml:space="preserve"> </w:t>
      </w:r>
      <w:r>
        <w:rPr>
          <w:sz w:val="16"/>
        </w:rPr>
        <w:t>Capital</w:t>
      </w:r>
      <w:r>
        <w:rPr>
          <w:spacing w:val="-4"/>
          <w:sz w:val="16"/>
        </w:rPr>
        <w:t xml:space="preserve"> </w:t>
      </w:r>
      <w:r>
        <w:rPr>
          <w:sz w:val="16"/>
        </w:rPr>
        <w:t>Expenditure</w:t>
      </w:r>
      <w:r>
        <w:rPr>
          <w:spacing w:val="-5"/>
          <w:sz w:val="16"/>
        </w:rPr>
        <w:t xml:space="preserve"> </w:t>
      </w:r>
      <w:r>
        <w:rPr>
          <w:sz w:val="16"/>
        </w:rPr>
        <w:t>($m</w:t>
      </w:r>
      <w:r>
        <w:rPr>
          <w:spacing w:val="-5"/>
          <w:sz w:val="16"/>
        </w:rPr>
        <w:t xml:space="preserve"> </w:t>
      </w:r>
      <w:r>
        <w:rPr>
          <w:spacing w:val="-2"/>
          <w:sz w:val="16"/>
        </w:rPr>
        <w:t>1/1/23)</w:t>
      </w:r>
    </w:p>
    <w:p w14:paraId="4B4D8C22" w14:textId="77777777" w:rsidR="00141B97" w:rsidRDefault="00141B97">
      <w:pPr>
        <w:pStyle w:val="BodyText"/>
      </w:pPr>
    </w:p>
    <w:p w14:paraId="7905E112" w14:textId="77777777" w:rsidR="00141B97" w:rsidRDefault="00911D63">
      <w:pPr>
        <w:pStyle w:val="BodyText"/>
        <w:ind w:left="113" w:right="948"/>
        <w:jc w:val="both"/>
      </w:pPr>
      <w:r>
        <w:t>Table C23 shows the proposed PS5 capital expenditure by cost driver, showing that the program is predominantly</w:t>
      </w:r>
      <w:r>
        <w:rPr>
          <w:spacing w:val="-5"/>
        </w:rPr>
        <w:t xml:space="preserve"> </w:t>
      </w:r>
      <w:r>
        <w:t>allocated</w:t>
      </w:r>
      <w:r>
        <w:rPr>
          <w:spacing w:val="-5"/>
        </w:rPr>
        <w:t xml:space="preserve"> </w:t>
      </w:r>
      <w:r>
        <w:t>to</w:t>
      </w:r>
      <w:r>
        <w:rPr>
          <w:spacing w:val="-5"/>
        </w:rPr>
        <w:t xml:space="preserve"> </w:t>
      </w:r>
      <w:r>
        <w:t>renewals</w:t>
      </w:r>
      <w:r>
        <w:rPr>
          <w:spacing w:val="-4"/>
        </w:rPr>
        <w:t xml:space="preserve"> </w:t>
      </w:r>
      <w:r>
        <w:t>and</w:t>
      </w:r>
      <w:r>
        <w:rPr>
          <w:spacing w:val="-4"/>
        </w:rPr>
        <w:t xml:space="preserve"> </w:t>
      </w:r>
      <w:r>
        <w:t>replacement</w:t>
      </w:r>
      <w:r>
        <w:rPr>
          <w:spacing w:val="-3"/>
        </w:rPr>
        <w:t xml:space="preserve"> </w:t>
      </w:r>
      <w:r>
        <w:t>of</w:t>
      </w:r>
      <w:r>
        <w:rPr>
          <w:spacing w:val="-5"/>
        </w:rPr>
        <w:t xml:space="preserve"> </w:t>
      </w:r>
      <w:r>
        <w:t>assets,</w:t>
      </w:r>
      <w:r>
        <w:rPr>
          <w:spacing w:val="-4"/>
        </w:rPr>
        <w:t xml:space="preserve"> </w:t>
      </w:r>
      <w:r>
        <w:t>totaling</w:t>
      </w:r>
      <w:r>
        <w:rPr>
          <w:spacing w:val="-5"/>
        </w:rPr>
        <w:t xml:space="preserve"> </w:t>
      </w:r>
      <w:r>
        <w:t>$30.55m</w:t>
      </w:r>
      <w:r>
        <w:rPr>
          <w:spacing w:val="-5"/>
        </w:rPr>
        <w:t xml:space="preserve"> </w:t>
      </w:r>
      <w:r>
        <w:t>or</w:t>
      </w:r>
      <w:r>
        <w:rPr>
          <w:spacing w:val="-5"/>
        </w:rPr>
        <w:t xml:space="preserve"> </w:t>
      </w:r>
      <w:r>
        <w:t>61%</w:t>
      </w:r>
      <w:r>
        <w:rPr>
          <w:spacing w:val="-5"/>
        </w:rPr>
        <w:t xml:space="preserve"> </w:t>
      </w:r>
      <w:r>
        <w:t>of</w:t>
      </w:r>
      <w:r>
        <w:rPr>
          <w:spacing w:val="-4"/>
        </w:rPr>
        <w:t xml:space="preserve"> </w:t>
      </w:r>
      <w:r>
        <w:t>the</w:t>
      </w:r>
      <w:r>
        <w:rPr>
          <w:spacing w:val="-5"/>
        </w:rPr>
        <w:t xml:space="preserve"> </w:t>
      </w:r>
      <w:r>
        <w:t>rural</w:t>
      </w:r>
      <w:r>
        <w:rPr>
          <w:spacing w:val="-5"/>
        </w:rPr>
        <w:t xml:space="preserve"> </w:t>
      </w:r>
      <w:r>
        <w:t>program. The customer contributions shown for 2023‐24 are for NSW government contributions to the Millewa Pump Station</w:t>
      </w:r>
      <w:r>
        <w:rPr>
          <w:spacing w:val="-7"/>
        </w:rPr>
        <w:t xml:space="preserve"> </w:t>
      </w:r>
      <w:r>
        <w:t>upgrade,</w:t>
      </w:r>
      <w:r>
        <w:rPr>
          <w:spacing w:val="-7"/>
        </w:rPr>
        <w:t xml:space="preserve"> </w:t>
      </w:r>
      <w:r>
        <w:t>while</w:t>
      </w:r>
      <w:r>
        <w:rPr>
          <w:spacing w:val="-8"/>
        </w:rPr>
        <w:t xml:space="preserve"> </w:t>
      </w:r>
      <w:r>
        <w:t>the</w:t>
      </w:r>
      <w:r>
        <w:rPr>
          <w:spacing w:val="-6"/>
        </w:rPr>
        <w:t xml:space="preserve"> </w:t>
      </w:r>
      <w:r>
        <w:t>balance</w:t>
      </w:r>
      <w:r>
        <w:rPr>
          <w:spacing w:val="-6"/>
        </w:rPr>
        <w:t xml:space="preserve"> </w:t>
      </w:r>
      <w:r>
        <w:t>of</w:t>
      </w:r>
      <w:r>
        <w:rPr>
          <w:spacing w:val="-6"/>
        </w:rPr>
        <w:t xml:space="preserve"> </w:t>
      </w:r>
      <w:r>
        <w:t>customer</w:t>
      </w:r>
      <w:r>
        <w:rPr>
          <w:spacing w:val="-7"/>
        </w:rPr>
        <w:t xml:space="preserve"> </w:t>
      </w:r>
      <w:r>
        <w:t>contributions</w:t>
      </w:r>
      <w:r>
        <w:rPr>
          <w:spacing w:val="-7"/>
        </w:rPr>
        <w:t xml:space="preserve"> </w:t>
      </w:r>
      <w:r>
        <w:t>reflect</w:t>
      </w:r>
      <w:r>
        <w:rPr>
          <w:spacing w:val="-7"/>
        </w:rPr>
        <w:t xml:space="preserve"> </w:t>
      </w:r>
      <w:r>
        <w:t>typical</w:t>
      </w:r>
      <w:r>
        <w:rPr>
          <w:spacing w:val="-8"/>
        </w:rPr>
        <w:t xml:space="preserve"> </w:t>
      </w:r>
      <w:r>
        <w:t>customer</w:t>
      </w:r>
      <w:r>
        <w:rPr>
          <w:spacing w:val="-6"/>
        </w:rPr>
        <w:t xml:space="preserve"> </w:t>
      </w:r>
      <w:r>
        <w:t>connection</w:t>
      </w:r>
      <w:r>
        <w:rPr>
          <w:spacing w:val="-7"/>
        </w:rPr>
        <w:t xml:space="preserve"> </w:t>
      </w:r>
      <w:r>
        <w:t>and</w:t>
      </w:r>
      <w:r>
        <w:rPr>
          <w:spacing w:val="-7"/>
        </w:rPr>
        <w:t xml:space="preserve"> </w:t>
      </w:r>
      <w:r>
        <w:t xml:space="preserve">metering </w:t>
      </w:r>
      <w:r>
        <w:rPr>
          <w:spacing w:val="-2"/>
        </w:rPr>
        <w:t>contributions.</w:t>
      </w:r>
    </w:p>
    <w:p w14:paraId="71985EE1" w14:textId="77777777" w:rsidR="00141B97" w:rsidRDefault="00141B97">
      <w:pPr>
        <w:pStyle w:val="BodyText"/>
        <w:spacing w:before="7"/>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111"/>
        <w:gridCol w:w="1109"/>
        <w:gridCol w:w="1109"/>
        <w:gridCol w:w="1109"/>
        <w:gridCol w:w="1110"/>
        <w:gridCol w:w="1109"/>
        <w:gridCol w:w="1230"/>
      </w:tblGrid>
      <w:tr w:rsidR="00141B97" w14:paraId="1D8B106B" w14:textId="77777777">
        <w:trPr>
          <w:trHeight w:val="316"/>
          <w:tblCellSpacing w:w="9" w:type="dxa"/>
        </w:trPr>
        <w:tc>
          <w:tcPr>
            <w:tcW w:w="3084" w:type="dxa"/>
            <w:tcBorders>
              <w:top w:val="nil"/>
              <w:left w:val="nil"/>
            </w:tcBorders>
            <w:shd w:val="clear" w:color="auto" w:fill="0064A4"/>
          </w:tcPr>
          <w:p w14:paraId="7D7CDAF1" w14:textId="77777777" w:rsidR="00141B97" w:rsidRDefault="00911D63">
            <w:pPr>
              <w:pStyle w:val="TableParagraph"/>
              <w:spacing w:before="49"/>
              <w:ind w:left="88"/>
              <w:rPr>
                <w:sz w:val="18"/>
              </w:rPr>
            </w:pPr>
            <w:r>
              <w:rPr>
                <w:color w:val="FFFFFF"/>
                <w:sz w:val="18"/>
              </w:rPr>
              <w:t>$m</w:t>
            </w:r>
            <w:r>
              <w:rPr>
                <w:color w:val="FFFFFF"/>
                <w:spacing w:val="-3"/>
                <w:sz w:val="18"/>
              </w:rPr>
              <w:t xml:space="preserve"> </w:t>
            </w:r>
            <w:r>
              <w:rPr>
                <w:color w:val="FFFFFF"/>
                <w:spacing w:val="-2"/>
                <w:sz w:val="18"/>
              </w:rPr>
              <w:t>1/1/23</w:t>
            </w:r>
          </w:p>
        </w:tc>
        <w:tc>
          <w:tcPr>
            <w:tcW w:w="6659" w:type="dxa"/>
            <w:gridSpan w:val="6"/>
            <w:tcBorders>
              <w:top w:val="nil"/>
              <w:right w:val="nil"/>
            </w:tcBorders>
            <w:shd w:val="clear" w:color="auto" w:fill="0064A4"/>
          </w:tcPr>
          <w:p w14:paraId="39E83D79" w14:textId="77777777" w:rsidR="00141B97" w:rsidRDefault="00911D63">
            <w:pPr>
              <w:pStyle w:val="TableParagraph"/>
              <w:spacing w:before="49"/>
              <w:ind w:left="2494" w:right="2489"/>
              <w:jc w:val="center"/>
              <w:rPr>
                <w:sz w:val="18"/>
              </w:rPr>
            </w:pPr>
            <w:r>
              <w:rPr>
                <w:color w:val="FFFFFF"/>
                <w:sz w:val="18"/>
              </w:rPr>
              <w:t>Fifth</w:t>
            </w:r>
            <w:r>
              <w:rPr>
                <w:color w:val="FFFFFF"/>
                <w:spacing w:val="-7"/>
                <w:sz w:val="18"/>
              </w:rPr>
              <w:t xml:space="preserve"> </w:t>
            </w:r>
            <w:r>
              <w:rPr>
                <w:color w:val="FFFFFF"/>
                <w:sz w:val="18"/>
              </w:rPr>
              <w:t>Regulatory</w:t>
            </w:r>
            <w:r>
              <w:rPr>
                <w:color w:val="FFFFFF"/>
                <w:spacing w:val="-7"/>
                <w:sz w:val="18"/>
              </w:rPr>
              <w:t xml:space="preserve"> </w:t>
            </w:r>
            <w:r>
              <w:rPr>
                <w:color w:val="FFFFFF"/>
                <w:spacing w:val="-2"/>
                <w:sz w:val="18"/>
              </w:rPr>
              <w:t>Period</w:t>
            </w:r>
          </w:p>
        </w:tc>
      </w:tr>
      <w:tr w:rsidR="00141B97" w14:paraId="0CA81F0E" w14:textId="77777777">
        <w:trPr>
          <w:trHeight w:val="314"/>
          <w:tblCellSpacing w:w="9" w:type="dxa"/>
        </w:trPr>
        <w:tc>
          <w:tcPr>
            <w:tcW w:w="3084" w:type="dxa"/>
            <w:tcBorders>
              <w:left w:val="nil"/>
            </w:tcBorders>
            <w:shd w:val="clear" w:color="auto" w:fill="0064A4"/>
          </w:tcPr>
          <w:p w14:paraId="7B019AF4" w14:textId="77777777" w:rsidR="00141B97" w:rsidRDefault="00911D63">
            <w:pPr>
              <w:pStyle w:val="TableParagraph"/>
              <w:spacing w:before="48"/>
              <w:ind w:left="88"/>
              <w:rPr>
                <w:sz w:val="18"/>
              </w:rPr>
            </w:pPr>
            <w:r>
              <w:rPr>
                <w:color w:val="FFFFFF"/>
                <w:sz w:val="18"/>
              </w:rPr>
              <w:t>Cost</w:t>
            </w:r>
            <w:r>
              <w:rPr>
                <w:color w:val="FFFFFF"/>
                <w:spacing w:val="-6"/>
                <w:sz w:val="18"/>
              </w:rPr>
              <w:t xml:space="preserve"> </w:t>
            </w:r>
            <w:r>
              <w:rPr>
                <w:color w:val="FFFFFF"/>
                <w:sz w:val="18"/>
              </w:rPr>
              <w:t>Driver</w:t>
            </w:r>
            <w:r>
              <w:rPr>
                <w:color w:val="FFFFFF"/>
                <w:spacing w:val="-4"/>
                <w:sz w:val="18"/>
              </w:rPr>
              <w:t xml:space="preserve"> </w:t>
            </w:r>
            <w:r>
              <w:rPr>
                <w:color w:val="FFFFFF"/>
                <w:spacing w:val="-2"/>
                <w:sz w:val="18"/>
              </w:rPr>
              <w:t>Category</w:t>
            </w:r>
          </w:p>
        </w:tc>
        <w:tc>
          <w:tcPr>
            <w:tcW w:w="1091" w:type="dxa"/>
            <w:shd w:val="clear" w:color="auto" w:fill="0064A4"/>
          </w:tcPr>
          <w:p w14:paraId="07A28ACA" w14:textId="77777777" w:rsidR="00141B97" w:rsidRDefault="00911D63">
            <w:pPr>
              <w:pStyle w:val="TableParagraph"/>
              <w:spacing w:before="48"/>
              <w:ind w:left="233"/>
              <w:rPr>
                <w:sz w:val="18"/>
              </w:rPr>
            </w:pPr>
            <w:r>
              <w:rPr>
                <w:color w:val="FFFFFF"/>
                <w:spacing w:val="-2"/>
                <w:sz w:val="18"/>
              </w:rPr>
              <w:t>2023‐24</w:t>
            </w:r>
          </w:p>
        </w:tc>
        <w:tc>
          <w:tcPr>
            <w:tcW w:w="1091" w:type="dxa"/>
            <w:shd w:val="clear" w:color="auto" w:fill="0064A4"/>
          </w:tcPr>
          <w:p w14:paraId="01B31C83" w14:textId="77777777" w:rsidR="00141B97" w:rsidRDefault="00911D63">
            <w:pPr>
              <w:pStyle w:val="TableParagraph"/>
              <w:spacing w:before="48"/>
              <w:ind w:left="233"/>
              <w:rPr>
                <w:sz w:val="18"/>
              </w:rPr>
            </w:pPr>
            <w:r>
              <w:rPr>
                <w:color w:val="FFFFFF"/>
                <w:spacing w:val="-2"/>
                <w:sz w:val="18"/>
              </w:rPr>
              <w:t>2024‐25</w:t>
            </w:r>
          </w:p>
        </w:tc>
        <w:tc>
          <w:tcPr>
            <w:tcW w:w="1091" w:type="dxa"/>
            <w:shd w:val="clear" w:color="auto" w:fill="0064A4"/>
          </w:tcPr>
          <w:p w14:paraId="4F5978BF" w14:textId="77777777" w:rsidR="00141B97" w:rsidRDefault="00911D63">
            <w:pPr>
              <w:pStyle w:val="TableParagraph"/>
              <w:spacing w:before="48"/>
              <w:ind w:left="233"/>
              <w:rPr>
                <w:sz w:val="18"/>
              </w:rPr>
            </w:pPr>
            <w:r>
              <w:rPr>
                <w:color w:val="FFFFFF"/>
                <w:spacing w:val="-2"/>
                <w:sz w:val="18"/>
              </w:rPr>
              <w:t>2025‐26</w:t>
            </w:r>
          </w:p>
        </w:tc>
        <w:tc>
          <w:tcPr>
            <w:tcW w:w="1092" w:type="dxa"/>
            <w:shd w:val="clear" w:color="auto" w:fill="0064A4"/>
          </w:tcPr>
          <w:p w14:paraId="367A2935" w14:textId="77777777" w:rsidR="00141B97" w:rsidRDefault="00911D63">
            <w:pPr>
              <w:pStyle w:val="TableParagraph"/>
              <w:spacing w:before="48"/>
              <w:ind w:left="233"/>
              <w:rPr>
                <w:sz w:val="18"/>
              </w:rPr>
            </w:pPr>
            <w:r>
              <w:rPr>
                <w:color w:val="FFFFFF"/>
                <w:spacing w:val="-2"/>
                <w:sz w:val="18"/>
              </w:rPr>
              <w:t>2026‐27</w:t>
            </w:r>
          </w:p>
        </w:tc>
        <w:tc>
          <w:tcPr>
            <w:tcW w:w="1091" w:type="dxa"/>
            <w:shd w:val="clear" w:color="auto" w:fill="0064A4"/>
          </w:tcPr>
          <w:p w14:paraId="078B9D5D" w14:textId="77777777" w:rsidR="00141B97" w:rsidRDefault="00911D63">
            <w:pPr>
              <w:pStyle w:val="TableParagraph"/>
              <w:spacing w:before="48"/>
              <w:ind w:left="231"/>
              <w:rPr>
                <w:sz w:val="18"/>
              </w:rPr>
            </w:pPr>
            <w:r>
              <w:rPr>
                <w:color w:val="FFFFFF"/>
                <w:spacing w:val="-2"/>
                <w:sz w:val="18"/>
              </w:rPr>
              <w:t>2027‐28</w:t>
            </w:r>
          </w:p>
        </w:tc>
        <w:tc>
          <w:tcPr>
            <w:tcW w:w="1203" w:type="dxa"/>
            <w:tcBorders>
              <w:right w:val="nil"/>
            </w:tcBorders>
            <w:shd w:val="clear" w:color="auto" w:fill="0064A4"/>
          </w:tcPr>
          <w:p w14:paraId="1220BABA" w14:textId="77777777" w:rsidR="00141B97" w:rsidRDefault="00911D63">
            <w:pPr>
              <w:pStyle w:val="TableParagraph"/>
              <w:spacing w:before="48"/>
              <w:ind w:left="360"/>
              <w:rPr>
                <w:sz w:val="18"/>
              </w:rPr>
            </w:pPr>
            <w:r>
              <w:rPr>
                <w:color w:val="FFFFFF"/>
                <w:spacing w:val="-2"/>
                <w:sz w:val="18"/>
              </w:rPr>
              <w:t>TOTAL</w:t>
            </w:r>
          </w:p>
        </w:tc>
      </w:tr>
      <w:tr w:rsidR="00141B97" w14:paraId="7B306124" w14:textId="77777777">
        <w:trPr>
          <w:trHeight w:val="314"/>
          <w:tblCellSpacing w:w="9" w:type="dxa"/>
        </w:trPr>
        <w:tc>
          <w:tcPr>
            <w:tcW w:w="3084" w:type="dxa"/>
            <w:tcBorders>
              <w:left w:val="nil"/>
            </w:tcBorders>
            <w:shd w:val="clear" w:color="auto" w:fill="CCE2ED"/>
          </w:tcPr>
          <w:p w14:paraId="28BC1961" w14:textId="77777777" w:rsidR="00141B97" w:rsidRDefault="00911D63">
            <w:pPr>
              <w:pStyle w:val="TableParagraph"/>
              <w:spacing w:before="48"/>
              <w:ind w:left="88"/>
              <w:rPr>
                <w:sz w:val="18"/>
              </w:rPr>
            </w:pPr>
            <w:r>
              <w:rPr>
                <w:spacing w:val="-2"/>
                <w:sz w:val="18"/>
              </w:rPr>
              <w:t>Renewals</w:t>
            </w:r>
          </w:p>
        </w:tc>
        <w:tc>
          <w:tcPr>
            <w:tcW w:w="1091" w:type="dxa"/>
            <w:shd w:val="clear" w:color="auto" w:fill="CCE2ED"/>
          </w:tcPr>
          <w:p w14:paraId="5326680B" w14:textId="77777777" w:rsidR="00141B97" w:rsidRDefault="00911D63">
            <w:pPr>
              <w:pStyle w:val="TableParagraph"/>
              <w:spacing w:before="48"/>
              <w:ind w:right="96"/>
              <w:jc w:val="right"/>
              <w:rPr>
                <w:sz w:val="18"/>
              </w:rPr>
            </w:pPr>
            <w:r>
              <w:rPr>
                <w:spacing w:val="-4"/>
                <w:sz w:val="18"/>
              </w:rPr>
              <w:t>6.51</w:t>
            </w:r>
          </w:p>
        </w:tc>
        <w:tc>
          <w:tcPr>
            <w:tcW w:w="1091" w:type="dxa"/>
            <w:shd w:val="clear" w:color="auto" w:fill="CCE2ED"/>
          </w:tcPr>
          <w:p w14:paraId="0372449E" w14:textId="77777777" w:rsidR="00141B97" w:rsidRDefault="00911D63">
            <w:pPr>
              <w:pStyle w:val="TableParagraph"/>
              <w:spacing w:before="48"/>
              <w:ind w:right="96"/>
              <w:jc w:val="right"/>
              <w:rPr>
                <w:sz w:val="18"/>
              </w:rPr>
            </w:pPr>
            <w:r>
              <w:rPr>
                <w:spacing w:val="-4"/>
                <w:sz w:val="18"/>
              </w:rPr>
              <w:t>6.23</w:t>
            </w:r>
          </w:p>
        </w:tc>
        <w:tc>
          <w:tcPr>
            <w:tcW w:w="1091" w:type="dxa"/>
            <w:shd w:val="clear" w:color="auto" w:fill="CCE2ED"/>
          </w:tcPr>
          <w:p w14:paraId="51BF13F9" w14:textId="77777777" w:rsidR="00141B97" w:rsidRDefault="00911D63">
            <w:pPr>
              <w:pStyle w:val="TableParagraph"/>
              <w:spacing w:before="48"/>
              <w:ind w:right="96"/>
              <w:jc w:val="right"/>
              <w:rPr>
                <w:sz w:val="18"/>
              </w:rPr>
            </w:pPr>
            <w:r>
              <w:rPr>
                <w:spacing w:val="-4"/>
                <w:sz w:val="18"/>
              </w:rPr>
              <w:t>6.48</w:t>
            </w:r>
          </w:p>
        </w:tc>
        <w:tc>
          <w:tcPr>
            <w:tcW w:w="1092" w:type="dxa"/>
            <w:shd w:val="clear" w:color="auto" w:fill="CCE2ED"/>
          </w:tcPr>
          <w:p w14:paraId="2A6E289A" w14:textId="77777777" w:rsidR="00141B97" w:rsidRDefault="00911D63">
            <w:pPr>
              <w:pStyle w:val="TableParagraph"/>
              <w:spacing w:before="48"/>
              <w:ind w:right="97"/>
              <w:jc w:val="right"/>
              <w:rPr>
                <w:sz w:val="18"/>
              </w:rPr>
            </w:pPr>
            <w:r>
              <w:rPr>
                <w:spacing w:val="-4"/>
                <w:sz w:val="18"/>
              </w:rPr>
              <w:t>6.11</w:t>
            </w:r>
          </w:p>
        </w:tc>
        <w:tc>
          <w:tcPr>
            <w:tcW w:w="1091" w:type="dxa"/>
            <w:shd w:val="clear" w:color="auto" w:fill="CCE2ED"/>
          </w:tcPr>
          <w:p w14:paraId="5F185A0F" w14:textId="77777777" w:rsidR="00141B97" w:rsidRDefault="00911D63">
            <w:pPr>
              <w:pStyle w:val="TableParagraph"/>
              <w:spacing w:before="48"/>
              <w:ind w:right="97"/>
              <w:jc w:val="right"/>
              <w:rPr>
                <w:sz w:val="18"/>
              </w:rPr>
            </w:pPr>
            <w:r>
              <w:rPr>
                <w:spacing w:val="-4"/>
                <w:sz w:val="18"/>
              </w:rPr>
              <w:t>5.22</w:t>
            </w:r>
          </w:p>
        </w:tc>
        <w:tc>
          <w:tcPr>
            <w:tcW w:w="1203" w:type="dxa"/>
            <w:tcBorders>
              <w:right w:val="nil"/>
            </w:tcBorders>
            <w:shd w:val="clear" w:color="auto" w:fill="CCE2ED"/>
          </w:tcPr>
          <w:p w14:paraId="4443E18B" w14:textId="77777777" w:rsidR="00141B97" w:rsidRDefault="00911D63">
            <w:pPr>
              <w:pStyle w:val="TableParagraph"/>
              <w:spacing w:before="48"/>
              <w:ind w:right="87"/>
              <w:jc w:val="right"/>
              <w:rPr>
                <w:sz w:val="18"/>
              </w:rPr>
            </w:pPr>
            <w:r>
              <w:rPr>
                <w:spacing w:val="-2"/>
                <w:sz w:val="18"/>
              </w:rPr>
              <w:t>30.55</w:t>
            </w:r>
          </w:p>
        </w:tc>
      </w:tr>
      <w:tr w:rsidR="00141B97" w14:paraId="0F05F00E" w14:textId="77777777">
        <w:trPr>
          <w:trHeight w:val="330"/>
          <w:tblCellSpacing w:w="9" w:type="dxa"/>
        </w:trPr>
        <w:tc>
          <w:tcPr>
            <w:tcW w:w="3084" w:type="dxa"/>
            <w:tcBorders>
              <w:left w:val="nil"/>
            </w:tcBorders>
            <w:shd w:val="clear" w:color="auto" w:fill="CCE2ED"/>
          </w:tcPr>
          <w:p w14:paraId="0A0BA582" w14:textId="77777777" w:rsidR="00141B97" w:rsidRDefault="00911D63">
            <w:pPr>
              <w:pStyle w:val="TableParagraph"/>
              <w:spacing w:before="55"/>
              <w:ind w:left="88"/>
              <w:rPr>
                <w:sz w:val="18"/>
              </w:rPr>
            </w:pPr>
            <w:r>
              <w:rPr>
                <w:spacing w:val="-2"/>
                <w:sz w:val="18"/>
              </w:rPr>
              <w:t>Growth</w:t>
            </w:r>
          </w:p>
        </w:tc>
        <w:tc>
          <w:tcPr>
            <w:tcW w:w="1091" w:type="dxa"/>
            <w:shd w:val="clear" w:color="auto" w:fill="CCE2ED"/>
          </w:tcPr>
          <w:p w14:paraId="7BD9106A" w14:textId="77777777" w:rsidR="00141B97" w:rsidRDefault="00911D63">
            <w:pPr>
              <w:pStyle w:val="TableParagraph"/>
              <w:spacing w:before="55"/>
              <w:ind w:right="96"/>
              <w:jc w:val="right"/>
              <w:rPr>
                <w:sz w:val="18"/>
              </w:rPr>
            </w:pPr>
            <w:r>
              <w:rPr>
                <w:spacing w:val="-4"/>
                <w:sz w:val="18"/>
              </w:rPr>
              <w:t>7.00</w:t>
            </w:r>
          </w:p>
        </w:tc>
        <w:tc>
          <w:tcPr>
            <w:tcW w:w="1091" w:type="dxa"/>
            <w:shd w:val="clear" w:color="auto" w:fill="CCE2ED"/>
          </w:tcPr>
          <w:p w14:paraId="5157A872" w14:textId="77777777" w:rsidR="00141B97" w:rsidRDefault="00911D63">
            <w:pPr>
              <w:pStyle w:val="TableParagraph"/>
              <w:spacing w:before="55"/>
              <w:ind w:right="96"/>
              <w:jc w:val="right"/>
              <w:rPr>
                <w:sz w:val="18"/>
              </w:rPr>
            </w:pPr>
            <w:r>
              <w:rPr>
                <w:spacing w:val="-4"/>
                <w:sz w:val="18"/>
              </w:rPr>
              <w:t>0.00</w:t>
            </w:r>
          </w:p>
        </w:tc>
        <w:tc>
          <w:tcPr>
            <w:tcW w:w="1091" w:type="dxa"/>
            <w:shd w:val="clear" w:color="auto" w:fill="CCE2ED"/>
          </w:tcPr>
          <w:p w14:paraId="2AE5F3A8" w14:textId="77777777" w:rsidR="00141B97" w:rsidRDefault="00911D63">
            <w:pPr>
              <w:pStyle w:val="TableParagraph"/>
              <w:spacing w:before="55"/>
              <w:ind w:right="96"/>
              <w:jc w:val="right"/>
              <w:rPr>
                <w:sz w:val="18"/>
              </w:rPr>
            </w:pPr>
            <w:r>
              <w:rPr>
                <w:spacing w:val="-4"/>
                <w:sz w:val="18"/>
              </w:rPr>
              <w:t>0.00</w:t>
            </w:r>
          </w:p>
        </w:tc>
        <w:tc>
          <w:tcPr>
            <w:tcW w:w="1092" w:type="dxa"/>
            <w:shd w:val="clear" w:color="auto" w:fill="CCE2ED"/>
          </w:tcPr>
          <w:p w14:paraId="52C1507E" w14:textId="77777777" w:rsidR="00141B97" w:rsidRDefault="00911D63">
            <w:pPr>
              <w:pStyle w:val="TableParagraph"/>
              <w:spacing w:before="55"/>
              <w:ind w:right="97"/>
              <w:jc w:val="right"/>
              <w:rPr>
                <w:sz w:val="18"/>
              </w:rPr>
            </w:pPr>
            <w:r>
              <w:rPr>
                <w:spacing w:val="-4"/>
                <w:sz w:val="18"/>
              </w:rPr>
              <w:t>0.00</w:t>
            </w:r>
          </w:p>
        </w:tc>
        <w:tc>
          <w:tcPr>
            <w:tcW w:w="1091" w:type="dxa"/>
            <w:shd w:val="clear" w:color="auto" w:fill="CCE2ED"/>
          </w:tcPr>
          <w:p w14:paraId="5D39D128" w14:textId="77777777" w:rsidR="00141B97" w:rsidRDefault="00911D63">
            <w:pPr>
              <w:pStyle w:val="TableParagraph"/>
              <w:spacing w:before="55"/>
              <w:ind w:right="97"/>
              <w:jc w:val="right"/>
              <w:rPr>
                <w:sz w:val="18"/>
              </w:rPr>
            </w:pPr>
            <w:r>
              <w:rPr>
                <w:spacing w:val="-4"/>
                <w:sz w:val="18"/>
              </w:rPr>
              <w:t>0.00</w:t>
            </w:r>
          </w:p>
        </w:tc>
        <w:tc>
          <w:tcPr>
            <w:tcW w:w="1203" w:type="dxa"/>
            <w:tcBorders>
              <w:right w:val="nil"/>
            </w:tcBorders>
            <w:shd w:val="clear" w:color="auto" w:fill="CCE2ED"/>
          </w:tcPr>
          <w:p w14:paraId="0E19CE24" w14:textId="77777777" w:rsidR="00141B97" w:rsidRDefault="00911D63">
            <w:pPr>
              <w:pStyle w:val="TableParagraph"/>
              <w:spacing w:before="55"/>
              <w:ind w:right="87"/>
              <w:jc w:val="right"/>
              <w:rPr>
                <w:sz w:val="18"/>
              </w:rPr>
            </w:pPr>
            <w:r>
              <w:rPr>
                <w:spacing w:val="-4"/>
                <w:sz w:val="18"/>
              </w:rPr>
              <w:t>7.00</w:t>
            </w:r>
          </w:p>
        </w:tc>
      </w:tr>
      <w:tr w:rsidR="00141B97" w14:paraId="3313D298" w14:textId="77777777">
        <w:trPr>
          <w:trHeight w:val="314"/>
          <w:tblCellSpacing w:w="9" w:type="dxa"/>
        </w:trPr>
        <w:tc>
          <w:tcPr>
            <w:tcW w:w="3084" w:type="dxa"/>
            <w:tcBorders>
              <w:left w:val="nil"/>
            </w:tcBorders>
            <w:shd w:val="clear" w:color="auto" w:fill="CCE2ED"/>
          </w:tcPr>
          <w:p w14:paraId="71D70CAB" w14:textId="77777777" w:rsidR="00141B97" w:rsidRDefault="00911D63">
            <w:pPr>
              <w:pStyle w:val="TableParagraph"/>
              <w:spacing w:before="48"/>
              <w:ind w:left="88"/>
              <w:rPr>
                <w:sz w:val="18"/>
              </w:rPr>
            </w:pPr>
            <w:r>
              <w:rPr>
                <w:w w:val="95"/>
                <w:sz w:val="18"/>
              </w:rPr>
              <w:t>Improvements/</w:t>
            </w:r>
            <w:r>
              <w:rPr>
                <w:spacing w:val="42"/>
                <w:sz w:val="18"/>
              </w:rPr>
              <w:t xml:space="preserve"> </w:t>
            </w:r>
            <w:r>
              <w:rPr>
                <w:spacing w:val="-2"/>
                <w:sz w:val="18"/>
              </w:rPr>
              <w:t>Compliance</w:t>
            </w:r>
          </w:p>
        </w:tc>
        <w:tc>
          <w:tcPr>
            <w:tcW w:w="1091" w:type="dxa"/>
            <w:shd w:val="clear" w:color="auto" w:fill="CCE2ED"/>
          </w:tcPr>
          <w:p w14:paraId="620DF62D" w14:textId="77777777" w:rsidR="00141B97" w:rsidRDefault="00911D63">
            <w:pPr>
              <w:pStyle w:val="TableParagraph"/>
              <w:spacing w:before="48"/>
              <w:ind w:right="96"/>
              <w:jc w:val="right"/>
              <w:rPr>
                <w:sz w:val="18"/>
              </w:rPr>
            </w:pPr>
            <w:r>
              <w:rPr>
                <w:spacing w:val="-4"/>
                <w:sz w:val="18"/>
              </w:rPr>
              <w:t>2.57</w:t>
            </w:r>
          </w:p>
        </w:tc>
        <w:tc>
          <w:tcPr>
            <w:tcW w:w="1091" w:type="dxa"/>
            <w:shd w:val="clear" w:color="auto" w:fill="CCE2ED"/>
          </w:tcPr>
          <w:p w14:paraId="4CAA1881" w14:textId="77777777" w:rsidR="00141B97" w:rsidRDefault="00911D63">
            <w:pPr>
              <w:pStyle w:val="TableParagraph"/>
              <w:spacing w:before="48"/>
              <w:ind w:right="96"/>
              <w:jc w:val="right"/>
              <w:rPr>
                <w:sz w:val="18"/>
              </w:rPr>
            </w:pPr>
            <w:r>
              <w:rPr>
                <w:spacing w:val="-4"/>
                <w:sz w:val="18"/>
              </w:rPr>
              <w:t>2.28</w:t>
            </w:r>
          </w:p>
        </w:tc>
        <w:tc>
          <w:tcPr>
            <w:tcW w:w="1091" w:type="dxa"/>
            <w:shd w:val="clear" w:color="auto" w:fill="CCE2ED"/>
          </w:tcPr>
          <w:p w14:paraId="347AE5E1" w14:textId="77777777" w:rsidR="00141B97" w:rsidRDefault="00911D63">
            <w:pPr>
              <w:pStyle w:val="TableParagraph"/>
              <w:spacing w:before="48"/>
              <w:ind w:right="96"/>
              <w:jc w:val="right"/>
              <w:rPr>
                <w:sz w:val="18"/>
              </w:rPr>
            </w:pPr>
            <w:r>
              <w:rPr>
                <w:spacing w:val="-4"/>
                <w:sz w:val="18"/>
              </w:rPr>
              <w:t>1.58</w:t>
            </w:r>
          </w:p>
        </w:tc>
        <w:tc>
          <w:tcPr>
            <w:tcW w:w="1092" w:type="dxa"/>
            <w:shd w:val="clear" w:color="auto" w:fill="CCE2ED"/>
          </w:tcPr>
          <w:p w14:paraId="69D1BA7C" w14:textId="77777777" w:rsidR="00141B97" w:rsidRDefault="00911D63">
            <w:pPr>
              <w:pStyle w:val="TableParagraph"/>
              <w:spacing w:before="48"/>
              <w:ind w:right="97"/>
              <w:jc w:val="right"/>
              <w:rPr>
                <w:sz w:val="18"/>
              </w:rPr>
            </w:pPr>
            <w:r>
              <w:rPr>
                <w:spacing w:val="-4"/>
                <w:sz w:val="18"/>
              </w:rPr>
              <w:t>3.19</w:t>
            </w:r>
          </w:p>
        </w:tc>
        <w:tc>
          <w:tcPr>
            <w:tcW w:w="1091" w:type="dxa"/>
            <w:shd w:val="clear" w:color="auto" w:fill="CCE2ED"/>
          </w:tcPr>
          <w:p w14:paraId="2DEC0768" w14:textId="77777777" w:rsidR="00141B97" w:rsidRDefault="00911D63">
            <w:pPr>
              <w:pStyle w:val="TableParagraph"/>
              <w:spacing w:before="48"/>
              <w:ind w:right="97"/>
              <w:jc w:val="right"/>
              <w:rPr>
                <w:sz w:val="18"/>
              </w:rPr>
            </w:pPr>
            <w:r>
              <w:rPr>
                <w:spacing w:val="-4"/>
                <w:sz w:val="18"/>
              </w:rPr>
              <w:t>3.19</w:t>
            </w:r>
          </w:p>
        </w:tc>
        <w:tc>
          <w:tcPr>
            <w:tcW w:w="1203" w:type="dxa"/>
            <w:tcBorders>
              <w:right w:val="nil"/>
            </w:tcBorders>
            <w:shd w:val="clear" w:color="auto" w:fill="CCE2ED"/>
          </w:tcPr>
          <w:p w14:paraId="52E4EAE2" w14:textId="77777777" w:rsidR="00141B97" w:rsidRDefault="00911D63">
            <w:pPr>
              <w:pStyle w:val="TableParagraph"/>
              <w:spacing w:before="48"/>
              <w:ind w:right="87"/>
              <w:jc w:val="right"/>
              <w:rPr>
                <w:sz w:val="18"/>
              </w:rPr>
            </w:pPr>
            <w:r>
              <w:rPr>
                <w:spacing w:val="-2"/>
                <w:sz w:val="18"/>
              </w:rPr>
              <w:t>12.80</w:t>
            </w:r>
          </w:p>
        </w:tc>
      </w:tr>
      <w:tr w:rsidR="00141B97" w14:paraId="5582607A" w14:textId="77777777">
        <w:trPr>
          <w:trHeight w:val="314"/>
          <w:tblCellSpacing w:w="9" w:type="dxa"/>
        </w:trPr>
        <w:tc>
          <w:tcPr>
            <w:tcW w:w="3084" w:type="dxa"/>
            <w:tcBorders>
              <w:left w:val="nil"/>
            </w:tcBorders>
            <w:shd w:val="clear" w:color="auto" w:fill="BFBFBF"/>
          </w:tcPr>
          <w:p w14:paraId="1A82D9AD" w14:textId="77777777" w:rsidR="00141B97" w:rsidRDefault="00911D63">
            <w:pPr>
              <w:pStyle w:val="TableParagraph"/>
              <w:spacing w:before="48"/>
              <w:ind w:left="88"/>
              <w:rPr>
                <w:sz w:val="18"/>
              </w:rPr>
            </w:pPr>
            <w:r>
              <w:rPr>
                <w:sz w:val="18"/>
              </w:rPr>
              <w:t>Total</w:t>
            </w:r>
            <w:r>
              <w:rPr>
                <w:spacing w:val="-5"/>
                <w:sz w:val="18"/>
              </w:rPr>
              <w:t xml:space="preserve"> </w:t>
            </w:r>
            <w:r>
              <w:rPr>
                <w:sz w:val="18"/>
              </w:rPr>
              <w:t>capital</w:t>
            </w:r>
            <w:r>
              <w:rPr>
                <w:spacing w:val="-5"/>
                <w:sz w:val="18"/>
              </w:rPr>
              <w:t xml:space="preserve"> </w:t>
            </w:r>
            <w:r>
              <w:rPr>
                <w:spacing w:val="-2"/>
                <w:sz w:val="18"/>
              </w:rPr>
              <w:t>expenditure</w:t>
            </w:r>
          </w:p>
        </w:tc>
        <w:tc>
          <w:tcPr>
            <w:tcW w:w="1091" w:type="dxa"/>
            <w:shd w:val="clear" w:color="auto" w:fill="BFBFBF"/>
          </w:tcPr>
          <w:p w14:paraId="28E58E20" w14:textId="77777777" w:rsidR="00141B97" w:rsidRDefault="00911D63">
            <w:pPr>
              <w:pStyle w:val="TableParagraph"/>
              <w:spacing w:before="48"/>
              <w:ind w:right="96"/>
              <w:jc w:val="right"/>
              <w:rPr>
                <w:sz w:val="18"/>
              </w:rPr>
            </w:pPr>
            <w:r>
              <w:rPr>
                <w:spacing w:val="-2"/>
                <w:sz w:val="18"/>
              </w:rPr>
              <w:t>16.08</w:t>
            </w:r>
          </w:p>
        </w:tc>
        <w:tc>
          <w:tcPr>
            <w:tcW w:w="1091" w:type="dxa"/>
            <w:shd w:val="clear" w:color="auto" w:fill="BFBFBF"/>
          </w:tcPr>
          <w:p w14:paraId="098A3805" w14:textId="77777777" w:rsidR="00141B97" w:rsidRDefault="00911D63">
            <w:pPr>
              <w:pStyle w:val="TableParagraph"/>
              <w:spacing w:before="48"/>
              <w:ind w:right="96"/>
              <w:jc w:val="right"/>
              <w:rPr>
                <w:sz w:val="18"/>
              </w:rPr>
            </w:pPr>
            <w:r>
              <w:rPr>
                <w:spacing w:val="-4"/>
                <w:sz w:val="18"/>
              </w:rPr>
              <w:t>8.51</w:t>
            </w:r>
          </w:p>
        </w:tc>
        <w:tc>
          <w:tcPr>
            <w:tcW w:w="1091" w:type="dxa"/>
            <w:shd w:val="clear" w:color="auto" w:fill="BFBFBF"/>
          </w:tcPr>
          <w:p w14:paraId="1693DBDB" w14:textId="77777777" w:rsidR="00141B97" w:rsidRDefault="00911D63">
            <w:pPr>
              <w:pStyle w:val="TableParagraph"/>
              <w:spacing w:before="48"/>
              <w:ind w:right="96"/>
              <w:jc w:val="right"/>
              <w:rPr>
                <w:sz w:val="18"/>
              </w:rPr>
            </w:pPr>
            <w:r>
              <w:rPr>
                <w:spacing w:val="-4"/>
                <w:sz w:val="18"/>
              </w:rPr>
              <w:t>8.06</w:t>
            </w:r>
          </w:p>
        </w:tc>
        <w:tc>
          <w:tcPr>
            <w:tcW w:w="1092" w:type="dxa"/>
            <w:shd w:val="clear" w:color="auto" w:fill="BFBFBF"/>
          </w:tcPr>
          <w:p w14:paraId="41661156" w14:textId="77777777" w:rsidR="00141B97" w:rsidRDefault="00911D63">
            <w:pPr>
              <w:pStyle w:val="TableParagraph"/>
              <w:spacing w:before="48"/>
              <w:ind w:right="97"/>
              <w:jc w:val="right"/>
              <w:rPr>
                <w:sz w:val="18"/>
              </w:rPr>
            </w:pPr>
            <w:r>
              <w:rPr>
                <w:spacing w:val="-4"/>
                <w:sz w:val="18"/>
              </w:rPr>
              <w:t>9.30</w:t>
            </w:r>
          </w:p>
        </w:tc>
        <w:tc>
          <w:tcPr>
            <w:tcW w:w="1091" w:type="dxa"/>
            <w:shd w:val="clear" w:color="auto" w:fill="BFBFBF"/>
          </w:tcPr>
          <w:p w14:paraId="03B3F39A" w14:textId="77777777" w:rsidR="00141B97" w:rsidRDefault="00911D63">
            <w:pPr>
              <w:pStyle w:val="TableParagraph"/>
              <w:spacing w:before="48"/>
              <w:ind w:right="97"/>
              <w:jc w:val="right"/>
              <w:rPr>
                <w:sz w:val="18"/>
              </w:rPr>
            </w:pPr>
            <w:r>
              <w:rPr>
                <w:spacing w:val="-4"/>
                <w:sz w:val="18"/>
              </w:rPr>
              <w:t>8.41</w:t>
            </w:r>
          </w:p>
        </w:tc>
        <w:tc>
          <w:tcPr>
            <w:tcW w:w="1203" w:type="dxa"/>
            <w:tcBorders>
              <w:right w:val="nil"/>
            </w:tcBorders>
            <w:shd w:val="clear" w:color="auto" w:fill="BFBFBF"/>
          </w:tcPr>
          <w:p w14:paraId="299508E1" w14:textId="77777777" w:rsidR="00141B97" w:rsidRDefault="00911D63">
            <w:pPr>
              <w:pStyle w:val="TableParagraph"/>
              <w:spacing w:before="48"/>
              <w:ind w:right="87"/>
              <w:jc w:val="right"/>
              <w:rPr>
                <w:sz w:val="18"/>
              </w:rPr>
            </w:pPr>
            <w:r>
              <w:rPr>
                <w:spacing w:val="-2"/>
                <w:sz w:val="18"/>
              </w:rPr>
              <w:t>50.35</w:t>
            </w:r>
          </w:p>
        </w:tc>
      </w:tr>
      <w:tr w:rsidR="00141B97" w14:paraId="1A91643B" w14:textId="77777777">
        <w:trPr>
          <w:trHeight w:val="314"/>
          <w:tblCellSpacing w:w="9" w:type="dxa"/>
        </w:trPr>
        <w:tc>
          <w:tcPr>
            <w:tcW w:w="3084" w:type="dxa"/>
            <w:tcBorders>
              <w:left w:val="nil"/>
            </w:tcBorders>
            <w:shd w:val="clear" w:color="auto" w:fill="CCE2ED"/>
          </w:tcPr>
          <w:p w14:paraId="05BBFFC4" w14:textId="77777777" w:rsidR="00141B97" w:rsidRDefault="00911D63">
            <w:pPr>
              <w:pStyle w:val="TableParagraph"/>
              <w:spacing w:before="48"/>
              <w:ind w:left="88"/>
              <w:rPr>
                <w:sz w:val="18"/>
              </w:rPr>
            </w:pPr>
            <w:r>
              <w:rPr>
                <w:sz w:val="18"/>
              </w:rPr>
              <w:t>Government</w:t>
            </w:r>
            <w:r>
              <w:rPr>
                <w:spacing w:val="-10"/>
                <w:sz w:val="18"/>
              </w:rPr>
              <w:t xml:space="preserve"> </w:t>
            </w:r>
            <w:r>
              <w:rPr>
                <w:spacing w:val="-2"/>
                <w:sz w:val="18"/>
              </w:rPr>
              <w:t>Contributions</w:t>
            </w:r>
          </w:p>
        </w:tc>
        <w:tc>
          <w:tcPr>
            <w:tcW w:w="1091" w:type="dxa"/>
            <w:shd w:val="clear" w:color="auto" w:fill="CCE2ED"/>
          </w:tcPr>
          <w:p w14:paraId="184FB4B5" w14:textId="77777777" w:rsidR="00141B97" w:rsidRDefault="00911D63">
            <w:pPr>
              <w:pStyle w:val="TableParagraph"/>
              <w:spacing w:before="48"/>
              <w:ind w:right="96"/>
              <w:jc w:val="right"/>
              <w:rPr>
                <w:sz w:val="18"/>
              </w:rPr>
            </w:pPr>
            <w:r>
              <w:rPr>
                <w:spacing w:val="-4"/>
                <w:sz w:val="18"/>
              </w:rPr>
              <w:t>0.00</w:t>
            </w:r>
          </w:p>
        </w:tc>
        <w:tc>
          <w:tcPr>
            <w:tcW w:w="1091" w:type="dxa"/>
            <w:shd w:val="clear" w:color="auto" w:fill="CCE2ED"/>
          </w:tcPr>
          <w:p w14:paraId="44D44790" w14:textId="77777777" w:rsidR="00141B97" w:rsidRDefault="00911D63">
            <w:pPr>
              <w:pStyle w:val="TableParagraph"/>
              <w:spacing w:before="48"/>
              <w:ind w:right="96"/>
              <w:jc w:val="right"/>
              <w:rPr>
                <w:sz w:val="18"/>
              </w:rPr>
            </w:pPr>
            <w:r>
              <w:rPr>
                <w:spacing w:val="-4"/>
                <w:sz w:val="18"/>
              </w:rPr>
              <w:t>0.00</w:t>
            </w:r>
          </w:p>
        </w:tc>
        <w:tc>
          <w:tcPr>
            <w:tcW w:w="1091" w:type="dxa"/>
            <w:shd w:val="clear" w:color="auto" w:fill="CCE2ED"/>
          </w:tcPr>
          <w:p w14:paraId="1ECA47EA" w14:textId="77777777" w:rsidR="00141B97" w:rsidRDefault="00911D63">
            <w:pPr>
              <w:pStyle w:val="TableParagraph"/>
              <w:spacing w:before="48"/>
              <w:ind w:right="96"/>
              <w:jc w:val="right"/>
              <w:rPr>
                <w:sz w:val="18"/>
              </w:rPr>
            </w:pPr>
            <w:r>
              <w:rPr>
                <w:spacing w:val="-4"/>
                <w:sz w:val="18"/>
              </w:rPr>
              <w:t>0.00</w:t>
            </w:r>
          </w:p>
        </w:tc>
        <w:tc>
          <w:tcPr>
            <w:tcW w:w="1092" w:type="dxa"/>
            <w:shd w:val="clear" w:color="auto" w:fill="CCE2ED"/>
          </w:tcPr>
          <w:p w14:paraId="5135A55D" w14:textId="77777777" w:rsidR="00141B97" w:rsidRDefault="00911D63">
            <w:pPr>
              <w:pStyle w:val="TableParagraph"/>
              <w:spacing w:before="48"/>
              <w:ind w:right="97"/>
              <w:jc w:val="right"/>
              <w:rPr>
                <w:sz w:val="18"/>
              </w:rPr>
            </w:pPr>
            <w:r>
              <w:rPr>
                <w:spacing w:val="-4"/>
                <w:sz w:val="18"/>
              </w:rPr>
              <w:t>0.00</w:t>
            </w:r>
          </w:p>
        </w:tc>
        <w:tc>
          <w:tcPr>
            <w:tcW w:w="1091" w:type="dxa"/>
            <w:shd w:val="clear" w:color="auto" w:fill="CCE2ED"/>
          </w:tcPr>
          <w:p w14:paraId="1215B3F5" w14:textId="77777777" w:rsidR="00141B97" w:rsidRDefault="00911D63">
            <w:pPr>
              <w:pStyle w:val="TableParagraph"/>
              <w:spacing w:before="48"/>
              <w:ind w:right="97"/>
              <w:jc w:val="right"/>
              <w:rPr>
                <w:sz w:val="18"/>
              </w:rPr>
            </w:pPr>
            <w:r>
              <w:rPr>
                <w:spacing w:val="-4"/>
                <w:sz w:val="18"/>
              </w:rPr>
              <w:t>0.00</w:t>
            </w:r>
          </w:p>
        </w:tc>
        <w:tc>
          <w:tcPr>
            <w:tcW w:w="1203" w:type="dxa"/>
            <w:tcBorders>
              <w:right w:val="nil"/>
            </w:tcBorders>
            <w:shd w:val="clear" w:color="auto" w:fill="CCE2ED"/>
          </w:tcPr>
          <w:p w14:paraId="65A5894E" w14:textId="77777777" w:rsidR="00141B97" w:rsidRDefault="00911D63">
            <w:pPr>
              <w:pStyle w:val="TableParagraph"/>
              <w:spacing w:before="48"/>
              <w:ind w:right="87"/>
              <w:jc w:val="right"/>
              <w:rPr>
                <w:sz w:val="18"/>
              </w:rPr>
            </w:pPr>
            <w:r>
              <w:rPr>
                <w:spacing w:val="-4"/>
                <w:sz w:val="18"/>
              </w:rPr>
              <w:t>0.00</w:t>
            </w:r>
          </w:p>
        </w:tc>
      </w:tr>
      <w:tr w:rsidR="00141B97" w14:paraId="7C799C48" w14:textId="77777777">
        <w:trPr>
          <w:trHeight w:val="315"/>
          <w:tblCellSpacing w:w="9" w:type="dxa"/>
        </w:trPr>
        <w:tc>
          <w:tcPr>
            <w:tcW w:w="3084" w:type="dxa"/>
            <w:tcBorders>
              <w:left w:val="nil"/>
              <w:bottom w:val="nil"/>
            </w:tcBorders>
            <w:shd w:val="clear" w:color="auto" w:fill="CCE2ED"/>
          </w:tcPr>
          <w:p w14:paraId="56BEFEAE" w14:textId="77777777" w:rsidR="00141B97" w:rsidRDefault="00911D63">
            <w:pPr>
              <w:pStyle w:val="TableParagraph"/>
              <w:spacing w:before="48"/>
              <w:ind w:left="88"/>
              <w:rPr>
                <w:sz w:val="18"/>
              </w:rPr>
            </w:pPr>
            <w:r>
              <w:rPr>
                <w:spacing w:val="-2"/>
                <w:sz w:val="18"/>
              </w:rPr>
              <w:t>Customer</w:t>
            </w:r>
            <w:r>
              <w:rPr>
                <w:spacing w:val="1"/>
                <w:sz w:val="18"/>
              </w:rPr>
              <w:t xml:space="preserve"> </w:t>
            </w:r>
            <w:r>
              <w:rPr>
                <w:spacing w:val="-2"/>
                <w:sz w:val="18"/>
              </w:rPr>
              <w:t>Contributions</w:t>
            </w:r>
          </w:p>
        </w:tc>
        <w:tc>
          <w:tcPr>
            <w:tcW w:w="1091" w:type="dxa"/>
            <w:tcBorders>
              <w:bottom w:val="nil"/>
            </w:tcBorders>
            <w:shd w:val="clear" w:color="auto" w:fill="CCE2ED"/>
          </w:tcPr>
          <w:p w14:paraId="783D2B7B" w14:textId="77777777" w:rsidR="00141B97" w:rsidRDefault="00911D63">
            <w:pPr>
              <w:pStyle w:val="TableParagraph"/>
              <w:spacing w:before="48"/>
              <w:ind w:right="96"/>
              <w:jc w:val="right"/>
              <w:rPr>
                <w:sz w:val="18"/>
              </w:rPr>
            </w:pPr>
            <w:r>
              <w:rPr>
                <w:spacing w:val="-4"/>
                <w:sz w:val="18"/>
              </w:rPr>
              <w:t>3.92</w:t>
            </w:r>
          </w:p>
        </w:tc>
        <w:tc>
          <w:tcPr>
            <w:tcW w:w="1091" w:type="dxa"/>
            <w:tcBorders>
              <w:bottom w:val="nil"/>
            </w:tcBorders>
            <w:shd w:val="clear" w:color="auto" w:fill="CCE2ED"/>
          </w:tcPr>
          <w:p w14:paraId="5DB9F874" w14:textId="77777777" w:rsidR="00141B97" w:rsidRDefault="00911D63">
            <w:pPr>
              <w:pStyle w:val="TableParagraph"/>
              <w:spacing w:before="48"/>
              <w:ind w:right="96"/>
              <w:jc w:val="right"/>
              <w:rPr>
                <w:sz w:val="18"/>
              </w:rPr>
            </w:pPr>
            <w:r>
              <w:rPr>
                <w:spacing w:val="-4"/>
                <w:sz w:val="18"/>
              </w:rPr>
              <w:t>0.17</w:t>
            </w:r>
          </w:p>
        </w:tc>
        <w:tc>
          <w:tcPr>
            <w:tcW w:w="1091" w:type="dxa"/>
            <w:tcBorders>
              <w:bottom w:val="nil"/>
            </w:tcBorders>
            <w:shd w:val="clear" w:color="auto" w:fill="CCE2ED"/>
          </w:tcPr>
          <w:p w14:paraId="427D7433" w14:textId="77777777" w:rsidR="00141B97" w:rsidRDefault="00911D63">
            <w:pPr>
              <w:pStyle w:val="TableParagraph"/>
              <w:spacing w:before="48"/>
              <w:ind w:right="96"/>
              <w:jc w:val="right"/>
              <w:rPr>
                <w:sz w:val="18"/>
              </w:rPr>
            </w:pPr>
            <w:r>
              <w:rPr>
                <w:spacing w:val="-4"/>
                <w:sz w:val="18"/>
              </w:rPr>
              <w:t>0.17</w:t>
            </w:r>
          </w:p>
        </w:tc>
        <w:tc>
          <w:tcPr>
            <w:tcW w:w="1092" w:type="dxa"/>
            <w:tcBorders>
              <w:bottom w:val="nil"/>
            </w:tcBorders>
            <w:shd w:val="clear" w:color="auto" w:fill="CCE2ED"/>
          </w:tcPr>
          <w:p w14:paraId="61DF9E3E" w14:textId="77777777" w:rsidR="00141B97" w:rsidRDefault="00911D63">
            <w:pPr>
              <w:pStyle w:val="TableParagraph"/>
              <w:spacing w:before="48"/>
              <w:ind w:right="97"/>
              <w:jc w:val="right"/>
              <w:rPr>
                <w:sz w:val="18"/>
              </w:rPr>
            </w:pPr>
            <w:r>
              <w:rPr>
                <w:spacing w:val="-4"/>
                <w:sz w:val="18"/>
              </w:rPr>
              <w:t>0.17</w:t>
            </w:r>
          </w:p>
        </w:tc>
        <w:tc>
          <w:tcPr>
            <w:tcW w:w="1091" w:type="dxa"/>
            <w:tcBorders>
              <w:bottom w:val="nil"/>
            </w:tcBorders>
            <w:shd w:val="clear" w:color="auto" w:fill="CCE2ED"/>
          </w:tcPr>
          <w:p w14:paraId="5AC6A8EF" w14:textId="77777777" w:rsidR="00141B97" w:rsidRDefault="00911D63">
            <w:pPr>
              <w:pStyle w:val="TableParagraph"/>
              <w:spacing w:before="48"/>
              <w:ind w:right="97"/>
              <w:jc w:val="right"/>
              <w:rPr>
                <w:sz w:val="18"/>
              </w:rPr>
            </w:pPr>
            <w:r>
              <w:rPr>
                <w:spacing w:val="-4"/>
                <w:sz w:val="18"/>
              </w:rPr>
              <w:t>0.17</w:t>
            </w:r>
          </w:p>
        </w:tc>
        <w:tc>
          <w:tcPr>
            <w:tcW w:w="1203" w:type="dxa"/>
            <w:tcBorders>
              <w:bottom w:val="nil"/>
              <w:right w:val="nil"/>
            </w:tcBorders>
            <w:shd w:val="clear" w:color="auto" w:fill="CCE2ED"/>
          </w:tcPr>
          <w:p w14:paraId="124BAEB2" w14:textId="77777777" w:rsidR="00141B97" w:rsidRDefault="00911D63">
            <w:pPr>
              <w:pStyle w:val="TableParagraph"/>
              <w:spacing w:before="48"/>
              <w:ind w:right="87"/>
              <w:jc w:val="right"/>
              <w:rPr>
                <w:sz w:val="18"/>
              </w:rPr>
            </w:pPr>
            <w:r>
              <w:rPr>
                <w:spacing w:val="-4"/>
                <w:sz w:val="18"/>
              </w:rPr>
              <w:t>4.61</w:t>
            </w:r>
          </w:p>
        </w:tc>
      </w:tr>
    </w:tbl>
    <w:p w14:paraId="606D6A25" w14:textId="77777777" w:rsidR="00141B97" w:rsidRDefault="00911D63">
      <w:pPr>
        <w:spacing w:before="25"/>
        <w:ind w:left="114"/>
        <w:jc w:val="both"/>
        <w:rPr>
          <w:sz w:val="16"/>
        </w:rPr>
      </w:pPr>
      <w:r>
        <w:rPr>
          <w:sz w:val="16"/>
        </w:rPr>
        <w:t>Table</w:t>
      </w:r>
      <w:r>
        <w:rPr>
          <w:spacing w:val="-3"/>
          <w:sz w:val="16"/>
        </w:rPr>
        <w:t xml:space="preserve"> </w:t>
      </w:r>
      <w:r>
        <w:rPr>
          <w:sz w:val="16"/>
        </w:rPr>
        <w:t>C23:</w:t>
      </w:r>
      <w:r>
        <w:rPr>
          <w:spacing w:val="-3"/>
          <w:sz w:val="16"/>
        </w:rPr>
        <w:t xml:space="preserve"> </w:t>
      </w:r>
      <w:r>
        <w:rPr>
          <w:sz w:val="16"/>
        </w:rPr>
        <w:t>Forecast</w:t>
      </w:r>
      <w:r>
        <w:rPr>
          <w:spacing w:val="-3"/>
          <w:sz w:val="16"/>
        </w:rPr>
        <w:t xml:space="preserve"> </w:t>
      </w:r>
      <w:r>
        <w:rPr>
          <w:sz w:val="16"/>
        </w:rPr>
        <w:t>Capital</w:t>
      </w:r>
      <w:r>
        <w:rPr>
          <w:spacing w:val="-4"/>
          <w:sz w:val="16"/>
        </w:rPr>
        <w:t xml:space="preserve"> </w:t>
      </w:r>
      <w:r>
        <w:rPr>
          <w:sz w:val="16"/>
        </w:rPr>
        <w:t>Expenditure</w:t>
      </w:r>
      <w:r>
        <w:rPr>
          <w:spacing w:val="-4"/>
          <w:sz w:val="16"/>
        </w:rPr>
        <w:t xml:space="preserve"> </w:t>
      </w:r>
      <w:r>
        <w:rPr>
          <w:sz w:val="16"/>
        </w:rPr>
        <w:t>by</w:t>
      </w:r>
      <w:r>
        <w:rPr>
          <w:spacing w:val="-4"/>
          <w:sz w:val="16"/>
        </w:rPr>
        <w:t xml:space="preserve"> </w:t>
      </w:r>
      <w:r>
        <w:rPr>
          <w:sz w:val="16"/>
        </w:rPr>
        <w:t>Cost</w:t>
      </w:r>
      <w:r>
        <w:rPr>
          <w:spacing w:val="-3"/>
          <w:sz w:val="16"/>
        </w:rPr>
        <w:t xml:space="preserve"> </w:t>
      </w:r>
      <w:r>
        <w:rPr>
          <w:sz w:val="16"/>
        </w:rPr>
        <w:t>Driver</w:t>
      </w:r>
      <w:r>
        <w:rPr>
          <w:spacing w:val="-5"/>
          <w:sz w:val="16"/>
        </w:rPr>
        <w:t xml:space="preserve"> </w:t>
      </w:r>
      <w:r>
        <w:rPr>
          <w:sz w:val="16"/>
        </w:rPr>
        <w:t>‐</w:t>
      </w:r>
      <w:r>
        <w:rPr>
          <w:spacing w:val="-5"/>
          <w:sz w:val="16"/>
        </w:rPr>
        <w:t xml:space="preserve"> </w:t>
      </w:r>
      <w:r>
        <w:rPr>
          <w:sz w:val="16"/>
        </w:rPr>
        <w:t>$m</w:t>
      </w:r>
      <w:r>
        <w:rPr>
          <w:spacing w:val="-3"/>
          <w:sz w:val="16"/>
        </w:rPr>
        <w:t xml:space="preserve"> </w:t>
      </w:r>
      <w:r>
        <w:rPr>
          <w:spacing w:val="-2"/>
          <w:sz w:val="16"/>
        </w:rPr>
        <w:t>1/1/23</w:t>
      </w:r>
    </w:p>
    <w:p w14:paraId="608DEE2C" w14:textId="77777777" w:rsidR="00141B97" w:rsidRDefault="00141B97">
      <w:pPr>
        <w:jc w:val="both"/>
        <w:rPr>
          <w:sz w:val="16"/>
        </w:rPr>
        <w:sectPr w:rsidR="00141B97">
          <w:pgSz w:w="11910" w:h="16840"/>
          <w:pgMar w:top="820" w:right="40" w:bottom="780" w:left="1020" w:header="0" w:footer="586" w:gutter="0"/>
          <w:cols w:space="720"/>
        </w:sectPr>
      </w:pPr>
    </w:p>
    <w:p w14:paraId="3FF6FAEE" w14:textId="77777777" w:rsidR="00141B97" w:rsidRDefault="00911D63">
      <w:pPr>
        <w:pStyle w:val="ListParagraph"/>
        <w:numPr>
          <w:ilvl w:val="2"/>
          <w:numId w:val="37"/>
        </w:numPr>
        <w:tabs>
          <w:tab w:val="left" w:pos="1112"/>
          <w:tab w:val="left" w:pos="1113"/>
        </w:tabs>
        <w:spacing w:before="43"/>
        <w:ind w:left="1112"/>
      </w:pPr>
      <w:r>
        <w:lastRenderedPageBreak/>
        <w:t>Major</w:t>
      </w:r>
      <w:r>
        <w:rPr>
          <w:spacing w:val="-7"/>
        </w:rPr>
        <w:t xml:space="preserve"> </w:t>
      </w:r>
      <w:r>
        <w:t>Projects</w:t>
      </w:r>
      <w:r>
        <w:rPr>
          <w:spacing w:val="-5"/>
        </w:rPr>
        <w:t xml:space="preserve"> </w:t>
      </w:r>
      <w:r>
        <w:t>and</w:t>
      </w:r>
      <w:r>
        <w:rPr>
          <w:spacing w:val="-7"/>
        </w:rPr>
        <w:t xml:space="preserve"> </w:t>
      </w:r>
      <w:r>
        <w:rPr>
          <w:spacing w:val="-2"/>
        </w:rPr>
        <w:t>Programs</w:t>
      </w:r>
    </w:p>
    <w:p w14:paraId="01055A5A" w14:textId="77777777" w:rsidR="00141B97" w:rsidRDefault="00911D63">
      <w:pPr>
        <w:pStyle w:val="BodyText"/>
        <w:spacing w:before="59"/>
        <w:ind w:left="113" w:right="950"/>
        <w:jc w:val="both"/>
      </w:pPr>
      <w:r>
        <w:t>Of the Top 10 Major Projects for the LMW business, there are three for the rural business, of which two are combined corporate projects, as summarised in Table C24 below.</w:t>
      </w:r>
    </w:p>
    <w:p w14:paraId="4567D2A9" w14:textId="77777777" w:rsidR="00141B97" w:rsidRDefault="00141B97">
      <w:pPr>
        <w:pStyle w:val="BodyText"/>
        <w:spacing w:before="1"/>
      </w:pPr>
    </w:p>
    <w:p w14:paraId="3B097E6E" w14:textId="77777777" w:rsidR="00141B97" w:rsidRDefault="00911D63">
      <w:pPr>
        <w:pStyle w:val="BodyText"/>
        <w:ind w:left="113" w:right="948" w:hanging="1"/>
        <w:jc w:val="both"/>
      </w:pPr>
      <w:r>
        <w:t>LMW has business cases developed for these projects that are available to the ESC, along with supporting documentation. Appendix C3 provides the alignment between individual projects and the supporting business cases,</w:t>
      </w:r>
      <w:r>
        <w:rPr>
          <w:spacing w:val="-6"/>
        </w:rPr>
        <w:t xml:space="preserve"> </w:t>
      </w:r>
      <w:r>
        <w:t>as</w:t>
      </w:r>
      <w:r>
        <w:rPr>
          <w:spacing w:val="-6"/>
        </w:rPr>
        <w:t xml:space="preserve"> </w:t>
      </w:r>
      <w:r>
        <w:t>well</w:t>
      </w:r>
      <w:r>
        <w:rPr>
          <w:spacing w:val="-6"/>
        </w:rPr>
        <w:t xml:space="preserve"> </w:t>
      </w:r>
      <w:r>
        <w:t>as</w:t>
      </w:r>
      <w:r>
        <w:rPr>
          <w:spacing w:val="-6"/>
        </w:rPr>
        <w:t xml:space="preserve"> </w:t>
      </w:r>
      <w:r>
        <w:t>a</w:t>
      </w:r>
      <w:r>
        <w:rPr>
          <w:spacing w:val="-7"/>
        </w:rPr>
        <w:t xml:space="preserve"> </w:t>
      </w:r>
      <w:r>
        <w:t>summary</w:t>
      </w:r>
      <w:r>
        <w:rPr>
          <w:spacing w:val="-5"/>
        </w:rPr>
        <w:t xml:space="preserve"> </w:t>
      </w:r>
      <w:r>
        <w:t>for</w:t>
      </w:r>
      <w:r>
        <w:rPr>
          <w:spacing w:val="-7"/>
        </w:rPr>
        <w:t xml:space="preserve"> </w:t>
      </w:r>
      <w:r>
        <w:t>each</w:t>
      </w:r>
      <w:r>
        <w:rPr>
          <w:spacing w:val="-7"/>
        </w:rPr>
        <w:t xml:space="preserve"> </w:t>
      </w:r>
      <w:r>
        <w:t>project</w:t>
      </w:r>
      <w:r>
        <w:rPr>
          <w:spacing w:val="-7"/>
        </w:rPr>
        <w:t xml:space="preserve"> </w:t>
      </w:r>
      <w:r>
        <w:t>that</w:t>
      </w:r>
      <w:r>
        <w:rPr>
          <w:spacing w:val="-7"/>
        </w:rPr>
        <w:t xml:space="preserve"> </w:t>
      </w:r>
      <w:r>
        <w:t>provides</w:t>
      </w:r>
      <w:r>
        <w:rPr>
          <w:spacing w:val="-5"/>
        </w:rPr>
        <w:t xml:space="preserve"> </w:t>
      </w:r>
      <w:r>
        <w:t>the</w:t>
      </w:r>
      <w:r>
        <w:rPr>
          <w:spacing w:val="-7"/>
        </w:rPr>
        <w:t xml:space="preserve"> </w:t>
      </w:r>
      <w:r>
        <w:t>information</w:t>
      </w:r>
      <w:r>
        <w:rPr>
          <w:spacing w:val="-8"/>
        </w:rPr>
        <w:t xml:space="preserve"> </w:t>
      </w:r>
      <w:r>
        <w:t>required</w:t>
      </w:r>
      <w:r>
        <w:rPr>
          <w:spacing w:val="-7"/>
        </w:rPr>
        <w:t xml:space="preserve"> </w:t>
      </w:r>
      <w:r>
        <w:t>by</w:t>
      </w:r>
      <w:r>
        <w:rPr>
          <w:spacing w:val="-6"/>
        </w:rPr>
        <w:t xml:space="preserve"> </w:t>
      </w:r>
      <w:r>
        <w:t>the</w:t>
      </w:r>
      <w:r>
        <w:rPr>
          <w:spacing w:val="-6"/>
        </w:rPr>
        <w:t xml:space="preserve"> </w:t>
      </w:r>
      <w:r>
        <w:t>ESC</w:t>
      </w:r>
      <w:r>
        <w:rPr>
          <w:spacing w:val="-5"/>
        </w:rPr>
        <w:t xml:space="preserve"> </w:t>
      </w:r>
      <w:r>
        <w:t>Guidance</w:t>
      </w:r>
      <w:r>
        <w:rPr>
          <w:spacing w:val="-7"/>
        </w:rPr>
        <w:t xml:space="preserve"> </w:t>
      </w:r>
      <w:r>
        <w:t>Paper.</w:t>
      </w:r>
    </w:p>
    <w:p w14:paraId="76440984" w14:textId="77777777" w:rsidR="00141B97" w:rsidRDefault="00141B97">
      <w:pPr>
        <w:pStyle w:val="BodyText"/>
        <w:spacing w:before="6"/>
        <w:rPr>
          <w:sz w:val="17"/>
        </w:rPr>
      </w:pPr>
    </w:p>
    <w:tbl>
      <w:tblPr>
        <w:tblW w:w="0" w:type="auto"/>
        <w:tblCellSpacing w:w="9" w:type="dxa"/>
        <w:tblInd w:w="140" w:type="dxa"/>
        <w:tblLayout w:type="fixed"/>
        <w:tblCellMar>
          <w:left w:w="0" w:type="dxa"/>
          <w:right w:w="0" w:type="dxa"/>
        </w:tblCellMar>
        <w:tblLook w:val="01E0" w:firstRow="1" w:lastRow="1" w:firstColumn="1" w:lastColumn="1" w:noHBand="0" w:noVBand="0"/>
      </w:tblPr>
      <w:tblGrid>
        <w:gridCol w:w="3069"/>
        <w:gridCol w:w="2875"/>
        <w:gridCol w:w="1279"/>
        <w:gridCol w:w="1279"/>
        <w:gridCol w:w="1366"/>
      </w:tblGrid>
      <w:tr w:rsidR="00141B97" w14:paraId="65773F04" w14:textId="77777777">
        <w:trPr>
          <w:trHeight w:val="720"/>
          <w:tblCellSpacing w:w="9" w:type="dxa"/>
        </w:trPr>
        <w:tc>
          <w:tcPr>
            <w:tcW w:w="3042" w:type="dxa"/>
            <w:tcBorders>
              <w:top w:val="nil"/>
              <w:left w:val="nil"/>
            </w:tcBorders>
            <w:shd w:val="clear" w:color="auto" w:fill="006CA3"/>
          </w:tcPr>
          <w:p w14:paraId="2B2DF8B4" w14:textId="77777777" w:rsidR="00141B97" w:rsidRDefault="00141B97">
            <w:pPr>
              <w:pStyle w:val="TableParagraph"/>
              <w:spacing w:before="6"/>
              <w:rPr>
                <w:sz w:val="20"/>
              </w:rPr>
            </w:pPr>
          </w:p>
          <w:p w14:paraId="1DAACCA9" w14:textId="77777777" w:rsidR="00141B97" w:rsidRDefault="00911D63">
            <w:pPr>
              <w:pStyle w:val="TableParagraph"/>
              <w:spacing w:before="1"/>
              <w:ind w:left="97"/>
              <w:rPr>
                <w:sz w:val="18"/>
              </w:rPr>
            </w:pPr>
            <w:r>
              <w:rPr>
                <w:color w:val="FFFFFF"/>
                <w:sz w:val="18"/>
              </w:rPr>
              <w:t>Business</w:t>
            </w:r>
            <w:r>
              <w:rPr>
                <w:color w:val="FFFFFF"/>
                <w:spacing w:val="-3"/>
                <w:sz w:val="18"/>
              </w:rPr>
              <w:t xml:space="preserve"> </w:t>
            </w:r>
            <w:r>
              <w:rPr>
                <w:color w:val="FFFFFF"/>
                <w:spacing w:val="-4"/>
                <w:sz w:val="18"/>
              </w:rPr>
              <w:t>Case</w:t>
            </w:r>
          </w:p>
        </w:tc>
        <w:tc>
          <w:tcPr>
            <w:tcW w:w="2857" w:type="dxa"/>
            <w:tcBorders>
              <w:top w:val="nil"/>
            </w:tcBorders>
            <w:shd w:val="clear" w:color="auto" w:fill="006CA3"/>
          </w:tcPr>
          <w:p w14:paraId="3C7A3CDF" w14:textId="77777777" w:rsidR="00141B97" w:rsidRDefault="00141B97">
            <w:pPr>
              <w:pStyle w:val="TableParagraph"/>
              <w:spacing w:before="6"/>
              <w:rPr>
                <w:sz w:val="20"/>
              </w:rPr>
            </w:pPr>
          </w:p>
          <w:p w14:paraId="387E09CF" w14:textId="77777777" w:rsidR="00141B97" w:rsidRDefault="00911D63">
            <w:pPr>
              <w:pStyle w:val="TableParagraph"/>
              <w:spacing w:before="1"/>
              <w:ind w:left="96"/>
              <w:rPr>
                <w:sz w:val="18"/>
              </w:rPr>
            </w:pPr>
            <w:r>
              <w:rPr>
                <w:color w:val="FFFFFF"/>
                <w:sz w:val="18"/>
              </w:rPr>
              <w:t xml:space="preserve">Major Projects </w:t>
            </w:r>
            <w:r>
              <w:rPr>
                <w:color w:val="FFFFFF"/>
                <w:spacing w:val="-2"/>
                <w:sz w:val="18"/>
              </w:rPr>
              <w:t>Description</w:t>
            </w:r>
          </w:p>
        </w:tc>
        <w:tc>
          <w:tcPr>
            <w:tcW w:w="1261" w:type="dxa"/>
            <w:tcBorders>
              <w:top w:val="nil"/>
            </w:tcBorders>
            <w:shd w:val="clear" w:color="auto" w:fill="006CA3"/>
          </w:tcPr>
          <w:p w14:paraId="564B1906" w14:textId="77777777" w:rsidR="00141B97" w:rsidRDefault="00141B97">
            <w:pPr>
              <w:pStyle w:val="TableParagraph"/>
              <w:spacing w:before="6"/>
              <w:rPr>
                <w:sz w:val="20"/>
              </w:rPr>
            </w:pPr>
          </w:p>
          <w:p w14:paraId="1A0BD851" w14:textId="77777777" w:rsidR="00141B97" w:rsidRDefault="00911D63">
            <w:pPr>
              <w:pStyle w:val="TableParagraph"/>
              <w:spacing w:before="1"/>
              <w:ind w:left="252" w:right="251"/>
              <w:jc w:val="center"/>
              <w:rPr>
                <w:sz w:val="18"/>
              </w:rPr>
            </w:pPr>
            <w:r>
              <w:rPr>
                <w:color w:val="FFFFFF"/>
                <w:spacing w:val="-2"/>
                <w:sz w:val="18"/>
              </w:rPr>
              <w:t>Service</w:t>
            </w:r>
          </w:p>
        </w:tc>
        <w:tc>
          <w:tcPr>
            <w:tcW w:w="1261" w:type="dxa"/>
            <w:tcBorders>
              <w:top w:val="nil"/>
            </w:tcBorders>
            <w:shd w:val="clear" w:color="auto" w:fill="006CA3"/>
          </w:tcPr>
          <w:p w14:paraId="53766CCC" w14:textId="77777777" w:rsidR="00141B97" w:rsidRDefault="00911D63">
            <w:pPr>
              <w:pStyle w:val="TableParagraph"/>
              <w:spacing w:before="142"/>
              <w:ind w:left="405" w:hanging="222"/>
              <w:rPr>
                <w:sz w:val="18"/>
              </w:rPr>
            </w:pPr>
            <w:r>
              <w:rPr>
                <w:color w:val="FFFFFF"/>
                <w:sz w:val="18"/>
              </w:rPr>
              <w:t>Project</w:t>
            </w:r>
            <w:r>
              <w:rPr>
                <w:color w:val="FFFFFF"/>
                <w:spacing w:val="-11"/>
                <w:sz w:val="18"/>
              </w:rPr>
              <w:t xml:space="preserve"> </w:t>
            </w:r>
            <w:r>
              <w:rPr>
                <w:color w:val="FFFFFF"/>
                <w:sz w:val="18"/>
              </w:rPr>
              <w:t xml:space="preserve">Cost </w:t>
            </w:r>
            <w:r>
              <w:rPr>
                <w:color w:val="FFFFFF"/>
                <w:spacing w:val="-2"/>
                <w:sz w:val="18"/>
              </w:rPr>
              <w:t>($m)*</w:t>
            </w:r>
          </w:p>
        </w:tc>
        <w:tc>
          <w:tcPr>
            <w:tcW w:w="1339" w:type="dxa"/>
            <w:tcBorders>
              <w:top w:val="nil"/>
              <w:right w:val="nil"/>
            </w:tcBorders>
            <w:shd w:val="clear" w:color="auto" w:fill="006CA3"/>
          </w:tcPr>
          <w:p w14:paraId="0138B1FE" w14:textId="77777777" w:rsidR="00141B97" w:rsidRDefault="00141B97">
            <w:pPr>
              <w:pStyle w:val="TableParagraph"/>
              <w:spacing w:before="6"/>
              <w:rPr>
                <w:sz w:val="20"/>
              </w:rPr>
            </w:pPr>
          </w:p>
          <w:p w14:paraId="7711159E" w14:textId="77777777" w:rsidR="00141B97" w:rsidRDefault="00911D63">
            <w:pPr>
              <w:pStyle w:val="TableParagraph"/>
              <w:spacing w:before="1"/>
              <w:ind w:left="105"/>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r>
      <w:tr w:rsidR="00141B97" w14:paraId="7DCEFDF8" w14:textId="77777777">
        <w:trPr>
          <w:trHeight w:val="474"/>
          <w:tblCellSpacing w:w="9" w:type="dxa"/>
        </w:trPr>
        <w:tc>
          <w:tcPr>
            <w:tcW w:w="3042" w:type="dxa"/>
            <w:tcBorders>
              <w:left w:val="nil"/>
            </w:tcBorders>
            <w:shd w:val="clear" w:color="auto" w:fill="CCE2ED"/>
          </w:tcPr>
          <w:p w14:paraId="2AB96222" w14:textId="77777777" w:rsidR="00141B97" w:rsidRDefault="00911D63">
            <w:pPr>
              <w:pStyle w:val="TableParagraph"/>
              <w:spacing w:before="18"/>
              <w:ind w:left="97"/>
              <w:rPr>
                <w:sz w:val="18"/>
              </w:rPr>
            </w:pPr>
            <w:r>
              <w:rPr>
                <w:sz w:val="18"/>
              </w:rPr>
              <w:t>8.</w:t>
            </w:r>
            <w:r>
              <w:rPr>
                <w:spacing w:val="-2"/>
                <w:sz w:val="18"/>
              </w:rPr>
              <w:t xml:space="preserve"> </w:t>
            </w:r>
            <w:r>
              <w:rPr>
                <w:sz w:val="18"/>
              </w:rPr>
              <w:t>Customer</w:t>
            </w:r>
            <w:r>
              <w:rPr>
                <w:spacing w:val="-1"/>
                <w:sz w:val="18"/>
              </w:rPr>
              <w:t xml:space="preserve"> </w:t>
            </w:r>
            <w:r>
              <w:rPr>
                <w:sz w:val="18"/>
              </w:rPr>
              <w:t>CRM,</w:t>
            </w:r>
            <w:r>
              <w:rPr>
                <w:spacing w:val="-2"/>
                <w:sz w:val="18"/>
              </w:rPr>
              <w:t xml:space="preserve"> </w:t>
            </w:r>
            <w:r>
              <w:rPr>
                <w:sz w:val="18"/>
              </w:rPr>
              <w:t>Portal</w:t>
            </w:r>
            <w:r>
              <w:rPr>
                <w:spacing w:val="-2"/>
                <w:sz w:val="18"/>
              </w:rPr>
              <w:t xml:space="preserve"> </w:t>
            </w:r>
            <w:r>
              <w:rPr>
                <w:sz w:val="18"/>
              </w:rPr>
              <w:t>Phase</w:t>
            </w:r>
            <w:r>
              <w:rPr>
                <w:spacing w:val="-3"/>
                <w:sz w:val="18"/>
              </w:rPr>
              <w:t xml:space="preserve"> </w:t>
            </w:r>
            <w:r>
              <w:rPr>
                <w:spacing w:val="-12"/>
                <w:sz w:val="18"/>
              </w:rPr>
              <w:t>2</w:t>
            </w:r>
          </w:p>
        </w:tc>
        <w:tc>
          <w:tcPr>
            <w:tcW w:w="2857" w:type="dxa"/>
            <w:shd w:val="clear" w:color="auto" w:fill="CCE2ED"/>
          </w:tcPr>
          <w:p w14:paraId="24F6787D" w14:textId="77777777" w:rsidR="00141B97" w:rsidRDefault="00911D63">
            <w:pPr>
              <w:pStyle w:val="TableParagraph"/>
              <w:spacing w:before="14" w:line="220" w:lineRule="atLeast"/>
              <w:ind w:left="96"/>
              <w:rPr>
                <w:sz w:val="18"/>
              </w:rPr>
            </w:pPr>
            <w:r>
              <w:rPr>
                <w:sz w:val="18"/>
              </w:rPr>
              <w:t>Process</w:t>
            </w:r>
            <w:r>
              <w:rPr>
                <w:spacing w:val="-5"/>
                <w:sz w:val="18"/>
              </w:rPr>
              <w:t xml:space="preserve"> </w:t>
            </w:r>
            <w:r>
              <w:rPr>
                <w:sz w:val="18"/>
              </w:rPr>
              <w:t>design</w:t>
            </w:r>
            <w:r>
              <w:rPr>
                <w:spacing w:val="-4"/>
                <w:sz w:val="18"/>
              </w:rPr>
              <w:t xml:space="preserve"> </w:t>
            </w:r>
            <w:r>
              <w:rPr>
                <w:sz w:val="18"/>
              </w:rPr>
              <w:t>&amp;</w:t>
            </w:r>
            <w:r>
              <w:rPr>
                <w:spacing w:val="-4"/>
                <w:sz w:val="18"/>
              </w:rPr>
              <w:t xml:space="preserve"> </w:t>
            </w:r>
            <w:r>
              <w:rPr>
                <w:sz w:val="18"/>
              </w:rPr>
              <w:t>NextGen</w:t>
            </w:r>
            <w:r>
              <w:rPr>
                <w:spacing w:val="-4"/>
                <w:sz w:val="18"/>
              </w:rPr>
              <w:t xml:space="preserve"> </w:t>
            </w:r>
            <w:r>
              <w:rPr>
                <w:sz w:val="18"/>
              </w:rPr>
              <w:t>service catalogue ‐Portal)</w:t>
            </w:r>
          </w:p>
        </w:tc>
        <w:tc>
          <w:tcPr>
            <w:tcW w:w="1261" w:type="dxa"/>
            <w:shd w:val="clear" w:color="auto" w:fill="CCE2ED"/>
          </w:tcPr>
          <w:p w14:paraId="1E79077D" w14:textId="77777777" w:rsidR="00141B97" w:rsidRDefault="00911D63">
            <w:pPr>
              <w:pStyle w:val="TableParagraph"/>
              <w:spacing w:before="120"/>
              <w:ind w:left="252" w:right="252"/>
              <w:jc w:val="center"/>
              <w:rPr>
                <w:sz w:val="18"/>
              </w:rPr>
            </w:pPr>
            <w:r>
              <w:rPr>
                <w:spacing w:val="-2"/>
                <w:sz w:val="18"/>
              </w:rPr>
              <w:t>Corporate</w:t>
            </w:r>
          </w:p>
        </w:tc>
        <w:tc>
          <w:tcPr>
            <w:tcW w:w="1261" w:type="dxa"/>
            <w:shd w:val="clear" w:color="auto" w:fill="CCE2ED"/>
          </w:tcPr>
          <w:p w14:paraId="2421031B" w14:textId="77777777" w:rsidR="00141B97" w:rsidRDefault="00911D63">
            <w:pPr>
              <w:pStyle w:val="TableParagraph"/>
              <w:spacing w:before="127"/>
              <w:ind w:left="252" w:right="251"/>
              <w:jc w:val="center"/>
              <w:rPr>
                <w:sz w:val="18"/>
              </w:rPr>
            </w:pPr>
            <w:r>
              <w:rPr>
                <w:spacing w:val="-4"/>
                <w:sz w:val="18"/>
              </w:rPr>
              <w:t>0.50</w:t>
            </w:r>
          </w:p>
        </w:tc>
        <w:tc>
          <w:tcPr>
            <w:tcW w:w="1339" w:type="dxa"/>
            <w:tcBorders>
              <w:right w:val="nil"/>
            </w:tcBorders>
            <w:shd w:val="clear" w:color="auto" w:fill="CCE2ED"/>
          </w:tcPr>
          <w:p w14:paraId="2180DB3B" w14:textId="77777777" w:rsidR="00141B97" w:rsidRDefault="00911D63">
            <w:pPr>
              <w:pStyle w:val="TableParagraph"/>
              <w:spacing w:before="1"/>
              <w:ind w:left="101" w:right="100"/>
              <w:jc w:val="center"/>
              <w:rPr>
                <w:sz w:val="18"/>
              </w:rPr>
            </w:pPr>
            <w:r>
              <w:rPr>
                <w:spacing w:val="-2"/>
                <w:sz w:val="18"/>
              </w:rPr>
              <w:t>Improvements/</w:t>
            </w:r>
          </w:p>
          <w:p w14:paraId="676737A7" w14:textId="77777777" w:rsidR="00141B97" w:rsidRDefault="00911D63">
            <w:pPr>
              <w:pStyle w:val="TableParagraph"/>
              <w:spacing w:before="18" w:line="216" w:lineRule="exact"/>
              <w:ind w:left="101" w:right="100"/>
              <w:jc w:val="center"/>
              <w:rPr>
                <w:sz w:val="18"/>
              </w:rPr>
            </w:pPr>
            <w:r>
              <w:rPr>
                <w:spacing w:val="-2"/>
                <w:sz w:val="18"/>
              </w:rPr>
              <w:t>compliance</w:t>
            </w:r>
          </w:p>
        </w:tc>
      </w:tr>
      <w:tr w:rsidR="00141B97" w14:paraId="61A0EC7E" w14:textId="77777777">
        <w:trPr>
          <w:trHeight w:val="659"/>
          <w:tblCellSpacing w:w="9" w:type="dxa"/>
        </w:trPr>
        <w:tc>
          <w:tcPr>
            <w:tcW w:w="3042" w:type="dxa"/>
            <w:tcBorders>
              <w:left w:val="nil"/>
            </w:tcBorders>
            <w:shd w:val="clear" w:color="auto" w:fill="CCE2ED"/>
          </w:tcPr>
          <w:p w14:paraId="08F2206A" w14:textId="77777777" w:rsidR="00141B97" w:rsidRDefault="00141B97">
            <w:pPr>
              <w:pStyle w:val="TableParagraph"/>
              <w:spacing w:before="11"/>
              <w:rPr>
                <w:sz w:val="17"/>
              </w:rPr>
            </w:pPr>
          </w:p>
          <w:p w14:paraId="4BD225CC" w14:textId="77777777" w:rsidR="00141B97" w:rsidRDefault="00911D63">
            <w:pPr>
              <w:pStyle w:val="TableParagraph"/>
              <w:spacing w:before="1"/>
              <w:ind w:left="97"/>
              <w:rPr>
                <w:sz w:val="18"/>
              </w:rPr>
            </w:pPr>
            <w:r>
              <w:rPr>
                <w:sz w:val="18"/>
              </w:rPr>
              <w:t>9.</w:t>
            </w:r>
            <w:r>
              <w:rPr>
                <w:spacing w:val="-2"/>
                <w:sz w:val="18"/>
              </w:rPr>
              <w:t xml:space="preserve"> </w:t>
            </w:r>
            <w:r>
              <w:rPr>
                <w:sz w:val="18"/>
              </w:rPr>
              <w:t xml:space="preserve">Robinvale </w:t>
            </w:r>
            <w:r>
              <w:rPr>
                <w:spacing w:val="-2"/>
                <w:sz w:val="18"/>
              </w:rPr>
              <w:t>Decommissioning</w:t>
            </w:r>
          </w:p>
        </w:tc>
        <w:tc>
          <w:tcPr>
            <w:tcW w:w="2857" w:type="dxa"/>
            <w:shd w:val="clear" w:color="auto" w:fill="CCE2ED"/>
          </w:tcPr>
          <w:p w14:paraId="5800F227" w14:textId="77777777" w:rsidR="00141B97" w:rsidRDefault="00911D63">
            <w:pPr>
              <w:pStyle w:val="TableParagraph"/>
              <w:spacing w:line="220" w:lineRule="atLeast"/>
              <w:ind w:left="96"/>
              <w:rPr>
                <w:sz w:val="18"/>
              </w:rPr>
            </w:pPr>
            <w:r>
              <w:rPr>
                <w:sz w:val="18"/>
              </w:rPr>
              <w:t>Decommissioning of redundant channels,</w:t>
            </w:r>
            <w:r>
              <w:rPr>
                <w:spacing w:val="-5"/>
                <w:sz w:val="18"/>
              </w:rPr>
              <w:t xml:space="preserve"> </w:t>
            </w:r>
            <w:r>
              <w:rPr>
                <w:sz w:val="18"/>
              </w:rPr>
              <w:t>river</w:t>
            </w:r>
            <w:r>
              <w:rPr>
                <w:spacing w:val="-5"/>
                <w:sz w:val="18"/>
              </w:rPr>
              <w:t xml:space="preserve"> </w:t>
            </w:r>
            <w:r>
              <w:rPr>
                <w:sz w:val="18"/>
              </w:rPr>
              <w:t>suction</w:t>
            </w:r>
            <w:r>
              <w:rPr>
                <w:spacing w:val="-5"/>
                <w:sz w:val="18"/>
              </w:rPr>
              <w:t xml:space="preserve"> </w:t>
            </w:r>
            <w:r>
              <w:rPr>
                <w:sz w:val="18"/>
              </w:rPr>
              <w:t>and</w:t>
            </w:r>
            <w:r>
              <w:rPr>
                <w:spacing w:val="-5"/>
                <w:sz w:val="18"/>
              </w:rPr>
              <w:t xml:space="preserve"> </w:t>
            </w:r>
            <w:r>
              <w:rPr>
                <w:sz w:val="18"/>
              </w:rPr>
              <w:t>pump station and rising main</w:t>
            </w:r>
          </w:p>
        </w:tc>
        <w:tc>
          <w:tcPr>
            <w:tcW w:w="1261" w:type="dxa"/>
            <w:shd w:val="clear" w:color="auto" w:fill="CCE2ED"/>
          </w:tcPr>
          <w:p w14:paraId="3756A35A" w14:textId="77777777" w:rsidR="00141B97" w:rsidRDefault="00911D63">
            <w:pPr>
              <w:pStyle w:val="TableParagraph"/>
              <w:spacing w:before="110"/>
              <w:ind w:left="288" w:firstLine="142"/>
              <w:rPr>
                <w:sz w:val="18"/>
              </w:rPr>
            </w:pPr>
            <w:r>
              <w:rPr>
                <w:spacing w:val="-2"/>
                <w:sz w:val="18"/>
              </w:rPr>
              <w:t>Rural</w:t>
            </w:r>
            <w:r>
              <w:rPr>
                <w:sz w:val="18"/>
              </w:rPr>
              <w:t xml:space="preserve"> </w:t>
            </w:r>
            <w:r>
              <w:rPr>
                <w:spacing w:val="-2"/>
                <w:sz w:val="18"/>
              </w:rPr>
              <w:t>Irrigation</w:t>
            </w:r>
          </w:p>
        </w:tc>
        <w:tc>
          <w:tcPr>
            <w:tcW w:w="1261" w:type="dxa"/>
            <w:shd w:val="clear" w:color="auto" w:fill="CCE2ED"/>
          </w:tcPr>
          <w:p w14:paraId="11C57DBA" w14:textId="77777777" w:rsidR="00141B97" w:rsidRDefault="00141B97">
            <w:pPr>
              <w:pStyle w:val="TableParagraph"/>
              <w:spacing w:before="11"/>
              <w:rPr>
                <w:sz w:val="17"/>
              </w:rPr>
            </w:pPr>
          </w:p>
          <w:p w14:paraId="60750DBA" w14:textId="77777777" w:rsidR="00141B97" w:rsidRDefault="00911D63">
            <w:pPr>
              <w:pStyle w:val="TableParagraph"/>
              <w:spacing w:before="1"/>
              <w:ind w:left="252" w:right="251"/>
              <w:jc w:val="center"/>
              <w:rPr>
                <w:sz w:val="18"/>
              </w:rPr>
            </w:pPr>
            <w:r>
              <w:rPr>
                <w:spacing w:val="-4"/>
                <w:sz w:val="18"/>
              </w:rPr>
              <w:t>2.15</w:t>
            </w:r>
          </w:p>
        </w:tc>
        <w:tc>
          <w:tcPr>
            <w:tcW w:w="1339" w:type="dxa"/>
            <w:tcBorders>
              <w:right w:val="nil"/>
            </w:tcBorders>
            <w:shd w:val="clear" w:color="auto" w:fill="CCE2ED"/>
          </w:tcPr>
          <w:p w14:paraId="059C8B84" w14:textId="77777777" w:rsidR="00141B97" w:rsidRDefault="00911D63">
            <w:pPr>
              <w:pStyle w:val="TableParagraph"/>
              <w:spacing w:before="110"/>
              <w:ind w:left="245" w:hanging="147"/>
              <w:rPr>
                <w:sz w:val="18"/>
              </w:rPr>
            </w:pPr>
            <w:r>
              <w:rPr>
                <w:spacing w:val="-2"/>
                <w:sz w:val="18"/>
              </w:rPr>
              <w:t>Improvements/</w:t>
            </w:r>
            <w:r>
              <w:rPr>
                <w:sz w:val="18"/>
              </w:rPr>
              <w:t xml:space="preserve"> </w:t>
            </w:r>
            <w:r>
              <w:rPr>
                <w:spacing w:val="-2"/>
                <w:sz w:val="18"/>
              </w:rPr>
              <w:t>compliance</w:t>
            </w:r>
          </w:p>
        </w:tc>
      </w:tr>
      <w:tr w:rsidR="00141B97" w14:paraId="6F061C1D" w14:textId="77777777">
        <w:trPr>
          <w:trHeight w:val="824"/>
          <w:tblCellSpacing w:w="9" w:type="dxa"/>
        </w:trPr>
        <w:tc>
          <w:tcPr>
            <w:tcW w:w="3042" w:type="dxa"/>
            <w:tcBorders>
              <w:left w:val="nil"/>
              <w:bottom w:val="nil"/>
            </w:tcBorders>
            <w:shd w:val="clear" w:color="auto" w:fill="CCE2ED"/>
          </w:tcPr>
          <w:p w14:paraId="759D77AF" w14:textId="77777777" w:rsidR="00141B97" w:rsidRDefault="00911D63">
            <w:pPr>
              <w:pStyle w:val="TableParagraph"/>
              <w:spacing w:before="82"/>
              <w:ind w:left="97" w:right="167"/>
              <w:rPr>
                <w:sz w:val="18"/>
              </w:rPr>
            </w:pPr>
            <w:r>
              <w:rPr>
                <w:sz w:val="18"/>
              </w:rPr>
              <w:t>10. Asset Management Improvement –</w:t>
            </w:r>
            <w:r>
              <w:rPr>
                <w:spacing w:val="-4"/>
                <w:sz w:val="18"/>
              </w:rPr>
              <w:t xml:space="preserve"> </w:t>
            </w:r>
            <w:r>
              <w:rPr>
                <w:sz w:val="18"/>
              </w:rPr>
              <w:t>Fixed</w:t>
            </w:r>
            <w:r>
              <w:rPr>
                <w:spacing w:val="-4"/>
                <w:sz w:val="18"/>
              </w:rPr>
              <w:t xml:space="preserve"> </w:t>
            </w:r>
            <w:r>
              <w:rPr>
                <w:sz w:val="18"/>
              </w:rPr>
              <w:t>Asset</w:t>
            </w:r>
            <w:r>
              <w:rPr>
                <w:spacing w:val="-4"/>
                <w:sz w:val="18"/>
              </w:rPr>
              <w:t xml:space="preserve"> </w:t>
            </w:r>
            <w:r>
              <w:rPr>
                <w:sz w:val="18"/>
              </w:rPr>
              <w:t>Implementation</w:t>
            </w:r>
            <w:r>
              <w:rPr>
                <w:spacing w:val="-4"/>
                <w:sz w:val="18"/>
              </w:rPr>
              <w:t xml:space="preserve"> </w:t>
            </w:r>
            <w:r>
              <w:rPr>
                <w:sz w:val="18"/>
              </w:rPr>
              <w:t>&amp;</w:t>
            </w:r>
            <w:r>
              <w:rPr>
                <w:spacing w:val="-4"/>
                <w:sz w:val="18"/>
              </w:rPr>
              <w:t xml:space="preserve"> </w:t>
            </w:r>
            <w:r>
              <w:rPr>
                <w:sz w:val="18"/>
              </w:rPr>
              <w:t>Value Study</w:t>
            </w:r>
            <w:r>
              <w:rPr>
                <w:spacing w:val="-2"/>
                <w:sz w:val="18"/>
              </w:rPr>
              <w:t xml:space="preserve"> </w:t>
            </w:r>
            <w:r>
              <w:rPr>
                <w:sz w:val="18"/>
              </w:rPr>
              <w:t>Initiatives</w:t>
            </w:r>
          </w:p>
        </w:tc>
        <w:tc>
          <w:tcPr>
            <w:tcW w:w="2857" w:type="dxa"/>
            <w:tcBorders>
              <w:bottom w:val="nil"/>
            </w:tcBorders>
            <w:shd w:val="clear" w:color="auto" w:fill="CCE2ED"/>
          </w:tcPr>
          <w:p w14:paraId="35057394" w14:textId="77777777" w:rsidR="00141B97" w:rsidRDefault="00911D63">
            <w:pPr>
              <w:pStyle w:val="TableParagraph"/>
              <w:spacing w:before="82"/>
              <w:ind w:left="96"/>
              <w:rPr>
                <w:sz w:val="18"/>
              </w:rPr>
            </w:pPr>
            <w:r>
              <w:rPr>
                <w:sz w:val="18"/>
              </w:rPr>
              <w:t>15</w:t>
            </w:r>
            <w:r>
              <w:rPr>
                <w:spacing w:val="-4"/>
                <w:sz w:val="18"/>
              </w:rPr>
              <w:t xml:space="preserve"> </w:t>
            </w:r>
            <w:r>
              <w:rPr>
                <w:sz w:val="18"/>
              </w:rPr>
              <w:t>solution</w:t>
            </w:r>
            <w:r>
              <w:rPr>
                <w:spacing w:val="-5"/>
                <w:sz w:val="18"/>
              </w:rPr>
              <w:t xml:space="preserve"> </w:t>
            </w:r>
            <w:r>
              <w:rPr>
                <w:sz w:val="18"/>
              </w:rPr>
              <w:t>initiatives</w:t>
            </w:r>
            <w:r>
              <w:rPr>
                <w:spacing w:val="-5"/>
                <w:sz w:val="18"/>
              </w:rPr>
              <w:t xml:space="preserve"> </w:t>
            </w:r>
            <w:r>
              <w:rPr>
                <w:sz w:val="18"/>
              </w:rPr>
              <w:t>to</w:t>
            </w:r>
            <w:r>
              <w:rPr>
                <w:spacing w:val="-5"/>
                <w:sz w:val="18"/>
              </w:rPr>
              <w:t xml:space="preserve"> </w:t>
            </w:r>
            <w:r>
              <w:rPr>
                <w:sz w:val="18"/>
              </w:rPr>
              <w:t xml:space="preserve">automate manage asset lifecycle and work </w:t>
            </w:r>
            <w:r>
              <w:rPr>
                <w:spacing w:val="-2"/>
                <w:sz w:val="18"/>
              </w:rPr>
              <w:t>orders.</w:t>
            </w:r>
          </w:p>
        </w:tc>
        <w:tc>
          <w:tcPr>
            <w:tcW w:w="1261" w:type="dxa"/>
            <w:tcBorders>
              <w:bottom w:val="nil"/>
            </w:tcBorders>
            <w:shd w:val="clear" w:color="auto" w:fill="CCE2ED"/>
          </w:tcPr>
          <w:p w14:paraId="2D2FCA1C" w14:textId="77777777" w:rsidR="00141B97" w:rsidRDefault="00141B97">
            <w:pPr>
              <w:pStyle w:val="TableParagraph"/>
              <w:spacing w:before="8"/>
              <w:rPr>
                <w:sz w:val="24"/>
              </w:rPr>
            </w:pPr>
          </w:p>
          <w:p w14:paraId="1D6969BE" w14:textId="77777777" w:rsidR="00141B97" w:rsidRDefault="00911D63">
            <w:pPr>
              <w:pStyle w:val="TableParagraph"/>
              <w:ind w:left="252" w:right="252"/>
              <w:jc w:val="center"/>
              <w:rPr>
                <w:sz w:val="18"/>
              </w:rPr>
            </w:pPr>
            <w:r>
              <w:rPr>
                <w:spacing w:val="-2"/>
                <w:sz w:val="18"/>
              </w:rPr>
              <w:t>Corporate</w:t>
            </w:r>
          </w:p>
        </w:tc>
        <w:tc>
          <w:tcPr>
            <w:tcW w:w="1261" w:type="dxa"/>
            <w:tcBorders>
              <w:bottom w:val="nil"/>
            </w:tcBorders>
            <w:shd w:val="clear" w:color="auto" w:fill="CCE2ED"/>
          </w:tcPr>
          <w:p w14:paraId="700A6221" w14:textId="77777777" w:rsidR="00141B97" w:rsidRDefault="00141B97">
            <w:pPr>
              <w:pStyle w:val="TableParagraph"/>
              <w:spacing w:before="8"/>
              <w:rPr>
                <w:sz w:val="24"/>
              </w:rPr>
            </w:pPr>
          </w:p>
          <w:p w14:paraId="59639076" w14:textId="77777777" w:rsidR="00141B97" w:rsidRDefault="00911D63">
            <w:pPr>
              <w:pStyle w:val="TableParagraph"/>
              <w:ind w:left="252" w:right="251"/>
              <w:jc w:val="center"/>
              <w:rPr>
                <w:sz w:val="18"/>
              </w:rPr>
            </w:pPr>
            <w:r>
              <w:rPr>
                <w:spacing w:val="-4"/>
                <w:sz w:val="18"/>
              </w:rPr>
              <w:t>0.77</w:t>
            </w:r>
          </w:p>
        </w:tc>
        <w:tc>
          <w:tcPr>
            <w:tcW w:w="1339" w:type="dxa"/>
            <w:tcBorders>
              <w:bottom w:val="nil"/>
              <w:right w:val="nil"/>
            </w:tcBorders>
            <w:shd w:val="clear" w:color="auto" w:fill="CCE2ED"/>
          </w:tcPr>
          <w:p w14:paraId="5BA9DE1A" w14:textId="77777777" w:rsidR="00141B97" w:rsidRDefault="00141B97">
            <w:pPr>
              <w:pStyle w:val="TableParagraph"/>
              <w:spacing w:before="9"/>
              <w:rPr>
                <w:sz w:val="15"/>
              </w:rPr>
            </w:pPr>
          </w:p>
          <w:p w14:paraId="1EBA601E" w14:textId="77777777" w:rsidR="00141B97" w:rsidRDefault="00911D63">
            <w:pPr>
              <w:pStyle w:val="TableParagraph"/>
              <w:ind w:left="245" w:hanging="147"/>
              <w:rPr>
                <w:sz w:val="18"/>
              </w:rPr>
            </w:pPr>
            <w:r>
              <w:rPr>
                <w:spacing w:val="-2"/>
                <w:sz w:val="18"/>
              </w:rPr>
              <w:t>Improvements/</w:t>
            </w:r>
            <w:r>
              <w:rPr>
                <w:sz w:val="18"/>
              </w:rPr>
              <w:t xml:space="preserve"> </w:t>
            </w:r>
            <w:r>
              <w:rPr>
                <w:spacing w:val="-2"/>
                <w:sz w:val="18"/>
              </w:rPr>
              <w:t>compliance</w:t>
            </w:r>
          </w:p>
        </w:tc>
      </w:tr>
    </w:tbl>
    <w:p w14:paraId="58716DBC" w14:textId="77777777" w:rsidR="00141B97" w:rsidRDefault="00911D63">
      <w:pPr>
        <w:spacing w:before="20"/>
        <w:ind w:right="7448"/>
        <w:jc w:val="right"/>
        <w:rPr>
          <w:sz w:val="14"/>
        </w:rPr>
      </w:pPr>
      <w:r>
        <w:rPr>
          <w:sz w:val="14"/>
        </w:rPr>
        <w:t>*</w:t>
      </w:r>
      <w:r>
        <w:rPr>
          <w:spacing w:val="-3"/>
          <w:sz w:val="14"/>
        </w:rPr>
        <w:t xml:space="preserve"> </w:t>
      </w:r>
      <w:r>
        <w:rPr>
          <w:sz w:val="14"/>
        </w:rPr>
        <w:t>Costs</w:t>
      </w:r>
      <w:r>
        <w:rPr>
          <w:spacing w:val="-3"/>
          <w:sz w:val="14"/>
        </w:rPr>
        <w:t xml:space="preserve"> </w:t>
      </w:r>
      <w:r>
        <w:rPr>
          <w:sz w:val="14"/>
        </w:rPr>
        <w:t>for</w:t>
      </w:r>
      <w:r>
        <w:rPr>
          <w:spacing w:val="-3"/>
          <w:sz w:val="14"/>
        </w:rPr>
        <w:t xml:space="preserve"> </w:t>
      </w:r>
      <w:r>
        <w:rPr>
          <w:sz w:val="14"/>
        </w:rPr>
        <w:t>Corporate</w:t>
      </w:r>
      <w:r>
        <w:rPr>
          <w:spacing w:val="-3"/>
          <w:sz w:val="14"/>
        </w:rPr>
        <w:t xml:space="preserve"> </w:t>
      </w:r>
      <w:r>
        <w:rPr>
          <w:sz w:val="14"/>
        </w:rPr>
        <w:t>projects</w:t>
      </w:r>
      <w:r>
        <w:rPr>
          <w:spacing w:val="-3"/>
          <w:sz w:val="14"/>
        </w:rPr>
        <w:t xml:space="preserve"> </w:t>
      </w:r>
      <w:r>
        <w:rPr>
          <w:sz w:val="14"/>
        </w:rPr>
        <w:t>are</w:t>
      </w:r>
      <w:r>
        <w:rPr>
          <w:spacing w:val="-3"/>
          <w:sz w:val="14"/>
        </w:rPr>
        <w:t xml:space="preserve"> </w:t>
      </w:r>
      <w:r>
        <w:rPr>
          <w:sz w:val="14"/>
        </w:rPr>
        <w:t>the</w:t>
      </w:r>
      <w:r>
        <w:rPr>
          <w:spacing w:val="-3"/>
          <w:sz w:val="14"/>
        </w:rPr>
        <w:t xml:space="preserve"> </w:t>
      </w:r>
      <w:r>
        <w:rPr>
          <w:sz w:val="14"/>
        </w:rPr>
        <w:t>Rural</w:t>
      </w:r>
      <w:r>
        <w:rPr>
          <w:spacing w:val="-2"/>
          <w:sz w:val="14"/>
        </w:rPr>
        <w:t xml:space="preserve"> component.</w:t>
      </w:r>
    </w:p>
    <w:p w14:paraId="128BA00A" w14:textId="77777777" w:rsidR="00141B97" w:rsidRDefault="00911D63">
      <w:pPr>
        <w:spacing w:before="20"/>
        <w:ind w:right="7518"/>
        <w:jc w:val="right"/>
        <w:rPr>
          <w:sz w:val="16"/>
        </w:rPr>
      </w:pPr>
      <w:r>
        <w:rPr>
          <w:sz w:val="16"/>
        </w:rPr>
        <w:t>Table</w:t>
      </w:r>
      <w:r>
        <w:rPr>
          <w:spacing w:val="-4"/>
          <w:sz w:val="16"/>
        </w:rPr>
        <w:t xml:space="preserve"> </w:t>
      </w:r>
      <w:r>
        <w:rPr>
          <w:sz w:val="16"/>
        </w:rPr>
        <w:t>C24:</w:t>
      </w:r>
      <w:r>
        <w:rPr>
          <w:spacing w:val="-6"/>
          <w:sz w:val="16"/>
        </w:rPr>
        <w:t xml:space="preserve"> </w:t>
      </w:r>
      <w:r>
        <w:rPr>
          <w:sz w:val="16"/>
        </w:rPr>
        <w:t>Proposed</w:t>
      </w:r>
      <w:r>
        <w:rPr>
          <w:spacing w:val="-4"/>
          <w:sz w:val="16"/>
        </w:rPr>
        <w:t xml:space="preserve"> </w:t>
      </w:r>
      <w:r>
        <w:rPr>
          <w:sz w:val="16"/>
        </w:rPr>
        <w:t>Rural</w:t>
      </w:r>
      <w:r>
        <w:rPr>
          <w:spacing w:val="-5"/>
          <w:sz w:val="16"/>
        </w:rPr>
        <w:t xml:space="preserve"> </w:t>
      </w:r>
      <w:r>
        <w:rPr>
          <w:sz w:val="16"/>
        </w:rPr>
        <w:t>Top</w:t>
      </w:r>
      <w:r>
        <w:rPr>
          <w:spacing w:val="-4"/>
          <w:sz w:val="16"/>
        </w:rPr>
        <w:t xml:space="preserve"> </w:t>
      </w:r>
      <w:r>
        <w:rPr>
          <w:sz w:val="16"/>
        </w:rPr>
        <w:t>10</w:t>
      </w:r>
      <w:r>
        <w:rPr>
          <w:spacing w:val="-4"/>
          <w:sz w:val="16"/>
        </w:rPr>
        <w:t xml:space="preserve"> </w:t>
      </w:r>
      <w:r>
        <w:rPr>
          <w:sz w:val="16"/>
        </w:rPr>
        <w:t>Capital</w:t>
      </w:r>
      <w:r>
        <w:rPr>
          <w:spacing w:val="-6"/>
          <w:sz w:val="16"/>
        </w:rPr>
        <w:t xml:space="preserve"> </w:t>
      </w:r>
      <w:r>
        <w:rPr>
          <w:spacing w:val="-2"/>
          <w:sz w:val="16"/>
        </w:rPr>
        <w:t>Projects</w:t>
      </w:r>
    </w:p>
    <w:p w14:paraId="118751D7" w14:textId="77777777" w:rsidR="00141B97" w:rsidRDefault="00141B97">
      <w:pPr>
        <w:pStyle w:val="BodyText"/>
        <w:spacing w:before="1"/>
      </w:pPr>
    </w:p>
    <w:p w14:paraId="0F5B4D0C" w14:textId="77777777" w:rsidR="00141B97" w:rsidRDefault="00911D63">
      <w:pPr>
        <w:pStyle w:val="BodyText"/>
        <w:ind w:left="113" w:right="946"/>
        <w:jc w:val="both"/>
      </w:pPr>
      <w:r>
        <w:t>The Robinvale Decommissioning project relates to sections of the old irrigation system that were not decommissioned when the new high‐pressure system was installed. These assets include relift pump stations, sections of channels and bridges in road reserves where the bridge structure does not meet current traffic design</w:t>
      </w:r>
      <w:r>
        <w:rPr>
          <w:spacing w:val="-6"/>
        </w:rPr>
        <w:t xml:space="preserve"> </w:t>
      </w:r>
      <w:r>
        <w:t>standards,</w:t>
      </w:r>
      <w:r>
        <w:rPr>
          <w:spacing w:val="-7"/>
        </w:rPr>
        <w:t xml:space="preserve"> </w:t>
      </w:r>
      <w:r>
        <w:t>sections</w:t>
      </w:r>
      <w:r>
        <w:rPr>
          <w:spacing w:val="-6"/>
        </w:rPr>
        <w:t xml:space="preserve"> </w:t>
      </w:r>
      <w:r>
        <w:t>of</w:t>
      </w:r>
      <w:r>
        <w:rPr>
          <w:spacing w:val="-6"/>
        </w:rPr>
        <w:t xml:space="preserve"> </w:t>
      </w:r>
      <w:r>
        <w:t>concrete</w:t>
      </w:r>
      <w:r>
        <w:rPr>
          <w:spacing w:val="-5"/>
        </w:rPr>
        <w:t xml:space="preserve"> </w:t>
      </w:r>
      <w:r>
        <w:t>lined</w:t>
      </w:r>
      <w:r>
        <w:rPr>
          <w:spacing w:val="-6"/>
        </w:rPr>
        <w:t xml:space="preserve"> </w:t>
      </w:r>
      <w:r>
        <w:t>channel</w:t>
      </w:r>
      <w:r>
        <w:rPr>
          <w:spacing w:val="-7"/>
        </w:rPr>
        <w:t xml:space="preserve"> </w:t>
      </w:r>
      <w:r>
        <w:t>in</w:t>
      </w:r>
      <w:r>
        <w:rPr>
          <w:spacing w:val="-7"/>
        </w:rPr>
        <w:t xml:space="preserve"> </w:t>
      </w:r>
      <w:r>
        <w:t>channel</w:t>
      </w:r>
      <w:r>
        <w:rPr>
          <w:spacing w:val="-7"/>
        </w:rPr>
        <w:t xml:space="preserve"> </w:t>
      </w:r>
      <w:r>
        <w:t>reserves</w:t>
      </w:r>
      <w:r>
        <w:rPr>
          <w:spacing w:val="-7"/>
        </w:rPr>
        <w:t xml:space="preserve"> </w:t>
      </w:r>
      <w:r>
        <w:t>which</w:t>
      </w:r>
      <w:r>
        <w:rPr>
          <w:spacing w:val="-6"/>
        </w:rPr>
        <w:t xml:space="preserve"> </w:t>
      </w:r>
      <w:r>
        <w:t>are</w:t>
      </w:r>
      <w:r>
        <w:rPr>
          <w:spacing w:val="-6"/>
        </w:rPr>
        <w:t xml:space="preserve"> </w:t>
      </w:r>
      <w:r>
        <w:t>accumulating</w:t>
      </w:r>
      <w:r>
        <w:rPr>
          <w:spacing w:val="-7"/>
        </w:rPr>
        <w:t xml:space="preserve"> </w:t>
      </w:r>
      <w:r>
        <w:t>debris</w:t>
      </w:r>
      <w:r>
        <w:rPr>
          <w:spacing w:val="-5"/>
        </w:rPr>
        <w:t xml:space="preserve"> </w:t>
      </w:r>
      <w:r>
        <w:t>and</w:t>
      </w:r>
      <w:r>
        <w:rPr>
          <w:spacing w:val="-6"/>
        </w:rPr>
        <w:t xml:space="preserve"> </w:t>
      </w:r>
      <w:r>
        <w:t>the original</w:t>
      </w:r>
      <w:r>
        <w:rPr>
          <w:spacing w:val="-13"/>
        </w:rPr>
        <w:t xml:space="preserve"> </w:t>
      </w:r>
      <w:r>
        <w:t>pump</w:t>
      </w:r>
      <w:r>
        <w:rPr>
          <w:spacing w:val="-12"/>
        </w:rPr>
        <w:t xml:space="preserve"> </w:t>
      </w:r>
      <w:r>
        <w:t>station</w:t>
      </w:r>
      <w:r>
        <w:rPr>
          <w:spacing w:val="-13"/>
        </w:rPr>
        <w:t xml:space="preserve"> </w:t>
      </w:r>
      <w:r>
        <w:t>suctions</w:t>
      </w:r>
      <w:r>
        <w:rPr>
          <w:spacing w:val="-12"/>
        </w:rPr>
        <w:t xml:space="preserve"> </w:t>
      </w:r>
      <w:r>
        <w:t>which</w:t>
      </w:r>
      <w:r>
        <w:rPr>
          <w:spacing w:val="-13"/>
        </w:rPr>
        <w:t xml:space="preserve"> </w:t>
      </w:r>
      <w:r>
        <w:t>pass</w:t>
      </w:r>
      <w:r>
        <w:rPr>
          <w:spacing w:val="-12"/>
        </w:rPr>
        <w:t xml:space="preserve"> </w:t>
      </w:r>
      <w:r>
        <w:t>through</w:t>
      </w:r>
      <w:r>
        <w:rPr>
          <w:spacing w:val="-13"/>
        </w:rPr>
        <w:t xml:space="preserve"> </w:t>
      </w:r>
      <w:r>
        <w:t>the</w:t>
      </w:r>
      <w:r>
        <w:rPr>
          <w:spacing w:val="-12"/>
        </w:rPr>
        <w:t xml:space="preserve"> </w:t>
      </w:r>
      <w:r>
        <w:t>levee</w:t>
      </w:r>
      <w:r>
        <w:rPr>
          <w:spacing w:val="-12"/>
        </w:rPr>
        <w:t xml:space="preserve"> </w:t>
      </w:r>
      <w:r>
        <w:t>which</w:t>
      </w:r>
      <w:r>
        <w:rPr>
          <w:spacing w:val="-13"/>
        </w:rPr>
        <w:t xml:space="preserve"> </w:t>
      </w:r>
      <w:r>
        <w:t>protects</w:t>
      </w:r>
      <w:r>
        <w:rPr>
          <w:spacing w:val="-12"/>
        </w:rPr>
        <w:t xml:space="preserve"> </w:t>
      </w:r>
      <w:r>
        <w:t>both</w:t>
      </w:r>
      <w:r>
        <w:rPr>
          <w:spacing w:val="-13"/>
        </w:rPr>
        <w:t xml:space="preserve"> </w:t>
      </w:r>
      <w:r>
        <w:t>the</w:t>
      </w:r>
      <w:r>
        <w:rPr>
          <w:spacing w:val="-12"/>
        </w:rPr>
        <w:t xml:space="preserve"> </w:t>
      </w:r>
      <w:r>
        <w:t>new</w:t>
      </w:r>
      <w:r>
        <w:rPr>
          <w:spacing w:val="-13"/>
        </w:rPr>
        <w:t xml:space="preserve"> </w:t>
      </w:r>
      <w:r>
        <w:t>and</w:t>
      </w:r>
      <w:r>
        <w:rPr>
          <w:spacing w:val="-12"/>
        </w:rPr>
        <w:t xml:space="preserve"> </w:t>
      </w:r>
      <w:r>
        <w:t>old</w:t>
      </w:r>
      <w:r>
        <w:rPr>
          <w:spacing w:val="-12"/>
        </w:rPr>
        <w:t xml:space="preserve"> </w:t>
      </w:r>
      <w:r>
        <w:t>pump</w:t>
      </w:r>
      <w:r>
        <w:rPr>
          <w:spacing w:val="-13"/>
        </w:rPr>
        <w:t xml:space="preserve"> </w:t>
      </w:r>
      <w:r>
        <w:t xml:space="preserve">stations. These assets are deteriorating and pose safety and maintenance risks that require their removal or </w:t>
      </w:r>
      <w:r>
        <w:rPr>
          <w:spacing w:val="-2"/>
        </w:rPr>
        <w:t>decommissioning.</w:t>
      </w:r>
    </w:p>
    <w:p w14:paraId="3CA771B8" w14:textId="77777777" w:rsidR="00141B97" w:rsidRDefault="00141B97">
      <w:pPr>
        <w:pStyle w:val="BodyText"/>
      </w:pPr>
    </w:p>
    <w:p w14:paraId="7EC267B2" w14:textId="77777777" w:rsidR="00141B97" w:rsidRDefault="00911D63">
      <w:pPr>
        <w:pStyle w:val="BodyText"/>
        <w:ind w:left="114"/>
        <w:jc w:val="both"/>
      </w:pPr>
      <w:r>
        <w:t>The</w:t>
      </w:r>
      <w:r>
        <w:rPr>
          <w:spacing w:val="-11"/>
        </w:rPr>
        <w:t xml:space="preserve"> </w:t>
      </w:r>
      <w:r>
        <w:t>other</w:t>
      </w:r>
      <w:r>
        <w:rPr>
          <w:spacing w:val="-9"/>
        </w:rPr>
        <w:t xml:space="preserve"> </w:t>
      </w:r>
      <w:r>
        <w:t>two</w:t>
      </w:r>
      <w:r>
        <w:rPr>
          <w:spacing w:val="-11"/>
        </w:rPr>
        <w:t xml:space="preserve"> </w:t>
      </w:r>
      <w:r>
        <w:t>projects</w:t>
      </w:r>
      <w:r>
        <w:rPr>
          <w:spacing w:val="-8"/>
        </w:rPr>
        <w:t xml:space="preserve"> </w:t>
      </w:r>
      <w:r>
        <w:t>are</w:t>
      </w:r>
      <w:r>
        <w:rPr>
          <w:spacing w:val="-10"/>
        </w:rPr>
        <w:t xml:space="preserve"> </w:t>
      </w:r>
      <w:r>
        <w:t>part</w:t>
      </w:r>
      <w:r>
        <w:rPr>
          <w:spacing w:val="-8"/>
        </w:rPr>
        <w:t xml:space="preserve"> </w:t>
      </w:r>
      <w:r>
        <w:t>of</w:t>
      </w:r>
      <w:r>
        <w:rPr>
          <w:spacing w:val="-9"/>
        </w:rPr>
        <w:t xml:space="preserve"> </w:t>
      </w:r>
      <w:r>
        <w:t>the</w:t>
      </w:r>
      <w:r>
        <w:rPr>
          <w:spacing w:val="-10"/>
        </w:rPr>
        <w:t xml:space="preserve"> </w:t>
      </w:r>
      <w:r>
        <w:t>Business</w:t>
      </w:r>
      <w:r>
        <w:rPr>
          <w:spacing w:val="-9"/>
        </w:rPr>
        <w:t xml:space="preserve"> </w:t>
      </w:r>
      <w:r>
        <w:t>Transformation</w:t>
      </w:r>
      <w:r>
        <w:rPr>
          <w:spacing w:val="-8"/>
        </w:rPr>
        <w:t xml:space="preserve"> </w:t>
      </w:r>
      <w:r>
        <w:t>Project</w:t>
      </w:r>
      <w:r>
        <w:rPr>
          <w:spacing w:val="-9"/>
        </w:rPr>
        <w:t xml:space="preserve"> </w:t>
      </w:r>
      <w:r>
        <w:t>described</w:t>
      </w:r>
      <w:r>
        <w:rPr>
          <w:spacing w:val="-10"/>
        </w:rPr>
        <w:t xml:space="preserve"> </w:t>
      </w:r>
      <w:r>
        <w:t>elsewhere</w:t>
      </w:r>
      <w:r>
        <w:rPr>
          <w:spacing w:val="-9"/>
        </w:rPr>
        <w:t xml:space="preserve"> </w:t>
      </w:r>
      <w:r>
        <w:t>in</w:t>
      </w:r>
      <w:r>
        <w:rPr>
          <w:spacing w:val="-9"/>
        </w:rPr>
        <w:t xml:space="preserve"> </w:t>
      </w:r>
      <w:r>
        <w:t>this</w:t>
      </w:r>
      <w:r>
        <w:rPr>
          <w:spacing w:val="-9"/>
        </w:rPr>
        <w:t xml:space="preserve"> </w:t>
      </w:r>
      <w:r>
        <w:rPr>
          <w:spacing w:val="-2"/>
        </w:rPr>
        <w:t>submission.</w:t>
      </w:r>
    </w:p>
    <w:p w14:paraId="03111F4A" w14:textId="77777777" w:rsidR="00141B97" w:rsidRDefault="00141B97">
      <w:pPr>
        <w:pStyle w:val="BodyText"/>
      </w:pPr>
    </w:p>
    <w:p w14:paraId="42EA04AB" w14:textId="77777777" w:rsidR="00141B97" w:rsidRDefault="00911D63">
      <w:pPr>
        <w:pStyle w:val="BodyText"/>
        <w:ind w:left="114" w:right="948" w:hanging="1"/>
        <w:jc w:val="both"/>
      </w:pPr>
      <w:r>
        <w:t>In</w:t>
      </w:r>
      <w:r>
        <w:rPr>
          <w:spacing w:val="-9"/>
        </w:rPr>
        <w:t xml:space="preserve"> </w:t>
      </w:r>
      <w:r>
        <w:t>addition,</w:t>
      </w:r>
      <w:r>
        <w:rPr>
          <w:spacing w:val="-8"/>
        </w:rPr>
        <w:t xml:space="preserve"> </w:t>
      </w:r>
      <w:r>
        <w:t>there</w:t>
      </w:r>
      <w:r>
        <w:rPr>
          <w:spacing w:val="-9"/>
        </w:rPr>
        <w:t xml:space="preserve"> </w:t>
      </w:r>
      <w:r>
        <w:t>are</w:t>
      </w:r>
      <w:r>
        <w:rPr>
          <w:spacing w:val="-9"/>
        </w:rPr>
        <w:t xml:space="preserve"> </w:t>
      </w:r>
      <w:r>
        <w:t>a</w:t>
      </w:r>
      <w:r>
        <w:rPr>
          <w:spacing w:val="-8"/>
        </w:rPr>
        <w:t xml:space="preserve"> </w:t>
      </w:r>
      <w:r>
        <w:t>number</w:t>
      </w:r>
      <w:r>
        <w:rPr>
          <w:spacing w:val="-9"/>
        </w:rPr>
        <w:t xml:space="preserve"> </w:t>
      </w:r>
      <w:r>
        <w:t>of</w:t>
      </w:r>
      <w:r>
        <w:rPr>
          <w:spacing w:val="-9"/>
        </w:rPr>
        <w:t xml:space="preserve"> </w:t>
      </w:r>
      <w:r>
        <w:t>major</w:t>
      </w:r>
      <w:r>
        <w:rPr>
          <w:spacing w:val="-8"/>
        </w:rPr>
        <w:t xml:space="preserve"> </w:t>
      </w:r>
      <w:r>
        <w:t>programs</w:t>
      </w:r>
      <w:r>
        <w:rPr>
          <w:spacing w:val="-9"/>
        </w:rPr>
        <w:t xml:space="preserve"> </w:t>
      </w:r>
      <w:r>
        <w:t>that</w:t>
      </w:r>
      <w:r>
        <w:rPr>
          <w:spacing w:val="-10"/>
        </w:rPr>
        <w:t xml:space="preserve"> </w:t>
      </w:r>
      <w:r>
        <w:t>are</w:t>
      </w:r>
      <w:r>
        <w:rPr>
          <w:spacing w:val="-9"/>
        </w:rPr>
        <w:t xml:space="preserve"> </w:t>
      </w:r>
      <w:r>
        <w:t>either</w:t>
      </w:r>
      <w:r>
        <w:rPr>
          <w:spacing w:val="-9"/>
        </w:rPr>
        <w:t xml:space="preserve"> </w:t>
      </w:r>
      <w:r>
        <w:t>specific</w:t>
      </w:r>
      <w:r>
        <w:rPr>
          <w:spacing w:val="-8"/>
        </w:rPr>
        <w:t xml:space="preserve"> </w:t>
      </w:r>
      <w:r>
        <w:t>to</w:t>
      </w:r>
      <w:r>
        <w:rPr>
          <w:spacing w:val="-10"/>
        </w:rPr>
        <w:t xml:space="preserve"> </w:t>
      </w:r>
      <w:r>
        <w:t>the</w:t>
      </w:r>
      <w:r>
        <w:rPr>
          <w:spacing w:val="-9"/>
        </w:rPr>
        <w:t xml:space="preserve"> </w:t>
      </w:r>
      <w:r>
        <w:t>rural</w:t>
      </w:r>
      <w:r>
        <w:rPr>
          <w:spacing w:val="-9"/>
        </w:rPr>
        <w:t xml:space="preserve"> </w:t>
      </w:r>
      <w:r>
        <w:t>business</w:t>
      </w:r>
      <w:r>
        <w:rPr>
          <w:spacing w:val="-8"/>
        </w:rPr>
        <w:t xml:space="preserve"> </w:t>
      </w:r>
      <w:r>
        <w:t>such</w:t>
      </w:r>
      <w:r>
        <w:rPr>
          <w:spacing w:val="-10"/>
        </w:rPr>
        <w:t xml:space="preserve"> </w:t>
      </w:r>
      <w:r>
        <w:t>as</w:t>
      </w:r>
      <w:r>
        <w:rPr>
          <w:spacing w:val="-8"/>
        </w:rPr>
        <w:t xml:space="preserve"> </w:t>
      </w:r>
      <w:r>
        <w:t>Irrigation Mains</w:t>
      </w:r>
      <w:r>
        <w:rPr>
          <w:spacing w:val="-4"/>
        </w:rPr>
        <w:t xml:space="preserve"> </w:t>
      </w:r>
      <w:r>
        <w:t>Replacement,</w:t>
      </w:r>
      <w:r>
        <w:rPr>
          <w:spacing w:val="-4"/>
        </w:rPr>
        <w:t xml:space="preserve"> </w:t>
      </w:r>
      <w:r>
        <w:t>or</w:t>
      </w:r>
      <w:r>
        <w:rPr>
          <w:spacing w:val="-4"/>
        </w:rPr>
        <w:t xml:space="preserve"> </w:t>
      </w:r>
      <w:r>
        <w:t>corporate</w:t>
      </w:r>
      <w:r>
        <w:rPr>
          <w:spacing w:val="-4"/>
        </w:rPr>
        <w:t xml:space="preserve"> </w:t>
      </w:r>
      <w:r>
        <w:t>including</w:t>
      </w:r>
      <w:r>
        <w:rPr>
          <w:spacing w:val="-6"/>
        </w:rPr>
        <w:t xml:space="preserve"> </w:t>
      </w:r>
      <w:r>
        <w:t>Motor</w:t>
      </w:r>
      <w:r>
        <w:rPr>
          <w:spacing w:val="-5"/>
        </w:rPr>
        <w:t xml:space="preserve"> </w:t>
      </w:r>
      <w:r>
        <w:t>Vehicle</w:t>
      </w:r>
      <w:r>
        <w:rPr>
          <w:spacing w:val="-5"/>
        </w:rPr>
        <w:t xml:space="preserve"> </w:t>
      </w:r>
      <w:r>
        <w:t>Fleet</w:t>
      </w:r>
      <w:r>
        <w:rPr>
          <w:spacing w:val="-4"/>
        </w:rPr>
        <w:t xml:space="preserve"> </w:t>
      </w:r>
      <w:r>
        <w:t>or</w:t>
      </w:r>
      <w:r>
        <w:rPr>
          <w:spacing w:val="-5"/>
        </w:rPr>
        <w:t xml:space="preserve"> </w:t>
      </w:r>
      <w:r>
        <w:t>ICT</w:t>
      </w:r>
      <w:r>
        <w:rPr>
          <w:spacing w:val="-5"/>
        </w:rPr>
        <w:t xml:space="preserve"> </w:t>
      </w:r>
      <w:r>
        <w:t>Equipment,</w:t>
      </w:r>
      <w:r>
        <w:rPr>
          <w:spacing w:val="-6"/>
        </w:rPr>
        <w:t xml:space="preserve"> </w:t>
      </w:r>
      <w:r>
        <w:t>as</w:t>
      </w:r>
      <w:r>
        <w:rPr>
          <w:spacing w:val="-5"/>
        </w:rPr>
        <w:t xml:space="preserve"> </w:t>
      </w:r>
      <w:r>
        <w:t>summarised</w:t>
      </w:r>
      <w:r>
        <w:rPr>
          <w:spacing w:val="-4"/>
        </w:rPr>
        <w:t xml:space="preserve"> </w:t>
      </w:r>
      <w:r>
        <w:t>in</w:t>
      </w:r>
      <w:r>
        <w:rPr>
          <w:spacing w:val="-4"/>
        </w:rPr>
        <w:t xml:space="preserve"> </w:t>
      </w:r>
      <w:r>
        <w:t>Table</w:t>
      </w:r>
      <w:r>
        <w:rPr>
          <w:spacing w:val="-4"/>
        </w:rPr>
        <w:t xml:space="preserve"> </w:t>
      </w:r>
      <w:r>
        <w:t xml:space="preserve">C25. Appendix C3 also provides alignment of major programs with their component programs and the program </w:t>
      </w:r>
      <w:r>
        <w:rPr>
          <w:spacing w:val="-2"/>
        </w:rPr>
        <w:t>timing.</w:t>
      </w:r>
    </w:p>
    <w:p w14:paraId="26C1E31A" w14:textId="77777777" w:rsidR="00141B97" w:rsidRDefault="00141B97">
      <w:pPr>
        <w:pStyle w:val="BodyText"/>
        <w:spacing w:before="9" w:after="1"/>
      </w:pPr>
    </w:p>
    <w:tbl>
      <w:tblPr>
        <w:tblW w:w="0" w:type="auto"/>
        <w:tblCellSpacing w:w="8" w:type="dxa"/>
        <w:tblInd w:w="139" w:type="dxa"/>
        <w:tblLayout w:type="fixed"/>
        <w:tblCellMar>
          <w:left w:w="0" w:type="dxa"/>
          <w:right w:w="0" w:type="dxa"/>
        </w:tblCellMar>
        <w:tblLook w:val="01E0" w:firstRow="1" w:lastRow="1" w:firstColumn="1" w:lastColumn="1" w:noHBand="0" w:noVBand="0"/>
      </w:tblPr>
      <w:tblGrid>
        <w:gridCol w:w="2636"/>
        <w:gridCol w:w="2666"/>
        <w:gridCol w:w="1354"/>
        <w:gridCol w:w="1462"/>
        <w:gridCol w:w="1739"/>
      </w:tblGrid>
      <w:tr w:rsidR="00141B97" w14:paraId="4E16DB5A" w14:textId="77777777">
        <w:trPr>
          <w:trHeight w:val="525"/>
          <w:tblCellSpacing w:w="8" w:type="dxa"/>
        </w:trPr>
        <w:tc>
          <w:tcPr>
            <w:tcW w:w="2612" w:type="dxa"/>
            <w:tcBorders>
              <w:top w:val="nil"/>
              <w:left w:val="nil"/>
              <w:bottom w:val="nil"/>
            </w:tcBorders>
            <w:shd w:val="clear" w:color="auto" w:fill="006CA3"/>
          </w:tcPr>
          <w:p w14:paraId="773211CB" w14:textId="77777777" w:rsidR="00141B97" w:rsidRDefault="00911D63">
            <w:pPr>
              <w:pStyle w:val="TableParagraph"/>
              <w:spacing w:before="152"/>
              <w:ind w:left="88"/>
              <w:rPr>
                <w:sz w:val="18"/>
              </w:rPr>
            </w:pPr>
            <w:r>
              <w:rPr>
                <w:color w:val="FFFFFF"/>
                <w:sz w:val="18"/>
              </w:rPr>
              <w:t xml:space="preserve">Major </w:t>
            </w:r>
            <w:r>
              <w:rPr>
                <w:color w:val="FFFFFF"/>
                <w:spacing w:val="-2"/>
                <w:sz w:val="18"/>
              </w:rPr>
              <w:t>Program</w:t>
            </w:r>
          </w:p>
        </w:tc>
        <w:tc>
          <w:tcPr>
            <w:tcW w:w="2650" w:type="dxa"/>
            <w:tcBorders>
              <w:top w:val="nil"/>
              <w:bottom w:val="nil"/>
            </w:tcBorders>
            <w:shd w:val="clear" w:color="auto" w:fill="006CA3"/>
          </w:tcPr>
          <w:p w14:paraId="56E17F2C" w14:textId="77777777" w:rsidR="00141B97" w:rsidRDefault="00911D63">
            <w:pPr>
              <w:pStyle w:val="TableParagraph"/>
              <w:spacing w:before="152"/>
              <w:ind w:left="264" w:right="266"/>
              <w:jc w:val="center"/>
              <w:rPr>
                <w:sz w:val="18"/>
              </w:rPr>
            </w:pPr>
            <w:r>
              <w:rPr>
                <w:color w:val="FFFFFF"/>
                <w:sz w:val="18"/>
              </w:rPr>
              <w:t>Component</w:t>
            </w:r>
            <w:r>
              <w:rPr>
                <w:color w:val="FFFFFF"/>
                <w:spacing w:val="-4"/>
                <w:sz w:val="18"/>
              </w:rPr>
              <w:t xml:space="preserve"> </w:t>
            </w:r>
            <w:r>
              <w:rPr>
                <w:color w:val="FFFFFF"/>
                <w:spacing w:val="-2"/>
                <w:sz w:val="18"/>
              </w:rPr>
              <w:t>Programs</w:t>
            </w:r>
          </w:p>
        </w:tc>
        <w:tc>
          <w:tcPr>
            <w:tcW w:w="1338" w:type="dxa"/>
            <w:tcBorders>
              <w:top w:val="nil"/>
              <w:bottom w:val="nil"/>
            </w:tcBorders>
            <w:shd w:val="clear" w:color="auto" w:fill="006CA3"/>
          </w:tcPr>
          <w:p w14:paraId="23D8A084" w14:textId="77777777" w:rsidR="00141B97" w:rsidRDefault="00911D63">
            <w:pPr>
              <w:pStyle w:val="TableParagraph"/>
              <w:spacing w:before="43"/>
              <w:ind w:left="300" w:hanging="162"/>
              <w:rPr>
                <w:sz w:val="18"/>
              </w:rPr>
            </w:pPr>
            <w:r>
              <w:rPr>
                <w:color w:val="FFFFFF"/>
                <w:sz w:val="18"/>
              </w:rPr>
              <w:t>Total</w:t>
            </w:r>
            <w:r>
              <w:rPr>
                <w:color w:val="FFFFFF"/>
                <w:spacing w:val="-5"/>
                <w:sz w:val="18"/>
              </w:rPr>
              <w:t xml:space="preserve"> </w:t>
            </w:r>
            <w:r>
              <w:rPr>
                <w:color w:val="FFFFFF"/>
                <w:sz w:val="18"/>
              </w:rPr>
              <w:t>Program Cost</w:t>
            </w:r>
            <w:r>
              <w:rPr>
                <w:color w:val="FFFFFF"/>
                <w:spacing w:val="-2"/>
                <w:sz w:val="18"/>
              </w:rPr>
              <w:t xml:space="preserve"> </w:t>
            </w:r>
            <w:r>
              <w:rPr>
                <w:color w:val="FFFFFF"/>
                <w:sz w:val="18"/>
              </w:rPr>
              <w:t>($m)</w:t>
            </w:r>
          </w:p>
        </w:tc>
        <w:tc>
          <w:tcPr>
            <w:tcW w:w="1446" w:type="dxa"/>
            <w:tcBorders>
              <w:top w:val="nil"/>
              <w:bottom w:val="nil"/>
            </w:tcBorders>
            <w:shd w:val="clear" w:color="auto" w:fill="006CA3"/>
          </w:tcPr>
          <w:p w14:paraId="4892A026" w14:textId="77777777" w:rsidR="00141B97" w:rsidRDefault="00911D63">
            <w:pPr>
              <w:pStyle w:val="TableParagraph"/>
              <w:spacing w:before="43"/>
              <w:ind w:left="381" w:hanging="172"/>
              <w:rPr>
                <w:sz w:val="18"/>
              </w:rPr>
            </w:pPr>
            <w:r>
              <w:rPr>
                <w:color w:val="FFFFFF"/>
                <w:sz w:val="18"/>
              </w:rPr>
              <w:t>Major</w:t>
            </w:r>
            <w:r>
              <w:rPr>
                <w:color w:val="FFFFFF"/>
                <w:spacing w:val="-5"/>
                <w:sz w:val="18"/>
              </w:rPr>
              <w:t xml:space="preserve"> </w:t>
            </w:r>
            <w:r>
              <w:rPr>
                <w:color w:val="FFFFFF"/>
                <w:sz w:val="18"/>
              </w:rPr>
              <w:t xml:space="preserve">Service </w:t>
            </w:r>
            <w:r>
              <w:rPr>
                <w:color w:val="FFFFFF"/>
                <w:spacing w:val="-2"/>
                <w:sz w:val="18"/>
              </w:rPr>
              <w:t>Category</w:t>
            </w:r>
          </w:p>
        </w:tc>
        <w:tc>
          <w:tcPr>
            <w:tcW w:w="1715" w:type="dxa"/>
            <w:tcBorders>
              <w:top w:val="nil"/>
              <w:bottom w:val="nil"/>
              <w:right w:val="nil"/>
            </w:tcBorders>
            <w:shd w:val="clear" w:color="auto" w:fill="006CA3"/>
          </w:tcPr>
          <w:p w14:paraId="3C16B47C" w14:textId="77777777" w:rsidR="00141B97" w:rsidRDefault="00911D63">
            <w:pPr>
              <w:pStyle w:val="TableParagraph"/>
              <w:spacing w:before="152"/>
              <w:ind w:left="291" w:right="291"/>
              <w:jc w:val="center"/>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r>
      <w:tr w:rsidR="00141B97" w14:paraId="52B44CCA" w14:textId="77777777">
        <w:trPr>
          <w:trHeight w:val="689"/>
          <w:tblCellSpacing w:w="8" w:type="dxa"/>
        </w:trPr>
        <w:tc>
          <w:tcPr>
            <w:tcW w:w="2612" w:type="dxa"/>
            <w:tcBorders>
              <w:top w:val="nil"/>
              <w:left w:val="nil"/>
              <w:bottom w:val="nil"/>
            </w:tcBorders>
            <w:shd w:val="clear" w:color="auto" w:fill="CCE2ED"/>
          </w:tcPr>
          <w:p w14:paraId="5DE9F185" w14:textId="77777777" w:rsidR="00141B97" w:rsidRDefault="00141B97">
            <w:pPr>
              <w:pStyle w:val="TableParagraph"/>
              <w:spacing w:before="3"/>
              <w:rPr>
                <w:sz w:val="19"/>
              </w:rPr>
            </w:pPr>
          </w:p>
          <w:p w14:paraId="72E375BF" w14:textId="77777777" w:rsidR="00141B97" w:rsidRDefault="00911D63">
            <w:pPr>
              <w:pStyle w:val="TableParagraph"/>
              <w:ind w:left="88"/>
              <w:rPr>
                <w:sz w:val="18"/>
              </w:rPr>
            </w:pPr>
            <w:r>
              <w:rPr>
                <w:sz w:val="18"/>
              </w:rPr>
              <w:t>Irrigation</w:t>
            </w:r>
            <w:r>
              <w:rPr>
                <w:spacing w:val="-3"/>
                <w:sz w:val="18"/>
              </w:rPr>
              <w:t xml:space="preserve"> </w:t>
            </w:r>
            <w:r>
              <w:rPr>
                <w:sz w:val="18"/>
              </w:rPr>
              <w:t>Meter</w:t>
            </w:r>
            <w:r>
              <w:rPr>
                <w:spacing w:val="-2"/>
                <w:sz w:val="18"/>
              </w:rPr>
              <w:t xml:space="preserve"> Replacement</w:t>
            </w:r>
          </w:p>
        </w:tc>
        <w:tc>
          <w:tcPr>
            <w:tcW w:w="2650" w:type="dxa"/>
            <w:tcBorders>
              <w:top w:val="nil"/>
              <w:bottom w:val="nil"/>
            </w:tcBorders>
            <w:shd w:val="clear" w:color="auto" w:fill="CCE2ED"/>
          </w:tcPr>
          <w:p w14:paraId="1B2918F3" w14:textId="77777777" w:rsidR="00141B97" w:rsidRDefault="00911D63">
            <w:pPr>
              <w:pStyle w:val="TableParagraph"/>
              <w:spacing w:before="126"/>
              <w:ind w:left="92"/>
              <w:rPr>
                <w:sz w:val="18"/>
              </w:rPr>
            </w:pPr>
            <w:r>
              <w:rPr>
                <w:sz w:val="18"/>
              </w:rPr>
              <w:t>Meter</w:t>
            </w:r>
            <w:r>
              <w:rPr>
                <w:spacing w:val="-2"/>
                <w:sz w:val="18"/>
              </w:rPr>
              <w:t xml:space="preserve"> </w:t>
            </w:r>
            <w:r>
              <w:rPr>
                <w:sz w:val="18"/>
              </w:rPr>
              <w:t>replacements</w:t>
            </w:r>
            <w:r>
              <w:rPr>
                <w:spacing w:val="-3"/>
                <w:sz w:val="18"/>
              </w:rPr>
              <w:t xml:space="preserve"> </w:t>
            </w:r>
            <w:r>
              <w:rPr>
                <w:sz w:val="18"/>
              </w:rPr>
              <w:t>all</w:t>
            </w:r>
            <w:r>
              <w:rPr>
                <w:spacing w:val="-3"/>
                <w:sz w:val="18"/>
              </w:rPr>
              <w:t xml:space="preserve"> </w:t>
            </w:r>
            <w:r>
              <w:rPr>
                <w:sz w:val="18"/>
              </w:rPr>
              <w:t>irrigation districts, D &amp; S and Diverters</w:t>
            </w:r>
          </w:p>
        </w:tc>
        <w:tc>
          <w:tcPr>
            <w:tcW w:w="1338" w:type="dxa"/>
            <w:tcBorders>
              <w:top w:val="nil"/>
              <w:bottom w:val="nil"/>
            </w:tcBorders>
            <w:shd w:val="clear" w:color="auto" w:fill="CCE2ED"/>
          </w:tcPr>
          <w:p w14:paraId="12AEDFCC" w14:textId="77777777" w:rsidR="00141B97" w:rsidRDefault="00141B97">
            <w:pPr>
              <w:pStyle w:val="TableParagraph"/>
              <w:spacing w:before="3"/>
              <w:rPr>
                <w:sz w:val="19"/>
              </w:rPr>
            </w:pPr>
          </w:p>
          <w:p w14:paraId="59CC4D74" w14:textId="77777777" w:rsidR="00141B97" w:rsidRDefault="00911D63">
            <w:pPr>
              <w:pStyle w:val="TableParagraph"/>
              <w:ind w:right="92"/>
              <w:jc w:val="right"/>
              <w:rPr>
                <w:sz w:val="18"/>
              </w:rPr>
            </w:pPr>
            <w:r>
              <w:rPr>
                <w:spacing w:val="-4"/>
                <w:sz w:val="18"/>
              </w:rPr>
              <w:t>5.81</w:t>
            </w:r>
          </w:p>
        </w:tc>
        <w:tc>
          <w:tcPr>
            <w:tcW w:w="1446" w:type="dxa"/>
            <w:tcBorders>
              <w:top w:val="nil"/>
              <w:bottom w:val="nil"/>
            </w:tcBorders>
            <w:shd w:val="clear" w:color="auto" w:fill="CCE2ED"/>
          </w:tcPr>
          <w:p w14:paraId="0DC44BC3" w14:textId="77777777" w:rsidR="00141B97" w:rsidRDefault="00141B97">
            <w:pPr>
              <w:pStyle w:val="TableParagraph"/>
              <w:spacing w:before="3"/>
              <w:rPr>
                <w:sz w:val="19"/>
              </w:rPr>
            </w:pPr>
          </w:p>
          <w:p w14:paraId="3E9B2B8A" w14:textId="77777777" w:rsidR="00141B97" w:rsidRDefault="00911D63">
            <w:pPr>
              <w:pStyle w:val="TableParagraph"/>
              <w:ind w:left="172" w:right="172"/>
              <w:jc w:val="center"/>
              <w:rPr>
                <w:sz w:val="18"/>
              </w:rPr>
            </w:pPr>
            <w:r>
              <w:rPr>
                <w:spacing w:val="-2"/>
                <w:sz w:val="18"/>
              </w:rPr>
              <w:t>Irrigation</w:t>
            </w:r>
          </w:p>
        </w:tc>
        <w:tc>
          <w:tcPr>
            <w:tcW w:w="1715" w:type="dxa"/>
            <w:tcBorders>
              <w:top w:val="nil"/>
              <w:bottom w:val="nil"/>
              <w:right w:val="nil"/>
            </w:tcBorders>
            <w:shd w:val="clear" w:color="auto" w:fill="CCE2ED"/>
          </w:tcPr>
          <w:p w14:paraId="61E233B5" w14:textId="77777777" w:rsidR="00141B97" w:rsidRDefault="00141B97">
            <w:pPr>
              <w:pStyle w:val="TableParagraph"/>
              <w:spacing w:before="3"/>
              <w:rPr>
                <w:sz w:val="19"/>
              </w:rPr>
            </w:pPr>
          </w:p>
          <w:p w14:paraId="3DE69A25" w14:textId="77777777" w:rsidR="00141B97" w:rsidRDefault="00911D63">
            <w:pPr>
              <w:pStyle w:val="TableParagraph"/>
              <w:ind w:left="291" w:right="290"/>
              <w:jc w:val="center"/>
              <w:rPr>
                <w:sz w:val="18"/>
              </w:rPr>
            </w:pPr>
            <w:r>
              <w:rPr>
                <w:spacing w:val="-2"/>
                <w:sz w:val="18"/>
              </w:rPr>
              <w:t>Renewals</w:t>
            </w:r>
          </w:p>
        </w:tc>
      </w:tr>
      <w:tr w:rsidR="00141B97" w14:paraId="2F68F8A7" w14:textId="77777777">
        <w:trPr>
          <w:trHeight w:val="466"/>
          <w:tblCellSpacing w:w="8" w:type="dxa"/>
        </w:trPr>
        <w:tc>
          <w:tcPr>
            <w:tcW w:w="2612" w:type="dxa"/>
            <w:tcBorders>
              <w:top w:val="nil"/>
              <w:left w:val="nil"/>
              <w:bottom w:val="nil"/>
            </w:tcBorders>
            <w:shd w:val="clear" w:color="auto" w:fill="CCE2ED"/>
          </w:tcPr>
          <w:p w14:paraId="69F2C8EE" w14:textId="77777777" w:rsidR="00141B97" w:rsidRDefault="00911D63">
            <w:pPr>
              <w:pStyle w:val="TableParagraph"/>
              <w:spacing w:before="123"/>
              <w:ind w:left="88"/>
              <w:rPr>
                <w:sz w:val="18"/>
              </w:rPr>
            </w:pPr>
            <w:r>
              <w:rPr>
                <w:sz w:val="18"/>
              </w:rPr>
              <w:t>Irrigation Mains</w:t>
            </w:r>
            <w:r>
              <w:rPr>
                <w:spacing w:val="-2"/>
                <w:sz w:val="18"/>
              </w:rPr>
              <w:t xml:space="preserve"> Replacement</w:t>
            </w:r>
          </w:p>
        </w:tc>
        <w:tc>
          <w:tcPr>
            <w:tcW w:w="2650" w:type="dxa"/>
            <w:tcBorders>
              <w:top w:val="nil"/>
              <w:bottom w:val="nil"/>
            </w:tcBorders>
            <w:shd w:val="clear" w:color="auto" w:fill="CCE2ED"/>
          </w:tcPr>
          <w:p w14:paraId="221353B7" w14:textId="77777777" w:rsidR="00141B97" w:rsidRDefault="00911D63">
            <w:pPr>
              <w:pStyle w:val="TableParagraph"/>
              <w:spacing w:before="6" w:line="220" w:lineRule="atLeast"/>
              <w:ind w:left="92"/>
              <w:rPr>
                <w:sz w:val="18"/>
              </w:rPr>
            </w:pPr>
            <w:r>
              <w:rPr>
                <w:sz w:val="18"/>
              </w:rPr>
              <w:t>Mains</w:t>
            </w:r>
            <w:r>
              <w:rPr>
                <w:spacing w:val="-3"/>
                <w:sz w:val="18"/>
              </w:rPr>
              <w:t xml:space="preserve"> </w:t>
            </w:r>
            <w:r>
              <w:rPr>
                <w:sz w:val="18"/>
              </w:rPr>
              <w:t>replacement</w:t>
            </w:r>
            <w:r>
              <w:rPr>
                <w:spacing w:val="-3"/>
                <w:sz w:val="18"/>
              </w:rPr>
              <w:t xml:space="preserve"> </w:t>
            </w:r>
            <w:r>
              <w:rPr>
                <w:sz w:val="18"/>
              </w:rPr>
              <w:t>all</w:t>
            </w:r>
            <w:r>
              <w:rPr>
                <w:spacing w:val="-3"/>
                <w:sz w:val="18"/>
              </w:rPr>
              <w:t xml:space="preserve"> </w:t>
            </w:r>
            <w:r>
              <w:rPr>
                <w:sz w:val="18"/>
              </w:rPr>
              <w:t xml:space="preserve">irrigation </w:t>
            </w:r>
            <w:r>
              <w:rPr>
                <w:spacing w:val="-2"/>
                <w:sz w:val="18"/>
              </w:rPr>
              <w:t>districts</w:t>
            </w:r>
          </w:p>
        </w:tc>
        <w:tc>
          <w:tcPr>
            <w:tcW w:w="1338" w:type="dxa"/>
            <w:tcBorders>
              <w:top w:val="nil"/>
              <w:bottom w:val="nil"/>
            </w:tcBorders>
            <w:shd w:val="clear" w:color="auto" w:fill="CCE2ED"/>
          </w:tcPr>
          <w:p w14:paraId="5A7F539E" w14:textId="77777777" w:rsidR="00141B97" w:rsidRDefault="00911D63">
            <w:pPr>
              <w:pStyle w:val="TableParagraph"/>
              <w:spacing w:before="123"/>
              <w:ind w:right="92"/>
              <w:jc w:val="right"/>
              <w:rPr>
                <w:sz w:val="18"/>
              </w:rPr>
            </w:pPr>
            <w:r>
              <w:rPr>
                <w:spacing w:val="-4"/>
                <w:sz w:val="18"/>
              </w:rPr>
              <w:t>4.03</w:t>
            </w:r>
          </w:p>
        </w:tc>
        <w:tc>
          <w:tcPr>
            <w:tcW w:w="1446" w:type="dxa"/>
            <w:tcBorders>
              <w:top w:val="nil"/>
              <w:bottom w:val="nil"/>
            </w:tcBorders>
            <w:shd w:val="clear" w:color="auto" w:fill="CCE2ED"/>
          </w:tcPr>
          <w:p w14:paraId="61B7C0D1" w14:textId="77777777" w:rsidR="00141B97" w:rsidRDefault="00911D63">
            <w:pPr>
              <w:pStyle w:val="TableParagraph"/>
              <w:spacing w:before="123"/>
              <w:ind w:left="172" w:right="172"/>
              <w:jc w:val="center"/>
              <w:rPr>
                <w:sz w:val="18"/>
              </w:rPr>
            </w:pPr>
            <w:r>
              <w:rPr>
                <w:spacing w:val="-2"/>
                <w:sz w:val="18"/>
              </w:rPr>
              <w:t>Irrigation</w:t>
            </w:r>
          </w:p>
        </w:tc>
        <w:tc>
          <w:tcPr>
            <w:tcW w:w="1715" w:type="dxa"/>
            <w:tcBorders>
              <w:top w:val="nil"/>
              <w:bottom w:val="nil"/>
              <w:right w:val="nil"/>
            </w:tcBorders>
            <w:shd w:val="clear" w:color="auto" w:fill="CCE2ED"/>
          </w:tcPr>
          <w:p w14:paraId="616D0BC2" w14:textId="77777777" w:rsidR="00141B97" w:rsidRDefault="00911D63">
            <w:pPr>
              <w:pStyle w:val="TableParagraph"/>
              <w:spacing w:before="123"/>
              <w:ind w:left="291" w:right="290"/>
              <w:jc w:val="center"/>
              <w:rPr>
                <w:sz w:val="18"/>
              </w:rPr>
            </w:pPr>
            <w:r>
              <w:rPr>
                <w:spacing w:val="-2"/>
                <w:sz w:val="18"/>
              </w:rPr>
              <w:t>Renewals</w:t>
            </w:r>
          </w:p>
        </w:tc>
      </w:tr>
      <w:tr w:rsidR="00141B97" w14:paraId="6DC66EA6" w14:textId="77777777">
        <w:trPr>
          <w:trHeight w:val="464"/>
          <w:tblCellSpacing w:w="8" w:type="dxa"/>
        </w:trPr>
        <w:tc>
          <w:tcPr>
            <w:tcW w:w="2612" w:type="dxa"/>
            <w:tcBorders>
              <w:top w:val="nil"/>
              <w:left w:val="nil"/>
              <w:bottom w:val="nil"/>
            </w:tcBorders>
            <w:shd w:val="clear" w:color="auto" w:fill="CCE2ED"/>
          </w:tcPr>
          <w:p w14:paraId="6917FD13" w14:textId="77777777" w:rsidR="00141B97" w:rsidRDefault="00911D63">
            <w:pPr>
              <w:pStyle w:val="TableParagraph"/>
              <w:spacing w:before="122"/>
              <w:ind w:left="88"/>
              <w:rPr>
                <w:sz w:val="18"/>
              </w:rPr>
            </w:pPr>
            <w:r>
              <w:rPr>
                <w:sz w:val="18"/>
              </w:rPr>
              <w:t>Minor capex ‐</w:t>
            </w:r>
            <w:r>
              <w:rPr>
                <w:spacing w:val="-1"/>
                <w:sz w:val="18"/>
              </w:rPr>
              <w:t xml:space="preserve"> </w:t>
            </w:r>
            <w:r>
              <w:rPr>
                <w:spacing w:val="-2"/>
                <w:sz w:val="18"/>
              </w:rPr>
              <w:t>Irrigation</w:t>
            </w:r>
          </w:p>
        </w:tc>
        <w:tc>
          <w:tcPr>
            <w:tcW w:w="2650" w:type="dxa"/>
            <w:tcBorders>
              <w:top w:val="nil"/>
              <w:bottom w:val="nil"/>
            </w:tcBorders>
            <w:shd w:val="clear" w:color="auto" w:fill="CCE2ED"/>
          </w:tcPr>
          <w:p w14:paraId="5854BD02" w14:textId="77777777" w:rsidR="00141B97" w:rsidRDefault="00911D63">
            <w:pPr>
              <w:pStyle w:val="TableParagraph"/>
              <w:spacing w:before="5" w:line="220" w:lineRule="atLeast"/>
              <w:ind w:left="92"/>
              <w:rPr>
                <w:sz w:val="18"/>
              </w:rPr>
            </w:pPr>
            <w:r>
              <w:rPr>
                <w:sz w:val="18"/>
              </w:rPr>
              <w:t>All</w:t>
            </w:r>
            <w:r>
              <w:rPr>
                <w:spacing w:val="-3"/>
                <w:sz w:val="18"/>
              </w:rPr>
              <w:t xml:space="preserve"> </w:t>
            </w:r>
            <w:r>
              <w:rPr>
                <w:sz w:val="18"/>
              </w:rPr>
              <w:t>Districts,</w:t>
            </w:r>
            <w:r>
              <w:rPr>
                <w:spacing w:val="-3"/>
                <w:sz w:val="18"/>
              </w:rPr>
              <w:t xml:space="preserve"> </w:t>
            </w:r>
            <w:r>
              <w:rPr>
                <w:sz w:val="18"/>
              </w:rPr>
              <w:t>minor</w:t>
            </w:r>
            <w:r>
              <w:rPr>
                <w:spacing w:val="-3"/>
                <w:sz w:val="18"/>
              </w:rPr>
              <w:t xml:space="preserve"> </w:t>
            </w:r>
            <w:r>
              <w:rPr>
                <w:sz w:val="18"/>
              </w:rPr>
              <w:t>Capex: Replacement &amp; New</w:t>
            </w:r>
          </w:p>
        </w:tc>
        <w:tc>
          <w:tcPr>
            <w:tcW w:w="1338" w:type="dxa"/>
            <w:tcBorders>
              <w:top w:val="nil"/>
              <w:bottom w:val="nil"/>
            </w:tcBorders>
            <w:shd w:val="clear" w:color="auto" w:fill="CCE2ED"/>
          </w:tcPr>
          <w:p w14:paraId="45E3E046" w14:textId="77777777" w:rsidR="00141B97" w:rsidRDefault="00911D63">
            <w:pPr>
              <w:pStyle w:val="TableParagraph"/>
              <w:spacing w:before="122"/>
              <w:ind w:right="92"/>
              <w:jc w:val="right"/>
              <w:rPr>
                <w:sz w:val="18"/>
              </w:rPr>
            </w:pPr>
            <w:r>
              <w:rPr>
                <w:spacing w:val="-4"/>
                <w:sz w:val="18"/>
              </w:rPr>
              <w:t>5.28</w:t>
            </w:r>
          </w:p>
        </w:tc>
        <w:tc>
          <w:tcPr>
            <w:tcW w:w="1446" w:type="dxa"/>
            <w:tcBorders>
              <w:top w:val="nil"/>
              <w:bottom w:val="nil"/>
            </w:tcBorders>
            <w:shd w:val="clear" w:color="auto" w:fill="CCE2ED"/>
          </w:tcPr>
          <w:p w14:paraId="521FC282" w14:textId="77777777" w:rsidR="00141B97" w:rsidRDefault="00911D63">
            <w:pPr>
              <w:pStyle w:val="TableParagraph"/>
              <w:spacing w:before="122"/>
              <w:ind w:left="172" w:right="173"/>
              <w:jc w:val="center"/>
              <w:rPr>
                <w:sz w:val="18"/>
              </w:rPr>
            </w:pPr>
            <w:r>
              <w:rPr>
                <w:sz w:val="18"/>
              </w:rPr>
              <w:t xml:space="preserve">Rural </w:t>
            </w:r>
            <w:r>
              <w:rPr>
                <w:spacing w:val="-2"/>
                <w:sz w:val="18"/>
              </w:rPr>
              <w:t>Irrigation</w:t>
            </w:r>
          </w:p>
        </w:tc>
        <w:tc>
          <w:tcPr>
            <w:tcW w:w="1715" w:type="dxa"/>
            <w:tcBorders>
              <w:top w:val="nil"/>
              <w:bottom w:val="nil"/>
              <w:right w:val="nil"/>
            </w:tcBorders>
            <w:shd w:val="clear" w:color="auto" w:fill="CCE2ED"/>
          </w:tcPr>
          <w:p w14:paraId="2775D057" w14:textId="77777777" w:rsidR="00141B97" w:rsidRDefault="00911D63">
            <w:pPr>
              <w:pStyle w:val="TableParagraph"/>
              <w:spacing w:before="5" w:line="220" w:lineRule="atLeast"/>
              <w:ind w:left="348" w:firstLine="69"/>
              <w:rPr>
                <w:sz w:val="18"/>
              </w:rPr>
            </w:pPr>
            <w:r>
              <w:rPr>
                <w:sz w:val="18"/>
              </w:rPr>
              <w:t xml:space="preserve">Renewals &amp; </w:t>
            </w:r>
            <w:r>
              <w:rPr>
                <w:spacing w:val="-2"/>
                <w:sz w:val="18"/>
              </w:rPr>
              <w:t>Improvement</w:t>
            </w:r>
          </w:p>
        </w:tc>
      </w:tr>
      <w:tr w:rsidR="00141B97" w14:paraId="0139DF47" w14:textId="77777777">
        <w:trPr>
          <w:trHeight w:val="439"/>
          <w:tblCellSpacing w:w="8" w:type="dxa"/>
        </w:trPr>
        <w:tc>
          <w:tcPr>
            <w:tcW w:w="2612" w:type="dxa"/>
            <w:tcBorders>
              <w:top w:val="nil"/>
              <w:left w:val="nil"/>
              <w:bottom w:val="nil"/>
            </w:tcBorders>
            <w:shd w:val="clear" w:color="auto" w:fill="CCE2ED"/>
          </w:tcPr>
          <w:p w14:paraId="708FB65C" w14:textId="77777777" w:rsidR="00141B97" w:rsidRDefault="00911D63">
            <w:pPr>
              <w:pStyle w:val="TableParagraph"/>
              <w:ind w:left="88"/>
              <w:rPr>
                <w:sz w:val="18"/>
              </w:rPr>
            </w:pPr>
            <w:r>
              <w:rPr>
                <w:sz w:val="18"/>
              </w:rPr>
              <w:t>Motor</w:t>
            </w:r>
            <w:r>
              <w:rPr>
                <w:spacing w:val="-5"/>
                <w:sz w:val="18"/>
              </w:rPr>
              <w:t xml:space="preserve"> </w:t>
            </w:r>
            <w:r>
              <w:rPr>
                <w:sz w:val="18"/>
              </w:rPr>
              <w:t>Vehicle</w:t>
            </w:r>
            <w:r>
              <w:rPr>
                <w:spacing w:val="-5"/>
                <w:sz w:val="18"/>
              </w:rPr>
              <w:t xml:space="preserve"> </w:t>
            </w:r>
            <w:r>
              <w:rPr>
                <w:sz w:val="18"/>
              </w:rPr>
              <w:t>Light</w:t>
            </w:r>
            <w:r>
              <w:rPr>
                <w:spacing w:val="-5"/>
                <w:sz w:val="18"/>
              </w:rPr>
              <w:t xml:space="preserve"> </w:t>
            </w:r>
            <w:r>
              <w:rPr>
                <w:sz w:val="18"/>
              </w:rPr>
              <w:t>Fleet</w:t>
            </w:r>
            <w:r>
              <w:rPr>
                <w:spacing w:val="-5"/>
                <w:sz w:val="18"/>
              </w:rPr>
              <w:t xml:space="preserve"> </w:t>
            </w:r>
            <w:r>
              <w:rPr>
                <w:spacing w:val="-10"/>
                <w:sz w:val="18"/>
              </w:rPr>
              <w:t>‐</w:t>
            </w:r>
          </w:p>
          <w:p w14:paraId="5453E287" w14:textId="77777777" w:rsidR="00141B97" w:rsidRDefault="00911D63">
            <w:pPr>
              <w:pStyle w:val="TableParagraph"/>
              <w:spacing w:before="1" w:line="199" w:lineRule="exact"/>
              <w:ind w:left="88"/>
              <w:rPr>
                <w:sz w:val="18"/>
              </w:rPr>
            </w:pPr>
            <w:r>
              <w:rPr>
                <w:sz w:val="18"/>
              </w:rPr>
              <w:t>annual</w:t>
            </w:r>
            <w:r>
              <w:rPr>
                <w:spacing w:val="-1"/>
                <w:sz w:val="18"/>
              </w:rPr>
              <w:t xml:space="preserve"> </w:t>
            </w:r>
            <w:r>
              <w:rPr>
                <w:sz w:val="18"/>
              </w:rPr>
              <w:t>vehicle</w:t>
            </w:r>
            <w:r>
              <w:rPr>
                <w:spacing w:val="-1"/>
                <w:sz w:val="18"/>
              </w:rPr>
              <w:t xml:space="preserve"> </w:t>
            </w:r>
            <w:r>
              <w:rPr>
                <w:spacing w:val="-2"/>
                <w:sz w:val="18"/>
              </w:rPr>
              <w:t>replacements</w:t>
            </w:r>
          </w:p>
        </w:tc>
        <w:tc>
          <w:tcPr>
            <w:tcW w:w="2650" w:type="dxa"/>
            <w:tcBorders>
              <w:top w:val="nil"/>
              <w:bottom w:val="nil"/>
            </w:tcBorders>
            <w:shd w:val="clear" w:color="auto" w:fill="CCE2ED"/>
          </w:tcPr>
          <w:p w14:paraId="31263FAB" w14:textId="77777777" w:rsidR="00141B97" w:rsidRDefault="00911D63">
            <w:pPr>
              <w:pStyle w:val="TableParagraph"/>
              <w:ind w:left="92"/>
              <w:rPr>
                <w:sz w:val="18"/>
              </w:rPr>
            </w:pPr>
            <w:r>
              <w:rPr>
                <w:sz w:val="18"/>
              </w:rPr>
              <w:t>MV</w:t>
            </w:r>
            <w:r>
              <w:rPr>
                <w:spacing w:val="-3"/>
                <w:sz w:val="18"/>
              </w:rPr>
              <w:t xml:space="preserve"> </w:t>
            </w:r>
            <w:r>
              <w:rPr>
                <w:sz w:val="18"/>
              </w:rPr>
              <w:t>Fleet</w:t>
            </w:r>
            <w:r>
              <w:rPr>
                <w:spacing w:val="-2"/>
                <w:sz w:val="18"/>
              </w:rPr>
              <w:t xml:space="preserve"> </w:t>
            </w:r>
            <w:r>
              <w:rPr>
                <w:sz w:val="18"/>
              </w:rPr>
              <w:t>‐</w:t>
            </w:r>
            <w:r>
              <w:rPr>
                <w:spacing w:val="-2"/>
                <w:sz w:val="18"/>
              </w:rPr>
              <w:t xml:space="preserve"> </w:t>
            </w:r>
            <w:r>
              <w:rPr>
                <w:sz w:val="18"/>
              </w:rPr>
              <w:t>annual</w:t>
            </w:r>
            <w:r>
              <w:rPr>
                <w:spacing w:val="-2"/>
                <w:sz w:val="18"/>
              </w:rPr>
              <w:t xml:space="preserve"> vehicle</w:t>
            </w:r>
          </w:p>
          <w:p w14:paraId="236548CE" w14:textId="77777777" w:rsidR="00141B97" w:rsidRDefault="00911D63">
            <w:pPr>
              <w:pStyle w:val="TableParagraph"/>
              <w:spacing w:before="1" w:line="199" w:lineRule="exact"/>
              <w:ind w:left="92"/>
              <w:rPr>
                <w:sz w:val="18"/>
              </w:rPr>
            </w:pPr>
            <w:r>
              <w:rPr>
                <w:spacing w:val="-2"/>
                <w:sz w:val="18"/>
              </w:rPr>
              <w:t>replacements</w:t>
            </w:r>
          </w:p>
        </w:tc>
        <w:tc>
          <w:tcPr>
            <w:tcW w:w="1338" w:type="dxa"/>
            <w:tcBorders>
              <w:top w:val="nil"/>
              <w:bottom w:val="nil"/>
            </w:tcBorders>
            <w:shd w:val="clear" w:color="auto" w:fill="CCE2ED"/>
          </w:tcPr>
          <w:p w14:paraId="7FA6DDD3" w14:textId="77777777" w:rsidR="00141B97" w:rsidRDefault="00911D63">
            <w:pPr>
              <w:pStyle w:val="TableParagraph"/>
              <w:spacing w:before="110"/>
              <w:ind w:right="92"/>
              <w:jc w:val="right"/>
              <w:rPr>
                <w:sz w:val="18"/>
              </w:rPr>
            </w:pPr>
            <w:r>
              <w:rPr>
                <w:spacing w:val="-4"/>
                <w:sz w:val="18"/>
              </w:rPr>
              <w:t>2.16</w:t>
            </w:r>
          </w:p>
        </w:tc>
        <w:tc>
          <w:tcPr>
            <w:tcW w:w="1446" w:type="dxa"/>
            <w:tcBorders>
              <w:top w:val="nil"/>
              <w:bottom w:val="nil"/>
            </w:tcBorders>
            <w:shd w:val="clear" w:color="auto" w:fill="CCE2ED"/>
          </w:tcPr>
          <w:p w14:paraId="3F98E36F" w14:textId="77777777" w:rsidR="00141B97" w:rsidRDefault="00911D63">
            <w:pPr>
              <w:pStyle w:val="TableParagraph"/>
              <w:spacing w:before="110"/>
              <w:ind w:left="172" w:right="173"/>
              <w:jc w:val="center"/>
              <w:rPr>
                <w:sz w:val="18"/>
              </w:rPr>
            </w:pPr>
            <w:r>
              <w:rPr>
                <w:spacing w:val="-2"/>
                <w:sz w:val="18"/>
              </w:rPr>
              <w:t>Corporate</w:t>
            </w:r>
          </w:p>
        </w:tc>
        <w:tc>
          <w:tcPr>
            <w:tcW w:w="1715" w:type="dxa"/>
            <w:tcBorders>
              <w:top w:val="nil"/>
              <w:bottom w:val="nil"/>
              <w:right w:val="nil"/>
            </w:tcBorders>
            <w:shd w:val="clear" w:color="auto" w:fill="CCE2ED"/>
          </w:tcPr>
          <w:p w14:paraId="6759F5DC" w14:textId="77777777" w:rsidR="00141B97" w:rsidRDefault="00911D63">
            <w:pPr>
              <w:pStyle w:val="TableParagraph"/>
              <w:spacing w:before="110"/>
              <w:ind w:left="291" w:right="290"/>
              <w:jc w:val="center"/>
              <w:rPr>
                <w:sz w:val="18"/>
              </w:rPr>
            </w:pPr>
            <w:r>
              <w:rPr>
                <w:spacing w:val="-2"/>
                <w:sz w:val="18"/>
              </w:rPr>
              <w:t>Renewals</w:t>
            </w:r>
          </w:p>
        </w:tc>
      </w:tr>
      <w:tr w:rsidR="00141B97" w14:paraId="1DD60E02" w14:textId="77777777">
        <w:trPr>
          <w:trHeight w:val="438"/>
          <w:tblCellSpacing w:w="8" w:type="dxa"/>
        </w:trPr>
        <w:tc>
          <w:tcPr>
            <w:tcW w:w="2612" w:type="dxa"/>
            <w:tcBorders>
              <w:top w:val="nil"/>
              <w:left w:val="nil"/>
              <w:bottom w:val="nil"/>
            </w:tcBorders>
            <w:shd w:val="clear" w:color="auto" w:fill="CCE2ED"/>
          </w:tcPr>
          <w:p w14:paraId="24375EEB" w14:textId="77777777" w:rsidR="00141B97" w:rsidRDefault="00911D63">
            <w:pPr>
              <w:pStyle w:val="TableParagraph"/>
              <w:ind w:left="88"/>
              <w:rPr>
                <w:sz w:val="18"/>
              </w:rPr>
            </w:pPr>
            <w:r>
              <w:rPr>
                <w:sz w:val="18"/>
              </w:rPr>
              <w:t>Motor</w:t>
            </w:r>
            <w:r>
              <w:rPr>
                <w:spacing w:val="-4"/>
                <w:sz w:val="18"/>
              </w:rPr>
              <w:t xml:space="preserve"> </w:t>
            </w:r>
            <w:r>
              <w:rPr>
                <w:sz w:val="18"/>
              </w:rPr>
              <w:t>Vehicle</w:t>
            </w:r>
            <w:r>
              <w:rPr>
                <w:spacing w:val="-4"/>
                <w:sz w:val="18"/>
              </w:rPr>
              <w:t xml:space="preserve"> </w:t>
            </w:r>
            <w:r>
              <w:rPr>
                <w:sz w:val="18"/>
              </w:rPr>
              <w:t>Heavy</w:t>
            </w:r>
            <w:r>
              <w:rPr>
                <w:spacing w:val="-3"/>
                <w:sz w:val="18"/>
              </w:rPr>
              <w:t xml:space="preserve"> </w:t>
            </w:r>
            <w:r>
              <w:rPr>
                <w:sz w:val="18"/>
              </w:rPr>
              <w:t>Fleet</w:t>
            </w:r>
            <w:r>
              <w:rPr>
                <w:spacing w:val="-4"/>
                <w:sz w:val="18"/>
              </w:rPr>
              <w:t xml:space="preserve"> </w:t>
            </w:r>
            <w:r>
              <w:rPr>
                <w:spacing w:val="-10"/>
                <w:sz w:val="18"/>
              </w:rPr>
              <w:t>‐</w:t>
            </w:r>
          </w:p>
          <w:p w14:paraId="7B4112B8" w14:textId="77777777" w:rsidR="00141B97" w:rsidRDefault="00911D63">
            <w:pPr>
              <w:pStyle w:val="TableParagraph"/>
              <w:spacing w:line="199" w:lineRule="exact"/>
              <w:ind w:left="88"/>
              <w:rPr>
                <w:sz w:val="18"/>
              </w:rPr>
            </w:pPr>
            <w:r>
              <w:rPr>
                <w:sz w:val="18"/>
              </w:rPr>
              <w:t>annual</w:t>
            </w:r>
            <w:r>
              <w:rPr>
                <w:spacing w:val="-1"/>
                <w:sz w:val="18"/>
              </w:rPr>
              <w:t xml:space="preserve"> </w:t>
            </w:r>
            <w:r>
              <w:rPr>
                <w:sz w:val="18"/>
              </w:rPr>
              <w:t>vehicle</w:t>
            </w:r>
            <w:r>
              <w:rPr>
                <w:spacing w:val="-1"/>
                <w:sz w:val="18"/>
              </w:rPr>
              <w:t xml:space="preserve"> </w:t>
            </w:r>
            <w:r>
              <w:rPr>
                <w:spacing w:val="-2"/>
                <w:sz w:val="18"/>
              </w:rPr>
              <w:t>replacements</w:t>
            </w:r>
          </w:p>
        </w:tc>
        <w:tc>
          <w:tcPr>
            <w:tcW w:w="2650" w:type="dxa"/>
            <w:tcBorders>
              <w:top w:val="nil"/>
              <w:bottom w:val="nil"/>
            </w:tcBorders>
            <w:shd w:val="clear" w:color="auto" w:fill="CCE2ED"/>
          </w:tcPr>
          <w:p w14:paraId="0A780EC7" w14:textId="77777777" w:rsidR="00141B97" w:rsidRDefault="00911D63">
            <w:pPr>
              <w:pStyle w:val="TableParagraph"/>
              <w:spacing w:line="220" w:lineRule="atLeast"/>
              <w:ind w:left="92"/>
              <w:rPr>
                <w:sz w:val="18"/>
              </w:rPr>
            </w:pPr>
            <w:r>
              <w:rPr>
                <w:sz w:val="18"/>
              </w:rPr>
              <w:t>MV</w:t>
            </w:r>
            <w:r>
              <w:rPr>
                <w:spacing w:val="-3"/>
                <w:sz w:val="18"/>
              </w:rPr>
              <w:t xml:space="preserve"> </w:t>
            </w:r>
            <w:r>
              <w:rPr>
                <w:sz w:val="18"/>
              </w:rPr>
              <w:t>Fleet</w:t>
            </w:r>
            <w:r>
              <w:rPr>
                <w:spacing w:val="-3"/>
                <w:sz w:val="18"/>
              </w:rPr>
              <w:t xml:space="preserve"> </w:t>
            </w:r>
            <w:r>
              <w:rPr>
                <w:sz w:val="18"/>
              </w:rPr>
              <w:t>‐</w:t>
            </w:r>
            <w:r>
              <w:rPr>
                <w:spacing w:val="-2"/>
                <w:sz w:val="18"/>
              </w:rPr>
              <w:t xml:space="preserve"> </w:t>
            </w:r>
            <w:r>
              <w:rPr>
                <w:sz w:val="18"/>
              </w:rPr>
              <w:t>annual</w:t>
            </w:r>
            <w:r>
              <w:rPr>
                <w:spacing w:val="-3"/>
                <w:sz w:val="18"/>
              </w:rPr>
              <w:t xml:space="preserve"> </w:t>
            </w:r>
            <w:r>
              <w:rPr>
                <w:sz w:val="18"/>
              </w:rPr>
              <w:t xml:space="preserve">vehicle </w:t>
            </w:r>
            <w:r>
              <w:rPr>
                <w:spacing w:val="-2"/>
                <w:sz w:val="18"/>
              </w:rPr>
              <w:t>replacements</w:t>
            </w:r>
          </w:p>
        </w:tc>
        <w:tc>
          <w:tcPr>
            <w:tcW w:w="1338" w:type="dxa"/>
            <w:tcBorders>
              <w:top w:val="nil"/>
              <w:bottom w:val="nil"/>
            </w:tcBorders>
            <w:shd w:val="clear" w:color="auto" w:fill="CCE2ED"/>
          </w:tcPr>
          <w:p w14:paraId="3ADB8FC8" w14:textId="77777777" w:rsidR="00141B97" w:rsidRDefault="00911D63">
            <w:pPr>
              <w:pStyle w:val="TableParagraph"/>
              <w:spacing w:before="110"/>
              <w:ind w:right="92"/>
              <w:jc w:val="right"/>
              <w:rPr>
                <w:sz w:val="18"/>
              </w:rPr>
            </w:pPr>
            <w:r>
              <w:rPr>
                <w:spacing w:val="-4"/>
                <w:sz w:val="18"/>
              </w:rPr>
              <w:t>0.96</w:t>
            </w:r>
          </w:p>
        </w:tc>
        <w:tc>
          <w:tcPr>
            <w:tcW w:w="1446" w:type="dxa"/>
            <w:tcBorders>
              <w:top w:val="nil"/>
              <w:bottom w:val="nil"/>
            </w:tcBorders>
            <w:shd w:val="clear" w:color="auto" w:fill="CCE2ED"/>
          </w:tcPr>
          <w:p w14:paraId="1427BAEF" w14:textId="77777777" w:rsidR="00141B97" w:rsidRDefault="00911D63">
            <w:pPr>
              <w:pStyle w:val="TableParagraph"/>
              <w:spacing w:before="110"/>
              <w:ind w:left="172" w:right="173"/>
              <w:jc w:val="center"/>
              <w:rPr>
                <w:sz w:val="18"/>
              </w:rPr>
            </w:pPr>
            <w:r>
              <w:rPr>
                <w:spacing w:val="-2"/>
                <w:sz w:val="18"/>
              </w:rPr>
              <w:t>Corporate</w:t>
            </w:r>
          </w:p>
        </w:tc>
        <w:tc>
          <w:tcPr>
            <w:tcW w:w="1715" w:type="dxa"/>
            <w:tcBorders>
              <w:top w:val="nil"/>
              <w:bottom w:val="nil"/>
              <w:right w:val="nil"/>
            </w:tcBorders>
            <w:shd w:val="clear" w:color="auto" w:fill="CCE2ED"/>
          </w:tcPr>
          <w:p w14:paraId="533B1D0B" w14:textId="77777777" w:rsidR="00141B97" w:rsidRDefault="00911D63">
            <w:pPr>
              <w:pStyle w:val="TableParagraph"/>
              <w:spacing w:before="110"/>
              <w:ind w:left="291" w:right="290"/>
              <w:jc w:val="center"/>
              <w:rPr>
                <w:sz w:val="18"/>
              </w:rPr>
            </w:pPr>
            <w:r>
              <w:rPr>
                <w:spacing w:val="-2"/>
                <w:sz w:val="18"/>
              </w:rPr>
              <w:t>Renewals</w:t>
            </w:r>
          </w:p>
        </w:tc>
      </w:tr>
      <w:tr w:rsidR="00141B97" w14:paraId="48AD8FE0" w14:textId="77777777">
        <w:trPr>
          <w:trHeight w:val="299"/>
          <w:tblCellSpacing w:w="8" w:type="dxa"/>
        </w:trPr>
        <w:tc>
          <w:tcPr>
            <w:tcW w:w="2612" w:type="dxa"/>
            <w:tcBorders>
              <w:top w:val="nil"/>
              <w:left w:val="nil"/>
              <w:bottom w:val="nil"/>
            </w:tcBorders>
            <w:shd w:val="clear" w:color="auto" w:fill="CCE2ED"/>
          </w:tcPr>
          <w:p w14:paraId="37E4227E" w14:textId="77777777" w:rsidR="00141B97" w:rsidRDefault="00911D63">
            <w:pPr>
              <w:pStyle w:val="TableParagraph"/>
              <w:spacing w:before="39"/>
              <w:ind w:left="88"/>
              <w:rPr>
                <w:sz w:val="18"/>
              </w:rPr>
            </w:pPr>
            <w:r>
              <w:rPr>
                <w:sz w:val="18"/>
              </w:rPr>
              <w:t>Total</w:t>
            </w:r>
            <w:r>
              <w:rPr>
                <w:spacing w:val="-1"/>
                <w:sz w:val="18"/>
              </w:rPr>
              <w:t xml:space="preserve"> </w:t>
            </w:r>
            <w:r>
              <w:rPr>
                <w:sz w:val="18"/>
              </w:rPr>
              <w:t xml:space="preserve">ICT </w:t>
            </w:r>
            <w:r>
              <w:rPr>
                <w:spacing w:val="-2"/>
                <w:sz w:val="18"/>
              </w:rPr>
              <w:t>equipment</w:t>
            </w:r>
          </w:p>
        </w:tc>
        <w:tc>
          <w:tcPr>
            <w:tcW w:w="2650" w:type="dxa"/>
            <w:tcBorders>
              <w:top w:val="nil"/>
              <w:bottom w:val="nil"/>
            </w:tcBorders>
            <w:shd w:val="clear" w:color="auto" w:fill="CCE2ED"/>
          </w:tcPr>
          <w:p w14:paraId="460C055A" w14:textId="77777777" w:rsidR="00141B97" w:rsidRDefault="00141B97">
            <w:pPr>
              <w:pStyle w:val="TableParagraph"/>
              <w:rPr>
                <w:rFonts w:ascii="Times New Roman"/>
                <w:sz w:val="18"/>
              </w:rPr>
            </w:pPr>
          </w:p>
        </w:tc>
        <w:tc>
          <w:tcPr>
            <w:tcW w:w="1338" w:type="dxa"/>
            <w:tcBorders>
              <w:top w:val="nil"/>
              <w:bottom w:val="nil"/>
            </w:tcBorders>
            <w:shd w:val="clear" w:color="auto" w:fill="CCE2ED"/>
          </w:tcPr>
          <w:p w14:paraId="563635C5" w14:textId="77777777" w:rsidR="00141B97" w:rsidRDefault="00911D63">
            <w:pPr>
              <w:pStyle w:val="TableParagraph"/>
              <w:spacing w:before="39"/>
              <w:ind w:right="92"/>
              <w:jc w:val="right"/>
              <w:rPr>
                <w:sz w:val="18"/>
              </w:rPr>
            </w:pPr>
            <w:r>
              <w:rPr>
                <w:spacing w:val="-4"/>
                <w:sz w:val="18"/>
              </w:rPr>
              <w:t>0.51</w:t>
            </w:r>
          </w:p>
        </w:tc>
        <w:tc>
          <w:tcPr>
            <w:tcW w:w="1446" w:type="dxa"/>
            <w:tcBorders>
              <w:top w:val="nil"/>
              <w:bottom w:val="nil"/>
            </w:tcBorders>
            <w:shd w:val="clear" w:color="auto" w:fill="CCE2ED"/>
          </w:tcPr>
          <w:p w14:paraId="78B9ABDE" w14:textId="77777777" w:rsidR="00141B97" w:rsidRDefault="00911D63">
            <w:pPr>
              <w:pStyle w:val="TableParagraph"/>
              <w:spacing w:before="39"/>
              <w:ind w:left="172" w:right="173"/>
              <w:jc w:val="center"/>
              <w:rPr>
                <w:sz w:val="18"/>
              </w:rPr>
            </w:pPr>
            <w:r>
              <w:rPr>
                <w:spacing w:val="-2"/>
                <w:sz w:val="18"/>
              </w:rPr>
              <w:t>Corporate</w:t>
            </w:r>
          </w:p>
        </w:tc>
        <w:tc>
          <w:tcPr>
            <w:tcW w:w="1715" w:type="dxa"/>
            <w:tcBorders>
              <w:top w:val="nil"/>
              <w:bottom w:val="nil"/>
              <w:right w:val="nil"/>
            </w:tcBorders>
            <w:shd w:val="clear" w:color="auto" w:fill="CCE2ED"/>
          </w:tcPr>
          <w:p w14:paraId="060353AC" w14:textId="77777777" w:rsidR="00141B97" w:rsidRDefault="00911D63">
            <w:pPr>
              <w:pStyle w:val="TableParagraph"/>
              <w:spacing w:before="39"/>
              <w:ind w:left="291" w:right="290"/>
              <w:jc w:val="center"/>
              <w:rPr>
                <w:sz w:val="18"/>
              </w:rPr>
            </w:pPr>
            <w:r>
              <w:rPr>
                <w:spacing w:val="-2"/>
                <w:sz w:val="18"/>
              </w:rPr>
              <w:t>Renewals</w:t>
            </w:r>
          </w:p>
        </w:tc>
      </w:tr>
      <w:tr w:rsidR="00141B97" w14:paraId="60E27D0D" w14:textId="77777777">
        <w:trPr>
          <w:trHeight w:val="464"/>
          <w:tblCellSpacing w:w="8" w:type="dxa"/>
        </w:trPr>
        <w:tc>
          <w:tcPr>
            <w:tcW w:w="2612" w:type="dxa"/>
            <w:tcBorders>
              <w:top w:val="nil"/>
              <w:left w:val="nil"/>
              <w:bottom w:val="nil"/>
            </w:tcBorders>
            <w:shd w:val="clear" w:color="auto" w:fill="CCE2ED"/>
          </w:tcPr>
          <w:p w14:paraId="45756C86" w14:textId="77777777" w:rsidR="00141B97" w:rsidRDefault="00911D63">
            <w:pPr>
              <w:pStyle w:val="TableParagraph"/>
              <w:spacing w:before="123"/>
              <w:ind w:left="88"/>
              <w:rPr>
                <w:sz w:val="18"/>
              </w:rPr>
            </w:pPr>
            <w:r>
              <w:rPr>
                <w:sz w:val="18"/>
              </w:rPr>
              <w:t>Corporate</w:t>
            </w:r>
            <w:r>
              <w:rPr>
                <w:spacing w:val="-8"/>
                <w:sz w:val="18"/>
              </w:rPr>
              <w:t xml:space="preserve"> </w:t>
            </w:r>
            <w:r>
              <w:rPr>
                <w:sz w:val="18"/>
              </w:rPr>
              <w:t>Facilities</w:t>
            </w:r>
            <w:r>
              <w:rPr>
                <w:spacing w:val="-6"/>
                <w:sz w:val="18"/>
              </w:rPr>
              <w:t xml:space="preserve"> </w:t>
            </w:r>
            <w:r>
              <w:rPr>
                <w:sz w:val="18"/>
              </w:rPr>
              <w:t>and</w:t>
            </w:r>
            <w:r>
              <w:rPr>
                <w:spacing w:val="-5"/>
                <w:sz w:val="18"/>
              </w:rPr>
              <w:t xml:space="preserve"> </w:t>
            </w:r>
            <w:r>
              <w:rPr>
                <w:spacing w:val="-2"/>
                <w:sz w:val="18"/>
              </w:rPr>
              <w:t>Buildings</w:t>
            </w:r>
          </w:p>
        </w:tc>
        <w:tc>
          <w:tcPr>
            <w:tcW w:w="2650" w:type="dxa"/>
            <w:tcBorders>
              <w:top w:val="nil"/>
              <w:bottom w:val="nil"/>
            </w:tcBorders>
            <w:shd w:val="clear" w:color="auto" w:fill="CCE2ED"/>
          </w:tcPr>
          <w:p w14:paraId="44D13CF3" w14:textId="77777777" w:rsidR="00141B97" w:rsidRDefault="00141B97">
            <w:pPr>
              <w:pStyle w:val="TableParagraph"/>
              <w:rPr>
                <w:rFonts w:ascii="Times New Roman"/>
                <w:sz w:val="18"/>
              </w:rPr>
            </w:pPr>
          </w:p>
        </w:tc>
        <w:tc>
          <w:tcPr>
            <w:tcW w:w="1338" w:type="dxa"/>
            <w:tcBorders>
              <w:top w:val="nil"/>
              <w:bottom w:val="nil"/>
            </w:tcBorders>
            <w:shd w:val="clear" w:color="auto" w:fill="CCE2ED"/>
          </w:tcPr>
          <w:p w14:paraId="2A1C222D" w14:textId="77777777" w:rsidR="00141B97" w:rsidRDefault="00911D63">
            <w:pPr>
              <w:pStyle w:val="TableParagraph"/>
              <w:spacing w:before="123"/>
              <w:ind w:right="92"/>
              <w:jc w:val="right"/>
              <w:rPr>
                <w:sz w:val="18"/>
              </w:rPr>
            </w:pPr>
            <w:r>
              <w:rPr>
                <w:spacing w:val="-4"/>
                <w:sz w:val="18"/>
              </w:rPr>
              <w:t>1.22</w:t>
            </w:r>
          </w:p>
        </w:tc>
        <w:tc>
          <w:tcPr>
            <w:tcW w:w="1446" w:type="dxa"/>
            <w:tcBorders>
              <w:top w:val="nil"/>
              <w:bottom w:val="nil"/>
            </w:tcBorders>
            <w:shd w:val="clear" w:color="auto" w:fill="CCE2ED"/>
          </w:tcPr>
          <w:p w14:paraId="1457E168" w14:textId="77777777" w:rsidR="00141B97" w:rsidRDefault="00911D63">
            <w:pPr>
              <w:pStyle w:val="TableParagraph"/>
              <w:spacing w:before="123"/>
              <w:ind w:left="172" w:right="173"/>
              <w:jc w:val="center"/>
              <w:rPr>
                <w:sz w:val="18"/>
              </w:rPr>
            </w:pPr>
            <w:r>
              <w:rPr>
                <w:spacing w:val="-2"/>
                <w:sz w:val="18"/>
              </w:rPr>
              <w:t>Corporate</w:t>
            </w:r>
          </w:p>
        </w:tc>
        <w:tc>
          <w:tcPr>
            <w:tcW w:w="1715" w:type="dxa"/>
            <w:tcBorders>
              <w:top w:val="nil"/>
              <w:bottom w:val="nil"/>
              <w:right w:val="nil"/>
            </w:tcBorders>
            <w:shd w:val="clear" w:color="auto" w:fill="CCE2ED"/>
          </w:tcPr>
          <w:p w14:paraId="0A6F0A15" w14:textId="77777777" w:rsidR="00141B97" w:rsidRDefault="00911D63">
            <w:pPr>
              <w:pStyle w:val="TableParagraph"/>
              <w:spacing w:before="5" w:line="220" w:lineRule="atLeast"/>
              <w:ind w:left="418" w:hanging="158"/>
              <w:rPr>
                <w:sz w:val="18"/>
              </w:rPr>
            </w:pPr>
            <w:r>
              <w:rPr>
                <w:sz w:val="18"/>
              </w:rPr>
              <w:t>Improvements</w:t>
            </w:r>
            <w:r>
              <w:rPr>
                <w:spacing w:val="-6"/>
                <w:sz w:val="18"/>
              </w:rPr>
              <w:t xml:space="preserve"> </w:t>
            </w:r>
            <w:r>
              <w:rPr>
                <w:sz w:val="18"/>
              </w:rPr>
              <w:t xml:space="preserve">/ </w:t>
            </w:r>
            <w:r>
              <w:rPr>
                <w:spacing w:val="-2"/>
                <w:sz w:val="18"/>
              </w:rPr>
              <w:t>Compliance</w:t>
            </w:r>
          </w:p>
        </w:tc>
      </w:tr>
      <w:tr w:rsidR="00141B97" w14:paraId="2265D22E" w14:textId="77777777">
        <w:trPr>
          <w:trHeight w:val="359"/>
          <w:tblCellSpacing w:w="8" w:type="dxa"/>
        </w:trPr>
        <w:tc>
          <w:tcPr>
            <w:tcW w:w="2612" w:type="dxa"/>
            <w:tcBorders>
              <w:top w:val="nil"/>
              <w:left w:val="nil"/>
              <w:bottom w:val="nil"/>
            </w:tcBorders>
            <w:shd w:val="clear" w:color="auto" w:fill="BFBFBF"/>
          </w:tcPr>
          <w:p w14:paraId="6BE4491E" w14:textId="77777777" w:rsidR="00141B97" w:rsidRDefault="00141B97">
            <w:pPr>
              <w:pStyle w:val="TableParagraph"/>
              <w:rPr>
                <w:rFonts w:ascii="Times New Roman"/>
                <w:sz w:val="18"/>
              </w:rPr>
            </w:pPr>
          </w:p>
        </w:tc>
        <w:tc>
          <w:tcPr>
            <w:tcW w:w="2650" w:type="dxa"/>
            <w:tcBorders>
              <w:top w:val="nil"/>
              <w:bottom w:val="nil"/>
            </w:tcBorders>
            <w:shd w:val="clear" w:color="auto" w:fill="BFBFBF"/>
          </w:tcPr>
          <w:p w14:paraId="2FD5E53B" w14:textId="77777777" w:rsidR="00141B97" w:rsidRDefault="00911D63">
            <w:pPr>
              <w:pStyle w:val="TableParagraph"/>
              <w:spacing w:before="69"/>
              <w:ind w:left="265" w:right="266"/>
              <w:jc w:val="center"/>
              <w:rPr>
                <w:sz w:val="18"/>
              </w:rPr>
            </w:pPr>
            <w:r>
              <w:rPr>
                <w:sz w:val="18"/>
              </w:rPr>
              <w:t>TOTAL</w:t>
            </w:r>
            <w:r>
              <w:rPr>
                <w:spacing w:val="-1"/>
                <w:sz w:val="18"/>
              </w:rPr>
              <w:t xml:space="preserve"> </w:t>
            </w:r>
            <w:r>
              <w:rPr>
                <w:sz w:val="18"/>
              </w:rPr>
              <w:t>Major</w:t>
            </w:r>
            <w:r>
              <w:rPr>
                <w:spacing w:val="-2"/>
                <w:sz w:val="18"/>
              </w:rPr>
              <w:t xml:space="preserve"> </w:t>
            </w:r>
            <w:r>
              <w:rPr>
                <w:sz w:val="18"/>
              </w:rPr>
              <w:t>Programs</w:t>
            </w:r>
            <w:r>
              <w:rPr>
                <w:spacing w:val="-1"/>
                <w:sz w:val="18"/>
              </w:rPr>
              <w:t xml:space="preserve"> </w:t>
            </w:r>
            <w:r>
              <w:rPr>
                <w:spacing w:val="-2"/>
                <w:sz w:val="18"/>
              </w:rPr>
              <w:t>Rural</w:t>
            </w:r>
          </w:p>
        </w:tc>
        <w:tc>
          <w:tcPr>
            <w:tcW w:w="1338" w:type="dxa"/>
            <w:tcBorders>
              <w:top w:val="nil"/>
              <w:bottom w:val="nil"/>
            </w:tcBorders>
            <w:shd w:val="clear" w:color="auto" w:fill="BFBFBF"/>
          </w:tcPr>
          <w:p w14:paraId="3BC7E07A" w14:textId="77777777" w:rsidR="00141B97" w:rsidRDefault="00911D63">
            <w:pPr>
              <w:pStyle w:val="TableParagraph"/>
              <w:spacing w:before="69"/>
              <w:ind w:right="92"/>
              <w:jc w:val="right"/>
              <w:rPr>
                <w:sz w:val="18"/>
              </w:rPr>
            </w:pPr>
            <w:r>
              <w:rPr>
                <w:spacing w:val="-2"/>
                <w:sz w:val="18"/>
              </w:rPr>
              <w:t>19.97</w:t>
            </w:r>
          </w:p>
        </w:tc>
        <w:tc>
          <w:tcPr>
            <w:tcW w:w="1446" w:type="dxa"/>
            <w:tcBorders>
              <w:top w:val="nil"/>
              <w:bottom w:val="nil"/>
            </w:tcBorders>
            <w:shd w:val="clear" w:color="auto" w:fill="BFBFBF"/>
          </w:tcPr>
          <w:p w14:paraId="7DFB6C34" w14:textId="77777777" w:rsidR="00141B97" w:rsidRDefault="00141B97">
            <w:pPr>
              <w:pStyle w:val="TableParagraph"/>
              <w:rPr>
                <w:rFonts w:ascii="Times New Roman"/>
                <w:sz w:val="18"/>
              </w:rPr>
            </w:pPr>
          </w:p>
        </w:tc>
        <w:tc>
          <w:tcPr>
            <w:tcW w:w="1715" w:type="dxa"/>
            <w:tcBorders>
              <w:top w:val="nil"/>
              <w:bottom w:val="nil"/>
              <w:right w:val="nil"/>
            </w:tcBorders>
            <w:shd w:val="clear" w:color="auto" w:fill="BFBFBF"/>
          </w:tcPr>
          <w:p w14:paraId="3172F676" w14:textId="77777777" w:rsidR="00141B97" w:rsidRDefault="00141B97">
            <w:pPr>
              <w:pStyle w:val="TableParagraph"/>
              <w:rPr>
                <w:rFonts w:ascii="Times New Roman"/>
                <w:sz w:val="18"/>
              </w:rPr>
            </w:pPr>
          </w:p>
        </w:tc>
      </w:tr>
    </w:tbl>
    <w:p w14:paraId="373CE2DD" w14:textId="77777777" w:rsidR="00141B97" w:rsidRDefault="00911D63">
      <w:pPr>
        <w:spacing w:before="38" w:line="280" w:lineRule="auto"/>
        <w:ind w:left="114" w:right="6194" w:firstLine="112"/>
        <w:rPr>
          <w:sz w:val="16"/>
        </w:rPr>
      </w:pPr>
      <w:r>
        <w:rPr>
          <w:sz w:val="16"/>
        </w:rPr>
        <w:t>Note:</w:t>
      </w:r>
      <w:r>
        <w:rPr>
          <w:spacing w:val="-3"/>
          <w:sz w:val="16"/>
        </w:rPr>
        <w:t xml:space="preserve"> </w:t>
      </w:r>
      <w:r>
        <w:rPr>
          <w:sz w:val="16"/>
        </w:rPr>
        <w:t>Costs</w:t>
      </w:r>
      <w:r>
        <w:rPr>
          <w:spacing w:val="-4"/>
          <w:sz w:val="16"/>
        </w:rPr>
        <w:t xml:space="preserve"> </w:t>
      </w:r>
      <w:r>
        <w:rPr>
          <w:sz w:val="16"/>
        </w:rPr>
        <w:t>for</w:t>
      </w:r>
      <w:r>
        <w:rPr>
          <w:spacing w:val="-4"/>
          <w:sz w:val="16"/>
        </w:rPr>
        <w:t xml:space="preserve"> </w:t>
      </w:r>
      <w:r>
        <w:rPr>
          <w:sz w:val="16"/>
        </w:rPr>
        <w:t>Corporate</w:t>
      </w:r>
      <w:r>
        <w:rPr>
          <w:spacing w:val="-4"/>
          <w:sz w:val="16"/>
        </w:rPr>
        <w:t xml:space="preserve"> </w:t>
      </w:r>
      <w:r>
        <w:rPr>
          <w:sz w:val="16"/>
        </w:rPr>
        <w:t>projects</w:t>
      </w:r>
      <w:r>
        <w:rPr>
          <w:spacing w:val="-5"/>
          <w:sz w:val="16"/>
        </w:rPr>
        <w:t xml:space="preserve"> </w:t>
      </w:r>
      <w:r>
        <w:rPr>
          <w:sz w:val="16"/>
        </w:rPr>
        <w:t>are</w:t>
      </w:r>
      <w:r>
        <w:rPr>
          <w:spacing w:val="-3"/>
          <w:sz w:val="16"/>
        </w:rPr>
        <w:t xml:space="preserve"> </w:t>
      </w:r>
      <w:r>
        <w:rPr>
          <w:sz w:val="16"/>
        </w:rPr>
        <w:t>the</w:t>
      </w:r>
      <w:r>
        <w:rPr>
          <w:spacing w:val="-3"/>
          <w:sz w:val="16"/>
        </w:rPr>
        <w:t xml:space="preserve"> </w:t>
      </w:r>
      <w:r>
        <w:rPr>
          <w:sz w:val="16"/>
        </w:rPr>
        <w:t>rural</w:t>
      </w:r>
      <w:r>
        <w:rPr>
          <w:spacing w:val="-4"/>
          <w:sz w:val="16"/>
        </w:rPr>
        <w:t xml:space="preserve"> </w:t>
      </w:r>
      <w:r>
        <w:rPr>
          <w:sz w:val="16"/>
        </w:rPr>
        <w:t>component</w:t>
      </w:r>
      <w:r>
        <w:rPr>
          <w:spacing w:val="-3"/>
          <w:sz w:val="16"/>
        </w:rPr>
        <w:t xml:space="preserve"> </w:t>
      </w:r>
      <w:r>
        <w:rPr>
          <w:sz w:val="16"/>
        </w:rPr>
        <w:t>only</w:t>
      </w:r>
      <w:r>
        <w:rPr>
          <w:spacing w:val="40"/>
          <w:sz w:val="16"/>
        </w:rPr>
        <w:t xml:space="preserve"> </w:t>
      </w:r>
      <w:r>
        <w:rPr>
          <w:sz w:val="16"/>
        </w:rPr>
        <w:t>Table C25: Proposed Rural Major Capital Programs</w:t>
      </w:r>
    </w:p>
    <w:p w14:paraId="35D7FBF2" w14:textId="77777777" w:rsidR="00141B97" w:rsidRDefault="00141B97">
      <w:pPr>
        <w:spacing w:line="280" w:lineRule="auto"/>
        <w:rPr>
          <w:sz w:val="16"/>
        </w:rPr>
        <w:sectPr w:rsidR="00141B97">
          <w:pgSz w:w="11910" w:h="16840"/>
          <w:pgMar w:top="820" w:right="40" w:bottom="780" w:left="1020" w:header="0" w:footer="586" w:gutter="0"/>
          <w:cols w:space="720"/>
        </w:sectPr>
      </w:pPr>
    </w:p>
    <w:p w14:paraId="39E94D94" w14:textId="77777777" w:rsidR="00141B97" w:rsidRDefault="00911D63">
      <w:pPr>
        <w:pStyle w:val="BodyText"/>
        <w:spacing w:before="31"/>
        <w:ind w:left="114" w:right="948" w:hanging="1"/>
        <w:jc w:val="both"/>
      </w:pPr>
      <w:r>
        <w:lastRenderedPageBreak/>
        <w:t>This</w:t>
      </w:r>
      <w:r>
        <w:rPr>
          <w:spacing w:val="-13"/>
        </w:rPr>
        <w:t xml:space="preserve"> </w:t>
      </w:r>
      <w:r>
        <w:t>capital</w:t>
      </w:r>
      <w:r>
        <w:rPr>
          <w:spacing w:val="-12"/>
        </w:rPr>
        <w:t xml:space="preserve"> </w:t>
      </w:r>
      <w:r>
        <w:t>expenditure</w:t>
      </w:r>
      <w:r>
        <w:rPr>
          <w:spacing w:val="-13"/>
        </w:rPr>
        <w:t xml:space="preserve"> </w:t>
      </w:r>
      <w:r>
        <w:t>program</w:t>
      </w:r>
      <w:r>
        <w:rPr>
          <w:spacing w:val="-12"/>
        </w:rPr>
        <w:t xml:space="preserve"> </w:t>
      </w:r>
      <w:r>
        <w:t>continues</w:t>
      </w:r>
      <w:r>
        <w:rPr>
          <w:spacing w:val="-13"/>
        </w:rPr>
        <w:t xml:space="preserve"> </w:t>
      </w:r>
      <w:r>
        <w:t>investment</w:t>
      </w:r>
      <w:r>
        <w:rPr>
          <w:spacing w:val="-12"/>
        </w:rPr>
        <w:t xml:space="preserve"> </w:t>
      </w:r>
      <w:r>
        <w:t>in</w:t>
      </w:r>
      <w:r>
        <w:rPr>
          <w:spacing w:val="-13"/>
        </w:rPr>
        <w:t xml:space="preserve"> </w:t>
      </w:r>
      <w:r>
        <w:t>replacement</w:t>
      </w:r>
      <w:r>
        <w:rPr>
          <w:spacing w:val="-12"/>
        </w:rPr>
        <w:t xml:space="preserve"> </w:t>
      </w:r>
      <w:r>
        <w:t>and</w:t>
      </w:r>
      <w:r>
        <w:rPr>
          <w:spacing w:val="-12"/>
        </w:rPr>
        <w:t xml:space="preserve"> </w:t>
      </w:r>
      <w:r>
        <w:t>renewals</w:t>
      </w:r>
      <w:r>
        <w:rPr>
          <w:spacing w:val="-13"/>
        </w:rPr>
        <w:t xml:space="preserve"> </w:t>
      </w:r>
      <w:r>
        <w:t>of</w:t>
      </w:r>
      <w:r>
        <w:rPr>
          <w:spacing w:val="-12"/>
        </w:rPr>
        <w:t xml:space="preserve"> </w:t>
      </w:r>
      <w:r>
        <w:t>irrigation</w:t>
      </w:r>
      <w:r>
        <w:rPr>
          <w:spacing w:val="-13"/>
        </w:rPr>
        <w:t xml:space="preserve"> </w:t>
      </w:r>
      <w:r>
        <w:t>infrastructure, contributed to a maintaining or decreasing the number of failures and attendant maintenance costs and customer interruptions to supply. In addition, the programs include introducing systematic irrigation meter replacement with digital meters, especially for private diverters. These replacements in the past have been on the basis of failure.</w:t>
      </w:r>
    </w:p>
    <w:p w14:paraId="4651F85D" w14:textId="77777777" w:rsidR="00141B97" w:rsidRDefault="00141B97">
      <w:pPr>
        <w:pStyle w:val="BodyText"/>
      </w:pPr>
    </w:p>
    <w:p w14:paraId="51B1DA35" w14:textId="77777777" w:rsidR="00141B97" w:rsidRDefault="00911D63">
      <w:pPr>
        <w:pStyle w:val="BodyText"/>
        <w:ind w:left="113" w:right="948"/>
        <w:jc w:val="both"/>
      </w:pPr>
      <w:r>
        <w:t>All programs and other projects in the capital program are supported by at least a Project Briefing Sheet that sets out the project drivers, justification, scope, cost and expenditure by year, and alignment with customer outcomes. Further detail of the major programs is provided in Appendix C3.</w:t>
      </w:r>
    </w:p>
    <w:p w14:paraId="2F0CF59A" w14:textId="77777777" w:rsidR="00141B97" w:rsidRDefault="00141B97">
      <w:pPr>
        <w:pStyle w:val="BodyText"/>
        <w:spacing w:before="8"/>
        <w:rPr>
          <w:sz w:val="20"/>
        </w:rPr>
      </w:pPr>
    </w:p>
    <w:p w14:paraId="1F36E053" w14:textId="77777777" w:rsidR="00141B97" w:rsidRDefault="00911D63">
      <w:pPr>
        <w:pStyle w:val="ListParagraph"/>
        <w:numPr>
          <w:ilvl w:val="2"/>
          <w:numId w:val="37"/>
        </w:numPr>
        <w:tabs>
          <w:tab w:val="left" w:pos="1112"/>
          <w:tab w:val="left" w:pos="1113"/>
        </w:tabs>
        <w:ind w:left="1112" w:hanging="1000"/>
        <w:jc w:val="both"/>
      </w:pPr>
      <w:r>
        <w:rPr>
          <w:spacing w:val="-2"/>
        </w:rPr>
        <w:t>Capex/Opex</w:t>
      </w:r>
      <w:r>
        <w:rPr>
          <w:spacing w:val="6"/>
        </w:rPr>
        <w:t xml:space="preserve"> </w:t>
      </w:r>
      <w:r>
        <w:rPr>
          <w:spacing w:val="-2"/>
        </w:rPr>
        <w:t>Trade‐offs</w:t>
      </w:r>
    </w:p>
    <w:p w14:paraId="17489FA7" w14:textId="77777777" w:rsidR="00141B97" w:rsidRDefault="00911D63">
      <w:pPr>
        <w:pStyle w:val="BodyText"/>
        <w:spacing w:before="59"/>
        <w:ind w:left="113"/>
        <w:jc w:val="both"/>
      </w:pPr>
      <w:r>
        <w:t>Projects</w:t>
      </w:r>
      <w:r>
        <w:rPr>
          <w:spacing w:val="-9"/>
        </w:rPr>
        <w:t xml:space="preserve"> </w:t>
      </w:r>
      <w:r>
        <w:t>which</w:t>
      </w:r>
      <w:r>
        <w:rPr>
          <w:spacing w:val="-9"/>
        </w:rPr>
        <w:t xml:space="preserve"> </w:t>
      </w:r>
      <w:r>
        <w:t>have</w:t>
      </w:r>
      <w:r>
        <w:rPr>
          <w:spacing w:val="-9"/>
        </w:rPr>
        <w:t xml:space="preserve"> </w:t>
      </w:r>
      <w:r>
        <w:t>potential</w:t>
      </w:r>
      <w:r>
        <w:rPr>
          <w:spacing w:val="-8"/>
        </w:rPr>
        <w:t xml:space="preserve"> </w:t>
      </w:r>
      <w:r>
        <w:t>capex/opex</w:t>
      </w:r>
      <w:r>
        <w:rPr>
          <w:spacing w:val="-7"/>
        </w:rPr>
        <w:t xml:space="preserve"> </w:t>
      </w:r>
      <w:r>
        <w:t>trade‐offs</w:t>
      </w:r>
      <w:r>
        <w:rPr>
          <w:spacing w:val="-9"/>
        </w:rPr>
        <w:t xml:space="preserve"> </w:t>
      </w:r>
      <w:r>
        <w:rPr>
          <w:spacing w:val="-2"/>
        </w:rPr>
        <w:t>include:</w:t>
      </w:r>
    </w:p>
    <w:p w14:paraId="582198CB" w14:textId="77777777" w:rsidR="00141B97" w:rsidRDefault="00911D63">
      <w:pPr>
        <w:pStyle w:val="ListParagraph"/>
        <w:numPr>
          <w:ilvl w:val="0"/>
          <w:numId w:val="6"/>
        </w:numPr>
        <w:tabs>
          <w:tab w:val="left" w:pos="828"/>
        </w:tabs>
        <w:ind w:right="949"/>
        <w:jc w:val="both"/>
      </w:pPr>
      <w:r>
        <w:t>Renewals</w:t>
      </w:r>
      <w:r>
        <w:rPr>
          <w:spacing w:val="-8"/>
        </w:rPr>
        <w:t xml:space="preserve"> </w:t>
      </w:r>
      <w:r>
        <w:t>projects,</w:t>
      </w:r>
      <w:r>
        <w:rPr>
          <w:spacing w:val="-7"/>
        </w:rPr>
        <w:t xml:space="preserve"> </w:t>
      </w:r>
      <w:r>
        <w:t>where</w:t>
      </w:r>
      <w:r>
        <w:rPr>
          <w:spacing w:val="-9"/>
        </w:rPr>
        <w:t xml:space="preserve"> </w:t>
      </w:r>
      <w:r>
        <w:t>replacing</w:t>
      </w:r>
      <w:r>
        <w:rPr>
          <w:spacing w:val="-7"/>
        </w:rPr>
        <w:t xml:space="preserve"> </w:t>
      </w:r>
      <w:r>
        <w:t>a</w:t>
      </w:r>
      <w:r>
        <w:rPr>
          <w:spacing w:val="-8"/>
        </w:rPr>
        <w:t xml:space="preserve"> </w:t>
      </w:r>
      <w:r>
        <w:t>failing</w:t>
      </w:r>
      <w:r>
        <w:rPr>
          <w:spacing w:val="-8"/>
        </w:rPr>
        <w:t xml:space="preserve"> </w:t>
      </w:r>
      <w:r>
        <w:t>asset</w:t>
      </w:r>
      <w:r>
        <w:rPr>
          <w:spacing w:val="-8"/>
        </w:rPr>
        <w:t xml:space="preserve"> </w:t>
      </w:r>
      <w:r>
        <w:t>may</w:t>
      </w:r>
      <w:r>
        <w:rPr>
          <w:spacing w:val="-6"/>
        </w:rPr>
        <w:t xml:space="preserve"> </w:t>
      </w:r>
      <w:r>
        <w:t>reduce</w:t>
      </w:r>
      <w:r>
        <w:rPr>
          <w:spacing w:val="-9"/>
        </w:rPr>
        <w:t xml:space="preserve"> </w:t>
      </w:r>
      <w:r>
        <w:t>future</w:t>
      </w:r>
      <w:r>
        <w:rPr>
          <w:spacing w:val="-9"/>
        </w:rPr>
        <w:t xml:space="preserve"> </w:t>
      </w:r>
      <w:r>
        <w:t>maintenance</w:t>
      </w:r>
      <w:r>
        <w:rPr>
          <w:spacing w:val="-9"/>
        </w:rPr>
        <w:t xml:space="preserve"> </w:t>
      </w:r>
      <w:r>
        <w:t>requirements.</w:t>
      </w:r>
      <w:r>
        <w:rPr>
          <w:spacing w:val="-8"/>
        </w:rPr>
        <w:t xml:space="preserve"> </w:t>
      </w:r>
      <w:r>
        <w:t>In</w:t>
      </w:r>
      <w:r>
        <w:rPr>
          <w:spacing w:val="-8"/>
        </w:rPr>
        <w:t xml:space="preserve"> </w:t>
      </w:r>
      <w:r>
        <w:t>the case</w:t>
      </w:r>
      <w:r>
        <w:rPr>
          <w:spacing w:val="-13"/>
        </w:rPr>
        <w:t xml:space="preserve"> </w:t>
      </w:r>
      <w:r>
        <w:t>of</w:t>
      </w:r>
      <w:r>
        <w:rPr>
          <w:spacing w:val="-12"/>
        </w:rPr>
        <w:t xml:space="preserve"> </w:t>
      </w:r>
      <w:r>
        <w:t>irrigation</w:t>
      </w:r>
      <w:r>
        <w:rPr>
          <w:spacing w:val="-13"/>
        </w:rPr>
        <w:t xml:space="preserve"> </w:t>
      </w:r>
      <w:r>
        <w:t>pipeline</w:t>
      </w:r>
      <w:r>
        <w:rPr>
          <w:spacing w:val="-12"/>
        </w:rPr>
        <w:t xml:space="preserve"> </w:t>
      </w:r>
      <w:r>
        <w:t>renewals,</w:t>
      </w:r>
      <w:r>
        <w:rPr>
          <w:spacing w:val="-13"/>
        </w:rPr>
        <w:t xml:space="preserve"> </w:t>
      </w:r>
      <w:r>
        <w:t>LMW</w:t>
      </w:r>
      <w:r>
        <w:rPr>
          <w:spacing w:val="-12"/>
        </w:rPr>
        <w:t xml:space="preserve"> </w:t>
      </w:r>
      <w:r>
        <w:t>has</w:t>
      </w:r>
      <w:r>
        <w:rPr>
          <w:spacing w:val="-13"/>
        </w:rPr>
        <w:t xml:space="preserve"> </w:t>
      </w:r>
      <w:r>
        <w:t>included</w:t>
      </w:r>
      <w:r>
        <w:rPr>
          <w:spacing w:val="-12"/>
        </w:rPr>
        <w:t xml:space="preserve"> </w:t>
      </w:r>
      <w:r>
        <w:t>reduced</w:t>
      </w:r>
      <w:r>
        <w:rPr>
          <w:spacing w:val="-12"/>
        </w:rPr>
        <w:t xml:space="preserve"> </w:t>
      </w:r>
      <w:r>
        <w:t>reactive</w:t>
      </w:r>
      <w:r>
        <w:rPr>
          <w:spacing w:val="-13"/>
        </w:rPr>
        <w:t xml:space="preserve"> </w:t>
      </w:r>
      <w:r>
        <w:t>maintenance</w:t>
      </w:r>
      <w:r>
        <w:rPr>
          <w:spacing w:val="-12"/>
        </w:rPr>
        <w:t xml:space="preserve"> </w:t>
      </w:r>
      <w:r>
        <w:t>costs</w:t>
      </w:r>
      <w:r>
        <w:rPr>
          <w:spacing w:val="-13"/>
        </w:rPr>
        <w:t xml:space="preserve"> </w:t>
      </w:r>
      <w:r>
        <w:t>for</w:t>
      </w:r>
      <w:r>
        <w:rPr>
          <w:spacing w:val="-12"/>
        </w:rPr>
        <w:t xml:space="preserve"> </w:t>
      </w:r>
      <w:r>
        <w:t>irrigation mains in its operating expenditure forecast.</w:t>
      </w:r>
    </w:p>
    <w:p w14:paraId="1BEF7665" w14:textId="77777777" w:rsidR="00141B97" w:rsidRDefault="00911D63">
      <w:pPr>
        <w:pStyle w:val="ListParagraph"/>
        <w:numPr>
          <w:ilvl w:val="0"/>
          <w:numId w:val="6"/>
        </w:numPr>
        <w:tabs>
          <w:tab w:val="left" w:pos="828"/>
        </w:tabs>
        <w:ind w:right="949"/>
        <w:jc w:val="both"/>
      </w:pPr>
      <w:r>
        <w:t>Automation</w:t>
      </w:r>
      <w:r>
        <w:rPr>
          <w:spacing w:val="-1"/>
        </w:rPr>
        <w:t xml:space="preserve"> </w:t>
      </w:r>
      <w:r>
        <w:t>projects</w:t>
      </w:r>
      <w:r>
        <w:rPr>
          <w:spacing w:val="-3"/>
        </w:rPr>
        <w:t xml:space="preserve"> </w:t>
      </w:r>
      <w:r>
        <w:t>where</w:t>
      </w:r>
      <w:r>
        <w:rPr>
          <w:spacing w:val="-2"/>
        </w:rPr>
        <w:t xml:space="preserve"> </w:t>
      </w:r>
      <w:r>
        <w:t>increased</w:t>
      </w:r>
      <w:r>
        <w:rPr>
          <w:spacing w:val="-2"/>
        </w:rPr>
        <w:t xml:space="preserve"> </w:t>
      </w:r>
      <w:r>
        <w:t>automation,</w:t>
      </w:r>
      <w:r>
        <w:rPr>
          <w:spacing w:val="-2"/>
        </w:rPr>
        <w:t xml:space="preserve"> </w:t>
      </w:r>
      <w:r>
        <w:t>and</w:t>
      </w:r>
      <w:r>
        <w:rPr>
          <w:spacing w:val="-3"/>
        </w:rPr>
        <w:t xml:space="preserve"> </w:t>
      </w:r>
      <w:r>
        <w:t>remote</w:t>
      </w:r>
      <w:r>
        <w:rPr>
          <w:spacing w:val="-3"/>
        </w:rPr>
        <w:t xml:space="preserve"> </w:t>
      </w:r>
      <w:r>
        <w:t>monitoring</w:t>
      </w:r>
      <w:r>
        <w:rPr>
          <w:spacing w:val="-2"/>
        </w:rPr>
        <w:t xml:space="preserve"> </w:t>
      </w:r>
      <w:r>
        <w:t>and</w:t>
      </w:r>
      <w:r>
        <w:rPr>
          <w:spacing w:val="-1"/>
        </w:rPr>
        <w:t xml:space="preserve"> </w:t>
      </w:r>
      <w:r>
        <w:t>meter</w:t>
      </w:r>
      <w:r>
        <w:rPr>
          <w:spacing w:val="-2"/>
        </w:rPr>
        <w:t xml:space="preserve"> </w:t>
      </w:r>
      <w:r>
        <w:t>reading,</w:t>
      </w:r>
      <w:r>
        <w:rPr>
          <w:spacing w:val="-3"/>
        </w:rPr>
        <w:t xml:space="preserve"> </w:t>
      </w:r>
      <w:r>
        <w:t>provide opportunities</w:t>
      </w:r>
      <w:r>
        <w:rPr>
          <w:spacing w:val="-8"/>
        </w:rPr>
        <w:t xml:space="preserve"> </w:t>
      </w:r>
      <w:r>
        <w:t>for</w:t>
      </w:r>
      <w:r>
        <w:rPr>
          <w:spacing w:val="-9"/>
        </w:rPr>
        <w:t xml:space="preserve"> </w:t>
      </w:r>
      <w:r>
        <w:t>reductions</w:t>
      </w:r>
      <w:r>
        <w:rPr>
          <w:spacing w:val="-9"/>
        </w:rPr>
        <w:t xml:space="preserve"> </w:t>
      </w:r>
      <w:r>
        <w:t>in</w:t>
      </w:r>
      <w:r>
        <w:rPr>
          <w:spacing w:val="-9"/>
        </w:rPr>
        <w:t xml:space="preserve"> </w:t>
      </w:r>
      <w:r>
        <w:t>labour</w:t>
      </w:r>
      <w:r>
        <w:rPr>
          <w:spacing w:val="-9"/>
        </w:rPr>
        <w:t xml:space="preserve"> </w:t>
      </w:r>
      <w:r>
        <w:t>costs</w:t>
      </w:r>
      <w:r>
        <w:rPr>
          <w:spacing w:val="-8"/>
        </w:rPr>
        <w:t xml:space="preserve"> </w:t>
      </w:r>
      <w:r>
        <w:t>and</w:t>
      </w:r>
      <w:r>
        <w:rPr>
          <w:spacing w:val="-9"/>
        </w:rPr>
        <w:t xml:space="preserve"> </w:t>
      </w:r>
      <w:r>
        <w:t>site</w:t>
      </w:r>
      <w:r>
        <w:rPr>
          <w:spacing w:val="-10"/>
        </w:rPr>
        <w:t xml:space="preserve"> </w:t>
      </w:r>
      <w:r>
        <w:t>attendance.</w:t>
      </w:r>
      <w:r>
        <w:rPr>
          <w:spacing w:val="-9"/>
        </w:rPr>
        <w:t xml:space="preserve"> </w:t>
      </w:r>
      <w:r>
        <w:t>The</w:t>
      </w:r>
      <w:r>
        <w:rPr>
          <w:spacing w:val="-9"/>
        </w:rPr>
        <w:t xml:space="preserve"> </w:t>
      </w:r>
      <w:r>
        <w:t>operating</w:t>
      </w:r>
      <w:r>
        <w:rPr>
          <w:spacing w:val="-7"/>
        </w:rPr>
        <w:t xml:space="preserve"> </w:t>
      </w:r>
      <w:r>
        <w:t>expenditure</w:t>
      </w:r>
      <w:r>
        <w:rPr>
          <w:spacing w:val="-9"/>
        </w:rPr>
        <w:t xml:space="preserve"> </w:t>
      </w:r>
      <w:r>
        <w:t>efficiencies from these projects are described elsewhere in this document relating to productivity improvements and the business transformation project.</w:t>
      </w:r>
    </w:p>
    <w:p w14:paraId="4C9DC194" w14:textId="77777777" w:rsidR="00141B97" w:rsidRDefault="00141B97">
      <w:pPr>
        <w:pStyle w:val="BodyText"/>
        <w:spacing w:before="9"/>
        <w:rPr>
          <w:sz w:val="20"/>
        </w:rPr>
      </w:pPr>
    </w:p>
    <w:p w14:paraId="5B183024" w14:textId="77777777" w:rsidR="00141B97" w:rsidRDefault="00911D63">
      <w:pPr>
        <w:pStyle w:val="ListParagraph"/>
        <w:numPr>
          <w:ilvl w:val="2"/>
          <w:numId w:val="37"/>
        </w:numPr>
        <w:tabs>
          <w:tab w:val="left" w:pos="1112"/>
          <w:tab w:val="left" w:pos="1113"/>
        </w:tabs>
        <w:spacing w:line="292" w:lineRule="auto"/>
        <w:ind w:left="114" w:right="8095" w:hanging="1"/>
      </w:pPr>
      <w:r>
        <w:t>Uncertain</w:t>
      </w:r>
      <w:r>
        <w:rPr>
          <w:spacing w:val="-13"/>
        </w:rPr>
        <w:t xml:space="preserve"> </w:t>
      </w:r>
      <w:r>
        <w:t>Projects Red Cliffs Irrigation suctions</w:t>
      </w:r>
    </w:p>
    <w:p w14:paraId="49FBCC10" w14:textId="77777777" w:rsidR="00141B97" w:rsidRDefault="00911D63">
      <w:pPr>
        <w:pStyle w:val="BodyText"/>
        <w:spacing w:line="208" w:lineRule="exact"/>
        <w:ind w:left="113"/>
      </w:pPr>
      <w:r>
        <w:t>Throughout</w:t>
      </w:r>
      <w:r>
        <w:rPr>
          <w:spacing w:val="49"/>
        </w:rPr>
        <w:t xml:space="preserve"> </w:t>
      </w:r>
      <w:r>
        <w:t>PS4</w:t>
      </w:r>
      <w:r>
        <w:rPr>
          <w:spacing w:val="48"/>
        </w:rPr>
        <w:t xml:space="preserve"> </w:t>
      </w:r>
      <w:r>
        <w:t>regular</w:t>
      </w:r>
      <w:r>
        <w:rPr>
          <w:spacing w:val="49"/>
        </w:rPr>
        <w:t xml:space="preserve"> </w:t>
      </w:r>
      <w:r>
        <w:t>monitoring</w:t>
      </w:r>
      <w:r>
        <w:rPr>
          <w:spacing w:val="49"/>
        </w:rPr>
        <w:t xml:space="preserve"> </w:t>
      </w:r>
      <w:r>
        <w:t>of</w:t>
      </w:r>
      <w:r>
        <w:rPr>
          <w:spacing w:val="48"/>
        </w:rPr>
        <w:t xml:space="preserve"> </w:t>
      </w:r>
      <w:r>
        <w:t>the</w:t>
      </w:r>
      <w:r>
        <w:rPr>
          <w:spacing w:val="48"/>
        </w:rPr>
        <w:t xml:space="preserve"> </w:t>
      </w:r>
      <w:r>
        <w:t>silt</w:t>
      </w:r>
      <w:r>
        <w:rPr>
          <w:spacing w:val="47"/>
        </w:rPr>
        <w:t xml:space="preserve"> </w:t>
      </w:r>
      <w:r>
        <w:t>levels</w:t>
      </w:r>
      <w:r>
        <w:rPr>
          <w:spacing w:val="49"/>
        </w:rPr>
        <w:t xml:space="preserve"> </w:t>
      </w:r>
      <w:r>
        <w:t>around</w:t>
      </w:r>
      <w:r>
        <w:rPr>
          <w:spacing w:val="49"/>
        </w:rPr>
        <w:t xml:space="preserve"> </w:t>
      </w:r>
      <w:r>
        <w:t>the</w:t>
      </w:r>
      <w:r>
        <w:rPr>
          <w:spacing w:val="49"/>
        </w:rPr>
        <w:t xml:space="preserve"> </w:t>
      </w:r>
      <w:r>
        <w:t>Red</w:t>
      </w:r>
      <w:r>
        <w:rPr>
          <w:spacing w:val="48"/>
        </w:rPr>
        <w:t xml:space="preserve"> </w:t>
      </w:r>
      <w:r>
        <w:t>Cliffs</w:t>
      </w:r>
      <w:r>
        <w:rPr>
          <w:spacing w:val="48"/>
        </w:rPr>
        <w:t xml:space="preserve"> </w:t>
      </w:r>
      <w:r>
        <w:t>irrigation</w:t>
      </w:r>
      <w:r>
        <w:rPr>
          <w:spacing w:val="49"/>
        </w:rPr>
        <w:t xml:space="preserve"> </w:t>
      </w:r>
      <w:r>
        <w:t>suctions</w:t>
      </w:r>
      <w:r>
        <w:rPr>
          <w:spacing w:val="48"/>
        </w:rPr>
        <w:t xml:space="preserve"> </w:t>
      </w:r>
      <w:r>
        <w:t>has</w:t>
      </w:r>
      <w:r>
        <w:rPr>
          <w:spacing w:val="49"/>
        </w:rPr>
        <w:t xml:space="preserve"> </w:t>
      </w:r>
      <w:r>
        <w:rPr>
          <w:spacing w:val="-4"/>
        </w:rPr>
        <w:t>been</w:t>
      </w:r>
    </w:p>
    <w:p w14:paraId="5BD06CBC" w14:textId="77777777" w:rsidR="00141B97" w:rsidRDefault="00911D63">
      <w:pPr>
        <w:pStyle w:val="BodyText"/>
        <w:ind w:left="114" w:right="962" w:hanging="1"/>
      </w:pPr>
      <w:r>
        <w:t>conducted. Based on the results of this monitoring LMW has decided to delay the Red Cliffs suction extension project into PS6.</w:t>
      </w:r>
    </w:p>
    <w:p w14:paraId="65E849DA" w14:textId="77777777" w:rsidR="00141B97" w:rsidRDefault="00141B97">
      <w:pPr>
        <w:pStyle w:val="BodyText"/>
        <w:spacing w:before="1"/>
      </w:pPr>
    </w:p>
    <w:p w14:paraId="1B661D12" w14:textId="77777777" w:rsidR="00141B97" w:rsidRDefault="00911D63">
      <w:pPr>
        <w:pStyle w:val="BodyText"/>
        <w:spacing w:line="268" w:lineRule="exact"/>
        <w:ind w:left="114"/>
        <w:jc w:val="both"/>
      </w:pPr>
      <w:r>
        <w:t>King’s</w:t>
      </w:r>
      <w:r>
        <w:rPr>
          <w:spacing w:val="-9"/>
        </w:rPr>
        <w:t xml:space="preserve"> </w:t>
      </w:r>
      <w:r>
        <w:t>Billabong</w:t>
      </w:r>
      <w:r>
        <w:rPr>
          <w:spacing w:val="-8"/>
        </w:rPr>
        <w:t xml:space="preserve"> </w:t>
      </w:r>
      <w:r>
        <w:t>Pumping</w:t>
      </w:r>
      <w:r>
        <w:rPr>
          <w:spacing w:val="-9"/>
        </w:rPr>
        <w:t xml:space="preserve"> </w:t>
      </w:r>
      <w:r>
        <w:rPr>
          <w:spacing w:val="-2"/>
        </w:rPr>
        <w:t>Station</w:t>
      </w:r>
    </w:p>
    <w:p w14:paraId="3775EC18" w14:textId="77777777" w:rsidR="00141B97" w:rsidRDefault="00911D63">
      <w:pPr>
        <w:pStyle w:val="BodyText"/>
        <w:ind w:left="113" w:right="948"/>
        <w:jc w:val="both"/>
      </w:pPr>
      <w:r>
        <w:t>LMW</w:t>
      </w:r>
      <w:r>
        <w:rPr>
          <w:spacing w:val="-5"/>
        </w:rPr>
        <w:t xml:space="preserve"> </w:t>
      </w:r>
      <w:r>
        <w:t>owns</w:t>
      </w:r>
      <w:r>
        <w:rPr>
          <w:spacing w:val="-2"/>
        </w:rPr>
        <w:t xml:space="preserve"> </w:t>
      </w:r>
      <w:r>
        <w:t>the</w:t>
      </w:r>
      <w:r>
        <w:rPr>
          <w:spacing w:val="-5"/>
        </w:rPr>
        <w:t xml:space="preserve"> </w:t>
      </w:r>
      <w:r>
        <w:t>King’s</w:t>
      </w:r>
      <w:r>
        <w:rPr>
          <w:spacing w:val="-4"/>
        </w:rPr>
        <w:t xml:space="preserve"> </w:t>
      </w:r>
      <w:r>
        <w:t>Billabong</w:t>
      </w:r>
      <w:r>
        <w:rPr>
          <w:spacing w:val="-4"/>
        </w:rPr>
        <w:t xml:space="preserve"> </w:t>
      </w:r>
      <w:r>
        <w:t>Pumping</w:t>
      </w:r>
      <w:r>
        <w:rPr>
          <w:spacing w:val="-2"/>
        </w:rPr>
        <w:t xml:space="preserve"> </w:t>
      </w:r>
      <w:r>
        <w:t>Station</w:t>
      </w:r>
      <w:r>
        <w:rPr>
          <w:spacing w:val="-4"/>
        </w:rPr>
        <w:t xml:space="preserve"> </w:t>
      </w:r>
      <w:r>
        <w:t>located</w:t>
      </w:r>
      <w:r>
        <w:rPr>
          <w:spacing w:val="-4"/>
        </w:rPr>
        <w:t xml:space="preserve"> </w:t>
      </w:r>
      <w:r>
        <w:t>on</w:t>
      </w:r>
      <w:r>
        <w:rPr>
          <w:spacing w:val="-3"/>
        </w:rPr>
        <w:t xml:space="preserve"> </w:t>
      </w:r>
      <w:r>
        <w:t>Cooke</w:t>
      </w:r>
      <w:r>
        <w:rPr>
          <w:spacing w:val="-4"/>
        </w:rPr>
        <w:t xml:space="preserve"> </w:t>
      </w:r>
      <w:r>
        <w:t>Street</w:t>
      </w:r>
      <w:r>
        <w:rPr>
          <w:spacing w:val="-5"/>
        </w:rPr>
        <w:t xml:space="preserve"> </w:t>
      </w:r>
      <w:r>
        <w:t>in</w:t>
      </w:r>
      <w:r>
        <w:rPr>
          <w:spacing w:val="-4"/>
        </w:rPr>
        <w:t xml:space="preserve"> </w:t>
      </w:r>
      <w:r>
        <w:t>Nichols</w:t>
      </w:r>
      <w:r>
        <w:rPr>
          <w:spacing w:val="-4"/>
        </w:rPr>
        <w:t xml:space="preserve"> </w:t>
      </w:r>
      <w:r>
        <w:t>Point.</w:t>
      </w:r>
      <w:r>
        <w:rPr>
          <w:spacing w:val="-4"/>
        </w:rPr>
        <w:t xml:space="preserve"> </w:t>
      </w:r>
      <w:r>
        <w:t>This</w:t>
      </w:r>
      <w:r>
        <w:rPr>
          <w:spacing w:val="-2"/>
        </w:rPr>
        <w:t xml:space="preserve"> </w:t>
      </w:r>
      <w:r>
        <w:t>building</w:t>
      </w:r>
      <w:r>
        <w:rPr>
          <w:spacing w:val="-3"/>
        </w:rPr>
        <w:t xml:space="preserve"> </w:t>
      </w:r>
      <w:r>
        <w:t>and</w:t>
      </w:r>
      <w:r>
        <w:rPr>
          <w:spacing w:val="-3"/>
        </w:rPr>
        <w:t xml:space="preserve"> </w:t>
      </w:r>
      <w:r>
        <w:t>the entire lot comprising approximately 1.6Ha. in area is listed on the Victorian Heritage Register as a place of ‘national significance for their historical associations’. This listing occurred on 26 October 1993. The building consists</w:t>
      </w:r>
      <w:r>
        <w:rPr>
          <w:spacing w:val="-7"/>
        </w:rPr>
        <w:t xml:space="preserve"> </w:t>
      </w:r>
      <w:r>
        <w:t>of</w:t>
      </w:r>
      <w:r>
        <w:rPr>
          <w:spacing w:val="-9"/>
        </w:rPr>
        <w:t xml:space="preserve"> </w:t>
      </w:r>
      <w:r>
        <w:t>an</w:t>
      </w:r>
      <w:r>
        <w:rPr>
          <w:spacing w:val="-8"/>
        </w:rPr>
        <w:t xml:space="preserve"> </w:t>
      </w:r>
      <w:r>
        <w:t>old</w:t>
      </w:r>
      <w:r>
        <w:rPr>
          <w:spacing w:val="-8"/>
        </w:rPr>
        <w:t xml:space="preserve"> </w:t>
      </w:r>
      <w:r>
        <w:t>pump</w:t>
      </w:r>
      <w:r>
        <w:rPr>
          <w:spacing w:val="-8"/>
        </w:rPr>
        <w:t xml:space="preserve"> </w:t>
      </w:r>
      <w:r>
        <w:t>building</w:t>
      </w:r>
      <w:r>
        <w:rPr>
          <w:spacing w:val="-10"/>
        </w:rPr>
        <w:t xml:space="preserve"> </w:t>
      </w:r>
      <w:r>
        <w:t>which</w:t>
      </w:r>
      <w:r>
        <w:rPr>
          <w:spacing w:val="-8"/>
        </w:rPr>
        <w:t xml:space="preserve"> </w:t>
      </w:r>
      <w:r>
        <w:t>is</w:t>
      </w:r>
      <w:r>
        <w:rPr>
          <w:spacing w:val="-8"/>
        </w:rPr>
        <w:t xml:space="preserve"> </w:t>
      </w:r>
      <w:r>
        <w:t>double</w:t>
      </w:r>
      <w:r>
        <w:rPr>
          <w:spacing w:val="-9"/>
        </w:rPr>
        <w:t xml:space="preserve"> </w:t>
      </w:r>
      <w:r>
        <w:t>brick</w:t>
      </w:r>
      <w:r>
        <w:rPr>
          <w:spacing w:val="-8"/>
        </w:rPr>
        <w:t xml:space="preserve"> </w:t>
      </w:r>
      <w:r>
        <w:t>with</w:t>
      </w:r>
      <w:r>
        <w:rPr>
          <w:spacing w:val="-9"/>
        </w:rPr>
        <w:t xml:space="preserve"> </w:t>
      </w:r>
      <w:r>
        <w:t>an</w:t>
      </w:r>
      <w:r>
        <w:rPr>
          <w:spacing w:val="-9"/>
        </w:rPr>
        <w:t xml:space="preserve"> </w:t>
      </w:r>
      <w:r>
        <w:t>iron</w:t>
      </w:r>
      <w:r>
        <w:rPr>
          <w:spacing w:val="-8"/>
        </w:rPr>
        <w:t xml:space="preserve"> </w:t>
      </w:r>
      <w:r>
        <w:t>roof.</w:t>
      </w:r>
      <w:r>
        <w:rPr>
          <w:spacing w:val="-8"/>
        </w:rPr>
        <w:t xml:space="preserve"> </w:t>
      </w:r>
      <w:r>
        <w:t>Due</w:t>
      </w:r>
      <w:r>
        <w:rPr>
          <w:spacing w:val="-10"/>
        </w:rPr>
        <w:t xml:space="preserve"> </w:t>
      </w:r>
      <w:r>
        <w:t>to</w:t>
      </w:r>
      <w:r>
        <w:rPr>
          <w:spacing w:val="-8"/>
        </w:rPr>
        <w:t xml:space="preserve"> </w:t>
      </w:r>
      <w:r>
        <w:t>its</w:t>
      </w:r>
      <w:r>
        <w:rPr>
          <w:spacing w:val="-9"/>
        </w:rPr>
        <w:t xml:space="preserve"> </w:t>
      </w:r>
      <w:r>
        <w:t>listing</w:t>
      </w:r>
      <w:r>
        <w:rPr>
          <w:spacing w:val="-9"/>
        </w:rPr>
        <w:t xml:space="preserve"> </w:t>
      </w:r>
      <w:r>
        <w:t>by</w:t>
      </w:r>
      <w:r>
        <w:rPr>
          <w:spacing w:val="-9"/>
        </w:rPr>
        <w:t xml:space="preserve"> </w:t>
      </w:r>
      <w:r>
        <w:t>the</w:t>
      </w:r>
      <w:r>
        <w:rPr>
          <w:spacing w:val="-10"/>
        </w:rPr>
        <w:t xml:space="preserve"> </w:t>
      </w:r>
      <w:r>
        <w:t>Heritage</w:t>
      </w:r>
      <w:r>
        <w:rPr>
          <w:spacing w:val="-11"/>
        </w:rPr>
        <w:t xml:space="preserve"> </w:t>
      </w:r>
      <w:r>
        <w:t>Council of Victoria, LMW is bound by the Heritage Act 2017 (Vic). Locally, LMW is bound by the Planning and Environment Act 1987 (Vic) and the Mildura Planning Scheme.</w:t>
      </w:r>
    </w:p>
    <w:p w14:paraId="41EF232B" w14:textId="77777777" w:rsidR="00141B97" w:rsidRDefault="00141B97">
      <w:pPr>
        <w:pStyle w:val="BodyText"/>
      </w:pPr>
    </w:p>
    <w:p w14:paraId="0E250948" w14:textId="77777777" w:rsidR="00141B97" w:rsidRDefault="00911D63">
      <w:pPr>
        <w:pStyle w:val="BodyText"/>
        <w:ind w:left="114" w:right="946" w:hanging="1"/>
        <w:jc w:val="both"/>
      </w:pPr>
      <w:r>
        <w:t>A</w:t>
      </w:r>
      <w:r>
        <w:rPr>
          <w:spacing w:val="-12"/>
        </w:rPr>
        <w:t xml:space="preserve"> </w:t>
      </w:r>
      <w:r>
        <w:t>detailed</w:t>
      </w:r>
      <w:r>
        <w:rPr>
          <w:spacing w:val="-11"/>
        </w:rPr>
        <w:t xml:space="preserve"> </w:t>
      </w:r>
      <w:r>
        <w:t>building</w:t>
      </w:r>
      <w:r>
        <w:rPr>
          <w:spacing w:val="-11"/>
        </w:rPr>
        <w:t xml:space="preserve"> </w:t>
      </w:r>
      <w:r>
        <w:t>condition</w:t>
      </w:r>
      <w:r>
        <w:rPr>
          <w:spacing w:val="-11"/>
        </w:rPr>
        <w:t xml:space="preserve"> </w:t>
      </w:r>
      <w:r>
        <w:t>report</w:t>
      </w:r>
      <w:r>
        <w:rPr>
          <w:spacing w:val="-12"/>
        </w:rPr>
        <w:t xml:space="preserve"> </w:t>
      </w:r>
      <w:r>
        <w:t>and</w:t>
      </w:r>
      <w:r>
        <w:rPr>
          <w:spacing w:val="-12"/>
        </w:rPr>
        <w:t xml:space="preserve"> </w:t>
      </w:r>
      <w:r>
        <w:t>structural</w:t>
      </w:r>
      <w:r>
        <w:rPr>
          <w:spacing w:val="-11"/>
        </w:rPr>
        <w:t xml:space="preserve"> </w:t>
      </w:r>
      <w:r>
        <w:t>assessment</w:t>
      </w:r>
      <w:r>
        <w:rPr>
          <w:spacing w:val="-12"/>
        </w:rPr>
        <w:t xml:space="preserve"> </w:t>
      </w:r>
      <w:r>
        <w:t>was</w:t>
      </w:r>
      <w:r>
        <w:rPr>
          <w:spacing w:val="-11"/>
        </w:rPr>
        <w:t xml:space="preserve"> </w:t>
      </w:r>
      <w:r>
        <w:t>undertaken</w:t>
      </w:r>
      <w:r>
        <w:rPr>
          <w:spacing w:val="-11"/>
        </w:rPr>
        <w:t xml:space="preserve"> </w:t>
      </w:r>
      <w:r>
        <w:t>by</w:t>
      </w:r>
      <w:r>
        <w:rPr>
          <w:spacing w:val="-10"/>
        </w:rPr>
        <w:t xml:space="preserve"> </w:t>
      </w:r>
      <w:r>
        <w:t>Regional</w:t>
      </w:r>
      <w:r>
        <w:rPr>
          <w:spacing w:val="-11"/>
        </w:rPr>
        <w:t xml:space="preserve"> </w:t>
      </w:r>
      <w:r>
        <w:t>Building</w:t>
      </w:r>
      <w:r>
        <w:rPr>
          <w:spacing w:val="-11"/>
        </w:rPr>
        <w:t xml:space="preserve"> </w:t>
      </w:r>
      <w:r>
        <w:t>Consultants in 2020. It has been estimated that to maintain the building to an appropriate standard will cost $492,000 pending additional approvals. Due to recent deterioration of the building and identified safety risks, LMW has updated</w:t>
      </w:r>
      <w:r>
        <w:rPr>
          <w:spacing w:val="-10"/>
        </w:rPr>
        <w:t xml:space="preserve"> </w:t>
      </w:r>
      <w:r>
        <w:t>the</w:t>
      </w:r>
      <w:r>
        <w:rPr>
          <w:spacing w:val="-10"/>
        </w:rPr>
        <w:t xml:space="preserve"> </w:t>
      </w:r>
      <w:r>
        <w:t>structural</w:t>
      </w:r>
      <w:r>
        <w:rPr>
          <w:spacing w:val="-9"/>
        </w:rPr>
        <w:t xml:space="preserve"> </w:t>
      </w:r>
      <w:r>
        <w:t>assessment</w:t>
      </w:r>
      <w:r>
        <w:rPr>
          <w:spacing w:val="-10"/>
        </w:rPr>
        <w:t xml:space="preserve"> </w:t>
      </w:r>
      <w:r>
        <w:t>report</w:t>
      </w:r>
      <w:r>
        <w:rPr>
          <w:spacing w:val="-10"/>
        </w:rPr>
        <w:t xml:space="preserve"> </w:t>
      </w:r>
      <w:r>
        <w:t>and</w:t>
      </w:r>
      <w:r>
        <w:rPr>
          <w:spacing w:val="-8"/>
        </w:rPr>
        <w:t xml:space="preserve"> </w:t>
      </w:r>
      <w:r>
        <w:t>is</w:t>
      </w:r>
      <w:r>
        <w:rPr>
          <w:spacing w:val="-9"/>
        </w:rPr>
        <w:t xml:space="preserve"> </w:t>
      </w:r>
      <w:r>
        <w:t>now</w:t>
      </w:r>
      <w:r>
        <w:rPr>
          <w:spacing w:val="-9"/>
        </w:rPr>
        <w:t xml:space="preserve"> </w:t>
      </w:r>
      <w:r>
        <w:t>evaluating</w:t>
      </w:r>
      <w:r>
        <w:rPr>
          <w:spacing w:val="-9"/>
        </w:rPr>
        <w:t xml:space="preserve"> </w:t>
      </w:r>
      <w:r>
        <w:t>future</w:t>
      </w:r>
      <w:r>
        <w:rPr>
          <w:spacing w:val="-8"/>
        </w:rPr>
        <w:t xml:space="preserve"> </w:t>
      </w:r>
      <w:r>
        <w:t>options</w:t>
      </w:r>
      <w:r>
        <w:rPr>
          <w:spacing w:val="-8"/>
        </w:rPr>
        <w:t xml:space="preserve"> </w:t>
      </w:r>
      <w:r>
        <w:t>for</w:t>
      </w:r>
      <w:r>
        <w:rPr>
          <w:spacing w:val="-8"/>
        </w:rPr>
        <w:t xml:space="preserve"> </w:t>
      </w:r>
      <w:r>
        <w:t>the</w:t>
      </w:r>
      <w:r>
        <w:rPr>
          <w:spacing w:val="-8"/>
        </w:rPr>
        <w:t xml:space="preserve"> </w:t>
      </w:r>
      <w:r>
        <w:t>building.</w:t>
      </w:r>
      <w:r>
        <w:rPr>
          <w:spacing w:val="-9"/>
        </w:rPr>
        <w:t xml:space="preserve"> </w:t>
      </w:r>
      <w:r>
        <w:t>There</w:t>
      </w:r>
      <w:r>
        <w:rPr>
          <w:spacing w:val="-8"/>
        </w:rPr>
        <w:t xml:space="preserve"> </w:t>
      </w:r>
      <w:r>
        <w:t>is</w:t>
      </w:r>
      <w:r>
        <w:rPr>
          <w:spacing w:val="-9"/>
        </w:rPr>
        <w:t xml:space="preserve"> </w:t>
      </w:r>
      <w:r>
        <w:t>private, community and local government interest in the future development of this asset however no defined scope, commitment</w:t>
      </w:r>
      <w:r>
        <w:rPr>
          <w:spacing w:val="-1"/>
        </w:rPr>
        <w:t xml:space="preserve"> </w:t>
      </w:r>
      <w:r>
        <w:t>or</w:t>
      </w:r>
      <w:r>
        <w:rPr>
          <w:spacing w:val="-4"/>
        </w:rPr>
        <w:t xml:space="preserve"> </w:t>
      </w:r>
      <w:r>
        <w:t>contribution</w:t>
      </w:r>
      <w:r>
        <w:rPr>
          <w:spacing w:val="-5"/>
        </w:rPr>
        <w:t xml:space="preserve"> </w:t>
      </w:r>
      <w:r>
        <w:t>that</w:t>
      </w:r>
      <w:r>
        <w:rPr>
          <w:spacing w:val="-3"/>
        </w:rPr>
        <w:t xml:space="preserve"> </w:t>
      </w:r>
      <w:r>
        <w:t>has</w:t>
      </w:r>
      <w:r>
        <w:rPr>
          <w:spacing w:val="-4"/>
        </w:rPr>
        <w:t xml:space="preserve"> </w:t>
      </w:r>
      <w:r>
        <w:t>been,</w:t>
      </w:r>
      <w:r>
        <w:rPr>
          <w:spacing w:val="-4"/>
        </w:rPr>
        <w:t xml:space="preserve"> </w:t>
      </w:r>
      <w:r>
        <w:t>or</w:t>
      </w:r>
      <w:r>
        <w:rPr>
          <w:spacing w:val="-4"/>
        </w:rPr>
        <w:t xml:space="preserve"> </w:t>
      </w:r>
      <w:r>
        <w:t>will</w:t>
      </w:r>
      <w:r>
        <w:rPr>
          <w:spacing w:val="-3"/>
        </w:rPr>
        <w:t xml:space="preserve"> </w:t>
      </w:r>
      <w:r>
        <w:t>be</w:t>
      </w:r>
      <w:r>
        <w:rPr>
          <w:spacing w:val="-4"/>
        </w:rPr>
        <w:t xml:space="preserve"> </w:t>
      </w:r>
      <w:r>
        <w:t>made</w:t>
      </w:r>
      <w:r>
        <w:rPr>
          <w:spacing w:val="-3"/>
        </w:rPr>
        <w:t xml:space="preserve"> </w:t>
      </w:r>
      <w:r>
        <w:t>until</w:t>
      </w:r>
      <w:r>
        <w:rPr>
          <w:spacing w:val="-5"/>
        </w:rPr>
        <w:t xml:space="preserve"> </w:t>
      </w:r>
      <w:r>
        <w:t>the</w:t>
      </w:r>
      <w:r>
        <w:rPr>
          <w:spacing w:val="-5"/>
        </w:rPr>
        <w:t xml:space="preserve"> </w:t>
      </w:r>
      <w:r>
        <w:t>building</w:t>
      </w:r>
      <w:r>
        <w:rPr>
          <w:spacing w:val="-3"/>
        </w:rPr>
        <w:t xml:space="preserve"> </w:t>
      </w:r>
      <w:r>
        <w:t>is</w:t>
      </w:r>
      <w:r>
        <w:rPr>
          <w:spacing w:val="-4"/>
        </w:rPr>
        <w:t xml:space="preserve"> </w:t>
      </w:r>
      <w:r>
        <w:t>compliant</w:t>
      </w:r>
      <w:r>
        <w:rPr>
          <w:spacing w:val="-5"/>
        </w:rPr>
        <w:t xml:space="preserve"> </w:t>
      </w:r>
      <w:r>
        <w:t>with</w:t>
      </w:r>
      <w:r>
        <w:rPr>
          <w:spacing w:val="-3"/>
        </w:rPr>
        <w:t xml:space="preserve"> </w:t>
      </w:r>
      <w:r>
        <w:t>the</w:t>
      </w:r>
      <w:r>
        <w:rPr>
          <w:spacing w:val="-4"/>
        </w:rPr>
        <w:t xml:space="preserve"> </w:t>
      </w:r>
      <w:r>
        <w:t>appropriate standards. This means that there are a range of options to explore with a spectrum of potential impacts to customers depending on the pathway selected. At this stage, detail regarding whether costs will be borne by customers is unknown.</w:t>
      </w:r>
    </w:p>
    <w:p w14:paraId="3DE1CEC5" w14:textId="77777777" w:rsidR="00141B97" w:rsidRDefault="00141B97">
      <w:pPr>
        <w:pStyle w:val="BodyText"/>
        <w:spacing w:before="1"/>
        <w:rPr>
          <w:sz w:val="31"/>
        </w:rPr>
      </w:pPr>
    </w:p>
    <w:p w14:paraId="1AC63D93" w14:textId="77777777" w:rsidR="00141B97" w:rsidRDefault="00911D63">
      <w:pPr>
        <w:pStyle w:val="Heading2"/>
        <w:numPr>
          <w:ilvl w:val="1"/>
          <w:numId w:val="37"/>
        </w:numPr>
        <w:tabs>
          <w:tab w:val="left" w:pos="1112"/>
          <w:tab w:val="left" w:pos="1113"/>
        </w:tabs>
        <w:rPr>
          <w:color w:val="009BAC"/>
        </w:rPr>
      </w:pPr>
      <w:r>
        <w:rPr>
          <w:color w:val="009BAC"/>
        </w:rPr>
        <w:t>Other</w:t>
      </w:r>
      <w:r>
        <w:rPr>
          <w:color w:val="009BAC"/>
          <w:spacing w:val="-7"/>
        </w:rPr>
        <w:t xml:space="preserve"> </w:t>
      </w:r>
      <w:r>
        <w:rPr>
          <w:color w:val="009BAC"/>
          <w:spacing w:val="-2"/>
        </w:rPr>
        <w:t>Revenues</w:t>
      </w:r>
    </w:p>
    <w:p w14:paraId="4234FA5B" w14:textId="77777777" w:rsidR="00141B97" w:rsidRDefault="00141B97">
      <w:pPr>
        <w:pStyle w:val="BodyText"/>
        <w:spacing w:before="9"/>
        <w:rPr>
          <w:sz w:val="20"/>
        </w:rPr>
      </w:pPr>
    </w:p>
    <w:p w14:paraId="0575599E" w14:textId="77777777" w:rsidR="00141B97" w:rsidRDefault="00911D63">
      <w:pPr>
        <w:pStyle w:val="ListParagraph"/>
        <w:numPr>
          <w:ilvl w:val="2"/>
          <w:numId w:val="37"/>
        </w:numPr>
        <w:tabs>
          <w:tab w:val="left" w:pos="1112"/>
          <w:tab w:val="left" w:pos="1113"/>
        </w:tabs>
        <w:ind w:left="1112"/>
        <w:jc w:val="both"/>
      </w:pPr>
      <w:r>
        <w:t>Pass</w:t>
      </w:r>
      <w:r>
        <w:rPr>
          <w:spacing w:val="-8"/>
        </w:rPr>
        <w:t xml:space="preserve"> </w:t>
      </w:r>
      <w:r>
        <w:t>Through</w:t>
      </w:r>
      <w:r>
        <w:rPr>
          <w:spacing w:val="-7"/>
        </w:rPr>
        <w:t xml:space="preserve"> </w:t>
      </w:r>
      <w:r>
        <w:rPr>
          <w:spacing w:val="-4"/>
        </w:rPr>
        <w:t>Fees</w:t>
      </w:r>
    </w:p>
    <w:p w14:paraId="01FBACBD" w14:textId="77777777" w:rsidR="00141B97" w:rsidRDefault="00911D63">
      <w:pPr>
        <w:pStyle w:val="BodyText"/>
        <w:spacing w:before="59"/>
        <w:ind w:left="114" w:right="962"/>
      </w:pPr>
      <w:r>
        <w:t>LMW levies ‘pass through’ fees, raised on behalf of other agencies and the revenue collected is remitted by</w:t>
      </w:r>
      <w:r>
        <w:rPr>
          <w:spacing w:val="80"/>
        </w:rPr>
        <w:t xml:space="preserve"> </w:t>
      </w:r>
      <w:r>
        <w:t>LMW to those agencies. The charges which are levied by LMW on behalf of other agencies are:</w:t>
      </w:r>
    </w:p>
    <w:p w14:paraId="2F1E73D3" w14:textId="77777777" w:rsidR="00141B97" w:rsidRDefault="00911D63">
      <w:pPr>
        <w:pStyle w:val="ListParagraph"/>
        <w:numPr>
          <w:ilvl w:val="0"/>
          <w:numId w:val="5"/>
        </w:numPr>
        <w:tabs>
          <w:tab w:val="left" w:pos="827"/>
          <w:tab w:val="left" w:pos="828"/>
        </w:tabs>
        <w:spacing w:line="280" w:lineRule="exact"/>
      </w:pPr>
      <w:r>
        <w:t>Spillable</w:t>
      </w:r>
      <w:r>
        <w:rPr>
          <w:spacing w:val="-10"/>
        </w:rPr>
        <w:t xml:space="preserve"> </w:t>
      </w:r>
      <w:r>
        <w:t>water</w:t>
      </w:r>
      <w:r>
        <w:rPr>
          <w:spacing w:val="-10"/>
        </w:rPr>
        <w:t xml:space="preserve"> </w:t>
      </w:r>
      <w:r>
        <w:rPr>
          <w:spacing w:val="-4"/>
        </w:rPr>
        <w:t>fee.</w:t>
      </w:r>
    </w:p>
    <w:p w14:paraId="3E4E4317" w14:textId="77777777" w:rsidR="00141B97" w:rsidRDefault="00911D63">
      <w:pPr>
        <w:pStyle w:val="ListParagraph"/>
        <w:numPr>
          <w:ilvl w:val="0"/>
          <w:numId w:val="5"/>
        </w:numPr>
        <w:tabs>
          <w:tab w:val="left" w:pos="827"/>
          <w:tab w:val="left" w:pos="828"/>
        </w:tabs>
        <w:spacing w:line="280" w:lineRule="exact"/>
      </w:pPr>
      <w:r>
        <w:t>Water</w:t>
      </w:r>
      <w:r>
        <w:rPr>
          <w:spacing w:val="-11"/>
        </w:rPr>
        <w:t xml:space="preserve"> </w:t>
      </w:r>
      <w:r>
        <w:t>storage</w:t>
      </w:r>
      <w:r>
        <w:rPr>
          <w:spacing w:val="-10"/>
        </w:rPr>
        <w:t xml:space="preserve"> </w:t>
      </w:r>
      <w:r>
        <w:t>entitlement</w:t>
      </w:r>
      <w:r>
        <w:rPr>
          <w:spacing w:val="-10"/>
        </w:rPr>
        <w:t xml:space="preserve"> </w:t>
      </w:r>
      <w:r>
        <w:rPr>
          <w:spacing w:val="-2"/>
        </w:rPr>
        <w:t>fees.</w:t>
      </w:r>
    </w:p>
    <w:p w14:paraId="5B70A73D" w14:textId="77777777" w:rsidR="00141B97" w:rsidRDefault="00911D63">
      <w:pPr>
        <w:pStyle w:val="ListParagraph"/>
        <w:numPr>
          <w:ilvl w:val="0"/>
          <w:numId w:val="5"/>
        </w:numPr>
        <w:tabs>
          <w:tab w:val="left" w:pos="827"/>
          <w:tab w:val="left" w:pos="828"/>
        </w:tabs>
        <w:spacing w:line="280" w:lineRule="exact"/>
      </w:pPr>
      <w:r>
        <w:t>Mallee</w:t>
      </w:r>
      <w:r>
        <w:rPr>
          <w:spacing w:val="-10"/>
        </w:rPr>
        <w:t xml:space="preserve"> </w:t>
      </w:r>
      <w:r>
        <w:t>Catchment</w:t>
      </w:r>
      <w:r>
        <w:rPr>
          <w:spacing w:val="-10"/>
        </w:rPr>
        <w:t xml:space="preserve"> </w:t>
      </w:r>
      <w:r>
        <w:t>Management</w:t>
      </w:r>
      <w:r>
        <w:rPr>
          <w:spacing w:val="-12"/>
        </w:rPr>
        <w:t xml:space="preserve"> </w:t>
      </w:r>
      <w:r>
        <w:t>Authority</w:t>
      </w:r>
      <w:r>
        <w:rPr>
          <w:spacing w:val="-11"/>
        </w:rPr>
        <w:t xml:space="preserve"> </w:t>
      </w:r>
      <w:r>
        <w:t>(MCMA)</w:t>
      </w:r>
      <w:r>
        <w:rPr>
          <w:spacing w:val="-9"/>
        </w:rPr>
        <w:t xml:space="preserve"> </w:t>
      </w:r>
      <w:r>
        <w:t>Salinity</w:t>
      </w:r>
      <w:r>
        <w:rPr>
          <w:spacing w:val="-10"/>
        </w:rPr>
        <w:t xml:space="preserve"> </w:t>
      </w:r>
      <w:r>
        <w:rPr>
          <w:spacing w:val="-2"/>
        </w:rPr>
        <w:t>Levy.</w:t>
      </w:r>
    </w:p>
    <w:p w14:paraId="0BCCBFDB" w14:textId="77777777" w:rsidR="00141B97" w:rsidRDefault="00911D63">
      <w:pPr>
        <w:pStyle w:val="ListParagraph"/>
        <w:numPr>
          <w:ilvl w:val="0"/>
          <w:numId w:val="5"/>
        </w:numPr>
        <w:tabs>
          <w:tab w:val="left" w:pos="827"/>
          <w:tab w:val="left" w:pos="828"/>
        </w:tabs>
        <w:spacing w:before="1"/>
      </w:pPr>
      <w:r>
        <w:t>DSE</w:t>
      </w:r>
      <w:r>
        <w:rPr>
          <w:spacing w:val="-7"/>
        </w:rPr>
        <w:t xml:space="preserve"> </w:t>
      </w:r>
      <w:r>
        <w:t>water</w:t>
      </w:r>
      <w:r>
        <w:rPr>
          <w:spacing w:val="-5"/>
        </w:rPr>
        <w:t xml:space="preserve"> </w:t>
      </w:r>
      <w:r>
        <w:t>share</w:t>
      </w:r>
      <w:r>
        <w:rPr>
          <w:spacing w:val="-6"/>
        </w:rPr>
        <w:t xml:space="preserve"> </w:t>
      </w:r>
      <w:r>
        <w:rPr>
          <w:spacing w:val="-2"/>
        </w:rPr>
        <w:t>fees.</w:t>
      </w:r>
    </w:p>
    <w:p w14:paraId="48E8EF3A" w14:textId="77777777" w:rsidR="00141B97" w:rsidRDefault="00141B97">
      <w:pPr>
        <w:sectPr w:rsidR="00141B97">
          <w:pgSz w:w="11910" w:h="16840"/>
          <w:pgMar w:top="820" w:right="40" w:bottom="780" w:left="1020" w:header="0" w:footer="586" w:gutter="0"/>
          <w:cols w:space="720"/>
        </w:sectPr>
      </w:pPr>
    </w:p>
    <w:p w14:paraId="2B2E6687" w14:textId="77777777" w:rsidR="00141B97" w:rsidRDefault="00911D63">
      <w:pPr>
        <w:pStyle w:val="BodyText"/>
        <w:spacing w:before="31"/>
        <w:ind w:left="114" w:right="946" w:hanging="1"/>
        <w:jc w:val="both"/>
      </w:pPr>
      <w:r>
        <w:lastRenderedPageBreak/>
        <w:t>The revenue expected to be raised from these charges are included as other revenue. The amount of the fees is also included in LMW’s cost base, ensuring that the pass through of these fees has no effect on the tariffs levied by LMW on its customers. Table C26 summarises the revenue from pass through fees.</w:t>
      </w:r>
    </w:p>
    <w:p w14:paraId="2E201672" w14:textId="77777777" w:rsidR="00141B97" w:rsidRDefault="00141B97">
      <w:pPr>
        <w:pStyle w:val="BodyText"/>
        <w:spacing w:before="6"/>
        <w:rPr>
          <w:sz w:val="17"/>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519"/>
        <w:gridCol w:w="924"/>
        <w:gridCol w:w="926"/>
        <w:gridCol w:w="926"/>
        <w:gridCol w:w="925"/>
        <w:gridCol w:w="926"/>
        <w:gridCol w:w="926"/>
        <w:gridCol w:w="925"/>
        <w:gridCol w:w="922"/>
      </w:tblGrid>
      <w:tr w:rsidR="00141B97" w14:paraId="0CD8785C" w14:textId="77777777">
        <w:trPr>
          <w:trHeight w:val="255"/>
          <w:tblCellSpacing w:w="9" w:type="dxa"/>
        </w:trPr>
        <w:tc>
          <w:tcPr>
            <w:tcW w:w="2492" w:type="dxa"/>
            <w:tcBorders>
              <w:top w:val="nil"/>
              <w:left w:val="nil"/>
            </w:tcBorders>
            <w:shd w:val="clear" w:color="auto" w:fill="006CA3"/>
          </w:tcPr>
          <w:p w14:paraId="2009DF3E" w14:textId="77777777" w:rsidR="00141B97" w:rsidRDefault="00911D63">
            <w:pPr>
              <w:pStyle w:val="TableParagraph"/>
              <w:spacing w:before="19" w:line="216" w:lineRule="exact"/>
              <w:ind w:left="88"/>
              <w:rPr>
                <w:sz w:val="18"/>
              </w:rPr>
            </w:pPr>
            <w:r>
              <w:rPr>
                <w:color w:val="FFFFFF"/>
                <w:spacing w:val="-2"/>
                <w:sz w:val="18"/>
              </w:rPr>
              <w:t>Component</w:t>
            </w:r>
          </w:p>
        </w:tc>
        <w:tc>
          <w:tcPr>
            <w:tcW w:w="7247" w:type="dxa"/>
            <w:gridSpan w:val="8"/>
            <w:tcBorders>
              <w:top w:val="nil"/>
              <w:right w:val="nil"/>
            </w:tcBorders>
            <w:shd w:val="clear" w:color="auto" w:fill="006CA3"/>
          </w:tcPr>
          <w:p w14:paraId="35C62078" w14:textId="77777777" w:rsidR="00141B97" w:rsidRDefault="00911D63">
            <w:pPr>
              <w:pStyle w:val="TableParagraph"/>
              <w:tabs>
                <w:tab w:val="left" w:pos="3694"/>
              </w:tabs>
              <w:spacing w:before="19" w:line="216" w:lineRule="exact"/>
              <w:ind w:left="97"/>
              <w:rPr>
                <w:sz w:val="18"/>
              </w:rPr>
            </w:pPr>
            <w:r>
              <w:rPr>
                <w:color w:val="FFFFFF"/>
                <w:sz w:val="18"/>
              </w:rPr>
              <w:t>Current</w:t>
            </w:r>
            <w:r>
              <w:rPr>
                <w:color w:val="FFFFFF"/>
                <w:spacing w:val="1"/>
                <w:sz w:val="18"/>
              </w:rPr>
              <w:t xml:space="preserve"> </w:t>
            </w:r>
            <w:r>
              <w:rPr>
                <w:color w:val="FFFFFF"/>
                <w:spacing w:val="-2"/>
                <w:sz w:val="18"/>
              </w:rPr>
              <w:t>Period</w:t>
            </w:r>
            <w:r>
              <w:rPr>
                <w:color w:val="FFFFFF"/>
                <w:sz w:val="18"/>
              </w:rPr>
              <w:tab/>
              <w:t>Fifth</w:t>
            </w:r>
            <w:r>
              <w:rPr>
                <w:color w:val="FFFFFF"/>
                <w:spacing w:val="-6"/>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2810D9E7" w14:textId="77777777">
        <w:trPr>
          <w:trHeight w:val="256"/>
          <w:tblCellSpacing w:w="9" w:type="dxa"/>
        </w:trPr>
        <w:tc>
          <w:tcPr>
            <w:tcW w:w="2492" w:type="dxa"/>
            <w:tcBorders>
              <w:left w:val="nil"/>
            </w:tcBorders>
            <w:shd w:val="clear" w:color="auto" w:fill="006CA3"/>
          </w:tcPr>
          <w:p w14:paraId="678E0FF3" w14:textId="77777777" w:rsidR="00141B97" w:rsidRDefault="00911D63">
            <w:pPr>
              <w:pStyle w:val="TableParagraph"/>
              <w:spacing w:before="19" w:line="217" w:lineRule="exact"/>
              <w:ind w:left="88"/>
              <w:rPr>
                <w:sz w:val="18"/>
              </w:rPr>
            </w:pPr>
            <w:r>
              <w:rPr>
                <w:color w:val="FFFFFF"/>
                <w:sz w:val="18"/>
              </w:rPr>
              <w:t xml:space="preserve">$m </w:t>
            </w:r>
            <w:r>
              <w:rPr>
                <w:color w:val="FFFFFF"/>
                <w:spacing w:val="-2"/>
                <w:sz w:val="18"/>
              </w:rPr>
              <w:t>1/1/23</w:t>
            </w:r>
          </w:p>
        </w:tc>
        <w:tc>
          <w:tcPr>
            <w:tcW w:w="906" w:type="dxa"/>
            <w:shd w:val="clear" w:color="auto" w:fill="006CA3"/>
          </w:tcPr>
          <w:p w14:paraId="5006D5C3" w14:textId="77777777" w:rsidR="00141B97" w:rsidRDefault="00911D63">
            <w:pPr>
              <w:pStyle w:val="TableParagraph"/>
              <w:spacing w:before="19" w:line="217" w:lineRule="exact"/>
              <w:ind w:right="138"/>
              <w:jc w:val="right"/>
              <w:rPr>
                <w:sz w:val="18"/>
              </w:rPr>
            </w:pPr>
            <w:r>
              <w:rPr>
                <w:color w:val="FFFFFF"/>
                <w:spacing w:val="-2"/>
                <w:sz w:val="18"/>
              </w:rPr>
              <w:t>2021‐22</w:t>
            </w:r>
          </w:p>
        </w:tc>
        <w:tc>
          <w:tcPr>
            <w:tcW w:w="908" w:type="dxa"/>
            <w:shd w:val="clear" w:color="auto" w:fill="006CA3"/>
          </w:tcPr>
          <w:p w14:paraId="314376AD" w14:textId="77777777" w:rsidR="00141B97" w:rsidRDefault="00911D63">
            <w:pPr>
              <w:pStyle w:val="TableParagraph"/>
              <w:spacing w:before="19" w:line="217" w:lineRule="exact"/>
              <w:ind w:right="138"/>
              <w:jc w:val="right"/>
              <w:rPr>
                <w:sz w:val="18"/>
              </w:rPr>
            </w:pPr>
            <w:r>
              <w:rPr>
                <w:color w:val="FFFFFF"/>
                <w:spacing w:val="-2"/>
                <w:sz w:val="18"/>
              </w:rPr>
              <w:t>2022‐23</w:t>
            </w:r>
          </w:p>
        </w:tc>
        <w:tc>
          <w:tcPr>
            <w:tcW w:w="908" w:type="dxa"/>
            <w:shd w:val="clear" w:color="auto" w:fill="006CA3"/>
          </w:tcPr>
          <w:p w14:paraId="042CA6B7" w14:textId="77777777" w:rsidR="00141B97" w:rsidRDefault="00911D63">
            <w:pPr>
              <w:pStyle w:val="TableParagraph"/>
              <w:spacing w:before="19" w:line="217" w:lineRule="exact"/>
              <w:ind w:right="137"/>
              <w:jc w:val="right"/>
              <w:rPr>
                <w:sz w:val="18"/>
              </w:rPr>
            </w:pPr>
            <w:r>
              <w:rPr>
                <w:color w:val="FFFFFF"/>
                <w:spacing w:val="-2"/>
                <w:sz w:val="18"/>
              </w:rPr>
              <w:t>2023‐24</w:t>
            </w:r>
          </w:p>
        </w:tc>
        <w:tc>
          <w:tcPr>
            <w:tcW w:w="907" w:type="dxa"/>
            <w:shd w:val="clear" w:color="auto" w:fill="006CA3"/>
          </w:tcPr>
          <w:p w14:paraId="4004621E" w14:textId="77777777" w:rsidR="00141B97" w:rsidRDefault="00911D63">
            <w:pPr>
              <w:pStyle w:val="TableParagraph"/>
              <w:spacing w:before="19" w:line="217" w:lineRule="exact"/>
              <w:ind w:right="136"/>
              <w:jc w:val="right"/>
              <w:rPr>
                <w:sz w:val="18"/>
              </w:rPr>
            </w:pPr>
            <w:r>
              <w:rPr>
                <w:color w:val="FFFFFF"/>
                <w:spacing w:val="-2"/>
                <w:sz w:val="18"/>
              </w:rPr>
              <w:t>2024‐25</w:t>
            </w:r>
          </w:p>
        </w:tc>
        <w:tc>
          <w:tcPr>
            <w:tcW w:w="908" w:type="dxa"/>
            <w:shd w:val="clear" w:color="auto" w:fill="006CA3"/>
          </w:tcPr>
          <w:p w14:paraId="0334F61D" w14:textId="77777777" w:rsidR="00141B97" w:rsidRDefault="00911D63">
            <w:pPr>
              <w:pStyle w:val="TableParagraph"/>
              <w:spacing w:before="19" w:line="217" w:lineRule="exact"/>
              <w:ind w:right="137"/>
              <w:jc w:val="right"/>
              <w:rPr>
                <w:sz w:val="18"/>
              </w:rPr>
            </w:pPr>
            <w:r>
              <w:rPr>
                <w:color w:val="FFFFFF"/>
                <w:spacing w:val="-2"/>
                <w:sz w:val="18"/>
              </w:rPr>
              <w:t>2025‐26</w:t>
            </w:r>
          </w:p>
        </w:tc>
        <w:tc>
          <w:tcPr>
            <w:tcW w:w="908" w:type="dxa"/>
            <w:shd w:val="clear" w:color="auto" w:fill="006CA3"/>
          </w:tcPr>
          <w:p w14:paraId="21D26884" w14:textId="77777777" w:rsidR="00141B97" w:rsidRDefault="00911D63">
            <w:pPr>
              <w:pStyle w:val="TableParagraph"/>
              <w:spacing w:before="19" w:line="217" w:lineRule="exact"/>
              <w:ind w:right="136"/>
              <w:jc w:val="right"/>
              <w:rPr>
                <w:sz w:val="18"/>
              </w:rPr>
            </w:pPr>
            <w:r>
              <w:rPr>
                <w:color w:val="FFFFFF"/>
                <w:spacing w:val="-2"/>
                <w:sz w:val="18"/>
              </w:rPr>
              <w:t>2026‐27</w:t>
            </w:r>
          </w:p>
        </w:tc>
        <w:tc>
          <w:tcPr>
            <w:tcW w:w="907" w:type="dxa"/>
            <w:shd w:val="clear" w:color="auto" w:fill="006CA3"/>
          </w:tcPr>
          <w:p w14:paraId="2000495A" w14:textId="77777777" w:rsidR="00141B97" w:rsidRDefault="00911D63">
            <w:pPr>
              <w:pStyle w:val="TableParagraph"/>
              <w:spacing w:before="19" w:line="217" w:lineRule="exact"/>
              <w:ind w:right="135"/>
              <w:jc w:val="right"/>
              <w:rPr>
                <w:sz w:val="18"/>
              </w:rPr>
            </w:pPr>
            <w:r>
              <w:rPr>
                <w:color w:val="FFFFFF"/>
                <w:spacing w:val="-2"/>
                <w:sz w:val="18"/>
              </w:rPr>
              <w:t>2027‐28</w:t>
            </w:r>
          </w:p>
        </w:tc>
        <w:tc>
          <w:tcPr>
            <w:tcW w:w="895" w:type="dxa"/>
            <w:tcBorders>
              <w:right w:val="nil"/>
            </w:tcBorders>
            <w:shd w:val="clear" w:color="auto" w:fill="006CA3"/>
          </w:tcPr>
          <w:p w14:paraId="460AD16B" w14:textId="77777777" w:rsidR="00141B97" w:rsidRDefault="00911D63">
            <w:pPr>
              <w:pStyle w:val="TableParagraph"/>
              <w:spacing w:before="19" w:line="217" w:lineRule="exact"/>
              <w:ind w:left="209"/>
              <w:rPr>
                <w:sz w:val="18"/>
              </w:rPr>
            </w:pPr>
            <w:r>
              <w:rPr>
                <w:color w:val="FFFFFF"/>
                <w:spacing w:val="-2"/>
                <w:sz w:val="18"/>
              </w:rPr>
              <w:t>TOTAL</w:t>
            </w:r>
          </w:p>
        </w:tc>
      </w:tr>
      <w:tr w:rsidR="00141B97" w14:paraId="3C4B9E73" w14:textId="77777777">
        <w:trPr>
          <w:trHeight w:val="269"/>
          <w:tblCellSpacing w:w="9" w:type="dxa"/>
        </w:trPr>
        <w:tc>
          <w:tcPr>
            <w:tcW w:w="2492" w:type="dxa"/>
            <w:tcBorders>
              <w:left w:val="nil"/>
            </w:tcBorders>
            <w:shd w:val="clear" w:color="auto" w:fill="CCE2ED"/>
          </w:tcPr>
          <w:p w14:paraId="29843934" w14:textId="77777777" w:rsidR="00141B97" w:rsidRDefault="00911D63">
            <w:pPr>
              <w:pStyle w:val="TableParagraph"/>
              <w:spacing w:before="25"/>
              <w:ind w:left="88"/>
              <w:rPr>
                <w:sz w:val="18"/>
              </w:rPr>
            </w:pPr>
            <w:r>
              <w:rPr>
                <w:sz w:val="18"/>
              </w:rPr>
              <w:t>Spillable</w:t>
            </w:r>
            <w:r>
              <w:rPr>
                <w:spacing w:val="-1"/>
                <w:sz w:val="18"/>
              </w:rPr>
              <w:t xml:space="preserve"> </w:t>
            </w:r>
            <w:r>
              <w:rPr>
                <w:spacing w:val="-2"/>
                <w:sz w:val="18"/>
              </w:rPr>
              <w:t>water</w:t>
            </w:r>
          </w:p>
        </w:tc>
        <w:tc>
          <w:tcPr>
            <w:tcW w:w="906" w:type="dxa"/>
            <w:shd w:val="clear" w:color="auto" w:fill="CCE2ED"/>
          </w:tcPr>
          <w:p w14:paraId="509341E7" w14:textId="77777777" w:rsidR="00141B97" w:rsidRDefault="00911D63">
            <w:pPr>
              <w:pStyle w:val="TableParagraph"/>
              <w:spacing w:before="25"/>
              <w:ind w:right="95"/>
              <w:jc w:val="right"/>
              <w:rPr>
                <w:sz w:val="18"/>
              </w:rPr>
            </w:pPr>
            <w:r>
              <w:rPr>
                <w:sz w:val="18"/>
              </w:rPr>
              <w:t>‐</w:t>
            </w:r>
          </w:p>
        </w:tc>
        <w:tc>
          <w:tcPr>
            <w:tcW w:w="908" w:type="dxa"/>
            <w:shd w:val="clear" w:color="auto" w:fill="CCE2ED"/>
          </w:tcPr>
          <w:p w14:paraId="3C5415BB" w14:textId="77777777" w:rsidR="00141B97" w:rsidRDefault="00911D63">
            <w:pPr>
              <w:pStyle w:val="TableParagraph"/>
              <w:spacing w:before="25"/>
              <w:ind w:right="95"/>
              <w:jc w:val="right"/>
              <w:rPr>
                <w:sz w:val="18"/>
              </w:rPr>
            </w:pPr>
            <w:r>
              <w:rPr>
                <w:sz w:val="18"/>
              </w:rPr>
              <w:t>‐</w:t>
            </w:r>
          </w:p>
        </w:tc>
        <w:tc>
          <w:tcPr>
            <w:tcW w:w="908" w:type="dxa"/>
            <w:shd w:val="clear" w:color="auto" w:fill="CCE2ED"/>
          </w:tcPr>
          <w:p w14:paraId="00D28679" w14:textId="77777777" w:rsidR="00141B97" w:rsidRDefault="00911D63">
            <w:pPr>
              <w:pStyle w:val="TableParagraph"/>
              <w:spacing w:before="25"/>
              <w:ind w:right="94"/>
              <w:jc w:val="right"/>
              <w:rPr>
                <w:sz w:val="18"/>
              </w:rPr>
            </w:pPr>
            <w:r>
              <w:rPr>
                <w:sz w:val="18"/>
              </w:rPr>
              <w:t>‐</w:t>
            </w:r>
          </w:p>
        </w:tc>
        <w:tc>
          <w:tcPr>
            <w:tcW w:w="907" w:type="dxa"/>
            <w:shd w:val="clear" w:color="auto" w:fill="CCE2ED"/>
          </w:tcPr>
          <w:p w14:paraId="277D73C6" w14:textId="77777777" w:rsidR="00141B97" w:rsidRDefault="00911D63">
            <w:pPr>
              <w:pStyle w:val="TableParagraph"/>
              <w:spacing w:before="25"/>
              <w:ind w:right="93"/>
              <w:jc w:val="right"/>
              <w:rPr>
                <w:sz w:val="18"/>
              </w:rPr>
            </w:pPr>
            <w:r>
              <w:rPr>
                <w:sz w:val="18"/>
              </w:rPr>
              <w:t>‐</w:t>
            </w:r>
          </w:p>
        </w:tc>
        <w:tc>
          <w:tcPr>
            <w:tcW w:w="908" w:type="dxa"/>
            <w:shd w:val="clear" w:color="auto" w:fill="CCE2ED"/>
          </w:tcPr>
          <w:p w14:paraId="12CF4608" w14:textId="77777777" w:rsidR="00141B97" w:rsidRDefault="00911D63">
            <w:pPr>
              <w:pStyle w:val="TableParagraph"/>
              <w:spacing w:before="25"/>
              <w:ind w:right="94"/>
              <w:jc w:val="right"/>
              <w:rPr>
                <w:sz w:val="18"/>
              </w:rPr>
            </w:pPr>
            <w:r>
              <w:rPr>
                <w:sz w:val="18"/>
              </w:rPr>
              <w:t>‐</w:t>
            </w:r>
          </w:p>
        </w:tc>
        <w:tc>
          <w:tcPr>
            <w:tcW w:w="908" w:type="dxa"/>
            <w:shd w:val="clear" w:color="auto" w:fill="CCE2ED"/>
          </w:tcPr>
          <w:p w14:paraId="34BE4A61" w14:textId="77777777" w:rsidR="00141B97" w:rsidRDefault="00911D63">
            <w:pPr>
              <w:pStyle w:val="TableParagraph"/>
              <w:spacing w:before="25"/>
              <w:ind w:right="93"/>
              <w:jc w:val="right"/>
              <w:rPr>
                <w:sz w:val="18"/>
              </w:rPr>
            </w:pPr>
            <w:r>
              <w:rPr>
                <w:sz w:val="18"/>
              </w:rPr>
              <w:t>‐</w:t>
            </w:r>
          </w:p>
        </w:tc>
        <w:tc>
          <w:tcPr>
            <w:tcW w:w="907" w:type="dxa"/>
            <w:shd w:val="clear" w:color="auto" w:fill="CCE2ED"/>
          </w:tcPr>
          <w:p w14:paraId="0338468B" w14:textId="77777777" w:rsidR="00141B97" w:rsidRDefault="00911D63">
            <w:pPr>
              <w:pStyle w:val="TableParagraph"/>
              <w:spacing w:before="25"/>
              <w:ind w:right="92"/>
              <w:jc w:val="right"/>
              <w:rPr>
                <w:sz w:val="18"/>
              </w:rPr>
            </w:pPr>
            <w:r>
              <w:rPr>
                <w:sz w:val="18"/>
              </w:rPr>
              <w:t>‐</w:t>
            </w:r>
          </w:p>
        </w:tc>
        <w:tc>
          <w:tcPr>
            <w:tcW w:w="895" w:type="dxa"/>
            <w:tcBorders>
              <w:right w:val="nil"/>
            </w:tcBorders>
            <w:shd w:val="clear" w:color="auto" w:fill="CCE2ED"/>
          </w:tcPr>
          <w:p w14:paraId="20F6EF6B" w14:textId="77777777" w:rsidR="00141B97" w:rsidRDefault="00911D63">
            <w:pPr>
              <w:pStyle w:val="TableParagraph"/>
              <w:spacing w:before="25"/>
              <w:ind w:right="84"/>
              <w:jc w:val="right"/>
              <w:rPr>
                <w:sz w:val="18"/>
              </w:rPr>
            </w:pPr>
            <w:r>
              <w:rPr>
                <w:spacing w:val="-4"/>
                <w:sz w:val="18"/>
              </w:rPr>
              <w:t>0.00</w:t>
            </w:r>
          </w:p>
        </w:tc>
      </w:tr>
      <w:tr w:rsidR="00141B97" w14:paraId="25FB35E2" w14:textId="77777777">
        <w:trPr>
          <w:trHeight w:val="270"/>
          <w:tblCellSpacing w:w="9" w:type="dxa"/>
        </w:trPr>
        <w:tc>
          <w:tcPr>
            <w:tcW w:w="2492" w:type="dxa"/>
            <w:tcBorders>
              <w:left w:val="nil"/>
            </w:tcBorders>
            <w:shd w:val="clear" w:color="auto" w:fill="CCE2ED"/>
          </w:tcPr>
          <w:p w14:paraId="3C0A67F3" w14:textId="77777777" w:rsidR="00141B97" w:rsidRDefault="00911D63">
            <w:pPr>
              <w:pStyle w:val="TableParagraph"/>
              <w:spacing w:before="26"/>
              <w:ind w:left="88"/>
              <w:rPr>
                <w:sz w:val="18"/>
              </w:rPr>
            </w:pPr>
            <w:r>
              <w:rPr>
                <w:sz w:val="18"/>
              </w:rPr>
              <w:t>Storage</w:t>
            </w:r>
            <w:r>
              <w:rPr>
                <w:spacing w:val="-5"/>
                <w:sz w:val="18"/>
              </w:rPr>
              <w:t xml:space="preserve"> </w:t>
            </w:r>
            <w:r>
              <w:rPr>
                <w:sz w:val="18"/>
              </w:rPr>
              <w:t>entitlement</w:t>
            </w:r>
            <w:r>
              <w:rPr>
                <w:spacing w:val="-5"/>
                <w:sz w:val="18"/>
              </w:rPr>
              <w:t xml:space="preserve"> </w:t>
            </w:r>
            <w:r>
              <w:rPr>
                <w:spacing w:val="-4"/>
                <w:sz w:val="18"/>
              </w:rPr>
              <w:t>fees</w:t>
            </w:r>
          </w:p>
        </w:tc>
        <w:tc>
          <w:tcPr>
            <w:tcW w:w="906" w:type="dxa"/>
            <w:shd w:val="clear" w:color="auto" w:fill="CCE2ED"/>
          </w:tcPr>
          <w:p w14:paraId="7642A00E" w14:textId="77777777" w:rsidR="00141B97" w:rsidRDefault="00911D63">
            <w:pPr>
              <w:pStyle w:val="TableParagraph"/>
              <w:spacing w:before="26"/>
              <w:ind w:right="95"/>
              <w:jc w:val="right"/>
              <w:rPr>
                <w:sz w:val="18"/>
              </w:rPr>
            </w:pPr>
            <w:r>
              <w:rPr>
                <w:spacing w:val="-4"/>
                <w:sz w:val="18"/>
              </w:rPr>
              <w:t>3.12</w:t>
            </w:r>
          </w:p>
        </w:tc>
        <w:tc>
          <w:tcPr>
            <w:tcW w:w="908" w:type="dxa"/>
            <w:shd w:val="clear" w:color="auto" w:fill="CCE2ED"/>
          </w:tcPr>
          <w:p w14:paraId="75031D90" w14:textId="77777777" w:rsidR="00141B97" w:rsidRDefault="00911D63">
            <w:pPr>
              <w:pStyle w:val="TableParagraph"/>
              <w:spacing w:before="26"/>
              <w:ind w:right="95"/>
              <w:jc w:val="right"/>
              <w:rPr>
                <w:sz w:val="18"/>
              </w:rPr>
            </w:pPr>
            <w:r>
              <w:rPr>
                <w:spacing w:val="-4"/>
                <w:sz w:val="18"/>
              </w:rPr>
              <w:t>3.03</w:t>
            </w:r>
          </w:p>
        </w:tc>
        <w:tc>
          <w:tcPr>
            <w:tcW w:w="908" w:type="dxa"/>
            <w:shd w:val="clear" w:color="auto" w:fill="CCE2ED"/>
          </w:tcPr>
          <w:p w14:paraId="13920D7C" w14:textId="77777777" w:rsidR="00141B97" w:rsidRDefault="00911D63">
            <w:pPr>
              <w:pStyle w:val="TableParagraph"/>
              <w:spacing w:before="26"/>
              <w:ind w:right="94"/>
              <w:jc w:val="right"/>
              <w:rPr>
                <w:sz w:val="18"/>
              </w:rPr>
            </w:pPr>
            <w:r>
              <w:rPr>
                <w:spacing w:val="-4"/>
                <w:sz w:val="18"/>
              </w:rPr>
              <w:t>3.16</w:t>
            </w:r>
          </w:p>
        </w:tc>
        <w:tc>
          <w:tcPr>
            <w:tcW w:w="907" w:type="dxa"/>
            <w:shd w:val="clear" w:color="auto" w:fill="CCE2ED"/>
          </w:tcPr>
          <w:p w14:paraId="651BFE60" w14:textId="77777777" w:rsidR="00141B97" w:rsidRDefault="00911D63">
            <w:pPr>
              <w:pStyle w:val="TableParagraph"/>
              <w:spacing w:before="26"/>
              <w:ind w:right="93"/>
              <w:jc w:val="right"/>
              <w:rPr>
                <w:sz w:val="18"/>
              </w:rPr>
            </w:pPr>
            <w:r>
              <w:rPr>
                <w:spacing w:val="-4"/>
                <w:sz w:val="18"/>
              </w:rPr>
              <w:t>3.27</w:t>
            </w:r>
          </w:p>
        </w:tc>
        <w:tc>
          <w:tcPr>
            <w:tcW w:w="908" w:type="dxa"/>
            <w:shd w:val="clear" w:color="auto" w:fill="CCE2ED"/>
          </w:tcPr>
          <w:p w14:paraId="7DFA88C8" w14:textId="77777777" w:rsidR="00141B97" w:rsidRDefault="00911D63">
            <w:pPr>
              <w:pStyle w:val="TableParagraph"/>
              <w:spacing w:before="26"/>
              <w:ind w:right="94"/>
              <w:jc w:val="right"/>
              <w:rPr>
                <w:sz w:val="18"/>
              </w:rPr>
            </w:pPr>
            <w:r>
              <w:rPr>
                <w:spacing w:val="-4"/>
                <w:sz w:val="18"/>
              </w:rPr>
              <w:t>3.38</w:t>
            </w:r>
          </w:p>
        </w:tc>
        <w:tc>
          <w:tcPr>
            <w:tcW w:w="908" w:type="dxa"/>
            <w:shd w:val="clear" w:color="auto" w:fill="CCE2ED"/>
          </w:tcPr>
          <w:p w14:paraId="0F5E4DAE" w14:textId="77777777" w:rsidR="00141B97" w:rsidRDefault="00911D63">
            <w:pPr>
              <w:pStyle w:val="TableParagraph"/>
              <w:spacing w:before="26"/>
              <w:ind w:right="93"/>
              <w:jc w:val="right"/>
              <w:rPr>
                <w:sz w:val="18"/>
              </w:rPr>
            </w:pPr>
            <w:r>
              <w:rPr>
                <w:spacing w:val="-4"/>
                <w:sz w:val="18"/>
              </w:rPr>
              <w:t>3.48</w:t>
            </w:r>
          </w:p>
        </w:tc>
        <w:tc>
          <w:tcPr>
            <w:tcW w:w="907" w:type="dxa"/>
            <w:shd w:val="clear" w:color="auto" w:fill="CCE2ED"/>
          </w:tcPr>
          <w:p w14:paraId="2FD6CAC7" w14:textId="77777777" w:rsidR="00141B97" w:rsidRDefault="00911D63">
            <w:pPr>
              <w:pStyle w:val="TableParagraph"/>
              <w:spacing w:before="26"/>
              <w:ind w:right="92"/>
              <w:jc w:val="right"/>
              <w:rPr>
                <w:sz w:val="18"/>
              </w:rPr>
            </w:pPr>
            <w:r>
              <w:rPr>
                <w:spacing w:val="-4"/>
                <w:sz w:val="18"/>
              </w:rPr>
              <w:t>3.45</w:t>
            </w:r>
          </w:p>
        </w:tc>
        <w:tc>
          <w:tcPr>
            <w:tcW w:w="895" w:type="dxa"/>
            <w:tcBorders>
              <w:right w:val="nil"/>
            </w:tcBorders>
            <w:shd w:val="clear" w:color="auto" w:fill="CCE2ED"/>
          </w:tcPr>
          <w:p w14:paraId="5E2E0178" w14:textId="77777777" w:rsidR="00141B97" w:rsidRDefault="00911D63">
            <w:pPr>
              <w:pStyle w:val="TableParagraph"/>
              <w:spacing w:before="26"/>
              <w:ind w:right="84"/>
              <w:jc w:val="right"/>
              <w:rPr>
                <w:sz w:val="18"/>
              </w:rPr>
            </w:pPr>
            <w:r>
              <w:rPr>
                <w:spacing w:val="-2"/>
                <w:sz w:val="18"/>
              </w:rPr>
              <w:t>16.73</w:t>
            </w:r>
          </w:p>
        </w:tc>
      </w:tr>
      <w:tr w:rsidR="00141B97" w14:paraId="3AFE6597" w14:textId="77777777">
        <w:trPr>
          <w:trHeight w:val="270"/>
          <w:tblCellSpacing w:w="9" w:type="dxa"/>
        </w:trPr>
        <w:tc>
          <w:tcPr>
            <w:tcW w:w="2492" w:type="dxa"/>
            <w:tcBorders>
              <w:left w:val="nil"/>
            </w:tcBorders>
            <w:shd w:val="clear" w:color="auto" w:fill="CCE2ED"/>
          </w:tcPr>
          <w:p w14:paraId="314ED80C" w14:textId="77777777" w:rsidR="00141B97" w:rsidRDefault="00911D63">
            <w:pPr>
              <w:pStyle w:val="TableParagraph"/>
              <w:spacing w:before="26"/>
              <w:ind w:left="88"/>
              <w:rPr>
                <w:sz w:val="18"/>
              </w:rPr>
            </w:pPr>
            <w:r>
              <w:rPr>
                <w:sz w:val="18"/>
              </w:rPr>
              <w:t>Water</w:t>
            </w:r>
            <w:r>
              <w:rPr>
                <w:spacing w:val="-3"/>
                <w:sz w:val="18"/>
              </w:rPr>
              <w:t xml:space="preserve"> </w:t>
            </w:r>
            <w:r>
              <w:rPr>
                <w:sz w:val="18"/>
              </w:rPr>
              <w:t>share</w:t>
            </w:r>
            <w:r>
              <w:rPr>
                <w:spacing w:val="-3"/>
                <w:sz w:val="18"/>
              </w:rPr>
              <w:t xml:space="preserve"> </w:t>
            </w:r>
            <w:r>
              <w:rPr>
                <w:sz w:val="18"/>
              </w:rPr>
              <w:t>(DSE)</w:t>
            </w:r>
            <w:r>
              <w:rPr>
                <w:spacing w:val="-2"/>
                <w:sz w:val="18"/>
              </w:rPr>
              <w:t xml:space="preserve"> charge</w:t>
            </w:r>
          </w:p>
        </w:tc>
        <w:tc>
          <w:tcPr>
            <w:tcW w:w="906" w:type="dxa"/>
            <w:shd w:val="clear" w:color="auto" w:fill="CCE2ED"/>
          </w:tcPr>
          <w:p w14:paraId="38C31FFF" w14:textId="77777777" w:rsidR="00141B97" w:rsidRDefault="00911D63">
            <w:pPr>
              <w:pStyle w:val="TableParagraph"/>
              <w:spacing w:before="26"/>
              <w:ind w:right="95"/>
              <w:jc w:val="right"/>
              <w:rPr>
                <w:sz w:val="18"/>
              </w:rPr>
            </w:pPr>
            <w:r>
              <w:rPr>
                <w:spacing w:val="-4"/>
                <w:sz w:val="18"/>
              </w:rPr>
              <w:t>0.08</w:t>
            </w:r>
          </w:p>
        </w:tc>
        <w:tc>
          <w:tcPr>
            <w:tcW w:w="908" w:type="dxa"/>
            <w:shd w:val="clear" w:color="auto" w:fill="CCE2ED"/>
          </w:tcPr>
          <w:p w14:paraId="30AF5919" w14:textId="77777777" w:rsidR="00141B97" w:rsidRDefault="00911D63">
            <w:pPr>
              <w:pStyle w:val="TableParagraph"/>
              <w:spacing w:before="26"/>
              <w:ind w:right="95"/>
              <w:jc w:val="right"/>
              <w:rPr>
                <w:sz w:val="18"/>
              </w:rPr>
            </w:pPr>
            <w:r>
              <w:rPr>
                <w:spacing w:val="-4"/>
                <w:sz w:val="18"/>
              </w:rPr>
              <w:t>0.08</w:t>
            </w:r>
          </w:p>
        </w:tc>
        <w:tc>
          <w:tcPr>
            <w:tcW w:w="908" w:type="dxa"/>
            <w:shd w:val="clear" w:color="auto" w:fill="CCE2ED"/>
          </w:tcPr>
          <w:p w14:paraId="51F9D74B" w14:textId="77777777" w:rsidR="00141B97" w:rsidRDefault="00911D63">
            <w:pPr>
              <w:pStyle w:val="TableParagraph"/>
              <w:spacing w:before="26"/>
              <w:ind w:right="94"/>
              <w:jc w:val="right"/>
              <w:rPr>
                <w:sz w:val="18"/>
              </w:rPr>
            </w:pPr>
            <w:r>
              <w:rPr>
                <w:spacing w:val="-4"/>
                <w:sz w:val="18"/>
              </w:rPr>
              <w:t>0.08</w:t>
            </w:r>
          </w:p>
        </w:tc>
        <w:tc>
          <w:tcPr>
            <w:tcW w:w="907" w:type="dxa"/>
            <w:shd w:val="clear" w:color="auto" w:fill="CCE2ED"/>
          </w:tcPr>
          <w:p w14:paraId="78C52F76" w14:textId="77777777" w:rsidR="00141B97" w:rsidRDefault="00911D63">
            <w:pPr>
              <w:pStyle w:val="TableParagraph"/>
              <w:spacing w:before="26"/>
              <w:ind w:right="93"/>
              <w:jc w:val="right"/>
              <w:rPr>
                <w:sz w:val="18"/>
              </w:rPr>
            </w:pPr>
            <w:r>
              <w:rPr>
                <w:spacing w:val="-4"/>
                <w:sz w:val="18"/>
              </w:rPr>
              <w:t>0.08</w:t>
            </w:r>
          </w:p>
        </w:tc>
        <w:tc>
          <w:tcPr>
            <w:tcW w:w="908" w:type="dxa"/>
            <w:shd w:val="clear" w:color="auto" w:fill="CCE2ED"/>
          </w:tcPr>
          <w:p w14:paraId="3FBAAC31" w14:textId="77777777" w:rsidR="00141B97" w:rsidRDefault="00911D63">
            <w:pPr>
              <w:pStyle w:val="TableParagraph"/>
              <w:spacing w:before="26"/>
              <w:ind w:right="94"/>
              <w:jc w:val="right"/>
              <w:rPr>
                <w:sz w:val="18"/>
              </w:rPr>
            </w:pPr>
            <w:r>
              <w:rPr>
                <w:spacing w:val="-4"/>
                <w:sz w:val="18"/>
              </w:rPr>
              <w:t>0.08</w:t>
            </w:r>
          </w:p>
        </w:tc>
        <w:tc>
          <w:tcPr>
            <w:tcW w:w="908" w:type="dxa"/>
            <w:shd w:val="clear" w:color="auto" w:fill="CCE2ED"/>
          </w:tcPr>
          <w:p w14:paraId="776CA40C" w14:textId="77777777" w:rsidR="00141B97" w:rsidRDefault="00911D63">
            <w:pPr>
              <w:pStyle w:val="TableParagraph"/>
              <w:spacing w:before="26"/>
              <w:ind w:right="93"/>
              <w:jc w:val="right"/>
              <w:rPr>
                <w:sz w:val="18"/>
              </w:rPr>
            </w:pPr>
            <w:r>
              <w:rPr>
                <w:spacing w:val="-4"/>
                <w:sz w:val="18"/>
              </w:rPr>
              <w:t>0.07</w:t>
            </w:r>
          </w:p>
        </w:tc>
        <w:tc>
          <w:tcPr>
            <w:tcW w:w="907" w:type="dxa"/>
            <w:shd w:val="clear" w:color="auto" w:fill="CCE2ED"/>
          </w:tcPr>
          <w:p w14:paraId="1DDE4ECE" w14:textId="77777777" w:rsidR="00141B97" w:rsidRDefault="00911D63">
            <w:pPr>
              <w:pStyle w:val="TableParagraph"/>
              <w:spacing w:before="26"/>
              <w:ind w:right="92"/>
              <w:jc w:val="right"/>
              <w:rPr>
                <w:sz w:val="18"/>
              </w:rPr>
            </w:pPr>
            <w:r>
              <w:rPr>
                <w:spacing w:val="-4"/>
                <w:sz w:val="18"/>
              </w:rPr>
              <w:t>0.07</w:t>
            </w:r>
          </w:p>
        </w:tc>
        <w:tc>
          <w:tcPr>
            <w:tcW w:w="895" w:type="dxa"/>
            <w:tcBorders>
              <w:right w:val="nil"/>
            </w:tcBorders>
            <w:shd w:val="clear" w:color="auto" w:fill="CCE2ED"/>
          </w:tcPr>
          <w:p w14:paraId="748204C8" w14:textId="77777777" w:rsidR="00141B97" w:rsidRDefault="00911D63">
            <w:pPr>
              <w:pStyle w:val="TableParagraph"/>
              <w:spacing w:before="26"/>
              <w:ind w:right="84"/>
              <w:jc w:val="right"/>
              <w:rPr>
                <w:sz w:val="18"/>
              </w:rPr>
            </w:pPr>
            <w:r>
              <w:rPr>
                <w:spacing w:val="-4"/>
                <w:sz w:val="18"/>
              </w:rPr>
              <w:t>0.38</w:t>
            </w:r>
          </w:p>
        </w:tc>
      </w:tr>
      <w:tr w:rsidR="00141B97" w14:paraId="527C0E51" w14:textId="77777777">
        <w:trPr>
          <w:trHeight w:val="279"/>
          <w:tblCellSpacing w:w="9" w:type="dxa"/>
        </w:trPr>
        <w:tc>
          <w:tcPr>
            <w:tcW w:w="2492" w:type="dxa"/>
            <w:tcBorders>
              <w:left w:val="nil"/>
              <w:bottom w:val="nil"/>
            </w:tcBorders>
            <w:shd w:val="clear" w:color="auto" w:fill="CCE2ED"/>
          </w:tcPr>
          <w:p w14:paraId="4C8C324A" w14:textId="77777777" w:rsidR="00141B97" w:rsidRDefault="00911D63">
            <w:pPr>
              <w:pStyle w:val="TableParagraph"/>
              <w:spacing w:before="30"/>
              <w:ind w:left="88"/>
              <w:rPr>
                <w:sz w:val="18"/>
              </w:rPr>
            </w:pPr>
            <w:r>
              <w:rPr>
                <w:sz w:val="18"/>
              </w:rPr>
              <w:t>Total</w:t>
            </w:r>
            <w:r>
              <w:rPr>
                <w:spacing w:val="-2"/>
                <w:sz w:val="18"/>
              </w:rPr>
              <w:t xml:space="preserve"> </w:t>
            </w:r>
            <w:r>
              <w:rPr>
                <w:sz w:val="18"/>
              </w:rPr>
              <w:t>Pass‐Through</w:t>
            </w:r>
            <w:r>
              <w:rPr>
                <w:spacing w:val="-1"/>
                <w:sz w:val="18"/>
              </w:rPr>
              <w:t xml:space="preserve"> </w:t>
            </w:r>
            <w:r>
              <w:rPr>
                <w:spacing w:val="-2"/>
                <w:sz w:val="18"/>
              </w:rPr>
              <w:t>Revenue</w:t>
            </w:r>
          </w:p>
        </w:tc>
        <w:tc>
          <w:tcPr>
            <w:tcW w:w="906" w:type="dxa"/>
            <w:tcBorders>
              <w:bottom w:val="nil"/>
            </w:tcBorders>
            <w:shd w:val="clear" w:color="auto" w:fill="CCE2ED"/>
          </w:tcPr>
          <w:p w14:paraId="397211F5" w14:textId="77777777" w:rsidR="00141B97" w:rsidRDefault="00911D63">
            <w:pPr>
              <w:pStyle w:val="TableParagraph"/>
              <w:spacing w:before="30"/>
              <w:ind w:right="95"/>
              <w:jc w:val="right"/>
              <w:rPr>
                <w:sz w:val="18"/>
              </w:rPr>
            </w:pPr>
            <w:r>
              <w:rPr>
                <w:spacing w:val="-4"/>
                <w:sz w:val="18"/>
              </w:rPr>
              <w:t>3.20</w:t>
            </w:r>
          </w:p>
        </w:tc>
        <w:tc>
          <w:tcPr>
            <w:tcW w:w="908" w:type="dxa"/>
            <w:tcBorders>
              <w:bottom w:val="nil"/>
            </w:tcBorders>
            <w:shd w:val="clear" w:color="auto" w:fill="CCE2ED"/>
          </w:tcPr>
          <w:p w14:paraId="6827AC02" w14:textId="77777777" w:rsidR="00141B97" w:rsidRDefault="00911D63">
            <w:pPr>
              <w:pStyle w:val="TableParagraph"/>
              <w:spacing w:before="30"/>
              <w:ind w:right="95"/>
              <w:jc w:val="right"/>
              <w:rPr>
                <w:sz w:val="18"/>
              </w:rPr>
            </w:pPr>
            <w:r>
              <w:rPr>
                <w:spacing w:val="-4"/>
                <w:sz w:val="18"/>
              </w:rPr>
              <w:t>3.11</w:t>
            </w:r>
          </w:p>
        </w:tc>
        <w:tc>
          <w:tcPr>
            <w:tcW w:w="908" w:type="dxa"/>
            <w:tcBorders>
              <w:bottom w:val="nil"/>
            </w:tcBorders>
            <w:shd w:val="clear" w:color="auto" w:fill="CCE2ED"/>
          </w:tcPr>
          <w:p w14:paraId="54FEB7EB" w14:textId="77777777" w:rsidR="00141B97" w:rsidRDefault="00911D63">
            <w:pPr>
              <w:pStyle w:val="TableParagraph"/>
              <w:spacing w:before="30"/>
              <w:ind w:right="94"/>
              <w:jc w:val="right"/>
              <w:rPr>
                <w:sz w:val="18"/>
              </w:rPr>
            </w:pPr>
            <w:r>
              <w:rPr>
                <w:spacing w:val="-4"/>
                <w:sz w:val="18"/>
              </w:rPr>
              <w:t>3.24</w:t>
            </w:r>
          </w:p>
        </w:tc>
        <w:tc>
          <w:tcPr>
            <w:tcW w:w="907" w:type="dxa"/>
            <w:tcBorders>
              <w:bottom w:val="nil"/>
            </w:tcBorders>
            <w:shd w:val="clear" w:color="auto" w:fill="CCE2ED"/>
          </w:tcPr>
          <w:p w14:paraId="4AE2A17D" w14:textId="77777777" w:rsidR="00141B97" w:rsidRDefault="00911D63">
            <w:pPr>
              <w:pStyle w:val="TableParagraph"/>
              <w:spacing w:before="30"/>
              <w:ind w:right="93"/>
              <w:jc w:val="right"/>
              <w:rPr>
                <w:sz w:val="18"/>
              </w:rPr>
            </w:pPr>
            <w:r>
              <w:rPr>
                <w:spacing w:val="-4"/>
                <w:sz w:val="18"/>
              </w:rPr>
              <w:t>3.35</w:t>
            </w:r>
          </w:p>
        </w:tc>
        <w:tc>
          <w:tcPr>
            <w:tcW w:w="908" w:type="dxa"/>
            <w:tcBorders>
              <w:bottom w:val="nil"/>
            </w:tcBorders>
            <w:shd w:val="clear" w:color="auto" w:fill="CCE2ED"/>
          </w:tcPr>
          <w:p w14:paraId="735A208F" w14:textId="77777777" w:rsidR="00141B97" w:rsidRDefault="00911D63">
            <w:pPr>
              <w:pStyle w:val="TableParagraph"/>
              <w:spacing w:before="30"/>
              <w:ind w:right="94"/>
              <w:jc w:val="right"/>
              <w:rPr>
                <w:sz w:val="18"/>
              </w:rPr>
            </w:pPr>
            <w:r>
              <w:rPr>
                <w:spacing w:val="-4"/>
                <w:sz w:val="18"/>
              </w:rPr>
              <w:t>3.45</w:t>
            </w:r>
          </w:p>
        </w:tc>
        <w:tc>
          <w:tcPr>
            <w:tcW w:w="908" w:type="dxa"/>
            <w:tcBorders>
              <w:bottom w:val="nil"/>
            </w:tcBorders>
            <w:shd w:val="clear" w:color="auto" w:fill="CCE2ED"/>
          </w:tcPr>
          <w:p w14:paraId="639FFA38" w14:textId="77777777" w:rsidR="00141B97" w:rsidRDefault="00911D63">
            <w:pPr>
              <w:pStyle w:val="TableParagraph"/>
              <w:spacing w:before="30"/>
              <w:ind w:right="93"/>
              <w:jc w:val="right"/>
              <w:rPr>
                <w:sz w:val="18"/>
              </w:rPr>
            </w:pPr>
            <w:r>
              <w:rPr>
                <w:spacing w:val="-4"/>
                <w:sz w:val="18"/>
              </w:rPr>
              <w:t>3.55</w:t>
            </w:r>
          </w:p>
        </w:tc>
        <w:tc>
          <w:tcPr>
            <w:tcW w:w="907" w:type="dxa"/>
            <w:tcBorders>
              <w:bottom w:val="nil"/>
            </w:tcBorders>
            <w:shd w:val="clear" w:color="auto" w:fill="CCE2ED"/>
          </w:tcPr>
          <w:p w14:paraId="0B4F2252" w14:textId="77777777" w:rsidR="00141B97" w:rsidRDefault="00911D63">
            <w:pPr>
              <w:pStyle w:val="TableParagraph"/>
              <w:spacing w:before="30"/>
              <w:ind w:right="92"/>
              <w:jc w:val="right"/>
              <w:rPr>
                <w:sz w:val="18"/>
              </w:rPr>
            </w:pPr>
            <w:r>
              <w:rPr>
                <w:spacing w:val="-4"/>
                <w:sz w:val="18"/>
              </w:rPr>
              <w:t>3.52</w:t>
            </w:r>
          </w:p>
        </w:tc>
        <w:tc>
          <w:tcPr>
            <w:tcW w:w="895" w:type="dxa"/>
            <w:tcBorders>
              <w:bottom w:val="nil"/>
              <w:right w:val="nil"/>
            </w:tcBorders>
            <w:shd w:val="clear" w:color="auto" w:fill="CCE2ED"/>
          </w:tcPr>
          <w:p w14:paraId="75E44D72" w14:textId="77777777" w:rsidR="00141B97" w:rsidRDefault="00911D63">
            <w:pPr>
              <w:pStyle w:val="TableParagraph"/>
              <w:spacing w:before="30"/>
              <w:ind w:right="84"/>
              <w:jc w:val="right"/>
              <w:rPr>
                <w:sz w:val="18"/>
              </w:rPr>
            </w:pPr>
            <w:r>
              <w:rPr>
                <w:spacing w:val="-2"/>
                <w:sz w:val="18"/>
              </w:rPr>
              <w:t>17.12</w:t>
            </w:r>
          </w:p>
        </w:tc>
      </w:tr>
    </w:tbl>
    <w:p w14:paraId="7C3E15A9" w14:textId="77777777" w:rsidR="00141B97" w:rsidRDefault="00911D63">
      <w:pPr>
        <w:spacing w:before="20"/>
        <w:ind w:left="114"/>
        <w:jc w:val="both"/>
        <w:rPr>
          <w:sz w:val="16"/>
        </w:rPr>
      </w:pPr>
      <w:r>
        <w:rPr>
          <w:sz w:val="16"/>
        </w:rPr>
        <w:t>Table</w:t>
      </w:r>
      <w:r>
        <w:rPr>
          <w:spacing w:val="-5"/>
          <w:sz w:val="16"/>
        </w:rPr>
        <w:t xml:space="preserve"> </w:t>
      </w:r>
      <w:r>
        <w:rPr>
          <w:sz w:val="16"/>
        </w:rPr>
        <w:t>C26:</w:t>
      </w:r>
      <w:r>
        <w:rPr>
          <w:spacing w:val="-5"/>
          <w:sz w:val="16"/>
        </w:rPr>
        <w:t xml:space="preserve"> </w:t>
      </w:r>
      <w:r>
        <w:rPr>
          <w:sz w:val="16"/>
        </w:rPr>
        <w:t>Revenue</w:t>
      </w:r>
      <w:r>
        <w:rPr>
          <w:spacing w:val="-5"/>
          <w:sz w:val="16"/>
        </w:rPr>
        <w:t xml:space="preserve"> </w:t>
      </w:r>
      <w:r>
        <w:rPr>
          <w:sz w:val="16"/>
        </w:rPr>
        <w:t>From</w:t>
      </w:r>
      <w:r>
        <w:rPr>
          <w:spacing w:val="-5"/>
          <w:sz w:val="16"/>
        </w:rPr>
        <w:t xml:space="preserve"> </w:t>
      </w:r>
      <w:r>
        <w:rPr>
          <w:sz w:val="16"/>
        </w:rPr>
        <w:t>Pass</w:t>
      </w:r>
      <w:r>
        <w:rPr>
          <w:spacing w:val="-6"/>
          <w:sz w:val="16"/>
        </w:rPr>
        <w:t xml:space="preserve"> </w:t>
      </w:r>
      <w:r>
        <w:rPr>
          <w:sz w:val="16"/>
        </w:rPr>
        <w:t>Through</w:t>
      </w:r>
      <w:r>
        <w:rPr>
          <w:spacing w:val="-6"/>
          <w:sz w:val="16"/>
        </w:rPr>
        <w:t xml:space="preserve"> </w:t>
      </w:r>
      <w:r>
        <w:rPr>
          <w:spacing w:val="-4"/>
          <w:sz w:val="16"/>
        </w:rPr>
        <w:t>Fees</w:t>
      </w:r>
    </w:p>
    <w:p w14:paraId="74D1E53C" w14:textId="77777777" w:rsidR="00141B97" w:rsidRDefault="00141B97">
      <w:pPr>
        <w:pStyle w:val="BodyText"/>
        <w:spacing w:before="9"/>
        <w:rPr>
          <w:sz w:val="20"/>
        </w:rPr>
      </w:pPr>
    </w:p>
    <w:p w14:paraId="33541DEB" w14:textId="77777777" w:rsidR="00141B97" w:rsidRDefault="00911D63">
      <w:pPr>
        <w:pStyle w:val="ListParagraph"/>
        <w:numPr>
          <w:ilvl w:val="2"/>
          <w:numId w:val="37"/>
        </w:numPr>
        <w:tabs>
          <w:tab w:val="left" w:pos="1112"/>
          <w:tab w:val="left" w:pos="1113"/>
        </w:tabs>
        <w:ind w:left="1112"/>
        <w:jc w:val="both"/>
      </w:pPr>
      <w:r>
        <w:t>Other</w:t>
      </w:r>
      <w:r>
        <w:rPr>
          <w:spacing w:val="-6"/>
        </w:rPr>
        <w:t xml:space="preserve"> </w:t>
      </w:r>
      <w:r>
        <w:rPr>
          <w:spacing w:val="-2"/>
        </w:rPr>
        <w:t>Revenues</w:t>
      </w:r>
    </w:p>
    <w:p w14:paraId="3D0C823C" w14:textId="77777777" w:rsidR="00141B97" w:rsidRDefault="00911D63">
      <w:pPr>
        <w:pStyle w:val="BodyText"/>
        <w:spacing w:before="59"/>
        <w:ind w:left="113" w:right="948"/>
        <w:jc w:val="both"/>
      </w:pPr>
      <w:r>
        <w:t>Two additional types of revenue reduce the prescribed revenues recovered through published tariffs, comprising miscellaneous charge revenue and termination fees, summarised in Table C27. Miscellaneous charges are further discussed in Part C, Section 5.2.3.</w:t>
      </w:r>
    </w:p>
    <w:p w14:paraId="23ED04AD" w14:textId="77777777" w:rsidR="00141B97" w:rsidRDefault="00141B97">
      <w:pPr>
        <w:pStyle w:val="BodyText"/>
        <w:spacing w:before="1"/>
      </w:pPr>
    </w:p>
    <w:p w14:paraId="56D92242" w14:textId="77777777" w:rsidR="00141B97" w:rsidRDefault="00911D63">
      <w:pPr>
        <w:pStyle w:val="BodyText"/>
        <w:ind w:left="114" w:right="949" w:hanging="1"/>
        <w:jc w:val="both"/>
      </w:pPr>
      <w:r>
        <w:t>Termination</w:t>
      </w:r>
      <w:r>
        <w:rPr>
          <w:spacing w:val="-13"/>
        </w:rPr>
        <w:t xml:space="preserve"> </w:t>
      </w:r>
      <w:r>
        <w:t>fees</w:t>
      </w:r>
      <w:r>
        <w:rPr>
          <w:spacing w:val="-9"/>
        </w:rPr>
        <w:t xml:space="preserve"> </w:t>
      </w:r>
      <w:r>
        <w:t>are</w:t>
      </w:r>
      <w:r>
        <w:rPr>
          <w:spacing w:val="-11"/>
        </w:rPr>
        <w:t xml:space="preserve"> </w:t>
      </w:r>
      <w:r>
        <w:t>payable</w:t>
      </w:r>
      <w:r>
        <w:rPr>
          <w:spacing w:val="-12"/>
        </w:rPr>
        <w:t xml:space="preserve"> </w:t>
      </w:r>
      <w:r>
        <w:t>by</w:t>
      </w:r>
      <w:r>
        <w:rPr>
          <w:spacing w:val="-10"/>
        </w:rPr>
        <w:t xml:space="preserve"> </w:t>
      </w:r>
      <w:r>
        <w:t>properties</w:t>
      </w:r>
      <w:r>
        <w:rPr>
          <w:spacing w:val="-12"/>
        </w:rPr>
        <w:t xml:space="preserve"> </w:t>
      </w:r>
      <w:r>
        <w:t>that</w:t>
      </w:r>
      <w:r>
        <w:rPr>
          <w:spacing w:val="-12"/>
        </w:rPr>
        <w:t xml:space="preserve"> </w:t>
      </w:r>
      <w:r>
        <w:t>relinquish</w:t>
      </w:r>
      <w:r>
        <w:rPr>
          <w:spacing w:val="-12"/>
        </w:rPr>
        <w:t xml:space="preserve"> </w:t>
      </w:r>
      <w:r>
        <w:t>their</w:t>
      </w:r>
      <w:r>
        <w:rPr>
          <w:spacing w:val="-12"/>
        </w:rPr>
        <w:t xml:space="preserve"> </w:t>
      </w:r>
      <w:r>
        <w:t>delivery</w:t>
      </w:r>
      <w:r>
        <w:rPr>
          <w:spacing w:val="-12"/>
        </w:rPr>
        <w:t xml:space="preserve"> </w:t>
      </w:r>
      <w:r>
        <w:t>shares.</w:t>
      </w:r>
      <w:r>
        <w:rPr>
          <w:spacing w:val="-12"/>
        </w:rPr>
        <w:t xml:space="preserve"> </w:t>
      </w:r>
      <w:r>
        <w:t>The</w:t>
      </w:r>
      <w:r>
        <w:rPr>
          <w:spacing w:val="-12"/>
        </w:rPr>
        <w:t xml:space="preserve"> </w:t>
      </w:r>
      <w:r>
        <w:t>termination</w:t>
      </w:r>
      <w:r>
        <w:rPr>
          <w:spacing w:val="-12"/>
        </w:rPr>
        <w:t xml:space="preserve"> </w:t>
      </w:r>
      <w:r>
        <w:t>fees</w:t>
      </w:r>
      <w:r>
        <w:rPr>
          <w:spacing w:val="-10"/>
        </w:rPr>
        <w:t xml:space="preserve"> </w:t>
      </w:r>
      <w:r>
        <w:t>are</w:t>
      </w:r>
      <w:r>
        <w:rPr>
          <w:spacing w:val="-11"/>
        </w:rPr>
        <w:t xml:space="preserve"> </w:t>
      </w:r>
      <w:r>
        <w:t>a</w:t>
      </w:r>
      <w:r>
        <w:rPr>
          <w:spacing w:val="-10"/>
        </w:rPr>
        <w:t xml:space="preserve"> </w:t>
      </w:r>
      <w:r>
        <w:t>lump sum</w:t>
      </w:r>
      <w:r>
        <w:rPr>
          <w:spacing w:val="-11"/>
        </w:rPr>
        <w:t xml:space="preserve"> </w:t>
      </w:r>
      <w:r>
        <w:t>equivalent</w:t>
      </w:r>
      <w:r>
        <w:rPr>
          <w:spacing w:val="-12"/>
        </w:rPr>
        <w:t xml:space="preserve"> </w:t>
      </w:r>
      <w:r>
        <w:t>to</w:t>
      </w:r>
      <w:r>
        <w:rPr>
          <w:spacing w:val="-12"/>
        </w:rPr>
        <w:t xml:space="preserve"> </w:t>
      </w:r>
      <w:r>
        <w:t>10</w:t>
      </w:r>
      <w:r>
        <w:rPr>
          <w:spacing w:val="-11"/>
        </w:rPr>
        <w:t xml:space="preserve"> </w:t>
      </w:r>
      <w:r>
        <w:t>years’</w:t>
      </w:r>
      <w:r>
        <w:rPr>
          <w:spacing w:val="-12"/>
        </w:rPr>
        <w:t xml:space="preserve"> </w:t>
      </w:r>
      <w:r>
        <w:t>worth</w:t>
      </w:r>
      <w:r>
        <w:rPr>
          <w:spacing w:val="-11"/>
        </w:rPr>
        <w:t xml:space="preserve"> </w:t>
      </w:r>
      <w:r>
        <w:t>of</w:t>
      </w:r>
      <w:r>
        <w:rPr>
          <w:spacing w:val="-10"/>
        </w:rPr>
        <w:t xml:space="preserve"> </w:t>
      </w:r>
      <w:r>
        <w:t>delivery</w:t>
      </w:r>
      <w:r>
        <w:rPr>
          <w:spacing w:val="-12"/>
        </w:rPr>
        <w:t xml:space="preserve"> </w:t>
      </w:r>
      <w:r>
        <w:t>share</w:t>
      </w:r>
      <w:r>
        <w:rPr>
          <w:spacing w:val="-12"/>
        </w:rPr>
        <w:t xml:space="preserve"> </w:t>
      </w:r>
      <w:r>
        <w:t>fees.</w:t>
      </w:r>
      <w:r>
        <w:rPr>
          <w:spacing w:val="-11"/>
        </w:rPr>
        <w:t xml:space="preserve"> </w:t>
      </w:r>
      <w:r>
        <w:t>Accordingly,</w:t>
      </w:r>
      <w:r>
        <w:rPr>
          <w:spacing w:val="-10"/>
        </w:rPr>
        <w:t xml:space="preserve"> </w:t>
      </w:r>
      <w:r>
        <w:t>termination</w:t>
      </w:r>
      <w:r>
        <w:rPr>
          <w:spacing w:val="-12"/>
        </w:rPr>
        <w:t xml:space="preserve"> </w:t>
      </w:r>
      <w:r>
        <w:t>fee</w:t>
      </w:r>
      <w:r>
        <w:rPr>
          <w:spacing w:val="-11"/>
        </w:rPr>
        <w:t xml:space="preserve"> </w:t>
      </w:r>
      <w:r>
        <w:t>revenue</w:t>
      </w:r>
      <w:r>
        <w:rPr>
          <w:spacing w:val="-11"/>
        </w:rPr>
        <w:t xml:space="preserve"> </w:t>
      </w:r>
      <w:r>
        <w:t>is</w:t>
      </w:r>
      <w:r>
        <w:rPr>
          <w:spacing w:val="-11"/>
        </w:rPr>
        <w:t xml:space="preserve"> </w:t>
      </w:r>
      <w:r>
        <w:t>amortised</w:t>
      </w:r>
      <w:r>
        <w:rPr>
          <w:spacing w:val="-9"/>
        </w:rPr>
        <w:t xml:space="preserve"> </w:t>
      </w:r>
      <w:r>
        <w:t>over 10 years for the purpose of identifying the appropriate addition to other revenue.</w:t>
      </w:r>
    </w:p>
    <w:p w14:paraId="63042DC5" w14:textId="77777777" w:rsidR="00141B97" w:rsidRDefault="00141B97">
      <w:pPr>
        <w:pStyle w:val="BodyText"/>
        <w:spacing w:before="6"/>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2611"/>
        <w:gridCol w:w="1040"/>
        <w:gridCol w:w="1011"/>
        <w:gridCol w:w="1087"/>
        <w:gridCol w:w="1040"/>
        <w:gridCol w:w="1039"/>
        <w:gridCol w:w="1040"/>
        <w:gridCol w:w="1042"/>
      </w:tblGrid>
      <w:tr w:rsidR="00141B97" w14:paraId="2CF75672" w14:textId="77777777">
        <w:trPr>
          <w:trHeight w:val="255"/>
          <w:tblCellSpacing w:w="9" w:type="dxa"/>
        </w:trPr>
        <w:tc>
          <w:tcPr>
            <w:tcW w:w="2584" w:type="dxa"/>
            <w:tcBorders>
              <w:top w:val="nil"/>
              <w:left w:val="nil"/>
            </w:tcBorders>
            <w:shd w:val="clear" w:color="auto" w:fill="006CA3"/>
          </w:tcPr>
          <w:p w14:paraId="325CB8B5" w14:textId="77777777" w:rsidR="00141B97" w:rsidRDefault="00911D63">
            <w:pPr>
              <w:pStyle w:val="TableParagraph"/>
              <w:spacing w:before="18" w:line="217" w:lineRule="exact"/>
              <w:ind w:left="88"/>
              <w:rPr>
                <w:sz w:val="18"/>
              </w:rPr>
            </w:pPr>
            <w:r>
              <w:rPr>
                <w:color w:val="FFFFFF"/>
                <w:spacing w:val="-2"/>
                <w:sz w:val="18"/>
              </w:rPr>
              <w:t>Component</w:t>
            </w:r>
          </w:p>
        </w:tc>
        <w:tc>
          <w:tcPr>
            <w:tcW w:w="2015" w:type="dxa"/>
            <w:gridSpan w:val="2"/>
            <w:tcBorders>
              <w:top w:val="nil"/>
            </w:tcBorders>
            <w:shd w:val="clear" w:color="auto" w:fill="006CA3"/>
          </w:tcPr>
          <w:p w14:paraId="2A26BEF0" w14:textId="77777777" w:rsidR="00141B97" w:rsidRDefault="00911D63">
            <w:pPr>
              <w:pStyle w:val="TableParagraph"/>
              <w:spacing w:before="18" w:line="217" w:lineRule="exact"/>
              <w:ind w:left="462"/>
              <w:rPr>
                <w:sz w:val="18"/>
              </w:rPr>
            </w:pPr>
            <w:r>
              <w:rPr>
                <w:color w:val="FFFFFF"/>
                <w:sz w:val="18"/>
              </w:rPr>
              <w:t>Current</w:t>
            </w:r>
            <w:r>
              <w:rPr>
                <w:color w:val="FFFFFF"/>
                <w:spacing w:val="1"/>
                <w:sz w:val="18"/>
              </w:rPr>
              <w:t xml:space="preserve"> </w:t>
            </w:r>
            <w:r>
              <w:rPr>
                <w:color w:val="FFFFFF"/>
                <w:spacing w:val="-2"/>
                <w:sz w:val="18"/>
              </w:rPr>
              <w:t>Period</w:t>
            </w:r>
          </w:p>
        </w:tc>
        <w:tc>
          <w:tcPr>
            <w:tcW w:w="5149" w:type="dxa"/>
            <w:gridSpan w:val="5"/>
            <w:tcBorders>
              <w:top w:val="nil"/>
              <w:right w:val="nil"/>
            </w:tcBorders>
            <w:shd w:val="clear" w:color="auto" w:fill="006CA3"/>
          </w:tcPr>
          <w:p w14:paraId="2B77C618" w14:textId="77777777" w:rsidR="00141B97" w:rsidRDefault="00911D63">
            <w:pPr>
              <w:pStyle w:val="TableParagraph"/>
              <w:spacing w:before="18" w:line="217" w:lineRule="exact"/>
              <w:ind w:left="1736" w:right="1736"/>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3A663B44" w14:textId="77777777">
        <w:trPr>
          <w:trHeight w:val="254"/>
          <w:tblCellSpacing w:w="9" w:type="dxa"/>
        </w:trPr>
        <w:tc>
          <w:tcPr>
            <w:tcW w:w="2584" w:type="dxa"/>
            <w:tcBorders>
              <w:left w:val="nil"/>
            </w:tcBorders>
            <w:shd w:val="clear" w:color="auto" w:fill="006CA3"/>
          </w:tcPr>
          <w:p w14:paraId="27BC1115" w14:textId="77777777" w:rsidR="00141B97" w:rsidRDefault="00911D63">
            <w:pPr>
              <w:pStyle w:val="TableParagraph"/>
              <w:spacing w:before="18" w:line="217" w:lineRule="exact"/>
              <w:ind w:left="88"/>
              <w:rPr>
                <w:sz w:val="18"/>
              </w:rPr>
            </w:pPr>
            <w:r>
              <w:rPr>
                <w:color w:val="FFFFFF"/>
                <w:sz w:val="18"/>
              </w:rPr>
              <w:t xml:space="preserve">$m </w:t>
            </w:r>
            <w:r>
              <w:rPr>
                <w:color w:val="FFFFFF"/>
                <w:spacing w:val="-2"/>
                <w:sz w:val="18"/>
              </w:rPr>
              <w:t>1/1/23</w:t>
            </w:r>
          </w:p>
        </w:tc>
        <w:tc>
          <w:tcPr>
            <w:tcW w:w="1022" w:type="dxa"/>
            <w:shd w:val="clear" w:color="auto" w:fill="006CA3"/>
          </w:tcPr>
          <w:p w14:paraId="74E818E9" w14:textId="77777777" w:rsidR="00141B97" w:rsidRDefault="00911D63">
            <w:pPr>
              <w:pStyle w:val="TableParagraph"/>
              <w:spacing w:before="18" w:line="217" w:lineRule="exact"/>
              <w:ind w:left="193" w:right="193"/>
              <w:jc w:val="center"/>
              <w:rPr>
                <w:sz w:val="18"/>
              </w:rPr>
            </w:pPr>
            <w:r>
              <w:rPr>
                <w:color w:val="FFFFFF"/>
                <w:spacing w:val="-2"/>
                <w:sz w:val="18"/>
              </w:rPr>
              <w:t>2021‐22</w:t>
            </w:r>
          </w:p>
        </w:tc>
        <w:tc>
          <w:tcPr>
            <w:tcW w:w="993" w:type="dxa"/>
            <w:shd w:val="clear" w:color="auto" w:fill="006CA3"/>
          </w:tcPr>
          <w:p w14:paraId="07108B06" w14:textId="77777777" w:rsidR="00141B97" w:rsidRDefault="00911D63">
            <w:pPr>
              <w:pStyle w:val="TableParagraph"/>
              <w:spacing w:before="18" w:line="217" w:lineRule="exact"/>
              <w:ind w:left="181" w:right="182"/>
              <w:jc w:val="center"/>
              <w:rPr>
                <w:sz w:val="18"/>
              </w:rPr>
            </w:pPr>
            <w:r>
              <w:rPr>
                <w:color w:val="FFFFFF"/>
                <w:spacing w:val="-2"/>
                <w:sz w:val="18"/>
              </w:rPr>
              <w:t>2022‐23</w:t>
            </w:r>
          </w:p>
        </w:tc>
        <w:tc>
          <w:tcPr>
            <w:tcW w:w="1069" w:type="dxa"/>
            <w:shd w:val="clear" w:color="auto" w:fill="006CA3"/>
          </w:tcPr>
          <w:p w14:paraId="20B219B5" w14:textId="77777777" w:rsidR="00141B97" w:rsidRDefault="00911D63">
            <w:pPr>
              <w:pStyle w:val="TableParagraph"/>
              <w:spacing w:before="18" w:line="217" w:lineRule="exact"/>
              <w:ind w:left="219" w:right="221"/>
              <w:jc w:val="center"/>
              <w:rPr>
                <w:sz w:val="18"/>
              </w:rPr>
            </w:pPr>
            <w:r>
              <w:rPr>
                <w:color w:val="FFFFFF"/>
                <w:spacing w:val="-2"/>
                <w:sz w:val="18"/>
              </w:rPr>
              <w:t>2023‐24</w:t>
            </w:r>
          </w:p>
        </w:tc>
        <w:tc>
          <w:tcPr>
            <w:tcW w:w="1022" w:type="dxa"/>
            <w:shd w:val="clear" w:color="auto" w:fill="006CA3"/>
          </w:tcPr>
          <w:p w14:paraId="6B90F4E4" w14:textId="77777777" w:rsidR="00141B97" w:rsidRDefault="00911D63">
            <w:pPr>
              <w:pStyle w:val="TableParagraph"/>
              <w:spacing w:before="18" w:line="217" w:lineRule="exact"/>
              <w:ind w:left="193" w:right="196"/>
              <w:jc w:val="center"/>
              <w:rPr>
                <w:sz w:val="18"/>
              </w:rPr>
            </w:pPr>
            <w:r>
              <w:rPr>
                <w:color w:val="FFFFFF"/>
                <w:spacing w:val="-2"/>
                <w:sz w:val="18"/>
              </w:rPr>
              <w:t>2024‐25</w:t>
            </w:r>
          </w:p>
        </w:tc>
        <w:tc>
          <w:tcPr>
            <w:tcW w:w="1021" w:type="dxa"/>
            <w:shd w:val="clear" w:color="auto" w:fill="006CA3"/>
          </w:tcPr>
          <w:p w14:paraId="330FBB40" w14:textId="77777777" w:rsidR="00141B97" w:rsidRDefault="00911D63">
            <w:pPr>
              <w:pStyle w:val="TableParagraph"/>
              <w:spacing w:before="18" w:line="217" w:lineRule="exact"/>
              <w:ind w:left="193" w:right="199"/>
              <w:jc w:val="center"/>
              <w:rPr>
                <w:sz w:val="18"/>
              </w:rPr>
            </w:pPr>
            <w:r>
              <w:rPr>
                <w:color w:val="FFFFFF"/>
                <w:spacing w:val="-2"/>
                <w:sz w:val="18"/>
              </w:rPr>
              <w:t>2025‐26</w:t>
            </w:r>
          </w:p>
        </w:tc>
        <w:tc>
          <w:tcPr>
            <w:tcW w:w="1022" w:type="dxa"/>
            <w:shd w:val="clear" w:color="auto" w:fill="006CA3"/>
          </w:tcPr>
          <w:p w14:paraId="7D8F59CB" w14:textId="77777777" w:rsidR="00141B97" w:rsidRDefault="00911D63">
            <w:pPr>
              <w:pStyle w:val="TableParagraph"/>
              <w:spacing w:before="18" w:line="217" w:lineRule="exact"/>
              <w:ind w:left="190" w:right="196"/>
              <w:jc w:val="center"/>
              <w:rPr>
                <w:sz w:val="18"/>
              </w:rPr>
            </w:pPr>
            <w:r>
              <w:rPr>
                <w:color w:val="FFFFFF"/>
                <w:spacing w:val="-2"/>
                <w:sz w:val="18"/>
              </w:rPr>
              <w:t>2026‐27</w:t>
            </w:r>
          </w:p>
        </w:tc>
        <w:tc>
          <w:tcPr>
            <w:tcW w:w="1015" w:type="dxa"/>
            <w:tcBorders>
              <w:right w:val="nil"/>
            </w:tcBorders>
            <w:shd w:val="clear" w:color="auto" w:fill="006CA3"/>
          </w:tcPr>
          <w:p w14:paraId="7F74AEE3" w14:textId="77777777" w:rsidR="00141B97" w:rsidRDefault="00911D63">
            <w:pPr>
              <w:pStyle w:val="TableParagraph"/>
              <w:spacing w:before="18" w:line="217" w:lineRule="exact"/>
              <w:ind w:left="193" w:right="193"/>
              <w:jc w:val="center"/>
              <w:rPr>
                <w:sz w:val="18"/>
              </w:rPr>
            </w:pPr>
            <w:r>
              <w:rPr>
                <w:color w:val="FFFFFF"/>
                <w:spacing w:val="-2"/>
                <w:sz w:val="18"/>
              </w:rPr>
              <w:t>2027‐28</w:t>
            </w:r>
          </w:p>
        </w:tc>
      </w:tr>
      <w:tr w:rsidR="00141B97" w14:paraId="2ADC4C15" w14:textId="77777777">
        <w:trPr>
          <w:trHeight w:val="270"/>
          <w:tblCellSpacing w:w="9" w:type="dxa"/>
        </w:trPr>
        <w:tc>
          <w:tcPr>
            <w:tcW w:w="2584" w:type="dxa"/>
            <w:tcBorders>
              <w:left w:val="nil"/>
            </w:tcBorders>
            <w:shd w:val="clear" w:color="auto" w:fill="CCE2ED"/>
          </w:tcPr>
          <w:p w14:paraId="7EFC82D4" w14:textId="77777777" w:rsidR="00141B97" w:rsidRDefault="00911D63">
            <w:pPr>
              <w:pStyle w:val="TableParagraph"/>
              <w:spacing w:before="26"/>
              <w:ind w:left="88"/>
              <w:rPr>
                <w:sz w:val="18"/>
              </w:rPr>
            </w:pPr>
            <w:r>
              <w:rPr>
                <w:sz w:val="18"/>
              </w:rPr>
              <w:t>Misc</w:t>
            </w:r>
            <w:r>
              <w:rPr>
                <w:spacing w:val="-2"/>
                <w:sz w:val="18"/>
              </w:rPr>
              <w:t xml:space="preserve"> </w:t>
            </w:r>
            <w:r>
              <w:rPr>
                <w:sz w:val="18"/>
              </w:rPr>
              <w:t xml:space="preserve">charge </w:t>
            </w:r>
            <w:r>
              <w:rPr>
                <w:spacing w:val="-2"/>
                <w:sz w:val="18"/>
              </w:rPr>
              <w:t>revenue</w:t>
            </w:r>
          </w:p>
        </w:tc>
        <w:tc>
          <w:tcPr>
            <w:tcW w:w="1022" w:type="dxa"/>
            <w:shd w:val="clear" w:color="auto" w:fill="CCE2ED"/>
          </w:tcPr>
          <w:p w14:paraId="38340B22" w14:textId="77777777" w:rsidR="00141B97" w:rsidRDefault="00911D63">
            <w:pPr>
              <w:pStyle w:val="TableParagraph"/>
              <w:spacing w:before="26"/>
              <w:ind w:left="193" w:right="194"/>
              <w:jc w:val="center"/>
              <w:rPr>
                <w:sz w:val="18"/>
              </w:rPr>
            </w:pPr>
            <w:r>
              <w:rPr>
                <w:spacing w:val="-4"/>
                <w:sz w:val="18"/>
              </w:rPr>
              <w:t>0.74</w:t>
            </w:r>
          </w:p>
        </w:tc>
        <w:tc>
          <w:tcPr>
            <w:tcW w:w="993" w:type="dxa"/>
            <w:shd w:val="clear" w:color="auto" w:fill="CCE2ED"/>
          </w:tcPr>
          <w:p w14:paraId="3F9BE49A" w14:textId="77777777" w:rsidR="00141B97" w:rsidRDefault="00911D63">
            <w:pPr>
              <w:pStyle w:val="TableParagraph"/>
              <w:spacing w:before="26"/>
              <w:ind w:left="181" w:right="181"/>
              <w:jc w:val="center"/>
              <w:rPr>
                <w:sz w:val="18"/>
              </w:rPr>
            </w:pPr>
            <w:r>
              <w:rPr>
                <w:spacing w:val="-4"/>
                <w:sz w:val="18"/>
              </w:rPr>
              <w:t>0.94</w:t>
            </w:r>
          </w:p>
        </w:tc>
        <w:tc>
          <w:tcPr>
            <w:tcW w:w="1069" w:type="dxa"/>
            <w:shd w:val="clear" w:color="auto" w:fill="CCE2ED"/>
          </w:tcPr>
          <w:p w14:paraId="5A9DCC33" w14:textId="77777777" w:rsidR="00141B97" w:rsidRDefault="00911D63">
            <w:pPr>
              <w:pStyle w:val="TableParagraph"/>
              <w:spacing w:before="26"/>
              <w:ind w:left="218" w:right="221"/>
              <w:jc w:val="center"/>
              <w:rPr>
                <w:sz w:val="18"/>
              </w:rPr>
            </w:pPr>
            <w:r>
              <w:rPr>
                <w:spacing w:val="-4"/>
                <w:sz w:val="18"/>
              </w:rPr>
              <w:t>0.94</w:t>
            </w:r>
          </w:p>
        </w:tc>
        <w:tc>
          <w:tcPr>
            <w:tcW w:w="1022" w:type="dxa"/>
            <w:shd w:val="clear" w:color="auto" w:fill="CCE2ED"/>
          </w:tcPr>
          <w:p w14:paraId="72AF9BB6" w14:textId="77777777" w:rsidR="00141B97" w:rsidRDefault="00911D63">
            <w:pPr>
              <w:pStyle w:val="TableParagraph"/>
              <w:spacing w:before="26"/>
              <w:ind w:left="192" w:right="196"/>
              <w:jc w:val="center"/>
              <w:rPr>
                <w:sz w:val="18"/>
              </w:rPr>
            </w:pPr>
            <w:r>
              <w:rPr>
                <w:spacing w:val="-4"/>
                <w:sz w:val="18"/>
              </w:rPr>
              <w:t>0.94</w:t>
            </w:r>
          </w:p>
        </w:tc>
        <w:tc>
          <w:tcPr>
            <w:tcW w:w="1021" w:type="dxa"/>
            <w:shd w:val="clear" w:color="auto" w:fill="CCE2ED"/>
          </w:tcPr>
          <w:p w14:paraId="55F5977E" w14:textId="77777777" w:rsidR="00141B97" w:rsidRDefault="00911D63">
            <w:pPr>
              <w:pStyle w:val="TableParagraph"/>
              <w:spacing w:before="26"/>
              <w:ind w:left="192" w:right="199"/>
              <w:jc w:val="center"/>
              <w:rPr>
                <w:sz w:val="18"/>
              </w:rPr>
            </w:pPr>
            <w:r>
              <w:rPr>
                <w:spacing w:val="-4"/>
                <w:sz w:val="18"/>
              </w:rPr>
              <w:t>0.94</w:t>
            </w:r>
          </w:p>
        </w:tc>
        <w:tc>
          <w:tcPr>
            <w:tcW w:w="1022" w:type="dxa"/>
            <w:shd w:val="clear" w:color="auto" w:fill="CCE2ED"/>
          </w:tcPr>
          <w:p w14:paraId="49C198B6" w14:textId="77777777" w:rsidR="00141B97" w:rsidRDefault="00911D63">
            <w:pPr>
              <w:pStyle w:val="TableParagraph"/>
              <w:spacing w:before="26"/>
              <w:ind w:left="189" w:right="196"/>
              <w:jc w:val="center"/>
              <w:rPr>
                <w:sz w:val="18"/>
              </w:rPr>
            </w:pPr>
            <w:r>
              <w:rPr>
                <w:spacing w:val="-4"/>
                <w:sz w:val="18"/>
              </w:rPr>
              <w:t>0.94</w:t>
            </w:r>
          </w:p>
        </w:tc>
        <w:tc>
          <w:tcPr>
            <w:tcW w:w="1015" w:type="dxa"/>
            <w:tcBorders>
              <w:right w:val="nil"/>
            </w:tcBorders>
            <w:shd w:val="clear" w:color="auto" w:fill="CCE2ED"/>
          </w:tcPr>
          <w:p w14:paraId="230C5317" w14:textId="77777777" w:rsidR="00141B97" w:rsidRDefault="00911D63">
            <w:pPr>
              <w:pStyle w:val="TableParagraph"/>
              <w:spacing w:before="26"/>
              <w:ind w:left="193" w:right="193"/>
              <w:jc w:val="center"/>
              <w:rPr>
                <w:sz w:val="18"/>
              </w:rPr>
            </w:pPr>
            <w:r>
              <w:rPr>
                <w:spacing w:val="-4"/>
                <w:sz w:val="18"/>
              </w:rPr>
              <w:t>0.94</w:t>
            </w:r>
          </w:p>
        </w:tc>
      </w:tr>
      <w:tr w:rsidR="00141B97" w14:paraId="668C7B7F" w14:textId="77777777">
        <w:trPr>
          <w:trHeight w:val="270"/>
          <w:tblCellSpacing w:w="9" w:type="dxa"/>
        </w:trPr>
        <w:tc>
          <w:tcPr>
            <w:tcW w:w="2584" w:type="dxa"/>
            <w:tcBorders>
              <w:left w:val="nil"/>
              <w:bottom w:val="nil"/>
            </w:tcBorders>
            <w:shd w:val="clear" w:color="auto" w:fill="CCE2ED"/>
          </w:tcPr>
          <w:p w14:paraId="605F9A58" w14:textId="77777777" w:rsidR="00141B97" w:rsidRDefault="00911D63">
            <w:pPr>
              <w:pStyle w:val="TableParagraph"/>
              <w:spacing w:before="26"/>
              <w:ind w:left="88"/>
              <w:rPr>
                <w:sz w:val="18"/>
              </w:rPr>
            </w:pPr>
            <w:r>
              <w:rPr>
                <w:sz w:val="18"/>
              </w:rPr>
              <w:t xml:space="preserve">Termination </w:t>
            </w:r>
            <w:r>
              <w:rPr>
                <w:spacing w:val="-4"/>
                <w:sz w:val="18"/>
              </w:rPr>
              <w:t>fees</w:t>
            </w:r>
          </w:p>
        </w:tc>
        <w:tc>
          <w:tcPr>
            <w:tcW w:w="1022" w:type="dxa"/>
            <w:tcBorders>
              <w:bottom w:val="nil"/>
            </w:tcBorders>
            <w:shd w:val="clear" w:color="auto" w:fill="CCE2ED"/>
          </w:tcPr>
          <w:p w14:paraId="4EB0FE34" w14:textId="77777777" w:rsidR="00141B97" w:rsidRDefault="00911D63">
            <w:pPr>
              <w:pStyle w:val="TableParagraph"/>
              <w:spacing w:before="26"/>
              <w:ind w:left="193" w:right="194"/>
              <w:jc w:val="center"/>
              <w:rPr>
                <w:sz w:val="18"/>
              </w:rPr>
            </w:pPr>
            <w:r>
              <w:rPr>
                <w:spacing w:val="-4"/>
                <w:sz w:val="18"/>
              </w:rPr>
              <w:t>0.14</w:t>
            </w:r>
          </w:p>
        </w:tc>
        <w:tc>
          <w:tcPr>
            <w:tcW w:w="993" w:type="dxa"/>
            <w:tcBorders>
              <w:bottom w:val="nil"/>
            </w:tcBorders>
            <w:shd w:val="clear" w:color="auto" w:fill="CCE2ED"/>
          </w:tcPr>
          <w:p w14:paraId="771501BB" w14:textId="77777777" w:rsidR="00141B97" w:rsidRDefault="00911D63">
            <w:pPr>
              <w:pStyle w:val="TableParagraph"/>
              <w:spacing w:before="26"/>
              <w:ind w:left="181" w:right="181"/>
              <w:jc w:val="center"/>
              <w:rPr>
                <w:sz w:val="18"/>
              </w:rPr>
            </w:pPr>
            <w:r>
              <w:rPr>
                <w:spacing w:val="-4"/>
                <w:sz w:val="18"/>
              </w:rPr>
              <w:t>0.14</w:t>
            </w:r>
          </w:p>
        </w:tc>
        <w:tc>
          <w:tcPr>
            <w:tcW w:w="1069" w:type="dxa"/>
            <w:tcBorders>
              <w:bottom w:val="nil"/>
            </w:tcBorders>
            <w:shd w:val="clear" w:color="auto" w:fill="CCE2ED"/>
          </w:tcPr>
          <w:p w14:paraId="7BF051E6" w14:textId="77777777" w:rsidR="00141B97" w:rsidRDefault="00911D63">
            <w:pPr>
              <w:pStyle w:val="TableParagraph"/>
              <w:spacing w:before="26"/>
              <w:ind w:left="218" w:right="221"/>
              <w:jc w:val="center"/>
              <w:rPr>
                <w:sz w:val="18"/>
              </w:rPr>
            </w:pPr>
            <w:r>
              <w:rPr>
                <w:spacing w:val="-4"/>
                <w:sz w:val="18"/>
              </w:rPr>
              <w:t>0.13</w:t>
            </w:r>
          </w:p>
        </w:tc>
        <w:tc>
          <w:tcPr>
            <w:tcW w:w="1022" w:type="dxa"/>
            <w:tcBorders>
              <w:bottom w:val="nil"/>
            </w:tcBorders>
            <w:shd w:val="clear" w:color="auto" w:fill="CCE2ED"/>
          </w:tcPr>
          <w:p w14:paraId="4D82E535" w14:textId="77777777" w:rsidR="00141B97" w:rsidRDefault="00911D63">
            <w:pPr>
              <w:pStyle w:val="TableParagraph"/>
              <w:spacing w:before="26"/>
              <w:ind w:left="192" w:right="196"/>
              <w:jc w:val="center"/>
              <w:rPr>
                <w:sz w:val="18"/>
              </w:rPr>
            </w:pPr>
            <w:r>
              <w:rPr>
                <w:spacing w:val="-4"/>
                <w:sz w:val="18"/>
              </w:rPr>
              <w:t>0.12</w:t>
            </w:r>
          </w:p>
        </w:tc>
        <w:tc>
          <w:tcPr>
            <w:tcW w:w="1021" w:type="dxa"/>
            <w:tcBorders>
              <w:bottom w:val="nil"/>
            </w:tcBorders>
            <w:shd w:val="clear" w:color="auto" w:fill="CCE2ED"/>
          </w:tcPr>
          <w:p w14:paraId="319FF773" w14:textId="77777777" w:rsidR="00141B97" w:rsidRDefault="00911D63">
            <w:pPr>
              <w:pStyle w:val="TableParagraph"/>
              <w:spacing w:before="26"/>
              <w:ind w:left="192" w:right="199"/>
              <w:jc w:val="center"/>
              <w:rPr>
                <w:sz w:val="18"/>
              </w:rPr>
            </w:pPr>
            <w:r>
              <w:rPr>
                <w:spacing w:val="-4"/>
                <w:sz w:val="18"/>
              </w:rPr>
              <w:t>0.11</w:t>
            </w:r>
          </w:p>
        </w:tc>
        <w:tc>
          <w:tcPr>
            <w:tcW w:w="1022" w:type="dxa"/>
            <w:tcBorders>
              <w:bottom w:val="nil"/>
            </w:tcBorders>
            <w:shd w:val="clear" w:color="auto" w:fill="CCE2ED"/>
          </w:tcPr>
          <w:p w14:paraId="60E4BE68" w14:textId="77777777" w:rsidR="00141B97" w:rsidRDefault="00911D63">
            <w:pPr>
              <w:pStyle w:val="TableParagraph"/>
              <w:spacing w:before="26"/>
              <w:ind w:left="189" w:right="196"/>
              <w:jc w:val="center"/>
              <w:rPr>
                <w:sz w:val="18"/>
              </w:rPr>
            </w:pPr>
            <w:r>
              <w:rPr>
                <w:spacing w:val="-4"/>
                <w:sz w:val="18"/>
              </w:rPr>
              <w:t>0.10</w:t>
            </w:r>
          </w:p>
        </w:tc>
        <w:tc>
          <w:tcPr>
            <w:tcW w:w="1015" w:type="dxa"/>
            <w:tcBorders>
              <w:bottom w:val="nil"/>
              <w:right w:val="nil"/>
            </w:tcBorders>
            <w:shd w:val="clear" w:color="auto" w:fill="CCE2ED"/>
          </w:tcPr>
          <w:p w14:paraId="42698E7F" w14:textId="77777777" w:rsidR="00141B97" w:rsidRDefault="00911D63">
            <w:pPr>
              <w:pStyle w:val="TableParagraph"/>
              <w:spacing w:before="26"/>
              <w:ind w:left="193" w:right="193"/>
              <w:jc w:val="center"/>
              <w:rPr>
                <w:sz w:val="18"/>
              </w:rPr>
            </w:pPr>
            <w:r>
              <w:rPr>
                <w:spacing w:val="-4"/>
                <w:sz w:val="18"/>
              </w:rPr>
              <w:t>0.10</w:t>
            </w:r>
          </w:p>
        </w:tc>
      </w:tr>
    </w:tbl>
    <w:p w14:paraId="366A9D6A" w14:textId="77777777" w:rsidR="00141B97" w:rsidRDefault="00911D63">
      <w:pPr>
        <w:spacing w:before="21"/>
        <w:ind w:left="114"/>
        <w:jc w:val="both"/>
        <w:rPr>
          <w:sz w:val="16"/>
        </w:rPr>
      </w:pPr>
      <w:r>
        <w:rPr>
          <w:sz w:val="16"/>
        </w:rPr>
        <w:t>Table</w:t>
      </w:r>
      <w:r>
        <w:rPr>
          <w:spacing w:val="-4"/>
          <w:sz w:val="16"/>
        </w:rPr>
        <w:t xml:space="preserve"> </w:t>
      </w:r>
      <w:r>
        <w:rPr>
          <w:sz w:val="16"/>
        </w:rPr>
        <w:t>C27:</w:t>
      </w:r>
      <w:r>
        <w:rPr>
          <w:spacing w:val="-4"/>
          <w:sz w:val="16"/>
        </w:rPr>
        <w:t xml:space="preserve"> </w:t>
      </w:r>
      <w:r>
        <w:rPr>
          <w:sz w:val="16"/>
        </w:rPr>
        <w:t>Other</w:t>
      </w:r>
      <w:r>
        <w:rPr>
          <w:spacing w:val="-5"/>
          <w:sz w:val="16"/>
        </w:rPr>
        <w:t xml:space="preserve"> </w:t>
      </w:r>
      <w:r>
        <w:rPr>
          <w:spacing w:val="-2"/>
          <w:sz w:val="16"/>
        </w:rPr>
        <w:t>Revenue</w:t>
      </w:r>
    </w:p>
    <w:p w14:paraId="3325C306" w14:textId="77777777" w:rsidR="00141B97" w:rsidRDefault="00141B97">
      <w:pPr>
        <w:pStyle w:val="BodyText"/>
        <w:rPr>
          <w:sz w:val="16"/>
        </w:rPr>
      </w:pPr>
    </w:p>
    <w:p w14:paraId="4AB79D03" w14:textId="77777777" w:rsidR="00141B97" w:rsidRDefault="00141B97">
      <w:pPr>
        <w:pStyle w:val="BodyText"/>
        <w:spacing w:before="2"/>
        <w:rPr>
          <w:sz w:val="15"/>
        </w:rPr>
      </w:pPr>
    </w:p>
    <w:p w14:paraId="010F6225" w14:textId="77777777" w:rsidR="00141B97" w:rsidRDefault="00911D63">
      <w:pPr>
        <w:pStyle w:val="Heading2"/>
        <w:numPr>
          <w:ilvl w:val="1"/>
          <w:numId w:val="37"/>
        </w:numPr>
        <w:tabs>
          <w:tab w:val="left" w:pos="1113"/>
        </w:tabs>
        <w:jc w:val="both"/>
        <w:rPr>
          <w:color w:val="009BAC"/>
        </w:rPr>
      </w:pPr>
      <w:r>
        <w:rPr>
          <w:color w:val="009BAC"/>
        </w:rPr>
        <w:t>Return</w:t>
      </w:r>
      <w:r>
        <w:rPr>
          <w:color w:val="009BAC"/>
          <w:spacing w:val="-5"/>
        </w:rPr>
        <w:t xml:space="preserve"> </w:t>
      </w:r>
      <w:r>
        <w:rPr>
          <w:color w:val="009BAC"/>
        </w:rPr>
        <w:t>on</w:t>
      </w:r>
      <w:r>
        <w:rPr>
          <w:color w:val="009BAC"/>
          <w:spacing w:val="-5"/>
        </w:rPr>
        <w:t xml:space="preserve"> </w:t>
      </w:r>
      <w:r>
        <w:rPr>
          <w:color w:val="009BAC"/>
        </w:rPr>
        <w:t>the</w:t>
      </w:r>
      <w:r>
        <w:rPr>
          <w:color w:val="009BAC"/>
          <w:spacing w:val="-6"/>
        </w:rPr>
        <w:t xml:space="preserve"> </w:t>
      </w:r>
      <w:r>
        <w:rPr>
          <w:color w:val="009BAC"/>
          <w:spacing w:val="-5"/>
        </w:rPr>
        <w:t>RAB</w:t>
      </w:r>
    </w:p>
    <w:p w14:paraId="4634E80D" w14:textId="77777777" w:rsidR="00141B97" w:rsidRDefault="00141B97">
      <w:pPr>
        <w:pStyle w:val="BodyText"/>
        <w:spacing w:before="9"/>
        <w:rPr>
          <w:sz w:val="20"/>
        </w:rPr>
      </w:pPr>
    </w:p>
    <w:p w14:paraId="76B726EB" w14:textId="77777777" w:rsidR="00141B97" w:rsidRDefault="00911D63">
      <w:pPr>
        <w:pStyle w:val="ListParagraph"/>
        <w:numPr>
          <w:ilvl w:val="2"/>
          <w:numId w:val="37"/>
        </w:numPr>
        <w:tabs>
          <w:tab w:val="left" w:pos="1112"/>
          <w:tab w:val="left" w:pos="1113"/>
        </w:tabs>
        <w:ind w:left="1112"/>
        <w:jc w:val="both"/>
      </w:pPr>
      <w:r>
        <w:t>Rolling</w:t>
      </w:r>
      <w:r>
        <w:rPr>
          <w:spacing w:val="-7"/>
        </w:rPr>
        <w:t xml:space="preserve"> </w:t>
      </w:r>
      <w:r>
        <w:t>Forward</w:t>
      </w:r>
      <w:r>
        <w:rPr>
          <w:spacing w:val="-8"/>
        </w:rPr>
        <w:t xml:space="preserve"> </w:t>
      </w:r>
      <w:r>
        <w:t>the</w:t>
      </w:r>
      <w:r>
        <w:rPr>
          <w:spacing w:val="-6"/>
        </w:rPr>
        <w:t xml:space="preserve"> </w:t>
      </w:r>
      <w:r>
        <w:rPr>
          <w:spacing w:val="-5"/>
        </w:rPr>
        <w:t>RAB</w:t>
      </w:r>
    </w:p>
    <w:p w14:paraId="6B5CF5C3" w14:textId="77777777" w:rsidR="00141B97" w:rsidRDefault="00911D63">
      <w:pPr>
        <w:pStyle w:val="BodyText"/>
        <w:spacing w:before="59"/>
        <w:ind w:left="113" w:right="947"/>
        <w:jc w:val="both"/>
      </w:pPr>
      <w:r>
        <w:t>The revenue requirement includes a return on the RAB and depreciation of the RAB. The RAB is rolled forward over time by adding new capital expenditure and deducting government and customer contributions, asset disposals expected for each price review period, and RAB depreciation.</w:t>
      </w:r>
    </w:p>
    <w:p w14:paraId="684D255C" w14:textId="77777777" w:rsidR="00141B97" w:rsidRDefault="00141B97">
      <w:pPr>
        <w:pStyle w:val="BodyText"/>
      </w:pPr>
    </w:p>
    <w:p w14:paraId="729F2D6F" w14:textId="77777777" w:rsidR="00141B97" w:rsidRDefault="00911D63">
      <w:pPr>
        <w:pStyle w:val="BodyText"/>
        <w:ind w:left="114" w:right="947" w:hanging="1"/>
        <w:jc w:val="both"/>
      </w:pPr>
      <w:r>
        <w:t>At</w:t>
      </w:r>
      <w:r>
        <w:rPr>
          <w:spacing w:val="-8"/>
        </w:rPr>
        <w:t xml:space="preserve"> </w:t>
      </w:r>
      <w:r>
        <w:t>the</w:t>
      </w:r>
      <w:r>
        <w:rPr>
          <w:spacing w:val="-9"/>
        </w:rPr>
        <w:t xml:space="preserve"> </w:t>
      </w:r>
      <w:r>
        <w:t>start</w:t>
      </w:r>
      <w:r>
        <w:rPr>
          <w:spacing w:val="-7"/>
        </w:rPr>
        <w:t xml:space="preserve"> </w:t>
      </w:r>
      <w:r>
        <w:t>of</w:t>
      </w:r>
      <w:r>
        <w:rPr>
          <w:spacing w:val="-6"/>
        </w:rPr>
        <w:t xml:space="preserve"> </w:t>
      </w:r>
      <w:r>
        <w:t>a</w:t>
      </w:r>
      <w:r>
        <w:rPr>
          <w:spacing w:val="-8"/>
        </w:rPr>
        <w:t xml:space="preserve"> </w:t>
      </w:r>
      <w:r>
        <w:t>new</w:t>
      </w:r>
      <w:r>
        <w:rPr>
          <w:spacing w:val="-7"/>
        </w:rPr>
        <w:t xml:space="preserve"> </w:t>
      </w:r>
      <w:r>
        <w:t>review</w:t>
      </w:r>
      <w:r>
        <w:rPr>
          <w:spacing w:val="-6"/>
        </w:rPr>
        <w:t xml:space="preserve"> </w:t>
      </w:r>
      <w:r>
        <w:t>period,</w:t>
      </w:r>
      <w:r>
        <w:rPr>
          <w:spacing w:val="-8"/>
        </w:rPr>
        <w:t xml:space="preserve"> </w:t>
      </w:r>
      <w:r>
        <w:t>the</w:t>
      </w:r>
      <w:r>
        <w:rPr>
          <w:spacing w:val="-7"/>
        </w:rPr>
        <w:t xml:space="preserve"> </w:t>
      </w:r>
      <w:r>
        <w:t>RAB</w:t>
      </w:r>
      <w:r>
        <w:rPr>
          <w:spacing w:val="-8"/>
        </w:rPr>
        <w:t xml:space="preserve"> </w:t>
      </w:r>
      <w:r>
        <w:t>is</w:t>
      </w:r>
      <w:r>
        <w:rPr>
          <w:spacing w:val="-6"/>
        </w:rPr>
        <w:t xml:space="preserve"> </w:t>
      </w:r>
      <w:r>
        <w:t>updated</w:t>
      </w:r>
      <w:r>
        <w:rPr>
          <w:spacing w:val="-8"/>
        </w:rPr>
        <w:t xml:space="preserve"> </w:t>
      </w:r>
      <w:r>
        <w:t>for</w:t>
      </w:r>
      <w:r>
        <w:rPr>
          <w:spacing w:val="-7"/>
        </w:rPr>
        <w:t xml:space="preserve"> </w:t>
      </w:r>
      <w:r>
        <w:t>actual</w:t>
      </w:r>
      <w:r>
        <w:rPr>
          <w:spacing w:val="-7"/>
        </w:rPr>
        <w:t xml:space="preserve"> </w:t>
      </w:r>
      <w:r>
        <w:t>outcomes</w:t>
      </w:r>
      <w:r>
        <w:rPr>
          <w:spacing w:val="-5"/>
        </w:rPr>
        <w:t xml:space="preserve"> </w:t>
      </w:r>
      <w:r>
        <w:t>with</w:t>
      </w:r>
      <w:r>
        <w:rPr>
          <w:spacing w:val="-7"/>
        </w:rPr>
        <w:t xml:space="preserve"> </w:t>
      </w:r>
      <w:r>
        <w:t>respect</w:t>
      </w:r>
      <w:r>
        <w:rPr>
          <w:spacing w:val="-8"/>
        </w:rPr>
        <w:t xml:space="preserve"> </w:t>
      </w:r>
      <w:r>
        <w:t>to</w:t>
      </w:r>
      <w:r>
        <w:rPr>
          <w:spacing w:val="-8"/>
        </w:rPr>
        <w:t xml:space="preserve"> </w:t>
      </w:r>
      <w:r>
        <w:t>capital</w:t>
      </w:r>
      <w:r>
        <w:rPr>
          <w:spacing w:val="-7"/>
        </w:rPr>
        <w:t xml:space="preserve"> </w:t>
      </w:r>
      <w:r>
        <w:t>expenditure, contributions, and disposals for the current regulatory period. As the final year of the fourth regulatory period is not complete, 2022‐23 capital expenditure, contributions and disposals remain as per the 2018 Price Determination and will not be updated until the 6th regulatory review.</w:t>
      </w:r>
    </w:p>
    <w:p w14:paraId="5F9EF48E" w14:textId="77777777" w:rsidR="00141B97" w:rsidRDefault="00141B97">
      <w:pPr>
        <w:pStyle w:val="BodyText"/>
      </w:pPr>
    </w:p>
    <w:p w14:paraId="7018E7E4" w14:textId="77777777" w:rsidR="00141B97" w:rsidRDefault="00911D63">
      <w:pPr>
        <w:pStyle w:val="BodyText"/>
        <w:ind w:left="114" w:right="947" w:hanging="1"/>
        <w:jc w:val="both"/>
      </w:pPr>
      <w:r>
        <w:t>Forecast capital expenditure for 2022‐23 is anticipated to be greater than that originally budgeted for, which means</w:t>
      </w:r>
      <w:r>
        <w:rPr>
          <w:spacing w:val="-13"/>
        </w:rPr>
        <w:t xml:space="preserve"> </w:t>
      </w:r>
      <w:r>
        <w:t>that</w:t>
      </w:r>
      <w:r>
        <w:rPr>
          <w:spacing w:val="-12"/>
        </w:rPr>
        <w:t xml:space="preserve"> </w:t>
      </w:r>
      <w:r>
        <w:t>LMW</w:t>
      </w:r>
      <w:r>
        <w:rPr>
          <w:spacing w:val="-12"/>
        </w:rPr>
        <w:t xml:space="preserve"> </w:t>
      </w:r>
      <w:r>
        <w:t>will</w:t>
      </w:r>
      <w:r>
        <w:rPr>
          <w:spacing w:val="-13"/>
        </w:rPr>
        <w:t xml:space="preserve"> </w:t>
      </w:r>
      <w:r>
        <w:t>not</w:t>
      </w:r>
      <w:r>
        <w:rPr>
          <w:spacing w:val="-12"/>
        </w:rPr>
        <w:t xml:space="preserve"> </w:t>
      </w:r>
      <w:r>
        <w:t>receive</w:t>
      </w:r>
      <w:r>
        <w:rPr>
          <w:spacing w:val="-12"/>
        </w:rPr>
        <w:t xml:space="preserve"> </w:t>
      </w:r>
      <w:r>
        <w:t>a</w:t>
      </w:r>
      <w:r>
        <w:rPr>
          <w:spacing w:val="-12"/>
        </w:rPr>
        <w:t xml:space="preserve"> </w:t>
      </w:r>
      <w:r>
        <w:t>return</w:t>
      </w:r>
      <w:r>
        <w:rPr>
          <w:spacing w:val="-12"/>
        </w:rPr>
        <w:t xml:space="preserve"> </w:t>
      </w:r>
      <w:r>
        <w:t>on</w:t>
      </w:r>
      <w:r>
        <w:rPr>
          <w:spacing w:val="-11"/>
        </w:rPr>
        <w:t xml:space="preserve"> </w:t>
      </w:r>
      <w:r>
        <w:t>or</w:t>
      </w:r>
      <w:r>
        <w:rPr>
          <w:spacing w:val="-10"/>
        </w:rPr>
        <w:t xml:space="preserve"> </w:t>
      </w:r>
      <w:r>
        <w:t>of</w:t>
      </w:r>
      <w:r>
        <w:rPr>
          <w:spacing w:val="-12"/>
        </w:rPr>
        <w:t xml:space="preserve"> </w:t>
      </w:r>
      <w:r>
        <w:t>this</w:t>
      </w:r>
      <w:r>
        <w:rPr>
          <w:spacing w:val="-12"/>
        </w:rPr>
        <w:t xml:space="preserve"> </w:t>
      </w:r>
      <w:r>
        <w:t>additional</w:t>
      </w:r>
      <w:r>
        <w:rPr>
          <w:spacing w:val="-13"/>
        </w:rPr>
        <w:t xml:space="preserve"> </w:t>
      </w:r>
      <w:r>
        <w:t>planned</w:t>
      </w:r>
      <w:r>
        <w:rPr>
          <w:spacing w:val="-12"/>
        </w:rPr>
        <w:t xml:space="preserve"> </w:t>
      </w:r>
      <w:r>
        <w:t>expenditure</w:t>
      </w:r>
      <w:r>
        <w:rPr>
          <w:spacing w:val="-13"/>
        </w:rPr>
        <w:t xml:space="preserve"> </w:t>
      </w:r>
      <w:r>
        <w:t>during</w:t>
      </w:r>
      <w:r>
        <w:rPr>
          <w:spacing w:val="-11"/>
        </w:rPr>
        <w:t xml:space="preserve"> </w:t>
      </w:r>
      <w:r>
        <w:t>the</w:t>
      </w:r>
      <w:r>
        <w:rPr>
          <w:spacing w:val="-12"/>
        </w:rPr>
        <w:t xml:space="preserve"> </w:t>
      </w:r>
      <w:r>
        <w:t>fifth</w:t>
      </w:r>
      <w:r>
        <w:rPr>
          <w:spacing w:val="-12"/>
        </w:rPr>
        <w:t xml:space="preserve"> </w:t>
      </w:r>
      <w:r>
        <w:t>regulatory period.</w:t>
      </w:r>
      <w:r>
        <w:rPr>
          <w:spacing w:val="40"/>
        </w:rPr>
        <w:t xml:space="preserve"> </w:t>
      </w:r>
      <w:r>
        <w:t>Table C28 shows the updated roll forward calculation for the RAB, with actuals included for the years 2017‐18 to 2021‐22.</w:t>
      </w:r>
    </w:p>
    <w:p w14:paraId="0684FCC9" w14:textId="77777777" w:rsidR="00141B97" w:rsidRDefault="00141B97">
      <w:pPr>
        <w:pStyle w:val="BodyText"/>
      </w:pPr>
    </w:p>
    <w:p w14:paraId="36E24E50" w14:textId="77777777" w:rsidR="00141B97" w:rsidRDefault="00911D63">
      <w:pPr>
        <w:pStyle w:val="BodyText"/>
        <w:ind w:left="114" w:right="949" w:hanging="1"/>
        <w:jc w:val="both"/>
      </w:pPr>
      <w:r>
        <w:t>Refer</w:t>
      </w:r>
      <w:r>
        <w:rPr>
          <w:spacing w:val="-13"/>
        </w:rPr>
        <w:t xml:space="preserve"> </w:t>
      </w:r>
      <w:r>
        <w:t>to</w:t>
      </w:r>
      <w:r>
        <w:rPr>
          <w:spacing w:val="-12"/>
        </w:rPr>
        <w:t xml:space="preserve"> </w:t>
      </w:r>
      <w:r>
        <w:t>Section</w:t>
      </w:r>
      <w:r>
        <w:rPr>
          <w:spacing w:val="-13"/>
        </w:rPr>
        <w:t xml:space="preserve"> </w:t>
      </w:r>
      <w:r>
        <w:t>2.5.2</w:t>
      </w:r>
      <w:r>
        <w:rPr>
          <w:spacing w:val="-12"/>
        </w:rPr>
        <w:t xml:space="preserve"> </w:t>
      </w:r>
      <w:r>
        <w:t>above</w:t>
      </w:r>
      <w:r>
        <w:rPr>
          <w:spacing w:val="-13"/>
        </w:rPr>
        <w:t xml:space="preserve"> </w:t>
      </w:r>
      <w:r>
        <w:t>for</w:t>
      </w:r>
      <w:r>
        <w:rPr>
          <w:spacing w:val="-12"/>
        </w:rPr>
        <w:t xml:space="preserve"> </w:t>
      </w:r>
      <w:r>
        <w:t>details</w:t>
      </w:r>
      <w:r>
        <w:rPr>
          <w:spacing w:val="-13"/>
        </w:rPr>
        <w:t xml:space="preserve"> </w:t>
      </w:r>
      <w:r>
        <w:t>of</w:t>
      </w:r>
      <w:r>
        <w:rPr>
          <w:spacing w:val="-12"/>
        </w:rPr>
        <w:t xml:space="preserve"> </w:t>
      </w:r>
      <w:r>
        <w:t>those</w:t>
      </w:r>
      <w:r>
        <w:rPr>
          <w:spacing w:val="-12"/>
        </w:rPr>
        <w:t xml:space="preserve"> </w:t>
      </w:r>
      <w:r>
        <w:t>government</w:t>
      </w:r>
      <w:r>
        <w:rPr>
          <w:spacing w:val="-13"/>
        </w:rPr>
        <w:t xml:space="preserve"> </w:t>
      </w:r>
      <w:r>
        <w:t>and</w:t>
      </w:r>
      <w:r>
        <w:rPr>
          <w:spacing w:val="-12"/>
        </w:rPr>
        <w:t xml:space="preserve"> </w:t>
      </w:r>
      <w:r>
        <w:t>customer</w:t>
      </w:r>
      <w:r>
        <w:rPr>
          <w:spacing w:val="-13"/>
        </w:rPr>
        <w:t xml:space="preserve"> </w:t>
      </w:r>
      <w:r>
        <w:t>contributions</w:t>
      </w:r>
      <w:r>
        <w:rPr>
          <w:spacing w:val="-12"/>
        </w:rPr>
        <w:t xml:space="preserve"> </w:t>
      </w:r>
      <w:r>
        <w:t>that</w:t>
      </w:r>
      <w:r>
        <w:rPr>
          <w:spacing w:val="-13"/>
        </w:rPr>
        <w:t xml:space="preserve"> </w:t>
      </w:r>
      <w:r>
        <w:t>relate</w:t>
      </w:r>
      <w:r>
        <w:rPr>
          <w:spacing w:val="-12"/>
        </w:rPr>
        <w:t xml:space="preserve"> </w:t>
      </w:r>
      <w:r>
        <w:t>to</w:t>
      </w:r>
      <w:r>
        <w:rPr>
          <w:spacing w:val="-12"/>
        </w:rPr>
        <w:t xml:space="preserve"> </w:t>
      </w:r>
      <w:r>
        <w:t>the</w:t>
      </w:r>
      <w:r>
        <w:rPr>
          <w:spacing w:val="-13"/>
        </w:rPr>
        <w:t xml:space="preserve"> </w:t>
      </w:r>
      <w:r>
        <w:t xml:space="preserve">SMP2 </w:t>
      </w:r>
      <w:r>
        <w:rPr>
          <w:spacing w:val="-2"/>
        </w:rPr>
        <w:t>project.</w:t>
      </w:r>
    </w:p>
    <w:p w14:paraId="22E31BBF" w14:textId="77777777" w:rsidR="00141B97" w:rsidRDefault="00141B97">
      <w:pPr>
        <w:jc w:val="both"/>
        <w:sectPr w:rsidR="00141B97">
          <w:pgSz w:w="11910" w:h="16840"/>
          <w:pgMar w:top="820" w:right="40" w:bottom="780" w:left="1020" w:header="0" w:footer="586" w:gutter="0"/>
          <w:cols w:space="720"/>
        </w:sect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025"/>
        <w:gridCol w:w="1145"/>
        <w:gridCol w:w="1145"/>
        <w:gridCol w:w="1144"/>
        <w:gridCol w:w="1144"/>
        <w:gridCol w:w="1145"/>
        <w:gridCol w:w="1140"/>
      </w:tblGrid>
      <w:tr w:rsidR="00141B97" w14:paraId="4D5C40CA" w14:textId="77777777">
        <w:trPr>
          <w:trHeight w:val="495"/>
          <w:tblCellSpacing w:w="9" w:type="dxa"/>
        </w:trPr>
        <w:tc>
          <w:tcPr>
            <w:tcW w:w="2998" w:type="dxa"/>
            <w:tcBorders>
              <w:top w:val="nil"/>
              <w:left w:val="nil"/>
            </w:tcBorders>
            <w:shd w:val="clear" w:color="auto" w:fill="006CA3"/>
          </w:tcPr>
          <w:p w14:paraId="7DAC2934" w14:textId="77777777" w:rsidR="00141B97" w:rsidRDefault="00911D63">
            <w:pPr>
              <w:pStyle w:val="TableParagraph"/>
              <w:spacing w:before="139"/>
              <w:ind w:left="88"/>
              <w:rPr>
                <w:sz w:val="18"/>
              </w:rPr>
            </w:pPr>
            <w:r>
              <w:rPr>
                <w:color w:val="FFFFFF"/>
                <w:sz w:val="18"/>
              </w:rPr>
              <w:lastRenderedPageBreak/>
              <w:t>Updated</w:t>
            </w:r>
            <w:r>
              <w:rPr>
                <w:color w:val="FFFFFF"/>
                <w:spacing w:val="-7"/>
                <w:sz w:val="18"/>
              </w:rPr>
              <w:t xml:space="preserve"> </w:t>
            </w:r>
            <w:r>
              <w:rPr>
                <w:color w:val="FFFFFF"/>
                <w:sz w:val="18"/>
              </w:rPr>
              <w:t>Asset</w:t>
            </w:r>
            <w:r>
              <w:rPr>
                <w:color w:val="FFFFFF"/>
                <w:spacing w:val="-5"/>
                <w:sz w:val="18"/>
              </w:rPr>
              <w:t xml:space="preserve"> </w:t>
            </w:r>
            <w:r>
              <w:rPr>
                <w:color w:val="FFFFFF"/>
                <w:spacing w:val="-4"/>
                <w:sz w:val="18"/>
              </w:rPr>
              <w:t>Base</w:t>
            </w:r>
          </w:p>
        </w:tc>
        <w:tc>
          <w:tcPr>
            <w:tcW w:w="1127" w:type="dxa"/>
            <w:tcBorders>
              <w:top w:val="nil"/>
            </w:tcBorders>
            <w:shd w:val="clear" w:color="auto" w:fill="006CA3"/>
          </w:tcPr>
          <w:p w14:paraId="50B5A048" w14:textId="77777777" w:rsidR="00141B97" w:rsidRDefault="00911D63">
            <w:pPr>
              <w:pStyle w:val="TableParagraph"/>
              <w:spacing w:before="139"/>
              <w:ind w:left="173"/>
              <w:rPr>
                <w:sz w:val="18"/>
              </w:rPr>
            </w:pPr>
            <w:r>
              <w:rPr>
                <w:color w:val="FFFFFF"/>
                <w:sz w:val="18"/>
              </w:rPr>
              <w:t>3rd</w:t>
            </w:r>
            <w:r>
              <w:rPr>
                <w:color w:val="FFFFFF"/>
                <w:spacing w:val="-3"/>
                <w:sz w:val="18"/>
              </w:rPr>
              <w:t xml:space="preserve"> </w:t>
            </w:r>
            <w:r>
              <w:rPr>
                <w:color w:val="FFFFFF"/>
                <w:spacing w:val="-2"/>
                <w:sz w:val="18"/>
              </w:rPr>
              <w:t>Period</w:t>
            </w:r>
          </w:p>
        </w:tc>
        <w:tc>
          <w:tcPr>
            <w:tcW w:w="5619" w:type="dxa"/>
            <w:gridSpan w:val="5"/>
            <w:tcBorders>
              <w:top w:val="nil"/>
              <w:right w:val="nil"/>
            </w:tcBorders>
            <w:shd w:val="clear" w:color="auto" w:fill="006CA3"/>
          </w:tcPr>
          <w:p w14:paraId="62D2D5AD" w14:textId="77777777" w:rsidR="00141B97" w:rsidRDefault="00911D63">
            <w:pPr>
              <w:pStyle w:val="TableParagraph"/>
              <w:spacing w:before="139"/>
              <w:ind w:left="1897" w:right="1892"/>
              <w:jc w:val="center"/>
              <w:rPr>
                <w:sz w:val="18"/>
              </w:rPr>
            </w:pPr>
            <w:r>
              <w:rPr>
                <w:color w:val="FFFFFF"/>
                <w:sz w:val="18"/>
              </w:rPr>
              <w:t>Fourth</w:t>
            </w:r>
            <w:r>
              <w:rPr>
                <w:color w:val="FFFFFF"/>
                <w:spacing w:val="-8"/>
                <w:sz w:val="18"/>
              </w:rPr>
              <w:t xml:space="preserve"> </w:t>
            </w:r>
            <w:r>
              <w:rPr>
                <w:color w:val="FFFFFF"/>
                <w:sz w:val="18"/>
              </w:rPr>
              <w:t>Regulatory</w:t>
            </w:r>
            <w:r>
              <w:rPr>
                <w:color w:val="FFFFFF"/>
                <w:spacing w:val="-8"/>
                <w:sz w:val="18"/>
              </w:rPr>
              <w:t xml:space="preserve"> </w:t>
            </w:r>
            <w:r>
              <w:rPr>
                <w:color w:val="FFFFFF"/>
                <w:spacing w:val="-2"/>
                <w:sz w:val="18"/>
              </w:rPr>
              <w:t>Period</w:t>
            </w:r>
          </w:p>
        </w:tc>
      </w:tr>
      <w:tr w:rsidR="00141B97" w14:paraId="5ADDC7C1" w14:textId="77777777">
        <w:trPr>
          <w:trHeight w:val="270"/>
          <w:tblCellSpacing w:w="9" w:type="dxa"/>
        </w:trPr>
        <w:tc>
          <w:tcPr>
            <w:tcW w:w="2998" w:type="dxa"/>
            <w:tcBorders>
              <w:left w:val="nil"/>
            </w:tcBorders>
            <w:shd w:val="clear" w:color="auto" w:fill="006CA3"/>
          </w:tcPr>
          <w:p w14:paraId="672E5148" w14:textId="77777777" w:rsidR="00141B97" w:rsidRDefault="00911D63">
            <w:pPr>
              <w:pStyle w:val="TableParagraph"/>
              <w:spacing w:before="26"/>
              <w:ind w:left="88"/>
              <w:rPr>
                <w:sz w:val="18"/>
              </w:rPr>
            </w:pPr>
            <w:r>
              <w:rPr>
                <w:color w:val="FFFFFF"/>
                <w:sz w:val="18"/>
              </w:rPr>
              <w:t>$m,</w:t>
            </w:r>
            <w:r>
              <w:rPr>
                <w:color w:val="FFFFFF"/>
                <w:spacing w:val="-3"/>
                <w:sz w:val="18"/>
              </w:rPr>
              <w:t xml:space="preserve"> </w:t>
            </w:r>
            <w:r>
              <w:rPr>
                <w:color w:val="FFFFFF"/>
                <w:spacing w:val="-2"/>
                <w:sz w:val="18"/>
              </w:rPr>
              <w:t>1/1/23</w:t>
            </w:r>
          </w:p>
        </w:tc>
        <w:tc>
          <w:tcPr>
            <w:tcW w:w="1127" w:type="dxa"/>
            <w:shd w:val="clear" w:color="auto" w:fill="006CA3"/>
          </w:tcPr>
          <w:p w14:paraId="76F1376E" w14:textId="77777777" w:rsidR="00141B97" w:rsidRDefault="00911D63">
            <w:pPr>
              <w:pStyle w:val="TableParagraph"/>
              <w:spacing w:before="51" w:line="199" w:lineRule="exact"/>
              <w:ind w:left="251"/>
              <w:rPr>
                <w:sz w:val="18"/>
              </w:rPr>
            </w:pPr>
            <w:r>
              <w:rPr>
                <w:color w:val="FFFFFF"/>
                <w:spacing w:val="-2"/>
                <w:sz w:val="18"/>
              </w:rPr>
              <w:t>2017‐18</w:t>
            </w:r>
          </w:p>
        </w:tc>
        <w:tc>
          <w:tcPr>
            <w:tcW w:w="1127" w:type="dxa"/>
            <w:shd w:val="clear" w:color="auto" w:fill="006CA3"/>
          </w:tcPr>
          <w:p w14:paraId="1EE875F7" w14:textId="77777777" w:rsidR="00141B97" w:rsidRDefault="00911D63">
            <w:pPr>
              <w:pStyle w:val="TableParagraph"/>
              <w:spacing w:before="51" w:line="199" w:lineRule="exact"/>
              <w:ind w:left="249"/>
              <w:rPr>
                <w:sz w:val="18"/>
              </w:rPr>
            </w:pPr>
            <w:r>
              <w:rPr>
                <w:color w:val="FFFFFF"/>
                <w:spacing w:val="-2"/>
                <w:sz w:val="18"/>
              </w:rPr>
              <w:t>2018‐19</w:t>
            </w:r>
          </w:p>
        </w:tc>
        <w:tc>
          <w:tcPr>
            <w:tcW w:w="1126" w:type="dxa"/>
            <w:shd w:val="clear" w:color="auto" w:fill="006CA3"/>
          </w:tcPr>
          <w:p w14:paraId="57025A13" w14:textId="77777777" w:rsidR="00141B97" w:rsidRDefault="00911D63">
            <w:pPr>
              <w:pStyle w:val="TableParagraph"/>
              <w:spacing w:before="51" w:line="199" w:lineRule="exact"/>
              <w:ind w:left="249"/>
              <w:rPr>
                <w:sz w:val="18"/>
              </w:rPr>
            </w:pPr>
            <w:r>
              <w:rPr>
                <w:color w:val="FFFFFF"/>
                <w:spacing w:val="-2"/>
                <w:sz w:val="18"/>
              </w:rPr>
              <w:t>2019‐20</w:t>
            </w:r>
          </w:p>
        </w:tc>
        <w:tc>
          <w:tcPr>
            <w:tcW w:w="1126" w:type="dxa"/>
            <w:shd w:val="clear" w:color="auto" w:fill="006CA3"/>
          </w:tcPr>
          <w:p w14:paraId="10466079" w14:textId="77777777" w:rsidR="00141B97" w:rsidRDefault="00911D63">
            <w:pPr>
              <w:pStyle w:val="TableParagraph"/>
              <w:spacing w:before="51" w:line="199" w:lineRule="exact"/>
              <w:ind w:left="249"/>
              <w:rPr>
                <w:sz w:val="18"/>
              </w:rPr>
            </w:pPr>
            <w:r>
              <w:rPr>
                <w:color w:val="FFFFFF"/>
                <w:spacing w:val="-2"/>
                <w:sz w:val="18"/>
              </w:rPr>
              <w:t>2020‐21</w:t>
            </w:r>
          </w:p>
        </w:tc>
        <w:tc>
          <w:tcPr>
            <w:tcW w:w="1127" w:type="dxa"/>
            <w:shd w:val="clear" w:color="auto" w:fill="006CA3"/>
          </w:tcPr>
          <w:p w14:paraId="76EFC610" w14:textId="77777777" w:rsidR="00141B97" w:rsidRDefault="00911D63">
            <w:pPr>
              <w:pStyle w:val="TableParagraph"/>
              <w:spacing w:before="51" w:line="199" w:lineRule="exact"/>
              <w:ind w:left="248"/>
              <w:rPr>
                <w:sz w:val="18"/>
              </w:rPr>
            </w:pPr>
            <w:r>
              <w:rPr>
                <w:color w:val="FFFFFF"/>
                <w:spacing w:val="-2"/>
                <w:sz w:val="18"/>
              </w:rPr>
              <w:t>2021‐22</w:t>
            </w:r>
          </w:p>
        </w:tc>
        <w:tc>
          <w:tcPr>
            <w:tcW w:w="1113" w:type="dxa"/>
            <w:tcBorders>
              <w:right w:val="nil"/>
            </w:tcBorders>
            <w:shd w:val="clear" w:color="auto" w:fill="006CA3"/>
          </w:tcPr>
          <w:p w14:paraId="678E5849" w14:textId="77777777" w:rsidR="00141B97" w:rsidRDefault="00911D63">
            <w:pPr>
              <w:pStyle w:val="TableParagraph"/>
              <w:spacing w:before="51" w:line="199" w:lineRule="exact"/>
              <w:ind w:left="247"/>
              <w:rPr>
                <w:sz w:val="18"/>
              </w:rPr>
            </w:pPr>
            <w:r>
              <w:rPr>
                <w:color w:val="FFFFFF"/>
                <w:spacing w:val="-2"/>
                <w:sz w:val="18"/>
              </w:rPr>
              <w:t>2022‐23</w:t>
            </w:r>
          </w:p>
        </w:tc>
      </w:tr>
      <w:tr w:rsidR="00141B97" w14:paraId="1C291583" w14:textId="77777777">
        <w:trPr>
          <w:trHeight w:val="270"/>
          <w:tblCellSpacing w:w="9" w:type="dxa"/>
        </w:trPr>
        <w:tc>
          <w:tcPr>
            <w:tcW w:w="2998" w:type="dxa"/>
            <w:tcBorders>
              <w:left w:val="nil"/>
            </w:tcBorders>
            <w:shd w:val="clear" w:color="auto" w:fill="CCE2ED"/>
          </w:tcPr>
          <w:p w14:paraId="09450BC9" w14:textId="77777777" w:rsidR="00141B97" w:rsidRDefault="00911D63">
            <w:pPr>
              <w:pStyle w:val="TableParagraph"/>
              <w:spacing w:before="26"/>
              <w:ind w:left="88"/>
              <w:rPr>
                <w:sz w:val="18"/>
              </w:rPr>
            </w:pPr>
            <w:r>
              <w:rPr>
                <w:sz w:val="18"/>
              </w:rPr>
              <w:t>Opening</w:t>
            </w:r>
            <w:r>
              <w:rPr>
                <w:spacing w:val="-9"/>
                <w:sz w:val="18"/>
              </w:rPr>
              <w:t xml:space="preserve"> </w:t>
            </w:r>
            <w:r>
              <w:rPr>
                <w:sz w:val="18"/>
              </w:rPr>
              <w:t>asset</w:t>
            </w:r>
            <w:r>
              <w:rPr>
                <w:spacing w:val="-8"/>
                <w:sz w:val="18"/>
              </w:rPr>
              <w:t xml:space="preserve"> </w:t>
            </w:r>
            <w:r>
              <w:rPr>
                <w:spacing w:val="-4"/>
                <w:sz w:val="18"/>
              </w:rPr>
              <w:t>base</w:t>
            </w:r>
          </w:p>
        </w:tc>
        <w:tc>
          <w:tcPr>
            <w:tcW w:w="1127" w:type="dxa"/>
            <w:shd w:val="clear" w:color="auto" w:fill="CCE2ED"/>
          </w:tcPr>
          <w:p w14:paraId="38E1DB3D" w14:textId="77777777" w:rsidR="00141B97" w:rsidRDefault="00911D63">
            <w:pPr>
              <w:pStyle w:val="TableParagraph"/>
              <w:spacing w:before="26"/>
              <w:ind w:right="96"/>
              <w:jc w:val="right"/>
              <w:rPr>
                <w:sz w:val="18"/>
              </w:rPr>
            </w:pPr>
            <w:r>
              <w:rPr>
                <w:spacing w:val="-2"/>
                <w:sz w:val="18"/>
              </w:rPr>
              <w:t>94.82</w:t>
            </w:r>
          </w:p>
        </w:tc>
        <w:tc>
          <w:tcPr>
            <w:tcW w:w="1127" w:type="dxa"/>
            <w:shd w:val="clear" w:color="auto" w:fill="CCE2ED"/>
          </w:tcPr>
          <w:p w14:paraId="4BA475FF" w14:textId="77777777" w:rsidR="00141B97" w:rsidRDefault="00911D63">
            <w:pPr>
              <w:pStyle w:val="TableParagraph"/>
              <w:spacing w:before="26"/>
              <w:ind w:right="97"/>
              <w:jc w:val="right"/>
              <w:rPr>
                <w:sz w:val="18"/>
              </w:rPr>
            </w:pPr>
            <w:r>
              <w:rPr>
                <w:spacing w:val="-2"/>
                <w:sz w:val="18"/>
              </w:rPr>
              <w:t>96.72</w:t>
            </w:r>
          </w:p>
        </w:tc>
        <w:tc>
          <w:tcPr>
            <w:tcW w:w="1126" w:type="dxa"/>
            <w:shd w:val="clear" w:color="auto" w:fill="CCE2ED"/>
          </w:tcPr>
          <w:p w14:paraId="7F4F925F" w14:textId="77777777" w:rsidR="00141B97" w:rsidRDefault="00911D63">
            <w:pPr>
              <w:pStyle w:val="TableParagraph"/>
              <w:spacing w:before="26"/>
              <w:ind w:right="97"/>
              <w:jc w:val="right"/>
              <w:rPr>
                <w:sz w:val="18"/>
              </w:rPr>
            </w:pPr>
            <w:r>
              <w:rPr>
                <w:spacing w:val="-2"/>
                <w:sz w:val="18"/>
              </w:rPr>
              <w:t>102.30</w:t>
            </w:r>
          </w:p>
        </w:tc>
        <w:tc>
          <w:tcPr>
            <w:tcW w:w="1126" w:type="dxa"/>
            <w:shd w:val="clear" w:color="auto" w:fill="CCE2ED"/>
          </w:tcPr>
          <w:p w14:paraId="2AAF4571" w14:textId="77777777" w:rsidR="00141B97" w:rsidRDefault="00911D63">
            <w:pPr>
              <w:pStyle w:val="TableParagraph"/>
              <w:spacing w:before="26"/>
              <w:ind w:right="97"/>
              <w:jc w:val="right"/>
              <w:rPr>
                <w:sz w:val="18"/>
              </w:rPr>
            </w:pPr>
            <w:r>
              <w:rPr>
                <w:spacing w:val="-2"/>
                <w:sz w:val="18"/>
              </w:rPr>
              <w:t>103.30</w:t>
            </w:r>
          </w:p>
        </w:tc>
        <w:tc>
          <w:tcPr>
            <w:tcW w:w="1127" w:type="dxa"/>
            <w:shd w:val="clear" w:color="auto" w:fill="CCE2ED"/>
          </w:tcPr>
          <w:p w14:paraId="2107CE81" w14:textId="77777777" w:rsidR="00141B97" w:rsidRDefault="00911D63">
            <w:pPr>
              <w:pStyle w:val="TableParagraph"/>
              <w:spacing w:before="26"/>
              <w:ind w:right="98"/>
              <w:jc w:val="right"/>
              <w:rPr>
                <w:sz w:val="18"/>
              </w:rPr>
            </w:pPr>
            <w:r>
              <w:rPr>
                <w:spacing w:val="-2"/>
                <w:sz w:val="18"/>
              </w:rPr>
              <w:t>105.43</w:t>
            </w:r>
          </w:p>
        </w:tc>
        <w:tc>
          <w:tcPr>
            <w:tcW w:w="1113" w:type="dxa"/>
            <w:tcBorders>
              <w:right w:val="nil"/>
            </w:tcBorders>
            <w:shd w:val="clear" w:color="auto" w:fill="CCE2ED"/>
          </w:tcPr>
          <w:p w14:paraId="4389E528" w14:textId="77777777" w:rsidR="00141B97" w:rsidRDefault="00911D63">
            <w:pPr>
              <w:pStyle w:val="TableParagraph"/>
              <w:spacing w:before="26"/>
              <w:ind w:right="88"/>
              <w:jc w:val="right"/>
              <w:rPr>
                <w:sz w:val="18"/>
              </w:rPr>
            </w:pPr>
            <w:r>
              <w:rPr>
                <w:spacing w:val="-2"/>
                <w:sz w:val="18"/>
              </w:rPr>
              <w:t>110.24</w:t>
            </w:r>
          </w:p>
        </w:tc>
      </w:tr>
      <w:tr w:rsidR="00141B97" w14:paraId="39F87F53" w14:textId="77777777">
        <w:trPr>
          <w:trHeight w:val="254"/>
          <w:tblCellSpacing w:w="9" w:type="dxa"/>
        </w:trPr>
        <w:tc>
          <w:tcPr>
            <w:tcW w:w="2998" w:type="dxa"/>
            <w:tcBorders>
              <w:left w:val="nil"/>
            </w:tcBorders>
            <w:shd w:val="clear" w:color="auto" w:fill="CCE2ED"/>
          </w:tcPr>
          <w:p w14:paraId="6F2AFE3B" w14:textId="77777777" w:rsidR="00141B97" w:rsidRDefault="00911D63">
            <w:pPr>
              <w:pStyle w:val="TableParagraph"/>
              <w:spacing w:before="18" w:line="217" w:lineRule="exact"/>
              <w:ind w:right="472"/>
              <w:jc w:val="right"/>
              <w:rPr>
                <w:sz w:val="18"/>
              </w:rPr>
            </w:pPr>
            <w:r>
              <w:rPr>
                <w:i/>
                <w:sz w:val="18"/>
              </w:rPr>
              <w:t>plus</w:t>
            </w:r>
            <w:r>
              <w:rPr>
                <w:i/>
                <w:spacing w:val="-8"/>
                <w:sz w:val="18"/>
              </w:rPr>
              <w:t xml:space="preserve"> </w:t>
            </w:r>
            <w:r>
              <w:rPr>
                <w:sz w:val="18"/>
              </w:rPr>
              <w:t>Gross</w:t>
            </w:r>
            <w:r>
              <w:rPr>
                <w:spacing w:val="-7"/>
                <w:sz w:val="18"/>
              </w:rPr>
              <w:t xml:space="preserve"> </w:t>
            </w:r>
            <w:r>
              <w:rPr>
                <w:sz w:val="18"/>
              </w:rPr>
              <w:t>capital</w:t>
            </w:r>
            <w:r>
              <w:rPr>
                <w:spacing w:val="-7"/>
                <w:sz w:val="18"/>
              </w:rPr>
              <w:t xml:space="preserve"> </w:t>
            </w:r>
            <w:r>
              <w:rPr>
                <w:spacing w:val="-2"/>
                <w:sz w:val="18"/>
              </w:rPr>
              <w:t>expenditures</w:t>
            </w:r>
          </w:p>
        </w:tc>
        <w:tc>
          <w:tcPr>
            <w:tcW w:w="1127" w:type="dxa"/>
            <w:shd w:val="clear" w:color="auto" w:fill="CCE2ED"/>
          </w:tcPr>
          <w:p w14:paraId="5F680DC0" w14:textId="77777777" w:rsidR="00141B97" w:rsidRDefault="00911D63">
            <w:pPr>
              <w:pStyle w:val="TableParagraph"/>
              <w:spacing w:before="18" w:line="217" w:lineRule="exact"/>
              <w:ind w:right="96"/>
              <w:jc w:val="right"/>
              <w:rPr>
                <w:sz w:val="18"/>
              </w:rPr>
            </w:pPr>
            <w:r>
              <w:rPr>
                <w:spacing w:val="-4"/>
                <w:sz w:val="18"/>
              </w:rPr>
              <w:t>8.20</w:t>
            </w:r>
          </w:p>
        </w:tc>
        <w:tc>
          <w:tcPr>
            <w:tcW w:w="1127" w:type="dxa"/>
            <w:shd w:val="clear" w:color="auto" w:fill="CCE2ED"/>
          </w:tcPr>
          <w:p w14:paraId="35E46361" w14:textId="77777777" w:rsidR="00141B97" w:rsidRDefault="00911D63">
            <w:pPr>
              <w:pStyle w:val="TableParagraph"/>
              <w:spacing w:before="18" w:line="217" w:lineRule="exact"/>
              <w:ind w:right="97"/>
              <w:jc w:val="right"/>
              <w:rPr>
                <w:sz w:val="18"/>
              </w:rPr>
            </w:pPr>
            <w:r>
              <w:rPr>
                <w:spacing w:val="-2"/>
                <w:sz w:val="18"/>
              </w:rPr>
              <w:t>13.78</w:t>
            </w:r>
          </w:p>
        </w:tc>
        <w:tc>
          <w:tcPr>
            <w:tcW w:w="1126" w:type="dxa"/>
            <w:shd w:val="clear" w:color="auto" w:fill="CCE2ED"/>
          </w:tcPr>
          <w:p w14:paraId="15C557E8" w14:textId="77777777" w:rsidR="00141B97" w:rsidRDefault="00911D63">
            <w:pPr>
              <w:pStyle w:val="TableParagraph"/>
              <w:spacing w:before="18" w:line="217" w:lineRule="exact"/>
              <w:ind w:right="97"/>
              <w:jc w:val="right"/>
              <w:rPr>
                <w:sz w:val="18"/>
              </w:rPr>
            </w:pPr>
            <w:r>
              <w:rPr>
                <w:spacing w:val="-2"/>
                <w:sz w:val="18"/>
              </w:rPr>
              <w:t>12.96</w:t>
            </w:r>
          </w:p>
        </w:tc>
        <w:tc>
          <w:tcPr>
            <w:tcW w:w="1126" w:type="dxa"/>
            <w:shd w:val="clear" w:color="auto" w:fill="CCE2ED"/>
          </w:tcPr>
          <w:p w14:paraId="4ECA26B0" w14:textId="77777777" w:rsidR="00141B97" w:rsidRDefault="00911D63">
            <w:pPr>
              <w:pStyle w:val="TableParagraph"/>
              <w:spacing w:before="18" w:line="217" w:lineRule="exact"/>
              <w:ind w:right="97"/>
              <w:jc w:val="right"/>
              <w:rPr>
                <w:sz w:val="18"/>
              </w:rPr>
            </w:pPr>
            <w:r>
              <w:rPr>
                <w:spacing w:val="-4"/>
                <w:sz w:val="18"/>
              </w:rPr>
              <w:t>5.66</w:t>
            </w:r>
          </w:p>
        </w:tc>
        <w:tc>
          <w:tcPr>
            <w:tcW w:w="1127" w:type="dxa"/>
            <w:shd w:val="clear" w:color="auto" w:fill="CCE2ED"/>
          </w:tcPr>
          <w:p w14:paraId="3C3B0BC0" w14:textId="77777777" w:rsidR="00141B97" w:rsidRDefault="00911D63">
            <w:pPr>
              <w:pStyle w:val="TableParagraph"/>
              <w:spacing w:before="18" w:line="217" w:lineRule="exact"/>
              <w:ind w:right="98"/>
              <w:jc w:val="right"/>
              <w:rPr>
                <w:sz w:val="18"/>
              </w:rPr>
            </w:pPr>
            <w:r>
              <w:rPr>
                <w:spacing w:val="-4"/>
                <w:sz w:val="18"/>
              </w:rPr>
              <w:t>8.34</w:t>
            </w:r>
          </w:p>
        </w:tc>
        <w:tc>
          <w:tcPr>
            <w:tcW w:w="1113" w:type="dxa"/>
            <w:tcBorders>
              <w:right w:val="nil"/>
            </w:tcBorders>
            <w:shd w:val="clear" w:color="auto" w:fill="CCE2ED"/>
          </w:tcPr>
          <w:p w14:paraId="403E881C" w14:textId="77777777" w:rsidR="00141B97" w:rsidRDefault="00911D63">
            <w:pPr>
              <w:pStyle w:val="TableParagraph"/>
              <w:spacing w:before="18" w:line="217" w:lineRule="exact"/>
              <w:ind w:right="88"/>
              <w:jc w:val="right"/>
              <w:rPr>
                <w:sz w:val="18"/>
              </w:rPr>
            </w:pPr>
            <w:r>
              <w:rPr>
                <w:spacing w:val="-4"/>
                <w:sz w:val="18"/>
              </w:rPr>
              <w:t>5.54</w:t>
            </w:r>
          </w:p>
        </w:tc>
      </w:tr>
      <w:tr w:rsidR="00141B97" w14:paraId="1CA5A528" w14:textId="77777777">
        <w:trPr>
          <w:trHeight w:val="254"/>
          <w:tblCellSpacing w:w="9" w:type="dxa"/>
        </w:trPr>
        <w:tc>
          <w:tcPr>
            <w:tcW w:w="2998" w:type="dxa"/>
            <w:tcBorders>
              <w:left w:val="nil"/>
            </w:tcBorders>
            <w:shd w:val="clear" w:color="auto" w:fill="CCE2ED"/>
          </w:tcPr>
          <w:p w14:paraId="0D39753D" w14:textId="77777777" w:rsidR="00141B97" w:rsidRDefault="00911D63">
            <w:pPr>
              <w:pStyle w:val="TableParagraph"/>
              <w:spacing w:before="18" w:line="217" w:lineRule="exact"/>
              <w:ind w:left="257"/>
              <w:rPr>
                <w:sz w:val="18"/>
              </w:rPr>
            </w:pPr>
            <w:r>
              <w:rPr>
                <w:i/>
                <w:spacing w:val="-2"/>
                <w:sz w:val="18"/>
              </w:rPr>
              <w:t>less</w:t>
            </w:r>
            <w:r>
              <w:rPr>
                <w:i/>
                <w:spacing w:val="1"/>
                <w:sz w:val="18"/>
              </w:rPr>
              <w:t xml:space="preserve"> </w:t>
            </w:r>
            <w:r>
              <w:rPr>
                <w:spacing w:val="-2"/>
                <w:sz w:val="18"/>
              </w:rPr>
              <w:t>Customer</w:t>
            </w:r>
            <w:r>
              <w:rPr>
                <w:spacing w:val="2"/>
                <w:sz w:val="18"/>
              </w:rPr>
              <w:t xml:space="preserve"> </w:t>
            </w:r>
            <w:r>
              <w:rPr>
                <w:spacing w:val="-2"/>
                <w:sz w:val="18"/>
              </w:rPr>
              <w:t>contributions</w:t>
            </w:r>
          </w:p>
        </w:tc>
        <w:tc>
          <w:tcPr>
            <w:tcW w:w="1127" w:type="dxa"/>
            <w:shd w:val="clear" w:color="auto" w:fill="CCE2ED"/>
          </w:tcPr>
          <w:p w14:paraId="70534FB8" w14:textId="77777777" w:rsidR="00141B97" w:rsidRDefault="00911D63">
            <w:pPr>
              <w:pStyle w:val="TableParagraph"/>
              <w:spacing w:before="18" w:line="217" w:lineRule="exact"/>
              <w:ind w:right="96"/>
              <w:jc w:val="right"/>
              <w:rPr>
                <w:sz w:val="18"/>
              </w:rPr>
            </w:pPr>
            <w:r>
              <w:rPr>
                <w:spacing w:val="-4"/>
                <w:sz w:val="18"/>
              </w:rPr>
              <w:t>0.29</w:t>
            </w:r>
          </w:p>
        </w:tc>
        <w:tc>
          <w:tcPr>
            <w:tcW w:w="1127" w:type="dxa"/>
            <w:shd w:val="clear" w:color="auto" w:fill="CCE2ED"/>
          </w:tcPr>
          <w:p w14:paraId="47262647" w14:textId="77777777" w:rsidR="00141B97" w:rsidRDefault="00911D63">
            <w:pPr>
              <w:pStyle w:val="TableParagraph"/>
              <w:spacing w:before="10"/>
              <w:ind w:right="97"/>
              <w:jc w:val="right"/>
              <w:rPr>
                <w:sz w:val="18"/>
              </w:rPr>
            </w:pPr>
            <w:r>
              <w:rPr>
                <w:spacing w:val="-4"/>
                <w:sz w:val="18"/>
              </w:rPr>
              <w:t>0.19</w:t>
            </w:r>
          </w:p>
        </w:tc>
        <w:tc>
          <w:tcPr>
            <w:tcW w:w="1126" w:type="dxa"/>
            <w:shd w:val="clear" w:color="auto" w:fill="CCE2ED"/>
          </w:tcPr>
          <w:p w14:paraId="1D9742F1" w14:textId="77777777" w:rsidR="00141B97" w:rsidRDefault="00911D63">
            <w:pPr>
              <w:pStyle w:val="TableParagraph"/>
              <w:spacing w:before="10"/>
              <w:ind w:right="97"/>
              <w:jc w:val="right"/>
              <w:rPr>
                <w:sz w:val="18"/>
              </w:rPr>
            </w:pPr>
            <w:r>
              <w:rPr>
                <w:spacing w:val="-4"/>
                <w:sz w:val="18"/>
              </w:rPr>
              <w:t>5.33</w:t>
            </w:r>
          </w:p>
        </w:tc>
        <w:tc>
          <w:tcPr>
            <w:tcW w:w="1126" w:type="dxa"/>
            <w:shd w:val="clear" w:color="auto" w:fill="CCE2ED"/>
          </w:tcPr>
          <w:p w14:paraId="4EEFE686" w14:textId="77777777" w:rsidR="00141B97" w:rsidRDefault="00911D63">
            <w:pPr>
              <w:pStyle w:val="TableParagraph"/>
              <w:spacing w:before="10"/>
              <w:ind w:right="97"/>
              <w:jc w:val="right"/>
              <w:rPr>
                <w:sz w:val="18"/>
              </w:rPr>
            </w:pPr>
            <w:r>
              <w:rPr>
                <w:spacing w:val="-4"/>
                <w:sz w:val="18"/>
              </w:rPr>
              <w:t>0.60</w:t>
            </w:r>
          </w:p>
        </w:tc>
        <w:tc>
          <w:tcPr>
            <w:tcW w:w="1127" w:type="dxa"/>
            <w:shd w:val="clear" w:color="auto" w:fill="CCE2ED"/>
          </w:tcPr>
          <w:p w14:paraId="646B8DC0" w14:textId="77777777" w:rsidR="00141B97" w:rsidRDefault="00911D63">
            <w:pPr>
              <w:pStyle w:val="TableParagraph"/>
              <w:spacing w:before="10"/>
              <w:ind w:right="98"/>
              <w:jc w:val="right"/>
              <w:rPr>
                <w:sz w:val="18"/>
              </w:rPr>
            </w:pPr>
            <w:r>
              <w:rPr>
                <w:spacing w:val="-4"/>
                <w:sz w:val="18"/>
              </w:rPr>
              <w:t>0.19</w:t>
            </w:r>
          </w:p>
        </w:tc>
        <w:tc>
          <w:tcPr>
            <w:tcW w:w="1113" w:type="dxa"/>
            <w:tcBorders>
              <w:right w:val="nil"/>
            </w:tcBorders>
            <w:shd w:val="clear" w:color="auto" w:fill="CCE2ED"/>
          </w:tcPr>
          <w:p w14:paraId="0D29EE3F" w14:textId="77777777" w:rsidR="00141B97" w:rsidRDefault="00911D63">
            <w:pPr>
              <w:pStyle w:val="TableParagraph"/>
              <w:spacing w:before="10"/>
              <w:ind w:right="88"/>
              <w:jc w:val="right"/>
              <w:rPr>
                <w:sz w:val="18"/>
              </w:rPr>
            </w:pPr>
            <w:r>
              <w:rPr>
                <w:spacing w:val="-4"/>
                <w:sz w:val="18"/>
              </w:rPr>
              <w:t>0.17</w:t>
            </w:r>
          </w:p>
        </w:tc>
      </w:tr>
      <w:tr w:rsidR="00141B97" w14:paraId="4E0593CD" w14:textId="77777777">
        <w:trPr>
          <w:trHeight w:val="254"/>
          <w:tblCellSpacing w:w="9" w:type="dxa"/>
        </w:trPr>
        <w:tc>
          <w:tcPr>
            <w:tcW w:w="2998" w:type="dxa"/>
            <w:tcBorders>
              <w:left w:val="nil"/>
            </w:tcBorders>
            <w:shd w:val="clear" w:color="auto" w:fill="CCE2ED"/>
          </w:tcPr>
          <w:p w14:paraId="19BDA0D6" w14:textId="77777777" w:rsidR="00141B97" w:rsidRDefault="00911D63">
            <w:pPr>
              <w:pStyle w:val="TableParagraph"/>
              <w:spacing w:before="18" w:line="217" w:lineRule="exact"/>
              <w:ind w:right="491"/>
              <w:jc w:val="right"/>
              <w:rPr>
                <w:sz w:val="18"/>
              </w:rPr>
            </w:pPr>
            <w:r>
              <w:rPr>
                <w:i/>
                <w:sz w:val="18"/>
              </w:rPr>
              <w:t>less</w:t>
            </w:r>
            <w:r>
              <w:rPr>
                <w:i/>
                <w:spacing w:val="-9"/>
                <w:sz w:val="18"/>
              </w:rPr>
              <w:t xml:space="preserve"> </w:t>
            </w:r>
            <w:r>
              <w:rPr>
                <w:sz w:val="18"/>
              </w:rPr>
              <w:t>Government</w:t>
            </w:r>
            <w:r>
              <w:rPr>
                <w:spacing w:val="-6"/>
                <w:sz w:val="18"/>
              </w:rPr>
              <w:t xml:space="preserve"> </w:t>
            </w:r>
            <w:r>
              <w:rPr>
                <w:spacing w:val="-2"/>
                <w:sz w:val="18"/>
              </w:rPr>
              <w:t>contributions</w:t>
            </w:r>
          </w:p>
        </w:tc>
        <w:tc>
          <w:tcPr>
            <w:tcW w:w="1127" w:type="dxa"/>
            <w:shd w:val="clear" w:color="auto" w:fill="CCE2ED"/>
          </w:tcPr>
          <w:p w14:paraId="1ACFF927" w14:textId="77777777" w:rsidR="00141B97" w:rsidRDefault="00911D63">
            <w:pPr>
              <w:pStyle w:val="TableParagraph"/>
              <w:spacing w:before="10"/>
              <w:ind w:right="96"/>
              <w:jc w:val="right"/>
              <w:rPr>
                <w:sz w:val="18"/>
              </w:rPr>
            </w:pPr>
            <w:r>
              <w:rPr>
                <w:spacing w:val="-4"/>
                <w:sz w:val="18"/>
              </w:rPr>
              <w:t>2.44</w:t>
            </w:r>
          </w:p>
        </w:tc>
        <w:tc>
          <w:tcPr>
            <w:tcW w:w="1127" w:type="dxa"/>
            <w:shd w:val="clear" w:color="auto" w:fill="CCE2ED"/>
          </w:tcPr>
          <w:p w14:paraId="3796049E" w14:textId="77777777" w:rsidR="00141B97" w:rsidRDefault="00911D63">
            <w:pPr>
              <w:pStyle w:val="TableParagraph"/>
              <w:spacing w:before="10"/>
              <w:ind w:right="97"/>
              <w:jc w:val="right"/>
              <w:rPr>
                <w:sz w:val="18"/>
              </w:rPr>
            </w:pPr>
            <w:r>
              <w:rPr>
                <w:spacing w:val="-4"/>
                <w:sz w:val="18"/>
              </w:rPr>
              <w:t>0.88</w:t>
            </w:r>
          </w:p>
        </w:tc>
        <w:tc>
          <w:tcPr>
            <w:tcW w:w="1126" w:type="dxa"/>
            <w:shd w:val="clear" w:color="auto" w:fill="CCE2ED"/>
          </w:tcPr>
          <w:p w14:paraId="113BE4C3" w14:textId="77777777" w:rsidR="00141B97" w:rsidRDefault="00911D63">
            <w:pPr>
              <w:pStyle w:val="TableParagraph"/>
              <w:spacing w:before="10"/>
              <w:ind w:right="97"/>
              <w:jc w:val="right"/>
              <w:rPr>
                <w:sz w:val="18"/>
              </w:rPr>
            </w:pPr>
            <w:r>
              <w:rPr>
                <w:spacing w:val="-4"/>
                <w:sz w:val="18"/>
              </w:rPr>
              <w:t>3.42</w:t>
            </w:r>
          </w:p>
        </w:tc>
        <w:tc>
          <w:tcPr>
            <w:tcW w:w="1126" w:type="dxa"/>
            <w:shd w:val="clear" w:color="auto" w:fill="CCE2ED"/>
          </w:tcPr>
          <w:p w14:paraId="41C3CBA1" w14:textId="77777777" w:rsidR="00141B97" w:rsidRDefault="00911D63">
            <w:pPr>
              <w:pStyle w:val="TableParagraph"/>
              <w:spacing w:before="10"/>
              <w:ind w:right="97"/>
              <w:jc w:val="right"/>
              <w:rPr>
                <w:sz w:val="18"/>
              </w:rPr>
            </w:pPr>
            <w:r>
              <w:rPr>
                <w:w w:val="99"/>
                <w:sz w:val="18"/>
              </w:rPr>
              <w:t>‐</w:t>
            </w:r>
          </w:p>
        </w:tc>
        <w:tc>
          <w:tcPr>
            <w:tcW w:w="1127" w:type="dxa"/>
            <w:shd w:val="clear" w:color="auto" w:fill="CCE2ED"/>
          </w:tcPr>
          <w:p w14:paraId="0F67C193" w14:textId="77777777" w:rsidR="00141B97" w:rsidRDefault="00911D63">
            <w:pPr>
              <w:pStyle w:val="TableParagraph"/>
              <w:spacing w:before="10"/>
              <w:ind w:right="99"/>
              <w:jc w:val="right"/>
              <w:rPr>
                <w:sz w:val="18"/>
              </w:rPr>
            </w:pPr>
            <w:r>
              <w:rPr>
                <w:w w:val="99"/>
                <w:sz w:val="18"/>
              </w:rPr>
              <w:t>‐</w:t>
            </w:r>
          </w:p>
        </w:tc>
        <w:tc>
          <w:tcPr>
            <w:tcW w:w="1113" w:type="dxa"/>
            <w:tcBorders>
              <w:right w:val="nil"/>
            </w:tcBorders>
            <w:shd w:val="clear" w:color="auto" w:fill="CCE2ED"/>
          </w:tcPr>
          <w:p w14:paraId="1A79CEF7" w14:textId="77777777" w:rsidR="00141B97" w:rsidRDefault="00911D63">
            <w:pPr>
              <w:pStyle w:val="TableParagraph"/>
              <w:spacing w:before="10"/>
              <w:ind w:right="88"/>
              <w:jc w:val="right"/>
              <w:rPr>
                <w:sz w:val="18"/>
              </w:rPr>
            </w:pPr>
            <w:r>
              <w:rPr>
                <w:w w:val="99"/>
                <w:sz w:val="18"/>
              </w:rPr>
              <w:t>‐</w:t>
            </w:r>
          </w:p>
        </w:tc>
      </w:tr>
      <w:tr w:rsidR="00141B97" w14:paraId="110C28D7" w14:textId="77777777">
        <w:trPr>
          <w:trHeight w:val="254"/>
          <w:tblCellSpacing w:w="9" w:type="dxa"/>
        </w:trPr>
        <w:tc>
          <w:tcPr>
            <w:tcW w:w="2998" w:type="dxa"/>
            <w:tcBorders>
              <w:left w:val="nil"/>
            </w:tcBorders>
            <w:shd w:val="clear" w:color="auto" w:fill="CCE2ED"/>
          </w:tcPr>
          <w:p w14:paraId="4703F08C" w14:textId="77777777" w:rsidR="00141B97" w:rsidRDefault="00911D63">
            <w:pPr>
              <w:pStyle w:val="TableParagraph"/>
              <w:spacing w:before="19" w:line="216" w:lineRule="exact"/>
              <w:ind w:left="257"/>
              <w:rPr>
                <w:sz w:val="18"/>
              </w:rPr>
            </w:pPr>
            <w:r>
              <w:rPr>
                <w:i/>
                <w:sz w:val="18"/>
              </w:rPr>
              <w:t>less</w:t>
            </w:r>
            <w:r>
              <w:rPr>
                <w:i/>
                <w:spacing w:val="-8"/>
                <w:sz w:val="18"/>
              </w:rPr>
              <w:t xml:space="preserve"> </w:t>
            </w:r>
            <w:r>
              <w:rPr>
                <w:sz w:val="18"/>
              </w:rPr>
              <w:t>Regulatory</w:t>
            </w:r>
            <w:r>
              <w:rPr>
                <w:spacing w:val="-7"/>
                <w:sz w:val="18"/>
              </w:rPr>
              <w:t xml:space="preserve"> </w:t>
            </w:r>
            <w:r>
              <w:rPr>
                <w:spacing w:val="-2"/>
                <w:sz w:val="18"/>
              </w:rPr>
              <w:t>depreciation</w:t>
            </w:r>
          </w:p>
        </w:tc>
        <w:tc>
          <w:tcPr>
            <w:tcW w:w="1127" w:type="dxa"/>
            <w:shd w:val="clear" w:color="auto" w:fill="CCE2ED"/>
          </w:tcPr>
          <w:p w14:paraId="7D2FF2DD" w14:textId="77777777" w:rsidR="00141B97" w:rsidRDefault="00911D63">
            <w:pPr>
              <w:pStyle w:val="TableParagraph"/>
              <w:spacing w:before="19" w:line="216" w:lineRule="exact"/>
              <w:ind w:right="96"/>
              <w:jc w:val="right"/>
              <w:rPr>
                <w:sz w:val="18"/>
              </w:rPr>
            </w:pPr>
            <w:r>
              <w:rPr>
                <w:spacing w:val="-4"/>
                <w:sz w:val="18"/>
              </w:rPr>
              <w:t>3.15</w:t>
            </w:r>
          </w:p>
        </w:tc>
        <w:tc>
          <w:tcPr>
            <w:tcW w:w="1127" w:type="dxa"/>
            <w:shd w:val="clear" w:color="auto" w:fill="CCE2ED"/>
          </w:tcPr>
          <w:p w14:paraId="3384F77B" w14:textId="77777777" w:rsidR="00141B97" w:rsidRDefault="00911D63">
            <w:pPr>
              <w:pStyle w:val="TableParagraph"/>
              <w:spacing w:before="19" w:line="216" w:lineRule="exact"/>
              <w:ind w:right="97"/>
              <w:jc w:val="right"/>
              <w:rPr>
                <w:sz w:val="18"/>
              </w:rPr>
            </w:pPr>
            <w:r>
              <w:rPr>
                <w:spacing w:val="-4"/>
                <w:sz w:val="18"/>
              </w:rPr>
              <w:t>2.51</w:t>
            </w:r>
          </w:p>
        </w:tc>
        <w:tc>
          <w:tcPr>
            <w:tcW w:w="1126" w:type="dxa"/>
            <w:shd w:val="clear" w:color="auto" w:fill="CCE2ED"/>
          </w:tcPr>
          <w:p w14:paraId="0F16F271" w14:textId="77777777" w:rsidR="00141B97" w:rsidRDefault="00911D63">
            <w:pPr>
              <w:pStyle w:val="TableParagraph"/>
              <w:spacing w:before="19" w:line="216" w:lineRule="exact"/>
              <w:ind w:right="97"/>
              <w:jc w:val="right"/>
              <w:rPr>
                <w:sz w:val="18"/>
              </w:rPr>
            </w:pPr>
            <w:r>
              <w:rPr>
                <w:spacing w:val="-4"/>
                <w:sz w:val="18"/>
              </w:rPr>
              <w:t>2.72</w:t>
            </w:r>
          </w:p>
        </w:tc>
        <w:tc>
          <w:tcPr>
            <w:tcW w:w="1126" w:type="dxa"/>
            <w:shd w:val="clear" w:color="auto" w:fill="CCE2ED"/>
          </w:tcPr>
          <w:p w14:paraId="7E5F9AD6" w14:textId="77777777" w:rsidR="00141B97" w:rsidRDefault="00911D63">
            <w:pPr>
              <w:pStyle w:val="TableParagraph"/>
              <w:spacing w:before="19" w:line="216" w:lineRule="exact"/>
              <w:ind w:right="97"/>
              <w:jc w:val="right"/>
              <w:rPr>
                <w:sz w:val="18"/>
              </w:rPr>
            </w:pPr>
            <w:r>
              <w:rPr>
                <w:spacing w:val="-4"/>
                <w:sz w:val="18"/>
              </w:rPr>
              <w:t>2.83</w:t>
            </w:r>
          </w:p>
        </w:tc>
        <w:tc>
          <w:tcPr>
            <w:tcW w:w="1127" w:type="dxa"/>
            <w:shd w:val="clear" w:color="auto" w:fill="CCE2ED"/>
          </w:tcPr>
          <w:p w14:paraId="34C3F004" w14:textId="77777777" w:rsidR="00141B97" w:rsidRDefault="00911D63">
            <w:pPr>
              <w:pStyle w:val="TableParagraph"/>
              <w:spacing w:before="19" w:line="216" w:lineRule="exact"/>
              <w:ind w:right="98"/>
              <w:jc w:val="right"/>
              <w:rPr>
                <w:sz w:val="18"/>
              </w:rPr>
            </w:pPr>
            <w:r>
              <w:rPr>
                <w:spacing w:val="-4"/>
                <w:sz w:val="18"/>
              </w:rPr>
              <w:t>2.91</w:t>
            </w:r>
          </w:p>
        </w:tc>
        <w:tc>
          <w:tcPr>
            <w:tcW w:w="1113" w:type="dxa"/>
            <w:tcBorders>
              <w:right w:val="nil"/>
            </w:tcBorders>
            <w:shd w:val="clear" w:color="auto" w:fill="CCE2ED"/>
          </w:tcPr>
          <w:p w14:paraId="5BDB8F0F" w14:textId="77777777" w:rsidR="00141B97" w:rsidRDefault="00911D63">
            <w:pPr>
              <w:pStyle w:val="TableParagraph"/>
              <w:spacing w:before="19" w:line="216" w:lineRule="exact"/>
              <w:ind w:right="88"/>
              <w:jc w:val="right"/>
              <w:rPr>
                <w:sz w:val="18"/>
              </w:rPr>
            </w:pPr>
            <w:r>
              <w:rPr>
                <w:spacing w:val="-4"/>
                <w:sz w:val="18"/>
              </w:rPr>
              <w:t>3.06</w:t>
            </w:r>
          </w:p>
        </w:tc>
      </w:tr>
      <w:tr w:rsidR="00141B97" w14:paraId="4EF8EFEF" w14:textId="77777777">
        <w:trPr>
          <w:trHeight w:val="255"/>
          <w:tblCellSpacing w:w="9" w:type="dxa"/>
        </w:trPr>
        <w:tc>
          <w:tcPr>
            <w:tcW w:w="2998" w:type="dxa"/>
            <w:tcBorders>
              <w:left w:val="nil"/>
            </w:tcBorders>
            <w:shd w:val="clear" w:color="auto" w:fill="CCE2ED"/>
          </w:tcPr>
          <w:p w14:paraId="1A877349" w14:textId="77777777" w:rsidR="00141B97" w:rsidRDefault="00911D63">
            <w:pPr>
              <w:pStyle w:val="TableParagraph"/>
              <w:spacing w:before="19" w:line="217" w:lineRule="exact"/>
              <w:ind w:left="257"/>
              <w:rPr>
                <w:sz w:val="18"/>
              </w:rPr>
            </w:pPr>
            <w:r>
              <w:rPr>
                <w:i/>
                <w:sz w:val="18"/>
              </w:rPr>
              <w:t>less</w:t>
            </w:r>
            <w:r>
              <w:rPr>
                <w:i/>
                <w:spacing w:val="-7"/>
                <w:sz w:val="18"/>
              </w:rPr>
              <w:t xml:space="preserve"> </w:t>
            </w:r>
            <w:r>
              <w:rPr>
                <w:sz w:val="18"/>
              </w:rPr>
              <w:t>Proceeds</w:t>
            </w:r>
            <w:r>
              <w:rPr>
                <w:spacing w:val="-6"/>
                <w:sz w:val="18"/>
              </w:rPr>
              <w:t xml:space="preserve"> </w:t>
            </w:r>
            <w:r>
              <w:rPr>
                <w:sz w:val="18"/>
              </w:rPr>
              <w:t>from</w:t>
            </w:r>
            <w:r>
              <w:rPr>
                <w:spacing w:val="-5"/>
                <w:sz w:val="18"/>
              </w:rPr>
              <w:t xml:space="preserve"> </w:t>
            </w:r>
            <w:r>
              <w:rPr>
                <w:spacing w:val="-2"/>
                <w:sz w:val="18"/>
              </w:rPr>
              <w:t>disposals</w:t>
            </w:r>
          </w:p>
        </w:tc>
        <w:tc>
          <w:tcPr>
            <w:tcW w:w="1127" w:type="dxa"/>
            <w:shd w:val="clear" w:color="auto" w:fill="CCE2ED"/>
          </w:tcPr>
          <w:p w14:paraId="595E6D51" w14:textId="77777777" w:rsidR="00141B97" w:rsidRDefault="00911D63">
            <w:pPr>
              <w:pStyle w:val="TableParagraph"/>
              <w:spacing w:before="19" w:line="217" w:lineRule="exact"/>
              <w:ind w:right="96"/>
              <w:jc w:val="right"/>
              <w:rPr>
                <w:sz w:val="18"/>
              </w:rPr>
            </w:pPr>
            <w:r>
              <w:rPr>
                <w:spacing w:val="-4"/>
                <w:sz w:val="18"/>
              </w:rPr>
              <w:t>0.41</w:t>
            </w:r>
          </w:p>
        </w:tc>
        <w:tc>
          <w:tcPr>
            <w:tcW w:w="1127" w:type="dxa"/>
            <w:shd w:val="clear" w:color="auto" w:fill="CCE2ED"/>
          </w:tcPr>
          <w:p w14:paraId="1694A64D" w14:textId="77777777" w:rsidR="00141B97" w:rsidRDefault="00911D63">
            <w:pPr>
              <w:pStyle w:val="TableParagraph"/>
              <w:spacing w:before="19" w:line="217" w:lineRule="exact"/>
              <w:ind w:right="97"/>
              <w:jc w:val="right"/>
              <w:rPr>
                <w:sz w:val="18"/>
              </w:rPr>
            </w:pPr>
            <w:r>
              <w:rPr>
                <w:spacing w:val="-4"/>
                <w:sz w:val="18"/>
              </w:rPr>
              <w:t>4.62</w:t>
            </w:r>
          </w:p>
        </w:tc>
        <w:tc>
          <w:tcPr>
            <w:tcW w:w="1126" w:type="dxa"/>
            <w:shd w:val="clear" w:color="auto" w:fill="CCE2ED"/>
          </w:tcPr>
          <w:p w14:paraId="5FBCA4B3" w14:textId="77777777" w:rsidR="00141B97" w:rsidRDefault="00911D63">
            <w:pPr>
              <w:pStyle w:val="TableParagraph"/>
              <w:spacing w:before="19" w:line="217" w:lineRule="exact"/>
              <w:ind w:right="97"/>
              <w:jc w:val="right"/>
              <w:rPr>
                <w:sz w:val="18"/>
              </w:rPr>
            </w:pPr>
            <w:r>
              <w:rPr>
                <w:spacing w:val="-4"/>
                <w:sz w:val="18"/>
              </w:rPr>
              <w:t>0.49</w:t>
            </w:r>
          </w:p>
        </w:tc>
        <w:tc>
          <w:tcPr>
            <w:tcW w:w="1126" w:type="dxa"/>
            <w:shd w:val="clear" w:color="auto" w:fill="CCE2ED"/>
          </w:tcPr>
          <w:p w14:paraId="630740DD" w14:textId="77777777" w:rsidR="00141B97" w:rsidRDefault="00911D63">
            <w:pPr>
              <w:pStyle w:val="TableParagraph"/>
              <w:spacing w:before="19" w:line="217" w:lineRule="exact"/>
              <w:ind w:right="97"/>
              <w:jc w:val="right"/>
              <w:rPr>
                <w:sz w:val="18"/>
              </w:rPr>
            </w:pPr>
            <w:r>
              <w:rPr>
                <w:spacing w:val="-4"/>
                <w:sz w:val="18"/>
              </w:rPr>
              <w:t>0.10</w:t>
            </w:r>
          </w:p>
        </w:tc>
        <w:tc>
          <w:tcPr>
            <w:tcW w:w="1127" w:type="dxa"/>
            <w:shd w:val="clear" w:color="auto" w:fill="CCE2ED"/>
          </w:tcPr>
          <w:p w14:paraId="28505652" w14:textId="77777777" w:rsidR="00141B97" w:rsidRDefault="00911D63">
            <w:pPr>
              <w:pStyle w:val="TableParagraph"/>
              <w:spacing w:before="19" w:line="217" w:lineRule="exact"/>
              <w:ind w:right="98"/>
              <w:jc w:val="right"/>
              <w:rPr>
                <w:sz w:val="18"/>
              </w:rPr>
            </w:pPr>
            <w:r>
              <w:rPr>
                <w:spacing w:val="-4"/>
                <w:sz w:val="18"/>
              </w:rPr>
              <w:t>0.44</w:t>
            </w:r>
          </w:p>
        </w:tc>
        <w:tc>
          <w:tcPr>
            <w:tcW w:w="1113" w:type="dxa"/>
            <w:tcBorders>
              <w:right w:val="nil"/>
            </w:tcBorders>
            <w:shd w:val="clear" w:color="auto" w:fill="CCE2ED"/>
          </w:tcPr>
          <w:p w14:paraId="2D0C612E" w14:textId="77777777" w:rsidR="00141B97" w:rsidRDefault="00911D63">
            <w:pPr>
              <w:pStyle w:val="TableParagraph"/>
              <w:spacing w:before="19" w:line="217" w:lineRule="exact"/>
              <w:ind w:right="88"/>
              <w:jc w:val="right"/>
              <w:rPr>
                <w:sz w:val="18"/>
              </w:rPr>
            </w:pPr>
            <w:r>
              <w:rPr>
                <w:spacing w:val="-4"/>
                <w:sz w:val="18"/>
              </w:rPr>
              <w:t>0.39</w:t>
            </w:r>
          </w:p>
        </w:tc>
      </w:tr>
      <w:tr w:rsidR="00141B97" w14:paraId="73A5CD6F" w14:textId="77777777">
        <w:trPr>
          <w:trHeight w:val="255"/>
          <w:tblCellSpacing w:w="9" w:type="dxa"/>
        </w:trPr>
        <w:tc>
          <w:tcPr>
            <w:tcW w:w="2998" w:type="dxa"/>
            <w:tcBorders>
              <w:left w:val="nil"/>
              <w:bottom w:val="nil"/>
            </w:tcBorders>
            <w:shd w:val="clear" w:color="auto" w:fill="BFBFBF"/>
          </w:tcPr>
          <w:p w14:paraId="3F1995F1" w14:textId="77777777" w:rsidR="00141B97" w:rsidRDefault="00911D63">
            <w:pPr>
              <w:pStyle w:val="TableParagraph"/>
              <w:spacing w:before="18" w:line="217" w:lineRule="exact"/>
              <w:ind w:left="88"/>
              <w:rPr>
                <w:sz w:val="18"/>
              </w:rPr>
            </w:pPr>
            <w:r>
              <w:rPr>
                <w:sz w:val="18"/>
              </w:rPr>
              <w:t>Closing</w:t>
            </w:r>
            <w:r>
              <w:rPr>
                <w:spacing w:val="-7"/>
                <w:sz w:val="18"/>
              </w:rPr>
              <w:t xml:space="preserve"> </w:t>
            </w:r>
            <w:r>
              <w:rPr>
                <w:sz w:val="18"/>
              </w:rPr>
              <w:t>Asset</w:t>
            </w:r>
            <w:r>
              <w:rPr>
                <w:spacing w:val="-6"/>
                <w:sz w:val="18"/>
              </w:rPr>
              <w:t xml:space="preserve"> </w:t>
            </w:r>
            <w:r>
              <w:rPr>
                <w:spacing w:val="-4"/>
                <w:sz w:val="18"/>
              </w:rPr>
              <w:t>Base</w:t>
            </w:r>
          </w:p>
        </w:tc>
        <w:tc>
          <w:tcPr>
            <w:tcW w:w="1127" w:type="dxa"/>
            <w:tcBorders>
              <w:bottom w:val="nil"/>
            </w:tcBorders>
            <w:shd w:val="clear" w:color="auto" w:fill="BFBFBF"/>
          </w:tcPr>
          <w:p w14:paraId="539A0A87" w14:textId="77777777" w:rsidR="00141B97" w:rsidRDefault="00911D63">
            <w:pPr>
              <w:pStyle w:val="TableParagraph"/>
              <w:spacing w:before="18" w:line="217" w:lineRule="exact"/>
              <w:ind w:right="96"/>
              <w:jc w:val="right"/>
              <w:rPr>
                <w:sz w:val="18"/>
              </w:rPr>
            </w:pPr>
            <w:r>
              <w:rPr>
                <w:spacing w:val="-2"/>
                <w:sz w:val="18"/>
              </w:rPr>
              <w:t>96.72</w:t>
            </w:r>
          </w:p>
        </w:tc>
        <w:tc>
          <w:tcPr>
            <w:tcW w:w="1127" w:type="dxa"/>
            <w:tcBorders>
              <w:bottom w:val="nil"/>
            </w:tcBorders>
            <w:shd w:val="clear" w:color="auto" w:fill="BFBFBF"/>
          </w:tcPr>
          <w:p w14:paraId="5792BDED" w14:textId="77777777" w:rsidR="00141B97" w:rsidRDefault="00911D63">
            <w:pPr>
              <w:pStyle w:val="TableParagraph"/>
              <w:spacing w:before="18" w:line="217" w:lineRule="exact"/>
              <w:ind w:right="97"/>
              <w:jc w:val="right"/>
              <w:rPr>
                <w:sz w:val="18"/>
              </w:rPr>
            </w:pPr>
            <w:r>
              <w:rPr>
                <w:spacing w:val="-2"/>
                <w:sz w:val="18"/>
              </w:rPr>
              <w:t>102.30</w:t>
            </w:r>
          </w:p>
        </w:tc>
        <w:tc>
          <w:tcPr>
            <w:tcW w:w="1126" w:type="dxa"/>
            <w:tcBorders>
              <w:bottom w:val="nil"/>
            </w:tcBorders>
            <w:shd w:val="clear" w:color="auto" w:fill="BFBFBF"/>
          </w:tcPr>
          <w:p w14:paraId="338D019E" w14:textId="77777777" w:rsidR="00141B97" w:rsidRDefault="00911D63">
            <w:pPr>
              <w:pStyle w:val="TableParagraph"/>
              <w:spacing w:before="18" w:line="217" w:lineRule="exact"/>
              <w:ind w:right="97"/>
              <w:jc w:val="right"/>
              <w:rPr>
                <w:sz w:val="18"/>
              </w:rPr>
            </w:pPr>
            <w:r>
              <w:rPr>
                <w:spacing w:val="-2"/>
                <w:sz w:val="18"/>
              </w:rPr>
              <w:t>103.30</w:t>
            </w:r>
          </w:p>
        </w:tc>
        <w:tc>
          <w:tcPr>
            <w:tcW w:w="1126" w:type="dxa"/>
            <w:tcBorders>
              <w:bottom w:val="nil"/>
            </w:tcBorders>
            <w:shd w:val="clear" w:color="auto" w:fill="BFBFBF"/>
          </w:tcPr>
          <w:p w14:paraId="4383E00B" w14:textId="77777777" w:rsidR="00141B97" w:rsidRDefault="00911D63">
            <w:pPr>
              <w:pStyle w:val="TableParagraph"/>
              <w:spacing w:before="18" w:line="217" w:lineRule="exact"/>
              <w:ind w:right="97"/>
              <w:jc w:val="right"/>
              <w:rPr>
                <w:sz w:val="18"/>
              </w:rPr>
            </w:pPr>
            <w:r>
              <w:rPr>
                <w:spacing w:val="-2"/>
                <w:sz w:val="18"/>
              </w:rPr>
              <w:t>105.43</w:t>
            </w:r>
          </w:p>
        </w:tc>
        <w:tc>
          <w:tcPr>
            <w:tcW w:w="1127" w:type="dxa"/>
            <w:tcBorders>
              <w:bottom w:val="nil"/>
            </w:tcBorders>
            <w:shd w:val="clear" w:color="auto" w:fill="BFBFBF"/>
          </w:tcPr>
          <w:p w14:paraId="3536D113" w14:textId="77777777" w:rsidR="00141B97" w:rsidRDefault="00911D63">
            <w:pPr>
              <w:pStyle w:val="TableParagraph"/>
              <w:spacing w:before="18" w:line="217" w:lineRule="exact"/>
              <w:ind w:right="98"/>
              <w:jc w:val="right"/>
              <w:rPr>
                <w:sz w:val="18"/>
              </w:rPr>
            </w:pPr>
            <w:r>
              <w:rPr>
                <w:spacing w:val="-2"/>
                <w:sz w:val="18"/>
              </w:rPr>
              <w:t>110.24</w:t>
            </w:r>
          </w:p>
        </w:tc>
        <w:tc>
          <w:tcPr>
            <w:tcW w:w="1113" w:type="dxa"/>
            <w:tcBorders>
              <w:bottom w:val="nil"/>
              <w:right w:val="nil"/>
            </w:tcBorders>
            <w:shd w:val="clear" w:color="auto" w:fill="BFBFBF"/>
          </w:tcPr>
          <w:p w14:paraId="12FF9FE5" w14:textId="77777777" w:rsidR="00141B97" w:rsidRDefault="00911D63">
            <w:pPr>
              <w:pStyle w:val="TableParagraph"/>
              <w:spacing w:before="18" w:line="217" w:lineRule="exact"/>
              <w:ind w:right="88"/>
              <w:jc w:val="right"/>
              <w:rPr>
                <w:sz w:val="18"/>
              </w:rPr>
            </w:pPr>
            <w:r>
              <w:rPr>
                <w:spacing w:val="-2"/>
                <w:sz w:val="18"/>
              </w:rPr>
              <w:t>112.16</w:t>
            </w:r>
          </w:p>
        </w:tc>
      </w:tr>
    </w:tbl>
    <w:p w14:paraId="3AC712D6" w14:textId="77777777" w:rsidR="00141B97" w:rsidRDefault="00911D63">
      <w:pPr>
        <w:spacing w:before="34"/>
        <w:ind w:left="114"/>
        <w:rPr>
          <w:sz w:val="16"/>
        </w:rPr>
      </w:pPr>
      <w:r>
        <w:rPr>
          <w:sz w:val="16"/>
        </w:rPr>
        <w:t>Table</w:t>
      </w:r>
      <w:r>
        <w:rPr>
          <w:spacing w:val="-4"/>
          <w:sz w:val="16"/>
        </w:rPr>
        <w:t xml:space="preserve"> </w:t>
      </w:r>
      <w:r>
        <w:rPr>
          <w:sz w:val="16"/>
        </w:rPr>
        <w:t>C28:</w:t>
      </w:r>
      <w:r>
        <w:rPr>
          <w:spacing w:val="-5"/>
          <w:sz w:val="16"/>
        </w:rPr>
        <w:t xml:space="preserve"> </w:t>
      </w:r>
      <w:r>
        <w:rPr>
          <w:sz w:val="16"/>
        </w:rPr>
        <w:t>Updating</w:t>
      </w:r>
      <w:r>
        <w:rPr>
          <w:spacing w:val="-5"/>
          <w:sz w:val="16"/>
        </w:rPr>
        <w:t xml:space="preserve"> </w:t>
      </w:r>
      <w:r>
        <w:rPr>
          <w:sz w:val="16"/>
        </w:rPr>
        <w:t>the</w:t>
      </w:r>
      <w:r>
        <w:rPr>
          <w:spacing w:val="-4"/>
          <w:sz w:val="16"/>
        </w:rPr>
        <w:t xml:space="preserve"> </w:t>
      </w:r>
      <w:r>
        <w:rPr>
          <w:sz w:val="16"/>
        </w:rPr>
        <w:t>Regulatory</w:t>
      </w:r>
      <w:r>
        <w:rPr>
          <w:spacing w:val="-6"/>
          <w:sz w:val="16"/>
        </w:rPr>
        <w:t xml:space="preserve"> </w:t>
      </w:r>
      <w:r>
        <w:rPr>
          <w:sz w:val="16"/>
        </w:rPr>
        <w:t>Asset</w:t>
      </w:r>
      <w:r>
        <w:rPr>
          <w:spacing w:val="-3"/>
          <w:sz w:val="16"/>
        </w:rPr>
        <w:t xml:space="preserve"> </w:t>
      </w:r>
      <w:r>
        <w:rPr>
          <w:spacing w:val="-4"/>
          <w:sz w:val="16"/>
        </w:rPr>
        <w:t>Base</w:t>
      </w:r>
    </w:p>
    <w:p w14:paraId="022A6ACC" w14:textId="77777777" w:rsidR="00141B97" w:rsidRDefault="00141B97">
      <w:pPr>
        <w:pStyle w:val="BodyText"/>
        <w:spacing w:before="1"/>
      </w:pPr>
    </w:p>
    <w:p w14:paraId="304FB96D" w14:textId="77777777" w:rsidR="00141B97" w:rsidRDefault="00911D63">
      <w:pPr>
        <w:pStyle w:val="BodyText"/>
        <w:ind w:left="113" w:right="962"/>
      </w:pPr>
      <w:r>
        <w:t>Table C29 shows the RAB rolled forward with forecast expenditure, contributions, and disposals for the fifth</w:t>
      </w:r>
      <w:r>
        <w:rPr>
          <w:spacing w:val="40"/>
        </w:rPr>
        <w:t xml:space="preserve"> </w:t>
      </w:r>
      <w:r>
        <w:t>regulatory period. Customer contributions are discussed in Part C, Section 4.4.1.</w:t>
      </w:r>
    </w:p>
    <w:p w14:paraId="7D894F9B" w14:textId="77777777" w:rsidR="00141B97" w:rsidRDefault="00141B97">
      <w:pPr>
        <w:pStyle w:val="BodyText"/>
        <w:spacing w:before="6"/>
        <w:rPr>
          <w:sz w:val="23"/>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3119"/>
        <w:gridCol w:w="1128"/>
        <w:gridCol w:w="1128"/>
        <w:gridCol w:w="1129"/>
        <w:gridCol w:w="1129"/>
        <w:gridCol w:w="1129"/>
        <w:gridCol w:w="1122"/>
      </w:tblGrid>
      <w:tr w:rsidR="00141B97" w14:paraId="5B0915B1" w14:textId="77777777">
        <w:trPr>
          <w:trHeight w:val="495"/>
          <w:tblCellSpacing w:w="9" w:type="dxa"/>
        </w:trPr>
        <w:tc>
          <w:tcPr>
            <w:tcW w:w="3092" w:type="dxa"/>
            <w:tcBorders>
              <w:top w:val="nil"/>
              <w:left w:val="nil"/>
            </w:tcBorders>
            <w:shd w:val="clear" w:color="auto" w:fill="006CA3"/>
          </w:tcPr>
          <w:p w14:paraId="17BFE951" w14:textId="77777777" w:rsidR="00141B97" w:rsidRDefault="00911D63">
            <w:pPr>
              <w:pStyle w:val="TableParagraph"/>
              <w:spacing w:before="139"/>
              <w:ind w:left="88"/>
              <w:rPr>
                <w:sz w:val="18"/>
              </w:rPr>
            </w:pPr>
            <w:r>
              <w:rPr>
                <w:color w:val="FFFFFF"/>
                <w:sz w:val="18"/>
              </w:rPr>
              <w:t>Rolled</w:t>
            </w:r>
            <w:r>
              <w:rPr>
                <w:color w:val="FFFFFF"/>
                <w:spacing w:val="-7"/>
                <w:sz w:val="18"/>
              </w:rPr>
              <w:t xml:space="preserve"> </w:t>
            </w:r>
            <w:r>
              <w:rPr>
                <w:color w:val="FFFFFF"/>
                <w:sz w:val="18"/>
              </w:rPr>
              <w:t>forward</w:t>
            </w:r>
            <w:r>
              <w:rPr>
                <w:color w:val="FFFFFF"/>
                <w:spacing w:val="-6"/>
                <w:sz w:val="18"/>
              </w:rPr>
              <w:t xml:space="preserve"> </w:t>
            </w:r>
            <w:r>
              <w:rPr>
                <w:color w:val="FFFFFF"/>
                <w:sz w:val="18"/>
              </w:rPr>
              <w:t>asset</w:t>
            </w:r>
            <w:r>
              <w:rPr>
                <w:color w:val="FFFFFF"/>
                <w:spacing w:val="-7"/>
                <w:sz w:val="18"/>
              </w:rPr>
              <w:t xml:space="preserve"> </w:t>
            </w:r>
            <w:r>
              <w:rPr>
                <w:color w:val="FFFFFF"/>
                <w:spacing w:val="-4"/>
                <w:sz w:val="18"/>
              </w:rPr>
              <w:t>base</w:t>
            </w:r>
          </w:p>
        </w:tc>
        <w:tc>
          <w:tcPr>
            <w:tcW w:w="1110" w:type="dxa"/>
            <w:tcBorders>
              <w:top w:val="nil"/>
            </w:tcBorders>
            <w:shd w:val="clear" w:color="auto" w:fill="006CA3"/>
          </w:tcPr>
          <w:p w14:paraId="38669394" w14:textId="77777777" w:rsidR="00141B97" w:rsidRDefault="00911D63">
            <w:pPr>
              <w:pStyle w:val="TableParagraph"/>
              <w:spacing w:before="139"/>
              <w:ind w:left="266"/>
              <w:rPr>
                <w:sz w:val="18"/>
              </w:rPr>
            </w:pPr>
            <w:r>
              <w:rPr>
                <w:color w:val="FFFFFF"/>
                <w:spacing w:val="-2"/>
                <w:sz w:val="18"/>
              </w:rPr>
              <w:t>Current</w:t>
            </w:r>
          </w:p>
        </w:tc>
        <w:tc>
          <w:tcPr>
            <w:tcW w:w="5538" w:type="dxa"/>
            <w:gridSpan w:val="5"/>
            <w:tcBorders>
              <w:top w:val="nil"/>
              <w:right w:val="nil"/>
            </w:tcBorders>
            <w:shd w:val="clear" w:color="auto" w:fill="006CA3"/>
          </w:tcPr>
          <w:p w14:paraId="523875B9" w14:textId="77777777" w:rsidR="00141B97" w:rsidRDefault="00911D63">
            <w:pPr>
              <w:pStyle w:val="TableParagraph"/>
              <w:spacing w:before="139"/>
              <w:ind w:left="1935" w:right="1926"/>
              <w:jc w:val="center"/>
              <w:rPr>
                <w:sz w:val="18"/>
              </w:rPr>
            </w:pPr>
            <w:r>
              <w:rPr>
                <w:color w:val="FFFFFF"/>
                <w:sz w:val="18"/>
              </w:rPr>
              <w:t>Fifth</w:t>
            </w:r>
            <w:r>
              <w:rPr>
                <w:color w:val="FFFFFF"/>
                <w:spacing w:val="-7"/>
                <w:sz w:val="18"/>
              </w:rPr>
              <w:t xml:space="preserve"> </w:t>
            </w:r>
            <w:r>
              <w:rPr>
                <w:color w:val="FFFFFF"/>
                <w:sz w:val="18"/>
              </w:rPr>
              <w:t>Regulatory</w:t>
            </w:r>
            <w:r>
              <w:rPr>
                <w:color w:val="FFFFFF"/>
                <w:spacing w:val="-7"/>
                <w:sz w:val="18"/>
              </w:rPr>
              <w:t xml:space="preserve"> </w:t>
            </w:r>
            <w:r>
              <w:rPr>
                <w:color w:val="FFFFFF"/>
                <w:spacing w:val="-2"/>
                <w:sz w:val="18"/>
              </w:rPr>
              <w:t>Period</w:t>
            </w:r>
          </w:p>
        </w:tc>
      </w:tr>
      <w:tr w:rsidR="00141B97" w14:paraId="5BD23FAC" w14:textId="77777777">
        <w:trPr>
          <w:trHeight w:val="255"/>
          <w:tblCellSpacing w:w="9" w:type="dxa"/>
        </w:trPr>
        <w:tc>
          <w:tcPr>
            <w:tcW w:w="3092" w:type="dxa"/>
            <w:tcBorders>
              <w:left w:val="nil"/>
            </w:tcBorders>
            <w:shd w:val="clear" w:color="auto" w:fill="006CA3"/>
          </w:tcPr>
          <w:p w14:paraId="06921F31" w14:textId="77777777" w:rsidR="00141B97" w:rsidRDefault="00911D63">
            <w:pPr>
              <w:pStyle w:val="TableParagraph"/>
              <w:spacing w:before="19" w:line="217" w:lineRule="exact"/>
              <w:ind w:left="129"/>
              <w:rPr>
                <w:sz w:val="18"/>
              </w:rPr>
            </w:pPr>
            <w:r>
              <w:rPr>
                <w:color w:val="FFFFFF"/>
                <w:sz w:val="18"/>
              </w:rPr>
              <w:t>$m,</w:t>
            </w:r>
            <w:r>
              <w:rPr>
                <w:color w:val="FFFFFF"/>
                <w:spacing w:val="-3"/>
                <w:sz w:val="18"/>
              </w:rPr>
              <w:t xml:space="preserve"> </w:t>
            </w:r>
            <w:r>
              <w:rPr>
                <w:color w:val="FFFFFF"/>
                <w:spacing w:val="-2"/>
                <w:sz w:val="18"/>
              </w:rPr>
              <w:t>1/1/23</w:t>
            </w:r>
          </w:p>
        </w:tc>
        <w:tc>
          <w:tcPr>
            <w:tcW w:w="1110" w:type="dxa"/>
            <w:shd w:val="clear" w:color="auto" w:fill="006CA3"/>
          </w:tcPr>
          <w:p w14:paraId="2EC33FE4" w14:textId="77777777" w:rsidR="00141B97" w:rsidRDefault="00911D63">
            <w:pPr>
              <w:pStyle w:val="TableParagraph"/>
              <w:spacing w:before="12"/>
              <w:ind w:left="242"/>
              <w:rPr>
                <w:sz w:val="18"/>
              </w:rPr>
            </w:pPr>
            <w:r>
              <w:rPr>
                <w:color w:val="FFFFFF"/>
                <w:spacing w:val="-2"/>
                <w:sz w:val="18"/>
              </w:rPr>
              <w:t>2022‐23</w:t>
            </w:r>
          </w:p>
        </w:tc>
        <w:tc>
          <w:tcPr>
            <w:tcW w:w="1110" w:type="dxa"/>
            <w:shd w:val="clear" w:color="auto" w:fill="006CA3"/>
          </w:tcPr>
          <w:p w14:paraId="1376E44C" w14:textId="77777777" w:rsidR="00141B97" w:rsidRDefault="00911D63">
            <w:pPr>
              <w:pStyle w:val="TableParagraph"/>
              <w:spacing w:before="12"/>
              <w:ind w:left="242"/>
              <w:rPr>
                <w:sz w:val="18"/>
              </w:rPr>
            </w:pPr>
            <w:r>
              <w:rPr>
                <w:color w:val="FFFFFF"/>
                <w:spacing w:val="-2"/>
                <w:sz w:val="18"/>
              </w:rPr>
              <w:t>2023‐24</w:t>
            </w:r>
          </w:p>
        </w:tc>
        <w:tc>
          <w:tcPr>
            <w:tcW w:w="1111" w:type="dxa"/>
            <w:shd w:val="clear" w:color="auto" w:fill="006CA3"/>
          </w:tcPr>
          <w:p w14:paraId="5321029D" w14:textId="77777777" w:rsidR="00141B97" w:rsidRDefault="00911D63">
            <w:pPr>
              <w:pStyle w:val="TableParagraph"/>
              <w:spacing w:before="12"/>
              <w:ind w:left="243"/>
              <w:rPr>
                <w:sz w:val="18"/>
              </w:rPr>
            </w:pPr>
            <w:r>
              <w:rPr>
                <w:color w:val="FFFFFF"/>
                <w:spacing w:val="-2"/>
                <w:sz w:val="18"/>
              </w:rPr>
              <w:t>2024‐25</w:t>
            </w:r>
          </w:p>
        </w:tc>
        <w:tc>
          <w:tcPr>
            <w:tcW w:w="1111" w:type="dxa"/>
            <w:shd w:val="clear" w:color="auto" w:fill="006CA3"/>
          </w:tcPr>
          <w:p w14:paraId="346E140F" w14:textId="77777777" w:rsidR="00141B97" w:rsidRDefault="00911D63">
            <w:pPr>
              <w:pStyle w:val="TableParagraph"/>
              <w:spacing w:before="12"/>
              <w:ind w:left="243"/>
              <w:rPr>
                <w:sz w:val="18"/>
              </w:rPr>
            </w:pPr>
            <w:r>
              <w:rPr>
                <w:color w:val="FFFFFF"/>
                <w:spacing w:val="-2"/>
                <w:sz w:val="18"/>
              </w:rPr>
              <w:t>2025‐26</w:t>
            </w:r>
          </w:p>
        </w:tc>
        <w:tc>
          <w:tcPr>
            <w:tcW w:w="1111" w:type="dxa"/>
            <w:shd w:val="clear" w:color="auto" w:fill="006CA3"/>
          </w:tcPr>
          <w:p w14:paraId="7E0440D0" w14:textId="77777777" w:rsidR="00141B97" w:rsidRDefault="00911D63">
            <w:pPr>
              <w:pStyle w:val="TableParagraph"/>
              <w:spacing w:before="12"/>
              <w:ind w:left="243"/>
              <w:rPr>
                <w:sz w:val="18"/>
              </w:rPr>
            </w:pPr>
            <w:r>
              <w:rPr>
                <w:color w:val="FFFFFF"/>
                <w:spacing w:val="-2"/>
                <w:sz w:val="18"/>
              </w:rPr>
              <w:t>2026‐27</w:t>
            </w:r>
          </w:p>
        </w:tc>
        <w:tc>
          <w:tcPr>
            <w:tcW w:w="1095" w:type="dxa"/>
            <w:tcBorders>
              <w:right w:val="nil"/>
            </w:tcBorders>
            <w:shd w:val="clear" w:color="auto" w:fill="006CA3"/>
          </w:tcPr>
          <w:p w14:paraId="043762B4" w14:textId="77777777" w:rsidR="00141B97" w:rsidRDefault="00911D63">
            <w:pPr>
              <w:pStyle w:val="TableParagraph"/>
              <w:spacing w:before="12"/>
              <w:ind w:left="241"/>
              <w:rPr>
                <w:sz w:val="18"/>
              </w:rPr>
            </w:pPr>
            <w:r>
              <w:rPr>
                <w:color w:val="FFFFFF"/>
                <w:spacing w:val="-2"/>
                <w:sz w:val="18"/>
              </w:rPr>
              <w:t>2027‐28</w:t>
            </w:r>
          </w:p>
        </w:tc>
      </w:tr>
      <w:tr w:rsidR="00141B97" w14:paraId="7EB8C9A6" w14:textId="77777777">
        <w:trPr>
          <w:trHeight w:val="269"/>
          <w:tblCellSpacing w:w="9" w:type="dxa"/>
        </w:trPr>
        <w:tc>
          <w:tcPr>
            <w:tcW w:w="3092" w:type="dxa"/>
            <w:tcBorders>
              <w:left w:val="nil"/>
            </w:tcBorders>
            <w:shd w:val="clear" w:color="auto" w:fill="CCE2ED"/>
          </w:tcPr>
          <w:p w14:paraId="2BE190BD" w14:textId="77777777" w:rsidR="00141B97" w:rsidRDefault="00911D63">
            <w:pPr>
              <w:pStyle w:val="TableParagraph"/>
              <w:spacing w:before="25"/>
              <w:ind w:left="88"/>
              <w:rPr>
                <w:sz w:val="18"/>
              </w:rPr>
            </w:pPr>
            <w:r>
              <w:rPr>
                <w:sz w:val="18"/>
              </w:rPr>
              <w:t>Opening</w:t>
            </w:r>
            <w:r>
              <w:rPr>
                <w:spacing w:val="-9"/>
                <w:sz w:val="18"/>
              </w:rPr>
              <w:t xml:space="preserve"> </w:t>
            </w:r>
            <w:r>
              <w:rPr>
                <w:sz w:val="18"/>
              </w:rPr>
              <w:t>asset</w:t>
            </w:r>
            <w:r>
              <w:rPr>
                <w:spacing w:val="-8"/>
                <w:sz w:val="18"/>
              </w:rPr>
              <w:t xml:space="preserve"> </w:t>
            </w:r>
            <w:r>
              <w:rPr>
                <w:spacing w:val="-4"/>
                <w:sz w:val="18"/>
              </w:rPr>
              <w:t>base</w:t>
            </w:r>
          </w:p>
        </w:tc>
        <w:tc>
          <w:tcPr>
            <w:tcW w:w="1110" w:type="dxa"/>
            <w:shd w:val="clear" w:color="auto" w:fill="CCE2ED"/>
          </w:tcPr>
          <w:p w14:paraId="077A61AE" w14:textId="77777777" w:rsidR="00141B97" w:rsidRDefault="00911D63">
            <w:pPr>
              <w:pStyle w:val="TableParagraph"/>
              <w:spacing w:before="25"/>
              <w:ind w:right="96"/>
              <w:jc w:val="right"/>
              <w:rPr>
                <w:sz w:val="18"/>
              </w:rPr>
            </w:pPr>
            <w:r>
              <w:rPr>
                <w:spacing w:val="-2"/>
                <w:sz w:val="18"/>
              </w:rPr>
              <w:t>110.24</w:t>
            </w:r>
          </w:p>
        </w:tc>
        <w:tc>
          <w:tcPr>
            <w:tcW w:w="1110" w:type="dxa"/>
            <w:shd w:val="clear" w:color="auto" w:fill="CCE2ED"/>
          </w:tcPr>
          <w:p w14:paraId="7D01FA78" w14:textId="77777777" w:rsidR="00141B97" w:rsidRDefault="00911D63">
            <w:pPr>
              <w:pStyle w:val="TableParagraph"/>
              <w:spacing w:before="25"/>
              <w:ind w:right="95"/>
              <w:jc w:val="right"/>
              <w:rPr>
                <w:sz w:val="18"/>
              </w:rPr>
            </w:pPr>
            <w:r>
              <w:rPr>
                <w:spacing w:val="-2"/>
                <w:sz w:val="18"/>
              </w:rPr>
              <w:t>112.16</w:t>
            </w:r>
          </w:p>
        </w:tc>
        <w:tc>
          <w:tcPr>
            <w:tcW w:w="1111" w:type="dxa"/>
            <w:shd w:val="clear" w:color="auto" w:fill="CCE2ED"/>
          </w:tcPr>
          <w:p w14:paraId="4FF2B884" w14:textId="77777777" w:rsidR="00141B97" w:rsidRDefault="00911D63">
            <w:pPr>
              <w:pStyle w:val="TableParagraph"/>
              <w:spacing w:before="25"/>
              <w:ind w:right="95"/>
              <w:jc w:val="right"/>
              <w:rPr>
                <w:sz w:val="18"/>
              </w:rPr>
            </w:pPr>
            <w:r>
              <w:rPr>
                <w:spacing w:val="-2"/>
                <w:sz w:val="18"/>
              </w:rPr>
              <w:t>118.60</w:t>
            </w:r>
          </w:p>
        </w:tc>
        <w:tc>
          <w:tcPr>
            <w:tcW w:w="1111" w:type="dxa"/>
            <w:shd w:val="clear" w:color="auto" w:fill="CCE2ED"/>
          </w:tcPr>
          <w:p w14:paraId="2D9D8196" w14:textId="77777777" w:rsidR="00141B97" w:rsidRDefault="00911D63">
            <w:pPr>
              <w:pStyle w:val="TableParagraph"/>
              <w:spacing w:before="25"/>
              <w:ind w:right="95"/>
              <w:jc w:val="right"/>
              <w:rPr>
                <w:sz w:val="18"/>
              </w:rPr>
            </w:pPr>
            <w:r>
              <w:rPr>
                <w:spacing w:val="-2"/>
                <w:sz w:val="18"/>
              </w:rPr>
              <w:t>122.97</w:t>
            </w:r>
          </w:p>
        </w:tc>
        <w:tc>
          <w:tcPr>
            <w:tcW w:w="1111" w:type="dxa"/>
            <w:shd w:val="clear" w:color="auto" w:fill="CCE2ED"/>
          </w:tcPr>
          <w:p w14:paraId="0E8124F9" w14:textId="77777777" w:rsidR="00141B97" w:rsidRDefault="00911D63">
            <w:pPr>
              <w:pStyle w:val="TableParagraph"/>
              <w:spacing w:before="25"/>
              <w:ind w:right="94"/>
              <w:jc w:val="right"/>
              <w:rPr>
                <w:sz w:val="18"/>
              </w:rPr>
            </w:pPr>
            <w:r>
              <w:rPr>
                <w:spacing w:val="-2"/>
                <w:sz w:val="18"/>
              </w:rPr>
              <w:t>126.75</w:t>
            </w:r>
          </w:p>
        </w:tc>
        <w:tc>
          <w:tcPr>
            <w:tcW w:w="1095" w:type="dxa"/>
            <w:tcBorders>
              <w:right w:val="nil"/>
            </w:tcBorders>
            <w:shd w:val="clear" w:color="auto" w:fill="CCE2ED"/>
          </w:tcPr>
          <w:p w14:paraId="0B7410E5" w14:textId="77777777" w:rsidR="00141B97" w:rsidRDefault="00911D63">
            <w:pPr>
              <w:pStyle w:val="TableParagraph"/>
              <w:spacing w:before="25"/>
              <w:ind w:right="84"/>
              <w:jc w:val="right"/>
              <w:rPr>
                <w:sz w:val="18"/>
              </w:rPr>
            </w:pPr>
            <w:r>
              <w:rPr>
                <w:spacing w:val="-2"/>
                <w:sz w:val="18"/>
              </w:rPr>
              <w:t>131.74</w:t>
            </w:r>
          </w:p>
        </w:tc>
      </w:tr>
      <w:tr w:rsidR="00141B97" w14:paraId="432A4694" w14:textId="77777777">
        <w:trPr>
          <w:trHeight w:val="254"/>
          <w:tblCellSpacing w:w="9" w:type="dxa"/>
        </w:trPr>
        <w:tc>
          <w:tcPr>
            <w:tcW w:w="3092" w:type="dxa"/>
            <w:tcBorders>
              <w:left w:val="nil"/>
            </w:tcBorders>
            <w:shd w:val="clear" w:color="auto" w:fill="CCE2ED"/>
          </w:tcPr>
          <w:p w14:paraId="121CE8CF" w14:textId="77777777" w:rsidR="00141B97" w:rsidRDefault="00911D63">
            <w:pPr>
              <w:pStyle w:val="TableParagraph"/>
              <w:spacing w:before="19" w:line="216" w:lineRule="exact"/>
              <w:ind w:right="566"/>
              <w:jc w:val="right"/>
              <w:rPr>
                <w:sz w:val="18"/>
              </w:rPr>
            </w:pPr>
            <w:r>
              <w:rPr>
                <w:i/>
                <w:sz w:val="18"/>
              </w:rPr>
              <w:t>plus</w:t>
            </w:r>
            <w:r>
              <w:rPr>
                <w:i/>
                <w:spacing w:val="-8"/>
                <w:sz w:val="18"/>
              </w:rPr>
              <w:t xml:space="preserve"> </w:t>
            </w:r>
            <w:r>
              <w:rPr>
                <w:sz w:val="18"/>
              </w:rPr>
              <w:t>Gross</w:t>
            </w:r>
            <w:r>
              <w:rPr>
                <w:spacing w:val="-7"/>
                <w:sz w:val="18"/>
              </w:rPr>
              <w:t xml:space="preserve"> </w:t>
            </w:r>
            <w:r>
              <w:rPr>
                <w:sz w:val="18"/>
              </w:rPr>
              <w:t>capital</w:t>
            </w:r>
            <w:r>
              <w:rPr>
                <w:spacing w:val="-7"/>
                <w:sz w:val="18"/>
              </w:rPr>
              <w:t xml:space="preserve"> </w:t>
            </w:r>
            <w:r>
              <w:rPr>
                <w:spacing w:val="-2"/>
                <w:sz w:val="18"/>
              </w:rPr>
              <w:t>expenditures</w:t>
            </w:r>
          </w:p>
        </w:tc>
        <w:tc>
          <w:tcPr>
            <w:tcW w:w="1110" w:type="dxa"/>
            <w:shd w:val="clear" w:color="auto" w:fill="CCE2ED"/>
          </w:tcPr>
          <w:p w14:paraId="7A1BF848" w14:textId="77777777" w:rsidR="00141B97" w:rsidRDefault="00911D63">
            <w:pPr>
              <w:pStyle w:val="TableParagraph"/>
              <w:spacing w:before="19" w:line="216" w:lineRule="exact"/>
              <w:ind w:right="96"/>
              <w:jc w:val="right"/>
              <w:rPr>
                <w:sz w:val="18"/>
              </w:rPr>
            </w:pPr>
            <w:r>
              <w:rPr>
                <w:spacing w:val="-4"/>
                <w:sz w:val="18"/>
              </w:rPr>
              <w:t>5.54</w:t>
            </w:r>
          </w:p>
        </w:tc>
        <w:tc>
          <w:tcPr>
            <w:tcW w:w="1110" w:type="dxa"/>
            <w:shd w:val="clear" w:color="auto" w:fill="CCE2ED"/>
          </w:tcPr>
          <w:p w14:paraId="1E10CD02" w14:textId="77777777" w:rsidR="00141B97" w:rsidRDefault="00911D63">
            <w:pPr>
              <w:pStyle w:val="TableParagraph"/>
              <w:spacing w:before="19" w:line="216" w:lineRule="exact"/>
              <w:ind w:right="95"/>
              <w:jc w:val="right"/>
              <w:rPr>
                <w:sz w:val="18"/>
              </w:rPr>
            </w:pPr>
            <w:r>
              <w:rPr>
                <w:spacing w:val="-2"/>
                <w:sz w:val="18"/>
              </w:rPr>
              <w:t>16.08</w:t>
            </w:r>
          </w:p>
        </w:tc>
        <w:tc>
          <w:tcPr>
            <w:tcW w:w="1111" w:type="dxa"/>
            <w:shd w:val="clear" w:color="auto" w:fill="CCE2ED"/>
          </w:tcPr>
          <w:p w14:paraId="05957A1B" w14:textId="77777777" w:rsidR="00141B97" w:rsidRDefault="00911D63">
            <w:pPr>
              <w:pStyle w:val="TableParagraph"/>
              <w:spacing w:before="19" w:line="216" w:lineRule="exact"/>
              <w:ind w:right="95"/>
              <w:jc w:val="right"/>
              <w:rPr>
                <w:sz w:val="18"/>
              </w:rPr>
            </w:pPr>
            <w:r>
              <w:rPr>
                <w:spacing w:val="-4"/>
                <w:sz w:val="18"/>
              </w:rPr>
              <w:t>8.51</w:t>
            </w:r>
          </w:p>
        </w:tc>
        <w:tc>
          <w:tcPr>
            <w:tcW w:w="1111" w:type="dxa"/>
            <w:shd w:val="clear" w:color="auto" w:fill="CCE2ED"/>
          </w:tcPr>
          <w:p w14:paraId="527A1002" w14:textId="77777777" w:rsidR="00141B97" w:rsidRDefault="00911D63">
            <w:pPr>
              <w:pStyle w:val="TableParagraph"/>
              <w:spacing w:before="19" w:line="216" w:lineRule="exact"/>
              <w:ind w:right="95"/>
              <w:jc w:val="right"/>
              <w:rPr>
                <w:sz w:val="18"/>
              </w:rPr>
            </w:pPr>
            <w:r>
              <w:rPr>
                <w:spacing w:val="-4"/>
                <w:sz w:val="18"/>
              </w:rPr>
              <w:t>8.06</w:t>
            </w:r>
          </w:p>
        </w:tc>
        <w:tc>
          <w:tcPr>
            <w:tcW w:w="1111" w:type="dxa"/>
            <w:shd w:val="clear" w:color="auto" w:fill="CCE2ED"/>
          </w:tcPr>
          <w:p w14:paraId="2FC51164" w14:textId="77777777" w:rsidR="00141B97" w:rsidRDefault="00911D63">
            <w:pPr>
              <w:pStyle w:val="TableParagraph"/>
              <w:spacing w:before="19" w:line="216" w:lineRule="exact"/>
              <w:ind w:right="94"/>
              <w:jc w:val="right"/>
              <w:rPr>
                <w:sz w:val="18"/>
              </w:rPr>
            </w:pPr>
            <w:r>
              <w:rPr>
                <w:spacing w:val="-4"/>
                <w:sz w:val="18"/>
              </w:rPr>
              <w:t>9.30</w:t>
            </w:r>
          </w:p>
        </w:tc>
        <w:tc>
          <w:tcPr>
            <w:tcW w:w="1095" w:type="dxa"/>
            <w:tcBorders>
              <w:right w:val="nil"/>
            </w:tcBorders>
            <w:shd w:val="clear" w:color="auto" w:fill="CCE2ED"/>
          </w:tcPr>
          <w:p w14:paraId="3638FC0D" w14:textId="77777777" w:rsidR="00141B97" w:rsidRDefault="00911D63">
            <w:pPr>
              <w:pStyle w:val="TableParagraph"/>
              <w:spacing w:before="19" w:line="216" w:lineRule="exact"/>
              <w:ind w:right="84"/>
              <w:jc w:val="right"/>
              <w:rPr>
                <w:sz w:val="18"/>
              </w:rPr>
            </w:pPr>
            <w:r>
              <w:rPr>
                <w:spacing w:val="-4"/>
                <w:sz w:val="18"/>
              </w:rPr>
              <w:t>8.41</w:t>
            </w:r>
          </w:p>
        </w:tc>
      </w:tr>
      <w:tr w:rsidR="00141B97" w14:paraId="495E8783" w14:textId="77777777">
        <w:trPr>
          <w:trHeight w:val="255"/>
          <w:tblCellSpacing w:w="9" w:type="dxa"/>
        </w:trPr>
        <w:tc>
          <w:tcPr>
            <w:tcW w:w="3092" w:type="dxa"/>
            <w:tcBorders>
              <w:left w:val="nil"/>
            </w:tcBorders>
            <w:shd w:val="clear" w:color="auto" w:fill="CCE2ED"/>
          </w:tcPr>
          <w:p w14:paraId="47E27D06" w14:textId="77777777" w:rsidR="00141B97" w:rsidRDefault="00911D63">
            <w:pPr>
              <w:pStyle w:val="TableParagraph"/>
              <w:spacing w:before="19" w:line="217" w:lineRule="exact"/>
              <w:ind w:left="257"/>
              <w:rPr>
                <w:sz w:val="18"/>
              </w:rPr>
            </w:pPr>
            <w:r>
              <w:rPr>
                <w:i/>
                <w:spacing w:val="-2"/>
                <w:sz w:val="18"/>
              </w:rPr>
              <w:t>less</w:t>
            </w:r>
            <w:r>
              <w:rPr>
                <w:i/>
                <w:spacing w:val="1"/>
                <w:sz w:val="18"/>
              </w:rPr>
              <w:t xml:space="preserve"> </w:t>
            </w:r>
            <w:r>
              <w:rPr>
                <w:spacing w:val="-2"/>
                <w:sz w:val="18"/>
              </w:rPr>
              <w:t>Customer</w:t>
            </w:r>
            <w:r>
              <w:rPr>
                <w:spacing w:val="2"/>
                <w:sz w:val="18"/>
              </w:rPr>
              <w:t xml:space="preserve"> </w:t>
            </w:r>
            <w:r>
              <w:rPr>
                <w:spacing w:val="-2"/>
                <w:sz w:val="18"/>
              </w:rPr>
              <w:t>contributions</w:t>
            </w:r>
          </w:p>
        </w:tc>
        <w:tc>
          <w:tcPr>
            <w:tcW w:w="1110" w:type="dxa"/>
            <w:shd w:val="clear" w:color="auto" w:fill="CCE2ED"/>
          </w:tcPr>
          <w:p w14:paraId="56E3202D" w14:textId="77777777" w:rsidR="00141B97" w:rsidRDefault="00911D63">
            <w:pPr>
              <w:pStyle w:val="TableParagraph"/>
              <w:spacing w:before="19" w:line="217" w:lineRule="exact"/>
              <w:ind w:right="96"/>
              <w:jc w:val="right"/>
              <w:rPr>
                <w:sz w:val="18"/>
              </w:rPr>
            </w:pPr>
            <w:r>
              <w:rPr>
                <w:spacing w:val="-4"/>
                <w:sz w:val="18"/>
              </w:rPr>
              <w:t>0.17</w:t>
            </w:r>
          </w:p>
        </w:tc>
        <w:tc>
          <w:tcPr>
            <w:tcW w:w="1110" w:type="dxa"/>
            <w:shd w:val="clear" w:color="auto" w:fill="CCE2ED"/>
          </w:tcPr>
          <w:p w14:paraId="625645BF" w14:textId="77777777" w:rsidR="00141B97" w:rsidRDefault="00911D63">
            <w:pPr>
              <w:pStyle w:val="TableParagraph"/>
              <w:spacing w:before="19" w:line="217" w:lineRule="exact"/>
              <w:ind w:right="95"/>
              <w:jc w:val="right"/>
              <w:rPr>
                <w:sz w:val="18"/>
              </w:rPr>
            </w:pPr>
            <w:r>
              <w:rPr>
                <w:spacing w:val="-4"/>
                <w:sz w:val="18"/>
              </w:rPr>
              <w:t>3.92</w:t>
            </w:r>
          </w:p>
        </w:tc>
        <w:tc>
          <w:tcPr>
            <w:tcW w:w="1111" w:type="dxa"/>
            <w:shd w:val="clear" w:color="auto" w:fill="CCE2ED"/>
          </w:tcPr>
          <w:p w14:paraId="22BEA3B4" w14:textId="77777777" w:rsidR="00141B97" w:rsidRDefault="00911D63">
            <w:pPr>
              <w:pStyle w:val="TableParagraph"/>
              <w:spacing w:before="19" w:line="217" w:lineRule="exact"/>
              <w:ind w:right="95"/>
              <w:jc w:val="right"/>
              <w:rPr>
                <w:sz w:val="18"/>
              </w:rPr>
            </w:pPr>
            <w:r>
              <w:rPr>
                <w:spacing w:val="-4"/>
                <w:sz w:val="18"/>
              </w:rPr>
              <w:t>0.17</w:t>
            </w:r>
          </w:p>
        </w:tc>
        <w:tc>
          <w:tcPr>
            <w:tcW w:w="1111" w:type="dxa"/>
            <w:shd w:val="clear" w:color="auto" w:fill="CCE2ED"/>
          </w:tcPr>
          <w:p w14:paraId="069AF8C6" w14:textId="77777777" w:rsidR="00141B97" w:rsidRDefault="00911D63">
            <w:pPr>
              <w:pStyle w:val="TableParagraph"/>
              <w:spacing w:before="19" w:line="217" w:lineRule="exact"/>
              <w:ind w:right="95"/>
              <w:jc w:val="right"/>
              <w:rPr>
                <w:sz w:val="18"/>
              </w:rPr>
            </w:pPr>
            <w:r>
              <w:rPr>
                <w:spacing w:val="-4"/>
                <w:sz w:val="18"/>
              </w:rPr>
              <w:t>0.17</w:t>
            </w:r>
          </w:p>
        </w:tc>
        <w:tc>
          <w:tcPr>
            <w:tcW w:w="1111" w:type="dxa"/>
            <w:shd w:val="clear" w:color="auto" w:fill="CCE2ED"/>
          </w:tcPr>
          <w:p w14:paraId="0246893E" w14:textId="77777777" w:rsidR="00141B97" w:rsidRDefault="00911D63">
            <w:pPr>
              <w:pStyle w:val="TableParagraph"/>
              <w:spacing w:before="19" w:line="217" w:lineRule="exact"/>
              <w:ind w:right="94"/>
              <w:jc w:val="right"/>
              <w:rPr>
                <w:sz w:val="18"/>
              </w:rPr>
            </w:pPr>
            <w:r>
              <w:rPr>
                <w:spacing w:val="-4"/>
                <w:sz w:val="18"/>
              </w:rPr>
              <w:t>0.17</w:t>
            </w:r>
          </w:p>
        </w:tc>
        <w:tc>
          <w:tcPr>
            <w:tcW w:w="1095" w:type="dxa"/>
            <w:tcBorders>
              <w:right w:val="nil"/>
            </w:tcBorders>
            <w:shd w:val="clear" w:color="auto" w:fill="CCE2ED"/>
          </w:tcPr>
          <w:p w14:paraId="670BC3AC" w14:textId="77777777" w:rsidR="00141B97" w:rsidRDefault="00911D63">
            <w:pPr>
              <w:pStyle w:val="TableParagraph"/>
              <w:spacing w:before="19" w:line="217" w:lineRule="exact"/>
              <w:ind w:right="84"/>
              <w:jc w:val="right"/>
              <w:rPr>
                <w:sz w:val="18"/>
              </w:rPr>
            </w:pPr>
            <w:r>
              <w:rPr>
                <w:spacing w:val="-4"/>
                <w:sz w:val="18"/>
              </w:rPr>
              <w:t>0.17</w:t>
            </w:r>
          </w:p>
        </w:tc>
      </w:tr>
      <w:tr w:rsidR="00141B97" w14:paraId="5071853D" w14:textId="77777777">
        <w:trPr>
          <w:trHeight w:val="239"/>
          <w:tblCellSpacing w:w="9" w:type="dxa"/>
        </w:trPr>
        <w:tc>
          <w:tcPr>
            <w:tcW w:w="3092" w:type="dxa"/>
            <w:tcBorders>
              <w:left w:val="nil"/>
            </w:tcBorders>
            <w:shd w:val="clear" w:color="auto" w:fill="CCE2ED"/>
          </w:tcPr>
          <w:p w14:paraId="4A8177E4" w14:textId="77777777" w:rsidR="00141B97" w:rsidRDefault="00911D63">
            <w:pPr>
              <w:pStyle w:val="TableParagraph"/>
              <w:spacing w:before="10" w:line="209" w:lineRule="exact"/>
              <w:ind w:right="585"/>
              <w:jc w:val="right"/>
              <w:rPr>
                <w:sz w:val="18"/>
              </w:rPr>
            </w:pPr>
            <w:r>
              <w:rPr>
                <w:i/>
                <w:sz w:val="18"/>
              </w:rPr>
              <w:t>less</w:t>
            </w:r>
            <w:r>
              <w:rPr>
                <w:i/>
                <w:spacing w:val="-9"/>
                <w:sz w:val="18"/>
              </w:rPr>
              <w:t xml:space="preserve"> </w:t>
            </w:r>
            <w:r>
              <w:rPr>
                <w:sz w:val="18"/>
              </w:rPr>
              <w:t>Government</w:t>
            </w:r>
            <w:r>
              <w:rPr>
                <w:spacing w:val="-6"/>
                <w:sz w:val="18"/>
              </w:rPr>
              <w:t xml:space="preserve"> </w:t>
            </w:r>
            <w:r>
              <w:rPr>
                <w:spacing w:val="-2"/>
                <w:sz w:val="18"/>
              </w:rPr>
              <w:t>contributions</w:t>
            </w:r>
          </w:p>
        </w:tc>
        <w:tc>
          <w:tcPr>
            <w:tcW w:w="1110" w:type="dxa"/>
            <w:shd w:val="clear" w:color="auto" w:fill="CCE2ED"/>
          </w:tcPr>
          <w:p w14:paraId="63E154B8" w14:textId="77777777" w:rsidR="00141B97" w:rsidRDefault="00911D63">
            <w:pPr>
              <w:pStyle w:val="TableParagraph"/>
              <w:spacing w:before="10" w:line="209" w:lineRule="exact"/>
              <w:ind w:right="96"/>
              <w:jc w:val="right"/>
              <w:rPr>
                <w:sz w:val="18"/>
              </w:rPr>
            </w:pPr>
            <w:r>
              <w:rPr>
                <w:w w:val="99"/>
                <w:sz w:val="18"/>
              </w:rPr>
              <w:t>‐</w:t>
            </w:r>
          </w:p>
        </w:tc>
        <w:tc>
          <w:tcPr>
            <w:tcW w:w="1110" w:type="dxa"/>
            <w:shd w:val="clear" w:color="auto" w:fill="CCE2ED"/>
          </w:tcPr>
          <w:p w14:paraId="567C1074" w14:textId="77777777" w:rsidR="00141B97" w:rsidRDefault="00911D63">
            <w:pPr>
              <w:pStyle w:val="TableParagraph"/>
              <w:spacing w:before="10" w:line="209" w:lineRule="exact"/>
              <w:ind w:right="95"/>
              <w:jc w:val="right"/>
              <w:rPr>
                <w:sz w:val="18"/>
              </w:rPr>
            </w:pPr>
            <w:r>
              <w:rPr>
                <w:w w:val="99"/>
                <w:sz w:val="18"/>
              </w:rPr>
              <w:t>‐</w:t>
            </w:r>
          </w:p>
        </w:tc>
        <w:tc>
          <w:tcPr>
            <w:tcW w:w="1111" w:type="dxa"/>
            <w:shd w:val="clear" w:color="auto" w:fill="CCE2ED"/>
          </w:tcPr>
          <w:p w14:paraId="70900469" w14:textId="77777777" w:rsidR="00141B97" w:rsidRDefault="00911D63">
            <w:pPr>
              <w:pStyle w:val="TableParagraph"/>
              <w:spacing w:before="10" w:line="209" w:lineRule="exact"/>
              <w:ind w:right="95"/>
              <w:jc w:val="right"/>
              <w:rPr>
                <w:sz w:val="18"/>
              </w:rPr>
            </w:pPr>
            <w:r>
              <w:rPr>
                <w:w w:val="99"/>
                <w:sz w:val="18"/>
              </w:rPr>
              <w:t>‐</w:t>
            </w:r>
          </w:p>
        </w:tc>
        <w:tc>
          <w:tcPr>
            <w:tcW w:w="1111" w:type="dxa"/>
            <w:shd w:val="clear" w:color="auto" w:fill="CCE2ED"/>
          </w:tcPr>
          <w:p w14:paraId="60061AEA" w14:textId="77777777" w:rsidR="00141B97" w:rsidRDefault="00911D63">
            <w:pPr>
              <w:pStyle w:val="TableParagraph"/>
              <w:spacing w:before="10" w:line="209" w:lineRule="exact"/>
              <w:ind w:right="95"/>
              <w:jc w:val="right"/>
              <w:rPr>
                <w:sz w:val="18"/>
              </w:rPr>
            </w:pPr>
            <w:r>
              <w:rPr>
                <w:w w:val="99"/>
                <w:sz w:val="18"/>
              </w:rPr>
              <w:t>‐</w:t>
            </w:r>
          </w:p>
        </w:tc>
        <w:tc>
          <w:tcPr>
            <w:tcW w:w="1111" w:type="dxa"/>
            <w:shd w:val="clear" w:color="auto" w:fill="CCE2ED"/>
          </w:tcPr>
          <w:p w14:paraId="65437D10" w14:textId="77777777" w:rsidR="00141B97" w:rsidRDefault="00911D63">
            <w:pPr>
              <w:pStyle w:val="TableParagraph"/>
              <w:spacing w:before="10" w:line="209" w:lineRule="exact"/>
              <w:ind w:right="95"/>
              <w:jc w:val="right"/>
              <w:rPr>
                <w:sz w:val="18"/>
              </w:rPr>
            </w:pPr>
            <w:r>
              <w:rPr>
                <w:w w:val="99"/>
                <w:sz w:val="18"/>
              </w:rPr>
              <w:t>‐</w:t>
            </w:r>
          </w:p>
        </w:tc>
        <w:tc>
          <w:tcPr>
            <w:tcW w:w="1095" w:type="dxa"/>
            <w:tcBorders>
              <w:right w:val="nil"/>
            </w:tcBorders>
            <w:shd w:val="clear" w:color="auto" w:fill="CCE2ED"/>
          </w:tcPr>
          <w:p w14:paraId="6921CAE4" w14:textId="77777777" w:rsidR="00141B97" w:rsidRDefault="00911D63">
            <w:pPr>
              <w:pStyle w:val="TableParagraph"/>
              <w:spacing w:before="10" w:line="209" w:lineRule="exact"/>
              <w:ind w:right="84"/>
              <w:jc w:val="right"/>
              <w:rPr>
                <w:sz w:val="18"/>
              </w:rPr>
            </w:pPr>
            <w:r>
              <w:rPr>
                <w:w w:val="99"/>
                <w:sz w:val="18"/>
              </w:rPr>
              <w:t>‐</w:t>
            </w:r>
          </w:p>
        </w:tc>
      </w:tr>
      <w:tr w:rsidR="00141B97" w14:paraId="6E7DDB7B" w14:textId="77777777">
        <w:trPr>
          <w:trHeight w:val="254"/>
          <w:tblCellSpacing w:w="9" w:type="dxa"/>
        </w:trPr>
        <w:tc>
          <w:tcPr>
            <w:tcW w:w="3092" w:type="dxa"/>
            <w:tcBorders>
              <w:left w:val="nil"/>
            </w:tcBorders>
            <w:shd w:val="clear" w:color="auto" w:fill="CCE2ED"/>
          </w:tcPr>
          <w:p w14:paraId="2E114B08" w14:textId="77777777" w:rsidR="00141B97" w:rsidRDefault="00911D63">
            <w:pPr>
              <w:pStyle w:val="TableParagraph"/>
              <w:spacing w:before="19" w:line="216" w:lineRule="exact"/>
              <w:ind w:left="257"/>
              <w:rPr>
                <w:sz w:val="18"/>
              </w:rPr>
            </w:pPr>
            <w:r>
              <w:rPr>
                <w:i/>
                <w:sz w:val="18"/>
              </w:rPr>
              <w:t>less</w:t>
            </w:r>
            <w:r>
              <w:rPr>
                <w:i/>
                <w:spacing w:val="-8"/>
                <w:sz w:val="18"/>
              </w:rPr>
              <w:t xml:space="preserve"> </w:t>
            </w:r>
            <w:r>
              <w:rPr>
                <w:sz w:val="18"/>
              </w:rPr>
              <w:t>Regulatory</w:t>
            </w:r>
            <w:r>
              <w:rPr>
                <w:spacing w:val="-7"/>
                <w:sz w:val="18"/>
              </w:rPr>
              <w:t xml:space="preserve"> </w:t>
            </w:r>
            <w:r>
              <w:rPr>
                <w:spacing w:val="-2"/>
                <w:sz w:val="18"/>
              </w:rPr>
              <w:t>depreciation</w:t>
            </w:r>
          </w:p>
        </w:tc>
        <w:tc>
          <w:tcPr>
            <w:tcW w:w="1110" w:type="dxa"/>
            <w:shd w:val="clear" w:color="auto" w:fill="CCE2ED"/>
          </w:tcPr>
          <w:p w14:paraId="68782B86" w14:textId="77777777" w:rsidR="00141B97" w:rsidRDefault="00911D63">
            <w:pPr>
              <w:pStyle w:val="TableParagraph"/>
              <w:spacing w:before="19" w:line="216" w:lineRule="exact"/>
              <w:ind w:right="96"/>
              <w:jc w:val="right"/>
              <w:rPr>
                <w:sz w:val="18"/>
              </w:rPr>
            </w:pPr>
            <w:r>
              <w:rPr>
                <w:spacing w:val="-4"/>
                <w:sz w:val="18"/>
              </w:rPr>
              <w:t>3.06</w:t>
            </w:r>
          </w:p>
        </w:tc>
        <w:tc>
          <w:tcPr>
            <w:tcW w:w="1110" w:type="dxa"/>
            <w:shd w:val="clear" w:color="auto" w:fill="CCE2ED"/>
          </w:tcPr>
          <w:p w14:paraId="652AA7AB" w14:textId="77777777" w:rsidR="00141B97" w:rsidRDefault="00911D63">
            <w:pPr>
              <w:pStyle w:val="TableParagraph"/>
              <w:spacing w:before="19" w:line="216" w:lineRule="exact"/>
              <w:ind w:right="95"/>
              <w:jc w:val="right"/>
              <w:rPr>
                <w:sz w:val="18"/>
              </w:rPr>
            </w:pPr>
            <w:r>
              <w:rPr>
                <w:spacing w:val="-4"/>
                <w:sz w:val="18"/>
              </w:rPr>
              <w:t>3.33</w:t>
            </w:r>
          </w:p>
        </w:tc>
        <w:tc>
          <w:tcPr>
            <w:tcW w:w="1111" w:type="dxa"/>
            <w:shd w:val="clear" w:color="auto" w:fill="CCE2ED"/>
          </w:tcPr>
          <w:p w14:paraId="306F2BDB" w14:textId="77777777" w:rsidR="00141B97" w:rsidRDefault="00911D63">
            <w:pPr>
              <w:pStyle w:val="TableParagraph"/>
              <w:spacing w:before="19" w:line="216" w:lineRule="exact"/>
              <w:ind w:right="95"/>
              <w:jc w:val="right"/>
              <w:rPr>
                <w:sz w:val="18"/>
              </w:rPr>
            </w:pPr>
            <w:r>
              <w:rPr>
                <w:spacing w:val="-4"/>
                <w:sz w:val="18"/>
              </w:rPr>
              <w:t>3.59</w:t>
            </w:r>
          </w:p>
        </w:tc>
        <w:tc>
          <w:tcPr>
            <w:tcW w:w="1111" w:type="dxa"/>
            <w:shd w:val="clear" w:color="auto" w:fill="CCE2ED"/>
          </w:tcPr>
          <w:p w14:paraId="33F23724" w14:textId="77777777" w:rsidR="00141B97" w:rsidRDefault="00911D63">
            <w:pPr>
              <w:pStyle w:val="TableParagraph"/>
              <w:spacing w:before="19" w:line="216" w:lineRule="exact"/>
              <w:ind w:right="95"/>
              <w:jc w:val="right"/>
              <w:rPr>
                <w:sz w:val="18"/>
              </w:rPr>
            </w:pPr>
            <w:r>
              <w:rPr>
                <w:spacing w:val="-4"/>
                <w:sz w:val="18"/>
              </w:rPr>
              <w:t>3.78</w:t>
            </w:r>
          </w:p>
        </w:tc>
        <w:tc>
          <w:tcPr>
            <w:tcW w:w="1111" w:type="dxa"/>
            <w:shd w:val="clear" w:color="auto" w:fill="CCE2ED"/>
          </w:tcPr>
          <w:p w14:paraId="6E3A3DF6" w14:textId="77777777" w:rsidR="00141B97" w:rsidRDefault="00911D63">
            <w:pPr>
              <w:pStyle w:val="TableParagraph"/>
              <w:spacing w:before="19" w:line="216" w:lineRule="exact"/>
              <w:ind w:right="94"/>
              <w:jc w:val="right"/>
              <w:rPr>
                <w:sz w:val="18"/>
              </w:rPr>
            </w:pPr>
            <w:r>
              <w:rPr>
                <w:spacing w:val="-4"/>
                <w:sz w:val="18"/>
              </w:rPr>
              <w:t>3.96</w:t>
            </w:r>
          </w:p>
        </w:tc>
        <w:tc>
          <w:tcPr>
            <w:tcW w:w="1095" w:type="dxa"/>
            <w:tcBorders>
              <w:right w:val="nil"/>
            </w:tcBorders>
            <w:shd w:val="clear" w:color="auto" w:fill="CCE2ED"/>
          </w:tcPr>
          <w:p w14:paraId="4B67F70F" w14:textId="77777777" w:rsidR="00141B97" w:rsidRDefault="00911D63">
            <w:pPr>
              <w:pStyle w:val="TableParagraph"/>
              <w:spacing w:before="19" w:line="216" w:lineRule="exact"/>
              <w:ind w:right="84"/>
              <w:jc w:val="right"/>
              <w:rPr>
                <w:sz w:val="18"/>
              </w:rPr>
            </w:pPr>
            <w:r>
              <w:rPr>
                <w:spacing w:val="-4"/>
                <w:sz w:val="18"/>
              </w:rPr>
              <w:t>4.08</w:t>
            </w:r>
          </w:p>
        </w:tc>
      </w:tr>
      <w:tr w:rsidR="00141B97" w14:paraId="304AB111" w14:textId="77777777">
        <w:trPr>
          <w:trHeight w:val="255"/>
          <w:tblCellSpacing w:w="9" w:type="dxa"/>
        </w:trPr>
        <w:tc>
          <w:tcPr>
            <w:tcW w:w="3092" w:type="dxa"/>
            <w:tcBorders>
              <w:left w:val="nil"/>
            </w:tcBorders>
            <w:shd w:val="clear" w:color="auto" w:fill="CCE2ED"/>
          </w:tcPr>
          <w:p w14:paraId="6D59E023" w14:textId="77777777" w:rsidR="00141B97" w:rsidRDefault="00911D63">
            <w:pPr>
              <w:pStyle w:val="TableParagraph"/>
              <w:spacing w:before="19" w:line="217" w:lineRule="exact"/>
              <w:ind w:left="257"/>
              <w:rPr>
                <w:sz w:val="18"/>
              </w:rPr>
            </w:pPr>
            <w:r>
              <w:rPr>
                <w:i/>
                <w:sz w:val="18"/>
              </w:rPr>
              <w:t>less</w:t>
            </w:r>
            <w:r>
              <w:rPr>
                <w:i/>
                <w:spacing w:val="-7"/>
                <w:sz w:val="18"/>
              </w:rPr>
              <w:t xml:space="preserve"> </w:t>
            </w:r>
            <w:r>
              <w:rPr>
                <w:sz w:val="18"/>
              </w:rPr>
              <w:t>Proceeds</w:t>
            </w:r>
            <w:r>
              <w:rPr>
                <w:spacing w:val="-6"/>
                <w:sz w:val="18"/>
              </w:rPr>
              <w:t xml:space="preserve"> </w:t>
            </w:r>
            <w:r>
              <w:rPr>
                <w:sz w:val="18"/>
              </w:rPr>
              <w:t>from</w:t>
            </w:r>
            <w:r>
              <w:rPr>
                <w:spacing w:val="-5"/>
                <w:sz w:val="18"/>
              </w:rPr>
              <w:t xml:space="preserve"> </w:t>
            </w:r>
            <w:r>
              <w:rPr>
                <w:spacing w:val="-2"/>
                <w:sz w:val="18"/>
              </w:rPr>
              <w:t>disposals</w:t>
            </w:r>
          </w:p>
        </w:tc>
        <w:tc>
          <w:tcPr>
            <w:tcW w:w="1110" w:type="dxa"/>
            <w:shd w:val="clear" w:color="auto" w:fill="CCE2ED"/>
          </w:tcPr>
          <w:p w14:paraId="2BF892A1" w14:textId="77777777" w:rsidR="00141B97" w:rsidRDefault="00911D63">
            <w:pPr>
              <w:pStyle w:val="TableParagraph"/>
              <w:spacing w:before="19" w:line="217" w:lineRule="exact"/>
              <w:ind w:right="96"/>
              <w:jc w:val="right"/>
              <w:rPr>
                <w:sz w:val="18"/>
              </w:rPr>
            </w:pPr>
            <w:r>
              <w:rPr>
                <w:spacing w:val="-4"/>
                <w:sz w:val="18"/>
              </w:rPr>
              <w:t>0.39</w:t>
            </w:r>
          </w:p>
        </w:tc>
        <w:tc>
          <w:tcPr>
            <w:tcW w:w="1110" w:type="dxa"/>
            <w:shd w:val="clear" w:color="auto" w:fill="CCE2ED"/>
          </w:tcPr>
          <w:p w14:paraId="7A1E0453" w14:textId="77777777" w:rsidR="00141B97" w:rsidRDefault="00911D63">
            <w:pPr>
              <w:pStyle w:val="TableParagraph"/>
              <w:spacing w:before="19" w:line="217" w:lineRule="exact"/>
              <w:ind w:right="95"/>
              <w:jc w:val="right"/>
              <w:rPr>
                <w:sz w:val="18"/>
              </w:rPr>
            </w:pPr>
            <w:r>
              <w:rPr>
                <w:spacing w:val="-4"/>
                <w:sz w:val="18"/>
              </w:rPr>
              <w:t>2.39</w:t>
            </w:r>
          </w:p>
        </w:tc>
        <w:tc>
          <w:tcPr>
            <w:tcW w:w="1111" w:type="dxa"/>
            <w:shd w:val="clear" w:color="auto" w:fill="CCE2ED"/>
          </w:tcPr>
          <w:p w14:paraId="6C98DC2F" w14:textId="77777777" w:rsidR="00141B97" w:rsidRDefault="00911D63">
            <w:pPr>
              <w:pStyle w:val="TableParagraph"/>
              <w:spacing w:before="19" w:line="217" w:lineRule="exact"/>
              <w:ind w:right="95"/>
              <w:jc w:val="right"/>
              <w:rPr>
                <w:sz w:val="18"/>
              </w:rPr>
            </w:pPr>
            <w:r>
              <w:rPr>
                <w:spacing w:val="-4"/>
                <w:sz w:val="18"/>
              </w:rPr>
              <w:t>0.37</w:t>
            </w:r>
          </w:p>
        </w:tc>
        <w:tc>
          <w:tcPr>
            <w:tcW w:w="1111" w:type="dxa"/>
            <w:shd w:val="clear" w:color="auto" w:fill="CCE2ED"/>
          </w:tcPr>
          <w:p w14:paraId="3F43F6FA" w14:textId="77777777" w:rsidR="00141B97" w:rsidRDefault="00911D63">
            <w:pPr>
              <w:pStyle w:val="TableParagraph"/>
              <w:spacing w:before="19" w:line="217" w:lineRule="exact"/>
              <w:ind w:right="95"/>
              <w:jc w:val="right"/>
              <w:rPr>
                <w:sz w:val="18"/>
              </w:rPr>
            </w:pPr>
            <w:r>
              <w:rPr>
                <w:spacing w:val="-4"/>
                <w:sz w:val="18"/>
              </w:rPr>
              <w:t>0.33</w:t>
            </w:r>
          </w:p>
        </w:tc>
        <w:tc>
          <w:tcPr>
            <w:tcW w:w="1111" w:type="dxa"/>
            <w:shd w:val="clear" w:color="auto" w:fill="CCE2ED"/>
          </w:tcPr>
          <w:p w14:paraId="2D66B10F" w14:textId="77777777" w:rsidR="00141B97" w:rsidRDefault="00911D63">
            <w:pPr>
              <w:pStyle w:val="TableParagraph"/>
              <w:spacing w:before="19" w:line="217" w:lineRule="exact"/>
              <w:ind w:right="94"/>
              <w:jc w:val="right"/>
              <w:rPr>
                <w:sz w:val="18"/>
              </w:rPr>
            </w:pPr>
            <w:r>
              <w:rPr>
                <w:spacing w:val="-4"/>
                <w:sz w:val="18"/>
              </w:rPr>
              <w:t>0.18</w:t>
            </w:r>
          </w:p>
        </w:tc>
        <w:tc>
          <w:tcPr>
            <w:tcW w:w="1095" w:type="dxa"/>
            <w:tcBorders>
              <w:right w:val="nil"/>
            </w:tcBorders>
            <w:shd w:val="clear" w:color="auto" w:fill="CCE2ED"/>
          </w:tcPr>
          <w:p w14:paraId="57A356ED" w14:textId="77777777" w:rsidR="00141B97" w:rsidRDefault="00911D63">
            <w:pPr>
              <w:pStyle w:val="TableParagraph"/>
              <w:spacing w:before="19" w:line="217" w:lineRule="exact"/>
              <w:ind w:right="84"/>
              <w:jc w:val="right"/>
              <w:rPr>
                <w:sz w:val="18"/>
              </w:rPr>
            </w:pPr>
            <w:r>
              <w:rPr>
                <w:spacing w:val="-4"/>
                <w:sz w:val="18"/>
              </w:rPr>
              <w:t>0.23</w:t>
            </w:r>
          </w:p>
        </w:tc>
      </w:tr>
      <w:tr w:rsidR="00141B97" w14:paraId="609AC98D" w14:textId="77777777">
        <w:trPr>
          <w:trHeight w:val="219"/>
          <w:tblCellSpacing w:w="9" w:type="dxa"/>
        </w:trPr>
        <w:tc>
          <w:tcPr>
            <w:tcW w:w="3092" w:type="dxa"/>
            <w:tcBorders>
              <w:left w:val="nil"/>
              <w:bottom w:val="nil"/>
            </w:tcBorders>
            <w:shd w:val="clear" w:color="auto" w:fill="BFBFBF"/>
          </w:tcPr>
          <w:p w14:paraId="3C77B364" w14:textId="77777777" w:rsidR="00141B97" w:rsidRDefault="00911D63">
            <w:pPr>
              <w:pStyle w:val="TableParagraph"/>
              <w:spacing w:line="199" w:lineRule="exact"/>
              <w:ind w:left="88"/>
              <w:rPr>
                <w:sz w:val="18"/>
              </w:rPr>
            </w:pPr>
            <w:r>
              <w:rPr>
                <w:sz w:val="18"/>
              </w:rPr>
              <w:t>Closing</w:t>
            </w:r>
            <w:r>
              <w:rPr>
                <w:spacing w:val="-7"/>
                <w:sz w:val="18"/>
              </w:rPr>
              <w:t xml:space="preserve"> </w:t>
            </w:r>
            <w:r>
              <w:rPr>
                <w:sz w:val="18"/>
              </w:rPr>
              <w:t>Asset</w:t>
            </w:r>
            <w:r>
              <w:rPr>
                <w:spacing w:val="-6"/>
                <w:sz w:val="18"/>
              </w:rPr>
              <w:t xml:space="preserve"> </w:t>
            </w:r>
            <w:r>
              <w:rPr>
                <w:spacing w:val="-4"/>
                <w:sz w:val="18"/>
              </w:rPr>
              <w:t>Base</w:t>
            </w:r>
          </w:p>
        </w:tc>
        <w:tc>
          <w:tcPr>
            <w:tcW w:w="1110" w:type="dxa"/>
            <w:tcBorders>
              <w:bottom w:val="nil"/>
            </w:tcBorders>
            <w:shd w:val="clear" w:color="auto" w:fill="BFBFBF"/>
          </w:tcPr>
          <w:p w14:paraId="5729D17A" w14:textId="77777777" w:rsidR="00141B97" w:rsidRDefault="00911D63">
            <w:pPr>
              <w:pStyle w:val="TableParagraph"/>
              <w:spacing w:line="199" w:lineRule="exact"/>
              <w:ind w:right="96"/>
              <w:jc w:val="right"/>
              <w:rPr>
                <w:sz w:val="18"/>
              </w:rPr>
            </w:pPr>
            <w:r>
              <w:rPr>
                <w:spacing w:val="-2"/>
                <w:sz w:val="18"/>
              </w:rPr>
              <w:t>112.16</w:t>
            </w:r>
          </w:p>
        </w:tc>
        <w:tc>
          <w:tcPr>
            <w:tcW w:w="1110" w:type="dxa"/>
            <w:tcBorders>
              <w:bottom w:val="nil"/>
            </w:tcBorders>
            <w:shd w:val="clear" w:color="auto" w:fill="BFBFBF"/>
          </w:tcPr>
          <w:p w14:paraId="7A562077" w14:textId="77777777" w:rsidR="00141B97" w:rsidRDefault="00911D63">
            <w:pPr>
              <w:pStyle w:val="TableParagraph"/>
              <w:spacing w:line="199" w:lineRule="exact"/>
              <w:ind w:right="95"/>
              <w:jc w:val="right"/>
              <w:rPr>
                <w:sz w:val="18"/>
              </w:rPr>
            </w:pPr>
            <w:r>
              <w:rPr>
                <w:spacing w:val="-2"/>
                <w:sz w:val="18"/>
              </w:rPr>
              <w:t>118.60</w:t>
            </w:r>
          </w:p>
        </w:tc>
        <w:tc>
          <w:tcPr>
            <w:tcW w:w="1111" w:type="dxa"/>
            <w:tcBorders>
              <w:bottom w:val="nil"/>
            </w:tcBorders>
            <w:shd w:val="clear" w:color="auto" w:fill="BFBFBF"/>
          </w:tcPr>
          <w:p w14:paraId="55286BB1" w14:textId="77777777" w:rsidR="00141B97" w:rsidRDefault="00911D63">
            <w:pPr>
              <w:pStyle w:val="TableParagraph"/>
              <w:spacing w:line="199" w:lineRule="exact"/>
              <w:ind w:right="95"/>
              <w:jc w:val="right"/>
              <w:rPr>
                <w:sz w:val="18"/>
              </w:rPr>
            </w:pPr>
            <w:r>
              <w:rPr>
                <w:spacing w:val="-2"/>
                <w:sz w:val="18"/>
              </w:rPr>
              <w:t>122.97</w:t>
            </w:r>
          </w:p>
        </w:tc>
        <w:tc>
          <w:tcPr>
            <w:tcW w:w="1111" w:type="dxa"/>
            <w:tcBorders>
              <w:bottom w:val="nil"/>
            </w:tcBorders>
            <w:shd w:val="clear" w:color="auto" w:fill="BFBFBF"/>
          </w:tcPr>
          <w:p w14:paraId="0AB845E3" w14:textId="77777777" w:rsidR="00141B97" w:rsidRDefault="00911D63">
            <w:pPr>
              <w:pStyle w:val="TableParagraph"/>
              <w:spacing w:line="199" w:lineRule="exact"/>
              <w:ind w:right="95"/>
              <w:jc w:val="right"/>
              <w:rPr>
                <w:sz w:val="18"/>
              </w:rPr>
            </w:pPr>
            <w:r>
              <w:rPr>
                <w:spacing w:val="-2"/>
                <w:sz w:val="18"/>
              </w:rPr>
              <w:t>126.75</w:t>
            </w:r>
          </w:p>
        </w:tc>
        <w:tc>
          <w:tcPr>
            <w:tcW w:w="1111" w:type="dxa"/>
            <w:tcBorders>
              <w:bottom w:val="nil"/>
            </w:tcBorders>
            <w:shd w:val="clear" w:color="auto" w:fill="BFBFBF"/>
          </w:tcPr>
          <w:p w14:paraId="5A5DCE1C" w14:textId="77777777" w:rsidR="00141B97" w:rsidRDefault="00911D63">
            <w:pPr>
              <w:pStyle w:val="TableParagraph"/>
              <w:spacing w:line="199" w:lineRule="exact"/>
              <w:ind w:right="94"/>
              <w:jc w:val="right"/>
              <w:rPr>
                <w:sz w:val="18"/>
              </w:rPr>
            </w:pPr>
            <w:r>
              <w:rPr>
                <w:spacing w:val="-2"/>
                <w:sz w:val="18"/>
              </w:rPr>
              <w:t>131.74</w:t>
            </w:r>
          </w:p>
        </w:tc>
        <w:tc>
          <w:tcPr>
            <w:tcW w:w="1095" w:type="dxa"/>
            <w:tcBorders>
              <w:bottom w:val="nil"/>
              <w:right w:val="nil"/>
            </w:tcBorders>
            <w:shd w:val="clear" w:color="auto" w:fill="BFBFBF"/>
          </w:tcPr>
          <w:p w14:paraId="5BB8EE4C" w14:textId="77777777" w:rsidR="00141B97" w:rsidRDefault="00911D63">
            <w:pPr>
              <w:pStyle w:val="TableParagraph"/>
              <w:spacing w:line="199" w:lineRule="exact"/>
              <w:ind w:right="84"/>
              <w:jc w:val="right"/>
              <w:rPr>
                <w:sz w:val="18"/>
              </w:rPr>
            </w:pPr>
            <w:r>
              <w:rPr>
                <w:spacing w:val="-2"/>
                <w:sz w:val="18"/>
              </w:rPr>
              <w:t>135.66</w:t>
            </w:r>
          </w:p>
        </w:tc>
      </w:tr>
    </w:tbl>
    <w:p w14:paraId="2D330E4D" w14:textId="77777777" w:rsidR="00141B97" w:rsidRDefault="00911D63">
      <w:pPr>
        <w:spacing w:before="26"/>
        <w:ind w:left="114"/>
        <w:rPr>
          <w:sz w:val="16"/>
        </w:rPr>
      </w:pPr>
      <w:r>
        <w:rPr>
          <w:sz w:val="16"/>
        </w:rPr>
        <w:t>Table</w:t>
      </w:r>
      <w:r>
        <w:rPr>
          <w:spacing w:val="-4"/>
          <w:sz w:val="16"/>
        </w:rPr>
        <w:t xml:space="preserve"> </w:t>
      </w:r>
      <w:r>
        <w:rPr>
          <w:sz w:val="16"/>
        </w:rPr>
        <w:t>C29:</w:t>
      </w:r>
      <w:r>
        <w:rPr>
          <w:spacing w:val="-6"/>
          <w:sz w:val="16"/>
        </w:rPr>
        <w:t xml:space="preserve"> </w:t>
      </w:r>
      <w:r>
        <w:rPr>
          <w:sz w:val="16"/>
        </w:rPr>
        <w:t>Rolling</w:t>
      </w:r>
      <w:r>
        <w:rPr>
          <w:spacing w:val="-4"/>
          <w:sz w:val="16"/>
        </w:rPr>
        <w:t xml:space="preserve"> </w:t>
      </w:r>
      <w:r>
        <w:rPr>
          <w:sz w:val="16"/>
        </w:rPr>
        <w:t>Forward</w:t>
      </w:r>
      <w:r>
        <w:rPr>
          <w:spacing w:val="-5"/>
          <w:sz w:val="16"/>
        </w:rPr>
        <w:t xml:space="preserve"> </w:t>
      </w:r>
      <w:r>
        <w:rPr>
          <w:sz w:val="16"/>
        </w:rPr>
        <w:t>the</w:t>
      </w:r>
      <w:r>
        <w:rPr>
          <w:spacing w:val="-5"/>
          <w:sz w:val="16"/>
        </w:rPr>
        <w:t xml:space="preserve"> </w:t>
      </w:r>
      <w:r>
        <w:rPr>
          <w:sz w:val="16"/>
        </w:rPr>
        <w:t>Regulatory</w:t>
      </w:r>
      <w:r>
        <w:rPr>
          <w:spacing w:val="-4"/>
          <w:sz w:val="16"/>
        </w:rPr>
        <w:t xml:space="preserve"> </w:t>
      </w:r>
      <w:r>
        <w:rPr>
          <w:sz w:val="16"/>
        </w:rPr>
        <w:t>Asset</w:t>
      </w:r>
      <w:r>
        <w:rPr>
          <w:spacing w:val="-5"/>
          <w:sz w:val="16"/>
        </w:rPr>
        <w:t xml:space="preserve"> </w:t>
      </w:r>
      <w:r>
        <w:rPr>
          <w:spacing w:val="-4"/>
          <w:sz w:val="16"/>
        </w:rPr>
        <w:t>Base</w:t>
      </w:r>
    </w:p>
    <w:p w14:paraId="1AB85EEA" w14:textId="77777777" w:rsidR="00141B97" w:rsidRDefault="00141B97">
      <w:pPr>
        <w:pStyle w:val="BodyText"/>
        <w:spacing w:before="11"/>
        <w:rPr>
          <w:sz w:val="21"/>
        </w:rPr>
      </w:pPr>
    </w:p>
    <w:p w14:paraId="2E1E00AA" w14:textId="77777777" w:rsidR="00141B97" w:rsidRDefault="00911D63">
      <w:pPr>
        <w:pStyle w:val="BodyText"/>
        <w:spacing w:before="1"/>
        <w:ind w:left="114" w:right="962"/>
      </w:pPr>
      <w:r>
        <w:t>Figure C5 shows the RAB roll forwarded over the 4</w:t>
      </w:r>
      <w:r>
        <w:rPr>
          <w:vertAlign w:val="superscript"/>
        </w:rPr>
        <w:t>th,</w:t>
      </w:r>
      <w:r>
        <w:t xml:space="preserve"> 5</w:t>
      </w:r>
      <w:r>
        <w:rPr>
          <w:vertAlign w:val="superscript"/>
        </w:rPr>
        <w:t>th,</w:t>
      </w:r>
      <w:r>
        <w:t xml:space="preserve"> and 6</w:t>
      </w:r>
      <w:r>
        <w:rPr>
          <w:vertAlign w:val="superscript"/>
        </w:rPr>
        <w:t>th</w:t>
      </w:r>
      <w:r>
        <w:t xml:space="preserve"> regulatory periods, using actual and forecast </w:t>
      </w:r>
      <w:r>
        <w:rPr>
          <w:spacing w:val="-2"/>
        </w:rPr>
        <w:t>numbers.</w:t>
      </w:r>
    </w:p>
    <w:p w14:paraId="500C4270" w14:textId="77777777" w:rsidR="00141B97" w:rsidRDefault="00911D63">
      <w:pPr>
        <w:pStyle w:val="BodyText"/>
        <w:spacing w:before="6"/>
      </w:pPr>
      <w:r>
        <w:rPr>
          <w:noProof/>
        </w:rPr>
        <w:drawing>
          <wp:anchor distT="0" distB="0" distL="0" distR="0" simplePos="0" relativeHeight="72" behindDoc="0" locked="0" layoutInCell="1" allowOverlap="1" wp14:anchorId="6C2776A7" wp14:editId="40FFD7AF">
            <wp:simplePos x="0" y="0"/>
            <wp:positionH relativeFrom="page">
              <wp:posOffset>746759</wp:posOffset>
            </wp:positionH>
            <wp:positionV relativeFrom="paragraph">
              <wp:posOffset>189653</wp:posOffset>
            </wp:positionV>
            <wp:extent cx="5742979" cy="3096768"/>
            <wp:effectExtent l="0" t="0" r="0" b="0"/>
            <wp:wrapTopAndBottom/>
            <wp:docPr id="9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96" cstate="email">
                      <a:extLst>
                        <a:ext uri="{28A0092B-C50C-407E-A947-70E740481C1C}">
                          <a14:useLocalDpi xmlns:a14="http://schemas.microsoft.com/office/drawing/2010/main"/>
                        </a:ext>
                      </a:extLst>
                    </a:blip>
                    <a:stretch>
                      <a:fillRect/>
                    </a:stretch>
                  </pic:blipFill>
                  <pic:spPr>
                    <a:xfrm>
                      <a:off x="0" y="0"/>
                      <a:ext cx="5742979" cy="3096768"/>
                    </a:xfrm>
                    <a:prstGeom prst="rect">
                      <a:avLst/>
                    </a:prstGeom>
                  </pic:spPr>
                </pic:pic>
              </a:graphicData>
            </a:graphic>
          </wp:anchor>
        </w:drawing>
      </w:r>
    </w:p>
    <w:p w14:paraId="015DA3E0" w14:textId="77777777" w:rsidR="00141B97" w:rsidRDefault="00911D63">
      <w:pPr>
        <w:spacing w:before="53"/>
        <w:ind w:left="114"/>
        <w:rPr>
          <w:sz w:val="16"/>
        </w:rPr>
      </w:pPr>
      <w:r>
        <w:rPr>
          <w:sz w:val="16"/>
        </w:rPr>
        <w:t>Figure</w:t>
      </w:r>
      <w:r>
        <w:rPr>
          <w:spacing w:val="-4"/>
          <w:sz w:val="16"/>
        </w:rPr>
        <w:t xml:space="preserve"> </w:t>
      </w:r>
      <w:r>
        <w:rPr>
          <w:sz w:val="16"/>
        </w:rPr>
        <w:t>C5:</w:t>
      </w:r>
      <w:r>
        <w:rPr>
          <w:spacing w:val="-5"/>
          <w:sz w:val="16"/>
        </w:rPr>
        <w:t xml:space="preserve"> </w:t>
      </w:r>
      <w:r>
        <w:rPr>
          <w:sz w:val="16"/>
        </w:rPr>
        <w:t>Rolling</w:t>
      </w:r>
      <w:r>
        <w:rPr>
          <w:spacing w:val="-4"/>
          <w:sz w:val="16"/>
        </w:rPr>
        <w:t xml:space="preserve"> </w:t>
      </w:r>
      <w:r>
        <w:rPr>
          <w:sz w:val="16"/>
        </w:rPr>
        <w:t>Forward</w:t>
      </w:r>
      <w:r>
        <w:rPr>
          <w:spacing w:val="-4"/>
          <w:sz w:val="16"/>
        </w:rPr>
        <w:t xml:space="preserve"> </w:t>
      </w:r>
      <w:r>
        <w:rPr>
          <w:sz w:val="16"/>
        </w:rPr>
        <w:t>the</w:t>
      </w:r>
      <w:r>
        <w:rPr>
          <w:spacing w:val="-3"/>
          <w:sz w:val="16"/>
        </w:rPr>
        <w:t xml:space="preserve"> </w:t>
      </w:r>
      <w:r>
        <w:rPr>
          <w:sz w:val="16"/>
        </w:rPr>
        <w:t>Regulatory</w:t>
      </w:r>
      <w:r>
        <w:rPr>
          <w:spacing w:val="-3"/>
          <w:sz w:val="16"/>
        </w:rPr>
        <w:t xml:space="preserve"> </w:t>
      </w:r>
      <w:r>
        <w:rPr>
          <w:sz w:val="16"/>
        </w:rPr>
        <w:t>Asset</w:t>
      </w:r>
      <w:r>
        <w:rPr>
          <w:spacing w:val="-4"/>
          <w:sz w:val="16"/>
        </w:rPr>
        <w:t xml:space="preserve"> </w:t>
      </w:r>
      <w:r>
        <w:rPr>
          <w:sz w:val="16"/>
        </w:rPr>
        <w:t>Base</w:t>
      </w:r>
      <w:r>
        <w:rPr>
          <w:spacing w:val="-4"/>
          <w:sz w:val="16"/>
        </w:rPr>
        <w:t xml:space="preserve"> </w:t>
      </w:r>
      <w:r>
        <w:rPr>
          <w:sz w:val="16"/>
        </w:rPr>
        <w:t>to</w:t>
      </w:r>
      <w:r>
        <w:rPr>
          <w:spacing w:val="-4"/>
          <w:sz w:val="16"/>
        </w:rPr>
        <w:t xml:space="preserve"> </w:t>
      </w:r>
      <w:r>
        <w:rPr>
          <w:spacing w:val="-2"/>
          <w:sz w:val="16"/>
        </w:rPr>
        <w:t>2032‐33</w:t>
      </w:r>
    </w:p>
    <w:p w14:paraId="00646C0C" w14:textId="77777777" w:rsidR="00141B97" w:rsidRDefault="00141B97">
      <w:pPr>
        <w:rPr>
          <w:sz w:val="16"/>
        </w:rPr>
        <w:sectPr w:rsidR="00141B97">
          <w:pgSz w:w="11910" w:h="16840"/>
          <w:pgMar w:top="860" w:right="40" w:bottom="780" w:left="1020" w:header="0" w:footer="586" w:gutter="0"/>
          <w:cols w:space="720"/>
        </w:sectPr>
      </w:pPr>
    </w:p>
    <w:p w14:paraId="2791A728" w14:textId="77777777" w:rsidR="00141B97" w:rsidRDefault="00911D63">
      <w:pPr>
        <w:pStyle w:val="ListParagraph"/>
        <w:numPr>
          <w:ilvl w:val="2"/>
          <w:numId w:val="37"/>
        </w:numPr>
        <w:tabs>
          <w:tab w:val="left" w:pos="1112"/>
          <w:tab w:val="left" w:pos="1113"/>
        </w:tabs>
        <w:spacing w:before="43"/>
        <w:ind w:left="1112"/>
        <w:jc w:val="both"/>
      </w:pPr>
      <w:r>
        <w:lastRenderedPageBreak/>
        <w:t>Regulatory</w:t>
      </w:r>
      <w:r>
        <w:rPr>
          <w:spacing w:val="-12"/>
        </w:rPr>
        <w:t xml:space="preserve"> </w:t>
      </w:r>
      <w:r>
        <w:rPr>
          <w:spacing w:val="-2"/>
        </w:rPr>
        <w:t>Depreciation</w:t>
      </w:r>
    </w:p>
    <w:p w14:paraId="19C6819C" w14:textId="77777777" w:rsidR="00141B97" w:rsidRDefault="00911D63">
      <w:pPr>
        <w:pStyle w:val="BodyText"/>
        <w:spacing w:before="59"/>
        <w:ind w:left="113" w:right="948"/>
        <w:jc w:val="both"/>
      </w:pPr>
      <w:r>
        <w:t>Regulatory depreciation is calculated on a straight line basis, using the ESC’s methodology for new asset additions. Regulatory depreciation is calculated separately for each of the rural districts, with the RAB rolled forward from a starting value of zero in 2004/5 using actual/forecast expenditure. As outturn capital expenditure</w:t>
      </w:r>
      <w:r>
        <w:rPr>
          <w:spacing w:val="-2"/>
        </w:rPr>
        <w:t xml:space="preserve"> </w:t>
      </w:r>
      <w:r>
        <w:t>and</w:t>
      </w:r>
      <w:r>
        <w:rPr>
          <w:spacing w:val="-3"/>
        </w:rPr>
        <w:t xml:space="preserve"> </w:t>
      </w:r>
      <w:r>
        <w:t>contributions</w:t>
      </w:r>
      <w:r>
        <w:rPr>
          <w:spacing w:val="-3"/>
        </w:rPr>
        <w:t xml:space="preserve"> </w:t>
      </w:r>
      <w:r>
        <w:t>etc.</w:t>
      </w:r>
      <w:r>
        <w:rPr>
          <w:spacing w:val="-3"/>
        </w:rPr>
        <w:t xml:space="preserve"> </w:t>
      </w:r>
      <w:r>
        <w:t>will</w:t>
      </w:r>
      <w:r>
        <w:rPr>
          <w:spacing w:val="-3"/>
        </w:rPr>
        <w:t xml:space="preserve"> </w:t>
      </w:r>
      <w:r>
        <w:t>differ</w:t>
      </w:r>
      <w:r>
        <w:rPr>
          <w:spacing w:val="-4"/>
        </w:rPr>
        <w:t xml:space="preserve"> </w:t>
      </w:r>
      <w:r>
        <w:t>from</w:t>
      </w:r>
      <w:r>
        <w:rPr>
          <w:spacing w:val="-3"/>
        </w:rPr>
        <w:t xml:space="preserve"> </w:t>
      </w:r>
      <w:r>
        <w:t>forecast,</w:t>
      </w:r>
      <w:r>
        <w:rPr>
          <w:spacing w:val="-3"/>
        </w:rPr>
        <w:t xml:space="preserve"> </w:t>
      </w:r>
      <w:r>
        <w:t>then</w:t>
      </w:r>
      <w:r>
        <w:rPr>
          <w:spacing w:val="-2"/>
        </w:rPr>
        <w:t xml:space="preserve"> </w:t>
      </w:r>
      <w:r>
        <w:t>the</w:t>
      </w:r>
      <w:r>
        <w:rPr>
          <w:spacing w:val="-4"/>
        </w:rPr>
        <w:t xml:space="preserve"> </w:t>
      </w:r>
      <w:r>
        <w:t>regulatory</w:t>
      </w:r>
      <w:r>
        <w:rPr>
          <w:spacing w:val="-2"/>
        </w:rPr>
        <w:t xml:space="preserve"> </w:t>
      </w:r>
      <w:r>
        <w:t>depreciation</w:t>
      </w:r>
      <w:r>
        <w:rPr>
          <w:spacing w:val="-2"/>
        </w:rPr>
        <w:t xml:space="preserve"> </w:t>
      </w:r>
      <w:r>
        <w:t>allowed</w:t>
      </w:r>
      <w:r>
        <w:rPr>
          <w:spacing w:val="-3"/>
        </w:rPr>
        <w:t xml:space="preserve"> </w:t>
      </w:r>
      <w:r>
        <w:t>for</w:t>
      </w:r>
      <w:r>
        <w:rPr>
          <w:spacing w:val="-2"/>
        </w:rPr>
        <w:t xml:space="preserve"> </w:t>
      </w:r>
      <w:r>
        <w:t>in</w:t>
      </w:r>
      <w:r>
        <w:rPr>
          <w:spacing w:val="-2"/>
        </w:rPr>
        <w:t xml:space="preserve"> </w:t>
      </w:r>
      <w:r>
        <w:t>the revenue requirement for the fourth regulatory period may differ from the regulatory depreciation calculated with outturn actuals. Therefore, an adjustment is made to ensure that regulatory depreciation is not over or under recovered in total.</w:t>
      </w:r>
    </w:p>
    <w:p w14:paraId="6F67041A" w14:textId="77777777" w:rsidR="00141B97" w:rsidRDefault="00141B97">
      <w:pPr>
        <w:pStyle w:val="BodyText"/>
        <w:spacing w:before="8"/>
        <w:rPr>
          <w:sz w:val="20"/>
        </w:rPr>
      </w:pPr>
    </w:p>
    <w:p w14:paraId="5E154FC1" w14:textId="77777777" w:rsidR="00141B97" w:rsidRDefault="00911D63">
      <w:pPr>
        <w:pStyle w:val="ListParagraph"/>
        <w:numPr>
          <w:ilvl w:val="2"/>
          <w:numId w:val="37"/>
        </w:numPr>
        <w:tabs>
          <w:tab w:val="left" w:pos="1112"/>
          <w:tab w:val="left" w:pos="1113"/>
        </w:tabs>
        <w:ind w:left="1112"/>
        <w:jc w:val="both"/>
      </w:pPr>
      <w:r>
        <w:t>Return</w:t>
      </w:r>
      <w:r>
        <w:rPr>
          <w:spacing w:val="-5"/>
        </w:rPr>
        <w:t xml:space="preserve"> </w:t>
      </w:r>
      <w:r>
        <w:t>on</w:t>
      </w:r>
      <w:r>
        <w:rPr>
          <w:spacing w:val="-5"/>
        </w:rPr>
        <w:t xml:space="preserve"> </w:t>
      </w:r>
      <w:r>
        <w:rPr>
          <w:spacing w:val="-2"/>
        </w:rPr>
        <w:t>Equity</w:t>
      </w:r>
    </w:p>
    <w:p w14:paraId="72A1981F" w14:textId="77777777" w:rsidR="00141B97" w:rsidRDefault="00911D63">
      <w:pPr>
        <w:pStyle w:val="BodyText"/>
        <w:spacing w:before="70" w:line="252" w:lineRule="auto"/>
        <w:ind w:left="114" w:right="949" w:hanging="1"/>
        <w:jc w:val="both"/>
      </w:pPr>
      <w:r>
        <w:t>Based on LMW’s proposed PREMO rating of Standard, the proposed maximum Return on Equity is 4.1% as a real rate per year, as per the ESC’s Guidance.</w:t>
      </w:r>
    </w:p>
    <w:p w14:paraId="3C55C483" w14:textId="77777777" w:rsidR="00141B97" w:rsidRDefault="00141B97">
      <w:pPr>
        <w:spacing w:line="252" w:lineRule="auto"/>
        <w:jc w:val="both"/>
        <w:sectPr w:rsidR="00141B97">
          <w:pgSz w:w="11910" w:h="16840"/>
          <w:pgMar w:top="820" w:right="40" w:bottom="780" w:left="1020" w:header="0" w:footer="586" w:gutter="0"/>
          <w:cols w:space="720"/>
        </w:sectPr>
      </w:pPr>
    </w:p>
    <w:p w14:paraId="4160BB1E" w14:textId="77777777" w:rsidR="00141B97" w:rsidRDefault="00911D63">
      <w:pPr>
        <w:pStyle w:val="Heading1"/>
        <w:numPr>
          <w:ilvl w:val="0"/>
          <w:numId w:val="37"/>
        </w:numPr>
        <w:tabs>
          <w:tab w:val="left" w:pos="1112"/>
          <w:tab w:val="left" w:pos="1113"/>
        </w:tabs>
        <w:ind w:left="1112" w:hanging="999"/>
      </w:pPr>
      <w:r>
        <w:rPr>
          <w:color w:val="006CA3"/>
          <w:spacing w:val="-2"/>
        </w:rPr>
        <w:lastRenderedPageBreak/>
        <w:t>Prices</w:t>
      </w:r>
    </w:p>
    <w:p w14:paraId="36F74C75" w14:textId="77777777" w:rsidR="00141B97" w:rsidRDefault="00911D63">
      <w:pPr>
        <w:pStyle w:val="Heading2"/>
        <w:numPr>
          <w:ilvl w:val="1"/>
          <w:numId w:val="37"/>
        </w:numPr>
        <w:tabs>
          <w:tab w:val="left" w:pos="1112"/>
          <w:tab w:val="left" w:pos="1113"/>
        </w:tabs>
        <w:spacing w:before="379"/>
        <w:rPr>
          <w:color w:val="009BAC"/>
        </w:rPr>
      </w:pPr>
      <w:r>
        <w:rPr>
          <w:color w:val="009BAC"/>
        </w:rPr>
        <w:t>Form</w:t>
      </w:r>
      <w:r>
        <w:rPr>
          <w:color w:val="009BAC"/>
          <w:spacing w:val="-6"/>
        </w:rPr>
        <w:t xml:space="preserve"> </w:t>
      </w:r>
      <w:r>
        <w:rPr>
          <w:color w:val="009BAC"/>
        </w:rPr>
        <w:t>of</w:t>
      </w:r>
      <w:r>
        <w:rPr>
          <w:color w:val="009BAC"/>
          <w:spacing w:val="-5"/>
        </w:rPr>
        <w:t xml:space="preserve"> </w:t>
      </w:r>
      <w:r>
        <w:rPr>
          <w:color w:val="009BAC"/>
        </w:rPr>
        <w:t>Price</w:t>
      </w:r>
      <w:r>
        <w:rPr>
          <w:color w:val="009BAC"/>
          <w:spacing w:val="-6"/>
        </w:rPr>
        <w:t xml:space="preserve"> </w:t>
      </w:r>
      <w:r>
        <w:rPr>
          <w:color w:val="009BAC"/>
          <w:spacing w:val="-2"/>
        </w:rPr>
        <w:t>Control</w:t>
      </w:r>
    </w:p>
    <w:p w14:paraId="483D072F" w14:textId="77777777" w:rsidR="00141B97" w:rsidRDefault="00911D63">
      <w:pPr>
        <w:pStyle w:val="BodyText"/>
        <w:spacing w:before="121"/>
        <w:ind w:left="114" w:right="948"/>
        <w:jc w:val="both"/>
      </w:pPr>
      <w:r>
        <w:t>LMW has used the revenue cap form of price control to manage rural prices over the past four regulatory periods. LMW proposes to continue to use the revenue cap form of control for the PS5 period, with the exception that the price adjustment mechanism for electricity prices applied in PS4 will no longer apply as agreed with customers.</w:t>
      </w:r>
    </w:p>
    <w:p w14:paraId="68497861" w14:textId="77777777" w:rsidR="00141B97" w:rsidRDefault="00141B97">
      <w:pPr>
        <w:pStyle w:val="BodyText"/>
        <w:spacing w:before="1"/>
        <w:rPr>
          <w:sz w:val="31"/>
        </w:rPr>
      </w:pPr>
    </w:p>
    <w:p w14:paraId="659C0710" w14:textId="77777777" w:rsidR="00141B97" w:rsidRDefault="00911D63">
      <w:pPr>
        <w:pStyle w:val="Heading2"/>
        <w:numPr>
          <w:ilvl w:val="1"/>
          <w:numId w:val="37"/>
        </w:numPr>
        <w:tabs>
          <w:tab w:val="left" w:pos="1112"/>
          <w:tab w:val="left" w:pos="1113"/>
        </w:tabs>
        <w:rPr>
          <w:color w:val="009BAC"/>
        </w:rPr>
      </w:pPr>
      <w:r>
        <w:rPr>
          <w:color w:val="009BAC"/>
        </w:rPr>
        <w:t>Prices</w:t>
      </w:r>
      <w:r>
        <w:rPr>
          <w:color w:val="009BAC"/>
          <w:spacing w:val="-7"/>
        </w:rPr>
        <w:t xml:space="preserve"> </w:t>
      </w:r>
      <w:r>
        <w:rPr>
          <w:color w:val="009BAC"/>
        </w:rPr>
        <w:t>and</w:t>
      </w:r>
      <w:r>
        <w:rPr>
          <w:color w:val="009BAC"/>
          <w:spacing w:val="-6"/>
        </w:rPr>
        <w:t xml:space="preserve"> </w:t>
      </w:r>
      <w:r>
        <w:rPr>
          <w:color w:val="009BAC"/>
        </w:rPr>
        <w:t>Tariff</w:t>
      </w:r>
      <w:r>
        <w:rPr>
          <w:color w:val="009BAC"/>
          <w:spacing w:val="-4"/>
        </w:rPr>
        <w:t xml:space="preserve"> </w:t>
      </w:r>
      <w:r>
        <w:rPr>
          <w:color w:val="009BAC"/>
          <w:spacing w:val="-2"/>
        </w:rPr>
        <w:t>Structure</w:t>
      </w:r>
    </w:p>
    <w:p w14:paraId="2DC7EB3F" w14:textId="77777777" w:rsidR="00141B97" w:rsidRDefault="00911D63">
      <w:pPr>
        <w:pStyle w:val="BodyText"/>
        <w:spacing w:before="120"/>
        <w:ind w:left="113" w:right="946"/>
        <w:jc w:val="both"/>
      </w:pPr>
      <w:r>
        <w:t>The tariff structures of all rural districts are proposed to remain unchanged</w:t>
      </w:r>
      <w:r>
        <w:rPr>
          <w:spacing w:val="-1"/>
        </w:rPr>
        <w:t xml:space="preserve"> </w:t>
      </w:r>
      <w:r>
        <w:t>for the PS5 period. Over the past 4 regulatory periods, LMW refined its tariff structures in response to the changing environment in which LMW operated.</w:t>
      </w:r>
      <w:r>
        <w:rPr>
          <w:spacing w:val="-7"/>
        </w:rPr>
        <w:t xml:space="preserve"> </w:t>
      </w:r>
      <w:r>
        <w:t>The</w:t>
      </w:r>
      <w:r>
        <w:rPr>
          <w:spacing w:val="-8"/>
        </w:rPr>
        <w:t xml:space="preserve"> </w:t>
      </w:r>
      <w:r>
        <w:t>tariff</w:t>
      </w:r>
      <w:r>
        <w:rPr>
          <w:spacing w:val="-9"/>
        </w:rPr>
        <w:t xml:space="preserve"> </w:t>
      </w:r>
      <w:r>
        <w:t>structure</w:t>
      </w:r>
      <w:r>
        <w:rPr>
          <w:spacing w:val="-9"/>
        </w:rPr>
        <w:t xml:space="preserve"> </w:t>
      </w:r>
      <w:r>
        <w:t>changes</w:t>
      </w:r>
      <w:r>
        <w:rPr>
          <w:spacing w:val="-6"/>
        </w:rPr>
        <w:t xml:space="preserve"> </w:t>
      </w:r>
      <w:r>
        <w:t>were</w:t>
      </w:r>
      <w:r>
        <w:rPr>
          <w:spacing w:val="-9"/>
        </w:rPr>
        <w:t xml:space="preserve"> </w:t>
      </w:r>
      <w:r>
        <w:t>mainly</w:t>
      </w:r>
      <w:r>
        <w:rPr>
          <w:spacing w:val="-7"/>
        </w:rPr>
        <w:t xml:space="preserve"> </w:t>
      </w:r>
      <w:r>
        <w:t>due</w:t>
      </w:r>
      <w:r>
        <w:rPr>
          <w:spacing w:val="-9"/>
        </w:rPr>
        <w:t xml:space="preserve"> </w:t>
      </w:r>
      <w:r>
        <w:t>to</w:t>
      </w:r>
      <w:r>
        <w:rPr>
          <w:spacing w:val="-8"/>
        </w:rPr>
        <w:t xml:space="preserve"> </w:t>
      </w:r>
      <w:r>
        <w:t>the</w:t>
      </w:r>
      <w:r>
        <w:rPr>
          <w:spacing w:val="-9"/>
        </w:rPr>
        <w:t xml:space="preserve"> </w:t>
      </w:r>
      <w:r>
        <w:t>introduction</w:t>
      </w:r>
      <w:r>
        <w:rPr>
          <w:spacing w:val="-9"/>
        </w:rPr>
        <w:t xml:space="preserve"> </w:t>
      </w:r>
      <w:r>
        <w:t>of</w:t>
      </w:r>
      <w:r>
        <w:rPr>
          <w:spacing w:val="-6"/>
        </w:rPr>
        <w:t xml:space="preserve"> </w:t>
      </w:r>
      <w:r>
        <w:t>unbundling</w:t>
      </w:r>
      <w:r>
        <w:rPr>
          <w:spacing w:val="-8"/>
        </w:rPr>
        <w:t xml:space="preserve"> </w:t>
      </w:r>
      <w:r>
        <w:t>of</w:t>
      </w:r>
      <w:r>
        <w:rPr>
          <w:spacing w:val="-7"/>
        </w:rPr>
        <w:t xml:space="preserve"> </w:t>
      </w:r>
      <w:r>
        <w:t>water</w:t>
      </w:r>
      <w:r>
        <w:rPr>
          <w:spacing w:val="-7"/>
        </w:rPr>
        <w:t xml:space="preserve"> </w:t>
      </w:r>
      <w:r>
        <w:t>entitlements in</w:t>
      </w:r>
      <w:r>
        <w:rPr>
          <w:spacing w:val="-1"/>
        </w:rPr>
        <w:t xml:space="preserve"> </w:t>
      </w:r>
      <w:r>
        <w:t>2008 and bringing</w:t>
      </w:r>
      <w:r>
        <w:rPr>
          <w:spacing w:val="-1"/>
        </w:rPr>
        <w:t xml:space="preserve"> </w:t>
      </w:r>
      <w:r>
        <w:t>the</w:t>
      </w:r>
      <w:r>
        <w:rPr>
          <w:spacing w:val="-1"/>
        </w:rPr>
        <w:t xml:space="preserve"> </w:t>
      </w:r>
      <w:r>
        <w:t>merged</w:t>
      </w:r>
      <w:r>
        <w:rPr>
          <w:spacing w:val="-1"/>
        </w:rPr>
        <w:t xml:space="preserve"> </w:t>
      </w:r>
      <w:r>
        <w:t>former First</w:t>
      </w:r>
      <w:r>
        <w:rPr>
          <w:spacing w:val="-1"/>
        </w:rPr>
        <w:t xml:space="preserve"> </w:t>
      </w:r>
      <w:r>
        <w:t>Mildura Irrigation Trust (FMIT)</w:t>
      </w:r>
      <w:r>
        <w:rPr>
          <w:spacing w:val="-1"/>
        </w:rPr>
        <w:t xml:space="preserve"> </w:t>
      </w:r>
      <w:r>
        <w:t>tariff</w:t>
      </w:r>
      <w:r>
        <w:rPr>
          <w:spacing w:val="-1"/>
        </w:rPr>
        <w:t xml:space="preserve"> </w:t>
      </w:r>
      <w:r>
        <w:t>structure</w:t>
      </w:r>
      <w:r>
        <w:rPr>
          <w:spacing w:val="-2"/>
        </w:rPr>
        <w:t xml:space="preserve"> </w:t>
      </w:r>
      <w:r>
        <w:t>in line</w:t>
      </w:r>
      <w:r>
        <w:rPr>
          <w:spacing w:val="-1"/>
        </w:rPr>
        <w:t xml:space="preserve"> </w:t>
      </w:r>
      <w:r>
        <w:t>with</w:t>
      </w:r>
      <w:r>
        <w:rPr>
          <w:spacing w:val="-1"/>
        </w:rPr>
        <w:t xml:space="preserve"> </w:t>
      </w:r>
      <w:r>
        <w:t>LMW’s other irrigation districts in 2013‐14.</w:t>
      </w:r>
    </w:p>
    <w:p w14:paraId="6998A215" w14:textId="77777777" w:rsidR="00141B97" w:rsidRDefault="00141B97">
      <w:pPr>
        <w:pStyle w:val="BodyText"/>
      </w:pPr>
    </w:p>
    <w:p w14:paraId="1F8EE370" w14:textId="77777777" w:rsidR="00141B97" w:rsidRDefault="00911D63">
      <w:pPr>
        <w:pStyle w:val="BodyText"/>
        <w:ind w:left="113" w:right="946"/>
        <w:jc w:val="both"/>
      </w:pPr>
      <w:r>
        <w:t>The tariff structure changes were made at that time after comprehensive consultation with LMW customers. With</w:t>
      </w:r>
      <w:r>
        <w:rPr>
          <w:spacing w:val="-6"/>
        </w:rPr>
        <w:t xml:space="preserve"> </w:t>
      </w:r>
      <w:r>
        <w:t>the</w:t>
      </w:r>
      <w:r>
        <w:rPr>
          <w:spacing w:val="-6"/>
        </w:rPr>
        <w:t xml:space="preserve"> </w:t>
      </w:r>
      <w:r>
        <w:t>current</w:t>
      </w:r>
      <w:r>
        <w:rPr>
          <w:spacing w:val="-6"/>
        </w:rPr>
        <w:t xml:space="preserve"> </w:t>
      </w:r>
      <w:r>
        <w:t>tariff</w:t>
      </w:r>
      <w:r>
        <w:rPr>
          <w:spacing w:val="-6"/>
        </w:rPr>
        <w:t xml:space="preserve"> </w:t>
      </w:r>
      <w:r>
        <w:t>structure</w:t>
      </w:r>
      <w:r>
        <w:rPr>
          <w:spacing w:val="-6"/>
        </w:rPr>
        <w:t xml:space="preserve"> </w:t>
      </w:r>
      <w:r>
        <w:t>having</w:t>
      </w:r>
      <w:r>
        <w:rPr>
          <w:spacing w:val="-4"/>
        </w:rPr>
        <w:t xml:space="preserve"> </w:t>
      </w:r>
      <w:r>
        <w:t>been</w:t>
      </w:r>
      <w:r>
        <w:rPr>
          <w:spacing w:val="-6"/>
        </w:rPr>
        <w:t xml:space="preserve"> </w:t>
      </w:r>
      <w:r>
        <w:t>in</w:t>
      </w:r>
      <w:r>
        <w:rPr>
          <w:spacing w:val="-6"/>
        </w:rPr>
        <w:t xml:space="preserve"> </w:t>
      </w:r>
      <w:r>
        <w:t>place</w:t>
      </w:r>
      <w:r>
        <w:rPr>
          <w:spacing w:val="-5"/>
        </w:rPr>
        <w:t xml:space="preserve"> </w:t>
      </w:r>
      <w:r>
        <w:t>for</w:t>
      </w:r>
      <w:r>
        <w:rPr>
          <w:spacing w:val="-6"/>
        </w:rPr>
        <w:t xml:space="preserve"> </w:t>
      </w:r>
      <w:r>
        <w:t>the</w:t>
      </w:r>
      <w:r>
        <w:rPr>
          <w:spacing w:val="-6"/>
        </w:rPr>
        <w:t xml:space="preserve"> </w:t>
      </w:r>
      <w:r>
        <w:t>past</w:t>
      </w:r>
      <w:r>
        <w:rPr>
          <w:spacing w:val="-6"/>
        </w:rPr>
        <w:t xml:space="preserve"> </w:t>
      </w:r>
      <w:r>
        <w:t>9</w:t>
      </w:r>
      <w:r>
        <w:rPr>
          <w:spacing w:val="-5"/>
        </w:rPr>
        <w:t xml:space="preserve"> </w:t>
      </w:r>
      <w:r>
        <w:t>years,</w:t>
      </w:r>
      <w:r>
        <w:rPr>
          <w:spacing w:val="-5"/>
        </w:rPr>
        <w:t xml:space="preserve"> </w:t>
      </w:r>
      <w:r>
        <w:t>or</w:t>
      </w:r>
      <w:r>
        <w:rPr>
          <w:spacing w:val="-5"/>
        </w:rPr>
        <w:t xml:space="preserve"> </w:t>
      </w:r>
      <w:r>
        <w:t>more</w:t>
      </w:r>
      <w:r>
        <w:rPr>
          <w:spacing w:val="-6"/>
        </w:rPr>
        <w:t xml:space="preserve"> </w:t>
      </w:r>
      <w:r>
        <w:t>in</w:t>
      </w:r>
      <w:r>
        <w:rPr>
          <w:spacing w:val="-6"/>
        </w:rPr>
        <w:t xml:space="preserve"> </w:t>
      </w:r>
      <w:r>
        <w:t>many</w:t>
      </w:r>
      <w:r>
        <w:rPr>
          <w:spacing w:val="-5"/>
        </w:rPr>
        <w:t xml:space="preserve"> </w:t>
      </w:r>
      <w:r>
        <w:t>instances,</w:t>
      </w:r>
      <w:r>
        <w:rPr>
          <w:spacing w:val="-6"/>
        </w:rPr>
        <w:t xml:space="preserve"> </w:t>
      </w:r>
      <w:r>
        <w:t>the</w:t>
      </w:r>
      <w:r>
        <w:rPr>
          <w:spacing w:val="-6"/>
        </w:rPr>
        <w:t xml:space="preserve"> </w:t>
      </w:r>
      <w:r>
        <w:t>tariffs are now well understood and accepted by customers.</w:t>
      </w:r>
    </w:p>
    <w:p w14:paraId="47B7F111" w14:textId="77777777" w:rsidR="00141B97" w:rsidRDefault="00141B97">
      <w:pPr>
        <w:pStyle w:val="BodyText"/>
      </w:pPr>
    </w:p>
    <w:p w14:paraId="76A7E78C" w14:textId="77777777" w:rsidR="00141B97" w:rsidRDefault="00911D63">
      <w:pPr>
        <w:pStyle w:val="BodyText"/>
        <w:ind w:left="113" w:right="949"/>
        <w:jc w:val="both"/>
      </w:pPr>
      <w:r>
        <w:t>LMW provides its customers with an explanation sheet on tariffs with formal communication regarding the annual tariff adjustments. This information is also provided to new customers. LMW’s website contains information to assist customers to understand their account. Other information required in accordance with the Water Charge Infrastructure Rules (WCIR) such as Water Planning and Management Information is also published publicly annually.</w:t>
      </w:r>
    </w:p>
    <w:p w14:paraId="226AE5EA" w14:textId="77777777" w:rsidR="00141B97" w:rsidRDefault="00141B97">
      <w:pPr>
        <w:pStyle w:val="BodyText"/>
        <w:spacing w:before="9"/>
        <w:rPr>
          <w:sz w:val="20"/>
        </w:rPr>
      </w:pPr>
    </w:p>
    <w:p w14:paraId="7A0305D1" w14:textId="77777777" w:rsidR="00141B97" w:rsidRDefault="00911D63">
      <w:pPr>
        <w:pStyle w:val="ListParagraph"/>
        <w:numPr>
          <w:ilvl w:val="2"/>
          <w:numId w:val="37"/>
        </w:numPr>
        <w:tabs>
          <w:tab w:val="left" w:pos="1112"/>
          <w:tab w:val="left" w:pos="1113"/>
        </w:tabs>
        <w:ind w:left="1112" w:hanging="1000"/>
        <w:jc w:val="both"/>
      </w:pPr>
      <w:r>
        <w:t>Tariff</w:t>
      </w:r>
      <w:r>
        <w:rPr>
          <w:spacing w:val="-5"/>
        </w:rPr>
        <w:t xml:space="preserve"> </w:t>
      </w:r>
      <w:r>
        <w:rPr>
          <w:spacing w:val="-2"/>
        </w:rPr>
        <w:t>Structures</w:t>
      </w:r>
    </w:p>
    <w:p w14:paraId="61030B86" w14:textId="77777777" w:rsidR="00141B97" w:rsidRDefault="00911D63">
      <w:pPr>
        <w:pStyle w:val="BodyText"/>
        <w:spacing w:before="59"/>
        <w:ind w:left="113" w:right="946" w:hanging="1"/>
        <w:jc w:val="both"/>
      </w:pPr>
      <w:r>
        <w:t>LMW</w:t>
      </w:r>
      <w:r>
        <w:rPr>
          <w:spacing w:val="-13"/>
        </w:rPr>
        <w:t xml:space="preserve"> </w:t>
      </w:r>
      <w:r>
        <w:t>uses</w:t>
      </w:r>
      <w:r>
        <w:rPr>
          <w:spacing w:val="-10"/>
        </w:rPr>
        <w:t xml:space="preserve"> </w:t>
      </w:r>
      <w:r>
        <w:t>the</w:t>
      </w:r>
      <w:r>
        <w:rPr>
          <w:spacing w:val="-11"/>
        </w:rPr>
        <w:t xml:space="preserve"> </w:t>
      </w:r>
      <w:r>
        <w:t>locational</w:t>
      </w:r>
      <w:r>
        <w:rPr>
          <w:spacing w:val="-11"/>
        </w:rPr>
        <w:t xml:space="preserve"> </w:t>
      </w:r>
      <w:r>
        <w:t>pricing</w:t>
      </w:r>
      <w:r>
        <w:rPr>
          <w:spacing w:val="-11"/>
        </w:rPr>
        <w:t xml:space="preserve"> </w:t>
      </w:r>
      <w:r>
        <w:t>method</w:t>
      </w:r>
      <w:r>
        <w:rPr>
          <w:spacing w:val="-11"/>
        </w:rPr>
        <w:t xml:space="preserve"> </w:t>
      </w:r>
      <w:r>
        <w:t>to</w:t>
      </w:r>
      <w:r>
        <w:rPr>
          <w:spacing w:val="-11"/>
        </w:rPr>
        <w:t xml:space="preserve"> </w:t>
      </w:r>
      <w:r>
        <w:t>set</w:t>
      </w:r>
      <w:r>
        <w:rPr>
          <w:spacing w:val="-11"/>
        </w:rPr>
        <w:t xml:space="preserve"> </w:t>
      </w:r>
      <w:r>
        <w:t>prices</w:t>
      </w:r>
      <w:r>
        <w:rPr>
          <w:spacing w:val="-12"/>
        </w:rPr>
        <w:t xml:space="preserve"> </w:t>
      </w:r>
      <w:r>
        <w:t>for</w:t>
      </w:r>
      <w:r>
        <w:rPr>
          <w:spacing w:val="-11"/>
        </w:rPr>
        <w:t xml:space="preserve"> </w:t>
      </w:r>
      <w:r>
        <w:t>rural</w:t>
      </w:r>
      <w:r>
        <w:rPr>
          <w:spacing w:val="-11"/>
        </w:rPr>
        <w:t xml:space="preserve"> </w:t>
      </w:r>
      <w:r>
        <w:t>services:</w:t>
      </w:r>
      <w:r>
        <w:rPr>
          <w:spacing w:val="-10"/>
        </w:rPr>
        <w:t xml:space="preserve"> </w:t>
      </w:r>
      <w:r>
        <w:t>each</w:t>
      </w:r>
      <w:r>
        <w:rPr>
          <w:spacing w:val="-10"/>
        </w:rPr>
        <w:t xml:space="preserve"> </w:t>
      </w:r>
      <w:r>
        <w:t>district</w:t>
      </w:r>
      <w:r>
        <w:rPr>
          <w:spacing w:val="-13"/>
        </w:rPr>
        <w:t xml:space="preserve"> </w:t>
      </w:r>
      <w:r>
        <w:t>has</w:t>
      </w:r>
      <w:r>
        <w:rPr>
          <w:spacing w:val="-10"/>
        </w:rPr>
        <w:t xml:space="preserve"> </w:t>
      </w:r>
      <w:r>
        <w:t>its</w:t>
      </w:r>
      <w:r>
        <w:rPr>
          <w:spacing w:val="-10"/>
        </w:rPr>
        <w:t xml:space="preserve"> </w:t>
      </w:r>
      <w:r>
        <w:t>own</w:t>
      </w:r>
      <w:r>
        <w:rPr>
          <w:spacing w:val="-9"/>
        </w:rPr>
        <w:t xml:space="preserve"> </w:t>
      </w:r>
      <w:r>
        <w:t>prices</w:t>
      </w:r>
      <w:r>
        <w:rPr>
          <w:spacing w:val="-10"/>
        </w:rPr>
        <w:t xml:space="preserve"> </w:t>
      </w:r>
      <w:r>
        <w:t>for</w:t>
      </w:r>
      <w:r>
        <w:rPr>
          <w:spacing w:val="-11"/>
        </w:rPr>
        <w:t xml:space="preserve"> </w:t>
      </w:r>
      <w:r>
        <w:t>tariffs. There are four pumped irrigation districts: Mildura, Merbein, Red Cliffs and Robinvale; along with the Waterworks</w:t>
      </w:r>
      <w:r>
        <w:rPr>
          <w:spacing w:val="-1"/>
        </w:rPr>
        <w:t xml:space="preserve"> </w:t>
      </w:r>
      <w:r>
        <w:t>district</w:t>
      </w:r>
      <w:r>
        <w:rPr>
          <w:spacing w:val="-3"/>
        </w:rPr>
        <w:t xml:space="preserve"> </w:t>
      </w:r>
      <w:r>
        <w:t>(WWD),</w:t>
      </w:r>
      <w:r>
        <w:rPr>
          <w:spacing w:val="-2"/>
        </w:rPr>
        <w:t xml:space="preserve"> </w:t>
      </w:r>
      <w:r>
        <w:t>the</w:t>
      </w:r>
      <w:r>
        <w:rPr>
          <w:spacing w:val="-2"/>
        </w:rPr>
        <w:t xml:space="preserve"> </w:t>
      </w:r>
      <w:r>
        <w:t>Millewa</w:t>
      </w:r>
      <w:r>
        <w:rPr>
          <w:spacing w:val="-2"/>
        </w:rPr>
        <w:t xml:space="preserve"> </w:t>
      </w:r>
      <w:r>
        <w:t>urban</w:t>
      </w:r>
      <w:r>
        <w:rPr>
          <w:spacing w:val="-2"/>
        </w:rPr>
        <w:t xml:space="preserve"> </w:t>
      </w:r>
      <w:r>
        <w:t>and</w:t>
      </w:r>
      <w:r>
        <w:rPr>
          <w:spacing w:val="-1"/>
        </w:rPr>
        <w:t xml:space="preserve"> </w:t>
      </w:r>
      <w:r>
        <w:t>rural</w:t>
      </w:r>
      <w:r>
        <w:rPr>
          <w:spacing w:val="-3"/>
        </w:rPr>
        <w:t xml:space="preserve"> </w:t>
      </w:r>
      <w:r>
        <w:t>Stock</w:t>
      </w:r>
      <w:r>
        <w:rPr>
          <w:spacing w:val="-2"/>
        </w:rPr>
        <w:t xml:space="preserve"> </w:t>
      </w:r>
      <w:r>
        <w:t>and</w:t>
      </w:r>
      <w:r>
        <w:rPr>
          <w:spacing w:val="-2"/>
        </w:rPr>
        <w:t xml:space="preserve"> </w:t>
      </w:r>
      <w:r>
        <w:t>Domestic district,</w:t>
      </w:r>
      <w:r>
        <w:rPr>
          <w:spacing w:val="-2"/>
        </w:rPr>
        <w:t xml:space="preserve"> </w:t>
      </w:r>
      <w:r>
        <w:t>and</w:t>
      </w:r>
      <w:r>
        <w:rPr>
          <w:spacing w:val="-1"/>
        </w:rPr>
        <w:t xml:space="preserve"> </w:t>
      </w:r>
      <w:r>
        <w:t>the</w:t>
      </w:r>
      <w:r>
        <w:rPr>
          <w:spacing w:val="-2"/>
        </w:rPr>
        <w:t xml:space="preserve"> </w:t>
      </w:r>
      <w:r>
        <w:t>private</w:t>
      </w:r>
      <w:r>
        <w:rPr>
          <w:spacing w:val="-3"/>
        </w:rPr>
        <w:t xml:space="preserve"> </w:t>
      </w:r>
      <w:r>
        <w:t>diversion customers for whom LMW manages their licensing conditions. Mildura district also has a High Pressure zone which has specific prices.</w:t>
      </w:r>
    </w:p>
    <w:p w14:paraId="4CDE0366" w14:textId="77777777" w:rsidR="00141B97" w:rsidRDefault="00141B97">
      <w:pPr>
        <w:pStyle w:val="BodyText"/>
        <w:spacing w:before="11"/>
        <w:rPr>
          <w:sz w:val="21"/>
        </w:rPr>
      </w:pPr>
    </w:p>
    <w:p w14:paraId="7C353339" w14:textId="77777777" w:rsidR="00141B97" w:rsidRDefault="00911D63">
      <w:pPr>
        <w:pStyle w:val="BodyText"/>
        <w:spacing w:before="1"/>
        <w:ind w:left="113" w:right="948" w:hanging="1"/>
        <w:jc w:val="both"/>
      </w:pPr>
      <w:r>
        <w:t>The existing structure is based on unbundling principles to provide the customer with transparency on what they</w:t>
      </w:r>
      <w:r>
        <w:rPr>
          <w:spacing w:val="-8"/>
        </w:rPr>
        <w:t xml:space="preserve"> </w:t>
      </w:r>
      <w:r>
        <w:t>pay</w:t>
      </w:r>
      <w:r>
        <w:rPr>
          <w:spacing w:val="-8"/>
        </w:rPr>
        <w:t xml:space="preserve"> </w:t>
      </w:r>
      <w:r>
        <w:t>for</w:t>
      </w:r>
      <w:r>
        <w:rPr>
          <w:spacing w:val="-7"/>
        </w:rPr>
        <w:t xml:space="preserve"> </w:t>
      </w:r>
      <w:r>
        <w:t>within</w:t>
      </w:r>
      <w:r>
        <w:rPr>
          <w:spacing w:val="-8"/>
        </w:rPr>
        <w:t xml:space="preserve"> </w:t>
      </w:r>
      <w:r>
        <w:t>their</w:t>
      </w:r>
      <w:r>
        <w:rPr>
          <w:spacing w:val="-7"/>
        </w:rPr>
        <w:t xml:space="preserve"> </w:t>
      </w:r>
      <w:r>
        <w:t>account.</w:t>
      </w:r>
      <w:r>
        <w:rPr>
          <w:spacing w:val="-8"/>
        </w:rPr>
        <w:t xml:space="preserve"> </w:t>
      </w:r>
      <w:r>
        <w:t>Prices</w:t>
      </w:r>
      <w:r>
        <w:rPr>
          <w:spacing w:val="-6"/>
        </w:rPr>
        <w:t xml:space="preserve"> </w:t>
      </w:r>
      <w:r>
        <w:t>are</w:t>
      </w:r>
      <w:r>
        <w:rPr>
          <w:spacing w:val="-8"/>
        </w:rPr>
        <w:t xml:space="preserve"> </w:t>
      </w:r>
      <w:r>
        <w:t>calculated</w:t>
      </w:r>
      <w:r>
        <w:rPr>
          <w:spacing w:val="-8"/>
        </w:rPr>
        <w:t xml:space="preserve"> </w:t>
      </w:r>
      <w:r>
        <w:t>for</w:t>
      </w:r>
      <w:r>
        <w:rPr>
          <w:spacing w:val="-8"/>
        </w:rPr>
        <w:t xml:space="preserve"> </w:t>
      </w:r>
      <w:r>
        <w:t>each</w:t>
      </w:r>
      <w:r>
        <w:rPr>
          <w:spacing w:val="-8"/>
        </w:rPr>
        <w:t xml:space="preserve"> </w:t>
      </w:r>
      <w:r>
        <w:t>district</w:t>
      </w:r>
      <w:r>
        <w:rPr>
          <w:spacing w:val="-8"/>
        </w:rPr>
        <w:t xml:space="preserve"> </w:t>
      </w:r>
      <w:r>
        <w:t>based</w:t>
      </w:r>
      <w:r>
        <w:rPr>
          <w:spacing w:val="-7"/>
        </w:rPr>
        <w:t xml:space="preserve"> </w:t>
      </w:r>
      <w:r>
        <w:t>on</w:t>
      </w:r>
      <w:r>
        <w:rPr>
          <w:spacing w:val="-7"/>
        </w:rPr>
        <w:t xml:space="preserve"> </w:t>
      </w:r>
      <w:r>
        <w:t>forecast</w:t>
      </w:r>
      <w:r>
        <w:rPr>
          <w:spacing w:val="-9"/>
        </w:rPr>
        <w:t xml:space="preserve"> </w:t>
      </w:r>
      <w:r>
        <w:t>demand</w:t>
      </w:r>
      <w:r>
        <w:rPr>
          <w:spacing w:val="-8"/>
        </w:rPr>
        <w:t xml:space="preserve"> </w:t>
      </w:r>
      <w:r>
        <w:t>of</w:t>
      </w:r>
      <w:r>
        <w:rPr>
          <w:spacing w:val="-7"/>
        </w:rPr>
        <w:t xml:space="preserve"> </w:t>
      </w:r>
      <w:r>
        <w:t>volumetric water delivery, growth and planned operating and capital expenditure investment.</w:t>
      </w:r>
    </w:p>
    <w:p w14:paraId="1FFB0360" w14:textId="77777777" w:rsidR="00141B97" w:rsidRDefault="00141B97">
      <w:pPr>
        <w:pStyle w:val="BodyText"/>
      </w:pPr>
    </w:p>
    <w:p w14:paraId="7BBD427A" w14:textId="77777777" w:rsidR="00141B97" w:rsidRDefault="00911D63">
      <w:pPr>
        <w:pStyle w:val="BodyText"/>
        <w:ind w:left="114" w:right="948" w:hanging="1"/>
        <w:jc w:val="both"/>
      </w:pPr>
      <w:r>
        <w:t>In</w:t>
      </w:r>
      <w:r>
        <w:rPr>
          <w:spacing w:val="-2"/>
        </w:rPr>
        <w:t xml:space="preserve"> </w:t>
      </w:r>
      <w:r>
        <w:t>determining</w:t>
      </w:r>
      <w:r>
        <w:rPr>
          <w:spacing w:val="-2"/>
        </w:rPr>
        <w:t xml:space="preserve"> </w:t>
      </w:r>
      <w:r>
        <w:t>the</w:t>
      </w:r>
      <w:r>
        <w:rPr>
          <w:spacing w:val="-2"/>
        </w:rPr>
        <w:t xml:space="preserve"> </w:t>
      </w:r>
      <w:r>
        <w:t>revenue</w:t>
      </w:r>
      <w:r>
        <w:rPr>
          <w:spacing w:val="-2"/>
        </w:rPr>
        <w:t xml:space="preserve"> </w:t>
      </w:r>
      <w:r>
        <w:t>requirement,</w:t>
      </w:r>
      <w:r>
        <w:rPr>
          <w:spacing w:val="-2"/>
        </w:rPr>
        <w:t xml:space="preserve"> </w:t>
      </w:r>
      <w:r>
        <w:t>costs</w:t>
      </w:r>
      <w:r>
        <w:rPr>
          <w:spacing w:val="-1"/>
        </w:rPr>
        <w:t xml:space="preserve"> </w:t>
      </w:r>
      <w:r>
        <w:t>that</w:t>
      </w:r>
      <w:r>
        <w:rPr>
          <w:spacing w:val="-2"/>
        </w:rPr>
        <w:t xml:space="preserve"> </w:t>
      </w:r>
      <w:r>
        <w:t>are</w:t>
      </w:r>
      <w:r>
        <w:rPr>
          <w:spacing w:val="-2"/>
        </w:rPr>
        <w:t xml:space="preserve"> </w:t>
      </w:r>
      <w:r>
        <w:t>incurred</w:t>
      </w:r>
      <w:r>
        <w:rPr>
          <w:spacing w:val="-3"/>
        </w:rPr>
        <w:t xml:space="preserve"> </w:t>
      </w:r>
      <w:r>
        <w:t>by an</w:t>
      </w:r>
      <w:r>
        <w:rPr>
          <w:spacing w:val="-2"/>
        </w:rPr>
        <w:t xml:space="preserve"> </w:t>
      </w:r>
      <w:r>
        <w:t>individual</w:t>
      </w:r>
      <w:r>
        <w:rPr>
          <w:spacing w:val="-2"/>
        </w:rPr>
        <w:t xml:space="preserve"> </w:t>
      </w:r>
      <w:r>
        <w:t>district</w:t>
      </w:r>
      <w:r>
        <w:rPr>
          <w:spacing w:val="-3"/>
        </w:rPr>
        <w:t xml:space="preserve"> </w:t>
      </w:r>
      <w:r>
        <w:t>directly</w:t>
      </w:r>
      <w:r>
        <w:rPr>
          <w:spacing w:val="-3"/>
        </w:rPr>
        <w:t xml:space="preserve"> </w:t>
      </w:r>
      <w:r>
        <w:t>are</w:t>
      </w:r>
      <w:r>
        <w:rPr>
          <w:spacing w:val="-2"/>
        </w:rPr>
        <w:t xml:space="preserve"> </w:t>
      </w:r>
      <w:r>
        <w:t>attributed to</w:t>
      </w:r>
      <w:r>
        <w:rPr>
          <w:spacing w:val="-7"/>
        </w:rPr>
        <w:t xml:space="preserve"> </w:t>
      </w:r>
      <w:r>
        <w:t>that</w:t>
      </w:r>
      <w:r>
        <w:rPr>
          <w:spacing w:val="-7"/>
        </w:rPr>
        <w:t xml:space="preserve"> </w:t>
      </w:r>
      <w:r>
        <w:t>service</w:t>
      </w:r>
      <w:r>
        <w:rPr>
          <w:spacing w:val="-9"/>
        </w:rPr>
        <w:t xml:space="preserve"> </w:t>
      </w:r>
      <w:r>
        <w:t>area.</w:t>
      </w:r>
      <w:r>
        <w:rPr>
          <w:spacing w:val="-6"/>
        </w:rPr>
        <w:t xml:space="preserve"> </w:t>
      </w:r>
      <w:r>
        <w:t>Indirect</w:t>
      </w:r>
      <w:r>
        <w:rPr>
          <w:spacing w:val="-8"/>
        </w:rPr>
        <w:t xml:space="preserve"> </w:t>
      </w:r>
      <w:r>
        <w:t>costs</w:t>
      </w:r>
      <w:r>
        <w:rPr>
          <w:spacing w:val="-6"/>
        </w:rPr>
        <w:t xml:space="preserve"> </w:t>
      </w:r>
      <w:r>
        <w:t>such</w:t>
      </w:r>
      <w:r>
        <w:rPr>
          <w:spacing w:val="-7"/>
        </w:rPr>
        <w:t xml:space="preserve"> </w:t>
      </w:r>
      <w:r>
        <w:t>as</w:t>
      </w:r>
      <w:r>
        <w:rPr>
          <w:spacing w:val="-8"/>
        </w:rPr>
        <w:t xml:space="preserve"> </w:t>
      </w:r>
      <w:r>
        <w:t>corporate</w:t>
      </w:r>
      <w:r>
        <w:rPr>
          <w:spacing w:val="-7"/>
        </w:rPr>
        <w:t xml:space="preserve"> </w:t>
      </w:r>
      <w:r>
        <w:t>overheads</w:t>
      </w:r>
      <w:r>
        <w:rPr>
          <w:spacing w:val="-6"/>
        </w:rPr>
        <w:t xml:space="preserve"> </w:t>
      </w:r>
      <w:r>
        <w:t>are</w:t>
      </w:r>
      <w:r>
        <w:rPr>
          <w:spacing w:val="-8"/>
        </w:rPr>
        <w:t xml:space="preserve"> </w:t>
      </w:r>
      <w:r>
        <w:t>allocated</w:t>
      </w:r>
      <w:r>
        <w:rPr>
          <w:spacing w:val="-7"/>
        </w:rPr>
        <w:t xml:space="preserve"> </w:t>
      </w:r>
      <w:r>
        <w:t>to</w:t>
      </w:r>
      <w:r>
        <w:rPr>
          <w:spacing w:val="-7"/>
        </w:rPr>
        <w:t xml:space="preserve"> </w:t>
      </w:r>
      <w:r>
        <w:t>each</w:t>
      </w:r>
      <w:r>
        <w:rPr>
          <w:spacing w:val="-8"/>
        </w:rPr>
        <w:t xml:space="preserve"> </w:t>
      </w:r>
      <w:r>
        <w:t>district</w:t>
      </w:r>
      <w:r>
        <w:rPr>
          <w:spacing w:val="-7"/>
        </w:rPr>
        <w:t xml:space="preserve"> </w:t>
      </w:r>
      <w:r>
        <w:t>in</w:t>
      </w:r>
      <w:r>
        <w:rPr>
          <w:spacing w:val="-8"/>
        </w:rPr>
        <w:t xml:space="preserve"> </w:t>
      </w:r>
      <w:r>
        <w:t>accordance</w:t>
      </w:r>
      <w:r>
        <w:rPr>
          <w:spacing w:val="-8"/>
        </w:rPr>
        <w:t xml:space="preserve"> </w:t>
      </w:r>
      <w:r>
        <w:t>with the Corporate Cost Allocation Framework previously noted.</w:t>
      </w:r>
    </w:p>
    <w:p w14:paraId="26AC42E6" w14:textId="77777777" w:rsidR="00141B97" w:rsidRDefault="00141B97">
      <w:pPr>
        <w:pStyle w:val="BodyText"/>
      </w:pPr>
    </w:p>
    <w:p w14:paraId="398F3FB5" w14:textId="77777777" w:rsidR="00141B97" w:rsidRDefault="00911D63">
      <w:pPr>
        <w:pStyle w:val="BodyText"/>
        <w:ind w:left="114" w:right="947"/>
        <w:jc w:val="both"/>
      </w:pPr>
      <w:r>
        <w:t>The</w:t>
      </w:r>
      <w:r>
        <w:rPr>
          <w:spacing w:val="-8"/>
        </w:rPr>
        <w:t xml:space="preserve"> </w:t>
      </w:r>
      <w:r>
        <w:t>tariffs</w:t>
      </w:r>
      <w:r>
        <w:rPr>
          <w:spacing w:val="-8"/>
        </w:rPr>
        <w:t xml:space="preserve"> </w:t>
      </w:r>
      <w:r>
        <w:t>applicable</w:t>
      </w:r>
      <w:r>
        <w:rPr>
          <w:spacing w:val="-9"/>
        </w:rPr>
        <w:t xml:space="preserve"> </w:t>
      </w:r>
      <w:r>
        <w:t>within</w:t>
      </w:r>
      <w:r>
        <w:rPr>
          <w:spacing w:val="-8"/>
        </w:rPr>
        <w:t xml:space="preserve"> </w:t>
      </w:r>
      <w:r>
        <w:t>the</w:t>
      </w:r>
      <w:r>
        <w:rPr>
          <w:spacing w:val="-7"/>
        </w:rPr>
        <w:t xml:space="preserve"> </w:t>
      </w:r>
      <w:r>
        <w:t>tariff</w:t>
      </w:r>
      <w:r>
        <w:rPr>
          <w:spacing w:val="-7"/>
        </w:rPr>
        <w:t xml:space="preserve"> </w:t>
      </w:r>
      <w:r>
        <w:t>basket</w:t>
      </w:r>
      <w:r>
        <w:rPr>
          <w:spacing w:val="-8"/>
        </w:rPr>
        <w:t xml:space="preserve"> </w:t>
      </w:r>
      <w:r>
        <w:t>for</w:t>
      </w:r>
      <w:r>
        <w:rPr>
          <w:spacing w:val="-7"/>
        </w:rPr>
        <w:t xml:space="preserve"> </w:t>
      </w:r>
      <w:r>
        <w:t>each</w:t>
      </w:r>
      <w:r>
        <w:rPr>
          <w:spacing w:val="-6"/>
        </w:rPr>
        <w:t xml:space="preserve"> </w:t>
      </w:r>
      <w:r>
        <w:t>different</w:t>
      </w:r>
      <w:r>
        <w:rPr>
          <w:spacing w:val="-7"/>
        </w:rPr>
        <w:t xml:space="preserve"> </w:t>
      </w:r>
      <w:r>
        <w:t>service,</w:t>
      </w:r>
      <w:r>
        <w:rPr>
          <w:spacing w:val="-7"/>
        </w:rPr>
        <w:t xml:space="preserve"> </w:t>
      </w:r>
      <w:r>
        <w:t>i.e.</w:t>
      </w:r>
      <w:r>
        <w:rPr>
          <w:spacing w:val="-6"/>
        </w:rPr>
        <w:t xml:space="preserve"> </w:t>
      </w:r>
      <w:r>
        <w:t>Irrigation</w:t>
      </w:r>
      <w:r>
        <w:rPr>
          <w:spacing w:val="-6"/>
        </w:rPr>
        <w:t xml:space="preserve"> </w:t>
      </w:r>
      <w:r>
        <w:t>district</w:t>
      </w:r>
      <w:r>
        <w:rPr>
          <w:spacing w:val="-8"/>
        </w:rPr>
        <w:t xml:space="preserve"> </w:t>
      </w:r>
      <w:r>
        <w:t>customer</w:t>
      </w:r>
      <w:r>
        <w:rPr>
          <w:spacing w:val="-7"/>
        </w:rPr>
        <w:t xml:space="preserve"> </w:t>
      </w:r>
      <w:r>
        <w:t>or</w:t>
      </w:r>
      <w:r>
        <w:rPr>
          <w:spacing w:val="-7"/>
        </w:rPr>
        <w:t xml:space="preserve"> </w:t>
      </w:r>
      <w:r>
        <w:t>private diverter customer or Millewa customer, differs due to the varying service being delivered.</w:t>
      </w:r>
    </w:p>
    <w:p w14:paraId="478BC78A" w14:textId="77777777" w:rsidR="00141B97" w:rsidRDefault="00141B97">
      <w:pPr>
        <w:pStyle w:val="BodyText"/>
      </w:pPr>
    </w:p>
    <w:p w14:paraId="5872C93B" w14:textId="77777777" w:rsidR="00141B97" w:rsidRDefault="00911D63">
      <w:pPr>
        <w:pStyle w:val="BodyText"/>
        <w:ind w:left="113" w:right="949"/>
        <w:jc w:val="both"/>
      </w:pPr>
      <w:r>
        <w:t>During the preparation of PS5, LMW commenced a review to understand the true cost of connection and plan to</w:t>
      </w:r>
      <w:r>
        <w:rPr>
          <w:spacing w:val="-12"/>
        </w:rPr>
        <w:t xml:space="preserve"> </w:t>
      </w:r>
      <w:r>
        <w:t>continue</w:t>
      </w:r>
      <w:r>
        <w:rPr>
          <w:spacing w:val="-10"/>
        </w:rPr>
        <w:t xml:space="preserve"> </w:t>
      </w:r>
      <w:r>
        <w:t>this</w:t>
      </w:r>
      <w:r>
        <w:rPr>
          <w:spacing w:val="-11"/>
        </w:rPr>
        <w:t xml:space="preserve"> </w:t>
      </w:r>
      <w:r>
        <w:t>detailed</w:t>
      </w:r>
      <w:r>
        <w:rPr>
          <w:spacing w:val="-13"/>
        </w:rPr>
        <w:t xml:space="preserve"> </w:t>
      </w:r>
      <w:r>
        <w:t>review</w:t>
      </w:r>
      <w:r>
        <w:rPr>
          <w:spacing w:val="-9"/>
        </w:rPr>
        <w:t xml:space="preserve"> </w:t>
      </w:r>
      <w:r>
        <w:t>across</w:t>
      </w:r>
      <w:r>
        <w:rPr>
          <w:spacing w:val="-11"/>
        </w:rPr>
        <w:t xml:space="preserve"> </w:t>
      </w:r>
      <w:r>
        <w:t>the</w:t>
      </w:r>
      <w:r>
        <w:rPr>
          <w:spacing w:val="-12"/>
        </w:rPr>
        <w:t xml:space="preserve"> </w:t>
      </w:r>
      <w:r>
        <w:t>first</w:t>
      </w:r>
      <w:r>
        <w:rPr>
          <w:spacing w:val="-12"/>
        </w:rPr>
        <w:t xml:space="preserve"> </w:t>
      </w:r>
      <w:r>
        <w:t>two</w:t>
      </w:r>
      <w:r>
        <w:rPr>
          <w:spacing w:val="-12"/>
        </w:rPr>
        <w:t xml:space="preserve"> </w:t>
      </w:r>
      <w:r>
        <w:t>years</w:t>
      </w:r>
      <w:r>
        <w:rPr>
          <w:spacing w:val="-10"/>
        </w:rPr>
        <w:t xml:space="preserve"> </w:t>
      </w:r>
      <w:r>
        <w:t>of</w:t>
      </w:r>
      <w:r>
        <w:rPr>
          <w:spacing w:val="-11"/>
        </w:rPr>
        <w:t xml:space="preserve"> </w:t>
      </w:r>
      <w:r>
        <w:t>the</w:t>
      </w:r>
      <w:r>
        <w:rPr>
          <w:spacing w:val="-11"/>
        </w:rPr>
        <w:t xml:space="preserve"> </w:t>
      </w:r>
      <w:r>
        <w:t>new</w:t>
      </w:r>
      <w:r>
        <w:rPr>
          <w:spacing w:val="-11"/>
        </w:rPr>
        <w:t xml:space="preserve"> </w:t>
      </w:r>
      <w:r>
        <w:t>regulatory</w:t>
      </w:r>
      <w:r>
        <w:rPr>
          <w:spacing w:val="-11"/>
        </w:rPr>
        <w:t xml:space="preserve"> </w:t>
      </w:r>
      <w:r>
        <w:t>period</w:t>
      </w:r>
      <w:r>
        <w:rPr>
          <w:spacing w:val="-12"/>
        </w:rPr>
        <w:t xml:space="preserve"> </w:t>
      </w:r>
      <w:r>
        <w:t>with</w:t>
      </w:r>
      <w:r>
        <w:rPr>
          <w:spacing w:val="-11"/>
        </w:rPr>
        <w:t xml:space="preserve"> </w:t>
      </w:r>
      <w:r>
        <w:t>a</w:t>
      </w:r>
      <w:r>
        <w:rPr>
          <w:spacing w:val="-10"/>
        </w:rPr>
        <w:t xml:space="preserve"> </w:t>
      </w:r>
      <w:r>
        <w:t>view</w:t>
      </w:r>
      <w:r>
        <w:rPr>
          <w:spacing w:val="-11"/>
        </w:rPr>
        <w:t xml:space="preserve"> </w:t>
      </w:r>
      <w:r>
        <w:t>to</w:t>
      </w:r>
      <w:r>
        <w:rPr>
          <w:spacing w:val="-12"/>
        </w:rPr>
        <w:t xml:space="preserve"> </w:t>
      </w:r>
      <w:r>
        <w:t>implement tariff</w:t>
      </w:r>
      <w:r>
        <w:rPr>
          <w:spacing w:val="-8"/>
        </w:rPr>
        <w:t xml:space="preserve"> </w:t>
      </w:r>
      <w:r>
        <w:t>reform,</w:t>
      </w:r>
      <w:r>
        <w:rPr>
          <w:spacing w:val="-8"/>
        </w:rPr>
        <w:t xml:space="preserve"> </w:t>
      </w:r>
      <w:r>
        <w:t>including</w:t>
      </w:r>
      <w:r>
        <w:rPr>
          <w:spacing w:val="-8"/>
        </w:rPr>
        <w:t xml:space="preserve"> </w:t>
      </w:r>
      <w:r>
        <w:t>consideration</w:t>
      </w:r>
      <w:r>
        <w:rPr>
          <w:spacing w:val="-7"/>
        </w:rPr>
        <w:t xml:space="preserve"> </w:t>
      </w:r>
      <w:r>
        <w:t>of</w:t>
      </w:r>
      <w:r>
        <w:rPr>
          <w:spacing w:val="-7"/>
        </w:rPr>
        <w:t xml:space="preserve"> </w:t>
      </w:r>
      <w:r>
        <w:t>an</w:t>
      </w:r>
      <w:r>
        <w:rPr>
          <w:spacing w:val="-8"/>
        </w:rPr>
        <w:t xml:space="preserve"> </w:t>
      </w:r>
      <w:r>
        <w:t>appropriate</w:t>
      </w:r>
      <w:r>
        <w:rPr>
          <w:spacing w:val="-9"/>
        </w:rPr>
        <w:t xml:space="preserve"> </w:t>
      </w:r>
      <w:r>
        <w:t>and</w:t>
      </w:r>
      <w:r>
        <w:rPr>
          <w:spacing w:val="-8"/>
        </w:rPr>
        <w:t xml:space="preserve"> </w:t>
      </w:r>
      <w:r>
        <w:t>justified</w:t>
      </w:r>
      <w:r>
        <w:rPr>
          <w:spacing w:val="-8"/>
        </w:rPr>
        <w:t xml:space="preserve"> </w:t>
      </w:r>
      <w:r>
        <w:t>outlet</w:t>
      </w:r>
      <w:r>
        <w:rPr>
          <w:spacing w:val="-7"/>
        </w:rPr>
        <w:t xml:space="preserve"> </w:t>
      </w:r>
      <w:r>
        <w:t>fee,</w:t>
      </w:r>
      <w:r>
        <w:rPr>
          <w:spacing w:val="-7"/>
        </w:rPr>
        <w:t xml:space="preserve"> </w:t>
      </w:r>
      <w:r>
        <w:t>in</w:t>
      </w:r>
      <w:r>
        <w:rPr>
          <w:spacing w:val="-9"/>
        </w:rPr>
        <w:t xml:space="preserve"> </w:t>
      </w:r>
      <w:r>
        <w:t>the</w:t>
      </w:r>
      <w:r>
        <w:rPr>
          <w:spacing w:val="-9"/>
        </w:rPr>
        <w:t xml:space="preserve"> </w:t>
      </w:r>
      <w:r>
        <w:t>last</w:t>
      </w:r>
      <w:r>
        <w:rPr>
          <w:spacing w:val="-9"/>
        </w:rPr>
        <w:t xml:space="preserve"> </w:t>
      </w:r>
      <w:r>
        <w:t>year</w:t>
      </w:r>
      <w:r>
        <w:rPr>
          <w:spacing w:val="-9"/>
        </w:rPr>
        <w:t xml:space="preserve"> </w:t>
      </w:r>
      <w:r>
        <w:t>or</w:t>
      </w:r>
      <w:r>
        <w:rPr>
          <w:spacing w:val="-8"/>
        </w:rPr>
        <w:t xml:space="preserve"> </w:t>
      </w:r>
      <w:r>
        <w:t>two</w:t>
      </w:r>
      <w:r>
        <w:rPr>
          <w:spacing w:val="-7"/>
        </w:rPr>
        <w:t xml:space="preserve"> </w:t>
      </w:r>
      <w:r>
        <w:t>of</w:t>
      </w:r>
      <w:r>
        <w:rPr>
          <w:spacing w:val="-9"/>
        </w:rPr>
        <w:t xml:space="preserve"> </w:t>
      </w:r>
      <w:r>
        <w:t>the</w:t>
      </w:r>
      <w:r>
        <w:rPr>
          <w:spacing w:val="-10"/>
        </w:rPr>
        <w:t xml:space="preserve"> </w:t>
      </w:r>
      <w:r>
        <w:t xml:space="preserve">PS5 </w:t>
      </w:r>
      <w:r>
        <w:rPr>
          <w:spacing w:val="-2"/>
        </w:rPr>
        <w:t>period.</w:t>
      </w:r>
    </w:p>
    <w:p w14:paraId="469EBCF1" w14:textId="77777777" w:rsidR="00141B97" w:rsidRDefault="00141B97">
      <w:pPr>
        <w:jc w:val="both"/>
        <w:sectPr w:rsidR="00141B97">
          <w:pgSz w:w="11910" w:h="16840"/>
          <w:pgMar w:top="860" w:right="40" w:bottom="780" w:left="1020" w:header="0" w:footer="586" w:gutter="0"/>
          <w:cols w:space="720"/>
        </w:sectPr>
      </w:pPr>
    </w:p>
    <w:p w14:paraId="52C34197" w14:textId="77777777" w:rsidR="00141B97" w:rsidRDefault="00911D63">
      <w:pPr>
        <w:pStyle w:val="BodyText"/>
        <w:spacing w:before="31"/>
        <w:ind w:left="114"/>
      </w:pPr>
      <w:r>
        <w:lastRenderedPageBreak/>
        <w:t>Irrigation</w:t>
      </w:r>
      <w:r>
        <w:rPr>
          <w:spacing w:val="-7"/>
        </w:rPr>
        <w:t xml:space="preserve"> </w:t>
      </w:r>
      <w:r>
        <w:t>District</w:t>
      </w:r>
      <w:r>
        <w:rPr>
          <w:spacing w:val="-7"/>
        </w:rPr>
        <w:t xml:space="preserve"> </w:t>
      </w:r>
      <w:r>
        <w:t>Tariff</w:t>
      </w:r>
      <w:r>
        <w:rPr>
          <w:spacing w:val="-8"/>
        </w:rPr>
        <w:t xml:space="preserve"> </w:t>
      </w:r>
      <w:r>
        <w:rPr>
          <w:spacing w:val="-2"/>
        </w:rPr>
        <w:t>Suite</w:t>
      </w:r>
    </w:p>
    <w:p w14:paraId="27B8281B" w14:textId="77777777" w:rsidR="00141B97" w:rsidRDefault="00911D63">
      <w:pPr>
        <w:pStyle w:val="ListParagraph"/>
        <w:numPr>
          <w:ilvl w:val="0"/>
          <w:numId w:val="4"/>
        </w:numPr>
        <w:tabs>
          <w:tab w:val="left" w:pos="824"/>
        </w:tabs>
        <w:spacing w:before="1" w:line="280" w:lineRule="exact"/>
        <w:ind w:left="823" w:hanging="361"/>
        <w:jc w:val="both"/>
        <w:rPr>
          <w:rFonts w:ascii="Symbol" w:hAnsi="Symbol"/>
        </w:rPr>
      </w:pPr>
      <w:r>
        <w:rPr>
          <w:i/>
        </w:rPr>
        <w:t>Service</w:t>
      </w:r>
      <w:r>
        <w:rPr>
          <w:i/>
          <w:spacing w:val="-7"/>
        </w:rPr>
        <w:t xml:space="preserve"> </w:t>
      </w:r>
      <w:r>
        <w:rPr>
          <w:i/>
        </w:rPr>
        <w:t>Charge:</w:t>
      </w:r>
      <w:r>
        <w:rPr>
          <w:i/>
          <w:spacing w:val="-6"/>
        </w:rPr>
        <w:t xml:space="preserve"> </w:t>
      </w:r>
      <w:r>
        <w:t>A</w:t>
      </w:r>
      <w:r>
        <w:rPr>
          <w:spacing w:val="-6"/>
        </w:rPr>
        <w:t xml:space="preserve"> </w:t>
      </w:r>
      <w:r>
        <w:t>fixed</w:t>
      </w:r>
      <w:r>
        <w:rPr>
          <w:spacing w:val="-6"/>
        </w:rPr>
        <w:t xml:space="preserve"> </w:t>
      </w:r>
      <w:r>
        <w:t>charge</w:t>
      </w:r>
      <w:r>
        <w:rPr>
          <w:spacing w:val="-6"/>
        </w:rPr>
        <w:t xml:space="preserve"> </w:t>
      </w:r>
      <w:r>
        <w:t>per</w:t>
      </w:r>
      <w:r>
        <w:rPr>
          <w:spacing w:val="-6"/>
        </w:rPr>
        <w:t xml:space="preserve"> </w:t>
      </w:r>
      <w:r>
        <w:t>assessment</w:t>
      </w:r>
      <w:r>
        <w:rPr>
          <w:spacing w:val="-7"/>
        </w:rPr>
        <w:t xml:space="preserve"> </w:t>
      </w:r>
      <w:r>
        <w:t>to</w:t>
      </w:r>
      <w:r>
        <w:rPr>
          <w:spacing w:val="-5"/>
        </w:rPr>
        <w:t xml:space="preserve"> </w:t>
      </w:r>
      <w:r>
        <w:t>contribute</w:t>
      </w:r>
      <w:r>
        <w:rPr>
          <w:spacing w:val="-5"/>
        </w:rPr>
        <w:t xml:space="preserve"> </w:t>
      </w:r>
      <w:r>
        <w:t>to</w:t>
      </w:r>
      <w:r>
        <w:rPr>
          <w:spacing w:val="-7"/>
        </w:rPr>
        <w:t xml:space="preserve"> </w:t>
      </w:r>
      <w:r>
        <w:t>administration</w:t>
      </w:r>
      <w:r>
        <w:rPr>
          <w:spacing w:val="-6"/>
        </w:rPr>
        <w:t xml:space="preserve"> </w:t>
      </w:r>
      <w:r>
        <w:rPr>
          <w:spacing w:val="-2"/>
        </w:rPr>
        <w:t>costs.</w:t>
      </w:r>
    </w:p>
    <w:p w14:paraId="5EE75D03" w14:textId="77777777" w:rsidR="00141B97" w:rsidRDefault="00911D63">
      <w:pPr>
        <w:pStyle w:val="ListParagraph"/>
        <w:numPr>
          <w:ilvl w:val="0"/>
          <w:numId w:val="4"/>
        </w:numPr>
        <w:tabs>
          <w:tab w:val="left" w:pos="824"/>
        </w:tabs>
        <w:ind w:right="947"/>
        <w:jc w:val="both"/>
        <w:rPr>
          <w:rFonts w:ascii="Symbol" w:hAnsi="Symbol"/>
        </w:rPr>
      </w:pPr>
      <w:r>
        <w:rPr>
          <w:i/>
        </w:rPr>
        <w:t xml:space="preserve">Delivery Share Fee: </w:t>
      </w:r>
      <w:r>
        <w:t>A fee based on the property’s defined level</w:t>
      </w:r>
      <w:r>
        <w:rPr>
          <w:spacing w:val="-1"/>
        </w:rPr>
        <w:t xml:space="preserve"> </w:t>
      </w:r>
      <w:r>
        <w:t>of access to the delivery infrastructure, or its Delivery Share, expressed in ML per 14‐day period. This fee contributes to LMW’s fixed irrigation infrastructure and maintenance costs.</w:t>
      </w:r>
    </w:p>
    <w:p w14:paraId="6CE827AF" w14:textId="77777777" w:rsidR="00141B97" w:rsidRDefault="00911D63">
      <w:pPr>
        <w:pStyle w:val="ListParagraph"/>
        <w:numPr>
          <w:ilvl w:val="0"/>
          <w:numId w:val="4"/>
        </w:numPr>
        <w:tabs>
          <w:tab w:val="left" w:pos="824"/>
        </w:tabs>
        <w:ind w:left="823" w:right="951" w:hanging="361"/>
        <w:jc w:val="both"/>
        <w:rPr>
          <w:rFonts w:ascii="Symbol" w:hAnsi="Symbol"/>
        </w:rPr>
      </w:pPr>
      <w:r>
        <w:rPr>
          <w:i/>
        </w:rPr>
        <w:t xml:space="preserve">Usage Charge: </w:t>
      </w:r>
      <w:r>
        <w:t>Based on the metered volume of water delivered to the property. This fee contributes to the cost of supply for each ML delivered.</w:t>
      </w:r>
    </w:p>
    <w:p w14:paraId="21475E7C" w14:textId="77777777" w:rsidR="00141B97" w:rsidRDefault="00911D63">
      <w:pPr>
        <w:pStyle w:val="ListParagraph"/>
        <w:numPr>
          <w:ilvl w:val="0"/>
          <w:numId w:val="4"/>
        </w:numPr>
        <w:tabs>
          <w:tab w:val="left" w:pos="824"/>
        </w:tabs>
        <w:ind w:left="823" w:right="949"/>
        <w:jc w:val="both"/>
        <w:rPr>
          <w:rFonts w:ascii="Symbol" w:hAnsi="Symbol"/>
        </w:rPr>
      </w:pPr>
      <w:r>
        <w:rPr>
          <w:i/>
        </w:rPr>
        <w:t xml:space="preserve">Drainage Fee: </w:t>
      </w:r>
      <w:r>
        <w:t>Based on the property’s defined level of access to the drainage infrastructure to collect excess</w:t>
      </w:r>
      <w:r>
        <w:rPr>
          <w:spacing w:val="-11"/>
        </w:rPr>
        <w:t xml:space="preserve"> </w:t>
      </w:r>
      <w:r>
        <w:t>applied</w:t>
      </w:r>
      <w:r>
        <w:rPr>
          <w:spacing w:val="-12"/>
        </w:rPr>
        <w:t xml:space="preserve"> </w:t>
      </w:r>
      <w:r>
        <w:t>irrigation</w:t>
      </w:r>
      <w:r>
        <w:rPr>
          <w:spacing w:val="-12"/>
        </w:rPr>
        <w:t xml:space="preserve"> </w:t>
      </w:r>
      <w:r>
        <w:t>water,</w:t>
      </w:r>
      <w:r>
        <w:rPr>
          <w:spacing w:val="-10"/>
        </w:rPr>
        <w:t xml:space="preserve"> </w:t>
      </w:r>
      <w:r>
        <w:t>equivalent</w:t>
      </w:r>
      <w:r>
        <w:rPr>
          <w:spacing w:val="-12"/>
        </w:rPr>
        <w:t xml:space="preserve"> </w:t>
      </w:r>
      <w:r>
        <w:t>to</w:t>
      </w:r>
      <w:r>
        <w:rPr>
          <w:spacing w:val="-12"/>
        </w:rPr>
        <w:t xml:space="preserve"> </w:t>
      </w:r>
      <w:r>
        <w:t>the</w:t>
      </w:r>
      <w:r>
        <w:rPr>
          <w:spacing w:val="-11"/>
        </w:rPr>
        <w:t xml:space="preserve"> </w:t>
      </w:r>
      <w:r>
        <w:t>Delivery</w:t>
      </w:r>
      <w:r>
        <w:rPr>
          <w:spacing w:val="-11"/>
        </w:rPr>
        <w:t xml:space="preserve"> </w:t>
      </w:r>
      <w:r>
        <w:t>Share</w:t>
      </w:r>
      <w:r>
        <w:rPr>
          <w:spacing w:val="-11"/>
        </w:rPr>
        <w:t xml:space="preserve"> </w:t>
      </w:r>
      <w:r>
        <w:t>expressed</w:t>
      </w:r>
      <w:r>
        <w:rPr>
          <w:spacing w:val="-12"/>
        </w:rPr>
        <w:t xml:space="preserve"> </w:t>
      </w:r>
      <w:r>
        <w:t>in</w:t>
      </w:r>
      <w:r>
        <w:rPr>
          <w:spacing w:val="-12"/>
        </w:rPr>
        <w:t xml:space="preserve"> </w:t>
      </w:r>
      <w:r>
        <w:t>ML</w:t>
      </w:r>
      <w:r>
        <w:rPr>
          <w:spacing w:val="-10"/>
        </w:rPr>
        <w:t xml:space="preserve"> </w:t>
      </w:r>
      <w:r>
        <w:t>per</w:t>
      </w:r>
      <w:r>
        <w:rPr>
          <w:spacing w:val="-11"/>
        </w:rPr>
        <w:t xml:space="preserve"> </w:t>
      </w:r>
      <w:r>
        <w:t>14‐day</w:t>
      </w:r>
      <w:r>
        <w:rPr>
          <w:spacing w:val="-10"/>
        </w:rPr>
        <w:t xml:space="preserve"> </w:t>
      </w:r>
      <w:r>
        <w:t>period.</w:t>
      </w:r>
      <w:r>
        <w:rPr>
          <w:spacing w:val="-11"/>
        </w:rPr>
        <w:t xml:space="preserve"> </w:t>
      </w:r>
      <w:r>
        <w:t>This fee contributes to LMW’s fixed drainage infrastructure and maintenance costs.</w:t>
      </w:r>
    </w:p>
    <w:p w14:paraId="4A0082E7" w14:textId="77777777" w:rsidR="00141B97" w:rsidRDefault="00911D63">
      <w:pPr>
        <w:pStyle w:val="ListParagraph"/>
        <w:numPr>
          <w:ilvl w:val="0"/>
          <w:numId w:val="4"/>
        </w:numPr>
        <w:tabs>
          <w:tab w:val="left" w:pos="824"/>
        </w:tabs>
        <w:ind w:left="823" w:right="948" w:hanging="361"/>
        <w:jc w:val="both"/>
        <w:rPr>
          <w:rFonts w:ascii="Symbol" w:hAnsi="Symbol"/>
        </w:rPr>
      </w:pPr>
      <w:r>
        <w:rPr>
          <w:i/>
        </w:rPr>
        <w:t>Unmetered</w:t>
      </w:r>
      <w:r>
        <w:rPr>
          <w:i/>
          <w:spacing w:val="-8"/>
        </w:rPr>
        <w:t xml:space="preserve"> </w:t>
      </w:r>
      <w:r>
        <w:rPr>
          <w:i/>
        </w:rPr>
        <w:t>Garden</w:t>
      </w:r>
      <w:r>
        <w:rPr>
          <w:i/>
          <w:spacing w:val="-7"/>
        </w:rPr>
        <w:t xml:space="preserve"> </w:t>
      </w:r>
      <w:r>
        <w:rPr>
          <w:i/>
        </w:rPr>
        <w:t>Connection:</w:t>
      </w:r>
      <w:r>
        <w:rPr>
          <w:i/>
          <w:spacing w:val="-8"/>
        </w:rPr>
        <w:t xml:space="preserve"> </w:t>
      </w:r>
      <w:r>
        <w:t>A</w:t>
      </w:r>
      <w:r>
        <w:rPr>
          <w:spacing w:val="-8"/>
        </w:rPr>
        <w:t xml:space="preserve"> </w:t>
      </w:r>
      <w:r>
        <w:t>flat</w:t>
      </w:r>
      <w:r>
        <w:rPr>
          <w:spacing w:val="-8"/>
        </w:rPr>
        <w:t xml:space="preserve"> </w:t>
      </w:r>
      <w:r>
        <w:t>annual</w:t>
      </w:r>
      <w:r>
        <w:rPr>
          <w:spacing w:val="-9"/>
        </w:rPr>
        <w:t xml:space="preserve"> </w:t>
      </w:r>
      <w:r>
        <w:t>charge</w:t>
      </w:r>
      <w:r>
        <w:rPr>
          <w:spacing w:val="-8"/>
        </w:rPr>
        <w:t xml:space="preserve"> </w:t>
      </w:r>
      <w:r>
        <w:t>for</w:t>
      </w:r>
      <w:r>
        <w:rPr>
          <w:spacing w:val="-8"/>
        </w:rPr>
        <w:t xml:space="preserve"> </w:t>
      </w:r>
      <w:r>
        <w:t>stock</w:t>
      </w:r>
      <w:r>
        <w:rPr>
          <w:spacing w:val="-8"/>
        </w:rPr>
        <w:t xml:space="preserve"> </w:t>
      </w:r>
      <w:r>
        <w:t>and</w:t>
      </w:r>
      <w:r>
        <w:rPr>
          <w:spacing w:val="-7"/>
        </w:rPr>
        <w:t xml:space="preserve"> </w:t>
      </w:r>
      <w:r>
        <w:t>domestic</w:t>
      </w:r>
      <w:r>
        <w:rPr>
          <w:spacing w:val="-8"/>
        </w:rPr>
        <w:t xml:space="preserve"> </w:t>
      </w:r>
      <w:r>
        <w:t>customers</w:t>
      </w:r>
      <w:r>
        <w:rPr>
          <w:spacing w:val="-6"/>
        </w:rPr>
        <w:t xml:space="preserve"> </w:t>
      </w:r>
      <w:r>
        <w:t>that</w:t>
      </w:r>
      <w:r>
        <w:rPr>
          <w:spacing w:val="-7"/>
        </w:rPr>
        <w:t xml:space="preserve"> </w:t>
      </w:r>
      <w:r>
        <w:t>do</w:t>
      </w:r>
      <w:r>
        <w:rPr>
          <w:spacing w:val="-8"/>
        </w:rPr>
        <w:t xml:space="preserve"> </w:t>
      </w:r>
      <w:r>
        <w:t>not</w:t>
      </w:r>
      <w:r>
        <w:rPr>
          <w:spacing w:val="-8"/>
        </w:rPr>
        <w:t xml:space="preserve"> </w:t>
      </w:r>
      <w:r>
        <w:t>have a garden connection metered.</w:t>
      </w:r>
    </w:p>
    <w:p w14:paraId="10AAB92E" w14:textId="77777777" w:rsidR="00141B97" w:rsidRDefault="00141B97">
      <w:pPr>
        <w:pStyle w:val="BodyText"/>
        <w:spacing w:before="11"/>
        <w:rPr>
          <w:sz w:val="21"/>
        </w:rPr>
      </w:pPr>
    </w:p>
    <w:p w14:paraId="008EC459" w14:textId="77777777" w:rsidR="00141B97" w:rsidRDefault="00911D63">
      <w:pPr>
        <w:pStyle w:val="BodyText"/>
        <w:ind w:left="114"/>
      </w:pPr>
      <w:r>
        <w:t>Private</w:t>
      </w:r>
      <w:r>
        <w:rPr>
          <w:spacing w:val="-8"/>
        </w:rPr>
        <w:t xml:space="preserve"> </w:t>
      </w:r>
      <w:r>
        <w:t>Diverter</w:t>
      </w:r>
      <w:r>
        <w:rPr>
          <w:spacing w:val="-7"/>
        </w:rPr>
        <w:t xml:space="preserve"> </w:t>
      </w:r>
      <w:r>
        <w:t>Tariff</w:t>
      </w:r>
      <w:r>
        <w:rPr>
          <w:spacing w:val="-7"/>
        </w:rPr>
        <w:t xml:space="preserve"> </w:t>
      </w:r>
      <w:r>
        <w:rPr>
          <w:spacing w:val="-2"/>
        </w:rPr>
        <w:t>Suite</w:t>
      </w:r>
    </w:p>
    <w:p w14:paraId="000F4B60" w14:textId="77777777" w:rsidR="00141B97" w:rsidRDefault="00911D63">
      <w:pPr>
        <w:pStyle w:val="ListParagraph"/>
        <w:numPr>
          <w:ilvl w:val="0"/>
          <w:numId w:val="4"/>
        </w:numPr>
        <w:tabs>
          <w:tab w:val="left" w:pos="834"/>
        </w:tabs>
        <w:spacing w:before="1" w:line="280" w:lineRule="exact"/>
        <w:ind w:left="834"/>
        <w:jc w:val="both"/>
        <w:rPr>
          <w:rFonts w:ascii="Symbol" w:hAnsi="Symbol"/>
        </w:rPr>
      </w:pPr>
      <w:r>
        <w:rPr>
          <w:i/>
        </w:rPr>
        <w:t>Service</w:t>
      </w:r>
      <w:r>
        <w:rPr>
          <w:i/>
          <w:spacing w:val="-8"/>
        </w:rPr>
        <w:t xml:space="preserve"> </w:t>
      </w:r>
      <w:r>
        <w:rPr>
          <w:i/>
        </w:rPr>
        <w:t>Charge:</w:t>
      </w:r>
      <w:r>
        <w:rPr>
          <w:i/>
          <w:spacing w:val="-8"/>
        </w:rPr>
        <w:t xml:space="preserve"> </w:t>
      </w:r>
      <w:r>
        <w:t>A</w:t>
      </w:r>
      <w:r>
        <w:rPr>
          <w:spacing w:val="-7"/>
        </w:rPr>
        <w:t xml:space="preserve"> </w:t>
      </w:r>
      <w:r>
        <w:t>fixed</w:t>
      </w:r>
      <w:r>
        <w:rPr>
          <w:spacing w:val="-7"/>
        </w:rPr>
        <w:t xml:space="preserve"> </w:t>
      </w:r>
      <w:r>
        <w:t>charge</w:t>
      </w:r>
      <w:r>
        <w:rPr>
          <w:spacing w:val="-8"/>
        </w:rPr>
        <w:t xml:space="preserve"> </w:t>
      </w:r>
      <w:r>
        <w:t>per</w:t>
      </w:r>
      <w:r>
        <w:rPr>
          <w:spacing w:val="-7"/>
        </w:rPr>
        <w:t xml:space="preserve"> </w:t>
      </w:r>
      <w:r>
        <w:t>customer</w:t>
      </w:r>
      <w:r>
        <w:rPr>
          <w:spacing w:val="-6"/>
        </w:rPr>
        <w:t xml:space="preserve"> </w:t>
      </w:r>
      <w:r>
        <w:t>assessment</w:t>
      </w:r>
      <w:r>
        <w:rPr>
          <w:spacing w:val="-7"/>
        </w:rPr>
        <w:t xml:space="preserve"> </w:t>
      </w:r>
      <w:r>
        <w:t>to</w:t>
      </w:r>
      <w:r>
        <w:rPr>
          <w:spacing w:val="-7"/>
        </w:rPr>
        <w:t xml:space="preserve"> </w:t>
      </w:r>
      <w:r>
        <w:t>contribute</w:t>
      </w:r>
      <w:r>
        <w:rPr>
          <w:spacing w:val="-6"/>
        </w:rPr>
        <w:t xml:space="preserve"> </w:t>
      </w:r>
      <w:r>
        <w:t>to</w:t>
      </w:r>
      <w:r>
        <w:rPr>
          <w:spacing w:val="-7"/>
        </w:rPr>
        <w:t xml:space="preserve"> </w:t>
      </w:r>
      <w:r>
        <w:t>administration</w:t>
      </w:r>
      <w:r>
        <w:rPr>
          <w:spacing w:val="-7"/>
        </w:rPr>
        <w:t xml:space="preserve"> </w:t>
      </w:r>
      <w:r>
        <w:rPr>
          <w:spacing w:val="-2"/>
        </w:rPr>
        <w:t>costs.</w:t>
      </w:r>
    </w:p>
    <w:p w14:paraId="65CB4876" w14:textId="77777777" w:rsidR="00141B97" w:rsidRDefault="00911D63">
      <w:pPr>
        <w:pStyle w:val="ListParagraph"/>
        <w:numPr>
          <w:ilvl w:val="0"/>
          <w:numId w:val="4"/>
        </w:numPr>
        <w:tabs>
          <w:tab w:val="left" w:pos="834"/>
        </w:tabs>
        <w:ind w:left="833" w:right="949"/>
        <w:jc w:val="both"/>
        <w:rPr>
          <w:rFonts w:ascii="Symbol" w:hAnsi="Symbol"/>
        </w:rPr>
      </w:pPr>
      <w:r>
        <w:rPr>
          <w:i/>
        </w:rPr>
        <w:t>Operational</w:t>
      </w:r>
      <w:r>
        <w:rPr>
          <w:i/>
          <w:spacing w:val="-3"/>
        </w:rPr>
        <w:t xml:space="preserve"> </w:t>
      </w:r>
      <w:r>
        <w:rPr>
          <w:i/>
        </w:rPr>
        <w:t>Fee:</w:t>
      </w:r>
      <w:r>
        <w:rPr>
          <w:i/>
          <w:spacing w:val="-3"/>
        </w:rPr>
        <w:t xml:space="preserve"> </w:t>
      </w:r>
      <w:r>
        <w:t>A</w:t>
      </w:r>
      <w:r>
        <w:rPr>
          <w:spacing w:val="-3"/>
        </w:rPr>
        <w:t xml:space="preserve"> </w:t>
      </w:r>
      <w:r>
        <w:t>fixed</w:t>
      </w:r>
      <w:r>
        <w:rPr>
          <w:spacing w:val="-3"/>
        </w:rPr>
        <w:t xml:space="preserve"> </w:t>
      </w:r>
      <w:r>
        <w:t>fee</w:t>
      </w:r>
      <w:r>
        <w:rPr>
          <w:spacing w:val="-4"/>
        </w:rPr>
        <w:t xml:space="preserve"> </w:t>
      </w:r>
      <w:r>
        <w:t>per</w:t>
      </w:r>
      <w:r>
        <w:rPr>
          <w:spacing w:val="-3"/>
        </w:rPr>
        <w:t xml:space="preserve"> </w:t>
      </w:r>
      <w:r>
        <w:t>megalitre</w:t>
      </w:r>
      <w:r>
        <w:rPr>
          <w:spacing w:val="-3"/>
        </w:rPr>
        <w:t xml:space="preserve"> </w:t>
      </w:r>
      <w:r>
        <w:t>of</w:t>
      </w:r>
      <w:r>
        <w:rPr>
          <w:spacing w:val="-3"/>
        </w:rPr>
        <w:t xml:space="preserve"> </w:t>
      </w:r>
      <w:r>
        <w:t>the</w:t>
      </w:r>
      <w:r>
        <w:rPr>
          <w:spacing w:val="-4"/>
        </w:rPr>
        <w:t xml:space="preserve"> </w:t>
      </w:r>
      <w:r>
        <w:t>property’s</w:t>
      </w:r>
      <w:r>
        <w:rPr>
          <w:spacing w:val="-3"/>
        </w:rPr>
        <w:t xml:space="preserve"> </w:t>
      </w:r>
      <w:r>
        <w:t>annual</w:t>
      </w:r>
      <w:r>
        <w:rPr>
          <w:spacing w:val="-3"/>
        </w:rPr>
        <w:t xml:space="preserve"> </w:t>
      </w:r>
      <w:r>
        <w:t>use</w:t>
      </w:r>
      <w:r>
        <w:rPr>
          <w:spacing w:val="-4"/>
        </w:rPr>
        <w:t xml:space="preserve"> </w:t>
      </w:r>
      <w:r>
        <w:t>limit</w:t>
      </w:r>
      <w:r>
        <w:rPr>
          <w:spacing w:val="-3"/>
        </w:rPr>
        <w:t xml:space="preserve"> </w:t>
      </w:r>
      <w:r>
        <w:t>(AUL).</w:t>
      </w:r>
      <w:r>
        <w:rPr>
          <w:spacing w:val="-3"/>
        </w:rPr>
        <w:t xml:space="preserve"> </w:t>
      </w:r>
      <w:r>
        <w:t>This</w:t>
      </w:r>
      <w:r>
        <w:rPr>
          <w:spacing w:val="-2"/>
        </w:rPr>
        <w:t xml:space="preserve"> </w:t>
      </w:r>
      <w:r>
        <w:t>fee</w:t>
      </w:r>
      <w:r>
        <w:rPr>
          <w:spacing w:val="-4"/>
        </w:rPr>
        <w:t xml:space="preserve"> </w:t>
      </w:r>
      <w:r>
        <w:t>contributes to LMW’s fixed diversion infrastructure and maintenance costs, including service costs to manage and ensure compliance with a property’s licensing conditions.</w:t>
      </w:r>
    </w:p>
    <w:p w14:paraId="42A7D11C" w14:textId="77777777" w:rsidR="00141B97" w:rsidRDefault="00911D63">
      <w:pPr>
        <w:pStyle w:val="ListParagraph"/>
        <w:numPr>
          <w:ilvl w:val="0"/>
          <w:numId w:val="4"/>
        </w:numPr>
        <w:tabs>
          <w:tab w:val="left" w:pos="834"/>
        </w:tabs>
        <w:ind w:left="833" w:hanging="361"/>
        <w:jc w:val="both"/>
        <w:rPr>
          <w:rFonts w:ascii="Symbol" w:hAnsi="Symbol"/>
        </w:rPr>
      </w:pPr>
      <w:r>
        <w:rPr>
          <w:i/>
        </w:rPr>
        <w:t>Domestic</w:t>
      </w:r>
      <w:r>
        <w:rPr>
          <w:i/>
          <w:spacing w:val="-9"/>
        </w:rPr>
        <w:t xml:space="preserve"> </w:t>
      </w:r>
      <w:r>
        <w:rPr>
          <w:i/>
        </w:rPr>
        <w:t>and</w:t>
      </w:r>
      <w:r>
        <w:rPr>
          <w:i/>
          <w:spacing w:val="-9"/>
        </w:rPr>
        <w:t xml:space="preserve"> </w:t>
      </w:r>
      <w:r>
        <w:rPr>
          <w:i/>
        </w:rPr>
        <w:t>Stock</w:t>
      </w:r>
      <w:r>
        <w:rPr>
          <w:i/>
          <w:spacing w:val="-9"/>
        </w:rPr>
        <w:t xml:space="preserve"> </w:t>
      </w:r>
      <w:r>
        <w:rPr>
          <w:i/>
        </w:rPr>
        <w:t>Registration</w:t>
      </w:r>
      <w:r>
        <w:t>:</w:t>
      </w:r>
      <w:r>
        <w:rPr>
          <w:spacing w:val="-9"/>
        </w:rPr>
        <w:t xml:space="preserve"> </w:t>
      </w:r>
      <w:r>
        <w:t>Annual</w:t>
      </w:r>
      <w:r>
        <w:rPr>
          <w:spacing w:val="-8"/>
        </w:rPr>
        <w:t xml:space="preserve"> </w:t>
      </w:r>
      <w:r>
        <w:t>charge</w:t>
      </w:r>
      <w:r>
        <w:rPr>
          <w:spacing w:val="-9"/>
        </w:rPr>
        <w:t xml:space="preserve"> </w:t>
      </w:r>
      <w:r>
        <w:t>for</w:t>
      </w:r>
      <w:r>
        <w:rPr>
          <w:spacing w:val="-9"/>
        </w:rPr>
        <w:t xml:space="preserve"> </w:t>
      </w:r>
      <w:r>
        <w:t>stock</w:t>
      </w:r>
      <w:r>
        <w:rPr>
          <w:spacing w:val="-9"/>
        </w:rPr>
        <w:t xml:space="preserve"> </w:t>
      </w:r>
      <w:r>
        <w:t>and</w:t>
      </w:r>
      <w:r>
        <w:rPr>
          <w:spacing w:val="-10"/>
        </w:rPr>
        <w:t xml:space="preserve"> </w:t>
      </w:r>
      <w:r>
        <w:t>domestic</w:t>
      </w:r>
      <w:r>
        <w:rPr>
          <w:spacing w:val="-8"/>
        </w:rPr>
        <w:t xml:space="preserve"> </w:t>
      </w:r>
      <w:r>
        <w:t>service‐only</w:t>
      </w:r>
      <w:r>
        <w:rPr>
          <w:spacing w:val="-7"/>
        </w:rPr>
        <w:t xml:space="preserve"> </w:t>
      </w:r>
      <w:r>
        <w:rPr>
          <w:spacing w:val="-2"/>
        </w:rPr>
        <w:t>customers.</w:t>
      </w:r>
    </w:p>
    <w:p w14:paraId="3B0E04A0" w14:textId="77777777" w:rsidR="00141B97" w:rsidRDefault="00911D63">
      <w:pPr>
        <w:pStyle w:val="ListParagraph"/>
        <w:numPr>
          <w:ilvl w:val="0"/>
          <w:numId w:val="4"/>
        </w:numPr>
        <w:tabs>
          <w:tab w:val="left" w:pos="834"/>
        </w:tabs>
        <w:ind w:left="833" w:right="949"/>
        <w:jc w:val="both"/>
        <w:rPr>
          <w:rFonts w:ascii="Symbol" w:hAnsi="Symbol"/>
        </w:rPr>
      </w:pPr>
      <w:r>
        <w:rPr>
          <w:i/>
        </w:rPr>
        <w:t xml:space="preserve">Lake Cullulleraine Diversion Fee: </w:t>
      </w:r>
      <w:r>
        <w:t xml:space="preserve">A fee per megalitre for customers diverting water from Lake </w:t>
      </w:r>
      <w:r>
        <w:rPr>
          <w:spacing w:val="-2"/>
        </w:rPr>
        <w:t>Cullulleraine.</w:t>
      </w:r>
    </w:p>
    <w:p w14:paraId="23D445B8" w14:textId="77777777" w:rsidR="00141B97" w:rsidRDefault="00141B97">
      <w:pPr>
        <w:pStyle w:val="BodyText"/>
        <w:spacing w:before="12"/>
        <w:rPr>
          <w:sz w:val="21"/>
        </w:rPr>
      </w:pPr>
    </w:p>
    <w:p w14:paraId="21836449" w14:textId="77777777" w:rsidR="00141B97" w:rsidRDefault="00911D63">
      <w:pPr>
        <w:pStyle w:val="BodyText"/>
        <w:ind w:left="113"/>
        <w:jc w:val="both"/>
      </w:pPr>
      <w:r>
        <w:t>Millewa</w:t>
      </w:r>
      <w:r>
        <w:rPr>
          <w:spacing w:val="-8"/>
        </w:rPr>
        <w:t xml:space="preserve"> </w:t>
      </w:r>
      <w:r>
        <w:t>Stock</w:t>
      </w:r>
      <w:r>
        <w:rPr>
          <w:spacing w:val="-7"/>
        </w:rPr>
        <w:t xml:space="preserve"> </w:t>
      </w:r>
      <w:r>
        <w:t>and</w:t>
      </w:r>
      <w:r>
        <w:rPr>
          <w:spacing w:val="-7"/>
        </w:rPr>
        <w:t xml:space="preserve"> </w:t>
      </w:r>
      <w:r>
        <w:t>Domestic</w:t>
      </w:r>
      <w:r>
        <w:rPr>
          <w:spacing w:val="-6"/>
        </w:rPr>
        <w:t xml:space="preserve"> </w:t>
      </w:r>
      <w:r>
        <w:t>District</w:t>
      </w:r>
      <w:r>
        <w:rPr>
          <w:spacing w:val="-7"/>
        </w:rPr>
        <w:t xml:space="preserve"> </w:t>
      </w:r>
      <w:r>
        <w:t>Tariff</w:t>
      </w:r>
      <w:r>
        <w:rPr>
          <w:spacing w:val="-6"/>
        </w:rPr>
        <w:t xml:space="preserve"> </w:t>
      </w:r>
      <w:r>
        <w:rPr>
          <w:spacing w:val="-4"/>
        </w:rPr>
        <w:t>Suite</w:t>
      </w:r>
    </w:p>
    <w:p w14:paraId="48AB0016" w14:textId="77777777" w:rsidR="00141B97" w:rsidRDefault="00911D63">
      <w:pPr>
        <w:pStyle w:val="ListParagraph"/>
        <w:numPr>
          <w:ilvl w:val="0"/>
          <w:numId w:val="4"/>
        </w:numPr>
        <w:tabs>
          <w:tab w:val="left" w:pos="834"/>
        </w:tabs>
        <w:ind w:left="834" w:right="948" w:hanging="361"/>
        <w:jc w:val="both"/>
        <w:rPr>
          <w:rFonts w:ascii="Symbol" w:hAnsi="Symbol"/>
        </w:rPr>
      </w:pPr>
      <w:r>
        <w:rPr>
          <w:i/>
        </w:rPr>
        <w:t xml:space="preserve">Service Charge: </w:t>
      </w:r>
      <w:r>
        <w:t>A fixed charge per customer assessment to contribute to administration costs, applicable to both urban and rural customers.</w:t>
      </w:r>
    </w:p>
    <w:p w14:paraId="632F3557" w14:textId="77777777" w:rsidR="00141B97" w:rsidRDefault="00911D63">
      <w:pPr>
        <w:pStyle w:val="ListParagraph"/>
        <w:numPr>
          <w:ilvl w:val="0"/>
          <w:numId w:val="4"/>
        </w:numPr>
        <w:tabs>
          <w:tab w:val="left" w:pos="834"/>
        </w:tabs>
        <w:spacing w:line="280" w:lineRule="exact"/>
        <w:ind w:left="833" w:hanging="361"/>
        <w:jc w:val="both"/>
        <w:rPr>
          <w:rFonts w:ascii="Symbol" w:hAnsi="Symbol"/>
        </w:rPr>
      </w:pPr>
      <w:r>
        <w:rPr>
          <w:i/>
        </w:rPr>
        <w:t>Rural</w:t>
      </w:r>
      <w:r>
        <w:rPr>
          <w:i/>
          <w:spacing w:val="-5"/>
        </w:rPr>
        <w:t xml:space="preserve"> </w:t>
      </w:r>
      <w:r>
        <w:rPr>
          <w:i/>
        </w:rPr>
        <w:t>Access</w:t>
      </w:r>
      <w:r>
        <w:rPr>
          <w:i/>
          <w:spacing w:val="-4"/>
        </w:rPr>
        <w:t xml:space="preserve"> </w:t>
      </w:r>
      <w:r>
        <w:rPr>
          <w:i/>
        </w:rPr>
        <w:t>–</w:t>
      </w:r>
      <w:r>
        <w:rPr>
          <w:i/>
          <w:spacing w:val="-6"/>
        </w:rPr>
        <w:t xml:space="preserve"> </w:t>
      </w:r>
      <w:r>
        <w:rPr>
          <w:i/>
        </w:rPr>
        <w:t>House:</w:t>
      </w:r>
      <w:r>
        <w:rPr>
          <w:i/>
          <w:spacing w:val="-4"/>
        </w:rPr>
        <w:t xml:space="preserve"> </w:t>
      </w:r>
      <w:r>
        <w:t>Flat</w:t>
      </w:r>
      <w:r>
        <w:rPr>
          <w:spacing w:val="-5"/>
        </w:rPr>
        <w:t xml:space="preserve"> </w:t>
      </w:r>
      <w:r>
        <w:t>annual</w:t>
      </w:r>
      <w:r>
        <w:rPr>
          <w:spacing w:val="-6"/>
        </w:rPr>
        <w:t xml:space="preserve"> </w:t>
      </w:r>
      <w:r>
        <w:t>charge</w:t>
      </w:r>
      <w:r>
        <w:rPr>
          <w:spacing w:val="-5"/>
        </w:rPr>
        <w:t xml:space="preserve"> </w:t>
      </w:r>
      <w:r>
        <w:t>for</w:t>
      </w:r>
      <w:r>
        <w:rPr>
          <w:spacing w:val="-6"/>
        </w:rPr>
        <w:t xml:space="preserve"> </w:t>
      </w:r>
      <w:r>
        <w:t>water</w:t>
      </w:r>
      <w:r>
        <w:rPr>
          <w:spacing w:val="-4"/>
        </w:rPr>
        <w:t xml:space="preserve"> </w:t>
      </w:r>
      <w:r>
        <w:t>access</w:t>
      </w:r>
      <w:r>
        <w:rPr>
          <w:spacing w:val="-6"/>
        </w:rPr>
        <w:t xml:space="preserve"> </w:t>
      </w:r>
      <w:r>
        <w:t>to</w:t>
      </w:r>
      <w:r>
        <w:rPr>
          <w:spacing w:val="-6"/>
        </w:rPr>
        <w:t xml:space="preserve"> </w:t>
      </w:r>
      <w:r>
        <w:t>a</w:t>
      </w:r>
      <w:r>
        <w:rPr>
          <w:spacing w:val="-5"/>
        </w:rPr>
        <w:t xml:space="preserve"> </w:t>
      </w:r>
      <w:r>
        <w:t>house</w:t>
      </w:r>
      <w:r>
        <w:rPr>
          <w:spacing w:val="-6"/>
        </w:rPr>
        <w:t xml:space="preserve"> </w:t>
      </w:r>
      <w:r>
        <w:t>within</w:t>
      </w:r>
      <w:r>
        <w:rPr>
          <w:spacing w:val="-6"/>
        </w:rPr>
        <w:t xml:space="preserve"> </w:t>
      </w:r>
      <w:r>
        <w:t>the</w:t>
      </w:r>
      <w:r>
        <w:rPr>
          <w:spacing w:val="-4"/>
        </w:rPr>
        <w:t xml:space="preserve"> </w:t>
      </w:r>
      <w:r>
        <w:t>Rural</w:t>
      </w:r>
      <w:r>
        <w:rPr>
          <w:spacing w:val="-5"/>
        </w:rPr>
        <w:t xml:space="preserve"> </w:t>
      </w:r>
      <w:r>
        <w:rPr>
          <w:spacing w:val="-2"/>
        </w:rPr>
        <w:t>District.</w:t>
      </w:r>
    </w:p>
    <w:p w14:paraId="251E3348" w14:textId="77777777" w:rsidR="00141B97" w:rsidRDefault="00911D63">
      <w:pPr>
        <w:pStyle w:val="ListParagraph"/>
        <w:numPr>
          <w:ilvl w:val="0"/>
          <w:numId w:val="4"/>
        </w:numPr>
        <w:tabs>
          <w:tab w:val="left" w:pos="834"/>
        </w:tabs>
        <w:spacing w:before="1"/>
        <w:ind w:left="833" w:right="949"/>
        <w:jc w:val="both"/>
        <w:rPr>
          <w:rFonts w:ascii="Symbol" w:hAnsi="Symbol"/>
        </w:rPr>
      </w:pPr>
      <w:r>
        <w:rPr>
          <w:i/>
        </w:rPr>
        <w:t>Rural</w:t>
      </w:r>
      <w:r>
        <w:rPr>
          <w:i/>
          <w:spacing w:val="-5"/>
        </w:rPr>
        <w:t xml:space="preserve"> </w:t>
      </w:r>
      <w:r>
        <w:rPr>
          <w:i/>
        </w:rPr>
        <w:t>Access</w:t>
      </w:r>
      <w:r>
        <w:rPr>
          <w:i/>
          <w:spacing w:val="-5"/>
        </w:rPr>
        <w:t xml:space="preserve"> </w:t>
      </w:r>
      <w:r>
        <w:rPr>
          <w:i/>
        </w:rPr>
        <w:t>–</w:t>
      </w:r>
      <w:r>
        <w:rPr>
          <w:i/>
          <w:spacing w:val="-5"/>
        </w:rPr>
        <w:t xml:space="preserve"> </w:t>
      </w:r>
      <w:r>
        <w:rPr>
          <w:i/>
        </w:rPr>
        <w:t>Scrub:</w:t>
      </w:r>
      <w:r>
        <w:rPr>
          <w:i/>
          <w:spacing w:val="-5"/>
        </w:rPr>
        <w:t xml:space="preserve"> </w:t>
      </w:r>
      <w:r>
        <w:t>Based</w:t>
      </w:r>
      <w:r>
        <w:rPr>
          <w:spacing w:val="-5"/>
        </w:rPr>
        <w:t xml:space="preserve"> </w:t>
      </w:r>
      <w:r>
        <w:t>on</w:t>
      </w:r>
      <w:r>
        <w:rPr>
          <w:spacing w:val="-5"/>
        </w:rPr>
        <w:t xml:space="preserve"> </w:t>
      </w:r>
      <w:r>
        <w:t>the</w:t>
      </w:r>
      <w:r>
        <w:rPr>
          <w:spacing w:val="-5"/>
        </w:rPr>
        <w:t xml:space="preserve"> </w:t>
      </w:r>
      <w:r>
        <w:t>property’s</w:t>
      </w:r>
      <w:r>
        <w:rPr>
          <w:spacing w:val="-5"/>
        </w:rPr>
        <w:t xml:space="preserve"> </w:t>
      </w:r>
      <w:r>
        <w:t>defined</w:t>
      </w:r>
      <w:r>
        <w:rPr>
          <w:spacing w:val="-5"/>
        </w:rPr>
        <w:t xml:space="preserve"> </w:t>
      </w:r>
      <w:r>
        <w:t>level</w:t>
      </w:r>
      <w:r>
        <w:rPr>
          <w:spacing w:val="-5"/>
        </w:rPr>
        <w:t xml:space="preserve"> </w:t>
      </w:r>
      <w:r>
        <w:t>of</w:t>
      </w:r>
      <w:r>
        <w:rPr>
          <w:spacing w:val="-4"/>
        </w:rPr>
        <w:t xml:space="preserve"> </w:t>
      </w:r>
      <w:r>
        <w:t>access</w:t>
      </w:r>
      <w:r>
        <w:rPr>
          <w:spacing w:val="-5"/>
        </w:rPr>
        <w:t xml:space="preserve"> </w:t>
      </w:r>
      <w:r>
        <w:t>to</w:t>
      </w:r>
      <w:r>
        <w:rPr>
          <w:spacing w:val="-5"/>
        </w:rPr>
        <w:t xml:space="preserve"> </w:t>
      </w:r>
      <w:r>
        <w:t>the</w:t>
      </w:r>
      <w:r>
        <w:rPr>
          <w:spacing w:val="-5"/>
        </w:rPr>
        <w:t xml:space="preserve"> </w:t>
      </w:r>
      <w:r>
        <w:t>infrastructure</w:t>
      </w:r>
      <w:r>
        <w:rPr>
          <w:spacing w:val="-5"/>
        </w:rPr>
        <w:t xml:space="preserve"> </w:t>
      </w:r>
      <w:r>
        <w:t>based</w:t>
      </w:r>
      <w:r>
        <w:rPr>
          <w:spacing w:val="-5"/>
        </w:rPr>
        <w:t xml:space="preserve"> </w:t>
      </w:r>
      <w:r>
        <w:t>on</w:t>
      </w:r>
      <w:r>
        <w:rPr>
          <w:spacing w:val="-5"/>
        </w:rPr>
        <w:t xml:space="preserve"> </w:t>
      </w:r>
      <w:r>
        <w:t xml:space="preserve">the </w:t>
      </w:r>
      <w:r>
        <w:rPr>
          <w:spacing w:val="-2"/>
        </w:rPr>
        <w:t>number</w:t>
      </w:r>
      <w:r>
        <w:rPr>
          <w:spacing w:val="-4"/>
        </w:rPr>
        <w:t xml:space="preserve"> </w:t>
      </w:r>
      <w:r>
        <w:rPr>
          <w:spacing w:val="-2"/>
        </w:rPr>
        <w:t>of hectares</w:t>
      </w:r>
      <w:r>
        <w:rPr>
          <w:spacing w:val="-3"/>
        </w:rPr>
        <w:t xml:space="preserve"> </w:t>
      </w:r>
      <w:r>
        <w:rPr>
          <w:spacing w:val="-2"/>
        </w:rPr>
        <w:t>with</w:t>
      </w:r>
      <w:r>
        <w:rPr>
          <w:spacing w:val="-3"/>
        </w:rPr>
        <w:t xml:space="preserve"> </w:t>
      </w:r>
      <w:r>
        <w:rPr>
          <w:spacing w:val="-2"/>
        </w:rPr>
        <w:t>scrub</w:t>
      </w:r>
      <w:r>
        <w:rPr>
          <w:spacing w:val="-4"/>
        </w:rPr>
        <w:t xml:space="preserve"> </w:t>
      </w:r>
      <w:r>
        <w:rPr>
          <w:spacing w:val="-2"/>
        </w:rPr>
        <w:t>land.</w:t>
      </w:r>
      <w:r>
        <w:rPr>
          <w:spacing w:val="-3"/>
        </w:rPr>
        <w:t xml:space="preserve"> </w:t>
      </w:r>
      <w:r>
        <w:rPr>
          <w:spacing w:val="-2"/>
        </w:rPr>
        <w:t>This fee</w:t>
      </w:r>
      <w:r>
        <w:rPr>
          <w:spacing w:val="-4"/>
        </w:rPr>
        <w:t xml:space="preserve"> </w:t>
      </w:r>
      <w:r>
        <w:rPr>
          <w:spacing w:val="-2"/>
        </w:rPr>
        <w:t>contributes</w:t>
      </w:r>
      <w:r>
        <w:rPr>
          <w:spacing w:val="-3"/>
        </w:rPr>
        <w:t xml:space="preserve"> </w:t>
      </w:r>
      <w:r>
        <w:rPr>
          <w:spacing w:val="-2"/>
        </w:rPr>
        <w:t>to LMW’s</w:t>
      </w:r>
      <w:r>
        <w:rPr>
          <w:spacing w:val="-3"/>
        </w:rPr>
        <w:t xml:space="preserve"> </w:t>
      </w:r>
      <w:r>
        <w:rPr>
          <w:spacing w:val="-2"/>
        </w:rPr>
        <w:t>fixed</w:t>
      </w:r>
      <w:r>
        <w:rPr>
          <w:spacing w:val="-3"/>
        </w:rPr>
        <w:t xml:space="preserve"> </w:t>
      </w:r>
      <w:r>
        <w:rPr>
          <w:spacing w:val="-2"/>
        </w:rPr>
        <w:t>infrastructure</w:t>
      </w:r>
      <w:r>
        <w:rPr>
          <w:spacing w:val="-4"/>
        </w:rPr>
        <w:t xml:space="preserve"> </w:t>
      </w:r>
      <w:r>
        <w:rPr>
          <w:spacing w:val="-2"/>
        </w:rPr>
        <w:t>and</w:t>
      </w:r>
      <w:r>
        <w:rPr>
          <w:spacing w:val="-3"/>
        </w:rPr>
        <w:t xml:space="preserve"> </w:t>
      </w:r>
      <w:r>
        <w:rPr>
          <w:spacing w:val="-2"/>
        </w:rPr>
        <w:t>maintenance costs.</w:t>
      </w:r>
    </w:p>
    <w:p w14:paraId="12A2217C" w14:textId="77777777" w:rsidR="00141B97" w:rsidRDefault="00911D63">
      <w:pPr>
        <w:pStyle w:val="ListParagraph"/>
        <w:numPr>
          <w:ilvl w:val="0"/>
          <w:numId w:val="4"/>
        </w:numPr>
        <w:tabs>
          <w:tab w:val="left" w:pos="834"/>
        </w:tabs>
        <w:ind w:left="833" w:right="949"/>
        <w:jc w:val="both"/>
        <w:rPr>
          <w:rFonts w:ascii="Symbol" w:hAnsi="Symbol"/>
        </w:rPr>
      </w:pPr>
      <w:r>
        <w:rPr>
          <w:i/>
        </w:rPr>
        <w:t xml:space="preserve">Rural Access – Stocked: </w:t>
      </w:r>
      <w:r>
        <w:t>Based on the property’s defined level of access to the infrastructure based on the number of hectares that is cleared and can be stocked (graze sheep/cows). This fee contributes to LMW’s fixed infrastructure and maintenance costs.</w:t>
      </w:r>
    </w:p>
    <w:p w14:paraId="70EB3ABB" w14:textId="77777777" w:rsidR="00141B97" w:rsidRDefault="00911D63">
      <w:pPr>
        <w:pStyle w:val="ListParagraph"/>
        <w:numPr>
          <w:ilvl w:val="0"/>
          <w:numId w:val="4"/>
        </w:numPr>
        <w:tabs>
          <w:tab w:val="left" w:pos="834"/>
        </w:tabs>
        <w:ind w:left="833" w:right="949" w:hanging="361"/>
        <w:jc w:val="both"/>
        <w:rPr>
          <w:rFonts w:ascii="Symbol" w:hAnsi="Symbol"/>
        </w:rPr>
      </w:pPr>
      <w:r>
        <w:rPr>
          <w:i/>
        </w:rPr>
        <w:t>Delivery</w:t>
      </w:r>
      <w:r>
        <w:rPr>
          <w:i/>
          <w:spacing w:val="-4"/>
        </w:rPr>
        <w:t xml:space="preserve"> </w:t>
      </w:r>
      <w:r>
        <w:rPr>
          <w:i/>
        </w:rPr>
        <w:t>–</w:t>
      </w:r>
      <w:r>
        <w:rPr>
          <w:i/>
          <w:spacing w:val="-3"/>
        </w:rPr>
        <w:t xml:space="preserve"> </w:t>
      </w:r>
      <w:r>
        <w:rPr>
          <w:i/>
        </w:rPr>
        <w:t>Rural:</w:t>
      </w:r>
      <w:r>
        <w:rPr>
          <w:i/>
          <w:spacing w:val="-4"/>
        </w:rPr>
        <w:t xml:space="preserve"> </w:t>
      </w:r>
      <w:r>
        <w:t>Based</w:t>
      </w:r>
      <w:r>
        <w:rPr>
          <w:spacing w:val="-3"/>
        </w:rPr>
        <w:t xml:space="preserve"> </w:t>
      </w:r>
      <w:r>
        <w:t>on</w:t>
      </w:r>
      <w:r>
        <w:rPr>
          <w:spacing w:val="-3"/>
        </w:rPr>
        <w:t xml:space="preserve"> </w:t>
      </w:r>
      <w:r>
        <w:t>the</w:t>
      </w:r>
      <w:r>
        <w:rPr>
          <w:spacing w:val="-5"/>
        </w:rPr>
        <w:t xml:space="preserve"> </w:t>
      </w:r>
      <w:r>
        <w:t>metered</w:t>
      </w:r>
      <w:r>
        <w:rPr>
          <w:spacing w:val="-5"/>
        </w:rPr>
        <w:t xml:space="preserve"> </w:t>
      </w:r>
      <w:r>
        <w:t>volume</w:t>
      </w:r>
      <w:r>
        <w:rPr>
          <w:spacing w:val="-4"/>
        </w:rPr>
        <w:t xml:space="preserve"> </w:t>
      </w:r>
      <w:r>
        <w:t>of</w:t>
      </w:r>
      <w:r>
        <w:rPr>
          <w:spacing w:val="-4"/>
        </w:rPr>
        <w:t xml:space="preserve"> </w:t>
      </w:r>
      <w:r>
        <w:t>water</w:t>
      </w:r>
      <w:r>
        <w:rPr>
          <w:spacing w:val="-5"/>
        </w:rPr>
        <w:t xml:space="preserve"> </w:t>
      </w:r>
      <w:r>
        <w:t>delivered</w:t>
      </w:r>
      <w:r>
        <w:rPr>
          <w:spacing w:val="-4"/>
        </w:rPr>
        <w:t xml:space="preserve"> </w:t>
      </w:r>
      <w:r>
        <w:t>to</w:t>
      </w:r>
      <w:r>
        <w:rPr>
          <w:spacing w:val="-5"/>
        </w:rPr>
        <w:t xml:space="preserve"> </w:t>
      </w:r>
      <w:r>
        <w:t>the</w:t>
      </w:r>
      <w:r>
        <w:rPr>
          <w:spacing w:val="-4"/>
        </w:rPr>
        <w:t xml:space="preserve"> </w:t>
      </w:r>
      <w:r>
        <w:t>property.</w:t>
      </w:r>
      <w:r>
        <w:rPr>
          <w:spacing w:val="-4"/>
        </w:rPr>
        <w:t xml:space="preserve"> </w:t>
      </w:r>
      <w:r>
        <w:t>This</w:t>
      </w:r>
      <w:r>
        <w:rPr>
          <w:spacing w:val="-3"/>
        </w:rPr>
        <w:t xml:space="preserve"> </w:t>
      </w:r>
      <w:r>
        <w:t>fee</w:t>
      </w:r>
      <w:r>
        <w:rPr>
          <w:spacing w:val="-5"/>
        </w:rPr>
        <w:t xml:space="preserve"> </w:t>
      </w:r>
      <w:r>
        <w:t>contributes to the cost of supply for each kilolitre delivered.</w:t>
      </w:r>
    </w:p>
    <w:p w14:paraId="0B3909FA" w14:textId="77777777" w:rsidR="00141B97" w:rsidRDefault="00911D63">
      <w:pPr>
        <w:pStyle w:val="ListParagraph"/>
        <w:numPr>
          <w:ilvl w:val="0"/>
          <w:numId w:val="4"/>
        </w:numPr>
        <w:tabs>
          <w:tab w:val="left" w:pos="834"/>
        </w:tabs>
        <w:spacing w:line="280" w:lineRule="exact"/>
        <w:ind w:left="834"/>
        <w:jc w:val="both"/>
        <w:rPr>
          <w:rFonts w:ascii="Symbol" w:hAnsi="Symbol"/>
        </w:rPr>
      </w:pPr>
      <w:r>
        <w:rPr>
          <w:i/>
        </w:rPr>
        <w:t>Urban</w:t>
      </w:r>
      <w:r>
        <w:rPr>
          <w:i/>
          <w:spacing w:val="-6"/>
        </w:rPr>
        <w:t xml:space="preserve"> </w:t>
      </w:r>
      <w:r>
        <w:rPr>
          <w:i/>
        </w:rPr>
        <w:t>Access</w:t>
      </w:r>
      <w:r>
        <w:rPr>
          <w:i/>
          <w:spacing w:val="-5"/>
        </w:rPr>
        <w:t xml:space="preserve"> </w:t>
      </w:r>
      <w:r>
        <w:rPr>
          <w:i/>
        </w:rPr>
        <w:t>–</w:t>
      </w:r>
      <w:r>
        <w:rPr>
          <w:i/>
          <w:spacing w:val="-5"/>
        </w:rPr>
        <w:t xml:space="preserve"> </w:t>
      </w:r>
      <w:r>
        <w:rPr>
          <w:i/>
        </w:rPr>
        <w:t>House:</w:t>
      </w:r>
      <w:r>
        <w:rPr>
          <w:i/>
          <w:spacing w:val="-6"/>
        </w:rPr>
        <w:t xml:space="preserve"> </w:t>
      </w:r>
      <w:r>
        <w:t>Flat</w:t>
      </w:r>
      <w:r>
        <w:rPr>
          <w:spacing w:val="-5"/>
        </w:rPr>
        <w:t xml:space="preserve"> </w:t>
      </w:r>
      <w:r>
        <w:t>annual</w:t>
      </w:r>
      <w:r>
        <w:rPr>
          <w:spacing w:val="-5"/>
        </w:rPr>
        <w:t xml:space="preserve"> </w:t>
      </w:r>
      <w:r>
        <w:t>charge</w:t>
      </w:r>
      <w:r>
        <w:rPr>
          <w:spacing w:val="-6"/>
        </w:rPr>
        <w:t xml:space="preserve"> </w:t>
      </w:r>
      <w:r>
        <w:t>for</w:t>
      </w:r>
      <w:r>
        <w:rPr>
          <w:spacing w:val="-6"/>
        </w:rPr>
        <w:t xml:space="preserve"> </w:t>
      </w:r>
      <w:r>
        <w:t>water</w:t>
      </w:r>
      <w:r>
        <w:rPr>
          <w:spacing w:val="-5"/>
        </w:rPr>
        <w:t xml:space="preserve"> </w:t>
      </w:r>
      <w:r>
        <w:t>access</w:t>
      </w:r>
      <w:r>
        <w:rPr>
          <w:spacing w:val="-5"/>
        </w:rPr>
        <w:t xml:space="preserve"> </w:t>
      </w:r>
      <w:r>
        <w:t>to</w:t>
      </w:r>
      <w:r>
        <w:rPr>
          <w:spacing w:val="-7"/>
        </w:rPr>
        <w:t xml:space="preserve"> </w:t>
      </w:r>
      <w:r>
        <w:t>a</w:t>
      </w:r>
      <w:r>
        <w:rPr>
          <w:spacing w:val="-5"/>
        </w:rPr>
        <w:t xml:space="preserve"> </w:t>
      </w:r>
      <w:r>
        <w:t>house</w:t>
      </w:r>
      <w:r>
        <w:rPr>
          <w:spacing w:val="-6"/>
        </w:rPr>
        <w:t xml:space="preserve"> </w:t>
      </w:r>
      <w:r>
        <w:t>within</w:t>
      </w:r>
      <w:r>
        <w:rPr>
          <w:spacing w:val="-7"/>
        </w:rPr>
        <w:t xml:space="preserve"> </w:t>
      </w:r>
      <w:r>
        <w:t>the</w:t>
      </w:r>
      <w:r>
        <w:rPr>
          <w:spacing w:val="-4"/>
        </w:rPr>
        <w:t xml:space="preserve"> </w:t>
      </w:r>
      <w:r>
        <w:t>Urban</w:t>
      </w:r>
      <w:r>
        <w:rPr>
          <w:spacing w:val="-6"/>
        </w:rPr>
        <w:t xml:space="preserve"> </w:t>
      </w:r>
      <w:r>
        <w:rPr>
          <w:spacing w:val="-2"/>
        </w:rPr>
        <w:t>District.</w:t>
      </w:r>
    </w:p>
    <w:p w14:paraId="264080FB" w14:textId="77777777" w:rsidR="00141B97" w:rsidRDefault="00911D63">
      <w:pPr>
        <w:pStyle w:val="ListParagraph"/>
        <w:numPr>
          <w:ilvl w:val="0"/>
          <w:numId w:val="4"/>
        </w:numPr>
        <w:tabs>
          <w:tab w:val="left" w:pos="834"/>
        </w:tabs>
        <w:ind w:left="834" w:right="950" w:hanging="361"/>
        <w:jc w:val="both"/>
        <w:rPr>
          <w:rFonts w:ascii="Symbol" w:hAnsi="Symbol"/>
        </w:rPr>
      </w:pPr>
      <w:r>
        <w:rPr>
          <w:i/>
        </w:rPr>
        <w:t>Delivery</w:t>
      </w:r>
      <w:r>
        <w:rPr>
          <w:i/>
          <w:spacing w:val="-9"/>
        </w:rPr>
        <w:t xml:space="preserve"> </w:t>
      </w:r>
      <w:r>
        <w:rPr>
          <w:i/>
        </w:rPr>
        <w:t>–</w:t>
      </w:r>
      <w:r>
        <w:rPr>
          <w:i/>
          <w:spacing w:val="-9"/>
        </w:rPr>
        <w:t xml:space="preserve"> </w:t>
      </w:r>
      <w:r>
        <w:rPr>
          <w:i/>
        </w:rPr>
        <w:t>Urban:</w:t>
      </w:r>
      <w:r>
        <w:rPr>
          <w:i/>
          <w:spacing w:val="-11"/>
        </w:rPr>
        <w:t xml:space="preserve"> </w:t>
      </w:r>
      <w:r>
        <w:t>Based</w:t>
      </w:r>
      <w:r>
        <w:rPr>
          <w:spacing w:val="-9"/>
        </w:rPr>
        <w:t xml:space="preserve"> </w:t>
      </w:r>
      <w:r>
        <w:t>on</w:t>
      </w:r>
      <w:r>
        <w:rPr>
          <w:spacing w:val="-8"/>
        </w:rPr>
        <w:t xml:space="preserve"> </w:t>
      </w:r>
      <w:r>
        <w:t>the</w:t>
      </w:r>
      <w:r>
        <w:rPr>
          <w:spacing w:val="-10"/>
        </w:rPr>
        <w:t xml:space="preserve"> </w:t>
      </w:r>
      <w:r>
        <w:t>metered</w:t>
      </w:r>
      <w:r>
        <w:rPr>
          <w:spacing w:val="-8"/>
        </w:rPr>
        <w:t xml:space="preserve"> </w:t>
      </w:r>
      <w:r>
        <w:t>volume</w:t>
      </w:r>
      <w:r>
        <w:rPr>
          <w:spacing w:val="-11"/>
        </w:rPr>
        <w:t xml:space="preserve"> </w:t>
      </w:r>
      <w:r>
        <w:t>of</w:t>
      </w:r>
      <w:r>
        <w:rPr>
          <w:spacing w:val="-9"/>
        </w:rPr>
        <w:t xml:space="preserve"> </w:t>
      </w:r>
      <w:r>
        <w:t>water</w:t>
      </w:r>
      <w:r>
        <w:rPr>
          <w:spacing w:val="-9"/>
        </w:rPr>
        <w:t xml:space="preserve"> </w:t>
      </w:r>
      <w:r>
        <w:t>delivered</w:t>
      </w:r>
      <w:r>
        <w:rPr>
          <w:spacing w:val="-8"/>
        </w:rPr>
        <w:t xml:space="preserve"> </w:t>
      </w:r>
      <w:r>
        <w:t>to</w:t>
      </w:r>
      <w:r>
        <w:rPr>
          <w:spacing w:val="-10"/>
        </w:rPr>
        <w:t xml:space="preserve"> </w:t>
      </w:r>
      <w:r>
        <w:t>the</w:t>
      </w:r>
      <w:r>
        <w:rPr>
          <w:spacing w:val="-10"/>
        </w:rPr>
        <w:t xml:space="preserve"> </w:t>
      </w:r>
      <w:r>
        <w:t>property.</w:t>
      </w:r>
      <w:r>
        <w:rPr>
          <w:spacing w:val="-10"/>
        </w:rPr>
        <w:t xml:space="preserve"> </w:t>
      </w:r>
      <w:r>
        <w:t>This</w:t>
      </w:r>
      <w:r>
        <w:rPr>
          <w:spacing w:val="-8"/>
        </w:rPr>
        <w:t xml:space="preserve"> </w:t>
      </w:r>
      <w:r>
        <w:t>fee</w:t>
      </w:r>
      <w:r>
        <w:rPr>
          <w:spacing w:val="-10"/>
        </w:rPr>
        <w:t xml:space="preserve"> </w:t>
      </w:r>
      <w:r>
        <w:t>contributes to the cost of supply for each kilolitre delivered.</w:t>
      </w:r>
    </w:p>
    <w:p w14:paraId="13A0E9C3" w14:textId="77777777" w:rsidR="00141B97" w:rsidRDefault="00141B97">
      <w:pPr>
        <w:pStyle w:val="BodyText"/>
        <w:spacing w:before="12"/>
        <w:rPr>
          <w:sz w:val="21"/>
        </w:rPr>
      </w:pPr>
    </w:p>
    <w:p w14:paraId="1F34A9BF" w14:textId="77777777" w:rsidR="00141B97" w:rsidRDefault="00911D63">
      <w:pPr>
        <w:pStyle w:val="BodyText"/>
        <w:spacing w:line="268" w:lineRule="exact"/>
        <w:ind w:left="114"/>
        <w:jc w:val="both"/>
      </w:pPr>
      <w:r>
        <w:t>Water</w:t>
      </w:r>
      <w:r>
        <w:rPr>
          <w:spacing w:val="-7"/>
        </w:rPr>
        <w:t xml:space="preserve"> </w:t>
      </w:r>
      <w:r>
        <w:t>Works</w:t>
      </w:r>
      <w:r>
        <w:rPr>
          <w:spacing w:val="-6"/>
        </w:rPr>
        <w:t xml:space="preserve"> </w:t>
      </w:r>
      <w:r>
        <w:rPr>
          <w:spacing w:val="-2"/>
        </w:rPr>
        <w:t>District</w:t>
      </w:r>
    </w:p>
    <w:p w14:paraId="4260B7F0" w14:textId="77777777" w:rsidR="00141B97" w:rsidRDefault="00911D63">
      <w:pPr>
        <w:pStyle w:val="ListParagraph"/>
        <w:numPr>
          <w:ilvl w:val="0"/>
          <w:numId w:val="4"/>
        </w:numPr>
        <w:tabs>
          <w:tab w:val="left" w:pos="823"/>
          <w:tab w:val="left" w:pos="824"/>
        </w:tabs>
        <w:ind w:left="823" w:hanging="400"/>
        <w:rPr>
          <w:rFonts w:ascii="Symbol" w:hAnsi="Symbol"/>
          <w:sz w:val="24"/>
        </w:rPr>
      </w:pPr>
      <w:r>
        <w:rPr>
          <w:i/>
        </w:rPr>
        <w:t>Service</w:t>
      </w:r>
      <w:r>
        <w:rPr>
          <w:i/>
          <w:spacing w:val="-8"/>
        </w:rPr>
        <w:t xml:space="preserve"> </w:t>
      </w:r>
      <w:r>
        <w:rPr>
          <w:i/>
        </w:rPr>
        <w:t>Charge:</w:t>
      </w:r>
      <w:r>
        <w:rPr>
          <w:i/>
          <w:spacing w:val="-7"/>
        </w:rPr>
        <w:t xml:space="preserve"> </w:t>
      </w:r>
      <w:r>
        <w:t>A</w:t>
      </w:r>
      <w:r>
        <w:rPr>
          <w:spacing w:val="-7"/>
        </w:rPr>
        <w:t xml:space="preserve"> </w:t>
      </w:r>
      <w:r>
        <w:t>fixed</w:t>
      </w:r>
      <w:r>
        <w:rPr>
          <w:spacing w:val="-7"/>
        </w:rPr>
        <w:t xml:space="preserve"> </w:t>
      </w:r>
      <w:r>
        <w:t>charge</w:t>
      </w:r>
      <w:r>
        <w:rPr>
          <w:spacing w:val="-8"/>
        </w:rPr>
        <w:t xml:space="preserve"> </w:t>
      </w:r>
      <w:r>
        <w:t>per</w:t>
      </w:r>
      <w:r>
        <w:rPr>
          <w:spacing w:val="-6"/>
        </w:rPr>
        <w:t xml:space="preserve"> </w:t>
      </w:r>
      <w:r>
        <w:t>customer</w:t>
      </w:r>
      <w:r>
        <w:rPr>
          <w:spacing w:val="-6"/>
        </w:rPr>
        <w:t xml:space="preserve"> </w:t>
      </w:r>
      <w:r>
        <w:t>assessment</w:t>
      </w:r>
      <w:r>
        <w:rPr>
          <w:spacing w:val="-8"/>
        </w:rPr>
        <w:t xml:space="preserve"> </w:t>
      </w:r>
      <w:r>
        <w:t>to</w:t>
      </w:r>
      <w:r>
        <w:rPr>
          <w:spacing w:val="-6"/>
        </w:rPr>
        <w:t xml:space="preserve"> </w:t>
      </w:r>
      <w:r>
        <w:t>contribute</w:t>
      </w:r>
      <w:r>
        <w:rPr>
          <w:spacing w:val="-6"/>
        </w:rPr>
        <w:t xml:space="preserve"> </w:t>
      </w:r>
      <w:r>
        <w:t>to</w:t>
      </w:r>
      <w:r>
        <w:rPr>
          <w:spacing w:val="-7"/>
        </w:rPr>
        <w:t xml:space="preserve"> </w:t>
      </w:r>
      <w:r>
        <w:t>administration</w:t>
      </w:r>
      <w:r>
        <w:rPr>
          <w:spacing w:val="-7"/>
        </w:rPr>
        <w:t xml:space="preserve"> </w:t>
      </w:r>
      <w:r>
        <w:rPr>
          <w:spacing w:val="-2"/>
        </w:rPr>
        <w:t>costs.</w:t>
      </w:r>
    </w:p>
    <w:p w14:paraId="137D4AD5" w14:textId="77777777" w:rsidR="00141B97" w:rsidRDefault="00911D63">
      <w:pPr>
        <w:pStyle w:val="ListParagraph"/>
        <w:numPr>
          <w:ilvl w:val="0"/>
          <w:numId w:val="4"/>
        </w:numPr>
        <w:tabs>
          <w:tab w:val="left" w:pos="823"/>
          <w:tab w:val="left" w:pos="824"/>
        </w:tabs>
        <w:ind w:left="823" w:right="947" w:hanging="399"/>
        <w:rPr>
          <w:rFonts w:ascii="Symbol" w:hAnsi="Symbol"/>
          <w:sz w:val="24"/>
        </w:rPr>
      </w:pPr>
      <w:r>
        <w:rPr>
          <w:i/>
        </w:rPr>
        <w:t>Connection</w:t>
      </w:r>
      <w:r>
        <w:rPr>
          <w:i/>
          <w:spacing w:val="-8"/>
        </w:rPr>
        <w:t xml:space="preserve"> </w:t>
      </w:r>
      <w:r>
        <w:rPr>
          <w:i/>
        </w:rPr>
        <w:t>Charge:</w:t>
      </w:r>
      <w:r>
        <w:rPr>
          <w:i/>
          <w:spacing w:val="-8"/>
        </w:rPr>
        <w:t xml:space="preserve"> </w:t>
      </w:r>
      <w:r>
        <w:t>A</w:t>
      </w:r>
      <w:r>
        <w:rPr>
          <w:spacing w:val="-8"/>
        </w:rPr>
        <w:t xml:space="preserve"> </w:t>
      </w:r>
      <w:r>
        <w:t>flat</w:t>
      </w:r>
      <w:r>
        <w:rPr>
          <w:spacing w:val="-8"/>
        </w:rPr>
        <w:t xml:space="preserve"> </w:t>
      </w:r>
      <w:r>
        <w:t>annual</w:t>
      </w:r>
      <w:r>
        <w:rPr>
          <w:spacing w:val="-9"/>
        </w:rPr>
        <w:t xml:space="preserve"> </w:t>
      </w:r>
      <w:r>
        <w:t>charge</w:t>
      </w:r>
      <w:r>
        <w:rPr>
          <w:spacing w:val="-7"/>
        </w:rPr>
        <w:t xml:space="preserve"> </w:t>
      </w:r>
      <w:r>
        <w:t>for</w:t>
      </w:r>
      <w:r>
        <w:rPr>
          <w:spacing w:val="-8"/>
        </w:rPr>
        <w:t xml:space="preserve"> </w:t>
      </w:r>
      <w:r>
        <w:t>access</w:t>
      </w:r>
      <w:r>
        <w:rPr>
          <w:spacing w:val="-8"/>
        </w:rPr>
        <w:t xml:space="preserve"> </w:t>
      </w:r>
      <w:r>
        <w:t>to</w:t>
      </w:r>
      <w:r>
        <w:rPr>
          <w:spacing w:val="-8"/>
        </w:rPr>
        <w:t xml:space="preserve"> </w:t>
      </w:r>
      <w:r>
        <w:t>the</w:t>
      </w:r>
      <w:r>
        <w:rPr>
          <w:spacing w:val="-8"/>
        </w:rPr>
        <w:t xml:space="preserve"> </w:t>
      </w:r>
      <w:r>
        <w:t>delivery</w:t>
      </w:r>
      <w:r>
        <w:rPr>
          <w:spacing w:val="-8"/>
        </w:rPr>
        <w:t xml:space="preserve"> </w:t>
      </w:r>
      <w:r>
        <w:t>infrastructure.</w:t>
      </w:r>
      <w:r>
        <w:rPr>
          <w:spacing w:val="-7"/>
        </w:rPr>
        <w:t xml:space="preserve"> </w:t>
      </w:r>
      <w:r>
        <w:t>This</w:t>
      </w:r>
      <w:r>
        <w:rPr>
          <w:spacing w:val="-7"/>
        </w:rPr>
        <w:t xml:space="preserve"> </w:t>
      </w:r>
      <w:r>
        <w:t>fee</w:t>
      </w:r>
      <w:r>
        <w:rPr>
          <w:spacing w:val="-8"/>
        </w:rPr>
        <w:t xml:space="preserve"> </w:t>
      </w:r>
      <w:r>
        <w:t>contributes</w:t>
      </w:r>
      <w:r>
        <w:rPr>
          <w:spacing w:val="-8"/>
        </w:rPr>
        <w:t xml:space="preserve"> </w:t>
      </w:r>
      <w:r>
        <w:t>to LMW’s fixed infrastructure and maintenance costs.</w:t>
      </w:r>
    </w:p>
    <w:p w14:paraId="48AC7C49" w14:textId="77777777" w:rsidR="00141B97" w:rsidRDefault="00911D63">
      <w:pPr>
        <w:pStyle w:val="ListParagraph"/>
        <w:numPr>
          <w:ilvl w:val="0"/>
          <w:numId w:val="4"/>
        </w:numPr>
        <w:tabs>
          <w:tab w:val="left" w:pos="823"/>
          <w:tab w:val="left" w:pos="824"/>
        </w:tabs>
        <w:ind w:left="823" w:right="951" w:hanging="399"/>
        <w:rPr>
          <w:rFonts w:ascii="Symbol" w:hAnsi="Symbol"/>
          <w:sz w:val="24"/>
        </w:rPr>
      </w:pPr>
      <w:r>
        <w:rPr>
          <w:i/>
        </w:rPr>
        <w:t xml:space="preserve">Usage Charge: </w:t>
      </w:r>
      <w:r>
        <w:t>Based on the metered volume of water delivered to the property. This fee contributes to the cost of supply for each megalitre delivered.</w:t>
      </w:r>
    </w:p>
    <w:p w14:paraId="1C28CB1F" w14:textId="77777777" w:rsidR="00141B97" w:rsidRDefault="00141B97">
      <w:pPr>
        <w:pStyle w:val="BodyText"/>
        <w:spacing w:before="8"/>
        <w:rPr>
          <w:sz w:val="20"/>
        </w:rPr>
      </w:pPr>
    </w:p>
    <w:p w14:paraId="64052C7E" w14:textId="77777777" w:rsidR="00141B97" w:rsidRDefault="00911D63">
      <w:pPr>
        <w:pStyle w:val="ListParagraph"/>
        <w:numPr>
          <w:ilvl w:val="2"/>
          <w:numId w:val="37"/>
        </w:numPr>
        <w:tabs>
          <w:tab w:val="left" w:pos="1112"/>
          <w:tab w:val="left" w:pos="1113"/>
        </w:tabs>
        <w:spacing w:before="1"/>
        <w:ind w:left="1112"/>
      </w:pPr>
      <w:r>
        <w:t>Proposed</w:t>
      </w:r>
      <w:r>
        <w:rPr>
          <w:spacing w:val="-10"/>
        </w:rPr>
        <w:t xml:space="preserve"> </w:t>
      </w:r>
      <w:r>
        <w:rPr>
          <w:spacing w:val="-2"/>
        </w:rPr>
        <w:t>Tariffs</w:t>
      </w:r>
    </w:p>
    <w:p w14:paraId="3588BB82" w14:textId="77777777" w:rsidR="00141B97" w:rsidRDefault="00911D63">
      <w:pPr>
        <w:pStyle w:val="BodyText"/>
        <w:spacing w:before="59"/>
        <w:ind w:left="114" w:right="812" w:hanging="1"/>
      </w:pPr>
      <w:r>
        <w:t>Table</w:t>
      </w:r>
      <w:r>
        <w:rPr>
          <w:spacing w:val="-13"/>
        </w:rPr>
        <w:t xml:space="preserve"> </w:t>
      </w:r>
      <w:r>
        <w:t>C30</w:t>
      </w:r>
      <w:r>
        <w:rPr>
          <w:spacing w:val="-12"/>
        </w:rPr>
        <w:t xml:space="preserve"> </w:t>
      </w:r>
      <w:r>
        <w:t>overleaf</w:t>
      </w:r>
      <w:r>
        <w:rPr>
          <w:spacing w:val="-13"/>
        </w:rPr>
        <w:t xml:space="preserve"> </w:t>
      </w:r>
      <w:r>
        <w:t>details</w:t>
      </w:r>
      <w:r>
        <w:rPr>
          <w:spacing w:val="-12"/>
        </w:rPr>
        <w:t xml:space="preserve"> </w:t>
      </w:r>
      <w:r>
        <w:t>the</w:t>
      </w:r>
      <w:r>
        <w:rPr>
          <w:spacing w:val="-13"/>
        </w:rPr>
        <w:t xml:space="preserve"> </w:t>
      </w:r>
      <w:r>
        <w:t>overall</w:t>
      </w:r>
      <w:r>
        <w:rPr>
          <w:spacing w:val="-12"/>
        </w:rPr>
        <w:t xml:space="preserve"> </w:t>
      </w:r>
      <w:r>
        <w:t>tariff</w:t>
      </w:r>
      <w:r>
        <w:rPr>
          <w:spacing w:val="-13"/>
        </w:rPr>
        <w:t xml:space="preserve"> </w:t>
      </w:r>
      <w:r>
        <w:t>schedule</w:t>
      </w:r>
      <w:r>
        <w:rPr>
          <w:spacing w:val="-13"/>
        </w:rPr>
        <w:t xml:space="preserve"> </w:t>
      </w:r>
      <w:r>
        <w:t>for</w:t>
      </w:r>
      <w:r>
        <w:rPr>
          <w:spacing w:val="-12"/>
        </w:rPr>
        <w:t xml:space="preserve"> </w:t>
      </w:r>
      <w:r>
        <w:t>all</w:t>
      </w:r>
      <w:r>
        <w:rPr>
          <w:spacing w:val="-12"/>
        </w:rPr>
        <w:t xml:space="preserve"> </w:t>
      </w:r>
      <w:r>
        <w:t>districts</w:t>
      </w:r>
      <w:r>
        <w:rPr>
          <w:spacing w:val="-13"/>
        </w:rPr>
        <w:t xml:space="preserve"> </w:t>
      </w:r>
      <w:r>
        <w:t>and</w:t>
      </w:r>
      <w:r>
        <w:rPr>
          <w:spacing w:val="-12"/>
        </w:rPr>
        <w:t xml:space="preserve"> </w:t>
      </w:r>
      <w:r>
        <w:t>services.</w:t>
      </w:r>
      <w:r>
        <w:rPr>
          <w:spacing w:val="-13"/>
        </w:rPr>
        <w:t xml:space="preserve"> </w:t>
      </w:r>
      <w:r>
        <w:t>Total</w:t>
      </w:r>
      <w:r>
        <w:rPr>
          <w:spacing w:val="-12"/>
        </w:rPr>
        <w:t xml:space="preserve"> </w:t>
      </w:r>
      <w:r>
        <w:t>tariffs</w:t>
      </w:r>
      <w:r>
        <w:rPr>
          <w:spacing w:val="-13"/>
        </w:rPr>
        <w:t xml:space="preserve"> </w:t>
      </w:r>
      <w:r>
        <w:t>including</w:t>
      </w:r>
      <w:r>
        <w:rPr>
          <w:spacing w:val="-12"/>
        </w:rPr>
        <w:t xml:space="preserve"> </w:t>
      </w:r>
      <w:r>
        <w:t>bulk</w:t>
      </w:r>
      <w:r>
        <w:rPr>
          <w:spacing w:val="-12"/>
        </w:rPr>
        <w:t xml:space="preserve"> </w:t>
      </w:r>
      <w:r>
        <w:t>water charges are proposed to change in real terms by:</w:t>
      </w:r>
    </w:p>
    <w:p w14:paraId="598E4CFB" w14:textId="77777777" w:rsidR="00141B97" w:rsidRDefault="00911D63">
      <w:pPr>
        <w:pStyle w:val="ListParagraph"/>
        <w:numPr>
          <w:ilvl w:val="0"/>
          <w:numId w:val="3"/>
        </w:numPr>
        <w:tabs>
          <w:tab w:val="left" w:pos="823"/>
          <w:tab w:val="left" w:pos="824"/>
        </w:tabs>
        <w:ind w:right="949"/>
        <w:rPr>
          <w:rFonts w:ascii="Symbol" w:hAnsi="Symbol"/>
          <w:sz w:val="24"/>
        </w:rPr>
      </w:pPr>
      <w:r>
        <w:t>For irrigation and drainage customers, between a 6.4% average annual reduction in the Mildura High Pressure (HP) district to a 1.3% average annual increase in the Merbein district.</w:t>
      </w:r>
    </w:p>
    <w:p w14:paraId="432C2275" w14:textId="77777777" w:rsidR="00141B97" w:rsidRDefault="00911D63">
      <w:pPr>
        <w:pStyle w:val="ListParagraph"/>
        <w:numPr>
          <w:ilvl w:val="0"/>
          <w:numId w:val="3"/>
        </w:numPr>
        <w:tabs>
          <w:tab w:val="left" w:pos="823"/>
          <w:tab w:val="left" w:pos="824"/>
        </w:tabs>
        <w:spacing w:line="300" w:lineRule="exact"/>
        <w:ind w:hanging="426"/>
        <w:rPr>
          <w:rFonts w:ascii="Symbol" w:hAnsi="Symbol"/>
          <w:sz w:val="24"/>
        </w:rPr>
      </w:pPr>
      <w:r>
        <w:t>For</w:t>
      </w:r>
      <w:r>
        <w:rPr>
          <w:spacing w:val="-7"/>
        </w:rPr>
        <w:t xml:space="preserve"> </w:t>
      </w:r>
      <w:r>
        <w:t>domestic</w:t>
      </w:r>
      <w:r>
        <w:rPr>
          <w:spacing w:val="-7"/>
        </w:rPr>
        <w:t xml:space="preserve"> </w:t>
      </w:r>
      <w:r>
        <w:t>and</w:t>
      </w:r>
      <w:r>
        <w:rPr>
          <w:spacing w:val="-7"/>
        </w:rPr>
        <w:t xml:space="preserve"> </w:t>
      </w:r>
      <w:r>
        <w:t>stock</w:t>
      </w:r>
      <w:r>
        <w:rPr>
          <w:spacing w:val="-7"/>
        </w:rPr>
        <w:t xml:space="preserve"> </w:t>
      </w:r>
      <w:r>
        <w:t>customers,</w:t>
      </w:r>
      <w:r>
        <w:rPr>
          <w:spacing w:val="-7"/>
        </w:rPr>
        <w:t xml:space="preserve"> </w:t>
      </w:r>
      <w:r>
        <w:t>average</w:t>
      </w:r>
      <w:r>
        <w:rPr>
          <w:spacing w:val="-8"/>
        </w:rPr>
        <w:t xml:space="preserve"> </w:t>
      </w:r>
      <w:r>
        <w:t>annual</w:t>
      </w:r>
      <w:r>
        <w:rPr>
          <w:spacing w:val="-8"/>
        </w:rPr>
        <w:t xml:space="preserve"> </w:t>
      </w:r>
      <w:r>
        <w:t>decreases</w:t>
      </w:r>
      <w:r>
        <w:rPr>
          <w:spacing w:val="-7"/>
        </w:rPr>
        <w:t xml:space="preserve"> </w:t>
      </w:r>
      <w:r>
        <w:t>of</w:t>
      </w:r>
      <w:r>
        <w:rPr>
          <w:spacing w:val="-7"/>
        </w:rPr>
        <w:t xml:space="preserve"> </w:t>
      </w:r>
      <w:r>
        <w:t>between</w:t>
      </w:r>
      <w:r>
        <w:rPr>
          <w:spacing w:val="-8"/>
        </w:rPr>
        <w:t xml:space="preserve"> </w:t>
      </w:r>
      <w:r>
        <w:t>0.6%</w:t>
      </w:r>
      <w:r>
        <w:rPr>
          <w:spacing w:val="-7"/>
        </w:rPr>
        <w:t xml:space="preserve"> </w:t>
      </w:r>
      <w:r>
        <w:t>and</w:t>
      </w:r>
      <w:r>
        <w:rPr>
          <w:spacing w:val="-7"/>
        </w:rPr>
        <w:t xml:space="preserve"> </w:t>
      </w:r>
      <w:r>
        <w:rPr>
          <w:spacing w:val="-2"/>
        </w:rPr>
        <w:t>1.0%.</w:t>
      </w:r>
    </w:p>
    <w:p w14:paraId="0F32C437" w14:textId="77777777" w:rsidR="00141B97" w:rsidRDefault="00911D63">
      <w:pPr>
        <w:pStyle w:val="ListParagraph"/>
        <w:numPr>
          <w:ilvl w:val="0"/>
          <w:numId w:val="3"/>
        </w:numPr>
        <w:tabs>
          <w:tab w:val="left" w:pos="823"/>
          <w:tab w:val="left" w:pos="824"/>
        </w:tabs>
        <w:ind w:hanging="426"/>
        <w:rPr>
          <w:rFonts w:ascii="Symbol" w:hAnsi="Symbol"/>
          <w:sz w:val="24"/>
        </w:rPr>
      </w:pPr>
      <w:r>
        <w:t>For</w:t>
      </w:r>
      <w:r>
        <w:rPr>
          <w:spacing w:val="-8"/>
        </w:rPr>
        <w:t xml:space="preserve"> </w:t>
      </w:r>
      <w:r>
        <w:t>diversions</w:t>
      </w:r>
      <w:r>
        <w:rPr>
          <w:spacing w:val="-8"/>
        </w:rPr>
        <w:t xml:space="preserve"> </w:t>
      </w:r>
      <w:r>
        <w:t>customers,</w:t>
      </w:r>
      <w:r>
        <w:rPr>
          <w:spacing w:val="-6"/>
        </w:rPr>
        <w:t xml:space="preserve"> </w:t>
      </w:r>
      <w:r>
        <w:t>an</w:t>
      </w:r>
      <w:r>
        <w:rPr>
          <w:spacing w:val="-8"/>
        </w:rPr>
        <w:t xml:space="preserve"> </w:t>
      </w:r>
      <w:r>
        <w:t>annual</w:t>
      </w:r>
      <w:r>
        <w:rPr>
          <w:spacing w:val="-8"/>
        </w:rPr>
        <w:t xml:space="preserve"> </w:t>
      </w:r>
      <w:r>
        <w:t>average</w:t>
      </w:r>
      <w:r>
        <w:rPr>
          <w:spacing w:val="-8"/>
        </w:rPr>
        <w:t xml:space="preserve"> </w:t>
      </w:r>
      <w:r>
        <w:t>increase</w:t>
      </w:r>
      <w:r>
        <w:rPr>
          <w:spacing w:val="-8"/>
        </w:rPr>
        <w:t xml:space="preserve"> </w:t>
      </w:r>
      <w:r>
        <w:t>of</w:t>
      </w:r>
      <w:r>
        <w:rPr>
          <w:spacing w:val="-7"/>
        </w:rPr>
        <w:t xml:space="preserve"> </w:t>
      </w:r>
      <w:r>
        <w:rPr>
          <w:spacing w:val="-2"/>
        </w:rPr>
        <w:t>0.7%.</w:t>
      </w:r>
    </w:p>
    <w:p w14:paraId="299E2010" w14:textId="77777777" w:rsidR="00141B97" w:rsidRDefault="00141B97">
      <w:pPr>
        <w:rPr>
          <w:rFonts w:ascii="Symbol" w:hAnsi="Symbol"/>
          <w:sz w:val="24"/>
        </w:rPr>
        <w:sectPr w:rsidR="00141B97">
          <w:pgSz w:w="11910" w:h="16840"/>
          <w:pgMar w:top="820" w:right="40" w:bottom="780" w:left="1020" w:header="0" w:footer="586" w:gutter="0"/>
          <w:cols w:space="720"/>
        </w:sectPr>
      </w:pPr>
    </w:p>
    <w:tbl>
      <w:tblPr>
        <w:tblW w:w="0" w:type="auto"/>
        <w:tblInd w:w="127" w:type="dxa"/>
        <w:tblBorders>
          <w:top w:val="single" w:sz="4" w:space="0" w:color="D4D4D4"/>
          <w:left w:val="single" w:sz="4" w:space="0" w:color="D4D4D4"/>
          <w:bottom w:val="single" w:sz="4" w:space="0" w:color="D4D4D4"/>
          <w:right w:val="single" w:sz="4" w:space="0" w:color="D4D4D4"/>
          <w:insideH w:val="single" w:sz="4" w:space="0" w:color="D4D4D4"/>
          <w:insideV w:val="single" w:sz="4" w:space="0" w:color="D4D4D4"/>
        </w:tblBorders>
        <w:tblLayout w:type="fixed"/>
        <w:tblCellMar>
          <w:left w:w="0" w:type="dxa"/>
          <w:right w:w="0" w:type="dxa"/>
        </w:tblCellMar>
        <w:tblLook w:val="01E0" w:firstRow="1" w:lastRow="1" w:firstColumn="1" w:lastColumn="1" w:noHBand="0" w:noVBand="0"/>
      </w:tblPr>
      <w:tblGrid>
        <w:gridCol w:w="2543"/>
        <w:gridCol w:w="922"/>
        <w:gridCol w:w="962"/>
        <w:gridCol w:w="962"/>
        <w:gridCol w:w="1023"/>
        <w:gridCol w:w="1094"/>
        <w:gridCol w:w="962"/>
        <w:gridCol w:w="1155"/>
      </w:tblGrid>
      <w:tr w:rsidR="00141B97" w14:paraId="118994A7" w14:textId="77777777">
        <w:trPr>
          <w:trHeight w:val="152"/>
        </w:trPr>
        <w:tc>
          <w:tcPr>
            <w:tcW w:w="2543" w:type="dxa"/>
            <w:tcBorders>
              <w:left w:val="single" w:sz="6" w:space="0" w:color="D4D4D4"/>
              <w:bottom w:val="nil"/>
              <w:right w:val="single" w:sz="6" w:space="0" w:color="D4D4D4"/>
            </w:tcBorders>
          </w:tcPr>
          <w:p w14:paraId="3240D47D" w14:textId="77777777" w:rsidR="00141B97" w:rsidRDefault="00911D63">
            <w:pPr>
              <w:pStyle w:val="TableParagraph"/>
              <w:spacing w:line="132" w:lineRule="exact"/>
              <w:ind w:left="23"/>
              <w:rPr>
                <w:rFonts w:ascii="Arial"/>
                <w:b/>
                <w:sz w:val="12"/>
              </w:rPr>
            </w:pPr>
            <w:r>
              <w:rPr>
                <w:rFonts w:ascii="Arial"/>
                <w:b/>
                <w:spacing w:val="-2"/>
                <w:sz w:val="12"/>
              </w:rPr>
              <w:lastRenderedPageBreak/>
              <w:t>Region</w:t>
            </w:r>
          </w:p>
        </w:tc>
        <w:tc>
          <w:tcPr>
            <w:tcW w:w="922" w:type="dxa"/>
            <w:tcBorders>
              <w:left w:val="single" w:sz="6" w:space="0" w:color="D4D4D4"/>
              <w:bottom w:val="nil"/>
              <w:right w:val="single" w:sz="6" w:space="0" w:color="D4D4D4"/>
            </w:tcBorders>
          </w:tcPr>
          <w:p w14:paraId="7C248E9B" w14:textId="77777777" w:rsidR="00141B97" w:rsidRDefault="00911D63">
            <w:pPr>
              <w:pStyle w:val="TableParagraph"/>
              <w:spacing w:line="132" w:lineRule="exact"/>
              <w:ind w:left="24"/>
              <w:rPr>
                <w:rFonts w:ascii="Arial"/>
                <w:b/>
                <w:sz w:val="12"/>
              </w:rPr>
            </w:pPr>
            <w:r>
              <w:rPr>
                <w:rFonts w:ascii="Arial"/>
                <w:b/>
                <w:spacing w:val="-2"/>
                <w:sz w:val="12"/>
              </w:rPr>
              <w:t>Units</w:t>
            </w:r>
          </w:p>
        </w:tc>
        <w:tc>
          <w:tcPr>
            <w:tcW w:w="962" w:type="dxa"/>
            <w:tcBorders>
              <w:left w:val="single" w:sz="6" w:space="0" w:color="D4D4D4"/>
              <w:bottom w:val="nil"/>
              <w:right w:val="single" w:sz="6" w:space="0" w:color="D4D4D4"/>
            </w:tcBorders>
          </w:tcPr>
          <w:p w14:paraId="217FD04A" w14:textId="77777777" w:rsidR="00141B97" w:rsidRDefault="00911D63">
            <w:pPr>
              <w:pStyle w:val="TableParagraph"/>
              <w:spacing w:line="132" w:lineRule="exact"/>
              <w:ind w:right="8"/>
              <w:jc w:val="right"/>
              <w:rPr>
                <w:rFonts w:ascii="Arial"/>
                <w:b/>
                <w:sz w:val="12"/>
              </w:rPr>
            </w:pPr>
            <w:r>
              <w:rPr>
                <w:rFonts w:ascii="Arial"/>
                <w:b/>
                <w:color w:val="323232"/>
                <w:spacing w:val="-4"/>
                <w:sz w:val="12"/>
              </w:rPr>
              <w:t>2023</w:t>
            </w:r>
          </w:p>
        </w:tc>
        <w:tc>
          <w:tcPr>
            <w:tcW w:w="962" w:type="dxa"/>
            <w:tcBorders>
              <w:left w:val="single" w:sz="6" w:space="0" w:color="D4D4D4"/>
              <w:bottom w:val="nil"/>
              <w:right w:val="single" w:sz="6" w:space="0" w:color="D4D4D4"/>
            </w:tcBorders>
          </w:tcPr>
          <w:p w14:paraId="3F6663A6" w14:textId="77777777" w:rsidR="00141B97" w:rsidRDefault="00911D63">
            <w:pPr>
              <w:pStyle w:val="TableParagraph"/>
              <w:spacing w:line="132" w:lineRule="exact"/>
              <w:ind w:right="7"/>
              <w:jc w:val="right"/>
              <w:rPr>
                <w:rFonts w:ascii="Arial"/>
                <w:b/>
                <w:sz w:val="12"/>
              </w:rPr>
            </w:pPr>
            <w:r>
              <w:rPr>
                <w:rFonts w:ascii="Arial"/>
                <w:b/>
                <w:color w:val="323232"/>
                <w:spacing w:val="-4"/>
                <w:sz w:val="12"/>
              </w:rPr>
              <w:t>2024</w:t>
            </w:r>
          </w:p>
        </w:tc>
        <w:tc>
          <w:tcPr>
            <w:tcW w:w="1023" w:type="dxa"/>
            <w:tcBorders>
              <w:left w:val="single" w:sz="6" w:space="0" w:color="D4D4D4"/>
              <w:bottom w:val="nil"/>
              <w:right w:val="single" w:sz="6" w:space="0" w:color="D4D4D4"/>
            </w:tcBorders>
          </w:tcPr>
          <w:p w14:paraId="5609BD0E" w14:textId="77777777" w:rsidR="00141B97" w:rsidRDefault="00911D63">
            <w:pPr>
              <w:pStyle w:val="TableParagraph"/>
              <w:spacing w:line="132" w:lineRule="exact"/>
              <w:ind w:right="6"/>
              <w:jc w:val="right"/>
              <w:rPr>
                <w:rFonts w:ascii="Arial"/>
                <w:b/>
                <w:sz w:val="12"/>
              </w:rPr>
            </w:pPr>
            <w:r>
              <w:rPr>
                <w:rFonts w:ascii="Arial"/>
                <w:b/>
                <w:color w:val="323232"/>
                <w:spacing w:val="-4"/>
                <w:sz w:val="12"/>
              </w:rPr>
              <w:t>2025</w:t>
            </w:r>
          </w:p>
        </w:tc>
        <w:tc>
          <w:tcPr>
            <w:tcW w:w="1094" w:type="dxa"/>
            <w:tcBorders>
              <w:left w:val="single" w:sz="6" w:space="0" w:color="D4D4D4"/>
              <w:bottom w:val="nil"/>
              <w:right w:val="single" w:sz="6" w:space="0" w:color="D4D4D4"/>
            </w:tcBorders>
          </w:tcPr>
          <w:p w14:paraId="4EA6B58D" w14:textId="77777777" w:rsidR="00141B97" w:rsidRDefault="00911D63">
            <w:pPr>
              <w:pStyle w:val="TableParagraph"/>
              <w:spacing w:line="132" w:lineRule="exact"/>
              <w:ind w:right="6"/>
              <w:jc w:val="right"/>
              <w:rPr>
                <w:rFonts w:ascii="Arial"/>
                <w:b/>
                <w:sz w:val="12"/>
              </w:rPr>
            </w:pPr>
            <w:r>
              <w:rPr>
                <w:rFonts w:ascii="Arial"/>
                <w:b/>
                <w:color w:val="323232"/>
                <w:spacing w:val="-4"/>
                <w:sz w:val="12"/>
              </w:rPr>
              <w:t>2026</w:t>
            </w:r>
          </w:p>
        </w:tc>
        <w:tc>
          <w:tcPr>
            <w:tcW w:w="962" w:type="dxa"/>
            <w:tcBorders>
              <w:left w:val="single" w:sz="6" w:space="0" w:color="D4D4D4"/>
              <w:bottom w:val="nil"/>
              <w:right w:val="single" w:sz="6" w:space="0" w:color="D4D4D4"/>
            </w:tcBorders>
          </w:tcPr>
          <w:p w14:paraId="6C8FB88A" w14:textId="77777777" w:rsidR="00141B97" w:rsidRDefault="00911D63">
            <w:pPr>
              <w:pStyle w:val="TableParagraph"/>
              <w:spacing w:line="132" w:lineRule="exact"/>
              <w:ind w:right="5"/>
              <w:jc w:val="right"/>
              <w:rPr>
                <w:rFonts w:ascii="Arial"/>
                <w:b/>
                <w:sz w:val="12"/>
              </w:rPr>
            </w:pPr>
            <w:r>
              <w:rPr>
                <w:rFonts w:ascii="Arial"/>
                <w:b/>
                <w:color w:val="323232"/>
                <w:spacing w:val="-4"/>
                <w:sz w:val="12"/>
              </w:rPr>
              <w:t>2027</w:t>
            </w:r>
          </w:p>
        </w:tc>
        <w:tc>
          <w:tcPr>
            <w:tcW w:w="1155" w:type="dxa"/>
            <w:tcBorders>
              <w:left w:val="single" w:sz="6" w:space="0" w:color="D4D4D4"/>
              <w:bottom w:val="nil"/>
              <w:right w:val="single" w:sz="6" w:space="0" w:color="D4D4D4"/>
            </w:tcBorders>
          </w:tcPr>
          <w:p w14:paraId="60A76990" w14:textId="77777777" w:rsidR="00141B97" w:rsidRDefault="00911D63">
            <w:pPr>
              <w:pStyle w:val="TableParagraph"/>
              <w:spacing w:line="132" w:lineRule="exact"/>
              <w:ind w:right="5"/>
              <w:jc w:val="right"/>
              <w:rPr>
                <w:rFonts w:ascii="Arial"/>
                <w:b/>
                <w:sz w:val="12"/>
              </w:rPr>
            </w:pPr>
            <w:r>
              <w:rPr>
                <w:rFonts w:ascii="Arial"/>
                <w:b/>
                <w:color w:val="323232"/>
                <w:spacing w:val="-4"/>
                <w:sz w:val="12"/>
              </w:rPr>
              <w:t>2028</w:t>
            </w:r>
          </w:p>
        </w:tc>
      </w:tr>
      <w:tr w:rsidR="00141B97" w14:paraId="5716274F" w14:textId="77777777">
        <w:trPr>
          <w:trHeight w:val="172"/>
        </w:trPr>
        <w:tc>
          <w:tcPr>
            <w:tcW w:w="9623" w:type="dxa"/>
            <w:gridSpan w:val="8"/>
            <w:tcBorders>
              <w:top w:val="nil"/>
              <w:left w:val="nil"/>
              <w:bottom w:val="nil"/>
              <w:right w:val="nil"/>
            </w:tcBorders>
            <w:shd w:val="clear" w:color="auto" w:fill="99CCFF"/>
          </w:tcPr>
          <w:p w14:paraId="66188E40" w14:textId="77777777" w:rsidR="00141B97" w:rsidRDefault="00911D63">
            <w:pPr>
              <w:pStyle w:val="TableParagraph"/>
              <w:spacing w:before="11"/>
              <w:ind w:left="31"/>
              <w:rPr>
                <w:rFonts w:ascii="Arial"/>
                <w:b/>
                <w:sz w:val="12"/>
              </w:rPr>
            </w:pPr>
            <w:r>
              <w:rPr>
                <w:rFonts w:ascii="Arial"/>
                <w:b/>
                <w:sz w:val="12"/>
              </w:rPr>
              <w:t>Mildura</w:t>
            </w:r>
            <w:r>
              <w:rPr>
                <w:rFonts w:ascii="Arial"/>
                <w:b/>
                <w:spacing w:val="-5"/>
                <w:sz w:val="12"/>
              </w:rPr>
              <w:t xml:space="preserve"> </w:t>
            </w:r>
            <w:r>
              <w:rPr>
                <w:rFonts w:ascii="Arial"/>
                <w:b/>
                <w:sz w:val="12"/>
              </w:rPr>
              <w:t>-</w:t>
            </w:r>
            <w:r>
              <w:rPr>
                <w:rFonts w:ascii="Arial"/>
                <w:b/>
                <w:spacing w:val="-8"/>
                <w:sz w:val="12"/>
              </w:rPr>
              <w:t xml:space="preserve"> </w:t>
            </w:r>
            <w:r>
              <w:rPr>
                <w:rFonts w:ascii="Arial"/>
                <w:b/>
                <w:spacing w:val="-2"/>
                <w:sz w:val="12"/>
              </w:rPr>
              <w:t>Irrigation</w:t>
            </w:r>
          </w:p>
        </w:tc>
      </w:tr>
      <w:tr w:rsidR="00141B97" w14:paraId="4096D709" w14:textId="77777777">
        <w:trPr>
          <w:trHeight w:val="148"/>
        </w:trPr>
        <w:tc>
          <w:tcPr>
            <w:tcW w:w="2543" w:type="dxa"/>
            <w:tcBorders>
              <w:top w:val="nil"/>
              <w:left w:val="single" w:sz="6" w:space="0" w:color="D4D4D4"/>
              <w:bottom w:val="single" w:sz="6" w:space="0" w:color="D4D4D4"/>
              <w:right w:val="single" w:sz="6" w:space="0" w:color="D4D4D4"/>
            </w:tcBorders>
          </w:tcPr>
          <w:p w14:paraId="07EED76C" w14:textId="77777777" w:rsidR="00141B97" w:rsidRDefault="00911D63">
            <w:pPr>
              <w:pStyle w:val="TableParagraph"/>
              <w:spacing w:line="129"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nil"/>
              <w:left w:val="single" w:sz="6" w:space="0" w:color="D4D4D4"/>
              <w:bottom w:val="single" w:sz="6" w:space="0" w:color="D4D4D4"/>
              <w:right w:val="single" w:sz="6" w:space="0" w:color="D4D4D4"/>
            </w:tcBorders>
          </w:tcPr>
          <w:p w14:paraId="70CAF5EA" w14:textId="77777777" w:rsidR="00141B97" w:rsidRDefault="00911D63">
            <w:pPr>
              <w:pStyle w:val="TableParagraph"/>
              <w:spacing w:line="129"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nil"/>
              <w:left w:val="single" w:sz="6" w:space="0" w:color="D4D4D4"/>
              <w:bottom w:val="single" w:sz="6" w:space="0" w:color="D4D4D4"/>
              <w:right w:val="single" w:sz="6" w:space="0" w:color="D4D4D4"/>
            </w:tcBorders>
          </w:tcPr>
          <w:p w14:paraId="35490E3D" w14:textId="77777777" w:rsidR="00141B97" w:rsidRDefault="00911D63">
            <w:pPr>
              <w:pStyle w:val="TableParagraph"/>
              <w:spacing w:line="129" w:lineRule="exact"/>
              <w:ind w:right="48"/>
              <w:jc w:val="right"/>
              <w:rPr>
                <w:rFonts w:ascii="Arial"/>
                <w:sz w:val="12"/>
              </w:rPr>
            </w:pPr>
            <w:r>
              <w:rPr>
                <w:rFonts w:ascii="Arial"/>
                <w:spacing w:val="-2"/>
                <w:sz w:val="12"/>
              </w:rPr>
              <w:t>100.00</w:t>
            </w:r>
          </w:p>
        </w:tc>
        <w:tc>
          <w:tcPr>
            <w:tcW w:w="962" w:type="dxa"/>
            <w:tcBorders>
              <w:top w:val="nil"/>
              <w:left w:val="single" w:sz="6" w:space="0" w:color="D4D4D4"/>
              <w:bottom w:val="single" w:sz="6" w:space="0" w:color="D4D4D4"/>
              <w:right w:val="single" w:sz="6" w:space="0" w:color="D4D4D4"/>
            </w:tcBorders>
          </w:tcPr>
          <w:p w14:paraId="4EB41A4B" w14:textId="77777777" w:rsidR="00141B97" w:rsidRDefault="00911D63">
            <w:pPr>
              <w:pStyle w:val="TableParagraph"/>
              <w:spacing w:line="129" w:lineRule="exact"/>
              <w:ind w:right="50"/>
              <w:jc w:val="right"/>
              <w:rPr>
                <w:rFonts w:ascii="Arial"/>
                <w:sz w:val="12"/>
              </w:rPr>
            </w:pPr>
            <w:r>
              <w:rPr>
                <w:rFonts w:ascii="Arial"/>
                <w:spacing w:val="-2"/>
                <w:sz w:val="12"/>
              </w:rPr>
              <w:t>97.09</w:t>
            </w:r>
          </w:p>
        </w:tc>
        <w:tc>
          <w:tcPr>
            <w:tcW w:w="1023" w:type="dxa"/>
            <w:tcBorders>
              <w:top w:val="nil"/>
              <w:left w:val="single" w:sz="6" w:space="0" w:color="D4D4D4"/>
              <w:bottom w:val="single" w:sz="6" w:space="0" w:color="D4D4D4"/>
              <w:right w:val="single" w:sz="6" w:space="0" w:color="D4D4D4"/>
            </w:tcBorders>
          </w:tcPr>
          <w:p w14:paraId="6E618ACE" w14:textId="77777777" w:rsidR="00141B97" w:rsidRDefault="00911D63">
            <w:pPr>
              <w:pStyle w:val="TableParagraph"/>
              <w:spacing w:line="129" w:lineRule="exact"/>
              <w:ind w:right="50"/>
              <w:jc w:val="right"/>
              <w:rPr>
                <w:rFonts w:ascii="Arial"/>
                <w:sz w:val="12"/>
              </w:rPr>
            </w:pPr>
            <w:r>
              <w:rPr>
                <w:rFonts w:ascii="Arial"/>
                <w:spacing w:val="-2"/>
                <w:sz w:val="12"/>
              </w:rPr>
              <w:t>94.26</w:t>
            </w:r>
          </w:p>
        </w:tc>
        <w:tc>
          <w:tcPr>
            <w:tcW w:w="1094" w:type="dxa"/>
            <w:tcBorders>
              <w:top w:val="nil"/>
              <w:left w:val="single" w:sz="6" w:space="0" w:color="D4D4D4"/>
              <w:bottom w:val="single" w:sz="6" w:space="0" w:color="D4D4D4"/>
              <w:right w:val="single" w:sz="6" w:space="0" w:color="D4D4D4"/>
            </w:tcBorders>
          </w:tcPr>
          <w:p w14:paraId="2F16FFB1" w14:textId="77777777" w:rsidR="00141B97" w:rsidRDefault="00911D63">
            <w:pPr>
              <w:pStyle w:val="TableParagraph"/>
              <w:spacing w:line="129" w:lineRule="exact"/>
              <w:ind w:right="49"/>
              <w:jc w:val="right"/>
              <w:rPr>
                <w:rFonts w:ascii="Arial"/>
                <w:sz w:val="12"/>
              </w:rPr>
            </w:pPr>
            <w:r>
              <w:rPr>
                <w:rFonts w:ascii="Arial"/>
                <w:spacing w:val="-2"/>
                <w:sz w:val="12"/>
              </w:rPr>
              <w:t>91.51</w:t>
            </w:r>
          </w:p>
        </w:tc>
        <w:tc>
          <w:tcPr>
            <w:tcW w:w="962" w:type="dxa"/>
            <w:tcBorders>
              <w:top w:val="nil"/>
              <w:left w:val="single" w:sz="6" w:space="0" w:color="D4D4D4"/>
              <w:bottom w:val="single" w:sz="6" w:space="0" w:color="D4D4D4"/>
              <w:right w:val="single" w:sz="6" w:space="0" w:color="D4D4D4"/>
            </w:tcBorders>
          </w:tcPr>
          <w:p w14:paraId="205BF0B6" w14:textId="77777777" w:rsidR="00141B97" w:rsidRDefault="00911D63">
            <w:pPr>
              <w:pStyle w:val="TableParagraph"/>
              <w:spacing w:line="129" w:lineRule="exact"/>
              <w:ind w:right="49"/>
              <w:jc w:val="right"/>
              <w:rPr>
                <w:rFonts w:ascii="Arial"/>
                <w:sz w:val="12"/>
              </w:rPr>
            </w:pPr>
            <w:r>
              <w:rPr>
                <w:rFonts w:ascii="Arial"/>
                <w:spacing w:val="-2"/>
                <w:sz w:val="12"/>
              </w:rPr>
              <w:t>88.85</w:t>
            </w:r>
          </w:p>
        </w:tc>
        <w:tc>
          <w:tcPr>
            <w:tcW w:w="1155" w:type="dxa"/>
            <w:tcBorders>
              <w:top w:val="nil"/>
              <w:left w:val="single" w:sz="6" w:space="0" w:color="D4D4D4"/>
              <w:bottom w:val="single" w:sz="6" w:space="0" w:color="D4D4D4"/>
              <w:right w:val="single" w:sz="6" w:space="0" w:color="D4D4D4"/>
            </w:tcBorders>
          </w:tcPr>
          <w:p w14:paraId="022E2D91" w14:textId="77777777" w:rsidR="00141B97" w:rsidRDefault="00911D63">
            <w:pPr>
              <w:pStyle w:val="TableParagraph"/>
              <w:spacing w:line="129" w:lineRule="exact"/>
              <w:ind w:right="48"/>
              <w:jc w:val="right"/>
              <w:rPr>
                <w:rFonts w:ascii="Arial"/>
                <w:sz w:val="12"/>
              </w:rPr>
            </w:pPr>
            <w:r>
              <w:rPr>
                <w:rFonts w:ascii="Arial"/>
                <w:spacing w:val="-2"/>
                <w:sz w:val="12"/>
              </w:rPr>
              <w:t>86.26</w:t>
            </w:r>
          </w:p>
        </w:tc>
      </w:tr>
      <w:tr w:rsidR="00141B97" w14:paraId="0EBB6F0D"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75C4596C" w14:textId="77777777" w:rsidR="00141B97" w:rsidRDefault="00911D63">
            <w:pPr>
              <w:pStyle w:val="TableParagraph"/>
              <w:spacing w:line="127" w:lineRule="exact"/>
              <w:ind w:left="23"/>
              <w:rPr>
                <w:rFonts w:ascii="Arial"/>
                <w:sz w:val="12"/>
              </w:rPr>
            </w:pPr>
            <w:r>
              <w:rPr>
                <w:rFonts w:ascii="Arial"/>
                <w:sz w:val="12"/>
              </w:rPr>
              <w:t>Delivery</w:t>
            </w:r>
            <w:r>
              <w:rPr>
                <w:rFonts w:ascii="Arial"/>
                <w:spacing w:val="-5"/>
                <w:sz w:val="12"/>
              </w:rPr>
              <w:t xml:space="preserve"> </w:t>
            </w:r>
            <w:r>
              <w:rPr>
                <w:rFonts w:ascii="Arial"/>
                <w:spacing w:val="-2"/>
                <w:sz w:val="12"/>
              </w:rPr>
              <w:t>Share</w:t>
            </w:r>
          </w:p>
        </w:tc>
        <w:tc>
          <w:tcPr>
            <w:tcW w:w="922" w:type="dxa"/>
            <w:tcBorders>
              <w:top w:val="single" w:sz="6" w:space="0" w:color="D4D4D4"/>
              <w:left w:val="single" w:sz="6" w:space="0" w:color="D4D4D4"/>
              <w:bottom w:val="single" w:sz="6" w:space="0" w:color="D4D4D4"/>
              <w:right w:val="single" w:sz="6" w:space="0" w:color="D4D4D4"/>
            </w:tcBorders>
          </w:tcPr>
          <w:p w14:paraId="08A77D52"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DS</w:t>
            </w:r>
          </w:p>
        </w:tc>
        <w:tc>
          <w:tcPr>
            <w:tcW w:w="962" w:type="dxa"/>
            <w:tcBorders>
              <w:top w:val="single" w:sz="6" w:space="0" w:color="D4D4D4"/>
              <w:left w:val="single" w:sz="6" w:space="0" w:color="D4D4D4"/>
              <w:bottom w:val="single" w:sz="6" w:space="0" w:color="D4D4D4"/>
              <w:right w:val="single" w:sz="6" w:space="0" w:color="D4D4D4"/>
            </w:tcBorders>
          </w:tcPr>
          <w:p w14:paraId="1C7F7AA6" w14:textId="77777777" w:rsidR="00141B97" w:rsidRDefault="00911D63">
            <w:pPr>
              <w:pStyle w:val="TableParagraph"/>
              <w:spacing w:line="127" w:lineRule="exact"/>
              <w:ind w:right="48"/>
              <w:jc w:val="right"/>
              <w:rPr>
                <w:rFonts w:ascii="Arial"/>
                <w:sz w:val="12"/>
              </w:rPr>
            </w:pPr>
            <w:r>
              <w:rPr>
                <w:rFonts w:ascii="Arial"/>
                <w:spacing w:val="-2"/>
                <w:sz w:val="12"/>
              </w:rPr>
              <w:t>618.16</w:t>
            </w:r>
          </w:p>
        </w:tc>
        <w:tc>
          <w:tcPr>
            <w:tcW w:w="962" w:type="dxa"/>
            <w:tcBorders>
              <w:top w:val="single" w:sz="6" w:space="0" w:color="D4D4D4"/>
              <w:left w:val="single" w:sz="6" w:space="0" w:color="D4D4D4"/>
              <w:bottom w:val="single" w:sz="6" w:space="0" w:color="D4D4D4"/>
              <w:right w:val="single" w:sz="6" w:space="0" w:color="D4D4D4"/>
            </w:tcBorders>
          </w:tcPr>
          <w:p w14:paraId="6190ED32" w14:textId="77777777" w:rsidR="00141B97" w:rsidRDefault="00911D63">
            <w:pPr>
              <w:pStyle w:val="TableParagraph"/>
              <w:spacing w:line="127" w:lineRule="exact"/>
              <w:ind w:right="47"/>
              <w:jc w:val="right"/>
              <w:rPr>
                <w:rFonts w:ascii="Arial"/>
                <w:sz w:val="12"/>
              </w:rPr>
            </w:pPr>
            <w:r>
              <w:rPr>
                <w:rFonts w:ascii="Arial"/>
                <w:spacing w:val="-2"/>
                <w:sz w:val="12"/>
              </w:rPr>
              <w:t>622.42</w:t>
            </w:r>
          </w:p>
        </w:tc>
        <w:tc>
          <w:tcPr>
            <w:tcW w:w="1023" w:type="dxa"/>
            <w:tcBorders>
              <w:top w:val="single" w:sz="6" w:space="0" w:color="D4D4D4"/>
              <w:left w:val="single" w:sz="6" w:space="0" w:color="D4D4D4"/>
              <w:bottom w:val="single" w:sz="6" w:space="0" w:color="D4D4D4"/>
              <w:right w:val="single" w:sz="6" w:space="0" w:color="D4D4D4"/>
            </w:tcBorders>
          </w:tcPr>
          <w:p w14:paraId="0FE88E87" w14:textId="77777777" w:rsidR="00141B97" w:rsidRDefault="00911D63">
            <w:pPr>
              <w:pStyle w:val="TableParagraph"/>
              <w:spacing w:line="127" w:lineRule="exact"/>
              <w:ind w:right="47"/>
              <w:jc w:val="right"/>
              <w:rPr>
                <w:rFonts w:ascii="Arial"/>
                <w:sz w:val="12"/>
              </w:rPr>
            </w:pPr>
            <w:r>
              <w:rPr>
                <w:rFonts w:ascii="Arial"/>
                <w:spacing w:val="-2"/>
                <w:sz w:val="12"/>
              </w:rPr>
              <w:t>626.72</w:t>
            </w:r>
          </w:p>
        </w:tc>
        <w:tc>
          <w:tcPr>
            <w:tcW w:w="1094" w:type="dxa"/>
            <w:tcBorders>
              <w:top w:val="single" w:sz="6" w:space="0" w:color="D4D4D4"/>
              <w:left w:val="single" w:sz="6" w:space="0" w:color="D4D4D4"/>
              <w:bottom w:val="single" w:sz="6" w:space="0" w:color="D4D4D4"/>
              <w:right w:val="single" w:sz="6" w:space="0" w:color="D4D4D4"/>
            </w:tcBorders>
          </w:tcPr>
          <w:p w14:paraId="67B09214" w14:textId="77777777" w:rsidR="00141B97" w:rsidRDefault="00911D63">
            <w:pPr>
              <w:pStyle w:val="TableParagraph"/>
              <w:spacing w:line="127" w:lineRule="exact"/>
              <w:ind w:right="46"/>
              <w:jc w:val="right"/>
              <w:rPr>
                <w:rFonts w:ascii="Arial"/>
                <w:sz w:val="12"/>
              </w:rPr>
            </w:pPr>
            <w:r>
              <w:rPr>
                <w:rFonts w:ascii="Arial"/>
                <w:spacing w:val="-2"/>
                <w:sz w:val="12"/>
              </w:rPr>
              <w:t>631.04</w:t>
            </w:r>
          </w:p>
        </w:tc>
        <w:tc>
          <w:tcPr>
            <w:tcW w:w="962" w:type="dxa"/>
            <w:tcBorders>
              <w:top w:val="single" w:sz="6" w:space="0" w:color="D4D4D4"/>
              <w:left w:val="single" w:sz="6" w:space="0" w:color="D4D4D4"/>
              <w:bottom w:val="single" w:sz="6" w:space="0" w:color="D4D4D4"/>
              <w:right w:val="single" w:sz="6" w:space="0" w:color="D4D4D4"/>
            </w:tcBorders>
          </w:tcPr>
          <w:p w14:paraId="7BE0FC94" w14:textId="77777777" w:rsidR="00141B97" w:rsidRDefault="00911D63">
            <w:pPr>
              <w:pStyle w:val="TableParagraph"/>
              <w:spacing w:line="127" w:lineRule="exact"/>
              <w:ind w:right="49"/>
              <w:jc w:val="right"/>
              <w:rPr>
                <w:rFonts w:ascii="Arial"/>
                <w:sz w:val="12"/>
              </w:rPr>
            </w:pPr>
            <w:r>
              <w:rPr>
                <w:rFonts w:ascii="Arial"/>
                <w:spacing w:val="-2"/>
                <w:sz w:val="12"/>
              </w:rPr>
              <w:t>635.39</w:t>
            </w:r>
          </w:p>
        </w:tc>
        <w:tc>
          <w:tcPr>
            <w:tcW w:w="1155" w:type="dxa"/>
            <w:tcBorders>
              <w:top w:val="single" w:sz="6" w:space="0" w:color="D4D4D4"/>
              <w:left w:val="single" w:sz="6" w:space="0" w:color="D4D4D4"/>
              <w:bottom w:val="single" w:sz="6" w:space="0" w:color="D4D4D4"/>
              <w:right w:val="single" w:sz="6" w:space="0" w:color="D4D4D4"/>
            </w:tcBorders>
          </w:tcPr>
          <w:p w14:paraId="0146A884" w14:textId="77777777" w:rsidR="00141B97" w:rsidRDefault="00911D63">
            <w:pPr>
              <w:pStyle w:val="TableParagraph"/>
              <w:spacing w:line="127" w:lineRule="exact"/>
              <w:ind w:right="45"/>
              <w:jc w:val="right"/>
              <w:rPr>
                <w:rFonts w:ascii="Arial"/>
                <w:sz w:val="12"/>
              </w:rPr>
            </w:pPr>
            <w:r>
              <w:rPr>
                <w:rFonts w:ascii="Arial"/>
                <w:spacing w:val="-2"/>
                <w:sz w:val="12"/>
              </w:rPr>
              <w:t>639.77</w:t>
            </w:r>
          </w:p>
        </w:tc>
      </w:tr>
      <w:tr w:rsidR="00141B97" w14:paraId="70E3621B" w14:textId="77777777">
        <w:trPr>
          <w:trHeight w:val="309"/>
        </w:trPr>
        <w:tc>
          <w:tcPr>
            <w:tcW w:w="2543" w:type="dxa"/>
            <w:tcBorders>
              <w:top w:val="single" w:sz="6" w:space="0" w:color="D4D4D4"/>
              <w:left w:val="single" w:sz="6" w:space="0" w:color="D4D4D4"/>
              <w:bottom w:val="single" w:sz="6" w:space="0" w:color="D4D4D4"/>
              <w:right w:val="single" w:sz="6" w:space="0" w:color="D4D4D4"/>
            </w:tcBorders>
          </w:tcPr>
          <w:p w14:paraId="47A007CF" w14:textId="77777777" w:rsidR="00141B97" w:rsidRDefault="00911D63">
            <w:pPr>
              <w:pStyle w:val="TableParagraph"/>
              <w:spacing w:before="75"/>
              <w:ind w:left="23"/>
              <w:rPr>
                <w:rFonts w:ascii="Arial"/>
                <w:sz w:val="12"/>
              </w:rPr>
            </w:pPr>
            <w:r>
              <w:rPr>
                <w:rFonts w:ascii="Arial"/>
                <w:sz w:val="12"/>
              </w:rPr>
              <w:t>Usage</w:t>
            </w:r>
            <w:r>
              <w:rPr>
                <w:rFonts w:ascii="Arial"/>
                <w:spacing w:val="21"/>
                <w:sz w:val="12"/>
              </w:rPr>
              <w:t xml:space="preserve"> </w:t>
            </w:r>
            <w:r>
              <w:rPr>
                <w:rFonts w:ascii="Arial"/>
                <w:spacing w:val="-2"/>
                <w:sz w:val="12"/>
              </w:rPr>
              <w:t>Charge</w:t>
            </w:r>
          </w:p>
        </w:tc>
        <w:tc>
          <w:tcPr>
            <w:tcW w:w="922" w:type="dxa"/>
            <w:tcBorders>
              <w:top w:val="single" w:sz="6" w:space="0" w:color="D4D4D4"/>
              <w:left w:val="single" w:sz="6" w:space="0" w:color="D4D4D4"/>
              <w:bottom w:val="single" w:sz="6" w:space="0" w:color="D4D4D4"/>
              <w:right w:val="single" w:sz="6" w:space="0" w:color="D4D4D4"/>
            </w:tcBorders>
          </w:tcPr>
          <w:p w14:paraId="61587D7B" w14:textId="77777777" w:rsidR="00141B97" w:rsidRDefault="00911D63">
            <w:pPr>
              <w:pStyle w:val="TableParagraph"/>
              <w:spacing w:line="133"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ML</w:t>
            </w:r>
          </w:p>
          <w:p w14:paraId="1AD2C1C9" w14:textId="77777777" w:rsidR="00141B97" w:rsidRDefault="00911D63">
            <w:pPr>
              <w:pStyle w:val="TableParagraph"/>
              <w:spacing w:before="24" w:line="132" w:lineRule="exact"/>
              <w:ind w:left="24"/>
              <w:rPr>
                <w:rFonts w:ascii="Arial"/>
                <w:sz w:val="12"/>
              </w:rPr>
            </w:pPr>
            <w:r>
              <w:rPr>
                <w:rFonts w:ascii="Arial"/>
                <w:spacing w:val="-2"/>
                <w:sz w:val="12"/>
              </w:rPr>
              <w:t>Delivery</w:t>
            </w:r>
          </w:p>
        </w:tc>
        <w:tc>
          <w:tcPr>
            <w:tcW w:w="962" w:type="dxa"/>
            <w:tcBorders>
              <w:top w:val="single" w:sz="6" w:space="0" w:color="D4D4D4"/>
              <w:left w:val="single" w:sz="6" w:space="0" w:color="D4D4D4"/>
              <w:bottom w:val="single" w:sz="6" w:space="0" w:color="D4D4D4"/>
              <w:right w:val="single" w:sz="6" w:space="0" w:color="D4D4D4"/>
            </w:tcBorders>
          </w:tcPr>
          <w:p w14:paraId="2260F74A" w14:textId="77777777" w:rsidR="00141B97" w:rsidRDefault="00141B97">
            <w:pPr>
              <w:pStyle w:val="TableParagraph"/>
              <w:spacing w:before="10"/>
              <w:rPr>
                <w:sz w:val="12"/>
              </w:rPr>
            </w:pPr>
          </w:p>
          <w:p w14:paraId="7CFB9F5B" w14:textId="77777777" w:rsidR="00141B97" w:rsidRDefault="00911D63">
            <w:pPr>
              <w:pStyle w:val="TableParagraph"/>
              <w:spacing w:line="132" w:lineRule="exact"/>
              <w:ind w:right="48"/>
              <w:jc w:val="right"/>
              <w:rPr>
                <w:rFonts w:ascii="Arial"/>
                <w:sz w:val="12"/>
              </w:rPr>
            </w:pPr>
            <w:r>
              <w:rPr>
                <w:rFonts w:ascii="Arial"/>
                <w:spacing w:val="-2"/>
                <w:sz w:val="12"/>
              </w:rPr>
              <w:t>62.40</w:t>
            </w:r>
          </w:p>
        </w:tc>
        <w:tc>
          <w:tcPr>
            <w:tcW w:w="962" w:type="dxa"/>
            <w:tcBorders>
              <w:top w:val="single" w:sz="6" w:space="0" w:color="D4D4D4"/>
              <w:left w:val="single" w:sz="6" w:space="0" w:color="D4D4D4"/>
              <w:bottom w:val="single" w:sz="6" w:space="0" w:color="D4D4D4"/>
              <w:right w:val="single" w:sz="6" w:space="0" w:color="D4D4D4"/>
            </w:tcBorders>
          </w:tcPr>
          <w:p w14:paraId="5C1D5F37" w14:textId="77777777" w:rsidR="00141B97" w:rsidRDefault="00141B97">
            <w:pPr>
              <w:pStyle w:val="TableParagraph"/>
              <w:spacing w:before="10"/>
              <w:rPr>
                <w:sz w:val="12"/>
              </w:rPr>
            </w:pPr>
          </w:p>
          <w:p w14:paraId="6DDAB63E" w14:textId="77777777" w:rsidR="00141B97" w:rsidRDefault="00911D63">
            <w:pPr>
              <w:pStyle w:val="TableParagraph"/>
              <w:spacing w:line="132" w:lineRule="exact"/>
              <w:ind w:right="50"/>
              <w:jc w:val="right"/>
              <w:rPr>
                <w:rFonts w:ascii="Arial"/>
                <w:sz w:val="12"/>
              </w:rPr>
            </w:pPr>
            <w:r>
              <w:rPr>
                <w:rFonts w:ascii="Arial"/>
                <w:spacing w:val="-2"/>
                <w:sz w:val="12"/>
              </w:rPr>
              <w:t>59.44</w:t>
            </w:r>
          </w:p>
        </w:tc>
        <w:tc>
          <w:tcPr>
            <w:tcW w:w="1023" w:type="dxa"/>
            <w:tcBorders>
              <w:top w:val="single" w:sz="6" w:space="0" w:color="D4D4D4"/>
              <w:left w:val="single" w:sz="6" w:space="0" w:color="D4D4D4"/>
              <w:bottom w:val="single" w:sz="6" w:space="0" w:color="D4D4D4"/>
              <w:right w:val="single" w:sz="6" w:space="0" w:color="D4D4D4"/>
            </w:tcBorders>
          </w:tcPr>
          <w:p w14:paraId="7A8E4CA0" w14:textId="77777777" w:rsidR="00141B97" w:rsidRDefault="00141B97">
            <w:pPr>
              <w:pStyle w:val="TableParagraph"/>
              <w:spacing w:before="10"/>
              <w:rPr>
                <w:sz w:val="12"/>
              </w:rPr>
            </w:pPr>
          </w:p>
          <w:p w14:paraId="401E89BD" w14:textId="77777777" w:rsidR="00141B97" w:rsidRDefault="00911D63">
            <w:pPr>
              <w:pStyle w:val="TableParagraph"/>
              <w:spacing w:line="132" w:lineRule="exact"/>
              <w:ind w:right="50"/>
              <w:jc w:val="right"/>
              <w:rPr>
                <w:rFonts w:ascii="Arial"/>
                <w:sz w:val="12"/>
              </w:rPr>
            </w:pPr>
            <w:r>
              <w:rPr>
                <w:rFonts w:ascii="Arial"/>
                <w:spacing w:val="-2"/>
                <w:sz w:val="12"/>
              </w:rPr>
              <w:t>56.62</w:t>
            </w:r>
          </w:p>
        </w:tc>
        <w:tc>
          <w:tcPr>
            <w:tcW w:w="1094" w:type="dxa"/>
            <w:tcBorders>
              <w:top w:val="single" w:sz="6" w:space="0" w:color="D4D4D4"/>
              <w:left w:val="single" w:sz="6" w:space="0" w:color="D4D4D4"/>
              <w:bottom w:val="single" w:sz="6" w:space="0" w:color="D4D4D4"/>
              <w:right w:val="single" w:sz="6" w:space="0" w:color="D4D4D4"/>
            </w:tcBorders>
          </w:tcPr>
          <w:p w14:paraId="6E96FBFD" w14:textId="77777777" w:rsidR="00141B97" w:rsidRDefault="00141B97">
            <w:pPr>
              <w:pStyle w:val="TableParagraph"/>
              <w:spacing w:before="10"/>
              <w:rPr>
                <w:sz w:val="12"/>
              </w:rPr>
            </w:pPr>
          </w:p>
          <w:p w14:paraId="314DFB11" w14:textId="77777777" w:rsidR="00141B97" w:rsidRDefault="00911D63">
            <w:pPr>
              <w:pStyle w:val="TableParagraph"/>
              <w:spacing w:line="132" w:lineRule="exact"/>
              <w:ind w:right="49"/>
              <w:jc w:val="right"/>
              <w:rPr>
                <w:rFonts w:ascii="Arial"/>
                <w:sz w:val="12"/>
              </w:rPr>
            </w:pPr>
            <w:r>
              <w:rPr>
                <w:rFonts w:ascii="Arial"/>
                <w:spacing w:val="-2"/>
                <w:sz w:val="12"/>
              </w:rPr>
              <w:t>53.94</w:t>
            </w:r>
          </w:p>
        </w:tc>
        <w:tc>
          <w:tcPr>
            <w:tcW w:w="962" w:type="dxa"/>
            <w:tcBorders>
              <w:top w:val="single" w:sz="6" w:space="0" w:color="D4D4D4"/>
              <w:left w:val="single" w:sz="6" w:space="0" w:color="D4D4D4"/>
              <w:bottom w:val="single" w:sz="6" w:space="0" w:color="D4D4D4"/>
              <w:right w:val="single" w:sz="6" w:space="0" w:color="D4D4D4"/>
            </w:tcBorders>
          </w:tcPr>
          <w:p w14:paraId="17A59338" w14:textId="77777777" w:rsidR="00141B97" w:rsidRDefault="00141B97">
            <w:pPr>
              <w:pStyle w:val="TableParagraph"/>
              <w:spacing w:before="10"/>
              <w:rPr>
                <w:sz w:val="12"/>
              </w:rPr>
            </w:pPr>
          </w:p>
          <w:p w14:paraId="460D8F3B" w14:textId="77777777" w:rsidR="00141B97" w:rsidRDefault="00911D63">
            <w:pPr>
              <w:pStyle w:val="TableParagraph"/>
              <w:spacing w:line="132" w:lineRule="exact"/>
              <w:ind w:right="49"/>
              <w:jc w:val="right"/>
              <w:rPr>
                <w:rFonts w:ascii="Arial"/>
                <w:sz w:val="12"/>
              </w:rPr>
            </w:pPr>
            <w:r>
              <w:rPr>
                <w:rFonts w:ascii="Arial"/>
                <w:spacing w:val="-2"/>
                <w:sz w:val="12"/>
              </w:rPr>
              <w:t>51.38</w:t>
            </w:r>
          </w:p>
        </w:tc>
        <w:tc>
          <w:tcPr>
            <w:tcW w:w="1155" w:type="dxa"/>
            <w:tcBorders>
              <w:top w:val="single" w:sz="6" w:space="0" w:color="D4D4D4"/>
              <w:left w:val="single" w:sz="6" w:space="0" w:color="D4D4D4"/>
              <w:bottom w:val="single" w:sz="6" w:space="0" w:color="D4D4D4"/>
              <w:right w:val="single" w:sz="6" w:space="0" w:color="D4D4D4"/>
            </w:tcBorders>
          </w:tcPr>
          <w:p w14:paraId="113C93A4" w14:textId="77777777" w:rsidR="00141B97" w:rsidRDefault="00141B97">
            <w:pPr>
              <w:pStyle w:val="TableParagraph"/>
              <w:spacing w:before="10"/>
              <w:rPr>
                <w:sz w:val="12"/>
              </w:rPr>
            </w:pPr>
          </w:p>
          <w:p w14:paraId="5BF8BFCF" w14:textId="77777777" w:rsidR="00141B97" w:rsidRDefault="00911D63">
            <w:pPr>
              <w:pStyle w:val="TableParagraph"/>
              <w:spacing w:line="132" w:lineRule="exact"/>
              <w:ind w:right="48"/>
              <w:jc w:val="right"/>
              <w:rPr>
                <w:rFonts w:ascii="Arial"/>
                <w:sz w:val="12"/>
              </w:rPr>
            </w:pPr>
            <w:r>
              <w:rPr>
                <w:rFonts w:ascii="Arial"/>
                <w:spacing w:val="-2"/>
                <w:sz w:val="12"/>
              </w:rPr>
              <w:t>48.94</w:t>
            </w:r>
          </w:p>
        </w:tc>
      </w:tr>
      <w:tr w:rsidR="00141B97" w14:paraId="3613BDDC" w14:textId="77777777">
        <w:trPr>
          <w:trHeight w:val="150"/>
        </w:trPr>
        <w:tc>
          <w:tcPr>
            <w:tcW w:w="2543" w:type="dxa"/>
            <w:tcBorders>
              <w:top w:val="single" w:sz="6" w:space="0" w:color="D4D4D4"/>
              <w:left w:val="single" w:sz="6" w:space="0" w:color="D4D4D4"/>
              <w:bottom w:val="nil"/>
              <w:right w:val="single" w:sz="6" w:space="0" w:color="D4D4D4"/>
            </w:tcBorders>
          </w:tcPr>
          <w:p w14:paraId="5E3793F4" w14:textId="77777777" w:rsidR="00141B97" w:rsidRDefault="00911D63">
            <w:pPr>
              <w:pStyle w:val="TableParagraph"/>
              <w:spacing w:line="131" w:lineRule="exact"/>
              <w:ind w:left="23"/>
              <w:rPr>
                <w:rFonts w:ascii="Arial"/>
                <w:sz w:val="12"/>
              </w:rPr>
            </w:pPr>
            <w:r>
              <w:rPr>
                <w:rFonts w:ascii="Arial"/>
                <w:sz w:val="12"/>
              </w:rPr>
              <w:t>Garden</w:t>
            </w:r>
            <w:r>
              <w:rPr>
                <w:rFonts w:ascii="Arial"/>
                <w:spacing w:val="6"/>
                <w:sz w:val="12"/>
              </w:rPr>
              <w:t xml:space="preserve"> </w:t>
            </w:r>
            <w:r>
              <w:rPr>
                <w:rFonts w:ascii="Arial"/>
                <w:sz w:val="12"/>
              </w:rPr>
              <w:t xml:space="preserve">- </w:t>
            </w:r>
            <w:r>
              <w:rPr>
                <w:rFonts w:ascii="Arial"/>
                <w:spacing w:val="-2"/>
                <w:sz w:val="12"/>
              </w:rPr>
              <w:t>unmetered</w:t>
            </w:r>
          </w:p>
        </w:tc>
        <w:tc>
          <w:tcPr>
            <w:tcW w:w="922" w:type="dxa"/>
            <w:tcBorders>
              <w:top w:val="single" w:sz="6" w:space="0" w:color="D4D4D4"/>
              <w:left w:val="single" w:sz="6" w:space="0" w:color="D4D4D4"/>
              <w:bottom w:val="nil"/>
              <w:right w:val="single" w:sz="6" w:space="0" w:color="D4D4D4"/>
            </w:tcBorders>
          </w:tcPr>
          <w:p w14:paraId="1533D215" w14:textId="77777777" w:rsidR="00141B97" w:rsidRDefault="00911D63">
            <w:pPr>
              <w:pStyle w:val="TableParagraph"/>
              <w:spacing w:line="131"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property</w:t>
            </w:r>
          </w:p>
        </w:tc>
        <w:tc>
          <w:tcPr>
            <w:tcW w:w="962" w:type="dxa"/>
            <w:tcBorders>
              <w:top w:val="single" w:sz="6" w:space="0" w:color="D4D4D4"/>
              <w:left w:val="single" w:sz="6" w:space="0" w:color="D4D4D4"/>
              <w:bottom w:val="nil"/>
              <w:right w:val="single" w:sz="6" w:space="0" w:color="D4D4D4"/>
            </w:tcBorders>
          </w:tcPr>
          <w:p w14:paraId="000F2C53" w14:textId="77777777" w:rsidR="00141B97" w:rsidRDefault="00911D63">
            <w:pPr>
              <w:pStyle w:val="TableParagraph"/>
              <w:spacing w:line="131" w:lineRule="exact"/>
              <w:ind w:right="190"/>
              <w:jc w:val="right"/>
              <w:rPr>
                <w:rFonts w:ascii="Arial"/>
                <w:sz w:val="12"/>
              </w:rPr>
            </w:pPr>
            <w:r>
              <w:rPr>
                <w:rFonts w:ascii="Arial"/>
                <w:w w:val="101"/>
                <w:sz w:val="12"/>
              </w:rPr>
              <w:t>-</w:t>
            </w:r>
          </w:p>
        </w:tc>
        <w:tc>
          <w:tcPr>
            <w:tcW w:w="962" w:type="dxa"/>
            <w:tcBorders>
              <w:top w:val="single" w:sz="6" w:space="0" w:color="D4D4D4"/>
              <w:left w:val="single" w:sz="6" w:space="0" w:color="D4D4D4"/>
              <w:bottom w:val="nil"/>
              <w:right w:val="single" w:sz="6" w:space="0" w:color="D4D4D4"/>
            </w:tcBorders>
          </w:tcPr>
          <w:p w14:paraId="61242492" w14:textId="77777777" w:rsidR="00141B97" w:rsidRDefault="00911D63">
            <w:pPr>
              <w:pStyle w:val="TableParagraph"/>
              <w:spacing w:line="131"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nil"/>
              <w:right w:val="single" w:sz="6" w:space="0" w:color="D4D4D4"/>
            </w:tcBorders>
          </w:tcPr>
          <w:p w14:paraId="429BECA0" w14:textId="77777777" w:rsidR="00141B97" w:rsidRDefault="00911D63">
            <w:pPr>
              <w:pStyle w:val="TableParagraph"/>
              <w:spacing w:line="131"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nil"/>
              <w:right w:val="single" w:sz="6" w:space="0" w:color="D4D4D4"/>
            </w:tcBorders>
          </w:tcPr>
          <w:p w14:paraId="72D199B4" w14:textId="77777777" w:rsidR="00141B97" w:rsidRDefault="00911D63">
            <w:pPr>
              <w:pStyle w:val="TableParagraph"/>
              <w:spacing w:line="131"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nil"/>
              <w:right w:val="single" w:sz="6" w:space="0" w:color="D4D4D4"/>
            </w:tcBorders>
          </w:tcPr>
          <w:p w14:paraId="6E027796" w14:textId="77777777" w:rsidR="00141B97" w:rsidRDefault="00911D63">
            <w:pPr>
              <w:pStyle w:val="TableParagraph"/>
              <w:spacing w:line="131"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nil"/>
              <w:right w:val="single" w:sz="6" w:space="0" w:color="D4D4D4"/>
            </w:tcBorders>
          </w:tcPr>
          <w:p w14:paraId="6FB2B697" w14:textId="77777777" w:rsidR="00141B97" w:rsidRDefault="00911D63">
            <w:pPr>
              <w:pStyle w:val="TableParagraph"/>
              <w:spacing w:line="131" w:lineRule="exact"/>
              <w:ind w:right="187"/>
              <w:jc w:val="right"/>
              <w:rPr>
                <w:rFonts w:ascii="Arial"/>
                <w:sz w:val="12"/>
              </w:rPr>
            </w:pPr>
            <w:r>
              <w:rPr>
                <w:rFonts w:ascii="Arial"/>
                <w:w w:val="101"/>
                <w:sz w:val="12"/>
              </w:rPr>
              <w:t>-</w:t>
            </w:r>
          </w:p>
        </w:tc>
      </w:tr>
      <w:tr w:rsidR="00141B97" w14:paraId="5230E445" w14:textId="77777777">
        <w:trPr>
          <w:trHeight w:val="171"/>
        </w:trPr>
        <w:tc>
          <w:tcPr>
            <w:tcW w:w="9623" w:type="dxa"/>
            <w:gridSpan w:val="8"/>
            <w:tcBorders>
              <w:top w:val="nil"/>
              <w:left w:val="nil"/>
              <w:bottom w:val="nil"/>
              <w:right w:val="nil"/>
            </w:tcBorders>
            <w:shd w:val="clear" w:color="auto" w:fill="99CCFF"/>
          </w:tcPr>
          <w:p w14:paraId="2E677644" w14:textId="77777777" w:rsidR="00141B97" w:rsidRDefault="00911D63">
            <w:pPr>
              <w:pStyle w:val="TableParagraph"/>
              <w:spacing w:before="10"/>
              <w:ind w:left="31"/>
              <w:rPr>
                <w:rFonts w:ascii="Arial"/>
                <w:b/>
                <w:sz w:val="12"/>
              </w:rPr>
            </w:pPr>
            <w:r>
              <w:rPr>
                <w:rFonts w:ascii="Arial"/>
                <w:b/>
                <w:sz w:val="12"/>
              </w:rPr>
              <w:t>Mildura</w:t>
            </w:r>
            <w:r>
              <w:rPr>
                <w:rFonts w:ascii="Arial"/>
                <w:b/>
                <w:spacing w:val="-5"/>
                <w:sz w:val="12"/>
              </w:rPr>
              <w:t xml:space="preserve"> </w:t>
            </w:r>
            <w:r>
              <w:rPr>
                <w:rFonts w:ascii="Arial"/>
                <w:b/>
                <w:sz w:val="12"/>
              </w:rPr>
              <w:t>-</w:t>
            </w:r>
            <w:r>
              <w:rPr>
                <w:rFonts w:ascii="Arial"/>
                <w:b/>
                <w:spacing w:val="-8"/>
                <w:sz w:val="12"/>
              </w:rPr>
              <w:t xml:space="preserve"> </w:t>
            </w:r>
            <w:r>
              <w:rPr>
                <w:rFonts w:ascii="Arial"/>
                <w:b/>
                <w:spacing w:val="-2"/>
                <w:sz w:val="12"/>
              </w:rPr>
              <w:t>Drainage</w:t>
            </w:r>
          </w:p>
        </w:tc>
      </w:tr>
      <w:tr w:rsidR="00141B97" w14:paraId="375AE174" w14:textId="77777777">
        <w:trPr>
          <w:trHeight w:val="148"/>
        </w:trPr>
        <w:tc>
          <w:tcPr>
            <w:tcW w:w="2543" w:type="dxa"/>
            <w:tcBorders>
              <w:top w:val="nil"/>
              <w:left w:val="single" w:sz="6" w:space="0" w:color="D4D4D4"/>
              <w:bottom w:val="single" w:sz="6" w:space="0" w:color="D4D4D4"/>
              <w:right w:val="single" w:sz="6" w:space="0" w:color="D4D4D4"/>
            </w:tcBorders>
          </w:tcPr>
          <w:p w14:paraId="38B2158A"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1</w:t>
            </w:r>
          </w:p>
        </w:tc>
        <w:tc>
          <w:tcPr>
            <w:tcW w:w="922" w:type="dxa"/>
            <w:tcBorders>
              <w:top w:val="nil"/>
              <w:left w:val="single" w:sz="6" w:space="0" w:color="D4D4D4"/>
              <w:bottom w:val="single" w:sz="6" w:space="0" w:color="D4D4D4"/>
              <w:right w:val="single" w:sz="6" w:space="0" w:color="D4D4D4"/>
            </w:tcBorders>
          </w:tcPr>
          <w:p w14:paraId="22F12D3F"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nil"/>
              <w:left w:val="single" w:sz="6" w:space="0" w:color="D4D4D4"/>
              <w:bottom w:val="single" w:sz="6" w:space="0" w:color="D4D4D4"/>
              <w:right w:val="single" w:sz="6" w:space="0" w:color="D4D4D4"/>
            </w:tcBorders>
          </w:tcPr>
          <w:p w14:paraId="196182C3" w14:textId="77777777" w:rsidR="00141B97" w:rsidRDefault="00911D63">
            <w:pPr>
              <w:pStyle w:val="TableParagraph"/>
              <w:spacing w:line="129" w:lineRule="exact"/>
              <w:ind w:right="48"/>
              <w:jc w:val="right"/>
              <w:rPr>
                <w:rFonts w:ascii="Arial"/>
                <w:sz w:val="12"/>
              </w:rPr>
            </w:pPr>
            <w:r>
              <w:rPr>
                <w:rFonts w:ascii="Arial"/>
                <w:spacing w:val="-2"/>
                <w:sz w:val="12"/>
              </w:rPr>
              <w:t>59.36</w:t>
            </w:r>
          </w:p>
        </w:tc>
        <w:tc>
          <w:tcPr>
            <w:tcW w:w="962" w:type="dxa"/>
            <w:tcBorders>
              <w:top w:val="nil"/>
              <w:left w:val="single" w:sz="6" w:space="0" w:color="D4D4D4"/>
              <w:bottom w:val="single" w:sz="6" w:space="0" w:color="D4D4D4"/>
              <w:right w:val="single" w:sz="6" w:space="0" w:color="D4D4D4"/>
            </w:tcBorders>
          </w:tcPr>
          <w:p w14:paraId="4CE22125" w14:textId="77777777" w:rsidR="00141B97" w:rsidRDefault="00911D63">
            <w:pPr>
              <w:pStyle w:val="TableParagraph"/>
              <w:spacing w:line="129" w:lineRule="exact"/>
              <w:ind w:right="50"/>
              <w:jc w:val="right"/>
              <w:rPr>
                <w:rFonts w:ascii="Arial"/>
                <w:sz w:val="12"/>
              </w:rPr>
            </w:pPr>
            <w:r>
              <w:rPr>
                <w:rFonts w:ascii="Arial"/>
                <w:spacing w:val="-2"/>
                <w:sz w:val="12"/>
              </w:rPr>
              <w:t>59.67</w:t>
            </w:r>
          </w:p>
        </w:tc>
        <w:tc>
          <w:tcPr>
            <w:tcW w:w="1023" w:type="dxa"/>
            <w:tcBorders>
              <w:top w:val="nil"/>
              <w:left w:val="single" w:sz="6" w:space="0" w:color="D4D4D4"/>
              <w:bottom w:val="single" w:sz="6" w:space="0" w:color="D4D4D4"/>
              <w:right w:val="single" w:sz="6" w:space="0" w:color="D4D4D4"/>
            </w:tcBorders>
          </w:tcPr>
          <w:p w14:paraId="1A1E6C06" w14:textId="77777777" w:rsidR="00141B97" w:rsidRDefault="00911D63">
            <w:pPr>
              <w:pStyle w:val="TableParagraph"/>
              <w:spacing w:line="129" w:lineRule="exact"/>
              <w:ind w:right="50"/>
              <w:jc w:val="right"/>
              <w:rPr>
                <w:rFonts w:ascii="Arial"/>
                <w:sz w:val="12"/>
              </w:rPr>
            </w:pPr>
            <w:r>
              <w:rPr>
                <w:rFonts w:ascii="Arial"/>
                <w:spacing w:val="-2"/>
                <w:sz w:val="12"/>
              </w:rPr>
              <w:t>59.97</w:t>
            </w:r>
          </w:p>
        </w:tc>
        <w:tc>
          <w:tcPr>
            <w:tcW w:w="1094" w:type="dxa"/>
            <w:tcBorders>
              <w:top w:val="nil"/>
              <w:left w:val="single" w:sz="6" w:space="0" w:color="D4D4D4"/>
              <w:bottom w:val="single" w:sz="6" w:space="0" w:color="D4D4D4"/>
              <w:right w:val="single" w:sz="6" w:space="0" w:color="D4D4D4"/>
            </w:tcBorders>
          </w:tcPr>
          <w:p w14:paraId="1C22E505" w14:textId="77777777" w:rsidR="00141B97" w:rsidRDefault="00911D63">
            <w:pPr>
              <w:pStyle w:val="TableParagraph"/>
              <w:spacing w:line="129" w:lineRule="exact"/>
              <w:ind w:right="49"/>
              <w:jc w:val="right"/>
              <w:rPr>
                <w:rFonts w:ascii="Arial"/>
                <w:sz w:val="12"/>
              </w:rPr>
            </w:pPr>
            <w:r>
              <w:rPr>
                <w:rFonts w:ascii="Arial"/>
                <w:spacing w:val="-2"/>
                <w:sz w:val="12"/>
              </w:rPr>
              <w:t>60.28</w:t>
            </w:r>
          </w:p>
        </w:tc>
        <w:tc>
          <w:tcPr>
            <w:tcW w:w="962" w:type="dxa"/>
            <w:tcBorders>
              <w:top w:val="nil"/>
              <w:left w:val="single" w:sz="6" w:space="0" w:color="D4D4D4"/>
              <w:bottom w:val="single" w:sz="6" w:space="0" w:color="D4D4D4"/>
              <w:right w:val="single" w:sz="6" w:space="0" w:color="D4D4D4"/>
            </w:tcBorders>
          </w:tcPr>
          <w:p w14:paraId="01B8A532" w14:textId="77777777" w:rsidR="00141B97" w:rsidRDefault="00911D63">
            <w:pPr>
              <w:pStyle w:val="TableParagraph"/>
              <w:spacing w:line="129" w:lineRule="exact"/>
              <w:ind w:right="49"/>
              <w:jc w:val="right"/>
              <w:rPr>
                <w:rFonts w:ascii="Arial"/>
                <w:sz w:val="12"/>
              </w:rPr>
            </w:pPr>
            <w:r>
              <w:rPr>
                <w:rFonts w:ascii="Arial"/>
                <w:spacing w:val="-2"/>
                <w:sz w:val="12"/>
              </w:rPr>
              <w:t>60.59</w:t>
            </w:r>
          </w:p>
        </w:tc>
        <w:tc>
          <w:tcPr>
            <w:tcW w:w="1155" w:type="dxa"/>
            <w:tcBorders>
              <w:top w:val="nil"/>
              <w:left w:val="single" w:sz="6" w:space="0" w:color="D4D4D4"/>
              <w:bottom w:val="single" w:sz="6" w:space="0" w:color="D4D4D4"/>
              <w:right w:val="single" w:sz="6" w:space="0" w:color="D4D4D4"/>
            </w:tcBorders>
          </w:tcPr>
          <w:p w14:paraId="23A6215E" w14:textId="77777777" w:rsidR="00141B97" w:rsidRDefault="00911D63">
            <w:pPr>
              <w:pStyle w:val="TableParagraph"/>
              <w:spacing w:line="129" w:lineRule="exact"/>
              <w:ind w:right="48"/>
              <w:jc w:val="right"/>
              <w:rPr>
                <w:rFonts w:ascii="Arial"/>
                <w:sz w:val="12"/>
              </w:rPr>
            </w:pPr>
            <w:r>
              <w:rPr>
                <w:rFonts w:ascii="Arial"/>
                <w:spacing w:val="-2"/>
                <w:sz w:val="12"/>
              </w:rPr>
              <w:t>60.90</w:t>
            </w:r>
          </w:p>
        </w:tc>
      </w:tr>
      <w:tr w:rsidR="00141B97" w14:paraId="190AB6CE" w14:textId="77777777">
        <w:trPr>
          <w:trHeight w:val="148"/>
        </w:trPr>
        <w:tc>
          <w:tcPr>
            <w:tcW w:w="2543" w:type="dxa"/>
            <w:tcBorders>
              <w:top w:val="single" w:sz="6" w:space="0" w:color="D4D4D4"/>
              <w:left w:val="single" w:sz="6" w:space="0" w:color="D4D4D4"/>
              <w:bottom w:val="single" w:sz="6" w:space="0" w:color="D4D4D4"/>
              <w:right w:val="single" w:sz="6" w:space="0" w:color="D4D4D4"/>
            </w:tcBorders>
          </w:tcPr>
          <w:p w14:paraId="3487E281" w14:textId="77777777" w:rsidR="00141B97" w:rsidRDefault="00911D63">
            <w:pPr>
              <w:pStyle w:val="TableParagraph"/>
              <w:spacing w:line="128"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2</w:t>
            </w:r>
          </w:p>
        </w:tc>
        <w:tc>
          <w:tcPr>
            <w:tcW w:w="922" w:type="dxa"/>
            <w:tcBorders>
              <w:top w:val="single" w:sz="6" w:space="0" w:color="D4D4D4"/>
              <w:left w:val="single" w:sz="6" w:space="0" w:color="D4D4D4"/>
              <w:bottom w:val="single" w:sz="6" w:space="0" w:color="D4D4D4"/>
              <w:right w:val="single" w:sz="6" w:space="0" w:color="D4D4D4"/>
            </w:tcBorders>
          </w:tcPr>
          <w:p w14:paraId="5C092DA7" w14:textId="77777777" w:rsidR="00141B97" w:rsidRDefault="00911D63">
            <w:pPr>
              <w:pStyle w:val="TableParagraph"/>
              <w:spacing w:line="128"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single" w:sz="6" w:space="0" w:color="D4D4D4"/>
              <w:right w:val="single" w:sz="6" w:space="0" w:color="D4D4D4"/>
            </w:tcBorders>
          </w:tcPr>
          <w:p w14:paraId="672941BF" w14:textId="77777777" w:rsidR="00141B97" w:rsidRDefault="00911D63">
            <w:pPr>
              <w:pStyle w:val="TableParagraph"/>
              <w:spacing w:line="128" w:lineRule="exact"/>
              <w:ind w:right="48"/>
              <w:jc w:val="right"/>
              <w:rPr>
                <w:rFonts w:ascii="Arial"/>
                <w:sz w:val="12"/>
              </w:rPr>
            </w:pPr>
            <w:r>
              <w:rPr>
                <w:rFonts w:ascii="Arial"/>
                <w:spacing w:val="-2"/>
                <w:sz w:val="12"/>
              </w:rPr>
              <w:t>44.48</w:t>
            </w:r>
          </w:p>
        </w:tc>
        <w:tc>
          <w:tcPr>
            <w:tcW w:w="962" w:type="dxa"/>
            <w:tcBorders>
              <w:top w:val="single" w:sz="6" w:space="0" w:color="D4D4D4"/>
              <w:left w:val="single" w:sz="6" w:space="0" w:color="D4D4D4"/>
              <w:bottom w:val="single" w:sz="6" w:space="0" w:color="D4D4D4"/>
              <w:right w:val="single" w:sz="6" w:space="0" w:color="D4D4D4"/>
            </w:tcBorders>
          </w:tcPr>
          <w:p w14:paraId="34CC33AC" w14:textId="77777777" w:rsidR="00141B97" w:rsidRDefault="00911D63">
            <w:pPr>
              <w:pStyle w:val="TableParagraph"/>
              <w:spacing w:line="128"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single" w:sz="6" w:space="0" w:color="D4D4D4"/>
              <w:right w:val="single" w:sz="6" w:space="0" w:color="D4D4D4"/>
            </w:tcBorders>
          </w:tcPr>
          <w:p w14:paraId="18E72DEB" w14:textId="77777777" w:rsidR="00141B97" w:rsidRDefault="00911D63">
            <w:pPr>
              <w:pStyle w:val="TableParagraph"/>
              <w:spacing w:line="128"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single" w:sz="6" w:space="0" w:color="D4D4D4"/>
              <w:right w:val="single" w:sz="6" w:space="0" w:color="D4D4D4"/>
            </w:tcBorders>
          </w:tcPr>
          <w:p w14:paraId="77D96171" w14:textId="77777777" w:rsidR="00141B97" w:rsidRDefault="00911D63">
            <w:pPr>
              <w:pStyle w:val="TableParagraph"/>
              <w:spacing w:line="128"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single" w:sz="6" w:space="0" w:color="D4D4D4"/>
              <w:right w:val="single" w:sz="6" w:space="0" w:color="D4D4D4"/>
            </w:tcBorders>
          </w:tcPr>
          <w:p w14:paraId="697C1A6B" w14:textId="77777777" w:rsidR="00141B97" w:rsidRDefault="00911D63">
            <w:pPr>
              <w:pStyle w:val="TableParagraph"/>
              <w:spacing w:line="128"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single" w:sz="6" w:space="0" w:color="D4D4D4"/>
              <w:right w:val="single" w:sz="6" w:space="0" w:color="D4D4D4"/>
            </w:tcBorders>
          </w:tcPr>
          <w:p w14:paraId="590E6A23" w14:textId="77777777" w:rsidR="00141B97" w:rsidRDefault="00911D63">
            <w:pPr>
              <w:pStyle w:val="TableParagraph"/>
              <w:spacing w:line="128" w:lineRule="exact"/>
              <w:ind w:right="187"/>
              <w:jc w:val="right"/>
              <w:rPr>
                <w:rFonts w:ascii="Arial"/>
                <w:sz w:val="12"/>
              </w:rPr>
            </w:pPr>
            <w:r>
              <w:rPr>
                <w:rFonts w:ascii="Arial"/>
                <w:w w:val="101"/>
                <w:sz w:val="12"/>
              </w:rPr>
              <w:t>-</w:t>
            </w:r>
          </w:p>
        </w:tc>
      </w:tr>
      <w:tr w:rsidR="00141B97" w14:paraId="42903300" w14:textId="77777777">
        <w:trPr>
          <w:trHeight w:val="146"/>
        </w:trPr>
        <w:tc>
          <w:tcPr>
            <w:tcW w:w="2543" w:type="dxa"/>
            <w:tcBorders>
              <w:top w:val="single" w:sz="6" w:space="0" w:color="D4D4D4"/>
              <w:left w:val="single" w:sz="6" w:space="0" w:color="D4D4D4"/>
              <w:bottom w:val="single" w:sz="6" w:space="0" w:color="D4D4D4"/>
              <w:right w:val="single" w:sz="6" w:space="0" w:color="D4D4D4"/>
            </w:tcBorders>
          </w:tcPr>
          <w:p w14:paraId="4B13BA80" w14:textId="77777777" w:rsidR="00141B97" w:rsidRDefault="00911D63">
            <w:pPr>
              <w:pStyle w:val="TableParagraph"/>
              <w:spacing w:line="127"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3</w:t>
            </w:r>
          </w:p>
        </w:tc>
        <w:tc>
          <w:tcPr>
            <w:tcW w:w="922" w:type="dxa"/>
            <w:tcBorders>
              <w:top w:val="single" w:sz="6" w:space="0" w:color="D4D4D4"/>
              <w:left w:val="single" w:sz="6" w:space="0" w:color="D4D4D4"/>
              <w:bottom w:val="single" w:sz="6" w:space="0" w:color="D4D4D4"/>
              <w:right w:val="single" w:sz="6" w:space="0" w:color="D4D4D4"/>
            </w:tcBorders>
          </w:tcPr>
          <w:p w14:paraId="4EE6AD25"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single" w:sz="6" w:space="0" w:color="D4D4D4"/>
              <w:right w:val="single" w:sz="6" w:space="0" w:color="D4D4D4"/>
            </w:tcBorders>
          </w:tcPr>
          <w:p w14:paraId="028D4CD2" w14:textId="77777777" w:rsidR="00141B97" w:rsidRDefault="00911D63">
            <w:pPr>
              <w:pStyle w:val="TableParagraph"/>
              <w:spacing w:line="127" w:lineRule="exact"/>
              <w:ind w:right="48"/>
              <w:jc w:val="right"/>
              <w:rPr>
                <w:rFonts w:ascii="Arial"/>
                <w:sz w:val="12"/>
              </w:rPr>
            </w:pPr>
            <w:r>
              <w:rPr>
                <w:rFonts w:ascii="Arial"/>
                <w:spacing w:val="-2"/>
                <w:sz w:val="12"/>
              </w:rPr>
              <w:t>29.60</w:t>
            </w:r>
          </w:p>
        </w:tc>
        <w:tc>
          <w:tcPr>
            <w:tcW w:w="962" w:type="dxa"/>
            <w:tcBorders>
              <w:top w:val="single" w:sz="6" w:space="0" w:color="D4D4D4"/>
              <w:left w:val="single" w:sz="6" w:space="0" w:color="D4D4D4"/>
              <w:bottom w:val="single" w:sz="6" w:space="0" w:color="D4D4D4"/>
              <w:right w:val="single" w:sz="6" w:space="0" w:color="D4D4D4"/>
            </w:tcBorders>
          </w:tcPr>
          <w:p w14:paraId="01C8C8BE" w14:textId="77777777" w:rsidR="00141B97" w:rsidRDefault="00911D63">
            <w:pPr>
              <w:pStyle w:val="TableParagraph"/>
              <w:spacing w:line="127"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single" w:sz="6" w:space="0" w:color="D4D4D4"/>
              <w:right w:val="single" w:sz="6" w:space="0" w:color="D4D4D4"/>
            </w:tcBorders>
          </w:tcPr>
          <w:p w14:paraId="0EC9DA33" w14:textId="77777777" w:rsidR="00141B97" w:rsidRDefault="00911D63">
            <w:pPr>
              <w:pStyle w:val="TableParagraph"/>
              <w:spacing w:line="127"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single" w:sz="6" w:space="0" w:color="D4D4D4"/>
              <w:right w:val="single" w:sz="6" w:space="0" w:color="D4D4D4"/>
            </w:tcBorders>
          </w:tcPr>
          <w:p w14:paraId="70C49157" w14:textId="77777777" w:rsidR="00141B97" w:rsidRDefault="00911D63">
            <w:pPr>
              <w:pStyle w:val="TableParagraph"/>
              <w:spacing w:line="127"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single" w:sz="6" w:space="0" w:color="D4D4D4"/>
              <w:right w:val="single" w:sz="6" w:space="0" w:color="D4D4D4"/>
            </w:tcBorders>
          </w:tcPr>
          <w:p w14:paraId="40089F60" w14:textId="77777777" w:rsidR="00141B97" w:rsidRDefault="00911D63">
            <w:pPr>
              <w:pStyle w:val="TableParagraph"/>
              <w:spacing w:line="127"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single" w:sz="6" w:space="0" w:color="D4D4D4"/>
              <w:right w:val="single" w:sz="6" w:space="0" w:color="D4D4D4"/>
            </w:tcBorders>
          </w:tcPr>
          <w:p w14:paraId="25D6F560" w14:textId="77777777" w:rsidR="00141B97" w:rsidRDefault="00911D63">
            <w:pPr>
              <w:pStyle w:val="TableParagraph"/>
              <w:spacing w:line="127" w:lineRule="exact"/>
              <w:ind w:right="187"/>
              <w:jc w:val="right"/>
              <w:rPr>
                <w:rFonts w:ascii="Arial"/>
                <w:sz w:val="12"/>
              </w:rPr>
            </w:pPr>
            <w:r>
              <w:rPr>
                <w:rFonts w:ascii="Arial"/>
                <w:w w:val="101"/>
                <w:sz w:val="12"/>
              </w:rPr>
              <w:t>-</w:t>
            </w:r>
          </w:p>
        </w:tc>
      </w:tr>
      <w:tr w:rsidR="00141B97" w14:paraId="7A86F28C" w14:textId="77777777">
        <w:trPr>
          <w:trHeight w:val="149"/>
        </w:trPr>
        <w:tc>
          <w:tcPr>
            <w:tcW w:w="2543" w:type="dxa"/>
            <w:tcBorders>
              <w:top w:val="single" w:sz="6" w:space="0" w:color="D4D4D4"/>
              <w:left w:val="single" w:sz="6" w:space="0" w:color="D4D4D4"/>
              <w:bottom w:val="nil"/>
              <w:right w:val="single" w:sz="6" w:space="0" w:color="D4D4D4"/>
            </w:tcBorders>
          </w:tcPr>
          <w:p w14:paraId="310159A6"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4</w:t>
            </w:r>
          </w:p>
        </w:tc>
        <w:tc>
          <w:tcPr>
            <w:tcW w:w="922" w:type="dxa"/>
            <w:tcBorders>
              <w:top w:val="single" w:sz="6" w:space="0" w:color="D4D4D4"/>
              <w:left w:val="single" w:sz="6" w:space="0" w:color="D4D4D4"/>
              <w:bottom w:val="nil"/>
              <w:right w:val="single" w:sz="6" w:space="0" w:color="D4D4D4"/>
            </w:tcBorders>
          </w:tcPr>
          <w:p w14:paraId="1BD8F632"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nil"/>
              <w:right w:val="single" w:sz="6" w:space="0" w:color="D4D4D4"/>
            </w:tcBorders>
          </w:tcPr>
          <w:p w14:paraId="6D699B2D" w14:textId="77777777" w:rsidR="00141B97" w:rsidRDefault="00911D63">
            <w:pPr>
              <w:pStyle w:val="TableParagraph"/>
              <w:spacing w:line="129" w:lineRule="exact"/>
              <w:ind w:right="48"/>
              <w:jc w:val="right"/>
              <w:rPr>
                <w:rFonts w:ascii="Arial"/>
                <w:sz w:val="12"/>
              </w:rPr>
            </w:pPr>
            <w:r>
              <w:rPr>
                <w:rFonts w:ascii="Arial"/>
                <w:spacing w:val="-2"/>
                <w:sz w:val="12"/>
              </w:rPr>
              <w:t>14.84</w:t>
            </w:r>
          </w:p>
        </w:tc>
        <w:tc>
          <w:tcPr>
            <w:tcW w:w="962" w:type="dxa"/>
            <w:tcBorders>
              <w:top w:val="single" w:sz="6" w:space="0" w:color="D4D4D4"/>
              <w:left w:val="single" w:sz="6" w:space="0" w:color="D4D4D4"/>
              <w:bottom w:val="nil"/>
              <w:right w:val="single" w:sz="6" w:space="0" w:color="D4D4D4"/>
            </w:tcBorders>
          </w:tcPr>
          <w:p w14:paraId="07730456" w14:textId="77777777" w:rsidR="00141B97" w:rsidRDefault="00911D63">
            <w:pPr>
              <w:pStyle w:val="TableParagraph"/>
              <w:spacing w:line="129"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nil"/>
              <w:right w:val="single" w:sz="6" w:space="0" w:color="D4D4D4"/>
            </w:tcBorders>
          </w:tcPr>
          <w:p w14:paraId="627A1BCD" w14:textId="77777777" w:rsidR="00141B97" w:rsidRDefault="00911D63">
            <w:pPr>
              <w:pStyle w:val="TableParagraph"/>
              <w:spacing w:line="129"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nil"/>
              <w:right w:val="single" w:sz="6" w:space="0" w:color="D4D4D4"/>
            </w:tcBorders>
          </w:tcPr>
          <w:p w14:paraId="01896909" w14:textId="77777777" w:rsidR="00141B97" w:rsidRDefault="00911D63">
            <w:pPr>
              <w:pStyle w:val="TableParagraph"/>
              <w:spacing w:line="129"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nil"/>
              <w:right w:val="single" w:sz="6" w:space="0" w:color="D4D4D4"/>
            </w:tcBorders>
          </w:tcPr>
          <w:p w14:paraId="0F8F1E6B" w14:textId="77777777" w:rsidR="00141B97" w:rsidRDefault="00911D63">
            <w:pPr>
              <w:pStyle w:val="TableParagraph"/>
              <w:spacing w:line="129"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nil"/>
              <w:right w:val="single" w:sz="6" w:space="0" w:color="D4D4D4"/>
            </w:tcBorders>
          </w:tcPr>
          <w:p w14:paraId="008E9F6E" w14:textId="77777777" w:rsidR="00141B97" w:rsidRDefault="00911D63">
            <w:pPr>
              <w:pStyle w:val="TableParagraph"/>
              <w:spacing w:line="129" w:lineRule="exact"/>
              <w:ind w:right="187"/>
              <w:jc w:val="right"/>
              <w:rPr>
                <w:rFonts w:ascii="Arial"/>
                <w:sz w:val="12"/>
              </w:rPr>
            </w:pPr>
            <w:r>
              <w:rPr>
                <w:rFonts w:ascii="Arial"/>
                <w:w w:val="101"/>
                <w:sz w:val="12"/>
              </w:rPr>
              <w:t>-</w:t>
            </w:r>
          </w:p>
        </w:tc>
      </w:tr>
      <w:tr w:rsidR="00141B97" w14:paraId="61BF4139" w14:textId="77777777">
        <w:trPr>
          <w:trHeight w:val="172"/>
        </w:trPr>
        <w:tc>
          <w:tcPr>
            <w:tcW w:w="9623" w:type="dxa"/>
            <w:gridSpan w:val="8"/>
            <w:tcBorders>
              <w:top w:val="nil"/>
              <w:left w:val="nil"/>
              <w:bottom w:val="nil"/>
              <w:right w:val="nil"/>
            </w:tcBorders>
            <w:shd w:val="clear" w:color="auto" w:fill="99CCFF"/>
          </w:tcPr>
          <w:p w14:paraId="2613D42B" w14:textId="77777777" w:rsidR="00141B97" w:rsidRDefault="00911D63">
            <w:pPr>
              <w:pStyle w:val="TableParagraph"/>
              <w:spacing w:before="11"/>
              <w:ind w:left="31"/>
              <w:rPr>
                <w:rFonts w:ascii="Arial"/>
                <w:b/>
                <w:sz w:val="12"/>
              </w:rPr>
            </w:pPr>
            <w:r>
              <w:rPr>
                <w:rFonts w:ascii="Arial"/>
                <w:b/>
                <w:sz w:val="12"/>
              </w:rPr>
              <w:t>Mildura</w:t>
            </w:r>
            <w:r>
              <w:rPr>
                <w:rFonts w:ascii="Arial"/>
                <w:b/>
                <w:spacing w:val="-5"/>
                <w:sz w:val="12"/>
              </w:rPr>
              <w:t xml:space="preserve"> </w:t>
            </w:r>
            <w:r>
              <w:rPr>
                <w:rFonts w:ascii="Arial"/>
                <w:b/>
                <w:sz w:val="12"/>
              </w:rPr>
              <w:t>-</w:t>
            </w:r>
            <w:r>
              <w:rPr>
                <w:rFonts w:ascii="Arial"/>
                <w:b/>
                <w:spacing w:val="-8"/>
                <w:sz w:val="12"/>
              </w:rPr>
              <w:t xml:space="preserve"> </w:t>
            </w:r>
            <w:r>
              <w:rPr>
                <w:rFonts w:ascii="Arial"/>
                <w:b/>
                <w:spacing w:val="-5"/>
                <w:sz w:val="12"/>
              </w:rPr>
              <w:t>HPS</w:t>
            </w:r>
          </w:p>
        </w:tc>
      </w:tr>
      <w:tr w:rsidR="00141B97" w14:paraId="17C7F8CA" w14:textId="77777777">
        <w:trPr>
          <w:trHeight w:val="152"/>
        </w:trPr>
        <w:tc>
          <w:tcPr>
            <w:tcW w:w="2543" w:type="dxa"/>
            <w:tcBorders>
              <w:top w:val="nil"/>
              <w:left w:val="single" w:sz="6" w:space="0" w:color="D4D4D4"/>
              <w:right w:val="single" w:sz="6" w:space="0" w:color="D4D4D4"/>
            </w:tcBorders>
          </w:tcPr>
          <w:p w14:paraId="01360C1D" w14:textId="77777777" w:rsidR="00141B97" w:rsidRDefault="00911D63">
            <w:pPr>
              <w:pStyle w:val="TableParagraph"/>
              <w:spacing w:line="132"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nil"/>
              <w:left w:val="single" w:sz="6" w:space="0" w:color="D4D4D4"/>
              <w:right w:val="single" w:sz="6" w:space="0" w:color="D4D4D4"/>
            </w:tcBorders>
          </w:tcPr>
          <w:p w14:paraId="117B774D" w14:textId="77777777" w:rsidR="00141B97" w:rsidRDefault="00911D63">
            <w:pPr>
              <w:pStyle w:val="TableParagraph"/>
              <w:spacing w:line="132"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nil"/>
              <w:left w:val="single" w:sz="6" w:space="0" w:color="D4D4D4"/>
              <w:right w:val="single" w:sz="6" w:space="0" w:color="D4D4D4"/>
            </w:tcBorders>
          </w:tcPr>
          <w:p w14:paraId="489C7261" w14:textId="77777777" w:rsidR="00141B97" w:rsidRDefault="00911D63">
            <w:pPr>
              <w:pStyle w:val="TableParagraph"/>
              <w:spacing w:line="132" w:lineRule="exact"/>
              <w:ind w:right="48"/>
              <w:jc w:val="right"/>
              <w:rPr>
                <w:rFonts w:ascii="Arial"/>
                <w:sz w:val="12"/>
              </w:rPr>
            </w:pPr>
            <w:r>
              <w:rPr>
                <w:rFonts w:ascii="Arial"/>
                <w:spacing w:val="-2"/>
                <w:sz w:val="12"/>
              </w:rPr>
              <w:t>100.00</w:t>
            </w:r>
          </w:p>
        </w:tc>
        <w:tc>
          <w:tcPr>
            <w:tcW w:w="962" w:type="dxa"/>
            <w:tcBorders>
              <w:top w:val="nil"/>
              <w:left w:val="single" w:sz="6" w:space="0" w:color="D4D4D4"/>
              <w:right w:val="single" w:sz="6" w:space="0" w:color="D4D4D4"/>
            </w:tcBorders>
          </w:tcPr>
          <w:p w14:paraId="34DCDB6D" w14:textId="77777777" w:rsidR="00141B97" w:rsidRDefault="00911D63">
            <w:pPr>
              <w:pStyle w:val="TableParagraph"/>
              <w:spacing w:line="132" w:lineRule="exact"/>
              <w:ind w:right="50"/>
              <w:jc w:val="right"/>
              <w:rPr>
                <w:rFonts w:ascii="Arial"/>
                <w:sz w:val="12"/>
              </w:rPr>
            </w:pPr>
            <w:r>
              <w:rPr>
                <w:rFonts w:ascii="Arial"/>
                <w:spacing w:val="-2"/>
                <w:sz w:val="12"/>
              </w:rPr>
              <w:t>97.09</w:t>
            </w:r>
          </w:p>
        </w:tc>
        <w:tc>
          <w:tcPr>
            <w:tcW w:w="1023" w:type="dxa"/>
            <w:tcBorders>
              <w:top w:val="nil"/>
              <w:left w:val="single" w:sz="6" w:space="0" w:color="D4D4D4"/>
              <w:right w:val="single" w:sz="6" w:space="0" w:color="D4D4D4"/>
            </w:tcBorders>
          </w:tcPr>
          <w:p w14:paraId="17DAC136" w14:textId="77777777" w:rsidR="00141B97" w:rsidRDefault="00911D63">
            <w:pPr>
              <w:pStyle w:val="TableParagraph"/>
              <w:spacing w:line="132" w:lineRule="exact"/>
              <w:ind w:right="50"/>
              <w:jc w:val="right"/>
              <w:rPr>
                <w:rFonts w:ascii="Arial"/>
                <w:sz w:val="12"/>
              </w:rPr>
            </w:pPr>
            <w:r>
              <w:rPr>
                <w:rFonts w:ascii="Arial"/>
                <w:spacing w:val="-2"/>
                <w:sz w:val="12"/>
              </w:rPr>
              <w:t>94.26</w:t>
            </w:r>
          </w:p>
        </w:tc>
        <w:tc>
          <w:tcPr>
            <w:tcW w:w="1094" w:type="dxa"/>
            <w:tcBorders>
              <w:top w:val="nil"/>
              <w:left w:val="single" w:sz="6" w:space="0" w:color="D4D4D4"/>
              <w:right w:val="single" w:sz="6" w:space="0" w:color="D4D4D4"/>
            </w:tcBorders>
          </w:tcPr>
          <w:p w14:paraId="3E32FB93" w14:textId="77777777" w:rsidR="00141B97" w:rsidRDefault="00911D63">
            <w:pPr>
              <w:pStyle w:val="TableParagraph"/>
              <w:spacing w:line="132" w:lineRule="exact"/>
              <w:ind w:right="49"/>
              <w:jc w:val="right"/>
              <w:rPr>
                <w:rFonts w:ascii="Arial"/>
                <w:sz w:val="12"/>
              </w:rPr>
            </w:pPr>
            <w:r>
              <w:rPr>
                <w:rFonts w:ascii="Arial"/>
                <w:spacing w:val="-2"/>
                <w:sz w:val="12"/>
              </w:rPr>
              <w:t>91.51</w:t>
            </w:r>
          </w:p>
        </w:tc>
        <w:tc>
          <w:tcPr>
            <w:tcW w:w="962" w:type="dxa"/>
            <w:tcBorders>
              <w:top w:val="nil"/>
              <w:left w:val="single" w:sz="6" w:space="0" w:color="D4D4D4"/>
              <w:right w:val="single" w:sz="6" w:space="0" w:color="D4D4D4"/>
            </w:tcBorders>
          </w:tcPr>
          <w:p w14:paraId="44EA10C4" w14:textId="77777777" w:rsidR="00141B97" w:rsidRDefault="00911D63">
            <w:pPr>
              <w:pStyle w:val="TableParagraph"/>
              <w:spacing w:line="132" w:lineRule="exact"/>
              <w:ind w:right="49"/>
              <w:jc w:val="right"/>
              <w:rPr>
                <w:rFonts w:ascii="Arial"/>
                <w:sz w:val="12"/>
              </w:rPr>
            </w:pPr>
            <w:r>
              <w:rPr>
                <w:rFonts w:ascii="Arial"/>
                <w:spacing w:val="-2"/>
                <w:sz w:val="12"/>
              </w:rPr>
              <w:t>88.85</w:t>
            </w:r>
          </w:p>
        </w:tc>
        <w:tc>
          <w:tcPr>
            <w:tcW w:w="1155" w:type="dxa"/>
            <w:tcBorders>
              <w:top w:val="nil"/>
              <w:left w:val="single" w:sz="6" w:space="0" w:color="D4D4D4"/>
              <w:right w:val="single" w:sz="6" w:space="0" w:color="D4D4D4"/>
            </w:tcBorders>
          </w:tcPr>
          <w:p w14:paraId="62920B4A" w14:textId="77777777" w:rsidR="00141B97" w:rsidRDefault="00911D63">
            <w:pPr>
              <w:pStyle w:val="TableParagraph"/>
              <w:spacing w:line="132" w:lineRule="exact"/>
              <w:ind w:right="48"/>
              <w:jc w:val="right"/>
              <w:rPr>
                <w:rFonts w:ascii="Arial"/>
                <w:sz w:val="12"/>
              </w:rPr>
            </w:pPr>
            <w:r>
              <w:rPr>
                <w:rFonts w:ascii="Arial"/>
                <w:spacing w:val="-2"/>
                <w:sz w:val="12"/>
              </w:rPr>
              <w:t>86.26</w:t>
            </w:r>
          </w:p>
        </w:tc>
      </w:tr>
      <w:tr w:rsidR="00141B97" w14:paraId="32D45FD8" w14:textId="77777777">
        <w:trPr>
          <w:trHeight w:val="152"/>
        </w:trPr>
        <w:tc>
          <w:tcPr>
            <w:tcW w:w="2543" w:type="dxa"/>
            <w:tcBorders>
              <w:left w:val="single" w:sz="6" w:space="0" w:color="D4D4D4"/>
              <w:right w:val="single" w:sz="6" w:space="0" w:color="D4D4D4"/>
            </w:tcBorders>
          </w:tcPr>
          <w:p w14:paraId="6DA02E3A" w14:textId="77777777" w:rsidR="00141B97" w:rsidRDefault="00911D63">
            <w:pPr>
              <w:pStyle w:val="TableParagraph"/>
              <w:spacing w:line="132" w:lineRule="exact"/>
              <w:ind w:left="23"/>
              <w:rPr>
                <w:rFonts w:ascii="Arial"/>
                <w:sz w:val="12"/>
              </w:rPr>
            </w:pPr>
            <w:r>
              <w:rPr>
                <w:rFonts w:ascii="Arial"/>
                <w:sz w:val="12"/>
              </w:rPr>
              <w:t>Delivery</w:t>
            </w:r>
            <w:r>
              <w:rPr>
                <w:rFonts w:ascii="Arial"/>
                <w:spacing w:val="-5"/>
                <w:sz w:val="12"/>
              </w:rPr>
              <w:t xml:space="preserve"> </w:t>
            </w:r>
            <w:r>
              <w:rPr>
                <w:rFonts w:ascii="Arial"/>
                <w:spacing w:val="-2"/>
                <w:sz w:val="12"/>
              </w:rPr>
              <w:t>Share</w:t>
            </w:r>
          </w:p>
        </w:tc>
        <w:tc>
          <w:tcPr>
            <w:tcW w:w="922" w:type="dxa"/>
            <w:tcBorders>
              <w:left w:val="single" w:sz="6" w:space="0" w:color="D4D4D4"/>
              <w:right w:val="single" w:sz="6" w:space="0" w:color="D4D4D4"/>
            </w:tcBorders>
          </w:tcPr>
          <w:p w14:paraId="351A66E6" w14:textId="77777777" w:rsidR="00141B97" w:rsidRDefault="00911D63">
            <w:pPr>
              <w:pStyle w:val="TableParagraph"/>
              <w:spacing w:line="132"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DS</w:t>
            </w:r>
          </w:p>
        </w:tc>
        <w:tc>
          <w:tcPr>
            <w:tcW w:w="962" w:type="dxa"/>
            <w:tcBorders>
              <w:left w:val="single" w:sz="6" w:space="0" w:color="D4D4D4"/>
              <w:right w:val="single" w:sz="6" w:space="0" w:color="D4D4D4"/>
            </w:tcBorders>
          </w:tcPr>
          <w:p w14:paraId="50EA5AE6" w14:textId="77777777" w:rsidR="00141B97" w:rsidRDefault="00911D63">
            <w:pPr>
              <w:pStyle w:val="TableParagraph"/>
              <w:spacing w:line="132" w:lineRule="exact"/>
              <w:ind w:right="48"/>
              <w:jc w:val="right"/>
              <w:rPr>
                <w:rFonts w:ascii="Arial"/>
                <w:sz w:val="12"/>
              </w:rPr>
            </w:pPr>
            <w:r>
              <w:rPr>
                <w:rFonts w:ascii="Arial"/>
                <w:spacing w:val="-2"/>
                <w:sz w:val="12"/>
              </w:rPr>
              <w:t>1,031.72</w:t>
            </w:r>
          </w:p>
        </w:tc>
        <w:tc>
          <w:tcPr>
            <w:tcW w:w="962" w:type="dxa"/>
            <w:tcBorders>
              <w:left w:val="single" w:sz="6" w:space="0" w:color="D4D4D4"/>
              <w:right w:val="single" w:sz="6" w:space="0" w:color="D4D4D4"/>
            </w:tcBorders>
          </w:tcPr>
          <w:p w14:paraId="49ADFF1F" w14:textId="77777777" w:rsidR="00141B97" w:rsidRDefault="00911D63">
            <w:pPr>
              <w:pStyle w:val="TableParagraph"/>
              <w:spacing w:line="132" w:lineRule="exact"/>
              <w:ind w:right="47"/>
              <w:jc w:val="right"/>
              <w:rPr>
                <w:rFonts w:ascii="Arial"/>
                <w:sz w:val="12"/>
              </w:rPr>
            </w:pPr>
            <w:r>
              <w:rPr>
                <w:rFonts w:ascii="Arial"/>
                <w:spacing w:val="-2"/>
                <w:sz w:val="12"/>
              </w:rPr>
              <w:t>978.90</w:t>
            </w:r>
          </w:p>
        </w:tc>
        <w:tc>
          <w:tcPr>
            <w:tcW w:w="1023" w:type="dxa"/>
            <w:tcBorders>
              <w:left w:val="single" w:sz="6" w:space="0" w:color="D4D4D4"/>
              <w:right w:val="single" w:sz="6" w:space="0" w:color="D4D4D4"/>
            </w:tcBorders>
          </w:tcPr>
          <w:p w14:paraId="332132BC" w14:textId="77777777" w:rsidR="00141B97" w:rsidRDefault="00911D63">
            <w:pPr>
              <w:pStyle w:val="TableParagraph"/>
              <w:spacing w:line="132" w:lineRule="exact"/>
              <w:ind w:right="47"/>
              <w:jc w:val="right"/>
              <w:rPr>
                <w:rFonts w:ascii="Arial"/>
                <w:sz w:val="12"/>
              </w:rPr>
            </w:pPr>
            <w:r>
              <w:rPr>
                <w:rFonts w:ascii="Arial"/>
                <w:spacing w:val="-2"/>
                <w:sz w:val="12"/>
              </w:rPr>
              <w:t>928.79</w:t>
            </w:r>
          </w:p>
        </w:tc>
        <w:tc>
          <w:tcPr>
            <w:tcW w:w="1094" w:type="dxa"/>
            <w:tcBorders>
              <w:left w:val="single" w:sz="6" w:space="0" w:color="D4D4D4"/>
              <w:right w:val="single" w:sz="6" w:space="0" w:color="D4D4D4"/>
            </w:tcBorders>
          </w:tcPr>
          <w:p w14:paraId="1BA43469" w14:textId="77777777" w:rsidR="00141B97" w:rsidRDefault="00911D63">
            <w:pPr>
              <w:pStyle w:val="TableParagraph"/>
              <w:spacing w:line="132" w:lineRule="exact"/>
              <w:ind w:right="46"/>
              <w:jc w:val="right"/>
              <w:rPr>
                <w:rFonts w:ascii="Arial"/>
                <w:sz w:val="12"/>
              </w:rPr>
            </w:pPr>
            <w:r>
              <w:rPr>
                <w:rFonts w:ascii="Arial"/>
                <w:spacing w:val="-2"/>
                <w:sz w:val="12"/>
              </w:rPr>
              <w:t>881.24</w:t>
            </w:r>
          </w:p>
        </w:tc>
        <w:tc>
          <w:tcPr>
            <w:tcW w:w="962" w:type="dxa"/>
            <w:tcBorders>
              <w:left w:val="single" w:sz="6" w:space="0" w:color="D4D4D4"/>
              <w:right w:val="single" w:sz="6" w:space="0" w:color="D4D4D4"/>
            </w:tcBorders>
          </w:tcPr>
          <w:p w14:paraId="057B5905" w14:textId="77777777" w:rsidR="00141B97" w:rsidRDefault="00911D63">
            <w:pPr>
              <w:pStyle w:val="TableParagraph"/>
              <w:spacing w:line="132" w:lineRule="exact"/>
              <w:ind w:right="49"/>
              <w:jc w:val="right"/>
              <w:rPr>
                <w:rFonts w:ascii="Arial"/>
                <w:sz w:val="12"/>
              </w:rPr>
            </w:pPr>
            <w:r>
              <w:rPr>
                <w:rFonts w:ascii="Arial"/>
                <w:spacing w:val="-2"/>
                <w:sz w:val="12"/>
              </w:rPr>
              <w:t>836.13</w:t>
            </w:r>
          </w:p>
        </w:tc>
        <w:tc>
          <w:tcPr>
            <w:tcW w:w="1155" w:type="dxa"/>
            <w:tcBorders>
              <w:left w:val="single" w:sz="6" w:space="0" w:color="D4D4D4"/>
              <w:right w:val="single" w:sz="6" w:space="0" w:color="D4D4D4"/>
            </w:tcBorders>
          </w:tcPr>
          <w:p w14:paraId="6812C31F" w14:textId="77777777" w:rsidR="00141B97" w:rsidRDefault="00911D63">
            <w:pPr>
              <w:pStyle w:val="TableParagraph"/>
              <w:spacing w:line="132" w:lineRule="exact"/>
              <w:ind w:right="45"/>
              <w:jc w:val="right"/>
              <w:rPr>
                <w:rFonts w:ascii="Arial"/>
                <w:sz w:val="12"/>
              </w:rPr>
            </w:pPr>
            <w:r>
              <w:rPr>
                <w:rFonts w:ascii="Arial"/>
                <w:spacing w:val="-2"/>
                <w:sz w:val="12"/>
              </w:rPr>
              <w:t>793.33</w:t>
            </w:r>
          </w:p>
        </w:tc>
      </w:tr>
      <w:tr w:rsidR="00141B97" w14:paraId="3A308FA5" w14:textId="77777777">
        <w:trPr>
          <w:trHeight w:val="314"/>
        </w:trPr>
        <w:tc>
          <w:tcPr>
            <w:tcW w:w="2543" w:type="dxa"/>
            <w:tcBorders>
              <w:left w:val="single" w:sz="6" w:space="0" w:color="D4D4D4"/>
              <w:right w:val="single" w:sz="6" w:space="0" w:color="D4D4D4"/>
            </w:tcBorders>
          </w:tcPr>
          <w:p w14:paraId="186DA44F" w14:textId="77777777" w:rsidR="00141B97" w:rsidRDefault="00911D63">
            <w:pPr>
              <w:pStyle w:val="TableParagraph"/>
              <w:spacing w:before="78"/>
              <w:ind w:left="23"/>
              <w:rPr>
                <w:rFonts w:ascii="Arial"/>
                <w:sz w:val="12"/>
              </w:rPr>
            </w:pPr>
            <w:r>
              <w:rPr>
                <w:rFonts w:ascii="Arial"/>
                <w:sz w:val="12"/>
              </w:rPr>
              <w:t>Usage</w:t>
            </w:r>
            <w:r>
              <w:rPr>
                <w:rFonts w:ascii="Arial"/>
                <w:spacing w:val="21"/>
                <w:sz w:val="12"/>
              </w:rPr>
              <w:t xml:space="preserve"> </w:t>
            </w:r>
            <w:r>
              <w:rPr>
                <w:rFonts w:ascii="Arial"/>
                <w:spacing w:val="-2"/>
                <w:sz w:val="12"/>
              </w:rPr>
              <w:t>Charge</w:t>
            </w:r>
          </w:p>
        </w:tc>
        <w:tc>
          <w:tcPr>
            <w:tcW w:w="922" w:type="dxa"/>
            <w:tcBorders>
              <w:left w:val="single" w:sz="6" w:space="0" w:color="D4D4D4"/>
              <w:right w:val="single" w:sz="6" w:space="0" w:color="D4D4D4"/>
            </w:tcBorders>
          </w:tcPr>
          <w:p w14:paraId="41451F13" w14:textId="77777777" w:rsidR="00141B97" w:rsidRDefault="00911D63">
            <w:pPr>
              <w:pStyle w:val="TableParagraph"/>
              <w:spacing w:line="134"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ML</w:t>
            </w:r>
          </w:p>
          <w:p w14:paraId="13C5F478" w14:textId="77777777" w:rsidR="00141B97" w:rsidRDefault="00911D63">
            <w:pPr>
              <w:pStyle w:val="TableParagraph"/>
              <w:spacing w:before="24" w:line="136" w:lineRule="exact"/>
              <w:ind w:left="24"/>
              <w:rPr>
                <w:rFonts w:ascii="Arial"/>
                <w:sz w:val="12"/>
              </w:rPr>
            </w:pPr>
            <w:r>
              <w:rPr>
                <w:rFonts w:ascii="Arial"/>
                <w:spacing w:val="-2"/>
                <w:sz w:val="12"/>
              </w:rPr>
              <w:t>Delivery</w:t>
            </w:r>
          </w:p>
        </w:tc>
        <w:tc>
          <w:tcPr>
            <w:tcW w:w="962" w:type="dxa"/>
            <w:tcBorders>
              <w:left w:val="single" w:sz="6" w:space="0" w:color="D4D4D4"/>
              <w:right w:val="single" w:sz="6" w:space="0" w:color="D4D4D4"/>
            </w:tcBorders>
          </w:tcPr>
          <w:p w14:paraId="2C406DE5" w14:textId="77777777" w:rsidR="00141B97" w:rsidRDefault="00141B97">
            <w:pPr>
              <w:pStyle w:val="TableParagraph"/>
              <w:spacing w:before="11"/>
              <w:rPr>
                <w:sz w:val="12"/>
              </w:rPr>
            </w:pPr>
          </w:p>
          <w:p w14:paraId="3EC4BCEA" w14:textId="77777777" w:rsidR="00141B97" w:rsidRDefault="00911D63">
            <w:pPr>
              <w:pStyle w:val="TableParagraph"/>
              <w:spacing w:before="1" w:line="136" w:lineRule="exact"/>
              <w:ind w:right="48"/>
              <w:jc w:val="right"/>
              <w:rPr>
                <w:rFonts w:ascii="Arial"/>
                <w:sz w:val="12"/>
              </w:rPr>
            </w:pPr>
            <w:r>
              <w:rPr>
                <w:rFonts w:ascii="Arial"/>
                <w:spacing w:val="-2"/>
                <w:sz w:val="12"/>
              </w:rPr>
              <w:t>95.64</w:t>
            </w:r>
          </w:p>
        </w:tc>
        <w:tc>
          <w:tcPr>
            <w:tcW w:w="962" w:type="dxa"/>
            <w:tcBorders>
              <w:left w:val="single" w:sz="6" w:space="0" w:color="D4D4D4"/>
              <w:right w:val="single" w:sz="6" w:space="0" w:color="D4D4D4"/>
            </w:tcBorders>
          </w:tcPr>
          <w:p w14:paraId="1C9024DE" w14:textId="77777777" w:rsidR="00141B97" w:rsidRDefault="00141B97">
            <w:pPr>
              <w:pStyle w:val="TableParagraph"/>
              <w:spacing w:before="11"/>
              <w:rPr>
                <w:sz w:val="12"/>
              </w:rPr>
            </w:pPr>
          </w:p>
          <w:p w14:paraId="60E3138A" w14:textId="77777777" w:rsidR="00141B97" w:rsidRDefault="00911D63">
            <w:pPr>
              <w:pStyle w:val="TableParagraph"/>
              <w:spacing w:before="1" w:line="136" w:lineRule="exact"/>
              <w:ind w:right="50"/>
              <w:jc w:val="right"/>
              <w:rPr>
                <w:rFonts w:ascii="Arial"/>
                <w:sz w:val="12"/>
              </w:rPr>
            </w:pPr>
            <w:r>
              <w:rPr>
                <w:rFonts w:ascii="Arial"/>
                <w:spacing w:val="-2"/>
                <w:sz w:val="12"/>
              </w:rPr>
              <w:t>85.89</w:t>
            </w:r>
          </w:p>
        </w:tc>
        <w:tc>
          <w:tcPr>
            <w:tcW w:w="1023" w:type="dxa"/>
            <w:tcBorders>
              <w:left w:val="single" w:sz="6" w:space="0" w:color="D4D4D4"/>
              <w:right w:val="single" w:sz="6" w:space="0" w:color="D4D4D4"/>
            </w:tcBorders>
          </w:tcPr>
          <w:p w14:paraId="02718C7F" w14:textId="77777777" w:rsidR="00141B97" w:rsidRDefault="00141B97">
            <w:pPr>
              <w:pStyle w:val="TableParagraph"/>
              <w:spacing w:before="11"/>
              <w:rPr>
                <w:sz w:val="12"/>
              </w:rPr>
            </w:pPr>
          </w:p>
          <w:p w14:paraId="5927A52C" w14:textId="77777777" w:rsidR="00141B97" w:rsidRDefault="00911D63">
            <w:pPr>
              <w:pStyle w:val="TableParagraph"/>
              <w:spacing w:before="1" w:line="136" w:lineRule="exact"/>
              <w:ind w:right="50"/>
              <w:jc w:val="right"/>
              <w:rPr>
                <w:rFonts w:ascii="Arial"/>
                <w:sz w:val="12"/>
              </w:rPr>
            </w:pPr>
            <w:r>
              <w:rPr>
                <w:rFonts w:ascii="Arial"/>
                <w:spacing w:val="-2"/>
                <w:sz w:val="12"/>
              </w:rPr>
              <w:t>77.13</w:t>
            </w:r>
          </w:p>
        </w:tc>
        <w:tc>
          <w:tcPr>
            <w:tcW w:w="1094" w:type="dxa"/>
            <w:tcBorders>
              <w:left w:val="single" w:sz="6" w:space="0" w:color="D4D4D4"/>
              <w:right w:val="single" w:sz="6" w:space="0" w:color="D4D4D4"/>
            </w:tcBorders>
          </w:tcPr>
          <w:p w14:paraId="60F87C4D" w14:textId="77777777" w:rsidR="00141B97" w:rsidRDefault="00141B97">
            <w:pPr>
              <w:pStyle w:val="TableParagraph"/>
              <w:spacing w:before="11"/>
              <w:rPr>
                <w:sz w:val="12"/>
              </w:rPr>
            </w:pPr>
          </w:p>
          <w:p w14:paraId="37C5755B" w14:textId="77777777" w:rsidR="00141B97" w:rsidRDefault="00911D63">
            <w:pPr>
              <w:pStyle w:val="TableParagraph"/>
              <w:spacing w:before="1" w:line="136" w:lineRule="exact"/>
              <w:ind w:right="49"/>
              <w:jc w:val="right"/>
              <w:rPr>
                <w:rFonts w:ascii="Arial"/>
                <w:sz w:val="12"/>
              </w:rPr>
            </w:pPr>
            <w:r>
              <w:rPr>
                <w:rFonts w:ascii="Arial"/>
                <w:spacing w:val="-2"/>
                <w:sz w:val="12"/>
              </w:rPr>
              <w:t>69.27</w:t>
            </w:r>
          </w:p>
        </w:tc>
        <w:tc>
          <w:tcPr>
            <w:tcW w:w="962" w:type="dxa"/>
            <w:tcBorders>
              <w:left w:val="single" w:sz="6" w:space="0" w:color="D4D4D4"/>
              <w:right w:val="single" w:sz="6" w:space="0" w:color="D4D4D4"/>
            </w:tcBorders>
          </w:tcPr>
          <w:p w14:paraId="2D3406AA" w14:textId="77777777" w:rsidR="00141B97" w:rsidRDefault="00141B97">
            <w:pPr>
              <w:pStyle w:val="TableParagraph"/>
              <w:spacing w:before="11"/>
              <w:rPr>
                <w:sz w:val="12"/>
              </w:rPr>
            </w:pPr>
          </w:p>
          <w:p w14:paraId="3FF08319" w14:textId="77777777" w:rsidR="00141B97" w:rsidRDefault="00911D63">
            <w:pPr>
              <w:pStyle w:val="TableParagraph"/>
              <w:spacing w:before="1" w:line="136" w:lineRule="exact"/>
              <w:ind w:right="49"/>
              <w:jc w:val="right"/>
              <w:rPr>
                <w:rFonts w:ascii="Arial"/>
                <w:sz w:val="12"/>
              </w:rPr>
            </w:pPr>
            <w:r>
              <w:rPr>
                <w:rFonts w:ascii="Arial"/>
                <w:spacing w:val="-2"/>
                <w:sz w:val="12"/>
              </w:rPr>
              <w:t>62.20</w:t>
            </w:r>
          </w:p>
        </w:tc>
        <w:tc>
          <w:tcPr>
            <w:tcW w:w="1155" w:type="dxa"/>
            <w:tcBorders>
              <w:left w:val="single" w:sz="6" w:space="0" w:color="D4D4D4"/>
              <w:right w:val="single" w:sz="6" w:space="0" w:color="D4D4D4"/>
            </w:tcBorders>
          </w:tcPr>
          <w:p w14:paraId="08E219AC" w14:textId="77777777" w:rsidR="00141B97" w:rsidRDefault="00141B97">
            <w:pPr>
              <w:pStyle w:val="TableParagraph"/>
              <w:spacing w:before="11"/>
              <w:rPr>
                <w:sz w:val="12"/>
              </w:rPr>
            </w:pPr>
          </w:p>
          <w:p w14:paraId="64FF88D0" w14:textId="77777777" w:rsidR="00141B97" w:rsidRDefault="00911D63">
            <w:pPr>
              <w:pStyle w:val="TableParagraph"/>
              <w:spacing w:before="1" w:line="136" w:lineRule="exact"/>
              <w:ind w:right="48"/>
              <w:jc w:val="right"/>
              <w:rPr>
                <w:rFonts w:ascii="Arial"/>
                <w:sz w:val="12"/>
              </w:rPr>
            </w:pPr>
            <w:r>
              <w:rPr>
                <w:rFonts w:ascii="Arial"/>
                <w:spacing w:val="-2"/>
                <w:sz w:val="12"/>
              </w:rPr>
              <w:t>55.86</w:t>
            </w:r>
          </w:p>
        </w:tc>
      </w:tr>
      <w:tr w:rsidR="00141B97" w14:paraId="053BBDBF" w14:textId="77777777">
        <w:trPr>
          <w:trHeight w:val="152"/>
        </w:trPr>
        <w:tc>
          <w:tcPr>
            <w:tcW w:w="2543" w:type="dxa"/>
            <w:tcBorders>
              <w:left w:val="single" w:sz="6" w:space="0" w:color="D4D4D4"/>
              <w:bottom w:val="nil"/>
              <w:right w:val="single" w:sz="6" w:space="0" w:color="D4D4D4"/>
            </w:tcBorders>
          </w:tcPr>
          <w:p w14:paraId="74037EFC" w14:textId="77777777" w:rsidR="00141B97" w:rsidRDefault="00911D63">
            <w:pPr>
              <w:pStyle w:val="TableParagraph"/>
              <w:spacing w:line="132" w:lineRule="exact"/>
              <w:ind w:left="23"/>
              <w:rPr>
                <w:rFonts w:ascii="Arial"/>
                <w:sz w:val="12"/>
              </w:rPr>
            </w:pPr>
            <w:r>
              <w:rPr>
                <w:rFonts w:ascii="Arial"/>
                <w:sz w:val="12"/>
              </w:rPr>
              <w:t>Garden</w:t>
            </w:r>
            <w:r>
              <w:rPr>
                <w:rFonts w:ascii="Arial"/>
                <w:spacing w:val="6"/>
                <w:sz w:val="12"/>
              </w:rPr>
              <w:t xml:space="preserve"> </w:t>
            </w:r>
            <w:r>
              <w:rPr>
                <w:rFonts w:ascii="Arial"/>
                <w:sz w:val="12"/>
              </w:rPr>
              <w:t xml:space="preserve">- </w:t>
            </w:r>
            <w:r>
              <w:rPr>
                <w:rFonts w:ascii="Arial"/>
                <w:spacing w:val="-2"/>
                <w:sz w:val="12"/>
              </w:rPr>
              <w:t>unmetered</w:t>
            </w:r>
          </w:p>
        </w:tc>
        <w:tc>
          <w:tcPr>
            <w:tcW w:w="922" w:type="dxa"/>
            <w:tcBorders>
              <w:left w:val="single" w:sz="6" w:space="0" w:color="D4D4D4"/>
              <w:bottom w:val="nil"/>
              <w:right w:val="single" w:sz="6" w:space="0" w:color="D4D4D4"/>
            </w:tcBorders>
          </w:tcPr>
          <w:p w14:paraId="452B85C7" w14:textId="77777777" w:rsidR="00141B97" w:rsidRDefault="00911D63">
            <w:pPr>
              <w:pStyle w:val="TableParagraph"/>
              <w:spacing w:line="132"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property</w:t>
            </w:r>
          </w:p>
        </w:tc>
        <w:tc>
          <w:tcPr>
            <w:tcW w:w="962" w:type="dxa"/>
            <w:tcBorders>
              <w:left w:val="single" w:sz="6" w:space="0" w:color="D4D4D4"/>
              <w:bottom w:val="nil"/>
              <w:right w:val="single" w:sz="6" w:space="0" w:color="D4D4D4"/>
            </w:tcBorders>
          </w:tcPr>
          <w:p w14:paraId="31B8036D" w14:textId="77777777" w:rsidR="00141B97" w:rsidRDefault="00911D63">
            <w:pPr>
              <w:pStyle w:val="TableParagraph"/>
              <w:spacing w:line="132" w:lineRule="exact"/>
              <w:ind w:right="190"/>
              <w:jc w:val="right"/>
              <w:rPr>
                <w:rFonts w:ascii="Arial"/>
                <w:sz w:val="12"/>
              </w:rPr>
            </w:pPr>
            <w:r>
              <w:rPr>
                <w:rFonts w:ascii="Arial"/>
                <w:w w:val="101"/>
                <w:sz w:val="12"/>
              </w:rPr>
              <w:t>-</w:t>
            </w:r>
          </w:p>
        </w:tc>
        <w:tc>
          <w:tcPr>
            <w:tcW w:w="962" w:type="dxa"/>
            <w:tcBorders>
              <w:left w:val="single" w:sz="6" w:space="0" w:color="D4D4D4"/>
              <w:bottom w:val="nil"/>
              <w:right w:val="single" w:sz="6" w:space="0" w:color="D4D4D4"/>
            </w:tcBorders>
          </w:tcPr>
          <w:p w14:paraId="7B684828" w14:textId="77777777" w:rsidR="00141B97" w:rsidRDefault="00911D63">
            <w:pPr>
              <w:pStyle w:val="TableParagraph"/>
              <w:spacing w:line="132" w:lineRule="exact"/>
              <w:ind w:right="189"/>
              <w:jc w:val="right"/>
              <w:rPr>
                <w:rFonts w:ascii="Arial"/>
                <w:sz w:val="12"/>
              </w:rPr>
            </w:pPr>
            <w:r>
              <w:rPr>
                <w:rFonts w:ascii="Arial"/>
                <w:w w:val="101"/>
                <w:sz w:val="12"/>
              </w:rPr>
              <w:t>-</w:t>
            </w:r>
          </w:p>
        </w:tc>
        <w:tc>
          <w:tcPr>
            <w:tcW w:w="1023" w:type="dxa"/>
            <w:tcBorders>
              <w:left w:val="single" w:sz="6" w:space="0" w:color="D4D4D4"/>
              <w:bottom w:val="nil"/>
              <w:right w:val="single" w:sz="6" w:space="0" w:color="D4D4D4"/>
            </w:tcBorders>
          </w:tcPr>
          <w:p w14:paraId="6AA52562" w14:textId="77777777" w:rsidR="00141B97" w:rsidRDefault="00911D63">
            <w:pPr>
              <w:pStyle w:val="TableParagraph"/>
              <w:spacing w:line="132" w:lineRule="exact"/>
              <w:ind w:right="188"/>
              <w:jc w:val="right"/>
              <w:rPr>
                <w:rFonts w:ascii="Arial"/>
                <w:sz w:val="12"/>
              </w:rPr>
            </w:pPr>
            <w:r>
              <w:rPr>
                <w:rFonts w:ascii="Arial"/>
                <w:w w:val="101"/>
                <w:sz w:val="12"/>
              </w:rPr>
              <w:t>-</w:t>
            </w:r>
          </w:p>
        </w:tc>
        <w:tc>
          <w:tcPr>
            <w:tcW w:w="1094" w:type="dxa"/>
            <w:tcBorders>
              <w:left w:val="single" w:sz="6" w:space="0" w:color="D4D4D4"/>
              <w:bottom w:val="nil"/>
              <w:right w:val="single" w:sz="6" w:space="0" w:color="D4D4D4"/>
            </w:tcBorders>
          </w:tcPr>
          <w:p w14:paraId="5C980E5F" w14:textId="77777777" w:rsidR="00141B97" w:rsidRDefault="00911D63">
            <w:pPr>
              <w:pStyle w:val="TableParagraph"/>
              <w:spacing w:line="132" w:lineRule="exact"/>
              <w:ind w:right="188"/>
              <w:jc w:val="right"/>
              <w:rPr>
                <w:rFonts w:ascii="Arial"/>
                <w:sz w:val="12"/>
              </w:rPr>
            </w:pPr>
            <w:r>
              <w:rPr>
                <w:rFonts w:ascii="Arial"/>
                <w:w w:val="101"/>
                <w:sz w:val="12"/>
              </w:rPr>
              <w:t>-</w:t>
            </w:r>
          </w:p>
        </w:tc>
        <w:tc>
          <w:tcPr>
            <w:tcW w:w="962" w:type="dxa"/>
            <w:tcBorders>
              <w:left w:val="single" w:sz="6" w:space="0" w:color="D4D4D4"/>
              <w:bottom w:val="nil"/>
              <w:right w:val="single" w:sz="6" w:space="0" w:color="D4D4D4"/>
            </w:tcBorders>
          </w:tcPr>
          <w:p w14:paraId="506C3052" w14:textId="77777777" w:rsidR="00141B97" w:rsidRDefault="00911D63">
            <w:pPr>
              <w:pStyle w:val="TableParagraph"/>
              <w:spacing w:line="132" w:lineRule="exact"/>
              <w:ind w:right="187"/>
              <w:jc w:val="right"/>
              <w:rPr>
                <w:rFonts w:ascii="Arial"/>
                <w:sz w:val="12"/>
              </w:rPr>
            </w:pPr>
            <w:r>
              <w:rPr>
                <w:rFonts w:ascii="Arial"/>
                <w:w w:val="101"/>
                <w:sz w:val="12"/>
              </w:rPr>
              <w:t>-</w:t>
            </w:r>
          </w:p>
        </w:tc>
        <w:tc>
          <w:tcPr>
            <w:tcW w:w="1155" w:type="dxa"/>
            <w:tcBorders>
              <w:left w:val="single" w:sz="6" w:space="0" w:color="D4D4D4"/>
              <w:bottom w:val="nil"/>
              <w:right w:val="single" w:sz="6" w:space="0" w:color="D4D4D4"/>
            </w:tcBorders>
          </w:tcPr>
          <w:p w14:paraId="6186A383" w14:textId="77777777" w:rsidR="00141B97" w:rsidRDefault="00911D63">
            <w:pPr>
              <w:pStyle w:val="TableParagraph"/>
              <w:spacing w:line="132" w:lineRule="exact"/>
              <w:ind w:right="187"/>
              <w:jc w:val="right"/>
              <w:rPr>
                <w:rFonts w:ascii="Arial"/>
                <w:sz w:val="12"/>
              </w:rPr>
            </w:pPr>
            <w:r>
              <w:rPr>
                <w:rFonts w:ascii="Arial"/>
                <w:w w:val="101"/>
                <w:sz w:val="12"/>
              </w:rPr>
              <w:t>-</w:t>
            </w:r>
          </w:p>
        </w:tc>
      </w:tr>
      <w:tr w:rsidR="00141B97" w14:paraId="560950BB" w14:textId="77777777">
        <w:trPr>
          <w:trHeight w:val="171"/>
        </w:trPr>
        <w:tc>
          <w:tcPr>
            <w:tcW w:w="9623" w:type="dxa"/>
            <w:gridSpan w:val="8"/>
            <w:tcBorders>
              <w:top w:val="nil"/>
              <w:left w:val="nil"/>
              <w:bottom w:val="nil"/>
              <w:right w:val="nil"/>
            </w:tcBorders>
            <w:shd w:val="clear" w:color="auto" w:fill="99CC00"/>
          </w:tcPr>
          <w:p w14:paraId="5FEB041A" w14:textId="77777777" w:rsidR="00141B97" w:rsidRDefault="00911D63">
            <w:pPr>
              <w:pStyle w:val="TableParagraph"/>
              <w:spacing w:before="10"/>
              <w:ind w:left="31"/>
              <w:rPr>
                <w:rFonts w:ascii="Arial"/>
                <w:b/>
                <w:sz w:val="12"/>
              </w:rPr>
            </w:pPr>
            <w:r>
              <w:rPr>
                <w:rFonts w:ascii="Arial"/>
                <w:b/>
                <w:sz w:val="12"/>
              </w:rPr>
              <w:t>Merbein</w:t>
            </w:r>
            <w:r>
              <w:rPr>
                <w:rFonts w:ascii="Arial"/>
                <w:b/>
                <w:spacing w:val="-4"/>
                <w:sz w:val="12"/>
              </w:rPr>
              <w:t xml:space="preserve"> </w:t>
            </w:r>
            <w:r>
              <w:rPr>
                <w:rFonts w:ascii="Arial"/>
                <w:b/>
                <w:sz w:val="12"/>
              </w:rPr>
              <w:t xml:space="preserve">- </w:t>
            </w:r>
            <w:r>
              <w:rPr>
                <w:rFonts w:ascii="Arial"/>
                <w:b/>
                <w:spacing w:val="-2"/>
                <w:sz w:val="12"/>
              </w:rPr>
              <w:t>Irrigation</w:t>
            </w:r>
          </w:p>
        </w:tc>
      </w:tr>
      <w:tr w:rsidR="00141B97" w14:paraId="1F5F9E29" w14:textId="77777777">
        <w:trPr>
          <w:trHeight w:val="150"/>
        </w:trPr>
        <w:tc>
          <w:tcPr>
            <w:tcW w:w="2543" w:type="dxa"/>
            <w:tcBorders>
              <w:top w:val="nil"/>
              <w:left w:val="single" w:sz="6" w:space="0" w:color="D4D4D4"/>
              <w:bottom w:val="single" w:sz="6" w:space="0" w:color="D4D4D4"/>
              <w:right w:val="single" w:sz="6" w:space="0" w:color="D4D4D4"/>
            </w:tcBorders>
          </w:tcPr>
          <w:p w14:paraId="3E6AF65E" w14:textId="77777777" w:rsidR="00141B97" w:rsidRDefault="00911D63">
            <w:pPr>
              <w:pStyle w:val="TableParagraph"/>
              <w:spacing w:line="130"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nil"/>
              <w:left w:val="single" w:sz="6" w:space="0" w:color="D4D4D4"/>
              <w:bottom w:val="single" w:sz="6" w:space="0" w:color="D4D4D4"/>
              <w:right w:val="single" w:sz="6" w:space="0" w:color="D4D4D4"/>
            </w:tcBorders>
          </w:tcPr>
          <w:p w14:paraId="287A4539" w14:textId="77777777" w:rsidR="00141B97" w:rsidRDefault="00911D63">
            <w:pPr>
              <w:pStyle w:val="TableParagraph"/>
              <w:spacing w:line="130"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nil"/>
              <w:left w:val="single" w:sz="6" w:space="0" w:color="D4D4D4"/>
              <w:bottom w:val="single" w:sz="6" w:space="0" w:color="D4D4D4"/>
              <w:right w:val="single" w:sz="6" w:space="0" w:color="D4D4D4"/>
            </w:tcBorders>
          </w:tcPr>
          <w:p w14:paraId="75BE63B6" w14:textId="77777777" w:rsidR="00141B97" w:rsidRDefault="00911D63">
            <w:pPr>
              <w:pStyle w:val="TableParagraph"/>
              <w:spacing w:line="130" w:lineRule="exact"/>
              <w:ind w:right="8"/>
              <w:jc w:val="right"/>
              <w:rPr>
                <w:rFonts w:ascii="Arial"/>
                <w:sz w:val="12"/>
              </w:rPr>
            </w:pPr>
            <w:r>
              <w:rPr>
                <w:rFonts w:ascii="Arial"/>
                <w:spacing w:val="-2"/>
                <w:sz w:val="12"/>
              </w:rPr>
              <w:t>100.00</w:t>
            </w:r>
          </w:p>
        </w:tc>
        <w:tc>
          <w:tcPr>
            <w:tcW w:w="962" w:type="dxa"/>
            <w:tcBorders>
              <w:top w:val="nil"/>
              <w:left w:val="single" w:sz="6" w:space="0" w:color="D4D4D4"/>
              <w:bottom w:val="single" w:sz="6" w:space="0" w:color="D4D4D4"/>
              <w:right w:val="single" w:sz="6" w:space="0" w:color="D4D4D4"/>
            </w:tcBorders>
          </w:tcPr>
          <w:p w14:paraId="24042C50" w14:textId="77777777" w:rsidR="00141B97" w:rsidRDefault="00911D63">
            <w:pPr>
              <w:pStyle w:val="TableParagraph"/>
              <w:spacing w:line="130" w:lineRule="exact"/>
              <w:ind w:right="7"/>
              <w:jc w:val="right"/>
              <w:rPr>
                <w:rFonts w:ascii="Arial"/>
                <w:sz w:val="12"/>
              </w:rPr>
            </w:pPr>
            <w:r>
              <w:rPr>
                <w:rFonts w:ascii="Arial"/>
                <w:spacing w:val="-2"/>
                <w:sz w:val="12"/>
              </w:rPr>
              <w:t>97.09</w:t>
            </w:r>
          </w:p>
        </w:tc>
        <w:tc>
          <w:tcPr>
            <w:tcW w:w="1023" w:type="dxa"/>
            <w:tcBorders>
              <w:top w:val="nil"/>
              <w:left w:val="single" w:sz="6" w:space="0" w:color="D4D4D4"/>
              <w:bottom w:val="single" w:sz="6" w:space="0" w:color="D4D4D4"/>
              <w:right w:val="single" w:sz="6" w:space="0" w:color="D4D4D4"/>
            </w:tcBorders>
          </w:tcPr>
          <w:p w14:paraId="4F24C1D1" w14:textId="77777777" w:rsidR="00141B97" w:rsidRDefault="00911D63">
            <w:pPr>
              <w:pStyle w:val="TableParagraph"/>
              <w:spacing w:line="130" w:lineRule="exact"/>
              <w:ind w:right="6"/>
              <w:jc w:val="right"/>
              <w:rPr>
                <w:rFonts w:ascii="Arial"/>
                <w:sz w:val="12"/>
              </w:rPr>
            </w:pPr>
            <w:r>
              <w:rPr>
                <w:rFonts w:ascii="Arial"/>
                <w:spacing w:val="-2"/>
                <w:sz w:val="12"/>
              </w:rPr>
              <w:t>94.26</w:t>
            </w:r>
          </w:p>
        </w:tc>
        <w:tc>
          <w:tcPr>
            <w:tcW w:w="1094" w:type="dxa"/>
            <w:tcBorders>
              <w:top w:val="nil"/>
              <w:left w:val="single" w:sz="6" w:space="0" w:color="D4D4D4"/>
              <w:bottom w:val="single" w:sz="6" w:space="0" w:color="D4D4D4"/>
              <w:right w:val="single" w:sz="6" w:space="0" w:color="D4D4D4"/>
            </w:tcBorders>
          </w:tcPr>
          <w:p w14:paraId="502C5713" w14:textId="77777777" w:rsidR="00141B97" w:rsidRDefault="00911D63">
            <w:pPr>
              <w:pStyle w:val="TableParagraph"/>
              <w:spacing w:line="130" w:lineRule="exact"/>
              <w:ind w:right="6"/>
              <w:jc w:val="right"/>
              <w:rPr>
                <w:rFonts w:ascii="Arial"/>
                <w:sz w:val="12"/>
              </w:rPr>
            </w:pPr>
            <w:r>
              <w:rPr>
                <w:rFonts w:ascii="Arial"/>
                <w:spacing w:val="-2"/>
                <w:sz w:val="12"/>
              </w:rPr>
              <w:t>91.51</w:t>
            </w:r>
          </w:p>
        </w:tc>
        <w:tc>
          <w:tcPr>
            <w:tcW w:w="962" w:type="dxa"/>
            <w:tcBorders>
              <w:top w:val="nil"/>
              <w:left w:val="single" w:sz="6" w:space="0" w:color="D4D4D4"/>
              <w:bottom w:val="single" w:sz="6" w:space="0" w:color="D4D4D4"/>
              <w:right w:val="single" w:sz="6" w:space="0" w:color="D4D4D4"/>
            </w:tcBorders>
          </w:tcPr>
          <w:p w14:paraId="5015602C" w14:textId="77777777" w:rsidR="00141B97" w:rsidRDefault="00911D63">
            <w:pPr>
              <w:pStyle w:val="TableParagraph"/>
              <w:spacing w:line="130" w:lineRule="exact"/>
              <w:ind w:right="9"/>
              <w:jc w:val="right"/>
              <w:rPr>
                <w:rFonts w:ascii="Arial"/>
                <w:sz w:val="12"/>
              </w:rPr>
            </w:pPr>
            <w:r>
              <w:rPr>
                <w:rFonts w:ascii="Arial"/>
                <w:spacing w:val="-2"/>
                <w:sz w:val="12"/>
              </w:rPr>
              <w:t>88.85</w:t>
            </w:r>
          </w:p>
        </w:tc>
        <w:tc>
          <w:tcPr>
            <w:tcW w:w="1155" w:type="dxa"/>
            <w:tcBorders>
              <w:top w:val="nil"/>
              <w:left w:val="single" w:sz="6" w:space="0" w:color="D4D4D4"/>
              <w:bottom w:val="single" w:sz="6" w:space="0" w:color="D4D4D4"/>
              <w:right w:val="single" w:sz="6" w:space="0" w:color="D4D4D4"/>
            </w:tcBorders>
          </w:tcPr>
          <w:p w14:paraId="5F1763E1" w14:textId="77777777" w:rsidR="00141B97" w:rsidRDefault="00911D63">
            <w:pPr>
              <w:pStyle w:val="TableParagraph"/>
              <w:spacing w:line="130" w:lineRule="exact"/>
              <w:ind w:right="5"/>
              <w:jc w:val="right"/>
              <w:rPr>
                <w:rFonts w:ascii="Arial"/>
                <w:sz w:val="12"/>
              </w:rPr>
            </w:pPr>
            <w:r>
              <w:rPr>
                <w:rFonts w:ascii="Arial"/>
                <w:spacing w:val="-2"/>
                <w:sz w:val="12"/>
              </w:rPr>
              <w:t>86.26</w:t>
            </w:r>
          </w:p>
        </w:tc>
      </w:tr>
      <w:tr w:rsidR="00141B97" w14:paraId="3FC457C0"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32434231" w14:textId="77777777" w:rsidR="00141B97" w:rsidRDefault="00911D63">
            <w:pPr>
              <w:pStyle w:val="TableParagraph"/>
              <w:spacing w:line="127" w:lineRule="exact"/>
              <w:ind w:left="23"/>
              <w:rPr>
                <w:rFonts w:ascii="Arial"/>
                <w:sz w:val="12"/>
              </w:rPr>
            </w:pPr>
            <w:r>
              <w:rPr>
                <w:rFonts w:ascii="Arial"/>
                <w:sz w:val="12"/>
              </w:rPr>
              <w:t>Delivery</w:t>
            </w:r>
            <w:r>
              <w:rPr>
                <w:rFonts w:ascii="Arial"/>
                <w:spacing w:val="-5"/>
                <w:sz w:val="12"/>
              </w:rPr>
              <w:t xml:space="preserve"> </w:t>
            </w:r>
            <w:r>
              <w:rPr>
                <w:rFonts w:ascii="Arial"/>
                <w:spacing w:val="-2"/>
                <w:sz w:val="12"/>
              </w:rPr>
              <w:t>Share</w:t>
            </w:r>
          </w:p>
        </w:tc>
        <w:tc>
          <w:tcPr>
            <w:tcW w:w="922" w:type="dxa"/>
            <w:tcBorders>
              <w:top w:val="single" w:sz="6" w:space="0" w:color="D4D4D4"/>
              <w:left w:val="single" w:sz="6" w:space="0" w:color="D4D4D4"/>
              <w:bottom w:val="single" w:sz="6" w:space="0" w:color="D4D4D4"/>
              <w:right w:val="single" w:sz="6" w:space="0" w:color="D4D4D4"/>
            </w:tcBorders>
          </w:tcPr>
          <w:p w14:paraId="594F2D96"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DS</w:t>
            </w:r>
          </w:p>
        </w:tc>
        <w:tc>
          <w:tcPr>
            <w:tcW w:w="962" w:type="dxa"/>
            <w:tcBorders>
              <w:top w:val="single" w:sz="6" w:space="0" w:color="D4D4D4"/>
              <w:left w:val="single" w:sz="6" w:space="0" w:color="D4D4D4"/>
              <w:bottom w:val="single" w:sz="6" w:space="0" w:color="D4D4D4"/>
              <w:right w:val="single" w:sz="6" w:space="0" w:color="D4D4D4"/>
            </w:tcBorders>
          </w:tcPr>
          <w:p w14:paraId="4D94C0E3" w14:textId="77777777" w:rsidR="00141B97" w:rsidRDefault="00911D63">
            <w:pPr>
              <w:pStyle w:val="TableParagraph"/>
              <w:spacing w:line="127" w:lineRule="exact"/>
              <w:ind w:right="9"/>
              <w:jc w:val="right"/>
              <w:rPr>
                <w:rFonts w:ascii="Arial"/>
                <w:sz w:val="12"/>
              </w:rPr>
            </w:pPr>
            <w:r>
              <w:rPr>
                <w:rFonts w:ascii="Arial"/>
                <w:spacing w:val="-2"/>
                <w:sz w:val="12"/>
              </w:rPr>
              <w:t>384.40</w:t>
            </w:r>
          </w:p>
        </w:tc>
        <w:tc>
          <w:tcPr>
            <w:tcW w:w="962" w:type="dxa"/>
            <w:tcBorders>
              <w:top w:val="single" w:sz="6" w:space="0" w:color="D4D4D4"/>
              <w:left w:val="single" w:sz="6" w:space="0" w:color="D4D4D4"/>
              <w:bottom w:val="single" w:sz="6" w:space="0" w:color="D4D4D4"/>
              <w:right w:val="single" w:sz="6" w:space="0" w:color="D4D4D4"/>
            </w:tcBorders>
          </w:tcPr>
          <w:p w14:paraId="5EB8A5CC" w14:textId="77777777" w:rsidR="00141B97" w:rsidRDefault="00911D63">
            <w:pPr>
              <w:pStyle w:val="TableParagraph"/>
              <w:spacing w:line="127" w:lineRule="exact"/>
              <w:ind w:right="8"/>
              <w:jc w:val="right"/>
              <w:rPr>
                <w:rFonts w:ascii="Arial"/>
                <w:sz w:val="12"/>
              </w:rPr>
            </w:pPr>
            <w:r>
              <w:rPr>
                <w:rFonts w:ascii="Arial"/>
                <w:spacing w:val="-2"/>
                <w:sz w:val="12"/>
              </w:rPr>
              <w:t>407.06</w:t>
            </w:r>
          </w:p>
        </w:tc>
        <w:tc>
          <w:tcPr>
            <w:tcW w:w="1023" w:type="dxa"/>
            <w:tcBorders>
              <w:top w:val="single" w:sz="6" w:space="0" w:color="D4D4D4"/>
              <w:left w:val="single" w:sz="6" w:space="0" w:color="D4D4D4"/>
              <w:bottom w:val="single" w:sz="6" w:space="0" w:color="D4D4D4"/>
              <w:right w:val="single" w:sz="6" w:space="0" w:color="D4D4D4"/>
            </w:tcBorders>
          </w:tcPr>
          <w:p w14:paraId="6CBD5B13" w14:textId="77777777" w:rsidR="00141B97" w:rsidRDefault="00911D63">
            <w:pPr>
              <w:pStyle w:val="TableParagraph"/>
              <w:spacing w:line="127" w:lineRule="exact"/>
              <w:ind w:right="7"/>
              <w:jc w:val="right"/>
              <w:rPr>
                <w:rFonts w:ascii="Arial"/>
                <w:sz w:val="12"/>
              </w:rPr>
            </w:pPr>
            <w:r>
              <w:rPr>
                <w:rFonts w:ascii="Arial"/>
                <w:spacing w:val="-2"/>
                <w:sz w:val="12"/>
              </w:rPr>
              <w:t>431.05</w:t>
            </w:r>
          </w:p>
        </w:tc>
        <w:tc>
          <w:tcPr>
            <w:tcW w:w="1094" w:type="dxa"/>
            <w:tcBorders>
              <w:top w:val="single" w:sz="6" w:space="0" w:color="D4D4D4"/>
              <w:left w:val="single" w:sz="6" w:space="0" w:color="D4D4D4"/>
              <w:bottom w:val="single" w:sz="6" w:space="0" w:color="D4D4D4"/>
              <w:right w:val="single" w:sz="6" w:space="0" w:color="D4D4D4"/>
            </w:tcBorders>
          </w:tcPr>
          <w:p w14:paraId="375BCB2F" w14:textId="77777777" w:rsidR="00141B97" w:rsidRDefault="00911D63">
            <w:pPr>
              <w:pStyle w:val="TableParagraph"/>
              <w:spacing w:line="127" w:lineRule="exact"/>
              <w:ind w:right="7"/>
              <w:jc w:val="right"/>
              <w:rPr>
                <w:rFonts w:ascii="Arial"/>
                <w:sz w:val="12"/>
              </w:rPr>
            </w:pPr>
            <w:r>
              <w:rPr>
                <w:rFonts w:ascii="Arial"/>
                <w:spacing w:val="-2"/>
                <w:sz w:val="12"/>
              </w:rPr>
              <w:t>456.46</w:t>
            </w:r>
          </w:p>
        </w:tc>
        <w:tc>
          <w:tcPr>
            <w:tcW w:w="962" w:type="dxa"/>
            <w:tcBorders>
              <w:top w:val="single" w:sz="6" w:space="0" w:color="D4D4D4"/>
              <w:left w:val="single" w:sz="6" w:space="0" w:color="D4D4D4"/>
              <w:bottom w:val="single" w:sz="6" w:space="0" w:color="D4D4D4"/>
              <w:right w:val="single" w:sz="6" w:space="0" w:color="D4D4D4"/>
            </w:tcBorders>
          </w:tcPr>
          <w:p w14:paraId="578E9779" w14:textId="77777777" w:rsidR="00141B97" w:rsidRDefault="00911D63">
            <w:pPr>
              <w:pStyle w:val="TableParagraph"/>
              <w:spacing w:line="127" w:lineRule="exact"/>
              <w:ind w:right="7"/>
              <w:jc w:val="right"/>
              <w:rPr>
                <w:rFonts w:ascii="Arial"/>
                <w:sz w:val="12"/>
              </w:rPr>
            </w:pPr>
            <w:r>
              <w:rPr>
                <w:rFonts w:ascii="Arial"/>
                <w:spacing w:val="-2"/>
                <w:sz w:val="12"/>
              </w:rPr>
              <w:t>483.36</w:t>
            </w:r>
          </w:p>
        </w:tc>
        <w:tc>
          <w:tcPr>
            <w:tcW w:w="1155" w:type="dxa"/>
            <w:tcBorders>
              <w:top w:val="single" w:sz="6" w:space="0" w:color="D4D4D4"/>
              <w:left w:val="single" w:sz="6" w:space="0" w:color="D4D4D4"/>
              <w:bottom w:val="single" w:sz="6" w:space="0" w:color="D4D4D4"/>
              <w:right w:val="single" w:sz="6" w:space="0" w:color="D4D4D4"/>
            </w:tcBorders>
          </w:tcPr>
          <w:p w14:paraId="1455EF27" w14:textId="77777777" w:rsidR="00141B97" w:rsidRDefault="00911D63">
            <w:pPr>
              <w:pStyle w:val="TableParagraph"/>
              <w:spacing w:line="127" w:lineRule="exact"/>
              <w:ind w:right="6"/>
              <w:jc w:val="right"/>
              <w:rPr>
                <w:rFonts w:ascii="Arial"/>
                <w:sz w:val="12"/>
              </w:rPr>
            </w:pPr>
            <w:r>
              <w:rPr>
                <w:rFonts w:ascii="Arial"/>
                <w:spacing w:val="-2"/>
                <w:sz w:val="12"/>
              </w:rPr>
              <w:t>511.85</w:t>
            </w:r>
          </w:p>
        </w:tc>
      </w:tr>
      <w:tr w:rsidR="00141B97" w14:paraId="33B65492" w14:textId="77777777">
        <w:trPr>
          <w:trHeight w:val="308"/>
        </w:trPr>
        <w:tc>
          <w:tcPr>
            <w:tcW w:w="2543" w:type="dxa"/>
            <w:tcBorders>
              <w:top w:val="single" w:sz="6" w:space="0" w:color="D4D4D4"/>
              <w:left w:val="single" w:sz="6" w:space="0" w:color="D4D4D4"/>
              <w:bottom w:val="single" w:sz="6" w:space="0" w:color="D4D4D4"/>
              <w:right w:val="single" w:sz="6" w:space="0" w:color="D4D4D4"/>
            </w:tcBorders>
          </w:tcPr>
          <w:p w14:paraId="6A673D82" w14:textId="77777777" w:rsidR="00141B97" w:rsidRDefault="00911D63">
            <w:pPr>
              <w:pStyle w:val="TableParagraph"/>
              <w:spacing w:before="75"/>
              <w:ind w:left="23"/>
              <w:rPr>
                <w:rFonts w:ascii="Arial"/>
                <w:sz w:val="12"/>
              </w:rPr>
            </w:pPr>
            <w:r>
              <w:rPr>
                <w:rFonts w:ascii="Arial"/>
                <w:sz w:val="12"/>
              </w:rPr>
              <w:t>Usage</w:t>
            </w:r>
            <w:r>
              <w:rPr>
                <w:rFonts w:ascii="Arial"/>
                <w:spacing w:val="21"/>
                <w:sz w:val="12"/>
              </w:rPr>
              <w:t xml:space="preserve"> </w:t>
            </w:r>
            <w:r>
              <w:rPr>
                <w:rFonts w:ascii="Arial"/>
                <w:spacing w:val="-2"/>
                <w:sz w:val="12"/>
              </w:rPr>
              <w:t>Charge</w:t>
            </w:r>
          </w:p>
        </w:tc>
        <w:tc>
          <w:tcPr>
            <w:tcW w:w="922" w:type="dxa"/>
            <w:tcBorders>
              <w:top w:val="single" w:sz="6" w:space="0" w:color="D4D4D4"/>
              <w:left w:val="single" w:sz="6" w:space="0" w:color="D4D4D4"/>
              <w:bottom w:val="single" w:sz="6" w:space="0" w:color="D4D4D4"/>
              <w:right w:val="single" w:sz="6" w:space="0" w:color="D4D4D4"/>
            </w:tcBorders>
          </w:tcPr>
          <w:p w14:paraId="15AF9F7D" w14:textId="77777777" w:rsidR="00141B97" w:rsidRDefault="00911D63">
            <w:pPr>
              <w:pStyle w:val="TableParagraph"/>
              <w:spacing w:line="133"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ML</w:t>
            </w:r>
          </w:p>
          <w:p w14:paraId="0D862A2C" w14:textId="77777777" w:rsidR="00141B97" w:rsidRDefault="00911D63">
            <w:pPr>
              <w:pStyle w:val="TableParagraph"/>
              <w:spacing w:before="24" w:line="132" w:lineRule="exact"/>
              <w:ind w:left="24"/>
              <w:rPr>
                <w:rFonts w:ascii="Arial"/>
                <w:sz w:val="12"/>
              </w:rPr>
            </w:pPr>
            <w:r>
              <w:rPr>
                <w:rFonts w:ascii="Arial"/>
                <w:spacing w:val="-2"/>
                <w:sz w:val="12"/>
              </w:rPr>
              <w:t>Delivery</w:t>
            </w:r>
          </w:p>
        </w:tc>
        <w:tc>
          <w:tcPr>
            <w:tcW w:w="962" w:type="dxa"/>
            <w:tcBorders>
              <w:top w:val="single" w:sz="6" w:space="0" w:color="D4D4D4"/>
              <w:left w:val="single" w:sz="6" w:space="0" w:color="D4D4D4"/>
              <w:bottom w:val="single" w:sz="6" w:space="0" w:color="D4D4D4"/>
              <w:right w:val="single" w:sz="6" w:space="0" w:color="D4D4D4"/>
            </w:tcBorders>
          </w:tcPr>
          <w:p w14:paraId="6F0C9074" w14:textId="77777777" w:rsidR="00141B97" w:rsidRDefault="00141B97">
            <w:pPr>
              <w:pStyle w:val="TableParagraph"/>
              <w:spacing w:before="10"/>
              <w:rPr>
                <w:sz w:val="12"/>
              </w:rPr>
            </w:pPr>
          </w:p>
          <w:p w14:paraId="500EB45E" w14:textId="77777777" w:rsidR="00141B97" w:rsidRDefault="00911D63">
            <w:pPr>
              <w:pStyle w:val="TableParagraph"/>
              <w:spacing w:line="132" w:lineRule="exact"/>
              <w:ind w:right="8"/>
              <w:jc w:val="right"/>
              <w:rPr>
                <w:rFonts w:ascii="Arial"/>
                <w:sz w:val="12"/>
              </w:rPr>
            </w:pPr>
            <w:r>
              <w:rPr>
                <w:rFonts w:ascii="Arial"/>
                <w:spacing w:val="-2"/>
                <w:sz w:val="12"/>
              </w:rPr>
              <w:t>48.99</w:t>
            </w:r>
          </w:p>
        </w:tc>
        <w:tc>
          <w:tcPr>
            <w:tcW w:w="962" w:type="dxa"/>
            <w:tcBorders>
              <w:top w:val="single" w:sz="6" w:space="0" w:color="D4D4D4"/>
              <w:left w:val="single" w:sz="6" w:space="0" w:color="D4D4D4"/>
              <w:bottom w:val="single" w:sz="6" w:space="0" w:color="D4D4D4"/>
              <w:right w:val="single" w:sz="6" w:space="0" w:color="D4D4D4"/>
            </w:tcBorders>
          </w:tcPr>
          <w:p w14:paraId="5F2A484C" w14:textId="77777777" w:rsidR="00141B97" w:rsidRDefault="00141B97">
            <w:pPr>
              <w:pStyle w:val="TableParagraph"/>
              <w:spacing w:before="10"/>
              <w:rPr>
                <w:sz w:val="12"/>
              </w:rPr>
            </w:pPr>
          </w:p>
          <w:p w14:paraId="742476C1" w14:textId="77777777" w:rsidR="00141B97" w:rsidRDefault="00911D63">
            <w:pPr>
              <w:pStyle w:val="TableParagraph"/>
              <w:spacing w:line="132" w:lineRule="exact"/>
              <w:ind w:right="7"/>
              <w:jc w:val="right"/>
              <w:rPr>
                <w:rFonts w:ascii="Arial"/>
                <w:sz w:val="12"/>
              </w:rPr>
            </w:pPr>
            <w:r>
              <w:rPr>
                <w:rFonts w:ascii="Arial"/>
                <w:spacing w:val="-2"/>
                <w:sz w:val="12"/>
              </w:rPr>
              <w:t>47.55</w:t>
            </w:r>
          </w:p>
        </w:tc>
        <w:tc>
          <w:tcPr>
            <w:tcW w:w="1023" w:type="dxa"/>
            <w:tcBorders>
              <w:top w:val="single" w:sz="6" w:space="0" w:color="D4D4D4"/>
              <w:left w:val="single" w:sz="6" w:space="0" w:color="D4D4D4"/>
              <w:bottom w:val="single" w:sz="6" w:space="0" w:color="D4D4D4"/>
              <w:right w:val="single" w:sz="6" w:space="0" w:color="D4D4D4"/>
            </w:tcBorders>
          </w:tcPr>
          <w:p w14:paraId="35ECC093" w14:textId="77777777" w:rsidR="00141B97" w:rsidRDefault="00141B97">
            <w:pPr>
              <w:pStyle w:val="TableParagraph"/>
              <w:spacing w:before="10"/>
              <w:rPr>
                <w:sz w:val="12"/>
              </w:rPr>
            </w:pPr>
          </w:p>
          <w:p w14:paraId="56A4A7FC" w14:textId="77777777" w:rsidR="00141B97" w:rsidRDefault="00911D63">
            <w:pPr>
              <w:pStyle w:val="TableParagraph"/>
              <w:spacing w:line="132" w:lineRule="exact"/>
              <w:ind w:right="6"/>
              <w:jc w:val="right"/>
              <w:rPr>
                <w:rFonts w:ascii="Arial"/>
                <w:sz w:val="12"/>
              </w:rPr>
            </w:pPr>
            <w:r>
              <w:rPr>
                <w:rFonts w:ascii="Arial"/>
                <w:spacing w:val="-2"/>
                <w:sz w:val="12"/>
              </w:rPr>
              <w:t>46.15</w:t>
            </w:r>
          </w:p>
        </w:tc>
        <w:tc>
          <w:tcPr>
            <w:tcW w:w="1094" w:type="dxa"/>
            <w:tcBorders>
              <w:top w:val="single" w:sz="6" w:space="0" w:color="D4D4D4"/>
              <w:left w:val="single" w:sz="6" w:space="0" w:color="D4D4D4"/>
              <w:bottom w:val="single" w:sz="6" w:space="0" w:color="D4D4D4"/>
              <w:right w:val="single" w:sz="6" w:space="0" w:color="D4D4D4"/>
            </w:tcBorders>
          </w:tcPr>
          <w:p w14:paraId="05CD4D8F" w14:textId="77777777" w:rsidR="00141B97" w:rsidRDefault="00141B97">
            <w:pPr>
              <w:pStyle w:val="TableParagraph"/>
              <w:spacing w:before="10"/>
              <w:rPr>
                <w:sz w:val="12"/>
              </w:rPr>
            </w:pPr>
          </w:p>
          <w:p w14:paraId="302526B7" w14:textId="77777777" w:rsidR="00141B97" w:rsidRDefault="00911D63">
            <w:pPr>
              <w:pStyle w:val="TableParagraph"/>
              <w:spacing w:line="132" w:lineRule="exact"/>
              <w:ind w:right="6"/>
              <w:jc w:val="right"/>
              <w:rPr>
                <w:rFonts w:ascii="Arial"/>
                <w:sz w:val="12"/>
              </w:rPr>
            </w:pPr>
            <w:r>
              <w:rPr>
                <w:rFonts w:ascii="Arial"/>
                <w:spacing w:val="-2"/>
                <w:sz w:val="12"/>
              </w:rPr>
              <w:t>44.79</w:t>
            </w:r>
          </w:p>
        </w:tc>
        <w:tc>
          <w:tcPr>
            <w:tcW w:w="962" w:type="dxa"/>
            <w:tcBorders>
              <w:top w:val="single" w:sz="6" w:space="0" w:color="D4D4D4"/>
              <w:left w:val="single" w:sz="6" w:space="0" w:color="D4D4D4"/>
              <w:bottom w:val="single" w:sz="6" w:space="0" w:color="D4D4D4"/>
              <w:right w:val="single" w:sz="6" w:space="0" w:color="D4D4D4"/>
            </w:tcBorders>
          </w:tcPr>
          <w:p w14:paraId="1C4B0410" w14:textId="77777777" w:rsidR="00141B97" w:rsidRDefault="00141B97">
            <w:pPr>
              <w:pStyle w:val="TableParagraph"/>
              <w:spacing w:before="10"/>
              <w:rPr>
                <w:sz w:val="12"/>
              </w:rPr>
            </w:pPr>
          </w:p>
          <w:p w14:paraId="04E79B87" w14:textId="77777777" w:rsidR="00141B97" w:rsidRDefault="00911D63">
            <w:pPr>
              <w:pStyle w:val="TableParagraph"/>
              <w:spacing w:line="132" w:lineRule="exact"/>
              <w:ind w:right="9"/>
              <w:jc w:val="right"/>
              <w:rPr>
                <w:rFonts w:ascii="Arial"/>
                <w:sz w:val="12"/>
              </w:rPr>
            </w:pPr>
            <w:r>
              <w:rPr>
                <w:rFonts w:ascii="Arial"/>
                <w:spacing w:val="-2"/>
                <w:sz w:val="12"/>
              </w:rPr>
              <w:t>43.47</w:t>
            </w:r>
          </w:p>
        </w:tc>
        <w:tc>
          <w:tcPr>
            <w:tcW w:w="1155" w:type="dxa"/>
            <w:tcBorders>
              <w:top w:val="single" w:sz="6" w:space="0" w:color="D4D4D4"/>
              <w:left w:val="single" w:sz="6" w:space="0" w:color="D4D4D4"/>
              <w:bottom w:val="single" w:sz="6" w:space="0" w:color="D4D4D4"/>
              <w:right w:val="single" w:sz="6" w:space="0" w:color="D4D4D4"/>
            </w:tcBorders>
          </w:tcPr>
          <w:p w14:paraId="444648FC" w14:textId="77777777" w:rsidR="00141B97" w:rsidRDefault="00141B97">
            <w:pPr>
              <w:pStyle w:val="TableParagraph"/>
              <w:spacing w:before="10"/>
              <w:rPr>
                <w:sz w:val="12"/>
              </w:rPr>
            </w:pPr>
          </w:p>
          <w:p w14:paraId="576AB533" w14:textId="77777777" w:rsidR="00141B97" w:rsidRDefault="00911D63">
            <w:pPr>
              <w:pStyle w:val="TableParagraph"/>
              <w:spacing w:line="132" w:lineRule="exact"/>
              <w:ind w:right="5"/>
              <w:jc w:val="right"/>
              <w:rPr>
                <w:rFonts w:ascii="Arial"/>
                <w:sz w:val="12"/>
              </w:rPr>
            </w:pPr>
            <w:r>
              <w:rPr>
                <w:rFonts w:ascii="Arial"/>
                <w:spacing w:val="-2"/>
                <w:sz w:val="12"/>
              </w:rPr>
              <w:t>42.18</w:t>
            </w:r>
          </w:p>
        </w:tc>
      </w:tr>
      <w:tr w:rsidR="00141B97" w14:paraId="7F1A09E5" w14:textId="77777777">
        <w:trPr>
          <w:trHeight w:val="150"/>
        </w:trPr>
        <w:tc>
          <w:tcPr>
            <w:tcW w:w="2543" w:type="dxa"/>
            <w:tcBorders>
              <w:top w:val="single" w:sz="6" w:space="0" w:color="D4D4D4"/>
              <w:left w:val="single" w:sz="6" w:space="0" w:color="D4D4D4"/>
              <w:bottom w:val="nil"/>
              <w:right w:val="single" w:sz="6" w:space="0" w:color="D4D4D4"/>
            </w:tcBorders>
          </w:tcPr>
          <w:p w14:paraId="74D74638" w14:textId="77777777" w:rsidR="00141B97" w:rsidRDefault="00911D63">
            <w:pPr>
              <w:pStyle w:val="TableParagraph"/>
              <w:spacing w:line="131" w:lineRule="exact"/>
              <w:ind w:left="23"/>
              <w:rPr>
                <w:rFonts w:ascii="Arial"/>
                <w:sz w:val="12"/>
              </w:rPr>
            </w:pPr>
            <w:r>
              <w:rPr>
                <w:rFonts w:ascii="Arial"/>
                <w:sz w:val="12"/>
              </w:rPr>
              <w:t>Garden</w:t>
            </w:r>
            <w:r>
              <w:rPr>
                <w:rFonts w:ascii="Arial"/>
                <w:spacing w:val="6"/>
                <w:sz w:val="12"/>
              </w:rPr>
              <w:t xml:space="preserve"> </w:t>
            </w:r>
            <w:r>
              <w:rPr>
                <w:rFonts w:ascii="Arial"/>
                <w:sz w:val="12"/>
              </w:rPr>
              <w:t xml:space="preserve">- </w:t>
            </w:r>
            <w:r>
              <w:rPr>
                <w:rFonts w:ascii="Arial"/>
                <w:spacing w:val="-2"/>
                <w:sz w:val="12"/>
              </w:rPr>
              <w:t>unmetered</w:t>
            </w:r>
          </w:p>
        </w:tc>
        <w:tc>
          <w:tcPr>
            <w:tcW w:w="922" w:type="dxa"/>
            <w:tcBorders>
              <w:top w:val="single" w:sz="6" w:space="0" w:color="D4D4D4"/>
              <w:left w:val="single" w:sz="6" w:space="0" w:color="D4D4D4"/>
              <w:bottom w:val="nil"/>
              <w:right w:val="single" w:sz="6" w:space="0" w:color="D4D4D4"/>
            </w:tcBorders>
          </w:tcPr>
          <w:p w14:paraId="01ADC2BE" w14:textId="77777777" w:rsidR="00141B97" w:rsidRDefault="00911D63">
            <w:pPr>
              <w:pStyle w:val="TableParagraph"/>
              <w:spacing w:line="131"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property</w:t>
            </w:r>
          </w:p>
        </w:tc>
        <w:tc>
          <w:tcPr>
            <w:tcW w:w="962" w:type="dxa"/>
            <w:tcBorders>
              <w:top w:val="single" w:sz="6" w:space="0" w:color="D4D4D4"/>
              <w:left w:val="single" w:sz="6" w:space="0" w:color="D4D4D4"/>
              <w:bottom w:val="nil"/>
              <w:right w:val="single" w:sz="6" w:space="0" w:color="D4D4D4"/>
            </w:tcBorders>
          </w:tcPr>
          <w:p w14:paraId="021491D3" w14:textId="77777777" w:rsidR="00141B97" w:rsidRDefault="00911D63">
            <w:pPr>
              <w:pStyle w:val="TableParagraph"/>
              <w:spacing w:line="131" w:lineRule="exact"/>
              <w:ind w:right="9"/>
              <w:jc w:val="right"/>
              <w:rPr>
                <w:rFonts w:ascii="Arial"/>
                <w:sz w:val="12"/>
              </w:rPr>
            </w:pPr>
            <w:r>
              <w:rPr>
                <w:rFonts w:ascii="Arial"/>
                <w:spacing w:val="-2"/>
                <w:sz w:val="12"/>
              </w:rPr>
              <w:t>520.08</w:t>
            </w:r>
          </w:p>
        </w:tc>
        <w:tc>
          <w:tcPr>
            <w:tcW w:w="962" w:type="dxa"/>
            <w:tcBorders>
              <w:top w:val="single" w:sz="6" w:space="0" w:color="D4D4D4"/>
              <w:left w:val="single" w:sz="6" w:space="0" w:color="D4D4D4"/>
              <w:bottom w:val="nil"/>
              <w:right w:val="single" w:sz="6" w:space="0" w:color="D4D4D4"/>
            </w:tcBorders>
          </w:tcPr>
          <w:p w14:paraId="6A2AF1DE" w14:textId="77777777" w:rsidR="00141B97" w:rsidRDefault="00911D63">
            <w:pPr>
              <w:pStyle w:val="TableParagraph"/>
              <w:spacing w:line="131" w:lineRule="exact"/>
              <w:ind w:right="7"/>
              <w:jc w:val="right"/>
              <w:rPr>
                <w:rFonts w:ascii="Arial"/>
                <w:sz w:val="12"/>
              </w:rPr>
            </w:pPr>
            <w:r>
              <w:rPr>
                <w:rFonts w:ascii="Arial"/>
                <w:spacing w:val="-2"/>
                <w:sz w:val="12"/>
              </w:rPr>
              <w:t>517.19</w:t>
            </w:r>
          </w:p>
        </w:tc>
        <w:tc>
          <w:tcPr>
            <w:tcW w:w="1023" w:type="dxa"/>
            <w:tcBorders>
              <w:top w:val="single" w:sz="6" w:space="0" w:color="D4D4D4"/>
              <w:left w:val="single" w:sz="6" w:space="0" w:color="D4D4D4"/>
              <w:bottom w:val="nil"/>
              <w:right w:val="single" w:sz="6" w:space="0" w:color="D4D4D4"/>
            </w:tcBorders>
          </w:tcPr>
          <w:p w14:paraId="0C8DB48D" w14:textId="77777777" w:rsidR="00141B97" w:rsidRDefault="00911D63">
            <w:pPr>
              <w:pStyle w:val="TableParagraph"/>
              <w:spacing w:line="131" w:lineRule="exact"/>
              <w:ind w:right="7"/>
              <w:jc w:val="right"/>
              <w:rPr>
                <w:rFonts w:ascii="Arial"/>
                <w:sz w:val="12"/>
              </w:rPr>
            </w:pPr>
            <w:r>
              <w:rPr>
                <w:rFonts w:ascii="Arial"/>
                <w:spacing w:val="-2"/>
                <w:sz w:val="12"/>
              </w:rPr>
              <w:t>514.33</w:t>
            </w:r>
          </w:p>
        </w:tc>
        <w:tc>
          <w:tcPr>
            <w:tcW w:w="1094" w:type="dxa"/>
            <w:tcBorders>
              <w:top w:val="single" w:sz="6" w:space="0" w:color="D4D4D4"/>
              <w:left w:val="single" w:sz="6" w:space="0" w:color="D4D4D4"/>
              <w:bottom w:val="nil"/>
              <w:right w:val="single" w:sz="6" w:space="0" w:color="D4D4D4"/>
            </w:tcBorders>
          </w:tcPr>
          <w:p w14:paraId="33544E6E" w14:textId="77777777" w:rsidR="00141B97" w:rsidRDefault="00911D63">
            <w:pPr>
              <w:pStyle w:val="TableParagraph"/>
              <w:spacing w:line="131" w:lineRule="exact"/>
              <w:ind w:right="6"/>
              <w:jc w:val="right"/>
              <w:rPr>
                <w:rFonts w:ascii="Arial"/>
                <w:sz w:val="12"/>
              </w:rPr>
            </w:pPr>
            <w:r>
              <w:rPr>
                <w:rFonts w:ascii="Arial"/>
                <w:spacing w:val="-2"/>
                <w:sz w:val="12"/>
              </w:rPr>
              <w:t>511.47</w:t>
            </w:r>
          </w:p>
        </w:tc>
        <w:tc>
          <w:tcPr>
            <w:tcW w:w="962" w:type="dxa"/>
            <w:tcBorders>
              <w:top w:val="single" w:sz="6" w:space="0" w:color="D4D4D4"/>
              <w:left w:val="single" w:sz="6" w:space="0" w:color="D4D4D4"/>
              <w:bottom w:val="nil"/>
              <w:right w:val="single" w:sz="6" w:space="0" w:color="D4D4D4"/>
            </w:tcBorders>
          </w:tcPr>
          <w:p w14:paraId="44519732" w14:textId="77777777" w:rsidR="00141B97" w:rsidRDefault="00911D63">
            <w:pPr>
              <w:pStyle w:val="TableParagraph"/>
              <w:spacing w:line="131" w:lineRule="exact"/>
              <w:ind w:right="6"/>
              <w:jc w:val="right"/>
              <w:rPr>
                <w:rFonts w:ascii="Arial"/>
                <w:sz w:val="12"/>
              </w:rPr>
            </w:pPr>
            <w:r>
              <w:rPr>
                <w:rFonts w:ascii="Arial"/>
                <w:spacing w:val="-2"/>
                <w:sz w:val="12"/>
              </w:rPr>
              <w:t>508.64</w:t>
            </w:r>
          </w:p>
        </w:tc>
        <w:tc>
          <w:tcPr>
            <w:tcW w:w="1155" w:type="dxa"/>
            <w:tcBorders>
              <w:top w:val="single" w:sz="6" w:space="0" w:color="D4D4D4"/>
              <w:left w:val="single" w:sz="6" w:space="0" w:color="D4D4D4"/>
              <w:bottom w:val="nil"/>
              <w:right w:val="single" w:sz="6" w:space="0" w:color="D4D4D4"/>
            </w:tcBorders>
          </w:tcPr>
          <w:p w14:paraId="09222CB6" w14:textId="77777777" w:rsidR="00141B97" w:rsidRDefault="00911D63">
            <w:pPr>
              <w:pStyle w:val="TableParagraph"/>
              <w:spacing w:line="131" w:lineRule="exact"/>
              <w:ind w:right="5"/>
              <w:jc w:val="right"/>
              <w:rPr>
                <w:rFonts w:ascii="Arial"/>
                <w:sz w:val="12"/>
              </w:rPr>
            </w:pPr>
            <w:r>
              <w:rPr>
                <w:rFonts w:ascii="Arial"/>
                <w:spacing w:val="-2"/>
                <w:sz w:val="12"/>
              </w:rPr>
              <w:t>505.81</w:t>
            </w:r>
          </w:p>
        </w:tc>
      </w:tr>
      <w:tr w:rsidR="00141B97" w14:paraId="3C79B1AA" w14:textId="77777777">
        <w:trPr>
          <w:trHeight w:val="171"/>
        </w:trPr>
        <w:tc>
          <w:tcPr>
            <w:tcW w:w="9623" w:type="dxa"/>
            <w:gridSpan w:val="8"/>
            <w:tcBorders>
              <w:top w:val="nil"/>
              <w:left w:val="nil"/>
              <w:bottom w:val="nil"/>
              <w:right w:val="nil"/>
            </w:tcBorders>
            <w:shd w:val="clear" w:color="auto" w:fill="99CC00"/>
          </w:tcPr>
          <w:p w14:paraId="24FA96D8" w14:textId="77777777" w:rsidR="00141B97" w:rsidRDefault="00911D63">
            <w:pPr>
              <w:pStyle w:val="TableParagraph"/>
              <w:spacing w:before="10"/>
              <w:ind w:left="31"/>
              <w:rPr>
                <w:rFonts w:ascii="Arial"/>
                <w:b/>
                <w:sz w:val="12"/>
              </w:rPr>
            </w:pPr>
            <w:r>
              <w:rPr>
                <w:rFonts w:ascii="Arial"/>
                <w:b/>
                <w:sz w:val="12"/>
              </w:rPr>
              <w:t>Merbein</w:t>
            </w:r>
            <w:r>
              <w:rPr>
                <w:rFonts w:ascii="Arial"/>
                <w:b/>
                <w:spacing w:val="-4"/>
                <w:sz w:val="12"/>
              </w:rPr>
              <w:t xml:space="preserve"> </w:t>
            </w:r>
            <w:r>
              <w:rPr>
                <w:rFonts w:ascii="Arial"/>
                <w:b/>
                <w:sz w:val="12"/>
              </w:rPr>
              <w:t xml:space="preserve">- </w:t>
            </w:r>
            <w:r>
              <w:rPr>
                <w:rFonts w:ascii="Arial"/>
                <w:b/>
                <w:spacing w:val="-2"/>
                <w:sz w:val="12"/>
              </w:rPr>
              <w:t>Drainage</w:t>
            </w:r>
          </w:p>
        </w:tc>
      </w:tr>
      <w:tr w:rsidR="00141B97" w14:paraId="7234BBD9" w14:textId="77777777">
        <w:trPr>
          <w:trHeight w:val="148"/>
        </w:trPr>
        <w:tc>
          <w:tcPr>
            <w:tcW w:w="2543" w:type="dxa"/>
            <w:tcBorders>
              <w:top w:val="nil"/>
              <w:left w:val="single" w:sz="6" w:space="0" w:color="D4D4D4"/>
              <w:bottom w:val="single" w:sz="6" w:space="0" w:color="D4D4D4"/>
              <w:right w:val="single" w:sz="6" w:space="0" w:color="D4D4D4"/>
            </w:tcBorders>
          </w:tcPr>
          <w:p w14:paraId="23A18E64"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1</w:t>
            </w:r>
          </w:p>
        </w:tc>
        <w:tc>
          <w:tcPr>
            <w:tcW w:w="922" w:type="dxa"/>
            <w:tcBorders>
              <w:top w:val="nil"/>
              <w:left w:val="single" w:sz="6" w:space="0" w:color="D4D4D4"/>
              <w:bottom w:val="single" w:sz="6" w:space="0" w:color="D4D4D4"/>
              <w:right w:val="single" w:sz="6" w:space="0" w:color="D4D4D4"/>
            </w:tcBorders>
          </w:tcPr>
          <w:p w14:paraId="07E05EAF"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nil"/>
              <w:left w:val="single" w:sz="6" w:space="0" w:color="D4D4D4"/>
              <w:bottom w:val="single" w:sz="6" w:space="0" w:color="D4D4D4"/>
              <w:right w:val="single" w:sz="6" w:space="0" w:color="D4D4D4"/>
            </w:tcBorders>
          </w:tcPr>
          <w:p w14:paraId="459D1692" w14:textId="77777777" w:rsidR="00141B97" w:rsidRDefault="00911D63">
            <w:pPr>
              <w:pStyle w:val="TableParagraph"/>
              <w:spacing w:line="129" w:lineRule="exact"/>
              <w:ind w:right="48"/>
              <w:jc w:val="right"/>
              <w:rPr>
                <w:rFonts w:ascii="Arial"/>
                <w:sz w:val="12"/>
              </w:rPr>
            </w:pPr>
            <w:r>
              <w:rPr>
                <w:rFonts w:ascii="Arial"/>
                <w:spacing w:val="-2"/>
                <w:sz w:val="12"/>
              </w:rPr>
              <w:t>94.32</w:t>
            </w:r>
          </w:p>
        </w:tc>
        <w:tc>
          <w:tcPr>
            <w:tcW w:w="962" w:type="dxa"/>
            <w:tcBorders>
              <w:top w:val="nil"/>
              <w:left w:val="single" w:sz="6" w:space="0" w:color="D4D4D4"/>
              <w:bottom w:val="single" w:sz="6" w:space="0" w:color="D4D4D4"/>
              <w:right w:val="single" w:sz="6" w:space="0" w:color="D4D4D4"/>
            </w:tcBorders>
          </w:tcPr>
          <w:p w14:paraId="3677C551" w14:textId="77777777" w:rsidR="00141B97" w:rsidRDefault="00911D63">
            <w:pPr>
              <w:pStyle w:val="TableParagraph"/>
              <w:spacing w:line="129" w:lineRule="exact"/>
              <w:ind w:right="50"/>
              <w:jc w:val="right"/>
              <w:rPr>
                <w:rFonts w:ascii="Arial"/>
                <w:sz w:val="12"/>
              </w:rPr>
            </w:pPr>
            <w:r>
              <w:rPr>
                <w:rFonts w:ascii="Arial"/>
                <w:spacing w:val="-2"/>
                <w:sz w:val="12"/>
              </w:rPr>
              <w:t>90.71</w:t>
            </w:r>
          </w:p>
        </w:tc>
        <w:tc>
          <w:tcPr>
            <w:tcW w:w="1023" w:type="dxa"/>
            <w:tcBorders>
              <w:top w:val="nil"/>
              <w:left w:val="single" w:sz="6" w:space="0" w:color="D4D4D4"/>
              <w:bottom w:val="single" w:sz="6" w:space="0" w:color="D4D4D4"/>
              <w:right w:val="single" w:sz="6" w:space="0" w:color="D4D4D4"/>
            </w:tcBorders>
          </w:tcPr>
          <w:p w14:paraId="2BD98BF2" w14:textId="77777777" w:rsidR="00141B97" w:rsidRDefault="00911D63">
            <w:pPr>
              <w:pStyle w:val="TableParagraph"/>
              <w:spacing w:line="129" w:lineRule="exact"/>
              <w:ind w:right="50"/>
              <w:jc w:val="right"/>
              <w:rPr>
                <w:rFonts w:ascii="Arial"/>
                <w:sz w:val="12"/>
              </w:rPr>
            </w:pPr>
            <w:r>
              <w:rPr>
                <w:rFonts w:ascii="Arial"/>
                <w:spacing w:val="-2"/>
                <w:sz w:val="12"/>
              </w:rPr>
              <w:t>87.23</w:t>
            </w:r>
          </w:p>
        </w:tc>
        <w:tc>
          <w:tcPr>
            <w:tcW w:w="1094" w:type="dxa"/>
            <w:tcBorders>
              <w:top w:val="nil"/>
              <w:left w:val="single" w:sz="6" w:space="0" w:color="D4D4D4"/>
              <w:bottom w:val="single" w:sz="6" w:space="0" w:color="D4D4D4"/>
              <w:right w:val="single" w:sz="6" w:space="0" w:color="D4D4D4"/>
            </w:tcBorders>
          </w:tcPr>
          <w:p w14:paraId="53DA7C62" w14:textId="77777777" w:rsidR="00141B97" w:rsidRDefault="00911D63">
            <w:pPr>
              <w:pStyle w:val="TableParagraph"/>
              <w:spacing w:line="129" w:lineRule="exact"/>
              <w:ind w:right="49"/>
              <w:jc w:val="right"/>
              <w:rPr>
                <w:rFonts w:ascii="Arial"/>
                <w:sz w:val="12"/>
              </w:rPr>
            </w:pPr>
            <w:r>
              <w:rPr>
                <w:rFonts w:ascii="Arial"/>
                <w:spacing w:val="-2"/>
                <w:sz w:val="12"/>
              </w:rPr>
              <w:t>83.89</w:t>
            </w:r>
          </w:p>
        </w:tc>
        <w:tc>
          <w:tcPr>
            <w:tcW w:w="962" w:type="dxa"/>
            <w:tcBorders>
              <w:top w:val="nil"/>
              <w:left w:val="single" w:sz="6" w:space="0" w:color="D4D4D4"/>
              <w:bottom w:val="single" w:sz="6" w:space="0" w:color="D4D4D4"/>
              <w:right w:val="single" w:sz="6" w:space="0" w:color="D4D4D4"/>
            </w:tcBorders>
          </w:tcPr>
          <w:p w14:paraId="7FE2A1A6" w14:textId="77777777" w:rsidR="00141B97" w:rsidRDefault="00911D63">
            <w:pPr>
              <w:pStyle w:val="TableParagraph"/>
              <w:spacing w:line="129" w:lineRule="exact"/>
              <w:ind w:right="49"/>
              <w:jc w:val="right"/>
              <w:rPr>
                <w:rFonts w:ascii="Arial"/>
                <w:sz w:val="12"/>
              </w:rPr>
            </w:pPr>
            <w:r>
              <w:rPr>
                <w:rFonts w:ascii="Arial"/>
                <w:spacing w:val="-2"/>
                <w:sz w:val="12"/>
              </w:rPr>
              <w:t>80.67</w:t>
            </w:r>
          </w:p>
        </w:tc>
        <w:tc>
          <w:tcPr>
            <w:tcW w:w="1155" w:type="dxa"/>
            <w:tcBorders>
              <w:top w:val="nil"/>
              <w:left w:val="single" w:sz="6" w:space="0" w:color="D4D4D4"/>
              <w:bottom w:val="single" w:sz="6" w:space="0" w:color="D4D4D4"/>
              <w:right w:val="single" w:sz="6" w:space="0" w:color="D4D4D4"/>
            </w:tcBorders>
          </w:tcPr>
          <w:p w14:paraId="34606CA5" w14:textId="77777777" w:rsidR="00141B97" w:rsidRDefault="00911D63">
            <w:pPr>
              <w:pStyle w:val="TableParagraph"/>
              <w:spacing w:line="129" w:lineRule="exact"/>
              <w:ind w:right="48"/>
              <w:jc w:val="right"/>
              <w:rPr>
                <w:rFonts w:ascii="Arial"/>
                <w:sz w:val="12"/>
              </w:rPr>
            </w:pPr>
            <w:r>
              <w:rPr>
                <w:rFonts w:ascii="Arial"/>
                <w:spacing w:val="-2"/>
                <w:sz w:val="12"/>
              </w:rPr>
              <w:t>77.58</w:t>
            </w:r>
          </w:p>
        </w:tc>
      </w:tr>
      <w:tr w:rsidR="00141B97" w14:paraId="5190D32D" w14:textId="77777777">
        <w:trPr>
          <w:trHeight w:val="150"/>
        </w:trPr>
        <w:tc>
          <w:tcPr>
            <w:tcW w:w="2543" w:type="dxa"/>
            <w:tcBorders>
              <w:top w:val="single" w:sz="6" w:space="0" w:color="D4D4D4"/>
              <w:left w:val="single" w:sz="6" w:space="0" w:color="D4D4D4"/>
              <w:right w:val="single" w:sz="6" w:space="0" w:color="D4D4D4"/>
            </w:tcBorders>
          </w:tcPr>
          <w:p w14:paraId="6C175FBA" w14:textId="77777777" w:rsidR="00141B97" w:rsidRDefault="00911D63">
            <w:pPr>
              <w:pStyle w:val="TableParagraph"/>
              <w:spacing w:line="130"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2</w:t>
            </w:r>
          </w:p>
        </w:tc>
        <w:tc>
          <w:tcPr>
            <w:tcW w:w="922" w:type="dxa"/>
            <w:tcBorders>
              <w:top w:val="single" w:sz="6" w:space="0" w:color="D4D4D4"/>
              <w:left w:val="single" w:sz="6" w:space="0" w:color="D4D4D4"/>
              <w:right w:val="single" w:sz="6" w:space="0" w:color="D4D4D4"/>
            </w:tcBorders>
          </w:tcPr>
          <w:p w14:paraId="57C051FD" w14:textId="77777777" w:rsidR="00141B97" w:rsidRDefault="00911D63">
            <w:pPr>
              <w:pStyle w:val="TableParagraph"/>
              <w:spacing w:line="130"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right w:val="single" w:sz="6" w:space="0" w:color="D4D4D4"/>
            </w:tcBorders>
          </w:tcPr>
          <w:p w14:paraId="081634A6" w14:textId="77777777" w:rsidR="00141B97" w:rsidRDefault="00911D63">
            <w:pPr>
              <w:pStyle w:val="TableParagraph"/>
              <w:spacing w:line="130" w:lineRule="exact"/>
              <w:ind w:right="48"/>
              <w:jc w:val="right"/>
              <w:rPr>
                <w:rFonts w:ascii="Arial"/>
                <w:sz w:val="12"/>
              </w:rPr>
            </w:pPr>
            <w:r>
              <w:rPr>
                <w:rFonts w:ascii="Arial"/>
                <w:spacing w:val="-2"/>
                <w:sz w:val="12"/>
              </w:rPr>
              <w:t>70.76</w:t>
            </w:r>
          </w:p>
        </w:tc>
        <w:tc>
          <w:tcPr>
            <w:tcW w:w="962" w:type="dxa"/>
            <w:tcBorders>
              <w:top w:val="single" w:sz="6" w:space="0" w:color="D4D4D4"/>
              <w:left w:val="single" w:sz="6" w:space="0" w:color="D4D4D4"/>
              <w:right w:val="single" w:sz="6" w:space="0" w:color="D4D4D4"/>
            </w:tcBorders>
          </w:tcPr>
          <w:p w14:paraId="56EE80B2" w14:textId="77777777" w:rsidR="00141B97" w:rsidRDefault="00911D63">
            <w:pPr>
              <w:pStyle w:val="TableParagraph"/>
              <w:spacing w:line="130"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right w:val="single" w:sz="6" w:space="0" w:color="D4D4D4"/>
            </w:tcBorders>
          </w:tcPr>
          <w:p w14:paraId="16CC15F1" w14:textId="77777777" w:rsidR="00141B97" w:rsidRDefault="00911D63">
            <w:pPr>
              <w:pStyle w:val="TableParagraph"/>
              <w:spacing w:line="130"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right w:val="single" w:sz="6" w:space="0" w:color="D4D4D4"/>
            </w:tcBorders>
          </w:tcPr>
          <w:p w14:paraId="2E7279E5" w14:textId="77777777" w:rsidR="00141B97" w:rsidRDefault="00911D63">
            <w:pPr>
              <w:pStyle w:val="TableParagraph"/>
              <w:spacing w:line="130"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right w:val="single" w:sz="6" w:space="0" w:color="D4D4D4"/>
            </w:tcBorders>
          </w:tcPr>
          <w:p w14:paraId="78BB1AA2" w14:textId="77777777" w:rsidR="00141B97" w:rsidRDefault="00911D63">
            <w:pPr>
              <w:pStyle w:val="TableParagraph"/>
              <w:spacing w:line="130"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right w:val="single" w:sz="6" w:space="0" w:color="D4D4D4"/>
            </w:tcBorders>
          </w:tcPr>
          <w:p w14:paraId="3CF9ADE4" w14:textId="77777777" w:rsidR="00141B97" w:rsidRDefault="00911D63">
            <w:pPr>
              <w:pStyle w:val="TableParagraph"/>
              <w:spacing w:line="130" w:lineRule="exact"/>
              <w:ind w:right="187"/>
              <w:jc w:val="right"/>
              <w:rPr>
                <w:rFonts w:ascii="Arial"/>
                <w:sz w:val="12"/>
              </w:rPr>
            </w:pPr>
            <w:r>
              <w:rPr>
                <w:rFonts w:ascii="Arial"/>
                <w:w w:val="101"/>
                <w:sz w:val="12"/>
              </w:rPr>
              <w:t>-</w:t>
            </w:r>
          </w:p>
        </w:tc>
      </w:tr>
      <w:tr w:rsidR="00141B97" w14:paraId="497BA6D6" w14:textId="77777777">
        <w:trPr>
          <w:trHeight w:val="148"/>
        </w:trPr>
        <w:tc>
          <w:tcPr>
            <w:tcW w:w="2543" w:type="dxa"/>
            <w:tcBorders>
              <w:left w:val="single" w:sz="6" w:space="0" w:color="D4D4D4"/>
              <w:bottom w:val="single" w:sz="6" w:space="0" w:color="D4D4D4"/>
              <w:right w:val="single" w:sz="6" w:space="0" w:color="D4D4D4"/>
            </w:tcBorders>
          </w:tcPr>
          <w:p w14:paraId="3C024CE6"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3</w:t>
            </w:r>
          </w:p>
        </w:tc>
        <w:tc>
          <w:tcPr>
            <w:tcW w:w="922" w:type="dxa"/>
            <w:tcBorders>
              <w:left w:val="single" w:sz="6" w:space="0" w:color="D4D4D4"/>
              <w:bottom w:val="single" w:sz="6" w:space="0" w:color="D4D4D4"/>
              <w:right w:val="single" w:sz="6" w:space="0" w:color="D4D4D4"/>
            </w:tcBorders>
          </w:tcPr>
          <w:p w14:paraId="3F4CEE71"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left w:val="single" w:sz="6" w:space="0" w:color="D4D4D4"/>
              <w:bottom w:val="single" w:sz="6" w:space="0" w:color="D4D4D4"/>
              <w:right w:val="single" w:sz="6" w:space="0" w:color="D4D4D4"/>
            </w:tcBorders>
          </w:tcPr>
          <w:p w14:paraId="05644B8E" w14:textId="77777777" w:rsidR="00141B97" w:rsidRDefault="00911D63">
            <w:pPr>
              <w:pStyle w:val="TableParagraph"/>
              <w:spacing w:line="129" w:lineRule="exact"/>
              <w:ind w:right="48"/>
              <w:jc w:val="right"/>
              <w:rPr>
                <w:rFonts w:ascii="Arial"/>
                <w:sz w:val="12"/>
              </w:rPr>
            </w:pPr>
            <w:r>
              <w:rPr>
                <w:rFonts w:ascii="Arial"/>
                <w:spacing w:val="-2"/>
                <w:sz w:val="12"/>
              </w:rPr>
              <w:t>46.92</w:t>
            </w:r>
          </w:p>
        </w:tc>
        <w:tc>
          <w:tcPr>
            <w:tcW w:w="962" w:type="dxa"/>
            <w:tcBorders>
              <w:left w:val="single" w:sz="6" w:space="0" w:color="D4D4D4"/>
              <w:bottom w:val="single" w:sz="6" w:space="0" w:color="D4D4D4"/>
              <w:right w:val="single" w:sz="6" w:space="0" w:color="D4D4D4"/>
            </w:tcBorders>
          </w:tcPr>
          <w:p w14:paraId="73B34CA4" w14:textId="77777777" w:rsidR="00141B97" w:rsidRDefault="00911D63">
            <w:pPr>
              <w:pStyle w:val="TableParagraph"/>
              <w:spacing w:line="129" w:lineRule="exact"/>
              <w:ind w:right="189"/>
              <w:jc w:val="right"/>
              <w:rPr>
                <w:rFonts w:ascii="Arial"/>
                <w:sz w:val="12"/>
              </w:rPr>
            </w:pPr>
            <w:r>
              <w:rPr>
                <w:rFonts w:ascii="Arial"/>
                <w:w w:val="101"/>
                <w:sz w:val="12"/>
              </w:rPr>
              <w:t>-</w:t>
            </w:r>
          </w:p>
        </w:tc>
        <w:tc>
          <w:tcPr>
            <w:tcW w:w="1023" w:type="dxa"/>
            <w:tcBorders>
              <w:left w:val="single" w:sz="6" w:space="0" w:color="D4D4D4"/>
              <w:bottom w:val="single" w:sz="6" w:space="0" w:color="D4D4D4"/>
              <w:right w:val="single" w:sz="6" w:space="0" w:color="D4D4D4"/>
            </w:tcBorders>
          </w:tcPr>
          <w:p w14:paraId="40902969" w14:textId="77777777" w:rsidR="00141B97" w:rsidRDefault="00911D63">
            <w:pPr>
              <w:pStyle w:val="TableParagraph"/>
              <w:spacing w:line="129" w:lineRule="exact"/>
              <w:ind w:right="188"/>
              <w:jc w:val="right"/>
              <w:rPr>
                <w:rFonts w:ascii="Arial"/>
                <w:sz w:val="12"/>
              </w:rPr>
            </w:pPr>
            <w:r>
              <w:rPr>
                <w:rFonts w:ascii="Arial"/>
                <w:w w:val="101"/>
                <w:sz w:val="12"/>
              </w:rPr>
              <w:t>-</w:t>
            </w:r>
          </w:p>
        </w:tc>
        <w:tc>
          <w:tcPr>
            <w:tcW w:w="1094" w:type="dxa"/>
            <w:tcBorders>
              <w:left w:val="single" w:sz="6" w:space="0" w:color="D4D4D4"/>
              <w:bottom w:val="single" w:sz="6" w:space="0" w:color="D4D4D4"/>
              <w:right w:val="single" w:sz="6" w:space="0" w:color="D4D4D4"/>
            </w:tcBorders>
          </w:tcPr>
          <w:p w14:paraId="75918878" w14:textId="77777777" w:rsidR="00141B97" w:rsidRDefault="00911D63">
            <w:pPr>
              <w:pStyle w:val="TableParagraph"/>
              <w:spacing w:line="129" w:lineRule="exact"/>
              <w:ind w:right="188"/>
              <w:jc w:val="right"/>
              <w:rPr>
                <w:rFonts w:ascii="Arial"/>
                <w:sz w:val="12"/>
              </w:rPr>
            </w:pPr>
            <w:r>
              <w:rPr>
                <w:rFonts w:ascii="Arial"/>
                <w:w w:val="101"/>
                <w:sz w:val="12"/>
              </w:rPr>
              <w:t>-</w:t>
            </w:r>
          </w:p>
        </w:tc>
        <w:tc>
          <w:tcPr>
            <w:tcW w:w="962" w:type="dxa"/>
            <w:tcBorders>
              <w:left w:val="single" w:sz="6" w:space="0" w:color="D4D4D4"/>
              <w:bottom w:val="single" w:sz="6" w:space="0" w:color="D4D4D4"/>
              <w:right w:val="single" w:sz="6" w:space="0" w:color="D4D4D4"/>
            </w:tcBorders>
          </w:tcPr>
          <w:p w14:paraId="6B2D4FF0" w14:textId="77777777" w:rsidR="00141B97" w:rsidRDefault="00911D63">
            <w:pPr>
              <w:pStyle w:val="TableParagraph"/>
              <w:spacing w:line="129" w:lineRule="exact"/>
              <w:ind w:right="187"/>
              <w:jc w:val="right"/>
              <w:rPr>
                <w:rFonts w:ascii="Arial"/>
                <w:sz w:val="12"/>
              </w:rPr>
            </w:pPr>
            <w:r>
              <w:rPr>
                <w:rFonts w:ascii="Arial"/>
                <w:w w:val="101"/>
                <w:sz w:val="12"/>
              </w:rPr>
              <w:t>-</w:t>
            </w:r>
          </w:p>
        </w:tc>
        <w:tc>
          <w:tcPr>
            <w:tcW w:w="1155" w:type="dxa"/>
            <w:tcBorders>
              <w:left w:val="single" w:sz="6" w:space="0" w:color="D4D4D4"/>
              <w:bottom w:val="single" w:sz="6" w:space="0" w:color="D4D4D4"/>
              <w:right w:val="single" w:sz="6" w:space="0" w:color="D4D4D4"/>
            </w:tcBorders>
          </w:tcPr>
          <w:p w14:paraId="44609D34" w14:textId="77777777" w:rsidR="00141B97" w:rsidRDefault="00911D63">
            <w:pPr>
              <w:pStyle w:val="TableParagraph"/>
              <w:spacing w:line="129" w:lineRule="exact"/>
              <w:ind w:right="187"/>
              <w:jc w:val="right"/>
              <w:rPr>
                <w:rFonts w:ascii="Arial"/>
                <w:sz w:val="12"/>
              </w:rPr>
            </w:pPr>
            <w:r>
              <w:rPr>
                <w:rFonts w:ascii="Arial"/>
                <w:w w:val="101"/>
                <w:sz w:val="12"/>
              </w:rPr>
              <w:t>-</w:t>
            </w:r>
          </w:p>
        </w:tc>
      </w:tr>
      <w:tr w:rsidR="00141B97" w14:paraId="01F4B540" w14:textId="77777777">
        <w:trPr>
          <w:trHeight w:val="150"/>
        </w:trPr>
        <w:tc>
          <w:tcPr>
            <w:tcW w:w="2543" w:type="dxa"/>
            <w:tcBorders>
              <w:top w:val="single" w:sz="6" w:space="0" w:color="D4D4D4"/>
              <w:left w:val="single" w:sz="6" w:space="0" w:color="D4D4D4"/>
              <w:bottom w:val="nil"/>
              <w:right w:val="single" w:sz="6" w:space="0" w:color="D4D4D4"/>
            </w:tcBorders>
          </w:tcPr>
          <w:p w14:paraId="27BC3C81" w14:textId="77777777" w:rsidR="00141B97" w:rsidRDefault="00911D63">
            <w:pPr>
              <w:pStyle w:val="TableParagraph"/>
              <w:spacing w:line="131"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4</w:t>
            </w:r>
          </w:p>
        </w:tc>
        <w:tc>
          <w:tcPr>
            <w:tcW w:w="922" w:type="dxa"/>
            <w:tcBorders>
              <w:top w:val="single" w:sz="6" w:space="0" w:color="D4D4D4"/>
              <w:left w:val="single" w:sz="6" w:space="0" w:color="D4D4D4"/>
              <w:bottom w:val="nil"/>
              <w:right w:val="single" w:sz="6" w:space="0" w:color="D4D4D4"/>
            </w:tcBorders>
          </w:tcPr>
          <w:p w14:paraId="7B69F5C1" w14:textId="77777777" w:rsidR="00141B97" w:rsidRDefault="00911D63">
            <w:pPr>
              <w:pStyle w:val="TableParagraph"/>
              <w:spacing w:line="131"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nil"/>
              <w:right w:val="single" w:sz="6" w:space="0" w:color="D4D4D4"/>
            </w:tcBorders>
          </w:tcPr>
          <w:p w14:paraId="2B05E599" w14:textId="77777777" w:rsidR="00141B97" w:rsidRDefault="00911D63">
            <w:pPr>
              <w:pStyle w:val="TableParagraph"/>
              <w:spacing w:line="131" w:lineRule="exact"/>
              <w:ind w:right="48"/>
              <w:jc w:val="right"/>
              <w:rPr>
                <w:rFonts w:ascii="Arial"/>
                <w:sz w:val="12"/>
              </w:rPr>
            </w:pPr>
            <w:r>
              <w:rPr>
                <w:rFonts w:ascii="Arial"/>
                <w:spacing w:val="-2"/>
                <w:sz w:val="12"/>
              </w:rPr>
              <w:t>27.48</w:t>
            </w:r>
          </w:p>
        </w:tc>
        <w:tc>
          <w:tcPr>
            <w:tcW w:w="962" w:type="dxa"/>
            <w:tcBorders>
              <w:top w:val="single" w:sz="6" w:space="0" w:color="D4D4D4"/>
              <w:left w:val="single" w:sz="6" w:space="0" w:color="D4D4D4"/>
              <w:bottom w:val="nil"/>
              <w:right w:val="single" w:sz="6" w:space="0" w:color="D4D4D4"/>
            </w:tcBorders>
          </w:tcPr>
          <w:p w14:paraId="1C45FB6C" w14:textId="77777777" w:rsidR="00141B97" w:rsidRDefault="00911D63">
            <w:pPr>
              <w:pStyle w:val="TableParagraph"/>
              <w:spacing w:line="131" w:lineRule="exact"/>
              <w:ind w:right="50"/>
              <w:jc w:val="right"/>
              <w:rPr>
                <w:rFonts w:ascii="Arial"/>
                <w:sz w:val="12"/>
              </w:rPr>
            </w:pPr>
            <w:r>
              <w:rPr>
                <w:rFonts w:ascii="Arial"/>
                <w:spacing w:val="-2"/>
                <w:sz w:val="12"/>
              </w:rPr>
              <w:t>25.46</w:t>
            </w:r>
          </w:p>
        </w:tc>
        <w:tc>
          <w:tcPr>
            <w:tcW w:w="1023" w:type="dxa"/>
            <w:tcBorders>
              <w:top w:val="single" w:sz="6" w:space="0" w:color="D4D4D4"/>
              <w:left w:val="single" w:sz="6" w:space="0" w:color="D4D4D4"/>
              <w:bottom w:val="nil"/>
              <w:right w:val="single" w:sz="6" w:space="0" w:color="D4D4D4"/>
            </w:tcBorders>
          </w:tcPr>
          <w:p w14:paraId="43CB13BC" w14:textId="77777777" w:rsidR="00141B97" w:rsidRDefault="00911D63">
            <w:pPr>
              <w:pStyle w:val="TableParagraph"/>
              <w:spacing w:line="131" w:lineRule="exact"/>
              <w:ind w:right="50"/>
              <w:jc w:val="right"/>
              <w:rPr>
                <w:rFonts w:ascii="Arial"/>
                <w:sz w:val="12"/>
              </w:rPr>
            </w:pPr>
            <w:r>
              <w:rPr>
                <w:rFonts w:ascii="Arial"/>
                <w:spacing w:val="-2"/>
                <w:sz w:val="12"/>
              </w:rPr>
              <w:t>23.59</w:t>
            </w:r>
          </w:p>
        </w:tc>
        <w:tc>
          <w:tcPr>
            <w:tcW w:w="1094" w:type="dxa"/>
            <w:tcBorders>
              <w:top w:val="single" w:sz="6" w:space="0" w:color="D4D4D4"/>
              <w:left w:val="single" w:sz="6" w:space="0" w:color="D4D4D4"/>
              <w:bottom w:val="nil"/>
              <w:right w:val="single" w:sz="6" w:space="0" w:color="D4D4D4"/>
            </w:tcBorders>
          </w:tcPr>
          <w:p w14:paraId="60C0E14C" w14:textId="77777777" w:rsidR="00141B97" w:rsidRDefault="00911D63">
            <w:pPr>
              <w:pStyle w:val="TableParagraph"/>
              <w:spacing w:line="131" w:lineRule="exact"/>
              <w:ind w:right="49"/>
              <w:jc w:val="right"/>
              <w:rPr>
                <w:rFonts w:ascii="Arial"/>
                <w:sz w:val="12"/>
              </w:rPr>
            </w:pPr>
            <w:r>
              <w:rPr>
                <w:rFonts w:ascii="Arial"/>
                <w:spacing w:val="-2"/>
                <w:sz w:val="12"/>
              </w:rPr>
              <w:t>21.85</w:t>
            </w:r>
          </w:p>
        </w:tc>
        <w:tc>
          <w:tcPr>
            <w:tcW w:w="962" w:type="dxa"/>
            <w:tcBorders>
              <w:top w:val="single" w:sz="6" w:space="0" w:color="D4D4D4"/>
              <w:left w:val="single" w:sz="6" w:space="0" w:color="D4D4D4"/>
              <w:bottom w:val="nil"/>
              <w:right w:val="single" w:sz="6" w:space="0" w:color="D4D4D4"/>
            </w:tcBorders>
          </w:tcPr>
          <w:p w14:paraId="628FFDD2" w14:textId="77777777" w:rsidR="00141B97" w:rsidRDefault="00911D63">
            <w:pPr>
              <w:pStyle w:val="TableParagraph"/>
              <w:spacing w:line="131" w:lineRule="exact"/>
              <w:ind w:right="49"/>
              <w:jc w:val="right"/>
              <w:rPr>
                <w:rFonts w:ascii="Arial"/>
                <w:sz w:val="12"/>
              </w:rPr>
            </w:pPr>
            <w:r>
              <w:rPr>
                <w:rFonts w:ascii="Arial"/>
                <w:spacing w:val="-2"/>
                <w:sz w:val="12"/>
              </w:rPr>
              <w:t>20.25</w:t>
            </w:r>
          </w:p>
        </w:tc>
        <w:tc>
          <w:tcPr>
            <w:tcW w:w="1155" w:type="dxa"/>
            <w:tcBorders>
              <w:top w:val="single" w:sz="6" w:space="0" w:color="D4D4D4"/>
              <w:left w:val="single" w:sz="6" w:space="0" w:color="D4D4D4"/>
              <w:bottom w:val="nil"/>
              <w:right w:val="single" w:sz="6" w:space="0" w:color="D4D4D4"/>
            </w:tcBorders>
          </w:tcPr>
          <w:p w14:paraId="490939A1" w14:textId="77777777" w:rsidR="00141B97" w:rsidRDefault="00911D63">
            <w:pPr>
              <w:pStyle w:val="TableParagraph"/>
              <w:spacing w:line="131" w:lineRule="exact"/>
              <w:ind w:right="48"/>
              <w:jc w:val="right"/>
              <w:rPr>
                <w:rFonts w:ascii="Arial"/>
                <w:sz w:val="12"/>
              </w:rPr>
            </w:pPr>
            <w:r>
              <w:rPr>
                <w:rFonts w:ascii="Arial"/>
                <w:spacing w:val="-2"/>
                <w:sz w:val="12"/>
              </w:rPr>
              <w:t>18.76</w:t>
            </w:r>
          </w:p>
        </w:tc>
      </w:tr>
      <w:tr w:rsidR="00141B97" w14:paraId="7FC9E730" w14:textId="77777777">
        <w:trPr>
          <w:trHeight w:val="172"/>
        </w:trPr>
        <w:tc>
          <w:tcPr>
            <w:tcW w:w="9623" w:type="dxa"/>
            <w:gridSpan w:val="8"/>
            <w:tcBorders>
              <w:top w:val="nil"/>
              <w:left w:val="nil"/>
              <w:bottom w:val="nil"/>
              <w:right w:val="nil"/>
            </w:tcBorders>
            <w:shd w:val="clear" w:color="auto" w:fill="FFCC99"/>
          </w:tcPr>
          <w:p w14:paraId="23DA10F9" w14:textId="77777777" w:rsidR="00141B97" w:rsidRDefault="00911D63">
            <w:pPr>
              <w:pStyle w:val="TableParagraph"/>
              <w:spacing w:before="11"/>
              <w:ind w:left="31"/>
              <w:rPr>
                <w:rFonts w:ascii="Arial"/>
                <w:b/>
                <w:sz w:val="12"/>
              </w:rPr>
            </w:pPr>
            <w:r>
              <w:rPr>
                <w:rFonts w:ascii="Arial"/>
                <w:b/>
                <w:sz w:val="12"/>
              </w:rPr>
              <w:t>Red</w:t>
            </w:r>
            <w:r>
              <w:rPr>
                <w:rFonts w:ascii="Arial"/>
                <w:b/>
                <w:spacing w:val="-9"/>
                <w:sz w:val="12"/>
              </w:rPr>
              <w:t xml:space="preserve"> </w:t>
            </w:r>
            <w:r>
              <w:rPr>
                <w:rFonts w:ascii="Arial"/>
                <w:b/>
                <w:sz w:val="12"/>
              </w:rPr>
              <w:t>Cliffs</w:t>
            </w:r>
            <w:r>
              <w:rPr>
                <w:rFonts w:ascii="Arial"/>
                <w:b/>
                <w:spacing w:val="-6"/>
                <w:sz w:val="12"/>
              </w:rPr>
              <w:t xml:space="preserve"> </w:t>
            </w:r>
            <w:r>
              <w:rPr>
                <w:rFonts w:ascii="Arial"/>
                <w:b/>
                <w:sz w:val="12"/>
              </w:rPr>
              <w:t>-</w:t>
            </w:r>
            <w:r>
              <w:rPr>
                <w:rFonts w:ascii="Arial"/>
                <w:b/>
                <w:spacing w:val="-9"/>
                <w:sz w:val="12"/>
              </w:rPr>
              <w:t xml:space="preserve"> </w:t>
            </w:r>
            <w:r>
              <w:rPr>
                <w:rFonts w:ascii="Arial"/>
                <w:b/>
                <w:spacing w:val="-2"/>
                <w:sz w:val="12"/>
              </w:rPr>
              <w:t>Irrigation</w:t>
            </w:r>
          </w:p>
        </w:tc>
      </w:tr>
      <w:tr w:rsidR="00141B97" w14:paraId="07D7AB6F" w14:textId="77777777">
        <w:trPr>
          <w:trHeight w:val="148"/>
        </w:trPr>
        <w:tc>
          <w:tcPr>
            <w:tcW w:w="2543" w:type="dxa"/>
            <w:tcBorders>
              <w:top w:val="nil"/>
              <w:left w:val="single" w:sz="6" w:space="0" w:color="D4D4D4"/>
              <w:bottom w:val="single" w:sz="6" w:space="0" w:color="D4D4D4"/>
              <w:right w:val="single" w:sz="6" w:space="0" w:color="D4D4D4"/>
            </w:tcBorders>
          </w:tcPr>
          <w:p w14:paraId="7FB71F42" w14:textId="77777777" w:rsidR="00141B97" w:rsidRDefault="00911D63">
            <w:pPr>
              <w:pStyle w:val="TableParagraph"/>
              <w:spacing w:line="129"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nil"/>
              <w:left w:val="single" w:sz="6" w:space="0" w:color="D4D4D4"/>
              <w:bottom w:val="single" w:sz="6" w:space="0" w:color="D4D4D4"/>
              <w:right w:val="single" w:sz="6" w:space="0" w:color="D4D4D4"/>
            </w:tcBorders>
          </w:tcPr>
          <w:p w14:paraId="2F372CE0" w14:textId="77777777" w:rsidR="00141B97" w:rsidRDefault="00911D63">
            <w:pPr>
              <w:pStyle w:val="TableParagraph"/>
              <w:spacing w:line="129"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nil"/>
              <w:left w:val="single" w:sz="6" w:space="0" w:color="D4D4D4"/>
              <w:bottom w:val="single" w:sz="6" w:space="0" w:color="D4D4D4"/>
              <w:right w:val="single" w:sz="6" w:space="0" w:color="D4D4D4"/>
            </w:tcBorders>
          </w:tcPr>
          <w:p w14:paraId="72C157A0" w14:textId="77777777" w:rsidR="00141B97" w:rsidRDefault="00911D63">
            <w:pPr>
              <w:pStyle w:val="TableParagraph"/>
              <w:spacing w:line="129" w:lineRule="exact"/>
              <w:ind w:right="8"/>
              <w:jc w:val="right"/>
              <w:rPr>
                <w:rFonts w:ascii="Arial"/>
                <w:sz w:val="12"/>
              </w:rPr>
            </w:pPr>
            <w:r>
              <w:rPr>
                <w:rFonts w:ascii="Arial"/>
                <w:spacing w:val="-2"/>
                <w:sz w:val="12"/>
              </w:rPr>
              <w:t>100.00</w:t>
            </w:r>
          </w:p>
        </w:tc>
        <w:tc>
          <w:tcPr>
            <w:tcW w:w="962" w:type="dxa"/>
            <w:tcBorders>
              <w:top w:val="nil"/>
              <w:left w:val="single" w:sz="6" w:space="0" w:color="D4D4D4"/>
              <w:bottom w:val="single" w:sz="6" w:space="0" w:color="D4D4D4"/>
              <w:right w:val="single" w:sz="6" w:space="0" w:color="D4D4D4"/>
            </w:tcBorders>
          </w:tcPr>
          <w:p w14:paraId="7E4B958C" w14:textId="77777777" w:rsidR="00141B97" w:rsidRDefault="00911D63">
            <w:pPr>
              <w:pStyle w:val="TableParagraph"/>
              <w:spacing w:line="129" w:lineRule="exact"/>
              <w:ind w:right="7"/>
              <w:jc w:val="right"/>
              <w:rPr>
                <w:rFonts w:ascii="Arial"/>
                <w:sz w:val="12"/>
              </w:rPr>
            </w:pPr>
            <w:r>
              <w:rPr>
                <w:rFonts w:ascii="Arial"/>
                <w:spacing w:val="-2"/>
                <w:sz w:val="12"/>
              </w:rPr>
              <w:t>97.09</w:t>
            </w:r>
          </w:p>
        </w:tc>
        <w:tc>
          <w:tcPr>
            <w:tcW w:w="1023" w:type="dxa"/>
            <w:tcBorders>
              <w:top w:val="nil"/>
              <w:left w:val="single" w:sz="6" w:space="0" w:color="D4D4D4"/>
              <w:bottom w:val="single" w:sz="6" w:space="0" w:color="D4D4D4"/>
              <w:right w:val="single" w:sz="6" w:space="0" w:color="D4D4D4"/>
            </w:tcBorders>
          </w:tcPr>
          <w:p w14:paraId="34B528F3" w14:textId="77777777" w:rsidR="00141B97" w:rsidRDefault="00911D63">
            <w:pPr>
              <w:pStyle w:val="TableParagraph"/>
              <w:spacing w:line="129" w:lineRule="exact"/>
              <w:ind w:right="6"/>
              <w:jc w:val="right"/>
              <w:rPr>
                <w:rFonts w:ascii="Arial"/>
                <w:sz w:val="12"/>
              </w:rPr>
            </w:pPr>
            <w:r>
              <w:rPr>
                <w:rFonts w:ascii="Arial"/>
                <w:spacing w:val="-2"/>
                <w:sz w:val="12"/>
              </w:rPr>
              <w:t>94.26</w:t>
            </w:r>
          </w:p>
        </w:tc>
        <w:tc>
          <w:tcPr>
            <w:tcW w:w="1094" w:type="dxa"/>
            <w:tcBorders>
              <w:top w:val="nil"/>
              <w:left w:val="single" w:sz="6" w:space="0" w:color="D4D4D4"/>
              <w:bottom w:val="single" w:sz="6" w:space="0" w:color="D4D4D4"/>
              <w:right w:val="single" w:sz="6" w:space="0" w:color="D4D4D4"/>
            </w:tcBorders>
          </w:tcPr>
          <w:p w14:paraId="24F0CD51" w14:textId="77777777" w:rsidR="00141B97" w:rsidRDefault="00911D63">
            <w:pPr>
              <w:pStyle w:val="TableParagraph"/>
              <w:spacing w:line="129" w:lineRule="exact"/>
              <w:ind w:right="6"/>
              <w:jc w:val="right"/>
              <w:rPr>
                <w:rFonts w:ascii="Arial"/>
                <w:sz w:val="12"/>
              </w:rPr>
            </w:pPr>
            <w:r>
              <w:rPr>
                <w:rFonts w:ascii="Arial"/>
                <w:spacing w:val="-2"/>
                <w:sz w:val="12"/>
              </w:rPr>
              <w:t>91.51</w:t>
            </w:r>
          </w:p>
        </w:tc>
        <w:tc>
          <w:tcPr>
            <w:tcW w:w="962" w:type="dxa"/>
            <w:tcBorders>
              <w:top w:val="nil"/>
              <w:left w:val="single" w:sz="6" w:space="0" w:color="D4D4D4"/>
              <w:bottom w:val="single" w:sz="6" w:space="0" w:color="D4D4D4"/>
              <w:right w:val="single" w:sz="6" w:space="0" w:color="D4D4D4"/>
            </w:tcBorders>
          </w:tcPr>
          <w:p w14:paraId="45016A80" w14:textId="77777777" w:rsidR="00141B97" w:rsidRDefault="00911D63">
            <w:pPr>
              <w:pStyle w:val="TableParagraph"/>
              <w:spacing w:line="129" w:lineRule="exact"/>
              <w:ind w:right="9"/>
              <w:jc w:val="right"/>
              <w:rPr>
                <w:rFonts w:ascii="Arial"/>
                <w:sz w:val="12"/>
              </w:rPr>
            </w:pPr>
            <w:r>
              <w:rPr>
                <w:rFonts w:ascii="Arial"/>
                <w:spacing w:val="-2"/>
                <w:sz w:val="12"/>
              </w:rPr>
              <w:t>88.85</w:t>
            </w:r>
          </w:p>
        </w:tc>
        <w:tc>
          <w:tcPr>
            <w:tcW w:w="1155" w:type="dxa"/>
            <w:tcBorders>
              <w:top w:val="nil"/>
              <w:left w:val="single" w:sz="6" w:space="0" w:color="D4D4D4"/>
              <w:bottom w:val="single" w:sz="6" w:space="0" w:color="D4D4D4"/>
              <w:right w:val="single" w:sz="6" w:space="0" w:color="D4D4D4"/>
            </w:tcBorders>
          </w:tcPr>
          <w:p w14:paraId="625F94AD" w14:textId="77777777" w:rsidR="00141B97" w:rsidRDefault="00911D63">
            <w:pPr>
              <w:pStyle w:val="TableParagraph"/>
              <w:spacing w:line="129" w:lineRule="exact"/>
              <w:ind w:right="5"/>
              <w:jc w:val="right"/>
              <w:rPr>
                <w:rFonts w:ascii="Arial"/>
                <w:sz w:val="12"/>
              </w:rPr>
            </w:pPr>
            <w:r>
              <w:rPr>
                <w:rFonts w:ascii="Arial"/>
                <w:spacing w:val="-2"/>
                <w:sz w:val="12"/>
              </w:rPr>
              <w:t>86.26</w:t>
            </w:r>
          </w:p>
        </w:tc>
      </w:tr>
      <w:tr w:rsidR="00141B97" w14:paraId="52A5F88C"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77D87B17" w14:textId="77777777" w:rsidR="00141B97" w:rsidRDefault="00911D63">
            <w:pPr>
              <w:pStyle w:val="TableParagraph"/>
              <w:spacing w:line="127" w:lineRule="exact"/>
              <w:ind w:left="23"/>
              <w:rPr>
                <w:rFonts w:ascii="Arial"/>
                <w:sz w:val="12"/>
              </w:rPr>
            </w:pPr>
            <w:r>
              <w:rPr>
                <w:rFonts w:ascii="Arial"/>
                <w:sz w:val="12"/>
              </w:rPr>
              <w:t>Delivery</w:t>
            </w:r>
            <w:r>
              <w:rPr>
                <w:rFonts w:ascii="Arial"/>
                <w:spacing w:val="-5"/>
                <w:sz w:val="12"/>
              </w:rPr>
              <w:t xml:space="preserve"> </w:t>
            </w:r>
            <w:r>
              <w:rPr>
                <w:rFonts w:ascii="Arial"/>
                <w:spacing w:val="-2"/>
                <w:sz w:val="12"/>
              </w:rPr>
              <w:t>Share</w:t>
            </w:r>
          </w:p>
        </w:tc>
        <w:tc>
          <w:tcPr>
            <w:tcW w:w="922" w:type="dxa"/>
            <w:tcBorders>
              <w:top w:val="single" w:sz="6" w:space="0" w:color="D4D4D4"/>
              <w:left w:val="single" w:sz="6" w:space="0" w:color="D4D4D4"/>
              <w:bottom w:val="single" w:sz="6" w:space="0" w:color="D4D4D4"/>
              <w:right w:val="single" w:sz="6" w:space="0" w:color="D4D4D4"/>
            </w:tcBorders>
          </w:tcPr>
          <w:p w14:paraId="46F72348"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DS</w:t>
            </w:r>
          </w:p>
        </w:tc>
        <w:tc>
          <w:tcPr>
            <w:tcW w:w="962" w:type="dxa"/>
            <w:tcBorders>
              <w:top w:val="single" w:sz="6" w:space="0" w:color="D4D4D4"/>
              <w:left w:val="single" w:sz="6" w:space="0" w:color="D4D4D4"/>
              <w:bottom w:val="single" w:sz="6" w:space="0" w:color="D4D4D4"/>
              <w:right w:val="single" w:sz="6" w:space="0" w:color="D4D4D4"/>
            </w:tcBorders>
          </w:tcPr>
          <w:p w14:paraId="121159CD" w14:textId="77777777" w:rsidR="00141B97" w:rsidRDefault="00911D63">
            <w:pPr>
              <w:pStyle w:val="TableParagraph"/>
              <w:spacing w:line="127" w:lineRule="exact"/>
              <w:ind w:right="48"/>
              <w:jc w:val="right"/>
              <w:rPr>
                <w:rFonts w:ascii="Arial"/>
                <w:sz w:val="12"/>
              </w:rPr>
            </w:pPr>
            <w:r>
              <w:rPr>
                <w:rFonts w:ascii="Arial"/>
                <w:spacing w:val="-2"/>
                <w:sz w:val="12"/>
              </w:rPr>
              <w:t>404.80</w:t>
            </w:r>
          </w:p>
        </w:tc>
        <w:tc>
          <w:tcPr>
            <w:tcW w:w="962" w:type="dxa"/>
            <w:tcBorders>
              <w:top w:val="single" w:sz="6" w:space="0" w:color="D4D4D4"/>
              <w:left w:val="single" w:sz="6" w:space="0" w:color="D4D4D4"/>
              <w:bottom w:val="single" w:sz="6" w:space="0" w:color="D4D4D4"/>
              <w:right w:val="single" w:sz="6" w:space="0" w:color="D4D4D4"/>
            </w:tcBorders>
          </w:tcPr>
          <w:p w14:paraId="3EAEBC61" w14:textId="77777777" w:rsidR="00141B97" w:rsidRDefault="00911D63">
            <w:pPr>
              <w:pStyle w:val="TableParagraph"/>
              <w:spacing w:line="127" w:lineRule="exact"/>
              <w:ind w:right="47"/>
              <w:jc w:val="right"/>
              <w:rPr>
                <w:rFonts w:ascii="Arial"/>
                <w:sz w:val="12"/>
              </w:rPr>
            </w:pPr>
            <w:r>
              <w:rPr>
                <w:rFonts w:ascii="Arial"/>
                <w:spacing w:val="-2"/>
                <w:sz w:val="12"/>
              </w:rPr>
              <w:t>420.56</w:t>
            </w:r>
          </w:p>
        </w:tc>
        <w:tc>
          <w:tcPr>
            <w:tcW w:w="1023" w:type="dxa"/>
            <w:tcBorders>
              <w:top w:val="single" w:sz="6" w:space="0" w:color="D4D4D4"/>
              <w:left w:val="single" w:sz="6" w:space="0" w:color="D4D4D4"/>
              <w:bottom w:val="single" w:sz="6" w:space="0" w:color="D4D4D4"/>
              <w:right w:val="single" w:sz="6" w:space="0" w:color="D4D4D4"/>
            </w:tcBorders>
          </w:tcPr>
          <w:p w14:paraId="507DA3D6" w14:textId="77777777" w:rsidR="00141B97" w:rsidRDefault="00911D63">
            <w:pPr>
              <w:pStyle w:val="TableParagraph"/>
              <w:spacing w:line="127" w:lineRule="exact"/>
              <w:ind w:right="47"/>
              <w:jc w:val="right"/>
              <w:rPr>
                <w:rFonts w:ascii="Arial"/>
                <w:sz w:val="12"/>
              </w:rPr>
            </w:pPr>
            <w:r>
              <w:rPr>
                <w:rFonts w:ascii="Arial"/>
                <w:spacing w:val="-2"/>
                <w:sz w:val="12"/>
              </w:rPr>
              <w:t>436.94</w:t>
            </w:r>
          </w:p>
        </w:tc>
        <w:tc>
          <w:tcPr>
            <w:tcW w:w="1094" w:type="dxa"/>
            <w:tcBorders>
              <w:top w:val="single" w:sz="6" w:space="0" w:color="D4D4D4"/>
              <w:left w:val="single" w:sz="6" w:space="0" w:color="D4D4D4"/>
              <w:bottom w:val="single" w:sz="6" w:space="0" w:color="D4D4D4"/>
              <w:right w:val="single" w:sz="6" w:space="0" w:color="D4D4D4"/>
            </w:tcBorders>
          </w:tcPr>
          <w:p w14:paraId="7F033755" w14:textId="77777777" w:rsidR="00141B97" w:rsidRDefault="00911D63">
            <w:pPr>
              <w:pStyle w:val="TableParagraph"/>
              <w:spacing w:line="127" w:lineRule="exact"/>
              <w:ind w:right="46"/>
              <w:jc w:val="right"/>
              <w:rPr>
                <w:rFonts w:ascii="Arial"/>
                <w:sz w:val="12"/>
              </w:rPr>
            </w:pPr>
            <w:r>
              <w:rPr>
                <w:rFonts w:ascii="Arial"/>
                <w:spacing w:val="-2"/>
                <w:sz w:val="12"/>
              </w:rPr>
              <w:t>453.95</w:t>
            </w:r>
          </w:p>
        </w:tc>
        <w:tc>
          <w:tcPr>
            <w:tcW w:w="962" w:type="dxa"/>
            <w:tcBorders>
              <w:top w:val="single" w:sz="6" w:space="0" w:color="D4D4D4"/>
              <w:left w:val="single" w:sz="6" w:space="0" w:color="D4D4D4"/>
              <w:bottom w:val="single" w:sz="6" w:space="0" w:color="D4D4D4"/>
              <w:right w:val="single" w:sz="6" w:space="0" w:color="D4D4D4"/>
            </w:tcBorders>
          </w:tcPr>
          <w:p w14:paraId="396EBBFA" w14:textId="77777777" w:rsidR="00141B97" w:rsidRDefault="00911D63">
            <w:pPr>
              <w:pStyle w:val="TableParagraph"/>
              <w:spacing w:line="127" w:lineRule="exact"/>
              <w:ind w:right="49"/>
              <w:jc w:val="right"/>
              <w:rPr>
                <w:rFonts w:ascii="Arial"/>
                <w:sz w:val="12"/>
              </w:rPr>
            </w:pPr>
            <w:r>
              <w:rPr>
                <w:rFonts w:ascii="Arial"/>
                <w:spacing w:val="-2"/>
                <w:sz w:val="12"/>
              </w:rPr>
              <w:t>471.63</w:t>
            </w:r>
          </w:p>
        </w:tc>
        <w:tc>
          <w:tcPr>
            <w:tcW w:w="1155" w:type="dxa"/>
            <w:tcBorders>
              <w:top w:val="single" w:sz="6" w:space="0" w:color="D4D4D4"/>
              <w:left w:val="single" w:sz="6" w:space="0" w:color="D4D4D4"/>
              <w:bottom w:val="single" w:sz="6" w:space="0" w:color="D4D4D4"/>
              <w:right w:val="single" w:sz="6" w:space="0" w:color="D4D4D4"/>
            </w:tcBorders>
          </w:tcPr>
          <w:p w14:paraId="682E48A6" w14:textId="77777777" w:rsidR="00141B97" w:rsidRDefault="00911D63">
            <w:pPr>
              <w:pStyle w:val="TableParagraph"/>
              <w:spacing w:line="127" w:lineRule="exact"/>
              <w:ind w:right="45"/>
              <w:jc w:val="right"/>
              <w:rPr>
                <w:rFonts w:ascii="Arial"/>
                <w:sz w:val="12"/>
              </w:rPr>
            </w:pPr>
            <w:r>
              <w:rPr>
                <w:rFonts w:ascii="Arial"/>
                <w:spacing w:val="-2"/>
                <w:sz w:val="12"/>
              </w:rPr>
              <w:t>489.99</w:t>
            </w:r>
          </w:p>
        </w:tc>
      </w:tr>
      <w:tr w:rsidR="00141B97" w14:paraId="7132E191" w14:textId="77777777">
        <w:trPr>
          <w:trHeight w:val="312"/>
        </w:trPr>
        <w:tc>
          <w:tcPr>
            <w:tcW w:w="2543" w:type="dxa"/>
            <w:tcBorders>
              <w:top w:val="single" w:sz="6" w:space="0" w:color="D4D4D4"/>
              <w:left w:val="single" w:sz="6" w:space="0" w:color="D4D4D4"/>
              <w:right w:val="single" w:sz="6" w:space="0" w:color="D4D4D4"/>
            </w:tcBorders>
          </w:tcPr>
          <w:p w14:paraId="443CF072" w14:textId="77777777" w:rsidR="00141B97" w:rsidRDefault="00911D63">
            <w:pPr>
              <w:pStyle w:val="TableParagraph"/>
              <w:spacing w:before="75"/>
              <w:ind w:left="23"/>
              <w:rPr>
                <w:rFonts w:ascii="Arial"/>
                <w:sz w:val="12"/>
              </w:rPr>
            </w:pPr>
            <w:r>
              <w:rPr>
                <w:rFonts w:ascii="Arial"/>
                <w:sz w:val="12"/>
              </w:rPr>
              <w:t>Usage</w:t>
            </w:r>
            <w:r>
              <w:rPr>
                <w:rFonts w:ascii="Arial"/>
                <w:spacing w:val="21"/>
                <w:sz w:val="12"/>
              </w:rPr>
              <w:t xml:space="preserve"> </w:t>
            </w:r>
            <w:r>
              <w:rPr>
                <w:rFonts w:ascii="Arial"/>
                <w:spacing w:val="-2"/>
                <w:sz w:val="12"/>
              </w:rPr>
              <w:t>Charge</w:t>
            </w:r>
          </w:p>
        </w:tc>
        <w:tc>
          <w:tcPr>
            <w:tcW w:w="922" w:type="dxa"/>
            <w:tcBorders>
              <w:top w:val="single" w:sz="6" w:space="0" w:color="D4D4D4"/>
              <w:left w:val="single" w:sz="6" w:space="0" w:color="D4D4D4"/>
              <w:right w:val="single" w:sz="6" w:space="0" w:color="D4D4D4"/>
            </w:tcBorders>
          </w:tcPr>
          <w:p w14:paraId="70E11A3B" w14:textId="77777777" w:rsidR="00141B97" w:rsidRDefault="00911D63">
            <w:pPr>
              <w:pStyle w:val="TableParagraph"/>
              <w:spacing w:line="133"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ML</w:t>
            </w:r>
          </w:p>
          <w:p w14:paraId="06B83AF4" w14:textId="77777777" w:rsidR="00141B97" w:rsidRDefault="00911D63">
            <w:pPr>
              <w:pStyle w:val="TableParagraph"/>
              <w:spacing w:before="24" w:line="136" w:lineRule="exact"/>
              <w:ind w:left="24"/>
              <w:rPr>
                <w:rFonts w:ascii="Arial"/>
                <w:sz w:val="12"/>
              </w:rPr>
            </w:pPr>
            <w:r>
              <w:rPr>
                <w:rFonts w:ascii="Arial"/>
                <w:spacing w:val="-2"/>
                <w:sz w:val="12"/>
              </w:rPr>
              <w:t>Delivery</w:t>
            </w:r>
          </w:p>
        </w:tc>
        <w:tc>
          <w:tcPr>
            <w:tcW w:w="962" w:type="dxa"/>
            <w:tcBorders>
              <w:top w:val="single" w:sz="6" w:space="0" w:color="D4D4D4"/>
              <w:left w:val="single" w:sz="6" w:space="0" w:color="D4D4D4"/>
              <w:right w:val="single" w:sz="6" w:space="0" w:color="D4D4D4"/>
            </w:tcBorders>
          </w:tcPr>
          <w:p w14:paraId="64BA5D4F" w14:textId="77777777" w:rsidR="00141B97" w:rsidRDefault="00141B97">
            <w:pPr>
              <w:pStyle w:val="TableParagraph"/>
              <w:spacing w:before="10"/>
              <w:rPr>
                <w:sz w:val="12"/>
              </w:rPr>
            </w:pPr>
          </w:p>
          <w:p w14:paraId="5C9A8227" w14:textId="77777777" w:rsidR="00141B97" w:rsidRDefault="00911D63">
            <w:pPr>
              <w:pStyle w:val="TableParagraph"/>
              <w:spacing w:line="136" w:lineRule="exact"/>
              <w:ind w:right="48"/>
              <w:jc w:val="right"/>
              <w:rPr>
                <w:rFonts w:ascii="Arial"/>
                <w:sz w:val="12"/>
              </w:rPr>
            </w:pPr>
            <w:r>
              <w:rPr>
                <w:rFonts w:ascii="Arial"/>
                <w:spacing w:val="-2"/>
                <w:sz w:val="12"/>
              </w:rPr>
              <w:t>53.68</w:t>
            </w:r>
          </w:p>
        </w:tc>
        <w:tc>
          <w:tcPr>
            <w:tcW w:w="962" w:type="dxa"/>
            <w:tcBorders>
              <w:top w:val="single" w:sz="6" w:space="0" w:color="D4D4D4"/>
              <w:left w:val="single" w:sz="6" w:space="0" w:color="D4D4D4"/>
              <w:right w:val="single" w:sz="6" w:space="0" w:color="D4D4D4"/>
            </w:tcBorders>
          </w:tcPr>
          <w:p w14:paraId="2E8005EF" w14:textId="77777777" w:rsidR="00141B97" w:rsidRDefault="00141B97">
            <w:pPr>
              <w:pStyle w:val="TableParagraph"/>
              <w:spacing w:before="10"/>
              <w:rPr>
                <w:sz w:val="12"/>
              </w:rPr>
            </w:pPr>
          </w:p>
          <w:p w14:paraId="00706DA8" w14:textId="77777777" w:rsidR="00141B97" w:rsidRDefault="00911D63">
            <w:pPr>
              <w:pStyle w:val="TableParagraph"/>
              <w:spacing w:line="136" w:lineRule="exact"/>
              <w:ind w:right="50"/>
              <w:jc w:val="right"/>
              <w:rPr>
                <w:rFonts w:ascii="Arial"/>
                <w:sz w:val="12"/>
              </w:rPr>
            </w:pPr>
            <w:r>
              <w:rPr>
                <w:rFonts w:ascii="Arial"/>
                <w:spacing w:val="-2"/>
                <w:sz w:val="12"/>
              </w:rPr>
              <w:t>50.75</w:t>
            </w:r>
          </w:p>
        </w:tc>
        <w:tc>
          <w:tcPr>
            <w:tcW w:w="1023" w:type="dxa"/>
            <w:tcBorders>
              <w:top w:val="single" w:sz="6" w:space="0" w:color="D4D4D4"/>
              <w:left w:val="single" w:sz="6" w:space="0" w:color="D4D4D4"/>
              <w:right w:val="single" w:sz="6" w:space="0" w:color="D4D4D4"/>
            </w:tcBorders>
          </w:tcPr>
          <w:p w14:paraId="742B729C" w14:textId="77777777" w:rsidR="00141B97" w:rsidRDefault="00141B97">
            <w:pPr>
              <w:pStyle w:val="TableParagraph"/>
              <w:spacing w:before="10"/>
              <w:rPr>
                <w:sz w:val="12"/>
              </w:rPr>
            </w:pPr>
          </w:p>
          <w:p w14:paraId="41D8CDCC" w14:textId="77777777" w:rsidR="00141B97" w:rsidRDefault="00911D63">
            <w:pPr>
              <w:pStyle w:val="TableParagraph"/>
              <w:spacing w:line="136" w:lineRule="exact"/>
              <w:ind w:right="50"/>
              <w:jc w:val="right"/>
              <w:rPr>
                <w:rFonts w:ascii="Arial"/>
                <w:sz w:val="12"/>
              </w:rPr>
            </w:pPr>
            <w:r>
              <w:rPr>
                <w:rFonts w:ascii="Arial"/>
                <w:spacing w:val="-2"/>
                <w:sz w:val="12"/>
              </w:rPr>
              <w:t>47.97</w:t>
            </w:r>
          </w:p>
        </w:tc>
        <w:tc>
          <w:tcPr>
            <w:tcW w:w="1094" w:type="dxa"/>
            <w:tcBorders>
              <w:top w:val="single" w:sz="6" w:space="0" w:color="D4D4D4"/>
              <w:left w:val="single" w:sz="6" w:space="0" w:color="D4D4D4"/>
              <w:right w:val="single" w:sz="6" w:space="0" w:color="D4D4D4"/>
            </w:tcBorders>
          </w:tcPr>
          <w:p w14:paraId="355BEB8B" w14:textId="77777777" w:rsidR="00141B97" w:rsidRDefault="00141B97">
            <w:pPr>
              <w:pStyle w:val="TableParagraph"/>
              <w:spacing w:before="10"/>
              <w:rPr>
                <w:sz w:val="12"/>
              </w:rPr>
            </w:pPr>
          </w:p>
          <w:p w14:paraId="22680492" w14:textId="77777777" w:rsidR="00141B97" w:rsidRDefault="00911D63">
            <w:pPr>
              <w:pStyle w:val="TableParagraph"/>
              <w:spacing w:line="136" w:lineRule="exact"/>
              <w:ind w:right="49"/>
              <w:jc w:val="right"/>
              <w:rPr>
                <w:rFonts w:ascii="Arial"/>
                <w:sz w:val="12"/>
              </w:rPr>
            </w:pPr>
            <w:r>
              <w:rPr>
                <w:rFonts w:ascii="Arial"/>
                <w:spacing w:val="-2"/>
                <w:sz w:val="12"/>
              </w:rPr>
              <w:t>45.35</w:t>
            </w:r>
          </w:p>
        </w:tc>
        <w:tc>
          <w:tcPr>
            <w:tcW w:w="962" w:type="dxa"/>
            <w:tcBorders>
              <w:top w:val="single" w:sz="6" w:space="0" w:color="D4D4D4"/>
              <w:left w:val="single" w:sz="6" w:space="0" w:color="D4D4D4"/>
              <w:right w:val="single" w:sz="6" w:space="0" w:color="D4D4D4"/>
            </w:tcBorders>
          </w:tcPr>
          <w:p w14:paraId="0B841D0C" w14:textId="77777777" w:rsidR="00141B97" w:rsidRDefault="00141B97">
            <w:pPr>
              <w:pStyle w:val="TableParagraph"/>
              <w:spacing w:before="10"/>
              <w:rPr>
                <w:sz w:val="12"/>
              </w:rPr>
            </w:pPr>
          </w:p>
          <w:p w14:paraId="665B1E30" w14:textId="77777777" w:rsidR="00141B97" w:rsidRDefault="00911D63">
            <w:pPr>
              <w:pStyle w:val="TableParagraph"/>
              <w:spacing w:line="136" w:lineRule="exact"/>
              <w:ind w:right="49"/>
              <w:jc w:val="right"/>
              <w:rPr>
                <w:rFonts w:ascii="Arial"/>
                <w:sz w:val="12"/>
              </w:rPr>
            </w:pPr>
            <w:r>
              <w:rPr>
                <w:rFonts w:ascii="Arial"/>
                <w:spacing w:val="-2"/>
                <w:sz w:val="12"/>
              </w:rPr>
              <w:t>42.87</w:t>
            </w:r>
          </w:p>
        </w:tc>
        <w:tc>
          <w:tcPr>
            <w:tcW w:w="1155" w:type="dxa"/>
            <w:tcBorders>
              <w:top w:val="single" w:sz="6" w:space="0" w:color="D4D4D4"/>
              <w:left w:val="single" w:sz="6" w:space="0" w:color="D4D4D4"/>
              <w:right w:val="single" w:sz="6" w:space="0" w:color="D4D4D4"/>
            </w:tcBorders>
          </w:tcPr>
          <w:p w14:paraId="50A2068E" w14:textId="77777777" w:rsidR="00141B97" w:rsidRDefault="00141B97">
            <w:pPr>
              <w:pStyle w:val="TableParagraph"/>
              <w:spacing w:before="10"/>
              <w:rPr>
                <w:sz w:val="12"/>
              </w:rPr>
            </w:pPr>
          </w:p>
          <w:p w14:paraId="72E25DBC" w14:textId="77777777" w:rsidR="00141B97" w:rsidRDefault="00911D63">
            <w:pPr>
              <w:pStyle w:val="TableParagraph"/>
              <w:spacing w:line="136" w:lineRule="exact"/>
              <w:ind w:right="48"/>
              <w:jc w:val="right"/>
              <w:rPr>
                <w:rFonts w:ascii="Arial"/>
                <w:sz w:val="12"/>
              </w:rPr>
            </w:pPr>
            <w:r>
              <w:rPr>
                <w:rFonts w:ascii="Arial"/>
                <w:spacing w:val="-2"/>
                <w:sz w:val="12"/>
              </w:rPr>
              <w:t>40.52</w:t>
            </w:r>
          </w:p>
        </w:tc>
      </w:tr>
      <w:tr w:rsidR="00141B97" w14:paraId="034E5071" w14:textId="77777777">
        <w:trPr>
          <w:trHeight w:val="152"/>
        </w:trPr>
        <w:tc>
          <w:tcPr>
            <w:tcW w:w="2543" w:type="dxa"/>
            <w:tcBorders>
              <w:left w:val="single" w:sz="6" w:space="0" w:color="D4D4D4"/>
              <w:bottom w:val="nil"/>
              <w:right w:val="single" w:sz="6" w:space="0" w:color="D4D4D4"/>
            </w:tcBorders>
          </w:tcPr>
          <w:p w14:paraId="480463A6" w14:textId="77777777" w:rsidR="00141B97" w:rsidRDefault="00911D63">
            <w:pPr>
              <w:pStyle w:val="TableParagraph"/>
              <w:spacing w:line="132" w:lineRule="exact"/>
              <w:ind w:left="23"/>
              <w:rPr>
                <w:rFonts w:ascii="Arial"/>
                <w:sz w:val="12"/>
              </w:rPr>
            </w:pPr>
            <w:r>
              <w:rPr>
                <w:rFonts w:ascii="Arial"/>
                <w:sz w:val="12"/>
              </w:rPr>
              <w:t>Garden</w:t>
            </w:r>
            <w:r>
              <w:rPr>
                <w:rFonts w:ascii="Arial"/>
                <w:spacing w:val="6"/>
                <w:sz w:val="12"/>
              </w:rPr>
              <w:t xml:space="preserve"> </w:t>
            </w:r>
            <w:r>
              <w:rPr>
                <w:rFonts w:ascii="Arial"/>
                <w:sz w:val="12"/>
              </w:rPr>
              <w:t xml:space="preserve">- </w:t>
            </w:r>
            <w:r>
              <w:rPr>
                <w:rFonts w:ascii="Arial"/>
                <w:spacing w:val="-2"/>
                <w:sz w:val="12"/>
              </w:rPr>
              <w:t>unmetered</w:t>
            </w:r>
          </w:p>
        </w:tc>
        <w:tc>
          <w:tcPr>
            <w:tcW w:w="922" w:type="dxa"/>
            <w:tcBorders>
              <w:left w:val="single" w:sz="6" w:space="0" w:color="D4D4D4"/>
              <w:bottom w:val="nil"/>
              <w:right w:val="single" w:sz="6" w:space="0" w:color="D4D4D4"/>
            </w:tcBorders>
          </w:tcPr>
          <w:p w14:paraId="6B6FA767" w14:textId="77777777" w:rsidR="00141B97" w:rsidRDefault="00911D63">
            <w:pPr>
              <w:pStyle w:val="TableParagraph"/>
              <w:spacing w:line="132"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property</w:t>
            </w:r>
          </w:p>
        </w:tc>
        <w:tc>
          <w:tcPr>
            <w:tcW w:w="962" w:type="dxa"/>
            <w:tcBorders>
              <w:left w:val="single" w:sz="6" w:space="0" w:color="D4D4D4"/>
              <w:bottom w:val="nil"/>
              <w:right w:val="single" w:sz="6" w:space="0" w:color="D4D4D4"/>
            </w:tcBorders>
          </w:tcPr>
          <w:p w14:paraId="3575FAED" w14:textId="77777777" w:rsidR="00141B97" w:rsidRDefault="00911D63">
            <w:pPr>
              <w:pStyle w:val="TableParagraph"/>
              <w:spacing w:line="132" w:lineRule="exact"/>
              <w:ind w:right="48"/>
              <w:jc w:val="right"/>
              <w:rPr>
                <w:rFonts w:ascii="Arial"/>
                <w:sz w:val="12"/>
              </w:rPr>
            </w:pPr>
            <w:r>
              <w:rPr>
                <w:rFonts w:ascii="Arial"/>
                <w:spacing w:val="-2"/>
                <w:sz w:val="12"/>
              </w:rPr>
              <w:t>520.08</w:t>
            </w:r>
          </w:p>
        </w:tc>
        <w:tc>
          <w:tcPr>
            <w:tcW w:w="962" w:type="dxa"/>
            <w:tcBorders>
              <w:left w:val="single" w:sz="6" w:space="0" w:color="D4D4D4"/>
              <w:bottom w:val="nil"/>
              <w:right w:val="single" w:sz="6" w:space="0" w:color="D4D4D4"/>
            </w:tcBorders>
          </w:tcPr>
          <w:p w14:paraId="0A282E24" w14:textId="77777777" w:rsidR="00141B97" w:rsidRDefault="00911D63">
            <w:pPr>
              <w:pStyle w:val="TableParagraph"/>
              <w:spacing w:line="132" w:lineRule="exact"/>
              <w:ind w:right="47"/>
              <w:jc w:val="right"/>
              <w:rPr>
                <w:rFonts w:ascii="Arial"/>
                <w:sz w:val="12"/>
              </w:rPr>
            </w:pPr>
            <w:r>
              <w:rPr>
                <w:rFonts w:ascii="Arial"/>
                <w:spacing w:val="-2"/>
                <w:sz w:val="12"/>
              </w:rPr>
              <w:t>517.60</w:t>
            </w:r>
          </w:p>
        </w:tc>
        <w:tc>
          <w:tcPr>
            <w:tcW w:w="1023" w:type="dxa"/>
            <w:tcBorders>
              <w:left w:val="single" w:sz="6" w:space="0" w:color="D4D4D4"/>
              <w:bottom w:val="nil"/>
              <w:right w:val="single" w:sz="6" w:space="0" w:color="D4D4D4"/>
            </w:tcBorders>
          </w:tcPr>
          <w:p w14:paraId="427EDEF7" w14:textId="77777777" w:rsidR="00141B97" w:rsidRDefault="00911D63">
            <w:pPr>
              <w:pStyle w:val="TableParagraph"/>
              <w:spacing w:line="132" w:lineRule="exact"/>
              <w:ind w:right="47"/>
              <w:jc w:val="right"/>
              <w:rPr>
                <w:rFonts w:ascii="Arial"/>
                <w:sz w:val="12"/>
              </w:rPr>
            </w:pPr>
            <w:r>
              <w:rPr>
                <w:rFonts w:ascii="Arial"/>
                <w:spacing w:val="-2"/>
                <w:sz w:val="12"/>
              </w:rPr>
              <w:t>515.14</w:t>
            </w:r>
          </w:p>
        </w:tc>
        <w:tc>
          <w:tcPr>
            <w:tcW w:w="1094" w:type="dxa"/>
            <w:tcBorders>
              <w:left w:val="single" w:sz="6" w:space="0" w:color="D4D4D4"/>
              <w:bottom w:val="nil"/>
              <w:right w:val="single" w:sz="6" w:space="0" w:color="D4D4D4"/>
            </w:tcBorders>
          </w:tcPr>
          <w:p w14:paraId="183C72F0" w14:textId="77777777" w:rsidR="00141B97" w:rsidRDefault="00911D63">
            <w:pPr>
              <w:pStyle w:val="TableParagraph"/>
              <w:spacing w:line="132" w:lineRule="exact"/>
              <w:ind w:right="46"/>
              <w:jc w:val="right"/>
              <w:rPr>
                <w:rFonts w:ascii="Arial"/>
                <w:sz w:val="12"/>
              </w:rPr>
            </w:pPr>
            <w:r>
              <w:rPr>
                <w:rFonts w:ascii="Arial"/>
                <w:spacing w:val="-2"/>
                <w:sz w:val="12"/>
              </w:rPr>
              <w:t>512.68</w:t>
            </w:r>
          </w:p>
        </w:tc>
        <w:tc>
          <w:tcPr>
            <w:tcW w:w="962" w:type="dxa"/>
            <w:tcBorders>
              <w:left w:val="single" w:sz="6" w:space="0" w:color="D4D4D4"/>
              <w:bottom w:val="nil"/>
              <w:right w:val="single" w:sz="6" w:space="0" w:color="D4D4D4"/>
            </w:tcBorders>
          </w:tcPr>
          <w:p w14:paraId="6212266B" w14:textId="77777777" w:rsidR="00141B97" w:rsidRDefault="00911D63">
            <w:pPr>
              <w:pStyle w:val="TableParagraph"/>
              <w:spacing w:line="132" w:lineRule="exact"/>
              <w:ind w:right="49"/>
              <w:jc w:val="right"/>
              <w:rPr>
                <w:rFonts w:ascii="Arial"/>
                <w:sz w:val="12"/>
              </w:rPr>
            </w:pPr>
            <w:r>
              <w:rPr>
                <w:rFonts w:ascii="Arial"/>
                <w:spacing w:val="-2"/>
                <w:sz w:val="12"/>
              </w:rPr>
              <w:t>510.24</w:t>
            </w:r>
          </w:p>
        </w:tc>
        <w:tc>
          <w:tcPr>
            <w:tcW w:w="1155" w:type="dxa"/>
            <w:tcBorders>
              <w:left w:val="single" w:sz="6" w:space="0" w:color="D4D4D4"/>
              <w:bottom w:val="nil"/>
              <w:right w:val="single" w:sz="6" w:space="0" w:color="D4D4D4"/>
            </w:tcBorders>
          </w:tcPr>
          <w:p w14:paraId="6D58D0C7" w14:textId="77777777" w:rsidR="00141B97" w:rsidRDefault="00911D63">
            <w:pPr>
              <w:pStyle w:val="TableParagraph"/>
              <w:spacing w:line="132" w:lineRule="exact"/>
              <w:ind w:right="45"/>
              <w:jc w:val="right"/>
              <w:rPr>
                <w:rFonts w:ascii="Arial"/>
                <w:sz w:val="12"/>
              </w:rPr>
            </w:pPr>
            <w:r>
              <w:rPr>
                <w:rFonts w:ascii="Arial"/>
                <w:spacing w:val="-2"/>
                <w:sz w:val="12"/>
              </w:rPr>
              <w:t>507.81</w:t>
            </w:r>
          </w:p>
        </w:tc>
      </w:tr>
      <w:tr w:rsidR="00141B97" w14:paraId="7494B5AE" w14:textId="77777777">
        <w:trPr>
          <w:trHeight w:val="171"/>
        </w:trPr>
        <w:tc>
          <w:tcPr>
            <w:tcW w:w="9623" w:type="dxa"/>
            <w:gridSpan w:val="8"/>
            <w:tcBorders>
              <w:top w:val="nil"/>
              <w:left w:val="nil"/>
              <w:bottom w:val="nil"/>
              <w:right w:val="nil"/>
            </w:tcBorders>
            <w:shd w:val="clear" w:color="auto" w:fill="FFCC99"/>
          </w:tcPr>
          <w:p w14:paraId="6E70B320" w14:textId="77777777" w:rsidR="00141B97" w:rsidRDefault="00911D63">
            <w:pPr>
              <w:pStyle w:val="TableParagraph"/>
              <w:spacing w:before="10"/>
              <w:ind w:left="31"/>
              <w:rPr>
                <w:rFonts w:ascii="Arial"/>
                <w:b/>
                <w:sz w:val="12"/>
              </w:rPr>
            </w:pPr>
            <w:r>
              <w:rPr>
                <w:rFonts w:ascii="Arial"/>
                <w:b/>
                <w:sz w:val="12"/>
              </w:rPr>
              <w:t>Red</w:t>
            </w:r>
            <w:r>
              <w:rPr>
                <w:rFonts w:ascii="Arial"/>
                <w:b/>
                <w:spacing w:val="-9"/>
                <w:sz w:val="12"/>
              </w:rPr>
              <w:t xml:space="preserve"> </w:t>
            </w:r>
            <w:r>
              <w:rPr>
                <w:rFonts w:ascii="Arial"/>
                <w:b/>
                <w:sz w:val="12"/>
              </w:rPr>
              <w:t>Cliffs</w:t>
            </w:r>
            <w:r>
              <w:rPr>
                <w:rFonts w:ascii="Arial"/>
                <w:b/>
                <w:spacing w:val="-6"/>
                <w:sz w:val="12"/>
              </w:rPr>
              <w:t xml:space="preserve"> </w:t>
            </w:r>
            <w:r>
              <w:rPr>
                <w:rFonts w:ascii="Arial"/>
                <w:b/>
                <w:sz w:val="12"/>
              </w:rPr>
              <w:t>-</w:t>
            </w:r>
            <w:r>
              <w:rPr>
                <w:rFonts w:ascii="Arial"/>
                <w:b/>
                <w:spacing w:val="-9"/>
                <w:sz w:val="12"/>
              </w:rPr>
              <w:t xml:space="preserve"> </w:t>
            </w:r>
            <w:r>
              <w:rPr>
                <w:rFonts w:ascii="Arial"/>
                <w:b/>
                <w:spacing w:val="-2"/>
                <w:sz w:val="12"/>
              </w:rPr>
              <w:t>Drainage</w:t>
            </w:r>
          </w:p>
        </w:tc>
      </w:tr>
      <w:tr w:rsidR="00141B97" w14:paraId="77E997E8" w14:textId="77777777">
        <w:trPr>
          <w:trHeight w:val="148"/>
        </w:trPr>
        <w:tc>
          <w:tcPr>
            <w:tcW w:w="2543" w:type="dxa"/>
            <w:tcBorders>
              <w:top w:val="nil"/>
              <w:left w:val="single" w:sz="6" w:space="0" w:color="D4D4D4"/>
              <w:bottom w:val="single" w:sz="6" w:space="0" w:color="D4D4D4"/>
              <w:right w:val="single" w:sz="6" w:space="0" w:color="D4D4D4"/>
            </w:tcBorders>
          </w:tcPr>
          <w:p w14:paraId="080ACA14"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1</w:t>
            </w:r>
          </w:p>
        </w:tc>
        <w:tc>
          <w:tcPr>
            <w:tcW w:w="922" w:type="dxa"/>
            <w:tcBorders>
              <w:top w:val="nil"/>
              <w:left w:val="single" w:sz="6" w:space="0" w:color="D4D4D4"/>
              <w:bottom w:val="single" w:sz="6" w:space="0" w:color="D4D4D4"/>
              <w:right w:val="single" w:sz="6" w:space="0" w:color="D4D4D4"/>
            </w:tcBorders>
          </w:tcPr>
          <w:p w14:paraId="20F70A1B"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nil"/>
              <w:left w:val="single" w:sz="6" w:space="0" w:color="D4D4D4"/>
              <w:bottom w:val="single" w:sz="6" w:space="0" w:color="D4D4D4"/>
              <w:right w:val="single" w:sz="6" w:space="0" w:color="D4D4D4"/>
            </w:tcBorders>
          </w:tcPr>
          <w:p w14:paraId="404B610F" w14:textId="77777777" w:rsidR="00141B97" w:rsidRDefault="00911D63">
            <w:pPr>
              <w:pStyle w:val="TableParagraph"/>
              <w:spacing w:line="129" w:lineRule="exact"/>
              <w:ind w:right="48"/>
              <w:jc w:val="right"/>
              <w:rPr>
                <w:rFonts w:ascii="Arial"/>
                <w:sz w:val="12"/>
              </w:rPr>
            </w:pPr>
            <w:r>
              <w:rPr>
                <w:rFonts w:ascii="Arial"/>
                <w:spacing w:val="-2"/>
                <w:sz w:val="12"/>
              </w:rPr>
              <w:t>93.92</w:t>
            </w:r>
          </w:p>
        </w:tc>
        <w:tc>
          <w:tcPr>
            <w:tcW w:w="962" w:type="dxa"/>
            <w:tcBorders>
              <w:top w:val="nil"/>
              <w:left w:val="single" w:sz="6" w:space="0" w:color="D4D4D4"/>
              <w:bottom w:val="single" w:sz="6" w:space="0" w:color="D4D4D4"/>
              <w:right w:val="single" w:sz="6" w:space="0" w:color="D4D4D4"/>
            </w:tcBorders>
          </w:tcPr>
          <w:p w14:paraId="26D75F95" w14:textId="77777777" w:rsidR="00141B97" w:rsidRDefault="00911D63">
            <w:pPr>
              <w:pStyle w:val="TableParagraph"/>
              <w:spacing w:line="129" w:lineRule="exact"/>
              <w:ind w:right="50"/>
              <w:jc w:val="right"/>
              <w:rPr>
                <w:rFonts w:ascii="Arial"/>
                <w:sz w:val="12"/>
              </w:rPr>
            </w:pPr>
            <w:r>
              <w:rPr>
                <w:rFonts w:ascii="Arial"/>
                <w:spacing w:val="-2"/>
                <w:sz w:val="12"/>
              </w:rPr>
              <w:t>90.41</w:t>
            </w:r>
          </w:p>
        </w:tc>
        <w:tc>
          <w:tcPr>
            <w:tcW w:w="1023" w:type="dxa"/>
            <w:tcBorders>
              <w:top w:val="nil"/>
              <w:left w:val="single" w:sz="6" w:space="0" w:color="D4D4D4"/>
              <w:bottom w:val="single" w:sz="6" w:space="0" w:color="D4D4D4"/>
              <w:right w:val="single" w:sz="6" w:space="0" w:color="D4D4D4"/>
            </w:tcBorders>
          </w:tcPr>
          <w:p w14:paraId="2F7A9685" w14:textId="77777777" w:rsidR="00141B97" w:rsidRDefault="00911D63">
            <w:pPr>
              <w:pStyle w:val="TableParagraph"/>
              <w:spacing w:line="129" w:lineRule="exact"/>
              <w:ind w:right="50"/>
              <w:jc w:val="right"/>
              <w:rPr>
                <w:rFonts w:ascii="Arial"/>
                <w:sz w:val="12"/>
              </w:rPr>
            </w:pPr>
            <w:r>
              <w:rPr>
                <w:rFonts w:ascii="Arial"/>
                <w:spacing w:val="-2"/>
                <w:sz w:val="12"/>
              </w:rPr>
              <w:t>87.04</w:t>
            </w:r>
          </w:p>
        </w:tc>
        <w:tc>
          <w:tcPr>
            <w:tcW w:w="1094" w:type="dxa"/>
            <w:tcBorders>
              <w:top w:val="nil"/>
              <w:left w:val="single" w:sz="6" w:space="0" w:color="D4D4D4"/>
              <w:bottom w:val="single" w:sz="6" w:space="0" w:color="D4D4D4"/>
              <w:right w:val="single" w:sz="6" w:space="0" w:color="D4D4D4"/>
            </w:tcBorders>
          </w:tcPr>
          <w:p w14:paraId="0CED396C" w14:textId="77777777" w:rsidR="00141B97" w:rsidRDefault="00911D63">
            <w:pPr>
              <w:pStyle w:val="TableParagraph"/>
              <w:spacing w:line="129" w:lineRule="exact"/>
              <w:ind w:right="49"/>
              <w:jc w:val="right"/>
              <w:rPr>
                <w:rFonts w:ascii="Arial"/>
                <w:sz w:val="12"/>
              </w:rPr>
            </w:pPr>
            <w:r>
              <w:rPr>
                <w:rFonts w:ascii="Arial"/>
                <w:spacing w:val="-2"/>
                <w:sz w:val="12"/>
              </w:rPr>
              <w:t>83.79</w:t>
            </w:r>
          </w:p>
        </w:tc>
        <w:tc>
          <w:tcPr>
            <w:tcW w:w="962" w:type="dxa"/>
            <w:tcBorders>
              <w:top w:val="nil"/>
              <w:left w:val="single" w:sz="6" w:space="0" w:color="D4D4D4"/>
              <w:bottom w:val="single" w:sz="6" w:space="0" w:color="D4D4D4"/>
              <w:right w:val="single" w:sz="6" w:space="0" w:color="D4D4D4"/>
            </w:tcBorders>
          </w:tcPr>
          <w:p w14:paraId="03C09431" w14:textId="77777777" w:rsidR="00141B97" w:rsidRDefault="00911D63">
            <w:pPr>
              <w:pStyle w:val="TableParagraph"/>
              <w:spacing w:line="129" w:lineRule="exact"/>
              <w:ind w:right="49"/>
              <w:jc w:val="right"/>
              <w:rPr>
                <w:rFonts w:ascii="Arial"/>
                <w:sz w:val="12"/>
              </w:rPr>
            </w:pPr>
            <w:r>
              <w:rPr>
                <w:rFonts w:ascii="Arial"/>
                <w:spacing w:val="-2"/>
                <w:sz w:val="12"/>
              </w:rPr>
              <w:t>80.66</w:t>
            </w:r>
          </w:p>
        </w:tc>
        <w:tc>
          <w:tcPr>
            <w:tcW w:w="1155" w:type="dxa"/>
            <w:tcBorders>
              <w:top w:val="nil"/>
              <w:left w:val="single" w:sz="6" w:space="0" w:color="D4D4D4"/>
              <w:bottom w:val="single" w:sz="6" w:space="0" w:color="D4D4D4"/>
              <w:right w:val="single" w:sz="6" w:space="0" w:color="D4D4D4"/>
            </w:tcBorders>
          </w:tcPr>
          <w:p w14:paraId="0E01D8DF" w14:textId="77777777" w:rsidR="00141B97" w:rsidRDefault="00911D63">
            <w:pPr>
              <w:pStyle w:val="TableParagraph"/>
              <w:spacing w:line="129" w:lineRule="exact"/>
              <w:ind w:right="48"/>
              <w:jc w:val="right"/>
              <w:rPr>
                <w:rFonts w:ascii="Arial"/>
                <w:sz w:val="12"/>
              </w:rPr>
            </w:pPr>
            <w:r>
              <w:rPr>
                <w:rFonts w:ascii="Arial"/>
                <w:spacing w:val="-2"/>
                <w:sz w:val="12"/>
              </w:rPr>
              <w:t>77.65</w:t>
            </w:r>
          </w:p>
        </w:tc>
      </w:tr>
      <w:tr w:rsidR="00141B97" w14:paraId="0B05E1AC"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5775A8A0" w14:textId="77777777" w:rsidR="00141B97" w:rsidRDefault="00911D63">
            <w:pPr>
              <w:pStyle w:val="TableParagraph"/>
              <w:spacing w:line="128"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2</w:t>
            </w:r>
          </w:p>
        </w:tc>
        <w:tc>
          <w:tcPr>
            <w:tcW w:w="922" w:type="dxa"/>
            <w:tcBorders>
              <w:top w:val="single" w:sz="6" w:space="0" w:color="D4D4D4"/>
              <w:left w:val="single" w:sz="6" w:space="0" w:color="D4D4D4"/>
              <w:bottom w:val="single" w:sz="6" w:space="0" w:color="D4D4D4"/>
              <w:right w:val="single" w:sz="6" w:space="0" w:color="D4D4D4"/>
            </w:tcBorders>
          </w:tcPr>
          <w:p w14:paraId="57D2DA04" w14:textId="77777777" w:rsidR="00141B97" w:rsidRDefault="00911D63">
            <w:pPr>
              <w:pStyle w:val="TableParagraph"/>
              <w:spacing w:line="128"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single" w:sz="6" w:space="0" w:color="D4D4D4"/>
              <w:right w:val="single" w:sz="6" w:space="0" w:color="D4D4D4"/>
            </w:tcBorders>
          </w:tcPr>
          <w:p w14:paraId="4F02A7C4" w14:textId="77777777" w:rsidR="00141B97" w:rsidRDefault="00911D63">
            <w:pPr>
              <w:pStyle w:val="TableParagraph"/>
              <w:spacing w:line="128" w:lineRule="exact"/>
              <w:ind w:right="48"/>
              <w:jc w:val="right"/>
              <w:rPr>
                <w:rFonts w:ascii="Arial"/>
                <w:sz w:val="12"/>
              </w:rPr>
            </w:pPr>
            <w:r>
              <w:rPr>
                <w:rFonts w:ascii="Arial"/>
                <w:spacing w:val="-2"/>
                <w:sz w:val="12"/>
              </w:rPr>
              <w:t>88.40</w:t>
            </w:r>
          </w:p>
        </w:tc>
        <w:tc>
          <w:tcPr>
            <w:tcW w:w="962" w:type="dxa"/>
            <w:tcBorders>
              <w:top w:val="single" w:sz="6" w:space="0" w:color="D4D4D4"/>
              <w:left w:val="single" w:sz="6" w:space="0" w:color="D4D4D4"/>
              <w:bottom w:val="single" w:sz="6" w:space="0" w:color="D4D4D4"/>
              <w:right w:val="single" w:sz="6" w:space="0" w:color="D4D4D4"/>
            </w:tcBorders>
          </w:tcPr>
          <w:p w14:paraId="33EADBA7" w14:textId="77777777" w:rsidR="00141B97" w:rsidRDefault="00911D63">
            <w:pPr>
              <w:pStyle w:val="TableParagraph"/>
              <w:spacing w:line="128" w:lineRule="exact"/>
              <w:ind w:right="50"/>
              <w:jc w:val="right"/>
              <w:rPr>
                <w:rFonts w:ascii="Arial"/>
                <w:sz w:val="12"/>
              </w:rPr>
            </w:pPr>
            <w:r>
              <w:rPr>
                <w:rFonts w:ascii="Arial"/>
                <w:spacing w:val="-2"/>
                <w:sz w:val="12"/>
              </w:rPr>
              <w:t>73.04</w:t>
            </w:r>
          </w:p>
        </w:tc>
        <w:tc>
          <w:tcPr>
            <w:tcW w:w="1023" w:type="dxa"/>
            <w:tcBorders>
              <w:top w:val="single" w:sz="6" w:space="0" w:color="D4D4D4"/>
              <w:left w:val="single" w:sz="6" w:space="0" w:color="D4D4D4"/>
              <w:bottom w:val="single" w:sz="6" w:space="0" w:color="D4D4D4"/>
              <w:right w:val="single" w:sz="6" w:space="0" w:color="D4D4D4"/>
            </w:tcBorders>
          </w:tcPr>
          <w:p w14:paraId="53F95A27" w14:textId="77777777" w:rsidR="00141B97" w:rsidRDefault="00911D63">
            <w:pPr>
              <w:pStyle w:val="TableParagraph"/>
              <w:spacing w:line="128" w:lineRule="exact"/>
              <w:ind w:right="50"/>
              <w:jc w:val="right"/>
              <w:rPr>
                <w:rFonts w:ascii="Arial"/>
                <w:sz w:val="12"/>
              </w:rPr>
            </w:pPr>
            <w:r>
              <w:rPr>
                <w:rFonts w:ascii="Arial"/>
                <w:spacing w:val="-2"/>
                <w:sz w:val="12"/>
              </w:rPr>
              <w:t>60.35</w:t>
            </w:r>
          </w:p>
        </w:tc>
        <w:tc>
          <w:tcPr>
            <w:tcW w:w="1094" w:type="dxa"/>
            <w:tcBorders>
              <w:top w:val="single" w:sz="6" w:space="0" w:color="D4D4D4"/>
              <w:left w:val="single" w:sz="6" w:space="0" w:color="D4D4D4"/>
              <w:bottom w:val="single" w:sz="6" w:space="0" w:color="D4D4D4"/>
              <w:right w:val="single" w:sz="6" w:space="0" w:color="D4D4D4"/>
            </w:tcBorders>
          </w:tcPr>
          <w:p w14:paraId="200464C2" w14:textId="77777777" w:rsidR="00141B97" w:rsidRDefault="00911D63">
            <w:pPr>
              <w:pStyle w:val="TableParagraph"/>
              <w:spacing w:line="128" w:lineRule="exact"/>
              <w:ind w:right="49"/>
              <w:jc w:val="right"/>
              <w:rPr>
                <w:rFonts w:ascii="Arial"/>
                <w:sz w:val="12"/>
              </w:rPr>
            </w:pPr>
            <w:r>
              <w:rPr>
                <w:rFonts w:ascii="Arial"/>
                <w:spacing w:val="-2"/>
                <w:sz w:val="12"/>
              </w:rPr>
              <w:t>49.87</w:t>
            </w:r>
          </w:p>
        </w:tc>
        <w:tc>
          <w:tcPr>
            <w:tcW w:w="962" w:type="dxa"/>
            <w:tcBorders>
              <w:top w:val="single" w:sz="6" w:space="0" w:color="D4D4D4"/>
              <w:left w:val="single" w:sz="6" w:space="0" w:color="D4D4D4"/>
              <w:bottom w:val="single" w:sz="6" w:space="0" w:color="D4D4D4"/>
              <w:right w:val="single" w:sz="6" w:space="0" w:color="D4D4D4"/>
            </w:tcBorders>
          </w:tcPr>
          <w:p w14:paraId="639A311A" w14:textId="77777777" w:rsidR="00141B97" w:rsidRDefault="00911D63">
            <w:pPr>
              <w:pStyle w:val="TableParagraph"/>
              <w:spacing w:line="128" w:lineRule="exact"/>
              <w:ind w:right="49"/>
              <w:jc w:val="right"/>
              <w:rPr>
                <w:rFonts w:ascii="Arial"/>
                <w:sz w:val="12"/>
              </w:rPr>
            </w:pPr>
            <w:r>
              <w:rPr>
                <w:rFonts w:ascii="Arial"/>
                <w:spacing w:val="-2"/>
                <w:sz w:val="12"/>
              </w:rPr>
              <w:t>41.20</w:t>
            </w:r>
          </w:p>
        </w:tc>
        <w:tc>
          <w:tcPr>
            <w:tcW w:w="1155" w:type="dxa"/>
            <w:tcBorders>
              <w:top w:val="single" w:sz="6" w:space="0" w:color="D4D4D4"/>
              <w:left w:val="single" w:sz="6" w:space="0" w:color="D4D4D4"/>
              <w:bottom w:val="single" w:sz="6" w:space="0" w:color="D4D4D4"/>
              <w:right w:val="single" w:sz="6" w:space="0" w:color="D4D4D4"/>
            </w:tcBorders>
          </w:tcPr>
          <w:p w14:paraId="2D5AAF5A" w14:textId="77777777" w:rsidR="00141B97" w:rsidRDefault="00911D63">
            <w:pPr>
              <w:pStyle w:val="TableParagraph"/>
              <w:spacing w:line="128" w:lineRule="exact"/>
              <w:ind w:right="48"/>
              <w:jc w:val="right"/>
              <w:rPr>
                <w:rFonts w:ascii="Arial"/>
                <w:sz w:val="12"/>
              </w:rPr>
            </w:pPr>
            <w:r>
              <w:rPr>
                <w:rFonts w:ascii="Arial"/>
                <w:spacing w:val="-2"/>
                <w:sz w:val="12"/>
              </w:rPr>
              <w:t>34.05</w:t>
            </w:r>
          </w:p>
        </w:tc>
      </w:tr>
      <w:tr w:rsidR="00141B97" w14:paraId="0E26D6A8"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7BAF2C04" w14:textId="77777777" w:rsidR="00141B97" w:rsidRDefault="00911D63">
            <w:pPr>
              <w:pStyle w:val="TableParagraph"/>
              <w:spacing w:line="128"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3</w:t>
            </w:r>
          </w:p>
        </w:tc>
        <w:tc>
          <w:tcPr>
            <w:tcW w:w="922" w:type="dxa"/>
            <w:tcBorders>
              <w:top w:val="single" w:sz="6" w:space="0" w:color="D4D4D4"/>
              <w:left w:val="single" w:sz="6" w:space="0" w:color="D4D4D4"/>
              <w:bottom w:val="single" w:sz="6" w:space="0" w:color="D4D4D4"/>
              <w:right w:val="single" w:sz="6" w:space="0" w:color="D4D4D4"/>
            </w:tcBorders>
          </w:tcPr>
          <w:p w14:paraId="0A389FED" w14:textId="77777777" w:rsidR="00141B97" w:rsidRDefault="00911D63">
            <w:pPr>
              <w:pStyle w:val="TableParagraph"/>
              <w:spacing w:line="128"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single" w:sz="6" w:space="0" w:color="D4D4D4"/>
              <w:right w:val="single" w:sz="6" w:space="0" w:color="D4D4D4"/>
            </w:tcBorders>
          </w:tcPr>
          <w:p w14:paraId="395BEDFC" w14:textId="77777777" w:rsidR="00141B97" w:rsidRDefault="00911D63">
            <w:pPr>
              <w:pStyle w:val="TableParagraph"/>
              <w:spacing w:line="128" w:lineRule="exact"/>
              <w:ind w:right="48"/>
              <w:jc w:val="right"/>
              <w:rPr>
                <w:rFonts w:ascii="Arial"/>
                <w:sz w:val="12"/>
              </w:rPr>
            </w:pPr>
            <w:r>
              <w:rPr>
                <w:rFonts w:ascii="Arial"/>
                <w:spacing w:val="-2"/>
                <w:sz w:val="12"/>
              </w:rPr>
              <w:t>51.44</w:t>
            </w:r>
          </w:p>
        </w:tc>
        <w:tc>
          <w:tcPr>
            <w:tcW w:w="962" w:type="dxa"/>
            <w:tcBorders>
              <w:top w:val="single" w:sz="6" w:space="0" w:color="D4D4D4"/>
              <w:left w:val="single" w:sz="6" w:space="0" w:color="D4D4D4"/>
              <w:bottom w:val="single" w:sz="6" w:space="0" w:color="D4D4D4"/>
              <w:right w:val="single" w:sz="6" w:space="0" w:color="D4D4D4"/>
            </w:tcBorders>
          </w:tcPr>
          <w:p w14:paraId="16C5C0CE" w14:textId="77777777" w:rsidR="00141B97" w:rsidRDefault="00911D63">
            <w:pPr>
              <w:pStyle w:val="TableParagraph"/>
              <w:spacing w:line="128"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single" w:sz="6" w:space="0" w:color="D4D4D4"/>
              <w:right w:val="single" w:sz="6" w:space="0" w:color="D4D4D4"/>
            </w:tcBorders>
          </w:tcPr>
          <w:p w14:paraId="3B8253A9" w14:textId="77777777" w:rsidR="00141B97" w:rsidRDefault="00911D63">
            <w:pPr>
              <w:pStyle w:val="TableParagraph"/>
              <w:spacing w:line="128"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single" w:sz="6" w:space="0" w:color="D4D4D4"/>
              <w:right w:val="single" w:sz="6" w:space="0" w:color="D4D4D4"/>
            </w:tcBorders>
          </w:tcPr>
          <w:p w14:paraId="11D05669" w14:textId="77777777" w:rsidR="00141B97" w:rsidRDefault="00911D63">
            <w:pPr>
              <w:pStyle w:val="TableParagraph"/>
              <w:spacing w:line="128"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single" w:sz="6" w:space="0" w:color="D4D4D4"/>
              <w:right w:val="single" w:sz="6" w:space="0" w:color="D4D4D4"/>
            </w:tcBorders>
          </w:tcPr>
          <w:p w14:paraId="008FAFB9" w14:textId="77777777" w:rsidR="00141B97" w:rsidRDefault="00911D63">
            <w:pPr>
              <w:pStyle w:val="TableParagraph"/>
              <w:spacing w:line="128"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single" w:sz="6" w:space="0" w:color="D4D4D4"/>
              <w:right w:val="single" w:sz="6" w:space="0" w:color="D4D4D4"/>
            </w:tcBorders>
          </w:tcPr>
          <w:p w14:paraId="2354FAD1" w14:textId="77777777" w:rsidR="00141B97" w:rsidRDefault="00911D63">
            <w:pPr>
              <w:pStyle w:val="TableParagraph"/>
              <w:spacing w:line="128" w:lineRule="exact"/>
              <w:ind w:right="187"/>
              <w:jc w:val="right"/>
              <w:rPr>
                <w:rFonts w:ascii="Arial"/>
                <w:sz w:val="12"/>
              </w:rPr>
            </w:pPr>
            <w:r>
              <w:rPr>
                <w:rFonts w:ascii="Arial"/>
                <w:w w:val="101"/>
                <w:sz w:val="12"/>
              </w:rPr>
              <w:t>-</w:t>
            </w:r>
          </w:p>
        </w:tc>
      </w:tr>
      <w:tr w:rsidR="00141B97" w14:paraId="242F0605" w14:textId="77777777">
        <w:trPr>
          <w:trHeight w:val="149"/>
        </w:trPr>
        <w:tc>
          <w:tcPr>
            <w:tcW w:w="2543" w:type="dxa"/>
            <w:tcBorders>
              <w:top w:val="single" w:sz="6" w:space="0" w:color="D4D4D4"/>
              <w:left w:val="single" w:sz="6" w:space="0" w:color="D4D4D4"/>
              <w:bottom w:val="nil"/>
              <w:right w:val="single" w:sz="6" w:space="0" w:color="D4D4D4"/>
            </w:tcBorders>
          </w:tcPr>
          <w:p w14:paraId="0305A8E3"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4</w:t>
            </w:r>
          </w:p>
        </w:tc>
        <w:tc>
          <w:tcPr>
            <w:tcW w:w="922" w:type="dxa"/>
            <w:tcBorders>
              <w:top w:val="single" w:sz="6" w:space="0" w:color="D4D4D4"/>
              <w:left w:val="single" w:sz="6" w:space="0" w:color="D4D4D4"/>
              <w:bottom w:val="nil"/>
              <w:right w:val="single" w:sz="6" w:space="0" w:color="D4D4D4"/>
            </w:tcBorders>
          </w:tcPr>
          <w:p w14:paraId="0B2CD0FE"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nil"/>
              <w:right w:val="single" w:sz="6" w:space="0" w:color="D4D4D4"/>
            </w:tcBorders>
          </w:tcPr>
          <w:p w14:paraId="515A44CD" w14:textId="77777777" w:rsidR="00141B97" w:rsidRDefault="00911D63">
            <w:pPr>
              <w:pStyle w:val="TableParagraph"/>
              <w:spacing w:line="129" w:lineRule="exact"/>
              <w:ind w:right="48"/>
              <w:jc w:val="right"/>
              <w:rPr>
                <w:rFonts w:ascii="Arial"/>
                <w:sz w:val="12"/>
              </w:rPr>
            </w:pPr>
            <w:r>
              <w:rPr>
                <w:rFonts w:ascii="Arial"/>
                <w:spacing w:val="-2"/>
                <w:sz w:val="12"/>
              </w:rPr>
              <w:t>24.28</w:t>
            </w:r>
          </w:p>
        </w:tc>
        <w:tc>
          <w:tcPr>
            <w:tcW w:w="962" w:type="dxa"/>
            <w:tcBorders>
              <w:top w:val="single" w:sz="6" w:space="0" w:color="D4D4D4"/>
              <w:left w:val="single" w:sz="6" w:space="0" w:color="D4D4D4"/>
              <w:bottom w:val="nil"/>
              <w:right w:val="single" w:sz="6" w:space="0" w:color="D4D4D4"/>
            </w:tcBorders>
          </w:tcPr>
          <w:p w14:paraId="0F0E5F38" w14:textId="77777777" w:rsidR="00141B97" w:rsidRDefault="00911D63">
            <w:pPr>
              <w:pStyle w:val="TableParagraph"/>
              <w:spacing w:line="129" w:lineRule="exact"/>
              <w:ind w:right="50"/>
              <w:jc w:val="right"/>
              <w:rPr>
                <w:rFonts w:ascii="Arial"/>
                <w:sz w:val="12"/>
              </w:rPr>
            </w:pPr>
            <w:r>
              <w:rPr>
                <w:rFonts w:ascii="Arial"/>
                <w:spacing w:val="-2"/>
                <w:sz w:val="12"/>
              </w:rPr>
              <w:t>23.18</w:t>
            </w:r>
          </w:p>
        </w:tc>
        <w:tc>
          <w:tcPr>
            <w:tcW w:w="1023" w:type="dxa"/>
            <w:tcBorders>
              <w:top w:val="single" w:sz="6" w:space="0" w:color="D4D4D4"/>
              <w:left w:val="single" w:sz="6" w:space="0" w:color="D4D4D4"/>
              <w:bottom w:val="nil"/>
              <w:right w:val="single" w:sz="6" w:space="0" w:color="D4D4D4"/>
            </w:tcBorders>
          </w:tcPr>
          <w:p w14:paraId="3567A5C3" w14:textId="77777777" w:rsidR="00141B97" w:rsidRDefault="00911D63">
            <w:pPr>
              <w:pStyle w:val="TableParagraph"/>
              <w:spacing w:line="129" w:lineRule="exact"/>
              <w:ind w:right="50"/>
              <w:jc w:val="right"/>
              <w:rPr>
                <w:rFonts w:ascii="Arial"/>
                <w:sz w:val="12"/>
              </w:rPr>
            </w:pPr>
            <w:r>
              <w:rPr>
                <w:rFonts w:ascii="Arial"/>
                <w:spacing w:val="-2"/>
                <w:sz w:val="12"/>
              </w:rPr>
              <w:t>22.12</w:t>
            </w:r>
          </w:p>
        </w:tc>
        <w:tc>
          <w:tcPr>
            <w:tcW w:w="1094" w:type="dxa"/>
            <w:tcBorders>
              <w:top w:val="single" w:sz="6" w:space="0" w:color="D4D4D4"/>
              <w:left w:val="single" w:sz="6" w:space="0" w:color="D4D4D4"/>
              <w:bottom w:val="nil"/>
              <w:right w:val="single" w:sz="6" w:space="0" w:color="D4D4D4"/>
            </w:tcBorders>
          </w:tcPr>
          <w:p w14:paraId="644EE914" w14:textId="77777777" w:rsidR="00141B97" w:rsidRDefault="00911D63">
            <w:pPr>
              <w:pStyle w:val="TableParagraph"/>
              <w:spacing w:line="129" w:lineRule="exact"/>
              <w:ind w:right="49"/>
              <w:jc w:val="right"/>
              <w:rPr>
                <w:rFonts w:ascii="Arial"/>
                <w:sz w:val="12"/>
              </w:rPr>
            </w:pPr>
            <w:r>
              <w:rPr>
                <w:rFonts w:ascii="Arial"/>
                <w:spacing w:val="-2"/>
                <w:sz w:val="12"/>
              </w:rPr>
              <w:t>21.12</w:t>
            </w:r>
          </w:p>
        </w:tc>
        <w:tc>
          <w:tcPr>
            <w:tcW w:w="962" w:type="dxa"/>
            <w:tcBorders>
              <w:top w:val="single" w:sz="6" w:space="0" w:color="D4D4D4"/>
              <w:left w:val="single" w:sz="6" w:space="0" w:color="D4D4D4"/>
              <w:bottom w:val="nil"/>
              <w:right w:val="single" w:sz="6" w:space="0" w:color="D4D4D4"/>
            </w:tcBorders>
          </w:tcPr>
          <w:p w14:paraId="425089CB" w14:textId="77777777" w:rsidR="00141B97" w:rsidRDefault="00911D63">
            <w:pPr>
              <w:pStyle w:val="TableParagraph"/>
              <w:spacing w:line="129" w:lineRule="exact"/>
              <w:ind w:right="49"/>
              <w:jc w:val="right"/>
              <w:rPr>
                <w:rFonts w:ascii="Arial"/>
                <w:sz w:val="12"/>
              </w:rPr>
            </w:pPr>
            <w:r>
              <w:rPr>
                <w:rFonts w:ascii="Arial"/>
                <w:spacing w:val="-2"/>
                <w:sz w:val="12"/>
              </w:rPr>
              <w:t>20.16</w:t>
            </w:r>
          </w:p>
        </w:tc>
        <w:tc>
          <w:tcPr>
            <w:tcW w:w="1155" w:type="dxa"/>
            <w:tcBorders>
              <w:top w:val="single" w:sz="6" w:space="0" w:color="D4D4D4"/>
              <w:left w:val="single" w:sz="6" w:space="0" w:color="D4D4D4"/>
              <w:bottom w:val="nil"/>
              <w:right w:val="single" w:sz="6" w:space="0" w:color="D4D4D4"/>
            </w:tcBorders>
          </w:tcPr>
          <w:p w14:paraId="26C30F4F" w14:textId="77777777" w:rsidR="00141B97" w:rsidRDefault="00911D63">
            <w:pPr>
              <w:pStyle w:val="TableParagraph"/>
              <w:spacing w:line="129" w:lineRule="exact"/>
              <w:ind w:right="48"/>
              <w:jc w:val="right"/>
              <w:rPr>
                <w:rFonts w:ascii="Arial"/>
                <w:sz w:val="12"/>
              </w:rPr>
            </w:pPr>
            <w:r>
              <w:rPr>
                <w:rFonts w:ascii="Arial"/>
                <w:spacing w:val="-2"/>
                <w:sz w:val="12"/>
              </w:rPr>
              <w:t>19.24</w:t>
            </w:r>
          </w:p>
        </w:tc>
      </w:tr>
      <w:tr w:rsidR="00141B97" w14:paraId="09AB5D4F" w14:textId="77777777">
        <w:trPr>
          <w:trHeight w:val="172"/>
        </w:trPr>
        <w:tc>
          <w:tcPr>
            <w:tcW w:w="9623" w:type="dxa"/>
            <w:gridSpan w:val="8"/>
            <w:tcBorders>
              <w:top w:val="nil"/>
              <w:left w:val="nil"/>
              <w:bottom w:val="nil"/>
              <w:right w:val="nil"/>
            </w:tcBorders>
            <w:shd w:val="clear" w:color="auto" w:fill="656599"/>
          </w:tcPr>
          <w:p w14:paraId="3B06A9C2" w14:textId="77777777" w:rsidR="00141B97" w:rsidRDefault="00911D63">
            <w:pPr>
              <w:pStyle w:val="TableParagraph"/>
              <w:spacing w:before="11"/>
              <w:ind w:left="31"/>
              <w:rPr>
                <w:rFonts w:ascii="Arial"/>
                <w:b/>
                <w:sz w:val="12"/>
              </w:rPr>
            </w:pPr>
            <w:r>
              <w:rPr>
                <w:rFonts w:ascii="Arial"/>
                <w:b/>
                <w:color w:val="FFFFFF"/>
                <w:spacing w:val="-2"/>
                <w:sz w:val="12"/>
              </w:rPr>
              <w:t>Robinvale</w:t>
            </w:r>
            <w:r>
              <w:rPr>
                <w:rFonts w:ascii="Arial"/>
                <w:b/>
                <w:color w:val="FFFFFF"/>
                <w:spacing w:val="-4"/>
                <w:sz w:val="12"/>
              </w:rPr>
              <w:t xml:space="preserve"> </w:t>
            </w:r>
            <w:r>
              <w:rPr>
                <w:rFonts w:ascii="Arial"/>
                <w:b/>
                <w:color w:val="FFFFFF"/>
                <w:spacing w:val="-2"/>
                <w:sz w:val="12"/>
              </w:rPr>
              <w:t>-</w:t>
            </w:r>
            <w:r>
              <w:rPr>
                <w:rFonts w:ascii="Arial"/>
                <w:b/>
                <w:color w:val="FFFFFF"/>
                <w:spacing w:val="-5"/>
                <w:sz w:val="12"/>
              </w:rPr>
              <w:t xml:space="preserve"> </w:t>
            </w:r>
            <w:r>
              <w:rPr>
                <w:rFonts w:ascii="Arial"/>
                <w:b/>
                <w:color w:val="FFFFFF"/>
                <w:spacing w:val="-2"/>
                <w:sz w:val="12"/>
              </w:rPr>
              <w:t>Irrigation</w:t>
            </w:r>
          </w:p>
        </w:tc>
      </w:tr>
      <w:tr w:rsidR="00141B97" w14:paraId="4B18E9BA" w14:textId="77777777">
        <w:trPr>
          <w:trHeight w:val="148"/>
        </w:trPr>
        <w:tc>
          <w:tcPr>
            <w:tcW w:w="2543" w:type="dxa"/>
            <w:tcBorders>
              <w:top w:val="nil"/>
              <w:left w:val="single" w:sz="6" w:space="0" w:color="D4D4D4"/>
              <w:bottom w:val="single" w:sz="6" w:space="0" w:color="D4D4D4"/>
              <w:right w:val="single" w:sz="6" w:space="0" w:color="D4D4D4"/>
            </w:tcBorders>
          </w:tcPr>
          <w:p w14:paraId="0E274D69" w14:textId="77777777" w:rsidR="00141B97" w:rsidRDefault="00911D63">
            <w:pPr>
              <w:pStyle w:val="TableParagraph"/>
              <w:spacing w:line="129"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nil"/>
              <w:left w:val="single" w:sz="6" w:space="0" w:color="D4D4D4"/>
              <w:bottom w:val="single" w:sz="6" w:space="0" w:color="D4D4D4"/>
              <w:right w:val="single" w:sz="6" w:space="0" w:color="D4D4D4"/>
            </w:tcBorders>
          </w:tcPr>
          <w:p w14:paraId="14D160FB" w14:textId="77777777" w:rsidR="00141B97" w:rsidRDefault="00911D63">
            <w:pPr>
              <w:pStyle w:val="TableParagraph"/>
              <w:spacing w:line="129"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nil"/>
              <w:left w:val="single" w:sz="6" w:space="0" w:color="D4D4D4"/>
              <w:bottom w:val="single" w:sz="6" w:space="0" w:color="D4D4D4"/>
              <w:right w:val="single" w:sz="6" w:space="0" w:color="D4D4D4"/>
            </w:tcBorders>
          </w:tcPr>
          <w:p w14:paraId="3F823AA0" w14:textId="77777777" w:rsidR="00141B97" w:rsidRDefault="00911D63">
            <w:pPr>
              <w:pStyle w:val="TableParagraph"/>
              <w:spacing w:line="129" w:lineRule="exact"/>
              <w:ind w:right="48"/>
              <w:jc w:val="right"/>
              <w:rPr>
                <w:rFonts w:ascii="Arial"/>
                <w:sz w:val="12"/>
              </w:rPr>
            </w:pPr>
            <w:r>
              <w:rPr>
                <w:rFonts w:ascii="Arial"/>
                <w:spacing w:val="-2"/>
                <w:sz w:val="12"/>
              </w:rPr>
              <w:t>100.00</w:t>
            </w:r>
          </w:p>
        </w:tc>
        <w:tc>
          <w:tcPr>
            <w:tcW w:w="962" w:type="dxa"/>
            <w:tcBorders>
              <w:top w:val="nil"/>
              <w:left w:val="single" w:sz="6" w:space="0" w:color="D4D4D4"/>
              <w:bottom w:val="single" w:sz="6" w:space="0" w:color="D4D4D4"/>
              <w:right w:val="single" w:sz="6" w:space="0" w:color="D4D4D4"/>
            </w:tcBorders>
          </w:tcPr>
          <w:p w14:paraId="020FE3DF" w14:textId="77777777" w:rsidR="00141B97" w:rsidRDefault="00911D63">
            <w:pPr>
              <w:pStyle w:val="TableParagraph"/>
              <w:spacing w:line="129" w:lineRule="exact"/>
              <w:ind w:right="50"/>
              <w:jc w:val="right"/>
              <w:rPr>
                <w:rFonts w:ascii="Arial"/>
                <w:sz w:val="12"/>
              </w:rPr>
            </w:pPr>
            <w:r>
              <w:rPr>
                <w:rFonts w:ascii="Arial"/>
                <w:spacing w:val="-2"/>
                <w:sz w:val="12"/>
              </w:rPr>
              <w:t>97.09</w:t>
            </w:r>
          </w:p>
        </w:tc>
        <w:tc>
          <w:tcPr>
            <w:tcW w:w="1023" w:type="dxa"/>
            <w:tcBorders>
              <w:top w:val="nil"/>
              <w:left w:val="single" w:sz="6" w:space="0" w:color="D4D4D4"/>
              <w:bottom w:val="single" w:sz="6" w:space="0" w:color="D4D4D4"/>
              <w:right w:val="single" w:sz="6" w:space="0" w:color="D4D4D4"/>
            </w:tcBorders>
          </w:tcPr>
          <w:p w14:paraId="36A58A06" w14:textId="77777777" w:rsidR="00141B97" w:rsidRDefault="00911D63">
            <w:pPr>
              <w:pStyle w:val="TableParagraph"/>
              <w:spacing w:line="129" w:lineRule="exact"/>
              <w:ind w:right="50"/>
              <w:jc w:val="right"/>
              <w:rPr>
                <w:rFonts w:ascii="Arial"/>
                <w:sz w:val="12"/>
              </w:rPr>
            </w:pPr>
            <w:r>
              <w:rPr>
                <w:rFonts w:ascii="Arial"/>
                <w:spacing w:val="-2"/>
                <w:sz w:val="12"/>
              </w:rPr>
              <w:t>94.26</w:t>
            </w:r>
          </w:p>
        </w:tc>
        <w:tc>
          <w:tcPr>
            <w:tcW w:w="1094" w:type="dxa"/>
            <w:tcBorders>
              <w:top w:val="nil"/>
              <w:left w:val="single" w:sz="6" w:space="0" w:color="D4D4D4"/>
              <w:bottom w:val="single" w:sz="6" w:space="0" w:color="D4D4D4"/>
              <w:right w:val="single" w:sz="6" w:space="0" w:color="D4D4D4"/>
            </w:tcBorders>
          </w:tcPr>
          <w:p w14:paraId="07ACE1E0" w14:textId="77777777" w:rsidR="00141B97" w:rsidRDefault="00911D63">
            <w:pPr>
              <w:pStyle w:val="TableParagraph"/>
              <w:spacing w:line="129" w:lineRule="exact"/>
              <w:ind w:right="49"/>
              <w:jc w:val="right"/>
              <w:rPr>
                <w:rFonts w:ascii="Arial"/>
                <w:sz w:val="12"/>
              </w:rPr>
            </w:pPr>
            <w:r>
              <w:rPr>
                <w:rFonts w:ascii="Arial"/>
                <w:spacing w:val="-2"/>
                <w:sz w:val="12"/>
              </w:rPr>
              <w:t>91.51</w:t>
            </w:r>
          </w:p>
        </w:tc>
        <w:tc>
          <w:tcPr>
            <w:tcW w:w="962" w:type="dxa"/>
            <w:tcBorders>
              <w:top w:val="nil"/>
              <w:left w:val="single" w:sz="6" w:space="0" w:color="D4D4D4"/>
              <w:bottom w:val="single" w:sz="6" w:space="0" w:color="D4D4D4"/>
              <w:right w:val="single" w:sz="6" w:space="0" w:color="D4D4D4"/>
            </w:tcBorders>
          </w:tcPr>
          <w:p w14:paraId="0E6202C1" w14:textId="77777777" w:rsidR="00141B97" w:rsidRDefault="00911D63">
            <w:pPr>
              <w:pStyle w:val="TableParagraph"/>
              <w:spacing w:line="129" w:lineRule="exact"/>
              <w:ind w:right="49"/>
              <w:jc w:val="right"/>
              <w:rPr>
                <w:rFonts w:ascii="Arial"/>
                <w:sz w:val="12"/>
              </w:rPr>
            </w:pPr>
            <w:r>
              <w:rPr>
                <w:rFonts w:ascii="Arial"/>
                <w:spacing w:val="-2"/>
                <w:sz w:val="12"/>
              </w:rPr>
              <w:t>88.85</w:t>
            </w:r>
          </w:p>
        </w:tc>
        <w:tc>
          <w:tcPr>
            <w:tcW w:w="1155" w:type="dxa"/>
            <w:tcBorders>
              <w:top w:val="nil"/>
              <w:left w:val="single" w:sz="6" w:space="0" w:color="D4D4D4"/>
              <w:bottom w:val="single" w:sz="6" w:space="0" w:color="D4D4D4"/>
              <w:right w:val="single" w:sz="6" w:space="0" w:color="D4D4D4"/>
            </w:tcBorders>
          </w:tcPr>
          <w:p w14:paraId="61105850" w14:textId="77777777" w:rsidR="00141B97" w:rsidRDefault="00911D63">
            <w:pPr>
              <w:pStyle w:val="TableParagraph"/>
              <w:spacing w:line="129" w:lineRule="exact"/>
              <w:ind w:right="48"/>
              <w:jc w:val="right"/>
              <w:rPr>
                <w:rFonts w:ascii="Arial"/>
                <w:sz w:val="12"/>
              </w:rPr>
            </w:pPr>
            <w:r>
              <w:rPr>
                <w:rFonts w:ascii="Arial"/>
                <w:spacing w:val="-2"/>
                <w:sz w:val="12"/>
              </w:rPr>
              <w:t>86.26</w:t>
            </w:r>
          </w:p>
        </w:tc>
      </w:tr>
      <w:tr w:rsidR="00141B97" w14:paraId="39A175AB"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15CB574B" w14:textId="77777777" w:rsidR="00141B97" w:rsidRDefault="00911D63">
            <w:pPr>
              <w:pStyle w:val="TableParagraph"/>
              <w:spacing w:line="127" w:lineRule="exact"/>
              <w:ind w:left="23"/>
              <w:rPr>
                <w:rFonts w:ascii="Arial"/>
                <w:sz w:val="12"/>
              </w:rPr>
            </w:pPr>
            <w:r>
              <w:rPr>
                <w:rFonts w:ascii="Arial"/>
                <w:sz w:val="12"/>
              </w:rPr>
              <w:t>Delivery</w:t>
            </w:r>
            <w:r>
              <w:rPr>
                <w:rFonts w:ascii="Arial"/>
                <w:spacing w:val="-5"/>
                <w:sz w:val="12"/>
              </w:rPr>
              <w:t xml:space="preserve"> </w:t>
            </w:r>
            <w:r>
              <w:rPr>
                <w:rFonts w:ascii="Arial"/>
                <w:spacing w:val="-2"/>
                <w:sz w:val="12"/>
              </w:rPr>
              <w:t>Share</w:t>
            </w:r>
          </w:p>
        </w:tc>
        <w:tc>
          <w:tcPr>
            <w:tcW w:w="922" w:type="dxa"/>
            <w:tcBorders>
              <w:top w:val="single" w:sz="6" w:space="0" w:color="D4D4D4"/>
              <w:left w:val="single" w:sz="6" w:space="0" w:color="D4D4D4"/>
              <w:bottom w:val="single" w:sz="6" w:space="0" w:color="D4D4D4"/>
              <w:right w:val="single" w:sz="6" w:space="0" w:color="D4D4D4"/>
            </w:tcBorders>
          </w:tcPr>
          <w:p w14:paraId="34E0A01A"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DS</w:t>
            </w:r>
          </w:p>
        </w:tc>
        <w:tc>
          <w:tcPr>
            <w:tcW w:w="962" w:type="dxa"/>
            <w:tcBorders>
              <w:top w:val="single" w:sz="6" w:space="0" w:color="D4D4D4"/>
              <w:left w:val="single" w:sz="6" w:space="0" w:color="D4D4D4"/>
              <w:bottom w:val="single" w:sz="6" w:space="0" w:color="D4D4D4"/>
              <w:right w:val="single" w:sz="6" w:space="0" w:color="D4D4D4"/>
            </w:tcBorders>
          </w:tcPr>
          <w:p w14:paraId="286AE6B4" w14:textId="77777777" w:rsidR="00141B97" w:rsidRDefault="00911D63">
            <w:pPr>
              <w:pStyle w:val="TableParagraph"/>
              <w:spacing w:line="127" w:lineRule="exact"/>
              <w:ind w:right="48"/>
              <w:jc w:val="right"/>
              <w:rPr>
                <w:rFonts w:ascii="Arial"/>
                <w:sz w:val="12"/>
              </w:rPr>
            </w:pPr>
            <w:r>
              <w:rPr>
                <w:rFonts w:ascii="Arial"/>
                <w:spacing w:val="-2"/>
                <w:sz w:val="12"/>
              </w:rPr>
              <w:t>974.22</w:t>
            </w:r>
          </w:p>
        </w:tc>
        <w:tc>
          <w:tcPr>
            <w:tcW w:w="962" w:type="dxa"/>
            <w:tcBorders>
              <w:top w:val="single" w:sz="6" w:space="0" w:color="D4D4D4"/>
              <w:left w:val="single" w:sz="6" w:space="0" w:color="D4D4D4"/>
              <w:bottom w:val="single" w:sz="6" w:space="0" w:color="D4D4D4"/>
              <w:right w:val="single" w:sz="6" w:space="0" w:color="D4D4D4"/>
            </w:tcBorders>
          </w:tcPr>
          <w:p w14:paraId="28215864" w14:textId="77777777" w:rsidR="00141B97" w:rsidRDefault="00911D63">
            <w:pPr>
              <w:pStyle w:val="TableParagraph"/>
              <w:spacing w:line="127" w:lineRule="exact"/>
              <w:ind w:right="47"/>
              <w:jc w:val="right"/>
              <w:rPr>
                <w:rFonts w:ascii="Arial"/>
                <w:sz w:val="12"/>
              </w:rPr>
            </w:pPr>
            <w:r>
              <w:rPr>
                <w:rFonts w:ascii="Arial"/>
                <w:spacing w:val="-2"/>
                <w:sz w:val="12"/>
              </w:rPr>
              <w:t>927.29</w:t>
            </w:r>
          </w:p>
        </w:tc>
        <w:tc>
          <w:tcPr>
            <w:tcW w:w="1023" w:type="dxa"/>
            <w:tcBorders>
              <w:top w:val="single" w:sz="6" w:space="0" w:color="D4D4D4"/>
              <w:left w:val="single" w:sz="6" w:space="0" w:color="D4D4D4"/>
              <w:bottom w:val="single" w:sz="6" w:space="0" w:color="D4D4D4"/>
              <w:right w:val="single" w:sz="6" w:space="0" w:color="D4D4D4"/>
            </w:tcBorders>
          </w:tcPr>
          <w:p w14:paraId="2248B55E" w14:textId="77777777" w:rsidR="00141B97" w:rsidRDefault="00911D63">
            <w:pPr>
              <w:pStyle w:val="TableParagraph"/>
              <w:spacing w:line="127" w:lineRule="exact"/>
              <w:ind w:right="47"/>
              <w:jc w:val="right"/>
              <w:rPr>
                <w:rFonts w:ascii="Arial"/>
                <w:sz w:val="12"/>
              </w:rPr>
            </w:pPr>
            <w:r>
              <w:rPr>
                <w:rFonts w:ascii="Arial"/>
                <w:spacing w:val="-2"/>
                <w:sz w:val="12"/>
              </w:rPr>
              <w:t>882.63</w:t>
            </w:r>
          </w:p>
        </w:tc>
        <w:tc>
          <w:tcPr>
            <w:tcW w:w="1094" w:type="dxa"/>
            <w:tcBorders>
              <w:top w:val="single" w:sz="6" w:space="0" w:color="D4D4D4"/>
              <w:left w:val="single" w:sz="6" w:space="0" w:color="D4D4D4"/>
              <w:bottom w:val="single" w:sz="6" w:space="0" w:color="D4D4D4"/>
              <w:right w:val="single" w:sz="6" w:space="0" w:color="D4D4D4"/>
            </w:tcBorders>
          </w:tcPr>
          <w:p w14:paraId="5A62A419" w14:textId="77777777" w:rsidR="00141B97" w:rsidRDefault="00911D63">
            <w:pPr>
              <w:pStyle w:val="TableParagraph"/>
              <w:spacing w:line="127" w:lineRule="exact"/>
              <w:ind w:right="46"/>
              <w:jc w:val="right"/>
              <w:rPr>
                <w:rFonts w:ascii="Arial"/>
                <w:sz w:val="12"/>
              </w:rPr>
            </w:pPr>
            <w:r>
              <w:rPr>
                <w:rFonts w:ascii="Arial"/>
                <w:spacing w:val="-2"/>
                <w:sz w:val="12"/>
              </w:rPr>
              <w:t>840.11</w:t>
            </w:r>
          </w:p>
        </w:tc>
        <w:tc>
          <w:tcPr>
            <w:tcW w:w="962" w:type="dxa"/>
            <w:tcBorders>
              <w:top w:val="single" w:sz="6" w:space="0" w:color="D4D4D4"/>
              <w:left w:val="single" w:sz="6" w:space="0" w:color="D4D4D4"/>
              <w:bottom w:val="single" w:sz="6" w:space="0" w:color="D4D4D4"/>
              <w:right w:val="single" w:sz="6" w:space="0" w:color="D4D4D4"/>
            </w:tcBorders>
          </w:tcPr>
          <w:p w14:paraId="153E41D4" w14:textId="77777777" w:rsidR="00141B97" w:rsidRDefault="00911D63">
            <w:pPr>
              <w:pStyle w:val="TableParagraph"/>
              <w:spacing w:line="127" w:lineRule="exact"/>
              <w:ind w:right="49"/>
              <w:jc w:val="right"/>
              <w:rPr>
                <w:rFonts w:ascii="Arial"/>
                <w:sz w:val="12"/>
              </w:rPr>
            </w:pPr>
            <w:r>
              <w:rPr>
                <w:rFonts w:ascii="Arial"/>
                <w:spacing w:val="-2"/>
                <w:sz w:val="12"/>
              </w:rPr>
              <w:t>799.65</w:t>
            </w:r>
          </w:p>
        </w:tc>
        <w:tc>
          <w:tcPr>
            <w:tcW w:w="1155" w:type="dxa"/>
            <w:tcBorders>
              <w:top w:val="single" w:sz="6" w:space="0" w:color="D4D4D4"/>
              <w:left w:val="single" w:sz="6" w:space="0" w:color="D4D4D4"/>
              <w:bottom w:val="single" w:sz="6" w:space="0" w:color="D4D4D4"/>
              <w:right w:val="single" w:sz="6" w:space="0" w:color="D4D4D4"/>
            </w:tcBorders>
          </w:tcPr>
          <w:p w14:paraId="10702754" w14:textId="77777777" w:rsidR="00141B97" w:rsidRDefault="00911D63">
            <w:pPr>
              <w:pStyle w:val="TableParagraph"/>
              <w:spacing w:line="127" w:lineRule="exact"/>
              <w:ind w:right="45"/>
              <w:jc w:val="right"/>
              <w:rPr>
                <w:rFonts w:ascii="Arial"/>
                <w:sz w:val="12"/>
              </w:rPr>
            </w:pPr>
            <w:r>
              <w:rPr>
                <w:rFonts w:ascii="Arial"/>
                <w:spacing w:val="-2"/>
                <w:sz w:val="12"/>
              </w:rPr>
              <w:t>761.13</w:t>
            </w:r>
          </w:p>
        </w:tc>
      </w:tr>
      <w:tr w:rsidR="00141B97" w14:paraId="45273273" w14:textId="77777777">
        <w:trPr>
          <w:trHeight w:val="312"/>
        </w:trPr>
        <w:tc>
          <w:tcPr>
            <w:tcW w:w="2543" w:type="dxa"/>
            <w:tcBorders>
              <w:top w:val="single" w:sz="6" w:space="0" w:color="D4D4D4"/>
              <w:left w:val="single" w:sz="6" w:space="0" w:color="D4D4D4"/>
              <w:right w:val="single" w:sz="6" w:space="0" w:color="D4D4D4"/>
            </w:tcBorders>
          </w:tcPr>
          <w:p w14:paraId="022BE4C9" w14:textId="77777777" w:rsidR="00141B97" w:rsidRDefault="00911D63">
            <w:pPr>
              <w:pStyle w:val="TableParagraph"/>
              <w:spacing w:before="76"/>
              <w:ind w:left="23"/>
              <w:rPr>
                <w:rFonts w:ascii="Arial"/>
                <w:sz w:val="12"/>
              </w:rPr>
            </w:pPr>
            <w:r>
              <w:rPr>
                <w:rFonts w:ascii="Arial"/>
                <w:sz w:val="12"/>
              </w:rPr>
              <w:t>Usage</w:t>
            </w:r>
            <w:r>
              <w:rPr>
                <w:rFonts w:ascii="Arial"/>
                <w:spacing w:val="21"/>
                <w:sz w:val="12"/>
              </w:rPr>
              <w:t xml:space="preserve"> </w:t>
            </w:r>
            <w:r>
              <w:rPr>
                <w:rFonts w:ascii="Arial"/>
                <w:spacing w:val="-2"/>
                <w:sz w:val="12"/>
              </w:rPr>
              <w:t>Charge</w:t>
            </w:r>
          </w:p>
        </w:tc>
        <w:tc>
          <w:tcPr>
            <w:tcW w:w="922" w:type="dxa"/>
            <w:tcBorders>
              <w:top w:val="single" w:sz="6" w:space="0" w:color="D4D4D4"/>
              <w:left w:val="single" w:sz="6" w:space="0" w:color="D4D4D4"/>
              <w:right w:val="single" w:sz="6" w:space="0" w:color="D4D4D4"/>
            </w:tcBorders>
          </w:tcPr>
          <w:p w14:paraId="68F4A751" w14:textId="77777777" w:rsidR="00141B97" w:rsidRDefault="00911D63">
            <w:pPr>
              <w:pStyle w:val="TableParagraph"/>
              <w:spacing w:line="133"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ML</w:t>
            </w:r>
          </w:p>
          <w:p w14:paraId="0CC3C664" w14:textId="77777777" w:rsidR="00141B97" w:rsidRDefault="00911D63">
            <w:pPr>
              <w:pStyle w:val="TableParagraph"/>
              <w:spacing w:before="24" w:line="136" w:lineRule="exact"/>
              <w:ind w:left="24"/>
              <w:rPr>
                <w:rFonts w:ascii="Arial"/>
                <w:sz w:val="12"/>
              </w:rPr>
            </w:pPr>
            <w:r>
              <w:rPr>
                <w:rFonts w:ascii="Arial"/>
                <w:spacing w:val="-2"/>
                <w:sz w:val="12"/>
              </w:rPr>
              <w:t>Delivery</w:t>
            </w:r>
          </w:p>
        </w:tc>
        <w:tc>
          <w:tcPr>
            <w:tcW w:w="962" w:type="dxa"/>
            <w:tcBorders>
              <w:top w:val="single" w:sz="6" w:space="0" w:color="D4D4D4"/>
              <w:left w:val="single" w:sz="6" w:space="0" w:color="D4D4D4"/>
              <w:right w:val="single" w:sz="6" w:space="0" w:color="D4D4D4"/>
            </w:tcBorders>
          </w:tcPr>
          <w:p w14:paraId="4D9EAD63" w14:textId="77777777" w:rsidR="00141B97" w:rsidRDefault="00141B97">
            <w:pPr>
              <w:pStyle w:val="TableParagraph"/>
              <w:spacing w:before="10"/>
              <w:rPr>
                <w:sz w:val="12"/>
              </w:rPr>
            </w:pPr>
          </w:p>
          <w:p w14:paraId="5B6E9E9B" w14:textId="77777777" w:rsidR="00141B97" w:rsidRDefault="00911D63">
            <w:pPr>
              <w:pStyle w:val="TableParagraph"/>
              <w:spacing w:line="136" w:lineRule="exact"/>
              <w:ind w:right="48"/>
              <w:jc w:val="right"/>
              <w:rPr>
                <w:rFonts w:ascii="Arial"/>
                <w:sz w:val="12"/>
              </w:rPr>
            </w:pPr>
            <w:r>
              <w:rPr>
                <w:rFonts w:ascii="Arial"/>
                <w:spacing w:val="-2"/>
                <w:sz w:val="12"/>
              </w:rPr>
              <w:t>92.44</w:t>
            </w:r>
          </w:p>
        </w:tc>
        <w:tc>
          <w:tcPr>
            <w:tcW w:w="962" w:type="dxa"/>
            <w:tcBorders>
              <w:top w:val="single" w:sz="6" w:space="0" w:color="D4D4D4"/>
              <w:left w:val="single" w:sz="6" w:space="0" w:color="D4D4D4"/>
              <w:right w:val="single" w:sz="6" w:space="0" w:color="D4D4D4"/>
            </w:tcBorders>
          </w:tcPr>
          <w:p w14:paraId="3DC792E0" w14:textId="77777777" w:rsidR="00141B97" w:rsidRDefault="00141B97">
            <w:pPr>
              <w:pStyle w:val="TableParagraph"/>
              <w:spacing w:before="10"/>
              <w:rPr>
                <w:sz w:val="12"/>
              </w:rPr>
            </w:pPr>
          </w:p>
          <w:p w14:paraId="2C5A6ACD" w14:textId="77777777" w:rsidR="00141B97" w:rsidRDefault="00911D63">
            <w:pPr>
              <w:pStyle w:val="TableParagraph"/>
              <w:spacing w:line="136" w:lineRule="exact"/>
              <w:ind w:right="50"/>
              <w:jc w:val="right"/>
              <w:rPr>
                <w:rFonts w:ascii="Arial"/>
                <w:sz w:val="12"/>
              </w:rPr>
            </w:pPr>
            <w:r>
              <w:rPr>
                <w:rFonts w:ascii="Arial"/>
                <w:spacing w:val="-2"/>
                <w:sz w:val="12"/>
              </w:rPr>
              <w:t>85.03</w:t>
            </w:r>
          </w:p>
        </w:tc>
        <w:tc>
          <w:tcPr>
            <w:tcW w:w="1023" w:type="dxa"/>
            <w:tcBorders>
              <w:top w:val="single" w:sz="6" w:space="0" w:color="D4D4D4"/>
              <w:left w:val="single" w:sz="6" w:space="0" w:color="D4D4D4"/>
              <w:right w:val="single" w:sz="6" w:space="0" w:color="D4D4D4"/>
            </w:tcBorders>
          </w:tcPr>
          <w:p w14:paraId="23C002A1" w14:textId="77777777" w:rsidR="00141B97" w:rsidRDefault="00141B97">
            <w:pPr>
              <w:pStyle w:val="TableParagraph"/>
              <w:spacing w:before="10"/>
              <w:rPr>
                <w:sz w:val="12"/>
              </w:rPr>
            </w:pPr>
          </w:p>
          <w:p w14:paraId="1831B142" w14:textId="77777777" w:rsidR="00141B97" w:rsidRDefault="00911D63">
            <w:pPr>
              <w:pStyle w:val="TableParagraph"/>
              <w:spacing w:line="136" w:lineRule="exact"/>
              <w:ind w:right="50"/>
              <w:jc w:val="right"/>
              <w:rPr>
                <w:rFonts w:ascii="Arial"/>
                <w:sz w:val="12"/>
              </w:rPr>
            </w:pPr>
            <w:r>
              <w:rPr>
                <w:rFonts w:ascii="Arial"/>
                <w:spacing w:val="-2"/>
                <w:sz w:val="12"/>
              </w:rPr>
              <w:t>78.21</w:t>
            </w:r>
          </w:p>
        </w:tc>
        <w:tc>
          <w:tcPr>
            <w:tcW w:w="1094" w:type="dxa"/>
            <w:tcBorders>
              <w:top w:val="single" w:sz="6" w:space="0" w:color="D4D4D4"/>
              <w:left w:val="single" w:sz="6" w:space="0" w:color="D4D4D4"/>
              <w:right w:val="single" w:sz="6" w:space="0" w:color="D4D4D4"/>
            </w:tcBorders>
          </w:tcPr>
          <w:p w14:paraId="4569F17D" w14:textId="77777777" w:rsidR="00141B97" w:rsidRDefault="00141B97">
            <w:pPr>
              <w:pStyle w:val="TableParagraph"/>
              <w:spacing w:before="10"/>
              <w:rPr>
                <w:sz w:val="12"/>
              </w:rPr>
            </w:pPr>
          </w:p>
          <w:p w14:paraId="0C623150" w14:textId="77777777" w:rsidR="00141B97" w:rsidRDefault="00911D63">
            <w:pPr>
              <w:pStyle w:val="TableParagraph"/>
              <w:spacing w:line="136" w:lineRule="exact"/>
              <w:ind w:right="49"/>
              <w:jc w:val="right"/>
              <w:rPr>
                <w:rFonts w:ascii="Arial"/>
                <w:sz w:val="12"/>
              </w:rPr>
            </w:pPr>
            <w:r>
              <w:rPr>
                <w:rFonts w:ascii="Arial"/>
                <w:spacing w:val="-2"/>
                <w:sz w:val="12"/>
              </w:rPr>
              <w:t>71.95</w:t>
            </w:r>
          </w:p>
        </w:tc>
        <w:tc>
          <w:tcPr>
            <w:tcW w:w="962" w:type="dxa"/>
            <w:tcBorders>
              <w:top w:val="single" w:sz="6" w:space="0" w:color="D4D4D4"/>
              <w:left w:val="single" w:sz="6" w:space="0" w:color="D4D4D4"/>
              <w:right w:val="single" w:sz="6" w:space="0" w:color="D4D4D4"/>
            </w:tcBorders>
          </w:tcPr>
          <w:p w14:paraId="2E0A88EE" w14:textId="77777777" w:rsidR="00141B97" w:rsidRDefault="00141B97">
            <w:pPr>
              <w:pStyle w:val="TableParagraph"/>
              <w:spacing w:before="10"/>
              <w:rPr>
                <w:sz w:val="12"/>
              </w:rPr>
            </w:pPr>
          </w:p>
          <w:p w14:paraId="6533D525" w14:textId="77777777" w:rsidR="00141B97" w:rsidRDefault="00911D63">
            <w:pPr>
              <w:pStyle w:val="TableParagraph"/>
              <w:spacing w:line="136" w:lineRule="exact"/>
              <w:ind w:right="49"/>
              <w:jc w:val="right"/>
              <w:rPr>
                <w:rFonts w:ascii="Arial"/>
                <w:sz w:val="12"/>
              </w:rPr>
            </w:pPr>
            <w:r>
              <w:rPr>
                <w:rFonts w:ascii="Arial"/>
                <w:spacing w:val="-2"/>
                <w:sz w:val="12"/>
              </w:rPr>
              <w:t>66.18</w:t>
            </w:r>
          </w:p>
        </w:tc>
        <w:tc>
          <w:tcPr>
            <w:tcW w:w="1155" w:type="dxa"/>
            <w:tcBorders>
              <w:top w:val="single" w:sz="6" w:space="0" w:color="D4D4D4"/>
              <w:left w:val="single" w:sz="6" w:space="0" w:color="D4D4D4"/>
              <w:right w:val="single" w:sz="6" w:space="0" w:color="D4D4D4"/>
            </w:tcBorders>
          </w:tcPr>
          <w:p w14:paraId="1084DF9C" w14:textId="77777777" w:rsidR="00141B97" w:rsidRDefault="00141B97">
            <w:pPr>
              <w:pStyle w:val="TableParagraph"/>
              <w:spacing w:before="10"/>
              <w:rPr>
                <w:sz w:val="12"/>
              </w:rPr>
            </w:pPr>
          </w:p>
          <w:p w14:paraId="54831E1D" w14:textId="77777777" w:rsidR="00141B97" w:rsidRDefault="00911D63">
            <w:pPr>
              <w:pStyle w:val="TableParagraph"/>
              <w:spacing w:line="136" w:lineRule="exact"/>
              <w:ind w:right="48"/>
              <w:jc w:val="right"/>
              <w:rPr>
                <w:rFonts w:ascii="Arial"/>
                <w:sz w:val="12"/>
              </w:rPr>
            </w:pPr>
            <w:r>
              <w:rPr>
                <w:rFonts w:ascii="Arial"/>
                <w:spacing w:val="-2"/>
                <w:sz w:val="12"/>
              </w:rPr>
              <w:t>60.87</w:t>
            </w:r>
          </w:p>
        </w:tc>
      </w:tr>
      <w:tr w:rsidR="00141B97" w14:paraId="09DE9AE3" w14:textId="77777777">
        <w:trPr>
          <w:trHeight w:val="152"/>
        </w:trPr>
        <w:tc>
          <w:tcPr>
            <w:tcW w:w="2543" w:type="dxa"/>
            <w:tcBorders>
              <w:left w:val="single" w:sz="6" w:space="0" w:color="D4D4D4"/>
              <w:bottom w:val="nil"/>
              <w:right w:val="single" w:sz="6" w:space="0" w:color="D4D4D4"/>
            </w:tcBorders>
          </w:tcPr>
          <w:p w14:paraId="0BC73F8C" w14:textId="77777777" w:rsidR="00141B97" w:rsidRDefault="00911D63">
            <w:pPr>
              <w:pStyle w:val="TableParagraph"/>
              <w:spacing w:line="132" w:lineRule="exact"/>
              <w:ind w:left="23"/>
              <w:rPr>
                <w:rFonts w:ascii="Arial"/>
                <w:sz w:val="12"/>
              </w:rPr>
            </w:pPr>
            <w:r>
              <w:rPr>
                <w:rFonts w:ascii="Arial"/>
                <w:sz w:val="12"/>
              </w:rPr>
              <w:t>Garden</w:t>
            </w:r>
            <w:r>
              <w:rPr>
                <w:rFonts w:ascii="Arial"/>
                <w:spacing w:val="6"/>
                <w:sz w:val="12"/>
              </w:rPr>
              <w:t xml:space="preserve"> </w:t>
            </w:r>
            <w:r>
              <w:rPr>
                <w:rFonts w:ascii="Arial"/>
                <w:sz w:val="12"/>
              </w:rPr>
              <w:t xml:space="preserve">- </w:t>
            </w:r>
            <w:r>
              <w:rPr>
                <w:rFonts w:ascii="Arial"/>
                <w:spacing w:val="-2"/>
                <w:sz w:val="12"/>
              </w:rPr>
              <w:t>unmetered</w:t>
            </w:r>
          </w:p>
        </w:tc>
        <w:tc>
          <w:tcPr>
            <w:tcW w:w="922" w:type="dxa"/>
            <w:tcBorders>
              <w:left w:val="single" w:sz="6" w:space="0" w:color="D4D4D4"/>
              <w:bottom w:val="nil"/>
              <w:right w:val="single" w:sz="6" w:space="0" w:color="D4D4D4"/>
            </w:tcBorders>
          </w:tcPr>
          <w:p w14:paraId="75DD8232" w14:textId="77777777" w:rsidR="00141B97" w:rsidRDefault="00911D63">
            <w:pPr>
              <w:pStyle w:val="TableParagraph"/>
              <w:spacing w:line="132"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property</w:t>
            </w:r>
          </w:p>
        </w:tc>
        <w:tc>
          <w:tcPr>
            <w:tcW w:w="962" w:type="dxa"/>
            <w:tcBorders>
              <w:left w:val="single" w:sz="6" w:space="0" w:color="D4D4D4"/>
              <w:bottom w:val="nil"/>
              <w:right w:val="single" w:sz="6" w:space="0" w:color="D4D4D4"/>
            </w:tcBorders>
          </w:tcPr>
          <w:p w14:paraId="4DD8BC0A" w14:textId="77777777" w:rsidR="00141B97" w:rsidRDefault="00911D63">
            <w:pPr>
              <w:pStyle w:val="TableParagraph"/>
              <w:spacing w:line="132" w:lineRule="exact"/>
              <w:ind w:right="48"/>
              <w:jc w:val="right"/>
              <w:rPr>
                <w:rFonts w:ascii="Arial"/>
                <w:sz w:val="12"/>
              </w:rPr>
            </w:pPr>
            <w:r>
              <w:rPr>
                <w:rFonts w:ascii="Arial"/>
                <w:spacing w:val="-2"/>
                <w:sz w:val="12"/>
              </w:rPr>
              <w:t>520.08</w:t>
            </w:r>
          </w:p>
        </w:tc>
        <w:tc>
          <w:tcPr>
            <w:tcW w:w="962" w:type="dxa"/>
            <w:tcBorders>
              <w:left w:val="single" w:sz="6" w:space="0" w:color="D4D4D4"/>
              <w:bottom w:val="nil"/>
              <w:right w:val="single" w:sz="6" w:space="0" w:color="D4D4D4"/>
            </w:tcBorders>
          </w:tcPr>
          <w:p w14:paraId="0EB2997D" w14:textId="77777777" w:rsidR="00141B97" w:rsidRDefault="00911D63">
            <w:pPr>
              <w:pStyle w:val="TableParagraph"/>
              <w:spacing w:line="132" w:lineRule="exact"/>
              <w:ind w:right="189"/>
              <w:jc w:val="right"/>
              <w:rPr>
                <w:rFonts w:ascii="Arial"/>
                <w:sz w:val="12"/>
              </w:rPr>
            </w:pPr>
            <w:r>
              <w:rPr>
                <w:rFonts w:ascii="Arial"/>
                <w:w w:val="101"/>
                <w:sz w:val="12"/>
              </w:rPr>
              <w:t>-</w:t>
            </w:r>
          </w:p>
        </w:tc>
        <w:tc>
          <w:tcPr>
            <w:tcW w:w="1023" w:type="dxa"/>
            <w:tcBorders>
              <w:left w:val="single" w:sz="6" w:space="0" w:color="D4D4D4"/>
              <w:bottom w:val="nil"/>
              <w:right w:val="single" w:sz="6" w:space="0" w:color="D4D4D4"/>
            </w:tcBorders>
          </w:tcPr>
          <w:p w14:paraId="74B6F951" w14:textId="77777777" w:rsidR="00141B97" w:rsidRDefault="00911D63">
            <w:pPr>
              <w:pStyle w:val="TableParagraph"/>
              <w:spacing w:line="132" w:lineRule="exact"/>
              <w:ind w:right="188"/>
              <w:jc w:val="right"/>
              <w:rPr>
                <w:rFonts w:ascii="Arial"/>
                <w:sz w:val="12"/>
              </w:rPr>
            </w:pPr>
            <w:r>
              <w:rPr>
                <w:rFonts w:ascii="Arial"/>
                <w:w w:val="101"/>
                <w:sz w:val="12"/>
              </w:rPr>
              <w:t>-</w:t>
            </w:r>
          </w:p>
        </w:tc>
        <w:tc>
          <w:tcPr>
            <w:tcW w:w="1094" w:type="dxa"/>
            <w:tcBorders>
              <w:left w:val="single" w:sz="6" w:space="0" w:color="D4D4D4"/>
              <w:bottom w:val="nil"/>
              <w:right w:val="single" w:sz="6" w:space="0" w:color="D4D4D4"/>
            </w:tcBorders>
          </w:tcPr>
          <w:p w14:paraId="2A879F60" w14:textId="77777777" w:rsidR="00141B97" w:rsidRDefault="00911D63">
            <w:pPr>
              <w:pStyle w:val="TableParagraph"/>
              <w:spacing w:line="132" w:lineRule="exact"/>
              <w:ind w:right="188"/>
              <w:jc w:val="right"/>
              <w:rPr>
                <w:rFonts w:ascii="Arial"/>
                <w:sz w:val="12"/>
              </w:rPr>
            </w:pPr>
            <w:r>
              <w:rPr>
                <w:rFonts w:ascii="Arial"/>
                <w:w w:val="101"/>
                <w:sz w:val="12"/>
              </w:rPr>
              <w:t>-</w:t>
            </w:r>
          </w:p>
        </w:tc>
        <w:tc>
          <w:tcPr>
            <w:tcW w:w="962" w:type="dxa"/>
            <w:tcBorders>
              <w:left w:val="single" w:sz="6" w:space="0" w:color="D4D4D4"/>
              <w:bottom w:val="nil"/>
              <w:right w:val="single" w:sz="6" w:space="0" w:color="D4D4D4"/>
            </w:tcBorders>
          </w:tcPr>
          <w:p w14:paraId="2FF9DE99" w14:textId="77777777" w:rsidR="00141B97" w:rsidRDefault="00911D63">
            <w:pPr>
              <w:pStyle w:val="TableParagraph"/>
              <w:spacing w:line="132" w:lineRule="exact"/>
              <w:ind w:right="187"/>
              <w:jc w:val="right"/>
              <w:rPr>
                <w:rFonts w:ascii="Arial"/>
                <w:sz w:val="12"/>
              </w:rPr>
            </w:pPr>
            <w:r>
              <w:rPr>
                <w:rFonts w:ascii="Arial"/>
                <w:w w:val="101"/>
                <w:sz w:val="12"/>
              </w:rPr>
              <w:t>-</w:t>
            </w:r>
          </w:p>
        </w:tc>
        <w:tc>
          <w:tcPr>
            <w:tcW w:w="1155" w:type="dxa"/>
            <w:tcBorders>
              <w:left w:val="single" w:sz="6" w:space="0" w:color="D4D4D4"/>
              <w:bottom w:val="nil"/>
              <w:right w:val="single" w:sz="6" w:space="0" w:color="D4D4D4"/>
            </w:tcBorders>
          </w:tcPr>
          <w:p w14:paraId="1FDD5A51" w14:textId="77777777" w:rsidR="00141B97" w:rsidRDefault="00911D63">
            <w:pPr>
              <w:pStyle w:val="TableParagraph"/>
              <w:spacing w:line="132" w:lineRule="exact"/>
              <w:ind w:right="187"/>
              <w:jc w:val="right"/>
              <w:rPr>
                <w:rFonts w:ascii="Arial"/>
                <w:sz w:val="12"/>
              </w:rPr>
            </w:pPr>
            <w:r>
              <w:rPr>
                <w:rFonts w:ascii="Arial"/>
                <w:w w:val="101"/>
                <w:sz w:val="12"/>
              </w:rPr>
              <w:t>-</w:t>
            </w:r>
          </w:p>
        </w:tc>
      </w:tr>
      <w:tr w:rsidR="00141B97" w14:paraId="69FCDB00" w14:textId="77777777">
        <w:trPr>
          <w:trHeight w:val="171"/>
        </w:trPr>
        <w:tc>
          <w:tcPr>
            <w:tcW w:w="9623" w:type="dxa"/>
            <w:gridSpan w:val="8"/>
            <w:tcBorders>
              <w:top w:val="nil"/>
              <w:left w:val="nil"/>
              <w:bottom w:val="nil"/>
              <w:right w:val="nil"/>
            </w:tcBorders>
            <w:shd w:val="clear" w:color="auto" w:fill="656599"/>
          </w:tcPr>
          <w:p w14:paraId="3BE8B88D" w14:textId="77777777" w:rsidR="00141B97" w:rsidRDefault="00911D63">
            <w:pPr>
              <w:pStyle w:val="TableParagraph"/>
              <w:spacing w:before="10"/>
              <w:ind w:left="31"/>
              <w:rPr>
                <w:rFonts w:ascii="Arial"/>
                <w:b/>
                <w:sz w:val="12"/>
              </w:rPr>
            </w:pPr>
            <w:r>
              <w:rPr>
                <w:rFonts w:ascii="Arial"/>
                <w:b/>
                <w:color w:val="FFFFFF"/>
                <w:spacing w:val="-2"/>
                <w:sz w:val="12"/>
              </w:rPr>
              <w:t>Robinvale</w:t>
            </w:r>
            <w:r>
              <w:rPr>
                <w:rFonts w:ascii="Arial"/>
                <w:b/>
                <w:color w:val="FFFFFF"/>
                <w:spacing w:val="-4"/>
                <w:sz w:val="12"/>
              </w:rPr>
              <w:t xml:space="preserve"> </w:t>
            </w:r>
            <w:r>
              <w:rPr>
                <w:rFonts w:ascii="Arial"/>
                <w:b/>
                <w:color w:val="FFFFFF"/>
                <w:spacing w:val="-2"/>
                <w:sz w:val="12"/>
              </w:rPr>
              <w:t>-</w:t>
            </w:r>
            <w:r>
              <w:rPr>
                <w:rFonts w:ascii="Arial"/>
                <w:b/>
                <w:color w:val="FFFFFF"/>
                <w:spacing w:val="-5"/>
                <w:sz w:val="12"/>
              </w:rPr>
              <w:t xml:space="preserve"> </w:t>
            </w:r>
            <w:r>
              <w:rPr>
                <w:rFonts w:ascii="Arial"/>
                <w:b/>
                <w:color w:val="FFFFFF"/>
                <w:spacing w:val="-2"/>
                <w:sz w:val="12"/>
              </w:rPr>
              <w:t>Drainage</w:t>
            </w:r>
          </w:p>
        </w:tc>
      </w:tr>
      <w:tr w:rsidR="00141B97" w14:paraId="0CD63513" w14:textId="77777777">
        <w:trPr>
          <w:trHeight w:val="150"/>
        </w:trPr>
        <w:tc>
          <w:tcPr>
            <w:tcW w:w="2543" w:type="dxa"/>
            <w:tcBorders>
              <w:top w:val="nil"/>
              <w:left w:val="single" w:sz="6" w:space="0" w:color="D4D4D4"/>
              <w:bottom w:val="single" w:sz="6" w:space="0" w:color="D4D4D4"/>
              <w:right w:val="single" w:sz="6" w:space="0" w:color="D4D4D4"/>
            </w:tcBorders>
          </w:tcPr>
          <w:p w14:paraId="246A90C7" w14:textId="77777777" w:rsidR="00141B97" w:rsidRDefault="00911D63">
            <w:pPr>
              <w:pStyle w:val="TableParagraph"/>
              <w:spacing w:line="130"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1</w:t>
            </w:r>
          </w:p>
        </w:tc>
        <w:tc>
          <w:tcPr>
            <w:tcW w:w="922" w:type="dxa"/>
            <w:tcBorders>
              <w:top w:val="nil"/>
              <w:left w:val="single" w:sz="6" w:space="0" w:color="D4D4D4"/>
              <w:bottom w:val="single" w:sz="6" w:space="0" w:color="D4D4D4"/>
              <w:right w:val="single" w:sz="6" w:space="0" w:color="D4D4D4"/>
            </w:tcBorders>
          </w:tcPr>
          <w:p w14:paraId="2740ECD9" w14:textId="77777777" w:rsidR="00141B97" w:rsidRDefault="00911D63">
            <w:pPr>
              <w:pStyle w:val="TableParagraph"/>
              <w:spacing w:line="130"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nil"/>
              <w:left w:val="single" w:sz="6" w:space="0" w:color="D4D4D4"/>
              <w:bottom w:val="single" w:sz="6" w:space="0" w:color="D4D4D4"/>
              <w:right w:val="single" w:sz="6" w:space="0" w:color="D4D4D4"/>
            </w:tcBorders>
          </w:tcPr>
          <w:p w14:paraId="00CB1069" w14:textId="77777777" w:rsidR="00141B97" w:rsidRDefault="00911D63">
            <w:pPr>
              <w:pStyle w:val="TableParagraph"/>
              <w:spacing w:line="130" w:lineRule="exact"/>
              <w:ind w:right="48"/>
              <w:jc w:val="right"/>
              <w:rPr>
                <w:rFonts w:ascii="Arial"/>
                <w:sz w:val="12"/>
              </w:rPr>
            </w:pPr>
            <w:r>
              <w:rPr>
                <w:rFonts w:ascii="Arial"/>
                <w:spacing w:val="-2"/>
                <w:sz w:val="12"/>
              </w:rPr>
              <w:t>90.00</w:t>
            </w:r>
          </w:p>
        </w:tc>
        <w:tc>
          <w:tcPr>
            <w:tcW w:w="962" w:type="dxa"/>
            <w:tcBorders>
              <w:top w:val="nil"/>
              <w:left w:val="single" w:sz="6" w:space="0" w:color="D4D4D4"/>
              <w:bottom w:val="single" w:sz="6" w:space="0" w:color="D4D4D4"/>
              <w:right w:val="single" w:sz="6" w:space="0" w:color="D4D4D4"/>
            </w:tcBorders>
          </w:tcPr>
          <w:p w14:paraId="09413BE1" w14:textId="77777777" w:rsidR="00141B97" w:rsidRDefault="00911D63">
            <w:pPr>
              <w:pStyle w:val="TableParagraph"/>
              <w:spacing w:line="130" w:lineRule="exact"/>
              <w:ind w:right="50"/>
              <w:jc w:val="right"/>
              <w:rPr>
                <w:rFonts w:ascii="Arial"/>
                <w:sz w:val="12"/>
              </w:rPr>
            </w:pPr>
            <w:r>
              <w:rPr>
                <w:rFonts w:ascii="Arial"/>
                <w:spacing w:val="-2"/>
                <w:sz w:val="12"/>
              </w:rPr>
              <w:t>87.78</w:t>
            </w:r>
          </w:p>
        </w:tc>
        <w:tc>
          <w:tcPr>
            <w:tcW w:w="1023" w:type="dxa"/>
            <w:tcBorders>
              <w:top w:val="nil"/>
              <w:left w:val="single" w:sz="6" w:space="0" w:color="D4D4D4"/>
              <w:bottom w:val="single" w:sz="6" w:space="0" w:color="D4D4D4"/>
              <w:right w:val="single" w:sz="6" w:space="0" w:color="D4D4D4"/>
            </w:tcBorders>
          </w:tcPr>
          <w:p w14:paraId="26A2CEE7" w14:textId="77777777" w:rsidR="00141B97" w:rsidRDefault="00911D63">
            <w:pPr>
              <w:pStyle w:val="TableParagraph"/>
              <w:spacing w:line="130" w:lineRule="exact"/>
              <w:ind w:right="50"/>
              <w:jc w:val="right"/>
              <w:rPr>
                <w:rFonts w:ascii="Arial"/>
                <w:sz w:val="12"/>
              </w:rPr>
            </w:pPr>
            <w:r>
              <w:rPr>
                <w:rFonts w:ascii="Arial"/>
                <w:spacing w:val="-2"/>
                <w:sz w:val="12"/>
              </w:rPr>
              <w:t>85.61</w:t>
            </w:r>
          </w:p>
        </w:tc>
        <w:tc>
          <w:tcPr>
            <w:tcW w:w="1094" w:type="dxa"/>
            <w:tcBorders>
              <w:top w:val="nil"/>
              <w:left w:val="single" w:sz="6" w:space="0" w:color="D4D4D4"/>
              <w:bottom w:val="single" w:sz="6" w:space="0" w:color="D4D4D4"/>
              <w:right w:val="single" w:sz="6" w:space="0" w:color="D4D4D4"/>
            </w:tcBorders>
          </w:tcPr>
          <w:p w14:paraId="4EE840AE" w14:textId="77777777" w:rsidR="00141B97" w:rsidRDefault="00911D63">
            <w:pPr>
              <w:pStyle w:val="TableParagraph"/>
              <w:spacing w:line="130" w:lineRule="exact"/>
              <w:ind w:right="49"/>
              <w:jc w:val="right"/>
              <w:rPr>
                <w:rFonts w:ascii="Arial"/>
                <w:sz w:val="12"/>
              </w:rPr>
            </w:pPr>
            <w:r>
              <w:rPr>
                <w:rFonts w:ascii="Arial"/>
                <w:spacing w:val="-2"/>
                <w:sz w:val="12"/>
              </w:rPr>
              <w:t>83.50</w:t>
            </w:r>
          </w:p>
        </w:tc>
        <w:tc>
          <w:tcPr>
            <w:tcW w:w="962" w:type="dxa"/>
            <w:tcBorders>
              <w:top w:val="nil"/>
              <w:left w:val="single" w:sz="6" w:space="0" w:color="D4D4D4"/>
              <w:bottom w:val="single" w:sz="6" w:space="0" w:color="D4D4D4"/>
              <w:right w:val="single" w:sz="6" w:space="0" w:color="D4D4D4"/>
            </w:tcBorders>
          </w:tcPr>
          <w:p w14:paraId="3F0643B7" w14:textId="77777777" w:rsidR="00141B97" w:rsidRDefault="00911D63">
            <w:pPr>
              <w:pStyle w:val="TableParagraph"/>
              <w:spacing w:line="130" w:lineRule="exact"/>
              <w:ind w:right="49"/>
              <w:jc w:val="right"/>
              <w:rPr>
                <w:rFonts w:ascii="Arial"/>
                <w:sz w:val="12"/>
              </w:rPr>
            </w:pPr>
            <w:r>
              <w:rPr>
                <w:rFonts w:ascii="Arial"/>
                <w:spacing w:val="-2"/>
                <w:sz w:val="12"/>
              </w:rPr>
              <w:t>81.44</w:t>
            </w:r>
          </w:p>
        </w:tc>
        <w:tc>
          <w:tcPr>
            <w:tcW w:w="1155" w:type="dxa"/>
            <w:tcBorders>
              <w:top w:val="nil"/>
              <w:left w:val="single" w:sz="6" w:space="0" w:color="D4D4D4"/>
              <w:bottom w:val="single" w:sz="6" w:space="0" w:color="D4D4D4"/>
              <w:right w:val="single" w:sz="6" w:space="0" w:color="D4D4D4"/>
            </w:tcBorders>
          </w:tcPr>
          <w:p w14:paraId="6E60A63C" w14:textId="77777777" w:rsidR="00141B97" w:rsidRDefault="00911D63">
            <w:pPr>
              <w:pStyle w:val="TableParagraph"/>
              <w:spacing w:line="130" w:lineRule="exact"/>
              <w:ind w:right="48"/>
              <w:jc w:val="right"/>
              <w:rPr>
                <w:rFonts w:ascii="Arial"/>
                <w:sz w:val="12"/>
              </w:rPr>
            </w:pPr>
            <w:r>
              <w:rPr>
                <w:rFonts w:ascii="Arial"/>
                <w:spacing w:val="-2"/>
                <w:sz w:val="12"/>
              </w:rPr>
              <w:t>79.43</w:t>
            </w:r>
          </w:p>
        </w:tc>
      </w:tr>
      <w:tr w:rsidR="00141B97" w14:paraId="32D03D34"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10BED553" w14:textId="77777777" w:rsidR="00141B97" w:rsidRDefault="00911D63">
            <w:pPr>
              <w:pStyle w:val="TableParagraph"/>
              <w:spacing w:line="127"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2</w:t>
            </w:r>
          </w:p>
        </w:tc>
        <w:tc>
          <w:tcPr>
            <w:tcW w:w="922" w:type="dxa"/>
            <w:tcBorders>
              <w:top w:val="single" w:sz="6" w:space="0" w:color="D4D4D4"/>
              <w:left w:val="single" w:sz="6" w:space="0" w:color="D4D4D4"/>
              <w:bottom w:val="single" w:sz="6" w:space="0" w:color="D4D4D4"/>
              <w:right w:val="single" w:sz="6" w:space="0" w:color="D4D4D4"/>
            </w:tcBorders>
          </w:tcPr>
          <w:p w14:paraId="040A8635"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single" w:sz="6" w:space="0" w:color="D4D4D4"/>
              <w:right w:val="single" w:sz="6" w:space="0" w:color="D4D4D4"/>
            </w:tcBorders>
          </w:tcPr>
          <w:p w14:paraId="22CB4372" w14:textId="77777777" w:rsidR="00141B97" w:rsidRDefault="00911D63">
            <w:pPr>
              <w:pStyle w:val="TableParagraph"/>
              <w:spacing w:line="127" w:lineRule="exact"/>
              <w:ind w:right="48"/>
              <w:jc w:val="right"/>
              <w:rPr>
                <w:rFonts w:ascii="Arial"/>
                <w:sz w:val="12"/>
              </w:rPr>
            </w:pPr>
            <w:r>
              <w:rPr>
                <w:rFonts w:ascii="Arial"/>
                <w:spacing w:val="-2"/>
                <w:sz w:val="12"/>
              </w:rPr>
              <w:t>72.16</w:t>
            </w:r>
          </w:p>
        </w:tc>
        <w:tc>
          <w:tcPr>
            <w:tcW w:w="962" w:type="dxa"/>
            <w:tcBorders>
              <w:top w:val="single" w:sz="6" w:space="0" w:color="D4D4D4"/>
              <w:left w:val="single" w:sz="6" w:space="0" w:color="D4D4D4"/>
              <w:bottom w:val="single" w:sz="6" w:space="0" w:color="D4D4D4"/>
              <w:right w:val="single" w:sz="6" w:space="0" w:color="D4D4D4"/>
            </w:tcBorders>
          </w:tcPr>
          <w:p w14:paraId="6AE73BFC" w14:textId="77777777" w:rsidR="00141B97" w:rsidRDefault="00911D63">
            <w:pPr>
              <w:pStyle w:val="TableParagraph"/>
              <w:spacing w:line="127"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single" w:sz="6" w:space="0" w:color="D4D4D4"/>
              <w:right w:val="single" w:sz="6" w:space="0" w:color="D4D4D4"/>
            </w:tcBorders>
          </w:tcPr>
          <w:p w14:paraId="43F52F01" w14:textId="77777777" w:rsidR="00141B97" w:rsidRDefault="00911D63">
            <w:pPr>
              <w:pStyle w:val="TableParagraph"/>
              <w:spacing w:line="127"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single" w:sz="6" w:space="0" w:color="D4D4D4"/>
              <w:right w:val="single" w:sz="6" w:space="0" w:color="D4D4D4"/>
            </w:tcBorders>
          </w:tcPr>
          <w:p w14:paraId="301907F7" w14:textId="77777777" w:rsidR="00141B97" w:rsidRDefault="00911D63">
            <w:pPr>
              <w:pStyle w:val="TableParagraph"/>
              <w:spacing w:line="127"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single" w:sz="6" w:space="0" w:color="D4D4D4"/>
              <w:right w:val="single" w:sz="6" w:space="0" w:color="D4D4D4"/>
            </w:tcBorders>
          </w:tcPr>
          <w:p w14:paraId="4B5356F6" w14:textId="77777777" w:rsidR="00141B97" w:rsidRDefault="00911D63">
            <w:pPr>
              <w:pStyle w:val="TableParagraph"/>
              <w:spacing w:line="127"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single" w:sz="6" w:space="0" w:color="D4D4D4"/>
              <w:right w:val="single" w:sz="6" w:space="0" w:color="D4D4D4"/>
            </w:tcBorders>
          </w:tcPr>
          <w:p w14:paraId="573BF91A" w14:textId="77777777" w:rsidR="00141B97" w:rsidRDefault="00911D63">
            <w:pPr>
              <w:pStyle w:val="TableParagraph"/>
              <w:spacing w:line="127" w:lineRule="exact"/>
              <w:ind w:right="187"/>
              <w:jc w:val="right"/>
              <w:rPr>
                <w:rFonts w:ascii="Arial"/>
                <w:sz w:val="12"/>
              </w:rPr>
            </w:pPr>
            <w:r>
              <w:rPr>
                <w:rFonts w:ascii="Arial"/>
                <w:w w:val="101"/>
                <w:sz w:val="12"/>
              </w:rPr>
              <w:t>-</w:t>
            </w:r>
          </w:p>
        </w:tc>
      </w:tr>
      <w:tr w:rsidR="00141B97" w14:paraId="022E912D"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79C8B6CC" w14:textId="77777777" w:rsidR="00141B97" w:rsidRDefault="00911D63">
            <w:pPr>
              <w:pStyle w:val="TableParagraph"/>
              <w:spacing w:line="127"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3</w:t>
            </w:r>
          </w:p>
        </w:tc>
        <w:tc>
          <w:tcPr>
            <w:tcW w:w="922" w:type="dxa"/>
            <w:tcBorders>
              <w:top w:val="single" w:sz="6" w:space="0" w:color="D4D4D4"/>
              <w:left w:val="single" w:sz="6" w:space="0" w:color="D4D4D4"/>
              <w:bottom w:val="single" w:sz="6" w:space="0" w:color="D4D4D4"/>
              <w:right w:val="single" w:sz="6" w:space="0" w:color="D4D4D4"/>
            </w:tcBorders>
          </w:tcPr>
          <w:p w14:paraId="2419B82E"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single" w:sz="6" w:space="0" w:color="D4D4D4"/>
              <w:right w:val="single" w:sz="6" w:space="0" w:color="D4D4D4"/>
            </w:tcBorders>
          </w:tcPr>
          <w:p w14:paraId="09BB9129" w14:textId="77777777" w:rsidR="00141B97" w:rsidRDefault="00911D63">
            <w:pPr>
              <w:pStyle w:val="TableParagraph"/>
              <w:spacing w:line="127" w:lineRule="exact"/>
              <w:ind w:right="48"/>
              <w:jc w:val="right"/>
              <w:rPr>
                <w:rFonts w:ascii="Arial"/>
                <w:sz w:val="12"/>
              </w:rPr>
            </w:pPr>
            <w:r>
              <w:rPr>
                <w:rFonts w:ascii="Arial"/>
                <w:spacing w:val="-2"/>
                <w:sz w:val="12"/>
              </w:rPr>
              <w:t>48.00</w:t>
            </w:r>
          </w:p>
        </w:tc>
        <w:tc>
          <w:tcPr>
            <w:tcW w:w="962" w:type="dxa"/>
            <w:tcBorders>
              <w:top w:val="single" w:sz="6" w:space="0" w:color="D4D4D4"/>
              <w:left w:val="single" w:sz="6" w:space="0" w:color="D4D4D4"/>
              <w:bottom w:val="single" w:sz="6" w:space="0" w:color="D4D4D4"/>
              <w:right w:val="single" w:sz="6" w:space="0" w:color="D4D4D4"/>
            </w:tcBorders>
          </w:tcPr>
          <w:p w14:paraId="7BBC7A34" w14:textId="77777777" w:rsidR="00141B97" w:rsidRDefault="00911D63">
            <w:pPr>
              <w:pStyle w:val="TableParagraph"/>
              <w:spacing w:line="127"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single" w:sz="6" w:space="0" w:color="D4D4D4"/>
              <w:right w:val="single" w:sz="6" w:space="0" w:color="D4D4D4"/>
            </w:tcBorders>
          </w:tcPr>
          <w:p w14:paraId="08A91275" w14:textId="77777777" w:rsidR="00141B97" w:rsidRDefault="00911D63">
            <w:pPr>
              <w:pStyle w:val="TableParagraph"/>
              <w:spacing w:line="127"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single" w:sz="6" w:space="0" w:color="D4D4D4"/>
              <w:right w:val="single" w:sz="6" w:space="0" w:color="D4D4D4"/>
            </w:tcBorders>
          </w:tcPr>
          <w:p w14:paraId="5935C5D4" w14:textId="77777777" w:rsidR="00141B97" w:rsidRDefault="00911D63">
            <w:pPr>
              <w:pStyle w:val="TableParagraph"/>
              <w:spacing w:line="127"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single" w:sz="6" w:space="0" w:color="D4D4D4"/>
              <w:right w:val="single" w:sz="6" w:space="0" w:color="D4D4D4"/>
            </w:tcBorders>
          </w:tcPr>
          <w:p w14:paraId="7EF3401C" w14:textId="77777777" w:rsidR="00141B97" w:rsidRDefault="00911D63">
            <w:pPr>
              <w:pStyle w:val="TableParagraph"/>
              <w:spacing w:line="127"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single" w:sz="6" w:space="0" w:color="D4D4D4"/>
              <w:right w:val="single" w:sz="6" w:space="0" w:color="D4D4D4"/>
            </w:tcBorders>
          </w:tcPr>
          <w:p w14:paraId="54EF7A2A" w14:textId="77777777" w:rsidR="00141B97" w:rsidRDefault="00911D63">
            <w:pPr>
              <w:pStyle w:val="TableParagraph"/>
              <w:spacing w:line="127" w:lineRule="exact"/>
              <w:ind w:right="187"/>
              <w:jc w:val="right"/>
              <w:rPr>
                <w:rFonts w:ascii="Arial"/>
                <w:sz w:val="12"/>
              </w:rPr>
            </w:pPr>
            <w:r>
              <w:rPr>
                <w:rFonts w:ascii="Arial"/>
                <w:w w:val="101"/>
                <w:sz w:val="12"/>
              </w:rPr>
              <w:t>-</w:t>
            </w:r>
          </w:p>
        </w:tc>
      </w:tr>
      <w:tr w:rsidR="00141B97" w14:paraId="19D33B44" w14:textId="77777777">
        <w:trPr>
          <w:trHeight w:val="149"/>
        </w:trPr>
        <w:tc>
          <w:tcPr>
            <w:tcW w:w="2543" w:type="dxa"/>
            <w:tcBorders>
              <w:top w:val="single" w:sz="6" w:space="0" w:color="D4D4D4"/>
              <w:left w:val="single" w:sz="6" w:space="0" w:color="D4D4D4"/>
              <w:bottom w:val="nil"/>
              <w:right w:val="single" w:sz="6" w:space="0" w:color="D4D4D4"/>
            </w:tcBorders>
          </w:tcPr>
          <w:p w14:paraId="4F841EBF" w14:textId="77777777" w:rsidR="00141B97" w:rsidRDefault="00911D63">
            <w:pPr>
              <w:pStyle w:val="TableParagraph"/>
              <w:spacing w:line="129" w:lineRule="exact"/>
              <w:ind w:left="23"/>
              <w:rPr>
                <w:rFonts w:ascii="Arial"/>
                <w:sz w:val="12"/>
              </w:rPr>
            </w:pPr>
            <w:r>
              <w:rPr>
                <w:rFonts w:ascii="Arial"/>
                <w:sz w:val="12"/>
              </w:rPr>
              <w:t>Drainage</w:t>
            </w:r>
            <w:r>
              <w:rPr>
                <w:rFonts w:ascii="Arial"/>
                <w:spacing w:val="19"/>
                <w:sz w:val="12"/>
              </w:rPr>
              <w:t xml:space="preserve"> </w:t>
            </w:r>
            <w:r>
              <w:rPr>
                <w:rFonts w:ascii="Arial"/>
                <w:sz w:val="12"/>
              </w:rPr>
              <w:t>div</w:t>
            </w:r>
            <w:r>
              <w:rPr>
                <w:rFonts w:ascii="Arial"/>
                <w:spacing w:val="-2"/>
                <w:sz w:val="12"/>
              </w:rPr>
              <w:t xml:space="preserve"> </w:t>
            </w:r>
            <w:r>
              <w:rPr>
                <w:rFonts w:ascii="Arial"/>
                <w:spacing w:val="-10"/>
                <w:sz w:val="12"/>
              </w:rPr>
              <w:t>4</w:t>
            </w:r>
          </w:p>
        </w:tc>
        <w:tc>
          <w:tcPr>
            <w:tcW w:w="922" w:type="dxa"/>
            <w:tcBorders>
              <w:top w:val="single" w:sz="6" w:space="0" w:color="D4D4D4"/>
              <w:left w:val="single" w:sz="6" w:space="0" w:color="D4D4D4"/>
              <w:bottom w:val="nil"/>
              <w:right w:val="single" w:sz="6" w:space="0" w:color="D4D4D4"/>
            </w:tcBorders>
          </w:tcPr>
          <w:p w14:paraId="1A9C7675"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WR/DS</w:t>
            </w:r>
          </w:p>
        </w:tc>
        <w:tc>
          <w:tcPr>
            <w:tcW w:w="962" w:type="dxa"/>
            <w:tcBorders>
              <w:top w:val="single" w:sz="6" w:space="0" w:color="D4D4D4"/>
              <w:left w:val="single" w:sz="6" w:space="0" w:color="D4D4D4"/>
              <w:bottom w:val="nil"/>
              <w:right w:val="single" w:sz="6" w:space="0" w:color="D4D4D4"/>
            </w:tcBorders>
          </w:tcPr>
          <w:p w14:paraId="7F7934A7" w14:textId="77777777" w:rsidR="00141B97" w:rsidRDefault="00911D63">
            <w:pPr>
              <w:pStyle w:val="TableParagraph"/>
              <w:spacing w:line="129" w:lineRule="exact"/>
              <w:ind w:right="48"/>
              <w:jc w:val="right"/>
              <w:rPr>
                <w:rFonts w:ascii="Arial"/>
                <w:sz w:val="12"/>
              </w:rPr>
            </w:pPr>
            <w:r>
              <w:rPr>
                <w:rFonts w:ascii="Arial"/>
                <w:spacing w:val="-2"/>
                <w:sz w:val="12"/>
              </w:rPr>
              <w:t>24.00</w:t>
            </w:r>
          </w:p>
        </w:tc>
        <w:tc>
          <w:tcPr>
            <w:tcW w:w="962" w:type="dxa"/>
            <w:tcBorders>
              <w:top w:val="single" w:sz="6" w:space="0" w:color="D4D4D4"/>
              <w:left w:val="single" w:sz="6" w:space="0" w:color="D4D4D4"/>
              <w:bottom w:val="nil"/>
              <w:right w:val="single" w:sz="6" w:space="0" w:color="D4D4D4"/>
            </w:tcBorders>
          </w:tcPr>
          <w:p w14:paraId="67E5D5D0" w14:textId="77777777" w:rsidR="00141B97" w:rsidRDefault="00911D63">
            <w:pPr>
              <w:pStyle w:val="TableParagraph"/>
              <w:spacing w:line="129" w:lineRule="exact"/>
              <w:ind w:right="189"/>
              <w:jc w:val="right"/>
              <w:rPr>
                <w:rFonts w:ascii="Arial"/>
                <w:sz w:val="12"/>
              </w:rPr>
            </w:pPr>
            <w:r>
              <w:rPr>
                <w:rFonts w:ascii="Arial"/>
                <w:w w:val="101"/>
                <w:sz w:val="12"/>
              </w:rPr>
              <w:t>-</w:t>
            </w:r>
          </w:p>
        </w:tc>
        <w:tc>
          <w:tcPr>
            <w:tcW w:w="1023" w:type="dxa"/>
            <w:tcBorders>
              <w:top w:val="single" w:sz="6" w:space="0" w:color="D4D4D4"/>
              <w:left w:val="single" w:sz="6" w:space="0" w:color="D4D4D4"/>
              <w:bottom w:val="nil"/>
              <w:right w:val="single" w:sz="6" w:space="0" w:color="D4D4D4"/>
            </w:tcBorders>
          </w:tcPr>
          <w:p w14:paraId="7748832C" w14:textId="77777777" w:rsidR="00141B97" w:rsidRDefault="00911D63">
            <w:pPr>
              <w:pStyle w:val="TableParagraph"/>
              <w:spacing w:line="129" w:lineRule="exact"/>
              <w:ind w:right="188"/>
              <w:jc w:val="right"/>
              <w:rPr>
                <w:rFonts w:ascii="Arial"/>
                <w:sz w:val="12"/>
              </w:rPr>
            </w:pPr>
            <w:r>
              <w:rPr>
                <w:rFonts w:ascii="Arial"/>
                <w:w w:val="101"/>
                <w:sz w:val="12"/>
              </w:rPr>
              <w:t>-</w:t>
            </w:r>
          </w:p>
        </w:tc>
        <w:tc>
          <w:tcPr>
            <w:tcW w:w="1094" w:type="dxa"/>
            <w:tcBorders>
              <w:top w:val="single" w:sz="6" w:space="0" w:color="D4D4D4"/>
              <w:left w:val="single" w:sz="6" w:space="0" w:color="D4D4D4"/>
              <w:bottom w:val="nil"/>
              <w:right w:val="single" w:sz="6" w:space="0" w:color="D4D4D4"/>
            </w:tcBorders>
          </w:tcPr>
          <w:p w14:paraId="33DD1D6E" w14:textId="77777777" w:rsidR="00141B97" w:rsidRDefault="00911D63">
            <w:pPr>
              <w:pStyle w:val="TableParagraph"/>
              <w:spacing w:line="129" w:lineRule="exact"/>
              <w:ind w:right="188"/>
              <w:jc w:val="right"/>
              <w:rPr>
                <w:rFonts w:ascii="Arial"/>
                <w:sz w:val="12"/>
              </w:rPr>
            </w:pPr>
            <w:r>
              <w:rPr>
                <w:rFonts w:ascii="Arial"/>
                <w:w w:val="101"/>
                <w:sz w:val="12"/>
              </w:rPr>
              <w:t>-</w:t>
            </w:r>
          </w:p>
        </w:tc>
        <w:tc>
          <w:tcPr>
            <w:tcW w:w="962" w:type="dxa"/>
            <w:tcBorders>
              <w:top w:val="single" w:sz="6" w:space="0" w:color="D4D4D4"/>
              <w:left w:val="single" w:sz="6" w:space="0" w:color="D4D4D4"/>
              <w:bottom w:val="nil"/>
              <w:right w:val="single" w:sz="6" w:space="0" w:color="D4D4D4"/>
            </w:tcBorders>
          </w:tcPr>
          <w:p w14:paraId="44BED4E9" w14:textId="77777777" w:rsidR="00141B97" w:rsidRDefault="00911D63">
            <w:pPr>
              <w:pStyle w:val="TableParagraph"/>
              <w:spacing w:line="129" w:lineRule="exact"/>
              <w:ind w:right="187"/>
              <w:jc w:val="right"/>
              <w:rPr>
                <w:rFonts w:ascii="Arial"/>
                <w:sz w:val="12"/>
              </w:rPr>
            </w:pPr>
            <w:r>
              <w:rPr>
                <w:rFonts w:ascii="Arial"/>
                <w:w w:val="101"/>
                <w:sz w:val="12"/>
              </w:rPr>
              <w:t>-</w:t>
            </w:r>
          </w:p>
        </w:tc>
        <w:tc>
          <w:tcPr>
            <w:tcW w:w="1155" w:type="dxa"/>
            <w:tcBorders>
              <w:top w:val="single" w:sz="6" w:space="0" w:color="D4D4D4"/>
              <w:left w:val="single" w:sz="6" w:space="0" w:color="D4D4D4"/>
              <w:bottom w:val="nil"/>
              <w:right w:val="single" w:sz="6" w:space="0" w:color="D4D4D4"/>
            </w:tcBorders>
          </w:tcPr>
          <w:p w14:paraId="67FAC137" w14:textId="77777777" w:rsidR="00141B97" w:rsidRDefault="00911D63">
            <w:pPr>
              <w:pStyle w:val="TableParagraph"/>
              <w:spacing w:line="129" w:lineRule="exact"/>
              <w:ind w:right="187"/>
              <w:jc w:val="right"/>
              <w:rPr>
                <w:rFonts w:ascii="Arial"/>
                <w:sz w:val="12"/>
              </w:rPr>
            </w:pPr>
            <w:r>
              <w:rPr>
                <w:rFonts w:ascii="Arial"/>
                <w:w w:val="101"/>
                <w:sz w:val="12"/>
              </w:rPr>
              <w:t>-</w:t>
            </w:r>
          </w:p>
        </w:tc>
      </w:tr>
      <w:tr w:rsidR="00141B97" w14:paraId="18FDA25B" w14:textId="77777777">
        <w:trPr>
          <w:trHeight w:val="172"/>
        </w:trPr>
        <w:tc>
          <w:tcPr>
            <w:tcW w:w="9623" w:type="dxa"/>
            <w:gridSpan w:val="8"/>
            <w:tcBorders>
              <w:top w:val="nil"/>
              <w:left w:val="nil"/>
              <w:bottom w:val="nil"/>
              <w:right w:val="nil"/>
            </w:tcBorders>
            <w:shd w:val="clear" w:color="auto" w:fill="CCFFFF"/>
          </w:tcPr>
          <w:p w14:paraId="579562D6" w14:textId="77777777" w:rsidR="00141B97" w:rsidRDefault="00911D63">
            <w:pPr>
              <w:pStyle w:val="TableParagraph"/>
              <w:spacing w:before="11"/>
              <w:ind w:left="31"/>
              <w:rPr>
                <w:rFonts w:ascii="Arial"/>
                <w:b/>
                <w:sz w:val="12"/>
              </w:rPr>
            </w:pPr>
            <w:r>
              <w:rPr>
                <w:rFonts w:ascii="Arial"/>
                <w:b/>
                <w:spacing w:val="-5"/>
                <w:sz w:val="12"/>
              </w:rPr>
              <w:t>WWD</w:t>
            </w:r>
          </w:p>
        </w:tc>
      </w:tr>
      <w:tr w:rsidR="00141B97" w14:paraId="56FFE48F" w14:textId="77777777">
        <w:trPr>
          <w:trHeight w:val="148"/>
        </w:trPr>
        <w:tc>
          <w:tcPr>
            <w:tcW w:w="2543" w:type="dxa"/>
            <w:tcBorders>
              <w:top w:val="nil"/>
              <w:left w:val="single" w:sz="6" w:space="0" w:color="D4D4D4"/>
              <w:bottom w:val="single" w:sz="6" w:space="0" w:color="D4D4D4"/>
              <w:right w:val="single" w:sz="6" w:space="0" w:color="D4D4D4"/>
            </w:tcBorders>
          </w:tcPr>
          <w:p w14:paraId="554A4523" w14:textId="77777777" w:rsidR="00141B97" w:rsidRDefault="00911D63">
            <w:pPr>
              <w:pStyle w:val="TableParagraph"/>
              <w:spacing w:line="129"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nil"/>
              <w:left w:val="single" w:sz="6" w:space="0" w:color="D4D4D4"/>
              <w:bottom w:val="single" w:sz="6" w:space="0" w:color="D4D4D4"/>
              <w:right w:val="single" w:sz="6" w:space="0" w:color="D4D4D4"/>
            </w:tcBorders>
          </w:tcPr>
          <w:p w14:paraId="1D4B45E1" w14:textId="77777777" w:rsidR="00141B97" w:rsidRDefault="00911D63">
            <w:pPr>
              <w:pStyle w:val="TableParagraph"/>
              <w:spacing w:line="129"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nil"/>
              <w:left w:val="single" w:sz="6" w:space="0" w:color="D4D4D4"/>
              <w:bottom w:val="single" w:sz="6" w:space="0" w:color="D4D4D4"/>
              <w:right w:val="single" w:sz="6" w:space="0" w:color="D4D4D4"/>
            </w:tcBorders>
          </w:tcPr>
          <w:p w14:paraId="6BC48D5F" w14:textId="77777777" w:rsidR="00141B97" w:rsidRDefault="00911D63">
            <w:pPr>
              <w:pStyle w:val="TableParagraph"/>
              <w:spacing w:line="129" w:lineRule="exact"/>
              <w:ind w:right="48"/>
              <w:jc w:val="right"/>
              <w:rPr>
                <w:rFonts w:ascii="Arial"/>
                <w:sz w:val="12"/>
              </w:rPr>
            </w:pPr>
            <w:r>
              <w:rPr>
                <w:rFonts w:ascii="Arial"/>
                <w:spacing w:val="-2"/>
                <w:sz w:val="12"/>
              </w:rPr>
              <w:t>100.00</w:t>
            </w:r>
          </w:p>
        </w:tc>
        <w:tc>
          <w:tcPr>
            <w:tcW w:w="962" w:type="dxa"/>
            <w:tcBorders>
              <w:top w:val="nil"/>
              <w:left w:val="single" w:sz="6" w:space="0" w:color="D4D4D4"/>
              <w:bottom w:val="single" w:sz="6" w:space="0" w:color="D4D4D4"/>
              <w:right w:val="single" w:sz="6" w:space="0" w:color="D4D4D4"/>
            </w:tcBorders>
          </w:tcPr>
          <w:p w14:paraId="6E705E09" w14:textId="77777777" w:rsidR="00141B97" w:rsidRDefault="00911D63">
            <w:pPr>
              <w:pStyle w:val="TableParagraph"/>
              <w:spacing w:line="129" w:lineRule="exact"/>
              <w:ind w:right="50"/>
              <w:jc w:val="right"/>
              <w:rPr>
                <w:rFonts w:ascii="Arial"/>
                <w:sz w:val="12"/>
              </w:rPr>
            </w:pPr>
            <w:r>
              <w:rPr>
                <w:rFonts w:ascii="Arial"/>
                <w:spacing w:val="-2"/>
                <w:sz w:val="12"/>
              </w:rPr>
              <w:t>97.09</w:t>
            </w:r>
          </w:p>
        </w:tc>
        <w:tc>
          <w:tcPr>
            <w:tcW w:w="1023" w:type="dxa"/>
            <w:tcBorders>
              <w:top w:val="nil"/>
              <w:left w:val="single" w:sz="6" w:space="0" w:color="D4D4D4"/>
              <w:bottom w:val="single" w:sz="6" w:space="0" w:color="D4D4D4"/>
              <w:right w:val="single" w:sz="6" w:space="0" w:color="D4D4D4"/>
            </w:tcBorders>
          </w:tcPr>
          <w:p w14:paraId="67D46818" w14:textId="77777777" w:rsidR="00141B97" w:rsidRDefault="00911D63">
            <w:pPr>
              <w:pStyle w:val="TableParagraph"/>
              <w:spacing w:line="129" w:lineRule="exact"/>
              <w:ind w:right="50"/>
              <w:jc w:val="right"/>
              <w:rPr>
                <w:rFonts w:ascii="Arial"/>
                <w:sz w:val="12"/>
              </w:rPr>
            </w:pPr>
            <w:r>
              <w:rPr>
                <w:rFonts w:ascii="Arial"/>
                <w:spacing w:val="-2"/>
                <w:sz w:val="12"/>
              </w:rPr>
              <w:t>94.26</w:t>
            </w:r>
          </w:p>
        </w:tc>
        <w:tc>
          <w:tcPr>
            <w:tcW w:w="1094" w:type="dxa"/>
            <w:tcBorders>
              <w:top w:val="nil"/>
              <w:left w:val="single" w:sz="6" w:space="0" w:color="D4D4D4"/>
              <w:bottom w:val="single" w:sz="6" w:space="0" w:color="D4D4D4"/>
              <w:right w:val="single" w:sz="6" w:space="0" w:color="D4D4D4"/>
            </w:tcBorders>
          </w:tcPr>
          <w:p w14:paraId="5AAA3F0D" w14:textId="77777777" w:rsidR="00141B97" w:rsidRDefault="00911D63">
            <w:pPr>
              <w:pStyle w:val="TableParagraph"/>
              <w:spacing w:line="129" w:lineRule="exact"/>
              <w:ind w:right="49"/>
              <w:jc w:val="right"/>
              <w:rPr>
                <w:rFonts w:ascii="Arial"/>
                <w:sz w:val="12"/>
              </w:rPr>
            </w:pPr>
            <w:r>
              <w:rPr>
                <w:rFonts w:ascii="Arial"/>
                <w:spacing w:val="-2"/>
                <w:sz w:val="12"/>
              </w:rPr>
              <w:t>91.51</w:t>
            </w:r>
          </w:p>
        </w:tc>
        <w:tc>
          <w:tcPr>
            <w:tcW w:w="962" w:type="dxa"/>
            <w:tcBorders>
              <w:top w:val="nil"/>
              <w:left w:val="single" w:sz="6" w:space="0" w:color="D4D4D4"/>
              <w:bottom w:val="single" w:sz="6" w:space="0" w:color="D4D4D4"/>
              <w:right w:val="single" w:sz="6" w:space="0" w:color="D4D4D4"/>
            </w:tcBorders>
          </w:tcPr>
          <w:p w14:paraId="5041C9DC" w14:textId="77777777" w:rsidR="00141B97" w:rsidRDefault="00911D63">
            <w:pPr>
              <w:pStyle w:val="TableParagraph"/>
              <w:spacing w:line="129" w:lineRule="exact"/>
              <w:ind w:right="49"/>
              <w:jc w:val="right"/>
              <w:rPr>
                <w:rFonts w:ascii="Arial"/>
                <w:sz w:val="12"/>
              </w:rPr>
            </w:pPr>
            <w:r>
              <w:rPr>
                <w:rFonts w:ascii="Arial"/>
                <w:spacing w:val="-2"/>
                <w:sz w:val="12"/>
              </w:rPr>
              <w:t>88.85</w:t>
            </w:r>
          </w:p>
        </w:tc>
        <w:tc>
          <w:tcPr>
            <w:tcW w:w="1155" w:type="dxa"/>
            <w:tcBorders>
              <w:top w:val="nil"/>
              <w:left w:val="single" w:sz="6" w:space="0" w:color="D4D4D4"/>
              <w:bottom w:val="single" w:sz="6" w:space="0" w:color="D4D4D4"/>
              <w:right w:val="single" w:sz="6" w:space="0" w:color="D4D4D4"/>
            </w:tcBorders>
          </w:tcPr>
          <w:p w14:paraId="06E9EB98" w14:textId="77777777" w:rsidR="00141B97" w:rsidRDefault="00911D63">
            <w:pPr>
              <w:pStyle w:val="TableParagraph"/>
              <w:spacing w:line="129" w:lineRule="exact"/>
              <w:ind w:right="48"/>
              <w:jc w:val="right"/>
              <w:rPr>
                <w:rFonts w:ascii="Arial"/>
                <w:sz w:val="12"/>
              </w:rPr>
            </w:pPr>
            <w:r>
              <w:rPr>
                <w:rFonts w:ascii="Arial"/>
                <w:spacing w:val="-2"/>
                <w:sz w:val="12"/>
              </w:rPr>
              <w:t>86.26</w:t>
            </w:r>
          </w:p>
        </w:tc>
      </w:tr>
      <w:tr w:rsidR="00141B97" w14:paraId="007EF54F" w14:textId="77777777">
        <w:trPr>
          <w:trHeight w:val="150"/>
        </w:trPr>
        <w:tc>
          <w:tcPr>
            <w:tcW w:w="2543" w:type="dxa"/>
            <w:tcBorders>
              <w:top w:val="single" w:sz="6" w:space="0" w:color="D4D4D4"/>
              <w:left w:val="single" w:sz="6" w:space="0" w:color="D4D4D4"/>
              <w:right w:val="single" w:sz="6" w:space="0" w:color="D4D4D4"/>
            </w:tcBorders>
          </w:tcPr>
          <w:p w14:paraId="31F02096" w14:textId="77777777" w:rsidR="00141B97" w:rsidRDefault="00911D63">
            <w:pPr>
              <w:pStyle w:val="TableParagraph"/>
              <w:spacing w:line="130" w:lineRule="exact"/>
              <w:ind w:left="23"/>
              <w:rPr>
                <w:rFonts w:ascii="Arial"/>
                <w:sz w:val="12"/>
              </w:rPr>
            </w:pPr>
            <w:r>
              <w:rPr>
                <w:rFonts w:ascii="Arial"/>
                <w:sz w:val="12"/>
              </w:rPr>
              <w:t>Connection</w:t>
            </w:r>
            <w:r>
              <w:rPr>
                <w:rFonts w:ascii="Arial"/>
                <w:spacing w:val="24"/>
                <w:sz w:val="12"/>
              </w:rPr>
              <w:t xml:space="preserve"> </w:t>
            </w:r>
            <w:r>
              <w:rPr>
                <w:rFonts w:ascii="Arial"/>
                <w:spacing w:val="-2"/>
                <w:sz w:val="12"/>
              </w:rPr>
              <w:t>charge</w:t>
            </w:r>
          </w:p>
        </w:tc>
        <w:tc>
          <w:tcPr>
            <w:tcW w:w="922" w:type="dxa"/>
            <w:tcBorders>
              <w:top w:val="single" w:sz="6" w:space="0" w:color="D4D4D4"/>
              <w:left w:val="single" w:sz="6" w:space="0" w:color="D4D4D4"/>
              <w:right w:val="single" w:sz="6" w:space="0" w:color="D4D4D4"/>
            </w:tcBorders>
          </w:tcPr>
          <w:p w14:paraId="641EDDC7" w14:textId="77777777" w:rsidR="00141B97" w:rsidRDefault="00911D63">
            <w:pPr>
              <w:pStyle w:val="TableParagraph"/>
              <w:spacing w:line="130"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customer</w:t>
            </w:r>
          </w:p>
        </w:tc>
        <w:tc>
          <w:tcPr>
            <w:tcW w:w="962" w:type="dxa"/>
            <w:tcBorders>
              <w:top w:val="single" w:sz="6" w:space="0" w:color="D4D4D4"/>
              <w:left w:val="single" w:sz="6" w:space="0" w:color="D4D4D4"/>
              <w:right w:val="single" w:sz="6" w:space="0" w:color="D4D4D4"/>
            </w:tcBorders>
          </w:tcPr>
          <w:p w14:paraId="0F2EF97B" w14:textId="77777777" w:rsidR="00141B97" w:rsidRDefault="00911D63">
            <w:pPr>
              <w:pStyle w:val="TableParagraph"/>
              <w:spacing w:line="130" w:lineRule="exact"/>
              <w:ind w:right="48"/>
              <w:jc w:val="right"/>
              <w:rPr>
                <w:rFonts w:ascii="Arial"/>
                <w:sz w:val="12"/>
              </w:rPr>
            </w:pPr>
            <w:r>
              <w:rPr>
                <w:rFonts w:ascii="Arial"/>
                <w:spacing w:val="-2"/>
                <w:sz w:val="12"/>
              </w:rPr>
              <w:t>100.00</w:t>
            </w:r>
          </w:p>
        </w:tc>
        <w:tc>
          <w:tcPr>
            <w:tcW w:w="962" w:type="dxa"/>
            <w:tcBorders>
              <w:top w:val="single" w:sz="6" w:space="0" w:color="D4D4D4"/>
              <w:left w:val="single" w:sz="6" w:space="0" w:color="D4D4D4"/>
              <w:right w:val="single" w:sz="6" w:space="0" w:color="D4D4D4"/>
            </w:tcBorders>
          </w:tcPr>
          <w:p w14:paraId="1825A386" w14:textId="77777777" w:rsidR="00141B97" w:rsidRDefault="00911D63">
            <w:pPr>
              <w:pStyle w:val="TableParagraph"/>
              <w:spacing w:line="130" w:lineRule="exact"/>
              <w:ind w:right="50"/>
              <w:jc w:val="right"/>
              <w:rPr>
                <w:rFonts w:ascii="Arial"/>
                <w:sz w:val="12"/>
              </w:rPr>
            </w:pPr>
            <w:r>
              <w:rPr>
                <w:rFonts w:ascii="Arial"/>
                <w:spacing w:val="-2"/>
                <w:sz w:val="12"/>
              </w:rPr>
              <w:t>97.09</w:t>
            </w:r>
          </w:p>
        </w:tc>
        <w:tc>
          <w:tcPr>
            <w:tcW w:w="1023" w:type="dxa"/>
            <w:tcBorders>
              <w:top w:val="single" w:sz="6" w:space="0" w:color="D4D4D4"/>
              <w:left w:val="single" w:sz="6" w:space="0" w:color="D4D4D4"/>
              <w:right w:val="single" w:sz="6" w:space="0" w:color="D4D4D4"/>
            </w:tcBorders>
          </w:tcPr>
          <w:p w14:paraId="76FF1C39" w14:textId="77777777" w:rsidR="00141B97" w:rsidRDefault="00911D63">
            <w:pPr>
              <w:pStyle w:val="TableParagraph"/>
              <w:spacing w:line="130" w:lineRule="exact"/>
              <w:ind w:right="50"/>
              <w:jc w:val="right"/>
              <w:rPr>
                <w:rFonts w:ascii="Arial"/>
                <w:sz w:val="12"/>
              </w:rPr>
            </w:pPr>
            <w:r>
              <w:rPr>
                <w:rFonts w:ascii="Arial"/>
                <w:spacing w:val="-2"/>
                <w:sz w:val="12"/>
              </w:rPr>
              <w:t>94.26</w:t>
            </w:r>
          </w:p>
        </w:tc>
        <w:tc>
          <w:tcPr>
            <w:tcW w:w="1094" w:type="dxa"/>
            <w:tcBorders>
              <w:top w:val="single" w:sz="6" w:space="0" w:color="D4D4D4"/>
              <w:left w:val="single" w:sz="6" w:space="0" w:color="D4D4D4"/>
              <w:right w:val="single" w:sz="6" w:space="0" w:color="D4D4D4"/>
            </w:tcBorders>
          </w:tcPr>
          <w:p w14:paraId="33EAC107" w14:textId="77777777" w:rsidR="00141B97" w:rsidRDefault="00911D63">
            <w:pPr>
              <w:pStyle w:val="TableParagraph"/>
              <w:spacing w:line="130" w:lineRule="exact"/>
              <w:ind w:right="49"/>
              <w:jc w:val="right"/>
              <w:rPr>
                <w:rFonts w:ascii="Arial"/>
                <w:sz w:val="12"/>
              </w:rPr>
            </w:pPr>
            <w:r>
              <w:rPr>
                <w:rFonts w:ascii="Arial"/>
                <w:spacing w:val="-2"/>
                <w:sz w:val="12"/>
              </w:rPr>
              <w:t>91.51</w:t>
            </w:r>
          </w:p>
        </w:tc>
        <w:tc>
          <w:tcPr>
            <w:tcW w:w="962" w:type="dxa"/>
            <w:tcBorders>
              <w:top w:val="single" w:sz="6" w:space="0" w:color="D4D4D4"/>
              <w:left w:val="single" w:sz="6" w:space="0" w:color="D4D4D4"/>
              <w:right w:val="single" w:sz="6" w:space="0" w:color="D4D4D4"/>
            </w:tcBorders>
          </w:tcPr>
          <w:p w14:paraId="4FFBE902" w14:textId="77777777" w:rsidR="00141B97" w:rsidRDefault="00911D63">
            <w:pPr>
              <w:pStyle w:val="TableParagraph"/>
              <w:spacing w:line="130" w:lineRule="exact"/>
              <w:ind w:right="49"/>
              <w:jc w:val="right"/>
              <w:rPr>
                <w:rFonts w:ascii="Arial"/>
                <w:sz w:val="12"/>
              </w:rPr>
            </w:pPr>
            <w:r>
              <w:rPr>
                <w:rFonts w:ascii="Arial"/>
                <w:spacing w:val="-2"/>
                <w:sz w:val="12"/>
              </w:rPr>
              <w:t>88.85</w:t>
            </w:r>
          </w:p>
        </w:tc>
        <w:tc>
          <w:tcPr>
            <w:tcW w:w="1155" w:type="dxa"/>
            <w:tcBorders>
              <w:top w:val="single" w:sz="6" w:space="0" w:color="D4D4D4"/>
              <w:left w:val="single" w:sz="6" w:space="0" w:color="D4D4D4"/>
              <w:right w:val="single" w:sz="6" w:space="0" w:color="D4D4D4"/>
            </w:tcBorders>
          </w:tcPr>
          <w:p w14:paraId="0E26C5CD" w14:textId="77777777" w:rsidR="00141B97" w:rsidRDefault="00911D63">
            <w:pPr>
              <w:pStyle w:val="TableParagraph"/>
              <w:spacing w:line="130" w:lineRule="exact"/>
              <w:ind w:right="48"/>
              <w:jc w:val="right"/>
              <w:rPr>
                <w:rFonts w:ascii="Arial"/>
                <w:sz w:val="12"/>
              </w:rPr>
            </w:pPr>
            <w:r>
              <w:rPr>
                <w:rFonts w:ascii="Arial"/>
                <w:spacing w:val="-2"/>
                <w:sz w:val="12"/>
              </w:rPr>
              <w:t>86.26</w:t>
            </w:r>
          </w:p>
        </w:tc>
      </w:tr>
      <w:tr w:rsidR="00141B97" w14:paraId="167420B6" w14:textId="77777777">
        <w:trPr>
          <w:trHeight w:val="152"/>
        </w:trPr>
        <w:tc>
          <w:tcPr>
            <w:tcW w:w="2543" w:type="dxa"/>
            <w:tcBorders>
              <w:left w:val="single" w:sz="6" w:space="0" w:color="D4D4D4"/>
              <w:bottom w:val="nil"/>
              <w:right w:val="single" w:sz="6" w:space="0" w:color="D4D4D4"/>
            </w:tcBorders>
          </w:tcPr>
          <w:p w14:paraId="21959525" w14:textId="77777777" w:rsidR="00141B97" w:rsidRDefault="00911D63">
            <w:pPr>
              <w:pStyle w:val="TableParagraph"/>
              <w:spacing w:line="132" w:lineRule="exact"/>
              <w:ind w:left="23"/>
              <w:rPr>
                <w:rFonts w:ascii="Arial"/>
                <w:sz w:val="12"/>
              </w:rPr>
            </w:pPr>
            <w:r>
              <w:rPr>
                <w:rFonts w:ascii="Arial"/>
                <w:sz w:val="12"/>
              </w:rPr>
              <w:t>Usage</w:t>
            </w:r>
            <w:r>
              <w:rPr>
                <w:rFonts w:ascii="Arial"/>
                <w:spacing w:val="21"/>
                <w:sz w:val="12"/>
              </w:rPr>
              <w:t xml:space="preserve"> </w:t>
            </w:r>
            <w:r>
              <w:rPr>
                <w:rFonts w:ascii="Arial"/>
                <w:spacing w:val="-2"/>
                <w:sz w:val="12"/>
              </w:rPr>
              <w:t>charge</w:t>
            </w:r>
          </w:p>
        </w:tc>
        <w:tc>
          <w:tcPr>
            <w:tcW w:w="922" w:type="dxa"/>
            <w:tcBorders>
              <w:left w:val="single" w:sz="6" w:space="0" w:color="D4D4D4"/>
              <w:bottom w:val="nil"/>
              <w:right w:val="single" w:sz="6" w:space="0" w:color="D4D4D4"/>
            </w:tcBorders>
          </w:tcPr>
          <w:p w14:paraId="02875DD3" w14:textId="77777777" w:rsidR="00141B97" w:rsidRDefault="00911D63">
            <w:pPr>
              <w:pStyle w:val="TableParagraph"/>
              <w:spacing w:line="132" w:lineRule="exact"/>
              <w:ind w:left="65" w:right="-15"/>
              <w:rPr>
                <w:rFonts w:ascii="Arial"/>
                <w:sz w:val="12"/>
              </w:rPr>
            </w:pPr>
            <w:r>
              <w:rPr>
                <w:rFonts w:ascii="Arial"/>
                <w:sz w:val="12"/>
              </w:rPr>
              <w:t>$</w:t>
            </w:r>
            <w:r>
              <w:rPr>
                <w:rFonts w:ascii="Arial"/>
                <w:spacing w:val="-2"/>
                <w:sz w:val="12"/>
              </w:rPr>
              <w:t xml:space="preserve"> </w:t>
            </w:r>
            <w:r>
              <w:rPr>
                <w:rFonts w:ascii="Arial"/>
                <w:sz w:val="12"/>
              </w:rPr>
              <w:t>per</w:t>
            </w:r>
            <w:r>
              <w:rPr>
                <w:rFonts w:ascii="Arial"/>
                <w:spacing w:val="-2"/>
                <w:sz w:val="12"/>
              </w:rPr>
              <w:t xml:space="preserve"> </w:t>
            </w:r>
            <w:r>
              <w:rPr>
                <w:rFonts w:ascii="Arial"/>
                <w:sz w:val="12"/>
              </w:rPr>
              <w:t>ML</w:t>
            </w:r>
            <w:r>
              <w:rPr>
                <w:rFonts w:ascii="Arial"/>
                <w:spacing w:val="-1"/>
                <w:sz w:val="12"/>
              </w:rPr>
              <w:t xml:space="preserve"> </w:t>
            </w:r>
            <w:r>
              <w:rPr>
                <w:rFonts w:ascii="Arial"/>
                <w:spacing w:val="-2"/>
                <w:sz w:val="12"/>
              </w:rPr>
              <w:t>Delive</w:t>
            </w:r>
          </w:p>
        </w:tc>
        <w:tc>
          <w:tcPr>
            <w:tcW w:w="962" w:type="dxa"/>
            <w:tcBorders>
              <w:left w:val="single" w:sz="6" w:space="0" w:color="D4D4D4"/>
              <w:bottom w:val="nil"/>
              <w:right w:val="single" w:sz="6" w:space="0" w:color="D4D4D4"/>
            </w:tcBorders>
          </w:tcPr>
          <w:p w14:paraId="1E271B2B" w14:textId="77777777" w:rsidR="00141B97" w:rsidRDefault="00911D63">
            <w:pPr>
              <w:pStyle w:val="TableParagraph"/>
              <w:spacing w:line="132" w:lineRule="exact"/>
              <w:ind w:right="48"/>
              <w:jc w:val="right"/>
              <w:rPr>
                <w:rFonts w:ascii="Arial"/>
                <w:sz w:val="12"/>
              </w:rPr>
            </w:pPr>
            <w:r>
              <w:rPr>
                <w:rFonts w:ascii="Arial"/>
                <w:spacing w:val="-2"/>
                <w:sz w:val="12"/>
              </w:rPr>
              <w:t>432.92</w:t>
            </w:r>
          </w:p>
        </w:tc>
        <w:tc>
          <w:tcPr>
            <w:tcW w:w="962" w:type="dxa"/>
            <w:tcBorders>
              <w:left w:val="single" w:sz="6" w:space="0" w:color="D4D4D4"/>
              <w:bottom w:val="nil"/>
              <w:right w:val="single" w:sz="6" w:space="0" w:color="D4D4D4"/>
            </w:tcBorders>
          </w:tcPr>
          <w:p w14:paraId="5D4A0299" w14:textId="77777777" w:rsidR="00141B97" w:rsidRDefault="00911D63">
            <w:pPr>
              <w:pStyle w:val="TableParagraph"/>
              <w:spacing w:line="132" w:lineRule="exact"/>
              <w:ind w:right="47"/>
              <w:jc w:val="right"/>
              <w:rPr>
                <w:rFonts w:ascii="Arial"/>
                <w:sz w:val="12"/>
              </w:rPr>
            </w:pPr>
            <w:r>
              <w:rPr>
                <w:rFonts w:ascii="Arial"/>
                <w:spacing w:val="-2"/>
                <w:sz w:val="12"/>
              </w:rPr>
              <w:t>424.51</w:t>
            </w:r>
          </w:p>
        </w:tc>
        <w:tc>
          <w:tcPr>
            <w:tcW w:w="1023" w:type="dxa"/>
            <w:tcBorders>
              <w:left w:val="single" w:sz="6" w:space="0" w:color="D4D4D4"/>
              <w:bottom w:val="nil"/>
              <w:right w:val="single" w:sz="6" w:space="0" w:color="D4D4D4"/>
            </w:tcBorders>
          </w:tcPr>
          <w:p w14:paraId="7B5282BB" w14:textId="77777777" w:rsidR="00141B97" w:rsidRDefault="00911D63">
            <w:pPr>
              <w:pStyle w:val="TableParagraph"/>
              <w:spacing w:line="132" w:lineRule="exact"/>
              <w:ind w:right="46"/>
              <w:jc w:val="right"/>
              <w:rPr>
                <w:rFonts w:ascii="Arial"/>
                <w:sz w:val="12"/>
              </w:rPr>
            </w:pPr>
            <w:r>
              <w:rPr>
                <w:rFonts w:ascii="Arial"/>
                <w:spacing w:val="-2"/>
                <w:sz w:val="12"/>
              </w:rPr>
              <w:t>416.27</w:t>
            </w:r>
          </w:p>
        </w:tc>
        <w:tc>
          <w:tcPr>
            <w:tcW w:w="1094" w:type="dxa"/>
            <w:tcBorders>
              <w:left w:val="single" w:sz="6" w:space="0" w:color="D4D4D4"/>
              <w:bottom w:val="nil"/>
              <w:right w:val="single" w:sz="6" w:space="0" w:color="D4D4D4"/>
            </w:tcBorders>
          </w:tcPr>
          <w:p w14:paraId="276E2BAF" w14:textId="77777777" w:rsidR="00141B97" w:rsidRDefault="00911D63">
            <w:pPr>
              <w:pStyle w:val="TableParagraph"/>
              <w:spacing w:line="132" w:lineRule="exact"/>
              <w:ind w:right="46"/>
              <w:jc w:val="right"/>
              <w:rPr>
                <w:rFonts w:ascii="Arial"/>
                <w:sz w:val="12"/>
              </w:rPr>
            </w:pPr>
            <w:r>
              <w:rPr>
                <w:rFonts w:ascii="Arial"/>
                <w:spacing w:val="-2"/>
                <w:sz w:val="12"/>
              </w:rPr>
              <w:t>408.19</w:t>
            </w:r>
          </w:p>
        </w:tc>
        <w:tc>
          <w:tcPr>
            <w:tcW w:w="962" w:type="dxa"/>
            <w:tcBorders>
              <w:left w:val="single" w:sz="6" w:space="0" w:color="D4D4D4"/>
              <w:bottom w:val="nil"/>
              <w:right w:val="single" w:sz="6" w:space="0" w:color="D4D4D4"/>
            </w:tcBorders>
          </w:tcPr>
          <w:p w14:paraId="488E93D8" w14:textId="77777777" w:rsidR="00141B97" w:rsidRDefault="00911D63">
            <w:pPr>
              <w:pStyle w:val="TableParagraph"/>
              <w:spacing w:line="132" w:lineRule="exact"/>
              <w:ind w:right="49"/>
              <w:jc w:val="right"/>
              <w:rPr>
                <w:rFonts w:ascii="Arial"/>
                <w:sz w:val="12"/>
              </w:rPr>
            </w:pPr>
            <w:r>
              <w:rPr>
                <w:rFonts w:ascii="Arial"/>
                <w:spacing w:val="-2"/>
                <w:sz w:val="12"/>
              </w:rPr>
              <w:t>400.26</w:t>
            </w:r>
          </w:p>
        </w:tc>
        <w:tc>
          <w:tcPr>
            <w:tcW w:w="1155" w:type="dxa"/>
            <w:tcBorders>
              <w:left w:val="single" w:sz="6" w:space="0" w:color="D4D4D4"/>
              <w:bottom w:val="nil"/>
              <w:right w:val="single" w:sz="6" w:space="0" w:color="D4D4D4"/>
            </w:tcBorders>
          </w:tcPr>
          <w:p w14:paraId="20CA92F2" w14:textId="77777777" w:rsidR="00141B97" w:rsidRDefault="00911D63">
            <w:pPr>
              <w:pStyle w:val="TableParagraph"/>
              <w:spacing w:line="132" w:lineRule="exact"/>
              <w:ind w:right="45"/>
              <w:jc w:val="right"/>
              <w:rPr>
                <w:rFonts w:ascii="Arial"/>
                <w:sz w:val="12"/>
              </w:rPr>
            </w:pPr>
            <w:r>
              <w:rPr>
                <w:rFonts w:ascii="Arial"/>
                <w:spacing w:val="-2"/>
                <w:sz w:val="12"/>
              </w:rPr>
              <w:t>392.49</w:t>
            </w:r>
          </w:p>
        </w:tc>
      </w:tr>
      <w:tr w:rsidR="00141B97" w14:paraId="28855EB0" w14:textId="77777777">
        <w:trPr>
          <w:trHeight w:val="171"/>
        </w:trPr>
        <w:tc>
          <w:tcPr>
            <w:tcW w:w="9623" w:type="dxa"/>
            <w:gridSpan w:val="8"/>
            <w:tcBorders>
              <w:top w:val="nil"/>
              <w:left w:val="nil"/>
              <w:bottom w:val="nil"/>
              <w:right w:val="nil"/>
            </w:tcBorders>
            <w:shd w:val="clear" w:color="auto" w:fill="CCFFCC"/>
          </w:tcPr>
          <w:p w14:paraId="0017B4F2" w14:textId="77777777" w:rsidR="00141B97" w:rsidRDefault="00911D63">
            <w:pPr>
              <w:pStyle w:val="TableParagraph"/>
              <w:spacing w:before="10"/>
              <w:ind w:left="31"/>
              <w:rPr>
                <w:rFonts w:ascii="Arial"/>
                <w:b/>
                <w:sz w:val="12"/>
              </w:rPr>
            </w:pPr>
            <w:r>
              <w:rPr>
                <w:rFonts w:ascii="Arial"/>
                <w:b/>
                <w:spacing w:val="-2"/>
                <w:sz w:val="12"/>
              </w:rPr>
              <w:t>Millewa</w:t>
            </w:r>
          </w:p>
        </w:tc>
      </w:tr>
      <w:tr w:rsidR="00141B97" w14:paraId="47F1C226" w14:textId="77777777">
        <w:trPr>
          <w:trHeight w:val="312"/>
        </w:trPr>
        <w:tc>
          <w:tcPr>
            <w:tcW w:w="2543" w:type="dxa"/>
            <w:tcBorders>
              <w:top w:val="nil"/>
              <w:left w:val="single" w:sz="6" w:space="0" w:color="D4D4D4"/>
              <w:bottom w:val="single" w:sz="6" w:space="0" w:color="D4D4D4"/>
              <w:right w:val="single" w:sz="6" w:space="0" w:color="D4D4D4"/>
            </w:tcBorders>
          </w:tcPr>
          <w:p w14:paraId="1F8E5750" w14:textId="77777777" w:rsidR="00141B97" w:rsidRDefault="00911D63">
            <w:pPr>
              <w:pStyle w:val="TableParagraph"/>
              <w:spacing w:before="78"/>
              <w:ind w:left="23"/>
              <w:rPr>
                <w:rFonts w:ascii="Arial" w:hAnsi="Arial"/>
                <w:sz w:val="12"/>
              </w:rPr>
            </w:pPr>
            <w:r>
              <w:rPr>
                <w:rFonts w:ascii="Arial" w:hAnsi="Arial"/>
                <w:sz w:val="12"/>
              </w:rPr>
              <w:t>Rural</w:t>
            </w:r>
            <w:r>
              <w:rPr>
                <w:rFonts w:ascii="Arial" w:hAnsi="Arial"/>
                <w:spacing w:val="10"/>
                <w:sz w:val="12"/>
              </w:rPr>
              <w:t xml:space="preserve"> </w:t>
            </w:r>
            <w:r>
              <w:rPr>
                <w:rFonts w:ascii="Arial" w:hAnsi="Arial"/>
                <w:sz w:val="12"/>
              </w:rPr>
              <w:t>access</w:t>
            </w:r>
            <w:r>
              <w:rPr>
                <w:rFonts w:ascii="Arial" w:hAnsi="Arial"/>
                <w:spacing w:val="17"/>
                <w:sz w:val="12"/>
              </w:rPr>
              <w:t xml:space="preserve"> </w:t>
            </w:r>
            <w:r>
              <w:rPr>
                <w:rFonts w:ascii="Arial" w:hAnsi="Arial"/>
                <w:sz w:val="12"/>
              </w:rPr>
              <w:t>–</w:t>
            </w:r>
            <w:r>
              <w:rPr>
                <w:rFonts w:ascii="Arial" w:hAnsi="Arial"/>
                <w:spacing w:val="12"/>
                <w:sz w:val="12"/>
              </w:rPr>
              <w:t xml:space="preserve"> </w:t>
            </w:r>
            <w:r>
              <w:rPr>
                <w:rFonts w:ascii="Arial" w:hAnsi="Arial"/>
                <w:spacing w:val="-2"/>
                <w:sz w:val="12"/>
              </w:rPr>
              <w:t>house</w:t>
            </w:r>
          </w:p>
        </w:tc>
        <w:tc>
          <w:tcPr>
            <w:tcW w:w="922" w:type="dxa"/>
            <w:tcBorders>
              <w:top w:val="nil"/>
              <w:left w:val="single" w:sz="6" w:space="0" w:color="D4D4D4"/>
              <w:bottom w:val="single" w:sz="6" w:space="0" w:color="D4D4D4"/>
              <w:right w:val="single" w:sz="6" w:space="0" w:color="D4D4D4"/>
            </w:tcBorders>
          </w:tcPr>
          <w:p w14:paraId="32B86337" w14:textId="77777777" w:rsidR="00141B97" w:rsidRDefault="00911D63">
            <w:pPr>
              <w:pStyle w:val="TableParagraph"/>
              <w:spacing w:line="135" w:lineRule="exact"/>
              <w:ind w:left="24"/>
              <w:rPr>
                <w:rFonts w:ascii="Arial"/>
                <w:sz w:val="12"/>
              </w:rPr>
            </w:pPr>
            <w:r>
              <w:rPr>
                <w:rFonts w:ascii="Arial"/>
                <w:sz w:val="12"/>
              </w:rPr>
              <w:t>$</w:t>
            </w:r>
            <w:r>
              <w:rPr>
                <w:rFonts w:ascii="Arial"/>
                <w:spacing w:val="-1"/>
                <w:sz w:val="12"/>
              </w:rPr>
              <w:t xml:space="preserve"> </w:t>
            </w:r>
            <w:r>
              <w:rPr>
                <w:rFonts w:ascii="Arial"/>
                <w:spacing w:val="-5"/>
                <w:sz w:val="12"/>
              </w:rPr>
              <w:t>per</w:t>
            </w:r>
          </w:p>
          <w:p w14:paraId="66C315F0" w14:textId="77777777" w:rsidR="00141B97" w:rsidRDefault="00911D63">
            <w:pPr>
              <w:pStyle w:val="TableParagraph"/>
              <w:spacing w:before="24" w:line="133" w:lineRule="exact"/>
              <w:ind w:left="24"/>
              <w:rPr>
                <w:rFonts w:ascii="Arial"/>
                <w:sz w:val="12"/>
              </w:rPr>
            </w:pPr>
            <w:r>
              <w:rPr>
                <w:rFonts w:ascii="Arial"/>
                <w:spacing w:val="-2"/>
                <w:sz w:val="12"/>
              </w:rPr>
              <w:t>connection</w:t>
            </w:r>
          </w:p>
        </w:tc>
        <w:tc>
          <w:tcPr>
            <w:tcW w:w="962" w:type="dxa"/>
            <w:tcBorders>
              <w:top w:val="nil"/>
              <w:left w:val="single" w:sz="6" w:space="0" w:color="D4D4D4"/>
              <w:bottom w:val="single" w:sz="6" w:space="0" w:color="D4D4D4"/>
              <w:right w:val="single" w:sz="6" w:space="0" w:color="D4D4D4"/>
            </w:tcBorders>
          </w:tcPr>
          <w:p w14:paraId="652D73AC" w14:textId="77777777" w:rsidR="00141B97" w:rsidRDefault="00141B97">
            <w:pPr>
              <w:pStyle w:val="TableParagraph"/>
              <w:spacing w:before="12"/>
              <w:rPr>
                <w:sz w:val="12"/>
              </w:rPr>
            </w:pPr>
          </w:p>
          <w:p w14:paraId="1BBB855F" w14:textId="77777777" w:rsidR="00141B97" w:rsidRDefault="00911D63">
            <w:pPr>
              <w:pStyle w:val="TableParagraph"/>
              <w:spacing w:line="133" w:lineRule="exact"/>
              <w:ind w:right="48"/>
              <w:jc w:val="right"/>
              <w:rPr>
                <w:rFonts w:ascii="Arial"/>
                <w:sz w:val="12"/>
              </w:rPr>
            </w:pPr>
            <w:r>
              <w:rPr>
                <w:rFonts w:ascii="Arial"/>
                <w:spacing w:val="-2"/>
                <w:sz w:val="12"/>
              </w:rPr>
              <w:t>514.58</w:t>
            </w:r>
          </w:p>
        </w:tc>
        <w:tc>
          <w:tcPr>
            <w:tcW w:w="962" w:type="dxa"/>
            <w:tcBorders>
              <w:top w:val="nil"/>
              <w:left w:val="single" w:sz="6" w:space="0" w:color="D4D4D4"/>
              <w:bottom w:val="single" w:sz="6" w:space="0" w:color="D4D4D4"/>
              <w:right w:val="single" w:sz="6" w:space="0" w:color="D4D4D4"/>
            </w:tcBorders>
          </w:tcPr>
          <w:p w14:paraId="03F858F8" w14:textId="77777777" w:rsidR="00141B97" w:rsidRDefault="00141B97">
            <w:pPr>
              <w:pStyle w:val="TableParagraph"/>
              <w:spacing w:before="12"/>
              <w:rPr>
                <w:sz w:val="12"/>
              </w:rPr>
            </w:pPr>
          </w:p>
          <w:p w14:paraId="6979D232" w14:textId="77777777" w:rsidR="00141B97" w:rsidRDefault="00911D63">
            <w:pPr>
              <w:pStyle w:val="TableParagraph"/>
              <w:spacing w:line="133" w:lineRule="exact"/>
              <w:ind w:right="47"/>
              <w:jc w:val="right"/>
              <w:rPr>
                <w:rFonts w:ascii="Arial"/>
                <w:sz w:val="12"/>
              </w:rPr>
            </w:pPr>
            <w:r>
              <w:rPr>
                <w:rFonts w:ascii="Arial"/>
                <w:spacing w:val="-2"/>
                <w:sz w:val="12"/>
              </w:rPr>
              <w:t>502.02</w:t>
            </w:r>
          </w:p>
        </w:tc>
        <w:tc>
          <w:tcPr>
            <w:tcW w:w="1023" w:type="dxa"/>
            <w:tcBorders>
              <w:top w:val="nil"/>
              <w:left w:val="single" w:sz="6" w:space="0" w:color="D4D4D4"/>
              <w:bottom w:val="single" w:sz="6" w:space="0" w:color="D4D4D4"/>
              <w:right w:val="single" w:sz="6" w:space="0" w:color="D4D4D4"/>
            </w:tcBorders>
          </w:tcPr>
          <w:p w14:paraId="0181B989" w14:textId="77777777" w:rsidR="00141B97" w:rsidRDefault="00141B97">
            <w:pPr>
              <w:pStyle w:val="TableParagraph"/>
              <w:spacing w:before="12"/>
              <w:rPr>
                <w:sz w:val="12"/>
              </w:rPr>
            </w:pPr>
          </w:p>
          <w:p w14:paraId="68B7696D" w14:textId="77777777" w:rsidR="00141B97" w:rsidRDefault="00911D63">
            <w:pPr>
              <w:pStyle w:val="TableParagraph"/>
              <w:spacing w:line="133" w:lineRule="exact"/>
              <w:ind w:right="47"/>
              <w:jc w:val="right"/>
              <w:rPr>
                <w:rFonts w:ascii="Arial"/>
                <w:sz w:val="12"/>
              </w:rPr>
            </w:pPr>
            <w:r>
              <w:rPr>
                <w:rFonts w:ascii="Arial"/>
                <w:spacing w:val="-2"/>
                <w:sz w:val="12"/>
              </w:rPr>
              <w:t>489.77</w:t>
            </w:r>
          </w:p>
        </w:tc>
        <w:tc>
          <w:tcPr>
            <w:tcW w:w="1094" w:type="dxa"/>
            <w:tcBorders>
              <w:top w:val="nil"/>
              <w:left w:val="single" w:sz="6" w:space="0" w:color="D4D4D4"/>
              <w:bottom w:val="single" w:sz="6" w:space="0" w:color="D4D4D4"/>
              <w:right w:val="single" w:sz="6" w:space="0" w:color="D4D4D4"/>
            </w:tcBorders>
          </w:tcPr>
          <w:p w14:paraId="5F545E54" w14:textId="77777777" w:rsidR="00141B97" w:rsidRDefault="00141B97">
            <w:pPr>
              <w:pStyle w:val="TableParagraph"/>
              <w:spacing w:before="12"/>
              <w:rPr>
                <w:sz w:val="12"/>
              </w:rPr>
            </w:pPr>
          </w:p>
          <w:p w14:paraId="42B398C1" w14:textId="77777777" w:rsidR="00141B97" w:rsidRDefault="00911D63">
            <w:pPr>
              <w:pStyle w:val="TableParagraph"/>
              <w:spacing w:line="133" w:lineRule="exact"/>
              <w:ind w:right="46"/>
              <w:jc w:val="right"/>
              <w:rPr>
                <w:rFonts w:ascii="Arial"/>
                <w:sz w:val="12"/>
              </w:rPr>
            </w:pPr>
            <w:r>
              <w:rPr>
                <w:rFonts w:ascii="Arial"/>
                <w:spacing w:val="-2"/>
                <w:sz w:val="12"/>
              </w:rPr>
              <w:t>477.81</w:t>
            </w:r>
          </w:p>
        </w:tc>
        <w:tc>
          <w:tcPr>
            <w:tcW w:w="962" w:type="dxa"/>
            <w:tcBorders>
              <w:top w:val="nil"/>
              <w:left w:val="single" w:sz="6" w:space="0" w:color="D4D4D4"/>
              <w:bottom w:val="single" w:sz="6" w:space="0" w:color="D4D4D4"/>
              <w:right w:val="single" w:sz="6" w:space="0" w:color="D4D4D4"/>
            </w:tcBorders>
          </w:tcPr>
          <w:p w14:paraId="7EF7EE97" w14:textId="77777777" w:rsidR="00141B97" w:rsidRDefault="00141B97">
            <w:pPr>
              <w:pStyle w:val="TableParagraph"/>
              <w:spacing w:before="12"/>
              <w:rPr>
                <w:sz w:val="12"/>
              </w:rPr>
            </w:pPr>
          </w:p>
          <w:p w14:paraId="088905D4" w14:textId="77777777" w:rsidR="00141B97" w:rsidRDefault="00911D63">
            <w:pPr>
              <w:pStyle w:val="TableParagraph"/>
              <w:spacing w:line="133" w:lineRule="exact"/>
              <w:ind w:right="49"/>
              <w:jc w:val="right"/>
              <w:rPr>
                <w:rFonts w:ascii="Arial"/>
                <w:sz w:val="12"/>
              </w:rPr>
            </w:pPr>
            <w:r>
              <w:rPr>
                <w:rFonts w:ascii="Arial"/>
                <w:spacing w:val="-2"/>
                <w:sz w:val="12"/>
              </w:rPr>
              <w:t>466.15</w:t>
            </w:r>
          </w:p>
        </w:tc>
        <w:tc>
          <w:tcPr>
            <w:tcW w:w="1155" w:type="dxa"/>
            <w:tcBorders>
              <w:top w:val="nil"/>
              <w:left w:val="single" w:sz="6" w:space="0" w:color="D4D4D4"/>
              <w:bottom w:val="single" w:sz="6" w:space="0" w:color="D4D4D4"/>
              <w:right w:val="single" w:sz="6" w:space="0" w:color="D4D4D4"/>
            </w:tcBorders>
          </w:tcPr>
          <w:p w14:paraId="0BB149F2" w14:textId="77777777" w:rsidR="00141B97" w:rsidRDefault="00141B97">
            <w:pPr>
              <w:pStyle w:val="TableParagraph"/>
              <w:spacing w:before="12"/>
              <w:rPr>
                <w:sz w:val="12"/>
              </w:rPr>
            </w:pPr>
          </w:p>
          <w:p w14:paraId="2B6E77AC" w14:textId="77777777" w:rsidR="00141B97" w:rsidRDefault="00911D63">
            <w:pPr>
              <w:pStyle w:val="TableParagraph"/>
              <w:spacing w:line="133" w:lineRule="exact"/>
              <w:ind w:right="45"/>
              <w:jc w:val="right"/>
              <w:rPr>
                <w:rFonts w:ascii="Arial"/>
                <w:sz w:val="12"/>
              </w:rPr>
            </w:pPr>
            <w:r>
              <w:rPr>
                <w:rFonts w:ascii="Arial"/>
                <w:spacing w:val="-2"/>
                <w:sz w:val="12"/>
              </w:rPr>
              <w:t>454.77</w:t>
            </w:r>
          </w:p>
        </w:tc>
      </w:tr>
      <w:tr w:rsidR="00141B97" w14:paraId="3EC45477"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20B1FC48" w14:textId="77777777" w:rsidR="00141B97" w:rsidRDefault="00911D63">
            <w:pPr>
              <w:pStyle w:val="TableParagraph"/>
              <w:spacing w:line="127" w:lineRule="exact"/>
              <w:ind w:left="23"/>
              <w:rPr>
                <w:rFonts w:ascii="Arial"/>
                <w:sz w:val="12"/>
              </w:rPr>
            </w:pPr>
            <w:r>
              <w:rPr>
                <w:rFonts w:ascii="Arial"/>
                <w:sz w:val="12"/>
              </w:rPr>
              <w:t>Rural</w:t>
            </w:r>
            <w:r>
              <w:rPr>
                <w:rFonts w:ascii="Arial"/>
                <w:spacing w:val="10"/>
                <w:sz w:val="12"/>
              </w:rPr>
              <w:t xml:space="preserve"> </w:t>
            </w:r>
            <w:r>
              <w:rPr>
                <w:rFonts w:ascii="Arial"/>
                <w:sz w:val="12"/>
              </w:rPr>
              <w:t>access</w:t>
            </w:r>
            <w:r>
              <w:rPr>
                <w:rFonts w:ascii="Arial"/>
                <w:spacing w:val="18"/>
                <w:sz w:val="12"/>
              </w:rPr>
              <w:t xml:space="preserve"> </w:t>
            </w:r>
            <w:r>
              <w:rPr>
                <w:rFonts w:ascii="Arial"/>
                <w:sz w:val="12"/>
              </w:rPr>
              <w:t>-</w:t>
            </w:r>
            <w:r>
              <w:rPr>
                <w:rFonts w:ascii="Arial"/>
                <w:spacing w:val="6"/>
                <w:sz w:val="12"/>
              </w:rPr>
              <w:t xml:space="preserve"> </w:t>
            </w:r>
            <w:r>
              <w:rPr>
                <w:rFonts w:ascii="Arial"/>
                <w:spacing w:val="-2"/>
                <w:sz w:val="12"/>
              </w:rPr>
              <w:t>scrub</w:t>
            </w:r>
          </w:p>
        </w:tc>
        <w:tc>
          <w:tcPr>
            <w:tcW w:w="922" w:type="dxa"/>
            <w:tcBorders>
              <w:top w:val="single" w:sz="6" w:space="0" w:color="D4D4D4"/>
              <w:left w:val="single" w:sz="6" w:space="0" w:color="D4D4D4"/>
              <w:bottom w:val="single" w:sz="6" w:space="0" w:color="D4D4D4"/>
              <w:right w:val="single" w:sz="6" w:space="0" w:color="D4D4D4"/>
            </w:tcBorders>
          </w:tcPr>
          <w:p w14:paraId="67280CC7" w14:textId="77777777" w:rsidR="00141B97" w:rsidRDefault="00911D63">
            <w:pPr>
              <w:pStyle w:val="TableParagraph"/>
              <w:spacing w:line="127" w:lineRule="exact"/>
              <w:ind w:left="24"/>
              <w:rPr>
                <w:rFonts w:ascii="Arial"/>
                <w:sz w:val="12"/>
              </w:rPr>
            </w:pPr>
            <w:r>
              <w:rPr>
                <w:rFonts w:ascii="Arial"/>
                <w:spacing w:val="-4"/>
                <w:sz w:val="12"/>
              </w:rPr>
              <w:t>$/Ha</w:t>
            </w:r>
          </w:p>
        </w:tc>
        <w:tc>
          <w:tcPr>
            <w:tcW w:w="962" w:type="dxa"/>
            <w:tcBorders>
              <w:top w:val="single" w:sz="6" w:space="0" w:color="D4D4D4"/>
              <w:left w:val="single" w:sz="6" w:space="0" w:color="D4D4D4"/>
              <w:bottom w:val="single" w:sz="6" w:space="0" w:color="D4D4D4"/>
              <w:right w:val="single" w:sz="6" w:space="0" w:color="D4D4D4"/>
            </w:tcBorders>
          </w:tcPr>
          <w:p w14:paraId="067F1818" w14:textId="77777777" w:rsidR="00141B97" w:rsidRDefault="00911D63">
            <w:pPr>
              <w:pStyle w:val="TableParagraph"/>
              <w:spacing w:line="127" w:lineRule="exact"/>
              <w:ind w:right="51"/>
              <w:jc w:val="right"/>
              <w:rPr>
                <w:rFonts w:ascii="Arial"/>
                <w:sz w:val="12"/>
              </w:rPr>
            </w:pPr>
            <w:r>
              <w:rPr>
                <w:rFonts w:ascii="Arial"/>
                <w:spacing w:val="-4"/>
                <w:sz w:val="12"/>
              </w:rPr>
              <w:t>0.59</w:t>
            </w:r>
          </w:p>
        </w:tc>
        <w:tc>
          <w:tcPr>
            <w:tcW w:w="962" w:type="dxa"/>
            <w:tcBorders>
              <w:top w:val="single" w:sz="6" w:space="0" w:color="D4D4D4"/>
              <w:left w:val="single" w:sz="6" w:space="0" w:color="D4D4D4"/>
              <w:bottom w:val="single" w:sz="6" w:space="0" w:color="D4D4D4"/>
              <w:right w:val="single" w:sz="6" w:space="0" w:color="D4D4D4"/>
            </w:tcBorders>
          </w:tcPr>
          <w:p w14:paraId="54CC167A" w14:textId="77777777" w:rsidR="00141B97" w:rsidRDefault="00911D63">
            <w:pPr>
              <w:pStyle w:val="TableParagraph"/>
              <w:spacing w:line="127" w:lineRule="exact"/>
              <w:ind w:right="50"/>
              <w:jc w:val="right"/>
              <w:rPr>
                <w:rFonts w:ascii="Arial"/>
                <w:sz w:val="12"/>
              </w:rPr>
            </w:pPr>
            <w:r>
              <w:rPr>
                <w:rFonts w:ascii="Arial"/>
                <w:spacing w:val="-4"/>
                <w:sz w:val="12"/>
              </w:rPr>
              <w:t>0.59</w:t>
            </w:r>
          </w:p>
        </w:tc>
        <w:tc>
          <w:tcPr>
            <w:tcW w:w="1023" w:type="dxa"/>
            <w:tcBorders>
              <w:top w:val="single" w:sz="6" w:space="0" w:color="D4D4D4"/>
              <w:left w:val="single" w:sz="6" w:space="0" w:color="D4D4D4"/>
              <w:bottom w:val="single" w:sz="6" w:space="0" w:color="D4D4D4"/>
              <w:right w:val="single" w:sz="6" w:space="0" w:color="D4D4D4"/>
            </w:tcBorders>
          </w:tcPr>
          <w:p w14:paraId="34872448" w14:textId="77777777" w:rsidR="00141B97" w:rsidRDefault="00911D63">
            <w:pPr>
              <w:pStyle w:val="TableParagraph"/>
              <w:spacing w:line="127" w:lineRule="exact"/>
              <w:ind w:right="50"/>
              <w:jc w:val="right"/>
              <w:rPr>
                <w:rFonts w:ascii="Arial"/>
                <w:sz w:val="12"/>
              </w:rPr>
            </w:pPr>
            <w:r>
              <w:rPr>
                <w:rFonts w:ascii="Arial"/>
                <w:spacing w:val="-4"/>
                <w:sz w:val="12"/>
              </w:rPr>
              <w:t>0.60</w:t>
            </w:r>
          </w:p>
        </w:tc>
        <w:tc>
          <w:tcPr>
            <w:tcW w:w="1094" w:type="dxa"/>
            <w:tcBorders>
              <w:top w:val="single" w:sz="6" w:space="0" w:color="D4D4D4"/>
              <w:left w:val="single" w:sz="6" w:space="0" w:color="D4D4D4"/>
              <w:bottom w:val="single" w:sz="6" w:space="0" w:color="D4D4D4"/>
              <w:right w:val="single" w:sz="6" w:space="0" w:color="D4D4D4"/>
            </w:tcBorders>
          </w:tcPr>
          <w:p w14:paraId="3F87AF74" w14:textId="77777777" w:rsidR="00141B97" w:rsidRDefault="00911D63">
            <w:pPr>
              <w:pStyle w:val="TableParagraph"/>
              <w:spacing w:line="127" w:lineRule="exact"/>
              <w:ind w:right="49"/>
              <w:jc w:val="right"/>
              <w:rPr>
                <w:rFonts w:ascii="Arial"/>
                <w:sz w:val="12"/>
              </w:rPr>
            </w:pPr>
            <w:r>
              <w:rPr>
                <w:rFonts w:ascii="Arial"/>
                <w:spacing w:val="-4"/>
                <w:sz w:val="12"/>
              </w:rPr>
              <w:t>0.60</w:t>
            </w:r>
          </w:p>
        </w:tc>
        <w:tc>
          <w:tcPr>
            <w:tcW w:w="962" w:type="dxa"/>
            <w:tcBorders>
              <w:top w:val="single" w:sz="6" w:space="0" w:color="D4D4D4"/>
              <w:left w:val="single" w:sz="6" w:space="0" w:color="D4D4D4"/>
              <w:bottom w:val="single" w:sz="6" w:space="0" w:color="D4D4D4"/>
              <w:right w:val="single" w:sz="6" w:space="0" w:color="D4D4D4"/>
            </w:tcBorders>
          </w:tcPr>
          <w:p w14:paraId="5362D20D" w14:textId="77777777" w:rsidR="00141B97" w:rsidRDefault="00911D63">
            <w:pPr>
              <w:pStyle w:val="TableParagraph"/>
              <w:spacing w:line="127" w:lineRule="exact"/>
              <w:ind w:right="49"/>
              <w:jc w:val="right"/>
              <w:rPr>
                <w:rFonts w:ascii="Arial"/>
                <w:sz w:val="12"/>
              </w:rPr>
            </w:pPr>
            <w:r>
              <w:rPr>
                <w:rFonts w:ascii="Arial"/>
                <w:spacing w:val="-4"/>
                <w:sz w:val="12"/>
              </w:rPr>
              <w:t>0.61</w:t>
            </w:r>
          </w:p>
        </w:tc>
        <w:tc>
          <w:tcPr>
            <w:tcW w:w="1155" w:type="dxa"/>
            <w:tcBorders>
              <w:top w:val="single" w:sz="6" w:space="0" w:color="D4D4D4"/>
              <w:left w:val="single" w:sz="6" w:space="0" w:color="D4D4D4"/>
              <w:bottom w:val="single" w:sz="6" w:space="0" w:color="D4D4D4"/>
              <w:right w:val="single" w:sz="6" w:space="0" w:color="D4D4D4"/>
            </w:tcBorders>
          </w:tcPr>
          <w:p w14:paraId="11211F8E" w14:textId="77777777" w:rsidR="00141B97" w:rsidRDefault="00911D63">
            <w:pPr>
              <w:pStyle w:val="TableParagraph"/>
              <w:spacing w:line="127" w:lineRule="exact"/>
              <w:ind w:right="48"/>
              <w:jc w:val="right"/>
              <w:rPr>
                <w:rFonts w:ascii="Arial"/>
                <w:sz w:val="12"/>
              </w:rPr>
            </w:pPr>
            <w:r>
              <w:rPr>
                <w:rFonts w:ascii="Arial"/>
                <w:spacing w:val="-4"/>
                <w:sz w:val="12"/>
              </w:rPr>
              <w:t>0.61</w:t>
            </w:r>
          </w:p>
        </w:tc>
      </w:tr>
      <w:tr w:rsidR="00141B97" w14:paraId="0134D483" w14:textId="77777777">
        <w:trPr>
          <w:trHeight w:val="147"/>
        </w:trPr>
        <w:tc>
          <w:tcPr>
            <w:tcW w:w="2543" w:type="dxa"/>
            <w:tcBorders>
              <w:top w:val="single" w:sz="6" w:space="0" w:color="D4D4D4"/>
              <w:left w:val="single" w:sz="6" w:space="0" w:color="D4D4D4"/>
              <w:bottom w:val="single" w:sz="6" w:space="0" w:color="D4D4D4"/>
              <w:right w:val="single" w:sz="6" w:space="0" w:color="D4D4D4"/>
            </w:tcBorders>
          </w:tcPr>
          <w:p w14:paraId="0CE936D2" w14:textId="77777777" w:rsidR="00141B97" w:rsidRDefault="00911D63">
            <w:pPr>
              <w:pStyle w:val="TableParagraph"/>
              <w:spacing w:line="127" w:lineRule="exact"/>
              <w:ind w:left="23"/>
              <w:rPr>
                <w:rFonts w:ascii="Arial"/>
                <w:sz w:val="12"/>
              </w:rPr>
            </w:pPr>
            <w:r>
              <w:rPr>
                <w:rFonts w:ascii="Arial"/>
                <w:sz w:val="12"/>
              </w:rPr>
              <w:t>Rural</w:t>
            </w:r>
            <w:r>
              <w:rPr>
                <w:rFonts w:ascii="Arial"/>
                <w:spacing w:val="10"/>
                <w:sz w:val="12"/>
              </w:rPr>
              <w:t xml:space="preserve"> </w:t>
            </w:r>
            <w:r>
              <w:rPr>
                <w:rFonts w:ascii="Arial"/>
                <w:sz w:val="12"/>
              </w:rPr>
              <w:t>access</w:t>
            </w:r>
            <w:r>
              <w:rPr>
                <w:rFonts w:ascii="Arial"/>
                <w:spacing w:val="18"/>
                <w:sz w:val="12"/>
              </w:rPr>
              <w:t xml:space="preserve"> </w:t>
            </w:r>
            <w:r>
              <w:rPr>
                <w:rFonts w:ascii="Arial"/>
                <w:sz w:val="12"/>
              </w:rPr>
              <w:t>-</w:t>
            </w:r>
            <w:r>
              <w:rPr>
                <w:rFonts w:ascii="Arial"/>
                <w:spacing w:val="6"/>
                <w:sz w:val="12"/>
              </w:rPr>
              <w:t xml:space="preserve"> </w:t>
            </w:r>
            <w:r>
              <w:rPr>
                <w:rFonts w:ascii="Arial"/>
                <w:spacing w:val="-2"/>
                <w:sz w:val="12"/>
              </w:rPr>
              <w:t>stocked</w:t>
            </w:r>
          </w:p>
        </w:tc>
        <w:tc>
          <w:tcPr>
            <w:tcW w:w="922" w:type="dxa"/>
            <w:tcBorders>
              <w:top w:val="single" w:sz="6" w:space="0" w:color="D4D4D4"/>
              <w:left w:val="single" w:sz="6" w:space="0" w:color="D4D4D4"/>
              <w:bottom w:val="single" w:sz="6" w:space="0" w:color="D4D4D4"/>
              <w:right w:val="single" w:sz="6" w:space="0" w:color="D4D4D4"/>
            </w:tcBorders>
          </w:tcPr>
          <w:p w14:paraId="69E8C4BE" w14:textId="77777777" w:rsidR="00141B97" w:rsidRDefault="00911D63">
            <w:pPr>
              <w:pStyle w:val="TableParagraph"/>
              <w:spacing w:line="127" w:lineRule="exact"/>
              <w:ind w:left="24"/>
              <w:rPr>
                <w:rFonts w:ascii="Arial"/>
                <w:sz w:val="12"/>
              </w:rPr>
            </w:pPr>
            <w:r>
              <w:rPr>
                <w:rFonts w:ascii="Arial"/>
                <w:spacing w:val="-4"/>
                <w:sz w:val="12"/>
              </w:rPr>
              <w:t>$/Ha</w:t>
            </w:r>
          </w:p>
        </w:tc>
        <w:tc>
          <w:tcPr>
            <w:tcW w:w="962" w:type="dxa"/>
            <w:tcBorders>
              <w:top w:val="single" w:sz="6" w:space="0" w:color="D4D4D4"/>
              <w:left w:val="single" w:sz="6" w:space="0" w:color="D4D4D4"/>
              <w:bottom w:val="single" w:sz="6" w:space="0" w:color="D4D4D4"/>
              <w:right w:val="single" w:sz="6" w:space="0" w:color="D4D4D4"/>
            </w:tcBorders>
          </w:tcPr>
          <w:p w14:paraId="21D09E8B" w14:textId="77777777" w:rsidR="00141B97" w:rsidRDefault="00911D63">
            <w:pPr>
              <w:pStyle w:val="TableParagraph"/>
              <w:spacing w:line="127" w:lineRule="exact"/>
              <w:ind w:right="51"/>
              <w:jc w:val="right"/>
              <w:rPr>
                <w:rFonts w:ascii="Arial"/>
                <w:sz w:val="12"/>
              </w:rPr>
            </w:pPr>
            <w:r>
              <w:rPr>
                <w:rFonts w:ascii="Arial"/>
                <w:spacing w:val="-4"/>
                <w:sz w:val="12"/>
              </w:rPr>
              <w:t>2.44</w:t>
            </w:r>
          </w:p>
        </w:tc>
        <w:tc>
          <w:tcPr>
            <w:tcW w:w="962" w:type="dxa"/>
            <w:tcBorders>
              <w:top w:val="single" w:sz="6" w:space="0" w:color="D4D4D4"/>
              <w:left w:val="single" w:sz="6" w:space="0" w:color="D4D4D4"/>
              <w:bottom w:val="single" w:sz="6" w:space="0" w:color="D4D4D4"/>
              <w:right w:val="single" w:sz="6" w:space="0" w:color="D4D4D4"/>
            </w:tcBorders>
          </w:tcPr>
          <w:p w14:paraId="5B5EF517" w14:textId="77777777" w:rsidR="00141B97" w:rsidRDefault="00911D63">
            <w:pPr>
              <w:pStyle w:val="TableParagraph"/>
              <w:spacing w:line="127" w:lineRule="exact"/>
              <w:ind w:right="50"/>
              <w:jc w:val="right"/>
              <w:rPr>
                <w:rFonts w:ascii="Arial"/>
                <w:sz w:val="12"/>
              </w:rPr>
            </w:pPr>
            <w:r>
              <w:rPr>
                <w:rFonts w:ascii="Arial"/>
                <w:spacing w:val="-4"/>
                <w:sz w:val="12"/>
              </w:rPr>
              <w:t>2.41</w:t>
            </w:r>
          </w:p>
        </w:tc>
        <w:tc>
          <w:tcPr>
            <w:tcW w:w="1023" w:type="dxa"/>
            <w:tcBorders>
              <w:top w:val="single" w:sz="6" w:space="0" w:color="D4D4D4"/>
              <w:left w:val="single" w:sz="6" w:space="0" w:color="D4D4D4"/>
              <w:bottom w:val="single" w:sz="6" w:space="0" w:color="D4D4D4"/>
              <w:right w:val="single" w:sz="6" w:space="0" w:color="D4D4D4"/>
            </w:tcBorders>
          </w:tcPr>
          <w:p w14:paraId="64ED4ED7" w14:textId="77777777" w:rsidR="00141B97" w:rsidRDefault="00911D63">
            <w:pPr>
              <w:pStyle w:val="TableParagraph"/>
              <w:spacing w:line="127" w:lineRule="exact"/>
              <w:ind w:right="49"/>
              <w:jc w:val="right"/>
              <w:rPr>
                <w:rFonts w:ascii="Arial"/>
                <w:sz w:val="12"/>
              </w:rPr>
            </w:pPr>
            <w:r>
              <w:rPr>
                <w:rFonts w:ascii="Arial"/>
                <w:spacing w:val="-4"/>
                <w:sz w:val="12"/>
              </w:rPr>
              <w:t>2.38</w:t>
            </w:r>
          </w:p>
        </w:tc>
        <w:tc>
          <w:tcPr>
            <w:tcW w:w="1094" w:type="dxa"/>
            <w:tcBorders>
              <w:top w:val="single" w:sz="6" w:space="0" w:color="D4D4D4"/>
              <w:left w:val="single" w:sz="6" w:space="0" w:color="D4D4D4"/>
              <w:bottom w:val="single" w:sz="6" w:space="0" w:color="D4D4D4"/>
              <w:right w:val="single" w:sz="6" w:space="0" w:color="D4D4D4"/>
            </w:tcBorders>
          </w:tcPr>
          <w:p w14:paraId="7EF685FD" w14:textId="77777777" w:rsidR="00141B97" w:rsidRDefault="00911D63">
            <w:pPr>
              <w:pStyle w:val="TableParagraph"/>
              <w:spacing w:line="127" w:lineRule="exact"/>
              <w:ind w:right="49"/>
              <w:jc w:val="right"/>
              <w:rPr>
                <w:rFonts w:ascii="Arial"/>
                <w:sz w:val="12"/>
              </w:rPr>
            </w:pPr>
            <w:r>
              <w:rPr>
                <w:rFonts w:ascii="Arial"/>
                <w:spacing w:val="-4"/>
                <w:sz w:val="12"/>
              </w:rPr>
              <w:t>2.35</w:t>
            </w:r>
          </w:p>
        </w:tc>
        <w:tc>
          <w:tcPr>
            <w:tcW w:w="962" w:type="dxa"/>
            <w:tcBorders>
              <w:top w:val="single" w:sz="6" w:space="0" w:color="D4D4D4"/>
              <w:left w:val="single" w:sz="6" w:space="0" w:color="D4D4D4"/>
              <w:bottom w:val="single" w:sz="6" w:space="0" w:color="D4D4D4"/>
              <w:right w:val="single" w:sz="6" w:space="0" w:color="D4D4D4"/>
            </w:tcBorders>
          </w:tcPr>
          <w:p w14:paraId="527F2CBA" w14:textId="77777777" w:rsidR="00141B97" w:rsidRDefault="00911D63">
            <w:pPr>
              <w:pStyle w:val="TableParagraph"/>
              <w:spacing w:line="127" w:lineRule="exact"/>
              <w:ind w:right="49"/>
              <w:jc w:val="right"/>
              <w:rPr>
                <w:rFonts w:ascii="Arial"/>
                <w:sz w:val="12"/>
              </w:rPr>
            </w:pPr>
            <w:r>
              <w:rPr>
                <w:rFonts w:ascii="Arial"/>
                <w:spacing w:val="-4"/>
                <w:sz w:val="12"/>
              </w:rPr>
              <w:t>2.32</w:t>
            </w:r>
          </w:p>
        </w:tc>
        <w:tc>
          <w:tcPr>
            <w:tcW w:w="1155" w:type="dxa"/>
            <w:tcBorders>
              <w:top w:val="single" w:sz="6" w:space="0" w:color="D4D4D4"/>
              <w:left w:val="single" w:sz="6" w:space="0" w:color="D4D4D4"/>
              <w:bottom w:val="single" w:sz="6" w:space="0" w:color="D4D4D4"/>
              <w:right w:val="single" w:sz="6" w:space="0" w:color="D4D4D4"/>
            </w:tcBorders>
          </w:tcPr>
          <w:p w14:paraId="73E3B21C" w14:textId="77777777" w:rsidR="00141B97" w:rsidRDefault="00911D63">
            <w:pPr>
              <w:pStyle w:val="TableParagraph"/>
              <w:spacing w:line="127" w:lineRule="exact"/>
              <w:ind w:right="48"/>
              <w:jc w:val="right"/>
              <w:rPr>
                <w:rFonts w:ascii="Arial"/>
                <w:sz w:val="12"/>
              </w:rPr>
            </w:pPr>
            <w:r>
              <w:rPr>
                <w:rFonts w:ascii="Arial"/>
                <w:spacing w:val="-4"/>
                <w:sz w:val="12"/>
              </w:rPr>
              <w:t>2.29</w:t>
            </w:r>
          </w:p>
        </w:tc>
      </w:tr>
      <w:tr w:rsidR="00141B97" w14:paraId="52E0B4EF" w14:textId="77777777">
        <w:trPr>
          <w:trHeight w:val="146"/>
        </w:trPr>
        <w:tc>
          <w:tcPr>
            <w:tcW w:w="2543" w:type="dxa"/>
            <w:tcBorders>
              <w:top w:val="single" w:sz="6" w:space="0" w:color="D4D4D4"/>
              <w:left w:val="single" w:sz="6" w:space="0" w:color="D4D4D4"/>
              <w:bottom w:val="single" w:sz="6" w:space="0" w:color="D4D4D4"/>
              <w:right w:val="single" w:sz="6" w:space="0" w:color="D4D4D4"/>
            </w:tcBorders>
          </w:tcPr>
          <w:p w14:paraId="62C94E46" w14:textId="77777777" w:rsidR="00141B97" w:rsidRDefault="00911D63">
            <w:pPr>
              <w:pStyle w:val="TableParagraph"/>
              <w:spacing w:line="127" w:lineRule="exact"/>
              <w:ind w:left="23"/>
              <w:rPr>
                <w:rFonts w:ascii="Arial"/>
                <w:sz w:val="12"/>
              </w:rPr>
            </w:pPr>
            <w:r>
              <w:rPr>
                <w:rFonts w:ascii="Arial"/>
                <w:sz w:val="12"/>
              </w:rPr>
              <w:t>Delivery</w:t>
            </w:r>
            <w:r>
              <w:rPr>
                <w:rFonts w:ascii="Arial"/>
                <w:spacing w:val="-10"/>
                <w:sz w:val="12"/>
              </w:rPr>
              <w:t xml:space="preserve"> </w:t>
            </w:r>
            <w:r>
              <w:rPr>
                <w:rFonts w:ascii="Arial"/>
                <w:sz w:val="12"/>
              </w:rPr>
              <w:t>-</w:t>
            </w:r>
            <w:r>
              <w:rPr>
                <w:rFonts w:ascii="Arial"/>
                <w:spacing w:val="1"/>
                <w:sz w:val="12"/>
              </w:rPr>
              <w:t xml:space="preserve"> </w:t>
            </w:r>
            <w:r>
              <w:rPr>
                <w:rFonts w:ascii="Arial"/>
                <w:spacing w:val="-2"/>
                <w:sz w:val="12"/>
              </w:rPr>
              <w:t>rural</w:t>
            </w:r>
          </w:p>
        </w:tc>
        <w:tc>
          <w:tcPr>
            <w:tcW w:w="922" w:type="dxa"/>
            <w:tcBorders>
              <w:top w:val="single" w:sz="6" w:space="0" w:color="D4D4D4"/>
              <w:left w:val="single" w:sz="6" w:space="0" w:color="D4D4D4"/>
              <w:bottom w:val="single" w:sz="6" w:space="0" w:color="D4D4D4"/>
              <w:right w:val="single" w:sz="6" w:space="0" w:color="D4D4D4"/>
            </w:tcBorders>
          </w:tcPr>
          <w:p w14:paraId="5FCCC578"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kl</w:t>
            </w:r>
          </w:p>
        </w:tc>
        <w:tc>
          <w:tcPr>
            <w:tcW w:w="962" w:type="dxa"/>
            <w:tcBorders>
              <w:top w:val="single" w:sz="6" w:space="0" w:color="D4D4D4"/>
              <w:left w:val="single" w:sz="6" w:space="0" w:color="D4D4D4"/>
              <w:bottom w:val="single" w:sz="6" w:space="0" w:color="D4D4D4"/>
              <w:right w:val="single" w:sz="6" w:space="0" w:color="D4D4D4"/>
            </w:tcBorders>
          </w:tcPr>
          <w:p w14:paraId="4DC0836E" w14:textId="77777777" w:rsidR="00141B97" w:rsidRDefault="00911D63">
            <w:pPr>
              <w:pStyle w:val="TableParagraph"/>
              <w:spacing w:line="127" w:lineRule="exact"/>
              <w:ind w:right="51"/>
              <w:jc w:val="right"/>
              <w:rPr>
                <w:rFonts w:ascii="Arial"/>
                <w:sz w:val="12"/>
              </w:rPr>
            </w:pPr>
            <w:r>
              <w:rPr>
                <w:rFonts w:ascii="Arial"/>
                <w:spacing w:val="-4"/>
                <w:sz w:val="12"/>
              </w:rPr>
              <w:t>0.12</w:t>
            </w:r>
          </w:p>
        </w:tc>
        <w:tc>
          <w:tcPr>
            <w:tcW w:w="962" w:type="dxa"/>
            <w:tcBorders>
              <w:top w:val="single" w:sz="6" w:space="0" w:color="D4D4D4"/>
              <w:left w:val="single" w:sz="6" w:space="0" w:color="D4D4D4"/>
              <w:bottom w:val="single" w:sz="6" w:space="0" w:color="D4D4D4"/>
              <w:right w:val="single" w:sz="6" w:space="0" w:color="D4D4D4"/>
            </w:tcBorders>
          </w:tcPr>
          <w:p w14:paraId="6D7EEFF2" w14:textId="77777777" w:rsidR="00141B97" w:rsidRDefault="00911D63">
            <w:pPr>
              <w:pStyle w:val="TableParagraph"/>
              <w:spacing w:line="127" w:lineRule="exact"/>
              <w:ind w:right="50"/>
              <w:jc w:val="right"/>
              <w:rPr>
                <w:rFonts w:ascii="Arial"/>
                <w:sz w:val="12"/>
              </w:rPr>
            </w:pPr>
            <w:r>
              <w:rPr>
                <w:rFonts w:ascii="Arial"/>
                <w:spacing w:val="-4"/>
                <w:sz w:val="12"/>
              </w:rPr>
              <w:t>0.13</w:t>
            </w:r>
          </w:p>
        </w:tc>
        <w:tc>
          <w:tcPr>
            <w:tcW w:w="1023" w:type="dxa"/>
            <w:tcBorders>
              <w:top w:val="single" w:sz="6" w:space="0" w:color="D4D4D4"/>
              <w:left w:val="single" w:sz="6" w:space="0" w:color="D4D4D4"/>
              <w:bottom w:val="single" w:sz="6" w:space="0" w:color="D4D4D4"/>
              <w:right w:val="single" w:sz="6" w:space="0" w:color="D4D4D4"/>
            </w:tcBorders>
          </w:tcPr>
          <w:p w14:paraId="39C800B7" w14:textId="77777777" w:rsidR="00141B97" w:rsidRDefault="00911D63">
            <w:pPr>
              <w:pStyle w:val="TableParagraph"/>
              <w:spacing w:line="127" w:lineRule="exact"/>
              <w:ind w:right="49"/>
              <w:jc w:val="right"/>
              <w:rPr>
                <w:rFonts w:ascii="Arial"/>
                <w:sz w:val="12"/>
              </w:rPr>
            </w:pPr>
            <w:r>
              <w:rPr>
                <w:rFonts w:ascii="Arial"/>
                <w:spacing w:val="-4"/>
                <w:sz w:val="12"/>
              </w:rPr>
              <w:t>0.14</w:t>
            </w:r>
          </w:p>
        </w:tc>
        <w:tc>
          <w:tcPr>
            <w:tcW w:w="1094" w:type="dxa"/>
            <w:tcBorders>
              <w:top w:val="single" w:sz="6" w:space="0" w:color="D4D4D4"/>
              <w:left w:val="single" w:sz="6" w:space="0" w:color="D4D4D4"/>
              <w:bottom w:val="single" w:sz="6" w:space="0" w:color="D4D4D4"/>
              <w:right w:val="single" w:sz="6" w:space="0" w:color="D4D4D4"/>
            </w:tcBorders>
          </w:tcPr>
          <w:p w14:paraId="48D0323D" w14:textId="77777777" w:rsidR="00141B97" w:rsidRDefault="00911D63">
            <w:pPr>
              <w:pStyle w:val="TableParagraph"/>
              <w:spacing w:line="127" w:lineRule="exact"/>
              <w:ind w:right="49"/>
              <w:jc w:val="right"/>
              <w:rPr>
                <w:rFonts w:ascii="Arial"/>
                <w:sz w:val="12"/>
              </w:rPr>
            </w:pPr>
            <w:r>
              <w:rPr>
                <w:rFonts w:ascii="Arial"/>
                <w:spacing w:val="-4"/>
                <w:sz w:val="12"/>
              </w:rPr>
              <w:t>0.15</w:t>
            </w:r>
          </w:p>
        </w:tc>
        <w:tc>
          <w:tcPr>
            <w:tcW w:w="962" w:type="dxa"/>
            <w:tcBorders>
              <w:top w:val="single" w:sz="6" w:space="0" w:color="D4D4D4"/>
              <w:left w:val="single" w:sz="6" w:space="0" w:color="D4D4D4"/>
              <w:bottom w:val="single" w:sz="6" w:space="0" w:color="D4D4D4"/>
              <w:right w:val="single" w:sz="6" w:space="0" w:color="D4D4D4"/>
            </w:tcBorders>
          </w:tcPr>
          <w:p w14:paraId="76242C1E" w14:textId="77777777" w:rsidR="00141B97" w:rsidRDefault="00911D63">
            <w:pPr>
              <w:pStyle w:val="TableParagraph"/>
              <w:spacing w:line="127" w:lineRule="exact"/>
              <w:ind w:right="49"/>
              <w:jc w:val="right"/>
              <w:rPr>
                <w:rFonts w:ascii="Arial"/>
                <w:sz w:val="12"/>
              </w:rPr>
            </w:pPr>
            <w:r>
              <w:rPr>
                <w:rFonts w:ascii="Arial"/>
                <w:spacing w:val="-4"/>
                <w:sz w:val="12"/>
              </w:rPr>
              <w:t>0.16</w:t>
            </w:r>
          </w:p>
        </w:tc>
        <w:tc>
          <w:tcPr>
            <w:tcW w:w="1155" w:type="dxa"/>
            <w:tcBorders>
              <w:top w:val="single" w:sz="6" w:space="0" w:color="D4D4D4"/>
              <w:left w:val="single" w:sz="6" w:space="0" w:color="D4D4D4"/>
              <w:bottom w:val="single" w:sz="6" w:space="0" w:color="D4D4D4"/>
              <w:right w:val="single" w:sz="6" w:space="0" w:color="D4D4D4"/>
            </w:tcBorders>
          </w:tcPr>
          <w:p w14:paraId="64BD728F" w14:textId="77777777" w:rsidR="00141B97" w:rsidRDefault="00911D63">
            <w:pPr>
              <w:pStyle w:val="TableParagraph"/>
              <w:spacing w:line="127" w:lineRule="exact"/>
              <w:ind w:right="48"/>
              <w:jc w:val="right"/>
              <w:rPr>
                <w:rFonts w:ascii="Arial"/>
                <w:sz w:val="12"/>
              </w:rPr>
            </w:pPr>
            <w:r>
              <w:rPr>
                <w:rFonts w:ascii="Arial"/>
                <w:spacing w:val="-4"/>
                <w:sz w:val="12"/>
              </w:rPr>
              <w:t>0.18</w:t>
            </w:r>
          </w:p>
        </w:tc>
      </w:tr>
      <w:tr w:rsidR="00141B97" w14:paraId="28803B2A" w14:textId="77777777">
        <w:trPr>
          <w:trHeight w:val="308"/>
        </w:trPr>
        <w:tc>
          <w:tcPr>
            <w:tcW w:w="2543" w:type="dxa"/>
            <w:tcBorders>
              <w:top w:val="single" w:sz="6" w:space="0" w:color="D4D4D4"/>
              <w:left w:val="single" w:sz="6" w:space="0" w:color="D4D4D4"/>
              <w:bottom w:val="single" w:sz="6" w:space="0" w:color="D4D4D4"/>
              <w:right w:val="single" w:sz="6" w:space="0" w:color="D4D4D4"/>
            </w:tcBorders>
          </w:tcPr>
          <w:p w14:paraId="118A1EA0" w14:textId="77777777" w:rsidR="00141B97" w:rsidRDefault="00911D63">
            <w:pPr>
              <w:pStyle w:val="TableParagraph"/>
              <w:spacing w:before="75"/>
              <w:ind w:left="23"/>
              <w:rPr>
                <w:rFonts w:ascii="Arial" w:hAnsi="Arial"/>
                <w:sz w:val="12"/>
              </w:rPr>
            </w:pPr>
            <w:r>
              <w:rPr>
                <w:rFonts w:ascii="Arial" w:hAnsi="Arial"/>
                <w:sz w:val="12"/>
              </w:rPr>
              <w:t>Urban</w:t>
            </w:r>
            <w:r>
              <w:rPr>
                <w:rFonts w:ascii="Arial" w:hAnsi="Arial"/>
                <w:spacing w:val="11"/>
                <w:sz w:val="12"/>
              </w:rPr>
              <w:t xml:space="preserve"> </w:t>
            </w:r>
            <w:r>
              <w:rPr>
                <w:rFonts w:ascii="Arial" w:hAnsi="Arial"/>
                <w:sz w:val="12"/>
              </w:rPr>
              <w:t>access</w:t>
            </w:r>
            <w:r>
              <w:rPr>
                <w:rFonts w:ascii="Arial" w:hAnsi="Arial"/>
                <w:spacing w:val="19"/>
                <w:sz w:val="12"/>
              </w:rPr>
              <w:t xml:space="preserve"> </w:t>
            </w:r>
            <w:r>
              <w:rPr>
                <w:rFonts w:ascii="Arial" w:hAnsi="Arial"/>
                <w:sz w:val="12"/>
              </w:rPr>
              <w:t>–</w:t>
            </w:r>
            <w:r>
              <w:rPr>
                <w:rFonts w:ascii="Arial" w:hAnsi="Arial"/>
                <w:spacing w:val="8"/>
                <w:sz w:val="12"/>
              </w:rPr>
              <w:t xml:space="preserve"> </w:t>
            </w:r>
            <w:r>
              <w:rPr>
                <w:rFonts w:ascii="Arial" w:hAnsi="Arial"/>
                <w:spacing w:val="-2"/>
                <w:sz w:val="12"/>
              </w:rPr>
              <w:t>offtake</w:t>
            </w:r>
          </w:p>
        </w:tc>
        <w:tc>
          <w:tcPr>
            <w:tcW w:w="922" w:type="dxa"/>
            <w:tcBorders>
              <w:top w:val="single" w:sz="6" w:space="0" w:color="D4D4D4"/>
              <w:left w:val="single" w:sz="6" w:space="0" w:color="D4D4D4"/>
              <w:bottom w:val="single" w:sz="6" w:space="0" w:color="D4D4D4"/>
              <w:right w:val="single" w:sz="6" w:space="0" w:color="D4D4D4"/>
            </w:tcBorders>
          </w:tcPr>
          <w:p w14:paraId="7AC5A5E1" w14:textId="77777777" w:rsidR="00141B97" w:rsidRDefault="00911D63">
            <w:pPr>
              <w:pStyle w:val="TableParagraph"/>
              <w:spacing w:line="133" w:lineRule="exact"/>
              <w:ind w:left="24"/>
              <w:rPr>
                <w:rFonts w:ascii="Arial"/>
                <w:sz w:val="12"/>
              </w:rPr>
            </w:pPr>
            <w:r>
              <w:rPr>
                <w:rFonts w:ascii="Arial"/>
                <w:sz w:val="12"/>
              </w:rPr>
              <w:t>$</w:t>
            </w:r>
            <w:r>
              <w:rPr>
                <w:rFonts w:ascii="Arial"/>
                <w:spacing w:val="-1"/>
                <w:sz w:val="12"/>
              </w:rPr>
              <w:t xml:space="preserve"> </w:t>
            </w:r>
            <w:r>
              <w:rPr>
                <w:rFonts w:ascii="Arial"/>
                <w:spacing w:val="-5"/>
                <w:sz w:val="12"/>
              </w:rPr>
              <w:t>per</w:t>
            </w:r>
          </w:p>
          <w:p w14:paraId="0B79AD11" w14:textId="77777777" w:rsidR="00141B97" w:rsidRDefault="00911D63">
            <w:pPr>
              <w:pStyle w:val="TableParagraph"/>
              <w:spacing w:before="24" w:line="132" w:lineRule="exact"/>
              <w:ind w:left="24"/>
              <w:rPr>
                <w:rFonts w:ascii="Arial"/>
                <w:sz w:val="12"/>
              </w:rPr>
            </w:pPr>
            <w:r>
              <w:rPr>
                <w:rFonts w:ascii="Arial"/>
                <w:spacing w:val="-2"/>
                <w:sz w:val="12"/>
              </w:rPr>
              <w:t>connection</w:t>
            </w:r>
          </w:p>
        </w:tc>
        <w:tc>
          <w:tcPr>
            <w:tcW w:w="962" w:type="dxa"/>
            <w:tcBorders>
              <w:top w:val="single" w:sz="6" w:space="0" w:color="D4D4D4"/>
              <w:left w:val="single" w:sz="6" w:space="0" w:color="D4D4D4"/>
              <w:bottom w:val="single" w:sz="6" w:space="0" w:color="D4D4D4"/>
              <w:right w:val="single" w:sz="6" w:space="0" w:color="D4D4D4"/>
            </w:tcBorders>
          </w:tcPr>
          <w:p w14:paraId="55F11042" w14:textId="77777777" w:rsidR="00141B97" w:rsidRDefault="00141B97">
            <w:pPr>
              <w:pStyle w:val="TableParagraph"/>
              <w:spacing w:before="10"/>
              <w:rPr>
                <w:sz w:val="12"/>
              </w:rPr>
            </w:pPr>
          </w:p>
          <w:p w14:paraId="1C099ED4" w14:textId="77777777" w:rsidR="00141B97" w:rsidRDefault="00911D63">
            <w:pPr>
              <w:pStyle w:val="TableParagraph"/>
              <w:spacing w:line="132" w:lineRule="exact"/>
              <w:ind w:right="48"/>
              <w:jc w:val="right"/>
              <w:rPr>
                <w:rFonts w:ascii="Arial"/>
                <w:sz w:val="12"/>
              </w:rPr>
            </w:pPr>
            <w:r>
              <w:rPr>
                <w:rFonts w:ascii="Arial"/>
                <w:spacing w:val="-2"/>
                <w:sz w:val="12"/>
              </w:rPr>
              <w:t>514.58</w:t>
            </w:r>
          </w:p>
        </w:tc>
        <w:tc>
          <w:tcPr>
            <w:tcW w:w="962" w:type="dxa"/>
            <w:tcBorders>
              <w:top w:val="single" w:sz="6" w:space="0" w:color="D4D4D4"/>
              <w:left w:val="single" w:sz="6" w:space="0" w:color="D4D4D4"/>
              <w:bottom w:val="single" w:sz="6" w:space="0" w:color="D4D4D4"/>
              <w:right w:val="single" w:sz="6" w:space="0" w:color="D4D4D4"/>
            </w:tcBorders>
          </w:tcPr>
          <w:p w14:paraId="381EDF3E" w14:textId="77777777" w:rsidR="00141B97" w:rsidRDefault="00141B97">
            <w:pPr>
              <w:pStyle w:val="TableParagraph"/>
              <w:spacing w:before="10"/>
              <w:rPr>
                <w:sz w:val="12"/>
              </w:rPr>
            </w:pPr>
          </w:p>
          <w:p w14:paraId="13671828" w14:textId="77777777" w:rsidR="00141B97" w:rsidRDefault="00911D63">
            <w:pPr>
              <w:pStyle w:val="TableParagraph"/>
              <w:spacing w:line="132" w:lineRule="exact"/>
              <w:ind w:right="47"/>
              <w:jc w:val="right"/>
              <w:rPr>
                <w:rFonts w:ascii="Arial"/>
                <w:sz w:val="12"/>
              </w:rPr>
            </w:pPr>
            <w:r>
              <w:rPr>
                <w:rFonts w:ascii="Arial"/>
                <w:spacing w:val="-2"/>
                <w:sz w:val="12"/>
              </w:rPr>
              <w:t>501.12</w:t>
            </w:r>
          </w:p>
        </w:tc>
        <w:tc>
          <w:tcPr>
            <w:tcW w:w="1023" w:type="dxa"/>
            <w:tcBorders>
              <w:top w:val="single" w:sz="6" w:space="0" w:color="D4D4D4"/>
              <w:left w:val="single" w:sz="6" w:space="0" w:color="D4D4D4"/>
              <w:bottom w:val="single" w:sz="6" w:space="0" w:color="D4D4D4"/>
              <w:right w:val="single" w:sz="6" w:space="0" w:color="D4D4D4"/>
            </w:tcBorders>
          </w:tcPr>
          <w:p w14:paraId="751666B5" w14:textId="77777777" w:rsidR="00141B97" w:rsidRDefault="00141B97">
            <w:pPr>
              <w:pStyle w:val="TableParagraph"/>
              <w:spacing w:before="10"/>
              <w:rPr>
                <w:sz w:val="12"/>
              </w:rPr>
            </w:pPr>
          </w:p>
          <w:p w14:paraId="776F2616" w14:textId="77777777" w:rsidR="00141B97" w:rsidRDefault="00911D63">
            <w:pPr>
              <w:pStyle w:val="TableParagraph"/>
              <w:spacing w:line="132" w:lineRule="exact"/>
              <w:ind w:right="46"/>
              <w:jc w:val="right"/>
              <w:rPr>
                <w:rFonts w:ascii="Arial"/>
                <w:sz w:val="12"/>
              </w:rPr>
            </w:pPr>
            <w:r>
              <w:rPr>
                <w:rFonts w:ascii="Arial"/>
                <w:spacing w:val="-2"/>
                <w:sz w:val="12"/>
              </w:rPr>
              <w:t>488.02</w:t>
            </w:r>
          </w:p>
        </w:tc>
        <w:tc>
          <w:tcPr>
            <w:tcW w:w="1094" w:type="dxa"/>
            <w:tcBorders>
              <w:top w:val="single" w:sz="6" w:space="0" w:color="D4D4D4"/>
              <w:left w:val="single" w:sz="6" w:space="0" w:color="D4D4D4"/>
              <w:bottom w:val="single" w:sz="6" w:space="0" w:color="D4D4D4"/>
              <w:right w:val="single" w:sz="6" w:space="0" w:color="D4D4D4"/>
            </w:tcBorders>
          </w:tcPr>
          <w:p w14:paraId="7E150F67" w14:textId="77777777" w:rsidR="00141B97" w:rsidRDefault="00141B97">
            <w:pPr>
              <w:pStyle w:val="TableParagraph"/>
              <w:spacing w:before="10"/>
              <w:rPr>
                <w:sz w:val="12"/>
              </w:rPr>
            </w:pPr>
          </w:p>
          <w:p w14:paraId="08FCD48A" w14:textId="77777777" w:rsidR="00141B97" w:rsidRDefault="00911D63">
            <w:pPr>
              <w:pStyle w:val="TableParagraph"/>
              <w:spacing w:line="132" w:lineRule="exact"/>
              <w:ind w:right="46"/>
              <w:jc w:val="right"/>
              <w:rPr>
                <w:rFonts w:ascii="Arial"/>
                <w:sz w:val="12"/>
              </w:rPr>
            </w:pPr>
            <w:r>
              <w:rPr>
                <w:rFonts w:ascii="Arial"/>
                <w:spacing w:val="-2"/>
                <w:sz w:val="12"/>
              </w:rPr>
              <w:t>475.26</w:t>
            </w:r>
          </w:p>
        </w:tc>
        <w:tc>
          <w:tcPr>
            <w:tcW w:w="962" w:type="dxa"/>
            <w:tcBorders>
              <w:top w:val="single" w:sz="6" w:space="0" w:color="D4D4D4"/>
              <w:left w:val="single" w:sz="6" w:space="0" w:color="D4D4D4"/>
              <w:bottom w:val="single" w:sz="6" w:space="0" w:color="D4D4D4"/>
              <w:right w:val="single" w:sz="6" w:space="0" w:color="D4D4D4"/>
            </w:tcBorders>
          </w:tcPr>
          <w:p w14:paraId="667257D2" w14:textId="77777777" w:rsidR="00141B97" w:rsidRDefault="00141B97">
            <w:pPr>
              <w:pStyle w:val="TableParagraph"/>
              <w:spacing w:before="10"/>
              <w:rPr>
                <w:sz w:val="12"/>
              </w:rPr>
            </w:pPr>
          </w:p>
          <w:p w14:paraId="4B9FFB24" w14:textId="77777777" w:rsidR="00141B97" w:rsidRDefault="00911D63">
            <w:pPr>
              <w:pStyle w:val="TableParagraph"/>
              <w:spacing w:line="132" w:lineRule="exact"/>
              <w:ind w:right="49"/>
              <w:jc w:val="right"/>
              <w:rPr>
                <w:rFonts w:ascii="Arial"/>
                <w:sz w:val="12"/>
              </w:rPr>
            </w:pPr>
            <w:r>
              <w:rPr>
                <w:rFonts w:ascii="Arial"/>
                <w:spacing w:val="-2"/>
                <w:sz w:val="12"/>
              </w:rPr>
              <w:t>462.83</w:t>
            </w:r>
          </w:p>
        </w:tc>
        <w:tc>
          <w:tcPr>
            <w:tcW w:w="1155" w:type="dxa"/>
            <w:tcBorders>
              <w:top w:val="single" w:sz="6" w:space="0" w:color="D4D4D4"/>
              <w:left w:val="single" w:sz="6" w:space="0" w:color="D4D4D4"/>
              <w:bottom w:val="single" w:sz="6" w:space="0" w:color="D4D4D4"/>
              <w:right w:val="single" w:sz="6" w:space="0" w:color="D4D4D4"/>
            </w:tcBorders>
          </w:tcPr>
          <w:p w14:paraId="5372647A" w14:textId="77777777" w:rsidR="00141B97" w:rsidRDefault="00141B97">
            <w:pPr>
              <w:pStyle w:val="TableParagraph"/>
              <w:spacing w:before="10"/>
              <w:rPr>
                <w:sz w:val="12"/>
              </w:rPr>
            </w:pPr>
          </w:p>
          <w:p w14:paraId="66857256" w14:textId="77777777" w:rsidR="00141B97" w:rsidRDefault="00911D63">
            <w:pPr>
              <w:pStyle w:val="TableParagraph"/>
              <w:spacing w:line="132" w:lineRule="exact"/>
              <w:ind w:right="45"/>
              <w:jc w:val="right"/>
              <w:rPr>
                <w:rFonts w:ascii="Arial"/>
                <w:sz w:val="12"/>
              </w:rPr>
            </w:pPr>
            <w:r>
              <w:rPr>
                <w:rFonts w:ascii="Arial"/>
                <w:spacing w:val="-2"/>
                <w:sz w:val="12"/>
              </w:rPr>
              <w:t>450.73</w:t>
            </w:r>
          </w:p>
        </w:tc>
      </w:tr>
      <w:tr w:rsidR="00141B97" w14:paraId="06FC209A" w14:textId="77777777">
        <w:trPr>
          <w:trHeight w:val="312"/>
        </w:trPr>
        <w:tc>
          <w:tcPr>
            <w:tcW w:w="2543" w:type="dxa"/>
            <w:tcBorders>
              <w:top w:val="single" w:sz="6" w:space="0" w:color="D4D4D4"/>
              <w:left w:val="single" w:sz="6" w:space="0" w:color="D4D4D4"/>
              <w:right w:val="single" w:sz="6" w:space="0" w:color="D4D4D4"/>
            </w:tcBorders>
          </w:tcPr>
          <w:p w14:paraId="5A6A7FA4" w14:textId="77777777" w:rsidR="00141B97" w:rsidRDefault="00911D63">
            <w:pPr>
              <w:pStyle w:val="TableParagraph"/>
              <w:spacing w:before="76"/>
              <w:ind w:left="23"/>
              <w:rPr>
                <w:rFonts w:ascii="Arial"/>
                <w:sz w:val="12"/>
              </w:rPr>
            </w:pPr>
            <w:r>
              <w:rPr>
                <w:rFonts w:ascii="Arial"/>
                <w:sz w:val="12"/>
              </w:rPr>
              <w:t>Urban</w:t>
            </w:r>
            <w:r>
              <w:rPr>
                <w:rFonts w:ascii="Arial"/>
                <w:spacing w:val="5"/>
                <w:sz w:val="12"/>
              </w:rPr>
              <w:t xml:space="preserve"> </w:t>
            </w:r>
            <w:r>
              <w:rPr>
                <w:rFonts w:ascii="Arial"/>
                <w:sz w:val="12"/>
              </w:rPr>
              <w:t>access</w:t>
            </w:r>
            <w:r>
              <w:rPr>
                <w:rFonts w:ascii="Arial"/>
                <w:spacing w:val="12"/>
                <w:sz w:val="12"/>
              </w:rPr>
              <w:t xml:space="preserve"> </w:t>
            </w:r>
            <w:r>
              <w:rPr>
                <w:rFonts w:ascii="Arial"/>
                <w:sz w:val="12"/>
              </w:rPr>
              <w:t>-</w:t>
            </w:r>
            <w:r>
              <w:rPr>
                <w:rFonts w:ascii="Arial"/>
                <w:spacing w:val="-1"/>
                <w:sz w:val="12"/>
              </w:rPr>
              <w:t xml:space="preserve"> </w:t>
            </w:r>
            <w:r>
              <w:rPr>
                <w:rFonts w:ascii="Arial"/>
                <w:sz w:val="12"/>
              </w:rPr>
              <w:t>no</w:t>
            </w:r>
            <w:r>
              <w:rPr>
                <w:rFonts w:ascii="Arial"/>
                <w:spacing w:val="70"/>
                <w:sz w:val="12"/>
              </w:rPr>
              <w:t xml:space="preserve">  </w:t>
            </w:r>
            <w:r>
              <w:rPr>
                <w:rFonts w:ascii="Arial"/>
                <w:spacing w:val="-2"/>
                <w:sz w:val="12"/>
              </w:rPr>
              <w:t>offtake</w:t>
            </w:r>
          </w:p>
        </w:tc>
        <w:tc>
          <w:tcPr>
            <w:tcW w:w="922" w:type="dxa"/>
            <w:tcBorders>
              <w:top w:val="single" w:sz="6" w:space="0" w:color="D4D4D4"/>
              <w:left w:val="single" w:sz="6" w:space="0" w:color="D4D4D4"/>
              <w:right w:val="single" w:sz="6" w:space="0" w:color="D4D4D4"/>
            </w:tcBorders>
          </w:tcPr>
          <w:p w14:paraId="42AF980F" w14:textId="77777777" w:rsidR="00141B97" w:rsidRDefault="00911D63">
            <w:pPr>
              <w:pStyle w:val="TableParagraph"/>
              <w:spacing w:line="133" w:lineRule="exact"/>
              <w:ind w:left="24"/>
              <w:rPr>
                <w:rFonts w:ascii="Arial"/>
                <w:sz w:val="12"/>
              </w:rPr>
            </w:pPr>
            <w:r>
              <w:rPr>
                <w:rFonts w:ascii="Arial"/>
                <w:sz w:val="12"/>
              </w:rPr>
              <w:t>$</w:t>
            </w:r>
            <w:r>
              <w:rPr>
                <w:rFonts w:ascii="Arial"/>
                <w:spacing w:val="-1"/>
                <w:sz w:val="12"/>
              </w:rPr>
              <w:t xml:space="preserve"> </w:t>
            </w:r>
            <w:r>
              <w:rPr>
                <w:rFonts w:ascii="Arial"/>
                <w:spacing w:val="-5"/>
                <w:sz w:val="12"/>
              </w:rPr>
              <w:t>per</w:t>
            </w:r>
          </w:p>
          <w:p w14:paraId="65695D5A" w14:textId="77777777" w:rsidR="00141B97" w:rsidRDefault="00911D63">
            <w:pPr>
              <w:pStyle w:val="TableParagraph"/>
              <w:spacing w:before="24" w:line="136" w:lineRule="exact"/>
              <w:ind w:left="24"/>
              <w:rPr>
                <w:rFonts w:ascii="Arial"/>
                <w:sz w:val="12"/>
              </w:rPr>
            </w:pPr>
            <w:r>
              <w:rPr>
                <w:rFonts w:ascii="Arial"/>
                <w:spacing w:val="-2"/>
                <w:sz w:val="12"/>
              </w:rPr>
              <w:t>connection</w:t>
            </w:r>
          </w:p>
        </w:tc>
        <w:tc>
          <w:tcPr>
            <w:tcW w:w="962" w:type="dxa"/>
            <w:tcBorders>
              <w:top w:val="single" w:sz="6" w:space="0" w:color="D4D4D4"/>
              <w:left w:val="single" w:sz="6" w:space="0" w:color="D4D4D4"/>
              <w:right w:val="single" w:sz="6" w:space="0" w:color="D4D4D4"/>
            </w:tcBorders>
          </w:tcPr>
          <w:p w14:paraId="162F20BC" w14:textId="77777777" w:rsidR="00141B97" w:rsidRDefault="00141B97">
            <w:pPr>
              <w:pStyle w:val="TableParagraph"/>
              <w:spacing w:before="10"/>
              <w:rPr>
                <w:sz w:val="12"/>
              </w:rPr>
            </w:pPr>
          </w:p>
          <w:p w14:paraId="29079A60" w14:textId="77777777" w:rsidR="00141B97" w:rsidRDefault="00911D63">
            <w:pPr>
              <w:pStyle w:val="TableParagraph"/>
              <w:spacing w:line="136" w:lineRule="exact"/>
              <w:ind w:right="48"/>
              <w:jc w:val="right"/>
              <w:rPr>
                <w:rFonts w:ascii="Arial"/>
                <w:sz w:val="12"/>
              </w:rPr>
            </w:pPr>
            <w:r>
              <w:rPr>
                <w:rFonts w:ascii="Arial"/>
                <w:spacing w:val="-2"/>
                <w:sz w:val="12"/>
              </w:rPr>
              <w:t>257.29</w:t>
            </w:r>
          </w:p>
        </w:tc>
        <w:tc>
          <w:tcPr>
            <w:tcW w:w="962" w:type="dxa"/>
            <w:tcBorders>
              <w:top w:val="single" w:sz="6" w:space="0" w:color="D4D4D4"/>
              <w:left w:val="single" w:sz="6" w:space="0" w:color="D4D4D4"/>
              <w:right w:val="single" w:sz="6" w:space="0" w:color="D4D4D4"/>
            </w:tcBorders>
          </w:tcPr>
          <w:p w14:paraId="23BA12B1" w14:textId="77777777" w:rsidR="00141B97" w:rsidRDefault="00141B97">
            <w:pPr>
              <w:pStyle w:val="TableParagraph"/>
              <w:spacing w:before="10"/>
              <w:rPr>
                <w:sz w:val="12"/>
              </w:rPr>
            </w:pPr>
          </w:p>
          <w:p w14:paraId="346BE485" w14:textId="77777777" w:rsidR="00141B97" w:rsidRDefault="00911D63">
            <w:pPr>
              <w:pStyle w:val="TableParagraph"/>
              <w:spacing w:line="136" w:lineRule="exact"/>
              <w:ind w:right="47"/>
              <w:jc w:val="right"/>
              <w:rPr>
                <w:rFonts w:ascii="Arial"/>
                <w:sz w:val="12"/>
              </w:rPr>
            </w:pPr>
            <w:r>
              <w:rPr>
                <w:rFonts w:ascii="Arial"/>
                <w:spacing w:val="-2"/>
                <w:sz w:val="12"/>
              </w:rPr>
              <w:t>254.48</w:t>
            </w:r>
          </w:p>
        </w:tc>
        <w:tc>
          <w:tcPr>
            <w:tcW w:w="1023" w:type="dxa"/>
            <w:tcBorders>
              <w:top w:val="single" w:sz="6" w:space="0" w:color="D4D4D4"/>
              <w:left w:val="single" w:sz="6" w:space="0" w:color="D4D4D4"/>
              <w:right w:val="single" w:sz="6" w:space="0" w:color="D4D4D4"/>
            </w:tcBorders>
          </w:tcPr>
          <w:p w14:paraId="2A2AA273" w14:textId="77777777" w:rsidR="00141B97" w:rsidRDefault="00141B97">
            <w:pPr>
              <w:pStyle w:val="TableParagraph"/>
              <w:spacing w:before="10"/>
              <w:rPr>
                <w:sz w:val="12"/>
              </w:rPr>
            </w:pPr>
          </w:p>
          <w:p w14:paraId="40A6F157" w14:textId="77777777" w:rsidR="00141B97" w:rsidRDefault="00911D63">
            <w:pPr>
              <w:pStyle w:val="TableParagraph"/>
              <w:spacing w:line="136" w:lineRule="exact"/>
              <w:ind w:right="46"/>
              <w:jc w:val="right"/>
              <w:rPr>
                <w:rFonts w:ascii="Arial"/>
                <w:sz w:val="12"/>
              </w:rPr>
            </w:pPr>
            <w:r>
              <w:rPr>
                <w:rFonts w:ascii="Arial"/>
                <w:spacing w:val="-2"/>
                <w:sz w:val="12"/>
              </w:rPr>
              <w:t>251.71</w:t>
            </w:r>
          </w:p>
        </w:tc>
        <w:tc>
          <w:tcPr>
            <w:tcW w:w="1094" w:type="dxa"/>
            <w:tcBorders>
              <w:top w:val="single" w:sz="6" w:space="0" w:color="D4D4D4"/>
              <w:left w:val="single" w:sz="6" w:space="0" w:color="D4D4D4"/>
              <w:right w:val="single" w:sz="6" w:space="0" w:color="D4D4D4"/>
            </w:tcBorders>
          </w:tcPr>
          <w:p w14:paraId="5F856F18" w14:textId="77777777" w:rsidR="00141B97" w:rsidRDefault="00141B97">
            <w:pPr>
              <w:pStyle w:val="TableParagraph"/>
              <w:spacing w:before="10"/>
              <w:rPr>
                <w:sz w:val="12"/>
              </w:rPr>
            </w:pPr>
          </w:p>
          <w:p w14:paraId="1D03D96B" w14:textId="77777777" w:rsidR="00141B97" w:rsidRDefault="00911D63">
            <w:pPr>
              <w:pStyle w:val="TableParagraph"/>
              <w:spacing w:line="136" w:lineRule="exact"/>
              <w:ind w:right="46"/>
              <w:jc w:val="right"/>
              <w:rPr>
                <w:rFonts w:ascii="Arial"/>
                <w:sz w:val="12"/>
              </w:rPr>
            </w:pPr>
            <w:r>
              <w:rPr>
                <w:rFonts w:ascii="Arial"/>
                <w:spacing w:val="-2"/>
                <w:sz w:val="12"/>
              </w:rPr>
              <w:t>248.96</w:t>
            </w:r>
          </w:p>
        </w:tc>
        <w:tc>
          <w:tcPr>
            <w:tcW w:w="962" w:type="dxa"/>
            <w:tcBorders>
              <w:top w:val="single" w:sz="6" w:space="0" w:color="D4D4D4"/>
              <w:left w:val="single" w:sz="6" w:space="0" w:color="D4D4D4"/>
              <w:right w:val="single" w:sz="6" w:space="0" w:color="D4D4D4"/>
            </w:tcBorders>
          </w:tcPr>
          <w:p w14:paraId="37B88E5A" w14:textId="77777777" w:rsidR="00141B97" w:rsidRDefault="00141B97">
            <w:pPr>
              <w:pStyle w:val="TableParagraph"/>
              <w:spacing w:before="10"/>
              <w:rPr>
                <w:sz w:val="12"/>
              </w:rPr>
            </w:pPr>
          </w:p>
          <w:p w14:paraId="3E39DA2D" w14:textId="77777777" w:rsidR="00141B97" w:rsidRDefault="00911D63">
            <w:pPr>
              <w:pStyle w:val="TableParagraph"/>
              <w:spacing w:line="136" w:lineRule="exact"/>
              <w:ind w:right="49"/>
              <w:jc w:val="right"/>
              <w:rPr>
                <w:rFonts w:ascii="Arial"/>
                <w:sz w:val="12"/>
              </w:rPr>
            </w:pPr>
            <w:r>
              <w:rPr>
                <w:rFonts w:ascii="Arial"/>
                <w:spacing w:val="-2"/>
                <w:sz w:val="12"/>
              </w:rPr>
              <w:t>246.25</w:t>
            </w:r>
          </w:p>
        </w:tc>
        <w:tc>
          <w:tcPr>
            <w:tcW w:w="1155" w:type="dxa"/>
            <w:tcBorders>
              <w:top w:val="single" w:sz="6" w:space="0" w:color="D4D4D4"/>
              <w:left w:val="single" w:sz="6" w:space="0" w:color="D4D4D4"/>
              <w:right w:val="single" w:sz="6" w:space="0" w:color="D4D4D4"/>
            </w:tcBorders>
          </w:tcPr>
          <w:p w14:paraId="4C73D520" w14:textId="77777777" w:rsidR="00141B97" w:rsidRDefault="00141B97">
            <w:pPr>
              <w:pStyle w:val="TableParagraph"/>
              <w:spacing w:before="10"/>
              <w:rPr>
                <w:sz w:val="12"/>
              </w:rPr>
            </w:pPr>
          </w:p>
          <w:p w14:paraId="12C4123B" w14:textId="77777777" w:rsidR="00141B97" w:rsidRDefault="00911D63">
            <w:pPr>
              <w:pStyle w:val="TableParagraph"/>
              <w:spacing w:line="136" w:lineRule="exact"/>
              <w:ind w:right="45"/>
              <w:jc w:val="right"/>
              <w:rPr>
                <w:rFonts w:ascii="Arial"/>
                <w:sz w:val="12"/>
              </w:rPr>
            </w:pPr>
            <w:r>
              <w:rPr>
                <w:rFonts w:ascii="Arial"/>
                <w:spacing w:val="-2"/>
                <w:sz w:val="12"/>
              </w:rPr>
              <w:t>243.56</w:t>
            </w:r>
          </w:p>
        </w:tc>
      </w:tr>
      <w:tr w:rsidR="00141B97" w14:paraId="0198E681" w14:textId="77777777">
        <w:trPr>
          <w:trHeight w:val="151"/>
        </w:trPr>
        <w:tc>
          <w:tcPr>
            <w:tcW w:w="2543" w:type="dxa"/>
            <w:tcBorders>
              <w:left w:val="single" w:sz="6" w:space="0" w:color="D4D4D4"/>
              <w:right w:val="single" w:sz="6" w:space="0" w:color="D4D4D4"/>
            </w:tcBorders>
          </w:tcPr>
          <w:p w14:paraId="117B6C25" w14:textId="77777777" w:rsidR="00141B97" w:rsidRDefault="00911D63">
            <w:pPr>
              <w:pStyle w:val="TableParagraph"/>
              <w:spacing w:line="132" w:lineRule="exact"/>
              <w:ind w:left="23"/>
              <w:rPr>
                <w:rFonts w:ascii="Arial"/>
                <w:sz w:val="12"/>
              </w:rPr>
            </w:pPr>
            <w:r>
              <w:rPr>
                <w:rFonts w:ascii="Arial"/>
                <w:sz w:val="12"/>
              </w:rPr>
              <w:t>Delivery</w:t>
            </w:r>
            <w:r>
              <w:rPr>
                <w:rFonts w:ascii="Arial"/>
                <w:spacing w:val="-10"/>
                <w:sz w:val="12"/>
              </w:rPr>
              <w:t xml:space="preserve"> </w:t>
            </w:r>
            <w:r>
              <w:rPr>
                <w:rFonts w:ascii="Arial"/>
                <w:sz w:val="12"/>
              </w:rPr>
              <w:t>-</w:t>
            </w:r>
            <w:r>
              <w:rPr>
                <w:rFonts w:ascii="Arial"/>
                <w:spacing w:val="1"/>
                <w:sz w:val="12"/>
              </w:rPr>
              <w:t xml:space="preserve"> </w:t>
            </w:r>
            <w:r>
              <w:rPr>
                <w:rFonts w:ascii="Arial"/>
                <w:spacing w:val="-2"/>
                <w:sz w:val="12"/>
              </w:rPr>
              <w:t>urban</w:t>
            </w:r>
          </w:p>
        </w:tc>
        <w:tc>
          <w:tcPr>
            <w:tcW w:w="922" w:type="dxa"/>
            <w:tcBorders>
              <w:left w:val="single" w:sz="6" w:space="0" w:color="D4D4D4"/>
              <w:right w:val="single" w:sz="6" w:space="0" w:color="D4D4D4"/>
            </w:tcBorders>
          </w:tcPr>
          <w:p w14:paraId="46F083C2" w14:textId="77777777" w:rsidR="00141B97" w:rsidRDefault="00911D63">
            <w:pPr>
              <w:pStyle w:val="TableParagraph"/>
              <w:spacing w:line="132"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kl</w:t>
            </w:r>
          </w:p>
        </w:tc>
        <w:tc>
          <w:tcPr>
            <w:tcW w:w="962" w:type="dxa"/>
            <w:tcBorders>
              <w:left w:val="single" w:sz="6" w:space="0" w:color="D4D4D4"/>
              <w:right w:val="single" w:sz="6" w:space="0" w:color="D4D4D4"/>
            </w:tcBorders>
          </w:tcPr>
          <w:p w14:paraId="13FB8BC9" w14:textId="77777777" w:rsidR="00141B97" w:rsidRDefault="00911D63">
            <w:pPr>
              <w:pStyle w:val="TableParagraph"/>
              <w:spacing w:line="132" w:lineRule="exact"/>
              <w:ind w:right="48"/>
              <w:jc w:val="right"/>
              <w:rPr>
                <w:rFonts w:ascii="Arial"/>
                <w:sz w:val="12"/>
              </w:rPr>
            </w:pPr>
            <w:r>
              <w:rPr>
                <w:rFonts w:ascii="Arial"/>
                <w:spacing w:val="-4"/>
                <w:sz w:val="12"/>
              </w:rPr>
              <w:t>0.80</w:t>
            </w:r>
          </w:p>
        </w:tc>
        <w:tc>
          <w:tcPr>
            <w:tcW w:w="962" w:type="dxa"/>
            <w:tcBorders>
              <w:left w:val="single" w:sz="6" w:space="0" w:color="D4D4D4"/>
              <w:right w:val="single" w:sz="6" w:space="0" w:color="D4D4D4"/>
            </w:tcBorders>
          </w:tcPr>
          <w:p w14:paraId="342E5D7C" w14:textId="77777777" w:rsidR="00141B97" w:rsidRDefault="00911D63">
            <w:pPr>
              <w:pStyle w:val="TableParagraph"/>
              <w:spacing w:line="132" w:lineRule="exact"/>
              <w:ind w:right="50"/>
              <w:jc w:val="right"/>
              <w:rPr>
                <w:rFonts w:ascii="Arial"/>
                <w:sz w:val="12"/>
              </w:rPr>
            </w:pPr>
            <w:r>
              <w:rPr>
                <w:rFonts w:ascii="Arial"/>
                <w:spacing w:val="-4"/>
                <w:sz w:val="12"/>
              </w:rPr>
              <w:t>0.82</w:t>
            </w:r>
          </w:p>
        </w:tc>
        <w:tc>
          <w:tcPr>
            <w:tcW w:w="1023" w:type="dxa"/>
            <w:tcBorders>
              <w:left w:val="single" w:sz="6" w:space="0" w:color="D4D4D4"/>
              <w:right w:val="single" w:sz="6" w:space="0" w:color="D4D4D4"/>
            </w:tcBorders>
          </w:tcPr>
          <w:p w14:paraId="71C5321D" w14:textId="77777777" w:rsidR="00141B97" w:rsidRDefault="00911D63">
            <w:pPr>
              <w:pStyle w:val="TableParagraph"/>
              <w:spacing w:line="132" w:lineRule="exact"/>
              <w:ind w:right="49"/>
              <w:jc w:val="right"/>
              <w:rPr>
                <w:rFonts w:ascii="Arial"/>
                <w:sz w:val="12"/>
              </w:rPr>
            </w:pPr>
            <w:r>
              <w:rPr>
                <w:rFonts w:ascii="Arial"/>
                <w:spacing w:val="-4"/>
                <w:sz w:val="12"/>
              </w:rPr>
              <w:t>0.83</w:t>
            </w:r>
          </w:p>
        </w:tc>
        <w:tc>
          <w:tcPr>
            <w:tcW w:w="1094" w:type="dxa"/>
            <w:tcBorders>
              <w:left w:val="single" w:sz="6" w:space="0" w:color="D4D4D4"/>
              <w:right w:val="single" w:sz="6" w:space="0" w:color="D4D4D4"/>
            </w:tcBorders>
          </w:tcPr>
          <w:p w14:paraId="35207B19" w14:textId="77777777" w:rsidR="00141B97" w:rsidRDefault="00911D63">
            <w:pPr>
              <w:pStyle w:val="TableParagraph"/>
              <w:spacing w:line="132" w:lineRule="exact"/>
              <w:ind w:right="49"/>
              <w:jc w:val="right"/>
              <w:rPr>
                <w:rFonts w:ascii="Arial"/>
                <w:sz w:val="12"/>
              </w:rPr>
            </w:pPr>
            <w:r>
              <w:rPr>
                <w:rFonts w:ascii="Arial"/>
                <w:spacing w:val="-4"/>
                <w:sz w:val="12"/>
              </w:rPr>
              <w:t>0.85</w:t>
            </w:r>
          </w:p>
        </w:tc>
        <w:tc>
          <w:tcPr>
            <w:tcW w:w="962" w:type="dxa"/>
            <w:tcBorders>
              <w:left w:val="single" w:sz="6" w:space="0" w:color="D4D4D4"/>
              <w:right w:val="single" w:sz="6" w:space="0" w:color="D4D4D4"/>
            </w:tcBorders>
          </w:tcPr>
          <w:p w14:paraId="3A1F2B99" w14:textId="77777777" w:rsidR="00141B97" w:rsidRDefault="00911D63">
            <w:pPr>
              <w:pStyle w:val="TableParagraph"/>
              <w:spacing w:line="132" w:lineRule="exact"/>
              <w:ind w:right="49"/>
              <w:jc w:val="right"/>
              <w:rPr>
                <w:rFonts w:ascii="Arial"/>
                <w:sz w:val="12"/>
              </w:rPr>
            </w:pPr>
            <w:r>
              <w:rPr>
                <w:rFonts w:ascii="Arial"/>
                <w:spacing w:val="-4"/>
                <w:sz w:val="12"/>
              </w:rPr>
              <w:t>0.86</w:t>
            </w:r>
          </w:p>
        </w:tc>
        <w:tc>
          <w:tcPr>
            <w:tcW w:w="1155" w:type="dxa"/>
            <w:tcBorders>
              <w:left w:val="single" w:sz="6" w:space="0" w:color="D4D4D4"/>
              <w:right w:val="single" w:sz="6" w:space="0" w:color="D4D4D4"/>
            </w:tcBorders>
          </w:tcPr>
          <w:p w14:paraId="58D86B4A" w14:textId="77777777" w:rsidR="00141B97" w:rsidRDefault="00911D63">
            <w:pPr>
              <w:pStyle w:val="TableParagraph"/>
              <w:spacing w:line="132" w:lineRule="exact"/>
              <w:ind w:right="48"/>
              <w:jc w:val="right"/>
              <w:rPr>
                <w:rFonts w:ascii="Arial"/>
                <w:sz w:val="12"/>
              </w:rPr>
            </w:pPr>
            <w:r>
              <w:rPr>
                <w:rFonts w:ascii="Arial"/>
                <w:spacing w:val="-4"/>
                <w:sz w:val="12"/>
              </w:rPr>
              <w:t>0.88</w:t>
            </w:r>
          </w:p>
        </w:tc>
      </w:tr>
      <w:tr w:rsidR="00141B97" w14:paraId="06948513" w14:textId="77777777">
        <w:trPr>
          <w:trHeight w:val="150"/>
        </w:trPr>
        <w:tc>
          <w:tcPr>
            <w:tcW w:w="2543" w:type="dxa"/>
            <w:tcBorders>
              <w:left w:val="single" w:sz="6" w:space="0" w:color="D4D4D4"/>
              <w:bottom w:val="single" w:sz="6" w:space="0" w:color="D4D4D4"/>
              <w:right w:val="single" w:sz="6" w:space="0" w:color="D4D4D4"/>
            </w:tcBorders>
          </w:tcPr>
          <w:p w14:paraId="61CF9690" w14:textId="77777777" w:rsidR="00141B97" w:rsidRDefault="00911D63">
            <w:pPr>
              <w:pStyle w:val="TableParagraph"/>
              <w:spacing w:line="130" w:lineRule="exact"/>
              <w:ind w:left="23"/>
              <w:rPr>
                <w:rFonts w:ascii="Arial"/>
                <w:sz w:val="12"/>
              </w:rPr>
            </w:pPr>
            <w:r>
              <w:rPr>
                <w:rFonts w:ascii="Arial"/>
                <w:sz w:val="12"/>
              </w:rPr>
              <w:t>Service</w:t>
            </w:r>
            <w:r>
              <w:rPr>
                <w:rFonts w:ascii="Arial"/>
                <w:spacing w:val="4"/>
                <w:sz w:val="12"/>
              </w:rPr>
              <w:t xml:space="preserve"> </w:t>
            </w:r>
            <w:r>
              <w:rPr>
                <w:rFonts w:ascii="Arial"/>
                <w:sz w:val="12"/>
              </w:rPr>
              <w:t>Charge</w:t>
            </w:r>
            <w:r>
              <w:rPr>
                <w:rFonts w:ascii="Arial"/>
                <w:spacing w:val="4"/>
                <w:sz w:val="12"/>
              </w:rPr>
              <w:t xml:space="preserve"> </w:t>
            </w:r>
            <w:r>
              <w:rPr>
                <w:rFonts w:ascii="Arial"/>
                <w:sz w:val="12"/>
              </w:rPr>
              <w:t>-</w:t>
            </w:r>
            <w:r>
              <w:rPr>
                <w:rFonts w:ascii="Arial"/>
                <w:spacing w:val="2"/>
                <w:sz w:val="12"/>
              </w:rPr>
              <w:t xml:space="preserve"> </w:t>
            </w:r>
            <w:r>
              <w:rPr>
                <w:rFonts w:ascii="Arial"/>
                <w:spacing w:val="-2"/>
                <w:sz w:val="12"/>
              </w:rPr>
              <w:t>rural</w:t>
            </w:r>
          </w:p>
        </w:tc>
        <w:tc>
          <w:tcPr>
            <w:tcW w:w="922" w:type="dxa"/>
            <w:tcBorders>
              <w:left w:val="single" w:sz="6" w:space="0" w:color="D4D4D4"/>
              <w:bottom w:val="single" w:sz="6" w:space="0" w:color="D4D4D4"/>
              <w:right w:val="single" w:sz="6" w:space="0" w:color="D4D4D4"/>
            </w:tcBorders>
          </w:tcPr>
          <w:p w14:paraId="73CFF8E3" w14:textId="77777777" w:rsidR="00141B97" w:rsidRDefault="00911D63">
            <w:pPr>
              <w:pStyle w:val="TableParagraph"/>
              <w:spacing w:line="130"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left w:val="single" w:sz="6" w:space="0" w:color="D4D4D4"/>
              <w:bottom w:val="single" w:sz="6" w:space="0" w:color="D4D4D4"/>
              <w:right w:val="single" w:sz="6" w:space="0" w:color="D4D4D4"/>
            </w:tcBorders>
          </w:tcPr>
          <w:p w14:paraId="0C8C1B52" w14:textId="77777777" w:rsidR="00141B97" w:rsidRDefault="00911D63">
            <w:pPr>
              <w:pStyle w:val="TableParagraph"/>
              <w:spacing w:line="130" w:lineRule="exact"/>
              <w:ind w:right="48"/>
              <w:jc w:val="right"/>
              <w:rPr>
                <w:rFonts w:ascii="Arial"/>
                <w:sz w:val="12"/>
              </w:rPr>
            </w:pPr>
            <w:r>
              <w:rPr>
                <w:rFonts w:ascii="Arial"/>
                <w:spacing w:val="-2"/>
                <w:sz w:val="12"/>
              </w:rPr>
              <w:t>100.00</w:t>
            </w:r>
          </w:p>
        </w:tc>
        <w:tc>
          <w:tcPr>
            <w:tcW w:w="962" w:type="dxa"/>
            <w:tcBorders>
              <w:left w:val="single" w:sz="6" w:space="0" w:color="D4D4D4"/>
              <w:bottom w:val="single" w:sz="6" w:space="0" w:color="D4D4D4"/>
              <w:right w:val="single" w:sz="6" w:space="0" w:color="D4D4D4"/>
            </w:tcBorders>
          </w:tcPr>
          <w:p w14:paraId="7600E031" w14:textId="77777777" w:rsidR="00141B97" w:rsidRDefault="00911D63">
            <w:pPr>
              <w:pStyle w:val="TableParagraph"/>
              <w:spacing w:line="130" w:lineRule="exact"/>
              <w:ind w:right="50"/>
              <w:jc w:val="right"/>
              <w:rPr>
                <w:rFonts w:ascii="Arial"/>
                <w:sz w:val="12"/>
              </w:rPr>
            </w:pPr>
            <w:r>
              <w:rPr>
                <w:rFonts w:ascii="Arial"/>
                <w:spacing w:val="-2"/>
                <w:sz w:val="12"/>
              </w:rPr>
              <w:t>97.09</w:t>
            </w:r>
          </w:p>
        </w:tc>
        <w:tc>
          <w:tcPr>
            <w:tcW w:w="1023" w:type="dxa"/>
            <w:tcBorders>
              <w:left w:val="single" w:sz="6" w:space="0" w:color="D4D4D4"/>
              <w:bottom w:val="single" w:sz="6" w:space="0" w:color="D4D4D4"/>
              <w:right w:val="single" w:sz="6" w:space="0" w:color="D4D4D4"/>
            </w:tcBorders>
          </w:tcPr>
          <w:p w14:paraId="1AA5BBFA" w14:textId="77777777" w:rsidR="00141B97" w:rsidRDefault="00911D63">
            <w:pPr>
              <w:pStyle w:val="TableParagraph"/>
              <w:spacing w:line="130" w:lineRule="exact"/>
              <w:ind w:right="50"/>
              <w:jc w:val="right"/>
              <w:rPr>
                <w:rFonts w:ascii="Arial"/>
                <w:sz w:val="12"/>
              </w:rPr>
            </w:pPr>
            <w:r>
              <w:rPr>
                <w:rFonts w:ascii="Arial"/>
                <w:spacing w:val="-2"/>
                <w:sz w:val="12"/>
              </w:rPr>
              <w:t>94.26</w:t>
            </w:r>
          </w:p>
        </w:tc>
        <w:tc>
          <w:tcPr>
            <w:tcW w:w="1094" w:type="dxa"/>
            <w:tcBorders>
              <w:left w:val="single" w:sz="6" w:space="0" w:color="D4D4D4"/>
              <w:bottom w:val="single" w:sz="6" w:space="0" w:color="D4D4D4"/>
              <w:right w:val="single" w:sz="6" w:space="0" w:color="D4D4D4"/>
            </w:tcBorders>
          </w:tcPr>
          <w:p w14:paraId="6329292E" w14:textId="77777777" w:rsidR="00141B97" w:rsidRDefault="00911D63">
            <w:pPr>
              <w:pStyle w:val="TableParagraph"/>
              <w:spacing w:line="130" w:lineRule="exact"/>
              <w:ind w:right="49"/>
              <w:jc w:val="right"/>
              <w:rPr>
                <w:rFonts w:ascii="Arial"/>
                <w:sz w:val="12"/>
              </w:rPr>
            </w:pPr>
            <w:r>
              <w:rPr>
                <w:rFonts w:ascii="Arial"/>
                <w:spacing w:val="-2"/>
                <w:sz w:val="12"/>
              </w:rPr>
              <w:t>91.51</w:t>
            </w:r>
          </w:p>
        </w:tc>
        <w:tc>
          <w:tcPr>
            <w:tcW w:w="962" w:type="dxa"/>
            <w:tcBorders>
              <w:left w:val="single" w:sz="6" w:space="0" w:color="D4D4D4"/>
              <w:bottom w:val="single" w:sz="6" w:space="0" w:color="D4D4D4"/>
              <w:right w:val="single" w:sz="6" w:space="0" w:color="D4D4D4"/>
            </w:tcBorders>
          </w:tcPr>
          <w:p w14:paraId="3D1DAEDD" w14:textId="77777777" w:rsidR="00141B97" w:rsidRDefault="00911D63">
            <w:pPr>
              <w:pStyle w:val="TableParagraph"/>
              <w:spacing w:line="130" w:lineRule="exact"/>
              <w:ind w:right="49"/>
              <w:jc w:val="right"/>
              <w:rPr>
                <w:rFonts w:ascii="Arial"/>
                <w:sz w:val="12"/>
              </w:rPr>
            </w:pPr>
            <w:r>
              <w:rPr>
                <w:rFonts w:ascii="Arial"/>
                <w:spacing w:val="-2"/>
                <w:sz w:val="12"/>
              </w:rPr>
              <w:t>88.85</w:t>
            </w:r>
          </w:p>
        </w:tc>
        <w:tc>
          <w:tcPr>
            <w:tcW w:w="1155" w:type="dxa"/>
            <w:tcBorders>
              <w:left w:val="single" w:sz="6" w:space="0" w:color="D4D4D4"/>
              <w:bottom w:val="single" w:sz="6" w:space="0" w:color="D4D4D4"/>
              <w:right w:val="single" w:sz="6" w:space="0" w:color="D4D4D4"/>
            </w:tcBorders>
          </w:tcPr>
          <w:p w14:paraId="36CA365E" w14:textId="77777777" w:rsidR="00141B97" w:rsidRDefault="00911D63">
            <w:pPr>
              <w:pStyle w:val="TableParagraph"/>
              <w:spacing w:line="130" w:lineRule="exact"/>
              <w:ind w:right="48"/>
              <w:jc w:val="right"/>
              <w:rPr>
                <w:rFonts w:ascii="Arial"/>
                <w:sz w:val="12"/>
              </w:rPr>
            </w:pPr>
            <w:r>
              <w:rPr>
                <w:rFonts w:ascii="Arial"/>
                <w:spacing w:val="-2"/>
                <w:sz w:val="12"/>
              </w:rPr>
              <w:t>86.26</w:t>
            </w:r>
          </w:p>
        </w:tc>
      </w:tr>
      <w:tr w:rsidR="00141B97" w14:paraId="5A68D4A3" w14:textId="77777777">
        <w:trPr>
          <w:trHeight w:val="149"/>
        </w:trPr>
        <w:tc>
          <w:tcPr>
            <w:tcW w:w="2543" w:type="dxa"/>
            <w:tcBorders>
              <w:top w:val="single" w:sz="6" w:space="0" w:color="D4D4D4"/>
              <w:left w:val="single" w:sz="6" w:space="0" w:color="D4D4D4"/>
              <w:bottom w:val="nil"/>
              <w:right w:val="single" w:sz="6" w:space="0" w:color="D4D4D4"/>
            </w:tcBorders>
          </w:tcPr>
          <w:p w14:paraId="0AC1E3FA" w14:textId="77777777" w:rsidR="00141B97" w:rsidRDefault="00911D63">
            <w:pPr>
              <w:pStyle w:val="TableParagraph"/>
              <w:spacing w:line="129" w:lineRule="exact"/>
              <w:ind w:left="23"/>
              <w:rPr>
                <w:rFonts w:ascii="Arial"/>
                <w:sz w:val="12"/>
              </w:rPr>
            </w:pPr>
            <w:r>
              <w:rPr>
                <w:rFonts w:ascii="Arial"/>
                <w:sz w:val="12"/>
              </w:rPr>
              <w:t>Service</w:t>
            </w:r>
            <w:r>
              <w:rPr>
                <w:rFonts w:ascii="Arial"/>
                <w:spacing w:val="4"/>
                <w:sz w:val="12"/>
              </w:rPr>
              <w:t xml:space="preserve"> </w:t>
            </w:r>
            <w:r>
              <w:rPr>
                <w:rFonts w:ascii="Arial"/>
                <w:sz w:val="12"/>
              </w:rPr>
              <w:t>Charge</w:t>
            </w:r>
            <w:r>
              <w:rPr>
                <w:rFonts w:ascii="Arial"/>
                <w:spacing w:val="5"/>
                <w:sz w:val="12"/>
              </w:rPr>
              <w:t xml:space="preserve"> </w:t>
            </w:r>
            <w:r>
              <w:rPr>
                <w:rFonts w:ascii="Arial"/>
                <w:sz w:val="12"/>
              </w:rPr>
              <w:t>-</w:t>
            </w:r>
            <w:r>
              <w:rPr>
                <w:rFonts w:ascii="Arial"/>
                <w:spacing w:val="1"/>
                <w:sz w:val="12"/>
              </w:rPr>
              <w:t xml:space="preserve"> </w:t>
            </w:r>
            <w:r>
              <w:rPr>
                <w:rFonts w:ascii="Arial"/>
                <w:spacing w:val="-2"/>
                <w:sz w:val="12"/>
              </w:rPr>
              <w:t>urban</w:t>
            </w:r>
          </w:p>
        </w:tc>
        <w:tc>
          <w:tcPr>
            <w:tcW w:w="922" w:type="dxa"/>
            <w:tcBorders>
              <w:top w:val="single" w:sz="6" w:space="0" w:color="D4D4D4"/>
              <w:left w:val="single" w:sz="6" w:space="0" w:color="D4D4D4"/>
              <w:bottom w:val="nil"/>
              <w:right w:val="single" w:sz="6" w:space="0" w:color="D4D4D4"/>
            </w:tcBorders>
          </w:tcPr>
          <w:p w14:paraId="4B539887" w14:textId="77777777" w:rsidR="00141B97" w:rsidRDefault="00911D63">
            <w:pPr>
              <w:pStyle w:val="TableParagraph"/>
              <w:spacing w:line="129"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single" w:sz="6" w:space="0" w:color="D4D4D4"/>
              <w:left w:val="single" w:sz="6" w:space="0" w:color="D4D4D4"/>
              <w:bottom w:val="nil"/>
              <w:right w:val="single" w:sz="6" w:space="0" w:color="D4D4D4"/>
            </w:tcBorders>
          </w:tcPr>
          <w:p w14:paraId="610F6169" w14:textId="77777777" w:rsidR="00141B97" w:rsidRDefault="00911D63">
            <w:pPr>
              <w:pStyle w:val="TableParagraph"/>
              <w:spacing w:line="129" w:lineRule="exact"/>
              <w:ind w:right="48"/>
              <w:jc w:val="right"/>
              <w:rPr>
                <w:rFonts w:ascii="Arial"/>
                <w:sz w:val="12"/>
              </w:rPr>
            </w:pPr>
            <w:r>
              <w:rPr>
                <w:rFonts w:ascii="Arial"/>
                <w:spacing w:val="-2"/>
                <w:sz w:val="12"/>
              </w:rPr>
              <w:t>100.00</w:t>
            </w:r>
          </w:p>
        </w:tc>
        <w:tc>
          <w:tcPr>
            <w:tcW w:w="962" w:type="dxa"/>
            <w:tcBorders>
              <w:top w:val="single" w:sz="6" w:space="0" w:color="D4D4D4"/>
              <w:left w:val="single" w:sz="6" w:space="0" w:color="D4D4D4"/>
              <w:bottom w:val="nil"/>
              <w:right w:val="single" w:sz="6" w:space="0" w:color="D4D4D4"/>
            </w:tcBorders>
          </w:tcPr>
          <w:p w14:paraId="2618E857" w14:textId="77777777" w:rsidR="00141B97" w:rsidRDefault="00911D63">
            <w:pPr>
              <w:pStyle w:val="TableParagraph"/>
              <w:spacing w:line="129" w:lineRule="exact"/>
              <w:ind w:right="50"/>
              <w:jc w:val="right"/>
              <w:rPr>
                <w:rFonts w:ascii="Arial"/>
                <w:sz w:val="12"/>
              </w:rPr>
            </w:pPr>
            <w:r>
              <w:rPr>
                <w:rFonts w:ascii="Arial"/>
                <w:spacing w:val="-2"/>
                <w:sz w:val="12"/>
              </w:rPr>
              <w:t>97.09</w:t>
            </w:r>
          </w:p>
        </w:tc>
        <w:tc>
          <w:tcPr>
            <w:tcW w:w="1023" w:type="dxa"/>
            <w:tcBorders>
              <w:top w:val="single" w:sz="6" w:space="0" w:color="D4D4D4"/>
              <w:left w:val="single" w:sz="6" w:space="0" w:color="D4D4D4"/>
              <w:bottom w:val="nil"/>
              <w:right w:val="single" w:sz="6" w:space="0" w:color="D4D4D4"/>
            </w:tcBorders>
          </w:tcPr>
          <w:p w14:paraId="24961A5D" w14:textId="77777777" w:rsidR="00141B97" w:rsidRDefault="00911D63">
            <w:pPr>
              <w:pStyle w:val="TableParagraph"/>
              <w:spacing w:line="129" w:lineRule="exact"/>
              <w:ind w:right="50"/>
              <w:jc w:val="right"/>
              <w:rPr>
                <w:rFonts w:ascii="Arial"/>
                <w:sz w:val="12"/>
              </w:rPr>
            </w:pPr>
            <w:r>
              <w:rPr>
                <w:rFonts w:ascii="Arial"/>
                <w:spacing w:val="-2"/>
                <w:sz w:val="12"/>
              </w:rPr>
              <w:t>94.26</w:t>
            </w:r>
          </w:p>
        </w:tc>
        <w:tc>
          <w:tcPr>
            <w:tcW w:w="1094" w:type="dxa"/>
            <w:tcBorders>
              <w:top w:val="single" w:sz="6" w:space="0" w:color="D4D4D4"/>
              <w:left w:val="single" w:sz="6" w:space="0" w:color="D4D4D4"/>
              <w:bottom w:val="nil"/>
              <w:right w:val="single" w:sz="6" w:space="0" w:color="D4D4D4"/>
            </w:tcBorders>
          </w:tcPr>
          <w:p w14:paraId="2D7E2393" w14:textId="77777777" w:rsidR="00141B97" w:rsidRDefault="00911D63">
            <w:pPr>
              <w:pStyle w:val="TableParagraph"/>
              <w:spacing w:line="129" w:lineRule="exact"/>
              <w:ind w:right="49"/>
              <w:jc w:val="right"/>
              <w:rPr>
                <w:rFonts w:ascii="Arial"/>
                <w:sz w:val="12"/>
              </w:rPr>
            </w:pPr>
            <w:r>
              <w:rPr>
                <w:rFonts w:ascii="Arial"/>
                <w:spacing w:val="-2"/>
                <w:sz w:val="12"/>
              </w:rPr>
              <w:t>91.51</w:t>
            </w:r>
          </w:p>
        </w:tc>
        <w:tc>
          <w:tcPr>
            <w:tcW w:w="962" w:type="dxa"/>
            <w:tcBorders>
              <w:top w:val="single" w:sz="6" w:space="0" w:color="D4D4D4"/>
              <w:left w:val="single" w:sz="6" w:space="0" w:color="D4D4D4"/>
              <w:bottom w:val="nil"/>
              <w:right w:val="single" w:sz="6" w:space="0" w:color="D4D4D4"/>
            </w:tcBorders>
          </w:tcPr>
          <w:p w14:paraId="5B27844F" w14:textId="77777777" w:rsidR="00141B97" w:rsidRDefault="00911D63">
            <w:pPr>
              <w:pStyle w:val="TableParagraph"/>
              <w:spacing w:line="129" w:lineRule="exact"/>
              <w:ind w:right="49"/>
              <w:jc w:val="right"/>
              <w:rPr>
                <w:rFonts w:ascii="Arial"/>
                <w:sz w:val="12"/>
              </w:rPr>
            </w:pPr>
            <w:r>
              <w:rPr>
                <w:rFonts w:ascii="Arial"/>
                <w:spacing w:val="-2"/>
                <w:sz w:val="12"/>
              </w:rPr>
              <w:t>88.85</w:t>
            </w:r>
          </w:p>
        </w:tc>
        <w:tc>
          <w:tcPr>
            <w:tcW w:w="1155" w:type="dxa"/>
            <w:tcBorders>
              <w:top w:val="single" w:sz="6" w:space="0" w:color="D4D4D4"/>
              <w:left w:val="single" w:sz="6" w:space="0" w:color="D4D4D4"/>
              <w:bottom w:val="nil"/>
              <w:right w:val="single" w:sz="6" w:space="0" w:color="D4D4D4"/>
            </w:tcBorders>
          </w:tcPr>
          <w:p w14:paraId="160BB699" w14:textId="77777777" w:rsidR="00141B97" w:rsidRDefault="00911D63">
            <w:pPr>
              <w:pStyle w:val="TableParagraph"/>
              <w:spacing w:line="129" w:lineRule="exact"/>
              <w:ind w:right="48"/>
              <w:jc w:val="right"/>
              <w:rPr>
                <w:rFonts w:ascii="Arial"/>
                <w:sz w:val="12"/>
              </w:rPr>
            </w:pPr>
            <w:r>
              <w:rPr>
                <w:rFonts w:ascii="Arial"/>
                <w:spacing w:val="-2"/>
                <w:sz w:val="12"/>
              </w:rPr>
              <w:t>86.26</w:t>
            </w:r>
          </w:p>
        </w:tc>
      </w:tr>
      <w:tr w:rsidR="00141B97" w14:paraId="0D88C32A" w14:textId="77777777">
        <w:trPr>
          <w:trHeight w:val="172"/>
        </w:trPr>
        <w:tc>
          <w:tcPr>
            <w:tcW w:w="9623" w:type="dxa"/>
            <w:gridSpan w:val="8"/>
            <w:tcBorders>
              <w:top w:val="nil"/>
              <w:left w:val="nil"/>
              <w:bottom w:val="nil"/>
              <w:right w:val="nil"/>
            </w:tcBorders>
            <w:shd w:val="clear" w:color="auto" w:fill="CC99FF"/>
          </w:tcPr>
          <w:p w14:paraId="02B24EE1" w14:textId="77777777" w:rsidR="00141B97" w:rsidRDefault="00911D63">
            <w:pPr>
              <w:pStyle w:val="TableParagraph"/>
              <w:spacing w:before="11"/>
              <w:ind w:left="31"/>
              <w:rPr>
                <w:rFonts w:ascii="Arial"/>
                <w:b/>
                <w:sz w:val="12"/>
              </w:rPr>
            </w:pPr>
            <w:r>
              <w:rPr>
                <w:rFonts w:ascii="Arial"/>
                <w:b/>
                <w:spacing w:val="-2"/>
                <w:sz w:val="12"/>
              </w:rPr>
              <w:t>Diverters</w:t>
            </w:r>
          </w:p>
        </w:tc>
      </w:tr>
      <w:tr w:rsidR="00141B97" w14:paraId="76E64C10" w14:textId="77777777">
        <w:trPr>
          <w:trHeight w:val="148"/>
        </w:trPr>
        <w:tc>
          <w:tcPr>
            <w:tcW w:w="2543" w:type="dxa"/>
            <w:tcBorders>
              <w:top w:val="nil"/>
              <w:left w:val="single" w:sz="6" w:space="0" w:color="D4D4D4"/>
              <w:bottom w:val="single" w:sz="6" w:space="0" w:color="D4D4D4"/>
            </w:tcBorders>
          </w:tcPr>
          <w:p w14:paraId="52B3E94B" w14:textId="77777777" w:rsidR="00141B97" w:rsidRDefault="00911D63">
            <w:pPr>
              <w:pStyle w:val="TableParagraph"/>
              <w:spacing w:line="129" w:lineRule="exact"/>
              <w:ind w:left="23"/>
              <w:rPr>
                <w:rFonts w:ascii="Arial"/>
                <w:sz w:val="12"/>
              </w:rPr>
            </w:pPr>
            <w:r>
              <w:rPr>
                <w:rFonts w:ascii="Arial"/>
                <w:sz w:val="12"/>
              </w:rPr>
              <w:t>Operational</w:t>
            </w:r>
            <w:r>
              <w:rPr>
                <w:rFonts w:ascii="Arial"/>
                <w:spacing w:val="20"/>
                <w:sz w:val="12"/>
              </w:rPr>
              <w:t xml:space="preserve"> </w:t>
            </w:r>
            <w:r>
              <w:rPr>
                <w:rFonts w:ascii="Arial"/>
                <w:spacing w:val="-5"/>
                <w:sz w:val="12"/>
              </w:rPr>
              <w:t>Fee</w:t>
            </w:r>
          </w:p>
        </w:tc>
        <w:tc>
          <w:tcPr>
            <w:tcW w:w="922" w:type="dxa"/>
            <w:tcBorders>
              <w:top w:val="nil"/>
              <w:bottom w:val="single" w:sz="6" w:space="0" w:color="D4D4D4"/>
              <w:right w:val="single" w:sz="6" w:space="0" w:color="D4D4D4"/>
            </w:tcBorders>
          </w:tcPr>
          <w:p w14:paraId="5B09B437" w14:textId="77777777" w:rsidR="00141B97" w:rsidRDefault="00911D63">
            <w:pPr>
              <w:pStyle w:val="TableParagraph"/>
              <w:spacing w:line="129"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5"/>
                <w:sz w:val="12"/>
              </w:rPr>
              <w:t>ML</w:t>
            </w:r>
          </w:p>
        </w:tc>
        <w:tc>
          <w:tcPr>
            <w:tcW w:w="962" w:type="dxa"/>
            <w:tcBorders>
              <w:top w:val="nil"/>
              <w:left w:val="single" w:sz="6" w:space="0" w:color="D4D4D4"/>
              <w:bottom w:val="single" w:sz="6" w:space="0" w:color="D4D4D4"/>
              <w:right w:val="single" w:sz="6" w:space="0" w:color="D4D4D4"/>
            </w:tcBorders>
          </w:tcPr>
          <w:p w14:paraId="1E53973F" w14:textId="77777777" w:rsidR="00141B97" w:rsidRDefault="00911D63">
            <w:pPr>
              <w:pStyle w:val="TableParagraph"/>
              <w:spacing w:line="129" w:lineRule="exact"/>
              <w:ind w:right="48"/>
              <w:jc w:val="right"/>
              <w:rPr>
                <w:rFonts w:ascii="Arial"/>
                <w:sz w:val="12"/>
              </w:rPr>
            </w:pPr>
            <w:r>
              <w:rPr>
                <w:rFonts w:ascii="Arial"/>
                <w:spacing w:val="-2"/>
                <w:sz w:val="12"/>
              </w:rPr>
              <w:t>158.80</w:t>
            </w:r>
          </w:p>
        </w:tc>
        <w:tc>
          <w:tcPr>
            <w:tcW w:w="962" w:type="dxa"/>
            <w:tcBorders>
              <w:top w:val="nil"/>
              <w:left w:val="single" w:sz="6" w:space="0" w:color="D4D4D4"/>
              <w:bottom w:val="single" w:sz="6" w:space="0" w:color="D4D4D4"/>
              <w:right w:val="single" w:sz="6" w:space="0" w:color="D4D4D4"/>
            </w:tcBorders>
          </w:tcPr>
          <w:p w14:paraId="07DE09A2" w14:textId="77777777" w:rsidR="00141B97" w:rsidRDefault="00911D63">
            <w:pPr>
              <w:pStyle w:val="TableParagraph"/>
              <w:spacing w:line="129" w:lineRule="exact"/>
              <w:ind w:right="47"/>
              <w:jc w:val="right"/>
              <w:rPr>
                <w:rFonts w:ascii="Arial"/>
                <w:sz w:val="12"/>
              </w:rPr>
            </w:pPr>
            <w:r>
              <w:rPr>
                <w:rFonts w:ascii="Arial"/>
                <w:spacing w:val="-2"/>
                <w:sz w:val="12"/>
              </w:rPr>
              <w:t>159.02</w:t>
            </w:r>
          </w:p>
        </w:tc>
        <w:tc>
          <w:tcPr>
            <w:tcW w:w="1023" w:type="dxa"/>
            <w:tcBorders>
              <w:top w:val="nil"/>
              <w:left w:val="single" w:sz="6" w:space="0" w:color="D4D4D4"/>
              <w:bottom w:val="single" w:sz="6" w:space="0" w:color="D4D4D4"/>
            </w:tcBorders>
          </w:tcPr>
          <w:p w14:paraId="6C2432BD" w14:textId="77777777" w:rsidR="00141B97" w:rsidRDefault="00911D63">
            <w:pPr>
              <w:pStyle w:val="TableParagraph"/>
              <w:spacing w:line="129" w:lineRule="exact"/>
              <w:ind w:right="47"/>
              <w:jc w:val="right"/>
              <w:rPr>
                <w:rFonts w:ascii="Arial"/>
                <w:sz w:val="12"/>
              </w:rPr>
            </w:pPr>
            <w:r>
              <w:rPr>
                <w:rFonts w:ascii="Arial"/>
                <w:spacing w:val="-2"/>
                <w:sz w:val="12"/>
              </w:rPr>
              <w:t>159.24</w:t>
            </w:r>
          </w:p>
        </w:tc>
        <w:tc>
          <w:tcPr>
            <w:tcW w:w="1094" w:type="dxa"/>
            <w:tcBorders>
              <w:top w:val="nil"/>
              <w:bottom w:val="single" w:sz="6" w:space="0" w:color="D4D4D4"/>
            </w:tcBorders>
          </w:tcPr>
          <w:p w14:paraId="43BB60EA" w14:textId="77777777" w:rsidR="00141B97" w:rsidRDefault="00911D63">
            <w:pPr>
              <w:pStyle w:val="TableParagraph"/>
              <w:spacing w:line="129" w:lineRule="exact"/>
              <w:ind w:right="49"/>
              <w:jc w:val="right"/>
              <w:rPr>
                <w:rFonts w:ascii="Arial"/>
                <w:sz w:val="12"/>
              </w:rPr>
            </w:pPr>
            <w:r>
              <w:rPr>
                <w:rFonts w:ascii="Arial"/>
                <w:spacing w:val="-2"/>
                <w:sz w:val="12"/>
              </w:rPr>
              <w:t>159.46</w:t>
            </w:r>
          </w:p>
        </w:tc>
        <w:tc>
          <w:tcPr>
            <w:tcW w:w="962" w:type="dxa"/>
            <w:tcBorders>
              <w:top w:val="nil"/>
              <w:bottom w:val="single" w:sz="6" w:space="0" w:color="D4D4D4"/>
            </w:tcBorders>
          </w:tcPr>
          <w:p w14:paraId="0681CC59" w14:textId="77777777" w:rsidR="00141B97" w:rsidRDefault="00911D63">
            <w:pPr>
              <w:pStyle w:val="TableParagraph"/>
              <w:spacing w:line="129" w:lineRule="exact"/>
              <w:ind w:right="51"/>
              <w:jc w:val="right"/>
              <w:rPr>
                <w:rFonts w:ascii="Arial"/>
                <w:sz w:val="12"/>
              </w:rPr>
            </w:pPr>
            <w:r>
              <w:rPr>
                <w:rFonts w:ascii="Arial"/>
                <w:spacing w:val="-2"/>
                <w:sz w:val="12"/>
              </w:rPr>
              <w:t>159.68</w:t>
            </w:r>
          </w:p>
        </w:tc>
        <w:tc>
          <w:tcPr>
            <w:tcW w:w="1155" w:type="dxa"/>
            <w:tcBorders>
              <w:top w:val="nil"/>
              <w:bottom w:val="single" w:sz="6" w:space="0" w:color="D4D4D4"/>
              <w:right w:val="single" w:sz="6" w:space="0" w:color="D4D4D4"/>
            </w:tcBorders>
          </w:tcPr>
          <w:p w14:paraId="3C8935EB" w14:textId="77777777" w:rsidR="00141B97" w:rsidRDefault="00911D63">
            <w:pPr>
              <w:pStyle w:val="TableParagraph"/>
              <w:spacing w:line="129" w:lineRule="exact"/>
              <w:ind w:right="45"/>
              <w:jc w:val="right"/>
              <w:rPr>
                <w:rFonts w:ascii="Arial"/>
                <w:sz w:val="12"/>
              </w:rPr>
            </w:pPr>
            <w:r>
              <w:rPr>
                <w:rFonts w:ascii="Arial"/>
                <w:spacing w:val="-2"/>
                <w:sz w:val="12"/>
              </w:rPr>
              <w:t>159.90</w:t>
            </w:r>
          </w:p>
        </w:tc>
      </w:tr>
      <w:tr w:rsidR="00141B97" w14:paraId="32E3CA5D" w14:textId="77777777">
        <w:trPr>
          <w:trHeight w:val="147"/>
        </w:trPr>
        <w:tc>
          <w:tcPr>
            <w:tcW w:w="2543" w:type="dxa"/>
            <w:tcBorders>
              <w:top w:val="single" w:sz="6" w:space="0" w:color="D4D4D4"/>
              <w:left w:val="single" w:sz="6" w:space="0" w:color="D4D4D4"/>
              <w:bottom w:val="single" w:sz="6" w:space="0" w:color="D4D4D4"/>
            </w:tcBorders>
          </w:tcPr>
          <w:p w14:paraId="7C00FDE4" w14:textId="77777777" w:rsidR="00141B97" w:rsidRDefault="00911D63">
            <w:pPr>
              <w:pStyle w:val="TableParagraph"/>
              <w:spacing w:line="127" w:lineRule="exact"/>
              <w:ind w:left="23"/>
              <w:rPr>
                <w:rFonts w:ascii="Arial"/>
                <w:sz w:val="12"/>
              </w:rPr>
            </w:pPr>
            <w:r>
              <w:rPr>
                <w:rFonts w:ascii="Arial"/>
                <w:sz w:val="12"/>
              </w:rPr>
              <w:t>Annual</w:t>
            </w:r>
            <w:r>
              <w:rPr>
                <w:rFonts w:ascii="Arial"/>
                <w:spacing w:val="5"/>
                <w:sz w:val="12"/>
              </w:rPr>
              <w:t xml:space="preserve"> </w:t>
            </w:r>
            <w:r>
              <w:rPr>
                <w:rFonts w:ascii="Arial"/>
                <w:spacing w:val="-2"/>
                <w:sz w:val="12"/>
              </w:rPr>
              <w:t>Permit</w:t>
            </w:r>
          </w:p>
        </w:tc>
        <w:tc>
          <w:tcPr>
            <w:tcW w:w="922" w:type="dxa"/>
            <w:tcBorders>
              <w:top w:val="single" w:sz="6" w:space="0" w:color="D4D4D4"/>
              <w:bottom w:val="single" w:sz="6" w:space="0" w:color="D4D4D4"/>
              <w:right w:val="single" w:sz="6" w:space="0" w:color="D4D4D4"/>
            </w:tcBorders>
          </w:tcPr>
          <w:p w14:paraId="4D190C3D" w14:textId="77777777" w:rsidR="00141B97" w:rsidRDefault="00911D63">
            <w:pPr>
              <w:pStyle w:val="TableParagraph"/>
              <w:spacing w:line="127" w:lineRule="exact"/>
              <w:ind w:left="2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customer</w:t>
            </w:r>
          </w:p>
        </w:tc>
        <w:tc>
          <w:tcPr>
            <w:tcW w:w="962" w:type="dxa"/>
            <w:tcBorders>
              <w:top w:val="single" w:sz="6" w:space="0" w:color="D4D4D4"/>
              <w:left w:val="single" w:sz="6" w:space="0" w:color="D4D4D4"/>
              <w:bottom w:val="single" w:sz="6" w:space="0" w:color="D4D4D4"/>
              <w:right w:val="single" w:sz="6" w:space="0" w:color="D4D4D4"/>
            </w:tcBorders>
          </w:tcPr>
          <w:p w14:paraId="54F7561A" w14:textId="77777777" w:rsidR="00141B97" w:rsidRDefault="00911D63">
            <w:pPr>
              <w:pStyle w:val="TableParagraph"/>
              <w:spacing w:line="127" w:lineRule="exact"/>
              <w:ind w:right="48"/>
              <w:jc w:val="right"/>
              <w:rPr>
                <w:rFonts w:ascii="Arial"/>
                <w:sz w:val="12"/>
              </w:rPr>
            </w:pPr>
            <w:r>
              <w:rPr>
                <w:rFonts w:ascii="Arial"/>
                <w:spacing w:val="-2"/>
                <w:sz w:val="12"/>
              </w:rPr>
              <w:t>289.00</w:t>
            </w:r>
          </w:p>
        </w:tc>
        <w:tc>
          <w:tcPr>
            <w:tcW w:w="962" w:type="dxa"/>
            <w:tcBorders>
              <w:top w:val="single" w:sz="6" w:space="0" w:color="D4D4D4"/>
              <w:left w:val="single" w:sz="6" w:space="0" w:color="D4D4D4"/>
              <w:bottom w:val="single" w:sz="6" w:space="0" w:color="D4D4D4"/>
              <w:right w:val="single" w:sz="6" w:space="0" w:color="D4D4D4"/>
            </w:tcBorders>
          </w:tcPr>
          <w:p w14:paraId="2FAF0A66" w14:textId="77777777" w:rsidR="00141B97" w:rsidRDefault="00911D63">
            <w:pPr>
              <w:pStyle w:val="TableParagraph"/>
              <w:spacing w:line="127" w:lineRule="exact"/>
              <w:ind w:right="47"/>
              <w:jc w:val="right"/>
              <w:rPr>
                <w:rFonts w:ascii="Arial"/>
                <w:sz w:val="12"/>
              </w:rPr>
            </w:pPr>
            <w:r>
              <w:rPr>
                <w:rFonts w:ascii="Arial"/>
                <w:spacing w:val="-2"/>
                <w:sz w:val="12"/>
              </w:rPr>
              <w:t>341.56</w:t>
            </w:r>
          </w:p>
        </w:tc>
        <w:tc>
          <w:tcPr>
            <w:tcW w:w="1023" w:type="dxa"/>
            <w:tcBorders>
              <w:top w:val="single" w:sz="6" w:space="0" w:color="D4D4D4"/>
              <w:left w:val="single" w:sz="6" w:space="0" w:color="D4D4D4"/>
              <w:bottom w:val="single" w:sz="6" w:space="0" w:color="D4D4D4"/>
            </w:tcBorders>
          </w:tcPr>
          <w:p w14:paraId="692EB48F" w14:textId="77777777" w:rsidR="00141B97" w:rsidRDefault="00911D63">
            <w:pPr>
              <w:pStyle w:val="TableParagraph"/>
              <w:spacing w:line="127" w:lineRule="exact"/>
              <w:ind w:right="47"/>
              <w:jc w:val="right"/>
              <w:rPr>
                <w:rFonts w:ascii="Arial"/>
                <w:sz w:val="12"/>
              </w:rPr>
            </w:pPr>
            <w:r>
              <w:rPr>
                <w:rFonts w:ascii="Arial"/>
                <w:spacing w:val="-2"/>
                <w:sz w:val="12"/>
              </w:rPr>
              <w:t>341.56</w:t>
            </w:r>
          </w:p>
        </w:tc>
        <w:tc>
          <w:tcPr>
            <w:tcW w:w="1094" w:type="dxa"/>
            <w:tcBorders>
              <w:top w:val="single" w:sz="6" w:space="0" w:color="D4D4D4"/>
              <w:bottom w:val="single" w:sz="6" w:space="0" w:color="D4D4D4"/>
            </w:tcBorders>
          </w:tcPr>
          <w:p w14:paraId="3FD1B30E" w14:textId="77777777" w:rsidR="00141B97" w:rsidRDefault="00911D63">
            <w:pPr>
              <w:pStyle w:val="TableParagraph"/>
              <w:spacing w:line="127" w:lineRule="exact"/>
              <w:ind w:right="49"/>
              <w:jc w:val="right"/>
              <w:rPr>
                <w:rFonts w:ascii="Arial"/>
                <w:sz w:val="12"/>
              </w:rPr>
            </w:pPr>
            <w:r>
              <w:rPr>
                <w:rFonts w:ascii="Arial"/>
                <w:spacing w:val="-2"/>
                <w:sz w:val="12"/>
              </w:rPr>
              <w:t>341.56</w:t>
            </w:r>
          </w:p>
        </w:tc>
        <w:tc>
          <w:tcPr>
            <w:tcW w:w="962" w:type="dxa"/>
            <w:tcBorders>
              <w:top w:val="single" w:sz="6" w:space="0" w:color="D4D4D4"/>
              <w:bottom w:val="single" w:sz="6" w:space="0" w:color="D4D4D4"/>
            </w:tcBorders>
          </w:tcPr>
          <w:p w14:paraId="6ACF0982" w14:textId="77777777" w:rsidR="00141B97" w:rsidRDefault="00911D63">
            <w:pPr>
              <w:pStyle w:val="TableParagraph"/>
              <w:spacing w:line="127" w:lineRule="exact"/>
              <w:ind w:right="51"/>
              <w:jc w:val="right"/>
              <w:rPr>
                <w:rFonts w:ascii="Arial"/>
                <w:sz w:val="12"/>
              </w:rPr>
            </w:pPr>
            <w:r>
              <w:rPr>
                <w:rFonts w:ascii="Arial"/>
                <w:spacing w:val="-2"/>
                <w:sz w:val="12"/>
              </w:rPr>
              <w:t>341.56</w:t>
            </w:r>
          </w:p>
        </w:tc>
        <w:tc>
          <w:tcPr>
            <w:tcW w:w="1155" w:type="dxa"/>
            <w:tcBorders>
              <w:top w:val="single" w:sz="6" w:space="0" w:color="D4D4D4"/>
              <w:bottom w:val="single" w:sz="6" w:space="0" w:color="D4D4D4"/>
              <w:right w:val="single" w:sz="6" w:space="0" w:color="D4D4D4"/>
            </w:tcBorders>
          </w:tcPr>
          <w:p w14:paraId="23ACAFDF" w14:textId="77777777" w:rsidR="00141B97" w:rsidRDefault="00911D63">
            <w:pPr>
              <w:pStyle w:val="TableParagraph"/>
              <w:spacing w:line="127" w:lineRule="exact"/>
              <w:ind w:right="45"/>
              <w:jc w:val="right"/>
              <w:rPr>
                <w:rFonts w:ascii="Arial"/>
                <w:sz w:val="12"/>
              </w:rPr>
            </w:pPr>
            <w:r>
              <w:rPr>
                <w:rFonts w:ascii="Arial"/>
                <w:spacing w:val="-2"/>
                <w:sz w:val="12"/>
              </w:rPr>
              <w:t>341.56</w:t>
            </w:r>
          </w:p>
        </w:tc>
      </w:tr>
      <w:tr w:rsidR="00141B97" w14:paraId="3B20CE70" w14:textId="77777777">
        <w:trPr>
          <w:trHeight w:val="146"/>
        </w:trPr>
        <w:tc>
          <w:tcPr>
            <w:tcW w:w="2543" w:type="dxa"/>
            <w:tcBorders>
              <w:top w:val="single" w:sz="6" w:space="0" w:color="D4D4D4"/>
              <w:left w:val="single" w:sz="6" w:space="0" w:color="D4D4D4"/>
              <w:bottom w:val="single" w:sz="6" w:space="0" w:color="D4D4D4"/>
            </w:tcBorders>
          </w:tcPr>
          <w:p w14:paraId="67D72F25" w14:textId="77777777" w:rsidR="00141B97" w:rsidRDefault="00911D63">
            <w:pPr>
              <w:pStyle w:val="TableParagraph"/>
              <w:spacing w:line="127" w:lineRule="exact"/>
              <w:ind w:left="23"/>
              <w:rPr>
                <w:rFonts w:ascii="Arial"/>
                <w:sz w:val="12"/>
              </w:rPr>
            </w:pPr>
            <w:r>
              <w:rPr>
                <w:rFonts w:ascii="Arial"/>
                <w:sz w:val="12"/>
              </w:rPr>
              <w:t>Service</w:t>
            </w:r>
            <w:r>
              <w:rPr>
                <w:rFonts w:ascii="Arial"/>
                <w:spacing w:val="-2"/>
                <w:sz w:val="12"/>
              </w:rPr>
              <w:t xml:space="preserve"> Charge</w:t>
            </w:r>
          </w:p>
        </w:tc>
        <w:tc>
          <w:tcPr>
            <w:tcW w:w="922" w:type="dxa"/>
            <w:tcBorders>
              <w:top w:val="single" w:sz="6" w:space="0" w:color="D4D4D4"/>
              <w:bottom w:val="single" w:sz="6" w:space="0" w:color="D4D4D4"/>
              <w:right w:val="single" w:sz="6" w:space="0" w:color="D4D4D4"/>
            </w:tcBorders>
          </w:tcPr>
          <w:p w14:paraId="453884B8" w14:textId="77777777" w:rsidR="00141B97" w:rsidRDefault="00911D63">
            <w:pPr>
              <w:pStyle w:val="TableParagraph"/>
              <w:spacing w:line="127" w:lineRule="exact"/>
              <w:ind w:left="24" w:right="-44"/>
              <w:rPr>
                <w:rFonts w:ascii="Arial"/>
                <w:sz w:val="12"/>
              </w:rPr>
            </w:pPr>
            <w:r>
              <w:rPr>
                <w:rFonts w:ascii="Arial"/>
                <w:sz w:val="12"/>
              </w:rPr>
              <w:t>$</w:t>
            </w:r>
            <w:r>
              <w:rPr>
                <w:rFonts w:ascii="Arial"/>
                <w:spacing w:val="3"/>
                <w:sz w:val="12"/>
              </w:rPr>
              <w:t xml:space="preserve"> </w:t>
            </w:r>
            <w:r>
              <w:rPr>
                <w:rFonts w:ascii="Arial"/>
                <w:sz w:val="12"/>
              </w:rPr>
              <w:t>per</w:t>
            </w:r>
            <w:r>
              <w:rPr>
                <w:rFonts w:ascii="Arial"/>
                <w:spacing w:val="1"/>
                <w:sz w:val="12"/>
              </w:rPr>
              <w:t xml:space="preserve"> </w:t>
            </w:r>
            <w:r>
              <w:rPr>
                <w:rFonts w:ascii="Arial"/>
                <w:spacing w:val="-2"/>
                <w:sz w:val="12"/>
              </w:rPr>
              <w:t>Assessme</w:t>
            </w:r>
          </w:p>
        </w:tc>
        <w:tc>
          <w:tcPr>
            <w:tcW w:w="962" w:type="dxa"/>
            <w:tcBorders>
              <w:top w:val="single" w:sz="6" w:space="0" w:color="D4D4D4"/>
              <w:left w:val="single" w:sz="6" w:space="0" w:color="D4D4D4"/>
              <w:bottom w:val="single" w:sz="6" w:space="0" w:color="D4D4D4"/>
              <w:right w:val="single" w:sz="6" w:space="0" w:color="D4D4D4"/>
            </w:tcBorders>
          </w:tcPr>
          <w:p w14:paraId="24485E5D" w14:textId="77777777" w:rsidR="00141B97" w:rsidRDefault="00911D63">
            <w:pPr>
              <w:pStyle w:val="TableParagraph"/>
              <w:spacing w:line="127" w:lineRule="exact"/>
              <w:ind w:right="48"/>
              <w:jc w:val="right"/>
              <w:rPr>
                <w:rFonts w:ascii="Arial"/>
                <w:sz w:val="12"/>
              </w:rPr>
            </w:pPr>
            <w:r>
              <w:rPr>
                <w:rFonts w:ascii="Arial"/>
                <w:spacing w:val="-4"/>
                <w:sz w:val="12"/>
              </w:rPr>
              <w:t>3.12</w:t>
            </w:r>
          </w:p>
        </w:tc>
        <w:tc>
          <w:tcPr>
            <w:tcW w:w="962" w:type="dxa"/>
            <w:tcBorders>
              <w:top w:val="single" w:sz="6" w:space="0" w:color="D4D4D4"/>
              <w:left w:val="single" w:sz="6" w:space="0" w:color="D4D4D4"/>
              <w:bottom w:val="single" w:sz="6" w:space="0" w:color="D4D4D4"/>
              <w:right w:val="single" w:sz="6" w:space="0" w:color="D4D4D4"/>
            </w:tcBorders>
          </w:tcPr>
          <w:p w14:paraId="0758CF42" w14:textId="77777777" w:rsidR="00141B97" w:rsidRDefault="00911D63">
            <w:pPr>
              <w:pStyle w:val="TableParagraph"/>
              <w:spacing w:line="127" w:lineRule="exact"/>
              <w:ind w:right="50"/>
              <w:jc w:val="right"/>
              <w:rPr>
                <w:rFonts w:ascii="Arial"/>
                <w:sz w:val="12"/>
              </w:rPr>
            </w:pPr>
            <w:r>
              <w:rPr>
                <w:rFonts w:ascii="Arial"/>
                <w:spacing w:val="-4"/>
                <w:sz w:val="12"/>
              </w:rPr>
              <w:t>2.95</w:t>
            </w:r>
          </w:p>
        </w:tc>
        <w:tc>
          <w:tcPr>
            <w:tcW w:w="1023" w:type="dxa"/>
            <w:tcBorders>
              <w:top w:val="single" w:sz="6" w:space="0" w:color="D4D4D4"/>
              <w:left w:val="single" w:sz="6" w:space="0" w:color="D4D4D4"/>
              <w:bottom w:val="single" w:sz="6" w:space="0" w:color="D4D4D4"/>
            </w:tcBorders>
          </w:tcPr>
          <w:p w14:paraId="7513D6AA" w14:textId="77777777" w:rsidR="00141B97" w:rsidRDefault="00911D63">
            <w:pPr>
              <w:pStyle w:val="TableParagraph"/>
              <w:spacing w:line="127" w:lineRule="exact"/>
              <w:ind w:right="50"/>
              <w:jc w:val="right"/>
              <w:rPr>
                <w:rFonts w:ascii="Arial"/>
                <w:sz w:val="12"/>
              </w:rPr>
            </w:pPr>
            <w:r>
              <w:rPr>
                <w:rFonts w:ascii="Arial"/>
                <w:spacing w:val="-4"/>
                <w:sz w:val="12"/>
              </w:rPr>
              <w:t>2.78</w:t>
            </w:r>
          </w:p>
        </w:tc>
        <w:tc>
          <w:tcPr>
            <w:tcW w:w="1094" w:type="dxa"/>
            <w:tcBorders>
              <w:top w:val="single" w:sz="6" w:space="0" w:color="D4D4D4"/>
              <w:bottom w:val="single" w:sz="6" w:space="0" w:color="D4D4D4"/>
            </w:tcBorders>
          </w:tcPr>
          <w:p w14:paraId="151F20BC" w14:textId="77777777" w:rsidR="00141B97" w:rsidRDefault="00911D63">
            <w:pPr>
              <w:pStyle w:val="TableParagraph"/>
              <w:spacing w:line="127" w:lineRule="exact"/>
              <w:ind w:right="52"/>
              <w:jc w:val="right"/>
              <w:rPr>
                <w:rFonts w:ascii="Arial"/>
                <w:sz w:val="12"/>
              </w:rPr>
            </w:pPr>
            <w:r>
              <w:rPr>
                <w:rFonts w:ascii="Arial"/>
                <w:spacing w:val="-4"/>
                <w:sz w:val="12"/>
              </w:rPr>
              <w:t>2.63</w:t>
            </w:r>
          </w:p>
        </w:tc>
        <w:tc>
          <w:tcPr>
            <w:tcW w:w="962" w:type="dxa"/>
            <w:tcBorders>
              <w:top w:val="single" w:sz="6" w:space="0" w:color="D4D4D4"/>
              <w:bottom w:val="single" w:sz="6" w:space="0" w:color="D4D4D4"/>
            </w:tcBorders>
          </w:tcPr>
          <w:p w14:paraId="66379234" w14:textId="77777777" w:rsidR="00141B97" w:rsidRDefault="00911D63">
            <w:pPr>
              <w:pStyle w:val="TableParagraph"/>
              <w:spacing w:line="127" w:lineRule="exact"/>
              <w:ind w:right="51"/>
              <w:jc w:val="right"/>
              <w:rPr>
                <w:rFonts w:ascii="Arial"/>
                <w:sz w:val="12"/>
              </w:rPr>
            </w:pPr>
            <w:r>
              <w:rPr>
                <w:rFonts w:ascii="Arial"/>
                <w:spacing w:val="-4"/>
                <w:sz w:val="12"/>
              </w:rPr>
              <w:t>2.48</w:t>
            </w:r>
          </w:p>
        </w:tc>
        <w:tc>
          <w:tcPr>
            <w:tcW w:w="1155" w:type="dxa"/>
            <w:tcBorders>
              <w:top w:val="single" w:sz="6" w:space="0" w:color="D4D4D4"/>
              <w:bottom w:val="single" w:sz="6" w:space="0" w:color="D4D4D4"/>
              <w:right w:val="single" w:sz="6" w:space="0" w:color="D4D4D4"/>
            </w:tcBorders>
          </w:tcPr>
          <w:p w14:paraId="7CF0C0C9" w14:textId="77777777" w:rsidR="00141B97" w:rsidRDefault="00911D63">
            <w:pPr>
              <w:pStyle w:val="TableParagraph"/>
              <w:spacing w:line="127" w:lineRule="exact"/>
              <w:ind w:right="48"/>
              <w:jc w:val="right"/>
              <w:rPr>
                <w:rFonts w:ascii="Arial"/>
                <w:sz w:val="12"/>
              </w:rPr>
            </w:pPr>
            <w:r>
              <w:rPr>
                <w:rFonts w:ascii="Arial"/>
                <w:spacing w:val="-4"/>
                <w:sz w:val="12"/>
              </w:rPr>
              <w:t>2.34</w:t>
            </w:r>
          </w:p>
        </w:tc>
      </w:tr>
    </w:tbl>
    <w:p w14:paraId="749C7C6B" w14:textId="77777777" w:rsidR="00141B97" w:rsidRDefault="00911D63">
      <w:pPr>
        <w:spacing w:before="39"/>
        <w:ind w:left="114"/>
        <w:rPr>
          <w:sz w:val="16"/>
        </w:rPr>
      </w:pPr>
      <w:r>
        <w:rPr>
          <w:sz w:val="16"/>
        </w:rPr>
        <w:t>Table</w:t>
      </w:r>
      <w:r>
        <w:rPr>
          <w:spacing w:val="-4"/>
          <w:sz w:val="16"/>
        </w:rPr>
        <w:t xml:space="preserve"> </w:t>
      </w:r>
      <w:r>
        <w:rPr>
          <w:sz w:val="16"/>
        </w:rPr>
        <w:t>C30:</w:t>
      </w:r>
      <w:r>
        <w:rPr>
          <w:spacing w:val="-5"/>
          <w:sz w:val="16"/>
        </w:rPr>
        <w:t xml:space="preserve"> </w:t>
      </w:r>
      <w:r>
        <w:rPr>
          <w:sz w:val="16"/>
        </w:rPr>
        <w:t>Proposed</w:t>
      </w:r>
      <w:r>
        <w:rPr>
          <w:spacing w:val="-5"/>
          <w:sz w:val="16"/>
        </w:rPr>
        <w:t xml:space="preserve"> </w:t>
      </w:r>
      <w:r>
        <w:rPr>
          <w:sz w:val="16"/>
        </w:rPr>
        <w:t>Rural</w:t>
      </w:r>
      <w:r>
        <w:rPr>
          <w:spacing w:val="-4"/>
          <w:sz w:val="16"/>
        </w:rPr>
        <w:t xml:space="preserve"> </w:t>
      </w:r>
      <w:r>
        <w:rPr>
          <w:sz w:val="16"/>
        </w:rPr>
        <w:t>Tariffs</w:t>
      </w:r>
      <w:r>
        <w:rPr>
          <w:spacing w:val="-5"/>
          <w:sz w:val="16"/>
        </w:rPr>
        <w:t xml:space="preserve"> </w:t>
      </w:r>
      <w:r>
        <w:rPr>
          <w:sz w:val="16"/>
        </w:rPr>
        <w:t>–</w:t>
      </w:r>
      <w:r>
        <w:rPr>
          <w:spacing w:val="-5"/>
          <w:sz w:val="16"/>
        </w:rPr>
        <w:t xml:space="preserve"> </w:t>
      </w:r>
      <w:r>
        <w:rPr>
          <w:sz w:val="16"/>
        </w:rPr>
        <w:t>$</w:t>
      </w:r>
      <w:r>
        <w:rPr>
          <w:spacing w:val="-4"/>
          <w:sz w:val="16"/>
        </w:rPr>
        <w:t xml:space="preserve"> </w:t>
      </w:r>
      <w:r>
        <w:rPr>
          <w:spacing w:val="-2"/>
          <w:sz w:val="16"/>
        </w:rPr>
        <w:t>1/1/23</w:t>
      </w:r>
    </w:p>
    <w:p w14:paraId="325E1DFE" w14:textId="77777777" w:rsidR="00141B97" w:rsidRDefault="00141B97">
      <w:pPr>
        <w:rPr>
          <w:sz w:val="16"/>
        </w:rPr>
        <w:sectPr w:rsidR="00141B97">
          <w:pgSz w:w="11910" w:h="16840"/>
          <w:pgMar w:top="840" w:right="40" w:bottom="780" w:left="1020" w:header="0" w:footer="586" w:gutter="0"/>
          <w:cols w:space="720"/>
        </w:sectPr>
      </w:pPr>
    </w:p>
    <w:p w14:paraId="5FB15C55" w14:textId="77777777" w:rsidR="00141B97" w:rsidRDefault="00911D63">
      <w:pPr>
        <w:pStyle w:val="BodyText"/>
        <w:spacing w:before="31"/>
        <w:ind w:left="113" w:right="948"/>
        <w:jc w:val="both"/>
      </w:pPr>
      <w:r>
        <w:lastRenderedPageBreak/>
        <w:t>The changes to tariffs are reflected in changes to unit prices per ML, which vary according to the balance of service, delivery, and usage charges for any one customer. For comparative purposes, reference customers representing a typical customer in each district and for each service have been defined by their annual usage, as follows:</w:t>
      </w:r>
    </w:p>
    <w:p w14:paraId="32301886" w14:textId="77777777" w:rsidR="00141B97" w:rsidRDefault="00911D63">
      <w:pPr>
        <w:pStyle w:val="ListParagraph"/>
        <w:numPr>
          <w:ilvl w:val="0"/>
          <w:numId w:val="3"/>
        </w:numPr>
        <w:tabs>
          <w:tab w:val="left" w:pos="833"/>
          <w:tab w:val="left" w:pos="834"/>
          <w:tab w:val="left" w:pos="4083"/>
        </w:tabs>
        <w:spacing w:line="280" w:lineRule="exact"/>
        <w:ind w:left="833" w:hanging="361"/>
        <w:rPr>
          <w:rFonts w:ascii="Symbol" w:hAnsi="Symbol"/>
        </w:rPr>
      </w:pPr>
      <w:r>
        <w:rPr>
          <w:spacing w:val="-2"/>
        </w:rPr>
        <w:t>Irrigation</w:t>
      </w:r>
      <w:r>
        <w:rPr>
          <w:spacing w:val="5"/>
        </w:rPr>
        <w:t xml:space="preserve"> </w:t>
      </w:r>
      <w:r>
        <w:rPr>
          <w:spacing w:val="-2"/>
        </w:rPr>
        <w:t>customers</w:t>
      </w:r>
      <w:r>
        <w:tab/>
      </w:r>
      <w:r>
        <w:rPr>
          <w:w w:val="95"/>
        </w:rPr>
        <w:t>100ML/annum</w:t>
      </w:r>
      <w:r>
        <w:rPr>
          <w:spacing w:val="51"/>
        </w:rPr>
        <w:t xml:space="preserve"> </w:t>
      </w:r>
      <w:r>
        <w:rPr>
          <w:spacing w:val="-2"/>
          <w:w w:val="95"/>
        </w:rPr>
        <w:t>usage</w:t>
      </w:r>
    </w:p>
    <w:p w14:paraId="7A2998E1" w14:textId="77777777" w:rsidR="00141B97" w:rsidRDefault="00911D63">
      <w:pPr>
        <w:pStyle w:val="ListParagraph"/>
        <w:numPr>
          <w:ilvl w:val="0"/>
          <w:numId w:val="3"/>
        </w:numPr>
        <w:tabs>
          <w:tab w:val="left" w:pos="833"/>
          <w:tab w:val="left" w:pos="834"/>
          <w:tab w:val="left" w:pos="4083"/>
        </w:tabs>
        <w:spacing w:line="280" w:lineRule="exact"/>
        <w:ind w:left="833" w:hanging="361"/>
        <w:rPr>
          <w:rFonts w:ascii="Symbol" w:hAnsi="Symbol"/>
        </w:rPr>
      </w:pPr>
      <w:r>
        <w:t>Millewa</w:t>
      </w:r>
      <w:r>
        <w:rPr>
          <w:spacing w:val="-9"/>
        </w:rPr>
        <w:t xml:space="preserve"> </w:t>
      </w:r>
      <w:r>
        <w:t>Urban</w:t>
      </w:r>
      <w:r>
        <w:rPr>
          <w:spacing w:val="-10"/>
        </w:rPr>
        <w:t xml:space="preserve"> </w:t>
      </w:r>
      <w:r>
        <w:rPr>
          <w:spacing w:val="-2"/>
        </w:rPr>
        <w:t>customers</w:t>
      </w:r>
      <w:r>
        <w:tab/>
      </w:r>
      <w:r>
        <w:rPr>
          <w:spacing w:val="-2"/>
        </w:rPr>
        <w:t>400kL</w:t>
      </w:r>
    </w:p>
    <w:p w14:paraId="28DAE587" w14:textId="77777777" w:rsidR="00141B97" w:rsidRDefault="00911D63">
      <w:pPr>
        <w:pStyle w:val="ListParagraph"/>
        <w:numPr>
          <w:ilvl w:val="0"/>
          <w:numId w:val="3"/>
        </w:numPr>
        <w:tabs>
          <w:tab w:val="left" w:pos="833"/>
          <w:tab w:val="left" w:pos="834"/>
          <w:tab w:val="left" w:pos="4083"/>
        </w:tabs>
        <w:spacing w:before="1"/>
        <w:ind w:left="833" w:hanging="361"/>
        <w:rPr>
          <w:rFonts w:ascii="Symbol" w:hAnsi="Symbol"/>
        </w:rPr>
      </w:pPr>
      <w:r>
        <w:t>Millewa</w:t>
      </w:r>
      <w:r>
        <w:rPr>
          <w:spacing w:val="-10"/>
        </w:rPr>
        <w:t xml:space="preserve"> </w:t>
      </w:r>
      <w:r>
        <w:t>Rural</w:t>
      </w:r>
      <w:r>
        <w:rPr>
          <w:spacing w:val="-9"/>
        </w:rPr>
        <w:t xml:space="preserve"> </w:t>
      </w:r>
      <w:r>
        <w:rPr>
          <w:spacing w:val="-2"/>
        </w:rPr>
        <w:t>customers</w:t>
      </w:r>
      <w:r>
        <w:tab/>
      </w:r>
      <w:r>
        <w:rPr>
          <w:spacing w:val="-2"/>
        </w:rPr>
        <w:t>4300kL</w:t>
      </w:r>
    </w:p>
    <w:p w14:paraId="70A43432" w14:textId="77777777" w:rsidR="00141B97" w:rsidRDefault="00911D63">
      <w:pPr>
        <w:pStyle w:val="ListParagraph"/>
        <w:numPr>
          <w:ilvl w:val="0"/>
          <w:numId w:val="3"/>
        </w:numPr>
        <w:tabs>
          <w:tab w:val="left" w:pos="833"/>
          <w:tab w:val="left" w:pos="834"/>
          <w:tab w:val="left" w:pos="4083"/>
        </w:tabs>
        <w:spacing w:line="280" w:lineRule="exact"/>
        <w:ind w:left="833" w:hanging="361"/>
        <w:rPr>
          <w:rFonts w:ascii="Symbol" w:hAnsi="Symbol"/>
        </w:rPr>
      </w:pPr>
      <w:r>
        <w:t>WWD</w:t>
      </w:r>
      <w:r>
        <w:rPr>
          <w:spacing w:val="-5"/>
        </w:rPr>
        <w:t xml:space="preserve"> </w:t>
      </w:r>
      <w:r>
        <w:t>‐</w:t>
      </w:r>
      <w:r>
        <w:rPr>
          <w:spacing w:val="-5"/>
        </w:rPr>
        <w:t xml:space="preserve"> </w:t>
      </w:r>
      <w:r>
        <w:t>Other</w:t>
      </w:r>
      <w:r>
        <w:rPr>
          <w:spacing w:val="-5"/>
        </w:rPr>
        <w:t xml:space="preserve"> </w:t>
      </w:r>
      <w:r>
        <w:t>Stock</w:t>
      </w:r>
      <w:r>
        <w:rPr>
          <w:spacing w:val="-4"/>
        </w:rPr>
        <w:t xml:space="preserve"> </w:t>
      </w:r>
      <w:r>
        <w:rPr>
          <w:spacing w:val="-2"/>
        </w:rPr>
        <w:t>&amp;Domestic</w:t>
      </w:r>
      <w:r>
        <w:tab/>
      </w:r>
      <w:r>
        <w:rPr>
          <w:spacing w:val="-5"/>
        </w:rPr>
        <w:t>3ML</w:t>
      </w:r>
    </w:p>
    <w:p w14:paraId="66735F4B" w14:textId="77777777" w:rsidR="00141B97" w:rsidRDefault="00911D63">
      <w:pPr>
        <w:pStyle w:val="ListParagraph"/>
        <w:numPr>
          <w:ilvl w:val="0"/>
          <w:numId w:val="3"/>
        </w:numPr>
        <w:tabs>
          <w:tab w:val="left" w:pos="833"/>
          <w:tab w:val="left" w:pos="834"/>
          <w:tab w:val="left" w:pos="4083"/>
        </w:tabs>
        <w:spacing w:line="280" w:lineRule="exact"/>
        <w:ind w:left="833" w:hanging="361"/>
        <w:rPr>
          <w:rFonts w:ascii="Symbol" w:hAnsi="Symbol"/>
        </w:rPr>
      </w:pPr>
      <w:r>
        <w:rPr>
          <w:spacing w:val="-2"/>
        </w:rPr>
        <w:t>Diversions</w:t>
      </w:r>
      <w:r>
        <w:rPr>
          <w:spacing w:val="3"/>
        </w:rPr>
        <w:t xml:space="preserve"> </w:t>
      </w:r>
      <w:r>
        <w:rPr>
          <w:spacing w:val="-2"/>
        </w:rPr>
        <w:t>customers</w:t>
      </w:r>
      <w:r>
        <w:tab/>
      </w:r>
      <w:r>
        <w:rPr>
          <w:spacing w:val="-2"/>
        </w:rPr>
        <w:t>1000ML</w:t>
      </w:r>
    </w:p>
    <w:p w14:paraId="731BA745" w14:textId="77777777" w:rsidR="00141B97" w:rsidRDefault="00141B97">
      <w:pPr>
        <w:pStyle w:val="BodyText"/>
      </w:pPr>
    </w:p>
    <w:p w14:paraId="06ECF8E8" w14:textId="77777777" w:rsidR="00141B97" w:rsidRDefault="00911D63">
      <w:pPr>
        <w:pStyle w:val="BodyText"/>
        <w:spacing w:before="1"/>
        <w:ind w:left="113" w:right="949"/>
        <w:jc w:val="both"/>
      </w:pPr>
      <w:r>
        <w:t>The</w:t>
      </w:r>
      <w:r>
        <w:rPr>
          <w:spacing w:val="-11"/>
        </w:rPr>
        <w:t xml:space="preserve"> </w:t>
      </w:r>
      <w:r>
        <w:t>comparison</w:t>
      </w:r>
      <w:r>
        <w:rPr>
          <w:spacing w:val="-8"/>
        </w:rPr>
        <w:t xml:space="preserve"> </w:t>
      </w:r>
      <w:r>
        <w:t>of</w:t>
      </w:r>
      <w:r>
        <w:rPr>
          <w:spacing w:val="-10"/>
        </w:rPr>
        <w:t xml:space="preserve"> </w:t>
      </w:r>
      <w:r>
        <w:t>changes</w:t>
      </w:r>
      <w:r>
        <w:rPr>
          <w:spacing w:val="-8"/>
        </w:rPr>
        <w:t xml:space="preserve"> </w:t>
      </w:r>
      <w:r>
        <w:t>to</w:t>
      </w:r>
      <w:r>
        <w:rPr>
          <w:spacing w:val="-11"/>
        </w:rPr>
        <w:t xml:space="preserve"> </w:t>
      </w:r>
      <w:r>
        <w:t>prices</w:t>
      </w:r>
      <w:r>
        <w:rPr>
          <w:spacing w:val="-10"/>
        </w:rPr>
        <w:t xml:space="preserve"> </w:t>
      </w:r>
      <w:r>
        <w:t>(including</w:t>
      </w:r>
      <w:r>
        <w:rPr>
          <w:spacing w:val="-11"/>
        </w:rPr>
        <w:t xml:space="preserve"> </w:t>
      </w:r>
      <w:r>
        <w:t>pass</w:t>
      </w:r>
      <w:r>
        <w:rPr>
          <w:spacing w:val="-10"/>
        </w:rPr>
        <w:t xml:space="preserve"> </w:t>
      </w:r>
      <w:r>
        <w:t>through</w:t>
      </w:r>
      <w:r>
        <w:rPr>
          <w:spacing w:val="-9"/>
        </w:rPr>
        <w:t xml:space="preserve"> </w:t>
      </w:r>
      <w:r>
        <w:t>bulk</w:t>
      </w:r>
      <w:r>
        <w:rPr>
          <w:spacing w:val="-10"/>
        </w:rPr>
        <w:t xml:space="preserve"> </w:t>
      </w:r>
      <w:r>
        <w:t>water</w:t>
      </w:r>
      <w:r>
        <w:rPr>
          <w:spacing w:val="-11"/>
        </w:rPr>
        <w:t xml:space="preserve"> </w:t>
      </w:r>
      <w:r>
        <w:t>costs)</w:t>
      </w:r>
      <w:r>
        <w:rPr>
          <w:spacing w:val="-10"/>
        </w:rPr>
        <w:t xml:space="preserve"> </w:t>
      </w:r>
      <w:r>
        <w:t>for</w:t>
      </w:r>
      <w:r>
        <w:rPr>
          <w:spacing w:val="-9"/>
        </w:rPr>
        <w:t xml:space="preserve"> </w:t>
      </w:r>
      <w:r>
        <w:t>reference</w:t>
      </w:r>
      <w:r>
        <w:rPr>
          <w:spacing w:val="-11"/>
        </w:rPr>
        <w:t xml:space="preserve"> </w:t>
      </w:r>
      <w:r>
        <w:t>customers</w:t>
      </w:r>
      <w:r>
        <w:rPr>
          <w:spacing w:val="-9"/>
        </w:rPr>
        <w:t xml:space="preserve"> </w:t>
      </w:r>
      <w:r>
        <w:t>is</w:t>
      </w:r>
      <w:r>
        <w:rPr>
          <w:spacing w:val="-10"/>
        </w:rPr>
        <w:t xml:space="preserve"> </w:t>
      </w:r>
      <w:r>
        <w:t>shown in Table C31 in real terms ($ 1/1/23). Percentage change (% change) is average per annum for period 2023‐24 to 2027‐28.</w:t>
      </w:r>
    </w:p>
    <w:p w14:paraId="4C15930E" w14:textId="77777777" w:rsidR="00141B97" w:rsidRDefault="00141B97">
      <w:pPr>
        <w:pStyle w:val="BodyText"/>
        <w:spacing w:before="1"/>
        <w:rPr>
          <w:sz w:val="23"/>
        </w:rPr>
      </w:pPr>
    </w:p>
    <w:tbl>
      <w:tblPr>
        <w:tblW w:w="0" w:type="auto"/>
        <w:tblCellSpacing w:w="6" w:type="dxa"/>
        <w:tblInd w:w="142" w:type="dxa"/>
        <w:tblLayout w:type="fixed"/>
        <w:tblCellMar>
          <w:left w:w="0" w:type="dxa"/>
          <w:right w:w="0" w:type="dxa"/>
        </w:tblCellMar>
        <w:tblLook w:val="01E0" w:firstRow="1" w:lastRow="1" w:firstColumn="1" w:lastColumn="1" w:noHBand="0" w:noVBand="0"/>
      </w:tblPr>
      <w:tblGrid>
        <w:gridCol w:w="2550"/>
        <w:gridCol w:w="968"/>
        <w:gridCol w:w="968"/>
        <w:gridCol w:w="967"/>
        <w:gridCol w:w="966"/>
        <w:gridCol w:w="967"/>
        <w:gridCol w:w="967"/>
        <w:gridCol w:w="1504"/>
      </w:tblGrid>
      <w:tr w:rsidR="00141B97" w14:paraId="09EF8E98" w14:textId="77777777">
        <w:trPr>
          <w:trHeight w:val="659"/>
          <w:tblCellSpacing w:w="6" w:type="dxa"/>
        </w:trPr>
        <w:tc>
          <w:tcPr>
            <w:tcW w:w="2532" w:type="dxa"/>
            <w:shd w:val="clear" w:color="auto" w:fill="4E81BD"/>
          </w:tcPr>
          <w:p w14:paraId="72B75175" w14:textId="77777777" w:rsidR="00141B97" w:rsidRDefault="00141B97">
            <w:pPr>
              <w:pStyle w:val="TableParagraph"/>
              <w:spacing w:before="1"/>
              <w:rPr>
                <w:sz w:val="18"/>
              </w:rPr>
            </w:pPr>
          </w:p>
          <w:p w14:paraId="7DBCD961" w14:textId="77777777" w:rsidR="00141B97" w:rsidRDefault="00911D63">
            <w:pPr>
              <w:pStyle w:val="TableParagraph"/>
              <w:ind w:left="94"/>
              <w:rPr>
                <w:sz w:val="18"/>
              </w:rPr>
            </w:pPr>
            <w:r>
              <w:rPr>
                <w:color w:val="FFFFFF"/>
                <w:sz w:val="18"/>
              </w:rPr>
              <w:t>Rural</w:t>
            </w:r>
            <w:r>
              <w:rPr>
                <w:color w:val="FFFFFF"/>
                <w:spacing w:val="-4"/>
                <w:sz w:val="18"/>
              </w:rPr>
              <w:t xml:space="preserve"> </w:t>
            </w:r>
            <w:r>
              <w:rPr>
                <w:color w:val="FFFFFF"/>
                <w:spacing w:val="-2"/>
                <w:sz w:val="18"/>
              </w:rPr>
              <w:t>District</w:t>
            </w:r>
          </w:p>
        </w:tc>
        <w:tc>
          <w:tcPr>
            <w:tcW w:w="956" w:type="dxa"/>
            <w:shd w:val="clear" w:color="auto" w:fill="FFC000"/>
          </w:tcPr>
          <w:p w14:paraId="50EC6363" w14:textId="77777777" w:rsidR="00141B97" w:rsidRDefault="00911D63">
            <w:pPr>
              <w:pStyle w:val="TableParagraph"/>
              <w:spacing w:before="110"/>
              <w:ind w:left="168" w:firstLine="169"/>
              <w:rPr>
                <w:sz w:val="18"/>
              </w:rPr>
            </w:pPr>
            <w:r>
              <w:rPr>
                <w:color w:val="FFFFFF"/>
                <w:spacing w:val="-4"/>
                <w:sz w:val="18"/>
              </w:rPr>
              <w:t>PS4</w:t>
            </w:r>
            <w:r>
              <w:rPr>
                <w:color w:val="FFFFFF"/>
                <w:sz w:val="18"/>
              </w:rPr>
              <w:t xml:space="preserve"> </w:t>
            </w:r>
            <w:r>
              <w:rPr>
                <w:color w:val="FFFFFF"/>
                <w:spacing w:val="-2"/>
                <w:sz w:val="18"/>
              </w:rPr>
              <w:t>2022‐23</w:t>
            </w:r>
          </w:p>
        </w:tc>
        <w:tc>
          <w:tcPr>
            <w:tcW w:w="956" w:type="dxa"/>
            <w:shd w:val="clear" w:color="auto" w:fill="4E81BD"/>
          </w:tcPr>
          <w:p w14:paraId="17AD9E44" w14:textId="77777777" w:rsidR="00141B97" w:rsidRDefault="00141B97">
            <w:pPr>
              <w:pStyle w:val="TableParagraph"/>
              <w:spacing w:before="1"/>
              <w:rPr>
                <w:sz w:val="18"/>
              </w:rPr>
            </w:pPr>
          </w:p>
          <w:p w14:paraId="7A9D4D3F" w14:textId="77777777" w:rsidR="00141B97" w:rsidRDefault="00911D63">
            <w:pPr>
              <w:pStyle w:val="TableParagraph"/>
              <w:ind w:left="168"/>
              <w:rPr>
                <w:sz w:val="18"/>
              </w:rPr>
            </w:pPr>
            <w:r>
              <w:rPr>
                <w:color w:val="FFFFFF"/>
                <w:spacing w:val="-2"/>
                <w:sz w:val="18"/>
              </w:rPr>
              <w:t>2023‐24</w:t>
            </w:r>
          </w:p>
        </w:tc>
        <w:tc>
          <w:tcPr>
            <w:tcW w:w="955" w:type="dxa"/>
            <w:shd w:val="clear" w:color="auto" w:fill="4E81BD"/>
          </w:tcPr>
          <w:p w14:paraId="7FA97314" w14:textId="77777777" w:rsidR="00141B97" w:rsidRDefault="00141B97">
            <w:pPr>
              <w:pStyle w:val="TableParagraph"/>
              <w:spacing w:before="1"/>
              <w:rPr>
                <w:sz w:val="18"/>
              </w:rPr>
            </w:pPr>
          </w:p>
          <w:p w14:paraId="22B0B696" w14:textId="77777777" w:rsidR="00141B97" w:rsidRDefault="00911D63">
            <w:pPr>
              <w:pStyle w:val="TableParagraph"/>
              <w:ind w:right="165"/>
              <w:jc w:val="right"/>
              <w:rPr>
                <w:sz w:val="18"/>
              </w:rPr>
            </w:pPr>
            <w:r>
              <w:rPr>
                <w:color w:val="FFFFFF"/>
                <w:spacing w:val="-2"/>
                <w:sz w:val="18"/>
              </w:rPr>
              <w:t>2024‐25</w:t>
            </w:r>
          </w:p>
        </w:tc>
        <w:tc>
          <w:tcPr>
            <w:tcW w:w="954" w:type="dxa"/>
            <w:shd w:val="clear" w:color="auto" w:fill="4E81BD"/>
          </w:tcPr>
          <w:p w14:paraId="705956C1" w14:textId="77777777" w:rsidR="00141B97" w:rsidRDefault="00141B97">
            <w:pPr>
              <w:pStyle w:val="TableParagraph"/>
              <w:spacing w:before="1"/>
              <w:rPr>
                <w:sz w:val="18"/>
              </w:rPr>
            </w:pPr>
          </w:p>
          <w:p w14:paraId="2E622825" w14:textId="77777777" w:rsidR="00141B97" w:rsidRDefault="00911D63">
            <w:pPr>
              <w:pStyle w:val="TableParagraph"/>
              <w:ind w:right="164"/>
              <w:jc w:val="right"/>
              <w:rPr>
                <w:sz w:val="18"/>
              </w:rPr>
            </w:pPr>
            <w:r>
              <w:rPr>
                <w:color w:val="FFFFFF"/>
                <w:spacing w:val="-2"/>
                <w:sz w:val="18"/>
              </w:rPr>
              <w:t>2025‐26</w:t>
            </w:r>
          </w:p>
        </w:tc>
        <w:tc>
          <w:tcPr>
            <w:tcW w:w="955" w:type="dxa"/>
            <w:shd w:val="clear" w:color="auto" w:fill="4E81BD"/>
          </w:tcPr>
          <w:p w14:paraId="06AADB00" w14:textId="77777777" w:rsidR="00141B97" w:rsidRDefault="00141B97">
            <w:pPr>
              <w:pStyle w:val="TableParagraph"/>
              <w:spacing w:before="1"/>
              <w:rPr>
                <w:sz w:val="18"/>
              </w:rPr>
            </w:pPr>
          </w:p>
          <w:p w14:paraId="63A05462" w14:textId="77777777" w:rsidR="00141B97" w:rsidRDefault="00911D63">
            <w:pPr>
              <w:pStyle w:val="TableParagraph"/>
              <w:ind w:right="164"/>
              <w:jc w:val="right"/>
              <w:rPr>
                <w:sz w:val="18"/>
              </w:rPr>
            </w:pPr>
            <w:r>
              <w:rPr>
                <w:color w:val="FFFFFF"/>
                <w:spacing w:val="-2"/>
                <w:sz w:val="18"/>
              </w:rPr>
              <w:t>2026‐27</w:t>
            </w:r>
          </w:p>
        </w:tc>
        <w:tc>
          <w:tcPr>
            <w:tcW w:w="955" w:type="dxa"/>
            <w:shd w:val="clear" w:color="auto" w:fill="4E81BD"/>
          </w:tcPr>
          <w:p w14:paraId="18D21516" w14:textId="77777777" w:rsidR="00141B97" w:rsidRDefault="00141B97">
            <w:pPr>
              <w:pStyle w:val="TableParagraph"/>
              <w:spacing w:before="1"/>
              <w:rPr>
                <w:sz w:val="18"/>
              </w:rPr>
            </w:pPr>
          </w:p>
          <w:p w14:paraId="4E7FAC88" w14:textId="77777777" w:rsidR="00141B97" w:rsidRDefault="00911D63">
            <w:pPr>
              <w:pStyle w:val="TableParagraph"/>
              <w:ind w:left="168"/>
              <w:rPr>
                <w:sz w:val="18"/>
              </w:rPr>
            </w:pPr>
            <w:r>
              <w:rPr>
                <w:color w:val="FFFFFF"/>
                <w:spacing w:val="-2"/>
                <w:sz w:val="18"/>
              </w:rPr>
              <w:t>2027‐28</w:t>
            </w:r>
          </w:p>
        </w:tc>
        <w:tc>
          <w:tcPr>
            <w:tcW w:w="1486" w:type="dxa"/>
            <w:shd w:val="clear" w:color="auto" w:fill="4E81BD"/>
          </w:tcPr>
          <w:p w14:paraId="130AB872" w14:textId="77777777" w:rsidR="00141B97" w:rsidRDefault="00911D63">
            <w:pPr>
              <w:pStyle w:val="TableParagraph"/>
              <w:spacing w:before="1"/>
              <w:ind w:left="178"/>
              <w:rPr>
                <w:sz w:val="18"/>
              </w:rPr>
            </w:pPr>
            <w:r>
              <w:rPr>
                <w:color w:val="FFFFFF"/>
                <w:sz w:val="18"/>
              </w:rPr>
              <w:t>Average</w:t>
            </w:r>
            <w:r>
              <w:rPr>
                <w:color w:val="FFFFFF"/>
                <w:spacing w:val="-7"/>
                <w:sz w:val="18"/>
              </w:rPr>
              <w:t xml:space="preserve"> </w:t>
            </w:r>
            <w:r>
              <w:rPr>
                <w:color w:val="FFFFFF"/>
                <w:spacing w:val="-2"/>
                <w:sz w:val="18"/>
              </w:rPr>
              <w:t>annual</w:t>
            </w:r>
          </w:p>
          <w:p w14:paraId="1D52BB7E" w14:textId="77777777" w:rsidR="00141B97" w:rsidRDefault="00911D63">
            <w:pPr>
              <w:pStyle w:val="TableParagraph"/>
              <w:spacing w:line="220" w:lineRule="atLeast"/>
              <w:ind w:left="410" w:hanging="138"/>
              <w:rPr>
                <w:sz w:val="18"/>
              </w:rPr>
            </w:pPr>
            <w:r>
              <w:rPr>
                <w:color w:val="FFFFFF"/>
                <w:sz w:val="18"/>
              </w:rPr>
              <w:t>%</w:t>
            </w:r>
            <w:r>
              <w:rPr>
                <w:color w:val="FFFFFF"/>
                <w:spacing w:val="-11"/>
                <w:sz w:val="18"/>
              </w:rPr>
              <w:t xml:space="preserve"> </w:t>
            </w:r>
            <w:r>
              <w:rPr>
                <w:color w:val="FFFFFF"/>
                <w:sz w:val="18"/>
              </w:rPr>
              <w:t>Change</w:t>
            </w:r>
            <w:r>
              <w:rPr>
                <w:color w:val="FFFFFF"/>
                <w:spacing w:val="-10"/>
                <w:sz w:val="18"/>
              </w:rPr>
              <w:t xml:space="preserve"> </w:t>
            </w:r>
            <w:r>
              <w:rPr>
                <w:color w:val="FFFFFF"/>
                <w:sz w:val="18"/>
              </w:rPr>
              <w:t>P5 from PS4</w:t>
            </w:r>
          </w:p>
        </w:tc>
      </w:tr>
      <w:tr w:rsidR="00141B97" w14:paraId="3874F8E7" w14:textId="77777777">
        <w:trPr>
          <w:trHeight w:val="268"/>
          <w:tblCellSpacing w:w="6" w:type="dxa"/>
        </w:trPr>
        <w:tc>
          <w:tcPr>
            <w:tcW w:w="2532" w:type="dxa"/>
            <w:shd w:val="clear" w:color="auto" w:fill="CCE2ED"/>
          </w:tcPr>
          <w:p w14:paraId="463E0B13" w14:textId="77777777" w:rsidR="00141B97" w:rsidRDefault="00911D63">
            <w:pPr>
              <w:pStyle w:val="TableParagraph"/>
              <w:spacing w:before="24"/>
              <w:ind w:left="94"/>
              <w:rPr>
                <w:sz w:val="18"/>
              </w:rPr>
            </w:pPr>
            <w:r>
              <w:rPr>
                <w:sz w:val="18"/>
              </w:rPr>
              <w:t>Mildura</w:t>
            </w:r>
            <w:r>
              <w:rPr>
                <w:spacing w:val="-6"/>
                <w:sz w:val="18"/>
              </w:rPr>
              <w:t xml:space="preserve"> </w:t>
            </w:r>
            <w:r>
              <w:rPr>
                <w:spacing w:val="-2"/>
                <w:sz w:val="18"/>
              </w:rPr>
              <w:t>(100ML)</w:t>
            </w:r>
          </w:p>
        </w:tc>
        <w:tc>
          <w:tcPr>
            <w:tcW w:w="956" w:type="dxa"/>
            <w:shd w:val="clear" w:color="auto" w:fill="CCE2ED"/>
          </w:tcPr>
          <w:p w14:paraId="553BB809" w14:textId="77777777" w:rsidR="00141B97" w:rsidRDefault="00911D63">
            <w:pPr>
              <w:pStyle w:val="TableParagraph"/>
              <w:spacing w:before="24"/>
              <w:ind w:right="97"/>
              <w:jc w:val="right"/>
              <w:rPr>
                <w:sz w:val="18"/>
              </w:rPr>
            </w:pPr>
            <w:r>
              <w:rPr>
                <w:spacing w:val="-2"/>
                <w:sz w:val="18"/>
              </w:rPr>
              <w:t>$15,456</w:t>
            </w:r>
          </w:p>
        </w:tc>
        <w:tc>
          <w:tcPr>
            <w:tcW w:w="956" w:type="dxa"/>
            <w:shd w:val="clear" w:color="auto" w:fill="CCE2ED"/>
          </w:tcPr>
          <w:p w14:paraId="6F100CD4" w14:textId="77777777" w:rsidR="00141B97" w:rsidRDefault="00911D63">
            <w:pPr>
              <w:pStyle w:val="TableParagraph"/>
              <w:spacing w:before="24"/>
              <w:ind w:right="98"/>
              <w:jc w:val="right"/>
              <w:rPr>
                <w:sz w:val="18"/>
              </w:rPr>
            </w:pPr>
            <w:r>
              <w:rPr>
                <w:spacing w:val="-2"/>
                <w:sz w:val="18"/>
              </w:rPr>
              <w:t>$15,249</w:t>
            </w:r>
          </w:p>
        </w:tc>
        <w:tc>
          <w:tcPr>
            <w:tcW w:w="955" w:type="dxa"/>
            <w:shd w:val="clear" w:color="auto" w:fill="CCE2ED"/>
          </w:tcPr>
          <w:p w14:paraId="55C91FDE" w14:textId="77777777" w:rsidR="00141B97" w:rsidRDefault="00911D63">
            <w:pPr>
              <w:pStyle w:val="TableParagraph"/>
              <w:spacing w:before="24"/>
              <w:ind w:right="98"/>
              <w:jc w:val="right"/>
              <w:rPr>
                <w:sz w:val="18"/>
              </w:rPr>
            </w:pPr>
            <w:r>
              <w:rPr>
                <w:spacing w:val="-2"/>
                <w:sz w:val="18"/>
              </w:rPr>
              <w:t>$15,054</w:t>
            </w:r>
          </w:p>
        </w:tc>
        <w:tc>
          <w:tcPr>
            <w:tcW w:w="954" w:type="dxa"/>
            <w:shd w:val="clear" w:color="auto" w:fill="CCE2ED"/>
          </w:tcPr>
          <w:p w14:paraId="1FD8756C" w14:textId="77777777" w:rsidR="00141B97" w:rsidRDefault="00911D63">
            <w:pPr>
              <w:pStyle w:val="TableParagraph"/>
              <w:spacing w:before="24"/>
              <w:ind w:right="97"/>
              <w:jc w:val="right"/>
              <w:rPr>
                <w:sz w:val="18"/>
              </w:rPr>
            </w:pPr>
            <w:r>
              <w:rPr>
                <w:spacing w:val="-2"/>
                <w:sz w:val="18"/>
              </w:rPr>
              <w:t>$14,872</w:t>
            </w:r>
          </w:p>
        </w:tc>
        <w:tc>
          <w:tcPr>
            <w:tcW w:w="955" w:type="dxa"/>
            <w:shd w:val="clear" w:color="auto" w:fill="CCE2ED"/>
          </w:tcPr>
          <w:p w14:paraId="4E1D67AE" w14:textId="77777777" w:rsidR="00141B97" w:rsidRDefault="00911D63">
            <w:pPr>
              <w:pStyle w:val="TableParagraph"/>
              <w:spacing w:before="24"/>
              <w:ind w:right="97"/>
              <w:jc w:val="right"/>
              <w:rPr>
                <w:sz w:val="18"/>
              </w:rPr>
            </w:pPr>
            <w:r>
              <w:rPr>
                <w:spacing w:val="-2"/>
                <w:sz w:val="18"/>
              </w:rPr>
              <w:t>$14,701</w:t>
            </w:r>
          </w:p>
        </w:tc>
        <w:tc>
          <w:tcPr>
            <w:tcW w:w="955" w:type="dxa"/>
            <w:shd w:val="clear" w:color="auto" w:fill="CCE2ED"/>
          </w:tcPr>
          <w:p w14:paraId="591F67EF" w14:textId="77777777" w:rsidR="00141B97" w:rsidRDefault="00911D63">
            <w:pPr>
              <w:pStyle w:val="TableParagraph"/>
              <w:spacing w:before="24"/>
              <w:ind w:right="96"/>
              <w:jc w:val="right"/>
              <w:rPr>
                <w:sz w:val="18"/>
              </w:rPr>
            </w:pPr>
            <w:r>
              <w:rPr>
                <w:spacing w:val="-2"/>
                <w:sz w:val="18"/>
              </w:rPr>
              <w:t>$14,501</w:t>
            </w:r>
          </w:p>
        </w:tc>
        <w:tc>
          <w:tcPr>
            <w:tcW w:w="1486" w:type="dxa"/>
            <w:shd w:val="clear" w:color="auto" w:fill="CCE2ED"/>
          </w:tcPr>
          <w:p w14:paraId="24E320FB" w14:textId="77777777" w:rsidR="00141B97" w:rsidRDefault="00911D63">
            <w:pPr>
              <w:pStyle w:val="TableParagraph"/>
              <w:spacing w:before="24"/>
              <w:ind w:right="90"/>
              <w:jc w:val="right"/>
              <w:rPr>
                <w:sz w:val="18"/>
              </w:rPr>
            </w:pPr>
            <w:r>
              <w:rPr>
                <w:spacing w:val="-2"/>
                <w:sz w:val="18"/>
              </w:rPr>
              <w:t>‐1.27%</w:t>
            </w:r>
          </w:p>
        </w:tc>
      </w:tr>
      <w:tr w:rsidR="00141B97" w14:paraId="15E77A63" w14:textId="77777777">
        <w:trPr>
          <w:trHeight w:val="270"/>
          <w:tblCellSpacing w:w="6" w:type="dxa"/>
        </w:trPr>
        <w:tc>
          <w:tcPr>
            <w:tcW w:w="2532" w:type="dxa"/>
            <w:shd w:val="clear" w:color="auto" w:fill="CCE2ED"/>
          </w:tcPr>
          <w:p w14:paraId="7A7D86D6" w14:textId="77777777" w:rsidR="00141B97" w:rsidRDefault="00911D63">
            <w:pPr>
              <w:pStyle w:val="TableParagraph"/>
              <w:spacing w:before="26"/>
              <w:ind w:left="94"/>
              <w:rPr>
                <w:sz w:val="18"/>
              </w:rPr>
            </w:pPr>
            <w:r>
              <w:rPr>
                <w:sz w:val="18"/>
              </w:rPr>
              <w:t>Mildura</w:t>
            </w:r>
            <w:r>
              <w:rPr>
                <w:spacing w:val="-4"/>
                <w:sz w:val="18"/>
              </w:rPr>
              <w:t xml:space="preserve"> </w:t>
            </w:r>
            <w:r>
              <w:rPr>
                <w:sz w:val="18"/>
              </w:rPr>
              <w:t>HP</w:t>
            </w:r>
            <w:r>
              <w:rPr>
                <w:spacing w:val="-5"/>
                <w:sz w:val="18"/>
              </w:rPr>
              <w:t xml:space="preserve"> </w:t>
            </w:r>
            <w:r>
              <w:rPr>
                <w:spacing w:val="-2"/>
                <w:sz w:val="18"/>
              </w:rPr>
              <w:t>(100ML)</w:t>
            </w:r>
          </w:p>
        </w:tc>
        <w:tc>
          <w:tcPr>
            <w:tcW w:w="956" w:type="dxa"/>
            <w:shd w:val="clear" w:color="auto" w:fill="CCE2ED"/>
          </w:tcPr>
          <w:p w14:paraId="3CAAC68A" w14:textId="77777777" w:rsidR="00141B97" w:rsidRDefault="00911D63">
            <w:pPr>
              <w:pStyle w:val="TableParagraph"/>
              <w:spacing w:before="26"/>
              <w:ind w:right="97"/>
              <w:jc w:val="right"/>
              <w:rPr>
                <w:sz w:val="18"/>
              </w:rPr>
            </w:pPr>
            <w:r>
              <w:rPr>
                <w:spacing w:val="-2"/>
                <w:sz w:val="18"/>
              </w:rPr>
              <w:t>$23,742</w:t>
            </w:r>
          </w:p>
        </w:tc>
        <w:tc>
          <w:tcPr>
            <w:tcW w:w="956" w:type="dxa"/>
            <w:shd w:val="clear" w:color="auto" w:fill="CCE2ED"/>
          </w:tcPr>
          <w:p w14:paraId="7E8F6D47" w14:textId="77777777" w:rsidR="00141B97" w:rsidRDefault="00911D63">
            <w:pPr>
              <w:pStyle w:val="TableParagraph"/>
              <w:spacing w:before="26"/>
              <w:ind w:right="98"/>
              <w:jc w:val="right"/>
              <w:rPr>
                <w:sz w:val="18"/>
              </w:rPr>
            </w:pPr>
            <w:r>
              <w:rPr>
                <w:spacing w:val="-2"/>
                <w:sz w:val="18"/>
              </w:rPr>
              <w:t>$22,172</w:t>
            </w:r>
          </w:p>
        </w:tc>
        <w:tc>
          <w:tcPr>
            <w:tcW w:w="955" w:type="dxa"/>
            <w:shd w:val="clear" w:color="auto" w:fill="CCE2ED"/>
          </w:tcPr>
          <w:p w14:paraId="5F603221" w14:textId="77777777" w:rsidR="00141B97" w:rsidRDefault="00911D63">
            <w:pPr>
              <w:pStyle w:val="TableParagraph"/>
              <w:spacing w:before="26"/>
              <w:ind w:right="98"/>
              <w:jc w:val="right"/>
              <w:rPr>
                <w:sz w:val="18"/>
              </w:rPr>
            </w:pPr>
            <w:r>
              <w:rPr>
                <w:spacing w:val="-2"/>
                <w:sz w:val="18"/>
              </w:rPr>
              <w:t>$20,730</w:t>
            </w:r>
          </w:p>
        </w:tc>
        <w:tc>
          <w:tcPr>
            <w:tcW w:w="954" w:type="dxa"/>
            <w:shd w:val="clear" w:color="auto" w:fill="CCE2ED"/>
          </w:tcPr>
          <w:p w14:paraId="08700737" w14:textId="77777777" w:rsidR="00141B97" w:rsidRDefault="00911D63">
            <w:pPr>
              <w:pStyle w:val="TableParagraph"/>
              <w:spacing w:before="26"/>
              <w:ind w:right="97"/>
              <w:jc w:val="right"/>
              <w:rPr>
                <w:sz w:val="18"/>
              </w:rPr>
            </w:pPr>
            <w:r>
              <w:rPr>
                <w:spacing w:val="-2"/>
                <w:sz w:val="18"/>
              </w:rPr>
              <w:t>$19,408</w:t>
            </w:r>
          </w:p>
        </w:tc>
        <w:tc>
          <w:tcPr>
            <w:tcW w:w="955" w:type="dxa"/>
            <w:shd w:val="clear" w:color="auto" w:fill="CCE2ED"/>
          </w:tcPr>
          <w:p w14:paraId="4CD179AF" w14:textId="77777777" w:rsidR="00141B97" w:rsidRDefault="00911D63">
            <w:pPr>
              <w:pStyle w:val="TableParagraph"/>
              <w:spacing w:before="26"/>
              <w:ind w:right="97"/>
              <w:jc w:val="right"/>
              <w:rPr>
                <w:sz w:val="18"/>
              </w:rPr>
            </w:pPr>
            <w:r>
              <w:rPr>
                <w:spacing w:val="-2"/>
                <w:sz w:val="18"/>
              </w:rPr>
              <w:t>$18,193</w:t>
            </w:r>
          </w:p>
        </w:tc>
        <w:tc>
          <w:tcPr>
            <w:tcW w:w="955" w:type="dxa"/>
            <w:shd w:val="clear" w:color="auto" w:fill="CCE2ED"/>
          </w:tcPr>
          <w:p w14:paraId="1B360AF7" w14:textId="77777777" w:rsidR="00141B97" w:rsidRDefault="00911D63">
            <w:pPr>
              <w:pStyle w:val="TableParagraph"/>
              <w:spacing w:before="26"/>
              <w:ind w:right="96"/>
              <w:jc w:val="right"/>
              <w:rPr>
                <w:sz w:val="18"/>
              </w:rPr>
            </w:pPr>
            <w:r>
              <w:rPr>
                <w:spacing w:val="-2"/>
                <w:sz w:val="18"/>
              </w:rPr>
              <w:t>$17,036</w:t>
            </w:r>
          </w:p>
        </w:tc>
        <w:tc>
          <w:tcPr>
            <w:tcW w:w="1486" w:type="dxa"/>
            <w:shd w:val="clear" w:color="auto" w:fill="CCE2ED"/>
          </w:tcPr>
          <w:p w14:paraId="034F57C9" w14:textId="77777777" w:rsidR="00141B97" w:rsidRDefault="00911D63">
            <w:pPr>
              <w:pStyle w:val="TableParagraph"/>
              <w:spacing w:before="26"/>
              <w:ind w:right="90"/>
              <w:jc w:val="right"/>
              <w:rPr>
                <w:sz w:val="18"/>
              </w:rPr>
            </w:pPr>
            <w:r>
              <w:rPr>
                <w:spacing w:val="-2"/>
                <w:sz w:val="18"/>
              </w:rPr>
              <w:t>‐6.42%</w:t>
            </w:r>
          </w:p>
        </w:tc>
      </w:tr>
      <w:tr w:rsidR="00141B97" w14:paraId="0C92A398" w14:textId="77777777">
        <w:trPr>
          <w:trHeight w:val="269"/>
          <w:tblCellSpacing w:w="6" w:type="dxa"/>
        </w:trPr>
        <w:tc>
          <w:tcPr>
            <w:tcW w:w="2532" w:type="dxa"/>
            <w:shd w:val="clear" w:color="auto" w:fill="CCE2ED"/>
          </w:tcPr>
          <w:p w14:paraId="6C4EDC91" w14:textId="77777777" w:rsidR="00141B97" w:rsidRDefault="00911D63">
            <w:pPr>
              <w:pStyle w:val="TableParagraph"/>
              <w:spacing w:before="25"/>
              <w:ind w:left="94"/>
              <w:rPr>
                <w:sz w:val="18"/>
              </w:rPr>
            </w:pPr>
            <w:r>
              <w:rPr>
                <w:sz w:val="18"/>
              </w:rPr>
              <w:t>Merbein</w:t>
            </w:r>
            <w:r>
              <w:rPr>
                <w:spacing w:val="-7"/>
                <w:sz w:val="18"/>
              </w:rPr>
              <w:t xml:space="preserve"> </w:t>
            </w:r>
            <w:r>
              <w:rPr>
                <w:spacing w:val="-2"/>
                <w:sz w:val="18"/>
              </w:rPr>
              <w:t>(100ML)</w:t>
            </w:r>
          </w:p>
        </w:tc>
        <w:tc>
          <w:tcPr>
            <w:tcW w:w="956" w:type="dxa"/>
            <w:shd w:val="clear" w:color="auto" w:fill="CCE2ED"/>
          </w:tcPr>
          <w:p w14:paraId="287084CA" w14:textId="77777777" w:rsidR="00141B97" w:rsidRDefault="00911D63">
            <w:pPr>
              <w:pStyle w:val="TableParagraph"/>
              <w:spacing w:before="25"/>
              <w:ind w:right="97"/>
              <w:jc w:val="right"/>
              <w:rPr>
                <w:sz w:val="18"/>
              </w:rPr>
            </w:pPr>
            <w:r>
              <w:rPr>
                <w:spacing w:val="-2"/>
                <w:sz w:val="18"/>
              </w:rPr>
              <w:t>$11,729</w:t>
            </w:r>
          </w:p>
        </w:tc>
        <w:tc>
          <w:tcPr>
            <w:tcW w:w="956" w:type="dxa"/>
            <w:shd w:val="clear" w:color="auto" w:fill="CCE2ED"/>
          </w:tcPr>
          <w:p w14:paraId="7FA2F240" w14:textId="77777777" w:rsidR="00141B97" w:rsidRDefault="00911D63">
            <w:pPr>
              <w:pStyle w:val="TableParagraph"/>
              <w:spacing w:before="25"/>
              <w:ind w:right="98"/>
              <w:jc w:val="right"/>
              <w:rPr>
                <w:sz w:val="18"/>
              </w:rPr>
            </w:pPr>
            <w:r>
              <w:rPr>
                <w:spacing w:val="-2"/>
                <w:sz w:val="18"/>
              </w:rPr>
              <w:t>$11,848</w:t>
            </w:r>
          </w:p>
        </w:tc>
        <w:tc>
          <w:tcPr>
            <w:tcW w:w="955" w:type="dxa"/>
            <w:shd w:val="clear" w:color="auto" w:fill="CCE2ED"/>
          </w:tcPr>
          <w:p w14:paraId="29347C49" w14:textId="77777777" w:rsidR="00141B97" w:rsidRDefault="00911D63">
            <w:pPr>
              <w:pStyle w:val="TableParagraph"/>
              <w:spacing w:before="25"/>
              <w:ind w:right="98"/>
              <w:jc w:val="right"/>
              <w:rPr>
                <w:sz w:val="18"/>
              </w:rPr>
            </w:pPr>
            <w:r>
              <w:rPr>
                <w:spacing w:val="-2"/>
                <w:sz w:val="18"/>
              </w:rPr>
              <w:t>$11,986</w:t>
            </w:r>
          </w:p>
        </w:tc>
        <w:tc>
          <w:tcPr>
            <w:tcW w:w="954" w:type="dxa"/>
            <w:shd w:val="clear" w:color="auto" w:fill="CCE2ED"/>
          </w:tcPr>
          <w:p w14:paraId="5D90B9E2" w14:textId="77777777" w:rsidR="00141B97" w:rsidRDefault="00911D63">
            <w:pPr>
              <w:pStyle w:val="TableParagraph"/>
              <w:spacing w:before="25"/>
              <w:ind w:right="97"/>
              <w:jc w:val="right"/>
              <w:rPr>
                <w:sz w:val="18"/>
              </w:rPr>
            </w:pPr>
            <w:r>
              <w:rPr>
                <w:spacing w:val="-2"/>
                <w:sz w:val="18"/>
              </w:rPr>
              <w:t>$12,145</w:t>
            </w:r>
          </w:p>
        </w:tc>
        <w:tc>
          <w:tcPr>
            <w:tcW w:w="955" w:type="dxa"/>
            <w:shd w:val="clear" w:color="auto" w:fill="CCE2ED"/>
          </w:tcPr>
          <w:p w14:paraId="14380A3E" w14:textId="77777777" w:rsidR="00141B97" w:rsidRDefault="00911D63">
            <w:pPr>
              <w:pStyle w:val="TableParagraph"/>
              <w:spacing w:before="25"/>
              <w:ind w:right="97"/>
              <w:jc w:val="right"/>
              <w:rPr>
                <w:sz w:val="18"/>
              </w:rPr>
            </w:pPr>
            <w:r>
              <w:rPr>
                <w:spacing w:val="-2"/>
                <w:sz w:val="18"/>
              </w:rPr>
              <w:t>$12,327</w:t>
            </w:r>
          </w:p>
        </w:tc>
        <w:tc>
          <w:tcPr>
            <w:tcW w:w="955" w:type="dxa"/>
            <w:shd w:val="clear" w:color="auto" w:fill="CCE2ED"/>
          </w:tcPr>
          <w:p w14:paraId="44ED98A8" w14:textId="77777777" w:rsidR="00141B97" w:rsidRDefault="00911D63">
            <w:pPr>
              <w:pStyle w:val="TableParagraph"/>
              <w:spacing w:before="25"/>
              <w:ind w:right="96"/>
              <w:jc w:val="right"/>
              <w:rPr>
                <w:sz w:val="18"/>
              </w:rPr>
            </w:pPr>
            <w:r>
              <w:rPr>
                <w:spacing w:val="-2"/>
                <w:sz w:val="18"/>
              </w:rPr>
              <w:t>$12,491</w:t>
            </w:r>
          </w:p>
        </w:tc>
        <w:tc>
          <w:tcPr>
            <w:tcW w:w="1486" w:type="dxa"/>
            <w:shd w:val="clear" w:color="auto" w:fill="CCE2ED"/>
          </w:tcPr>
          <w:p w14:paraId="6A063E58" w14:textId="77777777" w:rsidR="00141B97" w:rsidRDefault="00911D63">
            <w:pPr>
              <w:pStyle w:val="TableParagraph"/>
              <w:spacing w:before="25"/>
              <w:ind w:right="90"/>
              <w:jc w:val="right"/>
              <w:rPr>
                <w:sz w:val="18"/>
              </w:rPr>
            </w:pPr>
            <w:r>
              <w:rPr>
                <w:spacing w:val="-2"/>
                <w:sz w:val="18"/>
              </w:rPr>
              <w:t>1.27%</w:t>
            </w:r>
          </w:p>
        </w:tc>
      </w:tr>
      <w:tr w:rsidR="00141B97" w14:paraId="355C5552" w14:textId="77777777">
        <w:trPr>
          <w:trHeight w:val="270"/>
          <w:tblCellSpacing w:w="6" w:type="dxa"/>
        </w:trPr>
        <w:tc>
          <w:tcPr>
            <w:tcW w:w="2532" w:type="dxa"/>
            <w:shd w:val="clear" w:color="auto" w:fill="CCE2ED"/>
          </w:tcPr>
          <w:p w14:paraId="709AA7BA" w14:textId="77777777" w:rsidR="00141B97" w:rsidRDefault="00911D63">
            <w:pPr>
              <w:pStyle w:val="TableParagraph"/>
              <w:spacing w:before="26"/>
              <w:ind w:left="94"/>
              <w:rPr>
                <w:sz w:val="18"/>
              </w:rPr>
            </w:pPr>
            <w:r>
              <w:rPr>
                <w:sz w:val="18"/>
              </w:rPr>
              <w:t>Red</w:t>
            </w:r>
            <w:r>
              <w:rPr>
                <w:spacing w:val="-4"/>
                <w:sz w:val="18"/>
              </w:rPr>
              <w:t xml:space="preserve"> </w:t>
            </w:r>
            <w:r>
              <w:rPr>
                <w:sz w:val="18"/>
              </w:rPr>
              <w:t>Cliffs</w:t>
            </w:r>
            <w:r>
              <w:rPr>
                <w:spacing w:val="-3"/>
                <w:sz w:val="18"/>
              </w:rPr>
              <w:t xml:space="preserve"> </w:t>
            </w:r>
            <w:r>
              <w:rPr>
                <w:spacing w:val="-2"/>
                <w:sz w:val="18"/>
              </w:rPr>
              <w:t>(100ML)</w:t>
            </w:r>
          </w:p>
        </w:tc>
        <w:tc>
          <w:tcPr>
            <w:tcW w:w="956" w:type="dxa"/>
            <w:shd w:val="clear" w:color="auto" w:fill="CCE2ED"/>
          </w:tcPr>
          <w:p w14:paraId="78217C88" w14:textId="77777777" w:rsidR="00141B97" w:rsidRDefault="00911D63">
            <w:pPr>
              <w:pStyle w:val="TableParagraph"/>
              <w:spacing w:before="26"/>
              <w:ind w:right="97"/>
              <w:jc w:val="right"/>
              <w:rPr>
                <w:sz w:val="18"/>
              </w:rPr>
            </w:pPr>
            <w:r>
              <w:rPr>
                <w:spacing w:val="-2"/>
                <w:sz w:val="18"/>
              </w:rPr>
              <w:t>$12,438</w:t>
            </w:r>
          </w:p>
        </w:tc>
        <w:tc>
          <w:tcPr>
            <w:tcW w:w="956" w:type="dxa"/>
            <w:shd w:val="clear" w:color="auto" w:fill="CCE2ED"/>
          </w:tcPr>
          <w:p w14:paraId="37B37840" w14:textId="77777777" w:rsidR="00141B97" w:rsidRDefault="00911D63">
            <w:pPr>
              <w:pStyle w:val="TableParagraph"/>
              <w:spacing w:before="26"/>
              <w:ind w:right="98"/>
              <w:jc w:val="right"/>
              <w:rPr>
                <w:sz w:val="18"/>
              </w:rPr>
            </w:pPr>
            <w:r>
              <w:rPr>
                <w:spacing w:val="-2"/>
                <w:sz w:val="18"/>
              </w:rPr>
              <w:t>$12,326</w:t>
            </w:r>
          </w:p>
        </w:tc>
        <w:tc>
          <w:tcPr>
            <w:tcW w:w="955" w:type="dxa"/>
            <w:shd w:val="clear" w:color="auto" w:fill="CCE2ED"/>
          </w:tcPr>
          <w:p w14:paraId="7B18F90D" w14:textId="77777777" w:rsidR="00141B97" w:rsidRDefault="00911D63">
            <w:pPr>
              <w:pStyle w:val="TableParagraph"/>
              <w:spacing w:before="26"/>
              <w:ind w:right="98"/>
              <w:jc w:val="right"/>
              <w:rPr>
                <w:sz w:val="18"/>
              </w:rPr>
            </w:pPr>
            <w:r>
              <w:rPr>
                <w:spacing w:val="-2"/>
                <w:sz w:val="18"/>
              </w:rPr>
              <w:t>$12,237</w:t>
            </w:r>
          </w:p>
        </w:tc>
        <w:tc>
          <w:tcPr>
            <w:tcW w:w="954" w:type="dxa"/>
            <w:shd w:val="clear" w:color="auto" w:fill="CCE2ED"/>
          </w:tcPr>
          <w:p w14:paraId="081764B5" w14:textId="77777777" w:rsidR="00141B97" w:rsidRDefault="00911D63">
            <w:pPr>
              <w:pStyle w:val="TableParagraph"/>
              <w:spacing w:before="26"/>
              <w:ind w:right="97"/>
              <w:jc w:val="right"/>
              <w:rPr>
                <w:sz w:val="18"/>
              </w:rPr>
            </w:pPr>
            <w:r>
              <w:rPr>
                <w:spacing w:val="-2"/>
                <w:sz w:val="18"/>
              </w:rPr>
              <w:t>$12,170</w:t>
            </w:r>
          </w:p>
        </w:tc>
        <w:tc>
          <w:tcPr>
            <w:tcW w:w="955" w:type="dxa"/>
            <w:shd w:val="clear" w:color="auto" w:fill="CCE2ED"/>
          </w:tcPr>
          <w:p w14:paraId="047F2656" w14:textId="77777777" w:rsidR="00141B97" w:rsidRDefault="00911D63">
            <w:pPr>
              <w:pStyle w:val="TableParagraph"/>
              <w:spacing w:before="26"/>
              <w:ind w:right="97"/>
              <w:jc w:val="right"/>
              <w:rPr>
                <w:sz w:val="18"/>
              </w:rPr>
            </w:pPr>
            <w:r>
              <w:rPr>
                <w:spacing w:val="-2"/>
                <w:sz w:val="18"/>
              </w:rPr>
              <w:t>$12,126</w:t>
            </w:r>
          </w:p>
        </w:tc>
        <w:tc>
          <w:tcPr>
            <w:tcW w:w="955" w:type="dxa"/>
            <w:shd w:val="clear" w:color="auto" w:fill="CCE2ED"/>
          </w:tcPr>
          <w:p w14:paraId="1CEE55A9" w14:textId="77777777" w:rsidR="00141B97" w:rsidRDefault="00911D63">
            <w:pPr>
              <w:pStyle w:val="TableParagraph"/>
              <w:spacing w:before="26"/>
              <w:ind w:right="96"/>
              <w:jc w:val="right"/>
              <w:rPr>
                <w:sz w:val="18"/>
              </w:rPr>
            </w:pPr>
            <w:r>
              <w:rPr>
                <w:spacing w:val="-2"/>
                <w:sz w:val="18"/>
              </w:rPr>
              <w:t>$12,063</w:t>
            </w:r>
          </w:p>
        </w:tc>
        <w:tc>
          <w:tcPr>
            <w:tcW w:w="1486" w:type="dxa"/>
            <w:shd w:val="clear" w:color="auto" w:fill="CCE2ED"/>
          </w:tcPr>
          <w:p w14:paraId="7E58F282" w14:textId="77777777" w:rsidR="00141B97" w:rsidRDefault="00911D63">
            <w:pPr>
              <w:pStyle w:val="TableParagraph"/>
              <w:spacing w:before="26"/>
              <w:ind w:right="90"/>
              <w:jc w:val="right"/>
              <w:rPr>
                <w:sz w:val="18"/>
              </w:rPr>
            </w:pPr>
            <w:r>
              <w:rPr>
                <w:spacing w:val="-2"/>
                <w:sz w:val="18"/>
              </w:rPr>
              <w:t>‐0.61%</w:t>
            </w:r>
          </w:p>
        </w:tc>
      </w:tr>
      <w:tr w:rsidR="00141B97" w14:paraId="06533F33" w14:textId="77777777">
        <w:trPr>
          <w:trHeight w:val="269"/>
          <w:tblCellSpacing w:w="6" w:type="dxa"/>
        </w:trPr>
        <w:tc>
          <w:tcPr>
            <w:tcW w:w="2532" w:type="dxa"/>
            <w:shd w:val="clear" w:color="auto" w:fill="CCE2ED"/>
          </w:tcPr>
          <w:p w14:paraId="3241FA70" w14:textId="77777777" w:rsidR="00141B97" w:rsidRDefault="00911D63">
            <w:pPr>
              <w:pStyle w:val="TableParagraph"/>
              <w:spacing w:before="25"/>
              <w:ind w:left="94"/>
              <w:rPr>
                <w:sz w:val="18"/>
              </w:rPr>
            </w:pPr>
            <w:r>
              <w:rPr>
                <w:sz w:val="18"/>
              </w:rPr>
              <w:t>Robinvale</w:t>
            </w:r>
            <w:r>
              <w:rPr>
                <w:spacing w:val="-8"/>
                <w:sz w:val="18"/>
              </w:rPr>
              <w:t xml:space="preserve"> </w:t>
            </w:r>
            <w:r>
              <w:rPr>
                <w:spacing w:val="-2"/>
                <w:sz w:val="18"/>
              </w:rPr>
              <w:t>(100ML)</w:t>
            </w:r>
          </w:p>
        </w:tc>
        <w:tc>
          <w:tcPr>
            <w:tcW w:w="956" w:type="dxa"/>
            <w:shd w:val="clear" w:color="auto" w:fill="CCE2ED"/>
          </w:tcPr>
          <w:p w14:paraId="283177C0" w14:textId="77777777" w:rsidR="00141B97" w:rsidRDefault="00911D63">
            <w:pPr>
              <w:pStyle w:val="TableParagraph"/>
              <w:spacing w:before="25"/>
              <w:ind w:right="97"/>
              <w:jc w:val="right"/>
              <w:rPr>
                <w:sz w:val="18"/>
              </w:rPr>
            </w:pPr>
            <w:r>
              <w:rPr>
                <w:spacing w:val="-2"/>
                <w:sz w:val="18"/>
              </w:rPr>
              <w:t>$23,100</w:t>
            </w:r>
          </w:p>
        </w:tc>
        <w:tc>
          <w:tcPr>
            <w:tcW w:w="956" w:type="dxa"/>
            <w:shd w:val="clear" w:color="auto" w:fill="CCE2ED"/>
          </w:tcPr>
          <w:p w14:paraId="0CCBCB28" w14:textId="77777777" w:rsidR="00141B97" w:rsidRDefault="00911D63">
            <w:pPr>
              <w:pStyle w:val="TableParagraph"/>
              <w:spacing w:before="25"/>
              <w:ind w:right="98"/>
              <w:jc w:val="right"/>
              <w:rPr>
                <w:sz w:val="18"/>
              </w:rPr>
            </w:pPr>
            <w:r>
              <w:rPr>
                <w:spacing w:val="-2"/>
                <w:sz w:val="18"/>
              </w:rPr>
              <w:t>$21,804</w:t>
            </w:r>
          </w:p>
        </w:tc>
        <w:tc>
          <w:tcPr>
            <w:tcW w:w="955" w:type="dxa"/>
            <w:shd w:val="clear" w:color="auto" w:fill="CCE2ED"/>
          </w:tcPr>
          <w:p w14:paraId="013D7F2C" w14:textId="77777777" w:rsidR="00141B97" w:rsidRDefault="00911D63">
            <w:pPr>
              <w:pStyle w:val="TableParagraph"/>
              <w:spacing w:before="25"/>
              <w:ind w:right="98"/>
              <w:jc w:val="right"/>
              <w:rPr>
                <w:sz w:val="18"/>
              </w:rPr>
            </w:pPr>
            <w:r>
              <w:rPr>
                <w:spacing w:val="-2"/>
                <w:sz w:val="18"/>
              </w:rPr>
              <w:t>$20,592</w:t>
            </w:r>
          </w:p>
        </w:tc>
        <w:tc>
          <w:tcPr>
            <w:tcW w:w="954" w:type="dxa"/>
            <w:shd w:val="clear" w:color="auto" w:fill="CCE2ED"/>
          </w:tcPr>
          <w:p w14:paraId="2F4472F5" w14:textId="77777777" w:rsidR="00141B97" w:rsidRDefault="00911D63">
            <w:pPr>
              <w:pStyle w:val="TableParagraph"/>
              <w:spacing w:before="25"/>
              <w:ind w:right="97"/>
              <w:jc w:val="right"/>
              <w:rPr>
                <w:sz w:val="18"/>
              </w:rPr>
            </w:pPr>
            <w:r>
              <w:rPr>
                <w:spacing w:val="-2"/>
                <w:sz w:val="18"/>
              </w:rPr>
              <w:t>$19,461</w:t>
            </w:r>
          </w:p>
        </w:tc>
        <w:tc>
          <w:tcPr>
            <w:tcW w:w="955" w:type="dxa"/>
            <w:shd w:val="clear" w:color="auto" w:fill="CCE2ED"/>
          </w:tcPr>
          <w:p w14:paraId="6FFAEEC7" w14:textId="77777777" w:rsidR="00141B97" w:rsidRDefault="00911D63">
            <w:pPr>
              <w:pStyle w:val="TableParagraph"/>
              <w:spacing w:before="25"/>
              <w:ind w:right="97"/>
              <w:jc w:val="right"/>
              <w:rPr>
                <w:sz w:val="18"/>
              </w:rPr>
            </w:pPr>
            <w:r>
              <w:rPr>
                <w:spacing w:val="-2"/>
                <w:sz w:val="18"/>
              </w:rPr>
              <w:t>$18,402</w:t>
            </w:r>
          </w:p>
        </w:tc>
        <w:tc>
          <w:tcPr>
            <w:tcW w:w="955" w:type="dxa"/>
            <w:shd w:val="clear" w:color="auto" w:fill="CCE2ED"/>
          </w:tcPr>
          <w:p w14:paraId="08A74278" w14:textId="77777777" w:rsidR="00141B97" w:rsidRDefault="00911D63">
            <w:pPr>
              <w:pStyle w:val="TableParagraph"/>
              <w:spacing w:before="25"/>
              <w:ind w:right="96"/>
              <w:jc w:val="right"/>
              <w:rPr>
                <w:sz w:val="18"/>
              </w:rPr>
            </w:pPr>
            <w:r>
              <w:rPr>
                <w:spacing w:val="-2"/>
                <w:sz w:val="18"/>
              </w:rPr>
              <w:t>$17,373</w:t>
            </w:r>
          </w:p>
        </w:tc>
        <w:tc>
          <w:tcPr>
            <w:tcW w:w="1486" w:type="dxa"/>
            <w:shd w:val="clear" w:color="auto" w:fill="CCE2ED"/>
          </w:tcPr>
          <w:p w14:paraId="13AD9C56" w14:textId="77777777" w:rsidR="00141B97" w:rsidRDefault="00911D63">
            <w:pPr>
              <w:pStyle w:val="TableParagraph"/>
              <w:spacing w:before="25"/>
              <w:ind w:right="90"/>
              <w:jc w:val="right"/>
              <w:rPr>
                <w:sz w:val="18"/>
              </w:rPr>
            </w:pPr>
            <w:r>
              <w:rPr>
                <w:spacing w:val="-2"/>
                <w:sz w:val="18"/>
              </w:rPr>
              <w:t>‐5.54%</w:t>
            </w:r>
          </w:p>
        </w:tc>
      </w:tr>
      <w:tr w:rsidR="00141B97" w14:paraId="7EF09E2C" w14:textId="77777777">
        <w:trPr>
          <w:trHeight w:val="270"/>
          <w:tblCellSpacing w:w="6" w:type="dxa"/>
        </w:trPr>
        <w:tc>
          <w:tcPr>
            <w:tcW w:w="2532" w:type="dxa"/>
            <w:shd w:val="clear" w:color="auto" w:fill="CCE2ED"/>
          </w:tcPr>
          <w:p w14:paraId="42AC4498" w14:textId="77777777" w:rsidR="00141B97" w:rsidRDefault="00911D63">
            <w:pPr>
              <w:pStyle w:val="TableParagraph"/>
              <w:spacing w:before="26"/>
              <w:ind w:left="94"/>
              <w:rPr>
                <w:sz w:val="18"/>
              </w:rPr>
            </w:pPr>
            <w:r>
              <w:rPr>
                <w:sz w:val="18"/>
              </w:rPr>
              <w:t>Private</w:t>
            </w:r>
            <w:r>
              <w:rPr>
                <w:spacing w:val="-7"/>
                <w:sz w:val="18"/>
              </w:rPr>
              <w:t xml:space="preserve"> </w:t>
            </w:r>
            <w:r>
              <w:rPr>
                <w:sz w:val="18"/>
              </w:rPr>
              <w:t>Diverters</w:t>
            </w:r>
            <w:r>
              <w:rPr>
                <w:spacing w:val="-6"/>
                <w:sz w:val="18"/>
              </w:rPr>
              <w:t xml:space="preserve"> </w:t>
            </w:r>
            <w:r>
              <w:rPr>
                <w:spacing w:val="-2"/>
                <w:sz w:val="18"/>
              </w:rPr>
              <w:t>(1,000ML)</w:t>
            </w:r>
          </w:p>
        </w:tc>
        <w:tc>
          <w:tcPr>
            <w:tcW w:w="956" w:type="dxa"/>
            <w:shd w:val="clear" w:color="auto" w:fill="CCE2ED"/>
          </w:tcPr>
          <w:p w14:paraId="65D0567B" w14:textId="77777777" w:rsidR="00141B97" w:rsidRDefault="00911D63">
            <w:pPr>
              <w:pStyle w:val="TableParagraph"/>
              <w:spacing w:before="26"/>
              <w:ind w:right="97"/>
              <w:jc w:val="right"/>
              <w:rPr>
                <w:sz w:val="18"/>
              </w:rPr>
            </w:pPr>
            <w:r>
              <w:rPr>
                <w:spacing w:val="-2"/>
                <w:sz w:val="18"/>
              </w:rPr>
              <w:t>$12,953</w:t>
            </w:r>
          </w:p>
        </w:tc>
        <w:tc>
          <w:tcPr>
            <w:tcW w:w="956" w:type="dxa"/>
            <w:shd w:val="clear" w:color="auto" w:fill="CCE2ED"/>
          </w:tcPr>
          <w:p w14:paraId="04928FAB" w14:textId="77777777" w:rsidR="00141B97" w:rsidRDefault="00911D63">
            <w:pPr>
              <w:pStyle w:val="TableParagraph"/>
              <w:spacing w:before="26"/>
              <w:ind w:right="98"/>
              <w:jc w:val="right"/>
              <w:rPr>
                <w:sz w:val="18"/>
              </w:rPr>
            </w:pPr>
            <w:r>
              <w:rPr>
                <w:spacing w:val="-2"/>
                <w:sz w:val="18"/>
              </w:rPr>
              <w:t>$13,153</w:t>
            </w:r>
          </w:p>
        </w:tc>
        <w:tc>
          <w:tcPr>
            <w:tcW w:w="955" w:type="dxa"/>
            <w:shd w:val="clear" w:color="auto" w:fill="CCE2ED"/>
          </w:tcPr>
          <w:p w14:paraId="059E4494" w14:textId="77777777" w:rsidR="00141B97" w:rsidRDefault="00911D63">
            <w:pPr>
              <w:pStyle w:val="TableParagraph"/>
              <w:spacing w:before="26"/>
              <w:ind w:right="98"/>
              <w:jc w:val="right"/>
              <w:rPr>
                <w:sz w:val="18"/>
              </w:rPr>
            </w:pPr>
            <w:r>
              <w:rPr>
                <w:spacing w:val="-2"/>
                <w:sz w:val="18"/>
              </w:rPr>
              <w:t>$13,333</w:t>
            </w:r>
          </w:p>
        </w:tc>
        <w:tc>
          <w:tcPr>
            <w:tcW w:w="954" w:type="dxa"/>
            <w:shd w:val="clear" w:color="auto" w:fill="CCE2ED"/>
          </w:tcPr>
          <w:p w14:paraId="23B990BF" w14:textId="77777777" w:rsidR="00141B97" w:rsidRDefault="00911D63">
            <w:pPr>
              <w:pStyle w:val="TableParagraph"/>
              <w:spacing w:before="26"/>
              <w:ind w:right="97"/>
              <w:jc w:val="right"/>
              <w:rPr>
                <w:sz w:val="18"/>
              </w:rPr>
            </w:pPr>
            <w:r>
              <w:rPr>
                <w:spacing w:val="-2"/>
                <w:sz w:val="18"/>
              </w:rPr>
              <w:t>$13,511</w:t>
            </w:r>
          </w:p>
        </w:tc>
        <w:tc>
          <w:tcPr>
            <w:tcW w:w="955" w:type="dxa"/>
            <w:shd w:val="clear" w:color="auto" w:fill="CCE2ED"/>
          </w:tcPr>
          <w:p w14:paraId="20F2C4F5" w14:textId="77777777" w:rsidR="00141B97" w:rsidRDefault="00911D63">
            <w:pPr>
              <w:pStyle w:val="TableParagraph"/>
              <w:spacing w:before="26"/>
              <w:ind w:right="97"/>
              <w:jc w:val="right"/>
              <w:rPr>
                <w:sz w:val="18"/>
              </w:rPr>
            </w:pPr>
            <w:r>
              <w:rPr>
                <w:spacing w:val="-2"/>
                <w:sz w:val="18"/>
              </w:rPr>
              <w:t>$13,678</w:t>
            </w:r>
          </w:p>
        </w:tc>
        <w:tc>
          <w:tcPr>
            <w:tcW w:w="955" w:type="dxa"/>
            <w:shd w:val="clear" w:color="auto" w:fill="CCE2ED"/>
          </w:tcPr>
          <w:p w14:paraId="1C7AAF1E" w14:textId="77777777" w:rsidR="00141B97" w:rsidRDefault="00911D63">
            <w:pPr>
              <w:pStyle w:val="TableParagraph"/>
              <w:spacing w:before="26"/>
              <w:ind w:right="96"/>
              <w:jc w:val="right"/>
              <w:rPr>
                <w:sz w:val="18"/>
              </w:rPr>
            </w:pPr>
            <w:r>
              <w:rPr>
                <w:spacing w:val="-2"/>
                <w:sz w:val="18"/>
              </w:rPr>
              <w:t>$13,438</w:t>
            </w:r>
          </w:p>
        </w:tc>
        <w:tc>
          <w:tcPr>
            <w:tcW w:w="1486" w:type="dxa"/>
            <w:shd w:val="clear" w:color="auto" w:fill="CCE2ED"/>
          </w:tcPr>
          <w:p w14:paraId="299CC9A6" w14:textId="77777777" w:rsidR="00141B97" w:rsidRDefault="00911D63">
            <w:pPr>
              <w:pStyle w:val="TableParagraph"/>
              <w:spacing w:before="26"/>
              <w:ind w:right="90"/>
              <w:jc w:val="right"/>
              <w:rPr>
                <w:sz w:val="18"/>
              </w:rPr>
            </w:pPr>
            <w:r>
              <w:rPr>
                <w:spacing w:val="-2"/>
                <w:sz w:val="18"/>
              </w:rPr>
              <w:t>0.75%</w:t>
            </w:r>
          </w:p>
        </w:tc>
      </w:tr>
      <w:tr w:rsidR="00141B97" w14:paraId="7E0B2AA3" w14:textId="77777777">
        <w:trPr>
          <w:trHeight w:val="269"/>
          <w:tblCellSpacing w:w="6" w:type="dxa"/>
        </w:trPr>
        <w:tc>
          <w:tcPr>
            <w:tcW w:w="2532" w:type="dxa"/>
            <w:shd w:val="clear" w:color="auto" w:fill="BFBFBF"/>
          </w:tcPr>
          <w:p w14:paraId="6FF0F904" w14:textId="77777777" w:rsidR="00141B97" w:rsidRDefault="00911D63">
            <w:pPr>
              <w:pStyle w:val="TableParagraph"/>
              <w:spacing w:before="25"/>
              <w:ind w:left="94"/>
              <w:rPr>
                <w:sz w:val="18"/>
              </w:rPr>
            </w:pPr>
            <w:r>
              <w:rPr>
                <w:sz w:val="18"/>
              </w:rPr>
              <w:t>Total</w:t>
            </w:r>
            <w:r>
              <w:rPr>
                <w:spacing w:val="-5"/>
                <w:sz w:val="18"/>
              </w:rPr>
              <w:t xml:space="preserve"> </w:t>
            </w:r>
            <w:r>
              <w:rPr>
                <w:sz w:val="18"/>
              </w:rPr>
              <w:t>Costs</w:t>
            </w:r>
            <w:r>
              <w:rPr>
                <w:spacing w:val="-4"/>
                <w:sz w:val="18"/>
              </w:rPr>
              <w:t xml:space="preserve"> </w:t>
            </w:r>
            <w:r>
              <w:rPr>
                <w:sz w:val="18"/>
              </w:rPr>
              <w:t>per</w:t>
            </w:r>
            <w:r>
              <w:rPr>
                <w:spacing w:val="-4"/>
                <w:sz w:val="18"/>
              </w:rPr>
              <w:t xml:space="preserve"> </w:t>
            </w:r>
            <w:r>
              <w:rPr>
                <w:spacing w:val="-5"/>
                <w:sz w:val="18"/>
              </w:rPr>
              <w:t>ML</w:t>
            </w:r>
          </w:p>
        </w:tc>
        <w:tc>
          <w:tcPr>
            <w:tcW w:w="956" w:type="dxa"/>
            <w:shd w:val="clear" w:color="auto" w:fill="BFBFBF"/>
          </w:tcPr>
          <w:p w14:paraId="0A8DF230" w14:textId="77777777" w:rsidR="00141B97" w:rsidRDefault="00911D63">
            <w:pPr>
              <w:pStyle w:val="TableParagraph"/>
              <w:spacing w:before="25"/>
              <w:ind w:right="98"/>
              <w:jc w:val="right"/>
              <w:rPr>
                <w:sz w:val="18"/>
              </w:rPr>
            </w:pPr>
            <w:r>
              <w:rPr>
                <w:spacing w:val="-4"/>
                <w:sz w:val="18"/>
              </w:rPr>
              <w:t>$878</w:t>
            </w:r>
          </w:p>
        </w:tc>
        <w:tc>
          <w:tcPr>
            <w:tcW w:w="956" w:type="dxa"/>
            <w:shd w:val="clear" w:color="auto" w:fill="BFBFBF"/>
          </w:tcPr>
          <w:p w14:paraId="0290C5ED" w14:textId="77777777" w:rsidR="00141B97" w:rsidRDefault="00911D63">
            <w:pPr>
              <w:pStyle w:val="TableParagraph"/>
              <w:spacing w:before="25"/>
              <w:ind w:right="98"/>
              <w:jc w:val="right"/>
              <w:rPr>
                <w:sz w:val="18"/>
              </w:rPr>
            </w:pPr>
            <w:r>
              <w:rPr>
                <w:spacing w:val="-4"/>
                <w:sz w:val="18"/>
              </w:rPr>
              <w:t>$853</w:t>
            </w:r>
          </w:p>
        </w:tc>
        <w:tc>
          <w:tcPr>
            <w:tcW w:w="955" w:type="dxa"/>
            <w:shd w:val="clear" w:color="auto" w:fill="BFBFBF"/>
          </w:tcPr>
          <w:p w14:paraId="0705C834" w14:textId="77777777" w:rsidR="00141B97" w:rsidRDefault="00911D63">
            <w:pPr>
              <w:pStyle w:val="TableParagraph"/>
              <w:spacing w:before="25"/>
              <w:ind w:right="98"/>
              <w:jc w:val="right"/>
              <w:rPr>
                <w:sz w:val="18"/>
              </w:rPr>
            </w:pPr>
            <w:r>
              <w:rPr>
                <w:spacing w:val="-4"/>
                <w:sz w:val="18"/>
              </w:rPr>
              <w:t>$825</w:t>
            </w:r>
          </w:p>
        </w:tc>
        <w:tc>
          <w:tcPr>
            <w:tcW w:w="954" w:type="dxa"/>
            <w:shd w:val="clear" w:color="auto" w:fill="BFBFBF"/>
          </w:tcPr>
          <w:p w14:paraId="03DE21BA" w14:textId="77777777" w:rsidR="00141B97" w:rsidRDefault="00911D63">
            <w:pPr>
              <w:pStyle w:val="TableParagraph"/>
              <w:spacing w:before="25"/>
              <w:ind w:right="97"/>
              <w:jc w:val="right"/>
              <w:rPr>
                <w:sz w:val="18"/>
              </w:rPr>
            </w:pPr>
            <w:r>
              <w:rPr>
                <w:spacing w:val="-4"/>
                <w:sz w:val="18"/>
              </w:rPr>
              <w:t>$799</w:t>
            </w:r>
          </w:p>
        </w:tc>
        <w:tc>
          <w:tcPr>
            <w:tcW w:w="955" w:type="dxa"/>
            <w:shd w:val="clear" w:color="auto" w:fill="BFBFBF"/>
          </w:tcPr>
          <w:p w14:paraId="7BC094D4" w14:textId="77777777" w:rsidR="00141B97" w:rsidRDefault="00911D63">
            <w:pPr>
              <w:pStyle w:val="TableParagraph"/>
              <w:spacing w:before="25"/>
              <w:ind w:right="97"/>
              <w:jc w:val="right"/>
              <w:rPr>
                <w:sz w:val="18"/>
              </w:rPr>
            </w:pPr>
            <w:r>
              <w:rPr>
                <w:spacing w:val="-4"/>
                <w:sz w:val="18"/>
              </w:rPr>
              <w:t>$776</w:t>
            </w:r>
          </w:p>
        </w:tc>
        <w:tc>
          <w:tcPr>
            <w:tcW w:w="955" w:type="dxa"/>
            <w:shd w:val="clear" w:color="auto" w:fill="BFBFBF"/>
          </w:tcPr>
          <w:p w14:paraId="261A89C6" w14:textId="77777777" w:rsidR="00141B97" w:rsidRDefault="00911D63">
            <w:pPr>
              <w:pStyle w:val="TableParagraph"/>
              <w:spacing w:before="25"/>
              <w:ind w:right="97"/>
              <w:jc w:val="right"/>
              <w:rPr>
                <w:sz w:val="18"/>
              </w:rPr>
            </w:pPr>
            <w:r>
              <w:rPr>
                <w:spacing w:val="-4"/>
                <w:sz w:val="18"/>
              </w:rPr>
              <w:t>$753</w:t>
            </w:r>
          </w:p>
        </w:tc>
        <w:tc>
          <w:tcPr>
            <w:tcW w:w="1486" w:type="dxa"/>
            <w:shd w:val="clear" w:color="auto" w:fill="BFBFBF"/>
          </w:tcPr>
          <w:p w14:paraId="63242E25" w14:textId="77777777" w:rsidR="00141B97" w:rsidRDefault="00141B97">
            <w:pPr>
              <w:pStyle w:val="TableParagraph"/>
              <w:rPr>
                <w:rFonts w:ascii="Times New Roman"/>
                <w:sz w:val="18"/>
              </w:rPr>
            </w:pPr>
          </w:p>
        </w:tc>
      </w:tr>
      <w:tr w:rsidR="00141B97" w14:paraId="0488A896" w14:textId="77777777">
        <w:trPr>
          <w:trHeight w:val="270"/>
          <w:tblCellSpacing w:w="6" w:type="dxa"/>
        </w:trPr>
        <w:tc>
          <w:tcPr>
            <w:tcW w:w="2532" w:type="dxa"/>
            <w:shd w:val="clear" w:color="auto" w:fill="BFBFBF"/>
          </w:tcPr>
          <w:p w14:paraId="0D6FB052" w14:textId="77777777" w:rsidR="00141B97" w:rsidRDefault="00911D63">
            <w:pPr>
              <w:pStyle w:val="TableParagraph"/>
              <w:spacing w:before="26"/>
              <w:ind w:left="94"/>
              <w:rPr>
                <w:sz w:val="18"/>
              </w:rPr>
            </w:pPr>
            <w:r>
              <w:rPr>
                <w:sz w:val="18"/>
              </w:rPr>
              <w:t>ML</w:t>
            </w:r>
            <w:r>
              <w:rPr>
                <w:spacing w:val="-2"/>
                <w:sz w:val="18"/>
              </w:rPr>
              <w:t xml:space="preserve"> </w:t>
            </w:r>
            <w:r>
              <w:rPr>
                <w:sz w:val="18"/>
              </w:rPr>
              <w:t>%</w:t>
            </w:r>
            <w:r>
              <w:rPr>
                <w:spacing w:val="-2"/>
                <w:sz w:val="18"/>
              </w:rPr>
              <w:t xml:space="preserve"> Movement</w:t>
            </w:r>
          </w:p>
        </w:tc>
        <w:tc>
          <w:tcPr>
            <w:tcW w:w="956" w:type="dxa"/>
            <w:shd w:val="clear" w:color="auto" w:fill="BFBFBF"/>
          </w:tcPr>
          <w:p w14:paraId="10CBEC12" w14:textId="77777777" w:rsidR="00141B97" w:rsidRDefault="00141B97">
            <w:pPr>
              <w:pStyle w:val="TableParagraph"/>
              <w:rPr>
                <w:rFonts w:ascii="Times New Roman"/>
                <w:sz w:val="18"/>
              </w:rPr>
            </w:pPr>
          </w:p>
        </w:tc>
        <w:tc>
          <w:tcPr>
            <w:tcW w:w="956" w:type="dxa"/>
            <w:shd w:val="clear" w:color="auto" w:fill="BFBFBF"/>
          </w:tcPr>
          <w:p w14:paraId="7A2C1D71" w14:textId="77777777" w:rsidR="00141B97" w:rsidRDefault="00911D63">
            <w:pPr>
              <w:pStyle w:val="TableParagraph"/>
              <w:spacing w:before="26"/>
              <w:ind w:right="98"/>
              <w:jc w:val="right"/>
              <w:rPr>
                <w:sz w:val="18"/>
              </w:rPr>
            </w:pPr>
            <w:r>
              <w:rPr>
                <w:spacing w:val="-2"/>
                <w:sz w:val="18"/>
              </w:rPr>
              <w:t>‐2.76%</w:t>
            </w:r>
          </w:p>
        </w:tc>
        <w:tc>
          <w:tcPr>
            <w:tcW w:w="955" w:type="dxa"/>
            <w:shd w:val="clear" w:color="auto" w:fill="BFBFBF"/>
          </w:tcPr>
          <w:p w14:paraId="09726D04" w14:textId="77777777" w:rsidR="00141B97" w:rsidRDefault="00911D63">
            <w:pPr>
              <w:pStyle w:val="TableParagraph"/>
              <w:spacing w:before="26"/>
              <w:ind w:right="98"/>
              <w:jc w:val="right"/>
              <w:rPr>
                <w:sz w:val="18"/>
              </w:rPr>
            </w:pPr>
            <w:r>
              <w:rPr>
                <w:spacing w:val="-2"/>
                <w:sz w:val="18"/>
              </w:rPr>
              <w:t>‐3.31%</w:t>
            </w:r>
          </w:p>
        </w:tc>
        <w:tc>
          <w:tcPr>
            <w:tcW w:w="954" w:type="dxa"/>
            <w:shd w:val="clear" w:color="auto" w:fill="BFBFBF"/>
          </w:tcPr>
          <w:p w14:paraId="05CCFAC3" w14:textId="77777777" w:rsidR="00141B97" w:rsidRDefault="00911D63">
            <w:pPr>
              <w:pStyle w:val="TableParagraph"/>
              <w:spacing w:before="26"/>
              <w:ind w:right="97"/>
              <w:jc w:val="right"/>
              <w:rPr>
                <w:sz w:val="18"/>
              </w:rPr>
            </w:pPr>
            <w:r>
              <w:rPr>
                <w:spacing w:val="-2"/>
                <w:sz w:val="18"/>
              </w:rPr>
              <w:t>‐3.11%</w:t>
            </w:r>
          </w:p>
        </w:tc>
        <w:tc>
          <w:tcPr>
            <w:tcW w:w="955" w:type="dxa"/>
            <w:shd w:val="clear" w:color="auto" w:fill="BFBFBF"/>
          </w:tcPr>
          <w:p w14:paraId="23BCC92F" w14:textId="77777777" w:rsidR="00141B97" w:rsidRDefault="00911D63">
            <w:pPr>
              <w:pStyle w:val="TableParagraph"/>
              <w:spacing w:before="26"/>
              <w:ind w:right="97"/>
              <w:jc w:val="right"/>
              <w:rPr>
                <w:sz w:val="18"/>
              </w:rPr>
            </w:pPr>
            <w:r>
              <w:rPr>
                <w:spacing w:val="-2"/>
                <w:sz w:val="18"/>
              </w:rPr>
              <w:t>‐2.92%</w:t>
            </w:r>
          </w:p>
        </w:tc>
        <w:tc>
          <w:tcPr>
            <w:tcW w:w="955" w:type="dxa"/>
            <w:shd w:val="clear" w:color="auto" w:fill="BFBFBF"/>
          </w:tcPr>
          <w:p w14:paraId="1C7EC859" w14:textId="77777777" w:rsidR="00141B97" w:rsidRDefault="00911D63">
            <w:pPr>
              <w:pStyle w:val="TableParagraph"/>
              <w:spacing w:before="26"/>
              <w:ind w:right="96"/>
              <w:jc w:val="right"/>
              <w:rPr>
                <w:sz w:val="18"/>
              </w:rPr>
            </w:pPr>
            <w:r>
              <w:rPr>
                <w:spacing w:val="-2"/>
                <w:sz w:val="18"/>
              </w:rPr>
              <w:t>‐2.97%</w:t>
            </w:r>
          </w:p>
        </w:tc>
        <w:tc>
          <w:tcPr>
            <w:tcW w:w="1486" w:type="dxa"/>
            <w:shd w:val="clear" w:color="auto" w:fill="BFBFBF"/>
          </w:tcPr>
          <w:p w14:paraId="46D8C19E" w14:textId="77777777" w:rsidR="00141B97" w:rsidRDefault="00911D63">
            <w:pPr>
              <w:pStyle w:val="TableParagraph"/>
              <w:spacing w:before="26"/>
              <w:ind w:right="90"/>
              <w:jc w:val="right"/>
              <w:rPr>
                <w:sz w:val="18"/>
              </w:rPr>
            </w:pPr>
            <w:r>
              <w:rPr>
                <w:spacing w:val="-2"/>
                <w:sz w:val="18"/>
              </w:rPr>
              <w:t>‐3.02%</w:t>
            </w:r>
          </w:p>
        </w:tc>
      </w:tr>
      <w:tr w:rsidR="00141B97" w14:paraId="769901BC" w14:textId="77777777">
        <w:trPr>
          <w:trHeight w:val="269"/>
          <w:tblCellSpacing w:w="6" w:type="dxa"/>
        </w:trPr>
        <w:tc>
          <w:tcPr>
            <w:tcW w:w="2532" w:type="dxa"/>
            <w:shd w:val="clear" w:color="auto" w:fill="CCE2ED"/>
          </w:tcPr>
          <w:p w14:paraId="09B84256" w14:textId="77777777" w:rsidR="00141B97" w:rsidRDefault="00911D63">
            <w:pPr>
              <w:pStyle w:val="TableParagraph"/>
              <w:spacing w:before="25"/>
              <w:ind w:left="94"/>
              <w:rPr>
                <w:sz w:val="18"/>
              </w:rPr>
            </w:pPr>
            <w:r>
              <w:rPr>
                <w:sz w:val="18"/>
              </w:rPr>
              <w:t>Millewa</w:t>
            </w:r>
            <w:r>
              <w:rPr>
                <w:spacing w:val="-5"/>
                <w:sz w:val="18"/>
              </w:rPr>
              <w:t xml:space="preserve"> </w:t>
            </w:r>
            <w:r>
              <w:rPr>
                <w:sz w:val="18"/>
              </w:rPr>
              <w:t>Rural</w:t>
            </w:r>
            <w:r>
              <w:rPr>
                <w:spacing w:val="-7"/>
                <w:sz w:val="18"/>
              </w:rPr>
              <w:t xml:space="preserve"> </w:t>
            </w:r>
            <w:r>
              <w:rPr>
                <w:spacing w:val="-2"/>
                <w:sz w:val="18"/>
              </w:rPr>
              <w:t>(4,300kL)</w:t>
            </w:r>
          </w:p>
        </w:tc>
        <w:tc>
          <w:tcPr>
            <w:tcW w:w="956" w:type="dxa"/>
            <w:shd w:val="clear" w:color="auto" w:fill="CCE2ED"/>
          </w:tcPr>
          <w:p w14:paraId="7CD5876C" w14:textId="77777777" w:rsidR="00141B97" w:rsidRDefault="00911D63">
            <w:pPr>
              <w:pStyle w:val="TableParagraph"/>
              <w:spacing w:before="25"/>
              <w:ind w:right="97"/>
              <w:jc w:val="right"/>
              <w:rPr>
                <w:sz w:val="18"/>
              </w:rPr>
            </w:pPr>
            <w:r>
              <w:rPr>
                <w:spacing w:val="-2"/>
                <w:sz w:val="18"/>
              </w:rPr>
              <w:t>$8,238</w:t>
            </w:r>
          </w:p>
        </w:tc>
        <w:tc>
          <w:tcPr>
            <w:tcW w:w="956" w:type="dxa"/>
            <w:shd w:val="clear" w:color="auto" w:fill="CCE2ED"/>
          </w:tcPr>
          <w:p w14:paraId="26B9448E" w14:textId="77777777" w:rsidR="00141B97" w:rsidRDefault="00911D63">
            <w:pPr>
              <w:pStyle w:val="TableParagraph"/>
              <w:spacing w:before="25"/>
              <w:ind w:right="98"/>
              <w:jc w:val="right"/>
              <w:rPr>
                <w:sz w:val="18"/>
              </w:rPr>
            </w:pPr>
            <w:r>
              <w:rPr>
                <w:spacing w:val="-2"/>
                <w:sz w:val="18"/>
              </w:rPr>
              <w:t>$8,179</w:t>
            </w:r>
          </w:p>
        </w:tc>
        <w:tc>
          <w:tcPr>
            <w:tcW w:w="955" w:type="dxa"/>
            <w:shd w:val="clear" w:color="auto" w:fill="CCE2ED"/>
          </w:tcPr>
          <w:p w14:paraId="2C87BB0D" w14:textId="77777777" w:rsidR="00141B97" w:rsidRDefault="00911D63">
            <w:pPr>
              <w:pStyle w:val="TableParagraph"/>
              <w:spacing w:before="25"/>
              <w:ind w:right="98"/>
              <w:jc w:val="right"/>
              <w:rPr>
                <w:sz w:val="18"/>
              </w:rPr>
            </w:pPr>
            <w:r>
              <w:rPr>
                <w:spacing w:val="-2"/>
                <w:sz w:val="18"/>
              </w:rPr>
              <w:t>$8,124</w:t>
            </w:r>
          </w:p>
        </w:tc>
        <w:tc>
          <w:tcPr>
            <w:tcW w:w="954" w:type="dxa"/>
            <w:shd w:val="clear" w:color="auto" w:fill="CCE2ED"/>
          </w:tcPr>
          <w:p w14:paraId="6E1FB5CA" w14:textId="77777777" w:rsidR="00141B97" w:rsidRDefault="00911D63">
            <w:pPr>
              <w:pStyle w:val="TableParagraph"/>
              <w:spacing w:before="25"/>
              <w:ind w:right="97"/>
              <w:jc w:val="right"/>
              <w:rPr>
                <w:sz w:val="18"/>
              </w:rPr>
            </w:pPr>
            <w:r>
              <w:rPr>
                <w:spacing w:val="-2"/>
                <w:sz w:val="18"/>
              </w:rPr>
              <w:t>$8,074</w:t>
            </w:r>
          </w:p>
        </w:tc>
        <w:tc>
          <w:tcPr>
            <w:tcW w:w="955" w:type="dxa"/>
            <w:shd w:val="clear" w:color="auto" w:fill="CCE2ED"/>
          </w:tcPr>
          <w:p w14:paraId="518DFEF1" w14:textId="77777777" w:rsidR="00141B97" w:rsidRDefault="00911D63">
            <w:pPr>
              <w:pStyle w:val="TableParagraph"/>
              <w:spacing w:before="25"/>
              <w:ind w:right="97"/>
              <w:jc w:val="right"/>
              <w:rPr>
                <w:sz w:val="18"/>
              </w:rPr>
            </w:pPr>
            <w:r>
              <w:rPr>
                <w:spacing w:val="-2"/>
                <w:sz w:val="18"/>
              </w:rPr>
              <w:t>$8,030</w:t>
            </w:r>
          </w:p>
        </w:tc>
        <w:tc>
          <w:tcPr>
            <w:tcW w:w="955" w:type="dxa"/>
            <w:shd w:val="clear" w:color="auto" w:fill="CCE2ED"/>
          </w:tcPr>
          <w:p w14:paraId="4F7A476E" w14:textId="77777777" w:rsidR="00141B97" w:rsidRDefault="00911D63">
            <w:pPr>
              <w:pStyle w:val="TableParagraph"/>
              <w:spacing w:before="25"/>
              <w:ind w:right="96"/>
              <w:jc w:val="right"/>
              <w:rPr>
                <w:sz w:val="18"/>
              </w:rPr>
            </w:pPr>
            <w:r>
              <w:rPr>
                <w:spacing w:val="-2"/>
                <w:sz w:val="18"/>
              </w:rPr>
              <w:t>$7,991</w:t>
            </w:r>
          </w:p>
        </w:tc>
        <w:tc>
          <w:tcPr>
            <w:tcW w:w="1486" w:type="dxa"/>
            <w:shd w:val="clear" w:color="auto" w:fill="CCE2ED"/>
          </w:tcPr>
          <w:p w14:paraId="211325AC" w14:textId="77777777" w:rsidR="00141B97" w:rsidRDefault="00911D63">
            <w:pPr>
              <w:pStyle w:val="TableParagraph"/>
              <w:spacing w:before="25"/>
              <w:ind w:right="90"/>
              <w:jc w:val="right"/>
              <w:rPr>
                <w:sz w:val="18"/>
              </w:rPr>
            </w:pPr>
            <w:r>
              <w:rPr>
                <w:spacing w:val="-2"/>
                <w:sz w:val="18"/>
              </w:rPr>
              <w:t>‐0.61%</w:t>
            </w:r>
          </w:p>
        </w:tc>
      </w:tr>
      <w:tr w:rsidR="00141B97" w14:paraId="247F492A" w14:textId="77777777">
        <w:trPr>
          <w:trHeight w:val="270"/>
          <w:tblCellSpacing w:w="6" w:type="dxa"/>
        </w:trPr>
        <w:tc>
          <w:tcPr>
            <w:tcW w:w="2532" w:type="dxa"/>
            <w:shd w:val="clear" w:color="auto" w:fill="CCE2ED"/>
          </w:tcPr>
          <w:p w14:paraId="66E489B9" w14:textId="77777777" w:rsidR="00141B97" w:rsidRDefault="00911D63">
            <w:pPr>
              <w:pStyle w:val="TableParagraph"/>
              <w:spacing w:before="26"/>
              <w:ind w:left="94"/>
              <w:rPr>
                <w:sz w:val="18"/>
              </w:rPr>
            </w:pPr>
            <w:r>
              <w:rPr>
                <w:sz w:val="18"/>
              </w:rPr>
              <w:t>Millewa</w:t>
            </w:r>
            <w:r>
              <w:rPr>
                <w:spacing w:val="-4"/>
                <w:sz w:val="18"/>
              </w:rPr>
              <w:t xml:space="preserve"> </w:t>
            </w:r>
            <w:r>
              <w:rPr>
                <w:sz w:val="18"/>
              </w:rPr>
              <w:t>–</w:t>
            </w:r>
            <w:r>
              <w:rPr>
                <w:spacing w:val="-4"/>
                <w:sz w:val="18"/>
              </w:rPr>
              <w:t xml:space="preserve"> </w:t>
            </w:r>
            <w:r>
              <w:rPr>
                <w:sz w:val="18"/>
              </w:rPr>
              <w:t>Urban</w:t>
            </w:r>
            <w:r>
              <w:rPr>
                <w:spacing w:val="-6"/>
                <w:sz w:val="18"/>
              </w:rPr>
              <w:t xml:space="preserve"> </w:t>
            </w:r>
            <w:r>
              <w:rPr>
                <w:spacing w:val="-2"/>
                <w:sz w:val="18"/>
              </w:rPr>
              <w:t>(400kL)</w:t>
            </w:r>
          </w:p>
        </w:tc>
        <w:tc>
          <w:tcPr>
            <w:tcW w:w="956" w:type="dxa"/>
            <w:shd w:val="clear" w:color="auto" w:fill="CCE2ED"/>
          </w:tcPr>
          <w:p w14:paraId="688464EE" w14:textId="77777777" w:rsidR="00141B97" w:rsidRDefault="00911D63">
            <w:pPr>
              <w:pStyle w:val="TableParagraph"/>
              <w:spacing w:before="26"/>
              <w:ind w:right="98"/>
              <w:jc w:val="right"/>
              <w:rPr>
                <w:sz w:val="18"/>
              </w:rPr>
            </w:pPr>
            <w:r>
              <w:rPr>
                <w:spacing w:val="-4"/>
                <w:sz w:val="18"/>
              </w:rPr>
              <w:t>$935</w:t>
            </w:r>
          </w:p>
        </w:tc>
        <w:tc>
          <w:tcPr>
            <w:tcW w:w="956" w:type="dxa"/>
            <w:shd w:val="clear" w:color="auto" w:fill="CCE2ED"/>
          </w:tcPr>
          <w:p w14:paraId="3A20FFCA" w14:textId="77777777" w:rsidR="00141B97" w:rsidRDefault="00911D63">
            <w:pPr>
              <w:pStyle w:val="TableParagraph"/>
              <w:spacing w:before="26"/>
              <w:ind w:right="98"/>
              <w:jc w:val="right"/>
              <w:rPr>
                <w:sz w:val="18"/>
              </w:rPr>
            </w:pPr>
            <w:r>
              <w:rPr>
                <w:spacing w:val="-4"/>
                <w:sz w:val="18"/>
              </w:rPr>
              <w:t>$924</w:t>
            </w:r>
          </w:p>
        </w:tc>
        <w:tc>
          <w:tcPr>
            <w:tcW w:w="955" w:type="dxa"/>
            <w:shd w:val="clear" w:color="auto" w:fill="CCE2ED"/>
          </w:tcPr>
          <w:p w14:paraId="1F01AF7E" w14:textId="77777777" w:rsidR="00141B97" w:rsidRDefault="00911D63">
            <w:pPr>
              <w:pStyle w:val="TableParagraph"/>
              <w:spacing w:before="26"/>
              <w:ind w:right="98"/>
              <w:jc w:val="right"/>
              <w:rPr>
                <w:sz w:val="18"/>
              </w:rPr>
            </w:pPr>
            <w:r>
              <w:rPr>
                <w:spacing w:val="-4"/>
                <w:sz w:val="18"/>
              </w:rPr>
              <w:t>$914</w:t>
            </w:r>
          </w:p>
        </w:tc>
        <w:tc>
          <w:tcPr>
            <w:tcW w:w="954" w:type="dxa"/>
            <w:shd w:val="clear" w:color="auto" w:fill="CCE2ED"/>
          </w:tcPr>
          <w:p w14:paraId="1EB636B6" w14:textId="77777777" w:rsidR="00141B97" w:rsidRDefault="00911D63">
            <w:pPr>
              <w:pStyle w:val="TableParagraph"/>
              <w:spacing w:before="26"/>
              <w:ind w:right="97"/>
              <w:jc w:val="right"/>
              <w:rPr>
                <w:sz w:val="18"/>
              </w:rPr>
            </w:pPr>
            <w:r>
              <w:rPr>
                <w:spacing w:val="-4"/>
                <w:sz w:val="18"/>
              </w:rPr>
              <w:t>$905</w:t>
            </w:r>
          </w:p>
        </w:tc>
        <w:tc>
          <w:tcPr>
            <w:tcW w:w="955" w:type="dxa"/>
            <w:shd w:val="clear" w:color="auto" w:fill="CCE2ED"/>
          </w:tcPr>
          <w:p w14:paraId="4F5DB7F6" w14:textId="77777777" w:rsidR="00141B97" w:rsidRDefault="00911D63">
            <w:pPr>
              <w:pStyle w:val="TableParagraph"/>
              <w:spacing w:before="26"/>
              <w:ind w:right="97"/>
              <w:jc w:val="right"/>
              <w:rPr>
                <w:sz w:val="18"/>
              </w:rPr>
            </w:pPr>
            <w:r>
              <w:rPr>
                <w:spacing w:val="-4"/>
                <w:sz w:val="18"/>
              </w:rPr>
              <w:t>$896</w:t>
            </w:r>
          </w:p>
        </w:tc>
        <w:tc>
          <w:tcPr>
            <w:tcW w:w="955" w:type="dxa"/>
            <w:shd w:val="clear" w:color="auto" w:fill="CCE2ED"/>
          </w:tcPr>
          <w:p w14:paraId="59673C05" w14:textId="77777777" w:rsidR="00141B97" w:rsidRDefault="00911D63">
            <w:pPr>
              <w:pStyle w:val="TableParagraph"/>
              <w:spacing w:before="26"/>
              <w:ind w:right="97"/>
              <w:jc w:val="right"/>
              <w:rPr>
                <w:sz w:val="18"/>
              </w:rPr>
            </w:pPr>
            <w:r>
              <w:rPr>
                <w:spacing w:val="-4"/>
                <w:sz w:val="18"/>
              </w:rPr>
              <w:t>$888</w:t>
            </w:r>
          </w:p>
        </w:tc>
        <w:tc>
          <w:tcPr>
            <w:tcW w:w="1486" w:type="dxa"/>
            <w:shd w:val="clear" w:color="auto" w:fill="CCE2ED"/>
          </w:tcPr>
          <w:p w14:paraId="68767BFB" w14:textId="77777777" w:rsidR="00141B97" w:rsidRDefault="00911D63">
            <w:pPr>
              <w:pStyle w:val="TableParagraph"/>
              <w:spacing w:before="26"/>
              <w:ind w:right="90"/>
              <w:jc w:val="right"/>
              <w:rPr>
                <w:sz w:val="18"/>
              </w:rPr>
            </w:pPr>
            <w:r>
              <w:rPr>
                <w:spacing w:val="-2"/>
                <w:sz w:val="18"/>
              </w:rPr>
              <w:t>‐1.01%</w:t>
            </w:r>
          </w:p>
        </w:tc>
      </w:tr>
      <w:tr w:rsidR="00141B97" w14:paraId="2D371093" w14:textId="77777777">
        <w:trPr>
          <w:trHeight w:val="269"/>
          <w:tblCellSpacing w:w="6" w:type="dxa"/>
        </w:trPr>
        <w:tc>
          <w:tcPr>
            <w:tcW w:w="2532" w:type="dxa"/>
            <w:shd w:val="clear" w:color="auto" w:fill="CCE2ED"/>
          </w:tcPr>
          <w:p w14:paraId="4226A933" w14:textId="77777777" w:rsidR="00141B97" w:rsidRDefault="00911D63">
            <w:pPr>
              <w:pStyle w:val="TableParagraph"/>
              <w:spacing w:before="25"/>
              <w:ind w:left="94"/>
              <w:rPr>
                <w:sz w:val="18"/>
              </w:rPr>
            </w:pPr>
            <w:r>
              <w:rPr>
                <w:sz w:val="18"/>
              </w:rPr>
              <w:t>Yelta/Wargan</w:t>
            </w:r>
            <w:r>
              <w:rPr>
                <w:spacing w:val="-9"/>
                <w:sz w:val="18"/>
              </w:rPr>
              <w:t xml:space="preserve"> </w:t>
            </w:r>
            <w:r>
              <w:rPr>
                <w:sz w:val="18"/>
              </w:rPr>
              <w:t>WWD</w:t>
            </w:r>
            <w:r>
              <w:rPr>
                <w:spacing w:val="-9"/>
                <w:sz w:val="18"/>
              </w:rPr>
              <w:t xml:space="preserve"> </w:t>
            </w:r>
            <w:r>
              <w:rPr>
                <w:spacing w:val="-2"/>
                <w:sz w:val="18"/>
              </w:rPr>
              <w:t>(3ML)</w:t>
            </w:r>
          </w:p>
        </w:tc>
        <w:tc>
          <w:tcPr>
            <w:tcW w:w="956" w:type="dxa"/>
            <w:shd w:val="clear" w:color="auto" w:fill="CCE2ED"/>
          </w:tcPr>
          <w:p w14:paraId="6035D44E" w14:textId="77777777" w:rsidR="00141B97" w:rsidRDefault="00911D63">
            <w:pPr>
              <w:pStyle w:val="TableParagraph"/>
              <w:spacing w:before="25"/>
              <w:ind w:right="97"/>
              <w:jc w:val="right"/>
              <w:rPr>
                <w:sz w:val="18"/>
              </w:rPr>
            </w:pPr>
            <w:r>
              <w:rPr>
                <w:spacing w:val="-2"/>
                <w:sz w:val="18"/>
              </w:rPr>
              <w:t>$1,764</w:t>
            </w:r>
          </w:p>
        </w:tc>
        <w:tc>
          <w:tcPr>
            <w:tcW w:w="956" w:type="dxa"/>
            <w:shd w:val="clear" w:color="auto" w:fill="CCE2ED"/>
          </w:tcPr>
          <w:p w14:paraId="0C1E98D1" w14:textId="77777777" w:rsidR="00141B97" w:rsidRDefault="00911D63">
            <w:pPr>
              <w:pStyle w:val="TableParagraph"/>
              <w:spacing w:before="25"/>
              <w:ind w:right="98"/>
              <w:jc w:val="right"/>
              <w:rPr>
                <w:sz w:val="18"/>
              </w:rPr>
            </w:pPr>
            <w:r>
              <w:rPr>
                <w:spacing w:val="-2"/>
                <w:sz w:val="18"/>
              </w:rPr>
              <w:t>$1,712</w:t>
            </w:r>
          </w:p>
        </w:tc>
        <w:tc>
          <w:tcPr>
            <w:tcW w:w="955" w:type="dxa"/>
            <w:shd w:val="clear" w:color="auto" w:fill="CCE2ED"/>
          </w:tcPr>
          <w:p w14:paraId="0CD953A9" w14:textId="77777777" w:rsidR="00141B97" w:rsidRDefault="00911D63">
            <w:pPr>
              <w:pStyle w:val="TableParagraph"/>
              <w:spacing w:before="25"/>
              <w:ind w:right="98"/>
              <w:jc w:val="right"/>
              <w:rPr>
                <w:sz w:val="18"/>
              </w:rPr>
            </w:pPr>
            <w:r>
              <w:rPr>
                <w:spacing w:val="-2"/>
                <w:sz w:val="18"/>
              </w:rPr>
              <w:t>$1,685</w:t>
            </w:r>
          </w:p>
        </w:tc>
        <w:tc>
          <w:tcPr>
            <w:tcW w:w="954" w:type="dxa"/>
            <w:shd w:val="clear" w:color="auto" w:fill="CCE2ED"/>
          </w:tcPr>
          <w:p w14:paraId="086B23AF" w14:textId="77777777" w:rsidR="00141B97" w:rsidRDefault="00911D63">
            <w:pPr>
              <w:pStyle w:val="TableParagraph"/>
              <w:spacing w:before="25"/>
              <w:ind w:right="97"/>
              <w:jc w:val="right"/>
              <w:rPr>
                <w:sz w:val="18"/>
              </w:rPr>
            </w:pPr>
            <w:r>
              <w:rPr>
                <w:spacing w:val="-2"/>
                <w:sz w:val="18"/>
              </w:rPr>
              <w:t>$1,658</w:t>
            </w:r>
          </w:p>
        </w:tc>
        <w:tc>
          <w:tcPr>
            <w:tcW w:w="955" w:type="dxa"/>
            <w:shd w:val="clear" w:color="auto" w:fill="CCE2ED"/>
          </w:tcPr>
          <w:p w14:paraId="1144A746" w14:textId="77777777" w:rsidR="00141B97" w:rsidRDefault="00911D63">
            <w:pPr>
              <w:pStyle w:val="TableParagraph"/>
              <w:spacing w:before="25"/>
              <w:ind w:right="97"/>
              <w:jc w:val="right"/>
              <w:rPr>
                <w:sz w:val="18"/>
              </w:rPr>
            </w:pPr>
            <w:r>
              <w:rPr>
                <w:spacing w:val="-2"/>
                <w:sz w:val="18"/>
              </w:rPr>
              <w:t>$1,631</w:t>
            </w:r>
          </w:p>
        </w:tc>
        <w:tc>
          <w:tcPr>
            <w:tcW w:w="955" w:type="dxa"/>
            <w:shd w:val="clear" w:color="auto" w:fill="CCE2ED"/>
          </w:tcPr>
          <w:p w14:paraId="11D1F2D6" w14:textId="77777777" w:rsidR="00141B97" w:rsidRDefault="00911D63">
            <w:pPr>
              <w:pStyle w:val="TableParagraph"/>
              <w:spacing w:before="25"/>
              <w:ind w:right="96"/>
              <w:jc w:val="right"/>
              <w:rPr>
                <w:sz w:val="18"/>
              </w:rPr>
            </w:pPr>
            <w:r>
              <w:rPr>
                <w:spacing w:val="-2"/>
                <w:sz w:val="18"/>
              </w:rPr>
              <w:t>$1,605</w:t>
            </w:r>
          </w:p>
        </w:tc>
        <w:tc>
          <w:tcPr>
            <w:tcW w:w="1486" w:type="dxa"/>
            <w:shd w:val="clear" w:color="auto" w:fill="CCE2ED"/>
          </w:tcPr>
          <w:p w14:paraId="3E5DBD61" w14:textId="77777777" w:rsidR="00141B97" w:rsidRDefault="00911D63">
            <w:pPr>
              <w:pStyle w:val="TableParagraph"/>
              <w:spacing w:before="25"/>
              <w:ind w:right="90"/>
              <w:jc w:val="right"/>
              <w:rPr>
                <w:sz w:val="18"/>
              </w:rPr>
            </w:pPr>
            <w:r>
              <w:rPr>
                <w:spacing w:val="-2"/>
                <w:sz w:val="18"/>
              </w:rPr>
              <w:t>‐1.86%</w:t>
            </w:r>
          </w:p>
        </w:tc>
      </w:tr>
    </w:tbl>
    <w:p w14:paraId="3483A52E" w14:textId="77777777" w:rsidR="00141B97" w:rsidRDefault="00911D63">
      <w:pPr>
        <w:spacing w:before="22"/>
        <w:ind w:left="114"/>
        <w:jc w:val="both"/>
        <w:rPr>
          <w:sz w:val="16"/>
        </w:rPr>
      </w:pPr>
      <w:r>
        <w:rPr>
          <w:sz w:val="16"/>
        </w:rPr>
        <w:t>Table</w:t>
      </w:r>
      <w:r>
        <w:rPr>
          <w:spacing w:val="-4"/>
          <w:sz w:val="16"/>
        </w:rPr>
        <w:t xml:space="preserve"> </w:t>
      </w:r>
      <w:r>
        <w:rPr>
          <w:sz w:val="16"/>
        </w:rPr>
        <w:t>C31:</w:t>
      </w:r>
      <w:r>
        <w:rPr>
          <w:spacing w:val="-4"/>
          <w:sz w:val="16"/>
        </w:rPr>
        <w:t xml:space="preserve"> </w:t>
      </w:r>
      <w:r>
        <w:rPr>
          <w:sz w:val="16"/>
        </w:rPr>
        <w:t>Comparison</w:t>
      </w:r>
      <w:r>
        <w:rPr>
          <w:spacing w:val="-4"/>
          <w:sz w:val="16"/>
        </w:rPr>
        <w:t xml:space="preserve"> </w:t>
      </w:r>
      <w:r>
        <w:rPr>
          <w:sz w:val="16"/>
        </w:rPr>
        <w:t>of</w:t>
      </w:r>
      <w:r>
        <w:rPr>
          <w:spacing w:val="-5"/>
          <w:sz w:val="16"/>
        </w:rPr>
        <w:t xml:space="preserve"> </w:t>
      </w:r>
      <w:r>
        <w:rPr>
          <w:sz w:val="16"/>
        </w:rPr>
        <w:t>changes</w:t>
      </w:r>
      <w:r>
        <w:rPr>
          <w:spacing w:val="-5"/>
          <w:sz w:val="16"/>
        </w:rPr>
        <w:t xml:space="preserve"> </w:t>
      </w:r>
      <w:r>
        <w:rPr>
          <w:sz w:val="16"/>
        </w:rPr>
        <w:t>to</w:t>
      </w:r>
      <w:r>
        <w:rPr>
          <w:spacing w:val="-6"/>
          <w:sz w:val="16"/>
        </w:rPr>
        <w:t xml:space="preserve"> </w:t>
      </w:r>
      <w:r>
        <w:rPr>
          <w:sz w:val="16"/>
        </w:rPr>
        <w:t>unit</w:t>
      </w:r>
      <w:r>
        <w:rPr>
          <w:spacing w:val="-4"/>
          <w:sz w:val="16"/>
        </w:rPr>
        <w:t xml:space="preserve"> </w:t>
      </w:r>
      <w:r>
        <w:rPr>
          <w:sz w:val="16"/>
        </w:rPr>
        <w:t>prices</w:t>
      </w:r>
      <w:r>
        <w:rPr>
          <w:spacing w:val="-6"/>
          <w:sz w:val="16"/>
        </w:rPr>
        <w:t xml:space="preserve"> </w:t>
      </w:r>
      <w:r>
        <w:rPr>
          <w:sz w:val="16"/>
        </w:rPr>
        <w:t>for</w:t>
      </w:r>
      <w:r>
        <w:rPr>
          <w:spacing w:val="-5"/>
          <w:sz w:val="16"/>
        </w:rPr>
        <w:t xml:space="preserve"> </w:t>
      </w:r>
      <w:r>
        <w:rPr>
          <w:sz w:val="16"/>
        </w:rPr>
        <w:t>reference</w:t>
      </w:r>
      <w:r>
        <w:rPr>
          <w:spacing w:val="-6"/>
          <w:sz w:val="16"/>
        </w:rPr>
        <w:t xml:space="preserve"> </w:t>
      </w:r>
      <w:r>
        <w:rPr>
          <w:spacing w:val="-2"/>
          <w:sz w:val="16"/>
        </w:rPr>
        <w:t>customers</w:t>
      </w:r>
    </w:p>
    <w:p w14:paraId="39649E04" w14:textId="77777777" w:rsidR="00141B97" w:rsidRDefault="00141B97">
      <w:pPr>
        <w:pStyle w:val="BodyText"/>
        <w:spacing w:before="12"/>
        <w:rPr>
          <w:sz w:val="21"/>
        </w:rPr>
      </w:pPr>
    </w:p>
    <w:p w14:paraId="640EE428" w14:textId="77777777" w:rsidR="00141B97" w:rsidRDefault="00911D63">
      <w:pPr>
        <w:pStyle w:val="BodyText"/>
        <w:ind w:left="113" w:right="948"/>
        <w:jc w:val="both"/>
      </w:pPr>
      <w:r>
        <w:t>These changes for reference bills are set out in Figure C6 for irrigation and diversion customers, and in Figure C7 for Millewa customers. There are only 12 customers in the Waterworks District (WWD), shown as ‘Other stock and domestic’ in the table above.</w:t>
      </w:r>
    </w:p>
    <w:p w14:paraId="2A53B12B" w14:textId="77777777" w:rsidR="00141B97" w:rsidRDefault="00911D63">
      <w:pPr>
        <w:pStyle w:val="BodyText"/>
        <w:spacing w:before="8"/>
        <w:rPr>
          <w:sz w:val="19"/>
        </w:rPr>
      </w:pPr>
      <w:r>
        <w:rPr>
          <w:noProof/>
        </w:rPr>
        <w:drawing>
          <wp:anchor distT="0" distB="0" distL="0" distR="0" simplePos="0" relativeHeight="73" behindDoc="0" locked="0" layoutInCell="1" allowOverlap="1" wp14:anchorId="32022785" wp14:editId="17B2F615">
            <wp:simplePos x="0" y="0"/>
            <wp:positionH relativeFrom="page">
              <wp:posOffset>716280</wp:posOffset>
            </wp:positionH>
            <wp:positionV relativeFrom="paragraph">
              <wp:posOffset>167597</wp:posOffset>
            </wp:positionV>
            <wp:extent cx="6437376" cy="2718816"/>
            <wp:effectExtent l="0" t="0" r="0" b="0"/>
            <wp:wrapTopAndBottom/>
            <wp:docPr id="9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97" cstate="email">
                      <a:extLst>
                        <a:ext uri="{28A0092B-C50C-407E-A947-70E740481C1C}">
                          <a14:useLocalDpi xmlns:a14="http://schemas.microsoft.com/office/drawing/2010/main"/>
                        </a:ext>
                      </a:extLst>
                    </a:blip>
                    <a:stretch>
                      <a:fillRect/>
                    </a:stretch>
                  </pic:blipFill>
                  <pic:spPr>
                    <a:xfrm>
                      <a:off x="0" y="0"/>
                      <a:ext cx="6437376" cy="2718816"/>
                    </a:xfrm>
                    <a:prstGeom prst="rect">
                      <a:avLst/>
                    </a:prstGeom>
                  </pic:spPr>
                </pic:pic>
              </a:graphicData>
            </a:graphic>
          </wp:anchor>
        </w:drawing>
      </w:r>
    </w:p>
    <w:p w14:paraId="67C081E8" w14:textId="77777777" w:rsidR="00141B97" w:rsidRDefault="00911D63">
      <w:pPr>
        <w:ind w:left="114"/>
        <w:jc w:val="both"/>
        <w:rPr>
          <w:sz w:val="16"/>
        </w:rPr>
      </w:pPr>
      <w:r>
        <w:rPr>
          <w:sz w:val="16"/>
        </w:rPr>
        <w:t>Figure</w:t>
      </w:r>
      <w:r>
        <w:rPr>
          <w:spacing w:val="-5"/>
          <w:sz w:val="16"/>
        </w:rPr>
        <w:t xml:space="preserve"> </w:t>
      </w:r>
      <w:r>
        <w:rPr>
          <w:sz w:val="16"/>
        </w:rPr>
        <w:t>C6:</w:t>
      </w:r>
      <w:r>
        <w:rPr>
          <w:spacing w:val="-6"/>
          <w:sz w:val="16"/>
        </w:rPr>
        <w:t xml:space="preserve"> </w:t>
      </w:r>
      <w:r>
        <w:rPr>
          <w:sz w:val="16"/>
        </w:rPr>
        <w:t>Proposed</w:t>
      </w:r>
      <w:r>
        <w:rPr>
          <w:spacing w:val="-5"/>
          <w:sz w:val="16"/>
        </w:rPr>
        <w:t xml:space="preserve"> </w:t>
      </w:r>
      <w:r>
        <w:rPr>
          <w:sz w:val="16"/>
        </w:rPr>
        <w:t>Bills</w:t>
      </w:r>
      <w:r>
        <w:rPr>
          <w:spacing w:val="-5"/>
          <w:sz w:val="16"/>
        </w:rPr>
        <w:t xml:space="preserve"> </w:t>
      </w:r>
      <w:r>
        <w:rPr>
          <w:sz w:val="16"/>
        </w:rPr>
        <w:t>for</w:t>
      </w:r>
      <w:r>
        <w:rPr>
          <w:spacing w:val="-6"/>
          <w:sz w:val="16"/>
        </w:rPr>
        <w:t xml:space="preserve"> </w:t>
      </w:r>
      <w:r>
        <w:rPr>
          <w:sz w:val="16"/>
        </w:rPr>
        <w:t>Reference</w:t>
      </w:r>
      <w:r>
        <w:rPr>
          <w:spacing w:val="-4"/>
          <w:sz w:val="16"/>
        </w:rPr>
        <w:t xml:space="preserve"> </w:t>
      </w:r>
      <w:r>
        <w:rPr>
          <w:sz w:val="16"/>
        </w:rPr>
        <w:t>Customers</w:t>
      </w:r>
      <w:r>
        <w:rPr>
          <w:spacing w:val="-5"/>
          <w:sz w:val="16"/>
        </w:rPr>
        <w:t xml:space="preserve"> </w:t>
      </w:r>
      <w:r>
        <w:rPr>
          <w:sz w:val="16"/>
        </w:rPr>
        <w:t>‐</w:t>
      </w:r>
      <w:r>
        <w:rPr>
          <w:spacing w:val="-6"/>
          <w:sz w:val="16"/>
        </w:rPr>
        <w:t xml:space="preserve"> </w:t>
      </w:r>
      <w:r>
        <w:rPr>
          <w:sz w:val="16"/>
        </w:rPr>
        <w:t>Irrigation</w:t>
      </w:r>
      <w:r>
        <w:rPr>
          <w:spacing w:val="-4"/>
          <w:sz w:val="16"/>
        </w:rPr>
        <w:t xml:space="preserve"> </w:t>
      </w:r>
      <w:r>
        <w:rPr>
          <w:sz w:val="16"/>
        </w:rPr>
        <w:t>&amp;</w:t>
      </w:r>
      <w:r>
        <w:rPr>
          <w:spacing w:val="-6"/>
          <w:sz w:val="16"/>
        </w:rPr>
        <w:t xml:space="preserve"> </w:t>
      </w:r>
      <w:r>
        <w:rPr>
          <w:spacing w:val="-2"/>
          <w:sz w:val="16"/>
        </w:rPr>
        <w:t>Diversions</w:t>
      </w:r>
    </w:p>
    <w:p w14:paraId="5F447F77" w14:textId="77777777" w:rsidR="00141B97" w:rsidRDefault="00141B97">
      <w:pPr>
        <w:jc w:val="both"/>
        <w:rPr>
          <w:sz w:val="16"/>
        </w:rPr>
        <w:sectPr w:rsidR="00141B97">
          <w:pgSz w:w="11910" w:h="16840"/>
          <w:pgMar w:top="820" w:right="40" w:bottom="780" w:left="1020" w:header="0" w:footer="586" w:gutter="0"/>
          <w:cols w:space="720"/>
        </w:sectPr>
      </w:pPr>
    </w:p>
    <w:p w14:paraId="61DADE6E" w14:textId="77777777" w:rsidR="00141B97" w:rsidRDefault="00911D63">
      <w:pPr>
        <w:pStyle w:val="BodyText"/>
        <w:ind w:left="108"/>
        <w:rPr>
          <w:sz w:val="20"/>
        </w:rPr>
      </w:pPr>
      <w:r>
        <w:rPr>
          <w:noProof/>
          <w:sz w:val="20"/>
        </w:rPr>
        <w:lastRenderedPageBreak/>
        <w:drawing>
          <wp:inline distT="0" distB="0" distL="0" distR="0" wp14:anchorId="47973229" wp14:editId="0E6C2105">
            <wp:extent cx="6388608" cy="2157983"/>
            <wp:effectExtent l="0" t="0" r="0" b="0"/>
            <wp:docPr id="9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png"/>
                    <pic:cNvPicPr/>
                  </pic:nvPicPr>
                  <pic:blipFill>
                    <a:blip r:embed="rId98" cstate="email">
                      <a:extLst>
                        <a:ext uri="{28A0092B-C50C-407E-A947-70E740481C1C}">
                          <a14:useLocalDpi xmlns:a14="http://schemas.microsoft.com/office/drawing/2010/main"/>
                        </a:ext>
                      </a:extLst>
                    </a:blip>
                    <a:stretch>
                      <a:fillRect/>
                    </a:stretch>
                  </pic:blipFill>
                  <pic:spPr>
                    <a:xfrm>
                      <a:off x="0" y="0"/>
                      <a:ext cx="6388608" cy="2157983"/>
                    </a:xfrm>
                    <a:prstGeom prst="rect">
                      <a:avLst/>
                    </a:prstGeom>
                  </pic:spPr>
                </pic:pic>
              </a:graphicData>
            </a:graphic>
          </wp:inline>
        </w:drawing>
      </w:r>
    </w:p>
    <w:p w14:paraId="249418E0" w14:textId="77777777" w:rsidR="00141B97" w:rsidRDefault="00911D63">
      <w:pPr>
        <w:spacing w:before="2"/>
        <w:ind w:left="114"/>
        <w:jc w:val="both"/>
        <w:rPr>
          <w:sz w:val="16"/>
        </w:rPr>
      </w:pPr>
      <w:r>
        <w:rPr>
          <w:sz w:val="16"/>
        </w:rPr>
        <w:t>Figure</w:t>
      </w:r>
      <w:r>
        <w:rPr>
          <w:spacing w:val="-5"/>
          <w:sz w:val="16"/>
        </w:rPr>
        <w:t xml:space="preserve"> </w:t>
      </w:r>
      <w:r>
        <w:rPr>
          <w:sz w:val="16"/>
        </w:rPr>
        <w:t>C7:</w:t>
      </w:r>
      <w:r>
        <w:rPr>
          <w:spacing w:val="-6"/>
          <w:sz w:val="16"/>
        </w:rPr>
        <w:t xml:space="preserve"> </w:t>
      </w:r>
      <w:r>
        <w:rPr>
          <w:sz w:val="16"/>
        </w:rPr>
        <w:t>Proposed</w:t>
      </w:r>
      <w:r>
        <w:rPr>
          <w:spacing w:val="-4"/>
          <w:sz w:val="16"/>
        </w:rPr>
        <w:t xml:space="preserve"> </w:t>
      </w:r>
      <w:r>
        <w:rPr>
          <w:sz w:val="16"/>
        </w:rPr>
        <w:t>Bills</w:t>
      </w:r>
      <w:r>
        <w:rPr>
          <w:spacing w:val="-6"/>
          <w:sz w:val="16"/>
        </w:rPr>
        <w:t xml:space="preserve"> </w:t>
      </w:r>
      <w:r>
        <w:rPr>
          <w:sz w:val="16"/>
        </w:rPr>
        <w:t>for</w:t>
      </w:r>
      <w:r>
        <w:rPr>
          <w:spacing w:val="-5"/>
          <w:sz w:val="16"/>
        </w:rPr>
        <w:t xml:space="preserve"> </w:t>
      </w:r>
      <w:r>
        <w:rPr>
          <w:sz w:val="16"/>
        </w:rPr>
        <w:t>Reference</w:t>
      </w:r>
      <w:r>
        <w:rPr>
          <w:spacing w:val="-4"/>
          <w:sz w:val="16"/>
        </w:rPr>
        <w:t xml:space="preserve"> </w:t>
      </w:r>
      <w:r>
        <w:rPr>
          <w:sz w:val="16"/>
        </w:rPr>
        <w:t>Customers</w:t>
      </w:r>
      <w:r>
        <w:rPr>
          <w:spacing w:val="-5"/>
          <w:sz w:val="16"/>
        </w:rPr>
        <w:t xml:space="preserve"> </w:t>
      </w:r>
      <w:r>
        <w:rPr>
          <w:sz w:val="16"/>
        </w:rPr>
        <w:t>‐</w:t>
      </w:r>
      <w:r>
        <w:rPr>
          <w:spacing w:val="-4"/>
          <w:sz w:val="16"/>
        </w:rPr>
        <w:t xml:space="preserve"> </w:t>
      </w:r>
      <w:r>
        <w:rPr>
          <w:spacing w:val="-2"/>
          <w:sz w:val="16"/>
        </w:rPr>
        <w:t>Millewa</w:t>
      </w:r>
    </w:p>
    <w:p w14:paraId="608B06F7" w14:textId="77777777" w:rsidR="00141B97" w:rsidRDefault="00141B97">
      <w:pPr>
        <w:pStyle w:val="BodyText"/>
        <w:rPr>
          <w:sz w:val="16"/>
        </w:rPr>
      </w:pPr>
    </w:p>
    <w:p w14:paraId="50971768" w14:textId="77777777" w:rsidR="00141B97" w:rsidRDefault="00141B97">
      <w:pPr>
        <w:pStyle w:val="BodyText"/>
        <w:rPr>
          <w:sz w:val="16"/>
        </w:rPr>
      </w:pPr>
    </w:p>
    <w:p w14:paraId="4F69DD47" w14:textId="77777777" w:rsidR="00141B97" w:rsidRDefault="00911D63">
      <w:pPr>
        <w:pStyle w:val="ListParagraph"/>
        <w:numPr>
          <w:ilvl w:val="2"/>
          <w:numId w:val="37"/>
        </w:numPr>
        <w:tabs>
          <w:tab w:val="left" w:pos="1112"/>
          <w:tab w:val="left" w:pos="1113"/>
        </w:tabs>
        <w:spacing w:before="130"/>
        <w:ind w:left="1112"/>
        <w:jc w:val="both"/>
      </w:pPr>
      <w:r>
        <w:rPr>
          <w:w w:val="95"/>
        </w:rPr>
        <w:t>Miscellaneous</w:t>
      </w:r>
      <w:r>
        <w:rPr>
          <w:spacing w:val="46"/>
        </w:rPr>
        <w:t xml:space="preserve"> </w:t>
      </w:r>
      <w:r>
        <w:rPr>
          <w:spacing w:val="-2"/>
        </w:rPr>
        <w:t>Charges</w:t>
      </w:r>
    </w:p>
    <w:p w14:paraId="2B5AC73C" w14:textId="77777777" w:rsidR="00141B97" w:rsidRDefault="00911D63">
      <w:pPr>
        <w:pStyle w:val="BodyText"/>
        <w:spacing w:before="60"/>
        <w:ind w:left="113" w:right="947"/>
        <w:jc w:val="both"/>
      </w:pPr>
      <w:r>
        <w:t>Miscellaneous charges are calculated on the same basis as the urban business in accordance with the ESC’s pricing principles, i.e. to recover the direct costs involved plus an allowance for overheads excepting bank dishonour,</w:t>
      </w:r>
      <w:r>
        <w:rPr>
          <w:spacing w:val="-3"/>
        </w:rPr>
        <w:t xml:space="preserve"> </w:t>
      </w:r>
      <w:r>
        <w:t>debt</w:t>
      </w:r>
      <w:r>
        <w:rPr>
          <w:spacing w:val="-3"/>
        </w:rPr>
        <w:t xml:space="preserve"> </w:t>
      </w:r>
      <w:r>
        <w:t>collection</w:t>
      </w:r>
      <w:r>
        <w:rPr>
          <w:spacing w:val="-2"/>
        </w:rPr>
        <w:t xml:space="preserve"> </w:t>
      </w:r>
      <w:r>
        <w:t>and</w:t>
      </w:r>
      <w:r>
        <w:rPr>
          <w:spacing w:val="-2"/>
        </w:rPr>
        <w:t xml:space="preserve"> </w:t>
      </w:r>
      <w:r>
        <w:t>legal</w:t>
      </w:r>
      <w:r>
        <w:rPr>
          <w:spacing w:val="-3"/>
        </w:rPr>
        <w:t xml:space="preserve"> </w:t>
      </w:r>
      <w:r>
        <w:t>fees.</w:t>
      </w:r>
      <w:r>
        <w:rPr>
          <w:spacing w:val="-3"/>
        </w:rPr>
        <w:t xml:space="preserve"> </w:t>
      </w:r>
      <w:r>
        <w:t>Appendix</w:t>
      </w:r>
      <w:r>
        <w:rPr>
          <w:spacing w:val="-2"/>
        </w:rPr>
        <w:t xml:space="preserve"> </w:t>
      </w:r>
      <w:r>
        <w:t>C4</w:t>
      </w:r>
      <w:r>
        <w:rPr>
          <w:spacing w:val="-1"/>
        </w:rPr>
        <w:t xml:space="preserve"> </w:t>
      </w:r>
      <w:r>
        <w:t>lists</w:t>
      </w:r>
      <w:r>
        <w:rPr>
          <w:spacing w:val="-3"/>
        </w:rPr>
        <w:t xml:space="preserve"> </w:t>
      </w:r>
      <w:r>
        <w:t>all</w:t>
      </w:r>
      <w:r>
        <w:rPr>
          <w:spacing w:val="-2"/>
        </w:rPr>
        <w:t xml:space="preserve"> </w:t>
      </w:r>
      <w:r>
        <w:t>of</w:t>
      </w:r>
      <w:r>
        <w:rPr>
          <w:spacing w:val="-1"/>
        </w:rPr>
        <w:t xml:space="preserve"> </w:t>
      </w:r>
      <w:r>
        <w:t>the</w:t>
      </w:r>
      <w:r>
        <w:rPr>
          <w:spacing w:val="-2"/>
        </w:rPr>
        <w:t xml:space="preserve"> </w:t>
      </w:r>
      <w:r>
        <w:t>miscellaneous</w:t>
      </w:r>
      <w:r>
        <w:rPr>
          <w:spacing w:val="-3"/>
        </w:rPr>
        <w:t xml:space="preserve"> </w:t>
      </w:r>
      <w:r>
        <w:t>charges</w:t>
      </w:r>
      <w:r>
        <w:rPr>
          <w:spacing w:val="-1"/>
        </w:rPr>
        <w:t xml:space="preserve"> </w:t>
      </w:r>
      <w:r>
        <w:t>levied</w:t>
      </w:r>
      <w:r>
        <w:rPr>
          <w:spacing w:val="-3"/>
        </w:rPr>
        <w:t xml:space="preserve"> </w:t>
      </w:r>
      <w:r>
        <w:t>by</w:t>
      </w:r>
      <w:r>
        <w:rPr>
          <w:spacing w:val="-3"/>
        </w:rPr>
        <w:t xml:space="preserve"> </w:t>
      </w:r>
      <w:r>
        <w:t>LMW</w:t>
      </w:r>
      <w:r>
        <w:rPr>
          <w:spacing w:val="-2"/>
        </w:rPr>
        <w:t xml:space="preserve"> </w:t>
      </w:r>
      <w:r>
        <w:t>and the charges levied for the current year. The Appendix also sets out the increases in charges proposed for the five years of the regulatory period.</w:t>
      </w:r>
    </w:p>
    <w:p w14:paraId="549A057D" w14:textId="77777777" w:rsidR="00141B97" w:rsidRDefault="00141B97">
      <w:pPr>
        <w:pStyle w:val="BodyText"/>
        <w:spacing w:before="7"/>
        <w:rPr>
          <w:sz w:val="20"/>
        </w:rPr>
      </w:pPr>
    </w:p>
    <w:p w14:paraId="33D16B32" w14:textId="77777777" w:rsidR="00141B97" w:rsidRDefault="00911D63">
      <w:pPr>
        <w:pStyle w:val="ListParagraph"/>
        <w:numPr>
          <w:ilvl w:val="2"/>
          <w:numId w:val="37"/>
        </w:numPr>
        <w:tabs>
          <w:tab w:val="left" w:pos="1112"/>
          <w:tab w:val="left" w:pos="1113"/>
        </w:tabs>
        <w:ind w:left="1112" w:hanging="1000"/>
        <w:jc w:val="both"/>
      </w:pPr>
      <w:r>
        <w:rPr>
          <w:w w:val="95"/>
        </w:rPr>
        <w:t>Non‐Prescribed</w:t>
      </w:r>
      <w:r>
        <w:rPr>
          <w:spacing w:val="56"/>
        </w:rPr>
        <w:t xml:space="preserve"> </w:t>
      </w:r>
      <w:r>
        <w:rPr>
          <w:spacing w:val="-2"/>
        </w:rPr>
        <w:t>Services</w:t>
      </w:r>
    </w:p>
    <w:p w14:paraId="040A2E64" w14:textId="77777777" w:rsidR="00141B97" w:rsidRDefault="00911D63">
      <w:pPr>
        <w:pStyle w:val="BodyText"/>
        <w:spacing w:before="59"/>
        <w:ind w:left="113" w:right="947"/>
        <w:jc w:val="both"/>
      </w:pPr>
      <w:r>
        <w:t>Investment income is considered as the only potentially</w:t>
      </w:r>
      <w:r>
        <w:rPr>
          <w:spacing w:val="-1"/>
        </w:rPr>
        <w:t xml:space="preserve"> </w:t>
      </w:r>
      <w:r>
        <w:t>non‐prescribed service for the rural business however LMW</w:t>
      </w:r>
      <w:r>
        <w:rPr>
          <w:spacing w:val="-12"/>
        </w:rPr>
        <w:t xml:space="preserve"> </w:t>
      </w:r>
      <w:r>
        <w:t>does</w:t>
      </w:r>
      <w:r>
        <w:rPr>
          <w:spacing w:val="-11"/>
        </w:rPr>
        <w:t xml:space="preserve"> </w:t>
      </w:r>
      <w:r>
        <w:t>not</w:t>
      </w:r>
      <w:r>
        <w:rPr>
          <w:spacing w:val="-12"/>
        </w:rPr>
        <w:t xml:space="preserve"> </w:t>
      </w:r>
      <w:r>
        <w:t>anticipate</w:t>
      </w:r>
      <w:r>
        <w:rPr>
          <w:spacing w:val="-11"/>
        </w:rPr>
        <w:t xml:space="preserve"> </w:t>
      </w:r>
      <w:r>
        <w:t>having</w:t>
      </w:r>
      <w:r>
        <w:rPr>
          <w:spacing w:val="-11"/>
        </w:rPr>
        <w:t xml:space="preserve"> </w:t>
      </w:r>
      <w:r>
        <w:t>any</w:t>
      </w:r>
      <w:r>
        <w:rPr>
          <w:spacing w:val="-10"/>
        </w:rPr>
        <w:t xml:space="preserve"> </w:t>
      </w:r>
      <w:r>
        <w:t>investments</w:t>
      </w:r>
      <w:r>
        <w:rPr>
          <w:spacing w:val="-12"/>
        </w:rPr>
        <w:t xml:space="preserve"> </w:t>
      </w:r>
      <w:r>
        <w:t>for</w:t>
      </w:r>
      <w:r>
        <w:rPr>
          <w:spacing w:val="-9"/>
        </w:rPr>
        <w:t xml:space="preserve"> </w:t>
      </w:r>
      <w:r>
        <w:t>the</w:t>
      </w:r>
      <w:r>
        <w:rPr>
          <w:spacing w:val="-12"/>
        </w:rPr>
        <w:t xml:space="preserve"> </w:t>
      </w:r>
      <w:r>
        <w:t>PS5</w:t>
      </w:r>
      <w:r>
        <w:rPr>
          <w:spacing w:val="-10"/>
        </w:rPr>
        <w:t xml:space="preserve"> </w:t>
      </w:r>
      <w:r>
        <w:t>period.</w:t>
      </w:r>
      <w:r>
        <w:rPr>
          <w:spacing w:val="-11"/>
        </w:rPr>
        <w:t xml:space="preserve"> </w:t>
      </w:r>
      <w:r>
        <w:t>There</w:t>
      </w:r>
      <w:r>
        <w:rPr>
          <w:spacing w:val="-11"/>
        </w:rPr>
        <w:t xml:space="preserve"> </w:t>
      </w:r>
      <w:r>
        <w:t>are</w:t>
      </w:r>
      <w:r>
        <w:rPr>
          <w:spacing w:val="-12"/>
        </w:rPr>
        <w:t xml:space="preserve"> </w:t>
      </w:r>
      <w:r>
        <w:t>no</w:t>
      </w:r>
      <w:r>
        <w:rPr>
          <w:spacing w:val="-12"/>
        </w:rPr>
        <w:t xml:space="preserve"> </w:t>
      </w:r>
      <w:r>
        <w:t>other</w:t>
      </w:r>
      <w:r>
        <w:rPr>
          <w:spacing w:val="-11"/>
        </w:rPr>
        <w:t xml:space="preserve"> </w:t>
      </w:r>
      <w:r>
        <w:t>non‐prescribed</w:t>
      </w:r>
      <w:r>
        <w:rPr>
          <w:spacing w:val="-11"/>
        </w:rPr>
        <w:t xml:space="preserve"> </w:t>
      </w:r>
      <w:r>
        <w:t>services for the rural business and hence no expenditure or revenue associated with non‐prescribed services.</w:t>
      </w:r>
    </w:p>
    <w:p w14:paraId="15A261E9" w14:textId="77777777" w:rsidR="00141B97" w:rsidRDefault="00141B97">
      <w:pPr>
        <w:pStyle w:val="BodyText"/>
        <w:spacing w:before="2"/>
        <w:rPr>
          <w:sz w:val="31"/>
        </w:rPr>
      </w:pPr>
    </w:p>
    <w:p w14:paraId="1192E83C" w14:textId="77777777" w:rsidR="00141B97" w:rsidRDefault="00911D63">
      <w:pPr>
        <w:pStyle w:val="Heading2"/>
        <w:numPr>
          <w:ilvl w:val="1"/>
          <w:numId w:val="37"/>
        </w:numPr>
        <w:tabs>
          <w:tab w:val="left" w:pos="1113"/>
        </w:tabs>
        <w:jc w:val="both"/>
        <w:rPr>
          <w:color w:val="009BAC"/>
        </w:rPr>
      </w:pPr>
      <w:r>
        <w:rPr>
          <w:color w:val="009BAC"/>
        </w:rPr>
        <w:t>Adjustment</w:t>
      </w:r>
      <w:r>
        <w:rPr>
          <w:color w:val="009BAC"/>
          <w:spacing w:val="-6"/>
        </w:rPr>
        <w:t xml:space="preserve"> </w:t>
      </w:r>
      <w:r>
        <w:rPr>
          <w:color w:val="009BAC"/>
        </w:rPr>
        <w:t>to</w:t>
      </w:r>
      <w:r>
        <w:rPr>
          <w:color w:val="009BAC"/>
          <w:spacing w:val="-8"/>
        </w:rPr>
        <w:t xml:space="preserve"> </w:t>
      </w:r>
      <w:r>
        <w:rPr>
          <w:color w:val="009BAC"/>
          <w:spacing w:val="-2"/>
        </w:rPr>
        <w:t>Prices</w:t>
      </w:r>
    </w:p>
    <w:p w14:paraId="4BE40F4D" w14:textId="77777777" w:rsidR="00141B97" w:rsidRDefault="00141B97">
      <w:pPr>
        <w:pStyle w:val="BodyText"/>
        <w:spacing w:before="8"/>
        <w:rPr>
          <w:sz w:val="20"/>
        </w:rPr>
      </w:pPr>
    </w:p>
    <w:p w14:paraId="072BDE15" w14:textId="77777777" w:rsidR="00141B97" w:rsidRDefault="00911D63">
      <w:pPr>
        <w:pStyle w:val="ListParagraph"/>
        <w:numPr>
          <w:ilvl w:val="2"/>
          <w:numId w:val="37"/>
        </w:numPr>
        <w:tabs>
          <w:tab w:val="left" w:pos="1112"/>
          <w:tab w:val="left" w:pos="1113"/>
        </w:tabs>
        <w:ind w:left="1112"/>
        <w:jc w:val="both"/>
      </w:pPr>
      <w:r>
        <w:t>Uncertain</w:t>
      </w:r>
      <w:r>
        <w:rPr>
          <w:spacing w:val="-10"/>
        </w:rPr>
        <w:t xml:space="preserve"> </w:t>
      </w:r>
      <w:r>
        <w:t>or</w:t>
      </w:r>
      <w:r>
        <w:rPr>
          <w:spacing w:val="-9"/>
        </w:rPr>
        <w:t xml:space="preserve"> </w:t>
      </w:r>
      <w:r>
        <w:t>Unforeseen</w:t>
      </w:r>
      <w:r>
        <w:rPr>
          <w:spacing w:val="-9"/>
        </w:rPr>
        <w:t xml:space="preserve"> </w:t>
      </w:r>
      <w:r>
        <w:rPr>
          <w:spacing w:val="-2"/>
        </w:rPr>
        <w:t>Events</w:t>
      </w:r>
    </w:p>
    <w:p w14:paraId="38F38EB1" w14:textId="77777777" w:rsidR="00141B97" w:rsidRDefault="00911D63">
      <w:pPr>
        <w:pStyle w:val="BodyText"/>
        <w:spacing w:before="59"/>
        <w:ind w:left="113" w:right="945"/>
        <w:jc w:val="both"/>
      </w:pPr>
      <w:r>
        <w:t>LMW proposes that the adjustment mechanism for unforeseen or uncertain events continues to apply for this regulatory period unchanged. Under the provisions of a Determination, LMW may apply for an adjustment of the</w:t>
      </w:r>
      <w:r>
        <w:rPr>
          <w:spacing w:val="-2"/>
        </w:rPr>
        <w:t xml:space="preserve"> </w:t>
      </w:r>
      <w:r>
        <w:t>scheduled</w:t>
      </w:r>
      <w:r>
        <w:rPr>
          <w:spacing w:val="-4"/>
        </w:rPr>
        <w:t xml:space="preserve"> </w:t>
      </w:r>
      <w:r>
        <w:t>prices</w:t>
      </w:r>
      <w:r>
        <w:rPr>
          <w:spacing w:val="-2"/>
        </w:rPr>
        <w:t xml:space="preserve"> </w:t>
      </w:r>
      <w:r>
        <w:t>and/or</w:t>
      </w:r>
      <w:r>
        <w:rPr>
          <w:spacing w:val="-2"/>
        </w:rPr>
        <w:t xml:space="preserve"> </w:t>
      </w:r>
      <w:r>
        <w:t>the</w:t>
      </w:r>
      <w:r>
        <w:rPr>
          <w:spacing w:val="-2"/>
        </w:rPr>
        <w:t xml:space="preserve"> </w:t>
      </w:r>
      <w:r>
        <w:t>revenue</w:t>
      </w:r>
      <w:r>
        <w:rPr>
          <w:spacing w:val="-3"/>
        </w:rPr>
        <w:t xml:space="preserve"> </w:t>
      </w:r>
      <w:r>
        <w:t>requirements</w:t>
      </w:r>
      <w:r>
        <w:rPr>
          <w:spacing w:val="-3"/>
        </w:rPr>
        <w:t xml:space="preserve"> </w:t>
      </w:r>
      <w:r>
        <w:t>because</w:t>
      </w:r>
      <w:r>
        <w:rPr>
          <w:spacing w:val="-3"/>
        </w:rPr>
        <w:t xml:space="preserve"> </w:t>
      </w:r>
      <w:r>
        <w:t>of events</w:t>
      </w:r>
      <w:r>
        <w:rPr>
          <w:spacing w:val="-1"/>
        </w:rPr>
        <w:t xml:space="preserve"> </w:t>
      </w:r>
      <w:r>
        <w:t>that</w:t>
      </w:r>
      <w:r>
        <w:rPr>
          <w:spacing w:val="-2"/>
        </w:rPr>
        <w:t xml:space="preserve"> </w:t>
      </w:r>
      <w:r>
        <w:t>could</w:t>
      </w:r>
      <w:r>
        <w:rPr>
          <w:spacing w:val="-2"/>
        </w:rPr>
        <w:t xml:space="preserve"> </w:t>
      </w:r>
      <w:r>
        <w:t>not</w:t>
      </w:r>
      <w:r>
        <w:rPr>
          <w:spacing w:val="-2"/>
        </w:rPr>
        <w:t xml:space="preserve"> </w:t>
      </w:r>
      <w:r>
        <w:t>reasonably</w:t>
      </w:r>
      <w:r>
        <w:rPr>
          <w:spacing w:val="-1"/>
        </w:rPr>
        <w:t xml:space="preserve"> </w:t>
      </w:r>
      <w:r>
        <w:t>have</w:t>
      </w:r>
      <w:r>
        <w:rPr>
          <w:spacing w:val="-2"/>
        </w:rPr>
        <w:t xml:space="preserve"> </w:t>
      </w:r>
      <w:r>
        <w:t>been foreseen</w:t>
      </w:r>
      <w:r>
        <w:rPr>
          <w:spacing w:val="-5"/>
        </w:rPr>
        <w:t xml:space="preserve"> </w:t>
      </w:r>
      <w:r>
        <w:t>or</w:t>
      </w:r>
      <w:r>
        <w:rPr>
          <w:spacing w:val="-7"/>
        </w:rPr>
        <w:t xml:space="preserve"> </w:t>
      </w:r>
      <w:r>
        <w:t>were</w:t>
      </w:r>
      <w:r>
        <w:rPr>
          <w:spacing w:val="-7"/>
        </w:rPr>
        <w:t xml:space="preserve"> </w:t>
      </w:r>
      <w:r>
        <w:t>uncertain</w:t>
      </w:r>
      <w:r>
        <w:rPr>
          <w:spacing w:val="-7"/>
        </w:rPr>
        <w:t xml:space="preserve"> </w:t>
      </w:r>
      <w:r>
        <w:t>at</w:t>
      </w:r>
      <w:r>
        <w:rPr>
          <w:spacing w:val="-7"/>
        </w:rPr>
        <w:t xml:space="preserve"> </w:t>
      </w:r>
      <w:r>
        <w:t>the</w:t>
      </w:r>
      <w:r>
        <w:rPr>
          <w:spacing w:val="-7"/>
        </w:rPr>
        <w:t xml:space="preserve"> </w:t>
      </w:r>
      <w:r>
        <w:t>time</w:t>
      </w:r>
      <w:r>
        <w:rPr>
          <w:spacing w:val="-9"/>
        </w:rPr>
        <w:t xml:space="preserve"> </w:t>
      </w:r>
      <w:r>
        <w:t>the</w:t>
      </w:r>
      <w:r>
        <w:rPr>
          <w:spacing w:val="-7"/>
        </w:rPr>
        <w:t xml:space="preserve"> </w:t>
      </w:r>
      <w:r>
        <w:t>Determination</w:t>
      </w:r>
      <w:r>
        <w:rPr>
          <w:spacing w:val="-7"/>
        </w:rPr>
        <w:t xml:space="preserve"> </w:t>
      </w:r>
      <w:r>
        <w:t>is</w:t>
      </w:r>
      <w:r>
        <w:rPr>
          <w:spacing w:val="-8"/>
        </w:rPr>
        <w:t xml:space="preserve"> </w:t>
      </w:r>
      <w:r>
        <w:t>made.</w:t>
      </w:r>
      <w:r>
        <w:rPr>
          <w:spacing w:val="-5"/>
        </w:rPr>
        <w:t xml:space="preserve"> </w:t>
      </w:r>
      <w:r>
        <w:t>Examples</w:t>
      </w:r>
      <w:r>
        <w:rPr>
          <w:spacing w:val="-6"/>
        </w:rPr>
        <w:t xml:space="preserve"> </w:t>
      </w:r>
      <w:r>
        <w:t>of</w:t>
      </w:r>
      <w:r>
        <w:rPr>
          <w:spacing w:val="-6"/>
        </w:rPr>
        <w:t xml:space="preserve"> </w:t>
      </w:r>
      <w:r>
        <w:t>unforeseen</w:t>
      </w:r>
      <w:r>
        <w:rPr>
          <w:spacing w:val="-7"/>
        </w:rPr>
        <w:t xml:space="preserve"> </w:t>
      </w:r>
      <w:r>
        <w:t>or</w:t>
      </w:r>
      <w:r>
        <w:rPr>
          <w:spacing w:val="-5"/>
        </w:rPr>
        <w:t xml:space="preserve"> </w:t>
      </w:r>
      <w:r>
        <w:t>uncertain</w:t>
      </w:r>
      <w:r>
        <w:rPr>
          <w:spacing w:val="-6"/>
        </w:rPr>
        <w:t xml:space="preserve"> </w:t>
      </w:r>
      <w:r>
        <w:t>events include licence fees or contributions which differ from the forecast, changes in the timing or scope of expenditure</w:t>
      </w:r>
      <w:r>
        <w:rPr>
          <w:spacing w:val="-5"/>
        </w:rPr>
        <w:t xml:space="preserve"> </w:t>
      </w:r>
      <w:r>
        <w:t>on</w:t>
      </w:r>
      <w:r>
        <w:rPr>
          <w:spacing w:val="-5"/>
        </w:rPr>
        <w:t xml:space="preserve"> </w:t>
      </w:r>
      <w:r>
        <w:t>major</w:t>
      </w:r>
      <w:r>
        <w:rPr>
          <w:spacing w:val="-5"/>
        </w:rPr>
        <w:t xml:space="preserve"> </w:t>
      </w:r>
      <w:r>
        <w:t>capital</w:t>
      </w:r>
      <w:r>
        <w:rPr>
          <w:spacing w:val="-6"/>
        </w:rPr>
        <w:t xml:space="preserve"> </w:t>
      </w:r>
      <w:r>
        <w:t>projects,</w:t>
      </w:r>
      <w:r>
        <w:rPr>
          <w:spacing w:val="-5"/>
        </w:rPr>
        <w:t xml:space="preserve"> </w:t>
      </w:r>
      <w:r>
        <w:t>or</w:t>
      </w:r>
      <w:r>
        <w:rPr>
          <w:spacing w:val="-7"/>
        </w:rPr>
        <w:t xml:space="preserve"> </w:t>
      </w:r>
      <w:r>
        <w:t>material</w:t>
      </w:r>
      <w:r>
        <w:rPr>
          <w:spacing w:val="-6"/>
        </w:rPr>
        <w:t xml:space="preserve"> </w:t>
      </w:r>
      <w:r>
        <w:t>differences</w:t>
      </w:r>
      <w:r>
        <w:rPr>
          <w:spacing w:val="-5"/>
        </w:rPr>
        <w:t xml:space="preserve"> </w:t>
      </w:r>
      <w:r>
        <w:t>in</w:t>
      </w:r>
      <w:r>
        <w:rPr>
          <w:spacing w:val="-6"/>
        </w:rPr>
        <w:t xml:space="preserve"> </w:t>
      </w:r>
      <w:r>
        <w:t>outturn</w:t>
      </w:r>
      <w:r>
        <w:rPr>
          <w:spacing w:val="-5"/>
        </w:rPr>
        <w:t xml:space="preserve"> </w:t>
      </w:r>
      <w:r>
        <w:t>demand.</w:t>
      </w:r>
      <w:r>
        <w:rPr>
          <w:spacing w:val="-7"/>
        </w:rPr>
        <w:t xml:space="preserve"> </w:t>
      </w:r>
      <w:r>
        <w:t>Exclusions</w:t>
      </w:r>
      <w:r>
        <w:rPr>
          <w:spacing w:val="-5"/>
        </w:rPr>
        <w:t xml:space="preserve"> </w:t>
      </w:r>
      <w:r>
        <w:t>would</w:t>
      </w:r>
      <w:r>
        <w:rPr>
          <w:spacing w:val="-7"/>
        </w:rPr>
        <w:t xml:space="preserve"> </w:t>
      </w:r>
      <w:r>
        <w:t>continue</w:t>
      </w:r>
      <w:r>
        <w:rPr>
          <w:spacing w:val="-6"/>
        </w:rPr>
        <w:t xml:space="preserve"> </w:t>
      </w:r>
      <w:r>
        <w:t>to apply, including matters which should have been known about or under LMW’s control, could have been planned for or managed by LMW, or reflect inefficient expenditure.</w:t>
      </w:r>
    </w:p>
    <w:p w14:paraId="72B5E594" w14:textId="77777777" w:rsidR="00141B97" w:rsidRDefault="00141B97">
      <w:pPr>
        <w:pStyle w:val="BodyText"/>
        <w:spacing w:before="9"/>
        <w:rPr>
          <w:sz w:val="20"/>
        </w:rPr>
      </w:pPr>
    </w:p>
    <w:p w14:paraId="47355155" w14:textId="77777777" w:rsidR="00141B97" w:rsidRDefault="00911D63">
      <w:pPr>
        <w:pStyle w:val="ListParagraph"/>
        <w:numPr>
          <w:ilvl w:val="2"/>
          <w:numId w:val="37"/>
        </w:numPr>
        <w:tabs>
          <w:tab w:val="left" w:pos="1112"/>
          <w:tab w:val="left" w:pos="1113"/>
        </w:tabs>
        <w:ind w:left="1112" w:hanging="1000"/>
        <w:jc w:val="both"/>
      </w:pPr>
      <w:r>
        <w:t>Trailing</w:t>
      </w:r>
      <w:r>
        <w:rPr>
          <w:spacing w:val="-6"/>
        </w:rPr>
        <w:t xml:space="preserve"> </w:t>
      </w:r>
      <w:r>
        <w:t>Cost</w:t>
      </w:r>
      <w:r>
        <w:rPr>
          <w:spacing w:val="-5"/>
        </w:rPr>
        <w:t xml:space="preserve"> </w:t>
      </w:r>
      <w:r>
        <w:t>of</w:t>
      </w:r>
      <w:r>
        <w:rPr>
          <w:spacing w:val="-6"/>
        </w:rPr>
        <w:t xml:space="preserve"> </w:t>
      </w:r>
      <w:r>
        <w:rPr>
          <w:spacing w:val="-4"/>
        </w:rPr>
        <w:t>Debt</w:t>
      </w:r>
    </w:p>
    <w:p w14:paraId="637DF960" w14:textId="77777777" w:rsidR="00141B97" w:rsidRDefault="00911D63">
      <w:pPr>
        <w:pStyle w:val="BodyText"/>
        <w:spacing w:before="70" w:line="252" w:lineRule="auto"/>
        <w:ind w:left="113" w:right="949" w:hanging="1"/>
        <w:jc w:val="both"/>
      </w:pPr>
      <w:r>
        <w:t>The estimated cost of debt is based on the ESC’s approach, using a 10‐year trailing average cost of debt based on</w:t>
      </w:r>
      <w:r>
        <w:rPr>
          <w:spacing w:val="-1"/>
        </w:rPr>
        <w:t xml:space="preserve"> </w:t>
      </w:r>
      <w:r>
        <w:t>the Reserve</w:t>
      </w:r>
      <w:r>
        <w:rPr>
          <w:spacing w:val="-2"/>
        </w:rPr>
        <w:t xml:space="preserve"> </w:t>
      </w:r>
      <w:r>
        <w:t>Bank of Australia’s 10‐year BBB‐rated corporate bond</w:t>
      </w:r>
      <w:r>
        <w:rPr>
          <w:spacing w:val="-1"/>
        </w:rPr>
        <w:t xml:space="preserve"> </w:t>
      </w:r>
      <w:r>
        <w:t>rate.</w:t>
      </w:r>
      <w:r>
        <w:rPr>
          <w:spacing w:val="-1"/>
        </w:rPr>
        <w:t xml:space="preserve"> </w:t>
      </w:r>
      <w:r>
        <w:t>The historical</w:t>
      </w:r>
      <w:r>
        <w:rPr>
          <w:spacing w:val="-2"/>
        </w:rPr>
        <w:t xml:space="preserve"> </w:t>
      </w:r>
      <w:r>
        <w:t>cost of debt</w:t>
      </w:r>
      <w:r>
        <w:rPr>
          <w:spacing w:val="-1"/>
        </w:rPr>
        <w:t xml:space="preserve"> </w:t>
      </w:r>
      <w:r>
        <w:t>provided by the ESC is reproduced in Table C32.</w:t>
      </w:r>
    </w:p>
    <w:p w14:paraId="72D4CD5C" w14:textId="0A88ACDA" w:rsidR="00141B97" w:rsidRDefault="00911D63">
      <w:pPr>
        <w:pStyle w:val="BodyText"/>
        <w:spacing w:before="5"/>
        <w:rPr>
          <w:sz w:val="6"/>
        </w:rPr>
      </w:pPr>
      <w:r>
        <w:rPr>
          <w:noProof/>
        </w:rPr>
        <mc:AlternateContent>
          <mc:Choice Requires="wpg">
            <w:drawing>
              <wp:anchor distT="0" distB="0" distL="0" distR="0" simplePos="0" relativeHeight="487625728" behindDoc="1" locked="0" layoutInCell="1" allowOverlap="1" wp14:anchorId="653B734A" wp14:editId="4D427B80">
                <wp:simplePos x="0" y="0"/>
                <wp:positionH relativeFrom="page">
                  <wp:posOffset>720090</wp:posOffset>
                </wp:positionH>
                <wp:positionV relativeFrom="paragraph">
                  <wp:posOffset>65405</wp:posOffset>
                </wp:positionV>
                <wp:extent cx="6210300" cy="589280"/>
                <wp:effectExtent l="0" t="0" r="0" b="0"/>
                <wp:wrapTopAndBottom/>
                <wp:docPr id="38"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89280"/>
                          <a:chOff x="1134" y="103"/>
                          <a:chExt cx="9780" cy="928"/>
                        </a:xfrm>
                      </wpg:grpSpPr>
                      <wps:wsp>
                        <wps:cNvPr id="40" name="docshape269"/>
                        <wps:cNvSpPr>
                          <a:spLocks noChangeArrowheads="1"/>
                        </wps:cNvSpPr>
                        <wps:spPr bwMode="auto">
                          <a:xfrm>
                            <a:off x="1134" y="347"/>
                            <a:ext cx="9780" cy="489"/>
                          </a:xfrm>
                          <a:prstGeom prst="rect">
                            <a:avLst/>
                          </a:prstGeom>
                          <a:solidFill>
                            <a:srgbClr val="CCE2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270"/>
                        <wps:cNvSpPr txBox="1">
                          <a:spLocks noChangeArrowheads="1"/>
                        </wps:cNvSpPr>
                        <wps:spPr bwMode="auto">
                          <a:xfrm>
                            <a:off x="1134" y="835"/>
                            <a:ext cx="9780" cy="1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75475" w14:textId="77777777" w:rsidR="00141B97" w:rsidRDefault="00911D63">
                              <w:pPr>
                                <w:spacing w:line="194" w:lineRule="exact"/>
                                <w:ind w:left="107"/>
                                <w:rPr>
                                  <w:color w:val="000000"/>
                                  <w:sz w:val="16"/>
                                </w:rPr>
                              </w:pPr>
                              <w:r>
                                <w:rPr>
                                  <w:color w:val="000000"/>
                                  <w:sz w:val="16"/>
                                </w:rPr>
                                <w:t>*</w:t>
                              </w:r>
                              <w:r>
                                <w:rPr>
                                  <w:color w:val="000000"/>
                                  <w:spacing w:val="-4"/>
                                  <w:sz w:val="16"/>
                                </w:rPr>
                                <w:t xml:space="preserve"> </w:t>
                              </w:r>
                              <w:r>
                                <w:rPr>
                                  <w:color w:val="000000"/>
                                  <w:sz w:val="16"/>
                                </w:rPr>
                                <w:t>To</w:t>
                              </w:r>
                              <w:r>
                                <w:rPr>
                                  <w:color w:val="000000"/>
                                  <w:spacing w:val="-4"/>
                                  <w:sz w:val="16"/>
                                </w:rPr>
                                <w:t xml:space="preserve"> </w:t>
                              </w:r>
                              <w:r>
                                <w:rPr>
                                  <w:color w:val="000000"/>
                                  <w:sz w:val="16"/>
                                </w:rPr>
                                <w:t>be</w:t>
                              </w:r>
                              <w:r>
                                <w:rPr>
                                  <w:color w:val="000000"/>
                                  <w:spacing w:val="-3"/>
                                  <w:sz w:val="16"/>
                                </w:rPr>
                                <w:t xml:space="preserve"> </w:t>
                              </w:r>
                              <w:r>
                                <w:rPr>
                                  <w:color w:val="000000"/>
                                  <w:sz w:val="16"/>
                                </w:rPr>
                                <w:t>updated</w:t>
                              </w:r>
                              <w:r>
                                <w:rPr>
                                  <w:color w:val="000000"/>
                                  <w:spacing w:val="-4"/>
                                  <w:sz w:val="16"/>
                                </w:rPr>
                                <w:t xml:space="preserve"> </w:t>
                              </w:r>
                              <w:r>
                                <w:rPr>
                                  <w:color w:val="000000"/>
                                  <w:sz w:val="16"/>
                                </w:rPr>
                                <w:t>by</w:t>
                              </w:r>
                              <w:r>
                                <w:rPr>
                                  <w:color w:val="000000"/>
                                  <w:spacing w:val="-3"/>
                                  <w:sz w:val="16"/>
                                </w:rPr>
                                <w:t xml:space="preserve"> </w:t>
                              </w:r>
                              <w:r>
                                <w:rPr>
                                  <w:color w:val="000000"/>
                                  <w:sz w:val="16"/>
                                </w:rPr>
                                <w:t>ESC</w:t>
                              </w:r>
                              <w:r>
                                <w:rPr>
                                  <w:color w:val="000000"/>
                                  <w:spacing w:val="-3"/>
                                  <w:sz w:val="16"/>
                                </w:rPr>
                                <w:t xml:space="preserve"> </w:t>
                              </w:r>
                              <w:r>
                                <w:rPr>
                                  <w:color w:val="000000"/>
                                  <w:sz w:val="16"/>
                                </w:rPr>
                                <w:t>prior</w:t>
                              </w:r>
                              <w:r>
                                <w:rPr>
                                  <w:color w:val="000000"/>
                                  <w:spacing w:val="-4"/>
                                  <w:sz w:val="16"/>
                                </w:rPr>
                                <w:t xml:space="preserve"> </w:t>
                              </w:r>
                              <w:r>
                                <w:rPr>
                                  <w:color w:val="000000"/>
                                  <w:sz w:val="16"/>
                                </w:rPr>
                                <w:t>to</w:t>
                              </w:r>
                              <w:r>
                                <w:rPr>
                                  <w:color w:val="000000"/>
                                  <w:spacing w:val="-4"/>
                                  <w:sz w:val="16"/>
                                </w:rPr>
                                <w:t xml:space="preserve"> </w:t>
                              </w:r>
                              <w:r>
                                <w:rPr>
                                  <w:color w:val="000000"/>
                                  <w:sz w:val="16"/>
                                </w:rPr>
                                <w:t>the</w:t>
                              </w:r>
                              <w:r>
                                <w:rPr>
                                  <w:color w:val="000000"/>
                                  <w:spacing w:val="-2"/>
                                  <w:sz w:val="16"/>
                                </w:rPr>
                                <w:t xml:space="preserve"> </w:t>
                              </w:r>
                              <w:r>
                                <w:rPr>
                                  <w:color w:val="000000"/>
                                  <w:sz w:val="16"/>
                                </w:rPr>
                                <w:t>ESC’s</w:t>
                              </w:r>
                              <w:r>
                                <w:rPr>
                                  <w:color w:val="000000"/>
                                  <w:spacing w:val="-3"/>
                                  <w:sz w:val="16"/>
                                </w:rPr>
                                <w:t xml:space="preserve"> </w:t>
                              </w:r>
                              <w:r>
                                <w:rPr>
                                  <w:color w:val="000000"/>
                                  <w:sz w:val="16"/>
                                </w:rPr>
                                <w:t>Final</w:t>
                              </w:r>
                              <w:r>
                                <w:rPr>
                                  <w:color w:val="000000"/>
                                  <w:spacing w:val="-3"/>
                                  <w:sz w:val="16"/>
                                </w:rPr>
                                <w:t xml:space="preserve"> </w:t>
                              </w:r>
                              <w:r>
                                <w:rPr>
                                  <w:color w:val="000000"/>
                                  <w:spacing w:val="-2"/>
                                  <w:sz w:val="16"/>
                                </w:rPr>
                                <w:t>Decision</w:t>
                              </w:r>
                            </w:p>
                          </w:txbxContent>
                        </wps:txbx>
                        <wps:bodyPr rot="0" vert="horz" wrap="square" lIns="0" tIns="0" rIns="0" bIns="0" anchor="t" anchorCtr="0" upright="1">
                          <a:noAutofit/>
                        </wps:bodyPr>
                      </wps:wsp>
                      <wps:wsp>
                        <wps:cNvPr id="44" name="docshape271"/>
                        <wps:cNvSpPr txBox="1">
                          <a:spLocks noChangeArrowheads="1"/>
                        </wps:cNvSpPr>
                        <wps:spPr bwMode="auto">
                          <a:xfrm>
                            <a:off x="10412"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FA7A0" w14:textId="77777777" w:rsidR="00141B97" w:rsidRDefault="00911D63">
                              <w:pPr>
                                <w:spacing w:line="200" w:lineRule="exact"/>
                                <w:rPr>
                                  <w:sz w:val="20"/>
                                </w:rPr>
                              </w:pPr>
                              <w:r>
                                <w:rPr>
                                  <w:spacing w:val="-4"/>
                                  <w:sz w:val="20"/>
                                </w:rPr>
                                <w:t>3.8%</w:t>
                              </w:r>
                            </w:p>
                          </w:txbxContent>
                        </wps:txbx>
                        <wps:bodyPr rot="0" vert="horz" wrap="square" lIns="0" tIns="0" rIns="0" bIns="0" anchor="t" anchorCtr="0" upright="1">
                          <a:noAutofit/>
                        </wps:bodyPr>
                      </wps:wsp>
                      <wps:wsp>
                        <wps:cNvPr id="46" name="docshape272"/>
                        <wps:cNvSpPr txBox="1">
                          <a:spLocks noChangeArrowheads="1"/>
                        </wps:cNvSpPr>
                        <wps:spPr bwMode="auto">
                          <a:xfrm>
                            <a:off x="9536"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0411" w14:textId="77777777" w:rsidR="00141B97" w:rsidRDefault="00911D63">
                              <w:pPr>
                                <w:spacing w:line="200" w:lineRule="exact"/>
                                <w:rPr>
                                  <w:sz w:val="20"/>
                                </w:rPr>
                              </w:pPr>
                              <w:r>
                                <w:rPr>
                                  <w:spacing w:val="-4"/>
                                  <w:sz w:val="20"/>
                                </w:rPr>
                                <w:t>3.8%</w:t>
                              </w:r>
                            </w:p>
                          </w:txbxContent>
                        </wps:txbx>
                        <wps:bodyPr rot="0" vert="horz" wrap="square" lIns="0" tIns="0" rIns="0" bIns="0" anchor="t" anchorCtr="0" upright="1">
                          <a:noAutofit/>
                        </wps:bodyPr>
                      </wps:wsp>
                      <wps:wsp>
                        <wps:cNvPr id="48" name="docshape273"/>
                        <wps:cNvSpPr txBox="1">
                          <a:spLocks noChangeArrowheads="1"/>
                        </wps:cNvSpPr>
                        <wps:spPr bwMode="auto">
                          <a:xfrm>
                            <a:off x="8661"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90B5" w14:textId="77777777" w:rsidR="00141B97" w:rsidRDefault="00911D63">
                              <w:pPr>
                                <w:spacing w:line="200" w:lineRule="exact"/>
                                <w:rPr>
                                  <w:sz w:val="20"/>
                                </w:rPr>
                              </w:pPr>
                              <w:r>
                                <w:rPr>
                                  <w:spacing w:val="-4"/>
                                  <w:sz w:val="20"/>
                                </w:rPr>
                                <w:t>3.0%</w:t>
                              </w:r>
                            </w:p>
                          </w:txbxContent>
                        </wps:txbx>
                        <wps:bodyPr rot="0" vert="horz" wrap="square" lIns="0" tIns="0" rIns="0" bIns="0" anchor="t" anchorCtr="0" upright="1">
                          <a:noAutofit/>
                        </wps:bodyPr>
                      </wps:wsp>
                      <wps:wsp>
                        <wps:cNvPr id="50" name="docshape274"/>
                        <wps:cNvSpPr txBox="1">
                          <a:spLocks noChangeArrowheads="1"/>
                        </wps:cNvSpPr>
                        <wps:spPr bwMode="auto">
                          <a:xfrm>
                            <a:off x="7788"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FB139" w14:textId="77777777" w:rsidR="00141B97" w:rsidRDefault="00911D63">
                              <w:pPr>
                                <w:spacing w:line="200" w:lineRule="exact"/>
                                <w:rPr>
                                  <w:sz w:val="20"/>
                                </w:rPr>
                              </w:pPr>
                              <w:r>
                                <w:rPr>
                                  <w:spacing w:val="-4"/>
                                  <w:sz w:val="20"/>
                                </w:rPr>
                                <w:t>3.3%</w:t>
                              </w:r>
                            </w:p>
                          </w:txbxContent>
                        </wps:txbx>
                        <wps:bodyPr rot="0" vert="horz" wrap="square" lIns="0" tIns="0" rIns="0" bIns="0" anchor="t" anchorCtr="0" upright="1">
                          <a:noAutofit/>
                        </wps:bodyPr>
                      </wps:wsp>
                      <wps:wsp>
                        <wps:cNvPr id="52" name="docshape275"/>
                        <wps:cNvSpPr txBox="1">
                          <a:spLocks noChangeArrowheads="1"/>
                        </wps:cNvSpPr>
                        <wps:spPr bwMode="auto">
                          <a:xfrm>
                            <a:off x="6914"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3B9E" w14:textId="77777777" w:rsidR="00141B97" w:rsidRDefault="00911D63">
                              <w:pPr>
                                <w:spacing w:line="200" w:lineRule="exact"/>
                                <w:rPr>
                                  <w:sz w:val="20"/>
                                </w:rPr>
                              </w:pPr>
                              <w:r>
                                <w:rPr>
                                  <w:spacing w:val="-4"/>
                                  <w:sz w:val="20"/>
                                </w:rPr>
                                <w:t>4.6%</w:t>
                              </w:r>
                            </w:p>
                          </w:txbxContent>
                        </wps:txbx>
                        <wps:bodyPr rot="0" vert="horz" wrap="square" lIns="0" tIns="0" rIns="0" bIns="0" anchor="t" anchorCtr="0" upright="1">
                          <a:noAutofit/>
                        </wps:bodyPr>
                      </wps:wsp>
                      <wps:wsp>
                        <wps:cNvPr id="54" name="docshape276"/>
                        <wps:cNvSpPr txBox="1">
                          <a:spLocks noChangeArrowheads="1"/>
                        </wps:cNvSpPr>
                        <wps:spPr bwMode="auto">
                          <a:xfrm>
                            <a:off x="6039"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FBB8" w14:textId="77777777" w:rsidR="00141B97" w:rsidRDefault="00911D63">
                              <w:pPr>
                                <w:spacing w:line="200" w:lineRule="exact"/>
                                <w:rPr>
                                  <w:sz w:val="20"/>
                                </w:rPr>
                              </w:pPr>
                              <w:r>
                                <w:rPr>
                                  <w:spacing w:val="-4"/>
                                  <w:sz w:val="20"/>
                                </w:rPr>
                                <w:t>4.5%</w:t>
                              </w:r>
                            </w:p>
                          </w:txbxContent>
                        </wps:txbx>
                        <wps:bodyPr rot="0" vert="horz" wrap="square" lIns="0" tIns="0" rIns="0" bIns="0" anchor="t" anchorCtr="0" upright="1">
                          <a:noAutofit/>
                        </wps:bodyPr>
                      </wps:wsp>
                      <wps:wsp>
                        <wps:cNvPr id="56" name="docshape277"/>
                        <wps:cNvSpPr txBox="1">
                          <a:spLocks noChangeArrowheads="1"/>
                        </wps:cNvSpPr>
                        <wps:spPr bwMode="auto">
                          <a:xfrm>
                            <a:off x="5166"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966C" w14:textId="77777777" w:rsidR="00141B97" w:rsidRDefault="00911D63">
                              <w:pPr>
                                <w:spacing w:line="200" w:lineRule="exact"/>
                                <w:rPr>
                                  <w:sz w:val="20"/>
                                </w:rPr>
                              </w:pPr>
                              <w:r>
                                <w:rPr>
                                  <w:spacing w:val="-4"/>
                                  <w:sz w:val="20"/>
                                </w:rPr>
                                <w:t>4.9%</w:t>
                              </w:r>
                            </w:p>
                          </w:txbxContent>
                        </wps:txbx>
                        <wps:bodyPr rot="0" vert="horz" wrap="square" lIns="0" tIns="0" rIns="0" bIns="0" anchor="t" anchorCtr="0" upright="1">
                          <a:noAutofit/>
                        </wps:bodyPr>
                      </wps:wsp>
                      <wps:wsp>
                        <wps:cNvPr id="58" name="docshape278"/>
                        <wps:cNvSpPr txBox="1">
                          <a:spLocks noChangeArrowheads="1"/>
                        </wps:cNvSpPr>
                        <wps:spPr bwMode="auto">
                          <a:xfrm>
                            <a:off x="4292"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4C630" w14:textId="77777777" w:rsidR="00141B97" w:rsidRDefault="00911D63">
                              <w:pPr>
                                <w:spacing w:line="200" w:lineRule="exact"/>
                                <w:rPr>
                                  <w:sz w:val="20"/>
                                </w:rPr>
                              </w:pPr>
                              <w:r>
                                <w:rPr>
                                  <w:spacing w:val="-4"/>
                                  <w:sz w:val="20"/>
                                </w:rPr>
                                <w:t>5.3%</w:t>
                              </w:r>
                            </w:p>
                          </w:txbxContent>
                        </wps:txbx>
                        <wps:bodyPr rot="0" vert="horz" wrap="square" lIns="0" tIns="0" rIns="0" bIns="0" anchor="t" anchorCtr="0" upright="1">
                          <a:noAutofit/>
                        </wps:bodyPr>
                      </wps:wsp>
                      <wps:wsp>
                        <wps:cNvPr id="60" name="docshape279"/>
                        <wps:cNvSpPr txBox="1">
                          <a:spLocks noChangeArrowheads="1"/>
                        </wps:cNvSpPr>
                        <wps:spPr bwMode="auto">
                          <a:xfrm>
                            <a:off x="3417"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FF1A" w14:textId="77777777" w:rsidR="00141B97" w:rsidRDefault="00911D63">
                              <w:pPr>
                                <w:spacing w:line="200" w:lineRule="exact"/>
                                <w:rPr>
                                  <w:sz w:val="20"/>
                                </w:rPr>
                              </w:pPr>
                              <w:r>
                                <w:rPr>
                                  <w:spacing w:val="-4"/>
                                  <w:sz w:val="20"/>
                                </w:rPr>
                                <w:t>5.4%</w:t>
                              </w:r>
                            </w:p>
                          </w:txbxContent>
                        </wps:txbx>
                        <wps:bodyPr rot="0" vert="horz" wrap="square" lIns="0" tIns="0" rIns="0" bIns="0" anchor="t" anchorCtr="0" upright="1">
                          <a:noAutofit/>
                        </wps:bodyPr>
                      </wps:wsp>
                      <wps:wsp>
                        <wps:cNvPr id="62" name="docshape280"/>
                        <wps:cNvSpPr txBox="1">
                          <a:spLocks noChangeArrowheads="1"/>
                        </wps:cNvSpPr>
                        <wps:spPr bwMode="auto">
                          <a:xfrm>
                            <a:off x="2277" y="499"/>
                            <a:ext cx="4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20F77" w14:textId="77777777" w:rsidR="00141B97" w:rsidRDefault="00911D63">
                              <w:pPr>
                                <w:spacing w:line="200" w:lineRule="exact"/>
                                <w:rPr>
                                  <w:sz w:val="20"/>
                                </w:rPr>
                              </w:pPr>
                              <w:r>
                                <w:rPr>
                                  <w:spacing w:val="-4"/>
                                  <w:sz w:val="20"/>
                                </w:rPr>
                                <w:t>7.1%</w:t>
                              </w:r>
                            </w:p>
                          </w:txbxContent>
                        </wps:txbx>
                        <wps:bodyPr rot="0" vert="horz" wrap="square" lIns="0" tIns="0" rIns="0" bIns="0" anchor="t" anchorCtr="0" upright="1">
                          <a:noAutofit/>
                        </wps:bodyPr>
                      </wps:wsp>
                      <wps:wsp>
                        <wps:cNvPr id="64" name="docshape281"/>
                        <wps:cNvSpPr txBox="1">
                          <a:spLocks noChangeArrowheads="1"/>
                        </wps:cNvSpPr>
                        <wps:spPr bwMode="auto">
                          <a:xfrm>
                            <a:off x="1242" y="386"/>
                            <a:ext cx="58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80D1" w14:textId="77777777" w:rsidR="00141B97" w:rsidRDefault="00911D63">
                              <w:pPr>
                                <w:spacing w:line="204" w:lineRule="exact"/>
                                <w:rPr>
                                  <w:sz w:val="20"/>
                                </w:rPr>
                              </w:pPr>
                              <w:r>
                                <w:rPr>
                                  <w:sz w:val="20"/>
                                </w:rPr>
                                <w:t xml:space="preserve">Cost </w:t>
                              </w:r>
                              <w:r>
                                <w:rPr>
                                  <w:spacing w:val="-5"/>
                                  <w:sz w:val="20"/>
                                </w:rPr>
                                <w:t>of</w:t>
                              </w:r>
                            </w:p>
                            <w:p w14:paraId="6F25A84E" w14:textId="77777777" w:rsidR="00141B97" w:rsidRDefault="00911D63">
                              <w:pPr>
                                <w:spacing w:line="240" w:lineRule="exact"/>
                                <w:rPr>
                                  <w:sz w:val="20"/>
                                </w:rPr>
                              </w:pPr>
                              <w:r>
                                <w:rPr>
                                  <w:spacing w:val="-4"/>
                                  <w:sz w:val="20"/>
                                </w:rPr>
                                <w:t>debt</w:t>
                              </w:r>
                            </w:p>
                          </w:txbxContent>
                        </wps:txbx>
                        <wps:bodyPr rot="0" vert="horz" wrap="square" lIns="0" tIns="0" rIns="0" bIns="0" anchor="t" anchorCtr="0" upright="1">
                          <a:noAutofit/>
                        </wps:bodyPr>
                      </wps:wsp>
                      <wps:wsp>
                        <wps:cNvPr id="66" name="docshape282"/>
                        <wps:cNvSpPr txBox="1">
                          <a:spLocks noChangeArrowheads="1"/>
                        </wps:cNvSpPr>
                        <wps:spPr bwMode="auto">
                          <a:xfrm>
                            <a:off x="1134" y="102"/>
                            <a:ext cx="9780" cy="245"/>
                          </a:xfrm>
                          <a:prstGeom prst="rect">
                            <a:avLst/>
                          </a:prstGeom>
                          <a:solidFill>
                            <a:srgbClr val="006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3359C" w14:textId="77777777" w:rsidR="00141B97" w:rsidRDefault="00911D63">
                              <w:pPr>
                                <w:tabs>
                                  <w:tab w:val="left" w:pos="2045"/>
                                  <w:tab w:val="left" w:pos="2920"/>
                                  <w:tab w:val="left" w:pos="3794"/>
                                  <w:tab w:val="left" w:pos="4667"/>
                                  <w:tab w:val="left" w:pos="5542"/>
                                  <w:tab w:val="left" w:pos="6416"/>
                                  <w:tab w:val="left" w:pos="7289"/>
                                  <w:tab w:val="left" w:pos="8164"/>
                                  <w:tab w:val="left" w:pos="9039"/>
                                </w:tabs>
                                <w:spacing w:before="2"/>
                                <w:ind w:left="1171"/>
                                <w:rPr>
                                  <w:color w:val="000000"/>
                                  <w:sz w:val="18"/>
                                </w:rPr>
                              </w:pPr>
                              <w:r>
                                <w:rPr>
                                  <w:color w:val="FFFFFF"/>
                                  <w:spacing w:val="-2"/>
                                  <w:sz w:val="18"/>
                                </w:rPr>
                                <w:t>2013‐14</w:t>
                              </w:r>
                              <w:r>
                                <w:rPr>
                                  <w:color w:val="FFFFFF"/>
                                  <w:sz w:val="18"/>
                                </w:rPr>
                                <w:tab/>
                              </w:r>
                              <w:r>
                                <w:rPr>
                                  <w:color w:val="FFFFFF"/>
                                  <w:spacing w:val="-2"/>
                                  <w:position w:val="1"/>
                                  <w:sz w:val="18"/>
                                </w:rPr>
                                <w:t>2014‐15</w:t>
                              </w:r>
                              <w:r>
                                <w:rPr>
                                  <w:color w:val="FFFFFF"/>
                                  <w:position w:val="1"/>
                                  <w:sz w:val="18"/>
                                </w:rPr>
                                <w:tab/>
                              </w:r>
                              <w:r>
                                <w:rPr>
                                  <w:color w:val="FFFFFF"/>
                                  <w:spacing w:val="-2"/>
                                  <w:sz w:val="18"/>
                                </w:rPr>
                                <w:t>2015‐16</w:t>
                              </w:r>
                              <w:r>
                                <w:rPr>
                                  <w:color w:val="FFFFFF"/>
                                  <w:sz w:val="18"/>
                                </w:rPr>
                                <w:tab/>
                              </w:r>
                              <w:r>
                                <w:rPr>
                                  <w:color w:val="FFFFFF"/>
                                  <w:spacing w:val="-2"/>
                                  <w:sz w:val="18"/>
                                </w:rPr>
                                <w:t>2016‐17</w:t>
                              </w:r>
                              <w:r>
                                <w:rPr>
                                  <w:color w:val="FFFFFF"/>
                                  <w:sz w:val="18"/>
                                </w:rPr>
                                <w:tab/>
                              </w:r>
                              <w:r>
                                <w:rPr>
                                  <w:color w:val="FFFFFF"/>
                                  <w:spacing w:val="-2"/>
                                  <w:sz w:val="18"/>
                                </w:rPr>
                                <w:t>2017‐18</w:t>
                              </w:r>
                              <w:r>
                                <w:rPr>
                                  <w:color w:val="FFFFFF"/>
                                  <w:sz w:val="18"/>
                                </w:rPr>
                                <w:tab/>
                              </w:r>
                              <w:r>
                                <w:rPr>
                                  <w:color w:val="FFFFFF"/>
                                  <w:spacing w:val="-2"/>
                                  <w:sz w:val="18"/>
                                </w:rPr>
                                <w:t>2018‐19</w:t>
                              </w:r>
                              <w:r>
                                <w:rPr>
                                  <w:color w:val="FFFFFF"/>
                                  <w:sz w:val="18"/>
                                </w:rPr>
                                <w:tab/>
                              </w:r>
                              <w:r>
                                <w:rPr>
                                  <w:color w:val="FFFFFF"/>
                                  <w:spacing w:val="-2"/>
                                  <w:sz w:val="18"/>
                                </w:rPr>
                                <w:t>2019‐20</w:t>
                              </w:r>
                              <w:r>
                                <w:rPr>
                                  <w:color w:val="FFFFFF"/>
                                  <w:sz w:val="18"/>
                                </w:rPr>
                                <w:tab/>
                              </w:r>
                              <w:r>
                                <w:rPr>
                                  <w:color w:val="FFFFFF"/>
                                  <w:spacing w:val="-2"/>
                                  <w:sz w:val="18"/>
                                </w:rPr>
                                <w:t>2020‐21</w:t>
                              </w:r>
                              <w:r>
                                <w:rPr>
                                  <w:color w:val="FFFFFF"/>
                                  <w:sz w:val="18"/>
                                </w:rPr>
                                <w:tab/>
                              </w:r>
                              <w:r>
                                <w:rPr>
                                  <w:color w:val="FFFFFF"/>
                                  <w:spacing w:val="-2"/>
                                  <w:sz w:val="18"/>
                                </w:rPr>
                                <w:t>2021‐22</w:t>
                              </w:r>
                              <w:r>
                                <w:rPr>
                                  <w:color w:val="FFFFFF"/>
                                  <w:sz w:val="18"/>
                                </w:rPr>
                                <w:tab/>
                              </w:r>
                              <w:r>
                                <w:rPr>
                                  <w:color w:val="FFFFFF"/>
                                  <w:spacing w:val="-2"/>
                                  <w:sz w:val="18"/>
                                </w:rPr>
                                <w:t>2022‐23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B734A" id="docshapegroup268" o:spid="_x0000_s1115" style="position:absolute;margin-left:56.7pt;margin-top:5.15pt;width:489pt;height:46.4pt;z-index:-15690752;mso-wrap-distance-left:0;mso-wrap-distance-right:0;mso-position-horizontal-relative:page" coordorigin="1134,103" coordsize="978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">
                <v:rect id="docshape269" o:spid="_x0000_s1116" style="position:absolute;left:1134;top:347;width:97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" fillcolor="#cce2ed" stroked="f"/>
                <v:shape id="docshape270" o:spid="_x0000_s1117" type="#_x0000_t202" style="position:absolute;left:1134;top:835;width:978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" fillcolor="#f0f0f0" stroked="f">
                  <v:textbox inset="0,0,0,0">
                    <w:txbxContent>
                      <w:p w14:paraId="77675475" w14:textId="77777777" w:rsidR="00141B97" w:rsidRDefault="00911D63">
                        <w:pPr>
                          <w:spacing w:line="194" w:lineRule="exact"/>
                          <w:ind w:left="107"/>
                          <w:rPr>
                            <w:color w:val="000000"/>
                            <w:sz w:val="16"/>
                          </w:rPr>
                        </w:pPr>
                        <w:r>
                          <w:rPr>
                            <w:color w:val="000000"/>
                            <w:sz w:val="16"/>
                          </w:rPr>
                          <w:t>*</w:t>
                        </w:r>
                        <w:r>
                          <w:rPr>
                            <w:color w:val="000000"/>
                            <w:spacing w:val="-4"/>
                            <w:sz w:val="16"/>
                          </w:rPr>
                          <w:t xml:space="preserve"> </w:t>
                        </w:r>
                        <w:r>
                          <w:rPr>
                            <w:color w:val="000000"/>
                            <w:sz w:val="16"/>
                          </w:rPr>
                          <w:t>To</w:t>
                        </w:r>
                        <w:r>
                          <w:rPr>
                            <w:color w:val="000000"/>
                            <w:spacing w:val="-4"/>
                            <w:sz w:val="16"/>
                          </w:rPr>
                          <w:t xml:space="preserve"> </w:t>
                        </w:r>
                        <w:r>
                          <w:rPr>
                            <w:color w:val="000000"/>
                            <w:sz w:val="16"/>
                          </w:rPr>
                          <w:t>be</w:t>
                        </w:r>
                        <w:r>
                          <w:rPr>
                            <w:color w:val="000000"/>
                            <w:spacing w:val="-3"/>
                            <w:sz w:val="16"/>
                          </w:rPr>
                          <w:t xml:space="preserve"> </w:t>
                        </w:r>
                        <w:r>
                          <w:rPr>
                            <w:color w:val="000000"/>
                            <w:sz w:val="16"/>
                          </w:rPr>
                          <w:t>updated</w:t>
                        </w:r>
                        <w:r>
                          <w:rPr>
                            <w:color w:val="000000"/>
                            <w:spacing w:val="-4"/>
                            <w:sz w:val="16"/>
                          </w:rPr>
                          <w:t xml:space="preserve"> </w:t>
                        </w:r>
                        <w:r>
                          <w:rPr>
                            <w:color w:val="000000"/>
                            <w:sz w:val="16"/>
                          </w:rPr>
                          <w:t>by</w:t>
                        </w:r>
                        <w:r>
                          <w:rPr>
                            <w:color w:val="000000"/>
                            <w:spacing w:val="-3"/>
                            <w:sz w:val="16"/>
                          </w:rPr>
                          <w:t xml:space="preserve"> </w:t>
                        </w:r>
                        <w:r>
                          <w:rPr>
                            <w:color w:val="000000"/>
                            <w:sz w:val="16"/>
                          </w:rPr>
                          <w:t>ESC</w:t>
                        </w:r>
                        <w:r>
                          <w:rPr>
                            <w:color w:val="000000"/>
                            <w:spacing w:val="-3"/>
                            <w:sz w:val="16"/>
                          </w:rPr>
                          <w:t xml:space="preserve"> </w:t>
                        </w:r>
                        <w:r>
                          <w:rPr>
                            <w:color w:val="000000"/>
                            <w:sz w:val="16"/>
                          </w:rPr>
                          <w:t>prior</w:t>
                        </w:r>
                        <w:r>
                          <w:rPr>
                            <w:color w:val="000000"/>
                            <w:spacing w:val="-4"/>
                            <w:sz w:val="16"/>
                          </w:rPr>
                          <w:t xml:space="preserve"> </w:t>
                        </w:r>
                        <w:r>
                          <w:rPr>
                            <w:color w:val="000000"/>
                            <w:sz w:val="16"/>
                          </w:rPr>
                          <w:t>to</w:t>
                        </w:r>
                        <w:r>
                          <w:rPr>
                            <w:color w:val="000000"/>
                            <w:spacing w:val="-4"/>
                            <w:sz w:val="16"/>
                          </w:rPr>
                          <w:t xml:space="preserve"> </w:t>
                        </w:r>
                        <w:r>
                          <w:rPr>
                            <w:color w:val="000000"/>
                            <w:sz w:val="16"/>
                          </w:rPr>
                          <w:t>the</w:t>
                        </w:r>
                        <w:r>
                          <w:rPr>
                            <w:color w:val="000000"/>
                            <w:spacing w:val="-2"/>
                            <w:sz w:val="16"/>
                          </w:rPr>
                          <w:t xml:space="preserve"> </w:t>
                        </w:r>
                        <w:r>
                          <w:rPr>
                            <w:color w:val="000000"/>
                            <w:sz w:val="16"/>
                          </w:rPr>
                          <w:t>ESC’s</w:t>
                        </w:r>
                        <w:r>
                          <w:rPr>
                            <w:color w:val="000000"/>
                            <w:spacing w:val="-3"/>
                            <w:sz w:val="16"/>
                          </w:rPr>
                          <w:t xml:space="preserve"> </w:t>
                        </w:r>
                        <w:r>
                          <w:rPr>
                            <w:color w:val="000000"/>
                            <w:sz w:val="16"/>
                          </w:rPr>
                          <w:t>Final</w:t>
                        </w:r>
                        <w:r>
                          <w:rPr>
                            <w:color w:val="000000"/>
                            <w:spacing w:val="-3"/>
                            <w:sz w:val="16"/>
                          </w:rPr>
                          <w:t xml:space="preserve"> </w:t>
                        </w:r>
                        <w:r>
                          <w:rPr>
                            <w:color w:val="000000"/>
                            <w:spacing w:val="-2"/>
                            <w:sz w:val="16"/>
                          </w:rPr>
                          <w:t>Decision</w:t>
                        </w:r>
                      </w:p>
                    </w:txbxContent>
                  </v:textbox>
                </v:shape>
                <v:shape id="docshape271" o:spid="_x0000_s1118" type="#_x0000_t202" style="position:absolute;left:10412;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04FA7A0" w14:textId="77777777" w:rsidR="00141B97" w:rsidRDefault="00911D63">
                        <w:pPr>
                          <w:spacing w:line="200" w:lineRule="exact"/>
                          <w:rPr>
                            <w:sz w:val="20"/>
                          </w:rPr>
                        </w:pPr>
                        <w:r>
                          <w:rPr>
                            <w:spacing w:val="-4"/>
                            <w:sz w:val="20"/>
                          </w:rPr>
                          <w:t>3.8%</w:t>
                        </w:r>
                      </w:p>
                    </w:txbxContent>
                  </v:textbox>
                </v:shape>
                <v:shape id="docshape272" o:spid="_x0000_s1119" type="#_x0000_t202" style="position:absolute;left:9536;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3F90411" w14:textId="77777777" w:rsidR="00141B97" w:rsidRDefault="00911D63">
                        <w:pPr>
                          <w:spacing w:line="200" w:lineRule="exact"/>
                          <w:rPr>
                            <w:sz w:val="20"/>
                          </w:rPr>
                        </w:pPr>
                        <w:r>
                          <w:rPr>
                            <w:spacing w:val="-4"/>
                            <w:sz w:val="20"/>
                          </w:rPr>
                          <w:t>3.8%</w:t>
                        </w:r>
                      </w:p>
                    </w:txbxContent>
                  </v:textbox>
                </v:shape>
                <v:shape id="docshape273" o:spid="_x0000_s1120" type="#_x0000_t202" style="position:absolute;left:8661;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C5590B5" w14:textId="77777777" w:rsidR="00141B97" w:rsidRDefault="00911D63">
                        <w:pPr>
                          <w:spacing w:line="200" w:lineRule="exact"/>
                          <w:rPr>
                            <w:sz w:val="20"/>
                          </w:rPr>
                        </w:pPr>
                        <w:r>
                          <w:rPr>
                            <w:spacing w:val="-4"/>
                            <w:sz w:val="20"/>
                          </w:rPr>
                          <w:t>3.0%</w:t>
                        </w:r>
                      </w:p>
                    </w:txbxContent>
                  </v:textbox>
                </v:shape>
                <v:shape id="docshape274" o:spid="_x0000_s1121" type="#_x0000_t202" style="position:absolute;left:7788;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5FFB139" w14:textId="77777777" w:rsidR="00141B97" w:rsidRDefault="00911D63">
                        <w:pPr>
                          <w:spacing w:line="200" w:lineRule="exact"/>
                          <w:rPr>
                            <w:sz w:val="20"/>
                          </w:rPr>
                        </w:pPr>
                        <w:r>
                          <w:rPr>
                            <w:spacing w:val="-4"/>
                            <w:sz w:val="20"/>
                          </w:rPr>
                          <w:t>3.3%</w:t>
                        </w:r>
                      </w:p>
                    </w:txbxContent>
                  </v:textbox>
                </v:shape>
                <v:shape id="docshape275" o:spid="_x0000_s1122" type="#_x0000_t202" style="position:absolute;left:6914;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3713B9E" w14:textId="77777777" w:rsidR="00141B97" w:rsidRDefault="00911D63">
                        <w:pPr>
                          <w:spacing w:line="200" w:lineRule="exact"/>
                          <w:rPr>
                            <w:sz w:val="20"/>
                          </w:rPr>
                        </w:pPr>
                        <w:r>
                          <w:rPr>
                            <w:spacing w:val="-4"/>
                            <w:sz w:val="20"/>
                          </w:rPr>
                          <w:t>4.6%</w:t>
                        </w:r>
                      </w:p>
                    </w:txbxContent>
                  </v:textbox>
                </v:shape>
                <v:shape id="docshape276" o:spid="_x0000_s1123" type="#_x0000_t202" style="position:absolute;left:6039;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42BFBB8" w14:textId="77777777" w:rsidR="00141B97" w:rsidRDefault="00911D63">
                        <w:pPr>
                          <w:spacing w:line="200" w:lineRule="exact"/>
                          <w:rPr>
                            <w:sz w:val="20"/>
                          </w:rPr>
                        </w:pPr>
                        <w:r>
                          <w:rPr>
                            <w:spacing w:val="-4"/>
                            <w:sz w:val="20"/>
                          </w:rPr>
                          <w:t>4.5%</w:t>
                        </w:r>
                      </w:p>
                    </w:txbxContent>
                  </v:textbox>
                </v:shape>
                <v:shape id="docshape277" o:spid="_x0000_s1124" type="#_x0000_t202" style="position:absolute;left:5166;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FD1966C" w14:textId="77777777" w:rsidR="00141B97" w:rsidRDefault="00911D63">
                        <w:pPr>
                          <w:spacing w:line="200" w:lineRule="exact"/>
                          <w:rPr>
                            <w:sz w:val="20"/>
                          </w:rPr>
                        </w:pPr>
                        <w:r>
                          <w:rPr>
                            <w:spacing w:val="-4"/>
                            <w:sz w:val="20"/>
                          </w:rPr>
                          <w:t>4.9%</w:t>
                        </w:r>
                      </w:p>
                    </w:txbxContent>
                  </v:textbox>
                </v:shape>
                <v:shape id="docshape278" o:spid="_x0000_s1125" type="#_x0000_t202" style="position:absolute;left:4292;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94C630" w14:textId="77777777" w:rsidR="00141B97" w:rsidRDefault="00911D63">
                        <w:pPr>
                          <w:spacing w:line="200" w:lineRule="exact"/>
                          <w:rPr>
                            <w:sz w:val="20"/>
                          </w:rPr>
                        </w:pPr>
                        <w:r>
                          <w:rPr>
                            <w:spacing w:val="-4"/>
                            <w:sz w:val="20"/>
                          </w:rPr>
                          <w:t>5.3%</w:t>
                        </w:r>
                      </w:p>
                    </w:txbxContent>
                  </v:textbox>
                </v:shape>
                <v:shape id="docshape279" o:spid="_x0000_s1126" type="#_x0000_t202" style="position:absolute;left:3417;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6CFF1A" w14:textId="77777777" w:rsidR="00141B97" w:rsidRDefault="00911D63">
                        <w:pPr>
                          <w:spacing w:line="200" w:lineRule="exact"/>
                          <w:rPr>
                            <w:sz w:val="20"/>
                          </w:rPr>
                        </w:pPr>
                        <w:r>
                          <w:rPr>
                            <w:spacing w:val="-4"/>
                            <w:sz w:val="20"/>
                          </w:rPr>
                          <w:t>5.4%</w:t>
                        </w:r>
                      </w:p>
                    </w:txbxContent>
                  </v:textbox>
                </v:shape>
                <v:shape id="docshape280" o:spid="_x0000_s1127" type="#_x0000_t202" style="position:absolute;left:2277;top:499;width:4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2B20F77" w14:textId="77777777" w:rsidR="00141B97" w:rsidRDefault="00911D63">
                        <w:pPr>
                          <w:spacing w:line="200" w:lineRule="exact"/>
                          <w:rPr>
                            <w:sz w:val="20"/>
                          </w:rPr>
                        </w:pPr>
                        <w:r>
                          <w:rPr>
                            <w:spacing w:val="-4"/>
                            <w:sz w:val="20"/>
                          </w:rPr>
                          <w:t>7.1%</w:t>
                        </w:r>
                      </w:p>
                    </w:txbxContent>
                  </v:textbox>
                </v:shape>
                <v:shape id="docshape281" o:spid="_x0000_s1128" type="#_x0000_t202" style="position:absolute;left:1242;top:386;width:5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14780D1" w14:textId="77777777" w:rsidR="00141B97" w:rsidRDefault="00911D63">
                        <w:pPr>
                          <w:spacing w:line="204" w:lineRule="exact"/>
                          <w:rPr>
                            <w:sz w:val="20"/>
                          </w:rPr>
                        </w:pPr>
                        <w:r>
                          <w:rPr>
                            <w:sz w:val="20"/>
                          </w:rPr>
                          <w:t xml:space="preserve">Cost </w:t>
                        </w:r>
                        <w:r>
                          <w:rPr>
                            <w:spacing w:val="-5"/>
                            <w:sz w:val="20"/>
                          </w:rPr>
                          <w:t>of</w:t>
                        </w:r>
                      </w:p>
                      <w:p w14:paraId="6F25A84E" w14:textId="77777777" w:rsidR="00141B97" w:rsidRDefault="00911D63">
                        <w:pPr>
                          <w:spacing w:line="240" w:lineRule="exact"/>
                          <w:rPr>
                            <w:sz w:val="20"/>
                          </w:rPr>
                        </w:pPr>
                        <w:r>
                          <w:rPr>
                            <w:spacing w:val="-4"/>
                            <w:sz w:val="20"/>
                          </w:rPr>
                          <w:t>debt</w:t>
                        </w:r>
                      </w:p>
                    </w:txbxContent>
                  </v:textbox>
                </v:shape>
                <v:shape id="docshape282" o:spid="_x0000_s1129" type="#_x0000_t202" style="position:absolute;left:1134;top:102;width:97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" fillcolor="#006ca3" stroked="f">
                  <v:textbox inset="0,0,0,0">
                    <w:txbxContent>
                      <w:p w14:paraId="0703359C" w14:textId="77777777" w:rsidR="00141B97" w:rsidRDefault="00911D63">
                        <w:pPr>
                          <w:tabs>
                            <w:tab w:val="left" w:pos="2045"/>
                            <w:tab w:val="left" w:pos="2920"/>
                            <w:tab w:val="left" w:pos="3794"/>
                            <w:tab w:val="left" w:pos="4667"/>
                            <w:tab w:val="left" w:pos="5542"/>
                            <w:tab w:val="left" w:pos="6416"/>
                            <w:tab w:val="left" w:pos="7289"/>
                            <w:tab w:val="left" w:pos="8164"/>
                            <w:tab w:val="left" w:pos="9039"/>
                          </w:tabs>
                          <w:spacing w:before="2"/>
                          <w:ind w:left="1171"/>
                          <w:rPr>
                            <w:color w:val="000000"/>
                            <w:sz w:val="18"/>
                          </w:rPr>
                        </w:pPr>
                        <w:r>
                          <w:rPr>
                            <w:color w:val="FFFFFF"/>
                            <w:spacing w:val="-2"/>
                            <w:sz w:val="18"/>
                          </w:rPr>
                          <w:t>2013‐14</w:t>
                        </w:r>
                        <w:r>
                          <w:rPr>
                            <w:color w:val="FFFFFF"/>
                            <w:sz w:val="18"/>
                          </w:rPr>
                          <w:tab/>
                        </w:r>
                        <w:r>
                          <w:rPr>
                            <w:color w:val="FFFFFF"/>
                            <w:spacing w:val="-2"/>
                            <w:position w:val="1"/>
                            <w:sz w:val="18"/>
                          </w:rPr>
                          <w:t>2014‐15</w:t>
                        </w:r>
                        <w:r>
                          <w:rPr>
                            <w:color w:val="FFFFFF"/>
                            <w:position w:val="1"/>
                            <w:sz w:val="18"/>
                          </w:rPr>
                          <w:tab/>
                        </w:r>
                        <w:r>
                          <w:rPr>
                            <w:color w:val="FFFFFF"/>
                            <w:spacing w:val="-2"/>
                            <w:sz w:val="18"/>
                          </w:rPr>
                          <w:t>2015‐16</w:t>
                        </w:r>
                        <w:r>
                          <w:rPr>
                            <w:color w:val="FFFFFF"/>
                            <w:sz w:val="18"/>
                          </w:rPr>
                          <w:tab/>
                        </w:r>
                        <w:r>
                          <w:rPr>
                            <w:color w:val="FFFFFF"/>
                            <w:spacing w:val="-2"/>
                            <w:sz w:val="18"/>
                          </w:rPr>
                          <w:t>2016‐17</w:t>
                        </w:r>
                        <w:r>
                          <w:rPr>
                            <w:color w:val="FFFFFF"/>
                            <w:sz w:val="18"/>
                          </w:rPr>
                          <w:tab/>
                        </w:r>
                        <w:r>
                          <w:rPr>
                            <w:color w:val="FFFFFF"/>
                            <w:spacing w:val="-2"/>
                            <w:sz w:val="18"/>
                          </w:rPr>
                          <w:t>2017‐18</w:t>
                        </w:r>
                        <w:r>
                          <w:rPr>
                            <w:color w:val="FFFFFF"/>
                            <w:sz w:val="18"/>
                          </w:rPr>
                          <w:tab/>
                        </w:r>
                        <w:r>
                          <w:rPr>
                            <w:color w:val="FFFFFF"/>
                            <w:spacing w:val="-2"/>
                            <w:sz w:val="18"/>
                          </w:rPr>
                          <w:t>2018‐19</w:t>
                        </w:r>
                        <w:r>
                          <w:rPr>
                            <w:color w:val="FFFFFF"/>
                            <w:sz w:val="18"/>
                          </w:rPr>
                          <w:tab/>
                        </w:r>
                        <w:r>
                          <w:rPr>
                            <w:color w:val="FFFFFF"/>
                            <w:spacing w:val="-2"/>
                            <w:sz w:val="18"/>
                          </w:rPr>
                          <w:t>2019‐20</w:t>
                        </w:r>
                        <w:r>
                          <w:rPr>
                            <w:color w:val="FFFFFF"/>
                            <w:sz w:val="18"/>
                          </w:rPr>
                          <w:tab/>
                        </w:r>
                        <w:r>
                          <w:rPr>
                            <w:color w:val="FFFFFF"/>
                            <w:spacing w:val="-2"/>
                            <w:sz w:val="18"/>
                          </w:rPr>
                          <w:t>2020‐21</w:t>
                        </w:r>
                        <w:r>
                          <w:rPr>
                            <w:color w:val="FFFFFF"/>
                            <w:sz w:val="18"/>
                          </w:rPr>
                          <w:tab/>
                        </w:r>
                        <w:r>
                          <w:rPr>
                            <w:color w:val="FFFFFF"/>
                            <w:spacing w:val="-2"/>
                            <w:sz w:val="18"/>
                          </w:rPr>
                          <w:t>2021‐22</w:t>
                        </w:r>
                        <w:r>
                          <w:rPr>
                            <w:color w:val="FFFFFF"/>
                            <w:sz w:val="18"/>
                          </w:rPr>
                          <w:tab/>
                        </w:r>
                        <w:r>
                          <w:rPr>
                            <w:color w:val="FFFFFF"/>
                            <w:spacing w:val="-2"/>
                            <w:sz w:val="18"/>
                          </w:rPr>
                          <w:t>2022‐23</w:t>
                        </w:r>
                      </w:p>
                    </w:txbxContent>
                  </v:textbox>
                </v:shape>
                <w10:wrap type="topAndBottom" anchorx="page"/>
              </v:group>
            </w:pict>
          </mc:Fallback>
        </mc:AlternateContent>
      </w:r>
    </w:p>
    <w:p w14:paraId="68D73B6E" w14:textId="77777777" w:rsidR="00141B97" w:rsidRDefault="00911D63">
      <w:pPr>
        <w:ind w:left="114"/>
        <w:rPr>
          <w:sz w:val="16"/>
        </w:rPr>
      </w:pPr>
      <w:r>
        <w:rPr>
          <w:sz w:val="16"/>
        </w:rPr>
        <w:t>Table</w:t>
      </w:r>
      <w:r>
        <w:rPr>
          <w:spacing w:val="-5"/>
          <w:sz w:val="16"/>
        </w:rPr>
        <w:t xml:space="preserve"> </w:t>
      </w:r>
      <w:r>
        <w:rPr>
          <w:sz w:val="16"/>
        </w:rPr>
        <w:t>C32.</w:t>
      </w:r>
      <w:r>
        <w:rPr>
          <w:spacing w:val="-4"/>
          <w:sz w:val="16"/>
        </w:rPr>
        <w:t xml:space="preserve"> </w:t>
      </w:r>
      <w:r>
        <w:rPr>
          <w:sz w:val="16"/>
        </w:rPr>
        <w:t>Historical</w:t>
      </w:r>
      <w:r>
        <w:rPr>
          <w:spacing w:val="-5"/>
          <w:sz w:val="16"/>
        </w:rPr>
        <w:t xml:space="preserve"> </w:t>
      </w:r>
      <w:r>
        <w:rPr>
          <w:sz w:val="16"/>
        </w:rPr>
        <w:t>Cost</w:t>
      </w:r>
      <w:r>
        <w:rPr>
          <w:spacing w:val="-4"/>
          <w:sz w:val="16"/>
        </w:rPr>
        <w:t xml:space="preserve"> </w:t>
      </w:r>
      <w:r>
        <w:rPr>
          <w:sz w:val="16"/>
        </w:rPr>
        <w:t>of</w:t>
      </w:r>
      <w:r>
        <w:rPr>
          <w:spacing w:val="-5"/>
          <w:sz w:val="16"/>
        </w:rPr>
        <w:t xml:space="preserve"> </w:t>
      </w:r>
      <w:r>
        <w:rPr>
          <w:sz w:val="16"/>
        </w:rPr>
        <w:t>Debt</w:t>
      </w:r>
      <w:r>
        <w:rPr>
          <w:spacing w:val="-5"/>
          <w:sz w:val="16"/>
        </w:rPr>
        <w:t xml:space="preserve"> </w:t>
      </w:r>
      <w:r>
        <w:rPr>
          <w:sz w:val="16"/>
        </w:rPr>
        <w:t>(Annual</w:t>
      </w:r>
      <w:r>
        <w:rPr>
          <w:spacing w:val="-6"/>
          <w:sz w:val="16"/>
        </w:rPr>
        <w:t xml:space="preserve"> </w:t>
      </w:r>
      <w:r>
        <w:rPr>
          <w:sz w:val="16"/>
        </w:rPr>
        <w:t>Values</w:t>
      </w:r>
      <w:r>
        <w:rPr>
          <w:spacing w:val="-5"/>
          <w:sz w:val="16"/>
        </w:rPr>
        <w:t xml:space="preserve"> </w:t>
      </w:r>
      <w:r>
        <w:rPr>
          <w:sz w:val="16"/>
        </w:rPr>
        <w:t>for</w:t>
      </w:r>
      <w:r>
        <w:rPr>
          <w:spacing w:val="-4"/>
          <w:sz w:val="16"/>
        </w:rPr>
        <w:t xml:space="preserve"> </w:t>
      </w:r>
      <w:r>
        <w:rPr>
          <w:sz w:val="16"/>
        </w:rPr>
        <w:t>Calculating</w:t>
      </w:r>
      <w:r>
        <w:rPr>
          <w:spacing w:val="-6"/>
          <w:sz w:val="16"/>
        </w:rPr>
        <w:t xml:space="preserve"> </w:t>
      </w:r>
      <w:r>
        <w:rPr>
          <w:sz w:val="16"/>
        </w:rPr>
        <w:t>Trailing</w:t>
      </w:r>
      <w:r>
        <w:rPr>
          <w:spacing w:val="-6"/>
          <w:sz w:val="16"/>
        </w:rPr>
        <w:t xml:space="preserve"> </w:t>
      </w:r>
      <w:r>
        <w:rPr>
          <w:spacing w:val="-2"/>
          <w:sz w:val="16"/>
        </w:rPr>
        <w:t>Average)</w:t>
      </w:r>
    </w:p>
    <w:p w14:paraId="240FD24A" w14:textId="77777777" w:rsidR="00141B97" w:rsidRDefault="00141B97">
      <w:pPr>
        <w:pStyle w:val="BodyText"/>
        <w:rPr>
          <w:sz w:val="16"/>
        </w:rPr>
      </w:pPr>
    </w:p>
    <w:p w14:paraId="0E0326DF" w14:textId="77777777" w:rsidR="00141B97" w:rsidRDefault="00141B97">
      <w:pPr>
        <w:pStyle w:val="BodyText"/>
        <w:spacing w:before="10"/>
        <w:rPr>
          <w:sz w:val="12"/>
        </w:rPr>
      </w:pPr>
    </w:p>
    <w:p w14:paraId="29F6DF27" w14:textId="77777777" w:rsidR="00141B97" w:rsidRDefault="00911D63">
      <w:pPr>
        <w:pStyle w:val="BodyText"/>
        <w:ind w:left="114"/>
      </w:pPr>
      <w:r>
        <w:t>These</w:t>
      </w:r>
      <w:r>
        <w:rPr>
          <w:spacing w:val="-7"/>
        </w:rPr>
        <w:t xml:space="preserve"> </w:t>
      </w:r>
      <w:r>
        <w:t>values</w:t>
      </w:r>
      <w:r>
        <w:rPr>
          <w:spacing w:val="-5"/>
        </w:rPr>
        <w:t xml:space="preserve"> </w:t>
      </w:r>
      <w:r>
        <w:t>have</w:t>
      </w:r>
      <w:r>
        <w:rPr>
          <w:spacing w:val="-8"/>
        </w:rPr>
        <w:t xml:space="preserve"> </w:t>
      </w:r>
      <w:r>
        <w:t>been</w:t>
      </w:r>
      <w:r>
        <w:rPr>
          <w:spacing w:val="-6"/>
        </w:rPr>
        <w:t xml:space="preserve"> </w:t>
      </w:r>
      <w:r>
        <w:t>used</w:t>
      </w:r>
      <w:r>
        <w:rPr>
          <w:spacing w:val="-5"/>
        </w:rPr>
        <w:t xml:space="preserve"> </w:t>
      </w:r>
      <w:r>
        <w:t>to</w:t>
      </w:r>
      <w:r>
        <w:rPr>
          <w:spacing w:val="-6"/>
        </w:rPr>
        <w:t xml:space="preserve"> </w:t>
      </w:r>
      <w:r>
        <w:t>estimate</w:t>
      </w:r>
      <w:r>
        <w:rPr>
          <w:spacing w:val="-8"/>
        </w:rPr>
        <w:t xml:space="preserve"> </w:t>
      </w:r>
      <w:r>
        <w:t>revenue</w:t>
      </w:r>
      <w:r>
        <w:rPr>
          <w:spacing w:val="-7"/>
        </w:rPr>
        <w:t xml:space="preserve"> </w:t>
      </w:r>
      <w:r>
        <w:t>requirement</w:t>
      </w:r>
      <w:r>
        <w:rPr>
          <w:spacing w:val="-6"/>
        </w:rPr>
        <w:t xml:space="preserve"> </w:t>
      </w:r>
      <w:r>
        <w:t>and</w:t>
      </w:r>
      <w:r>
        <w:rPr>
          <w:spacing w:val="-6"/>
        </w:rPr>
        <w:t xml:space="preserve"> </w:t>
      </w:r>
      <w:r>
        <w:t>prices</w:t>
      </w:r>
      <w:r>
        <w:rPr>
          <w:spacing w:val="-6"/>
        </w:rPr>
        <w:t xml:space="preserve"> </w:t>
      </w:r>
      <w:r>
        <w:t>in</w:t>
      </w:r>
      <w:r>
        <w:rPr>
          <w:spacing w:val="-6"/>
        </w:rPr>
        <w:t xml:space="preserve"> </w:t>
      </w:r>
      <w:r>
        <w:t>this</w:t>
      </w:r>
      <w:r>
        <w:rPr>
          <w:spacing w:val="-7"/>
        </w:rPr>
        <w:t xml:space="preserve"> </w:t>
      </w:r>
      <w:r>
        <w:rPr>
          <w:spacing w:val="-2"/>
        </w:rPr>
        <w:t>submission.</w:t>
      </w:r>
    </w:p>
    <w:p w14:paraId="7EDBA019" w14:textId="77777777" w:rsidR="00141B97" w:rsidRDefault="00141B97">
      <w:pPr>
        <w:sectPr w:rsidR="00141B97">
          <w:pgSz w:w="11910" w:h="16840"/>
          <w:pgMar w:top="840" w:right="40" w:bottom="780" w:left="1020" w:header="0" w:footer="586" w:gutter="0"/>
          <w:cols w:space="720"/>
        </w:sectPr>
      </w:pPr>
    </w:p>
    <w:p w14:paraId="4A99E37B" w14:textId="5BC13ADF" w:rsidR="00141B97" w:rsidRDefault="00911D63">
      <w:pPr>
        <w:spacing w:line="1715" w:lineRule="exact"/>
        <w:ind w:left="117"/>
        <w:rPr>
          <w:rFonts w:ascii="Calibri"/>
          <w:b/>
          <w:sz w:val="160"/>
        </w:rPr>
      </w:pPr>
      <w:r>
        <w:rPr>
          <w:noProof/>
        </w:rPr>
        <w:lastRenderedPageBreak/>
        <mc:AlternateContent>
          <mc:Choice Requires="wpg">
            <w:drawing>
              <wp:anchor distT="0" distB="0" distL="114300" distR="114300" simplePos="0" relativeHeight="471463936" behindDoc="1" locked="0" layoutInCell="1" allowOverlap="1" wp14:anchorId="34C2B9BF" wp14:editId="3F167632">
                <wp:simplePos x="0" y="0"/>
                <wp:positionH relativeFrom="page">
                  <wp:posOffset>0</wp:posOffset>
                </wp:positionH>
                <wp:positionV relativeFrom="page">
                  <wp:posOffset>2540</wp:posOffset>
                </wp:positionV>
                <wp:extent cx="10652760" cy="7546975"/>
                <wp:effectExtent l="0" t="0" r="0" b="0"/>
                <wp:wrapNone/>
                <wp:docPr id="30"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2760" cy="7546975"/>
                          <a:chOff x="0" y="4"/>
                          <a:chExt cx="16776" cy="11885"/>
                        </a:xfrm>
                      </wpg:grpSpPr>
                      <wps:wsp>
                        <wps:cNvPr id="32" name="docshape284"/>
                        <wps:cNvSpPr>
                          <a:spLocks noChangeArrowheads="1"/>
                        </wps:cNvSpPr>
                        <wps:spPr bwMode="auto">
                          <a:xfrm>
                            <a:off x="0" y="4"/>
                            <a:ext cx="16776" cy="1188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285"/>
                        <wps:cNvSpPr>
                          <a:spLocks/>
                        </wps:cNvSpPr>
                        <wps:spPr bwMode="auto">
                          <a:xfrm>
                            <a:off x="11037" y="4"/>
                            <a:ext cx="2700" cy="10295"/>
                          </a:xfrm>
                          <a:custGeom>
                            <a:avLst/>
                            <a:gdLst>
                              <a:gd name="T0" fmla="+- 0 11358 11038"/>
                              <a:gd name="T1" fmla="*/ T0 w 2700"/>
                              <a:gd name="T2" fmla="+- 0 8630 4"/>
                              <a:gd name="T3" fmla="*/ 8630 h 10295"/>
                              <a:gd name="T4" fmla="+- 0 11478 11038"/>
                              <a:gd name="T5" fmla="*/ T4 w 2700"/>
                              <a:gd name="T6" fmla="+- 0 8772 4"/>
                              <a:gd name="T7" fmla="*/ 8772 h 10295"/>
                              <a:gd name="T8" fmla="+- 0 11558 11038"/>
                              <a:gd name="T9" fmla="*/ T8 w 2700"/>
                              <a:gd name="T10" fmla="+- 0 8438 4"/>
                              <a:gd name="T11" fmla="*/ 8438 h 10295"/>
                              <a:gd name="T12" fmla="+- 0 11638 11038"/>
                              <a:gd name="T13" fmla="*/ T12 w 2700"/>
                              <a:gd name="T14" fmla="+- 0 7722 4"/>
                              <a:gd name="T15" fmla="*/ 7722 h 10295"/>
                              <a:gd name="T16" fmla="+- 0 11938 11038"/>
                              <a:gd name="T17" fmla="*/ T16 w 2700"/>
                              <a:gd name="T18" fmla="+- 0 6638 4"/>
                              <a:gd name="T19" fmla="*/ 6638 h 10295"/>
                              <a:gd name="T20" fmla="+- 0 12298 11038"/>
                              <a:gd name="T21" fmla="*/ T20 w 2700"/>
                              <a:gd name="T22" fmla="+- 0 5840 4"/>
                              <a:gd name="T23" fmla="*/ 5840 h 10295"/>
                              <a:gd name="T24" fmla="+- 0 12478 11038"/>
                              <a:gd name="T25" fmla="*/ T24 w 2700"/>
                              <a:gd name="T26" fmla="+- 0 5412 4"/>
                              <a:gd name="T27" fmla="*/ 5412 h 10295"/>
                              <a:gd name="T28" fmla="+- 0 12738 11038"/>
                              <a:gd name="T29" fmla="*/ T28 w 2700"/>
                              <a:gd name="T30" fmla="+- 0 4301 4"/>
                              <a:gd name="T31" fmla="*/ 4301 h 10295"/>
                              <a:gd name="T32" fmla="+- 0 13018 11038"/>
                              <a:gd name="T33" fmla="*/ T32 w 2700"/>
                              <a:gd name="T34" fmla="+- 0 2952 4"/>
                              <a:gd name="T35" fmla="*/ 2952 h 10295"/>
                              <a:gd name="T36" fmla="+- 0 13238 11038"/>
                              <a:gd name="T37" fmla="*/ T36 w 2700"/>
                              <a:gd name="T38" fmla="+- 0 2378 4"/>
                              <a:gd name="T39" fmla="*/ 2378 h 10295"/>
                              <a:gd name="T40" fmla="+- 0 13418 11038"/>
                              <a:gd name="T41" fmla="*/ T40 w 2700"/>
                              <a:gd name="T42" fmla="+- 0 1938 4"/>
                              <a:gd name="T43" fmla="*/ 1938 h 10295"/>
                              <a:gd name="T44" fmla="+- 0 13618 11038"/>
                              <a:gd name="T45" fmla="*/ T44 w 2700"/>
                              <a:gd name="T46" fmla="+- 0 1335 4"/>
                              <a:gd name="T47" fmla="*/ 1335 h 10295"/>
                              <a:gd name="T48" fmla="+- 0 13718 11038"/>
                              <a:gd name="T49" fmla="*/ T48 w 2700"/>
                              <a:gd name="T50" fmla="+- 0 656 4"/>
                              <a:gd name="T51" fmla="*/ 656 h 10295"/>
                              <a:gd name="T52" fmla="+- 0 13018 11038"/>
                              <a:gd name="T53" fmla="*/ T52 w 2700"/>
                              <a:gd name="T54" fmla="+- 0 394 4"/>
                              <a:gd name="T55" fmla="*/ 394 h 10295"/>
                              <a:gd name="T56" fmla="+- 0 12758 11038"/>
                              <a:gd name="T57" fmla="*/ T56 w 2700"/>
                              <a:gd name="T58" fmla="+- 0 1127 4"/>
                              <a:gd name="T59" fmla="*/ 1127 h 10295"/>
                              <a:gd name="T60" fmla="+- 0 12378 11038"/>
                              <a:gd name="T61" fmla="*/ T60 w 2700"/>
                              <a:gd name="T62" fmla="+- 0 1961 4"/>
                              <a:gd name="T63" fmla="*/ 1961 h 10295"/>
                              <a:gd name="T64" fmla="+- 0 12158 11038"/>
                              <a:gd name="T65" fmla="*/ T64 w 2700"/>
                              <a:gd name="T66" fmla="+- 0 2562 4"/>
                              <a:gd name="T67" fmla="*/ 2562 h 10295"/>
                              <a:gd name="T68" fmla="+- 0 11998 11038"/>
                              <a:gd name="T69" fmla="*/ T68 w 2700"/>
                              <a:gd name="T70" fmla="+- 0 3429 4"/>
                              <a:gd name="T71" fmla="*/ 3429 h 10295"/>
                              <a:gd name="T72" fmla="+- 0 11918 11038"/>
                              <a:gd name="T73" fmla="*/ T72 w 2700"/>
                              <a:gd name="T74" fmla="+- 0 3983 4"/>
                              <a:gd name="T75" fmla="*/ 3983 h 10295"/>
                              <a:gd name="T76" fmla="+- 0 11598 11038"/>
                              <a:gd name="T77" fmla="*/ T76 w 2700"/>
                              <a:gd name="T78" fmla="+- 0 5066 4"/>
                              <a:gd name="T79" fmla="*/ 5066 h 10295"/>
                              <a:gd name="T80" fmla="+- 0 11338 11038"/>
                              <a:gd name="T81" fmla="*/ T80 w 2700"/>
                              <a:gd name="T82" fmla="+- 0 5649 4"/>
                              <a:gd name="T83" fmla="*/ 5649 h 10295"/>
                              <a:gd name="T84" fmla="+- 0 11078 11038"/>
                              <a:gd name="T85" fmla="*/ T84 w 2700"/>
                              <a:gd name="T86" fmla="+- 0 6586 4"/>
                              <a:gd name="T87" fmla="*/ 6586 h 10295"/>
                              <a:gd name="T88" fmla="+- 0 13558 11038"/>
                              <a:gd name="T89" fmla="*/ T88 w 2700"/>
                              <a:gd name="T90" fmla="+- 0 4878 4"/>
                              <a:gd name="T91" fmla="*/ 4878 h 10295"/>
                              <a:gd name="T92" fmla="+- 0 11958 11038"/>
                              <a:gd name="T93" fmla="*/ T92 w 2700"/>
                              <a:gd name="T94" fmla="+- 0 9128 4"/>
                              <a:gd name="T95" fmla="*/ 9128 h 10295"/>
                              <a:gd name="T96" fmla="+- 0 12058 11038"/>
                              <a:gd name="T97" fmla="*/ T96 w 2700"/>
                              <a:gd name="T98" fmla="+- 0 9648 4"/>
                              <a:gd name="T99" fmla="*/ 9648 h 10295"/>
                              <a:gd name="T100" fmla="+- 0 12238 11038"/>
                              <a:gd name="T101" fmla="*/ T100 w 2700"/>
                              <a:gd name="T102" fmla="+- 0 10100 4"/>
                              <a:gd name="T103" fmla="*/ 10100 h 10295"/>
                              <a:gd name="T104" fmla="+- 0 12378 11038"/>
                              <a:gd name="T105" fmla="*/ T104 w 2700"/>
                              <a:gd name="T106" fmla="+- 0 10290 4"/>
                              <a:gd name="T107" fmla="*/ 10290 h 10295"/>
                              <a:gd name="T108" fmla="+- 0 12438 11038"/>
                              <a:gd name="T109" fmla="*/ T108 w 2700"/>
                              <a:gd name="T110" fmla="+- 0 10244 4"/>
                              <a:gd name="T111" fmla="*/ 10244 h 10295"/>
                              <a:gd name="T112" fmla="+- 0 12498 11038"/>
                              <a:gd name="T113" fmla="*/ T112 w 2700"/>
                              <a:gd name="T114" fmla="+- 0 9669 4"/>
                              <a:gd name="T115" fmla="*/ 9669 h 10295"/>
                              <a:gd name="T116" fmla="+- 0 12618 11038"/>
                              <a:gd name="T117" fmla="*/ T116 w 2700"/>
                              <a:gd name="T118" fmla="+- 0 8984 4"/>
                              <a:gd name="T119" fmla="*/ 8984 h 10295"/>
                              <a:gd name="T120" fmla="+- 0 12958 11038"/>
                              <a:gd name="T121" fmla="*/ T120 w 2700"/>
                              <a:gd name="T122" fmla="+- 0 7904 4"/>
                              <a:gd name="T123" fmla="*/ 7904 h 10295"/>
                              <a:gd name="T124" fmla="+- 0 13138 11038"/>
                              <a:gd name="T125" fmla="*/ T124 w 2700"/>
                              <a:gd name="T126" fmla="+- 0 7466 4"/>
                              <a:gd name="T127" fmla="*/ 7466 h 10295"/>
                              <a:gd name="T128" fmla="+- 0 13398 11038"/>
                              <a:gd name="T129" fmla="*/ T128 w 2700"/>
                              <a:gd name="T130" fmla="+- 0 6767 4"/>
                              <a:gd name="T131" fmla="*/ 6767 h 10295"/>
                              <a:gd name="T132" fmla="+- 0 13558 11038"/>
                              <a:gd name="T133" fmla="*/ T132 w 2700"/>
                              <a:gd name="T134" fmla="+- 0 4805 4"/>
                              <a:gd name="T135" fmla="*/ 4805 h 10295"/>
                              <a:gd name="T136" fmla="+- 0 13398 11038"/>
                              <a:gd name="T137" fmla="*/ T136 w 2700"/>
                              <a:gd name="T138" fmla="+- 0 4200 4"/>
                              <a:gd name="T139" fmla="*/ 4200 h 10295"/>
                              <a:gd name="T140" fmla="+- 0 13238 11038"/>
                              <a:gd name="T141" fmla="*/ T140 w 2700"/>
                              <a:gd name="T142" fmla="+- 0 3890 4"/>
                              <a:gd name="T143" fmla="*/ 3890 h 10295"/>
                              <a:gd name="T144" fmla="+- 0 13158 11038"/>
                              <a:gd name="T145" fmla="*/ T144 w 2700"/>
                              <a:gd name="T146" fmla="+- 0 3869 4"/>
                              <a:gd name="T147" fmla="*/ 3869 h 10295"/>
                              <a:gd name="T148" fmla="+- 0 13098 11038"/>
                              <a:gd name="T149" fmla="*/ T148 w 2700"/>
                              <a:gd name="T150" fmla="+- 0 4145 4"/>
                              <a:gd name="T151" fmla="*/ 4145 h 10295"/>
                              <a:gd name="T152" fmla="+- 0 12978 11038"/>
                              <a:gd name="T153" fmla="*/ T152 w 2700"/>
                              <a:gd name="T154" fmla="+- 0 5016 4"/>
                              <a:gd name="T155" fmla="*/ 5016 h 10295"/>
                              <a:gd name="T156" fmla="+- 0 12678 11038"/>
                              <a:gd name="T157" fmla="*/ T156 w 2700"/>
                              <a:gd name="T158" fmla="+- 0 6126 4"/>
                              <a:gd name="T159" fmla="*/ 6126 h 10295"/>
                              <a:gd name="T160" fmla="+- 0 12358 11038"/>
                              <a:gd name="T161" fmla="*/ T160 w 2700"/>
                              <a:gd name="T162" fmla="+- 0 6884 4"/>
                              <a:gd name="T163" fmla="*/ 6884 h 10295"/>
                              <a:gd name="T164" fmla="+- 0 12058 11038"/>
                              <a:gd name="T165" fmla="*/ T164 w 2700"/>
                              <a:gd name="T166" fmla="+- 0 7728 4"/>
                              <a:gd name="T167" fmla="*/ 7728 h 10295"/>
                              <a:gd name="T168" fmla="+- 0 11678 11038"/>
                              <a:gd name="T169" fmla="*/ T168 w 2700"/>
                              <a:gd name="T170" fmla="+- 0 4 4"/>
                              <a:gd name="T171" fmla="*/ 4 h 10295"/>
                              <a:gd name="T172" fmla="+- 0 11758 11038"/>
                              <a:gd name="T173" fmla="*/ T172 w 2700"/>
                              <a:gd name="T174" fmla="+- 0 2586 4"/>
                              <a:gd name="T175" fmla="*/ 2586 h 10295"/>
                              <a:gd name="T176" fmla="+- 0 12158 11038"/>
                              <a:gd name="T177" fmla="*/ T176 w 2700"/>
                              <a:gd name="T178" fmla="+- 0 1293 4"/>
                              <a:gd name="T179" fmla="*/ 1293 h 10295"/>
                              <a:gd name="T180" fmla="+- 0 12378 11038"/>
                              <a:gd name="T181" fmla="*/ T180 w 2700"/>
                              <a:gd name="T182" fmla="+- 0 777 4"/>
                              <a:gd name="T183" fmla="*/ 777 h 10295"/>
                              <a:gd name="T184" fmla="+- 0 12598 11038"/>
                              <a:gd name="T185" fmla="*/ T184 w 2700"/>
                              <a:gd name="T186" fmla="+- 0 183 4"/>
                              <a:gd name="T187" fmla="*/ 183 h 10295"/>
                              <a:gd name="T188" fmla="+- 0 11958 11038"/>
                              <a:gd name="T189" fmla="*/ T188 w 2700"/>
                              <a:gd name="T190" fmla="+- 0 8972 4"/>
                              <a:gd name="T191" fmla="*/ 8972 h 10295"/>
                              <a:gd name="T192" fmla="+- 0 11338 11038"/>
                              <a:gd name="T193" fmla="*/ T192 w 2700"/>
                              <a:gd name="T194" fmla="+- 0 3322 4"/>
                              <a:gd name="T195" fmla="*/ 3322 h 10295"/>
                              <a:gd name="T196" fmla="+- 0 11498 11038"/>
                              <a:gd name="T197" fmla="*/ T196 w 2700"/>
                              <a:gd name="T198" fmla="+- 0 3650 4"/>
                              <a:gd name="T199" fmla="*/ 3650 h 10295"/>
                              <a:gd name="T200" fmla="+- 0 11598 11038"/>
                              <a:gd name="T201" fmla="*/ T200 w 2700"/>
                              <a:gd name="T202" fmla="+- 0 3695 4"/>
                              <a:gd name="T203" fmla="*/ 3695 h 10295"/>
                              <a:gd name="T204" fmla="+- 0 11658 11038"/>
                              <a:gd name="T205" fmla="*/ T204 w 2700"/>
                              <a:gd name="T206" fmla="+- 0 3231 4"/>
                              <a:gd name="T207" fmla="*/ 3231 h 10295"/>
                              <a:gd name="T208" fmla="+- 0 11458 11038"/>
                              <a:gd name="T209" fmla="*/ T208 w 2700"/>
                              <a:gd name="T210" fmla="+- 0 523 4"/>
                              <a:gd name="T211" fmla="*/ 523 h 10295"/>
                              <a:gd name="T212" fmla="+- 0 11158 11038"/>
                              <a:gd name="T213" fmla="*/ T212 w 2700"/>
                              <a:gd name="T214" fmla="+- 0 2617 4"/>
                              <a:gd name="T215" fmla="*/ 2617 h 10295"/>
                              <a:gd name="T216" fmla="+- 0 11158 11038"/>
                              <a:gd name="T217" fmla="*/ T216 w 2700"/>
                              <a:gd name="T218" fmla="+- 0 2542 4"/>
                              <a:gd name="T219" fmla="*/ 2542 h 10295"/>
                              <a:gd name="T220" fmla="+- 0 11138 11038"/>
                              <a:gd name="T221" fmla="*/ T220 w 2700"/>
                              <a:gd name="T222" fmla="+- 0 1984 4"/>
                              <a:gd name="T223" fmla="*/ 1984 h 10295"/>
                              <a:gd name="T224" fmla="+- 0 11058 11038"/>
                              <a:gd name="T225" fmla="*/ T224 w 2700"/>
                              <a:gd name="T226" fmla="+- 0 6750 4"/>
                              <a:gd name="T227" fmla="*/ 6750 h 10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00" h="10295">
                                <a:moveTo>
                                  <a:pt x="40" y="6582"/>
                                </a:moveTo>
                                <a:lnTo>
                                  <a:pt x="40" y="7748"/>
                                </a:lnTo>
                                <a:lnTo>
                                  <a:pt x="200" y="8373"/>
                                </a:lnTo>
                                <a:lnTo>
                                  <a:pt x="280" y="8521"/>
                                </a:lnTo>
                                <a:lnTo>
                                  <a:pt x="300" y="8593"/>
                                </a:lnTo>
                                <a:lnTo>
                                  <a:pt x="320" y="8626"/>
                                </a:lnTo>
                                <a:lnTo>
                                  <a:pt x="340" y="8654"/>
                                </a:lnTo>
                                <a:lnTo>
                                  <a:pt x="360" y="8681"/>
                                </a:lnTo>
                                <a:lnTo>
                                  <a:pt x="380" y="8704"/>
                                </a:lnTo>
                                <a:lnTo>
                                  <a:pt x="380" y="8724"/>
                                </a:lnTo>
                                <a:lnTo>
                                  <a:pt x="420" y="8753"/>
                                </a:lnTo>
                                <a:lnTo>
                                  <a:pt x="440" y="8768"/>
                                </a:lnTo>
                                <a:lnTo>
                                  <a:pt x="460" y="8765"/>
                                </a:lnTo>
                                <a:lnTo>
                                  <a:pt x="480" y="8747"/>
                                </a:lnTo>
                                <a:lnTo>
                                  <a:pt x="480" y="8699"/>
                                </a:lnTo>
                                <a:lnTo>
                                  <a:pt x="500" y="8674"/>
                                </a:lnTo>
                                <a:lnTo>
                                  <a:pt x="500" y="8514"/>
                                </a:lnTo>
                                <a:lnTo>
                                  <a:pt x="520" y="8434"/>
                                </a:lnTo>
                                <a:lnTo>
                                  <a:pt x="520" y="8197"/>
                                </a:lnTo>
                                <a:lnTo>
                                  <a:pt x="540" y="8118"/>
                                </a:lnTo>
                                <a:lnTo>
                                  <a:pt x="540" y="8039"/>
                                </a:lnTo>
                                <a:lnTo>
                                  <a:pt x="560" y="7960"/>
                                </a:lnTo>
                                <a:lnTo>
                                  <a:pt x="560" y="7881"/>
                                </a:lnTo>
                                <a:lnTo>
                                  <a:pt x="600" y="7718"/>
                                </a:lnTo>
                                <a:lnTo>
                                  <a:pt x="600" y="7634"/>
                                </a:lnTo>
                                <a:lnTo>
                                  <a:pt x="640" y="7456"/>
                                </a:lnTo>
                                <a:lnTo>
                                  <a:pt x="780" y="6928"/>
                                </a:lnTo>
                                <a:lnTo>
                                  <a:pt x="820" y="6854"/>
                                </a:lnTo>
                                <a:lnTo>
                                  <a:pt x="860" y="6706"/>
                                </a:lnTo>
                                <a:lnTo>
                                  <a:pt x="900" y="6634"/>
                                </a:lnTo>
                                <a:lnTo>
                                  <a:pt x="980" y="6403"/>
                                </a:lnTo>
                                <a:lnTo>
                                  <a:pt x="1020" y="6331"/>
                                </a:lnTo>
                                <a:lnTo>
                                  <a:pt x="1040" y="6259"/>
                                </a:lnTo>
                                <a:lnTo>
                                  <a:pt x="1120" y="6117"/>
                                </a:lnTo>
                                <a:lnTo>
                                  <a:pt x="1140" y="6047"/>
                                </a:lnTo>
                                <a:lnTo>
                                  <a:pt x="1260" y="5836"/>
                                </a:lnTo>
                                <a:lnTo>
                                  <a:pt x="1280" y="5765"/>
                                </a:lnTo>
                                <a:lnTo>
                                  <a:pt x="1320" y="5694"/>
                                </a:lnTo>
                                <a:lnTo>
                                  <a:pt x="1340" y="5622"/>
                                </a:lnTo>
                                <a:lnTo>
                                  <a:pt x="1380" y="5550"/>
                                </a:lnTo>
                                <a:lnTo>
                                  <a:pt x="1400" y="5477"/>
                                </a:lnTo>
                                <a:lnTo>
                                  <a:pt x="1440" y="5408"/>
                                </a:lnTo>
                                <a:lnTo>
                                  <a:pt x="1540" y="5075"/>
                                </a:lnTo>
                                <a:lnTo>
                                  <a:pt x="1620" y="4765"/>
                                </a:lnTo>
                                <a:lnTo>
                                  <a:pt x="1620" y="4687"/>
                                </a:lnTo>
                                <a:lnTo>
                                  <a:pt x="1660" y="4531"/>
                                </a:lnTo>
                                <a:lnTo>
                                  <a:pt x="1660" y="4453"/>
                                </a:lnTo>
                                <a:lnTo>
                                  <a:pt x="1700" y="4297"/>
                                </a:lnTo>
                                <a:lnTo>
                                  <a:pt x="1720" y="4139"/>
                                </a:lnTo>
                                <a:lnTo>
                                  <a:pt x="1720" y="4061"/>
                                </a:lnTo>
                                <a:lnTo>
                                  <a:pt x="1740" y="3982"/>
                                </a:lnTo>
                                <a:lnTo>
                                  <a:pt x="1780" y="3778"/>
                                </a:lnTo>
                                <a:lnTo>
                                  <a:pt x="1800" y="3638"/>
                                </a:lnTo>
                                <a:lnTo>
                                  <a:pt x="1980" y="2948"/>
                                </a:lnTo>
                                <a:lnTo>
                                  <a:pt x="2020" y="2864"/>
                                </a:lnTo>
                                <a:lnTo>
                                  <a:pt x="2040" y="2778"/>
                                </a:lnTo>
                                <a:lnTo>
                                  <a:pt x="2080" y="2690"/>
                                </a:lnTo>
                                <a:lnTo>
                                  <a:pt x="2100" y="2600"/>
                                </a:lnTo>
                                <a:lnTo>
                                  <a:pt x="2180" y="2448"/>
                                </a:lnTo>
                                <a:lnTo>
                                  <a:pt x="2200" y="2374"/>
                                </a:lnTo>
                                <a:lnTo>
                                  <a:pt x="2240" y="2300"/>
                                </a:lnTo>
                                <a:lnTo>
                                  <a:pt x="2260" y="2227"/>
                                </a:lnTo>
                                <a:lnTo>
                                  <a:pt x="2300" y="2154"/>
                                </a:lnTo>
                                <a:lnTo>
                                  <a:pt x="2320" y="2081"/>
                                </a:lnTo>
                                <a:lnTo>
                                  <a:pt x="2360" y="2007"/>
                                </a:lnTo>
                                <a:lnTo>
                                  <a:pt x="2380" y="1934"/>
                                </a:lnTo>
                                <a:lnTo>
                                  <a:pt x="2420" y="1859"/>
                                </a:lnTo>
                                <a:lnTo>
                                  <a:pt x="2460" y="1706"/>
                                </a:lnTo>
                                <a:lnTo>
                                  <a:pt x="2500" y="1627"/>
                                </a:lnTo>
                                <a:lnTo>
                                  <a:pt x="2520" y="1547"/>
                                </a:lnTo>
                                <a:lnTo>
                                  <a:pt x="2540" y="1438"/>
                                </a:lnTo>
                                <a:lnTo>
                                  <a:pt x="2580" y="1331"/>
                                </a:lnTo>
                                <a:lnTo>
                                  <a:pt x="2600" y="1256"/>
                                </a:lnTo>
                                <a:lnTo>
                                  <a:pt x="2600" y="1181"/>
                                </a:lnTo>
                                <a:lnTo>
                                  <a:pt x="2660" y="955"/>
                                </a:lnTo>
                                <a:lnTo>
                                  <a:pt x="2660" y="880"/>
                                </a:lnTo>
                                <a:lnTo>
                                  <a:pt x="2680" y="804"/>
                                </a:lnTo>
                                <a:lnTo>
                                  <a:pt x="2680" y="652"/>
                                </a:lnTo>
                                <a:lnTo>
                                  <a:pt x="2700" y="575"/>
                                </a:lnTo>
                                <a:lnTo>
                                  <a:pt x="2700" y="0"/>
                                </a:lnTo>
                                <a:lnTo>
                                  <a:pt x="2080" y="0"/>
                                </a:lnTo>
                                <a:lnTo>
                                  <a:pt x="2080" y="6"/>
                                </a:lnTo>
                                <a:lnTo>
                                  <a:pt x="2020" y="290"/>
                                </a:lnTo>
                                <a:lnTo>
                                  <a:pt x="1980" y="390"/>
                                </a:lnTo>
                                <a:lnTo>
                                  <a:pt x="1900" y="687"/>
                                </a:lnTo>
                                <a:lnTo>
                                  <a:pt x="1860" y="761"/>
                                </a:lnTo>
                                <a:lnTo>
                                  <a:pt x="1820" y="907"/>
                                </a:lnTo>
                                <a:lnTo>
                                  <a:pt x="1780" y="979"/>
                                </a:lnTo>
                                <a:lnTo>
                                  <a:pt x="1760" y="1051"/>
                                </a:lnTo>
                                <a:lnTo>
                                  <a:pt x="1720" y="1123"/>
                                </a:lnTo>
                                <a:lnTo>
                                  <a:pt x="1700" y="1195"/>
                                </a:lnTo>
                                <a:lnTo>
                                  <a:pt x="1660" y="1266"/>
                                </a:lnTo>
                                <a:lnTo>
                                  <a:pt x="1620" y="1385"/>
                                </a:lnTo>
                                <a:lnTo>
                                  <a:pt x="1560" y="1506"/>
                                </a:lnTo>
                                <a:lnTo>
                                  <a:pt x="1360" y="1881"/>
                                </a:lnTo>
                                <a:lnTo>
                                  <a:pt x="1340" y="1957"/>
                                </a:lnTo>
                                <a:lnTo>
                                  <a:pt x="1300" y="2033"/>
                                </a:lnTo>
                                <a:lnTo>
                                  <a:pt x="1280" y="2110"/>
                                </a:lnTo>
                                <a:lnTo>
                                  <a:pt x="1240" y="2188"/>
                                </a:lnTo>
                                <a:lnTo>
                                  <a:pt x="1220" y="2266"/>
                                </a:lnTo>
                                <a:lnTo>
                                  <a:pt x="1180" y="2346"/>
                                </a:lnTo>
                                <a:lnTo>
                                  <a:pt x="1120" y="2558"/>
                                </a:lnTo>
                                <a:lnTo>
                                  <a:pt x="1020" y="2951"/>
                                </a:lnTo>
                                <a:lnTo>
                                  <a:pt x="1020" y="3030"/>
                                </a:lnTo>
                                <a:lnTo>
                                  <a:pt x="980" y="3188"/>
                                </a:lnTo>
                                <a:lnTo>
                                  <a:pt x="980" y="3267"/>
                                </a:lnTo>
                                <a:lnTo>
                                  <a:pt x="960" y="3346"/>
                                </a:lnTo>
                                <a:lnTo>
                                  <a:pt x="960" y="3425"/>
                                </a:lnTo>
                                <a:lnTo>
                                  <a:pt x="920" y="3584"/>
                                </a:lnTo>
                                <a:lnTo>
                                  <a:pt x="920" y="3663"/>
                                </a:lnTo>
                                <a:lnTo>
                                  <a:pt x="900" y="3742"/>
                                </a:lnTo>
                                <a:lnTo>
                                  <a:pt x="900" y="3821"/>
                                </a:lnTo>
                                <a:lnTo>
                                  <a:pt x="880" y="3900"/>
                                </a:lnTo>
                                <a:lnTo>
                                  <a:pt x="880" y="3979"/>
                                </a:lnTo>
                                <a:lnTo>
                                  <a:pt x="720" y="4608"/>
                                </a:lnTo>
                                <a:lnTo>
                                  <a:pt x="680" y="4754"/>
                                </a:lnTo>
                                <a:lnTo>
                                  <a:pt x="640" y="4830"/>
                                </a:lnTo>
                                <a:lnTo>
                                  <a:pt x="620" y="4907"/>
                                </a:lnTo>
                                <a:lnTo>
                                  <a:pt x="580" y="4986"/>
                                </a:lnTo>
                                <a:lnTo>
                                  <a:pt x="560" y="5062"/>
                                </a:lnTo>
                                <a:lnTo>
                                  <a:pt x="480" y="5209"/>
                                </a:lnTo>
                                <a:lnTo>
                                  <a:pt x="460" y="5281"/>
                                </a:lnTo>
                                <a:lnTo>
                                  <a:pt x="380" y="5426"/>
                                </a:lnTo>
                                <a:lnTo>
                                  <a:pt x="360" y="5498"/>
                                </a:lnTo>
                                <a:lnTo>
                                  <a:pt x="320" y="5571"/>
                                </a:lnTo>
                                <a:lnTo>
                                  <a:pt x="300" y="5645"/>
                                </a:lnTo>
                                <a:lnTo>
                                  <a:pt x="260" y="5721"/>
                                </a:lnTo>
                                <a:lnTo>
                                  <a:pt x="220" y="5876"/>
                                </a:lnTo>
                                <a:lnTo>
                                  <a:pt x="140" y="6092"/>
                                </a:lnTo>
                                <a:lnTo>
                                  <a:pt x="80" y="6337"/>
                                </a:lnTo>
                                <a:lnTo>
                                  <a:pt x="80" y="6419"/>
                                </a:lnTo>
                                <a:lnTo>
                                  <a:pt x="40" y="6582"/>
                                </a:lnTo>
                                <a:close/>
                                <a:moveTo>
                                  <a:pt x="2540" y="5114"/>
                                </a:moveTo>
                                <a:lnTo>
                                  <a:pt x="2540" y="5834"/>
                                </a:lnTo>
                                <a:lnTo>
                                  <a:pt x="2560" y="5754"/>
                                </a:lnTo>
                                <a:lnTo>
                                  <a:pt x="2560" y="5194"/>
                                </a:lnTo>
                                <a:lnTo>
                                  <a:pt x="2540" y="5114"/>
                                </a:lnTo>
                                <a:close/>
                                <a:moveTo>
                                  <a:pt x="2520" y="4874"/>
                                </a:moveTo>
                                <a:lnTo>
                                  <a:pt x="2520" y="5994"/>
                                </a:lnTo>
                                <a:lnTo>
                                  <a:pt x="2540" y="5914"/>
                                </a:lnTo>
                                <a:lnTo>
                                  <a:pt x="2540" y="4954"/>
                                </a:lnTo>
                                <a:lnTo>
                                  <a:pt x="2520" y="4874"/>
                                </a:lnTo>
                                <a:close/>
                                <a:moveTo>
                                  <a:pt x="920" y="8264"/>
                                </a:moveTo>
                                <a:lnTo>
                                  <a:pt x="920" y="9124"/>
                                </a:lnTo>
                                <a:lnTo>
                                  <a:pt x="960" y="9279"/>
                                </a:lnTo>
                                <a:lnTo>
                                  <a:pt x="960" y="9356"/>
                                </a:lnTo>
                                <a:lnTo>
                                  <a:pt x="980" y="9428"/>
                                </a:lnTo>
                                <a:lnTo>
                                  <a:pt x="1000" y="9497"/>
                                </a:lnTo>
                                <a:lnTo>
                                  <a:pt x="1000" y="9564"/>
                                </a:lnTo>
                                <a:lnTo>
                                  <a:pt x="1020" y="9644"/>
                                </a:lnTo>
                                <a:lnTo>
                                  <a:pt x="1060" y="9723"/>
                                </a:lnTo>
                                <a:lnTo>
                                  <a:pt x="1100" y="9879"/>
                                </a:lnTo>
                                <a:lnTo>
                                  <a:pt x="1140" y="9956"/>
                                </a:lnTo>
                                <a:lnTo>
                                  <a:pt x="1160" y="10002"/>
                                </a:lnTo>
                                <a:lnTo>
                                  <a:pt x="1180" y="10044"/>
                                </a:lnTo>
                                <a:lnTo>
                                  <a:pt x="1200" y="10096"/>
                                </a:lnTo>
                                <a:lnTo>
                                  <a:pt x="1220" y="10150"/>
                                </a:lnTo>
                                <a:lnTo>
                                  <a:pt x="1260" y="10203"/>
                                </a:lnTo>
                                <a:lnTo>
                                  <a:pt x="1300" y="10249"/>
                                </a:lnTo>
                                <a:lnTo>
                                  <a:pt x="1300" y="10266"/>
                                </a:lnTo>
                                <a:lnTo>
                                  <a:pt x="1320" y="10278"/>
                                </a:lnTo>
                                <a:lnTo>
                                  <a:pt x="1340" y="10286"/>
                                </a:lnTo>
                                <a:lnTo>
                                  <a:pt x="1340" y="10292"/>
                                </a:lnTo>
                                <a:lnTo>
                                  <a:pt x="1360" y="10295"/>
                                </a:lnTo>
                                <a:lnTo>
                                  <a:pt x="1360" y="10292"/>
                                </a:lnTo>
                                <a:lnTo>
                                  <a:pt x="1380" y="10286"/>
                                </a:lnTo>
                                <a:lnTo>
                                  <a:pt x="1380" y="10278"/>
                                </a:lnTo>
                                <a:lnTo>
                                  <a:pt x="1400" y="10240"/>
                                </a:lnTo>
                                <a:lnTo>
                                  <a:pt x="1400" y="10153"/>
                                </a:lnTo>
                                <a:lnTo>
                                  <a:pt x="1420" y="10112"/>
                                </a:lnTo>
                                <a:lnTo>
                                  <a:pt x="1420" y="9938"/>
                                </a:lnTo>
                                <a:lnTo>
                                  <a:pt x="1440" y="9829"/>
                                </a:lnTo>
                                <a:lnTo>
                                  <a:pt x="1440" y="9747"/>
                                </a:lnTo>
                                <a:lnTo>
                                  <a:pt x="1460" y="9665"/>
                                </a:lnTo>
                                <a:lnTo>
                                  <a:pt x="1460" y="9583"/>
                                </a:lnTo>
                                <a:lnTo>
                                  <a:pt x="1500" y="9420"/>
                                </a:lnTo>
                                <a:lnTo>
                                  <a:pt x="1500" y="9338"/>
                                </a:lnTo>
                                <a:lnTo>
                                  <a:pt x="1520" y="9254"/>
                                </a:lnTo>
                                <a:lnTo>
                                  <a:pt x="1540" y="9166"/>
                                </a:lnTo>
                                <a:lnTo>
                                  <a:pt x="1580" y="8980"/>
                                </a:lnTo>
                                <a:lnTo>
                                  <a:pt x="1720" y="8447"/>
                                </a:lnTo>
                                <a:lnTo>
                                  <a:pt x="1760" y="8371"/>
                                </a:lnTo>
                                <a:lnTo>
                                  <a:pt x="1800" y="8222"/>
                                </a:lnTo>
                                <a:lnTo>
                                  <a:pt x="1840" y="8099"/>
                                </a:lnTo>
                                <a:lnTo>
                                  <a:pt x="1900" y="7974"/>
                                </a:lnTo>
                                <a:lnTo>
                                  <a:pt x="1920" y="7900"/>
                                </a:lnTo>
                                <a:lnTo>
                                  <a:pt x="1960" y="7826"/>
                                </a:lnTo>
                                <a:lnTo>
                                  <a:pt x="1980" y="7752"/>
                                </a:lnTo>
                                <a:lnTo>
                                  <a:pt x="2020" y="7679"/>
                                </a:lnTo>
                                <a:lnTo>
                                  <a:pt x="2040" y="7607"/>
                                </a:lnTo>
                                <a:lnTo>
                                  <a:pt x="2080" y="7534"/>
                                </a:lnTo>
                                <a:lnTo>
                                  <a:pt x="2100" y="7462"/>
                                </a:lnTo>
                                <a:lnTo>
                                  <a:pt x="2140" y="7389"/>
                                </a:lnTo>
                                <a:lnTo>
                                  <a:pt x="2160" y="7316"/>
                                </a:lnTo>
                                <a:lnTo>
                                  <a:pt x="2240" y="7170"/>
                                </a:lnTo>
                                <a:lnTo>
                                  <a:pt x="2260" y="7096"/>
                                </a:lnTo>
                                <a:lnTo>
                                  <a:pt x="2340" y="6872"/>
                                </a:lnTo>
                                <a:lnTo>
                                  <a:pt x="2360" y="6763"/>
                                </a:lnTo>
                                <a:lnTo>
                                  <a:pt x="2400" y="6654"/>
                                </a:lnTo>
                                <a:lnTo>
                                  <a:pt x="2420" y="6546"/>
                                </a:lnTo>
                                <a:lnTo>
                                  <a:pt x="2500" y="6232"/>
                                </a:lnTo>
                                <a:lnTo>
                                  <a:pt x="2500" y="6153"/>
                                </a:lnTo>
                                <a:lnTo>
                                  <a:pt x="2520" y="6073"/>
                                </a:lnTo>
                                <a:lnTo>
                                  <a:pt x="2520" y="4801"/>
                                </a:lnTo>
                                <a:lnTo>
                                  <a:pt x="2480" y="4660"/>
                                </a:lnTo>
                                <a:lnTo>
                                  <a:pt x="2460" y="4574"/>
                                </a:lnTo>
                                <a:lnTo>
                                  <a:pt x="2460" y="4491"/>
                                </a:lnTo>
                                <a:lnTo>
                                  <a:pt x="2420" y="4409"/>
                                </a:lnTo>
                                <a:lnTo>
                                  <a:pt x="2380" y="4244"/>
                                </a:lnTo>
                                <a:lnTo>
                                  <a:pt x="2360" y="4196"/>
                                </a:lnTo>
                                <a:lnTo>
                                  <a:pt x="2340" y="4152"/>
                                </a:lnTo>
                                <a:lnTo>
                                  <a:pt x="2320" y="4089"/>
                                </a:lnTo>
                                <a:lnTo>
                                  <a:pt x="2280" y="4023"/>
                                </a:lnTo>
                                <a:lnTo>
                                  <a:pt x="2260" y="3959"/>
                                </a:lnTo>
                                <a:lnTo>
                                  <a:pt x="2220" y="3902"/>
                                </a:lnTo>
                                <a:lnTo>
                                  <a:pt x="2200" y="3886"/>
                                </a:lnTo>
                                <a:lnTo>
                                  <a:pt x="2180" y="3874"/>
                                </a:lnTo>
                                <a:lnTo>
                                  <a:pt x="2180" y="3864"/>
                                </a:lnTo>
                                <a:lnTo>
                                  <a:pt x="2160" y="3859"/>
                                </a:lnTo>
                                <a:lnTo>
                                  <a:pt x="2140" y="3857"/>
                                </a:lnTo>
                                <a:lnTo>
                                  <a:pt x="2140" y="3859"/>
                                </a:lnTo>
                                <a:lnTo>
                                  <a:pt x="2120" y="3865"/>
                                </a:lnTo>
                                <a:lnTo>
                                  <a:pt x="2120" y="3875"/>
                                </a:lnTo>
                                <a:lnTo>
                                  <a:pt x="2100" y="3890"/>
                                </a:lnTo>
                                <a:lnTo>
                                  <a:pt x="2100" y="3908"/>
                                </a:lnTo>
                                <a:lnTo>
                                  <a:pt x="2080" y="3965"/>
                                </a:lnTo>
                                <a:lnTo>
                                  <a:pt x="2080" y="4083"/>
                                </a:lnTo>
                                <a:lnTo>
                                  <a:pt x="2060" y="4141"/>
                                </a:lnTo>
                                <a:lnTo>
                                  <a:pt x="2040" y="4352"/>
                                </a:lnTo>
                                <a:lnTo>
                                  <a:pt x="2020" y="4477"/>
                                </a:lnTo>
                                <a:lnTo>
                                  <a:pt x="2020" y="4631"/>
                                </a:lnTo>
                                <a:lnTo>
                                  <a:pt x="1980" y="4784"/>
                                </a:lnTo>
                                <a:lnTo>
                                  <a:pt x="1980" y="4860"/>
                                </a:lnTo>
                                <a:lnTo>
                                  <a:pt x="1940" y="5012"/>
                                </a:lnTo>
                                <a:lnTo>
                                  <a:pt x="1940" y="5102"/>
                                </a:lnTo>
                                <a:lnTo>
                                  <a:pt x="1880" y="5382"/>
                                </a:lnTo>
                                <a:lnTo>
                                  <a:pt x="1800" y="5681"/>
                                </a:lnTo>
                                <a:lnTo>
                                  <a:pt x="1760" y="5755"/>
                                </a:lnTo>
                                <a:lnTo>
                                  <a:pt x="1680" y="6050"/>
                                </a:lnTo>
                                <a:lnTo>
                                  <a:pt x="1640" y="6122"/>
                                </a:lnTo>
                                <a:lnTo>
                                  <a:pt x="1560" y="6355"/>
                                </a:lnTo>
                                <a:lnTo>
                                  <a:pt x="1520" y="6432"/>
                                </a:lnTo>
                                <a:lnTo>
                                  <a:pt x="1500" y="6508"/>
                                </a:lnTo>
                                <a:lnTo>
                                  <a:pt x="1420" y="6658"/>
                                </a:lnTo>
                                <a:lnTo>
                                  <a:pt x="1400" y="6732"/>
                                </a:lnTo>
                                <a:lnTo>
                                  <a:pt x="1320" y="6880"/>
                                </a:lnTo>
                                <a:lnTo>
                                  <a:pt x="1300" y="6955"/>
                                </a:lnTo>
                                <a:lnTo>
                                  <a:pt x="1220" y="7105"/>
                                </a:lnTo>
                                <a:lnTo>
                                  <a:pt x="1200" y="7182"/>
                                </a:lnTo>
                                <a:lnTo>
                                  <a:pt x="1080" y="7511"/>
                                </a:lnTo>
                                <a:lnTo>
                                  <a:pt x="1060" y="7619"/>
                                </a:lnTo>
                                <a:lnTo>
                                  <a:pt x="1020" y="7724"/>
                                </a:lnTo>
                                <a:lnTo>
                                  <a:pt x="980" y="7877"/>
                                </a:lnTo>
                                <a:lnTo>
                                  <a:pt x="980" y="7954"/>
                                </a:lnTo>
                                <a:lnTo>
                                  <a:pt x="940" y="8109"/>
                                </a:lnTo>
                                <a:lnTo>
                                  <a:pt x="940" y="8186"/>
                                </a:lnTo>
                                <a:lnTo>
                                  <a:pt x="920" y="8264"/>
                                </a:lnTo>
                                <a:close/>
                                <a:moveTo>
                                  <a:pt x="640" y="0"/>
                                </a:moveTo>
                                <a:lnTo>
                                  <a:pt x="640" y="3070"/>
                                </a:lnTo>
                                <a:lnTo>
                                  <a:pt x="660" y="2991"/>
                                </a:lnTo>
                                <a:lnTo>
                                  <a:pt x="660" y="2912"/>
                                </a:lnTo>
                                <a:lnTo>
                                  <a:pt x="680" y="2834"/>
                                </a:lnTo>
                                <a:lnTo>
                                  <a:pt x="680" y="2754"/>
                                </a:lnTo>
                                <a:lnTo>
                                  <a:pt x="720" y="2582"/>
                                </a:lnTo>
                                <a:lnTo>
                                  <a:pt x="940" y="1756"/>
                                </a:lnTo>
                                <a:lnTo>
                                  <a:pt x="980" y="1638"/>
                                </a:lnTo>
                                <a:lnTo>
                                  <a:pt x="1020" y="1516"/>
                                </a:lnTo>
                                <a:lnTo>
                                  <a:pt x="1060" y="1439"/>
                                </a:lnTo>
                                <a:lnTo>
                                  <a:pt x="1080" y="1364"/>
                                </a:lnTo>
                                <a:lnTo>
                                  <a:pt x="1120" y="1289"/>
                                </a:lnTo>
                                <a:lnTo>
                                  <a:pt x="1140" y="1214"/>
                                </a:lnTo>
                                <a:lnTo>
                                  <a:pt x="1180" y="1140"/>
                                </a:lnTo>
                                <a:lnTo>
                                  <a:pt x="1200" y="1066"/>
                                </a:lnTo>
                                <a:lnTo>
                                  <a:pt x="1280" y="920"/>
                                </a:lnTo>
                                <a:lnTo>
                                  <a:pt x="1300" y="846"/>
                                </a:lnTo>
                                <a:lnTo>
                                  <a:pt x="1340" y="773"/>
                                </a:lnTo>
                                <a:lnTo>
                                  <a:pt x="1360" y="699"/>
                                </a:lnTo>
                                <a:lnTo>
                                  <a:pt x="1400" y="625"/>
                                </a:lnTo>
                                <a:lnTo>
                                  <a:pt x="1420" y="551"/>
                                </a:lnTo>
                                <a:lnTo>
                                  <a:pt x="1460" y="475"/>
                                </a:lnTo>
                                <a:lnTo>
                                  <a:pt x="1480" y="400"/>
                                </a:lnTo>
                                <a:lnTo>
                                  <a:pt x="1560" y="179"/>
                                </a:lnTo>
                                <a:lnTo>
                                  <a:pt x="1580" y="70"/>
                                </a:lnTo>
                                <a:lnTo>
                                  <a:pt x="1600" y="0"/>
                                </a:lnTo>
                                <a:lnTo>
                                  <a:pt x="640" y="0"/>
                                </a:lnTo>
                                <a:close/>
                                <a:moveTo>
                                  <a:pt x="900" y="8498"/>
                                </a:moveTo>
                                <a:lnTo>
                                  <a:pt x="900" y="8890"/>
                                </a:lnTo>
                                <a:lnTo>
                                  <a:pt x="920" y="8968"/>
                                </a:lnTo>
                                <a:lnTo>
                                  <a:pt x="920" y="8420"/>
                                </a:lnTo>
                                <a:lnTo>
                                  <a:pt x="900" y="8498"/>
                                </a:lnTo>
                                <a:close/>
                                <a:moveTo>
                                  <a:pt x="140" y="1429"/>
                                </a:moveTo>
                                <a:lnTo>
                                  <a:pt x="140" y="2769"/>
                                </a:lnTo>
                                <a:lnTo>
                                  <a:pt x="260" y="3242"/>
                                </a:lnTo>
                                <a:lnTo>
                                  <a:pt x="300" y="3318"/>
                                </a:lnTo>
                                <a:lnTo>
                                  <a:pt x="320" y="3391"/>
                                </a:lnTo>
                                <a:lnTo>
                                  <a:pt x="360" y="3463"/>
                                </a:lnTo>
                                <a:lnTo>
                                  <a:pt x="400" y="3531"/>
                                </a:lnTo>
                                <a:lnTo>
                                  <a:pt x="420" y="3596"/>
                                </a:lnTo>
                                <a:lnTo>
                                  <a:pt x="440" y="3623"/>
                                </a:lnTo>
                                <a:lnTo>
                                  <a:pt x="460" y="3646"/>
                                </a:lnTo>
                                <a:lnTo>
                                  <a:pt x="480" y="3666"/>
                                </a:lnTo>
                                <a:lnTo>
                                  <a:pt x="500" y="3682"/>
                                </a:lnTo>
                                <a:lnTo>
                                  <a:pt x="500" y="3694"/>
                                </a:lnTo>
                                <a:lnTo>
                                  <a:pt x="520" y="3710"/>
                                </a:lnTo>
                                <a:lnTo>
                                  <a:pt x="540" y="3708"/>
                                </a:lnTo>
                                <a:lnTo>
                                  <a:pt x="560" y="3691"/>
                                </a:lnTo>
                                <a:lnTo>
                                  <a:pt x="580" y="3665"/>
                                </a:lnTo>
                                <a:lnTo>
                                  <a:pt x="580" y="3620"/>
                                </a:lnTo>
                                <a:lnTo>
                                  <a:pt x="600" y="3542"/>
                                </a:lnTo>
                                <a:lnTo>
                                  <a:pt x="600" y="3384"/>
                                </a:lnTo>
                                <a:lnTo>
                                  <a:pt x="620" y="3306"/>
                                </a:lnTo>
                                <a:lnTo>
                                  <a:pt x="620" y="3227"/>
                                </a:lnTo>
                                <a:lnTo>
                                  <a:pt x="640" y="3149"/>
                                </a:lnTo>
                                <a:lnTo>
                                  <a:pt x="640" y="11"/>
                                </a:lnTo>
                                <a:lnTo>
                                  <a:pt x="580" y="134"/>
                                </a:lnTo>
                                <a:lnTo>
                                  <a:pt x="480" y="373"/>
                                </a:lnTo>
                                <a:lnTo>
                                  <a:pt x="440" y="446"/>
                                </a:lnTo>
                                <a:lnTo>
                                  <a:pt x="420" y="519"/>
                                </a:lnTo>
                                <a:lnTo>
                                  <a:pt x="380" y="592"/>
                                </a:lnTo>
                                <a:lnTo>
                                  <a:pt x="360" y="666"/>
                                </a:lnTo>
                                <a:lnTo>
                                  <a:pt x="320" y="741"/>
                                </a:lnTo>
                                <a:lnTo>
                                  <a:pt x="140" y="1429"/>
                                </a:lnTo>
                                <a:close/>
                                <a:moveTo>
                                  <a:pt x="120" y="1586"/>
                                </a:moveTo>
                                <a:lnTo>
                                  <a:pt x="120" y="2613"/>
                                </a:lnTo>
                                <a:lnTo>
                                  <a:pt x="140" y="2691"/>
                                </a:lnTo>
                                <a:lnTo>
                                  <a:pt x="140" y="1507"/>
                                </a:lnTo>
                                <a:lnTo>
                                  <a:pt x="120" y="1586"/>
                                </a:lnTo>
                                <a:close/>
                                <a:moveTo>
                                  <a:pt x="100" y="1743"/>
                                </a:moveTo>
                                <a:lnTo>
                                  <a:pt x="100" y="2464"/>
                                </a:lnTo>
                                <a:lnTo>
                                  <a:pt x="120" y="2538"/>
                                </a:lnTo>
                                <a:lnTo>
                                  <a:pt x="120" y="1664"/>
                                </a:lnTo>
                                <a:lnTo>
                                  <a:pt x="100" y="1743"/>
                                </a:lnTo>
                                <a:close/>
                                <a:moveTo>
                                  <a:pt x="80" y="2059"/>
                                </a:moveTo>
                                <a:lnTo>
                                  <a:pt x="80" y="2217"/>
                                </a:lnTo>
                                <a:lnTo>
                                  <a:pt x="100" y="2297"/>
                                </a:lnTo>
                                <a:lnTo>
                                  <a:pt x="100" y="1980"/>
                                </a:lnTo>
                                <a:lnTo>
                                  <a:pt x="80" y="2059"/>
                                </a:lnTo>
                                <a:close/>
                                <a:moveTo>
                                  <a:pt x="20" y="6746"/>
                                </a:moveTo>
                                <a:lnTo>
                                  <a:pt x="20" y="7588"/>
                                </a:lnTo>
                                <a:lnTo>
                                  <a:pt x="40" y="7668"/>
                                </a:lnTo>
                                <a:lnTo>
                                  <a:pt x="40" y="6664"/>
                                </a:lnTo>
                                <a:lnTo>
                                  <a:pt x="20" y="6746"/>
                                </a:lnTo>
                                <a:close/>
                                <a:moveTo>
                                  <a:pt x="0" y="6913"/>
                                </a:moveTo>
                                <a:lnTo>
                                  <a:pt x="0" y="7428"/>
                                </a:lnTo>
                                <a:lnTo>
                                  <a:pt x="20" y="7508"/>
                                </a:lnTo>
                                <a:lnTo>
                                  <a:pt x="20" y="6829"/>
                                </a:lnTo>
                                <a:lnTo>
                                  <a:pt x="0" y="6913"/>
                                </a:lnTo>
                                <a:close/>
                              </a:path>
                            </a:pathLst>
                          </a:custGeom>
                          <a:solidFill>
                            <a:srgbClr val="DD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2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10" y="398"/>
                            <a:ext cx="10709"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8E7981" id="docshapegroup283" o:spid="_x0000_s1026" style="position:absolute;margin-left:0;margin-top:.2pt;width:838.8pt;height:594.25pt;z-index:-31852544;mso-position-horizontal-relative:page;mso-position-vertical-relative:page" coordorigin=",4" coordsize="16776,11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">
                <v:rect id="docshape284" o:spid="_x0000_s1027" style="position:absolute;top:4;width:16776;height:1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" fillcolor="#c8c8c8" stroked="f"/>
                <v:shape id="docshape285" o:spid="_x0000_s1028" style="position:absolute;left:11037;top:4;width:2700;height:10295;visibility:visible;mso-wrap-style:square;v-text-anchor:top" coordsize="2700,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" path="m40,6582r,1166l200,8373r80,148l300,8593r20,33l340,8654r20,27l380,8704r,20l420,8753r20,15l460,8765r20,-18l480,8699r20,-25l500,8514r20,-80l520,8197r20,-79l540,8039r20,-79l560,7881r40,-163l600,7634r40,-178l780,6928r40,-74l860,6706r40,-72l980,6403r40,-72l1040,6259r80,-142l1140,6047r120,-211l1280,5765r40,-71l1340,5622r40,-72l1400,5477r40,-69l1540,5075r80,-310l1620,4687r40,-156l1660,4453r40,-156l1720,4139r,-78l1740,3982r40,-204l1800,3638r180,-690l2020,2864r20,-86l2080,2690r20,-90l2180,2448r20,-74l2240,2300r20,-73l2300,2154r20,-73l2360,2007r20,-73l2420,1859r40,-153l2500,1627r20,-80l2540,1438r40,-107l2600,1256r,-75l2660,955r,-75l2680,804r,-152l2700,575,2700,,2080,r,6l2020,290r-40,100l1900,687r-40,74l1820,907r-40,72l1760,1051r-40,72l1700,1195r-40,71l1620,1385r-60,121l1360,1881r-20,76l1300,2033r-20,77l1240,2188r-20,78l1180,2346r-60,212l1020,2951r,79l980,3188r,79l960,3346r,79l920,3584r,79l900,3742r,79l880,3900r,79l720,4608r-40,146l640,4830r-20,77l580,4986r-20,76l480,5209r-20,72l380,5426r-20,72l320,5571r-20,74l260,5721r-40,155l140,6092,80,6337r,82l40,6582xm2540,5114r,720l2560,5754r,-560l2540,5114xm2520,4874r,1120l2540,5914r,-960l2520,4874xm920,8264r,860l960,9279r,77l980,9428r20,69l1000,9564r20,80l1060,9723r40,156l1140,9956r20,46l1180,10044r20,52l1220,10150r40,53l1300,10249r,17l1320,10278r20,8l1340,10292r20,3l1360,10292r20,-6l1380,10278r20,-38l1400,10153r20,-41l1420,9938r20,-109l1440,9747r20,-82l1460,9583r40,-163l1500,9338r20,-84l1540,9166r40,-186l1720,8447r40,-76l1800,8222r40,-123l1900,7974r20,-74l1960,7826r20,-74l2020,7679r20,-72l2080,7534r20,-72l2140,7389r20,-73l2240,7170r20,-74l2340,6872r20,-109l2400,6654r20,-108l2500,6232r,-79l2520,6073r,-1272l2480,4660r-20,-86l2460,4491r-40,-82l2380,4244r-20,-48l2340,4152r-20,-63l2280,4023r-20,-64l2220,3902r-20,-16l2180,3874r,-10l2160,3859r-20,-2l2140,3859r-20,6l2120,3875r-20,15l2100,3908r-20,57l2080,4083r-20,58l2040,4352r-20,125l2020,4631r-40,153l1980,4860r-40,152l1940,5102r-60,280l1800,5681r-40,74l1680,6050r-40,72l1560,6355r-40,77l1500,6508r-80,150l1400,6732r-80,148l1300,6955r-80,150l1200,7182r-120,329l1060,7619r-40,105l980,7877r,77l940,8109r,77l920,8264xm640,r,3070l660,2991r,-79l680,2834r,-80l720,2582,940,1756r40,-118l1020,1516r40,-77l1080,1364r40,-75l1140,1214r40,-74l1200,1066r80,-146l1300,846r40,-73l1360,699r40,-74l1420,551r40,-76l1480,400r80,-221l1580,70,1600,,640,xm900,8498r,392l920,8968r,-548l900,8498xm140,1429r,1340l260,3242r40,76l320,3391r40,72l400,3531r20,65l440,3623r20,23l480,3666r20,16l500,3694r20,16l540,3708r20,-17l580,3665r,-45l600,3542r,-158l620,3306r,-79l640,3149,640,11,580,134,480,373r-40,73l420,519r-40,73l360,666r-40,75l140,1429xm120,1586r,1027l140,2691r,-1184l120,1586xm100,1743r,721l120,2538r,-874l100,1743xm80,2059r,158l100,2297r,-317l80,2059xm20,6746r,842l40,7668r,-1004l20,6746xm,6913r,515l20,7508r,-679l,6913xe" fillcolor="#ddeaf6" stroked="f">
                  <v:path arrowok="t" o:connecttype="custom" o:connectlocs="320,8630;440,8772;520,8438;600,7722;900,6638;1260,5840;1440,5412;1700,4301;1980,2952;2200,2378;2380,1938;2580,1335;2680,656;1980,394;1720,1127;1340,1961;1120,2562;960,3429;880,3983;560,5066;300,5649;40,6586;2520,4878;920,9128;1020,9648;1200,10100;1340,10290;1400,10244;1460,9669;1580,8984;1920,7904;2100,7466;2360,6767;2520,4805;2360,4200;2200,3890;2120,3869;2060,4145;1940,5016;1640,6126;1320,6884;1020,7728;640,4;720,2586;1120,1293;1340,777;1560,183;920,8972;300,3322;460,3650;560,3695;620,3231;420,523;120,2617;120,2542;100,1984;20,6750" o:connectangles="0,0,0,0,0,0,0,0,0,0,0,0,0,0,0,0,0,0,0,0,0,0,0,0,0,0,0,0,0,0,0,0,0,0,0,0,0,0,0,0,0,0,0,0,0,0,0,0,0,0,0,0,0,0,0,0,0"/>
                </v:shape>
                <v:shape id="docshape286" o:spid="_x0000_s1029" type="#_x0000_t75" style="position:absolute;left:1310;top:398;width:10709;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">
                  <v:imagedata r:id="rId100" o:title=""/>
                </v:shape>
                <w10:wrap anchorx="page" anchory="page"/>
              </v:group>
            </w:pict>
          </mc:Fallback>
        </mc:AlternateContent>
      </w:r>
      <w:r>
        <w:rPr>
          <w:rFonts w:ascii="Calibri"/>
          <w:b/>
          <w:color w:val="FFFFFF"/>
          <w:spacing w:val="-2"/>
          <w:sz w:val="160"/>
        </w:rPr>
        <w:t>APPENDICES</w:t>
      </w:r>
    </w:p>
    <w:p w14:paraId="0CB8BE07" w14:textId="77777777" w:rsidR="00141B97" w:rsidRDefault="00141B97">
      <w:pPr>
        <w:spacing w:line="1715" w:lineRule="exact"/>
        <w:rPr>
          <w:rFonts w:ascii="Calibri"/>
          <w:sz w:val="160"/>
        </w:rPr>
        <w:sectPr w:rsidR="00141B97">
          <w:footerReference w:type="default" r:id="rId101"/>
          <w:pgSz w:w="16840" w:h="11910" w:orient="landscape"/>
          <w:pgMar w:top="640" w:right="2420" w:bottom="280" w:left="1340" w:header="0" w:footer="0" w:gutter="0"/>
          <w:cols w:space="720"/>
        </w:sectPr>
      </w:pPr>
    </w:p>
    <w:p w14:paraId="265ECBF1" w14:textId="77777777" w:rsidR="00141B97" w:rsidRDefault="00911D63">
      <w:pPr>
        <w:pStyle w:val="Heading1"/>
        <w:ind w:left="114"/>
        <w:jc w:val="both"/>
      </w:pPr>
      <w:r>
        <w:rPr>
          <w:color w:val="006CA3"/>
        </w:rPr>
        <w:lastRenderedPageBreak/>
        <w:t>PART</w:t>
      </w:r>
      <w:r>
        <w:rPr>
          <w:color w:val="006CA3"/>
          <w:spacing w:val="-14"/>
        </w:rPr>
        <w:t xml:space="preserve"> </w:t>
      </w:r>
      <w:r>
        <w:rPr>
          <w:color w:val="006CA3"/>
        </w:rPr>
        <w:t>A</w:t>
      </w:r>
      <w:r>
        <w:rPr>
          <w:color w:val="006CA3"/>
          <w:spacing w:val="-11"/>
        </w:rPr>
        <w:t xml:space="preserve"> </w:t>
      </w:r>
      <w:r>
        <w:rPr>
          <w:color w:val="006CA3"/>
        </w:rPr>
        <w:t>–</w:t>
      </w:r>
      <w:r>
        <w:rPr>
          <w:color w:val="006CA3"/>
          <w:spacing w:val="-12"/>
        </w:rPr>
        <w:t xml:space="preserve"> </w:t>
      </w:r>
      <w:r>
        <w:rPr>
          <w:color w:val="006CA3"/>
        </w:rPr>
        <w:t>COMMON</w:t>
      </w:r>
      <w:r>
        <w:rPr>
          <w:color w:val="006CA3"/>
          <w:spacing w:val="-11"/>
        </w:rPr>
        <w:t xml:space="preserve"> </w:t>
      </w:r>
      <w:r>
        <w:rPr>
          <w:color w:val="006CA3"/>
          <w:spacing w:val="-2"/>
        </w:rPr>
        <w:t>APPENDICES</w:t>
      </w:r>
    </w:p>
    <w:p w14:paraId="1DC29546" w14:textId="77777777" w:rsidR="00141B97" w:rsidRDefault="00911D63">
      <w:pPr>
        <w:pStyle w:val="Heading2"/>
        <w:spacing w:before="379"/>
        <w:ind w:left="114" w:firstLine="0"/>
        <w:jc w:val="both"/>
      </w:pPr>
      <w:r>
        <w:rPr>
          <w:color w:val="009BAC"/>
        </w:rPr>
        <w:t>Appendix</w:t>
      </w:r>
      <w:r>
        <w:rPr>
          <w:color w:val="009BAC"/>
          <w:spacing w:val="-5"/>
        </w:rPr>
        <w:t xml:space="preserve"> </w:t>
      </w:r>
      <w:r>
        <w:rPr>
          <w:color w:val="009BAC"/>
        </w:rPr>
        <w:t>A1</w:t>
      </w:r>
      <w:r>
        <w:rPr>
          <w:color w:val="009BAC"/>
          <w:spacing w:val="-6"/>
        </w:rPr>
        <w:t xml:space="preserve"> </w:t>
      </w:r>
      <w:r>
        <w:rPr>
          <w:color w:val="009BAC"/>
        </w:rPr>
        <w:t>–</w:t>
      </w:r>
      <w:r>
        <w:rPr>
          <w:color w:val="009BAC"/>
          <w:spacing w:val="-6"/>
        </w:rPr>
        <w:t xml:space="preserve"> </w:t>
      </w:r>
      <w:r>
        <w:rPr>
          <w:color w:val="009BAC"/>
        </w:rPr>
        <w:t>Business</w:t>
      </w:r>
      <w:r>
        <w:rPr>
          <w:color w:val="009BAC"/>
          <w:spacing w:val="-5"/>
        </w:rPr>
        <w:t xml:space="preserve"> </w:t>
      </w:r>
      <w:r>
        <w:rPr>
          <w:color w:val="009BAC"/>
          <w:spacing w:val="-2"/>
        </w:rPr>
        <w:t>Context</w:t>
      </w:r>
    </w:p>
    <w:p w14:paraId="4CE56529" w14:textId="77777777" w:rsidR="00141B97" w:rsidRDefault="00141B97">
      <w:pPr>
        <w:pStyle w:val="BodyText"/>
        <w:spacing w:before="9"/>
        <w:rPr>
          <w:sz w:val="20"/>
        </w:rPr>
      </w:pPr>
    </w:p>
    <w:p w14:paraId="1766C1B8" w14:textId="77777777" w:rsidR="00141B97" w:rsidRDefault="00911D63">
      <w:pPr>
        <w:pStyle w:val="BodyText"/>
        <w:ind w:left="114"/>
        <w:jc w:val="both"/>
      </w:pPr>
      <w:r>
        <w:t>Business</w:t>
      </w:r>
      <w:r>
        <w:rPr>
          <w:spacing w:val="-7"/>
        </w:rPr>
        <w:t xml:space="preserve"> </w:t>
      </w:r>
      <w:r>
        <w:rPr>
          <w:spacing w:val="-2"/>
        </w:rPr>
        <w:t>Entity</w:t>
      </w:r>
    </w:p>
    <w:p w14:paraId="5C2271EE" w14:textId="77777777" w:rsidR="00141B97" w:rsidRDefault="00911D63">
      <w:pPr>
        <w:pStyle w:val="BodyText"/>
        <w:spacing w:before="59" w:line="276" w:lineRule="auto"/>
        <w:ind w:left="113" w:right="107"/>
        <w:jc w:val="both"/>
      </w:pPr>
      <w:r>
        <w:t>Lower</w:t>
      </w:r>
      <w:r>
        <w:rPr>
          <w:spacing w:val="-4"/>
        </w:rPr>
        <w:t xml:space="preserve"> </w:t>
      </w:r>
      <w:r>
        <w:t>Murray</w:t>
      </w:r>
      <w:r>
        <w:rPr>
          <w:spacing w:val="-6"/>
        </w:rPr>
        <w:t xml:space="preserve"> </w:t>
      </w:r>
      <w:r>
        <w:t>Urban</w:t>
      </w:r>
      <w:r>
        <w:rPr>
          <w:spacing w:val="-6"/>
        </w:rPr>
        <w:t xml:space="preserve"> </w:t>
      </w:r>
      <w:r>
        <w:t>&amp;</w:t>
      </w:r>
      <w:r>
        <w:rPr>
          <w:spacing w:val="-4"/>
        </w:rPr>
        <w:t xml:space="preserve"> </w:t>
      </w:r>
      <w:r>
        <w:t>Rural</w:t>
      </w:r>
      <w:r>
        <w:rPr>
          <w:spacing w:val="-5"/>
        </w:rPr>
        <w:t xml:space="preserve"> </w:t>
      </w:r>
      <w:r>
        <w:t>Water</w:t>
      </w:r>
      <w:r>
        <w:rPr>
          <w:spacing w:val="-4"/>
        </w:rPr>
        <w:t xml:space="preserve"> </w:t>
      </w:r>
      <w:r>
        <w:t>Authority</w:t>
      </w:r>
      <w:r>
        <w:rPr>
          <w:spacing w:val="-5"/>
        </w:rPr>
        <w:t xml:space="preserve"> </w:t>
      </w:r>
      <w:r>
        <w:t>was</w:t>
      </w:r>
      <w:r>
        <w:rPr>
          <w:spacing w:val="-4"/>
        </w:rPr>
        <w:t xml:space="preserve"> </w:t>
      </w:r>
      <w:r>
        <w:t>formed</w:t>
      </w:r>
      <w:r>
        <w:rPr>
          <w:spacing w:val="-4"/>
        </w:rPr>
        <w:t xml:space="preserve"> </w:t>
      </w:r>
      <w:r>
        <w:t>on</w:t>
      </w:r>
      <w:r>
        <w:rPr>
          <w:spacing w:val="-4"/>
        </w:rPr>
        <w:t xml:space="preserve"> </w:t>
      </w:r>
      <w:r>
        <w:t>1</w:t>
      </w:r>
      <w:r>
        <w:rPr>
          <w:spacing w:val="-5"/>
        </w:rPr>
        <w:t xml:space="preserve"> </w:t>
      </w:r>
      <w:r>
        <w:t>July</w:t>
      </w:r>
      <w:r>
        <w:rPr>
          <w:spacing w:val="-4"/>
        </w:rPr>
        <w:t xml:space="preserve"> </w:t>
      </w:r>
      <w:r>
        <w:t>2004</w:t>
      </w:r>
      <w:r>
        <w:rPr>
          <w:spacing w:val="-5"/>
        </w:rPr>
        <w:t xml:space="preserve"> </w:t>
      </w:r>
      <w:r>
        <w:t>and</w:t>
      </w:r>
      <w:r>
        <w:rPr>
          <w:spacing w:val="-6"/>
        </w:rPr>
        <w:t xml:space="preserve"> </w:t>
      </w:r>
      <w:r>
        <w:t>became</w:t>
      </w:r>
      <w:r>
        <w:rPr>
          <w:spacing w:val="-5"/>
        </w:rPr>
        <w:t xml:space="preserve"> </w:t>
      </w:r>
      <w:r>
        <w:t>the</w:t>
      </w:r>
      <w:r>
        <w:rPr>
          <w:spacing w:val="-5"/>
        </w:rPr>
        <w:t xml:space="preserve"> </w:t>
      </w:r>
      <w:r>
        <w:t>Lower</w:t>
      </w:r>
      <w:r>
        <w:rPr>
          <w:spacing w:val="-6"/>
        </w:rPr>
        <w:t xml:space="preserve"> </w:t>
      </w:r>
      <w:r>
        <w:t>Murray</w:t>
      </w:r>
      <w:r>
        <w:rPr>
          <w:spacing w:val="-4"/>
        </w:rPr>
        <w:t xml:space="preserve"> </w:t>
      </w:r>
      <w:r>
        <w:t>Urban and</w:t>
      </w:r>
      <w:r>
        <w:rPr>
          <w:spacing w:val="-10"/>
        </w:rPr>
        <w:t xml:space="preserve"> </w:t>
      </w:r>
      <w:r>
        <w:t>Rural</w:t>
      </w:r>
      <w:r>
        <w:rPr>
          <w:spacing w:val="-9"/>
        </w:rPr>
        <w:t xml:space="preserve"> </w:t>
      </w:r>
      <w:r>
        <w:t>Water</w:t>
      </w:r>
      <w:r>
        <w:rPr>
          <w:spacing w:val="-11"/>
        </w:rPr>
        <w:t xml:space="preserve"> </w:t>
      </w:r>
      <w:r>
        <w:t>Corporation</w:t>
      </w:r>
      <w:r>
        <w:rPr>
          <w:spacing w:val="-11"/>
        </w:rPr>
        <w:t xml:space="preserve"> </w:t>
      </w:r>
      <w:r>
        <w:t>on</w:t>
      </w:r>
      <w:r>
        <w:rPr>
          <w:spacing w:val="-10"/>
        </w:rPr>
        <w:t xml:space="preserve"> </w:t>
      </w:r>
      <w:r>
        <w:t>1</w:t>
      </w:r>
      <w:r>
        <w:rPr>
          <w:spacing w:val="-10"/>
        </w:rPr>
        <w:t xml:space="preserve"> </w:t>
      </w:r>
      <w:r>
        <w:t>July</w:t>
      </w:r>
      <w:r>
        <w:rPr>
          <w:spacing w:val="-10"/>
        </w:rPr>
        <w:t xml:space="preserve"> </w:t>
      </w:r>
      <w:r>
        <w:t>2007.</w:t>
      </w:r>
      <w:r>
        <w:rPr>
          <w:spacing w:val="-11"/>
        </w:rPr>
        <w:t xml:space="preserve"> </w:t>
      </w:r>
      <w:r>
        <w:t>On</w:t>
      </w:r>
      <w:r>
        <w:rPr>
          <w:spacing w:val="-11"/>
        </w:rPr>
        <w:t xml:space="preserve"> </w:t>
      </w:r>
      <w:r>
        <w:t>19th</w:t>
      </w:r>
      <w:r>
        <w:rPr>
          <w:spacing w:val="-10"/>
        </w:rPr>
        <w:t xml:space="preserve"> </w:t>
      </w:r>
      <w:r>
        <w:t>August</w:t>
      </w:r>
      <w:r>
        <w:rPr>
          <w:spacing w:val="-10"/>
        </w:rPr>
        <w:t xml:space="preserve"> </w:t>
      </w:r>
      <w:r>
        <w:t>2008,</w:t>
      </w:r>
      <w:r>
        <w:rPr>
          <w:spacing w:val="-10"/>
        </w:rPr>
        <w:t xml:space="preserve"> </w:t>
      </w:r>
      <w:r>
        <w:t>it</w:t>
      </w:r>
      <w:r>
        <w:rPr>
          <w:spacing w:val="-10"/>
        </w:rPr>
        <w:t xml:space="preserve"> </w:t>
      </w:r>
      <w:r>
        <w:t>took</w:t>
      </w:r>
      <w:r>
        <w:rPr>
          <w:spacing w:val="-10"/>
        </w:rPr>
        <w:t xml:space="preserve"> </w:t>
      </w:r>
      <w:r>
        <w:t>over</w:t>
      </w:r>
      <w:r>
        <w:rPr>
          <w:spacing w:val="-10"/>
        </w:rPr>
        <w:t xml:space="preserve"> </w:t>
      </w:r>
      <w:r>
        <w:t>the</w:t>
      </w:r>
      <w:r>
        <w:rPr>
          <w:spacing w:val="-12"/>
        </w:rPr>
        <w:t xml:space="preserve"> </w:t>
      </w:r>
      <w:r>
        <w:t>functions</w:t>
      </w:r>
      <w:r>
        <w:rPr>
          <w:spacing w:val="-10"/>
        </w:rPr>
        <w:t xml:space="preserve"> </w:t>
      </w:r>
      <w:r>
        <w:t>of</w:t>
      </w:r>
      <w:r>
        <w:rPr>
          <w:spacing w:val="-10"/>
        </w:rPr>
        <w:t xml:space="preserve"> </w:t>
      </w:r>
      <w:r>
        <w:t>the</w:t>
      </w:r>
      <w:r>
        <w:rPr>
          <w:spacing w:val="-11"/>
        </w:rPr>
        <w:t xml:space="preserve"> </w:t>
      </w:r>
      <w:r>
        <w:t>First</w:t>
      </w:r>
      <w:r>
        <w:rPr>
          <w:spacing w:val="-10"/>
        </w:rPr>
        <w:t xml:space="preserve"> </w:t>
      </w:r>
      <w:r>
        <w:t>Mildura Irrigation Trust.</w:t>
      </w:r>
    </w:p>
    <w:p w14:paraId="3079993E" w14:textId="77777777" w:rsidR="00141B97" w:rsidRDefault="00141B97">
      <w:pPr>
        <w:pStyle w:val="BodyText"/>
        <w:spacing w:before="4"/>
        <w:rPr>
          <w:sz w:val="25"/>
        </w:rPr>
      </w:pPr>
    </w:p>
    <w:p w14:paraId="43F8BAF0" w14:textId="77777777" w:rsidR="00141B97" w:rsidRDefault="00911D63">
      <w:pPr>
        <w:pStyle w:val="BodyText"/>
        <w:spacing w:before="1" w:line="276" w:lineRule="auto"/>
        <w:ind w:left="113" w:right="108"/>
        <w:jc w:val="both"/>
      </w:pPr>
      <w:r>
        <w:t>LMW operates as a single business entity with two business units: urban and rural. LMW is currently price‐ regulated</w:t>
      </w:r>
      <w:r>
        <w:rPr>
          <w:spacing w:val="-13"/>
        </w:rPr>
        <w:t xml:space="preserve"> </w:t>
      </w:r>
      <w:r>
        <w:t>by</w:t>
      </w:r>
      <w:r>
        <w:rPr>
          <w:spacing w:val="-12"/>
        </w:rPr>
        <w:t xml:space="preserve"> </w:t>
      </w:r>
      <w:r>
        <w:t>the</w:t>
      </w:r>
      <w:r>
        <w:rPr>
          <w:spacing w:val="-13"/>
        </w:rPr>
        <w:t xml:space="preserve"> </w:t>
      </w:r>
      <w:r>
        <w:t>Essential</w:t>
      </w:r>
      <w:r>
        <w:rPr>
          <w:spacing w:val="-12"/>
        </w:rPr>
        <w:t xml:space="preserve"> </w:t>
      </w:r>
      <w:r>
        <w:t>Services</w:t>
      </w:r>
      <w:r>
        <w:rPr>
          <w:spacing w:val="-13"/>
        </w:rPr>
        <w:t xml:space="preserve"> </w:t>
      </w:r>
      <w:r>
        <w:t>Commission</w:t>
      </w:r>
      <w:r>
        <w:rPr>
          <w:spacing w:val="-12"/>
        </w:rPr>
        <w:t xml:space="preserve"> </w:t>
      </w:r>
      <w:r>
        <w:t>(ESC)</w:t>
      </w:r>
      <w:r>
        <w:rPr>
          <w:spacing w:val="-13"/>
        </w:rPr>
        <w:t xml:space="preserve"> </w:t>
      </w:r>
      <w:r>
        <w:t>for</w:t>
      </w:r>
      <w:r>
        <w:rPr>
          <w:spacing w:val="-12"/>
        </w:rPr>
        <w:t xml:space="preserve"> </w:t>
      </w:r>
      <w:r>
        <w:t>urban</w:t>
      </w:r>
      <w:r>
        <w:rPr>
          <w:spacing w:val="-12"/>
        </w:rPr>
        <w:t xml:space="preserve"> </w:t>
      </w:r>
      <w:r>
        <w:t>services</w:t>
      </w:r>
      <w:r>
        <w:rPr>
          <w:spacing w:val="-13"/>
        </w:rPr>
        <w:t xml:space="preserve"> </w:t>
      </w:r>
      <w:r>
        <w:t>under</w:t>
      </w:r>
      <w:r>
        <w:rPr>
          <w:spacing w:val="-12"/>
        </w:rPr>
        <w:t xml:space="preserve"> </w:t>
      </w:r>
      <w:r>
        <w:t>the</w:t>
      </w:r>
      <w:r>
        <w:rPr>
          <w:spacing w:val="-13"/>
        </w:rPr>
        <w:t xml:space="preserve"> </w:t>
      </w:r>
      <w:r>
        <w:t>Victorian</w:t>
      </w:r>
      <w:r>
        <w:rPr>
          <w:spacing w:val="-12"/>
        </w:rPr>
        <w:t xml:space="preserve"> </w:t>
      </w:r>
      <w:r>
        <w:t>government’s</w:t>
      </w:r>
      <w:r>
        <w:rPr>
          <w:spacing w:val="-13"/>
        </w:rPr>
        <w:t xml:space="preserve"> </w:t>
      </w:r>
      <w:r>
        <w:t>Water Industry Regulatory Order 2014 (WIRO), and for rural services will operate under the WIRO from 1 July 2023 (transferring economic regulation from the Commonwealth under the Water Charge Rules 2010 for Murray‐ Darling Basin infrastructure operators).</w:t>
      </w:r>
    </w:p>
    <w:p w14:paraId="382853BE" w14:textId="77777777" w:rsidR="00141B97" w:rsidRDefault="00911D63">
      <w:pPr>
        <w:pStyle w:val="BodyText"/>
        <w:spacing w:before="17" w:line="560" w:lineRule="atLeast"/>
        <w:ind w:left="113" w:right="1487"/>
        <w:jc w:val="both"/>
      </w:pPr>
      <w:r>
        <w:t>Separate</w:t>
      </w:r>
      <w:r>
        <w:rPr>
          <w:spacing w:val="-3"/>
        </w:rPr>
        <w:t xml:space="preserve"> </w:t>
      </w:r>
      <w:r>
        <w:t>price</w:t>
      </w:r>
      <w:r>
        <w:rPr>
          <w:spacing w:val="-4"/>
        </w:rPr>
        <w:t xml:space="preserve"> </w:t>
      </w:r>
      <w:r>
        <w:t>models</w:t>
      </w:r>
      <w:r>
        <w:rPr>
          <w:spacing w:val="-2"/>
        </w:rPr>
        <w:t xml:space="preserve"> </w:t>
      </w:r>
      <w:r>
        <w:t>and</w:t>
      </w:r>
      <w:r>
        <w:rPr>
          <w:spacing w:val="-2"/>
        </w:rPr>
        <w:t xml:space="preserve"> </w:t>
      </w:r>
      <w:r>
        <w:t>ESC</w:t>
      </w:r>
      <w:r>
        <w:rPr>
          <w:spacing w:val="-2"/>
        </w:rPr>
        <w:t xml:space="preserve"> </w:t>
      </w:r>
      <w:r>
        <w:t>financial</w:t>
      </w:r>
      <w:r>
        <w:rPr>
          <w:spacing w:val="-3"/>
        </w:rPr>
        <w:t xml:space="preserve"> </w:t>
      </w:r>
      <w:r>
        <w:t>templates</w:t>
      </w:r>
      <w:r>
        <w:rPr>
          <w:spacing w:val="-4"/>
        </w:rPr>
        <w:t xml:space="preserve"> </w:t>
      </w:r>
      <w:r>
        <w:t>apply</w:t>
      </w:r>
      <w:r>
        <w:rPr>
          <w:spacing w:val="-3"/>
        </w:rPr>
        <w:t xml:space="preserve"> </w:t>
      </w:r>
      <w:r>
        <w:t>for</w:t>
      </w:r>
      <w:r>
        <w:rPr>
          <w:spacing w:val="-3"/>
        </w:rPr>
        <w:t xml:space="preserve"> </w:t>
      </w:r>
      <w:r>
        <w:t>the</w:t>
      </w:r>
      <w:r>
        <w:rPr>
          <w:spacing w:val="-3"/>
        </w:rPr>
        <w:t xml:space="preserve"> </w:t>
      </w:r>
      <w:r>
        <w:t>urban</w:t>
      </w:r>
      <w:r>
        <w:rPr>
          <w:spacing w:val="-2"/>
        </w:rPr>
        <w:t xml:space="preserve"> </w:t>
      </w:r>
      <w:r>
        <w:t>and</w:t>
      </w:r>
      <w:r>
        <w:rPr>
          <w:spacing w:val="-2"/>
        </w:rPr>
        <w:t xml:space="preserve"> </w:t>
      </w:r>
      <w:r>
        <w:t>rural</w:t>
      </w:r>
      <w:r>
        <w:rPr>
          <w:spacing w:val="-3"/>
        </w:rPr>
        <w:t xml:space="preserve"> </w:t>
      </w:r>
      <w:r>
        <w:t>business</w:t>
      </w:r>
      <w:r>
        <w:rPr>
          <w:spacing w:val="-2"/>
        </w:rPr>
        <w:t xml:space="preserve"> </w:t>
      </w:r>
      <w:r>
        <w:t>units. Regional Context</w:t>
      </w:r>
    </w:p>
    <w:p w14:paraId="7E216F98" w14:textId="77777777" w:rsidR="00141B97" w:rsidRDefault="00911D63">
      <w:pPr>
        <w:pStyle w:val="BodyText"/>
        <w:spacing w:before="60" w:line="276" w:lineRule="auto"/>
        <w:ind w:left="114" w:right="107" w:hanging="1"/>
        <w:jc w:val="both"/>
      </w:pPr>
      <w:r>
        <w:t>LMW’s</w:t>
      </w:r>
      <w:r>
        <w:rPr>
          <w:spacing w:val="-8"/>
        </w:rPr>
        <w:t xml:space="preserve"> </w:t>
      </w:r>
      <w:r>
        <w:t>operating</w:t>
      </w:r>
      <w:r>
        <w:rPr>
          <w:spacing w:val="-6"/>
        </w:rPr>
        <w:t xml:space="preserve"> </w:t>
      </w:r>
      <w:r>
        <w:t>region</w:t>
      </w:r>
      <w:r>
        <w:rPr>
          <w:spacing w:val="-7"/>
        </w:rPr>
        <w:t xml:space="preserve"> </w:t>
      </w:r>
      <w:r>
        <w:t>is</w:t>
      </w:r>
      <w:r>
        <w:rPr>
          <w:spacing w:val="-5"/>
        </w:rPr>
        <w:t xml:space="preserve"> </w:t>
      </w:r>
      <w:r>
        <w:t>highly</w:t>
      </w:r>
      <w:r>
        <w:rPr>
          <w:spacing w:val="-7"/>
        </w:rPr>
        <w:t xml:space="preserve"> </w:t>
      </w:r>
      <w:r>
        <w:t>productive,</w:t>
      </w:r>
      <w:r>
        <w:rPr>
          <w:spacing w:val="-7"/>
        </w:rPr>
        <w:t xml:space="preserve"> </w:t>
      </w:r>
      <w:r>
        <w:t>delivering</w:t>
      </w:r>
      <w:r>
        <w:rPr>
          <w:spacing w:val="-8"/>
        </w:rPr>
        <w:t xml:space="preserve"> </w:t>
      </w:r>
      <w:r>
        <w:t>over</w:t>
      </w:r>
      <w:r>
        <w:rPr>
          <w:spacing w:val="-6"/>
        </w:rPr>
        <w:t xml:space="preserve"> </w:t>
      </w:r>
      <w:r>
        <w:t>$10</w:t>
      </w:r>
      <w:r>
        <w:rPr>
          <w:spacing w:val="-8"/>
        </w:rPr>
        <w:t xml:space="preserve"> </w:t>
      </w:r>
      <w:r>
        <w:t>billion</w:t>
      </w:r>
      <w:r>
        <w:rPr>
          <w:spacing w:val="-7"/>
        </w:rPr>
        <w:t xml:space="preserve"> </w:t>
      </w:r>
      <w:r>
        <w:t>per</w:t>
      </w:r>
      <w:r>
        <w:rPr>
          <w:spacing w:val="-7"/>
        </w:rPr>
        <w:t xml:space="preserve"> </w:t>
      </w:r>
      <w:r>
        <w:t>annum</w:t>
      </w:r>
      <w:r>
        <w:rPr>
          <w:vertAlign w:val="superscript"/>
        </w:rPr>
        <w:t>1</w:t>
      </w:r>
      <w:r>
        <w:rPr>
          <w:spacing w:val="-8"/>
        </w:rPr>
        <w:t xml:space="preserve"> </w:t>
      </w:r>
      <w:r>
        <w:t>in</w:t>
      </w:r>
      <w:r>
        <w:rPr>
          <w:spacing w:val="-8"/>
        </w:rPr>
        <w:t xml:space="preserve"> </w:t>
      </w:r>
      <w:r>
        <w:t>gross</w:t>
      </w:r>
      <w:r>
        <w:rPr>
          <w:spacing w:val="-7"/>
        </w:rPr>
        <w:t xml:space="preserve"> </w:t>
      </w:r>
      <w:r>
        <w:t>regional</w:t>
      </w:r>
      <w:r>
        <w:rPr>
          <w:spacing w:val="-7"/>
        </w:rPr>
        <w:t xml:space="preserve"> </w:t>
      </w:r>
      <w:r>
        <w:t>product</w:t>
      </w:r>
      <w:r>
        <w:rPr>
          <w:spacing w:val="-6"/>
        </w:rPr>
        <w:t xml:space="preserve"> </w:t>
      </w:r>
      <w:r>
        <w:t>to the</w:t>
      </w:r>
      <w:r>
        <w:rPr>
          <w:spacing w:val="-6"/>
        </w:rPr>
        <w:t xml:space="preserve"> </w:t>
      </w:r>
      <w:r>
        <w:t>Victorian</w:t>
      </w:r>
      <w:r>
        <w:rPr>
          <w:spacing w:val="-4"/>
        </w:rPr>
        <w:t xml:space="preserve"> </w:t>
      </w:r>
      <w:r>
        <w:t>and</w:t>
      </w:r>
      <w:r>
        <w:rPr>
          <w:spacing w:val="-7"/>
        </w:rPr>
        <w:t xml:space="preserve"> </w:t>
      </w:r>
      <w:r>
        <w:t>Australian</w:t>
      </w:r>
      <w:r>
        <w:rPr>
          <w:spacing w:val="-7"/>
        </w:rPr>
        <w:t xml:space="preserve"> </w:t>
      </w:r>
      <w:r>
        <w:t>economy.</w:t>
      </w:r>
      <w:r>
        <w:rPr>
          <w:spacing w:val="-6"/>
        </w:rPr>
        <w:t xml:space="preserve"> </w:t>
      </w:r>
      <w:r>
        <w:t>Conversely,</w:t>
      </w:r>
      <w:r>
        <w:rPr>
          <w:spacing w:val="-7"/>
        </w:rPr>
        <w:t xml:space="preserve"> </w:t>
      </w:r>
      <w:r>
        <w:t>the</w:t>
      </w:r>
      <w:r>
        <w:rPr>
          <w:spacing w:val="-7"/>
        </w:rPr>
        <w:t xml:space="preserve"> </w:t>
      </w:r>
      <w:r>
        <w:t>region</w:t>
      </w:r>
      <w:r>
        <w:rPr>
          <w:spacing w:val="-6"/>
        </w:rPr>
        <w:t xml:space="preserve"> </w:t>
      </w:r>
      <w:r>
        <w:t>is</w:t>
      </w:r>
      <w:r>
        <w:rPr>
          <w:spacing w:val="-6"/>
        </w:rPr>
        <w:t xml:space="preserve"> </w:t>
      </w:r>
      <w:r>
        <w:t>relatively</w:t>
      </w:r>
      <w:r>
        <w:rPr>
          <w:spacing w:val="-7"/>
        </w:rPr>
        <w:t xml:space="preserve"> </w:t>
      </w:r>
      <w:r>
        <w:t>remote</w:t>
      </w:r>
      <w:r>
        <w:rPr>
          <w:spacing w:val="-8"/>
        </w:rPr>
        <w:t xml:space="preserve"> </w:t>
      </w:r>
      <w:r>
        <w:t>and</w:t>
      </w:r>
      <w:r>
        <w:rPr>
          <w:spacing w:val="-7"/>
        </w:rPr>
        <w:t xml:space="preserve"> </w:t>
      </w:r>
      <w:r>
        <w:t>covers</w:t>
      </w:r>
      <w:r>
        <w:rPr>
          <w:spacing w:val="-5"/>
        </w:rPr>
        <w:t xml:space="preserve"> </w:t>
      </w:r>
      <w:r>
        <w:t>a</w:t>
      </w:r>
      <w:r>
        <w:rPr>
          <w:spacing w:val="-7"/>
        </w:rPr>
        <w:t xml:space="preserve"> </w:t>
      </w:r>
      <w:r>
        <w:t>large</w:t>
      </w:r>
      <w:r>
        <w:rPr>
          <w:spacing w:val="-7"/>
        </w:rPr>
        <w:t xml:space="preserve"> </w:t>
      </w:r>
      <w:r>
        <w:t>geographic area extending over 300 km along the lower Murray River, in the driest part of Victoria.</w:t>
      </w:r>
    </w:p>
    <w:p w14:paraId="63C316AC" w14:textId="77777777" w:rsidR="00141B97" w:rsidRDefault="00141B97">
      <w:pPr>
        <w:pStyle w:val="BodyText"/>
        <w:spacing w:before="3"/>
        <w:rPr>
          <w:sz w:val="25"/>
        </w:rPr>
      </w:pPr>
    </w:p>
    <w:p w14:paraId="4E49B972" w14:textId="77777777" w:rsidR="00141B97" w:rsidRDefault="00911D63">
      <w:pPr>
        <w:pStyle w:val="BodyText"/>
        <w:spacing w:line="276" w:lineRule="auto"/>
        <w:ind w:left="114" w:right="107" w:hanging="1"/>
        <w:jc w:val="both"/>
      </w:pPr>
      <w:r>
        <w:t>LMW recognises that its customers’ and community’s overall well‐being and livelihood is directly linked to the agricultural, tourism and support industries which form the region’s economic backbone. How it manages regional</w:t>
      </w:r>
      <w:r>
        <w:rPr>
          <w:spacing w:val="-7"/>
        </w:rPr>
        <w:t xml:space="preserve"> </w:t>
      </w:r>
      <w:r>
        <w:t>water</w:t>
      </w:r>
      <w:r>
        <w:rPr>
          <w:spacing w:val="-8"/>
        </w:rPr>
        <w:t xml:space="preserve"> </w:t>
      </w:r>
      <w:r>
        <w:t>resources</w:t>
      </w:r>
      <w:r>
        <w:rPr>
          <w:spacing w:val="-7"/>
        </w:rPr>
        <w:t xml:space="preserve"> </w:t>
      </w:r>
      <w:r>
        <w:t>recognises</w:t>
      </w:r>
      <w:r>
        <w:rPr>
          <w:spacing w:val="-6"/>
        </w:rPr>
        <w:t xml:space="preserve"> </w:t>
      </w:r>
      <w:r>
        <w:t>the</w:t>
      </w:r>
      <w:r>
        <w:rPr>
          <w:spacing w:val="-7"/>
        </w:rPr>
        <w:t xml:space="preserve"> </w:t>
      </w:r>
      <w:r>
        <w:t>intrinsic</w:t>
      </w:r>
      <w:r>
        <w:rPr>
          <w:spacing w:val="-8"/>
        </w:rPr>
        <w:t xml:space="preserve"> </w:t>
      </w:r>
      <w:r>
        <w:t>interrelation</w:t>
      </w:r>
      <w:r>
        <w:rPr>
          <w:spacing w:val="-7"/>
        </w:rPr>
        <w:t xml:space="preserve"> </w:t>
      </w:r>
      <w:r>
        <w:t>between</w:t>
      </w:r>
      <w:r>
        <w:rPr>
          <w:spacing w:val="-7"/>
        </w:rPr>
        <w:t xml:space="preserve"> </w:t>
      </w:r>
      <w:r>
        <w:t>the</w:t>
      </w:r>
      <w:r>
        <w:rPr>
          <w:spacing w:val="-7"/>
        </w:rPr>
        <w:t xml:space="preserve"> </w:t>
      </w:r>
      <w:r>
        <w:t>resource</w:t>
      </w:r>
      <w:r>
        <w:rPr>
          <w:spacing w:val="-8"/>
        </w:rPr>
        <w:t xml:space="preserve"> </w:t>
      </w:r>
      <w:r>
        <w:t>and</w:t>
      </w:r>
      <w:r>
        <w:rPr>
          <w:spacing w:val="-7"/>
        </w:rPr>
        <w:t xml:space="preserve"> </w:t>
      </w:r>
      <w:r>
        <w:t>the</w:t>
      </w:r>
      <w:r>
        <w:rPr>
          <w:spacing w:val="-7"/>
        </w:rPr>
        <w:t xml:space="preserve"> </w:t>
      </w:r>
      <w:r>
        <w:t>region’s</w:t>
      </w:r>
      <w:r>
        <w:rPr>
          <w:spacing w:val="-6"/>
        </w:rPr>
        <w:t xml:space="preserve"> </w:t>
      </w:r>
      <w:r>
        <w:t>social</w:t>
      </w:r>
      <w:r>
        <w:rPr>
          <w:spacing w:val="-8"/>
        </w:rPr>
        <w:t xml:space="preserve"> </w:t>
      </w:r>
      <w:r>
        <w:t>and economic fabric.</w:t>
      </w:r>
    </w:p>
    <w:p w14:paraId="7D5C3901" w14:textId="77777777" w:rsidR="00141B97" w:rsidRDefault="00141B97">
      <w:pPr>
        <w:pStyle w:val="BodyText"/>
        <w:spacing w:before="4"/>
        <w:rPr>
          <w:sz w:val="25"/>
        </w:rPr>
      </w:pPr>
    </w:p>
    <w:p w14:paraId="5603DF76" w14:textId="77777777" w:rsidR="00141B97" w:rsidRDefault="00911D63">
      <w:pPr>
        <w:pStyle w:val="BodyText"/>
        <w:spacing w:line="276" w:lineRule="auto"/>
        <w:ind w:left="114" w:right="108"/>
        <w:jc w:val="both"/>
      </w:pPr>
      <w:r>
        <w:t>These</w:t>
      </w:r>
      <w:r>
        <w:rPr>
          <w:spacing w:val="-9"/>
        </w:rPr>
        <w:t xml:space="preserve"> </w:t>
      </w:r>
      <w:r>
        <w:t>factors</w:t>
      </w:r>
      <w:r>
        <w:rPr>
          <w:spacing w:val="-8"/>
        </w:rPr>
        <w:t xml:space="preserve"> </w:t>
      </w:r>
      <w:r>
        <w:t>pose</w:t>
      </w:r>
      <w:r>
        <w:rPr>
          <w:spacing w:val="-10"/>
        </w:rPr>
        <w:t xml:space="preserve"> </w:t>
      </w:r>
      <w:r>
        <w:t>challenges</w:t>
      </w:r>
      <w:r>
        <w:rPr>
          <w:spacing w:val="-9"/>
        </w:rPr>
        <w:t xml:space="preserve"> </w:t>
      </w:r>
      <w:r>
        <w:t>for</w:t>
      </w:r>
      <w:r>
        <w:rPr>
          <w:spacing w:val="-9"/>
        </w:rPr>
        <w:t xml:space="preserve"> </w:t>
      </w:r>
      <w:r>
        <w:t>control</w:t>
      </w:r>
      <w:r>
        <w:rPr>
          <w:spacing w:val="-8"/>
        </w:rPr>
        <w:t xml:space="preserve"> </w:t>
      </w:r>
      <w:r>
        <w:t>of</w:t>
      </w:r>
      <w:r>
        <w:rPr>
          <w:spacing w:val="-9"/>
        </w:rPr>
        <w:t xml:space="preserve"> </w:t>
      </w:r>
      <w:r>
        <w:t>essential</w:t>
      </w:r>
      <w:r>
        <w:rPr>
          <w:spacing w:val="-9"/>
        </w:rPr>
        <w:t xml:space="preserve"> </w:t>
      </w:r>
      <w:r>
        <w:t>water</w:t>
      </w:r>
      <w:r>
        <w:rPr>
          <w:spacing w:val="-9"/>
        </w:rPr>
        <w:t xml:space="preserve"> </w:t>
      </w:r>
      <w:r>
        <w:t>services</w:t>
      </w:r>
      <w:r>
        <w:rPr>
          <w:spacing w:val="-8"/>
        </w:rPr>
        <w:t xml:space="preserve"> </w:t>
      </w:r>
      <w:r>
        <w:t>and</w:t>
      </w:r>
      <w:r>
        <w:rPr>
          <w:spacing w:val="-9"/>
        </w:rPr>
        <w:t xml:space="preserve"> </w:t>
      </w:r>
      <w:r>
        <w:t>their</w:t>
      </w:r>
      <w:r>
        <w:rPr>
          <w:spacing w:val="-9"/>
        </w:rPr>
        <w:t xml:space="preserve"> </w:t>
      </w:r>
      <w:r>
        <w:t>efficient</w:t>
      </w:r>
      <w:r>
        <w:rPr>
          <w:spacing w:val="-9"/>
        </w:rPr>
        <w:t xml:space="preserve"> </w:t>
      </w:r>
      <w:r>
        <w:t>management,</w:t>
      </w:r>
      <w:r>
        <w:rPr>
          <w:spacing w:val="-9"/>
        </w:rPr>
        <w:t xml:space="preserve"> </w:t>
      </w:r>
      <w:r>
        <w:t>whilst</w:t>
      </w:r>
      <w:r>
        <w:rPr>
          <w:spacing w:val="-7"/>
        </w:rPr>
        <w:t xml:space="preserve"> </w:t>
      </w:r>
      <w:r>
        <w:t>also providing</w:t>
      </w:r>
      <w:r>
        <w:rPr>
          <w:spacing w:val="-13"/>
        </w:rPr>
        <w:t xml:space="preserve"> </w:t>
      </w:r>
      <w:r>
        <w:t>opportunities</w:t>
      </w:r>
      <w:r>
        <w:rPr>
          <w:spacing w:val="-12"/>
        </w:rPr>
        <w:t xml:space="preserve"> </w:t>
      </w:r>
      <w:r>
        <w:t>for</w:t>
      </w:r>
      <w:r>
        <w:rPr>
          <w:spacing w:val="-13"/>
        </w:rPr>
        <w:t xml:space="preserve"> </w:t>
      </w:r>
      <w:r>
        <w:t>greater</w:t>
      </w:r>
      <w:r>
        <w:rPr>
          <w:spacing w:val="-12"/>
        </w:rPr>
        <w:t xml:space="preserve"> </w:t>
      </w:r>
      <w:r>
        <w:t>community</w:t>
      </w:r>
      <w:r>
        <w:rPr>
          <w:spacing w:val="-13"/>
        </w:rPr>
        <w:t xml:space="preserve"> </w:t>
      </w:r>
      <w:r>
        <w:t>engagement</w:t>
      </w:r>
      <w:r>
        <w:rPr>
          <w:spacing w:val="-12"/>
        </w:rPr>
        <w:t xml:space="preserve"> </w:t>
      </w:r>
      <w:r>
        <w:t>and</w:t>
      </w:r>
      <w:r>
        <w:rPr>
          <w:spacing w:val="-13"/>
        </w:rPr>
        <w:t xml:space="preserve"> </w:t>
      </w:r>
      <w:r>
        <w:t>a</w:t>
      </w:r>
      <w:r>
        <w:rPr>
          <w:spacing w:val="-12"/>
        </w:rPr>
        <w:t xml:space="preserve"> </w:t>
      </w:r>
      <w:r>
        <w:t>contribution</w:t>
      </w:r>
      <w:r>
        <w:rPr>
          <w:spacing w:val="-12"/>
        </w:rPr>
        <w:t xml:space="preserve"> </w:t>
      </w:r>
      <w:r>
        <w:t>to</w:t>
      </w:r>
      <w:r>
        <w:rPr>
          <w:spacing w:val="-13"/>
        </w:rPr>
        <w:t xml:space="preserve"> </w:t>
      </w:r>
      <w:r>
        <w:t>the</w:t>
      </w:r>
      <w:r>
        <w:rPr>
          <w:spacing w:val="-12"/>
        </w:rPr>
        <w:t xml:space="preserve"> </w:t>
      </w:r>
      <w:r>
        <w:t>community</w:t>
      </w:r>
      <w:r>
        <w:rPr>
          <w:spacing w:val="-13"/>
        </w:rPr>
        <w:t xml:space="preserve"> </w:t>
      </w:r>
      <w:r>
        <w:t>and</w:t>
      </w:r>
      <w:r>
        <w:rPr>
          <w:spacing w:val="-12"/>
        </w:rPr>
        <w:t xml:space="preserve"> </w:t>
      </w:r>
      <w:r>
        <w:t>its</w:t>
      </w:r>
      <w:r>
        <w:rPr>
          <w:spacing w:val="-13"/>
        </w:rPr>
        <w:t xml:space="preserve"> </w:t>
      </w:r>
      <w:r>
        <w:t>growth through the synergies of a combined urban and rural water business.</w:t>
      </w:r>
    </w:p>
    <w:p w14:paraId="6DA094B2" w14:textId="77777777" w:rsidR="00141B97" w:rsidRDefault="00141B97">
      <w:pPr>
        <w:pStyle w:val="BodyText"/>
        <w:spacing w:before="8"/>
        <w:rPr>
          <w:sz w:val="20"/>
        </w:rPr>
      </w:pPr>
    </w:p>
    <w:p w14:paraId="447560E8" w14:textId="77777777" w:rsidR="00141B97" w:rsidRDefault="00911D63">
      <w:pPr>
        <w:pStyle w:val="BodyText"/>
        <w:ind w:left="114"/>
        <w:jc w:val="both"/>
      </w:pPr>
      <w:r>
        <w:t>Services,</w:t>
      </w:r>
      <w:r>
        <w:rPr>
          <w:spacing w:val="-9"/>
        </w:rPr>
        <w:t xml:space="preserve"> </w:t>
      </w:r>
      <w:r>
        <w:t>Customers</w:t>
      </w:r>
      <w:r>
        <w:rPr>
          <w:spacing w:val="-7"/>
        </w:rPr>
        <w:t xml:space="preserve"> </w:t>
      </w:r>
      <w:r>
        <w:t>and</w:t>
      </w:r>
      <w:r>
        <w:rPr>
          <w:spacing w:val="-8"/>
        </w:rPr>
        <w:t xml:space="preserve"> </w:t>
      </w:r>
      <w:r>
        <w:rPr>
          <w:spacing w:val="-2"/>
        </w:rPr>
        <w:t>Assets</w:t>
      </w:r>
    </w:p>
    <w:p w14:paraId="66138204" w14:textId="77777777" w:rsidR="00141B97" w:rsidRDefault="00911D63">
      <w:pPr>
        <w:pStyle w:val="BodyText"/>
        <w:spacing w:before="59" w:line="276" w:lineRule="auto"/>
        <w:ind w:left="113" w:right="109"/>
        <w:jc w:val="both"/>
      </w:pPr>
      <w:r>
        <w:t>LMW operates across the municipalities of Mildura, Swan Hill and Gannawarra in North‐Western Victoria and delivers urban water supply, wastewater, and irrigation/drainage services along the Murray River in Victoria, from Kerang to the South Australian border.</w:t>
      </w:r>
    </w:p>
    <w:p w14:paraId="156FB636" w14:textId="77777777" w:rsidR="00141B97" w:rsidRDefault="00141B97">
      <w:pPr>
        <w:pStyle w:val="BodyText"/>
        <w:rPr>
          <w:sz w:val="20"/>
        </w:rPr>
      </w:pPr>
    </w:p>
    <w:p w14:paraId="79ADF886" w14:textId="77777777" w:rsidR="00141B97" w:rsidRDefault="00141B97">
      <w:pPr>
        <w:pStyle w:val="BodyText"/>
        <w:rPr>
          <w:sz w:val="20"/>
        </w:rPr>
      </w:pPr>
    </w:p>
    <w:p w14:paraId="222434C0" w14:textId="77777777" w:rsidR="00141B97" w:rsidRDefault="00141B97">
      <w:pPr>
        <w:pStyle w:val="BodyText"/>
        <w:rPr>
          <w:sz w:val="20"/>
        </w:rPr>
      </w:pPr>
    </w:p>
    <w:p w14:paraId="62087E31" w14:textId="77777777" w:rsidR="00141B97" w:rsidRDefault="00141B97">
      <w:pPr>
        <w:pStyle w:val="BodyText"/>
        <w:rPr>
          <w:sz w:val="20"/>
        </w:rPr>
      </w:pPr>
    </w:p>
    <w:p w14:paraId="7ADE12D6" w14:textId="77777777" w:rsidR="00141B97" w:rsidRDefault="00141B97">
      <w:pPr>
        <w:pStyle w:val="BodyText"/>
        <w:rPr>
          <w:sz w:val="20"/>
        </w:rPr>
      </w:pPr>
    </w:p>
    <w:p w14:paraId="3485914E" w14:textId="77777777" w:rsidR="00141B97" w:rsidRDefault="00141B97">
      <w:pPr>
        <w:pStyle w:val="BodyText"/>
        <w:rPr>
          <w:sz w:val="20"/>
        </w:rPr>
      </w:pPr>
    </w:p>
    <w:p w14:paraId="03243707" w14:textId="77777777" w:rsidR="00141B97" w:rsidRDefault="00141B97">
      <w:pPr>
        <w:pStyle w:val="BodyText"/>
        <w:rPr>
          <w:sz w:val="20"/>
        </w:rPr>
      </w:pPr>
    </w:p>
    <w:p w14:paraId="1F5FCB48" w14:textId="77777777" w:rsidR="00141B97" w:rsidRDefault="00141B97">
      <w:pPr>
        <w:pStyle w:val="BodyText"/>
        <w:rPr>
          <w:sz w:val="20"/>
        </w:rPr>
      </w:pPr>
    </w:p>
    <w:p w14:paraId="3906446D" w14:textId="77777777" w:rsidR="00141B97" w:rsidRDefault="00141B97">
      <w:pPr>
        <w:pStyle w:val="BodyText"/>
        <w:rPr>
          <w:sz w:val="20"/>
        </w:rPr>
      </w:pPr>
    </w:p>
    <w:p w14:paraId="407BEE14" w14:textId="77777777" w:rsidR="00141B97" w:rsidRDefault="00141B97">
      <w:pPr>
        <w:pStyle w:val="BodyText"/>
        <w:rPr>
          <w:sz w:val="20"/>
        </w:rPr>
      </w:pPr>
    </w:p>
    <w:p w14:paraId="6D693EFE" w14:textId="77777777" w:rsidR="00141B97" w:rsidRDefault="00141B97">
      <w:pPr>
        <w:pStyle w:val="BodyText"/>
        <w:rPr>
          <w:sz w:val="20"/>
        </w:rPr>
      </w:pPr>
    </w:p>
    <w:p w14:paraId="79A28C48" w14:textId="76507B15" w:rsidR="00141B97" w:rsidRDefault="00911D63">
      <w:pPr>
        <w:pStyle w:val="BodyText"/>
        <w:spacing w:before="3"/>
        <w:rPr>
          <w:sz w:val="29"/>
        </w:rPr>
      </w:pPr>
      <w:r>
        <w:rPr>
          <w:noProof/>
        </w:rPr>
        <mc:AlternateContent>
          <mc:Choice Requires="wps">
            <w:drawing>
              <wp:anchor distT="0" distB="0" distL="0" distR="0" simplePos="0" relativeHeight="487626752" behindDoc="1" locked="0" layoutInCell="1" allowOverlap="1" wp14:anchorId="2D5CA263" wp14:editId="2CACA55C">
                <wp:simplePos x="0" y="0"/>
                <wp:positionH relativeFrom="page">
                  <wp:posOffset>720090</wp:posOffset>
                </wp:positionH>
                <wp:positionV relativeFrom="paragraph">
                  <wp:posOffset>241935</wp:posOffset>
                </wp:positionV>
                <wp:extent cx="1828800" cy="6350"/>
                <wp:effectExtent l="0" t="0" r="0" b="0"/>
                <wp:wrapTopAndBottom/>
                <wp:docPr id="28"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AFB6" id="docshape288" o:spid="_x0000_s1026" style="position:absolute;margin-left:56.7pt;margin-top:19.05pt;width:2in;height:.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" fillcolor="black" stroked="f">
                <w10:wrap type="topAndBottom" anchorx="page"/>
              </v:rect>
            </w:pict>
          </mc:Fallback>
        </mc:AlternateContent>
      </w:r>
    </w:p>
    <w:p w14:paraId="6BECA9A7" w14:textId="77777777" w:rsidR="00141B97" w:rsidRDefault="00911D63">
      <w:pPr>
        <w:spacing w:before="84" w:line="171" w:lineRule="exact"/>
        <w:ind w:left="114"/>
        <w:rPr>
          <w:sz w:val="14"/>
        </w:rPr>
      </w:pPr>
      <w:r>
        <w:rPr>
          <w:position w:val="4"/>
          <w:sz w:val="9"/>
        </w:rPr>
        <w:t>1</w:t>
      </w:r>
      <w:r>
        <w:rPr>
          <w:sz w:val="14"/>
        </w:rPr>
        <w:t>Remplan:</w:t>
      </w:r>
      <w:r>
        <w:rPr>
          <w:spacing w:val="-3"/>
          <w:sz w:val="14"/>
        </w:rPr>
        <w:t xml:space="preserve"> </w:t>
      </w:r>
      <w:r>
        <w:rPr>
          <w:sz w:val="14"/>
        </w:rPr>
        <w:t>Swan</w:t>
      </w:r>
      <w:r>
        <w:rPr>
          <w:spacing w:val="-3"/>
          <w:sz w:val="14"/>
        </w:rPr>
        <w:t xml:space="preserve"> </w:t>
      </w:r>
      <w:r>
        <w:rPr>
          <w:sz w:val="14"/>
        </w:rPr>
        <w:t>Hill</w:t>
      </w:r>
      <w:r>
        <w:rPr>
          <w:spacing w:val="-2"/>
          <w:sz w:val="14"/>
        </w:rPr>
        <w:t xml:space="preserve"> </w:t>
      </w:r>
      <w:r>
        <w:rPr>
          <w:sz w:val="14"/>
        </w:rPr>
        <w:t>‐</w:t>
      </w:r>
      <w:r>
        <w:rPr>
          <w:spacing w:val="-3"/>
          <w:sz w:val="14"/>
        </w:rPr>
        <w:t xml:space="preserve"> </w:t>
      </w:r>
      <w:r>
        <w:rPr>
          <w:color w:val="0562C1"/>
          <w:spacing w:val="-2"/>
          <w:sz w:val="14"/>
          <w:u w:val="single" w:color="0562C1"/>
        </w:rPr>
        <w:t>https://app.remplan.com.au/swanhill/economy/summary?state=1VvQS7Z2EF4Qx0qF49LmwmFeIXIJ3p</w:t>
      </w:r>
    </w:p>
    <w:p w14:paraId="7135637A" w14:textId="77777777" w:rsidR="00141B97" w:rsidRDefault="00911D63">
      <w:pPr>
        <w:ind w:left="114" w:right="70"/>
        <w:rPr>
          <w:sz w:val="14"/>
        </w:rPr>
      </w:pPr>
      <w:r>
        <w:rPr>
          <w:sz w:val="14"/>
        </w:rPr>
        <w:t>Mildura</w:t>
      </w:r>
      <w:r>
        <w:rPr>
          <w:spacing w:val="-8"/>
          <w:sz w:val="14"/>
        </w:rPr>
        <w:t xml:space="preserve"> </w:t>
      </w:r>
      <w:r>
        <w:rPr>
          <w:sz w:val="14"/>
        </w:rPr>
        <w:t>‐</w:t>
      </w:r>
      <w:r>
        <w:rPr>
          <w:spacing w:val="-8"/>
          <w:sz w:val="14"/>
        </w:rPr>
        <w:t xml:space="preserve"> </w:t>
      </w:r>
      <w:r>
        <w:rPr>
          <w:color w:val="0562C1"/>
          <w:sz w:val="14"/>
          <w:u w:val="single" w:color="0562C1"/>
        </w:rPr>
        <w:t>https://app.remplan.com.au/milduraregion/economy/industries/gross‐regional‐product?state=GAbNi6!ng7Nf97LZuP5aPYh54ZY1HbizSx4gHRS7SBHrSVEg</w:t>
      </w:r>
      <w:r>
        <w:rPr>
          <w:color w:val="0562C1"/>
          <w:spacing w:val="40"/>
          <w:sz w:val="14"/>
        </w:rPr>
        <w:t xml:space="preserve"> </w:t>
      </w:r>
      <w:r>
        <w:rPr>
          <w:sz w:val="14"/>
        </w:rPr>
        <w:t xml:space="preserve">Gannawarra ‐ </w:t>
      </w:r>
      <w:r>
        <w:rPr>
          <w:color w:val="0562C1"/>
          <w:sz w:val="14"/>
          <w:u w:val="single" w:color="0562C1"/>
        </w:rPr>
        <w:t>https://economy.id.com.au/gannawarra</w:t>
      </w:r>
    </w:p>
    <w:p w14:paraId="28362A3F" w14:textId="77777777" w:rsidR="00141B97" w:rsidRDefault="00141B97">
      <w:pPr>
        <w:rPr>
          <w:sz w:val="14"/>
        </w:rPr>
        <w:sectPr w:rsidR="00141B97">
          <w:footerReference w:type="default" r:id="rId102"/>
          <w:pgSz w:w="11910" w:h="16840"/>
          <w:pgMar w:top="860" w:right="880" w:bottom="540" w:left="1020" w:header="0" w:footer="348" w:gutter="0"/>
          <w:pgNumType w:start="130"/>
          <w:cols w:space="720"/>
        </w:sectPr>
      </w:pPr>
    </w:p>
    <w:p w14:paraId="40FF6E28" w14:textId="77777777" w:rsidR="00141B97" w:rsidRDefault="00911D63">
      <w:pPr>
        <w:pStyle w:val="BodyText"/>
        <w:ind w:left="268"/>
        <w:rPr>
          <w:sz w:val="20"/>
        </w:rPr>
      </w:pPr>
      <w:r>
        <w:rPr>
          <w:noProof/>
          <w:sz w:val="20"/>
        </w:rPr>
        <w:lastRenderedPageBreak/>
        <w:drawing>
          <wp:inline distT="0" distB="0" distL="0" distR="0" wp14:anchorId="55CE8D2D" wp14:editId="700ACFAF">
            <wp:extent cx="4135238" cy="2981705"/>
            <wp:effectExtent l="0" t="0" r="0" b="0"/>
            <wp:docPr id="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jpeg"/>
                    <pic:cNvPicPr/>
                  </pic:nvPicPr>
                  <pic:blipFill>
                    <a:blip r:embed="rId103" cstate="email">
                      <a:extLst>
                        <a:ext uri="{28A0092B-C50C-407E-A947-70E740481C1C}">
                          <a14:useLocalDpi xmlns:a14="http://schemas.microsoft.com/office/drawing/2010/main"/>
                        </a:ext>
                      </a:extLst>
                    </a:blip>
                    <a:stretch>
                      <a:fillRect/>
                    </a:stretch>
                  </pic:blipFill>
                  <pic:spPr>
                    <a:xfrm>
                      <a:off x="0" y="0"/>
                      <a:ext cx="4135238" cy="2981705"/>
                    </a:xfrm>
                    <a:prstGeom prst="rect">
                      <a:avLst/>
                    </a:prstGeom>
                  </pic:spPr>
                </pic:pic>
              </a:graphicData>
            </a:graphic>
          </wp:inline>
        </w:drawing>
      </w:r>
    </w:p>
    <w:p w14:paraId="2231C202" w14:textId="77777777" w:rsidR="00141B97" w:rsidRDefault="00911D63">
      <w:pPr>
        <w:spacing w:before="95"/>
        <w:ind w:left="114"/>
        <w:jc w:val="both"/>
        <w:rPr>
          <w:sz w:val="16"/>
        </w:rPr>
      </w:pPr>
      <w:r>
        <w:rPr>
          <w:sz w:val="16"/>
        </w:rPr>
        <w:t>Figure</w:t>
      </w:r>
      <w:r>
        <w:rPr>
          <w:spacing w:val="-6"/>
          <w:sz w:val="16"/>
        </w:rPr>
        <w:t xml:space="preserve"> </w:t>
      </w:r>
      <w:r>
        <w:rPr>
          <w:sz w:val="16"/>
        </w:rPr>
        <w:t>A1.1:</w:t>
      </w:r>
      <w:r>
        <w:rPr>
          <w:spacing w:val="-6"/>
          <w:sz w:val="16"/>
        </w:rPr>
        <w:t xml:space="preserve"> </w:t>
      </w:r>
      <w:r>
        <w:rPr>
          <w:sz w:val="16"/>
        </w:rPr>
        <w:t>LMW</w:t>
      </w:r>
      <w:r>
        <w:rPr>
          <w:spacing w:val="-6"/>
          <w:sz w:val="16"/>
        </w:rPr>
        <w:t xml:space="preserve"> </w:t>
      </w:r>
      <w:r>
        <w:rPr>
          <w:sz w:val="16"/>
        </w:rPr>
        <w:t>Operating</w:t>
      </w:r>
      <w:r>
        <w:rPr>
          <w:spacing w:val="-6"/>
          <w:sz w:val="16"/>
        </w:rPr>
        <w:t xml:space="preserve"> </w:t>
      </w:r>
      <w:r>
        <w:rPr>
          <w:spacing w:val="-4"/>
          <w:sz w:val="16"/>
        </w:rPr>
        <w:t>Area</w:t>
      </w:r>
    </w:p>
    <w:p w14:paraId="69EC9985" w14:textId="77777777" w:rsidR="00141B97" w:rsidRDefault="00141B97">
      <w:pPr>
        <w:pStyle w:val="BodyText"/>
        <w:rPr>
          <w:sz w:val="16"/>
        </w:rPr>
      </w:pPr>
    </w:p>
    <w:p w14:paraId="34CA7881" w14:textId="77777777" w:rsidR="00141B97" w:rsidRDefault="00911D63">
      <w:pPr>
        <w:pStyle w:val="BodyText"/>
        <w:spacing w:before="143"/>
        <w:ind w:left="114"/>
        <w:jc w:val="both"/>
      </w:pPr>
      <w:r>
        <w:t>LMW</w:t>
      </w:r>
      <w:r>
        <w:rPr>
          <w:spacing w:val="-8"/>
        </w:rPr>
        <w:t xml:space="preserve"> </w:t>
      </w:r>
      <w:r>
        <w:t>provides</w:t>
      </w:r>
      <w:r>
        <w:rPr>
          <w:spacing w:val="-7"/>
        </w:rPr>
        <w:t xml:space="preserve"> </w:t>
      </w:r>
      <w:r>
        <w:t>the</w:t>
      </w:r>
      <w:r>
        <w:rPr>
          <w:spacing w:val="-7"/>
        </w:rPr>
        <w:t xml:space="preserve"> </w:t>
      </w:r>
      <w:r>
        <w:t>following</w:t>
      </w:r>
      <w:r>
        <w:rPr>
          <w:spacing w:val="-7"/>
        </w:rPr>
        <w:t xml:space="preserve"> </w:t>
      </w:r>
      <w:r>
        <w:t>services</w:t>
      </w:r>
      <w:r>
        <w:rPr>
          <w:spacing w:val="-8"/>
        </w:rPr>
        <w:t xml:space="preserve"> </w:t>
      </w:r>
      <w:r>
        <w:t>across</w:t>
      </w:r>
      <w:r>
        <w:rPr>
          <w:spacing w:val="-7"/>
        </w:rPr>
        <w:t xml:space="preserve"> </w:t>
      </w:r>
      <w:r>
        <w:t>its</w:t>
      </w:r>
      <w:r>
        <w:rPr>
          <w:spacing w:val="-8"/>
        </w:rPr>
        <w:t xml:space="preserve"> </w:t>
      </w:r>
      <w:r>
        <w:rPr>
          <w:spacing w:val="-2"/>
        </w:rPr>
        <w:t>reach:</w:t>
      </w:r>
    </w:p>
    <w:p w14:paraId="567DCA00" w14:textId="77777777" w:rsidR="00141B97" w:rsidRDefault="00911D63">
      <w:pPr>
        <w:pStyle w:val="ListParagraph"/>
        <w:numPr>
          <w:ilvl w:val="0"/>
          <w:numId w:val="2"/>
        </w:numPr>
        <w:tabs>
          <w:tab w:val="left" w:pos="823"/>
          <w:tab w:val="left" w:pos="824"/>
        </w:tabs>
        <w:spacing w:before="41"/>
        <w:ind w:hanging="426"/>
      </w:pPr>
      <w:r>
        <w:t>Treated</w:t>
      </w:r>
      <w:r>
        <w:rPr>
          <w:spacing w:val="-8"/>
        </w:rPr>
        <w:t xml:space="preserve"> </w:t>
      </w:r>
      <w:r>
        <w:t>drinking</w:t>
      </w:r>
      <w:r>
        <w:rPr>
          <w:spacing w:val="-7"/>
        </w:rPr>
        <w:t xml:space="preserve"> </w:t>
      </w:r>
      <w:r>
        <w:t>water</w:t>
      </w:r>
      <w:r>
        <w:rPr>
          <w:spacing w:val="-6"/>
        </w:rPr>
        <w:t xml:space="preserve"> </w:t>
      </w:r>
      <w:r>
        <w:t>to</w:t>
      </w:r>
      <w:r>
        <w:rPr>
          <w:spacing w:val="-8"/>
        </w:rPr>
        <w:t xml:space="preserve"> </w:t>
      </w:r>
      <w:r>
        <w:t>14</w:t>
      </w:r>
      <w:r>
        <w:rPr>
          <w:spacing w:val="-6"/>
        </w:rPr>
        <w:t xml:space="preserve"> </w:t>
      </w:r>
      <w:r>
        <w:t>cities</w:t>
      </w:r>
      <w:r>
        <w:rPr>
          <w:spacing w:val="-5"/>
        </w:rPr>
        <w:t xml:space="preserve"> </w:t>
      </w:r>
      <w:r>
        <w:t>and</w:t>
      </w:r>
      <w:r>
        <w:rPr>
          <w:spacing w:val="-6"/>
        </w:rPr>
        <w:t xml:space="preserve"> </w:t>
      </w:r>
      <w:r>
        <w:rPr>
          <w:spacing w:val="-4"/>
        </w:rPr>
        <w:t>towns</w:t>
      </w:r>
    </w:p>
    <w:p w14:paraId="32BB3360" w14:textId="77777777" w:rsidR="00141B97" w:rsidRDefault="00911D63">
      <w:pPr>
        <w:pStyle w:val="ListParagraph"/>
        <w:numPr>
          <w:ilvl w:val="0"/>
          <w:numId w:val="2"/>
        </w:numPr>
        <w:tabs>
          <w:tab w:val="left" w:pos="822"/>
          <w:tab w:val="left" w:pos="824"/>
        </w:tabs>
        <w:spacing w:before="100"/>
        <w:ind w:hanging="426"/>
      </w:pPr>
      <w:r>
        <w:t>Sewage</w:t>
      </w:r>
      <w:r>
        <w:rPr>
          <w:spacing w:val="-9"/>
        </w:rPr>
        <w:t xml:space="preserve"> </w:t>
      </w:r>
      <w:r>
        <w:t>collection,</w:t>
      </w:r>
      <w:r>
        <w:rPr>
          <w:spacing w:val="-8"/>
        </w:rPr>
        <w:t xml:space="preserve"> </w:t>
      </w:r>
      <w:r>
        <w:t>wastewater</w:t>
      </w:r>
      <w:r>
        <w:rPr>
          <w:spacing w:val="-7"/>
        </w:rPr>
        <w:t xml:space="preserve"> </w:t>
      </w:r>
      <w:r>
        <w:t>treatment</w:t>
      </w:r>
      <w:r>
        <w:rPr>
          <w:spacing w:val="-9"/>
        </w:rPr>
        <w:t xml:space="preserve"> </w:t>
      </w:r>
      <w:r>
        <w:t>and</w:t>
      </w:r>
      <w:r>
        <w:rPr>
          <w:spacing w:val="-8"/>
        </w:rPr>
        <w:t xml:space="preserve"> </w:t>
      </w:r>
      <w:r>
        <w:t>effluent</w:t>
      </w:r>
      <w:r>
        <w:rPr>
          <w:spacing w:val="-8"/>
        </w:rPr>
        <w:t xml:space="preserve"> </w:t>
      </w:r>
      <w:r>
        <w:t>disposal</w:t>
      </w:r>
      <w:r>
        <w:rPr>
          <w:spacing w:val="-9"/>
        </w:rPr>
        <w:t xml:space="preserve"> </w:t>
      </w:r>
      <w:r>
        <w:t>to</w:t>
      </w:r>
      <w:r>
        <w:rPr>
          <w:spacing w:val="-7"/>
        </w:rPr>
        <w:t xml:space="preserve"> </w:t>
      </w:r>
      <w:r>
        <w:t>12</w:t>
      </w:r>
      <w:r>
        <w:rPr>
          <w:spacing w:val="-9"/>
        </w:rPr>
        <w:t xml:space="preserve"> </w:t>
      </w:r>
      <w:r>
        <w:t>cities</w:t>
      </w:r>
      <w:r>
        <w:rPr>
          <w:spacing w:val="-7"/>
        </w:rPr>
        <w:t xml:space="preserve"> </w:t>
      </w:r>
      <w:r>
        <w:t>and</w:t>
      </w:r>
      <w:r>
        <w:rPr>
          <w:spacing w:val="-7"/>
        </w:rPr>
        <w:t xml:space="preserve"> </w:t>
      </w:r>
      <w:r>
        <w:rPr>
          <w:spacing w:val="-2"/>
        </w:rPr>
        <w:t>towns</w:t>
      </w:r>
    </w:p>
    <w:p w14:paraId="52AEA764" w14:textId="77777777" w:rsidR="00141B97" w:rsidRDefault="00911D63">
      <w:pPr>
        <w:pStyle w:val="ListParagraph"/>
        <w:numPr>
          <w:ilvl w:val="0"/>
          <w:numId w:val="2"/>
        </w:numPr>
        <w:tabs>
          <w:tab w:val="left" w:pos="822"/>
          <w:tab w:val="left" w:pos="824"/>
        </w:tabs>
        <w:spacing w:before="99"/>
        <w:ind w:hanging="426"/>
      </w:pPr>
      <w:r>
        <w:t>Irrigation</w:t>
      </w:r>
      <w:r>
        <w:rPr>
          <w:spacing w:val="-8"/>
        </w:rPr>
        <w:t xml:space="preserve"> </w:t>
      </w:r>
      <w:r>
        <w:t>networks</w:t>
      </w:r>
      <w:r>
        <w:rPr>
          <w:spacing w:val="-8"/>
        </w:rPr>
        <w:t xml:space="preserve"> </w:t>
      </w:r>
      <w:r>
        <w:t>to</w:t>
      </w:r>
      <w:r>
        <w:rPr>
          <w:spacing w:val="-10"/>
        </w:rPr>
        <w:t xml:space="preserve"> </w:t>
      </w:r>
      <w:r>
        <w:t>4</w:t>
      </w:r>
      <w:r>
        <w:rPr>
          <w:spacing w:val="-8"/>
        </w:rPr>
        <w:t xml:space="preserve"> </w:t>
      </w:r>
      <w:r>
        <w:t>irrigation</w:t>
      </w:r>
      <w:r>
        <w:rPr>
          <w:spacing w:val="-9"/>
        </w:rPr>
        <w:t xml:space="preserve"> </w:t>
      </w:r>
      <w:r>
        <w:t>districts</w:t>
      </w:r>
      <w:r>
        <w:rPr>
          <w:spacing w:val="-9"/>
        </w:rPr>
        <w:t xml:space="preserve"> </w:t>
      </w:r>
      <w:r>
        <w:t>integrating</w:t>
      </w:r>
      <w:r>
        <w:rPr>
          <w:spacing w:val="-7"/>
        </w:rPr>
        <w:t xml:space="preserve"> </w:t>
      </w:r>
      <w:r>
        <w:t>2</w:t>
      </w:r>
      <w:r>
        <w:rPr>
          <w:spacing w:val="-8"/>
        </w:rPr>
        <w:t xml:space="preserve"> </w:t>
      </w:r>
      <w:r>
        <w:t>high</w:t>
      </w:r>
      <w:r>
        <w:rPr>
          <w:spacing w:val="-9"/>
        </w:rPr>
        <w:t xml:space="preserve"> </w:t>
      </w:r>
      <w:r>
        <w:t>pressure</w:t>
      </w:r>
      <w:r>
        <w:rPr>
          <w:spacing w:val="-9"/>
        </w:rPr>
        <w:t xml:space="preserve"> </w:t>
      </w:r>
      <w:r>
        <w:rPr>
          <w:spacing w:val="-2"/>
        </w:rPr>
        <w:t>areas</w:t>
      </w:r>
    </w:p>
    <w:p w14:paraId="1158860A" w14:textId="77777777" w:rsidR="00141B97" w:rsidRDefault="00911D63">
      <w:pPr>
        <w:pStyle w:val="ListParagraph"/>
        <w:numPr>
          <w:ilvl w:val="0"/>
          <w:numId w:val="2"/>
        </w:numPr>
        <w:tabs>
          <w:tab w:val="left" w:pos="822"/>
          <w:tab w:val="left" w:pos="823"/>
        </w:tabs>
        <w:spacing w:before="101"/>
        <w:ind w:right="631"/>
      </w:pPr>
      <w:r>
        <w:t>Surface</w:t>
      </w:r>
      <w:r>
        <w:rPr>
          <w:spacing w:val="-3"/>
        </w:rPr>
        <w:t xml:space="preserve"> </w:t>
      </w:r>
      <w:r>
        <w:t>water</w:t>
      </w:r>
      <w:r>
        <w:rPr>
          <w:spacing w:val="-2"/>
        </w:rPr>
        <w:t xml:space="preserve"> </w:t>
      </w:r>
      <w:r>
        <w:t>diversion</w:t>
      </w:r>
      <w:r>
        <w:rPr>
          <w:spacing w:val="-3"/>
        </w:rPr>
        <w:t xml:space="preserve"> </w:t>
      </w:r>
      <w:r>
        <w:t>licencing</w:t>
      </w:r>
      <w:r>
        <w:rPr>
          <w:spacing w:val="-2"/>
        </w:rPr>
        <w:t xml:space="preserve"> </w:t>
      </w:r>
      <w:r>
        <w:t>along</w:t>
      </w:r>
      <w:r>
        <w:rPr>
          <w:spacing w:val="-3"/>
        </w:rPr>
        <w:t xml:space="preserve"> </w:t>
      </w:r>
      <w:r>
        <w:t>the</w:t>
      </w:r>
      <w:r>
        <w:rPr>
          <w:spacing w:val="-4"/>
        </w:rPr>
        <w:t xml:space="preserve"> </w:t>
      </w:r>
      <w:r>
        <w:t>Murray</w:t>
      </w:r>
      <w:r>
        <w:rPr>
          <w:spacing w:val="-2"/>
        </w:rPr>
        <w:t xml:space="preserve"> </w:t>
      </w:r>
      <w:r>
        <w:t>River</w:t>
      </w:r>
      <w:r>
        <w:rPr>
          <w:spacing w:val="-3"/>
        </w:rPr>
        <w:t xml:space="preserve"> </w:t>
      </w:r>
      <w:r>
        <w:t>between</w:t>
      </w:r>
      <w:r>
        <w:rPr>
          <w:spacing w:val="-2"/>
        </w:rPr>
        <w:t xml:space="preserve"> </w:t>
      </w:r>
      <w:r>
        <w:t>Nyah</w:t>
      </w:r>
      <w:r>
        <w:rPr>
          <w:spacing w:val="-3"/>
        </w:rPr>
        <w:t xml:space="preserve"> </w:t>
      </w:r>
      <w:r>
        <w:t>and</w:t>
      </w:r>
      <w:r>
        <w:rPr>
          <w:spacing w:val="-3"/>
        </w:rPr>
        <w:t xml:space="preserve"> </w:t>
      </w:r>
      <w:r>
        <w:t>the</w:t>
      </w:r>
      <w:r>
        <w:rPr>
          <w:spacing w:val="-3"/>
        </w:rPr>
        <w:t xml:space="preserve"> </w:t>
      </w:r>
      <w:r>
        <w:t>South</w:t>
      </w:r>
      <w:r>
        <w:rPr>
          <w:spacing w:val="-2"/>
        </w:rPr>
        <w:t xml:space="preserve"> </w:t>
      </w:r>
      <w:r>
        <w:t xml:space="preserve">Australian </w:t>
      </w:r>
      <w:r>
        <w:rPr>
          <w:spacing w:val="-2"/>
        </w:rPr>
        <w:t>Border</w:t>
      </w:r>
    </w:p>
    <w:p w14:paraId="0C1AF7E4" w14:textId="77777777" w:rsidR="00141B97" w:rsidRDefault="00911D63">
      <w:pPr>
        <w:pStyle w:val="ListParagraph"/>
        <w:numPr>
          <w:ilvl w:val="0"/>
          <w:numId w:val="2"/>
        </w:numPr>
        <w:tabs>
          <w:tab w:val="left" w:pos="823"/>
          <w:tab w:val="left" w:pos="824"/>
        </w:tabs>
        <w:spacing w:before="100"/>
        <w:ind w:hanging="426"/>
      </w:pPr>
      <w:r>
        <w:t>Subsurface</w:t>
      </w:r>
      <w:r>
        <w:rPr>
          <w:spacing w:val="-9"/>
        </w:rPr>
        <w:t xml:space="preserve"> </w:t>
      </w:r>
      <w:r>
        <w:t>irrigation</w:t>
      </w:r>
      <w:r>
        <w:rPr>
          <w:spacing w:val="-8"/>
        </w:rPr>
        <w:t xml:space="preserve"> </w:t>
      </w:r>
      <w:r>
        <w:t>drainage</w:t>
      </w:r>
      <w:r>
        <w:rPr>
          <w:spacing w:val="-9"/>
        </w:rPr>
        <w:t xml:space="preserve"> </w:t>
      </w:r>
      <w:r>
        <w:t>to</w:t>
      </w:r>
      <w:r>
        <w:rPr>
          <w:spacing w:val="-7"/>
        </w:rPr>
        <w:t xml:space="preserve"> </w:t>
      </w:r>
      <w:r>
        <w:t>the</w:t>
      </w:r>
      <w:r>
        <w:rPr>
          <w:spacing w:val="-8"/>
        </w:rPr>
        <w:t xml:space="preserve"> </w:t>
      </w:r>
      <w:r>
        <w:t>irrigation</w:t>
      </w:r>
      <w:r>
        <w:rPr>
          <w:spacing w:val="-7"/>
        </w:rPr>
        <w:t xml:space="preserve"> </w:t>
      </w:r>
      <w:r>
        <w:t>districts</w:t>
      </w:r>
      <w:r>
        <w:rPr>
          <w:spacing w:val="-7"/>
        </w:rPr>
        <w:t xml:space="preserve"> </w:t>
      </w:r>
      <w:r>
        <w:t>and</w:t>
      </w:r>
      <w:r>
        <w:rPr>
          <w:spacing w:val="-8"/>
        </w:rPr>
        <w:t xml:space="preserve"> </w:t>
      </w:r>
      <w:r>
        <w:t>some</w:t>
      </w:r>
      <w:r>
        <w:rPr>
          <w:spacing w:val="-9"/>
        </w:rPr>
        <w:t xml:space="preserve"> </w:t>
      </w:r>
      <w:r>
        <w:t>diverter</w:t>
      </w:r>
      <w:r>
        <w:rPr>
          <w:spacing w:val="-7"/>
        </w:rPr>
        <w:t xml:space="preserve"> </w:t>
      </w:r>
      <w:r>
        <w:rPr>
          <w:spacing w:val="-2"/>
        </w:rPr>
        <w:t>areas</w:t>
      </w:r>
    </w:p>
    <w:p w14:paraId="01A49988" w14:textId="77777777" w:rsidR="00141B97" w:rsidRDefault="00911D63">
      <w:pPr>
        <w:pStyle w:val="ListParagraph"/>
        <w:numPr>
          <w:ilvl w:val="0"/>
          <w:numId w:val="2"/>
        </w:numPr>
        <w:tabs>
          <w:tab w:val="left" w:pos="823"/>
          <w:tab w:val="left" w:pos="824"/>
        </w:tabs>
        <w:spacing w:before="100"/>
        <w:ind w:hanging="426"/>
      </w:pPr>
      <w:r>
        <w:t>Stock</w:t>
      </w:r>
      <w:r>
        <w:rPr>
          <w:spacing w:val="-7"/>
        </w:rPr>
        <w:t xml:space="preserve"> </w:t>
      </w:r>
      <w:r>
        <w:t>and</w:t>
      </w:r>
      <w:r>
        <w:rPr>
          <w:spacing w:val="-6"/>
        </w:rPr>
        <w:t xml:space="preserve"> </w:t>
      </w:r>
      <w:r>
        <w:t>domestic</w:t>
      </w:r>
      <w:r>
        <w:rPr>
          <w:spacing w:val="-5"/>
        </w:rPr>
        <w:t xml:space="preserve"> </w:t>
      </w:r>
      <w:r>
        <w:t>‘river</w:t>
      </w:r>
      <w:r>
        <w:rPr>
          <w:spacing w:val="-7"/>
        </w:rPr>
        <w:t xml:space="preserve"> </w:t>
      </w:r>
      <w:r>
        <w:t>quality’</w:t>
      </w:r>
      <w:r>
        <w:rPr>
          <w:spacing w:val="-7"/>
        </w:rPr>
        <w:t xml:space="preserve"> </w:t>
      </w:r>
      <w:r>
        <w:t>water</w:t>
      </w:r>
      <w:r>
        <w:rPr>
          <w:spacing w:val="-6"/>
        </w:rPr>
        <w:t xml:space="preserve"> </w:t>
      </w:r>
      <w:r>
        <w:t>services</w:t>
      </w:r>
      <w:r>
        <w:rPr>
          <w:spacing w:val="-6"/>
        </w:rPr>
        <w:t xml:space="preserve"> </w:t>
      </w:r>
      <w:r>
        <w:t>to</w:t>
      </w:r>
      <w:r>
        <w:rPr>
          <w:spacing w:val="-6"/>
        </w:rPr>
        <w:t xml:space="preserve"> </w:t>
      </w:r>
      <w:r>
        <w:t>rural</w:t>
      </w:r>
      <w:r>
        <w:rPr>
          <w:spacing w:val="-6"/>
        </w:rPr>
        <w:t xml:space="preserve"> </w:t>
      </w:r>
      <w:r>
        <w:t>areas</w:t>
      </w:r>
      <w:r>
        <w:rPr>
          <w:spacing w:val="-6"/>
        </w:rPr>
        <w:t xml:space="preserve"> </w:t>
      </w:r>
      <w:r>
        <w:t>and</w:t>
      </w:r>
      <w:r>
        <w:rPr>
          <w:spacing w:val="-6"/>
        </w:rPr>
        <w:t xml:space="preserve"> </w:t>
      </w:r>
      <w:r>
        <w:t>small</w:t>
      </w:r>
      <w:r>
        <w:rPr>
          <w:spacing w:val="-7"/>
        </w:rPr>
        <w:t xml:space="preserve"> </w:t>
      </w:r>
      <w:r>
        <w:rPr>
          <w:spacing w:val="-2"/>
        </w:rPr>
        <w:t>towns</w:t>
      </w:r>
    </w:p>
    <w:p w14:paraId="22A2B69F" w14:textId="77777777" w:rsidR="00141B97" w:rsidRDefault="00911D63">
      <w:pPr>
        <w:pStyle w:val="BodyText"/>
        <w:spacing w:before="251"/>
        <w:ind w:left="113"/>
        <w:jc w:val="both"/>
      </w:pPr>
      <w:r>
        <w:t>Urban</w:t>
      </w:r>
      <w:r>
        <w:rPr>
          <w:spacing w:val="-7"/>
        </w:rPr>
        <w:t xml:space="preserve"> </w:t>
      </w:r>
      <w:r>
        <w:t>Business</w:t>
      </w:r>
      <w:r>
        <w:rPr>
          <w:spacing w:val="-7"/>
        </w:rPr>
        <w:t xml:space="preserve"> </w:t>
      </w:r>
      <w:r>
        <w:rPr>
          <w:spacing w:val="-4"/>
        </w:rPr>
        <w:t>Unit</w:t>
      </w:r>
    </w:p>
    <w:p w14:paraId="5744BECA" w14:textId="77777777" w:rsidR="00141B97" w:rsidRDefault="00911D63">
      <w:pPr>
        <w:pStyle w:val="BodyText"/>
        <w:spacing w:before="60" w:line="276" w:lineRule="auto"/>
        <w:ind w:left="113" w:right="108" w:hanging="1"/>
        <w:jc w:val="both"/>
      </w:pPr>
      <w:r>
        <w:t>LMW pumps and treats raw water from the Murray and Loddon Rivers and from Goulburn‐Murray Water irrigation channels and supplies almost 37,000 customers from both residential and commercial/industrial sectors with potable drinking water. LMW collects and treats wastewater more than 30,000 connections from residential and commercial/industrial customers. The table below summarises customer and asset data for urban water and sewerage:</w:t>
      </w:r>
    </w:p>
    <w:p w14:paraId="0358263D" w14:textId="77777777" w:rsidR="00141B97" w:rsidRDefault="00141B97">
      <w:pPr>
        <w:pStyle w:val="BodyText"/>
        <w:spacing w:before="10"/>
        <w:rPr>
          <w:sz w:val="26"/>
        </w:rPr>
      </w:pP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6193"/>
        <w:gridCol w:w="1746"/>
        <w:gridCol w:w="1745"/>
      </w:tblGrid>
      <w:tr w:rsidR="00141B97" w14:paraId="090624D2" w14:textId="77777777">
        <w:trPr>
          <w:trHeight w:val="309"/>
          <w:tblCellSpacing w:w="9" w:type="dxa"/>
        </w:trPr>
        <w:tc>
          <w:tcPr>
            <w:tcW w:w="6166" w:type="dxa"/>
            <w:tcBorders>
              <w:top w:val="nil"/>
              <w:left w:val="nil"/>
            </w:tcBorders>
            <w:shd w:val="clear" w:color="auto" w:fill="006CA3"/>
          </w:tcPr>
          <w:p w14:paraId="67BF9BAB" w14:textId="77777777" w:rsidR="00141B97" w:rsidRDefault="00911D63">
            <w:pPr>
              <w:pStyle w:val="TableParagraph"/>
              <w:spacing w:before="1"/>
              <w:ind w:left="88"/>
            </w:pPr>
            <w:r>
              <w:rPr>
                <w:color w:val="FFFFFF"/>
              </w:rPr>
              <w:t>Urban</w:t>
            </w:r>
            <w:r>
              <w:rPr>
                <w:color w:val="FFFFFF"/>
                <w:spacing w:val="-8"/>
              </w:rPr>
              <w:t xml:space="preserve"> </w:t>
            </w:r>
            <w:r>
              <w:rPr>
                <w:color w:val="FFFFFF"/>
              </w:rPr>
              <w:t>customers</w:t>
            </w:r>
            <w:r>
              <w:rPr>
                <w:color w:val="FFFFFF"/>
                <w:spacing w:val="-7"/>
              </w:rPr>
              <w:t xml:space="preserve"> </w:t>
            </w:r>
            <w:r>
              <w:rPr>
                <w:color w:val="FFFFFF"/>
              </w:rPr>
              <w:t>and</w:t>
            </w:r>
            <w:r>
              <w:rPr>
                <w:color w:val="FFFFFF"/>
                <w:spacing w:val="-8"/>
              </w:rPr>
              <w:t xml:space="preserve"> </w:t>
            </w:r>
            <w:r>
              <w:rPr>
                <w:color w:val="FFFFFF"/>
                <w:spacing w:val="-2"/>
              </w:rPr>
              <w:t>volumes</w:t>
            </w:r>
          </w:p>
        </w:tc>
        <w:tc>
          <w:tcPr>
            <w:tcW w:w="1728" w:type="dxa"/>
            <w:tcBorders>
              <w:top w:val="nil"/>
            </w:tcBorders>
            <w:shd w:val="clear" w:color="auto" w:fill="006CA3"/>
          </w:tcPr>
          <w:p w14:paraId="3CC3E116" w14:textId="77777777" w:rsidR="00141B97" w:rsidRDefault="00911D63">
            <w:pPr>
              <w:pStyle w:val="TableParagraph"/>
              <w:spacing w:before="1"/>
              <w:ind w:left="264"/>
            </w:pPr>
            <w:r>
              <w:rPr>
                <w:color w:val="FFFFFF"/>
              </w:rPr>
              <w:t>Water</w:t>
            </w:r>
            <w:r>
              <w:rPr>
                <w:color w:val="FFFFFF"/>
                <w:spacing w:val="-9"/>
              </w:rPr>
              <w:t xml:space="preserve"> </w:t>
            </w:r>
            <w:r>
              <w:rPr>
                <w:color w:val="FFFFFF"/>
                <w:spacing w:val="-2"/>
              </w:rPr>
              <w:t>supply</w:t>
            </w:r>
          </w:p>
        </w:tc>
        <w:tc>
          <w:tcPr>
            <w:tcW w:w="1718" w:type="dxa"/>
            <w:tcBorders>
              <w:top w:val="nil"/>
              <w:right w:val="nil"/>
            </w:tcBorders>
            <w:shd w:val="clear" w:color="auto" w:fill="006CA3"/>
          </w:tcPr>
          <w:p w14:paraId="419EED65" w14:textId="77777777" w:rsidR="00141B97" w:rsidRDefault="00911D63">
            <w:pPr>
              <w:pStyle w:val="TableParagraph"/>
              <w:spacing w:before="1"/>
              <w:ind w:left="422"/>
            </w:pPr>
            <w:r>
              <w:rPr>
                <w:color w:val="FFFFFF"/>
                <w:spacing w:val="-2"/>
              </w:rPr>
              <w:t>Sewerage</w:t>
            </w:r>
          </w:p>
        </w:tc>
      </w:tr>
      <w:tr w:rsidR="00141B97" w14:paraId="6E213A01" w14:textId="77777777">
        <w:trPr>
          <w:trHeight w:val="308"/>
          <w:tblCellSpacing w:w="9" w:type="dxa"/>
        </w:trPr>
        <w:tc>
          <w:tcPr>
            <w:tcW w:w="6166" w:type="dxa"/>
            <w:tcBorders>
              <w:left w:val="nil"/>
            </w:tcBorders>
            <w:shd w:val="clear" w:color="auto" w:fill="CCE2ED"/>
          </w:tcPr>
          <w:p w14:paraId="4BBF39B2" w14:textId="77777777" w:rsidR="00141B97" w:rsidRDefault="00911D63">
            <w:pPr>
              <w:pStyle w:val="TableParagraph"/>
              <w:spacing w:before="1"/>
              <w:ind w:left="88"/>
            </w:pPr>
            <w:r>
              <w:t>Permanent</w:t>
            </w:r>
            <w:r>
              <w:rPr>
                <w:spacing w:val="-13"/>
              </w:rPr>
              <w:t xml:space="preserve"> </w:t>
            </w:r>
            <w:r>
              <w:t>Population</w:t>
            </w:r>
            <w:r>
              <w:rPr>
                <w:spacing w:val="-11"/>
              </w:rPr>
              <w:t xml:space="preserve"> </w:t>
            </w:r>
            <w:r>
              <w:rPr>
                <w:spacing w:val="-2"/>
              </w:rPr>
              <w:t>Served</w:t>
            </w:r>
          </w:p>
        </w:tc>
        <w:tc>
          <w:tcPr>
            <w:tcW w:w="1728" w:type="dxa"/>
            <w:shd w:val="clear" w:color="auto" w:fill="CCE2ED"/>
          </w:tcPr>
          <w:p w14:paraId="02153E5B" w14:textId="77777777" w:rsidR="00141B97" w:rsidRDefault="00911D63">
            <w:pPr>
              <w:pStyle w:val="TableParagraph"/>
              <w:spacing w:before="1"/>
              <w:ind w:right="96"/>
              <w:jc w:val="right"/>
            </w:pPr>
            <w:r>
              <w:t>Approx.</w:t>
            </w:r>
            <w:r>
              <w:rPr>
                <w:spacing w:val="-11"/>
              </w:rPr>
              <w:t xml:space="preserve"> </w:t>
            </w:r>
            <w:r>
              <w:rPr>
                <w:spacing w:val="-2"/>
              </w:rPr>
              <w:t>75,000</w:t>
            </w:r>
          </w:p>
        </w:tc>
        <w:tc>
          <w:tcPr>
            <w:tcW w:w="1718" w:type="dxa"/>
            <w:tcBorders>
              <w:right w:val="nil"/>
            </w:tcBorders>
            <w:shd w:val="clear" w:color="auto" w:fill="CCE2ED"/>
          </w:tcPr>
          <w:p w14:paraId="0405D0A0" w14:textId="77777777" w:rsidR="00141B97" w:rsidRDefault="00911D63">
            <w:pPr>
              <w:pStyle w:val="TableParagraph"/>
              <w:spacing w:before="1"/>
              <w:ind w:right="84"/>
              <w:jc w:val="right"/>
            </w:pPr>
            <w:r>
              <w:rPr>
                <w:spacing w:val="-2"/>
              </w:rPr>
              <w:t>66,000</w:t>
            </w:r>
          </w:p>
        </w:tc>
      </w:tr>
      <w:tr w:rsidR="00141B97" w14:paraId="045ED41F" w14:textId="77777777">
        <w:trPr>
          <w:trHeight w:val="308"/>
          <w:tblCellSpacing w:w="9" w:type="dxa"/>
        </w:trPr>
        <w:tc>
          <w:tcPr>
            <w:tcW w:w="6166" w:type="dxa"/>
            <w:tcBorders>
              <w:left w:val="nil"/>
            </w:tcBorders>
            <w:shd w:val="clear" w:color="auto" w:fill="CCE2ED"/>
          </w:tcPr>
          <w:p w14:paraId="0BBB2BD2" w14:textId="77777777" w:rsidR="00141B97" w:rsidRDefault="00911D63">
            <w:pPr>
              <w:pStyle w:val="TableParagraph"/>
              <w:spacing w:before="1"/>
              <w:ind w:left="88"/>
            </w:pPr>
            <w:r>
              <w:rPr>
                <w:spacing w:val="-2"/>
              </w:rPr>
              <w:t>Equivalent</w:t>
            </w:r>
            <w:r>
              <w:rPr>
                <w:spacing w:val="7"/>
              </w:rPr>
              <w:t xml:space="preserve"> </w:t>
            </w:r>
            <w:r>
              <w:rPr>
                <w:spacing w:val="-2"/>
              </w:rPr>
              <w:t>Residential</w:t>
            </w:r>
            <w:r>
              <w:rPr>
                <w:spacing w:val="7"/>
              </w:rPr>
              <w:t xml:space="preserve"> </w:t>
            </w:r>
            <w:r>
              <w:rPr>
                <w:spacing w:val="-2"/>
              </w:rPr>
              <w:t>Connections</w:t>
            </w:r>
          </w:p>
        </w:tc>
        <w:tc>
          <w:tcPr>
            <w:tcW w:w="1728" w:type="dxa"/>
            <w:shd w:val="clear" w:color="auto" w:fill="CCE2ED"/>
          </w:tcPr>
          <w:p w14:paraId="268CDE66" w14:textId="77777777" w:rsidR="00141B97" w:rsidRDefault="00911D63">
            <w:pPr>
              <w:pStyle w:val="TableParagraph"/>
              <w:spacing w:before="1"/>
              <w:ind w:right="94"/>
              <w:jc w:val="right"/>
            </w:pPr>
            <w:r>
              <w:rPr>
                <w:spacing w:val="-2"/>
              </w:rPr>
              <w:t>31,238</w:t>
            </w:r>
          </w:p>
        </w:tc>
        <w:tc>
          <w:tcPr>
            <w:tcW w:w="1718" w:type="dxa"/>
            <w:tcBorders>
              <w:right w:val="nil"/>
            </w:tcBorders>
            <w:shd w:val="clear" w:color="auto" w:fill="CCE2ED"/>
          </w:tcPr>
          <w:p w14:paraId="053CB0FF" w14:textId="77777777" w:rsidR="00141B97" w:rsidRDefault="00911D63">
            <w:pPr>
              <w:pStyle w:val="TableParagraph"/>
              <w:spacing w:before="1"/>
              <w:ind w:right="84"/>
              <w:jc w:val="right"/>
            </w:pPr>
            <w:r>
              <w:rPr>
                <w:spacing w:val="-2"/>
              </w:rPr>
              <w:t>27,439</w:t>
            </w:r>
          </w:p>
        </w:tc>
      </w:tr>
      <w:tr w:rsidR="00141B97" w14:paraId="5362BDDA" w14:textId="77777777">
        <w:trPr>
          <w:trHeight w:val="308"/>
          <w:tblCellSpacing w:w="9" w:type="dxa"/>
        </w:trPr>
        <w:tc>
          <w:tcPr>
            <w:tcW w:w="6166" w:type="dxa"/>
            <w:tcBorders>
              <w:left w:val="nil"/>
            </w:tcBorders>
            <w:shd w:val="clear" w:color="auto" w:fill="CCE2ED"/>
          </w:tcPr>
          <w:p w14:paraId="44FC668E" w14:textId="77777777" w:rsidR="00141B97" w:rsidRDefault="00911D63">
            <w:pPr>
              <w:pStyle w:val="TableParagraph"/>
              <w:spacing w:before="1"/>
              <w:ind w:left="88"/>
            </w:pPr>
            <w:r>
              <w:rPr>
                <w:w w:val="95"/>
              </w:rPr>
              <w:t>Equivalent</w:t>
            </w:r>
            <w:r>
              <w:rPr>
                <w:spacing w:val="39"/>
              </w:rPr>
              <w:t xml:space="preserve"> </w:t>
            </w:r>
            <w:r>
              <w:rPr>
                <w:w w:val="95"/>
              </w:rPr>
              <w:t>Non‐residential</w:t>
            </w:r>
            <w:r>
              <w:rPr>
                <w:spacing w:val="41"/>
              </w:rPr>
              <w:t xml:space="preserve"> </w:t>
            </w:r>
            <w:r>
              <w:rPr>
                <w:spacing w:val="-2"/>
                <w:w w:val="95"/>
              </w:rPr>
              <w:t>Connections</w:t>
            </w:r>
          </w:p>
        </w:tc>
        <w:tc>
          <w:tcPr>
            <w:tcW w:w="1728" w:type="dxa"/>
            <w:shd w:val="clear" w:color="auto" w:fill="CCE2ED"/>
          </w:tcPr>
          <w:p w14:paraId="21F71F64" w14:textId="77777777" w:rsidR="00141B97" w:rsidRDefault="00911D63">
            <w:pPr>
              <w:pStyle w:val="TableParagraph"/>
              <w:spacing w:before="1"/>
              <w:ind w:right="96"/>
              <w:jc w:val="right"/>
            </w:pPr>
            <w:r>
              <w:rPr>
                <w:spacing w:val="-2"/>
              </w:rPr>
              <w:t>3,933</w:t>
            </w:r>
          </w:p>
        </w:tc>
        <w:tc>
          <w:tcPr>
            <w:tcW w:w="1718" w:type="dxa"/>
            <w:tcBorders>
              <w:right w:val="nil"/>
            </w:tcBorders>
            <w:shd w:val="clear" w:color="auto" w:fill="CCE2ED"/>
          </w:tcPr>
          <w:p w14:paraId="207C15F3" w14:textId="77777777" w:rsidR="00141B97" w:rsidRDefault="00911D63">
            <w:pPr>
              <w:pStyle w:val="TableParagraph"/>
              <w:spacing w:before="1"/>
              <w:ind w:right="86"/>
              <w:jc w:val="right"/>
            </w:pPr>
            <w:r>
              <w:rPr>
                <w:spacing w:val="-2"/>
              </w:rPr>
              <w:t>3,248</w:t>
            </w:r>
          </w:p>
        </w:tc>
      </w:tr>
      <w:tr w:rsidR="00141B97" w14:paraId="6FC798D5" w14:textId="77777777">
        <w:trPr>
          <w:trHeight w:val="308"/>
          <w:tblCellSpacing w:w="9" w:type="dxa"/>
        </w:trPr>
        <w:tc>
          <w:tcPr>
            <w:tcW w:w="6166" w:type="dxa"/>
            <w:tcBorders>
              <w:left w:val="nil"/>
            </w:tcBorders>
            <w:shd w:val="clear" w:color="auto" w:fill="CCE2ED"/>
          </w:tcPr>
          <w:p w14:paraId="0E1A4557" w14:textId="77777777" w:rsidR="00141B97" w:rsidRDefault="00911D63">
            <w:pPr>
              <w:pStyle w:val="TableParagraph"/>
              <w:spacing w:before="1"/>
              <w:ind w:left="88"/>
            </w:pPr>
            <w:r>
              <w:t>Total</w:t>
            </w:r>
            <w:r>
              <w:rPr>
                <w:spacing w:val="-8"/>
              </w:rPr>
              <w:t xml:space="preserve"> </w:t>
            </w:r>
            <w:r>
              <w:t>Equivalent</w:t>
            </w:r>
            <w:r>
              <w:rPr>
                <w:spacing w:val="-8"/>
              </w:rPr>
              <w:t xml:space="preserve"> </w:t>
            </w:r>
            <w:r>
              <w:rPr>
                <w:spacing w:val="-2"/>
              </w:rPr>
              <w:t>Connections</w:t>
            </w:r>
          </w:p>
        </w:tc>
        <w:tc>
          <w:tcPr>
            <w:tcW w:w="1728" w:type="dxa"/>
            <w:shd w:val="clear" w:color="auto" w:fill="CCE2ED"/>
          </w:tcPr>
          <w:p w14:paraId="20E2D8B9" w14:textId="77777777" w:rsidR="00141B97" w:rsidRDefault="00911D63">
            <w:pPr>
              <w:pStyle w:val="TableParagraph"/>
              <w:spacing w:before="1"/>
              <w:ind w:right="94"/>
              <w:jc w:val="right"/>
            </w:pPr>
            <w:r>
              <w:rPr>
                <w:spacing w:val="-2"/>
              </w:rPr>
              <w:t>35,171</w:t>
            </w:r>
          </w:p>
        </w:tc>
        <w:tc>
          <w:tcPr>
            <w:tcW w:w="1718" w:type="dxa"/>
            <w:tcBorders>
              <w:right w:val="nil"/>
            </w:tcBorders>
            <w:shd w:val="clear" w:color="auto" w:fill="CCE2ED"/>
          </w:tcPr>
          <w:p w14:paraId="39A0FAF0" w14:textId="77777777" w:rsidR="00141B97" w:rsidRDefault="00911D63">
            <w:pPr>
              <w:pStyle w:val="TableParagraph"/>
              <w:spacing w:before="1"/>
              <w:ind w:right="84"/>
              <w:jc w:val="right"/>
            </w:pPr>
            <w:r>
              <w:rPr>
                <w:spacing w:val="-2"/>
              </w:rPr>
              <w:t>30,687</w:t>
            </w:r>
          </w:p>
        </w:tc>
      </w:tr>
      <w:tr w:rsidR="00141B97" w14:paraId="1862A203" w14:textId="77777777">
        <w:trPr>
          <w:trHeight w:val="308"/>
          <w:tblCellSpacing w:w="9" w:type="dxa"/>
        </w:trPr>
        <w:tc>
          <w:tcPr>
            <w:tcW w:w="6166" w:type="dxa"/>
            <w:tcBorders>
              <w:left w:val="nil"/>
            </w:tcBorders>
            <w:shd w:val="clear" w:color="auto" w:fill="CCE2ED"/>
          </w:tcPr>
          <w:p w14:paraId="573F26CD" w14:textId="77777777" w:rsidR="00141B97" w:rsidRDefault="00911D63">
            <w:pPr>
              <w:pStyle w:val="TableParagraph"/>
              <w:spacing w:before="1"/>
              <w:ind w:left="88"/>
            </w:pPr>
            <w:r>
              <w:t>Water</w:t>
            </w:r>
            <w:r>
              <w:rPr>
                <w:spacing w:val="-10"/>
              </w:rPr>
              <w:t xml:space="preserve"> </w:t>
            </w:r>
            <w:r>
              <w:t>Consumption</w:t>
            </w:r>
            <w:r>
              <w:rPr>
                <w:spacing w:val="-10"/>
              </w:rPr>
              <w:t xml:space="preserve"> </w:t>
            </w:r>
            <w:r>
              <w:t>or</w:t>
            </w:r>
            <w:r>
              <w:rPr>
                <w:spacing w:val="-9"/>
              </w:rPr>
              <w:t xml:space="preserve"> </w:t>
            </w:r>
            <w:r>
              <w:t>Wastewater</w:t>
            </w:r>
            <w:r>
              <w:rPr>
                <w:spacing w:val="-9"/>
              </w:rPr>
              <w:t xml:space="preserve"> </w:t>
            </w:r>
            <w:r>
              <w:t>Collected:</w:t>
            </w:r>
            <w:r>
              <w:rPr>
                <w:spacing w:val="-8"/>
              </w:rPr>
              <w:t xml:space="preserve"> </w:t>
            </w:r>
            <w:r>
              <w:rPr>
                <w:spacing w:val="-2"/>
              </w:rPr>
              <w:t>Residential</w:t>
            </w:r>
          </w:p>
        </w:tc>
        <w:tc>
          <w:tcPr>
            <w:tcW w:w="1728" w:type="dxa"/>
            <w:shd w:val="clear" w:color="auto" w:fill="CCE2ED"/>
          </w:tcPr>
          <w:p w14:paraId="2CC07764" w14:textId="77777777" w:rsidR="00141B97" w:rsidRDefault="00911D63">
            <w:pPr>
              <w:pStyle w:val="TableParagraph"/>
              <w:spacing w:before="1"/>
              <w:ind w:right="96"/>
              <w:jc w:val="right"/>
            </w:pPr>
            <w:r>
              <w:t>15,683</w:t>
            </w:r>
            <w:r>
              <w:rPr>
                <w:spacing w:val="-8"/>
              </w:rPr>
              <w:t xml:space="preserve"> </w:t>
            </w:r>
            <w:r>
              <w:rPr>
                <w:spacing w:val="-5"/>
              </w:rPr>
              <w:t>ML</w:t>
            </w:r>
          </w:p>
        </w:tc>
        <w:tc>
          <w:tcPr>
            <w:tcW w:w="1718" w:type="dxa"/>
            <w:tcBorders>
              <w:right w:val="nil"/>
            </w:tcBorders>
            <w:shd w:val="clear" w:color="auto" w:fill="CCE2ED"/>
          </w:tcPr>
          <w:p w14:paraId="6EB106E6" w14:textId="77777777" w:rsidR="00141B97" w:rsidRDefault="00911D63">
            <w:pPr>
              <w:pStyle w:val="TableParagraph"/>
              <w:spacing w:before="1"/>
              <w:ind w:right="84"/>
              <w:jc w:val="right"/>
            </w:pPr>
            <w:r>
              <w:t>Not</w:t>
            </w:r>
            <w:r>
              <w:rPr>
                <w:spacing w:val="-7"/>
              </w:rPr>
              <w:t xml:space="preserve"> </w:t>
            </w:r>
            <w:r>
              <w:rPr>
                <w:spacing w:val="-2"/>
              </w:rPr>
              <w:t>measured</w:t>
            </w:r>
          </w:p>
        </w:tc>
      </w:tr>
      <w:tr w:rsidR="00141B97" w14:paraId="3AB0EFD6" w14:textId="77777777">
        <w:trPr>
          <w:trHeight w:val="308"/>
          <w:tblCellSpacing w:w="9" w:type="dxa"/>
        </w:trPr>
        <w:tc>
          <w:tcPr>
            <w:tcW w:w="6166" w:type="dxa"/>
            <w:tcBorders>
              <w:left w:val="nil"/>
            </w:tcBorders>
            <w:shd w:val="clear" w:color="auto" w:fill="CCE2ED"/>
          </w:tcPr>
          <w:p w14:paraId="1AEE1BB1" w14:textId="77777777" w:rsidR="00141B97" w:rsidRDefault="00911D63">
            <w:pPr>
              <w:pStyle w:val="TableParagraph"/>
              <w:spacing w:before="1"/>
              <w:ind w:left="88"/>
            </w:pPr>
            <w:r>
              <w:t>Water</w:t>
            </w:r>
            <w:r>
              <w:rPr>
                <w:spacing w:val="-11"/>
              </w:rPr>
              <w:t xml:space="preserve"> </w:t>
            </w:r>
            <w:r>
              <w:t>Consumption</w:t>
            </w:r>
            <w:r>
              <w:rPr>
                <w:spacing w:val="-9"/>
              </w:rPr>
              <w:t xml:space="preserve"> </w:t>
            </w:r>
            <w:r>
              <w:t>or</w:t>
            </w:r>
            <w:r>
              <w:rPr>
                <w:spacing w:val="-9"/>
              </w:rPr>
              <w:t xml:space="preserve"> </w:t>
            </w:r>
            <w:r>
              <w:t>Wastewater</w:t>
            </w:r>
            <w:r>
              <w:rPr>
                <w:spacing w:val="-9"/>
              </w:rPr>
              <w:t xml:space="preserve"> </w:t>
            </w:r>
            <w:r>
              <w:t>Collected:</w:t>
            </w:r>
            <w:r>
              <w:rPr>
                <w:spacing w:val="-10"/>
              </w:rPr>
              <w:t xml:space="preserve"> </w:t>
            </w:r>
            <w:r>
              <w:rPr>
                <w:spacing w:val="-2"/>
              </w:rPr>
              <w:t>Non‐residential</w:t>
            </w:r>
          </w:p>
        </w:tc>
        <w:tc>
          <w:tcPr>
            <w:tcW w:w="1728" w:type="dxa"/>
            <w:shd w:val="clear" w:color="auto" w:fill="CCE2ED"/>
          </w:tcPr>
          <w:p w14:paraId="3BA91D88" w14:textId="77777777" w:rsidR="00141B97" w:rsidRDefault="00911D63">
            <w:pPr>
              <w:pStyle w:val="TableParagraph"/>
              <w:spacing w:before="1"/>
              <w:ind w:right="96"/>
              <w:jc w:val="right"/>
            </w:pPr>
            <w:r>
              <w:t>7,119</w:t>
            </w:r>
            <w:r>
              <w:rPr>
                <w:spacing w:val="-6"/>
              </w:rPr>
              <w:t xml:space="preserve"> </w:t>
            </w:r>
            <w:r>
              <w:rPr>
                <w:spacing w:val="-5"/>
              </w:rPr>
              <w:t>ML</w:t>
            </w:r>
          </w:p>
        </w:tc>
        <w:tc>
          <w:tcPr>
            <w:tcW w:w="1718" w:type="dxa"/>
            <w:tcBorders>
              <w:right w:val="nil"/>
            </w:tcBorders>
            <w:shd w:val="clear" w:color="auto" w:fill="CCE2ED"/>
          </w:tcPr>
          <w:p w14:paraId="61DEC824" w14:textId="77777777" w:rsidR="00141B97" w:rsidRDefault="00911D63">
            <w:pPr>
              <w:pStyle w:val="TableParagraph"/>
              <w:spacing w:before="1"/>
              <w:ind w:right="84"/>
              <w:jc w:val="right"/>
            </w:pPr>
            <w:r>
              <w:t>Not</w:t>
            </w:r>
            <w:r>
              <w:rPr>
                <w:spacing w:val="-7"/>
              </w:rPr>
              <w:t xml:space="preserve"> </w:t>
            </w:r>
            <w:r>
              <w:rPr>
                <w:spacing w:val="-2"/>
              </w:rPr>
              <w:t>measured</w:t>
            </w:r>
          </w:p>
        </w:tc>
      </w:tr>
      <w:tr w:rsidR="00141B97" w14:paraId="274D7E77" w14:textId="77777777">
        <w:trPr>
          <w:trHeight w:val="308"/>
          <w:tblCellSpacing w:w="9" w:type="dxa"/>
        </w:trPr>
        <w:tc>
          <w:tcPr>
            <w:tcW w:w="6166" w:type="dxa"/>
            <w:tcBorders>
              <w:left w:val="nil"/>
            </w:tcBorders>
            <w:shd w:val="clear" w:color="auto" w:fill="CCE2ED"/>
          </w:tcPr>
          <w:p w14:paraId="30EDA7A8" w14:textId="77777777" w:rsidR="00141B97" w:rsidRDefault="00911D63">
            <w:pPr>
              <w:pStyle w:val="TableParagraph"/>
              <w:spacing w:before="1"/>
              <w:ind w:left="88"/>
            </w:pPr>
            <w:r>
              <w:t>Total</w:t>
            </w:r>
            <w:r>
              <w:rPr>
                <w:spacing w:val="-9"/>
              </w:rPr>
              <w:t xml:space="preserve"> </w:t>
            </w:r>
            <w:r>
              <w:t>Volume</w:t>
            </w:r>
            <w:r>
              <w:rPr>
                <w:spacing w:val="-7"/>
              </w:rPr>
              <w:t xml:space="preserve"> </w:t>
            </w:r>
            <w:r>
              <w:t>Water</w:t>
            </w:r>
            <w:r>
              <w:rPr>
                <w:spacing w:val="-9"/>
              </w:rPr>
              <w:t xml:space="preserve"> </w:t>
            </w:r>
            <w:r>
              <w:t>Supplied</w:t>
            </w:r>
            <w:r>
              <w:rPr>
                <w:spacing w:val="-8"/>
              </w:rPr>
              <w:t xml:space="preserve"> </w:t>
            </w:r>
            <w:r>
              <w:t>/</w:t>
            </w:r>
            <w:r>
              <w:rPr>
                <w:spacing w:val="-8"/>
              </w:rPr>
              <w:t xml:space="preserve"> </w:t>
            </w:r>
            <w:r>
              <w:t>Wastewater</w:t>
            </w:r>
            <w:r>
              <w:rPr>
                <w:spacing w:val="-8"/>
              </w:rPr>
              <w:t xml:space="preserve"> </w:t>
            </w:r>
            <w:r>
              <w:t>Collected</w:t>
            </w:r>
            <w:r>
              <w:rPr>
                <w:spacing w:val="-8"/>
              </w:rPr>
              <w:t xml:space="preserve"> </w:t>
            </w:r>
            <w:r>
              <w:rPr>
                <w:spacing w:val="-4"/>
              </w:rPr>
              <w:t>(ML)</w:t>
            </w:r>
          </w:p>
        </w:tc>
        <w:tc>
          <w:tcPr>
            <w:tcW w:w="1728" w:type="dxa"/>
            <w:shd w:val="clear" w:color="auto" w:fill="CCE2ED"/>
          </w:tcPr>
          <w:p w14:paraId="28459360" w14:textId="77777777" w:rsidR="00141B97" w:rsidRDefault="00911D63">
            <w:pPr>
              <w:pStyle w:val="TableParagraph"/>
              <w:spacing w:before="1"/>
              <w:ind w:right="96"/>
              <w:jc w:val="right"/>
            </w:pPr>
            <w:r>
              <w:t>22,802</w:t>
            </w:r>
            <w:r>
              <w:rPr>
                <w:spacing w:val="-8"/>
              </w:rPr>
              <w:t xml:space="preserve"> </w:t>
            </w:r>
            <w:r>
              <w:rPr>
                <w:spacing w:val="-5"/>
              </w:rPr>
              <w:t>ML</w:t>
            </w:r>
          </w:p>
        </w:tc>
        <w:tc>
          <w:tcPr>
            <w:tcW w:w="1718" w:type="dxa"/>
            <w:tcBorders>
              <w:right w:val="nil"/>
            </w:tcBorders>
            <w:shd w:val="clear" w:color="auto" w:fill="CCE2ED"/>
          </w:tcPr>
          <w:p w14:paraId="10339E53" w14:textId="77777777" w:rsidR="00141B97" w:rsidRDefault="00911D63">
            <w:pPr>
              <w:pStyle w:val="TableParagraph"/>
              <w:spacing w:before="1"/>
              <w:ind w:right="84"/>
              <w:jc w:val="right"/>
            </w:pPr>
            <w:r>
              <w:t>Not</w:t>
            </w:r>
            <w:r>
              <w:rPr>
                <w:spacing w:val="-7"/>
              </w:rPr>
              <w:t xml:space="preserve"> </w:t>
            </w:r>
            <w:r>
              <w:rPr>
                <w:spacing w:val="-2"/>
              </w:rPr>
              <w:t>measured</w:t>
            </w:r>
          </w:p>
        </w:tc>
      </w:tr>
      <w:tr w:rsidR="00141B97" w14:paraId="2A041829" w14:textId="77777777">
        <w:trPr>
          <w:trHeight w:val="308"/>
          <w:tblCellSpacing w:w="9" w:type="dxa"/>
        </w:trPr>
        <w:tc>
          <w:tcPr>
            <w:tcW w:w="6166" w:type="dxa"/>
            <w:tcBorders>
              <w:left w:val="nil"/>
            </w:tcBorders>
            <w:shd w:val="clear" w:color="auto" w:fill="006CA3"/>
          </w:tcPr>
          <w:p w14:paraId="62F96A6E" w14:textId="77777777" w:rsidR="00141B97" w:rsidRDefault="00911D63">
            <w:pPr>
              <w:pStyle w:val="TableParagraph"/>
              <w:spacing w:before="1"/>
              <w:ind w:left="88"/>
            </w:pPr>
            <w:r>
              <w:rPr>
                <w:color w:val="FFFFFF"/>
                <w:spacing w:val="-2"/>
              </w:rPr>
              <w:t>Assets</w:t>
            </w:r>
          </w:p>
        </w:tc>
        <w:tc>
          <w:tcPr>
            <w:tcW w:w="1728" w:type="dxa"/>
            <w:shd w:val="clear" w:color="auto" w:fill="006CA3"/>
          </w:tcPr>
          <w:p w14:paraId="1574D794" w14:textId="77777777" w:rsidR="00141B97" w:rsidRDefault="00911D63">
            <w:pPr>
              <w:pStyle w:val="TableParagraph"/>
              <w:spacing w:before="1"/>
              <w:ind w:left="264"/>
            </w:pPr>
            <w:r>
              <w:rPr>
                <w:color w:val="FFFFFF"/>
              </w:rPr>
              <w:t>Water</w:t>
            </w:r>
            <w:r>
              <w:rPr>
                <w:color w:val="FFFFFF"/>
                <w:spacing w:val="-9"/>
              </w:rPr>
              <w:t xml:space="preserve"> </w:t>
            </w:r>
            <w:r>
              <w:rPr>
                <w:color w:val="FFFFFF"/>
                <w:spacing w:val="-2"/>
              </w:rPr>
              <w:t>supply</w:t>
            </w:r>
          </w:p>
        </w:tc>
        <w:tc>
          <w:tcPr>
            <w:tcW w:w="1718" w:type="dxa"/>
            <w:tcBorders>
              <w:right w:val="nil"/>
            </w:tcBorders>
            <w:shd w:val="clear" w:color="auto" w:fill="006CA3"/>
          </w:tcPr>
          <w:p w14:paraId="3E7F0588" w14:textId="77777777" w:rsidR="00141B97" w:rsidRDefault="00911D63">
            <w:pPr>
              <w:pStyle w:val="TableParagraph"/>
              <w:spacing w:before="1"/>
              <w:ind w:left="422"/>
            </w:pPr>
            <w:r>
              <w:rPr>
                <w:color w:val="FFFFFF"/>
                <w:spacing w:val="-2"/>
              </w:rPr>
              <w:t>Sewerage</w:t>
            </w:r>
          </w:p>
        </w:tc>
      </w:tr>
      <w:tr w:rsidR="00141B97" w14:paraId="3BD56ACD" w14:textId="77777777">
        <w:trPr>
          <w:trHeight w:val="308"/>
          <w:tblCellSpacing w:w="9" w:type="dxa"/>
        </w:trPr>
        <w:tc>
          <w:tcPr>
            <w:tcW w:w="6166" w:type="dxa"/>
            <w:tcBorders>
              <w:left w:val="nil"/>
            </w:tcBorders>
            <w:shd w:val="clear" w:color="auto" w:fill="CCE2ED"/>
          </w:tcPr>
          <w:p w14:paraId="7A1FA9FE" w14:textId="77777777" w:rsidR="00141B97" w:rsidRDefault="00911D63">
            <w:pPr>
              <w:pStyle w:val="TableParagraph"/>
              <w:spacing w:before="1"/>
              <w:ind w:left="88"/>
            </w:pPr>
            <w:r>
              <w:t>Treatment</w:t>
            </w:r>
            <w:r>
              <w:rPr>
                <w:spacing w:val="-10"/>
              </w:rPr>
              <w:t xml:space="preserve"> </w:t>
            </w:r>
            <w:r>
              <w:t>plants</w:t>
            </w:r>
            <w:r>
              <w:rPr>
                <w:spacing w:val="-11"/>
              </w:rPr>
              <w:t xml:space="preserve"> </w:t>
            </w:r>
            <w:r>
              <w:rPr>
                <w:spacing w:val="-2"/>
              </w:rPr>
              <w:t>(No.)</w:t>
            </w:r>
          </w:p>
        </w:tc>
        <w:tc>
          <w:tcPr>
            <w:tcW w:w="1728" w:type="dxa"/>
            <w:shd w:val="clear" w:color="auto" w:fill="CCE2ED"/>
          </w:tcPr>
          <w:p w14:paraId="2BC971F5" w14:textId="77777777" w:rsidR="00141B97" w:rsidRDefault="00911D63">
            <w:pPr>
              <w:pStyle w:val="TableParagraph"/>
              <w:spacing w:before="1"/>
              <w:ind w:right="96"/>
              <w:jc w:val="right"/>
            </w:pPr>
            <w:r>
              <w:rPr>
                <w:w w:val="99"/>
              </w:rPr>
              <w:t>9</w:t>
            </w:r>
          </w:p>
        </w:tc>
        <w:tc>
          <w:tcPr>
            <w:tcW w:w="1718" w:type="dxa"/>
            <w:tcBorders>
              <w:right w:val="nil"/>
            </w:tcBorders>
            <w:shd w:val="clear" w:color="auto" w:fill="CCE2ED"/>
          </w:tcPr>
          <w:p w14:paraId="6A258111" w14:textId="77777777" w:rsidR="00141B97" w:rsidRDefault="00911D63">
            <w:pPr>
              <w:pStyle w:val="TableParagraph"/>
              <w:spacing w:before="1"/>
              <w:ind w:right="86"/>
              <w:jc w:val="right"/>
            </w:pPr>
            <w:r>
              <w:rPr>
                <w:spacing w:val="-5"/>
              </w:rPr>
              <w:t>10</w:t>
            </w:r>
          </w:p>
        </w:tc>
      </w:tr>
      <w:tr w:rsidR="00141B97" w14:paraId="498559E6" w14:textId="77777777">
        <w:trPr>
          <w:trHeight w:val="308"/>
          <w:tblCellSpacing w:w="9" w:type="dxa"/>
        </w:trPr>
        <w:tc>
          <w:tcPr>
            <w:tcW w:w="6166" w:type="dxa"/>
            <w:tcBorders>
              <w:left w:val="nil"/>
            </w:tcBorders>
            <w:shd w:val="clear" w:color="auto" w:fill="CCE2ED"/>
          </w:tcPr>
          <w:p w14:paraId="056F1D75" w14:textId="77777777" w:rsidR="00141B97" w:rsidRDefault="00911D63">
            <w:pPr>
              <w:pStyle w:val="TableParagraph"/>
              <w:spacing w:before="1"/>
              <w:ind w:left="88"/>
            </w:pPr>
            <w:r>
              <w:t>Pumping</w:t>
            </w:r>
            <w:r>
              <w:rPr>
                <w:spacing w:val="-11"/>
              </w:rPr>
              <w:t xml:space="preserve"> </w:t>
            </w:r>
            <w:r>
              <w:t>stations</w:t>
            </w:r>
            <w:r>
              <w:rPr>
                <w:spacing w:val="-11"/>
              </w:rPr>
              <w:t xml:space="preserve"> </w:t>
            </w:r>
            <w:r>
              <w:rPr>
                <w:spacing w:val="-2"/>
              </w:rPr>
              <w:t>(No.)</w:t>
            </w:r>
          </w:p>
        </w:tc>
        <w:tc>
          <w:tcPr>
            <w:tcW w:w="1728" w:type="dxa"/>
            <w:shd w:val="clear" w:color="auto" w:fill="CCE2ED"/>
          </w:tcPr>
          <w:p w14:paraId="12C9C2F6" w14:textId="77777777" w:rsidR="00141B97" w:rsidRDefault="00911D63">
            <w:pPr>
              <w:pStyle w:val="TableParagraph"/>
              <w:spacing w:before="1"/>
              <w:ind w:right="96"/>
              <w:jc w:val="right"/>
            </w:pPr>
            <w:r>
              <w:rPr>
                <w:spacing w:val="-5"/>
              </w:rPr>
              <w:t>38</w:t>
            </w:r>
          </w:p>
        </w:tc>
        <w:tc>
          <w:tcPr>
            <w:tcW w:w="1718" w:type="dxa"/>
            <w:tcBorders>
              <w:right w:val="nil"/>
            </w:tcBorders>
            <w:shd w:val="clear" w:color="auto" w:fill="CCE2ED"/>
          </w:tcPr>
          <w:p w14:paraId="61490658" w14:textId="77777777" w:rsidR="00141B97" w:rsidRDefault="00911D63">
            <w:pPr>
              <w:pStyle w:val="TableParagraph"/>
              <w:spacing w:before="1"/>
              <w:ind w:right="86"/>
              <w:jc w:val="right"/>
            </w:pPr>
            <w:r>
              <w:rPr>
                <w:spacing w:val="-5"/>
              </w:rPr>
              <w:t>113</w:t>
            </w:r>
          </w:p>
        </w:tc>
      </w:tr>
      <w:tr w:rsidR="00141B97" w14:paraId="50C9F096" w14:textId="77777777">
        <w:trPr>
          <w:trHeight w:val="309"/>
          <w:tblCellSpacing w:w="9" w:type="dxa"/>
        </w:trPr>
        <w:tc>
          <w:tcPr>
            <w:tcW w:w="6166" w:type="dxa"/>
            <w:tcBorders>
              <w:left w:val="nil"/>
              <w:bottom w:val="nil"/>
            </w:tcBorders>
            <w:shd w:val="clear" w:color="auto" w:fill="CCE2ED"/>
          </w:tcPr>
          <w:p w14:paraId="1BD6B708" w14:textId="77777777" w:rsidR="00141B97" w:rsidRDefault="00911D63">
            <w:pPr>
              <w:pStyle w:val="TableParagraph"/>
              <w:spacing w:before="1"/>
              <w:ind w:left="88"/>
            </w:pPr>
            <w:r>
              <w:t>Water</w:t>
            </w:r>
            <w:r>
              <w:rPr>
                <w:spacing w:val="-7"/>
              </w:rPr>
              <w:t xml:space="preserve"> </w:t>
            </w:r>
            <w:r>
              <w:t>mains</w:t>
            </w:r>
            <w:r>
              <w:rPr>
                <w:spacing w:val="-4"/>
              </w:rPr>
              <w:t xml:space="preserve"> </w:t>
            </w:r>
            <w:r>
              <w:t>/</w:t>
            </w:r>
            <w:r>
              <w:rPr>
                <w:spacing w:val="-6"/>
              </w:rPr>
              <w:t xml:space="preserve"> </w:t>
            </w:r>
            <w:r>
              <w:t>sewers</w:t>
            </w:r>
            <w:r>
              <w:rPr>
                <w:spacing w:val="-5"/>
              </w:rPr>
              <w:t xml:space="preserve"> </w:t>
            </w:r>
            <w:r>
              <w:rPr>
                <w:spacing w:val="-4"/>
              </w:rPr>
              <w:t>(km)</w:t>
            </w:r>
          </w:p>
        </w:tc>
        <w:tc>
          <w:tcPr>
            <w:tcW w:w="1728" w:type="dxa"/>
            <w:tcBorders>
              <w:bottom w:val="nil"/>
            </w:tcBorders>
            <w:shd w:val="clear" w:color="auto" w:fill="CCE2ED"/>
          </w:tcPr>
          <w:p w14:paraId="173865A8" w14:textId="77777777" w:rsidR="00141B97" w:rsidRDefault="00911D63">
            <w:pPr>
              <w:pStyle w:val="TableParagraph"/>
              <w:spacing w:before="1"/>
              <w:ind w:right="96"/>
              <w:jc w:val="right"/>
            </w:pPr>
            <w:r>
              <w:t>988</w:t>
            </w:r>
            <w:r>
              <w:rPr>
                <w:spacing w:val="-5"/>
              </w:rPr>
              <w:t xml:space="preserve"> km</w:t>
            </w:r>
          </w:p>
        </w:tc>
        <w:tc>
          <w:tcPr>
            <w:tcW w:w="1718" w:type="dxa"/>
            <w:tcBorders>
              <w:bottom w:val="nil"/>
              <w:right w:val="nil"/>
            </w:tcBorders>
            <w:shd w:val="clear" w:color="auto" w:fill="CCE2ED"/>
          </w:tcPr>
          <w:p w14:paraId="69A096E6" w14:textId="77777777" w:rsidR="00141B97" w:rsidRDefault="00911D63">
            <w:pPr>
              <w:pStyle w:val="TableParagraph"/>
              <w:spacing w:before="1"/>
              <w:ind w:right="86"/>
              <w:jc w:val="right"/>
            </w:pPr>
            <w:r>
              <w:t>689</w:t>
            </w:r>
            <w:r>
              <w:rPr>
                <w:spacing w:val="-5"/>
              </w:rPr>
              <w:t xml:space="preserve"> km</w:t>
            </w:r>
          </w:p>
        </w:tc>
      </w:tr>
    </w:tbl>
    <w:p w14:paraId="6E1F8E12" w14:textId="77777777" w:rsidR="00141B97" w:rsidRDefault="00911D63">
      <w:pPr>
        <w:spacing w:before="29"/>
        <w:ind w:left="114"/>
        <w:jc w:val="both"/>
        <w:rPr>
          <w:sz w:val="16"/>
        </w:rPr>
      </w:pPr>
      <w:r>
        <w:rPr>
          <w:sz w:val="16"/>
        </w:rPr>
        <w:t>Table</w:t>
      </w:r>
      <w:r>
        <w:rPr>
          <w:spacing w:val="-5"/>
          <w:sz w:val="16"/>
        </w:rPr>
        <w:t xml:space="preserve"> </w:t>
      </w:r>
      <w:r>
        <w:rPr>
          <w:sz w:val="16"/>
        </w:rPr>
        <w:t>A1.1:</w:t>
      </w:r>
      <w:r>
        <w:rPr>
          <w:spacing w:val="-4"/>
          <w:sz w:val="16"/>
        </w:rPr>
        <w:t xml:space="preserve"> </w:t>
      </w:r>
      <w:r>
        <w:rPr>
          <w:sz w:val="16"/>
        </w:rPr>
        <w:t>Urban</w:t>
      </w:r>
      <w:r>
        <w:rPr>
          <w:spacing w:val="-6"/>
          <w:sz w:val="16"/>
        </w:rPr>
        <w:t xml:space="preserve"> </w:t>
      </w:r>
      <w:r>
        <w:rPr>
          <w:sz w:val="16"/>
        </w:rPr>
        <w:t>Water</w:t>
      </w:r>
      <w:r>
        <w:rPr>
          <w:spacing w:val="-4"/>
          <w:sz w:val="16"/>
        </w:rPr>
        <w:t xml:space="preserve"> </w:t>
      </w:r>
      <w:r>
        <w:rPr>
          <w:sz w:val="16"/>
        </w:rPr>
        <w:t>Supply</w:t>
      </w:r>
      <w:r>
        <w:rPr>
          <w:spacing w:val="-5"/>
          <w:sz w:val="16"/>
        </w:rPr>
        <w:t xml:space="preserve"> </w:t>
      </w:r>
      <w:r>
        <w:rPr>
          <w:sz w:val="16"/>
        </w:rPr>
        <w:t>and</w:t>
      </w:r>
      <w:r>
        <w:rPr>
          <w:spacing w:val="-6"/>
          <w:sz w:val="16"/>
        </w:rPr>
        <w:t xml:space="preserve"> </w:t>
      </w:r>
      <w:r>
        <w:rPr>
          <w:sz w:val="16"/>
        </w:rPr>
        <w:t>Sewerage</w:t>
      </w:r>
      <w:r>
        <w:rPr>
          <w:spacing w:val="-4"/>
          <w:sz w:val="16"/>
        </w:rPr>
        <w:t xml:space="preserve"> </w:t>
      </w:r>
      <w:r>
        <w:rPr>
          <w:sz w:val="16"/>
        </w:rPr>
        <w:t>Customers</w:t>
      </w:r>
      <w:r>
        <w:rPr>
          <w:spacing w:val="-6"/>
          <w:sz w:val="16"/>
        </w:rPr>
        <w:t xml:space="preserve"> </w:t>
      </w:r>
      <w:r>
        <w:rPr>
          <w:sz w:val="16"/>
        </w:rPr>
        <w:t>and</w:t>
      </w:r>
      <w:r>
        <w:rPr>
          <w:spacing w:val="-5"/>
          <w:sz w:val="16"/>
        </w:rPr>
        <w:t xml:space="preserve"> </w:t>
      </w:r>
      <w:r>
        <w:rPr>
          <w:sz w:val="16"/>
        </w:rPr>
        <w:t>Assets</w:t>
      </w:r>
      <w:r>
        <w:rPr>
          <w:spacing w:val="-5"/>
          <w:sz w:val="16"/>
        </w:rPr>
        <w:t xml:space="preserve"> </w:t>
      </w:r>
      <w:r>
        <w:rPr>
          <w:spacing w:val="-2"/>
          <w:sz w:val="16"/>
        </w:rPr>
        <w:t>(2021‐22)</w:t>
      </w:r>
    </w:p>
    <w:p w14:paraId="4B9A31BD" w14:textId="77777777" w:rsidR="00141B97" w:rsidRDefault="00141B97">
      <w:pPr>
        <w:jc w:val="both"/>
        <w:rPr>
          <w:sz w:val="16"/>
        </w:rPr>
        <w:sectPr w:rsidR="00141B97">
          <w:pgSz w:w="11910" w:h="16840"/>
          <w:pgMar w:top="900" w:right="880" w:bottom="540" w:left="1020" w:header="0" w:footer="348" w:gutter="0"/>
          <w:cols w:space="720"/>
        </w:sectPr>
      </w:pPr>
    </w:p>
    <w:p w14:paraId="7572FA65" w14:textId="77777777" w:rsidR="00141B97" w:rsidRDefault="00911D63">
      <w:pPr>
        <w:pStyle w:val="BodyText"/>
        <w:spacing w:before="43"/>
        <w:ind w:left="114"/>
        <w:jc w:val="both"/>
      </w:pPr>
      <w:r>
        <w:lastRenderedPageBreak/>
        <w:t>Rural</w:t>
      </w:r>
      <w:r>
        <w:rPr>
          <w:spacing w:val="-7"/>
        </w:rPr>
        <w:t xml:space="preserve"> </w:t>
      </w:r>
      <w:r>
        <w:t>Business</w:t>
      </w:r>
      <w:r>
        <w:rPr>
          <w:spacing w:val="-6"/>
        </w:rPr>
        <w:t xml:space="preserve"> </w:t>
      </w:r>
      <w:r>
        <w:rPr>
          <w:spacing w:val="-4"/>
        </w:rPr>
        <w:t>Unit</w:t>
      </w:r>
    </w:p>
    <w:p w14:paraId="56FCF39E" w14:textId="77777777" w:rsidR="00141B97" w:rsidRDefault="00911D63">
      <w:pPr>
        <w:pStyle w:val="BodyText"/>
        <w:spacing w:before="60" w:after="18" w:line="276" w:lineRule="auto"/>
        <w:ind w:left="114" w:right="108" w:hanging="1"/>
        <w:jc w:val="both"/>
      </w:pPr>
      <w:r>
        <w:t>LMW provides minimally treated river water to customers through four pumped irrigation districts, domestic and</w:t>
      </w:r>
      <w:r>
        <w:rPr>
          <w:spacing w:val="-13"/>
        </w:rPr>
        <w:t xml:space="preserve"> </w:t>
      </w:r>
      <w:r>
        <w:t>stock</w:t>
      </w:r>
      <w:r>
        <w:rPr>
          <w:spacing w:val="-13"/>
        </w:rPr>
        <w:t xml:space="preserve"> </w:t>
      </w:r>
      <w:r>
        <w:t>supply,</w:t>
      </w:r>
      <w:r>
        <w:rPr>
          <w:spacing w:val="-13"/>
        </w:rPr>
        <w:t xml:space="preserve"> </w:t>
      </w:r>
      <w:r>
        <w:t>and</w:t>
      </w:r>
      <w:r>
        <w:rPr>
          <w:spacing w:val="-13"/>
        </w:rPr>
        <w:t xml:space="preserve"> </w:t>
      </w:r>
      <w:r>
        <w:t>surface</w:t>
      </w:r>
      <w:r>
        <w:rPr>
          <w:spacing w:val="-14"/>
        </w:rPr>
        <w:t xml:space="preserve"> </w:t>
      </w:r>
      <w:r>
        <w:t>water</w:t>
      </w:r>
      <w:r>
        <w:rPr>
          <w:spacing w:val="-12"/>
        </w:rPr>
        <w:t xml:space="preserve"> </w:t>
      </w:r>
      <w:r>
        <w:t>diverters.</w:t>
      </w:r>
      <w:r>
        <w:rPr>
          <w:spacing w:val="-13"/>
        </w:rPr>
        <w:t xml:space="preserve"> </w:t>
      </w:r>
      <w:r>
        <w:t>A</w:t>
      </w:r>
      <w:r>
        <w:rPr>
          <w:spacing w:val="-13"/>
        </w:rPr>
        <w:t xml:space="preserve"> </w:t>
      </w:r>
      <w:r>
        <w:t>summary</w:t>
      </w:r>
      <w:r>
        <w:rPr>
          <w:spacing w:val="-13"/>
        </w:rPr>
        <w:t xml:space="preserve"> </w:t>
      </w:r>
      <w:r>
        <w:t>of</w:t>
      </w:r>
      <w:r>
        <w:rPr>
          <w:spacing w:val="-13"/>
        </w:rPr>
        <w:t xml:space="preserve"> </w:t>
      </w:r>
      <w:r>
        <w:t>customers</w:t>
      </w:r>
      <w:r>
        <w:rPr>
          <w:spacing w:val="-13"/>
        </w:rPr>
        <w:t xml:space="preserve"> </w:t>
      </w:r>
      <w:r>
        <w:t>and</w:t>
      </w:r>
      <w:r>
        <w:rPr>
          <w:spacing w:val="-13"/>
        </w:rPr>
        <w:t xml:space="preserve"> </w:t>
      </w:r>
      <w:r>
        <w:t>assets</w:t>
      </w:r>
      <w:r>
        <w:rPr>
          <w:spacing w:val="-12"/>
        </w:rPr>
        <w:t xml:space="preserve"> </w:t>
      </w:r>
      <w:r>
        <w:t>is</w:t>
      </w:r>
      <w:r>
        <w:rPr>
          <w:spacing w:val="-13"/>
        </w:rPr>
        <w:t xml:space="preserve"> </w:t>
      </w:r>
      <w:r>
        <w:t>provided</w:t>
      </w:r>
      <w:r>
        <w:rPr>
          <w:spacing w:val="-13"/>
        </w:rPr>
        <w:t xml:space="preserve"> </w:t>
      </w:r>
      <w:r>
        <w:t>in</w:t>
      </w:r>
      <w:r>
        <w:rPr>
          <w:spacing w:val="-12"/>
        </w:rPr>
        <w:t xml:space="preserve"> </w:t>
      </w:r>
      <w:r>
        <w:t>the</w:t>
      </w:r>
      <w:r>
        <w:rPr>
          <w:spacing w:val="-13"/>
        </w:rPr>
        <w:t xml:space="preserve"> </w:t>
      </w:r>
      <w:r>
        <w:t>table</w:t>
      </w:r>
      <w:r>
        <w:rPr>
          <w:spacing w:val="-14"/>
        </w:rPr>
        <w:t xml:space="preserve"> </w:t>
      </w:r>
      <w:r>
        <w:t>below:</w:t>
      </w:r>
    </w:p>
    <w:tbl>
      <w:tblPr>
        <w:tblW w:w="0" w:type="auto"/>
        <w:tblCellSpacing w:w="9" w:type="dxa"/>
        <w:tblInd w:w="150" w:type="dxa"/>
        <w:tblLayout w:type="fixed"/>
        <w:tblCellMar>
          <w:left w:w="0" w:type="dxa"/>
          <w:right w:w="0" w:type="dxa"/>
        </w:tblCellMar>
        <w:tblLook w:val="01E0" w:firstRow="1" w:lastRow="1" w:firstColumn="1" w:lastColumn="1" w:noHBand="0" w:noVBand="0"/>
      </w:tblPr>
      <w:tblGrid>
        <w:gridCol w:w="6869"/>
        <w:gridCol w:w="2795"/>
      </w:tblGrid>
      <w:tr w:rsidR="00141B97" w14:paraId="61AB6C68" w14:textId="77777777">
        <w:trPr>
          <w:trHeight w:val="309"/>
          <w:tblCellSpacing w:w="9" w:type="dxa"/>
        </w:trPr>
        <w:tc>
          <w:tcPr>
            <w:tcW w:w="6842" w:type="dxa"/>
            <w:tcBorders>
              <w:top w:val="nil"/>
              <w:left w:val="nil"/>
            </w:tcBorders>
            <w:shd w:val="clear" w:color="auto" w:fill="006CA3"/>
          </w:tcPr>
          <w:p w14:paraId="411AE936" w14:textId="77777777" w:rsidR="00141B97" w:rsidRDefault="00911D63">
            <w:pPr>
              <w:pStyle w:val="TableParagraph"/>
              <w:spacing w:before="1"/>
              <w:ind w:left="88"/>
            </w:pPr>
            <w:r>
              <w:rPr>
                <w:color w:val="FFFFFF"/>
              </w:rPr>
              <w:t>Rural</w:t>
            </w:r>
            <w:r>
              <w:rPr>
                <w:color w:val="FFFFFF"/>
                <w:spacing w:val="-9"/>
              </w:rPr>
              <w:t xml:space="preserve"> </w:t>
            </w:r>
            <w:r>
              <w:rPr>
                <w:color w:val="FFFFFF"/>
                <w:spacing w:val="-2"/>
              </w:rPr>
              <w:t>customers</w:t>
            </w:r>
          </w:p>
        </w:tc>
        <w:tc>
          <w:tcPr>
            <w:tcW w:w="2768" w:type="dxa"/>
            <w:tcBorders>
              <w:top w:val="nil"/>
              <w:right w:val="nil"/>
            </w:tcBorders>
            <w:shd w:val="clear" w:color="auto" w:fill="006CA3"/>
          </w:tcPr>
          <w:p w14:paraId="40719D46" w14:textId="77777777" w:rsidR="00141B97" w:rsidRDefault="00911D63">
            <w:pPr>
              <w:pStyle w:val="TableParagraph"/>
              <w:spacing w:before="1"/>
              <w:ind w:left="1029" w:right="1020"/>
              <w:jc w:val="center"/>
            </w:pPr>
            <w:r>
              <w:rPr>
                <w:color w:val="FFFFFF"/>
                <w:spacing w:val="-2"/>
              </w:rPr>
              <w:t>Statistic</w:t>
            </w:r>
          </w:p>
        </w:tc>
      </w:tr>
      <w:tr w:rsidR="00141B97" w14:paraId="4CE5C5CC" w14:textId="77777777">
        <w:trPr>
          <w:trHeight w:val="308"/>
          <w:tblCellSpacing w:w="9" w:type="dxa"/>
        </w:trPr>
        <w:tc>
          <w:tcPr>
            <w:tcW w:w="6842" w:type="dxa"/>
            <w:tcBorders>
              <w:left w:val="nil"/>
            </w:tcBorders>
            <w:shd w:val="clear" w:color="auto" w:fill="CCE2ED"/>
          </w:tcPr>
          <w:p w14:paraId="086AB3CB" w14:textId="77777777" w:rsidR="00141B97" w:rsidRDefault="00911D63">
            <w:pPr>
              <w:pStyle w:val="TableParagraph"/>
              <w:spacing w:before="1"/>
              <w:ind w:left="88"/>
            </w:pPr>
            <w:r>
              <w:rPr>
                <w:spacing w:val="-2"/>
              </w:rPr>
              <w:t>Irrigation</w:t>
            </w:r>
            <w:r>
              <w:rPr>
                <w:spacing w:val="5"/>
              </w:rPr>
              <w:t xml:space="preserve"> </w:t>
            </w:r>
            <w:r>
              <w:rPr>
                <w:spacing w:val="-2"/>
              </w:rPr>
              <w:t>Customers</w:t>
            </w:r>
          </w:p>
        </w:tc>
        <w:tc>
          <w:tcPr>
            <w:tcW w:w="2768" w:type="dxa"/>
            <w:tcBorders>
              <w:right w:val="nil"/>
            </w:tcBorders>
            <w:shd w:val="clear" w:color="auto" w:fill="CCE2ED"/>
          </w:tcPr>
          <w:p w14:paraId="00801657" w14:textId="77777777" w:rsidR="00141B97" w:rsidRDefault="00911D63">
            <w:pPr>
              <w:pStyle w:val="TableParagraph"/>
              <w:spacing w:before="1"/>
              <w:ind w:right="86"/>
              <w:jc w:val="right"/>
            </w:pPr>
            <w:r>
              <w:t>2,759</w:t>
            </w:r>
            <w:r>
              <w:rPr>
                <w:spacing w:val="-6"/>
              </w:rPr>
              <w:t xml:space="preserve"> </w:t>
            </w:r>
            <w:r>
              <w:rPr>
                <w:spacing w:val="-5"/>
              </w:rPr>
              <w:t>No.</w:t>
            </w:r>
          </w:p>
        </w:tc>
      </w:tr>
      <w:tr w:rsidR="00141B97" w14:paraId="5879E438" w14:textId="77777777">
        <w:trPr>
          <w:trHeight w:val="308"/>
          <w:tblCellSpacing w:w="9" w:type="dxa"/>
        </w:trPr>
        <w:tc>
          <w:tcPr>
            <w:tcW w:w="6842" w:type="dxa"/>
            <w:tcBorders>
              <w:left w:val="nil"/>
            </w:tcBorders>
            <w:shd w:val="clear" w:color="auto" w:fill="CCE2ED"/>
          </w:tcPr>
          <w:p w14:paraId="25E1F3CF" w14:textId="77777777" w:rsidR="00141B97" w:rsidRDefault="00911D63">
            <w:pPr>
              <w:pStyle w:val="TableParagraph"/>
              <w:spacing w:before="1"/>
              <w:ind w:left="88"/>
            </w:pPr>
            <w:r>
              <w:t>Domestic</w:t>
            </w:r>
            <w:r>
              <w:rPr>
                <w:spacing w:val="-8"/>
              </w:rPr>
              <w:t xml:space="preserve"> </w:t>
            </w:r>
            <w:r>
              <w:t>and</w:t>
            </w:r>
            <w:r>
              <w:rPr>
                <w:spacing w:val="-8"/>
              </w:rPr>
              <w:t xml:space="preserve"> </w:t>
            </w:r>
            <w:r>
              <w:t>Stock</w:t>
            </w:r>
            <w:r>
              <w:rPr>
                <w:spacing w:val="-8"/>
              </w:rPr>
              <w:t xml:space="preserve"> </w:t>
            </w:r>
            <w:r>
              <w:rPr>
                <w:spacing w:val="-2"/>
              </w:rPr>
              <w:t>Customers</w:t>
            </w:r>
          </w:p>
        </w:tc>
        <w:tc>
          <w:tcPr>
            <w:tcW w:w="2768" w:type="dxa"/>
            <w:tcBorders>
              <w:right w:val="nil"/>
            </w:tcBorders>
            <w:shd w:val="clear" w:color="auto" w:fill="CCE2ED"/>
          </w:tcPr>
          <w:p w14:paraId="68532330" w14:textId="77777777" w:rsidR="00141B97" w:rsidRDefault="00911D63">
            <w:pPr>
              <w:pStyle w:val="TableParagraph"/>
              <w:spacing w:before="1"/>
              <w:ind w:right="86"/>
              <w:jc w:val="right"/>
            </w:pPr>
            <w:r>
              <w:t>1,975</w:t>
            </w:r>
            <w:r>
              <w:rPr>
                <w:spacing w:val="-6"/>
              </w:rPr>
              <w:t xml:space="preserve"> </w:t>
            </w:r>
            <w:r>
              <w:rPr>
                <w:spacing w:val="-5"/>
              </w:rPr>
              <w:t>No.</w:t>
            </w:r>
          </w:p>
        </w:tc>
      </w:tr>
      <w:tr w:rsidR="00141B97" w14:paraId="7AE46AD6" w14:textId="77777777">
        <w:trPr>
          <w:trHeight w:val="308"/>
          <w:tblCellSpacing w:w="9" w:type="dxa"/>
        </w:trPr>
        <w:tc>
          <w:tcPr>
            <w:tcW w:w="6842" w:type="dxa"/>
            <w:tcBorders>
              <w:left w:val="nil"/>
            </w:tcBorders>
            <w:shd w:val="clear" w:color="auto" w:fill="CCE2ED"/>
          </w:tcPr>
          <w:p w14:paraId="573514E1" w14:textId="77777777" w:rsidR="00141B97" w:rsidRDefault="00911D63">
            <w:pPr>
              <w:pStyle w:val="TableParagraph"/>
              <w:spacing w:before="1"/>
              <w:ind w:left="88"/>
            </w:pPr>
            <w:r>
              <w:t>Private</w:t>
            </w:r>
            <w:r>
              <w:rPr>
                <w:spacing w:val="-9"/>
              </w:rPr>
              <w:t xml:space="preserve"> </w:t>
            </w:r>
            <w:r>
              <w:rPr>
                <w:spacing w:val="-2"/>
              </w:rPr>
              <w:t>Diverters</w:t>
            </w:r>
          </w:p>
        </w:tc>
        <w:tc>
          <w:tcPr>
            <w:tcW w:w="2768" w:type="dxa"/>
            <w:tcBorders>
              <w:right w:val="nil"/>
            </w:tcBorders>
            <w:shd w:val="clear" w:color="auto" w:fill="CCE2ED"/>
          </w:tcPr>
          <w:p w14:paraId="2A6EE218" w14:textId="77777777" w:rsidR="00141B97" w:rsidRDefault="00911D63">
            <w:pPr>
              <w:pStyle w:val="TableParagraph"/>
              <w:spacing w:before="1"/>
              <w:ind w:right="86"/>
              <w:jc w:val="right"/>
            </w:pPr>
            <w:r>
              <w:t>1,317</w:t>
            </w:r>
            <w:r>
              <w:rPr>
                <w:spacing w:val="-6"/>
              </w:rPr>
              <w:t xml:space="preserve"> </w:t>
            </w:r>
            <w:r>
              <w:rPr>
                <w:spacing w:val="-5"/>
              </w:rPr>
              <w:t>No.</w:t>
            </w:r>
          </w:p>
        </w:tc>
      </w:tr>
      <w:tr w:rsidR="00141B97" w14:paraId="0C2BB727" w14:textId="77777777">
        <w:trPr>
          <w:trHeight w:val="308"/>
          <w:tblCellSpacing w:w="9" w:type="dxa"/>
        </w:trPr>
        <w:tc>
          <w:tcPr>
            <w:tcW w:w="6842" w:type="dxa"/>
            <w:tcBorders>
              <w:left w:val="nil"/>
            </w:tcBorders>
            <w:shd w:val="clear" w:color="auto" w:fill="CCE2ED"/>
          </w:tcPr>
          <w:p w14:paraId="27E395D2" w14:textId="77777777" w:rsidR="00141B97" w:rsidRDefault="00911D63">
            <w:pPr>
              <w:pStyle w:val="TableParagraph"/>
              <w:spacing w:before="1"/>
              <w:ind w:left="88"/>
            </w:pPr>
            <w:r>
              <w:t>Total</w:t>
            </w:r>
            <w:r>
              <w:rPr>
                <w:spacing w:val="-7"/>
              </w:rPr>
              <w:t xml:space="preserve"> </w:t>
            </w:r>
            <w:r>
              <w:rPr>
                <w:spacing w:val="-2"/>
              </w:rPr>
              <w:t>Customers</w:t>
            </w:r>
          </w:p>
        </w:tc>
        <w:tc>
          <w:tcPr>
            <w:tcW w:w="2768" w:type="dxa"/>
            <w:tcBorders>
              <w:right w:val="nil"/>
            </w:tcBorders>
            <w:shd w:val="clear" w:color="auto" w:fill="CCE2ED"/>
          </w:tcPr>
          <w:p w14:paraId="60F7595A" w14:textId="77777777" w:rsidR="00141B97" w:rsidRDefault="00911D63">
            <w:pPr>
              <w:pStyle w:val="TableParagraph"/>
              <w:spacing w:before="1"/>
              <w:ind w:right="86"/>
              <w:jc w:val="right"/>
            </w:pPr>
            <w:r>
              <w:t>6,051</w:t>
            </w:r>
            <w:r>
              <w:rPr>
                <w:spacing w:val="-6"/>
              </w:rPr>
              <w:t xml:space="preserve"> </w:t>
            </w:r>
            <w:r>
              <w:rPr>
                <w:spacing w:val="-5"/>
              </w:rPr>
              <w:t>No.</w:t>
            </w:r>
          </w:p>
        </w:tc>
      </w:tr>
      <w:tr w:rsidR="00141B97" w14:paraId="0E9B7D7F" w14:textId="77777777">
        <w:trPr>
          <w:trHeight w:val="308"/>
          <w:tblCellSpacing w:w="9" w:type="dxa"/>
        </w:trPr>
        <w:tc>
          <w:tcPr>
            <w:tcW w:w="9610" w:type="dxa"/>
            <w:gridSpan w:val="2"/>
            <w:tcBorders>
              <w:left w:val="nil"/>
              <w:right w:val="nil"/>
            </w:tcBorders>
            <w:shd w:val="clear" w:color="auto" w:fill="006CA3"/>
          </w:tcPr>
          <w:p w14:paraId="041E0466" w14:textId="77777777" w:rsidR="00141B97" w:rsidRDefault="00911D63">
            <w:pPr>
              <w:pStyle w:val="TableParagraph"/>
              <w:spacing w:before="1"/>
              <w:ind w:left="98"/>
            </w:pPr>
            <w:r>
              <w:rPr>
                <w:color w:val="FFFFFF"/>
              </w:rPr>
              <w:t>Rural</w:t>
            </w:r>
            <w:r>
              <w:rPr>
                <w:color w:val="FFFFFF"/>
                <w:spacing w:val="-8"/>
              </w:rPr>
              <w:t xml:space="preserve"> </w:t>
            </w:r>
            <w:r>
              <w:rPr>
                <w:color w:val="FFFFFF"/>
              </w:rPr>
              <w:t>water</w:t>
            </w:r>
            <w:r>
              <w:rPr>
                <w:color w:val="FFFFFF"/>
                <w:spacing w:val="-8"/>
              </w:rPr>
              <w:t xml:space="preserve"> </w:t>
            </w:r>
            <w:r>
              <w:rPr>
                <w:color w:val="FFFFFF"/>
                <w:spacing w:val="-2"/>
              </w:rPr>
              <w:t>usage</w:t>
            </w:r>
          </w:p>
        </w:tc>
      </w:tr>
      <w:tr w:rsidR="00141B97" w14:paraId="69CAE17C" w14:textId="77777777">
        <w:trPr>
          <w:trHeight w:val="308"/>
          <w:tblCellSpacing w:w="9" w:type="dxa"/>
        </w:trPr>
        <w:tc>
          <w:tcPr>
            <w:tcW w:w="6842" w:type="dxa"/>
            <w:tcBorders>
              <w:left w:val="nil"/>
            </w:tcBorders>
            <w:shd w:val="clear" w:color="auto" w:fill="CCE2ED"/>
          </w:tcPr>
          <w:p w14:paraId="7E2A2CB4" w14:textId="77777777" w:rsidR="00141B97" w:rsidRDefault="00911D63">
            <w:pPr>
              <w:pStyle w:val="TableParagraph"/>
              <w:spacing w:before="1"/>
              <w:ind w:left="88"/>
            </w:pPr>
            <w:r>
              <w:t>District</w:t>
            </w:r>
            <w:r>
              <w:rPr>
                <w:spacing w:val="-10"/>
              </w:rPr>
              <w:t xml:space="preserve"> </w:t>
            </w:r>
            <w:r>
              <w:t>Irrigation</w:t>
            </w:r>
            <w:r>
              <w:rPr>
                <w:spacing w:val="-7"/>
              </w:rPr>
              <w:t xml:space="preserve"> </w:t>
            </w:r>
            <w:r>
              <w:rPr>
                <w:spacing w:val="-4"/>
              </w:rPr>
              <w:t>Usage</w:t>
            </w:r>
          </w:p>
        </w:tc>
        <w:tc>
          <w:tcPr>
            <w:tcW w:w="2768" w:type="dxa"/>
            <w:tcBorders>
              <w:right w:val="nil"/>
            </w:tcBorders>
            <w:shd w:val="clear" w:color="auto" w:fill="CCE2ED"/>
          </w:tcPr>
          <w:p w14:paraId="3301DEBE" w14:textId="77777777" w:rsidR="00141B97" w:rsidRDefault="00911D63">
            <w:pPr>
              <w:pStyle w:val="TableParagraph"/>
              <w:spacing w:before="1"/>
              <w:ind w:right="85"/>
              <w:jc w:val="right"/>
            </w:pPr>
            <w:r>
              <w:t>92,317</w:t>
            </w:r>
            <w:r>
              <w:rPr>
                <w:spacing w:val="-8"/>
              </w:rPr>
              <w:t xml:space="preserve"> </w:t>
            </w:r>
            <w:r>
              <w:rPr>
                <w:spacing w:val="-5"/>
              </w:rPr>
              <w:t>ML</w:t>
            </w:r>
          </w:p>
        </w:tc>
      </w:tr>
      <w:tr w:rsidR="00141B97" w14:paraId="6EB600A7" w14:textId="77777777">
        <w:trPr>
          <w:trHeight w:val="308"/>
          <w:tblCellSpacing w:w="9" w:type="dxa"/>
        </w:trPr>
        <w:tc>
          <w:tcPr>
            <w:tcW w:w="6842" w:type="dxa"/>
            <w:tcBorders>
              <w:left w:val="nil"/>
            </w:tcBorders>
            <w:shd w:val="clear" w:color="auto" w:fill="CCE2ED"/>
          </w:tcPr>
          <w:p w14:paraId="2739304F" w14:textId="77777777" w:rsidR="00141B97" w:rsidRDefault="00911D63">
            <w:pPr>
              <w:pStyle w:val="TableParagraph"/>
              <w:spacing w:before="1"/>
              <w:ind w:left="88"/>
            </w:pPr>
            <w:r>
              <w:t>District</w:t>
            </w:r>
            <w:r>
              <w:rPr>
                <w:spacing w:val="-9"/>
              </w:rPr>
              <w:t xml:space="preserve"> </w:t>
            </w:r>
            <w:r>
              <w:t>Domestic</w:t>
            </w:r>
            <w:r>
              <w:rPr>
                <w:spacing w:val="-8"/>
              </w:rPr>
              <w:t xml:space="preserve"> </w:t>
            </w:r>
            <w:r>
              <w:t>and</w:t>
            </w:r>
            <w:r>
              <w:rPr>
                <w:spacing w:val="-7"/>
              </w:rPr>
              <w:t xml:space="preserve"> </w:t>
            </w:r>
            <w:r>
              <w:t>Stock</w:t>
            </w:r>
            <w:r>
              <w:rPr>
                <w:spacing w:val="-7"/>
              </w:rPr>
              <w:t xml:space="preserve"> </w:t>
            </w:r>
            <w:r>
              <w:rPr>
                <w:spacing w:val="-2"/>
              </w:rPr>
              <w:t>Usage</w:t>
            </w:r>
          </w:p>
        </w:tc>
        <w:tc>
          <w:tcPr>
            <w:tcW w:w="2768" w:type="dxa"/>
            <w:tcBorders>
              <w:right w:val="nil"/>
            </w:tcBorders>
            <w:shd w:val="clear" w:color="auto" w:fill="CCE2ED"/>
          </w:tcPr>
          <w:p w14:paraId="57FF0D81" w14:textId="77777777" w:rsidR="00141B97" w:rsidRDefault="00911D63">
            <w:pPr>
              <w:pStyle w:val="TableParagraph"/>
              <w:spacing w:before="1"/>
              <w:ind w:right="85"/>
              <w:jc w:val="right"/>
            </w:pPr>
            <w:r>
              <w:t>2,519</w:t>
            </w:r>
            <w:r>
              <w:rPr>
                <w:spacing w:val="-6"/>
              </w:rPr>
              <w:t xml:space="preserve"> </w:t>
            </w:r>
            <w:r>
              <w:rPr>
                <w:spacing w:val="-5"/>
              </w:rPr>
              <w:t>ML</w:t>
            </w:r>
          </w:p>
        </w:tc>
      </w:tr>
      <w:tr w:rsidR="00141B97" w14:paraId="50629582" w14:textId="77777777">
        <w:trPr>
          <w:trHeight w:val="310"/>
          <w:tblCellSpacing w:w="9" w:type="dxa"/>
        </w:trPr>
        <w:tc>
          <w:tcPr>
            <w:tcW w:w="6842" w:type="dxa"/>
            <w:tcBorders>
              <w:left w:val="nil"/>
            </w:tcBorders>
            <w:shd w:val="clear" w:color="auto" w:fill="CCE2ED"/>
          </w:tcPr>
          <w:p w14:paraId="5743EAFF" w14:textId="77777777" w:rsidR="00141B97" w:rsidRDefault="00911D63">
            <w:pPr>
              <w:pStyle w:val="TableParagraph"/>
              <w:spacing w:before="1"/>
              <w:ind w:left="88"/>
            </w:pPr>
            <w:r>
              <w:t>Diverters</w:t>
            </w:r>
            <w:r>
              <w:rPr>
                <w:spacing w:val="-12"/>
              </w:rPr>
              <w:t xml:space="preserve"> </w:t>
            </w:r>
            <w:r>
              <w:t>Annual</w:t>
            </w:r>
            <w:r>
              <w:rPr>
                <w:spacing w:val="-11"/>
              </w:rPr>
              <w:t xml:space="preserve"> </w:t>
            </w:r>
            <w:r>
              <w:rPr>
                <w:spacing w:val="-4"/>
              </w:rPr>
              <w:t>Usage</w:t>
            </w:r>
          </w:p>
        </w:tc>
        <w:tc>
          <w:tcPr>
            <w:tcW w:w="2768" w:type="dxa"/>
            <w:tcBorders>
              <w:right w:val="nil"/>
            </w:tcBorders>
            <w:shd w:val="clear" w:color="auto" w:fill="CCE2ED"/>
          </w:tcPr>
          <w:p w14:paraId="639B1ADE" w14:textId="77777777" w:rsidR="00141B97" w:rsidRDefault="00911D63">
            <w:pPr>
              <w:pStyle w:val="TableParagraph"/>
              <w:spacing w:before="1"/>
              <w:ind w:right="84"/>
              <w:jc w:val="right"/>
            </w:pPr>
            <w:r>
              <w:t>449,116</w:t>
            </w:r>
            <w:r>
              <w:rPr>
                <w:spacing w:val="-9"/>
              </w:rPr>
              <w:t xml:space="preserve"> </w:t>
            </w:r>
            <w:r>
              <w:rPr>
                <w:spacing w:val="-5"/>
              </w:rPr>
              <w:t>ML</w:t>
            </w:r>
          </w:p>
        </w:tc>
      </w:tr>
      <w:tr w:rsidR="00141B97" w14:paraId="5294FEB1" w14:textId="77777777">
        <w:trPr>
          <w:trHeight w:val="308"/>
          <w:tblCellSpacing w:w="9" w:type="dxa"/>
        </w:trPr>
        <w:tc>
          <w:tcPr>
            <w:tcW w:w="9610" w:type="dxa"/>
            <w:gridSpan w:val="2"/>
            <w:tcBorders>
              <w:left w:val="nil"/>
              <w:right w:val="nil"/>
            </w:tcBorders>
            <w:shd w:val="clear" w:color="auto" w:fill="006CA3"/>
          </w:tcPr>
          <w:p w14:paraId="710E746A" w14:textId="77777777" w:rsidR="00141B97" w:rsidRDefault="00911D63">
            <w:pPr>
              <w:pStyle w:val="TableParagraph"/>
              <w:ind w:left="98"/>
            </w:pPr>
            <w:r>
              <w:rPr>
                <w:color w:val="FFFFFF"/>
                <w:spacing w:val="-2"/>
              </w:rPr>
              <w:t>Assets</w:t>
            </w:r>
          </w:p>
        </w:tc>
      </w:tr>
      <w:tr w:rsidR="00141B97" w14:paraId="0F710776" w14:textId="77777777">
        <w:trPr>
          <w:trHeight w:val="308"/>
          <w:tblCellSpacing w:w="9" w:type="dxa"/>
        </w:trPr>
        <w:tc>
          <w:tcPr>
            <w:tcW w:w="6842" w:type="dxa"/>
            <w:tcBorders>
              <w:left w:val="nil"/>
            </w:tcBorders>
            <w:shd w:val="clear" w:color="auto" w:fill="CCE2ED"/>
          </w:tcPr>
          <w:p w14:paraId="38FBB3A1" w14:textId="77777777" w:rsidR="00141B97" w:rsidRDefault="00911D63">
            <w:pPr>
              <w:pStyle w:val="TableParagraph"/>
              <w:ind w:left="88"/>
            </w:pPr>
            <w:r>
              <w:t>Pump</w:t>
            </w:r>
            <w:r>
              <w:rPr>
                <w:spacing w:val="-7"/>
              </w:rPr>
              <w:t xml:space="preserve"> </w:t>
            </w:r>
            <w:r>
              <w:rPr>
                <w:spacing w:val="-2"/>
              </w:rPr>
              <w:t>Stations</w:t>
            </w:r>
          </w:p>
        </w:tc>
        <w:tc>
          <w:tcPr>
            <w:tcW w:w="2768" w:type="dxa"/>
            <w:tcBorders>
              <w:right w:val="nil"/>
            </w:tcBorders>
            <w:shd w:val="clear" w:color="auto" w:fill="CCE2ED"/>
          </w:tcPr>
          <w:p w14:paraId="2B26ED79" w14:textId="77777777" w:rsidR="00141B97" w:rsidRDefault="00911D63">
            <w:pPr>
              <w:pStyle w:val="TableParagraph"/>
              <w:ind w:right="87"/>
              <w:jc w:val="right"/>
            </w:pPr>
            <w:r>
              <w:t>12</w:t>
            </w:r>
            <w:r>
              <w:rPr>
                <w:spacing w:val="-4"/>
              </w:rPr>
              <w:t xml:space="preserve"> </w:t>
            </w:r>
            <w:r>
              <w:rPr>
                <w:spacing w:val="-5"/>
              </w:rPr>
              <w:t>No.</w:t>
            </w:r>
          </w:p>
        </w:tc>
      </w:tr>
      <w:tr w:rsidR="00141B97" w14:paraId="64B63F91" w14:textId="77777777">
        <w:trPr>
          <w:trHeight w:val="308"/>
          <w:tblCellSpacing w:w="9" w:type="dxa"/>
        </w:trPr>
        <w:tc>
          <w:tcPr>
            <w:tcW w:w="6842" w:type="dxa"/>
            <w:tcBorders>
              <w:left w:val="nil"/>
            </w:tcBorders>
            <w:shd w:val="clear" w:color="auto" w:fill="CCE2ED"/>
          </w:tcPr>
          <w:p w14:paraId="7E37FECC" w14:textId="77777777" w:rsidR="00141B97" w:rsidRDefault="00911D63">
            <w:pPr>
              <w:pStyle w:val="TableParagraph"/>
              <w:ind w:left="88"/>
            </w:pPr>
            <w:r>
              <w:rPr>
                <w:spacing w:val="-2"/>
              </w:rPr>
              <w:t>Irrigation</w:t>
            </w:r>
            <w:r>
              <w:rPr>
                <w:spacing w:val="5"/>
              </w:rPr>
              <w:t xml:space="preserve"> </w:t>
            </w:r>
            <w:r>
              <w:rPr>
                <w:spacing w:val="-2"/>
              </w:rPr>
              <w:t>Channels</w:t>
            </w:r>
          </w:p>
        </w:tc>
        <w:tc>
          <w:tcPr>
            <w:tcW w:w="2768" w:type="dxa"/>
            <w:tcBorders>
              <w:right w:val="nil"/>
            </w:tcBorders>
            <w:shd w:val="clear" w:color="auto" w:fill="CCE2ED"/>
          </w:tcPr>
          <w:p w14:paraId="4536DC82" w14:textId="77777777" w:rsidR="00141B97" w:rsidRDefault="00911D63">
            <w:pPr>
              <w:pStyle w:val="TableParagraph"/>
              <w:ind w:right="84"/>
              <w:jc w:val="right"/>
            </w:pPr>
            <w:r>
              <w:rPr>
                <w:spacing w:val="-2"/>
              </w:rPr>
              <w:t>36.2km</w:t>
            </w:r>
          </w:p>
        </w:tc>
      </w:tr>
      <w:tr w:rsidR="00141B97" w14:paraId="5B9E84E0" w14:textId="77777777">
        <w:trPr>
          <w:trHeight w:val="309"/>
          <w:tblCellSpacing w:w="9" w:type="dxa"/>
        </w:trPr>
        <w:tc>
          <w:tcPr>
            <w:tcW w:w="6842" w:type="dxa"/>
            <w:tcBorders>
              <w:left w:val="nil"/>
              <w:bottom w:val="nil"/>
            </w:tcBorders>
            <w:shd w:val="clear" w:color="auto" w:fill="CCE2ED"/>
          </w:tcPr>
          <w:p w14:paraId="3EB17D6F" w14:textId="77777777" w:rsidR="00141B97" w:rsidRDefault="00911D63">
            <w:pPr>
              <w:pStyle w:val="TableParagraph"/>
              <w:ind w:left="88"/>
            </w:pPr>
            <w:r>
              <w:rPr>
                <w:spacing w:val="-2"/>
              </w:rPr>
              <w:t>Irrigation</w:t>
            </w:r>
            <w:r>
              <w:rPr>
                <w:spacing w:val="5"/>
              </w:rPr>
              <w:t xml:space="preserve"> </w:t>
            </w:r>
            <w:r>
              <w:rPr>
                <w:spacing w:val="-2"/>
              </w:rPr>
              <w:t>Pipelines</w:t>
            </w:r>
          </w:p>
        </w:tc>
        <w:tc>
          <w:tcPr>
            <w:tcW w:w="2768" w:type="dxa"/>
            <w:tcBorders>
              <w:bottom w:val="nil"/>
              <w:right w:val="nil"/>
            </w:tcBorders>
            <w:shd w:val="clear" w:color="auto" w:fill="CCE2ED"/>
          </w:tcPr>
          <w:p w14:paraId="3A25EA69" w14:textId="77777777" w:rsidR="00141B97" w:rsidRDefault="00911D63">
            <w:pPr>
              <w:pStyle w:val="TableParagraph"/>
              <w:ind w:right="85"/>
              <w:jc w:val="right"/>
            </w:pPr>
            <w:r>
              <w:rPr>
                <w:spacing w:val="-2"/>
              </w:rPr>
              <w:t>626km</w:t>
            </w:r>
          </w:p>
        </w:tc>
      </w:tr>
    </w:tbl>
    <w:p w14:paraId="6B5C7132" w14:textId="77777777" w:rsidR="00141B97" w:rsidRDefault="00911D63">
      <w:pPr>
        <w:spacing w:before="27"/>
        <w:ind w:left="114"/>
        <w:jc w:val="both"/>
        <w:rPr>
          <w:sz w:val="16"/>
        </w:rPr>
      </w:pPr>
      <w:r>
        <w:rPr>
          <w:sz w:val="16"/>
        </w:rPr>
        <w:t>Table</w:t>
      </w:r>
      <w:r>
        <w:rPr>
          <w:spacing w:val="-4"/>
          <w:sz w:val="16"/>
        </w:rPr>
        <w:t xml:space="preserve"> </w:t>
      </w:r>
      <w:r>
        <w:rPr>
          <w:sz w:val="16"/>
        </w:rPr>
        <w:t>A1.2:</w:t>
      </w:r>
      <w:r>
        <w:rPr>
          <w:spacing w:val="-3"/>
          <w:sz w:val="16"/>
        </w:rPr>
        <w:t xml:space="preserve"> </w:t>
      </w:r>
      <w:r>
        <w:rPr>
          <w:sz w:val="16"/>
        </w:rPr>
        <w:t>Rural</w:t>
      </w:r>
      <w:r>
        <w:rPr>
          <w:spacing w:val="-4"/>
          <w:sz w:val="16"/>
        </w:rPr>
        <w:t xml:space="preserve"> </w:t>
      </w:r>
      <w:r>
        <w:rPr>
          <w:sz w:val="16"/>
        </w:rPr>
        <w:t>Customers</w:t>
      </w:r>
      <w:r>
        <w:rPr>
          <w:spacing w:val="-5"/>
          <w:sz w:val="16"/>
        </w:rPr>
        <w:t xml:space="preserve"> </w:t>
      </w:r>
      <w:r>
        <w:rPr>
          <w:sz w:val="16"/>
        </w:rPr>
        <w:t>and</w:t>
      </w:r>
      <w:r>
        <w:rPr>
          <w:spacing w:val="-4"/>
          <w:sz w:val="16"/>
        </w:rPr>
        <w:t xml:space="preserve"> </w:t>
      </w:r>
      <w:r>
        <w:rPr>
          <w:sz w:val="16"/>
        </w:rPr>
        <w:t>Assets</w:t>
      </w:r>
      <w:r>
        <w:rPr>
          <w:spacing w:val="-5"/>
          <w:sz w:val="16"/>
        </w:rPr>
        <w:t xml:space="preserve"> </w:t>
      </w:r>
      <w:r>
        <w:rPr>
          <w:spacing w:val="-2"/>
          <w:sz w:val="16"/>
        </w:rPr>
        <w:t>(2021‐22)</w:t>
      </w:r>
    </w:p>
    <w:p w14:paraId="546F739D" w14:textId="77777777" w:rsidR="00141B97" w:rsidRDefault="00141B97">
      <w:pPr>
        <w:pStyle w:val="BodyText"/>
        <w:spacing w:before="1"/>
        <w:rPr>
          <w:sz w:val="23"/>
        </w:rPr>
      </w:pPr>
    </w:p>
    <w:p w14:paraId="52B32FF7" w14:textId="77777777" w:rsidR="00141B97" w:rsidRDefault="00911D63">
      <w:pPr>
        <w:pStyle w:val="BodyText"/>
        <w:ind w:left="114"/>
        <w:jc w:val="both"/>
      </w:pPr>
      <w:r>
        <w:t>Government</w:t>
      </w:r>
      <w:r>
        <w:rPr>
          <w:spacing w:val="-8"/>
        </w:rPr>
        <w:t xml:space="preserve"> </w:t>
      </w:r>
      <w:r>
        <w:t>and</w:t>
      </w:r>
      <w:r>
        <w:rPr>
          <w:spacing w:val="-6"/>
        </w:rPr>
        <w:t xml:space="preserve"> </w:t>
      </w:r>
      <w:r>
        <w:t>Other</w:t>
      </w:r>
      <w:r>
        <w:rPr>
          <w:spacing w:val="-6"/>
        </w:rPr>
        <w:t xml:space="preserve"> </w:t>
      </w:r>
      <w:r>
        <w:rPr>
          <w:spacing w:val="-2"/>
        </w:rPr>
        <w:t>Obligations</w:t>
      </w:r>
    </w:p>
    <w:p w14:paraId="3F440014" w14:textId="77777777" w:rsidR="00141B97" w:rsidRDefault="00911D63">
      <w:pPr>
        <w:pStyle w:val="BodyText"/>
        <w:spacing w:before="60" w:line="276" w:lineRule="auto"/>
        <w:ind w:left="113" w:right="107"/>
        <w:jc w:val="both"/>
      </w:pPr>
      <w:r>
        <w:t>In</w:t>
      </w:r>
      <w:r>
        <w:rPr>
          <w:spacing w:val="-4"/>
        </w:rPr>
        <w:t xml:space="preserve"> </w:t>
      </w:r>
      <w:r>
        <w:t>addition</w:t>
      </w:r>
      <w:r>
        <w:rPr>
          <w:spacing w:val="-4"/>
        </w:rPr>
        <w:t xml:space="preserve"> </w:t>
      </w:r>
      <w:r>
        <w:t>to</w:t>
      </w:r>
      <w:r>
        <w:rPr>
          <w:spacing w:val="-4"/>
        </w:rPr>
        <w:t xml:space="preserve"> </w:t>
      </w:r>
      <w:r>
        <w:t>specific</w:t>
      </w:r>
      <w:r>
        <w:rPr>
          <w:spacing w:val="-3"/>
        </w:rPr>
        <w:t xml:space="preserve"> </w:t>
      </w:r>
      <w:r>
        <w:t>customer</w:t>
      </w:r>
      <w:r>
        <w:rPr>
          <w:spacing w:val="-1"/>
        </w:rPr>
        <w:t xml:space="preserve"> </w:t>
      </w:r>
      <w:r>
        <w:t>outcomes</w:t>
      </w:r>
      <w:r>
        <w:rPr>
          <w:spacing w:val="-2"/>
        </w:rPr>
        <w:t xml:space="preserve"> </w:t>
      </w:r>
      <w:r>
        <w:t>derived</w:t>
      </w:r>
      <w:r>
        <w:rPr>
          <w:spacing w:val="-2"/>
        </w:rPr>
        <w:t xml:space="preserve"> </w:t>
      </w:r>
      <w:r>
        <w:t>in</w:t>
      </w:r>
      <w:r>
        <w:rPr>
          <w:spacing w:val="-2"/>
        </w:rPr>
        <w:t xml:space="preserve"> </w:t>
      </w:r>
      <w:r>
        <w:t>close</w:t>
      </w:r>
      <w:r>
        <w:rPr>
          <w:spacing w:val="-4"/>
        </w:rPr>
        <w:t xml:space="preserve"> </w:t>
      </w:r>
      <w:r>
        <w:t>consultation</w:t>
      </w:r>
      <w:r>
        <w:rPr>
          <w:spacing w:val="-4"/>
        </w:rPr>
        <w:t xml:space="preserve"> </w:t>
      </w:r>
      <w:r>
        <w:t>with</w:t>
      </w:r>
      <w:r>
        <w:rPr>
          <w:spacing w:val="-3"/>
        </w:rPr>
        <w:t xml:space="preserve"> </w:t>
      </w:r>
      <w:r>
        <w:t>customers</w:t>
      </w:r>
      <w:r>
        <w:rPr>
          <w:spacing w:val="-3"/>
        </w:rPr>
        <w:t xml:space="preserve"> </w:t>
      </w:r>
      <w:r>
        <w:t>(detailed</w:t>
      </w:r>
      <w:r>
        <w:rPr>
          <w:spacing w:val="-3"/>
        </w:rPr>
        <w:t xml:space="preserve"> </w:t>
      </w:r>
      <w:r>
        <w:t>in</w:t>
      </w:r>
      <w:r>
        <w:rPr>
          <w:spacing w:val="-3"/>
        </w:rPr>
        <w:t xml:space="preserve"> </w:t>
      </w:r>
      <w:r>
        <w:t>Parts</w:t>
      </w:r>
      <w:r>
        <w:rPr>
          <w:spacing w:val="-2"/>
        </w:rPr>
        <w:t xml:space="preserve"> </w:t>
      </w:r>
      <w:r>
        <w:t>B</w:t>
      </w:r>
      <w:r>
        <w:rPr>
          <w:spacing w:val="-4"/>
        </w:rPr>
        <w:t xml:space="preserve"> </w:t>
      </w:r>
      <w:r>
        <w:t>and C),</w:t>
      </w:r>
      <w:r>
        <w:rPr>
          <w:spacing w:val="-13"/>
        </w:rPr>
        <w:t xml:space="preserve"> </w:t>
      </w:r>
      <w:r>
        <w:t>LMW</w:t>
      </w:r>
      <w:r>
        <w:rPr>
          <w:spacing w:val="-12"/>
        </w:rPr>
        <w:t xml:space="preserve"> </w:t>
      </w:r>
      <w:r>
        <w:t>has</w:t>
      </w:r>
      <w:r>
        <w:rPr>
          <w:spacing w:val="-13"/>
        </w:rPr>
        <w:t xml:space="preserve"> </w:t>
      </w:r>
      <w:r>
        <w:t>extensive</w:t>
      </w:r>
      <w:r>
        <w:rPr>
          <w:spacing w:val="-12"/>
        </w:rPr>
        <w:t xml:space="preserve"> </w:t>
      </w:r>
      <w:r>
        <w:t>legislative</w:t>
      </w:r>
      <w:r>
        <w:rPr>
          <w:spacing w:val="-13"/>
        </w:rPr>
        <w:t xml:space="preserve"> </w:t>
      </w:r>
      <w:r>
        <w:t>requirements</w:t>
      </w:r>
      <w:r>
        <w:rPr>
          <w:spacing w:val="-12"/>
        </w:rPr>
        <w:t xml:space="preserve"> </w:t>
      </w:r>
      <w:r>
        <w:t>and</w:t>
      </w:r>
      <w:r>
        <w:rPr>
          <w:spacing w:val="-13"/>
        </w:rPr>
        <w:t xml:space="preserve"> </w:t>
      </w:r>
      <w:r>
        <w:t>expectations</w:t>
      </w:r>
      <w:r>
        <w:rPr>
          <w:spacing w:val="-12"/>
        </w:rPr>
        <w:t xml:space="preserve"> </w:t>
      </w:r>
      <w:r>
        <w:t>from</w:t>
      </w:r>
      <w:r>
        <w:rPr>
          <w:spacing w:val="-12"/>
        </w:rPr>
        <w:t xml:space="preserve"> </w:t>
      </w:r>
      <w:r>
        <w:t>government</w:t>
      </w:r>
      <w:r>
        <w:rPr>
          <w:spacing w:val="-13"/>
        </w:rPr>
        <w:t xml:space="preserve"> </w:t>
      </w:r>
      <w:r>
        <w:t>stakeholders,</w:t>
      </w:r>
      <w:r>
        <w:rPr>
          <w:spacing w:val="-12"/>
        </w:rPr>
        <w:t xml:space="preserve"> </w:t>
      </w:r>
      <w:r>
        <w:t>many</w:t>
      </w:r>
      <w:r>
        <w:rPr>
          <w:spacing w:val="-13"/>
        </w:rPr>
        <w:t xml:space="preserve"> </w:t>
      </w:r>
      <w:r>
        <w:t>of</w:t>
      </w:r>
      <w:r>
        <w:rPr>
          <w:spacing w:val="-12"/>
        </w:rPr>
        <w:t xml:space="preserve"> </w:t>
      </w:r>
      <w:r>
        <w:t>which have a significant impact on the LMW business and its strategies, services, plans and processes. The most important of these include:</w:t>
      </w:r>
    </w:p>
    <w:p w14:paraId="2EC3E7F1" w14:textId="77777777" w:rsidR="00141B97" w:rsidRDefault="00911D63">
      <w:pPr>
        <w:pStyle w:val="ListParagraph"/>
        <w:numPr>
          <w:ilvl w:val="1"/>
          <w:numId w:val="2"/>
        </w:numPr>
        <w:tabs>
          <w:tab w:val="left" w:pos="964"/>
          <w:tab w:val="left" w:pos="965"/>
        </w:tabs>
        <w:spacing w:line="280" w:lineRule="exact"/>
      </w:pPr>
      <w:r>
        <w:t>Minister’s</w:t>
      </w:r>
      <w:r>
        <w:rPr>
          <w:spacing w:val="-8"/>
        </w:rPr>
        <w:t xml:space="preserve"> </w:t>
      </w:r>
      <w:r>
        <w:t>Letter</w:t>
      </w:r>
      <w:r>
        <w:rPr>
          <w:spacing w:val="-6"/>
        </w:rPr>
        <w:t xml:space="preserve"> </w:t>
      </w:r>
      <w:r>
        <w:t>of</w:t>
      </w:r>
      <w:r>
        <w:rPr>
          <w:spacing w:val="-5"/>
        </w:rPr>
        <w:t xml:space="preserve"> </w:t>
      </w:r>
      <w:r>
        <w:rPr>
          <w:spacing w:val="-2"/>
        </w:rPr>
        <w:t>Expectations</w:t>
      </w:r>
      <w:r>
        <w:rPr>
          <w:spacing w:val="-2"/>
          <w:vertAlign w:val="superscript"/>
        </w:rPr>
        <w:t>2</w:t>
      </w:r>
    </w:p>
    <w:p w14:paraId="2CA5D8E0" w14:textId="77777777" w:rsidR="00141B97" w:rsidRDefault="00911D63">
      <w:pPr>
        <w:pStyle w:val="ListParagraph"/>
        <w:numPr>
          <w:ilvl w:val="1"/>
          <w:numId w:val="2"/>
        </w:numPr>
        <w:tabs>
          <w:tab w:val="left" w:pos="964"/>
          <w:tab w:val="left" w:pos="965"/>
        </w:tabs>
        <w:spacing w:before="101"/>
      </w:pPr>
      <w:r>
        <w:t>Statement</w:t>
      </w:r>
      <w:r>
        <w:rPr>
          <w:spacing w:val="-10"/>
        </w:rPr>
        <w:t xml:space="preserve"> </w:t>
      </w:r>
      <w:r>
        <w:t>of</w:t>
      </w:r>
      <w:r>
        <w:rPr>
          <w:spacing w:val="-8"/>
        </w:rPr>
        <w:t xml:space="preserve"> </w:t>
      </w:r>
      <w:r>
        <w:t>Obligations</w:t>
      </w:r>
      <w:r>
        <w:rPr>
          <w:vertAlign w:val="superscript"/>
        </w:rPr>
        <w:t>3</w:t>
      </w:r>
      <w:r>
        <w:rPr>
          <w:spacing w:val="-10"/>
        </w:rPr>
        <w:t xml:space="preserve"> </w:t>
      </w:r>
      <w:r>
        <w:t>and</w:t>
      </w:r>
      <w:r>
        <w:rPr>
          <w:spacing w:val="-10"/>
        </w:rPr>
        <w:t xml:space="preserve"> </w:t>
      </w:r>
      <w:r>
        <w:t>Statement</w:t>
      </w:r>
      <w:r>
        <w:rPr>
          <w:spacing w:val="-10"/>
        </w:rPr>
        <w:t xml:space="preserve"> </w:t>
      </w:r>
      <w:r>
        <w:t>of</w:t>
      </w:r>
      <w:r>
        <w:rPr>
          <w:spacing w:val="-10"/>
        </w:rPr>
        <w:t xml:space="preserve"> </w:t>
      </w:r>
      <w:r>
        <w:t>Obligations</w:t>
      </w:r>
      <w:r>
        <w:rPr>
          <w:spacing w:val="-10"/>
        </w:rPr>
        <w:t xml:space="preserve"> </w:t>
      </w:r>
      <w:r>
        <w:t>(Emissions</w:t>
      </w:r>
      <w:r>
        <w:rPr>
          <w:spacing w:val="-9"/>
        </w:rPr>
        <w:t xml:space="preserve"> </w:t>
      </w:r>
      <w:r>
        <w:rPr>
          <w:spacing w:val="-2"/>
        </w:rPr>
        <w:t>Reduction</w:t>
      </w:r>
      <w:r>
        <w:rPr>
          <w:spacing w:val="-2"/>
          <w:vertAlign w:val="superscript"/>
        </w:rPr>
        <w:t>4</w:t>
      </w:r>
      <w:r>
        <w:rPr>
          <w:spacing w:val="-2"/>
        </w:rPr>
        <w:t>)</w:t>
      </w:r>
    </w:p>
    <w:p w14:paraId="717DD86C" w14:textId="77777777" w:rsidR="00141B97" w:rsidRDefault="00911D63">
      <w:pPr>
        <w:pStyle w:val="ListParagraph"/>
        <w:numPr>
          <w:ilvl w:val="1"/>
          <w:numId w:val="2"/>
        </w:numPr>
        <w:tabs>
          <w:tab w:val="left" w:pos="964"/>
          <w:tab w:val="left" w:pos="965"/>
        </w:tabs>
        <w:spacing w:before="100"/>
        <w:ind w:hanging="426"/>
      </w:pPr>
      <w:r>
        <w:t>Water</w:t>
      </w:r>
      <w:r>
        <w:rPr>
          <w:spacing w:val="-8"/>
        </w:rPr>
        <w:t xml:space="preserve"> </w:t>
      </w:r>
      <w:r>
        <w:t>for</w:t>
      </w:r>
      <w:r>
        <w:rPr>
          <w:spacing w:val="-6"/>
        </w:rPr>
        <w:t xml:space="preserve"> </w:t>
      </w:r>
      <w:r>
        <w:t>Victoria:</w:t>
      </w:r>
      <w:r>
        <w:rPr>
          <w:spacing w:val="-7"/>
        </w:rPr>
        <w:t xml:space="preserve"> </w:t>
      </w:r>
      <w:r>
        <w:t>The</w:t>
      </w:r>
      <w:r>
        <w:rPr>
          <w:spacing w:val="-7"/>
        </w:rPr>
        <w:t xml:space="preserve"> </w:t>
      </w:r>
      <w:r>
        <w:t>State</w:t>
      </w:r>
      <w:r>
        <w:rPr>
          <w:spacing w:val="-7"/>
        </w:rPr>
        <w:t xml:space="preserve"> </w:t>
      </w:r>
      <w:r>
        <w:t>Water</w:t>
      </w:r>
      <w:r>
        <w:rPr>
          <w:spacing w:val="-6"/>
        </w:rPr>
        <w:t xml:space="preserve"> </w:t>
      </w:r>
      <w:r>
        <w:rPr>
          <w:spacing w:val="-2"/>
        </w:rPr>
        <w:t>Plan</w:t>
      </w:r>
      <w:r>
        <w:rPr>
          <w:spacing w:val="-2"/>
          <w:vertAlign w:val="superscript"/>
        </w:rPr>
        <w:t>5</w:t>
      </w:r>
    </w:p>
    <w:p w14:paraId="03E49947" w14:textId="77777777" w:rsidR="00141B97" w:rsidRDefault="00141B97">
      <w:pPr>
        <w:pStyle w:val="BodyText"/>
        <w:spacing w:before="2"/>
        <w:rPr>
          <w:sz w:val="31"/>
        </w:rPr>
      </w:pPr>
    </w:p>
    <w:p w14:paraId="73D8FDF3" w14:textId="77777777" w:rsidR="00141B97" w:rsidRDefault="00911D63">
      <w:pPr>
        <w:pStyle w:val="BodyText"/>
        <w:ind w:left="114"/>
        <w:jc w:val="both"/>
      </w:pPr>
      <w:r>
        <w:t>A</w:t>
      </w:r>
      <w:r>
        <w:rPr>
          <w:spacing w:val="-8"/>
        </w:rPr>
        <w:t xml:space="preserve"> </w:t>
      </w:r>
      <w:r>
        <w:t>summary</w:t>
      </w:r>
      <w:r>
        <w:rPr>
          <w:spacing w:val="-7"/>
        </w:rPr>
        <w:t xml:space="preserve"> </w:t>
      </w:r>
      <w:r>
        <w:t>of</w:t>
      </w:r>
      <w:r>
        <w:rPr>
          <w:spacing w:val="-7"/>
        </w:rPr>
        <w:t xml:space="preserve"> </w:t>
      </w:r>
      <w:r>
        <w:t>the</w:t>
      </w:r>
      <w:r>
        <w:rPr>
          <w:spacing w:val="-8"/>
        </w:rPr>
        <w:t xml:space="preserve"> </w:t>
      </w:r>
      <w:r>
        <w:t>obligations</w:t>
      </w:r>
      <w:r>
        <w:rPr>
          <w:spacing w:val="-7"/>
        </w:rPr>
        <w:t xml:space="preserve"> </w:t>
      </w:r>
      <w:r>
        <w:t>from</w:t>
      </w:r>
      <w:r>
        <w:rPr>
          <w:spacing w:val="-7"/>
        </w:rPr>
        <w:t xml:space="preserve"> </w:t>
      </w:r>
      <w:r>
        <w:t>these</w:t>
      </w:r>
      <w:r>
        <w:rPr>
          <w:spacing w:val="-7"/>
        </w:rPr>
        <w:t xml:space="preserve"> </w:t>
      </w:r>
      <w:r>
        <w:t>key</w:t>
      </w:r>
      <w:r>
        <w:rPr>
          <w:spacing w:val="-8"/>
        </w:rPr>
        <w:t xml:space="preserve"> </w:t>
      </w:r>
      <w:r>
        <w:t>documents</w:t>
      </w:r>
      <w:r>
        <w:rPr>
          <w:spacing w:val="-8"/>
        </w:rPr>
        <w:t xml:space="preserve"> </w:t>
      </w:r>
      <w:r>
        <w:rPr>
          <w:spacing w:val="-2"/>
        </w:rPr>
        <w:t>include:</w:t>
      </w:r>
    </w:p>
    <w:p w14:paraId="66934637" w14:textId="77777777" w:rsidR="00141B97" w:rsidRDefault="00911D63">
      <w:pPr>
        <w:pStyle w:val="ListParagraph"/>
        <w:numPr>
          <w:ilvl w:val="0"/>
          <w:numId w:val="1"/>
        </w:numPr>
        <w:tabs>
          <w:tab w:val="left" w:pos="473"/>
          <w:tab w:val="left" w:pos="474"/>
        </w:tabs>
        <w:spacing w:before="39"/>
        <w:ind w:left="473" w:hanging="361"/>
      </w:pPr>
      <w:r>
        <w:t>Climate</w:t>
      </w:r>
      <w:r>
        <w:rPr>
          <w:spacing w:val="-10"/>
        </w:rPr>
        <w:t xml:space="preserve"> </w:t>
      </w:r>
      <w:r>
        <w:t>change</w:t>
      </w:r>
      <w:r>
        <w:rPr>
          <w:spacing w:val="-10"/>
        </w:rPr>
        <w:t xml:space="preserve"> </w:t>
      </w:r>
      <w:r>
        <w:t>adaptation</w:t>
      </w:r>
      <w:r>
        <w:rPr>
          <w:spacing w:val="-10"/>
        </w:rPr>
        <w:t xml:space="preserve"> </w:t>
      </w:r>
      <w:r>
        <w:t>and</w:t>
      </w:r>
      <w:r>
        <w:rPr>
          <w:spacing w:val="-9"/>
        </w:rPr>
        <w:t xml:space="preserve"> </w:t>
      </w:r>
      <w:r>
        <w:t>net‐zero</w:t>
      </w:r>
      <w:r>
        <w:rPr>
          <w:spacing w:val="-11"/>
        </w:rPr>
        <w:t xml:space="preserve"> </w:t>
      </w:r>
      <w:r>
        <w:t>carbon</w:t>
      </w:r>
      <w:r>
        <w:rPr>
          <w:spacing w:val="-8"/>
        </w:rPr>
        <w:t xml:space="preserve"> </w:t>
      </w:r>
      <w:r>
        <w:rPr>
          <w:spacing w:val="-2"/>
        </w:rPr>
        <w:t>emissions</w:t>
      </w:r>
    </w:p>
    <w:p w14:paraId="3AF99E66" w14:textId="77777777" w:rsidR="00141B97" w:rsidRDefault="00911D63">
      <w:pPr>
        <w:pStyle w:val="ListParagraph"/>
        <w:numPr>
          <w:ilvl w:val="0"/>
          <w:numId w:val="1"/>
        </w:numPr>
        <w:tabs>
          <w:tab w:val="left" w:pos="473"/>
          <w:tab w:val="left" w:pos="474"/>
        </w:tabs>
        <w:spacing w:before="40"/>
        <w:ind w:left="473" w:hanging="361"/>
      </w:pPr>
      <w:r>
        <w:t>Customer</w:t>
      </w:r>
      <w:r>
        <w:rPr>
          <w:spacing w:val="-9"/>
        </w:rPr>
        <w:t xml:space="preserve"> </w:t>
      </w:r>
      <w:r>
        <w:t>and</w:t>
      </w:r>
      <w:r>
        <w:rPr>
          <w:spacing w:val="-11"/>
        </w:rPr>
        <w:t xml:space="preserve"> </w:t>
      </w:r>
      <w:r>
        <w:t>community</w:t>
      </w:r>
      <w:r>
        <w:rPr>
          <w:spacing w:val="-8"/>
        </w:rPr>
        <w:t xml:space="preserve"> </w:t>
      </w:r>
      <w:r>
        <w:rPr>
          <w:spacing w:val="-2"/>
        </w:rPr>
        <w:t>outcomes</w:t>
      </w:r>
    </w:p>
    <w:p w14:paraId="153E708C" w14:textId="77777777" w:rsidR="00141B97" w:rsidRDefault="00911D63">
      <w:pPr>
        <w:pStyle w:val="ListParagraph"/>
        <w:numPr>
          <w:ilvl w:val="0"/>
          <w:numId w:val="1"/>
        </w:numPr>
        <w:tabs>
          <w:tab w:val="left" w:pos="473"/>
          <w:tab w:val="left" w:pos="474"/>
        </w:tabs>
        <w:spacing w:before="41"/>
        <w:ind w:left="473" w:hanging="361"/>
      </w:pPr>
      <w:r>
        <w:t>Aboriginal</w:t>
      </w:r>
      <w:r>
        <w:rPr>
          <w:spacing w:val="-10"/>
        </w:rPr>
        <w:t xml:space="preserve"> </w:t>
      </w:r>
      <w:r>
        <w:t>and</w:t>
      </w:r>
      <w:r>
        <w:rPr>
          <w:spacing w:val="-11"/>
        </w:rPr>
        <w:t xml:space="preserve"> </w:t>
      </w:r>
      <w:r>
        <w:t>recreational</w:t>
      </w:r>
      <w:r>
        <w:rPr>
          <w:spacing w:val="-10"/>
        </w:rPr>
        <w:t xml:space="preserve"> </w:t>
      </w:r>
      <w:r>
        <w:t>water</w:t>
      </w:r>
      <w:r>
        <w:rPr>
          <w:spacing w:val="-10"/>
        </w:rPr>
        <w:t xml:space="preserve"> </w:t>
      </w:r>
      <w:r>
        <w:rPr>
          <w:spacing w:val="-2"/>
        </w:rPr>
        <w:t>values</w:t>
      </w:r>
    </w:p>
    <w:p w14:paraId="177054E6" w14:textId="77777777" w:rsidR="00141B97" w:rsidRDefault="00911D63">
      <w:pPr>
        <w:pStyle w:val="ListParagraph"/>
        <w:numPr>
          <w:ilvl w:val="0"/>
          <w:numId w:val="1"/>
        </w:numPr>
        <w:tabs>
          <w:tab w:val="left" w:pos="473"/>
          <w:tab w:val="left" w:pos="474"/>
        </w:tabs>
        <w:spacing w:before="40"/>
        <w:ind w:left="473" w:hanging="361"/>
      </w:pPr>
      <w:r>
        <w:t>Resilient</w:t>
      </w:r>
      <w:r>
        <w:rPr>
          <w:spacing w:val="-9"/>
        </w:rPr>
        <w:t xml:space="preserve"> </w:t>
      </w:r>
      <w:r>
        <w:t>and</w:t>
      </w:r>
      <w:r>
        <w:rPr>
          <w:spacing w:val="-8"/>
        </w:rPr>
        <w:t xml:space="preserve"> </w:t>
      </w:r>
      <w:r>
        <w:t>liveable</w:t>
      </w:r>
      <w:r>
        <w:rPr>
          <w:spacing w:val="-10"/>
        </w:rPr>
        <w:t xml:space="preserve"> </w:t>
      </w:r>
      <w:r>
        <w:t>cities</w:t>
      </w:r>
      <w:r>
        <w:rPr>
          <w:spacing w:val="-7"/>
        </w:rPr>
        <w:t xml:space="preserve"> </w:t>
      </w:r>
      <w:r>
        <w:t>and</w:t>
      </w:r>
      <w:r>
        <w:rPr>
          <w:spacing w:val="-8"/>
        </w:rPr>
        <w:t xml:space="preserve"> </w:t>
      </w:r>
      <w:r>
        <w:t>towns,</w:t>
      </w:r>
      <w:r>
        <w:rPr>
          <w:spacing w:val="-8"/>
        </w:rPr>
        <w:t xml:space="preserve"> </w:t>
      </w:r>
      <w:r>
        <w:t>including</w:t>
      </w:r>
      <w:r>
        <w:rPr>
          <w:spacing w:val="-8"/>
        </w:rPr>
        <w:t xml:space="preserve"> </w:t>
      </w:r>
      <w:r>
        <w:rPr>
          <w:spacing w:val="-2"/>
        </w:rPr>
        <w:t>affordability</w:t>
      </w:r>
    </w:p>
    <w:p w14:paraId="4B75AB35" w14:textId="77777777" w:rsidR="00141B97" w:rsidRDefault="00911D63">
      <w:pPr>
        <w:pStyle w:val="ListParagraph"/>
        <w:numPr>
          <w:ilvl w:val="0"/>
          <w:numId w:val="1"/>
        </w:numPr>
        <w:tabs>
          <w:tab w:val="left" w:pos="473"/>
          <w:tab w:val="left" w:pos="474"/>
        </w:tabs>
        <w:spacing w:before="41"/>
        <w:ind w:left="473" w:hanging="361"/>
      </w:pPr>
      <w:r>
        <w:t>Leadership</w:t>
      </w:r>
      <w:r>
        <w:rPr>
          <w:spacing w:val="-10"/>
        </w:rPr>
        <w:t xml:space="preserve"> </w:t>
      </w:r>
      <w:r>
        <w:t>and</w:t>
      </w:r>
      <w:r>
        <w:rPr>
          <w:spacing w:val="-9"/>
        </w:rPr>
        <w:t xml:space="preserve"> </w:t>
      </w:r>
      <w:r>
        <w:t>culture,</w:t>
      </w:r>
      <w:r>
        <w:rPr>
          <w:spacing w:val="-8"/>
        </w:rPr>
        <w:t xml:space="preserve"> </w:t>
      </w:r>
      <w:r>
        <w:t>incorporating</w:t>
      </w:r>
      <w:r>
        <w:rPr>
          <w:spacing w:val="-7"/>
        </w:rPr>
        <w:t xml:space="preserve"> </w:t>
      </w:r>
      <w:r>
        <w:t>increases</w:t>
      </w:r>
      <w:r>
        <w:rPr>
          <w:spacing w:val="-9"/>
        </w:rPr>
        <w:t xml:space="preserve"> </w:t>
      </w:r>
      <w:r>
        <w:t>in</w:t>
      </w:r>
      <w:r>
        <w:rPr>
          <w:spacing w:val="-8"/>
        </w:rPr>
        <w:t xml:space="preserve"> </w:t>
      </w:r>
      <w:r>
        <w:t>diversity</w:t>
      </w:r>
      <w:r>
        <w:rPr>
          <w:spacing w:val="-9"/>
        </w:rPr>
        <w:t xml:space="preserve"> </w:t>
      </w:r>
      <w:r>
        <w:t>and</w:t>
      </w:r>
      <w:r>
        <w:rPr>
          <w:spacing w:val="-8"/>
        </w:rPr>
        <w:t xml:space="preserve"> </w:t>
      </w:r>
      <w:r>
        <w:rPr>
          <w:spacing w:val="-2"/>
        </w:rPr>
        <w:t>inclusion</w:t>
      </w:r>
    </w:p>
    <w:p w14:paraId="7C35FE2C" w14:textId="77777777" w:rsidR="00141B97" w:rsidRDefault="00911D63">
      <w:pPr>
        <w:pStyle w:val="ListParagraph"/>
        <w:numPr>
          <w:ilvl w:val="0"/>
          <w:numId w:val="1"/>
        </w:numPr>
        <w:tabs>
          <w:tab w:val="left" w:pos="473"/>
          <w:tab w:val="left" w:pos="474"/>
        </w:tabs>
        <w:spacing w:before="40"/>
        <w:ind w:left="473" w:hanging="361"/>
      </w:pPr>
      <w:r>
        <w:t>Strengthening</w:t>
      </w:r>
      <w:r>
        <w:rPr>
          <w:spacing w:val="-13"/>
        </w:rPr>
        <w:t xml:space="preserve"> </w:t>
      </w:r>
      <w:r>
        <w:t>Compliance</w:t>
      </w:r>
      <w:r>
        <w:rPr>
          <w:spacing w:val="-12"/>
        </w:rPr>
        <w:t xml:space="preserve"> </w:t>
      </w:r>
      <w:r>
        <w:t>and</w:t>
      </w:r>
      <w:r>
        <w:rPr>
          <w:spacing w:val="-13"/>
        </w:rPr>
        <w:t xml:space="preserve"> </w:t>
      </w:r>
      <w:r>
        <w:t>Groundwater</w:t>
      </w:r>
      <w:r>
        <w:rPr>
          <w:spacing w:val="-11"/>
        </w:rPr>
        <w:t xml:space="preserve"> </w:t>
      </w:r>
      <w:r>
        <w:t>Management</w:t>
      </w:r>
      <w:r>
        <w:rPr>
          <w:spacing w:val="-12"/>
        </w:rPr>
        <w:t xml:space="preserve"> </w:t>
      </w:r>
      <w:r>
        <w:rPr>
          <w:spacing w:val="-2"/>
        </w:rPr>
        <w:t>Reform</w:t>
      </w:r>
    </w:p>
    <w:p w14:paraId="3E64C9BB" w14:textId="77777777" w:rsidR="00141B97" w:rsidRDefault="00911D63">
      <w:pPr>
        <w:pStyle w:val="ListParagraph"/>
        <w:numPr>
          <w:ilvl w:val="0"/>
          <w:numId w:val="1"/>
        </w:numPr>
        <w:tabs>
          <w:tab w:val="left" w:pos="473"/>
          <w:tab w:val="left" w:pos="474"/>
        </w:tabs>
        <w:spacing w:before="40" w:line="276" w:lineRule="auto"/>
        <w:ind w:right="109" w:hanging="361"/>
      </w:pPr>
      <w:r>
        <w:t>Financial</w:t>
      </w:r>
      <w:r>
        <w:rPr>
          <w:spacing w:val="-13"/>
        </w:rPr>
        <w:t xml:space="preserve"> </w:t>
      </w:r>
      <w:r>
        <w:t>sustainability</w:t>
      </w:r>
      <w:r>
        <w:rPr>
          <w:spacing w:val="-11"/>
        </w:rPr>
        <w:t xml:space="preserve"> </w:t>
      </w:r>
      <w:r>
        <w:t>incorporating</w:t>
      </w:r>
      <w:r>
        <w:rPr>
          <w:spacing w:val="-11"/>
        </w:rPr>
        <w:t xml:space="preserve"> </w:t>
      </w:r>
      <w:r>
        <w:t>Department</w:t>
      </w:r>
      <w:r>
        <w:rPr>
          <w:spacing w:val="-12"/>
        </w:rPr>
        <w:t xml:space="preserve"> </w:t>
      </w:r>
      <w:r>
        <w:t>of</w:t>
      </w:r>
      <w:r>
        <w:rPr>
          <w:spacing w:val="-12"/>
        </w:rPr>
        <w:t xml:space="preserve"> </w:t>
      </w:r>
      <w:r>
        <w:t>Treasury</w:t>
      </w:r>
      <w:r>
        <w:rPr>
          <w:spacing w:val="-10"/>
        </w:rPr>
        <w:t xml:space="preserve"> </w:t>
      </w:r>
      <w:r>
        <w:t>and</w:t>
      </w:r>
      <w:r>
        <w:rPr>
          <w:spacing w:val="-11"/>
        </w:rPr>
        <w:t xml:space="preserve"> </w:t>
      </w:r>
      <w:r>
        <w:t>Finance</w:t>
      </w:r>
      <w:r>
        <w:rPr>
          <w:spacing w:val="-12"/>
        </w:rPr>
        <w:t xml:space="preserve"> </w:t>
      </w:r>
      <w:r>
        <w:t>Standing</w:t>
      </w:r>
      <w:r>
        <w:rPr>
          <w:spacing w:val="-13"/>
        </w:rPr>
        <w:t xml:space="preserve"> </w:t>
      </w:r>
      <w:r>
        <w:t>Directions</w:t>
      </w:r>
      <w:r>
        <w:rPr>
          <w:spacing w:val="-11"/>
        </w:rPr>
        <w:t xml:space="preserve"> </w:t>
      </w:r>
      <w:r>
        <w:t>and</w:t>
      </w:r>
      <w:r>
        <w:rPr>
          <w:spacing w:val="-11"/>
        </w:rPr>
        <w:t xml:space="preserve"> </w:t>
      </w:r>
      <w:r>
        <w:t>including Risk Management Framework and Asset Management Accountability Framework</w:t>
      </w:r>
    </w:p>
    <w:p w14:paraId="3B9BEC91" w14:textId="77777777" w:rsidR="00141B97" w:rsidRDefault="00911D63">
      <w:pPr>
        <w:pStyle w:val="ListParagraph"/>
        <w:numPr>
          <w:ilvl w:val="0"/>
          <w:numId w:val="1"/>
        </w:numPr>
        <w:tabs>
          <w:tab w:val="left" w:pos="473"/>
          <w:tab w:val="left" w:pos="474"/>
        </w:tabs>
        <w:spacing w:line="276" w:lineRule="auto"/>
        <w:ind w:left="473" w:right="107"/>
      </w:pPr>
      <w:r>
        <w:t xml:space="preserve">Drinking Water Quality – Department of Health and Human Services (DHHS), Health‐based water quality </w:t>
      </w:r>
      <w:r>
        <w:rPr>
          <w:spacing w:val="-2"/>
        </w:rPr>
        <w:t>targets</w:t>
      </w:r>
    </w:p>
    <w:p w14:paraId="67CF4426" w14:textId="77777777" w:rsidR="00141B97" w:rsidRDefault="00911D63">
      <w:pPr>
        <w:pStyle w:val="ListParagraph"/>
        <w:numPr>
          <w:ilvl w:val="0"/>
          <w:numId w:val="1"/>
        </w:numPr>
        <w:tabs>
          <w:tab w:val="left" w:pos="473"/>
          <w:tab w:val="left" w:pos="474"/>
        </w:tabs>
        <w:ind w:left="473" w:hanging="361"/>
      </w:pPr>
      <w:r>
        <w:rPr>
          <w:spacing w:val="-2"/>
        </w:rPr>
        <w:t>Environmental</w:t>
      </w:r>
      <w:r>
        <w:rPr>
          <w:spacing w:val="5"/>
        </w:rPr>
        <w:t xml:space="preserve"> </w:t>
      </w:r>
      <w:r>
        <w:rPr>
          <w:spacing w:val="-2"/>
        </w:rPr>
        <w:t>Requirements</w:t>
      </w:r>
      <w:r>
        <w:rPr>
          <w:spacing w:val="6"/>
        </w:rPr>
        <w:t xml:space="preserve"> </w:t>
      </w:r>
      <w:r>
        <w:rPr>
          <w:spacing w:val="-2"/>
        </w:rPr>
        <w:t>‐</w:t>
      </w:r>
      <w:r>
        <w:rPr>
          <w:spacing w:val="6"/>
        </w:rPr>
        <w:t xml:space="preserve"> </w:t>
      </w:r>
      <w:r>
        <w:rPr>
          <w:spacing w:val="-2"/>
        </w:rPr>
        <w:t>Environment</w:t>
      </w:r>
      <w:r>
        <w:rPr>
          <w:spacing w:val="6"/>
        </w:rPr>
        <w:t xml:space="preserve"> </w:t>
      </w:r>
      <w:r>
        <w:rPr>
          <w:spacing w:val="-2"/>
        </w:rPr>
        <w:t>Protection</w:t>
      </w:r>
      <w:r>
        <w:rPr>
          <w:spacing w:val="6"/>
        </w:rPr>
        <w:t xml:space="preserve"> </w:t>
      </w:r>
      <w:r>
        <w:rPr>
          <w:spacing w:val="-2"/>
        </w:rPr>
        <w:t>Authority</w:t>
      </w:r>
      <w:r>
        <w:rPr>
          <w:spacing w:val="6"/>
        </w:rPr>
        <w:t xml:space="preserve"> </w:t>
      </w:r>
      <w:r>
        <w:rPr>
          <w:spacing w:val="-2"/>
        </w:rPr>
        <w:t>(EPA).</w:t>
      </w:r>
    </w:p>
    <w:p w14:paraId="15765EF7" w14:textId="77777777" w:rsidR="00141B97" w:rsidRDefault="00141B97">
      <w:pPr>
        <w:pStyle w:val="BodyText"/>
        <w:rPr>
          <w:sz w:val="20"/>
        </w:rPr>
      </w:pPr>
    </w:p>
    <w:p w14:paraId="7925F88D" w14:textId="77777777" w:rsidR="00141B97" w:rsidRDefault="00141B97">
      <w:pPr>
        <w:pStyle w:val="BodyText"/>
        <w:rPr>
          <w:sz w:val="20"/>
        </w:rPr>
      </w:pPr>
    </w:p>
    <w:p w14:paraId="40BD3CB9" w14:textId="77777777" w:rsidR="00141B97" w:rsidRDefault="00141B97">
      <w:pPr>
        <w:pStyle w:val="BodyText"/>
        <w:rPr>
          <w:sz w:val="20"/>
        </w:rPr>
      </w:pPr>
    </w:p>
    <w:p w14:paraId="36CF56A8" w14:textId="77777777" w:rsidR="00141B97" w:rsidRDefault="00141B97">
      <w:pPr>
        <w:pStyle w:val="BodyText"/>
        <w:rPr>
          <w:sz w:val="20"/>
        </w:rPr>
      </w:pPr>
    </w:p>
    <w:p w14:paraId="4B3C2F84" w14:textId="77777777" w:rsidR="00141B97" w:rsidRDefault="00141B97">
      <w:pPr>
        <w:pStyle w:val="BodyText"/>
        <w:rPr>
          <w:sz w:val="20"/>
        </w:rPr>
      </w:pPr>
    </w:p>
    <w:p w14:paraId="5EF7B58A" w14:textId="651F0770" w:rsidR="00141B97" w:rsidRDefault="00911D63">
      <w:pPr>
        <w:pStyle w:val="BodyText"/>
        <w:spacing w:before="9"/>
        <w:rPr>
          <w:sz w:val="18"/>
        </w:rPr>
      </w:pPr>
      <w:r>
        <w:rPr>
          <w:noProof/>
        </w:rPr>
        <mc:AlternateContent>
          <mc:Choice Requires="wps">
            <w:drawing>
              <wp:anchor distT="0" distB="0" distL="0" distR="0" simplePos="0" relativeHeight="487627264" behindDoc="1" locked="0" layoutInCell="1" allowOverlap="1" wp14:anchorId="69CE72B2" wp14:editId="67633CC4">
                <wp:simplePos x="0" y="0"/>
                <wp:positionH relativeFrom="page">
                  <wp:posOffset>720090</wp:posOffset>
                </wp:positionH>
                <wp:positionV relativeFrom="paragraph">
                  <wp:posOffset>161290</wp:posOffset>
                </wp:positionV>
                <wp:extent cx="1828800" cy="6350"/>
                <wp:effectExtent l="0" t="0" r="0" b="0"/>
                <wp:wrapTopAndBottom/>
                <wp:docPr id="26"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8313" id="docshape289" o:spid="_x0000_s1026" style="position:absolute;margin-left:56.7pt;margin-top:12.7pt;width:2in;height:.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" fillcolor="black" stroked="f">
                <w10:wrap type="topAndBottom" anchorx="page"/>
              </v:rect>
            </w:pict>
          </mc:Fallback>
        </mc:AlternateContent>
      </w:r>
    </w:p>
    <w:p w14:paraId="5FFC6020" w14:textId="77777777" w:rsidR="00141B97" w:rsidRDefault="00911D63">
      <w:pPr>
        <w:spacing w:before="85"/>
        <w:ind w:left="114"/>
        <w:rPr>
          <w:sz w:val="14"/>
        </w:rPr>
      </w:pPr>
      <w:r>
        <w:rPr>
          <w:position w:val="4"/>
          <w:sz w:val="9"/>
        </w:rPr>
        <w:t>2</w:t>
      </w:r>
      <w:r>
        <w:rPr>
          <w:spacing w:val="8"/>
          <w:position w:val="4"/>
          <w:sz w:val="9"/>
        </w:rPr>
        <w:t xml:space="preserve"> </w:t>
      </w:r>
      <w:r>
        <w:rPr>
          <w:sz w:val="14"/>
        </w:rPr>
        <w:t>Minister</w:t>
      </w:r>
      <w:r>
        <w:rPr>
          <w:spacing w:val="-3"/>
          <w:sz w:val="14"/>
        </w:rPr>
        <w:t xml:space="preserve"> </w:t>
      </w:r>
      <w:r>
        <w:rPr>
          <w:sz w:val="14"/>
        </w:rPr>
        <w:t>for</w:t>
      </w:r>
      <w:r>
        <w:rPr>
          <w:spacing w:val="-3"/>
          <w:sz w:val="14"/>
        </w:rPr>
        <w:t xml:space="preserve"> </w:t>
      </w:r>
      <w:r>
        <w:rPr>
          <w:sz w:val="14"/>
        </w:rPr>
        <w:t>Water’s</w:t>
      </w:r>
      <w:r>
        <w:rPr>
          <w:spacing w:val="-3"/>
          <w:sz w:val="14"/>
        </w:rPr>
        <w:t xml:space="preserve"> </w:t>
      </w:r>
      <w:r>
        <w:rPr>
          <w:sz w:val="14"/>
        </w:rPr>
        <w:t>Letter</w:t>
      </w:r>
      <w:r>
        <w:rPr>
          <w:spacing w:val="-4"/>
          <w:sz w:val="14"/>
        </w:rPr>
        <w:t xml:space="preserve"> </w:t>
      </w:r>
      <w:r>
        <w:rPr>
          <w:sz w:val="14"/>
        </w:rPr>
        <w:t>of</w:t>
      </w:r>
      <w:r>
        <w:rPr>
          <w:spacing w:val="-2"/>
          <w:sz w:val="14"/>
        </w:rPr>
        <w:t xml:space="preserve"> Expectations</w:t>
      </w:r>
    </w:p>
    <w:p w14:paraId="7000822A" w14:textId="77777777" w:rsidR="00141B97" w:rsidRDefault="00911D63">
      <w:pPr>
        <w:spacing w:before="99"/>
        <w:ind w:left="114"/>
        <w:rPr>
          <w:sz w:val="14"/>
        </w:rPr>
      </w:pPr>
      <w:r>
        <w:rPr>
          <w:position w:val="4"/>
          <w:sz w:val="9"/>
        </w:rPr>
        <w:t>3</w:t>
      </w:r>
      <w:r>
        <w:rPr>
          <w:spacing w:val="9"/>
          <w:position w:val="4"/>
          <w:sz w:val="9"/>
        </w:rPr>
        <w:t xml:space="preserve"> </w:t>
      </w:r>
      <w:r>
        <w:rPr>
          <w:sz w:val="14"/>
        </w:rPr>
        <w:t>Statement</w:t>
      </w:r>
      <w:r>
        <w:rPr>
          <w:spacing w:val="-2"/>
          <w:sz w:val="14"/>
        </w:rPr>
        <w:t xml:space="preserve"> </w:t>
      </w:r>
      <w:r>
        <w:rPr>
          <w:sz w:val="14"/>
        </w:rPr>
        <w:t>of</w:t>
      </w:r>
      <w:r>
        <w:rPr>
          <w:spacing w:val="-2"/>
          <w:sz w:val="14"/>
        </w:rPr>
        <w:t xml:space="preserve"> Obligations</w:t>
      </w:r>
    </w:p>
    <w:p w14:paraId="5E8E7D97" w14:textId="77777777" w:rsidR="00141B97" w:rsidRDefault="00911D63">
      <w:pPr>
        <w:spacing w:before="100"/>
        <w:ind w:left="114"/>
        <w:rPr>
          <w:sz w:val="14"/>
        </w:rPr>
      </w:pPr>
      <w:r>
        <w:rPr>
          <w:position w:val="4"/>
          <w:sz w:val="9"/>
        </w:rPr>
        <w:t>4</w:t>
      </w:r>
      <w:r>
        <w:rPr>
          <w:spacing w:val="7"/>
          <w:position w:val="4"/>
          <w:sz w:val="9"/>
        </w:rPr>
        <w:t xml:space="preserve"> </w:t>
      </w:r>
      <w:r>
        <w:rPr>
          <w:sz w:val="14"/>
        </w:rPr>
        <w:t>Statement</w:t>
      </w:r>
      <w:r>
        <w:rPr>
          <w:spacing w:val="-4"/>
          <w:sz w:val="14"/>
        </w:rPr>
        <w:t xml:space="preserve"> </w:t>
      </w:r>
      <w:r>
        <w:rPr>
          <w:sz w:val="14"/>
        </w:rPr>
        <w:t>of</w:t>
      </w:r>
      <w:r>
        <w:rPr>
          <w:spacing w:val="-3"/>
          <w:sz w:val="14"/>
        </w:rPr>
        <w:t xml:space="preserve"> </w:t>
      </w:r>
      <w:r>
        <w:rPr>
          <w:sz w:val="14"/>
        </w:rPr>
        <w:t>Obligations</w:t>
      </w:r>
      <w:r>
        <w:rPr>
          <w:spacing w:val="-5"/>
          <w:sz w:val="14"/>
        </w:rPr>
        <w:t xml:space="preserve"> </w:t>
      </w:r>
      <w:r>
        <w:rPr>
          <w:sz w:val="14"/>
        </w:rPr>
        <w:t>(Emissions</w:t>
      </w:r>
      <w:r>
        <w:rPr>
          <w:spacing w:val="-4"/>
          <w:sz w:val="14"/>
        </w:rPr>
        <w:t xml:space="preserve"> </w:t>
      </w:r>
      <w:r>
        <w:rPr>
          <w:spacing w:val="-2"/>
          <w:sz w:val="14"/>
        </w:rPr>
        <w:t>Reduction)</w:t>
      </w:r>
    </w:p>
    <w:p w14:paraId="1B74FF45" w14:textId="77777777" w:rsidR="00141B97" w:rsidRDefault="00911D63">
      <w:pPr>
        <w:spacing w:before="100"/>
        <w:ind w:left="114"/>
        <w:rPr>
          <w:sz w:val="14"/>
        </w:rPr>
      </w:pPr>
      <w:r>
        <w:rPr>
          <w:position w:val="4"/>
          <w:sz w:val="9"/>
        </w:rPr>
        <w:t>5</w:t>
      </w:r>
      <w:r>
        <w:rPr>
          <w:spacing w:val="8"/>
          <w:position w:val="4"/>
          <w:sz w:val="9"/>
        </w:rPr>
        <w:t xml:space="preserve"> </w:t>
      </w:r>
      <w:r>
        <w:rPr>
          <w:sz w:val="14"/>
        </w:rPr>
        <w:t>Water</w:t>
      </w:r>
      <w:r>
        <w:rPr>
          <w:spacing w:val="-3"/>
          <w:sz w:val="14"/>
        </w:rPr>
        <w:t xml:space="preserve"> </w:t>
      </w:r>
      <w:r>
        <w:rPr>
          <w:sz w:val="14"/>
        </w:rPr>
        <w:t>for</w:t>
      </w:r>
      <w:r>
        <w:rPr>
          <w:spacing w:val="-3"/>
          <w:sz w:val="14"/>
        </w:rPr>
        <w:t xml:space="preserve"> </w:t>
      </w:r>
      <w:r>
        <w:rPr>
          <w:sz w:val="14"/>
        </w:rPr>
        <w:t>Victoria:</w:t>
      </w:r>
      <w:r>
        <w:rPr>
          <w:spacing w:val="-3"/>
          <w:sz w:val="14"/>
        </w:rPr>
        <w:t xml:space="preserve"> </w:t>
      </w:r>
      <w:r>
        <w:rPr>
          <w:sz w:val="14"/>
        </w:rPr>
        <w:t>The</w:t>
      </w:r>
      <w:r>
        <w:rPr>
          <w:spacing w:val="-3"/>
          <w:sz w:val="14"/>
        </w:rPr>
        <w:t xml:space="preserve"> </w:t>
      </w:r>
      <w:r>
        <w:rPr>
          <w:sz w:val="14"/>
        </w:rPr>
        <w:t>State</w:t>
      </w:r>
      <w:r>
        <w:rPr>
          <w:spacing w:val="-2"/>
          <w:sz w:val="14"/>
        </w:rPr>
        <w:t xml:space="preserve"> </w:t>
      </w:r>
      <w:r>
        <w:rPr>
          <w:sz w:val="14"/>
        </w:rPr>
        <w:t>Water</w:t>
      </w:r>
      <w:r>
        <w:rPr>
          <w:spacing w:val="-3"/>
          <w:sz w:val="14"/>
        </w:rPr>
        <w:t xml:space="preserve"> </w:t>
      </w:r>
      <w:r>
        <w:rPr>
          <w:spacing w:val="-4"/>
          <w:sz w:val="14"/>
        </w:rPr>
        <w:t>Plan</w:t>
      </w:r>
    </w:p>
    <w:p w14:paraId="7271C5BE" w14:textId="77777777" w:rsidR="00141B97" w:rsidRDefault="00141B97">
      <w:pPr>
        <w:rPr>
          <w:sz w:val="14"/>
        </w:rPr>
        <w:sectPr w:rsidR="00141B97">
          <w:pgSz w:w="11910" w:h="16840"/>
          <w:pgMar w:top="820" w:right="880" w:bottom="540" w:left="1020" w:header="0" w:footer="348" w:gutter="0"/>
          <w:cols w:space="720"/>
        </w:sectPr>
      </w:pPr>
    </w:p>
    <w:p w14:paraId="11BBF566" w14:textId="77777777" w:rsidR="00141B97" w:rsidRDefault="00911D63">
      <w:pPr>
        <w:pStyle w:val="Heading1"/>
        <w:spacing w:line="574" w:lineRule="exact"/>
        <w:ind w:left="124"/>
      </w:pPr>
      <w:r>
        <w:rPr>
          <w:color w:val="006CA3"/>
        </w:rPr>
        <w:lastRenderedPageBreak/>
        <w:t>PART</w:t>
      </w:r>
      <w:r>
        <w:rPr>
          <w:color w:val="006CA3"/>
          <w:spacing w:val="-4"/>
        </w:rPr>
        <w:t xml:space="preserve"> </w:t>
      </w:r>
      <w:r>
        <w:rPr>
          <w:color w:val="006CA3"/>
        </w:rPr>
        <w:t xml:space="preserve">B – URBAN </w:t>
      </w:r>
      <w:r>
        <w:rPr>
          <w:color w:val="006CA3"/>
          <w:spacing w:val="-2"/>
        </w:rPr>
        <w:t>APPENDICES</w:t>
      </w:r>
    </w:p>
    <w:p w14:paraId="72C208C4" w14:textId="77777777" w:rsidR="00141B97" w:rsidRDefault="00141B97">
      <w:pPr>
        <w:pStyle w:val="BodyText"/>
        <w:spacing w:before="3"/>
        <w:rPr>
          <w:sz w:val="38"/>
        </w:rPr>
      </w:pPr>
    </w:p>
    <w:p w14:paraId="18D748AF" w14:textId="77777777" w:rsidR="00141B97" w:rsidRDefault="00911D63">
      <w:pPr>
        <w:pStyle w:val="Heading2"/>
        <w:ind w:left="124" w:firstLine="0"/>
      </w:pPr>
      <w:r>
        <w:rPr>
          <w:color w:val="009BAC"/>
        </w:rPr>
        <w:t>Appendix</w:t>
      </w:r>
      <w:r>
        <w:rPr>
          <w:color w:val="009BAC"/>
          <w:spacing w:val="-5"/>
        </w:rPr>
        <w:t xml:space="preserve"> </w:t>
      </w:r>
      <w:r>
        <w:rPr>
          <w:color w:val="009BAC"/>
        </w:rPr>
        <w:t>B1</w:t>
      </w:r>
      <w:r>
        <w:rPr>
          <w:color w:val="009BAC"/>
          <w:spacing w:val="-4"/>
        </w:rPr>
        <w:t xml:space="preserve"> </w:t>
      </w:r>
      <w:r>
        <w:rPr>
          <w:color w:val="009BAC"/>
        </w:rPr>
        <w:t>–</w:t>
      </w:r>
      <w:r>
        <w:rPr>
          <w:color w:val="009BAC"/>
          <w:spacing w:val="-6"/>
        </w:rPr>
        <w:t xml:space="preserve"> </w:t>
      </w:r>
      <w:r>
        <w:rPr>
          <w:color w:val="009BAC"/>
        </w:rPr>
        <w:t>Urban</w:t>
      </w:r>
      <w:r>
        <w:rPr>
          <w:color w:val="009BAC"/>
          <w:spacing w:val="-7"/>
        </w:rPr>
        <w:t xml:space="preserve"> </w:t>
      </w:r>
      <w:r>
        <w:rPr>
          <w:color w:val="009BAC"/>
        </w:rPr>
        <w:t>Capital</w:t>
      </w:r>
      <w:r>
        <w:rPr>
          <w:color w:val="009BAC"/>
          <w:spacing w:val="-5"/>
        </w:rPr>
        <w:t xml:space="preserve"> </w:t>
      </w:r>
      <w:r>
        <w:rPr>
          <w:color w:val="009BAC"/>
          <w:spacing w:val="-2"/>
        </w:rPr>
        <w:t>Program</w:t>
      </w:r>
    </w:p>
    <w:p w14:paraId="160C1042" w14:textId="77777777" w:rsidR="00141B97" w:rsidRDefault="00141B97">
      <w:pPr>
        <w:pStyle w:val="BodyText"/>
        <w:spacing w:before="4"/>
        <w:rPr>
          <w:sz w:val="11"/>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276"/>
        <w:gridCol w:w="1393"/>
        <w:gridCol w:w="1904"/>
        <w:gridCol w:w="1244"/>
        <w:gridCol w:w="1245"/>
        <w:gridCol w:w="1244"/>
        <w:gridCol w:w="1244"/>
        <w:gridCol w:w="1243"/>
        <w:gridCol w:w="1049"/>
      </w:tblGrid>
      <w:tr w:rsidR="00141B97" w14:paraId="52C0CC3D" w14:textId="77777777">
        <w:trPr>
          <w:trHeight w:val="555"/>
          <w:tblCellSpacing w:w="9" w:type="dxa"/>
        </w:trPr>
        <w:tc>
          <w:tcPr>
            <w:tcW w:w="5249" w:type="dxa"/>
            <w:tcBorders>
              <w:top w:val="nil"/>
              <w:left w:val="nil"/>
            </w:tcBorders>
            <w:shd w:val="clear" w:color="auto" w:fill="006CA3"/>
          </w:tcPr>
          <w:p w14:paraId="67D86DAB" w14:textId="77777777" w:rsidR="00141B97" w:rsidRDefault="00141B97">
            <w:pPr>
              <w:pStyle w:val="TableParagraph"/>
              <w:spacing w:before="9"/>
              <w:rPr>
                <w:sz w:val="14"/>
              </w:rPr>
            </w:pPr>
          </w:p>
          <w:p w14:paraId="74F43413" w14:textId="77777777" w:rsidR="00141B97" w:rsidRDefault="00911D63">
            <w:pPr>
              <w:pStyle w:val="TableParagraph"/>
              <w:ind w:left="88"/>
              <w:rPr>
                <w:sz w:val="16"/>
              </w:rPr>
            </w:pPr>
            <w:r>
              <w:rPr>
                <w:color w:val="FFFFFF"/>
                <w:w w:val="95"/>
                <w:sz w:val="16"/>
              </w:rPr>
              <w:t>Project/program</w:t>
            </w:r>
            <w:r>
              <w:rPr>
                <w:color w:val="FFFFFF"/>
                <w:spacing w:val="40"/>
                <w:sz w:val="16"/>
              </w:rPr>
              <w:t xml:space="preserve"> </w:t>
            </w:r>
            <w:r>
              <w:rPr>
                <w:color w:val="FFFFFF"/>
                <w:spacing w:val="-4"/>
                <w:w w:val="95"/>
                <w:sz w:val="16"/>
              </w:rPr>
              <w:t>Name</w:t>
            </w:r>
          </w:p>
        </w:tc>
        <w:tc>
          <w:tcPr>
            <w:tcW w:w="1375" w:type="dxa"/>
            <w:tcBorders>
              <w:top w:val="nil"/>
            </w:tcBorders>
            <w:shd w:val="clear" w:color="auto" w:fill="006CA3"/>
          </w:tcPr>
          <w:p w14:paraId="577EBFE0" w14:textId="77777777" w:rsidR="00141B97" w:rsidRDefault="00141B97">
            <w:pPr>
              <w:pStyle w:val="TableParagraph"/>
              <w:spacing w:before="9"/>
              <w:rPr>
                <w:sz w:val="14"/>
              </w:rPr>
            </w:pPr>
          </w:p>
          <w:p w14:paraId="3493E1B2" w14:textId="77777777" w:rsidR="00141B97" w:rsidRDefault="00911D63">
            <w:pPr>
              <w:pStyle w:val="TableParagraph"/>
              <w:ind w:left="446"/>
              <w:rPr>
                <w:sz w:val="16"/>
              </w:rPr>
            </w:pPr>
            <w:r>
              <w:rPr>
                <w:color w:val="F1F1F1"/>
                <w:spacing w:val="-2"/>
                <w:sz w:val="16"/>
              </w:rPr>
              <w:t>Service</w:t>
            </w:r>
          </w:p>
        </w:tc>
        <w:tc>
          <w:tcPr>
            <w:tcW w:w="1886" w:type="dxa"/>
            <w:tcBorders>
              <w:top w:val="nil"/>
            </w:tcBorders>
            <w:shd w:val="clear" w:color="auto" w:fill="006CA3"/>
          </w:tcPr>
          <w:p w14:paraId="28464408" w14:textId="77777777" w:rsidR="00141B97" w:rsidRDefault="00141B97">
            <w:pPr>
              <w:pStyle w:val="TableParagraph"/>
              <w:spacing w:before="9"/>
              <w:rPr>
                <w:sz w:val="14"/>
              </w:rPr>
            </w:pPr>
          </w:p>
          <w:p w14:paraId="2AAC9CA2" w14:textId="77777777" w:rsidR="00141B97" w:rsidRDefault="00911D63">
            <w:pPr>
              <w:pStyle w:val="TableParagraph"/>
              <w:ind w:left="381"/>
              <w:rPr>
                <w:sz w:val="16"/>
              </w:rPr>
            </w:pPr>
            <w:r>
              <w:rPr>
                <w:color w:val="F1F1F1"/>
                <w:sz w:val="16"/>
              </w:rPr>
              <w:t>Major</w:t>
            </w:r>
            <w:r>
              <w:rPr>
                <w:color w:val="F1F1F1"/>
                <w:spacing w:val="-6"/>
                <w:sz w:val="16"/>
              </w:rPr>
              <w:t xml:space="preserve"> </w:t>
            </w:r>
            <w:r>
              <w:rPr>
                <w:color w:val="F1F1F1"/>
                <w:sz w:val="16"/>
              </w:rPr>
              <w:t>cost</w:t>
            </w:r>
            <w:r>
              <w:rPr>
                <w:color w:val="F1F1F1"/>
                <w:spacing w:val="-4"/>
                <w:sz w:val="16"/>
              </w:rPr>
              <w:t xml:space="preserve"> </w:t>
            </w:r>
            <w:r>
              <w:rPr>
                <w:color w:val="F1F1F1"/>
                <w:spacing w:val="-2"/>
                <w:sz w:val="16"/>
              </w:rPr>
              <w:t>driver</w:t>
            </w:r>
          </w:p>
        </w:tc>
        <w:tc>
          <w:tcPr>
            <w:tcW w:w="1226" w:type="dxa"/>
            <w:tcBorders>
              <w:top w:val="nil"/>
            </w:tcBorders>
            <w:shd w:val="clear" w:color="auto" w:fill="006CA3"/>
          </w:tcPr>
          <w:p w14:paraId="3B01AF65" w14:textId="77777777" w:rsidR="00141B97" w:rsidRDefault="00141B97">
            <w:pPr>
              <w:pStyle w:val="TableParagraph"/>
              <w:spacing w:before="9"/>
              <w:rPr>
                <w:sz w:val="14"/>
              </w:rPr>
            </w:pPr>
          </w:p>
          <w:p w14:paraId="4AB2868A" w14:textId="77777777" w:rsidR="00141B97" w:rsidRDefault="00911D63">
            <w:pPr>
              <w:pStyle w:val="TableParagraph"/>
              <w:ind w:left="335"/>
              <w:rPr>
                <w:sz w:val="16"/>
              </w:rPr>
            </w:pPr>
            <w:r>
              <w:rPr>
                <w:color w:val="F1F1F1"/>
                <w:spacing w:val="-2"/>
                <w:sz w:val="16"/>
              </w:rPr>
              <w:t>2023‐24</w:t>
            </w:r>
          </w:p>
        </w:tc>
        <w:tc>
          <w:tcPr>
            <w:tcW w:w="1227" w:type="dxa"/>
            <w:tcBorders>
              <w:top w:val="nil"/>
            </w:tcBorders>
            <w:shd w:val="clear" w:color="auto" w:fill="006CA3"/>
          </w:tcPr>
          <w:p w14:paraId="3DE03599" w14:textId="77777777" w:rsidR="00141B97" w:rsidRDefault="00141B97">
            <w:pPr>
              <w:pStyle w:val="TableParagraph"/>
              <w:spacing w:before="9"/>
              <w:rPr>
                <w:sz w:val="14"/>
              </w:rPr>
            </w:pPr>
          </w:p>
          <w:p w14:paraId="5D7503C6" w14:textId="77777777" w:rsidR="00141B97" w:rsidRDefault="00911D63">
            <w:pPr>
              <w:pStyle w:val="TableParagraph"/>
              <w:ind w:left="336"/>
              <w:rPr>
                <w:sz w:val="16"/>
              </w:rPr>
            </w:pPr>
            <w:r>
              <w:rPr>
                <w:color w:val="F1F1F1"/>
                <w:spacing w:val="-2"/>
                <w:sz w:val="16"/>
              </w:rPr>
              <w:t>2024‐25</w:t>
            </w:r>
          </w:p>
        </w:tc>
        <w:tc>
          <w:tcPr>
            <w:tcW w:w="1226" w:type="dxa"/>
            <w:tcBorders>
              <w:top w:val="nil"/>
            </w:tcBorders>
            <w:shd w:val="clear" w:color="auto" w:fill="006CA3"/>
          </w:tcPr>
          <w:p w14:paraId="6D1EB0EC" w14:textId="77777777" w:rsidR="00141B97" w:rsidRDefault="00141B97">
            <w:pPr>
              <w:pStyle w:val="TableParagraph"/>
              <w:spacing w:before="9"/>
              <w:rPr>
                <w:sz w:val="14"/>
              </w:rPr>
            </w:pPr>
          </w:p>
          <w:p w14:paraId="4D764073" w14:textId="77777777" w:rsidR="00141B97" w:rsidRDefault="00911D63">
            <w:pPr>
              <w:pStyle w:val="TableParagraph"/>
              <w:ind w:left="336"/>
              <w:rPr>
                <w:sz w:val="16"/>
              </w:rPr>
            </w:pPr>
            <w:r>
              <w:rPr>
                <w:color w:val="F1F1F1"/>
                <w:spacing w:val="-2"/>
                <w:sz w:val="16"/>
              </w:rPr>
              <w:t>2025‐26</w:t>
            </w:r>
          </w:p>
        </w:tc>
        <w:tc>
          <w:tcPr>
            <w:tcW w:w="1226" w:type="dxa"/>
            <w:tcBorders>
              <w:top w:val="nil"/>
            </w:tcBorders>
            <w:shd w:val="clear" w:color="auto" w:fill="006CA3"/>
          </w:tcPr>
          <w:p w14:paraId="4C935936" w14:textId="77777777" w:rsidR="00141B97" w:rsidRDefault="00141B97">
            <w:pPr>
              <w:pStyle w:val="TableParagraph"/>
              <w:spacing w:before="9"/>
              <w:rPr>
                <w:sz w:val="14"/>
              </w:rPr>
            </w:pPr>
          </w:p>
          <w:p w14:paraId="4BD259DD" w14:textId="77777777" w:rsidR="00141B97" w:rsidRDefault="00911D63">
            <w:pPr>
              <w:pStyle w:val="TableParagraph"/>
              <w:ind w:left="336"/>
              <w:rPr>
                <w:sz w:val="16"/>
              </w:rPr>
            </w:pPr>
            <w:r>
              <w:rPr>
                <w:color w:val="F1F1F1"/>
                <w:spacing w:val="-2"/>
                <w:sz w:val="16"/>
              </w:rPr>
              <w:t>2026‐27</w:t>
            </w:r>
          </w:p>
        </w:tc>
        <w:tc>
          <w:tcPr>
            <w:tcW w:w="1225" w:type="dxa"/>
            <w:tcBorders>
              <w:top w:val="nil"/>
            </w:tcBorders>
            <w:shd w:val="clear" w:color="auto" w:fill="006CA3"/>
          </w:tcPr>
          <w:p w14:paraId="5FCE46AE" w14:textId="77777777" w:rsidR="00141B97" w:rsidRDefault="00141B97">
            <w:pPr>
              <w:pStyle w:val="TableParagraph"/>
              <w:spacing w:before="9"/>
              <w:rPr>
                <w:sz w:val="14"/>
              </w:rPr>
            </w:pPr>
          </w:p>
          <w:p w14:paraId="077A616C" w14:textId="77777777" w:rsidR="00141B97" w:rsidRDefault="00911D63">
            <w:pPr>
              <w:pStyle w:val="TableParagraph"/>
              <w:ind w:left="336"/>
              <w:rPr>
                <w:sz w:val="16"/>
              </w:rPr>
            </w:pPr>
            <w:r>
              <w:rPr>
                <w:color w:val="F1F1F1"/>
                <w:spacing w:val="-2"/>
                <w:sz w:val="16"/>
              </w:rPr>
              <w:t>2027‐28</w:t>
            </w:r>
          </w:p>
        </w:tc>
        <w:tc>
          <w:tcPr>
            <w:tcW w:w="1022" w:type="dxa"/>
            <w:tcBorders>
              <w:top w:val="nil"/>
              <w:right w:val="nil"/>
            </w:tcBorders>
            <w:shd w:val="clear" w:color="auto" w:fill="006CA3"/>
          </w:tcPr>
          <w:p w14:paraId="7CF82866" w14:textId="77777777" w:rsidR="00141B97" w:rsidRDefault="00141B97">
            <w:pPr>
              <w:pStyle w:val="TableParagraph"/>
              <w:spacing w:before="9"/>
              <w:rPr>
                <w:sz w:val="14"/>
              </w:rPr>
            </w:pPr>
          </w:p>
          <w:p w14:paraId="5732CBC9" w14:textId="77777777" w:rsidR="00141B97" w:rsidRDefault="00911D63">
            <w:pPr>
              <w:pStyle w:val="TableParagraph"/>
              <w:ind w:left="300"/>
              <w:rPr>
                <w:sz w:val="16"/>
              </w:rPr>
            </w:pPr>
            <w:r>
              <w:rPr>
                <w:color w:val="F1F1F1"/>
                <w:spacing w:val="-2"/>
                <w:sz w:val="16"/>
              </w:rPr>
              <w:t>TOTAL</w:t>
            </w:r>
          </w:p>
        </w:tc>
      </w:tr>
      <w:tr w:rsidR="00141B97" w14:paraId="516319BE" w14:textId="77777777">
        <w:trPr>
          <w:trHeight w:val="300"/>
          <w:tblCellSpacing w:w="9" w:type="dxa"/>
        </w:trPr>
        <w:tc>
          <w:tcPr>
            <w:tcW w:w="5249" w:type="dxa"/>
            <w:tcBorders>
              <w:left w:val="nil"/>
            </w:tcBorders>
            <w:shd w:val="clear" w:color="auto" w:fill="BFBFBF"/>
          </w:tcPr>
          <w:p w14:paraId="4968216B" w14:textId="77777777" w:rsidR="00141B97" w:rsidRDefault="00911D63">
            <w:pPr>
              <w:pStyle w:val="TableParagraph"/>
              <w:spacing w:before="52"/>
              <w:ind w:left="88"/>
              <w:rPr>
                <w:sz w:val="16"/>
              </w:rPr>
            </w:pPr>
            <w:r>
              <w:rPr>
                <w:sz w:val="16"/>
              </w:rPr>
              <w:t>Top</w:t>
            </w:r>
            <w:r>
              <w:rPr>
                <w:spacing w:val="-3"/>
                <w:sz w:val="16"/>
              </w:rPr>
              <w:t xml:space="preserve"> </w:t>
            </w:r>
            <w:r>
              <w:rPr>
                <w:sz w:val="16"/>
              </w:rPr>
              <w:t>10</w:t>
            </w:r>
            <w:r>
              <w:rPr>
                <w:spacing w:val="-5"/>
                <w:sz w:val="16"/>
              </w:rPr>
              <w:t xml:space="preserve"> </w:t>
            </w:r>
            <w:r>
              <w:rPr>
                <w:sz w:val="16"/>
              </w:rPr>
              <w:t>Projects</w:t>
            </w:r>
            <w:r>
              <w:rPr>
                <w:spacing w:val="-5"/>
                <w:sz w:val="16"/>
              </w:rPr>
              <w:t xml:space="preserve"> </w:t>
            </w:r>
            <w:r>
              <w:rPr>
                <w:sz w:val="16"/>
              </w:rPr>
              <w:t>‐</w:t>
            </w:r>
            <w:r>
              <w:rPr>
                <w:spacing w:val="-5"/>
                <w:sz w:val="16"/>
              </w:rPr>
              <w:t xml:space="preserve"> </w:t>
            </w:r>
            <w:r>
              <w:rPr>
                <w:sz w:val="16"/>
              </w:rPr>
              <w:t>Urban</w:t>
            </w:r>
            <w:r>
              <w:rPr>
                <w:spacing w:val="-5"/>
                <w:sz w:val="16"/>
              </w:rPr>
              <w:t xml:space="preserve"> </w:t>
            </w:r>
            <w:r>
              <w:rPr>
                <w:sz w:val="16"/>
              </w:rPr>
              <w:t>component</w:t>
            </w:r>
            <w:r>
              <w:rPr>
                <w:spacing w:val="-3"/>
                <w:sz w:val="16"/>
              </w:rPr>
              <w:t xml:space="preserve"> </w:t>
            </w:r>
            <w:r>
              <w:rPr>
                <w:spacing w:val="-4"/>
                <w:sz w:val="16"/>
              </w:rPr>
              <w:t>only</w:t>
            </w:r>
          </w:p>
        </w:tc>
        <w:tc>
          <w:tcPr>
            <w:tcW w:w="1375" w:type="dxa"/>
            <w:shd w:val="clear" w:color="auto" w:fill="BFBFBF"/>
          </w:tcPr>
          <w:p w14:paraId="3AD6D6DF" w14:textId="77777777" w:rsidR="00141B97" w:rsidRDefault="00141B97">
            <w:pPr>
              <w:pStyle w:val="TableParagraph"/>
              <w:rPr>
                <w:rFonts w:ascii="Times New Roman"/>
                <w:sz w:val="16"/>
              </w:rPr>
            </w:pPr>
          </w:p>
        </w:tc>
        <w:tc>
          <w:tcPr>
            <w:tcW w:w="1886" w:type="dxa"/>
            <w:shd w:val="clear" w:color="auto" w:fill="BFBFBF"/>
          </w:tcPr>
          <w:p w14:paraId="5EFDEA0C" w14:textId="77777777" w:rsidR="00141B97" w:rsidRDefault="00141B97">
            <w:pPr>
              <w:pStyle w:val="TableParagraph"/>
              <w:rPr>
                <w:rFonts w:ascii="Times New Roman"/>
                <w:sz w:val="16"/>
              </w:rPr>
            </w:pPr>
          </w:p>
        </w:tc>
        <w:tc>
          <w:tcPr>
            <w:tcW w:w="1226" w:type="dxa"/>
            <w:shd w:val="clear" w:color="auto" w:fill="BFBFBF"/>
          </w:tcPr>
          <w:p w14:paraId="4E08C1AC" w14:textId="77777777" w:rsidR="00141B97" w:rsidRDefault="00141B97">
            <w:pPr>
              <w:pStyle w:val="TableParagraph"/>
              <w:rPr>
                <w:rFonts w:ascii="Times New Roman"/>
                <w:sz w:val="16"/>
              </w:rPr>
            </w:pPr>
          </w:p>
        </w:tc>
        <w:tc>
          <w:tcPr>
            <w:tcW w:w="1227" w:type="dxa"/>
            <w:shd w:val="clear" w:color="auto" w:fill="BFBFBF"/>
          </w:tcPr>
          <w:p w14:paraId="40FAD23B" w14:textId="77777777" w:rsidR="00141B97" w:rsidRDefault="00141B97">
            <w:pPr>
              <w:pStyle w:val="TableParagraph"/>
              <w:rPr>
                <w:rFonts w:ascii="Times New Roman"/>
                <w:sz w:val="16"/>
              </w:rPr>
            </w:pPr>
          </w:p>
        </w:tc>
        <w:tc>
          <w:tcPr>
            <w:tcW w:w="1226" w:type="dxa"/>
            <w:shd w:val="clear" w:color="auto" w:fill="BFBFBF"/>
          </w:tcPr>
          <w:p w14:paraId="715FE6BD" w14:textId="77777777" w:rsidR="00141B97" w:rsidRDefault="00141B97">
            <w:pPr>
              <w:pStyle w:val="TableParagraph"/>
              <w:rPr>
                <w:rFonts w:ascii="Times New Roman"/>
                <w:sz w:val="16"/>
              </w:rPr>
            </w:pPr>
          </w:p>
        </w:tc>
        <w:tc>
          <w:tcPr>
            <w:tcW w:w="1226" w:type="dxa"/>
            <w:shd w:val="clear" w:color="auto" w:fill="BFBFBF"/>
          </w:tcPr>
          <w:p w14:paraId="0723E18A" w14:textId="77777777" w:rsidR="00141B97" w:rsidRDefault="00141B97">
            <w:pPr>
              <w:pStyle w:val="TableParagraph"/>
              <w:rPr>
                <w:rFonts w:ascii="Times New Roman"/>
                <w:sz w:val="16"/>
              </w:rPr>
            </w:pPr>
          </w:p>
        </w:tc>
        <w:tc>
          <w:tcPr>
            <w:tcW w:w="1225" w:type="dxa"/>
            <w:shd w:val="clear" w:color="auto" w:fill="BFBFBF"/>
          </w:tcPr>
          <w:p w14:paraId="06902ECC" w14:textId="77777777" w:rsidR="00141B97" w:rsidRDefault="00141B97">
            <w:pPr>
              <w:pStyle w:val="TableParagraph"/>
              <w:rPr>
                <w:rFonts w:ascii="Times New Roman"/>
                <w:sz w:val="16"/>
              </w:rPr>
            </w:pPr>
          </w:p>
        </w:tc>
        <w:tc>
          <w:tcPr>
            <w:tcW w:w="1022" w:type="dxa"/>
            <w:tcBorders>
              <w:right w:val="nil"/>
            </w:tcBorders>
            <w:shd w:val="clear" w:color="auto" w:fill="BFBFBF"/>
          </w:tcPr>
          <w:p w14:paraId="645FFC68" w14:textId="77777777" w:rsidR="00141B97" w:rsidRDefault="00141B97">
            <w:pPr>
              <w:pStyle w:val="TableParagraph"/>
              <w:rPr>
                <w:rFonts w:ascii="Times New Roman"/>
                <w:sz w:val="16"/>
              </w:rPr>
            </w:pPr>
          </w:p>
        </w:tc>
      </w:tr>
      <w:tr w:rsidR="00141B97" w14:paraId="546A80B9" w14:textId="77777777">
        <w:trPr>
          <w:trHeight w:val="240"/>
          <w:tblCellSpacing w:w="9" w:type="dxa"/>
        </w:trPr>
        <w:tc>
          <w:tcPr>
            <w:tcW w:w="5249" w:type="dxa"/>
            <w:tcBorders>
              <w:left w:val="nil"/>
            </w:tcBorders>
            <w:shd w:val="clear" w:color="auto" w:fill="CCE2ED"/>
          </w:tcPr>
          <w:p w14:paraId="61DF6071" w14:textId="77777777" w:rsidR="00141B97" w:rsidRDefault="00911D63">
            <w:pPr>
              <w:pStyle w:val="TableParagraph"/>
              <w:spacing w:before="22"/>
              <w:ind w:left="88"/>
              <w:rPr>
                <w:sz w:val="16"/>
              </w:rPr>
            </w:pPr>
            <w:r>
              <w:rPr>
                <w:sz w:val="16"/>
              </w:rPr>
              <w:t>Purchase</w:t>
            </w:r>
            <w:r>
              <w:rPr>
                <w:spacing w:val="-6"/>
                <w:sz w:val="16"/>
              </w:rPr>
              <w:t xml:space="preserve"> </w:t>
            </w:r>
            <w:r>
              <w:rPr>
                <w:sz w:val="16"/>
              </w:rPr>
              <w:t>of</w:t>
            </w:r>
            <w:r>
              <w:rPr>
                <w:spacing w:val="-5"/>
                <w:sz w:val="16"/>
              </w:rPr>
              <w:t xml:space="preserve"> </w:t>
            </w:r>
            <w:r>
              <w:rPr>
                <w:spacing w:val="-2"/>
                <w:sz w:val="16"/>
              </w:rPr>
              <w:t>Water</w:t>
            </w:r>
          </w:p>
        </w:tc>
        <w:tc>
          <w:tcPr>
            <w:tcW w:w="1375" w:type="dxa"/>
            <w:shd w:val="clear" w:color="auto" w:fill="CCE2ED"/>
          </w:tcPr>
          <w:p w14:paraId="5183C7C2"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47934F38" w14:textId="77777777" w:rsidR="00141B97" w:rsidRDefault="00911D63">
            <w:pPr>
              <w:pStyle w:val="TableParagraph"/>
              <w:spacing w:before="22"/>
              <w:ind w:right="97"/>
              <w:jc w:val="right"/>
              <w:rPr>
                <w:sz w:val="16"/>
              </w:rPr>
            </w:pPr>
            <w:r>
              <w:rPr>
                <w:spacing w:val="-2"/>
                <w:sz w:val="16"/>
              </w:rPr>
              <w:t>Growth</w:t>
            </w:r>
          </w:p>
        </w:tc>
        <w:tc>
          <w:tcPr>
            <w:tcW w:w="1226" w:type="dxa"/>
            <w:shd w:val="clear" w:color="auto" w:fill="CCE2ED"/>
          </w:tcPr>
          <w:p w14:paraId="7952E6D7" w14:textId="77777777" w:rsidR="00141B97" w:rsidRDefault="00911D63">
            <w:pPr>
              <w:pStyle w:val="TableParagraph"/>
              <w:spacing w:before="22"/>
              <w:ind w:right="95"/>
              <w:jc w:val="right"/>
              <w:rPr>
                <w:sz w:val="16"/>
              </w:rPr>
            </w:pPr>
            <w:r>
              <w:rPr>
                <w:spacing w:val="-4"/>
                <w:sz w:val="16"/>
              </w:rPr>
              <w:t>1.00</w:t>
            </w:r>
          </w:p>
        </w:tc>
        <w:tc>
          <w:tcPr>
            <w:tcW w:w="1227" w:type="dxa"/>
            <w:shd w:val="clear" w:color="auto" w:fill="CCE2ED"/>
          </w:tcPr>
          <w:p w14:paraId="7C6EBB97" w14:textId="77777777" w:rsidR="00141B97" w:rsidRDefault="00911D63">
            <w:pPr>
              <w:pStyle w:val="TableParagraph"/>
              <w:spacing w:before="22"/>
              <w:ind w:right="95"/>
              <w:jc w:val="right"/>
              <w:rPr>
                <w:sz w:val="16"/>
              </w:rPr>
            </w:pPr>
            <w:r>
              <w:rPr>
                <w:spacing w:val="-4"/>
                <w:sz w:val="16"/>
              </w:rPr>
              <w:t>1.00</w:t>
            </w:r>
          </w:p>
        </w:tc>
        <w:tc>
          <w:tcPr>
            <w:tcW w:w="1226" w:type="dxa"/>
            <w:shd w:val="clear" w:color="auto" w:fill="CCE2ED"/>
          </w:tcPr>
          <w:p w14:paraId="3F1F88DD" w14:textId="77777777" w:rsidR="00141B97" w:rsidRDefault="00911D63">
            <w:pPr>
              <w:pStyle w:val="TableParagraph"/>
              <w:spacing w:before="22"/>
              <w:ind w:right="94"/>
              <w:jc w:val="right"/>
              <w:rPr>
                <w:sz w:val="16"/>
              </w:rPr>
            </w:pPr>
            <w:r>
              <w:rPr>
                <w:spacing w:val="-4"/>
                <w:sz w:val="16"/>
              </w:rPr>
              <w:t>1.00</w:t>
            </w:r>
          </w:p>
        </w:tc>
        <w:tc>
          <w:tcPr>
            <w:tcW w:w="1226" w:type="dxa"/>
            <w:shd w:val="clear" w:color="auto" w:fill="CCE2ED"/>
          </w:tcPr>
          <w:p w14:paraId="37D26D9D" w14:textId="77777777" w:rsidR="00141B97" w:rsidRDefault="00911D63">
            <w:pPr>
              <w:pStyle w:val="TableParagraph"/>
              <w:spacing w:before="22"/>
              <w:ind w:right="94"/>
              <w:jc w:val="right"/>
              <w:rPr>
                <w:sz w:val="16"/>
              </w:rPr>
            </w:pPr>
            <w:r>
              <w:rPr>
                <w:spacing w:val="-4"/>
                <w:sz w:val="16"/>
              </w:rPr>
              <w:t>1.00</w:t>
            </w:r>
          </w:p>
        </w:tc>
        <w:tc>
          <w:tcPr>
            <w:tcW w:w="1225" w:type="dxa"/>
            <w:shd w:val="clear" w:color="auto" w:fill="CCE2ED"/>
          </w:tcPr>
          <w:p w14:paraId="1EC3E605" w14:textId="77777777" w:rsidR="00141B97" w:rsidRDefault="00911D63">
            <w:pPr>
              <w:pStyle w:val="TableParagraph"/>
              <w:spacing w:before="22"/>
              <w:ind w:right="93"/>
              <w:jc w:val="right"/>
              <w:rPr>
                <w:sz w:val="16"/>
              </w:rPr>
            </w:pPr>
            <w:r>
              <w:rPr>
                <w:spacing w:val="-4"/>
                <w:sz w:val="16"/>
              </w:rPr>
              <w:t>4.09</w:t>
            </w:r>
          </w:p>
        </w:tc>
        <w:tc>
          <w:tcPr>
            <w:tcW w:w="1022" w:type="dxa"/>
            <w:tcBorders>
              <w:right w:val="nil"/>
            </w:tcBorders>
            <w:shd w:val="clear" w:color="auto" w:fill="CCE2ED"/>
          </w:tcPr>
          <w:p w14:paraId="5C5C1A51" w14:textId="77777777" w:rsidR="00141B97" w:rsidRDefault="00911D63">
            <w:pPr>
              <w:pStyle w:val="TableParagraph"/>
              <w:spacing w:before="22"/>
              <w:ind w:right="83"/>
              <w:jc w:val="right"/>
              <w:rPr>
                <w:sz w:val="16"/>
              </w:rPr>
            </w:pPr>
            <w:r>
              <w:rPr>
                <w:spacing w:val="-4"/>
                <w:sz w:val="16"/>
              </w:rPr>
              <w:t>8.09</w:t>
            </w:r>
          </w:p>
        </w:tc>
      </w:tr>
      <w:tr w:rsidR="00141B97" w14:paraId="64A2DC4E" w14:textId="77777777">
        <w:trPr>
          <w:trHeight w:val="239"/>
          <w:tblCellSpacing w:w="9" w:type="dxa"/>
        </w:trPr>
        <w:tc>
          <w:tcPr>
            <w:tcW w:w="5249" w:type="dxa"/>
            <w:tcBorders>
              <w:left w:val="nil"/>
            </w:tcBorders>
            <w:shd w:val="clear" w:color="auto" w:fill="CCE2ED"/>
          </w:tcPr>
          <w:p w14:paraId="14D9173F" w14:textId="77777777" w:rsidR="00141B97" w:rsidRDefault="00911D63">
            <w:pPr>
              <w:pStyle w:val="TableParagraph"/>
              <w:spacing w:before="22"/>
              <w:ind w:left="88"/>
              <w:rPr>
                <w:sz w:val="16"/>
              </w:rPr>
            </w:pPr>
            <w:r>
              <w:rPr>
                <w:sz w:val="16"/>
              </w:rPr>
              <w:t>Water</w:t>
            </w:r>
            <w:r>
              <w:rPr>
                <w:spacing w:val="-6"/>
                <w:sz w:val="16"/>
              </w:rPr>
              <w:t xml:space="preserve"> </w:t>
            </w:r>
            <w:r>
              <w:rPr>
                <w:sz w:val="16"/>
              </w:rPr>
              <w:t>Mains</w:t>
            </w:r>
            <w:r>
              <w:rPr>
                <w:spacing w:val="-5"/>
                <w:sz w:val="16"/>
              </w:rPr>
              <w:t xml:space="preserve"> </w:t>
            </w:r>
            <w:r>
              <w:rPr>
                <w:sz w:val="16"/>
              </w:rPr>
              <w:t>Upgrade</w:t>
            </w:r>
            <w:r>
              <w:rPr>
                <w:spacing w:val="-5"/>
                <w:sz w:val="16"/>
              </w:rPr>
              <w:t xml:space="preserve"> </w:t>
            </w:r>
            <w:r>
              <w:rPr>
                <w:sz w:val="16"/>
              </w:rPr>
              <w:t>in</w:t>
            </w:r>
            <w:r>
              <w:rPr>
                <w:spacing w:val="-4"/>
                <w:sz w:val="16"/>
              </w:rPr>
              <w:t xml:space="preserve"> </w:t>
            </w:r>
            <w:r>
              <w:rPr>
                <w:spacing w:val="-2"/>
                <w:sz w:val="16"/>
              </w:rPr>
              <w:t>Mildura</w:t>
            </w:r>
          </w:p>
        </w:tc>
        <w:tc>
          <w:tcPr>
            <w:tcW w:w="1375" w:type="dxa"/>
            <w:shd w:val="clear" w:color="auto" w:fill="CCE2ED"/>
          </w:tcPr>
          <w:p w14:paraId="675D7DC9"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08AF872D" w14:textId="77777777" w:rsidR="00141B97" w:rsidRDefault="00911D63">
            <w:pPr>
              <w:pStyle w:val="TableParagraph"/>
              <w:spacing w:before="22"/>
              <w:ind w:right="97"/>
              <w:jc w:val="right"/>
              <w:rPr>
                <w:sz w:val="16"/>
              </w:rPr>
            </w:pPr>
            <w:r>
              <w:rPr>
                <w:spacing w:val="-2"/>
                <w:sz w:val="16"/>
              </w:rPr>
              <w:t>Growth</w:t>
            </w:r>
          </w:p>
        </w:tc>
        <w:tc>
          <w:tcPr>
            <w:tcW w:w="1226" w:type="dxa"/>
            <w:shd w:val="clear" w:color="auto" w:fill="CCE2ED"/>
          </w:tcPr>
          <w:p w14:paraId="50E18630" w14:textId="77777777" w:rsidR="00141B97" w:rsidRDefault="00911D63">
            <w:pPr>
              <w:pStyle w:val="TableParagraph"/>
              <w:spacing w:before="22"/>
              <w:ind w:right="95"/>
              <w:jc w:val="right"/>
              <w:rPr>
                <w:sz w:val="16"/>
              </w:rPr>
            </w:pPr>
            <w:r>
              <w:rPr>
                <w:spacing w:val="-4"/>
                <w:sz w:val="16"/>
              </w:rPr>
              <w:t>0.75</w:t>
            </w:r>
          </w:p>
        </w:tc>
        <w:tc>
          <w:tcPr>
            <w:tcW w:w="1227" w:type="dxa"/>
            <w:shd w:val="clear" w:color="auto" w:fill="CCE2ED"/>
          </w:tcPr>
          <w:p w14:paraId="76E5CC28" w14:textId="77777777" w:rsidR="00141B97" w:rsidRDefault="00911D63">
            <w:pPr>
              <w:pStyle w:val="TableParagraph"/>
              <w:spacing w:before="22"/>
              <w:ind w:right="95"/>
              <w:jc w:val="right"/>
              <w:rPr>
                <w:sz w:val="16"/>
              </w:rPr>
            </w:pPr>
            <w:r>
              <w:rPr>
                <w:spacing w:val="-4"/>
                <w:sz w:val="16"/>
              </w:rPr>
              <w:t>0.25</w:t>
            </w:r>
          </w:p>
        </w:tc>
        <w:tc>
          <w:tcPr>
            <w:tcW w:w="1226" w:type="dxa"/>
            <w:shd w:val="clear" w:color="auto" w:fill="CCE2ED"/>
          </w:tcPr>
          <w:p w14:paraId="68D609DF" w14:textId="77777777" w:rsidR="00141B97" w:rsidRDefault="00911D63">
            <w:pPr>
              <w:pStyle w:val="TableParagraph"/>
              <w:spacing w:before="22"/>
              <w:ind w:right="94"/>
              <w:jc w:val="right"/>
              <w:rPr>
                <w:sz w:val="16"/>
              </w:rPr>
            </w:pPr>
            <w:r>
              <w:rPr>
                <w:spacing w:val="-4"/>
                <w:sz w:val="16"/>
              </w:rPr>
              <w:t>0.75</w:t>
            </w:r>
          </w:p>
        </w:tc>
        <w:tc>
          <w:tcPr>
            <w:tcW w:w="1226" w:type="dxa"/>
            <w:shd w:val="clear" w:color="auto" w:fill="CCE2ED"/>
          </w:tcPr>
          <w:p w14:paraId="7645AD37" w14:textId="77777777" w:rsidR="00141B97" w:rsidRDefault="00911D63">
            <w:pPr>
              <w:pStyle w:val="TableParagraph"/>
              <w:spacing w:before="22"/>
              <w:ind w:right="94"/>
              <w:jc w:val="right"/>
              <w:rPr>
                <w:sz w:val="16"/>
              </w:rPr>
            </w:pPr>
            <w:r>
              <w:rPr>
                <w:spacing w:val="-4"/>
                <w:sz w:val="16"/>
              </w:rPr>
              <w:t>1.00</w:t>
            </w:r>
          </w:p>
        </w:tc>
        <w:tc>
          <w:tcPr>
            <w:tcW w:w="1225" w:type="dxa"/>
            <w:shd w:val="clear" w:color="auto" w:fill="CCE2ED"/>
          </w:tcPr>
          <w:p w14:paraId="6A1304D3" w14:textId="77777777" w:rsidR="00141B97" w:rsidRDefault="00911D63">
            <w:pPr>
              <w:pStyle w:val="TableParagraph"/>
              <w:spacing w:before="22"/>
              <w:ind w:right="93"/>
              <w:jc w:val="right"/>
              <w:rPr>
                <w:sz w:val="16"/>
              </w:rPr>
            </w:pPr>
            <w:r>
              <w:rPr>
                <w:spacing w:val="-4"/>
                <w:sz w:val="16"/>
              </w:rPr>
              <w:t>1.08</w:t>
            </w:r>
          </w:p>
        </w:tc>
        <w:tc>
          <w:tcPr>
            <w:tcW w:w="1022" w:type="dxa"/>
            <w:tcBorders>
              <w:right w:val="nil"/>
            </w:tcBorders>
            <w:shd w:val="clear" w:color="auto" w:fill="CCE2ED"/>
          </w:tcPr>
          <w:p w14:paraId="76ACF794" w14:textId="77777777" w:rsidR="00141B97" w:rsidRDefault="00911D63">
            <w:pPr>
              <w:pStyle w:val="TableParagraph"/>
              <w:spacing w:before="22"/>
              <w:ind w:right="83"/>
              <w:jc w:val="right"/>
              <w:rPr>
                <w:sz w:val="16"/>
              </w:rPr>
            </w:pPr>
            <w:r>
              <w:rPr>
                <w:spacing w:val="-4"/>
                <w:sz w:val="16"/>
              </w:rPr>
              <w:t>3.83</w:t>
            </w:r>
          </w:p>
        </w:tc>
      </w:tr>
      <w:tr w:rsidR="00141B97" w14:paraId="43BEE316" w14:textId="77777777">
        <w:trPr>
          <w:trHeight w:val="480"/>
          <w:tblCellSpacing w:w="9" w:type="dxa"/>
        </w:trPr>
        <w:tc>
          <w:tcPr>
            <w:tcW w:w="5249" w:type="dxa"/>
            <w:tcBorders>
              <w:left w:val="nil"/>
            </w:tcBorders>
            <w:shd w:val="clear" w:color="auto" w:fill="CCE2ED"/>
          </w:tcPr>
          <w:p w14:paraId="56EA79C5" w14:textId="77777777" w:rsidR="00141B97" w:rsidRDefault="00911D63">
            <w:pPr>
              <w:pStyle w:val="TableParagraph"/>
              <w:spacing w:before="45"/>
              <w:ind w:left="88" w:right="105"/>
              <w:rPr>
                <w:sz w:val="16"/>
              </w:rPr>
            </w:pPr>
            <w:r>
              <w:rPr>
                <w:sz w:val="16"/>
              </w:rPr>
              <w:t>New</w:t>
            </w:r>
            <w:r>
              <w:rPr>
                <w:spacing w:val="-3"/>
                <w:sz w:val="16"/>
              </w:rPr>
              <w:t xml:space="preserve"> </w:t>
            </w:r>
            <w:r>
              <w:rPr>
                <w:sz w:val="16"/>
              </w:rPr>
              <w:t>10ML</w:t>
            </w:r>
            <w:r>
              <w:rPr>
                <w:spacing w:val="-2"/>
                <w:sz w:val="16"/>
              </w:rPr>
              <w:t xml:space="preserve"> </w:t>
            </w:r>
            <w:r>
              <w:rPr>
                <w:sz w:val="16"/>
              </w:rPr>
              <w:t>Treated</w:t>
            </w:r>
            <w:r>
              <w:rPr>
                <w:spacing w:val="-3"/>
                <w:sz w:val="16"/>
              </w:rPr>
              <w:t xml:space="preserve"> </w:t>
            </w:r>
            <w:r>
              <w:rPr>
                <w:sz w:val="16"/>
              </w:rPr>
              <w:t>Water</w:t>
            </w:r>
            <w:r>
              <w:rPr>
                <w:spacing w:val="-3"/>
                <w:sz w:val="16"/>
              </w:rPr>
              <w:t xml:space="preserve"> </w:t>
            </w:r>
            <w:r>
              <w:rPr>
                <w:sz w:val="16"/>
              </w:rPr>
              <w:t>Storage</w:t>
            </w:r>
            <w:r>
              <w:rPr>
                <w:spacing w:val="-3"/>
                <w:sz w:val="16"/>
              </w:rPr>
              <w:t xml:space="preserve"> </w:t>
            </w:r>
            <w:r>
              <w:rPr>
                <w:sz w:val="16"/>
              </w:rPr>
              <w:t>and</w:t>
            </w:r>
            <w:r>
              <w:rPr>
                <w:spacing w:val="-3"/>
                <w:sz w:val="16"/>
              </w:rPr>
              <w:t xml:space="preserve"> </w:t>
            </w:r>
            <w:r>
              <w:rPr>
                <w:sz w:val="16"/>
              </w:rPr>
              <w:t>Pump</w:t>
            </w:r>
            <w:r>
              <w:rPr>
                <w:spacing w:val="-1"/>
                <w:sz w:val="16"/>
              </w:rPr>
              <w:t xml:space="preserve"> </w:t>
            </w:r>
            <w:r>
              <w:rPr>
                <w:sz w:val="16"/>
              </w:rPr>
              <w:t>Station</w:t>
            </w:r>
            <w:r>
              <w:rPr>
                <w:spacing w:val="-2"/>
                <w:sz w:val="16"/>
              </w:rPr>
              <w:t xml:space="preserve"> </w:t>
            </w:r>
            <w:r>
              <w:rPr>
                <w:sz w:val="16"/>
              </w:rPr>
              <w:t>upgrade</w:t>
            </w:r>
            <w:r>
              <w:rPr>
                <w:spacing w:val="-3"/>
                <w:sz w:val="16"/>
              </w:rPr>
              <w:t xml:space="preserve"> </w:t>
            </w:r>
            <w:r>
              <w:rPr>
                <w:sz w:val="16"/>
              </w:rPr>
              <w:t>at</w:t>
            </w:r>
            <w:r>
              <w:rPr>
                <w:spacing w:val="-2"/>
                <w:sz w:val="16"/>
              </w:rPr>
              <w:t xml:space="preserve"> </w:t>
            </w:r>
            <w:r>
              <w:rPr>
                <w:sz w:val="16"/>
              </w:rPr>
              <w:t>14th</w:t>
            </w:r>
            <w:r>
              <w:rPr>
                <w:spacing w:val="-3"/>
                <w:sz w:val="16"/>
              </w:rPr>
              <w:t xml:space="preserve"> </w:t>
            </w:r>
            <w:r>
              <w:rPr>
                <w:sz w:val="16"/>
              </w:rPr>
              <w:t>St</w:t>
            </w:r>
            <w:r>
              <w:rPr>
                <w:spacing w:val="40"/>
                <w:sz w:val="16"/>
              </w:rPr>
              <w:t xml:space="preserve"> </w:t>
            </w:r>
            <w:r>
              <w:rPr>
                <w:sz w:val="16"/>
              </w:rPr>
              <w:t>Mildura (Stage 1)</w:t>
            </w:r>
          </w:p>
        </w:tc>
        <w:tc>
          <w:tcPr>
            <w:tcW w:w="1375" w:type="dxa"/>
            <w:shd w:val="clear" w:color="auto" w:fill="CCE2ED"/>
          </w:tcPr>
          <w:p w14:paraId="7C4E67CF"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66F169F5" w14:textId="77777777" w:rsidR="00141B97" w:rsidRDefault="00911D63">
            <w:pPr>
              <w:pStyle w:val="TableParagraph"/>
              <w:spacing w:before="142"/>
              <w:ind w:right="97"/>
              <w:jc w:val="right"/>
              <w:rPr>
                <w:sz w:val="16"/>
              </w:rPr>
            </w:pPr>
            <w:r>
              <w:rPr>
                <w:spacing w:val="-2"/>
                <w:sz w:val="16"/>
              </w:rPr>
              <w:t>Renewals</w:t>
            </w:r>
          </w:p>
        </w:tc>
        <w:tc>
          <w:tcPr>
            <w:tcW w:w="1226" w:type="dxa"/>
            <w:shd w:val="clear" w:color="auto" w:fill="CCE2ED"/>
          </w:tcPr>
          <w:p w14:paraId="567ABC49"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3D962605" w14:textId="77777777" w:rsidR="00141B97" w:rsidRDefault="00911D63">
            <w:pPr>
              <w:pStyle w:val="TableParagraph"/>
              <w:spacing w:before="142"/>
              <w:ind w:right="95"/>
              <w:jc w:val="right"/>
              <w:rPr>
                <w:sz w:val="16"/>
              </w:rPr>
            </w:pPr>
            <w:r>
              <w:rPr>
                <w:spacing w:val="-4"/>
                <w:sz w:val="16"/>
              </w:rPr>
              <w:t>0.20</w:t>
            </w:r>
          </w:p>
        </w:tc>
        <w:tc>
          <w:tcPr>
            <w:tcW w:w="1226" w:type="dxa"/>
            <w:shd w:val="clear" w:color="auto" w:fill="CCE2ED"/>
          </w:tcPr>
          <w:p w14:paraId="443D5E11" w14:textId="77777777" w:rsidR="00141B97" w:rsidRDefault="00911D63">
            <w:pPr>
              <w:pStyle w:val="TableParagraph"/>
              <w:spacing w:before="142"/>
              <w:ind w:right="94"/>
              <w:jc w:val="right"/>
              <w:rPr>
                <w:sz w:val="16"/>
              </w:rPr>
            </w:pPr>
            <w:r>
              <w:rPr>
                <w:spacing w:val="-4"/>
                <w:sz w:val="16"/>
              </w:rPr>
              <w:t>0.91</w:t>
            </w:r>
          </w:p>
        </w:tc>
        <w:tc>
          <w:tcPr>
            <w:tcW w:w="1226" w:type="dxa"/>
            <w:shd w:val="clear" w:color="auto" w:fill="CCE2ED"/>
          </w:tcPr>
          <w:p w14:paraId="014E7A43"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3AB505C7"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4DAB67EE" w14:textId="77777777" w:rsidR="00141B97" w:rsidRDefault="00911D63">
            <w:pPr>
              <w:pStyle w:val="TableParagraph"/>
              <w:spacing w:before="142"/>
              <w:ind w:right="83"/>
              <w:jc w:val="right"/>
              <w:rPr>
                <w:sz w:val="16"/>
              </w:rPr>
            </w:pPr>
            <w:r>
              <w:rPr>
                <w:spacing w:val="-4"/>
                <w:sz w:val="16"/>
              </w:rPr>
              <w:t>1.11</w:t>
            </w:r>
          </w:p>
        </w:tc>
      </w:tr>
      <w:tr w:rsidR="00141B97" w14:paraId="0E1FDC6C" w14:textId="77777777">
        <w:trPr>
          <w:trHeight w:val="480"/>
          <w:tblCellSpacing w:w="9" w:type="dxa"/>
        </w:trPr>
        <w:tc>
          <w:tcPr>
            <w:tcW w:w="5249" w:type="dxa"/>
            <w:tcBorders>
              <w:left w:val="nil"/>
            </w:tcBorders>
            <w:shd w:val="clear" w:color="auto" w:fill="CCE2ED"/>
          </w:tcPr>
          <w:p w14:paraId="0D1AA3BA" w14:textId="77777777" w:rsidR="00141B97" w:rsidRDefault="00911D63">
            <w:pPr>
              <w:pStyle w:val="TableParagraph"/>
              <w:spacing w:before="142"/>
              <w:ind w:left="88"/>
              <w:rPr>
                <w:sz w:val="16"/>
              </w:rPr>
            </w:pPr>
            <w:r>
              <w:rPr>
                <w:sz w:val="16"/>
              </w:rPr>
              <w:t>Improving</w:t>
            </w:r>
            <w:r>
              <w:rPr>
                <w:spacing w:val="-6"/>
                <w:sz w:val="16"/>
              </w:rPr>
              <w:t xml:space="preserve"> </w:t>
            </w:r>
            <w:r>
              <w:rPr>
                <w:sz w:val="16"/>
              </w:rPr>
              <w:t>level</w:t>
            </w:r>
            <w:r>
              <w:rPr>
                <w:spacing w:val="-5"/>
                <w:sz w:val="16"/>
              </w:rPr>
              <w:t xml:space="preserve"> </w:t>
            </w:r>
            <w:r>
              <w:rPr>
                <w:sz w:val="16"/>
              </w:rPr>
              <w:t>of</w:t>
            </w:r>
            <w:r>
              <w:rPr>
                <w:spacing w:val="-3"/>
                <w:sz w:val="16"/>
              </w:rPr>
              <w:t xml:space="preserve"> </w:t>
            </w:r>
            <w:r>
              <w:rPr>
                <w:sz w:val="16"/>
              </w:rPr>
              <w:t>service</w:t>
            </w:r>
            <w:r>
              <w:rPr>
                <w:spacing w:val="-6"/>
                <w:sz w:val="16"/>
              </w:rPr>
              <w:t xml:space="preserve"> </w:t>
            </w:r>
            <w:r>
              <w:rPr>
                <w:sz w:val="16"/>
              </w:rPr>
              <w:t>(Pressure)</w:t>
            </w:r>
            <w:r>
              <w:rPr>
                <w:spacing w:val="-5"/>
                <w:sz w:val="16"/>
              </w:rPr>
              <w:t xml:space="preserve"> </w:t>
            </w:r>
            <w:r>
              <w:rPr>
                <w:sz w:val="16"/>
              </w:rPr>
              <w:t>in</w:t>
            </w:r>
            <w:r>
              <w:rPr>
                <w:spacing w:val="-6"/>
                <w:sz w:val="16"/>
              </w:rPr>
              <w:t xml:space="preserve"> </w:t>
            </w:r>
            <w:r>
              <w:rPr>
                <w:sz w:val="16"/>
              </w:rPr>
              <w:t>Red</w:t>
            </w:r>
            <w:r>
              <w:rPr>
                <w:spacing w:val="-5"/>
                <w:sz w:val="16"/>
              </w:rPr>
              <w:t xml:space="preserve"> </w:t>
            </w:r>
            <w:r>
              <w:rPr>
                <w:sz w:val="16"/>
              </w:rPr>
              <w:t>Cliffs</w:t>
            </w:r>
            <w:r>
              <w:rPr>
                <w:spacing w:val="-5"/>
                <w:sz w:val="16"/>
              </w:rPr>
              <w:t xml:space="preserve"> </w:t>
            </w:r>
            <w:r>
              <w:rPr>
                <w:sz w:val="16"/>
              </w:rPr>
              <w:t>Water</w:t>
            </w:r>
            <w:r>
              <w:rPr>
                <w:spacing w:val="-5"/>
                <w:sz w:val="16"/>
              </w:rPr>
              <w:t xml:space="preserve"> </w:t>
            </w:r>
            <w:r>
              <w:rPr>
                <w:spacing w:val="-2"/>
                <w:sz w:val="16"/>
              </w:rPr>
              <w:t>Distribution</w:t>
            </w:r>
          </w:p>
        </w:tc>
        <w:tc>
          <w:tcPr>
            <w:tcW w:w="1375" w:type="dxa"/>
            <w:shd w:val="clear" w:color="auto" w:fill="CCE2ED"/>
          </w:tcPr>
          <w:p w14:paraId="5207DD27"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12BBFF0E" w14:textId="77777777" w:rsidR="00141B97" w:rsidRDefault="00911D63">
            <w:pPr>
              <w:pStyle w:val="TableParagraph"/>
              <w:spacing w:before="45"/>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5134866A" w14:textId="77777777" w:rsidR="00141B97" w:rsidRDefault="00911D63">
            <w:pPr>
              <w:pStyle w:val="TableParagraph"/>
              <w:spacing w:before="142"/>
              <w:ind w:right="95"/>
              <w:jc w:val="right"/>
              <w:rPr>
                <w:sz w:val="16"/>
              </w:rPr>
            </w:pPr>
            <w:r>
              <w:rPr>
                <w:spacing w:val="-4"/>
                <w:sz w:val="16"/>
              </w:rPr>
              <w:t>1.00</w:t>
            </w:r>
          </w:p>
        </w:tc>
        <w:tc>
          <w:tcPr>
            <w:tcW w:w="1227" w:type="dxa"/>
            <w:shd w:val="clear" w:color="auto" w:fill="CCE2ED"/>
          </w:tcPr>
          <w:p w14:paraId="6715718A" w14:textId="77777777" w:rsidR="00141B97" w:rsidRDefault="00911D63">
            <w:pPr>
              <w:pStyle w:val="TableParagraph"/>
              <w:spacing w:before="142"/>
              <w:ind w:right="95"/>
              <w:jc w:val="right"/>
              <w:rPr>
                <w:sz w:val="16"/>
              </w:rPr>
            </w:pPr>
            <w:r>
              <w:rPr>
                <w:spacing w:val="-4"/>
                <w:sz w:val="16"/>
              </w:rPr>
              <w:t>6.00</w:t>
            </w:r>
          </w:p>
        </w:tc>
        <w:tc>
          <w:tcPr>
            <w:tcW w:w="1226" w:type="dxa"/>
            <w:shd w:val="clear" w:color="auto" w:fill="CCE2ED"/>
          </w:tcPr>
          <w:p w14:paraId="3CB19D97" w14:textId="77777777" w:rsidR="00141B97" w:rsidRDefault="00911D63">
            <w:pPr>
              <w:pStyle w:val="TableParagraph"/>
              <w:spacing w:before="142"/>
              <w:ind w:right="94"/>
              <w:jc w:val="right"/>
              <w:rPr>
                <w:sz w:val="16"/>
              </w:rPr>
            </w:pPr>
            <w:r>
              <w:rPr>
                <w:spacing w:val="-4"/>
                <w:sz w:val="16"/>
              </w:rPr>
              <w:t>2.41</w:t>
            </w:r>
          </w:p>
        </w:tc>
        <w:tc>
          <w:tcPr>
            <w:tcW w:w="1226" w:type="dxa"/>
            <w:shd w:val="clear" w:color="auto" w:fill="CCE2ED"/>
          </w:tcPr>
          <w:p w14:paraId="04F77743"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24A6EACE"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328AB3C8" w14:textId="77777777" w:rsidR="00141B97" w:rsidRDefault="00911D63">
            <w:pPr>
              <w:pStyle w:val="TableParagraph"/>
              <w:spacing w:before="142"/>
              <w:ind w:right="83"/>
              <w:jc w:val="right"/>
              <w:rPr>
                <w:sz w:val="16"/>
              </w:rPr>
            </w:pPr>
            <w:r>
              <w:rPr>
                <w:spacing w:val="-4"/>
                <w:sz w:val="16"/>
              </w:rPr>
              <w:t>9.41</w:t>
            </w:r>
          </w:p>
        </w:tc>
      </w:tr>
      <w:tr w:rsidR="00141B97" w14:paraId="46C2AC86" w14:textId="77777777">
        <w:trPr>
          <w:trHeight w:val="239"/>
          <w:tblCellSpacing w:w="9" w:type="dxa"/>
        </w:trPr>
        <w:tc>
          <w:tcPr>
            <w:tcW w:w="5249" w:type="dxa"/>
            <w:tcBorders>
              <w:left w:val="nil"/>
            </w:tcBorders>
            <w:shd w:val="clear" w:color="auto" w:fill="CCE2ED"/>
          </w:tcPr>
          <w:p w14:paraId="7757C9C3" w14:textId="77777777" w:rsidR="00141B97" w:rsidRDefault="00911D63">
            <w:pPr>
              <w:pStyle w:val="TableParagraph"/>
              <w:spacing w:before="22"/>
              <w:ind w:left="88"/>
              <w:rPr>
                <w:sz w:val="16"/>
              </w:rPr>
            </w:pPr>
            <w:r>
              <w:rPr>
                <w:sz w:val="16"/>
              </w:rPr>
              <w:t>New</w:t>
            </w:r>
            <w:r>
              <w:rPr>
                <w:spacing w:val="-5"/>
                <w:sz w:val="16"/>
              </w:rPr>
              <w:t xml:space="preserve"> </w:t>
            </w:r>
            <w:r>
              <w:rPr>
                <w:sz w:val="16"/>
              </w:rPr>
              <w:t>Swan</w:t>
            </w:r>
            <w:r>
              <w:rPr>
                <w:spacing w:val="-5"/>
                <w:sz w:val="16"/>
              </w:rPr>
              <w:t xml:space="preserve"> </w:t>
            </w:r>
            <w:r>
              <w:rPr>
                <w:sz w:val="16"/>
              </w:rPr>
              <w:t>Hill</w:t>
            </w:r>
            <w:r>
              <w:rPr>
                <w:spacing w:val="-5"/>
                <w:sz w:val="16"/>
              </w:rPr>
              <w:t xml:space="preserve"> </w:t>
            </w:r>
            <w:r>
              <w:rPr>
                <w:sz w:val="16"/>
              </w:rPr>
              <w:t>water</w:t>
            </w:r>
            <w:r>
              <w:rPr>
                <w:spacing w:val="-4"/>
                <w:sz w:val="16"/>
              </w:rPr>
              <w:t xml:space="preserve"> </w:t>
            </w:r>
            <w:r>
              <w:rPr>
                <w:sz w:val="16"/>
              </w:rPr>
              <w:t>treatment</w:t>
            </w:r>
            <w:r>
              <w:rPr>
                <w:spacing w:val="-5"/>
                <w:sz w:val="16"/>
              </w:rPr>
              <w:t xml:space="preserve"> </w:t>
            </w:r>
            <w:r>
              <w:rPr>
                <w:sz w:val="16"/>
              </w:rPr>
              <w:t>plant</w:t>
            </w:r>
            <w:r>
              <w:rPr>
                <w:spacing w:val="-5"/>
                <w:sz w:val="16"/>
              </w:rPr>
              <w:t xml:space="preserve"> </w:t>
            </w:r>
            <w:r>
              <w:rPr>
                <w:sz w:val="16"/>
              </w:rPr>
              <w:t>(Stage</w:t>
            </w:r>
            <w:r>
              <w:rPr>
                <w:spacing w:val="-4"/>
                <w:sz w:val="16"/>
              </w:rPr>
              <w:t xml:space="preserve"> </w:t>
            </w:r>
            <w:r>
              <w:rPr>
                <w:spacing w:val="-5"/>
                <w:sz w:val="16"/>
              </w:rPr>
              <w:t>1)</w:t>
            </w:r>
          </w:p>
        </w:tc>
        <w:tc>
          <w:tcPr>
            <w:tcW w:w="1375" w:type="dxa"/>
            <w:shd w:val="clear" w:color="auto" w:fill="CCE2ED"/>
          </w:tcPr>
          <w:p w14:paraId="7DE43652"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3704EAFD" w14:textId="77777777" w:rsidR="00141B97" w:rsidRDefault="00911D63">
            <w:pPr>
              <w:pStyle w:val="TableParagraph"/>
              <w:spacing w:before="22"/>
              <w:ind w:right="97"/>
              <w:jc w:val="right"/>
              <w:rPr>
                <w:sz w:val="16"/>
              </w:rPr>
            </w:pPr>
            <w:r>
              <w:rPr>
                <w:spacing w:val="-2"/>
                <w:sz w:val="16"/>
              </w:rPr>
              <w:t>Growth</w:t>
            </w:r>
          </w:p>
        </w:tc>
        <w:tc>
          <w:tcPr>
            <w:tcW w:w="1226" w:type="dxa"/>
            <w:shd w:val="clear" w:color="auto" w:fill="CCE2ED"/>
          </w:tcPr>
          <w:p w14:paraId="52B7C7D9"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6F7AA4CC"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4F112590"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5FDADE1A" w14:textId="77777777" w:rsidR="00141B97" w:rsidRDefault="00911D63">
            <w:pPr>
              <w:pStyle w:val="TableParagraph"/>
              <w:spacing w:before="22"/>
              <w:ind w:right="94"/>
              <w:jc w:val="right"/>
              <w:rPr>
                <w:sz w:val="16"/>
              </w:rPr>
            </w:pPr>
            <w:r>
              <w:rPr>
                <w:spacing w:val="-4"/>
                <w:sz w:val="16"/>
              </w:rPr>
              <w:t>0.50</w:t>
            </w:r>
          </w:p>
        </w:tc>
        <w:tc>
          <w:tcPr>
            <w:tcW w:w="1225" w:type="dxa"/>
            <w:shd w:val="clear" w:color="auto" w:fill="CCE2ED"/>
          </w:tcPr>
          <w:p w14:paraId="6A876EA6" w14:textId="77777777" w:rsidR="00141B97" w:rsidRDefault="00911D63">
            <w:pPr>
              <w:pStyle w:val="TableParagraph"/>
              <w:spacing w:before="22"/>
              <w:ind w:right="93"/>
              <w:jc w:val="right"/>
              <w:rPr>
                <w:sz w:val="16"/>
              </w:rPr>
            </w:pPr>
            <w:r>
              <w:rPr>
                <w:spacing w:val="-4"/>
                <w:sz w:val="16"/>
              </w:rPr>
              <w:t>0.50</w:t>
            </w:r>
          </w:p>
        </w:tc>
        <w:tc>
          <w:tcPr>
            <w:tcW w:w="1022" w:type="dxa"/>
            <w:tcBorders>
              <w:right w:val="nil"/>
            </w:tcBorders>
            <w:shd w:val="clear" w:color="auto" w:fill="CCE2ED"/>
          </w:tcPr>
          <w:p w14:paraId="68ACC306" w14:textId="77777777" w:rsidR="00141B97" w:rsidRDefault="00911D63">
            <w:pPr>
              <w:pStyle w:val="TableParagraph"/>
              <w:spacing w:before="22"/>
              <w:ind w:right="83"/>
              <w:jc w:val="right"/>
              <w:rPr>
                <w:sz w:val="16"/>
              </w:rPr>
            </w:pPr>
            <w:r>
              <w:rPr>
                <w:spacing w:val="-4"/>
                <w:sz w:val="16"/>
              </w:rPr>
              <w:t>1.00</w:t>
            </w:r>
          </w:p>
        </w:tc>
      </w:tr>
      <w:tr w:rsidR="00141B97" w14:paraId="50AC328B" w14:textId="77777777">
        <w:trPr>
          <w:trHeight w:val="240"/>
          <w:tblCellSpacing w:w="9" w:type="dxa"/>
        </w:trPr>
        <w:tc>
          <w:tcPr>
            <w:tcW w:w="5249" w:type="dxa"/>
            <w:tcBorders>
              <w:left w:val="nil"/>
            </w:tcBorders>
            <w:shd w:val="clear" w:color="auto" w:fill="CCE2ED"/>
          </w:tcPr>
          <w:p w14:paraId="3561675F" w14:textId="77777777" w:rsidR="00141B97" w:rsidRDefault="00911D63">
            <w:pPr>
              <w:pStyle w:val="TableParagraph"/>
              <w:spacing w:before="22"/>
              <w:ind w:left="88"/>
              <w:rPr>
                <w:sz w:val="16"/>
              </w:rPr>
            </w:pPr>
            <w:r>
              <w:rPr>
                <w:sz w:val="16"/>
              </w:rPr>
              <w:t>Wet</w:t>
            </w:r>
            <w:r>
              <w:rPr>
                <w:spacing w:val="-6"/>
                <w:sz w:val="16"/>
              </w:rPr>
              <w:t xml:space="preserve"> </w:t>
            </w:r>
            <w:r>
              <w:rPr>
                <w:sz w:val="16"/>
              </w:rPr>
              <w:t>Weather</w:t>
            </w:r>
            <w:r>
              <w:rPr>
                <w:spacing w:val="-6"/>
                <w:sz w:val="16"/>
              </w:rPr>
              <w:t xml:space="preserve"> </w:t>
            </w:r>
            <w:r>
              <w:rPr>
                <w:sz w:val="16"/>
              </w:rPr>
              <w:t>Storage</w:t>
            </w:r>
            <w:r>
              <w:rPr>
                <w:spacing w:val="-5"/>
                <w:sz w:val="16"/>
              </w:rPr>
              <w:t xml:space="preserve"> </w:t>
            </w:r>
            <w:r>
              <w:rPr>
                <w:sz w:val="16"/>
              </w:rPr>
              <w:t>for</w:t>
            </w:r>
            <w:r>
              <w:rPr>
                <w:spacing w:val="-6"/>
                <w:sz w:val="16"/>
              </w:rPr>
              <w:t xml:space="preserve"> </w:t>
            </w:r>
            <w:r>
              <w:rPr>
                <w:sz w:val="16"/>
              </w:rPr>
              <w:t>the</w:t>
            </w:r>
            <w:r>
              <w:rPr>
                <w:spacing w:val="-5"/>
                <w:sz w:val="16"/>
              </w:rPr>
              <w:t xml:space="preserve"> </w:t>
            </w:r>
            <w:r>
              <w:rPr>
                <w:sz w:val="16"/>
              </w:rPr>
              <w:t>Koorlong</w:t>
            </w:r>
            <w:r>
              <w:rPr>
                <w:spacing w:val="-7"/>
                <w:sz w:val="16"/>
              </w:rPr>
              <w:t xml:space="preserve"> </w:t>
            </w:r>
            <w:r>
              <w:rPr>
                <w:spacing w:val="-4"/>
                <w:sz w:val="16"/>
              </w:rPr>
              <w:t>WWTP</w:t>
            </w:r>
          </w:p>
        </w:tc>
        <w:tc>
          <w:tcPr>
            <w:tcW w:w="1375" w:type="dxa"/>
            <w:shd w:val="clear" w:color="auto" w:fill="CCE2ED"/>
          </w:tcPr>
          <w:p w14:paraId="74C7876B"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25A300E5" w14:textId="77777777" w:rsidR="00141B97" w:rsidRDefault="00911D63">
            <w:pPr>
              <w:pStyle w:val="TableParagraph"/>
              <w:spacing w:before="22"/>
              <w:ind w:right="97"/>
              <w:jc w:val="right"/>
              <w:rPr>
                <w:sz w:val="16"/>
              </w:rPr>
            </w:pPr>
            <w:r>
              <w:rPr>
                <w:spacing w:val="-2"/>
                <w:sz w:val="16"/>
              </w:rPr>
              <w:t>Growth</w:t>
            </w:r>
          </w:p>
        </w:tc>
        <w:tc>
          <w:tcPr>
            <w:tcW w:w="1226" w:type="dxa"/>
            <w:shd w:val="clear" w:color="auto" w:fill="CCE2ED"/>
          </w:tcPr>
          <w:p w14:paraId="79660FC1"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5B7752A7" w14:textId="77777777" w:rsidR="00141B97" w:rsidRDefault="00911D63">
            <w:pPr>
              <w:pStyle w:val="TableParagraph"/>
              <w:spacing w:before="22"/>
              <w:ind w:right="95"/>
              <w:jc w:val="right"/>
              <w:rPr>
                <w:sz w:val="16"/>
              </w:rPr>
            </w:pPr>
            <w:r>
              <w:rPr>
                <w:spacing w:val="-4"/>
                <w:sz w:val="16"/>
              </w:rPr>
              <w:t>0.07</w:t>
            </w:r>
          </w:p>
        </w:tc>
        <w:tc>
          <w:tcPr>
            <w:tcW w:w="1226" w:type="dxa"/>
            <w:shd w:val="clear" w:color="auto" w:fill="CCE2ED"/>
          </w:tcPr>
          <w:p w14:paraId="0BAAAE1B" w14:textId="77777777" w:rsidR="00141B97" w:rsidRDefault="00911D63">
            <w:pPr>
              <w:pStyle w:val="TableParagraph"/>
              <w:spacing w:before="22"/>
              <w:ind w:right="94"/>
              <w:jc w:val="right"/>
              <w:rPr>
                <w:sz w:val="16"/>
              </w:rPr>
            </w:pPr>
            <w:r>
              <w:rPr>
                <w:spacing w:val="-4"/>
                <w:sz w:val="16"/>
              </w:rPr>
              <w:t>1.10</w:t>
            </w:r>
          </w:p>
        </w:tc>
        <w:tc>
          <w:tcPr>
            <w:tcW w:w="1226" w:type="dxa"/>
            <w:shd w:val="clear" w:color="auto" w:fill="CCE2ED"/>
          </w:tcPr>
          <w:p w14:paraId="2DE608B1" w14:textId="77777777" w:rsidR="00141B97" w:rsidRDefault="00911D63">
            <w:pPr>
              <w:pStyle w:val="TableParagraph"/>
              <w:spacing w:before="22"/>
              <w:ind w:right="94"/>
              <w:jc w:val="right"/>
              <w:rPr>
                <w:sz w:val="16"/>
              </w:rPr>
            </w:pPr>
            <w:r>
              <w:rPr>
                <w:spacing w:val="-4"/>
                <w:sz w:val="16"/>
              </w:rPr>
              <w:t>4.90</w:t>
            </w:r>
          </w:p>
        </w:tc>
        <w:tc>
          <w:tcPr>
            <w:tcW w:w="1225" w:type="dxa"/>
            <w:shd w:val="clear" w:color="auto" w:fill="CCE2ED"/>
          </w:tcPr>
          <w:p w14:paraId="6CE841B2"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252D29E0" w14:textId="77777777" w:rsidR="00141B97" w:rsidRDefault="00911D63">
            <w:pPr>
              <w:pStyle w:val="TableParagraph"/>
              <w:spacing w:before="22"/>
              <w:ind w:right="83"/>
              <w:jc w:val="right"/>
              <w:rPr>
                <w:sz w:val="16"/>
              </w:rPr>
            </w:pPr>
            <w:r>
              <w:rPr>
                <w:spacing w:val="-4"/>
                <w:sz w:val="16"/>
              </w:rPr>
              <w:t>6.07</w:t>
            </w:r>
          </w:p>
        </w:tc>
      </w:tr>
      <w:tr w:rsidR="00141B97" w14:paraId="1CBE64E3" w14:textId="77777777">
        <w:trPr>
          <w:trHeight w:val="240"/>
          <w:tblCellSpacing w:w="9" w:type="dxa"/>
        </w:trPr>
        <w:tc>
          <w:tcPr>
            <w:tcW w:w="5249" w:type="dxa"/>
            <w:tcBorders>
              <w:left w:val="nil"/>
            </w:tcBorders>
            <w:shd w:val="clear" w:color="auto" w:fill="CCE2ED"/>
          </w:tcPr>
          <w:p w14:paraId="791BD2DD" w14:textId="77777777" w:rsidR="00141B97" w:rsidRDefault="00911D63">
            <w:pPr>
              <w:pStyle w:val="TableParagraph"/>
              <w:spacing w:before="22"/>
              <w:ind w:left="88"/>
              <w:rPr>
                <w:sz w:val="16"/>
              </w:rPr>
            </w:pPr>
            <w:r>
              <w:rPr>
                <w:sz w:val="16"/>
              </w:rPr>
              <w:t>Koorlong</w:t>
            </w:r>
            <w:r>
              <w:rPr>
                <w:spacing w:val="-7"/>
                <w:sz w:val="16"/>
              </w:rPr>
              <w:t xml:space="preserve"> </w:t>
            </w:r>
            <w:r>
              <w:rPr>
                <w:sz w:val="16"/>
              </w:rPr>
              <w:t>Sewer</w:t>
            </w:r>
            <w:r>
              <w:rPr>
                <w:spacing w:val="-6"/>
                <w:sz w:val="16"/>
              </w:rPr>
              <w:t xml:space="preserve"> </w:t>
            </w:r>
            <w:r>
              <w:rPr>
                <w:sz w:val="16"/>
              </w:rPr>
              <w:t>Rising</w:t>
            </w:r>
            <w:r>
              <w:rPr>
                <w:spacing w:val="-6"/>
                <w:sz w:val="16"/>
              </w:rPr>
              <w:t xml:space="preserve"> </w:t>
            </w:r>
            <w:r>
              <w:rPr>
                <w:sz w:val="16"/>
              </w:rPr>
              <w:t>Main</w:t>
            </w:r>
            <w:r>
              <w:rPr>
                <w:spacing w:val="-7"/>
                <w:sz w:val="16"/>
              </w:rPr>
              <w:t xml:space="preserve"> </w:t>
            </w:r>
            <w:r>
              <w:rPr>
                <w:spacing w:val="-2"/>
                <w:sz w:val="16"/>
              </w:rPr>
              <w:t>Duplication</w:t>
            </w:r>
          </w:p>
        </w:tc>
        <w:tc>
          <w:tcPr>
            <w:tcW w:w="1375" w:type="dxa"/>
            <w:shd w:val="clear" w:color="auto" w:fill="CCE2ED"/>
          </w:tcPr>
          <w:p w14:paraId="3B75565B"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1F7EB475" w14:textId="77777777" w:rsidR="00141B97" w:rsidRDefault="00911D63">
            <w:pPr>
              <w:pStyle w:val="TableParagraph"/>
              <w:spacing w:before="22"/>
              <w:ind w:right="97"/>
              <w:jc w:val="right"/>
              <w:rPr>
                <w:sz w:val="16"/>
              </w:rPr>
            </w:pPr>
            <w:r>
              <w:rPr>
                <w:spacing w:val="-2"/>
                <w:sz w:val="16"/>
              </w:rPr>
              <w:t>Growth</w:t>
            </w:r>
          </w:p>
        </w:tc>
        <w:tc>
          <w:tcPr>
            <w:tcW w:w="1226" w:type="dxa"/>
            <w:shd w:val="clear" w:color="auto" w:fill="CCE2ED"/>
          </w:tcPr>
          <w:p w14:paraId="5ADDA659"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044386DE"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2D99A0A8"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79B514BC" w14:textId="77777777" w:rsidR="00141B97" w:rsidRDefault="00911D63">
            <w:pPr>
              <w:pStyle w:val="TableParagraph"/>
              <w:spacing w:before="22"/>
              <w:ind w:right="94"/>
              <w:jc w:val="right"/>
              <w:rPr>
                <w:sz w:val="16"/>
              </w:rPr>
            </w:pPr>
            <w:r>
              <w:rPr>
                <w:spacing w:val="-4"/>
                <w:sz w:val="16"/>
              </w:rPr>
              <w:t>0.30</w:t>
            </w:r>
          </w:p>
        </w:tc>
        <w:tc>
          <w:tcPr>
            <w:tcW w:w="1225" w:type="dxa"/>
            <w:shd w:val="clear" w:color="auto" w:fill="CCE2ED"/>
          </w:tcPr>
          <w:p w14:paraId="32E969FB" w14:textId="77777777" w:rsidR="00141B97" w:rsidRDefault="00911D63">
            <w:pPr>
              <w:pStyle w:val="TableParagraph"/>
              <w:spacing w:before="22"/>
              <w:ind w:right="93"/>
              <w:jc w:val="right"/>
              <w:rPr>
                <w:sz w:val="16"/>
              </w:rPr>
            </w:pPr>
            <w:r>
              <w:rPr>
                <w:spacing w:val="-4"/>
                <w:sz w:val="16"/>
              </w:rPr>
              <w:t>1.20</w:t>
            </w:r>
          </w:p>
        </w:tc>
        <w:tc>
          <w:tcPr>
            <w:tcW w:w="1022" w:type="dxa"/>
            <w:tcBorders>
              <w:right w:val="nil"/>
            </w:tcBorders>
            <w:shd w:val="clear" w:color="auto" w:fill="CCE2ED"/>
          </w:tcPr>
          <w:p w14:paraId="3F939B6C" w14:textId="77777777" w:rsidR="00141B97" w:rsidRDefault="00911D63">
            <w:pPr>
              <w:pStyle w:val="TableParagraph"/>
              <w:spacing w:before="22"/>
              <w:ind w:right="83"/>
              <w:jc w:val="right"/>
              <w:rPr>
                <w:sz w:val="16"/>
              </w:rPr>
            </w:pPr>
            <w:r>
              <w:rPr>
                <w:spacing w:val="-4"/>
                <w:sz w:val="16"/>
              </w:rPr>
              <w:t>1.50</w:t>
            </w:r>
          </w:p>
        </w:tc>
      </w:tr>
      <w:tr w:rsidR="00141B97" w14:paraId="6A84BF0C" w14:textId="77777777">
        <w:trPr>
          <w:trHeight w:val="479"/>
          <w:tblCellSpacing w:w="9" w:type="dxa"/>
        </w:trPr>
        <w:tc>
          <w:tcPr>
            <w:tcW w:w="5249" w:type="dxa"/>
            <w:tcBorders>
              <w:left w:val="nil"/>
            </w:tcBorders>
            <w:shd w:val="clear" w:color="auto" w:fill="CCE2ED"/>
          </w:tcPr>
          <w:p w14:paraId="4F312C75" w14:textId="77777777" w:rsidR="00141B97" w:rsidRDefault="00911D63">
            <w:pPr>
              <w:pStyle w:val="TableParagraph"/>
              <w:spacing w:before="44"/>
              <w:ind w:left="88"/>
              <w:rPr>
                <w:sz w:val="16"/>
              </w:rPr>
            </w:pPr>
            <w:r>
              <w:rPr>
                <w:sz w:val="16"/>
              </w:rPr>
              <w:t>Customer</w:t>
            </w:r>
            <w:r>
              <w:rPr>
                <w:spacing w:val="-2"/>
                <w:sz w:val="16"/>
              </w:rPr>
              <w:t xml:space="preserve"> </w:t>
            </w:r>
            <w:r>
              <w:rPr>
                <w:sz w:val="16"/>
              </w:rPr>
              <w:t>CRM,</w:t>
            </w:r>
            <w:r>
              <w:rPr>
                <w:spacing w:val="-2"/>
                <w:sz w:val="16"/>
              </w:rPr>
              <w:t xml:space="preserve"> </w:t>
            </w:r>
            <w:r>
              <w:rPr>
                <w:sz w:val="16"/>
              </w:rPr>
              <w:t>portal</w:t>
            </w:r>
            <w:r>
              <w:rPr>
                <w:spacing w:val="-3"/>
                <w:sz w:val="16"/>
              </w:rPr>
              <w:t xml:space="preserve"> </w:t>
            </w:r>
            <w:r>
              <w:rPr>
                <w:sz w:val="16"/>
              </w:rPr>
              <w:t>Phase</w:t>
            </w:r>
            <w:r>
              <w:rPr>
                <w:spacing w:val="-3"/>
                <w:sz w:val="16"/>
              </w:rPr>
              <w:t xml:space="preserve"> </w:t>
            </w:r>
            <w:r>
              <w:rPr>
                <w:sz w:val="16"/>
              </w:rPr>
              <w:t>2</w:t>
            </w:r>
            <w:r>
              <w:rPr>
                <w:spacing w:val="-3"/>
                <w:sz w:val="16"/>
              </w:rPr>
              <w:t xml:space="preserve"> </w:t>
            </w:r>
            <w:r>
              <w:rPr>
                <w:sz w:val="16"/>
              </w:rPr>
              <w:t>(additional</w:t>
            </w:r>
            <w:r>
              <w:rPr>
                <w:spacing w:val="-3"/>
                <w:sz w:val="16"/>
              </w:rPr>
              <w:t xml:space="preserve"> </w:t>
            </w:r>
            <w:r>
              <w:rPr>
                <w:sz w:val="16"/>
              </w:rPr>
              <w:t>process</w:t>
            </w:r>
            <w:r>
              <w:rPr>
                <w:spacing w:val="-3"/>
                <w:sz w:val="16"/>
              </w:rPr>
              <w:t xml:space="preserve"> </w:t>
            </w:r>
            <w:r>
              <w:rPr>
                <w:sz w:val="16"/>
              </w:rPr>
              <w:t>design</w:t>
            </w:r>
            <w:r>
              <w:rPr>
                <w:spacing w:val="-3"/>
                <w:sz w:val="16"/>
              </w:rPr>
              <w:t xml:space="preserve"> </w:t>
            </w:r>
            <w:r>
              <w:rPr>
                <w:sz w:val="16"/>
              </w:rPr>
              <w:t>&amp;</w:t>
            </w:r>
            <w:r>
              <w:rPr>
                <w:spacing w:val="-3"/>
                <w:sz w:val="16"/>
              </w:rPr>
              <w:t xml:space="preserve"> </w:t>
            </w:r>
            <w:r>
              <w:rPr>
                <w:sz w:val="16"/>
              </w:rPr>
              <w:t>NextGen</w:t>
            </w:r>
            <w:r>
              <w:rPr>
                <w:spacing w:val="-1"/>
                <w:sz w:val="16"/>
              </w:rPr>
              <w:t xml:space="preserve"> </w:t>
            </w:r>
            <w:r>
              <w:rPr>
                <w:sz w:val="16"/>
              </w:rPr>
              <w:t>service</w:t>
            </w:r>
            <w:r>
              <w:rPr>
                <w:spacing w:val="40"/>
                <w:sz w:val="16"/>
              </w:rPr>
              <w:t xml:space="preserve"> </w:t>
            </w:r>
            <w:r>
              <w:rPr>
                <w:sz w:val="16"/>
              </w:rPr>
              <w:t>catalogue</w:t>
            </w:r>
            <w:r>
              <w:rPr>
                <w:spacing w:val="-7"/>
                <w:sz w:val="16"/>
              </w:rPr>
              <w:t xml:space="preserve"> </w:t>
            </w:r>
            <w:r>
              <w:rPr>
                <w:sz w:val="16"/>
              </w:rPr>
              <w:t>Portal</w:t>
            </w:r>
          </w:p>
        </w:tc>
        <w:tc>
          <w:tcPr>
            <w:tcW w:w="1375" w:type="dxa"/>
            <w:shd w:val="clear" w:color="auto" w:fill="CCE2ED"/>
          </w:tcPr>
          <w:p w14:paraId="2C837619"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4A565EA5"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6E79B74E" w14:textId="77777777" w:rsidR="00141B97" w:rsidRDefault="00911D63">
            <w:pPr>
              <w:pStyle w:val="TableParagraph"/>
              <w:spacing w:before="142"/>
              <w:ind w:right="95"/>
              <w:jc w:val="right"/>
              <w:rPr>
                <w:sz w:val="16"/>
              </w:rPr>
            </w:pPr>
            <w:r>
              <w:rPr>
                <w:spacing w:val="-4"/>
                <w:sz w:val="16"/>
              </w:rPr>
              <w:t>0.59</w:t>
            </w:r>
          </w:p>
        </w:tc>
        <w:tc>
          <w:tcPr>
            <w:tcW w:w="1227" w:type="dxa"/>
            <w:shd w:val="clear" w:color="auto" w:fill="CCE2ED"/>
          </w:tcPr>
          <w:p w14:paraId="4E7A2398" w14:textId="77777777" w:rsidR="00141B97" w:rsidRDefault="00911D63">
            <w:pPr>
              <w:pStyle w:val="TableParagraph"/>
              <w:spacing w:before="142"/>
              <w:ind w:right="95"/>
              <w:jc w:val="right"/>
              <w:rPr>
                <w:sz w:val="16"/>
              </w:rPr>
            </w:pPr>
            <w:r>
              <w:rPr>
                <w:spacing w:val="-4"/>
                <w:sz w:val="16"/>
              </w:rPr>
              <w:t>0.59</w:t>
            </w:r>
          </w:p>
        </w:tc>
        <w:tc>
          <w:tcPr>
            <w:tcW w:w="1226" w:type="dxa"/>
            <w:shd w:val="clear" w:color="auto" w:fill="CCE2ED"/>
          </w:tcPr>
          <w:p w14:paraId="3EB46C97" w14:textId="77777777" w:rsidR="00141B97" w:rsidRDefault="00911D63">
            <w:pPr>
              <w:pStyle w:val="TableParagraph"/>
              <w:spacing w:before="142"/>
              <w:ind w:right="94"/>
              <w:jc w:val="right"/>
              <w:rPr>
                <w:sz w:val="16"/>
              </w:rPr>
            </w:pPr>
            <w:r>
              <w:rPr>
                <w:spacing w:val="-4"/>
                <w:sz w:val="16"/>
              </w:rPr>
              <w:t>0.59</w:t>
            </w:r>
          </w:p>
        </w:tc>
        <w:tc>
          <w:tcPr>
            <w:tcW w:w="1226" w:type="dxa"/>
            <w:shd w:val="clear" w:color="auto" w:fill="CCE2ED"/>
          </w:tcPr>
          <w:p w14:paraId="2AB6A5B0"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3BFF19B2"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44898373" w14:textId="77777777" w:rsidR="00141B97" w:rsidRDefault="00911D63">
            <w:pPr>
              <w:pStyle w:val="TableParagraph"/>
              <w:spacing w:before="142"/>
              <w:ind w:right="83"/>
              <w:jc w:val="right"/>
              <w:rPr>
                <w:sz w:val="16"/>
              </w:rPr>
            </w:pPr>
            <w:r>
              <w:rPr>
                <w:spacing w:val="-4"/>
                <w:sz w:val="16"/>
              </w:rPr>
              <w:t>1.78</w:t>
            </w:r>
          </w:p>
        </w:tc>
      </w:tr>
      <w:tr w:rsidR="00141B97" w14:paraId="1E4BE255" w14:textId="77777777">
        <w:trPr>
          <w:trHeight w:val="496"/>
          <w:tblCellSpacing w:w="9" w:type="dxa"/>
        </w:trPr>
        <w:tc>
          <w:tcPr>
            <w:tcW w:w="5249" w:type="dxa"/>
            <w:tcBorders>
              <w:left w:val="nil"/>
            </w:tcBorders>
            <w:shd w:val="clear" w:color="auto" w:fill="CCE2ED"/>
          </w:tcPr>
          <w:p w14:paraId="01A21B43" w14:textId="77777777" w:rsidR="00141B97" w:rsidRDefault="00911D63">
            <w:pPr>
              <w:pStyle w:val="TableParagraph"/>
              <w:spacing w:before="52"/>
              <w:ind w:left="88"/>
              <w:rPr>
                <w:sz w:val="16"/>
              </w:rPr>
            </w:pPr>
            <w:r>
              <w:rPr>
                <w:sz w:val="16"/>
              </w:rPr>
              <w:t>Asset</w:t>
            </w:r>
            <w:r>
              <w:rPr>
                <w:spacing w:val="-1"/>
                <w:sz w:val="16"/>
              </w:rPr>
              <w:t xml:space="preserve"> </w:t>
            </w:r>
            <w:r>
              <w:rPr>
                <w:sz w:val="16"/>
              </w:rPr>
              <w:t>Management</w:t>
            </w:r>
            <w:r>
              <w:rPr>
                <w:spacing w:val="-3"/>
                <w:sz w:val="16"/>
              </w:rPr>
              <w:t xml:space="preserve"> </w:t>
            </w:r>
            <w:r>
              <w:rPr>
                <w:sz w:val="16"/>
              </w:rPr>
              <w:t>Improvement</w:t>
            </w:r>
            <w:r>
              <w:rPr>
                <w:spacing w:val="-2"/>
                <w:sz w:val="16"/>
              </w:rPr>
              <w:t xml:space="preserve"> </w:t>
            </w:r>
            <w:r>
              <w:rPr>
                <w:sz w:val="16"/>
              </w:rPr>
              <w:t>‐</w:t>
            </w:r>
            <w:r>
              <w:rPr>
                <w:spacing w:val="-3"/>
                <w:sz w:val="16"/>
              </w:rPr>
              <w:t xml:space="preserve"> </w:t>
            </w:r>
            <w:r>
              <w:rPr>
                <w:sz w:val="16"/>
              </w:rPr>
              <w:t>Fixed</w:t>
            </w:r>
            <w:r>
              <w:rPr>
                <w:spacing w:val="-3"/>
                <w:sz w:val="16"/>
              </w:rPr>
              <w:t xml:space="preserve"> </w:t>
            </w:r>
            <w:r>
              <w:rPr>
                <w:sz w:val="16"/>
              </w:rPr>
              <w:t>Asset</w:t>
            </w:r>
            <w:r>
              <w:rPr>
                <w:spacing w:val="-2"/>
                <w:sz w:val="16"/>
              </w:rPr>
              <w:t xml:space="preserve"> </w:t>
            </w:r>
            <w:r>
              <w:rPr>
                <w:sz w:val="16"/>
              </w:rPr>
              <w:t>Implementation</w:t>
            </w:r>
            <w:r>
              <w:rPr>
                <w:spacing w:val="-2"/>
                <w:sz w:val="16"/>
              </w:rPr>
              <w:t xml:space="preserve"> </w:t>
            </w:r>
            <w:r>
              <w:rPr>
                <w:sz w:val="16"/>
              </w:rPr>
              <w:t>&amp;</w:t>
            </w:r>
            <w:r>
              <w:rPr>
                <w:spacing w:val="-3"/>
                <w:sz w:val="16"/>
              </w:rPr>
              <w:t xml:space="preserve"> </w:t>
            </w:r>
            <w:r>
              <w:rPr>
                <w:sz w:val="16"/>
              </w:rPr>
              <w:t>Value</w:t>
            </w:r>
            <w:r>
              <w:rPr>
                <w:spacing w:val="-3"/>
                <w:sz w:val="16"/>
              </w:rPr>
              <w:t xml:space="preserve"> </w:t>
            </w:r>
            <w:r>
              <w:rPr>
                <w:sz w:val="16"/>
              </w:rPr>
              <w:t>Study</w:t>
            </w:r>
            <w:r>
              <w:rPr>
                <w:spacing w:val="40"/>
                <w:sz w:val="16"/>
              </w:rPr>
              <w:t xml:space="preserve"> </w:t>
            </w:r>
            <w:r>
              <w:rPr>
                <w:spacing w:val="-2"/>
                <w:sz w:val="16"/>
              </w:rPr>
              <w:t>Initiatives</w:t>
            </w:r>
          </w:p>
        </w:tc>
        <w:tc>
          <w:tcPr>
            <w:tcW w:w="1375" w:type="dxa"/>
            <w:shd w:val="clear" w:color="auto" w:fill="CCE2ED"/>
          </w:tcPr>
          <w:p w14:paraId="42FC7C08" w14:textId="77777777" w:rsidR="00141B97" w:rsidRDefault="00141B97">
            <w:pPr>
              <w:pStyle w:val="TableParagraph"/>
              <w:spacing w:before="4"/>
              <w:rPr>
                <w:sz w:val="12"/>
              </w:rPr>
            </w:pPr>
          </w:p>
          <w:p w14:paraId="6B2F1C91" w14:textId="77777777" w:rsidR="00141B97" w:rsidRDefault="00911D63">
            <w:pPr>
              <w:pStyle w:val="TableParagraph"/>
              <w:ind w:right="95"/>
              <w:jc w:val="right"/>
              <w:rPr>
                <w:sz w:val="16"/>
              </w:rPr>
            </w:pPr>
            <w:r>
              <w:rPr>
                <w:spacing w:val="-2"/>
                <w:sz w:val="16"/>
              </w:rPr>
              <w:t>Water</w:t>
            </w:r>
          </w:p>
        </w:tc>
        <w:tc>
          <w:tcPr>
            <w:tcW w:w="1886" w:type="dxa"/>
            <w:shd w:val="clear" w:color="auto" w:fill="CCE2ED"/>
          </w:tcPr>
          <w:p w14:paraId="0967CDEE" w14:textId="77777777" w:rsidR="00141B97" w:rsidRDefault="00911D63">
            <w:pPr>
              <w:pStyle w:val="TableParagraph"/>
              <w:spacing w:before="52"/>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6E53E29F" w14:textId="77777777" w:rsidR="00141B97" w:rsidRDefault="00141B97">
            <w:pPr>
              <w:pStyle w:val="TableParagraph"/>
              <w:spacing w:before="4"/>
              <w:rPr>
                <w:sz w:val="12"/>
              </w:rPr>
            </w:pPr>
          </w:p>
          <w:p w14:paraId="2329F2B0" w14:textId="77777777" w:rsidR="00141B97" w:rsidRDefault="00911D63">
            <w:pPr>
              <w:pStyle w:val="TableParagraph"/>
              <w:ind w:right="95"/>
              <w:jc w:val="right"/>
              <w:rPr>
                <w:sz w:val="16"/>
              </w:rPr>
            </w:pPr>
            <w:r>
              <w:rPr>
                <w:spacing w:val="-4"/>
                <w:sz w:val="16"/>
              </w:rPr>
              <w:t>0.54</w:t>
            </w:r>
          </w:p>
        </w:tc>
        <w:tc>
          <w:tcPr>
            <w:tcW w:w="1227" w:type="dxa"/>
            <w:shd w:val="clear" w:color="auto" w:fill="CCE2ED"/>
          </w:tcPr>
          <w:p w14:paraId="1B500668" w14:textId="77777777" w:rsidR="00141B97" w:rsidRDefault="00141B97">
            <w:pPr>
              <w:pStyle w:val="TableParagraph"/>
              <w:spacing w:before="4"/>
              <w:rPr>
                <w:sz w:val="12"/>
              </w:rPr>
            </w:pPr>
          </w:p>
          <w:p w14:paraId="68128DA9" w14:textId="77777777" w:rsidR="00141B97" w:rsidRDefault="00911D63">
            <w:pPr>
              <w:pStyle w:val="TableParagraph"/>
              <w:ind w:right="95"/>
              <w:jc w:val="right"/>
              <w:rPr>
                <w:sz w:val="16"/>
              </w:rPr>
            </w:pPr>
            <w:r>
              <w:rPr>
                <w:spacing w:val="-4"/>
                <w:sz w:val="16"/>
              </w:rPr>
              <w:t>0.54</w:t>
            </w:r>
          </w:p>
        </w:tc>
        <w:tc>
          <w:tcPr>
            <w:tcW w:w="1226" w:type="dxa"/>
            <w:shd w:val="clear" w:color="auto" w:fill="CCE2ED"/>
          </w:tcPr>
          <w:p w14:paraId="2AD169FB" w14:textId="77777777" w:rsidR="00141B97" w:rsidRDefault="00141B97">
            <w:pPr>
              <w:pStyle w:val="TableParagraph"/>
              <w:spacing w:before="4"/>
              <w:rPr>
                <w:sz w:val="12"/>
              </w:rPr>
            </w:pPr>
          </w:p>
          <w:p w14:paraId="3EDB9701" w14:textId="77777777" w:rsidR="00141B97" w:rsidRDefault="00911D63">
            <w:pPr>
              <w:pStyle w:val="TableParagraph"/>
              <w:ind w:right="94"/>
              <w:jc w:val="right"/>
              <w:rPr>
                <w:sz w:val="16"/>
              </w:rPr>
            </w:pPr>
            <w:r>
              <w:rPr>
                <w:spacing w:val="-4"/>
                <w:sz w:val="16"/>
              </w:rPr>
              <w:t>0.54</w:t>
            </w:r>
          </w:p>
        </w:tc>
        <w:tc>
          <w:tcPr>
            <w:tcW w:w="1226" w:type="dxa"/>
            <w:shd w:val="clear" w:color="auto" w:fill="CCE2ED"/>
          </w:tcPr>
          <w:p w14:paraId="093CCC85" w14:textId="77777777" w:rsidR="00141B97" w:rsidRDefault="00141B97">
            <w:pPr>
              <w:pStyle w:val="TableParagraph"/>
              <w:spacing w:before="4"/>
              <w:rPr>
                <w:sz w:val="12"/>
              </w:rPr>
            </w:pPr>
          </w:p>
          <w:p w14:paraId="7C7EC4E8" w14:textId="77777777" w:rsidR="00141B97" w:rsidRDefault="00911D63">
            <w:pPr>
              <w:pStyle w:val="TableParagraph"/>
              <w:ind w:right="94"/>
              <w:jc w:val="right"/>
              <w:rPr>
                <w:sz w:val="16"/>
              </w:rPr>
            </w:pPr>
            <w:r>
              <w:rPr>
                <w:spacing w:val="-4"/>
                <w:sz w:val="16"/>
              </w:rPr>
              <w:t>0.54</w:t>
            </w:r>
          </w:p>
        </w:tc>
        <w:tc>
          <w:tcPr>
            <w:tcW w:w="1225" w:type="dxa"/>
            <w:shd w:val="clear" w:color="auto" w:fill="CCE2ED"/>
          </w:tcPr>
          <w:p w14:paraId="2654FA22" w14:textId="77777777" w:rsidR="00141B97" w:rsidRDefault="00141B97">
            <w:pPr>
              <w:pStyle w:val="TableParagraph"/>
              <w:spacing w:before="4"/>
              <w:rPr>
                <w:sz w:val="12"/>
              </w:rPr>
            </w:pPr>
          </w:p>
          <w:p w14:paraId="250CBBF3" w14:textId="77777777" w:rsidR="00141B97" w:rsidRDefault="00911D63">
            <w:pPr>
              <w:pStyle w:val="TableParagraph"/>
              <w:ind w:right="93"/>
              <w:jc w:val="right"/>
              <w:rPr>
                <w:sz w:val="16"/>
              </w:rPr>
            </w:pPr>
            <w:r>
              <w:rPr>
                <w:spacing w:val="-4"/>
                <w:sz w:val="16"/>
              </w:rPr>
              <w:t>0.54</w:t>
            </w:r>
          </w:p>
        </w:tc>
        <w:tc>
          <w:tcPr>
            <w:tcW w:w="1022" w:type="dxa"/>
            <w:tcBorders>
              <w:right w:val="nil"/>
            </w:tcBorders>
            <w:shd w:val="clear" w:color="auto" w:fill="CCE2ED"/>
          </w:tcPr>
          <w:p w14:paraId="74932BB2" w14:textId="77777777" w:rsidR="00141B97" w:rsidRDefault="00141B97">
            <w:pPr>
              <w:pStyle w:val="TableParagraph"/>
              <w:spacing w:before="4"/>
              <w:rPr>
                <w:sz w:val="12"/>
              </w:rPr>
            </w:pPr>
          </w:p>
          <w:p w14:paraId="4D004460" w14:textId="77777777" w:rsidR="00141B97" w:rsidRDefault="00911D63">
            <w:pPr>
              <w:pStyle w:val="TableParagraph"/>
              <w:ind w:right="83"/>
              <w:jc w:val="right"/>
              <w:rPr>
                <w:sz w:val="16"/>
              </w:rPr>
            </w:pPr>
            <w:r>
              <w:rPr>
                <w:spacing w:val="-4"/>
                <w:sz w:val="16"/>
              </w:rPr>
              <w:t>2.71</w:t>
            </w:r>
          </w:p>
        </w:tc>
      </w:tr>
      <w:tr w:rsidR="00141B97" w14:paraId="39B849EB" w14:textId="77777777">
        <w:trPr>
          <w:trHeight w:val="269"/>
          <w:tblCellSpacing w:w="9" w:type="dxa"/>
        </w:trPr>
        <w:tc>
          <w:tcPr>
            <w:tcW w:w="5249" w:type="dxa"/>
            <w:tcBorders>
              <w:left w:val="nil"/>
            </w:tcBorders>
            <w:shd w:val="clear" w:color="auto" w:fill="BFBFBF"/>
          </w:tcPr>
          <w:p w14:paraId="603686FB" w14:textId="77777777" w:rsidR="00141B97" w:rsidRDefault="00911D63">
            <w:pPr>
              <w:pStyle w:val="TableParagraph"/>
              <w:spacing w:before="37"/>
              <w:ind w:left="88"/>
              <w:rPr>
                <w:sz w:val="16"/>
              </w:rPr>
            </w:pPr>
            <w:r>
              <w:rPr>
                <w:sz w:val="16"/>
              </w:rPr>
              <w:t>Ongoing</w:t>
            </w:r>
            <w:r>
              <w:rPr>
                <w:spacing w:val="-8"/>
                <w:sz w:val="16"/>
              </w:rPr>
              <w:t xml:space="preserve"> </w:t>
            </w:r>
            <w:r>
              <w:rPr>
                <w:sz w:val="16"/>
              </w:rPr>
              <w:t>capital</w:t>
            </w:r>
            <w:r>
              <w:rPr>
                <w:spacing w:val="-7"/>
                <w:sz w:val="16"/>
              </w:rPr>
              <w:t xml:space="preserve"> </w:t>
            </w:r>
            <w:r>
              <w:rPr>
                <w:spacing w:val="-2"/>
                <w:sz w:val="16"/>
              </w:rPr>
              <w:t>programs</w:t>
            </w:r>
          </w:p>
        </w:tc>
        <w:tc>
          <w:tcPr>
            <w:tcW w:w="1375" w:type="dxa"/>
            <w:shd w:val="clear" w:color="auto" w:fill="BFBFBF"/>
          </w:tcPr>
          <w:p w14:paraId="26E53C8D" w14:textId="77777777" w:rsidR="00141B97" w:rsidRDefault="00141B97">
            <w:pPr>
              <w:pStyle w:val="TableParagraph"/>
              <w:rPr>
                <w:rFonts w:ascii="Times New Roman"/>
                <w:sz w:val="16"/>
              </w:rPr>
            </w:pPr>
          </w:p>
        </w:tc>
        <w:tc>
          <w:tcPr>
            <w:tcW w:w="1886" w:type="dxa"/>
            <w:shd w:val="clear" w:color="auto" w:fill="BFBFBF"/>
          </w:tcPr>
          <w:p w14:paraId="4350C03E" w14:textId="77777777" w:rsidR="00141B97" w:rsidRDefault="00141B97">
            <w:pPr>
              <w:pStyle w:val="TableParagraph"/>
              <w:rPr>
                <w:rFonts w:ascii="Times New Roman"/>
                <w:sz w:val="16"/>
              </w:rPr>
            </w:pPr>
          </w:p>
        </w:tc>
        <w:tc>
          <w:tcPr>
            <w:tcW w:w="1226" w:type="dxa"/>
            <w:shd w:val="clear" w:color="auto" w:fill="BFBFBF"/>
          </w:tcPr>
          <w:p w14:paraId="0BEBEE42" w14:textId="77777777" w:rsidR="00141B97" w:rsidRDefault="00141B97">
            <w:pPr>
              <w:pStyle w:val="TableParagraph"/>
              <w:rPr>
                <w:rFonts w:ascii="Times New Roman"/>
                <w:sz w:val="16"/>
              </w:rPr>
            </w:pPr>
          </w:p>
        </w:tc>
        <w:tc>
          <w:tcPr>
            <w:tcW w:w="1227" w:type="dxa"/>
            <w:shd w:val="clear" w:color="auto" w:fill="BFBFBF"/>
          </w:tcPr>
          <w:p w14:paraId="75200462" w14:textId="77777777" w:rsidR="00141B97" w:rsidRDefault="00141B97">
            <w:pPr>
              <w:pStyle w:val="TableParagraph"/>
              <w:rPr>
                <w:rFonts w:ascii="Times New Roman"/>
                <w:sz w:val="16"/>
              </w:rPr>
            </w:pPr>
          </w:p>
        </w:tc>
        <w:tc>
          <w:tcPr>
            <w:tcW w:w="1226" w:type="dxa"/>
            <w:shd w:val="clear" w:color="auto" w:fill="BFBFBF"/>
          </w:tcPr>
          <w:p w14:paraId="68551C75" w14:textId="77777777" w:rsidR="00141B97" w:rsidRDefault="00141B97">
            <w:pPr>
              <w:pStyle w:val="TableParagraph"/>
              <w:rPr>
                <w:rFonts w:ascii="Times New Roman"/>
                <w:sz w:val="16"/>
              </w:rPr>
            </w:pPr>
          </w:p>
        </w:tc>
        <w:tc>
          <w:tcPr>
            <w:tcW w:w="1226" w:type="dxa"/>
            <w:shd w:val="clear" w:color="auto" w:fill="BFBFBF"/>
          </w:tcPr>
          <w:p w14:paraId="2431B442" w14:textId="77777777" w:rsidR="00141B97" w:rsidRDefault="00141B97">
            <w:pPr>
              <w:pStyle w:val="TableParagraph"/>
              <w:rPr>
                <w:rFonts w:ascii="Times New Roman"/>
                <w:sz w:val="16"/>
              </w:rPr>
            </w:pPr>
          </w:p>
        </w:tc>
        <w:tc>
          <w:tcPr>
            <w:tcW w:w="1225" w:type="dxa"/>
            <w:shd w:val="clear" w:color="auto" w:fill="BFBFBF"/>
          </w:tcPr>
          <w:p w14:paraId="21DD1634" w14:textId="77777777" w:rsidR="00141B97" w:rsidRDefault="00141B97">
            <w:pPr>
              <w:pStyle w:val="TableParagraph"/>
              <w:rPr>
                <w:rFonts w:ascii="Times New Roman"/>
                <w:sz w:val="16"/>
              </w:rPr>
            </w:pPr>
          </w:p>
        </w:tc>
        <w:tc>
          <w:tcPr>
            <w:tcW w:w="1022" w:type="dxa"/>
            <w:tcBorders>
              <w:right w:val="nil"/>
            </w:tcBorders>
            <w:shd w:val="clear" w:color="auto" w:fill="BFBFBF"/>
          </w:tcPr>
          <w:p w14:paraId="39A994A5" w14:textId="77777777" w:rsidR="00141B97" w:rsidRDefault="00141B97">
            <w:pPr>
              <w:pStyle w:val="TableParagraph"/>
              <w:rPr>
                <w:rFonts w:ascii="Times New Roman"/>
                <w:sz w:val="16"/>
              </w:rPr>
            </w:pPr>
          </w:p>
        </w:tc>
      </w:tr>
      <w:tr w:rsidR="00141B97" w14:paraId="424B9209" w14:textId="77777777">
        <w:trPr>
          <w:trHeight w:val="240"/>
          <w:tblCellSpacing w:w="9" w:type="dxa"/>
        </w:trPr>
        <w:tc>
          <w:tcPr>
            <w:tcW w:w="5249" w:type="dxa"/>
            <w:tcBorders>
              <w:left w:val="nil"/>
            </w:tcBorders>
            <w:shd w:val="clear" w:color="auto" w:fill="CCE2ED"/>
          </w:tcPr>
          <w:p w14:paraId="6DF89D40" w14:textId="77777777" w:rsidR="00141B97" w:rsidRDefault="00911D63">
            <w:pPr>
              <w:pStyle w:val="TableParagraph"/>
              <w:spacing w:before="22"/>
              <w:ind w:left="88"/>
              <w:rPr>
                <w:sz w:val="16"/>
              </w:rPr>
            </w:pPr>
            <w:r>
              <w:rPr>
                <w:sz w:val="16"/>
              </w:rPr>
              <w:t>ALL</w:t>
            </w:r>
            <w:r>
              <w:rPr>
                <w:spacing w:val="-4"/>
                <w:sz w:val="16"/>
              </w:rPr>
              <w:t xml:space="preserve"> </w:t>
            </w:r>
            <w:r>
              <w:rPr>
                <w:sz w:val="16"/>
              </w:rPr>
              <w:t>SITES</w:t>
            </w:r>
            <w:r>
              <w:rPr>
                <w:spacing w:val="-5"/>
                <w:sz w:val="16"/>
              </w:rPr>
              <w:t xml:space="preserve"> </w:t>
            </w:r>
            <w:r>
              <w:rPr>
                <w:sz w:val="16"/>
              </w:rPr>
              <w:t>Land</w:t>
            </w:r>
            <w:r>
              <w:rPr>
                <w:spacing w:val="-5"/>
                <w:sz w:val="16"/>
              </w:rPr>
              <w:t xml:space="preserve"> </w:t>
            </w:r>
            <w:r>
              <w:rPr>
                <w:spacing w:val="-2"/>
                <w:sz w:val="16"/>
              </w:rPr>
              <w:t>Development</w:t>
            </w:r>
          </w:p>
        </w:tc>
        <w:tc>
          <w:tcPr>
            <w:tcW w:w="1375" w:type="dxa"/>
            <w:shd w:val="clear" w:color="auto" w:fill="CCE2ED"/>
          </w:tcPr>
          <w:p w14:paraId="75B59B21"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530D3CFE" w14:textId="77777777" w:rsidR="00141B97" w:rsidRDefault="00911D63">
            <w:pPr>
              <w:pStyle w:val="TableParagraph"/>
              <w:spacing w:before="22"/>
              <w:ind w:right="97"/>
              <w:jc w:val="right"/>
              <w:rPr>
                <w:sz w:val="16"/>
              </w:rPr>
            </w:pPr>
            <w:r>
              <w:rPr>
                <w:spacing w:val="-2"/>
                <w:sz w:val="16"/>
              </w:rPr>
              <w:t>Growth</w:t>
            </w:r>
          </w:p>
        </w:tc>
        <w:tc>
          <w:tcPr>
            <w:tcW w:w="1226" w:type="dxa"/>
            <w:shd w:val="clear" w:color="auto" w:fill="CCE2ED"/>
          </w:tcPr>
          <w:p w14:paraId="3DE9CDCA" w14:textId="77777777" w:rsidR="00141B97" w:rsidRDefault="00911D63">
            <w:pPr>
              <w:pStyle w:val="TableParagraph"/>
              <w:spacing w:before="22"/>
              <w:ind w:right="95"/>
              <w:jc w:val="right"/>
              <w:rPr>
                <w:sz w:val="16"/>
              </w:rPr>
            </w:pPr>
            <w:r>
              <w:rPr>
                <w:spacing w:val="-4"/>
                <w:sz w:val="16"/>
              </w:rPr>
              <w:t>0.15</w:t>
            </w:r>
          </w:p>
        </w:tc>
        <w:tc>
          <w:tcPr>
            <w:tcW w:w="1227" w:type="dxa"/>
            <w:shd w:val="clear" w:color="auto" w:fill="CCE2ED"/>
          </w:tcPr>
          <w:p w14:paraId="4D889F57" w14:textId="77777777" w:rsidR="00141B97" w:rsidRDefault="00911D63">
            <w:pPr>
              <w:pStyle w:val="TableParagraph"/>
              <w:spacing w:before="22"/>
              <w:ind w:right="95"/>
              <w:jc w:val="right"/>
              <w:rPr>
                <w:sz w:val="16"/>
              </w:rPr>
            </w:pPr>
            <w:r>
              <w:rPr>
                <w:spacing w:val="-4"/>
                <w:sz w:val="16"/>
              </w:rPr>
              <w:t>0.15</w:t>
            </w:r>
          </w:p>
        </w:tc>
        <w:tc>
          <w:tcPr>
            <w:tcW w:w="1226" w:type="dxa"/>
            <w:shd w:val="clear" w:color="auto" w:fill="CCE2ED"/>
          </w:tcPr>
          <w:p w14:paraId="0D55A819" w14:textId="77777777" w:rsidR="00141B97" w:rsidRDefault="00911D63">
            <w:pPr>
              <w:pStyle w:val="TableParagraph"/>
              <w:spacing w:before="22"/>
              <w:ind w:right="94"/>
              <w:jc w:val="right"/>
              <w:rPr>
                <w:sz w:val="16"/>
              </w:rPr>
            </w:pPr>
            <w:r>
              <w:rPr>
                <w:spacing w:val="-4"/>
                <w:sz w:val="16"/>
              </w:rPr>
              <w:t>0.15</w:t>
            </w:r>
          </w:p>
        </w:tc>
        <w:tc>
          <w:tcPr>
            <w:tcW w:w="1226" w:type="dxa"/>
            <w:shd w:val="clear" w:color="auto" w:fill="CCE2ED"/>
          </w:tcPr>
          <w:p w14:paraId="2A1E723E" w14:textId="77777777" w:rsidR="00141B97" w:rsidRDefault="00911D63">
            <w:pPr>
              <w:pStyle w:val="TableParagraph"/>
              <w:spacing w:before="22"/>
              <w:ind w:right="94"/>
              <w:jc w:val="right"/>
              <w:rPr>
                <w:sz w:val="16"/>
              </w:rPr>
            </w:pPr>
            <w:r>
              <w:rPr>
                <w:spacing w:val="-4"/>
                <w:sz w:val="16"/>
              </w:rPr>
              <w:t>0.15</w:t>
            </w:r>
          </w:p>
        </w:tc>
        <w:tc>
          <w:tcPr>
            <w:tcW w:w="1225" w:type="dxa"/>
            <w:shd w:val="clear" w:color="auto" w:fill="CCE2ED"/>
          </w:tcPr>
          <w:p w14:paraId="6D117FF9" w14:textId="77777777" w:rsidR="00141B97" w:rsidRDefault="00911D63">
            <w:pPr>
              <w:pStyle w:val="TableParagraph"/>
              <w:spacing w:before="22"/>
              <w:ind w:right="93"/>
              <w:jc w:val="right"/>
              <w:rPr>
                <w:sz w:val="16"/>
              </w:rPr>
            </w:pPr>
            <w:r>
              <w:rPr>
                <w:spacing w:val="-4"/>
                <w:sz w:val="16"/>
              </w:rPr>
              <w:t>0.15</w:t>
            </w:r>
          </w:p>
        </w:tc>
        <w:tc>
          <w:tcPr>
            <w:tcW w:w="1022" w:type="dxa"/>
            <w:tcBorders>
              <w:right w:val="nil"/>
            </w:tcBorders>
            <w:shd w:val="clear" w:color="auto" w:fill="CCE2ED"/>
          </w:tcPr>
          <w:p w14:paraId="53677049" w14:textId="77777777" w:rsidR="00141B97" w:rsidRDefault="00911D63">
            <w:pPr>
              <w:pStyle w:val="TableParagraph"/>
              <w:spacing w:before="22"/>
              <w:ind w:right="83"/>
              <w:jc w:val="right"/>
              <w:rPr>
                <w:sz w:val="16"/>
              </w:rPr>
            </w:pPr>
            <w:r>
              <w:rPr>
                <w:spacing w:val="-4"/>
                <w:sz w:val="16"/>
              </w:rPr>
              <w:t>0.75</w:t>
            </w:r>
          </w:p>
        </w:tc>
      </w:tr>
      <w:tr w:rsidR="00141B97" w14:paraId="00BFAC84" w14:textId="77777777">
        <w:trPr>
          <w:trHeight w:val="240"/>
          <w:tblCellSpacing w:w="9" w:type="dxa"/>
        </w:trPr>
        <w:tc>
          <w:tcPr>
            <w:tcW w:w="5249" w:type="dxa"/>
            <w:tcBorders>
              <w:left w:val="nil"/>
            </w:tcBorders>
            <w:shd w:val="clear" w:color="auto" w:fill="CCE2ED"/>
          </w:tcPr>
          <w:p w14:paraId="682E443A" w14:textId="77777777" w:rsidR="00141B97" w:rsidRDefault="00911D63">
            <w:pPr>
              <w:pStyle w:val="TableParagraph"/>
              <w:spacing w:before="22"/>
              <w:ind w:left="88"/>
              <w:rPr>
                <w:sz w:val="16"/>
              </w:rPr>
            </w:pPr>
            <w:r>
              <w:rPr>
                <w:sz w:val="16"/>
              </w:rPr>
              <w:t>ALL</w:t>
            </w:r>
            <w:r>
              <w:rPr>
                <w:spacing w:val="-4"/>
                <w:sz w:val="16"/>
              </w:rPr>
              <w:t xml:space="preserve"> </w:t>
            </w:r>
            <w:r>
              <w:rPr>
                <w:sz w:val="16"/>
              </w:rPr>
              <w:t>SITES</w:t>
            </w:r>
            <w:r>
              <w:rPr>
                <w:spacing w:val="-5"/>
                <w:sz w:val="16"/>
              </w:rPr>
              <w:t xml:space="preserve"> </w:t>
            </w:r>
            <w:r>
              <w:rPr>
                <w:sz w:val="16"/>
              </w:rPr>
              <w:t>Minor</w:t>
            </w:r>
            <w:r>
              <w:rPr>
                <w:spacing w:val="-4"/>
                <w:sz w:val="16"/>
              </w:rPr>
              <w:t xml:space="preserve"> </w:t>
            </w:r>
            <w:r>
              <w:rPr>
                <w:sz w:val="16"/>
              </w:rPr>
              <w:t>Capital</w:t>
            </w:r>
            <w:r>
              <w:rPr>
                <w:spacing w:val="-5"/>
                <w:sz w:val="16"/>
              </w:rPr>
              <w:t xml:space="preserve"> </w:t>
            </w:r>
            <w:r>
              <w:rPr>
                <w:sz w:val="16"/>
              </w:rPr>
              <w:t>Works</w:t>
            </w:r>
            <w:r>
              <w:rPr>
                <w:spacing w:val="-5"/>
                <w:sz w:val="16"/>
              </w:rPr>
              <w:t xml:space="preserve"> </w:t>
            </w:r>
            <w:r>
              <w:rPr>
                <w:sz w:val="16"/>
              </w:rPr>
              <w:t>‐</w:t>
            </w:r>
            <w:r>
              <w:rPr>
                <w:spacing w:val="-5"/>
                <w:sz w:val="16"/>
              </w:rPr>
              <w:t xml:space="preserve"> </w:t>
            </w:r>
            <w:r>
              <w:rPr>
                <w:spacing w:val="-2"/>
                <w:sz w:val="16"/>
              </w:rPr>
              <w:t>Replacement</w:t>
            </w:r>
          </w:p>
        </w:tc>
        <w:tc>
          <w:tcPr>
            <w:tcW w:w="1375" w:type="dxa"/>
            <w:shd w:val="clear" w:color="auto" w:fill="CCE2ED"/>
          </w:tcPr>
          <w:p w14:paraId="51FC408F"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55457F78"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66381068" w14:textId="77777777" w:rsidR="00141B97" w:rsidRDefault="00911D63">
            <w:pPr>
              <w:pStyle w:val="TableParagraph"/>
              <w:spacing w:before="22"/>
              <w:ind w:right="95"/>
              <w:jc w:val="right"/>
              <w:rPr>
                <w:sz w:val="16"/>
              </w:rPr>
            </w:pPr>
            <w:r>
              <w:rPr>
                <w:spacing w:val="-4"/>
                <w:sz w:val="16"/>
              </w:rPr>
              <w:t>0.34</w:t>
            </w:r>
          </w:p>
        </w:tc>
        <w:tc>
          <w:tcPr>
            <w:tcW w:w="1227" w:type="dxa"/>
            <w:shd w:val="clear" w:color="auto" w:fill="CCE2ED"/>
          </w:tcPr>
          <w:p w14:paraId="0FDA629D" w14:textId="77777777" w:rsidR="00141B97" w:rsidRDefault="00911D63">
            <w:pPr>
              <w:pStyle w:val="TableParagraph"/>
              <w:spacing w:before="22"/>
              <w:ind w:right="95"/>
              <w:jc w:val="right"/>
              <w:rPr>
                <w:sz w:val="16"/>
              </w:rPr>
            </w:pPr>
            <w:r>
              <w:rPr>
                <w:spacing w:val="-4"/>
                <w:sz w:val="16"/>
              </w:rPr>
              <w:t>0.34</w:t>
            </w:r>
          </w:p>
        </w:tc>
        <w:tc>
          <w:tcPr>
            <w:tcW w:w="1226" w:type="dxa"/>
            <w:shd w:val="clear" w:color="auto" w:fill="CCE2ED"/>
          </w:tcPr>
          <w:p w14:paraId="4805EC0A" w14:textId="77777777" w:rsidR="00141B97" w:rsidRDefault="00911D63">
            <w:pPr>
              <w:pStyle w:val="TableParagraph"/>
              <w:spacing w:before="22"/>
              <w:ind w:right="94"/>
              <w:jc w:val="right"/>
              <w:rPr>
                <w:sz w:val="16"/>
              </w:rPr>
            </w:pPr>
            <w:r>
              <w:rPr>
                <w:spacing w:val="-4"/>
                <w:sz w:val="16"/>
              </w:rPr>
              <w:t>0.34</w:t>
            </w:r>
          </w:p>
        </w:tc>
        <w:tc>
          <w:tcPr>
            <w:tcW w:w="1226" w:type="dxa"/>
            <w:shd w:val="clear" w:color="auto" w:fill="CCE2ED"/>
          </w:tcPr>
          <w:p w14:paraId="263D0EA8" w14:textId="77777777" w:rsidR="00141B97" w:rsidRDefault="00911D63">
            <w:pPr>
              <w:pStyle w:val="TableParagraph"/>
              <w:spacing w:before="22"/>
              <w:ind w:right="94"/>
              <w:jc w:val="right"/>
              <w:rPr>
                <w:sz w:val="16"/>
              </w:rPr>
            </w:pPr>
            <w:r>
              <w:rPr>
                <w:spacing w:val="-4"/>
                <w:sz w:val="16"/>
              </w:rPr>
              <w:t>0.34</w:t>
            </w:r>
          </w:p>
        </w:tc>
        <w:tc>
          <w:tcPr>
            <w:tcW w:w="1225" w:type="dxa"/>
            <w:shd w:val="clear" w:color="auto" w:fill="CCE2ED"/>
          </w:tcPr>
          <w:p w14:paraId="0F680067" w14:textId="77777777" w:rsidR="00141B97" w:rsidRDefault="00911D63">
            <w:pPr>
              <w:pStyle w:val="TableParagraph"/>
              <w:spacing w:before="22"/>
              <w:ind w:right="93"/>
              <w:jc w:val="right"/>
              <w:rPr>
                <w:sz w:val="16"/>
              </w:rPr>
            </w:pPr>
            <w:r>
              <w:rPr>
                <w:spacing w:val="-4"/>
                <w:sz w:val="16"/>
              </w:rPr>
              <w:t>0.34</w:t>
            </w:r>
          </w:p>
        </w:tc>
        <w:tc>
          <w:tcPr>
            <w:tcW w:w="1022" w:type="dxa"/>
            <w:tcBorders>
              <w:right w:val="nil"/>
            </w:tcBorders>
            <w:shd w:val="clear" w:color="auto" w:fill="CCE2ED"/>
          </w:tcPr>
          <w:p w14:paraId="23E419D4" w14:textId="77777777" w:rsidR="00141B97" w:rsidRDefault="00911D63">
            <w:pPr>
              <w:pStyle w:val="TableParagraph"/>
              <w:spacing w:before="22"/>
              <w:ind w:right="83"/>
              <w:jc w:val="right"/>
              <w:rPr>
                <w:sz w:val="16"/>
              </w:rPr>
            </w:pPr>
            <w:r>
              <w:rPr>
                <w:spacing w:val="-4"/>
                <w:sz w:val="16"/>
              </w:rPr>
              <w:t>1.69</w:t>
            </w:r>
          </w:p>
        </w:tc>
      </w:tr>
      <w:tr w:rsidR="00141B97" w14:paraId="54BB374B" w14:textId="77777777">
        <w:trPr>
          <w:trHeight w:val="479"/>
          <w:tblCellSpacing w:w="9" w:type="dxa"/>
        </w:trPr>
        <w:tc>
          <w:tcPr>
            <w:tcW w:w="5249" w:type="dxa"/>
            <w:tcBorders>
              <w:left w:val="nil"/>
            </w:tcBorders>
            <w:shd w:val="clear" w:color="auto" w:fill="CCE2ED"/>
          </w:tcPr>
          <w:p w14:paraId="5449F6E7" w14:textId="77777777" w:rsidR="00141B97" w:rsidRDefault="00911D63">
            <w:pPr>
              <w:pStyle w:val="TableParagraph"/>
              <w:spacing w:before="142"/>
              <w:ind w:left="88"/>
              <w:rPr>
                <w:sz w:val="16"/>
              </w:rPr>
            </w:pPr>
            <w:r>
              <w:rPr>
                <w:sz w:val="16"/>
              </w:rPr>
              <w:t>ALL</w:t>
            </w:r>
            <w:r>
              <w:rPr>
                <w:spacing w:val="-4"/>
                <w:sz w:val="16"/>
              </w:rPr>
              <w:t xml:space="preserve"> </w:t>
            </w:r>
            <w:r>
              <w:rPr>
                <w:sz w:val="16"/>
              </w:rPr>
              <w:t>SITES</w:t>
            </w:r>
            <w:r>
              <w:rPr>
                <w:spacing w:val="-5"/>
                <w:sz w:val="16"/>
              </w:rPr>
              <w:t xml:space="preserve"> </w:t>
            </w:r>
            <w:r>
              <w:rPr>
                <w:sz w:val="16"/>
              </w:rPr>
              <w:t>Minor</w:t>
            </w:r>
            <w:r>
              <w:rPr>
                <w:spacing w:val="-4"/>
                <w:sz w:val="16"/>
              </w:rPr>
              <w:t xml:space="preserve"> </w:t>
            </w:r>
            <w:r>
              <w:rPr>
                <w:sz w:val="16"/>
              </w:rPr>
              <w:t>Capital</w:t>
            </w:r>
            <w:r>
              <w:rPr>
                <w:spacing w:val="-5"/>
                <w:sz w:val="16"/>
              </w:rPr>
              <w:t xml:space="preserve"> </w:t>
            </w:r>
            <w:r>
              <w:rPr>
                <w:sz w:val="16"/>
              </w:rPr>
              <w:t>Works</w:t>
            </w:r>
            <w:r>
              <w:rPr>
                <w:spacing w:val="-5"/>
                <w:sz w:val="16"/>
              </w:rPr>
              <w:t xml:space="preserve"> </w:t>
            </w:r>
            <w:r>
              <w:rPr>
                <w:sz w:val="16"/>
              </w:rPr>
              <w:t>‐</w:t>
            </w:r>
            <w:r>
              <w:rPr>
                <w:spacing w:val="-5"/>
                <w:sz w:val="16"/>
              </w:rPr>
              <w:t xml:space="preserve"> New</w:t>
            </w:r>
          </w:p>
        </w:tc>
        <w:tc>
          <w:tcPr>
            <w:tcW w:w="1375" w:type="dxa"/>
            <w:shd w:val="clear" w:color="auto" w:fill="CCE2ED"/>
          </w:tcPr>
          <w:p w14:paraId="3491E98A"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5CB92E78"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47389B8B" w14:textId="77777777" w:rsidR="00141B97" w:rsidRDefault="00911D63">
            <w:pPr>
              <w:pStyle w:val="TableParagraph"/>
              <w:spacing w:before="142"/>
              <w:ind w:right="95"/>
              <w:jc w:val="right"/>
              <w:rPr>
                <w:sz w:val="16"/>
              </w:rPr>
            </w:pPr>
            <w:r>
              <w:rPr>
                <w:spacing w:val="-4"/>
                <w:sz w:val="16"/>
              </w:rPr>
              <w:t>0.32</w:t>
            </w:r>
          </w:p>
        </w:tc>
        <w:tc>
          <w:tcPr>
            <w:tcW w:w="1227" w:type="dxa"/>
            <w:shd w:val="clear" w:color="auto" w:fill="CCE2ED"/>
          </w:tcPr>
          <w:p w14:paraId="61B3F730" w14:textId="77777777" w:rsidR="00141B97" w:rsidRDefault="00911D63">
            <w:pPr>
              <w:pStyle w:val="TableParagraph"/>
              <w:spacing w:before="142"/>
              <w:ind w:right="95"/>
              <w:jc w:val="right"/>
              <w:rPr>
                <w:sz w:val="16"/>
              </w:rPr>
            </w:pPr>
            <w:r>
              <w:rPr>
                <w:spacing w:val="-4"/>
                <w:sz w:val="16"/>
              </w:rPr>
              <w:t>0.32</w:t>
            </w:r>
          </w:p>
        </w:tc>
        <w:tc>
          <w:tcPr>
            <w:tcW w:w="1226" w:type="dxa"/>
            <w:shd w:val="clear" w:color="auto" w:fill="CCE2ED"/>
          </w:tcPr>
          <w:p w14:paraId="501EE885" w14:textId="77777777" w:rsidR="00141B97" w:rsidRDefault="00911D63">
            <w:pPr>
              <w:pStyle w:val="TableParagraph"/>
              <w:spacing w:before="142"/>
              <w:ind w:right="94"/>
              <w:jc w:val="right"/>
              <w:rPr>
                <w:sz w:val="16"/>
              </w:rPr>
            </w:pPr>
            <w:r>
              <w:rPr>
                <w:spacing w:val="-4"/>
                <w:sz w:val="16"/>
              </w:rPr>
              <w:t>0.32</w:t>
            </w:r>
          </w:p>
        </w:tc>
        <w:tc>
          <w:tcPr>
            <w:tcW w:w="1226" w:type="dxa"/>
            <w:shd w:val="clear" w:color="auto" w:fill="CCE2ED"/>
          </w:tcPr>
          <w:p w14:paraId="4CCB085D" w14:textId="77777777" w:rsidR="00141B97" w:rsidRDefault="00911D63">
            <w:pPr>
              <w:pStyle w:val="TableParagraph"/>
              <w:spacing w:before="142"/>
              <w:ind w:right="94"/>
              <w:jc w:val="right"/>
              <w:rPr>
                <w:sz w:val="16"/>
              </w:rPr>
            </w:pPr>
            <w:r>
              <w:rPr>
                <w:spacing w:val="-4"/>
                <w:sz w:val="16"/>
              </w:rPr>
              <w:t>0.32</w:t>
            </w:r>
          </w:p>
        </w:tc>
        <w:tc>
          <w:tcPr>
            <w:tcW w:w="1225" w:type="dxa"/>
            <w:shd w:val="clear" w:color="auto" w:fill="CCE2ED"/>
          </w:tcPr>
          <w:p w14:paraId="240CADA8" w14:textId="77777777" w:rsidR="00141B97" w:rsidRDefault="00911D63">
            <w:pPr>
              <w:pStyle w:val="TableParagraph"/>
              <w:spacing w:before="142"/>
              <w:ind w:right="93"/>
              <w:jc w:val="right"/>
              <w:rPr>
                <w:sz w:val="16"/>
              </w:rPr>
            </w:pPr>
            <w:r>
              <w:rPr>
                <w:spacing w:val="-4"/>
                <w:sz w:val="16"/>
              </w:rPr>
              <w:t>0.32</w:t>
            </w:r>
          </w:p>
        </w:tc>
        <w:tc>
          <w:tcPr>
            <w:tcW w:w="1022" w:type="dxa"/>
            <w:tcBorders>
              <w:right w:val="nil"/>
            </w:tcBorders>
            <w:shd w:val="clear" w:color="auto" w:fill="CCE2ED"/>
          </w:tcPr>
          <w:p w14:paraId="156EBFA7" w14:textId="77777777" w:rsidR="00141B97" w:rsidRDefault="00911D63">
            <w:pPr>
              <w:pStyle w:val="TableParagraph"/>
              <w:spacing w:before="142"/>
              <w:ind w:right="83"/>
              <w:jc w:val="right"/>
              <w:rPr>
                <w:sz w:val="16"/>
              </w:rPr>
            </w:pPr>
            <w:r>
              <w:rPr>
                <w:spacing w:val="-4"/>
                <w:sz w:val="16"/>
              </w:rPr>
              <w:t>1.59</w:t>
            </w:r>
          </w:p>
        </w:tc>
      </w:tr>
      <w:tr w:rsidR="00141B97" w14:paraId="6C04B53A" w14:textId="77777777">
        <w:trPr>
          <w:trHeight w:val="240"/>
          <w:tblCellSpacing w:w="9" w:type="dxa"/>
        </w:trPr>
        <w:tc>
          <w:tcPr>
            <w:tcW w:w="5249" w:type="dxa"/>
            <w:tcBorders>
              <w:left w:val="nil"/>
            </w:tcBorders>
            <w:shd w:val="clear" w:color="auto" w:fill="CCE2ED"/>
          </w:tcPr>
          <w:p w14:paraId="2D4518FB" w14:textId="77777777" w:rsidR="00141B97" w:rsidRDefault="00911D63">
            <w:pPr>
              <w:pStyle w:val="TableParagraph"/>
              <w:spacing w:before="22"/>
              <w:ind w:left="88"/>
              <w:rPr>
                <w:sz w:val="16"/>
              </w:rPr>
            </w:pPr>
            <w:r>
              <w:rPr>
                <w:sz w:val="16"/>
              </w:rPr>
              <w:t>ALL</w:t>
            </w:r>
            <w:r>
              <w:rPr>
                <w:spacing w:val="-5"/>
                <w:sz w:val="16"/>
              </w:rPr>
              <w:t xml:space="preserve"> </w:t>
            </w:r>
            <w:r>
              <w:rPr>
                <w:sz w:val="16"/>
              </w:rPr>
              <w:t>SITES</w:t>
            </w:r>
            <w:r>
              <w:rPr>
                <w:spacing w:val="-5"/>
                <w:sz w:val="16"/>
              </w:rPr>
              <w:t xml:space="preserve"> </w:t>
            </w:r>
            <w:r>
              <w:rPr>
                <w:sz w:val="16"/>
              </w:rPr>
              <w:t>Main</w:t>
            </w:r>
            <w:r>
              <w:rPr>
                <w:spacing w:val="-5"/>
                <w:sz w:val="16"/>
              </w:rPr>
              <w:t xml:space="preserve"> </w:t>
            </w:r>
            <w:r>
              <w:rPr>
                <w:spacing w:val="-2"/>
                <w:sz w:val="16"/>
              </w:rPr>
              <w:t>Replacement</w:t>
            </w:r>
          </w:p>
        </w:tc>
        <w:tc>
          <w:tcPr>
            <w:tcW w:w="1375" w:type="dxa"/>
            <w:shd w:val="clear" w:color="auto" w:fill="CCE2ED"/>
          </w:tcPr>
          <w:p w14:paraId="4EDC1BC4"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6D220C16"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4E3698AF" w14:textId="77777777" w:rsidR="00141B97" w:rsidRDefault="00911D63">
            <w:pPr>
              <w:pStyle w:val="TableParagraph"/>
              <w:spacing w:before="22"/>
              <w:ind w:right="95"/>
              <w:jc w:val="right"/>
              <w:rPr>
                <w:sz w:val="16"/>
              </w:rPr>
            </w:pPr>
            <w:r>
              <w:rPr>
                <w:spacing w:val="-4"/>
                <w:sz w:val="16"/>
              </w:rPr>
              <w:t>0.98</w:t>
            </w:r>
          </w:p>
        </w:tc>
        <w:tc>
          <w:tcPr>
            <w:tcW w:w="1227" w:type="dxa"/>
            <w:shd w:val="clear" w:color="auto" w:fill="CCE2ED"/>
          </w:tcPr>
          <w:p w14:paraId="1F8C529C" w14:textId="77777777" w:rsidR="00141B97" w:rsidRDefault="00911D63">
            <w:pPr>
              <w:pStyle w:val="TableParagraph"/>
              <w:spacing w:before="22"/>
              <w:ind w:right="95"/>
              <w:jc w:val="right"/>
              <w:rPr>
                <w:sz w:val="16"/>
              </w:rPr>
            </w:pPr>
            <w:r>
              <w:rPr>
                <w:spacing w:val="-4"/>
                <w:sz w:val="16"/>
              </w:rPr>
              <w:t>0.98</w:t>
            </w:r>
          </w:p>
        </w:tc>
        <w:tc>
          <w:tcPr>
            <w:tcW w:w="1226" w:type="dxa"/>
            <w:shd w:val="clear" w:color="auto" w:fill="CCE2ED"/>
          </w:tcPr>
          <w:p w14:paraId="6549E6C3" w14:textId="77777777" w:rsidR="00141B97" w:rsidRDefault="00911D63">
            <w:pPr>
              <w:pStyle w:val="TableParagraph"/>
              <w:spacing w:before="22"/>
              <w:ind w:right="94"/>
              <w:jc w:val="right"/>
              <w:rPr>
                <w:sz w:val="16"/>
              </w:rPr>
            </w:pPr>
            <w:r>
              <w:rPr>
                <w:spacing w:val="-4"/>
                <w:sz w:val="16"/>
              </w:rPr>
              <w:t>0.98</w:t>
            </w:r>
          </w:p>
        </w:tc>
        <w:tc>
          <w:tcPr>
            <w:tcW w:w="1226" w:type="dxa"/>
            <w:shd w:val="clear" w:color="auto" w:fill="CCE2ED"/>
          </w:tcPr>
          <w:p w14:paraId="5F26BA9A" w14:textId="77777777" w:rsidR="00141B97" w:rsidRDefault="00911D63">
            <w:pPr>
              <w:pStyle w:val="TableParagraph"/>
              <w:spacing w:before="22"/>
              <w:ind w:right="94"/>
              <w:jc w:val="right"/>
              <w:rPr>
                <w:sz w:val="16"/>
              </w:rPr>
            </w:pPr>
            <w:r>
              <w:rPr>
                <w:spacing w:val="-4"/>
                <w:sz w:val="16"/>
              </w:rPr>
              <w:t>0.98</w:t>
            </w:r>
          </w:p>
        </w:tc>
        <w:tc>
          <w:tcPr>
            <w:tcW w:w="1225" w:type="dxa"/>
            <w:shd w:val="clear" w:color="auto" w:fill="CCE2ED"/>
          </w:tcPr>
          <w:p w14:paraId="6BD19822" w14:textId="77777777" w:rsidR="00141B97" w:rsidRDefault="00911D63">
            <w:pPr>
              <w:pStyle w:val="TableParagraph"/>
              <w:spacing w:before="22"/>
              <w:ind w:right="93"/>
              <w:jc w:val="right"/>
              <w:rPr>
                <w:sz w:val="16"/>
              </w:rPr>
            </w:pPr>
            <w:r>
              <w:rPr>
                <w:spacing w:val="-4"/>
                <w:sz w:val="16"/>
              </w:rPr>
              <w:t>0.98</w:t>
            </w:r>
          </w:p>
        </w:tc>
        <w:tc>
          <w:tcPr>
            <w:tcW w:w="1022" w:type="dxa"/>
            <w:tcBorders>
              <w:right w:val="nil"/>
            </w:tcBorders>
            <w:shd w:val="clear" w:color="auto" w:fill="CCE2ED"/>
          </w:tcPr>
          <w:p w14:paraId="62C649A9" w14:textId="77777777" w:rsidR="00141B97" w:rsidRDefault="00911D63">
            <w:pPr>
              <w:pStyle w:val="TableParagraph"/>
              <w:spacing w:before="22"/>
              <w:ind w:right="83"/>
              <w:jc w:val="right"/>
              <w:rPr>
                <w:sz w:val="16"/>
              </w:rPr>
            </w:pPr>
            <w:r>
              <w:rPr>
                <w:spacing w:val="-4"/>
                <w:sz w:val="16"/>
              </w:rPr>
              <w:t>4.88</w:t>
            </w:r>
          </w:p>
        </w:tc>
      </w:tr>
      <w:tr w:rsidR="00141B97" w14:paraId="1E488D99" w14:textId="77777777">
        <w:trPr>
          <w:trHeight w:val="240"/>
          <w:tblCellSpacing w:w="9" w:type="dxa"/>
        </w:trPr>
        <w:tc>
          <w:tcPr>
            <w:tcW w:w="5249" w:type="dxa"/>
            <w:tcBorders>
              <w:left w:val="nil"/>
            </w:tcBorders>
            <w:shd w:val="clear" w:color="auto" w:fill="CCE2ED"/>
          </w:tcPr>
          <w:p w14:paraId="0BA9744D" w14:textId="77777777" w:rsidR="00141B97" w:rsidRDefault="00911D63">
            <w:pPr>
              <w:pStyle w:val="TableParagraph"/>
              <w:spacing w:before="22"/>
              <w:ind w:left="88"/>
              <w:rPr>
                <w:sz w:val="16"/>
              </w:rPr>
            </w:pPr>
            <w:r>
              <w:rPr>
                <w:sz w:val="16"/>
              </w:rPr>
              <w:t>ALL</w:t>
            </w:r>
            <w:r>
              <w:rPr>
                <w:spacing w:val="-3"/>
                <w:sz w:val="16"/>
              </w:rPr>
              <w:t xml:space="preserve"> </w:t>
            </w:r>
            <w:r>
              <w:rPr>
                <w:sz w:val="16"/>
              </w:rPr>
              <w:t>SITES</w:t>
            </w:r>
            <w:r>
              <w:rPr>
                <w:spacing w:val="-4"/>
                <w:sz w:val="16"/>
              </w:rPr>
              <w:t xml:space="preserve"> </w:t>
            </w:r>
            <w:r>
              <w:rPr>
                <w:sz w:val="16"/>
              </w:rPr>
              <w:t>‐</w:t>
            </w:r>
            <w:r>
              <w:rPr>
                <w:spacing w:val="-4"/>
                <w:sz w:val="16"/>
              </w:rPr>
              <w:t xml:space="preserve"> </w:t>
            </w:r>
            <w:r>
              <w:rPr>
                <w:sz w:val="16"/>
              </w:rPr>
              <w:t>PSP</w:t>
            </w:r>
            <w:r>
              <w:rPr>
                <w:spacing w:val="-3"/>
                <w:sz w:val="16"/>
              </w:rPr>
              <w:t xml:space="preserve"> </w:t>
            </w:r>
            <w:r>
              <w:rPr>
                <w:spacing w:val="-2"/>
                <w:sz w:val="16"/>
              </w:rPr>
              <w:t>Replacement</w:t>
            </w:r>
          </w:p>
        </w:tc>
        <w:tc>
          <w:tcPr>
            <w:tcW w:w="1375" w:type="dxa"/>
            <w:shd w:val="clear" w:color="auto" w:fill="CCE2ED"/>
          </w:tcPr>
          <w:p w14:paraId="7EDF55C2"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58E9DE9F"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1F0E7060" w14:textId="77777777" w:rsidR="00141B97" w:rsidRDefault="00911D63">
            <w:pPr>
              <w:pStyle w:val="TableParagraph"/>
              <w:spacing w:before="22"/>
              <w:ind w:right="95"/>
              <w:jc w:val="right"/>
              <w:rPr>
                <w:sz w:val="16"/>
              </w:rPr>
            </w:pPr>
            <w:r>
              <w:rPr>
                <w:spacing w:val="-4"/>
                <w:sz w:val="16"/>
              </w:rPr>
              <w:t>0.24</w:t>
            </w:r>
          </w:p>
        </w:tc>
        <w:tc>
          <w:tcPr>
            <w:tcW w:w="1227" w:type="dxa"/>
            <w:shd w:val="clear" w:color="auto" w:fill="CCE2ED"/>
          </w:tcPr>
          <w:p w14:paraId="07F9DAF6" w14:textId="77777777" w:rsidR="00141B97" w:rsidRDefault="00911D63">
            <w:pPr>
              <w:pStyle w:val="TableParagraph"/>
              <w:spacing w:before="22"/>
              <w:ind w:right="95"/>
              <w:jc w:val="right"/>
              <w:rPr>
                <w:sz w:val="16"/>
              </w:rPr>
            </w:pPr>
            <w:r>
              <w:rPr>
                <w:spacing w:val="-4"/>
                <w:sz w:val="16"/>
              </w:rPr>
              <w:t>0.24</w:t>
            </w:r>
          </w:p>
        </w:tc>
        <w:tc>
          <w:tcPr>
            <w:tcW w:w="1226" w:type="dxa"/>
            <w:shd w:val="clear" w:color="auto" w:fill="CCE2ED"/>
          </w:tcPr>
          <w:p w14:paraId="1751B8CE" w14:textId="77777777" w:rsidR="00141B97" w:rsidRDefault="00911D63">
            <w:pPr>
              <w:pStyle w:val="TableParagraph"/>
              <w:spacing w:before="22"/>
              <w:ind w:right="94"/>
              <w:jc w:val="right"/>
              <w:rPr>
                <w:sz w:val="16"/>
              </w:rPr>
            </w:pPr>
            <w:r>
              <w:rPr>
                <w:spacing w:val="-4"/>
                <w:sz w:val="16"/>
              </w:rPr>
              <w:t>0.24</w:t>
            </w:r>
          </w:p>
        </w:tc>
        <w:tc>
          <w:tcPr>
            <w:tcW w:w="1226" w:type="dxa"/>
            <w:shd w:val="clear" w:color="auto" w:fill="CCE2ED"/>
          </w:tcPr>
          <w:p w14:paraId="352B7B79" w14:textId="77777777" w:rsidR="00141B97" w:rsidRDefault="00911D63">
            <w:pPr>
              <w:pStyle w:val="TableParagraph"/>
              <w:spacing w:before="22"/>
              <w:ind w:right="94"/>
              <w:jc w:val="right"/>
              <w:rPr>
                <w:sz w:val="16"/>
              </w:rPr>
            </w:pPr>
            <w:r>
              <w:rPr>
                <w:spacing w:val="-4"/>
                <w:sz w:val="16"/>
              </w:rPr>
              <w:t>0.24</w:t>
            </w:r>
          </w:p>
        </w:tc>
        <w:tc>
          <w:tcPr>
            <w:tcW w:w="1225" w:type="dxa"/>
            <w:shd w:val="clear" w:color="auto" w:fill="CCE2ED"/>
          </w:tcPr>
          <w:p w14:paraId="602C931E" w14:textId="77777777" w:rsidR="00141B97" w:rsidRDefault="00911D63">
            <w:pPr>
              <w:pStyle w:val="TableParagraph"/>
              <w:spacing w:before="22"/>
              <w:ind w:right="93"/>
              <w:jc w:val="right"/>
              <w:rPr>
                <w:sz w:val="16"/>
              </w:rPr>
            </w:pPr>
            <w:r>
              <w:rPr>
                <w:spacing w:val="-4"/>
                <w:sz w:val="16"/>
              </w:rPr>
              <w:t>0.24</w:t>
            </w:r>
          </w:p>
        </w:tc>
        <w:tc>
          <w:tcPr>
            <w:tcW w:w="1022" w:type="dxa"/>
            <w:tcBorders>
              <w:right w:val="nil"/>
            </w:tcBorders>
            <w:shd w:val="clear" w:color="auto" w:fill="CCE2ED"/>
          </w:tcPr>
          <w:p w14:paraId="2914CEA6" w14:textId="77777777" w:rsidR="00141B97" w:rsidRDefault="00911D63">
            <w:pPr>
              <w:pStyle w:val="TableParagraph"/>
              <w:spacing w:before="22"/>
              <w:ind w:right="83"/>
              <w:jc w:val="right"/>
              <w:rPr>
                <w:sz w:val="16"/>
              </w:rPr>
            </w:pPr>
            <w:r>
              <w:rPr>
                <w:spacing w:val="-4"/>
                <w:sz w:val="16"/>
              </w:rPr>
              <w:t>1.22</w:t>
            </w:r>
          </w:p>
        </w:tc>
      </w:tr>
      <w:tr w:rsidR="00141B97" w14:paraId="00AC0703" w14:textId="77777777">
        <w:trPr>
          <w:trHeight w:val="479"/>
          <w:tblCellSpacing w:w="9" w:type="dxa"/>
        </w:trPr>
        <w:tc>
          <w:tcPr>
            <w:tcW w:w="5249" w:type="dxa"/>
            <w:tcBorders>
              <w:left w:val="nil"/>
            </w:tcBorders>
            <w:shd w:val="clear" w:color="auto" w:fill="CCE2ED"/>
          </w:tcPr>
          <w:p w14:paraId="606CF182" w14:textId="77777777" w:rsidR="00141B97" w:rsidRDefault="00911D63">
            <w:pPr>
              <w:pStyle w:val="TableParagraph"/>
              <w:spacing w:before="142"/>
              <w:ind w:left="88"/>
              <w:rPr>
                <w:sz w:val="16"/>
              </w:rPr>
            </w:pPr>
            <w:r>
              <w:rPr>
                <w:spacing w:val="-2"/>
                <w:sz w:val="16"/>
              </w:rPr>
              <w:t>Adjustment</w:t>
            </w:r>
          </w:p>
        </w:tc>
        <w:tc>
          <w:tcPr>
            <w:tcW w:w="1375" w:type="dxa"/>
            <w:shd w:val="clear" w:color="auto" w:fill="CCE2ED"/>
          </w:tcPr>
          <w:p w14:paraId="4E79FAA4"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38914D6E"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954455C" w14:textId="77777777" w:rsidR="00141B97" w:rsidRDefault="00911D63">
            <w:pPr>
              <w:pStyle w:val="TableParagraph"/>
              <w:spacing w:before="142"/>
              <w:ind w:right="95"/>
              <w:jc w:val="right"/>
              <w:rPr>
                <w:sz w:val="16"/>
              </w:rPr>
            </w:pPr>
            <w:r>
              <w:rPr>
                <w:spacing w:val="-4"/>
                <w:sz w:val="16"/>
              </w:rPr>
              <w:t>3.77</w:t>
            </w:r>
          </w:p>
        </w:tc>
        <w:tc>
          <w:tcPr>
            <w:tcW w:w="1227" w:type="dxa"/>
            <w:shd w:val="clear" w:color="auto" w:fill="CCE2ED"/>
          </w:tcPr>
          <w:p w14:paraId="70F5B070"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1C7EA69C"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41CA7421"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0ED5FE71"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428EF078" w14:textId="77777777" w:rsidR="00141B97" w:rsidRDefault="00911D63">
            <w:pPr>
              <w:pStyle w:val="TableParagraph"/>
              <w:spacing w:before="142"/>
              <w:ind w:right="83"/>
              <w:jc w:val="right"/>
              <w:rPr>
                <w:sz w:val="16"/>
              </w:rPr>
            </w:pPr>
            <w:r>
              <w:rPr>
                <w:spacing w:val="-4"/>
                <w:sz w:val="16"/>
              </w:rPr>
              <w:t>3.77</w:t>
            </w:r>
          </w:p>
        </w:tc>
      </w:tr>
      <w:tr w:rsidR="00141B97" w14:paraId="12D688BB" w14:textId="77777777">
        <w:trPr>
          <w:trHeight w:val="480"/>
          <w:tblCellSpacing w:w="9" w:type="dxa"/>
        </w:trPr>
        <w:tc>
          <w:tcPr>
            <w:tcW w:w="5249" w:type="dxa"/>
            <w:tcBorders>
              <w:left w:val="nil"/>
            </w:tcBorders>
            <w:shd w:val="clear" w:color="auto" w:fill="CCE2ED"/>
          </w:tcPr>
          <w:p w14:paraId="6295A247" w14:textId="77777777" w:rsidR="00141B97" w:rsidRDefault="00911D63">
            <w:pPr>
              <w:pStyle w:val="TableParagraph"/>
              <w:spacing w:before="142"/>
              <w:ind w:left="88"/>
              <w:rPr>
                <w:sz w:val="16"/>
              </w:rPr>
            </w:pPr>
            <w:r>
              <w:rPr>
                <w:sz w:val="16"/>
              </w:rPr>
              <w:t>ALL</w:t>
            </w:r>
            <w:r>
              <w:rPr>
                <w:spacing w:val="-7"/>
                <w:sz w:val="16"/>
              </w:rPr>
              <w:t xml:space="preserve"> </w:t>
            </w:r>
            <w:r>
              <w:rPr>
                <w:sz w:val="16"/>
              </w:rPr>
              <w:t>SITES</w:t>
            </w:r>
            <w:r>
              <w:rPr>
                <w:spacing w:val="-7"/>
                <w:sz w:val="16"/>
              </w:rPr>
              <w:t xml:space="preserve"> </w:t>
            </w:r>
            <w:r>
              <w:rPr>
                <w:sz w:val="16"/>
              </w:rPr>
              <w:t>Asset</w:t>
            </w:r>
            <w:r>
              <w:rPr>
                <w:spacing w:val="-6"/>
                <w:sz w:val="16"/>
              </w:rPr>
              <w:t xml:space="preserve"> </w:t>
            </w:r>
            <w:r>
              <w:rPr>
                <w:sz w:val="16"/>
              </w:rPr>
              <w:t>Performance</w:t>
            </w:r>
            <w:r>
              <w:rPr>
                <w:spacing w:val="-7"/>
                <w:sz w:val="16"/>
              </w:rPr>
              <w:t xml:space="preserve"> </w:t>
            </w:r>
            <w:r>
              <w:rPr>
                <w:sz w:val="16"/>
              </w:rPr>
              <w:t>&amp;</w:t>
            </w:r>
            <w:r>
              <w:rPr>
                <w:spacing w:val="-7"/>
                <w:sz w:val="16"/>
              </w:rPr>
              <w:t xml:space="preserve"> </w:t>
            </w:r>
            <w:r>
              <w:rPr>
                <w:sz w:val="16"/>
              </w:rPr>
              <w:t>Condition</w:t>
            </w:r>
            <w:r>
              <w:rPr>
                <w:spacing w:val="-6"/>
                <w:sz w:val="16"/>
              </w:rPr>
              <w:t xml:space="preserve"> </w:t>
            </w:r>
            <w:r>
              <w:rPr>
                <w:sz w:val="16"/>
              </w:rPr>
              <w:t>Monitoring</w:t>
            </w:r>
            <w:r>
              <w:rPr>
                <w:spacing w:val="-7"/>
                <w:sz w:val="16"/>
              </w:rPr>
              <w:t xml:space="preserve"> </w:t>
            </w:r>
            <w:r>
              <w:rPr>
                <w:spacing w:val="-2"/>
                <w:sz w:val="16"/>
              </w:rPr>
              <w:t>Equipment</w:t>
            </w:r>
          </w:p>
        </w:tc>
        <w:tc>
          <w:tcPr>
            <w:tcW w:w="1375" w:type="dxa"/>
            <w:shd w:val="clear" w:color="auto" w:fill="CCE2ED"/>
          </w:tcPr>
          <w:p w14:paraId="217F73BC" w14:textId="77777777" w:rsidR="00141B97" w:rsidRDefault="00911D63">
            <w:pPr>
              <w:pStyle w:val="TableParagraph"/>
              <w:spacing w:before="142"/>
              <w:ind w:right="96"/>
              <w:jc w:val="right"/>
              <w:rPr>
                <w:sz w:val="16"/>
              </w:rPr>
            </w:pPr>
            <w:r>
              <w:rPr>
                <w:spacing w:val="-2"/>
                <w:sz w:val="16"/>
              </w:rPr>
              <w:t>Sewerage</w:t>
            </w:r>
          </w:p>
        </w:tc>
        <w:tc>
          <w:tcPr>
            <w:tcW w:w="1886" w:type="dxa"/>
            <w:shd w:val="clear" w:color="auto" w:fill="CCE2ED"/>
          </w:tcPr>
          <w:p w14:paraId="3187AE7E" w14:textId="77777777" w:rsidR="00141B97" w:rsidRDefault="00911D63">
            <w:pPr>
              <w:pStyle w:val="TableParagraph"/>
              <w:spacing w:before="45"/>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D3DDE48"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09854714"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5904725A" w14:textId="77777777" w:rsidR="00141B97" w:rsidRDefault="00911D63">
            <w:pPr>
              <w:pStyle w:val="TableParagraph"/>
              <w:spacing w:before="142"/>
              <w:ind w:right="94"/>
              <w:jc w:val="right"/>
              <w:rPr>
                <w:sz w:val="16"/>
              </w:rPr>
            </w:pPr>
            <w:r>
              <w:rPr>
                <w:spacing w:val="-4"/>
                <w:sz w:val="16"/>
              </w:rPr>
              <w:t>0.04</w:t>
            </w:r>
          </w:p>
        </w:tc>
        <w:tc>
          <w:tcPr>
            <w:tcW w:w="1226" w:type="dxa"/>
            <w:shd w:val="clear" w:color="auto" w:fill="CCE2ED"/>
          </w:tcPr>
          <w:p w14:paraId="1AA3C75B" w14:textId="77777777" w:rsidR="00141B97" w:rsidRDefault="00911D63">
            <w:pPr>
              <w:pStyle w:val="TableParagraph"/>
              <w:spacing w:before="142"/>
              <w:ind w:right="94"/>
              <w:jc w:val="right"/>
              <w:rPr>
                <w:sz w:val="16"/>
              </w:rPr>
            </w:pPr>
            <w:r>
              <w:rPr>
                <w:spacing w:val="-4"/>
                <w:sz w:val="16"/>
              </w:rPr>
              <w:t>0.04</w:t>
            </w:r>
          </w:p>
        </w:tc>
        <w:tc>
          <w:tcPr>
            <w:tcW w:w="1225" w:type="dxa"/>
            <w:shd w:val="clear" w:color="auto" w:fill="CCE2ED"/>
          </w:tcPr>
          <w:p w14:paraId="1823ADAD"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2BCA817E" w14:textId="77777777" w:rsidR="00141B97" w:rsidRDefault="00911D63">
            <w:pPr>
              <w:pStyle w:val="TableParagraph"/>
              <w:spacing w:before="142"/>
              <w:ind w:right="83"/>
              <w:jc w:val="right"/>
              <w:rPr>
                <w:sz w:val="16"/>
              </w:rPr>
            </w:pPr>
            <w:r>
              <w:rPr>
                <w:spacing w:val="-4"/>
                <w:sz w:val="16"/>
              </w:rPr>
              <w:t>0.08</w:t>
            </w:r>
          </w:p>
        </w:tc>
      </w:tr>
      <w:tr w:rsidR="00141B97" w14:paraId="3878E3AB" w14:textId="77777777">
        <w:trPr>
          <w:trHeight w:val="240"/>
          <w:tblCellSpacing w:w="9" w:type="dxa"/>
        </w:trPr>
        <w:tc>
          <w:tcPr>
            <w:tcW w:w="5249" w:type="dxa"/>
            <w:tcBorders>
              <w:left w:val="nil"/>
            </w:tcBorders>
            <w:shd w:val="clear" w:color="auto" w:fill="CCE2ED"/>
          </w:tcPr>
          <w:p w14:paraId="4B482C20" w14:textId="77777777" w:rsidR="00141B97" w:rsidRDefault="00911D63">
            <w:pPr>
              <w:pStyle w:val="TableParagraph"/>
              <w:spacing w:before="22"/>
              <w:ind w:left="88"/>
              <w:rPr>
                <w:sz w:val="16"/>
              </w:rPr>
            </w:pPr>
            <w:r>
              <w:rPr>
                <w:sz w:val="16"/>
              </w:rPr>
              <w:t>Minor</w:t>
            </w:r>
            <w:r>
              <w:rPr>
                <w:spacing w:val="-5"/>
                <w:sz w:val="16"/>
              </w:rPr>
              <w:t xml:space="preserve"> </w:t>
            </w:r>
            <w:r>
              <w:rPr>
                <w:sz w:val="16"/>
              </w:rPr>
              <w:t>Capital</w:t>
            </w:r>
            <w:r>
              <w:rPr>
                <w:spacing w:val="-4"/>
                <w:sz w:val="16"/>
              </w:rPr>
              <w:t xml:space="preserve"> </w:t>
            </w:r>
            <w:r>
              <w:rPr>
                <w:sz w:val="16"/>
              </w:rPr>
              <w:t>Works</w:t>
            </w:r>
            <w:r>
              <w:rPr>
                <w:spacing w:val="-4"/>
                <w:sz w:val="16"/>
              </w:rPr>
              <w:t xml:space="preserve"> </w:t>
            </w:r>
            <w:r>
              <w:rPr>
                <w:sz w:val="16"/>
              </w:rPr>
              <w:t>‐</w:t>
            </w:r>
            <w:r>
              <w:rPr>
                <w:spacing w:val="-4"/>
                <w:sz w:val="16"/>
              </w:rPr>
              <w:t xml:space="preserve"> </w:t>
            </w:r>
            <w:r>
              <w:rPr>
                <w:spacing w:val="-2"/>
                <w:sz w:val="16"/>
              </w:rPr>
              <w:t>Replacement</w:t>
            </w:r>
          </w:p>
        </w:tc>
        <w:tc>
          <w:tcPr>
            <w:tcW w:w="1375" w:type="dxa"/>
            <w:shd w:val="clear" w:color="auto" w:fill="CCE2ED"/>
          </w:tcPr>
          <w:p w14:paraId="2AD19853"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45CD73AE"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75DBB7A5" w14:textId="77777777" w:rsidR="00141B97" w:rsidRDefault="00911D63">
            <w:pPr>
              <w:pStyle w:val="TableParagraph"/>
              <w:spacing w:before="22"/>
              <w:ind w:right="95"/>
              <w:jc w:val="right"/>
              <w:rPr>
                <w:sz w:val="16"/>
              </w:rPr>
            </w:pPr>
            <w:r>
              <w:rPr>
                <w:spacing w:val="-4"/>
                <w:sz w:val="16"/>
              </w:rPr>
              <w:t>0.47</w:t>
            </w:r>
          </w:p>
        </w:tc>
        <w:tc>
          <w:tcPr>
            <w:tcW w:w="1227" w:type="dxa"/>
            <w:shd w:val="clear" w:color="auto" w:fill="CCE2ED"/>
          </w:tcPr>
          <w:p w14:paraId="09212231" w14:textId="77777777" w:rsidR="00141B97" w:rsidRDefault="00911D63">
            <w:pPr>
              <w:pStyle w:val="TableParagraph"/>
              <w:spacing w:before="22"/>
              <w:ind w:right="95"/>
              <w:jc w:val="right"/>
              <w:rPr>
                <w:sz w:val="16"/>
              </w:rPr>
            </w:pPr>
            <w:r>
              <w:rPr>
                <w:spacing w:val="-4"/>
                <w:sz w:val="16"/>
              </w:rPr>
              <w:t>0.47</w:t>
            </w:r>
          </w:p>
        </w:tc>
        <w:tc>
          <w:tcPr>
            <w:tcW w:w="1226" w:type="dxa"/>
            <w:shd w:val="clear" w:color="auto" w:fill="CCE2ED"/>
          </w:tcPr>
          <w:p w14:paraId="57295EFB" w14:textId="77777777" w:rsidR="00141B97" w:rsidRDefault="00911D63">
            <w:pPr>
              <w:pStyle w:val="TableParagraph"/>
              <w:spacing w:before="22"/>
              <w:ind w:right="94"/>
              <w:jc w:val="right"/>
              <w:rPr>
                <w:sz w:val="16"/>
              </w:rPr>
            </w:pPr>
            <w:r>
              <w:rPr>
                <w:spacing w:val="-4"/>
                <w:sz w:val="16"/>
              </w:rPr>
              <w:t>0.47</w:t>
            </w:r>
          </w:p>
        </w:tc>
        <w:tc>
          <w:tcPr>
            <w:tcW w:w="1226" w:type="dxa"/>
            <w:shd w:val="clear" w:color="auto" w:fill="CCE2ED"/>
          </w:tcPr>
          <w:p w14:paraId="692DB153" w14:textId="77777777" w:rsidR="00141B97" w:rsidRDefault="00911D63">
            <w:pPr>
              <w:pStyle w:val="TableParagraph"/>
              <w:spacing w:before="22"/>
              <w:ind w:right="94"/>
              <w:jc w:val="right"/>
              <w:rPr>
                <w:sz w:val="16"/>
              </w:rPr>
            </w:pPr>
            <w:r>
              <w:rPr>
                <w:spacing w:val="-4"/>
                <w:sz w:val="16"/>
              </w:rPr>
              <w:t>0.47</w:t>
            </w:r>
          </w:p>
        </w:tc>
        <w:tc>
          <w:tcPr>
            <w:tcW w:w="1225" w:type="dxa"/>
            <w:shd w:val="clear" w:color="auto" w:fill="CCE2ED"/>
          </w:tcPr>
          <w:p w14:paraId="18F8BDCF" w14:textId="77777777" w:rsidR="00141B97" w:rsidRDefault="00911D63">
            <w:pPr>
              <w:pStyle w:val="TableParagraph"/>
              <w:spacing w:before="22"/>
              <w:ind w:right="93"/>
              <w:jc w:val="right"/>
              <w:rPr>
                <w:sz w:val="16"/>
              </w:rPr>
            </w:pPr>
            <w:r>
              <w:rPr>
                <w:spacing w:val="-4"/>
                <w:sz w:val="16"/>
              </w:rPr>
              <w:t>0.47</w:t>
            </w:r>
          </w:p>
        </w:tc>
        <w:tc>
          <w:tcPr>
            <w:tcW w:w="1022" w:type="dxa"/>
            <w:tcBorders>
              <w:right w:val="nil"/>
            </w:tcBorders>
            <w:shd w:val="clear" w:color="auto" w:fill="CCE2ED"/>
          </w:tcPr>
          <w:p w14:paraId="19965CF5" w14:textId="77777777" w:rsidR="00141B97" w:rsidRDefault="00911D63">
            <w:pPr>
              <w:pStyle w:val="TableParagraph"/>
              <w:spacing w:before="22"/>
              <w:ind w:right="83"/>
              <w:jc w:val="right"/>
              <w:rPr>
                <w:sz w:val="16"/>
              </w:rPr>
            </w:pPr>
            <w:r>
              <w:rPr>
                <w:spacing w:val="-4"/>
                <w:sz w:val="16"/>
              </w:rPr>
              <w:t>2.33</w:t>
            </w:r>
          </w:p>
        </w:tc>
      </w:tr>
      <w:tr w:rsidR="00141B97" w14:paraId="5CEDB809" w14:textId="77777777">
        <w:trPr>
          <w:trHeight w:val="479"/>
          <w:tblCellSpacing w:w="9" w:type="dxa"/>
        </w:trPr>
        <w:tc>
          <w:tcPr>
            <w:tcW w:w="5249" w:type="dxa"/>
            <w:tcBorders>
              <w:left w:val="nil"/>
            </w:tcBorders>
            <w:shd w:val="clear" w:color="auto" w:fill="CCE2ED"/>
          </w:tcPr>
          <w:p w14:paraId="10C2E799" w14:textId="77777777" w:rsidR="00141B97" w:rsidRDefault="00911D63">
            <w:pPr>
              <w:pStyle w:val="TableParagraph"/>
              <w:spacing w:before="142"/>
              <w:ind w:left="88"/>
              <w:rPr>
                <w:sz w:val="16"/>
              </w:rPr>
            </w:pPr>
            <w:r>
              <w:rPr>
                <w:sz w:val="16"/>
              </w:rPr>
              <w:t>Minor</w:t>
            </w:r>
            <w:r>
              <w:rPr>
                <w:spacing w:val="-5"/>
                <w:sz w:val="16"/>
              </w:rPr>
              <w:t xml:space="preserve"> </w:t>
            </w:r>
            <w:r>
              <w:rPr>
                <w:sz w:val="16"/>
              </w:rPr>
              <w:t>Capital</w:t>
            </w:r>
            <w:r>
              <w:rPr>
                <w:spacing w:val="-4"/>
                <w:sz w:val="16"/>
              </w:rPr>
              <w:t xml:space="preserve"> </w:t>
            </w:r>
            <w:r>
              <w:rPr>
                <w:sz w:val="16"/>
              </w:rPr>
              <w:t>Works</w:t>
            </w:r>
            <w:r>
              <w:rPr>
                <w:spacing w:val="-4"/>
                <w:sz w:val="16"/>
              </w:rPr>
              <w:t xml:space="preserve"> </w:t>
            </w:r>
            <w:r>
              <w:rPr>
                <w:sz w:val="16"/>
              </w:rPr>
              <w:t>‐</w:t>
            </w:r>
            <w:r>
              <w:rPr>
                <w:spacing w:val="-4"/>
                <w:sz w:val="16"/>
              </w:rPr>
              <w:t xml:space="preserve"> </w:t>
            </w:r>
            <w:r>
              <w:rPr>
                <w:spacing w:val="-5"/>
                <w:sz w:val="16"/>
              </w:rPr>
              <w:t>New</w:t>
            </w:r>
          </w:p>
        </w:tc>
        <w:tc>
          <w:tcPr>
            <w:tcW w:w="1375" w:type="dxa"/>
            <w:shd w:val="clear" w:color="auto" w:fill="CCE2ED"/>
          </w:tcPr>
          <w:p w14:paraId="203B8F35" w14:textId="77777777" w:rsidR="00141B97" w:rsidRDefault="00911D63">
            <w:pPr>
              <w:pStyle w:val="TableParagraph"/>
              <w:spacing w:before="142"/>
              <w:ind w:right="96"/>
              <w:jc w:val="right"/>
              <w:rPr>
                <w:sz w:val="16"/>
              </w:rPr>
            </w:pPr>
            <w:r>
              <w:rPr>
                <w:spacing w:val="-2"/>
                <w:sz w:val="16"/>
              </w:rPr>
              <w:t>Sewerage</w:t>
            </w:r>
          </w:p>
        </w:tc>
        <w:tc>
          <w:tcPr>
            <w:tcW w:w="1886" w:type="dxa"/>
            <w:shd w:val="clear" w:color="auto" w:fill="CCE2ED"/>
          </w:tcPr>
          <w:p w14:paraId="27F1A7B1"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7CBAF70E" w14:textId="77777777" w:rsidR="00141B97" w:rsidRDefault="00911D63">
            <w:pPr>
              <w:pStyle w:val="TableParagraph"/>
              <w:spacing w:before="142"/>
              <w:ind w:right="95"/>
              <w:jc w:val="right"/>
              <w:rPr>
                <w:sz w:val="16"/>
              </w:rPr>
            </w:pPr>
            <w:r>
              <w:rPr>
                <w:spacing w:val="-4"/>
                <w:sz w:val="16"/>
              </w:rPr>
              <w:t>0.30</w:t>
            </w:r>
          </w:p>
        </w:tc>
        <w:tc>
          <w:tcPr>
            <w:tcW w:w="1227" w:type="dxa"/>
            <w:shd w:val="clear" w:color="auto" w:fill="CCE2ED"/>
          </w:tcPr>
          <w:p w14:paraId="2BA4D869" w14:textId="77777777" w:rsidR="00141B97" w:rsidRDefault="00911D63">
            <w:pPr>
              <w:pStyle w:val="TableParagraph"/>
              <w:spacing w:before="142"/>
              <w:ind w:right="95"/>
              <w:jc w:val="right"/>
              <w:rPr>
                <w:sz w:val="16"/>
              </w:rPr>
            </w:pPr>
            <w:r>
              <w:rPr>
                <w:spacing w:val="-4"/>
                <w:sz w:val="16"/>
              </w:rPr>
              <w:t>0.30</w:t>
            </w:r>
          </w:p>
        </w:tc>
        <w:tc>
          <w:tcPr>
            <w:tcW w:w="1226" w:type="dxa"/>
            <w:shd w:val="clear" w:color="auto" w:fill="CCE2ED"/>
          </w:tcPr>
          <w:p w14:paraId="6E0F0597" w14:textId="77777777" w:rsidR="00141B97" w:rsidRDefault="00911D63">
            <w:pPr>
              <w:pStyle w:val="TableParagraph"/>
              <w:spacing w:before="142"/>
              <w:ind w:right="94"/>
              <w:jc w:val="right"/>
              <w:rPr>
                <w:sz w:val="16"/>
              </w:rPr>
            </w:pPr>
            <w:r>
              <w:rPr>
                <w:spacing w:val="-4"/>
                <w:sz w:val="16"/>
              </w:rPr>
              <w:t>0.30</w:t>
            </w:r>
          </w:p>
        </w:tc>
        <w:tc>
          <w:tcPr>
            <w:tcW w:w="1226" w:type="dxa"/>
            <w:shd w:val="clear" w:color="auto" w:fill="CCE2ED"/>
          </w:tcPr>
          <w:p w14:paraId="51565CB4" w14:textId="77777777" w:rsidR="00141B97" w:rsidRDefault="00911D63">
            <w:pPr>
              <w:pStyle w:val="TableParagraph"/>
              <w:spacing w:before="142"/>
              <w:ind w:right="94"/>
              <w:jc w:val="right"/>
              <w:rPr>
                <w:sz w:val="16"/>
              </w:rPr>
            </w:pPr>
            <w:r>
              <w:rPr>
                <w:spacing w:val="-4"/>
                <w:sz w:val="16"/>
              </w:rPr>
              <w:t>0.30</w:t>
            </w:r>
          </w:p>
        </w:tc>
        <w:tc>
          <w:tcPr>
            <w:tcW w:w="1225" w:type="dxa"/>
            <w:shd w:val="clear" w:color="auto" w:fill="CCE2ED"/>
          </w:tcPr>
          <w:p w14:paraId="792F4020" w14:textId="77777777" w:rsidR="00141B97" w:rsidRDefault="00911D63">
            <w:pPr>
              <w:pStyle w:val="TableParagraph"/>
              <w:spacing w:before="142"/>
              <w:ind w:right="93"/>
              <w:jc w:val="right"/>
              <w:rPr>
                <w:sz w:val="16"/>
              </w:rPr>
            </w:pPr>
            <w:r>
              <w:rPr>
                <w:spacing w:val="-4"/>
                <w:sz w:val="16"/>
              </w:rPr>
              <w:t>0.30</w:t>
            </w:r>
          </w:p>
        </w:tc>
        <w:tc>
          <w:tcPr>
            <w:tcW w:w="1022" w:type="dxa"/>
            <w:tcBorders>
              <w:right w:val="nil"/>
            </w:tcBorders>
            <w:shd w:val="clear" w:color="auto" w:fill="CCE2ED"/>
          </w:tcPr>
          <w:p w14:paraId="24BC0A8E" w14:textId="77777777" w:rsidR="00141B97" w:rsidRDefault="00911D63">
            <w:pPr>
              <w:pStyle w:val="TableParagraph"/>
              <w:spacing w:before="142"/>
              <w:ind w:right="83"/>
              <w:jc w:val="right"/>
              <w:rPr>
                <w:sz w:val="16"/>
              </w:rPr>
            </w:pPr>
            <w:r>
              <w:rPr>
                <w:spacing w:val="-4"/>
                <w:sz w:val="16"/>
              </w:rPr>
              <w:t>1.48</w:t>
            </w:r>
          </w:p>
        </w:tc>
      </w:tr>
      <w:tr w:rsidR="00141B97" w14:paraId="57E6F07B" w14:textId="77777777">
        <w:trPr>
          <w:trHeight w:val="240"/>
          <w:tblCellSpacing w:w="9" w:type="dxa"/>
        </w:trPr>
        <w:tc>
          <w:tcPr>
            <w:tcW w:w="5249" w:type="dxa"/>
            <w:tcBorders>
              <w:left w:val="nil"/>
              <w:bottom w:val="nil"/>
            </w:tcBorders>
            <w:shd w:val="clear" w:color="auto" w:fill="CCE2ED"/>
          </w:tcPr>
          <w:p w14:paraId="26BA11EE" w14:textId="77777777" w:rsidR="00141B97" w:rsidRDefault="00911D63">
            <w:pPr>
              <w:pStyle w:val="TableParagraph"/>
              <w:spacing w:before="22"/>
              <w:ind w:left="88"/>
              <w:rPr>
                <w:sz w:val="16"/>
              </w:rPr>
            </w:pPr>
            <w:r>
              <w:rPr>
                <w:sz w:val="16"/>
              </w:rPr>
              <w:t>Land</w:t>
            </w:r>
            <w:r>
              <w:rPr>
                <w:spacing w:val="-5"/>
                <w:sz w:val="16"/>
              </w:rPr>
              <w:t xml:space="preserve"> </w:t>
            </w:r>
            <w:r>
              <w:rPr>
                <w:spacing w:val="-2"/>
                <w:sz w:val="16"/>
              </w:rPr>
              <w:t>Development</w:t>
            </w:r>
          </w:p>
        </w:tc>
        <w:tc>
          <w:tcPr>
            <w:tcW w:w="1375" w:type="dxa"/>
            <w:tcBorders>
              <w:bottom w:val="nil"/>
            </w:tcBorders>
            <w:shd w:val="clear" w:color="auto" w:fill="CCE2ED"/>
          </w:tcPr>
          <w:p w14:paraId="4B4E9713" w14:textId="77777777" w:rsidR="00141B97" w:rsidRDefault="00911D63">
            <w:pPr>
              <w:pStyle w:val="TableParagraph"/>
              <w:spacing w:before="22"/>
              <w:ind w:right="96"/>
              <w:jc w:val="right"/>
              <w:rPr>
                <w:sz w:val="16"/>
              </w:rPr>
            </w:pPr>
            <w:r>
              <w:rPr>
                <w:spacing w:val="-2"/>
                <w:sz w:val="16"/>
              </w:rPr>
              <w:t>Sewerage</w:t>
            </w:r>
          </w:p>
        </w:tc>
        <w:tc>
          <w:tcPr>
            <w:tcW w:w="1886" w:type="dxa"/>
            <w:tcBorders>
              <w:bottom w:val="nil"/>
            </w:tcBorders>
            <w:shd w:val="clear" w:color="auto" w:fill="CCE2ED"/>
          </w:tcPr>
          <w:p w14:paraId="210695E9" w14:textId="77777777" w:rsidR="00141B97" w:rsidRDefault="00911D63">
            <w:pPr>
              <w:pStyle w:val="TableParagraph"/>
              <w:spacing w:before="22"/>
              <w:ind w:right="97"/>
              <w:jc w:val="right"/>
              <w:rPr>
                <w:sz w:val="16"/>
              </w:rPr>
            </w:pPr>
            <w:r>
              <w:rPr>
                <w:spacing w:val="-2"/>
                <w:sz w:val="16"/>
              </w:rPr>
              <w:t>Growth</w:t>
            </w:r>
          </w:p>
        </w:tc>
        <w:tc>
          <w:tcPr>
            <w:tcW w:w="1226" w:type="dxa"/>
            <w:tcBorders>
              <w:bottom w:val="nil"/>
            </w:tcBorders>
            <w:shd w:val="clear" w:color="auto" w:fill="CCE2ED"/>
          </w:tcPr>
          <w:p w14:paraId="14B1D59A" w14:textId="77777777" w:rsidR="00141B97" w:rsidRDefault="00911D63">
            <w:pPr>
              <w:pStyle w:val="TableParagraph"/>
              <w:spacing w:before="22"/>
              <w:ind w:right="95"/>
              <w:jc w:val="right"/>
              <w:rPr>
                <w:sz w:val="16"/>
              </w:rPr>
            </w:pPr>
            <w:r>
              <w:rPr>
                <w:spacing w:val="-4"/>
                <w:sz w:val="16"/>
              </w:rPr>
              <w:t>0.25</w:t>
            </w:r>
          </w:p>
        </w:tc>
        <w:tc>
          <w:tcPr>
            <w:tcW w:w="1227" w:type="dxa"/>
            <w:tcBorders>
              <w:bottom w:val="nil"/>
            </w:tcBorders>
            <w:shd w:val="clear" w:color="auto" w:fill="CCE2ED"/>
          </w:tcPr>
          <w:p w14:paraId="055C3324" w14:textId="77777777" w:rsidR="00141B97" w:rsidRDefault="00911D63">
            <w:pPr>
              <w:pStyle w:val="TableParagraph"/>
              <w:spacing w:before="22"/>
              <w:ind w:right="95"/>
              <w:jc w:val="right"/>
              <w:rPr>
                <w:sz w:val="16"/>
              </w:rPr>
            </w:pPr>
            <w:r>
              <w:rPr>
                <w:spacing w:val="-4"/>
                <w:sz w:val="16"/>
              </w:rPr>
              <w:t>0.25</w:t>
            </w:r>
          </w:p>
        </w:tc>
        <w:tc>
          <w:tcPr>
            <w:tcW w:w="1226" w:type="dxa"/>
            <w:tcBorders>
              <w:bottom w:val="nil"/>
            </w:tcBorders>
            <w:shd w:val="clear" w:color="auto" w:fill="CCE2ED"/>
          </w:tcPr>
          <w:p w14:paraId="3D22966A" w14:textId="77777777" w:rsidR="00141B97" w:rsidRDefault="00911D63">
            <w:pPr>
              <w:pStyle w:val="TableParagraph"/>
              <w:spacing w:before="22"/>
              <w:ind w:right="94"/>
              <w:jc w:val="right"/>
              <w:rPr>
                <w:sz w:val="16"/>
              </w:rPr>
            </w:pPr>
            <w:r>
              <w:rPr>
                <w:spacing w:val="-4"/>
                <w:sz w:val="16"/>
              </w:rPr>
              <w:t>0.25</w:t>
            </w:r>
          </w:p>
        </w:tc>
        <w:tc>
          <w:tcPr>
            <w:tcW w:w="1226" w:type="dxa"/>
            <w:tcBorders>
              <w:bottom w:val="nil"/>
            </w:tcBorders>
            <w:shd w:val="clear" w:color="auto" w:fill="CCE2ED"/>
          </w:tcPr>
          <w:p w14:paraId="72F12C08" w14:textId="77777777" w:rsidR="00141B97" w:rsidRDefault="00911D63">
            <w:pPr>
              <w:pStyle w:val="TableParagraph"/>
              <w:spacing w:before="22"/>
              <w:ind w:right="94"/>
              <w:jc w:val="right"/>
              <w:rPr>
                <w:sz w:val="16"/>
              </w:rPr>
            </w:pPr>
            <w:r>
              <w:rPr>
                <w:spacing w:val="-4"/>
                <w:sz w:val="16"/>
              </w:rPr>
              <w:t>0.25</w:t>
            </w:r>
          </w:p>
        </w:tc>
        <w:tc>
          <w:tcPr>
            <w:tcW w:w="1225" w:type="dxa"/>
            <w:tcBorders>
              <w:bottom w:val="nil"/>
            </w:tcBorders>
            <w:shd w:val="clear" w:color="auto" w:fill="CCE2ED"/>
          </w:tcPr>
          <w:p w14:paraId="293332B5" w14:textId="77777777" w:rsidR="00141B97" w:rsidRDefault="00911D63">
            <w:pPr>
              <w:pStyle w:val="TableParagraph"/>
              <w:spacing w:before="22"/>
              <w:ind w:right="93"/>
              <w:jc w:val="right"/>
              <w:rPr>
                <w:sz w:val="16"/>
              </w:rPr>
            </w:pPr>
            <w:r>
              <w:rPr>
                <w:spacing w:val="-4"/>
                <w:sz w:val="16"/>
              </w:rPr>
              <w:t>0.25</w:t>
            </w:r>
          </w:p>
        </w:tc>
        <w:tc>
          <w:tcPr>
            <w:tcW w:w="1022" w:type="dxa"/>
            <w:tcBorders>
              <w:bottom w:val="nil"/>
              <w:right w:val="nil"/>
            </w:tcBorders>
            <w:shd w:val="clear" w:color="auto" w:fill="CCE2ED"/>
          </w:tcPr>
          <w:p w14:paraId="2C2D10B6" w14:textId="77777777" w:rsidR="00141B97" w:rsidRDefault="00911D63">
            <w:pPr>
              <w:pStyle w:val="TableParagraph"/>
              <w:spacing w:before="22"/>
              <w:ind w:right="83"/>
              <w:jc w:val="right"/>
              <w:rPr>
                <w:sz w:val="16"/>
              </w:rPr>
            </w:pPr>
            <w:r>
              <w:rPr>
                <w:spacing w:val="-4"/>
                <w:sz w:val="16"/>
              </w:rPr>
              <w:t>1.25</w:t>
            </w:r>
          </w:p>
        </w:tc>
      </w:tr>
    </w:tbl>
    <w:p w14:paraId="51A47AC5" w14:textId="77777777" w:rsidR="00141B97" w:rsidRDefault="00141B97">
      <w:pPr>
        <w:jc w:val="right"/>
        <w:rPr>
          <w:sz w:val="16"/>
        </w:rPr>
        <w:sectPr w:rsidR="00141B97">
          <w:footerReference w:type="default" r:id="rId104"/>
          <w:pgSz w:w="16840" w:h="11910" w:orient="landscape"/>
          <w:pgMar w:top="1340" w:right="600" w:bottom="540" w:left="300" w:header="0" w:footer="345" w:gutter="0"/>
          <w:cols w:space="720"/>
        </w:sectPr>
      </w:pPr>
    </w:p>
    <w:p w14:paraId="2E06BA79" w14:textId="77777777" w:rsidR="00141B97" w:rsidRDefault="00141B97">
      <w:pPr>
        <w:pStyle w:val="BodyText"/>
        <w:spacing w:before="1"/>
        <w:rPr>
          <w:sz w:val="2"/>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276"/>
        <w:gridCol w:w="1393"/>
        <w:gridCol w:w="1904"/>
        <w:gridCol w:w="1244"/>
        <w:gridCol w:w="1245"/>
        <w:gridCol w:w="1244"/>
        <w:gridCol w:w="1244"/>
        <w:gridCol w:w="1243"/>
        <w:gridCol w:w="1049"/>
      </w:tblGrid>
      <w:tr w:rsidR="00141B97" w14:paraId="47E19864" w14:textId="77777777">
        <w:trPr>
          <w:trHeight w:val="408"/>
          <w:tblCellSpacing w:w="9" w:type="dxa"/>
        </w:trPr>
        <w:tc>
          <w:tcPr>
            <w:tcW w:w="5249" w:type="dxa"/>
            <w:tcBorders>
              <w:top w:val="nil"/>
              <w:left w:val="nil"/>
            </w:tcBorders>
            <w:shd w:val="clear" w:color="auto" w:fill="006CA3"/>
          </w:tcPr>
          <w:p w14:paraId="532C84CE" w14:textId="77777777" w:rsidR="00141B97" w:rsidRDefault="00911D63">
            <w:pPr>
              <w:pStyle w:val="TableParagraph"/>
              <w:spacing w:before="107"/>
              <w:ind w:left="88"/>
              <w:rPr>
                <w:sz w:val="16"/>
              </w:rPr>
            </w:pPr>
            <w:r>
              <w:rPr>
                <w:color w:val="FFFFFF"/>
                <w:w w:val="95"/>
                <w:sz w:val="16"/>
              </w:rPr>
              <w:t>Project/program</w:t>
            </w:r>
            <w:r>
              <w:rPr>
                <w:color w:val="FFFFFF"/>
                <w:spacing w:val="40"/>
                <w:sz w:val="16"/>
              </w:rPr>
              <w:t xml:space="preserve"> </w:t>
            </w:r>
            <w:r>
              <w:rPr>
                <w:color w:val="FFFFFF"/>
                <w:spacing w:val="-4"/>
                <w:w w:val="95"/>
                <w:sz w:val="16"/>
              </w:rPr>
              <w:t>Name</w:t>
            </w:r>
          </w:p>
        </w:tc>
        <w:tc>
          <w:tcPr>
            <w:tcW w:w="1375" w:type="dxa"/>
            <w:tcBorders>
              <w:top w:val="nil"/>
            </w:tcBorders>
            <w:shd w:val="clear" w:color="auto" w:fill="006CA3"/>
          </w:tcPr>
          <w:p w14:paraId="6DEFAC4C" w14:textId="77777777" w:rsidR="00141B97" w:rsidRDefault="00911D63">
            <w:pPr>
              <w:pStyle w:val="TableParagraph"/>
              <w:spacing w:before="107"/>
              <w:ind w:right="94"/>
              <w:jc w:val="right"/>
              <w:rPr>
                <w:sz w:val="16"/>
              </w:rPr>
            </w:pPr>
            <w:r>
              <w:rPr>
                <w:color w:val="F1F1F1"/>
                <w:spacing w:val="-2"/>
                <w:sz w:val="16"/>
              </w:rPr>
              <w:t>Service</w:t>
            </w:r>
          </w:p>
        </w:tc>
        <w:tc>
          <w:tcPr>
            <w:tcW w:w="1886" w:type="dxa"/>
            <w:tcBorders>
              <w:top w:val="nil"/>
            </w:tcBorders>
            <w:shd w:val="clear" w:color="auto" w:fill="006CA3"/>
          </w:tcPr>
          <w:p w14:paraId="1EB1DB2B" w14:textId="77777777" w:rsidR="00141B97" w:rsidRDefault="00911D63">
            <w:pPr>
              <w:pStyle w:val="TableParagraph"/>
              <w:spacing w:before="107"/>
              <w:ind w:right="94"/>
              <w:jc w:val="right"/>
              <w:rPr>
                <w:sz w:val="16"/>
              </w:rPr>
            </w:pPr>
            <w:r>
              <w:rPr>
                <w:color w:val="F1F1F1"/>
                <w:sz w:val="16"/>
              </w:rPr>
              <w:t>Major</w:t>
            </w:r>
            <w:r>
              <w:rPr>
                <w:color w:val="F1F1F1"/>
                <w:spacing w:val="-6"/>
                <w:sz w:val="16"/>
              </w:rPr>
              <w:t xml:space="preserve"> </w:t>
            </w:r>
            <w:r>
              <w:rPr>
                <w:color w:val="F1F1F1"/>
                <w:sz w:val="16"/>
              </w:rPr>
              <w:t>cost</w:t>
            </w:r>
            <w:r>
              <w:rPr>
                <w:color w:val="F1F1F1"/>
                <w:spacing w:val="-4"/>
                <w:sz w:val="16"/>
              </w:rPr>
              <w:t xml:space="preserve"> </w:t>
            </w:r>
            <w:r>
              <w:rPr>
                <w:color w:val="F1F1F1"/>
                <w:spacing w:val="-2"/>
                <w:sz w:val="16"/>
              </w:rPr>
              <w:t>driver</w:t>
            </w:r>
          </w:p>
        </w:tc>
        <w:tc>
          <w:tcPr>
            <w:tcW w:w="1226" w:type="dxa"/>
            <w:tcBorders>
              <w:top w:val="nil"/>
            </w:tcBorders>
            <w:shd w:val="clear" w:color="auto" w:fill="006CA3"/>
          </w:tcPr>
          <w:p w14:paraId="2831C854" w14:textId="77777777" w:rsidR="00141B97" w:rsidRDefault="00911D63">
            <w:pPr>
              <w:pStyle w:val="TableParagraph"/>
              <w:spacing w:before="107"/>
              <w:ind w:right="92"/>
              <w:jc w:val="right"/>
              <w:rPr>
                <w:sz w:val="16"/>
              </w:rPr>
            </w:pPr>
            <w:r>
              <w:rPr>
                <w:color w:val="F1F1F1"/>
                <w:spacing w:val="-2"/>
                <w:sz w:val="16"/>
              </w:rPr>
              <w:t>2023‐24</w:t>
            </w:r>
          </w:p>
        </w:tc>
        <w:tc>
          <w:tcPr>
            <w:tcW w:w="1227" w:type="dxa"/>
            <w:tcBorders>
              <w:top w:val="nil"/>
            </w:tcBorders>
            <w:shd w:val="clear" w:color="auto" w:fill="006CA3"/>
          </w:tcPr>
          <w:p w14:paraId="18DF11D7" w14:textId="77777777" w:rsidR="00141B97" w:rsidRDefault="00911D63">
            <w:pPr>
              <w:pStyle w:val="TableParagraph"/>
              <w:spacing w:before="107"/>
              <w:ind w:right="93"/>
              <w:jc w:val="right"/>
              <w:rPr>
                <w:sz w:val="16"/>
              </w:rPr>
            </w:pPr>
            <w:r>
              <w:rPr>
                <w:color w:val="F1F1F1"/>
                <w:spacing w:val="-2"/>
                <w:sz w:val="16"/>
              </w:rPr>
              <w:t>2024‐25</w:t>
            </w:r>
          </w:p>
        </w:tc>
        <w:tc>
          <w:tcPr>
            <w:tcW w:w="1226" w:type="dxa"/>
            <w:tcBorders>
              <w:top w:val="nil"/>
            </w:tcBorders>
            <w:shd w:val="clear" w:color="auto" w:fill="006CA3"/>
          </w:tcPr>
          <w:p w14:paraId="40BC17FB" w14:textId="77777777" w:rsidR="00141B97" w:rsidRDefault="00911D63">
            <w:pPr>
              <w:pStyle w:val="TableParagraph"/>
              <w:spacing w:before="107"/>
              <w:ind w:right="91"/>
              <w:jc w:val="right"/>
              <w:rPr>
                <w:sz w:val="16"/>
              </w:rPr>
            </w:pPr>
            <w:r>
              <w:rPr>
                <w:color w:val="F1F1F1"/>
                <w:spacing w:val="-2"/>
                <w:sz w:val="16"/>
              </w:rPr>
              <w:t>2025‐26</w:t>
            </w:r>
          </w:p>
        </w:tc>
        <w:tc>
          <w:tcPr>
            <w:tcW w:w="1226" w:type="dxa"/>
            <w:tcBorders>
              <w:top w:val="nil"/>
            </w:tcBorders>
            <w:shd w:val="clear" w:color="auto" w:fill="006CA3"/>
          </w:tcPr>
          <w:p w14:paraId="0AF0DED7" w14:textId="77777777" w:rsidR="00141B97" w:rsidRDefault="00911D63">
            <w:pPr>
              <w:pStyle w:val="TableParagraph"/>
              <w:spacing w:before="107"/>
              <w:ind w:right="92"/>
              <w:jc w:val="right"/>
              <w:rPr>
                <w:sz w:val="16"/>
              </w:rPr>
            </w:pPr>
            <w:r>
              <w:rPr>
                <w:color w:val="F1F1F1"/>
                <w:spacing w:val="-2"/>
                <w:sz w:val="16"/>
              </w:rPr>
              <w:t>2026‐27</w:t>
            </w:r>
          </w:p>
        </w:tc>
        <w:tc>
          <w:tcPr>
            <w:tcW w:w="1225" w:type="dxa"/>
            <w:tcBorders>
              <w:top w:val="nil"/>
            </w:tcBorders>
            <w:shd w:val="clear" w:color="auto" w:fill="006CA3"/>
          </w:tcPr>
          <w:p w14:paraId="55A18BBC" w14:textId="77777777" w:rsidR="00141B97" w:rsidRDefault="00911D63">
            <w:pPr>
              <w:pStyle w:val="TableParagraph"/>
              <w:spacing w:before="107"/>
              <w:ind w:right="91"/>
              <w:jc w:val="right"/>
              <w:rPr>
                <w:sz w:val="16"/>
              </w:rPr>
            </w:pPr>
            <w:r>
              <w:rPr>
                <w:color w:val="F1F1F1"/>
                <w:spacing w:val="-2"/>
                <w:sz w:val="16"/>
              </w:rPr>
              <w:t>2027‐28</w:t>
            </w:r>
          </w:p>
        </w:tc>
        <w:tc>
          <w:tcPr>
            <w:tcW w:w="1022" w:type="dxa"/>
            <w:tcBorders>
              <w:top w:val="nil"/>
              <w:right w:val="nil"/>
            </w:tcBorders>
            <w:shd w:val="clear" w:color="auto" w:fill="006CA3"/>
          </w:tcPr>
          <w:p w14:paraId="317A9CE4" w14:textId="77777777" w:rsidR="00141B97" w:rsidRDefault="00911D63">
            <w:pPr>
              <w:pStyle w:val="TableParagraph"/>
              <w:spacing w:before="107"/>
              <w:ind w:right="81"/>
              <w:jc w:val="right"/>
              <w:rPr>
                <w:sz w:val="16"/>
              </w:rPr>
            </w:pPr>
            <w:r>
              <w:rPr>
                <w:color w:val="F1F1F1"/>
                <w:spacing w:val="-2"/>
                <w:sz w:val="16"/>
              </w:rPr>
              <w:t>TOTAL</w:t>
            </w:r>
          </w:p>
        </w:tc>
      </w:tr>
      <w:tr w:rsidR="00141B97" w14:paraId="18726BFC" w14:textId="77777777">
        <w:trPr>
          <w:trHeight w:val="239"/>
          <w:tblCellSpacing w:w="9" w:type="dxa"/>
        </w:trPr>
        <w:tc>
          <w:tcPr>
            <w:tcW w:w="5249" w:type="dxa"/>
            <w:tcBorders>
              <w:left w:val="nil"/>
            </w:tcBorders>
            <w:shd w:val="clear" w:color="auto" w:fill="CCE2ED"/>
          </w:tcPr>
          <w:p w14:paraId="34A00BB2" w14:textId="77777777" w:rsidR="00141B97" w:rsidRDefault="00911D63">
            <w:pPr>
              <w:pStyle w:val="TableParagraph"/>
              <w:spacing w:before="22"/>
              <w:ind w:left="88"/>
              <w:rPr>
                <w:sz w:val="16"/>
              </w:rPr>
            </w:pPr>
            <w:r>
              <w:rPr>
                <w:sz w:val="16"/>
              </w:rPr>
              <w:t>ALL</w:t>
            </w:r>
            <w:r>
              <w:rPr>
                <w:spacing w:val="-5"/>
                <w:sz w:val="16"/>
              </w:rPr>
              <w:t xml:space="preserve"> </w:t>
            </w:r>
            <w:r>
              <w:rPr>
                <w:sz w:val="16"/>
              </w:rPr>
              <w:t>SITES</w:t>
            </w:r>
            <w:r>
              <w:rPr>
                <w:spacing w:val="-6"/>
                <w:sz w:val="16"/>
              </w:rPr>
              <w:t xml:space="preserve"> </w:t>
            </w:r>
            <w:r>
              <w:rPr>
                <w:sz w:val="16"/>
              </w:rPr>
              <w:t>SCADA</w:t>
            </w:r>
            <w:r>
              <w:rPr>
                <w:spacing w:val="-5"/>
                <w:sz w:val="16"/>
              </w:rPr>
              <w:t xml:space="preserve"> </w:t>
            </w:r>
            <w:r>
              <w:rPr>
                <w:spacing w:val="-2"/>
                <w:sz w:val="16"/>
              </w:rPr>
              <w:t>Upgrades</w:t>
            </w:r>
          </w:p>
        </w:tc>
        <w:tc>
          <w:tcPr>
            <w:tcW w:w="1375" w:type="dxa"/>
            <w:shd w:val="clear" w:color="auto" w:fill="CCE2ED"/>
          </w:tcPr>
          <w:p w14:paraId="7AED7D8F"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03F6C53F"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2CF9C3C0" w14:textId="77777777" w:rsidR="00141B97" w:rsidRDefault="00911D63">
            <w:pPr>
              <w:pStyle w:val="TableParagraph"/>
              <w:spacing w:before="22"/>
              <w:ind w:right="95"/>
              <w:jc w:val="right"/>
              <w:rPr>
                <w:sz w:val="16"/>
              </w:rPr>
            </w:pPr>
            <w:r>
              <w:rPr>
                <w:spacing w:val="-4"/>
                <w:sz w:val="16"/>
              </w:rPr>
              <w:t>0.20</w:t>
            </w:r>
          </w:p>
        </w:tc>
        <w:tc>
          <w:tcPr>
            <w:tcW w:w="1227" w:type="dxa"/>
            <w:shd w:val="clear" w:color="auto" w:fill="CCE2ED"/>
          </w:tcPr>
          <w:p w14:paraId="04D769A1"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56FC06E6"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1DA1955A"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5AEB5178"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10A15624" w14:textId="77777777" w:rsidR="00141B97" w:rsidRDefault="00911D63">
            <w:pPr>
              <w:pStyle w:val="TableParagraph"/>
              <w:spacing w:before="22"/>
              <w:ind w:right="83"/>
              <w:jc w:val="right"/>
              <w:rPr>
                <w:sz w:val="16"/>
              </w:rPr>
            </w:pPr>
            <w:r>
              <w:rPr>
                <w:spacing w:val="-4"/>
                <w:sz w:val="16"/>
              </w:rPr>
              <w:t>0.20</w:t>
            </w:r>
          </w:p>
        </w:tc>
      </w:tr>
      <w:tr w:rsidR="00141B97" w14:paraId="638371E9" w14:textId="77777777">
        <w:trPr>
          <w:trHeight w:val="240"/>
          <w:tblCellSpacing w:w="9" w:type="dxa"/>
        </w:trPr>
        <w:tc>
          <w:tcPr>
            <w:tcW w:w="5249" w:type="dxa"/>
            <w:tcBorders>
              <w:left w:val="nil"/>
            </w:tcBorders>
            <w:shd w:val="clear" w:color="auto" w:fill="CCE2ED"/>
          </w:tcPr>
          <w:p w14:paraId="78A57244" w14:textId="77777777" w:rsidR="00141B97" w:rsidRDefault="00911D63">
            <w:pPr>
              <w:pStyle w:val="TableParagraph"/>
              <w:spacing w:before="23"/>
              <w:ind w:left="88"/>
              <w:rPr>
                <w:sz w:val="16"/>
              </w:rPr>
            </w:pPr>
            <w:r>
              <w:rPr>
                <w:sz w:val="16"/>
              </w:rPr>
              <w:t>ALL</w:t>
            </w:r>
            <w:r>
              <w:rPr>
                <w:spacing w:val="-6"/>
                <w:sz w:val="16"/>
              </w:rPr>
              <w:t xml:space="preserve"> </w:t>
            </w:r>
            <w:r>
              <w:rPr>
                <w:sz w:val="16"/>
              </w:rPr>
              <w:t>SITES</w:t>
            </w:r>
            <w:r>
              <w:rPr>
                <w:spacing w:val="-6"/>
                <w:sz w:val="16"/>
              </w:rPr>
              <w:t xml:space="preserve"> </w:t>
            </w:r>
            <w:r>
              <w:rPr>
                <w:sz w:val="16"/>
              </w:rPr>
              <w:t>Sewerage</w:t>
            </w:r>
            <w:r>
              <w:rPr>
                <w:spacing w:val="-7"/>
                <w:sz w:val="16"/>
              </w:rPr>
              <w:t xml:space="preserve"> </w:t>
            </w:r>
            <w:r>
              <w:rPr>
                <w:sz w:val="16"/>
              </w:rPr>
              <w:t>Pump</w:t>
            </w:r>
            <w:r>
              <w:rPr>
                <w:spacing w:val="-6"/>
                <w:sz w:val="16"/>
              </w:rPr>
              <w:t xml:space="preserve"> </w:t>
            </w:r>
            <w:r>
              <w:rPr>
                <w:sz w:val="16"/>
              </w:rPr>
              <w:t>Replacement</w:t>
            </w:r>
            <w:r>
              <w:rPr>
                <w:spacing w:val="-6"/>
                <w:sz w:val="16"/>
              </w:rPr>
              <w:t xml:space="preserve"> </w:t>
            </w:r>
            <w:r>
              <w:rPr>
                <w:spacing w:val="-2"/>
                <w:sz w:val="16"/>
              </w:rPr>
              <w:t>Program</w:t>
            </w:r>
          </w:p>
        </w:tc>
        <w:tc>
          <w:tcPr>
            <w:tcW w:w="1375" w:type="dxa"/>
            <w:shd w:val="clear" w:color="auto" w:fill="CCE2ED"/>
          </w:tcPr>
          <w:p w14:paraId="7E1DA518" w14:textId="77777777" w:rsidR="00141B97" w:rsidRDefault="00911D63">
            <w:pPr>
              <w:pStyle w:val="TableParagraph"/>
              <w:spacing w:before="23"/>
              <w:ind w:right="96"/>
              <w:jc w:val="right"/>
              <w:rPr>
                <w:sz w:val="16"/>
              </w:rPr>
            </w:pPr>
            <w:r>
              <w:rPr>
                <w:spacing w:val="-2"/>
                <w:sz w:val="16"/>
              </w:rPr>
              <w:t>Sewerage</w:t>
            </w:r>
          </w:p>
        </w:tc>
        <w:tc>
          <w:tcPr>
            <w:tcW w:w="1886" w:type="dxa"/>
            <w:shd w:val="clear" w:color="auto" w:fill="CCE2ED"/>
          </w:tcPr>
          <w:p w14:paraId="52537670" w14:textId="77777777" w:rsidR="00141B97" w:rsidRDefault="00911D63">
            <w:pPr>
              <w:pStyle w:val="TableParagraph"/>
              <w:spacing w:before="23"/>
              <w:ind w:right="97"/>
              <w:jc w:val="right"/>
              <w:rPr>
                <w:sz w:val="16"/>
              </w:rPr>
            </w:pPr>
            <w:r>
              <w:rPr>
                <w:spacing w:val="-2"/>
                <w:sz w:val="16"/>
              </w:rPr>
              <w:t>Renewals</w:t>
            </w:r>
          </w:p>
        </w:tc>
        <w:tc>
          <w:tcPr>
            <w:tcW w:w="1226" w:type="dxa"/>
            <w:shd w:val="clear" w:color="auto" w:fill="CCE2ED"/>
          </w:tcPr>
          <w:p w14:paraId="66F3961B" w14:textId="77777777" w:rsidR="00141B97" w:rsidRDefault="00911D63">
            <w:pPr>
              <w:pStyle w:val="TableParagraph"/>
              <w:spacing w:before="23"/>
              <w:ind w:right="95"/>
              <w:jc w:val="right"/>
              <w:rPr>
                <w:sz w:val="16"/>
              </w:rPr>
            </w:pPr>
            <w:r>
              <w:rPr>
                <w:spacing w:val="-4"/>
                <w:sz w:val="16"/>
              </w:rPr>
              <w:t>0.07</w:t>
            </w:r>
          </w:p>
        </w:tc>
        <w:tc>
          <w:tcPr>
            <w:tcW w:w="1227" w:type="dxa"/>
            <w:shd w:val="clear" w:color="auto" w:fill="CCE2ED"/>
          </w:tcPr>
          <w:p w14:paraId="29D26778" w14:textId="77777777" w:rsidR="00141B97" w:rsidRDefault="00911D63">
            <w:pPr>
              <w:pStyle w:val="TableParagraph"/>
              <w:spacing w:before="23"/>
              <w:ind w:right="95"/>
              <w:jc w:val="right"/>
              <w:rPr>
                <w:sz w:val="16"/>
              </w:rPr>
            </w:pPr>
            <w:r>
              <w:rPr>
                <w:spacing w:val="-4"/>
                <w:sz w:val="16"/>
              </w:rPr>
              <w:t>0.07</w:t>
            </w:r>
          </w:p>
        </w:tc>
        <w:tc>
          <w:tcPr>
            <w:tcW w:w="1226" w:type="dxa"/>
            <w:shd w:val="clear" w:color="auto" w:fill="CCE2ED"/>
          </w:tcPr>
          <w:p w14:paraId="07D84262" w14:textId="77777777" w:rsidR="00141B97" w:rsidRDefault="00911D63">
            <w:pPr>
              <w:pStyle w:val="TableParagraph"/>
              <w:spacing w:before="23"/>
              <w:ind w:right="94"/>
              <w:jc w:val="right"/>
              <w:rPr>
                <w:sz w:val="16"/>
              </w:rPr>
            </w:pPr>
            <w:r>
              <w:rPr>
                <w:spacing w:val="-4"/>
                <w:sz w:val="16"/>
              </w:rPr>
              <w:t>0.07</w:t>
            </w:r>
          </w:p>
        </w:tc>
        <w:tc>
          <w:tcPr>
            <w:tcW w:w="1226" w:type="dxa"/>
            <w:shd w:val="clear" w:color="auto" w:fill="CCE2ED"/>
          </w:tcPr>
          <w:p w14:paraId="0E7770A3" w14:textId="77777777" w:rsidR="00141B97" w:rsidRDefault="00911D63">
            <w:pPr>
              <w:pStyle w:val="TableParagraph"/>
              <w:spacing w:before="23"/>
              <w:ind w:right="94"/>
              <w:jc w:val="right"/>
              <w:rPr>
                <w:sz w:val="16"/>
              </w:rPr>
            </w:pPr>
            <w:r>
              <w:rPr>
                <w:spacing w:val="-4"/>
                <w:sz w:val="16"/>
              </w:rPr>
              <w:t>0.07</w:t>
            </w:r>
          </w:p>
        </w:tc>
        <w:tc>
          <w:tcPr>
            <w:tcW w:w="1225" w:type="dxa"/>
            <w:shd w:val="clear" w:color="auto" w:fill="CCE2ED"/>
          </w:tcPr>
          <w:p w14:paraId="1728D830" w14:textId="77777777" w:rsidR="00141B97" w:rsidRDefault="00911D63">
            <w:pPr>
              <w:pStyle w:val="TableParagraph"/>
              <w:spacing w:before="23"/>
              <w:ind w:right="93"/>
              <w:jc w:val="right"/>
              <w:rPr>
                <w:sz w:val="16"/>
              </w:rPr>
            </w:pPr>
            <w:r>
              <w:rPr>
                <w:spacing w:val="-4"/>
                <w:sz w:val="16"/>
              </w:rPr>
              <w:t>0.07</w:t>
            </w:r>
          </w:p>
        </w:tc>
        <w:tc>
          <w:tcPr>
            <w:tcW w:w="1022" w:type="dxa"/>
            <w:tcBorders>
              <w:right w:val="nil"/>
            </w:tcBorders>
            <w:shd w:val="clear" w:color="auto" w:fill="CCE2ED"/>
          </w:tcPr>
          <w:p w14:paraId="14FA5B0B" w14:textId="77777777" w:rsidR="00141B97" w:rsidRDefault="00911D63">
            <w:pPr>
              <w:pStyle w:val="TableParagraph"/>
              <w:spacing w:before="23"/>
              <w:ind w:right="83"/>
              <w:jc w:val="right"/>
              <w:rPr>
                <w:sz w:val="16"/>
              </w:rPr>
            </w:pPr>
            <w:r>
              <w:rPr>
                <w:spacing w:val="-4"/>
                <w:sz w:val="16"/>
              </w:rPr>
              <w:t>0.37</w:t>
            </w:r>
          </w:p>
        </w:tc>
      </w:tr>
      <w:tr w:rsidR="00141B97" w14:paraId="185EA206" w14:textId="77777777">
        <w:trPr>
          <w:trHeight w:val="254"/>
          <w:tblCellSpacing w:w="9" w:type="dxa"/>
        </w:trPr>
        <w:tc>
          <w:tcPr>
            <w:tcW w:w="5249" w:type="dxa"/>
            <w:tcBorders>
              <w:left w:val="nil"/>
            </w:tcBorders>
            <w:shd w:val="clear" w:color="auto" w:fill="CCE2ED"/>
          </w:tcPr>
          <w:p w14:paraId="44B5EB55" w14:textId="77777777" w:rsidR="00141B97" w:rsidRDefault="00911D63">
            <w:pPr>
              <w:pStyle w:val="TableParagraph"/>
              <w:spacing w:before="29"/>
              <w:ind w:left="88"/>
              <w:rPr>
                <w:sz w:val="16"/>
              </w:rPr>
            </w:pPr>
            <w:r>
              <w:rPr>
                <w:sz w:val="16"/>
              </w:rPr>
              <w:t>ALL</w:t>
            </w:r>
            <w:r>
              <w:rPr>
                <w:spacing w:val="-8"/>
                <w:sz w:val="16"/>
              </w:rPr>
              <w:t xml:space="preserve"> </w:t>
            </w:r>
            <w:r>
              <w:rPr>
                <w:sz w:val="16"/>
              </w:rPr>
              <w:t>SITES</w:t>
            </w:r>
            <w:r>
              <w:rPr>
                <w:spacing w:val="-9"/>
                <w:sz w:val="16"/>
              </w:rPr>
              <w:t xml:space="preserve"> </w:t>
            </w:r>
            <w:r>
              <w:rPr>
                <w:sz w:val="16"/>
              </w:rPr>
              <w:t>SPS</w:t>
            </w:r>
            <w:r>
              <w:rPr>
                <w:spacing w:val="-8"/>
                <w:sz w:val="16"/>
              </w:rPr>
              <w:t xml:space="preserve"> </w:t>
            </w:r>
            <w:r>
              <w:rPr>
                <w:sz w:val="16"/>
              </w:rPr>
              <w:t>Switchboard</w:t>
            </w:r>
            <w:r>
              <w:rPr>
                <w:spacing w:val="-7"/>
                <w:sz w:val="16"/>
              </w:rPr>
              <w:t xml:space="preserve"> </w:t>
            </w:r>
            <w:r>
              <w:rPr>
                <w:sz w:val="16"/>
              </w:rPr>
              <w:t>Replacement/Upgrade</w:t>
            </w:r>
            <w:r>
              <w:rPr>
                <w:spacing w:val="-8"/>
                <w:sz w:val="16"/>
              </w:rPr>
              <w:t xml:space="preserve"> </w:t>
            </w:r>
            <w:r>
              <w:rPr>
                <w:spacing w:val="-2"/>
                <w:sz w:val="16"/>
              </w:rPr>
              <w:t>Program</w:t>
            </w:r>
          </w:p>
        </w:tc>
        <w:tc>
          <w:tcPr>
            <w:tcW w:w="1375" w:type="dxa"/>
            <w:shd w:val="clear" w:color="auto" w:fill="CCE2ED"/>
          </w:tcPr>
          <w:p w14:paraId="1212071B" w14:textId="77777777" w:rsidR="00141B97" w:rsidRDefault="00911D63">
            <w:pPr>
              <w:pStyle w:val="TableParagraph"/>
              <w:spacing w:before="29"/>
              <w:ind w:right="96"/>
              <w:jc w:val="right"/>
              <w:rPr>
                <w:sz w:val="16"/>
              </w:rPr>
            </w:pPr>
            <w:r>
              <w:rPr>
                <w:spacing w:val="-2"/>
                <w:sz w:val="16"/>
              </w:rPr>
              <w:t>Sewerage</w:t>
            </w:r>
          </w:p>
        </w:tc>
        <w:tc>
          <w:tcPr>
            <w:tcW w:w="1886" w:type="dxa"/>
            <w:shd w:val="clear" w:color="auto" w:fill="CCE2ED"/>
          </w:tcPr>
          <w:p w14:paraId="58A74783" w14:textId="77777777" w:rsidR="00141B97" w:rsidRDefault="00911D63">
            <w:pPr>
              <w:pStyle w:val="TableParagraph"/>
              <w:spacing w:before="29"/>
              <w:ind w:right="97"/>
              <w:jc w:val="right"/>
              <w:rPr>
                <w:sz w:val="16"/>
              </w:rPr>
            </w:pPr>
            <w:r>
              <w:rPr>
                <w:spacing w:val="-2"/>
                <w:sz w:val="16"/>
              </w:rPr>
              <w:t>Renewals</w:t>
            </w:r>
          </w:p>
        </w:tc>
        <w:tc>
          <w:tcPr>
            <w:tcW w:w="1226" w:type="dxa"/>
            <w:shd w:val="clear" w:color="auto" w:fill="CCE2ED"/>
          </w:tcPr>
          <w:p w14:paraId="246F48FA" w14:textId="77777777" w:rsidR="00141B97" w:rsidRDefault="00911D63">
            <w:pPr>
              <w:pStyle w:val="TableParagraph"/>
              <w:spacing w:before="29"/>
              <w:ind w:right="95"/>
              <w:jc w:val="right"/>
              <w:rPr>
                <w:sz w:val="16"/>
              </w:rPr>
            </w:pPr>
            <w:r>
              <w:rPr>
                <w:spacing w:val="-4"/>
                <w:sz w:val="16"/>
              </w:rPr>
              <w:t>0.00</w:t>
            </w:r>
          </w:p>
        </w:tc>
        <w:tc>
          <w:tcPr>
            <w:tcW w:w="1227" w:type="dxa"/>
            <w:shd w:val="clear" w:color="auto" w:fill="CCE2ED"/>
          </w:tcPr>
          <w:p w14:paraId="5C4F773C" w14:textId="77777777" w:rsidR="00141B97" w:rsidRDefault="00911D63">
            <w:pPr>
              <w:pStyle w:val="TableParagraph"/>
              <w:spacing w:before="29"/>
              <w:ind w:right="95"/>
              <w:jc w:val="right"/>
              <w:rPr>
                <w:sz w:val="16"/>
              </w:rPr>
            </w:pPr>
            <w:r>
              <w:rPr>
                <w:spacing w:val="-4"/>
                <w:sz w:val="16"/>
              </w:rPr>
              <w:t>0.10</w:t>
            </w:r>
          </w:p>
        </w:tc>
        <w:tc>
          <w:tcPr>
            <w:tcW w:w="1226" w:type="dxa"/>
            <w:shd w:val="clear" w:color="auto" w:fill="CCE2ED"/>
          </w:tcPr>
          <w:p w14:paraId="6F9E1F85" w14:textId="77777777" w:rsidR="00141B97" w:rsidRDefault="00911D63">
            <w:pPr>
              <w:pStyle w:val="TableParagraph"/>
              <w:spacing w:before="29"/>
              <w:ind w:right="94"/>
              <w:jc w:val="right"/>
              <w:rPr>
                <w:sz w:val="16"/>
              </w:rPr>
            </w:pPr>
            <w:r>
              <w:rPr>
                <w:spacing w:val="-4"/>
                <w:sz w:val="16"/>
              </w:rPr>
              <w:t>0.10</w:t>
            </w:r>
          </w:p>
        </w:tc>
        <w:tc>
          <w:tcPr>
            <w:tcW w:w="1226" w:type="dxa"/>
            <w:shd w:val="clear" w:color="auto" w:fill="CCE2ED"/>
          </w:tcPr>
          <w:p w14:paraId="202C32A5" w14:textId="77777777" w:rsidR="00141B97" w:rsidRDefault="00911D63">
            <w:pPr>
              <w:pStyle w:val="TableParagraph"/>
              <w:spacing w:before="29"/>
              <w:ind w:right="94"/>
              <w:jc w:val="right"/>
              <w:rPr>
                <w:sz w:val="16"/>
              </w:rPr>
            </w:pPr>
            <w:r>
              <w:rPr>
                <w:spacing w:val="-4"/>
                <w:sz w:val="16"/>
              </w:rPr>
              <w:t>0.10</w:t>
            </w:r>
          </w:p>
        </w:tc>
        <w:tc>
          <w:tcPr>
            <w:tcW w:w="1225" w:type="dxa"/>
            <w:shd w:val="clear" w:color="auto" w:fill="CCE2ED"/>
          </w:tcPr>
          <w:p w14:paraId="5A9FAB32" w14:textId="77777777" w:rsidR="00141B97" w:rsidRDefault="00911D63">
            <w:pPr>
              <w:pStyle w:val="TableParagraph"/>
              <w:spacing w:before="29"/>
              <w:ind w:right="93"/>
              <w:jc w:val="right"/>
              <w:rPr>
                <w:sz w:val="16"/>
              </w:rPr>
            </w:pPr>
            <w:r>
              <w:rPr>
                <w:spacing w:val="-4"/>
                <w:sz w:val="16"/>
              </w:rPr>
              <w:t>0.12</w:t>
            </w:r>
          </w:p>
        </w:tc>
        <w:tc>
          <w:tcPr>
            <w:tcW w:w="1022" w:type="dxa"/>
            <w:tcBorders>
              <w:right w:val="nil"/>
            </w:tcBorders>
            <w:shd w:val="clear" w:color="auto" w:fill="CCE2ED"/>
          </w:tcPr>
          <w:p w14:paraId="3A779367" w14:textId="77777777" w:rsidR="00141B97" w:rsidRDefault="00911D63">
            <w:pPr>
              <w:pStyle w:val="TableParagraph"/>
              <w:spacing w:before="29"/>
              <w:ind w:right="83"/>
              <w:jc w:val="right"/>
              <w:rPr>
                <w:sz w:val="16"/>
              </w:rPr>
            </w:pPr>
            <w:r>
              <w:rPr>
                <w:spacing w:val="-4"/>
                <w:sz w:val="16"/>
              </w:rPr>
              <w:t>0.42</w:t>
            </w:r>
          </w:p>
        </w:tc>
      </w:tr>
      <w:tr w:rsidR="00141B97" w14:paraId="09430460" w14:textId="77777777">
        <w:trPr>
          <w:trHeight w:val="270"/>
          <w:tblCellSpacing w:w="9" w:type="dxa"/>
        </w:trPr>
        <w:tc>
          <w:tcPr>
            <w:tcW w:w="5249" w:type="dxa"/>
            <w:tcBorders>
              <w:left w:val="nil"/>
            </w:tcBorders>
            <w:shd w:val="clear" w:color="auto" w:fill="BFBFBF"/>
          </w:tcPr>
          <w:p w14:paraId="017A7E39" w14:textId="77777777" w:rsidR="00141B97" w:rsidRDefault="00911D63">
            <w:pPr>
              <w:pStyle w:val="TableParagraph"/>
              <w:spacing w:before="38"/>
              <w:ind w:left="88"/>
              <w:rPr>
                <w:sz w:val="16"/>
              </w:rPr>
            </w:pPr>
            <w:r>
              <w:rPr>
                <w:sz w:val="16"/>
              </w:rPr>
              <w:t>Reticulation</w:t>
            </w:r>
            <w:r>
              <w:rPr>
                <w:spacing w:val="-5"/>
                <w:sz w:val="16"/>
              </w:rPr>
              <w:t xml:space="preserve"> </w:t>
            </w:r>
            <w:r>
              <w:rPr>
                <w:sz w:val="16"/>
              </w:rPr>
              <w:t>‐</w:t>
            </w:r>
            <w:r>
              <w:rPr>
                <w:spacing w:val="-3"/>
                <w:sz w:val="16"/>
              </w:rPr>
              <w:t xml:space="preserve"> </w:t>
            </w:r>
            <w:r>
              <w:rPr>
                <w:spacing w:val="-4"/>
                <w:sz w:val="16"/>
              </w:rPr>
              <w:t>Water</w:t>
            </w:r>
          </w:p>
        </w:tc>
        <w:tc>
          <w:tcPr>
            <w:tcW w:w="1375" w:type="dxa"/>
            <w:shd w:val="clear" w:color="auto" w:fill="BFBFBF"/>
          </w:tcPr>
          <w:p w14:paraId="53491378" w14:textId="77777777" w:rsidR="00141B97" w:rsidRDefault="00141B97">
            <w:pPr>
              <w:pStyle w:val="TableParagraph"/>
              <w:rPr>
                <w:rFonts w:ascii="Times New Roman"/>
                <w:sz w:val="16"/>
              </w:rPr>
            </w:pPr>
          </w:p>
        </w:tc>
        <w:tc>
          <w:tcPr>
            <w:tcW w:w="1886" w:type="dxa"/>
            <w:shd w:val="clear" w:color="auto" w:fill="BFBFBF"/>
          </w:tcPr>
          <w:p w14:paraId="357CB65E" w14:textId="77777777" w:rsidR="00141B97" w:rsidRDefault="00141B97">
            <w:pPr>
              <w:pStyle w:val="TableParagraph"/>
              <w:rPr>
                <w:rFonts w:ascii="Times New Roman"/>
                <w:sz w:val="16"/>
              </w:rPr>
            </w:pPr>
          </w:p>
        </w:tc>
        <w:tc>
          <w:tcPr>
            <w:tcW w:w="1226" w:type="dxa"/>
            <w:shd w:val="clear" w:color="auto" w:fill="BFBFBF"/>
          </w:tcPr>
          <w:p w14:paraId="0C6CF5F0" w14:textId="77777777" w:rsidR="00141B97" w:rsidRDefault="00141B97">
            <w:pPr>
              <w:pStyle w:val="TableParagraph"/>
              <w:rPr>
                <w:rFonts w:ascii="Times New Roman"/>
                <w:sz w:val="16"/>
              </w:rPr>
            </w:pPr>
          </w:p>
        </w:tc>
        <w:tc>
          <w:tcPr>
            <w:tcW w:w="1227" w:type="dxa"/>
            <w:shd w:val="clear" w:color="auto" w:fill="BFBFBF"/>
          </w:tcPr>
          <w:p w14:paraId="4B23BE18" w14:textId="77777777" w:rsidR="00141B97" w:rsidRDefault="00141B97">
            <w:pPr>
              <w:pStyle w:val="TableParagraph"/>
              <w:rPr>
                <w:rFonts w:ascii="Times New Roman"/>
                <w:sz w:val="16"/>
              </w:rPr>
            </w:pPr>
          </w:p>
        </w:tc>
        <w:tc>
          <w:tcPr>
            <w:tcW w:w="1226" w:type="dxa"/>
            <w:shd w:val="clear" w:color="auto" w:fill="BFBFBF"/>
          </w:tcPr>
          <w:p w14:paraId="35408A9E" w14:textId="77777777" w:rsidR="00141B97" w:rsidRDefault="00141B97">
            <w:pPr>
              <w:pStyle w:val="TableParagraph"/>
              <w:rPr>
                <w:rFonts w:ascii="Times New Roman"/>
                <w:sz w:val="16"/>
              </w:rPr>
            </w:pPr>
          </w:p>
        </w:tc>
        <w:tc>
          <w:tcPr>
            <w:tcW w:w="1226" w:type="dxa"/>
            <w:shd w:val="clear" w:color="auto" w:fill="BFBFBF"/>
          </w:tcPr>
          <w:p w14:paraId="08129875" w14:textId="77777777" w:rsidR="00141B97" w:rsidRDefault="00141B97">
            <w:pPr>
              <w:pStyle w:val="TableParagraph"/>
              <w:rPr>
                <w:rFonts w:ascii="Times New Roman"/>
                <w:sz w:val="16"/>
              </w:rPr>
            </w:pPr>
          </w:p>
        </w:tc>
        <w:tc>
          <w:tcPr>
            <w:tcW w:w="1225" w:type="dxa"/>
            <w:shd w:val="clear" w:color="auto" w:fill="BFBFBF"/>
          </w:tcPr>
          <w:p w14:paraId="4C6F77CD" w14:textId="77777777" w:rsidR="00141B97" w:rsidRDefault="00141B97">
            <w:pPr>
              <w:pStyle w:val="TableParagraph"/>
              <w:rPr>
                <w:rFonts w:ascii="Times New Roman"/>
                <w:sz w:val="16"/>
              </w:rPr>
            </w:pPr>
          </w:p>
        </w:tc>
        <w:tc>
          <w:tcPr>
            <w:tcW w:w="1022" w:type="dxa"/>
            <w:tcBorders>
              <w:right w:val="nil"/>
            </w:tcBorders>
            <w:shd w:val="clear" w:color="auto" w:fill="BFBFBF"/>
          </w:tcPr>
          <w:p w14:paraId="6B53CF42" w14:textId="77777777" w:rsidR="00141B97" w:rsidRDefault="00141B97">
            <w:pPr>
              <w:pStyle w:val="TableParagraph"/>
              <w:rPr>
                <w:rFonts w:ascii="Times New Roman"/>
                <w:sz w:val="16"/>
              </w:rPr>
            </w:pPr>
          </w:p>
        </w:tc>
      </w:tr>
      <w:tr w:rsidR="00141B97" w14:paraId="3D484E88" w14:textId="77777777">
        <w:trPr>
          <w:trHeight w:val="494"/>
          <w:tblCellSpacing w:w="9" w:type="dxa"/>
        </w:trPr>
        <w:tc>
          <w:tcPr>
            <w:tcW w:w="5249" w:type="dxa"/>
            <w:tcBorders>
              <w:left w:val="nil"/>
            </w:tcBorders>
            <w:shd w:val="clear" w:color="auto" w:fill="CCE2ED"/>
          </w:tcPr>
          <w:p w14:paraId="6B0B91D7" w14:textId="77777777" w:rsidR="00141B97" w:rsidRDefault="00911D63">
            <w:pPr>
              <w:pStyle w:val="TableParagraph"/>
              <w:spacing w:before="52"/>
              <w:ind w:left="88"/>
              <w:rPr>
                <w:sz w:val="16"/>
              </w:rPr>
            </w:pPr>
            <w:r>
              <w:rPr>
                <w:sz w:val="16"/>
              </w:rPr>
              <w:t>RC</w:t>
            </w:r>
            <w:r>
              <w:rPr>
                <w:spacing w:val="-2"/>
                <w:sz w:val="16"/>
              </w:rPr>
              <w:t xml:space="preserve"> </w:t>
            </w:r>
            <w:r>
              <w:rPr>
                <w:sz w:val="16"/>
              </w:rPr>
              <w:t>‐</w:t>
            </w:r>
            <w:r>
              <w:rPr>
                <w:spacing w:val="-2"/>
                <w:sz w:val="16"/>
              </w:rPr>
              <w:t xml:space="preserve"> </w:t>
            </w:r>
            <w:r>
              <w:rPr>
                <w:sz w:val="16"/>
              </w:rPr>
              <w:t>DN375</w:t>
            </w:r>
            <w:r>
              <w:rPr>
                <w:spacing w:val="-2"/>
                <w:sz w:val="16"/>
              </w:rPr>
              <w:t xml:space="preserve"> </w:t>
            </w:r>
            <w:r>
              <w:rPr>
                <w:sz w:val="16"/>
              </w:rPr>
              <w:t>Truck</w:t>
            </w:r>
            <w:r>
              <w:rPr>
                <w:spacing w:val="-1"/>
                <w:sz w:val="16"/>
              </w:rPr>
              <w:t xml:space="preserve"> </w:t>
            </w:r>
            <w:r>
              <w:rPr>
                <w:sz w:val="16"/>
              </w:rPr>
              <w:t>Main</w:t>
            </w:r>
            <w:r>
              <w:rPr>
                <w:spacing w:val="-2"/>
                <w:sz w:val="16"/>
              </w:rPr>
              <w:t xml:space="preserve"> </w:t>
            </w:r>
            <w:r>
              <w:rPr>
                <w:sz w:val="16"/>
              </w:rPr>
              <w:t>for</w:t>
            </w:r>
            <w:r>
              <w:rPr>
                <w:spacing w:val="-2"/>
                <w:sz w:val="16"/>
              </w:rPr>
              <w:t xml:space="preserve"> </w:t>
            </w:r>
            <w:r>
              <w:rPr>
                <w:sz w:val="16"/>
              </w:rPr>
              <w:t>MDA</w:t>
            </w:r>
            <w:r>
              <w:rPr>
                <w:spacing w:val="-1"/>
                <w:sz w:val="16"/>
              </w:rPr>
              <w:t xml:space="preserve"> </w:t>
            </w:r>
            <w:r>
              <w:rPr>
                <w:sz w:val="16"/>
              </w:rPr>
              <w:t>to</w:t>
            </w:r>
            <w:r>
              <w:rPr>
                <w:spacing w:val="-2"/>
                <w:sz w:val="16"/>
              </w:rPr>
              <w:t xml:space="preserve"> </w:t>
            </w:r>
            <w:r>
              <w:rPr>
                <w:sz w:val="16"/>
              </w:rPr>
              <w:t>RC</w:t>
            </w:r>
            <w:r>
              <w:rPr>
                <w:spacing w:val="-2"/>
                <w:sz w:val="16"/>
              </w:rPr>
              <w:t xml:space="preserve"> </w:t>
            </w:r>
            <w:r>
              <w:rPr>
                <w:sz w:val="16"/>
              </w:rPr>
              <w:t>interconnection</w:t>
            </w:r>
            <w:r>
              <w:rPr>
                <w:spacing w:val="-2"/>
                <w:sz w:val="16"/>
              </w:rPr>
              <w:t xml:space="preserve"> </w:t>
            </w:r>
            <w:r>
              <w:rPr>
                <w:sz w:val="16"/>
              </w:rPr>
              <w:t>(includes</w:t>
            </w:r>
            <w:r>
              <w:rPr>
                <w:spacing w:val="-2"/>
                <w:sz w:val="16"/>
              </w:rPr>
              <w:t xml:space="preserve"> </w:t>
            </w:r>
            <w:r>
              <w:rPr>
                <w:sz w:val="16"/>
              </w:rPr>
              <w:t>Ginguam</w:t>
            </w:r>
            <w:r>
              <w:rPr>
                <w:spacing w:val="-2"/>
                <w:sz w:val="16"/>
              </w:rPr>
              <w:t xml:space="preserve"> </w:t>
            </w:r>
            <w:r>
              <w:rPr>
                <w:sz w:val="16"/>
              </w:rPr>
              <w:t>PS</w:t>
            </w:r>
            <w:r>
              <w:rPr>
                <w:spacing w:val="40"/>
                <w:sz w:val="16"/>
              </w:rPr>
              <w:t xml:space="preserve"> </w:t>
            </w:r>
            <w:r>
              <w:rPr>
                <w:sz w:val="16"/>
              </w:rPr>
              <w:t>upgrade) 14th Street to Beevers Lane (9,500 m)</w:t>
            </w:r>
          </w:p>
        </w:tc>
        <w:tc>
          <w:tcPr>
            <w:tcW w:w="1375" w:type="dxa"/>
            <w:shd w:val="clear" w:color="auto" w:fill="CCE2ED"/>
          </w:tcPr>
          <w:p w14:paraId="35E6E36F" w14:textId="77777777" w:rsidR="00141B97" w:rsidRDefault="00141B97">
            <w:pPr>
              <w:pStyle w:val="TableParagraph"/>
              <w:spacing w:before="3"/>
              <w:rPr>
                <w:sz w:val="12"/>
              </w:rPr>
            </w:pPr>
          </w:p>
          <w:p w14:paraId="75AFFCC0" w14:textId="77777777" w:rsidR="00141B97" w:rsidRDefault="00911D63">
            <w:pPr>
              <w:pStyle w:val="TableParagraph"/>
              <w:ind w:right="95"/>
              <w:jc w:val="right"/>
              <w:rPr>
                <w:sz w:val="16"/>
              </w:rPr>
            </w:pPr>
            <w:r>
              <w:rPr>
                <w:spacing w:val="-2"/>
                <w:sz w:val="16"/>
              </w:rPr>
              <w:t>Water</w:t>
            </w:r>
          </w:p>
        </w:tc>
        <w:tc>
          <w:tcPr>
            <w:tcW w:w="1886" w:type="dxa"/>
            <w:shd w:val="clear" w:color="auto" w:fill="CCE2ED"/>
          </w:tcPr>
          <w:p w14:paraId="7B80535F" w14:textId="77777777" w:rsidR="00141B97" w:rsidRDefault="00141B97">
            <w:pPr>
              <w:pStyle w:val="TableParagraph"/>
              <w:spacing w:before="3"/>
              <w:rPr>
                <w:sz w:val="12"/>
              </w:rPr>
            </w:pPr>
          </w:p>
          <w:p w14:paraId="050B6D02" w14:textId="77777777" w:rsidR="00141B97" w:rsidRDefault="00911D63">
            <w:pPr>
              <w:pStyle w:val="TableParagraph"/>
              <w:ind w:right="97"/>
              <w:jc w:val="right"/>
              <w:rPr>
                <w:sz w:val="16"/>
              </w:rPr>
            </w:pPr>
            <w:r>
              <w:rPr>
                <w:spacing w:val="-2"/>
                <w:sz w:val="16"/>
              </w:rPr>
              <w:t>Growth</w:t>
            </w:r>
          </w:p>
        </w:tc>
        <w:tc>
          <w:tcPr>
            <w:tcW w:w="1226" w:type="dxa"/>
            <w:shd w:val="clear" w:color="auto" w:fill="CCE2ED"/>
          </w:tcPr>
          <w:p w14:paraId="2261A531" w14:textId="77777777" w:rsidR="00141B97" w:rsidRDefault="00141B97">
            <w:pPr>
              <w:pStyle w:val="TableParagraph"/>
              <w:spacing w:before="3"/>
              <w:rPr>
                <w:sz w:val="12"/>
              </w:rPr>
            </w:pPr>
          </w:p>
          <w:p w14:paraId="170B1CE0" w14:textId="77777777" w:rsidR="00141B97" w:rsidRDefault="00911D63">
            <w:pPr>
              <w:pStyle w:val="TableParagraph"/>
              <w:ind w:right="95"/>
              <w:jc w:val="right"/>
              <w:rPr>
                <w:sz w:val="16"/>
              </w:rPr>
            </w:pPr>
            <w:r>
              <w:rPr>
                <w:spacing w:val="-4"/>
                <w:sz w:val="16"/>
              </w:rPr>
              <w:t>0.00</w:t>
            </w:r>
          </w:p>
        </w:tc>
        <w:tc>
          <w:tcPr>
            <w:tcW w:w="1227" w:type="dxa"/>
            <w:shd w:val="clear" w:color="auto" w:fill="CCE2ED"/>
          </w:tcPr>
          <w:p w14:paraId="205F6936" w14:textId="77777777" w:rsidR="00141B97" w:rsidRDefault="00141B97">
            <w:pPr>
              <w:pStyle w:val="TableParagraph"/>
              <w:spacing w:before="3"/>
              <w:rPr>
                <w:sz w:val="12"/>
              </w:rPr>
            </w:pPr>
          </w:p>
          <w:p w14:paraId="0753FA10" w14:textId="77777777" w:rsidR="00141B97" w:rsidRDefault="00911D63">
            <w:pPr>
              <w:pStyle w:val="TableParagraph"/>
              <w:ind w:right="95"/>
              <w:jc w:val="right"/>
              <w:rPr>
                <w:sz w:val="16"/>
              </w:rPr>
            </w:pPr>
            <w:r>
              <w:rPr>
                <w:spacing w:val="-4"/>
                <w:sz w:val="16"/>
              </w:rPr>
              <w:t>0.00</w:t>
            </w:r>
          </w:p>
        </w:tc>
        <w:tc>
          <w:tcPr>
            <w:tcW w:w="1226" w:type="dxa"/>
            <w:shd w:val="clear" w:color="auto" w:fill="CCE2ED"/>
          </w:tcPr>
          <w:p w14:paraId="3BACE931" w14:textId="77777777" w:rsidR="00141B97" w:rsidRDefault="00141B97">
            <w:pPr>
              <w:pStyle w:val="TableParagraph"/>
              <w:spacing w:before="3"/>
              <w:rPr>
                <w:sz w:val="12"/>
              </w:rPr>
            </w:pPr>
          </w:p>
          <w:p w14:paraId="737ACB2C" w14:textId="77777777" w:rsidR="00141B97" w:rsidRDefault="00911D63">
            <w:pPr>
              <w:pStyle w:val="TableParagraph"/>
              <w:ind w:right="94"/>
              <w:jc w:val="right"/>
              <w:rPr>
                <w:sz w:val="16"/>
              </w:rPr>
            </w:pPr>
            <w:r>
              <w:rPr>
                <w:spacing w:val="-4"/>
                <w:sz w:val="16"/>
              </w:rPr>
              <w:t>0.00</w:t>
            </w:r>
          </w:p>
        </w:tc>
        <w:tc>
          <w:tcPr>
            <w:tcW w:w="1226" w:type="dxa"/>
            <w:shd w:val="clear" w:color="auto" w:fill="CCE2ED"/>
          </w:tcPr>
          <w:p w14:paraId="48D15709" w14:textId="77777777" w:rsidR="00141B97" w:rsidRDefault="00141B97">
            <w:pPr>
              <w:pStyle w:val="TableParagraph"/>
              <w:spacing w:before="3"/>
              <w:rPr>
                <w:sz w:val="12"/>
              </w:rPr>
            </w:pPr>
          </w:p>
          <w:p w14:paraId="2204DE72" w14:textId="77777777" w:rsidR="00141B97" w:rsidRDefault="00911D63">
            <w:pPr>
              <w:pStyle w:val="TableParagraph"/>
              <w:ind w:right="94"/>
              <w:jc w:val="right"/>
              <w:rPr>
                <w:sz w:val="16"/>
              </w:rPr>
            </w:pPr>
            <w:r>
              <w:rPr>
                <w:spacing w:val="-4"/>
                <w:sz w:val="16"/>
              </w:rPr>
              <w:t>0.00</w:t>
            </w:r>
          </w:p>
        </w:tc>
        <w:tc>
          <w:tcPr>
            <w:tcW w:w="1225" w:type="dxa"/>
            <w:shd w:val="clear" w:color="auto" w:fill="CCE2ED"/>
          </w:tcPr>
          <w:p w14:paraId="2FD67DA7" w14:textId="77777777" w:rsidR="00141B97" w:rsidRDefault="00141B97">
            <w:pPr>
              <w:pStyle w:val="TableParagraph"/>
              <w:spacing w:before="3"/>
              <w:rPr>
                <w:sz w:val="12"/>
              </w:rPr>
            </w:pPr>
          </w:p>
          <w:p w14:paraId="529F3906" w14:textId="77777777" w:rsidR="00141B97" w:rsidRDefault="00911D63">
            <w:pPr>
              <w:pStyle w:val="TableParagraph"/>
              <w:ind w:right="93"/>
              <w:jc w:val="right"/>
              <w:rPr>
                <w:sz w:val="16"/>
              </w:rPr>
            </w:pPr>
            <w:r>
              <w:rPr>
                <w:spacing w:val="-4"/>
                <w:sz w:val="16"/>
              </w:rPr>
              <w:t>0.30</w:t>
            </w:r>
          </w:p>
        </w:tc>
        <w:tc>
          <w:tcPr>
            <w:tcW w:w="1022" w:type="dxa"/>
            <w:tcBorders>
              <w:right w:val="nil"/>
            </w:tcBorders>
            <w:shd w:val="clear" w:color="auto" w:fill="CCE2ED"/>
          </w:tcPr>
          <w:p w14:paraId="415B6E5A" w14:textId="77777777" w:rsidR="00141B97" w:rsidRDefault="00141B97">
            <w:pPr>
              <w:pStyle w:val="TableParagraph"/>
              <w:spacing w:before="3"/>
              <w:rPr>
                <w:sz w:val="12"/>
              </w:rPr>
            </w:pPr>
          </w:p>
          <w:p w14:paraId="6BA53DFF" w14:textId="77777777" w:rsidR="00141B97" w:rsidRDefault="00911D63">
            <w:pPr>
              <w:pStyle w:val="TableParagraph"/>
              <w:ind w:right="83"/>
              <w:jc w:val="right"/>
              <w:rPr>
                <w:sz w:val="16"/>
              </w:rPr>
            </w:pPr>
            <w:r>
              <w:rPr>
                <w:spacing w:val="-4"/>
                <w:sz w:val="16"/>
              </w:rPr>
              <w:t>0.30</w:t>
            </w:r>
          </w:p>
        </w:tc>
      </w:tr>
      <w:tr w:rsidR="00141B97" w14:paraId="6B9E5E99" w14:textId="77777777">
        <w:trPr>
          <w:trHeight w:val="270"/>
          <w:tblCellSpacing w:w="9" w:type="dxa"/>
        </w:trPr>
        <w:tc>
          <w:tcPr>
            <w:tcW w:w="5249" w:type="dxa"/>
            <w:tcBorders>
              <w:left w:val="nil"/>
            </w:tcBorders>
            <w:shd w:val="clear" w:color="auto" w:fill="BFBFBF"/>
          </w:tcPr>
          <w:p w14:paraId="19F98AA7" w14:textId="77777777" w:rsidR="00141B97" w:rsidRDefault="00911D63">
            <w:pPr>
              <w:pStyle w:val="TableParagraph"/>
              <w:spacing w:before="38"/>
              <w:ind w:left="88"/>
              <w:rPr>
                <w:sz w:val="16"/>
              </w:rPr>
            </w:pPr>
            <w:r>
              <w:rPr>
                <w:sz w:val="16"/>
              </w:rPr>
              <w:t>Reticulation</w:t>
            </w:r>
            <w:r>
              <w:rPr>
                <w:spacing w:val="-5"/>
                <w:sz w:val="16"/>
              </w:rPr>
              <w:t xml:space="preserve"> </w:t>
            </w:r>
            <w:r>
              <w:rPr>
                <w:sz w:val="16"/>
              </w:rPr>
              <w:t>‐</w:t>
            </w:r>
            <w:r>
              <w:rPr>
                <w:spacing w:val="-3"/>
                <w:sz w:val="16"/>
              </w:rPr>
              <w:t xml:space="preserve"> </w:t>
            </w:r>
            <w:r>
              <w:rPr>
                <w:spacing w:val="-4"/>
                <w:sz w:val="16"/>
              </w:rPr>
              <w:t>Sewer</w:t>
            </w:r>
          </w:p>
        </w:tc>
        <w:tc>
          <w:tcPr>
            <w:tcW w:w="1375" w:type="dxa"/>
            <w:shd w:val="clear" w:color="auto" w:fill="BFBFBF"/>
          </w:tcPr>
          <w:p w14:paraId="1548FAF1" w14:textId="77777777" w:rsidR="00141B97" w:rsidRDefault="00141B97">
            <w:pPr>
              <w:pStyle w:val="TableParagraph"/>
              <w:rPr>
                <w:rFonts w:ascii="Times New Roman"/>
                <w:sz w:val="16"/>
              </w:rPr>
            </w:pPr>
          </w:p>
        </w:tc>
        <w:tc>
          <w:tcPr>
            <w:tcW w:w="1886" w:type="dxa"/>
            <w:shd w:val="clear" w:color="auto" w:fill="BFBFBF"/>
          </w:tcPr>
          <w:p w14:paraId="2BCFB3F6" w14:textId="77777777" w:rsidR="00141B97" w:rsidRDefault="00141B97">
            <w:pPr>
              <w:pStyle w:val="TableParagraph"/>
              <w:rPr>
                <w:rFonts w:ascii="Times New Roman"/>
                <w:sz w:val="16"/>
              </w:rPr>
            </w:pPr>
          </w:p>
        </w:tc>
        <w:tc>
          <w:tcPr>
            <w:tcW w:w="1226" w:type="dxa"/>
            <w:shd w:val="clear" w:color="auto" w:fill="BFBFBF"/>
          </w:tcPr>
          <w:p w14:paraId="5A37B7FC" w14:textId="77777777" w:rsidR="00141B97" w:rsidRDefault="00141B97">
            <w:pPr>
              <w:pStyle w:val="TableParagraph"/>
              <w:rPr>
                <w:rFonts w:ascii="Times New Roman"/>
                <w:sz w:val="16"/>
              </w:rPr>
            </w:pPr>
          </w:p>
        </w:tc>
        <w:tc>
          <w:tcPr>
            <w:tcW w:w="1227" w:type="dxa"/>
            <w:shd w:val="clear" w:color="auto" w:fill="BFBFBF"/>
          </w:tcPr>
          <w:p w14:paraId="269A33A9" w14:textId="77777777" w:rsidR="00141B97" w:rsidRDefault="00141B97">
            <w:pPr>
              <w:pStyle w:val="TableParagraph"/>
              <w:rPr>
                <w:rFonts w:ascii="Times New Roman"/>
                <w:sz w:val="16"/>
              </w:rPr>
            </w:pPr>
          </w:p>
        </w:tc>
        <w:tc>
          <w:tcPr>
            <w:tcW w:w="1226" w:type="dxa"/>
            <w:shd w:val="clear" w:color="auto" w:fill="BFBFBF"/>
          </w:tcPr>
          <w:p w14:paraId="04BCB091" w14:textId="77777777" w:rsidR="00141B97" w:rsidRDefault="00141B97">
            <w:pPr>
              <w:pStyle w:val="TableParagraph"/>
              <w:rPr>
                <w:rFonts w:ascii="Times New Roman"/>
                <w:sz w:val="16"/>
              </w:rPr>
            </w:pPr>
          </w:p>
        </w:tc>
        <w:tc>
          <w:tcPr>
            <w:tcW w:w="1226" w:type="dxa"/>
            <w:shd w:val="clear" w:color="auto" w:fill="BFBFBF"/>
          </w:tcPr>
          <w:p w14:paraId="55CE59CE" w14:textId="77777777" w:rsidR="00141B97" w:rsidRDefault="00141B97">
            <w:pPr>
              <w:pStyle w:val="TableParagraph"/>
              <w:rPr>
                <w:rFonts w:ascii="Times New Roman"/>
                <w:sz w:val="16"/>
              </w:rPr>
            </w:pPr>
          </w:p>
        </w:tc>
        <w:tc>
          <w:tcPr>
            <w:tcW w:w="1225" w:type="dxa"/>
            <w:shd w:val="clear" w:color="auto" w:fill="BFBFBF"/>
          </w:tcPr>
          <w:p w14:paraId="68581757" w14:textId="77777777" w:rsidR="00141B97" w:rsidRDefault="00141B97">
            <w:pPr>
              <w:pStyle w:val="TableParagraph"/>
              <w:rPr>
                <w:rFonts w:ascii="Times New Roman"/>
                <w:sz w:val="16"/>
              </w:rPr>
            </w:pPr>
          </w:p>
        </w:tc>
        <w:tc>
          <w:tcPr>
            <w:tcW w:w="1022" w:type="dxa"/>
            <w:tcBorders>
              <w:right w:val="nil"/>
            </w:tcBorders>
            <w:shd w:val="clear" w:color="auto" w:fill="BFBFBF"/>
          </w:tcPr>
          <w:p w14:paraId="168446D7" w14:textId="77777777" w:rsidR="00141B97" w:rsidRDefault="00141B97">
            <w:pPr>
              <w:pStyle w:val="TableParagraph"/>
              <w:rPr>
                <w:rFonts w:ascii="Times New Roman"/>
                <w:sz w:val="16"/>
              </w:rPr>
            </w:pPr>
          </w:p>
        </w:tc>
      </w:tr>
      <w:tr w:rsidR="00141B97" w14:paraId="612FF95C" w14:textId="77777777">
        <w:trPr>
          <w:trHeight w:val="239"/>
          <w:tblCellSpacing w:w="9" w:type="dxa"/>
        </w:trPr>
        <w:tc>
          <w:tcPr>
            <w:tcW w:w="5249" w:type="dxa"/>
            <w:tcBorders>
              <w:left w:val="nil"/>
            </w:tcBorders>
            <w:shd w:val="clear" w:color="auto" w:fill="CCE2ED"/>
          </w:tcPr>
          <w:p w14:paraId="35A01223" w14:textId="77777777" w:rsidR="00141B97" w:rsidRDefault="00911D63">
            <w:pPr>
              <w:pStyle w:val="TableParagraph"/>
              <w:spacing w:before="22"/>
              <w:ind w:left="88"/>
              <w:rPr>
                <w:sz w:val="16"/>
              </w:rPr>
            </w:pPr>
            <w:r>
              <w:rPr>
                <w:sz w:val="16"/>
              </w:rPr>
              <w:t>MDA</w:t>
            </w:r>
            <w:r>
              <w:rPr>
                <w:spacing w:val="-3"/>
                <w:sz w:val="16"/>
              </w:rPr>
              <w:t xml:space="preserve"> </w:t>
            </w:r>
            <w:r>
              <w:rPr>
                <w:sz w:val="16"/>
              </w:rPr>
              <w:t>‐</w:t>
            </w:r>
            <w:r>
              <w:rPr>
                <w:spacing w:val="-4"/>
                <w:sz w:val="16"/>
              </w:rPr>
              <w:t xml:space="preserve"> </w:t>
            </w:r>
            <w:r>
              <w:rPr>
                <w:sz w:val="16"/>
              </w:rPr>
              <w:t>Sewer</w:t>
            </w:r>
            <w:r>
              <w:rPr>
                <w:spacing w:val="-3"/>
                <w:sz w:val="16"/>
              </w:rPr>
              <w:t xml:space="preserve"> </w:t>
            </w:r>
            <w:r>
              <w:rPr>
                <w:spacing w:val="-2"/>
                <w:sz w:val="16"/>
              </w:rPr>
              <w:t>Rehabilitation</w:t>
            </w:r>
          </w:p>
        </w:tc>
        <w:tc>
          <w:tcPr>
            <w:tcW w:w="1375" w:type="dxa"/>
            <w:shd w:val="clear" w:color="auto" w:fill="CCE2ED"/>
          </w:tcPr>
          <w:p w14:paraId="58E49A9C"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550C40F7"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52252BF4" w14:textId="77777777" w:rsidR="00141B97" w:rsidRDefault="00911D63">
            <w:pPr>
              <w:pStyle w:val="TableParagraph"/>
              <w:spacing w:before="22"/>
              <w:ind w:right="95"/>
              <w:jc w:val="right"/>
              <w:rPr>
                <w:sz w:val="16"/>
              </w:rPr>
            </w:pPr>
            <w:r>
              <w:rPr>
                <w:spacing w:val="-4"/>
                <w:sz w:val="16"/>
              </w:rPr>
              <w:t>0.65</w:t>
            </w:r>
          </w:p>
        </w:tc>
        <w:tc>
          <w:tcPr>
            <w:tcW w:w="1227" w:type="dxa"/>
            <w:shd w:val="clear" w:color="auto" w:fill="CCE2ED"/>
          </w:tcPr>
          <w:p w14:paraId="771422E1" w14:textId="77777777" w:rsidR="00141B97" w:rsidRDefault="00911D63">
            <w:pPr>
              <w:pStyle w:val="TableParagraph"/>
              <w:spacing w:before="22"/>
              <w:ind w:right="95"/>
              <w:jc w:val="right"/>
              <w:rPr>
                <w:sz w:val="16"/>
              </w:rPr>
            </w:pPr>
            <w:r>
              <w:rPr>
                <w:spacing w:val="-4"/>
                <w:sz w:val="16"/>
              </w:rPr>
              <w:t>1.40</w:t>
            </w:r>
          </w:p>
        </w:tc>
        <w:tc>
          <w:tcPr>
            <w:tcW w:w="1226" w:type="dxa"/>
            <w:shd w:val="clear" w:color="auto" w:fill="CCE2ED"/>
          </w:tcPr>
          <w:p w14:paraId="5A8AF983" w14:textId="77777777" w:rsidR="00141B97" w:rsidRDefault="00911D63">
            <w:pPr>
              <w:pStyle w:val="TableParagraph"/>
              <w:spacing w:before="22"/>
              <w:ind w:right="94"/>
              <w:jc w:val="right"/>
              <w:rPr>
                <w:sz w:val="16"/>
              </w:rPr>
            </w:pPr>
            <w:r>
              <w:rPr>
                <w:spacing w:val="-4"/>
                <w:sz w:val="16"/>
              </w:rPr>
              <w:t>0.30</w:t>
            </w:r>
          </w:p>
        </w:tc>
        <w:tc>
          <w:tcPr>
            <w:tcW w:w="1226" w:type="dxa"/>
            <w:shd w:val="clear" w:color="auto" w:fill="CCE2ED"/>
          </w:tcPr>
          <w:p w14:paraId="20930676" w14:textId="77777777" w:rsidR="00141B97" w:rsidRDefault="00911D63">
            <w:pPr>
              <w:pStyle w:val="TableParagraph"/>
              <w:spacing w:before="22"/>
              <w:ind w:right="94"/>
              <w:jc w:val="right"/>
              <w:rPr>
                <w:sz w:val="16"/>
              </w:rPr>
            </w:pPr>
            <w:r>
              <w:rPr>
                <w:spacing w:val="-4"/>
                <w:sz w:val="16"/>
              </w:rPr>
              <w:t>0.30</w:t>
            </w:r>
          </w:p>
        </w:tc>
        <w:tc>
          <w:tcPr>
            <w:tcW w:w="1225" w:type="dxa"/>
            <w:shd w:val="clear" w:color="auto" w:fill="CCE2ED"/>
          </w:tcPr>
          <w:p w14:paraId="436B979C" w14:textId="77777777" w:rsidR="00141B97" w:rsidRDefault="00911D63">
            <w:pPr>
              <w:pStyle w:val="TableParagraph"/>
              <w:spacing w:before="22"/>
              <w:ind w:right="93"/>
              <w:jc w:val="right"/>
              <w:rPr>
                <w:sz w:val="16"/>
              </w:rPr>
            </w:pPr>
            <w:r>
              <w:rPr>
                <w:spacing w:val="-4"/>
                <w:sz w:val="16"/>
              </w:rPr>
              <w:t>0.60</w:t>
            </w:r>
          </w:p>
        </w:tc>
        <w:tc>
          <w:tcPr>
            <w:tcW w:w="1022" w:type="dxa"/>
            <w:tcBorders>
              <w:right w:val="nil"/>
            </w:tcBorders>
            <w:shd w:val="clear" w:color="auto" w:fill="CCE2ED"/>
          </w:tcPr>
          <w:p w14:paraId="11A42519" w14:textId="77777777" w:rsidR="00141B97" w:rsidRDefault="00911D63">
            <w:pPr>
              <w:pStyle w:val="TableParagraph"/>
              <w:spacing w:before="22"/>
              <w:ind w:right="83"/>
              <w:jc w:val="right"/>
              <w:rPr>
                <w:sz w:val="16"/>
              </w:rPr>
            </w:pPr>
            <w:r>
              <w:rPr>
                <w:spacing w:val="-4"/>
                <w:sz w:val="16"/>
              </w:rPr>
              <w:t>3.25</w:t>
            </w:r>
          </w:p>
        </w:tc>
      </w:tr>
      <w:tr w:rsidR="00141B97" w14:paraId="0EA34A6F" w14:textId="77777777">
        <w:trPr>
          <w:trHeight w:val="240"/>
          <w:tblCellSpacing w:w="9" w:type="dxa"/>
        </w:trPr>
        <w:tc>
          <w:tcPr>
            <w:tcW w:w="5249" w:type="dxa"/>
            <w:tcBorders>
              <w:left w:val="nil"/>
            </w:tcBorders>
            <w:shd w:val="clear" w:color="auto" w:fill="CCE2ED"/>
          </w:tcPr>
          <w:p w14:paraId="087E30FE" w14:textId="77777777" w:rsidR="00141B97" w:rsidRDefault="00911D63">
            <w:pPr>
              <w:pStyle w:val="TableParagraph"/>
              <w:spacing w:before="23"/>
              <w:ind w:left="88"/>
              <w:rPr>
                <w:sz w:val="16"/>
              </w:rPr>
            </w:pPr>
            <w:r>
              <w:rPr>
                <w:sz w:val="16"/>
              </w:rPr>
              <w:t>ALL</w:t>
            </w:r>
            <w:r>
              <w:rPr>
                <w:spacing w:val="-4"/>
                <w:sz w:val="16"/>
              </w:rPr>
              <w:t xml:space="preserve"> </w:t>
            </w:r>
            <w:r>
              <w:rPr>
                <w:sz w:val="16"/>
              </w:rPr>
              <w:t>SITES</w:t>
            </w:r>
            <w:r>
              <w:rPr>
                <w:spacing w:val="30"/>
                <w:sz w:val="16"/>
              </w:rPr>
              <w:t xml:space="preserve"> </w:t>
            </w:r>
            <w:r>
              <w:rPr>
                <w:sz w:val="16"/>
              </w:rPr>
              <w:t>HSL</w:t>
            </w:r>
            <w:r>
              <w:rPr>
                <w:spacing w:val="-3"/>
                <w:sz w:val="16"/>
              </w:rPr>
              <w:t xml:space="preserve"> </w:t>
            </w:r>
            <w:r>
              <w:rPr>
                <w:spacing w:val="-2"/>
                <w:sz w:val="16"/>
              </w:rPr>
              <w:t>replacement</w:t>
            </w:r>
          </w:p>
        </w:tc>
        <w:tc>
          <w:tcPr>
            <w:tcW w:w="1375" w:type="dxa"/>
            <w:shd w:val="clear" w:color="auto" w:fill="CCE2ED"/>
          </w:tcPr>
          <w:p w14:paraId="6C2A2955" w14:textId="77777777" w:rsidR="00141B97" w:rsidRDefault="00911D63">
            <w:pPr>
              <w:pStyle w:val="TableParagraph"/>
              <w:spacing w:before="23"/>
              <w:ind w:right="96"/>
              <w:jc w:val="right"/>
              <w:rPr>
                <w:sz w:val="16"/>
              </w:rPr>
            </w:pPr>
            <w:r>
              <w:rPr>
                <w:spacing w:val="-2"/>
                <w:sz w:val="16"/>
              </w:rPr>
              <w:t>Sewerage</w:t>
            </w:r>
          </w:p>
        </w:tc>
        <w:tc>
          <w:tcPr>
            <w:tcW w:w="1886" w:type="dxa"/>
            <w:shd w:val="clear" w:color="auto" w:fill="CCE2ED"/>
          </w:tcPr>
          <w:p w14:paraId="28809066" w14:textId="77777777" w:rsidR="00141B97" w:rsidRDefault="00911D63">
            <w:pPr>
              <w:pStyle w:val="TableParagraph"/>
              <w:spacing w:before="23"/>
              <w:ind w:right="97"/>
              <w:jc w:val="right"/>
              <w:rPr>
                <w:sz w:val="16"/>
              </w:rPr>
            </w:pPr>
            <w:r>
              <w:rPr>
                <w:spacing w:val="-2"/>
                <w:sz w:val="16"/>
              </w:rPr>
              <w:t>Renewals</w:t>
            </w:r>
          </w:p>
        </w:tc>
        <w:tc>
          <w:tcPr>
            <w:tcW w:w="1226" w:type="dxa"/>
            <w:shd w:val="clear" w:color="auto" w:fill="CCE2ED"/>
          </w:tcPr>
          <w:p w14:paraId="67306FE5" w14:textId="77777777" w:rsidR="00141B97" w:rsidRDefault="00911D63">
            <w:pPr>
              <w:pStyle w:val="TableParagraph"/>
              <w:spacing w:before="23"/>
              <w:ind w:right="95"/>
              <w:jc w:val="right"/>
              <w:rPr>
                <w:sz w:val="16"/>
              </w:rPr>
            </w:pPr>
            <w:r>
              <w:rPr>
                <w:spacing w:val="-4"/>
                <w:sz w:val="16"/>
              </w:rPr>
              <w:t>0.43</w:t>
            </w:r>
          </w:p>
        </w:tc>
        <w:tc>
          <w:tcPr>
            <w:tcW w:w="1227" w:type="dxa"/>
            <w:shd w:val="clear" w:color="auto" w:fill="CCE2ED"/>
          </w:tcPr>
          <w:p w14:paraId="48419209" w14:textId="77777777" w:rsidR="00141B97" w:rsidRDefault="00911D63">
            <w:pPr>
              <w:pStyle w:val="TableParagraph"/>
              <w:spacing w:before="23"/>
              <w:ind w:right="95"/>
              <w:jc w:val="right"/>
              <w:rPr>
                <w:sz w:val="16"/>
              </w:rPr>
            </w:pPr>
            <w:r>
              <w:rPr>
                <w:spacing w:val="-4"/>
                <w:sz w:val="16"/>
              </w:rPr>
              <w:t>0.43</w:t>
            </w:r>
          </w:p>
        </w:tc>
        <w:tc>
          <w:tcPr>
            <w:tcW w:w="1226" w:type="dxa"/>
            <w:shd w:val="clear" w:color="auto" w:fill="CCE2ED"/>
          </w:tcPr>
          <w:p w14:paraId="168C480D" w14:textId="77777777" w:rsidR="00141B97" w:rsidRDefault="00911D63">
            <w:pPr>
              <w:pStyle w:val="TableParagraph"/>
              <w:spacing w:before="23"/>
              <w:ind w:right="94"/>
              <w:jc w:val="right"/>
              <w:rPr>
                <w:sz w:val="16"/>
              </w:rPr>
            </w:pPr>
            <w:r>
              <w:rPr>
                <w:spacing w:val="-4"/>
                <w:sz w:val="16"/>
              </w:rPr>
              <w:t>0.43</w:t>
            </w:r>
          </w:p>
        </w:tc>
        <w:tc>
          <w:tcPr>
            <w:tcW w:w="1226" w:type="dxa"/>
            <w:shd w:val="clear" w:color="auto" w:fill="CCE2ED"/>
          </w:tcPr>
          <w:p w14:paraId="1EB4D9F7" w14:textId="77777777" w:rsidR="00141B97" w:rsidRDefault="00911D63">
            <w:pPr>
              <w:pStyle w:val="TableParagraph"/>
              <w:spacing w:before="23"/>
              <w:ind w:right="94"/>
              <w:jc w:val="right"/>
              <w:rPr>
                <w:sz w:val="16"/>
              </w:rPr>
            </w:pPr>
            <w:r>
              <w:rPr>
                <w:spacing w:val="-4"/>
                <w:sz w:val="16"/>
              </w:rPr>
              <w:t>0.43</w:t>
            </w:r>
          </w:p>
        </w:tc>
        <w:tc>
          <w:tcPr>
            <w:tcW w:w="1225" w:type="dxa"/>
            <w:shd w:val="clear" w:color="auto" w:fill="CCE2ED"/>
          </w:tcPr>
          <w:p w14:paraId="1B1A97E6" w14:textId="77777777" w:rsidR="00141B97" w:rsidRDefault="00911D63">
            <w:pPr>
              <w:pStyle w:val="TableParagraph"/>
              <w:spacing w:before="23"/>
              <w:ind w:right="93"/>
              <w:jc w:val="right"/>
              <w:rPr>
                <w:sz w:val="16"/>
              </w:rPr>
            </w:pPr>
            <w:r>
              <w:rPr>
                <w:spacing w:val="-4"/>
                <w:sz w:val="16"/>
              </w:rPr>
              <w:t>0.43</w:t>
            </w:r>
          </w:p>
        </w:tc>
        <w:tc>
          <w:tcPr>
            <w:tcW w:w="1022" w:type="dxa"/>
            <w:tcBorders>
              <w:right w:val="nil"/>
            </w:tcBorders>
            <w:shd w:val="clear" w:color="auto" w:fill="CCE2ED"/>
          </w:tcPr>
          <w:p w14:paraId="66420AC0" w14:textId="77777777" w:rsidR="00141B97" w:rsidRDefault="00911D63">
            <w:pPr>
              <w:pStyle w:val="TableParagraph"/>
              <w:spacing w:before="23"/>
              <w:ind w:right="83"/>
              <w:jc w:val="right"/>
              <w:rPr>
                <w:sz w:val="16"/>
              </w:rPr>
            </w:pPr>
            <w:r>
              <w:rPr>
                <w:spacing w:val="-4"/>
                <w:sz w:val="16"/>
              </w:rPr>
              <w:t>2.17</w:t>
            </w:r>
          </w:p>
        </w:tc>
      </w:tr>
      <w:tr w:rsidR="00141B97" w14:paraId="492EA47F" w14:textId="77777777">
        <w:trPr>
          <w:trHeight w:val="240"/>
          <w:tblCellSpacing w:w="9" w:type="dxa"/>
        </w:trPr>
        <w:tc>
          <w:tcPr>
            <w:tcW w:w="5249" w:type="dxa"/>
            <w:tcBorders>
              <w:left w:val="nil"/>
            </w:tcBorders>
            <w:shd w:val="clear" w:color="auto" w:fill="CCE2ED"/>
          </w:tcPr>
          <w:p w14:paraId="296B4045" w14:textId="77777777" w:rsidR="00141B97" w:rsidRDefault="00911D63">
            <w:pPr>
              <w:pStyle w:val="TableParagraph"/>
              <w:spacing w:before="22"/>
              <w:ind w:left="88"/>
              <w:rPr>
                <w:sz w:val="16"/>
              </w:rPr>
            </w:pPr>
            <w:r>
              <w:rPr>
                <w:sz w:val="16"/>
              </w:rPr>
              <w:t>ALL</w:t>
            </w:r>
            <w:r>
              <w:rPr>
                <w:spacing w:val="-5"/>
                <w:sz w:val="16"/>
              </w:rPr>
              <w:t xml:space="preserve"> </w:t>
            </w:r>
            <w:r>
              <w:rPr>
                <w:sz w:val="16"/>
              </w:rPr>
              <w:t>SITES</w:t>
            </w:r>
            <w:r>
              <w:rPr>
                <w:spacing w:val="28"/>
                <w:sz w:val="16"/>
              </w:rPr>
              <w:t xml:space="preserve"> </w:t>
            </w:r>
            <w:r>
              <w:rPr>
                <w:sz w:val="16"/>
              </w:rPr>
              <w:t>Manhole</w:t>
            </w:r>
            <w:r>
              <w:rPr>
                <w:spacing w:val="-4"/>
                <w:sz w:val="16"/>
              </w:rPr>
              <w:t xml:space="preserve"> Rehab</w:t>
            </w:r>
          </w:p>
        </w:tc>
        <w:tc>
          <w:tcPr>
            <w:tcW w:w="1375" w:type="dxa"/>
            <w:shd w:val="clear" w:color="auto" w:fill="CCE2ED"/>
          </w:tcPr>
          <w:p w14:paraId="128D5689"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533D737A"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7783E183" w14:textId="77777777" w:rsidR="00141B97" w:rsidRDefault="00911D63">
            <w:pPr>
              <w:pStyle w:val="TableParagraph"/>
              <w:spacing w:before="22"/>
              <w:ind w:right="95"/>
              <w:jc w:val="right"/>
              <w:rPr>
                <w:sz w:val="16"/>
              </w:rPr>
            </w:pPr>
            <w:r>
              <w:rPr>
                <w:spacing w:val="-4"/>
                <w:sz w:val="16"/>
              </w:rPr>
              <w:t>0.14</w:t>
            </w:r>
          </w:p>
        </w:tc>
        <w:tc>
          <w:tcPr>
            <w:tcW w:w="1227" w:type="dxa"/>
            <w:shd w:val="clear" w:color="auto" w:fill="CCE2ED"/>
          </w:tcPr>
          <w:p w14:paraId="196F68C3" w14:textId="77777777" w:rsidR="00141B97" w:rsidRDefault="00911D63">
            <w:pPr>
              <w:pStyle w:val="TableParagraph"/>
              <w:spacing w:before="22"/>
              <w:ind w:right="95"/>
              <w:jc w:val="right"/>
              <w:rPr>
                <w:sz w:val="16"/>
              </w:rPr>
            </w:pPr>
            <w:r>
              <w:rPr>
                <w:spacing w:val="-4"/>
                <w:sz w:val="16"/>
              </w:rPr>
              <w:t>0.14</w:t>
            </w:r>
          </w:p>
        </w:tc>
        <w:tc>
          <w:tcPr>
            <w:tcW w:w="1226" w:type="dxa"/>
            <w:shd w:val="clear" w:color="auto" w:fill="CCE2ED"/>
          </w:tcPr>
          <w:p w14:paraId="6212B237" w14:textId="77777777" w:rsidR="00141B97" w:rsidRDefault="00911D63">
            <w:pPr>
              <w:pStyle w:val="TableParagraph"/>
              <w:spacing w:before="22"/>
              <w:ind w:right="94"/>
              <w:jc w:val="right"/>
              <w:rPr>
                <w:sz w:val="16"/>
              </w:rPr>
            </w:pPr>
            <w:r>
              <w:rPr>
                <w:spacing w:val="-4"/>
                <w:sz w:val="16"/>
              </w:rPr>
              <w:t>0.14</w:t>
            </w:r>
          </w:p>
        </w:tc>
        <w:tc>
          <w:tcPr>
            <w:tcW w:w="1226" w:type="dxa"/>
            <w:shd w:val="clear" w:color="auto" w:fill="CCE2ED"/>
          </w:tcPr>
          <w:p w14:paraId="024BDCB9" w14:textId="77777777" w:rsidR="00141B97" w:rsidRDefault="00911D63">
            <w:pPr>
              <w:pStyle w:val="TableParagraph"/>
              <w:spacing w:before="22"/>
              <w:ind w:right="94"/>
              <w:jc w:val="right"/>
              <w:rPr>
                <w:sz w:val="16"/>
              </w:rPr>
            </w:pPr>
            <w:r>
              <w:rPr>
                <w:spacing w:val="-4"/>
                <w:sz w:val="16"/>
              </w:rPr>
              <w:t>0.14</w:t>
            </w:r>
          </w:p>
        </w:tc>
        <w:tc>
          <w:tcPr>
            <w:tcW w:w="1225" w:type="dxa"/>
            <w:shd w:val="clear" w:color="auto" w:fill="CCE2ED"/>
          </w:tcPr>
          <w:p w14:paraId="335F5889" w14:textId="77777777" w:rsidR="00141B97" w:rsidRDefault="00911D63">
            <w:pPr>
              <w:pStyle w:val="TableParagraph"/>
              <w:spacing w:before="22"/>
              <w:ind w:right="93"/>
              <w:jc w:val="right"/>
              <w:rPr>
                <w:sz w:val="16"/>
              </w:rPr>
            </w:pPr>
            <w:r>
              <w:rPr>
                <w:spacing w:val="-4"/>
                <w:sz w:val="16"/>
              </w:rPr>
              <w:t>0.14</w:t>
            </w:r>
          </w:p>
        </w:tc>
        <w:tc>
          <w:tcPr>
            <w:tcW w:w="1022" w:type="dxa"/>
            <w:tcBorders>
              <w:right w:val="nil"/>
            </w:tcBorders>
            <w:shd w:val="clear" w:color="auto" w:fill="CCE2ED"/>
          </w:tcPr>
          <w:p w14:paraId="6BD44381" w14:textId="77777777" w:rsidR="00141B97" w:rsidRDefault="00911D63">
            <w:pPr>
              <w:pStyle w:val="TableParagraph"/>
              <w:spacing w:before="22"/>
              <w:ind w:right="83"/>
              <w:jc w:val="right"/>
              <w:rPr>
                <w:sz w:val="16"/>
              </w:rPr>
            </w:pPr>
            <w:r>
              <w:rPr>
                <w:spacing w:val="-4"/>
                <w:sz w:val="16"/>
              </w:rPr>
              <w:t>0.68</w:t>
            </w:r>
          </w:p>
        </w:tc>
      </w:tr>
      <w:tr w:rsidR="00141B97" w14:paraId="4ABE3C4B" w14:textId="77777777">
        <w:trPr>
          <w:trHeight w:val="254"/>
          <w:tblCellSpacing w:w="9" w:type="dxa"/>
        </w:trPr>
        <w:tc>
          <w:tcPr>
            <w:tcW w:w="5249" w:type="dxa"/>
            <w:tcBorders>
              <w:left w:val="nil"/>
            </w:tcBorders>
            <w:shd w:val="clear" w:color="auto" w:fill="CCE2ED"/>
          </w:tcPr>
          <w:p w14:paraId="1D698710" w14:textId="77777777" w:rsidR="00141B97" w:rsidRDefault="00911D63">
            <w:pPr>
              <w:pStyle w:val="TableParagraph"/>
              <w:spacing w:before="29"/>
              <w:ind w:left="88"/>
              <w:rPr>
                <w:sz w:val="16"/>
              </w:rPr>
            </w:pPr>
            <w:r>
              <w:rPr>
                <w:sz w:val="16"/>
              </w:rPr>
              <w:t>NPT</w:t>
            </w:r>
            <w:r>
              <w:rPr>
                <w:spacing w:val="-6"/>
                <w:sz w:val="16"/>
              </w:rPr>
              <w:t xml:space="preserve"> </w:t>
            </w:r>
            <w:r>
              <w:rPr>
                <w:sz w:val="16"/>
              </w:rPr>
              <w:t>‐</w:t>
            </w:r>
            <w:r>
              <w:rPr>
                <w:spacing w:val="-6"/>
                <w:sz w:val="16"/>
              </w:rPr>
              <w:t xml:space="preserve"> </w:t>
            </w:r>
            <w:r>
              <w:rPr>
                <w:sz w:val="16"/>
              </w:rPr>
              <w:t>Pressure</w:t>
            </w:r>
            <w:r>
              <w:rPr>
                <w:spacing w:val="-5"/>
                <w:sz w:val="16"/>
              </w:rPr>
              <w:t xml:space="preserve"> </w:t>
            </w:r>
            <w:r>
              <w:rPr>
                <w:sz w:val="16"/>
              </w:rPr>
              <w:t>Sewer</w:t>
            </w:r>
            <w:r>
              <w:rPr>
                <w:spacing w:val="-5"/>
                <w:sz w:val="16"/>
              </w:rPr>
              <w:t xml:space="preserve"> </w:t>
            </w:r>
            <w:r>
              <w:rPr>
                <w:sz w:val="16"/>
              </w:rPr>
              <w:t>Rising</w:t>
            </w:r>
            <w:r>
              <w:rPr>
                <w:spacing w:val="-4"/>
                <w:sz w:val="16"/>
              </w:rPr>
              <w:t xml:space="preserve"> </w:t>
            </w:r>
            <w:r>
              <w:rPr>
                <w:sz w:val="16"/>
              </w:rPr>
              <w:t>Main</w:t>
            </w:r>
            <w:r>
              <w:rPr>
                <w:spacing w:val="-6"/>
                <w:sz w:val="16"/>
              </w:rPr>
              <w:t xml:space="preserve"> </w:t>
            </w:r>
            <w:r>
              <w:rPr>
                <w:spacing w:val="-2"/>
                <w:sz w:val="16"/>
              </w:rPr>
              <w:t>Construction</w:t>
            </w:r>
          </w:p>
        </w:tc>
        <w:tc>
          <w:tcPr>
            <w:tcW w:w="1375" w:type="dxa"/>
            <w:shd w:val="clear" w:color="auto" w:fill="CCE2ED"/>
          </w:tcPr>
          <w:p w14:paraId="746F2C01" w14:textId="77777777" w:rsidR="00141B97" w:rsidRDefault="00911D63">
            <w:pPr>
              <w:pStyle w:val="TableParagraph"/>
              <w:spacing w:before="29"/>
              <w:ind w:right="96"/>
              <w:jc w:val="right"/>
              <w:rPr>
                <w:sz w:val="16"/>
              </w:rPr>
            </w:pPr>
            <w:r>
              <w:rPr>
                <w:spacing w:val="-2"/>
                <w:sz w:val="16"/>
              </w:rPr>
              <w:t>Sewerage</w:t>
            </w:r>
          </w:p>
        </w:tc>
        <w:tc>
          <w:tcPr>
            <w:tcW w:w="1886" w:type="dxa"/>
            <w:shd w:val="clear" w:color="auto" w:fill="CCE2ED"/>
          </w:tcPr>
          <w:p w14:paraId="67F80F3B" w14:textId="77777777" w:rsidR="00141B97" w:rsidRDefault="00911D63">
            <w:pPr>
              <w:pStyle w:val="TableParagraph"/>
              <w:spacing w:before="29"/>
              <w:ind w:right="97"/>
              <w:jc w:val="right"/>
              <w:rPr>
                <w:sz w:val="16"/>
              </w:rPr>
            </w:pPr>
            <w:r>
              <w:rPr>
                <w:spacing w:val="-2"/>
                <w:sz w:val="16"/>
              </w:rPr>
              <w:t>Growth</w:t>
            </w:r>
          </w:p>
        </w:tc>
        <w:tc>
          <w:tcPr>
            <w:tcW w:w="1226" w:type="dxa"/>
            <w:shd w:val="clear" w:color="auto" w:fill="CCE2ED"/>
          </w:tcPr>
          <w:p w14:paraId="326D47CA" w14:textId="77777777" w:rsidR="00141B97" w:rsidRDefault="00911D63">
            <w:pPr>
              <w:pStyle w:val="TableParagraph"/>
              <w:spacing w:before="29"/>
              <w:ind w:right="95"/>
              <w:jc w:val="right"/>
              <w:rPr>
                <w:sz w:val="16"/>
              </w:rPr>
            </w:pPr>
            <w:r>
              <w:rPr>
                <w:spacing w:val="-4"/>
                <w:sz w:val="16"/>
              </w:rPr>
              <w:t>0.37</w:t>
            </w:r>
          </w:p>
        </w:tc>
        <w:tc>
          <w:tcPr>
            <w:tcW w:w="1227" w:type="dxa"/>
            <w:shd w:val="clear" w:color="auto" w:fill="CCE2ED"/>
          </w:tcPr>
          <w:p w14:paraId="2567E5CE" w14:textId="77777777" w:rsidR="00141B97" w:rsidRDefault="00911D63">
            <w:pPr>
              <w:pStyle w:val="TableParagraph"/>
              <w:spacing w:before="29"/>
              <w:ind w:right="95"/>
              <w:jc w:val="right"/>
              <w:rPr>
                <w:sz w:val="16"/>
              </w:rPr>
            </w:pPr>
            <w:r>
              <w:rPr>
                <w:spacing w:val="-4"/>
                <w:sz w:val="16"/>
              </w:rPr>
              <w:t>0.23</w:t>
            </w:r>
          </w:p>
        </w:tc>
        <w:tc>
          <w:tcPr>
            <w:tcW w:w="1226" w:type="dxa"/>
            <w:shd w:val="clear" w:color="auto" w:fill="CCE2ED"/>
          </w:tcPr>
          <w:p w14:paraId="1DE7C603" w14:textId="77777777" w:rsidR="00141B97" w:rsidRDefault="00911D63">
            <w:pPr>
              <w:pStyle w:val="TableParagraph"/>
              <w:spacing w:before="29"/>
              <w:ind w:right="94"/>
              <w:jc w:val="right"/>
              <w:rPr>
                <w:sz w:val="16"/>
              </w:rPr>
            </w:pPr>
            <w:r>
              <w:rPr>
                <w:spacing w:val="-4"/>
                <w:sz w:val="16"/>
              </w:rPr>
              <w:t>0.00</w:t>
            </w:r>
          </w:p>
        </w:tc>
        <w:tc>
          <w:tcPr>
            <w:tcW w:w="1226" w:type="dxa"/>
            <w:shd w:val="clear" w:color="auto" w:fill="CCE2ED"/>
          </w:tcPr>
          <w:p w14:paraId="5FA42114" w14:textId="77777777" w:rsidR="00141B97" w:rsidRDefault="00911D63">
            <w:pPr>
              <w:pStyle w:val="TableParagraph"/>
              <w:spacing w:before="29"/>
              <w:ind w:right="94"/>
              <w:jc w:val="right"/>
              <w:rPr>
                <w:sz w:val="16"/>
              </w:rPr>
            </w:pPr>
            <w:r>
              <w:rPr>
                <w:spacing w:val="-4"/>
                <w:sz w:val="16"/>
              </w:rPr>
              <w:t>0.00</w:t>
            </w:r>
          </w:p>
        </w:tc>
        <w:tc>
          <w:tcPr>
            <w:tcW w:w="1225" w:type="dxa"/>
            <w:shd w:val="clear" w:color="auto" w:fill="CCE2ED"/>
          </w:tcPr>
          <w:p w14:paraId="3695DAC0" w14:textId="77777777" w:rsidR="00141B97" w:rsidRDefault="00911D63">
            <w:pPr>
              <w:pStyle w:val="TableParagraph"/>
              <w:spacing w:before="29"/>
              <w:ind w:right="93"/>
              <w:jc w:val="right"/>
              <w:rPr>
                <w:sz w:val="16"/>
              </w:rPr>
            </w:pPr>
            <w:r>
              <w:rPr>
                <w:spacing w:val="-4"/>
                <w:sz w:val="16"/>
              </w:rPr>
              <w:t>0.00</w:t>
            </w:r>
          </w:p>
        </w:tc>
        <w:tc>
          <w:tcPr>
            <w:tcW w:w="1022" w:type="dxa"/>
            <w:tcBorders>
              <w:right w:val="nil"/>
            </w:tcBorders>
            <w:shd w:val="clear" w:color="auto" w:fill="CCE2ED"/>
          </w:tcPr>
          <w:p w14:paraId="2DF5D377" w14:textId="77777777" w:rsidR="00141B97" w:rsidRDefault="00911D63">
            <w:pPr>
              <w:pStyle w:val="TableParagraph"/>
              <w:spacing w:before="29"/>
              <w:ind w:right="83"/>
              <w:jc w:val="right"/>
              <w:rPr>
                <w:sz w:val="16"/>
              </w:rPr>
            </w:pPr>
            <w:r>
              <w:rPr>
                <w:spacing w:val="-4"/>
                <w:sz w:val="16"/>
              </w:rPr>
              <w:t>0.60</w:t>
            </w:r>
          </w:p>
        </w:tc>
      </w:tr>
      <w:tr w:rsidR="00141B97" w14:paraId="423C812F" w14:textId="77777777">
        <w:trPr>
          <w:trHeight w:val="270"/>
          <w:tblCellSpacing w:w="9" w:type="dxa"/>
        </w:trPr>
        <w:tc>
          <w:tcPr>
            <w:tcW w:w="5249" w:type="dxa"/>
            <w:tcBorders>
              <w:left w:val="nil"/>
            </w:tcBorders>
            <w:shd w:val="clear" w:color="auto" w:fill="BFBFBF"/>
          </w:tcPr>
          <w:p w14:paraId="7F1BEEB2" w14:textId="77777777" w:rsidR="00141B97" w:rsidRDefault="00911D63">
            <w:pPr>
              <w:pStyle w:val="TableParagraph"/>
              <w:spacing w:before="38"/>
              <w:ind w:left="88"/>
              <w:rPr>
                <w:sz w:val="16"/>
              </w:rPr>
            </w:pPr>
            <w:r>
              <w:rPr>
                <w:sz w:val="16"/>
              </w:rPr>
              <w:t>Pumping</w:t>
            </w:r>
            <w:r>
              <w:rPr>
                <w:spacing w:val="-4"/>
                <w:sz w:val="16"/>
              </w:rPr>
              <w:t xml:space="preserve"> </w:t>
            </w:r>
            <w:r>
              <w:rPr>
                <w:sz w:val="16"/>
              </w:rPr>
              <w:t>‐</w:t>
            </w:r>
            <w:r>
              <w:rPr>
                <w:spacing w:val="-4"/>
                <w:sz w:val="16"/>
              </w:rPr>
              <w:t xml:space="preserve"> </w:t>
            </w:r>
            <w:r>
              <w:rPr>
                <w:spacing w:val="-2"/>
                <w:sz w:val="16"/>
              </w:rPr>
              <w:t>Water</w:t>
            </w:r>
          </w:p>
        </w:tc>
        <w:tc>
          <w:tcPr>
            <w:tcW w:w="1375" w:type="dxa"/>
            <w:shd w:val="clear" w:color="auto" w:fill="BFBFBF"/>
          </w:tcPr>
          <w:p w14:paraId="6DA1209E" w14:textId="77777777" w:rsidR="00141B97" w:rsidRDefault="00141B97">
            <w:pPr>
              <w:pStyle w:val="TableParagraph"/>
              <w:rPr>
                <w:rFonts w:ascii="Times New Roman"/>
                <w:sz w:val="16"/>
              </w:rPr>
            </w:pPr>
          </w:p>
        </w:tc>
        <w:tc>
          <w:tcPr>
            <w:tcW w:w="1886" w:type="dxa"/>
            <w:shd w:val="clear" w:color="auto" w:fill="BFBFBF"/>
          </w:tcPr>
          <w:p w14:paraId="596D3446" w14:textId="77777777" w:rsidR="00141B97" w:rsidRDefault="00141B97">
            <w:pPr>
              <w:pStyle w:val="TableParagraph"/>
              <w:rPr>
                <w:rFonts w:ascii="Times New Roman"/>
                <w:sz w:val="16"/>
              </w:rPr>
            </w:pPr>
          </w:p>
        </w:tc>
        <w:tc>
          <w:tcPr>
            <w:tcW w:w="1226" w:type="dxa"/>
            <w:shd w:val="clear" w:color="auto" w:fill="BFBFBF"/>
          </w:tcPr>
          <w:p w14:paraId="4D7B4A67" w14:textId="77777777" w:rsidR="00141B97" w:rsidRDefault="00141B97">
            <w:pPr>
              <w:pStyle w:val="TableParagraph"/>
              <w:rPr>
                <w:rFonts w:ascii="Times New Roman"/>
                <w:sz w:val="16"/>
              </w:rPr>
            </w:pPr>
          </w:p>
        </w:tc>
        <w:tc>
          <w:tcPr>
            <w:tcW w:w="1227" w:type="dxa"/>
            <w:shd w:val="clear" w:color="auto" w:fill="BFBFBF"/>
          </w:tcPr>
          <w:p w14:paraId="0DE23D9E" w14:textId="77777777" w:rsidR="00141B97" w:rsidRDefault="00141B97">
            <w:pPr>
              <w:pStyle w:val="TableParagraph"/>
              <w:rPr>
                <w:rFonts w:ascii="Times New Roman"/>
                <w:sz w:val="16"/>
              </w:rPr>
            </w:pPr>
          </w:p>
        </w:tc>
        <w:tc>
          <w:tcPr>
            <w:tcW w:w="1226" w:type="dxa"/>
            <w:shd w:val="clear" w:color="auto" w:fill="BFBFBF"/>
          </w:tcPr>
          <w:p w14:paraId="3B6294F7" w14:textId="77777777" w:rsidR="00141B97" w:rsidRDefault="00141B97">
            <w:pPr>
              <w:pStyle w:val="TableParagraph"/>
              <w:rPr>
                <w:rFonts w:ascii="Times New Roman"/>
                <w:sz w:val="16"/>
              </w:rPr>
            </w:pPr>
          </w:p>
        </w:tc>
        <w:tc>
          <w:tcPr>
            <w:tcW w:w="1226" w:type="dxa"/>
            <w:shd w:val="clear" w:color="auto" w:fill="BFBFBF"/>
          </w:tcPr>
          <w:p w14:paraId="4FF994E8" w14:textId="77777777" w:rsidR="00141B97" w:rsidRDefault="00141B97">
            <w:pPr>
              <w:pStyle w:val="TableParagraph"/>
              <w:rPr>
                <w:rFonts w:ascii="Times New Roman"/>
                <w:sz w:val="16"/>
              </w:rPr>
            </w:pPr>
          </w:p>
        </w:tc>
        <w:tc>
          <w:tcPr>
            <w:tcW w:w="1225" w:type="dxa"/>
            <w:shd w:val="clear" w:color="auto" w:fill="BFBFBF"/>
          </w:tcPr>
          <w:p w14:paraId="34D26591" w14:textId="77777777" w:rsidR="00141B97" w:rsidRDefault="00141B97">
            <w:pPr>
              <w:pStyle w:val="TableParagraph"/>
              <w:rPr>
                <w:rFonts w:ascii="Times New Roman"/>
                <w:sz w:val="16"/>
              </w:rPr>
            </w:pPr>
          </w:p>
        </w:tc>
        <w:tc>
          <w:tcPr>
            <w:tcW w:w="1022" w:type="dxa"/>
            <w:tcBorders>
              <w:right w:val="nil"/>
            </w:tcBorders>
            <w:shd w:val="clear" w:color="auto" w:fill="BFBFBF"/>
          </w:tcPr>
          <w:p w14:paraId="068F4AFD" w14:textId="77777777" w:rsidR="00141B97" w:rsidRDefault="00141B97">
            <w:pPr>
              <w:pStyle w:val="TableParagraph"/>
              <w:rPr>
                <w:rFonts w:ascii="Times New Roman"/>
                <w:sz w:val="16"/>
              </w:rPr>
            </w:pPr>
          </w:p>
        </w:tc>
      </w:tr>
      <w:tr w:rsidR="00141B97" w14:paraId="08F6DB98" w14:textId="77777777">
        <w:trPr>
          <w:trHeight w:val="239"/>
          <w:tblCellSpacing w:w="9" w:type="dxa"/>
        </w:trPr>
        <w:tc>
          <w:tcPr>
            <w:tcW w:w="5249" w:type="dxa"/>
            <w:tcBorders>
              <w:left w:val="nil"/>
            </w:tcBorders>
            <w:shd w:val="clear" w:color="auto" w:fill="CCE2ED"/>
          </w:tcPr>
          <w:p w14:paraId="2634C789" w14:textId="77777777" w:rsidR="00141B97" w:rsidRDefault="00911D63">
            <w:pPr>
              <w:pStyle w:val="TableParagraph"/>
              <w:spacing w:before="22"/>
              <w:ind w:left="88"/>
              <w:rPr>
                <w:sz w:val="16"/>
              </w:rPr>
            </w:pPr>
            <w:r>
              <w:rPr>
                <w:sz w:val="16"/>
              </w:rPr>
              <w:t>MBN</w:t>
            </w:r>
            <w:r>
              <w:rPr>
                <w:spacing w:val="-7"/>
                <w:sz w:val="16"/>
              </w:rPr>
              <w:t xml:space="preserve"> </w:t>
            </w:r>
            <w:r>
              <w:rPr>
                <w:sz w:val="16"/>
              </w:rPr>
              <w:t>VSD,</w:t>
            </w:r>
            <w:r>
              <w:rPr>
                <w:spacing w:val="-4"/>
                <w:sz w:val="16"/>
              </w:rPr>
              <w:t xml:space="preserve"> </w:t>
            </w:r>
            <w:r>
              <w:rPr>
                <w:sz w:val="16"/>
              </w:rPr>
              <w:t>PLC</w:t>
            </w:r>
            <w:r>
              <w:rPr>
                <w:spacing w:val="-5"/>
                <w:sz w:val="16"/>
              </w:rPr>
              <w:t xml:space="preserve"> </w:t>
            </w:r>
            <w:r>
              <w:rPr>
                <w:sz w:val="16"/>
              </w:rPr>
              <w:t>and</w:t>
            </w:r>
            <w:r>
              <w:rPr>
                <w:spacing w:val="-4"/>
                <w:sz w:val="16"/>
              </w:rPr>
              <w:t xml:space="preserve"> </w:t>
            </w:r>
            <w:r>
              <w:rPr>
                <w:sz w:val="16"/>
              </w:rPr>
              <w:t>the</w:t>
            </w:r>
            <w:r>
              <w:rPr>
                <w:spacing w:val="-4"/>
                <w:sz w:val="16"/>
              </w:rPr>
              <w:t xml:space="preserve"> </w:t>
            </w:r>
            <w:r>
              <w:rPr>
                <w:sz w:val="16"/>
              </w:rPr>
              <w:t>switchboards</w:t>
            </w:r>
            <w:r>
              <w:rPr>
                <w:spacing w:val="-4"/>
                <w:sz w:val="16"/>
              </w:rPr>
              <w:t xml:space="preserve"> </w:t>
            </w:r>
            <w:r>
              <w:rPr>
                <w:sz w:val="16"/>
              </w:rPr>
              <w:t>upgrade</w:t>
            </w:r>
            <w:r>
              <w:rPr>
                <w:spacing w:val="-5"/>
                <w:sz w:val="16"/>
              </w:rPr>
              <w:t xml:space="preserve"> </w:t>
            </w:r>
            <w:r>
              <w:rPr>
                <w:sz w:val="16"/>
              </w:rPr>
              <w:t>for</w:t>
            </w:r>
            <w:r>
              <w:rPr>
                <w:spacing w:val="-3"/>
                <w:sz w:val="16"/>
              </w:rPr>
              <w:t xml:space="preserve"> </w:t>
            </w:r>
            <w:r>
              <w:rPr>
                <w:sz w:val="16"/>
              </w:rPr>
              <w:t>the</w:t>
            </w:r>
            <w:r>
              <w:rPr>
                <w:spacing w:val="28"/>
                <w:sz w:val="16"/>
              </w:rPr>
              <w:t xml:space="preserve"> </w:t>
            </w:r>
            <w:r>
              <w:rPr>
                <w:spacing w:val="-4"/>
                <w:sz w:val="16"/>
              </w:rPr>
              <w:t>TWPS</w:t>
            </w:r>
          </w:p>
        </w:tc>
        <w:tc>
          <w:tcPr>
            <w:tcW w:w="1375" w:type="dxa"/>
            <w:shd w:val="clear" w:color="auto" w:fill="CCE2ED"/>
          </w:tcPr>
          <w:p w14:paraId="51D795FB"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56A19566"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0FED5462" w14:textId="77777777" w:rsidR="00141B97" w:rsidRDefault="00911D63">
            <w:pPr>
              <w:pStyle w:val="TableParagraph"/>
              <w:spacing w:before="22"/>
              <w:ind w:right="95"/>
              <w:jc w:val="right"/>
              <w:rPr>
                <w:sz w:val="16"/>
              </w:rPr>
            </w:pPr>
            <w:r>
              <w:rPr>
                <w:spacing w:val="-4"/>
                <w:sz w:val="16"/>
              </w:rPr>
              <w:t>0.30</w:t>
            </w:r>
          </w:p>
        </w:tc>
        <w:tc>
          <w:tcPr>
            <w:tcW w:w="1227" w:type="dxa"/>
            <w:shd w:val="clear" w:color="auto" w:fill="CCE2ED"/>
          </w:tcPr>
          <w:p w14:paraId="1ECADD6A" w14:textId="77777777" w:rsidR="00141B97" w:rsidRDefault="00911D63">
            <w:pPr>
              <w:pStyle w:val="TableParagraph"/>
              <w:spacing w:before="22"/>
              <w:ind w:right="95"/>
              <w:jc w:val="right"/>
              <w:rPr>
                <w:sz w:val="16"/>
              </w:rPr>
            </w:pPr>
            <w:r>
              <w:rPr>
                <w:spacing w:val="-4"/>
                <w:sz w:val="16"/>
              </w:rPr>
              <w:t>0.75</w:t>
            </w:r>
          </w:p>
        </w:tc>
        <w:tc>
          <w:tcPr>
            <w:tcW w:w="1226" w:type="dxa"/>
            <w:shd w:val="clear" w:color="auto" w:fill="CCE2ED"/>
          </w:tcPr>
          <w:p w14:paraId="679CEC9E"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0A2E63AF"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30B2F4D6"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5C677B6D" w14:textId="77777777" w:rsidR="00141B97" w:rsidRDefault="00911D63">
            <w:pPr>
              <w:pStyle w:val="TableParagraph"/>
              <w:spacing w:before="22"/>
              <w:ind w:right="83"/>
              <w:jc w:val="right"/>
              <w:rPr>
                <w:sz w:val="16"/>
              </w:rPr>
            </w:pPr>
            <w:r>
              <w:rPr>
                <w:spacing w:val="-4"/>
                <w:sz w:val="16"/>
              </w:rPr>
              <w:t>1.05</w:t>
            </w:r>
          </w:p>
        </w:tc>
      </w:tr>
      <w:tr w:rsidR="00141B97" w14:paraId="501CFDFC" w14:textId="77777777">
        <w:trPr>
          <w:trHeight w:val="240"/>
          <w:tblCellSpacing w:w="9" w:type="dxa"/>
        </w:trPr>
        <w:tc>
          <w:tcPr>
            <w:tcW w:w="5249" w:type="dxa"/>
            <w:tcBorders>
              <w:left w:val="nil"/>
            </w:tcBorders>
            <w:shd w:val="clear" w:color="auto" w:fill="CCE2ED"/>
          </w:tcPr>
          <w:p w14:paraId="01530547" w14:textId="77777777" w:rsidR="00141B97" w:rsidRDefault="00911D63">
            <w:pPr>
              <w:pStyle w:val="TableParagraph"/>
              <w:spacing w:before="22"/>
              <w:ind w:left="88"/>
              <w:rPr>
                <w:sz w:val="16"/>
              </w:rPr>
            </w:pPr>
            <w:r>
              <w:rPr>
                <w:sz w:val="16"/>
              </w:rPr>
              <w:t>ROB</w:t>
            </w:r>
            <w:r>
              <w:rPr>
                <w:spacing w:val="-5"/>
                <w:sz w:val="16"/>
              </w:rPr>
              <w:t xml:space="preserve"> </w:t>
            </w:r>
            <w:r>
              <w:rPr>
                <w:sz w:val="16"/>
              </w:rPr>
              <w:t>DN300</w:t>
            </w:r>
            <w:r>
              <w:rPr>
                <w:spacing w:val="-4"/>
                <w:sz w:val="16"/>
              </w:rPr>
              <w:t xml:space="preserve"> </w:t>
            </w:r>
            <w:r>
              <w:rPr>
                <w:sz w:val="16"/>
              </w:rPr>
              <w:t>Raw</w:t>
            </w:r>
            <w:r>
              <w:rPr>
                <w:spacing w:val="-4"/>
                <w:sz w:val="16"/>
              </w:rPr>
              <w:t xml:space="preserve"> </w:t>
            </w:r>
            <w:r>
              <w:rPr>
                <w:sz w:val="16"/>
              </w:rPr>
              <w:t>water</w:t>
            </w:r>
            <w:r>
              <w:rPr>
                <w:spacing w:val="-5"/>
                <w:sz w:val="16"/>
              </w:rPr>
              <w:t xml:space="preserve"> </w:t>
            </w:r>
            <w:r>
              <w:rPr>
                <w:sz w:val="16"/>
              </w:rPr>
              <w:t>line</w:t>
            </w:r>
            <w:r>
              <w:rPr>
                <w:spacing w:val="-4"/>
                <w:sz w:val="16"/>
              </w:rPr>
              <w:t xml:space="preserve"> </w:t>
            </w:r>
            <w:r>
              <w:rPr>
                <w:spacing w:val="-2"/>
                <w:sz w:val="16"/>
              </w:rPr>
              <w:t>upgrade</w:t>
            </w:r>
          </w:p>
        </w:tc>
        <w:tc>
          <w:tcPr>
            <w:tcW w:w="1375" w:type="dxa"/>
            <w:shd w:val="clear" w:color="auto" w:fill="CCE2ED"/>
          </w:tcPr>
          <w:p w14:paraId="68FE2AF7"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79C32C15"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4F7F0B94" w14:textId="77777777" w:rsidR="00141B97" w:rsidRDefault="00911D63">
            <w:pPr>
              <w:pStyle w:val="TableParagraph"/>
              <w:spacing w:before="22"/>
              <w:ind w:right="95"/>
              <w:jc w:val="right"/>
              <w:rPr>
                <w:sz w:val="16"/>
              </w:rPr>
            </w:pPr>
            <w:r>
              <w:rPr>
                <w:spacing w:val="-4"/>
                <w:sz w:val="16"/>
              </w:rPr>
              <w:t>0.23</w:t>
            </w:r>
          </w:p>
        </w:tc>
        <w:tc>
          <w:tcPr>
            <w:tcW w:w="1227" w:type="dxa"/>
            <w:shd w:val="clear" w:color="auto" w:fill="CCE2ED"/>
          </w:tcPr>
          <w:p w14:paraId="57EC009C" w14:textId="77777777" w:rsidR="00141B97" w:rsidRDefault="00911D63">
            <w:pPr>
              <w:pStyle w:val="TableParagraph"/>
              <w:spacing w:before="22"/>
              <w:ind w:right="95"/>
              <w:jc w:val="right"/>
              <w:rPr>
                <w:sz w:val="16"/>
              </w:rPr>
            </w:pPr>
            <w:r>
              <w:rPr>
                <w:spacing w:val="-4"/>
                <w:sz w:val="16"/>
              </w:rPr>
              <w:t>0.68</w:t>
            </w:r>
          </w:p>
        </w:tc>
        <w:tc>
          <w:tcPr>
            <w:tcW w:w="1226" w:type="dxa"/>
            <w:shd w:val="clear" w:color="auto" w:fill="CCE2ED"/>
          </w:tcPr>
          <w:p w14:paraId="13E04454"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1DAA1453"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20DA6469"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754AC2B8" w14:textId="77777777" w:rsidR="00141B97" w:rsidRDefault="00911D63">
            <w:pPr>
              <w:pStyle w:val="TableParagraph"/>
              <w:spacing w:before="22"/>
              <w:ind w:right="83"/>
              <w:jc w:val="right"/>
              <w:rPr>
                <w:sz w:val="16"/>
              </w:rPr>
            </w:pPr>
            <w:r>
              <w:rPr>
                <w:spacing w:val="-4"/>
                <w:sz w:val="16"/>
              </w:rPr>
              <w:t>0.90</w:t>
            </w:r>
          </w:p>
        </w:tc>
      </w:tr>
      <w:tr w:rsidR="00141B97" w14:paraId="6E2899E6" w14:textId="77777777">
        <w:trPr>
          <w:trHeight w:val="240"/>
          <w:tblCellSpacing w:w="9" w:type="dxa"/>
        </w:trPr>
        <w:tc>
          <w:tcPr>
            <w:tcW w:w="5249" w:type="dxa"/>
            <w:tcBorders>
              <w:left w:val="nil"/>
            </w:tcBorders>
            <w:shd w:val="clear" w:color="auto" w:fill="CCE2ED"/>
          </w:tcPr>
          <w:p w14:paraId="0348912E" w14:textId="77777777" w:rsidR="00141B97" w:rsidRDefault="00911D63">
            <w:pPr>
              <w:pStyle w:val="TableParagraph"/>
              <w:spacing w:before="22"/>
              <w:ind w:left="88"/>
              <w:rPr>
                <w:sz w:val="16"/>
              </w:rPr>
            </w:pPr>
            <w:r>
              <w:rPr>
                <w:sz w:val="16"/>
              </w:rPr>
              <w:t>LB</w:t>
            </w:r>
            <w:r>
              <w:rPr>
                <w:spacing w:val="-5"/>
                <w:sz w:val="16"/>
              </w:rPr>
              <w:t xml:space="preserve"> </w:t>
            </w:r>
            <w:r>
              <w:rPr>
                <w:sz w:val="16"/>
              </w:rPr>
              <w:t>‐</w:t>
            </w:r>
            <w:r>
              <w:rPr>
                <w:spacing w:val="-5"/>
                <w:sz w:val="16"/>
              </w:rPr>
              <w:t xml:space="preserve"> </w:t>
            </w:r>
            <w:r>
              <w:rPr>
                <w:sz w:val="16"/>
              </w:rPr>
              <w:t>LAKE</w:t>
            </w:r>
            <w:r>
              <w:rPr>
                <w:spacing w:val="-5"/>
                <w:sz w:val="16"/>
              </w:rPr>
              <w:t xml:space="preserve"> </w:t>
            </w:r>
            <w:r>
              <w:rPr>
                <w:sz w:val="16"/>
              </w:rPr>
              <w:t>BOGA</w:t>
            </w:r>
            <w:r>
              <w:rPr>
                <w:spacing w:val="-4"/>
                <w:sz w:val="16"/>
              </w:rPr>
              <w:t xml:space="preserve"> </w:t>
            </w:r>
            <w:r>
              <w:rPr>
                <w:sz w:val="16"/>
              </w:rPr>
              <w:t>RE‐LIFT</w:t>
            </w:r>
            <w:r>
              <w:rPr>
                <w:spacing w:val="-5"/>
                <w:sz w:val="16"/>
              </w:rPr>
              <w:t xml:space="preserve"> </w:t>
            </w:r>
            <w:r>
              <w:rPr>
                <w:sz w:val="16"/>
              </w:rPr>
              <w:t>PUMP</w:t>
            </w:r>
            <w:r>
              <w:rPr>
                <w:spacing w:val="-3"/>
                <w:sz w:val="16"/>
              </w:rPr>
              <w:t xml:space="preserve"> </w:t>
            </w:r>
            <w:r>
              <w:rPr>
                <w:sz w:val="16"/>
              </w:rPr>
              <w:t>STATION</w:t>
            </w:r>
            <w:r>
              <w:rPr>
                <w:spacing w:val="-5"/>
                <w:sz w:val="16"/>
              </w:rPr>
              <w:t xml:space="preserve"> </w:t>
            </w:r>
            <w:r>
              <w:rPr>
                <w:sz w:val="16"/>
              </w:rPr>
              <w:t>‐</w:t>
            </w:r>
            <w:r>
              <w:rPr>
                <w:spacing w:val="-5"/>
                <w:sz w:val="16"/>
              </w:rPr>
              <w:t xml:space="preserve"> </w:t>
            </w:r>
            <w:r>
              <w:rPr>
                <w:sz w:val="16"/>
              </w:rPr>
              <w:t>Control</w:t>
            </w:r>
            <w:r>
              <w:rPr>
                <w:spacing w:val="-4"/>
                <w:sz w:val="16"/>
              </w:rPr>
              <w:t xml:space="preserve"> </w:t>
            </w:r>
            <w:r>
              <w:rPr>
                <w:sz w:val="16"/>
              </w:rPr>
              <w:t>System</w:t>
            </w:r>
            <w:r>
              <w:rPr>
                <w:spacing w:val="-5"/>
                <w:sz w:val="16"/>
              </w:rPr>
              <w:t xml:space="preserve"> </w:t>
            </w:r>
            <w:r>
              <w:rPr>
                <w:spacing w:val="-2"/>
                <w:sz w:val="16"/>
              </w:rPr>
              <w:t>Renewal</w:t>
            </w:r>
          </w:p>
        </w:tc>
        <w:tc>
          <w:tcPr>
            <w:tcW w:w="1375" w:type="dxa"/>
            <w:shd w:val="clear" w:color="auto" w:fill="CCE2ED"/>
          </w:tcPr>
          <w:p w14:paraId="11F64304"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2F75B7DD"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521B67BC" w14:textId="77777777" w:rsidR="00141B97" w:rsidRDefault="00911D63">
            <w:pPr>
              <w:pStyle w:val="TableParagraph"/>
              <w:spacing w:before="22"/>
              <w:ind w:right="95"/>
              <w:jc w:val="right"/>
              <w:rPr>
                <w:sz w:val="16"/>
              </w:rPr>
            </w:pPr>
            <w:r>
              <w:rPr>
                <w:spacing w:val="-4"/>
                <w:sz w:val="16"/>
              </w:rPr>
              <w:t>0.13</w:t>
            </w:r>
          </w:p>
        </w:tc>
        <w:tc>
          <w:tcPr>
            <w:tcW w:w="1227" w:type="dxa"/>
            <w:shd w:val="clear" w:color="auto" w:fill="CCE2ED"/>
          </w:tcPr>
          <w:p w14:paraId="006777F5" w14:textId="77777777" w:rsidR="00141B97" w:rsidRDefault="00911D63">
            <w:pPr>
              <w:pStyle w:val="TableParagraph"/>
              <w:spacing w:before="22"/>
              <w:ind w:right="95"/>
              <w:jc w:val="right"/>
              <w:rPr>
                <w:sz w:val="16"/>
              </w:rPr>
            </w:pPr>
            <w:r>
              <w:rPr>
                <w:spacing w:val="-4"/>
                <w:sz w:val="16"/>
              </w:rPr>
              <w:t>0.13</w:t>
            </w:r>
          </w:p>
        </w:tc>
        <w:tc>
          <w:tcPr>
            <w:tcW w:w="1226" w:type="dxa"/>
            <w:shd w:val="clear" w:color="auto" w:fill="CCE2ED"/>
          </w:tcPr>
          <w:p w14:paraId="1C71B19F"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50B7DC68"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388F5A1F"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6E813704" w14:textId="77777777" w:rsidR="00141B97" w:rsidRDefault="00911D63">
            <w:pPr>
              <w:pStyle w:val="TableParagraph"/>
              <w:spacing w:before="22"/>
              <w:ind w:right="83"/>
              <w:jc w:val="right"/>
              <w:rPr>
                <w:sz w:val="16"/>
              </w:rPr>
            </w:pPr>
            <w:r>
              <w:rPr>
                <w:spacing w:val="-4"/>
                <w:sz w:val="16"/>
              </w:rPr>
              <w:t>0.27</w:t>
            </w:r>
          </w:p>
        </w:tc>
      </w:tr>
      <w:tr w:rsidR="00141B97" w14:paraId="1713713F" w14:textId="77777777">
        <w:trPr>
          <w:trHeight w:val="479"/>
          <w:tblCellSpacing w:w="9" w:type="dxa"/>
        </w:trPr>
        <w:tc>
          <w:tcPr>
            <w:tcW w:w="5249" w:type="dxa"/>
            <w:tcBorders>
              <w:left w:val="nil"/>
            </w:tcBorders>
            <w:shd w:val="clear" w:color="auto" w:fill="CCE2ED"/>
          </w:tcPr>
          <w:p w14:paraId="26A4F9BA" w14:textId="77777777" w:rsidR="00141B97" w:rsidRDefault="00911D63">
            <w:pPr>
              <w:pStyle w:val="TableParagraph"/>
              <w:spacing w:before="142"/>
              <w:ind w:left="88"/>
              <w:rPr>
                <w:sz w:val="16"/>
              </w:rPr>
            </w:pPr>
            <w:r>
              <w:rPr>
                <w:sz w:val="16"/>
              </w:rPr>
              <w:t>NYH</w:t>
            </w:r>
            <w:r>
              <w:rPr>
                <w:spacing w:val="-6"/>
                <w:sz w:val="16"/>
              </w:rPr>
              <w:t xml:space="preserve"> </w:t>
            </w:r>
            <w:r>
              <w:rPr>
                <w:sz w:val="16"/>
              </w:rPr>
              <w:t>‐</w:t>
            </w:r>
            <w:r>
              <w:rPr>
                <w:spacing w:val="-6"/>
                <w:sz w:val="16"/>
              </w:rPr>
              <w:t xml:space="preserve"> </w:t>
            </w:r>
            <w:r>
              <w:rPr>
                <w:sz w:val="16"/>
              </w:rPr>
              <w:t>Retic</w:t>
            </w:r>
            <w:r>
              <w:rPr>
                <w:spacing w:val="-4"/>
                <w:sz w:val="16"/>
              </w:rPr>
              <w:t xml:space="preserve"> </w:t>
            </w:r>
            <w:r>
              <w:rPr>
                <w:sz w:val="16"/>
              </w:rPr>
              <w:t>pressure</w:t>
            </w:r>
            <w:r>
              <w:rPr>
                <w:spacing w:val="-6"/>
                <w:sz w:val="16"/>
              </w:rPr>
              <w:t xml:space="preserve"> </w:t>
            </w:r>
            <w:r>
              <w:rPr>
                <w:sz w:val="16"/>
              </w:rPr>
              <w:t>increase</w:t>
            </w:r>
            <w:r>
              <w:rPr>
                <w:spacing w:val="-5"/>
                <w:sz w:val="16"/>
              </w:rPr>
              <w:t xml:space="preserve"> </w:t>
            </w:r>
            <w:r>
              <w:rPr>
                <w:sz w:val="16"/>
              </w:rPr>
              <w:t>with</w:t>
            </w:r>
            <w:r>
              <w:rPr>
                <w:spacing w:val="-5"/>
                <w:sz w:val="16"/>
              </w:rPr>
              <w:t xml:space="preserve"> </w:t>
            </w:r>
            <w:r>
              <w:rPr>
                <w:sz w:val="16"/>
              </w:rPr>
              <w:t>booster</w:t>
            </w:r>
            <w:r>
              <w:rPr>
                <w:spacing w:val="-6"/>
                <w:sz w:val="16"/>
              </w:rPr>
              <w:t xml:space="preserve"> </w:t>
            </w:r>
            <w:r>
              <w:rPr>
                <w:spacing w:val="-4"/>
                <w:sz w:val="16"/>
              </w:rPr>
              <w:t>pumps</w:t>
            </w:r>
          </w:p>
        </w:tc>
        <w:tc>
          <w:tcPr>
            <w:tcW w:w="1375" w:type="dxa"/>
            <w:shd w:val="clear" w:color="auto" w:fill="CCE2ED"/>
          </w:tcPr>
          <w:p w14:paraId="220D2113"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6CBA9AD5"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4DD2E1C7"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2E2C67A3" w14:textId="77777777" w:rsidR="00141B97" w:rsidRDefault="00911D63">
            <w:pPr>
              <w:pStyle w:val="TableParagraph"/>
              <w:spacing w:before="142"/>
              <w:ind w:right="95"/>
              <w:jc w:val="right"/>
              <w:rPr>
                <w:sz w:val="16"/>
              </w:rPr>
            </w:pPr>
            <w:r>
              <w:rPr>
                <w:spacing w:val="-4"/>
                <w:sz w:val="16"/>
              </w:rPr>
              <w:t>0.15</w:t>
            </w:r>
          </w:p>
        </w:tc>
        <w:tc>
          <w:tcPr>
            <w:tcW w:w="1226" w:type="dxa"/>
            <w:shd w:val="clear" w:color="auto" w:fill="CCE2ED"/>
          </w:tcPr>
          <w:p w14:paraId="7890919B" w14:textId="77777777" w:rsidR="00141B97" w:rsidRDefault="00911D63">
            <w:pPr>
              <w:pStyle w:val="TableParagraph"/>
              <w:spacing w:before="142"/>
              <w:ind w:right="94"/>
              <w:jc w:val="right"/>
              <w:rPr>
                <w:sz w:val="16"/>
              </w:rPr>
            </w:pPr>
            <w:r>
              <w:rPr>
                <w:spacing w:val="-4"/>
                <w:sz w:val="16"/>
              </w:rPr>
              <w:t>0.20</w:t>
            </w:r>
          </w:p>
        </w:tc>
        <w:tc>
          <w:tcPr>
            <w:tcW w:w="1226" w:type="dxa"/>
            <w:shd w:val="clear" w:color="auto" w:fill="CCE2ED"/>
          </w:tcPr>
          <w:p w14:paraId="5D2EECC1"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6C3D9548"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1194DDF3" w14:textId="77777777" w:rsidR="00141B97" w:rsidRDefault="00911D63">
            <w:pPr>
              <w:pStyle w:val="TableParagraph"/>
              <w:spacing w:before="142"/>
              <w:ind w:right="83"/>
              <w:jc w:val="right"/>
              <w:rPr>
                <w:sz w:val="16"/>
              </w:rPr>
            </w:pPr>
            <w:r>
              <w:rPr>
                <w:spacing w:val="-4"/>
                <w:sz w:val="16"/>
              </w:rPr>
              <w:t>0.35</w:t>
            </w:r>
          </w:p>
        </w:tc>
      </w:tr>
      <w:tr w:rsidR="00141B97" w14:paraId="16968D66" w14:textId="77777777">
        <w:trPr>
          <w:trHeight w:val="494"/>
          <w:tblCellSpacing w:w="9" w:type="dxa"/>
        </w:trPr>
        <w:tc>
          <w:tcPr>
            <w:tcW w:w="5249" w:type="dxa"/>
            <w:tcBorders>
              <w:left w:val="nil"/>
            </w:tcBorders>
            <w:shd w:val="clear" w:color="auto" w:fill="CCE2ED"/>
          </w:tcPr>
          <w:p w14:paraId="5FEC39AE" w14:textId="77777777" w:rsidR="00141B97" w:rsidRDefault="00141B97">
            <w:pPr>
              <w:pStyle w:val="TableParagraph"/>
              <w:spacing w:before="4"/>
              <w:rPr>
                <w:sz w:val="12"/>
              </w:rPr>
            </w:pPr>
          </w:p>
          <w:p w14:paraId="046DA01B" w14:textId="77777777" w:rsidR="00141B97" w:rsidRDefault="00911D63">
            <w:pPr>
              <w:pStyle w:val="TableParagraph"/>
              <w:ind w:left="88"/>
              <w:rPr>
                <w:sz w:val="16"/>
              </w:rPr>
            </w:pPr>
            <w:r>
              <w:rPr>
                <w:sz w:val="16"/>
              </w:rPr>
              <w:t>SH</w:t>
            </w:r>
            <w:r>
              <w:rPr>
                <w:spacing w:val="-6"/>
                <w:sz w:val="16"/>
              </w:rPr>
              <w:t xml:space="preserve"> </w:t>
            </w:r>
            <w:r>
              <w:rPr>
                <w:sz w:val="16"/>
              </w:rPr>
              <w:t>WOORINEN</w:t>
            </w:r>
            <w:r>
              <w:rPr>
                <w:spacing w:val="-4"/>
                <w:sz w:val="16"/>
              </w:rPr>
              <w:t xml:space="preserve"> </w:t>
            </w:r>
            <w:r>
              <w:rPr>
                <w:sz w:val="16"/>
              </w:rPr>
              <w:t>ELEVATED</w:t>
            </w:r>
            <w:r>
              <w:rPr>
                <w:spacing w:val="-5"/>
                <w:sz w:val="16"/>
              </w:rPr>
              <w:t xml:space="preserve"> </w:t>
            </w:r>
            <w:r>
              <w:rPr>
                <w:sz w:val="16"/>
              </w:rPr>
              <w:t>TOWER</w:t>
            </w:r>
            <w:r>
              <w:rPr>
                <w:spacing w:val="-5"/>
                <w:sz w:val="16"/>
              </w:rPr>
              <w:t xml:space="preserve"> </w:t>
            </w:r>
            <w:r>
              <w:rPr>
                <w:sz w:val="16"/>
              </w:rPr>
              <w:t>&amp;</w:t>
            </w:r>
            <w:r>
              <w:rPr>
                <w:spacing w:val="-4"/>
                <w:sz w:val="16"/>
              </w:rPr>
              <w:t xml:space="preserve"> </w:t>
            </w:r>
            <w:r>
              <w:rPr>
                <w:sz w:val="16"/>
              </w:rPr>
              <w:t>RELIFT</w:t>
            </w:r>
            <w:r>
              <w:rPr>
                <w:spacing w:val="-6"/>
                <w:sz w:val="16"/>
              </w:rPr>
              <w:t xml:space="preserve"> </w:t>
            </w:r>
            <w:r>
              <w:rPr>
                <w:sz w:val="16"/>
              </w:rPr>
              <w:t>PS</w:t>
            </w:r>
            <w:r>
              <w:rPr>
                <w:spacing w:val="-5"/>
                <w:sz w:val="16"/>
              </w:rPr>
              <w:t xml:space="preserve"> </w:t>
            </w:r>
            <w:r>
              <w:rPr>
                <w:sz w:val="16"/>
              </w:rPr>
              <w:t>‐</w:t>
            </w:r>
            <w:r>
              <w:rPr>
                <w:spacing w:val="-5"/>
                <w:sz w:val="16"/>
              </w:rPr>
              <w:t xml:space="preserve"> </w:t>
            </w:r>
            <w:r>
              <w:rPr>
                <w:sz w:val="16"/>
              </w:rPr>
              <w:t>Control</w:t>
            </w:r>
            <w:r>
              <w:rPr>
                <w:spacing w:val="-5"/>
                <w:sz w:val="16"/>
              </w:rPr>
              <w:t xml:space="preserve"> </w:t>
            </w:r>
            <w:r>
              <w:rPr>
                <w:sz w:val="16"/>
              </w:rPr>
              <w:t>Systems</w:t>
            </w:r>
            <w:r>
              <w:rPr>
                <w:spacing w:val="-5"/>
                <w:sz w:val="16"/>
              </w:rPr>
              <w:t xml:space="preserve"> </w:t>
            </w:r>
            <w:r>
              <w:rPr>
                <w:spacing w:val="-2"/>
                <w:sz w:val="16"/>
              </w:rPr>
              <w:t>Renewal</w:t>
            </w:r>
          </w:p>
        </w:tc>
        <w:tc>
          <w:tcPr>
            <w:tcW w:w="1375" w:type="dxa"/>
            <w:shd w:val="clear" w:color="auto" w:fill="CCE2ED"/>
          </w:tcPr>
          <w:p w14:paraId="7CA3E1C1" w14:textId="77777777" w:rsidR="00141B97" w:rsidRDefault="00141B97">
            <w:pPr>
              <w:pStyle w:val="TableParagraph"/>
              <w:spacing w:before="4"/>
              <w:rPr>
                <w:sz w:val="12"/>
              </w:rPr>
            </w:pPr>
          </w:p>
          <w:p w14:paraId="3618A0ED" w14:textId="77777777" w:rsidR="00141B97" w:rsidRDefault="00911D63">
            <w:pPr>
              <w:pStyle w:val="TableParagraph"/>
              <w:ind w:right="95"/>
              <w:jc w:val="right"/>
              <w:rPr>
                <w:sz w:val="16"/>
              </w:rPr>
            </w:pPr>
            <w:r>
              <w:rPr>
                <w:spacing w:val="-2"/>
                <w:sz w:val="16"/>
              </w:rPr>
              <w:t>Water</w:t>
            </w:r>
          </w:p>
        </w:tc>
        <w:tc>
          <w:tcPr>
            <w:tcW w:w="1886" w:type="dxa"/>
            <w:shd w:val="clear" w:color="auto" w:fill="CCE2ED"/>
          </w:tcPr>
          <w:p w14:paraId="69E268A8" w14:textId="77777777" w:rsidR="00141B97" w:rsidRDefault="00141B97">
            <w:pPr>
              <w:pStyle w:val="TableParagraph"/>
              <w:spacing w:before="4"/>
              <w:rPr>
                <w:sz w:val="12"/>
              </w:rPr>
            </w:pPr>
          </w:p>
          <w:p w14:paraId="2DD5D697" w14:textId="77777777" w:rsidR="00141B97" w:rsidRDefault="00911D63">
            <w:pPr>
              <w:pStyle w:val="TableParagraph"/>
              <w:ind w:right="97"/>
              <w:jc w:val="right"/>
              <w:rPr>
                <w:sz w:val="16"/>
              </w:rPr>
            </w:pPr>
            <w:r>
              <w:rPr>
                <w:spacing w:val="-2"/>
                <w:sz w:val="16"/>
              </w:rPr>
              <w:t>Renewals</w:t>
            </w:r>
          </w:p>
        </w:tc>
        <w:tc>
          <w:tcPr>
            <w:tcW w:w="1226" w:type="dxa"/>
            <w:shd w:val="clear" w:color="auto" w:fill="CCE2ED"/>
          </w:tcPr>
          <w:p w14:paraId="7F96255C" w14:textId="77777777" w:rsidR="00141B97" w:rsidRDefault="00141B97">
            <w:pPr>
              <w:pStyle w:val="TableParagraph"/>
              <w:spacing w:before="4"/>
              <w:rPr>
                <w:sz w:val="12"/>
              </w:rPr>
            </w:pPr>
          </w:p>
          <w:p w14:paraId="3E2437B4" w14:textId="77777777" w:rsidR="00141B97" w:rsidRDefault="00911D63">
            <w:pPr>
              <w:pStyle w:val="TableParagraph"/>
              <w:ind w:right="95"/>
              <w:jc w:val="right"/>
              <w:rPr>
                <w:sz w:val="16"/>
              </w:rPr>
            </w:pPr>
            <w:r>
              <w:rPr>
                <w:spacing w:val="-4"/>
                <w:sz w:val="16"/>
              </w:rPr>
              <w:t>0.00</w:t>
            </w:r>
          </w:p>
        </w:tc>
        <w:tc>
          <w:tcPr>
            <w:tcW w:w="1227" w:type="dxa"/>
            <w:shd w:val="clear" w:color="auto" w:fill="CCE2ED"/>
          </w:tcPr>
          <w:p w14:paraId="0E79C2D8" w14:textId="77777777" w:rsidR="00141B97" w:rsidRDefault="00141B97">
            <w:pPr>
              <w:pStyle w:val="TableParagraph"/>
              <w:spacing w:before="4"/>
              <w:rPr>
                <w:sz w:val="12"/>
              </w:rPr>
            </w:pPr>
          </w:p>
          <w:p w14:paraId="703492C3" w14:textId="77777777" w:rsidR="00141B97" w:rsidRDefault="00911D63">
            <w:pPr>
              <w:pStyle w:val="TableParagraph"/>
              <w:ind w:right="95"/>
              <w:jc w:val="right"/>
              <w:rPr>
                <w:sz w:val="16"/>
              </w:rPr>
            </w:pPr>
            <w:r>
              <w:rPr>
                <w:spacing w:val="-4"/>
                <w:sz w:val="16"/>
              </w:rPr>
              <w:t>0.00</w:t>
            </w:r>
          </w:p>
        </w:tc>
        <w:tc>
          <w:tcPr>
            <w:tcW w:w="1226" w:type="dxa"/>
            <w:shd w:val="clear" w:color="auto" w:fill="CCE2ED"/>
          </w:tcPr>
          <w:p w14:paraId="2BEF28D2" w14:textId="77777777" w:rsidR="00141B97" w:rsidRDefault="00141B97">
            <w:pPr>
              <w:pStyle w:val="TableParagraph"/>
              <w:spacing w:before="4"/>
              <w:rPr>
                <w:sz w:val="12"/>
              </w:rPr>
            </w:pPr>
          </w:p>
          <w:p w14:paraId="10FDBC03" w14:textId="77777777" w:rsidR="00141B97" w:rsidRDefault="00911D63">
            <w:pPr>
              <w:pStyle w:val="TableParagraph"/>
              <w:ind w:right="94"/>
              <w:jc w:val="right"/>
              <w:rPr>
                <w:sz w:val="16"/>
              </w:rPr>
            </w:pPr>
            <w:r>
              <w:rPr>
                <w:spacing w:val="-4"/>
                <w:sz w:val="16"/>
              </w:rPr>
              <w:t>0.00</w:t>
            </w:r>
          </w:p>
        </w:tc>
        <w:tc>
          <w:tcPr>
            <w:tcW w:w="1226" w:type="dxa"/>
            <w:shd w:val="clear" w:color="auto" w:fill="CCE2ED"/>
          </w:tcPr>
          <w:p w14:paraId="712269A5" w14:textId="77777777" w:rsidR="00141B97" w:rsidRDefault="00141B97">
            <w:pPr>
              <w:pStyle w:val="TableParagraph"/>
              <w:spacing w:before="4"/>
              <w:rPr>
                <w:sz w:val="12"/>
              </w:rPr>
            </w:pPr>
          </w:p>
          <w:p w14:paraId="503BE5BD" w14:textId="77777777" w:rsidR="00141B97" w:rsidRDefault="00911D63">
            <w:pPr>
              <w:pStyle w:val="TableParagraph"/>
              <w:ind w:right="94"/>
              <w:jc w:val="right"/>
              <w:rPr>
                <w:sz w:val="16"/>
              </w:rPr>
            </w:pPr>
            <w:r>
              <w:rPr>
                <w:spacing w:val="-4"/>
                <w:sz w:val="16"/>
              </w:rPr>
              <w:t>0.00</w:t>
            </w:r>
          </w:p>
        </w:tc>
        <w:tc>
          <w:tcPr>
            <w:tcW w:w="1225" w:type="dxa"/>
            <w:shd w:val="clear" w:color="auto" w:fill="CCE2ED"/>
          </w:tcPr>
          <w:p w14:paraId="24E954CF" w14:textId="77777777" w:rsidR="00141B97" w:rsidRDefault="00141B97">
            <w:pPr>
              <w:pStyle w:val="TableParagraph"/>
              <w:spacing w:before="4"/>
              <w:rPr>
                <w:sz w:val="12"/>
              </w:rPr>
            </w:pPr>
          </w:p>
          <w:p w14:paraId="2667582D" w14:textId="77777777" w:rsidR="00141B97" w:rsidRDefault="00911D63">
            <w:pPr>
              <w:pStyle w:val="TableParagraph"/>
              <w:ind w:right="93"/>
              <w:jc w:val="right"/>
              <w:rPr>
                <w:sz w:val="16"/>
              </w:rPr>
            </w:pPr>
            <w:r>
              <w:rPr>
                <w:spacing w:val="-4"/>
                <w:sz w:val="16"/>
              </w:rPr>
              <w:t>0.25</w:t>
            </w:r>
          </w:p>
        </w:tc>
        <w:tc>
          <w:tcPr>
            <w:tcW w:w="1022" w:type="dxa"/>
            <w:tcBorders>
              <w:right w:val="nil"/>
            </w:tcBorders>
            <w:shd w:val="clear" w:color="auto" w:fill="CCE2ED"/>
          </w:tcPr>
          <w:p w14:paraId="65AE7B0E" w14:textId="77777777" w:rsidR="00141B97" w:rsidRDefault="00141B97">
            <w:pPr>
              <w:pStyle w:val="TableParagraph"/>
              <w:spacing w:before="4"/>
              <w:rPr>
                <w:sz w:val="12"/>
              </w:rPr>
            </w:pPr>
          </w:p>
          <w:p w14:paraId="71B3B794" w14:textId="77777777" w:rsidR="00141B97" w:rsidRDefault="00911D63">
            <w:pPr>
              <w:pStyle w:val="TableParagraph"/>
              <w:ind w:right="83"/>
              <w:jc w:val="right"/>
              <w:rPr>
                <w:sz w:val="16"/>
              </w:rPr>
            </w:pPr>
            <w:r>
              <w:rPr>
                <w:spacing w:val="-4"/>
                <w:sz w:val="16"/>
              </w:rPr>
              <w:t>0.25</w:t>
            </w:r>
          </w:p>
        </w:tc>
      </w:tr>
      <w:tr w:rsidR="00141B97" w14:paraId="081DDAC6" w14:textId="77777777">
        <w:trPr>
          <w:trHeight w:val="270"/>
          <w:tblCellSpacing w:w="9" w:type="dxa"/>
        </w:trPr>
        <w:tc>
          <w:tcPr>
            <w:tcW w:w="5249" w:type="dxa"/>
            <w:tcBorders>
              <w:left w:val="nil"/>
            </w:tcBorders>
            <w:shd w:val="clear" w:color="auto" w:fill="BFBFBF"/>
          </w:tcPr>
          <w:p w14:paraId="28BB336F" w14:textId="77777777" w:rsidR="00141B97" w:rsidRDefault="00911D63">
            <w:pPr>
              <w:pStyle w:val="TableParagraph"/>
              <w:spacing w:before="38"/>
              <w:ind w:left="88"/>
              <w:rPr>
                <w:sz w:val="16"/>
              </w:rPr>
            </w:pPr>
            <w:r>
              <w:rPr>
                <w:sz w:val="16"/>
              </w:rPr>
              <w:t>Pumping</w:t>
            </w:r>
            <w:r>
              <w:rPr>
                <w:spacing w:val="-4"/>
                <w:sz w:val="16"/>
              </w:rPr>
              <w:t xml:space="preserve"> </w:t>
            </w:r>
            <w:r>
              <w:rPr>
                <w:sz w:val="16"/>
              </w:rPr>
              <w:t>‐</w:t>
            </w:r>
            <w:r>
              <w:rPr>
                <w:spacing w:val="-4"/>
                <w:sz w:val="16"/>
              </w:rPr>
              <w:t xml:space="preserve"> </w:t>
            </w:r>
            <w:r>
              <w:rPr>
                <w:spacing w:val="-2"/>
                <w:sz w:val="16"/>
              </w:rPr>
              <w:t>Sewer</w:t>
            </w:r>
          </w:p>
        </w:tc>
        <w:tc>
          <w:tcPr>
            <w:tcW w:w="1375" w:type="dxa"/>
            <w:shd w:val="clear" w:color="auto" w:fill="BFBFBF"/>
          </w:tcPr>
          <w:p w14:paraId="30B0F7B3" w14:textId="77777777" w:rsidR="00141B97" w:rsidRDefault="00141B97">
            <w:pPr>
              <w:pStyle w:val="TableParagraph"/>
              <w:rPr>
                <w:rFonts w:ascii="Times New Roman"/>
                <w:sz w:val="16"/>
              </w:rPr>
            </w:pPr>
          </w:p>
        </w:tc>
        <w:tc>
          <w:tcPr>
            <w:tcW w:w="1886" w:type="dxa"/>
            <w:shd w:val="clear" w:color="auto" w:fill="BFBFBF"/>
          </w:tcPr>
          <w:p w14:paraId="101B67B8" w14:textId="77777777" w:rsidR="00141B97" w:rsidRDefault="00141B97">
            <w:pPr>
              <w:pStyle w:val="TableParagraph"/>
              <w:rPr>
                <w:rFonts w:ascii="Times New Roman"/>
                <w:sz w:val="16"/>
              </w:rPr>
            </w:pPr>
          </w:p>
        </w:tc>
        <w:tc>
          <w:tcPr>
            <w:tcW w:w="1226" w:type="dxa"/>
            <w:shd w:val="clear" w:color="auto" w:fill="BFBFBF"/>
          </w:tcPr>
          <w:p w14:paraId="0666C195" w14:textId="77777777" w:rsidR="00141B97" w:rsidRDefault="00141B97">
            <w:pPr>
              <w:pStyle w:val="TableParagraph"/>
              <w:rPr>
                <w:rFonts w:ascii="Times New Roman"/>
                <w:sz w:val="16"/>
              </w:rPr>
            </w:pPr>
          </w:p>
        </w:tc>
        <w:tc>
          <w:tcPr>
            <w:tcW w:w="1227" w:type="dxa"/>
            <w:shd w:val="clear" w:color="auto" w:fill="BFBFBF"/>
          </w:tcPr>
          <w:p w14:paraId="2F1D2C66" w14:textId="77777777" w:rsidR="00141B97" w:rsidRDefault="00141B97">
            <w:pPr>
              <w:pStyle w:val="TableParagraph"/>
              <w:rPr>
                <w:rFonts w:ascii="Times New Roman"/>
                <w:sz w:val="16"/>
              </w:rPr>
            </w:pPr>
          </w:p>
        </w:tc>
        <w:tc>
          <w:tcPr>
            <w:tcW w:w="1226" w:type="dxa"/>
            <w:shd w:val="clear" w:color="auto" w:fill="BFBFBF"/>
          </w:tcPr>
          <w:p w14:paraId="0D3D1289" w14:textId="77777777" w:rsidR="00141B97" w:rsidRDefault="00141B97">
            <w:pPr>
              <w:pStyle w:val="TableParagraph"/>
              <w:rPr>
                <w:rFonts w:ascii="Times New Roman"/>
                <w:sz w:val="16"/>
              </w:rPr>
            </w:pPr>
          </w:p>
        </w:tc>
        <w:tc>
          <w:tcPr>
            <w:tcW w:w="1226" w:type="dxa"/>
            <w:shd w:val="clear" w:color="auto" w:fill="BFBFBF"/>
          </w:tcPr>
          <w:p w14:paraId="7AFCBE33" w14:textId="77777777" w:rsidR="00141B97" w:rsidRDefault="00141B97">
            <w:pPr>
              <w:pStyle w:val="TableParagraph"/>
              <w:rPr>
                <w:rFonts w:ascii="Times New Roman"/>
                <w:sz w:val="16"/>
              </w:rPr>
            </w:pPr>
          </w:p>
        </w:tc>
        <w:tc>
          <w:tcPr>
            <w:tcW w:w="1225" w:type="dxa"/>
            <w:shd w:val="clear" w:color="auto" w:fill="BFBFBF"/>
          </w:tcPr>
          <w:p w14:paraId="4D199FB7" w14:textId="77777777" w:rsidR="00141B97" w:rsidRDefault="00141B97">
            <w:pPr>
              <w:pStyle w:val="TableParagraph"/>
              <w:rPr>
                <w:rFonts w:ascii="Times New Roman"/>
                <w:sz w:val="16"/>
              </w:rPr>
            </w:pPr>
          </w:p>
        </w:tc>
        <w:tc>
          <w:tcPr>
            <w:tcW w:w="1022" w:type="dxa"/>
            <w:tcBorders>
              <w:right w:val="nil"/>
            </w:tcBorders>
            <w:shd w:val="clear" w:color="auto" w:fill="BFBFBF"/>
          </w:tcPr>
          <w:p w14:paraId="6B110C9D" w14:textId="77777777" w:rsidR="00141B97" w:rsidRDefault="00141B97">
            <w:pPr>
              <w:pStyle w:val="TableParagraph"/>
              <w:rPr>
                <w:rFonts w:ascii="Times New Roman"/>
                <w:sz w:val="16"/>
              </w:rPr>
            </w:pPr>
          </w:p>
        </w:tc>
      </w:tr>
      <w:tr w:rsidR="00141B97" w14:paraId="26FD25F4" w14:textId="77777777">
        <w:trPr>
          <w:trHeight w:val="240"/>
          <w:tblCellSpacing w:w="9" w:type="dxa"/>
        </w:trPr>
        <w:tc>
          <w:tcPr>
            <w:tcW w:w="5249" w:type="dxa"/>
            <w:tcBorders>
              <w:left w:val="nil"/>
            </w:tcBorders>
            <w:shd w:val="clear" w:color="auto" w:fill="CCE2ED"/>
          </w:tcPr>
          <w:p w14:paraId="7C5E9B98" w14:textId="77777777" w:rsidR="00141B97" w:rsidRDefault="00911D63">
            <w:pPr>
              <w:pStyle w:val="TableParagraph"/>
              <w:spacing w:before="22"/>
              <w:ind w:left="88"/>
              <w:rPr>
                <w:sz w:val="16"/>
              </w:rPr>
            </w:pPr>
            <w:r>
              <w:rPr>
                <w:sz w:val="16"/>
              </w:rPr>
              <w:t>MDA</w:t>
            </w:r>
            <w:r>
              <w:rPr>
                <w:spacing w:val="-5"/>
                <w:sz w:val="16"/>
              </w:rPr>
              <w:t xml:space="preserve"> </w:t>
            </w:r>
            <w:r>
              <w:rPr>
                <w:sz w:val="16"/>
              </w:rPr>
              <w:t>‐</w:t>
            </w:r>
            <w:r>
              <w:rPr>
                <w:spacing w:val="-6"/>
                <w:sz w:val="16"/>
              </w:rPr>
              <w:t xml:space="preserve"> </w:t>
            </w:r>
            <w:r>
              <w:rPr>
                <w:sz w:val="16"/>
              </w:rPr>
              <w:t>Sewerage</w:t>
            </w:r>
            <w:r>
              <w:rPr>
                <w:spacing w:val="-5"/>
                <w:sz w:val="16"/>
              </w:rPr>
              <w:t xml:space="preserve"> </w:t>
            </w:r>
            <w:r>
              <w:rPr>
                <w:sz w:val="16"/>
              </w:rPr>
              <w:t>Pumping</w:t>
            </w:r>
            <w:r>
              <w:rPr>
                <w:spacing w:val="-5"/>
                <w:sz w:val="16"/>
              </w:rPr>
              <w:t xml:space="preserve"> </w:t>
            </w:r>
            <w:r>
              <w:rPr>
                <w:sz w:val="16"/>
              </w:rPr>
              <w:t>Station</w:t>
            </w:r>
            <w:r>
              <w:rPr>
                <w:spacing w:val="-5"/>
                <w:sz w:val="16"/>
              </w:rPr>
              <w:t xml:space="preserve"> </w:t>
            </w:r>
            <w:r>
              <w:rPr>
                <w:sz w:val="16"/>
              </w:rPr>
              <w:t>SPS</w:t>
            </w:r>
            <w:r>
              <w:rPr>
                <w:spacing w:val="-6"/>
                <w:sz w:val="16"/>
              </w:rPr>
              <w:t xml:space="preserve"> </w:t>
            </w:r>
            <w:r>
              <w:rPr>
                <w:spacing w:val="-5"/>
                <w:sz w:val="16"/>
              </w:rPr>
              <w:t>15</w:t>
            </w:r>
          </w:p>
        </w:tc>
        <w:tc>
          <w:tcPr>
            <w:tcW w:w="1375" w:type="dxa"/>
            <w:shd w:val="clear" w:color="auto" w:fill="CCE2ED"/>
          </w:tcPr>
          <w:p w14:paraId="548402DD"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676EC0CF"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1EE7ADF4"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39091A92" w14:textId="77777777" w:rsidR="00141B97" w:rsidRDefault="00911D63">
            <w:pPr>
              <w:pStyle w:val="TableParagraph"/>
              <w:spacing w:before="22"/>
              <w:ind w:right="95"/>
              <w:jc w:val="right"/>
              <w:rPr>
                <w:sz w:val="16"/>
              </w:rPr>
            </w:pPr>
            <w:r>
              <w:rPr>
                <w:spacing w:val="-4"/>
                <w:sz w:val="16"/>
              </w:rPr>
              <w:t>0.05</w:t>
            </w:r>
          </w:p>
        </w:tc>
        <w:tc>
          <w:tcPr>
            <w:tcW w:w="1226" w:type="dxa"/>
            <w:shd w:val="clear" w:color="auto" w:fill="CCE2ED"/>
          </w:tcPr>
          <w:p w14:paraId="2D4D1DF8" w14:textId="77777777" w:rsidR="00141B97" w:rsidRDefault="00911D63">
            <w:pPr>
              <w:pStyle w:val="TableParagraph"/>
              <w:spacing w:before="22"/>
              <w:ind w:right="94"/>
              <w:jc w:val="right"/>
              <w:rPr>
                <w:sz w:val="16"/>
              </w:rPr>
            </w:pPr>
            <w:r>
              <w:rPr>
                <w:spacing w:val="-4"/>
                <w:sz w:val="16"/>
              </w:rPr>
              <w:t>0.80</w:t>
            </w:r>
          </w:p>
        </w:tc>
        <w:tc>
          <w:tcPr>
            <w:tcW w:w="1226" w:type="dxa"/>
            <w:shd w:val="clear" w:color="auto" w:fill="CCE2ED"/>
          </w:tcPr>
          <w:p w14:paraId="02837F26" w14:textId="77777777" w:rsidR="00141B97" w:rsidRDefault="00911D63">
            <w:pPr>
              <w:pStyle w:val="TableParagraph"/>
              <w:spacing w:before="22"/>
              <w:ind w:right="94"/>
              <w:jc w:val="right"/>
              <w:rPr>
                <w:sz w:val="16"/>
              </w:rPr>
            </w:pPr>
            <w:r>
              <w:rPr>
                <w:spacing w:val="-4"/>
                <w:sz w:val="16"/>
              </w:rPr>
              <w:t>0.81</w:t>
            </w:r>
          </w:p>
        </w:tc>
        <w:tc>
          <w:tcPr>
            <w:tcW w:w="1225" w:type="dxa"/>
            <w:shd w:val="clear" w:color="auto" w:fill="CCE2ED"/>
          </w:tcPr>
          <w:p w14:paraId="09B1964C"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7CDF8BA5" w14:textId="77777777" w:rsidR="00141B97" w:rsidRDefault="00911D63">
            <w:pPr>
              <w:pStyle w:val="TableParagraph"/>
              <w:spacing w:before="22"/>
              <w:ind w:right="83"/>
              <w:jc w:val="right"/>
              <w:rPr>
                <w:sz w:val="16"/>
              </w:rPr>
            </w:pPr>
            <w:r>
              <w:rPr>
                <w:spacing w:val="-4"/>
                <w:sz w:val="16"/>
              </w:rPr>
              <w:t>1.66</w:t>
            </w:r>
          </w:p>
        </w:tc>
      </w:tr>
      <w:tr w:rsidR="00141B97" w14:paraId="6F206BFA" w14:textId="77777777">
        <w:trPr>
          <w:trHeight w:val="494"/>
          <w:tblCellSpacing w:w="9" w:type="dxa"/>
        </w:trPr>
        <w:tc>
          <w:tcPr>
            <w:tcW w:w="5249" w:type="dxa"/>
            <w:tcBorders>
              <w:left w:val="nil"/>
            </w:tcBorders>
            <w:shd w:val="clear" w:color="auto" w:fill="CCE2ED"/>
          </w:tcPr>
          <w:p w14:paraId="58A5D748" w14:textId="77777777" w:rsidR="00141B97" w:rsidRDefault="00911D63">
            <w:pPr>
              <w:pStyle w:val="TableParagraph"/>
              <w:spacing w:before="52"/>
              <w:ind w:left="88"/>
              <w:rPr>
                <w:sz w:val="16"/>
              </w:rPr>
            </w:pPr>
            <w:r>
              <w:rPr>
                <w:sz w:val="16"/>
              </w:rPr>
              <w:t>ROB</w:t>
            </w:r>
            <w:r>
              <w:rPr>
                <w:spacing w:val="-2"/>
                <w:sz w:val="16"/>
              </w:rPr>
              <w:t xml:space="preserve"> </w:t>
            </w:r>
            <w:r>
              <w:rPr>
                <w:sz w:val="16"/>
              </w:rPr>
              <w:t>‐</w:t>
            </w:r>
            <w:r>
              <w:rPr>
                <w:spacing w:val="-2"/>
                <w:sz w:val="16"/>
              </w:rPr>
              <w:t xml:space="preserve"> </w:t>
            </w:r>
            <w:r>
              <w:rPr>
                <w:sz w:val="16"/>
              </w:rPr>
              <w:t>SPS6</w:t>
            </w:r>
            <w:r>
              <w:rPr>
                <w:spacing w:val="-2"/>
                <w:sz w:val="16"/>
              </w:rPr>
              <w:t xml:space="preserve"> </w:t>
            </w:r>
            <w:r>
              <w:rPr>
                <w:sz w:val="16"/>
              </w:rPr>
              <w:t>:</w:t>
            </w:r>
            <w:r>
              <w:rPr>
                <w:spacing w:val="-2"/>
                <w:sz w:val="16"/>
              </w:rPr>
              <w:t xml:space="preserve"> </w:t>
            </w:r>
            <w:r>
              <w:rPr>
                <w:sz w:val="16"/>
              </w:rPr>
              <w:t>New pumps,</w:t>
            </w:r>
            <w:r>
              <w:rPr>
                <w:spacing w:val="-1"/>
                <w:sz w:val="16"/>
              </w:rPr>
              <w:t xml:space="preserve"> </w:t>
            </w:r>
            <w:r>
              <w:rPr>
                <w:sz w:val="16"/>
              </w:rPr>
              <w:t>switchboards</w:t>
            </w:r>
            <w:r>
              <w:rPr>
                <w:spacing w:val="-3"/>
                <w:sz w:val="16"/>
              </w:rPr>
              <w:t xml:space="preserve"> </w:t>
            </w:r>
            <w:r>
              <w:rPr>
                <w:sz w:val="16"/>
              </w:rPr>
              <w:t>;500</w:t>
            </w:r>
            <w:r>
              <w:rPr>
                <w:spacing w:val="-2"/>
                <w:sz w:val="16"/>
              </w:rPr>
              <w:t xml:space="preserve"> </w:t>
            </w:r>
            <w:r>
              <w:rPr>
                <w:sz w:val="16"/>
              </w:rPr>
              <w:t>m</w:t>
            </w:r>
            <w:r>
              <w:rPr>
                <w:spacing w:val="-2"/>
                <w:sz w:val="16"/>
              </w:rPr>
              <w:t xml:space="preserve"> </w:t>
            </w:r>
            <w:r>
              <w:rPr>
                <w:sz w:val="16"/>
              </w:rPr>
              <w:t>rising</w:t>
            </w:r>
            <w:r>
              <w:rPr>
                <w:spacing w:val="-2"/>
                <w:sz w:val="16"/>
              </w:rPr>
              <w:t xml:space="preserve"> </w:t>
            </w:r>
            <w:r>
              <w:rPr>
                <w:sz w:val="16"/>
              </w:rPr>
              <w:t>main</w:t>
            </w:r>
            <w:r>
              <w:rPr>
                <w:spacing w:val="-2"/>
                <w:sz w:val="16"/>
              </w:rPr>
              <w:t xml:space="preserve"> </w:t>
            </w:r>
            <w:r>
              <w:rPr>
                <w:sz w:val="16"/>
              </w:rPr>
              <w:t>replacement</w:t>
            </w:r>
            <w:r>
              <w:rPr>
                <w:spacing w:val="33"/>
                <w:sz w:val="16"/>
              </w:rPr>
              <w:t xml:space="preserve"> </w:t>
            </w:r>
            <w:r>
              <w:rPr>
                <w:sz w:val="16"/>
              </w:rPr>
              <w:t>(</w:t>
            </w:r>
            <w:r>
              <w:rPr>
                <w:spacing w:val="40"/>
                <w:sz w:val="16"/>
              </w:rPr>
              <w:t xml:space="preserve"> </w:t>
            </w:r>
            <w:r>
              <w:rPr>
                <w:sz w:val="16"/>
              </w:rPr>
              <w:t>Between SPS 6 and WWTP )</w:t>
            </w:r>
          </w:p>
        </w:tc>
        <w:tc>
          <w:tcPr>
            <w:tcW w:w="1375" w:type="dxa"/>
            <w:shd w:val="clear" w:color="auto" w:fill="CCE2ED"/>
          </w:tcPr>
          <w:p w14:paraId="6D40D698" w14:textId="77777777" w:rsidR="00141B97" w:rsidRDefault="00141B97">
            <w:pPr>
              <w:pStyle w:val="TableParagraph"/>
              <w:spacing w:before="3"/>
              <w:rPr>
                <w:sz w:val="12"/>
              </w:rPr>
            </w:pPr>
          </w:p>
          <w:p w14:paraId="6B758592" w14:textId="77777777" w:rsidR="00141B97" w:rsidRDefault="00911D63">
            <w:pPr>
              <w:pStyle w:val="TableParagraph"/>
              <w:ind w:right="96"/>
              <w:jc w:val="right"/>
              <w:rPr>
                <w:sz w:val="16"/>
              </w:rPr>
            </w:pPr>
            <w:r>
              <w:rPr>
                <w:spacing w:val="-2"/>
                <w:sz w:val="16"/>
              </w:rPr>
              <w:t>Sewerage</w:t>
            </w:r>
          </w:p>
        </w:tc>
        <w:tc>
          <w:tcPr>
            <w:tcW w:w="1886" w:type="dxa"/>
            <w:shd w:val="clear" w:color="auto" w:fill="CCE2ED"/>
          </w:tcPr>
          <w:p w14:paraId="169211BA" w14:textId="77777777" w:rsidR="00141B97" w:rsidRDefault="00141B97">
            <w:pPr>
              <w:pStyle w:val="TableParagraph"/>
              <w:spacing w:before="3"/>
              <w:rPr>
                <w:sz w:val="12"/>
              </w:rPr>
            </w:pPr>
          </w:p>
          <w:p w14:paraId="7CBEBE65" w14:textId="77777777" w:rsidR="00141B97" w:rsidRDefault="00911D63">
            <w:pPr>
              <w:pStyle w:val="TableParagraph"/>
              <w:ind w:right="97"/>
              <w:jc w:val="right"/>
              <w:rPr>
                <w:sz w:val="16"/>
              </w:rPr>
            </w:pPr>
            <w:r>
              <w:rPr>
                <w:spacing w:val="-2"/>
                <w:sz w:val="16"/>
              </w:rPr>
              <w:t>Renewals</w:t>
            </w:r>
          </w:p>
        </w:tc>
        <w:tc>
          <w:tcPr>
            <w:tcW w:w="1226" w:type="dxa"/>
            <w:shd w:val="clear" w:color="auto" w:fill="CCE2ED"/>
          </w:tcPr>
          <w:p w14:paraId="3C9B20E0" w14:textId="77777777" w:rsidR="00141B97" w:rsidRDefault="00141B97">
            <w:pPr>
              <w:pStyle w:val="TableParagraph"/>
              <w:spacing w:before="3"/>
              <w:rPr>
                <w:sz w:val="12"/>
              </w:rPr>
            </w:pPr>
          </w:p>
          <w:p w14:paraId="264918B4" w14:textId="77777777" w:rsidR="00141B97" w:rsidRDefault="00911D63">
            <w:pPr>
              <w:pStyle w:val="TableParagraph"/>
              <w:ind w:right="95"/>
              <w:jc w:val="right"/>
              <w:rPr>
                <w:sz w:val="16"/>
              </w:rPr>
            </w:pPr>
            <w:r>
              <w:rPr>
                <w:spacing w:val="-4"/>
                <w:sz w:val="16"/>
              </w:rPr>
              <w:t>0.50</w:t>
            </w:r>
          </w:p>
        </w:tc>
        <w:tc>
          <w:tcPr>
            <w:tcW w:w="1227" w:type="dxa"/>
            <w:shd w:val="clear" w:color="auto" w:fill="CCE2ED"/>
          </w:tcPr>
          <w:p w14:paraId="5D45775F" w14:textId="77777777" w:rsidR="00141B97" w:rsidRDefault="00141B97">
            <w:pPr>
              <w:pStyle w:val="TableParagraph"/>
              <w:spacing w:before="3"/>
              <w:rPr>
                <w:sz w:val="12"/>
              </w:rPr>
            </w:pPr>
          </w:p>
          <w:p w14:paraId="4D016A60" w14:textId="77777777" w:rsidR="00141B97" w:rsidRDefault="00911D63">
            <w:pPr>
              <w:pStyle w:val="TableParagraph"/>
              <w:ind w:right="95"/>
              <w:jc w:val="right"/>
              <w:rPr>
                <w:sz w:val="16"/>
              </w:rPr>
            </w:pPr>
            <w:r>
              <w:rPr>
                <w:spacing w:val="-4"/>
                <w:sz w:val="16"/>
              </w:rPr>
              <w:t>0.25</w:t>
            </w:r>
          </w:p>
        </w:tc>
        <w:tc>
          <w:tcPr>
            <w:tcW w:w="1226" w:type="dxa"/>
            <w:shd w:val="clear" w:color="auto" w:fill="CCE2ED"/>
          </w:tcPr>
          <w:p w14:paraId="4A5AD02C" w14:textId="77777777" w:rsidR="00141B97" w:rsidRDefault="00141B97">
            <w:pPr>
              <w:pStyle w:val="TableParagraph"/>
              <w:spacing w:before="3"/>
              <w:rPr>
                <w:sz w:val="12"/>
              </w:rPr>
            </w:pPr>
          </w:p>
          <w:p w14:paraId="18F10606" w14:textId="77777777" w:rsidR="00141B97" w:rsidRDefault="00911D63">
            <w:pPr>
              <w:pStyle w:val="TableParagraph"/>
              <w:ind w:right="94"/>
              <w:jc w:val="right"/>
              <w:rPr>
                <w:sz w:val="16"/>
              </w:rPr>
            </w:pPr>
            <w:r>
              <w:rPr>
                <w:spacing w:val="-4"/>
                <w:sz w:val="16"/>
              </w:rPr>
              <w:t>0.00</w:t>
            </w:r>
          </w:p>
        </w:tc>
        <w:tc>
          <w:tcPr>
            <w:tcW w:w="1226" w:type="dxa"/>
            <w:shd w:val="clear" w:color="auto" w:fill="CCE2ED"/>
          </w:tcPr>
          <w:p w14:paraId="7180C614" w14:textId="77777777" w:rsidR="00141B97" w:rsidRDefault="00141B97">
            <w:pPr>
              <w:pStyle w:val="TableParagraph"/>
              <w:spacing w:before="3"/>
              <w:rPr>
                <w:sz w:val="12"/>
              </w:rPr>
            </w:pPr>
          </w:p>
          <w:p w14:paraId="743BEC6B" w14:textId="77777777" w:rsidR="00141B97" w:rsidRDefault="00911D63">
            <w:pPr>
              <w:pStyle w:val="TableParagraph"/>
              <w:ind w:right="94"/>
              <w:jc w:val="right"/>
              <w:rPr>
                <w:sz w:val="16"/>
              </w:rPr>
            </w:pPr>
            <w:r>
              <w:rPr>
                <w:spacing w:val="-4"/>
                <w:sz w:val="16"/>
              </w:rPr>
              <w:t>0.00</w:t>
            </w:r>
          </w:p>
        </w:tc>
        <w:tc>
          <w:tcPr>
            <w:tcW w:w="1225" w:type="dxa"/>
            <w:shd w:val="clear" w:color="auto" w:fill="CCE2ED"/>
          </w:tcPr>
          <w:p w14:paraId="39E9A827" w14:textId="77777777" w:rsidR="00141B97" w:rsidRDefault="00141B97">
            <w:pPr>
              <w:pStyle w:val="TableParagraph"/>
              <w:spacing w:before="3"/>
              <w:rPr>
                <w:sz w:val="12"/>
              </w:rPr>
            </w:pPr>
          </w:p>
          <w:p w14:paraId="53E4AD91" w14:textId="77777777" w:rsidR="00141B97" w:rsidRDefault="00911D63">
            <w:pPr>
              <w:pStyle w:val="TableParagraph"/>
              <w:ind w:right="93"/>
              <w:jc w:val="right"/>
              <w:rPr>
                <w:sz w:val="16"/>
              </w:rPr>
            </w:pPr>
            <w:r>
              <w:rPr>
                <w:spacing w:val="-4"/>
                <w:sz w:val="16"/>
              </w:rPr>
              <w:t>0.00</w:t>
            </w:r>
          </w:p>
        </w:tc>
        <w:tc>
          <w:tcPr>
            <w:tcW w:w="1022" w:type="dxa"/>
            <w:tcBorders>
              <w:right w:val="nil"/>
            </w:tcBorders>
            <w:shd w:val="clear" w:color="auto" w:fill="CCE2ED"/>
          </w:tcPr>
          <w:p w14:paraId="06E385DF" w14:textId="77777777" w:rsidR="00141B97" w:rsidRDefault="00141B97">
            <w:pPr>
              <w:pStyle w:val="TableParagraph"/>
              <w:spacing w:before="3"/>
              <w:rPr>
                <w:sz w:val="12"/>
              </w:rPr>
            </w:pPr>
          </w:p>
          <w:p w14:paraId="61936898" w14:textId="77777777" w:rsidR="00141B97" w:rsidRDefault="00911D63">
            <w:pPr>
              <w:pStyle w:val="TableParagraph"/>
              <w:ind w:right="83"/>
              <w:jc w:val="right"/>
              <w:rPr>
                <w:sz w:val="16"/>
              </w:rPr>
            </w:pPr>
            <w:r>
              <w:rPr>
                <w:spacing w:val="-4"/>
                <w:sz w:val="16"/>
              </w:rPr>
              <w:t>0.75</w:t>
            </w:r>
          </w:p>
        </w:tc>
      </w:tr>
      <w:tr w:rsidR="00141B97" w14:paraId="5FBF1406" w14:textId="77777777">
        <w:trPr>
          <w:trHeight w:val="270"/>
          <w:tblCellSpacing w:w="9" w:type="dxa"/>
        </w:trPr>
        <w:tc>
          <w:tcPr>
            <w:tcW w:w="5249" w:type="dxa"/>
            <w:tcBorders>
              <w:left w:val="nil"/>
            </w:tcBorders>
            <w:shd w:val="clear" w:color="auto" w:fill="BFBFBF"/>
          </w:tcPr>
          <w:p w14:paraId="49DB5114" w14:textId="77777777" w:rsidR="00141B97" w:rsidRDefault="00911D63">
            <w:pPr>
              <w:pStyle w:val="TableParagraph"/>
              <w:spacing w:before="38"/>
              <w:ind w:left="88"/>
              <w:rPr>
                <w:sz w:val="16"/>
              </w:rPr>
            </w:pPr>
            <w:r>
              <w:rPr>
                <w:spacing w:val="-2"/>
                <w:sz w:val="16"/>
              </w:rPr>
              <w:t>Filtration</w:t>
            </w:r>
          </w:p>
        </w:tc>
        <w:tc>
          <w:tcPr>
            <w:tcW w:w="1375" w:type="dxa"/>
            <w:shd w:val="clear" w:color="auto" w:fill="BFBFBF"/>
          </w:tcPr>
          <w:p w14:paraId="7DC23E75" w14:textId="77777777" w:rsidR="00141B97" w:rsidRDefault="00141B97">
            <w:pPr>
              <w:pStyle w:val="TableParagraph"/>
              <w:rPr>
                <w:rFonts w:ascii="Times New Roman"/>
                <w:sz w:val="16"/>
              </w:rPr>
            </w:pPr>
          </w:p>
        </w:tc>
        <w:tc>
          <w:tcPr>
            <w:tcW w:w="1886" w:type="dxa"/>
            <w:shd w:val="clear" w:color="auto" w:fill="BFBFBF"/>
          </w:tcPr>
          <w:p w14:paraId="1FE318AD" w14:textId="77777777" w:rsidR="00141B97" w:rsidRDefault="00141B97">
            <w:pPr>
              <w:pStyle w:val="TableParagraph"/>
              <w:rPr>
                <w:rFonts w:ascii="Times New Roman"/>
                <w:sz w:val="16"/>
              </w:rPr>
            </w:pPr>
          </w:p>
        </w:tc>
        <w:tc>
          <w:tcPr>
            <w:tcW w:w="1226" w:type="dxa"/>
            <w:shd w:val="clear" w:color="auto" w:fill="BFBFBF"/>
          </w:tcPr>
          <w:p w14:paraId="66365639" w14:textId="77777777" w:rsidR="00141B97" w:rsidRDefault="00141B97">
            <w:pPr>
              <w:pStyle w:val="TableParagraph"/>
              <w:rPr>
                <w:rFonts w:ascii="Times New Roman"/>
                <w:sz w:val="16"/>
              </w:rPr>
            </w:pPr>
          </w:p>
        </w:tc>
        <w:tc>
          <w:tcPr>
            <w:tcW w:w="1227" w:type="dxa"/>
            <w:shd w:val="clear" w:color="auto" w:fill="BFBFBF"/>
          </w:tcPr>
          <w:p w14:paraId="4D96BD72" w14:textId="77777777" w:rsidR="00141B97" w:rsidRDefault="00141B97">
            <w:pPr>
              <w:pStyle w:val="TableParagraph"/>
              <w:rPr>
                <w:rFonts w:ascii="Times New Roman"/>
                <w:sz w:val="16"/>
              </w:rPr>
            </w:pPr>
          </w:p>
        </w:tc>
        <w:tc>
          <w:tcPr>
            <w:tcW w:w="1226" w:type="dxa"/>
            <w:shd w:val="clear" w:color="auto" w:fill="BFBFBF"/>
          </w:tcPr>
          <w:p w14:paraId="2AEE981B" w14:textId="77777777" w:rsidR="00141B97" w:rsidRDefault="00141B97">
            <w:pPr>
              <w:pStyle w:val="TableParagraph"/>
              <w:rPr>
                <w:rFonts w:ascii="Times New Roman"/>
                <w:sz w:val="16"/>
              </w:rPr>
            </w:pPr>
          </w:p>
        </w:tc>
        <w:tc>
          <w:tcPr>
            <w:tcW w:w="1226" w:type="dxa"/>
            <w:shd w:val="clear" w:color="auto" w:fill="BFBFBF"/>
          </w:tcPr>
          <w:p w14:paraId="1E4E078C" w14:textId="77777777" w:rsidR="00141B97" w:rsidRDefault="00141B97">
            <w:pPr>
              <w:pStyle w:val="TableParagraph"/>
              <w:rPr>
                <w:rFonts w:ascii="Times New Roman"/>
                <w:sz w:val="16"/>
              </w:rPr>
            </w:pPr>
          </w:p>
        </w:tc>
        <w:tc>
          <w:tcPr>
            <w:tcW w:w="1225" w:type="dxa"/>
            <w:shd w:val="clear" w:color="auto" w:fill="BFBFBF"/>
          </w:tcPr>
          <w:p w14:paraId="32844121" w14:textId="77777777" w:rsidR="00141B97" w:rsidRDefault="00141B97">
            <w:pPr>
              <w:pStyle w:val="TableParagraph"/>
              <w:rPr>
                <w:rFonts w:ascii="Times New Roman"/>
                <w:sz w:val="16"/>
              </w:rPr>
            </w:pPr>
          </w:p>
        </w:tc>
        <w:tc>
          <w:tcPr>
            <w:tcW w:w="1022" w:type="dxa"/>
            <w:tcBorders>
              <w:right w:val="nil"/>
            </w:tcBorders>
            <w:shd w:val="clear" w:color="auto" w:fill="BFBFBF"/>
          </w:tcPr>
          <w:p w14:paraId="16C35C78" w14:textId="77777777" w:rsidR="00141B97" w:rsidRDefault="00141B97">
            <w:pPr>
              <w:pStyle w:val="TableParagraph"/>
              <w:rPr>
                <w:rFonts w:ascii="Times New Roman"/>
                <w:sz w:val="16"/>
              </w:rPr>
            </w:pPr>
          </w:p>
        </w:tc>
      </w:tr>
      <w:tr w:rsidR="00141B97" w14:paraId="606867B7" w14:textId="77777777">
        <w:trPr>
          <w:trHeight w:val="479"/>
          <w:tblCellSpacing w:w="9" w:type="dxa"/>
        </w:trPr>
        <w:tc>
          <w:tcPr>
            <w:tcW w:w="5249" w:type="dxa"/>
            <w:tcBorders>
              <w:left w:val="nil"/>
            </w:tcBorders>
            <w:shd w:val="clear" w:color="auto" w:fill="CCE2ED"/>
          </w:tcPr>
          <w:p w14:paraId="40701F5E" w14:textId="77777777" w:rsidR="00141B97" w:rsidRDefault="00911D63">
            <w:pPr>
              <w:pStyle w:val="TableParagraph"/>
              <w:spacing w:before="142"/>
              <w:ind w:left="88"/>
              <w:rPr>
                <w:sz w:val="16"/>
              </w:rPr>
            </w:pPr>
            <w:r>
              <w:rPr>
                <w:sz w:val="16"/>
              </w:rPr>
              <w:t>ALLSITES</w:t>
            </w:r>
            <w:r>
              <w:rPr>
                <w:spacing w:val="-8"/>
                <w:sz w:val="16"/>
              </w:rPr>
              <w:t xml:space="preserve"> </w:t>
            </w:r>
            <w:r>
              <w:rPr>
                <w:sz w:val="16"/>
              </w:rPr>
              <w:t>Water</w:t>
            </w:r>
            <w:r>
              <w:rPr>
                <w:spacing w:val="-8"/>
                <w:sz w:val="16"/>
              </w:rPr>
              <w:t xml:space="preserve"> </w:t>
            </w:r>
            <w:r>
              <w:rPr>
                <w:sz w:val="16"/>
              </w:rPr>
              <w:t>Q</w:t>
            </w:r>
            <w:r>
              <w:rPr>
                <w:spacing w:val="-7"/>
                <w:sz w:val="16"/>
              </w:rPr>
              <w:t xml:space="preserve"> </w:t>
            </w:r>
            <w:r>
              <w:rPr>
                <w:sz w:val="16"/>
              </w:rPr>
              <w:t>instrumentations</w:t>
            </w:r>
            <w:r>
              <w:rPr>
                <w:spacing w:val="-9"/>
                <w:sz w:val="16"/>
              </w:rPr>
              <w:t xml:space="preserve"> </w:t>
            </w:r>
            <w:r>
              <w:rPr>
                <w:sz w:val="16"/>
              </w:rPr>
              <w:t>replacements/</w:t>
            </w:r>
            <w:r>
              <w:rPr>
                <w:spacing w:val="-8"/>
                <w:sz w:val="16"/>
              </w:rPr>
              <w:t xml:space="preserve"> </w:t>
            </w:r>
            <w:r>
              <w:rPr>
                <w:sz w:val="16"/>
              </w:rPr>
              <w:t>upgrade/</w:t>
            </w:r>
            <w:r>
              <w:rPr>
                <w:spacing w:val="-8"/>
                <w:sz w:val="16"/>
              </w:rPr>
              <w:t xml:space="preserve"> </w:t>
            </w:r>
            <w:r>
              <w:rPr>
                <w:spacing w:val="-2"/>
                <w:sz w:val="16"/>
              </w:rPr>
              <w:t>renewal</w:t>
            </w:r>
          </w:p>
        </w:tc>
        <w:tc>
          <w:tcPr>
            <w:tcW w:w="1375" w:type="dxa"/>
            <w:shd w:val="clear" w:color="auto" w:fill="CCE2ED"/>
          </w:tcPr>
          <w:p w14:paraId="28703649"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73DF5FE4"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5B6E91B5" w14:textId="77777777" w:rsidR="00141B97" w:rsidRDefault="00911D63">
            <w:pPr>
              <w:pStyle w:val="TableParagraph"/>
              <w:spacing w:before="142"/>
              <w:ind w:right="95"/>
              <w:jc w:val="right"/>
              <w:rPr>
                <w:sz w:val="16"/>
              </w:rPr>
            </w:pPr>
            <w:r>
              <w:rPr>
                <w:spacing w:val="-4"/>
                <w:sz w:val="16"/>
              </w:rPr>
              <w:t>0.12</w:t>
            </w:r>
          </w:p>
        </w:tc>
        <w:tc>
          <w:tcPr>
            <w:tcW w:w="1227" w:type="dxa"/>
            <w:shd w:val="clear" w:color="auto" w:fill="CCE2ED"/>
          </w:tcPr>
          <w:p w14:paraId="3BD8AB8A" w14:textId="77777777" w:rsidR="00141B97" w:rsidRDefault="00911D63">
            <w:pPr>
              <w:pStyle w:val="TableParagraph"/>
              <w:spacing w:before="142"/>
              <w:ind w:right="95"/>
              <w:jc w:val="right"/>
              <w:rPr>
                <w:sz w:val="16"/>
              </w:rPr>
            </w:pPr>
            <w:r>
              <w:rPr>
                <w:spacing w:val="-4"/>
                <w:sz w:val="16"/>
              </w:rPr>
              <w:t>0.12</w:t>
            </w:r>
          </w:p>
        </w:tc>
        <w:tc>
          <w:tcPr>
            <w:tcW w:w="1226" w:type="dxa"/>
            <w:shd w:val="clear" w:color="auto" w:fill="CCE2ED"/>
          </w:tcPr>
          <w:p w14:paraId="02399E5C" w14:textId="77777777" w:rsidR="00141B97" w:rsidRDefault="00911D63">
            <w:pPr>
              <w:pStyle w:val="TableParagraph"/>
              <w:spacing w:before="142"/>
              <w:ind w:right="94"/>
              <w:jc w:val="right"/>
              <w:rPr>
                <w:sz w:val="16"/>
              </w:rPr>
            </w:pPr>
            <w:r>
              <w:rPr>
                <w:spacing w:val="-4"/>
                <w:sz w:val="16"/>
              </w:rPr>
              <w:t>0.09</w:t>
            </w:r>
          </w:p>
        </w:tc>
        <w:tc>
          <w:tcPr>
            <w:tcW w:w="1226" w:type="dxa"/>
            <w:shd w:val="clear" w:color="auto" w:fill="CCE2ED"/>
          </w:tcPr>
          <w:p w14:paraId="777CDF00" w14:textId="77777777" w:rsidR="00141B97" w:rsidRDefault="00911D63">
            <w:pPr>
              <w:pStyle w:val="TableParagraph"/>
              <w:spacing w:before="142"/>
              <w:ind w:right="94"/>
              <w:jc w:val="right"/>
              <w:rPr>
                <w:sz w:val="16"/>
              </w:rPr>
            </w:pPr>
            <w:r>
              <w:rPr>
                <w:spacing w:val="-4"/>
                <w:sz w:val="16"/>
              </w:rPr>
              <w:t>0.11</w:t>
            </w:r>
          </w:p>
        </w:tc>
        <w:tc>
          <w:tcPr>
            <w:tcW w:w="1225" w:type="dxa"/>
            <w:shd w:val="clear" w:color="auto" w:fill="CCE2ED"/>
          </w:tcPr>
          <w:p w14:paraId="0C83E9F5" w14:textId="77777777" w:rsidR="00141B97" w:rsidRDefault="00911D63">
            <w:pPr>
              <w:pStyle w:val="TableParagraph"/>
              <w:spacing w:before="142"/>
              <w:ind w:right="93"/>
              <w:jc w:val="right"/>
              <w:rPr>
                <w:sz w:val="16"/>
              </w:rPr>
            </w:pPr>
            <w:r>
              <w:rPr>
                <w:spacing w:val="-4"/>
                <w:sz w:val="16"/>
              </w:rPr>
              <w:t>0.13</w:t>
            </w:r>
          </w:p>
        </w:tc>
        <w:tc>
          <w:tcPr>
            <w:tcW w:w="1022" w:type="dxa"/>
            <w:tcBorders>
              <w:right w:val="nil"/>
            </w:tcBorders>
            <w:shd w:val="clear" w:color="auto" w:fill="CCE2ED"/>
          </w:tcPr>
          <w:p w14:paraId="3BB31639" w14:textId="77777777" w:rsidR="00141B97" w:rsidRDefault="00911D63">
            <w:pPr>
              <w:pStyle w:val="TableParagraph"/>
              <w:spacing w:before="142"/>
              <w:ind w:right="83"/>
              <w:jc w:val="right"/>
              <w:rPr>
                <w:sz w:val="16"/>
              </w:rPr>
            </w:pPr>
            <w:r>
              <w:rPr>
                <w:spacing w:val="-4"/>
                <w:sz w:val="16"/>
              </w:rPr>
              <w:t>0.56</w:t>
            </w:r>
          </w:p>
        </w:tc>
      </w:tr>
      <w:tr w:rsidR="00141B97" w14:paraId="24F597AF" w14:textId="77777777">
        <w:trPr>
          <w:trHeight w:val="480"/>
          <w:tblCellSpacing w:w="9" w:type="dxa"/>
        </w:trPr>
        <w:tc>
          <w:tcPr>
            <w:tcW w:w="5249" w:type="dxa"/>
            <w:tcBorders>
              <w:left w:val="nil"/>
            </w:tcBorders>
            <w:shd w:val="clear" w:color="auto" w:fill="CCE2ED"/>
          </w:tcPr>
          <w:p w14:paraId="205FBD9C" w14:textId="77777777" w:rsidR="00141B97" w:rsidRDefault="00911D63">
            <w:pPr>
              <w:pStyle w:val="TableParagraph"/>
              <w:spacing w:before="142"/>
              <w:ind w:left="88"/>
              <w:rPr>
                <w:sz w:val="16"/>
              </w:rPr>
            </w:pPr>
            <w:r>
              <w:rPr>
                <w:sz w:val="16"/>
              </w:rPr>
              <w:t>LMW</w:t>
            </w:r>
            <w:r>
              <w:rPr>
                <w:spacing w:val="-7"/>
                <w:sz w:val="16"/>
              </w:rPr>
              <w:t xml:space="preserve"> </w:t>
            </w:r>
            <w:r>
              <w:rPr>
                <w:sz w:val="16"/>
              </w:rPr>
              <w:t>Control</w:t>
            </w:r>
            <w:r>
              <w:rPr>
                <w:spacing w:val="-6"/>
                <w:sz w:val="16"/>
              </w:rPr>
              <w:t xml:space="preserve"> </w:t>
            </w:r>
            <w:r>
              <w:rPr>
                <w:sz w:val="16"/>
              </w:rPr>
              <w:t>network</w:t>
            </w:r>
            <w:r>
              <w:rPr>
                <w:spacing w:val="-6"/>
                <w:sz w:val="16"/>
              </w:rPr>
              <w:t xml:space="preserve"> </w:t>
            </w:r>
            <w:r>
              <w:rPr>
                <w:sz w:val="16"/>
              </w:rPr>
              <w:t>systems‐</w:t>
            </w:r>
            <w:r>
              <w:rPr>
                <w:spacing w:val="-5"/>
                <w:sz w:val="16"/>
              </w:rPr>
              <w:t xml:space="preserve"> </w:t>
            </w:r>
            <w:r>
              <w:rPr>
                <w:sz w:val="16"/>
              </w:rPr>
              <w:t>water</w:t>
            </w:r>
            <w:r>
              <w:rPr>
                <w:spacing w:val="-5"/>
                <w:sz w:val="16"/>
              </w:rPr>
              <w:t xml:space="preserve"> </w:t>
            </w:r>
            <w:r>
              <w:rPr>
                <w:sz w:val="16"/>
              </w:rPr>
              <w:t>OT</w:t>
            </w:r>
            <w:r>
              <w:rPr>
                <w:spacing w:val="-6"/>
                <w:sz w:val="16"/>
              </w:rPr>
              <w:t xml:space="preserve"> </w:t>
            </w:r>
            <w:r>
              <w:rPr>
                <w:sz w:val="16"/>
              </w:rPr>
              <w:t>firewall</w:t>
            </w:r>
            <w:r>
              <w:rPr>
                <w:spacing w:val="-7"/>
                <w:sz w:val="16"/>
              </w:rPr>
              <w:t xml:space="preserve"> </w:t>
            </w:r>
            <w:r>
              <w:rPr>
                <w:spacing w:val="-2"/>
                <w:sz w:val="16"/>
              </w:rPr>
              <w:t>install</w:t>
            </w:r>
          </w:p>
        </w:tc>
        <w:tc>
          <w:tcPr>
            <w:tcW w:w="1375" w:type="dxa"/>
            <w:shd w:val="clear" w:color="auto" w:fill="CCE2ED"/>
          </w:tcPr>
          <w:p w14:paraId="13F9D341"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722A2653" w14:textId="77777777" w:rsidR="00141B97" w:rsidRDefault="00911D63">
            <w:pPr>
              <w:pStyle w:val="TableParagraph"/>
              <w:spacing w:before="45"/>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560D2374" w14:textId="77777777" w:rsidR="00141B97" w:rsidRDefault="00911D63">
            <w:pPr>
              <w:pStyle w:val="TableParagraph"/>
              <w:spacing w:before="142"/>
              <w:ind w:right="95"/>
              <w:jc w:val="right"/>
              <w:rPr>
                <w:sz w:val="16"/>
              </w:rPr>
            </w:pPr>
            <w:r>
              <w:rPr>
                <w:spacing w:val="-4"/>
                <w:sz w:val="16"/>
              </w:rPr>
              <w:t>0.30</w:t>
            </w:r>
          </w:p>
        </w:tc>
        <w:tc>
          <w:tcPr>
            <w:tcW w:w="1227" w:type="dxa"/>
            <w:shd w:val="clear" w:color="auto" w:fill="CCE2ED"/>
          </w:tcPr>
          <w:p w14:paraId="51160928"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556A3293"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66231295"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6A8CCE85"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36DBAFD7" w14:textId="77777777" w:rsidR="00141B97" w:rsidRDefault="00911D63">
            <w:pPr>
              <w:pStyle w:val="TableParagraph"/>
              <w:spacing w:before="142"/>
              <w:ind w:right="83"/>
              <w:jc w:val="right"/>
              <w:rPr>
                <w:sz w:val="16"/>
              </w:rPr>
            </w:pPr>
            <w:r>
              <w:rPr>
                <w:spacing w:val="-4"/>
                <w:sz w:val="16"/>
              </w:rPr>
              <w:t>0.30</w:t>
            </w:r>
          </w:p>
        </w:tc>
      </w:tr>
      <w:tr w:rsidR="00141B97" w14:paraId="1B8A443A" w14:textId="77777777">
        <w:trPr>
          <w:trHeight w:val="480"/>
          <w:tblCellSpacing w:w="9" w:type="dxa"/>
        </w:trPr>
        <w:tc>
          <w:tcPr>
            <w:tcW w:w="5249" w:type="dxa"/>
            <w:tcBorders>
              <w:left w:val="nil"/>
            </w:tcBorders>
            <w:shd w:val="clear" w:color="auto" w:fill="CCE2ED"/>
          </w:tcPr>
          <w:p w14:paraId="7CC8E079" w14:textId="77777777" w:rsidR="00141B97" w:rsidRDefault="00911D63">
            <w:pPr>
              <w:pStyle w:val="TableParagraph"/>
              <w:spacing w:before="142"/>
              <w:ind w:left="88"/>
              <w:rPr>
                <w:sz w:val="16"/>
              </w:rPr>
            </w:pPr>
            <w:r>
              <w:rPr>
                <w:sz w:val="16"/>
              </w:rPr>
              <w:t>KER</w:t>
            </w:r>
            <w:r>
              <w:rPr>
                <w:spacing w:val="-4"/>
                <w:sz w:val="16"/>
              </w:rPr>
              <w:t xml:space="preserve"> </w:t>
            </w:r>
            <w:r>
              <w:rPr>
                <w:sz w:val="16"/>
              </w:rPr>
              <w:t>Filter</w:t>
            </w:r>
            <w:r>
              <w:rPr>
                <w:spacing w:val="-4"/>
                <w:sz w:val="16"/>
              </w:rPr>
              <w:t xml:space="preserve"> </w:t>
            </w:r>
            <w:r>
              <w:rPr>
                <w:sz w:val="16"/>
              </w:rPr>
              <w:t>media</w:t>
            </w:r>
            <w:r>
              <w:rPr>
                <w:spacing w:val="-4"/>
                <w:sz w:val="16"/>
              </w:rPr>
              <w:t xml:space="preserve"> </w:t>
            </w:r>
            <w:r>
              <w:rPr>
                <w:sz w:val="16"/>
              </w:rPr>
              <w:t>(all</w:t>
            </w:r>
            <w:r>
              <w:rPr>
                <w:spacing w:val="-3"/>
                <w:sz w:val="16"/>
              </w:rPr>
              <w:t xml:space="preserve"> </w:t>
            </w:r>
            <w:r>
              <w:rPr>
                <w:sz w:val="16"/>
              </w:rPr>
              <w:t>3)</w:t>
            </w:r>
            <w:r>
              <w:rPr>
                <w:spacing w:val="-4"/>
                <w:sz w:val="16"/>
              </w:rPr>
              <w:t xml:space="preserve"> </w:t>
            </w:r>
            <w:r>
              <w:rPr>
                <w:sz w:val="16"/>
              </w:rPr>
              <w:t>replacement</w:t>
            </w:r>
            <w:r>
              <w:rPr>
                <w:spacing w:val="-4"/>
                <w:sz w:val="16"/>
              </w:rPr>
              <w:t xml:space="preserve"> </w:t>
            </w:r>
            <w:r>
              <w:rPr>
                <w:sz w:val="16"/>
              </w:rPr>
              <w:t>and</w:t>
            </w:r>
            <w:r>
              <w:rPr>
                <w:spacing w:val="-4"/>
                <w:sz w:val="16"/>
              </w:rPr>
              <w:t xml:space="preserve"> </w:t>
            </w:r>
            <w:r>
              <w:rPr>
                <w:sz w:val="16"/>
              </w:rPr>
              <w:t>leak</w:t>
            </w:r>
            <w:r>
              <w:rPr>
                <w:spacing w:val="-4"/>
                <w:sz w:val="16"/>
              </w:rPr>
              <w:t xml:space="preserve"> </w:t>
            </w:r>
            <w:r>
              <w:rPr>
                <w:sz w:val="16"/>
              </w:rPr>
              <w:t>(between</w:t>
            </w:r>
            <w:r>
              <w:rPr>
                <w:spacing w:val="-3"/>
                <w:sz w:val="16"/>
              </w:rPr>
              <w:t xml:space="preserve"> </w:t>
            </w:r>
            <w:r>
              <w:rPr>
                <w:sz w:val="16"/>
              </w:rPr>
              <w:t>2</w:t>
            </w:r>
            <w:r>
              <w:rPr>
                <w:spacing w:val="-4"/>
                <w:sz w:val="16"/>
              </w:rPr>
              <w:t xml:space="preserve"> </w:t>
            </w:r>
            <w:r>
              <w:rPr>
                <w:sz w:val="16"/>
              </w:rPr>
              <w:t>and</w:t>
            </w:r>
            <w:r>
              <w:rPr>
                <w:spacing w:val="-4"/>
                <w:sz w:val="16"/>
              </w:rPr>
              <w:t xml:space="preserve"> </w:t>
            </w:r>
            <w:r>
              <w:rPr>
                <w:sz w:val="16"/>
              </w:rPr>
              <w:t>3)</w:t>
            </w:r>
            <w:r>
              <w:rPr>
                <w:spacing w:val="-3"/>
                <w:sz w:val="16"/>
              </w:rPr>
              <w:t xml:space="preserve"> </w:t>
            </w:r>
            <w:r>
              <w:rPr>
                <w:spacing w:val="-2"/>
                <w:sz w:val="16"/>
              </w:rPr>
              <w:t>repair</w:t>
            </w:r>
          </w:p>
        </w:tc>
        <w:tc>
          <w:tcPr>
            <w:tcW w:w="1375" w:type="dxa"/>
            <w:shd w:val="clear" w:color="auto" w:fill="CCE2ED"/>
          </w:tcPr>
          <w:p w14:paraId="4158823C"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7B89106F" w14:textId="77777777" w:rsidR="00141B97" w:rsidRDefault="00911D63">
            <w:pPr>
              <w:pStyle w:val="TableParagraph"/>
              <w:spacing w:before="142"/>
              <w:ind w:right="97"/>
              <w:jc w:val="right"/>
              <w:rPr>
                <w:sz w:val="16"/>
              </w:rPr>
            </w:pPr>
            <w:r>
              <w:rPr>
                <w:spacing w:val="-2"/>
                <w:sz w:val="16"/>
              </w:rPr>
              <w:t>Renewals</w:t>
            </w:r>
          </w:p>
        </w:tc>
        <w:tc>
          <w:tcPr>
            <w:tcW w:w="1226" w:type="dxa"/>
            <w:shd w:val="clear" w:color="auto" w:fill="CCE2ED"/>
          </w:tcPr>
          <w:p w14:paraId="54486DF4"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79AF1EC0"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4E3BA848" w14:textId="77777777" w:rsidR="00141B97" w:rsidRDefault="00911D63">
            <w:pPr>
              <w:pStyle w:val="TableParagraph"/>
              <w:spacing w:before="142"/>
              <w:ind w:right="94"/>
              <w:jc w:val="right"/>
              <w:rPr>
                <w:sz w:val="16"/>
              </w:rPr>
            </w:pPr>
            <w:r>
              <w:rPr>
                <w:spacing w:val="-4"/>
                <w:sz w:val="16"/>
              </w:rPr>
              <w:t>0.10</w:t>
            </w:r>
          </w:p>
        </w:tc>
        <w:tc>
          <w:tcPr>
            <w:tcW w:w="1226" w:type="dxa"/>
            <w:shd w:val="clear" w:color="auto" w:fill="CCE2ED"/>
          </w:tcPr>
          <w:p w14:paraId="61B3A7CC" w14:textId="77777777" w:rsidR="00141B97" w:rsidRDefault="00911D63">
            <w:pPr>
              <w:pStyle w:val="TableParagraph"/>
              <w:spacing w:before="142"/>
              <w:ind w:right="94"/>
              <w:jc w:val="right"/>
              <w:rPr>
                <w:sz w:val="16"/>
              </w:rPr>
            </w:pPr>
            <w:r>
              <w:rPr>
                <w:spacing w:val="-4"/>
                <w:sz w:val="16"/>
              </w:rPr>
              <w:t>0.15</w:t>
            </w:r>
          </w:p>
        </w:tc>
        <w:tc>
          <w:tcPr>
            <w:tcW w:w="1225" w:type="dxa"/>
            <w:shd w:val="clear" w:color="auto" w:fill="CCE2ED"/>
          </w:tcPr>
          <w:p w14:paraId="44392E8D" w14:textId="77777777" w:rsidR="00141B97" w:rsidRDefault="00911D63">
            <w:pPr>
              <w:pStyle w:val="TableParagraph"/>
              <w:spacing w:before="142"/>
              <w:ind w:right="93"/>
              <w:jc w:val="right"/>
              <w:rPr>
                <w:sz w:val="16"/>
              </w:rPr>
            </w:pPr>
            <w:r>
              <w:rPr>
                <w:spacing w:val="-4"/>
                <w:sz w:val="16"/>
              </w:rPr>
              <w:t>0.20</w:t>
            </w:r>
          </w:p>
        </w:tc>
        <w:tc>
          <w:tcPr>
            <w:tcW w:w="1022" w:type="dxa"/>
            <w:tcBorders>
              <w:right w:val="nil"/>
            </w:tcBorders>
            <w:shd w:val="clear" w:color="auto" w:fill="CCE2ED"/>
          </w:tcPr>
          <w:p w14:paraId="60BBB136" w14:textId="77777777" w:rsidR="00141B97" w:rsidRDefault="00911D63">
            <w:pPr>
              <w:pStyle w:val="TableParagraph"/>
              <w:spacing w:before="142"/>
              <w:ind w:right="83"/>
              <w:jc w:val="right"/>
              <w:rPr>
                <w:sz w:val="16"/>
              </w:rPr>
            </w:pPr>
            <w:r>
              <w:rPr>
                <w:spacing w:val="-4"/>
                <w:sz w:val="16"/>
              </w:rPr>
              <w:t>0.45</w:t>
            </w:r>
          </w:p>
        </w:tc>
      </w:tr>
      <w:tr w:rsidR="00141B97" w14:paraId="6489BD4C" w14:textId="77777777">
        <w:trPr>
          <w:trHeight w:val="479"/>
          <w:tblCellSpacing w:w="9" w:type="dxa"/>
        </w:trPr>
        <w:tc>
          <w:tcPr>
            <w:tcW w:w="5249" w:type="dxa"/>
            <w:tcBorders>
              <w:left w:val="nil"/>
            </w:tcBorders>
            <w:shd w:val="clear" w:color="auto" w:fill="CCE2ED"/>
          </w:tcPr>
          <w:p w14:paraId="22683638" w14:textId="77777777" w:rsidR="00141B97" w:rsidRDefault="00911D63">
            <w:pPr>
              <w:pStyle w:val="TableParagraph"/>
              <w:spacing w:before="142"/>
              <w:ind w:left="88"/>
              <w:rPr>
                <w:sz w:val="16"/>
              </w:rPr>
            </w:pPr>
            <w:r>
              <w:rPr>
                <w:sz w:val="16"/>
              </w:rPr>
              <w:t>KER</w:t>
            </w:r>
            <w:r>
              <w:rPr>
                <w:spacing w:val="-5"/>
                <w:sz w:val="16"/>
              </w:rPr>
              <w:t xml:space="preserve"> </w:t>
            </w:r>
            <w:r>
              <w:rPr>
                <w:sz w:val="16"/>
              </w:rPr>
              <w:t>KERANG</w:t>
            </w:r>
            <w:r>
              <w:rPr>
                <w:spacing w:val="-5"/>
                <w:sz w:val="16"/>
              </w:rPr>
              <w:t xml:space="preserve"> </w:t>
            </w:r>
            <w:r>
              <w:rPr>
                <w:sz w:val="16"/>
              </w:rPr>
              <w:t>URBAN</w:t>
            </w:r>
            <w:r>
              <w:rPr>
                <w:spacing w:val="-6"/>
                <w:sz w:val="16"/>
              </w:rPr>
              <w:t xml:space="preserve"> </w:t>
            </w:r>
            <w:r>
              <w:rPr>
                <w:sz w:val="16"/>
              </w:rPr>
              <w:t>(IP)</w:t>
            </w:r>
            <w:r>
              <w:rPr>
                <w:spacing w:val="-4"/>
                <w:sz w:val="16"/>
              </w:rPr>
              <w:t xml:space="preserve"> </w:t>
            </w:r>
            <w:r>
              <w:rPr>
                <w:sz w:val="16"/>
              </w:rPr>
              <w:t>RADIO</w:t>
            </w:r>
            <w:r>
              <w:rPr>
                <w:spacing w:val="-6"/>
                <w:sz w:val="16"/>
              </w:rPr>
              <w:t xml:space="preserve"> </w:t>
            </w:r>
            <w:r>
              <w:rPr>
                <w:sz w:val="16"/>
              </w:rPr>
              <w:t>TELEMETRY</w:t>
            </w:r>
            <w:r>
              <w:rPr>
                <w:spacing w:val="-4"/>
                <w:sz w:val="16"/>
              </w:rPr>
              <w:t xml:space="preserve"> </w:t>
            </w:r>
            <w:r>
              <w:rPr>
                <w:sz w:val="16"/>
              </w:rPr>
              <w:t>NETWORK</w:t>
            </w:r>
            <w:r>
              <w:rPr>
                <w:spacing w:val="-5"/>
                <w:sz w:val="16"/>
              </w:rPr>
              <w:t xml:space="preserve"> </w:t>
            </w:r>
            <w:r>
              <w:rPr>
                <w:sz w:val="16"/>
              </w:rPr>
              <w:t>‐</w:t>
            </w:r>
            <w:r>
              <w:rPr>
                <w:spacing w:val="-4"/>
                <w:sz w:val="16"/>
              </w:rPr>
              <w:t xml:space="preserve"> </w:t>
            </w:r>
            <w:r>
              <w:rPr>
                <w:sz w:val="16"/>
              </w:rPr>
              <w:t>S</w:t>
            </w:r>
            <w:r>
              <w:rPr>
                <w:spacing w:val="-6"/>
                <w:sz w:val="16"/>
              </w:rPr>
              <w:t xml:space="preserve"> </w:t>
            </w:r>
            <w:r>
              <w:rPr>
                <w:sz w:val="16"/>
              </w:rPr>
              <w:t>to</w:t>
            </w:r>
            <w:r>
              <w:rPr>
                <w:spacing w:val="-5"/>
                <w:sz w:val="16"/>
              </w:rPr>
              <w:t xml:space="preserve"> IP</w:t>
            </w:r>
          </w:p>
        </w:tc>
        <w:tc>
          <w:tcPr>
            <w:tcW w:w="1375" w:type="dxa"/>
            <w:shd w:val="clear" w:color="auto" w:fill="CCE2ED"/>
          </w:tcPr>
          <w:p w14:paraId="12F4D152"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550EFB7F"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AD326A1" w14:textId="77777777" w:rsidR="00141B97" w:rsidRDefault="00911D63">
            <w:pPr>
              <w:pStyle w:val="TableParagraph"/>
              <w:spacing w:before="142"/>
              <w:ind w:right="95"/>
              <w:jc w:val="right"/>
              <w:rPr>
                <w:sz w:val="16"/>
              </w:rPr>
            </w:pPr>
            <w:r>
              <w:rPr>
                <w:spacing w:val="-4"/>
                <w:sz w:val="16"/>
              </w:rPr>
              <w:t>0.21</w:t>
            </w:r>
          </w:p>
        </w:tc>
        <w:tc>
          <w:tcPr>
            <w:tcW w:w="1227" w:type="dxa"/>
            <w:shd w:val="clear" w:color="auto" w:fill="CCE2ED"/>
          </w:tcPr>
          <w:p w14:paraId="517DD31E"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6318FD90"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50C46B15"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1A4CE271"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1297CC6A" w14:textId="77777777" w:rsidR="00141B97" w:rsidRDefault="00911D63">
            <w:pPr>
              <w:pStyle w:val="TableParagraph"/>
              <w:spacing w:before="142"/>
              <w:ind w:right="83"/>
              <w:jc w:val="right"/>
              <w:rPr>
                <w:sz w:val="16"/>
              </w:rPr>
            </w:pPr>
            <w:r>
              <w:rPr>
                <w:spacing w:val="-4"/>
                <w:sz w:val="16"/>
              </w:rPr>
              <w:t>0.21</w:t>
            </w:r>
          </w:p>
        </w:tc>
      </w:tr>
      <w:tr w:rsidR="00141B97" w14:paraId="3DF8FF20" w14:textId="77777777">
        <w:trPr>
          <w:trHeight w:val="240"/>
          <w:tblCellSpacing w:w="9" w:type="dxa"/>
        </w:trPr>
        <w:tc>
          <w:tcPr>
            <w:tcW w:w="5249" w:type="dxa"/>
            <w:tcBorders>
              <w:left w:val="nil"/>
            </w:tcBorders>
            <w:shd w:val="clear" w:color="auto" w:fill="CCE2ED"/>
          </w:tcPr>
          <w:p w14:paraId="132FEEB2" w14:textId="77777777" w:rsidR="00141B97" w:rsidRDefault="00911D63">
            <w:pPr>
              <w:pStyle w:val="TableParagraph"/>
              <w:spacing w:before="22"/>
              <w:ind w:left="88"/>
              <w:rPr>
                <w:sz w:val="16"/>
              </w:rPr>
            </w:pPr>
            <w:r>
              <w:rPr>
                <w:sz w:val="16"/>
              </w:rPr>
              <w:t>MDA</w:t>
            </w:r>
            <w:r>
              <w:rPr>
                <w:spacing w:val="-5"/>
                <w:sz w:val="16"/>
              </w:rPr>
              <w:t xml:space="preserve"> </w:t>
            </w:r>
            <w:r>
              <w:rPr>
                <w:sz w:val="16"/>
              </w:rPr>
              <w:t>West</w:t>
            </w:r>
            <w:r>
              <w:rPr>
                <w:spacing w:val="-4"/>
                <w:sz w:val="16"/>
              </w:rPr>
              <w:t xml:space="preserve"> </w:t>
            </w:r>
            <w:r>
              <w:rPr>
                <w:sz w:val="16"/>
              </w:rPr>
              <w:t>WTP</w:t>
            </w:r>
            <w:r>
              <w:rPr>
                <w:spacing w:val="-4"/>
                <w:sz w:val="16"/>
              </w:rPr>
              <w:t xml:space="preserve"> </w:t>
            </w:r>
            <w:r>
              <w:rPr>
                <w:sz w:val="16"/>
              </w:rPr>
              <w:t>Replace</w:t>
            </w:r>
            <w:r>
              <w:rPr>
                <w:spacing w:val="-4"/>
                <w:sz w:val="16"/>
              </w:rPr>
              <w:t xml:space="preserve"> </w:t>
            </w:r>
            <w:r>
              <w:rPr>
                <w:sz w:val="16"/>
              </w:rPr>
              <w:t>Filter</w:t>
            </w:r>
            <w:r>
              <w:rPr>
                <w:spacing w:val="-3"/>
                <w:sz w:val="16"/>
              </w:rPr>
              <w:t xml:space="preserve"> </w:t>
            </w:r>
            <w:r>
              <w:rPr>
                <w:spacing w:val="-2"/>
                <w:sz w:val="16"/>
              </w:rPr>
              <w:t>Media</w:t>
            </w:r>
          </w:p>
        </w:tc>
        <w:tc>
          <w:tcPr>
            <w:tcW w:w="1375" w:type="dxa"/>
            <w:shd w:val="clear" w:color="auto" w:fill="CCE2ED"/>
          </w:tcPr>
          <w:p w14:paraId="30E4CD39"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54A1E424"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61BA0A26"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3924422D" w14:textId="77777777" w:rsidR="00141B97" w:rsidRDefault="00911D63">
            <w:pPr>
              <w:pStyle w:val="TableParagraph"/>
              <w:spacing w:before="22"/>
              <w:ind w:right="95"/>
              <w:jc w:val="right"/>
              <w:rPr>
                <w:sz w:val="16"/>
              </w:rPr>
            </w:pPr>
            <w:r>
              <w:rPr>
                <w:spacing w:val="-4"/>
                <w:sz w:val="16"/>
              </w:rPr>
              <w:t>0.10</w:t>
            </w:r>
          </w:p>
        </w:tc>
        <w:tc>
          <w:tcPr>
            <w:tcW w:w="1226" w:type="dxa"/>
            <w:shd w:val="clear" w:color="auto" w:fill="CCE2ED"/>
          </w:tcPr>
          <w:p w14:paraId="3F0B812E" w14:textId="77777777" w:rsidR="00141B97" w:rsidRDefault="00911D63">
            <w:pPr>
              <w:pStyle w:val="TableParagraph"/>
              <w:spacing w:before="22"/>
              <w:ind w:right="94"/>
              <w:jc w:val="right"/>
              <w:rPr>
                <w:sz w:val="16"/>
              </w:rPr>
            </w:pPr>
            <w:r>
              <w:rPr>
                <w:spacing w:val="-4"/>
                <w:sz w:val="16"/>
              </w:rPr>
              <w:t>0.14</w:t>
            </w:r>
          </w:p>
        </w:tc>
        <w:tc>
          <w:tcPr>
            <w:tcW w:w="1226" w:type="dxa"/>
            <w:shd w:val="clear" w:color="auto" w:fill="CCE2ED"/>
          </w:tcPr>
          <w:p w14:paraId="37678A78"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1A37DF62"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6C817882" w14:textId="77777777" w:rsidR="00141B97" w:rsidRDefault="00911D63">
            <w:pPr>
              <w:pStyle w:val="TableParagraph"/>
              <w:spacing w:before="22"/>
              <w:ind w:right="83"/>
              <w:jc w:val="right"/>
              <w:rPr>
                <w:sz w:val="16"/>
              </w:rPr>
            </w:pPr>
            <w:r>
              <w:rPr>
                <w:spacing w:val="-4"/>
                <w:sz w:val="16"/>
              </w:rPr>
              <w:t>0.24</w:t>
            </w:r>
          </w:p>
        </w:tc>
      </w:tr>
      <w:tr w:rsidR="00141B97" w14:paraId="6132744A" w14:textId="77777777">
        <w:trPr>
          <w:trHeight w:val="480"/>
          <w:tblCellSpacing w:w="9" w:type="dxa"/>
        </w:trPr>
        <w:tc>
          <w:tcPr>
            <w:tcW w:w="5249" w:type="dxa"/>
            <w:tcBorders>
              <w:left w:val="nil"/>
            </w:tcBorders>
            <w:shd w:val="clear" w:color="auto" w:fill="CCE2ED"/>
          </w:tcPr>
          <w:p w14:paraId="146037AF" w14:textId="77777777" w:rsidR="00141B97" w:rsidRDefault="00911D63">
            <w:pPr>
              <w:pStyle w:val="TableParagraph"/>
              <w:spacing w:before="142"/>
              <w:ind w:left="88"/>
              <w:rPr>
                <w:sz w:val="16"/>
              </w:rPr>
            </w:pPr>
            <w:r>
              <w:rPr>
                <w:sz w:val="16"/>
              </w:rPr>
              <w:t>MDA</w:t>
            </w:r>
            <w:r>
              <w:rPr>
                <w:spacing w:val="-5"/>
                <w:sz w:val="16"/>
              </w:rPr>
              <w:t xml:space="preserve"> </w:t>
            </w:r>
            <w:r>
              <w:rPr>
                <w:sz w:val="16"/>
              </w:rPr>
              <w:t>WTP</w:t>
            </w:r>
            <w:r>
              <w:rPr>
                <w:spacing w:val="-4"/>
                <w:sz w:val="16"/>
              </w:rPr>
              <w:t xml:space="preserve"> </w:t>
            </w:r>
            <w:r>
              <w:rPr>
                <w:sz w:val="16"/>
              </w:rPr>
              <w:t>Wash</w:t>
            </w:r>
            <w:r>
              <w:rPr>
                <w:spacing w:val="-4"/>
                <w:sz w:val="16"/>
              </w:rPr>
              <w:t xml:space="preserve"> </w:t>
            </w:r>
            <w:r>
              <w:rPr>
                <w:sz w:val="16"/>
              </w:rPr>
              <w:t>Water</w:t>
            </w:r>
            <w:r>
              <w:rPr>
                <w:spacing w:val="-5"/>
                <w:sz w:val="16"/>
              </w:rPr>
              <w:t xml:space="preserve"> </w:t>
            </w:r>
            <w:r>
              <w:rPr>
                <w:sz w:val="16"/>
              </w:rPr>
              <w:t>Balance</w:t>
            </w:r>
            <w:r>
              <w:rPr>
                <w:spacing w:val="-3"/>
                <w:sz w:val="16"/>
              </w:rPr>
              <w:t xml:space="preserve"> </w:t>
            </w:r>
            <w:r>
              <w:rPr>
                <w:spacing w:val="-4"/>
                <w:sz w:val="16"/>
              </w:rPr>
              <w:t>Tank</w:t>
            </w:r>
          </w:p>
        </w:tc>
        <w:tc>
          <w:tcPr>
            <w:tcW w:w="1375" w:type="dxa"/>
            <w:shd w:val="clear" w:color="auto" w:fill="CCE2ED"/>
          </w:tcPr>
          <w:p w14:paraId="4A44EBDF"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5119A5CC" w14:textId="77777777" w:rsidR="00141B97" w:rsidRDefault="00911D63">
            <w:pPr>
              <w:pStyle w:val="TableParagraph"/>
              <w:spacing w:before="45"/>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5FFA7081" w14:textId="77777777" w:rsidR="00141B97" w:rsidRDefault="00911D63">
            <w:pPr>
              <w:pStyle w:val="TableParagraph"/>
              <w:spacing w:before="142"/>
              <w:ind w:right="95"/>
              <w:jc w:val="right"/>
              <w:rPr>
                <w:sz w:val="16"/>
              </w:rPr>
            </w:pPr>
            <w:r>
              <w:rPr>
                <w:spacing w:val="-4"/>
                <w:sz w:val="16"/>
              </w:rPr>
              <w:t>0.20</w:t>
            </w:r>
          </w:p>
        </w:tc>
        <w:tc>
          <w:tcPr>
            <w:tcW w:w="1227" w:type="dxa"/>
            <w:shd w:val="clear" w:color="auto" w:fill="CCE2ED"/>
          </w:tcPr>
          <w:p w14:paraId="25BAE632" w14:textId="77777777" w:rsidR="00141B97" w:rsidRDefault="00911D63">
            <w:pPr>
              <w:pStyle w:val="TableParagraph"/>
              <w:spacing w:before="142"/>
              <w:ind w:right="95"/>
              <w:jc w:val="right"/>
              <w:rPr>
                <w:sz w:val="16"/>
              </w:rPr>
            </w:pPr>
            <w:r>
              <w:rPr>
                <w:spacing w:val="-4"/>
                <w:sz w:val="16"/>
              </w:rPr>
              <w:t>0.80</w:t>
            </w:r>
          </w:p>
        </w:tc>
        <w:tc>
          <w:tcPr>
            <w:tcW w:w="1226" w:type="dxa"/>
            <w:shd w:val="clear" w:color="auto" w:fill="CCE2ED"/>
          </w:tcPr>
          <w:p w14:paraId="0E1DE422"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2BC5A945"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58FB8964"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44D2AC8D" w14:textId="77777777" w:rsidR="00141B97" w:rsidRDefault="00911D63">
            <w:pPr>
              <w:pStyle w:val="TableParagraph"/>
              <w:spacing w:before="142"/>
              <w:ind w:right="83"/>
              <w:jc w:val="right"/>
              <w:rPr>
                <w:sz w:val="16"/>
              </w:rPr>
            </w:pPr>
            <w:r>
              <w:rPr>
                <w:spacing w:val="-4"/>
                <w:sz w:val="16"/>
              </w:rPr>
              <w:t>1.00</w:t>
            </w:r>
          </w:p>
        </w:tc>
      </w:tr>
      <w:tr w:rsidR="00141B97" w14:paraId="06B4DD37" w14:textId="77777777">
        <w:trPr>
          <w:trHeight w:val="239"/>
          <w:tblCellSpacing w:w="9" w:type="dxa"/>
        </w:trPr>
        <w:tc>
          <w:tcPr>
            <w:tcW w:w="5249" w:type="dxa"/>
            <w:tcBorders>
              <w:left w:val="nil"/>
            </w:tcBorders>
            <w:shd w:val="clear" w:color="auto" w:fill="CCE2ED"/>
          </w:tcPr>
          <w:p w14:paraId="67A41744" w14:textId="77777777" w:rsidR="00141B97" w:rsidRDefault="00911D63">
            <w:pPr>
              <w:pStyle w:val="TableParagraph"/>
              <w:spacing w:before="22"/>
              <w:ind w:left="88"/>
              <w:rPr>
                <w:sz w:val="16"/>
              </w:rPr>
            </w:pPr>
            <w:r>
              <w:rPr>
                <w:sz w:val="16"/>
              </w:rPr>
              <w:t>MDA</w:t>
            </w:r>
            <w:r>
              <w:rPr>
                <w:spacing w:val="-5"/>
                <w:sz w:val="16"/>
              </w:rPr>
              <w:t xml:space="preserve"> </w:t>
            </w:r>
            <w:r>
              <w:rPr>
                <w:sz w:val="16"/>
              </w:rPr>
              <w:t>WTP</w:t>
            </w:r>
            <w:r>
              <w:rPr>
                <w:spacing w:val="-4"/>
                <w:sz w:val="16"/>
              </w:rPr>
              <w:t xml:space="preserve"> </w:t>
            </w:r>
            <w:r>
              <w:rPr>
                <w:sz w:val="16"/>
              </w:rPr>
              <w:t>Replace</w:t>
            </w:r>
            <w:r>
              <w:rPr>
                <w:spacing w:val="-3"/>
                <w:sz w:val="16"/>
              </w:rPr>
              <w:t xml:space="preserve"> </w:t>
            </w:r>
            <w:r>
              <w:rPr>
                <w:sz w:val="16"/>
              </w:rPr>
              <w:t>Filter</w:t>
            </w:r>
            <w:r>
              <w:rPr>
                <w:spacing w:val="-4"/>
                <w:sz w:val="16"/>
              </w:rPr>
              <w:t xml:space="preserve"> </w:t>
            </w:r>
            <w:r>
              <w:rPr>
                <w:spacing w:val="-2"/>
                <w:sz w:val="16"/>
              </w:rPr>
              <w:t>Media</w:t>
            </w:r>
          </w:p>
        </w:tc>
        <w:tc>
          <w:tcPr>
            <w:tcW w:w="1375" w:type="dxa"/>
            <w:shd w:val="clear" w:color="auto" w:fill="CCE2ED"/>
          </w:tcPr>
          <w:p w14:paraId="1D1D8A7C"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1156776A"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3D2FD21C" w14:textId="77777777" w:rsidR="00141B97" w:rsidRDefault="00911D63">
            <w:pPr>
              <w:pStyle w:val="TableParagraph"/>
              <w:spacing w:before="22"/>
              <w:ind w:right="95"/>
              <w:jc w:val="right"/>
              <w:rPr>
                <w:sz w:val="16"/>
              </w:rPr>
            </w:pPr>
            <w:r>
              <w:rPr>
                <w:spacing w:val="-4"/>
                <w:sz w:val="16"/>
              </w:rPr>
              <w:t>0.30</w:t>
            </w:r>
          </w:p>
        </w:tc>
        <w:tc>
          <w:tcPr>
            <w:tcW w:w="1227" w:type="dxa"/>
            <w:shd w:val="clear" w:color="auto" w:fill="CCE2ED"/>
          </w:tcPr>
          <w:p w14:paraId="6E9C4347" w14:textId="77777777" w:rsidR="00141B97" w:rsidRDefault="00911D63">
            <w:pPr>
              <w:pStyle w:val="TableParagraph"/>
              <w:spacing w:before="22"/>
              <w:ind w:right="95"/>
              <w:jc w:val="right"/>
              <w:rPr>
                <w:sz w:val="16"/>
              </w:rPr>
            </w:pPr>
            <w:r>
              <w:rPr>
                <w:spacing w:val="-4"/>
                <w:sz w:val="16"/>
              </w:rPr>
              <w:t>0.45</w:t>
            </w:r>
          </w:p>
        </w:tc>
        <w:tc>
          <w:tcPr>
            <w:tcW w:w="1226" w:type="dxa"/>
            <w:shd w:val="clear" w:color="auto" w:fill="CCE2ED"/>
          </w:tcPr>
          <w:p w14:paraId="7BCDE317"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248DE391"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725FEF0A"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656249C4" w14:textId="77777777" w:rsidR="00141B97" w:rsidRDefault="00911D63">
            <w:pPr>
              <w:pStyle w:val="TableParagraph"/>
              <w:spacing w:before="22"/>
              <w:ind w:right="83"/>
              <w:jc w:val="right"/>
              <w:rPr>
                <w:sz w:val="16"/>
              </w:rPr>
            </w:pPr>
            <w:r>
              <w:rPr>
                <w:spacing w:val="-4"/>
                <w:sz w:val="16"/>
              </w:rPr>
              <w:t>0.75</w:t>
            </w:r>
          </w:p>
        </w:tc>
      </w:tr>
      <w:tr w:rsidR="00141B97" w14:paraId="176EA11C" w14:textId="77777777">
        <w:trPr>
          <w:trHeight w:val="240"/>
          <w:tblCellSpacing w:w="9" w:type="dxa"/>
        </w:trPr>
        <w:tc>
          <w:tcPr>
            <w:tcW w:w="5249" w:type="dxa"/>
            <w:tcBorders>
              <w:left w:val="nil"/>
              <w:bottom w:val="nil"/>
            </w:tcBorders>
            <w:shd w:val="clear" w:color="auto" w:fill="CCE2ED"/>
          </w:tcPr>
          <w:p w14:paraId="639747DE" w14:textId="77777777" w:rsidR="00141B97" w:rsidRDefault="00911D63">
            <w:pPr>
              <w:pStyle w:val="TableParagraph"/>
              <w:spacing w:before="22"/>
              <w:ind w:left="88"/>
              <w:rPr>
                <w:sz w:val="16"/>
              </w:rPr>
            </w:pPr>
            <w:r>
              <w:rPr>
                <w:sz w:val="16"/>
              </w:rPr>
              <w:t>MDA</w:t>
            </w:r>
            <w:r>
              <w:rPr>
                <w:spacing w:val="-7"/>
                <w:sz w:val="16"/>
              </w:rPr>
              <w:t xml:space="preserve"> </w:t>
            </w:r>
            <w:r>
              <w:rPr>
                <w:sz w:val="16"/>
              </w:rPr>
              <w:t>Radiotelemetry</w:t>
            </w:r>
            <w:r>
              <w:rPr>
                <w:spacing w:val="-5"/>
                <w:sz w:val="16"/>
              </w:rPr>
              <w:t xml:space="preserve"> </w:t>
            </w:r>
            <w:r>
              <w:rPr>
                <w:sz w:val="16"/>
              </w:rPr>
              <w:t>Network</w:t>
            </w:r>
            <w:r>
              <w:rPr>
                <w:spacing w:val="-5"/>
                <w:sz w:val="16"/>
              </w:rPr>
              <w:t xml:space="preserve"> </w:t>
            </w:r>
            <w:r>
              <w:rPr>
                <w:sz w:val="16"/>
              </w:rPr>
              <w:t>‐</w:t>
            </w:r>
            <w:r>
              <w:rPr>
                <w:spacing w:val="-6"/>
                <w:sz w:val="16"/>
              </w:rPr>
              <w:t xml:space="preserve"> </w:t>
            </w:r>
            <w:r>
              <w:rPr>
                <w:sz w:val="16"/>
              </w:rPr>
              <w:t>Water</w:t>
            </w:r>
            <w:r>
              <w:rPr>
                <w:spacing w:val="-6"/>
                <w:sz w:val="16"/>
              </w:rPr>
              <w:t xml:space="preserve"> </w:t>
            </w:r>
            <w:r>
              <w:rPr>
                <w:sz w:val="16"/>
              </w:rPr>
              <w:t>Outstations</w:t>
            </w:r>
            <w:r>
              <w:rPr>
                <w:spacing w:val="-6"/>
                <w:sz w:val="16"/>
              </w:rPr>
              <w:t xml:space="preserve"> </w:t>
            </w:r>
            <w:r>
              <w:rPr>
                <w:spacing w:val="-2"/>
                <w:sz w:val="16"/>
              </w:rPr>
              <w:t>Renewal</w:t>
            </w:r>
          </w:p>
        </w:tc>
        <w:tc>
          <w:tcPr>
            <w:tcW w:w="1375" w:type="dxa"/>
            <w:tcBorders>
              <w:bottom w:val="nil"/>
            </w:tcBorders>
            <w:shd w:val="clear" w:color="auto" w:fill="CCE2ED"/>
          </w:tcPr>
          <w:p w14:paraId="3DACF507" w14:textId="77777777" w:rsidR="00141B97" w:rsidRDefault="00911D63">
            <w:pPr>
              <w:pStyle w:val="TableParagraph"/>
              <w:spacing w:before="22"/>
              <w:ind w:right="95"/>
              <w:jc w:val="right"/>
              <w:rPr>
                <w:sz w:val="16"/>
              </w:rPr>
            </w:pPr>
            <w:r>
              <w:rPr>
                <w:spacing w:val="-2"/>
                <w:sz w:val="16"/>
              </w:rPr>
              <w:t>Water</w:t>
            </w:r>
          </w:p>
        </w:tc>
        <w:tc>
          <w:tcPr>
            <w:tcW w:w="1886" w:type="dxa"/>
            <w:tcBorders>
              <w:bottom w:val="nil"/>
            </w:tcBorders>
            <w:shd w:val="clear" w:color="auto" w:fill="CCE2ED"/>
          </w:tcPr>
          <w:p w14:paraId="2F40DE2B" w14:textId="77777777" w:rsidR="00141B97" w:rsidRDefault="00911D63">
            <w:pPr>
              <w:pStyle w:val="TableParagraph"/>
              <w:spacing w:before="22"/>
              <w:ind w:right="97"/>
              <w:jc w:val="right"/>
              <w:rPr>
                <w:sz w:val="16"/>
              </w:rPr>
            </w:pPr>
            <w:r>
              <w:rPr>
                <w:spacing w:val="-2"/>
                <w:sz w:val="16"/>
              </w:rPr>
              <w:t>Renewals</w:t>
            </w:r>
          </w:p>
        </w:tc>
        <w:tc>
          <w:tcPr>
            <w:tcW w:w="1226" w:type="dxa"/>
            <w:tcBorders>
              <w:bottom w:val="nil"/>
            </w:tcBorders>
            <w:shd w:val="clear" w:color="auto" w:fill="CCE2ED"/>
          </w:tcPr>
          <w:p w14:paraId="6697DC2E" w14:textId="77777777" w:rsidR="00141B97" w:rsidRDefault="00911D63">
            <w:pPr>
              <w:pStyle w:val="TableParagraph"/>
              <w:spacing w:before="22"/>
              <w:ind w:right="95"/>
              <w:jc w:val="right"/>
              <w:rPr>
                <w:sz w:val="16"/>
              </w:rPr>
            </w:pPr>
            <w:r>
              <w:rPr>
                <w:spacing w:val="-4"/>
                <w:sz w:val="16"/>
              </w:rPr>
              <w:t>0.67</w:t>
            </w:r>
          </w:p>
        </w:tc>
        <w:tc>
          <w:tcPr>
            <w:tcW w:w="1227" w:type="dxa"/>
            <w:tcBorders>
              <w:bottom w:val="nil"/>
            </w:tcBorders>
            <w:shd w:val="clear" w:color="auto" w:fill="CCE2ED"/>
          </w:tcPr>
          <w:p w14:paraId="6AE6B244" w14:textId="77777777" w:rsidR="00141B97" w:rsidRDefault="00911D63">
            <w:pPr>
              <w:pStyle w:val="TableParagraph"/>
              <w:spacing w:before="22"/>
              <w:ind w:right="95"/>
              <w:jc w:val="right"/>
              <w:rPr>
                <w:sz w:val="16"/>
              </w:rPr>
            </w:pPr>
            <w:r>
              <w:rPr>
                <w:spacing w:val="-4"/>
                <w:sz w:val="16"/>
              </w:rPr>
              <w:t>0.00</w:t>
            </w:r>
          </w:p>
        </w:tc>
        <w:tc>
          <w:tcPr>
            <w:tcW w:w="1226" w:type="dxa"/>
            <w:tcBorders>
              <w:bottom w:val="nil"/>
            </w:tcBorders>
            <w:shd w:val="clear" w:color="auto" w:fill="CCE2ED"/>
          </w:tcPr>
          <w:p w14:paraId="2F51C793" w14:textId="77777777" w:rsidR="00141B97" w:rsidRDefault="00911D63">
            <w:pPr>
              <w:pStyle w:val="TableParagraph"/>
              <w:spacing w:before="22"/>
              <w:ind w:right="94"/>
              <w:jc w:val="right"/>
              <w:rPr>
                <w:sz w:val="16"/>
              </w:rPr>
            </w:pPr>
            <w:r>
              <w:rPr>
                <w:spacing w:val="-4"/>
                <w:sz w:val="16"/>
              </w:rPr>
              <w:t>0.00</w:t>
            </w:r>
          </w:p>
        </w:tc>
        <w:tc>
          <w:tcPr>
            <w:tcW w:w="1226" w:type="dxa"/>
            <w:tcBorders>
              <w:bottom w:val="nil"/>
            </w:tcBorders>
            <w:shd w:val="clear" w:color="auto" w:fill="CCE2ED"/>
          </w:tcPr>
          <w:p w14:paraId="6F622964" w14:textId="77777777" w:rsidR="00141B97" w:rsidRDefault="00911D63">
            <w:pPr>
              <w:pStyle w:val="TableParagraph"/>
              <w:spacing w:before="22"/>
              <w:ind w:right="94"/>
              <w:jc w:val="right"/>
              <w:rPr>
                <w:sz w:val="16"/>
              </w:rPr>
            </w:pPr>
            <w:r>
              <w:rPr>
                <w:spacing w:val="-4"/>
                <w:sz w:val="16"/>
              </w:rPr>
              <w:t>0.00</w:t>
            </w:r>
          </w:p>
        </w:tc>
        <w:tc>
          <w:tcPr>
            <w:tcW w:w="1225" w:type="dxa"/>
            <w:tcBorders>
              <w:bottom w:val="nil"/>
            </w:tcBorders>
            <w:shd w:val="clear" w:color="auto" w:fill="CCE2ED"/>
          </w:tcPr>
          <w:p w14:paraId="23DADD1D" w14:textId="77777777" w:rsidR="00141B97" w:rsidRDefault="00911D63">
            <w:pPr>
              <w:pStyle w:val="TableParagraph"/>
              <w:spacing w:before="22"/>
              <w:ind w:right="93"/>
              <w:jc w:val="right"/>
              <w:rPr>
                <w:sz w:val="16"/>
              </w:rPr>
            </w:pPr>
            <w:r>
              <w:rPr>
                <w:spacing w:val="-4"/>
                <w:sz w:val="16"/>
              </w:rPr>
              <w:t>0.00</w:t>
            </w:r>
          </w:p>
        </w:tc>
        <w:tc>
          <w:tcPr>
            <w:tcW w:w="1022" w:type="dxa"/>
            <w:tcBorders>
              <w:bottom w:val="nil"/>
              <w:right w:val="nil"/>
            </w:tcBorders>
            <w:shd w:val="clear" w:color="auto" w:fill="CCE2ED"/>
          </w:tcPr>
          <w:p w14:paraId="1E6157B6" w14:textId="77777777" w:rsidR="00141B97" w:rsidRDefault="00911D63">
            <w:pPr>
              <w:pStyle w:val="TableParagraph"/>
              <w:spacing w:before="22"/>
              <w:ind w:right="83"/>
              <w:jc w:val="right"/>
              <w:rPr>
                <w:sz w:val="16"/>
              </w:rPr>
            </w:pPr>
            <w:r>
              <w:rPr>
                <w:spacing w:val="-4"/>
                <w:sz w:val="16"/>
              </w:rPr>
              <w:t>0.67</w:t>
            </w:r>
          </w:p>
        </w:tc>
      </w:tr>
    </w:tbl>
    <w:p w14:paraId="0A27674C" w14:textId="77777777" w:rsidR="00141B97" w:rsidRDefault="00141B97">
      <w:pPr>
        <w:jc w:val="right"/>
        <w:rPr>
          <w:sz w:val="16"/>
        </w:rPr>
        <w:sectPr w:rsidR="00141B97">
          <w:pgSz w:w="16840" w:h="11910" w:orient="landscape"/>
          <w:pgMar w:top="840" w:right="600" w:bottom="540" w:left="300" w:header="0" w:footer="345" w:gutter="0"/>
          <w:cols w:space="720"/>
        </w:sectPr>
      </w:pPr>
    </w:p>
    <w:p w14:paraId="24B283F6" w14:textId="77777777" w:rsidR="00141B97" w:rsidRDefault="00141B97">
      <w:pPr>
        <w:pStyle w:val="BodyText"/>
        <w:spacing w:before="1"/>
        <w:rPr>
          <w:sz w:val="2"/>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276"/>
        <w:gridCol w:w="1393"/>
        <w:gridCol w:w="1904"/>
        <w:gridCol w:w="1244"/>
        <w:gridCol w:w="1245"/>
        <w:gridCol w:w="1244"/>
        <w:gridCol w:w="1244"/>
        <w:gridCol w:w="1243"/>
        <w:gridCol w:w="1049"/>
      </w:tblGrid>
      <w:tr w:rsidR="00141B97" w14:paraId="43296A3B" w14:textId="77777777">
        <w:trPr>
          <w:trHeight w:val="480"/>
          <w:tblCellSpacing w:w="9" w:type="dxa"/>
        </w:trPr>
        <w:tc>
          <w:tcPr>
            <w:tcW w:w="5249" w:type="dxa"/>
            <w:tcBorders>
              <w:top w:val="nil"/>
              <w:left w:val="nil"/>
            </w:tcBorders>
            <w:shd w:val="clear" w:color="auto" w:fill="006CA3"/>
          </w:tcPr>
          <w:p w14:paraId="6F7D346E" w14:textId="77777777" w:rsidR="00141B97" w:rsidRDefault="00911D63">
            <w:pPr>
              <w:pStyle w:val="TableParagraph"/>
              <w:spacing w:before="143"/>
              <w:ind w:left="88"/>
              <w:rPr>
                <w:sz w:val="16"/>
              </w:rPr>
            </w:pPr>
            <w:r>
              <w:rPr>
                <w:color w:val="FFFFFF"/>
                <w:w w:val="95"/>
                <w:sz w:val="16"/>
              </w:rPr>
              <w:t>Project/program</w:t>
            </w:r>
            <w:r>
              <w:rPr>
                <w:color w:val="FFFFFF"/>
                <w:spacing w:val="40"/>
                <w:sz w:val="16"/>
              </w:rPr>
              <w:t xml:space="preserve"> </w:t>
            </w:r>
            <w:r>
              <w:rPr>
                <w:color w:val="FFFFFF"/>
                <w:spacing w:val="-4"/>
                <w:w w:val="95"/>
                <w:sz w:val="16"/>
              </w:rPr>
              <w:t>Name</w:t>
            </w:r>
          </w:p>
        </w:tc>
        <w:tc>
          <w:tcPr>
            <w:tcW w:w="1375" w:type="dxa"/>
            <w:tcBorders>
              <w:top w:val="nil"/>
            </w:tcBorders>
            <w:shd w:val="clear" w:color="auto" w:fill="006CA3"/>
          </w:tcPr>
          <w:p w14:paraId="3151456A" w14:textId="77777777" w:rsidR="00141B97" w:rsidRDefault="00911D63">
            <w:pPr>
              <w:pStyle w:val="TableParagraph"/>
              <w:spacing w:before="143"/>
              <w:ind w:right="94"/>
              <w:jc w:val="right"/>
              <w:rPr>
                <w:sz w:val="16"/>
              </w:rPr>
            </w:pPr>
            <w:r>
              <w:rPr>
                <w:color w:val="F1F1F1"/>
                <w:spacing w:val="-2"/>
                <w:sz w:val="16"/>
              </w:rPr>
              <w:t>Service</w:t>
            </w:r>
          </w:p>
        </w:tc>
        <w:tc>
          <w:tcPr>
            <w:tcW w:w="1886" w:type="dxa"/>
            <w:tcBorders>
              <w:top w:val="nil"/>
            </w:tcBorders>
            <w:shd w:val="clear" w:color="auto" w:fill="006CA3"/>
          </w:tcPr>
          <w:p w14:paraId="15E0CB40" w14:textId="77777777" w:rsidR="00141B97" w:rsidRDefault="00911D63">
            <w:pPr>
              <w:pStyle w:val="TableParagraph"/>
              <w:spacing w:before="143"/>
              <w:ind w:right="94"/>
              <w:jc w:val="right"/>
              <w:rPr>
                <w:sz w:val="16"/>
              </w:rPr>
            </w:pPr>
            <w:r>
              <w:rPr>
                <w:color w:val="F1F1F1"/>
                <w:sz w:val="16"/>
              </w:rPr>
              <w:t>Major</w:t>
            </w:r>
            <w:r>
              <w:rPr>
                <w:color w:val="F1F1F1"/>
                <w:spacing w:val="-6"/>
                <w:sz w:val="16"/>
              </w:rPr>
              <w:t xml:space="preserve"> </w:t>
            </w:r>
            <w:r>
              <w:rPr>
                <w:color w:val="F1F1F1"/>
                <w:sz w:val="16"/>
              </w:rPr>
              <w:t>cost</w:t>
            </w:r>
            <w:r>
              <w:rPr>
                <w:color w:val="F1F1F1"/>
                <w:spacing w:val="-4"/>
                <w:sz w:val="16"/>
              </w:rPr>
              <w:t xml:space="preserve"> </w:t>
            </w:r>
            <w:r>
              <w:rPr>
                <w:color w:val="F1F1F1"/>
                <w:spacing w:val="-2"/>
                <w:sz w:val="16"/>
              </w:rPr>
              <w:t>driver</w:t>
            </w:r>
          </w:p>
        </w:tc>
        <w:tc>
          <w:tcPr>
            <w:tcW w:w="1226" w:type="dxa"/>
            <w:tcBorders>
              <w:top w:val="nil"/>
            </w:tcBorders>
            <w:shd w:val="clear" w:color="auto" w:fill="006CA3"/>
          </w:tcPr>
          <w:p w14:paraId="6BE2249F" w14:textId="77777777" w:rsidR="00141B97" w:rsidRDefault="00911D63">
            <w:pPr>
              <w:pStyle w:val="TableParagraph"/>
              <w:spacing w:before="143"/>
              <w:ind w:right="92"/>
              <w:jc w:val="right"/>
              <w:rPr>
                <w:sz w:val="16"/>
              </w:rPr>
            </w:pPr>
            <w:r>
              <w:rPr>
                <w:color w:val="F1F1F1"/>
                <w:spacing w:val="-2"/>
                <w:sz w:val="16"/>
              </w:rPr>
              <w:t>2023‐24</w:t>
            </w:r>
          </w:p>
        </w:tc>
        <w:tc>
          <w:tcPr>
            <w:tcW w:w="1227" w:type="dxa"/>
            <w:tcBorders>
              <w:top w:val="nil"/>
            </w:tcBorders>
            <w:shd w:val="clear" w:color="auto" w:fill="006CA3"/>
          </w:tcPr>
          <w:p w14:paraId="5DA3E7D0" w14:textId="77777777" w:rsidR="00141B97" w:rsidRDefault="00911D63">
            <w:pPr>
              <w:pStyle w:val="TableParagraph"/>
              <w:spacing w:before="143"/>
              <w:ind w:right="93"/>
              <w:jc w:val="right"/>
              <w:rPr>
                <w:sz w:val="16"/>
              </w:rPr>
            </w:pPr>
            <w:r>
              <w:rPr>
                <w:color w:val="F1F1F1"/>
                <w:spacing w:val="-2"/>
                <w:sz w:val="16"/>
              </w:rPr>
              <w:t>2024‐25</w:t>
            </w:r>
          </w:p>
        </w:tc>
        <w:tc>
          <w:tcPr>
            <w:tcW w:w="1226" w:type="dxa"/>
            <w:tcBorders>
              <w:top w:val="nil"/>
            </w:tcBorders>
            <w:shd w:val="clear" w:color="auto" w:fill="006CA3"/>
          </w:tcPr>
          <w:p w14:paraId="740100BC" w14:textId="77777777" w:rsidR="00141B97" w:rsidRDefault="00911D63">
            <w:pPr>
              <w:pStyle w:val="TableParagraph"/>
              <w:spacing w:before="143"/>
              <w:ind w:right="91"/>
              <w:jc w:val="right"/>
              <w:rPr>
                <w:sz w:val="16"/>
              </w:rPr>
            </w:pPr>
            <w:r>
              <w:rPr>
                <w:color w:val="F1F1F1"/>
                <w:spacing w:val="-2"/>
                <w:sz w:val="16"/>
              </w:rPr>
              <w:t>2025‐26</w:t>
            </w:r>
          </w:p>
        </w:tc>
        <w:tc>
          <w:tcPr>
            <w:tcW w:w="1226" w:type="dxa"/>
            <w:tcBorders>
              <w:top w:val="nil"/>
            </w:tcBorders>
            <w:shd w:val="clear" w:color="auto" w:fill="006CA3"/>
          </w:tcPr>
          <w:p w14:paraId="658614E5" w14:textId="77777777" w:rsidR="00141B97" w:rsidRDefault="00911D63">
            <w:pPr>
              <w:pStyle w:val="TableParagraph"/>
              <w:spacing w:before="143"/>
              <w:ind w:right="92"/>
              <w:jc w:val="right"/>
              <w:rPr>
                <w:sz w:val="16"/>
              </w:rPr>
            </w:pPr>
            <w:r>
              <w:rPr>
                <w:color w:val="F1F1F1"/>
                <w:spacing w:val="-2"/>
                <w:sz w:val="16"/>
              </w:rPr>
              <w:t>2026‐27</w:t>
            </w:r>
          </w:p>
        </w:tc>
        <w:tc>
          <w:tcPr>
            <w:tcW w:w="1225" w:type="dxa"/>
            <w:tcBorders>
              <w:top w:val="nil"/>
            </w:tcBorders>
            <w:shd w:val="clear" w:color="auto" w:fill="006CA3"/>
          </w:tcPr>
          <w:p w14:paraId="63DC84E8" w14:textId="77777777" w:rsidR="00141B97" w:rsidRDefault="00911D63">
            <w:pPr>
              <w:pStyle w:val="TableParagraph"/>
              <w:spacing w:before="143"/>
              <w:ind w:right="91"/>
              <w:jc w:val="right"/>
              <w:rPr>
                <w:sz w:val="16"/>
              </w:rPr>
            </w:pPr>
            <w:r>
              <w:rPr>
                <w:color w:val="F1F1F1"/>
                <w:spacing w:val="-2"/>
                <w:sz w:val="16"/>
              </w:rPr>
              <w:t>2027‐28</w:t>
            </w:r>
          </w:p>
        </w:tc>
        <w:tc>
          <w:tcPr>
            <w:tcW w:w="1022" w:type="dxa"/>
            <w:tcBorders>
              <w:top w:val="nil"/>
              <w:right w:val="nil"/>
            </w:tcBorders>
            <w:shd w:val="clear" w:color="auto" w:fill="006CA3"/>
          </w:tcPr>
          <w:p w14:paraId="1DE3B1D1" w14:textId="77777777" w:rsidR="00141B97" w:rsidRDefault="00911D63">
            <w:pPr>
              <w:pStyle w:val="TableParagraph"/>
              <w:spacing w:before="143"/>
              <w:ind w:right="81"/>
              <w:jc w:val="right"/>
              <w:rPr>
                <w:sz w:val="16"/>
              </w:rPr>
            </w:pPr>
            <w:r>
              <w:rPr>
                <w:color w:val="F1F1F1"/>
                <w:spacing w:val="-2"/>
                <w:sz w:val="16"/>
              </w:rPr>
              <w:t>TOTAL</w:t>
            </w:r>
          </w:p>
        </w:tc>
      </w:tr>
      <w:tr w:rsidR="00141B97" w14:paraId="650ABC50" w14:textId="77777777">
        <w:trPr>
          <w:trHeight w:val="480"/>
          <w:tblCellSpacing w:w="9" w:type="dxa"/>
        </w:trPr>
        <w:tc>
          <w:tcPr>
            <w:tcW w:w="5249" w:type="dxa"/>
            <w:tcBorders>
              <w:left w:val="nil"/>
            </w:tcBorders>
            <w:shd w:val="clear" w:color="auto" w:fill="CCE2ED"/>
          </w:tcPr>
          <w:p w14:paraId="26DD21F7" w14:textId="77777777" w:rsidR="00141B97" w:rsidRDefault="00911D63">
            <w:pPr>
              <w:pStyle w:val="TableParagraph"/>
              <w:spacing w:before="45"/>
              <w:ind w:left="88"/>
              <w:rPr>
                <w:sz w:val="16"/>
              </w:rPr>
            </w:pPr>
            <w:r>
              <w:rPr>
                <w:sz w:val="16"/>
              </w:rPr>
              <w:t>MDA</w:t>
            </w:r>
            <w:r>
              <w:rPr>
                <w:spacing w:val="-1"/>
                <w:sz w:val="16"/>
              </w:rPr>
              <w:t xml:space="preserve"> </w:t>
            </w:r>
            <w:r>
              <w:rPr>
                <w:sz w:val="16"/>
              </w:rPr>
              <w:t>‐</w:t>
            </w:r>
            <w:r>
              <w:rPr>
                <w:spacing w:val="-2"/>
                <w:sz w:val="16"/>
              </w:rPr>
              <w:t xml:space="preserve"> </w:t>
            </w:r>
            <w:r>
              <w:rPr>
                <w:sz w:val="16"/>
              </w:rPr>
              <w:t>7th</w:t>
            </w:r>
            <w:r>
              <w:rPr>
                <w:spacing w:val="-1"/>
                <w:sz w:val="16"/>
              </w:rPr>
              <w:t xml:space="preserve"> </w:t>
            </w:r>
            <w:r>
              <w:rPr>
                <w:sz w:val="16"/>
              </w:rPr>
              <w:t>st</w:t>
            </w:r>
            <w:r>
              <w:rPr>
                <w:spacing w:val="-1"/>
                <w:sz w:val="16"/>
              </w:rPr>
              <w:t xml:space="preserve"> </w:t>
            </w:r>
            <w:r>
              <w:rPr>
                <w:sz w:val="16"/>
              </w:rPr>
              <w:t>‐Gearbox</w:t>
            </w:r>
            <w:r>
              <w:rPr>
                <w:spacing w:val="-1"/>
                <w:sz w:val="16"/>
              </w:rPr>
              <w:t xml:space="preserve"> </w:t>
            </w:r>
            <w:r>
              <w:rPr>
                <w:sz w:val="16"/>
              </w:rPr>
              <w:t>for</w:t>
            </w:r>
            <w:r>
              <w:rPr>
                <w:spacing w:val="-2"/>
                <w:sz w:val="16"/>
              </w:rPr>
              <w:t xml:space="preserve"> </w:t>
            </w:r>
            <w:r>
              <w:rPr>
                <w:sz w:val="16"/>
              </w:rPr>
              <w:t>clarifiers</w:t>
            </w:r>
            <w:r>
              <w:rPr>
                <w:spacing w:val="-2"/>
                <w:sz w:val="16"/>
              </w:rPr>
              <w:t xml:space="preserve"> </w:t>
            </w:r>
            <w:r>
              <w:rPr>
                <w:sz w:val="16"/>
              </w:rPr>
              <w:t>and</w:t>
            </w:r>
            <w:r>
              <w:rPr>
                <w:spacing w:val="-2"/>
                <w:sz w:val="16"/>
              </w:rPr>
              <w:t xml:space="preserve"> </w:t>
            </w:r>
            <w:r>
              <w:rPr>
                <w:sz w:val="16"/>
              </w:rPr>
              <w:t>sed</w:t>
            </w:r>
            <w:r>
              <w:rPr>
                <w:spacing w:val="-1"/>
                <w:sz w:val="16"/>
              </w:rPr>
              <w:t xml:space="preserve"> </w:t>
            </w:r>
            <w:r>
              <w:rPr>
                <w:sz w:val="16"/>
              </w:rPr>
              <w:t>tanks</w:t>
            </w:r>
            <w:r>
              <w:rPr>
                <w:spacing w:val="-2"/>
                <w:sz w:val="16"/>
              </w:rPr>
              <w:t xml:space="preserve"> </w:t>
            </w:r>
            <w:r>
              <w:rPr>
                <w:sz w:val="16"/>
              </w:rPr>
              <w:t>design</w:t>
            </w:r>
            <w:r>
              <w:rPr>
                <w:spacing w:val="-2"/>
                <w:sz w:val="16"/>
              </w:rPr>
              <w:t xml:space="preserve"> </w:t>
            </w:r>
            <w:r>
              <w:rPr>
                <w:sz w:val="16"/>
              </w:rPr>
              <w:t>upgrade</w:t>
            </w:r>
            <w:r>
              <w:rPr>
                <w:spacing w:val="-2"/>
                <w:sz w:val="16"/>
              </w:rPr>
              <w:t xml:space="preserve"> </w:t>
            </w:r>
            <w:r>
              <w:rPr>
                <w:sz w:val="16"/>
              </w:rPr>
              <w:t>(No</w:t>
            </w:r>
            <w:r>
              <w:rPr>
                <w:spacing w:val="-1"/>
                <w:sz w:val="16"/>
              </w:rPr>
              <w:t xml:space="preserve"> </w:t>
            </w:r>
            <w:r>
              <w:rPr>
                <w:sz w:val="16"/>
              </w:rPr>
              <w:t>3</w:t>
            </w:r>
            <w:r>
              <w:rPr>
                <w:spacing w:val="-2"/>
                <w:sz w:val="16"/>
              </w:rPr>
              <w:t xml:space="preserve"> </w:t>
            </w:r>
            <w:r>
              <w:rPr>
                <w:sz w:val="16"/>
              </w:rPr>
              <w:t>and</w:t>
            </w:r>
            <w:r>
              <w:rPr>
                <w:spacing w:val="-2"/>
                <w:sz w:val="16"/>
              </w:rPr>
              <w:t xml:space="preserve"> </w:t>
            </w:r>
            <w:r>
              <w:rPr>
                <w:sz w:val="16"/>
              </w:rPr>
              <w:t>4</w:t>
            </w:r>
            <w:r>
              <w:rPr>
                <w:spacing w:val="40"/>
                <w:sz w:val="16"/>
              </w:rPr>
              <w:t xml:space="preserve"> </w:t>
            </w:r>
            <w:r>
              <w:rPr>
                <w:spacing w:val="-2"/>
                <w:sz w:val="16"/>
              </w:rPr>
              <w:t>only)</w:t>
            </w:r>
          </w:p>
        </w:tc>
        <w:tc>
          <w:tcPr>
            <w:tcW w:w="1375" w:type="dxa"/>
            <w:shd w:val="clear" w:color="auto" w:fill="CCE2ED"/>
          </w:tcPr>
          <w:p w14:paraId="0C6CD3FB"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460CF017" w14:textId="77777777" w:rsidR="00141B97" w:rsidRDefault="00911D63">
            <w:pPr>
              <w:pStyle w:val="TableParagraph"/>
              <w:spacing w:before="142"/>
              <w:ind w:right="97"/>
              <w:jc w:val="right"/>
              <w:rPr>
                <w:sz w:val="16"/>
              </w:rPr>
            </w:pPr>
            <w:r>
              <w:rPr>
                <w:spacing w:val="-2"/>
                <w:sz w:val="16"/>
              </w:rPr>
              <w:t>Renewals</w:t>
            </w:r>
          </w:p>
        </w:tc>
        <w:tc>
          <w:tcPr>
            <w:tcW w:w="1226" w:type="dxa"/>
            <w:shd w:val="clear" w:color="auto" w:fill="CCE2ED"/>
          </w:tcPr>
          <w:p w14:paraId="79638D20"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7B29FE9B"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1519756D" w14:textId="77777777" w:rsidR="00141B97" w:rsidRDefault="00911D63">
            <w:pPr>
              <w:pStyle w:val="TableParagraph"/>
              <w:spacing w:before="142"/>
              <w:ind w:right="94"/>
              <w:jc w:val="right"/>
              <w:rPr>
                <w:sz w:val="16"/>
              </w:rPr>
            </w:pPr>
            <w:r>
              <w:rPr>
                <w:spacing w:val="-4"/>
                <w:sz w:val="16"/>
              </w:rPr>
              <w:t>0.20</w:t>
            </w:r>
          </w:p>
        </w:tc>
        <w:tc>
          <w:tcPr>
            <w:tcW w:w="1226" w:type="dxa"/>
            <w:shd w:val="clear" w:color="auto" w:fill="CCE2ED"/>
          </w:tcPr>
          <w:p w14:paraId="0CBA867B"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6AC5D2C8"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4234220A" w14:textId="77777777" w:rsidR="00141B97" w:rsidRDefault="00911D63">
            <w:pPr>
              <w:pStyle w:val="TableParagraph"/>
              <w:spacing w:before="142"/>
              <w:ind w:right="83"/>
              <w:jc w:val="right"/>
              <w:rPr>
                <w:sz w:val="16"/>
              </w:rPr>
            </w:pPr>
            <w:r>
              <w:rPr>
                <w:spacing w:val="-4"/>
                <w:sz w:val="16"/>
              </w:rPr>
              <w:t>0.20</w:t>
            </w:r>
          </w:p>
        </w:tc>
      </w:tr>
      <w:tr w:rsidR="00141B97" w14:paraId="16E5C931" w14:textId="77777777">
        <w:trPr>
          <w:trHeight w:val="479"/>
          <w:tblCellSpacing w:w="9" w:type="dxa"/>
        </w:trPr>
        <w:tc>
          <w:tcPr>
            <w:tcW w:w="5249" w:type="dxa"/>
            <w:tcBorders>
              <w:left w:val="nil"/>
            </w:tcBorders>
            <w:shd w:val="clear" w:color="auto" w:fill="CCE2ED"/>
          </w:tcPr>
          <w:p w14:paraId="67E72B5E" w14:textId="77777777" w:rsidR="00141B97" w:rsidRDefault="00911D63">
            <w:pPr>
              <w:pStyle w:val="TableParagraph"/>
              <w:spacing w:before="44"/>
              <w:ind w:left="88" w:right="105"/>
              <w:rPr>
                <w:sz w:val="16"/>
              </w:rPr>
            </w:pPr>
            <w:r>
              <w:rPr>
                <w:sz w:val="16"/>
              </w:rPr>
              <w:t>MDA</w:t>
            </w:r>
            <w:r>
              <w:rPr>
                <w:spacing w:val="-2"/>
                <w:sz w:val="16"/>
              </w:rPr>
              <w:t xml:space="preserve"> </w:t>
            </w:r>
            <w:r>
              <w:rPr>
                <w:sz w:val="16"/>
              </w:rPr>
              <w:t>7th</w:t>
            </w:r>
            <w:r>
              <w:rPr>
                <w:spacing w:val="-2"/>
                <w:sz w:val="16"/>
              </w:rPr>
              <w:t xml:space="preserve"> </w:t>
            </w:r>
            <w:r>
              <w:rPr>
                <w:sz w:val="16"/>
              </w:rPr>
              <w:t>st</w:t>
            </w:r>
            <w:r>
              <w:rPr>
                <w:spacing w:val="-2"/>
                <w:sz w:val="16"/>
              </w:rPr>
              <w:t xml:space="preserve"> </w:t>
            </w:r>
            <w:r>
              <w:rPr>
                <w:sz w:val="16"/>
              </w:rPr>
              <w:t>‐Replacement</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discharge</w:t>
            </w:r>
            <w:r>
              <w:rPr>
                <w:spacing w:val="-2"/>
                <w:sz w:val="16"/>
              </w:rPr>
              <w:t xml:space="preserve"> </w:t>
            </w:r>
            <w:r>
              <w:rPr>
                <w:sz w:val="16"/>
              </w:rPr>
              <w:t>pipes,</w:t>
            </w:r>
            <w:r>
              <w:rPr>
                <w:spacing w:val="-2"/>
                <w:sz w:val="16"/>
              </w:rPr>
              <w:t xml:space="preserve"> </w:t>
            </w:r>
            <w:r>
              <w:rPr>
                <w:sz w:val="16"/>
              </w:rPr>
              <w:t>pumps</w:t>
            </w:r>
            <w:r>
              <w:rPr>
                <w:spacing w:val="-2"/>
                <w:sz w:val="16"/>
              </w:rPr>
              <w:t xml:space="preserve"> </w:t>
            </w:r>
            <w:r>
              <w:rPr>
                <w:sz w:val="16"/>
              </w:rPr>
              <w:t>and</w:t>
            </w:r>
            <w:r>
              <w:rPr>
                <w:spacing w:val="-2"/>
                <w:sz w:val="16"/>
              </w:rPr>
              <w:t xml:space="preserve"> </w:t>
            </w:r>
            <w:r>
              <w:rPr>
                <w:sz w:val="16"/>
              </w:rPr>
              <w:t>switch</w:t>
            </w:r>
            <w:r>
              <w:rPr>
                <w:spacing w:val="-2"/>
                <w:sz w:val="16"/>
              </w:rPr>
              <w:t xml:space="preserve"> </w:t>
            </w:r>
            <w:r>
              <w:rPr>
                <w:sz w:val="16"/>
              </w:rPr>
              <w:t>boards</w:t>
            </w:r>
            <w:r>
              <w:rPr>
                <w:spacing w:val="-2"/>
                <w:sz w:val="16"/>
              </w:rPr>
              <w:t xml:space="preserve"> </w:t>
            </w:r>
            <w:r>
              <w:rPr>
                <w:sz w:val="16"/>
              </w:rPr>
              <w:t>at</w:t>
            </w:r>
            <w:r>
              <w:rPr>
                <w:spacing w:val="40"/>
                <w:sz w:val="16"/>
              </w:rPr>
              <w:t xml:space="preserve"> </w:t>
            </w:r>
            <w:r>
              <w:rPr>
                <w:sz w:val="16"/>
              </w:rPr>
              <w:t>the Alum Sludge PS</w:t>
            </w:r>
          </w:p>
        </w:tc>
        <w:tc>
          <w:tcPr>
            <w:tcW w:w="1375" w:type="dxa"/>
            <w:shd w:val="clear" w:color="auto" w:fill="CCE2ED"/>
          </w:tcPr>
          <w:p w14:paraId="2A779AFA"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49813CE4" w14:textId="77777777" w:rsidR="00141B97" w:rsidRDefault="00911D63">
            <w:pPr>
              <w:pStyle w:val="TableParagraph"/>
              <w:spacing w:before="142"/>
              <w:ind w:right="97"/>
              <w:jc w:val="right"/>
              <w:rPr>
                <w:sz w:val="16"/>
              </w:rPr>
            </w:pPr>
            <w:r>
              <w:rPr>
                <w:spacing w:val="-2"/>
                <w:sz w:val="16"/>
              </w:rPr>
              <w:t>Renewals</w:t>
            </w:r>
          </w:p>
        </w:tc>
        <w:tc>
          <w:tcPr>
            <w:tcW w:w="1226" w:type="dxa"/>
            <w:shd w:val="clear" w:color="auto" w:fill="CCE2ED"/>
          </w:tcPr>
          <w:p w14:paraId="7E09C905"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5871CEFC"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211E714A" w14:textId="77777777" w:rsidR="00141B97" w:rsidRDefault="00911D63">
            <w:pPr>
              <w:pStyle w:val="TableParagraph"/>
              <w:spacing w:before="142"/>
              <w:ind w:right="94"/>
              <w:jc w:val="right"/>
              <w:rPr>
                <w:sz w:val="16"/>
              </w:rPr>
            </w:pPr>
            <w:r>
              <w:rPr>
                <w:spacing w:val="-4"/>
                <w:sz w:val="16"/>
              </w:rPr>
              <w:t>0.10</w:t>
            </w:r>
          </w:p>
        </w:tc>
        <w:tc>
          <w:tcPr>
            <w:tcW w:w="1226" w:type="dxa"/>
            <w:shd w:val="clear" w:color="auto" w:fill="CCE2ED"/>
          </w:tcPr>
          <w:p w14:paraId="27ECF242" w14:textId="77777777" w:rsidR="00141B97" w:rsidRDefault="00911D63">
            <w:pPr>
              <w:pStyle w:val="TableParagraph"/>
              <w:spacing w:before="142"/>
              <w:ind w:right="94"/>
              <w:jc w:val="right"/>
              <w:rPr>
                <w:sz w:val="16"/>
              </w:rPr>
            </w:pPr>
            <w:r>
              <w:rPr>
                <w:spacing w:val="-4"/>
                <w:sz w:val="16"/>
              </w:rPr>
              <w:t>0.10</w:t>
            </w:r>
          </w:p>
        </w:tc>
        <w:tc>
          <w:tcPr>
            <w:tcW w:w="1225" w:type="dxa"/>
            <w:shd w:val="clear" w:color="auto" w:fill="CCE2ED"/>
          </w:tcPr>
          <w:p w14:paraId="4816A7AA"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282B0EDC" w14:textId="77777777" w:rsidR="00141B97" w:rsidRDefault="00911D63">
            <w:pPr>
              <w:pStyle w:val="TableParagraph"/>
              <w:spacing w:before="142"/>
              <w:ind w:right="83"/>
              <w:jc w:val="right"/>
              <w:rPr>
                <w:sz w:val="16"/>
              </w:rPr>
            </w:pPr>
            <w:r>
              <w:rPr>
                <w:spacing w:val="-4"/>
                <w:sz w:val="16"/>
              </w:rPr>
              <w:t>0.20</w:t>
            </w:r>
          </w:p>
        </w:tc>
      </w:tr>
      <w:tr w:rsidR="00141B97" w14:paraId="02DF9851" w14:textId="77777777">
        <w:trPr>
          <w:trHeight w:val="240"/>
          <w:tblCellSpacing w:w="9" w:type="dxa"/>
        </w:trPr>
        <w:tc>
          <w:tcPr>
            <w:tcW w:w="5249" w:type="dxa"/>
            <w:tcBorders>
              <w:left w:val="nil"/>
            </w:tcBorders>
            <w:shd w:val="clear" w:color="auto" w:fill="CCE2ED"/>
          </w:tcPr>
          <w:p w14:paraId="08642A48" w14:textId="77777777" w:rsidR="00141B97" w:rsidRDefault="00911D63">
            <w:pPr>
              <w:pStyle w:val="TableParagraph"/>
              <w:spacing w:before="22"/>
              <w:ind w:left="88"/>
              <w:rPr>
                <w:sz w:val="16"/>
              </w:rPr>
            </w:pPr>
            <w:r>
              <w:rPr>
                <w:sz w:val="16"/>
              </w:rPr>
              <w:t>MDA</w:t>
            </w:r>
            <w:r>
              <w:rPr>
                <w:spacing w:val="-6"/>
                <w:sz w:val="16"/>
              </w:rPr>
              <w:t xml:space="preserve"> </w:t>
            </w:r>
            <w:r>
              <w:rPr>
                <w:sz w:val="16"/>
              </w:rPr>
              <w:t>7th</w:t>
            </w:r>
            <w:r>
              <w:rPr>
                <w:spacing w:val="-4"/>
                <w:sz w:val="16"/>
              </w:rPr>
              <w:t xml:space="preserve"> </w:t>
            </w:r>
            <w:r>
              <w:rPr>
                <w:sz w:val="16"/>
              </w:rPr>
              <w:t>st</w:t>
            </w:r>
            <w:r>
              <w:rPr>
                <w:spacing w:val="-5"/>
                <w:sz w:val="16"/>
              </w:rPr>
              <w:t xml:space="preserve"> </w:t>
            </w:r>
            <w:r>
              <w:rPr>
                <w:sz w:val="16"/>
              </w:rPr>
              <w:t>‐Filter</w:t>
            </w:r>
            <w:r>
              <w:rPr>
                <w:spacing w:val="-4"/>
                <w:sz w:val="16"/>
              </w:rPr>
              <w:t xml:space="preserve"> </w:t>
            </w:r>
            <w:r>
              <w:rPr>
                <w:sz w:val="16"/>
              </w:rPr>
              <w:t>Gallery</w:t>
            </w:r>
            <w:r>
              <w:rPr>
                <w:spacing w:val="-5"/>
                <w:sz w:val="16"/>
              </w:rPr>
              <w:t xml:space="preserve"> </w:t>
            </w:r>
            <w:r>
              <w:rPr>
                <w:sz w:val="16"/>
              </w:rPr>
              <w:t>to</w:t>
            </w:r>
            <w:r>
              <w:rPr>
                <w:spacing w:val="-4"/>
                <w:sz w:val="16"/>
              </w:rPr>
              <w:t xml:space="preserve"> </w:t>
            </w:r>
            <w:r>
              <w:rPr>
                <w:sz w:val="16"/>
              </w:rPr>
              <w:t>TWPS</w:t>
            </w:r>
            <w:r>
              <w:rPr>
                <w:spacing w:val="-5"/>
                <w:sz w:val="16"/>
              </w:rPr>
              <w:t xml:space="preserve"> </w:t>
            </w:r>
            <w:r>
              <w:rPr>
                <w:sz w:val="16"/>
              </w:rPr>
              <w:t>pipework</w:t>
            </w:r>
            <w:r>
              <w:rPr>
                <w:spacing w:val="-5"/>
                <w:sz w:val="16"/>
              </w:rPr>
              <w:t xml:space="preserve"> </w:t>
            </w:r>
            <w:r>
              <w:rPr>
                <w:sz w:val="16"/>
              </w:rPr>
              <w:t>repairing/</w:t>
            </w:r>
            <w:r>
              <w:rPr>
                <w:spacing w:val="-3"/>
                <w:sz w:val="16"/>
              </w:rPr>
              <w:t xml:space="preserve"> </w:t>
            </w:r>
            <w:r>
              <w:rPr>
                <w:spacing w:val="-2"/>
                <w:sz w:val="16"/>
              </w:rPr>
              <w:t>replacement</w:t>
            </w:r>
          </w:p>
        </w:tc>
        <w:tc>
          <w:tcPr>
            <w:tcW w:w="1375" w:type="dxa"/>
            <w:shd w:val="clear" w:color="auto" w:fill="CCE2ED"/>
          </w:tcPr>
          <w:p w14:paraId="05B6B898"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4DD447AE"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63CEBB58"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0CF616B5"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57D1DB45"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28D5C4C7" w14:textId="77777777" w:rsidR="00141B97" w:rsidRDefault="00911D63">
            <w:pPr>
              <w:pStyle w:val="TableParagraph"/>
              <w:spacing w:before="22"/>
              <w:ind w:right="94"/>
              <w:jc w:val="right"/>
              <w:rPr>
                <w:sz w:val="16"/>
              </w:rPr>
            </w:pPr>
            <w:r>
              <w:rPr>
                <w:spacing w:val="-4"/>
                <w:sz w:val="16"/>
              </w:rPr>
              <w:t>0.06</w:t>
            </w:r>
          </w:p>
        </w:tc>
        <w:tc>
          <w:tcPr>
            <w:tcW w:w="1225" w:type="dxa"/>
            <w:shd w:val="clear" w:color="auto" w:fill="CCE2ED"/>
          </w:tcPr>
          <w:p w14:paraId="2BEAD08C" w14:textId="77777777" w:rsidR="00141B97" w:rsidRDefault="00911D63">
            <w:pPr>
              <w:pStyle w:val="TableParagraph"/>
              <w:spacing w:before="22"/>
              <w:ind w:right="93"/>
              <w:jc w:val="right"/>
              <w:rPr>
                <w:sz w:val="16"/>
              </w:rPr>
            </w:pPr>
            <w:r>
              <w:rPr>
                <w:spacing w:val="-4"/>
                <w:sz w:val="16"/>
              </w:rPr>
              <w:t>0.06</w:t>
            </w:r>
          </w:p>
        </w:tc>
        <w:tc>
          <w:tcPr>
            <w:tcW w:w="1022" w:type="dxa"/>
            <w:tcBorders>
              <w:right w:val="nil"/>
            </w:tcBorders>
            <w:shd w:val="clear" w:color="auto" w:fill="CCE2ED"/>
          </w:tcPr>
          <w:p w14:paraId="6A4F64EC" w14:textId="77777777" w:rsidR="00141B97" w:rsidRDefault="00911D63">
            <w:pPr>
              <w:pStyle w:val="TableParagraph"/>
              <w:spacing w:before="22"/>
              <w:ind w:right="83"/>
              <w:jc w:val="right"/>
              <w:rPr>
                <w:sz w:val="16"/>
              </w:rPr>
            </w:pPr>
            <w:r>
              <w:rPr>
                <w:spacing w:val="-4"/>
                <w:sz w:val="16"/>
              </w:rPr>
              <w:t>0.11</w:t>
            </w:r>
          </w:p>
        </w:tc>
      </w:tr>
      <w:tr w:rsidR="00141B97" w14:paraId="2A43F775" w14:textId="77777777">
        <w:trPr>
          <w:trHeight w:val="240"/>
          <w:tblCellSpacing w:w="9" w:type="dxa"/>
        </w:trPr>
        <w:tc>
          <w:tcPr>
            <w:tcW w:w="5249" w:type="dxa"/>
            <w:tcBorders>
              <w:left w:val="nil"/>
            </w:tcBorders>
            <w:shd w:val="clear" w:color="auto" w:fill="CCE2ED"/>
          </w:tcPr>
          <w:p w14:paraId="56E30216" w14:textId="77777777" w:rsidR="00141B97" w:rsidRDefault="00911D63">
            <w:pPr>
              <w:pStyle w:val="TableParagraph"/>
              <w:spacing w:before="22"/>
              <w:ind w:left="88"/>
              <w:rPr>
                <w:sz w:val="16"/>
              </w:rPr>
            </w:pPr>
            <w:r>
              <w:rPr>
                <w:sz w:val="16"/>
              </w:rPr>
              <w:t>MDA</w:t>
            </w:r>
            <w:r>
              <w:rPr>
                <w:spacing w:val="-5"/>
                <w:sz w:val="16"/>
              </w:rPr>
              <w:t xml:space="preserve"> </w:t>
            </w:r>
            <w:r>
              <w:rPr>
                <w:sz w:val="16"/>
              </w:rPr>
              <w:t>7</w:t>
            </w:r>
            <w:r>
              <w:rPr>
                <w:spacing w:val="-4"/>
                <w:sz w:val="16"/>
              </w:rPr>
              <w:t xml:space="preserve"> </w:t>
            </w:r>
            <w:r>
              <w:rPr>
                <w:sz w:val="16"/>
              </w:rPr>
              <w:t>th</w:t>
            </w:r>
            <w:r>
              <w:rPr>
                <w:spacing w:val="-4"/>
                <w:sz w:val="16"/>
              </w:rPr>
              <w:t xml:space="preserve"> </w:t>
            </w:r>
            <w:r>
              <w:rPr>
                <w:sz w:val="16"/>
              </w:rPr>
              <w:t>st</w:t>
            </w:r>
            <w:r>
              <w:rPr>
                <w:spacing w:val="-3"/>
                <w:sz w:val="16"/>
              </w:rPr>
              <w:t xml:space="preserve"> </w:t>
            </w:r>
            <w:r>
              <w:rPr>
                <w:sz w:val="16"/>
              </w:rPr>
              <w:t>WTP‐</w:t>
            </w:r>
            <w:r>
              <w:rPr>
                <w:spacing w:val="-3"/>
                <w:sz w:val="16"/>
              </w:rPr>
              <w:t xml:space="preserve"> </w:t>
            </w:r>
            <w:r>
              <w:rPr>
                <w:sz w:val="16"/>
              </w:rPr>
              <w:t>control</w:t>
            </w:r>
            <w:r>
              <w:rPr>
                <w:spacing w:val="-4"/>
                <w:sz w:val="16"/>
              </w:rPr>
              <w:t xml:space="preserve"> </w:t>
            </w:r>
            <w:r>
              <w:rPr>
                <w:sz w:val="16"/>
              </w:rPr>
              <w:t>system</w:t>
            </w:r>
            <w:r>
              <w:rPr>
                <w:spacing w:val="-4"/>
                <w:sz w:val="16"/>
              </w:rPr>
              <w:t xml:space="preserve"> </w:t>
            </w:r>
            <w:r>
              <w:rPr>
                <w:spacing w:val="-2"/>
                <w:sz w:val="16"/>
              </w:rPr>
              <w:t>renewal</w:t>
            </w:r>
          </w:p>
        </w:tc>
        <w:tc>
          <w:tcPr>
            <w:tcW w:w="1375" w:type="dxa"/>
            <w:shd w:val="clear" w:color="auto" w:fill="CCE2ED"/>
          </w:tcPr>
          <w:p w14:paraId="5DD3FBB5"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286C26F2"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581EE3BC"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34138AA0"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6CB9E21B" w14:textId="77777777" w:rsidR="00141B97" w:rsidRDefault="00911D63">
            <w:pPr>
              <w:pStyle w:val="TableParagraph"/>
              <w:spacing w:before="22"/>
              <w:ind w:right="94"/>
              <w:jc w:val="right"/>
              <w:rPr>
                <w:sz w:val="16"/>
              </w:rPr>
            </w:pPr>
            <w:r>
              <w:rPr>
                <w:spacing w:val="-4"/>
                <w:sz w:val="16"/>
              </w:rPr>
              <w:t>0.10</w:t>
            </w:r>
          </w:p>
        </w:tc>
        <w:tc>
          <w:tcPr>
            <w:tcW w:w="1226" w:type="dxa"/>
            <w:shd w:val="clear" w:color="auto" w:fill="CCE2ED"/>
          </w:tcPr>
          <w:p w14:paraId="322418AD" w14:textId="77777777" w:rsidR="00141B97" w:rsidRDefault="00911D63">
            <w:pPr>
              <w:pStyle w:val="TableParagraph"/>
              <w:spacing w:before="22"/>
              <w:ind w:right="94"/>
              <w:jc w:val="right"/>
              <w:rPr>
                <w:sz w:val="16"/>
              </w:rPr>
            </w:pPr>
            <w:r>
              <w:rPr>
                <w:spacing w:val="-4"/>
                <w:sz w:val="16"/>
              </w:rPr>
              <w:t>0.12</w:t>
            </w:r>
          </w:p>
        </w:tc>
        <w:tc>
          <w:tcPr>
            <w:tcW w:w="1225" w:type="dxa"/>
            <w:shd w:val="clear" w:color="auto" w:fill="CCE2ED"/>
          </w:tcPr>
          <w:p w14:paraId="2DD369DC"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2290DB90" w14:textId="77777777" w:rsidR="00141B97" w:rsidRDefault="00911D63">
            <w:pPr>
              <w:pStyle w:val="TableParagraph"/>
              <w:spacing w:before="22"/>
              <w:ind w:right="83"/>
              <w:jc w:val="right"/>
              <w:rPr>
                <w:sz w:val="16"/>
              </w:rPr>
            </w:pPr>
            <w:r>
              <w:rPr>
                <w:spacing w:val="-4"/>
                <w:sz w:val="16"/>
              </w:rPr>
              <w:t>0.22</w:t>
            </w:r>
          </w:p>
        </w:tc>
      </w:tr>
      <w:tr w:rsidR="00141B97" w14:paraId="48BBB85E" w14:textId="77777777">
        <w:trPr>
          <w:trHeight w:val="239"/>
          <w:tblCellSpacing w:w="9" w:type="dxa"/>
        </w:trPr>
        <w:tc>
          <w:tcPr>
            <w:tcW w:w="5249" w:type="dxa"/>
            <w:tcBorders>
              <w:left w:val="nil"/>
            </w:tcBorders>
            <w:shd w:val="clear" w:color="auto" w:fill="CCE2ED"/>
          </w:tcPr>
          <w:p w14:paraId="0C791CAC" w14:textId="77777777" w:rsidR="00141B97" w:rsidRDefault="00911D63">
            <w:pPr>
              <w:pStyle w:val="TableParagraph"/>
              <w:spacing w:before="22"/>
              <w:ind w:left="88"/>
              <w:rPr>
                <w:sz w:val="16"/>
              </w:rPr>
            </w:pPr>
            <w:r>
              <w:rPr>
                <w:sz w:val="16"/>
              </w:rPr>
              <w:t>PIA</w:t>
            </w:r>
            <w:r>
              <w:rPr>
                <w:spacing w:val="-6"/>
                <w:sz w:val="16"/>
              </w:rPr>
              <w:t xml:space="preserve"> </w:t>
            </w:r>
            <w:r>
              <w:rPr>
                <w:sz w:val="16"/>
              </w:rPr>
              <w:t>WTP</w:t>
            </w:r>
            <w:r>
              <w:rPr>
                <w:spacing w:val="-4"/>
                <w:sz w:val="16"/>
              </w:rPr>
              <w:t xml:space="preserve"> </w:t>
            </w:r>
            <w:r>
              <w:rPr>
                <w:sz w:val="16"/>
              </w:rPr>
              <w:t>&amp;</w:t>
            </w:r>
            <w:r>
              <w:rPr>
                <w:spacing w:val="-6"/>
                <w:sz w:val="16"/>
              </w:rPr>
              <w:t xml:space="preserve"> </w:t>
            </w:r>
            <w:r>
              <w:rPr>
                <w:sz w:val="16"/>
              </w:rPr>
              <w:t>RWPS</w:t>
            </w:r>
            <w:r>
              <w:rPr>
                <w:spacing w:val="-5"/>
                <w:sz w:val="16"/>
              </w:rPr>
              <w:t xml:space="preserve"> </w:t>
            </w:r>
            <w:r>
              <w:rPr>
                <w:sz w:val="16"/>
              </w:rPr>
              <w:t>‐</w:t>
            </w:r>
            <w:r>
              <w:rPr>
                <w:spacing w:val="-4"/>
                <w:sz w:val="16"/>
              </w:rPr>
              <w:t xml:space="preserve"> </w:t>
            </w:r>
            <w:r>
              <w:rPr>
                <w:sz w:val="16"/>
              </w:rPr>
              <w:t>Control</w:t>
            </w:r>
            <w:r>
              <w:rPr>
                <w:spacing w:val="-5"/>
                <w:sz w:val="16"/>
              </w:rPr>
              <w:t xml:space="preserve"> </w:t>
            </w:r>
            <w:r>
              <w:rPr>
                <w:sz w:val="16"/>
              </w:rPr>
              <w:t>Systems</w:t>
            </w:r>
            <w:r>
              <w:rPr>
                <w:spacing w:val="-5"/>
                <w:sz w:val="16"/>
              </w:rPr>
              <w:t xml:space="preserve"> </w:t>
            </w:r>
            <w:r>
              <w:rPr>
                <w:spacing w:val="-2"/>
                <w:sz w:val="16"/>
              </w:rPr>
              <w:t>Renewal</w:t>
            </w:r>
          </w:p>
        </w:tc>
        <w:tc>
          <w:tcPr>
            <w:tcW w:w="1375" w:type="dxa"/>
            <w:shd w:val="clear" w:color="auto" w:fill="CCE2ED"/>
          </w:tcPr>
          <w:p w14:paraId="1D4DABCF"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47C4D5F4"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6550BC7E"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655C1938"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19406551" w14:textId="77777777" w:rsidR="00141B97" w:rsidRDefault="00911D63">
            <w:pPr>
              <w:pStyle w:val="TableParagraph"/>
              <w:spacing w:before="22"/>
              <w:ind w:right="94"/>
              <w:jc w:val="right"/>
              <w:rPr>
                <w:sz w:val="16"/>
              </w:rPr>
            </w:pPr>
            <w:r>
              <w:rPr>
                <w:spacing w:val="-4"/>
                <w:sz w:val="16"/>
              </w:rPr>
              <w:t>0.23</w:t>
            </w:r>
          </w:p>
        </w:tc>
        <w:tc>
          <w:tcPr>
            <w:tcW w:w="1226" w:type="dxa"/>
            <w:shd w:val="clear" w:color="auto" w:fill="CCE2ED"/>
          </w:tcPr>
          <w:p w14:paraId="567BA473" w14:textId="77777777" w:rsidR="00141B97" w:rsidRDefault="00911D63">
            <w:pPr>
              <w:pStyle w:val="TableParagraph"/>
              <w:spacing w:before="22"/>
              <w:ind w:right="94"/>
              <w:jc w:val="right"/>
              <w:rPr>
                <w:sz w:val="16"/>
              </w:rPr>
            </w:pPr>
            <w:r>
              <w:rPr>
                <w:spacing w:val="-4"/>
                <w:sz w:val="16"/>
              </w:rPr>
              <w:t>0.23</w:t>
            </w:r>
          </w:p>
        </w:tc>
        <w:tc>
          <w:tcPr>
            <w:tcW w:w="1225" w:type="dxa"/>
            <w:shd w:val="clear" w:color="auto" w:fill="CCE2ED"/>
          </w:tcPr>
          <w:p w14:paraId="6060A951"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774C6496" w14:textId="77777777" w:rsidR="00141B97" w:rsidRDefault="00911D63">
            <w:pPr>
              <w:pStyle w:val="TableParagraph"/>
              <w:spacing w:before="22"/>
              <w:ind w:right="83"/>
              <w:jc w:val="right"/>
              <w:rPr>
                <w:sz w:val="16"/>
              </w:rPr>
            </w:pPr>
            <w:r>
              <w:rPr>
                <w:spacing w:val="-4"/>
                <w:sz w:val="16"/>
              </w:rPr>
              <w:t>0.45</w:t>
            </w:r>
          </w:p>
        </w:tc>
      </w:tr>
      <w:tr w:rsidR="00141B97" w14:paraId="6BB8F8A5" w14:textId="77777777">
        <w:trPr>
          <w:trHeight w:val="480"/>
          <w:tblCellSpacing w:w="9" w:type="dxa"/>
        </w:trPr>
        <w:tc>
          <w:tcPr>
            <w:tcW w:w="5249" w:type="dxa"/>
            <w:tcBorders>
              <w:left w:val="nil"/>
            </w:tcBorders>
            <w:shd w:val="clear" w:color="auto" w:fill="CCE2ED"/>
          </w:tcPr>
          <w:p w14:paraId="649CBAF3" w14:textId="77777777" w:rsidR="00141B97" w:rsidRDefault="00911D63">
            <w:pPr>
              <w:pStyle w:val="TableParagraph"/>
              <w:spacing w:before="142"/>
              <w:ind w:left="88"/>
              <w:rPr>
                <w:sz w:val="16"/>
              </w:rPr>
            </w:pPr>
            <w:r>
              <w:rPr>
                <w:sz w:val="16"/>
              </w:rPr>
              <w:t>PIA</w:t>
            </w:r>
            <w:r>
              <w:rPr>
                <w:spacing w:val="-7"/>
                <w:sz w:val="16"/>
              </w:rPr>
              <w:t xml:space="preserve"> </w:t>
            </w:r>
            <w:r>
              <w:rPr>
                <w:sz w:val="16"/>
              </w:rPr>
              <w:t>Electrical</w:t>
            </w:r>
            <w:r>
              <w:rPr>
                <w:spacing w:val="-7"/>
                <w:sz w:val="16"/>
              </w:rPr>
              <w:t xml:space="preserve"> </w:t>
            </w:r>
            <w:r>
              <w:rPr>
                <w:sz w:val="16"/>
              </w:rPr>
              <w:t>Cabinet/</w:t>
            </w:r>
            <w:r>
              <w:rPr>
                <w:spacing w:val="-6"/>
                <w:sz w:val="16"/>
              </w:rPr>
              <w:t xml:space="preserve"> </w:t>
            </w:r>
            <w:r>
              <w:rPr>
                <w:sz w:val="16"/>
              </w:rPr>
              <w:t>Switchboard</w:t>
            </w:r>
            <w:r>
              <w:rPr>
                <w:spacing w:val="-6"/>
                <w:sz w:val="16"/>
              </w:rPr>
              <w:t xml:space="preserve"> </w:t>
            </w:r>
            <w:r>
              <w:rPr>
                <w:spacing w:val="-2"/>
                <w:sz w:val="16"/>
              </w:rPr>
              <w:t>upgrade</w:t>
            </w:r>
          </w:p>
        </w:tc>
        <w:tc>
          <w:tcPr>
            <w:tcW w:w="1375" w:type="dxa"/>
            <w:shd w:val="clear" w:color="auto" w:fill="CCE2ED"/>
          </w:tcPr>
          <w:p w14:paraId="6BBCDD15"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477A628B" w14:textId="77777777" w:rsidR="00141B97" w:rsidRDefault="00911D63">
            <w:pPr>
              <w:pStyle w:val="TableParagraph"/>
              <w:spacing w:before="45"/>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D234856"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0D9ADCEB"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0919D667" w14:textId="77777777" w:rsidR="00141B97" w:rsidRDefault="00911D63">
            <w:pPr>
              <w:pStyle w:val="TableParagraph"/>
              <w:spacing w:before="142"/>
              <w:ind w:right="94"/>
              <w:jc w:val="right"/>
              <w:rPr>
                <w:sz w:val="16"/>
              </w:rPr>
            </w:pPr>
            <w:r>
              <w:rPr>
                <w:spacing w:val="-4"/>
                <w:sz w:val="16"/>
              </w:rPr>
              <w:t>0.15</w:t>
            </w:r>
          </w:p>
        </w:tc>
        <w:tc>
          <w:tcPr>
            <w:tcW w:w="1226" w:type="dxa"/>
            <w:shd w:val="clear" w:color="auto" w:fill="CCE2ED"/>
          </w:tcPr>
          <w:p w14:paraId="3F42D548" w14:textId="77777777" w:rsidR="00141B97" w:rsidRDefault="00911D63">
            <w:pPr>
              <w:pStyle w:val="TableParagraph"/>
              <w:spacing w:before="142"/>
              <w:ind w:right="94"/>
              <w:jc w:val="right"/>
              <w:rPr>
                <w:sz w:val="16"/>
              </w:rPr>
            </w:pPr>
            <w:r>
              <w:rPr>
                <w:spacing w:val="-4"/>
                <w:sz w:val="16"/>
              </w:rPr>
              <w:t>0.15</w:t>
            </w:r>
          </w:p>
        </w:tc>
        <w:tc>
          <w:tcPr>
            <w:tcW w:w="1225" w:type="dxa"/>
            <w:shd w:val="clear" w:color="auto" w:fill="CCE2ED"/>
          </w:tcPr>
          <w:p w14:paraId="01FCF6EA"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6099149F" w14:textId="77777777" w:rsidR="00141B97" w:rsidRDefault="00911D63">
            <w:pPr>
              <w:pStyle w:val="TableParagraph"/>
              <w:spacing w:before="142"/>
              <w:ind w:right="83"/>
              <w:jc w:val="right"/>
              <w:rPr>
                <w:sz w:val="16"/>
              </w:rPr>
            </w:pPr>
            <w:r>
              <w:rPr>
                <w:spacing w:val="-4"/>
                <w:sz w:val="16"/>
              </w:rPr>
              <w:t>0.30</w:t>
            </w:r>
          </w:p>
        </w:tc>
      </w:tr>
      <w:tr w:rsidR="00141B97" w14:paraId="20115B54" w14:textId="77777777">
        <w:trPr>
          <w:trHeight w:val="240"/>
          <w:tblCellSpacing w:w="9" w:type="dxa"/>
        </w:trPr>
        <w:tc>
          <w:tcPr>
            <w:tcW w:w="5249" w:type="dxa"/>
            <w:tcBorders>
              <w:left w:val="nil"/>
            </w:tcBorders>
            <w:shd w:val="clear" w:color="auto" w:fill="CCE2ED"/>
          </w:tcPr>
          <w:p w14:paraId="3227BD77" w14:textId="77777777" w:rsidR="00141B97" w:rsidRDefault="00911D63">
            <w:pPr>
              <w:pStyle w:val="TableParagraph"/>
              <w:spacing w:before="22"/>
              <w:ind w:left="88"/>
              <w:rPr>
                <w:sz w:val="16"/>
              </w:rPr>
            </w:pPr>
            <w:r>
              <w:rPr>
                <w:sz w:val="16"/>
              </w:rPr>
              <w:t>R/C</w:t>
            </w:r>
            <w:r>
              <w:rPr>
                <w:spacing w:val="-8"/>
                <w:sz w:val="16"/>
              </w:rPr>
              <w:t xml:space="preserve"> </w:t>
            </w:r>
            <w:r>
              <w:rPr>
                <w:sz w:val="16"/>
              </w:rPr>
              <w:t>Radiotelemtry</w:t>
            </w:r>
            <w:r>
              <w:rPr>
                <w:spacing w:val="-5"/>
                <w:sz w:val="16"/>
              </w:rPr>
              <w:t xml:space="preserve"> </w:t>
            </w:r>
            <w:r>
              <w:rPr>
                <w:sz w:val="16"/>
              </w:rPr>
              <w:t>Network</w:t>
            </w:r>
            <w:r>
              <w:rPr>
                <w:spacing w:val="-6"/>
                <w:sz w:val="16"/>
              </w:rPr>
              <w:t xml:space="preserve"> </w:t>
            </w:r>
            <w:r>
              <w:rPr>
                <w:spacing w:val="-2"/>
                <w:sz w:val="16"/>
              </w:rPr>
              <w:t>Renewal</w:t>
            </w:r>
          </w:p>
        </w:tc>
        <w:tc>
          <w:tcPr>
            <w:tcW w:w="1375" w:type="dxa"/>
            <w:shd w:val="clear" w:color="auto" w:fill="CCE2ED"/>
          </w:tcPr>
          <w:p w14:paraId="399C4AE2"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3BF192F9"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3DA03040"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4567E044" w14:textId="77777777" w:rsidR="00141B97" w:rsidRDefault="00911D63">
            <w:pPr>
              <w:pStyle w:val="TableParagraph"/>
              <w:spacing w:before="22"/>
              <w:ind w:right="95"/>
              <w:jc w:val="right"/>
              <w:rPr>
                <w:sz w:val="16"/>
              </w:rPr>
            </w:pPr>
            <w:r>
              <w:rPr>
                <w:spacing w:val="-4"/>
                <w:sz w:val="16"/>
              </w:rPr>
              <w:t>0.44</w:t>
            </w:r>
          </w:p>
        </w:tc>
        <w:tc>
          <w:tcPr>
            <w:tcW w:w="1226" w:type="dxa"/>
            <w:shd w:val="clear" w:color="auto" w:fill="CCE2ED"/>
          </w:tcPr>
          <w:p w14:paraId="3D136273"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2BB4B623"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4EBC26D1"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232A126B" w14:textId="77777777" w:rsidR="00141B97" w:rsidRDefault="00911D63">
            <w:pPr>
              <w:pStyle w:val="TableParagraph"/>
              <w:spacing w:before="22"/>
              <w:ind w:right="83"/>
              <w:jc w:val="right"/>
              <w:rPr>
                <w:sz w:val="16"/>
              </w:rPr>
            </w:pPr>
            <w:r>
              <w:rPr>
                <w:spacing w:val="-4"/>
                <w:sz w:val="16"/>
              </w:rPr>
              <w:t>0.44</w:t>
            </w:r>
          </w:p>
        </w:tc>
      </w:tr>
      <w:tr w:rsidR="00141B97" w14:paraId="2D80FA10" w14:textId="77777777">
        <w:trPr>
          <w:trHeight w:val="479"/>
          <w:tblCellSpacing w:w="9" w:type="dxa"/>
        </w:trPr>
        <w:tc>
          <w:tcPr>
            <w:tcW w:w="5249" w:type="dxa"/>
            <w:tcBorders>
              <w:left w:val="nil"/>
            </w:tcBorders>
            <w:shd w:val="clear" w:color="auto" w:fill="CCE2ED"/>
          </w:tcPr>
          <w:p w14:paraId="54E971CB" w14:textId="77777777" w:rsidR="00141B97" w:rsidRDefault="00911D63">
            <w:pPr>
              <w:pStyle w:val="TableParagraph"/>
              <w:spacing w:before="142"/>
              <w:ind w:left="88"/>
              <w:rPr>
                <w:sz w:val="16"/>
              </w:rPr>
            </w:pPr>
            <w:r>
              <w:rPr>
                <w:sz w:val="16"/>
              </w:rPr>
              <w:t>RC</w:t>
            </w:r>
            <w:r>
              <w:rPr>
                <w:spacing w:val="-5"/>
                <w:sz w:val="16"/>
              </w:rPr>
              <w:t xml:space="preserve"> </w:t>
            </w:r>
            <w:r>
              <w:rPr>
                <w:sz w:val="16"/>
              </w:rPr>
              <w:t>WTP</w:t>
            </w:r>
            <w:r>
              <w:rPr>
                <w:spacing w:val="-3"/>
                <w:sz w:val="16"/>
              </w:rPr>
              <w:t xml:space="preserve"> </w:t>
            </w:r>
            <w:r>
              <w:rPr>
                <w:sz w:val="16"/>
              </w:rPr>
              <w:t>Filter</w:t>
            </w:r>
            <w:r>
              <w:rPr>
                <w:spacing w:val="-5"/>
                <w:sz w:val="16"/>
              </w:rPr>
              <w:t xml:space="preserve"> </w:t>
            </w:r>
            <w:r>
              <w:rPr>
                <w:sz w:val="16"/>
              </w:rPr>
              <w:t>to</w:t>
            </w:r>
            <w:r>
              <w:rPr>
                <w:spacing w:val="-4"/>
                <w:sz w:val="16"/>
              </w:rPr>
              <w:t xml:space="preserve"> </w:t>
            </w:r>
            <w:r>
              <w:rPr>
                <w:sz w:val="16"/>
              </w:rPr>
              <w:t>waste</w:t>
            </w:r>
            <w:r>
              <w:rPr>
                <w:spacing w:val="-4"/>
                <w:sz w:val="16"/>
              </w:rPr>
              <w:t xml:space="preserve"> </w:t>
            </w:r>
            <w:r>
              <w:rPr>
                <w:sz w:val="16"/>
              </w:rPr>
              <w:t>design</w:t>
            </w:r>
            <w:r>
              <w:rPr>
                <w:spacing w:val="-5"/>
                <w:sz w:val="16"/>
              </w:rPr>
              <w:t xml:space="preserve"> </w:t>
            </w:r>
            <w:r>
              <w:rPr>
                <w:sz w:val="16"/>
              </w:rPr>
              <w:t>and</w:t>
            </w:r>
            <w:r>
              <w:rPr>
                <w:spacing w:val="-3"/>
                <w:sz w:val="16"/>
              </w:rPr>
              <w:t xml:space="preserve"> </w:t>
            </w:r>
            <w:r>
              <w:rPr>
                <w:spacing w:val="-2"/>
                <w:sz w:val="16"/>
              </w:rPr>
              <w:t>construction</w:t>
            </w:r>
          </w:p>
        </w:tc>
        <w:tc>
          <w:tcPr>
            <w:tcW w:w="1375" w:type="dxa"/>
            <w:shd w:val="clear" w:color="auto" w:fill="CCE2ED"/>
          </w:tcPr>
          <w:p w14:paraId="1ABF4F24"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384BDC1D"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51481BAD"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565A9F34" w14:textId="77777777" w:rsidR="00141B97" w:rsidRDefault="00911D63">
            <w:pPr>
              <w:pStyle w:val="TableParagraph"/>
              <w:spacing w:before="142"/>
              <w:ind w:right="95"/>
              <w:jc w:val="right"/>
              <w:rPr>
                <w:sz w:val="16"/>
              </w:rPr>
            </w:pPr>
            <w:r>
              <w:rPr>
                <w:spacing w:val="-4"/>
                <w:sz w:val="16"/>
              </w:rPr>
              <w:t>0.28</w:t>
            </w:r>
          </w:p>
        </w:tc>
        <w:tc>
          <w:tcPr>
            <w:tcW w:w="1226" w:type="dxa"/>
            <w:shd w:val="clear" w:color="auto" w:fill="CCE2ED"/>
          </w:tcPr>
          <w:p w14:paraId="6D9A622F"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56B58C2D"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0DCF71CB"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6A4D2B3F" w14:textId="77777777" w:rsidR="00141B97" w:rsidRDefault="00911D63">
            <w:pPr>
              <w:pStyle w:val="TableParagraph"/>
              <w:spacing w:before="142"/>
              <w:ind w:right="83"/>
              <w:jc w:val="right"/>
              <w:rPr>
                <w:sz w:val="16"/>
              </w:rPr>
            </w:pPr>
            <w:r>
              <w:rPr>
                <w:spacing w:val="-4"/>
                <w:sz w:val="16"/>
              </w:rPr>
              <w:t>0.28</w:t>
            </w:r>
          </w:p>
        </w:tc>
      </w:tr>
      <w:tr w:rsidR="00141B97" w14:paraId="028B6157" w14:textId="77777777">
        <w:trPr>
          <w:trHeight w:val="240"/>
          <w:tblCellSpacing w:w="9" w:type="dxa"/>
        </w:trPr>
        <w:tc>
          <w:tcPr>
            <w:tcW w:w="5249" w:type="dxa"/>
            <w:tcBorders>
              <w:left w:val="nil"/>
            </w:tcBorders>
            <w:shd w:val="clear" w:color="auto" w:fill="CCE2ED"/>
          </w:tcPr>
          <w:p w14:paraId="4805FA0D" w14:textId="77777777" w:rsidR="00141B97" w:rsidRDefault="00911D63">
            <w:pPr>
              <w:pStyle w:val="TableParagraph"/>
              <w:spacing w:before="22"/>
              <w:ind w:left="88"/>
              <w:rPr>
                <w:sz w:val="16"/>
              </w:rPr>
            </w:pPr>
            <w:r>
              <w:rPr>
                <w:sz w:val="16"/>
              </w:rPr>
              <w:t>ROB</w:t>
            </w:r>
            <w:r>
              <w:rPr>
                <w:spacing w:val="-5"/>
                <w:sz w:val="16"/>
              </w:rPr>
              <w:t xml:space="preserve"> </w:t>
            </w:r>
            <w:r>
              <w:rPr>
                <w:sz w:val="16"/>
              </w:rPr>
              <w:t>WTP</w:t>
            </w:r>
            <w:r>
              <w:rPr>
                <w:spacing w:val="-3"/>
                <w:sz w:val="16"/>
              </w:rPr>
              <w:t xml:space="preserve"> </w:t>
            </w:r>
            <w:r>
              <w:rPr>
                <w:sz w:val="16"/>
              </w:rPr>
              <w:t>&amp;</w:t>
            </w:r>
            <w:r>
              <w:rPr>
                <w:spacing w:val="-4"/>
                <w:sz w:val="16"/>
              </w:rPr>
              <w:t xml:space="preserve"> </w:t>
            </w:r>
            <w:r>
              <w:rPr>
                <w:sz w:val="16"/>
              </w:rPr>
              <w:t>RWPS</w:t>
            </w:r>
            <w:r>
              <w:rPr>
                <w:spacing w:val="-4"/>
                <w:sz w:val="16"/>
              </w:rPr>
              <w:t xml:space="preserve"> </w:t>
            </w:r>
            <w:r>
              <w:rPr>
                <w:sz w:val="16"/>
              </w:rPr>
              <w:t>‐</w:t>
            </w:r>
            <w:r>
              <w:rPr>
                <w:spacing w:val="-3"/>
                <w:sz w:val="16"/>
              </w:rPr>
              <w:t xml:space="preserve"> </w:t>
            </w:r>
            <w:r>
              <w:rPr>
                <w:sz w:val="16"/>
              </w:rPr>
              <w:t>SCADA</w:t>
            </w:r>
            <w:r>
              <w:rPr>
                <w:spacing w:val="-4"/>
                <w:sz w:val="16"/>
              </w:rPr>
              <w:t xml:space="preserve"> </w:t>
            </w:r>
            <w:r>
              <w:rPr>
                <w:sz w:val="16"/>
              </w:rPr>
              <w:t>&amp;</w:t>
            </w:r>
            <w:r>
              <w:rPr>
                <w:spacing w:val="-4"/>
                <w:sz w:val="16"/>
              </w:rPr>
              <w:t xml:space="preserve"> </w:t>
            </w:r>
            <w:r>
              <w:rPr>
                <w:sz w:val="16"/>
              </w:rPr>
              <w:t>RWPS</w:t>
            </w:r>
            <w:r>
              <w:rPr>
                <w:spacing w:val="-4"/>
                <w:sz w:val="16"/>
              </w:rPr>
              <w:t xml:space="preserve"> </w:t>
            </w:r>
            <w:r>
              <w:rPr>
                <w:sz w:val="16"/>
              </w:rPr>
              <w:t>Control</w:t>
            </w:r>
            <w:r>
              <w:rPr>
                <w:spacing w:val="-5"/>
                <w:sz w:val="16"/>
              </w:rPr>
              <w:t xml:space="preserve"> </w:t>
            </w:r>
            <w:r>
              <w:rPr>
                <w:sz w:val="16"/>
              </w:rPr>
              <w:t>Systems</w:t>
            </w:r>
            <w:r>
              <w:rPr>
                <w:spacing w:val="-4"/>
                <w:sz w:val="16"/>
              </w:rPr>
              <w:t xml:space="preserve"> </w:t>
            </w:r>
            <w:r>
              <w:rPr>
                <w:spacing w:val="-2"/>
                <w:sz w:val="16"/>
              </w:rPr>
              <w:t>Renewal</w:t>
            </w:r>
          </w:p>
        </w:tc>
        <w:tc>
          <w:tcPr>
            <w:tcW w:w="1375" w:type="dxa"/>
            <w:shd w:val="clear" w:color="auto" w:fill="CCE2ED"/>
          </w:tcPr>
          <w:p w14:paraId="28568E14"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1B956870"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4DD45BFD"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66D9E7CD" w14:textId="77777777" w:rsidR="00141B97" w:rsidRDefault="00911D63">
            <w:pPr>
              <w:pStyle w:val="TableParagraph"/>
              <w:spacing w:before="22"/>
              <w:ind w:right="95"/>
              <w:jc w:val="right"/>
              <w:rPr>
                <w:sz w:val="16"/>
              </w:rPr>
            </w:pPr>
            <w:r>
              <w:rPr>
                <w:spacing w:val="-4"/>
                <w:sz w:val="16"/>
              </w:rPr>
              <w:t>0.10</w:t>
            </w:r>
          </w:p>
        </w:tc>
        <w:tc>
          <w:tcPr>
            <w:tcW w:w="1226" w:type="dxa"/>
            <w:shd w:val="clear" w:color="auto" w:fill="CCE2ED"/>
          </w:tcPr>
          <w:p w14:paraId="509E9D15" w14:textId="77777777" w:rsidR="00141B97" w:rsidRDefault="00911D63">
            <w:pPr>
              <w:pStyle w:val="TableParagraph"/>
              <w:spacing w:before="22"/>
              <w:ind w:right="94"/>
              <w:jc w:val="right"/>
              <w:rPr>
                <w:sz w:val="16"/>
              </w:rPr>
            </w:pPr>
            <w:r>
              <w:rPr>
                <w:spacing w:val="-4"/>
                <w:sz w:val="16"/>
              </w:rPr>
              <w:t>0.15</w:t>
            </w:r>
          </w:p>
        </w:tc>
        <w:tc>
          <w:tcPr>
            <w:tcW w:w="1226" w:type="dxa"/>
            <w:shd w:val="clear" w:color="auto" w:fill="CCE2ED"/>
          </w:tcPr>
          <w:p w14:paraId="6FFD00E6"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58186254"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3A810436" w14:textId="77777777" w:rsidR="00141B97" w:rsidRDefault="00911D63">
            <w:pPr>
              <w:pStyle w:val="TableParagraph"/>
              <w:spacing w:before="22"/>
              <w:ind w:right="83"/>
              <w:jc w:val="right"/>
              <w:rPr>
                <w:sz w:val="16"/>
              </w:rPr>
            </w:pPr>
            <w:r>
              <w:rPr>
                <w:spacing w:val="-4"/>
                <w:sz w:val="16"/>
              </w:rPr>
              <w:t>0.25</w:t>
            </w:r>
          </w:p>
        </w:tc>
      </w:tr>
      <w:tr w:rsidR="00141B97" w14:paraId="34A68715" w14:textId="77777777">
        <w:trPr>
          <w:trHeight w:val="254"/>
          <w:tblCellSpacing w:w="9" w:type="dxa"/>
        </w:trPr>
        <w:tc>
          <w:tcPr>
            <w:tcW w:w="5249" w:type="dxa"/>
            <w:tcBorders>
              <w:left w:val="nil"/>
            </w:tcBorders>
            <w:shd w:val="clear" w:color="auto" w:fill="CCE2ED"/>
          </w:tcPr>
          <w:p w14:paraId="3821F24A" w14:textId="77777777" w:rsidR="00141B97" w:rsidRDefault="00911D63">
            <w:pPr>
              <w:pStyle w:val="TableParagraph"/>
              <w:spacing w:before="29"/>
              <w:ind w:left="88"/>
              <w:rPr>
                <w:sz w:val="16"/>
              </w:rPr>
            </w:pPr>
            <w:r>
              <w:rPr>
                <w:sz w:val="16"/>
              </w:rPr>
              <w:t>SH</w:t>
            </w:r>
            <w:r>
              <w:rPr>
                <w:spacing w:val="-7"/>
                <w:sz w:val="16"/>
              </w:rPr>
              <w:t xml:space="preserve"> </w:t>
            </w:r>
            <w:r>
              <w:rPr>
                <w:sz w:val="16"/>
              </w:rPr>
              <w:t>Clarifier</w:t>
            </w:r>
            <w:r>
              <w:rPr>
                <w:spacing w:val="-6"/>
                <w:sz w:val="16"/>
              </w:rPr>
              <w:t xml:space="preserve"> </w:t>
            </w:r>
            <w:r>
              <w:rPr>
                <w:sz w:val="16"/>
              </w:rPr>
              <w:t>‐</w:t>
            </w:r>
            <w:r>
              <w:rPr>
                <w:spacing w:val="-6"/>
                <w:sz w:val="16"/>
              </w:rPr>
              <w:t xml:space="preserve"> </w:t>
            </w:r>
            <w:r>
              <w:rPr>
                <w:sz w:val="16"/>
              </w:rPr>
              <w:t>Launders</w:t>
            </w:r>
            <w:r>
              <w:rPr>
                <w:spacing w:val="-7"/>
                <w:sz w:val="16"/>
              </w:rPr>
              <w:t xml:space="preserve"> </w:t>
            </w:r>
            <w:r>
              <w:rPr>
                <w:spacing w:val="-2"/>
                <w:sz w:val="16"/>
              </w:rPr>
              <w:t>replacement</w:t>
            </w:r>
          </w:p>
        </w:tc>
        <w:tc>
          <w:tcPr>
            <w:tcW w:w="1375" w:type="dxa"/>
            <w:shd w:val="clear" w:color="auto" w:fill="CCE2ED"/>
          </w:tcPr>
          <w:p w14:paraId="0958D6C2" w14:textId="77777777" w:rsidR="00141B97" w:rsidRDefault="00911D63">
            <w:pPr>
              <w:pStyle w:val="TableParagraph"/>
              <w:spacing w:before="29"/>
              <w:ind w:right="95"/>
              <w:jc w:val="right"/>
              <w:rPr>
                <w:sz w:val="16"/>
              </w:rPr>
            </w:pPr>
            <w:r>
              <w:rPr>
                <w:spacing w:val="-2"/>
                <w:sz w:val="16"/>
              </w:rPr>
              <w:t>Water</w:t>
            </w:r>
          </w:p>
        </w:tc>
        <w:tc>
          <w:tcPr>
            <w:tcW w:w="1886" w:type="dxa"/>
            <w:shd w:val="clear" w:color="auto" w:fill="CCE2ED"/>
          </w:tcPr>
          <w:p w14:paraId="30337ABD" w14:textId="77777777" w:rsidR="00141B97" w:rsidRDefault="00911D63">
            <w:pPr>
              <w:pStyle w:val="TableParagraph"/>
              <w:spacing w:before="29"/>
              <w:ind w:right="97"/>
              <w:jc w:val="right"/>
              <w:rPr>
                <w:sz w:val="16"/>
              </w:rPr>
            </w:pPr>
            <w:r>
              <w:rPr>
                <w:spacing w:val="-2"/>
                <w:sz w:val="16"/>
              </w:rPr>
              <w:t>Renewals</w:t>
            </w:r>
          </w:p>
        </w:tc>
        <w:tc>
          <w:tcPr>
            <w:tcW w:w="1226" w:type="dxa"/>
            <w:shd w:val="clear" w:color="auto" w:fill="CCE2ED"/>
          </w:tcPr>
          <w:p w14:paraId="41F86938" w14:textId="77777777" w:rsidR="00141B97" w:rsidRDefault="00911D63">
            <w:pPr>
              <w:pStyle w:val="TableParagraph"/>
              <w:spacing w:before="29"/>
              <w:ind w:right="95"/>
              <w:jc w:val="right"/>
              <w:rPr>
                <w:sz w:val="16"/>
              </w:rPr>
            </w:pPr>
            <w:r>
              <w:rPr>
                <w:spacing w:val="-4"/>
                <w:sz w:val="16"/>
              </w:rPr>
              <w:t>0.30</w:t>
            </w:r>
          </w:p>
        </w:tc>
        <w:tc>
          <w:tcPr>
            <w:tcW w:w="1227" w:type="dxa"/>
            <w:shd w:val="clear" w:color="auto" w:fill="CCE2ED"/>
          </w:tcPr>
          <w:p w14:paraId="71E96AE6" w14:textId="77777777" w:rsidR="00141B97" w:rsidRDefault="00911D63">
            <w:pPr>
              <w:pStyle w:val="TableParagraph"/>
              <w:spacing w:before="29"/>
              <w:ind w:right="95"/>
              <w:jc w:val="right"/>
              <w:rPr>
                <w:sz w:val="16"/>
              </w:rPr>
            </w:pPr>
            <w:r>
              <w:rPr>
                <w:spacing w:val="-4"/>
                <w:sz w:val="16"/>
              </w:rPr>
              <w:t>0.00</w:t>
            </w:r>
          </w:p>
        </w:tc>
        <w:tc>
          <w:tcPr>
            <w:tcW w:w="1226" w:type="dxa"/>
            <w:shd w:val="clear" w:color="auto" w:fill="CCE2ED"/>
          </w:tcPr>
          <w:p w14:paraId="22B6E66D" w14:textId="77777777" w:rsidR="00141B97" w:rsidRDefault="00911D63">
            <w:pPr>
              <w:pStyle w:val="TableParagraph"/>
              <w:spacing w:before="29"/>
              <w:ind w:right="94"/>
              <w:jc w:val="right"/>
              <w:rPr>
                <w:sz w:val="16"/>
              </w:rPr>
            </w:pPr>
            <w:r>
              <w:rPr>
                <w:spacing w:val="-4"/>
                <w:sz w:val="16"/>
              </w:rPr>
              <w:t>0.00</w:t>
            </w:r>
          </w:p>
        </w:tc>
        <w:tc>
          <w:tcPr>
            <w:tcW w:w="1226" w:type="dxa"/>
            <w:shd w:val="clear" w:color="auto" w:fill="CCE2ED"/>
          </w:tcPr>
          <w:p w14:paraId="5DB2BA97" w14:textId="77777777" w:rsidR="00141B97" w:rsidRDefault="00911D63">
            <w:pPr>
              <w:pStyle w:val="TableParagraph"/>
              <w:spacing w:before="29"/>
              <w:ind w:right="94"/>
              <w:jc w:val="right"/>
              <w:rPr>
                <w:sz w:val="16"/>
              </w:rPr>
            </w:pPr>
            <w:r>
              <w:rPr>
                <w:spacing w:val="-4"/>
                <w:sz w:val="16"/>
              </w:rPr>
              <w:t>0.00</w:t>
            </w:r>
          </w:p>
        </w:tc>
        <w:tc>
          <w:tcPr>
            <w:tcW w:w="1225" w:type="dxa"/>
            <w:shd w:val="clear" w:color="auto" w:fill="CCE2ED"/>
          </w:tcPr>
          <w:p w14:paraId="2CAD0846" w14:textId="77777777" w:rsidR="00141B97" w:rsidRDefault="00911D63">
            <w:pPr>
              <w:pStyle w:val="TableParagraph"/>
              <w:spacing w:before="29"/>
              <w:ind w:right="93"/>
              <w:jc w:val="right"/>
              <w:rPr>
                <w:sz w:val="16"/>
              </w:rPr>
            </w:pPr>
            <w:r>
              <w:rPr>
                <w:spacing w:val="-4"/>
                <w:sz w:val="16"/>
              </w:rPr>
              <w:t>0.00</w:t>
            </w:r>
          </w:p>
        </w:tc>
        <w:tc>
          <w:tcPr>
            <w:tcW w:w="1022" w:type="dxa"/>
            <w:tcBorders>
              <w:right w:val="nil"/>
            </w:tcBorders>
            <w:shd w:val="clear" w:color="auto" w:fill="CCE2ED"/>
          </w:tcPr>
          <w:p w14:paraId="052341F8" w14:textId="77777777" w:rsidR="00141B97" w:rsidRDefault="00911D63">
            <w:pPr>
              <w:pStyle w:val="TableParagraph"/>
              <w:spacing w:before="29"/>
              <w:ind w:right="83"/>
              <w:jc w:val="right"/>
              <w:rPr>
                <w:sz w:val="16"/>
              </w:rPr>
            </w:pPr>
            <w:r>
              <w:rPr>
                <w:spacing w:val="-4"/>
                <w:sz w:val="16"/>
              </w:rPr>
              <w:t>0.30</w:t>
            </w:r>
          </w:p>
        </w:tc>
      </w:tr>
      <w:tr w:rsidR="00141B97" w14:paraId="49D85CF7" w14:textId="77777777">
        <w:trPr>
          <w:trHeight w:val="270"/>
          <w:tblCellSpacing w:w="9" w:type="dxa"/>
        </w:trPr>
        <w:tc>
          <w:tcPr>
            <w:tcW w:w="5249" w:type="dxa"/>
            <w:tcBorders>
              <w:left w:val="nil"/>
            </w:tcBorders>
            <w:shd w:val="clear" w:color="auto" w:fill="BFBFBF"/>
          </w:tcPr>
          <w:p w14:paraId="73990F1C" w14:textId="77777777" w:rsidR="00141B97" w:rsidRDefault="00911D63">
            <w:pPr>
              <w:pStyle w:val="TableParagraph"/>
              <w:spacing w:before="38"/>
              <w:ind w:left="88"/>
              <w:rPr>
                <w:sz w:val="16"/>
              </w:rPr>
            </w:pPr>
            <w:r>
              <w:rPr>
                <w:spacing w:val="-2"/>
                <w:sz w:val="16"/>
              </w:rPr>
              <w:t>Treatment</w:t>
            </w:r>
          </w:p>
        </w:tc>
        <w:tc>
          <w:tcPr>
            <w:tcW w:w="1375" w:type="dxa"/>
            <w:shd w:val="clear" w:color="auto" w:fill="BFBFBF"/>
          </w:tcPr>
          <w:p w14:paraId="51E5A73F" w14:textId="77777777" w:rsidR="00141B97" w:rsidRDefault="00141B97">
            <w:pPr>
              <w:pStyle w:val="TableParagraph"/>
              <w:rPr>
                <w:rFonts w:ascii="Times New Roman"/>
                <w:sz w:val="16"/>
              </w:rPr>
            </w:pPr>
          </w:p>
        </w:tc>
        <w:tc>
          <w:tcPr>
            <w:tcW w:w="1886" w:type="dxa"/>
            <w:shd w:val="clear" w:color="auto" w:fill="BFBFBF"/>
          </w:tcPr>
          <w:p w14:paraId="724E0250" w14:textId="77777777" w:rsidR="00141B97" w:rsidRDefault="00141B97">
            <w:pPr>
              <w:pStyle w:val="TableParagraph"/>
              <w:rPr>
                <w:rFonts w:ascii="Times New Roman"/>
                <w:sz w:val="16"/>
              </w:rPr>
            </w:pPr>
          </w:p>
        </w:tc>
        <w:tc>
          <w:tcPr>
            <w:tcW w:w="1226" w:type="dxa"/>
            <w:shd w:val="clear" w:color="auto" w:fill="BFBFBF"/>
          </w:tcPr>
          <w:p w14:paraId="35BB9C84" w14:textId="77777777" w:rsidR="00141B97" w:rsidRDefault="00141B97">
            <w:pPr>
              <w:pStyle w:val="TableParagraph"/>
              <w:rPr>
                <w:rFonts w:ascii="Times New Roman"/>
                <w:sz w:val="16"/>
              </w:rPr>
            </w:pPr>
          </w:p>
        </w:tc>
        <w:tc>
          <w:tcPr>
            <w:tcW w:w="1227" w:type="dxa"/>
            <w:shd w:val="clear" w:color="auto" w:fill="BFBFBF"/>
          </w:tcPr>
          <w:p w14:paraId="79704BB1" w14:textId="77777777" w:rsidR="00141B97" w:rsidRDefault="00141B97">
            <w:pPr>
              <w:pStyle w:val="TableParagraph"/>
              <w:rPr>
                <w:rFonts w:ascii="Times New Roman"/>
                <w:sz w:val="16"/>
              </w:rPr>
            </w:pPr>
          </w:p>
        </w:tc>
        <w:tc>
          <w:tcPr>
            <w:tcW w:w="1226" w:type="dxa"/>
            <w:shd w:val="clear" w:color="auto" w:fill="BFBFBF"/>
          </w:tcPr>
          <w:p w14:paraId="6414BA0A" w14:textId="77777777" w:rsidR="00141B97" w:rsidRDefault="00141B97">
            <w:pPr>
              <w:pStyle w:val="TableParagraph"/>
              <w:rPr>
                <w:rFonts w:ascii="Times New Roman"/>
                <w:sz w:val="16"/>
              </w:rPr>
            </w:pPr>
          </w:p>
        </w:tc>
        <w:tc>
          <w:tcPr>
            <w:tcW w:w="1226" w:type="dxa"/>
            <w:shd w:val="clear" w:color="auto" w:fill="BFBFBF"/>
          </w:tcPr>
          <w:p w14:paraId="0A31EB7A" w14:textId="77777777" w:rsidR="00141B97" w:rsidRDefault="00141B97">
            <w:pPr>
              <w:pStyle w:val="TableParagraph"/>
              <w:rPr>
                <w:rFonts w:ascii="Times New Roman"/>
                <w:sz w:val="16"/>
              </w:rPr>
            </w:pPr>
          </w:p>
        </w:tc>
        <w:tc>
          <w:tcPr>
            <w:tcW w:w="1225" w:type="dxa"/>
            <w:shd w:val="clear" w:color="auto" w:fill="BFBFBF"/>
          </w:tcPr>
          <w:p w14:paraId="382352A1" w14:textId="77777777" w:rsidR="00141B97" w:rsidRDefault="00141B97">
            <w:pPr>
              <w:pStyle w:val="TableParagraph"/>
              <w:rPr>
                <w:rFonts w:ascii="Times New Roman"/>
                <w:sz w:val="16"/>
              </w:rPr>
            </w:pPr>
          </w:p>
        </w:tc>
        <w:tc>
          <w:tcPr>
            <w:tcW w:w="1022" w:type="dxa"/>
            <w:tcBorders>
              <w:right w:val="nil"/>
            </w:tcBorders>
            <w:shd w:val="clear" w:color="auto" w:fill="BFBFBF"/>
          </w:tcPr>
          <w:p w14:paraId="3E25C3E1" w14:textId="77777777" w:rsidR="00141B97" w:rsidRDefault="00141B97">
            <w:pPr>
              <w:pStyle w:val="TableParagraph"/>
              <w:rPr>
                <w:rFonts w:ascii="Times New Roman"/>
                <w:sz w:val="16"/>
              </w:rPr>
            </w:pPr>
          </w:p>
        </w:tc>
      </w:tr>
      <w:tr w:rsidR="00141B97" w14:paraId="2E52D209" w14:textId="77777777">
        <w:trPr>
          <w:trHeight w:val="479"/>
          <w:tblCellSpacing w:w="9" w:type="dxa"/>
        </w:trPr>
        <w:tc>
          <w:tcPr>
            <w:tcW w:w="5249" w:type="dxa"/>
            <w:tcBorders>
              <w:left w:val="nil"/>
            </w:tcBorders>
            <w:shd w:val="clear" w:color="auto" w:fill="CCE2ED"/>
          </w:tcPr>
          <w:p w14:paraId="0C733B7D" w14:textId="77777777" w:rsidR="00141B97" w:rsidRDefault="00911D63">
            <w:pPr>
              <w:pStyle w:val="TableParagraph"/>
              <w:spacing w:before="44"/>
              <w:ind w:left="88" w:right="105"/>
              <w:rPr>
                <w:sz w:val="16"/>
              </w:rPr>
            </w:pPr>
            <w:r>
              <w:rPr>
                <w:sz w:val="16"/>
              </w:rPr>
              <w:t>KER</w:t>
            </w:r>
            <w:r>
              <w:rPr>
                <w:spacing w:val="-2"/>
                <w:sz w:val="16"/>
              </w:rPr>
              <w:t xml:space="preserve"> </w:t>
            </w:r>
            <w:r>
              <w:rPr>
                <w:sz w:val="16"/>
              </w:rPr>
              <w:t>‐</w:t>
            </w:r>
            <w:r>
              <w:rPr>
                <w:spacing w:val="-3"/>
                <w:sz w:val="16"/>
              </w:rPr>
              <w:t xml:space="preserve"> </w:t>
            </w:r>
            <w:r>
              <w:rPr>
                <w:sz w:val="16"/>
              </w:rPr>
              <w:t>WWTP‐</w:t>
            </w:r>
            <w:r>
              <w:rPr>
                <w:spacing w:val="-2"/>
                <w:sz w:val="16"/>
              </w:rPr>
              <w:t xml:space="preserve"> </w:t>
            </w:r>
            <w:r>
              <w:rPr>
                <w:sz w:val="16"/>
              </w:rPr>
              <w:t>Power</w:t>
            </w:r>
            <w:r>
              <w:rPr>
                <w:spacing w:val="-3"/>
                <w:sz w:val="16"/>
              </w:rPr>
              <w:t xml:space="preserve"> </w:t>
            </w:r>
            <w:r>
              <w:rPr>
                <w:sz w:val="16"/>
              </w:rPr>
              <w:t>upgrade</w:t>
            </w:r>
            <w:r>
              <w:rPr>
                <w:spacing w:val="-3"/>
                <w:sz w:val="16"/>
              </w:rPr>
              <w:t xml:space="preserve"> </w:t>
            </w:r>
            <w:r>
              <w:rPr>
                <w:sz w:val="16"/>
              </w:rPr>
              <w:t>to</w:t>
            </w:r>
            <w:r>
              <w:rPr>
                <w:spacing w:val="-2"/>
                <w:sz w:val="16"/>
              </w:rPr>
              <w:t xml:space="preserve"> </w:t>
            </w:r>
            <w:r>
              <w:rPr>
                <w:sz w:val="16"/>
              </w:rPr>
              <w:t>run</w:t>
            </w:r>
            <w:r>
              <w:rPr>
                <w:spacing w:val="-3"/>
                <w:sz w:val="16"/>
              </w:rPr>
              <w:t xml:space="preserve"> </w:t>
            </w:r>
            <w:r>
              <w:rPr>
                <w:sz w:val="16"/>
              </w:rPr>
              <w:t>the</w:t>
            </w:r>
            <w:r>
              <w:rPr>
                <w:spacing w:val="-2"/>
                <w:sz w:val="16"/>
              </w:rPr>
              <w:t xml:space="preserve"> </w:t>
            </w:r>
            <w:r>
              <w:rPr>
                <w:sz w:val="16"/>
              </w:rPr>
              <w:t>aerators,</w:t>
            </w:r>
            <w:r>
              <w:rPr>
                <w:spacing w:val="-2"/>
                <w:sz w:val="16"/>
              </w:rPr>
              <w:t xml:space="preserve"> </w:t>
            </w:r>
            <w:r>
              <w:rPr>
                <w:sz w:val="16"/>
              </w:rPr>
              <w:t>option</w:t>
            </w:r>
            <w:r>
              <w:rPr>
                <w:spacing w:val="-3"/>
                <w:sz w:val="16"/>
              </w:rPr>
              <w:t xml:space="preserve"> </w:t>
            </w:r>
            <w:r>
              <w:rPr>
                <w:sz w:val="16"/>
              </w:rPr>
              <w:t>assessment</w:t>
            </w:r>
            <w:r>
              <w:rPr>
                <w:spacing w:val="-3"/>
                <w:sz w:val="16"/>
              </w:rPr>
              <w:t xml:space="preserve"> </w:t>
            </w:r>
            <w:r>
              <w:rPr>
                <w:sz w:val="16"/>
              </w:rPr>
              <w:t>for</w:t>
            </w:r>
            <w:r>
              <w:rPr>
                <w:spacing w:val="-1"/>
                <w:sz w:val="16"/>
              </w:rPr>
              <w:t xml:space="preserve"> </w:t>
            </w:r>
            <w:r>
              <w:rPr>
                <w:sz w:val="16"/>
              </w:rPr>
              <w:t>solar</w:t>
            </w:r>
            <w:r>
              <w:rPr>
                <w:spacing w:val="40"/>
                <w:sz w:val="16"/>
              </w:rPr>
              <w:t xml:space="preserve"> </w:t>
            </w:r>
            <w:r>
              <w:rPr>
                <w:sz w:val="16"/>
              </w:rPr>
              <w:t>vs</w:t>
            </w:r>
            <w:r>
              <w:rPr>
                <w:spacing w:val="-7"/>
                <w:sz w:val="16"/>
              </w:rPr>
              <w:t xml:space="preserve"> </w:t>
            </w:r>
            <w:r>
              <w:rPr>
                <w:sz w:val="16"/>
              </w:rPr>
              <w:t>power</w:t>
            </w:r>
          </w:p>
        </w:tc>
        <w:tc>
          <w:tcPr>
            <w:tcW w:w="1375" w:type="dxa"/>
            <w:shd w:val="clear" w:color="auto" w:fill="CCE2ED"/>
          </w:tcPr>
          <w:p w14:paraId="3BBDD006" w14:textId="77777777" w:rsidR="00141B97" w:rsidRDefault="00911D63">
            <w:pPr>
              <w:pStyle w:val="TableParagraph"/>
              <w:spacing w:before="142"/>
              <w:ind w:right="96"/>
              <w:jc w:val="right"/>
              <w:rPr>
                <w:sz w:val="16"/>
              </w:rPr>
            </w:pPr>
            <w:r>
              <w:rPr>
                <w:spacing w:val="-2"/>
                <w:sz w:val="16"/>
              </w:rPr>
              <w:t>Sewerage</w:t>
            </w:r>
          </w:p>
        </w:tc>
        <w:tc>
          <w:tcPr>
            <w:tcW w:w="1886" w:type="dxa"/>
            <w:shd w:val="clear" w:color="auto" w:fill="CCE2ED"/>
          </w:tcPr>
          <w:p w14:paraId="7BE2570F"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532D555" w14:textId="77777777" w:rsidR="00141B97" w:rsidRDefault="00911D63">
            <w:pPr>
              <w:pStyle w:val="TableParagraph"/>
              <w:spacing w:before="142"/>
              <w:ind w:right="95"/>
              <w:jc w:val="right"/>
              <w:rPr>
                <w:sz w:val="16"/>
              </w:rPr>
            </w:pPr>
            <w:r>
              <w:rPr>
                <w:spacing w:val="-4"/>
                <w:sz w:val="16"/>
              </w:rPr>
              <w:t>0.30</w:t>
            </w:r>
          </w:p>
        </w:tc>
        <w:tc>
          <w:tcPr>
            <w:tcW w:w="1227" w:type="dxa"/>
            <w:shd w:val="clear" w:color="auto" w:fill="CCE2ED"/>
          </w:tcPr>
          <w:p w14:paraId="7A2EF385"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764126C1"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3C78BA9E"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7E9C06A7"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42B82AE8" w14:textId="77777777" w:rsidR="00141B97" w:rsidRDefault="00911D63">
            <w:pPr>
              <w:pStyle w:val="TableParagraph"/>
              <w:spacing w:before="142"/>
              <w:ind w:right="83"/>
              <w:jc w:val="right"/>
              <w:rPr>
                <w:sz w:val="16"/>
              </w:rPr>
            </w:pPr>
            <w:r>
              <w:rPr>
                <w:spacing w:val="-4"/>
                <w:sz w:val="16"/>
              </w:rPr>
              <w:t>0.30</w:t>
            </w:r>
          </w:p>
        </w:tc>
      </w:tr>
      <w:tr w:rsidR="00141B97" w14:paraId="79114765" w14:textId="77777777">
        <w:trPr>
          <w:trHeight w:val="240"/>
          <w:tblCellSpacing w:w="9" w:type="dxa"/>
        </w:trPr>
        <w:tc>
          <w:tcPr>
            <w:tcW w:w="5249" w:type="dxa"/>
            <w:tcBorders>
              <w:left w:val="nil"/>
            </w:tcBorders>
            <w:shd w:val="clear" w:color="auto" w:fill="CCE2ED"/>
          </w:tcPr>
          <w:p w14:paraId="3A506F3F" w14:textId="77777777" w:rsidR="00141B97" w:rsidRDefault="00911D63">
            <w:pPr>
              <w:pStyle w:val="TableParagraph"/>
              <w:spacing w:before="22"/>
              <w:ind w:left="88"/>
              <w:rPr>
                <w:sz w:val="16"/>
              </w:rPr>
            </w:pPr>
            <w:r>
              <w:rPr>
                <w:sz w:val="16"/>
              </w:rPr>
              <w:t>KLG</w:t>
            </w:r>
            <w:r>
              <w:rPr>
                <w:spacing w:val="-4"/>
                <w:sz w:val="16"/>
              </w:rPr>
              <w:t xml:space="preserve"> </w:t>
            </w:r>
            <w:r>
              <w:rPr>
                <w:sz w:val="16"/>
              </w:rPr>
              <w:t>‐</w:t>
            </w:r>
            <w:r>
              <w:rPr>
                <w:spacing w:val="-4"/>
                <w:sz w:val="16"/>
              </w:rPr>
              <w:t xml:space="preserve"> </w:t>
            </w:r>
            <w:r>
              <w:rPr>
                <w:sz w:val="16"/>
              </w:rPr>
              <w:t>Refurbishment</w:t>
            </w:r>
            <w:r>
              <w:rPr>
                <w:spacing w:val="-3"/>
                <w:sz w:val="16"/>
              </w:rPr>
              <w:t xml:space="preserve"> </w:t>
            </w:r>
            <w:r>
              <w:rPr>
                <w:sz w:val="16"/>
              </w:rPr>
              <w:t>of</w:t>
            </w:r>
            <w:r>
              <w:rPr>
                <w:spacing w:val="-2"/>
                <w:sz w:val="16"/>
              </w:rPr>
              <w:t xml:space="preserve"> </w:t>
            </w:r>
            <w:r>
              <w:rPr>
                <w:sz w:val="16"/>
              </w:rPr>
              <w:t>VSD</w:t>
            </w:r>
            <w:r>
              <w:rPr>
                <w:spacing w:val="-3"/>
                <w:sz w:val="16"/>
              </w:rPr>
              <w:t xml:space="preserve"> </w:t>
            </w:r>
            <w:r>
              <w:rPr>
                <w:sz w:val="16"/>
              </w:rPr>
              <w:t>blowers</w:t>
            </w:r>
            <w:r>
              <w:rPr>
                <w:spacing w:val="-5"/>
                <w:sz w:val="16"/>
              </w:rPr>
              <w:t xml:space="preserve"> </w:t>
            </w:r>
            <w:r>
              <w:rPr>
                <w:sz w:val="16"/>
              </w:rPr>
              <w:t>(</w:t>
            </w:r>
            <w:r>
              <w:rPr>
                <w:spacing w:val="-1"/>
                <w:sz w:val="16"/>
              </w:rPr>
              <w:t xml:space="preserve"> </w:t>
            </w:r>
            <w:r>
              <w:rPr>
                <w:sz w:val="16"/>
              </w:rPr>
              <w:t>5</w:t>
            </w:r>
            <w:r>
              <w:rPr>
                <w:spacing w:val="-4"/>
                <w:sz w:val="16"/>
              </w:rPr>
              <w:t xml:space="preserve"> </w:t>
            </w:r>
            <w:r>
              <w:rPr>
                <w:sz w:val="16"/>
              </w:rPr>
              <w:t>big</w:t>
            </w:r>
            <w:r>
              <w:rPr>
                <w:spacing w:val="-4"/>
                <w:sz w:val="16"/>
              </w:rPr>
              <w:t xml:space="preserve"> </w:t>
            </w:r>
            <w:r>
              <w:rPr>
                <w:sz w:val="16"/>
              </w:rPr>
              <w:t>and</w:t>
            </w:r>
            <w:r>
              <w:rPr>
                <w:spacing w:val="-2"/>
                <w:sz w:val="16"/>
              </w:rPr>
              <w:t xml:space="preserve"> </w:t>
            </w:r>
            <w:r>
              <w:rPr>
                <w:sz w:val="16"/>
              </w:rPr>
              <w:t>2</w:t>
            </w:r>
            <w:r>
              <w:rPr>
                <w:spacing w:val="-3"/>
                <w:sz w:val="16"/>
              </w:rPr>
              <w:t xml:space="preserve"> </w:t>
            </w:r>
            <w:r>
              <w:rPr>
                <w:sz w:val="16"/>
              </w:rPr>
              <w:t>small</w:t>
            </w:r>
            <w:r>
              <w:rPr>
                <w:spacing w:val="-4"/>
                <w:sz w:val="16"/>
              </w:rPr>
              <w:t xml:space="preserve"> </w:t>
            </w:r>
            <w:r>
              <w:rPr>
                <w:spacing w:val="-10"/>
                <w:sz w:val="16"/>
              </w:rPr>
              <w:t>)</w:t>
            </w:r>
          </w:p>
        </w:tc>
        <w:tc>
          <w:tcPr>
            <w:tcW w:w="1375" w:type="dxa"/>
            <w:shd w:val="clear" w:color="auto" w:fill="CCE2ED"/>
          </w:tcPr>
          <w:p w14:paraId="3AC8A4C5"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3E65EE16"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676B97A2"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25A5134C"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48E1FE3C"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20E32368" w14:textId="77777777" w:rsidR="00141B97" w:rsidRDefault="00911D63">
            <w:pPr>
              <w:pStyle w:val="TableParagraph"/>
              <w:spacing w:before="22"/>
              <w:ind w:right="94"/>
              <w:jc w:val="right"/>
              <w:rPr>
                <w:sz w:val="16"/>
              </w:rPr>
            </w:pPr>
            <w:r>
              <w:rPr>
                <w:spacing w:val="-4"/>
                <w:sz w:val="16"/>
              </w:rPr>
              <w:t>0.50</w:t>
            </w:r>
          </w:p>
        </w:tc>
        <w:tc>
          <w:tcPr>
            <w:tcW w:w="1225" w:type="dxa"/>
            <w:shd w:val="clear" w:color="auto" w:fill="CCE2ED"/>
          </w:tcPr>
          <w:p w14:paraId="44D21DEE" w14:textId="77777777" w:rsidR="00141B97" w:rsidRDefault="00911D63">
            <w:pPr>
              <w:pStyle w:val="TableParagraph"/>
              <w:spacing w:before="22"/>
              <w:ind w:right="93"/>
              <w:jc w:val="right"/>
              <w:rPr>
                <w:sz w:val="16"/>
              </w:rPr>
            </w:pPr>
            <w:r>
              <w:rPr>
                <w:spacing w:val="-4"/>
                <w:sz w:val="16"/>
              </w:rPr>
              <w:t>0.20</w:t>
            </w:r>
          </w:p>
        </w:tc>
        <w:tc>
          <w:tcPr>
            <w:tcW w:w="1022" w:type="dxa"/>
            <w:tcBorders>
              <w:right w:val="nil"/>
            </w:tcBorders>
            <w:shd w:val="clear" w:color="auto" w:fill="CCE2ED"/>
          </w:tcPr>
          <w:p w14:paraId="4BD3026F" w14:textId="77777777" w:rsidR="00141B97" w:rsidRDefault="00911D63">
            <w:pPr>
              <w:pStyle w:val="TableParagraph"/>
              <w:spacing w:before="22"/>
              <w:ind w:right="83"/>
              <w:jc w:val="right"/>
              <w:rPr>
                <w:sz w:val="16"/>
              </w:rPr>
            </w:pPr>
            <w:r>
              <w:rPr>
                <w:spacing w:val="-4"/>
                <w:sz w:val="16"/>
              </w:rPr>
              <w:t>0.70</w:t>
            </w:r>
          </w:p>
        </w:tc>
      </w:tr>
      <w:tr w:rsidR="00141B97" w14:paraId="422E577A" w14:textId="77777777">
        <w:trPr>
          <w:trHeight w:val="480"/>
          <w:tblCellSpacing w:w="9" w:type="dxa"/>
        </w:trPr>
        <w:tc>
          <w:tcPr>
            <w:tcW w:w="5249" w:type="dxa"/>
            <w:tcBorders>
              <w:left w:val="nil"/>
            </w:tcBorders>
            <w:shd w:val="clear" w:color="auto" w:fill="CCE2ED"/>
          </w:tcPr>
          <w:p w14:paraId="26ECDD30" w14:textId="77777777" w:rsidR="00141B97" w:rsidRDefault="00911D63">
            <w:pPr>
              <w:pStyle w:val="TableParagraph"/>
              <w:spacing w:before="45"/>
              <w:ind w:left="88" w:right="163"/>
              <w:rPr>
                <w:sz w:val="16"/>
              </w:rPr>
            </w:pPr>
            <w:r>
              <w:rPr>
                <w:sz w:val="16"/>
              </w:rPr>
              <w:t>KLG</w:t>
            </w:r>
            <w:r>
              <w:rPr>
                <w:spacing w:val="-2"/>
                <w:sz w:val="16"/>
              </w:rPr>
              <w:t xml:space="preserve"> </w:t>
            </w:r>
            <w:r>
              <w:rPr>
                <w:sz w:val="16"/>
              </w:rPr>
              <w:t>‐</w:t>
            </w:r>
            <w:r>
              <w:rPr>
                <w:spacing w:val="-2"/>
                <w:sz w:val="16"/>
              </w:rPr>
              <w:t xml:space="preserve"> </w:t>
            </w:r>
            <w:r>
              <w:rPr>
                <w:sz w:val="16"/>
              </w:rPr>
              <w:t>Repairing/</w:t>
            </w:r>
            <w:r>
              <w:rPr>
                <w:spacing w:val="-2"/>
                <w:sz w:val="16"/>
              </w:rPr>
              <w:t xml:space="preserve"> </w:t>
            </w:r>
            <w:r>
              <w:rPr>
                <w:sz w:val="16"/>
              </w:rPr>
              <w:t>replacement</w:t>
            </w:r>
            <w:r>
              <w:rPr>
                <w:spacing w:val="-2"/>
                <w:sz w:val="16"/>
              </w:rPr>
              <w:t xml:space="preserve"> </w:t>
            </w:r>
            <w:r>
              <w:rPr>
                <w:sz w:val="16"/>
              </w:rPr>
              <w:t>the</w:t>
            </w:r>
            <w:r>
              <w:rPr>
                <w:spacing w:val="-1"/>
                <w:sz w:val="16"/>
              </w:rPr>
              <w:t xml:space="preserve"> </w:t>
            </w:r>
            <w:r>
              <w:rPr>
                <w:sz w:val="16"/>
              </w:rPr>
              <w:t>hand</w:t>
            </w:r>
            <w:r>
              <w:rPr>
                <w:spacing w:val="-2"/>
                <w:sz w:val="16"/>
              </w:rPr>
              <w:t xml:space="preserve"> </w:t>
            </w:r>
            <w:r>
              <w:rPr>
                <w:sz w:val="16"/>
              </w:rPr>
              <w:t>railing</w:t>
            </w:r>
            <w:r>
              <w:rPr>
                <w:spacing w:val="-3"/>
                <w:sz w:val="16"/>
              </w:rPr>
              <w:t xml:space="preserve"> </w:t>
            </w:r>
            <w:r>
              <w:rPr>
                <w:sz w:val="16"/>
              </w:rPr>
              <w:t>and</w:t>
            </w:r>
            <w:r>
              <w:rPr>
                <w:spacing w:val="-2"/>
                <w:sz w:val="16"/>
              </w:rPr>
              <w:t xml:space="preserve"> </w:t>
            </w:r>
            <w:r>
              <w:rPr>
                <w:sz w:val="16"/>
              </w:rPr>
              <w:t>pipework</w:t>
            </w:r>
            <w:r>
              <w:rPr>
                <w:spacing w:val="-2"/>
                <w:sz w:val="16"/>
              </w:rPr>
              <w:t xml:space="preserve"> </w:t>
            </w:r>
            <w:r>
              <w:rPr>
                <w:sz w:val="16"/>
              </w:rPr>
              <w:t>above</w:t>
            </w:r>
            <w:r>
              <w:rPr>
                <w:spacing w:val="-2"/>
                <w:sz w:val="16"/>
              </w:rPr>
              <w:t xml:space="preserve"> </w:t>
            </w:r>
            <w:r>
              <w:rPr>
                <w:sz w:val="16"/>
              </w:rPr>
              <w:t>the</w:t>
            </w:r>
            <w:r>
              <w:rPr>
                <w:spacing w:val="40"/>
                <w:sz w:val="16"/>
              </w:rPr>
              <w:t xml:space="preserve"> </w:t>
            </w:r>
            <w:r>
              <w:rPr>
                <w:spacing w:val="-2"/>
                <w:sz w:val="16"/>
              </w:rPr>
              <w:t>reactors</w:t>
            </w:r>
          </w:p>
        </w:tc>
        <w:tc>
          <w:tcPr>
            <w:tcW w:w="1375" w:type="dxa"/>
            <w:shd w:val="clear" w:color="auto" w:fill="CCE2ED"/>
          </w:tcPr>
          <w:p w14:paraId="67EE38B3" w14:textId="77777777" w:rsidR="00141B97" w:rsidRDefault="00911D63">
            <w:pPr>
              <w:pStyle w:val="TableParagraph"/>
              <w:spacing w:before="142"/>
              <w:ind w:right="96"/>
              <w:jc w:val="right"/>
              <w:rPr>
                <w:sz w:val="16"/>
              </w:rPr>
            </w:pPr>
            <w:r>
              <w:rPr>
                <w:spacing w:val="-2"/>
                <w:sz w:val="16"/>
              </w:rPr>
              <w:t>Sewerage</w:t>
            </w:r>
          </w:p>
        </w:tc>
        <w:tc>
          <w:tcPr>
            <w:tcW w:w="1886" w:type="dxa"/>
            <w:shd w:val="clear" w:color="auto" w:fill="CCE2ED"/>
          </w:tcPr>
          <w:p w14:paraId="3902290F" w14:textId="77777777" w:rsidR="00141B97" w:rsidRDefault="00911D63">
            <w:pPr>
              <w:pStyle w:val="TableParagraph"/>
              <w:spacing w:before="142"/>
              <w:ind w:right="97"/>
              <w:jc w:val="right"/>
              <w:rPr>
                <w:sz w:val="16"/>
              </w:rPr>
            </w:pPr>
            <w:r>
              <w:rPr>
                <w:spacing w:val="-2"/>
                <w:sz w:val="16"/>
              </w:rPr>
              <w:t>Renewals</w:t>
            </w:r>
          </w:p>
        </w:tc>
        <w:tc>
          <w:tcPr>
            <w:tcW w:w="1226" w:type="dxa"/>
            <w:shd w:val="clear" w:color="auto" w:fill="CCE2ED"/>
          </w:tcPr>
          <w:p w14:paraId="22EDEBDC" w14:textId="77777777" w:rsidR="00141B97" w:rsidRDefault="00911D63">
            <w:pPr>
              <w:pStyle w:val="TableParagraph"/>
              <w:spacing w:before="142"/>
              <w:ind w:right="95"/>
              <w:jc w:val="right"/>
              <w:rPr>
                <w:sz w:val="16"/>
              </w:rPr>
            </w:pPr>
            <w:r>
              <w:rPr>
                <w:spacing w:val="-4"/>
                <w:sz w:val="16"/>
              </w:rPr>
              <w:t>0.15</w:t>
            </w:r>
          </w:p>
        </w:tc>
        <w:tc>
          <w:tcPr>
            <w:tcW w:w="1227" w:type="dxa"/>
            <w:shd w:val="clear" w:color="auto" w:fill="CCE2ED"/>
          </w:tcPr>
          <w:p w14:paraId="1C7E0E5F" w14:textId="77777777" w:rsidR="00141B97" w:rsidRDefault="00911D63">
            <w:pPr>
              <w:pStyle w:val="TableParagraph"/>
              <w:spacing w:before="142"/>
              <w:ind w:right="95"/>
              <w:jc w:val="right"/>
              <w:rPr>
                <w:sz w:val="16"/>
              </w:rPr>
            </w:pPr>
            <w:r>
              <w:rPr>
                <w:spacing w:val="-4"/>
                <w:sz w:val="16"/>
              </w:rPr>
              <w:t>0.00</w:t>
            </w:r>
          </w:p>
        </w:tc>
        <w:tc>
          <w:tcPr>
            <w:tcW w:w="1226" w:type="dxa"/>
            <w:shd w:val="clear" w:color="auto" w:fill="CCE2ED"/>
          </w:tcPr>
          <w:p w14:paraId="2AFA15E0"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5725F12A"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65A1BA56"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08766C88" w14:textId="77777777" w:rsidR="00141B97" w:rsidRDefault="00911D63">
            <w:pPr>
              <w:pStyle w:val="TableParagraph"/>
              <w:spacing w:before="142"/>
              <w:ind w:right="83"/>
              <w:jc w:val="right"/>
              <w:rPr>
                <w:sz w:val="16"/>
              </w:rPr>
            </w:pPr>
            <w:r>
              <w:rPr>
                <w:spacing w:val="-4"/>
                <w:sz w:val="16"/>
              </w:rPr>
              <w:t>0.15</w:t>
            </w:r>
          </w:p>
        </w:tc>
      </w:tr>
      <w:tr w:rsidR="00141B97" w14:paraId="063FAD27" w14:textId="77777777">
        <w:trPr>
          <w:trHeight w:val="239"/>
          <w:tblCellSpacing w:w="9" w:type="dxa"/>
        </w:trPr>
        <w:tc>
          <w:tcPr>
            <w:tcW w:w="5249" w:type="dxa"/>
            <w:tcBorders>
              <w:left w:val="nil"/>
            </w:tcBorders>
            <w:shd w:val="clear" w:color="auto" w:fill="CCE2ED"/>
          </w:tcPr>
          <w:p w14:paraId="06DEB466" w14:textId="77777777" w:rsidR="00141B97" w:rsidRDefault="00911D63">
            <w:pPr>
              <w:pStyle w:val="TableParagraph"/>
              <w:spacing w:before="22"/>
              <w:ind w:left="88"/>
              <w:rPr>
                <w:sz w:val="16"/>
              </w:rPr>
            </w:pPr>
            <w:r>
              <w:rPr>
                <w:sz w:val="16"/>
              </w:rPr>
              <w:t>KLG</w:t>
            </w:r>
            <w:r>
              <w:rPr>
                <w:spacing w:val="-5"/>
                <w:sz w:val="16"/>
              </w:rPr>
              <w:t xml:space="preserve"> </w:t>
            </w:r>
            <w:r>
              <w:rPr>
                <w:sz w:val="16"/>
              </w:rPr>
              <w:t>‐</w:t>
            </w:r>
            <w:r>
              <w:rPr>
                <w:spacing w:val="-4"/>
                <w:sz w:val="16"/>
              </w:rPr>
              <w:t xml:space="preserve"> </w:t>
            </w:r>
            <w:r>
              <w:rPr>
                <w:sz w:val="16"/>
              </w:rPr>
              <w:t>Purchase</w:t>
            </w:r>
            <w:r>
              <w:rPr>
                <w:spacing w:val="-2"/>
                <w:sz w:val="16"/>
              </w:rPr>
              <w:t xml:space="preserve"> </w:t>
            </w:r>
            <w:r>
              <w:rPr>
                <w:sz w:val="16"/>
              </w:rPr>
              <w:t>stand</w:t>
            </w:r>
            <w:r>
              <w:rPr>
                <w:spacing w:val="-5"/>
                <w:sz w:val="16"/>
              </w:rPr>
              <w:t xml:space="preserve"> </w:t>
            </w:r>
            <w:r>
              <w:rPr>
                <w:sz w:val="16"/>
              </w:rPr>
              <w:t>by/</w:t>
            </w:r>
            <w:r>
              <w:rPr>
                <w:spacing w:val="-3"/>
                <w:sz w:val="16"/>
              </w:rPr>
              <w:t xml:space="preserve"> </w:t>
            </w:r>
            <w:r>
              <w:rPr>
                <w:sz w:val="16"/>
              </w:rPr>
              <w:t>spare</w:t>
            </w:r>
            <w:r>
              <w:rPr>
                <w:spacing w:val="29"/>
                <w:sz w:val="16"/>
              </w:rPr>
              <w:t xml:space="preserve"> </w:t>
            </w:r>
            <w:r>
              <w:rPr>
                <w:sz w:val="16"/>
              </w:rPr>
              <w:t>band</w:t>
            </w:r>
            <w:r>
              <w:rPr>
                <w:spacing w:val="-4"/>
                <w:sz w:val="16"/>
              </w:rPr>
              <w:t xml:space="preserve"> </w:t>
            </w:r>
            <w:r>
              <w:rPr>
                <w:spacing w:val="-2"/>
                <w:sz w:val="16"/>
              </w:rPr>
              <w:t>screen</w:t>
            </w:r>
          </w:p>
        </w:tc>
        <w:tc>
          <w:tcPr>
            <w:tcW w:w="1375" w:type="dxa"/>
            <w:shd w:val="clear" w:color="auto" w:fill="CCE2ED"/>
          </w:tcPr>
          <w:p w14:paraId="28BB4EB3"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34C6F1DC"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4F394DAD"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6465CDFF"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309C9BE9" w14:textId="77777777" w:rsidR="00141B97" w:rsidRDefault="00911D63">
            <w:pPr>
              <w:pStyle w:val="TableParagraph"/>
              <w:spacing w:before="22"/>
              <w:ind w:right="94"/>
              <w:jc w:val="right"/>
              <w:rPr>
                <w:sz w:val="16"/>
              </w:rPr>
            </w:pPr>
            <w:r>
              <w:rPr>
                <w:spacing w:val="-4"/>
                <w:sz w:val="16"/>
              </w:rPr>
              <w:t>0.15</w:t>
            </w:r>
          </w:p>
        </w:tc>
        <w:tc>
          <w:tcPr>
            <w:tcW w:w="1226" w:type="dxa"/>
            <w:shd w:val="clear" w:color="auto" w:fill="CCE2ED"/>
          </w:tcPr>
          <w:p w14:paraId="0315FF2F"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7DEB50C3"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47864CDE" w14:textId="77777777" w:rsidR="00141B97" w:rsidRDefault="00911D63">
            <w:pPr>
              <w:pStyle w:val="TableParagraph"/>
              <w:spacing w:before="22"/>
              <w:ind w:right="83"/>
              <w:jc w:val="right"/>
              <w:rPr>
                <w:sz w:val="16"/>
              </w:rPr>
            </w:pPr>
            <w:r>
              <w:rPr>
                <w:spacing w:val="-4"/>
                <w:sz w:val="16"/>
              </w:rPr>
              <w:t>0.15</w:t>
            </w:r>
          </w:p>
        </w:tc>
      </w:tr>
      <w:tr w:rsidR="00141B97" w14:paraId="1ADC5FCC" w14:textId="77777777">
        <w:trPr>
          <w:trHeight w:val="240"/>
          <w:tblCellSpacing w:w="9" w:type="dxa"/>
        </w:trPr>
        <w:tc>
          <w:tcPr>
            <w:tcW w:w="5249" w:type="dxa"/>
            <w:tcBorders>
              <w:left w:val="nil"/>
            </w:tcBorders>
            <w:shd w:val="clear" w:color="auto" w:fill="CCE2ED"/>
          </w:tcPr>
          <w:p w14:paraId="53E2761A" w14:textId="77777777" w:rsidR="00141B97" w:rsidRDefault="00911D63">
            <w:pPr>
              <w:pStyle w:val="TableParagraph"/>
              <w:spacing w:before="22"/>
              <w:ind w:left="88"/>
              <w:rPr>
                <w:sz w:val="16"/>
              </w:rPr>
            </w:pPr>
            <w:r>
              <w:rPr>
                <w:sz w:val="16"/>
              </w:rPr>
              <w:t>KLG</w:t>
            </w:r>
            <w:r>
              <w:rPr>
                <w:spacing w:val="-5"/>
                <w:sz w:val="16"/>
              </w:rPr>
              <w:t xml:space="preserve"> </w:t>
            </w:r>
            <w:r>
              <w:rPr>
                <w:sz w:val="16"/>
              </w:rPr>
              <w:t>‐</w:t>
            </w:r>
            <w:r>
              <w:rPr>
                <w:spacing w:val="-4"/>
                <w:sz w:val="16"/>
              </w:rPr>
              <w:t xml:space="preserve"> </w:t>
            </w:r>
            <w:r>
              <w:rPr>
                <w:sz w:val="16"/>
              </w:rPr>
              <w:t>Upgrade</w:t>
            </w:r>
            <w:r>
              <w:rPr>
                <w:spacing w:val="-3"/>
                <w:sz w:val="16"/>
              </w:rPr>
              <w:t xml:space="preserve"> </w:t>
            </w:r>
            <w:r>
              <w:rPr>
                <w:sz w:val="16"/>
              </w:rPr>
              <w:t>of</w:t>
            </w:r>
            <w:r>
              <w:rPr>
                <w:spacing w:val="-3"/>
                <w:sz w:val="16"/>
              </w:rPr>
              <w:t xml:space="preserve"> </w:t>
            </w:r>
            <w:r>
              <w:rPr>
                <w:sz w:val="16"/>
              </w:rPr>
              <w:t>control</w:t>
            </w:r>
            <w:r>
              <w:rPr>
                <w:spacing w:val="-4"/>
                <w:sz w:val="16"/>
              </w:rPr>
              <w:t xml:space="preserve"> </w:t>
            </w:r>
            <w:r>
              <w:rPr>
                <w:sz w:val="16"/>
              </w:rPr>
              <w:t>system</w:t>
            </w:r>
            <w:r>
              <w:rPr>
                <w:spacing w:val="-5"/>
                <w:sz w:val="16"/>
              </w:rPr>
              <w:t xml:space="preserve"> </w:t>
            </w:r>
            <w:r>
              <w:rPr>
                <w:sz w:val="16"/>
              </w:rPr>
              <w:t>and</w:t>
            </w:r>
            <w:r>
              <w:rPr>
                <w:spacing w:val="-3"/>
                <w:sz w:val="16"/>
              </w:rPr>
              <w:t xml:space="preserve"> </w:t>
            </w:r>
            <w:r>
              <w:rPr>
                <w:sz w:val="16"/>
              </w:rPr>
              <w:t>instruments</w:t>
            </w:r>
            <w:r>
              <w:rPr>
                <w:spacing w:val="-5"/>
                <w:sz w:val="16"/>
              </w:rPr>
              <w:t xml:space="preserve"> </w:t>
            </w:r>
            <w:r>
              <w:rPr>
                <w:sz w:val="16"/>
              </w:rPr>
              <w:t>(</w:t>
            </w:r>
            <w:r>
              <w:rPr>
                <w:spacing w:val="-4"/>
                <w:sz w:val="16"/>
              </w:rPr>
              <w:t xml:space="preserve"> </w:t>
            </w:r>
            <w:r>
              <w:rPr>
                <w:sz w:val="16"/>
              </w:rPr>
              <w:t>PLC</w:t>
            </w:r>
            <w:r>
              <w:rPr>
                <w:spacing w:val="-3"/>
                <w:sz w:val="16"/>
              </w:rPr>
              <w:t xml:space="preserve"> </w:t>
            </w:r>
            <w:r>
              <w:rPr>
                <w:sz w:val="16"/>
              </w:rPr>
              <w:t>and</w:t>
            </w:r>
            <w:r>
              <w:rPr>
                <w:spacing w:val="-5"/>
                <w:sz w:val="16"/>
              </w:rPr>
              <w:t xml:space="preserve"> </w:t>
            </w:r>
            <w:r>
              <w:rPr>
                <w:sz w:val="16"/>
              </w:rPr>
              <w:t>fiber</w:t>
            </w:r>
            <w:r>
              <w:rPr>
                <w:spacing w:val="-4"/>
                <w:sz w:val="16"/>
              </w:rPr>
              <w:t xml:space="preserve"> </w:t>
            </w:r>
            <w:r>
              <w:rPr>
                <w:spacing w:val="-10"/>
                <w:sz w:val="16"/>
              </w:rPr>
              <w:t>)</w:t>
            </w:r>
          </w:p>
        </w:tc>
        <w:tc>
          <w:tcPr>
            <w:tcW w:w="1375" w:type="dxa"/>
            <w:shd w:val="clear" w:color="auto" w:fill="CCE2ED"/>
          </w:tcPr>
          <w:p w14:paraId="31D9A17B"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0514C3F4"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08AE1A12"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1A2AE162"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7A1532F5"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1A50D05A" w14:textId="77777777" w:rsidR="00141B97" w:rsidRDefault="00911D63">
            <w:pPr>
              <w:pStyle w:val="TableParagraph"/>
              <w:spacing w:before="22"/>
              <w:ind w:right="94"/>
              <w:jc w:val="right"/>
              <w:rPr>
                <w:sz w:val="16"/>
              </w:rPr>
            </w:pPr>
            <w:r>
              <w:rPr>
                <w:spacing w:val="-4"/>
                <w:sz w:val="16"/>
              </w:rPr>
              <w:t>0.75</w:t>
            </w:r>
          </w:p>
        </w:tc>
        <w:tc>
          <w:tcPr>
            <w:tcW w:w="1225" w:type="dxa"/>
            <w:shd w:val="clear" w:color="auto" w:fill="CCE2ED"/>
          </w:tcPr>
          <w:p w14:paraId="2955BD2D" w14:textId="77777777" w:rsidR="00141B97" w:rsidRDefault="00911D63">
            <w:pPr>
              <w:pStyle w:val="TableParagraph"/>
              <w:spacing w:before="22"/>
              <w:ind w:right="93"/>
              <w:jc w:val="right"/>
              <w:rPr>
                <w:sz w:val="16"/>
              </w:rPr>
            </w:pPr>
            <w:r>
              <w:rPr>
                <w:spacing w:val="-4"/>
                <w:sz w:val="16"/>
              </w:rPr>
              <w:t>0.44</w:t>
            </w:r>
          </w:p>
        </w:tc>
        <w:tc>
          <w:tcPr>
            <w:tcW w:w="1022" w:type="dxa"/>
            <w:tcBorders>
              <w:right w:val="nil"/>
            </w:tcBorders>
            <w:shd w:val="clear" w:color="auto" w:fill="CCE2ED"/>
          </w:tcPr>
          <w:p w14:paraId="59472ED4" w14:textId="77777777" w:rsidR="00141B97" w:rsidRDefault="00911D63">
            <w:pPr>
              <w:pStyle w:val="TableParagraph"/>
              <w:spacing w:before="22"/>
              <w:ind w:right="83"/>
              <w:jc w:val="right"/>
              <w:rPr>
                <w:sz w:val="16"/>
              </w:rPr>
            </w:pPr>
            <w:r>
              <w:rPr>
                <w:spacing w:val="-4"/>
                <w:sz w:val="16"/>
              </w:rPr>
              <w:t>1.19</w:t>
            </w:r>
          </w:p>
        </w:tc>
      </w:tr>
      <w:tr w:rsidR="00141B97" w14:paraId="4FDEBC8F" w14:textId="77777777">
        <w:trPr>
          <w:trHeight w:val="240"/>
          <w:tblCellSpacing w:w="9" w:type="dxa"/>
        </w:trPr>
        <w:tc>
          <w:tcPr>
            <w:tcW w:w="5249" w:type="dxa"/>
            <w:tcBorders>
              <w:left w:val="nil"/>
            </w:tcBorders>
            <w:shd w:val="clear" w:color="auto" w:fill="CCE2ED"/>
          </w:tcPr>
          <w:p w14:paraId="1353D45A" w14:textId="77777777" w:rsidR="00141B97" w:rsidRDefault="00911D63">
            <w:pPr>
              <w:pStyle w:val="TableParagraph"/>
              <w:spacing w:before="22"/>
              <w:ind w:left="88"/>
              <w:rPr>
                <w:sz w:val="16"/>
              </w:rPr>
            </w:pPr>
            <w:r>
              <w:rPr>
                <w:sz w:val="16"/>
              </w:rPr>
              <w:t>MDA</w:t>
            </w:r>
            <w:r>
              <w:rPr>
                <w:spacing w:val="-5"/>
                <w:sz w:val="16"/>
              </w:rPr>
              <w:t xml:space="preserve"> </w:t>
            </w:r>
            <w:r>
              <w:rPr>
                <w:sz w:val="16"/>
              </w:rPr>
              <w:t>‐</w:t>
            </w:r>
            <w:r>
              <w:rPr>
                <w:spacing w:val="-5"/>
                <w:sz w:val="16"/>
              </w:rPr>
              <w:t xml:space="preserve"> </w:t>
            </w:r>
            <w:r>
              <w:rPr>
                <w:sz w:val="16"/>
              </w:rPr>
              <w:t>MILDURA</w:t>
            </w:r>
            <w:r>
              <w:rPr>
                <w:spacing w:val="-4"/>
                <w:sz w:val="16"/>
              </w:rPr>
              <w:t xml:space="preserve"> </w:t>
            </w:r>
            <w:r>
              <w:rPr>
                <w:sz w:val="16"/>
              </w:rPr>
              <w:t>WWTP</w:t>
            </w:r>
            <w:r>
              <w:rPr>
                <w:spacing w:val="-4"/>
                <w:sz w:val="16"/>
              </w:rPr>
              <w:t xml:space="preserve"> </w:t>
            </w:r>
            <w:r>
              <w:rPr>
                <w:sz w:val="16"/>
              </w:rPr>
              <w:t>‐</w:t>
            </w:r>
            <w:r>
              <w:rPr>
                <w:spacing w:val="-5"/>
                <w:sz w:val="16"/>
              </w:rPr>
              <w:t xml:space="preserve"> </w:t>
            </w:r>
            <w:r>
              <w:rPr>
                <w:sz w:val="16"/>
              </w:rPr>
              <w:t>Control</w:t>
            </w:r>
            <w:r>
              <w:rPr>
                <w:spacing w:val="-4"/>
                <w:sz w:val="16"/>
              </w:rPr>
              <w:t xml:space="preserve"> </w:t>
            </w:r>
            <w:r>
              <w:rPr>
                <w:sz w:val="16"/>
              </w:rPr>
              <w:t>Systems</w:t>
            </w:r>
            <w:r>
              <w:rPr>
                <w:spacing w:val="-6"/>
                <w:sz w:val="16"/>
              </w:rPr>
              <w:t xml:space="preserve"> </w:t>
            </w:r>
            <w:r>
              <w:rPr>
                <w:sz w:val="16"/>
              </w:rPr>
              <w:t>Legacy</w:t>
            </w:r>
            <w:r>
              <w:rPr>
                <w:spacing w:val="-5"/>
                <w:sz w:val="16"/>
              </w:rPr>
              <w:t xml:space="preserve"> </w:t>
            </w:r>
            <w:r>
              <w:rPr>
                <w:spacing w:val="-2"/>
                <w:sz w:val="16"/>
              </w:rPr>
              <w:t>Upgrade</w:t>
            </w:r>
          </w:p>
        </w:tc>
        <w:tc>
          <w:tcPr>
            <w:tcW w:w="1375" w:type="dxa"/>
            <w:shd w:val="clear" w:color="auto" w:fill="CCE2ED"/>
          </w:tcPr>
          <w:p w14:paraId="12063FDD"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14CCB97C"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0CF4865E" w14:textId="77777777" w:rsidR="00141B97" w:rsidRDefault="00911D63">
            <w:pPr>
              <w:pStyle w:val="TableParagraph"/>
              <w:spacing w:before="22"/>
              <w:ind w:right="95"/>
              <w:jc w:val="right"/>
              <w:rPr>
                <w:sz w:val="16"/>
              </w:rPr>
            </w:pPr>
            <w:r>
              <w:rPr>
                <w:spacing w:val="-4"/>
                <w:sz w:val="16"/>
              </w:rPr>
              <w:t>0.00</w:t>
            </w:r>
          </w:p>
        </w:tc>
        <w:tc>
          <w:tcPr>
            <w:tcW w:w="1227" w:type="dxa"/>
            <w:shd w:val="clear" w:color="auto" w:fill="CCE2ED"/>
          </w:tcPr>
          <w:p w14:paraId="1BD38018" w14:textId="77777777" w:rsidR="00141B97" w:rsidRDefault="00911D63">
            <w:pPr>
              <w:pStyle w:val="TableParagraph"/>
              <w:spacing w:before="22"/>
              <w:ind w:right="95"/>
              <w:jc w:val="right"/>
              <w:rPr>
                <w:sz w:val="16"/>
              </w:rPr>
            </w:pPr>
            <w:r>
              <w:rPr>
                <w:spacing w:val="-4"/>
                <w:sz w:val="16"/>
              </w:rPr>
              <w:t>0.10</w:t>
            </w:r>
          </w:p>
        </w:tc>
        <w:tc>
          <w:tcPr>
            <w:tcW w:w="1226" w:type="dxa"/>
            <w:shd w:val="clear" w:color="auto" w:fill="CCE2ED"/>
          </w:tcPr>
          <w:p w14:paraId="1BE5D82F"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5BA35724"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2452F8A4"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1E196906" w14:textId="77777777" w:rsidR="00141B97" w:rsidRDefault="00911D63">
            <w:pPr>
              <w:pStyle w:val="TableParagraph"/>
              <w:spacing w:before="22"/>
              <w:ind w:right="83"/>
              <w:jc w:val="right"/>
              <w:rPr>
                <w:sz w:val="16"/>
              </w:rPr>
            </w:pPr>
            <w:r>
              <w:rPr>
                <w:spacing w:val="-4"/>
                <w:sz w:val="16"/>
              </w:rPr>
              <w:t>0.10</w:t>
            </w:r>
          </w:p>
        </w:tc>
      </w:tr>
      <w:tr w:rsidR="00141B97" w14:paraId="101B3993" w14:textId="77777777">
        <w:trPr>
          <w:trHeight w:val="479"/>
          <w:tblCellSpacing w:w="9" w:type="dxa"/>
        </w:trPr>
        <w:tc>
          <w:tcPr>
            <w:tcW w:w="5249" w:type="dxa"/>
            <w:tcBorders>
              <w:left w:val="nil"/>
            </w:tcBorders>
            <w:shd w:val="clear" w:color="auto" w:fill="CCE2ED"/>
          </w:tcPr>
          <w:p w14:paraId="2EF48853" w14:textId="77777777" w:rsidR="00141B97" w:rsidRDefault="00911D63">
            <w:pPr>
              <w:pStyle w:val="TableParagraph"/>
              <w:spacing w:before="142"/>
              <w:ind w:left="88"/>
              <w:rPr>
                <w:sz w:val="16"/>
              </w:rPr>
            </w:pPr>
            <w:r>
              <w:rPr>
                <w:sz w:val="16"/>
              </w:rPr>
              <w:t>MDA</w:t>
            </w:r>
            <w:r>
              <w:rPr>
                <w:spacing w:val="-5"/>
                <w:sz w:val="16"/>
              </w:rPr>
              <w:t xml:space="preserve"> </w:t>
            </w:r>
            <w:r>
              <w:rPr>
                <w:sz w:val="16"/>
              </w:rPr>
              <w:t>‐</w:t>
            </w:r>
            <w:r>
              <w:rPr>
                <w:spacing w:val="-5"/>
                <w:sz w:val="16"/>
              </w:rPr>
              <w:t xml:space="preserve"> </w:t>
            </w:r>
            <w:r>
              <w:rPr>
                <w:sz w:val="16"/>
              </w:rPr>
              <w:t>Permanent</w:t>
            </w:r>
            <w:r>
              <w:rPr>
                <w:spacing w:val="-3"/>
                <w:sz w:val="16"/>
              </w:rPr>
              <w:t xml:space="preserve"> </w:t>
            </w:r>
            <w:r>
              <w:rPr>
                <w:sz w:val="16"/>
              </w:rPr>
              <w:t>generator</w:t>
            </w:r>
            <w:r>
              <w:rPr>
                <w:spacing w:val="-5"/>
                <w:sz w:val="16"/>
              </w:rPr>
              <w:t xml:space="preserve"> </w:t>
            </w:r>
            <w:r>
              <w:rPr>
                <w:sz w:val="16"/>
              </w:rPr>
              <w:t>at</w:t>
            </w:r>
            <w:r>
              <w:rPr>
                <w:spacing w:val="-4"/>
                <w:sz w:val="16"/>
              </w:rPr>
              <w:t xml:space="preserve"> </w:t>
            </w:r>
            <w:r>
              <w:rPr>
                <w:sz w:val="16"/>
              </w:rPr>
              <w:t>MDA</w:t>
            </w:r>
            <w:r>
              <w:rPr>
                <w:spacing w:val="-3"/>
                <w:sz w:val="16"/>
              </w:rPr>
              <w:t xml:space="preserve"> </w:t>
            </w:r>
            <w:r>
              <w:rPr>
                <w:sz w:val="16"/>
              </w:rPr>
              <w:t>WWTP</w:t>
            </w:r>
            <w:r>
              <w:rPr>
                <w:spacing w:val="-5"/>
                <w:sz w:val="16"/>
              </w:rPr>
              <w:t xml:space="preserve"> </w:t>
            </w:r>
            <w:r>
              <w:rPr>
                <w:spacing w:val="-2"/>
                <w:sz w:val="16"/>
              </w:rPr>
              <w:t>(150kVA?)</w:t>
            </w:r>
          </w:p>
        </w:tc>
        <w:tc>
          <w:tcPr>
            <w:tcW w:w="1375" w:type="dxa"/>
            <w:shd w:val="clear" w:color="auto" w:fill="CCE2ED"/>
          </w:tcPr>
          <w:p w14:paraId="761EB1D7" w14:textId="77777777" w:rsidR="00141B97" w:rsidRDefault="00911D63">
            <w:pPr>
              <w:pStyle w:val="TableParagraph"/>
              <w:spacing w:before="142"/>
              <w:ind w:right="96"/>
              <w:jc w:val="right"/>
              <w:rPr>
                <w:sz w:val="16"/>
              </w:rPr>
            </w:pPr>
            <w:r>
              <w:rPr>
                <w:spacing w:val="-2"/>
                <w:sz w:val="16"/>
              </w:rPr>
              <w:t>Sewerage</w:t>
            </w:r>
          </w:p>
        </w:tc>
        <w:tc>
          <w:tcPr>
            <w:tcW w:w="1886" w:type="dxa"/>
            <w:shd w:val="clear" w:color="auto" w:fill="CCE2ED"/>
          </w:tcPr>
          <w:p w14:paraId="12996F35"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234BFF86" w14:textId="77777777" w:rsidR="00141B97" w:rsidRDefault="00911D63">
            <w:pPr>
              <w:pStyle w:val="TableParagraph"/>
              <w:spacing w:before="142"/>
              <w:ind w:right="95"/>
              <w:jc w:val="right"/>
              <w:rPr>
                <w:sz w:val="16"/>
              </w:rPr>
            </w:pPr>
            <w:r>
              <w:rPr>
                <w:spacing w:val="-4"/>
                <w:sz w:val="16"/>
              </w:rPr>
              <w:t>0.00</w:t>
            </w:r>
          </w:p>
        </w:tc>
        <w:tc>
          <w:tcPr>
            <w:tcW w:w="1227" w:type="dxa"/>
            <w:shd w:val="clear" w:color="auto" w:fill="CCE2ED"/>
          </w:tcPr>
          <w:p w14:paraId="35968528" w14:textId="77777777" w:rsidR="00141B97" w:rsidRDefault="00911D63">
            <w:pPr>
              <w:pStyle w:val="TableParagraph"/>
              <w:spacing w:before="142"/>
              <w:ind w:right="95"/>
              <w:jc w:val="right"/>
              <w:rPr>
                <w:sz w:val="16"/>
              </w:rPr>
            </w:pPr>
            <w:r>
              <w:rPr>
                <w:spacing w:val="-4"/>
                <w:sz w:val="16"/>
              </w:rPr>
              <w:t>0.21</w:t>
            </w:r>
          </w:p>
        </w:tc>
        <w:tc>
          <w:tcPr>
            <w:tcW w:w="1226" w:type="dxa"/>
            <w:shd w:val="clear" w:color="auto" w:fill="CCE2ED"/>
          </w:tcPr>
          <w:p w14:paraId="6A7F2253" w14:textId="77777777" w:rsidR="00141B97" w:rsidRDefault="00911D63">
            <w:pPr>
              <w:pStyle w:val="TableParagraph"/>
              <w:spacing w:before="142"/>
              <w:ind w:right="94"/>
              <w:jc w:val="right"/>
              <w:rPr>
                <w:sz w:val="16"/>
              </w:rPr>
            </w:pPr>
            <w:r>
              <w:rPr>
                <w:spacing w:val="-4"/>
                <w:sz w:val="16"/>
              </w:rPr>
              <w:t>0.00</w:t>
            </w:r>
          </w:p>
        </w:tc>
        <w:tc>
          <w:tcPr>
            <w:tcW w:w="1226" w:type="dxa"/>
            <w:shd w:val="clear" w:color="auto" w:fill="CCE2ED"/>
          </w:tcPr>
          <w:p w14:paraId="2A54BF58" w14:textId="77777777" w:rsidR="00141B97" w:rsidRDefault="00911D63">
            <w:pPr>
              <w:pStyle w:val="TableParagraph"/>
              <w:spacing w:before="142"/>
              <w:ind w:right="94"/>
              <w:jc w:val="right"/>
              <w:rPr>
                <w:sz w:val="16"/>
              </w:rPr>
            </w:pPr>
            <w:r>
              <w:rPr>
                <w:spacing w:val="-4"/>
                <w:sz w:val="16"/>
              </w:rPr>
              <w:t>0.00</w:t>
            </w:r>
          </w:p>
        </w:tc>
        <w:tc>
          <w:tcPr>
            <w:tcW w:w="1225" w:type="dxa"/>
            <w:shd w:val="clear" w:color="auto" w:fill="CCE2ED"/>
          </w:tcPr>
          <w:p w14:paraId="103D49BF" w14:textId="77777777" w:rsidR="00141B97" w:rsidRDefault="00911D63">
            <w:pPr>
              <w:pStyle w:val="TableParagraph"/>
              <w:spacing w:before="142"/>
              <w:ind w:right="93"/>
              <w:jc w:val="right"/>
              <w:rPr>
                <w:sz w:val="16"/>
              </w:rPr>
            </w:pPr>
            <w:r>
              <w:rPr>
                <w:spacing w:val="-4"/>
                <w:sz w:val="16"/>
              </w:rPr>
              <w:t>0.00</w:t>
            </w:r>
          </w:p>
        </w:tc>
        <w:tc>
          <w:tcPr>
            <w:tcW w:w="1022" w:type="dxa"/>
            <w:tcBorders>
              <w:right w:val="nil"/>
            </w:tcBorders>
            <w:shd w:val="clear" w:color="auto" w:fill="CCE2ED"/>
          </w:tcPr>
          <w:p w14:paraId="1A42CF66" w14:textId="77777777" w:rsidR="00141B97" w:rsidRDefault="00911D63">
            <w:pPr>
              <w:pStyle w:val="TableParagraph"/>
              <w:spacing w:before="142"/>
              <w:ind w:right="83"/>
              <w:jc w:val="right"/>
              <w:rPr>
                <w:sz w:val="16"/>
              </w:rPr>
            </w:pPr>
            <w:r>
              <w:rPr>
                <w:spacing w:val="-4"/>
                <w:sz w:val="16"/>
              </w:rPr>
              <w:t>0.21</w:t>
            </w:r>
          </w:p>
        </w:tc>
      </w:tr>
      <w:tr w:rsidR="00141B97" w14:paraId="7BDF8DB1" w14:textId="77777777">
        <w:trPr>
          <w:trHeight w:val="736"/>
          <w:tblCellSpacing w:w="9" w:type="dxa"/>
        </w:trPr>
        <w:tc>
          <w:tcPr>
            <w:tcW w:w="5249" w:type="dxa"/>
            <w:tcBorders>
              <w:left w:val="nil"/>
            </w:tcBorders>
            <w:shd w:val="clear" w:color="auto" w:fill="CCE2ED"/>
          </w:tcPr>
          <w:p w14:paraId="7F7C74BF" w14:textId="77777777" w:rsidR="00141B97" w:rsidRDefault="00141B97">
            <w:pPr>
              <w:pStyle w:val="TableParagraph"/>
              <w:spacing w:before="1"/>
              <w:rPr>
                <w:sz w:val="14"/>
              </w:rPr>
            </w:pPr>
          </w:p>
          <w:p w14:paraId="6497B401" w14:textId="77777777" w:rsidR="00141B97" w:rsidRDefault="00911D63">
            <w:pPr>
              <w:pStyle w:val="TableParagraph"/>
              <w:ind w:left="88"/>
              <w:rPr>
                <w:sz w:val="16"/>
              </w:rPr>
            </w:pPr>
            <w:r>
              <w:rPr>
                <w:sz w:val="16"/>
              </w:rPr>
              <w:t>MER</w:t>
            </w:r>
            <w:r>
              <w:rPr>
                <w:spacing w:val="-1"/>
                <w:sz w:val="16"/>
              </w:rPr>
              <w:t xml:space="preserve"> </w:t>
            </w:r>
            <w:r>
              <w:rPr>
                <w:sz w:val="16"/>
              </w:rPr>
              <w:t>‐</w:t>
            </w:r>
            <w:r>
              <w:rPr>
                <w:spacing w:val="-2"/>
                <w:sz w:val="16"/>
              </w:rPr>
              <w:t xml:space="preserve"> </w:t>
            </w:r>
            <w:r>
              <w:rPr>
                <w:sz w:val="16"/>
              </w:rPr>
              <w:t>Partial</w:t>
            </w:r>
            <w:r>
              <w:rPr>
                <w:spacing w:val="33"/>
                <w:sz w:val="16"/>
              </w:rPr>
              <w:t xml:space="preserve"> </w:t>
            </w:r>
            <w:r>
              <w:rPr>
                <w:sz w:val="16"/>
              </w:rPr>
              <w:t>Decommission</w:t>
            </w:r>
            <w:r>
              <w:rPr>
                <w:spacing w:val="-1"/>
                <w:sz w:val="16"/>
              </w:rPr>
              <w:t xml:space="preserve"> </w:t>
            </w:r>
            <w:r>
              <w:rPr>
                <w:sz w:val="16"/>
              </w:rPr>
              <w:t>of</w:t>
            </w:r>
            <w:r>
              <w:rPr>
                <w:spacing w:val="-1"/>
                <w:sz w:val="16"/>
              </w:rPr>
              <w:t xml:space="preserve"> </w:t>
            </w:r>
            <w:r>
              <w:rPr>
                <w:sz w:val="16"/>
              </w:rPr>
              <w:t>the WWTP</w:t>
            </w:r>
            <w:r>
              <w:rPr>
                <w:spacing w:val="-1"/>
                <w:sz w:val="16"/>
              </w:rPr>
              <w:t xml:space="preserve"> </w:t>
            </w:r>
            <w:r>
              <w:rPr>
                <w:sz w:val="16"/>
              </w:rPr>
              <w:t>(</w:t>
            </w:r>
            <w:r>
              <w:rPr>
                <w:spacing w:val="-1"/>
                <w:sz w:val="16"/>
              </w:rPr>
              <w:t xml:space="preserve"> </w:t>
            </w:r>
            <w:r>
              <w:rPr>
                <w:sz w:val="16"/>
              </w:rPr>
              <w:t>LMW</w:t>
            </w:r>
            <w:r>
              <w:rPr>
                <w:spacing w:val="-2"/>
                <w:sz w:val="16"/>
              </w:rPr>
              <w:t xml:space="preserve"> </w:t>
            </w:r>
            <w:r>
              <w:rPr>
                <w:sz w:val="16"/>
              </w:rPr>
              <w:t>to</w:t>
            </w:r>
            <w:r>
              <w:rPr>
                <w:spacing w:val="-2"/>
                <w:sz w:val="16"/>
              </w:rPr>
              <w:t xml:space="preserve"> </w:t>
            </w:r>
            <w:r>
              <w:rPr>
                <w:sz w:val="16"/>
              </w:rPr>
              <w:t>keep</w:t>
            </w:r>
            <w:r>
              <w:rPr>
                <w:spacing w:val="33"/>
                <w:sz w:val="16"/>
              </w:rPr>
              <w:t xml:space="preserve"> </w:t>
            </w:r>
            <w:r>
              <w:rPr>
                <w:sz w:val="16"/>
              </w:rPr>
              <w:t>part</w:t>
            </w:r>
            <w:r>
              <w:rPr>
                <w:spacing w:val="-2"/>
                <w:sz w:val="16"/>
              </w:rPr>
              <w:t xml:space="preserve"> </w:t>
            </w:r>
            <w:r>
              <w:rPr>
                <w:sz w:val="16"/>
              </w:rPr>
              <w:t>of</w:t>
            </w:r>
            <w:r>
              <w:rPr>
                <w:spacing w:val="-1"/>
                <w:sz w:val="16"/>
              </w:rPr>
              <w:t xml:space="preserve"> </w:t>
            </w:r>
            <w:r>
              <w:rPr>
                <w:sz w:val="16"/>
              </w:rPr>
              <w:t>it</w:t>
            </w:r>
            <w:r>
              <w:rPr>
                <w:spacing w:val="-1"/>
                <w:sz w:val="16"/>
              </w:rPr>
              <w:t xml:space="preserve"> </w:t>
            </w:r>
            <w:r>
              <w:rPr>
                <w:sz w:val="16"/>
              </w:rPr>
              <w:t>as</w:t>
            </w:r>
            <w:r>
              <w:rPr>
                <w:spacing w:val="40"/>
                <w:sz w:val="16"/>
              </w:rPr>
              <w:t xml:space="preserve"> </w:t>
            </w:r>
            <w:r>
              <w:rPr>
                <w:sz w:val="16"/>
              </w:rPr>
              <w:t>emergency discharge ) and tree plantation</w:t>
            </w:r>
            <w:r>
              <w:rPr>
                <w:spacing w:val="40"/>
                <w:sz w:val="16"/>
              </w:rPr>
              <w:t xml:space="preserve"> </w:t>
            </w:r>
            <w:r>
              <w:rPr>
                <w:sz w:val="16"/>
              </w:rPr>
              <w:t>for carbon sequestration</w:t>
            </w:r>
          </w:p>
        </w:tc>
        <w:tc>
          <w:tcPr>
            <w:tcW w:w="1375" w:type="dxa"/>
            <w:shd w:val="clear" w:color="auto" w:fill="CCE2ED"/>
          </w:tcPr>
          <w:p w14:paraId="2AE16481" w14:textId="77777777" w:rsidR="00141B97" w:rsidRDefault="00141B97">
            <w:pPr>
              <w:pStyle w:val="TableParagraph"/>
              <w:spacing w:before="2"/>
            </w:pPr>
          </w:p>
          <w:p w14:paraId="23D9700C" w14:textId="77777777" w:rsidR="00141B97" w:rsidRDefault="00911D63">
            <w:pPr>
              <w:pStyle w:val="TableParagraph"/>
              <w:ind w:right="96"/>
              <w:jc w:val="right"/>
              <w:rPr>
                <w:sz w:val="16"/>
              </w:rPr>
            </w:pPr>
            <w:r>
              <w:rPr>
                <w:spacing w:val="-2"/>
                <w:sz w:val="16"/>
              </w:rPr>
              <w:t>Sewerage</w:t>
            </w:r>
          </w:p>
        </w:tc>
        <w:tc>
          <w:tcPr>
            <w:tcW w:w="1886" w:type="dxa"/>
            <w:shd w:val="clear" w:color="auto" w:fill="CCE2ED"/>
          </w:tcPr>
          <w:p w14:paraId="67AC4543" w14:textId="77777777" w:rsidR="00141B97" w:rsidRDefault="00141B97">
            <w:pPr>
              <w:pStyle w:val="TableParagraph"/>
              <w:spacing w:before="1"/>
              <w:rPr>
                <w:sz w:val="14"/>
              </w:rPr>
            </w:pPr>
          </w:p>
          <w:p w14:paraId="56EA116D" w14:textId="77777777" w:rsidR="00141B97" w:rsidRDefault="00911D63">
            <w:pPr>
              <w:pStyle w:val="TableParagraph"/>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6CAB66A0" w14:textId="77777777" w:rsidR="00141B97" w:rsidRDefault="00141B97">
            <w:pPr>
              <w:pStyle w:val="TableParagraph"/>
              <w:spacing w:before="2"/>
            </w:pPr>
          </w:p>
          <w:p w14:paraId="068CF4C6" w14:textId="77777777" w:rsidR="00141B97" w:rsidRDefault="00911D63">
            <w:pPr>
              <w:pStyle w:val="TableParagraph"/>
              <w:ind w:right="95"/>
              <w:jc w:val="right"/>
              <w:rPr>
                <w:sz w:val="16"/>
              </w:rPr>
            </w:pPr>
            <w:r>
              <w:rPr>
                <w:spacing w:val="-4"/>
                <w:sz w:val="16"/>
              </w:rPr>
              <w:t>0.15</w:t>
            </w:r>
          </w:p>
        </w:tc>
        <w:tc>
          <w:tcPr>
            <w:tcW w:w="1227" w:type="dxa"/>
            <w:shd w:val="clear" w:color="auto" w:fill="CCE2ED"/>
          </w:tcPr>
          <w:p w14:paraId="68971217" w14:textId="77777777" w:rsidR="00141B97" w:rsidRDefault="00141B97">
            <w:pPr>
              <w:pStyle w:val="TableParagraph"/>
              <w:spacing w:before="2"/>
            </w:pPr>
          </w:p>
          <w:p w14:paraId="069DE51C" w14:textId="77777777" w:rsidR="00141B97" w:rsidRDefault="00911D63">
            <w:pPr>
              <w:pStyle w:val="TableParagraph"/>
              <w:ind w:right="95"/>
              <w:jc w:val="right"/>
              <w:rPr>
                <w:sz w:val="16"/>
              </w:rPr>
            </w:pPr>
            <w:r>
              <w:rPr>
                <w:spacing w:val="-4"/>
                <w:sz w:val="16"/>
              </w:rPr>
              <w:t>0.15</w:t>
            </w:r>
          </w:p>
        </w:tc>
        <w:tc>
          <w:tcPr>
            <w:tcW w:w="1226" w:type="dxa"/>
            <w:shd w:val="clear" w:color="auto" w:fill="CCE2ED"/>
          </w:tcPr>
          <w:p w14:paraId="726B1419" w14:textId="77777777" w:rsidR="00141B97" w:rsidRDefault="00141B97">
            <w:pPr>
              <w:pStyle w:val="TableParagraph"/>
              <w:spacing w:before="2"/>
            </w:pPr>
          </w:p>
          <w:p w14:paraId="10EEF460" w14:textId="77777777" w:rsidR="00141B97" w:rsidRDefault="00911D63">
            <w:pPr>
              <w:pStyle w:val="TableParagraph"/>
              <w:ind w:right="94"/>
              <w:jc w:val="right"/>
              <w:rPr>
                <w:sz w:val="16"/>
              </w:rPr>
            </w:pPr>
            <w:r>
              <w:rPr>
                <w:spacing w:val="-4"/>
                <w:sz w:val="16"/>
              </w:rPr>
              <w:t>0.00</w:t>
            </w:r>
          </w:p>
        </w:tc>
        <w:tc>
          <w:tcPr>
            <w:tcW w:w="1226" w:type="dxa"/>
            <w:shd w:val="clear" w:color="auto" w:fill="CCE2ED"/>
          </w:tcPr>
          <w:p w14:paraId="3A21D2EE" w14:textId="77777777" w:rsidR="00141B97" w:rsidRDefault="00141B97">
            <w:pPr>
              <w:pStyle w:val="TableParagraph"/>
              <w:spacing w:before="2"/>
            </w:pPr>
          </w:p>
          <w:p w14:paraId="3EA5B5F3" w14:textId="77777777" w:rsidR="00141B97" w:rsidRDefault="00911D63">
            <w:pPr>
              <w:pStyle w:val="TableParagraph"/>
              <w:ind w:right="94"/>
              <w:jc w:val="right"/>
              <w:rPr>
                <w:sz w:val="16"/>
              </w:rPr>
            </w:pPr>
            <w:r>
              <w:rPr>
                <w:spacing w:val="-4"/>
                <w:sz w:val="16"/>
              </w:rPr>
              <w:t>0.00</w:t>
            </w:r>
          </w:p>
        </w:tc>
        <w:tc>
          <w:tcPr>
            <w:tcW w:w="1225" w:type="dxa"/>
            <w:shd w:val="clear" w:color="auto" w:fill="CCE2ED"/>
          </w:tcPr>
          <w:p w14:paraId="7641FBAC" w14:textId="77777777" w:rsidR="00141B97" w:rsidRDefault="00141B97">
            <w:pPr>
              <w:pStyle w:val="TableParagraph"/>
              <w:spacing w:before="2"/>
            </w:pPr>
          </w:p>
          <w:p w14:paraId="5C60F1DD" w14:textId="77777777" w:rsidR="00141B97" w:rsidRDefault="00911D63">
            <w:pPr>
              <w:pStyle w:val="TableParagraph"/>
              <w:ind w:right="93"/>
              <w:jc w:val="right"/>
              <w:rPr>
                <w:sz w:val="16"/>
              </w:rPr>
            </w:pPr>
            <w:r>
              <w:rPr>
                <w:spacing w:val="-4"/>
                <w:sz w:val="16"/>
              </w:rPr>
              <w:t>0.00</w:t>
            </w:r>
          </w:p>
        </w:tc>
        <w:tc>
          <w:tcPr>
            <w:tcW w:w="1022" w:type="dxa"/>
            <w:tcBorders>
              <w:right w:val="nil"/>
            </w:tcBorders>
            <w:shd w:val="clear" w:color="auto" w:fill="CCE2ED"/>
          </w:tcPr>
          <w:p w14:paraId="0E2B9935" w14:textId="77777777" w:rsidR="00141B97" w:rsidRDefault="00141B97">
            <w:pPr>
              <w:pStyle w:val="TableParagraph"/>
              <w:spacing w:before="2"/>
            </w:pPr>
          </w:p>
          <w:p w14:paraId="39A14BA3" w14:textId="77777777" w:rsidR="00141B97" w:rsidRDefault="00911D63">
            <w:pPr>
              <w:pStyle w:val="TableParagraph"/>
              <w:ind w:right="83"/>
              <w:jc w:val="right"/>
              <w:rPr>
                <w:sz w:val="16"/>
              </w:rPr>
            </w:pPr>
            <w:r>
              <w:rPr>
                <w:spacing w:val="-4"/>
                <w:sz w:val="16"/>
              </w:rPr>
              <w:t>0.30</w:t>
            </w:r>
          </w:p>
        </w:tc>
      </w:tr>
      <w:tr w:rsidR="00141B97" w14:paraId="10560735" w14:textId="77777777">
        <w:trPr>
          <w:trHeight w:val="269"/>
          <w:tblCellSpacing w:w="9" w:type="dxa"/>
        </w:trPr>
        <w:tc>
          <w:tcPr>
            <w:tcW w:w="5249" w:type="dxa"/>
            <w:tcBorders>
              <w:left w:val="nil"/>
            </w:tcBorders>
            <w:shd w:val="clear" w:color="auto" w:fill="BFBFBF"/>
          </w:tcPr>
          <w:p w14:paraId="4A4BCB91" w14:textId="77777777" w:rsidR="00141B97" w:rsidRDefault="00911D63">
            <w:pPr>
              <w:pStyle w:val="TableParagraph"/>
              <w:spacing w:before="37"/>
              <w:ind w:left="88"/>
              <w:rPr>
                <w:sz w:val="16"/>
              </w:rPr>
            </w:pPr>
            <w:r>
              <w:rPr>
                <w:spacing w:val="-2"/>
                <w:sz w:val="16"/>
              </w:rPr>
              <w:t>Storage</w:t>
            </w:r>
          </w:p>
        </w:tc>
        <w:tc>
          <w:tcPr>
            <w:tcW w:w="1375" w:type="dxa"/>
            <w:shd w:val="clear" w:color="auto" w:fill="BFBFBF"/>
          </w:tcPr>
          <w:p w14:paraId="58CD54B6" w14:textId="77777777" w:rsidR="00141B97" w:rsidRDefault="00141B97">
            <w:pPr>
              <w:pStyle w:val="TableParagraph"/>
              <w:rPr>
                <w:rFonts w:ascii="Times New Roman"/>
                <w:sz w:val="16"/>
              </w:rPr>
            </w:pPr>
          </w:p>
        </w:tc>
        <w:tc>
          <w:tcPr>
            <w:tcW w:w="1886" w:type="dxa"/>
            <w:shd w:val="clear" w:color="auto" w:fill="BFBFBF"/>
          </w:tcPr>
          <w:p w14:paraId="5837BE8E" w14:textId="77777777" w:rsidR="00141B97" w:rsidRDefault="00141B97">
            <w:pPr>
              <w:pStyle w:val="TableParagraph"/>
              <w:rPr>
                <w:rFonts w:ascii="Times New Roman"/>
                <w:sz w:val="16"/>
              </w:rPr>
            </w:pPr>
          </w:p>
        </w:tc>
        <w:tc>
          <w:tcPr>
            <w:tcW w:w="1226" w:type="dxa"/>
            <w:shd w:val="clear" w:color="auto" w:fill="BFBFBF"/>
          </w:tcPr>
          <w:p w14:paraId="6D9631C3" w14:textId="77777777" w:rsidR="00141B97" w:rsidRDefault="00141B97">
            <w:pPr>
              <w:pStyle w:val="TableParagraph"/>
              <w:rPr>
                <w:rFonts w:ascii="Times New Roman"/>
                <w:sz w:val="16"/>
              </w:rPr>
            </w:pPr>
          </w:p>
        </w:tc>
        <w:tc>
          <w:tcPr>
            <w:tcW w:w="1227" w:type="dxa"/>
            <w:shd w:val="clear" w:color="auto" w:fill="BFBFBF"/>
          </w:tcPr>
          <w:p w14:paraId="3600006C" w14:textId="77777777" w:rsidR="00141B97" w:rsidRDefault="00141B97">
            <w:pPr>
              <w:pStyle w:val="TableParagraph"/>
              <w:rPr>
                <w:rFonts w:ascii="Times New Roman"/>
                <w:sz w:val="16"/>
              </w:rPr>
            </w:pPr>
          </w:p>
        </w:tc>
        <w:tc>
          <w:tcPr>
            <w:tcW w:w="1226" w:type="dxa"/>
            <w:shd w:val="clear" w:color="auto" w:fill="BFBFBF"/>
          </w:tcPr>
          <w:p w14:paraId="391D0F5E" w14:textId="77777777" w:rsidR="00141B97" w:rsidRDefault="00141B97">
            <w:pPr>
              <w:pStyle w:val="TableParagraph"/>
              <w:rPr>
                <w:rFonts w:ascii="Times New Roman"/>
                <w:sz w:val="16"/>
              </w:rPr>
            </w:pPr>
          </w:p>
        </w:tc>
        <w:tc>
          <w:tcPr>
            <w:tcW w:w="1226" w:type="dxa"/>
            <w:shd w:val="clear" w:color="auto" w:fill="BFBFBF"/>
          </w:tcPr>
          <w:p w14:paraId="2AE364B6" w14:textId="77777777" w:rsidR="00141B97" w:rsidRDefault="00141B97">
            <w:pPr>
              <w:pStyle w:val="TableParagraph"/>
              <w:rPr>
                <w:rFonts w:ascii="Times New Roman"/>
                <w:sz w:val="16"/>
              </w:rPr>
            </w:pPr>
          </w:p>
        </w:tc>
        <w:tc>
          <w:tcPr>
            <w:tcW w:w="1225" w:type="dxa"/>
            <w:shd w:val="clear" w:color="auto" w:fill="BFBFBF"/>
          </w:tcPr>
          <w:p w14:paraId="709B729B" w14:textId="77777777" w:rsidR="00141B97" w:rsidRDefault="00141B97">
            <w:pPr>
              <w:pStyle w:val="TableParagraph"/>
              <w:rPr>
                <w:rFonts w:ascii="Times New Roman"/>
                <w:sz w:val="16"/>
              </w:rPr>
            </w:pPr>
          </w:p>
        </w:tc>
        <w:tc>
          <w:tcPr>
            <w:tcW w:w="1022" w:type="dxa"/>
            <w:tcBorders>
              <w:right w:val="nil"/>
            </w:tcBorders>
            <w:shd w:val="clear" w:color="auto" w:fill="BFBFBF"/>
          </w:tcPr>
          <w:p w14:paraId="16889202" w14:textId="77777777" w:rsidR="00141B97" w:rsidRDefault="00141B97">
            <w:pPr>
              <w:pStyle w:val="TableParagraph"/>
              <w:rPr>
                <w:rFonts w:ascii="Times New Roman"/>
                <w:sz w:val="16"/>
              </w:rPr>
            </w:pPr>
          </w:p>
        </w:tc>
      </w:tr>
      <w:tr w:rsidR="00141B97" w14:paraId="59C33E1F" w14:textId="77777777">
        <w:trPr>
          <w:trHeight w:val="240"/>
          <w:tblCellSpacing w:w="9" w:type="dxa"/>
        </w:trPr>
        <w:tc>
          <w:tcPr>
            <w:tcW w:w="5249" w:type="dxa"/>
            <w:tcBorders>
              <w:left w:val="nil"/>
            </w:tcBorders>
            <w:shd w:val="clear" w:color="auto" w:fill="CCE2ED"/>
          </w:tcPr>
          <w:p w14:paraId="4F5F43BC" w14:textId="77777777" w:rsidR="00141B97" w:rsidRDefault="00911D63">
            <w:pPr>
              <w:pStyle w:val="TableParagraph"/>
              <w:spacing w:before="22"/>
              <w:ind w:left="88"/>
              <w:rPr>
                <w:sz w:val="16"/>
              </w:rPr>
            </w:pPr>
            <w:r>
              <w:rPr>
                <w:sz w:val="16"/>
              </w:rPr>
              <w:t>KER</w:t>
            </w:r>
            <w:r>
              <w:rPr>
                <w:spacing w:val="-5"/>
                <w:sz w:val="16"/>
              </w:rPr>
              <w:t xml:space="preserve"> </w:t>
            </w:r>
            <w:r>
              <w:rPr>
                <w:sz w:val="16"/>
              </w:rPr>
              <w:t>Vaughan</w:t>
            </w:r>
            <w:r>
              <w:rPr>
                <w:spacing w:val="-4"/>
                <w:sz w:val="16"/>
              </w:rPr>
              <w:t xml:space="preserve"> </w:t>
            </w:r>
            <w:r>
              <w:rPr>
                <w:sz w:val="16"/>
              </w:rPr>
              <w:t>street</w:t>
            </w:r>
            <w:r>
              <w:rPr>
                <w:spacing w:val="-6"/>
                <w:sz w:val="16"/>
              </w:rPr>
              <w:t xml:space="preserve"> </w:t>
            </w:r>
            <w:r>
              <w:rPr>
                <w:sz w:val="16"/>
              </w:rPr>
              <w:t>tower</w:t>
            </w:r>
            <w:r>
              <w:rPr>
                <w:spacing w:val="-6"/>
                <w:sz w:val="16"/>
              </w:rPr>
              <w:t xml:space="preserve"> </w:t>
            </w:r>
            <w:r>
              <w:rPr>
                <w:sz w:val="16"/>
              </w:rPr>
              <w:t>roof</w:t>
            </w:r>
            <w:r>
              <w:rPr>
                <w:spacing w:val="-5"/>
                <w:sz w:val="16"/>
              </w:rPr>
              <w:t xml:space="preserve"> </w:t>
            </w:r>
            <w:r>
              <w:rPr>
                <w:spacing w:val="-2"/>
                <w:sz w:val="16"/>
              </w:rPr>
              <w:t>refurbishment</w:t>
            </w:r>
          </w:p>
        </w:tc>
        <w:tc>
          <w:tcPr>
            <w:tcW w:w="1375" w:type="dxa"/>
            <w:shd w:val="clear" w:color="auto" w:fill="CCE2ED"/>
          </w:tcPr>
          <w:p w14:paraId="14B66814"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34C38682"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4C0BE864" w14:textId="77777777" w:rsidR="00141B97" w:rsidRDefault="00911D63">
            <w:pPr>
              <w:pStyle w:val="TableParagraph"/>
              <w:spacing w:before="22"/>
              <w:ind w:right="95"/>
              <w:jc w:val="right"/>
              <w:rPr>
                <w:sz w:val="16"/>
              </w:rPr>
            </w:pPr>
            <w:r>
              <w:rPr>
                <w:spacing w:val="-4"/>
                <w:sz w:val="16"/>
              </w:rPr>
              <w:t>0.65</w:t>
            </w:r>
          </w:p>
        </w:tc>
        <w:tc>
          <w:tcPr>
            <w:tcW w:w="1227" w:type="dxa"/>
            <w:shd w:val="clear" w:color="auto" w:fill="CCE2ED"/>
          </w:tcPr>
          <w:p w14:paraId="7FDF22E2" w14:textId="77777777" w:rsidR="00141B97" w:rsidRDefault="00911D63">
            <w:pPr>
              <w:pStyle w:val="TableParagraph"/>
              <w:spacing w:before="22"/>
              <w:ind w:right="95"/>
              <w:jc w:val="right"/>
              <w:rPr>
                <w:sz w:val="16"/>
              </w:rPr>
            </w:pPr>
            <w:r>
              <w:rPr>
                <w:spacing w:val="-4"/>
                <w:sz w:val="16"/>
              </w:rPr>
              <w:t>0.00</w:t>
            </w:r>
          </w:p>
        </w:tc>
        <w:tc>
          <w:tcPr>
            <w:tcW w:w="1226" w:type="dxa"/>
            <w:shd w:val="clear" w:color="auto" w:fill="CCE2ED"/>
          </w:tcPr>
          <w:p w14:paraId="2E4A4126"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71B20AD2"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56560715"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3D5AA6F1" w14:textId="77777777" w:rsidR="00141B97" w:rsidRDefault="00911D63">
            <w:pPr>
              <w:pStyle w:val="TableParagraph"/>
              <w:spacing w:before="22"/>
              <w:ind w:right="83"/>
              <w:jc w:val="right"/>
              <w:rPr>
                <w:sz w:val="16"/>
              </w:rPr>
            </w:pPr>
            <w:r>
              <w:rPr>
                <w:spacing w:val="-4"/>
                <w:sz w:val="16"/>
              </w:rPr>
              <w:t>0.65</w:t>
            </w:r>
          </w:p>
        </w:tc>
      </w:tr>
      <w:tr w:rsidR="00141B97" w14:paraId="5BE5039D" w14:textId="77777777">
        <w:trPr>
          <w:trHeight w:val="240"/>
          <w:tblCellSpacing w:w="9" w:type="dxa"/>
        </w:trPr>
        <w:tc>
          <w:tcPr>
            <w:tcW w:w="5249" w:type="dxa"/>
            <w:tcBorders>
              <w:left w:val="nil"/>
            </w:tcBorders>
            <w:shd w:val="clear" w:color="auto" w:fill="CCE2ED"/>
          </w:tcPr>
          <w:p w14:paraId="32330B8C" w14:textId="77777777" w:rsidR="00141B97" w:rsidRDefault="00911D63">
            <w:pPr>
              <w:pStyle w:val="TableParagraph"/>
              <w:spacing w:before="22"/>
              <w:ind w:left="88"/>
              <w:rPr>
                <w:sz w:val="16"/>
              </w:rPr>
            </w:pPr>
            <w:r>
              <w:rPr>
                <w:sz w:val="16"/>
              </w:rPr>
              <w:t>MDA</w:t>
            </w:r>
            <w:r>
              <w:rPr>
                <w:spacing w:val="-5"/>
                <w:sz w:val="16"/>
              </w:rPr>
              <w:t xml:space="preserve"> </w:t>
            </w:r>
            <w:r>
              <w:rPr>
                <w:sz w:val="16"/>
              </w:rPr>
              <w:t>‐</w:t>
            </w:r>
            <w:r>
              <w:rPr>
                <w:spacing w:val="-6"/>
                <w:sz w:val="16"/>
              </w:rPr>
              <w:t xml:space="preserve"> </w:t>
            </w:r>
            <w:r>
              <w:rPr>
                <w:sz w:val="16"/>
              </w:rPr>
              <w:t>Mildura</w:t>
            </w:r>
            <w:r>
              <w:rPr>
                <w:spacing w:val="-4"/>
                <w:sz w:val="16"/>
              </w:rPr>
              <w:t xml:space="preserve"> </w:t>
            </w:r>
            <w:r>
              <w:rPr>
                <w:sz w:val="16"/>
              </w:rPr>
              <w:t>West</w:t>
            </w:r>
            <w:r>
              <w:rPr>
                <w:spacing w:val="-5"/>
                <w:sz w:val="16"/>
              </w:rPr>
              <w:t xml:space="preserve"> </w:t>
            </w:r>
            <w:r>
              <w:rPr>
                <w:sz w:val="16"/>
              </w:rPr>
              <w:t>Ground</w:t>
            </w:r>
            <w:r>
              <w:rPr>
                <w:spacing w:val="-4"/>
                <w:sz w:val="16"/>
              </w:rPr>
              <w:t xml:space="preserve"> </w:t>
            </w:r>
            <w:r>
              <w:rPr>
                <w:sz w:val="16"/>
              </w:rPr>
              <w:t>Level</w:t>
            </w:r>
            <w:r>
              <w:rPr>
                <w:spacing w:val="-5"/>
                <w:sz w:val="16"/>
              </w:rPr>
              <w:t xml:space="preserve"> </w:t>
            </w:r>
            <w:r>
              <w:rPr>
                <w:sz w:val="16"/>
              </w:rPr>
              <w:t>Stroage</w:t>
            </w:r>
            <w:r>
              <w:rPr>
                <w:spacing w:val="-6"/>
                <w:sz w:val="16"/>
              </w:rPr>
              <w:t xml:space="preserve"> </w:t>
            </w:r>
            <w:r>
              <w:rPr>
                <w:spacing w:val="-2"/>
                <w:sz w:val="16"/>
              </w:rPr>
              <w:t>Repaint</w:t>
            </w:r>
          </w:p>
        </w:tc>
        <w:tc>
          <w:tcPr>
            <w:tcW w:w="1375" w:type="dxa"/>
            <w:shd w:val="clear" w:color="auto" w:fill="CCE2ED"/>
          </w:tcPr>
          <w:p w14:paraId="6B4EBCFE"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46B552E3"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3539969F" w14:textId="77777777" w:rsidR="00141B97" w:rsidRDefault="00911D63">
            <w:pPr>
              <w:pStyle w:val="TableParagraph"/>
              <w:spacing w:before="22"/>
              <w:ind w:right="95"/>
              <w:jc w:val="right"/>
              <w:rPr>
                <w:sz w:val="16"/>
              </w:rPr>
            </w:pPr>
            <w:r>
              <w:rPr>
                <w:spacing w:val="-4"/>
                <w:sz w:val="16"/>
              </w:rPr>
              <w:t>0.77</w:t>
            </w:r>
          </w:p>
        </w:tc>
        <w:tc>
          <w:tcPr>
            <w:tcW w:w="1227" w:type="dxa"/>
            <w:shd w:val="clear" w:color="auto" w:fill="CCE2ED"/>
          </w:tcPr>
          <w:p w14:paraId="7D542886" w14:textId="77777777" w:rsidR="00141B97" w:rsidRDefault="00911D63">
            <w:pPr>
              <w:pStyle w:val="TableParagraph"/>
              <w:spacing w:before="22"/>
              <w:ind w:right="95"/>
              <w:jc w:val="right"/>
              <w:rPr>
                <w:sz w:val="16"/>
              </w:rPr>
            </w:pPr>
            <w:r>
              <w:rPr>
                <w:spacing w:val="-4"/>
                <w:sz w:val="16"/>
              </w:rPr>
              <w:t>0.77</w:t>
            </w:r>
          </w:p>
        </w:tc>
        <w:tc>
          <w:tcPr>
            <w:tcW w:w="1226" w:type="dxa"/>
            <w:shd w:val="clear" w:color="auto" w:fill="CCE2ED"/>
          </w:tcPr>
          <w:p w14:paraId="20A3A9EC" w14:textId="77777777" w:rsidR="00141B97" w:rsidRDefault="00911D63">
            <w:pPr>
              <w:pStyle w:val="TableParagraph"/>
              <w:spacing w:before="22"/>
              <w:ind w:right="94"/>
              <w:jc w:val="right"/>
              <w:rPr>
                <w:sz w:val="16"/>
              </w:rPr>
            </w:pPr>
            <w:r>
              <w:rPr>
                <w:spacing w:val="-4"/>
                <w:sz w:val="16"/>
              </w:rPr>
              <w:t>0.00</w:t>
            </w:r>
          </w:p>
        </w:tc>
        <w:tc>
          <w:tcPr>
            <w:tcW w:w="1226" w:type="dxa"/>
            <w:shd w:val="clear" w:color="auto" w:fill="CCE2ED"/>
          </w:tcPr>
          <w:p w14:paraId="41BA8559" w14:textId="77777777" w:rsidR="00141B97" w:rsidRDefault="00911D63">
            <w:pPr>
              <w:pStyle w:val="TableParagraph"/>
              <w:spacing w:before="22"/>
              <w:ind w:right="94"/>
              <w:jc w:val="right"/>
              <w:rPr>
                <w:sz w:val="16"/>
              </w:rPr>
            </w:pPr>
            <w:r>
              <w:rPr>
                <w:spacing w:val="-4"/>
                <w:sz w:val="16"/>
              </w:rPr>
              <w:t>0.00</w:t>
            </w:r>
          </w:p>
        </w:tc>
        <w:tc>
          <w:tcPr>
            <w:tcW w:w="1225" w:type="dxa"/>
            <w:shd w:val="clear" w:color="auto" w:fill="CCE2ED"/>
          </w:tcPr>
          <w:p w14:paraId="2B9A6D2B" w14:textId="77777777" w:rsidR="00141B97" w:rsidRDefault="00911D63">
            <w:pPr>
              <w:pStyle w:val="TableParagraph"/>
              <w:spacing w:before="22"/>
              <w:ind w:right="93"/>
              <w:jc w:val="right"/>
              <w:rPr>
                <w:sz w:val="16"/>
              </w:rPr>
            </w:pPr>
            <w:r>
              <w:rPr>
                <w:spacing w:val="-4"/>
                <w:sz w:val="16"/>
              </w:rPr>
              <w:t>0.00</w:t>
            </w:r>
          </w:p>
        </w:tc>
        <w:tc>
          <w:tcPr>
            <w:tcW w:w="1022" w:type="dxa"/>
            <w:tcBorders>
              <w:right w:val="nil"/>
            </w:tcBorders>
            <w:shd w:val="clear" w:color="auto" w:fill="CCE2ED"/>
          </w:tcPr>
          <w:p w14:paraId="5E5AC92F" w14:textId="77777777" w:rsidR="00141B97" w:rsidRDefault="00911D63">
            <w:pPr>
              <w:pStyle w:val="TableParagraph"/>
              <w:spacing w:before="22"/>
              <w:ind w:right="83"/>
              <w:jc w:val="right"/>
              <w:rPr>
                <w:sz w:val="16"/>
              </w:rPr>
            </w:pPr>
            <w:r>
              <w:rPr>
                <w:spacing w:val="-4"/>
                <w:sz w:val="16"/>
              </w:rPr>
              <w:t>1.54</w:t>
            </w:r>
          </w:p>
        </w:tc>
      </w:tr>
      <w:tr w:rsidR="00141B97" w14:paraId="064C9AEC" w14:textId="77777777">
        <w:trPr>
          <w:trHeight w:val="254"/>
          <w:tblCellSpacing w:w="9" w:type="dxa"/>
        </w:trPr>
        <w:tc>
          <w:tcPr>
            <w:tcW w:w="5249" w:type="dxa"/>
            <w:tcBorders>
              <w:left w:val="nil"/>
            </w:tcBorders>
            <w:shd w:val="clear" w:color="auto" w:fill="CCE2ED"/>
          </w:tcPr>
          <w:p w14:paraId="7BC87B51" w14:textId="77777777" w:rsidR="00141B97" w:rsidRDefault="00911D63">
            <w:pPr>
              <w:pStyle w:val="TableParagraph"/>
              <w:spacing w:before="29"/>
              <w:ind w:left="88"/>
              <w:rPr>
                <w:sz w:val="16"/>
              </w:rPr>
            </w:pPr>
            <w:r>
              <w:rPr>
                <w:sz w:val="16"/>
              </w:rPr>
              <w:t>MDA</w:t>
            </w:r>
            <w:r>
              <w:rPr>
                <w:spacing w:val="-6"/>
                <w:sz w:val="16"/>
              </w:rPr>
              <w:t xml:space="preserve"> </w:t>
            </w:r>
            <w:r>
              <w:rPr>
                <w:sz w:val="16"/>
              </w:rPr>
              <w:t>10th</w:t>
            </w:r>
            <w:r>
              <w:rPr>
                <w:spacing w:val="-4"/>
                <w:sz w:val="16"/>
              </w:rPr>
              <w:t xml:space="preserve"> </w:t>
            </w:r>
            <w:r>
              <w:rPr>
                <w:sz w:val="16"/>
              </w:rPr>
              <w:t>St</w:t>
            </w:r>
            <w:r>
              <w:rPr>
                <w:spacing w:val="-4"/>
                <w:sz w:val="16"/>
              </w:rPr>
              <w:t xml:space="preserve"> </w:t>
            </w:r>
            <w:r>
              <w:rPr>
                <w:sz w:val="16"/>
              </w:rPr>
              <w:t>Tower</w:t>
            </w:r>
            <w:r>
              <w:rPr>
                <w:spacing w:val="-4"/>
                <w:sz w:val="16"/>
              </w:rPr>
              <w:t xml:space="preserve"> </w:t>
            </w:r>
            <w:r>
              <w:rPr>
                <w:sz w:val="16"/>
              </w:rPr>
              <w:t>Repairs</w:t>
            </w:r>
            <w:r>
              <w:rPr>
                <w:spacing w:val="-5"/>
                <w:sz w:val="16"/>
              </w:rPr>
              <w:t xml:space="preserve"> </w:t>
            </w:r>
            <w:r>
              <w:rPr>
                <w:sz w:val="16"/>
              </w:rPr>
              <w:t>(Tonkin's</w:t>
            </w:r>
            <w:r>
              <w:rPr>
                <w:spacing w:val="-5"/>
                <w:sz w:val="16"/>
              </w:rPr>
              <w:t xml:space="preserve"> </w:t>
            </w:r>
            <w:r>
              <w:rPr>
                <w:spacing w:val="-2"/>
                <w:sz w:val="16"/>
              </w:rPr>
              <w:t>Report)</w:t>
            </w:r>
          </w:p>
        </w:tc>
        <w:tc>
          <w:tcPr>
            <w:tcW w:w="1375" w:type="dxa"/>
            <w:shd w:val="clear" w:color="auto" w:fill="CCE2ED"/>
          </w:tcPr>
          <w:p w14:paraId="552FD819" w14:textId="77777777" w:rsidR="00141B97" w:rsidRDefault="00911D63">
            <w:pPr>
              <w:pStyle w:val="TableParagraph"/>
              <w:spacing w:before="29"/>
              <w:ind w:right="95"/>
              <w:jc w:val="right"/>
              <w:rPr>
                <w:sz w:val="16"/>
              </w:rPr>
            </w:pPr>
            <w:r>
              <w:rPr>
                <w:spacing w:val="-2"/>
                <w:sz w:val="16"/>
              </w:rPr>
              <w:t>Water</w:t>
            </w:r>
          </w:p>
        </w:tc>
        <w:tc>
          <w:tcPr>
            <w:tcW w:w="1886" w:type="dxa"/>
            <w:shd w:val="clear" w:color="auto" w:fill="CCE2ED"/>
          </w:tcPr>
          <w:p w14:paraId="278212B9" w14:textId="77777777" w:rsidR="00141B97" w:rsidRDefault="00911D63">
            <w:pPr>
              <w:pStyle w:val="TableParagraph"/>
              <w:spacing w:before="29"/>
              <w:ind w:right="97"/>
              <w:jc w:val="right"/>
              <w:rPr>
                <w:sz w:val="16"/>
              </w:rPr>
            </w:pPr>
            <w:r>
              <w:rPr>
                <w:spacing w:val="-2"/>
                <w:sz w:val="16"/>
              </w:rPr>
              <w:t>Renewals</w:t>
            </w:r>
          </w:p>
        </w:tc>
        <w:tc>
          <w:tcPr>
            <w:tcW w:w="1226" w:type="dxa"/>
            <w:shd w:val="clear" w:color="auto" w:fill="CCE2ED"/>
          </w:tcPr>
          <w:p w14:paraId="4414FC4D" w14:textId="77777777" w:rsidR="00141B97" w:rsidRDefault="00911D63">
            <w:pPr>
              <w:pStyle w:val="TableParagraph"/>
              <w:spacing w:before="29"/>
              <w:ind w:right="95"/>
              <w:jc w:val="right"/>
              <w:rPr>
                <w:sz w:val="16"/>
              </w:rPr>
            </w:pPr>
            <w:r>
              <w:rPr>
                <w:spacing w:val="-4"/>
                <w:sz w:val="16"/>
              </w:rPr>
              <w:t>0.96</w:t>
            </w:r>
          </w:p>
        </w:tc>
        <w:tc>
          <w:tcPr>
            <w:tcW w:w="1227" w:type="dxa"/>
            <w:shd w:val="clear" w:color="auto" w:fill="CCE2ED"/>
          </w:tcPr>
          <w:p w14:paraId="741FFF8B" w14:textId="77777777" w:rsidR="00141B97" w:rsidRDefault="00911D63">
            <w:pPr>
              <w:pStyle w:val="TableParagraph"/>
              <w:spacing w:before="29"/>
              <w:ind w:right="95"/>
              <w:jc w:val="right"/>
              <w:rPr>
                <w:sz w:val="16"/>
              </w:rPr>
            </w:pPr>
            <w:r>
              <w:rPr>
                <w:spacing w:val="-4"/>
                <w:sz w:val="16"/>
              </w:rPr>
              <w:t>0.23</w:t>
            </w:r>
          </w:p>
        </w:tc>
        <w:tc>
          <w:tcPr>
            <w:tcW w:w="1226" w:type="dxa"/>
            <w:shd w:val="clear" w:color="auto" w:fill="CCE2ED"/>
          </w:tcPr>
          <w:p w14:paraId="0A9B7514" w14:textId="77777777" w:rsidR="00141B97" w:rsidRDefault="00911D63">
            <w:pPr>
              <w:pStyle w:val="TableParagraph"/>
              <w:spacing w:before="29"/>
              <w:ind w:right="94"/>
              <w:jc w:val="right"/>
              <w:rPr>
                <w:sz w:val="16"/>
              </w:rPr>
            </w:pPr>
            <w:r>
              <w:rPr>
                <w:spacing w:val="-4"/>
                <w:sz w:val="16"/>
              </w:rPr>
              <w:t>0.00</w:t>
            </w:r>
          </w:p>
        </w:tc>
        <w:tc>
          <w:tcPr>
            <w:tcW w:w="1226" w:type="dxa"/>
            <w:shd w:val="clear" w:color="auto" w:fill="CCE2ED"/>
          </w:tcPr>
          <w:p w14:paraId="08E7443B" w14:textId="77777777" w:rsidR="00141B97" w:rsidRDefault="00911D63">
            <w:pPr>
              <w:pStyle w:val="TableParagraph"/>
              <w:spacing w:before="29"/>
              <w:ind w:right="94"/>
              <w:jc w:val="right"/>
              <w:rPr>
                <w:sz w:val="16"/>
              </w:rPr>
            </w:pPr>
            <w:r>
              <w:rPr>
                <w:spacing w:val="-4"/>
                <w:sz w:val="16"/>
              </w:rPr>
              <w:t>0.00</w:t>
            </w:r>
          </w:p>
        </w:tc>
        <w:tc>
          <w:tcPr>
            <w:tcW w:w="1225" w:type="dxa"/>
            <w:shd w:val="clear" w:color="auto" w:fill="CCE2ED"/>
          </w:tcPr>
          <w:p w14:paraId="2B31353F" w14:textId="77777777" w:rsidR="00141B97" w:rsidRDefault="00911D63">
            <w:pPr>
              <w:pStyle w:val="TableParagraph"/>
              <w:spacing w:before="29"/>
              <w:ind w:right="93"/>
              <w:jc w:val="right"/>
              <w:rPr>
                <w:sz w:val="16"/>
              </w:rPr>
            </w:pPr>
            <w:r>
              <w:rPr>
                <w:spacing w:val="-4"/>
                <w:sz w:val="16"/>
              </w:rPr>
              <w:t>0.00</w:t>
            </w:r>
          </w:p>
        </w:tc>
        <w:tc>
          <w:tcPr>
            <w:tcW w:w="1022" w:type="dxa"/>
            <w:tcBorders>
              <w:right w:val="nil"/>
            </w:tcBorders>
            <w:shd w:val="clear" w:color="auto" w:fill="CCE2ED"/>
          </w:tcPr>
          <w:p w14:paraId="19D47301" w14:textId="77777777" w:rsidR="00141B97" w:rsidRDefault="00911D63">
            <w:pPr>
              <w:pStyle w:val="TableParagraph"/>
              <w:spacing w:before="29"/>
              <w:ind w:right="83"/>
              <w:jc w:val="right"/>
              <w:rPr>
                <w:sz w:val="16"/>
              </w:rPr>
            </w:pPr>
            <w:r>
              <w:rPr>
                <w:spacing w:val="-4"/>
                <w:sz w:val="16"/>
              </w:rPr>
              <w:t>1.18</w:t>
            </w:r>
          </w:p>
        </w:tc>
      </w:tr>
      <w:tr w:rsidR="00141B97" w14:paraId="34D34A6D" w14:textId="77777777">
        <w:trPr>
          <w:trHeight w:val="329"/>
          <w:tblCellSpacing w:w="9" w:type="dxa"/>
        </w:trPr>
        <w:tc>
          <w:tcPr>
            <w:tcW w:w="5249" w:type="dxa"/>
            <w:tcBorders>
              <w:left w:val="nil"/>
            </w:tcBorders>
            <w:shd w:val="clear" w:color="auto" w:fill="BFBFBF"/>
          </w:tcPr>
          <w:p w14:paraId="43E013FE" w14:textId="77777777" w:rsidR="00141B97" w:rsidRDefault="00911D63">
            <w:pPr>
              <w:pStyle w:val="TableParagraph"/>
              <w:spacing w:before="67"/>
              <w:ind w:left="88"/>
              <w:rPr>
                <w:sz w:val="16"/>
              </w:rPr>
            </w:pPr>
            <w:r>
              <w:rPr>
                <w:sz w:val="16"/>
              </w:rPr>
              <w:t>Corporate</w:t>
            </w:r>
            <w:r>
              <w:rPr>
                <w:spacing w:val="-7"/>
                <w:sz w:val="16"/>
              </w:rPr>
              <w:t xml:space="preserve"> </w:t>
            </w:r>
            <w:r>
              <w:rPr>
                <w:sz w:val="16"/>
              </w:rPr>
              <w:t>‐</w:t>
            </w:r>
            <w:r>
              <w:rPr>
                <w:spacing w:val="-6"/>
                <w:sz w:val="16"/>
              </w:rPr>
              <w:t xml:space="preserve"> </w:t>
            </w:r>
            <w:r>
              <w:rPr>
                <w:sz w:val="16"/>
              </w:rPr>
              <w:t>Urban</w:t>
            </w:r>
            <w:r>
              <w:rPr>
                <w:spacing w:val="-6"/>
                <w:sz w:val="16"/>
              </w:rPr>
              <w:t xml:space="preserve"> </w:t>
            </w:r>
            <w:r>
              <w:rPr>
                <w:sz w:val="16"/>
              </w:rPr>
              <w:t>component</w:t>
            </w:r>
            <w:r>
              <w:rPr>
                <w:spacing w:val="-5"/>
                <w:sz w:val="16"/>
              </w:rPr>
              <w:t xml:space="preserve"> </w:t>
            </w:r>
            <w:r>
              <w:rPr>
                <w:spacing w:val="-4"/>
                <w:sz w:val="16"/>
              </w:rPr>
              <w:t>only</w:t>
            </w:r>
          </w:p>
        </w:tc>
        <w:tc>
          <w:tcPr>
            <w:tcW w:w="1375" w:type="dxa"/>
            <w:shd w:val="clear" w:color="auto" w:fill="BFBFBF"/>
          </w:tcPr>
          <w:p w14:paraId="066BE353" w14:textId="77777777" w:rsidR="00141B97" w:rsidRDefault="00141B97">
            <w:pPr>
              <w:pStyle w:val="TableParagraph"/>
              <w:rPr>
                <w:rFonts w:ascii="Times New Roman"/>
                <w:sz w:val="16"/>
              </w:rPr>
            </w:pPr>
          </w:p>
        </w:tc>
        <w:tc>
          <w:tcPr>
            <w:tcW w:w="1886" w:type="dxa"/>
            <w:shd w:val="clear" w:color="auto" w:fill="BFBFBF"/>
          </w:tcPr>
          <w:p w14:paraId="73FC97C7" w14:textId="77777777" w:rsidR="00141B97" w:rsidRDefault="00141B97">
            <w:pPr>
              <w:pStyle w:val="TableParagraph"/>
              <w:rPr>
                <w:rFonts w:ascii="Times New Roman"/>
                <w:sz w:val="16"/>
              </w:rPr>
            </w:pPr>
          </w:p>
        </w:tc>
        <w:tc>
          <w:tcPr>
            <w:tcW w:w="1226" w:type="dxa"/>
            <w:shd w:val="clear" w:color="auto" w:fill="BFBFBF"/>
          </w:tcPr>
          <w:p w14:paraId="3C57A913" w14:textId="77777777" w:rsidR="00141B97" w:rsidRDefault="00141B97">
            <w:pPr>
              <w:pStyle w:val="TableParagraph"/>
              <w:rPr>
                <w:rFonts w:ascii="Times New Roman"/>
                <w:sz w:val="16"/>
              </w:rPr>
            </w:pPr>
          </w:p>
        </w:tc>
        <w:tc>
          <w:tcPr>
            <w:tcW w:w="1227" w:type="dxa"/>
            <w:shd w:val="clear" w:color="auto" w:fill="BFBFBF"/>
          </w:tcPr>
          <w:p w14:paraId="09FE1A71" w14:textId="77777777" w:rsidR="00141B97" w:rsidRDefault="00141B97">
            <w:pPr>
              <w:pStyle w:val="TableParagraph"/>
              <w:rPr>
                <w:rFonts w:ascii="Times New Roman"/>
                <w:sz w:val="16"/>
              </w:rPr>
            </w:pPr>
          </w:p>
        </w:tc>
        <w:tc>
          <w:tcPr>
            <w:tcW w:w="1226" w:type="dxa"/>
            <w:shd w:val="clear" w:color="auto" w:fill="BFBFBF"/>
          </w:tcPr>
          <w:p w14:paraId="74492109" w14:textId="77777777" w:rsidR="00141B97" w:rsidRDefault="00141B97">
            <w:pPr>
              <w:pStyle w:val="TableParagraph"/>
              <w:rPr>
                <w:rFonts w:ascii="Times New Roman"/>
                <w:sz w:val="16"/>
              </w:rPr>
            </w:pPr>
          </w:p>
        </w:tc>
        <w:tc>
          <w:tcPr>
            <w:tcW w:w="1226" w:type="dxa"/>
            <w:shd w:val="clear" w:color="auto" w:fill="BFBFBF"/>
          </w:tcPr>
          <w:p w14:paraId="34855B1E" w14:textId="77777777" w:rsidR="00141B97" w:rsidRDefault="00141B97">
            <w:pPr>
              <w:pStyle w:val="TableParagraph"/>
              <w:rPr>
                <w:rFonts w:ascii="Times New Roman"/>
                <w:sz w:val="16"/>
              </w:rPr>
            </w:pPr>
          </w:p>
        </w:tc>
        <w:tc>
          <w:tcPr>
            <w:tcW w:w="1225" w:type="dxa"/>
            <w:shd w:val="clear" w:color="auto" w:fill="BFBFBF"/>
          </w:tcPr>
          <w:p w14:paraId="7B0569AF" w14:textId="77777777" w:rsidR="00141B97" w:rsidRDefault="00141B97">
            <w:pPr>
              <w:pStyle w:val="TableParagraph"/>
              <w:rPr>
                <w:rFonts w:ascii="Times New Roman"/>
                <w:sz w:val="16"/>
              </w:rPr>
            </w:pPr>
          </w:p>
        </w:tc>
        <w:tc>
          <w:tcPr>
            <w:tcW w:w="1022" w:type="dxa"/>
            <w:tcBorders>
              <w:right w:val="nil"/>
            </w:tcBorders>
            <w:shd w:val="clear" w:color="auto" w:fill="BFBFBF"/>
          </w:tcPr>
          <w:p w14:paraId="19B44BF9" w14:textId="77777777" w:rsidR="00141B97" w:rsidRDefault="00141B97">
            <w:pPr>
              <w:pStyle w:val="TableParagraph"/>
              <w:rPr>
                <w:rFonts w:ascii="Times New Roman"/>
                <w:sz w:val="16"/>
              </w:rPr>
            </w:pPr>
          </w:p>
        </w:tc>
      </w:tr>
      <w:tr w:rsidR="00141B97" w14:paraId="76CC4058" w14:textId="77777777">
        <w:trPr>
          <w:trHeight w:val="240"/>
          <w:tblCellSpacing w:w="9" w:type="dxa"/>
        </w:trPr>
        <w:tc>
          <w:tcPr>
            <w:tcW w:w="5249" w:type="dxa"/>
            <w:tcBorders>
              <w:left w:val="nil"/>
            </w:tcBorders>
            <w:shd w:val="clear" w:color="auto" w:fill="CCE2ED"/>
          </w:tcPr>
          <w:p w14:paraId="28DB0F91" w14:textId="77777777" w:rsidR="00141B97" w:rsidRDefault="00911D63">
            <w:pPr>
              <w:pStyle w:val="TableParagraph"/>
              <w:spacing w:before="22"/>
              <w:ind w:left="88"/>
              <w:rPr>
                <w:sz w:val="16"/>
              </w:rPr>
            </w:pPr>
            <w:r>
              <w:rPr>
                <w:sz w:val="16"/>
              </w:rPr>
              <w:t>Motor</w:t>
            </w:r>
            <w:r>
              <w:rPr>
                <w:spacing w:val="-5"/>
                <w:sz w:val="16"/>
              </w:rPr>
              <w:t xml:space="preserve"> </w:t>
            </w:r>
            <w:r>
              <w:rPr>
                <w:sz w:val="16"/>
              </w:rPr>
              <w:t>vehicles</w:t>
            </w:r>
            <w:r>
              <w:rPr>
                <w:spacing w:val="-5"/>
                <w:sz w:val="16"/>
              </w:rPr>
              <w:t xml:space="preserve"> </w:t>
            </w:r>
            <w:r>
              <w:rPr>
                <w:sz w:val="16"/>
              </w:rPr>
              <w:t>‐</w:t>
            </w:r>
            <w:r>
              <w:rPr>
                <w:spacing w:val="-6"/>
                <w:sz w:val="16"/>
              </w:rPr>
              <w:t xml:space="preserve"> </w:t>
            </w:r>
            <w:r>
              <w:rPr>
                <w:spacing w:val="-2"/>
                <w:sz w:val="16"/>
              </w:rPr>
              <w:t>Water</w:t>
            </w:r>
          </w:p>
        </w:tc>
        <w:tc>
          <w:tcPr>
            <w:tcW w:w="1375" w:type="dxa"/>
            <w:shd w:val="clear" w:color="auto" w:fill="CCE2ED"/>
          </w:tcPr>
          <w:p w14:paraId="76F0EA97"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1364968C"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14F03DB9" w14:textId="77777777" w:rsidR="00141B97" w:rsidRDefault="00911D63">
            <w:pPr>
              <w:pStyle w:val="TableParagraph"/>
              <w:spacing w:before="22"/>
              <w:ind w:right="95"/>
              <w:jc w:val="right"/>
              <w:rPr>
                <w:sz w:val="16"/>
              </w:rPr>
            </w:pPr>
            <w:r>
              <w:rPr>
                <w:spacing w:val="-4"/>
                <w:sz w:val="16"/>
              </w:rPr>
              <w:t>1.07</w:t>
            </w:r>
          </w:p>
        </w:tc>
        <w:tc>
          <w:tcPr>
            <w:tcW w:w="1227" w:type="dxa"/>
            <w:shd w:val="clear" w:color="auto" w:fill="CCE2ED"/>
          </w:tcPr>
          <w:p w14:paraId="5F7C92E9" w14:textId="77777777" w:rsidR="00141B97" w:rsidRDefault="00911D63">
            <w:pPr>
              <w:pStyle w:val="TableParagraph"/>
              <w:spacing w:before="22"/>
              <w:ind w:right="95"/>
              <w:jc w:val="right"/>
              <w:rPr>
                <w:sz w:val="16"/>
              </w:rPr>
            </w:pPr>
            <w:r>
              <w:rPr>
                <w:spacing w:val="-4"/>
                <w:sz w:val="16"/>
              </w:rPr>
              <w:t>0.72</w:t>
            </w:r>
          </w:p>
        </w:tc>
        <w:tc>
          <w:tcPr>
            <w:tcW w:w="1226" w:type="dxa"/>
            <w:shd w:val="clear" w:color="auto" w:fill="CCE2ED"/>
          </w:tcPr>
          <w:p w14:paraId="491CD108" w14:textId="77777777" w:rsidR="00141B97" w:rsidRDefault="00911D63">
            <w:pPr>
              <w:pStyle w:val="TableParagraph"/>
              <w:spacing w:before="22"/>
              <w:ind w:right="94"/>
              <w:jc w:val="right"/>
              <w:rPr>
                <w:sz w:val="16"/>
              </w:rPr>
            </w:pPr>
            <w:r>
              <w:rPr>
                <w:spacing w:val="-4"/>
                <w:sz w:val="16"/>
              </w:rPr>
              <w:t>0.57</w:t>
            </w:r>
          </w:p>
        </w:tc>
        <w:tc>
          <w:tcPr>
            <w:tcW w:w="1226" w:type="dxa"/>
            <w:shd w:val="clear" w:color="auto" w:fill="CCE2ED"/>
          </w:tcPr>
          <w:p w14:paraId="718BF852" w14:textId="77777777" w:rsidR="00141B97" w:rsidRDefault="00911D63">
            <w:pPr>
              <w:pStyle w:val="TableParagraph"/>
              <w:spacing w:before="22"/>
              <w:ind w:right="94"/>
              <w:jc w:val="right"/>
              <w:rPr>
                <w:sz w:val="16"/>
              </w:rPr>
            </w:pPr>
            <w:r>
              <w:rPr>
                <w:spacing w:val="-4"/>
                <w:sz w:val="16"/>
              </w:rPr>
              <w:t>0.40</w:t>
            </w:r>
          </w:p>
        </w:tc>
        <w:tc>
          <w:tcPr>
            <w:tcW w:w="1225" w:type="dxa"/>
            <w:shd w:val="clear" w:color="auto" w:fill="CCE2ED"/>
          </w:tcPr>
          <w:p w14:paraId="21C24885" w14:textId="77777777" w:rsidR="00141B97" w:rsidRDefault="00911D63">
            <w:pPr>
              <w:pStyle w:val="TableParagraph"/>
              <w:spacing w:before="22"/>
              <w:ind w:right="93"/>
              <w:jc w:val="right"/>
              <w:rPr>
                <w:sz w:val="16"/>
              </w:rPr>
            </w:pPr>
            <w:r>
              <w:rPr>
                <w:spacing w:val="-4"/>
                <w:sz w:val="16"/>
              </w:rPr>
              <w:t>0.47</w:t>
            </w:r>
          </w:p>
        </w:tc>
        <w:tc>
          <w:tcPr>
            <w:tcW w:w="1022" w:type="dxa"/>
            <w:tcBorders>
              <w:right w:val="nil"/>
            </w:tcBorders>
            <w:shd w:val="clear" w:color="auto" w:fill="CCE2ED"/>
          </w:tcPr>
          <w:p w14:paraId="3564CAFE" w14:textId="77777777" w:rsidR="00141B97" w:rsidRDefault="00911D63">
            <w:pPr>
              <w:pStyle w:val="TableParagraph"/>
              <w:spacing w:before="22"/>
              <w:ind w:right="83"/>
              <w:jc w:val="right"/>
              <w:rPr>
                <w:sz w:val="16"/>
              </w:rPr>
            </w:pPr>
            <w:r>
              <w:rPr>
                <w:spacing w:val="-4"/>
                <w:sz w:val="16"/>
              </w:rPr>
              <w:t>3.23</w:t>
            </w:r>
          </w:p>
        </w:tc>
      </w:tr>
      <w:tr w:rsidR="00141B97" w14:paraId="6693DC15" w14:textId="77777777">
        <w:trPr>
          <w:trHeight w:val="240"/>
          <w:tblCellSpacing w:w="9" w:type="dxa"/>
        </w:trPr>
        <w:tc>
          <w:tcPr>
            <w:tcW w:w="5249" w:type="dxa"/>
            <w:tcBorders>
              <w:left w:val="nil"/>
            </w:tcBorders>
            <w:shd w:val="clear" w:color="auto" w:fill="CCE2ED"/>
          </w:tcPr>
          <w:p w14:paraId="14CD7A84" w14:textId="77777777" w:rsidR="00141B97" w:rsidRDefault="00911D63">
            <w:pPr>
              <w:pStyle w:val="TableParagraph"/>
              <w:spacing w:before="22"/>
              <w:ind w:left="88"/>
              <w:rPr>
                <w:sz w:val="16"/>
              </w:rPr>
            </w:pPr>
            <w:r>
              <w:rPr>
                <w:sz w:val="16"/>
              </w:rPr>
              <w:t>Motor</w:t>
            </w:r>
            <w:r>
              <w:rPr>
                <w:spacing w:val="-5"/>
                <w:sz w:val="16"/>
              </w:rPr>
              <w:t xml:space="preserve"> </w:t>
            </w:r>
            <w:r>
              <w:rPr>
                <w:sz w:val="16"/>
              </w:rPr>
              <w:t>vehicles</w:t>
            </w:r>
            <w:r>
              <w:rPr>
                <w:spacing w:val="-5"/>
                <w:sz w:val="16"/>
              </w:rPr>
              <w:t xml:space="preserve"> </w:t>
            </w:r>
            <w:r>
              <w:rPr>
                <w:sz w:val="16"/>
              </w:rPr>
              <w:t>‐</w:t>
            </w:r>
            <w:r>
              <w:rPr>
                <w:spacing w:val="-6"/>
                <w:sz w:val="16"/>
              </w:rPr>
              <w:t xml:space="preserve"> </w:t>
            </w:r>
            <w:r>
              <w:rPr>
                <w:spacing w:val="-2"/>
                <w:sz w:val="16"/>
              </w:rPr>
              <w:t>Sewerage</w:t>
            </w:r>
          </w:p>
        </w:tc>
        <w:tc>
          <w:tcPr>
            <w:tcW w:w="1375" w:type="dxa"/>
            <w:shd w:val="clear" w:color="auto" w:fill="CCE2ED"/>
          </w:tcPr>
          <w:p w14:paraId="29E1C7E3"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55BE1034"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77807254" w14:textId="77777777" w:rsidR="00141B97" w:rsidRDefault="00911D63">
            <w:pPr>
              <w:pStyle w:val="TableParagraph"/>
              <w:spacing w:before="22"/>
              <w:ind w:right="95"/>
              <w:jc w:val="right"/>
              <w:rPr>
                <w:sz w:val="16"/>
              </w:rPr>
            </w:pPr>
            <w:r>
              <w:rPr>
                <w:spacing w:val="-4"/>
                <w:sz w:val="16"/>
              </w:rPr>
              <w:t>0.91</w:t>
            </w:r>
          </w:p>
        </w:tc>
        <w:tc>
          <w:tcPr>
            <w:tcW w:w="1227" w:type="dxa"/>
            <w:shd w:val="clear" w:color="auto" w:fill="CCE2ED"/>
          </w:tcPr>
          <w:p w14:paraId="15AEFFBF" w14:textId="77777777" w:rsidR="00141B97" w:rsidRDefault="00911D63">
            <w:pPr>
              <w:pStyle w:val="TableParagraph"/>
              <w:spacing w:before="22"/>
              <w:ind w:right="95"/>
              <w:jc w:val="right"/>
              <w:rPr>
                <w:sz w:val="16"/>
              </w:rPr>
            </w:pPr>
            <w:r>
              <w:rPr>
                <w:spacing w:val="-4"/>
                <w:sz w:val="16"/>
              </w:rPr>
              <w:t>0.61</w:t>
            </w:r>
          </w:p>
        </w:tc>
        <w:tc>
          <w:tcPr>
            <w:tcW w:w="1226" w:type="dxa"/>
            <w:shd w:val="clear" w:color="auto" w:fill="CCE2ED"/>
          </w:tcPr>
          <w:p w14:paraId="75960658" w14:textId="77777777" w:rsidR="00141B97" w:rsidRDefault="00911D63">
            <w:pPr>
              <w:pStyle w:val="TableParagraph"/>
              <w:spacing w:before="22"/>
              <w:ind w:right="94"/>
              <w:jc w:val="right"/>
              <w:rPr>
                <w:sz w:val="16"/>
              </w:rPr>
            </w:pPr>
            <w:r>
              <w:rPr>
                <w:spacing w:val="-4"/>
                <w:sz w:val="16"/>
              </w:rPr>
              <w:t>0.49</w:t>
            </w:r>
          </w:p>
        </w:tc>
        <w:tc>
          <w:tcPr>
            <w:tcW w:w="1226" w:type="dxa"/>
            <w:shd w:val="clear" w:color="auto" w:fill="CCE2ED"/>
          </w:tcPr>
          <w:p w14:paraId="177E5482" w14:textId="77777777" w:rsidR="00141B97" w:rsidRDefault="00911D63">
            <w:pPr>
              <w:pStyle w:val="TableParagraph"/>
              <w:spacing w:before="22"/>
              <w:ind w:right="94"/>
              <w:jc w:val="right"/>
              <w:rPr>
                <w:sz w:val="16"/>
              </w:rPr>
            </w:pPr>
            <w:r>
              <w:rPr>
                <w:spacing w:val="-4"/>
                <w:sz w:val="16"/>
              </w:rPr>
              <w:t>0.34</w:t>
            </w:r>
          </w:p>
        </w:tc>
        <w:tc>
          <w:tcPr>
            <w:tcW w:w="1225" w:type="dxa"/>
            <w:shd w:val="clear" w:color="auto" w:fill="CCE2ED"/>
          </w:tcPr>
          <w:p w14:paraId="647CC07D" w14:textId="77777777" w:rsidR="00141B97" w:rsidRDefault="00911D63">
            <w:pPr>
              <w:pStyle w:val="TableParagraph"/>
              <w:spacing w:before="22"/>
              <w:ind w:right="93"/>
              <w:jc w:val="right"/>
              <w:rPr>
                <w:sz w:val="16"/>
              </w:rPr>
            </w:pPr>
            <w:r>
              <w:rPr>
                <w:spacing w:val="-4"/>
                <w:sz w:val="16"/>
              </w:rPr>
              <w:t>0.40</w:t>
            </w:r>
          </w:p>
        </w:tc>
        <w:tc>
          <w:tcPr>
            <w:tcW w:w="1022" w:type="dxa"/>
            <w:tcBorders>
              <w:right w:val="nil"/>
            </w:tcBorders>
            <w:shd w:val="clear" w:color="auto" w:fill="CCE2ED"/>
          </w:tcPr>
          <w:p w14:paraId="20F15D45" w14:textId="77777777" w:rsidR="00141B97" w:rsidRDefault="00911D63">
            <w:pPr>
              <w:pStyle w:val="TableParagraph"/>
              <w:spacing w:before="22"/>
              <w:ind w:right="83"/>
              <w:jc w:val="right"/>
              <w:rPr>
                <w:sz w:val="16"/>
              </w:rPr>
            </w:pPr>
            <w:r>
              <w:rPr>
                <w:spacing w:val="-4"/>
                <w:sz w:val="16"/>
              </w:rPr>
              <w:t>2.75</w:t>
            </w:r>
          </w:p>
        </w:tc>
      </w:tr>
      <w:tr w:rsidR="00141B97" w14:paraId="2D77A28D" w14:textId="77777777">
        <w:trPr>
          <w:trHeight w:val="239"/>
          <w:tblCellSpacing w:w="9" w:type="dxa"/>
        </w:trPr>
        <w:tc>
          <w:tcPr>
            <w:tcW w:w="5249" w:type="dxa"/>
            <w:tcBorders>
              <w:left w:val="nil"/>
            </w:tcBorders>
            <w:shd w:val="clear" w:color="auto" w:fill="CCE2ED"/>
          </w:tcPr>
          <w:p w14:paraId="516EFE6D" w14:textId="77777777" w:rsidR="00141B97" w:rsidRDefault="00911D63">
            <w:pPr>
              <w:pStyle w:val="TableParagraph"/>
              <w:spacing w:before="22"/>
              <w:ind w:left="88"/>
              <w:rPr>
                <w:sz w:val="16"/>
              </w:rPr>
            </w:pPr>
            <w:r>
              <w:rPr>
                <w:sz w:val="16"/>
              </w:rPr>
              <w:t>Computer</w:t>
            </w:r>
            <w:r>
              <w:rPr>
                <w:spacing w:val="-6"/>
                <w:sz w:val="16"/>
              </w:rPr>
              <w:t xml:space="preserve"> </w:t>
            </w:r>
            <w:r>
              <w:rPr>
                <w:sz w:val="16"/>
              </w:rPr>
              <w:t>Equipment</w:t>
            </w:r>
            <w:r>
              <w:rPr>
                <w:spacing w:val="-4"/>
                <w:sz w:val="16"/>
              </w:rPr>
              <w:t xml:space="preserve"> </w:t>
            </w:r>
            <w:r>
              <w:rPr>
                <w:sz w:val="16"/>
              </w:rPr>
              <w:t>‐</w:t>
            </w:r>
            <w:r>
              <w:rPr>
                <w:spacing w:val="-5"/>
                <w:sz w:val="16"/>
              </w:rPr>
              <w:t xml:space="preserve"> </w:t>
            </w:r>
            <w:r>
              <w:rPr>
                <w:sz w:val="16"/>
              </w:rPr>
              <w:t>Urban</w:t>
            </w:r>
            <w:r>
              <w:rPr>
                <w:spacing w:val="-6"/>
                <w:sz w:val="16"/>
              </w:rPr>
              <w:t xml:space="preserve"> </w:t>
            </w:r>
            <w:r>
              <w:rPr>
                <w:sz w:val="16"/>
              </w:rPr>
              <w:t>‐</w:t>
            </w:r>
            <w:r>
              <w:rPr>
                <w:spacing w:val="-5"/>
                <w:sz w:val="16"/>
              </w:rPr>
              <w:t xml:space="preserve"> </w:t>
            </w:r>
            <w:r>
              <w:rPr>
                <w:spacing w:val="-2"/>
                <w:sz w:val="16"/>
              </w:rPr>
              <w:t>Water</w:t>
            </w:r>
          </w:p>
        </w:tc>
        <w:tc>
          <w:tcPr>
            <w:tcW w:w="1375" w:type="dxa"/>
            <w:shd w:val="clear" w:color="auto" w:fill="CCE2ED"/>
          </w:tcPr>
          <w:p w14:paraId="2A236B8C"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2BE1AC6F"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0BA0D83F" w14:textId="77777777" w:rsidR="00141B97" w:rsidRDefault="00911D63">
            <w:pPr>
              <w:pStyle w:val="TableParagraph"/>
              <w:spacing w:before="22"/>
              <w:ind w:right="95"/>
              <w:jc w:val="right"/>
              <w:rPr>
                <w:sz w:val="16"/>
              </w:rPr>
            </w:pPr>
            <w:r>
              <w:rPr>
                <w:spacing w:val="-4"/>
                <w:sz w:val="16"/>
              </w:rPr>
              <w:t>0.19</w:t>
            </w:r>
          </w:p>
        </w:tc>
        <w:tc>
          <w:tcPr>
            <w:tcW w:w="1227" w:type="dxa"/>
            <w:shd w:val="clear" w:color="auto" w:fill="CCE2ED"/>
          </w:tcPr>
          <w:p w14:paraId="3494AC06" w14:textId="77777777" w:rsidR="00141B97" w:rsidRDefault="00911D63">
            <w:pPr>
              <w:pStyle w:val="TableParagraph"/>
              <w:spacing w:before="22"/>
              <w:ind w:right="95"/>
              <w:jc w:val="right"/>
              <w:rPr>
                <w:sz w:val="16"/>
              </w:rPr>
            </w:pPr>
            <w:r>
              <w:rPr>
                <w:spacing w:val="-4"/>
                <w:sz w:val="16"/>
              </w:rPr>
              <w:t>0.22</w:t>
            </w:r>
          </w:p>
        </w:tc>
        <w:tc>
          <w:tcPr>
            <w:tcW w:w="1226" w:type="dxa"/>
            <w:shd w:val="clear" w:color="auto" w:fill="CCE2ED"/>
          </w:tcPr>
          <w:p w14:paraId="4698326E" w14:textId="77777777" w:rsidR="00141B97" w:rsidRDefault="00911D63">
            <w:pPr>
              <w:pStyle w:val="TableParagraph"/>
              <w:spacing w:before="22"/>
              <w:ind w:right="94"/>
              <w:jc w:val="right"/>
              <w:rPr>
                <w:sz w:val="16"/>
              </w:rPr>
            </w:pPr>
            <w:r>
              <w:rPr>
                <w:spacing w:val="-4"/>
                <w:sz w:val="16"/>
              </w:rPr>
              <w:t>0.19</w:t>
            </w:r>
          </w:p>
        </w:tc>
        <w:tc>
          <w:tcPr>
            <w:tcW w:w="1226" w:type="dxa"/>
            <w:shd w:val="clear" w:color="auto" w:fill="CCE2ED"/>
          </w:tcPr>
          <w:p w14:paraId="57D36E0A" w14:textId="77777777" w:rsidR="00141B97" w:rsidRDefault="00911D63">
            <w:pPr>
              <w:pStyle w:val="TableParagraph"/>
              <w:spacing w:before="22"/>
              <w:ind w:right="94"/>
              <w:jc w:val="right"/>
              <w:rPr>
                <w:sz w:val="16"/>
              </w:rPr>
            </w:pPr>
            <w:r>
              <w:rPr>
                <w:spacing w:val="-4"/>
                <w:sz w:val="16"/>
              </w:rPr>
              <w:t>0.19</w:t>
            </w:r>
          </w:p>
        </w:tc>
        <w:tc>
          <w:tcPr>
            <w:tcW w:w="1225" w:type="dxa"/>
            <w:shd w:val="clear" w:color="auto" w:fill="CCE2ED"/>
          </w:tcPr>
          <w:p w14:paraId="65316BCB" w14:textId="77777777" w:rsidR="00141B97" w:rsidRDefault="00911D63">
            <w:pPr>
              <w:pStyle w:val="TableParagraph"/>
              <w:spacing w:before="22"/>
              <w:ind w:right="93"/>
              <w:jc w:val="right"/>
              <w:rPr>
                <w:sz w:val="16"/>
              </w:rPr>
            </w:pPr>
            <w:r>
              <w:rPr>
                <w:spacing w:val="-4"/>
                <w:sz w:val="16"/>
              </w:rPr>
              <w:t>0.20</w:t>
            </w:r>
          </w:p>
        </w:tc>
        <w:tc>
          <w:tcPr>
            <w:tcW w:w="1022" w:type="dxa"/>
            <w:tcBorders>
              <w:right w:val="nil"/>
            </w:tcBorders>
            <w:shd w:val="clear" w:color="auto" w:fill="CCE2ED"/>
          </w:tcPr>
          <w:p w14:paraId="340135BF" w14:textId="77777777" w:rsidR="00141B97" w:rsidRDefault="00911D63">
            <w:pPr>
              <w:pStyle w:val="TableParagraph"/>
              <w:spacing w:before="22"/>
              <w:ind w:right="83"/>
              <w:jc w:val="right"/>
              <w:rPr>
                <w:sz w:val="16"/>
              </w:rPr>
            </w:pPr>
            <w:r>
              <w:rPr>
                <w:spacing w:val="-4"/>
                <w:sz w:val="16"/>
              </w:rPr>
              <w:t>0.98</w:t>
            </w:r>
          </w:p>
        </w:tc>
      </w:tr>
      <w:tr w:rsidR="00141B97" w14:paraId="4D91DCAF" w14:textId="77777777">
        <w:trPr>
          <w:trHeight w:val="240"/>
          <w:tblCellSpacing w:w="9" w:type="dxa"/>
        </w:trPr>
        <w:tc>
          <w:tcPr>
            <w:tcW w:w="5249" w:type="dxa"/>
            <w:tcBorders>
              <w:left w:val="nil"/>
              <w:bottom w:val="nil"/>
            </w:tcBorders>
            <w:shd w:val="clear" w:color="auto" w:fill="CCE2ED"/>
          </w:tcPr>
          <w:p w14:paraId="61A3BD9B" w14:textId="77777777" w:rsidR="00141B97" w:rsidRDefault="00911D63">
            <w:pPr>
              <w:pStyle w:val="TableParagraph"/>
              <w:spacing w:before="22"/>
              <w:ind w:left="88"/>
              <w:rPr>
                <w:sz w:val="16"/>
              </w:rPr>
            </w:pPr>
            <w:r>
              <w:rPr>
                <w:sz w:val="16"/>
              </w:rPr>
              <w:t>Computer</w:t>
            </w:r>
            <w:r>
              <w:rPr>
                <w:spacing w:val="-6"/>
                <w:sz w:val="16"/>
              </w:rPr>
              <w:t xml:space="preserve"> </w:t>
            </w:r>
            <w:r>
              <w:rPr>
                <w:sz w:val="16"/>
              </w:rPr>
              <w:t>Equipment</w:t>
            </w:r>
            <w:r>
              <w:rPr>
                <w:spacing w:val="-4"/>
                <w:sz w:val="16"/>
              </w:rPr>
              <w:t xml:space="preserve"> </w:t>
            </w:r>
            <w:r>
              <w:rPr>
                <w:sz w:val="16"/>
              </w:rPr>
              <w:t>‐</w:t>
            </w:r>
            <w:r>
              <w:rPr>
                <w:spacing w:val="-5"/>
                <w:sz w:val="16"/>
              </w:rPr>
              <w:t xml:space="preserve"> </w:t>
            </w:r>
            <w:r>
              <w:rPr>
                <w:sz w:val="16"/>
              </w:rPr>
              <w:t>Urban</w:t>
            </w:r>
            <w:r>
              <w:rPr>
                <w:spacing w:val="-6"/>
                <w:sz w:val="16"/>
              </w:rPr>
              <w:t xml:space="preserve"> </w:t>
            </w:r>
            <w:r>
              <w:rPr>
                <w:sz w:val="16"/>
              </w:rPr>
              <w:t>‐</w:t>
            </w:r>
            <w:r>
              <w:rPr>
                <w:spacing w:val="-5"/>
                <w:sz w:val="16"/>
              </w:rPr>
              <w:t xml:space="preserve"> </w:t>
            </w:r>
            <w:r>
              <w:rPr>
                <w:spacing w:val="-2"/>
                <w:sz w:val="16"/>
              </w:rPr>
              <w:t>Sewerage</w:t>
            </w:r>
          </w:p>
        </w:tc>
        <w:tc>
          <w:tcPr>
            <w:tcW w:w="1375" w:type="dxa"/>
            <w:tcBorders>
              <w:bottom w:val="nil"/>
            </w:tcBorders>
            <w:shd w:val="clear" w:color="auto" w:fill="CCE2ED"/>
          </w:tcPr>
          <w:p w14:paraId="61ADE0F6" w14:textId="77777777" w:rsidR="00141B97" w:rsidRDefault="00911D63">
            <w:pPr>
              <w:pStyle w:val="TableParagraph"/>
              <w:spacing w:before="22"/>
              <w:ind w:right="96"/>
              <w:jc w:val="right"/>
              <w:rPr>
                <w:sz w:val="16"/>
              </w:rPr>
            </w:pPr>
            <w:r>
              <w:rPr>
                <w:spacing w:val="-2"/>
                <w:sz w:val="16"/>
              </w:rPr>
              <w:t>Sewerage</w:t>
            </w:r>
          </w:p>
        </w:tc>
        <w:tc>
          <w:tcPr>
            <w:tcW w:w="1886" w:type="dxa"/>
            <w:tcBorders>
              <w:bottom w:val="nil"/>
            </w:tcBorders>
            <w:shd w:val="clear" w:color="auto" w:fill="CCE2ED"/>
          </w:tcPr>
          <w:p w14:paraId="669C2EA8" w14:textId="77777777" w:rsidR="00141B97" w:rsidRDefault="00911D63">
            <w:pPr>
              <w:pStyle w:val="TableParagraph"/>
              <w:spacing w:before="22"/>
              <w:ind w:right="97"/>
              <w:jc w:val="right"/>
              <w:rPr>
                <w:sz w:val="16"/>
              </w:rPr>
            </w:pPr>
            <w:r>
              <w:rPr>
                <w:spacing w:val="-2"/>
                <w:sz w:val="16"/>
              </w:rPr>
              <w:t>Renewals</w:t>
            </w:r>
          </w:p>
        </w:tc>
        <w:tc>
          <w:tcPr>
            <w:tcW w:w="1226" w:type="dxa"/>
            <w:tcBorders>
              <w:bottom w:val="nil"/>
            </w:tcBorders>
            <w:shd w:val="clear" w:color="auto" w:fill="CCE2ED"/>
          </w:tcPr>
          <w:p w14:paraId="10B6D573" w14:textId="77777777" w:rsidR="00141B97" w:rsidRDefault="00911D63">
            <w:pPr>
              <w:pStyle w:val="TableParagraph"/>
              <w:spacing w:before="22"/>
              <w:ind w:right="95"/>
              <w:jc w:val="right"/>
              <w:rPr>
                <w:sz w:val="16"/>
              </w:rPr>
            </w:pPr>
            <w:r>
              <w:rPr>
                <w:spacing w:val="-4"/>
                <w:sz w:val="16"/>
              </w:rPr>
              <w:t>0.16</w:t>
            </w:r>
          </w:p>
        </w:tc>
        <w:tc>
          <w:tcPr>
            <w:tcW w:w="1227" w:type="dxa"/>
            <w:tcBorders>
              <w:bottom w:val="nil"/>
            </w:tcBorders>
            <w:shd w:val="clear" w:color="auto" w:fill="CCE2ED"/>
          </w:tcPr>
          <w:p w14:paraId="51275E44" w14:textId="77777777" w:rsidR="00141B97" w:rsidRDefault="00911D63">
            <w:pPr>
              <w:pStyle w:val="TableParagraph"/>
              <w:spacing w:before="22"/>
              <w:ind w:right="95"/>
              <w:jc w:val="right"/>
              <w:rPr>
                <w:sz w:val="16"/>
              </w:rPr>
            </w:pPr>
            <w:r>
              <w:rPr>
                <w:spacing w:val="-4"/>
                <w:sz w:val="16"/>
              </w:rPr>
              <w:t>0.18</w:t>
            </w:r>
          </w:p>
        </w:tc>
        <w:tc>
          <w:tcPr>
            <w:tcW w:w="1226" w:type="dxa"/>
            <w:tcBorders>
              <w:bottom w:val="nil"/>
            </w:tcBorders>
            <w:shd w:val="clear" w:color="auto" w:fill="CCE2ED"/>
          </w:tcPr>
          <w:p w14:paraId="6E582719" w14:textId="77777777" w:rsidR="00141B97" w:rsidRDefault="00911D63">
            <w:pPr>
              <w:pStyle w:val="TableParagraph"/>
              <w:spacing w:before="22"/>
              <w:ind w:right="94"/>
              <w:jc w:val="right"/>
              <w:rPr>
                <w:sz w:val="16"/>
              </w:rPr>
            </w:pPr>
            <w:r>
              <w:rPr>
                <w:spacing w:val="-4"/>
                <w:sz w:val="16"/>
              </w:rPr>
              <w:t>0.16</w:t>
            </w:r>
          </w:p>
        </w:tc>
        <w:tc>
          <w:tcPr>
            <w:tcW w:w="1226" w:type="dxa"/>
            <w:tcBorders>
              <w:bottom w:val="nil"/>
            </w:tcBorders>
            <w:shd w:val="clear" w:color="auto" w:fill="CCE2ED"/>
          </w:tcPr>
          <w:p w14:paraId="46E0E677" w14:textId="77777777" w:rsidR="00141B97" w:rsidRDefault="00911D63">
            <w:pPr>
              <w:pStyle w:val="TableParagraph"/>
              <w:spacing w:before="22"/>
              <w:ind w:right="94"/>
              <w:jc w:val="right"/>
              <w:rPr>
                <w:sz w:val="16"/>
              </w:rPr>
            </w:pPr>
            <w:r>
              <w:rPr>
                <w:spacing w:val="-4"/>
                <w:sz w:val="16"/>
              </w:rPr>
              <w:t>0.16</w:t>
            </w:r>
          </w:p>
        </w:tc>
        <w:tc>
          <w:tcPr>
            <w:tcW w:w="1225" w:type="dxa"/>
            <w:tcBorders>
              <w:bottom w:val="nil"/>
            </w:tcBorders>
            <w:shd w:val="clear" w:color="auto" w:fill="CCE2ED"/>
          </w:tcPr>
          <w:p w14:paraId="3CF62ACA" w14:textId="77777777" w:rsidR="00141B97" w:rsidRDefault="00911D63">
            <w:pPr>
              <w:pStyle w:val="TableParagraph"/>
              <w:spacing w:before="22"/>
              <w:ind w:right="93"/>
              <w:jc w:val="right"/>
              <w:rPr>
                <w:sz w:val="16"/>
              </w:rPr>
            </w:pPr>
            <w:r>
              <w:rPr>
                <w:spacing w:val="-4"/>
                <w:sz w:val="16"/>
              </w:rPr>
              <w:t>0.17</w:t>
            </w:r>
          </w:p>
        </w:tc>
        <w:tc>
          <w:tcPr>
            <w:tcW w:w="1022" w:type="dxa"/>
            <w:tcBorders>
              <w:bottom w:val="nil"/>
              <w:right w:val="nil"/>
            </w:tcBorders>
            <w:shd w:val="clear" w:color="auto" w:fill="CCE2ED"/>
          </w:tcPr>
          <w:p w14:paraId="4AD44CC4" w14:textId="77777777" w:rsidR="00141B97" w:rsidRDefault="00911D63">
            <w:pPr>
              <w:pStyle w:val="TableParagraph"/>
              <w:spacing w:before="22"/>
              <w:ind w:right="83"/>
              <w:jc w:val="right"/>
              <w:rPr>
                <w:sz w:val="16"/>
              </w:rPr>
            </w:pPr>
            <w:r>
              <w:rPr>
                <w:spacing w:val="-4"/>
                <w:sz w:val="16"/>
              </w:rPr>
              <w:t>0.84</w:t>
            </w:r>
          </w:p>
        </w:tc>
      </w:tr>
    </w:tbl>
    <w:p w14:paraId="6FCC0B79" w14:textId="77777777" w:rsidR="00141B97" w:rsidRDefault="00141B97">
      <w:pPr>
        <w:jc w:val="right"/>
        <w:rPr>
          <w:sz w:val="16"/>
        </w:rPr>
        <w:sectPr w:rsidR="00141B97">
          <w:pgSz w:w="16840" w:h="11910" w:orient="landscape"/>
          <w:pgMar w:top="840" w:right="600" w:bottom="540" w:left="300" w:header="0" w:footer="345" w:gutter="0"/>
          <w:cols w:space="720"/>
        </w:sectPr>
      </w:pPr>
    </w:p>
    <w:p w14:paraId="01E1225D" w14:textId="77777777" w:rsidR="00141B97" w:rsidRDefault="00141B97">
      <w:pPr>
        <w:pStyle w:val="BodyText"/>
        <w:spacing w:before="1"/>
        <w:rPr>
          <w:sz w:val="2"/>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276"/>
        <w:gridCol w:w="1393"/>
        <w:gridCol w:w="1904"/>
        <w:gridCol w:w="1244"/>
        <w:gridCol w:w="1245"/>
        <w:gridCol w:w="1244"/>
        <w:gridCol w:w="1244"/>
        <w:gridCol w:w="1243"/>
        <w:gridCol w:w="1049"/>
      </w:tblGrid>
      <w:tr w:rsidR="00141B97" w14:paraId="6EA98B9E" w14:textId="77777777">
        <w:trPr>
          <w:trHeight w:val="480"/>
          <w:tblCellSpacing w:w="9" w:type="dxa"/>
        </w:trPr>
        <w:tc>
          <w:tcPr>
            <w:tcW w:w="5249" w:type="dxa"/>
            <w:tcBorders>
              <w:top w:val="nil"/>
              <w:left w:val="nil"/>
            </w:tcBorders>
            <w:shd w:val="clear" w:color="auto" w:fill="006CA3"/>
          </w:tcPr>
          <w:p w14:paraId="34EFF193" w14:textId="77777777" w:rsidR="00141B97" w:rsidRDefault="00911D63">
            <w:pPr>
              <w:pStyle w:val="TableParagraph"/>
              <w:spacing w:before="143"/>
              <w:ind w:left="88"/>
              <w:rPr>
                <w:sz w:val="16"/>
              </w:rPr>
            </w:pPr>
            <w:r>
              <w:rPr>
                <w:color w:val="FFFFFF"/>
                <w:w w:val="95"/>
                <w:sz w:val="16"/>
              </w:rPr>
              <w:t>Project/program</w:t>
            </w:r>
            <w:r>
              <w:rPr>
                <w:color w:val="FFFFFF"/>
                <w:spacing w:val="40"/>
                <w:sz w:val="16"/>
              </w:rPr>
              <w:t xml:space="preserve"> </w:t>
            </w:r>
            <w:r>
              <w:rPr>
                <w:color w:val="FFFFFF"/>
                <w:spacing w:val="-4"/>
                <w:w w:val="95"/>
                <w:sz w:val="16"/>
              </w:rPr>
              <w:t>Name</w:t>
            </w:r>
          </w:p>
        </w:tc>
        <w:tc>
          <w:tcPr>
            <w:tcW w:w="1375" w:type="dxa"/>
            <w:tcBorders>
              <w:top w:val="nil"/>
            </w:tcBorders>
            <w:shd w:val="clear" w:color="auto" w:fill="006CA3"/>
          </w:tcPr>
          <w:p w14:paraId="74135930" w14:textId="77777777" w:rsidR="00141B97" w:rsidRDefault="00911D63">
            <w:pPr>
              <w:pStyle w:val="TableParagraph"/>
              <w:spacing w:before="143"/>
              <w:ind w:right="94"/>
              <w:jc w:val="right"/>
              <w:rPr>
                <w:sz w:val="16"/>
              </w:rPr>
            </w:pPr>
            <w:r>
              <w:rPr>
                <w:color w:val="F1F1F1"/>
                <w:spacing w:val="-2"/>
                <w:sz w:val="16"/>
              </w:rPr>
              <w:t>Service</w:t>
            </w:r>
          </w:p>
        </w:tc>
        <w:tc>
          <w:tcPr>
            <w:tcW w:w="1886" w:type="dxa"/>
            <w:tcBorders>
              <w:top w:val="nil"/>
            </w:tcBorders>
            <w:shd w:val="clear" w:color="auto" w:fill="006CA3"/>
          </w:tcPr>
          <w:p w14:paraId="25516D8A" w14:textId="77777777" w:rsidR="00141B97" w:rsidRDefault="00911D63">
            <w:pPr>
              <w:pStyle w:val="TableParagraph"/>
              <w:spacing w:before="143"/>
              <w:ind w:right="94"/>
              <w:jc w:val="right"/>
              <w:rPr>
                <w:sz w:val="16"/>
              </w:rPr>
            </w:pPr>
            <w:r>
              <w:rPr>
                <w:color w:val="F1F1F1"/>
                <w:sz w:val="16"/>
              </w:rPr>
              <w:t>Major</w:t>
            </w:r>
            <w:r>
              <w:rPr>
                <w:color w:val="F1F1F1"/>
                <w:spacing w:val="-6"/>
                <w:sz w:val="16"/>
              </w:rPr>
              <w:t xml:space="preserve"> </w:t>
            </w:r>
            <w:r>
              <w:rPr>
                <w:color w:val="F1F1F1"/>
                <w:sz w:val="16"/>
              </w:rPr>
              <w:t>cost</w:t>
            </w:r>
            <w:r>
              <w:rPr>
                <w:color w:val="F1F1F1"/>
                <w:spacing w:val="-4"/>
                <w:sz w:val="16"/>
              </w:rPr>
              <w:t xml:space="preserve"> </w:t>
            </w:r>
            <w:r>
              <w:rPr>
                <w:color w:val="F1F1F1"/>
                <w:spacing w:val="-2"/>
                <w:sz w:val="16"/>
              </w:rPr>
              <w:t>driver</w:t>
            </w:r>
          </w:p>
        </w:tc>
        <w:tc>
          <w:tcPr>
            <w:tcW w:w="1226" w:type="dxa"/>
            <w:tcBorders>
              <w:top w:val="nil"/>
            </w:tcBorders>
            <w:shd w:val="clear" w:color="auto" w:fill="006CA3"/>
          </w:tcPr>
          <w:p w14:paraId="3FE41E93" w14:textId="77777777" w:rsidR="00141B97" w:rsidRDefault="00911D63">
            <w:pPr>
              <w:pStyle w:val="TableParagraph"/>
              <w:spacing w:before="143"/>
              <w:ind w:right="92"/>
              <w:jc w:val="right"/>
              <w:rPr>
                <w:sz w:val="16"/>
              </w:rPr>
            </w:pPr>
            <w:r>
              <w:rPr>
                <w:color w:val="F1F1F1"/>
                <w:spacing w:val="-2"/>
                <w:sz w:val="16"/>
              </w:rPr>
              <w:t>2023‐24</w:t>
            </w:r>
          </w:p>
        </w:tc>
        <w:tc>
          <w:tcPr>
            <w:tcW w:w="1227" w:type="dxa"/>
            <w:tcBorders>
              <w:top w:val="nil"/>
            </w:tcBorders>
            <w:shd w:val="clear" w:color="auto" w:fill="006CA3"/>
          </w:tcPr>
          <w:p w14:paraId="2D75C645" w14:textId="77777777" w:rsidR="00141B97" w:rsidRDefault="00911D63">
            <w:pPr>
              <w:pStyle w:val="TableParagraph"/>
              <w:spacing w:before="143"/>
              <w:ind w:right="93"/>
              <w:jc w:val="right"/>
              <w:rPr>
                <w:sz w:val="16"/>
              </w:rPr>
            </w:pPr>
            <w:r>
              <w:rPr>
                <w:color w:val="F1F1F1"/>
                <w:spacing w:val="-2"/>
                <w:sz w:val="16"/>
              </w:rPr>
              <w:t>2024‐25</w:t>
            </w:r>
          </w:p>
        </w:tc>
        <w:tc>
          <w:tcPr>
            <w:tcW w:w="1226" w:type="dxa"/>
            <w:tcBorders>
              <w:top w:val="nil"/>
            </w:tcBorders>
            <w:shd w:val="clear" w:color="auto" w:fill="006CA3"/>
          </w:tcPr>
          <w:p w14:paraId="1A4408E1" w14:textId="77777777" w:rsidR="00141B97" w:rsidRDefault="00911D63">
            <w:pPr>
              <w:pStyle w:val="TableParagraph"/>
              <w:spacing w:before="143"/>
              <w:ind w:right="91"/>
              <w:jc w:val="right"/>
              <w:rPr>
                <w:sz w:val="16"/>
              </w:rPr>
            </w:pPr>
            <w:r>
              <w:rPr>
                <w:color w:val="F1F1F1"/>
                <w:spacing w:val="-2"/>
                <w:sz w:val="16"/>
              </w:rPr>
              <w:t>2025‐26</w:t>
            </w:r>
          </w:p>
        </w:tc>
        <w:tc>
          <w:tcPr>
            <w:tcW w:w="1226" w:type="dxa"/>
            <w:tcBorders>
              <w:top w:val="nil"/>
            </w:tcBorders>
            <w:shd w:val="clear" w:color="auto" w:fill="006CA3"/>
          </w:tcPr>
          <w:p w14:paraId="3F1561FA" w14:textId="77777777" w:rsidR="00141B97" w:rsidRDefault="00911D63">
            <w:pPr>
              <w:pStyle w:val="TableParagraph"/>
              <w:spacing w:before="143"/>
              <w:ind w:right="92"/>
              <w:jc w:val="right"/>
              <w:rPr>
                <w:sz w:val="16"/>
              </w:rPr>
            </w:pPr>
            <w:r>
              <w:rPr>
                <w:color w:val="F1F1F1"/>
                <w:spacing w:val="-2"/>
                <w:sz w:val="16"/>
              </w:rPr>
              <w:t>2026‐27</w:t>
            </w:r>
          </w:p>
        </w:tc>
        <w:tc>
          <w:tcPr>
            <w:tcW w:w="1225" w:type="dxa"/>
            <w:tcBorders>
              <w:top w:val="nil"/>
            </w:tcBorders>
            <w:shd w:val="clear" w:color="auto" w:fill="006CA3"/>
          </w:tcPr>
          <w:p w14:paraId="325C7D2D" w14:textId="77777777" w:rsidR="00141B97" w:rsidRDefault="00911D63">
            <w:pPr>
              <w:pStyle w:val="TableParagraph"/>
              <w:spacing w:before="143"/>
              <w:ind w:right="91"/>
              <w:jc w:val="right"/>
              <w:rPr>
                <w:sz w:val="16"/>
              </w:rPr>
            </w:pPr>
            <w:r>
              <w:rPr>
                <w:color w:val="F1F1F1"/>
                <w:spacing w:val="-2"/>
                <w:sz w:val="16"/>
              </w:rPr>
              <w:t>2027‐28</w:t>
            </w:r>
          </w:p>
        </w:tc>
        <w:tc>
          <w:tcPr>
            <w:tcW w:w="1022" w:type="dxa"/>
            <w:tcBorders>
              <w:top w:val="nil"/>
              <w:right w:val="nil"/>
            </w:tcBorders>
            <w:shd w:val="clear" w:color="auto" w:fill="006CA3"/>
          </w:tcPr>
          <w:p w14:paraId="213AFA85" w14:textId="77777777" w:rsidR="00141B97" w:rsidRDefault="00911D63">
            <w:pPr>
              <w:pStyle w:val="TableParagraph"/>
              <w:spacing w:before="143"/>
              <w:ind w:right="81"/>
              <w:jc w:val="right"/>
              <w:rPr>
                <w:sz w:val="16"/>
              </w:rPr>
            </w:pPr>
            <w:r>
              <w:rPr>
                <w:color w:val="F1F1F1"/>
                <w:spacing w:val="-2"/>
                <w:sz w:val="16"/>
              </w:rPr>
              <w:t>TOTAL</w:t>
            </w:r>
          </w:p>
        </w:tc>
      </w:tr>
      <w:tr w:rsidR="00141B97" w14:paraId="7280A6AD" w14:textId="77777777">
        <w:trPr>
          <w:trHeight w:val="480"/>
          <w:tblCellSpacing w:w="9" w:type="dxa"/>
        </w:trPr>
        <w:tc>
          <w:tcPr>
            <w:tcW w:w="5249" w:type="dxa"/>
            <w:tcBorders>
              <w:left w:val="nil"/>
            </w:tcBorders>
            <w:shd w:val="clear" w:color="auto" w:fill="CCE2ED"/>
          </w:tcPr>
          <w:p w14:paraId="795E1B4A" w14:textId="77777777" w:rsidR="00141B97" w:rsidRDefault="00911D63">
            <w:pPr>
              <w:pStyle w:val="TableParagraph"/>
              <w:spacing w:before="142"/>
              <w:ind w:left="88"/>
              <w:rPr>
                <w:sz w:val="16"/>
              </w:rPr>
            </w:pPr>
            <w:r>
              <w:rPr>
                <w:sz w:val="16"/>
              </w:rPr>
              <w:t>Business</w:t>
            </w:r>
            <w:r>
              <w:rPr>
                <w:spacing w:val="-10"/>
                <w:sz w:val="16"/>
              </w:rPr>
              <w:t xml:space="preserve"> </w:t>
            </w:r>
            <w:r>
              <w:rPr>
                <w:sz w:val="16"/>
              </w:rPr>
              <w:t>Transformation</w:t>
            </w:r>
            <w:r>
              <w:rPr>
                <w:spacing w:val="-9"/>
                <w:sz w:val="16"/>
              </w:rPr>
              <w:t xml:space="preserve"> </w:t>
            </w:r>
            <w:r>
              <w:rPr>
                <w:sz w:val="16"/>
              </w:rPr>
              <w:t>‐</w:t>
            </w:r>
            <w:r>
              <w:rPr>
                <w:spacing w:val="-8"/>
                <w:sz w:val="16"/>
              </w:rPr>
              <w:t xml:space="preserve"> </w:t>
            </w:r>
            <w:r>
              <w:rPr>
                <w:spacing w:val="-2"/>
                <w:sz w:val="16"/>
              </w:rPr>
              <w:t>Water</w:t>
            </w:r>
          </w:p>
        </w:tc>
        <w:tc>
          <w:tcPr>
            <w:tcW w:w="1375" w:type="dxa"/>
            <w:shd w:val="clear" w:color="auto" w:fill="CCE2ED"/>
          </w:tcPr>
          <w:p w14:paraId="2A49DF7E"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6F0FB71E" w14:textId="77777777" w:rsidR="00141B97" w:rsidRDefault="00911D63">
            <w:pPr>
              <w:pStyle w:val="TableParagraph"/>
              <w:spacing w:before="45"/>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48F0EBA4" w14:textId="77777777" w:rsidR="00141B97" w:rsidRDefault="00911D63">
            <w:pPr>
              <w:pStyle w:val="TableParagraph"/>
              <w:spacing w:before="142"/>
              <w:ind w:right="95"/>
              <w:jc w:val="right"/>
              <w:rPr>
                <w:sz w:val="16"/>
              </w:rPr>
            </w:pPr>
            <w:r>
              <w:rPr>
                <w:spacing w:val="-4"/>
                <w:sz w:val="16"/>
              </w:rPr>
              <w:t>1.26</w:t>
            </w:r>
          </w:p>
        </w:tc>
        <w:tc>
          <w:tcPr>
            <w:tcW w:w="1227" w:type="dxa"/>
            <w:shd w:val="clear" w:color="auto" w:fill="CCE2ED"/>
          </w:tcPr>
          <w:p w14:paraId="5D8CC23A" w14:textId="77777777" w:rsidR="00141B97" w:rsidRDefault="00911D63">
            <w:pPr>
              <w:pStyle w:val="TableParagraph"/>
              <w:spacing w:before="142"/>
              <w:ind w:right="95"/>
              <w:jc w:val="right"/>
              <w:rPr>
                <w:sz w:val="16"/>
              </w:rPr>
            </w:pPr>
            <w:r>
              <w:rPr>
                <w:spacing w:val="-4"/>
                <w:sz w:val="16"/>
              </w:rPr>
              <w:t>0.89</w:t>
            </w:r>
          </w:p>
        </w:tc>
        <w:tc>
          <w:tcPr>
            <w:tcW w:w="1226" w:type="dxa"/>
            <w:shd w:val="clear" w:color="auto" w:fill="CCE2ED"/>
          </w:tcPr>
          <w:p w14:paraId="7C040821" w14:textId="77777777" w:rsidR="00141B97" w:rsidRDefault="00911D63">
            <w:pPr>
              <w:pStyle w:val="TableParagraph"/>
              <w:spacing w:before="142"/>
              <w:ind w:right="94"/>
              <w:jc w:val="right"/>
              <w:rPr>
                <w:sz w:val="16"/>
              </w:rPr>
            </w:pPr>
            <w:r>
              <w:rPr>
                <w:spacing w:val="-4"/>
                <w:sz w:val="16"/>
              </w:rPr>
              <w:t>0.89</w:t>
            </w:r>
          </w:p>
        </w:tc>
        <w:tc>
          <w:tcPr>
            <w:tcW w:w="1226" w:type="dxa"/>
            <w:shd w:val="clear" w:color="auto" w:fill="CCE2ED"/>
          </w:tcPr>
          <w:p w14:paraId="41B8CAC1" w14:textId="77777777" w:rsidR="00141B97" w:rsidRDefault="00911D63">
            <w:pPr>
              <w:pStyle w:val="TableParagraph"/>
              <w:spacing w:before="142"/>
              <w:ind w:right="94"/>
              <w:jc w:val="right"/>
              <w:rPr>
                <w:sz w:val="16"/>
              </w:rPr>
            </w:pPr>
            <w:r>
              <w:rPr>
                <w:spacing w:val="-4"/>
                <w:sz w:val="16"/>
              </w:rPr>
              <w:t>0.27</w:t>
            </w:r>
          </w:p>
        </w:tc>
        <w:tc>
          <w:tcPr>
            <w:tcW w:w="1225" w:type="dxa"/>
            <w:shd w:val="clear" w:color="auto" w:fill="CCE2ED"/>
          </w:tcPr>
          <w:p w14:paraId="69473630" w14:textId="77777777" w:rsidR="00141B97" w:rsidRDefault="00911D63">
            <w:pPr>
              <w:pStyle w:val="TableParagraph"/>
              <w:spacing w:before="142"/>
              <w:ind w:right="93"/>
              <w:jc w:val="right"/>
              <w:rPr>
                <w:sz w:val="16"/>
              </w:rPr>
            </w:pPr>
            <w:r>
              <w:rPr>
                <w:spacing w:val="-4"/>
                <w:sz w:val="16"/>
              </w:rPr>
              <w:t>0.27</w:t>
            </w:r>
          </w:p>
        </w:tc>
        <w:tc>
          <w:tcPr>
            <w:tcW w:w="1022" w:type="dxa"/>
            <w:tcBorders>
              <w:right w:val="nil"/>
            </w:tcBorders>
            <w:shd w:val="clear" w:color="auto" w:fill="CCE2ED"/>
          </w:tcPr>
          <w:p w14:paraId="6BF6B4BD" w14:textId="77777777" w:rsidR="00141B97" w:rsidRDefault="00911D63">
            <w:pPr>
              <w:pStyle w:val="TableParagraph"/>
              <w:spacing w:before="142"/>
              <w:ind w:right="83"/>
              <w:jc w:val="right"/>
              <w:rPr>
                <w:sz w:val="16"/>
              </w:rPr>
            </w:pPr>
            <w:r>
              <w:rPr>
                <w:spacing w:val="-4"/>
                <w:sz w:val="16"/>
              </w:rPr>
              <w:t>3.57</w:t>
            </w:r>
          </w:p>
        </w:tc>
      </w:tr>
      <w:tr w:rsidR="00141B97" w14:paraId="2E492BBD" w14:textId="77777777">
        <w:trPr>
          <w:trHeight w:val="479"/>
          <w:tblCellSpacing w:w="9" w:type="dxa"/>
        </w:trPr>
        <w:tc>
          <w:tcPr>
            <w:tcW w:w="5249" w:type="dxa"/>
            <w:tcBorders>
              <w:left w:val="nil"/>
            </w:tcBorders>
            <w:shd w:val="clear" w:color="auto" w:fill="CCE2ED"/>
          </w:tcPr>
          <w:p w14:paraId="4C8729F7" w14:textId="77777777" w:rsidR="00141B97" w:rsidRDefault="00911D63">
            <w:pPr>
              <w:pStyle w:val="TableParagraph"/>
              <w:spacing w:before="142"/>
              <w:ind w:left="88"/>
              <w:rPr>
                <w:sz w:val="16"/>
              </w:rPr>
            </w:pPr>
            <w:r>
              <w:rPr>
                <w:sz w:val="16"/>
              </w:rPr>
              <w:t>Business</w:t>
            </w:r>
            <w:r>
              <w:rPr>
                <w:spacing w:val="-10"/>
                <w:sz w:val="16"/>
              </w:rPr>
              <w:t xml:space="preserve"> </w:t>
            </w:r>
            <w:r>
              <w:rPr>
                <w:sz w:val="16"/>
              </w:rPr>
              <w:t>Transformation</w:t>
            </w:r>
            <w:r>
              <w:rPr>
                <w:spacing w:val="-9"/>
                <w:sz w:val="16"/>
              </w:rPr>
              <w:t xml:space="preserve"> </w:t>
            </w:r>
            <w:r>
              <w:rPr>
                <w:sz w:val="16"/>
              </w:rPr>
              <w:t>‐</w:t>
            </w:r>
            <w:r>
              <w:rPr>
                <w:spacing w:val="-8"/>
                <w:sz w:val="16"/>
              </w:rPr>
              <w:t xml:space="preserve"> </w:t>
            </w:r>
            <w:r>
              <w:rPr>
                <w:spacing w:val="-2"/>
                <w:sz w:val="16"/>
              </w:rPr>
              <w:t>Sewerage</w:t>
            </w:r>
          </w:p>
        </w:tc>
        <w:tc>
          <w:tcPr>
            <w:tcW w:w="1375" w:type="dxa"/>
            <w:shd w:val="clear" w:color="auto" w:fill="CCE2ED"/>
          </w:tcPr>
          <w:p w14:paraId="7861D0F4" w14:textId="77777777" w:rsidR="00141B97" w:rsidRDefault="00911D63">
            <w:pPr>
              <w:pStyle w:val="TableParagraph"/>
              <w:spacing w:before="142"/>
              <w:ind w:right="96"/>
              <w:jc w:val="right"/>
              <w:rPr>
                <w:sz w:val="16"/>
              </w:rPr>
            </w:pPr>
            <w:r>
              <w:rPr>
                <w:spacing w:val="-2"/>
                <w:sz w:val="16"/>
              </w:rPr>
              <w:t>Sewerage</w:t>
            </w:r>
          </w:p>
        </w:tc>
        <w:tc>
          <w:tcPr>
            <w:tcW w:w="1886" w:type="dxa"/>
            <w:shd w:val="clear" w:color="auto" w:fill="CCE2ED"/>
          </w:tcPr>
          <w:p w14:paraId="5B9A13E1"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40F986AA" w14:textId="77777777" w:rsidR="00141B97" w:rsidRDefault="00911D63">
            <w:pPr>
              <w:pStyle w:val="TableParagraph"/>
              <w:spacing w:before="142"/>
              <w:ind w:right="95"/>
              <w:jc w:val="right"/>
              <w:rPr>
                <w:sz w:val="16"/>
              </w:rPr>
            </w:pPr>
            <w:r>
              <w:rPr>
                <w:spacing w:val="-4"/>
                <w:sz w:val="16"/>
              </w:rPr>
              <w:t>1.07</w:t>
            </w:r>
          </w:p>
        </w:tc>
        <w:tc>
          <w:tcPr>
            <w:tcW w:w="1227" w:type="dxa"/>
            <w:shd w:val="clear" w:color="auto" w:fill="CCE2ED"/>
          </w:tcPr>
          <w:p w14:paraId="3FAFFF20" w14:textId="77777777" w:rsidR="00141B97" w:rsidRDefault="00911D63">
            <w:pPr>
              <w:pStyle w:val="TableParagraph"/>
              <w:spacing w:before="142"/>
              <w:ind w:right="95"/>
              <w:jc w:val="right"/>
              <w:rPr>
                <w:sz w:val="16"/>
              </w:rPr>
            </w:pPr>
            <w:r>
              <w:rPr>
                <w:spacing w:val="-4"/>
                <w:sz w:val="16"/>
              </w:rPr>
              <w:t>0.76</w:t>
            </w:r>
          </w:p>
        </w:tc>
        <w:tc>
          <w:tcPr>
            <w:tcW w:w="1226" w:type="dxa"/>
            <w:shd w:val="clear" w:color="auto" w:fill="CCE2ED"/>
          </w:tcPr>
          <w:p w14:paraId="5DDB4085" w14:textId="77777777" w:rsidR="00141B97" w:rsidRDefault="00911D63">
            <w:pPr>
              <w:pStyle w:val="TableParagraph"/>
              <w:spacing w:before="142"/>
              <w:ind w:right="94"/>
              <w:jc w:val="right"/>
              <w:rPr>
                <w:sz w:val="16"/>
              </w:rPr>
            </w:pPr>
            <w:r>
              <w:rPr>
                <w:spacing w:val="-4"/>
                <w:sz w:val="16"/>
              </w:rPr>
              <w:t>0.76</w:t>
            </w:r>
          </w:p>
        </w:tc>
        <w:tc>
          <w:tcPr>
            <w:tcW w:w="1226" w:type="dxa"/>
            <w:shd w:val="clear" w:color="auto" w:fill="CCE2ED"/>
          </w:tcPr>
          <w:p w14:paraId="3F471C9C" w14:textId="77777777" w:rsidR="00141B97" w:rsidRDefault="00911D63">
            <w:pPr>
              <w:pStyle w:val="TableParagraph"/>
              <w:spacing w:before="142"/>
              <w:ind w:right="94"/>
              <w:jc w:val="right"/>
              <w:rPr>
                <w:sz w:val="16"/>
              </w:rPr>
            </w:pPr>
            <w:r>
              <w:rPr>
                <w:spacing w:val="-4"/>
                <w:sz w:val="16"/>
              </w:rPr>
              <w:t>0.23</w:t>
            </w:r>
          </w:p>
        </w:tc>
        <w:tc>
          <w:tcPr>
            <w:tcW w:w="1225" w:type="dxa"/>
            <w:shd w:val="clear" w:color="auto" w:fill="CCE2ED"/>
          </w:tcPr>
          <w:p w14:paraId="262174E6" w14:textId="77777777" w:rsidR="00141B97" w:rsidRDefault="00911D63">
            <w:pPr>
              <w:pStyle w:val="TableParagraph"/>
              <w:spacing w:before="142"/>
              <w:ind w:right="93"/>
              <w:jc w:val="right"/>
              <w:rPr>
                <w:sz w:val="16"/>
              </w:rPr>
            </w:pPr>
            <w:r>
              <w:rPr>
                <w:spacing w:val="-4"/>
                <w:sz w:val="16"/>
              </w:rPr>
              <w:t>0.23</w:t>
            </w:r>
          </w:p>
        </w:tc>
        <w:tc>
          <w:tcPr>
            <w:tcW w:w="1022" w:type="dxa"/>
            <w:tcBorders>
              <w:right w:val="nil"/>
            </w:tcBorders>
            <w:shd w:val="clear" w:color="auto" w:fill="CCE2ED"/>
          </w:tcPr>
          <w:p w14:paraId="6C8E686E" w14:textId="77777777" w:rsidR="00141B97" w:rsidRDefault="00911D63">
            <w:pPr>
              <w:pStyle w:val="TableParagraph"/>
              <w:spacing w:before="142"/>
              <w:ind w:right="83"/>
              <w:jc w:val="right"/>
              <w:rPr>
                <w:sz w:val="16"/>
              </w:rPr>
            </w:pPr>
            <w:r>
              <w:rPr>
                <w:spacing w:val="-4"/>
                <w:sz w:val="16"/>
              </w:rPr>
              <w:t>3.04</w:t>
            </w:r>
          </w:p>
        </w:tc>
      </w:tr>
      <w:tr w:rsidR="00141B97" w14:paraId="146B616F" w14:textId="77777777">
        <w:trPr>
          <w:trHeight w:val="240"/>
          <w:tblCellSpacing w:w="9" w:type="dxa"/>
        </w:trPr>
        <w:tc>
          <w:tcPr>
            <w:tcW w:w="5249" w:type="dxa"/>
            <w:tcBorders>
              <w:left w:val="nil"/>
            </w:tcBorders>
            <w:shd w:val="clear" w:color="auto" w:fill="CCE2ED"/>
          </w:tcPr>
          <w:p w14:paraId="481FBB2A" w14:textId="77777777" w:rsidR="00141B97" w:rsidRDefault="00911D63">
            <w:pPr>
              <w:pStyle w:val="TableParagraph"/>
              <w:spacing w:before="22"/>
              <w:ind w:left="88"/>
              <w:rPr>
                <w:sz w:val="16"/>
              </w:rPr>
            </w:pPr>
            <w:r>
              <w:rPr>
                <w:sz w:val="16"/>
              </w:rPr>
              <w:t>General</w:t>
            </w:r>
            <w:r>
              <w:rPr>
                <w:spacing w:val="-5"/>
                <w:sz w:val="16"/>
              </w:rPr>
              <w:t xml:space="preserve"> </w:t>
            </w:r>
            <w:r>
              <w:rPr>
                <w:sz w:val="16"/>
              </w:rPr>
              <w:t>Equipment</w:t>
            </w:r>
            <w:r>
              <w:rPr>
                <w:spacing w:val="-5"/>
                <w:sz w:val="16"/>
              </w:rPr>
              <w:t xml:space="preserve"> </w:t>
            </w:r>
            <w:r>
              <w:rPr>
                <w:sz w:val="16"/>
              </w:rPr>
              <w:t>‐</w:t>
            </w:r>
            <w:r>
              <w:rPr>
                <w:spacing w:val="-4"/>
                <w:sz w:val="16"/>
              </w:rPr>
              <w:t xml:space="preserve"> </w:t>
            </w:r>
            <w:r>
              <w:rPr>
                <w:sz w:val="16"/>
              </w:rPr>
              <w:t>Urban</w:t>
            </w:r>
            <w:r>
              <w:rPr>
                <w:spacing w:val="-5"/>
                <w:sz w:val="16"/>
              </w:rPr>
              <w:t xml:space="preserve"> </w:t>
            </w:r>
            <w:r>
              <w:rPr>
                <w:sz w:val="16"/>
              </w:rPr>
              <w:t>‐</w:t>
            </w:r>
            <w:r>
              <w:rPr>
                <w:spacing w:val="-5"/>
                <w:sz w:val="16"/>
              </w:rPr>
              <w:t xml:space="preserve"> </w:t>
            </w:r>
            <w:r>
              <w:rPr>
                <w:spacing w:val="-2"/>
                <w:sz w:val="16"/>
              </w:rPr>
              <w:t>Water</w:t>
            </w:r>
          </w:p>
        </w:tc>
        <w:tc>
          <w:tcPr>
            <w:tcW w:w="1375" w:type="dxa"/>
            <w:shd w:val="clear" w:color="auto" w:fill="CCE2ED"/>
          </w:tcPr>
          <w:p w14:paraId="045C1B5E" w14:textId="77777777" w:rsidR="00141B97" w:rsidRDefault="00911D63">
            <w:pPr>
              <w:pStyle w:val="TableParagraph"/>
              <w:spacing w:before="22"/>
              <w:ind w:right="95"/>
              <w:jc w:val="right"/>
              <w:rPr>
                <w:sz w:val="16"/>
              </w:rPr>
            </w:pPr>
            <w:r>
              <w:rPr>
                <w:spacing w:val="-2"/>
                <w:sz w:val="16"/>
              </w:rPr>
              <w:t>Water</w:t>
            </w:r>
          </w:p>
        </w:tc>
        <w:tc>
          <w:tcPr>
            <w:tcW w:w="1886" w:type="dxa"/>
            <w:shd w:val="clear" w:color="auto" w:fill="CCE2ED"/>
          </w:tcPr>
          <w:p w14:paraId="5C92A835"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014BE8E7" w14:textId="77777777" w:rsidR="00141B97" w:rsidRDefault="00911D63">
            <w:pPr>
              <w:pStyle w:val="TableParagraph"/>
              <w:spacing w:before="22"/>
              <w:ind w:right="95"/>
              <w:jc w:val="right"/>
              <w:rPr>
                <w:sz w:val="16"/>
              </w:rPr>
            </w:pPr>
            <w:r>
              <w:rPr>
                <w:spacing w:val="-4"/>
                <w:sz w:val="16"/>
              </w:rPr>
              <w:t>0.14</w:t>
            </w:r>
          </w:p>
        </w:tc>
        <w:tc>
          <w:tcPr>
            <w:tcW w:w="1227" w:type="dxa"/>
            <w:shd w:val="clear" w:color="auto" w:fill="CCE2ED"/>
          </w:tcPr>
          <w:p w14:paraId="58328BC1" w14:textId="77777777" w:rsidR="00141B97" w:rsidRDefault="00911D63">
            <w:pPr>
              <w:pStyle w:val="TableParagraph"/>
              <w:spacing w:before="22"/>
              <w:ind w:right="95"/>
              <w:jc w:val="right"/>
              <w:rPr>
                <w:sz w:val="16"/>
              </w:rPr>
            </w:pPr>
            <w:r>
              <w:rPr>
                <w:spacing w:val="-4"/>
                <w:sz w:val="16"/>
              </w:rPr>
              <w:t>0.15</w:t>
            </w:r>
          </w:p>
        </w:tc>
        <w:tc>
          <w:tcPr>
            <w:tcW w:w="1226" w:type="dxa"/>
            <w:shd w:val="clear" w:color="auto" w:fill="CCE2ED"/>
          </w:tcPr>
          <w:p w14:paraId="262860E7" w14:textId="77777777" w:rsidR="00141B97" w:rsidRDefault="00911D63">
            <w:pPr>
              <w:pStyle w:val="TableParagraph"/>
              <w:spacing w:before="22"/>
              <w:ind w:right="94"/>
              <w:jc w:val="right"/>
              <w:rPr>
                <w:sz w:val="16"/>
              </w:rPr>
            </w:pPr>
            <w:r>
              <w:rPr>
                <w:spacing w:val="-4"/>
                <w:sz w:val="16"/>
              </w:rPr>
              <w:t>0.19</w:t>
            </w:r>
          </w:p>
        </w:tc>
        <w:tc>
          <w:tcPr>
            <w:tcW w:w="1226" w:type="dxa"/>
            <w:shd w:val="clear" w:color="auto" w:fill="CCE2ED"/>
          </w:tcPr>
          <w:p w14:paraId="761A5189" w14:textId="77777777" w:rsidR="00141B97" w:rsidRDefault="00911D63">
            <w:pPr>
              <w:pStyle w:val="TableParagraph"/>
              <w:spacing w:before="22"/>
              <w:ind w:right="94"/>
              <w:jc w:val="right"/>
              <w:rPr>
                <w:sz w:val="16"/>
              </w:rPr>
            </w:pPr>
            <w:r>
              <w:rPr>
                <w:spacing w:val="-4"/>
                <w:sz w:val="16"/>
              </w:rPr>
              <w:t>0.05</w:t>
            </w:r>
          </w:p>
        </w:tc>
        <w:tc>
          <w:tcPr>
            <w:tcW w:w="1225" w:type="dxa"/>
            <w:shd w:val="clear" w:color="auto" w:fill="CCE2ED"/>
          </w:tcPr>
          <w:p w14:paraId="6AB6E9E1" w14:textId="77777777" w:rsidR="00141B97" w:rsidRDefault="00911D63">
            <w:pPr>
              <w:pStyle w:val="TableParagraph"/>
              <w:spacing w:before="22"/>
              <w:ind w:right="93"/>
              <w:jc w:val="right"/>
              <w:rPr>
                <w:sz w:val="16"/>
              </w:rPr>
            </w:pPr>
            <w:r>
              <w:rPr>
                <w:spacing w:val="-4"/>
                <w:sz w:val="16"/>
              </w:rPr>
              <w:t>0.05</w:t>
            </w:r>
          </w:p>
        </w:tc>
        <w:tc>
          <w:tcPr>
            <w:tcW w:w="1022" w:type="dxa"/>
            <w:tcBorders>
              <w:right w:val="nil"/>
            </w:tcBorders>
            <w:shd w:val="clear" w:color="auto" w:fill="CCE2ED"/>
          </w:tcPr>
          <w:p w14:paraId="06375959" w14:textId="77777777" w:rsidR="00141B97" w:rsidRDefault="00911D63">
            <w:pPr>
              <w:pStyle w:val="TableParagraph"/>
              <w:spacing w:before="22"/>
              <w:ind w:right="83"/>
              <w:jc w:val="right"/>
              <w:rPr>
                <w:sz w:val="16"/>
              </w:rPr>
            </w:pPr>
            <w:r>
              <w:rPr>
                <w:spacing w:val="-4"/>
                <w:sz w:val="16"/>
              </w:rPr>
              <w:t>0.57</w:t>
            </w:r>
          </w:p>
        </w:tc>
      </w:tr>
      <w:tr w:rsidR="00141B97" w14:paraId="42B075FB" w14:textId="77777777">
        <w:trPr>
          <w:trHeight w:val="240"/>
          <w:tblCellSpacing w:w="9" w:type="dxa"/>
        </w:trPr>
        <w:tc>
          <w:tcPr>
            <w:tcW w:w="5249" w:type="dxa"/>
            <w:tcBorders>
              <w:left w:val="nil"/>
            </w:tcBorders>
            <w:shd w:val="clear" w:color="auto" w:fill="CCE2ED"/>
          </w:tcPr>
          <w:p w14:paraId="76859857" w14:textId="77777777" w:rsidR="00141B97" w:rsidRDefault="00911D63">
            <w:pPr>
              <w:pStyle w:val="TableParagraph"/>
              <w:spacing w:before="22"/>
              <w:ind w:left="88"/>
              <w:rPr>
                <w:sz w:val="16"/>
              </w:rPr>
            </w:pPr>
            <w:r>
              <w:rPr>
                <w:sz w:val="16"/>
              </w:rPr>
              <w:t>General</w:t>
            </w:r>
            <w:r>
              <w:rPr>
                <w:spacing w:val="-5"/>
                <w:sz w:val="16"/>
              </w:rPr>
              <w:t xml:space="preserve"> </w:t>
            </w:r>
            <w:r>
              <w:rPr>
                <w:sz w:val="16"/>
              </w:rPr>
              <w:t>Equipment</w:t>
            </w:r>
            <w:r>
              <w:rPr>
                <w:spacing w:val="-5"/>
                <w:sz w:val="16"/>
              </w:rPr>
              <w:t xml:space="preserve"> </w:t>
            </w:r>
            <w:r>
              <w:rPr>
                <w:sz w:val="16"/>
              </w:rPr>
              <w:t>‐</w:t>
            </w:r>
            <w:r>
              <w:rPr>
                <w:spacing w:val="-4"/>
                <w:sz w:val="16"/>
              </w:rPr>
              <w:t xml:space="preserve"> </w:t>
            </w:r>
            <w:r>
              <w:rPr>
                <w:sz w:val="16"/>
              </w:rPr>
              <w:t>Urban</w:t>
            </w:r>
            <w:r>
              <w:rPr>
                <w:spacing w:val="-5"/>
                <w:sz w:val="16"/>
              </w:rPr>
              <w:t xml:space="preserve"> </w:t>
            </w:r>
            <w:r>
              <w:rPr>
                <w:sz w:val="16"/>
              </w:rPr>
              <w:t>‐</w:t>
            </w:r>
            <w:r>
              <w:rPr>
                <w:spacing w:val="-5"/>
                <w:sz w:val="16"/>
              </w:rPr>
              <w:t xml:space="preserve"> </w:t>
            </w:r>
            <w:r>
              <w:rPr>
                <w:spacing w:val="-2"/>
                <w:sz w:val="16"/>
              </w:rPr>
              <w:t>Sewerage</w:t>
            </w:r>
          </w:p>
        </w:tc>
        <w:tc>
          <w:tcPr>
            <w:tcW w:w="1375" w:type="dxa"/>
            <w:shd w:val="clear" w:color="auto" w:fill="CCE2ED"/>
          </w:tcPr>
          <w:p w14:paraId="7E324A92" w14:textId="77777777" w:rsidR="00141B97" w:rsidRDefault="00911D63">
            <w:pPr>
              <w:pStyle w:val="TableParagraph"/>
              <w:spacing w:before="22"/>
              <w:ind w:right="96"/>
              <w:jc w:val="right"/>
              <w:rPr>
                <w:sz w:val="16"/>
              </w:rPr>
            </w:pPr>
            <w:r>
              <w:rPr>
                <w:spacing w:val="-2"/>
                <w:sz w:val="16"/>
              </w:rPr>
              <w:t>Sewerage</w:t>
            </w:r>
          </w:p>
        </w:tc>
        <w:tc>
          <w:tcPr>
            <w:tcW w:w="1886" w:type="dxa"/>
            <w:shd w:val="clear" w:color="auto" w:fill="CCE2ED"/>
          </w:tcPr>
          <w:p w14:paraId="6A63C4BD" w14:textId="77777777" w:rsidR="00141B97" w:rsidRDefault="00911D63">
            <w:pPr>
              <w:pStyle w:val="TableParagraph"/>
              <w:spacing w:before="22"/>
              <w:ind w:right="97"/>
              <w:jc w:val="right"/>
              <w:rPr>
                <w:sz w:val="16"/>
              </w:rPr>
            </w:pPr>
            <w:r>
              <w:rPr>
                <w:spacing w:val="-2"/>
                <w:sz w:val="16"/>
              </w:rPr>
              <w:t>Renewals</w:t>
            </w:r>
          </w:p>
        </w:tc>
        <w:tc>
          <w:tcPr>
            <w:tcW w:w="1226" w:type="dxa"/>
            <w:shd w:val="clear" w:color="auto" w:fill="CCE2ED"/>
          </w:tcPr>
          <w:p w14:paraId="107F70B0" w14:textId="77777777" w:rsidR="00141B97" w:rsidRDefault="00911D63">
            <w:pPr>
              <w:pStyle w:val="TableParagraph"/>
              <w:spacing w:before="22"/>
              <w:ind w:right="95"/>
              <w:jc w:val="right"/>
              <w:rPr>
                <w:sz w:val="16"/>
              </w:rPr>
            </w:pPr>
            <w:r>
              <w:rPr>
                <w:spacing w:val="-4"/>
                <w:sz w:val="16"/>
              </w:rPr>
              <w:t>0.12</w:t>
            </w:r>
          </w:p>
        </w:tc>
        <w:tc>
          <w:tcPr>
            <w:tcW w:w="1227" w:type="dxa"/>
            <w:shd w:val="clear" w:color="auto" w:fill="CCE2ED"/>
          </w:tcPr>
          <w:p w14:paraId="0412C43E" w14:textId="77777777" w:rsidR="00141B97" w:rsidRDefault="00911D63">
            <w:pPr>
              <w:pStyle w:val="TableParagraph"/>
              <w:spacing w:before="22"/>
              <w:ind w:right="95"/>
              <w:jc w:val="right"/>
              <w:rPr>
                <w:sz w:val="16"/>
              </w:rPr>
            </w:pPr>
            <w:r>
              <w:rPr>
                <w:spacing w:val="-4"/>
                <w:sz w:val="16"/>
              </w:rPr>
              <w:t>0.13</w:t>
            </w:r>
          </w:p>
        </w:tc>
        <w:tc>
          <w:tcPr>
            <w:tcW w:w="1226" w:type="dxa"/>
            <w:shd w:val="clear" w:color="auto" w:fill="CCE2ED"/>
          </w:tcPr>
          <w:p w14:paraId="5EFF29C1" w14:textId="77777777" w:rsidR="00141B97" w:rsidRDefault="00911D63">
            <w:pPr>
              <w:pStyle w:val="TableParagraph"/>
              <w:spacing w:before="22"/>
              <w:ind w:right="94"/>
              <w:jc w:val="right"/>
              <w:rPr>
                <w:sz w:val="16"/>
              </w:rPr>
            </w:pPr>
            <w:r>
              <w:rPr>
                <w:spacing w:val="-4"/>
                <w:sz w:val="16"/>
              </w:rPr>
              <w:t>0.16</w:t>
            </w:r>
          </w:p>
        </w:tc>
        <w:tc>
          <w:tcPr>
            <w:tcW w:w="1226" w:type="dxa"/>
            <w:shd w:val="clear" w:color="auto" w:fill="CCE2ED"/>
          </w:tcPr>
          <w:p w14:paraId="7DF1C9E5" w14:textId="77777777" w:rsidR="00141B97" w:rsidRDefault="00911D63">
            <w:pPr>
              <w:pStyle w:val="TableParagraph"/>
              <w:spacing w:before="22"/>
              <w:ind w:right="94"/>
              <w:jc w:val="right"/>
              <w:rPr>
                <w:sz w:val="16"/>
              </w:rPr>
            </w:pPr>
            <w:r>
              <w:rPr>
                <w:spacing w:val="-4"/>
                <w:sz w:val="16"/>
              </w:rPr>
              <w:t>0.04</w:t>
            </w:r>
          </w:p>
        </w:tc>
        <w:tc>
          <w:tcPr>
            <w:tcW w:w="1225" w:type="dxa"/>
            <w:shd w:val="clear" w:color="auto" w:fill="CCE2ED"/>
          </w:tcPr>
          <w:p w14:paraId="3FDB4EE7" w14:textId="77777777" w:rsidR="00141B97" w:rsidRDefault="00911D63">
            <w:pPr>
              <w:pStyle w:val="TableParagraph"/>
              <w:spacing w:before="22"/>
              <w:ind w:right="93"/>
              <w:jc w:val="right"/>
              <w:rPr>
                <w:sz w:val="16"/>
              </w:rPr>
            </w:pPr>
            <w:r>
              <w:rPr>
                <w:spacing w:val="-4"/>
                <w:sz w:val="16"/>
              </w:rPr>
              <w:t>0.04</w:t>
            </w:r>
          </w:p>
        </w:tc>
        <w:tc>
          <w:tcPr>
            <w:tcW w:w="1022" w:type="dxa"/>
            <w:tcBorders>
              <w:right w:val="nil"/>
            </w:tcBorders>
            <w:shd w:val="clear" w:color="auto" w:fill="CCE2ED"/>
          </w:tcPr>
          <w:p w14:paraId="5B6EBF5F" w14:textId="77777777" w:rsidR="00141B97" w:rsidRDefault="00911D63">
            <w:pPr>
              <w:pStyle w:val="TableParagraph"/>
              <w:spacing w:before="22"/>
              <w:ind w:right="83"/>
              <w:jc w:val="right"/>
              <w:rPr>
                <w:sz w:val="16"/>
              </w:rPr>
            </w:pPr>
            <w:r>
              <w:rPr>
                <w:spacing w:val="-4"/>
                <w:sz w:val="16"/>
              </w:rPr>
              <w:t>0.49</w:t>
            </w:r>
          </w:p>
        </w:tc>
      </w:tr>
      <w:tr w:rsidR="00141B97" w14:paraId="399ED97A" w14:textId="77777777">
        <w:trPr>
          <w:trHeight w:val="479"/>
          <w:tblCellSpacing w:w="9" w:type="dxa"/>
        </w:trPr>
        <w:tc>
          <w:tcPr>
            <w:tcW w:w="5249" w:type="dxa"/>
            <w:tcBorders>
              <w:left w:val="nil"/>
            </w:tcBorders>
            <w:shd w:val="clear" w:color="auto" w:fill="CCE2ED"/>
          </w:tcPr>
          <w:p w14:paraId="06AAE931" w14:textId="77777777" w:rsidR="00141B97" w:rsidRDefault="00911D63">
            <w:pPr>
              <w:pStyle w:val="TableParagraph"/>
              <w:spacing w:before="142"/>
              <w:ind w:left="88"/>
              <w:rPr>
                <w:sz w:val="16"/>
              </w:rPr>
            </w:pPr>
            <w:r>
              <w:rPr>
                <w:sz w:val="16"/>
              </w:rPr>
              <w:t>Buildings</w:t>
            </w:r>
            <w:r>
              <w:rPr>
                <w:spacing w:val="-6"/>
                <w:sz w:val="16"/>
              </w:rPr>
              <w:t xml:space="preserve"> </w:t>
            </w:r>
            <w:r>
              <w:rPr>
                <w:sz w:val="16"/>
              </w:rPr>
              <w:t>‐</w:t>
            </w:r>
            <w:r>
              <w:rPr>
                <w:spacing w:val="-7"/>
                <w:sz w:val="16"/>
              </w:rPr>
              <w:t xml:space="preserve"> </w:t>
            </w:r>
            <w:r>
              <w:rPr>
                <w:spacing w:val="-2"/>
                <w:sz w:val="16"/>
              </w:rPr>
              <w:t>Water</w:t>
            </w:r>
          </w:p>
        </w:tc>
        <w:tc>
          <w:tcPr>
            <w:tcW w:w="1375" w:type="dxa"/>
            <w:shd w:val="clear" w:color="auto" w:fill="CCE2ED"/>
          </w:tcPr>
          <w:p w14:paraId="65C0A975" w14:textId="77777777" w:rsidR="00141B97" w:rsidRDefault="00911D63">
            <w:pPr>
              <w:pStyle w:val="TableParagraph"/>
              <w:spacing w:before="142"/>
              <w:ind w:right="95"/>
              <w:jc w:val="right"/>
              <w:rPr>
                <w:sz w:val="16"/>
              </w:rPr>
            </w:pPr>
            <w:r>
              <w:rPr>
                <w:spacing w:val="-2"/>
                <w:sz w:val="16"/>
              </w:rPr>
              <w:t>Water</w:t>
            </w:r>
          </w:p>
        </w:tc>
        <w:tc>
          <w:tcPr>
            <w:tcW w:w="1886" w:type="dxa"/>
            <w:shd w:val="clear" w:color="auto" w:fill="CCE2ED"/>
          </w:tcPr>
          <w:p w14:paraId="2B31D13C" w14:textId="77777777" w:rsidR="00141B97" w:rsidRDefault="00911D63">
            <w:pPr>
              <w:pStyle w:val="TableParagraph"/>
              <w:spacing w:before="44"/>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134BB92" w14:textId="77777777" w:rsidR="00141B97" w:rsidRDefault="00911D63">
            <w:pPr>
              <w:pStyle w:val="TableParagraph"/>
              <w:spacing w:before="142"/>
              <w:ind w:right="95"/>
              <w:jc w:val="right"/>
              <w:rPr>
                <w:sz w:val="16"/>
              </w:rPr>
            </w:pPr>
            <w:r>
              <w:rPr>
                <w:spacing w:val="-4"/>
                <w:sz w:val="16"/>
              </w:rPr>
              <w:t>0.43</w:t>
            </w:r>
          </w:p>
        </w:tc>
        <w:tc>
          <w:tcPr>
            <w:tcW w:w="1227" w:type="dxa"/>
            <w:shd w:val="clear" w:color="auto" w:fill="CCE2ED"/>
          </w:tcPr>
          <w:p w14:paraId="4F0CA289" w14:textId="77777777" w:rsidR="00141B97" w:rsidRDefault="00911D63">
            <w:pPr>
              <w:pStyle w:val="TableParagraph"/>
              <w:spacing w:before="142"/>
              <w:ind w:right="95"/>
              <w:jc w:val="right"/>
              <w:rPr>
                <w:sz w:val="16"/>
              </w:rPr>
            </w:pPr>
            <w:r>
              <w:rPr>
                <w:spacing w:val="-4"/>
                <w:sz w:val="16"/>
              </w:rPr>
              <w:t>0.20</w:t>
            </w:r>
          </w:p>
        </w:tc>
        <w:tc>
          <w:tcPr>
            <w:tcW w:w="1226" w:type="dxa"/>
            <w:shd w:val="clear" w:color="auto" w:fill="CCE2ED"/>
          </w:tcPr>
          <w:p w14:paraId="32C43B16" w14:textId="77777777" w:rsidR="00141B97" w:rsidRDefault="00911D63">
            <w:pPr>
              <w:pStyle w:val="TableParagraph"/>
              <w:spacing w:before="142"/>
              <w:ind w:right="94"/>
              <w:jc w:val="right"/>
              <w:rPr>
                <w:sz w:val="16"/>
              </w:rPr>
            </w:pPr>
            <w:r>
              <w:rPr>
                <w:spacing w:val="-4"/>
                <w:sz w:val="16"/>
              </w:rPr>
              <w:t>0.22</w:t>
            </w:r>
          </w:p>
        </w:tc>
        <w:tc>
          <w:tcPr>
            <w:tcW w:w="1226" w:type="dxa"/>
            <w:shd w:val="clear" w:color="auto" w:fill="CCE2ED"/>
          </w:tcPr>
          <w:p w14:paraId="2D1B8240" w14:textId="77777777" w:rsidR="00141B97" w:rsidRDefault="00911D63">
            <w:pPr>
              <w:pStyle w:val="TableParagraph"/>
              <w:spacing w:before="142"/>
              <w:ind w:right="94"/>
              <w:jc w:val="right"/>
              <w:rPr>
                <w:sz w:val="16"/>
              </w:rPr>
            </w:pPr>
            <w:r>
              <w:rPr>
                <w:spacing w:val="-4"/>
                <w:sz w:val="16"/>
              </w:rPr>
              <w:t>0.12</w:t>
            </w:r>
          </w:p>
        </w:tc>
        <w:tc>
          <w:tcPr>
            <w:tcW w:w="1225" w:type="dxa"/>
            <w:shd w:val="clear" w:color="auto" w:fill="CCE2ED"/>
          </w:tcPr>
          <w:p w14:paraId="1360A120" w14:textId="77777777" w:rsidR="00141B97" w:rsidRDefault="00911D63">
            <w:pPr>
              <w:pStyle w:val="TableParagraph"/>
              <w:spacing w:before="142"/>
              <w:ind w:right="93"/>
              <w:jc w:val="right"/>
              <w:rPr>
                <w:sz w:val="16"/>
              </w:rPr>
            </w:pPr>
            <w:r>
              <w:rPr>
                <w:spacing w:val="-4"/>
                <w:sz w:val="16"/>
              </w:rPr>
              <w:t>0.11</w:t>
            </w:r>
          </w:p>
        </w:tc>
        <w:tc>
          <w:tcPr>
            <w:tcW w:w="1022" w:type="dxa"/>
            <w:tcBorders>
              <w:right w:val="nil"/>
            </w:tcBorders>
            <w:shd w:val="clear" w:color="auto" w:fill="CCE2ED"/>
          </w:tcPr>
          <w:p w14:paraId="7D121439" w14:textId="77777777" w:rsidR="00141B97" w:rsidRDefault="00911D63">
            <w:pPr>
              <w:pStyle w:val="TableParagraph"/>
              <w:spacing w:before="142"/>
              <w:ind w:right="83"/>
              <w:jc w:val="right"/>
              <w:rPr>
                <w:sz w:val="16"/>
              </w:rPr>
            </w:pPr>
            <w:r>
              <w:rPr>
                <w:spacing w:val="-4"/>
                <w:sz w:val="16"/>
              </w:rPr>
              <w:t>1.10</w:t>
            </w:r>
          </w:p>
        </w:tc>
      </w:tr>
      <w:tr w:rsidR="00141B97" w14:paraId="7B2A51A9" w14:textId="77777777">
        <w:trPr>
          <w:trHeight w:val="494"/>
          <w:tblCellSpacing w:w="9" w:type="dxa"/>
        </w:trPr>
        <w:tc>
          <w:tcPr>
            <w:tcW w:w="5249" w:type="dxa"/>
            <w:tcBorders>
              <w:left w:val="nil"/>
            </w:tcBorders>
            <w:shd w:val="clear" w:color="auto" w:fill="CCE2ED"/>
          </w:tcPr>
          <w:p w14:paraId="1E09E015" w14:textId="77777777" w:rsidR="00141B97" w:rsidRDefault="00141B97">
            <w:pPr>
              <w:pStyle w:val="TableParagraph"/>
              <w:spacing w:before="3"/>
              <w:rPr>
                <w:sz w:val="12"/>
              </w:rPr>
            </w:pPr>
          </w:p>
          <w:p w14:paraId="7BE65965" w14:textId="77777777" w:rsidR="00141B97" w:rsidRDefault="00911D63">
            <w:pPr>
              <w:pStyle w:val="TableParagraph"/>
              <w:ind w:left="88"/>
              <w:rPr>
                <w:sz w:val="16"/>
              </w:rPr>
            </w:pPr>
            <w:r>
              <w:rPr>
                <w:sz w:val="16"/>
              </w:rPr>
              <w:t>Buildings</w:t>
            </w:r>
            <w:r>
              <w:rPr>
                <w:spacing w:val="-6"/>
                <w:sz w:val="16"/>
              </w:rPr>
              <w:t xml:space="preserve"> </w:t>
            </w:r>
            <w:r>
              <w:rPr>
                <w:sz w:val="16"/>
              </w:rPr>
              <w:t>‐</w:t>
            </w:r>
            <w:r>
              <w:rPr>
                <w:spacing w:val="-7"/>
                <w:sz w:val="16"/>
              </w:rPr>
              <w:t xml:space="preserve"> </w:t>
            </w:r>
            <w:r>
              <w:rPr>
                <w:spacing w:val="-2"/>
                <w:sz w:val="16"/>
              </w:rPr>
              <w:t>Sewerage</w:t>
            </w:r>
          </w:p>
        </w:tc>
        <w:tc>
          <w:tcPr>
            <w:tcW w:w="1375" w:type="dxa"/>
            <w:shd w:val="clear" w:color="auto" w:fill="CCE2ED"/>
          </w:tcPr>
          <w:p w14:paraId="4F007ABE" w14:textId="77777777" w:rsidR="00141B97" w:rsidRDefault="00141B97">
            <w:pPr>
              <w:pStyle w:val="TableParagraph"/>
              <w:spacing w:before="3"/>
              <w:rPr>
                <w:sz w:val="12"/>
              </w:rPr>
            </w:pPr>
          </w:p>
          <w:p w14:paraId="60719906" w14:textId="77777777" w:rsidR="00141B97" w:rsidRDefault="00911D63">
            <w:pPr>
              <w:pStyle w:val="TableParagraph"/>
              <w:ind w:right="96"/>
              <w:jc w:val="right"/>
              <w:rPr>
                <w:sz w:val="16"/>
              </w:rPr>
            </w:pPr>
            <w:r>
              <w:rPr>
                <w:spacing w:val="-2"/>
                <w:sz w:val="16"/>
              </w:rPr>
              <w:t>Sewerage</w:t>
            </w:r>
          </w:p>
        </w:tc>
        <w:tc>
          <w:tcPr>
            <w:tcW w:w="1886" w:type="dxa"/>
            <w:shd w:val="clear" w:color="auto" w:fill="CCE2ED"/>
          </w:tcPr>
          <w:p w14:paraId="01085865" w14:textId="77777777" w:rsidR="00141B97" w:rsidRDefault="00911D63">
            <w:pPr>
              <w:pStyle w:val="TableParagraph"/>
              <w:spacing w:before="52"/>
              <w:ind w:left="1013" w:hanging="279"/>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226" w:type="dxa"/>
            <w:shd w:val="clear" w:color="auto" w:fill="CCE2ED"/>
          </w:tcPr>
          <w:p w14:paraId="3833CCAB" w14:textId="77777777" w:rsidR="00141B97" w:rsidRDefault="00141B97">
            <w:pPr>
              <w:pStyle w:val="TableParagraph"/>
              <w:spacing w:before="3"/>
              <w:rPr>
                <w:sz w:val="12"/>
              </w:rPr>
            </w:pPr>
          </w:p>
          <w:p w14:paraId="363F9BE2" w14:textId="77777777" w:rsidR="00141B97" w:rsidRDefault="00911D63">
            <w:pPr>
              <w:pStyle w:val="TableParagraph"/>
              <w:ind w:right="95"/>
              <w:jc w:val="right"/>
              <w:rPr>
                <w:sz w:val="16"/>
              </w:rPr>
            </w:pPr>
            <w:r>
              <w:rPr>
                <w:spacing w:val="-4"/>
                <w:sz w:val="16"/>
              </w:rPr>
              <w:t>0.37</w:t>
            </w:r>
          </w:p>
        </w:tc>
        <w:tc>
          <w:tcPr>
            <w:tcW w:w="1227" w:type="dxa"/>
            <w:shd w:val="clear" w:color="auto" w:fill="CCE2ED"/>
          </w:tcPr>
          <w:p w14:paraId="414BF149" w14:textId="77777777" w:rsidR="00141B97" w:rsidRDefault="00141B97">
            <w:pPr>
              <w:pStyle w:val="TableParagraph"/>
              <w:spacing w:before="3"/>
              <w:rPr>
                <w:sz w:val="12"/>
              </w:rPr>
            </w:pPr>
          </w:p>
          <w:p w14:paraId="1974629A" w14:textId="77777777" w:rsidR="00141B97" w:rsidRDefault="00911D63">
            <w:pPr>
              <w:pStyle w:val="TableParagraph"/>
              <w:ind w:right="95"/>
              <w:jc w:val="right"/>
              <w:rPr>
                <w:sz w:val="16"/>
              </w:rPr>
            </w:pPr>
            <w:r>
              <w:rPr>
                <w:spacing w:val="-4"/>
                <w:sz w:val="16"/>
              </w:rPr>
              <w:t>0.17</w:t>
            </w:r>
          </w:p>
        </w:tc>
        <w:tc>
          <w:tcPr>
            <w:tcW w:w="1226" w:type="dxa"/>
            <w:shd w:val="clear" w:color="auto" w:fill="CCE2ED"/>
          </w:tcPr>
          <w:p w14:paraId="20F762B2" w14:textId="77777777" w:rsidR="00141B97" w:rsidRDefault="00141B97">
            <w:pPr>
              <w:pStyle w:val="TableParagraph"/>
              <w:spacing w:before="3"/>
              <w:rPr>
                <w:sz w:val="12"/>
              </w:rPr>
            </w:pPr>
          </w:p>
          <w:p w14:paraId="4D921BB5" w14:textId="77777777" w:rsidR="00141B97" w:rsidRDefault="00911D63">
            <w:pPr>
              <w:pStyle w:val="TableParagraph"/>
              <w:ind w:right="94"/>
              <w:jc w:val="right"/>
              <w:rPr>
                <w:sz w:val="16"/>
              </w:rPr>
            </w:pPr>
            <w:r>
              <w:rPr>
                <w:spacing w:val="-4"/>
                <w:sz w:val="16"/>
              </w:rPr>
              <w:t>0.19</w:t>
            </w:r>
          </w:p>
        </w:tc>
        <w:tc>
          <w:tcPr>
            <w:tcW w:w="1226" w:type="dxa"/>
            <w:shd w:val="clear" w:color="auto" w:fill="CCE2ED"/>
          </w:tcPr>
          <w:p w14:paraId="793DCECF" w14:textId="77777777" w:rsidR="00141B97" w:rsidRDefault="00141B97">
            <w:pPr>
              <w:pStyle w:val="TableParagraph"/>
              <w:spacing w:before="3"/>
              <w:rPr>
                <w:sz w:val="12"/>
              </w:rPr>
            </w:pPr>
          </w:p>
          <w:p w14:paraId="5333D628" w14:textId="77777777" w:rsidR="00141B97" w:rsidRDefault="00911D63">
            <w:pPr>
              <w:pStyle w:val="TableParagraph"/>
              <w:ind w:right="94"/>
              <w:jc w:val="right"/>
              <w:rPr>
                <w:sz w:val="16"/>
              </w:rPr>
            </w:pPr>
            <w:r>
              <w:rPr>
                <w:spacing w:val="-4"/>
                <w:sz w:val="16"/>
              </w:rPr>
              <w:t>0.11</w:t>
            </w:r>
          </w:p>
        </w:tc>
        <w:tc>
          <w:tcPr>
            <w:tcW w:w="1225" w:type="dxa"/>
            <w:shd w:val="clear" w:color="auto" w:fill="CCE2ED"/>
          </w:tcPr>
          <w:p w14:paraId="06AB9939" w14:textId="77777777" w:rsidR="00141B97" w:rsidRDefault="00141B97">
            <w:pPr>
              <w:pStyle w:val="TableParagraph"/>
              <w:spacing w:before="3"/>
              <w:rPr>
                <w:sz w:val="12"/>
              </w:rPr>
            </w:pPr>
          </w:p>
          <w:p w14:paraId="0021C746" w14:textId="77777777" w:rsidR="00141B97" w:rsidRDefault="00911D63">
            <w:pPr>
              <w:pStyle w:val="TableParagraph"/>
              <w:ind w:right="93"/>
              <w:jc w:val="right"/>
              <w:rPr>
                <w:sz w:val="16"/>
              </w:rPr>
            </w:pPr>
            <w:r>
              <w:rPr>
                <w:spacing w:val="-4"/>
                <w:sz w:val="16"/>
              </w:rPr>
              <w:t>0.10</w:t>
            </w:r>
          </w:p>
        </w:tc>
        <w:tc>
          <w:tcPr>
            <w:tcW w:w="1022" w:type="dxa"/>
            <w:tcBorders>
              <w:right w:val="nil"/>
            </w:tcBorders>
            <w:shd w:val="clear" w:color="auto" w:fill="CCE2ED"/>
          </w:tcPr>
          <w:p w14:paraId="2AE6784F" w14:textId="77777777" w:rsidR="00141B97" w:rsidRDefault="00141B97">
            <w:pPr>
              <w:pStyle w:val="TableParagraph"/>
              <w:spacing w:before="3"/>
              <w:rPr>
                <w:sz w:val="12"/>
              </w:rPr>
            </w:pPr>
          </w:p>
          <w:p w14:paraId="66A24B29" w14:textId="77777777" w:rsidR="00141B97" w:rsidRDefault="00911D63">
            <w:pPr>
              <w:pStyle w:val="TableParagraph"/>
              <w:ind w:right="83"/>
              <w:jc w:val="right"/>
              <w:rPr>
                <w:sz w:val="16"/>
              </w:rPr>
            </w:pPr>
            <w:r>
              <w:rPr>
                <w:spacing w:val="-4"/>
                <w:sz w:val="16"/>
              </w:rPr>
              <w:t>0.93</w:t>
            </w:r>
          </w:p>
        </w:tc>
      </w:tr>
      <w:tr w:rsidR="00141B97" w14:paraId="408D6C73" w14:textId="77777777">
        <w:trPr>
          <w:trHeight w:val="316"/>
          <w:tblCellSpacing w:w="9" w:type="dxa"/>
        </w:trPr>
        <w:tc>
          <w:tcPr>
            <w:tcW w:w="5249" w:type="dxa"/>
            <w:tcBorders>
              <w:left w:val="nil"/>
              <w:bottom w:val="nil"/>
            </w:tcBorders>
            <w:shd w:val="clear" w:color="auto" w:fill="BFBFBF"/>
          </w:tcPr>
          <w:p w14:paraId="218BC492" w14:textId="77777777" w:rsidR="00141B97" w:rsidRDefault="00911D63">
            <w:pPr>
              <w:pStyle w:val="TableParagraph"/>
              <w:spacing w:before="61"/>
              <w:ind w:left="88"/>
              <w:rPr>
                <w:sz w:val="16"/>
              </w:rPr>
            </w:pPr>
            <w:r>
              <w:rPr>
                <w:spacing w:val="-2"/>
                <w:sz w:val="16"/>
              </w:rPr>
              <w:t>TOTAL</w:t>
            </w:r>
          </w:p>
        </w:tc>
        <w:tc>
          <w:tcPr>
            <w:tcW w:w="1375" w:type="dxa"/>
            <w:tcBorders>
              <w:bottom w:val="nil"/>
            </w:tcBorders>
            <w:shd w:val="clear" w:color="auto" w:fill="BFBFBF"/>
          </w:tcPr>
          <w:p w14:paraId="0A00D867" w14:textId="77777777" w:rsidR="00141B97" w:rsidRDefault="00141B97">
            <w:pPr>
              <w:pStyle w:val="TableParagraph"/>
              <w:rPr>
                <w:rFonts w:ascii="Times New Roman"/>
                <w:sz w:val="16"/>
              </w:rPr>
            </w:pPr>
          </w:p>
        </w:tc>
        <w:tc>
          <w:tcPr>
            <w:tcW w:w="1886" w:type="dxa"/>
            <w:tcBorders>
              <w:bottom w:val="nil"/>
            </w:tcBorders>
            <w:shd w:val="clear" w:color="auto" w:fill="BFBFBF"/>
          </w:tcPr>
          <w:p w14:paraId="5D7AA635" w14:textId="77777777" w:rsidR="00141B97" w:rsidRDefault="00911D63">
            <w:pPr>
              <w:pStyle w:val="TableParagraph"/>
              <w:spacing w:before="61"/>
              <w:ind w:right="96"/>
              <w:jc w:val="right"/>
              <w:rPr>
                <w:sz w:val="16"/>
              </w:rPr>
            </w:pPr>
            <w:r>
              <w:rPr>
                <w:sz w:val="16"/>
              </w:rPr>
              <w:t>$m</w:t>
            </w:r>
            <w:r>
              <w:rPr>
                <w:spacing w:val="-3"/>
                <w:sz w:val="16"/>
              </w:rPr>
              <w:t xml:space="preserve"> </w:t>
            </w:r>
            <w:r>
              <w:rPr>
                <w:spacing w:val="-2"/>
                <w:sz w:val="16"/>
              </w:rPr>
              <w:t>1/1/23</w:t>
            </w:r>
          </w:p>
        </w:tc>
        <w:tc>
          <w:tcPr>
            <w:tcW w:w="1226" w:type="dxa"/>
            <w:tcBorders>
              <w:bottom w:val="nil"/>
            </w:tcBorders>
            <w:shd w:val="clear" w:color="auto" w:fill="BFBFBF"/>
          </w:tcPr>
          <w:p w14:paraId="45472156" w14:textId="77777777" w:rsidR="00141B97" w:rsidRDefault="00911D63">
            <w:pPr>
              <w:pStyle w:val="TableParagraph"/>
              <w:spacing w:before="61"/>
              <w:ind w:right="93"/>
              <w:jc w:val="right"/>
              <w:rPr>
                <w:sz w:val="16"/>
              </w:rPr>
            </w:pPr>
            <w:r>
              <w:rPr>
                <w:spacing w:val="-2"/>
                <w:sz w:val="16"/>
              </w:rPr>
              <w:t>24.49</w:t>
            </w:r>
          </w:p>
        </w:tc>
        <w:tc>
          <w:tcPr>
            <w:tcW w:w="1227" w:type="dxa"/>
            <w:tcBorders>
              <w:bottom w:val="nil"/>
            </w:tcBorders>
            <w:shd w:val="clear" w:color="auto" w:fill="BFBFBF"/>
          </w:tcPr>
          <w:p w14:paraId="54D6B12A" w14:textId="77777777" w:rsidR="00141B97" w:rsidRDefault="00911D63">
            <w:pPr>
              <w:pStyle w:val="TableParagraph"/>
              <w:spacing w:before="61"/>
              <w:ind w:right="95"/>
              <w:jc w:val="right"/>
              <w:rPr>
                <w:sz w:val="16"/>
              </w:rPr>
            </w:pPr>
            <w:r>
              <w:rPr>
                <w:spacing w:val="-2"/>
                <w:sz w:val="16"/>
              </w:rPr>
              <w:t>23.83</w:t>
            </w:r>
          </w:p>
        </w:tc>
        <w:tc>
          <w:tcPr>
            <w:tcW w:w="1226" w:type="dxa"/>
            <w:tcBorders>
              <w:bottom w:val="nil"/>
            </w:tcBorders>
            <w:shd w:val="clear" w:color="auto" w:fill="BFBFBF"/>
          </w:tcPr>
          <w:p w14:paraId="4B5778B1" w14:textId="77777777" w:rsidR="00141B97" w:rsidRDefault="00911D63">
            <w:pPr>
              <w:pStyle w:val="TableParagraph"/>
              <w:spacing w:before="61"/>
              <w:ind w:right="92"/>
              <w:jc w:val="right"/>
              <w:rPr>
                <w:sz w:val="16"/>
              </w:rPr>
            </w:pPr>
            <w:r>
              <w:rPr>
                <w:spacing w:val="-2"/>
                <w:sz w:val="16"/>
              </w:rPr>
              <w:t>17.64</w:t>
            </w:r>
          </w:p>
        </w:tc>
        <w:tc>
          <w:tcPr>
            <w:tcW w:w="1226" w:type="dxa"/>
            <w:tcBorders>
              <w:bottom w:val="nil"/>
            </w:tcBorders>
            <w:shd w:val="clear" w:color="auto" w:fill="BFBFBF"/>
          </w:tcPr>
          <w:p w14:paraId="75BDEF5F" w14:textId="77777777" w:rsidR="00141B97" w:rsidRDefault="00911D63">
            <w:pPr>
              <w:pStyle w:val="TableParagraph"/>
              <w:spacing w:before="61"/>
              <w:ind w:right="93"/>
              <w:jc w:val="right"/>
              <w:rPr>
                <w:sz w:val="16"/>
              </w:rPr>
            </w:pPr>
            <w:r>
              <w:rPr>
                <w:spacing w:val="-2"/>
                <w:sz w:val="16"/>
              </w:rPr>
              <w:t>17.23</w:t>
            </w:r>
          </w:p>
        </w:tc>
        <w:tc>
          <w:tcPr>
            <w:tcW w:w="1225" w:type="dxa"/>
            <w:tcBorders>
              <w:bottom w:val="nil"/>
            </w:tcBorders>
            <w:shd w:val="clear" w:color="auto" w:fill="BFBFBF"/>
          </w:tcPr>
          <w:p w14:paraId="1294FDE2" w14:textId="77777777" w:rsidR="00141B97" w:rsidRDefault="00911D63">
            <w:pPr>
              <w:pStyle w:val="TableParagraph"/>
              <w:spacing w:before="61"/>
              <w:ind w:right="91"/>
              <w:jc w:val="right"/>
              <w:rPr>
                <w:sz w:val="16"/>
              </w:rPr>
            </w:pPr>
            <w:r>
              <w:rPr>
                <w:spacing w:val="-2"/>
                <w:sz w:val="16"/>
              </w:rPr>
              <w:t>15.42</w:t>
            </w:r>
          </w:p>
        </w:tc>
        <w:tc>
          <w:tcPr>
            <w:tcW w:w="1022" w:type="dxa"/>
            <w:tcBorders>
              <w:bottom w:val="nil"/>
              <w:right w:val="nil"/>
            </w:tcBorders>
            <w:shd w:val="clear" w:color="auto" w:fill="BFBFBF"/>
          </w:tcPr>
          <w:p w14:paraId="78DC9001" w14:textId="77777777" w:rsidR="00141B97" w:rsidRDefault="00911D63">
            <w:pPr>
              <w:pStyle w:val="TableParagraph"/>
              <w:spacing w:before="61"/>
              <w:ind w:right="81"/>
              <w:jc w:val="right"/>
              <w:rPr>
                <w:sz w:val="16"/>
              </w:rPr>
            </w:pPr>
            <w:r>
              <w:rPr>
                <w:spacing w:val="-2"/>
                <w:sz w:val="16"/>
              </w:rPr>
              <w:t>98.61</w:t>
            </w:r>
          </w:p>
        </w:tc>
      </w:tr>
    </w:tbl>
    <w:p w14:paraId="0C865BCF" w14:textId="77777777" w:rsidR="00141B97" w:rsidRDefault="00141B97">
      <w:pPr>
        <w:jc w:val="right"/>
        <w:rPr>
          <w:sz w:val="16"/>
        </w:rPr>
        <w:sectPr w:rsidR="00141B97">
          <w:pgSz w:w="16840" w:h="11910" w:orient="landscape"/>
          <w:pgMar w:top="840" w:right="600" w:bottom="540" w:left="300" w:header="0" w:footer="345" w:gutter="0"/>
          <w:cols w:space="720"/>
        </w:sectPr>
      </w:pPr>
    </w:p>
    <w:p w14:paraId="197CDA7C" w14:textId="77777777" w:rsidR="00141B97" w:rsidRDefault="00911D63">
      <w:pPr>
        <w:spacing w:before="19"/>
        <w:ind w:left="124"/>
        <w:rPr>
          <w:sz w:val="28"/>
        </w:rPr>
      </w:pPr>
      <w:r>
        <w:rPr>
          <w:color w:val="009BAC"/>
          <w:sz w:val="28"/>
        </w:rPr>
        <w:lastRenderedPageBreak/>
        <w:t>Appendix</w:t>
      </w:r>
      <w:r>
        <w:rPr>
          <w:color w:val="009BAC"/>
          <w:spacing w:val="-5"/>
          <w:sz w:val="28"/>
        </w:rPr>
        <w:t xml:space="preserve"> </w:t>
      </w:r>
      <w:r>
        <w:rPr>
          <w:color w:val="009BAC"/>
          <w:sz w:val="28"/>
        </w:rPr>
        <w:t>B2</w:t>
      </w:r>
      <w:r>
        <w:rPr>
          <w:color w:val="009BAC"/>
          <w:spacing w:val="-4"/>
          <w:sz w:val="28"/>
        </w:rPr>
        <w:t xml:space="preserve"> </w:t>
      </w:r>
      <w:r>
        <w:rPr>
          <w:color w:val="009BAC"/>
          <w:sz w:val="28"/>
        </w:rPr>
        <w:t>–</w:t>
      </w:r>
      <w:r>
        <w:rPr>
          <w:color w:val="009BAC"/>
          <w:spacing w:val="-6"/>
          <w:sz w:val="28"/>
        </w:rPr>
        <w:t xml:space="preserve"> </w:t>
      </w:r>
      <w:r>
        <w:rPr>
          <w:color w:val="009BAC"/>
          <w:sz w:val="28"/>
        </w:rPr>
        <w:t>Urban</w:t>
      </w:r>
      <w:r>
        <w:rPr>
          <w:color w:val="009BAC"/>
          <w:spacing w:val="-7"/>
          <w:sz w:val="28"/>
        </w:rPr>
        <w:t xml:space="preserve"> </w:t>
      </w:r>
      <w:r>
        <w:rPr>
          <w:color w:val="009BAC"/>
          <w:sz w:val="28"/>
        </w:rPr>
        <w:t>Major</w:t>
      </w:r>
      <w:r>
        <w:rPr>
          <w:color w:val="009BAC"/>
          <w:spacing w:val="-6"/>
          <w:sz w:val="28"/>
        </w:rPr>
        <w:t xml:space="preserve"> </w:t>
      </w:r>
      <w:r>
        <w:rPr>
          <w:color w:val="009BAC"/>
          <w:sz w:val="28"/>
        </w:rPr>
        <w:t>Projects</w:t>
      </w:r>
      <w:r>
        <w:rPr>
          <w:color w:val="009BAC"/>
          <w:spacing w:val="-7"/>
          <w:sz w:val="28"/>
        </w:rPr>
        <w:t xml:space="preserve"> </w:t>
      </w:r>
      <w:r>
        <w:rPr>
          <w:color w:val="009BAC"/>
          <w:sz w:val="28"/>
        </w:rPr>
        <w:t>and</w:t>
      </w:r>
      <w:r>
        <w:rPr>
          <w:color w:val="009BAC"/>
          <w:spacing w:val="-5"/>
          <w:sz w:val="28"/>
        </w:rPr>
        <w:t xml:space="preserve"> </w:t>
      </w:r>
      <w:r>
        <w:rPr>
          <w:color w:val="009BAC"/>
          <w:spacing w:val="-2"/>
          <w:sz w:val="28"/>
        </w:rPr>
        <w:t>Program</w:t>
      </w:r>
    </w:p>
    <w:p w14:paraId="65D6890F" w14:textId="77777777" w:rsidR="00141B97" w:rsidRDefault="00911D63">
      <w:pPr>
        <w:pStyle w:val="BodyText"/>
        <w:spacing w:before="133"/>
        <w:ind w:left="124"/>
      </w:pPr>
      <w:r>
        <w:t>B2.1</w:t>
      </w:r>
      <w:r>
        <w:rPr>
          <w:spacing w:val="-5"/>
        </w:rPr>
        <w:t xml:space="preserve"> </w:t>
      </w:r>
      <w:r>
        <w:t>Top</w:t>
      </w:r>
      <w:r>
        <w:rPr>
          <w:spacing w:val="-5"/>
        </w:rPr>
        <w:t xml:space="preserve"> </w:t>
      </w:r>
      <w:r>
        <w:t>10</w:t>
      </w:r>
      <w:r>
        <w:rPr>
          <w:spacing w:val="-5"/>
        </w:rPr>
        <w:t xml:space="preserve"> </w:t>
      </w:r>
      <w:r>
        <w:t>Projects</w:t>
      </w:r>
      <w:r>
        <w:rPr>
          <w:spacing w:val="-5"/>
        </w:rPr>
        <w:t xml:space="preserve"> </w:t>
      </w:r>
      <w:r>
        <w:t>Urban</w:t>
      </w:r>
      <w:r>
        <w:rPr>
          <w:spacing w:val="-5"/>
        </w:rPr>
        <w:t xml:space="preserve"> </w:t>
      </w:r>
      <w:r>
        <w:t>Component</w:t>
      </w:r>
      <w:r>
        <w:rPr>
          <w:spacing w:val="-5"/>
        </w:rPr>
        <w:t xml:space="preserve"> </w:t>
      </w:r>
      <w:r>
        <w:t>–</w:t>
      </w:r>
      <w:r>
        <w:rPr>
          <w:spacing w:val="-5"/>
        </w:rPr>
        <w:t xml:space="preserve"> </w:t>
      </w:r>
      <w:r>
        <w:t>Schedule</w:t>
      </w:r>
      <w:r>
        <w:rPr>
          <w:spacing w:val="-6"/>
        </w:rPr>
        <w:t xml:space="preserve"> </w:t>
      </w:r>
      <w:r>
        <w:t>of</w:t>
      </w:r>
      <w:r>
        <w:rPr>
          <w:spacing w:val="-6"/>
        </w:rPr>
        <w:t xml:space="preserve"> </w:t>
      </w:r>
      <w:r>
        <w:rPr>
          <w:spacing w:val="-2"/>
        </w:rPr>
        <w:t>Investment</w:t>
      </w:r>
    </w:p>
    <w:p w14:paraId="7254DF42" w14:textId="77777777" w:rsidR="00141B97" w:rsidRDefault="00141B97">
      <w:pPr>
        <w:pStyle w:val="BodyText"/>
        <w:spacing w:before="4"/>
        <w:rPr>
          <w:sz w:val="20"/>
        </w:rPr>
      </w:pPr>
    </w:p>
    <w:tbl>
      <w:tblPr>
        <w:tblW w:w="0" w:type="auto"/>
        <w:tblInd w:w="141" w:type="dxa"/>
        <w:tblLayout w:type="fixed"/>
        <w:tblCellMar>
          <w:left w:w="0" w:type="dxa"/>
          <w:right w:w="0" w:type="dxa"/>
        </w:tblCellMar>
        <w:tblLook w:val="01E0" w:firstRow="1" w:lastRow="1" w:firstColumn="1" w:lastColumn="1" w:noHBand="0" w:noVBand="0"/>
      </w:tblPr>
      <w:tblGrid>
        <w:gridCol w:w="563"/>
        <w:gridCol w:w="3898"/>
        <w:gridCol w:w="4855"/>
        <w:gridCol w:w="1400"/>
        <w:gridCol w:w="1020"/>
        <w:gridCol w:w="990"/>
        <w:gridCol w:w="990"/>
        <w:gridCol w:w="990"/>
        <w:gridCol w:w="987"/>
      </w:tblGrid>
      <w:tr w:rsidR="00141B97" w14:paraId="485B3712" w14:textId="77777777">
        <w:trPr>
          <w:trHeight w:val="495"/>
        </w:trPr>
        <w:tc>
          <w:tcPr>
            <w:tcW w:w="563" w:type="dxa"/>
            <w:tcBorders>
              <w:bottom w:val="single" w:sz="4" w:space="0" w:color="FFFFFF"/>
            </w:tcBorders>
            <w:shd w:val="clear" w:color="auto" w:fill="006CA3"/>
          </w:tcPr>
          <w:p w14:paraId="3D05ECE0" w14:textId="77777777" w:rsidR="00141B97" w:rsidRDefault="00911D63">
            <w:pPr>
              <w:pStyle w:val="TableParagraph"/>
              <w:spacing w:before="138"/>
              <w:ind w:left="154"/>
              <w:rPr>
                <w:sz w:val="18"/>
              </w:rPr>
            </w:pPr>
            <w:r>
              <w:rPr>
                <w:color w:val="FFFFFF"/>
                <w:spacing w:val="-5"/>
                <w:sz w:val="18"/>
              </w:rPr>
              <w:t>No.</w:t>
            </w:r>
          </w:p>
        </w:tc>
        <w:tc>
          <w:tcPr>
            <w:tcW w:w="3898" w:type="dxa"/>
            <w:tcBorders>
              <w:bottom w:val="single" w:sz="4" w:space="0" w:color="FFFFFF"/>
            </w:tcBorders>
            <w:shd w:val="clear" w:color="auto" w:fill="006CA3"/>
          </w:tcPr>
          <w:p w14:paraId="275D17A1" w14:textId="77777777" w:rsidR="00141B97" w:rsidRDefault="00911D63">
            <w:pPr>
              <w:pStyle w:val="TableParagraph"/>
              <w:spacing w:before="138"/>
              <w:ind w:left="1438" w:right="1436"/>
              <w:jc w:val="center"/>
              <w:rPr>
                <w:sz w:val="18"/>
              </w:rPr>
            </w:pPr>
            <w:r>
              <w:rPr>
                <w:color w:val="FFFFFF"/>
                <w:sz w:val="18"/>
              </w:rPr>
              <w:t>Business</w:t>
            </w:r>
            <w:r>
              <w:rPr>
                <w:color w:val="FFFFFF"/>
                <w:spacing w:val="-3"/>
                <w:sz w:val="18"/>
              </w:rPr>
              <w:t xml:space="preserve"> </w:t>
            </w:r>
            <w:r>
              <w:rPr>
                <w:color w:val="FFFFFF"/>
                <w:spacing w:val="-4"/>
                <w:sz w:val="18"/>
              </w:rPr>
              <w:t>Case</w:t>
            </w:r>
          </w:p>
        </w:tc>
        <w:tc>
          <w:tcPr>
            <w:tcW w:w="4855" w:type="dxa"/>
            <w:tcBorders>
              <w:bottom w:val="single" w:sz="4" w:space="0" w:color="FFFFFF"/>
            </w:tcBorders>
            <w:shd w:val="clear" w:color="auto" w:fill="006CA3"/>
          </w:tcPr>
          <w:p w14:paraId="3960558E" w14:textId="77777777" w:rsidR="00141B97" w:rsidRDefault="00911D63">
            <w:pPr>
              <w:pStyle w:val="TableParagraph"/>
              <w:spacing w:before="138"/>
              <w:ind w:left="1678" w:right="1678"/>
              <w:jc w:val="center"/>
              <w:rPr>
                <w:sz w:val="18"/>
              </w:rPr>
            </w:pPr>
            <w:r>
              <w:rPr>
                <w:color w:val="FFFFFF"/>
                <w:sz w:val="18"/>
              </w:rPr>
              <w:t>Component</w:t>
            </w:r>
            <w:r>
              <w:rPr>
                <w:color w:val="FFFFFF"/>
                <w:spacing w:val="-4"/>
                <w:sz w:val="18"/>
              </w:rPr>
              <w:t xml:space="preserve"> </w:t>
            </w:r>
            <w:r>
              <w:rPr>
                <w:color w:val="FFFFFF"/>
                <w:spacing w:val="-2"/>
                <w:sz w:val="18"/>
              </w:rPr>
              <w:t>Projects</w:t>
            </w:r>
          </w:p>
        </w:tc>
        <w:tc>
          <w:tcPr>
            <w:tcW w:w="1400" w:type="dxa"/>
            <w:tcBorders>
              <w:bottom w:val="single" w:sz="4" w:space="0" w:color="FFFFFF"/>
            </w:tcBorders>
            <w:shd w:val="clear" w:color="auto" w:fill="006CA3"/>
          </w:tcPr>
          <w:p w14:paraId="3FBEE8CD" w14:textId="77777777" w:rsidR="00141B97" w:rsidRDefault="00911D63">
            <w:pPr>
              <w:pStyle w:val="TableParagraph"/>
              <w:spacing w:before="29"/>
              <w:ind w:left="342" w:right="218" w:hanging="88"/>
              <w:rPr>
                <w:sz w:val="18"/>
              </w:rPr>
            </w:pPr>
            <w:r>
              <w:rPr>
                <w:color w:val="FFFFFF"/>
                <w:sz w:val="18"/>
              </w:rPr>
              <w:t>Total</w:t>
            </w:r>
            <w:r>
              <w:rPr>
                <w:color w:val="FFFFFF"/>
                <w:spacing w:val="-11"/>
                <w:sz w:val="18"/>
              </w:rPr>
              <w:t xml:space="preserve"> </w:t>
            </w:r>
            <w:r>
              <w:rPr>
                <w:color w:val="FFFFFF"/>
                <w:sz w:val="18"/>
              </w:rPr>
              <w:t>Project Cost</w:t>
            </w:r>
            <w:r>
              <w:rPr>
                <w:color w:val="FFFFFF"/>
                <w:spacing w:val="-2"/>
                <w:sz w:val="18"/>
              </w:rPr>
              <w:t xml:space="preserve"> </w:t>
            </w:r>
            <w:r>
              <w:rPr>
                <w:color w:val="FFFFFF"/>
                <w:sz w:val="18"/>
              </w:rPr>
              <w:t>($m)</w:t>
            </w:r>
          </w:p>
        </w:tc>
        <w:tc>
          <w:tcPr>
            <w:tcW w:w="1020" w:type="dxa"/>
            <w:tcBorders>
              <w:bottom w:val="single" w:sz="4" w:space="0" w:color="FFFFFF"/>
            </w:tcBorders>
            <w:shd w:val="clear" w:color="auto" w:fill="006CA3"/>
          </w:tcPr>
          <w:p w14:paraId="19F5CD80" w14:textId="77777777" w:rsidR="00141B97" w:rsidRDefault="00911D63">
            <w:pPr>
              <w:pStyle w:val="TableParagraph"/>
              <w:spacing w:before="138"/>
              <w:ind w:left="208" w:right="182"/>
              <w:jc w:val="center"/>
              <w:rPr>
                <w:sz w:val="18"/>
              </w:rPr>
            </w:pPr>
            <w:r>
              <w:rPr>
                <w:color w:val="FFFFFF"/>
                <w:spacing w:val="-2"/>
                <w:sz w:val="18"/>
              </w:rPr>
              <w:t>2023‐24</w:t>
            </w:r>
          </w:p>
        </w:tc>
        <w:tc>
          <w:tcPr>
            <w:tcW w:w="990" w:type="dxa"/>
            <w:tcBorders>
              <w:bottom w:val="single" w:sz="4" w:space="0" w:color="FFFFFF"/>
            </w:tcBorders>
            <w:shd w:val="clear" w:color="auto" w:fill="006CA3"/>
          </w:tcPr>
          <w:p w14:paraId="05D976DA" w14:textId="77777777" w:rsidR="00141B97" w:rsidRDefault="00911D63">
            <w:pPr>
              <w:pStyle w:val="TableParagraph"/>
              <w:spacing w:before="138"/>
              <w:ind w:left="139" w:right="142"/>
              <w:jc w:val="center"/>
              <w:rPr>
                <w:sz w:val="18"/>
              </w:rPr>
            </w:pPr>
            <w:r>
              <w:rPr>
                <w:color w:val="FFFFFF"/>
                <w:spacing w:val="-2"/>
                <w:sz w:val="18"/>
              </w:rPr>
              <w:t>2024‐25</w:t>
            </w:r>
          </w:p>
        </w:tc>
        <w:tc>
          <w:tcPr>
            <w:tcW w:w="990" w:type="dxa"/>
            <w:tcBorders>
              <w:bottom w:val="single" w:sz="4" w:space="0" w:color="FFFFFF"/>
            </w:tcBorders>
            <w:shd w:val="clear" w:color="auto" w:fill="006CA3"/>
          </w:tcPr>
          <w:p w14:paraId="02B14A63" w14:textId="77777777" w:rsidR="00141B97" w:rsidRDefault="00911D63">
            <w:pPr>
              <w:pStyle w:val="TableParagraph"/>
              <w:spacing w:before="138"/>
              <w:ind w:left="139" w:right="145"/>
              <w:jc w:val="center"/>
              <w:rPr>
                <w:sz w:val="18"/>
              </w:rPr>
            </w:pPr>
            <w:r>
              <w:rPr>
                <w:color w:val="FFFFFF"/>
                <w:spacing w:val="-2"/>
                <w:sz w:val="18"/>
              </w:rPr>
              <w:t>2025‐26</w:t>
            </w:r>
          </w:p>
        </w:tc>
        <w:tc>
          <w:tcPr>
            <w:tcW w:w="990" w:type="dxa"/>
            <w:tcBorders>
              <w:bottom w:val="single" w:sz="4" w:space="0" w:color="FFFFFF"/>
            </w:tcBorders>
            <w:shd w:val="clear" w:color="auto" w:fill="006CA3"/>
          </w:tcPr>
          <w:p w14:paraId="667F6C7D" w14:textId="77777777" w:rsidR="00141B97" w:rsidRDefault="00911D63">
            <w:pPr>
              <w:pStyle w:val="TableParagraph"/>
              <w:spacing w:before="138"/>
              <w:ind w:left="139" w:right="147"/>
              <w:jc w:val="center"/>
              <w:rPr>
                <w:sz w:val="18"/>
              </w:rPr>
            </w:pPr>
            <w:r>
              <w:rPr>
                <w:color w:val="FFFFFF"/>
                <w:spacing w:val="-2"/>
                <w:sz w:val="18"/>
              </w:rPr>
              <w:t>2026‐27</w:t>
            </w:r>
          </w:p>
        </w:tc>
        <w:tc>
          <w:tcPr>
            <w:tcW w:w="987" w:type="dxa"/>
            <w:tcBorders>
              <w:bottom w:val="single" w:sz="4" w:space="0" w:color="FFFFFF"/>
            </w:tcBorders>
            <w:shd w:val="clear" w:color="auto" w:fill="006CA3"/>
          </w:tcPr>
          <w:p w14:paraId="4171DDEA" w14:textId="77777777" w:rsidR="00141B97" w:rsidRDefault="00911D63">
            <w:pPr>
              <w:pStyle w:val="TableParagraph"/>
              <w:spacing w:before="138"/>
              <w:ind w:left="175" w:right="183"/>
              <w:jc w:val="center"/>
              <w:rPr>
                <w:sz w:val="18"/>
              </w:rPr>
            </w:pPr>
            <w:r>
              <w:rPr>
                <w:color w:val="FFFFFF"/>
                <w:spacing w:val="-2"/>
                <w:sz w:val="18"/>
              </w:rPr>
              <w:t>2027‐28</w:t>
            </w:r>
          </w:p>
        </w:tc>
      </w:tr>
      <w:tr w:rsidR="00141B97" w14:paraId="5D35802A" w14:textId="77777777">
        <w:trPr>
          <w:trHeight w:val="264"/>
        </w:trPr>
        <w:tc>
          <w:tcPr>
            <w:tcW w:w="563" w:type="dxa"/>
            <w:tcBorders>
              <w:top w:val="single" w:sz="4" w:space="0" w:color="FFFFFF"/>
              <w:bottom w:val="single" w:sz="8" w:space="0" w:color="FFFFFF"/>
            </w:tcBorders>
            <w:shd w:val="clear" w:color="auto" w:fill="CCE2ED"/>
          </w:tcPr>
          <w:p w14:paraId="6E5C77F1" w14:textId="77777777" w:rsidR="00141B97" w:rsidRDefault="00911D63">
            <w:pPr>
              <w:pStyle w:val="TableParagraph"/>
              <w:spacing w:before="27" w:line="217" w:lineRule="exact"/>
              <w:ind w:left="103"/>
              <w:rPr>
                <w:sz w:val="18"/>
              </w:rPr>
            </w:pPr>
            <w:r>
              <w:rPr>
                <w:sz w:val="18"/>
              </w:rPr>
              <w:t>1</w:t>
            </w:r>
          </w:p>
        </w:tc>
        <w:tc>
          <w:tcPr>
            <w:tcW w:w="3898" w:type="dxa"/>
            <w:tcBorders>
              <w:top w:val="single" w:sz="4" w:space="0" w:color="FFFFFF"/>
              <w:bottom w:val="single" w:sz="8" w:space="0" w:color="FFFFFF"/>
              <w:right w:val="single" w:sz="8" w:space="0" w:color="FFFFFF"/>
            </w:tcBorders>
            <w:shd w:val="clear" w:color="auto" w:fill="CCE2ED"/>
          </w:tcPr>
          <w:p w14:paraId="6C72408D" w14:textId="77777777" w:rsidR="00141B97" w:rsidRDefault="00911D63">
            <w:pPr>
              <w:pStyle w:val="TableParagraph"/>
              <w:spacing w:before="27" w:line="217" w:lineRule="exact"/>
              <w:ind w:left="144"/>
              <w:rPr>
                <w:sz w:val="18"/>
              </w:rPr>
            </w:pPr>
            <w:r>
              <w:rPr>
                <w:sz w:val="18"/>
              </w:rPr>
              <w:t>Purchase</w:t>
            </w:r>
            <w:r>
              <w:rPr>
                <w:spacing w:val="-1"/>
                <w:sz w:val="18"/>
              </w:rPr>
              <w:t xml:space="preserve"> </w:t>
            </w:r>
            <w:r>
              <w:rPr>
                <w:sz w:val="18"/>
              </w:rPr>
              <w:t xml:space="preserve">of </w:t>
            </w:r>
            <w:r>
              <w:rPr>
                <w:spacing w:val="-2"/>
                <w:sz w:val="18"/>
              </w:rPr>
              <w:t>Water</w:t>
            </w:r>
          </w:p>
        </w:tc>
        <w:tc>
          <w:tcPr>
            <w:tcW w:w="4855" w:type="dxa"/>
            <w:tcBorders>
              <w:top w:val="single" w:sz="4" w:space="0" w:color="FFFFFF"/>
              <w:left w:val="single" w:sz="8" w:space="0" w:color="FFFFFF"/>
              <w:bottom w:val="single" w:sz="8" w:space="0" w:color="FFFFFF"/>
              <w:right w:val="single" w:sz="6" w:space="0" w:color="FFFFFF"/>
            </w:tcBorders>
            <w:shd w:val="clear" w:color="auto" w:fill="CCE2ED"/>
          </w:tcPr>
          <w:p w14:paraId="76233F8E" w14:textId="77777777" w:rsidR="00141B97" w:rsidRDefault="00911D63">
            <w:pPr>
              <w:pStyle w:val="TableParagraph"/>
              <w:spacing w:before="27" w:line="217" w:lineRule="exact"/>
              <w:ind w:left="94"/>
              <w:rPr>
                <w:sz w:val="18"/>
              </w:rPr>
            </w:pPr>
            <w:r>
              <w:rPr>
                <w:sz w:val="18"/>
              </w:rPr>
              <w:t>Purchase</w:t>
            </w:r>
            <w:r>
              <w:rPr>
                <w:spacing w:val="-1"/>
                <w:sz w:val="18"/>
              </w:rPr>
              <w:t xml:space="preserve"> </w:t>
            </w:r>
            <w:r>
              <w:rPr>
                <w:sz w:val="18"/>
              </w:rPr>
              <w:t xml:space="preserve">of </w:t>
            </w:r>
            <w:r>
              <w:rPr>
                <w:spacing w:val="-2"/>
                <w:sz w:val="18"/>
              </w:rPr>
              <w:t>Water</w:t>
            </w:r>
          </w:p>
        </w:tc>
        <w:tc>
          <w:tcPr>
            <w:tcW w:w="1400" w:type="dxa"/>
            <w:tcBorders>
              <w:top w:val="single" w:sz="4" w:space="0" w:color="FFFFFF"/>
              <w:left w:val="single" w:sz="6" w:space="0" w:color="FFFFFF"/>
              <w:bottom w:val="single" w:sz="8" w:space="0" w:color="FFFFFF"/>
            </w:tcBorders>
            <w:shd w:val="clear" w:color="auto" w:fill="CCE2ED"/>
          </w:tcPr>
          <w:p w14:paraId="414A1ECD" w14:textId="77777777" w:rsidR="00141B97" w:rsidRDefault="00911D63">
            <w:pPr>
              <w:pStyle w:val="TableParagraph"/>
              <w:spacing w:before="27" w:line="217" w:lineRule="exact"/>
              <w:ind w:left="539" w:right="511"/>
              <w:jc w:val="center"/>
              <w:rPr>
                <w:sz w:val="18"/>
              </w:rPr>
            </w:pPr>
            <w:r>
              <w:rPr>
                <w:spacing w:val="-4"/>
                <w:sz w:val="18"/>
              </w:rPr>
              <w:t>8.09</w:t>
            </w:r>
          </w:p>
        </w:tc>
        <w:tc>
          <w:tcPr>
            <w:tcW w:w="1020" w:type="dxa"/>
            <w:tcBorders>
              <w:top w:val="single" w:sz="4" w:space="0" w:color="FFFFFF"/>
              <w:bottom w:val="single" w:sz="8" w:space="0" w:color="FFFFFF"/>
            </w:tcBorders>
            <w:shd w:val="clear" w:color="auto" w:fill="CCE2ED"/>
          </w:tcPr>
          <w:p w14:paraId="538C6DD2" w14:textId="77777777" w:rsidR="00141B97" w:rsidRDefault="00911D63">
            <w:pPr>
              <w:pStyle w:val="TableParagraph"/>
              <w:spacing w:before="27" w:line="217" w:lineRule="exact"/>
              <w:ind w:left="207" w:right="182"/>
              <w:jc w:val="center"/>
              <w:rPr>
                <w:sz w:val="18"/>
              </w:rPr>
            </w:pPr>
            <w:r>
              <w:rPr>
                <w:spacing w:val="-4"/>
                <w:sz w:val="18"/>
              </w:rPr>
              <w:t>1.00</w:t>
            </w:r>
          </w:p>
        </w:tc>
        <w:tc>
          <w:tcPr>
            <w:tcW w:w="990" w:type="dxa"/>
            <w:tcBorders>
              <w:top w:val="single" w:sz="4" w:space="0" w:color="FFFFFF"/>
              <w:bottom w:val="single" w:sz="8" w:space="0" w:color="FFFFFF"/>
            </w:tcBorders>
            <w:shd w:val="clear" w:color="auto" w:fill="CCE2ED"/>
          </w:tcPr>
          <w:p w14:paraId="4D5DF8D7" w14:textId="77777777" w:rsidR="00141B97" w:rsidRDefault="00911D63">
            <w:pPr>
              <w:pStyle w:val="TableParagraph"/>
              <w:spacing w:before="27" w:line="217" w:lineRule="exact"/>
              <w:ind w:left="139" w:right="144"/>
              <w:jc w:val="center"/>
              <w:rPr>
                <w:sz w:val="18"/>
              </w:rPr>
            </w:pPr>
            <w:r>
              <w:rPr>
                <w:spacing w:val="-4"/>
                <w:sz w:val="18"/>
              </w:rPr>
              <w:t>1.00</w:t>
            </w:r>
          </w:p>
        </w:tc>
        <w:tc>
          <w:tcPr>
            <w:tcW w:w="990" w:type="dxa"/>
            <w:tcBorders>
              <w:top w:val="single" w:sz="4" w:space="0" w:color="FFFFFF"/>
              <w:bottom w:val="single" w:sz="8" w:space="0" w:color="FFFFFF"/>
            </w:tcBorders>
            <w:shd w:val="clear" w:color="auto" w:fill="CCE2ED"/>
          </w:tcPr>
          <w:p w14:paraId="29202AFF" w14:textId="77777777" w:rsidR="00141B97" w:rsidRDefault="00911D63">
            <w:pPr>
              <w:pStyle w:val="TableParagraph"/>
              <w:spacing w:before="27" w:line="217" w:lineRule="exact"/>
              <w:ind w:left="139" w:right="146"/>
              <w:jc w:val="center"/>
              <w:rPr>
                <w:sz w:val="18"/>
              </w:rPr>
            </w:pPr>
            <w:r>
              <w:rPr>
                <w:spacing w:val="-4"/>
                <w:sz w:val="18"/>
              </w:rPr>
              <w:t>1.00</w:t>
            </w:r>
          </w:p>
        </w:tc>
        <w:tc>
          <w:tcPr>
            <w:tcW w:w="990" w:type="dxa"/>
            <w:tcBorders>
              <w:top w:val="single" w:sz="4" w:space="0" w:color="FFFFFF"/>
              <w:bottom w:val="single" w:sz="8" w:space="0" w:color="FFFFFF"/>
            </w:tcBorders>
            <w:shd w:val="clear" w:color="auto" w:fill="CCE2ED"/>
          </w:tcPr>
          <w:p w14:paraId="521E38C6" w14:textId="77777777" w:rsidR="00141B97" w:rsidRDefault="00911D63">
            <w:pPr>
              <w:pStyle w:val="TableParagraph"/>
              <w:spacing w:before="27" w:line="217" w:lineRule="exact"/>
              <w:ind w:left="139" w:right="148"/>
              <w:jc w:val="center"/>
              <w:rPr>
                <w:sz w:val="18"/>
              </w:rPr>
            </w:pPr>
            <w:r>
              <w:rPr>
                <w:spacing w:val="-4"/>
                <w:sz w:val="18"/>
              </w:rPr>
              <w:t>1.00</w:t>
            </w:r>
          </w:p>
        </w:tc>
        <w:tc>
          <w:tcPr>
            <w:tcW w:w="987" w:type="dxa"/>
            <w:tcBorders>
              <w:top w:val="single" w:sz="4" w:space="0" w:color="FFFFFF"/>
              <w:bottom w:val="single" w:sz="8" w:space="0" w:color="FFFFFF"/>
            </w:tcBorders>
            <w:shd w:val="clear" w:color="auto" w:fill="CCE2ED"/>
          </w:tcPr>
          <w:p w14:paraId="6C74F059" w14:textId="77777777" w:rsidR="00141B97" w:rsidRDefault="00911D63">
            <w:pPr>
              <w:pStyle w:val="TableParagraph"/>
              <w:spacing w:before="27" w:line="217" w:lineRule="exact"/>
              <w:ind w:left="174" w:right="183"/>
              <w:jc w:val="center"/>
              <w:rPr>
                <w:sz w:val="18"/>
              </w:rPr>
            </w:pPr>
            <w:r>
              <w:rPr>
                <w:spacing w:val="-4"/>
                <w:sz w:val="18"/>
              </w:rPr>
              <w:t>4.09</w:t>
            </w:r>
          </w:p>
        </w:tc>
      </w:tr>
      <w:tr w:rsidR="00141B97" w14:paraId="582DE7C0" w14:textId="77777777">
        <w:trPr>
          <w:trHeight w:val="253"/>
        </w:trPr>
        <w:tc>
          <w:tcPr>
            <w:tcW w:w="563" w:type="dxa"/>
            <w:tcBorders>
              <w:top w:val="single" w:sz="8" w:space="0" w:color="FFFFFF"/>
              <w:bottom w:val="single" w:sz="6" w:space="0" w:color="FFFFFF"/>
            </w:tcBorders>
            <w:shd w:val="clear" w:color="auto" w:fill="CCE2ED"/>
          </w:tcPr>
          <w:p w14:paraId="6882B295" w14:textId="77777777" w:rsidR="00141B97" w:rsidRDefault="00911D63">
            <w:pPr>
              <w:pStyle w:val="TableParagraph"/>
              <w:spacing w:before="19" w:line="214" w:lineRule="exact"/>
              <w:ind w:left="103"/>
              <w:rPr>
                <w:sz w:val="18"/>
              </w:rPr>
            </w:pPr>
            <w:r>
              <w:rPr>
                <w:sz w:val="18"/>
              </w:rPr>
              <w:t>2</w:t>
            </w:r>
          </w:p>
        </w:tc>
        <w:tc>
          <w:tcPr>
            <w:tcW w:w="3898" w:type="dxa"/>
            <w:tcBorders>
              <w:top w:val="single" w:sz="8" w:space="0" w:color="FFFFFF"/>
              <w:bottom w:val="single" w:sz="6" w:space="0" w:color="FFFFFF"/>
              <w:right w:val="single" w:sz="8" w:space="0" w:color="FFFFFF"/>
            </w:tcBorders>
            <w:shd w:val="clear" w:color="auto" w:fill="CCE2ED"/>
          </w:tcPr>
          <w:p w14:paraId="7909EA79" w14:textId="77777777" w:rsidR="00141B97" w:rsidRDefault="00911D63">
            <w:pPr>
              <w:pStyle w:val="TableParagraph"/>
              <w:spacing w:before="19" w:line="214" w:lineRule="exact"/>
              <w:ind w:left="144"/>
              <w:rPr>
                <w:sz w:val="18"/>
              </w:rPr>
            </w:pPr>
            <w:r>
              <w:rPr>
                <w:sz w:val="18"/>
              </w:rPr>
              <w:t>Water</w:t>
            </w:r>
            <w:r>
              <w:rPr>
                <w:spacing w:val="-3"/>
                <w:sz w:val="18"/>
              </w:rPr>
              <w:t xml:space="preserve"> </w:t>
            </w:r>
            <w:r>
              <w:rPr>
                <w:sz w:val="18"/>
              </w:rPr>
              <w:t>Mains</w:t>
            </w:r>
            <w:r>
              <w:rPr>
                <w:spacing w:val="-4"/>
                <w:sz w:val="18"/>
              </w:rPr>
              <w:t xml:space="preserve"> </w:t>
            </w:r>
            <w:r>
              <w:rPr>
                <w:sz w:val="18"/>
              </w:rPr>
              <w:t>Upgrade</w:t>
            </w:r>
            <w:r>
              <w:rPr>
                <w:spacing w:val="-4"/>
                <w:sz w:val="18"/>
              </w:rPr>
              <w:t xml:space="preserve"> </w:t>
            </w:r>
            <w:r>
              <w:rPr>
                <w:sz w:val="18"/>
              </w:rPr>
              <w:t>in</w:t>
            </w:r>
            <w:r>
              <w:rPr>
                <w:spacing w:val="-2"/>
                <w:sz w:val="18"/>
              </w:rPr>
              <w:t xml:space="preserve"> Mildura</w:t>
            </w:r>
          </w:p>
        </w:tc>
        <w:tc>
          <w:tcPr>
            <w:tcW w:w="4855" w:type="dxa"/>
            <w:tcBorders>
              <w:top w:val="single" w:sz="8" w:space="0" w:color="FFFFFF"/>
              <w:left w:val="single" w:sz="8" w:space="0" w:color="FFFFFF"/>
              <w:bottom w:val="single" w:sz="6" w:space="0" w:color="FFFFFF"/>
              <w:right w:val="single" w:sz="6" w:space="0" w:color="FFFFFF"/>
            </w:tcBorders>
            <w:shd w:val="clear" w:color="auto" w:fill="CCE2ED"/>
          </w:tcPr>
          <w:p w14:paraId="0C7516D3" w14:textId="77777777" w:rsidR="00141B97" w:rsidRDefault="00911D63">
            <w:pPr>
              <w:pStyle w:val="TableParagraph"/>
              <w:spacing w:before="19" w:line="214" w:lineRule="exact"/>
              <w:ind w:left="94"/>
              <w:rPr>
                <w:sz w:val="18"/>
              </w:rPr>
            </w:pPr>
            <w:r>
              <w:rPr>
                <w:sz w:val="18"/>
              </w:rPr>
              <w:t>MDA‐</w:t>
            </w:r>
            <w:r>
              <w:rPr>
                <w:spacing w:val="-2"/>
                <w:sz w:val="18"/>
              </w:rPr>
              <w:t xml:space="preserve"> </w:t>
            </w:r>
            <w:r>
              <w:rPr>
                <w:sz w:val="18"/>
              </w:rPr>
              <w:t>Water</w:t>
            </w:r>
            <w:r>
              <w:rPr>
                <w:spacing w:val="-2"/>
                <w:sz w:val="18"/>
              </w:rPr>
              <w:t xml:space="preserve"> </w:t>
            </w:r>
            <w:r>
              <w:rPr>
                <w:sz w:val="18"/>
              </w:rPr>
              <w:t>mains</w:t>
            </w:r>
            <w:r>
              <w:rPr>
                <w:spacing w:val="-1"/>
                <w:sz w:val="18"/>
              </w:rPr>
              <w:t xml:space="preserve"> </w:t>
            </w:r>
            <w:r>
              <w:rPr>
                <w:sz w:val="18"/>
              </w:rPr>
              <w:t>upgrades</w:t>
            </w:r>
            <w:r>
              <w:rPr>
                <w:spacing w:val="-2"/>
                <w:sz w:val="18"/>
              </w:rPr>
              <w:t xml:space="preserve"> </w:t>
            </w:r>
            <w:r>
              <w:rPr>
                <w:sz w:val="18"/>
              </w:rPr>
              <w:t>for</w:t>
            </w:r>
            <w:r>
              <w:rPr>
                <w:spacing w:val="-2"/>
                <w:sz w:val="18"/>
              </w:rPr>
              <w:t xml:space="preserve"> growth</w:t>
            </w:r>
          </w:p>
        </w:tc>
        <w:tc>
          <w:tcPr>
            <w:tcW w:w="1400" w:type="dxa"/>
            <w:tcBorders>
              <w:top w:val="single" w:sz="8" w:space="0" w:color="FFFFFF"/>
              <w:left w:val="single" w:sz="6" w:space="0" w:color="FFFFFF"/>
              <w:bottom w:val="single" w:sz="6" w:space="0" w:color="FFFFFF"/>
            </w:tcBorders>
            <w:shd w:val="clear" w:color="auto" w:fill="CCE2ED"/>
          </w:tcPr>
          <w:p w14:paraId="02F961AA" w14:textId="77777777" w:rsidR="00141B97" w:rsidRDefault="00911D63">
            <w:pPr>
              <w:pStyle w:val="TableParagraph"/>
              <w:spacing w:before="19" w:line="214" w:lineRule="exact"/>
              <w:ind w:left="539" w:right="511"/>
              <w:jc w:val="center"/>
              <w:rPr>
                <w:sz w:val="18"/>
              </w:rPr>
            </w:pPr>
            <w:r>
              <w:rPr>
                <w:spacing w:val="-4"/>
                <w:sz w:val="18"/>
              </w:rPr>
              <w:t>3.83</w:t>
            </w:r>
          </w:p>
        </w:tc>
        <w:tc>
          <w:tcPr>
            <w:tcW w:w="1020" w:type="dxa"/>
            <w:tcBorders>
              <w:top w:val="single" w:sz="8" w:space="0" w:color="FFFFFF"/>
              <w:bottom w:val="single" w:sz="6" w:space="0" w:color="FFFFFF"/>
            </w:tcBorders>
            <w:shd w:val="clear" w:color="auto" w:fill="CCE2ED"/>
          </w:tcPr>
          <w:p w14:paraId="34247566" w14:textId="77777777" w:rsidR="00141B97" w:rsidRDefault="00911D63">
            <w:pPr>
              <w:pStyle w:val="TableParagraph"/>
              <w:spacing w:before="19" w:line="214" w:lineRule="exact"/>
              <w:ind w:left="207" w:right="182"/>
              <w:jc w:val="center"/>
              <w:rPr>
                <w:sz w:val="18"/>
              </w:rPr>
            </w:pPr>
            <w:r>
              <w:rPr>
                <w:spacing w:val="-4"/>
                <w:sz w:val="18"/>
              </w:rPr>
              <w:t>0.75</w:t>
            </w:r>
          </w:p>
        </w:tc>
        <w:tc>
          <w:tcPr>
            <w:tcW w:w="990" w:type="dxa"/>
            <w:tcBorders>
              <w:top w:val="single" w:sz="8" w:space="0" w:color="FFFFFF"/>
              <w:bottom w:val="single" w:sz="6" w:space="0" w:color="FFFFFF"/>
            </w:tcBorders>
            <w:shd w:val="clear" w:color="auto" w:fill="CCE2ED"/>
          </w:tcPr>
          <w:p w14:paraId="75B89E33" w14:textId="77777777" w:rsidR="00141B97" w:rsidRDefault="00911D63">
            <w:pPr>
              <w:pStyle w:val="TableParagraph"/>
              <w:spacing w:before="19" w:line="214" w:lineRule="exact"/>
              <w:ind w:left="139" w:right="144"/>
              <w:jc w:val="center"/>
              <w:rPr>
                <w:sz w:val="18"/>
              </w:rPr>
            </w:pPr>
            <w:r>
              <w:rPr>
                <w:spacing w:val="-4"/>
                <w:sz w:val="18"/>
              </w:rPr>
              <w:t>0.25</w:t>
            </w:r>
          </w:p>
        </w:tc>
        <w:tc>
          <w:tcPr>
            <w:tcW w:w="990" w:type="dxa"/>
            <w:tcBorders>
              <w:top w:val="single" w:sz="8" w:space="0" w:color="FFFFFF"/>
              <w:bottom w:val="single" w:sz="6" w:space="0" w:color="FFFFFF"/>
            </w:tcBorders>
            <w:shd w:val="clear" w:color="auto" w:fill="CCE2ED"/>
          </w:tcPr>
          <w:p w14:paraId="4699FAB2" w14:textId="77777777" w:rsidR="00141B97" w:rsidRDefault="00911D63">
            <w:pPr>
              <w:pStyle w:val="TableParagraph"/>
              <w:spacing w:before="19" w:line="214" w:lineRule="exact"/>
              <w:ind w:left="139" w:right="146"/>
              <w:jc w:val="center"/>
              <w:rPr>
                <w:sz w:val="18"/>
              </w:rPr>
            </w:pPr>
            <w:r>
              <w:rPr>
                <w:spacing w:val="-4"/>
                <w:sz w:val="18"/>
              </w:rPr>
              <w:t>0.75</w:t>
            </w:r>
          </w:p>
        </w:tc>
        <w:tc>
          <w:tcPr>
            <w:tcW w:w="990" w:type="dxa"/>
            <w:tcBorders>
              <w:top w:val="single" w:sz="8" w:space="0" w:color="FFFFFF"/>
              <w:bottom w:val="single" w:sz="6" w:space="0" w:color="FFFFFF"/>
            </w:tcBorders>
            <w:shd w:val="clear" w:color="auto" w:fill="CCE2ED"/>
          </w:tcPr>
          <w:p w14:paraId="1C33555C" w14:textId="77777777" w:rsidR="00141B97" w:rsidRDefault="00911D63">
            <w:pPr>
              <w:pStyle w:val="TableParagraph"/>
              <w:spacing w:before="19" w:line="214" w:lineRule="exact"/>
              <w:ind w:left="139" w:right="148"/>
              <w:jc w:val="center"/>
              <w:rPr>
                <w:sz w:val="18"/>
              </w:rPr>
            </w:pPr>
            <w:r>
              <w:rPr>
                <w:spacing w:val="-4"/>
                <w:sz w:val="18"/>
              </w:rPr>
              <w:t>1.00</w:t>
            </w:r>
          </w:p>
        </w:tc>
        <w:tc>
          <w:tcPr>
            <w:tcW w:w="987" w:type="dxa"/>
            <w:tcBorders>
              <w:top w:val="single" w:sz="8" w:space="0" w:color="FFFFFF"/>
              <w:bottom w:val="single" w:sz="6" w:space="0" w:color="FFFFFF"/>
            </w:tcBorders>
            <w:shd w:val="clear" w:color="auto" w:fill="CCE2ED"/>
          </w:tcPr>
          <w:p w14:paraId="785E63F7" w14:textId="77777777" w:rsidR="00141B97" w:rsidRDefault="00911D63">
            <w:pPr>
              <w:pStyle w:val="TableParagraph"/>
              <w:spacing w:before="19" w:line="214" w:lineRule="exact"/>
              <w:ind w:left="174" w:right="183"/>
              <w:jc w:val="center"/>
              <w:rPr>
                <w:sz w:val="18"/>
              </w:rPr>
            </w:pPr>
            <w:r>
              <w:rPr>
                <w:spacing w:val="-4"/>
                <w:sz w:val="18"/>
              </w:rPr>
              <w:t>1.08</w:t>
            </w:r>
          </w:p>
        </w:tc>
      </w:tr>
      <w:tr w:rsidR="00141B97" w14:paraId="0A3FF85C" w14:textId="77777777">
        <w:trPr>
          <w:trHeight w:val="477"/>
        </w:trPr>
        <w:tc>
          <w:tcPr>
            <w:tcW w:w="563" w:type="dxa"/>
            <w:tcBorders>
              <w:top w:val="single" w:sz="6" w:space="0" w:color="FFFFFF"/>
              <w:bottom w:val="single" w:sz="4" w:space="0" w:color="FFFFFF"/>
            </w:tcBorders>
            <w:shd w:val="clear" w:color="auto" w:fill="CCE2ED"/>
          </w:tcPr>
          <w:p w14:paraId="742095AD" w14:textId="77777777" w:rsidR="00141B97" w:rsidRDefault="00911D63">
            <w:pPr>
              <w:pStyle w:val="TableParagraph"/>
              <w:spacing w:before="127"/>
              <w:ind w:left="103"/>
              <w:rPr>
                <w:sz w:val="18"/>
              </w:rPr>
            </w:pPr>
            <w:r>
              <w:rPr>
                <w:sz w:val="18"/>
              </w:rPr>
              <w:t>3</w:t>
            </w:r>
          </w:p>
        </w:tc>
        <w:tc>
          <w:tcPr>
            <w:tcW w:w="3898" w:type="dxa"/>
            <w:tcBorders>
              <w:top w:val="single" w:sz="6" w:space="0" w:color="FFFFFF"/>
              <w:bottom w:val="single" w:sz="4" w:space="0" w:color="FFFFFF"/>
            </w:tcBorders>
            <w:shd w:val="clear" w:color="auto" w:fill="CCE2ED"/>
          </w:tcPr>
          <w:p w14:paraId="211B0164" w14:textId="77777777" w:rsidR="00141B97" w:rsidRDefault="00911D63">
            <w:pPr>
              <w:pStyle w:val="TableParagraph"/>
              <w:spacing w:before="17" w:line="220" w:lineRule="atLeast"/>
              <w:ind w:left="154" w:right="40"/>
              <w:rPr>
                <w:sz w:val="18"/>
              </w:rPr>
            </w:pPr>
            <w:r>
              <w:rPr>
                <w:sz w:val="18"/>
              </w:rPr>
              <w:t>New</w:t>
            </w:r>
            <w:r>
              <w:rPr>
                <w:spacing w:val="-6"/>
                <w:sz w:val="18"/>
              </w:rPr>
              <w:t xml:space="preserve"> </w:t>
            </w:r>
            <w:r>
              <w:rPr>
                <w:sz w:val="18"/>
              </w:rPr>
              <w:t>10ML</w:t>
            </w:r>
            <w:r>
              <w:rPr>
                <w:spacing w:val="-6"/>
                <w:sz w:val="18"/>
              </w:rPr>
              <w:t xml:space="preserve"> </w:t>
            </w:r>
            <w:r>
              <w:rPr>
                <w:sz w:val="18"/>
              </w:rPr>
              <w:t>Treated</w:t>
            </w:r>
            <w:r>
              <w:rPr>
                <w:spacing w:val="-6"/>
                <w:sz w:val="18"/>
              </w:rPr>
              <w:t xml:space="preserve"> </w:t>
            </w:r>
            <w:r>
              <w:rPr>
                <w:sz w:val="18"/>
              </w:rPr>
              <w:t>Water</w:t>
            </w:r>
            <w:r>
              <w:rPr>
                <w:spacing w:val="-6"/>
                <w:sz w:val="18"/>
              </w:rPr>
              <w:t xml:space="preserve"> </w:t>
            </w:r>
            <w:r>
              <w:rPr>
                <w:sz w:val="18"/>
              </w:rPr>
              <w:t>Storage</w:t>
            </w:r>
            <w:r>
              <w:rPr>
                <w:spacing w:val="-7"/>
                <w:sz w:val="18"/>
              </w:rPr>
              <w:t xml:space="preserve"> </w:t>
            </w:r>
            <w:r>
              <w:rPr>
                <w:sz w:val="18"/>
              </w:rPr>
              <w:t>and</w:t>
            </w:r>
            <w:r>
              <w:rPr>
                <w:spacing w:val="-6"/>
                <w:sz w:val="18"/>
              </w:rPr>
              <w:t xml:space="preserve"> </w:t>
            </w:r>
            <w:r>
              <w:rPr>
                <w:sz w:val="18"/>
              </w:rPr>
              <w:t>Pump Station upgrade at 14th St Mildura (Stage 1)</w:t>
            </w:r>
          </w:p>
        </w:tc>
        <w:tc>
          <w:tcPr>
            <w:tcW w:w="4855" w:type="dxa"/>
            <w:tcBorders>
              <w:top w:val="single" w:sz="6" w:space="0" w:color="FFFFFF"/>
              <w:bottom w:val="single" w:sz="4" w:space="0" w:color="FFFFFF"/>
            </w:tcBorders>
            <w:shd w:val="clear" w:color="auto" w:fill="CCE2ED"/>
          </w:tcPr>
          <w:p w14:paraId="24111067" w14:textId="77777777" w:rsidR="00141B97" w:rsidRDefault="00911D63">
            <w:pPr>
              <w:pStyle w:val="TableParagraph"/>
              <w:spacing w:before="17" w:line="220" w:lineRule="atLeast"/>
              <w:ind w:left="104"/>
              <w:rPr>
                <w:sz w:val="18"/>
              </w:rPr>
            </w:pPr>
            <w:r>
              <w:rPr>
                <w:sz w:val="18"/>
              </w:rPr>
              <w:t>New</w:t>
            </w:r>
            <w:r>
              <w:rPr>
                <w:spacing w:val="-4"/>
                <w:sz w:val="18"/>
              </w:rPr>
              <w:t xml:space="preserve"> </w:t>
            </w:r>
            <w:r>
              <w:rPr>
                <w:sz w:val="18"/>
              </w:rPr>
              <w:t>10ML</w:t>
            </w:r>
            <w:r>
              <w:rPr>
                <w:spacing w:val="-4"/>
                <w:sz w:val="18"/>
              </w:rPr>
              <w:t xml:space="preserve"> </w:t>
            </w:r>
            <w:r>
              <w:rPr>
                <w:sz w:val="18"/>
              </w:rPr>
              <w:t>Treated</w:t>
            </w:r>
            <w:r>
              <w:rPr>
                <w:spacing w:val="-4"/>
                <w:sz w:val="18"/>
              </w:rPr>
              <w:t xml:space="preserve"> </w:t>
            </w:r>
            <w:r>
              <w:rPr>
                <w:sz w:val="18"/>
              </w:rPr>
              <w:t>Water</w:t>
            </w:r>
            <w:r>
              <w:rPr>
                <w:spacing w:val="-4"/>
                <w:sz w:val="18"/>
              </w:rPr>
              <w:t xml:space="preserve"> </w:t>
            </w:r>
            <w:r>
              <w:rPr>
                <w:sz w:val="18"/>
              </w:rPr>
              <w:t>Storage</w:t>
            </w:r>
            <w:r>
              <w:rPr>
                <w:spacing w:val="-5"/>
                <w:sz w:val="18"/>
              </w:rPr>
              <w:t xml:space="preserve"> </w:t>
            </w:r>
            <w:r>
              <w:rPr>
                <w:sz w:val="18"/>
              </w:rPr>
              <w:t>and</w:t>
            </w:r>
            <w:r>
              <w:rPr>
                <w:spacing w:val="-4"/>
                <w:sz w:val="18"/>
              </w:rPr>
              <w:t xml:space="preserve"> </w:t>
            </w:r>
            <w:r>
              <w:rPr>
                <w:sz w:val="18"/>
              </w:rPr>
              <w:t>Pump</w:t>
            </w:r>
            <w:r>
              <w:rPr>
                <w:spacing w:val="-5"/>
                <w:sz w:val="18"/>
              </w:rPr>
              <w:t xml:space="preserve"> </w:t>
            </w:r>
            <w:r>
              <w:rPr>
                <w:sz w:val="18"/>
              </w:rPr>
              <w:t>Station</w:t>
            </w:r>
            <w:r>
              <w:rPr>
                <w:spacing w:val="-5"/>
                <w:sz w:val="18"/>
              </w:rPr>
              <w:t xml:space="preserve"> </w:t>
            </w:r>
            <w:r>
              <w:rPr>
                <w:sz w:val="18"/>
              </w:rPr>
              <w:t>upgrade</w:t>
            </w:r>
            <w:r>
              <w:rPr>
                <w:spacing w:val="-5"/>
                <w:sz w:val="18"/>
              </w:rPr>
              <w:t xml:space="preserve"> </w:t>
            </w:r>
            <w:r>
              <w:rPr>
                <w:sz w:val="18"/>
              </w:rPr>
              <w:t>at 14th St Mildura (Stage 1)</w:t>
            </w:r>
          </w:p>
        </w:tc>
        <w:tc>
          <w:tcPr>
            <w:tcW w:w="1400" w:type="dxa"/>
            <w:tcBorders>
              <w:top w:val="single" w:sz="6" w:space="0" w:color="FFFFFF"/>
              <w:bottom w:val="single" w:sz="4" w:space="0" w:color="FFFFFF"/>
            </w:tcBorders>
            <w:shd w:val="clear" w:color="auto" w:fill="CCE2ED"/>
          </w:tcPr>
          <w:p w14:paraId="3DAF064D" w14:textId="77777777" w:rsidR="00141B97" w:rsidRDefault="00911D63">
            <w:pPr>
              <w:pStyle w:val="TableParagraph"/>
              <w:spacing w:before="127"/>
              <w:ind w:left="494" w:right="466"/>
              <w:jc w:val="center"/>
              <w:rPr>
                <w:sz w:val="18"/>
              </w:rPr>
            </w:pPr>
            <w:r>
              <w:rPr>
                <w:spacing w:val="-4"/>
                <w:sz w:val="18"/>
              </w:rPr>
              <w:t>1.11</w:t>
            </w:r>
          </w:p>
        </w:tc>
        <w:tc>
          <w:tcPr>
            <w:tcW w:w="1020" w:type="dxa"/>
            <w:tcBorders>
              <w:top w:val="single" w:sz="6" w:space="0" w:color="FFFFFF"/>
              <w:bottom w:val="single" w:sz="4" w:space="0" w:color="FFFFFF"/>
            </w:tcBorders>
            <w:shd w:val="clear" w:color="auto" w:fill="CCE2ED"/>
          </w:tcPr>
          <w:p w14:paraId="7E918B5D" w14:textId="77777777" w:rsidR="00141B97" w:rsidRDefault="00911D63">
            <w:pPr>
              <w:pStyle w:val="TableParagraph"/>
              <w:spacing w:before="127"/>
              <w:ind w:left="207" w:right="182"/>
              <w:jc w:val="center"/>
              <w:rPr>
                <w:sz w:val="18"/>
              </w:rPr>
            </w:pPr>
            <w:r>
              <w:rPr>
                <w:spacing w:val="-4"/>
                <w:sz w:val="18"/>
              </w:rPr>
              <w:t>0.00</w:t>
            </w:r>
          </w:p>
        </w:tc>
        <w:tc>
          <w:tcPr>
            <w:tcW w:w="990" w:type="dxa"/>
            <w:tcBorders>
              <w:top w:val="single" w:sz="6" w:space="0" w:color="FFFFFF"/>
              <w:bottom w:val="single" w:sz="4" w:space="0" w:color="FFFFFF"/>
            </w:tcBorders>
            <w:shd w:val="clear" w:color="auto" w:fill="CCE2ED"/>
          </w:tcPr>
          <w:p w14:paraId="309C755C" w14:textId="77777777" w:rsidR="00141B97" w:rsidRDefault="00911D63">
            <w:pPr>
              <w:pStyle w:val="TableParagraph"/>
              <w:spacing w:before="127"/>
              <w:ind w:left="139" w:right="144"/>
              <w:jc w:val="center"/>
              <w:rPr>
                <w:sz w:val="18"/>
              </w:rPr>
            </w:pPr>
            <w:r>
              <w:rPr>
                <w:spacing w:val="-4"/>
                <w:sz w:val="18"/>
              </w:rPr>
              <w:t>0.20</w:t>
            </w:r>
          </w:p>
        </w:tc>
        <w:tc>
          <w:tcPr>
            <w:tcW w:w="990" w:type="dxa"/>
            <w:tcBorders>
              <w:top w:val="single" w:sz="6" w:space="0" w:color="FFFFFF"/>
              <w:bottom w:val="single" w:sz="4" w:space="0" w:color="FFFFFF"/>
            </w:tcBorders>
            <w:shd w:val="clear" w:color="auto" w:fill="CCE2ED"/>
          </w:tcPr>
          <w:p w14:paraId="7D4F0696" w14:textId="77777777" w:rsidR="00141B97" w:rsidRDefault="00911D63">
            <w:pPr>
              <w:pStyle w:val="TableParagraph"/>
              <w:spacing w:before="127"/>
              <w:ind w:left="139" w:right="146"/>
              <w:jc w:val="center"/>
              <w:rPr>
                <w:sz w:val="18"/>
              </w:rPr>
            </w:pPr>
            <w:r>
              <w:rPr>
                <w:spacing w:val="-4"/>
                <w:sz w:val="18"/>
              </w:rPr>
              <w:t>0.91</w:t>
            </w:r>
          </w:p>
        </w:tc>
        <w:tc>
          <w:tcPr>
            <w:tcW w:w="990" w:type="dxa"/>
            <w:tcBorders>
              <w:top w:val="single" w:sz="6" w:space="0" w:color="FFFFFF"/>
              <w:bottom w:val="single" w:sz="4" w:space="0" w:color="FFFFFF"/>
            </w:tcBorders>
            <w:shd w:val="clear" w:color="auto" w:fill="CCE2ED"/>
          </w:tcPr>
          <w:p w14:paraId="5BBCA339" w14:textId="77777777" w:rsidR="00141B97" w:rsidRDefault="00911D63">
            <w:pPr>
              <w:pStyle w:val="TableParagraph"/>
              <w:spacing w:before="127"/>
              <w:ind w:left="139" w:right="148"/>
              <w:jc w:val="center"/>
              <w:rPr>
                <w:sz w:val="18"/>
              </w:rPr>
            </w:pPr>
            <w:r>
              <w:rPr>
                <w:spacing w:val="-4"/>
                <w:sz w:val="18"/>
              </w:rPr>
              <w:t>0.00</w:t>
            </w:r>
          </w:p>
        </w:tc>
        <w:tc>
          <w:tcPr>
            <w:tcW w:w="987" w:type="dxa"/>
            <w:tcBorders>
              <w:top w:val="single" w:sz="6" w:space="0" w:color="FFFFFF"/>
              <w:bottom w:val="single" w:sz="4" w:space="0" w:color="FFFFFF"/>
            </w:tcBorders>
            <w:shd w:val="clear" w:color="auto" w:fill="CCE2ED"/>
          </w:tcPr>
          <w:p w14:paraId="6ECEAFED" w14:textId="77777777" w:rsidR="00141B97" w:rsidRDefault="00911D63">
            <w:pPr>
              <w:pStyle w:val="TableParagraph"/>
              <w:spacing w:before="127"/>
              <w:ind w:left="174" w:right="183"/>
              <w:jc w:val="center"/>
              <w:rPr>
                <w:sz w:val="18"/>
              </w:rPr>
            </w:pPr>
            <w:r>
              <w:rPr>
                <w:spacing w:val="-4"/>
                <w:sz w:val="18"/>
              </w:rPr>
              <w:t>0.00</w:t>
            </w:r>
          </w:p>
        </w:tc>
      </w:tr>
      <w:tr w:rsidR="00141B97" w14:paraId="51A3F1D5" w14:textId="77777777">
        <w:trPr>
          <w:trHeight w:val="479"/>
        </w:trPr>
        <w:tc>
          <w:tcPr>
            <w:tcW w:w="563" w:type="dxa"/>
            <w:tcBorders>
              <w:top w:val="single" w:sz="4" w:space="0" w:color="FFFFFF"/>
              <w:bottom w:val="single" w:sz="4" w:space="0" w:color="FFFFFF"/>
            </w:tcBorders>
            <w:shd w:val="clear" w:color="auto" w:fill="CCE2ED"/>
          </w:tcPr>
          <w:p w14:paraId="53278C35" w14:textId="77777777" w:rsidR="00141B97" w:rsidRDefault="00911D63">
            <w:pPr>
              <w:pStyle w:val="TableParagraph"/>
              <w:spacing w:before="129"/>
              <w:ind w:left="103"/>
              <w:rPr>
                <w:sz w:val="18"/>
              </w:rPr>
            </w:pPr>
            <w:r>
              <w:rPr>
                <w:sz w:val="18"/>
              </w:rPr>
              <w:t>4</w:t>
            </w:r>
          </w:p>
        </w:tc>
        <w:tc>
          <w:tcPr>
            <w:tcW w:w="3898" w:type="dxa"/>
            <w:tcBorders>
              <w:top w:val="single" w:sz="4" w:space="0" w:color="FFFFFF"/>
              <w:bottom w:val="single" w:sz="4" w:space="0" w:color="FFFFFF"/>
            </w:tcBorders>
            <w:shd w:val="clear" w:color="auto" w:fill="CCE2ED"/>
          </w:tcPr>
          <w:p w14:paraId="2F3A9C3B" w14:textId="77777777" w:rsidR="00141B97" w:rsidRDefault="00911D63">
            <w:pPr>
              <w:pStyle w:val="TableParagraph"/>
              <w:spacing w:before="19" w:line="220" w:lineRule="atLeast"/>
              <w:ind w:left="154" w:right="40"/>
              <w:rPr>
                <w:sz w:val="18"/>
              </w:rPr>
            </w:pPr>
            <w:r>
              <w:rPr>
                <w:sz w:val="18"/>
              </w:rPr>
              <w:t>Improving</w:t>
            </w:r>
            <w:r>
              <w:rPr>
                <w:spacing w:val="-5"/>
                <w:sz w:val="18"/>
              </w:rPr>
              <w:t xml:space="preserve"> </w:t>
            </w:r>
            <w:r>
              <w:rPr>
                <w:sz w:val="18"/>
              </w:rPr>
              <w:t>level</w:t>
            </w:r>
            <w:r>
              <w:rPr>
                <w:spacing w:val="-6"/>
                <w:sz w:val="18"/>
              </w:rPr>
              <w:t xml:space="preserve"> </w:t>
            </w:r>
            <w:r>
              <w:rPr>
                <w:sz w:val="18"/>
              </w:rPr>
              <w:t>of</w:t>
            </w:r>
            <w:r>
              <w:rPr>
                <w:spacing w:val="-5"/>
                <w:sz w:val="18"/>
              </w:rPr>
              <w:t xml:space="preserve"> </w:t>
            </w:r>
            <w:r>
              <w:rPr>
                <w:sz w:val="18"/>
              </w:rPr>
              <w:t>service</w:t>
            </w:r>
            <w:r>
              <w:rPr>
                <w:spacing w:val="-6"/>
                <w:sz w:val="18"/>
              </w:rPr>
              <w:t xml:space="preserve"> </w:t>
            </w:r>
            <w:r>
              <w:rPr>
                <w:sz w:val="18"/>
              </w:rPr>
              <w:t>(Pressure)</w:t>
            </w:r>
            <w:r>
              <w:rPr>
                <w:spacing w:val="-5"/>
                <w:sz w:val="18"/>
              </w:rPr>
              <w:t xml:space="preserve"> </w:t>
            </w:r>
            <w:r>
              <w:rPr>
                <w:sz w:val="18"/>
              </w:rPr>
              <w:t>in</w:t>
            </w:r>
            <w:r>
              <w:rPr>
                <w:spacing w:val="-5"/>
                <w:sz w:val="18"/>
              </w:rPr>
              <w:t xml:space="preserve"> </w:t>
            </w:r>
            <w:r>
              <w:rPr>
                <w:sz w:val="18"/>
              </w:rPr>
              <w:t>Red</w:t>
            </w:r>
            <w:r>
              <w:rPr>
                <w:spacing w:val="-5"/>
                <w:sz w:val="18"/>
              </w:rPr>
              <w:t xml:space="preserve"> </w:t>
            </w:r>
            <w:r>
              <w:rPr>
                <w:sz w:val="18"/>
              </w:rPr>
              <w:t>Cliffs Water Distribution</w:t>
            </w:r>
          </w:p>
        </w:tc>
        <w:tc>
          <w:tcPr>
            <w:tcW w:w="4855" w:type="dxa"/>
            <w:tcBorders>
              <w:top w:val="single" w:sz="4" w:space="0" w:color="FFFFFF"/>
              <w:bottom w:val="single" w:sz="4" w:space="0" w:color="FFFFFF"/>
            </w:tcBorders>
            <w:shd w:val="clear" w:color="auto" w:fill="CCE2ED"/>
          </w:tcPr>
          <w:p w14:paraId="76884824" w14:textId="77777777" w:rsidR="00141B97" w:rsidRDefault="00911D63">
            <w:pPr>
              <w:pStyle w:val="TableParagraph"/>
              <w:spacing w:before="19" w:line="220" w:lineRule="atLeast"/>
              <w:ind w:left="104"/>
              <w:rPr>
                <w:sz w:val="18"/>
              </w:rPr>
            </w:pPr>
            <w:r>
              <w:rPr>
                <w:sz w:val="18"/>
              </w:rPr>
              <w:t>Improving</w:t>
            </w:r>
            <w:r>
              <w:rPr>
                <w:spacing w:val="-5"/>
                <w:sz w:val="18"/>
              </w:rPr>
              <w:t xml:space="preserve"> </w:t>
            </w:r>
            <w:r>
              <w:rPr>
                <w:sz w:val="18"/>
              </w:rPr>
              <w:t>level</w:t>
            </w:r>
            <w:r>
              <w:rPr>
                <w:spacing w:val="-5"/>
                <w:sz w:val="18"/>
              </w:rPr>
              <w:t xml:space="preserve"> </w:t>
            </w:r>
            <w:r>
              <w:rPr>
                <w:sz w:val="18"/>
              </w:rPr>
              <w:t>of</w:t>
            </w:r>
            <w:r>
              <w:rPr>
                <w:spacing w:val="-5"/>
                <w:sz w:val="18"/>
              </w:rPr>
              <w:t xml:space="preserve"> </w:t>
            </w:r>
            <w:r>
              <w:rPr>
                <w:sz w:val="18"/>
              </w:rPr>
              <w:t>service</w:t>
            </w:r>
            <w:r>
              <w:rPr>
                <w:spacing w:val="-5"/>
                <w:sz w:val="18"/>
              </w:rPr>
              <w:t xml:space="preserve"> </w:t>
            </w:r>
            <w:r>
              <w:rPr>
                <w:sz w:val="18"/>
              </w:rPr>
              <w:t>(Pressure)</w:t>
            </w:r>
            <w:r>
              <w:rPr>
                <w:spacing w:val="-5"/>
                <w:sz w:val="18"/>
              </w:rPr>
              <w:t xml:space="preserve"> </w:t>
            </w:r>
            <w:r>
              <w:rPr>
                <w:sz w:val="18"/>
              </w:rPr>
              <w:t>in</w:t>
            </w:r>
            <w:r>
              <w:rPr>
                <w:spacing w:val="-5"/>
                <w:sz w:val="18"/>
              </w:rPr>
              <w:t xml:space="preserve"> </w:t>
            </w:r>
            <w:r>
              <w:rPr>
                <w:sz w:val="18"/>
              </w:rPr>
              <w:t>Red</w:t>
            </w:r>
            <w:r>
              <w:rPr>
                <w:spacing w:val="-5"/>
                <w:sz w:val="18"/>
              </w:rPr>
              <w:t xml:space="preserve"> </w:t>
            </w:r>
            <w:r>
              <w:rPr>
                <w:sz w:val="18"/>
              </w:rPr>
              <w:t>Cliffs</w:t>
            </w:r>
            <w:r>
              <w:rPr>
                <w:spacing w:val="-6"/>
                <w:sz w:val="18"/>
              </w:rPr>
              <w:t xml:space="preserve"> </w:t>
            </w:r>
            <w:r>
              <w:rPr>
                <w:sz w:val="18"/>
              </w:rPr>
              <w:t xml:space="preserve">Water </w:t>
            </w:r>
            <w:r>
              <w:rPr>
                <w:spacing w:val="-2"/>
                <w:sz w:val="18"/>
              </w:rPr>
              <w:t>Distribution</w:t>
            </w:r>
          </w:p>
        </w:tc>
        <w:tc>
          <w:tcPr>
            <w:tcW w:w="1400" w:type="dxa"/>
            <w:tcBorders>
              <w:top w:val="single" w:sz="4" w:space="0" w:color="FFFFFF"/>
              <w:bottom w:val="single" w:sz="4" w:space="0" w:color="FFFFFF"/>
            </w:tcBorders>
            <w:shd w:val="clear" w:color="auto" w:fill="CCE2ED"/>
          </w:tcPr>
          <w:p w14:paraId="65447C92" w14:textId="77777777" w:rsidR="00141B97" w:rsidRDefault="00911D63">
            <w:pPr>
              <w:pStyle w:val="TableParagraph"/>
              <w:spacing w:before="129"/>
              <w:ind w:left="494" w:right="466"/>
              <w:jc w:val="center"/>
              <w:rPr>
                <w:sz w:val="18"/>
              </w:rPr>
            </w:pPr>
            <w:r>
              <w:rPr>
                <w:spacing w:val="-4"/>
                <w:sz w:val="18"/>
              </w:rPr>
              <w:t>9.41</w:t>
            </w:r>
          </w:p>
        </w:tc>
        <w:tc>
          <w:tcPr>
            <w:tcW w:w="1020" w:type="dxa"/>
            <w:tcBorders>
              <w:top w:val="single" w:sz="4" w:space="0" w:color="FFFFFF"/>
              <w:bottom w:val="single" w:sz="4" w:space="0" w:color="FFFFFF"/>
            </w:tcBorders>
            <w:shd w:val="clear" w:color="auto" w:fill="CCE2ED"/>
          </w:tcPr>
          <w:p w14:paraId="0F6BD1AC" w14:textId="77777777" w:rsidR="00141B97" w:rsidRDefault="00911D63">
            <w:pPr>
              <w:pStyle w:val="TableParagraph"/>
              <w:spacing w:before="129"/>
              <w:ind w:left="207" w:right="182"/>
              <w:jc w:val="center"/>
              <w:rPr>
                <w:sz w:val="18"/>
              </w:rPr>
            </w:pPr>
            <w:r>
              <w:rPr>
                <w:spacing w:val="-4"/>
                <w:sz w:val="18"/>
              </w:rPr>
              <w:t>1.00</w:t>
            </w:r>
          </w:p>
        </w:tc>
        <w:tc>
          <w:tcPr>
            <w:tcW w:w="990" w:type="dxa"/>
            <w:tcBorders>
              <w:top w:val="single" w:sz="4" w:space="0" w:color="FFFFFF"/>
              <w:bottom w:val="single" w:sz="4" w:space="0" w:color="FFFFFF"/>
            </w:tcBorders>
            <w:shd w:val="clear" w:color="auto" w:fill="CCE2ED"/>
          </w:tcPr>
          <w:p w14:paraId="365764CA" w14:textId="77777777" w:rsidR="00141B97" w:rsidRDefault="00911D63">
            <w:pPr>
              <w:pStyle w:val="TableParagraph"/>
              <w:spacing w:before="129"/>
              <w:ind w:left="139" w:right="144"/>
              <w:jc w:val="center"/>
              <w:rPr>
                <w:sz w:val="18"/>
              </w:rPr>
            </w:pPr>
            <w:r>
              <w:rPr>
                <w:spacing w:val="-4"/>
                <w:sz w:val="18"/>
              </w:rPr>
              <w:t>6.00</w:t>
            </w:r>
          </w:p>
        </w:tc>
        <w:tc>
          <w:tcPr>
            <w:tcW w:w="990" w:type="dxa"/>
            <w:tcBorders>
              <w:top w:val="single" w:sz="4" w:space="0" w:color="FFFFFF"/>
              <w:bottom w:val="single" w:sz="4" w:space="0" w:color="FFFFFF"/>
            </w:tcBorders>
            <w:shd w:val="clear" w:color="auto" w:fill="CCE2ED"/>
          </w:tcPr>
          <w:p w14:paraId="51C260CA" w14:textId="77777777" w:rsidR="00141B97" w:rsidRDefault="00911D63">
            <w:pPr>
              <w:pStyle w:val="TableParagraph"/>
              <w:spacing w:before="129"/>
              <w:ind w:left="139" w:right="146"/>
              <w:jc w:val="center"/>
              <w:rPr>
                <w:sz w:val="18"/>
              </w:rPr>
            </w:pPr>
            <w:r>
              <w:rPr>
                <w:spacing w:val="-4"/>
                <w:sz w:val="18"/>
              </w:rPr>
              <w:t>2.41</w:t>
            </w:r>
          </w:p>
        </w:tc>
        <w:tc>
          <w:tcPr>
            <w:tcW w:w="990" w:type="dxa"/>
            <w:tcBorders>
              <w:top w:val="single" w:sz="4" w:space="0" w:color="FFFFFF"/>
              <w:bottom w:val="single" w:sz="4" w:space="0" w:color="FFFFFF"/>
            </w:tcBorders>
            <w:shd w:val="clear" w:color="auto" w:fill="CCE2ED"/>
          </w:tcPr>
          <w:p w14:paraId="29080332" w14:textId="77777777" w:rsidR="00141B97" w:rsidRDefault="00911D63">
            <w:pPr>
              <w:pStyle w:val="TableParagraph"/>
              <w:spacing w:before="129"/>
              <w:ind w:left="139" w:right="148"/>
              <w:jc w:val="center"/>
              <w:rPr>
                <w:sz w:val="18"/>
              </w:rPr>
            </w:pPr>
            <w:r>
              <w:rPr>
                <w:spacing w:val="-4"/>
                <w:sz w:val="18"/>
              </w:rPr>
              <w:t>0.00</w:t>
            </w:r>
          </w:p>
        </w:tc>
        <w:tc>
          <w:tcPr>
            <w:tcW w:w="987" w:type="dxa"/>
            <w:tcBorders>
              <w:top w:val="single" w:sz="4" w:space="0" w:color="FFFFFF"/>
              <w:bottom w:val="single" w:sz="4" w:space="0" w:color="FFFFFF"/>
            </w:tcBorders>
            <w:shd w:val="clear" w:color="auto" w:fill="CCE2ED"/>
          </w:tcPr>
          <w:p w14:paraId="336F5887" w14:textId="77777777" w:rsidR="00141B97" w:rsidRDefault="00911D63">
            <w:pPr>
              <w:pStyle w:val="TableParagraph"/>
              <w:spacing w:before="129"/>
              <w:ind w:left="174" w:right="183"/>
              <w:jc w:val="center"/>
              <w:rPr>
                <w:sz w:val="18"/>
              </w:rPr>
            </w:pPr>
            <w:r>
              <w:rPr>
                <w:spacing w:val="-4"/>
                <w:sz w:val="18"/>
              </w:rPr>
              <w:t>0.00</w:t>
            </w:r>
          </w:p>
        </w:tc>
      </w:tr>
      <w:tr w:rsidR="00141B97" w14:paraId="56D42BE6" w14:textId="77777777">
        <w:trPr>
          <w:trHeight w:val="615"/>
        </w:trPr>
        <w:tc>
          <w:tcPr>
            <w:tcW w:w="563" w:type="dxa"/>
            <w:tcBorders>
              <w:top w:val="single" w:sz="4" w:space="0" w:color="FFFFFF"/>
              <w:bottom w:val="single" w:sz="4" w:space="0" w:color="FFFFFF"/>
            </w:tcBorders>
            <w:shd w:val="clear" w:color="auto" w:fill="CCE2ED"/>
          </w:tcPr>
          <w:p w14:paraId="19815A76" w14:textId="77777777" w:rsidR="00141B97" w:rsidRDefault="00141B97">
            <w:pPr>
              <w:pStyle w:val="TableParagraph"/>
              <w:spacing w:before="2"/>
              <w:rPr>
                <w:sz w:val="16"/>
              </w:rPr>
            </w:pPr>
          </w:p>
          <w:p w14:paraId="127831CB" w14:textId="77777777" w:rsidR="00141B97" w:rsidRDefault="00911D63">
            <w:pPr>
              <w:pStyle w:val="TableParagraph"/>
              <w:ind w:left="103"/>
              <w:rPr>
                <w:sz w:val="18"/>
              </w:rPr>
            </w:pPr>
            <w:r>
              <w:rPr>
                <w:sz w:val="18"/>
              </w:rPr>
              <w:t>5</w:t>
            </w:r>
          </w:p>
        </w:tc>
        <w:tc>
          <w:tcPr>
            <w:tcW w:w="3898" w:type="dxa"/>
            <w:tcBorders>
              <w:top w:val="single" w:sz="4" w:space="0" w:color="FFFFFF"/>
              <w:bottom w:val="single" w:sz="4" w:space="0" w:color="FFFFFF"/>
            </w:tcBorders>
            <w:shd w:val="clear" w:color="auto" w:fill="CCE2ED"/>
          </w:tcPr>
          <w:p w14:paraId="281AF2D1" w14:textId="77777777" w:rsidR="00141B97" w:rsidRDefault="00141B97">
            <w:pPr>
              <w:pStyle w:val="TableParagraph"/>
              <w:spacing w:before="2"/>
              <w:rPr>
                <w:sz w:val="16"/>
              </w:rPr>
            </w:pPr>
          </w:p>
          <w:p w14:paraId="2CE20D00" w14:textId="77777777" w:rsidR="00141B97" w:rsidRDefault="00911D63">
            <w:pPr>
              <w:pStyle w:val="TableParagraph"/>
              <w:ind w:left="154"/>
              <w:rPr>
                <w:sz w:val="18"/>
              </w:rPr>
            </w:pPr>
            <w:r>
              <w:rPr>
                <w:sz w:val="18"/>
              </w:rPr>
              <w:t>New</w:t>
            </w:r>
            <w:r>
              <w:rPr>
                <w:spacing w:val="-3"/>
                <w:sz w:val="18"/>
              </w:rPr>
              <w:t xml:space="preserve"> </w:t>
            </w:r>
            <w:r>
              <w:rPr>
                <w:sz w:val="18"/>
              </w:rPr>
              <w:t>Swan</w:t>
            </w:r>
            <w:r>
              <w:rPr>
                <w:spacing w:val="-2"/>
                <w:sz w:val="18"/>
              </w:rPr>
              <w:t xml:space="preserve"> </w:t>
            </w:r>
            <w:r>
              <w:rPr>
                <w:sz w:val="18"/>
              </w:rPr>
              <w:t>Hill</w:t>
            </w:r>
            <w:r>
              <w:rPr>
                <w:spacing w:val="-3"/>
                <w:sz w:val="18"/>
              </w:rPr>
              <w:t xml:space="preserve"> </w:t>
            </w:r>
            <w:r>
              <w:rPr>
                <w:sz w:val="18"/>
              </w:rPr>
              <w:t>water</w:t>
            </w:r>
            <w:r>
              <w:rPr>
                <w:spacing w:val="-2"/>
                <w:sz w:val="18"/>
              </w:rPr>
              <w:t xml:space="preserve"> </w:t>
            </w:r>
            <w:r>
              <w:rPr>
                <w:sz w:val="18"/>
              </w:rPr>
              <w:t>treatment</w:t>
            </w:r>
            <w:r>
              <w:rPr>
                <w:spacing w:val="-2"/>
                <w:sz w:val="18"/>
              </w:rPr>
              <w:t xml:space="preserve"> </w:t>
            </w:r>
            <w:r>
              <w:rPr>
                <w:sz w:val="18"/>
              </w:rPr>
              <w:t>plant</w:t>
            </w:r>
            <w:r>
              <w:rPr>
                <w:spacing w:val="-3"/>
                <w:sz w:val="18"/>
              </w:rPr>
              <w:t xml:space="preserve"> </w:t>
            </w:r>
            <w:r>
              <w:rPr>
                <w:sz w:val="18"/>
              </w:rPr>
              <w:t>(Stage</w:t>
            </w:r>
            <w:r>
              <w:rPr>
                <w:spacing w:val="-2"/>
                <w:sz w:val="18"/>
              </w:rPr>
              <w:t xml:space="preserve"> </w:t>
            </w:r>
            <w:r>
              <w:rPr>
                <w:spacing w:val="-5"/>
                <w:sz w:val="18"/>
              </w:rPr>
              <w:t>1)</w:t>
            </w:r>
          </w:p>
        </w:tc>
        <w:tc>
          <w:tcPr>
            <w:tcW w:w="4855" w:type="dxa"/>
            <w:tcBorders>
              <w:top w:val="single" w:sz="4" w:space="0" w:color="FFFFFF"/>
              <w:bottom w:val="single" w:sz="4" w:space="0" w:color="FFFFFF"/>
            </w:tcBorders>
            <w:shd w:val="clear" w:color="auto" w:fill="CCE2ED"/>
          </w:tcPr>
          <w:p w14:paraId="77198101" w14:textId="77777777" w:rsidR="00141B97" w:rsidRDefault="00141B97">
            <w:pPr>
              <w:pStyle w:val="TableParagraph"/>
              <w:spacing w:before="2"/>
              <w:rPr>
                <w:sz w:val="16"/>
              </w:rPr>
            </w:pPr>
          </w:p>
          <w:p w14:paraId="2876F28F" w14:textId="77777777" w:rsidR="00141B97" w:rsidRDefault="00911D63">
            <w:pPr>
              <w:pStyle w:val="TableParagraph"/>
              <w:ind w:left="104"/>
              <w:rPr>
                <w:sz w:val="18"/>
              </w:rPr>
            </w:pPr>
            <w:r>
              <w:rPr>
                <w:sz w:val="18"/>
              </w:rPr>
              <w:t>New</w:t>
            </w:r>
            <w:r>
              <w:rPr>
                <w:spacing w:val="-3"/>
                <w:sz w:val="18"/>
              </w:rPr>
              <w:t xml:space="preserve"> </w:t>
            </w:r>
            <w:r>
              <w:rPr>
                <w:sz w:val="18"/>
              </w:rPr>
              <w:t>Swan</w:t>
            </w:r>
            <w:r>
              <w:rPr>
                <w:spacing w:val="-2"/>
                <w:sz w:val="18"/>
              </w:rPr>
              <w:t xml:space="preserve"> </w:t>
            </w:r>
            <w:r>
              <w:rPr>
                <w:sz w:val="18"/>
              </w:rPr>
              <w:t>Hill</w:t>
            </w:r>
            <w:r>
              <w:rPr>
                <w:spacing w:val="-3"/>
                <w:sz w:val="18"/>
              </w:rPr>
              <w:t xml:space="preserve"> </w:t>
            </w:r>
            <w:r>
              <w:rPr>
                <w:sz w:val="18"/>
              </w:rPr>
              <w:t>water</w:t>
            </w:r>
            <w:r>
              <w:rPr>
                <w:spacing w:val="-2"/>
                <w:sz w:val="18"/>
              </w:rPr>
              <w:t xml:space="preserve"> </w:t>
            </w:r>
            <w:r>
              <w:rPr>
                <w:sz w:val="18"/>
              </w:rPr>
              <w:t>treatment</w:t>
            </w:r>
            <w:r>
              <w:rPr>
                <w:spacing w:val="-2"/>
                <w:sz w:val="18"/>
              </w:rPr>
              <w:t xml:space="preserve"> </w:t>
            </w:r>
            <w:r>
              <w:rPr>
                <w:sz w:val="18"/>
              </w:rPr>
              <w:t>plan</w:t>
            </w:r>
            <w:r>
              <w:rPr>
                <w:spacing w:val="-3"/>
                <w:sz w:val="18"/>
              </w:rPr>
              <w:t xml:space="preserve"> </w:t>
            </w:r>
            <w:r>
              <w:rPr>
                <w:sz w:val="18"/>
              </w:rPr>
              <w:t>(Stage</w:t>
            </w:r>
            <w:r>
              <w:rPr>
                <w:spacing w:val="-2"/>
                <w:sz w:val="18"/>
              </w:rPr>
              <w:t xml:space="preserve"> </w:t>
            </w:r>
            <w:r>
              <w:rPr>
                <w:spacing w:val="-5"/>
                <w:sz w:val="18"/>
              </w:rPr>
              <w:t>1)</w:t>
            </w:r>
          </w:p>
        </w:tc>
        <w:tc>
          <w:tcPr>
            <w:tcW w:w="1400" w:type="dxa"/>
            <w:tcBorders>
              <w:top w:val="single" w:sz="4" w:space="0" w:color="FFFFFF"/>
              <w:bottom w:val="single" w:sz="4" w:space="0" w:color="FFFFFF"/>
            </w:tcBorders>
            <w:shd w:val="clear" w:color="auto" w:fill="CCE2ED"/>
          </w:tcPr>
          <w:p w14:paraId="764420B4" w14:textId="77777777" w:rsidR="00141B97" w:rsidRDefault="00141B97">
            <w:pPr>
              <w:pStyle w:val="TableParagraph"/>
              <w:spacing w:before="2"/>
              <w:rPr>
                <w:sz w:val="16"/>
              </w:rPr>
            </w:pPr>
          </w:p>
          <w:p w14:paraId="2EA7818B" w14:textId="77777777" w:rsidR="00141B97" w:rsidRDefault="00911D63">
            <w:pPr>
              <w:pStyle w:val="TableParagraph"/>
              <w:ind w:left="494" w:right="466"/>
              <w:jc w:val="center"/>
              <w:rPr>
                <w:sz w:val="18"/>
              </w:rPr>
            </w:pPr>
            <w:r>
              <w:rPr>
                <w:spacing w:val="-4"/>
                <w:sz w:val="18"/>
              </w:rPr>
              <w:t>1.00</w:t>
            </w:r>
          </w:p>
        </w:tc>
        <w:tc>
          <w:tcPr>
            <w:tcW w:w="1020" w:type="dxa"/>
            <w:tcBorders>
              <w:top w:val="single" w:sz="4" w:space="0" w:color="FFFFFF"/>
              <w:bottom w:val="single" w:sz="4" w:space="0" w:color="FFFFFF"/>
            </w:tcBorders>
            <w:shd w:val="clear" w:color="auto" w:fill="CCE2ED"/>
          </w:tcPr>
          <w:p w14:paraId="6B21778D" w14:textId="77777777" w:rsidR="00141B97" w:rsidRDefault="00141B97">
            <w:pPr>
              <w:pStyle w:val="TableParagraph"/>
              <w:spacing w:before="2"/>
              <w:rPr>
                <w:sz w:val="16"/>
              </w:rPr>
            </w:pPr>
          </w:p>
          <w:p w14:paraId="7DF4560D" w14:textId="77777777" w:rsidR="00141B97" w:rsidRDefault="00911D63">
            <w:pPr>
              <w:pStyle w:val="TableParagraph"/>
              <w:ind w:left="207" w:right="182"/>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21963E6A" w14:textId="77777777" w:rsidR="00141B97" w:rsidRDefault="00141B97">
            <w:pPr>
              <w:pStyle w:val="TableParagraph"/>
              <w:spacing w:before="2"/>
              <w:rPr>
                <w:sz w:val="16"/>
              </w:rPr>
            </w:pPr>
          </w:p>
          <w:p w14:paraId="1BE52E91" w14:textId="77777777" w:rsidR="00141B97" w:rsidRDefault="00911D63">
            <w:pPr>
              <w:pStyle w:val="TableParagraph"/>
              <w:ind w:left="139" w:right="144"/>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42384425" w14:textId="77777777" w:rsidR="00141B97" w:rsidRDefault="00141B97">
            <w:pPr>
              <w:pStyle w:val="TableParagraph"/>
              <w:spacing w:before="2"/>
              <w:rPr>
                <w:sz w:val="16"/>
              </w:rPr>
            </w:pPr>
          </w:p>
          <w:p w14:paraId="039B269F" w14:textId="77777777" w:rsidR="00141B97" w:rsidRDefault="00911D63">
            <w:pPr>
              <w:pStyle w:val="TableParagraph"/>
              <w:ind w:left="139" w:right="146"/>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722559CE" w14:textId="77777777" w:rsidR="00141B97" w:rsidRDefault="00141B97">
            <w:pPr>
              <w:pStyle w:val="TableParagraph"/>
              <w:spacing w:before="2"/>
              <w:rPr>
                <w:sz w:val="16"/>
              </w:rPr>
            </w:pPr>
          </w:p>
          <w:p w14:paraId="1DF32EF2" w14:textId="77777777" w:rsidR="00141B97" w:rsidRDefault="00911D63">
            <w:pPr>
              <w:pStyle w:val="TableParagraph"/>
              <w:ind w:left="139" w:right="148"/>
              <w:jc w:val="center"/>
              <w:rPr>
                <w:sz w:val="18"/>
              </w:rPr>
            </w:pPr>
            <w:r>
              <w:rPr>
                <w:spacing w:val="-4"/>
                <w:sz w:val="18"/>
              </w:rPr>
              <w:t>0.50</w:t>
            </w:r>
          </w:p>
        </w:tc>
        <w:tc>
          <w:tcPr>
            <w:tcW w:w="987" w:type="dxa"/>
            <w:tcBorders>
              <w:top w:val="single" w:sz="4" w:space="0" w:color="FFFFFF"/>
              <w:bottom w:val="single" w:sz="4" w:space="0" w:color="FFFFFF"/>
            </w:tcBorders>
            <w:shd w:val="clear" w:color="auto" w:fill="CCE2ED"/>
          </w:tcPr>
          <w:p w14:paraId="155CBE2D" w14:textId="77777777" w:rsidR="00141B97" w:rsidRDefault="00141B97">
            <w:pPr>
              <w:pStyle w:val="TableParagraph"/>
              <w:spacing w:before="2"/>
              <w:rPr>
                <w:sz w:val="16"/>
              </w:rPr>
            </w:pPr>
          </w:p>
          <w:p w14:paraId="21F88A08" w14:textId="77777777" w:rsidR="00141B97" w:rsidRDefault="00911D63">
            <w:pPr>
              <w:pStyle w:val="TableParagraph"/>
              <w:ind w:left="174" w:right="183"/>
              <w:jc w:val="center"/>
              <w:rPr>
                <w:sz w:val="18"/>
              </w:rPr>
            </w:pPr>
            <w:r>
              <w:rPr>
                <w:spacing w:val="-4"/>
                <w:sz w:val="18"/>
              </w:rPr>
              <w:t>0.50</w:t>
            </w:r>
          </w:p>
        </w:tc>
      </w:tr>
      <w:tr w:rsidR="00141B97" w14:paraId="4341CD5B" w14:textId="77777777">
        <w:trPr>
          <w:trHeight w:val="599"/>
        </w:trPr>
        <w:tc>
          <w:tcPr>
            <w:tcW w:w="563" w:type="dxa"/>
            <w:tcBorders>
              <w:top w:val="single" w:sz="4" w:space="0" w:color="FFFFFF"/>
              <w:bottom w:val="single" w:sz="4" w:space="0" w:color="FFFFFF"/>
            </w:tcBorders>
            <w:shd w:val="clear" w:color="auto" w:fill="CCE2ED"/>
          </w:tcPr>
          <w:p w14:paraId="24A4EBFA" w14:textId="77777777" w:rsidR="00141B97" w:rsidRDefault="00141B97">
            <w:pPr>
              <w:pStyle w:val="TableParagraph"/>
              <w:spacing w:before="7"/>
              <w:rPr>
                <w:sz w:val="15"/>
              </w:rPr>
            </w:pPr>
          </w:p>
          <w:p w14:paraId="65FD8BFE" w14:textId="77777777" w:rsidR="00141B97" w:rsidRDefault="00911D63">
            <w:pPr>
              <w:pStyle w:val="TableParagraph"/>
              <w:ind w:left="103"/>
              <w:rPr>
                <w:sz w:val="18"/>
              </w:rPr>
            </w:pPr>
            <w:r>
              <w:rPr>
                <w:sz w:val="18"/>
              </w:rPr>
              <w:t>6</w:t>
            </w:r>
          </w:p>
        </w:tc>
        <w:tc>
          <w:tcPr>
            <w:tcW w:w="3898" w:type="dxa"/>
            <w:tcBorders>
              <w:top w:val="single" w:sz="4" w:space="0" w:color="FFFFFF"/>
              <w:bottom w:val="single" w:sz="4" w:space="0" w:color="FFFFFF"/>
            </w:tcBorders>
            <w:shd w:val="clear" w:color="auto" w:fill="CCE2ED"/>
          </w:tcPr>
          <w:p w14:paraId="4AF075A0" w14:textId="77777777" w:rsidR="00141B97" w:rsidRDefault="00141B97">
            <w:pPr>
              <w:pStyle w:val="TableParagraph"/>
              <w:spacing w:before="7"/>
              <w:rPr>
                <w:sz w:val="15"/>
              </w:rPr>
            </w:pPr>
          </w:p>
          <w:p w14:paraId="05DD599D" w14:textId="77777777" w:rsidR="00141B97" w:rsidRDefault="00911D63">
            <w:pPr>
              <w:pStyle w:val="TableParagraph"/>
              <w:ind w:left="154"/>
              <w:rPr>
                <w:sz w:val="18"/>
              </w:rPr>
            </w:pPr>
            <w:r>
              <w:rPr>
                <w:sz w:val="18"/>
              </w:rPr>
              <w:t>Wet</w:t>
            </w:r>
            <w:r>
              <w:rPr>
                <w:spacing w:val="-4"/>
                <w:sz w:val="18"/>
              </w:rPr>
              <w:t xml:space="preserve"> </w:t>
            </w:r>
            <w:r>
              <w:rPr>
                <w:sz w:val="18"/>
              </w:rPr>
              <w:t>Weather</w:t>
            </w:r>
            <w:r>
              <w:rPr>
                <w:spacing w:val="-3"/>
                <w:sz w:val="18"/>
              </w:rPr>
              <w:t xml:space="preserve"> </w:t>
            </w:r>
            <w:r>
              <w:rPr>
                <w:sz w:val="18"/>
              </w:rPr>
              <w:t>Storage</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Koorlong</w:t>
            </w:r>
            <w:r>
              <w:rPr>
                <w:spacing w:val="-2"/>
                <w:sz w:val="18"/>
              </w:rPr>
              <w:t xml:space="preserve"> </w:t>
            </w:r>
            <w:r>
              <w:rPr>
                <w:spacing w:val="-4"/>
                <w:sz w:val="18"/>
              </w:rPr>
              <w:t>WWTP</w:t>
            </w:r>
          </w:p>
        </w:tc>
        <w:tc>
          <w:tcPr>
            <w:tcW w:w="4855" w:type="dxa"/>
            <w:tcBorders>
              <w:top w:val="single" w:sz="4" w:space="0" w:color="FFFFFF"/>
              <w:bottom w:val="single" w:sz="4" w:space="0" w:color="FFFFFF"/>
            </w:tcBorders>
            <w:shd w:val="clear" w:color="auto" w:fill="CCE2ED"/>
          </w:tcPr>
          <w:p w14:paraId="17C39163" w14:textId="77777777" w:rsidR="00141B97" w:rsidRDefault="00141B97">
            <w:pPr>
              <w:pStyle w:val="TableParagraph"/>
              <w:spacing w:before="7"/>
              <w:rPr>
                <w:sz w:val="15"/>
              </w:rPr>
            </w:pPr>
          </w:p>
          <w:p w14:paraId="44AD4307" w14:textId="77777777" w:rsidR="00141B97" w:rsidRDefault="00911D63">
            <w:pPr>
              <w:pStyle w:val="TableParagraph"/>
              <w:ind w:left="104"/>
              <w:rPr>
                <w:sz w:val="18"/>
              </w:rPr>
            </w:pPr>
            <w:r>
              <w:rPr>
                <w:sz w:val="18"/>
              </w:rPr>
              <w:t>Wet</w:t>
            </w:r>
            <w:r>
              <w:rPr>
                <w:spacing w:val="-4"/>
                <w:sz w:val="18"/>
              </w:rPr>
              <w:t xml:space="preserve"> </w:t>
            </w:r>
            <w:r>
              <w:rPr>
                <w:sz w:val="18"/>
              </w:rPr>
              <w:t>Weather</w:t>
            </w:r>
            <w:r>
              <w:rPr>
                <w:spacing w:val="-3"/>
                <w:sz w:val="18"/>
              </w:rPr>
              <w:t xml:space="preserve"> </w:t>
            </w:r>
            <w:r>
              <w:rPr>
                <w:sz w:val="18"/>
              </w:rPr>
              <w:t>Storage</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Koorlong</w:t>
            </w:r>
            <w:r>
              <w:rPr>
                <w:spacing w:val="-2"/>
                <w:sz w:val="18"/>
              </w:rPr>
              <w:t xml:space="preserve"> </w:t>
            </w:r>
            <w:r>
              <w:rPr>
                <w:spacing w:val="-4"/>
                <w:sz w:val="18"/>
              </w:rPr>
              <w:t>WWTP</w:t>
            </w:r>
          </w:p>
        </w:tc>
        <w:tc>
          <w:tcPr>
            <w:tcW w:w="1400" w:type="dxa"/>
            <w:tcBorders>
              <w:top w:val="single" w:sz="4" w:space="0" w:color="FFFFFF"/>
              <w:bottom w:val="single" w:sz="4" w:space="0" w:color="FFFFFF"/>
            </w:tcBorders>
            <w:shd w:val="clear" w:color="auto" w:fill="CCE2ED"/>
          </w:tcPr>
          <w:p w14:paraId="45F148FF" w14:textId="77777777" w:rsidR="00141B97" w:rsidRDefault="00141B97">
            <w:pPr>
              <w:pStyle w:val="TableParagraph"/>
              <w:spacing w:before="7"/>
              <w:rPr>
                <w:sz w:val="15"/>
              </w:rPr>
            </w:pPr>
          </w:p>
          <w:p w14:paraId="548A363A" w14:textId="77777777" w:rsidR="00141B97" w:rsidRDefault="00911D63">
            <w:pPr>
              <w:pStyle w:val="TableParagraph"/>
              <w:ind w:left="494" w:right="466"/>
              <w:jc w:val="center"/>
              <w:rPr>
                <w:sz w:val="18"/>
              </w:rPr>
            </w:pPr>
            <w:r>
              <w:rPr>
                <w:spacing w:val="-4"/>
                <w:sz w:val="18"/>
              </w:rPr>
              <w:t>6.07</w:t>
            </w:r>
          </w:p>
        </w:tc>
        <w:tc>
          <w:tcPr>
            <w:tcW w:w="1020" w:type="dxa"/>
            <w:tcBorders>
              <w:top w:val="single" w:sz="4" w:space="0" w:color="FFFFFF"/>
              <w:bottom w:val="single" w:sz="4" w:space="0" w:color="FFFFFF"/>
            </w:tcBorders>
            <w:shd w:val="clear" w:color="auto" w:fill="CCE2ED"/>
          </w:tcPr>
          <w:p w14:paraId="554F35DF" w14:textId="77777777" w:rsidR="00141B97" w:rsidRDefault="00141B97">
            <w:pPr>
              <w:pStyle w:val="TableParagraph"/>
              <w:spacing w:before="7"/>
              <w:rPr>
                <w:sz w:val="15"/>
              </w:rPr>
            </w:pPr>
          </w:p>
          <w:p w14:paraId="5AD28DF1" w14:textId="77777777" w:rsidR="00141B97" w:rsidRDefault="00911D63">
            <w:pPr>
              <w:pStyle w:val="TableParagraph"/>
              <w:ind w:left="207" w:right="182"/>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5A9C3FE6" w14:textId="77777777" w:rsidR="00141B97" w:rsidRDefault="00141B97">
            <w:pPr>
              <w:pStyle w:val="TableParagraph"/>
              <w:spacing w:before="7"/>
              <w:rPr>
                <w:sz w:val="15"/>
              </w:rPr>
            </w:pPr>
          </w:p>
          <w:p w14:paraId="374C433B" w14:textId="77777777" w:rsidR="00141B97" w:rsidRDefault="00911D63">
            <w:pPr>
              <w:pStyle w:val="TableParagraph"/>
              <w:ind w:left="139" w:right="144"/>
              <w:jc w:val="center"/>
              <w:rPr>
                <w:sz w:val="18"/>
              </w:rPr>
            </w:pPr>
            <w:r>
              <w:rPr>
                <w:spacing w:val="-4"/>
                <w:sz w:val="18"/>
              </w:rPr>
              <w:t>0.07</w:t>
            </w:r>
          </w:p>
        </w:tc>
        <w:tc>
          <w:tcPr>
            <w:tcW w:w="990" w:type="dxa"/>
            <w:tcBorders>
              <w:top w:val="single" w:sz="4" w:space="0" w:color="FFFFFF"/>
              <w:bottom w:val="single" w:sz="4" w:space="0" w:color="FFFFFF"/>
            </w:tcBorders>
            <w:shd w:val="clear" w:color="auto" w:fill="CCE2ED"/>
          </w:tcPr>
          <w:p w14:paraId="03BBFEC3" w14:textId="77777777" w:rsidR="00141B97" w:rsidRDefault="00141B97">
            <w:pPr>
              <w:pStyle w:val="TableParagraph"/>
              <w:spacing w:before="7"/>
              <w:rPr>
                <w:sz w:val="15"/>
              </w:rPr>
            </w:pPr>
          </w:p>
          <w:p w14:paraId="5E292786" w14:textId="77777777" w:rsidR="00141B97" w:rsidRDefault="00911D63">
            <w:pPr>
              <w:pStyle w:val="TableParagraph"/>
              <w:ind w:left="139" w:right="146"/>
              <w:jc w:val="center"/>
              <w:rPr>
                <w:sz w:val="18"/>
              </w:rPr>
            </w:pPr>
            <w:r>
              <w:rPr>
                <w:spacing w:val="-4"/>
                <w:sz w:val="18"/>
              </w:rPr>
              <w:t>1.10</w:t>
            </w:r>
          </w:p>
        </w:tc>
        <w:tc>
          <w:tcPr>
            <w:tcW w:w="990" w:type="dxa"/>
            <w:tcBorders>
              <w:top w:val="single" w:sz="4" w:space="0" w:color="FFFFFF"/>
              <w:bottom w:val="single" w:sz="4" w:space="0" w:color="FFFFFF"/>
            </w:tcBorders>
            <w:shd w:val="clear" w:color="auto" w:fill="CCE2ED"/>
          </w:tcPr>
          <w:p w14:paraId="6BDE31B8" w14:textId="77777777" w:rsidR="00141B97" w:rsidRDefault="00141B97">
            <w:pPr>
              <w:pStyle w:val="TableParagraph"/>
              <w:spacing w:before="7"/>
              <w:rPr>
                <w:sz w:val="15"/>
              </w:rPr>
            </w:pPr>
          </w:p>
          <w:p w14:paraId="46264B37" w14:textId="77777777" w:rsidR="00141B97" w:rsidRDefault="00911D63">
            <w:pPr>
              <w:pStyle w:val="TableParagraph"/>
              <w:ind w:left="139" w:right="148"/>
              <w:jc w:val="center"/>
              <w:rPr>
                <w:sz w:val="18"/>
              </w:rPr>
            </w:pPr>
            <w:r>
              <w:rPr>
                <w:spacing w:val="-4"/>
                <w:sz w:val="18"/>
              </w:rPr>
              <w:t>4.90</w:t>
            </w:r>
          </w:p>
        </w:tc>
        <w:tc>
          <w:tcPr>
            <w:tcW w:w="987" w:type="dxa"/>
            <w:tcBorders>
              <w:top w:val="single" w:sz="4" w:space="0" w:color="FFFFFF"/>
              <w:bottom w:val="single" w:sz="4" w:space="0" w:color="FFFFFF"/>
            </w:tcBorders>
            <w:shd w:val="clear" w:color="auto" w:fill="CCE2ED"/>
          </w:tcPr>
          <w:p w14:paraId="4620620F" w14:textId="77777777" w:rsidR="00141B97" w:rsidRDefault="00141B97">
            <w:pPr>
              <w:pStyle w:val="TableParagraph"/>
              <w:spacing w:before="7"/>
              <w:rPr>
                <w:sz w:val="15"/>
              </w:rPr>
            </w:pPr>
          </w:p>
          <w:p w14:paraId="635EB48F" w14:textId="77777777" w:rsidR="00141B97" w:rsidRDefault="00911D63">
            <w:pPr>
              <w:pStyle w:val="TableParagraph"/>
              <w:ind w:left="174" w:right="183"/>
              <w:jc w:val="center"/>
              <w:rPr>
                <w:sz w:val="18"/>
              </w:rPr>
            </w:pPr>
            <w:r>
              <w:rPr>
                <w:spacing w:val="-4"/>
                <w:sz w:val="18"/>
              </w:rPr>
              <w:t>0.00</w:t>
            </w:r>
          </w:p>
        </w:tc>
      </w:tr>
      <w:tr w:rsidR="00141B97" w14:paraId="3E851700" w14:textId="77777777">
        <w:trPr>
          <w:trHeight w:val="615"/>
        </w:trPr>
        <w:tc>
          <w:tcPr>
            <w:tcW w:w="563" w:type="dxa"/>
            <w:tcBorders>
              <w:top w:val="single" w:sz="4" w:space="0" w:color="FFFFFF"/>
              <w:bottom w:val="single" w:sz="4" w:space="0" w:color="FFFFFF"/>
            </w:tcBorders>
            <w:shd w:val="clear" w:color="auto" w:fill="CCE2ED"/>
          </w:tcPr>
          <w:p w14:paraId="4E6FFC1E" w14:textId="77777777" w:rsidR="00141B97" w:rsidRDefault="00141B97">
            <w:pPr>
              <w:pStyle w:val="TableParagraph"/>
              <w:spacing w:before="2"/>
              <w:rPr>
                <w:sz w:val="16"/>
              </w:rPr>
            </w:pPr>
          </w:p>
          <w:p w14:paraId="3927DF7E" w14:textId="77777777" w:rsidR="00141B97" w:rsidRDefault="00911D63">
            <w:pPr>
              <w:pStyle w:val="TableParagraph"/>
              <w:ind w:left="103"/>
              <w:rPr>
                <w:sz w:val="18"/>
              </w:rPr>
            </w:pPr>
            <w:r>
              <w:rPr>
                <w:sz w:val="18"/>
              </w:rPr>
              <w:t>7</w:t>
            </w:r>
          </w:p>
        </w:tc>
        <w:tc>
          <w:tcPr>
            <w:tcW w:w="3898" w:type="dxa"/>
            <w:tcBorders>
              <w:top w:val="single" w:sz="4" w:space="0" w:color="FFFFFF"/>
              <w:bottom w:val="single" w:sz="4" w:space="0" w:color="FFFFFF"/>
            </w:tcBorders>
            <w:shd w:val="clear" w:color="auto" w:fill="CCE2ED"/>
          </w:tcPr>
          <w:p w14:paraId="49B5C162" w14:textId="77777777" w:rsidR="00141B97" w:rsidRDefault="00141B97">
            <w:pPr>
              <w:pStyle w:val="TableParagraph"/>
              <w:spacing w:before="2"/>
              <w:rPr>
                <w:sz w:val="16"/>
              </w:rPr>
            </w:pPr>
          </w:p>
          <w:p w14:paraId="5CC8B9EC" w14:textId="77777777" w:rsidR="00141B97" w:rsidRDefault="00911D63">
            <w:pPr>
              <w:pStyle w:val="TableParagraph"/>
              <w:ind w:left="154"/>
              <w:rPr>
                <w:sz w:val="18"/>
              </w:rPr>
            </w:pPr>
            <w:r>
              <w:rPr>
                <w:sz w:val="18"/>
              </w:rPr>
              <w:t>Koorlong</w:t>
            </w:r>
            <w:r>
              <w:rPr>
                <w:spacing w:val="-4"/>
                <w:sz w:val="18"/>
              </w:rPr>
              <w:t xml:space="preserve"> </w:t>
            </w:r>
            <w:r>
              <w:rPr>
                <w:sz w:val="18"/>
              </w:rPr>
              <w:t>Sewer</w:t>
            </w:r>
            <w:r>
              <w:rPr>
                <w:spacing w:val="-3"/>
                <w:sz w:val="18"/>
              </w:rPr>
              <w:t xml:space="preserve"> </w:t>
            </w:r>
            <w:r>
              <w:rPr>
                <w:sz w:val="18"/>
              </w:rPr>
              <w:t>Rising</w:t>
            </w:r>
            <w:r>
              <w:rPr>
                <w:spacing w:val="-3"/>
                <w:sz w:val="18"/>
              </w:rPr>
              <w:t xml:space="preserve"> </w:t>
            </w:r>
            <w:r>
              <w:rPr>
                <w:sz w:val="18"/>
              </w:rPr>
              <w:t>Main</w:t>
            </w:r>
            <w:r>
              <w:rPr>
                <w:spacing w:val="-3"/>
                <w:sz w:val="18"/>
              </w:rPr>
              <w:t xml:space="preserve"> </w:t>
            </w:r>
            <w:r>
              <w:rPr>
                <w:spacing w:val="-2"/>
                <w:sz w:val="18"/>
              </w:rPr>
              <w:t>Duplication</w:t>
            </w:r>
          </w:p>
        </w:tc>
        <w:tc>
          <w:tcPr>
            <w:tcW w:w="4855" w:type="dxa"/>
            <w:tcBorders>
              <w:top w:val="single" w:sz="4" w:space="0" w:color="FFFFFF"/>
              <w:bottom w:val="single" w:sz="4" w:space="0" w:color="FFFFFF"/>
            </w:tcBorders>
            <w:shd w:val="clear" w:color="auto" w:fill="CCE2ED"/>
          </w:tcPr>
          <w:p w14:paraId="1B916D1A" w14:textId="77777777" w:rsidR="00141B97" w:rsidRDefault="00141B97">
            <w:pPr>
              <w:pStyle w:val="TableParagraph"/>
              <w:spacing w:before="2"/>
              <w:rPr>
                <w:sz w:val="16"/>
              </w:rPr>
            </w:pPr>
          </w:p>
          <w:p w14:paraId="3513342B" w14:textId="77777777" w:rsidR="00141B97" w:rsidRDefault="00911D63">
            <w:pPr>
              <w:pStyle w:val="TableParagraph"/>
              <w:ind w:left="104"/>
              <w:rPr>
                <w:sz w:val="18"/>
              </w:rPr>
            </w:pPr>
            <w:r>
              <w:rPr>
                <w:sz w:val="18"/>
              </w:rPr>
              <w:t>Koorlong</w:t>
            </w:r>
            <w:r>
              <w:rPr>
                <w:spacing w:val="-4"/>
                <w:sz w:val="18"/>
              </w:rPr>
              <w:t xml:space="preserve"> </w:t>
            </w:r>
            <w:r>
              <w:rPr>
                <w:sz w:val="18"/>
              </w:rPr>
              <w:t>Sewer</w:t>
            </w:r>
            <w:r>
              <w:rPr>
                <w:spacing w:val="-3"/>
                <w:sz w:val="18"/>
              </w:rPr>
              <w:t xml:space="preserve"> </w:t>
            </w:r>
            <w:r>
              <w:rPr>
                <w:sz w:val="18"/>
              </w:rPr>
              <w:t>Rising</w:t>
            </w:r>
            <w:r>
              <w:rPr>
                <w:spacing w:val="-3"/>
                <w:sz w:val="18"/>
              </w:rPr>
              <w:t xml:space="preserve"> </w:t>
            </w:r>
            <w:r>
              <w:rPr>
                <w:sz w:val="18"/>
              </w:rPr>
              <w:t>Main</w:t>
            </w:r>
            <w:r>
              <w:rPr>
                <w:spacing w:val="-3"/>
                <w:sz w:val="18"/>
              </w:rPr>
              <w:t xml:space="preserve"> </w:t>
            </w:r>
            <w:r>
              <w:rPr>
                <w:spacing w:val="-2"/>
                <w:sz w:val="18"/>
              </w:rPr>
              <w:t>Duplication</w:t>
            </w:r>
          </w:p>
        </w:tc>
        <w:tc>
          <w:tcPr>
            <w:tcW w:w="1400" w:type="dxa"/>
            <w:tcBorders>
              <w:top w:val="single" w:sz="4" w:space="0" w:color="FFFFFF"/>
              <w:bottom w:val="single" w:sz="4" w:space="0" w:color="FFFFFF"/>
            </w:tcBorders>
            <w:shd w:val="clear" w:color="auto" w:fill="CCE2ED"/>
          </w:tcPr>
          <w:p w14:paraId="3CC53887" w14:textId="77777777" w:rsidR="00141B97" w:rsidRDefault="00141B97">
            <w:pPr>
              <w:pStyle w:val="TableParagraph"/>
              <w:spacing w:before="2"/>
              <w:rPr>
                <w:sz w:val="16"/>
              </w:rPr>
            </w:pPr>
          </w:p>
          <w:p w14:paraId="751663E3" w14:textId="77777777" w:rsidR="00141B97" w:rsidRDefault="00911D63">
            <w:pPr>
              <w:pStyle w:val="TableParagraph"/>
              <w:ind w:left="494" w:right="466"/>
              <w:jc w:val="center"/>
              <w:rPr>
                <w:sz w:val="18"/>
              </w:rPr>
            </w:pPr>
            <w:r>
              <w:rPr>
                <w:spacing w:val="-4"/>
                <w:sz w:val="18"/>
              </w:rPr>
              <w:t>1.50</w:t>
            </w:r>
          </w:p>
        </w:tc>
        <w:tc>
          <w:tcPr>
            <w:tcW w:w="1020" w:type="dxa"/>
            <w:tcBorders>
              <w:top w:val="single" w:sz="4" w:space="0" w:color="FFFFFF"/>
              <w:bottom w:val="single" w:sz="4" w:space="0" w:color="FFFFFF"/>
            </w:tcBorders>
            <w:shd w:val="clear" w:color="auto" w:fill="CCE2ED"/>
          </w:tcPr>
          <w:p w14:paraId="7702FB4A" w14:textId="77777777" w:rsidR="00141B97" w:rsidRDefault="00141B97">
            <w:pPr>
              <w:pStyle w:val="TableParagraph"/>
              <w:spacing w:before="2"/>
              <w:rPr>
                <w:sz w:val="16"/>
              </w:rPr>
            </w:pPr>
          </w:p>
          <w:p w14:paraId="486F4197" w14:textId="77777777" w:rsidR="00141B97" w:rsidRDefault="00911D63">
            <w:pPr>
              <w:pStyle w:val="TableParagraph"/>
              <w:ind w:left="207" w:right="182"/>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6F34137F" w14:textId="77777777" w:rsidR="00141B97" w:rsidRDefault="00141B97">
            <w:pPr>
              <w:pStyle w:val="TableParagraph"/>
              <w:spacing w:before="2"/>
              <w:rPr>
                <w:sz w:val="16"/>
              </w:rPr>
            </w:pPr>
          </w:p>
          <w:p w14:paraId="3BDCE094" w14:textId="77777777" w:rsidR="00141B97" w:rsidRDefault="00911D63">
            <w:pPr>
              <w:pStyle w:val="TableParagraph"/>
              <w:ind w:left="139" w:right="144"/>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23A067E8" w14:textId="77777777" w:rsidR="00141B97" w:rsidRDefault="00141B97">
            <w:pPr>
              <w:pStyle w:val="TableParagraph"/>
              <w:spacing w:before="2"/>
              <w:rPr>
                <w:sz w:val="16"/>
              </w:rPr>
            </w:pPr>
          </w:p>
          <w:p w14:paraId="5BBEF676" w14:textId="77777777" w:rsidR="00141B97" w:rsidRDefault="00911D63">
            <w:pPr>
              <w:pStyle w:val="TableParagraph"/>
              <w:ind w:left="139" w:right="146"/>
              <w:jc w:val="center"/>
              <w:rPr>
                <w:sz w:val="18"/>
              </w:rPr>
            </w:pPr>
            <w:r>
              <w:rPr>
                <w:spacing w:val="-4"/>
                <w:sz w:val="18"/>
              </w:rPr>
              <w:t>0.00</w:t>
            </w:r>
          </w:p>
        </w:tc>
        <w:tc>
          <w:tcPr>
            <w:tcW w:w="990" w:type="dxa"/>
            <w:tcBorders>
              <w:top w:val="single" w:sz="4" w:space="0" w:color="FFFFFF"/>
              <w:bottom w:val="single" w:sz="4" w:space="0" w:color="FFFFFF"/>
            </w:tcBorders>
            <w:shd w:val="clear" w:color="auto" w:fill="CCE2ED"/>
          </w:tcPr>
          <w:p w14:paraId="4801FC23" w14:textId="77777777" w:rsidR="00141B97" w:rsidRDefault="00141B97">
            <w:pPr>
              <w:pStyle w:val="TableParagraph"/>
              <w:spacing w:before="2"/>
              <w:rPr>
                <w:sz w:val="16"/>
              </w:rPr>
            </w:pPr>
          </w:p>
          <w:p w14:paraId="0F329A71" w14:textId="77777777" w:rsidR="00141B97" w:rsidRDefault="00911D63">
            <w:pPr>
              <w:pStyle w:val="TableParagraph"/>
              <w:ind w:left="139" w:right="148"/>
              <w:jc w:val="center"/>
              <w:rPr>
                <w:sz w:val="18"/>
              </w:rPr>
            </w:pPr>
            <w:r>
              <w:rPr>
                <w:spacing w:val="-4"/>
                <w:sz w:val="18"/>
              </w:rPr>
              <w:t>0.30</w:t>
            </w:r>
          </w:p>
        </w:tc>
        <w:tc>
          <w:tcPr>
            <w:tcW w:w="987" w:type="dxa"/>
            <w:tcBorders>
              <w:top w:val="single" w:sz="4" w:space="0" w:color="FFFFFF"/>
              <w:bottom w:val="single" w:sz="4" w:space="0" w:color="FFFFFF"/>
            </w:tcBorders>
            <w:shd w:val="clear" w:color="auto" w:fill="CCE2ED"/>
          </w:tcPr>
          <w:p w14:paraId="235B9EB8" w14:textId="77777777" w:rsidR="00141B97" w:rsidRDefault="00141B97">
            <w:pPr>
              <w:pStyle w:val="TableParagraph"/>
              <w:spacing w:before="2"/>
              <w:rPr>
                <w:sz w:val="16"/>
              </w:rPr>
            </w:pPr>
          </w:p>
          <w:p w14:paraId="0CE4BF21" w14:textId="77777777" w:rsidR="00141B97" w:rsidRDefault="00911D63">
            <w:pPr>
              <w:pStyle w:val="TableParagraph"/>
              <w:ind w:left="174" w:right="183"/>
              <w:jc w:val="center"/>
              <w:rPr>
                <w:sz w:val="18"/>
              </w:rPr>
            </w:pPr>
            <w:r>
              <w:rPr>
                <w:spacing w:val="-4"/>
                <w:sz w:val="18"/>
              </w:rPr>
              <w:t>1.20</w:t>
            </w:r>
          </w:p>
        </w:tc>
      </w:tr>
      <w:tr w:rsidR="00141B97" w14:paraId="14CE2BD7" w14:textId="77777777">
        <w:trPr>
          <w:trHeight w:val="477"/>
        </w:trPr>
        <w:tc>
          <w:tcPr>
            <w:tcW w:w="563" w:type="dxa"/>
            <w:tcBorders>
              <w:top w:val="single" w:sz="4" w:space="0" w:color="FFFFFF"/>
              <w:bottom w:val="single" w:sz="6" w:space="0" w:color="FFFFFF"/>
            </w:tcBorders>
            <w:shd w:val="clear" w:color="auto" w:fill="CCE2ED"/>
          </w:tcPr>
          <w:p w14:paraId="12D035D1" w14:textId="77777777" w:rsidR="00141B97" w:rsidRDefault="00911D63">
            <w:pPr>
              <w:pStyle w:val="TableParagraph"/>
              <w:spacing w:before="131"/>
              <w:ind w:left="103"/>
              <w:rPr>
                <w:sz w:val="18"/>
              </w:rPr>
            </w:pPr>
            <w:r>
              <w:rPr>
                <w:sz w:val="18"/>
              </w:rPr>
              <w:t>8</w:t>
            </w:r>
          </w:p>
        </w:tc>
        <w:tc>
          <w:tcPr>
            <w:tcW w:w="3898" w:type="dxa"/>
            <w:tcBorders>
              <w:top w:val="single" w:sz="4" w:space="0" w:color="FFFFFF"/>
              <w:bottom w:val="single" w:sz="6" w:space="0" w:color="FFFFFF"/>
            </w:tcBorders>
            <w:shd w:val="clear" w:color="auto" w:fill="CCE2ED"/>
          </w:tcPr>
          <w:p w14:paraId="58AD4C18" w14:textId="77777777" w:rsidR="00141B97" w:rsidRDefault="00911D63">
            <w:pPr>
              <w:pStyle w:val="TableParagraph"/>
              <w:spacing w:before="131"/>
              <w:ind w:left="154"/>
              <w:rPr>
                <w:sz w:val="18"/>
              </w:rPr>
            </w:pPr>
            <w:r>
              <w:rPr>
                <w:sz w:val="18"/>
              </w:rPr>
              <w:t>Customer</w:t>
            </w:r>
            <w:r>
              <w:rPr>
                <w:spacing w:val="-2"/>
                <w:sz w:val="18"/>
              </w:rPr>
              <w:t xml:space="preserve"> </w:t>
            </w:r>
            <w:r>
              <w:rPr>
                <w:sz w:val="18"/>
              </w:rPr>
              <w:t>CRM,</w:t>
            </w:r>
            <w:r>
              <w:rPr>
                <w:spacing w:val="-2"/>
                <w:sz w:val="18"/>
              </w:rPr>
              <w:t xml:space="preserve"> </w:t>
            </w:r>
            <w:r>
              <w:rPr>
                <w:sz w:val="18"/>
              </w:rPr>
              <w:t>portal</w:t>
            </w:r>
            <w:r>
              <w:rPr>
                <w:spacing w:val="-3"/>
                <w:sz w:val="18"/>
              </w:rPr>
              <w:t xml:space="preserve"> </w:t>
            </w:r>
            <w:r>
              <w:rPr>
                <w:sz w:val="18"/>
              </w:rPr>
              <w:t>Phase</w:t>
            </w:r>
            <w:r>
              <w:rPr>
                <w:spacing w:val="-2"/>
                <w:sz w:val="18"/>
              </w:rPr>
              <w:t xml:space="preserve"> </w:t>
            </w:r>
            <w:r>
              <w:rPr>
                <w:spacing w:val="-10"/>
                <w:sz w:val="18"/>
              </w:rPr>
              <w:t>2</w:t>
            </w:r>
          </w:p>
        </w:tc>
        <w:tc>
          <w:tcPr>
            <w:tcW w:w="4855" w:type="dxa"/>
            <w:tcBorders>
              <w:top w:val="single" w:sz="4" w:space="0" w:color="FFFFFF"/>
              <w:bottom w:val="single" w:sz="6" w:space="0" w:color="FFFFFF"/>
            </w:tcBorders>
            <w:shd w:val="clear" w:color="auto" w:fill="CCE2ED"/>
          </w:tcPr>
          <w:p w14:paraId="0B4D2544" w14:textId="77777777" w:rsidR="00141B97" w:rsidRDefault="00911D63">
            <w:pPr>
              <w:pStyle w:val="TableParagraph"/>
              <w:spacing w:before="17" w:line="220" w:lineRule="atLeast"/>
              <w:ind w:left="104"/>
              <w:rPr>
                <w:sz w:val="18"/>
              </w:rPr>
            </w:pPr>
            <w:r>
              <w:rPr>
                <w:sz w:val="18"/>
              </w:rPr>
              <w:t>Customer</w:t>
            </w:r>
            <w:r>
              <w:rPr>
                <w:spacing w:val="-5"/>
                <w:sz w:val="18"/>
              </w:rPr>
              <w:t xml:space="preserve"> </w:t>
            </w:r>
            <w:r>
              <w:rPr>
                <w:sz w:val="18"/>
              </w:rPr>
              <w:t>CRM,</w:t>
            </w:r>
            <w:r>
              <w:rPr>
                <w:spacing w:val="-5"/>
                <w:sz w:val="18"/>
              </w:rPr>
              <w:t xml:space="preserve"> </w:t>
            </w:r>
            <w:r>
              <w:rPr>
                <w:sz w:val="18"/>
              </w:rPr>
              <w:t>portal</w:t>
            </w:r>
            <w:r>
              <w:rPr>
                <w:spacing w:val="-5"/>
                <w:sz w:val="18"/>
              </w:rPr>
              <w:t xml:space="preserve"> </w:t>
            </w:r>
            <w:r>
              <w:rPr>
                <w:sz w:val="18"/>
              </w:rPr>
              <w:t>Phase</w:t>
            </w:r>
            <w:r>
              <w:rPr>
                <w:spacing w:val="-5"/>
                <w:sz w:val="18"/>
              </w:rPr>
              <w:t xml:space="preserve"> </w:t>
            </w:r>
            <w:r>
              <w:rPr>
                <w:sz w:val="18"/>
              </w:rPr>
              <w:t>2</w:t>
            </w:r>
            <w:r>
              <w:rPr>
                <w:spacing w:val="-5"/>
                <w:sz w:val="18"/>
              </w:rPr>
              <w:t xml:space="preserve"> </w:t>
            </w:r>
            <w:r>
              <w:rPr>
                <w:sz w:val="18"/>
              </w:rPr>
              <w:t>(additional</w:t>
            </w:r>
            <w:r>
              <w:rPr>
                <w:spacing w:val="-5"/>
                <w:sz w:val="18"/>
              </w:rPr>
              <w:t xml:space="preserve"> </w:t>
            </w:r>
            <w:r>
              <w:rPr>
                <w:sz w:val="18"/>
              </w:rPr>
              <w:t>process</w:t>
            </w:r>
            <w:r>
              <w:rPr>
                <w:spacing w:val="-5"/>
                <w:sz w:val="18"/>
              </w:rPr>
              <w:t xml:space="preserve"> </w:t>
            </w:r>
            <w:r>
              <w:rPr>
                <w:sz w:val="18"/>
              </w:rPr>
              <w:t>design</w:t>
            </w:r>
            <w:r>
              <w:rPr>
                <w:spacing w:val="-5"/>
                <w:sz w:val="18"/>
              </w:rPr>
              <w:t xml:space="preserve"> </w:t>
            </w:r>
            <w:r>
              <w:rPr>
                <w:sz w:val="18"/>
              </w:rPr>
              <w:t>&amp; NextGen service catalogue Portal</w:t>
            </w:r>
          </w:p>
        </w:tc>
        <w:tc>
          <w:tcPr>
            <w:tcW w:w="1400" w:type="dxa"/>
            <w:tcBorders>
              <w:top w:val="single" w:sz="4" w:space="0" w:color="FFFFFF"/>
              <w:bottom w:val="single" w:sz="6" w:space="0" w:color="FFFFFF"/>
            </w:tcBorders>
            <w:shd w:val="clear" w:color="auto" w:fill="CCE2ED"/>
          </w:tcPr>
          <w:p w14:paraId="299B4E70" w14:textId="77777777" w:rsidR="00141B97" w:rsidRDefault="00911D63">
            <w:pPr>
              <w:pStyle w:val="TableParagraph"/>
              <w:spacing w:before="131"/>
              <w:ind w:left="494" w:right="466"/>
              <w:jc w:val="center"/>
              <w:rPr>
                <w:sz w:val="18"/>
              </w:rPr>
            </w:pPr>
            <w:r>
              <w:rPr>
                <w:spacing w:val="-4"/>
                <w:sz w:val="18"/>
              </w:rPr>
              <w:t>1.78</w:t>
            </w:r>
          </w:p>
        </w:tc>
        <w:tc>
          <w:tcPr>
            <w:tcW w:w="1020" w:type="dxa"/>
            <w:tcBorders>
              <w:top w:val="single" w:sz="4" w:space="0" w:color="FFFFFF"/>
              <w:bottom w:val="single" w:sz="6" w:space="0" w:color="FFFFFF"/>
            </w:tcBorders>
            <w:shd w:val="clear" w:color="auto" w:fill="CCE2ED"/>
          </w:tcPr>
          <w:p w14:paraId="461CE306" w14:textId="77777777" w:rsidR="00141B97" w:rsidRDefault="00911D63">
            <w:pPr>
              <w:pStyle w:val="TableParagraph"/>
              <w:spacing w:before="131"/>
              <w:ind w:left="207" w:right="182"/>
              <w:jc w:val="center"/>
              <w:rPr>
                <w:sz w:val="18"/>
              </w:rPr>
            </w:pPr>
            <w:r>
              <w:rPr>
                <w:spacing w:val="-4"/>
                <w:sz w:val="18"/>
              </w:rPr>
              <w:t>0.59</w:t>
            </w:r>
          </w:p>
        </w:tc>
        <w:tc>
          <w:tcPr>
            <w:tcW w:w="990" w:type="dxa"/>
            <w:tcBorders>
              <w:top w:val="single" w:sz="4" w:space="0" w:color="FFFFFF"/>
              <w:bottom w:val="single" w:sz="6" w:space="0" w:color="FFFFFF"/>
            </w:tcBorders>
            <w:shd w:val="clear" w:color="auto" w:fill="CCE2ED"/>
          </w:tcPr>
          <w:p w14:paraId="5D3E29D4" w14:textId="77777777" w:rsidR="00141B97" w:rsidRDefault="00911D63">
            <w:pPr>
              <w:pStyle w:val="TableParagraph"/>
              <w:spacing w:before="131"/>
              <w:ind w:left="139" w:right="144"/>
              <w:jc w:val="center"/>
              <w:rPr>
                <w:sz w:val="18"/>
              </w:rPr>
            </w:pPr>
            <w:r>
              <w:rPr>
                <w:spacing w:val="-4"/>
                <w:sz w:val="18"/>
              </w:rPr>
              <w:t>0.59</w:t>
            </w:r>
          </w:p>
        </w:tc>
        <w:tc>
          <w:tcPr>
            <w:tcW w:w="990" w:type="dxa"/>
            <w:tcBorders>
              <w:top w:val="single" w:sz="4" w:space="0" w:color="FFFFFF"/>
              <w:bottom w:val="single" w:sz="6" w:space="0" w:color="FFFFFF"/>
            </w:tcBorders>
            <w:shd w:val="clear" w:color="auto" w:fill="CCE2ED"/>
          </w:tcPr>
          <w:p w14:paraId="34D7A340" w14:textId="77777777" w:rsidR="00141B97" w:rsidRDefault="00911D63">
            <w:pPr>
              <w:pStyle w:val="TableParagraph"/>
              <w:spacing w:before="131"/>
              <w:ind w:left="139" w:right="146"/>
              <w:jc w:val="center"/>
              <w:rPr>
                <w:sz w:val="18"/>
              </w:rPr>
            </w:pPr>
            <w:r>
              <w:rPr>
                <w:spacing w:val="-4"/>
                <w:sz w:val="18"/>
              </w:rPr>
              <w:t>0.59</w:t>
            </w:r>
          </w:p>
        </w:tc>
        <w:tc>
          <w:tcPr>
            <w:tcW w:w="990" w:type="dxa"/>
            <w:tcBorders>
              <w:top w:val="single" w:sz="4" w:space="0" w:color="FFFFFF"/>
              <w:bottom w:val="single" w:sz="6" w:space="0" w:color="FFFFFF"/>
            </w:tcBorders>
            <w:shd w:val="clear" w:color="auto" w:fill="CCE2ED"/>
          </w:tcPr>
          <w:p w14:paraId="4F9EA40B" w14:textId="77777777" w:rsidR="00141B97" w:rsidRDefault="00911D63">
            <w:pPr>
              <w:pStyle w:val="TableParagraph"/>
              <w:spacing w:before="131"/>
              <w:ind w:left="139" w:right="148"/>
              <w:jc w:val="center"/>
              <w:rPr>
                <w:sz w:val="18"/>
              </w:rPr>
            </w:pPr>
            <w:r>
              <w:rPr>
                <w:spacing w:val="-4"/>
                <w:sz w:val="18"/>
              </w:rPr>
              <w:t>0.00</w:t>
            </w:r>
          </w:p>
        </w:tc>
        <w:tc>
          <w:tcPr>
            <w:tcW w:w="987" w:type="dxa"/>
            <w:tcBorders>
              <w:top w:val="single" w:sz="4" w:space="0" w:color="FFFFFF"/>
              <w:bottom w:val="single" w:sz="6" w:space="0" w:color="FFFFFF"/>
            </w:tcBorders>
            <w:shd w:val="clear" w:color="auto" w:fill="CCE2ED"/>
          </w:tcPr>
          <w:p w14:paraId="14081304" w14:textId="77777777" w:rsidR="00141B97" w:rsidRDefault="00911D63">
            <w:pPr>
              <w:pStyle w:val="TableParagraph"/>
              <w:spacing w:before="131"/>
              <w:ind w:left="174" w:right="183"/>
              <w:jc w:val="center"/>
              <w:rPr>
                <w:sz w:val="18"/>
              </w:rPr>
            </w:pPr>
            <w:r>
              <w:rPr>
                <w:spacing w:val="-4"/>
                <w:sz w:val="18"/>
              </w:rPr>
              <w:t>0.00</w:t>
            </w:r>
          </w:p>
        </w:tc>
      </w:tr>
      <w:tr w:rsidR="00141B97" w14:paraId="77735778" w14:textId="77777777">
        <w:trPr>
          <w:trHeight w:val="672"/>
        </w:trPr>
        <w:tc>
          <w:tcPr>
            <w:tcW w:w="563" w:type="dxa"/>
            <w:tcBorders>
              <w:top w:val="single" w:sz="6" w:space="0" w:color="FFFFFF"/>
              <w:bottom w:val="single" w:sz="4" w:space="0" w:color="FFFFFF"/>
            </w:tcBorders>
            <w:shd w:val="clear" w:color="auto" w:fill="CCE2ED"/>
          </w:tcPr>
          <w:p w14:paraId="4474911A" w14:textId="77777777" w:rsidR="00141B97" w:rsidRDefault="00141B97">
            <w:pPr>
              <w:pStyle w:val="TableParagraph"/>
              <w:spacing w:before="5"/>
              <w:rPr>
                <w:sz w:val="18"/>
              </w:rPr>
            </w:pPr>
          </w:p>
          <w:p w14:paraId="46EF5C8D" w14:textId="77777777" w:rsidR="00141B97" w:rsidRDefault="00911D63">
            <w:pPr>
              <w:pStyle w:val="TableParagraph"/>
              <w:ind w:left="103"/>
              <w:rPr>
                <w:sz w:val="18"/>
              </w:rPr>
            </w:pPr>
            <w:r>
              <w:rPr>
                <w:spacing w:val="-5"/>
                <w:sz w:val="18"/>
              </w:rPr>
              <w:t>10</w:t>
            </w:r>
          </w:p>
        </w:tc>
        <w:tc>
          <w:tcPr>
            <w:tcW w:w="3898" w:type="dxa"/>
            <w:tcBorders>
              <w:top w:val="single" w:sz="6" w:space="0" w:color="FFFFFF"/>
              <w:bottom w:val="single" w:sz="4" w:space="0" w:color="FFFFFF"/>
            </w:tcBorders>
            <w:shd w:val="clear" w:color="auto" w:fill="CCE2ED"/>
          </w:tcPr>
          <w:p w14:paraId="67BE5959" w14:textId="77777777" w:rsidR="00141B97" w:rsidRDefault="00141B97">
            <w:pPr>
              <w:pStyle w:val="TableParagraph"/>
              <w:spacing w:before="5"/>
              <w:rPr>
                <w:sz w:val="18"/>
              </w:rPr>
            </w:pPr>
          </w:p>
          <w:p w14:paraId="0C769A28" w14:textId="77777777" w:rsidR="00141B97" w:rsidRDefault="00911D63">
            <w:pPr>
              <w:pStyle w:val="TableParagraph"/>
              <w:ind w:left="154"/>
              <w:rPr>
                <w:sz w:val="18"/>
              </w:rPr>
            </w:pPr>
            <w:r>
              <w:rPr>
                <w:sz w:val="18"/>
              </w:rPr>
              <w:t>Asset Management</w:t>
            </w:r>
            <w:r>
              <w:rPr>
                <w:spacing w:val="-1"/>
                <w:sz w:val="18"/>
              </w:rPr>
              <w:t xml:space="preserve"> </w:t>
            </w:r>
            <w:r>
              <w:rPr>
                <w:sz w:val="18"/>
              </w:rPr>
              <w:t xml:space="preserve">Platform </w:t>
            </w:r>
            <w:r>
              <w:rPr>
                <w:spacing w:val="-2"/>
                <w:sz w:val="18"/>
              </w:rPr>
              <w:t>uplift</w:t>
            </w:r>
          </w:p>
        </w:tc>
        <w:tc>
          <w:tcPr>
            <w:tcW w:w="4855" w:type="dxa"/>
            <w:tcBorders>
              <w:top w:val="single" w:sz="6" w:space="0" w:color="FFFFFF"/>
              <w:bottom w:val="single" w:sz="4" w:space="0" w:color="FFFFFF"/>
            </w:tcBorders>
            <w:shd w:val="clear" w:color="auto" w:fill="CCE2ED"/>
          </w:tcPr>
          <w:p w14:paraId="3D049672" w14:textId="77777777" w:rsidR="00141B97" w:rsidRDefault="00911D63">
            <w:pPr>
              <w:pStyle w:val="TableParagraph"/>
              <w:spacing w:before="115"/>
              <w:ind w:left="104" w:right="112"/>
              <w:rPr>
                <w:sz w:val="18"/>
              </w:rPr>
            </w:pPr>
            <w:r>
              <w:rPr>
                <w:sz w:val="18"/>
              </w:rPr>
              <w:t>Asset</w:t>
            </w:r>
            <w:r>
              <w:rPr>
                <w:spacing w:val="-7"/>
                <w:sz w:val="18"/>
              </w:rPr>
              <w:t xml:space="preserve"> </w:t>
            </w:r>
            <w:r>
              <w:rPr>
                <w:sz w:val="18"/>
              </w:rPr>
              <w:t>Management</w:t>
            </w:r>
            <w:r>
              <w:rPr>
                <w:spacing w:val="-8"/>
                <w:sz w:val="18"/>
              </w:rPr>
              <w:t xml:space="preserve"> </w:t>
            </w:r>
            <w:r>
              <w:rPr>
                <w:sz w:val="18"/>
              </w:rPr>
              <w:t>Improvement</w:t>
            </w:r>
            <w:r>
              <w:rPr>
                <w:spacing w:val="-7"/>
                <w:sz w:val="18"/>
              </w:rPr>
              <w:t xml:space="preserve"> </w:t>
            </w:r>
            <w:r>
              <w:rPr>
                <w:sz w:val="18"/>
              </w:rPr>
              <w:t>‐</w:t>
            </w:r>
            <w:r>
              <w:rPr>
                <w:spacing w:val="-7"/>
                <w:sz w:val="18"/>
              </w:rPr>
              <w:t xml:space="preserve"> </w:t>
            </w:r>
            <w:r>
              <w:rPr>
                <w:sz w:val="18"/>
              </w:rPr>
              <w:t>Fixed</w:t>
            </w:r>
            <w:r>
              <w:rPr>
                <w:spacing w:val="-7"/>
                <w:sz w:val="18"/>
              </w:rPr>
              <w:t xml:space="preserve"> </w:t>
            </w:r>
            <w:r>
              <w:rPr>
                <w:sz w:val="18"/>
              </w:rPr>
              <w:t>Asset</w:t>
            </w:r>
            <w:r>
              <w:rPr>
                <w:spacing w:val="-7"/>
                <w:sz w:val="18"/>
              </w:rPr>
              <w:t xml:space="preserve"> </w:t>
            </w:r>
            <w:r>
              <w:rPr>
                <w:sz w:val="18"/>
              </w:rPr>
              <w:t>Implementation &amp; Value Study Initiatives</w:t>
            </w:r>
          </w:p>
        </w:tc>
        <w:tc>
          <w:tcPr>
            <w:tcW w:w="1400" w:type="dxa"/>
            <w:tcBorders>
              <w:top w:val="single" w:sz="6" w:space="0" w:color="FFFFFF"/>
              <w:bottom w:val="single" w:sz="4" w:space="0" w:color="FFFFFF"/>
            </w:tcBorders>
            <w:shd w:val="clear" w:color="auto" w:fill="CCE2ED"/>
          </w:tcPr>
          <w:p w14:paraId="740C69CE" w14:textId="77777777" w:rsidR="00141B97" w:rsidRDefault="00141B97">
            <w:pPr>
              <w:pStyle w:val="TableParagraph"/>
              <w:spacing w:before="5"/>
              <w:rPr>
                <w:sz w:val="18"/>
              </w:rPr>
            </w:pPr>
          </w:p>
          <w:p w14:paraId="1B43EE3D" w14:textId="77777777" w:rsidR="00141B97" w:rsidRDefault="00911D63">
            <w:pPr>
              <w:pStyle w:val="TableParagraph"/>
              <w:ind w:left="494" w:right="466"/>
              <w:jc w:val="center"/>
              <w:rPr>
                <w:sz w:val="18"/>
              </w:rPr>
            </w:pPr>
            <w:r>
              <w:rPr>
                <w:spacing w:val="-4"/>
                <w:sz w:val="18"/>
              </w:rPr>
              <w:t>2.71</w:t>
            </w:r>
          </w:p>
        </w:tc>
        <w:tc>
          <w:tcPr>
            <w:tcW w:w="1020" w:type="dxa"/>
            <w:tcBorders>
              <w:top w:val="single" w:sz="6" w:space="0" w:color="FFFFFF"/>
              <w:bottom w:val="single" w:sz="4" w:space="0" w:color="FFFFFF"/>
            </w:tcBorders>
            <w:shd w:val="clear" w:color="auto" w:fill="CCE2ED"/>
          </w:tcPr>
          <w:p w14:paraId="18174AF1" w14:textId="77777777" w:rsidR="00141B97" w:rsidRDefault="00141B97">
            <w:pPr>
              <w:pStyle w:val="TableParagraph"/>
              <w:spacing w:before="5"/>
              <w:rPr>
                <w:sz w:val="18"/>
              </w:rPr>
            </w:pPr>
          </w:p>
          <w:p w14:paraId="50A2BC8B" w14:textId="77777777" w:rsidR="00141B97" w:rsidRDefault="00911D63">
            <w:pPr>
              <w:pStyle w:val="TableParagraph"/>
              <w:ind w:left="207" w:right="182"/>
              <w:jc w:val="center"/>
              <w:rPr>
                <w:sz w:val="18"/>
              </w:rPr>
            </w:pPr>
            <w:r>
              <w:rPr>
                <w:spacing w:val="-4"/>
                <w:sz w:val="18"/>
              </w:rPr>
              <w:t>0.54</w:t>
            </w:r>
          </w:p>
        </w:tc>
        <w:tc>
          <w:tcPr>
            <w:tcW w:w="990" w:type="dxa"/>
            <w:tcBorders>
              <w:top w:val="single" w:sz="6" w:space="0" w:color="FFFFFF"/>
              <w:bottom w:val="single" w:sz="4" w:space="0" w:color="FFFFFF"/>
            </w:tcBorders>
            <w:shd w:val="clear" w:color="auto" w:fill="CCE2ED"/>
          </w:tcPr>
          <w:p w14:paraId="0E27F4CB" w14:textId="77777777" w:rsidR="00141B97" w:rsidRDefault="00141B97">
            <w:pPr>
              <w:pStyle w:val="TableParagraph"/>
              <w:spacing w:before="5"/>
              <w:rPr>
                <w:sz w:val="18"/>
              </w:rPr>
            </w:pPr>
          </w:p>
          <w:p w14:paraId="2DE6D07C" w14:textId="77777777" w:rsidR="00141B97" w:rsidRDefault="00911D63">
            <w:pPr>
              <w:pStyle w:val="TableParagraph"/>
              <w:ind w:left="139" w:right="144"/>
              <w:jc w:val="center"/>
              <w:rPr>
                <w:sz w:val="18"/>
              </w:rPr>
            </w:pPr>
            <w:r>
              <w:rPr>
                <w:spacing w:val="-4"/>
                <w:sz w:val="18"/>
              </w:rPr>
              <w:t>0.54</w:t>
            </w:r>
          </w:p>
        </w:tc>
        <w:tc>
          <w:tcPr>
            <w:tcW w:w="990" w:type="dxa"/>
            <w:tcBorders>
              <w:top w:val="single" w:sz="6" w:space="0" w:color="FFFFFF"/>
              <w:bottom w:val="single" w:sz="4" w:space="0" w:color="FFFFFF"/>
            </w:tcBorders>
            <w:shd w:val="clear" w:color="auto" w:fill="CCE2ED"/>
          </w:tcPr>
          <w:p w14:paraId="0AD8FC7E" w14:textId="77777777" w:rsidR="00141B97" w:rsidRDefault="00141B97">
            <w:pPr>
              <w:pStyle w:val="TableParagraph"/>
              <w:spacing w:before="5"/>
              <w:rPr>
                <w:sz w:val="18"/>
              </w:rPr>
            </w:pPr>
          </w:p>
          <w:p w14:paraId="415B2046" w14:textId="77777777" w:rsidR="00141B97" w:rsidRDefault="00911D63">
            <w:pPr>
              <w:pStyle w:val="TableParagraph"/>
              <w:ind w:left="139" w:right="146"/>
              <w:jc w:val="center"/>
              <w:rPr>
                <w:sz w:val="18"/>
              </w:rPr>
            </w:pPr>
            <w:r>
              <w:rPr>
                <w:spacing w:val="-4"/>
                <w:sz w:val="18"/>
              </w:rPr>
              <w:t>0.54</w:t>
            </w:r>
          </w:p>
        </w:tc>
        <w:tc>
          <w:tcPr>
            <w:tcW w:w="990" w:type="dxa"/>
            <w:tcBorders>
              <w:top w:val="single" w:sz="6" w:space="0" w:color="FFFFFF"/>
              <w:bottom w:val="single" w:sz="4" w:space="0" w:color="FFFFFF"/>
            </w:tcBorders>
            <w:shd w:val="clear" w:color="auto" w:fill="CCE2ED"/>
          </w:tcPr>
          <w:p w14:paraId="5FF2079A" w14:textId="77777777" w:rsidR="00141B97" w:rsidRDefault="00141B97">
            <w:pPr>
              <w:pStyle w:val="TableParagraph"/>
              <w:spacing w:before="5"/>
              <w:rPr>
                <w:sz w:val="18"/>
              </w:rPr>
            </w:pPr>
          </w:p>
          <w:p w14:paraId="631A878B" w14:textId="77777777" w:rsidR="00141B97" w:rsidRDefault="00911D63">
            <w:pPr>
              <w:pStyle w:val="TableParagraph"/>
              <w:ind w:left="139" w:right="148"/>
              <w:jc w:val="center"/>
              <w:rPr>
                <w:sz w:val="18"/>
              </w:rPr>
            </w:pPr>
            <w:r>
              <w:rPr>
                <w:spacing w:val="-4"/>
                <w:sz w:val="18"/>
              </w:rPr>
              <w:t>0.54</w:t>
            </w:r>
          </w:p>
        </w:tc>
        <w:tc>
          <w:tcPr>
            <w:tcW w:w="987" w:type="dxa"/>
            <w:tcBorders>
              <w:top w:val="single" w:sz="6" w:space="0" w:color="FFFFFF"/>
              <w:bottom w:val="single" w:sz="4" w:space="0" w:color="FFFFFF"/>
            </w:tcBorders>
            <w:shd w:val="clear" w:color="auto" w:fill="CCE2ED"/>
          </w:tcPr>
          <w:p w14:paraId="0BCECF38" w14:textId="77777777" w:rsidR="00141B97" w:rsidRDefault="00141B97">
            <w:pPr>
              <w:pStyle w:val="TableParagraph"/>
              <w:spacing w:before="5"/>
              <w:rPr>
                <w:sz w:val="18"/>
              </w:rPr>
            </w:pPr>
          </w:p>
          <w:p w14:paraId="17F04427" w14:textId="77777777" w:rsidR="00141B97" w:rsidRDefault="00911D63">
            <w:pPr>
              <w:pStyle w:val="TableParagraph"/>
              <w:ind w:left="174" w:right="183"/>
              <w:jc w:val="center"/>
              <w:rPr>
                <w:sz w:val="18"/>
              </w:rPr>
            </w:pPr>
            <w:r>
              <w:rPr>
                <w:spacing w:val="-4"/>
                <w:sz w:val="18"/>
              </w:rPr>
              <w:t>0.54</w:t>
            </w:r>
          </w:p>
        </w:tc>
      </w:tr>
      <w:tr w:rsidR="00141B97" w14:paraId="7E19AEBD" w14:textId="77777777">
        <w:trPr>
          <w:trHeight w:val="299"/>
        </w:trPr>
        <w:tc>
          <w:tcPr>
            <w:tcW w:w="563" w:type="dxa"/>
            <w:tcBorders>
              <w:top w:val="single" w:sz="4" w:space="0" w:color="FFFFFF"/>
            </w:tcBorders>
            <w:shd w:val="clear" w:color="auto" w:fill="BFBFBF"/>
          </w:tcPr>
          <w:p w14:paraId="1EEF857D" w14:textId="77777777" w:rsidR="00141B97" w:rsidRDefault="00141B97">
            <w:pPr>
              <w:pStyle w:val="TableParagraph"/>
              <w:rPr>
                <w:rFonts w:ascii="Times New Roman"/>
                <w:sz w:val="18"/>
              </w:rPr>
            </w:pPr>
          </w:p>
        </w:tc>
        <w:tc>
          <w:tcPr>
            <w:tcW w:w="3898" w:type="dxa"/>
            <w:tcBorders>
              <w:top w:val="single" w:sz="4" w:space="0" w:color="FFFFFF"/>
            </w:tcBorders>
            <w:shd w:val="clear" w:color="auto" w:fill="BFBFBF"/>
          </w:tcPr>
          <w:p w14:paraId="65E0DFA7" w14:textId="77777777" w:rsidR="00141B97" w:rsidRDefault="00141B97">
            <w:pPr>
              <w:pStyle w:val="TableParagraph"/>
              <w:rPr>
                <w:rFonts w:ascii="Times New Roman"/>
                <w:sz w:val="18"/>
              </w:rPr>
            </w:pPr>
          </w:p>
        </w:tc>
        <w:tc>
          <w:tcPr>
            <w:tcW w:w="4855" w:type="dxa"/>
            <w:tcBorders>
              <w:top w:val="single" w:sz="4" w:space="0" w:color="FFFFFF"/>
            </w:tcBorders>
            <w:shd w:val="clear" w:color="auto" w:fill="BFBFBF"/>
          </w:tcPr>
          <w:p w14:paraId="7EF1024D" w14:textId="77777777" w:rsidR="00141B97" w:rsidRDefault="00911D63">
            <w:pPr>
              <w:pStyle w:val="TableParagraph"/>
              <w:spacing w:before="41"/>
              <w:ind w:left="104"/>
              <w:rPr>
                <w:sz w:val="18"/>
              </w:rPr>
            </w:pPr>
            <w:r>
              <w:rPr>
                <w:sz w:val="18"/>
              </w:rPr>
              <w:t>TOTAL</w:t>
            </w:r>
            <w:r>
              <w:rPr>
                <w:spacing w:val="-1"/>
                <w:sz w:val="18"/>
              </w:rPr>
              <w:t xml:space="preserve"> </w:t>
            </w:r>
            <w:r>
              <w:rPr>
                <w:sz w:val="18"/>
              </w:rPr>
              <w:t xml:space="preserve">Top 10 </w:t>
            </w:r>
            <w:r>
              <w:rPr>
                <w:spacing w:val="-2"/>
                <w:sz w:val="18"/>
              </w:rPr>
              <w:t>Urban</w:t>
            </w:r>
          </w:p>
        </w:tc>
        <w:tc>
          <w:tcPr>
            <w:tcW w:w="1400" w:type="dxa"/>
            <w:tcBorders>
              <w:top w:val="single" w:sz="4" w:space="0" w:color="FFFFFF"/>
            </w:tcBorders>
            <w:shd w:val="clear" w:color="auto" w:fill="BFBFBF"/>
          </w:tcPr>
          <w:p w14:paraId="7EF22EBE" w14:textId="77777777" w:rsidR="00141B97" w:rsidRDefault="00911D63">
            <w:pPr>
              <w:pStyle w:val="TableParagraph"/>
              <w:spacing w:before="41"/>
              <w:ind w:left="494" w:right="466"/>
              <w:jc w:val="center"/>
              <w:rPr>
                <w:sz w:val="18"/>
              </w:rPr>
            </w:pPr>
            <w:r>
              <w:rPr>
                <w:spacing w:val="-2"/>
                <w:sz w:val="18"/>
              </w:rPr>
              <w:t>35.50</w:t>
            </w:r>
          </w:p>
        </w:tc>
        <w:tc>
          <w:tcPr>
            <w:tcW w:w="1020" w:type="dxa"/>
            <w:tcBorders>
              <w:top w:val="single" w:sz="4" w:space="0" w:color="FFFFFF"/>
            </w:tcBorders>
            <w:shd w:val="clear" w:color="auto" w:fill="BFBFBF"/>
          </w:tcPr>
          <w:p w14:paraId="2BF82915" w14:textId="77777777" w:rsidR="00141B97" w:rsidRDefault="00911D63">
            <w:pPr>
              <w:pStyle w:val="TableParagraph"/>
              <w:spacing w:before="41"/>
              <w:ind w:left="207" w:right="182"/>
              <w:jc w:val="center"/>
              <w:rPr>
                <w:sz w:val="18"/>
              </w:rPr>
            </w:pPr>
            <w:r>
              <w:rPr>
                <w:spacing w:val="-4"/>
                <w:sz w:val="18"/>
              </w:rPr>
              <w:t>3.89</w:t>
            </w:r>
          </w:p>
        </w:tc>
        <w:tc>
          <w:tcPr>
            <w:tcW w:w="990" w:type="dxa"/>
            <w:tcBorders>
              <w:top w:val="single" w:sz="4" w:space="0" w:color="FFFFFF"/>
            </w:tcBorders>
            <w:shd w:val="clear" w:color="auto" w:fill="BFBFBF"/>
          </w:tcPr>
          <w:p w14:paraId="6A4CE06B" w14:textId="77777777" w:rsidR="00141B97" w:rsidRDefault="00911D63">
            <w:pPr>
              <w:pStyle w:val="TableParagraph"/>
              <w:spacing w:before="41"/>
              <w:ind w:left="139" w:right="144"/>
              <w:jc w:val="center"/>
              <w:rPr>
                <w:sz w:val="18"/>
              </w:rPr>
            </w:pPr>
            <w:r>
              <w:rPr>
                <w:spacing w:val="-4"/>
                <w:sz w:val="18"/>
              </w:rPr>
              <w:t>8.66</w:t>
            </w:r>
          </w:p>
        </w:tc>
        <w:tc>
          <w:tcPr>
            <w:tcW w:w="990" w:type="dxa"/>
            <w:tcBorders>
              <w:top w:val="single" w:sz="4" w:space="0" w:color="FFFFFF"/>
            </w:tcBorders>
            <w:shd w:val="clear" w:color="auto" w:fill="BFBFBF"/>
          </w:tcPr>
          <w:p w14:paraId="224A6840" w14:textId="77777777" w:rsidR="00141B97" w:rsidRDefault="00911D63">
            <w:pPr>
              <w:pStyle w:val="TableParagraph"/>
              <w:spacing w:before="41"/>
              <w:ind w:left="139" w:right="146"/>
              <w:jc w:val="center"/>
              <w:rPr>
                <w:sz w:val="18"/>
              </w:rPr>
            </w:pPr>
            <w:r>
              <w:rPr>
                <w:spacing w:val="-4"/>
                <w:sz w:val="18"/>
              </w:rPr>
              <w:t>7.31</w:t>
            </w:r>
          </w:p>
        </w:tc>
        <w:tc>
          <w:tcPr>
            <w:tcW w:w="990" w:type="dxa"/>
            <w:tcBorders>
              <w:top w:val="single" w:sz="4" w:space="0" w:color="FFFFFF"/>
            </w:tcBorders>
            <w:shd w:val="clear" w:color="auto" w:fill="BFBFBF"/>
          </w:tcPr>
          <w:p w14:paraId="1B8E3100" w14:textId="77777777" w:rsidR="00141B97" w:rsidRDefault="00911D63">
            <w:pPr>
              <w:pStyle w:val="TableParagraph"/>
              <w:spacing w:before="41"/>
              <w:ind w:left="139" w:right="148"/>
              <w:jc w:val="center"/>
              <w:rPr>
                <w:sz w:val="18"/>
              </w:rPr>
            </w:pPr>
            <w:r>
              <w:rPr>
                <w:spacing w:val="-4"/>
                <w:sz w:val="18"/>
              </w:rPr>
              <w:t>8.24</w:t>
            </w:r>
          </w:p>
        </w:tc>
        <w:tc>
          <w:tcPr>
            <w:tcW w:w="987" w:type="dxa"/>
            <w:tcBorders>
              <w:top w:val="single" w:sz="4" w:space="0" w:color="FFFFFF"/>
            </w:tcBorders>
            <w:shd w:val="clear" w:color="auto" w:fill="BFBFBF"/>
          </w:tcPr>
          <w:p w14:paraId="38FA86FF" w14:textId="77777777" w:rsidR="00141B97" w:rsidRDefault="00911D63">
            <w:pPr>
              <w:pStyle w:val="TableParagraph"/>
              <w:spacing w:before="41"/>
              <w:ind w:left="174" w:right="183"/>
              <w:jc w:val="center"/>
              <w:rPr>
                <w:sz w:val="18"/>
              </w:rPr>
            </w:pPr>
            <w:r>
              <w:rPr>
                <w:spacing w:val="-4"/>
                <w:sz w:val="18"/>
              </w:rPr>
              <w:t>7.41</w:t>
            </w:r>
          </w:p>
        </w:tc>
      </w:tr>
    </w:tbl>
    <w:p w14:paraId="3A517B27" w14:textId="77777777" w:rsidR="00141B97" w:rsidRDefault="00141B97">
      <w:pPr>
        <w:jc w:val="center"/>
        <w:rPr>
          <w:sz w:val="18"/>
        </w:rPr>
        <w:sectPr w:rsidR="00141B97">
          <w:pgSz w:w="16840" w:h="11910" w:orient="landscape"/>
          <w:pgMar w:top="960" w:right="600" w:bottom="540" w:left="300" w:header="0" w:footer="345" w:gutter="0"/>
          <w:cols w:space="720"/>
        </w:sectPr>
      </w:pPr>
    </w:p>
    <w:p w14:paraId="62EE4F9F" w14:textId="77777777" w:rsidR="00141B97" w:rsidRDefault="00911D63">
      <w:pPr>
        <w:pStyle w:val="BodyText"/>
        <w:spacing w:before="32"/>
        <w:ind w:left="124"/>
      </w:pPr>
      <w:r>
        <w:lastRenderedPageBreak/>
        <w:t>B2.2</w:t>
      </w:r>
      <w:r>
        <w:rPr>
          <w:spacing w:val="-5"/>
        </w:rPr>
        <w:t xml:space="preserve"> </w:t>
      </w:r>
      <w:r>
        <w:t>Top</w:t>
      </w:r>
      <w:r>
        <w:rPr>
          <w:spacing w:val="-6"/>
        </w:rPr>
        <w:t xml:space="preserve"> </w:t>
      </w:r>
      <w:r>
        <w:t>10</w:t>
      </w:r>
      <w:r>
        <w:rPr>
          <w:spacing w:val="-6"/>
        </w:rPr>
        <w:t xml:space="preserve"> </w:t>
      </w:r>
      <w:r>
        <w:t>Projects</w:t>
      </w:r>
      <w:r>
        <w:rPr>
          <w:spacing w:val="-6"/>
        </w:rPr>
        <w:t xml:space="preserve"> </w:t>
      </w:r>
      <w:r>
        <w:t>Urban</w:t>
      </w:r>
      <w:r>
        <w:rPr>
          <w:spacing w:val="-6"/>
        </w:rPr>
        <w:t xml:space="preserve"> </w:t>
      </w:r>
      <w:r>
        <w:t>Component</w:t>
      </w:r>
      <w:r>
        <w:rPr>
          <w:spacing w:val="-6"/>
        </w:rPr>
        <w:t xml:space="preserve"> </w:t>
      </w:r>
      <w:r>
        <w:t>–</w:t>
      </w:r>
      <w:r>
        <w:rPr>
          <w:spacing w:val="-5"/>
        </w:rPr>
        <w:t xml:space="preserve"> </w:t>
      </w:r>
      <w:r>
        <w:t>Alignment</w:t>
      </w:r>
      <w:r>
        <w:rPr>
          <w:spacing w:val="-6"/>
        </w:rPr>
        <w:t xml:space="preserve"> </w:t>
      </w:r>
      <w:r>
        <w:t>to</w:t>
      </w:r>
      <w:r>
        <w:rPr>
          <w:spacing w:val="-6"/>
        </w:rPr>
        <w:t xml:space="preserve"> </w:t>
      </w:r>
      <w:r>
        <w:t>Customer</w:t>
      </w:r>
      <w:r>
        <w:rPr>
          <w:spacing w:val="-8"/>
        </w:rPr>
        <w:t xml:space="preserve"> </w:t>
      </w:r>
      <w:r>
        <w:rPr>
          <w:spacing w:val="-2"/>
        </w:rPr>
        <w:t>Outcomes</w:t>
      </w:r>
    </w:p>
    <w:p w14:paraId="6B717966" w14:textId="77777777" w:rsidR="00141B97" w:rsidRDefault="00141B97">
      <w:pPr>
        <w:pStyle w:val="BodyText"/>
        <w:spacing w:before="6"/>
        <w:rPr>
          <w:sz w:val="19"/>
        </w:rPr>
      </w:pPr>
    </w:p>
    <w:tbl>
      <w:tblPr>
        <w:tblW w:w="0" w:type="auto"/>
        <w:tblCellSpacing w:w="7" w:type="dxa"/>
        <w:tblInd w:w="140" w:type="dxa"/>
        <w:tblLayout w:type="fixed"/>
        <w:tblCellMar>
          <w:left w:w="0" w:type="dxa"/>
          <w:right w:w="0" w:type="dxa"/>
        </w:tblCellMar>
        <w:tblLook w:val="01E0" w:firstRow="1" w:lastRow="1" w:firstColumn="1" w:lastColumn="1" w:noHBand="0" w:noVBand="0"/>
      </w:tblPr>
      <w:tblGrid>
        <w:gridCol w:w="627"/>
        <w:gridCol w:w="1549"/>
        <w:gridCol w:w="1077"/>
        <w:gridCol w:w="1008"/>
        <w:gridCol w:w="1352"/>
        <w:gridCol w:w="1781"/>
        <w:gridCol w:w="2037"/>
        <w:gridCol w:w="2813"/>
        <w:gridCol w:w="3595"/>
      </w:tblGrid>
      <w:tr w:rsidR="00141B97" w14:paraId="3C5A2E15" w14:textId="77777777">
        <w:trPr>
          <w:trHeight w:val="854"/>
          <w:tblCellSpacing w:w="7" w:type="dxa"/>
        </w:trPr>
        <w:tc>
          <w:tcPr>
            <w:tcW w:w="606" w:type="dxa"/>
            <w:tcBorders>
              <w:top w:val="single" w:sz="4" w:space="0" w:color="000000"/>
              <w:left w:val="nil"/>
              <w:right w:val="nil"/>
            </w:tcBorders>
            <w:shd w:val="clear" w:color="auto" w:fill="006CA3"/>
          </w:tcPr>
          <w:p w14:paraId="7B4B3ACF" w14:textId="77777777" w:rsidR="00141B97" w:rsidRDefault="00141B97">
            <w:pPr>
              <w:pStyle w:val="TableParagraph"/>
              <w:rPr>
                <w:sz w:val="16"/>
              </w:rPr>
            </w:pPr>
          </w:p>
          <w:p w14:paraId="101C01AD" w14:textId="77777777" w:rsidR="00141B97" w:rsidRDefault="00911D63">
            <w:pPr>
              <w:pStyle w:val="TableParagraph"/>
              <w:spacing w:before="134"/>
              <w:ind w:left="171"/>
              <w:rPr>
                <w:sz w:val="16"/>
              </w:rPr>
            </w:pPr>
            <w:r>
              <w:rPr>
                <w:color w:val="FFFFFF"/>
                <w:spacing w:val="-5"/>
                <w:sz w:val="16"/>
              </w:rPr>
              <w:t>No.</w:t>
            </w:r>
          </w:p>
        </w:tc>
        <w:tc>
          <w:tcPr>
            <w:tcW w:w="1535" w:type="dxa"/>
            <w:tcBorders>
              <w:top w:val="single" w:sz="4" w:space="0" w:color="000000"/>
              <w:left w:val="nil"/>
              <w:right w:val="nil"/>
            </w:tcBorders>
            <w:shd w:val="clear" w:color="auto" w:fill="006CA3"/>
          </w:tcPr>
          <w:p w14:paraId="1D7901AC" w14:textId="77777777" w:rsidR="00141B97" w:rsidRDefault="00141B97">
            <w:pPr>
              <w:pStyle w:val="TableParagraph"/>
              <w:rPr>
                <w:sz w:val="16"/>
              </w:rPr>
            </w:pPr>
          </w:p>
          <w:p w14:paraId="4641E353" w14:textId="77777777" w:rsidR="00141B97" w:rsidRDefault="00911D63">
            <w:pPr>
              <w:pStyle w:val="TableParagraph"/>
              <w:spacing w:before="134"/>
              <w:ind w:left="104" w:right="130"/>
              <w:jc w:val="center"/>
              <w:rPr>
                <w:sz w:val="16"/>
              </w:rPr>
            </w:pPr>
            <w:r>
              <w:rPr>
                <w:color w:val="FFFFFF"/>
                <w:sz w:val="16"/>
              </w:rPr>
              <w:t>Business</w:t>
            </w:r>
            <w:r>
              <w:rPr>
                <w:color w:val="FFFFFF"/>
                <w:spacing w:val="-9"/>
                <w:sz w:val="16"/>
              </w:rPr>
              <w:t xml:space="preserve"> </w:t>
            </w:r>
            <w:r>
              <w:rPr>
                <w:color w:val="FFFFFF"/>
                <w:spacing w:val="-4"/>
                <w:sz w:val="16"/>
              </w:rPr>
              <w:t>Case</w:t>
            </w:r>
          </w:p>
        </w:tc>
        <w:tc>
          <w:tcPr>
            <w:tcW w:w="1063" w:type="dxa"/>
            <w:tcBorders>
              <w:top w:val="single" w:sz="4" w:space="0" w:color="000000"/>
              <w:left w:val="nil"/>
              <w:right w:val="nil"/>
            </w:tcBorders>
            <w:shd w:val="clear" w:color="auto" w:fill="006CA3"/>
          </w:tcPr>
          <w:p w14:paraId="68BAB7B3" w14:textId="77777777" w:rsidR="00141B97" w:rsidRDefault="00141B97">
            <w:pPr>
              <w:pStyle w:val="TableParagraph"/>
              <w:rPr>
                <w:sz w:val="19"/>
              </w:rPr>
            </w:pPr>
          </w:p>
          <w:p w14:paraId="5E2631FB" w14:textId="77777777" w:rsidR="00141B97" w:rsidRDefault="00911D63">
            <w:pPr>
              <w:pStyle w:val="TableParagraph"/>
              <w:ind w:left="198" w:hanging="80"/>
              <w:rPr>
                <w:sz w:val="16"/>
              </w:rPr>
            </w:pPr>
            <w:r>
              <w:rPr>
                <w:color w:val="FFFFFF"/>
                <w:sz w:val="16"/>
              </w:rPr>
              <w:t>Total</w:t>
            </w:r>
            <w:r>
              <w:rPr>
                <w:color w:val="FFFFFF"/>
                <w:spacing w:val="-10"/>
                <w:sz w:val="16"/>
              </w:rPr>
              <w:t xml:space="preserve"> </w:t>
            </w:r>
            <w:r>
              <w:rPr>
                <w:color w:val="FFFFFF"/>
                <w:sz w:val="16"/>
              </w:rPr>
              <w:t>Project</w:t>
            </w:r>
            <w:r>
              <w:rPr>
                <w:color w:val="FFFFFF"/>
                <w:spacing w:val="40"/>
                <w:sz w:val="16"/>
              </w:rPr>
              <w:t xml:space="preserve"> </w:t>
            </w:r>
            <w:r>
              <w:rPr>
                <w:color w:val="FFFFFF"/>
                <w:sz w:val="16"/>
              </w:rPr>
              <w:t>Cost</w:t>
            </w:r>
            <w:r>
              <w:rPr>
                <w:color w:val="FFFFFF"/>
                <w:spacing w:val="-5"/>
                <w:sz w:val="16"/>
              </w:rPr>
              <w:t xml:space="preserve"> </w:t>
            </w:r>
            <w:r>
              <w:rPr>
                <w:color w:val="FFFFFF"/>
                <w:sz w:val="16"/>
              </w:rPr>
              <w:t>($m)</w:t>
            </w:r>
          </w:p>
        </w:tc>
        <w:tc>
          <w:tcPr>
            <w:tcW w:w="994" w:type="dxa"/>
            <w:tcBorders>
              <w:top w:val="single" w:sz="4" w:space="0" w:color="000000"/>
              <w:left w:val="nil"/>
              <w:right w:val="nil"/>
            </w:tcBorders>
            <w:shd w:val="clear" w:color="auto" w:fill="006CA3"/>
          </w:tcPr>
          <w:p w14:paraId="7A584FDC" w14:textId="77777777" w:rsidR="00141B97" w:rsidRDefault="00911D63">
            <w:pPr>
              <w:pStyle w:val="TableParagraph"/>
              <w:spacing w:before="135"/>
              <w:ind w:left="191" w:right="212" w:firstLine="112"/>
              <w:jc w:val="both"/>
              <w:rPr>
                <w:sz w:val="16"/>
              </w:rPr>
            </w:pPr>
            <w:r>
              <w:rPr>
                <w:color w:val="FFFFFF"/>
                <w:spacing w:val="-2"/>
                <w:sz w:val="16"/>
              </w:rPr>
              <w:t>Major</w:t>
            </w:r>
            <w:r>
              <w:rPr>
                <w:color w:val="FFFFFF"/>
                <w:spacing w:val="40"/>
                <w:sz w:val="16"/>
              </w:rPr>
              <w:t xml:space="preserve"> </w:t>
            </w:r>
            <w:r>
              <w:rPr>
                <w:color w:val="FFFFFF"/>
                <w:spacing w:val="-2"/>
                <w:sz w:val="16"/>
              </w:rPr>
              <w:t>Service</w:t>
            </w:r>
            <w:r>
              <w:rPr>
                <w:color w:val="FFFFFF"/>
                <w:spacing w:val="40"/>
                <w:sz w:val="16"/>
              </w:rPr>
              <w:t xml:space="preserve"> </w:t>
            </w:r>
            <w:r>
              <w:rPr>
                <w:color w:val="FFFFFF"/>
                <w:spacing w:val="-2"/>
                <w:sz w:val="16"/>
              </w:rPr>
              <w:t>Category</w:t>
            </w:r>
          </w:p>
        </w:tc>
        <w:tc>
          <w:tcPr>
            <w:tcW w:w="1338" w:type="dxa"/>
            <w:tcBorders>
              <w:top w:val="single" w:sz="4" w:space="0" w:color="000000"/>
              <w:left w:val="nil"/>
            </w:tcBorders>
            <w:shd w:val="clear" w:color="auto" w:fill="006CA3"/>
          </w:tcPr>
          <w:p w14:paraId="28FC976B" w14:textId="77777777" w:rsidR="00141B97" w:rsidRDefault="00141B97">
            <w:pPr>
              <w:pStyle w:val="TableParagraph"/>
              <w:rPr>
                <w:sz w:val="16"/>
              </w:rPr>
            </w:pPr>
          </w:p>
          <w:p w14:paraId="7D49BE4E" w14:textId="77777777" w:rsidR="00141B97" w:rsidRDefault="00911D63">
            <w:pPr>
              <w:pStyle w:val="TableParagraph"/>
              <w:spacing w:before="134"/>
              <w:ind w:left="152" w:right="179"/>
              <w:jc w:val="center"/>
              <w:rPr>
                <w:sz w:val="16"/>
              </w:rPr>
            </w:pPr>
            <w:r>
              <w:rPr>
                <w:color w:val="FFFFFF"/>
                <w:sz w:val="16"/>
              </w:rPr>
              <w:t>ESC</w:t>
            </w:r>
            <w:r>
              <w:rPr>
                <w:color w:val="FFFFFF"/>
                <w:spacing w:val="-4"/>
                <w:sz w:val="16"/>
              </w:rPr>
              <w:t xml:space="preserve"> </w:t>
            </w:r>
            <w:r>
              <w:rPr>
                <w:color w:val="FFFFFF"/>
                <w:sz w:val="16"/>
              </w:rPr>
              <w:t>Cost</w:t>
            </w:r>
            <w:r>
              <w:rPr>
                <w:color w:val="FFFFFF"/>
                <w:spacing w:val="-4"/>
                <w:sz w:val="16"/>
              </w:rPr>
              <w:t xml:space="preserve"> </w:t>
            </w:r>
            <w:r>
              <w:rPr>
                <w:color w:val="FFFFFF"/>
                <w:spacing w:val="-2"/>
                <w:sz w:val="16"/>
              </w:rPr>
              <w:t>Driver</w:t>
            </w:r>
          </w:p>
        </w:tc>
        <w:tc>
          <w:tcPr>
            <w:tcW w:w="1767" w:type="dxa"/>
            <w:tcBorders>
              <w:top w:val="single" w:sz="4" w:space="0" w:color="000000"/>
              <w:right w:val="nil"/>
            </w:tcBorders>
            <w:shd w:val="clear" w:color="auto" w:fill="006CA3"/>
          </w:tcPr>
          <w:p w14:paraId="1116BFC2" w14:textId="77777777" w:rsidR="00141B97" w:rsidRDefault="00141B97">
            <w:pPr>
              <w:pStyle w:val="TableParagraph"/>
              <w:rPr>
                <w:sz w:val="19"/>
              </w:rPr>
            </w:pPr>
          </w:p>
          <w:p w14:paraId="30C72E0C" w14:textId="77777777" w:rsidR="00141B97" w:rsidRDefault="00911D63">
            <w:pPr>
              <w:pStyle w:val="TableParagraph"/>
              <w:ind w:left="570" w:right="118" w:hanging="314"/>
              <w:rPr>
                <w:sz w:val="16"/>
              </w:rPr>
            </w:pPr>
            <w:r>
              <w:rPr>
                <w:color w:val="FFFFFF"/>
                <w:sz w:val="16"/>
              </w:rPr>
              <w:t>Relevant</w:t>
            </w:r>
            <w:r>
              <w:rPr>
                <w:color w:val="FFFFFF"/>
                <w:spacing w:val="-5"/>
                <w:sz w:val="16"/>
              </w:rPr>
              <w:t xml:space="preserve"> </w:t>
            </w:r>
            <w:r>
              <w:rPr>
                <w:color w:val="FFFFFF"/>
                <w:sz w:val="16"/>
              </w:rPr>
              <w:t>Customer</w:t>
            </w:r>
            <w:r>
              <w:rPr>
                <w:color w:val="FFFFFF"/>
                <w:spacing w:val="40"/>
                <w:sz w:val="16"/>
              </w:rPr>
              <w:t xml:space="preserve"> </w:t>
            </w:r>
            <w:r>
              <w:rPr>
                <w:color w:val="FFFFFF"/>
                <w:spacing w:val="-2"/>
                <w:sz w:val="16"/>
              </w:rPr>
              <w:t>Outcome</w:t>
            </w:r>
          </w:p>
        </w:tc>
        <w:tc>
          <w:tcPr>
            <w:tcW w:w="2023" w:type="dxa"/>
            <w:tcBorders>
              <w:top w:val="single" w:sz="4" w:space="0" w:color="000000"/>
              <w:left w:val="nil"/>
              <w:right w:val="nil"/>
            </w:tcBorders>
            <w:shd w:val="clear" w:color="auto" w:fill="006CA3"/>
          </w:tcPr>
          <w:p w14:paraId="643E6184" w14:textId="77777777" w:rsidR="00141B97" w:rsidRDefault="00141B97">
            <w:pPr>
              <w:pStyle w:val="TableParagraph"/>
              <w:rPr>
                <w:sz w:val="16"/>
              </w:rPr>
            </w:pPr>
          </w:p>
          <w:p w14:paraId="482FF904" w14:textId="77777777" w:rsidR="00141B97" w:rsidRDefault="00911D63">
            <w:pPr>
              <w:pStyle w:val="TableParagraph"/>
              <w:spacing w:before="134"/>
              <w:ind w:left="697" w:right="694"/>
              <w:jc w:val="center"/>
              <w:rPr>
                <w:sz w:val="16"/>
              </w:rPr>
            </w:pPr>
            <w:r>
              <w:rPr>
                <w:color w:val="FFFFFF"/>
                <w:spacing w:val="-2"/>
                <w:sz w:val="16"/>
              </w:rPr>
              <w:t>Objective</w:t>
            </w:r>
          </w:p>
        </w:tc>
        <w:tc>
          <w:tcPr>
            <w:tcW w:w="2799" w:type="dxa"/>
            <w:tcBorders>
              <w:top w:val="single" w:sz="4" w:space="0" w:color="000000"/>
              <w:left w:val="nil"/>
              <w:right w:val="nil"/>
            </w:tcBorders>
            <w:shd w:val="clear" w:color="auto" w:fill="006CA3"/>
          </w:tcPr>
          <w:p w14:paraId="7370F627" w14:textId="77777777" w:rsidR="00141B97" w:rsidRDefault="00141B97">
            <w:pPr>
              <w:pStyle w:val="TableParagraph"/>
              <w:rPr>
                <w:sz w:val="16"/>
              </w:rPr>
            </w:pPr>
          </w:p>
          <w:p w14:paraId="4FA01EFE" w14:textId="77777777" w:rsidR="00141B97" w:rsidRDefault="00911D63">
            <w:pPr>
              <w:pStyle w:val="TableParagraph"/>
              <w:spacing w:before="134"/>
              <w:ind w:left="1191" w:right="1190"/>
              <w:jc w:val="center"/>
              <w:rPr>
                <w:sz w:val="16"/>
              </w:rPr>
            </w:pPr>
            <w:r>
              <w:rPr>
                <w:color w:val="FFFFFF"/>
                <w:spacing w:val="-2"/>
                <w:sz w:val="16"/>
              </w:rPr>
              <w:t>Scope</w:t>
            </w:r>
          </w:p>
        </w:tc>
        <w:tc>
          <w:tcPr>
            <w:tcW w:w="3574" w:type="dxa"/>
            <w:tcBorders>
              <w:top w:val="single" w:sz="4" w:space="0" w:color="000000"/>
              <w:left w:val="nil"/>
              <w:right w:val="nil"/>
            </w:tcBorders>
            <w:shd w:val="clear" w:color="auto" w:fill="006CA3"/>
          </w:tcPr>
          <w:p w14:paraId="4CD1D49C" w14:textId="77777777" w:rsidR="00141B97" w:rsidRDefault="00141B97">
            <w:pPr>
              <w:pStyle w:val="TableParagraph"/>
              <w:rPr>
                <w:sz w:val="16"/>
              </w:rPr>
            </w:pPr>
          </w:p>
          <w:p w14:paraId="28D63273" w14:textId="77777777" w:rsidR="00141B97" w:rsidRDefault="00911D63">
            <w:pPr>
              <w:pStyle w:val="TableParagraph"/>
              <w:spacing w:before="134"/>
              <w:ind w:left="1399" w:right="1396"/>
              <w:jc w:val="center"/>
              <w:rPr>
                <w:sz w:val="16"/>
              </w:rPr>
            </w:pPr>
            <w:r>
              <w:rPr>
                <w:color w:val="FFFFFF"/>
                <w:spacing w:val="-2"/>
                <w:sz w:val="16"/>
              </w:rPr>
              <w:t>Justification</w:t>
            </w:r>
          </w:p>
        </w:tc>
      </w:tr>
      <w:tr w:rsidR="00141B97" w14:paraId="5E242756" w14:textId="77777777">
        <w:trPr>
          <w:trHeight w:val="1405"/>
          <w:tblCellSpacing w:w="7" w:type="dxa"/>
        </w:trPr>
        <w:tc>
          <w:tcPr>
            <w:tcW w:w="606" w:type="dxa"/>
            <w:tcBorders>
              <w:left w:val="nil"/>
              <w:right w:val="nil"/>
            </w:tcBorders>
            <w:shd w:val="clear" w:color="auto" w:fill="CCE2ED"/>
          </w:tcPr>
          <w:p w14:paraId="6AA6C055" w14:textId="77777777" w:rsidR="00141B97" w:rsidRDefault="00141B97">
            <w:pPr>
              <w:pStyle w:val="TableParagraph"/>
              <w:rPr>
                <w:sz w:val="16"/>
              </w:rPr>
            </w:pPr>
          </w:p>
          <w:p w14:paraId="1A2D5B84" w14:textId="77777777" w:rsidR="00141B97" w:rsidRDefault="00141B97">
            <w:pPr>
              <w:pStyle w:val="TableParagraph"/>
              <w:rPr>
                <w:sz w:val="16"/>
              </w:rPr>
            </w:pPr>
          </w:p>
          <w:p w14:paraId="591C9A3D" w14:textId="77777777" w:rsidR="00141B97" w:rsidRDefault="00141B97">
            <w:pPr>
              <w:pStyle w:val="TableParagraph"/>
              <w:spacing w:before="7"/>
              <w:rPr>
                <w:sz w:val="17"/>
              </w:rPr>
            </w:pPr>
          </w:p>
          <w:p w14:paraId="3955F459" w14:textId="77777777" w:rsidR="00141B97" w:rsidRDefault="00911D63">
            <w:pPr>
              <w:pStyle w:val="TableParagraph"/>
              <w:ind w:left="107"/>
              <w:rPr>
                <w:sz w:val="16"/>
              </w:rPr>
            </w:pPr>
            <w:r>
              <w:rPr>
                <w:w w:val="99"/>
                <w:sz w:val="16"/>
              </w:rPr>
              <w:t>1</w:t>
            </w:r>
          </w:p>
        </w:tc>
        <w:tc>
          <w:tcPr>
            <w:tcW w:w="1535" w:type="dxa"/>
            <w:tcBorders>
              <w:left w:val="nil"/>
              <w:right w:val="nil"/>
            </w:tcBorders>
            <w:shd w:val="clear" w:color="auto" w:fill="CCE2ED"/>
          </w:tcPr>
          <w:p w14:paraId="318BBA2C" w14:textId="77777777" w:rsidR="00141B97" w:rsidRDefault="00141B97">
            <w:pPr>
              <w:pStyle w:val="TableParagraph"/>
              <w:rPr>
                <w:sz w:val="16"/>
              </w:rPr>
            </w:pPr>
          </w:p>
          <w:p w14:paraId="5871FA88" w14:textId="77777777" w:rsidR="00141B97" w:rsidRDefault="00141B97">
            <w:pPr>
              <w:pStyle w:val="TableParagraph"/>
              <w:rPr>
                <w:sz w:val="16"/>
              </w:rPr>
            </w:pPr>
          </w:p>
          <w:p w14:paraId="27A5175D" w14:textId="77777777" w:rsidR="00141B97" w:rsidRDefault="00141B97">
            <w:pPr>
              <w:pStyle w:val="TableParagraph"/>
              <w:spacing w:before="7"/>
              <w:rPr>
                <w:sz w:val="17"/>
              </w:rPr>
            </w:pPr>
          </w:p>
          <w:p w14:paraId="037E0A1B" w14:textId="77777777" w:rsidR="00141B97" w:rsidRDefault="00911D63">
            <w:pPr>
              <w:pStyle w:val="TableParagraph"/>
              <w:ind w:left="104" w:right="218"/>
              <w:jc w:val="center"/>
              <w:rPr>
                <w:sz w:val="16"/>
              </w:rPr>
            </w:pPr>
            <w:r>
              <w:rPr>
                <w:sz w:val="16"/>
              </w:rPr>
              <w:t>Purchase</w:t>
            </w:r>
            <w:r>
              <w:rPr>
                <w:spacing w:val="-6"/>
                <w:sz w:val="16"/>
              </w:rPr>
              <w:t xml:space="preserve"> </w:t>
            </w:r>
            <w:r>
              <w:rPr>
                <w:sz w:val="16"/>
              </w:rPr>
              <w:t>of</w:t>
            </w:r>
            <w:r>
              <w:rPr>
                <w:spacing w:val="-5"/>
                <w:sz w:val="16"/>
              </w:rPr>
              <w:t xml:space="preserve"> </w:t>
            </w:r>
            <w:r>
              <w:rPr>
                <w:spacing w:val="-2"/>
                <w:sz w:val="16"/>
              </w:rPr>
              <w:t>Water</w:t>
            </w:r>
          </w:p>
        </w:tc>
        <w:tc>
          <w:tcPr>
            <w:tcW w:w="1063" w:type="dxa"/>
            <w:tcBorders>
              <w:left w:val="nil"/>
              <w:right w:val="nil"/>
            </w:tcBorders>
            <w:shd w:val="clear" w:color="auto" w:fill="CCE2ED"/>
          </w:tcPr>
          <w:p w14:paraId="15564D95" w14:textId="77777777" w:rsidR="00141B97" w:rsidRDefault="00141B97">
            <w:pPr>
              <w:pStyle w:val="TableParagraph"/>
              <w:rPr>
                <w:sz w:val="16"/>
              </w:rPr>
            </w:pPr>
          </w:p>
          <w:p w14:paraId="2AEB0135" w14:textId="77777777" w:rsidR="00141B97" w:rsidRDefault="00141B97">
            <w:pPr>
              <w:pStyle w:val="TableParagraph"/>
              <w:rPr>
                <w:sz w:val="16"/>
              </w:rPr>
            </w:pPr>
          </w:p>
          <w:p w14:paraId="149A0AF3" w14:textId="77777777" w:rsidR="00141B97" w:rsidRDefault="00141B97">
            <w:pPr>
              <w:pStyle w:val="TableParagraph"/>
              <w:spacing w:before="7"/>
              <w:rPr>
                <w:sz w:val="17"/>
              </w:rPr>
            </w:pPr>
          </w:p>
          <w:p w14:paraId="74A2C4B2" w14:textId="77777777" w:rsidR="00141B97" w:rsidRDefault="00911D63">
            <w:pPr>
              <w:pStyle w:val="TableParagraph"/>
              <w:ind w:right="129"/>
              <w:jc w:val="right"/>
              <w:rPr>
                <w:sz w:val="16"/>
              </w:rPr>
            </w:pPr>
            <w:r>
              <w:rPr>
                <w:spacing w:val="-4"/>
                <w:sz w:val="16"/>
              </w:rPr>
              <w:t>8.09</w:t>
            </w:r>
          </w:p>
        </w:tc>
        <w:tc>
          <w:tcPr>
            <w:tcW w:w="994" w:type="dxa"/>
            <w:tcBorders>
              <w:left w:val="nil"/>
              <w:right w:val="nil"/>
            </w:tcBorders>
            <w:shd w:val="clear" w:color="auto" w:fill="CCE2ED"/>
          </w:tcPr>
          <w:p w14:paraId="2360D840" w14:textId="77777777" w:rsidR="00141B97" w:rsidRDefault="00141B97">
            <w:pPr>
              <w:pStyle w:val="TableParagraph"/>
              <w:rPr>
                <w:sz w:val="16"/>
              </w:rPr>
            </w:pPr>
          </w:p>
          <w:p w14:paraId="5554E531" w14:textId="77777777" w:rsidR="00141B97" w:rsidRDefault="00141B97">
            <w:pPr>
              <w:pStyle w:val="TableParagraph"/>
              <w:rPr>
                <w:sz w:val="16"/>
              </w:rPr>
            </w:pPr>
          </w:p>
          <w:p w14:paraId="34E96FC1" w14:textId="77777777" w:rsidR="00141B97" w:rsidRDefault="00911D63">
            <w:pPr>
              <w:pStyle w:val="TableParagraph"/>
              <w:spacing w:before="116"/>
              <w:ind w:left="278" w:firstLine="20"/>
              <w:rPr>
                <w:sz w:val="16"/>
              </w:rPr>
            </w:pPr>
            <w:r>
              <w:rPr>
                <w:spacing w:val="-2"/>
                <w:sz w:val="16"/>
              </w:rPr>
              <w:t>Urban</w:t>
            </w:r>
            <w:r>
              <w:rPr>
                <w:spacing w:val="40"/>
                <w:sz w:val="16"/>
              </w:rPr>
              <w:t xml:space="preserve"> </w:t>
            </w:r>
            <w:r>
              <w:rPr>
                <w:spacing w:val="-2"/>
                <w:sz w:val="16"/>
              </w:rPr>
              <w:t>Water</w:t>
            </w:r>
          </w:p>
        </w:tc>
        <w:tc>
          <w:tcPr>
            <w:tcW w:w="1338" w:type="dxa"/>
            <w:tcBorders>
              <w:left w:val="nil"/>
            </w:tcBorders>
            <w:shd w:val="clear" w:color="auto" w:fill="CCE2ED"/>
          </w:tcPr>
          <w:p w14:paraId="7A71089D" w14:textId="77777777" w:rsidR="00141B97" w:rsidRDefault="00141B97">
            <w:pPr>
              <w:pStyle w:val="TableParagraph"/>
              <w:rPr>
                <w:sz w:val="16"/>
              </w:rPr>
            </w:pPr>
          </w:p>
          <w:p w14:paraId="5D647681" w14:textId="77777777" w:rsidR="00141B97" w:rsidRDefault="00141B97">
            <w:pPr>
              <w:pStyle w:val="TableParagraph"/>
              <w:rPr>
                <w:sz w:val="16"/>
              </w:rPr>
            </w:pPr>
          </w:p>
          <w:p w14:paraId="72231C49" w14:textId="77777777" w:rsidR="00141B97" w:rsidRDefault="00141B97">
            <w:pPr>
              <w:pStyle w:val="TableParagraph"/>
              <w:spacing w:before="7"/>
              <w:rPr>
                <w:sz w:val="17"/>
              </w:rPr>
            </w:pPr>
          </w:p>
          <w:p w14:paraId="48010C2A" w14:textId="77777777" w:rsidR="00141B97" w:rsidRDefault="00911D63">
            <w:pPr>
              <w:pStyle w:val="TableParagraph"/>
              <w:ind w:left="148" w:right="179"/>
              <w:jc w:val="center"/>
              <w:rPr>
                <w:sz w:val="16"/>
              </w:rPr>
            </w:pPr>
            <w:r>
              <w:rPr>
                <w:spacing w:val="-2"/>
                <w:sz w:val="16"/>
              </w:rPr>
              <w:t>Growth</w:t>
            </w:r>
          </w:p>
        </w:tc>
        <w:tc>
          <w:tcPr>
            <w:tcW w:w="1767" w:type="dxa"/>
            <w:tcBorders>
              <w:right w:val="nil"/>
            </w:tcBorders>
            <w:shd w:val="clear" w:color="auto" w:fill="CCE2ED"/>
          </w:tcPr>
          <w:p w14:paraId="6B3C739C" w14:textId="77777777" w:rsidR="00141B97" w:rsidRDefault="00141B97">
            <w:pPr>
              <w:pStyle w:val="TableParagraph"/>
              <w:rPr>
                <w:sz w:val="16"/>
              </w:rPr>
            </w:pPr>
          </w:p>
          <w:p w14:paraId="092C0509" w14:textId="77777777" w:rsidR="00141B97" w:rsidRDefault="00141B97">
            <w:pPr>
              <w:pStyle w:val="TableParagraph"/>
              <w:spacing w:before="7"/>
              <w:rPr>
                <w:sz w:val="17"/>
              </w:rPr>
            </w:pPr>
          </w:p>
          <w:p w14:paraId="78C9EA55" w14:textId="77777777" w:rsidR="00141B97" w:rsidRDefault="00911D63">
            <w:pPr>
              <w:pStyle w:val="TableParagraph"/>
              <w:ind w:left="92" w:right="118"/>
              <w:rPr>
                <w:sz w:val="16"/>
              </w:rPr>
            </w:pPr>
            <w:r>
              <w:rPr>
                <w:sz w:val="16"/>
              </w:rPr>
              <w:t>Provide</w:t>
            </w:r>
            <w:r>
              <w:rPr>
                <w:spacing w:val="-9"/>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23" w:type="dxa"/>
            <w:tcBorders>
              <w:left w:val="nil"/>
              <w:right w:val="nil"/>
            </w:tcBorders>
            <w:shd w:val="clear" w:color="auto" w:fill="CCE2ED"/>
          </w:tcPr>
          <w:p w14:paraId="752FA454" w14:textId="77777777" w:rsidR="00141B97" w:rsidRDefault="00141B97">
            <w:pPr>
              <w:pStyle w:val="TableParagraph"/>
              <w:rPr>
                <w:sz w:val="16"/>
              </w:rPr>
            </w:pPr>
          </w:p>
          <w:p w14:paraId="3FC0289F" w14:textId="77777777" w:rsidR="00141B97" w:rsidRDefault="00911D63">
            <w:pPr>
              <w:pStyle w:val="TableParagraph"/>
              <w:spacing w:before="116"/>
              <w:ind w:left="95" w:right="99"/>
              <w:rPr>
                <w:sz w:val="16"/>
              </w:rPr>
            </w:pPr>
            <w:r>
              <w:rPr>
                <w:sz w:val="16"/>
              </w:rPr>
              <w:t>Maintain security of supply</w:t>
            </w:r>
            <w:r>
              <w:rPr>
                <w:spacing w:val="40"/>
                <w:sz w:val="16"/>
              </w:rPr>
              <w:t xml:space="preserve"> </w:t>
            </w:r>
            <w:r>
              <w:rPr>
                <w:sz w:val="16"/>
              </w:rPr>
              <w:t>to our current and future</w:t>
            </w:r>
            <w:r>
              <w:rPr>
                <w:spacing w:val="40"/>
                <w:sz w:val="16"/>
              </w:rPr>
              <w:t xml:space="preserve"> </w:t>
            </w:r>
            <w:r>
              <w:rPr>
                <w:sz w:val="16"/>
              </w:rPr>
              <w:t>customers</w:t>
            </w:r>
            <w:r>
              <w:rPr>
                <w:spacing w:val="-3"/>
                <w:sz w:val="16"/>
              </w:rPr>
              <w:t xml:space="preserve"> </w:t>
            </w:r>
            <w:r>
              <w:rPr>
                <w:sz w:val="16"/>
              </w:rPr>
              <w:t>and</w:t>
            </w:r>
            <w:r>
              <w:rPr>
                <w:spacing w:val="-3"/>
                <w:sz w:val="16"/>
              </w:rPr>
              <w:t xml:space="preserve"> </w:t>
            </w:r>
            <w:r>
              <w:rPr>
                <w:sz w:val="16"/>
              </w:rPr>
              <w:t>agreed</w:t>
            </w:r>
            <w:r>
              <w:rPr>
                <w:spacing w:val="-3"/>
                <w:sz w:val="16"/>
              </w:rPr>
              <w:t xml:space="preserve"> </w:t>
            </w:r>
            <w:r>
              <w:rPr>
                <w:sz w:val="16"/>
              </w:rPr>
              <w:t>level</w:t>
            </w:r>
            <w:r>
              <w:rPr>
                <w:spacing w:val="40"/>
                <w:sz w:val="16"/>
              </w:rPr>
              <w:t xml:space="preserve"> </w:t>
            </w:r>
            <w:r>
              <w:rPr>
                <w:sz w:val="16"/>
              </w:rPr>
              <w:t>of</w:t>
            </w:r>
            <w:r>
              <w:rPr>
                <w:spacing w:val="-5"/>
                <w:sz w:val="16"/>
              </w:rPr>
              <w:t xml:space="preserve"> </w:t>
            </w:r>
            <w:r>
              <w:rPr>
                <w:sz w:val="16"/>
              </w:rPr>
              <w:t>service.</w:t>
            </w:r>
          </w:p>
        </w:tc>
        <w:tc>
          <w:tcPr>
            <w:tcW w:w="2799" w:type="dxa"/>
            <w:tcBorders>
              <w:left w:val="nil"/>
              <w:right w:val="nil"/>
            </w:tcBorders>
            <w:shd w:val="clear" w:color="auto" w:fill="CCE2ED"/>
          </w:tcPr>
          <w:p w14:paraId="49E32A36" w14:textId="77777777" w:rsidR="00141B97" w:rsidRDefault="00141B97">
            <w:pPr>
              <w:pStyle w:val="TableParagraph"/>
              <w:rPr>
                <w:sz w:val="16"/>
              </w:rPr>
            </w:pPr>
          </w:p>
          <w:p w14:paraId="2AD73A47" w14:textId="77777777" w:rsidR="00141B97" w:rsidRDefault="00911D63">
            <w:pPr>
              <w:pStyle w:val="TableParagraph"/>
              <w:spacing w:before="116"/>
              <w:ind w:left="102" w:right="115"/>
              <w:rPr>
                <w:sz w:val="16"/>
              </w:rPr>
            </w:pPr>
            <w:r>
              <w:rPr>
                <w:sz w:val="16"/>
              </w:rPr>
              <w:t>Purchase</w:t>
            </w:r>
            <w:r>
              <w:rPr>
                <w:spacing w:val="-8"/>
                <w:sz w:val="16"/>
              </w:rPr>
              <w:t xml:space="preserve"> </w:t>
            </w:r>
            <w:r>
              <w:rPr>
                <w:sz w:val="16"/>
              </w:rPr>
              <w:t>additional</w:t>
            </w:r>
            <w:r>
              <w:rPr>
                <w:spacing w:val="-8"/>
                <w:sz w:val="16"/>
              </w:rPr>
              <w:t xml:space="preserve"> </w:t>
            </w:r>
            <w:r>
              <w:rPr>
                <w:sz w:val="16"/>
              </w:rPr>
              <w:t>water</w:t>
            </w:r>
            <w:r>
              <w:rPr>
                <w:spacing w:val="-8"/>
                <w:sz w:val="16"/>
              </w:rPr>
              <w:t xml:space="preserve"> </w:t>
            </w:r>
            <w:r>
              <w:rPr>
                <w:sz w:val="16"/>
              </w:rPr>
              <w:t>entitlements</w:t>
            </w:r>
            <w:r>
              <w:rPr>
                <w:spacing w:val="40"/>
                <w:sz w:val="16"/>
              </w:rPr>
              <w:t xml:space="preserve"> </w:t>
            </w:r>
            <w:r>
              <w:rPr>
                <w:sz w:val="16"/>
              </w:rPr>
              <w:t>to maintain a buffer to secure an</w:t>
            </w:r>
            <w:r>
              <w:rPr>
                <w:spacing w:val="40"/>
                <w:sz w:val="16"/>
              </w:rPr>
              <w:t xml:space="preserve"> </w:t>
            </w:r>
            <w:r>
              <w:rPr>
                <w:sz w:val="16"/>
              </w:rPr>
              <w:t>appropriate level of water supply</w:t>
            </w:r>
            <w:r>
              <w:rPr>
                <w:spacing w:val="40"/>
                <w:sz w:val="16"/>
              </w:rPr>
              <w:t xml:space="preserve"> </w:t>
            </w:r>
            <w:r>
              <w:rPr>
                <w:sz w:val="16"/>
              </w:rPr>
              <w:t>through the PS5 period.</w:t>
            </w:r>
          </w:p>
        </w:tc>
        <w:tc>
          <w:tcPr>
            <w:tcW w:w="3574" w:type="dxa"/>
            <w:tcBorders>
              <w:left w:val="nil"/>
              <w:right w:val="nil"/>
            </w:tcBorders>
            <w:shd w:val="clear" w:color="auto" w:fill="CCE2ED"/>
          </w:tcPr>
          <w:p w14:paraId="1DE37569" w14:textId="77777777" w:rsidR="00141B97" w:rsidRDefault="00911D63">
            <w:pPr>
              <w:pStyle w:val="TableParagraph"/>
              <w:spacing w:before="117"/>
              <w:ind w:left="102" w:right="148"/>
              <w:jc w:val="both"/>
              <w:rPr>
                <w:sz w:val="16"/>
              </w:rPr>
            </w:pPr>
            <w:r>
              <w:rPr>
                <w:sz w:val="16"/>
              </w:rPr>
              <w:t>Whilst</w:t>
            </w:r>
            <w:r>
              <w:rPr>
                <w:spacing w:val="-3"/>
                <w:sz w:val="16"/>
              </w:rPr>
              <w:t xml:space="preserve"> </w:t>
            </w:r>
            <w:r>
              <w:rPr>
                <w:sz w:val="16"/>
              </w:rPr>
              <w:t>water</w:t>
            </w:r>
            <w:r>
              <w:rPr>
                <w:spacing w:val="-4"/>
                <w:sz w:val="16"/>
              </w:rPr>
              <w:t xml:space="preserve"> </w:t>
            </w:r>
            <w:r>
              <w:rPr>
                <w:sz w:val="16"/>
              </w:rPr>
              <w:t>supply</w:t>
            </w:r>
            <w:r>
              <w:rPr>
                <w:spacing w:val="-3"/>
                <w:sz w:val="16"/>
              </w:rPr>
              <w:t xml:space="preserve"> </w:t>
            </w:r>
            <w:r>
              <w:rPr>
                <w:sz w:val="16"/>
              </w:rPr>
              <w:t>availability</w:t>
            </w:r>
            <w:r>
              <w:rPr>
                <w:spacing w:val="-4"/>
                <w:sz w:val="16"/>
              </w:rPr>
              <w:t xml:space="preserve"> </w:t>
            </w:r>
            <w:r>
              <w:rPr>
                <w:sz w:val="16"/>
              </w:rPr>
              <w:t>is</w:t>
            </w:r>
            <w:r>
              <w:rPr>
                <w:spacing w:val="-4"/>
                <w:sz w:val="16"/>
              </w:rPr>
              <w:t xml:space="preserve"> </w:t>
            </w:r>
            <w:r>
              <w:rPr>
                <w:sz w:val="16"/>
              </w:rPr>
              <w:t>decreasing</w:t>
            </w:r>
            <w:r>
              <w:rPr>
                <w:spacing w:val="-3"/>
                <w:sz w:val="16"/>
              </w:rPr>
              <w:t xml:space="preserve"> </w:t>
            </w:r>
            <w:r>
              <w:rPr>
                <w:sz w:val="16"/>
              </w:rPr>
              <w:t>due</w:t>
            </w:r>
            <w:r>
              <w:rPr>
                <w:spacing w:val="-3"/>
                <w:sz w:val="16"/>
              </w:rPr>
              <w:t xml:space="preserve"> </w:t>
            </w:r>
            <w:r>
              <w:rPr>
                <w:sz w:val="16"/>
              </w:rPr>
              <w:t>to</w:t>
            </w:r>
            <w:r>
              <w:rPr>
                <w:spacing w:val="40"/>
                <w:sz w:val="16"/>
              </w:rPr>
              <w:t xml:space="preserve"> </w:t>
            </w:r>
            <w:r>
              <w:rPr>
                <w:sz w:val="16"/>
              </w:rPr>
              <w:t>climate change and other factors, water demand is</w:t>
            </w:r>
            <w:r>
              <w:rPr>
                <w:spacing w:val="40"/>
                <w:sz w:val="16"/>
              </w:rPr>
              <w:t xml:space="preserve"> </w:t>
            </w:r>
            <w:r>
              <w:rPr>
                <w:sz w:val="16"/>
              </w:rPr>
              <w:t>increasing mainly due to population growth.</w:t>
            </w:r>
          </w:p>
          <w:p w14:paraId="3A1BF8CA" w14:textId="77777777" w:rsidR="00141B97" w:rsidRDefault="00911D63">
            <w:pPr>
              <w:pStyle w:val="TableParagraph"/>
              <w:ind w:left="102" w:right="118"/>
              <w:rPr>
                <w:sz w:val="16"/>
              </w:rPr>
            </w:pPr>
            <w:r>
              <w:rPr>
                <w:sz w:val="16"/>
              </w:rPr>
              <w:t>Therefore, sufficient water entitlements are</w:t>
            </w:r>
            <w:r>
              <w:rPr>
                <w:spacing w:val="40"/>
                <w:sz w:val="16"/>
              </w:rPr>
              <w:t xml:space="preserve"> </w:t>
            </w:r>
            <w:r>
              <w:rPr>
                <w:sz w:val="16"/>
              </w:rPr>
              <w:t>required</w:t>
            </w:r>
            <w:r>
              <w:rPr>
                <w:spacing w:val="-4"/>
                <w:sz w:val="16"/>
              </w:rPr>
              <w:t xml:space="preserve"> </w:t>
            </w:r>
            <w:r>
              <w:rPr>
                <w:sz w:val="16"/>
              </w:rPr>
              <w:t>to</w:t>
            </w:r>
            <w:r>
              <w:rPr>
                <w:spacing w:val="-3"/>
                <w:sz w:val="16"/>
              </w:rPr>
              <w:t xml:space="preserve"> </w:t>
            </w:r>
            <w:r>
              <w:rPr>
                <w:sz w:val="16"/>
              </w:rPr>
              <w:t>maintain</w:t>
            </w:r>
            <w:r>
              <w:rPr>
                <w:spacing w:val="-4"/>
                <w:sz w:val="16"/>
              </w:rPr>
              <w:t xml:space="preserve"> </w:t>
            </w:r>
            <w:r>
              <w:rPr>
                <w:sz w:val="16"/>
              </w:rPr>
              <w:t>security</w:t>
            </w:r>
            <w:r>
              <w:rPr>
                <w:spacing w:val="-4"/>
                <w:sz w:val="16"/>
              </w:rPr>
              <w:t xml:space="preserve"> </w:t>
            </w:r>
            <w:r>
              <w:rPr>
                <w:sz w:val="16"/>
              </w:rPr>
              <w:t>of</w:t>
            </w:r>
            <w:r>
              <w:rPr>
                <w:spacing w:val="-3"/>
                <w:sz w:val="16"/>
              </w:rPr>
              <w:t xml:space="preserve"> </w:t>
            </w:r>
            <w:r>
              <w:rPr>
                <w:sz w:val="16"/>
              </w:rPr>
              <w:t>supply</w:t>
            </w:r>
            <w:r>
              <w:rPr>
                <w:spacing w:val="-3"/>
                <w:sz w:val="16"/>
              </w:rPr>
              <w:t xml:space="preserve"> </w:t>
            </w:r>
            <w:r>
              <w:rPr>
                <w:sz w:val="16"/>
              </w:rPr>
              <w:t>and</w:t>
            </w:r>
            <w:r>
              <w:rPr>
                <w:spacing w:val="-4"/>
                <w:sz w:val="16"/>
              </w:rPr>
              <w:t xml:space="preserve"> </w:t>
            </w:r>
            <w:r>
              <w:rPr>
                <w:sz w:val="16"/>
              </w:rPr>
              <w:t>to</w:t>
            </w:r>
            <w:r>
              <w:rPr>
                <w:spacing w:val="40"/>
                <w:sz w:val="16"/>
              </w:rPr>
              <w:t xml:space="preserve"> </w:t>
            </w:r>
            <w:r>
              <w:rPr>
                <w:sz w:val="16"/>
              </w:rPr>
              <w:t>support liveability of our communities.</w:t>
            </w:r>
          </w:p>
        </w:tc>
      </w:tr>
      <w:tr w:rsidR="00141B97" w14:paraId="4EDA4401" w14:textId="77777777">
        <w:trPr>
          <w:trHeight w:val="959"/>
          <w:tblCellSpacing w:w="7" w:type="dxa"/>
        </w:trPr>
        <w:tc>
          <w:tcPr>
            <w:tcW w:w="606" w:type="dxa"/>
            <w:tcBorders>
              <w:left w:val="nil"/>
              <w:right w:val="nil"/>
            </w:tcBorders>
            <w:shd w:val="clear" w:color="auto" w:fill="CCE2ED"/>
          </w:tcPr>
          <w:p w14:paraId="2C05F2CC" w14:textId="77777777" w:rsidR="00141B97" w:rsidRDefault="00141B97">
            <w:pPr>
              <w:pStyle w:val="TableParagraph"/>
              <w:rPr>
                <w:sz w:val="16"/>
              </w:rPr>
            </w:pPr>
          </w:p>
          <w:p w14:paraId="7B404CCE" w14:textId="77777777" w:rsidR="00141B97" w:rsidRDefault="00141B97">
            <w:pPr>
              <w:pStyle w:val="TableParagraph"/>
              <w:spacing w:before="4"/>
              <w:rPr>
                <w:sz w:val="15"/>
              </w:rPr>
            </w:pPr>
          </w:p>
          <w:p w14:paraId="6CCF6CB9" w14:textId="77777777" w:rsidR="00141B97" w:rsidRDefault="00911D63">
            <w:pPr>
              <w:pStyle w:val="TableParagraph"/>
              <w:ind w:left="107"/>
              <w:rPr>
                <w:sz w:val="16"/>
              </w:rPr>
            </w:pPr>
            <w:r>
              <w:rPr>
                <w:w w:val="99"/>
                <w:sz w:val="16"/>
              </w:rPr>
              <w:t>2</w:t>
            </w:r>
          </w:p>
        </w:tc>
        <w:tc>
          <w:tcPr>
            <w:tcW w:w="1535" w:type="dxa"/>
            <w:tcBorders>
              <w:left w:val="nil"/>
              <w:right w:val="nil"/>
            </w:tcBorders>
            <w:shd w:val="clear" w:color="auto" w:fill="CCE2ED"/>
          </w:tcPr>
          <w:p w14:paraId="6C8AF901" w14:textId="77777777" w:rsidR="00141B97" w:rsidRDefault="00141B97">
            <w:pPr>
              <w:pStyle w:val="TableParagraph"/>
              <w:spacing w:before="3"/>
              <w:rPr>
                <w:sz w:val="23"/>
              </w:rPr>
            </w:pPr>
          </w:p>
          <w:p w14:paraId="2A7F88AF" w14:textId="77777777" w:rsidR="00141B97" w:rsidRDefault="00911D63">
            <w:pPr>
              <w:pStyle w:val="TableParagraph"/>
              <w:ind w:left="105" w:right="88"/>
              <w:rPr>
                <w:sz w:val="16"/>
              </w:rPr>
            </w:pPr>
            <w:r>
              <w:rPr>
                <w:sz w:val="16"/>
              </w:rPr>
              <w:t>Water</w:t>
            </w:r>
            <w:r>
              <w:rPr>
                <w:spacing w:val="-7"/>
                <w:sz w:val="16"/>
              </w:rPr>
              <w:t xml:space="preserve"> </w:t>
            </w:r>
            <w:r>
              <w:rPr>
                <w:sz w:val="16"/>
              </w:rPr>
              <w:t>Mains</w:t>
            </w:r>
            <w:r>
              <w:rPr>
                <w:spacing w:val="40"/>
                <w:sz w:val="16"/>
              </w:rPr>
              <w:t xml:space="preserve"> </w:t>
            </w:r>
            <w:r>
              <w:rPr>
                <w:sz w:val="16"/>
              </w:rPr>
              <w:t>Upgrade</w:t>
            </w:r>
            <w:r>
              <w:rPr>
                <w:spacing w:val="-10"/>
                <w:sz w:val="16"/>
              </w:rPr>
              <w:t xml:space="preserve"> </w:t>
            </w:r>
            <w:r>
              <w:rPr>
                <w:sz w:val="16"/>
              </w:rPr>
              <w:t>in</w:t>
            </w:r>
            <w:r>
              <w:rPr>
                <w:spacing w:val="-9"/>
                <w:sz w:val="16"/>
              </w:rPr>
              <w:t xml:space="preserve"> </w:t>
            </w:r>
            <w:r>
              <w:rPr>
                <w:sz w:val="16"/>
              </w:rPr>
              <w:t>Mildura</w:t>
            </w:r>
          </w:p>
        </w:tc>
        <w:tc>
          <w:tcPr>
            <w:tcW w:w="1063" w:type="dxa"/>
            <w:tcBorders>
              <w:left w:val="nil"/>
              <w:right w:val="nil"/>
            </w:tcBorders>
            <w:shd w:val="clear" w:color="auto" w:fill="CCE2ED"/>
          </w:tcPr>
          <w:p w14:paraId="79AB7C02" w14:textId="77777777" w:rsidR="00141B97" w:rsidRDefault="00141B97">
            <w:pPr>
              <w:pStyle w:val="TableParagraph"/>
              <w:rPr>
                <w:sz w:val="16"/>
              </w:rPr>
            </w:pPr>
          </w:p>
          <w:p w14:paraId="42C16225" w14:textId="77777777" w:rsidR="00141B97" w:rsidRDefault="00141B97">
            <w:pPr>
              <w:pStyle w:val="TableParagraph"/>
              <w:spacing w:before="4"/>
              <w:rPr>
                <w:sz w:val="15"/>
              </w:rPr>
            </w:pPr>
          </w:p>
          <w:p w14:paraId="0FDF0461" w14:textId="77777777" w:rsidR="00141B97" w:rsidRDefault="00911D63">
            <w:pPr>
              <w:pStyle w:val="TableParagraph"/>
              <w:ind w:right="93"/>
              <w:jc w:val="right"/>
              <w:rPr>
                <w:sz w:val="16"/>
              </w:rPr>
            </w:pPr>
            <w:r>
              <w:rPr>
                <w:spacing w:val="-4"/>
                <w:sz w:val="16"/>
              </w:rPr>
              <w:t>3.83</w:t>
            </w:r>
          </w:p>
        </w:tc>
        <w:tc>
          <w:tcPr>
            <w:tcW w:w="994" w:type="dxa"/>
            <w:tcBorders>
              <w:left w:val="nil"/>
              <w:right w:val="nil"/>
            </w:tcBorders>
            <w:shd w:val="clear" w:color="auto" w:fill="CCE2ED"/>
          </w:tcPr>
          <w:p w14:paraId="79B7B608" w14:textId="77777777" w:rsidR="00141B97" w:rsidRDefault="00141B97">
            <w:pPr>
              <w:pStyle w:val="TableParagraph"/>
              <w:spacing w:before="3"/>
              <w:rPr>
                <w:sz w:val="23"/>
              </w:rPr>
            </w:pPr>
          </w:p>
          <w:p w14:paraId="17CF44F9" w14:textId="77777777" w:rsidR="00141B97" w:rsidRDefault="00911D63">
            <w:pPr>
              <w:pStyle w:val="TableParagraph"/>
              <w:ind w:left="278" w:firstLine="20"/>
              <w:rPr>
                <w:sz w:val="16"/>
              </w:rPr>
            </w:pPr>
            <w:r>
              <w:rPr>
                <w:spacing w:val="-2"/>
                <w:sz w:val="16"/>
              </w:rPr>
              <w:t>Urban</w:t>
            </w:r>
            <w:r>
              <w:rPr>
                <w:spacing w:val="40"/>
                <w:sz w:val="16"/>
              </w:rPr>
              <w:t xml:space="preserve"> </w:t>
            </w:r>
            <w:r>
              <w:rPr>
                <w:spacing w:val="-2"/>
                <w:sz w:val="16"/>
              </w:rPr>
              <w:t>Water</w:t>
            </w:r>
          </w:p>
        </w:tc>
        <w:tc>
          <w:tcPr>
            <w:tcW w:w="1338" w:type="dxa"/>
            <w:tcBorders>
              <w:left w:val="nil"/>
            </w:tcBorders>
            <w:shd w:val="clear" w:color="auto" w:fill="CCE2ED"/>
          </w:tcPr>
          <w:p w14:paraId="0595C5E0" w14:textId="77777777" w:rsidR="00141B97" w:rsidRDefault="00141B97">
            <w:pPr>
              <w:pStyle w:val="TableParagraph"/>
              <w:rPr>
                <w:sz w:val="16"/>
              </w:rPr>
            </w:pPr>
          </w:p>
          <w:p w14:paraId="5DD4C571" w14:textId="77777777" w:rsidR="00141B97" w:rsidRDefault="00141B97">
            <w:pPr>
              <w:pStyle w:val="TableParagraph"/>
              <w:spacing w:before="4"/>
              <w:rPr>
                <w:sz w:val="15"/>
              </w:rPr>
            </w:pPr>
          </w:p>
          <w:p w14:paraId="46A75A30" w14:textId="77777777" w:rsidR="00141B97" w:rsidRDefault="00911D63">
            <w:pPr>
              <w:pStyle w:val="TableParagraph"/>
              <w:ind w:left="148" w:right="179"/>
              <w:jc w:val="center"/>
              <w:rPr>
                <w:sz w:val="16"/>
              </w:rPr>
            </w:pPr>
            <w:r>
              <w:rPr>
                <w:spacing w:val="-2"/>
                <w:sz w:val="16"/>
              </w:rPr>
              <w:t>Growth</w:t>
            </w:r>
          </w:p>
        </w:tc>
        <w:tc>
          <w:tcPr>
            <w:tcW w:w="1767" w:type="dxa"/>
            <w:tcBorders>
              <w:right w:val="nil"/>
            </w:tcBorders>
            <w:shd w:val="clear" w:color="auto" w:fill="CCE2ED"/>
          </w:tcPr>
          <w:p w14:paraId="1D3BD0FC" w14:textId="77777777" w:rsidR="00141B97" w:rsidRDefault="00141B97">
            <w:pPr>
              <w:pStyle w:val="TableParagraph"/>
              <w:spacing w:before="3"/>
              <w:rPr>
                <w:sz w:val="15"/>
              </w:rPr>
            </w:pPr>
          </w:p>
          <w:p w14:paraId="1ACD1C74" w14:textId="77777777" w:rsidR="00141B97" w:rsidRDefault="00911D63">
            <w:pPr>
              <w:pStyle w:val="TableParagraph"/>
              <w:ind w:left="92" w:right="118"/>
              <w:rPr>
                <w:sz w:val="16"/>
              </w:rPr>
            </w:pPr>
            <w:r>
              <w:rPr>
                <w:sz w:val="16"/>
              </w:rPr>
              <w:t>Provide</w:t>
            </w:r>
            <w:r>
              <w:rPr>
                <w:spacing w:val="-9"/>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23" w:type="dxa"/>
            <w:tcBorders>
              <w:left w:val="nil"/>
              <w:right w:val="nil"/>
            </w:tcBorders>
            <w:shd w:val="clear" w:color="auto" w:fill="CCE2ED"/>
          </w:tcPr>
          <w:p w14:paraId="49C95DDD" w14:textId="77777777" w:rsidR="00141B97" w:rsidRDefault="00141B97">
            <w:pPr>
              <w:pStyle w:val="TableParagraph"/>
              <w:spacing w:before="3"/>
              <w:rPr>
                <w:sz w:val="15"/>
              </w:rPr>
            </w:pPr>
          </w:p>
          <w:p w14:paraId="4D22CB50" w14:textId="77777777" w:rsidR="00141B97" w:rsidRDefault="00911D63">
            <w:pPr>
              <w:pStyle w:val="TableParagraph"/>
              <w:ind w:left="95"/>
              <w:rPr>
                <w:sz w:val="16"/>
              </w:rPr>
            </w:pPr>
            <w:r>
              <w:rPr>
                <w:sz w:val="16"/>
              </w:rPr>
              <w:t>Maintain</w:t>
            </w:r>
            <w:r>
              <w:rPr>
                <w:spacing w:val="-4"/>
                <w:sz w:val="16"/>
              </w:rPr>
              <w:t xml:space="preserve"> </w:t>
            </w:r>
            <w:r>
              <w:rPr>
                <w:sz w:val="16"/>
              </w:rPr>
              <w:t>agreed</w:t>
            </w:r>
            <w:r>
              <w:rPr>
                <w:spacing w:val="-4"/>
                <w:sz w:val="16"/>
              </w:rPr>
              <w:t xml:space="preserve"> </w:t>
            </w:r>
            <w:r>
              <w:rPr>
                <w:sz w:val="16"/>
              </w:rPr>
              <w:t>level</w:t>
            </w:r>
            <w:r>
              <w:rPr>
                <w:spacing w:val="-4"/>
                <w:sz w:val="16"/>
              </w:rPr>
              <w:t xml:space="preserve"> </w:t>
            </w:r>
            <w:r>
              <w:rPr>
                <w:sz w:val="16"/>
              </w:rPr>
              <w:t>of</w:t>
            </w:r>
            <w:r>
              <w:rPr>
                <w:spacing w:val="40"/>
                <w:sz w:val="16"/>
              </w:rPr>
              <w:t xml:space="preserve"> </w:t>
            </w:r>
            <w:r>
              <w:rPr>
                <w:sz w:val="16"/>
              </w:rPr>
              <w:t>service and to cater for</w:t>
            </w:r>
            <w:r>
              <w:rPr>
                <w:spacing w:val="40"/>
                <w:sz w:val="16"/>
              </w:rPr>
              <w:t xml:space="preserve"> </w:t>
            </w:r>
            <w:r>
              <w:rPr>
                <w:spacing w:val="-2"/>
                <w:sz w:val="16"/>
              </w:rPr>
              <w:t>growth.</w:t>
            </w:r>
          </w:p>
        </w:tc>
        <w:tc>
          <w:tcPr>
            <w:tcW w:w="2799" w:type="dxa"/>
            <w:tcBorders>
              <w:left w:val="nil"/>
              <w:right w:val="nil"/>
            </w:tcBorders>
            <w:shd w:val="clear" w:color="auto" w:fill="CCE2ED"/>
          </w:tcPr>
          <w:p w14:paraId="4ADEA8B5" w14:textId="77777777" w:rsidR="00141B97" w:rsidRDefault="00141B97">
            <w:pPr>
              <w:pStyle w:val="TableParagraph"/>
              <w:spacing w:before="3"/>
              <w:rPr>
                <w:sz w:val="15"/>
              </w:rPr>
            </w:pPr>
          </w:p>
          <w:p w14:paraId="5AFB1021" w14:textId="77777777" w:rsidR="00141B97" w:rsidRDefault="00911D63">
            <w:pPr>
              <w:pStyle w:val="TableParagraph"/>
              <w:ind w:left="102" w:right="115"/>
              <w:rPr>
                <w:sz w:val="16"/>
              </w:rPr>
            </w:pPr>
            <w:r>
              <w:rPr>
                <w:sz w:val="16"/>
              </w:rPr>
              <w:t>Upgrading some of the existing water</w:t>
            </w:r>
            <w:r>
              <w:rPr>
                <w:spacing w:val="40"/>
                <w:sz w:val="16"/>
              </w:rPr>
              <w:t xml:space="preserve"> </w:t>
            </w:r>
            <w:r>
              <w:rPr>
                <w:sz w:val="16"/>
              </w:rPr>
              <w:t>mains</w:t>
            </w:r>
            <w:r>
              <w:rPr>
                <w:spacing w:val="-4"/>
                <w:sz w:val="16"/>
              </w:rPr>
              <w:t xml:space="preserve"> </w:t>
            </w:r>
            <w:r>
              <w:rPr>
                <w:sz w:val="16"/>
              </w:rPr>
              <w:t>in</w:t>
            </w:r>
            <w:r>
              <w:rPr>
                <w:spacing w:val="-5"/>
                <w:sz w:val="16"/>
              </w:rPr>
              <w:t xml:space="preserve"> </w:t>
            </w:r>
            <w:r>
              <w:rPr>
                <w:sz w:val="16"/>
              </w:rPr>
              <w:t>the</w:t>
            </w:r>
            <w:r>
              <w:rPr>
                <w:spacing w:val="-4"/>
                <w:sz w:val="16"/>
              </w:rPr>
              <w:t xml:space="preserve"> </w:t>
            </w:r>
            <w:r>
              <w:rPr>
                <w:sz w:val="16"/>
              </w:rPr>
              <w:t>Mildura</w:t>
            </w:r>
            <w:r>
              <w:rPr>
                <w:spacing w:val="-5"/>
                <w:sz w:val="16"/>
              </w:rPr>
              <w:t xml:space="preserve"> </w:t>
            </w:r>
            <w:r>
              <w:rPr>
                <w:sz w:val="16"/>
              </w:rPr>
              <w:t>Water</w:t>
            </w:r>
            <w:r>
              <w:rPr>
                <w:spacing w:val="-5"/>
                <w:sz w:val="16"/>
              </w:rPr>
              <w:t xml:space="preserve"> </w:t>
            </w:r>
            <w:r>
              <w:rPr>
                <w:sz w:val="16"/>
              </w:rPr>
              <w:t>distribution</w:t>
            </w:r>
            <w:r>
              <w:rPr>
                <w:spacing w:val="40"/>
                <w:sz w:val="16"/>
              </w:rPr>
              <w:t xml:space="preserve"> </w:t>
            </w:r>
            <w:r>
              <w:rPr>
                <w:spacing w:val="-2"/>
                <w:sz w:val="16"/>
              </w:rPr>
              <w:t>network.</w:t>
            </w:r>
          </w:p>
        </w:tc>
        <w:tc>
          <w:tcPr>
            <w:tcW w:w="3574" w:type="dxa"/>
            <w:tcBorders>
              <w:left w:val="nil"/>
              <w:right w:val="nil"/>
            </w:tcBorders>
            <w:shd w:val="clear" w:color="auto" w:fill="CCE2ED"/>
          </w:tcPr>
          <w:p w14:paraId="6CA69CCD" w14:textId="77777777" w:rsidR="00141B97" w:rsidRDefault="00911D63">
            <w:pPr>
              <w:pStyle w:val="TableParagraph"/>
              <w:spacing w:before="89"/>
              <w:ind w:left="102" w:right="118"/>
              <w:rPr>
                <w:sz w:val="16"/>
              </w:rPr>
            </w:pPr>
            <w:r>
              <w:rPr>
                <w:sz w:val="16"/>
              </w:rPr>
              <w:t>As demand in Mildura</w:t>
            </w:r>
            <w:r>
              <w:rPr>
                <w:spacing w:val="40"/>
                <w:sz w:val="16"/>
              </w:rPr>
              <w:t xml:space="preserve"> </w:t>
            </w:r>
            <w:r>
              <w:rPr>
                <w:sz w:val="16"/>
              </w:rPr>
              <w:t>increases due to</w:t>
            </w:r>
            <w:r>
              <w:rPr>
                <w:spacing w:val="40"/>
                <w:sz w:val="16"/>
              </w:rPr>
              <w:t xml:space="preserve"> </w:t>
            </w:r>
            <w:r>
              <w:rPr>
                <w:sz w:val="16"/>
              </w:rPr>
              <w:t>projected</w:t>
            </w:r>
            <w:r>
              <w:rPr>
                <w:spacing w:val="40"/>
                <w:sz w:val="16"/>
              </w:rPr>
              <w:t xml:space="preserve"> </w:t>
            </w:r>
            <w:r>
              <w:rPr>
                <w:sz w:val="16"/>
              </w:rPr>
              <w:t>growth some water mains are required to be</w:t>
            </w:r>
            <w:r>
              <w:rPr>
                <w:spacing w:val="40"/>
                <w:sz w:val="16"/>
              </w:rPr>
              <w:t xml:space="preserve"> </w:t>
            </w:r>
            <w:r>
              <w:rPr>
                <w:sz w:val="16"/>
              </w:rPr>
              <w:t>upgraded</w:t>
            </w:r>
            <w:r>
              <w:rPr>
                <w:spacing w:val="-4"/>
                <w:sz w:val="16"/>
              </w:rPr>
              <w:t xml:space="preserve"> </w:t>
            </w:r>
            <w:r>
              <w:rPr>
                <w:sz w:val="16"/>
              </w:rPr>
              <w:t>to</w:t>
            </w:r>
            <w:r>
              <w:rPr>
                <w:spacing w:val="-4"/>
                <w:sz w:val="16"/>
              </w:rPr>
              <w:t xml:space="preserve"> </w:t>
            </w:r>
            <w:r>
              <w:rPr>
                <w:sz w:val="16"/>
              </w:rPr>
              <w:t>enhance</w:t>
            </w:r>
            <w:r>
              <w:rPr>
                <w:spacing w:val="-3"/>
                <w:sz w:val="16"/>
              </w:rPr>
              <w:t xml:space="preserve"> </w:t>
            </w:r>
            <w:r>
              <w:rPr>
                <w:sz w:val="16"/>
              </w:rPr>
              <w:t>capacity</w:t>
            </w:r>
            <w:r>
              <w:rPr>
                <w:spacing w:val="-3"/>
                <w:sz w:val="16"/>
              </w:rPr>
              <w:t xml:space="preserve"> </w:t>
            </w:r>
            <w:r>
              <w:rPr>
                <w:sz w:val="16"/>
              </w:rPr>
              <w:t>and</w:t>
            </w:r>
            <w:r>
              <w:rPr>
                <w:spacing w:val="-4"/>
                <w:sz w:val="16"/>
              </w:rPr>
              <w:t xml:space="preserve"> </w:t>
            </w:r>
            <w:r>
              <w:rPr>
                <w:sz w:val="16"/>
              </w:rPr>
              <w:t>maintain</w:t>
            </w:r>
            <w:r>
              <w:rPr>
                <w:spacing w:val="-3"/>
                <w:sz w:val="16"/>
              </w:rPr>
              <w:t xml:space="preserve"> </w:t>
            </w:r>
            <w:r>
              <w:rPr>
                <w:sz w:val="16"/>
              </w:rPr>
              <w:t>level</w:t>
            </w:r>
            <w:r>
              <w:rPr>
                <w:spacing w:val="-4"/>
                <w:sz w:val="16"/>
              </w:rPr>
              <w:t xml:space="preserve"> </w:t>
            </w:r>
            <w:r>
              <w:rPr>
                <w:sz w:val="16"/>
              </w:rPr>
              <w:t>of</w:t>
            </w:r>
            <w:r>
              <w:rPr>
                <w:spacing w:val="40"/>
                <w:sz w:val="16"/>
              </w:rPr>
              <w:t xml:space="preserve"> </w:t>
            </w:r>
            <w:r>
              <w:rPr>
                <w:spacing w:val="-2"/>
                <w:sz w:val="16"/>
              </w:rPr>
              <w:t>service.</w:t>
            </w:r>
          </w:p>
        </w:tc>
      </w:tr>
      <w:tr w:rsidR="00141B97" w14:paraId="0E89A1C3" w14:textId="77777777">
        <w:trPr>
          <w:trHeight w:val="1601"/>
          <w:tblCellSpacing w:w="7" w:type="dxa"/>
        </w:trPr>
        <w:tc>
          <w:tcPr>
            <w:tcW w:w="606" w:type="dxa"/>
            <w:tcBorders>
              <w:left w:val="nil"/>
              <w:right w:val="nil"/>
            </w:tcBorders>
            <w:shd w:val="clear" w:color="auto" w:fill="CCE2ED"/>
          </w:tcPr>
          <w:p w14:paraId="266FCAFB" w14:textId="77777777" w:rsidR="00141B97" w:rsidRDefault="00141B97">
            <w:pPr>
              <w:pStyle w:val="TableParagraph"/>
              <w:rPr>
                <w:sz w:val="16"/>
              </w:rPr>
            </w:pPr>
          </w:p>
          <w:p w14:paraId="29CAD940" w14:textId="77777777" w:rsidR="00141B97" w:rsidRDefault="00141B97">
            <w:pPr>
              <w:pStyle w:val="TableParagraph"/>
              <w:rPr>
                <w:sz w:val="16"/>
              </w:rPr>
            </w:pPr>
          </w:p>
          <w:p w14:paraId="65FD2C76" w14:textId="77777777" w:rsidR="00141B97" w:rsidRDefault="00141B97">
            <w:pPr>
              <w:pStyle w:val="TableParagraph"/>
              <w:rPr>
                <w:sz w:val="16"/>
              </w:rPr>
            </w:pPr>
          </w:p>
          <w:p w14:paraId="3C9F9E42" w14:textId="77777777" w:rsidR="00141B97" w:rsidRDefault="00911D63">
            <w:pPr>
              <w:pStyle w:val="TableParagraph"/>
              <w:spacing w:before="117"/>
              <w:ind w:left="107"/>
              <w:rPr>
                <w:sz w:val="16"/>
              </w:rPr>
            </w:pPr>
            <w:r>
              <w:rPr>
                <w:w w:val="99"/>
                <w:sz w:val="16"/>
              </w:rPr>
              <w:t>3</w:t>
            </w:r>
          </w:p>
        </w:tc>
        <w:tc>
          <w:tcPr>
            <w:tcW w:w="1535" w:type="dxa"/>
            <w:tcBorders>
              <w:left w:val="nil"/>
              <w:right w:val="nil"/>
            </w:tcBorders>
            <w:shd w:val="clear" w:color="auto" w:fill="CCE2ED"/>
          </w:tcPr>
          <w:p w14:paraId="52871953" w14:textId="77777777" w:rsidR="00141B97" w:rsidRDefault="00141B97">
            <w:pPr>
              <w:pStyle w:val="TableParagraph"/>
              <w:rPr>
                <w:sz w:val="16"/>
              </w:rPr>
            </w:pPr>
          </w:p>
          <w:p w14:paraId="23E36CB5" w14:textId="77777777" w:rsidR="00141B97" w:rsidRDefault="00911D63">
            <w:pPr>
              <w:pStyle w:val="TableParagraph"/>
              <w:spacing w:before="117"/>
              <w:ind w:left="105" w:right="88"/>
              <w:rPr>
                <w:sz w:val="16"/>
              </w:rPr>
            </w:pPr>
            <w:r>
              <w:rPr>
                <w:sz w:val="16"/>
              </w:rPr>
              <w:t>New</w:t>
            </w:r>
            <w:r>
              <w:rPr>
                <w:spacing w:val="-10"/>
                <w:sz w:val="16"/>
              </w:rPr>
              <w:t xml:space="preserve"> </w:t>
            </w:r>
            <w:r>
              <w:rPr>
                <w:sz w:val="16"/>
              </w:rPr>
              <w:t>10ML</w:t>
            </w:r>
            <w:r>
              <w:rPr>
                <w:spacing w:val="-9"/>
                <w:sz w:val="16"/>
              </w:rPr>
              <w:t xml:space="preserve"> </w:t>
            </w:r>
            <w:r>
              <w:rPr>
                <w:sz w:val="16"/>
              </w:rPr>
              <w:t>Treated</w:t>
            </w:r>
            <w:r>
              <w:rPr>
                <w:spacing w:val="40"/>
                <w:sz w:val="16"/>
              </w:rPr>
              <w:t xml:space="preserve"> </w:t>
            </w:r>
            <w:r>
              <w:rPr>
                <w:sz w:val="16"/>
              </w:rPr>
              <w:t>Water</w:t>
            </w:r>
            <w:r>
              <w:rPr>
                <w:spacing w:val="-1"/>
                <w:sz w:val="16"/>
              </w:rPr>
              <w:t xml:space="preserve"> </w:t>
            </w:r>
            <w:r>
              <w:rPr>
                <w:sz w:val="16"/>
              </w:rPr>
              <w:t>Storage</w:t>
            </w:r>
            <w:r>
              <w:rPr>
                <w:spacing w:val="-1"/>
                <w:sz w:val="16"/>
              </w:rPr>
              <w:t xml:space="preserve"> </w:t>
            </w:r>
            <w:r>
              <w:rPr>
                <w:sz w:val="16"/>
              </w:rPr>
              <w:t>and</w:t>
            </w:r>
            <w:r>
              <w:rPr>
                <w:spacing w:val="40"/>
                <w:sz w:val="16"/>
              </w:rPr>
              <w:t xml:space="preserve"> </w:t>
            </w:r>
            <w:r>
              <w:rPr>
                <w:sz w:val="16"/>
              </w:rPr>
              <w:t>Pump Station (PS)</w:t>
            </w:r>
            <w:r>
              <w:rPr>
                <w:spacing w:val="40"/>
                <w:sz w:val="16"/>
              </w:rPr>
              <w:t xml:space="preserve"> </w:t>
            </w:r>
            <w:r>
              <w:rPr>
                <w:sz w:val="16"/>
              </w:rPr>
              <w:t>upgrade at 14th St</w:t>
            </w:r>
            <w:r>
              <w:rPr>
                <w:spacing w:val="40"/>
                <w:sz w:val="16"/>
              </w:rPr>
              <w:t xml:space="preserve"> </w:t>
            </w:r>
            <w:r>
              <w:rPr>
                <w:sz w:val="16"/>
              </w:rPr>
              <w:t>Mildura (Stage 1)</w:t>
            </w:r>
          </w:p>
        </w:tc>
        <w:tc>
          <w:tcPr>
            <w:tcW w:w="1063" w:type="dxa"/>
            <w:tcBorders>
              <w:left w:val="nil"/>
              <w:right w:val="nil"/>
            </w:tcBorders>
            <w:shd w:val="clear" w:color="auto" w:fill="CCE2ED"/>
          </w:tcPr>
          <w:p w14:paraId="66CE1047" w14:textId="77777777" w:rsidR="00141B97" w:rsidRDefault="00141B97">
            <w:pPr>
              <w:pStyle w:val="TableParagraph"/>
              <w:rPr>
                <w:sz w:val="16"/>
              </w:rPr>
            </w:pPr>
          </w:p>
          <w:p w14:paraId="0A535A4C" w14:textId="77777777" w:rsidR="00141B97" w:rsidRDefault="00141B97">
            <w:pPr>
              <w:pStyle w:val="TableParagraph"/>
              <w:rPr>
                <w:sz w:val="16"/>
              </w:rPr>
            </w:pPr>
          </w:p>
          <w:p w14:paraId="3ABBDBAB" w14:textId="77777777" w:rsidR="00141B97" w:rsidRDefault="00141B97">
            <w:pPr>
              <w:pStyle w:val="TableParagraph"/>
              <w:rPr>
                <w:sz w:val="16"/>
              </w:rPr>
            </w:pPr>
          </w:p>
          <w:p w14:paraId="53E70297" w14:textId="77777777" w:rsidR="00141B97" w:rsidRDefault="00911D63">
            <w:pPr>
              <w:pStyle w:val="TableParagraph"/>
              <w:spacing w:before="117"/>
              <w:ind w:right="93"/>
              <w:jc w:val="right"/>
              <w:rPr>
                <w:sz w:val="16"/>
              </w:rPr>
            </w:pPr>
            <w:r>
              <w:rPr>
                <w:spacing w:val="-4"/>
                <w:sz w:val="16"/>
              </w:rPr>
              <w:t>1.11</w:t>
            </w:r>
          </w:p>
        </w:tc>
        <w:tc>
          <w:tcPr>
            <w:tcW w:w="994" w:type="dxa"/>
            <w:tcBorders>
              <w:left w:val="nil"/>
              <w:right w:val="nil"/>
            </w:tcBorders>
            <w:shd w:val="clear" w:color="auto" w:fill="CCE2ED"/>
          </w:tcPr>
          <w:p w14:paraId="605B4208" w14:textId="77777777" w:rsidR="00141B97" w:rsidRDefault="00141B97">
            <w:pPr>
              <w:pStyle w:val="TableParagraph"/>
              <w:rPr>
                <w:sz w:val="16"/>
              </w:rPr>
            </w:pPr>
          </w:p>
          <w:p w14:paraId="28010B51" w14:textId="77777777" w:rsidR="00141B97" w:rsidRDefault="00141B97">
            <w:pPr>
              <w:pStyle w:val="TableParagraph"/>
              <w:rPr>
                <w:sz w:val="16"/>
              </w:rPr>
            </w:pPr>
          </w:p>
          <w:p w14:paraId="4B1BF72B" w14:textId="77777777" w:rsidR="00141B97" w:rsidRDefault="00141B97">
            <w:pPr>
              <w:pStyle w:val="TableParagraph"/>
              <w:spacing w:before="7"/>
              <w:rPr>
                <w:sz w:val="17"/>
              </w:rPr>
            </w:pPr>
          </w:p>
          <w:p w14:paraId="0AE6172C" w14:textId="77777777" w:rsidR="00141B97" w:rsidRDefault="00911D63">
            <w:pPr>
              <w:pStyle w:val="TableParagraph"/>
              <w:ind w:left="278" w:firstLine="20"/>
              <w:rPr>
                <w:sz w:val="16"/>
              </w:rPr>
            </w:pPr>
            <w:r>
              <w:rPr>
                <w:spacing w:val="-2"/>
                <w:sz w:val="16"/>
              </w:rPr>
              <w:t>Urban</w:t>
            </w:r>
            <w:r>
              <w:rPr>
                <w:spacing w:val="40"/>
                <w:sz w:val="16"/>
              </w:rPr>
              <w:t xml:space="preserve"> </w:t>
            </w:r>
            <w:r>
              <w:rPr>
                <w:spacing w:val="-2"/>
                <w:sz w:val="16"/>
              </w:rPr>
              <w:t>Water</w:t>
            </w:r>
          </w:p>
        </w:tc>
        <w:tc>
          <w:tcPr>
            <w:tcW w:w="1338" w:type="dxa"/>
            <w:tcBorders>
              <w:left w:val="nil"/>
            </w:tcBorders>
            <w:shd w:val="clear" w:color="auto" w:fill="CCE2ED"/>
          </w:tcPr>
          <w:p w14:paraId="3813B1B3" w14:textId="77777777" w:rsidR="00141B97" w:rsidRDefault="00141B97">
            <w:pPr>
              <w:pStyle w:val="TableParagraph"/>
              <w:rPr>
                <w:sz w:val="16"/>
              </w:rPr>
            </w:pPr>
          </w:p>
          <w:p w14:paraId="6694FB23" w14:textId="77777777" w:rsidR="00141B97" w:rsidRDefault="00141B97">
            <w:pPr>
              <w:pStyle w:val="TableParagraph"/>
              <w:rPr>
                <w:sz w:val="16"/>
              </w:rPr>
            </w:pPr>
          </w:p>
          <w:p w14:paraId="7C73691E" w14:textId="77777777" w:rsidR="00141B97" w:rsidRDefault="00141B97">
            <w:pPr>
              <w:pStyle w:val="TableParagraph"/>
              <w:rPr>
                <w:sz w:val="16"/>
              </w:rPr>
            </w:pPr>
          </w:p>
          <w:p w14:paraId="7294AA51" w14:textId="77777777" w:rsidR="00141B97" w:rsidRDefault="00911D63">
            <w:pPr>
              <w:pStyle w:val="TableParagraph"/>
              <w:spacing w:before="117"/>
              <w:ind w:left="150" w:right="179"/>
              <w:jc w:val="center"/>
              <w:rPr>
                <w:sz w:val="16"/>
              </w:rPr>
            </w:pPr>
            <w:r>
              <w:rPr>
                <w:spacing w:val="-2"/>
                <w:sz w:val="16"/>
              </w:rPr>
              <w:t>Renewals</w:t>
            </w:r>
          </w:p>
        </w:tc>
        <w:tc>
          <w:tcPr>
            <w:tcW w:w="1767" w:type="dxa"/>
            <w:tcBorders>
              <w:right w:val="nil"/>
            </w:tcBorders>
            <w:shd w:val="clear" w:color="auto" w:fill="CCE2ED"/>
          </w:tcPr>
          <w:p w14:paraId="4C56E088" w14:textId="77777777" w:rsidR="00141B97" w:rsidRDefault="00141B97">
            <w:pPr>
              <w:pStyle w:val="TableParagraph"/>
              <w:rPr>
                <w:sz w:val="16"/>
              </w:rPr>
            </w:pPr>
          </w:p>
          <w:p w14:paraId="3BF0AC08" w14:textId="77777777" w:rsidR="00141B97" w:rsidRDefault="00141B97">
            <w:pPr>
              <w:pStyle w:val="TableParagraph"/>
              <w:rPr>
                <w:sz w:val="16"/>
              </w:rPr>
            </w:pPr>
          </w:p>
          <w:p w14:paraId="1B047498" w14:textId="77777777" w:rsidR="00141B97" w:rsidRDefault="00911D63">
            <w:pPr>
              <w:pStyle w:val="TableParagraph"/>
              <w:spacing w:before="118"/>
              <w:ind w:left="92" w:right="118"/>
              <w:rPr>
                <w:sz w:val="16"/>
              </w:rPr>
            </w:pPr>
            <w:r>
              <w:rPr>
                <w:sz w:val="16"/>
              </w:rPr>
              <w:t>Provide</w:t>
            </w:r>
            <w:r>
              <w:rPr>
                <w:spacing w:val="-9"/>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23" w:type="dxa"/>
            <w:tcBorders>
              <w:left w:val="nil"/>
              <w:right w:val="nil"/>
            </w:tcBorders>
            <w:shd w:val="clear" w:color="auto" w:fill="CCE2ED"/>
          </w:tcPr>
          <w:p w14:paraId="14F99BDA" w14:textId="77777777" w:rsidR="00141B97" w:rsidRDefault="00141B97">
            <w:pPr>
              <w:pStyle w:val="TableParagraph"/>
              <w:rPr>
                <w:sz w:val="16"/>
              </w:rPr>
            </w:pPr>
          </w:p>
          <w:p w14:paraId="46DCA940" w14:textId="77777777" w:rsidR="00141B97" w:rsidRDefault="00141B97">
            <w:pPr>
              <w:pStyle w:val="TableParagraph"/>
              <w:rPr>
                <w:sz w:val="16"/>
              </w:rPr>
            </w:pPr>
          </w:p>
          <w:p w14:paraId="1A55D8CA" w14:textId="77777777" w:rsidR="00141B97" w:rsidRDefault="00911D63">
            <w:pPr>
              <w:pStyle w:val="TableParagraph"/>
              <w:spacing w:before="118"/>
              <w:ind w:left="95" w:right="99"/>
              <w:rPr>
                <w:sz w:val="16"/>
              </w:rPr>
            </w:pPr>
            <w:r>
              <w:rPr>
                <w:sz w:val="16"/>
              </w:rPr>
              <w:t>Maintain</w:t>
            </w:r>
            <w:r>
              <w:rPr>
                <w:spacing w:val="-4"/>
                <w:sz w:val="16"/>
              </w:rPr>
              <w:t xml:space="preserve"> </w:t>
            </w:r>
            <w:r>
              <w:rPr>
                <w:sz w:val="16"/>
              </w:rPr>
              <w:t>security</w:t>
            </w:r>
            <w:r>
              <w:rPr>
                <w:spacing w:val="-3"/>
                <w:sz w:val="16"/>
              </w:rPr>
              <w:t xml:space="preserve"> </w:t>
            </w:r>
            <w:r>
              <w:rPr>
                <w:sz w:val="16"/>
              </w:rPr>
              <w:t>of</w:t>
            </w:r>
            <w:r>
              <w:rPr>
                <w:spacing w:val="-4"/>
                <w:sz w:val="16"/>
              </w:rPr>
              <w:t xml:space="preserve"> </w:t>
            </w:r>
            <w:r>
              <w:rPr>
                <w:sz w:val="16"/>
              </w:rPr>
              <w:t>supply,</w:t>
            </w:r>
            <w:r>
              <w:rPr>
                <w:spacing w:val="40"/>
                <w:sz w:val="16"/>
              </w:rPr>
              <w:t xml:space="preserve"> </w:t>
            </w:r>
            <w:r>
              <w:rPr>
                <w:sz w:val="16"/>
              </w:rPr>
              <w:t>agreed level of service and</w:t>
            </w:r>
            <w:r>
              <w:rPr>
                <w:spacing w:val="40"/>
                <w:sz w:val="16"/>
              </w:rPr>
              <w:t xml:space="preserve"> </w:t>
            </w:r>
            <w:r>
              <w:rPr>
                <w:sz w:val="16"/>
              </w:rPr>
              <w:t>to cater for growth.</w:t>
            </w:r>
          </w:p>
        </w:tc>
        <w:tc>
          <w:tcPr>
            <w:tcW w:w="2799" w:type="dxa"/>
            <w:tcBorders>
              <w:left w:val="nil"/>
              <w:right w:val="nil"/>
            </w:tcBorders>
            <w:shd w:val="clear" w:color="auto" w:fill="CCE2ED"/>
          </w:tcPr>
          <w:p w14:paraId="6A6A7D5F" w14:textId="77777777" w:rsidR="00141B97" w:rsidRDefault="00911D63">
            <w:pPr>
              <w:pStyle w:val="TableParagraph"/>
              <w:spacing w:before="20"/>
              <w:ind w:left="102" w:right="115"/>
              <w:rPr>
                <w:sz w:val="16"/>
              </w:rPr>
            </w:pPr>
            <w:r>
              <w:rPr>
                <w:sz w:val="16"/>
              </w:rPr>
              <w:t>The project includes the following</w:t>
            </w:r>
            <w:r>
              <w:rPr>
                <w:spacing w:val="40"/>
                <w:sz w:val="16"/>
              </w:rPr>
              <w:t xml:space="preserve"> </w:t>
            </w:r>
            <w:r>
              <w:rPr>
                <w:sz w:val="16"/>
              </w:rPr>
              <w:t>works: 1) A new 10 ML storage, 2)</w:t>
            </w:r>
            <w:r>
              <w:rPr>
                <w:spacing w:val="40"/>
                <w:sz w:val="16"/>
              </w:rPr>
              <w:t xml:space="preserve"> </w:t>
            </w:r>
            <w:r>
              <w:rPr>
                <w:sz w:val="16"/>
              </w:rPr>
              <w:t>Electrical upgrade of the existing PS at</w:t>
            </w:r>
            <w:r>
              <w:rPr>
                <w:spacing w:val="40"/>
                <w:sz w:val="16"/>
              </w:rPr>
              <w:t xml:space="preserve"> </w:t>
            </w:r>
            <w:r>
              <w:rPr>
                <w:sz w:val="16"/>
              </w:rPr>
              <w:t>14th Street and 3) Capacity upgrade to</w:t>
            </w:r>
            <w:r>
              <w:rPr>
                <w:spacing w:val="40"/>
                <w:sz w:val="16"/>
              </w:rPr>
              <w:t xml:space="preserve"> </w:t>
            </w:r>
            <w:r>
              <w:rPr>
                <w:sz w:val="16"/>
              </w:rPr>
              <w:t>the</w:t>
            </w:r>
            <w:r>
              <w:rPr>
                <w:spacing w:val="-2"/>
                <w:sz w:val="16"/>
              </w:rPr>
              <w:t xml:space="preserve"> </w:t>
            </w:r>
            <w:r>
              <w:rPr>
                <w:sz w:val="16"/>
              </w:rPr>
              <w:t>existing</w:t>
            </w:r>
            <w:r>
              <w:rPr>
                <w:spacing w:val="-3"/>
                <w:sz w:val="16"/>
              </w:rPr>
              <w:t xml:space="preserve"> </w:t>
            </w:r>
            <w:r>
              <w:rPr>
                <w:sz w:val="16"/>
              </w:rPr>
              <w:t>PS</w:t>
            </w:r>
            <w:r>
              <w:rPr>
                <w:spacing w:val="-3"/>
                <w:sz w:val="16"/>
              </w:rPr>
              <w:t xml:space="preserve"> </w:t>
            </w:r>
            <w:r>
              <w:rPr>
                <w:sz w:val="16"/>
              </w:rPr>
              <w:t>at</w:t>
            </w:r>
            <w:r>
              <w:rPr>
                <w:spacing w:val="-2"/>
                <w:sz w:val="16"/>
              </w:rPr>
              <w:t xml:space="preserve"> </w:t>
            </w:r>
            <w:r>
              <w:rPr>
                <w:sz w:val="16"/>
              </w:rPr>
              <w:t>14</w:t>
            </w:r>
            <w:r>
              <w:rPr>
                <w:spacing w:val="-3"/>
                <w:sz w:val="16"/>
              </w:rPr>
              <w:t xml:space="preserve"> </w:t>
            </w:r>
            <w:r>
              <w:rPr>
                <w:sz w:val="16"/>
              </w:rPr>
              <w:t>Street.</w:t>
            </w:r>
            <w:r>
              <w:rPr>
                <w:spacing w:val="-2"/>
                <w:sz w:val="16"/>
              </w:rPr>
              <w:t xml:space="preserve"> </w:t>
            </w:r>
            <w:r>
              <w:rPr>
                <w:sz w:val="16"/>
              </w:rPr>
              <w:t>The</w:t>
            </w:r>
            <w:r>
              <w:rPr>
                <w:spacing w:val="-2"/>
                <w:sz w:val="16"/>
              </w:rPr>
              <w:t xml:space="preserve"> </w:t>
            </w:r>
            <w:r>
              <w:rPr>
                <w:sz w:val="16"/>
              </w:rPr>
              <w:t>project</w:t>
            </w:r>
            <w:r>
              <w:rPr>
                <w:spacing w:val="40"/>
                <w:sz w:val="16"/>
              </w:rPr>
              <w:t xml:space="preserve"> </w:t>
            </w:r>
            <w:r>
              <w:rPr>
                <w:sz w:val="16"/>
              </w:rPr>
              <w:t>will be undertaken in stages and the</w:t>
            </w:r>
            <w:r>
              <w:rPr>
                <w:spacing w:val="40"/>
                <w:sz w:val="16"/>
              </w:rPr>
              <w:t xml:space="preserve"> </w:t>
            </w:r>
            <w:r>
              <w:rPr>
                <w:sz w:val="16"/>
              </w:rPr>
              <w:t>electrical</w:t>
            </w:r>
            <w:r>
              <w:rPr>
                <w:spacing w:val="-6"/>
                <w:sz w:val="16"/>
              </w:rPr>
              <w:t xml:space="preserve"> </w:t>
            </w:r>
            <w:r>
              <w:rPr>
                <w:sz w:val="16"/>
              </w:rPr>
              <w:t>upgrade</w:t>
            </w:r>
            <w:r>
              <w:rPr>
                <w:spacing w:val="-4"/>
                <w:sz w:val="16"/>
              </w:rPr>
              <w:t xml:space="preserve"> </w:t>
            </w:r>
            <w:r>
              <w:rPr>
                <w:sz w:val="16"/>
              </w:rPr>
              <w:t>will</w:t>
            </w:r>
            <w:r>
              <w:rPr>
                <w:spacing w:val="-5"/>
                <w:sz w:val="16"/>
              </w:rPr>
              <w:t xml:space="preserve"> </w:t>
            </w:r>
            <w:r>
              <w:rPr>
                <w:sz w:val="16"/>
              </w:rPr>
              <w:t>be</w:t>
            </w:r>
            <w:r>
              <w:rPr>
                <w:spacing w:val="-5"/>
                <w:sz w:val="16"/>
              </w:rPr>
              <w:t xml:space="preserve"> </w:t>
            </w:r>
            <w:r>
              <w:rPr>
                <w:sz w:val="16"/>
              </w:rPr>
              <w:t>undertaken</w:t>
            </w:r>
            <w:r>
              <w:rPr>
                <w:spacing w:val="-6"/>
                <w:sz w:val="16"/>
              </w:rPr>
              <w:t xml:space="preserve"> </w:t>
            </w:r>
            <w:r>
              <w:rPr>
                <w:sz w:val="16"/>
              </w:rPr>
              <w:t>in</w:t>
            </w:r>
          </w:p>
          <w:p w14:paraId="12588400" w14:textId="77777777" w:rsidR="00141B97" w:rsidRDefault="00911D63">
            <w:pPr>
              <w:pStyle w:val="TableParagraph"/>
              <w:spacing w:line="194" w:lineRule="exact"/>
              <w:ind w:left="102"/>
              <w:rPr>
                <w:sz w:val="16"/>
              </w:rPr>
            </w:pPr>
            <w:r>
              <w:rPr>
                <w:sz w:val="16"/>
              </w:rPr>
              <w:t>PS5</w:t>
            </w:r>
            <w:r>
              <w:rPr>
                <w:spacing w:val="-4"/>
                <w:sz w:val="16"/>
              </w:rPr>
              <w:t xml:space="preserve"> </w:t>
            </w:r>
            <w:r>
              <w:rPr>
                <w:sz w:val="16"/>
              </w:rPr>
              <w:t>as</w:t>
            </w:r>
            <w:r>
              <w:rPr>
                <w:spacing w:val="-2"/>
                <w:sz w:val="16"/>
              </w:rPr>
              <w:t xml:space="preserve"> </w:t>
            </w:r>
            <w:r>
              <w:rPr>
                <w:sz w:val="16"/>
              </w:rPr>
              <w:t>Stage</w:t>
            </w:r>
            <w:r>
              <w:rPr>
                <w:spacing w:val="-4"/>
                <w:sz w:val="16"/>
              </w:rPr>
              <w:t xml:space="preserve"> </w:t>
            </w:r>
            <w:r>
              <w:rPr>
                <w:spacing w:val="-5"/>
                <w:sz w:val="16"/>
              </w:rPr>
              <w:t>1.</w:t>
            </w:r>
          </w:p>
        </w:tc>
        <w:tc>
          <w:tcPr>
            <w:tcW w:w="3574" w:type="dxa"/>
            <w:tcBorders>
              <w:left w:val="nil"/>
              <w:right w:val="nil"/>
            </w:tcBorders>
            <w:shd w:val="clear" w:color="auto" w:fill="CCE2ED"/>
          </w:tcPr>
          <w:p w14:paraId="68CCA959" w14:textId="77777777" w:rsidR="00141B97" w:rsidRDefault="00911D63">
            <w:pPr>
              <w:pStyle w:val="TableParagraph"/>
              <w:spacing w:before="117"/>
              <w:ind w:left="102" w:right="118"/>
              <w:rPr>
                <w:sz w:val="16"/>
              </w:rPr>
            </w:pPr>
            <w:r>
              <w:rPr>
                <w:sz w:val="16"/>
              </w:rPr>
              <w:t>Additional storage and pump station capacity</w:t>
            </w:r>
            <w:r>
              <w:rPr>
                <w:spacing w:val="40"/>
                <w:sz w:val="16"/>
              </w:rPr>
              <w:t xml:space="preserve"> </w:t>
            </w:r>
            <w:r>
              <w:rPr>
                <w:sz w:val="16"/>
              </w:rPr>
              <w:t>enhancement are required to cater for growth.</w:t>
            </w:r>
            <w:r>
              <w:rPr>
                <w:spacing w:val="40"/>
                <w:sz w:val="16"/>
              </w:rPr>
              <w:t xml:space="preserve"> </w:t>
            </w:r>
            <w:r>
              <w:rPr>
                <w:sz w:val="16"/>
              </w:rPr>
              <w:t>However,</w:t>
            </w:r>
            <w:r>
              <w:rPr>
                <w:spacing w:val="-3"/>
                <w:sz w:val="16"/>
              </w:rPr>
              <w:t xml:space="preserve"> </w:t>
            </w:r>
            <w:r>
              <w:rPr>
                <w:sz w:val="16"/>
              </w:rPr>
              <w:t>these</w:t>
            </w:r>
            <w:r>
              <w:rPr>
                <w:spacing w:val="-4"/>
                <w:sz w:val="16"/>
              </w:rPr>
              <w:t xml:space="preserve"> </w:t>
            </w:r>
            <w:r>
              <w:rPr>
                <w:sz w:val="16"/>
              </w:rPr>
              <w:t>major</w:t>
            </w:r>
            <w:r>
              <w:rPr>
                <w:spacing w:val="-3"/>
                <w:sz w:val="16"/>
              </w:rPr>
              <w:t xml:space="preserve"> </w:t>
            </w:r>
            <w:r>
              <w:rPr>
                <w:sz w:val="16"/>
              </w:rPr>
              <w:t>works</w:t>
            </w:r>
            <w:r>
              <w:rPr>
                <w:spacing w:val="-4"/>
                <w:sz w:val="16"/>
              </w:rPr>
              <w:t xml:space="preserve"> </w:t>
            </w:r>
            <w:r>
              <w:rPr>
                <w:sz w:val="16"/>
              </w:rPr>
              <w:t>have</w:t>
            </w:r>
            <w:r>
              <w:rPr>
                <w:spacing w:val="-4"/>
                <w:sz w:val="16"/>
              </w:rPr>
              <w:t xml:space="preserve"> </w:t>
            </w:r>
            <w:r>
              <w:rPr>
                <w:sz w:val="16"/>
              </w:rPr>
              <w:t>been</w:t>
            </w:r>
            <w:r>
              <w:rPr>
                <w:spacing w:val="-4"/>
                <w:sz w:val="16"/>
              </w:rPr>
              <w:t xml:space="preserve"> </w:t>
            </w:r>
            <w:r>
              <w:rPr>
                <w:sz w:val="16"/>
              </w:rPr>
              <w:t>deferred</w:t>
            </w:r>
            <w:r>
              <w:rPr>
                <w:spacing w:val="-4"/>
                <w:sz w:val="16"/>
              </w:rPr>
              <w:t xml:space="preserve"> </w:t>
            </w:r>
            <w:r>
              <w:rPr>
                <w:sz w:val="16"/>
              </w:rPr>
              <w:t>to</w:t>
            </w:r>
            <w:r>
              <w:rPr>
                <w:spacing w:val="40"/>
                <w:sz w:val="16"/>
              </w:rPr>
              <w:t xml:space="preserve"> </w:t>
            </w:r>
            <w:r>
              <w:rPr>
                <w:sz w:val="16"/>
              </w:rPr>
              <w:t>PS6. The upgrade of electrical assets at the existing</w:t>
            </w:r>
            <w:r>
              <w:rPr>
                <w:spacing w:val="40"/>
                <w:sz w:val="16"/>
              </w:rPr>
              <w:t xml:space="preserve"> </w:t>
            </w:r>
            <w:r>
              <w:rPr>
                <w:sz w:val="16"/>
              </w:rPr>
              <w:t>PS has been prioritised to undertake in PS5 due to</w:t>
            </w:r>
            <w:r>
              <w:rPr>
                <w:spacing w:val="40"/>
                <w:sz w:val="16"/>
              </w:rPr>
              <w:t xml:space="preserve"> </w:t>
            </w:r>
            <w:r>
              <w:rPr>
                <w:sz w:val="16"/>
              </w:rPr>
              <w:t>the condition to minimise the risk of failures and</w:t>
            </w:r>
            <w:r>
              <w:rPr>
                <w:spacing w:val="40"/>
                <w:sz w:val="16"/>
              </w:rPr>
              <w:t xml:space="preserve"> </w:t>
            </w:r>
            <w:r>
              <w:rPr>
                <w:sz w:val="16"/>
              </w:rPr>
              <w:t>consequent impact on service levels.</w:t>
            </w:r>
          </w:p>
        </w:tc>
      </w:tr>
      <w:tr w:rsidR="00141B97" w14:paraId="251889CA" w14:textId="77777777">
        <w:trPr>
          <w:trHeight w:val="1451"/>
          <w:tblCellSpacing w:w="7" w:type="dxa"/>
        </w:trPr>
        <w:tc>
          <w:tcPr>
            <w:tcW w:w="606" w:type="dxa"/>
            <w:tcBorders>
              <w:left w:val="nil"/>
              <w:right w:val="nil"/>
            </w:tcBorders>
            <w:shd w:val="clear" w:color="auto" w:fill="CCE2ED"/>
          </w:tcPr>
          <w:p w14:paraId="510F74EE" w14:textId="77777777" w:rsidR="00141B97" w:rsidRDefault="00141B97">
            <w:pPr>
              <w:pStyle w:val="TableParagraph"/>
              <w:rPr>
                <w:sz w:val="16"/>
              </w:rPr>
            </w:pPr>
          </w:p>
          <w:p w14:paraId="5905A60D" w14:textId="77777777" w:rsidR="00141B97" w:rsidRDefault="00141B97">
            <w:pPr>
              <w:pStyle w:val="TableParagraph"/>
              <w:rPr>
                <w:sz w:val="16"/>
              </w:rPr>
            </w:pPr>
          </w:p>
          <w:p w14:paraId="48C02786" w14:textId="77777777" w:rsidR="00141B97" w:rsidRDefault="00141B97">
            <w:pPr>
              <w:pStyle w:val="TableParagraph"/>
              <w:spacing w:before="5"/>
              <w:rPr>
                <w:sz w:val="19"/>
              </w:rPr>
            </w:pPr>
          </w:p>
          <w:p w14:paraId="0EB9219D" w14:textId="77777777" w:rsidR="00141B97" w:rsidRDefault="00911D63">
            <w:pPr>
              <w:pStyle w:val="TableParagraph"/>
              <w:spacing w:before="1"/>
              <w:ind w:left="107"/>
              <w:rPr>
                <w:sz w:val="16"/>
              </w:rPr>
            </w:pPr>
            <w:r>
              <w:rPr>
                <w:w w:val="99"/>
                <w:sz w:val="16"/>
              </w:rPr>
              <w:t>4</w:t>
            </w:r>
          </w:p>
        </w:tc>
        <w:tc>
          <w:tcPr>
            <w:tcW w:w="1535" w:type="dxa"/>
            <w:tcBorders>
              <w:left w:val="nil"/>
              <w:right w:val="nil"/>
            </w:tcBorders>
            <w:shd w:val="clear" w:color="auto" w:fill="CCE2ED"/>
          </w:tcPr>
          <w:p w14:paraId="6F4B4705" w14:textId="77777777" w:rsidR="00141B97" w:rsidRDefault="00141B97">
            <w:pPr>
              <w:pStyle w:val="TableParagraph"/>
              <w:rPr>
                <w:sz w:val="16"/>
              </w:rPr>
            </w:pPr>
          </w:p>
          <w:p w14:paraId="35F0737E" w14:textId="77777777" w:rsidR="00141B97" w:rsidRDefault="00911D63">
            <w:pPr>
              <w:pStyle w:val="TableParagraph"/>
              <w:spacing w:before="140"/>
              <w:ind w:left="105" w:right="88"/>
              <w:rPr>
                <w:sz w:val="16"/>
              </w:rPr>
            </w:pPr>
            <w:r>
              <w:rPr>
                <w:sz w:val="16"/>
              </w:rPr>
              <w:t>Improving level of</w:t>
            </w:r>
            <w:r>
              <w:rPr>
                <w:spacing w:val="40"/>
                <w:sz w:val="16"/>
              </w:rPr>
              <w:t xml:space="preserve"> </w:t>
            </w:r>
            <w:r>
              <w:rPr>
                <w:sz w:val="16"/>
              </w:rPr>
              <w:t>service</w:t>
            </w:r>
            <w:r>
              <w:rPr>
                <w:spacing w:val="-10"/>
                <w:sz w:val="16"/>
              </w:rPr>
              <w:t xml:space="preserve"> </w:t>
            </w:r>
            <w:r>
              <w:rPr>
                <w:sz w:val="16"/>
              </w:rPr>
              <w:t>(Pressure)</w:t>
            </w:r>
            <w:r>
              <w:rPr>
                <w:spacing w:val="-9"/>
                <w:sz w:val="16"/>
              </w:rPr>
              <w:t xml:space="preserve"> </w:t>
            </w:r>
            <w:r>
              <w:rPr>
                <w:sz w:val="16"/>
              </w:rPr>
              <w:t>in</w:t>
            </w:r>
            <w:r>
              <w:rPr>
                <w:spacing w:val="40"/>
                <w:sz w:val="16"/>
              </w:rPr>
              <w:t xml:space="preserve"> </w:t>
            </w:r>
            <w:r>
              <w:rPr>
                <w:sz w:val="16"/>
              </w:rPr>
              <w:t>Red Cliffs Water</w:t>
            </w:r>
            <w:r>
              <w:rPr>
                <w:spacing w:val="40"/>
                <w:sz w:val="16"/>
              </w:rPr>
              <w:t xml:space="preserve"> </w:t>
            </w:r>
            <w:r>
              <w:rPr>
                <w:spacing w:val="-2"/>
                <w:sz w:val="16"/>
              </w:rPr>
              <w:t>Distribution</w:t>
            </w:r>
          </w:p>
        </w:tc>
        <w:tc>
          <w:tcPr>
            <w:tcW w:w="1063" w:type="dxa"/>
            <w:tcBorders>
              <w:left w:val="nil"/>
              <w:right w:val="nil"/>
            </w:tcBorders>
            <w:shd w:val="clear" w:color="auto" w:fill="CCE2ED"/>
          </w:tcPr>
          <w:p w14:paraId="648B792B" w14:textId="77777777" w:rsidR="00141B97" w:rsidRDefault="00141B97">
            <w:pPr>
              <w:pStyle w:val="TableParagraph"/>
              <w:rPr>
                <w:sz w:val="16"/>
              </w:rPr>
            </w:pPr>
          </w:p>
          <w:p w14:paraId="55B46300" w14:textId="77777777" w:rsidR="00141B97" w:rsidRDefault="00141B97">
            <w:pPr>
              <w:pStyle w:val="TableParagraph"/>
              <w:rPr>
                <w:sz w:val="16"/>
              </w:rPr>
            </w:pPr>
          </w:p>
          <w:p w14:paraId="0446E4EC" w14:textId="77777777" w:rsidR="00141B97" w:rsidRDefault="00141B97">
            <w:pPr>
              <w:pStyle w:val="TableParagraph"/>
              <w:spacing w:before="5"/>
              <w:rPr>
                <w:sz w:val="19"/>
              </w:rPr>
            </w:pPr>
          </w:p>
          <w:p w14:paraId="2EC8F71F" w14:textId="77777777" w:rsidR="00141B97" w:rsidRDefault="00911D63">
            <w:pPr>
              <w:pStyle w:val="TableParagraph"/>
              <w:spacing w:before="1"/>
              <w:ind w:right="93"/>
              <w:jc w:val="right"/>
              <w:rPr>
                <w:sz w:val="16"/>
              </w:rPr>
            </w:pPr>
            <w:r>
              <w:rPr>
                <w:spacing w:val="-4"/>
                <w:sz w:val="16"/>
              </w:rPr>
              <w:t>9.41</w:t>
            </w:r>
          </w:p>
        </w:tc>
        <w:tc>
          <w:tcPr>
            <w:tcW w:w="994" w:type="dxa"/>
            <w:tcBorders>
              <w:left w:val="nil"/>
              <w:right w:val="nil"/>
            </w:tcBorders>
            <w:shd w:val="clear" w:color="auto" w:fill="CCE2ED"/>
          </w:tcPr>
          <w:p w14:paraId="6EBD1B61" w14:textId="77777777" w:rsidR="00141B97" w:rsidRDefault="00141B97">
            <w:pPr>
              <w:pStyle w:val="TableParagraph"/>
              <w:rPr>
                <w:sz w:val="16"/>
              </w:rPr>
            </w:pPr>
          </w:p>
          <w:p w14:paraId="67D03E23" w14:textId="77777777" w:rsidR="00141B97" w:rsidRDefault="00141B97">
            <w:pPr>
              <w:pStyle w:val="TableParagraph"/>
              <w:rPr>
                <w:sz w:val="16"/>
              </w:rPr>
            </w:pPr>
          </w:p>
          <w:p w14:paraId="3AECC61E" w14:textId="77777777" w:rsidR="00141B97" w:rsidRDefault="00911D63">
            <w:pPr>
              <w:pStyle w:val="TableParagraph"/>
              <w:spacing w:before="139"/>
              <w:ind w:left="278" w:firstLine="20"/>
              <w:rPr>
                <w:sz w:val="16"/>
              </w:rPr>
            </w:pPr>
            <w:r>
              <w:rPr>
                <w:spacing w:val="-2"/>
                <w:sz w:val="16"/>
              </w:rPr>
              <w:t>Urban</w:t>
            </w:r>
            <w:r>
              <w:rPr>
                <w:spacing w:val="40"/>
                <w:sz w:val="16"/>
              </w:rPr>
              <w:t xml:space="preserve"> </w:t>
            </w:r>
            <w:r>
              <w:rPr>
                <w:spacing w:val="-2"/>
                <w:sz w:val="16"/>
              </w:rPr>
              <w:t>Water</w:t>
            </w:r>
          </w:p>
        </w:tc>
        <w:tc>
          <w:tcPr>
            <w:tcW w:w="1338" w:type="dxa"/>
            <w:tcBorders>
              <w:left w:val="nil"/>
            </w:tcBorders>
            <w:shd w:val="clear" w:color="auto" w:fill="CCE2ED"/>
          </w:tcPr>
          <w:p w14:paraId="28793AFA" w14:textId="77777777" w:rsidR="00141B97" w:rsidRDefault="00141B97">
            <w:pPr>
              <w:pStyle w:val="TableParagraph"/>
              <w:rPr>
                <w:sz w:val="16"/>
              </w:rPr>
            </w:pPr>
          </w:p>
          <w:p w14:paraId="4DD846A3" w14:textId="77777777" w:rsidR="00141B97" w:rsidRDefault="00141B97">
            <w:pPr>
              <w:pStyle w:val="TableParagraph"/>
              <w:rPr>
                <w:sz w:val="16"/>
              </w:rPr>
            </w:pPr>
          </w:p>
          <w:p w14:paraId="7D1AAF6E" w14:textId="77777777" w:rsidR="00141B97" w:rsidRDefault="00911D63">
            <w:pPr>
              <w:pStyle w:val="TableParagraph"/>
              <w:spacing w:before="139"/>
              <w:ind w:left="275" w:hanging="112"/>
              <w:rPr>
                <w:sz w:val="16"/>
              </w:rPr>
            </w:pPr>
            <w:r>
              <w:rPr>
                <w:spacing w:val="-2"/>
                <w:sz w:val="16"/>
              </w:rPr>
              <w:t>Improvements/</w:t>
            </w:r>
            <w:r>
              <w:rPr>
                <w:spacing w:val="40"/>
                <w:sz w:val="16"/>
              </w:rPr>
              <w:t xml:space="preserve"> </w:t>
            </w:r>
            <w:r>
              <w:rPr>
                <w:spacing w:val="-2"/>
                <w:sz w:val="16"/>
              </w:rPr>
              <w:t>compliance</w:t>
            </w:r>
          </w:p>
        </w:tc>
        <w:tc>
          <w:tcPr>
            <w:tcW w:w="1767" w:type="dxa"/>
            <w:tcBorders>
              <w:right w:val="nil"/>
            </w:tcBorders>
            <w:shd w:val="clear" w:color="auto" w:fill="CCE2ED"/>
          </w:tcPr>
          <w:p w14:paraId="03C91576" w14:textId="77777777" w:rsidR="00141B97" w:rsidRDefault="00141B97">
            <w:pPr>
              <w:pStyle w:val="TableParagraph"/>
              <w:rPr>
                <w:sz w:val="16"/>
              </w:rPr>
            </w:pPr>
          </w:p>
          <w:p w14:paraId="54490524" w14:textId="77777777" w:rsidR="00141B97" w:rsidRDefault="00141B97">
            <w:pPr>
              <w:pStyle w:val="TableParagraph"/>
              <w:spacing w:before="5"/>
              <w:rPr>
                <w:sz w:val="19"/>
              </w:rPr>
            </w:pPr>
          </w:p>
          <w:p w14:paraId="1057158A" w14:textId="77777777" w:rsidR="00141B97" w:rsidRDefault="00911D63">
            <w:pPr>
              <w:pStyle w:val="TableParagraph"/>
              <w:ind w:left="92" w:right="118"/>
              <w:rPr>
                <w:sz w:val="16"/>
              </w:rPr>
            </w:pPr>
            <w:r>
              <w:rPr>
                <w:sz w:val="16"/>
              </w:rPr>
              <w:t>Provide</w:t>
            </w:r>
            <w:r>
              <w:rPr>
                <w:spacing w:val="-9"/>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23" w:type="dxa"/>
            <w:tcBorders>
              <w:left w:val="nil"/>
              <w:right w:val="nil"/>
            </w:tcBorders>
            <w:shd w:val="clear" w:color="auto" w:fill="CCE2ED"/>
          </w:tcPr>
          <w:p w14:paraId="77E21257" w14:textId="77777777" w:rsidR="00141B97" w:rsidRDefault="00141B97">
            <w:pPr>
              <w:pStyle w:val="TableParagraph"/>
              <w:rPr>
                <w:sz w:val="16"/>
              </w:rPr>
            </w:pPr>
          </w:p>
          <w:p w14:paraId="36E69130" w14:textId="77777777" w:rsidR="00141B97" w:rsidRDefault="00141B97">
            <w:pPr>
              <w:pStyle w:val="TableParagraph"/>
              <w:spacing w:before="5"/>
              <w:rPr>
                <w:sz w:val="19"/>
              </w:rPr>
            </w:pPr>
          </w:p>
          <w:p w14:paraId="465CA266" w14:textId="77777777" w:rsidR="00141B97" w:rsidRDefault="00911D63">
            <w:pPr>
              <w:pStyle w:val="TableParagraph"/>
              <w:ind w:left="95"/>
              <w:rPr>
                <w:sz w:val="16"/>
              </w:rPr>
            </w:pPr>
            <w:r>
              <w:rPr>
                <w:sz w:val="16"/>
              </w:rPr>
              <w:t>Maintain</w:t>
            </w:r>
            <w:r>
              <w:rPr>
                <w:spacing w:val="-4"/>
                <w:sz w:val="16"/>
              </w:rPr>
              <w:t xml:space="preserve"> </w:t>
            </w:r>
            <w:r>
              <w:rPr>
                <w:sz w:val="16"/>
              </w:rPr>
              <w:t>agreed</w:t>
            </w:r>
            <w:r>
              <w:rPr>
                <w:spacing w:val="-4"/>
                <w:sz w:val="16"/>
              </w:rPr>
              <w:t xml:space="preserve"> </w:t>
            </w:r>
            <w:r>
              <w:rPr>
                <w:sz w:val="16"/>
              </w:rPr>
              <w:t>level</w:t>
            </w:r>
            <w:r>
              <w:rPr>
                <w:spacing w:val="-4"/>
                <w:sz w:val="16"/>
              </w:rPr>
              <w:t xml:space="preserve"> </w:t>
            </w:r>
            <w:r>
              <w:rPr>
                <w:sz w:val="16"/>
              </w:rPr>
              <w:t>of</w:t>
            </w:r>
            <w:r>
              <w:rPr>
                <w:spacing w:val="40"/>
                <w:sz w:val="16"/>
              </w:rPr>
              <w:t xml:space="preserve"> </w:t>
            </w:r>
            <w:r>
              <w:rPr>
                <w:sz w:val="16"/>
              </w:rPr>
              <w:t>service and to cater for</w:t>
            </w:r>
            <w:r>
              <w:rPr>
                <w:spacing w:val="40"/>
                <w:sz w:val="16"/>
              </w:rPr>
              <w:t xml:space="preserve"> </w:t>
            </w:r>
            <w:r>
              <w:rPr>
                <w:spacing w:val="-2"/>
                <w:sz w:val="16"/>
              </w:rPr>
              <w:t>growth.</w:t>
            </w:r>
          </w:p>
        </w:tc>
        <w:tc>
          <w:tcPr>
            <w:tcW w:w="2799" w:type="dxa"/>
            <w:tcBorders>
              <w:left w:val="nil"/>
              <w:right w:val="nil"/>
            </w:tcBorders>
            <w:shd w:val="clear" w:color="auto" w:fill="CCE2ED"/>
          </w:tcPr>
          <w:p w14:paraId="6ACEF33A" w14:textId="77777777" w:rsidR="00141B97" w:rsidRDefault="00911D63">
            <w:pPr>
              <w:pStyle w:val="TableParagraph"/>
              <w:spacing w:before="140"/>
              <w:ind w:left="102" w:right="148"/>
              <w:rPr>
                <w:sz w:val="16"/>
              </w:rPr>
            </w:pPr>
            <w:r>
              <w:rPr>
                <w:sz w:val="16"/>
              </w:rPr>
              <w:t>The</w:t>
            </w:r>
            <w:r>
              <w:rPr>
                <w:spacing w:val="-6"/>
                <w:sz w:val="16"/>
              </w:rPr>
              <w:t xml:space="preserve"> </w:t>
            </w:r>
            <w:r>
              <w:rPr>
                <w:sz w:val="16"/>
              </w:rPr>
              <w:t>project</w:t>
            </w:r>
            <w:r>
              <w:rPr>
                <w:spacing w:val="-6"/>
                <w:sz w:val="16"/>
              </w:rPr>
              <w:t xml:space="preserve"> </w:t>
            </w:r>
            <w:r>
              <w:rPr>
                <w:sz w:val="16"/>
              </w:rPr>
              <w:t>includes</w:t>
            </w:r>
            <w:r>
              <w:rPr>
                <w:spacing w:val="-7"/>
                <w:sz w:val="16"/>
              </w:rPr>
              <w:t xml:space="preserve"> </w:t>
            </w:r>
            <w:r>
              <w:rPr>
                <w:sz w:val="16"/>
              </w:rPr>
              <w:t>the</w:t>
            </w:r>
            <w:r>
              <w:rPr>
                <w:spacing w:val="-6"/>
                <w:sz w:val="16"/>
              </w:rPr>
              <w:t xml:space="preserve"> </w:t>
            </w:r>
            <w:r>
              <w:rPr>
                <w:sz w:val="16"/>
              </w:rPr>
              <w:t>following</w:t>
            </w:r>
            <w:r>
              <w:rPr>
                <w:spacing w:val="40"/>
                <w:sz w:val="16"/>
              </w:rPr>
              <w:t xml:space="preserve"> </w:t>
            </w:r>
            <w:r>
              <w:rPr>
                <w:sz w:val="16"/>
              </w:rPr>
              <w:t>works:</w:t>
            </w:r>
            <w:r>
              <w:rPr>
                <w:spacing w:val="-5"/>
                <w:sz w:val="16"/>
              </w:rPr>
              <w:t xml:space="preserve"> </w:t>
            </w:r>
            <w:r>
              <w:rPr>
                <w:sz w:val="16"/>
              </w:rPr>
              <w:t>1)</w:t>
            </w:r>
            <w:r>
              <w:rPr>
                <w:spacing w:val="-6"/>
                <w:sz w:val="16"/>
              </w:rPr>
              <w:t xml:space="preserve"> </w:t>
            </w:r>
            <w:r>
              <w:rPr>
                <w:sz w:val="16"/>
              </w:rPr>
              <w:t>Replacement</w:t>
            </w:r>
            <w:r>
              <w:rPr>
                <w:spacing w:val="-5"/>
                <w:sz w:val="16"/>
              </w:rPr>
              <w:t xml:space="preserve"> </w:t>
            </w:r>
            <w:r>
              <w:rPr>
                <w:sz w:val="16"/>
              </w:rPr>
              <w:t>of</w:t>
            </w:r>
            <w:r>
              <w:rPr>
                <w:spacing w:val="-6"/>
                <w:sz w:val="16"/>
              </w:rPr>
              <w:t xml:space="preserve"> </w:t>
            </w:r>
            <w:r>
              <w:rPr>
                <w:spacing w:val="-2"/>
                <w:sz w:val="16"/>
              </w:rPr>
              <w:t>approx.</w:t>
            </w:r>
          </w:p>
          <w:p w14:paraId="2055DF8C" w14:textId="77777777" w:rsidR="00141B97" w:rsidRDefault="00911D63">
            <w:pPr>
              <w:pStyle w:val="TableParagraph"/>
              <w:ind w:left="102" w:right="115"/>
              <w:rPr>
                <w:sz w:val="16"/>
              </w:rPr>
            </w:pPr>
            <w:r>
              <w:rPr>
                <w:sz w:val="16"/>
              </w:rPr>
              <w:t>4.5km</w:t>
            </w:r>
            <w:r>
              <w:rPr>
                <w:spacing w:val="-4"/>
                <w:sz w:val="16"/>
              </w:rPr>
              <w:t xml:space="preserve"> </w:t>
            </w:r>
            <w:r>
              <w:rPr>
                <w:sz w:val="16"/>
              </w:rPr>
              <w:t>of</w:t>
            </w:r>
            <w:r>
              <w:rPr>
                <w:spacing w:val="-4"/>
                <w:sz w:val="16"/>
              </w:rPr>
              <w:t xml:space="preserve"> </w:t>
            </w:r>
            <w:r>
              <w:rPr>
                <w:sz w:val="16"/>
              </w:rPr>
              <w:t>DN375</w:t>
            </w:r>
            <w:r>
              <w:rPr>
                <w:spacing w:val="-4"/>
                <w:sz w:val="16"/>
              </w:rPr>
              <w:t xml:space="preserve"> </w:t>
            </w:r>
            <w:r>
              <w:rPr>
                <w:sz w:val="16"/>
              </w:rPr>
              <w:t>trunk</w:t>
            </w:r>
            <w:r>
              <w:rPr>
                <w:spacing w:val="-4"/>
                <w:sz w:val="16"/>
              </w:rPr>
              <w:t xml:space="preserve"> </w:t>
            </w:r>
            <w:r>
              <w:rPr>
                <w:sz w:val="16"/>
              </w:rPr>
              <w:t>main,</w:t>
            </w:r>
            <w:r>
              <w:rPr>
                <w:spacing w:val="-4"/>
                <w:sz w:val="16"/>
              </w:rPr>
              <w:t xml:space="preserve"> </w:t>
            </w:r>
            <w:r>
              <w:rPr>
                <w:sz w:val="16"/>
              </w:rPr>
              <w:t>2)</w:t>
            </w:r>
            <w:r>
              <w:rPr>
                <w:spacing w:val="-4"/>
                <w:sz w:val="16"/>
              </w:rPr>
              <w:t xml:space="preserve"> </w:t>
            </w:r>
            <w:r>
              <w:rPr>
                <w:sz w:val="16"/>
              </w:rPr>
              <w:t>Cliffside</w:t>
            </w:r>
            <w:r>
              <w:rPr>
                <w:spacing w:val="40"/>
                <w:sz w:val="16"/>
              </w:rPr>
              <w:t xml:space="preserve"> </w:t>
            </w:r>
            <w:r>
              <w:rPr>
                <w:sz w:val="16"/>
              </w:rPr>
              <w:t>Pump Station upgrade and 3)</w:t>
            </w:r>
            <w:r>
              <w:rPr>
                <w:spacing w:val="40"/>
                <w:sz w:val="16"/>
              </w:rPr>
              <w:t xml:space="preserve"> </w:t>
            </w:r>
            <w:r>
              <w:rPr>
                <w:sz w:val="16"/>
              </w:rPr>
              <w:t>Reconfiguration of the Red Cliffs</w:t>
            </w:r>
            <w:r>
              <w:rPr>
                <w:spacing w:val="40"/>
                <w:sz w:val="16"/>
              </w:rPr>
              <w:t xml:space="preserve"> </w:t>
            </w:r>
            <w:r>
              <w:rPr>
                <w:sz w:val="16"/>
              </w:rPr>
              <w:t>distribution</w:t>
            </w:r>
            <w:r>
              <w:rPr>
                <w:spacing w:val="-9"/>
                <w:sz w:val="16"/>
              </w:rPr>
              <w:t xml:space="preserve"> </w:t>
            </w:r>
            <w:r>
              <w:rPr>
                <w:sz w:val="16"/>
              </w:rPr>
              <w:t>network.</w:t>
            </w:r>
          </w:p>
        </w:tc>
        <w:tc>
          <w:tcPr>
            <w:tcW w:w="3574" w:type="dxa"/>
            <w:tcBorders>
              <w:left w:val="nil"/>
              <w:right w:val="nil"/>
            </w:tcBorders>
            <w:shd w:val="clear" w:color="auto" w:fill="CCE2ED"/>
          </w:tcPr>
          <w:p w14:paraId="196DD1DB" w14:textId="77777777" w:rsidR="00141B97" w:rsidRDefault="00911D63">
            <w:pPr>
              <w:pStyle w:val="TableParagraph"/>
              <w:spacing w:before="43"/>
              <w:ind w:left="102" w:right="112"/>
              <w:rPr>
                <w:sz w:val="16"/>
              </w:rPr>
            </w:pPr>
            <w:r>
              <w:rPr>
                <w:sz w:val="16"/>
              </w:rPr>
              <w:t>Low pressure is experienced in parts of the Red</w:t>
            </w:r>
            <w:r>
              <w:rPr>
                <w:spacing w:val="40"/>
                <w:sz w:val="16"/>
              </w:rPr>
              <w:t xml:space="preserve"> </w:t>
            </w:r>
            <w:r>
              <w:rPr>
                <w:sz w:val="16"/>
              </w:rPr>
              <w:t>Cliffs</w:t>
            </w:r>
            <w:r>
              <w:rPr>
                <w:spacing w:val="-4"/>
                <w:sz w:val="16"/>
              </w:rPr>
              <w:t xml:space="preserve"> </w:t>
            </w:r>
            <w:r>
              <w:rPr>
                <w:sz w:val="16"/>
              </w:rPr>
              <w:t>network</w:t>
            </w:r>
            <w:r>
              <w:rPr>
                <w:spacing w:val="-5"/>
                <w:sz w:val="16"/>
              </w:rPr>
              <w:t xml:space="preserve"> </w:t>
            </w:r>
            <w:r>
              <w:rPr>
                <w:sz w:val="16"/>
              </w:rPr>
              <w:t>and</w:t>
            </w:r>
            <w:r>
              <w:rPr>
                <w:spacing w:val="-2"/>
                <w:sz w:val="16"/>
              </w:rPr>
              <w:t xml:space="preserve"> </w:t>
            </w:r>
            <w:r>
              <w:rPr>
                <w:sz w:val="16"/>
              </w:rPr>
              <w:t>several</w:t>
            </w:r>
            <w:r>
              <w:rPr>
                <w:spacing w:val="-5"/>
                <w:sz w:val="16"/>
              </w:rPr>
              <w:t xml:space="preserve"> </w:t>
            </w:r>
            <w:r>
              <w:rPr>
                <w:sz w:val="16"/>
              </w:rPr>
              <w:t>complaints</w:t>
            </w:r>
            <w:r>
              <w:rPr>
                <w:spacing w:val="-4"/>
                <w:sz w:val="16"/>
              </w:rPr>
              <w:t xml:space="preserve"> </w:t>
            </w:r>
            <w:r>
              <w:rPr>
                <w:sz w:val="16"/>
              </w:rPr>
              <w:t>were</w:t>
            </w:r>
            <w:r>
              <w:rPr>
                <w:spacing w:val="-4"/>
                <w:sz w:val="16"/>
              </w:rPr>
              <w:t xml:space="preserve"> </w:t>
            </w:r>
            <w:r>
              <w:rPr>
                <w:sz w:val="16"/>
              </w:rPr>
              <w:t>received</w:t>
            </w:r>
            <w:r>
              <w:rPr>
                <w:spacing w:val="40"/>
                <w:sz w:val="16"/>
              </w:rPr>
              <w:t xml:space="preserve"> </w:t>
            </w:r>
            <w:r>
              <w:rPr>
                <w:sz w:val="16"/>
              </w:rPr>
              <w:t>by LMW. Therefore, the Red Cliffs network is</w:t>
            </w:r>
            <w:r>
              <w:rPr>
                <w:spacing w:val="40"/>
                <w:sz w:val="16"/>
              </w:rPr>
              <w:t xml:space="preserve"> </w:t>
            </w:r>
            <w:r>
              <w:rPr>
                <w:sz w:val="16"/>
              </w:rPr>
              <w:t>required to be upgraded and reconfigured to</w:t>
            </w:r>
            <w:r>
              <w:rPr>
                <w:spacing w:val="40"/>
                <w:sz w:val="16"/>
              </w:rPr>
              <w:t xml:space="preserve"> </w:t>
            </w:r>
            <w:r>
              <w:rPr>
                <w:sz w:val="16"/>
              </w:rPr>
              <w:t>improve the system</w:t>
            </w:r>
            <w:r>
              <w:rPr>
                <w:spacing w:val="-1"/>
                <w:sz w:val="16"/>
              </w:rPr>
              <w:t xml:space="preserve"> </w:t>
            </w:r>
            <w:r>
              <w:rPr>
                <w:sz w:val="16"/>
              </w:rPr>
              <w:t>pressure.</w:t>
            </w:r>
            <w:r>
              <w:rPr>
                <w:spacing w:val="-1"/>
                <w:sz w:val="16"/>
              </w:rPr>
              <w:t xml:space="preserve"> </w:t>
            </w:r>
            <w:r>
              <w:rPr>
                <w:sz w:val="16"/>
              </w:rPr>
              <w:t>The growth</w:t>
            </w:r>
            <w:r>
              <w:rPr>
                <w:spacing w:val="-1"/>
                <w:sz w:val="16"/>
              </w:rPr>
              <w:t xml:space="preserve"> </w:t>
            </w:r>
            <w:r>
              <w:rPr>
                <w:sz w:val="16"/>
              </w:rPr>
              <w:t>and</w:t>
            </w:r>
            <w:r>
              <w:rPr>
                <w:spacing w:val="-1"/>
                <w:sz w:val="16"/>
              </w:rPr>
              <w:t xml:space="preserve"> </w:t>
            </w:r>
            <w:r>
              <w:rPr>
                <w:sz w:val="16"/>
              </w:rPr>
              <w:t>asset</w:t>
            </w:r>
            <w:r>
              <w:rPr>
                <w:spacing w:val="40"/>
                <w:sz w:val="16"/>
              </w:rPr>
              <w:t xml:space="preserve"> </w:t>
            </w:r>
            <w:r>
              <w:rPr>
                <w:sz w:val="16"/>
              </w:rPr>
              <w:t>condition are also considered in the proposed</w:t>
            </w:r>
            <w:r>
              <w:rPr>
                <w:spacing w:val="40"/>
                <w:sz w:val="16"/>
              </w:rPr>
              <w:t xml:space="preserve"> </w:t>
            </w:r>
            <w:r>
              <w:rPr>
                <w:sz w:val="16"/>
              </w:rPr>
              <w:t>upgrade</w:t>
            </w:r>
            <w:r>
              <w:rPr>
                <w:spacing w:val="-7"/>
                <w:sz w:val="16"/>
              </w:rPr>
              <w:t xml:space="preserve"> </w:t>
            </w:r>
            <w:r>
              <w:rPr>
                <w:sz w:val="16"/>
              </w:rPr>
              <w:t>works.</w:t>
            </w:r>
          </w:p>
        </w:tc>
      </w:tr>
      <w:tr w:rsidR="00141B97" w14:paraId="3566A5FE" w14:textId="77777777">
        <w:trPr>
          <w:trHeight w:val="1953"/>
          <w:tblCellSpacing w:w="7" w:type="dxa"/>
        </w:trPr>
        <w:tc>
          <w:tcPr>
            <w:tcW w:w="606" w:type="dxa"/>
            <w:tcBorders>
              <w:left w:val="nil"/>
              <w:bottom w:val="nil"/>
              <w:right w:val="nil"/>
            </w:tcBorders>
            <w:shd w:val="clear" w:color="auto" w:fill="CCE2ED"/>
          </w:tcPr>
          <w:p w14:paraId="396ACBF2" w14:textId="77777777" w:rsidR="00141B97" w:rsidRDefault="00141B97">
            <w:pPr>
              <w:pStyle w:val="TableParagraph"/>
              <w:rPr>
                <w:sz w:val="16"/>
              </w:rPr>
            </w:pPr>
          </w:p>
          <w:p w14:paraId="511EDA48" w14:textId="77777777" w:rsidR="00141B97" w:rsidRDefault="00141B97">
            <w:pPr>
              <w:pStyle w:val="TableParagraph"/>
              <w:rPr>
                <w:sz w:val="16"/>
              </w:rPr>
            </w:pPr>
          </w:p>
          <w:p w14:paraId="27A8CE0E" w14:textId="77777777" w:rsidR="00141B97" w:rsidRDefault="00141B97">
            <w:pPr>
              <w:pStyle w:val="TableParagraph"/>
              <w:rPr>
                <w:sz w:val="16"/>
              </w:rPr>
            </w:pPr>
          </w:p>
          <w:p w14:paraId="11F5B705" w14:textId="77777777" w:rsidR="00141B97" w:rsidRDefault="00141B97">
            <w:pPr>
              <w:pStyle w:val="TableParagraph"/>
              <w:rPr>
                <w:sz w:val="16"/>
              </w:rPr>
            </w:pPr>
          </w:p>
          <w:p w14:paraId="1A7AFCAE" w14:textId="77777777" w:rsidR="00141B97" w:rsidRDefault="00911D63">
            <w:pPr>
              <w:pStyle w:val="TableParagraph"/>
              <w:spacing w:before="98"/>
              <w:ind w:left="107"/>
              <w:rPr>
                <w:sz w:val="16"/>
              </w:rPr>
            </w:pPr>
            <w:r>
              <w:rPr>
                <w:w w:val="99"/>
                <w:sz w:val="16"/>
              </w:rPr>
              <w:t>5</w:t>
            </w:r>
          </w:p>
        </w:tc>
        <w:tc>
          <w:tcPr>
            <w:tcW w:w="1535" w:type="dxa"/>
            <w:tcBorders>
              <w:left w:val="nil"/>
              <w:bottom w:val="nil"/>
              <w:right w:val="nil"/>
            </w:tcBorders>
            <w:shd w:val="clear" w:color="auto" w:fill="CCE2ED"/>
          </w:tcPr>
          <w:p w14:paraId="7B3C6C16" w14:textId="77777777" w:rsidR="00141B97" w:rsidRDefault="00141B97">
            <w:pPr>
              <w:pStyle w:val="TableParagraph"/>
              <w:rPr>
                <w:sz w:val="16"/>
              </w:rPr>
            </w:pPr>
          </w:p>
          <w:p w14:paraId="580B6FC4" w14:textId="77777777" w:rsidR="00141B97" w:rsidRDefault="00141B97">
            <w:pPr>
              <w:pStyle w:val="TableParagraph"/>
              <w:rPr>
                <w:sz w:val="16"/>
              </w:rPr>
            </w:pPr>
          </w:p>
          <w:p w14:paraId="49CBA212" w14:textId="77777777" w:rsidR="00141B97" w:rsidRDefault="00141B97">
            <w:pPr>
              <w:pStyle w:val="TableParagraph"/>
              <w:rPr>
                <w:sz w:val="16"/>
              </w:rPr>
            </w:pPr>
          </w:p>
          <w:p w14:paraId="24156DA6" w14:textId="77777777" w:rsidR="00141B97" w:rsidRDefault="00911D63">
            <w:pPr>
              <w:pStyle w:val="TableParagraph"/>
              <w:spacing w:before="97"/>
              <w:ind w:left="105" w:right="163"/>
              <w:rPr>
                <w:sz w:val="16"/>
              </w:rPr>
            </w:pPr>
            <w:r>
              <w:rPr>
                <w:sz w:val="16"/>
              </w:rPr>
              <w:t>New Swan Hill</w:t>
            </w:r>
            <w:r>
              <w:rPr>
                <w:spacing w:val="40"/>
                <w:sz w:val="16"/>
              </w:rPr>
              <w:t xml:space="preserve"> </w:t>
            </w:r>
            <w:r>
              <w:rPr>
                <w:sz w:val="16"/>
              </w:rPr>
              <w:t>water</w:t>
            </w:r>
            <w:r>
              <w:rPr>
                <w:spacing w:val="-10"/>
                <w:sz w:val="16"/>
              </w:rPr>
              <w:t xml:space="preserve"> </w:t>
            </w:r>
            <w:r>
              <w:rPr>
                <w:sz w:val="16"/>
              </w:rPr>
              <w:t>treatment</w:t>
            </w:r>
            <w:r>
              <w:rPr>
                <w:spacing w:val="40"/>
                <w:sz w:val="16"/>
              </w:rPr>
              <w:t xml:space="preserve"> </w:t>
            </w:r>
            <w:r>
              <w:rPr>
                <w:sz w:val="16"/>
              </w:rPr>
              <w:t>plant (Stage 1)</w:t>
            </w:r>
          </w:p>
        </w:tc>
        <w:tc>
          <w:tcPr>
            <w:tcW w:w="1063" w:type="dxa"/>
            <w:tcBorders>
              <w:left w:val="nil"/>
              <w:bottom w:val="nil"/>
              <w:right w:val="nil"/>
            </w:tcBorders>
            <w:shd w:val="clear" w:color="auto" w:fill="CCE2ED"/>
          </w:tcPr>
          <w:p w14:paraId="651C3C5D" w14:textId="77777777" w:rsidR="00141B97" w:rsidRDefault="00141B97">
            <w:pPr>
              <w:pStyle w:val="TableParagraph"/>
              <w:rPr>
                <w:sz w:val="16"/>
              </w:rPr>
            </w:pPr>
          </w:p>
          <w:p w14:paraId="0744AB6F" w14:textId="77777777" w:rsidR="00141B97" w:rsidRDefault="00141B97">
            <w:pPr>
              <w:pStyle w:val="TableParagraph"/>
              <w:rPr>
                <w:sz w:val="16"/>
              </w:rPr>
            </w:pPr>
          </w:p>
          <w:p w14:paraId="70716729" w14:textId="77777777" w:rsidR="00141B97" w:rsidRDefault="00141B97">
            <w:pPr>
              <w:pStyle w:val="TableParagraph"/>
              <w:rPr>
                <w:sz w:val="16"/>
              </w:rPr>
            </w:pPr>
          </w:p>
          <w:p w14:paraId="498F85AE" w14:textId="77777777" w:rsidR="00141B97" w:rsidRDefault="00141B97">
            <w:pPr>
              <w:pStyle w:val="TableParagraph"/>
              <w:rPr>
                <w:sz w:val="16"/>
              </w:rPr>
            </w:pPr>
          </w:p>
          <w:p w14:paraId="220852BB" w14:textId="77777777" w:rsidR="00141B97" w:rsidRDefault="00911D63">
            <w:pPr>
              <w:pStyle w:val="TableParagraph"/>
              <w:spacing w:before="98"/>
              <w:ind w:right="93"/>
              <w:jc w:val="right"/>
              <w:rPr>
                <w:sz w:val="16"/>
              </w:rPr>
            </w:pPr>
            <w:r>
              <w:rPr>
                <w:spacing w:val="-4"/>
                <w:sz w:val="16"/>
              </w:rPr>
              <w:t>1.00</w:t>
            </w:r>
          </w:p>
        </w:tc>
        <w:tc>
          <w:tcPr>
            <w:tcW w:w="994" w:type="dxa"/>
            <w:tcBorders>
              <w:left w:val="nil"/>
              <w:bottom w:val="nil"/>
              <w:right w:val="nil"/>
            </w:tcBorders>
            <w:shd w:val="clear" w:color="auto" w:fill="CCE2ED"/>
          </w:tcPr>
          <w:p w14:paraId="345AA6B4" w14:textId="77777777" w:rsidR="00141B97" w:rsidRDefault="00141B97">
            <w:pPr>
              <w:pStyle w:val="TableParagraph"/>
              <w:rPr>
                <w:sz w:val="16"/>
              </w:rPr>
            </w:pPr>
          </w:p>
          <w:p w14:paraId="14BA07E8" w14:textId="77777777" w:rsidR="00141B97" w:rsidRDefault="00141B97">
            <w:pPr>
              <w:pStyle w:val="TableParagraph"/>
              <w:rPr>
                <w:sz w:val="16"/>
              </w:rPr>
            </w:pPr>
          </w:p>
          <w:p w14:paraId="3FCE11D1" w14:textId="77777777" w:rsidR="00141B97" w:rsidRDefault="00141B97">
            <w:pPr>
              <w:pStyle w:val="TableParagraph"/>
              <w:rPr>
                <w:sz w:val="16"/>
              </w:rPr>
            </w:pPr>
          </w:p>
          <w:p w14:paraId="5F8E6427" w14:textId="77777777" w:rsidR="00141B97" w:rsidRDefault="00141B97">
            <w:pPr>
              <w:pStyle w:val="TableParagraph"/>
              <w:spacing w:before="11"/>
              <w:rPr>
                <w:sz w:val="15"/>
              </w:rPr>
            </w:pPr>
          </w:p>
          <w:p w14:paraId="74A51537" w14:textId="77777777" w:rsidR="00141B97" w:rsidRDefault="00911D63">
            <w:pPr>
              <w:pStyle w:val="TableParagraph"/>
              <w:spacing w:before="1"/>
              <w:ind w:left="278" w:firstLine="20"/>
              <w:rPr>
                <w:sz w:val="16"/>
              </w:rPr>
            </w:pPr>
            <w:r>
              <w:rPr>
                <w:spacing w:val="-2"/>
                <w:sz w:val="16"/>
              </w:rPr>
              <w:t>Urban</w:t>
            </w:r>
            <w:r>
              <w:rPr>
                <w:spacing w:val="40"/>
                <w:sz w:val="16"/>
              </w:rPr>
              <w:t xml:space="preserve"> </w:t>
            </w:r>
            <w:r>
              <w:rPr>
                <w:spacing w:val="-2"/>
                <w:sz w:val="16"/>
              </w:rPr>
              <w:t>Water</w:t>
            </w:r>
          </w:p>
        </w:tc>
        <w:tc>
          <w:tcPr>
            <w:tcW w:w="1338" w:type="dxa"/>
            <w:tcBorders>
              <w:left w:val="nil"/>
              <w:bottom w:val="nil"/>
            </w:tcBorders>
            <w:shd w:val="clear" w:color="auto" w:fill="CCE2ED"/>
          </w:tcPr>
          <w:p w14:paraId="7C2BD224" w14:textId="77777777" w:rsidR="00141B97" w:rsidRDefault="00141B97">
            <w:pPr>
              <w:pStyle w:val="TableParagraph"/>
              <w:rPr>
                <w:sz w:val="16"/>
              </w:rPr>
            </w:pPr>
          </w:p>
          <w:p w14:paraId="3829B653" w14:textId="77777777" w:rsidR="00141B97" w:rsidRDefault="00141B97">
            <w:pPr>
              <w:pStyle w:val="TableParagraph"/>
              <w:rPr>
                <w:sz w:val="16"/>
              </w:rPr>
            </w:pPr>
          </w:p>
          <w:p w14:paraId="334462BF" w14:textId="77777777" w:rsidR="00141B97" w:rsidRDefault="00141B97">
            <w:pPr>
              <w:pStyle w:val="TableParagraph"/>
              <w:rPr>
                <w:sz w:val="16"/>
              </w:rPr>
            </w:pPr>
          </w:p>
          <w:p w14:paraId="618D15FF" w14:textId="77777777" w:rsidR="00141B97" w:rsidRDefault="00141B97">
            <w:pPr>
              <w:pStyle w:val="TableParagraph"/>
              <w:rPr>
                <w:sz w:val="16"/>
              </w:rPr>
            </w:pPr>
          </w:p>
          <w:p w14:paraId="7C91C4F4" w14:textId="77777777" w:rsidR="00141B97" w:rsidRDefault="00911D63">
            <w:pPr>
              <w:pStyle w:val="TableParagraph"/>
              <w:spacing w:before="98"/>
              <w:ind w:left="148" w:right="179"/>
              <w:jc w:val="center"/>
              <w:rPr>
                <w:sz w:val="16"/>
              </w:rPr>
            </w:pPr>
            <w:r>
              <w:rPr>
                <w:spacing w:val="-2"/>
                <w:sz w:val="16"/>
              </w:rPr>
              <w:t>Growth</w:t>
            </w:r>
          </w:p>
        </w:tc>
        <w:tc>
          <w:tcPr>
            <w:tcW w:w="1767" w:type="dxa"/>
            <w:tcBorders>
              <w:bottom w:val="nil"/>
              <w:right w:val="nil"/>
            </w:tcBorders>
            <w:shd w:val="clear" w:color="auto" w:fill="CCE2ED"/>
          </w:tcPr>
          <w:p w14:paraId="7F3DC55D" w14:textId="77777777" w:rsidR="00141B97" w:rsidRDefault="00141B97">
            <w:pPr>
              <w:pStyle w:val="TableParagraph"/>
              <w:rPr>
                <w:sz w:val="16"/>
              </w:rPr>
            </w:pPr>
          </w:p>
          <w:p w14:paraId="7FC98362" w14:textId="77777777" w:rsidR="00141B97" w:rsidRDefault="00141B97">
            <w:pPr>
              <w:pStyle w:val="TableParagraph"/>
              <w:rPr>
                <w:sz w:val="16"/>
              </w:rPr>
            </w:pPr>
          </w:p>
          <w:p w14:paraId="70C23784" w14:textId="77777777" w:rsidR="00141B97" w:rsidRDefault="00141B97">
            <w:pPr>
              <w:pStyle w:val="TableParagraph"/>
              <w:rPr>
                <w:sz w:val="16"/>
              </w:rPr>
            </w:pPr>
          </w:p>
          <w:p w14:paraId="65D8B8F7" w14:textId="77777777" w:rsidR="00141B97" w:rsidRDefault="00911D63">
            <w:pPr>
              <w:pStyle w:val="TableParagraph"/>
              <w:spacing w:before="97"/>
              <w:ind w:left="92" w:right="118"/>
              <w:rPr>
                <w:sz w:val="16"/>
              </w:rPr>
            </w:pPr>
            <w:r>
              <w:rPr>
                <w:sz w:val="16"/>
              </w:rPr>
              <w:t>Provide</w:t>
            </w:r>
            <w:r>
              <w:rPr>
                <w:spacing w:val="-9"/>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23" w:type="dxa"/>
            <w:tcBorders>
              <w:left w:val="nil"/>
              <w:bottom w:val="nil"/>
              <w:right w:val="nil"/>
            </w:tcBorders>
            <w:shd w:val="clear" w:color="auto" w:fill="CCE2ED"/>
          </w:tcPr>
          <w:p w14:paraId="463CB8DE" w14:textId="77777777" w:rsidR="00141B97" w:rsidRDefault="00141B97">
            <w:pPr>
              <w:pStyle w:val="TableParagraph"/>
              <w:rPr>
                <w:sz w:val="16"/>
              </w:rPr>
            </w:pPr>
          </w:p>
          <w:p w14:paraId="228CEE06" w14:textId="77777777" w:rsidR="00141B97" w:rsidRDefault="00141B97">
            <w:pPr>
              <w:pStyle w:val="TableParagraph"/>
              <w:rPr>
                <w:sz w:val="16"/>
              </w:rPr>
            </w:pPr>
          </w:p>
          <w:p w14:paraId="139419B3" w14:textId="77777777" w:rsidR="00141B97" w:rsidRDefault="00141B97">
            <w:pPr>
              <w:pStyle w:val="TableParagraph"/>
              <w:rPr>
                <w:sz w:val="16"/>
              </w:rPr>
            </w:pPr>
          </w:p>
          <w:p w14:paraId="33AAA060" w14:textId="77777777" w:rsidR="00141B97" w:rsidRDefault="00911D63">
            <w:pPr>
              <w:pStyle w:val="TableParagraph"/>
              <w:spacing w:before="97"/>
              <w:ind w:left="95" w:right="99"/>
              <w:rPr>
                <w:sz w:val="16"/>
              </w:rPr>
            </w:pPr>
            <w:r>
              <w:rPr>
                <w:sz w:val="16"/>
              </w:rPr>
              <w:t>Maintain</w:t>
            </w:r>
            <w:r>
              <w:rPr>
                <w:spacing w:val="-4"/>
                <w:sz w:val="16"/>
              </w:rPr>
              <w:t xml:space="preserve"> </w:t>
            </w:r>
            <w:r>
              <w:rPr>
                <w:sz w:val="16"/>
              </w:rPr>
              <w:t>security</w:t>
            </w:r>
            <w:r>
              <w:rPr>
                <w:spacing w:val="-3"/>
                <w:sz w:val="16"/>
              </w:rPr>
              <w:t xml:space="preserve"> </w:t>
            </w:r>
            <w:r>
              <w:rPr>
                <w:sz w:val="16"/>
              </w:rPr>
              <w:t>of</w:t>
            </w:r>
            <w:r>
              <w:rPr>
                <w:spacing w:val="-4"/>
                <w:sz w:val="16"/>
              </w:rPr>
              <w:t xml:space="preserve"> </w:t>
            </w:r>
            <w:r>
              <w:rPr>
                <w:sz w:val="16"/>
              </w:rPr>
              <w:t>supply,</w:t>
            </w:r>
            <w:r>
              <w:rPr>
                <w:spacing w:val="40"/>
                <w:sz w:val="16"/>
              </w:rPr>
              <w:t xml:space="preserve"> </w:t>
            </w:r>
            <w:r>
              <w:rPr>
                <w:sz w:val="16"/>
              </w:rPr>
              <w:t>agreed level of service and</w:t>
            </w:r>
            <w:r>
              <w:rPr>
                <w:spacing w:val="40"/>
                <w:sz w:val="16"/>
              </w:rPr>
              <w:t xml:space="preserve"> </w:t>
            </w:r>
            <w:r>
              <w:rPr>
                <w:sz w:val="16"/>
              </w:rPr>
              <w:t>to cater for growth.</w:t>
            </w:r>
          </w:p>
        </w:tc>
        <w:tc>
          <w:tcPr>
            <w:tcW w:w="2799" w:type="dxa"/>
            <w:tcBorders>
              <w:left w:val="nil"/>
              <w:bottom w:val="nil"/>
              <w:right w:val="nil"/>
            </w:tcBorders>
            <w:shd w:val="clear" w:color="auto" w:fill="CCE2ED"/>
          </w:tcPr>
          <w:p w14:paraId="33D74D21" w14:textId="77777777" w:rsidR="00141B97" w:rsidRDefault="00141B97">
            <w:pPr>
              <w:pStyle w:val="TableParagraph"/>
              <w:rPr>
                <w:sz w:val="16"/>
              </w:rPr>
            </w:pPr>
          </w:p>
          <w:p w14:paraId="65B6C50D" w14:textId="77777777" w:rsidR="00141B97" w:rsidRDefault="00141B97">
            <w:pPr>
              <w:pStyle w:val="TableParagraph"/>
              <w:rPr>
                <w:sz w:val="16"/>
              </w:rPr>
            </w:pPr>
          </w:p>
          <w:p w14:paraId="2FB26A4D" w14:textId="77777777" w:rsidR="00141B97" w:rsidRDefault="00141B97">
            <w:pPr>
              <w:pStyle w:val="TableParagraph"/>
              <w:rPr>
                <w:sz w:val="16"/>
              </w:rPr>
            </w:pPr>
          </w:p>
          <w:p w14:paraId="6AA4D8FF" w14:textId="77777777" w:rsidR="00141B97" w:rsidRDefault="00911D63">
            <w:pPr>
              <w:pStyle w:val="TableParagraph"/>
              <w:ind w:left="102" w:right="148"/>
              <w:rPr>
                <w:sz w:val="16"/>
              </w:rPr>
            </w:pPr>
            <w:r>
              <w:rPr>
                <w:sz w:val="16"/>
              </w:rPr>
              <w:t>Planning,</w:t>
            </w:r>
            <w:r>
              <w:rPr>
                <w:spacing w:val="-5"/>
                <w:sz w:val="16"/>
              </w:rPr>
              <w:t xml:space="preserve"> </w:t>
            </w:r>
            <w:r>
              <w:rPr>
                <w:sz w:val="16"/>
              </w:rPr>
              <w:t>design,</w:t>
            </w:r>
            <w:r>
              <w:rPr>
                <w:spacing w:val="-5"/>
                <w:sz w:val="16"/>
              </w:rPr>
              <w:t xml:space="preserve"> </w:t>
            </w:r>
            <w:r>
              <w:rPr>
                <w:sz w:val="16"/>
              </w:rPr>
              <w:t>and</w:t>
            </w:r>
            <w:r>
              <w:rPr>
                <w:spacing w:val="-5"/>
                <w:sz w:val="16"/>
              </w:rPr>
              <w:t xml:space="preserve"> </w:t>
            </w:r>
            <w:r>
              <w:rPr>
                <w:sz w:val="16"/>
              </w:rPr>
              <w:t>construction</w:t>
            </w:r>
            <w:r>
              <w:rPr>
                <w:spacing w:val="-6"/>
                <w:sz w:val="16"/>
              </w:rPr>
              <w:t xml:space="preserve"> </w:t>
            </w:r>
            <w:r>
              <w:rPr>
                <w:sz w:val="16"/>
              </w:rPr>
              <w:t>of</w:t>
            </w:r>
            <w:r>
              <w:rPr>
                <w:spacing w:val="-4"/>
                <w:sz w:val="16"/>
              </w:rPr>
              <w:t xml:space="preserve"> </w:t>
            </w:r>
            <w:r>
              <w:rPr>
                <w:sz w:val="16"/>
              </w:rPr>
              <w:t>a</w:t>
            </w:r>
            <w:r>
              <w:rPr>
                <w:spacing w:val="40"/>
                <w:sz w:val="16"/>
              </w:rPr>
              <w:t xml:space="preserve"> </w:t>
            </w:r>
            <w:r>
              <w:rPr>
                <w:sz w:val="16"/>
              </w:rPr>
              <w:t>new WTP. The planning and design</w:t>
            </w:r>
            <w:r>
              <w:rPr>
                <w:spacing w:val="40"/>
                <w:sz w:val="16"/>
              </w:rPr>
              <w:t xml:space="preserve"> </w:t>
            </w:r>
            <w:r>
              <w:rPr>
                <w:sz w:val="16"/>
              </w:rPr>
              <w:t>works will be undertaken in PS5 as</w:t>
            </w:r>
            <w:r>
              <w:rPr>
                <w:spacing w:val="40"/>
                <w:sz w:val="16"/>
              </w:rPr>
              <w:t xml:space="preserve"> </w:t>
            </w:r>
            <w:r>
              <w:rPr>
                <w:sz w:val="16"/>
              </w:rPr>
              <w:t>Stage</w:t>
            </w:r>
            <w:r>
              <w:rPr>
                <w:spacing w:val="-7"/>
                <w:sz w:val="16"/>
              </w:rPr>
              <w:t xml:space="preserve"> </w:t>
            </w:r>
            <w:r>
              <w:rPr>
                <w:sz w:val="16"/>
              </w:rPr>
              <w:t>1.</w:t>
            </w:r>
          </w:p>
        </w:tc>
        <w:tc>
          <w:tcPr>
            <w:tcW w:w="3574" w:type="dxa"/>
            <w:tcBorders>
              <w:left w:val="nil"/>
              <w:bottom w:val="nil"/>
              <w:right w:val="nil"/>
            </w:tcBorders>
            <w:shd w:val="clear" w:color="auto" w:fill="CCE2ED"/>
          </w:tcPr>
          <w:p w14:paraId="5125A459" w14:textId="77777777" w:rsidR="00141B97" w:rsidRDefault="00911D63">
            <w:pPr>
              <w:pStyle w:val="TableParagraph"/>
              <w:ind w:left="102" w:right="100"/>
              <w:rPr>
                <w:sz w:val="16"/>
              </w:rPr>
            </w:pPr>
            <w:r>
              <w:rPr>
                <w:sz w:val="16"/>
              </w:rPr>
              <w:t>The</w:t>
            </w:r>
            <w:r>
              <w:rPr>
                <w:spacing w:val="-4"/>
                <w:sz w:val="16"/>
              </w:rPr>
              <w:t xml:space="preserve"> </w:t>
            </w:r>
            <w:r>
              <w:rPr>
                <w:sz w:val="16"/>
              </w:rPr>
              <w:t>existing</w:t>
            </w:r>
            <w:r>
              <w:rPr>
                <w:spacing w:val="-3"/>
                <w:sz w:val="16"/>
              </w:rPr>
              <w:t xml:space="preserve"> </w:t>
            </w:r>
            <w:r>
              <w:rPr>
                <w:sz w:val="16"/>
              </w:rPr>
              <w:t>water</w:t>
            </w:r>
            <w:r>
              <w:rPr>
                <w:spacing w:val="-5"/>
                <w:sz w:val="16"/>
              </w:rPr>
              <w:t xml:space="preserve"> </w:t>
            </w:r>
            <w:r>
              <w:rPr>
                <w:sz w:val="16"/>
              </w:rPr>
              <w:t>treatment</w:t>
            </w:r>
            <w:r>
              <w:rPr>
                <w:spacing w:val="-5"/>
                <w:sz w:val="16"/>
              </w:rPr>
              <w:t xml:space="preserve"> </w:t>
            </w:r>
            <w:r>
              <w:rPr>
                <w:sz w:val="16"/>
              </w:rPr>
              <w:t>plant</w:t>
            </w:r>
            <w:r>
              <w:rPr>
                <w:spacing w:val="-5"/>
                <w:sz w:val="16"/>
              </w:rPr>
              <w:t xml:space="preserve"> </w:t>
            </w:r>
            <w:r>
              <w:rPr>
                <w:sz w:val="16"/>
              </w:rPr>
              <w:t>nominal</w:t>
            </w:r>
            <w:r>
              <w:rPr>
                <w:spacing w:val="-5"/>
                <w:sz w:val="16"/>
              </w:rPr>
              <w:t xml:space="preserve"> </w:t>
            </w:r>
            <w:r>
              <w:rPr>
                <w:sz w:val="16"/>
              </w:rPr>
              <w:t>capacity</w:t>
            </w:r>
            <w:r>
              <w:rPr>
                <w:spacing w:val="40"/>
                <w:sz w:val="16"/>
              </w:rPr>
              <w:t xml:space="preserve"> </w:t>
            </w:r>
            <w:r>
              <w:rPr>
                <w:sz w:val="16"/>
              </w:rPr>
              <w:t>is forecast to be exceeded due to growth during</w:t>
            </w:r>
            <w:r>
              <w:rPr>
                <w:spacing w:val="40"/>
                <w:sz w:val="16"/>
              </w:rPr>
              <w:t xml:space="preserve"> </w:t>
            </w:r>
            <w:r>
              <w:rPr>
                <w:sz w:val="16"/>
              </w:rPr>
              <w:t>WP6. Given that significant planning, approval, and</w:t>
            </w:r>
            <w:r>
              <w:rPr>
                <w:spacing w:val="40"/>
                <w:sz w:val="16"/>
              </w:rPr>
              <w:t xml:space="preserve"> </w:t>
            </w:r>
            <w:r>
              <w:rPr>
                <w:sz w:val="16"/>
              </w:rPr>
              <w:t>design effort is required prior to constructing a</w:t>
            </w:r>
            <w:r>
              <w:rPr>
                <w:spacing w:val="40"/>
                <w:sz w:val="16"/>
              </w:rPr>
              <w:t xml:space="preserve"> </w:t>
            </w:r>
            <w:r>
              <w:rPr>
                <w:sz w:val="16"/>
              </w:rPr>
              <w:t>water treatment plant, funding has been included</w:t>
            </w:r>
            <w:r>
              <w:rPr>
                <w:spacing w:val="40"/>
                <w:sz w:val="16"/>
              </w:rPr>
              <w:t xml:space="preserve"> </w:t>
            </w:r>
            <w:r>
              <w:rPr>
                <w:sz w:val="16"/>
              </w:rPr>
              <w:t>within WP5 to allow construction to begin within</w:t>
            </w:r>
            <w:r>
              <w:rPr>
                <w:spacing w:val="40"/>
                <w:sz w:val="16"/>
              </w:rPr>
              <w:t xml:space="preserve"> </w:t>
            </w:r>
            <w:r>
              <w:rPr>
                <w:sz w:val="16"/>
              </w:rPr>
              <w:t>WP6.</w:t>
            </w:r>
            <w:r>
              <w:rPr>
                <w:spacing w:val="-1"/>
                <w:sz w:val="16"/>
              </w:rPr>
              <w:t xml:space="preserve"> </w:t>
            </w:r>
            <w:r>
              <w:rPr>
                <w:sz w:val="16"/>
              </w:rPr>
              <w:t>A</w:t>
            </w:r>
            <w:r>
              <w:rPr>
                <w:spacing w:val="-2"/>
                <w:sz w:val="16"/>
              </w:rPr>
              <w:t xml:space="preserve"> </w:t>
            </w:r>
            <w:r>
              <w:rPr>
                <w:sz w:val="16"/>
              </w:rPr>
              <w:t>new</w:t>
            </w:r>
            <w:r>
              <w:rPr>
                <w:spacing w:val="-1"/>
                <w:sz w:val="16"/>
              </w:rPr>
              <w:t xml:space="preserve"> </w:t>
            </w:r>
            <w:r>
              <w:rPr>
                <w:sz w:val="16"/>
              </w:rPr>
              <w:t>20ML/day</w:t>
            </w:r>
            <w:r>
              <w:rPr>
                <w:spacing w:val="-1"/>
                <w:sz w:val="16"/>
              </w:rPr>
              <w:t xml:space="preserve"> </w:t>
            </w:r>
            <w:r>
              <w:rPr>
                <w:sz w:val="16"/>
              </w:rPr>
              <w:t>WTP</w:t>
            </w:r>
            <w:r>
              <w:rPr>
                <w:spacing w:val="-1"/>
                <w:sz w:val="16"/>
              </w:rPr>
              <w:t xml:space="preserve"> </w:t>
            </w:r>
            <w:r>
              <w:rPr>
                <w:sz w:val="16"/>
              </w:rPr>
              <w:t>will</w:t>
            </w:r>
            <w:r>
              <w:rPr>
                <w:spacing w:val="-1"/>
                <w:sz w:val="16"/>
              </w:rPr>
              <w:t xml:space="preserve"> </w:t>
            </w:r>
            <w:r>
              <w:rPr>
                <w:sz w:val="16"/>
              </w:rPr>
              <w:t>significantly</w:t>
            </w:r>
            <w:r>
              <w:rPr>
                <w:spacing w:val="-2"/>
                <w:sz w:val="16"/>
              </w:rPr>
              <w:t xml:space="preserve"> </w:t>
            </w:r>
            <w:r>
              <w:rPr>
                <w:sz w:val="16"/>
              </w:rPr>
              <w:t>reduce</w:t>
            </w:r>
            <w:r>
              <w:rPr>
                <w:spacing w:val="40"/>
                <w:sz w:val="16"/>
              </w:rPr>
              <w:t xml:space="preserve"> </w:t>
            </w:r>
            <w:r>
              <w:rPr>
                <w:sz w:val="16"/>
              </w:rPr>
              <w:t>the compliance risk of having a single WTP which</w:t>
            </w:r>
            <w:r>
              <w:rPr>
                <w:spacing w:val="40"/>
                <w:sz w:val="16"/>
              </w:rPr>
              <w:t xml:space="preserve"> </w:t>
            </w:r>
            <w:r>
              <w:rPr>
                <w:sz w:val="16"/>
              </w:rPr>
              <w:t>requires capacity derating during poor raw water</w:t>
            </w:r>
          </w:p>
          <w:p w14:paraId="2C1ED1E2" w14:textId="77777777" w:rsidR="00141B97" w:rsidRDefault="00911D63">
            <w:pPr>
              <w:pStyle w:val="TableParagraph"/>
              <w:spacing w:line="176" w:lineRule="exact"/>
              <w:ind w:left="102"/>
              <w:rPr>
                <w:sz w:val="16"/>
              </w:rPr>
            </w:pPr>
            <w:r>
              <w:rPr>
                <w:sz w:val="16"/>
              </w:rPr>
              <w:t>quality</w:t>
            </w:r>
            <w:r>
              <w:rPr>
                <w:spacing w:val="-6"/>
                <w:sz w:val="16"/>
              </w:rPr>
              <w:t xml:space="preserve"> </w:t>
            </w:r>
            <w:r>
              <w:rPr>
                <w:spacing w:val="-2"/>
                <w:sz w:val="16"/>
              </w:rPr>
              <w:t>events.</w:t>
            </w:r>
          </w:p>
        </w:tc>
      </w:tr>
    </w:tbl>
    <w:p w14:paraId="3DFAC16A" w14:textId="77777777" w:rsidR="00141B97" w:rsidRDefault="00141B97">
      <w:pPr>
        <w:spacing w:line="176" w:lineRule="exact"/>
        <w:rPr>
          <w:sz w:val="16"/>
        </w:rPr>
        <w:sectPr w:rsidR="00141B97">
          <w:pgSz w:w="16840" w:h="11910" w:orient="landscape"/>
          <w:pgMar w:top="960" w:right="600" w:bottom="1650" w:left="300" w:header="0" w:footer="345" w:gutter="0"/>
          <w:cols w:space="720"/>
        </w:sectPr>
      </w:pPr>
    </w:p>
    <w:tbl>
      <w:tblPr>
        <w:tblW w:w="0" w:type="auto"/>
        <w:tblCellSpacing w:w="7" w:type="dxa"/>
        <w:tblInd w:w="149" w:type="dxa"/>
        <w:tblLayout w:type="fixed"/>
        <w:tblCellMar>
          <w:left w:w="0" w:type="dxa"/>
          <w:right w:w="0" w:type="dxa"/>
        </w:tblCellMar>
        <w:tblLook w:val="01E0" w:firstRow="1" w:lastRow="1" w:firstColumn="1" w:lastColumn="1" w:noHBand="0" w:noVBand="0"/>
      </w:tblPr>
      <w:tblGrid>
        <w:gridCol w:w="617"/>
        <w:gridCol w:w="1549"/>
        <w:gridCol w:w="1077"/>
        <w:gridCol w:w="1008"/>
        <w:gridCol w:w="1352"/>
        <w:gridCol w:w="1783"/>
        <w:gridCol w:w="2034"/>
        <w:gridCol w:w="2812"/>
        <w:gridCol w:w="3585"/>
      </w:tblGrid>
      <w:tr w:rsidR="00141B97" w14:paraId="7461CC1E" w14:textId="77777777">
        <w:trPr>
          <w:trHeight w:val="854"/>
          <w:tblCellSpacing w:w="7" w:type="dxa"/>
        </w:trPr>
        <w:tc>
          <w:tcPr>
            <w:tcW w:w="596" w:type="dxa"/>
            <w:tcBorders>
              <w:top w:val="single" w:sz="4" w:space="0" w:color="000000"/>
              <w:left w:val="nil"/>
              <w:right w:val="nil"/>
            </w:tcBorders>
            <w:shd w:val="clear" w:color="auto" w:fill="006CA3"/>
          </w:tcPr>
          <w:p w14:paraId="57DAC591" w14:textId="77777777" w:rsidR="00141B97" w:rsidRDefault="00141B97">
            <w:pPr>
              <w:pStyle w:val="TableParagraph"/>
              <w:rPr>
                <w:sz w:val="16"/>
              </w:rPr>
            </w:pPr>
          </w:p>
          <w:p w14:paraId="7EDA1F24" w14:textId="77777777" w:rsidR="00141B97" w:rsidRDefault="00911D63">
            <w:pPr>
              <w:pStyle w:val="TableParagraph"/>
              <w:spacing w:before="134"/>
              <w:ind w:left="161"/>
              <w:rPr>
                <w:sz w:val="16"/>
              </w:rPr>
            </w:pPr>
            <w:r>
              <w:rPr>
                <w:color w:val="FFFFFF"/>
                <w:spacing w:val="-5"/>
                <w:sz w:val="16"/>
              </w:rPr>
              <w:t>No.</w:t>
            </w:r>
          </w:p>
        </w:tc>
        <w:tc>
          <w:tcPr>
            <w:tcW w:w="1535" w:type="dxa"/>
            <w:tcBorders>
              <w:top w:val="single" w:sz="4" w:space="0" w:color="000000"/>
              <w:left w:val="nil"/>
              <w:right w:val="nil"/>
            </w:tcBorders>
            <w:shd w:val="clear" w:color="auto" w:fill="006CA3"/>
          </w:tcPr>
          <w:p w14:paraId="10E9B59F" w14:textId="77777777" w:rsidR="00141B97" w:rsidRDefault="00141B97">
            <w:pPr>
              <w:pStyle w:val="TableParagraph"/>
              <w:rPr>
                <w:sz w:val="16"/>
              </w:rPr>
            </w:pPr>
          </w:p>
          <w:p w14:paraId="70E94CE1" w14:textId="77777777" w:rsidR="00141B97" w:rsidRDefault="00911D63">
            <w:pPr>
              <w:pStyle w:val="TableParagraph"/>
              <w:spacing w:before="134"/>
              <w:ind w:left="301"/>
              <w:rPr>
                <w:sz w:val="16"/>
              </w:rPr>
            </w:pPr>
            <w:r>
              <w:rPr>
                <w:color w:val="FFFFFF"/>
                <w:sz w:val="16"/>
              </w:rPr>
              <w:t>Business</w:t>
            </w:r>
            <w:r>
              <w:rPr>
                <w:color w:val="FFFFFF"/>
                <w:spacing w:val="-9"/>
                <w:sz w:val="16"/>
              </w:rPr>
              <w:t xml:space="preserve"> </w:t>
            </w:r>
            <w:r>
              <w:rPr>
                <w:color w:val="FFFFFF"/>
                <w:spacing w:val="-4"/>
                <w:sz w:val="16"/>
              </w:rPr>
              <w:t>Case</w:t>
            </w:r>
          </w:p>
        </w:tc>
        <w:tc>
          <w:tcPr>
            <w:tcW w:w="1063" w:type="dxa"/>
            <w:tcBorders>
              <w:top w:val="single" w:sz="4" w:space="0" w:color="000000"/>
              <w:left w:val="nil"/>
              <w:right w:val="nil"/>
            </w:tcBorders>
            <w:shd w:val="clear" w:color="auto" w:fill="006CA3"/>
          </w:tcPr>
          <w:p w14:paraId="413755D0" w14:textId="77777777" w:rsidR="00141B97" w:rsidRDefault="00141B97">
            <w:pPr>
              <w:pStyle w:val="TableParagraph"/>
              <w:rPr>
                <w:sz w:val="19"/>
              </w:rPr>
            </w:pPr>
          </w:p>
          <w:p w14:paraId="02E3F2FE" w14:textId="77777777" w:rsidR="00141B97" w:rsidRDefault="00911D63">
            <w:pPr>
              <w:pStyle w:val="TableParagraph"/>
              <w:ind w:left="199" w:hanging="80"/>
              <w:rPr>
                <w:sz w:val="16"/>
              </w:rPr>
            </w:pPr>
            <w:r>
              <w:rPr>
                <w:color w:val="FFFFFF"/>
                <w:sz w:val="16"/>
              </w:rPr>
              <w:t>Total</w:t>
            </w:r>
            <w:r>
              <w:rPr>
                <w:color w:val="FFFFFF"/>
                <w:spacing w:val="-10"/>
                <w:sz w:val="16"/>
              </w:rPr>
              <w:t xml:space="preserve"> </w:t>
            </w:r>
            <w:r>
              <w:rPr>
                <w:color w:val="FFFFFF"/>
                <w:sz w:val="16"/>
              </w:rPr>
              <w:t>Project</w:t>
            </w:r>
            <w:r>
              <w:rPr>
                <w:color w:val="FFFFFF"/>
                <w:spacing w:val="40"/>
                <w:sz w:val="16"/>
              </w:rPr>
              <w:t xml:space="preserve"> </w:t>
            </w:r>
            <w:r>
              <w:rPr>
                <w:color w:val="FFFFFF"/>
                <w:sz w:val="16"/>
              </w:rPr>
              <w:t>Cost</w:t>
            </w:r>
            <w:r>
              <w:rPr>
                <w:color w:val="FFFFFF"/>
                <w:spacing w:val="-5"/>
                <w:sz w:val="16"/>
              </w:rPr>
              <w:t xml:space="preserve"> </w:t>
            </w:r>
            <w:r>
              <w:rPr>
                <w:color w:val="FFFFFF"/>
                <w:sz w:val="16"/>
              </w:rPr>
              <w:t>($m)</w:t>
            </w:r>
          </w:p>
        </w:tc>
        <w:tc>
          <w:tcPr>
            <w:tcW w:w="994" w:type="dxa"/>
            <w:tcBorders>
              <w:top w:val="single" w:sz="4" w:space="0" w:color="000000"/>
              <w:left w:val="nil"/>
              <w:right w:val="nil"/>
            </w:tcBorders>
            <w:shd w:val="clear" w:color="auto" w:fill="006CA3"/>
          </w:tcPr>
          <w:p w14:paraId="7DEDB95C" w14:textId="77777777" w:rsidR="00141B97" w:rsidRDefault="00911D63">
            <w:pPr>
              <w:pStyle w:val="TableParagraph"/>
              <w:spacing w:before="134"/>
              <w:ind w:left="192" w:right="212" w:firstLine="112"/>
              <w:jc w:val="both"/>
              <w:rPr>
                <w:sz w:val="16"/>
              </w:rPr>
            </w:pPr>
            <w:r>
              <w:rPr>
                <w:color w:val="FFFFFF"/>
                <w:spacing w:val="-2"/>
                <w:sz w:val="16"/>
              </w:rPr>
              <w:t>Major</w:t>
            </w:r>
            <w:r>
              <w:rPr>
                <w:color w:val="FFFFFF"/>
                <w:spacing w:val="40"/>
                <w:sz w:val="16"/>
              </w:rPr>
              <w:t xml:space="preserve"> </w:t>
            </w:r>
            <w:r>
              <w:rPr>
                <w:color w:val="FFFFFF"/>
                <w:spacing w:val="-2"/>
                <w:sz w:val="16"/>
              </w:rPr>
              <w:t>Service</w:t>
            </w:r>
            <w:r>
              <w:rPr>
                <w:color w:val="FFFFFF"/>
                <w:spacing w:val="40"/>
                <w:sz w:val="16"/>
              </w:rPr>
              <w:t xml:space="preserve"> </w:t>
            </w:r>
            <w:r>
              <w:rPr>
                <w:color w:val="FFFFFF"/>
                <w:spacing w:val="-2"/>
                <w:sz w:val="16"/>
              </w:rPr>
              <w:t>Category</w:t>
            </w:r>
          </w:p>
        </w:tc>
        <w:tc>
          <w:tcPr>
            <w:tcW w:w="1338" w:type="dxa"/>
            <w:tcBorders>
              <w:top w:val="single" w:sz="4" w:space="0" w:color="000000"/>
              <w:left w:val="nil"/>
            </w:tcBorders>
            <w:shd w:val="clear" w:color="auto" w:fill="006CA3"/>
          </w:tcPr>
          <w:p w14:paraId="23ECFC61" w14:textId="77777777" w:rsidR="00141B97" w:rsidRDefault="00141B97">
            <w:pPr>
              <w:pStyle w:val="TableParagraph"/>
              <w:rPr>
                <w:sz w:val="16"/>
              </w:rPr>
            </w:pPr>
          </w:p>
          <w:p w14:paraId="559AECAE" w14:textId="77777777" w:rsidR="00141B97" w:rsidRDefault="00911D63">
            <w:pPr>
              <w:pStyle w:val="TableParagraph"/>
              <w:spacing w:before="134"/>
              <w:ind w:left="153" w:right="179"/>
              <w:jc w:val="center"/>
              <w:rPr>
                <w:sz w:val="16"/>
              </w:rPr>
            </w:pPr>
            <w:r>
              <w:rPr>
                <w:color w:val="FFFFFF"/>
                <w:sz w:val="16"/>
              </w:rPr>
              <w:t>ESC</w:t>
            </w:r>
            <w:r>
              <w:rPr>
                <w:color w:val="FFFFFF"/>
                <w:spacing w:val="-4"/>
                <w:sz w:val="16"/>
              </w:rPr>
              <w:t xml:space="preserve"> </w:t>
            </w:r>
            <w:r>
              <w:rPr>
                <w:color w:val="FFFFFF"/>
                <w:sz w:val="16"/>
              </w:rPr>
              <w:t>Cost</w:t>
            </w:r>
            <w:r>
              <w:rPr>
                <w:color w:val="FFFFFF"/>
                <w:spacing w:val="-4"/>
                <w:sz w:val="16"/>
              </w:rPr>
              <w:t xml:space="preserve"> </w:t>
            </w:r>
            <w:r>
              <w:rPr>
                <w:color w:val="FFFFFF"/>
                <w:spacing w:val="-2"/>
                <w:sz w:val="16"/>
              </w:rPr>
              <w:t>Driver</w:t>
            </w:r>
          </w:p>
        </w:tc>
        <w:tc>
          <w:tcPr>
            <w:tcW w:w="1769" w:type="dxa"/>
            <w:tcBorders>
              <w:top w:val="single" w:sz="4" w:space="0" w:color="000000"/>
            </w:tcBorders>
            <w:shd w:val="clear" w:color="auto" w:fill="006CA3"/>
          </w:tcPr>
          <w:p w14:paraId="3376A814" w14:textId="77777777" w:rsidR="00141B97" w:rsidRDefault="00141B97">
            <w:pPr>
              <w:pStyle w:val="TableParagraph"/>
              <w:rPr>
                <w:sz w:val="19"/>
              </w:rPr>
            </w:pPr>
          </w:p>
          <w:p w14:paraId="6A1ACB13" w14:textId="77777777" w:rsidR="00141B97" w:rsidRDefault="00911D63">
            <w:pPr>
              <w:pStyle w:val="TableParagraph"/>
              <w:ind w:left="575" w:right="129" w:hanging="314"/>
              <w:rPr>
                <w:sz w:val="16"/>
              </w:rPr>
            </w:pPr>
            <w:r>
              <w:rPr>
                <w:color w:val="FFFFFF"/>
                <w:sz w:val="16"/>
              </w:rPr>
              <w:t>Relevant</w:t>
            </w:r>
            <w:r>
              <w:rPr>
                <w:color w:val="FFFFFF"/>
                <w:spacing w:val="-10"/>
                <w:sz w:val="16"/>
              </w:rPr>
              <w:t xml:space="preserve"> </w:t>
            </w:r>
            <w:r>
              <w:rPr>
                <w:color w:val="FFFFFF"/>
                <w:sz w:val="16"/>
              </w:rPr>
              <w:t>Customer</w:t>
            </w:r>
            <w:r>
              <w:rPr>
                <w:color w:val="FFFFFF"/>
                <w:spacing w:val="40"/>
                <w:sz w:val="16"/>
              </w:rPr>
              <w:t xml:space="preserve"> </w:t>
            </w:r>
            <w:r>
              <w:rPr>
                <w:color w:val="FFFFFF"/>
                <w:spacing w:val="-2"/>
                <w:sz w:val="16"/>
              </w:rPr>
              <w:t>Outcome</w:t>
            </w:r>
          </w:p>
        </w:tc>
        <w:tc>
          <w:tcPr>
            <w:tcW w:w="2020" w:type="dxa"/>
            <w:tcBorders>
              <w:top w:val="single" w:sz="4" w:space="0" w:color="000000"/>
              <w:right w:val="nil"/>
            </w:tcBorders>
            <w:shd w:val="clear" w:color="auto" w:fill="006CA3"/>
          </w:tcPr>
          <w:p w14:paraId="20ED8081" w14:textId="77777777" w:rsidR="00141B97" w:rsidRDefault="00141B97">
            <w:pPr>
              <w:pStyle w:val="TableParagraph"/>
              <w:rPr>
                <w:sz w:val="16"/>
              </w:rPr>
            </w:pPr>
          </w:p>
          <w:p w14:paraId="52679E38" w14:textId="77777777" w:rsidR="00141B97" w:rsidRDefault="00911D63">
            <w:pPr>
              <w:pStyle w:val="TableParagraph"/>
              <w:spacing w:before="134"/>
              <w:ind w:left="695" w:right="692"/>
              <w:jc w:val="center"/>
              <w:rPr>
                <w:sz w:val="16"/>
              </w:rPr>
            </w:pPr>
            <w:r>
              <w:rPr>
                <w:color w:val="FFFFFF"/>
                <w:spacing w:val="-2"/>
                <w:sz w:val="16"/>
              </w:rPr>
              <w:t>Objective</w:t>
            </w:r>
          </w:p>
        </w:tc>
        <w:tc>
          <w:tcPr>
            <w:tcW w:w="2798" w:type="dxa"/>
            <w:tcBorders>
              <w:top w:val="single" w:sz="4" w:space="0" w:color="000000"/>
              <w:left w:val="nil"/>
              <w:right w:val="nil"/>
            </w:tcBorders>
            <w:shd w:val="clear" w:color="auto" w:fill="006CA3"/>
          </w:tcPr>
          <w:p w14:paraId="6C2D9D83" w14:textId="77777777" w:rsidR="00141B97" w:rsidRDefault="00141B97">
            <w:pPr>
              <w:pStyle w:val="TableParagraph"/>
              <w:rPr>
                <w:sz w:val="16"/>
              </w:rPr>
            </w:pPr>
          </w:p>
          <w:p w14:paraId="2D009C42" w14:textId="77777777" w:rsidR="00141B97" w:rsidRDefault="00911D63">
            <w:pPr>
              <w:pStyle w:val="TableParagraph"/>
              <w:spacing w:before="134"/>
              <w:ind w:left="1193" w:right="1188"/>
              <w:jc w:val="center"/>
              <w:rPr>
                <w:sz w:val="16"/>
              </w:rPr>
            </w:pPr>
            <w:r>
              <w:rPr>
                <w:color w:val="FFFFFF"/>
                <w:spacing w:val="-2"/>
                <w:sz w:val="16"/>
              </w:rPr>
              <w:t>Scope</w:t>
            </w:r>
          </w:p>
        </w:tc>
        <w:tc>
          <w:tcPr>
            <w:tcW w:w="3564" w:type="dxa"/>
            <w:tcBorders>
              <w:top w:val="single" w:sz="4" w:space="0" w:color="000000"/>
              <w:left w:val="nil"/>
              <w:right w:val="nil"/>
            </w:tcBorders>
            <w:shd w:val="clear" w:color="auto" w:fill="006CA3"/>
          </w:tcPr>
          <w:p w14:paraId="0B775896" w14:textId="77777777" w:rsidR="00141B97" w:rsidRDefault="00141B97">
            <w:pPr>
              <w:pStyle w:val="TableParagraph"/>
              <w:rPr>
                <w:sz w:val="16"/>
              </w:rPr>
            </w:pPr>
          </w:p>
          <w:p w14:paraId="7C8E2657" w14:textId="77777777" w:rsidR="00141B97" w:rsidRDefault="00911D63">
            <w:pPr>
              <w:pStyle w:val="TableParagraph"/>
              <w:spacing w:before="134"/>
              <w:ind w:left="1401" w:right="1384"/>
              <w:jc w:val="center"/>
              <w:rPr>
                <w:sz w:val="16"/>
              </w:rPr>
            </w:pPr>
            <w:r>
              <w:rPr>
                <w:color w:val="FFFFFF"/>
                <w:spacing w:val="-2"/>
                <w:sz w:val="16"/>
              </w:rPr>
              <w:t>Justification</w:t>
            </w:r>
          </w:p>
        </w:tc>
      </w:tr>
      <w:tr w:rsidR="00141B97" w14:paraId="7563610D" w14:textId="77777777">
        <w:trPr>
          <w:trHeight w:val="1402"/>
          <w:tblCellSpacing w:w="7" w:type="dxa"/>
        </w:trPr>
        <w:tc>
          <w:tcPr>
            <w:tcW w:w="596" w:type="dxa"/>
            <w:tcBorders>
              <w:left w:val="nil"/>
              <w:right w:val="nil"/>
            </w:tcBorders>
            <w:shd w:val="clear" w:color="auto" w:fill="CCE2ED"/>
          </w:tcPr>
          <w:p w14:paraId="66E0861E" w14:textId="77777777" w:rsidR="00141B97" w:rsidRDefault="00141B97">
            <w:pPr>
              <w:pStyle w:val="TableParagraph"/>
              <w:rPr>
                <w:sz w:val="16"/>
              </w:rPr>
            </w:pPr>
          </w:p>
          <w:p w14:paraId="4E862A67" w14:textId="77777777" w:rsidR="00141B97" w:rsidRDefault="00141B97">
            <w:pPr>
              <w:pStyle w:val="TableParagraph"/>
              <w:rPr>
                <w:sz w:val="16"/>
              </w:rPr>
            </w:pPr>
          </w:p>
          <w:p w14:paraId="0C1594C7" w14:textId="77777777" w:rsidR="00141B97" w:rsidRDefault="00141B97">
            <w:pPr>
              <w:pStyle w:val="TableParagraph"/>
              <w:spacing w:before="5"/>
              <w:rPr>
                <w:sz w:val="17"/>
              </w:rPr>
            </w:pPr>
          </w:p>
          <w:p w14:paraId="32F9443A" w14:textId="77777777" w:rsidR="00141B97" w:rsidRDefault="00911D63">
            <w:pPr>
              <w:pStyle w:val="TableParagraph"/>
              <w:ind w:left="98"/>
              <w:rPr>
                <w:sz w:val="16"/>
              </w:rPr>
            </w:pPr>
            <w:r>
              <w:rPr>
                <w:w w:val="99"/>
                <w:sz w:val="16"/>
              </w:rPr>
              <w:t>6</w:t>
            </w:r>
          </w:p>
        </w:tc>
        <w:tc>
          <w:tcPr>
            <w:tcW w:w="1535" w:type="dxa"/>
            <w:tcBorders>
              <w:left w:val="nil"/>
              <w:right w:val="nil"/>
            </w:tcBorders>
            <w:shd w:val="clear" w:color="auto" w:fill="CCE2ED"/>
          </w:tcPr>
          <w:p w14:paraId="1FBB25D0" w14:textId="77777777" w:rsidR="00141B97" w:rsidRDefault="00141B97">
            <w:pPr>
              <w:pStyle w:val="TableParagraph"/>
              <w:rPr>
                <w:sz w:val="16"/>
              </w:rPr>
            </w:pPr>
          </w:p>
          <w:p w14:paraId="69A64DA3" w14:textId="77777777" w:rsidR="00141B97" w:rsidRDefault="00141B97">
            <w:pPr>
              <w:pStyle w:val="TableParagraph"/>
              <w:spacing w:before="4"/>
              <w:rPr>
                <w:sz w:val="17"/>
              </w:rPr>
            </w:pPr>
          </w:p>
          <w:p w14:paraId="2BFD6572" w14:textId="77777777" w:rsidR="00141B97" w:rsidRDefault="00911D63">
            <w:pPr>
              <w:pStyle w:val="TableParagraph"/>
              <w:spacing w:before="1"/>
              <w:ind w:left="105" w:right="88"/>
              <w:rPr>
                <w:sz w:val="16"/>
              </w:rPr>
            </w:pPr>
            <w:r>
              <w:rPr>
                <w:sz w:val="16"/>
              </w:rPr>
              <w:t>Wet</w:t>
            </w:r>
            <w:r>
              <w:rPr>
                <w:spacing w:val="-5"/>
                <w:sz w:val="16"/>
              </w:rPr>
              <w:t xml:space="preserve"> </w:t>
            </w:r>
            <w:r>
              <w:rPr>
                <w:sz w:val="16"/>
              </w:rPr>
              <w:t>Weather</w:t>
            </w:r>
            <w:r>
              <w:rPr>
                <w:spacing w:val="40"/>
                <w:sz w:val="16"/>
              </w:rPr>
              <w:t xml:space="preserve"> </w:t>
            </w:r>
            <w:r>
              <w:rPr>
                <w:sz w:val="16"/>
              </w:rPr>
              <w:t>Storage for the</w:t>
            </w:r>
            <w:r>
              <w:rPr>
                <w:spacing w:val="40"/>
                <w:sz w:val="16"/>
              </w:rPr>
              <w:t xml:space="preserve"> </w:t>
            </w:r>
            <w:r>
              <w:rPr>
                <w:sz w:val="16"/>
              </w:rPr>
              <w:t>Koorlong</w:t>
            </w:r>
            <w:r>
              <w:rPr>
                <w:spacing w:val="-10"/>
                <w:sz w:val="16"/>
              </w:rPr>
              <w:t xml:space="preserve"> </w:t>
            </w:r>
            <w:r>
              <w:rPr>
                <w:sz w:val="16"/>
              </w:rPr>
              <w:t>WWTP</w:t>
            </w:r>
          </w:p>
        </w:tc>
        <w:tc>
          <w:tcPr>
            <w:tcW w:w="1063" w:type="dxa"/>
            <w:tcBorders>
              <w:left w:val="nil"/>
              <w:right w:val="nil"/>
            </w:tcBorders>
            <w:shd w:val="clear" w:color="auto" w:fill="CCE2ED"/>
          </w:tcPr>
          <w:p w14:paraId="33298A3A" w14:textId="77777777" w:rsidR="00141B97" w:rsidRDefault="00141B97">
            <w:pPr>
              <w:pStyle w:val="TableParagraph"/>
              <w:rPr>
                <w:sz w:val="16"/>
              </w:rPr>
            </w:pPr>
          </w:p>
          <w:p w14:paraId="5BA8954E" w14:textId="77777777" w:rsidR="00141B97" w:rsidRDefault="00141B97">
            <w:pPr>
              <w:pStyle w:val="TableParagraph"/>
              <w:rPr>
                <w:sz w:val="16"/>
              </w:rPr>
            </w:pPr>
          </w:p>
          <w:p w14:paraId="6D74C10D" w14:textId="77777777" w:rsidR="00141B97" w:rsidRDefault="00141B97">
            <w:pPr>
              <w:pStyle w:val="TableParagraph"/>
              <w:spacing w:before="5"/>
              <w:rPr>
                <w:sz w:val="17"/>
              </w:rPr>
            </w:pPr>
          </w:p>
          <w:p w14:paraId="331F0942" w14:textId="77777777" w:rsidR="00141B97" w:rsidRDefault="00911D63">
            <w:pPr>
              <w:pStyle w:val="TableParagraph"/>
              <w:ind w:right="93"/>
              <w:jc w:val="right"/>
              <w:rPr>
                <w:sz w:val="16"/>
              </w:rPr>
            </w:pPr>
            <w:r>
              <w:rPr>
                <w:spacing w:val="-4"/>
                <w:sz w:val="16"/>
              </w:rPr>
              <w:t>6.07</w:t>
            </w:r>
          </w:p>
        </w:tc>
        <w:tc>
          <w:tcPr>
            <w:tcW w:w="994" w:type="dxa"/>
            <w:tcBorders>
              <w:left w:val="nil"/>
              <w:right w:val="nil"/>
            </w:tcBorders>
            <w:shd w:val="clear" w:color="auto" w:fill="CCE2ED"/>
          </w:tcPr>
          <w:p w14:paraId="48B2F46E" w14:textId="77777777" w:rsidR="00141B97" w:rsidRDefault="00141B97">
            <w:pPr>
              <w:pStyle w:val="TableParagraph"/>
              <w:rPr>
                <w:sz w:val="16"/>
              </w:rPr>
            </w:pPr>
          </w:p>
          <w:p w14:paraId="1457F66E" w14:textId="77777777" w:rsidR="00141B97" w:rsidRDefault="00141B97">
            <w:pPr>
              <w:pStyle w:val="TableParagraph"/>
              <w:rPr>
                <w:sz w:val="16"/>
              </w:rPr>
            </w:pPr>
          </w:p>
          <w:p w14:paraId="0D95A4F8" w14:textId="77777777" w:rsidR="00141B97" w:rsidRDefault="00911D63">
            <w:pPr>
              <w:pStyle w:val="TableParagraph"/>
              <w:spacing w:before="115"/>
              <w:ind w:left="166" w:firstLine="132"/>
              <w:rPr>
                <w:sz w:val="16"/>
              </w:rPr>
            </w:pPr>
            <w:r>
              <w:rPr>
                <w:spacing w:val="-2"/>
                <w:sz w:val="16"/>
              </w:rPr>
              <w:t>Urban</w:t>
            </w:r>
            <w:r>
              <w:rPr>
                <w:spacing w:val="40"/>
                <w:sz w:val="16"/>
              </w:rPr>
              <w:t xml:space="preserve"> </w:t>
            </w:r>
            <w:r>
              <w:rPr>
                <w:spacing w:val="-2"/>
                <w:sz w:val="16"/>
              </w:rPr>
              <w:t>Sewerage</w:t>
            </w:r>
          </w:p>
        </w:tc>
        <w:tc>
          <w:tcPr>
            <w:tcW w:w="1338" w:type="dxa"/>
            <w:tcBorders>
              <w:left w:val="nil"/>
            </w:tcBorders>
            <w:shd w:val="clear" w:color="auto" w:fill="CCE2ED"/>
          </w:tcPr>
          <w:p w14:paraId="40E66AC0" w14:textId="77777777" w:rsidR="00141B97" w:rsidRDefault="00141B97">
            <w:pPr>
              <w:pStyle w:val="TableParagraph"/>
              <w:rPr>
                <w:sz w:val="16"/>
              </w:rPr>
            </w:pPr>
          </w:p>
          <w:p w14:paraId="629A2B7A" w14:textId="77777777" w:rsidR="00141B97" w:rsidRDefault="00141B97">
            <w:pPr>
              <w:pStyle w:val="TableParagraph"/>
              <w:rPr>
                <w:sz w:val="16"/>
              </w:rPr>
            </w:pPr>
          </w:p>
          <w:p w14:paraId="4F82DE75" w14:textId="77777777" w:rsidR="00141B97" w:rsidRDefault="00141B97">
            <w:pPr>
              <w:pStyle w:val="TableParagraph"/>
              <w:spacing w:before="5"/>
              <w:rPr>
                <w:sz w:val="17"/>
              </w:rPr>
            </w:pPr>
          </w:p>
          <w:p w14:paraId="6A9D00FF" w14:textId="77777777" w:rsidR="00141B97" w:rsidRDefault="00911D63">
            <w:pPr>
              <w:pStyle w:val="TableParagraph"/>
              <w:ind w:left="149" w:right="179"/>
              <w:jc w:val="center"/>
              <w:rPr>
                <w:sz w:val="16"/>
              </w:rPr>
            </w:pPr>
            <w:r>
              <w:rPr>
                <w:spacing w:val="-2"/>
                <w:sz w:val="16"/>
              </w:rPr>
              <w:t>Growth</w:t>
            </w:r>
          </w:p>
        </w:tc>
        <w:tc>
          <w:tcPr>
            <w:tcW w:w="1769" w:type="dxa"/>
            <w:shd w:val="clear" w:color="auto" w:fill="CCE2ED"/>
          </w:tcPr>
          <w:p w14:paraId="243C3651" w14:textId="77777777" w:rsidR="00141B97" w:rsidRDefault="00141B97">
            <w:pPr>
              <w:pStyle w:val="TableParagraph"/>
              <w:spacing w:before="5"/>
              <w:rPr>
                <w:sz w:val="17"/>
              </w:rPr>
            </w:pPr>
          </w:p>
          <w:p w14:paraId="34FC88AF" w14:textId="77777777" w:rsidR="00141B97" w:rsidRDefault="00911D63">
            <w:pPr>
              <w:pStyle w:val="TableParagraph"/>
              <w:ind w:left="97" w:right="129"/>
              <w:rPr>
                <w:sz w:val="16"/>
              </w:rPr>
            </w:pPr>
            <w:r>
              <w:rPr>
                <w:sz w:val="16"/>
              </w:rPr>
              <w:t>Service</w:t>
            </w:r>
            <w:r>
              <w:rPr>
                <w:spacing w:val="-7"/>
                <w:sz w:val="16"/>
              </w:rPr>
              <w:t xml:space="preserve"> </w:t>
            </w:r>
            <w:r>
              <w:rPr>
                <w:sz w:val="16"/>
              </w:rPr>
              <w:t>our</w:t>
            </w:r>
            <w:r>
              <w:rPr>
                <w:spacing w:val="40"/>
                <w:sz w:val="16"/>
              </w:rPr>
              <w:t xml:space="preserve"> </w:t>
            </w:r>
            <w:r>
              <w:rPr>
                <w:sz w:val="16"/>
              </w:rPr>
              <w:t>communities in a</w:t>
            </w:r>
            <w:r>
              <w:rPr>
                <w:spacing w:val="40"/>
                <w:sz w:val="16"/>
              </w:rPr>
              <w:t xml:space="preserve"> </w:t>
            </w:r>
            <w:r>
              <w:rPr>
                <w:sz w:val="16"/>
              </w:rPr>
              <w:t>socially</w:t>
            </w:r>
            <w:r>
              <w:rPr>
                <w:spacing w:val="-9"/>
                <w:sz w:val="16"/>
              </w:rPr>
              <w:t xml:space="preserve"> </w:t>
            </w:r>
            <w:r>
              <w:rPr>
                <w:sz w:val="16"/>
              </w:rPr>
              <w:t>responsible</w:t>
            </w:r>
            <w:r>
              <w:rPr>
                <w:spacing w:val="-9"/>
                <w:sz w:val="16"/>
              </w:rPr>
              <w:t xml:space="preserve"> </w:t>
            </w:r>
            <w:r>
              <w:rPr>
                <w:sz w:val="16"/>
              </w:rPr>
              <w:t>and</w:t>
            </w:r>
            <w:r>
              <w:rPr>
                <w:spacing w:val="40"/>
                <w:sz w:val="16"/>
              </w:rPr>
              <w:t xml:space="preserve"> </w:t>
            </w:r>
            <w:r>
              <w:rPr>
                <w:spacing w:val="-2"/>
                <w:sz w:val="16"/>
              </w:rPr>
              <w:t>environmentally</w:t>
            </w:r>
            <w:r>
              <w:rPr>
                <w:spacing w:val="40"/>
                <w:sz w:val="16"/>
              </w:rPr>
              <w:t xml:space="preserve"> </w:t>
            </w:r>
            <w:r>
              <w:rPr>
                <w:sz w:val="16"/>
              </w:rPr>
              <w:t>sustainable</w:t>
            </w:r>
            <w:r>
              <w:rPr>
                <w:spacing w:val="-5"/>
                <w:sz w:val="16"/>
              </w:rPr>
              <w:t xml:space="preserve"> </w:t>
            </w:r>
            <w:r>
              <w:rPr>
                <w:sz w:val="16"/>
              </w:rPr>
              <w:t>manner</w:t>
            </w:r>
          </w:p>
        </w:tc>
        <w:tc>
          <w:tcPr>
            <w:tcW w:w="2020" w:type="dxa"/>
            <w:tcBorders>
              <w:right w:val="nil"/>
            </w:tcBorders>
            <w:shd w:val="clear" w:color="auto" w:fill="CCE2ED"/>
          </w:tcPr>
          <w:p w14:paraId="57147172" w14:textId="77777777" w:rsidR="00141B97" w:rsidRDefault="00911D63">
            <w:pPr>
              <w:pStyle w:val="TableParagraph"/>
              <w:spacing w:before="115"/>
              <w:ind w:left="98" w:right="153"/>
              <w:rPr>
                <w:sz w:val="16"/>
              </w:rPr>
            </w:pPr>
            <w:r>
              <w:rPr>
                <w:sz w:val="16"/>
              </w:rPr>
              <w:t>Meet compliance with</w:t>
            </w:r>
            <w:r>
              <w:rPr>
                <w:spacing w:val="40"/>
                <w:sz w:val="16"/>
              </w:rPr>
              <w:t xml:space="preserve"> </w:t>
            </w:r>
            <w:r>
              <w:rPr>
                <w:sz w:val="16"/>
              </w:rPr>
              <w:t>EPA’s 90th percentile</w:t>
            </w:r>
            <w:r>
              <w:rPr>
                <w:spacing w:val="40"/>
                <w:sz w:val="16"/>
              </w:rPr>
              <w:t xml:space="preserve"> </w:t>
            </w:r>
            <w:r>
              <w:rPr>
                <w:sz w:val="16"/>
              </w:rPr>
              <w:t>containment</w:t>
            </w:r>
            <w:r>
              <w:rPr>
                <w:spacing w:val="-5"/>
                <w:sz w:val="16"/>
              </w:rPr>
              <w:t xml:space="preserve"> </w:t>
            </w:r>
            <w:r>
              <w:rPr>
                <w:sz w:val="16"/>
              </w:rPr>
              <w:t>requirement</w:t>
            </w:r>
            <w:r>
              <w:rPr>
                <w:spacing w:val="40"/>
                <w:sz w:val="16"/>
              </w:rPr>
              <w:t xml:space="preserve"> </w:t>
            </w:r>
            <w:r>
              <w:rPr>
                <w:sz w:val="16"/>
              </w:rPr>
              <w:t>and</w:t>
            </w:r>
            <w:r>
              <w:rPr>
                <w:spacing w:val="-5"/>
                <w:sz w:val="16"/>
              </w:rPr>
              <w:t xml:space="preserve"> </w:t>
            </w:r>
            <w:r>
              <w:rPr>
                <w:sz w:val="16"/>
              </w:rPr>
              <w:t>to</w:t>
            </w:r>
            <w:r>
              <w:rPr>
                <w:spacing w:val="-5"/>
                <w:sz w:val="16"/>
              </w:rPr>
              <w:t xml:space="preserve"> </w:t>
            </w:r>
            <w:r>
              <w:rPr>
                <w:sz w:val="16"/>
              </w:rPr>
              <w:t>support</w:t>
            </w:r>
            <w:r>
              <w:rPr>
                <w:spacing w:val="-4"/>
                <w:sz w:val="16"/>
              </w:rPr>
              <w:t xml:space="preserve"> </w:t>
            </w:r>
            <w:r>
              <w:rPr>
                <w:sz w:val="16"/>
              </w:rPr>
              <w:t>growth</w:t>
            </w:r>
            <w:r>
              <w:rPr>
                <w:spacing w:val="-5"/>
                <w:sz w:val="16"/>
              </w:rPr>
              <w:t xml:space="preserve"> </w:t>
            </w:r>
            <w:r>
              <w:rPr>
                <w:sz w:val="16"/>
              </w:rPr>
              <w:t>and</w:t>
            </w:r>
            <w:r>
              <w:rPr>
                <w:spacing w:val="40"/>
                <w:sz w:val="16"/>
              </w:rPr>
              <w:t xml:space="preserve"> </w:t>
            </w:r>
            <w:r>
              <w:rPr>
                <w:sz w:val="16"/>
              </w:rPr>
              <w:t>sustainable</w:t>
            </w:r>
            <w:r>
              <w:rPr>
                <w:spacing w:val="-7"/>
                <w:sz w:val="16"/>
              </w:rPr>
              <w:t xml:space="preserve"> </w:t>
            </w:r>
            <w:r>
              <w:rPr>
                <w:sz w:val="16"/>
              </w:rPr>
              <w:t>environmental</w:t>
            </w:r>
            <w:r>
              <w:rPr>
                <w:spacing w:val="40"/>
                <w:sz w:val="16"/>
              </w:rPr>
              <w:t xml:space="preserve"> </w:t>
            </w:r>
            <w:r>
              <w:rPr>
                <w:spacing w:val="-2"/>
                <w:sz w:val="16"/>
              </w:rPr>
              <w:t>practices.</w:t>
            </w:r>
          </w:p>
        </w:tc>
        <w:tc>
          <w:tcPr>
            <w:tcW w:w="2798" w:type="dxa"/>
            <w:tcBorders>
              <w:left w:val="nil"/>
              <w:right w:val="nil"/>
            </w:tcBorders>
            <w:shd w:val="clear" w:color="auto" w:fill="CCE2ED"/>
          </w:tcPr>
          <w:p w14:paraId="46511461" w14:textId="77777777" w:rsidR="00141B97" w:rsidRDefault="00141B97">
            <w:pPr>
              <w:pStyle w:val="TableParagraph"/>
              <w:rPr>
                <w:sz w:val="16"/>
              </w:rPr>
            </w:pPr>
          </w:p>
          <w:p w14:paraId="2F87B1A5" w14:textId="77777777" w:rsidR="00141B97" w:rsidRDefault="00141B97">
            <w:pPr>
              <w:pStyle w:val="TableParagraph"/>
              <w:rPr>
                <w:sz w:val="16"/>
              </w:rPr>
            </w:pPr>
          </w:p>
          <w:p w14:paraId="03B6C9B5" w14:textId="77777777" w:rsidR="00141B97" w:rsidRDefault="00911D63">
            <w:pPr>
              <w:pStyle w:val="TableParagraph"/>
              <w:spacing w:before="115"/>
              <w:ind w:left="103" w:right="99"/>
              <w:rPr>
                <w:sz w:val="16"/>
              </w:rPr>
            </w:pPr>
            <w:r>
              <w:rPr>
                <w:sz w:val="16"/>
              </w:rPr>
              <w:t>Construction of a 400ML wet weather</w:t>
            </w:r>
            <w:r>
              <w:rPr>
                <w:spacing w:val="40"/>
                <w:sz w:val="16"/>
              </w:rPr>
              <w:t xml:space="preserve"> </w:t>
            </w:r>
            <w:r>
              <w:rPr>
                <w:sz w:val="16"/>
              </w:rPr>
              <w:t>storage</w:t>
            </w:r>
            <w:r>
              <w:rPr>
                <w:spacing w:val="-4"/>
                <w:sz w:val="16"/>
              </w:rPr>
              <w:t xml:space="preserve"> </w:t>
            </w:r>
            <w:r>
              <w:rPr>
                <w:sz w:val="16"/>
              </w:rPr>
              <w:t>lagoon</w:t>
            </w:r>
            <w:r>
              <w:rPr>
                <w:spacing w:val="-6"/>
                <w:sz w:val="16"/>
              </w:rPr>
              <w:t xml:space="preserve"> </w:t>
            </w:r>
            <w:r>
              <w:rPr>
                <w:sz w:val="16"/>
              </w:rPr>
              <w:t>for</w:t>
            </w:r>
            <w:r>
              <w:rPr>
                <w:spacing w:val="-4"/>
                <w:sz w:val="16"/>
              </w:rPr>
              <w:t xml:space="preserve"> </w:t>
            </w:r>
            <w:r>
              <w:rPr>
                <w:sz w:val="16"/>
              </w:rPr>
              <w:t>the</w:t>
            </w:r>
            <w:r>
              <w:rPr>
                <w:spacing w:val="-5"/>
                <w:sz w:val="16"/>
              </w:rPr>
              <w:t xml:space="preserve"> </w:t>
            </w:r>
            <w:r>
              <w:rPr>
                <w:sz w:val="16"/>
              </w:rPr>
              <w:t>Koorlong</w:t>
            </w:r>
            <w:r>
              <w:rPr>
                <w:spacing w:val="-5"/>
                <w:sz w:val="16"/>
              </w:rPr>
              <w:t xml:space="preserve"> </w:t>
            </w:r>
            <w:r>
              <w:rPr>
                <w:sz w:val="16"/>
              </w:rPr>
              <w:t>WWTP.</w:t>
            </w:r>
          </w:p>
        </w:tc>
        <w:tc>
          <w:tcPr>
            <w:tcW w:w="3564" w:type="dxa"/>
            <w:tcBorders>
              <w:left w:val="nil"/>
              <w:right w:val="nil"/>
            </w:tcBorders>
            <w:shd w:val="clear" w:color="auto" w:fill="CCE2ED"/>
          </w:tcPr>
          <w:p w14:paraId="1664D22A" w14:textId="77777777" w:rsidR="00141B97" w:rsidRDefault="00141B97">
            <w:pPr>
              <w:pStyle w:val="TableParagraph"/>
              <w:rPr>
                <w:sz w:val="16"/>
              </w:rPr>
            </w:pPr>
          </w:p>
          <w:p w14:paraId="34DF4B95" w14:textId="77777777" w:rsidR="00141B97" w:rsidRDefault="00911D63">
            <w:pPr>
              <w:pStyle w:val="TableParagraph"/>
              <w:spacing w:before="115"/>
              <w:ind w:left="105" w:right="152"/>
              <w:rPr>
                <w:sz w:val="16"/>
              </w:rPr>
            </w:pPr>
            <w:r>
              <w:rPr>
                <w:sz w:val="16"/>
              </w:rPr>
              <w:t>A water balance assessment showed that the</w:t>
            </w:r>
            <w:r>
              <w:rPr>
                <w:spacing w:val="40"/>
                <w:sz w:val="16"/>
              </w:rPr>
              <w:t xml:space="preserve"> </w:t>
            </w:r>
            <w:r>
              <w:rPr>
                <w:sz w:val="16"/>
              </w:rPr>
              <w:t>existing</w:t>
            </w:r>
            <w:r>
              <w:rPr>
                <w:spacing w:val="-4"/>
                <w:sz w:val="16"/>
              </w:rPr>
              <w:t xml:space="preserve"> </w:t>
            </w:r>
            <w:r>
              <w:rPr>
                <w:sz w:val="16"/>
              </w:rPr>
              <w:t>storages</w:t>
            </w:r>
            <w:r>
              <w:rPr>
                <w:spacing w:val="-3"/>
                <w:sz w:val="16"/>
              </w:rPr>
              <w:t xml:space="preserve"> </w:t>
            </w:r>
            <w:r>
              <w:rPr>
                <w:sz w:val="16"/>
              </w:rPr>
              <w:t>will</w:t>
            </w:r>
            <w:r>
              <w:rPr>
                <w:spacing w:val="-3"/>
                <w:sz w:val="16"/>
              </w:rPr>
              <w:t xml:space="preserve"> </w:t>
            </w:r>
            <w:r>
              <w:rPr>
                <w:sz w:val="16"/>
              </w:rPr>
              <w:t>be</w:t>
            </w:r>
            <w:r>
              <w:rPr>
                <w:spacing w:val="-3"/>
                <w:sz w:val="16"/>
              </w:rPr>
              <w:t xml:space="preserve"> </w:t>
            </w:r>
            <w:r>
              <w:rPr>
                <w:sz w:val="16"/>
              </w:rPr>
              <w:t>inadequate</w:t>
            </w:r>
            <w:r>
              <w:rPr>
                <w:spacing w:val="-4"/>
                <w:sz w:val="16"/>
              </w:rPr>
              <w:t xml:space="preserve"> </w:t>
            </w:r>
            <w:r>
              <w:rPr>
                <w:sz w:val="16"/>
              </w:rPr>
              <w:t>to</w:t>
            </w:r>
            <w:r>
              <w:rPr>
                <w:spacing w:val="-4"/>
                <w:sz w:val="16"/>
              </w:rPr>
              <w:t xml:space="preserve"> </w:t>
            </w:r>
            <w:r>
              <w:rPr>
                <w:sz w:val="16"/>
              </w:rPr>
              <w:t>manage</w:t>
            </w:r>
            <w:r>
              <w:rPr>
                <w:spacing w:val="-3"/>
                <w:sz w:val="16"/>
              </w:rPr>
              <w:t xml:space="preserve"> </w:t>
            </w:r>
            <w:r>
              <w:rPr>
                <w:sz w:val="16"/>
              </w:rPr>
              <w:t>the</w:t>
            </w:r>
            <w:r>
              <w:rPr>
                <w:spacing w:val="40"/>
                <w:sz w:val="16"/>
              </w:rPr>
              <w:t xml:space="preserve"> </w:t>
            </w:r>
            <w:r>
              <w:rPr>
                <w:sz w:val="16"/>
              </w:rPr>
              <w:t>future inflows and meet the 90th percentile</w:t>
            </w:r>
            <w:r>
              <w:rPr>
                <w:spacing w:val="40"/>
                <w:sz w:val="16"/>
              </w:rPr>
              <w:t xml:space="preserve"> </w:t>
            </w:r>
            <w:r>
              <w:rPr>
                <w:sz w:val="16"/>
              </w:rPr>
              <w:t>containment</w:t>
            </w:r>
            <w:r>
              <w:rPr>
                <w:spacing w:val="-5"/>
                <w:sz w:val="16"/>
              </w:rPr>
              <w:t xml:space="preserve"> </w:t>
            </w:r>
            <w:r>
              <w:rPr>
                <w:sz w:val="16"/>
              </w:rPr>
              <w:t>requirement.</w:t>
            </w:r>
          </w:p>
        </w:tc>
      </w:tr>
      <w:tr w:rsidR="00141B97" w14:paraId="123BF4A4" w14:textId="77777777">
        <w:trPr>
          <w:trHeight w:val="1826"/>
          <w:tblCellSpacing w:w="7" w:type="dxa"/>
        </w:trPr>
        <w:tc>
          <w:tcPr>
            <w:tcW w:w="596" w:type="dxa"/>
            <w:tcBorders>
              <w:left w:val="nil"/>
              <w:right w:val="nil"/>
            </w:tcBorders>
            <w:shd w:val="clear" w:color="auto" w:fill="CCE2ED"/>
          </w:tcPr>
          <w:p w14:paraId="008F2C55" w14:textId="77777777" w:rsidR="00141B97" w:rsidRDefault="00141B97">
            <w:pPr>
              <w:pStyle w:val="TableParagraph"/>
              <w:rPr>
                <w:sz w:val="16"/>
              </w:rPr>
            </w:pPr>
          </w:p>
          <w:p w14:paraId="0FA46F0E" w14:textId="77777777" w:rsidR="00141B97" w:rsidRDefault="00141B97">
            <w:pPr>
              <w:pStyle w:val="TableParagraph"/>
              <w:rPr>
                <w:sz w:val="16"/>
              </w:rPr>
            </w:pPr>
          </w:p>
          <w:p w14:paraId="32452C14" w14:textId="77777777" w:rsidR="00141B97" w:rsidRDefault="00141B97">
            <w:pPr>
              <w:pStyle w:val="TableParagraph"/>
              <w:rPr>
                <w:sz w:val="16"/>
              </w:rPr>
            </w:pPr>
          </w:p>
          <w:p w14:paraId="22B8BEE4" w14:textId="77777777" w:rsidR="00141B97" w:rsidRDefault="00141B97">
            <w:pPr>
              <w:pStyle w:val="TableParagraph"/>
              <w:spacing w:before="10"/>
              <w:rPr>
                <w:sz w:val="18"/>
              </w:rPr>
            </w:pPr>
          </w:p>
          <w:p w14:paraId="247FF4D4" w14:textId="77777777" w:rsidR="00141B97" w:rsidRDefault="00911D63">
            <w:pPr>
              <w:pStyle w:val="TableParagraph"/>
              <w:ind w:left="98"/>
              <w:rPr>
                <w:sz w:val="16"/>
              </w:rPr>
            </w:pPr>
            <w:r>
              <w:rPr>
                <w:w w:val="99"/>
                <w:sz w:val="16"/>
              </w:rPr>
              <w:t>7</w:t>
            </w:r>
          </w:p>
        </w:tc>
        <w:tc>
          <w:tcPr>
            <w:tcW w:w="1535" w:type="dxa"/>
            <w:tcBorders>
              <w:left w:val="nil"/>
              <w:right w:val="nil"/>
            </w:tcBorders>
            <w:shd w:val="clear" w:color="auto" w:fill="CCE2ED"/>
          </w:tcPr>
          <w:p w14:paraId="5BE0297D" w14:textId="77777777" w:rsidR="00141B97" w:rsidRDefault="00141B97">
            <w:pPr>
              <w:pStyle w:val="TableParagraph"/>
              <w:rPr>
                <w:sz w:val="16"/>
              </w:rPr>
            </w:pPr>
          </w:p>
          <w:p w14:paraId="41A49902" w14:textId="77777777" w:rsidR="00141B97" w:rsidRDefault="00141B97">
            <w:pPr>
              <w:pStyle w:val="TableParagraph"/>
              <w:rPr>
                <w:sz w:val="16"/>
              </w:rPr>
            </w:pPr>
          </w:p>
          <w:p w14:paraId="628EB5CB" w14:textId="77777777" w:rsidR="00141B97" w:rsidRDefault="00141B97">
            <w:pPr>
              <w:pStyle w:val="TableParagraph"/>
              <w:spacing w:before="9"/>
              <w:rPr>
                <w:sz w:val="18"/>
              </w:rPr>
            </w:pPr>
          </w:p>
          <w:p w14:paraId="17E1254F" w14:textId="77777777" w:rsidR="00141B97" w:rsidRDefault="00911D63">
            <w:pPr>
              <w:pStyle w:val="TableParagraph"/>
              <w:ind w:left="105" w:right="88"/>
              <w:rPr>
                <w:sz w:val="16"/>
              </w:rPr>
            </w:pPr>
            <w:r>
              <w:rPr>
                <w:sz w:val="16"/>
              </w:rPr>
              <w:t>Koorlong</w:t>
            </w:r>
            <w:r>
              <w:rPr>
                <w:spacing w:val="-10"/>
                <w:sz w:val="16"/>
              </w:rPr>
              <w:t xml:space="preserve"> </w:t>
            </w:r>
            <w:r>
              <w:rPr>
                <w:sz w:val="16"/>
              </w:rPr>
              <w:t>Sewer</w:t>
            </w:r>
            <w:r>
              <w:rPr>
                <w:spacing w:val="40"/>
                <w:sz w:val="16"/>
              </w:rPr>
              <w:t xml:space="preserve"> </w:t>
            </w:r>
            <w:r>
              <w:rPr>
                <w:sz w:val="16"/>
              </w:rPr>
              <w:t>Rising</w:t>
            </w:r>
            <w:r>
              <w:rPr>
                <w:spacing w:val="-5"/>
                <w:sz w:val="16"/>
              </w:rPr>
              <w:t xml:space="preserve"> </w:t>
            </w:r>
            <w:r>
              <w:rPr>
                <w:sz w:val="16"/>
              </w:rPr>
              <w:t>Main</w:t>
            </w:r>
            <w:r>
              <w:rPr>
                <w:spacing w:val="40"/>
                <w:sz w:val="16"/>
              </w:rPr>
              <w:t xml:space="preserve"> </w:t>
            </w:r>
            <w:r>
              <w:rPr>
                <w:spacing w:val="-2"/>
                <w:sz w:val="16"/>
              </w:rPr>
              <w:t>Duplication</w:t>
            </w:r>
          </w:p>
        </w:tc>
        <w:tc>
          <w:tcPr>
            <w:tcW w:w="1063" w:type="dxa"/>
            <w:tcBorders>
              <w:left w:val="nil"/>
              <w:right w:val="nil"/>
            </w:tcBorders>
            <w:shd w:val="clear" w:color="auto" w:fill="CCE2ED"/>
          </w:tcPr>
          <w:p w14:paraId="33610524" w14:textId="77777777" w:rsidR="00141B97" w:rsidRDefault="00141B97">
            <w:pPr>
              <w:pStyle w:val="TableParagraph"/>
              <w:rPr>
                <w:sz w:val="16"/>
              </w:rPr>
            </w:pPr>
          </w:p>
          <w:p w14:paraId="2C0F0DD2" w14:textId="77777777" w:rsidR="00141B97" w:rsidRDefault="00141B97">
            <w:pPr>
              <w:pStyle w:val="TableParagraph"/>
              <w:rPr>
                <w:sz w:val="16"/>
              </w:rPr>
            </w:pPr>
          </w:p>
          <w:p w14:paraId="5891FFAA" w14:textId="77777777" w:rsidR="00141B97" w:rsidRDefault="00141B97">
            <w:pPr>
              <w:pStyle w:val="TableParagraph"/>
              <w:rPr>
                <w:sz w:val="16"/>
              </w:rPr>
            </w:pPr>
          </w:p>
          <w:p w14:paraId="7409F672" w14:textId="77777777" w:rsidR="00141B97" w:rsidRDefault="00141B97">
            <w:pPr>
              <w:pStyle w:val="TableParagraph"/>
              <w:spacing w:before="10"/>
              <w:rPr>
                <w:sz w:val="18"/>
              </w:rPr>
            </w:pPr>
          </w:p>
          <w:p w14:paraId="3D405D83" w14:textId="77777777" w:rsidR="00141B97" w:rsidRDefault="00911D63">
            <w:pPr>
              <w:pStyle w:val="TableParagraph"/>
              <w:ind w:right="93"/>
              <w:jc w:val="right"/>
              <w:rPr>
                <w:sz w:val="16"/>
              </w:rPr>
            </w:pPr>
            <w:r>
              <w:rPr>
                <w:spacing w:val="-4"/>
                <w:sz w:val="16"/>
              </w:rPr>
              <w:t>1.50</w:t>
            </w:r>
          </w:p>
        </w:tc>
        <w:tc>
          <w:tcPr>
            <w:tcW w:w="994" w:type="dxa"/>
            <w:tcBorders>
              <w:left w:val="nil"/>
              <w:right w:val="nil"/>
            </w:tcBorders>
            <w:shd w:val="clear" w:color="auto" w:fill="CCE2ED"/>
          </w:tcPr>
          <w:p w14:paraId="69504C38" w14:textId="77777777" w:rsidR="00141B97" w:rsidRDefault="00141B97">
            <w:pPr>
              <w:pStyle w:val="TableParagraph"/>
              <w:rPr>
                <w:sz w:val="16"/>
              </w:rPr>
            </w:pPr>
          </w:p>
          <w:p w14:paraId="4888F42F" w14:textId="77777777" w:rsidR="00141B97" w:rsidRDefault="00141B97">
            <w:pPr>
              <w:pStyle w:val="TableParagraph"/>
              <w:rPr>
                <w:sz w:val="16"/>
              </w:rPr>
            </w:pPr>
          </w:p>
          <w:p w14:paraId="490C81DF" w14:textId="77777777" w:rsidR="00141B97" w:rsidRDefault="00141B97">
            <w:pPr>
              <w:pStyle w:val="TableParagraph"/>
              <w:rPr>
                <w:sz w:val="16"/>
              </w:rPr>
            </w:pPr>
          </w:p>
          <w:p w14:paraId="7FDF16D5" w14:textId="77777777" w:rsidR="00141B97" w:rsidRDefault="00911D63">
            <w:pPr>
              <w:pStyle w:val="TableParagraph"/>
              <w:spacing w:before="132"/>
              <w:ind w:left="166" w:firstLine="132"/>
              <w:rPr>
                <w:sz w:val="16"/>
              </w:rPr>
            </w:pPr>
            <w:r>
              <w:rPr>
                <w:spacing w:val="-2"/>
                <w:sz w:val="16"/>
              </w:rPr>
              <w:t>Urban</w:t>
            </w:r>
            <w:r>
              <w:rPr>
                <w:spacing w:val="40"/>
                <w:sz w:val="16"/>
              </w:rPr>
              <w:t xml:space="preserve"> </w:t>
            </w:r>
            <w:r>
              <w:rPr>
                <w:spacing w:val="-2"/>
                <w:sz w:val="16"/>
              </w:rPr>
              <w:t>Sewerage</w:t>
            </w:r>
          </w:p>
        </w:tc>
        <w:tc>
          <w:tcPr>
            <w:tcW w:w="1338" w:type="dxa"/>
            <w:tcBorders>
              <w:left w:val="nil"/>
            </w:tcBorders>
            <w:shd w:val="clear" w:color="auto" w:fill="CCE2ED"/>
          </w:tcPr>
          <w:p w14:paraId="2C7BECE1" w14:textId="77777777" w:rsidR="00141B97" w:rsidRDefault="00141B97">
            <w:pPr>
              <w:pStyle w:val="TableParagraph"/>
              <w:rPr>
                <w:sz w:val="16"/>
              </w:rPr>
            </w:pPr>
          </w:p>
          <w:p w14:paraId="293B4530" w14:textId="77777777" w:rsidR="00141B97" w:rsidRDefault="00141B97">
            <w:pPr>
              <w:pStyle w:val="TableParagraph"/>
              <w:rPr>
                <w:sz w:val="16"/>
              </w:rPr>
            </w:pPr>
          </w:p>
          <w:p w14:paraId="61DA06EC" w14:textId="77777777" w:rsidR="00141B97" w:rsidRDefault="00141B97">
            <w:pPr>
              <w:pStyle w:val="TableParagraph"/>
              <w:rPr>
                <w:sz w:val="16"/>
              </w:rPr>
            </w:pPr>
          </w:p>
          <w:p w14:paraId="04486654" w14:textId="77777777" w:rsidR="00141B97" w:rsidRDefault="00141B97">
            <w:pPr>
              <w:pStyle w:val="TableParagraph"/>
              <w:spacing w:before="10"/>
              <w:rPr>
                <w:sz w:val="18"/>
              </w:rPr>
            </w:pPr>
          </w:p>
          <w:p w14:paraId="688A48C7" w14:textId="77777777" w:rsidR="00141B97" w:rsidRDefault="00911D63">
            <w:pPr>
              <w:pStyle w:val="TableParagraph"/>
              <w:ind w:left="149" w:right="179"/>
              <w:jc w:val="center"/>
              <w:rPr>
                <w:sz w:val="16"/>
              </w:rPr>
            </w:pPr>
            <w:r>
              <w:rPr>
                <w:spacing w:val="-2"/>
                <w:sz w:val="16"/>
              </w:rPr>
              <w:t>Growth</w:t>
            </w:r>
          </w:p>
        </w:tc>
        <w:tc>
          <w:tcPr>
            <w:tcW w:w="1769" w:type="dxa"/>
            <w:shd w:val="clear" w:color="auto" w:fill="CCE2ED"/>
          </w:tcPr>
          <w:p w14:paraId="1C16F733" w14:textId="77777777" w:rsidR="00141B97" w:rsidRDefault="00141B97">
            <w:pPr>
              <w:pStyle w:val="TableParagraph"/>
              <w:rPr>
                <w:sz w:val="16"/>
              </w:rPr>
            </w:pPr>
          </w:p>
          <w:p w14:paraId="38163180" w14:textId="77777777" w:rsidR="00141B97" w:rsidRDefault="00141B97">
            <w:pPr>
              <w:pStyle w:val="TableParagraph"/>
              <w:rPr>
                <w:sz w:val="16"/>
              </w:rPr>
            </w:pPr>
          </w:p>
          <w:p w14:paraId="4675CA66" w14:textId="77777777" w:rsidR="00141B97" w:rsidRDefault="00141B97">
            <w:pPr>
              <w:pStyle w:val="TableParagraph"/>
              <w:spacing w:before="9"/>
              <w:rPr>
                <w:sz w:val="18"/>
              </w:rPr>
            </w:pPr>
          </w:p>
          <w:p w14:paraId="2FE28F29" w14:textId="77777777" w:rsidR="00141B97" w:rsidRDefault="00911D63">
            <w:pPr>
              <w:pStyle w:val="TableParagraph"/>
              <w:ind w:left="97" w:right="129"/>
              <w:rPr>
                <w:sz w:val="16"/>
              </w:rPr>
            </w:pPr>
            <w:r>
              <w:rPr>
                <w:sz w:val="16"/>
              </w:rPr>
              <w:t>Provide</w:t>
            </w:r>
            <w:r>
              <w:rPr>
                <w:spacing w:val="-10"/>
                <w:sz w:val="16"/>
              </w:rPr>
              <w:t xml:space="preserve"> </w:t>
            </w:r>
            <w:r>
              <w:rPr>
                <w:sz w:val="16"/>
              </w:rPr>
              <w:t>customers</w:t>
            </w:r>
            <w:r>
              <w:rPr>
                <w:spacing w:val="40"/>
                <w:sz w:val="16"/>
              </w:rPr>
              <w:t xml:space="preserve"> </w:t>
            </w:r>
            <w:r>
              <w:rPr>
                <w:sz w:val="16"/>
              </w:rPr>
              <w:t>reliable</w:t>
            </w:r>
            <w:r>
              <w:rPr>
                <w:spacing w:val="-3"/>
                <w:sz w:val="16"/>
              </w:rPr>
              <w:t xml:space="preserve"> </w:t>
            </w:r>
            <w:r>
              <w:rPr>
                <w:sz w:val="16"/>
              </w:rPr>
              <w:t>sewerage</w:t>
            </w:r>
            <w:r>
              <w:rPr>
                <w:spacing w:val="40"/>
                <w:sz w:val="16"/>
              </w:rPr>
              <w:t xml:space="preserve"> </w:t>
            </w:r>
            <w:r>
              <w:rPr>
                <w:spacing w:val="-2"/>
                <w:sz w:val="16"/>
              </w:rPr>
              <w:t>services.</w:t>
            </w:r>
          </w:p>
        </w:tc>
        <w:tc>
          <w:tcPr>
            <w:tcW w:w="2020" w:type="dxa"/>
            <w:tcBorders>
              <w:right w:val="nil"/>
            </w:tcBorders>
            <w:shd w:val="clear" w:color="auto" w:fill="CCE2ED"/>
          </w:tcPr>
          <w:p w14:paraId="219AE526" w14:textId="77777777" w:rsidR="00141B97" w:rsidRDefault="00141B97">
            <w:pPr>
              <w:pStyle w:val="TableParagraph"/>
              <w:rPr>
                <w:sz w:val="16"/>
              </w:rPr>
            </w:pPr>
          </w:p>
          <w:p w14:paraId="4E55A0B2" w14:textId="77777777" w:rsidR="00141B97" w:rsidRDefault="00141B97">
            <w:pPr>
              <w:pStyle w:val="TableParagraph"/>
              <w:spacing w:before="10"/>
              <w:rPr>
                <w:sz w:val="18"/>
              </w:rPr>
            </w:pPr>
          </w:p>
          <w:p w14:paraId="4602A7DA" w14:textId="77777777" w:rsidR="00141B97" w:rsidRDefault="00911D63">
            <w:pPr>
              <w:pStyle w:val="TableParagraph"/>
              <w:ind w:left="98" w:right="153"/>
              <w:rPr>
                <w:sz w:val="16"/>
              </w:rPr>
            </w:pPr>
            <w:r>
              <w:rPr>
                <w:sz w:val="16"/>
              </w:rPr>
              <w:t>Maintain agreed level of</w:t>
            </w:r>
            <w:r>
              <w:rPr>
                <w:spacing w:val="40"/>
                <w:sz w:val="16"/>
              </w:rPr>
              <w:t xml:space="preserve"> </w:t>
            </w:r>
            <w:r>
              <w:rPr>
                <w:sz w:val="16"/>
              </w:rPr>
              <w:t>service standards by</w:t>
            </w:r>
            <w:r>
              <w:rPr>
                <w:spacing w:val="40"/>
                <w:sz w:val="16"/>
              </w:rPr>
              <w:t xml:space="preserve"> </w:t>
            </w:r>
            <w:r>
              <w:rPr>
                <w:sz w:val="16"/>
              </w:rPr>
              <w:t>reducing</w:t>
            </w:r>
            <w:r>
              <w:rPr>
                <w:spacing w:val="-7"/>
                <w:sz w:val="16"/>
              </w:rPr>
              <w:t xml:space="preserve"> </w:t>
            </w:r>
            <w:r>
              <w:rPr>
                <w:sz w:val="16"/>
              </w:rPr>
              <w:t>the</w:t>
            </w:r>
            <w:r>
              <w:rPr>
                <w:spacing w:val="-6"/>
                <w:sz w:val="16"/>
              </w:rPr>
              <w:t xml:space="preserve"> </w:t>
            </w:r>
            <w:r>
              <w:rPr>
                <w:sz w:val="16"/>
              </w:rPr>
              <w:t>frequency</w:t>
            </w:r>
            <w:r>
              <w:rPr>
                <w:spacing w:val="-6"/>
                <w:sz w:val="16"/>
              </w:rPr>
              <w:t xml:space="preserve"> </w:t>
            </w:r>
            <w:r>
              <w:rPr>
                <w:sz w:val="16"/>
              </w:rPr>
              <w:t>of</w:t>
            </w:r>
            <w:r>
              <w:rPr>
                <w:spacing w:val="40"/>
                <w:sz w:val="16"/>
              </w:rPr>
              <w:t xml:space="preserve"> </w:t>
            </w:r>
            <w:r>
              <w:rPr>
                <w:sz w:val="16"/>
              </w:rPr>
              <w:t>spills to mandated levels</w:t>
            </w:r>
            <w:r>
              <w:rPr>
                <w:spacing w:val="40"/>
                <w:sz w:val="16"/>
              </w:rPr>
              <w:t xml:space="preserve"> </w:t>
            </w:r>
            <w:r>
              <w:rPr>
                <w:sz w:val="16"/>
              </w:rPr>
              <w:t>and to cater for growth.</w:t>
            </w:r>
          </w:p>
        </w:tc>
        <w:tc>
          <w:tcPr>
            <w:tcW w:w="2798" w:type="dxa"/>
            <w:tcBorders>
              <w:left w:val="nil"/>
              <w:right w:val="nil"/>
            </w:tcBorders>
            <w:shd w:val="clear" w:color="auto" w:fill="CCE2ED"/>
          </w:tcPr>
          <w:p w14:paraId="6EEE3234" w14:textId="77777777" w:rsidR="00141B97" w:rsidRDefault="00141B97">
            <w:pPr>
              <w:pStyle w:val="TableParagraph"/>
              <w:spacing w:before="10"/>
              <w:rPr>
                <w:sz w:val="18"/>
              </w:rPr>
            </w:pPr>
          </w:p>
          <w:p w14:paraId="4308F731" w14:textId="77777777" w:rsidR="00141B97" w:rsidRDefault="00911D63">
            <w:pPr>
              <w:pStyle w:val="TableParagraph"/>
              <w:ind w:left="103" w:right="99"/>
              <w:rPr>
                <w:sz w:val="16"/>
              </w:rPr>
            </w:pPr>
            <w:r>
              <w:rPr>
                <w:sz w:val="16"/>
              </w:rPr>
              <w:t>Enhance capacity of the trunk rising</w:t>
            </w:r>
            <w:r>
              <w:rPr>
                <w:spacing w:val="40"/>
                <w:sz w:val="16"/>
              </w:rPr>
              <w:t xml:space="preserve"> </w:t>
            </w:r>
            <w:r>
              <w:rPr>
                <w:sz w:val="16"/>
              </w:rPr>
              <w:t>main</w:t>
            </w:r>
            <w:r>
              <w:rPr>
                <w:spacing w:val="-4"/>
                <w:sz w:val="16"/>
              </w:rPr>
              <w:t xml:space="preserve"> </w:t>
            </w:r>
            <w:r>
              <w:rPr>
                <w:sz w:val="16"/>
              </w:rPr>
              <w:t>that</w:t>
            </w:r>
            <w:r>
              <w:rPr>
                <w:spacing w:val="-5"/>
                <w:sz w:val="16"/>
              </w:rPr>
              <w:t xml:space="preserve"> </w:t>
            </w:r>
            <w:r>
              <w:rPr>
                <w:sz w:val="16"/>
              </w:rPr>
              <w:t>transfer</w:t>
            </w:r>
            <w:r>
              <w:rPr>
                <w:spacing w:val="-4"/>
                <w:sz w:val="16"/>
              </w:rPr>
              <w:t xml:space="preserve"> </w:t>
            </w:r>
            <w:r>
              <w:rPr>
                <w:sz w:val="16"/>
              </w:rPr>
              <w:t>wastewater</w:t>
            </w:r>
            <w:r>
              <w:rPr>
                <w:spacing w:val="-5"/>
                <w:sz w:val="16"/>
              </w:rPr>
              <w:t xml:space="preserve"> </w:t>
            </w:r>
            <w:r>
              <w:rPr>
                <w:sz w:val="16"/>
              </w:rPr>
              <w:t>from</w:t>
            </w:r>
            <w:r>
              <w:rPr>
                <w:spacing w:val="-5"/>
                <w:sz w:val="16"/>
              </w:rPr>
              <w:t xml:space="preserve"> </w:t>
            </w:r>
            <w:r>
              <w:rPr>
                <w:sz w:val="16"/>
              </w:rPr>
              <w:t>the</w:t>
            </w:r>
            <w:r>
              <w:rPr>
                <w:spacing w:val="40"/>
                <w:sz w:val="16"/>
              </w:rPr>
              <w:t xml:space="preserve"> </w:t>
            </w:r>
            <w:r>
              <w:rPr>
                <w:sz w:val="16"/>
              </w:rPr>
              <w:t>booster</w:t>
            </w:r>
            <w:r>
              <w:rPr>
                <w:spacing w:val="-1"/>
                <w:sz w:val="16"/>
              </w:rPr>
              <w:t xml:space="preserve"> </w:t>
            </w:r>
            <w:r>
              <w:rPr>
                <w:sz w:val="16"/>
              </w:rPr>
              <w:t>pump station</w:t>
            </w:r>
            <w:r>
              <w:rPr>
                <w:spacing w:val="-1"/>
                <w:sz w:val="16"/>
              </w:rPr>
              <w:t xml:space="preserve"> </w:t>
            </w:r>
            <w:r>
              <w:rPr>
                <w:sz w:val="16"/>
              </w:rPr>
              <w:t>at Dow Ave up</w:t>
            </w:r>
            <w:r>
              <w:rPr>
                <w:spacing w:val="-1"/>
                <w:sz w:val="16"/>
              </w:rPr>
              <w:t xml:space="preserve"> </w:t>
            </w:r>
            <w:r>
              <w:rPr>
                <w:sz w:val="16"/>
              </w:rPr>
              <w:t>to</w:t>
            </w:r>
            <w:r>
              <w:rPr>
                <w:spacing w:val="40"/>
                <w:sz w:val="16"/>
              </w:rPr>
              <w:t xml:space="preserve"> </w:t>
            </w:r>
            <w:r>
              <w:rPr>
                <w:sz w:val="16"/>
              </w:rPr>
              <w:t>the Koorlong WWTP by duplication of</w:t>
            </w:r>
            <w:r>
              <w:rPr>
                <w:spacing w:val="40"/>
                <w:sz w:val="16"/>
              </w:rPr>
              <w:t xml:space="preserve"> </w:t>
            </w:r>
            <w:r>
              <w:rPr>
                <w:sz w:val="16"/>
              </w:rPr>
              <w:t>Approx. 11km of DN450 main. The</w:t>
            </w:r>
            <w:r>
              <w:rPr>
                <w:spacing w:val="40"/>
                <w:sz w:val="16"/>
              </w:rPr>
              <w:t xml:space="preserve"> </w:t>
            </w:r>
            <w:r>
              <w:rPr>
                <w:sz w:val="16"/>
              </w:rPr>
              <w:t>planning and design of the rising main</w:t>
            </w:r>
            <w:r>
              <w:rPr>
                <w:spacing w:val="40"/>
                <w:sz w:val="16"/>
              </w:rPr>
              <w:t xml:space="preserve"> </w:t>
            </w:r>
            <w:r>
              <w:rPr>
                <w:sz w:val="16"/>
              </w:rPr>
              <w:t>will be undertaken in PS5 as Stage 1.</w:t>
            </w:r>
          </w:p>
        </w:tc>
        <w:tc>
          <w:tcPr>
            <w:tcW w:w="3564" w:type="dxa"/>
            <w:tcBorders>
              <w:left w:val="nil"/>
              <w:right w:val="nil"/>
            </w:tcBorders>
            <w:shd w:val="clear" w:color="auto" w:fill="CCE2ED"/>
          </w:tcPr>
          <w:p w14:paraId="49FFE7D8" w14:textId="77777777" w:rsidR="00141B97" w:rsidRDefault="00911D63">
            <w:pPr>
              <w:pStyle w:val="TableParagraph"/>
              <w:spacing w:before="131"/>
              <w:ind w:left="105" w:right="152"/>
              <w:rPr>
                <w:sz w:val="16"/>
              </w:rPr>
            </w:pPr>
            <w:r>
              <w:rPr>
                <w:sz w:val="16"/>
              </w:rPr>
              <w:t>The</w:t>
            </w:r>
            <w:r>
              <w:rPr>
                <w:spacing w:val="-4"/>
                <w:sz w:val="16"/>
              </w:rPr>
              <w:t xml:space="preserve"> </w:t>
            </w:r>
            <w:r>
              <w:rPr>
                <w:sz w:val="16"/>
              </w:rPr>
              <w:t>existing</w:t>
            </w:r>
            <w:r>
              <w:rPr>
                <w:spacing w:val="-3"/>
                <w:sz w:val="16"/>
              </w:rPr>
              <w:t xml:space="preserve"> </w:t>
            </w:r>
            <w:r>
              <w:rPr>
                <w:sz w:val="16"/>
              </w:rPr>
              <w:t>rising</w:t>
            </w:r>
            <w:r>
              <w:rPr>
                <w:spacing w:val="-4"/>
                <w:sz w:val="16"/>
              </w:rPr>
              <w:t xml:space="preserve"> </w:t>
            </w:r>
            <w:r>
              <w:rPr>
                <w:sz w:val="16"/>
              </w:rPr>
              <w:t>main</w:t>
            </w:r>
            <w:r>
              <w:rPr>
                <w:spacing w:val="-4"/>
                <w:sz w:val="16"/>
              </w:rPr>
              <w:t xml:space="preserve"> </w:t>
            </w:r>
            <w:r>
              <w:rPr>
                <w:sz w:val="16"/>
              </w:rPr>
              <w:t>capacity</w:t>
            </w:r>
            <w:r>
              <w:rPr>
                <w:spacing w:val="-4"/>
                <w:sz w:val="16"/>
              </w:rPr>
              <w:t xml:space="preserve"> </w:t>
            </w:r>
            <w:r>
              <w:rPr>
                <w:sz w:val="16"/>
              </w:rPr>
              <w:t>will</w:t>
            </w:r>
            <w:r>
              <w:rPr>
                <w:spacing w:val="-4"/>
                <w:sz w:val="16"/>
              </w:rPr>
              <w:t xml:space="preserve"> </w:t>
            </w:r>
            <w:r>
              <w:rPr>
                <w:sz w:val="16"/>
              </w:rPr>
              <w:t>be</w:t>
            </w:r>
            <w:r>
              <w:rPr>
                <w:spacing w:val="-4"/>
                <w:sz w:val="16"/>
              </w:rPr>
              <w:t xml:space="preserve"> </w:t>
            </w:r>
            <w:r>
              <w:rPr>
                <w:sz w:val="16"/>
              </w:rPr>
              <w:t>inadequate</w:t>
            </w:r>
            <w:r>
              <w:rPr>
                <w:spacing w:val="40"/>
                <w:sz w:val="16"/>
              </w:rPr>
              <w:t xml:space="preserve"> </w:t>
            </w:r>
            <w:r>
              <w:rPr>
                <w:sz w:val="16"/>
              </w:rPr>
              <w:t>to cater for the projected growth and the</w:t>
            </w:r>
            <w:r>
              <w:rPr>
                <w:spacing w:val="40"/>
                <w:sz w:val="16"/>
              </w:rPr>
              <w:t xml:space="preserve"> </w:t>
            </w:r>
            <w:r>
              <w:rPr>
                <w:sz w:val="16"/>
              </w:rPr>
              <w:t>anticipated additional flows from Merbein.</w:t>
            </w:r>
          </w:p>
          <w:p w14:paraId="796E2986" w14:textId="77777777" w:rsidR="00141B97" w:rsidRDefault="00911D63">
            <w:pPr>
              <w:pStyle w:val="TableParagraph"/>
              <w:spacing w:before="1"/>
              <w:ind w:left="105" w:right="152"/>
              <w:rPr>
                <w:sz w:val="16"/>
              </w:rPr>
            </w:pPr>
            <w:r>
              <w:rPr>
                <w:sz w:val="16"/>
              </w:rPr>
              <w:t>Therefore, the capacity needs to be increased to</w:t>
            </w:r>
            <w:r>
              <w:rPr>
                <w:spacing w:val="40"/>
                <w:sz w:val="16"/>
              </w:rPr>
              <w:t xml:space="preserve"> </w:t>
            </w:r>
            <w:r>
              <w:rPr>
                <w:sz w:val="16"/>
              </w:rPr>
              <w:t>avoid spills and reduce risk of spills (i.e., reduction</w:t>
            </w:r>
            <w:r>
              <w:rPr>
                <w:spacing w:val="40"/>
                <w:sz w:val="16"/>
              </w:rPr>
              <w:t xml:space="preserve"> </w:t>
            </w:r>
            <w:r>
              <w:rPr>
                <w:sz w:val="16"/>
              </w:rPr>
              <w:t>in freeboard to spill) in the upstream sewer</w:t>
            </w:r>
            <w:r>
              <w:rPr>
                <w:spacing w:val="40"/>
                <w:sz w:val="16"/>
              </w:rPr>
              <w:t xml:space="preserve"> </w:t>
            </w:r>
            <w:r>
              <w:rPr>
                <w:sz w:val="16"/>
              </w:rPr>
              <w:t>network.</w:t>
            </w:r>
            <w:r>
              <w:rPr>
                <w:spacing w:val="-5"/>
                <w:sz w:val="16"/>
              </w:rPr>
              <w:t xml:space="preserve"> </w:t>
            </w:r>
            <w:r>
              <w:rPr>
                <w:sz w:val="16"/>
              </w:rPr>
              <w:t>Additionally,</w:t>
            </w:r>
            <w:r>
              <w:rPr>
                <w:spacing w:val="-4"/>
                <w:sz w:val="16"/>
              </w:rPr>
              <w:t xml:space="preserve"> </w:t>
            </w:r>
            <w:r>
              <w:rPr>
                <w:sz w:val="16"/>
              </w:rPr>
              <w:t>the</w:t>
            </w:r>
            <w:r>
              <w:rPr>
                <w:spacing w:val="-4"/>
                <w:sz w:val="16"/>
              </w:rPr>
              <w:t xml:space="preserve"> </w:t>
            </w:r>
            <w:r>
              <w:rPr>
                <w:sz w:val="16"/>
              </w:rPr>
              <w:t>duplicate</w:t>
            </w:r>
            <w:r>
              <w:rPr>
                <w:spacing w:val="-5"/>
                <w:sz w:val="16"/>
              </w:rPr>
              <w:t xml:space="preserve"> </w:t>
            </w:r>
            <w:r>
              <w:rPr>
                <w:sz w:val="16"/>
              </w:rPr>
              <w:t>pipe</w:t>
            </w:r>
            <w:r>
              <w:rPr>
                <w:spacing w:val="-5"/>
                <w:sz w:val="16"/>
              </w:rPr>
              <w:t xml:space="preserve"> </w:t>
            </w:r>
            <w:r>
              <w:rPr>
                <w:sz w:val="16"/>
              </w:rPr>
              <w:t>will</w:t>
            </w:r>
            <w:r>
              <w:rPr>
                <w:spacing w:val="-4"/>
                <w:sz w:val="16"/>
              </w:rPr>
              <w:t xml:space="preserve"> </w:t>
            </w:r>
            <w:r>
              <w:rPr>
                <w:sz w:val="16"/>
              </w:rPr>
              <w:t>allow</w:t>
            </w:r>
            <w:r>
              <w:rPr>
                <w:spacing w:val="40"/>
                <w:sz w:val="16"/>
              </w:rPr>
              <w:t xml:space="preserve"> </w:t>
            </w:r>
            <w:r>
              <w:rPr>
                <w:sz w:val="16"/>
              </w:rPr>
              <w:t>flexibility during maintenance or reactive works.</w:t>
            </w:r>
          </w:p>
        </w:tc>
      </w:tr>
      <w:tr w:rsidR="00141B97" w14:paraId="549E5B9E" w14:textId="77777777">
        <w:trPr>
          <w:trHeight w:val="2249"/>
          <w:tblCellSpacing w:w="7" w:type="dxa"/>
        </w:trPr>
        <w:tc>
          <w:tcPr>
            <w:tcW w:w="596" w:type="dxa"/>
            <w:tcBorders>
              <w:left w:val="nil"/>
              <w:right w:val="nil"/>
            </w:tcBorders>
            <w:shd w:val="clear" w:color="auto" w:fill="CCE2ED"/>
          </w:tcPr>
          <w:p w14:paraId="2124EDE7" w14:textId="77777777" w:rsidR="00141B97" w:rsidRDefault="00141B97">
            <w:pPr>
              <w:pStyle w:val="TableParagraph"/>
              <w:rPr>
                <w:sz w:val="16"/>
              </w:rPr>
            </w:pPr>
          </w:p>
          <w:p w14:paraId="20C784D8" w14:textId="77777777" w:rsidR="00141B97" w:rsidRDefault="00141B97">
            <w:pPr>
              <w:pStyle w:val="TableParagraph"/>
              <w:rPr>
                <w:sz w:val="16"/>
              </w:rPr>
            </w:pPr>
          </w:p>
          <w:p w14:paraId="214028B7" w14:textId="77777777" w:rsidR="00141B97" w:rsidRDefault="00141B97">
            <w:pPr>
              <w:pStyle w:val="TableParagraph"/>
              <w:rPr>
                <w:sz w:val="16"/>
              </w:rPr>
            </w:pPr>
          </w:p>
          <w:p w14:paraId="3566AA94" w14:textId="77777777" w:rsidR="00141B97" w:rsidRDefault="00141B97">
            <w:pPr>
              <w:pStyle w:val="TableParagraph"/>
              <w:rPr>
                <w:sz w:val="16"/>
              </w:rPr>
            </w:pPr>
          </w:p>
          <w:p w14:paraId="3EAACF26" w14:textId="77777777" w:rsidR="00141B97" w:rsidRDefault="00141B97">
            <w:pPr>
              <w:pStyle w:val="TableParagraph"/>
              <w:spacing w:before="1"/>
              <w:rPr>
                <w:sz w:val="20"/>
              </w:rPr>
            </w:pPr>
          </w:p>
          <w:p w14:paraId="39D9C769" w14:textId="77777777" w:rsidR="00141B97" w:rsidRDefault="00911D63">
            <w:pPr>
              <w:pStyle w:val="TableParagraph"/>
              <w:ind w:left="98"/>
              <w:rPr>
                <w:sz w:val="16"/>
              </w:rPr>
            </w:pPr>
            <w:r>
              <w:rPr>
                <w:w w:val="99"/>
                <w:sz w:val="16"/>
              </w:rPr>
              <w:t>8</w:t>
            </w:r>
          </w:p>
        </w:tc>
        <w:tc>
          <w:tcPr>
            <w:tcW w:w="1535" w:type="dxa"/>
            <w:tcBorders>
              <w:left w:val="nil"/>
              <w:right w:val="nil"/>
            </w:tcBorders>
            <w:shd w:val="clear" w:color="auto" w:fill="CCE2ED"/>
          </w:tcPr>
          <w:p w14:paraId="72C3E27B" w14:textId="77777777" w:rsidR="00141B97" w:rsidRDefault="00141B97">
            <w:pPr>
              <w:pStyle w:val="TableParagraph"/>
              <w:rPr>
                <w:sz w:val="16"/>
              </w:rPr>
            </w:pPr>
          </w:p>
          <w:p w14:paraId="5FD472A1" w14:textId="77777777" w:rsidR="00141B97" w:rsidRDefault="00141B97">
            <w:pPr>
              <w:pStyle w:val="TableParagraph"/>
              <w:rPr>
                <w:sz w:val="16"/>
              </w:rPr>
            </w:pPr>
          </w:p>
          <w:p w14:paraId="743E84B2" w14:textId="77777777" w:rsidR="00141B97" w:rsidRDefault="00141B97">
            <w:pPr>
              <w:pStyle w:val="TableParagraph"/>
              <w:rPr>
                <w:sz w:val="16"/>
              </w:rPr>
            </w:pPr>
          </w:p>
          <w:p w14:paraId="1D758452" w14:textId="77777777" w:rsidR="00141B97" w:rsidRDefault="00141B97">
            <w:pPr>
              <w:pStyle w:val="TableParagraph"/>
              <w:rPr>
                <w:sz w:val="16"/>
              </w:rPr>
            </w:pPr>
          </w:p>
          <w:p w14:paraId="406207BE" w14:textId="77777777" w:rsidR="00141B97" w:rsidRDefault="00141B97">
            <w:pPr>
              <w:pStyle w:val="TableParagraph"/>
              <w:spacing w:before="1"/>
              <w:rPr>
                <w:sz w:val="12"/>
              </w:rPr>
            </w:pPr>
          </w:p>
          <w:p w14:paraId="0BCFE895" w14:textId="77777777" w:rsidR="00141B97" w:rsidRDefault="00911D63">
            <w:pPr>
              <w:pStyle w:val="TableParagraph"/>
              <w:spacing w:before="1"/>
              <w:ind w:left="105" w:right="88"/>
              <w:rPr>
                <w:sz w:val="16"/>
              </w:rPr>
            </w:pPr>
            <w:r>
              <w:rPr>
                <w:sz w:val="16"/>
              </w:rPr>
              <w:t>Customer</w:t>
            </w:r>
            <w:r>
              <w:rPr>
                <w:spacing w:val="-10"/>
                <w:sz w:val="16"/>
              </w:rPr>
              <w:t xml:space="preserve"> </w:t>
            </w:r>
            <w:r>
              <w:rPr>
                <w:sz w:val="16"/>
              </w:rPr>
              <w:t>CRM,</w:t>
            </w:r>
            <w:r>
              <w:rPr>
                <w:spacing w:val="40"/>
                <w:sz w:val="16"/>
              </w:rPr>
              <w:t xml:space="preserve"> </w:t>
            </w:r>
            <w:r>
              <w:rPr>
                <w:sz w:val="16"/>
              </w:rPr>
              <w:t>portal Phase 2</w:t>
            </w:r>
          </w:p>
        </w:tc>
        <w:tc>
          <w:tcPr>
            <w:tcW w:w="1063" w:type="dxa"/>
            <w:tcBorders>
              <w:left w:val="nil"/>
              <w:right w:val="nil"/>
            </w:tcBorders>
            <w:shd w:val="clear" w:color="auto" w:fill="CCE2ED"/>
          </w:tcPr>
          <w:p w14:paraId="421A4677" w14:textId="77777777" w:rsidR="00141B97" w:rsidRDefault="00141B97">
            <w:pPr>
              <w:pStyle w:val="TableParagraph"/>
              <w:rPr>
                <w:sz w:val="16"/>
              </w:rPr>
            </w:pPr>
          </w:p>
          <w:p w14:paraId="050E0EC3" w14:textId="77777777" w:rsidR="00141B97" w:rsidRDefault="00141B97">
            <w:pPr>
              <w:pStyle w:val="TableParagraph"/>
              <w:rPr>
                <w:sz w:val="16"/>
              </w:rPr>
            </w:pPr>
          </w:p>
          <w:p w14:paraId="075905EA" w14:textId="77777777" w:rsidR="00141B97" w:rsidRDefault="00141B97">
            <w:pPr>
              <w:pStyle w:val="TableParagraph"/>
              <w:rPr>
                <w:sz w:val="16"/>
              </w:rPr>
            </w:pPr>
          </w:p>
          <w:p w14:paraId="7D44A8E3" w14:textId="77777777" w:rsidR="00141B97" w:rsidRDefault="00141B97">
            <w:pPr>
              <w:pStyle w:val="TableParagraph"/>
              <w:rPr>
                <w:sz w:val="16"/>
              </w:rPr>
            </w:pPr>
          </w:p>
          <w:p w14:paraId="4E100639" w14:textId="77777777" w:rsidR="00141B97" w:rsidRDefault="00141B97">
            <w:pPr>
              <w:pStyle w:val="TableParagraph"/>
              <w:spacing w:before="1"/>
              <w:rPr>
                <w:sz w:val="20"/>
              </w:rPr>
            </w:pPr>
          </w:p>
          <w:p w14:paraId="57CB98FD" w14:textId="77777777" w:rsidR="00141B97" w:rsidRDefault="00911D63">
            <w:pPr>
              <w:pStyle w:val="TableParagraph"/>
              <w:ind w:right="93"/>
              <w:jc w:val="right"/>
              <w:rPr>
                <w:sz w:val="16"/>
              </w:rPr>
            </w:pPr>
            <w:r>
              <w:rPr>
                <w:spacing w:val="-4"/>
                <w:sz w:val="16"/>
              </w:rPr>
              <w:t>1.78</w:t>
            </w:r>
          </w:p>
        </w:tc>
        <w:tc>
          <w:tcPr>
            <w:tcW w:w="994" w:type="dxa"/>
            <w:tcBorders>
              <w:left w:val="nil"/>
              <w:right w:val="nil"/>
            </w:tcBorders>
            <w:shd w:val="clear" w:color="auto" w:fill="CCE2ED"/>
          </w:tcPr>
          <w:p w14:paraId="38B90B69" w14:textId="77777777" w:rsidR="00141B97" w:rsidRDefault="00141B97">
            <w:pPr>
              <w:pStyle w:val="TableParagraph"/>
              <w:rPr>
                <w:sz w:val="16"/>
              </w:rPr>
            </w:pPr>
          </w:p>
          <w:p w14:paraId="2DF78B65" w14:textId="77777777" w:rsidR="00141B97" w:rsidRDefault="00141B97">
            <w:pPr>
              <w:pStyle w:val="TableParagraph"/>
              <w:rPr>
                <w:sz w:val="16"/>
              </w:rPr>
            </w:pPr>
          </w:p>
          <w:p w14:paraId="0CAB69C7" w14:textId="77777777" w:rsidR="00141B97" w:rsidRDefault="00141B97">
            <w:pPr>
              <w:pStyle w:val="TableParagraph"/>
              <w:rPr>
                <w:sz w:val="16"/>
              </w:rPr>
            </w:pPr>
          </w:p>
          <w:p w14:paraId="2705A0BB" w14:textId="77777777" w:rsidR="00141B97" w:rsidRDefault="00141B97">
            <w:pPr>
              <w:pStyle w:val="TableParagraph"/>
              <w:rPr>
                <w:sz w:val="16"/>
              </w:rPr>
            </w:pPr>
          </w:p>
          <w:p w14:paraId="1DF3EA92" w14:textId="77777777" w:rsidR="00141B97" w:rsidRDefault="00141B97">
            <w:pPr>
              <w:pStyle w:val="TableParagraph"/>
              <w:spacing w:before="1"/>
              <w:rPr>
                <w:sz w:val="20"/>
              </w:rPr>
            </w:pPr>
          </w:p>
          <w:p w14:paraId="317AA534" w14:textId="77777777" w:rsidR="00141B97" w:rsidRDefault="00911D63">
            <w:pPr>
              <w:pStyle w:val="TableParagraph"/>
              <w:ind w:left="153"/>
              <w:rPr>
                <w:sz w:val="16"/>
              </w:rPr>
            </w:pPr>
            <w:r>
              <w:rPr>
                <w:spacing w:val="-2"/>
                <w:sz w:val="16"/>
              </w:rPr>
              <w:t>Corporate</w:t>
            </w:r>
          </w:p>
        </w:tc>
        <w:tc>
          <w:tcPr>
            <w:tcW w:w="1338" w:type="dxa"/>
            <w:tcBorders>
              <w:left w:val="nil"/>
            </w:tcBorders>
            <w:shd w:val="clear" w:color="auto" w:fill="CCE2ED"/>
          </w:tcPr>
          <w:p w14:paraId="49207E47" w14:textId="77777777" w:rsidR="00141B97" w:rsidRDefault="00141B97">
            <w:pPr>
              <w:pStyle w:val="TableParagraph"/>
              <w:rPr>
                <w:sz w:val="16"/>
              </w:rPr>
            </w:pPr>
          </w:p>
          <w:p w14:paraId="7E994115" w14:textId="77777777" w:rsidR="00141B97" w:rsidRDefault="00141B97">
            <w:pPr>
              <w:pStyle w:val="TableParagraph"/>
              <w:rPr>
                <w:sz w:val="16"/>
              </w:rPr>
            </w:pPr>
          </w:p>
          <w:p w14:paraId="5862B3EB" w14:textId="77777777" w:rsidR="00141B97" w:rsidRDefault="00141B97">
            <w:pPr>
              <w:pStyle w:val="TableParagraph"/>
              <w:rPr>
                <w:sz w:val="16"/>
              </w:rPr>
            </w:pPr>
          </w:p>
          <w:p w14:paraId="5D9D30C9" w14:textId="77777777" w:rsidR="00141B97" w:rsidRDefault="00141B97">
            <w:pPr>
              <w:pStyle w:val="TableParagraph"/>
              <w:rPr>
                <w:sz w:val="16"/>
              </w:rPr>
            </w:pPr>
          </w:p>
          <w:p w14:paraId="726576DE" w14:textId="77777777" w:rsidR="00141B97" w:rsidRDefault="00141B97">
            <w:pPr>
              <w:pStyle w:val="TableParagraph"/>
              <w:spacing w:before="1"/>
              <w:rPr>
                <w:sz w:val="12"/>
              </w:rPr>
            </w:pPr>
          </w:p>
          <w:p w14:paraId="398E1969" w14:textId="77777777" w:rsidR="00141B97" w:rsidRDefault="00911D63">
            <w:pPr>
              <w:pStyle w:val="TableParagraph"/>
              <w:spacing w:before="1"/>
              <w:ind w:left="275" w:hanging="112"/>
              <w:rPr>
                <w:sz w:val="16"/>
              </w:rPr>
            </w:pPr>
            <w:r>
              <w:rPr>
                <w:spacing w:val="-2"/>
                <w:sz w:val="16"/>
              </w:rPr>
              <w:t>Improvements/</w:t>
            </w:r>
            <w:r>
              <w:rPr>
                <w:spacing w:val="40"/>
                <w:sz w:val="16"/>
              </w:rPr>
              <w:t xml:space="preserve"> </w:t>
            </w:r>
            <w:r>
              <w:rPr>
                <w:spacing w:val="-2"/>
                <w:sz w:val="16"/>
              </w:rPr>
              <w:t>compliance</w:t>
            </w:r>
          </w:p>
        </w:tc>
        <w:tc>
          <w:tcPr>
            <w:tcW w:w="1769" w:type="dxa"/>
            <w:shd w:val="clear" w:color="auto" w:fill="CCE2ED"/>
          </w:tcPr>
          <w:p w14:paraId="1B71A73D" w14:textId="77777777" w:rsidR="00141B97" w:rsidRDefault="00141B97">
            <w:pPr>
              <w:pStyle w:val="TableParagraph"/>
              <w:rPr>
                <w:sz w:val="16"/>
              </w:rPr>
            </w:pPr>
          </w:p>
          <w:p w14:paraId="72299DAF" w14:textId="77777777" w:rsidR="00141B97" w:rsidRDefault="00141B97">
            <w:pPr>
              <w:pStyle w:val="TableParagraph"/>
              <w:rPr>
                <w:sz w:val="16"/>
              </w:rPr>
            </w:pPr>
          </w:p>
          <w:p w14:paraId="41932A33" w14:textId="77777777" w:rsidR="00141B97" w:rsidRDefault="00141B97">
            <w:pPr>
              <w:pStyle w:val="TableParagraph"/>
              <w:spacing w:before="1"/>
              <w:rPr>
                <w:sz w:val="12"/>
              </w:rPr>
            </w:pPr>
          </w:p>
          <w:p w14:paraId="45C6C875" w14:textId="77777777" w:rsidR="00141B97" w:rsidRDefault="00911D63">
            <w:pPr>
              <w:pStyle w:val="TableParagraph"/>
              <w:ind w:left="97" w:right="140"/>
              <w:rPr>
                <w:sz w:val="16"/>
              </w:rPr>
            </w:pPr>
            <w:r>
              <w:rPr>
                <w:sz w:val="16"/>
              </w:rPr>
              <w:t>Provide</w:t>
            </w:r>
            <w:r>
              <w:rPr>
                <w:spacing w:val="-5"/>
                <w:sz w:val="16"/>
              </w:rPr>
              <w:t xml:space="preserve"> </w:t>
            </w:r>
            <w:r>
              <w:rPr>
                <w:sz w:val="16"/>
              </w:rPr>
              <w:t>Customer</w:t>
            </w:r>
            <w:r>
              <w:rPr>
                <w:spacing w:val="40"/>
                <w:sz w:val="16"/>
              </w:rPr>
              <w:t xml:space="preserve"> </w:t>
            </w:r>
            <w:r>
              <w:rPr>
                <w:sz w:val="16"/>
              </w:rPr>
              <w:t>Service Avenues that</w:t>
            </w:r>
            <w:r>
              <w:rPr>
                <w:spacing w:val="40"/>
                <w:sz w:val="16"/>
              </w:rPr>
              <w:t xml:space="preserve"> </w:t>
            </w:r>
            <w:r>
              <w:rPr>
                <w:sz w:val="16"/>
              </w:rPr>
              <w:t>are responsive to</w:t>
            </w:r>
            <w:r>
              <w:rPr>
                <w:spacing w:val="40"/>
                <w:sz w:val="16"/>
              </w:rPr>
              <w:t xml:space="preserve"> </w:t>
            </w:r>
            <w:r>
              <w:rPr>
                <w:spacing w:val="-2"/>
                <w:sz w:val="16"/>
              </w:rPr>
              <w:t>resolve</w:t>
            </w:r>
            <w:r>
              <w:rPr>
                <w:spacing w:val="40"/>
                <w:sz w:val="16"/>
              </w:rPr>
              <w:t xml:space="preserve"> </w:t>
            </w:r>
            <w:r>
              <w:rPr>
                <w:spacing w:val="-2"/>
                <w:sz w:val="16"/>
              </w:rPr>
              <w:t>requests/enquiries</w:t>
            </w:r>
            <w:r>
              <w:rPr>
                <w:spacing w:val="40"/>
                <w:sz w:val="16"/>
              </w:rPr>
              <w:t xml:space="preserve"> </w:t>
            </w:r>
            <w:r>
              <w:rPr>
                <w:sz w:val="16"/>
              </w:rPr>
              <w:t>within</w:t>
            </w:r>
            <w:r>
              <w:rPr>
                <w:spacing w:val="-6"/>
                <w:sz w:val="16"/>
              </w:rPr>
              <w:t xml:space="preserve"> </w:t>
            </w:r>
            <w:r>
              <w:rPr>
                <w:sz w:val="16"/>
              </w:rPr>
              <w:t>the</w:t>
            </w:r>
            <w:r>
              <w:rPr>
                <w:spacing w:val="-6"/>
                <w:sz w:val="16"/>
              </w:rPr>
              <w:t xml:space="preserve"> </w:t>
            </w:r>
            <w:r>
              <w:rPr>
                <w:sz w:val="16"/>
              </w:rPr>
              <w:t>agreed</w:t>
            </w:r>
            <w:r>
              <w:rPr>
                <w:spacing w:val="-6"/>
                <w:sz w:val="16"/>
              </w:rPr>
              <w:t xml:space="preserve"> </w:t>
            </w:r>
            <w:r>
              <w:rPr>
                <w:sz w:val="16"/>
              </w:rPr>
              <w:t>KPIs</w:t>
            </w:r>
          </w:p>
        </w:tc>
        <w:tc>
          <w:tcPr>
            <w:tcW w:w="2020" w:type="dxa"/>
            <w:tcBorders>
              <w:right w:val="nil"/>
            </w:tcBorders>
            <w:shd w:val="clear" w:color="auto" w:fill="CCE2ED"/>
          </w:tcPr>
          <w:p w14:paraId="760519DA" w14:textId="77777777" w:rsidR="00141B97" w:rsidRDefault="00911D63">
            <w:pPr>
              <w:pStyle w:val="TableParagraph"/>
              <w:spacing w:before="50"/>
              <w:ind w:left="98" w:right="53"/>
              <w:rPr>
                <w:sz w:val="16"/>
              </w:rPr>
            </w:pPr>
            <w:r>
              <w:rPr>
                <w:sz w:val="16"/>
              </w:rPr>
              <w:t>To achieve personalised</w:t>
            </w:r>
            <w:r>
              <w:rPr>
                <w:spacing w:val="40"/>
                <w:sz w:val="16"/>
              </w:rPr>
              <w:t xml:space="preserve"> </w:t>
            </w:r>
            <w:r>
              <w:rPr>
                <w:sz w:val="16"/>
              </w:rPr>
              <w:t>services that improves</w:t>
            </w:r>
            <w:r>
              <w:rPr>
                <w:spacing w:val="40"/>
                <w:sz w:val="16"/>
              </w:rPr>
              <w:t xml:space="preserve"> </w:t>
            </w:r>
            <w:r>
              <w:rPr>
                <w:sz w:val="16"/>
              </w:rPr>
              <w:t>customer</w:t>
            </w:r>
            <w:r>
              <w:rPr>
                <w:spacing w:val="-5"/>
                <w:sz w:val="16"/>
              </w:rPr>
              <w:t xml:space="preserve"> </w:t>
            </w:r>
            <w:r>
              <w:rPr>
                <w:sz w:val="16"/>
              </w:rPr>
              <w:t>experience,</w:t>
            </w:r>
            <w:r>
              <w:rPr>
                <w:spacing w:val="40"/>
                <w:sz w:val="16"/>
              </w:rPr>
              <w:t xml:space="preserve"> </w:t>
            </w:r>
            <w:r>
              <w:rPr>
                <w:sz w:val="16"/>
              </w:rPr>
              <w:t>including</w:t>
            </w:r>
            <w:r>
              <w:rPr>
                <w:spacing w:val="-7"/>
                <w:sz w:val="16"/>
              </w:rPr>
              <w:t xml:space="preserve"> </w:t>
            </w:r>
            <w:r>
              <w:rPr>
                <w:sz w:val="16"/>
              </w:rPr>
              <w:t>faster</w:t>
            </w:r>
            <w:r>
              <w:rPr>
                <w:spacing w:val="-6"/>
                <w:sz w:val="16"/>
              </w:rPr>
              <w:t xml:space="preserve"> </w:t>
            </w:r>
            <w:r>
              <w:rPr>
                <w:sz w:val="16"/>
              </w:rPr>
              <w:t>response</w:t>
            </w:r>
            <w:r>
              <w:rPr>
                <w:spacing w:val="-5"/>
                <w:sz w:val="16"/>
              </w:rPr>
              <w:t xml:space="preserve"> </w:t>
            </w:r>
            <w:r>
              <w:rPr>
                <w:sz w:val="16"/>
              </w:rPr>
              <w:t>to</w:t>
            </w:r>
            <w:r>
              <w:rPr>
                <w:spacing w:val="40"/>
                <w:sz w:val="16"/>
              </w:rPr>
              <w:t xml:space="preserve"> </w:t>
            </w:r>
            <w:r>
              <w:rPr>
                <w:sz w:val="16"/>
              </w:rPr>
              <w:t>customer</w:t>
            </w:r>
            <w:r>
              <w:rPr>
                <w:spacing w:val="-10"/>
                <w:sz w:val="16"/>
              </w:rPr>
              <w:t xml:space="preserve"> </w:t>
            </w:r>
            <w:r>
              <w:rPr>
                <w:sz w:val="16"/>
              </w:rPr>
              <w:t>requests,</w:t>
            </w:r>
            <w:r>
              <w:rPr>
                <w:spacing w:val="-9"/>
                <w:sz w:val="16"/>
              </w:rPr>
              <w:t xml:space="preserve"> </w:t>
            </w:r>
            <w:r>
              <w:rPr>
                <w:sz w:val="16"/>
              </w:rPr>
              <w:t>efficient</w:t>
            </w:r>
            <w:r>
              <w:rPr>
                <w:spacing w:val="40"/>
                <w:sz w:val="16"/>
              </w:rPr>
              <w:t xml:space="preserve"> </w:t>
            </w:r>
            <w:r>
              <w:rPr>
                <w:sz w:val="16"/>
              </w:rPr>
              <w:t>and streamlined service</w:t>
            </w:r>
            <w:r>
              <w:rPr>
                <w:spacing w:val="40"/>
                <w:sz w:val="16"/>
              </w:rPr>
              <w:t xml:space="preserve"> </w:t>
            </w:r>
            <w:r>
              <w:rPr>
                <w:sz w:val="16"/>
              </w:rPr>
              <w:t>delivery,</w:t>
            </w:r>
            <w:r>
              <w:rPr>
                <w:spacing w:val="-5"/>
                <w:sz w:val="16"/>
              </w:rPr>
              <w:t xml:space="preserve"> </w:t>
            </w:r>
            <w:r>
              <w:rPr>
                <w:sz w:val="16"/>
              </w:rPr>
              <w:t>improved</w:t>
            </w:r>
            <w:r>
              <w:rPr>
                <w:spacing w:val="40"/>
                <w:sz w:val="16"/>
              </w:rPr>
              <w:t xml:space="preserve"> </w:t>
            </w:r>
            <w:r>
              <w:rPr>
                <w:sz w:val="16"/>
              </w:rPr>
              <w:t>communication,</w:t>
            </w:r>
            <w:r>
              <w:rPr>
                <w:spacing w:val="-5"/>
                <w:sz w:val="16"/>
              </w:rPr>
              <w:t xml:space="preserve"> </w:t>
            </w:r>
            <w:r>
              <w:rPr>
                <w:sz w:val="16"/>
              </w:rPr>
              <w:t>and</w:t>
            </w:r>
            <w:r>
              <w:rPr>
                <w:spacing w:val="40"/>
                <w:sz w:val="16"/>
              </w:rPr>
              <w:t xml:space="preserve"> </w:t>
            </w:r>
            <w:r>
              <w:rPr>
                <w:sz w:val="16"/>
              </w:rPr>
              <w:t>resolution of customer</w:t>
            </w:r>
            <w:r>
              <w:rPr>
                <w:spacing w:val="40"/>
                <w:sz w:val="16"/>
              </w:rPr>
              <w:t xml:space="preserve"> </w:t>
            </w:r>
            <w:r>
              <w:rPr>
                <w:sz w:val="16"/>
              </w:rPr>
              <w:t>issues,</w:t>
            </w:r>
            <w:r>
              <w:rPr>
                <w:spacing w:val="-1"/>
                <w:sz w:val="16"/>
              </w:rPr>
              <w:t xml:space="preserve"> </w:t>
            </w:r>
            <w:r>
              <w:rPr>
                <w:sz w:val="16"/>
              </w:rPr>
              <w:t>and</w:t>
            </w:r>
            <w:r>
              <w:rPr>
                <w:spacing w:val="-1"/>
                <w:sz w:val="16"/>
              </w:rPr>
              <w:t xml:space="preserve"> </w:t>
            </w:r>
            <w:r>
              <w:rPr>
                <w:sz w:val="16"/>
              </w:rPr>
              <w:t>improve</w:t>
            </w:r>
            <w:r>
              <w:rPr>
                <w:spacing w:val="-1"/>
                <w:sz w:val="16"/>
              </w:rPr>
              <w:t xml:space="preserve"> </w:t>
            </w:r>
            <w:r>
              <w:rPr>
                <w:sz w:val="16"/>
              </w:rPr>
              <w:t>level</w:t>
            </w:r>
            <w:r>
              <w:rPr>
                <w:spacing w:val="-2"/>
                <w:sz w:val="16"/>
              </w:rPr>
              <w:t xml:space="preserve"> </w:t>
            </w:r>
            <w:r>
              <w:rPr>
                <w:sz w:val="16"/>
              </w:rPr>
              <w:t>of</w:t>
            </w:r>
            <w:r>
              <w:rPr>
                <w:spacing w:val="40"/>
                <w:sz w:val="16"/>
              </w:rPr>
              <w:t xml:space="preserve"> </w:t>
            </w:r>
            <w:r>
              <w:rPr>
                <w:sz w:val="16"/>
              </w:rPr>
              <w:t>trust with LMW</w:t>
            </w:r>
          </w:p>
        </w:tc>
        <w:tc>
          <w:tcPr>
            <w:tcW w:w="2798" w:type="dxa"/>
            <w:tcBorders>
              <w:left w:val="nil"/>
              <w:right w:val="nil"/>
            </w:tcBorders>
            <w:shd w:val="clear" w:color="auto" w:fill="CCE2ED"/>
          </w:tcPr>
          <w:p w14:paraId="3CBDA8DF" w14:textId="77777777" w:rsidR="00141B97" w:rsidRDefault="00141B97">
            <w:pPr>
              <w:pStyle w:val="TableParagraph"/>
              <w:rPr>
                <w:sz w:val="16"/>
              </w:rPr>
            </w:pPr>
          </w:p>
          <w:p w14:paraId="53044369" w14:textId="77777777" w:rsidR="00141B97" w:rsidRDefault="00141B97">
            <w:pPr>
              <w:pStyle w:val="TableParagraph"/>
              <w:spacing w:before="1"/>
              <w:rPr>
                <w:sz w:val="12"/>
              </w:rPr>
            </w:pPr>
          </w:p>
          <w:p w14:paraId="659AE929" w14:textId="77777777" w:rsidR="00141B97" w:rsidRDefault="00911D63">
            <w:pPr>
              <w:pStyle w:val="TableParagraph"/>
              <w:ind w:left="103" w:right="121"/>
              <w:rPr>
                <w:sz w:val="16"/>
              </w:rPr>
            </w:pPr>
            <w:r>
              <w:rPr>
                <w:sz w:val="16"/>
              </w:rPr>
              <w:t>Customer journey and service</w:t>
            </w:r>
            <w:r>
              <w:rPr>
                <w:spacing w:val="40"/>
                <w:sz w:val="16"/>
              </w:rPr>
              <w:t xml:space="preserve"> </w:t>
            </w:r>
            <w:r>
              <w:rPr>
                <w:sz w:val="16"/>
              </w:rPr>
              <w:t>modelling, customer service process</w:t>
            </w:r>
            <w:r>
              <w:rPr>
                <w:spacing w:val="40"/>
                <w:sz w:val="16"/>
              </w:rPr>
              <w:t xml:space="preserve"> </w:t>
            </w:r>
            <w:r>
              <w:rPr>
                <w:sz w:val="16"/>
              </w:rPr>
              <w:t>redesign, continuous uplift of CRM and</w:t>
            </w:r>
            <w:r>
              <w:rPr>
                <w:spacing w:val="40"/>
                <w:sz w:val="16"/>
              </w:rPr>
              <w:t xml:space="preserve"> </w:t>
            </w:r>
            <w:r>
              <w:rPr>
                <w:sz w:val="16"/>
              </w:rPr>
              <w:t>Customer</w:t>
            </w:r>
            <w:r>
              <w:rPr>
                <w:spacing w:val="-5"/>
                <w:sz w:val="16"/>
              </w:rPr>
              <w:t xml:space="preserve"> </w:t>
            </w:r>
            <w:r>
              <w:rPr>
                <w:sz w:val="16"/>
              </w:rPr>
              <w:t>Portal</w:t>
            </w:r>
            <w:r>
              <w:rPr>
                <w:spacing w:val="-6"/>
                <w:sz w:val="16"/>
              </w:rPr>
              <w:t xml:space="preserve"> </w:t>
            </w:r>
            <w:r>
              <w:rPr>
                <w:sz w:val="16"/>
              </w:rPr>
              <w:t>capabilities</w:t>
            </w:r>
            <w:r>
              <w:rPr>
                <w:spacing w:val="-7"/>
                <w:sz w:val="16"/>
              </w:rPr>
              <w:t xml:space="preserve"> </w:t>
            </w:r>
            <w:r>
              <w:rPr>
                <w:sz w:val="16"/>
              </w:rPr>
              <w:t>(e.g.</w:t>
            </w:r>
            <w:r>
              <w:rPr>
                <w:spacing w:val="-5"/>
                <w:sz w:val="16"/>
              </w:rPr>
              <w:t xml:space="preserve"> </w:t>
            </w:r>
            <w:r>
              <w:rPr>
                <w:sz w:val="16"/>
              </w:rPr>
              <w:t>online</w:t>
            </w:r>
            <w:r>
              <w:rPr>
                <w:spacing w:val="40"/>
                <w:sz w:val="16"/>
              </w:rPr>
              <w:t xml:space="preserve"> </w:t>
            </w:r>
            <w:r>
              <w:rPr>
                <w:sz w:val="16"/>
              </w:rPr>
              <w:t>payments, outage notification, online</w:t>
            </w:r>
            <w:r>
              <w:rPr>
                <w:spacing w:val="40"/>
                <w:sz w:val="16"/>
              </w:rPr>
              <w:t xml:space="preserve"> </w:t>
            </w:r>
            <w:r>
              <w:rPr>
                <w:sz w:val="16"/>
              </w:rPr>
              <w:t>requests, additional advanced</w:t>
            </w:r>
            <w:r>
              <w:rPr>
                <w:spacing w:val="40"/>
                <w:sz w:val="16"/>
              </w:rPr>
              <w:t xml:space="preserve"> </w:t>
            </w:r>
            <w:r>
              <w:rPr>
                <w:sz w:val="16"/>
              </w:rPr>
              <w:t>capabilities), internal and external</w:t>
            </w:r>
            <w:r>
              <w:rPr>
                <w:spacing w:val="40"/>
                <w:sz w:val="16"/>
              </w:rPr>
              <w:t xml:space="preserve"> </w:t>
            </w:r>
            <w:r>
              <w:rPr>
                <w:sz w:val="16"/>
              </w:rPr>
              <w:t>change</w:t>
            </w:r>
            <w:r>
              <w:rPr>
                <w:spacing w:val="-5"/>
                <w:sz w:val="16"/>
              </w:rPr>
              <w:t xml:space="preserve"> </w:t>
            </w:r>
            <w:r>
              <w:rPr>
                <w:sz w:val="16"/>
              </w:rPr>
              <w:t>management</w:t>
            </w:r>
          </w:p>
        </w:tc>
        <w:tc>
          <w:tcPr>
            <w:tcW w:w="3564" w:type="dxa"/>
            <w:tcBorders>
              <w:left w:val="nil"/>
              <w:right w:val="nil"/>
            </w:tcBorders>
            <w:shd w:val="clear" w:color="auto" w:fill="CCE2ED"/>
          </w:tcPr>
          <w:p w14:paraId="02EFB7D2" w14:textId="77777777" w:rsidR="00141B97" w:rsidRDefault="00141B97">
            <w:pPr>
              <w:pStyle w:val="TableParagraph"/>
              <w:rPr>
                <w:sz w:val="16"/>
              </w:rPr>
            </w:pPr>
          </w:p>
          <w:p w14:paraId="416B924F" w14:textId="77777777" w:rsidR="00141B97" w:rsidRDefault="00141B97">
            <w:pPr>
              <w:pStyle w:val="TableParagraph"/>
              <w:spacing w:before="1"/>
              <w:rPr>
                <w:sz w:val="20"/>
              </w:rPr>
            </w:pPr>
          </w:p>
          <w:p w14:paraId="56D8C22F" w14:textId="77777777" w:rsidR="00141B97" w:rsidRDefault="00911D63">
            <w:pPr>
              <w:pStyle w:val="TableParagraph"/>
              <w:spacing w:before="1"/>
              <w:ind w:left="105" w:right="24"/>
              <w:rPr>
                <w:sz w:val="16"/>
              </w:rPr>
            </w:pPr>
            <w:r>
              <w:rPr>
                <w:sz w:val="16"/>
              </w:rPr>
              <w:t>Increased customer expectation are driving</w:t>
            </w:r>
            <w:r>
              <w:rPr>
                <w:spacing w:val="40"/>
                <w:sz w:val="16"/>
              </w:rPr>
              <w:t xml:space="preserve"> </w:t>
            </w:r>
            <w:r>
              <w:rPr>
                <w:sz w:val="16"/>
              </w:rPr>
              <w:t>improvement, including need to clarify services</w:t>
            </w:r>
            <w:r>
              <w:rPr>
                <w:spacing w:val="40"/>
                <w:sz w:val="16"/>
              </w:rPr>
              <w:t xml:space="preserve"> </w:t>
            </w:r>
            <w:r>
              <w:rPr>
                <w:sz w:val="16"/>
              </w:rPr>
              <w:t>provided to customers, improve ability to monitor</w:t>
            </w:r>
            <w:r>
              <w:rPr>
                <w:spacing w:val="40"/>
                <w:sz w:val="16"/>
              </w:rPr>
              <w:t xml:space="preserve"> </w:t>
            </w:r>
            <w:r>
              <w:rPr>
                <w:sz w:val="16"/>
              </w:rPr>
              <w:t>and</w:t>
            </w:r>
            <w:r>
              <w:rPr>
                <w:spacing w:val="-5"/>
                <w:sz w:val="16"/>
              </w:rPr>
              <w:t xml:space="preserve"> </w:t>
            </w:r>
            <w:r>
              <w:rPr>
                <w:sz w:val="16"/>
              </w:rPr>
              <w:t>measure</w:t>
            </w:r>
            <w:r>
              <w:rPr>
                <w:spacing w:val="-3"/>
                <w:sz w:val="16"/>
              </w:rPr>
              <w:t xml:space="preserve"> </w:t>
            </w:r>
            <w:r>
              <w:rPr>
                <w:sz w:val="16"/>
              </w:rPr>
              <w:t>service</w:t>
            </w:r>
            <w:r>
              <w:rPr>
                <w:spacing w:val="-5"/>
                <w:sz w:val="16"/>
              </w:rPr>
              <w:t xml:space="preserve"> </w:t>
            </w:r>
            <w:r>
              <w:rPr>
                <w:sz w:val="16"/>
              </w:rPr>
              <w:t>requests.</w:t>
            </w:r>
            <w:r>
              <w:rPr>
                <w:spacing w:val="-4"/>
                <w:sz w:val="16"/>
              </w:rPr>
              <w:t xml:space="preserve"> </w:t>
            </w:r>
            <w:r>
              <w:rPr>
                <w:sz w:val="16"/>
              </w:rPr>
              <w:t>improve</w:t>
            </w:r>
            <w:r>
              <w:rPr>
                <w:spacing w:val="-4"/>
                <w:sz w:val="16"/>
              </w:rPr>
              <w:t xml:space="preserve"> </w:t>
            </w:r>
            <w:r>
              <w:rPr>
                <w:sz w:val="16"/>
              </w:rPr>
              <w:t>efficiency</w:t>
            </w:r>
            <w:r>
              <w:rPr>
                <w:spacing w:val="-4"/>
                <w:sz w:val="16"/>
              </w:rPr>
              <w:t xml:space="preserve"> </w:t>
            </w:r>
            <w:r>
              <w:rPr>
                <w:sz w:val="16"/>
              </w:rPr>
              <w:t>of</w:t>
            </w:r>
            <w:r>
              <w:rPr>
                <w:spacing w:val="40"/>
                <w:sz w:val="16"/>
              </w:rPr>
              <w:t xml:space="preserve"> </w:t>
            </w:r>
            <w:r>
              <w:rPr>
                <w:sz w:val="16"/>
              </w:rPr>
              <w:t>manual and complex processes, resolve system</w:t>
            </w:r>
            <w:r>
              <w:rPr>
                <w:spacing w:val="40"/>
                <w:sz w:val="16"/>
              </w:rPr>
              <w:t xml:space="preserve"> </w:t>
            </w:r>
            <w:r>
              <w:rPr>
                <w:sz w:val="16"/>
              </w:rPr>
              <w:t>limitations causing inefficiencies and employee</w:t>
            </w:r>
            <w:r>
              <w:rPr>
                <w:spacing w:val="40"/>
                <w:sz w:val="16"/>
              </w:rPr>
              <w:t xml:space="preserve"> </w:t>
            </w:r>
            <w:r>
              <w:rPr>
                <w:sz w:val="16"/>
              </w:rPr>
              <w:t>frustration, and improve process documentation.</w:t>
            </w:r>
          </w:p>
        </w:tc>
      </w:tr>
      <w:tr w:rsidR="00141B97" w14:paraId="69136D50" w14:textId="77777777">
        <w:trPr>
          <w:trHeight w:val="2284"/>
          <w:tblCellSpacing w:w="7" w:type="dxa"/>
        </w:trPr>
        <w:tc>
          <w:tcPr>
            <w:tcW w:w="596" w:type="dxa"/>
            <w:tcBorders>
              <w:left w:val="nil"/>
              <w:bottom w:val="nil"/>
              <w:right w:val="nil"/>
            </w:tcBorders>
            <w:shd w:val="clear" w:color="auto" w:fill="CCE2ED"/>
          </w:tcPr>
          <w:p w14:paraId="5A2D8E5E" w14:textId="77777777" w:rsidR="00141B97" w:rsidRDefault="00141B97">
            <w:pPr>
              <w:pStyle w:val="TableParagraph"/>
              <w:rPr>
                <w:sz w:val="16"/>
              </w:rPr>
            </w:pPr>
          </w:p>
          <w:p w14:paraId="20BBA16A" w14:textId="77777777" w:rsidR="00141B97" w:rsidRDefault="00141B97">
            <w:pPr>
              <w:pStyle w:val="TableParagraph"/>
              <w:rPr>
                <w:sz w:val="16"/>
              </w:rPr>
            </w:pPr>
          </w:p>
          <w:p w14:paraId="592C1D3F" w14:textId="77777777" w:rsidR="00141B97" w:rsidRDefault="00141B97">
            <w:pPr>
              <w:pStyle w:val="TableParagraph"/>
              <w:rPr>
                <w:sz w:val="16"/>
              </w:rPr>
            </w:pPr>
          </w:p>
          <w:p w14:paraId="0C6AED81" w14:textId="77777777" w:rsidR="00141B97" w:rsidRDefault="00141B97">
            <w:pPr>
              <w:pStyle w:val="TableParagraph"/>
              <w:rPr>
                <w:sz w:val="16"/>
              </w:rPr>
            </w:pPr>
          </w:p>
          <w:p w14:paraId="7D262BC0" w14:textId="77777777" w:rsidR="00141B97" w:rsidRDefault="00141B97">
            <w:pPr>
              <w:pStyle w:val="TableParagraph"/>
              <w:spacing w:before="7"/>
              <w:rPr>
                <w:sz w:val="21"/>
              </w:rPr>
            </w:pPr>
          </w:p>
          <w:p w14:paraId="3C69664D" w14:textId="77777777" w:rsidR="00141B97" w:rsidRDefault="00911D63">
            <w:pPr>
              <w:pStyle w:val="TableParagraph"/>
              <w:ind w:left="98"/>
              <w:rPr>
                <w:sz w:val="16"/>
              </w:rPr>
            </w:pPr>
            <w:r>
              <w:rPr>
                <w:spacing w:val="-5"/>
                <w:sz w:val="16"/>
              </w:rPr>
              <w:t>10</w:t>
            </w:r>
          </w:p>
        </w:tc>
        <w:tc>
          <w:tcPr>
            <w:tcW w:w="1535" w:type="dxa"/>
            <w:tcBorders>
              <w:left w:val="nil"/>
              <w:bottom w:val="nil"/>
              <w:right w:val="nil"/>
            </w:tcBorders>
            <w:shd w:val="clear" w:color="auto" w:fill="CCE2ED"/>
          </w:tcPr>
          <w:p w14:paraId="32867410" w14:textId="77777777" w:rsidR="00141B97" w:rsidRDefault="00141B97">
            <w:pPr>
              <w:pStyle w:val="TableParagraph"/>
              <w:rPr>
                <w:sz w:val="16"/>
              </w:rPr>
            </w:pPr>
          </w:p>
          <w:p w14:paraId="6B1F465A" w14:textId="77777777" w:rsidR="00141B97" w:rsidRDefault="00141B97">
            <w:pPr>
              <w:pStyle w:val="TableParagraph"/>
              <w:rPr>
                <w:sz w:val="16"/>
              </w:rPr>
            </w:pPr>
          </w:p>
          <w:p w14:paraId="29DAE1E8" w14:textId="77777777" w:rsidR="00141B97" w:rsidRDefault="00141B97">
            <w:pPr>
              <w:pStyle w:val="TableParagraph"/>
              <w:rPr>
                <w:sz w:val="16"/>
              </w:rPr>
            </w:pPr>
          </w:p>
          <w:p w14:paraId="4D195AD2" w14:textId="77777777" w:rsidR="00141B97" w:rsidRDefault="00141B97">
            <w:pPr>
              <w:pStyle w:val="TableParagraph"/>
              <w:rPr>
                <w:sz w:val="16"/>
              </w:rPr>
            </w:pPr>
          </w:p>
          <w:p w14:paraId="60BE0673" w14:textId="77777777" w:rsidR="00141B97" w:rsidRDefault="00141B97">
            <w:pPr>
              <w:pStyle w:val="TableParagraph"/>
              <w:spacing w:before="6"/>
              <w:rPr>
                <w:sz w:val="13"/>
              </w:rPr>
            </w:pPr>
          </w:p>
          <w:p w14:paraId="750A53A6" w14:textId="77777777" w:rsidR="00141B97" w:rsidRDefault="00911D63">
            <w:pPr>
              <w:pStyle w:val="TableParagraph"/>
              <w:ind w:left="105" w:right="88"/>
              <w:rPr>
                <w:sz w:val="16"/>
              </w:rPr>
            </w:pPr>
            <w:r>
              <w:rPr>
                <w:sz w:val="16"/>
              </w:rPr>
              <w:t>Asset</w:t>
            </w:r>
            <w:r>
              <w:rPr>
                <w:spacing w:val="-10"/>
                <w:sz w:val="16"/>
              </w:rPr>
              <w:t xml:space="preserve"> </w:t>
            </w:r>
            <w:r>
              <w:rPr>
                <w:sz w:val="16"/>
              </w:rPr>
              <w:t>Management</w:t>
            </w:r>
            <w:r>
              <w:rPr>
                <w:spacing w:val="40"/>
                <w:sz w:val="16"/>
              </w:rPr>
              <w:t xml:space="preserve"> </w:t>
            </w:r>
            <w:r>
              <w:rPr>
                <w:sz w:val="16"/>
              </w:rPr>
              <w:t>Platform</w:t>
            </w:r>
            <w:r>
              <w:rPr>
                <w:spacing w:val="-7"/>
                <w:sz w:val="16"/>
              </w:rPr>
              <w:t xml:space="preserve"> </w:t>
            </w:r>
            <w:r>
              <w:rPr>
                <w:sz w:val="16"/>
              </w:rPr>
              <w:t>uplift</w:t>
            </w:r>
          </w:p>
        </w:tc>
        <w:tc>
          <w:tcPr>
            <w:tcW w:w="1063" w:type="dxa"/>
            <w:tcBorders>
              <w:left w:val="nil"/>
              <w:bottom w:val="nil"/>
              <w:right w:val="nil"/>
            </w:tcBorders>
            <w:shd w:val="clear" w:color="auto" w:fill="CCE2ED"/>
          </w:tcPr>
          <w:p w14:paraId="2837FA65" w14:textId="77777777" w:rsidR="00141B97" w:rsidRDefault="00141B97">
            <w:pPr>
              <w:pStyle w:val="TableParagraph"/>
              <w:rPr>
                <w:sz w:val="16"/>
              </w:rPr>
            </w:pPr>
          </w:p>
          <w:p w14:paraId="068DCE89" w14:textId="77777777" w:rsidR="00141B97" w:rsidRDefault="00141B97">
            <w:pPr>
              <w:pStyle w:val="TableParagraph"/>
              <w:rPr>
                <w:sz w:val="16"/>
              </w:rPr>
            </w:pPr>
          </w:p>
          <w:p w14:paraId="09390915" w14:textId="77777777" w:rsidR="00141B97" w:rsidRDefault="00141B97">
            <w:pPr>
              <w:pStyle w:val="TableParagraph"/>
              <w:rPr>
                <w:sz w:val="16"/>
              </w:rPr>
            </w:pPr>
          </w:p>
          <w:p w14:paraId="6C1E1DA7" w14:textId="77777777" w:rsidR="00141B97" w:rsidRDefault="00141B97">
            <w:pPr>
              <w:pStyle w:val="TableParagraph"/>
              <w:rPr>
                <w:sz w:val="16"/>
              </w:rPr>
            </w:pPr>
          </w:p>
          <w:p w14:paraId="5A648441" w14:textId="77777777" w:rsidR="00141B97" w:rsidRDefault="00141B97">
            <w:pPr>
              <w:pStyle w:val="TableParagraph"/>
              <w:spacing w:before="7"/>
              <w:rPr>
                <w:sz w:val="21"/>
              </w:rPr>
            </w:pPr>
          </w:p>
          <w:p w14:paraId="5D32A3BA" w14:textId="77777777" w:rsidR="00141B97" w:rsidRDefault="00911D63">
            <w:pPr>
              <w:pStyle w:val="TableParagraph"/>
              <w:ind w:right="93"/>
              <w:jc w:val="right"/>
              <w:rPr>
                <w:sz w:val="16"/>
              </w:rPr>
            </w:pPr>
            <w:r>
              <w:rPr>
                <w:spacing w:val="-4"/>
                <w:sz w:val="16"/>
              </w:rPr>
              <w:t>2.71</w:t>
            </w:r>
          </w:p>
        </w:tc>
        <w:tc>
          <w:tcPr>
            <w:tcW w:w="994" w:type="dxa"/>
            <w:tcBorders>
              <w:left w:val="nil"/>
              <w:bottom w:val="nil"/>
              <w:right w:val="nil"/>
            </w:tcBorders>
            <w:shd w:val="clear" w:color="auto" w:fill="CCE2ED"/>
          </w:tcPr>
          <w:p w14:paraId="7AC008E8" w14:textId="77777777" w:rsidR="00141B97" w:rsidRDefault="00141B97">
            <w:pPr>
              <w:pStyle w:val="TableParagraph"/>
              <w:rPr>
                <w:sz w:val="16"/>
              </w:rPr>
            </w:pPr>
          </w:p>
          <w:p w14:paraId="3422B387" w14:textId="77777777" w:rsidR="00141B97" w:rsidRDefault="00141B97">
            <w:pPr>
              <w:pStyle w:val="TableParagraph"/>
              <w:rPr>
                <w:sz w:val="16"/>
              </w:rPr>
            </w:pPr>
          </w:p>
          <w:p w14:paraId="324E16A3" w14:textId="77777777" w:rsidR="00141B97" w:rsidRDefault="00141B97">
            <w:pPr>
              <w:pStyle w:val="TableParagraph"/>
              <w:rPr>
                <w:sz w:val="16"/>
              </w:rPr>
            </w:pPr>
          </w:p>
          <w:p w14:paraId="78C747D3" w14:textId="77777777" w:rsidR="00141B97" w:rsidRDefault="00141B97">
            <w:pPr>
              <w:pStyle w:val="TableParagraph"/>
              <w:rPr>
                <w:sz w:val="16"/>
              </w:rPr>
            </w:pPr>
          </w:p>
          <w:p w14:paraId="101B56FA" w14:textId="77777777" w:rsidR="00141B97" w:rsidRDefault="00141B97">
            <w:pPr>
              <w:pStyle w:val="TableParagraph"/>
              <w:spacing w:before="7"/>
              <w:rPr>
                <w:sz w:val="21"/>
              </w:rPr>
            </w:pPr>
          </w:p>
          <w:p w14:paraId="03E468E6" w14:textId="77777777" w:rsidR="00141B97" w:rsidRDefault="00911D63">
            <w:pPr>
              <w:pStyle w:val="TableParagraph"/>
              <w:ind w:left="153"/>
              <w:rPr>
                <w:sz w:val="16"/>
              </w:rPr>
            </w:pPr>
            <w:r>
              <w:rPr>
                <w:spacing w:val="-2"/>
                <w:sz w:val="16"/>
              </w:rPr>
              <w:t>Corporate</w:t>
            </w:r>
          </w:p>
        </w:tc>
        <w:tc>
          <w:tcPr>
            <w:tcW w:w="1338" w:type="dxa"/>
            <w:tcBorders>
              <w:left w:val="nil"/>
              <w:bottom w:val="nil"/>
            </w:tcBorders>
            <w:shd w:val="clear" w:color="auto" w:fill="CCE2ED"/>
          </w:tcPr>
          <w:p w14:paraId="6C98FC3F" w14:textId="77777777" w:rsidR="00141B97" w:rsidRDefault="00141B97">
            <w:pPr>
              <w:pStyle w:val="TableParagraph"/>
              <w:rPr>
                <w:sz w:val="16"/>
              </w:rPr>
            </w:pPr>
          </w:p>
          <w:p w14:paraId="4411DBAC" w14:textId="77777777" w:rsidR="00141B97" w:rsidRDefault="00141B97">
            <w:pPr>
              <w:pStyle w:val="TableParagraph"/>
              <w:rPr>
                <w:sz w:val="16"/>
              </w:rPr>
            </w:pPr>
          </w:p>
          <w:p w14:paraId="7C2526C7" w14:textId="77777777" w:rsidR="00141B97" w:rsidRDefault="00141B97">
            <w:pPr>
              <w:pStyle w:val="TableParagraph"/>
              <w:rPr>
                <w:sz w:val="16"/>
              </w:rPr>
            </w:pPr>
          </w:p>
          <w:p w14:paraId="384DA391" w14:textId="77777777" w:rsidR="00141B97" w:rsidRDefault="00141B97">
            <w:pPr>
              <w:pStyle w:val="TableParagraph"/>
              <w:rPr>
                <w:sz w:val="16"/>
              </w:rPr>
            </w:pPr>
          </w:p>
          <w:p w14:paraId="1588D482" w14:textId="77777777" w:rsidR="00141B97" w:rsidRDefault="00141B97">
            <w:pPr>
              <w:pStyle w:val="TableParagraph"/>
              <w:spacing w:before="6"/>
              <w:rPr>
                <w:sz w:val="13"/>
              </w:rPr>
            </w:pPr>
          </w:p>
          <w:p w14:paraId="3D4D491B" w14:textId="77777777" w:rsidR="00141B97" w:rsidRDefault="00911D63">
            <w:pPr>
              <w:pStyle w:val="TableParagraph"/>
              <w:ind w:left="275" w:hanging="112"/>
              <w:rPr>
                <w:sz w:val="16"/>
              </w:rPr>
            </w:pPr>
            <w:r>
              <w:rPr>
                <w:spacing w:val="-2"/>
                <w:sz w:val="16"/>
              </w:rPr>
              <w:t>Improvements/</w:t>
            </w:r>
            <w:r>
              <w:rPr>
                <w:spacing w:val="40"/>
                <w:sz w:val="16"/>
              </w:rPr>
              <w:t xml:space="preserve"> </w:t>
            </w:r>
            <w:r>
              <w:rPr>
                <w:spacing w:val="-2"/>
                <w:sz w:val="16"/>
              </w:rPr>
              <w:t>compliance</w:t>
            </w:r>
          </w:p>
        </w:tc>
        <w:tc>
          <w:tcPr>
            <w:tcW w:w="1769" w:type="dxa"/>
            <w:tcBorders>
              <w:bottom w:val="nil"/>
            </w:tcBorders>
            <w:shd w:val="clear" w:color="auto" w:fill="CCE2ED"/>
          </w:tcPr>
          <w:p w14:paraId="58FA6E65" w14:textId="77777777" w:rsidR="00141B97" w:rsidRDefault="00141B97">
            <w:pPr>
              <w:pStyle w:val="TableParagraph"/>
              <w:rPr>
                <w:sz w:val="16"/>
              </w:rPr>
            </w:pPr>
          </w:p>
          <w:p w14:paraId="1A69ED83" w14:textId="77777777" w:rsidR="00141B97" w:rsidRDefault="00141B97">
            <w:pPr>
              <w:pStyle w:val="TableParagraph"/>
              <w:spacing w:before="6"/>
              <w:rPr>
                <w:sz w:val="13"/>
              </w:rPr>
            </w:pPr>
          </w:p>
          <w:p w14:paraId="6CC985BE" w14:textId="77777777" w:rsidR="00141B97" w:rsidRDefault="00911D63">
            <w:pPr>
              <w:pStyle w:val="TableParagraph"/>
              <w:spacing w:before="1"/>
              <w:ind w:left="97" w:right="129"/>
              <w:rPr>
                <w:sz w:val="16"/>
              </w:rPr>
            </w:pPr>
            <w:r>
              <w:rPr>
                <w:sz w:val="16"/>
              </w:rPr>
              <w:t>Services</w:t>
            </w:r>
            <w:r>
              <w:rPr>
                <w:spacing w:val="-9"/>
                <w:sz w:val="16"/>
              </w:rPr>
              <w:t xml:space="preserve"> </w:t>
            </w:r>
            <w:r>
              <w:rPr>
                <w:sz w:val="16"/>
              </w:rPr>
              <w:t>provide</w:t>
            </w:r>
            <w:r>
              <w:rPr>
                <w:spacing w:val="40"/>
                <w:sz w:val="16"/>
              </w:rPr>
              <w:t xml:space="preserve"> </w:t>
            </w:r>
            <w:r>
              <w:rPr>
                <w:sz w:val="16"/>
              </w:rPr>
              <w:t>customers value for</w:t>
            </w:r>
            <w:r>
              <w:rPr>
                <w:spacing w:val="40"/>
                <w:sz w:val="16"/>
              </w:rPr>
              <w:t xml:space="preserve"> </w:t>
            </w:r>
            <w:r>
              <w:rPr>
                <w:sz w:val="16"/>
              </w:rPr>
              <w:t>money.</w:t>
            </w:r>
            <w:r>
              <w:rPr>
                <w:spacing w:val="-5"/>
                <w:sz w:val="16"/>
              </w:rPr>
              <w:t xml:space="preserve"> </w:t>
            </w:r>
            <w:r>
              <w:rPr>
                <w:sz w:val="16"/>
              </w:rPr>
              <w:t>Provide</w:t>
            </w:r>
            <w:r>
              <w:rPr>
                <w:spacing w:val="40"/>
                <w:sz w:val="16"/>
              </w:rPr>
              <w:t xml:space="preserve"> </w:t>
            </w:r>
            <w:r>
              <w:rPr>
                <w:sz w:val="16"/>
              </w:rPr>
              <w:t>customers</w:t>
            </w:r>
            <w:r>
              <w:rPr>
                <w:spacing w:val="-10"/>
                <w:sz w:val="16"/>
              </w:rPr>
              <w:t xml:space="preserve"> </w:t>
            </w:r>
            <w:r>
              <w:rPr>
                <w:sz w:val="16"/>
              </w:rPr>
              <w:t>reliable</w:t>
            </w:r>
            <w:r>
              <w:rPr>
                <w:spacing w:val="-7"/>
                <w:sz w:val="16"/>
              </w:rPr>
              <w:t xml:space="preserve"> </w:t>
            </w:r>
            <w:r>
              <w:rPr>
                <w:sz w:val="16"/>
              </w:rPr>
              <w:t>and</w:t>
            </w:r>
            <w:r>
              <w:rPr>
                <w:spacing w:val="40"/>
                <w:sz w:val="16"/>
              </w:rPr>
              <w:t xml:space="preserve"> </w:t>
            </w:r>
            <w:r>
              <w:rPr>
                <w:sz w:val="16"/>
              </w:rPr>
              <w:t>safe drinking water.</w:t>
            </w:r>
            <w:r>
              <w:rPr>
                <w:spacing w:val="40"/>
                <w:sz w:val="16"/>
              </w:rPr>
              <w:t xml:space="preserve"> </w:t>
            </w:r>
            <w:r>
              <w:rPr>
                <w:sz w:val="16"/>
              </w:rPr>
              <w:t>Provide</w:t>
            </w:r>
            <w:r>
              <w:rPr>
                <w:spacing w:val="-5"/>
                <w:sz w:val="16"/>
              </w:rPr>
              <w:t xml:space="preserve"> </w:t>
            </w:r>
            <w:r>
              <w:rPr>
                <w:sz w:val="16"/>
              </w:rPr>
              <w:t>customers</w:t>
            </w:r>
            <w:r>
              <w:rPr>
                <w:spacing w:val="40"/>
                <w:sz w:val="16"/>
              </w:rPr>
              <w:t xml:space="preserve"> </w:t>
            </w:r>
            <w:r>
              <w:rPr>
                <w:sz w:val="16"/>
              </w:rPr>
              <w:t>reliable</w:t>
            </w:r>
            <w:r>
              <w:rPr>
                <w:spacing w:val="-3"/>
                <w:sz w:val="16"/>
              </w:rPr>
              <w:t xml:space="preserve"> </w:t>
            </w:r>
            <w:r>
              <w:rPr>
                <w:sz w:val="16"/>
              </w:rPr>
              <w:t>sewerage</w:t>
            </w:r>
            <w:r>
              <w:rPr>
                <w:spacing w:val="40"/>
                <w:sz w:val="16"/>
              </w:rPr>
              <w:t xml:space="preserve"> </w:t>
            </w:r>
            <w:r>
              <w:rPr>
                <w:spacing w:val="-2"/>
                <w:sz w:val="16"/>
              </w:rPr>
              <w:t>services</w:t>
            </w:r>
          </w:p>
        </w:tc>
        <w:tc>
          <w:tcPr>
            <w:tcW w:w="2020" w:type="dxa"/>
            <w:tcBorders>
              <w:bottom w:val="nil"/>
              <w:right w:val="nil"/>
            </w:tcBorders>
            <w:shd w:val="clear" w:color="auto" w:fill="CCE2ED"/>
          </w:tcPr>
          <w:p w14:paraId="0A1CAAFC" w14:textId="77777777" w:rsidR="00141B97" w:rsidRDefault="00141B97">
            <w:pPr>
              <w:pStyle w:val="TableParagraph"/>
              <w:rPr>
                <w:sz w:val="16"/>
              </w:rPr>
            </w:pPr>
          </w:p>
          <w:p w14:paraId="08D83AD3" w14:textId="77777777" w:rsidR="00141B97" w:rsidRDefault="00141B97">
            <w:pPr>
              <w:pStyle w:val="TableParagraph"/>
              <w:spacing w:before="6"/>
              <w:rPr>
                <w:sz w:val="13"/>
              </w:rPr>
            </w:pPr>
          </w:p>
          <w:p w14:paraId="6A5569BF" w14:textId="77777777" w:rsidR="00141B97" w:rsidRDefault="00911D63">
            <w:pPr>
              <w:pStyle w:val="TableParagraph"/>
              <w:spacing w:before="1"/>
              <w:ind w:left="98" w:right="119"/>
              <w:rPr>
                <w:sz w:val="16"/>
              </w:rPr>
            </w:pPr>
            <w:r>
              <w:rPr>
                <w:sz w:val="16"/>
              </w:rPr>
              <w:t>To drive improved, data‐</w:t>
            </w:r>
            <w:r>
              <w:rPr>
                <w:spacing w:val="40"/>
                <w:sz w:val="16"/>
              </w:rPr>
              <w:t xml:space="preserve"> </w:t>
            </w:r>
            <w:r>
              <w:rPr>
                <w:sz w:val="16"/>
              </w:rPr>
              <w:t>driven</w:t>
            </w:r>
            <w:r>
              <w:rPr>
                <w:spacing w:val="-7"/>
                <w:sz w:val="16"/>
              </w:rPr>
              <w:t xml:space="preserve"> </w:t>
            </w:r>
            <w:r>
              <w:rPr>
                <w:sz w:val="16"/>
              </w:rPr>
              <w:t>and</w:t>
            </w:r>
            <w:r>
              <w:rPr>
                <w:spacing w:val="-7"/>
                <w:sz w:val="16"/>
              </w:rPr>
              <w:t xml:space="preserve"> </w:t>
            </w:r>
            <w:r>
              <w:rPr>
                <w:sz w:val="16"/>
              </w:rPr>
              <w:t>integrated</w:t>
            </w:r>
            <w:r>
              <w:rPr>
                <w:spacing w:val="-7"/>
                <w:sz w:val="16"/>
              </w:rPr>
              <w:t xml:space="preserve"> </w:t>
            </w:r>
            <w:r>
              <w:rPr>
                <w:sz w:val="16"/>
              </w:rPr>
              <w:t>asset</w:t>
            </w:r>
            <w:r>
              <w:rPr>
                <w:spacing w:val="40"/>
                <w:sz w:val="16"/>
              </w:rPr>
              <w:t xml:space="preserve"> </w:t>
            </w:r>
            <w:r>
              <w:rPr>
                <w:sz w:val="16"/>
              </w:rPr>
              <w:t>lifecycle management and</w:t>
            </w:r>
            <w:r>
              <w:rPr>
                <w:spacing w:val="40"/>
                <w:sz w:val="16"/>
              </w:rPr>
              <w:t xml:space="preserve"> </w:t>
            </w:r>
            <w:r>
              <w:rPr>
                <w:sz w:val="16"/>
              </w:rPr>
              <w:t>robust</w:t>
            </w:r>
            <w:r>
              <w:rPr>
                <w:spacing w:val="-5"/>
                <w:sz w:val="16"/>
              </w:rPr>
              <w:t xml:space="preserve"> </w:t>
            </w:r>
            <w:r>
              <w:rPr>
                <w:sz w:val="16"/>
              </w:rPr>
              <w:t>expenditure</w:t>
            </w:r>
            <w:r>
              <w:rPr>
                <w:spacing w:val="40"/>
                <w:sz w:val="16"/>
              </w:rPr>
              <w:t xml:space="preserve"> </w:t>
            </w:r>
            <w:r>
              <w:rPr>
                <w:sz w:val="16"/>
              </w:rPr>
              <w:t>planning, including real‐</w:t>
            </w:r>
            <w:r>
              <w:rPr>
                <w:spacing w:val="40"/>
                <w:sz w:val="16"/>
              </w:rPr>
              <w:t xml:space="preserve"> </w:t>
            </w:r>
            <w:r>
              <w:rPr>
                <w:sz w:val="16"/>
              </w:rPr>
              <w:t>time asset data analysis &amp;</w:t>
            </w:r>
            <w:r>
              <w:rPr>
                <w:spacing w:val="40"/>
                <w:sz w:val="16"/>
              </w:rPr>
              <w:t xml:space="preserve"> </w:t>
            </w:r>
            <w:r>
              <w:rPr>
                <w:sz w:val="16"/>
              </w:rPr>
              <w:t>visualisation, via a single</w:t>
            </w:r>
            <w:r>
              <w:rPr>
                <w:spacing w:val="40"/>
                <w:sz w:val="16"/>
              </w:rPr>
              <w:t xml:space="preserve"> </w:t>
            </w:r>
            <w:r>
              <w:rPr>
                <w:sz w:val="16"/>
              </w:rPr>
              <w:t>source of truth.</w:t>
            </w:r>
          </w:p>
        </w:tc>
        <w:tc>
          <w:tcPr>
            <w:tcW w:w="2798" w:type="dxa"/>
            <w:tcBorders>
              <w:left w:val="nil"/>
              <w:bottom w:val="nil"/>
              <w:right w:val="nil"/>
            </w:tcBorders>
            <w:shd w:val="clear" w:color="auto" w:fill="CCE2ED"/>
          </w:tcPr>
          <w:p w14:paraId="69C6ADF5" w14:textId="77777777" w:rsidR="00141B97" w:rsidRDefault="00911D63">
            <w:pPr>
              <w:pStyle w:val="TableParagraph"/>
              <w:spacing w:before="68"/>
              <w:ind w:left="103" w:right="138"/>
              <w:rPr>
                <w:sz w:val="16"/>
              </w:rPr>
            </w:pPr>
            <w:r>
              <w:rPr>
                <w:sz w:val="16"/>
              </w:rPr>
              <w:t>Implement Infor Value Study initiatives</w:t>
            </w:r>
            <w:r>
              <w:rPr>
                <w:spacing w:val="40"/>
                <w:sz w:val="16"/>
              </w:rPr>
              <w:t xml:space="preserve"> </w:t>
            </w:r>
            <w:r>
              <w:rPr>
                <w:sz w:val="16"/>
              </w:rPr>
              <w:t>to ensure assets and infrastructure are</w:t>
            </w:r>
            <w:r>
              <w:rPr>
                <w:spacing w:val="40"/>
                <w:sz w:val="16"/>
              </w:rPr>
              <w:t xml:space="preserve"> </w:t>
            </w:r>
            <w:r>
              <w:rPr>
                <w:sz w:val="16"/>
              </w:rPr>
              <w:t>maintained to support water services.</w:t>
            </w:r>
            <w:r>
              <w:rPr>
                <w:spacing w:val="40"/>
                <w:sz w:val="16"/>
              </w:rPr>
              <w:t xml:space="preserve"> </w:t>
            </w:r>
            <w:r>
              <w:rPr>
                <w:sz w:val="16"/>
              </w:rPr>
              <w:t>Includes centralised asset register,</w:t>
            </w:r>
            <w:r>
              <w:rPr>
                <w:spacing w:val="40"/>
                <w:sz w:val="16"/>
              </w:rPr>
              <w:t xml:space="preserve"> </w:t>
            </w:r>
            <w:r>
              <w:rPr>
                <w:sz w:val="16"/>
              </w:rPr>
              <w:t>enhanced</w:t>
            </w:r>
            <w:r>
              <w:rPr>
                <w:spacing w:val="-8"/>
                <w:sz w:val="16"/>
              </w:rPr>
              <w:t xml:space="preserve"> </w:t>
            </w:r>
            <w:r>
              <w:rPr>
                <w:sz w:val="16"/>
              </w:rPr>
              <w:t>work</w:t>
            </w:r>
            <w:r>
              <w:rPr>
                <w:spacing w:val="-8"/>
                <w:sz w:val="16"/>
              </w:rPr>
              <w:t xml:space="preserve"> </w:t>
            </w:r>
            <w:r>
              <w:rPr>
                <w:sz w:val="16"/>
              </w:rPr>
              <w:t>management</w:t>
            </w:r>
            <w:r>
              <w:rPr>
                <w:spacing w:val="-8"/>
                <w:sz w:val="16"/>
              </w:rPr>
              <w:t xml:space="preserve"> </w:t>
            </w:r>
            <w:r>
              <w:rPr>
                <w:sz w:val="16"/>
              </w:rPr>
              <w:t>processes</w:t>
            </w:r>
            <w:r>
              <w:rPr>
                <w:spacing w:val="40"/>
                <w:sz w:val="16"/>
              </w:rPr>
              <w:t xml:space="preserve"> </w:t>
            </w:r>
            <w:r>
              <w:rPr>
                <w:sz w:val="16"/>
              </w:rPr>
              <w:t>to deliver transparency and improved</w:t>
            </w:r>
            <w:r>
              <w:rPr>
                <w:spacing w:val="40"/>
                <w:sz w:val="16"/>
              </w:rPr>
              <w:t xml:space="preserve"> </w:t>
            </w:r>
            <w:r>
              <w:rPr>
                <w:sz w:val="16"/>
              </w:rPr>
              <w:t>data capture, simplification of capital</w:t>
            </w:r>
            <w:r>
              <w:rPr>
                <w:spacing w:val="40"/>
                <w:sz w:val="16"/>
              </w:rPr>
              <w:t xml:space="preserve"> </w:t>
            </w:r>
            <w:r>
              <w:rPr>
                <w:sz w:val="16"/>
              </w:rPr>
              <w:t>works management, and asset</w:t>
            </w:r>
            <w:r>
              <w:rPr>
                <w:spacing w:val="40"/>
                <w:sz w:val="16"/>
              </w:rPr>
              <w:t xml:space="preserve"> </w:t>
            </w:r>
            <w:r>
              <w:rPr>
                <w:sz w:val="16"/>
              </w:rPr>
              <w:t>reporting and dashboards to gain</w:t>
            </w:r>
            <w:r>
              <w:rPr>
                <w:spacing w:val="40"/>
                <w:sz w:val="16"/>
              </w:rPr>
              <w:t xml:space="preserve"> </w:t>
            </w:r>
            <w:r>
              <w:rPr>
                <w:sz w:val="16"/>
              </w:rPr>
              <w:t>insights with advanced data</w:t>
            </w:r>
            <w:r>
              <w:rPr>
                <w:spacing w:val="40"/>
                <w:sz w:val="16"/>
              </w:rPr>
              <w:t xml:space="preserve"> </w:t>
            </w:r>
            <w:r>
              <w:rPr>
                <w:spacing w:val="-2"/>
                <w:sz w:val="16"/>
              </w:rPr>
              <w:t>intelligence.</w:t>
            </w:r>
          </w:p>
        </w:tc>
        <w:tc>
          <w:tcPr>
            <w:tcW w:w="3564" w:type="dxa"/>
            <w:tcBorders>
              <w:left w:val="nil"/>
              <w:bottom w:val="nil"/>
              <w:right w:val="nil"/>
            </w:tcBorders>
            <w:shd w:val="clear" w:color="auto" w:fill="CCE2ED"/>
          </w:tcPr>
          <w:p w14:paraId="060C8D96" w14:textId="77777777" w:rsidR="00141B97" w:rsidRDefault="00141B97">
            <w:pPr>
              <w:pStyle w:val="TableParagraph"/>
              <w:spacing w:before="6"/>
              <w:rPr>
                <w:sz w:val="13"/>
              </w:rPr>
            </w:pPr>
          </w:p>
          <w:p w14:paraId="2AA07774" w14:textId="77777777" w:rsidR="00141B97" w:rsidRDefault="00911D63">
            <w:pPr>
              <w:pStyle w:val="TableParagraph"/>
              <w:ind w:left="105" w:right="113"/>
              <w:rPr>
                <w:sz w:val="16"/>
              </w:rPr>
            </w:pPr>
            <w:r>
              <w:rPr>
                <w:sz w:val="16"/>
              </w:rPr>
              <w:t>The current Asset Management platform is not fit</w:t>
            </w:r>
            <w:r>
              <w:rPr>
                <w:spacing w:val="40"/>
                <w:sz w:val="16"/>
              </w:rPr>
              <w:t xml:space="preserve"> </w:t>
            </w:r>
            <w:r>
              <w:rPr>
                <w:sz w:val="16"/>
              </w:rPr>
              <w:t>for</w:t>
            </w:r>
            <w:r>
              <w:rPr>
                <w:spacing w:val="-4"/>
                <w:sz w:val="16"/>
              </w:rPr>
              <w:t xml:space="preserve"> </w:t>
            </w:r>
            <w:r>
              <w:rPr>
                <w:sz w:val="16"/>
              </w:rPr>
              <w:t>purpose,</w:t>
            </w:r>
            <w:r>
              <w:rPr>
                <w:spacing w:val="-3"/>
                <w:sz w:val="16"/>
              </w:rPr>
              <w:t xml:space="preserve"> </w:t>
            </w:r>
            <w:r>
              <w:rPr>
                <w:sz w:val="16"/>
              </w:rPr>
              <w:t>and</w:t>
            </w:r>
            <w:r>
              <w:rPr>
                <w:spacing w:val="-3"/>
                <w:sz w:val="16"/>
              </w:rPr>
              <w:t xml:space="preserve"> </w:t>
            </w:r>
            <w:r>
              <w:rPr>
                <w:sz w:val="16"/>
              </w:rPr>
              <w:t>66%</w:t>
            </w:r>
            <w:r>
              <w:rPr>
                <w:spacing w:val="-3"/>
                <w:sz w:val="16"/>
              </w:rPr>
              <w:t xml:space="preserve"> </w:t>
            </w:r>
            <w:r>
              <w:rPr>
                <w:sz w:val="16"/>
              </w:rPr>
              <w:t>of</w:t>
            </w:r>
            <w:r>
              <w:rPr>
                <w:spacing w:val="-3"/>
                <w:sz w:val="16"/>
              </w:rPr>
              <w:t xml:space="preserve"> </w:t>
            </w:r>
            <w:r>
              <w:rPr>
                <w:sz w:val="16"/>
              </w:rPr>
              <w:t>business</w:t>
            </w:r>
            <w:r>
              <w:rPr>
                <w:spacing w:val="-4"/>
                <w:sz w:val="16"/>
              </w:rPr>
              <w:t xml:space="preserve"> </w:t>
            </w:r>
            <w:r>
              <w:rPr>
                <w:sz w:val="16"/>
              </w:rPr>
              <w:t>processes</w:t>
            </w:r>
            <w:r>
              <w:rPr>
                <w:spacing w:val="-4"/>
                <w:sz w:val="16"/>
              </w:rPr>
              <w:t xml:space="preserve"> </w:t>
            </w:r>
            <w:r>
              <w:rPr>
                <w:sz w:val="16"/>
              </w:rPr>
              <w:t>relating</w:t>
            </w:r>
            <w:r>
              <w:rPr>
                <w:spacing w:val="40"/>
                <w:sz w:val="16"/>
              </w:rPr>
              <w:t xml:space="preserve"> </w:t>
            </w:r>
            <w:r>
              <w:rPr>
                <w:sz w:val="16"/>
              </w:rPr>
              <w:t>to asset management are performed outside of IPS</w:t>
            </w:r>
            <w:r>
              <w:rPr>
                <w:spacing w:val="40"/>
                <w:sz w:val="16"/>
              </w:rPr>
              <w:t xml:space="preserve"> </w:t>
            </w:r>
            <w:r>
              <w:rPr>
                <w:sz w:val="16"/>
              </w:rPr>
              <w:t>capability (manual processes). There is limited</w:t>
            </w:r>
            <w:r>
              <w:rPr>
                <w:spacing w:val="40"/>
                <w:sz w:val="16"/>
              </w:rPr>
              <w:t xml:space="preserve"> </w:t>
            </w:r>
            <w:r>
              <w:rPr>
                <w:sz w:val="16"/>
              </w:rPr>
              <w:t>visibility</w:t>
            </w:r>
            <w:r>
              <w:rPr>
                <w:spacing w:val="-3"/>
                <w:sz w:val="16"/>
              </w:rPr>
              <w:t xml:space="preserve"> </w:t>
            </w:r>
            <w:r>
              <w:rPr>
                <w:sz w:val="16"/>
              </w:rPr>
              <w:t>over</w:t>
            </w:r>
            <w:r>
              <w:rPr>
                <w:spacing w:val="-2"/>
                <w:sz w:val="16"/>
              </w:rPr>
              <w:t xml:space="preserve"> </w:t>
            </w:r>
            <w:r>
              <w:rPr>
                <w:sz w:val="16"/>
              </w:rPr>
              <w:t>asset</w:t>
            </w:r>
            <w:r>
              <w:rPr>
                <w:spacing w:val="-1"/>
                <w:sz w:val="16"/>
              </w:rPr>
              <w:t xml:space="preserve"> </w:t>
            </w:r>
            <w:r>
              <w:rPr>
                <w:sz w:val="16"/>
              </w:rPr>
              <w:t>lifecycle</w:t>
            </w:r>
            <w:r>
              <w:rPr>
                <w:spacing w:val="-3"/>
                <w:sz w:val="16"/>
              </w:rPr>
              <w:t xml:space="preserve"> </w:t>
            </w:r>
            <w:r>
              <w:rPr>
                <w:sz w:val="16"/>
              </w:rPr>
              <w:t>management</w:t>
            </w:r>
            <w:r>
              <w:rPr>
                <w:spacing w:val="-2"/>
                <w:sz w:val="16"/>
              </w:rPr>
              <w:t xml:space="preserve"> </w:t>
            </w:r>
            <w:r>
              <w:rPr>
                <w:sz w:val="16"/>
              </w:rPr>
              <w:t>and</w:t>
            </w:r>
            <w:r>
              <w:rPr>
                <w:spacing w:val="-3"/>
                <w:sz w:val="16"/>
              </w:rPr>
              <w:t xml:space="preserve"> </w:t>
            </w:r>
            <w:r>
              <w:rPr>
                <w:sz w:val="16"/>
              </w:rPr>
              <w:t>there</w:t>
            </w:r>
            <w:r>
              <w:rPr>
                <w:spacing w:val="40"/>
                <w:sz w:val="16"/>
              </w:rPr>
              <w:t xml:space="preserve"> </w:t>
            </w:r>
            <w:r>
              <w:rPr>
                <w:sz w:val="16"/>
              </w:rPr>
              <w:t>are disparate data and inputs without consolidated</w:t>
            </w:r>
            <w:r>
              <w:rPr>
                <w:spacing w:val="40"/>
                <w:sz w:val="16"/>
              </w:rPr>
              <w:t xml:space="preserve"> </w:t>
            </w:r>
            <w:r>
              <w:rPr>
                <w:sz w:val="16"/>
              </w:rPr>
              <w:t>data structures. Asset management currently relies</w:t>
            </w:r>
            <w:r>
              <w:rPr>
                <w:spacing w:val="40"/>
                <w:sz w:val="16"/>
              </w:rPr>
              <w:t xml:space="preserve"> </w:t>
            </w:r>
            <w:r>
              <w:rPr>
                <w:sz w:val="16"/>
              </w:rPr>
              <w:t>on significant manual effort, and reporting is</w:t>
            </w:r>
            <w:r>
              <w:rPr>
                <w:spacing w:val="40"/>
                <w:sz w:val="16"/>
              </w:rPr>
              <w:t xml:space="preserve"> </w:t>
            </w:r>
            <w:r>
              <w:rPr>
                <w:sz w:val="16"/>
              </w:rPr>
              <w:t>manual leading to duplication of data and large</w:t>
            </w:r>
            <w:r>
              <w:rPr>
                <w:spacing w:val="40"/>
                <w:sz w:val="16"/>
              </w:rPr>
              <w:t xml:space="preserve"> </w:t>
            </w:r>
            <w:r>
              <w:rPr>
                <w:spacing w:val="-2"/>
                <w:sz w:val="16"/>
              </w:rPr>
              <w:t>inefficiencies.</w:t>
            </w:r>
          </w:p>
        </w:tc>
      </w:tr>
    </w:tbl>
    <w:p w14:paraId="29557D8A" w14:textId="77777777" w:rsidR="00141B97" w:rsidRDefault="00141B97">
      <w:pPr>
        <w:rPr>
          <w:sz w:val="16"/>
        </w:rPr>
        <w:sectPr w:rsidR="00141B97">
          <w:type w:val="continuous"/>
          <w:pgSz w:w="16840" w:h="11910" w:orient="landscape"/>
          <w:pgMar w:top="960" w:right="600" w:bottom="540" w:left="300" w:header="0" w:footer="345" w:gutter="0"/>
          <w:cols w:space="720"/>
        </w:sectPr>
      </w:pPr>
    </w:p>
    <w:p w14:paraId="4FBDEB0D" w14:textId="77777777" w:rsidR="00141B97" w:rsidRDefault="00911D63">
      <w:pPr>
        <w:pStyle w:val="BodyText"/>
        <w:spacing w:before="40"/>
        <w:ind w:left="124"/>
      </w:pPr>
      <w:r>
        <w:lastRenderedPageBreak/>
        <w:t>B2.3</w:t>
      </w:r>
      <w:r>
        <w:rPr>
          <w:spacing w:val="-5"/>
        </w:rPr>
        <w:t xml:space="preserve"> </w:t>
      </w:r>
      <w:r>
        <w:t>Major</w:t>
      </w:r>
      <w:r>
        <w:rPr>
          <w:spacing w:val="-5"/>
        </w:rPr>
        <w:t xml:space="preserve"> </w:t>
      </w:r>
      <w:r>
        <w:t>Urban</w:t>
      </w:r>
      <w:r>
        <w:rPr>
          <w:spacing w:val="-5"/>
        </w:rPr>
        <w:t xml:space="preserve"> </w:t>
      </w:r>
      <w:r>
        <w:t>Programs</w:t>
      </w:r>
      <w:r>
        <w:rPr>
          <w:spacing w:val="-5"/>
        </w:rPr>
        <w:t xml:space="preserve"> </w:t>
      </w:r>
      <w:r>
        <w:t>–</w:t>
      </w:r>
      <w:r>
        <w:rPr>
          <w:spacing w:val="-5"/>
        </w:rPr>
        <w:t xml:space="preserve"> </w:t>
      </w:r>
      <w:r>
        <w:t>Schedule</w:t>
      </w:r>
      <w:r>
        <w:rPr>
          <w:spacing w:val="-7"/>
        </w:rPr>
        <w:t xml:space="preserve"> </w:t>
      </w:r>
      <w:r>
        <w:t>of</w:t>
      </w:r>
      <w:r>
        <w:rPr>
          <w:spacing w:val="-6"/>
        </w:rPr>
        <w:t xml:space="preserve"> </w:t>
      </w:r>
      <w:r>
        <w:rPr>
          <w:spacing w:val="-2"/>
        </w:rPr>
        <w:t>Investment</w:t>
      </w:r>
    </w:p>
    <w:p w14:paraId="43EF3C58" w14:textId="77777777" w:rsidR="00141B97" w:rsidRDefault="00141B97">
      <w:pPr>
        <w:pStyle w:val="BodyText"/>
        <w:spacing w:before="7" w:after="1"/>
        <w:rPr>
          <w:sz w:val="19"/>
        </w:rPr>
      </w:pPr>
    </w:p>
    <w:tbl>
      <w:tblPr>
        <w:tblW w:w="0" w:type="auto"/>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61"/>
        <w:gridCol w:w="1237"/>
        <w:gridCol w:w="1855"/>
        <w:gridCol w:w="1543"/>
        <w:gridCol w:w="8586"/>
      </w:tblGrid>
      <w:tr w:rsidR="00141B97" w14:paraId="5A929C92" w14:textId="77777777">
        <w:trPr>
          <w:trHeight w:hRule="exact" w:val="784"/>
        </w:trPr>
        <w:tc>
          <w:tcPr>
            <w:tcW w:w="2461" w:type="dxa"/>
            <w:tcBorders>
              <w:top w:val="nil"/>
              <w:left w:val="nil"/>
              <w:right w:val="nil"/>
            </w:tcBorders>
            <w:shd w:val="clear" w:color="auto" w:fill="006CA3"/>
          </w:tcPr>
          <w:p w14:paraId="4BEAE804" w14:textId="77777777" w:rsidR="00141B97" w:rsidRDefault="00141B97">
            <w:pPr>
              <w:pStyle w:val="TableParagraph"/>
              <w:spacing w:before="11"/>
            </w:pPr>
          </w:p>
          <w:p w14:paraId="0DD3B873" w14:textId="77777777" w:rsidR="00141B97" w:rsidRDefault="00911D63">
            <w:pPr>
              <w:pStyle w:val="TableParagraph"/>
              <w:ind w:left="101"/>
              <w:rPr>
                <w:sz w:val="18"/>
              </w:rPr>
            </w:pPr>
            <w:r>
              <w:rPr>
                <w:color w:val="FFFFFF"/>
                <w:sz w:val="18"/>
              </w:rPr>
              <w:t xml:space="preserve">Major </w:t>
            </w:r>
            <w:r>
              <w:rPr>
                <w:color w:val="FFFFFF"/>
                <w:spacing w:val="-2"/>
                <w:sz w:val="18"/>
              </w:rPr>
              <w:t>Program</w:t>
            </w:r>
          </w:p>
        </w:tc>
        <w:tc>
          <w:tcPr>
            <w:tcW w:w="1237" w:type="dxa"/>
            <w:tcBorders>
              <w:top w:val="nil"/>
              <w:left w:val="nil"/>
              <w:right w:val="nil"/>
            </w:tcBorders>
            <w:shd w:val="clear" w:color="auto" w:fill="006CA3"/>
          </w:tcPr>
          <w:p w14:paraId="0E57C2D6" w14:textId="77777777" w:rsidR="00141B97" w:rsidRDefault="00911D63">
            <w:pPr>
              <w:pStyle w:val="TableParagraph"/>
              <w:spacing w:before="60"/>
              <w:ind w:left="127" w:right="126" w:hanging="1"/>
              <w:jc w:val="center"/>
              <w:rPr>
                <w:sz w:val="18"/>
              </w:rPr>
            </w:pPr>
            <w:r>
              <w:rPr>
                <w:color w:val="FFFFFF"/>
                <w:spacing w:val="-2"/>
                <w:sz w:val="18"/>
              </w:rPr>
              <w:t>Total</w:t>
            </w:r>
            <w:r>
              <w:rPr>
                <w:color w:val="FFFFFF"/>
                <w:spacing w:val="40"/>
                <w:sz w:val="18"/>
              </w:rPr>
              <w:t xml:space="preserve"> </w:t>
            </w:r>
            <w:r>
              <w:rPr>
                <w:color w:val="FFFFFF"/>
                <w:sz w:val="18"/>
              </w:rPr>
              <w:t>Program</w:t>
            </w:r>
            <w:r>
              <w:rPr>
                <w:color w:val="FFFFFF"/>
                <w:spacing w:val="-11"/>
                <w:sz w:val="18"/>
              </w:rPr>
              <w:t xml:space="preserve"> </w:t>
            </w:r>
            <w:r>
              <w:rPr>
                <w:color w:val="FFFFFF"/>
                <w:sz w:val="18"/>
              </w:rPr>
              <w:t xml:space="preserve">Cost </w:t>
            </w:r>
            <w:r>
              <w:rPr>
                <w:color w:val="FFFFFF"/>
                <w:spacing w:val="-4"/>
                <w:sz w:val="18"/>
              </w:rPr>
              <w:t>($m)</w:t>
            </w:r>
          </w:p>
        </w:tc>
        <w:tc>
          <w:tcPr>
            <w:tcW w:w="1855" w:type="dxa"/>
            <w:tcBorders>
              <w:top w:val="nil"/>
              <w:left w:val="nil"/>
              <w:right w:val="nil"/>
            </w:tcBorders>
            <w:shd w:val="clear" w:color="auto" w:fill="006CA3"/>
          </w:tcPr>
          <w:p w14:paraId="57DA41EA" w14:textId="77777777" w:rsidR="00141B97" w:rsidRDefault="00141B97">
            <w:pPr>
              <w:pStyle w:val="TableParagraph"/>
              <w:spacing w:before="11"/>
              <w:rPr>
                <w:sz w:val="13"/>
              </w:rPr>
            </w:pPr>
          </w:p>
          <w:p w14:paraId="6B1F945C" w14:textId="77777777" w:rsidR="00141B97" w:rsidRDefault="00911D63">
            <w:pPr>
              <w:pStyle w:val="TableParagraph"/>
              <w:spacing w:before="1"/>
              <w:ind w:left="581" w:right="425" w:hanging="15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0129" w:type="dxa"/>
            <w:gridSpan w:val="2"/>
            <w:tcBorders>
              <w:top w:val="nil"/>
              <w:left w:val="nil"/>
              <w:right w:val="nil"/>
            </w:tcBorders>
            <w:shd w:val="clear" w:color="auto" w:fill="006CA3"/>
          </w:tcPr>
          <w:p w14:paraId="358B6BE8" w14:textId="77777777" w:rsidR="00141B97" w:rsidRDefault="00141B97">
            <w:pPr>
              <w:pStyle w:val="TableParagraph"/>
              <w:spacing w:before="11"/>
            </w:pPr>
          </w:p>
          <w:p w14:paraId="40B77F12" w14:textId="77777777" w:rsidR="00141B97" w:rsidRDefault="00911D63">
            <w:pPr>
              <w:pStyle w:val="TableParagraph"/>
              <w:tabs>
                <w:tab w:val="left" w:pos="2427"/>
                <w:tab w:val="left" w:pos="5159"/>
                <w:tab w:val="left" w:pos="6199"/>
                <w:tab w:val="left" w:pos="7238"/>
                <w:tab w:val="left" w:pos="8276"/>
                <w:tab w:val="left" w:pos="9314"/>
              </w:tabs>
              <w:ind w:left="196"/>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r>
              <w:rPr>
                <w:color w:val="FFFFFF"/>
                <w:sz w:val="18"/>
              </w:rPr>
              <w:tab/>
              <w:t>Component</w:t>
            </w:r>
            <w:r>
              <w:rPr>
                <w:color w:val="FFFFFF"/>
                <w:spacing w:val="-6"/>
                <w:sz w:val="18"/>
              </w:rPr>
              <w:t xml:space="preserve"> </w:t>
            </w:r>
            <w:r>
              <w:rPr>
                <w:color w:val="FFFFFF"/>
                <w:spacing w:val="-2"/>
                <w:sz w:val="18"/>
              </w:rPr>
              <w:t>Programs</w:t>
            </w:r>
            <w:r>
              <w:rPr>
                <w:color w:val="FFFFFF"/>
                <w:sz w:val="18"/>
              </w:rPr>
              <w:tab/>
            </w:r>
            <w:r>
              <w:rPr>
                <w:color w:val="FFFFFF"/>
                <w:spacing w:val="-2"/>
                <w:sz w:val="18"/>
              </w:rPr>
              <w:t>2023‐24</w:t>
            </w:r>
            <w:r>
              <w:rPr>
                <w:color w:val="FFFFFF"/>
                <w:sz w:val="18"/>
              </w:rPr>
              <w:tab/>
            </w:r>
            <w:r>
              <w:rPr>
                <w:color w:val="FFFFFF"/>
                <w:spacing w:val="-2"/>
                <w:sz w:val="18"/>
              </w:rPr>
              <w:t>2024‐25</w:t>
            </w:r>
            <w:r>
              <w:rPr>
                <w:color w:val="FFFFFF"/>
                <w:sz w:val="18"/>
              </w:rPr>
              <w:tab/>
            </w:r>
            <w:r>
              <w:rPr>
                <w:color w:val="FFFFFF"/>
                <w:spacing w:val="-2"/>
                <w:sz w:val="18"/>
              </w:rPr>
              <w:t>2025‐26</w:t>
            </w:r>
            <w:r>
              <w:rPr>
                <w:color w:val="FFFFFF"/>
                <w:sz w:val="18"/>
              </w:rPr>
              <w:tab/>
            </w:r>
            <w:r>
              <w:rPr>
                <w:color w:val="FFFFFF"/>
                <w:spacing w:val="-2"/>
                <w:sz w:val="18"/>
              </w:rPr>
              <w:t>2026‐27</w:t>
            </w:r>
            <w:r>
              <w:rPr>
                <w:color w:val="FFFFFF"/>
                <w:sz w:val="18"/>
              </w:rPr>
              <w:tab/>
            </w:r>
            <w:r>
              <w:rPr>
                <w:color w:val="FFFFFF"/>
                <w:spacing w:val="-2"/>
                <w:sz w:val="18"/>
              </w:rPr>
              <w:t>2027‐28</w:t>
            </w:r>
          </w:p>
        </w:tc>
      </w:tr>
      <w:tr w:rsidR="00141B97" w14:paraId="6EB191F2" w14:textId="77777777">
        <w:trPr>
          <w:trHeight w:hRule="exact" w:val="241"/>
        </w:trPr>
        <w:tc>
          <w:tcPr>
            <w:tcW w:w="2461" w:type="dxa"/>
            <w:tcBorders>
              <w:left w:val="nil"/>
              <w:bottom w:val="nil"/>
            </w:tcBorders>
            <w:shd w:val="clear" w:color="auto" w:fill="CCE2ED"/>
          </w:tcPr>
          <w:p w14:paraId="458D6E5F" w14:textId="77777777" w:rsidR="00141B97" w:rsidRDefault="00911D63">
            <w:pPr>
              <w:pStyle w:val="TableParagraph"/>
              <w:spacing w:line="216" w:lineRule="exact"/>
              <w:ind w:left="101"/>
              <w:rPr>
                <w:sz w:val="18"/>
              </w:rPr>
            </w:pPr>
            <w:r>
              <w:rPr>
                <w:sz w:val="18"/>
              </w:rPr>
              <w:t>Urban</w:t>
            </w:r>
            <w:r>
              <w:rPr>
                <w:spacing w:val="-3"/>
                <w:sz w:val="18"/>
              </w:rPr>
              <w:t xml:space="preserve"> </w:t>
            </w:r>
            <w:r>
              <w:rPr>
                <w:sz w:val="18"/>
              </w:rPr>
              <w:t>Water</w:t>
            </w:r>
            <w:r>
              <w:rPr>
                <w:spacing w:val="-2"/>
                <w:sz w:val="18"/>
              </w:rPr>
              <w:t xml:space="preserve"> Mains</w:t>
            </w:r>
          </w:p>
        </w:tc>
        <w:tc>
          <w:tcPr>
            <w:tcW w:w="1237" w:type="dxa"/>
            <w:tcBorders>
              <w:bottom w:val="nil"/>
            </w:tcBorders>
            <w:shd w:val="clear" w:color="auto" w:fill="CCE2ED"/>
          </w:tcPr>
          <w:p w14:paraId="5DD00A7A" w14:textId="77777777" w:rsidR="00141B97" w:rsidRDefault="00141B97">
            <w:pPr>
              <w:pStyle w:val="TableParagraph"/>
              <w:rPr>
                <w:rFonts w:ascii="Times New Roman"/>
                <w:sz w:val="16"/>
              </w:rPr>
            </w:pPr>
          </w:p>
        </w:tc>
        <w:tc>
          <w:tcPr>
            <w:tcW w:w="1855" w:type="dxa"/>
            <w:tcBorders>
              <w:bottom w:val="nil"/>
            </w:tcBorders>
            <w:shd w:val="clear" w:color="auto" w:fill="CCE2ED"/>
          </w:tcPr>
          <w:p w14:paraId="112ECD9A" w14:textId="77777777" w:rsidR="00141B97" w:rsidRDefault="00141B97">
            <w:pPr>
              <w:pStyle w:val="TableParagraph"/>
              <w:rPr>
                <w:rFonts w:ascii="Times New Roman"/>
                <w:sz w:val="16"/>
              </w:rPr>
            </w:pPr>
          </w:p>
        </w:tc>
        <w:tc>
          <w:tcPr>
            <w:tcW w:w="1543" w:type="dxa"/>
            <w:tcBorders>
              <w:bottom w:val="nil"/>
              <w:right w:val="nil"/>
            </w:tcBorders>
            <w:shd w:val="clear" w:color="auto" w:fill="CCE2ED"/>
          </w:tcPr>
          <w:p w14:paraId="4B925A45" w14:textId="77777777" w:rsidR="00141B97" w:rsidRDefault="00141B97">
            <w:pPr>
              <w:pStyle w:val="TableParagraph"/>
              <w:rPr>
                <w:rFonts w:ascii="Times New Roman"/>
                <w:sz w:val="16"/>
              </w:rPr>
            </w:pPr>
          </w:p>
        </w:tc>
        <w:tc>
          <w:tcPr>
            <w:tcW w:w="8586" w:type="dxa"/>
            <w:vMerge w:val="restart"/>
            <w:tcBorders>
              <w:left w:val="nil"/>
              <w:right w:val="nil"/>
            </w:tcBorders>
            <w:shd w:val="clear" w:color="auto" w:fill="CCE2ED"/>
          </w:tcPr>
          <w:p w14:paraId="489DF44A" w14:textId="77777777" w:rsidR="00141B97" w:rsidRDefault="00911D63">
            <w:pPr>
              <w:pStyle w:val="TableParagraph"/>
              <w:tabs>
                <w:tab w:val="left" w:pos="3759"/>
                <w:tab w:val="left" w:pos="4798"/>
                <w:tab w:val="left" w:pos="5837"/>
                <w:tab w:val="left" w:pos="6875"/>
                <w:tab w:val="right" w:pos="8232"/>
              </w:tabs>
              <w:spacing w:before="85"/>
              <w:ind w:left="107"/>
              <w:rPr>
                <w:sz w:val="18"/>
              </w:rPr>
            </w:pPr>
            <w:r>
              <w:rPr>
                <w:sz w:val="18"/>
              </w:rPr>
              <w:t>ALL</w:t>
            </w:r>
            <w:r>
              <w:rPr>
                <w:spacing w:val="-2"/>
                <w:sz w:val="18"/>
              </w:rPr>
              <w:t xml:space="preserve"> </w:t>
            </w:r>
            <w:r>
              <w:rPr>
                <w:sz w:val="18"/>
              </w:rPr>
              <w:t>SITES</w:t>
            </w:r>
            <w:r>
              <w:rPr>
                <w:spacing w:val="-1"/>
                <w:sz w:val="18"/>
              </w:rPr>
              <w:t xml:space="preserve"> </w:t>
            </w:r>
            <w:r>
              <w:rPr>
                <w:sz w:val="18"/>
              </w:rPr>
              <w:t>Main</w:t>
            </w:r>
            <w:r>
              <w:rPr>
                <w:spacing w:val="-2"/>
                <w:sz w:val="18"/>
              </w:rPr>
              <w:t xml:space="preserve"> Replacement</w:t>
            </w:r>
            <w:r>
              <w:rPr>
                <w:sz w:val="18"/>
              </w:rPr>
              <w:tab/>
            </w:r>
            <w:r>
              <w:rPr>
                <w:spacing w:val="-4"/>
                <w:sz w:val="18"/>
              </w:rPr>
              <w:t>0.97</w:t>
            </w:r>
            <w:r>
              <w:rPr>
                <w:sz w:val="18"/>
              </w:rPr>
              <w:tab/>
            </w:r>
            <w:r>
              <w:rPr>
                <w:spacing w:val="-4"/>
                <w:sz w:val="18"/>
              </w:rPr>
              <w:t>0.97</w:t>
            </w:r>
            <w:r>
              <w:rPr>
                <w:sz w:val="18"/>
              </w:rPr>
              <w:tab/>
            </w:r>
            <w:r>
              <w:rPr>
                <w:spacing w:val="-4"/>
                <w:sz w:val="18"/>
              </w:rPr>
              <w:t>0.97</w:t>
            </w:r>
            <w:r>
              <w:rPr>
                <w:sz w:val="18"/>
              </w:rPr>
              <w:tab/>
            </w:r>
            <w:r>
              <w:rPr>
                <w:spacing w:val="-4"/>
                <w:sz w:val="18"/>
              </w:rPr>
              <w:t>0.97</w:t>
            </w:r>
            <w:r>
              <w:rPr>
                <w:rFonts w:ascii="Times New Roman"/>
                <w:sz w:val="18"/>
              </w:rPr>
              <w:tab/>
            </w:r>
            <w:r>
              <w:rPr>
                <w:spacing w:val="-4"/>
                <w:sz w:val="18"/>
              </w:rPr>
              <w:t>0.97</w:t>
            </w:r>
          </w:p>
        </w:tc>
      </w:tr>
      <w:tr w:rsidR="00141B97" w14:paraId="30BF06F8" w14:textId="77777777">
        <w:trPr>
          <w:trHeight w:hRule="exact" w:val="158"/>
        </w:trPr>
        <w:tc>
          <w:tcPr>
            <w:tcW w:w="2461" w:type="dxa"/>
            <w:vMerge w:val="restart"/>
            <w:tcBorders>
              <w:top w:val="nil"/>
              <w:left w:val="nil"/>
              <w:bottom w:val="single" w:sz="6" w:space="0" w:color="FFFFFF"/>
            </w:tcBorders>
            <w:shd w:val="clear" w:color="auto" w:fill="CCE2ED"/>
          </w:tcPr>
          <w:p w14:paraId="2D38F3AA" w14:textId="77777777" w:rsidR="00141B97" w:rsidRDefault="00911D63">
            <w:pPr>
              <w:pStyle w:val="TableParagraph"/>
              <w:spacing w:line="203" w:lineRule="exact"/>
              <w:ind w:left="101"/>
              <w:rPr>
                <w:sz w:val="18"/>
              </w:rPr>
            </w:pPr>
            <w:r>
              <w:rPr>
                <w:spacing w:val="-2"/>
                <w:sz w:val="18"/>
              </w:rPr>
              <w:t>Replacement</w:t>
            </w:r>
          </w:p>
        </w:tc>
        <w:tc>
          <w:tcPr>
            <w:tcW w:w="1237" w:type="dxa"/>
            <w:vMerge w:val="restart"/>
            <w:tcBorders>
              <w:top w:val="nil"/>
              <w:bottom w:val="single" w:sz="6" w:space="0" w:color="FFFFFF"/>
            </w:tcBorders>
            <w:shd w:val="clear" w:color="auto" w:fill="CCE2ED"/>
          </w:tcPr>
          <w:p w14:paraId="7CE8993F" w14:textId="77777777" w:rsidR="00141B97" w:rsidRDefault="00911D63">
            <w:pPr>
              <w:pStyle w:val="TableParagraph"/>
              <w:spacing w:before="64"/>
              <w:ind w:left="442" w:right="442"/>
              <w:jc w:val="center"/>
              <w:rPr>
                <w:sz w:val="18"/>
              </w:rPr>
            </w:pPr>
            <w:r>
              <w:rPr>
                <w:spacing w:val="-4"/>
                <w:sz w:val="18"/>
              </w:rPr>
              <w:t>6.09</w:t>
            </w:r>
          </w:p>
        </w:tc>
        <w:tc>
          <w:tcPr>
            <w:tcW w:w="1855" w:type="dxa"/>
            <w:vMerge w:val="restart"/>
            <w:tcBorders>
              <w:top w:val="nil"/>
              <w:bottom w:val="single" w:sz="6" w:space="0" w:color="FFFFFF"/>
            </w:tcBorders>
            <w:shd w:val="clear" w:color="auto" w:fill="CCE2ED"/>
          </w:tcPr>
          <w:p w14:paraId="024BF396" w14:textId="77777777" w:rsidR="00141B97" w:rsidRDefault="00911D63">
            <w:pPr>
              <w:pStyle w:val="TableParagraph"/>
              <w:spacing w:before="64"/>
              <w:ind w:left="430"/>
              <w:rPr>
                <w:sz w:val="18"/>
              </w:rPr>
            </w:pPr>
            <w:r>
              <w:rPr>
                <w:sz w:val="18"/>
              </w:rPr>
              <w:t>Urban</w:t>
            </w:r>
            <w:r>
              <w:rPr>
                <w:spacing w:val="-1"/>
                <w:sz w:val="18"/>
              </w:rPr>
              <w:t xml:space="preserve"> </w:t>
            </w:r>
            <w:r>
              <w:rPr>
                <w:spacing w:val="-2"/>
                <w:sz w:val="18"/>
              </w:rPr>
              <w:t>Water</w:t>
            </w:r>
          </w:p>
        </w:tc>
        <w:tc>
          <w:tcPr>
            <w:tcW w:w="1543" w:type="dxa"/>
            <w:vMerge w:val="restart"/>
            <w:tcBorders>
              <w:top w:val="nil"/>
              <w:bottom w:val="single" w:sz="6" w:space="0" w:color="FFFFFF"/>
              <w:right w:val="nil"/>
            </w:tcBorders>
            <w:shd w:val="clear" w:color="auto" w:fill="CCE2ED"/>
          </w:tcPr>
          <w:p w14:paraId="36CC71F9" w14:textId="77777777" w:rsidR="00141B97" w:rsidRDefault="00911D63">
            <w:pPr>
              <w:pStyle w:val="TableParagraph"/>
              <w:spacing w:before="64"/>
              <w:ind w:left="402"/>
              <w:rPr>
                <w:sz w:val="18"/>
              </w:rPr>
            </w:pPr>
            <w:r>
              <w:rPr>
                <w:spacing w:val="-2"/>
                <w:sz w:val="18"/>
              </w:rPr>
              <w:t>Renewals</w:t>
            </w:r>
          </w:p>
        </w:tc>
        <w:tc>
          <w:tcPr>
            <w:tcW w:w="8586" w:type="dxa"/>
            <w:vMerge/>
            <w:tcBorders>
              <w:top w:val="nil"/>
              <w:left w:val="nil"/>
              <w:right w:val="nil"/>
            </w:tcBorders>
            <w:shd w:val="clear" w:color="auto" w:fill="CCE2ED"/>
          </w:tcPr>
          <w:p w14:paraId="5C3D24F1" w14:textId="77777777" w:rsidR="00141B97" w:rsidRDefault="00141B97">
            <w:pPr>
              <w:rPr>
                <w:sz w:val="2"/>
                <w:szCs w:val="2"/>
              </w:rPr>
            </w:pPr>
          </w:p>
        </w:tc>
      </w:tr>
      <w:tr w:rsidR="00141B97" w14:paraId="64E81BE5" w14:textId="77777777">
        <w:trPr>
          <w:trHeight w:hRule="exact" w:val="430"/>
        </w:trPr>
        <w:tc>
          <w:tcPr>
            <w:tcW w:w="2461" w:type="dxa"/>
            <w:vMerge/>
            <w:tcBorders>
              <w:top w:val="nil"/>
              <w:left w:val="nil"/>
              <w:bottom w:val="single" w:sz="6" w:space="0" w:color="FFFFFF"/>
            </w:tcBorders>
            <w:shd w:val="clear" w:color="auto" w:fill="CCE2ED"/>
          </w:tcPr>
          <w:p w14:paraId="2B7B34A2" w14:textId="77777777" w:rsidR="00141B97" w:rsidRDefault="00141B97">
            <w:pPr>
              <w:rPr>
                <w:sz w:val="2"/>
                <w:szCs w:val="2"/>
              </w:rPr>
            </w:pPr>
          </w:p>
        </w:tc>
        <w:tc>
          <w:tcPr>
            <w:tcW w:w="1237" w:type="dxa"/>
            <w:vMerge/>
            <w:tcBorders>
              <w:top w:val="nil"/>
              <w:bottom w:val="single" w:sz="6" w:space="0" w:color="FFFFFF"/>
            </w:tcBorders>
            <w:shd w:val="clear" w:color="auto" w:fill="CCE2ED"/>
          </w:tcPr>
          <w:p w14:paraId="309EEAD7" w14:textId="77777777" w:rsidR="00141B97" w:rsidRDefault="00141B97">
            <w:pPr>
              <w:rPr>
                <w:sz w:val="2"/>
                <w:szCs w:val="2"/>
              </w:rPr>
            </w:pPr>
          </w:p>
        </w:tc>
        <w:tc>
          <w:tcPr>
            <w:tcW w:w="1855" w:type="dxa"/>
            <w:vMerge/>
            <w:tcBorders>
              <w:top w:val="nil"/>
              <w:bottom w:val="single" w:sz="6" w:space="0" w:color="FFFFFF"/>
            </w:tcBorders>
            <w:shd w:val="clear" w:color="auto" w:fill="CCE2ED"/>
          </w:tcPr>
          <w:p w14:paraId="5BA41897" w14:textId="77777777" w:rsidR="00141B97" w:rsidRDefault="00141B97">
            <w:pPr>
              <w:rPr>
                <w:sz w:val="2"/>
                <w:szCs w:val="2"/>
              </w:rPr>
            </w:pPr>
          </w:p>
        </w:tc>
        <w:tc>
          <w:tcPr>
            <w:tcW w:w="1543" w:type="dxa"/>
            <w:vMerge/>
            <w:tcBorders>
              <w:top w:val="nil"/>
              <w:bottom w:val="single" w:sz="6" w:space="0" w:color="FFFFFF"/>
              <w:right w:val="nil"/>
            </w:tcBorders>
            <w:shd w:val="clear" w:color="auto" w:fill="CCE2ED"/>
          </w:tcPr>
          <w:p w14:paraId="41503491" w14:textId="77777777" w:rsidR="00141B97" w:rsidRDefault="00141B97">
            <w:pPr>
              <w:rPr>
                <w:sz w:val="2"/>
                <w:szCs w:val="2"/>
              </w:rPr>
            </w:pPr>
          </w:p>
        </w:tc>
        <w:tc>
          <w:tcPr>
            <w:tcW w:w="8586" w:type="dxa"/>
            <w:tcBorders>
              <w:left w:val="nil"/>
              <w:bottom w:val="single" w:sz="6" w:space="0" w:color="FFFFFF"/>
              <w:right w:val="nil"/>
            </w:tcBorders>
            <w:shd w:val="clear" w:color="auto" w:fill="CCE2ED"/>
          </w:tcPr>
          <w:p w14:paraId="3CFD851A" w14:textId="77777777" w:rsidR="00141B97" w:rsidRDefault="00911D63">
            <w:pPr>
              <w:pStyle w:val="TableParagraph"/>
              <w:tabs>
                <w:tab w:val="left" w:pos="3759"/>
                <w:tab w:val="left" w:pos="4798"/>
                <w:tab w:val="left" w:pos="5837"/>
                <w:tab w:val="left" w:pos="6875"/>
                <w:tab w:val="right" w:pos="8232"/>
              </w:tabs>
              <w:spacing w:before="101"/>
              <w:ind w:left="107"/>
              <w:rPr>
                <w:sz w:val="18"/>
              </w:rPr>
            </w:pPr>
            <w:r>
              <w:rPr>
                <w:sz w:val="18"/>
              </w:rPr>
              <w:t>ALL</w:t>
            </w:r>
            <w:r>
              <w:rPr>
                <w:spacing w:val="-2"/>
                <w:sz w:val="18"/>
              </w:rPr>
              <w:t xml:space="preserve"> </w:t>
            </w:r>
            <w:r>
              <w:rPr>
                <w:sz w:val="18"/>
              </w:rPr>
              <w:t>SITES</w:t>
            </w:r>
            <w:r>
              <w:rPr>
                <w:spacing w:val="-1"/>
                <w:sz w:val="18"/>
              </w:rPr>
              <w:t xml:space="preserve"> </w:t>
            </w:r>
            <w:r>
              <w:rPr>
                <w:sz w:val="18"/>
              </w:rPr>
              <w:t>PSP</w:t>
            </w:r>
            <w:r>
              <w:rPr>
                <w:spacing w:val="-2"/>
                <w:sz w:val="18"/>
              </w:rPr>
              <w:t xml:space="preserve"> Replacement</w:t>
            </w:r>
            <w:r>
              <w:rPr>
                <w:sz w:val="18"/>
              </w:rPr>
              <w:tab/>
            </w:r>
            <w:r>
              <w:rPr>
                <w:spacing w:val="-4"/>
                <w:sz w:val="18"/>
              </w:rPr>
              <w:t>0.24</w:t>
            </w:r>
            <w:r>
              <w:rPr>
                <w:sz w:val="18"/>
              </w:rPr>
              <w:tab/>
            </w:r>
            <w:r>
              <w:rPr>
                <w:spacing w:val="-4"/>
                <w:sz w:val="18"/>
              </w:rPr>
              <w:t>0.24</w:t>
            </w:r>
            <w:r>
              <w:rPr>
                <w:sz w:val="18"/>
              </w:rPr>
              <w:tab/>
            </w:r>
            <w:r>
              <w:rPr>
                <w:spacing w:val="-4"/>
                <w:sz w:val="18"/>
              </w:rPr>
              <w:t>0.24</w:t>
            </w:r>
            <w:r>
              <w:rPr>
                <w:sz w:val="18"/>
              </w:rPr>
              <w:tab/>
            </w:r>
            <w:r>
              <w:rPr>
                <w:spacing w:val="-4"/>
                <w:sz w:val="18"/>
              </w:rPr>
              <w:t>0.24</w:t>
            </w:r>
            <w:r>
              <w:rPr>
                <w:rFonts w:ascii="Times New Roman"/>
                <w:sz w:val="18"/>
              </w:rPr>
              <w:tab/>
            </w:r>
            <w:r>
              <w:rPr>
                <w:spacing w:val="-4"/>
                <w:sz w:val="18"/>
              </w:rPr>
              <w:t>0.24</w:t>
            </w:r>
          </w:p>
        </w:tc>
      </w:tr>
      <w:tr w:rsidR="00141B97" w14:paraId="3B3B070F" w14:textId="77777777">
        <w:trPr>
          <w:trHeight w:hRule="exact" w:val="310"/>
        </w:trPr>
        <w:tc>
          <w:tcPr>
            <w:tcW w:w="2461" w:type="dxa"/>
            <w:tcBorders>
              <w:top w:val="single" w:sz="6" w:space="0" w:color="FFFFFF"/>
              <w:left w:val="nil"/>
              <w:bottom w:val="nil"/>
            </w:tcBorders>
            <w:shd w:val="clear" w:color="auto" w:fill="CCE2ED"/>
          </w:tcPr>
          <w:p w14:paraId="37831E26" w14:textId="77777777" w:rsidR="00141B97" w:rsidRDefault="00911D63">
            <w:pPr>
              <w:pStyle w:val="TableParagraph"/>
              <w:spacing w:before="83" w:line="199" w:lineRule="exact"/>
              <w:ind w:left="101"/>
              <w:rPr>
                <w:sz w:val="18"/>
              </w:rPr>
            </w:pPr>
            <w:r>
              <w:rPr>
                <w:sz w:val="18"/>
              </w:rPr>
              <w:t>Sewer</w:t>
            </w:r>
            <w:r>
              <w:rPr>
                <w:spacing w:val="-1"/>
                <w:sz w:val="18"/>
              </w:rPr>
              <w:t xml:space="preserve"> </w:t>
            </w:r>
            <w:r>
              <w:rPr>
                <w:sz w:val="18"/>
              </w:rPr>
              <w:t>Mains</w:t>
            </w:r>
            <w:r>
              <w:rPr>
                <w:spacing w:val="-3"/>
                <w:sz w:val="18"/>
              </w:rPr>
              <w:t xml:space="preserve"> </w:t>
            </w:r>
            <w:r>
              <w:rPr>
                <w:sz w:val="18"/>
              </w:rPr>
              <w:t xml:space="preserve">and </w:t>
            </w:r>
            <w:r>
              <w:rPr>
                <w:spacing w:val="-2"/>
                <w:sz w:val="18"/>
              </w:rPr>
              <w:t>Maintenance</w:t>
            </w:r>
          </w:p>
        </w:tc>
        <w:tc>
          <w:tcPr>
            <w:tcW w:w="1237" w:type="dxa"/>
            <w:tcBorders>
              <w:top w:val="single" w:sz="6" w:space="0" w:color="FFFFFF"/>
              <w:bottom w:val="nil"/>
            </w:tcBorders>
            <w:shd w:val="clear" w:color="auto" w:fill="CCE2ED"/>
          </w:tcPr>
          <w:p w14:paraId="3C28583E" w14:textId="77777777" w:rsidR="00141B97" w:rsidRDefault="00141B97">
            <w:pPr>
              <w:pStyle w:val="TableParagraph"/>
              <w:rPr>
                <w:rFonts w:ascii="Times New Roman"/>
                <w:sz w:val="18"/>
              </w:rPr>
            </w:pPr>
          </w:p>
        </w:tc>
        <w:tc>
          <w:tcPr>
            <w:tcW w:w="1855" w:type="dxa"/>
            <w:tcBorders>
              <w:top w:val="single" w:sz="6" w:space="0" w:color="FFFFFF"/>
              <w:bottom w:val="nil"/>
            </w:tcBorders>
            <w:shd w:val="clear" w:color="auto" w:fill="CCE2ED"/>
          </w:tcPr>
          <w:p w14:paraId="72CE2474" w14:textId="77777777" w:rsidR="00141B97" w:rsidRDefault="00141B97">
            <w:pPr>
              <w:pStyle w:val="TableParagraph"/>
              <w:rPr>
                <w:rFonts w:ascii="Times New Roman"/>
                <w:sz w:val="18"/>
              </w:rPr>
            </w:pPr>
          </w:p>
        </w:tc>
        <w:tc>
          <w:tcPr>
            <w:tcW w:w="1543" w:type="dxa"/>
            <w:tcBorders>
              <w:top w:val="single" w:sz="6" w:space="0" w:color="FFFFFF"/>
              <w:bottom w:val="nil"/>
              <w:right w:val="nil"/>
            </w:tcBorders>
            <w:shd w:val="clear" w:color="auto" w:fill="CCE2ED"/>
          </w:tcPr>
          <w:p w14:paraId="69595F7D" w14:textId="77777777" w:rsidR="00141B97" w:rsidRDefault="00141B97">
            <w:pPr>
              <w:pStyle w:val="TableParagraph"/>
              <w:rPr>
                <w:rFonts w:ascii="Times New Roman"/>
                <w:sz w:val="18"/>
              </w:rPr>
            </w:pPr>
          </w:p>
        </w:tc>
        <w:tc>
          <w:tcPr>
            <w:tcW w:w="8586" w:type="dxa"/>
            <w:tcBorders>
              <w:top w:val="single" w:sz="6" w:space="0" w:color="FFFFFF"/>
              <w:left w:val="nil"/>
              <w:right w:val="nil"/>
            </w:tcBorders>
            <w:shd w:val="clear" w:color="auto" w:fill="CCE2ED"/>
          </w:tcPr>
          <w:p w14:paraId="24B1273D" w14:textId="77777777" w:rsidR="00141B97" w:rsidRDefault="00911D63">
            <w:pPr>
              <w:pStyle w:val="TableParagraph"/>
              <w:tabs>
                <w:tab w:val="left" w:pos="3759"/>
                <w:tab w:val="left" w:pos="4798"/>
                <w:tab w:val="left" w:pos="5837"/>
                <w:tab w:val="left" w:pos="6875"/>
                <w:tab w:val="right" w:pos="8232"/>
              </w:tabs>
              <w:spacing w:before="37"/>
              <w:ind w:left="107"/>
              <w:rPr>
                <w:sz w:val="18"/>
              </w:rPr>
            </w:pPr>
            <w:r>
              <w:rPr>
                <w:sz w:val="18"/>
              </w:rPr>
              <w:t>ALL</w:t>
            </w:r>
            <w:r>
              <w:rPr>
                <w:spacing w:val="-4"/>
                <w:sz w:val="18"/>
              </w:rPr>
              <w:t xml:space="preserve"> </w:t>
            </w:r>
            <w:r>
              <w:rPr>
                <w:sz w:val="18"/>
              </w:rPr>
              <w:t>SITES</w:t>
            </w:r>
            <w:r>
              <w:rPr>
                <w:spacing w:val="-3"/>
                <w:sz w:val="18"/>
              </w:rPr>
              <w:t xml:space="preserve"> </w:t>
            </w:r>
            <w:r>
              <w:rPr>
                <w:sz w:val="18"/>
              </w:rPr>
              <w:t>Rehabilitation</w:t>
            </w:r>
            <w:r>
              <w:rPr>
                <w:spacing w:val="-3"/>
                <w:sz w:val="18"/>
              </w:rPr>
              <w:t xml:space="preserve"> </w:t>
            </w:r>
            <w:r>
              <w:rPr>
                <w:sz w:val="18"/>
              </w:rPr>
              <w:t>of</w:t>
            </w:r>
            <w:r>
              <w:rPr>
                <w:spacing w:val="-3"/>
                <w:sz w:val="18"/>
              </w:rPr>
              <w:t xml:space="preserve"> </w:t>
            </w:r>
            <w:r>
              <w:rPr>
                <w:spacing w:val="-2"/>
                <w:sz w:val="18"/>
              </w:rPr>
              <w:t>Sewers</w:t>
            </w:r>
            <w:r>
              <w:rPr>
                <w:sz w:val="18"/>
              </w:rPr>
              <w:tab/>
            </w:r>
            <w:r>
              <w:rPr>
                <w:spacing w:val="-4"/>
                <w:sz w:val="18"/>
              </w:rPr>
              <w:t>0.65</w:t>
            </w:r>
            <w:r>
              <w:rPr>
                <w:sz w:val="18"/>
              </w:rPr>
              <w:tab/>
            </w:r>
            <w:r>
              <w:rPr>
                <w:spacing w:val="-4"/>
                <w:sz w:val="18"/>
              </w:rPr>
              <w:t>1.40</w:t>
            </w:r>
            <w:r>
              <w:rPr>
                <w:sz w:val="18"/>
              </w:rPr>
              <w:tab/>
            </w:r>
            <w:r>
              <w:rPr>
                <w:spacing w:val="-4"/>
                <w:sz w:val="18"/>
              </w:rPr>
              <w:t>0.30</w:t>
            </w:r>
            <w:r>
              <w:rPr>
                <w:sz w:val="18"/>
              </w:rPr>
              <w:tab/>
            </w:r>
            <w:r>
              <w:rPr>
                <w:spacing w:val="-4"/>
                <w:sz w:val="18"/>
              </w:rPr>
              <w:t>0.30</w:t>
            </w:r>
            <w:r>
              <w:rPr>
                <w:rFonts w:ascii="Times New Roman"/>
                <w:sz w:val="18"/>
              </w:rPr>
              <w:tab/>
            </w:r>
            <w:r>
              <w:rPr>
                <w:spacing w:val="-4"/>
                <w:sz w:val="18"/>
              </w:rPr>
              <w:t>0.60</w:t>
            </w:r>
          </w:p>
        </w:tc>
      </w:tr>
      <w:tr w:rsidR="00141B97" w14:paraId="75786D2A" w14:textId="77777777">
        <w:trPr>
          <w:trHeight w:hRule="exact" w:val="236"/>
        </w:trPr>
        <w:tc>
          <w:tcPr>
            <w:tcW w:w="2461" w:type="dxa"/>
            <w:tcBorders>
              <w:top w:val="nil"/>
              <w:left w:val="nil"/>
              <w:bottom w:val="nil"/>
            </w:tcBorders>
            <w:shd w:val="clear" w:color="auto" w:fill="CCE2ED"/>
          </w:tcPr>
          <w:p w14:paraId="628A9141" w14:textId="77777777" w:rsidR="00141B97" w:rsidRDefault="00911D63">
            <w:pPr>
              <w:pStyle w:val="TableParagraph"/>
              <w:spacing w:line="216" w:lineRule="exact"/>
              <w:ind w:left="101"/>
              <w:rPr>
                <w:sz w:val="18"/>
              </w:rPr>
            </w:pPr>
            <w:r>
              <w:rPr>
                <w:spacing w:val="-2"/>
                <w:sz w:val="18"/>
              </w:rPr>
              <w:t>Structures</w:t>
            </w:r>
          </w:p>
        </w:tc>
        <w:tc>
          <w:tcPr>
            <w:tcW w:w="1237" w:type="dxa"/>
            <w:tcBorders>
              <w:top w:val="nil"/>
              <w:bottom w:val="nil"/>
            </w:tcBorders>
            <w:shd w:val="clear" w:color="auto" w:fill="CCE2ED"/>
          </w:tcPr>
          <w:p w14:paraId="78F35D66" w14:textId="77777777" w:rsidR="00141B97" w:rsidRDefault="00911D63">
            <w:pPr>
              <w:pStyle w:val="TableParagraph"/>
              <w:spacing w:line="216" w:lineRule="exact"/>
              <w:ind w:left="442" w:right="442"/>
              <w:jc w:val="center"/>
              <w:rPr>
                <w:sz w:val="18"/>
              </w:rPr>
            </w:pPr>
            <w:r>
              <w:rPr>
                <w:spacing w:val="-4"/>
                <w:sz w:val="18"/>
              </w:rPr>
              <w:t>6.09</w:t>
            </w:r>
          </w:p>
        </w:tc>
        <w:tc>
          <w:tcPr>
            <w:tcW w:w="1855" w:type="dxa"/>
            <w:tcBorders>
              <w:top w:val="nil"/>
              <w:bottom w:val="nil"/>
            </w:tcBorders>
            <w:shd w:val="clear" w:color="auto" w:fill="CCE2ED"/>
          </w:tcPr>
          <w:p w14:paraId="2B531CC0" w14:textId="77777777" w:rsidR="00141B97" w:rsidRDefault="00911D63">
            <w:pPr>
              <w:pStyle w:val="TableParagraph"/>
              <w:spacing w:line="216" w:lineRule="exact"/>
              <w:ind w:left="549"/>
              <w:rPr>
                <w:sz w:val="18"/>
              </w:rPr>
            </w:pPr>
            <w:r>
              <w:rPr>
                <w:spacing w:val="-2"/>
                <w:sz w:val="18"/>
              </w:rPr>
              <w:t>Sewerage</w:t>
            </w:r>
          </w:p>
        </w:tc>
        <w:tc>
          <w:tcPr>
            <w:tcW w:w="1543" w:type="dxa"/>
            <w:tcBorders>
              <w:top w:val="nil"/>
              <w:bottom w:val="nil"/>
              <w:right w:val="nil"/>
            </w:tcBorders>
            <w:shd w:val="clear" w:color="auto" w:fill="CCE2ED"/>
          </w:tcPr>
          <w:p w14:paraId="2E82AD9E" w14:textId="77777777" w:rsidR="00141B97" w:rsidRDefault="00911D63">
            <w:pPr>
              <w:pStyle w:val="TableParagraph"/>
              <w:spacing w:line="216" w:lineRule="exact"/>
              <w:ind w:left="402"/>
              <w:rPr>
                <w:sz w:val="18"/>
              </w:rPr>
            </w:pPr>
            <w:r>
              <w:rPr>
                <w:spacing w:val="-2"/>
                <w:sz w:val="18"/>
              </w:rPr>
              <w:t>Renewals</w:t>
            </w:r>
          </w:p>
        </w:tc>
        <w:tc>
          <w:tcPr>
            <w:tcW w:w="8586" w:type="dxa"/>
            <w:vMerge w:val="restart"/>
            <w:tcBorders>
              <w:left w:val="nil"/>
              <w:right w:val="nil"/>
            </w:tcBorders>
            <w:shd w:val="clear" w:color="auto" w:fill="CCE2ED"/>
          </w:tcPr>
          <w:p w14:paraId="664B6541" w14:textId="77777777" w:rsidR="00141B97" w:rsidRDefault="00911D63">
            <w:pPr>
              <w:pStyle w:val="TableParagraph"/>
              <w:tabs>
                <w:tab w:val="left" w:pos="3759"/>
                <w:tab w:val="left" w:pos="4798"/>
                <w:tab w:val="left" w:pos="5837"/>
                <w:tab w:val="left" w:pos="6875"/>
                <w:tab w:val="right" w:pos="8232"/>
              </w:tabs>
              <w:spacing w:before="18" w:line="217" w:lineRule="exact"/>
              <w:ind w:left="107"/>
              <w:rPr>
                <w:sz w:val="18"/>
              </w:rPr>
            </w:pPr>
            <w:r>
              <w:rPr>
                <w:sz w:val="18"/>
              </w:rPr>
              <w:t>ALL</w:t>
            </w:r>
            <w:r>
              <w:rPr>
                <w:spacing w:val="-1"/>
                <w:sz w:val="18"/>
              </w:rPr>
              <w:t xml:space="preserve"> </w:t>
            </w:r>
            <w:r>
              <w:rPr>
                <w:sz w:val="18"/>
              </w:rPr>
              <w:t>SITES</w:t>
            </w:r>
            <w:r>
              <w:rPr>
                <w:spacing w:val="38"/>
                <w:sz w:val="18"/>
              </w:rPr>
              <w:t xml:space="preserve"> </w:t>
            </w:r>
            <w:r>
              <w:rPr>
                <w:sz w:val="18"/>
              </w:rPr>
              <w:t>HSL</w:t>
            </w:r>
            <w:r>
              <w:rPr>
                <w:spacing w:val="-2"/>
                <w:sz w:val="18"/>
              </w:rPr>
              <w:t xml:space="preserve"> replacement</w:t>
            </w:r>
            <w:r>
              <w:rPr>
                <w:sz w:val="18"/>
              </w:rPr>
              <w:tab/>
            </w:r>
            <w:r>
              <w:rPr>
                <w:spacing w:val="-4"/>
                <w:sz w:val="18"/>
              </w:rPr>
              <w:t>0.43</w:t>
            </w:r>
            <w:r>
              <w:rPr>
                <w:sz w:val="18"/>
              </w:rPr>
              <w:tab/>
            </w:r>
            <w:r>
              <w:rPr>
                <w:spacing w:val="-4"/>
                <w:sz w:val="18"/>
              </w:rPr>
              <w:t>0.43</w:t>
            </w:r>
            <w:r>
              <w:rPr>
                <w:sz w:val="18"/>
              </w:rPr>
              <w:tab/>
            </w:r>
            <w:r>
              <w:rPr>
                <w:spacing w:val="-4"/>
                <w:sz w:val="18"/>
              </w:rPr>
              <w:t>0.43</w:t>
            </w:r>
            <w:r>
              <w:rPr>
                <w:sz w:val="18"/>
              </w:rPr>
              <w:tab/>
            </w:r>
            <w:r>
              <w:rPr>
                <w:spacing w:val="-4"/>
                <w:sz w:val="18"/>
              </w:rPr>
              <w:t>0.43</w:t>
            </w:r>
            <w:r>
              <w:rPr>
                <w:rFonts w:ascii="Times New Roman"/>
                <w:sz w:val="18"/>
              </w:rPr>
              <w:tab/>
            </w:r>
            <w:r>
              <w:rPr>
                <w:spacing w:val="-4"/>
                <w:sz w:val="18"/>
              </w:rPr>
              <w:t>0.43</w:t>
            </w:r>
          </w:p>
        </w:tc>
      </w:tr>
      <w:tr w:rsidR="00141B97" w14:paraId="096C2743" w14:textId="77777777">
        <w:trPr>
          <w:trHeight w:hRule="exact" w:val="28"/>
        </w:trPr>
        <w:tc>
          <w:tcPr>
            <w:tcW w:w="2461" w:type="dxa"/>
            <w:vMerge w:val="restart"/>
            <w:tcBorders>
              <w:top w:val="nil"/>
              <w:left w:val="nil"/>
              <w:bottom w:val="single" w:sz="6" w:space="0" w:color="FFFFFF"/>
            </w:tcBorders>
            <w:shd w:val="clear" w:color="auto" w:fill="CCE2ED"/>
          </w:tcPr>
          <w:p w14:paraId="2800DC72" w14:textId="77777777" w:rsidR="00141B97" w:rsidRDefault="00911D63">
            <w:pPr>
              <w:pStyle w:val="TableParagraph"/>
              <w:spacing w:line="203" w:lineRule="exact"/>
              <w:ind w:left="101"/>
              <w:rPr>
                <w:sz w:val="18"/>
              </w:rPr>
            </w:pPr>
            <w:r>
              <w:rPr>
                <w:spacing w:val="-2"/>
                <w:sz w:val="18"/>
              </w:rPr>
              <w:t>Replacement/Rehab.</w:t>
            </w:r>
          </w:p>
        </w:tc>
        <w:tc>
          <w:tcPr>
            <w:tcW w:w="1237" w:type="dxa"/>
            <w:vMerge w:val="restart"/>
            <w:tcBorders>
              <w:top w:val="nil"/>
              <w:bottom w:val="single" w:sz="6" w:space="0" w:color="FFFFFF"/>
            </w:tcBorders>
            <w:shd w:val="clear" w:color="auto" w:fill="CCE2ED"/>
          </w:tcPr>
          <w:p w14:paraId="4415C261" w14:textId="77777777" w:rsidR="00141B97" w:rsidRDefault="00141B97">
            <w:pPr>
              <w:pStyle w:val="TableParagraph"/>
              <w:rPr>
                <w:rFonts w:ascii="Times New Roman"/>
                <w:sz w:val="18"/>
              </w:rPr>
            </w:pPr>
          </w:p>
        </w:tc>
        <w:tc>
          <w:tcPr>
            <w:tcW w:w="1855" w:type="dxa"/>
            <w:vMerge w:val="restart"/>
            <w:tcBorders>
              <w:top w:val="nil"/>
              <w:bottom w:val="single" w:sz="6" w:space="0" w:color="FFFFFF"/>
            </w:tcBorders>
            <w:shd w:val="clear" w:color="auto" w:fill="CCE2ED"/>
          </w:tcPr>
          <w:p w14:paraId="11CEC939" w14:textId="77777777" w:rsidR="00141B97" w:rsidRDefault="00141B97">
            <w:pPr>
              <w:pStyle w:val="TableParagraph"/>
              <w:rPr>
                <w:rFonts w:ascii="Times New Roman"/>
                <w:sz w:val="18"/>
              </w:rPr>
            </w:pPr>
          </w:p>
        </w:tc>
        <w:tc>
          <w:tcPr>
            <w:tcW w:w="1543" w:type="dxa"/>
            <w:vMerge w:val="restart"/>
            <w:tcBorders>
              <w:top w:val="nil"/>
              <w:bottom w:val="single" w:sz="6" w:space="0" w:color="FFFFFF"/>
              <w:right w:val="nil"/>
            </w:tcBorders>
            <w:shd w:val="clear" w:color="auto" w:fill="CCE2ED"/>
          </w:tcPr>
          <w:p w14:paraId="450A5C35" w14:textId="77777777" w:rsidR="00141B97" w:rsidRDefault="00141B97">
            <w:pPr>
              <w:pStyle w:val="TableParagraph"/>
              <w:rPr>
                <w:rFonts w:ascii="Times New Roman"/>
                <w:sz w:val="18"/>
              </w:rPr>
            </w:pPr>
          </w:p>
        </w:tc>
        <w:tc>
          <w:tcPr>
            <w:tcW w:w="8586" w:type="dxa"/>
            <w:vMerge/>
            <w:tcBorders>
              <w:top w:val="nil"/>
              <w:left w:val="nil"/>
              <w:right w:val="nil"/>
            </w:tcBorders>
            <w:shd w:val="clear" w:color="auto" w:fill="CCE2ED"/>
          </w:tcPr>
          <w:p w14:paraId="3980488D" w14:textId="77777777" w:rsidR="00141B97" w:rsidRDefault="00141B97">
            <w:pPr>
              <w:rPr>
                <w:sz w:val="2"/>
                <w:szCs w:val="2"/>
              </w:rPr>
            </w:pPr>
          </w:p>
        </w:tc>
      </w:tr>
      <w:tr w:rsidR="00141B97" w14:paraId="57B97D75" w14:textId="77777777">
        <w:trPr>
          <w:trHeight w:hRule="exact" w:val="264"/>
        </w:trPr>
        <w:tc>
          <w:tcPr>
            <w:tcW w:w="2461" w:type="dxa"/>
            <w:vMerge/>
            <w:tcBorders>
              <w:top w:val="nil"/>
              <w:left w:val="nil"/>
              <w:bottom w:val="single" w:sz="6" w:space="0" w:color="FFFFFF"/>
            </w:tcBorders>
            <w:shd w:val="clear" w:color="auto" w:fill="CCE2ED"/>
          </w:tcPr>
          <w:p w14:paraId="152AE73F" w14:textId="77777777" w:rsidR="00141B97" w:rsidRDefault="00141B97">
            <w:pPr>
              <w:rPr>
                <w:sz w:val="2"/>
                <w:szCs w:val="2"/>
              </w:rPr>
            </w:pPr>
          </w:p>
        </w:tc>
        <w:tc>
          <w:tcPr>
            <w:tcW w:w="1237" w:type="dxa"/>
            <w:vMerge/>
            <w:tcBorders>
              <w:top w:val="nil"/>
              <w:bottom w:val="single" w:sz="6" w:space="0" w:color="FFFFFF"/>
            </w:tcBorders>
            <w:shd w:val="clear" w:color="auto" w:fill="CCE2ED"/>
          </w:tcPr>
          <w:p w14:paraId="29F60E51" w14:textId="77777777" w:rsidR="00141B97" w:rsidRDefault="00141B97">
            <w:pPr>
              <w:rPr>
                <w:sz w:val="2"/>
                <w:szCs w:val="2"/>
              </w:rPr>
            </w:pPr>
          </w:p>
        </w:tc>
        <w:tc>
          <w:tcPr>
            <w:tcW w:w="1855" w:type="dxa"/>
            <w:vMerge/>
            <w:tcBorders>
              <w:top w:val="nil"/>
              <w:bottom w:val="single" w:sz="6" w:space="0" w:color="FFFFFF"/>
            </w:tcBorders>
            <w:shd w:val="clear" w:color="auto" w:fill="CCE2ED"/>
          </w:tcPr>
          <w:p w14:paraId="5F8FF644" w14:textId="77777777" w:rsidR="00141B97" w:rsidRDefault="00141B97">
            <w:pPr>
              <w:rPr>
                <w:sz w:val="2"/>
                <w:szCs w:val="2"/>
              </w:rPr>
            </w:pPr>
          </w:p>
        </w:tc>
        <w:tc>
          <w:tcPr>
            <w:tcW w:w="1543" w:type="dxa"/>
            <w:vMerge/>
            <w:tcBorders>
              <w:top w:val="nil"/>
              <w:bottom w:val="single" w:sz="6" w:space="0" w:color="FFFFFF"/>
              <w:right w:val="nil"/>
            </w:tcBorders>
            <w:shd w:val="clear" w:color="auto" w:fill="CCE2ED"/>
          </w:tcPr>
          <w:p w14:paraId="30E77B6D" w14:textId="77777777" w:rsidR="00141B97" w:rsidRDefault="00141B97">
            <w:pPr>
              <w:rPr>
                <w:sz w:val="2"/>
                <w:szCs w:val="2"/>
              </w:rPr>
            </w:pPr>
          </w:p>
        </w:tc>
        <w:tc>
          <w:tcPr>
            <w:tcW w:w="8586" w:type="dxa"/>
            <w:tcBorders>
              <w:left w:val="nil"/>
              <w:bottom w:val="single" w:sz="6" w:space="0" w:color="FFFFFF"/>
              <w:right w:val="nil"/>
            </w:tcBorders>
            <w:shd w:val="clear" w:color="auto" w:fill="CCE2ED"/>
          </w:tcPr>
          <w:p w14:paraId="3B76CD94" w14:textId="77777777" w:rsidR="00141B97" w:rsidRDefault="00911D63">
            <w:pPr>
              <w:pStyle w:val="TableParagraph"/>
              <w:tabs>
                <w:tab w:val="left" w:pos="3759"/>
                <w:tab w:val="left" w:pos="4798"/>
                <w:tab w:val="left" w:pos="5837"/>
                <w:tab w:val="left" w:pos="6875"/>
                <w:tab w:val="right" w:pos="8232"/>
              </w:tabs>
              <w:spacing w:before="18" w:line="214" w:lineRule="exact"/>
              <w:ind w:left="107"/>
              <w:rPr>
                <w:sz w:val="18"/>
              </w:rPr>
            </w:pPr>
            <w:r>
              <w:rPr>
                <w:sz w:val="18"/>
              </w:rPr>
              <w:t>ALL</w:t>
            </w:r>
            <w:r>
              <w:rPr>
                <w:spacing w:val="-3"/>
                <w:sz w:val="18"/>
              </w:rPr>
              <w:t xml:space="preserve"> </w:t>
            </w:r>
            <w:r>
              <w:rPr>
                <w:sz w:val="18"/>
              </w:rPr>
              <w:t>SITES</w:t>
            </w:r>
            <w:r>
              <w:rPr>
                <w:spacing w:val="36"/>
                <w:sz w:val="18"/>
              </w:rPr>
              <w:t xml:space="preserve"> </w:t>
            </w:r>
            <w:r>
              <w:rPr>
                <w:sz w:val="18"/>
              </w:rPr>
              <w:t>manholes</w:t>
            </w:r>
            <w:r>
              <w:rPr>
                <w:spacing w:val="-4"/>
                <w:sz w:val="18"/>
              </w:rPr>
              <w:t xml:space="preserve"> </w:t>
            </w:r>
            <w:r>
              <w:rPr>
                <w:spacing w:val="-2"/>
                <w:sz w:val="18"/>
              </w:rPr>
              <w:t>rehab</w:t>
            </w:r>
            <w:r>
              <w:rPr>
                <w:sz w:val="18"/>
              </w:rPr>
              <w:tab/>
            </w:r>
            <w:r>
              <w:rPr>
                <w:spacing w:val="-4"/>
                <w:sz w:val="18"/>
              </w:rPr>
              <w:t>0.14</w:t>
            </w:r>
            <w:r>
              <w:rPr>
                <w:sz w:val="18"/>
              </w:rPr>
              <w:tab/>
            </w:r>
            <w:r>
              <w:rPr>
                <w:spacing w:val="-4"/>
                <w:sz w:val="18"/>
              </w:rPr>
              <w:t>0.14</w:t>
            </w:r>
            <w:r>
              <w:rPr>
                <w:sz w:val="18"/>
              </w:rPr>
              <w:tab/>
            </w:r>
            <w:r>
              <w:rPr>
                <w:spacing w:val="-4"/>
                <w:sz w:val="18"/>
              </w:rPr>
              <w:t>0.14</w:t>
            </w:r>
            <w:r>
              <w:rPr>
                <w:sz w:val="18"/>
              </w:rPr>
              <w:tab/>
            </w:r>
            <w:r>
              <w:rPr>
                <w:spacing w:val="-4"/>
                <w:sz w:val="18"/>
              </w:rPr>
              <w:t>0.14</w:t>
            </w:r>
            <w:r>
              <w:rPr>
                <w:rFonts w:ascii="Times New Roman"/>
                <w:sz w:val="18"/>
              </w:rPr>
              <w:tab/>
            </w:r>
            <w:r>
              <w:rPr>
                <w:spacing w:val="-4"/>
                <w:sz w:val="18"/>
              </w:rPr>
              <w:t>0.14</w:t>
            </w:r>
          </w:p>
        </w:tc>
      </w:tr>
      <w:tr w:rsidR="00141B97" w14:paraId="4F04C2D2" w14:textId="77777777">
        <w:trPr>
          <w:trHeight w:hRule="exact" w:val="400"/>
        </w:trPr>
        <w:tc>
          <w:tcPr>
            <w:tcW w:w="2461" w:type="dxa"/>
            <w:vMerge w:val="restart"/>
            <w:tcBorders>
              <w:top w:val="single" w:sz="6" w:space="0" w:color="FFFFFF"/>
              <w:left w:val="nil"/>
            </w:tcBorders>
            <w:shd w:val="clear" w:color="auto" w:fill="CCE2ED"/>
          </w:tcPr>
          <w:p w14:paraId="020ED16B" w14:textId="77777777" w:rsidR="00141B97" w:rsidRDefault="00141B97">
            <w:pPr>
              <w:pStyle w:val="TableParagraph"/>
              <w:spacing w:before="2"/>
              <w:rPr>
                <w:sz w:val="14"/>
              </w:rPr>
            </w:pPr>
          </w:p>
          <w:p w14:paraId="0D84962B" w14:textId="77777777" w:rsidR="00141B97" w:rsidRDefault="00911D63">
            <w:pPr>
              <w:pStyle w:val="TableParagraph"/>
              <w:ind w:left="101"/>
              <w:rPr>
                <w:sz w:val="18"/>
              </w:rPr>
            </w:pPr>
            <w:r>
              <w:rPr>
                <w:sz w:val="18"/>
              </w:rPr>
              <w:t>Light</w:t>
            </w:r>
            <w:r>
              <w:rPr>
                <w:spacing w:val="-5"/>
                <w:sz w:val="18"/>
              </w:rPr>
              <w:t xml:space="preserve"> </w:t>
            </w:r>
            <w:r>
              <w:rPr>
                <w:sz w:val="18"/>
              </w:rPr>
              <w:t>Motor</w:t>
            </w:r>
            <w:r>
              <w:rPr>
                <w:spacing w:val="-4"/>
                <w:sz w:val="18"/>
              </w:rPr>
              <w:t xml:space="preserve"> </w:t>
            </w:r>
            <w:r>
              <w:rPr>
                <w:sz w:val="18"/>
              </w:rPr>
              <w:t>Vehicle</w:t>
            </w:r>
            <w:r>
              <w:rPr>
                <w:spacing w:val="-5"/>
                <w:sz w:val="18"/>
              </w:rPr>
              <w:t xml:space="preserve"> </w:t>
            </w:r>
            <w:r>
              <w:rPr>
                <w:sz w:val="18"/>
              </w:rPr>
              <w:t>Fleet</w:t>
            </w:r>
            <w:r>
              <w:rPr>
                <w:spacing w:val="-4"/>
                <w:sz w:val="18"/>
              </w:rPr>
              <w:t xml:space="preserve"> </w:t>
            </w:r>
            <w:r>
              <w:rPr>
                <w:spacing w:val="-10"/>
                <w:sz w:val="18"/>
              </w:rPr>
              <w:t>‐</w:t>
            </w:r>
          </w:p>
          <w:p w14:paraId="3281AE1D" w14:textId="77777777" w:rsidR="00141B97" w:rsidRDefault="00911D63">
            <w:pPr>
              <w:pStyle w:val="TableParagraph"/>
              <w:ind w:left="101"/>
              <w:rPr>
                <w:sz w:val="18"/>
              </w:rPr>
            </w:pPr>
            <w:r>
              <w:rPr>
                <w:sz w:val="18"/>
              </w:rPr>
              <w:t>annual</w:t>
            </w:r>
            <w:r>
              <w:rPr>
                <w:spacing w:val="-1"/>
                <w:sz w:val="18"/>
              </w:rPr>
              <w:t xml:space="preserve"> </w:t>
            </w:r>
            <w:r>
              <w:rPr>
                <w:sz w:val="18"/>
              </w:rPr>
              <w:t>vehicle</w:t>
            </w:r>
            <w:r>
              <w:rPr>
                <w:spacing w:val="-1"/>
                <w:sz w:val="18"/>
              </w:rPr>
              <w:t xml:space="preserve"> </w:t>
            </w:r>
            <w:r>
              <w:rPr>
                <w:spacing w:val="-2"/>
                <w:sz w:val="18"/>
              </w:rPr>
              <w:t>replacements</w:t>
            </w:r>
          </w:p>
        </w:tc>
        <w:tc>
          <w:tcPr>
            <w:tcW w:w="1237" w:type="dxa"/>
            <w:vMerge w:val="restart"/>
            <w:tcBorders>
              <w:top w:val="single" w:sz="6" w:space="0" w:color="FFFFFF"/>
            </w:tcBorders>
            <w:shd w:val="clear" w:color="auto" w:fill="CCE2ED"/>
          </w:tcPr>
          <w:p w14:paraId="34016BBF" w14:textId="77777777" w:rsidR="00141B97" w:rsidRDefault="00141B97">
            <w:pPr>
              <w:pStyle w:val="TableParagraph"/>
              <w:spacing w:before="1"/>
              <w:rPr>
                <w:sz w:val="23"/>
              </w:rPr>
            </w:pPr>
          </w:p>
          <w:p w14:paraId="358F56BA" w14:textId="77777777" w:rsidR="00141B97" w:rsidRDefault="00911D63">
            <w:pPr>
              <w:pStyle w:val="TableParagraph"/>
              <w:ind w:left="442" w:right="442"/>
              <w:jc w:val="center"/>
              <w:rPr>
                <w:sz w:val="18"/>
              </w:rPr>
            </w:pPr>
            <w:r>
              <w:rPr>
                <w:spacing w:val="-4"/>
                <w:sz w:val="18"/>
              </w:rPr>
              <w:t>3.58</w:t>
            </w:r>
          </w:p>
        </w:tc>
        <w:tc>
          <w:tcPr>
            <w:tcW w:w="1855" w:type="dxa"/>
            <w:vMerge w:val="restart"/>
            <w:tcBorders>
              <w:top w:val="single" w:sz="6" w:space="0" w:color="FFFFFF"/>
            </w:tcBorders>
            <w:shd w:val="clear" w:color="auto" w:fill="CCE2ED"/>
          </w:tcPr>
          <w:p w14:paraId="56FEFD54" w14:textId="77777777" w:rsidR="00141B97" w:rsidRDefault="00141B97">
            <w:pPr>
              <w:pStyle w:val="TableParagraph"/>
              <w:spacing w:before="1"/>
              <w:rPr>
                <w:sz w:val="23"/>
              </w:rPr>
            </w:pPr>
          </w:p>
          <w:p w14:paraId="0F495E9A" w14:textId="77777777" w:rsidR="00141B97" w:rsidRDefault="00911D63">
            <w:pPr>
              <w:pStyle w:val="TableParagraph"/>
              <w:ind w:left="534"/>
              <w:rPr>
                <w:sz w:val="18"/>
              </w:rPr>
            </w:pPr>
            <w:r>
              <w:rPr>
                <w:spacing w:val="-2"/>
                <w:sz w:val="18"/>
              </w:rPr>
              <w:t>Corporate</w:t>
            </w:r>
          </w:p>
        </w:tc>
        <w:tc>
          <w:tcPr>
            <w:tcW w:w="1543" w:type="dxa"/>
            <w:vMerge w:val="restart"/>
            <w:tcBorders>
              <w:top w:val="single" w:sz="6" w:space="0" w:color="FFFFFF"/>
              <w:right w:val="nil"/>
            </w:tcBorders>
            <w:shd w:val="clear" w:color="auto" w:fill="CCE2ED"/>
          </w:tcPr>
          <w:p w14:paraId="0CBF00AE" w14:textId="77777777" w:rsidR="00141B97" w:rsidRDefault="00141B97">
            <w:pPr>
              <w:pStyle w:val="TableParagraph"/>
              <w:spacing w:before="1"/>
              <w:rPr>
                <w:sz w:val="23"/>
              </w:rPr>
            </w:pPr>
          </w:p>
          <w:p w14:paraId="1689D8AC" w14:textId="77777777" w:rsidR="00141B97" w:rsidRDefault="00911D63">
            <w:pPr>
              <w:pStyle w:val="TableParagraph"/>
              <w:ind w:left="402"/>
              <w:rPr>
                <w:sz w:val="18"/>
              </w:rPr>
            </w:pPr>
            <w:r>
              <w:rPr>
                <w:spacing w:val="-2"/>
                <w:sz w:val="18"/>
              </w:rPr>
              <w:t>Renewals</w:t>
            </w:r>
          </w:p>
        </w:tc>
        <w:tc>
          <w:tcPr>
            <w:tcW w:w="8586" w:type="dxa"/>
            <w:tcBorders>
              <w:top w:val="single" w:sz="6" w:space="0" w:color="FFFFFF"/>
              <w:left w:val="nil"/>
              <w:right w:val="nil"/>
            </w:tcBorders>
            <w:shd w:val="clear" w:color="auto" w:fill="CCE2ED"/>
          </w:tcPr>
          <w:p w14:paraId="414A0092" w14:textId="77777777" w:rsidR="00141B97" w:rsidRDefault="00911D63">
            <w:pPr>
              <w:pStyle w:val="TableParagraph"/>
              <w:tabs>
                <w:tab w:val="left" w:pos="3759"/>
                <w:tab w:val="left" w:pos="4798"/>
                <w:tab w:val="left" w:pos="5837"/>
                <w:tab w:val="left" w:pos="6875"/>
                <w:tab w:val="right" w:pos="8232"/>
              </w:tabs>
              <w:spacing w:before="83"/>
              <w:ind w:left="107"/>
              <w:rPr>
                <w:sz w:val="18"/>
              </w:rPr>
            </w:pPr>
            <w:r>
              <w:rPr>
                <w:sz w:val="18"/>
              </w:rPr>
              <w:t>Motor</w:t>
            </w:r>
            <w:r>
              <w:rPr>
                <w:spacing w:val="-4"/>
                <w:sz w:val="18"/>
              </w:rPr>
              <w:t xml:space="preserve"> </w:t>
            </w:r>
            <w:r>
              <w:rPr>
                <w:sz w:val="18"/>
              </w:rPr>
              <w:t>vehicles</w:t>
            </w:r>
            <w:r>
              <w:rPr>
                <w:spacing w:val="-4"/>
                <w:sz w:val="18"/>
              </w:rPr>
              <w:t xml:space="preserve"> </w:t>
            </w:r>
            <w:r>
              <w:rPr>
                <w:sz w:val="18"/>
              </w:rPr>
              <w:t>‐</w:t>
            </w:r>
            <w:r>
              <w:rPr>
                <w:spacing w:val="-3"/>
                <w:sz w:val="18"/>
              </w:rPr>
              <w:t xml:space="preserve"> </w:t>
            </w:r>
            <w:r>
              <w:rPr>
                <w:spacing w:val="-2"/>
                <w:sz w:val="18"/>
              </w:rPr>
              <w:t>Water</w:t>
            </w:r>
            <w:r>
              <w:rPr>
                <w:sz w:val="18"/>
              </w:rPr>
              <w:tab/>
            </w:r>
            <w:r>
              <w:rPr>
                <w:spacing w:val="-4"/>
                <w:sz w:val="18"/>
              </w:rPr>
              <w:t>0.60</w:t>
            </w:r>
            <w:r>
              <w:rPr>
                <w:sz w:val="18"/>
              </w:rPr>
              <w:tab/>
            </w:r>
            <w:r>
              <w:rPr>
                <w:spacing w:val="-4"/>
                <w:sz w:val="18"/>
              </w:rPr>
              <w:t>0.37</w:t>
            </w:r>
            <w:r>
              <w:rPr>
                <w:sz w:val="18"/>
              </w:rPr>
              <w:tab/>
            </w:r>
            <w:r>
              <w:rPr>
                <w:spacing w:val="-4"/>
                <w:sz w:val="18"/>
              </w:rPr>
              <w:t>0.29</w:t>
            </w:r>
            <w:r>
              <w:rPr>
                <w:sz w:val="18"/>
              </w:rPr>
              <w:tab/>
            </w:r>
            <w:r>
              <w:rPr>
                <w:spacing w:val="-4"/>
                <w:sz w:val="18"/>
              </w:rPr>
              <w:t>0.33</w:t>
            </w:r>
            <w:r>
              <w:rPr>
                <w:rFonts w:ascii="Times New Roman" w:hAnsi="Times New Roman"/>
                <w:sz w:val="18"/>
              </w:rPr>
              <w:tab/>
            </w:r>
            <w:r>
              <w:rPr>
                <w:spacing w:val="-4"/>
                <w:sz w:val="18"/>
              </w:rPr>
              <w:t>0.34</w:t>
            </w:r>
          </w:p>
        </w:tc>
      </w:tr>
      <w:tr w:rsidR="00141B97" w14:paraId="149CA898" w14:textId="77777777">
        <w:trPr>
          <w:trHeight w:hRule="exact" w:val="399"/>
        </w:trPr>
        <w:tc>
          <w:tcPr>
            <w:tcW w:w="2461" w:type="dxa"/>
            <w:vMerge/>
            <w:tcBorders>
              <w:top w:val="nil"/>
              <w:left w:val="nil"/>
            </w:tcBorders>
            <w:shd w:val="clear" w:color="auto" w:fill="CCE2ED"/>
          </w:tcPr>
          <w:p w14:paraId="04B2CDB5" w14:textId="77777777" w:rsidR="00141B97" w:rsidRDefault="00141B97">
            <w:pPr>
              <w:rPr>
                <w:sz w:val="2"/>
                <w:szCs w:val="2"/>
              </w:rPr>
            </w:pPr>
          </w:p>
        </w:tc>
        <w:tc>
          <w:tcPr>
            <w:tcW w:w="1237" w:type="dxa"/>
            <w:vMerge/>
            <w:tcBorders>
              <w:top w:val="nil"/>
            </w:tcBorders>
            <w:shd w:val="clear" w:color="auto" w:fill="CCE2ED"/>
          </w:tcPr>
          <w:p w14:paraId="5A8A3CF1" w14:textId="77777777" w:rsidR="00141B97" w:rsidRDefault="00141B97">
            <w:pPr>
              <w:rPr>
                <w:sz w:val="2"/>
                <w:szCs w:val="2"/>
              </w:rPr>
            </w:pPr>
          </w:p>
        </w:tc>
        <w:tc>
          <w:tcPr>
            <w:tcW w:w="1855" w:type="dxa"/>
            <w:vMerge/>
            <w:tcBorders>
              <w:top w:val="nil"/>
            </w:tcBorders>
            <w:shd w:val="clear" w:color="auto" w:fill="CCE2ED"/>
          </w:tcPr>
          <w:p w14:paraId="0450DF7E" w14:textId="77777777" w:rsidR="00141B97" w:rsidRDefault="00141B97">
            <w:pPr>
              <w:rPr>
                <w:sz w:val="2"/>
                <w:szCs w:val="2"/>
              </w:rPr>
            </w:pPr>
          </w:p>
        </w:tc>
        <w:tc>
          <w:tcPr>
            <w:tcW w:w="1543" w:type="dxa"/>
            <w:vMerge/>
            <w:tcBorders>
              <w:top w:val="nil"/>
              <w:right w:val="nil"/>
            </w:tcBorders>
            <w:shd w:val="clear" w:color="auto" w:fill="CCE2ED"/>
          </w:tcPr>
          <w:p w14:paraId="2D9A9481" w14:textId="77777777" w:rsidR="00141B97" w:rsidRDefault="00141B97">
            <w:pPr>
              <w:rPr>
                <w:sz w:val="2"/>
                <w:szCs w:val="2"/>
              </w:rPr>
            </w:pPr>
          </w:p>
        </w:tc>
        <w:tc>
          <w:tcPr>
            <w:tcW w:w="8586" w:type="dxa"/>
            <w:tcBorders>
              <w:left w:val="nil"/>
              <w:right w:val="nil"/>
            </w:tcBorders>
            <w:shd w:val="clear" w:color="auto" w:fill="CCE2ED"/>
          </w:tcPr>
          <w:p w14:paraId="1E3FE764" w14:textId="77777777" w:rsidR="00141B97" w:rsidRDefault="00911D63">
            <w:pPr>
              <w:pStyle w:val="TableParagraph"/>
              <w:tabs>
                <w:tab w:val="left" w:pos="3759"/>
                <w:tab w:val="left" w:pos="4798"/>
                <w:tab w:val="left" w:pos="5837"/>
                <w:tab w:val="left" w:pos="6875"/>
                <w:tab w:val="right" w:pos="8232"/>
              </w:tabs>
              <w:spacing w:before="85"/>
              <w:ind w:left="107"/>
              <w:rPr>
                <w:sz w:val="18"/>
              </w:rPr>
            </w:pPr>
            <w:r>
              <w:rPr>
                <w:sz w:val="18"/>
              </w:rPr>
              <w:t>Motor</w:t>
            </w:r>
            <w:r>
              <w:rPr>
                <w:spacing w:val="-4"/>
                <w:sz w:val="18"/>
              </w:rPr>
              <w:t xml:space="preserve"> </w:t>
            </w:r>
            <w:r>
              <w:rPr>
                <w:sz w:val="18"/>
              </w:rPr>
              <w:t>vehicles</w:t>
            </w:r>
            <w:r>
              <w:rPr>
                <w:spacing w:val="-4"/>
                <w:sz w:val="18"/>
              </w:rPr>
              <w:t xml:space="preserve"> </w:t>
            </w:r>
            <w:r>
              <w:rPr>
                <w:sz w:val="18"/>
              </w:rPr>
              <w:t>‐</w:t>
            </w:r>
            <w:r>
              <w:rPr>
                <w:spacing w:val="-3"/>
                <w:sz w:val="18"/>
              </w:rPr>
              <w:t xml:space="preserve"> </w:t>
            </w:r>
            <w:r>
              <w:rPr>
                <w:spacing w:val="-2"/>
                <w:sz w:val="18"/>
              </w:rPr>
              <w:t>Sewerage</w:t>
            </w:r>
            <w:r>
              <w:rPr>
                <w:sz w:val="18"/>
              </w:rPr>
              <w:tab/>
            </w:r>
            <w:r>
              <w:rPr>
                <w:spacing w:val="-4"/>
                <w:sz w:val="18"/>
              </w:rPr>
              <w:t>0.51</w:t>
            </w:r>
            <w:r>
              <w:rPr>
                <w:sz w:val="18"/>
              </w:rPr>
              <w:tab/>
            </w:r>
            <w:r>
              <w:rPr>
                <w:spacing w:val="-4"/>
                <w:sz w:val="18"/>
              </w:rPr>
              <w:t>0.32</w:t>
            </w:r>
            <w:r>
              <w:rPr>
                <w:sz w:val="18"/>
              </w:rPr>
              <w:tab/>
            </w:r>
            <w:r>
              <w:rPr>
                <w:spacing w:val="-4"/>
                <w:sz w:val="18"/>
              </w:rPr>
              <w:t>0.25</w:t>
            </w:r>
            <w:r>
              <w:rPr>
                <w:sz w:val="18"/>
              </w:rPr>
              <w:tab/>
            </w:r>
            <w:r>
              <w:rPr>
                <w:spacing w:val="-4"/>
                <w:sz w:val="18"/>
              </w:rPr>
              <w:t>0.28</w:t>
            </w:r>
            <w:r>
              <w:rPr>
                <w:rFonts w:ascii="Times New Roman" w:hAnsi="Times New Roman"/>
                <w:sz w:val="18"/>
              </w:rPr>
              <w:tab/>
            </w:r>
            <w:r>
              <w:rPr>
                <w:spacing w:val="-4"/>
                <w:sz w:val="18"/>
              </w:rPr>
              <w:t>0.29</w:t>
            </w:r>
          </w:p>
        </w:tc>
      </w:tr>
      <w:tr w:rsidR="00141B97" w14:paraId="1FD532BD" w14:textId="77777777">
        <w:trPr>
          <w:trHeight w:hRule="exact" w:val="520"/>
        </w:trPr>
        <w:tc>
          <w:tcPr>
            <w:tcW w:w="2461" w:type="dxa"/>
            <w:vMerge w:val="restart"/>
            <w:tcBorders>
              <w:left w:val="nil"/>
              <w:bottom w:val="single" w:sz="6" w:space="0" w:color="FFFFFF"/>
            </w:tcBorders>
            <w:shd w:val="clear" w:color="auto" w:fill="CCE2ED"/>
          </w:tcPr>
          <w:p w14:paraId="58FC8AB6" w14:textId="77777777" w:rsidR="00141B97" w:rsidRDefault="00141B97">
            <w:pPr>
              <w:pStyle w:val="TableParagraph"/>
              <w:spacing w:before="5"/>
              <w:rPr>
                <w:sz w:val="26"/>
              </w:rPr>
            </w:pPr>
          </w:p>
          <w:p w14:paraId="6B624A7F" w14:textId="77777777" w:rsidR="00141B97" w:rsidRDefault="00911D63">
            <w:pPr>
              <w:pStyle w:val="TableParagraph"/>
              <w:ind w:left="101"/>
              <w:rPr>
                <w:sz w:val="18"/>
              </w:rPr>
            </w:pPr>
            <w:r>
              <w:rPr>
                <w:sz w:val="18"/>
              </w:rPr>
              <w:t xml:space="preserve">Minor capex ‐ </w:t>
            </w:r>
            <w:r>
              <w:rPr>
                <w:spacing w:val="-2"/>
                <w:sz w:val="18"/>
              </w:rPr>
              <w:t>Water</w:t>
            </w:r>
          </w:p>
        </w:tc>
        <w:tc>
          <w:tcPr>
            <w:tcW w:w="1237" w:type="dxa"/>
            <w:vMerge w:val="restart"/>
            <w:tcBorders>
              <w:bottom w:val="single" w:sz="6" w:space="0" w:color="FFFFFF"/>
            </w:tcBorders>
            <w:shd w:val="clear" w:color="auto" w:fill="CCE2ED"/>
          </w:tcPr>
          <w:p w14:paraId="34D0D6EF" w14:textId="77777777" w:rsidR="00141B97" w:rsidRDefault="00141B97">
            <w:pPr>
              <w:pStyle w:val="TableParagraph"/>
              <w:spacing w:before="5"/>
              <w:rPr>
                <w:sz w:val="26"/>
              </w:rPr>
            </w:pPr>
          </w:p>
          <w:p w14:paraId="4AD25EC6" w14:textId="77777777" w:rsidR="00141B97" w:rsidRDefault="00911D63">
            <w:pPr>
              <w:pStyle w:val="TableParagraph"/>
              <w:ind w:left="442" w:right="442"/>
              <w:jc w:val="center"/>
              <w:rPr>
                <w:sz w:val="18"/>
              </w:rPr>
            </w:pPr>
            <w:r>
              <w:rPr>
                <w:spacing w:val="-4"/>
                <w:sz w:val="18"/>
              </w:rPr>
              <w:t>3.27</w:t>
            </w:r>
          </w:p>
        </w:tc>
        <w:tc>
          <w:tcPr>
            <w:tcW w:w="1855" w:type="dxa"/>
            <w:vMerge w:val="restart"/>
            <w:tcBorders>
              <w:bottom w:val="single" w:sz="6" w:space="0" w:color="FFFFFF"/>
            </w:tcBorders>
            <w:shd w:val="clear" w:color="auto" w:fill="CCE2ED"/>
          </w:tcPr>
          <w:p w14:paraId="038AA481" w14:textId="77777777" w:rsidR="00141B97" w:rsidRDefault="00141B97">
            <w:pPr>
              <w:pStyle w:val="TableParagraph"/>
              <w:spacing w:before="5"/>
              <w:rPr>
                <w:sz w:val="26"/>
              </w:rPr>
            </w:pPr>
          </w:p>
          <w:p w14:paraId="78D5A2C8" w14:textId="77777777" w:rsidR="00141B97" w:rsidRDefault="00911D63">
            <w:pPr>
              <w:pStyle w:val="TableParagraph"/>
              <w:ind w:left="430"/>
              <w:rPr>
                <w:sz w:val="18"/>
              </w:rPr>
            </w:pPr>
            <w:r>
              <w:rPr>
                <w:sz w:val="18"/>
              </w:rPr>
              <w:t>Urban</w:t>
            </w:r>
            <w:r>
              <w:rPr>
                <w:spacing w:val="-1"/>
                <w:sz w:val="18"/>
              </w:rPr>
              <w:t xml:space="preserve"> </w:t>
            </w:r>
            <w:r>
              <w:rPr>
                <w:spacing w:val="-2"/>
                <w:sz w:val="18"/>
              </w:rPr>
              <w:t>Water</w:t>
            </w:r>
          </w:p>
        </w:tc>
        <w:tc>
          <w:tcPr>
            <w:tcW w:w="10129" w:type="dxa"/>
            <w:gridSpan w:val="2"/>
            <w:tcBorders>
              <w:bottom w:val="single" w:sz="6" w:space="0" w:color="FFFFFF"/>
              <w:right w:val="nil"/>
            </w:tcBorders>
            <w:shd w:val="clear" w:color="auto" w:fill="CCE2ED"/>
          </w:tcPr>
          <w:p w14:paraId="36D2BC28" w14:textId="77777777" w:rsidR="00141B97" w:rsidRDefault="00911D63">
            <w:pPr>
              <w:pStyle w:val="TableParagraph"/>
              <w:tabs>
                <w:tab w:val="left" w:pos="1646"/>
                <w:tab w:val="left" w:pos="5297"/>
                <w:tab w:val="left" w:pos="6336"/>
                <w:tab w:val="left" w:pos="7376"/>
                <w:tab w:val="left" w:pos="8414"/>
                <w:tab w:val="right" w:pos="9770"/>
              </w:tabs>
              <w:spacing w:before="35" w:line="275" w:lineRule="exact"/>
              <w:ind w:left="423"/>
              <w:rPr>
                <w:sz w:val="18"/>
              </w:rPr>
            </w:pPr>
            <w:r>
              <w:rPr>
                <w:spacing w:val="-2"/>
                <w:sz w:val="18"/>
              </w:rPr>
              <w:t>Renewals</w:t>
            </w:r>
            <w:r>
              <w:rPr>
                <w:sz w:val="18"/>
              </w:rPr>
              <w:tab/>
            </w:r>
            <w:r>
              <w:rPr>
                <w:position w:val="11"/>
                <w:sz w:val="18"/>
              </w:rPr>
              <w:t>ALL</w:t>
            </w:r>
            <w:r>
              <w:rPr>
                <w:spacing w:val="-2"/>
                <w:position w:val="11"/>
                <w:sz w:val="18"/>
              </w:rPr>
              <w:t xml:space="preserve"> </w:t>
            </w:r>
            <w:r>
              <w:rPr>
                <w:position w:val="11"/>
                <w:sz w:val="18"/>
              </w:rPr>
              <w:t>SITES</w:t>
            </w:r>
            <w:r>
              <w:rPr>
                <w:spacing w:val="-2"/>
                <w:position w:val="11"/>
                <w:sz w:val="18"/>
              </w:rPr>
              <w:t xml:space="preserve"> </w:t>
            </w:r>
            <w:r>
              <w:rPr>
                <w:position w:val="11"/>
                <w:sz w:val="18"/>
              </w:rPr>
              <w:t>Minor</w:t>
            </w:r>
            <w:r>
              <w:rPr>
                <w:spacing w:val="-2"/>
                <w:position w:val="11"/>
                <w:sz w:val="18"/>
              </w:rPr>
              <w:t xml:space="preserve"> </w:t>
            </w:r>
            <w:r>
              <w:rPr>
                <w:position w:val="11"/>
                <w:sz w:val="18"/>
              </w:rPr>
              <w:t>Capital</w:t>
            </w:r>
            <w:r>
              <w:rPr>
                <w:spacing w:val="-2"/>
                <w:position w:val="11"/>
                <w:sz w:val="18"/>
              </w:rPr>
              <w:t xml:space="preserve"> </w:t>
            </w:r>
            <w:r>
              <w:rPr>
                <w:position w:val="11"/>
                <w:sz w:val="18"/>
              </w:rPr>
              <w:t>Works</w:t>
            </w:r>
            <w:r>
              <w:rPr>
                <w:spacing w:val="-1"/>
                <w:position w:val="11"/>
                <w:sz w:val="18"/>
              </w:rPr>
              <w:t xml:space="preserve"> </w:t>
            </w:r>
            <w:r>
              <w:rPr>
                <w:spacing w:val="-10"/>
                <w:position w:val="11"/>
                <w:sz w:val="18"/>
              </w:rPr>
              <w:t>‐</w:t>
            </w:r>
            <w:r>
              <w:rPr>
                <w:position w:val="11"/>
                <w:sz w:val="18"/>
              </w:rPr>
              <w:tab/>
            </w:r>
            <w:r>
              <w:rPr>
                <w:spacing w:val="-4"/>
                <w:sz w:val="18"/>
              </w:rPr>
              <w:t>0.34</w:t>
            </w:r>
            <w:r>
              <w:rPr>
                <w:sz w:val="18"/>
              </w:rPr>
              <w:tab/>
            </w:r>
            <w:r>
              <w:rPr>
                <w:spacing w:val="-4"/>
                <w:sz w:val="18"/>
              </w:rPr>
              <w:t>0.34</w:t>
            </w:r>
            <w:r>
              <w:rPr>
                <w:sz w:val="18"/>
              </w:rPr>
              <w:tab/>
            </w:r>
            <w:r>
              <w:rPr>
                <w:spacing w:val="-4"/>
                <w:sz w:val="18"/>
              </w:rPr>
              <w:t>0.34</w:t>
            </w:r>
            <w:r>
              <w:rPr>
                <w:sz w:val="18"/>
              </w:rPr>
              <w:tab/>
            </w:r>
            <w:r>
              <w:rPr>
                <w:spacing w:val="-4"/>
                <w:sz w:val="18"/>
              </w:rPr>
              <w:t>0.34</w:t>
            </w:r>
            <w:r>
              <w:rPr>
                <w:rFonts w:ascii="Times New Roman" w:hAnsi="Times New Roman"/>
                <w:sz w:val="18"/>
              </w:rPr>
              <w:tab/>
            </w:r>
            <w:r>
              <w:rPr>
                <w:spacing w:val="-4"/>
                <w:sz w:val="18"/>
              </w:rPr>
              <w:t>0.34</w:t>
            </w:r>
          </w:p>
          <w:p w14:paraId="4D891AC7" w14:textId="77777777" w:rsidR="00141B97" w:rsidRDefault="00911D63">
            <w:pPr>
              <w:pStyle w:val="TableParagraph"/>
              <w:spacing w:line="165" w:lineRule="exact"/>
              <w:ind w:left="1646"/>
              <w:rPr>
                <w:sz w:val="18"/>
              </w:rPr>
            </w:pPr>
            <w:r>
              <w:rPr>
                <w:spacing w:val="-2"/>
                <w:sz w:val="18"/>
              </w:rPr>
              <w:t>Replacement</w:t>
            </w:r>
          </w:p>
        </w:tc>
      </w:tr>
      <w:tr w:rsidR="00141B97" w14:paraId="3ABFB1E7" w14:textId="77777777">
        <w:trPr>
          <w:trHeight w:hRule="exact" w:val="355"/>
        </w:trPr>
        <w:tc>
          <w:tcPr>
            <w:tcW w:w="2461" w:type="dxa"/>
            <w:vMerge/>
            <w:tcBorders>
              <w:top w:val="nil"/>
              <w:left w:val="nil"/>
              <w:bottom w:val="single" w:sz="6" w:space="0" w:color="FFFFFF"/>
            </w:tcBorders>
            <w:shd w:val="clear" w:color="auto" w:fill="CCE2ED"/>
          </w:tcPr>
          <w:p w14:paraId="51084C75" w14:textId="77777777" w:rsidR="00141B97" w:rsidRDefault="00141B97">
            <w:pPr>
              <w:rPr>
                <w:sz w:val="2"/>
                <w:szCs w:val="2"/>
              </w:rPr>
            </w:pPr>
          </w:p>
        </w:tc>
        <w:tc>
          <w:tcPr>
            <w:tcW w:w="1237" w:type="dxa"/>
            <w:vMerge/>
            <w:tcBorders>
              <w:top w:val="nil"/>
              <w:bottom w:val="single" w:sz="6" w:space="0" w:color="FFFFFF"/>
            </w:tcBorders>
            <w:shd w:val="clear" w:color="auto" w:fill="CCE2ED"/>
          </w:tcPr>
          <w:p w14:paraId="466A0F80" w14:textId="77777777" w:rsidR="00141B97" w:rsidRDefault="00141B97">
            <w:pPr>
              <w:rPr>
                <w:sz w:val="2"/>
                <w:szCs w:val="2"/>
              </w:rPr>
            </w:pPr>
          </w:p>
        </w:tc>
        <w:tc>
          <w:tcPr>
            <w:tcW w:w="1855" w:type="dxa"/>
            <w:vMerge/>
            <w:tcBorders>
              <w:top w:val="nil"/>
              <w:bottom w:val="single" w:sz="6" w:space="0" w:color="FFFFFF"/>
            </w:tcBorders>
            <w:shd w:val="clear" w:color="auto" w:fill="CCE2ED"/>
          </w:tcPr>
          <w:p w14:paraId="6DE18A06" w14:textId="77777777" w:rsidR="00141B97" w:rsidRDefault="00141B97">
            <w:pPr>
              <w:rPr>
                <w:sz w:val="2"/>
                <w:szCs w:val="2"/>
              </w:rPr>
            </w:pPr>
          </w:p>
        </w:tc>
        <w:tc>
          <w:tcPr>
            <w:tcW w:w="10129" w:type="dxa"/>
            <w:gridSpan w:val="2"/>
            <w:tcBorders>
              <w:top w:val="single" w:sz="6" w:space="0" w:color="FFFFFF"/>
              <w:bottom w:val="single" w:sz="6" w:space="0" w:color="FFFFFF"/>
              <w:right w:val="nil"/>
            </w:tcBorders>
            <w:shd w:val="clear" w:color="auto" w:fill="CCE2ED"/>
          </w:tcPr>
          <w:p w14:paraId="0078F0EF" w14:textId="77777777" w:rsidR="00141B97" w:rsidRDefault="00911D63">
            <w:pPr>
              <w:pStyle w:val="TableParagraph"/>
              <w:tabs>
                <w:tab w:val="left" w:pos="1646"/>
                <w:tab w:val="left" w:pos="5297"/>
                <w:tab w:val="left" w:pos="6336"/>
                <w:tab w:val="left" w:pos="7376"/>
                <w:tab w:val="left" w:pos="8414"/>
                <w:tab w:val="right" w:pos="9770"/>
              </w:tabs>
              <w:spacing w:before="60"/>
              <w:ind w:left="237"/>
              <w:rPr>
                <w:sz w:val="18"/>
              </w:rPr>
            </w:pPr>
            <w:r>
              <w:rPr>
                <w:spacing w:val="-2"/>
                <w:sz w:val="18"/>
              </w:rPr>
              <w:t>Improvements</w:t>
            </w:r>
            <w:r>
              <w:rPr>
                <w:sz w:val="18"/>
              </w:rPr>
              <w:tab/>
              <w:t>ALL</w:t>
            </w:r>
            <w:r>
              <w:rPr>
                <w:spacing w:val="-2"/>
                <w:sz w:val="18"/>
              </w:rPr>
              <w:t xml:space="preserve"> </w:t>
            </w:r>
            <w:r>
              <w:rPr>
                <w:sz w:val="18"/>
              </w:rPr>
              <w:t>SITES</w:t>
            </w:r>
            <w:r>
              <w:rPr>
                <w:spacing w:val="-1"/>
                <w:sz w:val="18"/>
              </w:rPr>
              <w:t xml:space="preserve"> </w:t>
            </w:r>
            <w:r>
              <w:rPr>
                <w:sz w:val="18"/>
              </w:rPr>
              <w:t>Minor</w:t>
            </w:r>
            <w:r>
              <w:rPr>
                <w:spacing w:val="-2"/>
                <w:sz w:val="18"/>
              </w:rPr>
              <w:t xml:space="preserve"> </w:t>
            </w:r>
            <w:r>
              <w:rPr>
                <w:sz w:val="18"/>
              </w:rPr>
              <w:t>Capital</w:t>
            </w:r>
            <w:r>
              <w:rPr>
                <w:spacing w:val="-2"/>
                <w:sz w:val="18"/>
              </w:rPr>
              <w:t xml:space="preserve"> </w:t>
            </w:r>
            <w:r>
              <w:rPr>
                <w:sz w:val="18"/>
              </w:rPr>
              <w:t>Works</w:t>
            </w:r>
            <w:r>
              <w:rPr>
                <w:spacing w:val="-1"/>
                <w:sz w:val="18"/>
              </w:rPr>
              <w:t xml:space="preserve"> </w:t>
            </w:r>
            <w:r>
              <w:rPr>
                <w:sz w:val="18"/>
              </w:rPr>
              <w:t>‐</w:t>
            </w:r>
            <w:r>
              <w:rPr>
                <w:spacing w:val="-1"/>
                <w:sz w:val="18"/>
              </w:rPr>
              <w:t xml:space="preserve"> </w:t>
            </w:r>
            <w:r>
              <w:rPr>
                <w:spacing w:val="-5"/>
                <w:sz w:val="18"/>
              </w:rPr>
              <w:t>New</w:t>
            </w:r>
            <w:r>
              <w:rPr>
                <w:sz w:val="18"/>
              </w:rPr>
              <w:tab/>
            </w:r>
            <w:r>
              <w:rPr>
                <w:spacing w:val="-4"/>
                <w:sz w:val="18"/>
              </w:rPr>
              <w:t>0.32</w:t>
            </w:r>
            <w:r>
              <w:rPr>
                <w:sz w:val="18"/>
              </w:rPr>
              <w:tab/>
            </w:r>
            <w:r>
              <w:rPr>
                <w:spacing w:val="-4"/>
                <w:sz w:val="18"/>
              </w:rPr>
              <w:t>0.32</w:t>
            </w:r>
            <w:r>
              <w:rPr>
                <w:sz w:val="18"/>
              </w:rPr>
              <w:tab/>
            </w:r>
            <w:r>
              <w:rPr>
                <w:spacing w:val="-4"/>
                <w:sz w:val="18"/>
              </w:rPr>
              <w:t>0.32</w:t>
            </w:r>
            <w:r>
              <w:rPr>
                <w:sz w:val="18"/>
              </w:rPr>
              <w:tab/>
            </w:r>
            <w:r>
              <w:rPr>
                <w:spacing w:val="-4"/>
                <w:sz w:val="18"/>
              </w:rPr>
              <w:t>0.32</w:t>
            </w:r>
            <w:r>
              <w:rPr>
                <w:rFonts w:ascii="Times New Roman" w:hAnsi="Times New Roman"/>
                <w:sz w:val="18"/>
              </w:rPr>
              <w:tab/>
            </w:r>
            <w:r>
              <w:rPr>
                <w:spacing w:val="-4"/>
                <w:sz w:val="18"/>
              </w:rPr>
              <w:t>0.32</w:t>
            </w:r>
          </w:p>
        </w:tc>
      </w:tr>
      <w:tr w:rsidR="00141B97" w14:paraId="2FBAE04C" w14:textId="77777777">
        <w:trPr>
          <w:trHeight w:hRule="exact" w:val="520"/>
        </w:trPr>
        <w:tc>
          <w:tcPr>
            <w:tcW w:w="2461" w:type="dxa"/>
            <w:vMerge w:val="restart"/>
            <w:tcBorders>
              <w:top w:val="single" w:sz="6" w:space="0" w:color="FFFFFF"/>
              <w:left w:val="nil"/>
              <w:bottom w:val="single" w:sz="6" w:space="0" w:color="FFFFFF"/>
            </w:tcBorders>
            <w:shd w:val="clear" w:color="auto" w:fill="CCE2ED"/>
          </w:tcPr>
          <w:p w14:paraId="6718C3C8" w14:textId="77777777" w:rsidR="00141B97" w:rsidRDefault="00141B97">
            <w:pPr>
              <w:pStyle w:val="TableParagraph"/>
              <w:rPr>
                <w:sz w:val="25"/>
              </w:rPr>
            </w:pPr>
          </w:p>
          <w:p w14:paraId="3C1BC54B" w14:textId="77777777" w:rsidR="00141B97" w:rsidRDefault="00911D63">
            <w:pPr>
              <w:pStyle w:val="TableParagraph"/>
              <w:ind w:left="101"/>
              <w:rPr>
                <w:sz w:val="18"/>
              </w:rPr>
            </w:pPr>
            <w:r>
              <w:rPr>
                <w:sz w:val="18"/>
              </w:rPr>
              <w:t>Minor capex ‐</w:t>
            </w:r>
            <w:r>
              <w:rPr>
                <w:spacing w:val="-1"/>
                <w:sz w:val="18"/>
              </w:rPr>
              <w:t xml:space="preserve"> </w:t>
            </w:r>
            <w:r>
              <w:rPr>
                <w:spacing w:val="-2"/>
                <w:sz w:val="18"/>
              </w:rPr>
              <w:t>Sewer</w:t>
            </w:r>
          </w:p>
        </w:tc>
        <w:tc>
          <w:tcPr>
            <w:tcW w:w="1237" w:type="dxa"/>
            <w:vMerge w:val="restart"/>
            <w:tcBorders>
              <w:top w:val="single" w:sz="6" w:space="0" w:color="FFFFFF"/>
              <w:bottom w:val="single" w:sz="6" w:space="0" w:color="FFFFFF"/>
            </w:tcBorders>
            <w:shd w:val="clear" w:color="auto" w:fill="CCE2ED"/>
          </w:tcPr>
          <w:p w14:paraId="106CAED5" w14:textId="77777777" w:rsidR="00141B97" w:rsidRDefault="00141B97">
            <w:pPr>
              <w:pStyle w:val="TableParagraph"/>
              <w:rPr>
                <w:sz w:val="25"/>
              </w:rPr>
            </w:pPr>
          </w:p>
          <w:p w14:paraId="347BDA07" w14:textId="77777777" w:rsidR="00141B97" w:rsidRDefault="00911D63">
            <w:pPr>
              <w:pStyle w:val="TableParagraph"/>
              <w:ind w:left="442" w:right="442"/>
              <w:jc w:val="center"/>
              <w:rPr>
                <w:sz w:val="18"/>
              </w:rPr>
            </w:pPr>
            <w:r>
              <w:rPr>
                <w:spacing w:val="-4"/>
                <w:sz w:val="18"/>
              </w:rPr>
              <w:t>3.80</w:t>
            </w:r>
          </w:p>
        </w:tc>
        <w:tc>
          <w:tcPr>
            <w:tcW w:w="1855" w:type="dxa"/>
            <w:vMerge w:val="restart"/>
            <w:tcBorders>
              <w:top w:val="single" w:sz="6" w:space="0" w:color="FFFFFF"/>
              <w:bottom w:val="single" w:sz="6" w:space="0" w:color="FFFFFF"/>
            </w:tcBorders>
            <w:shd w:val="clear" w:color="auto" w:fill="CCE2ED"/>
          </w:tcPr>
          <w:p w14:paraId="0E67FE4F" w14:textId="77777777" w:rsidR="00141B97" w:rsidRDefault="00141B97">
            <w:pPr>
              <w:pStyle w:val="TableParagraph"/>
              <w:rPr>
                <w:sz w:val="25"/>
              </w:rPr>
            </w:pPr>
          </w:p>
          <w:p w14:paraId="4693E647" w14:textId="77777777" w:rsidR="00141B97" w:rsidRDefault="00911D63">
            <w:pPr>
              <w:pStyle w:val="TableParagraph"/>
              <w:ind w:left="549"/>
              <w:rPr>
                <w:sz w:val="18"/>
              </w:rPr>
            </w:pPr>
            <w:r>
              <w:rPr>
                <w:spacing w:val="-2"/>
                <w:sz w:val="18"/>
              </w:rPr>
              <w:t>Sewerage</w:t>
            </w:r>
          </w:p>
        </w:tc>
        <w:tc>
          <w:tcPr>
            <w:tcW w:w="10129" w:type="dxa"/>
            <w:gridSpan w:val="2"/>
            <w:tcBorders>
              <w:top w:val="single" w:sz="6" w:space="0" w:color="FFFFFF"/>
              <w:right w:val="nil"/>
            </w:tcBorders>
            <w:shd w:val="clear" w:color="auto" w:fill="CCE2ED"/>
          </w:tcPr>
          <w:p w14:paraId="32F619DF" w14:textId="77777777" w:rsidR="00141B97" w:rsidRDefault="00911D63">
            <w:pPr>
              <w:pStyle w:val="TableParagraph"/>
              <w:tabs>
                <w:tab w:val="left" w:pos="1646"/>
                <w:tab w:val="left" w:pos="5297"/>
                <w:tab w:val="left" w:pos="6336"/>
                <w:tab w:val="left" w:pos="7376"/>
                <w:tab w:val="left" w:pos="8414"/>
                <w:tab w:val="right" w:pos="9770"/>
              </w:tabs>
              <w:spacing w:before="33" w:line="274" w:lineRule="exact"/>
              <w:ind w:left="423"/>
              <w:rPr>
                <w:sz w:val="18"/>
              </w:rPr>
            </w:pPr>
            <w:r>
              <w:rPr>
                <w:spacing w:val="-2"/>
                <w:sz w:val="18"/>
              </w:rPr>
              <w:t>Renewals</w:t>
            </w:r>
            <w:r>
              <w:rPr>
                <w:sz w:val="18"/>
              </w:rPr>
              <w:tab/>
            </w:r>
            <w:r>
              <w:rPr>
                <w:position w:val="11"/>
                <w:sz w:val="18"/>
              </w:rPr>
              <w:t>ALL</w:t>
            </w:r>
            <w:r>
              <w:rPr>
                <w:spacing w:val="-2"/>
                <w:position w:val="11"/>
                <w:sz w:val="18"/>
              </w:rPr>
              <w:t xml:space="preserve"> </w:t>
            </w:r>
            <w:r>
              <w:rPr>
                <w:position w:val="11"/>
                <w:sz w:val="18"/>
              </w:rPr>
              <w:t>SITES</w:t>
            </w:r>
            <w:r>
              <w:rPr>
                <w:spacing w:val="-2"/>
                <w:position w:val="11"/>
                <w:sz w:val="18"/>
              </w:rPr>
              <w:t xml:space="preserve"> </w:t>
            </w:r>
            <w:r>
              <w:rPr>
                <w:position w:val="11"/>
                <w:sz w:val="18"/>
              </w:rPr>
              <w:t>Minor</w:t>
            </w:r>
            <w:r>
              <w:rPr>
                <w:spacing w:val="-2"/>
                <w:position w:val="11"/>
                <w:sz w:val="18"/>
              </w:rPr>
              <w:t xml:space="preserve"> </w:t>
            </w:r>
            <w:r>
              <w:rPr>
                <w:position w:val="11"/>
                <w:sz w:val="18"/>
              </w:rPr>
              <w:t>Capital</w:t>
            </w:r>
            <w:r>
              <w:rPr>
                <w:spacing w:val="-2"/>
                <w:position w:val="11"/>
                <w:sz w:val="18"/>
              </w:rPr>
              <w:t xml:space="preserve"> </w:t>
            </w:r>
            <w:r>
              <w:rPr>
                <w:position w:val="11"/>
                <w:sz w:val="18"/>
              </w:rPr>
              <w:t>Works</w:t>
            </w:r>
            <w:r>
              <w:rPr>
                <w:spacing w:val="-1"/>
                <w:position w:val="11"/>
                <w:sz w:val="18"/>
              </w:rPr>
              <w:t xml:space="preserve"> </w:t>
            </w:r>
            <w:r>
              <w:rPr>
                <w:spacing w:val="-10"/>
                <w:position w:val="11"/>
                <w:sz w:val="18"/>
              </w:rPr>
              <w:t>‐</w:t>
            </w:r>
            <w:r>
              <w:rPr>
                <w:position w:val="11"/>
                <w:sz w:val="18"/>
              </w:rPr>
              <w:tab/>
            </w:r>
            <w:r>
              <w:rPr>
                <w:spacing w:val="-4"/>
                <w:sz w:val="18"/>
              </w:rPr>
              <w:t>0.46</w:t>
            </w:r>
            <w:r>
              <w:rPr>
                <w:sz w:val="18"/>
              </w:rPr>
              <w:tab/>
            </w:r>
            <w:r>
              <w:rPr>
                <w:spacing w:val="-4"/>
                <w:sz w:val="18"/>
              </w:rPr>
              <w:t>0.46</w:t>
            </w:r>
            <w:r>
              <w:rPr>
                <w:sz w:val="18"/>
              </w:rPr>
              <w:tab/>
            </w:r>
            <w:r>
              <w:rPr>
                <w:spacing w:val="-4"/>
                <w:sz w:val="18"/>
              </w:rPr>
              <w:t>0.46</w:t>
            </w:r>
            <w:r>
              <w:rPr>
                <w:sz w:val="18"/>
              </w:rPr>
              <w:tab/>
            </w:r>
            <w:r>
              <w:rPr>
                <w:spacing w:val="-4"/>
                <w:sz w:val="18"/>
              </w:rPr>
              <w:t>0.46</w:t>
            </w:r>
            <w:r>
              <w:rPr>
                <w:rFonts w:ascii="Times New Roman" w:hAnsi="Times New Roman"/>
                <w:sz w:val="18"/>
              </w:rPr>
              <w:tab/>
            </w:r>
            <w:r>
              <w:rPr>
                <w:spacing w:val="-4"/>
                <w:sz w:val="18"/>
              </w:rPr>
              <w:t>0.46</w:t>
            </w:r>
          </w:p>
          <w:p w14:paraId="264B3EF4" w14:textId="77777777" w:rsidR="00141B97" w:rsidRDefault="00911D63">
            <w:pPr>
              <w:pStyle w:val="TableParagraph"/>
              <w:spacing w:line="164" w:lineRule="exact"/>
              <w:ind w:left="1646"/>
              <w:rPr>
                <w:sz w:val="18"/>
              </w:rPr>
            </w:pPr>
            <w:r>
              <w:rPr>
                <w:spacing w:val="-2"/>
                <w:sz w:val="18"/>
              </w:rPr>
              <w:t>Replacement</w:t>
            </w:r>
          </w:p>
        </w:tc>
      </w:tr>
      <w:tr w:rsidR="00141B97" w14:paraId="6E587716" w14:textId="77777777">
        <w:trPr>
          <w:trHeight w:hRule="exact" w:val="324"/>
        </w:trPr>
        <w:tc>
          <w:tcPr>
            <w:tcW w:w="2461" w:type="dxa"/>
            <w:vMerge/>
            <w:tcBorders>
              <w:top w:val="nil"/>
              <w:left w:val="nil"/>
              <w:bottom w:val="single" w:sz="6" w:space="0" w:color="FFFFFF"/>
            </w:tcBorders>
            <w:shd w:val="clear" w:color="auto" w:fill="CCE2ED"/>
          </w:tcPr>
          <w:p w14:paraId="2F3B8C4B" w14:textId="77777777" w:rsidR="00141B97" w:rsidRDefault="00141B97">
            <w:pPr>
              <w:rPr>
                <w:sz w:val="2"/>
                <w:szCs w:val="2"/>
              </w:rPr>
            </w:pPr>
          </w:p>
        </w:tc>
        <w:tc>
          <w:tcPr>
            <w:tcW w:w="1237" w:type="dxa"/>
            <w:vMerge/>
            <w:tcBorders>
              <w:top w:val="nil"/>
              <w:bottom w:val="single" w:sz="6" w:space="0" w:color="FFFFFF"/>
            </w:tcBorders>
            <w:shd w:val="clear" w:color="auto" w:fill="CCE2ED"/>
          </w:tcPr>
          <w:p w14:paraId="1A81D411" w14:textId="77777777" w:rsidR="00141B97" w:rsidRDefault="00141B97">
            <w:pPr>
              <w:rPr>
                <w:sz w:val="2"/>
                <w:szCs w:val="2"/>
              </w:rPr>
            </w:pPr>
          </w:p>
        </w:tc>
        <w:tc>
          <w:tcPr>
            <w:tcW w:w="1855" w:type="dxa"/>
            <w:vMerge/>
            <w:tcBorders>
              <w:top w:val="nil"/>
              <w:bottom w:val="single" w:sz="6" w:space="0" w:color="FFFFFF"/>
            </w:tcBorders>
            <w:shd w:val="clear" w:color="auto" w:fill="CCE2ED"/>
          </w:tcPr>
          <w:p w14:paraId="01B15A36" w14:textId="77777777" w:rsidR="00141B97" w:rsidRDefault="00141B97">
            <w:pPr>
              <w:rPr>
                <w:sz w:val="2"/>
                <w:szCs w:val="2"/>
              </w:rPr>
            </w:pPr>
          </w:p>
        </w:tc>
        <w:tc>
          <w:tcPr>
            <w:tcW w:w="10129" w:type="dxa"/>
            <w:gridSpan w:val="2"/>
            <w:tcBorders>
              <w:bottom w:val="single" w:sz="6" w:space="0" w:color="FFFFFF"/>
              <w:right w:val="nil"/>
            </w:tcBorders>
            <w:shd w:val="clear" w:color="auto" w:fill="CCE2ED"/>
          </w:tcPr>
          <w:p w14:paraId="0BDE686B" w14:textId="77777777" w:rsidR="00141B97" w:rsidRDefault="00911D63">
            <w:pPr>
              <w:pStyle w:val="TableParagraph"/>
              <w:tabs>
                <w:tab w:val="left" w:pos="1646"/>
                <w:tab w:val="left" w:pos="5297"/>
                <w:tab w:val="left" w:pos="6336"/>
                <w:tab w:val="left" w:pos="7376"/>
                <w:tab w:val="left" w:pos="8414"/>
                <w:tab w:val="right" w:pos="9770"/>
              </w:tabs>
              <w:spacing w:before="48"/>
              <w:ind w:left="237"/>
              <w:rPr>
                <w:sz w:val="18"/>
              </w:rPr>
            </w:pPr>
            <w:r>
              <w:rPr>
                <w:spacing w:val="-2"/>
                <w:sz w:val="18"/>
              </w:rPr>
              <w:t>Improvements</w:t>
            </w:r>
            <w:r>
              <w:rPr>
                <w:sz w:val="18"/>
              </w:rPr>
              <w:tab/>
              <w:t>ALL</w:t>
            </w:r>
            <w:r>
              <w:rPr>
                <w:spacing w:val="-2"/>
                <w:sz w:val="18"/>
              </w:rPr>
              <w:t xml:space="preserve"> </w:t>
            </w:r>
            <w:r>
              <w:rPr>
                <w:sz w:val="18"/>
              </w:rPr>
              <w:t>SITES</w:t>
            </w:r>
            <w:r>
              <w:rPr>
                <w:spacing w:val="-1"/>
                <w:sz w:val="18"/>
              </w:rPr>
              <w:t xml:space="preserve"> </w:t>
            </w:r>
            <w:r>
              <w:rPr>
                <w:sz w:val="18"/>
              </w:rPr>
              <w:t>Minor</w:t>
            </w:r>
            <w:r>
              <w:rPr>
                <w:spacing w:val="-2"/>
                <w:sz w:val="18"/>
              </w:rPr>
              <w:t xml:space="preserve"> </w:t>
            </w:r>
            <w:r>
              <w:rPr>
                <w:sz w:val="18"/>
              </w:rPr>
              <w:t>Capital</w:t>
            </w:r>
            <w:r>
              <w:rPr>
                <w:spacing w:val="-2"/>
                <w:sz w:val="18"/>
              </w:rPr>
              <w:t xml:space="preserve"> </w:t>
            </w:r>
            <w:r>
              <w:rPr>
                <w:sz w:val="18"/>
              </w:rPr>
              <w:t>Works</w:t>
            </w:r>
            <w:r>
              <w:rPr>
                <w:spacing w:val="-1"/>
                <w:sz w:val="18"/>
              </w:rPr>
              <w:t xml:space="preserve"> </w:t>
            </w:r>
            <w:r>
              <w:rPr>
                <w:sz w:val="18"/>
              </w:rPr>
              <w:t>‐</w:t>
            </w:r>
            <w:r>
              <w:rPr>
                <w:spacing w:val="-1"/>
                <w:sz w:val="18"/>
              </w:rPr>
              <w:t xml:space="preserve"> </w:t>
            </w:r>
            <w:r>
              <w:rPr>
                <w:spacing w:val="-5"/>
                <w:sz w:val="18"/>
              </w:rPr>
              <w:t>New</w:t>
            </w:r>
            <w:r>
              <w:rPr>
                <w:sz w:val="18"/>
              </w:rPr>
              <w:tab/>
            </w:r>
            <w:r>
              <w:rPr>
                <w:spacing w:val="-4"/>
                <w:sz w:val="18"/>
              </w:rPr>
              <w:t>0.30</w:t>
            </w:r>
            <w:r>
              <w:rPr>
                <w:sz w:val="18"/>
              </w:rPr>
              <w:tab/>
            </w:r>
            <w:r>
              <w:rPr>
                <w:spacing w:val="-4"/>
                <w:sz w:val="18"/>
              </w:rPr>
              <w:t>0.30</w:t>
            </w:r>
            <w:r>
              <w:rPr>
                <w:sz w:val="18"/>
              </w:rPr>
              <w:tab/>
            </w:r>
            <w:r>
              <w:rPr>
                <w:spacing w:val="-4"/>
                <w:sz w:val="18"/>
              </w:rPr>
              <w:t>0.30</w:t>
            </w:r>
            <w:r>
              <w:rPr>
                <w:sz w:val="18"/>
              </w:rPr>
              <w:tab/>
            </w:r>
            <w:r>
              <w:rPr>
                <w:spacing w:val="-4"/>
                <w:sz w:val="18"/>
              </w:rPr>
              <w:t>0.30</w:t>
            </w:r>
            <w:r>
              <w:rPr>
                <w:rFonts w:ascii="Times New Roman" w:hAnsi="Times New Roman"/>
                <w:sz w:val="18"/>
              </w:rPr>
              <w:tab/>
            </w:r>
            <w:r>
              <w:rPr>
                <w:spacing w:val="-4"/>
                <w:sz w:val="18"/>
              </w:rPr>
              <w:t>0.30</w:t>
            </w:r>
          </w:p>
        </w:tc>
      </w:tr>
      <w:tr w:rsidR="00141B97" w14:paraId="119B3612" w14:textId="77777777">
        <w:trPr>
          <w:trHeight w:hRule="exact" w:val="445"/>
        </w:trPr>
        <w:tc>
          <w:tcPr>
            <w:tcW w:w="2461" w:type="dxa"/>
            <w:vMerge w:val="restart"/>
            <w:tcBorders>
              <w:top w:val="single" w:sz="6" w:space="0" w:color="FFFFFF"/>
              <w:left w:val="nil"/>
            </w:tcBorders>
            <w:shd w:val="clear" w:color="auto" w:fill="CCE2ED"/>
          </w:tcPr>
          <w:p w14:paraId="52DD69E3" w14:textId="77777777" w:rsidR="00141B97" w:rsidRDefault="00141B97">
            <w:pPr>
              <w:pStyle w:val="TableParagraph"/>
              <w:spacing w:before="6"/>
              <w:rPr>
                <w:sz w:val="19"/>
              </w:rPr>
            </w:pPr>
          </w:p>
          <w:p w14:paraId="1334118B" w14:textId="77777777" w:rsidR="00141B97" w:rsidRDefault="00911D63">
            <w:pPr>
              <w:pStyle w:val="TableParagraph"/>
              <w:ind w:left="101"/>
              <w:rPr>
                <w:sz w:val="18"/>
              </w:rPr>
            </w:pPr>
            <w:r>
              <w:rPr>
                <w:sz w:val="18"/>
              </w:rPr>
              <w:t xml:space="preserve">ICT </w:t>
            </w:r>
            <w:r>
              <w:rPr>
                <w:spacing w:val="-2"/>
                <w:sz w:val="18"/>
              </w:rPr>
              <w:t>equipment</w:t>
            </w:r>
          </w:p>
        </w:tc>
        <w:tc>
          <w:tcPr>
            <w:tcW w:w="1237" w:type="dxa"/>
            <w:vMerge w:val="restart"/>
            <w:tcBorders>
              <w:top w:val="single" w:sz="6" w:space="0" w:color="FFFFFF"/>
            </w:tcBorders>
            <w:shd w:val="clear" w:color="auto" w:fill="CCE2ED"/>
          </w:tcPr>
          <w:p w14:paraId="4F91C06F" w14:textId="77777777" w:rsidR="00141B97" w:rsidRDefault="00141B97">
            <w:pPr>
              <w:pStyle w:val="TableParagraph"/>
              <w:spacing w:before="6"/>
              <w:rPr>
                <w:sz w:val="19"/>
              </w:rPr>
            </w:pPr>
          </w:p>
          <w:p w14:paraId="25905258" w14:textId="77777777" w:rsidR="00141B97" w:rsidRDefault="00911D63">
            <w:pPr>
              <w:pStyle w:val="TableParagraph"/>
              <w:ind w:left="442" w:right="442"/>
              <w:jc w:val="center"/>
              <w:rPr>
                <w:sz w:val="18"/>
              </w:rPr>
            </w:pPr>
            <w:r>
              <w:rPr>
                <w:spacing w:val="-4"/>
                <w:sz w:val="18"/>
              </w:rPr>
              <w:t>1.82</w:t>
            </w:r>
          </w:p>
        </w:tc>
        <w:tc>
          <w:tcPr>
            <w:tcW w:w="1855" w:type="dxa"/>
            <w:vMerge w:val="restart"/>
            <w:tcBorders>
              <w:top w:val="single" w:sz="6" w:space="0" w:color="FFFFFF"/>
            </w:tcBorders>
            <w:shd w:val="clear" w:color="auto" w:fill="CCE2ED"/>
          </w:tcPr>
          <w:p w14:paraId="2CB3C2A7" w14:textId="77777777" w:rsidR="00141B97" w:rsidRDefault="00141B97">
            <w:pPr>
              <w:pStyle w:val="TableParagraph"/>
              <w:spacing w:before="6"/>
              <w:rPr>
                <w:sz w:val="19"/>
              </w:rPr>
            </w:pPr>
          </w:p>
          <w:p w14:paraId="073F3B7E" w14:textId="77777777" w:rsidR="00141B97" w:rsidRDefault="00911D63">
            <w:pPr>
              <w:pStyle w:val="TableParagraph"/>
              <w:ind w:left="534"/>
              <w:rPr>
                <w:sz w:val="18"/>
              </w:rPr>
            </w:pPr>
            <w:r>
              <w:rPr>
                <w:spacing w:val="-2"/>
                <w:sz w:val="18"/>
              </w:rPr>
              <w:t>Corporate</w:t>
            </w:r>
          </w:p>
        </w:tc>
        <w:tc>
          <w:tcPr>
            <w:tcW w:w="1543" w:type="dxa"/>
            <w:vMerge w:val="restart"/>
            <w:tcBorders>
              <w:top w:val="single" w:sz="6" w:space="0" w:color="FFFFFF"/>
              <w:right w:val="nil"/>
            </w:tcBorders>
            <w:shd w:val="clear" w:color="auto" w:fill="CCE2ED"/>
          </w:tcPr>
          <w:p w14:paraId="1FD9F471" w14:textId="77777777" w:rsidR="00141B97" w:rsidRDefault="00141B97">
            <w:pPr>
              <w:pStyle w:val="TableParagraph"/>
              <w:spacing w:before="6"/>
              <w:rPr>
                <w:sz w:val="19"/>
              </w:rPr>
            </w:pPr>
          </w:p>
          <w:p w14:paraId="07835837" w14:textId="77777777" w:rsidR="00141B97" w:rsidRDefault="00911D63">
            <w:pPr>
              <w:pStyle w:val="TableParagraph"/>
              <w:ind w:left="402"/>
              <w:rPr>
                <w:sz w:val="18"/>
              </w:rPr>
            </w:pPr>
            <w:r>
              <w:rPr>
                <w:spacing w:val="-2"/>
                <w:sz w:val="18"/>
              </w:rPr>
              <w:t>Renewals</w:t>
            </w:r>
          </w:p>
        </w:tc>
        <w:tc>
          <w:tcPr>
            <w:tcW w:w="8586" w:type="dxa"/>
            <w:tcBorders>
              <w:top w:val="single" w:sz="6" w:space="0" w:color="FFFFFF"/>
              <w:left w:val="nil"/>
              <w:bottom w:val="single" w:sz="6" w:space="0" w:color="FFFFFF"/>
              <w:right w:val="nil"/>
            </w:tcBorders>
            <w:shd w:val="clear" w:color="auto" w:fill="CCE2ED"/>
          </w:tcPr>
          <w:p w14:paraId="54DBDC31" w14:textId="77777777" w:rsidR="00141B97" w:rsidRDefault="00911D63">
            <w:pPr>
              <w:pStyle w:val="TableParagraph"/>
              <w:tabs>
                <w:tab w:val="left" w:pos="3759"/>
                <w:tab w:val="left" w:pos="4798"/>
                <w:tab w:val="left" w:pos="5837"/>
                <w:tab w:val="left" w:pos="6875"/>
                <w:tab w:val="right" w:pos="8232"/>
              </w:tabs>
              <w:spacing w:before="105"/>
              <w:ind w:left="107"/>
              <w:rPr>
                <w:sz w:val="18"/>
              </w:rPr>
            </w:pPr>
            <w:r>
              <w:rPr>
                <w:sz w:val="18"/>
              </w:rPr>
              <w:t>Computer</w:t>
            </w:r>
            <w:r>
              <w:rPr>
                <w:spacing w:val="-2"/>
                <w:sz w:val="18"/>
              </w:rPr>
              <w:t xml:space="preserve"> </w:t>
            </w:r>
            <w:r>
              <w:rPr>
                <w:sz w:val="18"/>
              </w:rPr>
              <w:t>Equipment</w:t>
            </w:r>
            <w:r>
              <w:rPr>
                <w:spacing w:val="-2"/>
                <w:sz w:val="18"/>
              </w:rPr>
              <w:t xml:space="preserve"> </w:t>
            </w:r>
            <w:r>
              <w:rPr>
                <w:sz w:val="18"/>
              </w:rPr>
              <w:t>‐</w:t>
            </w:r>
            <w:r>
              <w:rPr>
                <w:spacing w:val="-2"/>
                <w:sz w:val="18"/>
              </w:rPr>
              <w:t xml:space="preserve"> </w:t>
            </w:r>
            <w:r>
              <w:rPr>
                <w:sz w:val="18"/>
              </w:rPr>
              <w:t>Urban</w:t>
            </w:r>
            <w:r>
              <w:rPr>
                <w:spacing w:val="-1"/>
                <w:sz w:val="18"/>
              </w:rPr>
              <w:t xml:space="preserve"> </w:t>
            </w:r>
            <w:r>
              <w:rPr>
                <w:sz w:val="18"/>
              </w:rPr>
              <w:t>‐</w:t>
            </w:r>
            <w:r>
              <w:rPr>
                <w:spacing w:val="-2"/>
                <w:sz w:val="18"/>
              </w:rPr>
              <w:t xml:space="preserve"> Water</w:t>
            </w:r>
            <w:r>
              <w:rPr>
                <w:sz w:val="18"/>
              </w:rPr>
              <w:tab/>
            </w:r>
            <w:r>
              <w:rPr>
                <w:spacing w:val="-4"/>
                <w:sz w:val="18"/>
              </w:rPr>
              <w:t>0.19</w:t>
            </w:r>
            <w:r>
              <w:rPr>
                <w:sz w:val="18"/>
              </w:rPr>
              <w:tab/>
            </w:r>
            <w:r>
              <w:rPr>
                <w:spacing w:val="-4"/>
                <w:sz w:val="18"/>
              </w:rPr>
              <w:t>0.22</w:t>
            </w:r>
            <w:r>
              <w:rPr>
                <w:sz w:val="18"/>
              </w:rPr>
              <w:tab/>
            </w:r>
            <w:r>
              <w:rPr>
                <w:spacing w:val="-4"/>
                <w:sz w:val="18"/>
              </w:rPr>
              <w:t>0.19</w:t>
            </w:r>
            <w:r>
              <w:rPr>
                <w:sz w:val="18"/>
              </w:rPr>
              <w:tab/>
            </w:r>
            <w:r>
              <w:rPr>
                <w:spacing w:val="-4"/>
                <w:sz w:val="18"/>
              </w:rPr>
              <w:t>0.19</w:t>
            </w:r>
            <w:r>
              <w:rPr>
                <w:rFonts w:ascii="Times New Roman" w:hAnsi="Times New Roman"/>
                <w:sz w:val="18"/>
              </w:rPr>
              <w:tab/>
            </w:r>
            <w:r>
              <w:rPr>
                <w:spacing w:val="-4"/>
                <w:sz w:val="18"/>
              </w:rPr>
              <w:t>0.20</w:t>
            </w:r>
          </w:p>
        </w:tc>
      </w:tr>
      <w:tr w:rsidR="00141B97" w14:paraId="1B3BB366" w14:textId="77777777">
        <w:trPr>
          <w:trHeight w:hRule="exact" w:val="264"/>
        </w:trPr>
        <w:tc>
          <w:tcPr>
            <w:tcW w:w="2461" w:type="dxa"/>
            <w:vMerge/>
            <w:tcBorders>
              <w:top w:val="nil"/>
              <w:left w:val="nil"/>
            </w:tcBorders>
            <w:shd w:val="clear" w:color="auto" w:fill="CCE2ED"/>
          </w:tcPr>
          <w:p w14:paraId="0A760418" w14:textId="77777777" w:rsidR="00141B97" w:rsidRDefault="00141B97">
            <w:pPr>
              <w:rPr>
                <w:sz w:val="2"/>
                <w:szCs w:val="2"/>
              </w:rPr>
            </w:pPr>
          </w:p>
        </w:tc>
        <w:tc>
          <w:tcPr>
            <w:tcW w:w="1237" w:type="dxa"/>
            <w:vMerge/>
            <w:tcBorders>
              <w:top w:val="nil"/>
            </w:tcBorders>
            <w:shd w:val="clear" w:color="auto" w:fill="CCE2ED"/>
          </w:tcPr>
          <w:p w14:paraId="6C87BEFE" w14:textId="77777777" w:rsidR="00141B97" w:rsidRDefault="00141B97">
            <w:pPr>
              <w:rPr>
                <w:sz w:val="2"/>
                <w:szCs w:val="2"/>
              </w:rPr>
            </w:pPr>
          </w:p>
        </w:tc>
        <w:tc>
          <w:tcPr>
            <w:tcW w:w="1855" w:type="dxa"/>
            <w:vMerge/>
            <w:tcBorders>
              <w:top w:val="nil"/>
            </w:tcBorders>
            <w:shd w:val="clear" w:color="auto" w:fill="CCE2ED"/>
          </w:tcPr>
          <w:p w14:paraId="2EB711E8" w14:textId="77777777" w:rsidR="00141B97" w:rsidRDefault="00141B97">
            <w:pPr>
              <w:rPr>
                <w:sz w:val="2"/>
                <w:szCs w:val="2"/>
              </w:rPr>
            </w:pPr>
          </w:p>
        </w:tc>
        <w:tc>
          <w:tcPr>
            <w:tcW w:w="1543" w:type="dxa"/>
            <w:vMerge/>
            <w:tcBorders>
              <w:top w:val="nil"/>
              <w:right w:val="nil"/>
            </w:tcBorders>
            <w:shd w:val="clear" w:color="auto" w:fill="CCE2ED"/>
          </w:tcPr>
          <w:p w14:paraId="4036C008" w14:textId="77777777" w:rsidR="00141B97" w:rsidRDefault="00141B97">
            <w:pPr>
              <w:rPr>
                <w:sz w:val="2"/>
                <w:szCs w:val="2"/>
              </w:rPr>
            </w:pPr>
          </w:p>
        </w:tc>
        <w:tc>
          <w:tcPr>
            <w:tcW w:w="8586" w:type="dxa"/>
            <w:tcBorders>
              <w:top w:val="single" w:sz="6" w:space="0" w:color="FFFFFF"/>
              <w:left w:val="nil"/>
              <w:right w:val="nil"/>
            </w:tcBorders>
            <w:shd w:val="clear" w:color="auto" w:fill="CCE2ED"/>
          </w:tcPr>
          <w:p w14:paraId="0F71C914" w14:textId="77777777" w:rsidR="00141B97" w:rsidRDefault="00911D63">
            <w:pPr>
              <w:pStyle w:val="TableParagraph"/>
              <w:tabs>
                <w:tab w:val="left" w:pos="3759"/>
                <w:tab w:val="left" w:pos="4798"/>
                <w:tab w:val="left" w:pos="5837"/>
                <w:tab w:val="left" w:pos="6875"/>
                <w:tab w:val="right" w:pos="8232"/>
              </w:tabs>
              <w:spacing w:before="15" w:line="217" w:lineRule="exact"/>
              <w:ind w:left="107"/>
              <w:rPr>
                <w:sz w:val="18"/>
              </w:rPr>
            </w:pPr>
            <w:r>
              <w:rPr>
                <w:sz w:val="18"/>
              </w:rPr>
              <w:t>Computer</w:t>
            </w:r>
            <w:r>
              <w:rPr>
                <w:spacing w:val="-2"/>
                <w:sz w:val="18"/>
              </w:rPr>
              <w:t xml:space="preserve"> </w:t>
            </w:r>
            <w:r>
              <w:rPr>
                <w:sz w:val="18"/>
              </w:rPr>
              <w:t>Equipment</w:t>
            </w:r>
            <w:r>
              <w:rPr>
                <w:spacing w:val="-2"/>
                <w:sz w:val="18"/>
              </w:rPr>
              <w:t xml:space="preserve"> </w:t>
            </w:r>
            <w:r>
              <w:rPr>
                <w:sz w:val="18"/>
              </w:rPr>
              <w:t>‐</w:t>
            </w:r>
            <w:r>
              <w:rPr>
                <w:spacing w:val="-2"/>
                <w:sz w:val="18"/>
              </w:rPr>
              <w:t xml:space="preserve"> </w:t>
            </w:r>
            <w:r>
              <w:rPr>
                <w:sz w:val="18"/>
              </w:rPr>
              <w:t>Urban</w:t>
            </w:r>
            <w:r>
              <w:rPr>
                <w:spacing w:val="-1"/>
                <w:sz w:val="18"/>
              </w:rPr>
              <w:t xml:space="preserve"> </w:t>
            </w:r>
            <w:r>
              <w:rPr>
                <w:sz w:val="18"/>
              </w:rPr>
              <w:t>‐</w:t>
            </w:r>
            <w:r>
              <w:rPr>
                <w:spacing w:val="-1"/>
                <w:sz w:val="18"/>
              </w:rPr>
              <w:t xml:space="preserve"> </w:t>
            </w:r>
            <w:r>
              <w:rPr>
                <w:spacing w:val="-2"/>
                <w:sz w:val="18"/>
              </w:rPr>
              <w:t>Sewerage</w:t>
            </w:r>
            <w:r>
              <w:rPr>
                <w:sz w:val="18"/>
              </w:rPr>
              <w:tab/>
            </w:r>
            <w:r>
              <w:rPr>
                <w:spacing w:val="-4"/>
                <w:sz w:val="18"/>
              </w:rPr>
              <w:t>0.16</w:t>
            </w:r>
            <w:r>
              <w:rPr>
                <w:sz w:val="18"/>
              </w:rPr>
              <w:tab/>
            </w:r>
            <w:r>
              <w:rPr>
                <w:spacing w:val="-4"/>
                <w:sz w:val="18"/>
              </w:rPr>
              <w:t>0.18</w:t>
            </w:r>
            <w:r>
              <w:rPr>
                <w:sz w:val="18"/>
              </w:rPr>
              <w:tab/>
            </w:r>
            <w:r>
              <w:rPr>
                <w:spacing w:val="-4"/>
                <w:sz w:val="18"/>
              </w:rPr>
              <w:t>0.16</w:t>
            </w:r>
            <w:r>
              <w:rPr>
                <w:sz w:val="18"/>
              </w:rPr>
              <w:tab/>
            </w:r>
            <w:r>
              <w:rPr>
                <w:spacing w:val="-4"/>
                <w:sz w:val="18"/>
              </w:rPr>
              <w:t>0.16</w:t>
            </w:r>
            <w:r>
              <w:rPr>
                <w:rFonts w:ascii="Times New Roman" w:hAnsi="Times New Roman"/>
                <w:sz w:val="18"/>
              </w:rPr>
              <w:tab/>
            </w:r>
            <w:r>
              <w:rPr>
                <w:spacing w:val="-4"/>
                <w:sz w:val="18"/>
              </w:rPr>
              <w:t>0.17</w:t>
            </w:r>
          </w:p>
        </w:tc>
      </w:tr>
      <w:tr w:rsidR="00141B97" w14:paraId="40B8D769" w14:textId="77777777">
        <w:trPr>
          <w:trHeight w:hRule="exact" w:val="385"/>
        </w:trPr>
        <w:tc>
          <w:tcPr>
            <w:tcW w:w="2461" w:type="dxa"/>
            <w:vMerge w:val="restart"/>
            <w:tcBorders>
              <w:left w:val="nil"/>
            </w:tcBorders>
            <w:shd w:val="clear" w:color="auto" w:fill="CCE2ED"/>
          </w:tcPr>
          <w:p w14:paraId="5C5E0D32" w14:textId="77777777" w:rsidR="00141B97" w:rsidRDefault="00911D63">
            <w:pPr>
              <w:pStyle w:val="TableParagraph"/>
              <w:spacing w:before="161"/>
              <w:ind w:left="101"/>
              <w:rPr>
                <w:sz w:val="18"/>
              </w:rPr>
            </w:pPr>
            <w:r>
              <w:rPr>
                <w:sz w:val="18"/>
              </w:rPr>
              <w:t>Heavy</w:t>
            </w:r>
            <w:r>
              <w:rPr>
                <w:spacing w:val="-4"/>
                <w:sz w:val="18"/>
              </w:rPr>
              <w:t xml:space="preserve"> </w:t>
            </w:r>
            <w:r>
              <w:rPr>
                <w:sz w:val="18"/>
              </w:rPr>
              <w:t>Motor</w:t>
            </w:r>
            <w:r>
              <w:rPr>
                <w:spacing w:val="-4"/>
                <w:sz w:val="18"/>
              </w:rPr>
              <w:t xml:space="preserve"> </w:t>
            </w:r>
            <w:r>
              <w:rPr>
                <w:sz w:val="18"/>
              </w:rPr>
              <w:t>Vehicle</w:t>
            </w:r>
            <w:r>
              <w:rPr>
                <w:spacing w:val="-3"/>
                <w:sz w:val="18"/>
              </w:rPr>
              <w:t xml:space="preserve"> </w:t>
            </w:r>
            <w:r>
              <w:rPr>
                <w:sz w:val="18"/>
              </w:rPr>
              <w:t>Fleet</w:t>
            </w:r>
            <w:r>
              <w:rPr>
                <w:spacing w:val="-4"/>
                <w:sz w:val="18"/>
              </w:rPr>
              <w:t xml:space="preserve"> </w:t>
            </w:r>
            <w:r>
              <w:rPr>
                <w:spacing w:val="-10"/>
                <w:sz w:val="18"/>
              </w:rPr>
              <w:t>‐</w:t>
            </w:r>
          </w:p>
          <w:p w14:paraId="1F2D1966" w14:textId="77777777" w:rsidR="00141B97" w:rsidRDefault="00911D63">
            <w:pPr>
              <w:pStyle w:val="TableParagraph"/>
              <w:ind w:left="101"/>
              <w:rPr>
                <w:sz w:val="18"/>
              </w:rPr>
            </w:pPr>
            <w:r>
              <w:rPr>
                <w:sz w:val="18"/>
              </w:rPr>
              <w:t>annual</w:t>
            </w:r>
            <w:r>
              <w:rPr>
                <w:spacing w:val="-1"/>
                <w:sz w:val="18"/>
              </w:rPr>
              <w:t xml:space="preserve"> </w:t>
            </w:r>
            <w:r>
              <w:rPr>
                <w:sz w:val="18"/>
              </w:rPr>
              <w:t>vehicle</w:t>
            </w:r>
            <w:r>
              <w:rPr>
                <w:spacing w:val="-1"/>
                <w:sz w:val="18"/>
              </w:rPr>
              <w:t xml:space="preserve"> </w:t>
            </w:r>
            <w:r>
              <w:rPr>
                <w:spacing w:val="-2"/>
                <w:sz w:val="18"/>
              </w:rPr>
              <w:t>replacements</w:t>
            </w:r>
          </w:p>
        </w:tc>
        <w:tc>
          <w:tcPr>
            <w:tcW w:w="1237" w:type="dxa"/>
            <w:vMerge w:val="restart"/>
            <w:shd w:val="clear" w:color="auto" w:fill="CCE2ED"/>
          </w:tcPr>
          <w:p w14:paraId="2034168E" w14:textId="77777777" w:rsidR="00141B97" w:rsidRDefault="00141B97">
            <w:pPr>
              <w:pStyle w:val="TableParagraph"/>
              <w:spacing w:before="2"/>
            </w:pPr>
          </w:p>
          <w:p w14:paraId="0951F76B" w14:textId="77777777" w:rsidR="00141B97" w:rsidRDefault="00911D63">
            <w:pPr>
              <w:pStyle w:val="TableParagraph"/>
              <w:ind w:left="442" w:right="442"/>
              <w:jc w:val="center"/>
              <w:rPr>
                <w:sz w:val="18"/>
              </w:rPr>
            </w:pPr>
            <w:r>
              <w:rPr>
                <w:spacing w:val="-4"/>
                <w:sz w:val="18"/>
              </w:rPr>
              <w:t>1.59</w:t>
            </w:r>
          </w:p>
        </w:tc>
        <w:tc>
          <w:tcPr>
            <w:tcW w:w="1855" w:type="dxa"/>
            <w:vMerge w:val="restart"/>
            <w:shd w:val="clear" w:color="auto" w:fill="CCE2ED"/>
          </w:tcPr>
          <w:p w14:paraId="288D6F55" w14:textId="77777777" w:rsidR="00141B97" w:rsidRDefault="00141B97">
            <w:pPr>
              <w:pStyle w:val="TableParagraph"/>
              <w:spacing w:before="2"/>
            </w:pPr>
          </w:p>
          <w:p w14:paraId="54F4D0D7" w14:textId="77777777" w:rsidR="00141B97" w:rsidRDefault="00911D63">
            <w:pPr>
              <w:pStyle w:val="TableParagraph"/>
              <w:ind w:left="534"/>
              <w:rPr>
                <w:sz w:val="18"/>
              </w:rPr>
            </w:pPr>
            <w:r>
              <w:rPr>
                <w:spacing w:val="-2"/>
                <w:sz w:val="18"/>
              </w:rPr>
              <w:t>Corporate</w:t>
            </w:r>
          </w:p>
        </w:tc>
        <w:tc>
          <w:tcPr>
            <w:tcW w:w="1543" w:type="dxa"/>
            <w:vMerge w:val="restart"/>
            <w:tcBorders>
              <w:right w:val="nil"/>
            </w:tcBorders>
            <w:shd w:val="clear" w:color="auto" w:fill="CCE2ED"/>
          </w:tcPr>
          <w:p w14:paraId="4EFCB474" w14:textId="77777777" w:rsidR="00141B97" w:rsidRDefault="00141B97">
            <w:pPr>
              <w:pStyle w:val="TableParagraph"/>
              <w:spacing w:before="2"/>
            </w:pPr>
          </w:p>
          <w:p w14:paraId="4FA392A4" w14:textId="77777777" w:rsidR="00141B97" w:rsidRDefault="00911D63">
            <w:pPr>
              <w:pStyle w:val="TableParagraph"/>
              <w:ind w:left="402"/>
              <w:rPr>
                <w:sz w:val="18"/>
              </w:rPr>
            </w:pPr>
            <w:r>
              <w:rPr>
                <w:spacing w:val="-2"/>
                <w:sz w:val="18"/>
              </w:rPr>
              <w:t>Renewals</w:t>
            </w:r>
          </w:p>
        </w:tc>
        <w:tc>
          <w:tcPr>
            <w:tcW w:w="8586" w:type="dxa"/>
            <w:tcBorders>
              <w:left w:val="nil"/>
              <w:right w:val="nil"/>
            </w:tcBorders>
            <w:shd w:val="clear" w:color="auto" w:fill="CCE2ED"/>
          </w:tcPr>
          <w:p w14:paraId="513D88E0" w14:textId="77777777" w:rsidR="00141B97" w:rsidRDefault="00911D63">
            <w:pPr>
              <w:pStyle w:val="TableParagraph"/>
              <w:tabs>
                <w:tab w:val="left" w:pos="3759"/>
                <w:tab w:val="left" w:pos="4798"/>
                <w:tab w:val="left" w:pos="5837"/>
                <w:tab w:val="left" w:pos="6875"/>
                <w:tab w:val="right" w:pos="8232"/>
              </w:tabs>
              <w:spacing w:before="78"/>
              <w:ind w:left="107"/>
              <w:rPr>
                <w:sz w:val="18"/>
              </w:rPr>
            </w:pPr>
            <w:r>
              <w:rPr>
                <w:sz w:val="18"/>
              </w:rPr>
              <w:t>Motor</w:t>
            </w:r>
            <w:r>
              <w:rPr>
                <w:spacing w:val="-4"/>
                <w:sz w:val="18"/>
              </w:rPr>
              <w:t xml:space="preserve"> </w:t>
            </w:r>
            <w:r>
              <w:rPr>
                <w:sz w:val="18"/>
              </w:rPr>
              <w:t>vehicles</w:t>
            </w:r>
            <w:r>
              <w:rPr>
                <w:spacing w:val="-4"/>
                <w:sz w:val="18"/>
              </w:rPr>
              <w:t xml:space="preserve"> </w:t>
            </w:r>
            <w:r>
              <w:rPr>
                <w:sz w:val="18"/>
              </w:rPr>
              <w:t>‐</w:t>
            </w:r>
            <w:r>
              <w:rPr>
                <w:spacing w:val="-3"/>
                <w:sz w:val="18"/>
              </w:rPr>
              <w:t xml:space="preserve"> </w:t>
            </w:r>
            <w:r>
              <w:rPr>
                <w:spacing w:val="-2"/>
                <w:sz w:val="18"/>
              </w:rPr>
              <w:t>Water</w:t>
            </w:r>
            <w:r>
              <w:rPr>
                <w:sz w:val="18"/>
              </w:rPr>
              <w:tab/>
            </w:r>
            <w:r>
              <w:rPr>
                <w:spacing w:val="-4"/>
                <w:sz w:val="18"/>
              </w:rPr>
              <w:t>0.28</w:t>
            </w:r>
            <w:r>
              <w:rPr>
                <w:sz w:val="18"/>
              </w:rPr>
              <w:tab/>
            </w:r>
            <w:r>
              <w:rPr>
                <w:spacing w:val="-4"/>
                <w:sz w:val="18"/>
              </w:rPr>
              <w:t>0.31</w:t>
            </w:r>
            <w:r>
              <w:rPr>
                <w:sz w:val="18"/>
              </w:rPr>
              <w:tab/>
            </w:r>
            <w:r>
              <w:rPr>
                <w:spacing w:val="-4"/>
                <w:sz w:val="18"/>
              </w:rPr>
              <w:t>0.19</w:t>
            </w:r>
            <w:r>
              <w:rPr>
                <w:sz w:val="18"/>
              </w:rPr>
              <w:tab/>
            </w:r>
            <w:r>
              <w:rPr>
                <w:spacing w:val="-4"/>
                <w:sz w:val="18"/>
              </w:rPr>
              <w:t>0.00</w:t>
            </w:r>
            <w:r>
              <w:rPr>
                <w:rFonts w:ascii="Times New Roman" w:hAnsi="Times New Roman"/>
                <w:sz w:val="18"/>
              </w:rPr>
              <w:tab/>
            </w:r>
            <w:r>
              <w:rPr>
                <w:spacing w:val="-4"/>
                <w:sz w:val="18"/>
              </w:rPr>
              <w:t>0.07</w:t>
            </w:r>
          </w:p>
        </w:tc>
      </w:tr>
      <w:tr w:rsidR="00141B97" w14:paraId="2599616B" w14:textId="77777777">
        <w:trPr>
          <w:trHeight w:hRule="exact" w:val="385"/>
        </w:trPr>
        <w:tc>
          <w:tcPr>
            <w:tcW w:w="2461" w:type="dxa"/>
            <w:vMerge/>
            <w:tcBorders>
              <w:top w:val="nil"/>
              <w:left w:val="nil"/>
            </w:tcBorders>
            <w:shd w:val="clear" w:color="auto" w:fill="CCE2ED"/>
          </w:tcPr>
          <w:p w14:paraId="0E2CAF6A" w14:textId="77777777" w:rsidR="00141B97" w:rsidRDefault="00141B97">
            <w:pPr>
              <w:rPr>
                <w:sz w:val="2"/>
                <w:szCs w:val="2"/>
              </w:rPr>
            </w:pPr>
          </w:p>
        </w:tc>
        <w:tc>
          <w:tcPr>
            <w:tcW w:w="1237" w:type="dxa"/>
            <w:vMerge/>
            <w:tcBorders>
              <w:top w:val="nil"/>
            </w:tcBorders>
            <w:shd w:val="clear" w:color="auto" w:fill="CCE2ED"/>
          </w:tcPr>
          <w:p w14:paraId="635227EF" w14:textId="77777777" w:rsidR="00141B97" w:rsidRDefault="00141B97">
            <w:pPr>
              <w:rPr>
                <w:sz w:val="2"/>
                <w:szCs w:val="2"/>
              </w:rPr>
            </w:pPr>
          </w:p>
        </w:tc>
        <w:tc>
          <w:tcPr>
            <w:tcW w:w="1855" w:type="dxa"/>
            <w:vMerge/>
            <w:tcBorders>
              <w:top w:val="nil"/>
            </w:tcBorders>
            <w:shd w:val="clear" w:color="auto" w:fill="CCE2ED"/>
          </w:tcPr>
          <w:p w14:paraId="61D2DF07" w14:textId="77777777" w:rsidR="00141B97" w:rsidRDefault="00141B97">
            <w:pPr>
              <w:rPr>
                <w:sz w:val="2"/>
                <w:szCs w:val="2"/>
              </w:rPr>
            </w:pPr>
          </w:p>
        </w:tc>
        <w:tc>
          <w:tcPr>
            <w:tcW w:w="1543" w:type="dxa"/>
            <w:vMerge/>
            <w:tcBorders>
              <w:top w:val="nil"/>
              <w:right w:val="nil"/>
            </w:tcBorders>
            <w:shd w:val="clear" w:color="auto" w:fill="CCE2ED"/>
          </w:tcPr>
          <w:p w14:paraId="71C2FC43" w14:textId="77777777" w:rsidR="00141B97" w:rsidRDefault="00141B97">
            <w:pPr>
              <w:rPr>
                <w:sz w:val="2"/>
                <w:szCs w:val="2"/>
              </w:rPr>
            </w:pPr>
          </w:p>
        </w:tc>
        <w:tc>
          <w:tcPr>
            <w:tcW w:w="8586" w:type="dxa"/>
            <w:tcBorders>
              <w:left w:val="nil"/>
              <w:right w:val="nil"/>
            </w:tcBorders>
            <w:shd w:val="clear" w:color="auto" w:fill="CCE2ED"/>
          </w:tcPr>
          <w:p w14:paraId="605485AF" w14:textId="77777777" w:rsidR="00141B97" w:rsidRDefault="00911D63">
            <w:pPr>
              <w:pStyle w:val="TableParagraph"/>
              <w:tabs>
                <w:tab w:val="left" w:pos="3759"/>
                <w:tab w:val="left" w:pos="4798"/>
                <w:tab w:val="left" w:pos="5837"/>
                <w:tab w:val="left" w:pos="6875"/>
                <w:tab w:val="right" w:pos="8232"/>
              </w:tabs>
              <w:spacing w:before="78"/>
              <w:ind w:left="107"/>
              <w:rPr>
                <w:sz w:val="18"/>
              </w:rPr>
            </w:pPr>
            <w:r>
              <w:rPr>
                <w:sz w:val="18"/>
              </w:rPr>
              <w:t>Motor</w:t>
            </w:r>
            <w:r>
              <w:rPr>
                <w:spacing w:val="-4"/>
                <w:sz w:val="18"/>
              </w:rPr>
              <w:t xml:space="preserve"> </w:t>
            </w:r>
            <w:r>
              <w:rPr>
                <w:sz w:val="18"/>
              </w:rPr>
              <w:t>vehicles</w:t>
            </w:r>
            <w:r>
              <w:rPr>
                <w:spacing w:val="-4"/>
                <w:sz w:val="18"/>
              </w:rPr>
              <w:t xml:space="preserve"> </w:t>
            </w:r>
            <w:r>
              <w:rPr>
                <w:sz w:val="18"/>
              </w:rPr>
              <w:t>‐</w:t>
            </w:r>
            <w:r>
              <w:rPr>
                <w:spacing w:val="-3"/>
                <w:sz w:val="18"/>
              </w:rPr>
              <w:t xml:space="preserve"> </w:t>
            </w:r>
            <w:r>
              <w:rPr>
                <w:spacing w:val="-2"/>
                <w:sz w:val="18"/>
              </w:rPr>
              <w:t>Sewerage</w:t>
            </w:r>
            <w:r>
              <w:rPr>
                <w:sz w:val="18"/>
              </w:rPr>
              <w:tab/>
            </w:r>
            <w:r>
              <w:rPr>
                <w:spacing w:val="-4"/>
                <w:sz w:val="18"/>
              </w:rPr>
              <w:t>0.24</w:t>
            </w:r>
            <w:r>
              <w:rPr>
                <w:sz w:val="18"/>
              </w:rPr>
              <w:tab/>
            </w:r>
            <w:r>
              <w:rPr>
                <w:spacing w:val="-4"/>
                <w:sz w:val="18"/>
              </w:rPr>
              <w:t>0.26</w:t>
            </w:r>
            <w:r>
              <w:rPr>
                <w:sz w:val="18"/>
              </w:rPr>
              <w:tab/>
            </w:r>
            <w:r>
              <w:rPr>
                <w:spacing w:val="-4"/>
                <w:sz w:val="18"/>
              </w:rPr>
              <w:t>0.17</w:t>
            </w:r>
            <w:r>
              <w:rPr>
                <w:sz w:val="18"/>
              </w:rPr>
              <w:tab/>
            </w:r>
            <w:r>
              <w:rPr>
                <w:spacing w:val="-4"/>
                <w:sz w:val="18"/>
              </w:rPr>
              <w:t>0.00</w:t>
            </w:r>
            <w:r>
              <w:rPr>
                <w:rFonts w:ascii="Times New Roman" w:hAnsi="Times New Roman"/>
                <w:sz w:val="18"/>
              </w:rPr>
              <w:tab/>
            </w:r>
            <w:r>
              <w:rPr>
                <w:spacing w:val="-4"/>
                <w:sz w:val="18"/>
              </w:rPr>
              <w:t>0.06</w:t>
            </w:r>
          </w:p>
        </w:tc>
      </w:tr>
      <w:tr w:rsidR="00141B97" w14:paraId="27C83038" w14:textId="77777777">
        <w:trPr>
          <w:trHeight w:hRule="exact" w:val="519"/>
        </w:trPr>
        <w:tc>
          <w:tcPr>
            <w:tcW w:w="2461" w:type="dxa"/>
            <w:vMerge w:val="restart"/>
            <w:tcBorders>
              <w:left w:val="nil"/>
              <w:bottom w:val="single" w:sz="6" w:space="0" w:color="FFFFFF"/>
            </w:tcBorders>
            <w:shd w:val="clear" w:color="auto" w:fill="CCE2ED"/>
          </w:tcPr>
          <w:p w14:paraId="083B0D5B" w14:textId="77777777" w:rsidR="00141B97" w:rsidRDefault="00141B97">
            <w:pPr>
              <w:pStyle w:val="TableParagraph"/>
              <w:spacing w:before="3"/>
              <w:rPr>
                <w:sz w:val="19"/>
              </w:rPr>
            </w:pPr>
          </w:p>
          <w:p w14:paraId="5C7C1A79" w14:textId="77777777" w:rsidR="00141B97" w:rsidRDefault="00911D63">
            <w:pPr>
              <w:pStyle w:val="TableParagraph"/>
              <w:ind w:left="101" w:right="55"/>
              <w:rPr>
                <w:sz w:val="18"/>
              </w:rPr>
            </w:pPr>
            <w:r>
              <w:rPr>
                <w:sz w:val="18"/>
              </w:rPr>
              <w:t>Corporate</w:t>
            </w:r>
            <w:r>
              <w:rPr>
                <w:spacing w:val="-11"/>
                <w:sz w:val="18"/>
              </w:rPr>
              <w:t xml:space="preserve"> </w:t>
            </w:r>
            <w:r>
              <w:rPr>
                <w:sz w:val="18"/>
              </w:rPr>
              <w:t>Facilities</w:t>
            </w:r>
            <w:r>
              <w:rPr>
                <w:spacing w:val="-10"/>
                <w:sz w:val="18"/>
              </w:rPr>
              <w:t xml:space="preserve"> </w:t>
            </w:r>
            <w:r>
              <w:rPr>
                <w:sz w:val="18"/>
              </w:rPr>
              <w:t xml:space="preserve">and </w:t>
            </w:r>
            <w:r>
              <w:rPr>
                <w:spacing w:val="-2"/>
                <w:sz w:val="18"/>
              </w:rPr>
              <w:t>Buildings</w:t>
            </w:r>
          </w:p>
        </w:tc>
        <w:tc>
          <w:tcPr>
            <w:tcW w:w="1237" w:type="dxa"/>
            <w:vMerge w:val="restart"/>
            <w:tcBorders>
              <w:bottom w:val="single" w:sz="6" w:space="0" w:color="FFFFFF"/>
            </w:tcBorders>
            <w:shd w:val="clear" w:color="auto" w:fill="CCE2ED"/>
          </w:tcPr>
          <w:p w14:paraId="20107990" w14:textId="77777777" w:rsidR="00141B97" w:rsidRDefault="00141B97">
            <w:pPr>
              <w:pStyle w:val="TableParagraph"/>
              <w:rPr>
                <w:sz w:val="18"/>
              </w:rPr>
            </w:pPr>
          </w:p>
          <w:p w14:paraId="3314487A" w14:textId="77777777" w:rsidR="00141B97" w:rsidRDefault="00911D63">
            <w:pPr>
              <w:pStyle w:val="TableParagraph"/>
              <w:spacing w:before="126"/>
              <w:ind w:left="442" w:right="442"/>
              <w:jc w:val="center"/>
              <w:rPr>
                <w:sz w:val="18"/>
              </w:rPr>
            </w:pPr>
            <w:r>
              <w:rPr>
                <w:spacing w:val="-4"/>
                <w:sz w:val="18"/>
              </w:rPr>
              <w:t>2.03</w:t>
            </w:r>
          </w:p>
        </w:tc>
        <w:tc>
          <w:tcPr>
            <w:tcW w:w="1855" w:type="dxa"/>
            <w:vMerge w:val="restart"/>
            <w:tcBorders>
              <w:bottom w:val="single" w:sz="6" w:space="0" w:color="FFFFFF"/>
            </w:tcBorders>
            <w:shd w:val="clear" w:color="auto" w:fill="CCE2ED"/>
          </w:tcPr>
          <w:p w14:paraId="2C2D4EE2" w14:textId="77777777" w:rsidR="00141B97" w:rsidRDefault="00141B97">
            <w:pPr>
              <w:pStyle w:val="TableParagraph"/>
              <w:rPr>
                <w:sz w:val="18"/>
              </w:rPr>
            </w:pPr>
          </w:p>
          <w:p w14:paraId="6137F06B" w14:textId="77777777" w:rsidR="00141B97" w:rsidRDefault="00911D63">
            <w:pPr>
              <w:pStyle w:val="TableParagraph"/>
              <w:spacing w:before="126"/>
              <w:ind w:left="534"/>
              <w:rPr>
                <w:sz w:val="18"/>
              </w:rPr>
            </w:pPr>
            <w:r>
              <w:rPr>
                <w:spacing w:val="-2"/>
                <w:sz w:val="18"/>
              </w:rPr>
              <w:t>Corporate</w:t>
            </w:r>
          </w:p>
        </w:tc>
        <w:tc>
          <w:tcPr>
            <w:tcW w:w="1543" w:type="dxa"/>
            <w:vMerge w:val="restart"/>
            <w:tcBorders>
              <w:bottom w:val="single" w:sz="6" w:space="0" w:color="FFFFFF"/>
              <w:right w:val="nil"/>
            </w:tcBorders>
            <w:shd w:val="clear" w:color="auto" w:fill="CCE2ED"/>
          </w:tcPr>
          <w:p w14:paraId="3A0F1B2D" w14:textId="77777777" w:rsidR="00141B97" w:rsidRDefault="00141B97">
            <w:pPr>
              <w:pStyle w:val="TableParagraph"/>
              <w:spacing w:before="3"/>
              <w:rPr>
                <w:sz w:val="19"/>
              </w:rPr>
            </w:pPr>
          </w:p>
          <w:p w14:paraId="7092732C" w14:textId="77777777" w:rsidR="00141B97" w:rsidRDefault="00911D63">
            <w:pPr>
              <w:pStyle w:val="TableParagraph"/>
              <w:ind w:left="321" w:right="181" w:hanging="137"/>
              <w:rPr>
                <w:sz w:val="18"/>
              </w:rPr>
            </w:pPr>
            <w:r>
              <w:rPr>
                <w:sz w:val="18"/>
              </w:rPr>
              <w:t>Improvements</w:t>
            </w:r>
            <w:r>
              <w:rPr>
                <w:spacing w:val="-11"/>
                <w:sz w:val="18"/>
              </w:rPr>
              <w:t xml:space="preserve"> </w:t>
            </w:r>
            <w:r>
              <w:rPr>
                <w:sz w:val="18"/>
              </w:rPr>
              <w:t xml:space="preserve">/ </w:t>
            </w:r>
            <w:r>
              <w:rPr>
                <w:spacing w:val="-2"/>
                <w:sz w:val="18"/>
              </w:rPr>
              <w:t>Compliance</w:t>
            </w:r>
          </w:p>
        </w:tc>
        <w:tc>
          <w:tcPr>
            <w:tcW w:w="8586" w:type="dxa"/>
            <w:tcBorders>
              <w:left w:val="nil"/>
              <w:right w:val="nil"/>
            </w:tcBorders>
            <w:shd w:val="clear" w:color="auto" w:fill="CCE2ED"/>
          </w:tcPr>
          <w:p w14:paraId="3D59596B" w14:textId="77777777" w:rsidR="00141B97" w:rsidRDefault="00911D63">
            <w:pPr>
              <w:pStyle w:val="TableParagraph"/>
              <w:tabs>
                <w:tab w:val="left" w:pos="3759"/>
                <w:tab w:val="left" w:pos="4798"/>
                <w:tab w:val="left" w:pos="5837"/>
                <w:tab w:val="left" w:pos="6875"/>
                <w:tab w:val="right" w:pos="8232"/>
              </w:tabs>
              <w:spacing w:before="145"/>
              <w:ind w:left="107"/>
              <w:rPr>
                <w:sz w:val="18"/>
              </w:rPr>
            </w:pPr>
            <w:r>
              <w:rPr>
                <w:sz w:val="18"/>
              </w:rPr>
              <w:t>Buildings</w:t>
            </w:r>
            <w:r>
              <w:rPr>
                <w:spacing w:val="-4"/>
                <w:sz w:val="18"/>
              </w:rPr>
              <w:t xml:space="preserve"> </w:t>
            </w:r>
            <w:r>
              <w:rPr>
                <w:sz w:val="18"/>
              </w:rPr>
              <w:t>‐</w:t>
            </w:r>
            <w:r>
              <w:rPr>
                <w:spacing w:val="-4"/>
                <w:sz w:val="18"/>
              </w:rPr>
              <w:t xml:space="preserve"> </w:t>
            </w:r>
            <w:r>
              <w:rPr>
                <w:spacing w:val="-2"/>
                <w:sz w:val="18"/>
              </w:rPr>
              <w:t>Water</w:t>
            </w:r>
            <w:r>
              <w:rPr>
                <w:sz w:val="18"/>
              </w:rPr>
              <w:tab/>
            </w:r>
            <w:r>
              <w:rPr>
                <w:spacing w:val="-4"/>
                <w:sz w:val="18"/>
              </w:rPr>
              <w:t>0.43</w:t>
            </w:r>
            <w:r>
              <w:rPr>
                <w:sz w:val="18"/>
              </w:rPr>
              <w:tab/>
            </w:r>
            <w:r>
              <w:rPr>
                <w:spacing w:val="-4"/>
                <w:sz w:val="18"/>
              </w:rPr>
              <w:t>0.20</w:t>
            </w:r>
            <w:r>
              <w:rPr>
                <w:sz w:val="18"/>
              </w:rPr>
              <w:tab/>
            </w:r>
            <w:r>
              <w:rPr>
                <w:spacing w:val="-4"/>
                <w:sz w:val="18"/>
              </w:rPr>
              <w:t>0.22</w:t>
            </w:r>
            <w:r>
              <w:rPr>
                <w:sz w:val="18"/>
              </w:rPr>
              <w:tab/>
            </w:r>
            <w:r>
              <w:rPr>
                <w:spacing w:val="-4"/>
                <w:sz w:val="18"/>
              </w:rPr>
              <w:t>0.12</w:t>
            </w:r>
            <w:r>
              <w:rPr>
                <w:rFonts w:ascii="Times New Roman" w:hAnsi="Times New Roman"/>
                <w:sz w:val="18"/>
              </w:rPr>
              <w:tab/>
            </w:r>
            <w:r>
              <w:rPr>
                <w:spacing w:val="-4"/>
                <w:sz w:val="18"/>
              </w:rPr>
              <w:t>0.11</w:t>
            </w:r>
          </w:p>
        </w:tc>
      </w:tr>
      <w:tr w:rsidR="00141B97" w14:paraId="211749BA" w14:textId="77777777">
        <w:trPr>
          <w:trHeight w:hRule="exact" w:val="400"/>
        </w:trPr>
        <w:tc>
          <w:tcPr>
            <w:tcW w:w="2461" w:type="dxa"/>
            <w:vMerge/>
            <w:tcBorders>
              <w:top w:val="nil"/>
              <w:left w:val="nil"/>
              <w:bottom w:val="single" w:sz="6" w:space="0" w:color="FFFFFF"/>
            </w:tcBorders>
            <w:shd w:val="clear" w:color="auto" w:fill="CCE2ED"/>
          </w:tcPr>
          <w:p w14:paraId="45EE9FB9" w14:textId="77777777" w:rsidR="00141B97" w:rsidRDefault="00141B97">
            <w:pPr>
              <w:rPr>
                <w:sz w:val="2"/>
                <w:szCs w:val="2"/>
              </w:rPr>
            </w:pPr>
          </w:p>
        </w:tc>
        <w:tc>
          <w:tcPr>
            <w:tcW w:w="1237" w:type="dxa"/>
            <w:vMerge/>
            <w:tcBorders>
              <w:top w:val="nil"/>
              <w:bottom w:val="single" w:sz="6" w:space="0" w:color="FFFFFF"/>
            </w:tcBorders>
            <w:shd w:val="clear" w:color="auto" w:fill="CCE2ED"/>
          </w:tcPr>
          <w:p w14:paraId="6E724BB4" w14:textId="77777777" w:rsidR="00141B97" w:rsidRDefault="00141B97">
            <w:pPr>
              <w:rPr>
                <w:sz w:val="2"/>
                <w:szCs w:val="2"/>
              </w:rPr>
            </w:pPr>
          </w:p>
        </w:tc>
        <w:tc>
          <w:tcPr>
            <w:tcW w:w="1855" w:type="dxa"/>
            <w:vMerge/>
            <w:tcBorders>
              <w:top w:val="nil"/>
              <w:bottom w:val="single" w:sz="6" w:space="0" w:color="FFFFFF"/>
            </w:tcBorders>
            <w:shd w:val="clear" w:color="auto" w:fill="CCE2ED"/>
          </w:tcPr>
          <w:p w14:paraId="31CF2DE1" w14:textId="77777777" w:rsidR="00141B97" w:rsidRDefault="00141B97">
            <w:pPr>
              <w:rPr>
                <w:sz w:val="2"/>
                <w:szCs w:val="2"/>
              </w:rPr>
            </w:pPr>
          </w:p>
        </w:tc>
        <w:tc>
          <w:tcPr>
            <w:tcW w:w="1543" w:type="dxa"/>
            <w:vMerge/>
            <w:tcBorders>
              <w:top w:val="nil"/>
              <w:bottom w:val="single" w:sz="6" w:space="0" w:color="FFFFFF"/>
              <w:right w:val="nil"/>
            </w:tcBorders>
            <w:shd w:val="clear" w:color="auto" w:fill="CCE2ED"/>
          </w:tcPr>
          <w:p w14:paraId="741FE362" w14:textId="77777777" w:rsidR="00141B97" w:rsidRDefault="00141B97">
            <w:pPr>
              <w:rPr>
                <w:sz w:val="2"/>
                <w:szCs w:val="2"/>
              </w:rPr>
            </w:pPr>
          </w:p>
        </w:tc>
        <w:tc>
          <w:tcPr>
            <w:tcW w:w="8586" w:type="dxa"/>
            <w:tcBorders>
              <w:left w:val="nil"/>
              <w:bottom w:val="single" w:sz="6" w:space="0" w:color="FFFFFF"/>
              <w:right w:val="nil"/>
            </w:tcBorders>
            <w:shd w:val="clear" w:color="auto" w:fill="CCE2ED"/>
          </w:tcPr>
          <w:p w14:paraId="06630DDB" w14:textId="77777777" w:rsidR="00141B97" w:rsidRDefault="00911D63">
            <w:pPr>
              <w:pStyle w:val="TableParagraph"/>
              <w:tabs>
                <w:tab w:val="left" w:pos="3759"/>
                <w:tab w:val="left" w:pos="4798"/>
                <w:tab w:val="left" w:pos="5837"/>
                <w:tab w:val="left" w:pos="6875"/>
                <w:tab w:val="right" w:pos="8232"/>
              </w:tabs>
              <w:spacing w:before="85"/>
              <w:ind w:left="107"/>
              <w:rPr>
                <w:sz w:val="18"/>
              </w:rPr>
            </w:pPr>
            <w:r>
              <w:rPr>
                <w:sz w:val="18"/>
              </w:rPr>
              <w:t>Buildings</w:t>
            </w:r>
            <w:r>
              <w:rPr>
                <w:spacing w:val="-4"/>
                <w:sz w:val="18"/>
              </w:rPr>
              <w:t xml:space="preserve"> </w:t>
            </w:r>
            <w:r>
              <w:rPr>
                <w:sz w:val="18"/>
              </w:rPr>
              <w:t>‐</w:t>
            </w:r>
            <w:r>
              <w:rPr>
                <w:spacing w:val="-4"/>
                <w:sz w:val="18"/>
              </w:rPr>
              <w:t xml:space="preserve"> </w:t>
            </w:r>
            <w:r>
              <w:rPr>
                <w:spacing w:val="-2"/>
                <w:sz w:val="18"/>
              </w:rPr>
              <w:t>Sewerage</w:t>
            </w:r>
            <w:r>
              <w:rPr>
                <w:sz w:val="18"/>
              </w:rPr>
              <w:tab/>
            </w:r>
            <w:r>
              <w:rPr>
                <w:spacing w:val="-4"/>
                <w:sz w:val="18"/>
              </w:rPr>
              <w:t>0.37</w:t>
            </w:r>
            <w:r>
              <w:rPr>
                <w:sz w:val="18"/>
              </w:rPr>
              <w:tab/>
            </w:r>
            <w:r>
              <w:rPr>
                <w:spacing w:val="-4"/>
                <w:sz w:val="18"/>
              </w:rPr>
              <w:t>0.17</w:t>
            </w:r>
            <w:r>
              <w:rPr>
                <w:sz w:val="18"/>
              </w:rPr>
              <w:tab/>
            </w:r>
            <w:r>
              <w:rPr>
                <w:spacing w:val="-4"/>
                <w:sz w:val="18"/>
              </w:rPr>
              <w:t>0.19</w:t>
            </w:r>
            <w:r>
              <w:rPr>
                <w:sz w:val="18"/>
              </w:rPr>
              <w:tab/>
            </w:r>
            <w:r>
              <w:rPr>
                <w:spacing w:val="-4"/>
                <w:sz w:val="18"/>
              </w:rPr>
              <w:t>0.11</w:t>
            </w:r>
            <w:r>
              <w:rPr>
                <w:rFonts w:ascii="Times New Roman" w:hAnsi="Times New Roman"/>
                <w:sz w:val="18"/>
              </w:rPr>
              <w:tab/>
            </w:r>
            <w:r>
              <w:rPr>
                <w:spacing w:val="-4"/>
                <w:sz w:val="18"/>
              </w:rPr>
              <w:t>0.10</w:t>
            </w:r>
          </w:p>
        </w:tc>
      </w:tr>
      <w:tr w:rsidR="00141B97" w14:paraId="34045969" w14:textId="77777777">
        <w:trPr>
          <w:trHeight w:hRule="exact" w:val="259"/>
        </w:trPr>
        <w:tc>
          <w:tcPr>
            <w:tcW w:w="5553" w:type="dxa"/>
            <w:gridSpan w:val="3"/>
            <w:tcBorders>
              <w:top w:val="single" w:sz="6" w:space="0" w:color="FFFFFF"/>
              <w:left w:val="nil"/>
              <w:bottom w:val="nil"/>
            </w:tcBorders>
            <w:shd w:val="clear" w:color="auto" w:fill="BFBFBF"/>
          </w:tcPr>
          <w:p w14:paraId="15741CC5" w14:textId="77777777" w:rsidR="00141B97" w:rsidRDefault="00911D63">
            <w:pPr>
              <w:pStyle w:val="TableParagraph"/>
              <w:spacing w:before="15" w:line="217" w:lineRule="exact"/>
              <w:ind w:left="2860" w:right="2249"/>
              <w:jc w:val="center"/>
              <w:rPr>
                <w:sz w:val="18"/>
              </w:rPr>
            </w:pPr>
            <w:r>
              <w:rPr>
                <w:spacing w:val="-2"/>
                <w:sz w:val="18"/>
              </w:rPr>
              <w:t>28.27</w:t>
            </w:r>
          </w:p>
        </w:tc>
        <w:tc>
          <w:tcPr>
            <w:tcW w:w="10129" w:type="dxa"/>
            <w:gridSpan w:val="2"/>
            <w:tcBorders>
              <w:top w:val="single" w:sz="6" w:space="0" w:color="FFFFFF"/>
              <w:bottom w:val="nil"/>
              <w:right w:val="nil"/>
            </w:tcBorders>
            <w:shd w:val="clear" w:color="auto" w:fill="BFBFBF"/>
          </w:tcPr>
          <w:p w14:paraId="22806DE3" w14:textId="77777777" w:rsidR="00141B97" w:rsidRDefault="00911D63">
            <w:pPr>
              <w:pStyle w:val="TableParagraph"/>
              <w:tabs>
                <w:tab w:val="left" w:pos="5297"/>
                <w:tab w:val="left" w:pos="6336"/>
                <w:tab w:val="left" w:pos="7376"/>
                <w:tab w:val="left" w:pos="8414"/>
                <w:tab w:val="right" w:pos="9770"/>
              </w:tabs>
              <w:spacing w:before="15" w:line="217" w:lineRule="exact"/>
              <w:ind w:left="2133"/>
              <w:rPr>
                <w:sz w:val="18"/>
              </w:rPr>
            </w:pPr>
            <w:r>
              <w:rPr>
                <w:sz w:val="18"/>
              </w:rPr>
              <w:t>TOTAL</w:t>
            </w:r>
            <w:r>
              <w:rPr>
                <w:spacing w:val="-1"/>
                <w:sz w:val="18"/>
              </w:rPr>
              <w:t xml:space="preserve"> </w:t>
            </w:r>
            <w:r>
              <w:rPr>
                <w:sz w:val="18"/>
              </w:rPr>
              <w:t>Major</w:t>
            </w:r>
            <w:r>
              <w:rPr>
                <w:spacing w:val="-2"/>
                <w:sz w:val="18"/>
              </w:rPr>
              <w:t xml:space="preserve"> </w:t>
            </w:r>
            <w:r>
              <w:rPr>
                <w:sz w:val="18"/>
              </w:rPr>
              <w:t>Programs</w:t>
            </w:r>
            <w:r>
              <w:rPr>
                <w:spacing w:val="-1"/>
                <w:sz w:val="18"/>
              </w:rPr>
              <w:t xml:space="preserve"> </w:t>
            </w:r>
            <w:r>
              <w:rPr>
                <w:spacing w:val="-2"/>
                <w:sz w:val="18"/>
              </w:rPr>
              <w:t>Urban</w:t>
            </w:r>
            <w:r>
              <w:rPr>
                <w:sz w:val="18"/>
              </w:rPr>
              <w:tab/>
            </w:r>
            <w:r>
              <w:rPr>
                <w:spacing w:val="-4"/>
                <w:sz w:val="18"/>
              </w:rPr>
              <w:t>6.64</w:t>
            </w:r>
            <w:r>
              <w:rPr>
                <w:sz w:val="18"/>
              </w:rPr>
              <w:tab/>
            </w:r>
            <w:r>
              <w:rPr>
                <w:spacing w:val="-4"/>
                <w:sz w:val="18"/>
              </w:rPr>
              <w:t>6.63</w:t>
            </w:r>
            <w:r>
              <w:rPr>
                <w:sz w:val="18"/>
              </w:rPr>
              <w:tab/>
            </w:r>
            <w:r>
              <w:rPr>
                <w:spacing w:val="-4"/>
                <w:sz w:val="18"/>
              </w:rPr>
              <w:t>5.16</w:t>
            </w:r>
            <w:r>
              <w:rPr>
                <w:sz w:val="18"/>
              </w:rPr>
              <w:tab/>
            </w:r>
            <w:r>
              <w:rPr>
                <w:spacing w:val="-4"/>
                <w:sz w:val="18"/>
              </w:rPr>
              <w:t>4.69</w:t>
            </w:r>
            <w:r>
              <w:rPr>
                <w:rFonts w:ascii="Times New Roman"/>
                <w:sz w:val="18"/>
              </w:rPr>
              <w:tab/>
            </w:r>
            <w:r>
              <w:rPr>
                <w:spacing w:val="-4"/>
                <w:sz w:val="18"/>
              </w:rPr>
              <w:t>5.15</w:t>
            </w:r>
          </w:p>
        </w:tc>
      </w:tr>
      <w:tr w:rsidR="00141B97" w14:paraId="30D17F39" w14:textId="77777777">
        <w:trPr>
          <w:trHeight w:hRule="exact" w:val="1465"/>
        </w:trPr>
        <w:tc>
          <w:tcPr>
            <w:tcW w:w="5553" w:type="dxa"/>
            <w:gridSpan w:val="3"/>
            <w:tcBorders>
              <w:top w:val="nil"/>
              <w:left w:val="nil"/>
              <w:bottom w:val="nil"/>
            </w:tcBorders>
          </w:tcPr>
          <w:p w14:paraId="25E6D09C" w14:textId="77777777" w:rsidR="00141B97" w:rsidRDefault="00141B97">
            <w:pPr>
              <w:pStyle w:val="TableParagraph"/>
              <w:rPr>
                <w:rFonts w:ascii="Times New Roman"/>
                <w:sz w:val="18"/>
              </w:rPr>
            </w:pPr>
          </w:p>
        </w:tc>
        <w:tc>
          <w:tcPr>
            <w:tcW w:w="10129" w:type="dxa"/>
            <w:gridSpan w:val="2"/>
            <w:tcBorders>
              <w:top w:val="nil"/>
              <w:bottom w:val="nil"/>
              <w:right w:val="nil"/>
            </w:tcBorders>
          </w:tcPr>
          <w:p w14:paraId="22DDC4BE" w14:textId="77777777" w:rsidR="00141B97" w:rsidRDefault="00141B97">
            <w:pPr>
              <w:pStyle w:val="TableParagraph"/>
              <w:rPr>
                <w:rFonts w:ascii="Times New Roman"/>
                <w:sz w:val="18"/>
              </w:rPr>
            </w:pPr>
          </w:p>
        </w:tc>
      </w:tr>
    </w:tbl>
    <w:p w14:paraId="700A6B25" w14:textId="77777777" w:rsidR="00141B97" w:rsidRDefault="00141B97">
      <w:pPr>
        <w:rPr>
          <w:rFonts w:ascii="Times New Roman"/>
          <w:sz w:val="18"/>
        </w:rPr>
        <w:sectPr w:rsidR="00141B97">
          <w:pgSz w:w="16840" w:h="11910" w:orient="landscape"/>
          <w:pgMar w:top="940" w:right="600" w:bottom="540" w:left="300" w:header="0" w:footer="345" w:gutter="0"/>
          <w:cols w:space="720"/>
        </w:sectPr>
      </w:pPr>
    </w:p>
    <w:p w14:paraId="5ABD688B" w14:textId="77777777" w:rsidR="00141B97" w:rsidRDefault="00911D63">
      <w:pPr>
        <w:pStyle w:val="BodyText"/>
        <w:spacing w:before="27"/>
        <w:ind w:left="124"/>
      </w:pPr>
      <w:r>
        <w:lastRenderedPageBreak/>
        <w:t>B2.4</w:t>
      </w:r>
      <w:r>
        <w:rPr>
          <w:spacing w:val="-6"/>
        </w:rPr>
        <w:t xml:space="preserve"> </w:t>
      </w:r>
      <w:r>
        <w:t>Major</w:t>
      </w:r>
      <w:r>
        <w:rPr>
          <w:spacing w:val="-6"/>
        </w:rPr>
        <w:t xml:space="preserve"> </w:t>
      </w:r>
      <w:r>
        <w:t>Urban</w:t>
      </w:r>
      <w:r>
        <w:rPr>
          <w:spacing w:val="-7"/>
        </w:rPr>
        <w:t xml:space="preserve"> </w:t>
      </w:r>
      <w:r>
        <w:t>Programs</w:t>
      </w:r>
      <w:r>
        <w:rPr>
          <w:spacing w:val="-6"/>
        </w:rPr>
        <w:t xml:space="preserve"> </w:t>
      </w:r>
      <w:r>
        <w:t>–</w:t>
      </w:r>
      <w:r>
        <w:rPr>
          <w:spacing w:val="-6"/>
        </w:rPr>
        <w:t xml:space="preserve"> </w:t>
      </w:r>
      <w:r>
        <w:t>Alignment</w:t>
      </w:r>
      <w:r>
        <w:rPr>
          <w:spacing w:val="-6"/>
        </w:rPr>
        <w:t xml:space="preserve"> </w:t>
      </w:r>
      <w:r>
        <w:t>to</w:t>
      </w:r>
      <w:r>
        <w:rPr>
          <w:spacing w:val="-8"/>
        </w:rPr>
        <w:t xml:space="preserve"> </w:t>
      </w:r>
      <w:r>
        <w:t>Customer</w:t>
      </w:r>
      <w:r>
        <w:rPr>
          <w:spacing w:val="-7"/>
        </w:rPr>
        <w:t xml:space="preserve"> </w:t>
      </w:r>
      <w:r>
        <w:rPr>
          <w:spacing w:val="-2"/>
        </w:rPr>
        <w:t>Outcomes</w:t>
      </w:r>
    </w:p>
    <w:p w14:paraId="2F609150" w14:textId="77777777" w:rsidR="00141B97" w:rsidRDefault="00141B97">
      <w:pPr>
        <w:pStyle w:val="BodyText"/>
        <w:spacing w:before="7"/>
        <w:rPr>
          <w:sz w:val="19"/>
        </w:rPr>
      </w:pPr>
    </w:p>
    <w:tbl>
      <w:tblPr>
        <w:tblW w:w="0" w:type="auto"/>
        <w:tblInd w:w="142" w:type="dxa"/>
        <w:tblLayout w:type="fixed"/>
        <w:tblCellMar>
          <w:left w:w="0" w:type="dxa"/>
          <w:right w:w="0" w:type="dxa"/>
        </w:tblCellMar>
        <w:tblLook w:val="01E0" w:firstRow="1" w:lastRow="1" w:firstColumn="1" w:lastColumn="1" w:noHBand="0" w:noVBand="0"/>
      </w:tblPr>
      <w:tblGrid>
        <w:gridCol w:w="2567"/>
        <w:gridCol w:w="1261"/>
        <w:gridCol w:w="1415"/>
        <w:gridCol w:w="1799"/>
        <w:gridCol w:w="1624"/>
        <w:gridCol w:w="2031"/>
        <w:gridCol w:w="2848"/>
        <w:gridCol w:w="2133"/>
      </w:tblGrid>
      <w:tr w:rsidR="00141B97" w14:paraId="065D583A" w14:textId="77777777">
        <w:trPr>
          <w:trHeight w:val="475"/>
        </w:trPr>
        <w:tc>
          <w:tcPr>
            <w:tcW w:w="2567" w:type="dxa"/>
            <w:tcBorders>
              <w:bottom w:val="single" w:sz="6" w:space="0" w:color="FFFFFF"/>
            </w:tcBorders>
            <w:shd w:val="clear" w:color="auto" w:fill="006CA3"/>
          </w:tcPr>
          <w:p w14:paraId="26B3645C" w14:textId="77777777" w:rsidR="00141B97" w:rsidRDefault="00911D63">
            <w:pPr>
              <w:pStyle w:val="TableParagraph"/>
              <w:spacing w:before="140"/>
              <w:ind w:left="101"/>
              <w:rPr>
                <w:sz w:val="16"/>
              </w:rPr>
            </w:pPr>
            <w:r>
              <w:rPr>
                <w:color w:val="FFFFFF"/>
                <w:sz w:val="16"/>
              </w:rPr>
              <w:t>Major</w:t>
            </w:r>
            <w:r>
              <w:rPr>
                <w:color w:val="FFFFFF"/>
                <w:spacing w:val="-6"/>
                <w:sz w:val="16"/>
              </w:rPr>
              <w:t xml:space="preserve"> </w:t>
            </w:r>
            <w:r>
              <w:rPr>
                <w:color w:val="FFFFFF"/>
                <w:spacing w:val="-2"/>
                <w:sz w:val="16"/>
              </w:rPr>
              <w:t>Program</w:t>
            </w:r>
          </w:p>
        </w:tc>
        <w:tc>
          <w:tcPr>
            <w:tcW w:w="1261" w:type="dxa"/>
            <w:tcBorders>
              <w:bottom w:val="single" w:sz="6" w:space="0" w:color="FFFFFF"/>
            </w:tcBorders>
            <w:shd w:val="clear" w:color="auto" w:fill="006CA3"/>
          </w:tcPr>
          <w:p w14:paraId="4B1DDD09" w14:textId="77777777" w:rsidR="00141B97" w:rsidRDefault="00911D63">
            <w:pPr>
              <w:pStyle w:val="TableParagraph"/>
              <w:spacing w:before="43"/>
              <w:ind w:left="335" w:right="131" w:hanging="128"/>
              <w:rPr>
                <w:sz w:val="16"/>
              </w:rPr>
            </w:pPr>
            <w:r>
              <w:rPr>
                <w:color w:val="FFFFFF"/>
                <w:sz w:val="16"/>
              </w:rPr>
              <w:t>Total</w:t>
            </w:r>
            <w:r>
              <w:rPr>
                <w:color w:val="FFFFFF"/>
                <w:spacing w:val="-10"/>
                <w:sz w:val="16"/>
              </w:rPr>
              <w:t xml:space="preserve"> </w:t>
            </w:r>
            <w:r>
              <w:rPr>
                <w:color w:val="FFFFFF"/>
                <w:sz w:val="16"/>
              </w:rPr>
              <w:t>Program</w:t>
            </w:r>
            <w:r>
              <w:rPr>
                <w:color w:val="FFFFFF"/>
                <w:spacing w:val="40"/>
                <w:sz w:val="16"/>
              </w:rPr>
              <w:t xml:space="preserve"> </w:t>
            </w:r>
            <w:r>
              <w:rPr>
                <w:color w:val="FFFFFF"/>
                <w:sz w:val="16"/>
              </w:rPr>
              <w:t>Cost</w:t>
            </w:r>
            <w:r>
              <w:rPr>
                <w:color w:val="FFFFFF"/>
                <w:spacing w:val="-5"/>
                <w:sz w:val="16"/>
              </w:rPr>
              <w:t xml:space="preserve"> </w:t>
            </w:r>
            <w:r>
              <w:rPr>
                <w:color w:val="FFFFFF"/>
                <w:sz w:val="16"/>
              </w:rPr>
              <w:t>($m)</w:t>
            </w:r>
          </w:p>
        </w:tc>
        <w:tc>
          <w:tcPr>
            <w:tcW w:w="1415" w:type="dxa"/>
            <w:tcBorders>
              <w:bottom w:val="single" w:sz="6" w:space="0" w:color="FFFFFF"/>
            </w:tcBorders>
            <w:shd w:val="clear" w:color="auto" w:fill="006CA3"/>
          </w:tcPr>
          <w:p w14:paraId="53B58446" w14:textId="77777777" w:rsidR="00141B97" w:rsidRDefault="00911D63">
            <w:pPr>
              <w:pStyle w:val="TableParagraph"/>
              <w:spacing w:before="43"/>
              <w:ind w:left="463" w:right="195" w:hanging="135"/>
              <w:rPr>
                <w:sz w:val="16"/>
              </w:rPr>
            </w:pPr>
            <w:r>
              <w:rPr>
                <w:color w:val="FFFFFF"/>
                <w:sz w:val="16"/>
              </w:rPr>
              <w:t>Major</w:t>
            </w:r>
            <w:r>
              <w:rPr>
                <w:color w:val="FFFFFF"/>
                <w:spacing w:val="-10"/>
                <w:sz w:val="16"/>
              </w:rPr>
              <w:t xml:space="preserve"> </w:t>
            </w:r>
            <w:r>
              <w:rPr>
                <w:color w:val="FFFFFF"/>
                <w:sz w:val="16"/>
              </w:rPr>
              <w:t>Service</w:t>
            </w:r>
            <w:r>
              <w:rPr>
                <w:color w:val="FFFFFF"/>
                <w:spacing w:val="40"/>
                <w:sz w:val="16"/>
              </w:rPr>
              <w:t xml:space="preserve"> </w:t>
            </w:r>
            <w:r>
              <w:rPr>
                <w:color w:val="FFFFFF"/>
                <w:spacing w:val="-2"/>
                <w:sz w:val="16"/>
              </w:rPr>
              <w:t>Category</w:t>
            </w:r>
          </w:p>
        </w:tc>
        <w:tc>
          <w:tcPr>
            <w:tcW w:w="1799" w:type="dxa"/>
            <w:tcBorders>
              <w:bottom w:val="single" w:sz="6" w:space="0" w:color="FFFFFF"/>
            </w:tcBorders>
            <w:shd w:val="clear" w:color="auto" w:fill="006CA3"/>
          </w:tcPr>
          <w:p w14:paraId="75A061BF" w14:textId="77777777" w:rsidR="00141B97" w:rsidRDefault="00911D63">
            <w:pPr>
              <w:pStyle w:val="TableParagraph"/>
              <w:spacing w:before="140"/>
              <w:ind w:left="526"/>
              <w:rPr>
                <w:sz w:val="16"/>
              </w:rPr>
            </w:pPr>
            <w:r>
              <w:rPr>
                <w:color w:val="FFFFFF"/>
                <w:sz w:val="16"/>
              </w:rPr>
              <w:t>ESC</w:t>
            </w:r>
            <w:r>
              <w:rPr>
                <w:color w:val="FFFFFF"/>
                <w:spacing w:val="-4"/>
                <w:sz w:val="16"/>
              </w:rPr>
              <w:t xml:space="preserve"> </w:t>
            </w:r>
            <w:r>
              <w:rPr>
                <w:color w:val="FFFFFF"/>
                <w:sz w:val="16"/>
              </w:rPr>
              <w:t>Cost</w:t>
            </w:r>
            <w:r>
              <w:rPr>
                <w:color w:val="FFFFFF"/>
                <w:spacing w:val="-4"/>
                <w:sz w:val="16"/>
              </w:rPr>
              <w:t xml:space="preserve"> </w:t>
            </w:r>
            <w:r>
              <w:rPr>
                <w:color w:val="FFFFFF"/>
                <w:spacing w:val="-2"/>
                <w:sz w:val="16"/>
              </w:rPr>
              <w:t>Driver</w:t>
            </w:r>
          </w:p>
        </w:tc>
        <w:tc>
          <w:tcPr>
            <w:tcW w:w="1624" w:type="dxa"/>
            <w:tcBorders>
              <w:bottom w:val="single" w:sz="6" w:space="0" w:color="FFFFFF"/>
            </w:tcBorders>
            <w:shd w:val="clear" w:color="auto" w:fill="006CA3"/>
          </w:tcPr>
          <w:p w14:paraId="24D2C0F1" w14:textId="77777777" w:rsidR="00141B97" w:rsidRDefault="00911D63">
            <w:pPr>
              <w:pStyle w:val="TableParagraph"/>
              <w:spacing w:before="43"/>
              <w:ind w:left="605" w:right="100" w:hanging="315"/>
              <w:rPr>
                <w:sz w:val="16"/>
              </w:rPr>
            </w:pPr>
            <w:r>
              <w:rPr>
                <w:color w:val="FFFFFF"/>
                <w:sz w:val="16"/>
              </w:rPr>
              <w:t>Relevant</w:t>
            </w:r>
            <w:r>
              <w:rPr>
                <w:color w:val="FFFFFF"/>
                <w:spacing w:val="-10"/>
                <w:sz w:val="16"/>
              </w:rPr>
              <w:t xml:space="preserve"> </w:t>
            </w:r>
            <w:r>
              <w:rPr>
                <w:color w:val="FFFFFF"/>
                <w:sz w:val="16"/>
              </w:rPr>
              <w:t>Customer</w:t>
            </w:r>
            <w:r>
              <w:rPr>
                <w:color w:val="FFFFFF"/>
                <w:spacing w:val="40"/>
                <w:sz w:val="16"/>
              </w:rPr>
              <w:t xml:space="preserve"> </w:t>
            </w:r>
            <w:r>
              <w:rPr>
                <w:color w:val="FFFFFF"/>
                <w:spacing w:val="-2"/>
                <w:sz w:val="16"/>
              </w:rPr>
              <w:t>Outcome</w:t>
            </w:r>
          </w:p>
        </w:tc>
        <w:tc>
          <w:tcPr>
            <w:tcW w:w="2031" w:type="dxa"/>
            <w:tcBorders>
              <w:bottom w:val="single" w:sz="6" w:space="0" w:color="FFFFFF"/>
            </w:tcBorders>
            <w:shd w:val="clear" w:color="auto" w:fill="006CA3"/>
          </w:tcPr>
          <w:p w14:paraId="4440AE66" w14:textId="77777777" w:rsidR="00141B97" w:rsidRDefault="00911D63">
            <w:pPr>
              <w:pStyle w:val="TableParagraph"/>
              <w:spacing w:before="140"/>
              <w:ind w:left="707" w:right="692"/>
              <w:jc w:val="center"/>
              <w:rPr>
                <w:sz w:val="16"/>
              </w:rPr>
            </w:pPr>
            <w:r>
              <w:rPr>
                <w:color w:val="FFFFFF"/>
                <w:spacing w:val="-2"/>
                <w:sz w:val="16"/>
              </w:rPr>
              <w:t>Objective</w:t>
            </w:r>
          </w:p>
        </w:tc>
        <w:tc>
          <w:tcPr>
            <w:tcW w:w="2848" w:type="dxa"/>
            <w:tcBorders>
              <w:bottom w:val="single" w:sz="6" w:space="0" w:color="FFFFFF"/>
            </w:tcBorders>
            <w:shd w:val="clear" w:color="auto" w:fill="006CA3"/>
          </w:tcPr>
          <w:p w14:paraId="006F5886" w14:textId="77777777" w:rsidR="00141B97" w:rsidRDefault="00911D63">
            <w:pPr>
              <w:pStyle w:val="TableParagraph"/>
              <w:spacing w:before="140"/>
              <w:ind w:left="1223" w:right="1207"/>
              <w:jc w:val="center"/>
              <w:rPr>
                <w:sz w:val="16"/>
              </w:rPr>
            </w:pPr>
            <w:r>
              <w:rPr>
                <w:color w:val="FFFFFF"/>
                <w:spacing w:val="-2"/>
                <w:sz w:val="16"/>
              </w:rPr>
              <w:t>Scope</w:t>
            </w:r>
          </w:p>
        </w:tc>
        <w:tc>
          <w:tcPr>
            <w:tcW w:w="2133" w:type="dxa"/>
            <w:tcBorders>
              <w:bottom w:val="single" w:sz="6" w:space="0" w:color="FFFFFF"/>
            </w:tcBorders>
            <w:shd w:val="clear" w:color="auto" w:fill="006CA3"/>
          </w:tcPr>
          <w:p w14:paraId="4AA3BB82" w14:textId="77777777" w:rsidR="00141B97" w:rsidRDefault="00911D63">
            <w:pPr>
              <w:pStyle w:val="TableParagraph"/>
              <w:spacing w:before="140"/>
              <w:ind w:left="691"/>
              <w:rPr>
                <w:sz w:val="16"/>
              </w:rPr>
            </w:pPr>
            <w:r>
              <w:rPr>
                <w:color w:val="FFFFFF"/>
                <w:spacing w:val="-2"/>
                <w:sz w:val="16"/>
              </w:rPr>
              <w:t>Justification</w:t>
            </w:r>
          </w:p>
        </w:tc>
      </w:tr>
      <w:tr w:rsidR="00141B97" w14:paraId="43765449" w14:textId="77777777">
        <w:trPr>
          <w:trHeight w:val="971"/>
        </w:trPr>
        <w:tc>
          <w:tcPr>
            <w:tcW w:w="2567" w:type="dxa"/>
            <w:tcBorders>
              <w:top w:val="single" w:sz="6" w:space="0" w:color="FFFFFF"/>
              <w:bottom w:val="single" w:sz="6" w:space="0" w:color="FFFFFF"/>
            </w:tcBorders>
            <w:shd w:val="clear" w:color="auto" w:fill="CCE2ED"/>
          </w:tcPr>
          <w:p w14:paraId="460E5A86" w14:textId="77777777" w:rsidR="00141B97" w:rsidRDefault="00141B97">
            <w:pPr>
              <w:pStyle w:val="TableParagraph"/>
              <w:rPr>
                <w:sz w:val="16"/>
              </w:rPr>
            </w:pPr>
          </w:p>
          <w:p w14:paraId="2FB39C06" w14:textId="77777777" w:rsidR="00141B97" w:rsidRDefault="00141B97">
            <w:pPr>
              <w:pStyle w:val="TableParagraph"/>
              <w:spacing w:before="9"/>
              <w:rPr>
                <w:sz w:val="15"/>
              </w:rPr>
            </w:pPr>
          </w:p>
          <w:p w14:paraId="187567C0" w14:textId="77777777" w:rsidR="00141B97" w:rsidRDefault="00911D63">
            <w:pPr>
              <w:pStyle w:val="TableParagraph"/>
              <w:ind w:left="101"/>
              <w:rPr>
                <w:sz w:val="16"/>
              </w:rPr>
            </w:pPr>
            <w:r>
              <w:rPr>
                <w:sz w:val="16"/>
              </w:rPr>
              <w:t>Urban</w:t>
            </w:r>
            <w:r>
              <w:rPr>
                <w:spacing w:val="-6"/>
                <w:sz w:val="16"/>
              </w:rPr>
              <w:t xml:space="preserve"> </w:t>
            </w:r>
            <w:r>
              <w:rPr>
                <w:sz w:val="16"/>
              </w:rPr>
              <w:t>Water</w:t>
            </w:r>
            <w:r>
              <w:rPr>
                <w:spacing w:val="-5"/>
                <w:sz w:val="16"/>
              </w:rPr>
              <w:t xml:space="preserve"> </w:t>
            </w:r>
            <w:r>
              <w:rPr>
                <w:sz w:val="16"/>
              </w:rPr>
              <w:t>Mains</w:t>
            </w:r>
            <w:r>
              <w:rPr>
                <w:spacing w:val="-5"/>
                <w:sz w:val="16"/>
              </w:rPr>
              <w:t xml:space="preserve"> </w:t>
            </w:r>
            <w:r>
              <w:rPr>
                <w:spacing w:val="-2"/>
                <w:sz w:val="16"/>
              </w:rPr>
              <w:t>Replacement</w:t>
            </w:r>
          </w:p>
        </w:tc>
        <w:tc>
          <w:tcPr>
            <w:tcW w:w="1261" w:type="dxa"/>
            <w:tcBorders>
              <w:top w:val="single" w:sz="6" w:space="0" w:color="FFFFFF"/>
              <w:bottom w:val="single" w:sz="6" w:space="0" w:color="FFFFFF"/>
            </w:tcBorders>
            <w:shd w:val="clear" w:color="auto" w:fill="CCE2ED"/>
          </w:tcPr>
          <w:p w14:paraId="6B19F4DC" w14:textId="77777777" w:rsidR="00141B97" w:rsidRDefault="00141B97">
            <w:pPr>
              <w:pStyle w:val="TableParagraph"/>
              <w:rPr>
                <w:sz w:val="16"/>
              </w:rPr>
            </w:pPr>
          </w:p>
          <w:p w14:paraId="5DD37A08" w14:textId="77777777" w:rsidR="00141B97" w:rsidRDefault="00141B97">
            <w:pPr>
              <w:pStyle w:val="TableParagraph"/>
              <w:spacing w:before="9"/>
              <w:rPr>
                <w:sz w:val="15"/>
              </w:rPr>
            </w:pPr>
          </w:p>
          <w:p w14:paraId="14FD6425" w14:textId="77777777" w:rsidR="00141B97" w:rsidRDefault="00911D63">
            <w:pPr>
              <w:pStyle w:val="TableParagraph"/>
              <w:ind w:left="252" w:right="184"/>
              <w:jc w:val="center"/>
              <w:rPr>
                <w:sz w:val="16"/>
              </w:rPr>
            </w:pPr>
            <w:r>
              <w:rPr>
                <w:spacing w:val="-4"/>
                <w:sz w:val="16"/>
              </w:rPr>
              <w:t>6.09</w:t>
            </w:r>
          </w:p>
        </w:tc>
        <w:tc>
          <w:tcPr>
            <w:tcW w:w="1415" w:type="dxa"/>
            <w:tcBorders>
              <w:top w:val="single" w:sz="6" w:space="0" w:color="FFFFFF"/>
              <w:bottom w:val="single" w:sz="6" w:space="0" w:color="FFFFFF"/>
            </w:tcBorders>
            <w:shd w:val="clear" w:color="auto" w:fill="CCE2ED"/>
          </w:tcPr>
          <w:p w14:paraId="57F78DBF" w14:textId="77777777" w:rsidR="00141B97" w:rsidRDefault="00141B97">
            <w:pPr>
              <w:pStyle w:val="TableParagraph"/>
              <w:rPr>
                <w:sz w:val="16"/>
              </w:rPr>
            </w:pPr>
          </w:p>
          <w:p w14:paraId="4F05BBF7" w14:textId="77777777" w:rsidR="00141B97" w:rsidRDefault="00141B97">
            <w:pPr>
              <w:pStyle w:val="TableParagraph"/>
              <w:spacing w:before="9"/>
              <w:rPr>
                <w:sz w:val="15"/>
              </w:rPr>
            </w:pPr>
          </w:p>
          <w:p w14:paraId="2A08DBEE" w14:textId="77777777" w:rsidR="00141B97" w:rsidRDefault="00911D63">
            <w:pPr>
              <w:pStyle w:val="TableParagraph"/>
              <w:ind w:left="139"/>
              <w:rPr>
                <w:sz w:val="16"/>
              </w:rPr>
            </w:pPr>
            <w:r>
              <w:rPr>
                <w:sz w:val="16"/>
              </w:rPr>
              <w:t>Urban</w:t>
            </w:r>
            <w:r>
              <w:rPr>
                <w:spacing w:val="-5"/>
                <w:sz w:val="16"/>
              </w:rPr>
              <w:t xml:space="preserve"> </w:t>
            </w:r>
            <w:r>
              <w:rPr>
                <w:spacing w:val="-2"/>
                <w:sz w:val="16"/>
              </w:rPr>
              <w:t>Water</w:t>
            </w:r>
          </w:p>
        </w:tc>
        <w:tc>
          <w:tcPr>
            <w:tcW w:w="1799" w:type="dxa"/>
            <w:tcBorders>
              <w:top w:val="single" w:sz="6" w:space="0" w:color="FFFFFF"/>
              <w:bottom w:val="single" w:sz="6" w:space="0" w:color="FFFFFF"/>
            </w:tcBorders>
            <w:shd w:val="clear" w:color="auto" w:fill="CCE2ED"/>
          </w:tcPr>
          <w:p w14:paraId="30EA1433" w14:textId="77777777" w:rsidR="00141B97" w:rsidRDefault="00141B97">
            <w:pPr>
              <w:pStyle w:val="TableParagraph"/>
              <w:rPr>
                <w:sz w:val="16"/>
              </w:rPr>
            </w:pPr>
          </w:p>
          <w:p w14:paraId="1F15C118" w14:textId="77777777" w:rsidR="00141B97" w:rsidRDefault="00141B97">
            <w:pPr>
              <w:pStyle w:val="TableParagraph"/>
              <w:spacing w:before="9"/>
              <w:rPr>
                <w:sz w:val="15"/>
              </w:rPr>
            </w:pPr>
          </w:p>
          <w:p w14:paraId="209D8405" w14:textId="77777777" w:rsidR="00141B97" w:rsidRDefault="00911D63">
            <w:pPr>
              <w:pStyle w:val="TableParagraph"/>
              <w:ind w:left="203"/>
              <w:rPr>
                <w:sz w:val="16"/>
              </w:rPr>
            </w:pPr>
            <w:r>
              <w:rPr>
                <w:spacing w:val="-2"/>
                <w:sz w:val="16"/>
              </w:rPr>
              <w:t>Renewals</w:t>
            </w:r>
          </w:p>
        </w:tc>
        <w:tc>
          <w:tcPr>
            <w:tcW w:w="1624" w:type="dxa"/>
            <w:tcBorders>
              <w:top w:val="single" w:sz="6" w:space="0" w:color="FFFFFF"/>
              <w:bottom w:val="single" w:sz="6" w:space="0" w:color="FFFFFF"/>
            </w:tcBorders>
            <w:shd w:val="clear" w:color="auto" w:fill="CCE2ED"/>
          </w:tcPr>
          <w:p w14:paraId="55DE8689" w14:textId="77777777" w:rsidR="00141B97" w:rsidRDefault="00141B97">
            <w:pPr>
              <w:pStyle w:val="TableParagraph"/>
              <w:spacing w:before="9"/>
              <w:rPr>
                <w:sz w:val="15"/>
              </w:rPr>
            </w:pPr>
          </w:p>
          <w:p w14:paraId="54DC23FD" w14:textId="77777777" w:rsidR="00141B97" w:rsidRDefault="00911D63">
            <w:pPr>
              <w:pStyle w:val="TableParagraph"/>
              <w:ind w:left="288" w:right="130"/>
              <w:rPr>
                <w:sz w:val="16"/>
              </w:rPr>
            </w:pPr>
            <w:r>
              <w:rPr>
                <w:sz w:val="16"/>
              </w:rPr>
              <w:t>Provide</w:t>
            </w:r>
            <w:r>
              <w:rPr>
                <w:spacing w:val="-10"/>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31" w:type="dxa"/>
            <w:tcBorders>
              <w:top w:val="single" w:sz="6" w:space="0" w:color="FFFFFF"/>
              <w:bottom w:val="single" w:sz="6" w:space="0" w:color="FFFFFF"/>
            </w:tcBorders>
            <w:shd w:val="clear" w:color="auto" w:fill="CCE2ED"/>
          </w:tcPr>
          <w:p w14:paraId="1C5D822B" w14:textId="77777777" w:rsidR="00141B97" w:rsidRDefault="00911D63">
            <w:pPr>
              <w:pStyle w:val="TableParagraph"/>
              <w:ind w:left="110" w:right="92"/>
              <w:rPr>
                <w:sz w:val="16"/>
              </w:rPr>
            </w:pPr>
            <w:r>
              <w:rPr>
                <w:sz w:val="16"/>
              </w:rPr>
              <w:t>Maintain</w:t>
            </w:r>
            <w:r>
              <w:rPr>
                <w:spacing w:val="-10"/>
                <w:sz w:val="16"/>
              </w:rPr>
              <w:t xml:space="preserve"> </w:t>
            </w:r>
            <w:r>
              <w:rPr>
                <w:sz w:val="16"/>
              </w:rPr>
              <w:t>security</w:t>
            </w:r>
            <w:r>
              <w:rPr>
                <w:spacing w:val="-9"/>
                <w:sz w:val="16"/>
              </w:rPr>
              <w:t xml:space="preserve"> </w:t>
            </w:r>
            <w:r>
              <w:rPr>
                <w:sz w:val="16"/>
              </w:rPr>
              <w:t>of</w:t>
            </w:r>
            <w:r>
              <w:rPr>
                <w:spacing w:val="-9"/>
                <w:sz w:val="16"/>
              </w:rPr>
              <w:t xml:space="preserve"> </w:t>
            </w:r>
            <w:r>
              <w:rPr>
                <w:sz w:val="16"/>
              </w:rPr>
              <w:t>supply,</w:t>
            </w:r>
            <w:r>
              <w:rPr>
                <w:spacing w:val="40"/>
                <w:sz w:val="16"/>
              </w:rPr>
              <w:t xml:space="preserve"> </w:t>
            </w:r>
            <w:r>
              <w:rPr>
                <w:sz w:val="16"/>
              </w:rPr>
              <w:t>agreed level of service and</w:t>
            </w:r>
            <w:r>
              <w:rPr>
                <w:spacing w:val="40"/>
                <w:sz w:val="16"/>
              </w:rPr>
              <w:t xml:space="preserve"> </w:t>
            </w:r>
            <w:r>
              <w:rPr>
                <w:sz w:val="16"/>
              </w:rPr>
              <w:t>to minimise backlog works</w:t>
            </w:r>
            <w:r>
              <w:rPr>
                <w:spacing w:val="40"/>
                <w:sz w:val="16"/>
              </w:rPr>
              <w:t xml:space="preserve"> </w:t>
            </w:r>
            <w:r>
              <w:rPr>
                <w:sz w:val="16"/>
              </w:rPr>
              <w:t>and peak funding</w:t>
            </w:r>
          </w:p>
          <w:p w14:paraId="4A577C9E" w14:textId="77777777" w:rsidR="00141B97" w:rsidRDefault="00911D63">
            <w:pPr>
              <w:pStyle w:val="TableParagraph"/>
              <w:spacing w:line="173" w:lineRule="exact"/>
              <w:ind w:left="110"/>
              <w:rPr>
                <w:sz w:val="16"/>
              </w:rPr>
            </w:pPr>
            <w:r>
              <w:rPr>
                <w:sz w:val="16"/>
              </w:rPr>
              <w:t>requirements</w:t>
            </w:r>
            <w:r>
              <w:rPr>
                <w:spacing w:val="-5"/>
                <w:sz w:val="16"/>
              </w:rPr>
              <w:t xml:space="preserve"> </w:t>
            </w:r>
            <w:r>
              <w:rPr>
                <w:sz w:val="16"/>
              </w:rPr>
              <w:t>in</w:t>
            </w:r>
            <w:r>
              <w:rPr>
                <w:spacing w:val="-4"/>
                <w:sz w:val="16"/>
              </w:rPr>
              <w:t xml:space="preserve"> </w:t>
            </w:r>
            <w:r>
              <w:rPr>
                <w:sz w:val="16"/>
              </w:rPr>
              <w:t>the</w:t>
            </w:r>
            <w:r>
              <w:rPr>
                <w:spacing w:val="-5"/>
                <w:sz w:val="16"/>
              </w:rPr>
              <w:t xml:space="preserve"> </w:t>
            </w:r>
            <w:r>
              <w:rPr>
                <w:spacing w:val="-2"/>
                <w:sz w:val="16"/>
              </w:rPr>
              <w:t>future.</w:t>
            </w:r>
          </w:p>
        </w:tc>
        <w:tc>
          <w:tcPr>
            <w:tcW w:w="2848" w:type="dxa"/>
            <w:tcBorders>
              <w:top w:val="single" w:sz="6" w:space="0" w:color="FFFFFF"/>
              <w:bottom w:val="single" w:sz="6" w:space="0" w:color="FFFFFF"/>
            </w:tcBorders>
            <w:shd w:val="clear" w:color="auto" w:fill="CCE2ED"/>
          </w:tcPr>
          <w:p w14:paraId="1954A0CD" w14:textId="77777777" w:rsidR="00141B97" w:rsidRDefault="00141B97">
            <w:pPr>
              <w:pStyle w:val="TableParagraph"/>
              <w:spacing w:before="9"/>
              <w:rPr>
                <w:sz w:val="15"/>
              </w:rPr>
            </w:pPr>
          </w:p>
          <w:p w14:paraId="5EA9A56C" w14:textId="77777777" w:rsidR="00141B97" w:rsidRDefault="00911D63">
            <w:pPr>
              <w:pStyle w:val="TableParagraph"/>
              <w:ind w:left="119" w:right="127"/>
              <w:rPr>
                <w:sz w:val="16"/>
              </w:rPr>
            </w:pPr>
            <w:r>
              <w:rPr>
                <w:sz w:val="16"/>
              </w:rPr>
              <w:t>Replacement, rehabilitation, and</w:t>
            </w:r>
            <w:r>
              <w:rPr>
                <w:spacing w:val="40"/>
                <w:sz w:val="16"/>
              </w:rPr>
              <w:t xml:space="preserve"> </w:t>
            </w:r>
            <w:r>
              <w:rPr>
                <w:sz w:val="16"/>
              </w:rPr>
              <w:t>renewal</w:t>
            </w:r>
            <w:r>
              <w:rPr>
                <w:spacing w:val="-9"/>
                <w:sz w:val="16"/>
              </w:rPr>
              <w:t xml:space="preserve"> </w:t>
            </w:r>
            <w:r>
              <w:rPr>
                <w:sz w:val="16"/>
              </w:rPr>
              <w:t>of</w:t>
            </w:r>
            <w:r>
              <w:rPr>
                <w:spacing w:val="-8"/>
                <w:sz w:val="16"/>
              </w:rPr>
              <w:t xml:space="preserve"> </w:t>
            </w:r>
            <w:r>
              <w:rPr>
                <w:sz w:val="16"/>
              </w:rPr>
              <w:t>water</w:t>
            </w:r>
            <w:r>
              <w:rPr>
                <w:spacing w:val="-7"/>
                <w:sz w:val="16"/>
              </w:rPr>
              <w:t xml:space="preserve"> </w:t>
            </w:r>
            <w:r>
              <w:rPr>
                <w:sz w:val="16"/>
              </w:rPr>
              <w:t>mains</w:t>
            </w:r>
            <w:r>
              <w:rPr>
                <w:spacing w:val="-8"/>
                <w:sz w:val="16"/>
              </w:rPr>
              <w:t xml:space="preserve"> </w:t>
            </w:r>
            <w:r>
              <w:rPr>
                <w:sz w:val="16"/>
              </w:rPr>
              <w:t>and</w:t>
            </w:r>
            <w:r>
              <w:rPr>
                <w:spacing w:val="-9"/>
                <w:sz w:val="16"/>
              </w:rPr>
              <w:t xml:space="preserve"> </w:t>
            </w:r>
            <w:r>
              <w:rPr>
                <w:sz w:val="16"/>
              </w:rPr>
              <w:t>property</w:t>
            </w:r>
            <w:r>
              <w:rPr>
                <w:spacing w:val="40"/>
                <w:sz w:val="16"/>
              </w:rPr>
              <w:t xml:space="preserve"> </w:t>
            </w:r>
            <w:r>
              <w:rPr>
                <w:sz w:val="16"/>
              </w:rPr>
              <w:t>service</w:t>
            </w:r>
            <w:r>
              <w:rPr>
                <w:spacing w:val="-7"/>
                <w:sz w:val="16"/>
              </w:rPr>
              <w:t xml:space="preserve"> </w:t>
            </w:r>
            <w:r>
              <w:rPr>
                <w:sz w:val="16"/>
              </w:rPr>
              <w:t>pipelines.</w:t>
            </w:r>
          </w:p>
        </w:tc>
        <w:tc>
          <w:tcPr>
            <w:tcW w:w="2133" w:type="dxa"/>
            <w:tcBorders>
              <w:top w:val="single" w:sz="6" w:space="0" w:color="FFFFFF"/>
              <w:bottom w:val="single" w:sz="6" w:space="0" w:color="FFFFFF"/>
            </w:tcBorders>
            <w:shd w:val="clear" w:color="auto" w:fill="CCE2ED"/>
          </w:tcPr>
          <w:p w14:paraId="2D3C0EFB" w14:textId="77777777" w:rsidR="00141B97" w:rsidRDefault="00141B97">
            <w:pPr>
              <w:pStyle w:val="TableParagraph"/>
              <w:spacing w:before="9"/>
              <w:rPr>
                <w:sz w:val="15"/>
              </w:rPr>
            </w:pPr>
          </w:p>
          <w:p w14:paraId="7417787D" w14:textId="77777777" w:rsidR="00141B97" w:rsidRDefault="00911D63">
            <w:pPr>
              <w:pStyle w:val="TableParagraph"/>
              <w:ind w:left="113" w:right="163"/>
              <w:rPr>
                <w:sz w:val="16"/>
              </w:rPr>
            </w:pPr>
            <w:r>
              <w:rPr>
                <w:sz w:val="16"/>
              </w:rPr>
              <w:t>Condition</w:t>
            </w:r>
            <w:r>
              <w:rPr>
                <w:spacing w:val="-10"/>
                <w:sz w:val="16"/>
              </w:rPr>
              <w:t xml:space="preserve"> </w:t>
            </w:r>
            <w:r>
              <w:rPr>
                <w:sz w:val="16"/>
              </w:rPr>
              <w:t>and</w:t>
            </w:r>
            <w:r>
              <w:rPr>
                <w:spacing w:val="-9"/>
                <w:sz w:val="16"/>
              </w:rPr>
              <w:t xml:space="preserve"> </w:t>
            </w:r>
            <w:r>
              <w:rPr>
                <w:sz w:val="16"/>
              </w:rPr>
              <w:t>performance</w:t>
            </w:r>
            <w:r>
              <w:rPr>
                <w:spacing w:val="40"/>
                <w:sz w:val="16"/>
              </w:rPr>
              <w:t xml:space="preserve"> </w:t>
            </w:r>
            <w:r>
              <w:rPr>
                <w:sz w:val="16"/>
              </w:rPr>
              <w:t>of the water distribution</w:t>
            </w:r>
            <w:r>
              <w:rPr>
                <w:spacing w:val="40"/>
                <w:sz w:val="16"/>
              </w:rPr>
              <w:t xml:space="preserve"> </w:t>
            </w:r>
            <w:r>
              <w:rPr>
                <w:spacing w:val="-2"/>
                <w:sz w:val="16"/>
              </w:rPr>
              <w:t>networks.</w:t>
            </w:r>
          </w:p>
        </w:tc>
      </w:tr>
      <w:tr w:rsidR="00141B97" w14:paraId="711C4F80" w14:textId="77777777">
        <w:trPr>
          <w:trHeight w:val="1167"/>
        </w:trPr>
        <w:tc>
          <w:tcPr>
            <w:tcW w:w="2567" w:type="dxa"/>
            <w:tcBorders>
              <w:top w:val="single" w:sz="6" w:space="0" w:color="FFFFFF"/>
              <w:bottom w:val="single" w:sz="6" w:space="0" w:color="FFFFFF"/>
            </w:tcBorders>
            <w:shd w:val="clear" w:color="auto" w:fill="CCE2ED"/>
          </w:tcPr>
          <w:p w14:paraId="2D8C5E8B" w14:textId="77777777" w:rsidR="00141B97" w:rsidRDefault="00141B97">
            <w:pPr>
              <w:pStyle w:val="TableParagraph"/>
              <w:rPr>
                <w:sz w:val="16"/>
              </w:rPr>
            </w:pPr>
          </w:p>
          <w:p w14:paraId="7D13D528" w14:textId="77777777" w:rsidR="00141B97" w:rsidRDefault="00141B97">
            <w:pPr>
              <w:pStyle w:val="TableParagraph"/>
              <w:spacing w:before="9"/>
              <w:rPr>
                <w:sz w:val="15"/>
              </w:rPr>
            </w:pPr>
          </w:p>
          <w:p w14:paraId="7CE5577D" w14:textId="77777777" w:rsidR="00141B97" w:rsidRDefault="00911D63">
            <w:pPr>
              <w:pStyle w:val="TableParagraph"/>
              <w:ind w:left="101"/>
              <w:rPr>
                <w:sz w:val="16"/>
              </w:rPr>
            </w:pPr>
            <w:r>
              <w:rPr>
                <w:sz w:val="16"/>
              </w:rPr>
              <w:t>Sewer Mains and Maintenance</w:t>
            </w:r>
            <w:r>
              <w:rPr>
                <w:spacing w:val="40"/>
                <w:sz w:val="16"/>
              </w:rPr>
              <w:t xml:space="preserve"> </w:t>
            </w:r>
            <w:r>
              <w:rPr>
                <w:sz w:val="16"/>
              </w:rPr>
              <w:t>Structures</w:t>
            </w:r>
            <w:r>
              <w:rPr>
                <w:spacing w:val="-9"/>
                <w:sz w:val="16"/>
              </w:rPr>
              <w:t xml:space="preserve"> </w:t>
            </w:r>
            <w:r>
              <w:rPr>
                <w:spacing w:val="-2"/>
                <w:sz w:val="16"/>
              </w:rPr>
              <w:t>Replacement/Rehab.</w:t>
            </w:r>
          </w:p>
        </w:tc>
        <w:tc>
          <w:tcPr>
            <w:tcW w:w="1261" w:type="dxa"/>
            <w:tcBorders>
              <w:top w:val="single" w:sz="6" w:space="0" w:color="FFFFFF"/>
              <w:bottom w:val="single" w:sz="6" w:space="0" w:color="FFFFFF"/>
            </w:tcBorders>
            <w:shd w:val="clear" w:color="auto" w:fill="CCE2ED"/>
          </w:tcPr>
          <w:p w14:paraId="055A4F46" w14:textId="77777777" w:rsidR="00141B97" w:rsidRDefault="00141B97">
            <w:pPr>
              <w:pStyle w:val="TableParagraph"/>
              <w:rPr>
                <w:sz w:val="16"/>
              </w:rPr>
            </w:pPr>
          </w:p>
          <w:p w14:paraId="749FE374" w14:textId="77777777" w:rsidR="00141B97" w:rsidRDefault="00141B97">
            <w:pPr>
              <w:pStyle w:val="TableParagraph"/>
              <w:spacing w:before="9"/>
              <w:rPr>
                <w:sz w:val="23"/>
              </w:rPr>
            </w:pPr>
          </w:p>
          <w:p w14:paraId="34E5CDBB" w14:textId="77777777" w:rsidR="00141B97" w:rsidRDefault="00911D63">
            <w:pPr>
              <w:pStyle w:val="TableParagraph"/>
              <w:ind w:left="252" w:right="184"/>
              <w:jc w:val="center"/>
              <w:rPr>
                <w:sz w:val="16"/>
              </w:rPr>
            </w:pPr>
            <w:r>
              <w:rPr>
                <w:spacing w:val="-4"/>
                <w:sz w:val="16"/>
              </w:rPr>
              <w:t>6.09</w:t>
            </w:r>
          </w:p>
        </w:tc>
        <w:tc>
          <w:tcPr>
            <w:tcW w:w="1415" w:type="dxa"/>
            <w:tcBorders>
              <w:top w:val="single" w:sz="6" w:space="0" w:color="FFFFFF"/>
              <w:bottom w:val="single" w:sz="6" w:space="0" w:color="FFFFFF"/>
            </w:tcBorders>
            <w:shd w:val="clear" w:color="auto" w:fill="CCE2ED"/>
          </w:tcPr>
          <w:p w14:paraId="6F124AAF" w14:textId="77777777" w:rsidR="00141B97" w:rsidRDefault="00141B97">
            <w:pPr>
              <w:pStyle w:val="TableParagraph"/>
              <w:rPr>
                <w:sz w:val="16"/>
              </w:rPr>
            </w:pPr>
          </w:p>
          <w:p w14:paraId="2BC80DEB" w14:textId="77777777" w:rsidR="00141B97" w:rsidRDefault="00141B97">
            <w:pPr>
              <w:pStyle w:val="TableParagraph"/>
              <w:spacing w:before="9"/>
              <w:rPr>
                <w:sz w:val="23"/>
              </w:rPr>
            </w:pPr>
          </w:p>
          <w:p w14:paraId="34CAAB0A" w14:textId="77777777" w:rsidR="00141B97" w:rsidRDefault="00911D63">
            <w:pPr>
              <w:pStyle w:val="TableParagraph"/>
              <w:ind w:left="139"/>
              <w:rPr>
                <w:sz w:val="16"/>
              </w:rPr>
            </w:pPr>
            <w:r>
              <w:rPr>
                <w:spacing w:val="-2"/>
                <w:sz w:val="16"/>
              </w:rPr>
              <w:t>Sewerage</w:t>
            </w:r>
          </w:p>
        </w:tc>
        <w:tc>
          <w:tcPr>
            <w:tcW w:w="1799" w:type="dxa"/>
            <w:tcBorders>
              <w:top w:val="single" w:sz="6" w:space="0" w:color="FFFFFF"/>
              <w:bottom w:val="single" w:sz="6" w:space="0" w:color="FFFFFF"/>
            </w:tcBorders>
            <w:shd w:val="clear" w:color="auto" w:fill="CCE2ED"/>
          </w:tcPr>
          <w:p w14:paraId="5E108116" w14:textId="77777777" w:rsidR="00141B97" w:rsidRDefault="00141B97">
            <w:pPr>
              <w:pStyle w:val="TableParagraph"/>
              <w:rPr>
                <w:sz w:val="16"/>
              </w:rPr>
            </w:pPr>
          </w:p>
          <w:p w14:paraId="3A351CC2" w14:textId="77777777" w:rsidR="00141B97" w:rsidRDefault="00141B97">
            <w:pPr>
              <w:pStyle w:val="TableParagraph"/>
              <w:spacing w:before="9"/>
              <w:rPr>
                <w:sz w:val="23"/>
              </w:rPr>
            </w:pPr>
          </w:p>
          <w:p w14:paraId="229D0A4E" w14:textId="77777777" w:rsidR="00141B97" w:rsidRDefault="00911D63">
            <w:pPr>
              <w:pStyle w:val="TableParagraph"/>
              <w:ind w:left="203"/>
              <w:rPr>
                <w:sz w:val="16"/>
              </w:rPr>
            </w:pPr>
            <w:r>
              <w:rPr>
                <w:spacing w:val="-2"/>
                <w:sz w:val="16"/>
              </w:rPr>
              <w:t>Renewals</w:t>
            </w:r>
          </w:p>
        </w:tc>
        <w:tc>
          <w:tcPr>
            <w:tcW w:w="1624" w:type="dxa"/>
            <w:tcBorders>
              <w:top w:val="single" w:sz="6" w:space="0" w:color="FFFFFF"/>
              <w:bottom w:val="single" w:sz="6" w:space="0" w:color="FFFFFF"/>
            </w:tcBorders>
            <w:shd w:val="clear" w:color="auto" w:fill="CCE2ED"/>
          </w:tcPr>
          <w:p w14:paraId="7DA12547" w14:textId="77777777" w:rsidR="00141B97" w:rsidRDefault="00141B97">
            <w:pPr>
              <w:pStyle w:val="TableParagraph"/>
              <w:spacing w:before="10"/>
              <w:rPr>
                <w:sz w:val="23"/>
              </w:rPr>
            </w:pPr>
          </w:p>
          <w:p w14:paraId="2A2017EB" w14:textId="77777777" w:rsidR="00141B97" w:rsidRDefault="00911D63">
            <w:pPr>
              <w:pStyle w:val="TableParagraph"/>
              <w:ind w:left="288" w:right="130"/>
              <w:rPr>
                <w:sz w:val="16"/>
              </w:rPr>
            </w:pPr>
            <w:r>
              <w:rPr>
                <w:sz w:val="16"/>
              </w:rPr>
              <w:t>Provide</w:t>
            </w:r>
            <w:r>
              <w:rPr>
                <w:spacing w:val="-10"/>
                <w:sz w:val="16"/>
              </w:rPr>
              <w:t xml:space="preserve"> </w:t>
            </w:r>
            <w:r>
              <w:rPr>
                <w:sz w:val="16"/>
              </w:rPr>
              <w:t>customers</w:t>
            </w:r>
            <w:r>
              <w:rPr>
                <w:spacing w:val="40"/>
                <w:sz w:val="16"/>
              </w:rPr>
              <w:t xml:space="preserve"> </w:t>
            </w:r>
            <w:r>
              <w:rPr>
                <w:sz w:val="16"/>
              </w:rPr>
              <w:t>reliable</w:t>
            </w:r>
            <w:r>
              <w:rPr>
                <w:spacing w:val="-3"/>
                <w:sz w:val="16"/>
              </w:rPr>
              <w:t xml:space="preserve"> </w:t>
            </w:r>
            <w:r>
              <w:rPr>
                <w:sz w:val="16"/>
              </w:rPr>
              <w:t>sewerage</w:t>
            </w:r>
            <w:r>
              <w:rPr>
                <w:spacing w:val="40"/>
                <w:sz w:val="16"/>
              </w:rPr>
              <w:t xml:space="preserve"> </w:t>
            </w:r>
            <w:r>
              <w:rPr>
                <w:spacing w:val="-2"/>
                <w:sz w:val="16"/>
              </w:rPr>
              <w:t>services.</w:t>
            </w:r>
          </w:p>
        </w:tc>
        <w:tc>
          <w:tcPr>
            <w:tcW w:w="2031" w:type="dxa"/>
            <w:tcBorders>
              <w:top w:val="single" w:sz="6" w:space="0" w:color="FFFFFF"/>
              <w:bottom w:val="single" w:sz="6" w:space="0" w:color="FFFFFF"/>
            </w:tcBorders>
            <w:shd w:val="clear" w:color="auto" w:fill="CCE2ED"/>
          </w:tcPr>
          <w:p w14:paraId="2C42676B" w14:textId="77777777" w:rsidR="00141B97" w:rsidRDefault="00911D63">
            <w:pPr>
              <w:pStyle w:val="TableParagraph"/>
              <w:ind w:left="110" w:right="151"/>
              <w:rPr>
                <w:sz w:val="16"/>
              </w:rPr>
            </w:pPr>
            <w:r>
              <w:rPr>
                <w:sz w:val="16"/>
              </w:rPr>
              <w:t>Maintain level of service</w:t>
            </w:r>
            <w:r>
              <w:rPr>
                <w:spacing w:val="40"/>
                <w:sz w:val="16"/>
              </w:rPr>
              <w:t xml:space="preserve"> </w:t>
            </w:r>
            <w:r>
              <w:rPr>
                <w:sz w:val="16"/>
              </w:rPr>
              <w:t>(e.g.. reduce spills and</w:t>
            </w:r>
            <w:r>
              <w:rPr>
                <w:spacing w:val="40"/>
                <w:sz w:val="16"/>
              </w:rPr>
              <w:t xml:space="preserve"> </w:t>
            </w:r>
            <w:r>
              <w:rPr>
                <w:sz w:val="16"/>
              </w:rPr>
              <w:t>service interruptions) and</w:t>
            </w:r>
            <w:r>
              <w:rPr>
                <w:spacing w:val="40"/>
                <w:sz w:val="16"/>
              </w:rPr>
              <w:t xml:space="preserve"> </w:t>
            </w:r>
            <w:r>
              <w:rPr>
                <w:sz w:val="16"/>
              </w:rPr>
              <w:t>to</w:t>
            </w:r>
            <w:r>
              <w:rPr>
                <w:spacing w:val="-10"/>
                <w:sz w:val="16"/>
              </w:rPr>
              <w:t xml:space="preserve"> </w:t>
            </w:r>
            <w:r>
              <w:rPr>
                <w:sz w:val="16"/>
              </w:rPr>
              <w:t>minimise</w:t>
            </w:r>
            <w:r>
              <w:rPr>
                <w:spacing w:val="-9"/>
                <w:sz w:val="16"/>
              </w:rPr>
              <w:t xml:space="preserve"> </w:t>
            </w:r>
            <w:r>
              <w:rPr>
                <w:sz w:val="16"/>
              </w:rPr>
              <w:t>backlog</w:t>
            </w:r>
            <w:r>
              <w:rPr>
                <w:spacing w:val="-9"/>
                <w:sz w:val="16"/>
              </w:rPr>
              <w:t xml:space="preserve"> </w:t>
            </w:r>
            <w:r>
              <w:rPr>
                <w:sz w:val="16"/>
              </w:rPr>
              <w:t>works</w:t>
            </w:r>
            <w:r>
              <w:rPr>
                <w:spacing w:val="40"/>
                <w:sz w:val="16"/>
              </w:rPr>
              <w:t xml:space="preserve"> </w:t>
            </w:r>
            <w:r>
              <w:rPr>
                <w:sz w:val="16"/>
              </w:rPr>
              <w:t>and peak funding</w:t>
            </w:r>
          </w:p>
          <w:p w14:paraId="0A862D92" w14:textId="77777777" w:rsidR="00141B97" w:rsidRDefault="00911D63">
            <w:pPr>
              <w:pStyle w:val="TableParagraph"/>
              <w:spacing w:line="172" w:lineRule="exact"/>
              <w:ind w:left="110"/>
              <w:rPr>
                <w:sz w:val="16"/>
              </w:rPr>
            </w:pPr>
            <w:r>
              <w:rPr>
                <w:sz w:val="16"/>
              </w:rPr>
              <w:t>requirements</w:t>
            </w:r>
            <w:r>
              <w:rPr>
                <w:spacing w:val="-5"/>
                <w:sz w:val="16"/>
              </w:rPr>
              <w:t xml:space="preserve"> </w:t>
            </w:r>
            <w:r>
              <w:rPr>
                <w:sz w:val="16"/>
              </w:rPr>
              <w:t>in</w:t>
            </w:r>
            <w:r>
              <w:rPr>
                <w:spacing w:val="-4"/>
                <w:sz w:val="16"/>
              </w:rPr>
              <w:t xml:space="preserve"> </w:t>
            </w:r>
            <w:r>
              <w:rPr>
                <w:sz w:val="16"/>
              </w:rPr>
              <w:t>the</w:t>
            </w:r>
            <w:r>
              <w:rPr>
                <w:spacing w:val="-5"/>
                <w:sz w:val="16"/>
              </w:rPr>
              <w:t xml:space="preserve"> </w:t>
            </w:r>
            <w:r>
              <w:rPr>
                <w:spacing w:val="-2"/>
                <w:sz w:val="16"/>
              </w:rPr>
              <w:t>future.</w:t>
            </w:r>
          </w:p>
        </w:tc>
        <w:tc>
          <w:tcPr>
            <w:tcW w:w="2848" w:type="dxa"/>
            <w:tcBorders>
              <w:top w:val="single" w:sz="6" w:space="0" w:color="FFFFFF"/>
              <w:bottom w:val="single" w:sz="6" w:space="0" w:color="FFFFFF"/>
            </w:tcBorders>
            <w:shd w:val="clear" w:color="auto" w:fill="CCE2ED"/>
          </w:tcPr>
          <w:p w14:paraId="588EE845" w14:textId="77777777" w:rsidR="00141B97" w:rsidRDefault="00141B97">
            <w:pPr>
              <w:pStyle w:val="TableParagraph"/>
              <w:spacing w:before="9"/>
              <w:rPr>
                <w:sz w:val="15"/>
              </w:rPr>
            </w:pPr>
          </w:p>
          <w:p w14:paraId="7D717BAD" w14:textId="77777777" w:rsidR="00141B97" w:rsidRDefault="00911D63">
            <w:pPr>
              <w:pStyle w:val="TableParagraph"/>
              <w:ind w:left="119" w:right="127"/>
              <w:rPr>
                <w:sz w:val="16"/>
              </w:rPr>
            </w:pPr>
            <w:r>
              <w:rPr>
                <w:sz w:val="16"/>
              </w:rPr>
              <w:t>Replacement, rehabilitation, and</w:t>
            </w:r>
            <w:r>
              <w:rPr>
                <w:spacing w:val="40"/>
                <w:sz w:val="16"/>
              </w:rPr>
              <w:t xml:space="preserve"> </w:t>
            </w:r>
            <w:r>
              <w:rPr>
                <w:sz w:val="16"/>
              </w:rPr>
              <w:t>renewal</w:t>
            </w:r>
            <w:r>
              <w:rPr>
                <w:spacing w:val="-9"/>
                <w:sz w:val="16"/>
              </w:rPr>
              <w:t xml:space="preserve"> </w:t>
            </w:r>
            <w:r>
              <w:rPr>
                <w:sz w:val="16"/>
              </w:rPr>
              <w:t>of</w:t>
            </w:r>
            <w:r>
              <w:rPr>
                <w:spacing w:val="-7"/>
                <w:sz w:val="16"/>
              </w:rPr>
              <w:t xml:space="preserve"> </w:t>
            </w:r>
            <w:r>
              <w:rPr>
                <w:sz w:val="16"/>
              </w:rPr>
              <w:t>sewer</w:t>
            </w:r>
            <w:r>
              <w:rPr>
                <w:spacing w:val="-7"/>
                <w:sz w:val="16"/>
              </w:rPr>
              <w:t xml:space="preserve"> </w:t>
            </w:r>
            <w:r>
              <w:rPr>
                <w:sz w:val="16"/>
              </w:rPr>
              <w:t>mains,</w:t>
            </w:r>
            <w:r>
              <w:rPr>
                <w:spacing w:val="-7"/>
                <w:sz w:val="16"/>
              </w:rPr>
              <w:t xml:space="preserve"> </w:t>
            </w:r>
            <w:r>
              <w:rPr>
                <w:sz w:val="16"/>
              </w:rPr>
              <w:t>house</w:t>
            </w:r>
            <w:r>
              <w:rPr>
                <w:spacing w:val="-9"/>
                <w:sz w:val="16"/>
              </w:rPr>
              <w:t xml:space="preserve"> </w:t>
            </w:r>
            <w:r>
              <w:rPr>
                <w:sz w:val="16"/>
              </w:rPr>
              <w:t>service</w:t>
            </w:r>
            <w:r>
              <w:rPr>
                <w:spacing w:val="40"/>
                <w:sz w:val="16"/>
              </w:rPr>
              <w:t xml:space="preserve"> </w:t>
            </w:r>
            <w:r>
              <w:rPr>
                <w:sz w:val="16"/>
              </w:rPr>
              <w:t>lines, and manholes/maintenance</w:t>
            </w:r>
            <w:r>
              <w:rPr>
                <w:spacing w:val="40"/>
                <w:sz w:val="16"/>
              </w:rPr>
              <w:t xml:space="preserve"> </w:t>
            </w:r>
            <w:r>
              <w:rPr>
                <w:spacing w:val="-2"/>
                <w:sz w:val="16"/>
              </w:rPr>
              <w:t>structures.</w:t>
            </w:r>
          </w:p>
        </w:tc>
        <w:tc>
          <w:tcPr>
            <w:tcW w:w="2133" w:type="dxa"/>
            <w:tcBorders>
              <w:top w:val="single" w:sz="6" w:space="0" w:color="FFFFFF"/>
              <w:bottom w:val="single" w:sz="6" w:space="0" w:color="FFFFFF"/>
            </w:tcBorders>
            <w:shd w:val="clear" w:color="auto" w:fill="CCE2ED"/>
          </w:tcPr>
          <w:p w14:paraId="05A2892C" w14:textId="77777777" w:rsidR="00141B97" w:rsidRDefault="00141B97">
            <w:pPr>
              <w:pStyle w:val="TableParagraph"/>
              <w:spacing w:before="10"/>
              <w:rPr>
                <w:sz w:val="23"/>
              </w:rPr>
            </w:pPr>
          </w:p>
          <w:p w14:paraId="4775110F" w14:textId="77777777" w:rsidR="00141B97" w:rsidRDefault="00911D63">
            <w:pPr>
              <w:pStyle w:val="TableParagraph"/>
              <w:ind w:left="113" w:right="163"/>
              <w:rPr>
                <w:sz w:val="16"/>
              </w:rPr>
            </w:pPr>
            <w:r>
              <w:rPr>
                <w:sz w:val="16"/>
              </w:rPr>
              <w:t>Condition</w:t>
            </w:r>
            <w:r>
              <w:rPr>
                <w:spacing w:val="-10"/>
                <w:sz w:val="16"/>
              </w:rPr>
              <w:t xml:space="preserve"> </w:t>
            </w:r>
            <w:r>
              <w:rPr>
                <w:sz w:val="16"/>
              </w:rPr>
              <w:t>and</w:t>
            </w:r>
            <w:r>
              <w:rPr>
                <w:spacing w:val="-9"/>
                <w:sz w:val="16"/>
              </w:rPr>
              <w:t xml:space="preserve"> </w:t>
            </w:r>
            <w:r>
              <w:rPr>
                <w:sz w:val="16"/>
              </w:rPr>
              <w:t>performance</w:t>
            </w:r>
            <w:r>
              <w:rPr>
                <w:spacing w:val="40"/>
                <w:sz w:val="16"/>
              </w:rPr>
              <w:t xml:space="preserve"> </w:t>
            </w:r>
            <w:r>
              <w:rPr>
                <w:sz w:val="16"/>
              </w:rPr>
              <w:t>of the sewer reticulation</w:t>
            </w:r>
            <w:r>
              <w:rPr>
                <w:spacing w:val="40"/>
                <w:sz w:val="16"/>
              </w:rPr>
              <w:t xml:space="preserve"> </w:t>
            </w:r>
            <w:r>
              <w:rPr>
                <w:spacing w:val="-2"/>
                <w:sz w:val="16"/>
              </w:rPr>
              <w:t>networks.</w:t>
            </w:r>
          </w:p>
        </w:tc>
      </w:tr>
      <w:tr w:rsidR="00141B97" w14:paraId="6F018234" w14:textId="77777777">
        <w:trPr>
          <w:trHeight w:val="206"/>
        </w:trPr>
        <w:tc>
          <w:tcPr>
            <w:tcW w:w="2567" w:type="dxa"/>
            <w:tcBorders>
              <w:top w:val="single" w:sz="6" w:space="0" w:color="FFFFFF"/>
            </w:tcBorders>
            <w:shd w:val="clear" w:color="auto" w:fill="CCE2ED"/>
          </w:tcPr>
          <w:p w14:paraId="6622E6A5" w14:textId="77777777" w:rsidR="00141B97" w:rsidRDefault="00141B97">
            <w:pPr>
              <w:pStyle w:val="TableParagraph"/>
              <w:rPr>
                <w:rFonts w:ascii="Times New Roman"/>
                <w:sz w:val="14"/>
              </w:rPr>
            </w:pPr>
          </w:p>
        </w:tc>
        <w:tc>
          <w:tcPr>
            <w:tcW w:w="1261" w:type="dxa"/>
            <w:tcBorders>
              <w:top w:val="single" w:sz="6" w:space="0" w:color="FFFFFF"/>
            </w:tcBorders>
            <w:shd w:val="clear" w:color="auto" w:fill="CCE2ED"/>
          </w:tcPr>
          <w:p w14:paraId="63F73F9A" w14:textId="77777777" w:rsidR="00141B97" w:rsidRDefault="00141B97">
            <w:pPr>
              <w:pStyle w:val="TableParagraph"/>
              <w:rPr>
                <w:rFonts w:ascii="Times New Roman"/>
                <w:sz w:val="14"/>
              </w:rPr>
            </w:pPr>
          </w:p>
        </w:tc>
        <w:tc>
          <w:tcPr>
            <w:tcW w:w="1415" w:type="dxa"/>
            <w:tcBorders>
              <w:top w:val="single" w:sz="6" w:space="0" w:color="FFFFFF"/>
            </w:tcBorders>
            <w:shd w:val="clear" w:color="auto" w:fill="CCE2ED"/>
          </w:tcPr>
          <w:p w14:paraId="1F4FD3DC" w14:textId="77777777" w:rsidR="00141B97" w:rsidRDefault="00141B97">
            <w:pPr>
              <w:pStyle w:val="TableParagraph"/>
              <w:rPr>
                <w:rFonts w:ascii="Times New Roman"/>
                <w:sz w:val="14"/>
              </w:rPr>
            </w:pPr>
          </w:p>
        </w:tc>
        <w:tc>
          <w:tcPr>
            <w:tcW w:w="1799" w:type="dxa"/>
            <w:tcBorders>
              <w:top w:val="single" w:sz="6" w:space="0" w:color="FFFFFF"/>
            </w:tcBorders>
            <w:shd w:val="clear" w:color="auto" w:fill="CCE2ED"/>
          </w:tcPr>
          <w:p w14:paraId="547F5B63" w14:textId="77777777" w:rsidR="00141B97" w:rsidRDefault="00141B97">
            <w:pPr>
              <w:pStyle w:val="TableParagraph"/>
              <w:rPr>
                <w:rFonts w:ascii="Times New Roman"/>
                <w:sz w:val="14"/>
              </w:rPr>
            </w:pPr>
          </w:p>
        </w:tc>
        <w:tc>
          <w:tcPr>
            <w:tcW w:w="1624" w:type="dxa"/>
            <w:tcBorders>
              <w:top w:val="single" w:sz="6" w:space="0" w:color="FFFFFF"/>
            </w:tcBorders>
            <w:shd w:val="clear" w:color="auto" w:fill="CCE2ED"/>
          </w:tcPr>
          <w:p w14:paraId="34E1D535" w14:textId="77777777" w:rsidR="00141B97" w:rsidRDefault="00141B97">
            <w:pPr>
              <w:pStyle w:val="TableParagraph"/>
              <w:rPr>
                <w:rFonts w:ascii="Times New Roman"/>
                <w:sz w:val="14"/>
              </w:rPr>
            </w:pPr>
          </w:p>
        </w:tc>
        <w:tc>
          <w:tcPr>
            <w:tcW w:w="2031" w:type="dxa"/>
            <w:tcBorders>
              <w:top w:val="single" w:sz="6" w:space="0" w:color="FFFFFF"/>
            </w:tcBorders>
            <w:shd w:val="clear" w:color="auto" w:fill="CCE2ED"/>
          </w:tcPr>
          <w:p w14:paraId="56BD2FD7" w14:textId="77777777" w:rsidR="00141B97" w:rsidRDefault="00911D63">
            <w:pPr>
              <w:pStyle w:val="TableParagraph"/>
              <w:spacing w:line="187" w:lineRule="exact"/>
              <w:ind w:left="110"/>
              <w:rPr>
                <w:sz w:val="16"/>
              </w:rPr>
            </w:pPr>
            <w:r>
              <w:rPr>
                <w:sz w:val="16"/>
              </w:rPr>
              <w:t>Maintain</w:t>
            </w:r>
            <w:r>
              <w:rPr>
                <w:spacing w:val="-8"/>
                <w:sz w:val="16"/>
              </w:rPr>
              <w:t xml:space="preserve"> </w:t>
            </w:r>
            <w:r>
              <w:rPr>
                <w:sz w:val="16"/>
              </w:rPr>
              <w:t>light</w:t>
            </w:r>
            <w:r>
              <w:rPr>
                <w:spacing w:val="-7"/>
                <w:sz w:val="16"/>
              </w:rPr>
              <w:t xml:space="preserve"> </w:t>
            </w:r>
            <w:r>
              <w:rPr>
                <w:sz w:val="16"/>
              </w:rPr>
              <w:t>vehicle</w:t>
            </w:r>
            <w:r>
              <w:rPr>
                <w:spacing w:val="-8"/>
                <w:sz w:val="16"/>
              </w:rPr>
              <w:t xml:space="preserve"> </w:t>
            </w:r>
            <w:r>
              <w:rPr>
                <w:spacing w:val="-2"/>
                <w:sz w:val="16"/>
              </w:rPr>
              <w:t>fleet</w:t>
            </w:r>
          </w:p>
        </w:tc>
        <w:tc>
          <w:tcPr>
            <w:tcW w:w="2848" w:type="dxa"/>
            <w:tcBorders>
              <w:top w:val="single" w:sz="6" w:space="0" w:color="FFFFFF"/>
            </w:tcBorders>
            <w:shd w:val="clear" w:color="auto" w:fill="CCE2ED"/>
          </w:tcPr>
          <w:p w14:paraId="32E11FED" w14:textId="77777777" w:rsidR="00141B97" w:rsidRDefault="00141B97">
            <w:pPr>
              <w:pStyle w:val="TableParagraph"/>
              <w:rPr>
                <w:rFonts w:ascii="Times New Roman"/>
                <w:sz w:val="14"/>
              </w:rPr>
            </w:pPr>
          </w:p>
        </w:tc>
        <w:tc>
          <w:tcPr>
            <w:tcW w:w="2133" w:type="dxa"/>
            <w:tcBorders>
              <w:top w:val="single" w:sz="6" w:space="0" w:color="FFFFFF"/>
            </w:tcBorders>
            <w:shd w:val="clear" w:color="auto" w:fill="CCE2ED"/>
          </w:tcPr>
          <w:p w14:paraId="01929241" w14:textId="77777777" w:rsidR="00141B97" w:rsidRDefault="00911D63">
            <w:pPr>
              <w:pStyle w:val="TableParagraph"/>
              <w:spacing w:line="187" w:lineRule="exact"/>
              <w:ind w:left="113"/>
              <w:rPr>
                <w:sz w:val="16"/>
              </w:rPr>
            </w:pPr>
            <w:r>
              <w:rPr>
                <w:spacing w:val="-2"/>
                <w:sz w:val="16"/>
              </w:rPr>
              <w:t>Optimal</w:t>
            </w:r>
            <w:r>
              <w:rPr>
                <w:spacing w:val="8"/>
                <w:sz w:val="16"/>
              </w:rPr>
              <w:t xml:space="preserve"> </w:t>
            </w:r>
            <w:r>
              <w:rPr>
                <w:spacing w:val="-2"/>
                <w:sz w:val="16"/>
              </w:rPr>
              <w:t>replacement</w:t>
            </w:r>
            <w:r>
              <w:rPr>
                <w:spacing w:val="7"/>
                <w:sz w:val="16"/>
              </w:rPr>
              <w:t xml:space="preserve"> </w:t>
            </w:r>
            <w:r>
              <w:rPr>
                <w:spacing w:val="-2"/>
                <w:sz w:val="16"/>
              </w:rPr>
              <w:t>regime</w:t>
            </w:r>
          </w:p>
        </w:tc>
      </w:tr>
      <w:tr w:rsidR="00141B97" w14:paraId="44D98285" w14:textId="77777777">
        <w:trPr>
          <w:trHeight w:val="195"/>
        </w:trPr>
        <w:tc>
          <w:tcPr>
            <w:tcW w:w="2567" w:type="dxa"/>
            <w:shd w:val="clear" w:color="auto" w:fill="CCE2ED"/>
          </w:tcPr>
          <w:p w14:paraId="27ED06BF" w14:textId="77777777" w:rsidR="00141B97" w:rsidRDefault="00911D63">
            <w:pPr>
              <w:pStyle w:val="TableParagraph"/>
              <w:spacing w:line="176" w:lineRule="exact"/>
              <w:ind w:left="101"/>
              <w:rPr>
                <w:sz w:val="16"/>
              </w:rPr>
            </w:pPr>
            <w:r>
              <w:rPr>
                <w:sz w:val="16"/>
              </w:rPr>
              <w:t>Light</w:t>
            </w:r>
            <w:r>
              <w:rPr>
                <w:spacing w:val="-4"/>
                <w:sz w:val="16"/>
              </w:rPr>
              <w:t xml:space="preserve"> </w:t>
            </w:r>
            <w:r>
              <w:rPr>
                <w:sz w:val="16"/>
              </w:rPr>
              <w:t>Motor</w:t>
            </w:r>
            <w:r>
              <w:rPr>
                <w:spacing w:val="-5"/>
                <w:sz w:val="16"/>
              </w:rPr>
              <w:t xml:space="preserve"> </w:t>
            </w:r>
            <w:r>
              <w:rPr>
                <w:sz w:val="16"/>
              </w:rPr>
              <w:t>Vehicle</w:t>
            </w:r>
            <w:r>
              <w:rPr>
                <w:spacing w:val="-5"/>
                <w:sz w:val="16"/>
              </w:rPr>
              <w:t xml:space="preserve"> </w:t>
            </w:r>
            <w:r>
              <w:rPr>
                <w:sz w:val="16"/>
              </w:rPr>
              <w:t>Fleet</w:t>
            </w:r>
            <w:r>
              <w:rPr>
                <w:spacing w:val="-4"/>
                <w:sz w:val="16"/>
              </w:rPr>
              <w:t xml:space="preserve"> </w:t>
            </w:r>
            <w:r>
              <w:rPr>
                <w:sz w:val="16"/>
              </w:rPr>
              <w:t>‐</w:t>
            </w:r>
            <w:r>
              <w:rPr>
                <w:spacing w:val="-5"/>
                <w:sz w:val="16"/>
              </w:rPr>
              <w:t xml:space="preserve"> </w:t>
            </w:r>
            <w:r>
              <w:rPr>
                <w:spacing w:val="-2"/>
                <w:sz w:val="16"/>
              </w:rPr>
              <w:t>annual</w:t>
            </w:r>
          </w:p>
        </w:tc>
        <w:tc>
          <w:tcPr>
            <w:tcW w:w="1261" w:type="dxa"/>
            <w:shd w:val="clear" w:color="auto" w:fill="CCE2ED"/>
          </w:tcPr>
          <w:p w14:paraId="4B288429" w14:textId="77777777" w:rsidR="00141B97" w:rsidRDefault="00911D63">
            <w:pPr>
              <w:pStyle w:val="TableParagraph"/>
              <w:spacing w:before="83" w:line="92" w:lineRule="exact"/>
              <w:ind w:left="252" w:right="184"/>
              <w:jc w:val="center"/>
              <w:rPr>
                <w:sz w:val="16"/>
              </w:rPr>
            </w:pPr>
            <w:r>
              <w:rPr>
                <w:spacing w:val="-4"/>
                <w:sz w:val="16"/>
              </w:rPr>
              <w:t>3.58</w:t>
            </w:r>
          </w:p>
        </w:tc>
        <w:tc>
          <w:tcPr>
            <w:tcW w:w="1415" w:type="dxa"/>
            <w:shd w:val="clear" w:color="auto" w:fill="CCE2ED"/>
          </w:tcPr>
          <w:p w14:paraId="6C62EA44" w14:textId="77777777" w:rsidR="00141B97" w:rsidRDefault="00911D63">
            <w:pPr>
              <w:pStyle w:val="TableParagraph"/>
              <w:spacing w:before="83" w:line="92" w:lineRule="exact"/>
              <w:ind w:left="139"/>
              <w:rPr>
                <w:sz w:val="16"/>
              </w:rPr>
            </w:pPr>
            <w:r>
              <w:rPr>
                <w:spacing w:val="-2"/>
                <w:sz w:val="16"/>
              </w:rPr>
              <w:t>Corporate</w:t>
            </w:r>
          </w:p>
        </w:tc>
        <w:tc>
          <w:tcPr>
            <w:tcW w:w="1799" w:type="dxa"/>
            <w:shd w:val="clear" w:color="auto" w:fill="CCE2ED"/>
          </w:tcPr>
          <w:p w14:paraId="29C21696" w14:textId="77777777" w:rsidR="00141B97" w:rsidRDefault="00911D63">
            <w:pPr>
              <w:pStyle w:val="TableParagraph"/>
              <w:spacing w:before="83" w:line="92" w:lineRule="exact"/>
              <w:ind w:left="203"/>
              <w:rPr>
                <w:sz w:val="16"/>
              </w:rPr>
            </w:pPr>
            <w:r>
              <w:rPr>
                <w:spacing w:val="-2"/>
                <w:sz w:val="16"/>
              </w:rPr>
              <w:t>Renewals</w:t>
            </w:r>
          </w:p>
        </w:tc>
        <w:tc>
          <w:tcPr>
            <w:tcW w:w="1624" w:type="dxa"/>
            <w:shd w:val="clear" w:color="auto" w:fill="CCE2ED"/>
          </w:tcPr>
          <w:p w14:paraId="15E930EB" w14:textId="77777777" w:rsidR="00141B97" w:rsidRDefault="00911D63">
            <w:pPr>
              <w:pStyle w:val="TableParagraph"/>
              <w:spacing w:before="83" w:line="92" w:lineRule="exact"/>
              <w:ind w:left="288"/>
              <w:rPr>
                <w:sz w:val="16"/>
              </w:rPr>
            </w:pPr>
            <w:r>
              <w:rPr>
                <w:sz w:val="16"/>
              </w:rPr>
              <w:t>All</w:t>
            </w:r>
            <w:r>
              <w:rPr>
                <w:spacing w:val="-4"/>
                <w:sz w:val="16"/>
              </w:rPr>
              <w:t xml:space="preserve"> </w:t>
            </w:r>
            <w:r>
              <w:rPr>
                <w:spacing w:val="-2"/>
                <w:sz w:val="16"/>
              </w:rPr>
              <w:t>outcomes</w:t>
            </w:r>
          </w:p>
        </w:tc>
        <w:tc>
          <w:tcPr>
            <w:tcW w:w="2031" w:type="dxa"/>
            <w:shd w:val="clear" w:color="auto" w:fill="CCE2ED"/>
          </w:tcPr>
          <w:p w14:paraId="2E06523B" w14:textId="77777777" w:rsidR="00141B97" w:rsidRDefault="00911D63">
            <w:pPr>
              <w:pStyle w:val="TableParagraph"/>
              <w:spacing w:line="176" w:lineRule="exact"/>
              <w:ind w:left="110"/>
              <w:rPr>
                <w:sz w:val="16"/>
              </w:rPr>
            </w:pPr>
            <w:r>
              <w:rPr>
                <w:sz w:val="16"/>
              </w:rPr>
              <w:t>to</w:t>
            </w:r>
            <w:r>
              <w:rPr>
                <w:spacing w:val="-6"/>
                <w:sz w:val="16"/>
              </w:rPr>
              <w:t xml:space="preserve"> </w:t>
            </w:r>
            <w:r>
              <w:rPr>
                <w:sz w:val="16"/>
              </w:rPr>
              <w:t>ensure</w:t>
            </w:r>
            <w:r>
              <w:rPr>
                <w:spacing w:val="-3"/>
                <w:sz w:val="16"/>
              </w:rPr>
              <w:t xml:space="preserve"> </w:t>
            </w:r>
            <w:r>
              <w:rPr>
                <w:sz w:val="16"/>
              </w:rPr>
              <w:t>safety</w:t>
            </w:r>
            <w:r>
              <w:rPr>
                <w:spacing w:val="-4"/>
                <w:sz w:val="16"/>
              </w:rPr>
              <w:t xml:space="preserve"> </w:t>
            </w:r>
            <w:r>
              <w:rPr>
                <w:spacing w:val="-5"/>
                <w:sz w:val="16"/>
              </w:rPr>
              <w:t>and</w:t>
            </w:r>
          </w:p>
        </w:tc>
        <w:tc>
          <w:tcPr>
            <w:tcW w:w="2848" w:type="dxa"/>
            <w:shd w:val="clear" w:color="auto" w:fill="CCE2ED"/>
          </w:tcPr>
          <w:p w14:paraId="438D7760" w14:textId="77777777" w:rsidR="00141B97" w:rsidRDefault="00911D63">
            <w:pPr>
              <w:pStyle w:val="TableParagraph"/>
              <w:spacing w:line="176" w:lineRule="exact"/>
              <w:ind w:left="119"/>
              <w:rPr>
                <w:sz w:val="16"/>
              </w:rPr>
            </w:pPr>
            <w:r>
              <w:rPr>
                <w:spacing w:val="-2"/>
                <w:sz w:val="16"/>
              </w:rPr>
              <w:t>Rolling</w:t>
            </w:r>
            <w:r>
              <w:rPr>
                <w:spacing w:val="4"/>
                <w:sz w:val="16"/>
              </w:rPr>
              <w:t xml:space="preserve"> </w:t>
            </w:r>
            <w:r>
              <w:rPr>
                <w:spacing w:val="-2"/>
                <w:sz w:val="16"/>
              </w:rPr>
              <w:t>periodic</w:t>
            </w:r>
            <w:r>
              <w:rPr>
                <w:spacing w:val="8"/>
                <w:sz w:val="16"/>
              </w:rPr>
              <w:t xml:space="preserve"> </w:t>
            </w:r>
            <w:r>
              <w:rPr>
                <w:spacing w:val="-2"/>
                <w:sz w:val="16"/>
              </w:rPr>
              <w:t>disposal</w:t>
            </w:r>
            <w:r>
              <w:rPr>
                <w:spacing w:val="5"/>
                <w:sz w:val="16"/>
              </w:rPr>
              <w:t xml:space="preserve"> </w:t>
            </w:r>
            <w:r>
              <w:rPr>
                <w:spacing w:val="-5"/>
                <w:sz w:val="16"/>
              </w:rPr>
              <w:t>and</w:t>
            </w:r>
          </w:p>
        </w:tc>
        <w:tc>
          <w:tcPr>
            <w:tcW w:w="2133" w:type="dxa"/>
            <w:shd w:val="clear" w:color="auto" w:fill="CCE2ED"/>
          </w:tcPr>
          <w:p w14:paraId="252984D4" w14:textId="77777777" w:rsidR="00141B97" w:rsidRDefault="00911D63">
            <w:pPr>
              <w:pStyle w:val="TableParagraph"/>
              <w:spacing w:line="176" w:lineRule="exact"/>
              <w:ind w:left="113"/>
              <w:rPr>
                <w:sz w:val="16"/>
              </w:rPr>
            </w:pPr>
            <w:r>
              <w:rPr>
                <w:sz w:val="16"/>
              </w:rPr>
              <w:t>with</w:t>
            </w:r>
            <w:r>
              <w:rPr>
                <w:spacing w:val="-5"/>
                <w:sz w:val="16"/>
              </w:rPr>
              <w:t xml:space="preserve"> </w:t>
            </w:r>
            <w:r>
              <w:rPr>
                <w:sz w:val="16"/>
              </w:rPr>
              <w:t>respect</w:t>
            </w:r>
            <w:r>
              <w:rPr>
                <w:spacing w:val="-4"/>
                <w:sz w:val="16"/>
              </w:rPr>
              <w:t xml:space="preserve"> </w:t>
            </w:r>
            <w:r>
              <w:rPr>
                <w:sz w:val="16"/>
              </w:rPr>
              <w:t>to</w:t>
            </w:r>
            <w:r>
              <w:rPr>
                <w:spacing w:val="-3"/>
                <w:sz w:val="16"/>
              </w:rPr>
              <w:t xml:space="preserve"> </w:t>
            </w:r>
            <w:r>
              <w:rPr>
                <w:sz w:val="16"/>
              </w:rPr>
              <w:t>triple</w:t>
            </w:r>
            <w:r>
              <w:rPr>
                <w:spacing w:val="-3"/>
                <w:sz w:val="16"/>
              </w:rPr>
              <w:t xml:space="preserve"> </w:t>
            </w:r>
            <w:r>
              <w:rPr>
                <w:spacing w:val="-2"/>
                <w:sz w:val="16"/>
              </w:rPr>
              <w:t>bottom</w:t>
            </w:r>
          </w:p>
        </w:tc>
      </w:tr>
      <w:tr w:rsidR="00141B97" w14:paraId="39D677C9" w14:textId="77777777">
        <w:trPr>
          <w:trHeight w:val="195"/>
        </w:trPr>
        <w:tc>
          <w:tcPr>
            <w:tcW w:w="2567" w:type="dxa"/>
            <w:shd w:val="clear" w:color="auto" w:fill="CCE2ED"/>
          </w:tcPr>
          <w:p w14:paraId="6771096C" w14:textId="77777777" w:rsidR="00141B97" w:rsidRDefault="00911D63">
            <w:pPr>
              <w:pStyle w:val="TableParagraph"/>
              <w:spacing w:line="176" w:lineRule="exact"/>
              <w:ind w:left="101"/>
              <w:rPr>
                <w:sz w:val="16"/>
              </w:rPr>
            </w:pPr>
            <w:r>
              <w:rPr>
                <w:sz w:val="16"/>
              </w:rPr>
              <w:t>vehicle</w:t>
            </w:r>
            <w:r>
              <w:rPr>
                <w:spacing w:val="-7"/>
                <w:sz w:val="16"/>
              </w:rPr>
              <w:t xml:space="preserve"> </w:t>
            </w:r>
            <w:r>
              <w:rPr>
                <w:spacing w:val="-2"/>
                <w:sz w:val="16"/>
              </w:rPr>
              <w:t>replacements</w:t>
            </w:r>
          </w:p>
        </w:tc>
        <w:tc>
          <w:tcPr>
            <w:tcW w:w="1261" w:type="dxa"/>
            <w:shd w:val="clear" w:color="auto" w:fill="CCE2ED"/>
          </w:tcPr>
          <w:p w14:paraId="76835DA8" w14:textId="77777777" w:rsidR="00141B97" w:rsidRDefault="00141B97">
            <w:pPr>
              <w:pStyle w:val="TableParagraph"/>
              <w:rPr>
                <w:rFonts w:ascii="Times New Roman"/>
                <w:sz w:val="12"/>
              </w:rPr>
            </w:pPr>
          </w:p>
        </w:tc>
        <w:tc>
          <w:tcPr>
            <w:tcW w:w="1415" w:type="dxa"/>
            <w:shd w:val="clear" w:color="auto" w:fill="CCE2ED"/>
          </w:tcPr>
          <w:p w14:paraId="28ACE5AD" w14:textId="77777777" w:rsidR="00141B97" w:rsidRDefault="00141B97">
            <w:pPr>
              <w:pStyle w:val="TableParagraph"/>
              <w:rPr>
                <w:rFonts w:ascii="Times New Roman"/>
                <w:sz w:val="12"/>
              </w:rPr>
            </w:pPr>
          </w:p>
        </w:tc>
        <w:tc>
          <w:tcPr>
            <w:tcW w:w="1799" w:type="dxa"/>
            <w:shd w:val="clear" w:color="auto" w:fill="CCE2ED"/>
          </w:tcPr>
          <w:p w14:paraId="0BF3EA34" w14:textId="77777777" w:rsidR="00141B97" w:rsidRDefault="00141B97">
            <w:pPr>
              <w:pStyle w:val="TableParagraph"/>
              <w:rPr>
                <w:rFonts w:ascii="Times New Roman"/>
                <w:sz w:val="12"/>
              </w:rPr>
            </w:pPr>
          </w:p>
        </w:tc>
        <w:tc>
          <w:tcPr>
            <w:tcW w:w="1624" w:type="dxa"/>
            <w:shd w:val="clear" w:color="auto" w:fill="CCE2ED"/>
          </w:tcPr>
          <w:p w14:paraId="276C83E4" w14:textId="77777777" w:rsidR="00141B97" w:rsidRDefault="00141B97">
            <w:pPr>
              <w:pStyle w:val="TableParagraph"/>
              <w:rPr>
                <w:rFonts w:ascii="Times New Roman"/>
                <w:sz w:val="12"/>
              </w:rPr>
            </w:pPr>
          </w:p>
        </w:tc>
        <w:tc>
          <w:tcPr>
            <w:tcW w:w="2031" w:type="dxa"/>
            <w:shd w:val="clear" w:color="auto" w:fill="CCE2ED"/>
          </w:tcPr>
          <w:p w14:paraId="090C81BF" w14:textId="77777777" w:rsidR="00141B97" w:rsidRDefault="00911D63">
            <w:pPr>
              <w:pStyle w:val="TableParagraph"/>
              <w:spacing w:line="176" w:lineRule="exact"/>
              <w:ind w:left="110"/>
              <w:rPr>
                <w:sz w:val="16"/>
              </w:rPr>
            </w:pPr>
            <w:r>
              <w:rPr>
                <w:sz w:val="16"/>
              </w:rPr>
              <w:t>mobility</w:t>
            </w:r>
            <w:r>
              <w:rPr>
                <w:spacing w:val="-7"/>
                <w:sz w:val="16"/>
              </w:rPr>
              <w:t xml:space="preserve"> </w:t>
            </w:r>
            <w:r>
              <w:rPr>
                <w:sz w:val="16"/>
              </w:rPr>
              <w:t>for</w:t>
            </w:r>
            <w:r>
              <w:rPr>
                <w:spacing w:val="-6"/>
                <w:sz w:val="16"/>
              </w:rPr>
              <w:t xml:space="preserve"> </w:t>
            </w:r>
            <w:r>
              <w:rPr>
                <w:spacing w:val="-2"/>
                <w:sz w:val="16"/>
              </w:rPr>
              <w:t>customer</w:t>
            </w:r>
          </w:p>
        </w:tc>
        <w:tc>
          <w:tcPr>
            <w:tcW w:w="2848" w:type="dxa"/>
            <w:shd w:val="clear" w:color="auto" w:fill="CCE2ED"/>
          </w:tcPr>
          <w:p w14:paraId="3FDA2D8A" w14:textId="77777777" w:rsidR="00141B97" w:rsidRDefault="00911D63">
            <w:pPr>
              <w:pStyle w:val="TableParagraph"/>
              <w:spacing w:line="176" w:lineRule="exact"/>
              <w:ind w:left="119"/>
              <w:rPr>
                <w:sz w:val="16"/>
              </w:rPr>
            </w:pPr>
            <w:r>
              <w:rPr>
                <w:sz w:val="16"/>
              </w:rPr>
              <w:t>replacement</w:t>
            </w:r>
            <w:r>
              <w:rPr>
                <w:spacing w:val="-7"/>
                <w:sz w:val="16"/>
              </w:rPr>
              <w:t xml:space="preserve"> </w:t>
            </w:r>
            <w:r>
              <w:rPr>
                <w:sz w:val="16"/>
              </w:rPr>
              <w:t>of</w:t>
            </w:r>
            <w:r>
              <w:rPr>
                <w:spacing w:val="-5"/>
                <w:sz w:val="16"/>
              </w:rPr>
              <w:t xml:space="preserve"> </w:t>
            </w:r>
            <w:r>
              <w:rPr>
                <w:sz w:val="16"/>
              </w:rPr>
              <w:t>light</w:t>
            </w:r>
            <w:r>
              <w:rPr>
                <w:spacing w:val="-6"/>
                <w:sz w:val="16"/>
              </w:rPr>
              <w:t xml:space="preserve"> </w:t>
            </w:r>
            <w:r>
              <w:rPr>
                <w:sz w:val="16"/>
              </w:rPr>
              <w:t>vehicle</w:t>
            </w:r>
            <w:r>
              <w:rPr>
                <w:spacing w:val="-5"/>
                <w:sz w:val="16"/>
              </w:rPr>
              <w:t xml:space="preserve"> </w:t>
            </w:r>
            <w:r>
              <w:rPr>
                <w:spacing w:val="-2"/>
                <w:sz w:val="16"/>
              </w:rPr>
              <w:t>fleet.</w:t>
            </w:r>
          </w:p>
        </w:tc>
        <w:tc>
          <w:tcPr>
            <w:tcW w:w="2133" w:type="dxa"/>
            <w:shd w:val="clear" w:color="auto" w:fill="CCE2ED"/>
          </w:tcPr>
          <w:p w14:paraId="3011E6F8" w14:textId="77777777" w:rsidR="00141B97" w:rsidRDefault="00911D63">
            <w:pPr>
              <w:pStyle w:val="TableParagraph"/>
              <w:spacing w:line="176" w:lineRule="exact"/>
              <w:ind w:left="113"/>
              <w:rPr>
                <w:sz w:val="16"/>
              </w:rPr>
            </w:pPr>
            <w:r>
              <w:rPr>
                <w:sz w:val="16"/>
              </w:rPr>
              <w:t>line</w:t>
            </w:r>
            <w:r>
              <w:rPr>
                <w:spacing w:val="-7"/>
                <w:sz w:val="16"/>
              </w:rPr>
              <w:t xml:space="preserve"> </w:t>
            </w:r>
            <w:r>
              <w:rPr>
                <w:sz w:val="16"/>
              </w:rPr>
              <w:t>(social,</w:t>
            </w:r>
            <w:r>
              <w:rPr>
                <w:spacing w:val="-6"/>
                <w:sz w:val="16"/>
              </w:rPr>
              <w:t xml:space="preserve"> </w:t>
            </w:r>
            <w:r>
              <w:rPr>
                <w:spacing w:val="-2"/>
                <w:sz w:val="16"/>
              </w:rPr>
              <w:t>environmental,</w:t>
            </w:r>
          </w:p>
        </w:tc>
      </w:tr>
      <w:tr w:rsidR="00141B97" w14:paraId="5F68BC75" w14:textId="77777777">
        <w:trPr>
          <w:trHeight w:val="180"/>
        </w:trPr>
        <w:tc>
          <w:tcPr>
            <w:tcW w:w="2567" w:type="dxa"/>
            <w:tcBorders>
              <w:bottom w:val="single" w:sz="4" w:space="0" w:color="FFFFFF"/>
            </w:tcBorders>
            <w:shd w:val="clear" w:color="auto" w:fill="CCE2ED"/>
          </w:tcPr>
          <w:p w14:paraId="73BE1CA1" w14:textId="77777777" w:rsidR="00141B97" w:rsidRDefault="00141B97">
            <w:pPr>
              <w:pStyle w:val="TableParagraph"/>
              <w:rPr>
                <w:rFonts w:ascii="Times New Roman"/>
                <w:sz w:val="12"/>
              </w:rPr>
            </w:pPr>
          </w:p>
        </w:tc>
        <w:tc>
          <w:tcPr>
            <w:tcW w:w="1261" w:type="dxa"/>
            <w:tcBorders>
              <w:bottom w:val="single" w:sz="4" w:space="0" w:color="FFFFFF"/>
            </w:tcBorders>
            <w:shd w:val="clear" w:color="auto" w:fill="CCE2ED"/>
          </w:tcPr>
          <w:p w14:paraId="5F5D38AF" w14:textId="77777777" w:rsidR="00141B97" w:rsidRDefault="00141B97">
            <w:pPr>
              <w:pStyle w:val="TableParagraph"/>
              <w:rPr>
                <w:rFonts w:ascii="Times New Roman"/>
                <w:sz w:val="12"/>
              </w:rPr>
            </w:pPr>
          </w:p>
        </w:tc>
        <w:tc>
          <w:tcPr>
            <w:tcW w:w="1415" w:type="dxa"/>
            <w:tcBorders>
              <w:bottom w:val="single" w:sz="4" w:space="0" w:color="FFFFFF"/>
            </w:tcBorders>
            <w:shd w:val="clear" w:color="auto" w:fill="CCE2ED"/>
          </w:tcPr>
          <w:p w14:paraId="16547681" w14:textId="77777777" w:rsidR="00141B97" w:rsidRDefault="00141B97">
            <w:pPr>
              <w:pStyle w:val="TableParagraph"/>
              <w:rPr>
                <w:rFonts w:ascii="Times New Roman"/>
                <w:sz w:val="12"/>
              </w:rPr>
            </w:pPr>
          </w:p>
        </w:tc>
        <w:tc>
          <w:tcPr>
            <w:tcW w:w="1799" w:type="dxa"/>
            <w:tcBorders>
              <w:bottom w:val="single" w:sz="4" w:space="0" w:color="FFFFFF"/>
            </w:tcBorders>
            <w:shd w:val="clear" w:color="auto" w:fill="CCE2ED"/>
          </w:tcPr>
          <w:p w14:paraId="4153000A" w14:textId="77777777" w:rsidR="00141B97" w:rsidRDefault="00141B97">
            <w:pPr>
              <w:pStyle w:val="TableParagraph"/>
              <w:rPr>
                <w:rFonts w:ascii="Times New Roman"/>
                <w:sz w:val="12"/>
              </w:rPr>
            </w:pPr>
          </w:p>
        </w:tc>
        <w:tc>
          <w:tcPr>
            <w:tcW w:w="1624" w:type="dxa"/>
            <w:tcBorders>
              <w:bottom w:val="single" w:sz="4" w:space="0" w:color="FFFFFF"/>
            </w:tcBorders>
            <w:shd w:val="clear" w:color="auto" w:fill="CCE2ED"/>
          </w:tcPr>
          <w:p w14:paraId="28355CEC" w14:textId="77777777" w:rsidR="00141B97" w:rsidRDefault="00141B97">
            <w:pPr>
              <w:pStyle w:val="TableParagraph"/>
              <w:rPr>
                <w:rFonts w:ascii="Times New Roman"/>
                <w:sz w:val="12"/>
              </w:rPr>
            </w:pPr>
          </w:p>
        </w:tc>
        <w:tc>
          <w:tcPr>
            <w:tcW w:w="2031" w:type="dxa"/>
            <w:tcBorders>
              <w:bottom w:val="single" w:sz="4" w:space="0" w:color="FFFFFF"/>
            </w:tcBorders>
            <w:shd w:val="clear" w:color="auto" w:fill="CCE2ED"/>
          </w:tcPr>
          <w:p w14:paraId="223A82AF" w14:textId="77777777" w:rsidR="00141B97" w:rsidRDefault="00911D63">
            <w:pPr>
              <w:pStyle w:val="TableParagraph"/>
              <w:spacing w:line="161" w:lineRule="exact"/>
              <w:ind w:left="110"/>
              <w:rPr>
                <w:sz w:val="16"/>
              </w:rPr>
            </w:pPr>
            <w:r>
              <w:rPr>
                <w:sz w:val="16"/>
              </w:rPr>
              <w:t>service</w:t>
            </w:r>
            <w:r>
              <w:rPr>
                <w:spacing w:val="-7"/>
                <w:sz w:val="16"/>
              </w:rPr>
              <w:t xml:space="preserve"> </w:t>
            </w:r>
            <w:r>
              <w:rPr>
                <w:sz w:val="16"/>
              </w:rPr>
              <w:t>and</w:t>
            </w:r>
            <w:r>
              <w:rPr>
                <w:spacing w:val="-7"/>
                <w:sz w:val="16"/>
              </w:rPr>
              <w:t xml:space="preserve"> </w:t>
            </w:r>
            <w:r>
              <w:rPr>
                <w:sz w:val="16"/>
              </w:rPr>
              <w:t>service</w:t>
            </w:r>
            <w:r>
              <w:rPr>
                <w:spacing w:val="-5"/>
                <w:sz w:val="16"/>
              </w:rPr>
              <w:t xml:space="preserve"> </w:t>
            </w:r>
            <w:r>
              <w:rPr>
                <w:spacing w:val="-2"/>
                <w:sz w:val="16"/>
              </w:rPr>
              <w:t>delivery.</w:t>
            </w:r>
          </w:p>
        </w:tc>
        <w:tc>
          <w:tcPr>
            <w:tcW w:w="2848" w:type="dxa"/>
            <w:tcBorders>
              <w:bottom w:val="single" w:sz="4" w:space="0" w:color="FFFFFF"/>
            </w:tcBorders>
            <w:shd w:val="clear" w:color="auto" w:fill="CCE2ED"/>
          </w:tcPr>
          <w:p w14:paraId="39B428D9" w14:textId="77777777" w:rsidR="00141B97" w:rsidRDefault="00141B97">
            <w:pPr>
              <w:pStyle w:val="TableParagraph"/>
              <w:rPr>
                <w:rFonts w:ascii="Times New Roman"/>
                <w:sz w:val="12"/>
              </w:rPr>
            </w:pPr>
          </w:p>
        </w:tc>
        <w:tc>
          <w:tcPr>
            <w:tcW w:w="2133" w:type="dxa"/>
            <w:tcBorders>
              <w:bottom w:val="single" w:sz="4" w:space="0" w:color="FFFFFF"/>
            </w:tcBorders>
            <w:shd w:val="clear" w:color="auto" w:fill="CCE2ED"/>
          </w:tcPr>
          <w:p w14:paraId="4F8FEC4A" w14:textId="77777777" w:rsidR="00141B97" w:rsidRDefault="00911D63">
            <w:pPr>
              <w:pStyle w:val="TableParagraph"/>
              <w:spacing w:line="161" w:lineRule="exact"/>
              <w:ind w:left="113"/>
              <w:rPr>
                <w:sz w:val="16"/>
              </w:rPr>
            </w:pPr>
            <w:r>
              <w:rPr>
                <w:spacing w:val="-2"/>
                <w:sz w:val="16"/>
              </w:rPr>
              <w:t>economic)</w:t>
            </w:r>
            <w:r>
              <w:rPr>
                <w:spacing w:val="6"/>
                <w:sz w:val="16"/>
              </w:rPr>
              <w:t xml:space="preserve"> </w:t>
            </w:r>
            <w:r>
              <w:rPr>
                <w:spacing w:val="-2"/>
                <w:sz w:val="16"/>
              </w:rPr>
              <w:t>objectives.</w:t>
            </w:r>
          </w:p>
        </w:tc>
      </w:tr>
      <w:tr w:rsidR="00141B97" w14:paraId="08D79FD0" w14:textId="77777777">
        <w:trPr>
          <w:trHeight w:val="1757"/>
        </w:trPr>
        <w:tc>
          <w:tcPr>
            <w:tcW w:w="2567" w:type="dxa"/>
            <w:tcBorders>
              <w:top w:val="single" w:sz="4" w:space="0" w:color="FFFFFF"/>
              <w:bottom w:val="single" w:sz="4" w:space="0" w:color="FFFFFF"/>
            </w:tcBorders>
            <w:shd w:val="clear" w:color="auto" w:fill="CCE2ED"/>
          </w:tcPr>
          <w:p w14:paraId="5012ABB8" w14:textId="77777777" w:rsidR="00141B97" w:rsidRDefault="00141B97">
            <w:pPr>
              <w:pStyle w:val="TableParagraph"/>
              <w:rPr>
                <w:sz w:val="16"/>
              </w:rPr>
            </w:pPr>
          </w:p>
          <w:p w14:paraId="77529C2A" w14:textId="77777777" w:rsidR="00141B97" w:rsidRDefault="00141B97">
            <w:pPr>
              <w:pStyle w:val="TableParagraph"/>
              <w:rPr>
                <w:sz w:val="16"/>
              </w:rPr>
            </w:pPr>
          </w:p>
          <w:p w14:paraId="373DEDCC" w14:textId="77777777" w:rsidR="00141B97" w:rsidRDefault="00141B97">
            <w:pPr>
              <w:pStyle w:val="TableParagraph"/>
              <w:rPr>
                <w:sz w:val="16"/>
              </w:rPr>
            </w:pPr>
          </w:p>
          <w:p w14:paraId="5DD86C5F" w14:textId="77777777" w:rsidR="00141B97" w:rsidRDefault="00141B97">
            <w:pPr>
              <w:pStyle w:val="TableParagraph"/>
              <w:spacing w:before="12"/>
              <w:rPr>
                <w:sz w:val="15"/>
              </w:rPr>
            </w:pPr>
          </w:p>
          <w:p w14:paraId="52C25A5E" w14:textId="77777777" w:rsidR="00141B97" w:rsidRDefault="00911D63">
            <w:pPr>
              <w:pStyle w:val="TableParagraph"/>
              <w:ind w:left="101"/>
              <w:rPr>
                <w:sz w:val="16"/>
              </w:rPr>
            </w:pPr>
            <w:r>
              <w:rPr>
                <w:sz w:val="16"/>
              </w:rPr>
              <w:t>Minor</w:t>
            </w:r>
            <w:r>
              <w:rPr>
                <w:spacing w:val="-5"/>
                <w:sz w:val="16"/>
              </w:rPr>
              <w:t xml:space="preserve"> </w:t>
            </w:r>
            <w:r>
              <w:rPr>
                <w:sz w:val="16"/>
              </w:rPr>
              <w:t>capex</w:t>
            </w:r>
            <w:r>
              <w:rPr>
                <w:spacing w:val="-3"/>
                <w:sz w:val="16"/>
              </w:rPr>
              <w:t xml:space="preserve"> </w:t>
            </w:r>
            <w:r>
              <w:rPr>
                <w:sz w:val="16"/>
              </w:rPr>
              <w:t>‐</w:t>
            </w:r>
            <w:r>
              <w:rPr>
                <w:spacing w:val="-5"/>
                <w:sz w:val="16"/>
              </w:rPr>
              <w:t xml:space="preserve"> </w:t>
            </w:r>
            <w:r>
              <w:rPr>
                <w:spacing w:val="-2"/>
                <w:sz w:val="16"/>
              </w:rPr>
              <w:t>Water</w:t>
            </w:r>
          </w:p>
        </w:tc>
        <w:tc>
          <w:tcPr>
            <w:tcW w:w="1261" w:type="dxa"/>
            <w:tcBorders>
              <w:top w:val="single" w:sz="4" w:space="0" w:color="FFFFFF"/>
              <w:bottom w:val="single" w:sz="4" w:space="0" w:color="FFFFFF"/>
            </w:tcBorders>
            <w:shd w:val="clear" w:color="auto" w:fill="CCE2ED"/>
          </w:tcPr>
          <w:p w14:paraId="0511AA89" w14:textId="77777777" w:rsidR="00141B97" w:rsidRDefault="00141B97">
            <w:pPr>
              <w:pStyle w:val="TableParagraph"/>
              <w:rPr>
                <w:sz w:val="16"/>
              </w:rPr>
            </w:pPr>
          </w:p>
          <w:p w14:paraId="11C7E9D8" w14:textId="77777777" w:rsidR="00141B97" w:rsidRDefault="00141B97">
            <w:pPr>
              <w:pStyle w:val="TableParagraph"/>
              <w:rPr>
                <w:sz w:val="16"/>
              </w:rPr>
            </w:pPr>
          </w:p>
          <w:p w14:paraId="3D62AD0E" w14:textId="77777777" w:rsidR="00141B97" w:rsidRDefault="00141B97">
            <w:pPr>
              <w:pStyle w:val="TableParagraph"/>
              <w:rPr>
                <w:sz w:val="16"/>
              </w:rPr>
            </w:pPr>
          </w:p>
          <w:p w14:paraId="0D95C4A9" w14:textId="77777777" w:rsidR="00141B97" w:rsidRDefault="00141B97">
            <w:pPr>
              <w:pStyle w:val="TableParagraph"/>
              <w:spacing w:before="12"/>
              <w:rPr>
                <w:sz w:val="15"/>
              </w:rPr>
            </w:pPr>
          </w:p>
          <w:p w14:paraId="45A64150" w14:textId="77777777" w:rsidR="00141B97" w:rsidRDefault="00911D63">
            <w:pPr>
              <w:pStyle w:val="TableParagraph"/>
              <w:ind w:left="252" w:right="184"/>
              <w:jc w:val="center"/>
              <w:rPr>
                <w:sz w:val="16"/>
              </w:rPr>
            </w:pPr>
            <w:r>
              <w:rPr>
                <w:spacing w:val="-4"/>
                <w:sz w:val="16"/>
              </w:rPr>
              <w:t>3.27</w:t>
            </w:r>
          </w:p>
        </w:tc>
        <w:tc>
          <w:tcPr>
            <w:tcW w:w="1415" w:type="dxa"/>
            <w:tcBorders>
              <w:top w:val="single" w:sz="4" w:space="0" w:color="FFFFFF"/>
              <w:bottom w:val="single" w:sz="4" w:space="0" w:color="FFFFFF"/>
            </w:tcBorders>
            <w:shd w:val="clear" w:color="auto" w:fill="CCE2ED"/>
          </w:tcPr>
          <w:p w14:paraId="16248390" w14:textId="77777777" w:rsidR="00141B97" w:rsidRDefault="00141B97">
            <w:pPr>
              <w:pStyle w:val="TableParagraph"/>
              <w:rPr>
                <w:sz w:val="16"/>
              </w:rPr>
            </w:pPr>
          </w:p>
          <w:p w14:paraId="11D7FB90" w14:textId="77777777" w:rsidR="00141B97" w:rsidRDefault="00141B97">
            <w:pPr>
              <w:pStyle w:val="TableParagraph"/>
              <w:rPr>
                <w:sz w:val="16"/>
              </w:rPr>
            </w:pPr>
          </w:p>
          <w:p w14:paraId="25DA8B65" w14:textId="77777777" w:rsidR="00141B97" w:rsidRDefault="00141B97">
            <w:pPr>
              <w:pStyle w:val="TableParagraph"/>
              <w:rPr>
                <w:sz w:val="16"/>
              </w:rPr>
            </w:pPr>
          </w:p>
          <w:p w14:paraId="4C22717D" w14:textId="77777777" w:rsidR="00141B97" w:rsidRDefault="00141B97">
            <w:pPr>
              <w:pStyle w:val="TableParagraph"/>
              <w:spacing w:before="12"/>
              <w:rPr>
                <w:sz w:val="15"/>
              </w:rPr>
            </w:pPr>
          </w:p>
          <w:p w14:paraId="6068B368" w14:textId="77777777" w:rsidR="00141B97" w:rsidRDefault="00911D63">
            <w:pPr>
              <w:pStyle w:val="TableParagraph"/>
              <w:ind w:left="139"/>
              <w:rPr>
                <w:sz w:val="16"/>
              </w:rPr>
            </w:pPr>
            <w:r>
              <w:rPr>
                <w:sz w:val="16"/>
              </w:rPr>
              <w:t>Urban</w:t>
            </w:r>
            <w:r>
              <w:rPr>
                <w:spacing w:val="-5"/>
                <w:sz w:val="16"/>
              </w:rPr>
              <w:t xml:space="preserve"> </w:t>
            </w:r>
            <w:r>
              <w:rPr>
                <w:spacing w:val="-2"/>
                <w:sz w:val="16"/>
              </w:rPr>
              <w:t>Water</w:t>
            </w:r>
          </w:p>
        </w:tc>
        <w:tc>
          <w:tcPr>
            <w:tcW w:w="1799" w:type="dxa"/>
            <w:tcBorders>
              <w:top w:val="single" w:sz="4" w:space="0" w:color="FFFFFF"/>
              <w:bottom w:val="single" w:sz="4" w:space="0" w:color="FFFFFF"/>
            </w:tcBorders>
            <w:shd w:val="clear" w:color="auto" w:fill="CCE2ED"/>
          </w:tcPr>
          <w:p w14:paraId="2BB7854F" w14:textId="77777777" w:rsidR="00141B97" w:rsidRDefault="00141B97">
            <w:pPr>
              <w:pStyle w:val="TableParagraph"/>
              <w:rPr>
                <w:sz w:val="16"/>
              </w:rPr>
            </w:pPr>
          </w:p>
          <w:p w14:paraId="3A81EA16" w14:textId="77777777" w:rsidR="00141B97" w:rsidRDefault="00141B97">
            <w:pPr>
              <w:pStyle w:val="TableParagraph"/>
              <w:rPr>
                <w:sz w:val="16"/>
              </w:rPr>
            </w:pPr>
          </w:p>
          <w:p w14:paraId="24FE2549" w14:textId="77777777" w:rsidR="00141B97" w:rsidRDefault="00141B97">
            <w:pPr>
              <w:pStyle w:val="TableParagraph"/>
              <w:spacing w:before="11"/>
              <w:rPr>
                <w:sz w:val="23"/>
              </w:rPr>
            </w:pPr>
          </w:p>
          <w:p w14:paraId="44E92C73" w14:textId="77777777" w:rsidR="00141B97" w:rsidRDefault="00911D63">
            <w:pPr>
              <w:pStyle w:val="TableParagraph"/>
              <w:ind w:left="203" w:right="551"/>
              <w:rPr>
                <w:sz w:val="16"/>
              </w:rPr>
            </w:pPr>
            <w:r>
              <w:rPr>
                <w:sz w:val="16"/>
              </w:rPr>
              <w:t>Renewals</w:t>
            </w:r>
            <w:r>
              <w:rPr>
                <w:spacing w:val="-5"/>
                <w:sz w:val="16"/>
              </w:rPr>
              <w:t xml:space="preserve"> </w:t>
            </w:r>
            <w:r>
              <w:rPr>
                <w:sz w:val="16"/>
              </w:rPr>
              <w:t>&amp;</w:t>
            </w:r>
            <w:r>
              <w:rPr>
                <w:spacing w:val="40"/>
                <w:sz w:val="16"/>
              </w:rPr>
              <w:t xml:space="preserve"> </w:t>
            </w:r>
            <w:r>
              <w:rPr>
                <w:spacing w:val="-2"/>
                <w:sz w:val="16"/>
              </w:rPr>
              <w:t>Improvement</w:t>
            </w:r>
          </w:p>
        </w:tc>
        <w:tc>
          <w:tcPr>
            <w:tcW w:w="1624" w:type="dxa"/>
            <w:tcBorders>
              <w:top w:val="single" w:sz="4" w:space="0" w:color="FFFFFF"/>
              <w:bottom w:val="single" w:sz="4" w:space="0" w:color="FFFFFF"/>
            </w:tcBorders>
            <w:shd w:val="clear" w:color="auto" w:fill="CCE2ED"/>
          </w:tcPr>
          <w:p w14:paraId="405B03D4" w14:textId="77777777" w:rsidR="00141B97" w:rsidRDefault="00141B97">
            <w:pPr>
              <w:pStyle w:val="TableParagraph"/>
              <w:rPr>
                <w:sz w:val="16"/>
              </w:rPr>
            </w:pPr>
          </w:p>
          <w:p w14:paraId="7EAEC3DD" w14:textId="77777777" w:rsidR="00141B97" w:rsidRDefault="00141B97">
            <w:pPr>
              <w:pStyle w:val="TableParagraph"/>
              <w:rPr>
                <w:sz w:val="16"/>
              </w:rPr>
            </w:pPr>
          </w:p>
          <w:p w14:paraId="119CEC0D" w14:textId="77777777" w:rsidR="00141B97" w:rsidRDefault="00141B97">
            <w:pPr>
              <w:pStyle w:val="TableParagraph"/>
              <w:spacing w:before="11"/>
              <w:rPr>
                <w:sz w:val="15"/>
              </w:rPr>
            </w:pPr>
          </w:p>
          <w:p w14:paraId="4C185E74" w14:textId="77777777" w:rsidR="00141B97" w:rsidRDefault="00911D63">
            <w:pPr>
              <w:pStyle w:val="TableParagraph"/>
              <w:ind w:left="288" w:right="130"/>
              <w:rPr>
                <w:sz w:val="16"/>
              </w:rPr>
            </w:pPr>
            <w:r>
              <w:rPr>
                <w:sz w:val="16"/>
              </w:rPr>
              <w:t>Provide</w:t>
            </w:r>
            <w:r>
              <w:rPr>
                <w:spacing w:val="-10"/>
                <w:sz w:val="16"/>
              </w:rPr>
              <w:t xml:space="preserve"> </w:t>
            </w:r>
            <w:r>
              <w:rPr>
                <w:sz w:val="16"/>
              </w:rPr>
              <w:t>customers</w:t>
            </w:r>
            <w:r>
              <w:rPr>
                <w:spacing w:val="40"/>
                <w:sz w:val="16"/>
              </w:rPr>
              <w:t xml:space="preserve"> </w:t>
            </w:r>
            <w:r>
              <w:rPr>
                <w:sz w:val="16"/>
              </w:rPr>
              <w:t>reliable and safe</w:t>
            </w:r>
            <w:r>
              <w:rPr>
                <w:spacing w:val="40"/>
                <w:sz w:val="16"/>
              </w:rPr>
              <w:t xml:space="preserve"> </w:t>
            </w:r>
            <w:r>
              <w:rPr>
                <w:sz w:val="16"/>
              </w:rPr>
              <w:t>drinking</w:t>
            </w:r>
            <w:r>
              <w:rPr>
                <w:spacing w:val="-9"/>
                <w:sz w:val="16"/>
              </w:rPr>
              <w:t xml:space="preserve"> </w:t>
            </w:r>
            <w:r>
              <w:rPr>
                <w:sz w:val="16"/>
              </w:rPr>
              <w:t>water</w:t>
            </w:r>
          </w:p>
        </w:tc>
        <w:tc>
          <w:tcPr>
            <w:tcW w:w="2031" w:type="dxa"/>
            <w:tcBorders>
              <w:top w:val="single" w:sz="4" w:space="0" w:color="FFFFFF"/>
              <w:bottom w:val="single" w:sz="4" w:space="0" w:color="FFFFFF"/>
            </w:tcBorders>
            <w:shd w:val="clear" w:color="auto" w:fill="CCE2ED"/>
          </w:tcPr>
          <w:p w14:paraId="5DEC56AA" w14:textId="77777777" w:rsidR="00141B97" w:rsidRDefault="00141B97">
            <w:pPr>
              <w:pStyle w:val="TableParagraph"/>
              <w:rPr>
                <w:sz w:val="16"/>
              </w:rPr>
            </w:pPr>
          </w:p>
          <w:p w14:paraId="4EC59F62" w14:textId="77777777" w:rsidR="00141B97" w:rsidRDefault="00141B97">
            <w:pPr>
              <w:pStyle w:val="TableParagraph"/>
              <w:spacing w:before="12"/>
              <w:rPr>
                <w:sz w:val="23"/>
              </w:rPr>
            </w:pPr>
          </w:p>
          <w:p w14:paraId="0E805476" w14:textId="77777777" w:rsidR="00141B97" w:rsidRDefault="00911D63">
            <w:pPr>
              <w:pStyle w:val="TableParagraph"/>
              <w:ind w:left="110" w:right="92"/>
              <w:rPr>
                <w:sz w:val="16"/>
              </w:rPr>
            </w:pPr>
            <w:r>
              <w:rPr>
                <w:sz w:val="16"/>
              </w:rPr>
              <w:t>Maintain</w:t>
            </w:r>
            <w:r>
              <w:rPr>
                <w:spacing w:val="-10"/>
                <w:sz w:val="16"/>
              </w:rPr>
              <w:t xml:space="preserve"> </w:t>
            </w:r>
            <w:r>
              <w:rPr>
                <w:sz w:val="16"/>
              </w:rPr>
              <w:t>agreed</w:t>
            </w:r>
            <w:r>
              <w:rPr>
                <w:spacing w:val="-9"/>
                <w:sz w:val="16"/>
              </w:rPr>
              <w:t xml:space="preserve"> </w:t>
            </w:r>
            <w:r>
              <w:rPr>
                <w:sz w:val="16"/>
              </w:rPr>
              <w:t>level</w:t>
            </w:r>
            <w:r>
              <w:rPr>
                <w:spacing w:val="-9"/>
                <w:sz w:val="16"/>
              </w:rPr>
              <w:t xml:space="preserve"> </w:t>
            </w:r>
            <w:r>
              <w:rPr>
                <w:sz w:val="16"/>
              </w:rPr>
              <w:t>of</w:t>
            </w:r>
            <w:r>
              <w:rPr>
                <w:spacing w:val="40"/>
                <w:sz w:val="16"/>
              </w:rPr>
              <w:t xml:space="preserve"> </w:t>
            </w:r>
            <w:r>
              <w:rPr>
                <w:sz w:val="16"/>
              </w:rPr>
              <w:t>service and to mitigate</w:t>
            </w:r>
            <w:r>
              <w:rPr>
                <w:spacing w:val="40"/>
                <w:sz w:val="16"/>
              </w:rPr>
              <w:t xml:space="preserve"> </w:t>
            </w:r>
            <w:r>
              <w:rPr>
                <w:sz w:val="16"/>
              </w:rPr>
              <w:t>service delivery and</w:t>
            </w:r>
            <w:r>
              <w:rPr>
                <w:spacing w:val="40"/>
                <w:sz w:val="16"/>
              </w:rPr>
              <w:t xml:space="preserve"> </w:t>
            </w:r>
            <w:r>
              <w:rPr>
                <w:sz w:val="16"/>
              </w:rPr>
              <w:t>operational</w:t>
            </w:r>
            <w:r>
              <w:rPr>
                <w:spacing w:val="-7"/>
                <w:sz w:val="16"/>
              </w:rPr>
              <w:t xml:space="preserve"> </w:t>
            </w:r>
            <w:r>
              <w:rPr>
                <w:sz w:val="16"/>
              </w:rPr>
              <w:t>risks.</w:t>
            </w:r>
          </w:p>
        </w:tc>
        <w:tc>
          <w:tcPr>
            <w:tcW w:w="2848" w:type="dxa"/>
            <w:tcBorders>
              <w:top w:val="single" w:sz="4" w:space="0" w:color="FFFFFF"/>
              <w:bottom w:val="single" w:sz="4" w:space="0" w:color="FFFFFF"/>
            </w:tcBorders>
            <w:shd w:val="clear" w:color="auto" w:fill="CCE2ED"/>
          </w:tcPr>
          <w:p w14:paraId="6C34EEE2" w14:textId="77777777" w:rsidR="00141B97" w:rsidRDefault="00141B97">
            <w:pPr>
              <w:pStyle w:val="TableParagraph"/>
              <w:rPr>
                <w:sz w:val="16"/>
              </w:rPr>
            </w:pPr>
          </w:p>
          <w:p w14:paraId="45BD40E6" w14:textId="77777777" w:rsidR="00141B97" w:rsidRDefault="00141B97">
            <w:pPr>
              <w:pStyle w:val="TableParagraph"/>
              <w:spacing w:before="11"/>
              <w:rPr>
                <w:sz w:val="15"/>
              </w:rPr>
            </w:pPr>
          </w:p>
          <w:p w14:paraId="086F8782" w14:textId="77777777" w:rsidR="00141B97" w:rsidRDefault="00911D63">
            <w:pPr>
              <w:pStyle w:val="TableParagraph"/>
              <w:ind w:left="119" w:right="127"/>
              <w:rPr>
                <w:sz w:val="16"/>
              </w:rPr>
            </w:pPr>
            <w:r>
              <w:rPr>
                <w:sz w:val="16"/>
              </w:rPr>
              <w:t>Replacement, rehabilitation, and</w:t>
            </w:r>
            <w:r>
              <w:rPr>
                <w:spacing w:val="40"/>
                <w:sz w:val="16"/>
              </w:rPr>
              <w:t xml:space="preserve"> </w:t>
            </w:r>
            <w:r>
              <w:rPr>
                <w:sz w:val="16"/>
              </w:rPr>
              <w:t>renewal</w:t>
            </w:r>
            <w:r>
              <w:rPr>
                <w:spacing w:val="-8"/>
                <w:sz w:val="16"/>
              </w:rPr>
              <w:t xml:space="preserve"> </w:t>
            </w:r>
            <w:r>
              <w:rPr>
                <w:sz w:val="16"/>
              </w:rPr>
              <w:t>of</w:t>
            </w:r>
            <w:r>
              <w:rPr>
                <w:spacing w:val="-8"/>
                <w:sz w:val="16"/>
              </w:rPr>
              <w:t xml:space="preserve"> </w:t>
            </w:r>
            <w:r>
              <w:rPr>
                <w:sz w:val="16"/>
              </w:rPr>
              <w:t>various</w:t>
            </w:r>
            <w:r>
              <w:rPr>
                <w:spacing w:val="-8"/>
                <w:sz w:val="16"/>
              </w:rPr>
              <w:t xml:space="preserve"> </w:t>
            </w:r>
            <w:r>
              <w:rPr>
                <w:sz w:val="16"/>
              </w:rPr>
              <w:t>water</w:t>
            </w:r>
            <w:r>
              <w:rPr>
                <w:spacing w:val="-8"/>
                <w:sz w:val="16"/>
              </w:rPr>
              <w:t xml:space="preserve"> </w:t>
            </w:r>
            <w:r>
              <w:rPr>
                <w:sz w:val="16"/>
              </w:rPr>
              <w:t>supply</w:t>
            </w:r>
            <w:r>
              <w:rPr>
                <w:spacing w:val="-8"/>
                <w:sz w:val="16"/>
              </w:rPr>
              <w:t xml:space="preserve"> </w:t>
            </w:r>
            <w:r>
              <w:rPr>
                <w:sz w:val="16"/>
              </w:rPr>
              <w:t>assets,</w:t>
            </w:r>
            <w:r>
              <w:rPr>
                <w:spacing w:val="40"/>
                <w:sz w:val="16"/>
              </w:rPr>
              <w:t xml:space="preserve"> </w:t>
            </w:r>
            <w:r>
              <w:rPr>
                <w:sz w:val="16"/>
              </w:rPr>
              <w:t>excluding water mains and auxiliary</w:t>
            </w:r>
            <w:r>
              <w:rPr>
                <w:spacing w:val="40"/>
                <w:sz w:val="16"/>
              </w:rPr>
              <w:t xml:space="preserve"> </w:t>
            </w:r>
            <w:r>
              <w:rPr>
                <w:sz w:val="16"/>
              </w:rPr>
              <w:t>assets covered in the Mains Renewal</w:t>
            </w:r>
            <w:r>
              <w:rPr>
                <w:spacing w:val="40"/>
                <w:sz w:val="16"/>
              </w:rPr>
              <w:t xml:space="preserve"> </w:t>
            </w:r>
            <w:r>
              <w:rPr>
                <w:spacing w:val="-2"/>
                <w:sz w:val="16"/>
              </w:rPr>
              <w:t>Program.</w:t>
            </w:r>
          </w:p>
        </w:tc>
        <w:tc>
          <w:tcPr>
            <w:tcW w:w="2133" w:type="dxa"/>
            <w:tcBorders>
              <w:top w:val="single" w:sz="4" w:space="0" w:color="FFFFFF"/>
              <w:bottom w:val="single" w:sz="4" w:space="0" w:color="FFFFFF"/>
            </w:tcBorders>
            <w:shd w:val="clear" w:color="auto" w:fill="CCE2ED"/>
          </w:tcPr>
          <w:p w14:paraId="39AE326F" w14:textId="77777777" w:rsidR="00141B97" w:rsidRDefault="00911D63">
            <w:pPr>
              <w:pStyle w:val="TableParagraph"/>
              <w:ind w:left="113" w:right="96"/>
              <w:rPr>
                <w:sz w:val="16"/>
              </w:rPr>
            </w:pPr>
            <w:r>
              <w:rPr>
                <w:sz w:val="16"/>
              </w:rPr>
              <w:t>Assets</w:t>
            </w:r>
            <w:r>
              <w:rPr>
                <w:spacing w:val="-10"/>
                <w:sz w:val="16"/>
              </w:rPr>
              <w:t xml:space="preserve"> </w:t>
            </w:r>
            <w:r>
              <w:rPr>
                <w:sz w:val="16"/>
              </w:rPr>
              <w:t>can</w:t>
            </w:r>
            <w:r>
              <w:rPr>
                <w:spacing w:val="-9"/>
                <w:sz w:val="16"/>
              </w:rPr>
              <w:t xml:space="preserve"> </w:t>
            </w:r>
            <w:r>
              <w:rPr>
                <w:sz w:val="16"/>
              </w:rPr>
              <w:t>deteriorate</w:t>
            </w:r>
            <w:r>
              <w:rPr>
                <w:spacing w:val="-9"/>
                <w:sz w:val="16"/>
              </w:rPr>
              <w:t xml:space="preserve"> </w:t>
            </w:r>
            <w:r>
              <w:rPr>
                <w:sz w:val="16"/>
              </w:rPr>
              <w:t>and/or</w:t>
            </w:r>
            <w:r>
              <w:rPr>
                <w:spacing w:val="40"/>
                <w:sz w:val="16"/>
              </w:rPr>
              <w:t xml:space="preserve"> </w:t>
            </w:r>
            <w:r>
              <w:rPr>
                <w:sz w:val="16"/>
              </w:rPr>
              <w:t>fail</w:t>
            </w:r>
            <w:r>
              <w:rPr>
                <w:spacing w:val="-4"/>
                <w:sz w:val="16"/>
              </w:rPr>
              <w:t xml:space="preserve"> </w:t>
            </w:r>
            <w:r>
              <w:rPr>
                <w:sz w:val="16"/>
              </w:rPr>
              <w:t>due</w:t>
            </w:r>
            <w:r>
              <w:rPr>
                <w:spacing w:val="-3"/>
                <w:sz w:val="16"/>
              </w:rPr>
              <w:t xml:space="preserve"> </w:t>
            </w:r>
            <w:r>
              <w:rPr>
                <w:sz w:val="16"/>
              </w:rPr>
              <w:t>to</w:t>
            </w:r>
            <w:r>
              <w:rPr>
                <w:spacing w:val="-3"/>
                <w:sz w:val="16"/>
              </w:rPr>
              <w:t xml:space="preserve"> </w:t>
            </w:r>
            <w:r>
              <w:rPr>
                <w:sz w:val="16"/>
              </w:rPr>
              <w:t>several</w:t>
            </w:r>
            <w:r>
              <w:rPr>
                <w:spacing w:val="-3"/>
                <w:sz w:val="16"/>
              </w:rPr>
              <w:t xml:space="preserve"> </w:t>
            </w:r>
            <w:r>
              <w:rPr>
                <w:sz w:val="16"/>
              </w:rPr>
              <w:t>known</w:t>
            </w:r>
            <w:r>
              <w:rPr>
                <w:spacing w:val="-4"/>
                <w:sz w:val="16"/>
              </w:rPr>
              <w:t xml:space="preserve"> </w:t>
            </w:r>
            <w:r>
              <w:rPr>
                <w:sz w:val="16"/>
              </w:rPr>
              <w:t>and</w:t>
            </w:r>
            <w:r>
              <w:rPr>
                <w:spacing w:val="40"/>
                <w:sz w:val="16"/>
              </w:rPr>
              <w:t xml:space="preserve"> </w:t>
            </w:r>
            <w:r>
              <w:rPr>
                <w:sz w:val="16"/>
              </w:rPr>
              <w:t>unknown factors. Minor</w:t>
            </w:r>
            <w:r>
              <w:rPr>
                <w:spacing w:val="40"/>
                <w:sz w:val="16"/>
              </w:rPr>
              <w:t xml:space="preserve"> </w:t>
            </w:r>
            <w:r>
              <w:rPr>
                <w:sz w:val="16"/>
              </w:rPr>
              <w:t>ongoing or discrete</w:t>
            </w:r>
            <w:r>
              <w:rPr>
                <w:spacing w:val="40"/>
                <w:sz w:val="16"/>
              </w:rPr>
              <w:t xml:space="preserve"> </w:t>
            </w:r>
            <w:r>
              <w:rPr>
                <w:sz w:val="16"/>
              </w:rPr>
              <w:t>investments necessary to</w:t>
            </w:r>
            <w:r>
              <w:rPr>
                <w:spacing w:val="40"/>
                <w:sz w:val="16"/>
              </w:rPr>
              <w:t xml:space="preserve"> </w:t>
            </w:r>
            <w:r>
              <w:rPr>
                <w:sz w:val="16"/>
              </w:rPr>
              <w:t>prevent</w:t>
            </w:r>
            <w:r>
              <w:rPr>
                <w:spacing w:val="-7"/>
                <w:sz w:val="16"/>
              </w:rPr>
              <w:t xml:space="preserve"> </w:t>
            </w:r>
            <w:r>
              <w:rPr>
                <w:sz w:val="16"/>
              </w:rPr>
              <w:t>deterioration,</w:t>
            </w:r>
            <w:r>
              <w:rPr>
                <w:spacing w:val="40"/>
                <w:sz w:val="16"/>
              </w:rPr>
              <w:t xml:space="preserve"> </w:t>
            </w:r>
            <w:r>
              <w:rPr>
                <w:sz w:val="16"/>
              </w:rPr>
              <w:t>improve asset life and</w:t>
            </w:r>
            <w:r>
              <w:rPr>
                <w:spacing w:val="40"/>
                <w:sz w:val="16"/>
              </w:rPr>
              <w:t xml:space="preserve"> </w:t>
            </w:r>
            <w:r>
              <w:rPr>
                <w:sz w:val="16"/>
              </w:rPr>
              <w:t>mitigate service delivery and</w:t>
            </w:r>
          </w:p>
          <w:p w14:paraId="6AD1AC9B" w14:textId="77777777" w:rsidR="00141B97" w:rsidRDefault="00911D63">
            <w:pPr>
              <w:pStyle w:val="TableParagraph"/>
              <w:spacing w:line="175" w:lineRule="exact"/>
              <w:ind w:left="113"/>
              <w:rPr>
                <w:sz w:val="16"/>
              </w:rPr>
            </w:pPr>
            <w:r>
              <w:rPr>
                <w:spacing w:val="-2"/>
                <w:sz w:val="16"/>
              </w:rPr>
              <w:t>operational</w:t>
            </w:r>
            <w:r>
              <w:rPr>
                <w:spacing w:val="7"/>
                <w:sz w:val="16"/>
              </w:rPr>
              <w:t xml:space="preserve"> </w:t>
            </w:r>
            <w:r>
              <w:rPr>
                <w:spacing w:val="-2"/>
                <w:sz w:val="16"/>
              </w:rPr>
              <w:t>risks.</w:t>
            </w:r>
          </w:p>
        </w:tc>
      </w:tr>
      <w:tr w:rsidR="00141B97" w14:paraId="63D4465A" w14:textId="77777777">
        <w:trPr>
          <w:trHeight w:val="976"/>
        </w:trPr>
        <w:tc>
          <w:tcPr>
            <w:tcW w:w="2567" w:type="dxa"/>
            <w:tcBorders>
              <w:top w:val="single" w:sz="4" w:space="0" w:color="FFFFFF"/>
              <w:bottom w:val="single" w:sz="4" w:space="0" w:color="FFFFFF"/>
            </w:tcBorders>
            <w:shd w:val="clear" w:color="auto" w:fill="CCE2ED"/>
          </w:tcPr>
          <w:p w14:paraId="531A9872" w14:textId="77777777" w:rsidR="00141B97" w:rsidRDefault="00141B97">
            <w:pPr>
              <w:pStyle w:val="TableParagraph"/>
              <w:rPr>
                <w:sz w:val="16"/>
              </w:rPr>
            </w:pPr>
          </w:p>
          <w:p w14:paraId="3E573BDC" w14:textId="77777777" w:rsidR="00141B97" w:rsidRDefault="00141B97">
            <w:pPr>
              <w:pStyle w:val="TableParagraph"/>
              <w:spacing w:before="11"/>
              <w:rPr>
                <w:sz w:val="15"/>
              </w:rPr>
            </w:pPr>
          </w:p>
          <w:p w14:paraId="33A036B9" w14:textId="77777777" w:rsidR="00141B97" w:rsidRDefault="00911D63">
            <w:pPr>
              <w:pStyle w:val="TableParagraph"/>
              <w:ind w:left="101"/>
              <w:rPr>
                <w:sz w:val="16"/>
              </w:rPr>
            </w:pPr>
            <w:r>
              <w:rPr>
                <w:sz w:val="16"/>
              </w:rPr>
              <w:t>Minor</w:t>
            </w:r>
            <w:r>
              <w:rPr>
                <w:spacing w:val="-5"/>
                <w:sz w:val="16"/>
              </w:rPr>
              <w:t xml:space="preserve"> </w:t>
            </w:r>
            <w:r>
              <w:rPr>
                <w:sz w:val="16"/>
              </w:rPr>
              <w:t>capex</w:t>
            </w:r>
            <w:r>
              <w:rPr>
                <w:spacing w:val="-3"/>
                <w:sz w:val="16"/>
              </w:rPr>
              <w:t xml:space="preserve"> </w:t>
            </w:r>
            <w:r>
              <w:rPr>
                <w:sz w:val="16"/>
              </w:rPr>
              <w:t>‐</w:t>
            </w:r>
            <w:r>
              <w:rPr>
                <w:spacing w:val="-5"/>
                <w:sz w:val="16"/>
              </w:rPr>
              <w:t xml:space="preserve"> </w:t>
            </w:r>
            <w:r>
              <w:rPr>
                <w:spacing w:val="-2"/>
                <w:sz w:val="16"/>
              </w:rPr>
              <w:t>Sewer</w:t>
            </w:r>
          </w:p>
        </w:tc>
        <w:tc>
          <w:tcPr>
            <w:tcW w:w="1261" w:type="dxa"/>
            <w:tcBorders>
              <w:top w:val="single" w:sz="4" w:space="0" w:color="FFFFFF"/>
              <w:bottom w:val="single" w:sz="4" w:space="0" w:color="FFFFFF"/>
            </w:tcBorders>
            <w:shd w:val="clear" w:color="auto" w:fill="CCE2ED"/>
          </w:tcPr>
          <w:p w14:paraId="24601BD8" w14:textId="77777777" w:rsidR="00141B97" w:rsidRDefault="00141B97">
            <w:pPr>
              <w:pStyle w:val="TableParagraph"/>
              <w:rPr>
                <w:sz w:val="16"/>
              </w:rPr>
            </w:pPr>
          </w:p>
          <w:p w14:paraId="1618EFA2" w14:textId="77777777" w:rsidR="00141B97" w:rsidRDefault="00141B97">
            <w:pPr>
              <w:pStyle w:val="TableParagraph"/>
              <w:spacing w:before="11"/>
              <w:rPr>
                <w:sz w:val="15"/>
              </w:rPr>
            </w:pPr>
          </w:p>
          <w:p w14:paraId="55ADDC3D" w14:textId="77777777" w:rsidR="00141B97" w:rsidRDefault="00911D63">
            <w:pPr>
              <w:pStyle w:val="TableParagraph"/>
              <w:ind w:left="252" w:right="183"/>
              <w:jc w:val="center"/>
              <w:rPr>
                <w:sz w:val="16"/>
              </w:rPr>
            </w:pPr>
            <w:r>
              <w:rPr>
                <w:spacing w:val="-5"/>
                <w:sz w:val="16"/>
              </w:rPr>
              <w:t>3.8</w:t>
            </w:r>
          </w:p>
        </w:tc>
        <w:tc>
          <w:tcPr>
            <w:tcW w:w="1415" w:type="dxa"/>
            <w:tcBorders>
              <w:top w:val="single" w:sz="4" w:space="0" w:color="FFFFFF"/>
              <w:bottom w:val="single" w:sz="4" w:space="0" w:color="FFFFFF"/>
            </w:tcBorders>
            <w:shd w:val="clear" w:color="auto" w:fill="CCE2ED"/>
          </w:tcPr>
          <w:p w14:paraId="09E6E775" w14:textId="77777777" w:rsidR="00141B97" w:rsidRDefault="00141B97">
            <w:pPr>
              <w:pStyle w:val="TableParagraph"/>
              <w:rPr>
                <w:sz w:val="16"/>
              </w:rPr>
            </w:pPr>
          </w:p>
          <w:p w14:paraId="7A4A1811" w14:textId="77777777" w:rsidR="00141B97" w:rsidRDefault="00141B97">
            <w:pPr>
              <w:pStyle w:val="TableParagraph"/>
              <w:spacing w:before="11"/>
              <w:rPr>
                <w:sz w:val="15"/>
              </w:rPr>
            </w:pPr>
          </w:p>
          <w:p w14:paraId="078A3698" w14:textId="77777777" w:rsidR="00141B97" w:rsidRDefault="00911D63">
            <w:pPr>
              <w:pStyle w:val="TableParagraph"/>
              <w:ind w:left="139"/>
              <w:rPr>
                <w:sz w:val="16"/>
              </w:rPr>
            </w:pPr>
            <w:r>
              <w:rPr>
                <w:spacing w:val="-2"/>
                <w:sz w:val="16"/>
              </w:rPr>
              <w:t>Sewerage</w:t>
            </w:r>
          </w:p>
        </w:tc>
        <w:tc>
          <w:tcPr>
            <w:tcW w:w="1799" w:type="dxa"/>
            <w:tcBorders>
              <w:top w:val="single" w:sz="4" w:space="0" w:color="FFFFFF"/>
              <w:bottom w:val="single" w:sz="4" w:space="0" w:color="FFFFFF"/>
            </w:tcBorders>
            <w:shd w:val="clear" w:color="auto" w:fill="CCE2ED"/>
          </w:tcPr>
          <w:p w14:paraId="5C5D26C8" w14:textId="77777777" w:rsidR="00141B97" w:rsidRDefault="00141B97">
            <w:pPr>
              <w:pStyle w:val="TableParagraph"/>
              <w:spacing w:before="11"/>
              <w:rPr>
                <w:sz w:val="23"/>
              </w:rPr>
            </w:pPr>
          </w:p>
          <w:p w14:paraId="7CA59E05" w14:textId="77777777" w:rsidR="00141B97" w:rsidRDefault="00911D63">
            <w:pPr>
              <w:pStyle w:val="TableParagraph"/>
              <w:spacing w:before="1"/>
              <w:ind w:left="203" w:right="551"/>
              <w:rPr>
                <w:sz w:val="16"/>
              </w:rPr>
            </w:pPr>
            <w:r>
              <w:rPr>
                <w:sz w:val="16"/>
              </w:rPr>
              <w:t>Renewals</w:t>
            </w:r>
            <w:r>
              <w:rPr>
                <w:spacing w:val="-5"/>
                <w:sz w:val="16"/>
              </w:rPr>
              <w:t xml:space="preserve"> </w:t>
            </w:r>
            <w:r>
              <w:rPr>
                <w:sz w:val="16"/>
              </w:rPr>
              <w:t>&amp;</w:t>
            </w:r>
            <w:r>
              <w:rPr>
                <w:spacing w:val="40"/>
                <w:sz w:val="16"/>
              </w:rPr>
              <w:t xml:space="preserve"> </w:t>
            </w:r>
            <w:r>
              <w:rPr>
                <w:spacing w:val="-2"/>
                <w:sz w:val="16"/>
              </w:rPr>
              <w:t>Improvement</w:t>
            </w:r>
          </w:p>
        </w:tc>
        <w:tc>
          <w:tcPr>
            <w:tcW w:w="1624" w:type="dxa"/>
            <w:tcBorders>
              <w:top w:val="single" w:sz="4" w:space="0" w:color="FFFFFF"/>
              <w:bottom w:val="single" w:sz="4" w:space="0" w:color="FFFFFF"/>
            </w:tcBorders>
            <w:shd w:val="clear" w:color="auto" w:fill="CCE2ED"/>
          </w:tcPr>
          <w:p w14:paraId="78AC1E13" w14:textId="77777777" w:rsidR="00141B97" w:rsidRDefault="00141B97">
            <w:pPr>
              <w:pStyle w:val="TableParagraph"/>
              <w:rPr>
                <w:sz w:val="16"/>
              </w:rPr>
            </w:pPr>
          </w:p>
          <w:p w14:paraId="7E0AAD45" w14:textId="77777777" w:rsidR="00141B97" w:rsidRDefault="00911D63">
            <w:pPr>
              <w:pStyle w:val="TableParagraph"/>
              <w:ind w:left="288" w:right="130"/>
              <w:rPr>
                <w:sz w:val="16"/>
              </w:rPr>
            </w:pPr>
            <w:r>
              <w:rPr>
                <w:sz w:val="16"/>
              </w:rPr>
              <w:t>Provide</w:t>
            </w:r>
            <w:r>
              <w:rPr>
                <w:spacing w:val="-10"/>
                <w:sz w:val="16"/>
              </w:rPr>
              <w:t xml:space="preserve"> </w:t>
            </w:r>
            <w:r>
              <w:rPr>
                <w:sz w:val="16"/>
              </w:rPr>
              <w:t>customers</w:t>
            </w:r>
            <w:r>
              <w:rPr>
                <w:spacing w:val="40"/>
                <w:sz w:val="16"/>
              </w:rPr>
              <w:t xml:space="preserve"> </w:t>
            </w:r>
            <w:r>
              <w:rPr>
                <w:sz w:val="16"/>
              </w:rPr>
              <w:t>reliable</w:t>
            </w:r>
            <w:r>
              <w:rPr>
                <w:spacing w:val="-3"/>
                <w:sz w:val="16"/>
              </w:rPr>
              <w:t xml:space="preserve"> </w:t>
            </w:r>
            <w:r>
              <w:rPr>
                <w:sz w:val="16"/>
              </w:rPr>
              <w:t>sewerage</w:t>
            </w:r>
            <w:r>
              <w:rPr>
                <w:spacing w:val="40"/>
                <w:sz w:val="16"/>
              </w:rPr>
              <w:t xml:space="preserve"> </w:t>
            </w:r>
            <w:r>
              <w:rPr>
                <w:spacing w:val="-2"/>
                <w:sz w:val="16"/>
              </w:rPr>
              <w:t>services.</w:t>
            </w:r>
          </w:p>
        </w:tc>
        <w:tc>
          <w:tcPr>
            <w:tcW w:w="2031" w:type="dxa"/>
            <w:tcBorders>
              <w:top w:val="single" w:sz="4" w:space="0" w:color="FFFFFF"/>
              <w:bottom w:val="single" w:sz="4" w:space="0" w:color="FFFFFF"/>
            </w:tcBorders>
            <w:shd w:val="clear" w:color="auto" w:fill="CCE2ED"/>
          </w:tcPr>
          <w:p w14:paraId="7AA61F55" w14:textId="77777777" w:rsidR="00141B97" w:rsidRDefault="00911D63">
            <w:pPr>
              <w:pStyle w:val="TableParagraph"/>
              <w:spacing w:before="97"/>
              <w:ind w:left="110" w:right="92"/>
              <w:rPr>
                <w:sz w:val="16"/>
              </w:rPr>
            </w:pPr>
            <w:r>
              <w:rPr>
                <w:sz w:val="16"/>
              </w:rPr>
              <w:t>Maintain</w:t>
            </w:r>
            <w:r>
              <w:rPr>
                <w:spacing w:val="-10"/>
                <w:sz w:val="16"/>
              </w:rPr>
              <w:t xml:space="preserve"> </w:t>
            </w:r>
            <w:r>
              <w:rPr>
                <w:sz w:val="16"/>
              </w:rPr>
              <w:t>agreed</w:t>
            </w:r>
            <w:r>
              <w:rPr>
                <w:spacing w:val="-9"/>
                <w:sz w:val="16"/>
              </w:rPr>
              <w:t xml:space="preserve"> </w:t>
            </w:r>
            <w:r>
              <w:rPr>
                <w:sz w:val="16"/>
              </w:rPr>
              <w:t>level</w:t>
            </w:r>
            <w:r>
              <w:rPr>
                <w:spacing w:val="-9"/>
                <w:sz w:val="16"/>
              </w:rPr>
              <w:t xml:space="preserve"> </w:t>
            </w:r>
            <w:r>
              <w:rPr>
                <w:sz w:val="16"/>
              </w:rPr>
              <w:t>of</w:t>
            </w:r>
            <w:r>
              <w:rPr>
                <w:spacing w:val="40"/>
                <w:sz w:val="16"/>
              </w:rPr>
              <w:t xml:space="preserve"> </w:t>
            </w:r>
            <w:r>
              <w:rPr>
                <w:sz w:val="16"/>
              </w:rPr>
              <w:t>service and to mitigate</w:t>
            </w:r>
            <w:r>
              <w:rPr>
                <w:spacing w:val="40"/>
                <w:sz w:val="16"/>
              </w:rPr>
              <w:t xml:space="preserve"> </w:t>
            </w:r>
            <w:r>
              <w:rPr>
                <w:sz w:val="16"/>
              </w:rPr>
              <w:t>service delivery and</w:t>
            </w:r>
            <w:r>
              <w:rPr>
                <w:spacing w:val="40"/>
                <w:sz w:val="16"/>
              </w:rPr>
              <w:t xml:space="preserve"> </w:t>
            </w:r>
            <w:r>
              <w:rPr>
                <w:sz w:val="16"/>
              </w:rPr>
              <w:t>operational</w:t>
            </w:r>
            <w:r>
              <w:rPr>
                <w:spacing w:val="-7"/>
                <w:sz w:val="16"/>
              </w:rPr>
              <w:t xml:space="preserve"> </w:t>
            </w:r>
            <w:r>
              <w:rPr>
                <w:sz w:val="16"/>
              </w:rPr>
              <w:t>risks.</w:t>
            </w:r>
          </w:p>
        </w:tc>
        <w:tc>
          <w:tcPr>
            <w:tcW w:w="2848" w:type="dxa"/>
            <w:tcBorders>
              <w:top w:val="single" w:sz="4" w:space="0" w:color="FFFFFF"/>
              <w:bottom w:val="single" w:sz="4" w:space="0" w:color="FFFFFF"/>
            </w:tcBorders>
            <w:shd w:val="clear" w:color="auto" w:fill="CCE2ED"/>
          </w:tcPr>
          <w:p w14:paraId="520CF60A" w14:textId="77777777" w:rsidR="00141B97" w:rsidRDefault="00911D63">
            <w:pPr>
              <w:pStyle w:val="TableParagraph"/>
              <w:ind w:left="119" w:right="127"/>
              <w:rPr>
                <w:sz w:val="16"/>
              </w:rPr>
            </w:pPr>
            <w:r>
              <w:rPr>
                <w:sz w:val="16"/>
              </w:rPr>
              <w:t>Replacement, rehabilitation, and</w:t>
            </w:r>
            <w:r>
              <w:rPr>
                <w:spacing w:val="40"/>
                <w:sz w:val="16"/>
              </w:rPr>
              <w:t xml:space="preserve"> </w:t>
            </w:r>
            <w:r>
              <w:rPr>
                <w:sz w:val="16"/>
              </w:rPr>
              <w:t>renewal of various sewerage assets,</w:t>
            </w:r>
            <w:r>
              <w:rPr>
                <w:spacing w:val="40"/>
                <w:sz w:val="16"/>
              </w:rPr>
              <w:t xml:space="preserve"> </w:t>
            </w:r>
            <w:r>
              <w:rPr>
                <w:sz w:val="16"/>
              </w:rPr>
              <w:t>excluding sewer mains and auxiliary</w:t>
            </w:r>
            <w:r>
              <w:rPr>
                <w:spacing w:val="40"/>
                <w:sz w:val="16"/>
              </w:rPr>
              <w:t xml:space="preserve"> </w:t>
            </w:r>
            <w:r>
              <w:rPr>
                <w:sz w:val="16"/>
              </w:rPr>
              <w:t>assets</w:t>
            </w:r>
            <w:r>
              <w:rPr>
                <w:spacing w:val="-8"/>
                <w:sz w:val="16"/>
              </w:rPr>
              <w:t xml:space="preserve"> </w:t>
            </w:r>
            <w:r>
              <w:rPr>
                <w:sz w:val="16"/>
              </w:rPr>
              <w:t>covered</w:t>
            </w:r>
            <w:r>
              <w:rPr>
                <w:spacing w:val="-8"/>
                <w:sz w:val="16"/>
              </w:rPr>
              <w:t xml:space="preserve"> </w:t>
            </w:r>
            <w:r>
              <w:rPr>
                <w:sz w:val="16"/>
              </w:rPr>
              <w:t>in</w:t>
            </w:r>
            <w:r>
              <w:rPr>
                <w:spacing w:val="-8"/>
                <w:sz w:val="16"/>
              </w:rPr>
              <w:t xml:space="preserve"> </w:t>
            </w:r>
            <w:r>
              <w:rPr>
                <w:sz w:val="16"/>
              </w:rPr>
              <w:t>the</w:t>
            </w:r>
            <w:r>
              <w:rPr>
                <w:spacing w:val="-8"/>
                <w:sz w:val="16"/>
              </w:rPr>
              <w:t xml:space="preserve"> </w:t>
            </w:r>
            <w:r>
              <w:rPr>
                <w:sz w:val="16"/>
              </w:rPr>
              <w:t>Mains</w:t>
            </w:r>
            <w:r>
              <w:rPr>
                <w:spacing w:val="-8"/>
                <w:sz w:val="16"/>
              </w:rPr>
              <w:t xml:space="preserve"> </w:t>
            </w:r>
            <w:r>
              <w:rPr>
                <w:sz w:val="16"/>
              </w:rPr>
              <w:t>Renewal</w:t>
            </w:r>
          </w:p>
          <w:p w14:paraId="5647C8B4" w14:textId="77777777" w:rsidR="00141B97" w:rsidRDefault="00911D63">
            <w:pPr>
              <w:pStyle w:val="TableParagraph"/>
              <w:spacing w:line="175" w:lineRule="exact"/>
              <w:ind w:left="119"/>
              <w:rPr>
                <w:sz w:val="16"/>
              </w:rPr>
            </w:pPr>
            <w:r>
              <w:rPr>
                <w:spacing w:val="-2"/>
                <w:sz w:val="16"/>
              </w:rPr>
              <w:t>Program.</w:t>
            </w:r>
          </w:p>
        </w:tc>
        <w:tc>
          <w:tcPr>
            <w:tcW w:w="2133" w:type="dxa"/>
            <w:tcBorders>
              <w:top w:val="single" w:sz="4" w:space="0" w:color="FFFFFF"/>
              <w:bottom w:val="single" w:sz="4" w:space="0" w:color="FFFFFF"/>
            </w:tcBorders>
            <w:shd w:val="clear" w:color="auto" w:fill="CCE2ED"/>
          </w:tcPr>
          <w:p w14:paraId="1AEB90E3" w14:textId="77777777" w:rsidR="00141B97" w:rsidRDefault="00141B97">
            <w:pPr>
              <w:pStyle w:val="TableParagraph"/>
              <w:rPr>
                <w:sz w:val="16"/>
              </w:rPr>
            </w:pPr>
          </w:p>
          <w:p w14:paraId="5A2212BB" w14:textId="77777777" w:rsidR="00141B97" w:rsidRDefault="00141B97">
            <w:pPr>
              <w:pStyle w:val="TableParagraph"/>
              <w:spacing w:before="11"/>
              <w:rPr>
                <w:sz w:val="15"/>
              </w:rPr>
            </w:pPr>
          </w:p>
          <w:p w14:paraId="68356799" w14:textId="77777777" w:rsidR="00141B97" w:rsidRDefault="00911D63">
            <w:pPr>
              <w:pStyle w:val="TableParagraph"/>
              <w:ind w:left="113"/>
              <w:rPr>
                <w:sz w:val="16"/>
              </w:rPr>
            </w:pPr>
            <w:r>
              <w:rPr>
                <w:sz w:val="16"/>
              </w:rPr>
              <w:t>Same</w:t>
            </w:r>
            <w:r>
              <w:rPr>
                <w:spacing w:val="-3"/>
                <w:sz w:val="16"/>
              </w:rPr>
              <w:t xml:space="preserve"> </w:t>
            </w:r>
            <w:r>
              <w:rPr>
                <w:sz w:val="16"/>
              </w:rPr>
              <w:t>as</w:t>
            </w:r>
            <w:r>
              <w:rPr>
                <w:spacing w:val="-3"/>
                <w:sz w:val="16"/>
              </w:rPr>
              <w:t xml:space="preserve"> </w:t>
            </w:r>
            <w:r>
              <w:rPr>
                <w:spacing w:val="-2"/>
                <w:sz w:val="16"/>
              </w:rPr>
              <w:t>above</w:t>
            </w:r>
          </w:p>
        </w:tc>
      </w:tr>
      <w:tr w:rsidR="00141B97" w14:paraId="34B7499D" w14:textId="77777777">
        <w:trPr>
          <w:trHeight w:val="210"/>
        </w:trPr>
        <w:tc>
          <w:tcPr>
            <w:tcW w:w="2567" w:type="dxa"/>
            <w:tcBorders>
              <w:top w:val="single" w:sz="4" w:space="0" w:color="FFFFFF"/>
            </w:tcBorders>
            <w:shd w:val="clear" w:color="auto" w:fill="CCE2ED"/>
          </w:tcPr>
          <w:p w14:paraId="619BC881" w14:textId="77777777" w:rsidR="00141B97" w:rsidRDefault="00141B97">
            <w:pPr>
              <w:pStyle w:val="TableParagraph"/>
              <w:rPr>
                <w:rFonts w:ascii="Times New Roman"/>
                <w:sz w:val="14"/>
              </w:rPr>
            </w:pPr>
          </w:p>
        </w:tc>
        <w:tc>
          <w:tcPr>
            <w:tcW w:w="1261" w:type="dxa"/>
            <w:tcBorders>
              <w:top w:val="single" w:sz="4" w:space="0" w:color="FFFFFF"/>
            </w:tcBorders>
            <w:shd w:val="clear" w:color="auto" w:fill="CCE2ED"/>
          </w:tcPr>
          <w:p w14:paraId="3067E697" w14:textId="77777777" w:rsidR="00141B97" w:rsidRDefault="00141B97">
            <w:pPr>
              <w:pStyle w:val="TableParagraph"/>
              <w:rPr>
                <w:rFonts w:ascii="Times New Roman"/>
                <w:sz w:val="14"/>
              </w:rPr>
            </w:pPr>
          </w:p>
        </w:tc>
        <w:tc>
          <w:tcPr>
            <w:tcW w:w="1415" w:type="dxa"/>
            <w:tcBorders>
              <w:top w:val="single" w:sz="4" w:space="0" w:color="FFFFFF"/>
            </w:tcBorders>
            <w:shd w:val="clear" w:color="auto" w:fill="CCE2ED"/>
          </w:tcPr>
          <w:p w14:paraId="1D05EDA6" w14:textId="77777777" w:rsidR="00141B97" w:rsidRDefault="00141B97">
            <w:pPr>
              <w:pStyle w:val="TableParagraph"/>
              <w:rPr>
                <w:rFonts w:ascii="Times New Roman"/>
                <w:sz w:val="14"/>
              </w:rPr>
            </w:pPr>
          </w:p>
        </w:tc>
        <w:tc>
          <w:tcPr>
            <w:tcW w:w="1799" w:type="dxa"/>
            <w:tcBorders>
              <w:top w:val="single" w:sz="4" w:space="0" w:color="FFFFFF"/>
            </w:tcBorders>
            <w:shd w:val="clear" w:color="auto" w:fill="CCE2ED"/>
          </w:tcPr>
          <w:p w14:paraId="077AB507" w14:textId="77777777" w:rsidR="00141B97" w:rsidRDefault="00141B97">
            <w:pPr>
              <w:pStyle w:val="TableParagraph"/>
              <w:rPr>
                <w:rFonts w:ascii="Times New Roman"/>
                <w:sz w:val="14"/>
              </w:rPr>
            </w:pPr>
          </w:p>
        </w:tc>
        <w:tc>
          <w:tcPr>
            <w:tcW w:w="1624" w:type="dxa"/>
            <w:tcBorders>
              <w:top w:val="single" w:sz="4" w:space="0" w:color="FFFFFF"/>
            </w:tcBorders>
            <w:shd w:val="clear" w:color="auto" w:fill="CCE2ED"/>
          </w:tcPr>
          <w:p w14:paraId="097F781B" w14:textId="77777777" w:rsidR="00141B97" w:rsidRDefault="00141B97">
            <w:pPr>
              <w:pStyle w:val="TableParagraph"/>
              <w:rPr>
                <w:rFonts w:ascii="Times New Roman"/>
                <w:sz w:val="14"/>
              </w:rPr>
            </w:pPr>
          </w:p>
        </w:tc>
        <w:tc>
          <w:tcPr>
            <w:tcW w:w="2031" w:type="dxa"/>
            <w:tcBorders>
              <w:top w:val="single" w:sz="4" w:space="0" w:color="FFFFFF"/>
            </w:tcBorders>
            <w:shd w:val="clear" w:color="auto" w:fill="CCE2ED"/>
          </w:tcPr>
          <w:p w14:paraId="7A2F5DE0" w14:textId="77777777" w:rsidR="00141B97" w:rsidRDefault="00911D63">
            <w:pPr>
              <w:pStyle w:val="TableParagraph"/>
              <w:spacing w:line="190" w:lineRule="exact"/>
              <w:ind w:left="110"/>
              <w:rPr>
                <w:sz w:val="16"/>
              </w:rPr>
            </w:pPr>
            <w:r>
              <w:rPr>
                <w:sz w:val="16"/>
              </w:rPr>
              <w:t>Maintain</w:t>
            </w:r>
            <w:r>
              <w:rPr>
                <w:spacing w:val="-9"/>
                <w:sz w:val="16"/>
              </w:rPr>
              <w:t xml:space="preserve"> </w:t>
            </w:r>
            <w:r>
              <w:rPr>
                <w:sz w:val="16"/>
              </w:rPr>
              <w:t>ICT</w:t>
            </w:r>
            <w:r>
              <w:rPr>
                <w:spacing w:val="-9"/>
                <w:sz w:val="16"/>
              </w:rPr>
              <w:t xml:space="preserve"> </w:t>
            </w:r>
            <w:r>
              <w:rPr>
                <w:sz w:val="16"/>
              </w:rPr>
              <w:t>equipment</w:t>
            </w:r>
            <w:r>
              <w:rPr>
                <w:spacing w:val="-9"/>
                <w:sz w:val="16"/>
              </w:rPr>
              <w:t xml:space="preserve"> </w:t>
            </w:r>
            <w:r>
              <w:rPr>
                <w:spacing w:val="-5"/>
                <w:sz w:val="16"/>
              </w:rPr>
              <w:t>to</w:t>
            </w:r>
          </w:p>
        </w:tc>
        <w:tc>
          <w:tcPr>
            <w:tcW w:w="2848" w:type="dxa"/>
            <w:tcBorders>
              <w:top w:val="single" w:sz="4" w:space="0" w:color="FFFFFF"/>
            </w:tcBorders>
            <w:shd w:val="clear" w:color="auto" w:fill="CCE2ED"/>
          </w:tcPr>
          <w:p w14:paraId="063151D1" w14:textId="77777777" w:rsidR="00141B97" w:rsidRDefault="00911D63">
            <w:pPr>
              <w:pStyle w:val="TableParagraph"/>
              <w:spacing w:line="190" w:lineRule="exact"/>
              <w:ind w:left="119"/>
              <w:rPr>
                <w:sz w:val="16"/>
              </w:rPr>
            </w:pPr>
            <w:r>
              <w:rPr>
                <w:sz w:val="16"/>
              </w:rPr>
              <w:t>End</w:t>
            </w:r>
            <w:r>
              <w:rPr>
                <w:spacing w:val="-6"/>
                <w:sz w:val="16"/>
              </w:rPr>
              <w:t xml:space="preserve"> </w:t>
            </w:r>
            <w:r>
              <w:rPr>
                <w:sz w:val="16"/>
              </w:rPr>
              <w:t>of</w:t>
            </w:r>
            <w:r>
              <w:rPr>
                <w:spacing w:val="-3"/>
                <w:sz w:val="16"/>
              </w:rPr>
              <w:t xml:space="preserve"> </w:t>
            </w:r>
            <w:r>
              <w:rPr>
                <w:sz w:val="16"/>
              </w:rPr>
              <w:t>life</w:t>
            </w:r>
            <w:r>
              <w:rPr>
                <w:spacing w:val="-5"/>
                <w:sz w:val="16"/>
              </w:rPr>
              <w:t xml:space="preserve"> </w:t>
            </w:r>
            <w:r>
              <w:rPr>
                <w:sz w:val="16"/>
              </w:rPr>
              <w:t>replacement</w:t>
            </w:r>
            <w:r>
              <w:rPr>
                <w:spacing w:val="-5"/>
                <w:sz w:val="16"/>
              </w:rPr>
              <w:t xml:space="preserve"> </w:t>
            </w:r>
            <w:r>
              <w:rPr>
                <w:sz w:val="16"/>
              </w:rPr>
              <w:t>of</w:t>
            </w:r>
            <w:r>
              <w:rPr>
                <w:spacing w:val="-5"/>
                <w:sz w:val="16"/>
              </w:rPr>
              <w:t xml:space="preserve"> ICT</w:t>
            </w:r>
          </w:p>
        </w:tc>
        <w:tc>
          <w:tcPr>
            <w:tcW w:w="2133" w:type="dxa"/>
            <w:tcBorders>
              <w:top w:val="single" w:sz="4" w:space="0" w:color="FFFFFF"/>
            </w:tcBorders>
            <w:shd w:val="clear" w:color="auto" w:fill="CCE2ED"/>
          </w:tcPr>
          <w:p w14:paraId="2D1C60B8" w14:textId="77777777" w:rsidR="00141B97" w:rsidRDefault="00911D63">
            <w:pPr>
              <w:pStyle w:val="TableParagraph"/>
              <w:spacing w:line="190" w:lineRule="exact"/>
              <w:ind w:left="113"/>
              <w:rPr>
                <w:sz w:val="16"/>
              </w:rPr>
            </w:pPr>
            <w:r>
              <w:rPr>
                <w:sz w:val="16"/>
              </w:rPr>
              <w:t>Economic</w:t>
            </w:r>
            <w:r>
              <w:rPr>
                <w:spacing w:val="-8"/>
                <w:sz w:val="16"/>
              </w:rPr>
              <w:t xml:space="preserve"> </w:t>
            </w:r>
            <w:r>
              <w:rPr>
                <w:sz w:val="16"/>
              </w:rPr>
              <w:t>replacement</w:t>
            </w:r>
            <w:r>
              <w:rPr>
                <w:spacing w:val="-8"/>
                <w:sz w:val="16"/>
              </w:rPr>
              <w:t xml:space="preserve"> </w:t>
            </w:r>
            <w:r>
              <w:rPr>
                <w:sz w:val="16"/>
              </w:rPr>
              <w:t>of</w:t>
            </w:r>
            <w:r>
              <w:rPr>
                <w:spacing w:val="-7"/>
                <w:sz w:val="16"/>
              </w:rPr>
              <w:t xml:space="preserve"> </w:t>
            </w:r>
            <w:r>
              <w:rPr>
                <w:spacing w:val="-5"/>
                <w:sz w:val="16"/>
              </w:rPr>
              <w:t>ICT</w:t>
            </w:r>
          </w:p>
        </w:tc>
      </w:tr>
      <w:tr w:rsidR="00141B97" w14:paraId="55F99D5F" w14:textId="77777777">
        <w:trPr>
          <w:trHeight w:val="195"/>
        </w:trPr>
        <w:tc>
          <w:tcPr>
            <w:tcW w:w="2567" w:type="dxa"/>
            <w:shd w:val="clear" w:color="auto" w:fill="CCE2ED"/>
          </w:tcPr>
          <w:p w14:paraId="768FCC8C" w14:textId="77777777" w:rsidR="00141B97" w:rsidRDefault="00141B97">
            <w:pPr>
              <w:pStyle w:val="TableParagraph"/>
              <w:rPr>
                <w:rFonts w:ascii="Times New Roman"/>
                <w:sz w:val="12"/>
              </w:rPr>
            </w:pPr>
          </w:p>
        </w:tc>
        <w:tc>
          <w:tcPr>
            <w:tcW w:w="1261" w:type="dxa"/>
            <w:shd w:val="clear" w:color="auto" w:fill="CCE2ED"/>
          </w:tcPr>
          <w:p w14:paraId="05A6FFC3" w14:textId="77777777" w:rsidR="00141B97" w:rsidRDefault="00141B97">
            <w:pPr>
              <w:pStyle w:val="TableParagraph"/>
              <w:rPr>
                <w:rFonts w:ascii="Times New Roman"/>
                <w:sz w:val="12"/>
              </w:rPr>
            </w:pPr>
          </w:p>
        </w:tc>
        <w:tc>
          <w:tcPr>
            <w:tcW w:w="1415" w:type="dxa"/>
            <w:shd w:val="clear" w:color="auto" w:fill="CCE2ED"/>
          </w:tcPr>
          <w:p w14:paraId="72AE9AB4" w14:textId="77777777" w:rsidR="00141B97" w:rsidRDefault="00141B97">
            <w:pPr>
              <w:pStyle w:val="TableParagraph"/>
              <w:rPr>
                <w:rFonts w:ascii="Times New Roman"/>
                <w:sz w:val="12"/>
              </w:rPr>
            </w:pPr>
          </w:p>
        </w:tc>
        <w:tc>
          <w:tcPr>
            <w:tcW w:w="1799" w:type="dxa"/>
            <w:shd w:val="clear" w:color="auto" w:fill="CCE2ED"/>
          </w:tcPr>
          <w:p w14:paraId="2F71D471" w14:textId="77777777" w:rsidR="00141B97" w:rsidRDefault="00141B97">
            <w:pPr>
              <w:pStyle w:val="TableParagraph"/>
              <w:rPr>
                <w:rFonts w:ascii="Times New Roman"/>
                <w:sz w:val="12"/>
              </w:rPr>
            </w:pPr>
          </w:p>
        </w:tc>
        <w:tc>
          <w:tcPr>
            <w:tcW w:w="1624" w:type="dxa"/>
            <w:shd w:val="clear" w:color="auto" w:fill="CCE2ED"/>
          </w:tcPr>
          <w:p w14:paraId="3CEFC001" w14:textId="77777777" w:rsidR="00141B97" w:rsidRDefault="00141B97">
            <w:pPr>
              <w:pStyle w:val="TableParagraph"/>
              <w:rPr>
                <w:rFonts w:ascii="Times New Roman"/>
                <w:sz w:val="12"/>
              </w:rPr>
            </w:pPr>
          </w:p>
        </w:tc>
        <w:tc>
          <w:tcPr>
            <w:tcW w:w="2031" w:type="dxa"/>
            <w:shd w:val="clear" w:color="auto" w:fill="CCE2ED"/>
          </w:tcPr>
          <w:p w14:paraId="54A5AEBE" w14:textId="77777777" w:rsidR="00141B97" w:rsidRDefault="00911D63">
            <w:pPr>
              <w:pStyle w:val="TableParagraph"/>
              <w:spacing w:line="176" w:lineRule="exact"/>
              <w:ind w:left="110"/>
              <w:rPr>
                <w:sz w:val="16"/>
              </w:rPr>
            </w:pPr>
            <w:r>
              <w:rPr>
                <w:sz w:val="16"/>
              </w:rPr>
              <w:t>ensure</w:t>
            </w:r>
            <w:r>
              <w:rPr>
                <w:spacing w:val="-5"/>
                <w:sz w:val="16"/>
              </w:rPr>
              <w:t xml:space="preserve"> </w:t>
            </w:r>
            <w:r>
              <w:rPr>
                <w:sz w:val="16"/>
              </w:rPr>
              <w:t>reliable</w:t>
            </w:r>
            <w:r>
              <w:rPr>
                <w:spacing w:val="-5"/>
                <w:sz w:val="16"/>
              </w:rPr>
              <w:t xml:space="preserve"> </w:t>
            </w:r>
            <w:r>
              <w:rPr>
                <w:sz w:val="16"/>
              </w:rPr>
              <w:t>and</w:t>
            </w:r>
            <w:r>
              <w:rPr>
                <w:spacing w:val="-5"/>
                <w:sz w:val="16"/>
              </w:rPr>
              <w:t xml:space="preserve"> </w:t>
            </w:r>
            <w:r>
              <w:rPr>
                <w:spacing w:val="-2"/>
                <w:sz w:val="16"/>
              </w:rPr>
              <w:t>secure</w:t>
            </w:r>
          </w:p>
        </w:tc>
        <w:tc>
          <w:tcPr>
            <w:tcW w:w="2848" w:type="dxa"/>
            <w:shd w:val="clear" w:color="auto" w:fill="CCE2ED"/>
          </w:tcPr>
          <w:p w14:paraId="732D9AB1" w14:textId="77777777" w:rsidR="00141B97" w:rsidRDefault="00911D63">
            <w:pPr>
              <w:pStyle w:val="TableParagraph"/>
              <w:spacing w:line="176" w:lineRule="exact"/>
              <w:ind w:left="119"/>
              <w:rPr>
                <w:sz w:val="16"/>
              </w:rPr>
            </w:pPr>
            <w:r>
              <w:rPr>
                <w:spacing w:val="-2"/>
                <w:sz w:val="16"/>
              </w:rPr>
              <w:t>equipment</w:t>
            </w:r>
            <w:r>
              <w:rPr>
                <w:spacing w:val="6"/>
                <w:sz w:val="16"/>
              </w:rPr>
              <w:t xml:space="preserve"> </w:t>
            </w:r>
            <w:r>
              <w:rPr>
                <w:spacing w:val="-2"/>
                <w:sz w:val="16"/>
              </w:rPr>
              <w:t>including</w:t>
            </w:r>
            <w:r>
              <w:rPr>
                <w:spacing w:val="5"/>
                <w:sz w:val="16"/>
              </w:rPr>
              <w:t xml:space="preserve"> </w:t>
            </w:r>
            <w:r>
              <w:rPr>
                <w:spacing w:val="-2"/>
                <w:sz w:val="16"/>
              </w:rPr>
              <w:t>servers,</w:t>
            </w:r>
            <w:r>
              <w:rPr>
                <w:spacing w:val="7"/>
                <w:sz w:val="16"/>
              </w:rPr>
              <w:t xml:space="preserve"> </w:t>
            </w:r>
            <w:r>
              <w:rPr>
                <w:spacing w:val="-2"/>
                <w:sz w:val="16"/>
              </w:rPr>
              <w:t>network</w:t>
            </w:r>
          </w:p>
        </w:tc>
        <w:tc>
          <w:tcPr>
            <w:tcW w:w="2133" w:type="dxa"/>
            <w:shd w:val="clear" w:color="auto" w:fill="CCE2ED"/>
          </w:tcPr>
          <w:p w14:paraId="3794792E" w14:textId="77777777" w:rsidR="00141B97" w:rsidRDefault="00911D63">
            <w:pPr>
              <w:pStyle w:val="TableParagraph"/>
              <w:spacing w:line="176" w:lineRule="exact"/>
              <w:ind w:left="113"/>
              <w:rPr>
                <w:sz w:val="16"/>
              </w:rPr>
            </w:pPr>
            <w:r>
              <w:rPr>
                <w:sz w:val="16"/>
              </w:rPr>
              <w:t>equipment</w:t>
            </w:r>
            <w:r>
              <w:rPr>
                <w:spacing w:val="-8"/>
                <w:sz w:val="16"/>
              </w:rPr>
              <w:t xml:space="preserve"> </w:t>
            </w:r>
            <w:r>
              <w:rPr>
                <w:sz w:val="16"/>
              </w:rPr>
              <w:t>to</w:t>
            </w:r>
            <w:r>
              <w:rPr>
                <w:spacing w:val="-7"/>
                <w:sz w:val="16"/>
              </w:rPr>
              <w:t xml:space="preserve"> </w:t>
            </w:r>
            <w:r>
              <w:rPr>
                <w:spacing w:val="-2"/>
                <w:sz w:val="16"/>
              </w:rPr>
              <w:t>maintain</w:t>
            </w:r>
          </w:p>
        </w:tc>
      </w:tr>
      <w:tr w:rsidR="00141B97" w14:paraId="2997B5B2" w14:textId="77777777">
        <w:trPr>
          <w:trHeight w:val="195"/>
        </w:trPr>
        <w:tc>
          <w:tcPr>
            <w:tcW w:w="2567" w:type="dxa"/>
            <w:shd w:val="clear" w:color="auto" w:fill="CCE2ED"/>
          </w:tcPr>
          <w:p w14:paraId="6417202C" w14:textId="77777777" w:rsidR="00141B97" w:rsidRDefault="00911D63">
            <w:pPr>
              <w:pStyle w:val="TableParagraph"/>
              <w:spacing w:line="175" w:lineRule="exact"/>
              <w:ind w:left="101"/>
              <w:rPr>
                <w:sz w:val="16"/>
              </w:rPr>
            </w:pPr>
            <w:r>
              <w:rPr>
                <w:sz w:val="16"/>
              </w:rPr>
              <w:t>Total</w:t>
            </w:r>
            <w:r>
              <w:rPr>
                <w:spacing w:val="-6"/>
                <w:sz w:val="16"/>
              </w:rPr>
              <w:t xml:space="preserve"> </w:t>
            </w:r>
            <w:r>
              <w:rPr>
                <w:sz w:val="16"/>
              </w:rPr>
              <w:t>ICT</w:t>
            </w:r>
            <w:r>
              <w:rPr>
                <w:spacing w:val="-5"/>
                <w:sz w:val="16"/>
              </w:rPr>
              <w:t xml:space="preserve"> </w:t>
            </w:r>
            <w:r>
              <w:rPr>
                <w:spacing w:val="-2"/>
                <w:sz w:val="16"/>
              </w:rPr>
              <w:t>equipment</w:t>
            </w:r>
          </w:p>
        </w:tc>
        <w:tc>
          <w:tcPr>
            <w:tcW w:w="1261" w:type="dxa"/>
            <w:shd w:val="clear" w:color="auto" w:fill="CCE2ED"/>
          </w:tcPr>
          <w:p w14:paraId="663A2FF1" w14:textId="77777777" w:rsidR="00141B97" w:rsidRDefault="00911D63">
            <w:pPr>
              <w:pStyle w:val="TableParagraph"/>
              <w:spacing w:line="175" w:lineRule="exact"/>
              <w:ind w:left="252" w:right="184"/>
              <w:jc w:val="center"/>
              <w:rPr>
                <w:sz w:val="16"/>
              </w:rPr>
            </w:pPr>
            <w:r>
              <w:rPr>
                <w:spacing w:val="-4"/>
                <w:sz w:val="16"/>
              </w:rPr>
              <w:t>1.82</w:t>
            </w:r>
          </w:p>
        </w:tc>
        <w:tc>
          <w:tcPr>
            <w:tcW w:w="1415" w:type="dxa"/>
            <w:shd w:val="clear" w:color="auto" w:fill="CCE2ED"/>
          </w:tcPr>
          <w:p w14:paraId="614E2955" w14:textId="77777777" w:rsidR="00141B97" w:rsidRDefault="00911D63">
            <w:pPr>
              <w:pStyle w:val="TableParagraph"/>
              <w:spacing w:line="175" w:lineRule="exact"/>
              <w:ind w:left="139"/>
              <w:rPr>
                <w:sz w:val="16"/>
              </w:rPr>
            </w:pPr>
            <w:r>
              <w:rPr>
                <w:spacing w:val="-2"/>
                <w:sz w:val="16"/>
              </w:rPr>
              <w:t>Corporate</w:t>
            </w:r>
          </w:p>
        </w:tc>
        <w:tc>
          <w:tcPr>
            <w:tcW w:w="1799" w:type="dxa"/>
            <w:shd w:val="clear" w:color="auto" w:fill="CCE2ED"/>
          </w:tcPr>
          <w:p w14:paraId="0E949A97" w14:textId="77777777" w:rsidR="00141B97" w:rsidRDefault="00911D63">
            <w:pPr>
              <w:pStyle w:val="TableParagraph"/>
              <w:spacing w:line="175" w:lineRule="exact"/>
              <w:ind w:left="203"/>
              <w:rPr>
                <w:sz w:val="16"/>
              </w:rPr>
            </w:pPr>
            <w:r>
              <w:rPr>
                <w:spacing w:val="-2"/>
                <w:sz w:val="16"/>
              </w:rPr>
              <w:t>Renewals</w:t>
            </w:r>
          </w:p>
        </w:tc>
        <w:tc>
          <w:tcPr>
            <w:tcW w:w="1624" w:type="dxa"/>
            <w:shd w:val="clear" w:color="auto" w:fill="CCE2ED"/>
          </w:tcPr>
          <w:p w14:paraId="75FB5E3B" w14:textId="77777777" w:rsidR="00141B97" w:rsidRDefault="00911D63">
            <w:pPr>
              <w:pStyle w:val="TableParagraph"/>
              <w:spacing w:line="175" w:lineRule="exact"/>
              <w:ind w:left="288"/>
              <w:rPr>
                <w:sz w:val="16"/>
              </w:rPr>
            </w:pPr>
            <w:r>
              <w:rPr>
                <w:sz w:val="16"/>
              </w:rPr>
              <w:t>All</w:t>
            </w:r>
            <w:r>
              <w:rPr>
                <w:spacing w:val="-4"/>
                <w:sz w:val="16"/>
              </w:rPr>
              <w:t xml:space="preserve"> </w:t>
            </w:r>
            <w:r>
              <w:rPr>
                <w:spacing w:val="-2"/>
                <w:sz w:val="16"/>
              </w:rPr>
              <w:t>outcomes</w:t>
            </w:r>
          </w:p>
        </w:tc>
        <w:tc>
          <w:tcPr>
            <w:tcW w:w="2031" w:type="dxa"/>
            <w:shd w:val="clear" w:color="auto" w:fill="CCE2ED"/>
          </w:tcPr>
          <w:p w14:paraId="475AF34C" w14:textId="77777777" w:rsidR="00141B97" w:rsidRDefault="00911D63">
            <w:pPr>
              <w:pStyle w:val="TableParagraph"/>
              <w:spacing w:line="175" w:lineRule="exact"/>
              <w:ind w:left="110"/>
              <w:rPr>
                <w:sz w:val="16"/>
              </w:rPr>
            </w:pPr>
            <w:r>
              <w:rPr>
                <w:sz w:val="16"/>
              </w:rPr>
              <w:t>ICT</w:t>
            </w:r>
            <w:r>
              <w:rPr>
                <w:spacing w:val="-6"/>
                <w:sz w:val="16"/>
              </w:rPr>
              <w:t xml:space="preserve"> </w:t>
            </w:r>
            <w:r>
              <w:rPr>
                <w:sz w:val="16"/>
              </w:rPr>
              <w:t>services</w:t>
            </w:r>
            <w:r>
              <w:rPr>
                <w:spacing w:val="-5"/>
                <w:sz w:val="16"/>
              </w:rPr>
              <w:t xml:space="preserve"> </w:t>
            </w:r>
            <w:r>
              <w:rPr>
                <w:sz w:val="16"/>
              </w:rPr>
              <w:t>for</w:t>
            </w:r>
            <w:r>
              <w:rPr>
                <w:spacing w:val="-5"/>
                <w:sz w:val="16"/>
              </w:rPr>
              <w:t xml:space="preserve"> </w:t>
            </w:r>
            <w:r>
              <w:rPr>
                <w:spacing w:val="-2"/>
                <w:sz w:val="16"/>
              </w:rPr>
              <w:t>business</w:t>
            </w:r>
          </w:p>
        </w:tc>
        <w:tc>
          <w:tcPr>
            <w:tcW w:w="2848" w:type="dxa"/>
            <w:shd w:val="clear" w:color="auto" w:fill="CCE2ED"/>
          </w:tcPr>
          <w:p w14:paraId="073479D0" w14:textId="77777777" w:rsidR="00141B97" w:rsidRDefault="00911D63">
            <w:pPr>
              <w:pStyle w:val="TableParagraph"/>
              <w:spacing w:line="175" w:lineRule="exact"/>
              <w:ind w:left="119"/>
              <w:rPr>
                <w:sz w:val="16"/>
              </w:rPr>
            </w:pPr>
            <w:r>
              <w:rPr>
                <w:sz w:val="16"/>
              </w:rPr>
              <w:t>hardware,</w:t>
            </w:r>
            <w:r>
              <w:rPr>
                <w:spacing w:val="-7"/>
                <w:sz w:val="16"/>
              </w:rPr>
              <w:t xml:space="preserve"> </w:t>
            </w:r>
            <w:r>
              <w:rPr>
                <w:sz w:val="16"/>
              </w:rPr>
              <w:t>UPS</w:t>
            </w:r>
            <w:r>
              <w:rPr>
                <w:spacing w:val="-6"/>
                <w:sz w:val="16"/>
              </w:rPr>
              <w:t xml:space="preserve"> </w:t>
            </w:r>
            <w:r>
              <w:rPr>
                <w:sz w:val="16"/>
              </w:rPr>
              <w:t>batteries,</w:t>
            </w:r>
            <w:r>
              <w:rPr>
                <w:spacing w:val="-7"/>
                <w:sz w:val="16"/>
              </w:rPr>
              <w:t xml:space="preserve"> </w:t>
            </w:r>
            <w:r>
              <w:rPr>
                <w:spacing w:val="-2"/>
                <w:sz w:val="16"/>
              </w:rPr>
              <w:t>firewalls,</w:t>
            </w:r>
          </w:p>
        </w:tc>
        <w:tc>
          <w:tcPr>
            <w:tcW w:w="2133" w:type="dxa"/>
            <w:shd w:val="clear" w:color="auto" w:fill="CCE2ED"/>
          </w:tcPr>
          <w:p w14:paraId="0331D3D1" w14:textId="77777777" w:rsidR="00141B97" w:rsidRDefault="00911D63">
            <w:pPr>
              <w:pStyle w:val="TableParagraph"/>
              <w:spacing w:line="175" w:lineRule="exact"/>
              <w:ind w:left="113"/>
              <w:rPr>
                <w:sz w:val="16"/>
              </w:rPr>
            </w:pPr>
            <w:r>
              <w:rPr>
                <w:spacing w:val="-2"/>
                <w:sz w:val="16"/>
              </w:rPr>
              <w:t>reliability,</w:t>
            </w:r>
            <w:r>
              <w:rPr>
                <w:spacing w:val="8"/>
                <w:sz w:val="16"/>
              </w:rPr>
              <w:t xml:space="preserve"> </w:t>
            </w:r>
            <w:r>
              <w:rPr>
                <w:spacing w:val="-2"/>
                <w:sz w:val="16"/>
              </w:rPr>
              <w:t>security</w:t>
            </w:r>
            <w:r>
              <w:rPr>
                <w:spacing w:val="9"/>
                <w:sz w:val="16"/>
              </w:rPr>
              <w:t xml:space="preserve"> </w:t>
            </w:r>
            <w:r>
              <w:rPr>
                <w:spacing w:val="-5"/>
                <w:sz w:val="16"/>
              </w:rPr>
              <w:t>and</w:t>
            </w:r>
          </w:p>
        </w:tc>
      </w:tr>
      <w:tr w:rsidR="00141B97" w14:paraId="15C76598" w14:textId="77777777">
        <w:trPr>
          <w:trHeight w:val="195"/>
        </w:trPr>
        <w:tc>
          <w:tcPr>
            <w:tcW w:w="2567" w:type="dxa"/>
            <w:shd w:val="clear" w:color="auto" w:fill="CCE2ED"/>
          </w:tcPr>
          <w:p w14:paraId="3C222D0E" w14:textId="77777777" w:rsidR="00141B97" w:rsidRDefault="00141B97">
            <w:pPr>
              <w:pStyle w:val="TableParagraph"/>
              <w:rPr>
                <w:rFonts w:ascii="Times New Roman"/>
                <w:sz w:val="12"/>
              </w:rPr>
            </w:pPr>
          </w:p>
        </w:tc>
        <w:tc>
          <w:tcPr>
            <w:tcW w:w="1261" w:type="dxa"/>
            <w:shd w:val="clear" w:color="auto" w:fill="CCE2ED"/>
          </w:tcPr>
          <w:p w14:paraId="06275632" w14:textId="77777777" w:rsidR="00141B97" w:rsidRDefault="00141B97">
            <w:pPr>
              <w:pStyle w:val="TableParagraph"/>
              <w:rPr>
                <w:rFonts w:ascii="Times New Roman"/>
                <w:sz w:val="12"/>
              </w:rPr>
            </w:pPr>
          </w:p>
        </w:tc>
        <w:tc>
          <w:tcPr>
            <w:tcW w:w="1415" w:type="dxa"/>
            <w:shd w:val="clear" w:color="auto" w:fill="CCE2ED"/>
          </w:tcPr>
          <w:p w14:paraId="2E22630E" w14:textId="77777777" w:rsidR="00141B97" w:rsidRDefault="00141B97">
            <w:pPr>
              <w:pStyle w:val="TableParagraph"/>
              <w:rPr>
                <w:rFonts w:ascii="Times New Roman"/>
                <w:sz w:val="12"/>
              </w:rPr>
            </w:pPr>
          </w:p>
        </w:tc>
        <w:tc>
          <w:tcPr>
            <w:tcW w:w="1799" w:type="dxa"/>
            <w:shd w:val="clear" w:color="auto" w:fill="CCE2ED"/>
          </w:tcPr>
          <w:p w14:paraId="783ECDF9" w14:textId="77777777" w:rsidR="00141B97" w:rsidRDefault="00141B97">
            <w:pPr>
              <w:pStyle w:val="TableParagraph"/>
              <w:rPr>
                <w:rFonts w:ascii="Times New Roman"/>
                <w:sz w:val="12"/>
              </w:rPr>
            </w:pPr>
          </w:p>
        </w:tc>
        <w:tc>
          <w:tcPr>
            <w:tcW w:w="1624" w:type="dxa"/>
            <w:shd w:val="clear" w:color="auto" w:fill="CCE2ED"/>
          </w:tcPr>
          <w:p w14:paraId="1C70CB03" w14:textId="77777777" w:rsidR="00141B97" w:rsidRDefault="00141B97">
            <w:pPr>
              <w:pStyle w:val="TableParagraph"/>
              <w:rPr>
                <w:rFonts w:ascii="Times New Roman"/>
                <w:sz w:val="12"/>
              </w:rPr>
            </w:pPr>
          </w:p>
        </w:tc>
        <w:tc>
          <w:tcPr>
            <w:tcW w:w="2031" w:type="dxa"/>
            <w:shd w:val="clear" w:color="auto" w:fill="CCE2ED"/>
          </w:tcPr>
          <w:p w14:paraId="2E28E7D1" w14:textId="77777777" w:rsidR="00141B97" w:rsidRDefault="00911D63">
            <w:pPr>
              <w:pStyle w:val="TableParagraph"/>
              <w:spacing w:line="175" w:lineRule="exact"/>
              <w:ind w:left="110"/>
              <w:rPr>
                <w:sz w:val="16"/>
              </w:rPr>
            </w:pPr>
            <w:r>
              <w:rPr>
                <w:spacing w:val="-2"/>
                <w:sz w:val="16"/>
              </w:rPr>
              <w:t>operations,</w:t>
            </w:r>
            <w:r>
              <w:rPr>
                <w:spacing w:val="9"/>
                <w:sz w:val="16"/>
              </w:rPr>
              <w:t xml:space="preserve"> </w:t>
            </w:r>
            <w:r>
              <w:rPr>
                <w:spacing w:val="-2"/>
                <w:sz w:val="16"/>
              </w:rPr>
              <w:t>customer</w:t>
            </w:r>
          </w:p>
        </w:tc>
        <w:tc>
          <w:tcPr>
            <w:tcW w:w="2848" w:type="dxa"/>
            <w:shd w:val="clear" w:color="auto" w:fill="CCE2ED"/>
          </w:tcPr>
          <w:p w14:paraId="7251F977" w14:textId="77777777" w:rsidR="00141B97" w:rsidRDefault="00911D63">
            <w:pPr>
              <w:pStyle w:val="TableParagraph"/>
              <w:spacing w:line="175" w:lineRule="exact"/>
              <w:ind w:left="119"/>
              <w:rPr>
                <w:sz w:val="16"/>
              </w:rPr>
            </w:pPr>
            <w:r>
              <w:rPr>
                <w:spacing w:val="-2"/>
                <w:sz w:val="16"/>
              </w:rPr>
              <w:t>telecommunications,</w:t>
            </w:r>
            <w:r>
              <w:rPr>
                <w:spacing w:val="11"/>
                <w:sz w:val="16"/>
              </w:rPr>
              <w:t xml:space="preserve"> </w:t>
            </w:r>
            <w:r>
              <w:rPr>
                <w:spacing w:val="-2"/>
                <w:sz w:val="16"/>
              </w:rPr>
              <w:t>and</w:t>
            </w:r>
            <w:r>
              <w:rPr>
                <w:spacing w:val="11"/>
                <w:sz w:val="16"/>
              </w:rPr>
              <w:t xml:space="preserve"> </w:t>
            </w:r>
            <w:r>
              <w:rPr>
                <w:spacing w:val="-2"/>
                <w:sz w:val="16"/>
              </w:rPr>
              <w:t>business</w:t>
            </w:r>
          </w:p>
        </w:tc>
        <w:tc>
          <w:tcPr>
            <w:tcW w:w="2133" w:type="dxa"/>
            <w:shd w:val="clear" w:color="auto" w:fill="CCE2ED"/>
          </w:tcPr>
          <w:p w14:paraId="4DDC4171" w14:textId="77777777" w:rsidR="00141B97" w:rsidRDefault="00911D63">
            <w:pPr>
              <w:pStyle w:val="TableParagraph"/>
              <w:spacing w:line="175" w:lineRule="exact"/>
              <w:ind w:left="113"/>
              <w:rPr>
                <w:sz w:val="16"/>
              </w:rPr>
            </w:pPr>
            <w:r>
              <w:rPr>
                <w:sz w:val="16"/>
              </w:rPr>
              <w:t>service</w:t>
            </w:r>
            <w:r>
              <w:rPr>
                <w:spacing w:val="-9"/>
                <w:sz w:val="16"/>
              </w:rPr>
              <w:t xml:space="preserve"> </w:t>
            </w:r>
            <w:r>
              <w:rPr>
                <w:sz w:val="16"/>
              </w:rPr>
              <w:t>performance</w:t>
            </w:r>
            <w:r>
              <w:rPr>
                <w:spacing w:val="-8"/>
                <w:sz w:val="16"/>
              </w:rPr>
              <w:t xml:space="preserve"> </w:t>
            </w:r>
            <w:r>
              <w:rPr>
                <w:spacing w:val="-5"/>
                <w:sz w:val="16"/>
              </w:rPr>
              <w:t>at</w:t>
            </w:r>
          </w:p>
        </w:tc>
      </w:tr>
      <w:tr w:rsidR="00141B97" w14:paraId="239DC413" w14:textId="77777777">
        <w:trPr>
          <w:trHeight w:val="180"/>
        </w:trPr>
        <w:tc>
          <w:tcPr>
            <w:tcW w:w="2567" w:type="dxa"/>
            <w:tcBorders>
              <w:bottom w:val="single" w:sz="4" w:space="0" w:color="FFFFFF"/>
            </w:tcBorders>
            <w:shd w:val="clear" w:color="auto" w:fill="CCE2ED"/>
          </w:tcPr>
          <w:p w14:paraId="1D912E05" w14:textId="77777777" w:rsidR="00141B97" w:rsidRDefault="00141B97">
            <w:pPr>
              <w:pStyle w:val="TableParagraph"/>
              <w:rPr>
                <w:rFonts w:ascii="Times New Roman"/>
                <w:sz w:val="12"/>
              </w:rPr>
            </w:pPr>
          </w:p>
        </w:tc>
        <w:tc>
          <w:tcPr>
            <w:tcW w:w="1261" w:type="dxa"/>
            <w:tcBorders>
              <w:bottom w:val="single" w:sz="4" w:space="0" w:color="FFFFFF"/>
            </w:tcBorders>
            <w:shd w:val="clear" w:color="auto" w:fill="CCE2ED"/>
          </w:tcPr>
          <w:p w14:paraId="659F3953" w14:textId="77777777" w:rsidR="00141B97" w:rsidRDefault="00141B97">
            <w:pPr>
              <w:pStyle w:val="TableParagraph"/>
              <w:rPr>
                <w:rFonts w:ascii="Times New Roman"/>
                <w:sz w:val="12"/>
              </w:rPr>
            </w:pPr>
          </w:p>
        </w:tc>
        <w:tc>
          <w:tcPr>
            <w:tcW w:w="1415" w:type="dxa"/>
            <w:tcBorders>
              <w:bottom w:val="single" w:sz="4" w:space="0" w:color="FFFFFF"/>
            </w:tcBorders>
            <w:shd w:val="clear" w:color="auto" w:fill="CCE2ED"/>
          </w:tcPr>
          <w:p w14:paraId="2867183E" w14:textId="77777777" w:rsidR="00141B97" w:rsidRDefault="00141B97">
            <w:pPr>
              <w:pStyle w:val="TableParagraph"/>
              <w:rPr>
                <w:rFonts w:ascii="Times New Roman"/>
                <w:sz w:val="12"/>
              </w:rPr>
            </w:pPr>
          </w:p>
        </w:tc>
        <w:tc>
          <w:tcPr>
            <w:tcW w:w="1799" w:type="dxa"/>
            <w:tcBorders>
              <w:bottom w:val="single" w:sz="4" w:space="0" w:color="FFFFFF"/>
            </w:tcBorders>
            <w:shd w:val="clear" w:color="auto" w:fill="CCE2ED"/>
          </w:tcPr>
          <w:p w14:paraId="1619DC5E" w14:textId="77777777" w:rsidR="00141B97" w:rsidRDefault="00141B97">
            <w:pPr>
              <w:pStyle w:val="TableParagraph"/>
              <w:rPr>
                <w:rFonts w:ascii="Times New Roman"/>
                <w:sz w:val="12"/>
              </w:rPr>
            </w:pPr>
          </w:p>
        </w:tc>
        <w:tc>
          <w:tcPr>
            <w:tcW w:w="1624" w:type="dxa"/>
            <w:tcBorders>
              <w:bottom w:val="single" w:sz="4" w:space="0" w:color="FFFFFF"/>
            </w:tcBorders>
            <w:shd w:val="clear" w:color="auto" w:fill="CCE2ED"/>
          </w:tcPr>
          <w:p w14:paraId="7927AD74" w14:textId="77777777" w:rsidR="00141B97" w:rsidRDefault="00141B97">
            <w:pPr>
              <w:pStyle w:val="TableParagraph"/>
              <w:rPr>
                <w:rFonts w:ascii="Times New Roman"/>
                <w:sz w:val="12"/>
              </w:rPr>
            </w:pPr>
          </w:p>
        </w:tc>
        <w:tc>
          <w:tcPr>
            <w:tcW w:w="2031" w:type="dxa"/>
            <w:tcBorders>
              <w:bottom w:val="single" w:sz="4" w:space="0" w:color="FFFFFF"/>
            </w:tcBorders>
            <w:shd w:val="clear" w:color="auto" w:fill="CCE2ED"/>
          </w:tcPr>
          <w:p w14:paraId="02363AE6" w14:textId="77777777" w:rsidR="00141B97" w:rsidRDefault="00911D63">
            <w:pPr>
              <w:pStyle w:val="TableParagraph"/>
              <w:spacing w:line="161" w:lineRule="exact"/>
              <w:ind w:left="110"/>
              <w:rPr>
                <w:sz w:val="16"/>
              </w:rPr>
            </w:pPr>
            <w:r>
              <w:rPr>
                <w:sz w:val="16"/>
              </w:rPr>
              <w:t>service</w:t>
            </w:r>
            <w:r>
              <w:rPr>
                <w:spacing w:val="-7"/>
                <w:sz w:val="16"/>
              </w:rPr>
              <w:t xml:space="preserve"> </w:t>
            </w:r>
            <w:r>
              <w:rPr>
                <w:sz w:val="16"/>
              </w:rPr>
              <w:t>and</w:t>
            </w:r>
            <w:r>
              <w:rPr>
                <w:spacing w:val="-7"/>
                <w:sz w:val="16"/>
              </w:rPr>
              <w:t xml:space="preserve"> </w:t>
            </w:r>
            <w:r>
              <w:rPr>
                <w:sz w:val="16"/>
              </w:rPr>
              <w:t>service</w:t>
            </w:r>
            <w:r>
              <w:rPr>
                <w:spacing w:val="-5"/>
                <w:sz w:val="16"/>
              </w:rPr>
              <w:t xml:space="preserve"> </w:t>
            </w:r>
            <w:r>
              <w:rPr>
                <w:spacing w:val="-2"/>
                <w:sz w:val="16"/>
              </w:rPr>
              <w:t>delivery.</w:t>
            </w:r>
          </w:p>
        </w:tc>
        <w:tc>
          <w:tcPr>
            <w:tcW w:w="2848" w:type="dxa"/>
            <w:tcBorders>
              <w:bottom w:val="single" w:sz="4" w:space="0" w:color="FFFFFF"/>
            </w:tcBorders>
            <w:shd w:val="clear" w:color="auto" w:fill="CCE2ED"/>
          </w:tcPr>
          <w:p w14:paraId="757E317D" w14:textId="77777777" w:rsidR="00141B97" w:rsidRDefault="00911D63">
            <w:pPr>
              <w:pStyle w:val="TableParagraph"/>
              <w:spacing w:line="161" w:lineRule="exact"/>
              <w:ind w:left="119"/>
              <w:rPr>
                <w:sz w:val="16"/>
              </w:rPr>
            </w:pPr>
            <w:r>
              <w:rPr>
                <w:spacing w:val="-2"/>
                <w:sz w:val="16"/>
              </w:rPr>
              <w:t>computing</w:t>
            </w:r>
            <w:r>
              <w:rPr>
                <w:spacing w:val="4"/>
                <w:sz w:val="16"/>
              </w:rPr>
              <w:t xml:space="preserve"> </w:t>
            </w:r>
            <w:r>
              <w:rPr>
                <w:spacing w:val="-2"/>
                <w:sz w:val="16"/>
              </w:rPr>
              <w:t>devices.</w:t>
            </w:r>
          </w:p>
        </w:tc>
        <w:tc>
          <w:tcPr>
            <w:tcW w:w="2133" w:type="dxa"/>
            <w:tcBorders>
              <w:bottom w:val="single" w:sz="4" w:space="0" w:color="FFFFFF"/>
            </w:tcBorders>
            <w:shd w:val="clear" w:color="auto" w:fill="CCE2ED"/>
          </w:tcPr>
          <w:p w14:paraId="053D8180" w14:textId="77777777" w:rsidR="00141B97" w:rsidRDefault="00911D63">
            <w:pPr>
              <w:pStyle w:val="TableParagraph"/>
              <w:spacing w:line="161" w:lineRule="exact"/>
              <w:ind w:left="113"/>
              <w:rPr>
                <w:sz w:val="16"/>
              </w:rPr>
            </w:pPr>
            <w:r>
              <w:rPr>
                <w:spacing w:val="-2"/>
                <w:sz w:val="16"/>
              </w:rPr>
              <w:t>lowest</w:t>
            </w:r>
            <w:r>
              <w:rPr>
                <w:spacing w:val="5"/>
                <w:sz w:val="16"/>
              </w:rPr>
              <w:t xml:space="preserve"> </w:t>
            </w:r>
            <w:r>
              <w:rPr>
                <w:spacing w:val="-2"/>
                <w:sz w:val="16"/>
              </w:rPr>
              <w:t>lifecycle</w:t>
            </w:r>
            <w:r>
              <w:rPr>
                <w:spacing w:val="5"/>
                <w:sz w:val="16"/>
              </w:rPr>
              <w:t xml:space="preserve"> </w:t>
            </w:r>
            <w:r>
              <w:rPr>
                <w:spacing w:val="-2"/>
                <w:sz w:val="16"/>
              </w:rPr>
              <w:t>cost.</w:t>
            </w:r>
          </w:p>
        </w:tc>
      </w:tr>
      <w:tr w:rsidR="00141B97" w14:paraId="1FA45836" w14:textId="77777777">
        <w:trPr>
          <w:trHeight w:val="210"/>
        </w:trPr>
        <w:tc>
          <w:tcPr>
            <w:tcW w:w="2567" w:type="dxa"/>
            <w:tcBorders>
              <w:top w:val="single" w:sz="4" w:space="0" w:color="FFFFFF"/>
            </w:tcBorders>
            <w:shd w:val="clear" w:color="auto" w:fill="CCE2ED"/>
          </w:tcPr>
          <w:p w14:paraId="7677C5B2" w14:textId="77777777" w:rsidR="00141B97" w:rsidRDefault="00141B97">
            <w:pPr>
              <w:pStyle w:val="TableParagraph"/>
              <w:rPr>
                <w:rFonts w:ascii="Times New Roman"/>
                <w:sz w:val="14"/>
              </w:rPr>
            </w:pPr>
          </w:p>
        </w:tc>
        <w:tc>
          <w:tcPr>
            <w:tcW w:w="1261" w:type="dxa"/>
            <w:tcBorders>
              <w:top w:val="single" w:sz="4" w:space="0" w:color="FFFFFF"/>
            </w:tcBorders>
            <w:shd w:val="clear" w:color="auto" w:fill="CCE2ED"/>
          </w:tcPr>
          <w:p w14:paraId="6BE831BA" w14:textId="77777777" w:rsidR="00141B97" w:rsidRDefault="00141B97">
            <w:pPr>
              <w:pStyle w:val="TableParagraph"/>
              <w:rPr>
                <w:rFonts w:ascii="Times New Roman"/>
                <w:sz w:val="14"/>
              </w:rPr>
            </w:pPr>
          </w:p>
        </w:tc>
        <w:tc>
          <w:tcPr>
            <w:tcW w:w="1415" w:type="dxa"/>
            <w:tcBorders>
              <w:top w:val="single" w:sz="4" w:space="0" w:color="FFFFFF"/>
            </w:tcBorders>
            <w:shd w:val="clear" w:color="auto" w:fill="CCE2ED"/>
          </w:tcPr>
          <w:p w14:paraId="45C89459" w14:textId="77777777" w:rsidR="00141B97" w:rsidRDefault="00141B97">
            <w:pPr>
              <w:pStyle w:val="TableParagraph"/>
              <w:rPr>
                <w:rFonts w:ascii="Times New Roman"/>
                <w:sz w:val="14"/>
              </w:rPr>
            </w:pPr>
          </w:p>
        </w:tc>
        <w:tc>
          <w:tcPr>
            <w:tcW w:w="1799" w:type="dxa"/>
            <w:tcBorders>
              <w:top w:val="single" w:sz="4" w:space="0" w:color="FFFFFF"/>
            </w:tcBorders>
            <w:shd w:val="clear" w:color="auto" w:fill="CCE2ED"/>
          </w:tcPr>
          <w:p w14:paraId="3AEFE3D6" w14:textId="77777777" w:rsidR="00141B97" w:rsidRDefault="00141B97">
            <w:pPr>
              <w:pStyle w:val="TableParagraph"/>
              <w:rPr>
                <w:rFonts w:ascii="Times New Roman"/>
                <w:sz w:val="14"/>
              </w:rPr>
            </w:pPr>
          </w:p>
        </w:tc>
        <w:tc>
          <w:tcPr>
            <w:tcW w:w="1624" w:type="dxa"/>
            <w:tcBorders>
              <w:top w:val="single" w:sz="4" w:space="0" w:color="FFFFFF"/>
            </w:tcBorders>
            <w:shd w:val="clear" w:color="auto" w:fill="CCE2ED"/>
          </w:tcPr>
          <w:p w14:paraId="200469DA" w14:textId="77777777" w:rsidR="00141B97" w:rsidRDefault="00141B97">
            <w:pPr>
              <w:pStyle w:val="TableParagraph"/>
              <w:rPr>
                <w:rFonts w:ascii="Times New Roman"/>
                <w:sz w:val="14"/>
              </w:rPr>
            </w:pPr>
          </w:p>
        </w:tc>
        <w:tc>
          <w:tcPr>
            <w:tcW w:w="2031" w:type="dxa"/>
            <w:tcBorders>
              <w:top w:val="single" w:sz="4" w:space="0" w:color="FFFFFF"/>
            </w:tcBorders>
            <w:shd w:val="clear" w:color="auto" w:fill="CCE2ED"/>
          </w:tcPr>
          <w:p w14:paraId="645D9341" w14:textId="77777777" w:rsidR="00141B97" w:rsidRDefault="00911D63">
            <w:pPr>
              <w:pStyle w:val="TableParagraph"/>
              <w:spacing w:line="190" w:lineRule="exact"/>
              <w:ind w:left="110"/>
              <w:rPr>
                <w:sz w:val="16"/>
              </w:rPr>
            </w:pPr>
            <w:r>
              <w:rPr>
                <w:sz w:val="16"/>
              </w:rPr>
              <w:t>Maintain</w:t>
            </w:r>
            <w:r>
              <w:rPr>
                <w:spacing w:val="-8"/>
                <w:sz w:val="16"/>
              </w:rPr>
              <w:t xml:space="preserve"> </w:t>
            </w:r>
            <w:r>
              <w:rPr>
                <w:sz w:val="16"/>
              </w:rPr>
              <w:t>heavy</w:t>
            </w:r>
            <w:r>
              <w:rPr>
                <w:spacing w:val="-7"/>
                <w:sz w:val="16"/>
              </w:rPr>
              <w:t xml:space="preserve"> </w:t>
            </w:r>
            <w:r>
              <w:rPr>
                <w:sz w:val="16"/>
              </w:rPr>
              <w:t>vehicle</w:t>
            </w:r>
            <w:r>
              <w:rPr>
                <w:spacing w:val="-8"/>
                <w:sz w:val="16"/>
              </w:rPr>
              <w:t xml:space="preserve"> </w:t>
            </w:r>
            <w:r>
              <w:rPr>
                <w:spacing w:val="-2"/>
                <w:sz w:val="16"/>
              </w:rPr>
              <w:t>fleet</w:t>
            </w:r>
          </w:p>
        </w:tc>
        <w:tc>
          <w:tcPr>
            <w:tcW w:w="2848" w:type="dxa"/>
            <w:tcBorders>
              <w:top w:val="single" w:sz="4" w:space="0" w:color="FFFFFF"/>
            </w:tcBorders>
            <w:shd w:val="clear" w:color="auto" w:fill="CCE2ED"/>
          </w:tcPr>
          <w:p w14:paraId="74E71441" w14:textId="77777777" w:rsidR="00141B97" w:rsidRDefault="00141B97">
            <w:pPr>
              <w:pStyle w:val="TableParagraph"/>
              <w:rPr>
                <w:rFonts w:ascii="Times New Roman"/>
                <w:sz w:val="14"/>
              </w:rPr>
            </w:pPr>
          </w:p>
        </w:tc>
        <w:tc>
          <w:tcPr>
            <w:tcW w:w="2133" w:type="dxa"/>
            <w:tcBorders>
              <w:top w:val="single" w:sz="4" w:space="0" w:color="FFFFFF"/>
            </w:tcBorders>
            <w:shd w:val="clear" w:color="auto" w:fill="CCE2ED"/>
          </w:tcPr>
          <w:p w14:paraId="6000F42D" w14:textId="77777777" w:rsidR="00141B97" w:rsidRDefault="00911D63">
            <w:pPr>
              <w:pStyle w:val="TableParagraph"/>
              <w:spacing w:line="190" w:lineRule="exact"/>
              <w:ind w:left="113"/>
              <w:rPr>
                <w:sz w:val="16"/>
              </w:rPr>
            </w:pPr>
            <w:r>
              <w:rPr>
                <w:spacing w:val="-2"/>
                <w:sz w:val="16"/>
              </w:rPr>
              <w:t>Optimal</w:t>
            </w:r>
            <w:r>
              <w:rPr>
                <w:spacing w:val="8"/>
                <w:sz w:val="16"/>
              </w:rPr>
              <w:t xml:space="preserve"> </w:t>
            </w:r>
            <w:r>
              <w:rPr>
                <w:spacing w:val="-2"/>
                <w:sz w:val="16"/>
              </w:rPr>
              <w:t>replacement</w:t>
            </w:r>
            <w:r>
              <w:rPr>
                <w:spacing w:val="7"/>
                <w:sz w:val="16"/>
              </w:rPr>
              <w:t xml:space="preserve"> </w:t>
            </w:r>
            <w:r>
              <w:rPr>
                <w:spacing w:val="-2"/>
                <w:sz w:val="16"/>
              </w:rPr>
              <w:t>regime</w:t>
            </w:r>
          </w:p>
        </w:tc>
      </w:tr>
      <w:tr w:rsidR="00141B97" w14:paraId="7A8F60CE" w14:textId="77777777">
        <w:trPr>
          <w:trHeight w:val="195"/>
        </w:trPr>
        <w:tc>
          <w:tcPr>
            <w:tcW w:w="2567" w:type="dxa"/>
            <w:shd w:val="clear" w:color="auto" w:fill="CCE2ED"/>
          </w:tcPr>
          <w:p w14:paraId="7ED8DEBD" w14:textId="77777777" w:rsidR="00141B97" w:rsidRDefault="00911D63">
            <w:pPr>
              <w:pStyle w:val="TableParagraph"/>
              <w:spacing w:line="176" w:lineRule="exact"/>
              <w:ind w:left="101"/>
              <w:rPr>
                <w:sz w:val="16"/>
              </w:rPr>
            </w:pPr>
            <w:r>
              <w:rPr>
                <w:sz w:val="16"/>
              </w:rPr>
              <w:t>Heavy</w:t>
            </w:r>
            <w:r>
              <w:rPr>
                <w:spacing w:val="-5"/>
                <w:sz w:val="16"/>
              </w:rPr>
              <w:t xml:space="preserve"> </w:t>
            </w:r>
            <w:r>
              <w:rPr>
                <w:sz w:val="16"/>
              </w:rPr>
              <w:t>Motor</w:t>
            </w:r>
            <w:r>
              <w:rPr>
                <w:spacing w:val="-5"/>
                <w:sz w:val="16"/>
              </w:rPr>
              <w:t xml:space="preserve"> </w:t>
            </w:r>
            <w:r>
              <w:rPr>
                <w:sz w:val="16"/>
              </w:rPr>
              <w:t>Vehicle</w:t>
            </w:r>
            <w:r>
              <w:rPr>
                <w:spacing w:val="-5"/>
                <w:sz w:val="16"/>
              </w:rPr>
              <w:t xml:space="preserve"> </w:t>
            </w:r>
            <w:r>
              <w:rPr>
                <w:sz w:val="16"/>
              </w:rPr>
              <w:t>Fleet</w:t>
            </w:r>
            <w:r>
              <w:rPr>
                <w:spacing w:val="-4"/>
                <w:sz w:val="16"/>
              </w:rPr>
              <w:t xml:space="preserve"> </w:t>
            </w:r>
            <w:r>
              <w:rPr>
                <w:sz w:val="16"/>
              </w:rPr>
              <w:t>‐</w:t>
            </w:r>
            <w:r>
              <w:rPr>
                <w:spacing w:val="-6"/>
                <w:sz w:val="16"/>
              </w:rPr>
              <w:t xml:space="preserve"> </w:t>
            </w:r>
            <w:r>
              <w:rPr>
                <w:spacing w:val="-2"/>
                <w:sz w:val="16"/>
              </w:rPr>
              <w:t>annual</w:t>
            </w:r>
          </w:p>
        </w:tc>
        <w:tc>
          <w:tcPr>
            <w:tcW w:w="1261" w:type="dxa"/>
            <w:shd w:val="clear" w:color="auto" w:fill="CCE2ED"/>
          </w:tcPr>
          <w:p w14:paraId="60E5F1AB" w14:textId="77777777" w:rsidR="00141B97" w:rsidRDefault="00911D63">
            <w:pPr>
              <w:pStyle w:val="TableParagraph"/>
              <w:spacing w:before="82" w:line="93" w:lineRule="exact"/>
              <w:ind w:left="252" w:right="184"/>
              <w:jc w:val="center"/>
              <w:rPr>
                <w:sz w:val="16"/>
              </w:rPr>
            </w:pPr>
            <w:r>
              <w:rPr>
                <w:spacing w:val="-4"/>
                <w:sz w:val="16"/>
              </w:rPr>
              <w:t>1.59</w:t>
            </w:r>
          </w:p>
        </w:tc>
        <w:tc>
          <w:tcPr>
            <w:tcW w:w="1415" w:type="dxa"/>
            <w:shd w:val="clear" w:color="auto" w:fill="CCE2ED"/>
          </w:tcPr>
          <w:p w14:paraId="70751472" w14:textId="77777777" w:rsidR="00141B97" w:rsidRDefault="00911D63">
            <w:pPr>
              <w:pStyle w:val="TableParagraph"/>
              <w:spacing w:before="82" w:line="93" w:lineRule="exact"/>
              <w:ind w:left="139"/>
              <w:rPr>
                <w:sz w:val="16"/>
              </w:rPr>
            </w:pPr>
            <w:r>
              <w:rPr>
                <w:spacing w:val="-2"/>
                <w:sz w:val="16"/>
              </w:rPr>
              <w:t>Corporate</w:t>
            </w:r>
          </w:p>
        </w:tc>
        <w:tc>
          <w:tcPr>
            <w:tcW w:w="1799" w:type="dxa"/>
            <w:shd w:val="clear" w:color="auto" w:fill="CCE2ED"/>
          </w:tcPr>
          <w:p w14:paraId="569E45C2" w14:textId="77777777" w:rsidR="00141B97" w:rsidRDefault="00911D63">
            <w:pPr>
              <w:pStyle w:val="TableParagraph"/>
              <w:spacing w:before="82" w:line="93" w:lineRule="exact"/>
              <w:ind w:left="203"/>
              <w:rPr>
                <w:sz w:val="16"/>
              </w:rPr>
            </w:pPr>
            <w:r>
              <w:rPr>
                <w:spacing w:val="-2"/>
                <w:sz w:val="16"/>
              </w:rPr>
              <w:t>Renewals</w:t>
            </w:r>
          </w:p>
        </w:tc>
        <w:tc>
          <w:tcPr>
            <w:tcW w:w="1624" w:type="dxa"/>
            <w:shd w:val="clear" w:color="auto" w:fill="CCE2ED"/>
          </w:tcPr>
          <w:p w14:paraId="10E7167F" w14:textId="77777777" w:rsidR="00141B97" w:rsidRDefault="00911D63">
            <w:pPr>
              <w:pStyle w:val="TableParagraph"/>
              <w:spacing w:before="82" w:line="93" w:lineRule="exact"/>
              <w:ind w:left="288"/>
              <w:rPr>
                <w:sz w:val="16"/>
              </w:rPr>
            </w:pPr>
            <w:r>
              <w:rPr>
                <w:sz w:val="16"/>
              </w:rPr>
              <w:t>All</w:t>
            </w:r>
            <w:r>
              <w:rPr>
                <w:spacing w:val="-4"/>
                <w:sz w:val="16"/>
              </w:rPr>
              <w:t xml:space="preserve"> </w:t>
            </w:r>
            <w:r>
              <w:rPr>
                <w:spacing w:val="-2"/>
                <w:sz w:val="16"/>
              </w:rPr>
              <w:t>outcomes</w:t>
            </w:r>
          </w:p>
        </w:tc>
        <w:tc>
          <w:tcPr>
            <w:tcW w:w="2031" w:type="dxa"/>
            <w:shd w:val="clear" w:color="auto" w:fill="CCE2ED"/>
          </w:tcPr>
          <w:p w14:paraId="0C56B2A6" w14:textId="77777777" w:rsidR="00141B97" w:rsidRDefault="00911D63">
            <w:pPr>
              <w:pStyle w:val="TableParagraph"/>
              <w:spacing w:line="176" w:lineRule="exact"/>
              <w:ind w:left="110"/>
              <w:rPr>
                <w:sz w:val="16"/>
              </w:rPr>
            </w:pPr>
            <w:r>
              <w:rPr>
                <w:sz w:val="16"/>
              </w:rPr>
              <w:t>to</w:t>
            </w:r>
            <w:r>
              <w:rPr>
                <w:spacing w:val="-6"/>
                <w:sz w:val="16"/>
              </w:rPr>
              <w:t xml:space="preserve"> </w:t>
            </w:r>
            <w:r>
              <w:rPr>
                <w:sz w:val="16"/>
              </w:rPr>
              <w:t>ensure</w:t>
            </w:r>
            <w:r>
              <w:rPr>
                <w:spacing w:val="-3"/>
                <w:sz w:val="16"/>
              </w:rPr>
              <w:t xml:space="preserve"> </w:t>
            </w:r>
            <w:r>
              <w:rPr>
                <w:sz w:val="16"/>
              </w:rPr>
              <w:t>safety</w:t>
            </w:r>
            <w:r>
              <w:rPr>
                <w:spacing w:val="-4"/>
                <w:sz w:val="16"/>
              </w:rPr>
              <w:t xml:space="preserve"> </w:t>
            </w:r>
            <w:r>
              <w:rPr>
                <w:spacing w:val="-5"/>
                <w:sz w:val="16"/>
              </w:rPr>
              <w:t>and</w:t>
            </w:r>
          </w:p>
        </w:tc>
        <w:tc>
          <w:tcPr>
            <w:tcW w:w="2848" w:type="dxa"/>
            <w:shd w:val="clear" w:color="auto" w:fill="CCE2ED"/>
          </w:tcPr>
          <w:p w14:paraId="751039BB" w14:textId="77777777" w:rsidR="00141B97" w:rsidRDefault="00911D63">
            <w:pPr>
              <w:pStyle w:val="TableParagraph"/>
              <w:spacing w:line="176" w:lineRule="exact"/>
              <w:ind w:left="119"/>
              <w:rPr>
                <w:sz w:val="16"/>
              </w:rPr>
            </w:pPr>
            <w:r>
              <w:rPr>
                <w:spacing w:val="-2"/>
                <w:sz w:val="16"/>
              </w:rPr>
              <w:t>Rolling</w:t>
            </w:r>
            <w:r>
              <w:rPr>
                <w:spacing w:val="4"/>
                <w:sz w:val="16"/>
              </w:rPr>
              <w:t xml:space="preserve"> </w:t>
            </w:r>
            <w:r>
              <w:rPr>
                <w:spacing w:val="-2"/>
                <w:sz w:val="16"/>
              </w:rPr>
              <w:t>periodic</w:t>
            </w:r>
            <w:r>
              <w:rPr>
                <w:spacing w:val="8"/>
                <w:sz w:val="16"/>
              </w:rPr>
              <w:t xml:space="preserve"> </w:t>
            </w:r>
            <w:r>
              <w:rPr>
                <w:spacing w:val="-2"/>
                <w:sz w:val="16"/>
              </w:rPr>
              <w:t>disposal</w:t>
            </w:r>
            <w:r>
              <w:rPr>
                <w:spacing w:val="5"/>
                <w:sz w:val="16"/>
              </w:rPr>
              <w:t xml:space="preserve"> </w:t>
            </w:r>
            <w:r>
              <w:rPr>
                <w:spacing w:val="-5"/>
                <w:sz w:val="16"/>
              </w:rPr>
              <w:t>and</w:t>
            </w:r>
          </w:p>
        </w:tc>
        <w:tc>
          <w:tcPr>
            <w:tcW w:w="2133" w:type="dxa"/>
            <w:shd w:val="clear" w:color="auto" w:fill="CCE2ED"/>
          </w:tcPr>
          <w:p w14:paraId="0A83BA51" w14:textId="77777777" w:rsidR="00141B97" w:rsidRDefault="00911D63">
            <w:pPr>
              <w:pStyle w:val="TableParagraph"/>
              <w:spacing w:line="176" w:lineRule="exact"/>
              <w:ind w:left="113"/>
              <w:rPr>
                <w:sz w:val="16"/>
              </w:rPr>
            </w:pPr>
            <w:r>
              <w:rPr>
                <w:sz w:val="16"/>
              </w:rPr>
              <w:t>with</w:t>
            </w:r>
            <w:r>
              <w:rPr>
                <w:spacing w:val="-5"/>
                <w:sz w:val="16"/>
              </w:rPr>
              <w:t xml:space="preserve"> </w:t>
            </w:r>
            <w:r>
              <w:rPr>
                <w:sz w:val="16"/>
              </w:rPr>
              <w:t>respect</w:t>
            </w:r>
            <w:r>
              <w:rPr>
                <w:spacing w:val="-4"/>
                <w:sz w:val="16"/>
              </w:rPr>
              <w:t xml:space="preserve"> </w:t>
            </w:r>
            <w:r>
              <w:rPr>
                <w:sz w:val="16"/>
              </w:rPr>
              <w:t>to</w:t>
            </w:r>
            <w:r>
              <w:rPr>
                <w:spacing w:val="-3"/>
                <w:sz w:val="16"/>
              </w:rPr>
              <w:t xml:space="preserve"> </w:t>
            </w:r>
            <w:r>
              <w:rPr>
                <w:sz w:val="16"/>
              </w:rPr>
              <w:t>triple</w:t>
            </w:r>
            <w:r>
              <w:rPr>
                <w:spacing w:val="-3"/>
                <w:sz w:val="16"/>
              </w:rPr>
              <w:t xml:space="preserve"> </w:t>
            </w:r>
            <w:r>
              <w:rPr>
                <w:spacing w:val="-2"/>
                <w:sz w:val="16"/>
              </w:rPr>
              <w:t>bottom</w:t>
            </w:r>
          </w:p>
        </w:tc>
      </w:tr>
      <w:tr w:rsidR="00141B97" w14:paraId="3FFFCBF9" w14:textId="77777777">
        <w:trPr>
          <w:trHeight w:val="195"/>
        </w:trPr>
        <w:tc>
          <w:tcPr>
            <w:tcW w:w="2567" w:type="dxa"/>
            <w:shd w:val="clear" w:color="auto" w:fill="CCE2ED"/>
          </w:tcPr>
          <w:p w14:paraId="6981C58E" w14:textId="77777777" w:rsidR="00141B97" w:rsidRDefault="00911D63">
            <w:pPr>
              <w:pStyle w:val="TableParagraph"/>
              <w:spacing w:line="176" w:lineRule="exact"/>
              <w:ind w:left="101"/>
              <w:rPr>
                <w:sz w:val="16"/>
              </w:rPr>
            </w:pPr>
            <w:r>
              <w:rPr>
                <w:sz w:val="16"/>
              </w:rPr>
              <w:t>vehicle</w:t>
            </w:r>
            <w:r>
              <w:rPr>
                <w:spacing w:val="-7"/>
                <w:sz w:val="16"/>
              </w:rPr>
              <w:t xml:space="preserve"> </w:t>
            </w:r>
            <w:r>
              <w:rPr>
                <w:spacing w:val="-2"/>
                <w:sz w:val="16"/>
              </w:rPr>
              <w:t>replacements</w:t>
            </w:r>
          </w:p>
        </w:tc>
        <w:tc>
          <w:tcPr>
            <w:tcW w:w="1261" w:type="dxa"/>
            <w:shd w:val="clear" w:color="auto" w:fill="CCE2ED"/>
          </w:tcPr>
          <w:p w14:paraId="3284C934" w14:textId="77777777" w:rsidR="00141B97" w:rsidRDefault="00141B97">
            <w:pPr>
              <w:pStyle w:val="TableParagraph"/>
              <w:rPr>
                <w:rFonts w:ascii="Times New Roman"/>
                <w:sz w:val="12"/>
              </w:rPr>
            </w:pPr>
          </w:p>
        </w:tc>
        <w:tc>
          <w:tcPr>
            <w:tcW w:w="1415" w:type="dxa"/>
            <w:shd w:val="clear" w:color="auto" w:fill="CCE2ED"/>
          </w:tcPr>
          <w:p w14:paraId="2B27A9F5" w14:textId="77777777" w:rsidR="00141B97" w:rsidRDefault="00141B97">
            <w:pPr>
              <w:pStyle w:val="TableParagraph"/>
              <w:rPr>
                <w:rFonts w:ascii="Times New Roman"/>
                <w:sz w:val="12"/>
              </w:rPr>
            </w:pPr>
          </w:p>
        </w:tc>
        <w:tc>
          <w:tcPr>
            <w:tcW w:w="1799" w:type="dxa"/>
            <w:shd w:val="clear" w:color="auto" w:fill="CCE2ED"/>
          </w:tcPr>
          <w:p w14:paraId="2BAFDC38" w14:textId="77777777" w:rsidR="00141B97" w:rsidRDefault="00141B97">
            <w:pPr>
              <w:pStyle w:val="TableParagraph"/>
              <w:rPr>
                <w:rFonts w:ascii="Times New Roman"/>
                <w:sz w:val="12"/>
              </w:rPr>
            </w:pPr>
          </w:p>
        </w:tc>
        <w:tc>
          <w:tcPr>
            <w:tcW w:w="1624" w:type="dxa"/>
            <w:shd w:val="clear" w:color="auto" w:fill="CCE2ED"/>
          </w:tcPr>
          <w:p w14:paraId="14A01D5F" w14:textId="77777777" w:rsidR="00141B97" w:rsidRDefault="00141B97">
            <w:pPr>
              <w:pStyle w:val="TableParagraph"/>
              <w:rPr>
                <w:rFonts w:ascii="Times New Roman"/>
                <w:sz w:val="12"/>
              </w:rPr>
            </w:pPr>
          </w:p>
        </w:tc>
        <w:tc>
          <w:tcPr>
            <w:tcW w:w="2031" w:type="dxa"/>
            <w:shd w:val="clear" w:color="auto" w:fill="CCE2ED"/>
          </w:tcPr>
          <w:p w14:paraId="5D9394DC" w14:textId="77777777" w:rsidR="00141B97" w:rsidRDefault="00911D63">
            <w:pPr>
              <w:pStyle w:val="TableParagraph"/>
              <w:spacing w:line="176" w:lineRule="exact"/>
              <w:ind w:left="110"/>
              <w:rPr>
                <w:sz w:val="16"/>
              </w:rPr>
            </w:pPr>
            <w:r>
              <w:rPr>
                <w:spacing w:val="-2"/>
                <w:sz w:val="16"/>
              </w:rPr>
              <w:t>functionality</w:t>
            </w:r>
            <w:r>
              <w:rPr>
                <w:spacing w:val="4"/>
                <w:sz w:val="16"/>
              </w:rPr>
              <w:t xml:space="preserve"> </w:t>
            </w:r>
            <w:r>
              <w:rPr>
                <w:spacing w:val="-2"/>
                <w:sz w:val="16"/>
              </w:rPr>
              <w:t>for</w:t>
            </w:r>
            <w:r>
              <w:rPr>
                <w:spacing w:val="5"/>
                <w:sz w:val="16"/>
              </w:rPr>
              <w:t xml:space="preserve"> </w:t>
            </w:r>
            <w:r>
              <w:rPr>
                <w:spacing w:val="-2"/>
                <w:sz w:val="16"/>
              </w:rPr>
              <w:t>customer</w:t>
            </w:r>
          </w:p>
        </w:tc>
        <w:tc>
          <w:tcPr>
            <w:tcW w:w="2848" w:type="dxa"/>
            <w:shd w:val="clear" w:color="auto" w:fill="CCE2ED"/>
          </w:tcPr>
          <w:p w14:paraId="01C2A37A" w14:textId="77777777" w:rsidR="00141B97" w:rsidRDefault="00911D63">
            <w:pPr>
              <w:pStyle w:val="TableParagraph"/>
              <w:spacing w:line="176" w:lineRule="exact"/>
              <w:ind w:left="119"/>
              <w:rPr>
                <w:sz w:val="16"/>
              </w:rPr>
            </w:pPr>
            <w:r>
              <w:rPr>
                <w:sz w:val="16"/>
              </w:rPr>
              <w:t>replacement</w:t>
            </w:r>
            <w:r>
              <w:rPr>
                <w:spacing w:val="-6"/>
                <w:sz w:val="16"/>
              </w:rPr>
              <w:t xml:space="preserve"> </w:t>
            </w:r>
            <w:r>
              <w:rPr>
                <w:sz w:val="16"/>
              </w:rPr>
              <w:t>of</w:t>
            </w:r>
            <w:r>
              <w:rPr>
                <w:spacing w:val="-5"/>
                <w:sz w:val="16"/>
              </w:rPr>
              <w:t xml:space="preserve"> </w:t>
            </w:r>
            <w:r>
              <w:rPr>
                <w:sz w:val="16"/>
              </w:rPr>
              <w:t>heavy</w:t>
            </w:r>
            <w:r>
              <w:rPr>
                <w:spacing w:val="-5"/>
                <w:sz w:val="16"/>
              </w:rPr>
              <w:t xml:space="preserve"> </w:t>
            </w:r>
            <w:r>
              <w:rPr>
                <w:sz w:val="16"/>
              </w:rPr>
              <w:t>vehicle</w:t>
            </w:r>
            <w:r>
              <w:rPr>
                <w:spacing w:val="-5"/>
                <w:sz w:val="16"/>
              </w:rPr>
              <w:t xml:space="preserve"> </w:t>
            </w:r>
            <w:r>
              <w:rPr>
                <w:spacing w:val="-2"/>
                <w:sz w:val="16"/>
              </w:rPr>
              <w:t>fleet.</w:t>
            </w:r>
          </w:p>
        </w:tc>
        <w:tc>
          <w:tcPr>
            <w:tcW w:w="2133" w:type="dxa"/>
            <w:shd w:val="clear" w:color="auto" w:fill="CCE2ED"/>
          </w:tcPr>
          <w:p w14:paraId="230633D9" w14:textId="77777777" w:rsidR="00141B97" w:rsidRDefault="00911D63">
            <w:pPr>
              <w:pStyle w:val="TableParagraph"/>
              <w:spacing w:line="176" w:lineRule="exact"/>
              <w:ind w:left="113"/>
              <w:rPr>
                <w:sz w:val="16"/>
              </w:rPr>
            </w:pPr>
            <w:r>
              <w:rPr>
                <w:sz w:val="16"/>
              </w:rPr>
              <w:t>line</w:t>
            </w:r>
            <w:r>
              <w:rPr>
                <w:spacing w:val="-7"/>
                <w:sz w:val="16"/>
              </w:rPr>
              <w:t xml:space="preserve"> </w:t>
            </w:r>
            <w:r>
              <w:rPr>
                <w:sz w:val="16"/>
              </w:rPr>
              <w:t>(social,</w:t>
            </w:r>
            <w:r>
              <w:rPr>
                <w:spacing w:val="-6"/>
                <w:sz w:val="16"/>
              </w:rPr>
              <w:t xml:space="preserve"> </w:t>
            </w:r>
            <w:r>
              <w:rPr>
                <w:spacing w:val="-2"/>
                <w:sz w:val="16"/>
              </w:rPr>
              <w:t>environmental,</w:t>
            </w:r>
          </w:p>
        </w:tc>
      </w:tr>
      <w:tr w:rsidR="00141B97" w14:paraId="75BC369A" w14:textId="77777777">
        <w:trPr>
          <w:trHeight w:val="180"/>
        </w:trPr>
        <w:tc>
          <w:tcPr>
            <w:tcW w:w="2567" w:type="dxa"/>
            <w:tcBorders>
              <w:bottom w:val="single" w:sz="4" w:space="0" w:color="FFFFFF"/>
            </w:tcBorders>
            <w:shd w:val="clear" w:color="auto" w:fill="CCE2ED"/>
          </w:tcPr>
          <w:p w14:paraId="5340EC84" w14:textId="77777777" w:rsidR="00141B97" w:rsidRDefault="00141B97">
            <w:pPr>
              <w:pStyle w:val="TableParagraph"/>
              <w:rPr>
                <w:rFonts w:ascii="Times New Roman"/>
                <w:sz w:val="12"/>
              </w:rPr>
            </w:pPr>
          </w:p>
        </w:tc>
        <w:tc>
          <w:tcPr>
            <w:tcW w:w="1261" w:type="dxa"/>
            <w:tcBorders>
              <w:bottom w:val="single" w:sz="4" w:space="0" w:color="FFFFFF"/>
            </w:tcBorders>
            <w:shd w:val="clear" w:color="auto" w:fill="CCE2ED"/>
          </w:tcPr>
          <w:p w14:paraId="7CBE74B8" w14:textId="77777777" w:rsidR="00141B97" w:rsidRDefault="00141B97">
            <w:pPr>
              <w:pStyle w:val="TableParagraph"/>
              <w:rPr>
                <w:rFonts w:ascii="Times New Roman"/>
                <w:sz w:val="12"/>
              </w:rPr>
            </w:pPr>
          </w:p>
        </w:tc>
        <w:tc>
          <w:tcPr>
            <w:tcW w:w="1415" w:type="dxa"/>
            <w:tcBorders>
              <w:bottom w:val="single" w:sz="4" w:space="0" w:color="FFFFFF"/>
            </w:tcBorders>
            <w:shd w:val="clear" w:color="auto" w:fill="CCE2ED"/>
          </w:tcPr>
          <w:p w14:paraId="31909ED8" w14:textId="77777777" w:rsidR="00141B97" w:rsidRDefault="00141B97">
            <w:pPr>
              <w:pStyle w:val="TableParagraph"/>
              <w:rPr>
                <w:rFonts w:ascii="Times New Roman"/>
                <w:sz w:val="12"/>
              </w:rPr>
            </w:pPr>
          </w:p>
        </w:tc>
        <w:tc>
          <w:tcPr>
            <w:tcW w:w="1799" w:type="dxa"/>
            <w:tcBorders>
              <w:bottom w:val="single" w:sz="4" w:space="0" w:color="FFFFFF"/>
            </w:tcBorders>
            <w:shd w:val="clear" w:color="auto" w:fill="CCE2ED"/>
          </w:tcPr>
          <w:p w14:paraId="142AA2CE" w14:textId="77777777" w:rsidR="00141B97" w:rsidRDefault="00141B97">
            <w:pPr>
              <w:pStyle w:val="TableParagraph"/>
              <w:rPr>
                <w:rFonts w:ascii="Times New Roman"/>
                <w:sz w:val="12"/>
              </w:rPr>
            </w:pPr>
          </w:p>
        </w:tc>
        <w:tc>
          <w:tcPr>
            <w:tcW w:w="1624" w:type="dxa"/>
            <w:tcBorders>
              <w:bottom w:val="single" w:sz="4" w:space="0" w:color="FFFFFF"/>
            </w:tcBorders>
            <w:shd w:val="clear" w:color="auto" w:fill="CCE2ED"/>
          </w:tcPr>
          <w:p w14:paraId="42B4869D" w14:textId="77777777" w:rsidR="00141B97" w:rsidRDefault="00141B97">
            <w:pPr>
              <w:pStyle w:val="TableParagraph"/>
              <w:rPr>
                <w:rFonts w:ascii="Times New Roman"/>
                <w:sz w:val="12"/>
              </w:rPr>
            </w:pPr>
          </w:p>
        </w:tc>
        <w:tc>
          <w:tcPr>
            <w:tcW w:w="2031" w:type="dxa"/>
            <w:tcBorders>
              <w:bottom w:val="single" w:sz="4" w:space="0" w:color="FFFFFF"/>
            </w:tcBorders>
            <w:shd w:val="clear" w:color="auto" w:fill="CCE2ED"/>
          </w:tcPr>
          <w:p w14:paraId="229CFD58" w14:textId="77777777" w:rsidR="00141B97" w:rsidRDefault="00911D63">
            <w:pPr>
              <w:pStyle w:val="TableParagraph"/>
              <w:spacing w:line="161" w:lineRule="exact"/>
              <w:ind w:left="110"/>
              <w:rPr>
                <w:sz w:val="16"/>
              </w:rPr>
            </w:pPr>
            <w:r>
              <w:rPr>
                <w:sz w:val="16"/>
              </w:rPr>
              <w:t>service</w:t>
            </w:r>
            <w:r>
              <w:rPr>
                <w:spacing w:val="-7"/>
                <w:sz w:val="16"/>
              </w:rPr>
              <w:t xml:space="preserve"> </w:t>
            </w:r>
            <w:r>
              <w:rPr>
                <w:sz w:val="16"/>
              </w:rPr>
              <w:t>and</w:t>
            </w:r>
            <w:r>
              <w:rPr>
                <w:spacing w:val="-7"/>
                <w:sz w:val="16"/>
              </w:rPr>
              <w:t xml:space="preserve"> </w:t>
            </w:r>
            <w:r>
              <w:rPr>
                <w:sz w:val="16"/>
              </w:rPr>
              <w:t>service</w:t>
            </w:r>
            <w:r>
              <w:rPr>
                <w:spacing w:val="-5"/>
                <w:sz w:val="16"/>
              </w:rPr>
              <w:t xml:space="preserve"> </w:t>
            </w:r>
            <w:r>
              <w:rPr>
                <w:spacing w:val="-2"/>
                <w:sz w:val="16"/>
              </w:rPr>
              <w:t>delivery.</w:t>
            </w:r>
          </w:p>
        </w:tc>
        <w:tc>
          <w:tcPr>
            <w:tcW w:w="2848" w:type="dxa"/>
            <w:tcBorders>
              <w:bottom w:val="single" w:sz="4" w:space="0" w:color="FFFFFF"/>
            </w:tcBorders>
            <w:shd w:val="clear" w:color="auto" w:fill="CCE2ED"/>
          </w:tcPr>
          <w:p w14:paraId="7BAFD74E" w14:textId="77777777" w:rsidR="00141B97" w:rsidRDefault="00141B97">
            <w:pPr>
              <w:pStyle w:val="TableParagraph"/>
              <w:rPr>
                <w:rFonts w:ascii="Times New Roman"/>
                <w:sz w:val="12"/>
              </w:rPr>
            </w:pPr>
          </w:p>
        </w:tc>
        <w:tc>
          <w:tcPr>
            <w:tcW w:w="2133" w:type="dxa"/>
            <w:tcBorders>
              <w:bottom w:val="single" w:sz="4" w:space="0" w:color="FFFFFF"/>
            </w:tcBorders>
            <w:shd w:val="clear" w:color="auto" w:fill="CCE2ED"/>
          </w:tcPr>
          <w:p w14:paraId="23E3D056" w14:textId="77777777" w:rsidR="00141B97" w:rsidRDefault="00911D63">
            <w:pPr>
              <w:pStyle w:val="TableParagraph"/>
              <w:spacing w:line="161" w:lineRule="exact"/>
              <w:ind w:left="113"/>
              <w:rPr>
                <w:sz w:val="16"/>
              </w:rPr>
            </w:pPr>
            <w:r>
              <w:rPr>
                <w:spacing w:val="-2"/>
                <w:sz w:val="16"/>
              </w:rPr>
              <w:t>economic)</w:t>
            </w:r>
            <w:r>
              <w:rPr>
                <w:spacing w:val="6"/>
                <w:sz w:val="16"/>
              </w:rPr>
              <w:t xml:space="preserve"> </w:t>
            </w:r>
            <w:r>
              <w:rPr>
                <w:spacing w:val="-2"/>
                <w:sz w:val="16"/>
              </w:rPr>
              <w:t>objectives.</w:t>
            </w:r>
          </w:p>
        </w:tc>
      </w:tr>
      <w:tr w:rsidR="00141B97" w14:paraId="39040C5F" w14:textId="77777777">
        <w:trPr>
          <w:trHeight w:val="976"/>
        </w:trPr>
        <w:tc>
          <w:tcPr>
            <w:tcW w:w="2567" w:type="dxa"/>
            <w:tcBorders>
              <w:top w:val="single" w:sz="4" w:space="0" w:color="FFFFFF"/>
            </w:tcBorders>
            <w:shd w:val="clear" w:color="auto" w:fill="CCE2ED"/>
          </w:tcPr>
          <w:p w14:paraId="50879719" w14:textId="77777777" w:rsidR="00141B97" w:rsidRDefault="00141B97">
            <w:pPr>
              <w:pStyle w:val="TableParagraph"/>
              <w:rPr>
                <w:sz w:val="16"/>
              </w:rPr>
            </w:pPr>
          </w:p>
          <w:p w14:paraId="7CBC7C4F" w14:textId="77777777" w:rsidR="00141B97" w:rsidRDefault="00141B97">
            <w:pPr>
              <w:pStyle w:val="TableParagraph"/>
              <w:spacing w:before="11"/>
              <w:rPr>
                <w:sz w:val="15"/>
              </w:rPr>
            </w:pPr>
          </w:p>
          <w:p w14:paraId="65F9E7EB" w14:textId="77777777" w:rsidR="00141B97" w:rsidRDefault="00911D63">
            <w:pPr>
              <w:pStyle w:val="TableParagraph"/>
              <w:ind w:left="101"/>
              <w:rPr>
                <w:sz w:val="16"/>
              </w:rPr>
            </w:pPr>
            <w:r>
              <w:rPr>
                <w:sz w:val="16"/>
              </w:rPr>
              <w:t>Corporate</w:t>
            </w:r>
            <w:r>
              <w:rPr>
                <w:spacing w:val="-8"/>
                <w:sz w:val="16"/>
              </w:rPr>
              <w:t xml:space="preserve"> </w:t>
            </w:r>
            <w:r>
              <w:rPr>
                <w:sz w:val="16"/>
              </w:rPr>
              <w:t>Facilities</w:t>
            </w:r>
            <w:r>
              <w:rPr>
                <w:spacing w:val="-9"/>
                <w:sz w:val="16"/>
              </w:rPr>
              <w:t xml:space="preserve"> </w:t>
            </w:r>
            <w:r>
              <w:rPr>
                <w:sz w:val="16"/>
              </w:rPr>
              <w:t>and</w:t>
            </w:r>
            <w:r>
              <w:rPr>
                <w:spacing w:val="-8"/>
                <w:sz w:val="16"/>
              </w:rPr>
              <w:t xml:space="preserve"> </w:t>
            </w:r>
            <w:r>
              <w:rPr>
                <w:spacing w:val="-2"/>
                <w:sz w:val="16"/>
              </w:rPr>
              <w:t>Buildings</w:t>
            </w:r>
          </w:p>
        </w:tc>
        <w:tc>
          <w:tcPr>
            <w:tcW w:w="1261" w:type="dxa"/>
            <w:tcBorders>
              <w:top w:val="single" w:sz="4" w:space="0" w:color="FFFFFF"/>
            </w:tcBorders>
            <w:shd w:val="clear" w:color="auto" w:fill="CCE2ED"/>
          </w:tcPr>
          <w:p w14:paraId="3F432113" w14:textId="77777777" w:rsidR="00141B97" w:rsidRDefault="00141B97">
            <w:pPr>
              <w:pStyle w:val="TableParagraph"/>
              <w:rPr>
                <w:sz w:val="16"/>
              </w:rPr>
            </w:pPr>
          </w:p>
          <w:p w14:paraId="0D58B5AA" w14:textId="77777777" w:rsidR="00141B97" w:rsidRDefault="00141B97">
            <w:pPr>
              <w:pStyle w:val="TableParagraph"/>
              <w:spacing w:before="11"/>
              <w:rPr>
                <w:sz w:val="15"/>
              </w:rPr>
            </w:pPr>
          </w:p>
          <w:p w14:paraId="1F3DF37B" w14:textId="77777777" w:rsidR="00141B97" w:rsidRDefault="00911D63">
            <w:pPr>
              <w:pStyle w:val="TableParagraph"/>
              <w:ind w:left="252" w:right="184"/>
              <w:jc w:val="center"/>
              <w:rPr>
                <w:sz w:val="16"/>
              </w:rPr>
            </w:pPr>
            <w:r>
              <w:rPr>
                <w:spacing w:val="-4"/>
                <w:sz w:val="16"/>
              </w:rPr>
              <w:t>2.03</w:t>
            </w:r>
          </w:p>
        </w:tc>
        <w:tc>
          <w:tcPr>
            <w:tcW w:w="1415" w:type="dxa"/>
            <w:tcBorders>
              <w:top w:val="single" w:sz="4" w:space="0" w:color="FFFFFF"/>
            </w:tcBorders>
            <w:shd w:val="clear" w:color="auto" w:fill="CCE2ED"/>
          </w:tcPr>
          <w:p w14:paraId="26B27C6B" w14:textId="77777777" w:rsidR="00141B97" w:rsidRDefault="00141B97">
            <w:pPr>
              <w:pStyle w:val="TableParagraph"/>
              <w:rPr>
                <w:sz w:val="16"/>
              </w:rPr>
            </w:pPr>
          </w:p>
          <w:p w14:paraId="285BDA55" w14:textId="77777777" w:rsidR="00141B97" w:rsidRDefault="00141B97">
            <w:pPr>
              <w:pStyle w:val="TableParagraph"/>
              <w:spacing w:before="11"/>
              <w:rPr>
                <w:sz w:val="15"/>
              </w:rPr>
            </w:pPr>
          </w:p>
          <w:p w14:paraId="66D3B0F7" w14:textId="77777777" w:rsidR="00141B97" w:rsidRDefault="00911D63">
            <w:pPr>
              <w:pStyle w:val="TableParagraph"/>
              <w:ind w:left="139"/>
              <w:rPr>
                <w:sz w:val="16"/>
              </w:rPr>
            </w:pPr>
            <w:r>
              <w:rPr>
                <w:spacing w:val="-2"/>
                <w:sz w:val="16"/>
              </w:rPr>
              <w:t>Corporate</w:t>
            </w:r>
          </w:p>
        </w:tc>
        <w:tc>
          <w:tcPr>
            <w:tcW w:w="1799" w:type="dxa"/>
            <w:tcBorders>
              <w:top w:val="single" w:sz="4" w:space="0" w:color="FFFFFF"/>
            </w:tcBorders>
            <w:shd w:val="clear" w:color="auto" w:fill="CCE2ED"/>
          </w:tcPr>
          <w:p w14:paraId="6238D583" w14:textId="77777777" w:rsidR="00141B97" w:rsidRDefault="00141B97">
            <w:pPr>
              <w:pStyle w:val="TableParagraph"/>
              <w:spacing w:before="11"/>
              <w:rPr>
                <w:sz w:val="23"/>
              </w:rPr>
            </w:pPr>
          </w:p>
          <w:p w14:paraId="3963DE01" w14:textId="77777777" w:rsidR="00141B97" w:rsidRDefault="00911D63">
            <w:pPr>
              <w:pStyle w:val="TableParagraph"/>
              <w:spacing w:before="1"/>
              <w:ind w:left="203" w:right="551"/>
              <w:rPr>
                <w:sz w:val="16"/>
              </w:rPr>
            </w:pPr>
            <w:r>
              <w:rPr>
                <w:sz w:val="16"/>
              </w:rPr>
              <w:t>Improvements</w:t>
            </w:r>
            <w:r>
              <w:rPr>
                <w:spacing w:val="-10"/>
                <w:sz w:val="16"/>
              </w:rPr>
              <w:t xml:space="preserve"> </w:t>
            </w:r>
            <w:r>
              <w:rPr>
                <w:sz w:val="16"/>
              </w:rPr>
              <w:t>/</w:t>
            </w:r>
            <w:r>
              <w:rPr>
                <w:spacing w:val="40"/>
                <w:sz w:val="16"/>
              </w:rPr>
              <w:t xml:space="preserve"> </w:t>
            </w:r>
            <w:r>
              <w:rPr>
                <w:spacing w:val="-2"/>
                <w:sz w:val="16"/>
              </w:rPr>
              <w:t>Compliance</w:t>
            </w:r>
          </w:p>
        </w:tc>
        <w:tc>
          <w:tcPr>
            <w:tcW w:w="1624" w:type="dxa"/>
            <w:tcBorders>
              <w:top w:val="single" w:sz="4" w:space="0" w:color="FFFFFF"/>
            </w:tcBorders>
            <w:shd w:val="clear" w:color="auto" w:fill="CCE2ED"/>
          </w:tcPr>
          <w:p w14:paraId="474896EB" w14:textId="77777777" w:rsidR="00141B97" w:rsidRDefault="00141B97">
            <w:pPr>
              <w:pStyle w:val="TableParagraph"/>
              <w:rPr>
                <w:sz w:val="16"/>
              </w:rPr>
            </w:pPr>
          </w:p>
          <w:p w14:paraId="46D284F2" w14:textId="77777777" w:rsidR="00141B97" w:rsidRDefault="00141B97">
            <w:pPr>
              <w:pStyle w:val="TableParagraph"/>
              <w:spacing w:before="11"/>
              <w:rPr>
                <w:sz w:val="15"/>
              </w:rPr>
            </w:pPr>
          </w:p>
          <w:p w14:paraId="15430E02" w14:textId="77777777" w:rsidR="00141B97" w:rsidRDefault="00911D63">
            <w:pPr>
              <w:pStyle w:val="TableParagraph"/>
              <w:ind w:left="288"/>
              <w:rPr>
                <w:sz w:val="16"/>
              </w:rPr>
            </w:pPr>
            <w:r>
              <w:rPr>
                <w:sz w:val="16"/>
              </w:rPr>
              <w:t>All</w:t>
            </w:r>
            <w:r>
              <w:rPr>
                <w:spacing w:val="-4"/>
                <w:sz w:val="16"/>
              </w:rPr>
              <w:t xml:space="preserve"> </w:t>
            </w:r>
            <w:r>
              <w:rPr>
                <w:spacing w:val="-2"/>
                <w:sz w:val="16"/>
              </w:rPr>
              <w:t>outcomes</w:t>
            </w:r>
          </w:p>
        </w:tc>
        <w:tc>
          <w:tcPr>
            <w:tcW w:w="2031" w:type="dxa"/>
            <w:tcBorders>
              <w:top w:val="single" w:sz="4" w:space="0" w:color="FFFFFF"/>
            </w:tcBorders>
            <w:shd w:val="clear" w:color="auto" w:fill="CCE2ED"/>
          </w:tcPr>
          <w:p w14:paraId="487D3140" w14:textId="77777777" w:rsidR="00141B97" w:rsidRDefault="00911D63">
            <w:pPr>
              <w:pStyle w:val="TableParagraph"/>
              <w:spacing w:before="97"/>
              <w:ind w:left="110" w:right="73"/>
              <w:rPr>
                <w:sz w:val="16"/>
              </w:rPr>
            </w:pPr>
            <w:r>
              <w:rPr>
                <w:sz w:val="16"/>
              </w:rPr>
              <w:t>Maintain</w:t>
            </w:r>
            <w:r>
              <w:rPr>
                <w:spacing w:val="-10"/>
                <w:sz w:val="16"/>
              </w:rPr>
              <w:t xml:space="preserve"> </w:t>
            </w:r>
            <w:r>
              <w:rPr>
                <w:sz w:val="16"/>
              </w:rPr>
              <w:t>facilities</w:t>
            </w:r>
            <w:r>
              <w:rPr>
                <w:spacing w:val="-9"/>
                <w:sz w:val="16"/>
              </w:rPr>
              <w:t xml:space="preserve"> </w:t>
            </w:r>
            <w:r>
              <w:rPr>
                <w:sz w:val="16"/>
              </w:rPr>
              <w:t>and</w:t>
            </w:r>
            <w:r>
              <w:rPr>
                <w:spacing w:val="40"/>
                <w:sz w:val="16"/>
              </w:rPr>
              <w:t xml:space="preserve"> </w:t>
            </w:r>
            <w:r>
              <w:rPr>
                <w:sz w:val="16"/>
              </w:rPr>
              <w:t>buildings in a safe,</w:t>
            </w:r>
            <w:r>
              <w:rPr>
                <w:spacing w:val="40"/>
                <w:sz w:val="16"/>
              </w:rPr>
              <w:t xml:space="preserve"> </w:t>
            </w:r>
            <w:r>
              <w:rPr>
                <w:sz w:val="16"/>
              </w:rPr>
              <w:t>functional,</w:t>
            </w:r>
            <w:r>
              <w:rPr>
                <w:spacing w:val="-10"/>
                <w:sz w:val="16"/>
              </w:rPr>
              <w:t xml:space="preserve"> </w:t>
            </w:r>
            <w:r>
              <w:rPr>
                <w:sz w:val="16"/>
              </w:rPr>
              <w:t>secure</w:t>
            </w:r>
            <w:r>
              <w:rPr>
                <w:spacing w:val="-9"/>
                <w:sz w:val="16"/>
              </w:rPr>
              <w:t xml:space="preserve"> </w:t>
            </w:r>
            <w:r>
              <w:rPr>
                <w:sz w:val="16"/>
              </w:rPr>
              <w:t>and</w:t>
            </w:r>
            <w:r>
              <w:rPr>
                <w:spacing w:val="40"/>
                <w:sz w:val="16"/>
              </w:rPr>
              <w:t xml:space="preserve"> </w:t>
            </w:r>
            <w:r>
              <w:rPr>
                <w:sz w:val="16"/>
              </w:rPr>
              <w:t>compliant</w:t>
            </w:r>
            <w:r>
              <w:rPr>
                <w:spacing w:val="-7"/>
                <w:sz w:val="16"/>
              </w:rPr>
              <w:t xml:space="preserve"> </w:t>
            </w:r>
            <w:r>
              <w:rPr>
                <w:sz w:val="16"/>
              </w:rPr>
              <w:t>manner.</w:t>
            </w:r>
          </w:p>
        </w:tc>
        <w:tc>
          <w:tcPr>
            <w:tcW w:w="2848" w:type="dxa"/>
            <w:tcBorders>
              <w:top w:val="single" w:sz="4" w:space="0" w:color="FFFFFF"/>
            </w:tcBorders>
            <w:shd w:val="clear" w:color="auto" w:fill="CCE2ED"/>
          </w:tcPr>
          <w:p w14:paraId="05D74BE1" w14:textId="77777777" w:rsidR="00141B97" w:rsidRDefault="00141B97">
            <w:pPr>
              <w:pStyle w:val="TableParagraph"/>
              <w:spacing w:before="11"/>
              <w:rPr>
                <w:sz w:val="23"/>
              </w:rPr>
            </w:pPr>
          </w:p>
          <w:p w14:paraId="2F86B23C" w14:textId="77777777" w:rsidR="00141B97" w:rsidRDefault="00911D63">
            <w:pPr>
              <w:pStyle w:val="TableParagraph"/>
              <w:spacing w:before="1"/>
              <w:ind w:left="119"/>
              <w:rPr>
                <w:sz w:val="16"/>
              </w:rPr>
            </w:pPr>
            <w:r>
              <w:rPr>
                <w:sz w:val="16"/>
              </w:rPr>
              <w:t>Minor interior and exterior building and</w:t>
            </w:r>
            <w:r>
              <w:rPr>
                <w:spacing w:val="40"/>
                <w:sz w:val="16"/>
              </w:rPr>
              <w:t xml:space="preserve"> </w:t>
            </w:r>
            <w:r>
              <w:rPr>
                <w:sz w:val="16"/>
              </w:rPr>
              <w:t>facility</w:t>
            </w:r>
            <w:r>
              <w:rPr>
                <w:spacing w:val="-10"/>
                <w:sz w:val="16"/>
              </w:rPr>
              <w:t xml:space="preserve"> </w:t>
            </w:r>
            <w:r>
              <w:rPr>
                <w:sz w:val="16"/>
              </w:rPr>
              <w:t>replacements</w:t>
            </w:r>
            <w:r>
              <w:rPr>
                <w:spacing w:val="-9"/>
                <w:sz w:val="16"/>
              </w:rPr>
              <w:t xml:space="preserve"> </w:t>
            </w:r>
            <w:r>
              <w:rPr>
                <w:sz w:val="16"/>
              </w:rPr>
              <w:t>and</w:t>
            </w:r>
            <w:r>
              <w:rPr>
                <w:spacing w:val="-9"/>
                <w:sz w:val="16"/>
              </w:rPr>
              <w:t xml:space="preserve"> </w:t>
            </w:r>
            <w:r>
              <w:rPr>
                <w:sz w:val="16"/>
              </w:rPr>
              <w:t>improvements.</w:t>
            </w:r>
          </w:p>
        </w:tc>
        <w:tc>
          <w:tcPr>
            <w:tcW w:w="2133" w:type="dxa"/>
            <w:tcBorders>
              <w:top w:val="single" w:sz="4" w:space="0" w:color="FFFFFF"/>
            </w:tcBorders>
            <w:shd w:val="clear" w:color="auto" w:fill="CCE2ED"/>
          </w:tcPr>
          <w:p w14:paraId="5D7063D0" w14:textId="77777777" w:rsidR="00141B97" w:rsidRDefault="00911D63">
            <w:pPr>
              <w:pStyle w:val="TableParagraph"/>
              <w:ind w:left="113" w:right="163"/>
              <w:rPr>
                <w:sz w:val="16"/>
              </w:rPr>
            </w:pPr>
            <w:r>
              <w:rPr>
                <w:sz w:val="16"/>
              </w:rPr>
              <w:t>Building and facility</w:t>
            </w:r>
            <w:r>
              <w:rPr>
                <w:spacing w:val="40"/>
                <w:sz w:val="16"/>
              </w:rPr>
              <w:t xml:space="preserve"> </w:t>
            </w:r>
            <w:r>
              <w:rPr>
                <w:sz w:val="16"/>
              </w:rPr>
              <w:t>improvements arising from</w:t>
            </w:r>
            <w:r>
              <w:rPr>
                <w:spacing w:val="40"/>
                <w:sz w:val="16"/>
              </w:rPr>
              <w:t xml:space="preserve"> </w:t>
            </w:r>
            <w:r>
              <w:rPr>
                <w:sz w:val="16"/>
              </w:rPr>
              <w:t>safety and amenity</w:t>
            </w:r>
            <w:r>
              <w:rPr>
                <w:spacing w:val="40"/>
                <w:sz w:val="16"/>
              </w:rPr>
              <w:t xml:space="preserve"> </w:t>
            </w:r>
            <w:r>
              <w:rPr>
                <w:sz w:val="16"/>
              </w:rPr>
              <w:t>inspections,</w:t>
            </w:r>
            <w:r>
              <w:rPr>
                <w:spacing w:val="-10"/>
                <w:sz w:val="16"/>
              </w:rPr>
              <w:t xml:space="preserve"> </w:t>
            </w:r>
            <w:r>
              <w:rPr>
                <w:sz w:val="16"/>
              </w:rPr>
              <w:t>accommodation</w:t>
            </w:r>
          </w:p>
          <w:p w14:paraId="3BB20F5C" w14:textId="77777777" w:rsidR="00141B97" w:rsidRDefault="00911D63">
            <w:pPr>
              <w:pStyle w:val="TableParagraph"/>
              <w:spacing w:line="175" w:lineRule="exact"/>
              <w:ind w:left="113"/>
              <w:rPr>
                <w:sz w:val="16"/>
              </w:rPr>
            </w:pPr>
            <w:r>
              <w:rPr>
                <w:sz w:val="16"/>
              </w:rPr>
              <w:t>reviews,</w:t>
            </w:r>
            <w:r>
              <w:rPr>
                <w:spacing w:val="-6"/>
                <w:sz w:val="16"/>
              </w:rPr>
              <w:t xml:space="preserve"> </w:t>
            </w:r>
            <w:r>
              <w:rPr>
                <w:spacing w:val="-4"/>
                <w:sz w:val="16"/>
              </w:rPr>
              <w:t>etc.</w:t>
            </w:r>
          </w:p>
        </w:tc>
      </w:tr>
    </w:tbl>
    <w:p w14:paraId="6B5B6B15" w14:textId="77777777" w:rsidR="00141B97" w:rsidRDefault="00141B97">
      <w:pPr>
        <w:spacing w:line="175" w:lineRule="exact"/>
        <w:rPr>
          <w:sz w:val="16"/>
        </w:rPr>
        <w:sectPr w:rsidR="00141B97">
          <w:pgSz w:w="16840" w:h="11910" w:orient="landscape"/>
          <w:pgMar w:top="820" w:right="600" w:bottom="540" w:left="300" w:header="0" w:footer="345" w:gutter="0"/>
          <w:cols w:space="720"/>
        </w:sectPr>
      </w:pPr>
    </w:p>
    <w:p w14:paraId="2D27E4EA" w14:textId="77777777" w:rsidR="00141B97" w:rsidRDefault="00911D63">
      <w:pPr>
        <w:spacing w:before="27"/>
        <w:ind w:left="124"/>
        <w:rPr>
          <w:sz w:val="28"/>
        </w:rPr>
      </w:pPr>
      <w:r>
        <w:rPr>
          <w:color w:val="009BAC"/>
          <w:sz w:val="28"/>
        </w:rPr>
        <w:lastRenderedPageBreak/>
        <w:t>Appendix</w:t>
      </w:r>
      <w:r>
        <w:rPr>
          <w:color w:val="009BAC"/>
          <w:spacing w:val="-6"/>
          <w:sz w:val="28"/>
        </w:rPr>
        <w:t xml:space="preserve"> </w:t>
      </w:r>
      <w:r>
        <w:rPr>
          <w:color w:val="009BAC"/>
          <w:sz w:val="28"/>
        </w:rPr>
        <w:t>B3</w:t>
      </w:r>
      <w:r>
        <w:rPr>
          <w:color w:val="009BAC"/>
          <w:spacing w:val="-7"/>
          <w:sz w:val="28"/>
        </w:rPr>
        <w:t xml:space="preserve"> </w:t>
      </w:r>
      <w:r>
        <w:rPr>
          <w:color w:val="009BAC"/>
          <w:sz w:val="28"/>
        </w:rPr>
        <w:t>–</w:t>
      </w:r>
      <w:r>
        <w:rPr>
          <w:color w:val="009BAC"/>
          <w:spacing w:val="-8"/>
          <w:sz w:val="28"/>
        </w:rPr>
        <w:t xml:space="preserve"> </w:t>
      </w:r>
      <w:r>
        <w:rPr>
          <w:color w:val="009BAC"/>
          <w:sz w:val="28"/>
        </w:rPr>
        <w:t>Miscellaneous</w:t>
      </w:r>
      <w:r>
        <w:rPr>
          <w:color w:val="009BAC"/>
          <w:spacing w:val="-8"/>
          <w:sz w:val="28"/>
        </w:rPr>
        <w:t xml:space="preserve"> </w:t>
      </w:r>
      <w:r>
        <w:rPr>
          <w:color w:val="009BAC"/>
          <w:spacing w:val="-2"/>
          <w:sz w:val="28"/>
        </w:rPr>
        <w:t>Charges</w:t>
      </w:r>
    </w:p>
    <w:p w14:paraId="6E85A837" w14:textId="77777777" w:rsidR="00141B97" w:rsidRDefault="00911D63">
      <w:pPr>
        <w:pStyle w:val="BodyText"/>
        <w:spacing w:before="9"/>
        <w:rPr>
          <w:sz w:val="10"/>
        </w:rPr>
      </w:pPr>
      <w:r>
        <w:rPr>
          <w:noProof/>
        </w:rPr>
        <w:drawing>
          <wp:anchor distT="0" distB="0" distL="0" distR="0" simplePos="0" relativeHeight="78" behindDoc="0" locked="0" layoutInCell="1" allowOverlap="1" wp14:anchorId="3012F5E6" wp14:editId="62704D39">
            <wp:simplePos x="0" y="0"/>
            <wp:positionH relativeFrom="page">
              <wp:posOffset>266585</wp:posOffset>
            </wp:positionH>
            <wp:positionV relativeFrom="paragraph">
              <wp:posOffset>98469</wp:posOffset>
            </wp:positionV>
            <wp:extent cx="9979151" cy="3974591"/>
            <wp:effectExtent l="0" t="0" r="0" b="0"/>
            <wp:wrapTopAndBottom/>
            <wp:docPr id="9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4.jpeg"/>
                    <pic:cNvPicPr/>
                  </pic:nvPicPr>
                  <pic:blipFill>
                    <a:blip r:embed="rId105" cstate="email">
                      <a:extLst>
                        <a:ext uri="{28A0092B-C50C-407E-A947-70E740481C1C}">
                          <a14:useLocalDpi xmlns:a14="http://schemas.microsoft.com/office/drawing/2010/main"/>
                        </a:ext>
                      </a:extLst>
                    </a:blip>
                    <a:stretch>
                      <a:fillRect/>
                    </a:stretch>
                  </pic:blipFill>
                  <pic:spPr>
                    <a:xfrm>
                      <a:off x="0" y="0"/>
                      <a:ext cx="9979151" cy="3974591"/>
                    </a:xfrm>
                    <a:prstGeom prst="rect">
                      <a:avLst/>
                    </a:prstGeom>
                  </pic:spPr>
                </pic:pic>
              </a:graphicData>
            </a:graphic>
          </wp:anchor>
        </w:drawing>
      </w:r>
    </w:p>
    <w:p w14:paraId="18934390" w14:textId="77777777" w:rsidR="00141B97" w:rsidRDefault="00141B97">
      <w:pPr>
        <w:rPr>
          <w:sz w:val="10"/>
        </w:rPr>
        <w:sectPr w:rsidR="00141B97">
          <w:pgSz w:w="16840" w:h="11910" w:orient="landscape"/>
          <w:pgMar w:top="820" w:right="600" w:bottom="540" w:left="300" w:header="0" w:footer="345" w:gutter="0"/>
          <w:cols w:space="720"/>
        </w:sectPr>
      </w:pPr>
    </w:p>
    <w:p w14:paraId="6493AF45" w14:textId="77777777" w:rsidR="00141B97" w:rsidRDefault="00911D63">
      <w:pPr>
        <w:pStyle w:val="BodyText"/>
        <w:ind w:left="119"/>
        <w:rPr>
          <w:sz w:val="20"/>
        </w:rPr>
      </w:pPr>
      <w:r>
        <w:rPr>
          <w:noProof/>
          <w:sz w:val="20"/>
        </w:rPr>
        <w:lastRenderedPageBreak/>
        <w:drawing>
          <wp:inline distT="0" distB="0" distL="0" distR="0" wp14:anchorId="094F674A" wp14:editId="463A44B8">
            <wp:extent cx="9677073" cy="5849397"/>
            <wp:effectExtent l="0" t="0" r="0" b="0"/>
            <wp:docPr id="10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5.png"/>
                    <pic:cNvPicPr/>
                  </pic:nvPicPr>
                  <pic:blipFill>
                    <a:blip r:embed="rId106" cstate="email">
                      <a:extLst>
                        <a:ext uri="{28A0092B-C50C-407E-A947-70E740481C1C}">
                          <a14:useLocalDpi xmlns:a14="http://schemas.microsoft.com/office/drawing/2010/main"/>
                        </a:ext>
                      </a:extLst>
                    </a:blip>
                    <a:stretch>
                      <a:fillRect/>
                    </a:stretch>
                  </pic:blipFill>
                  <pic:spPr>
                    <a:xfrm>
                      <a:off x="0" y="0"/>
                      <a:ext cx="9677073" cy="5849397"/>
                    </a:xfrm>
                    <a:prstGeom prst="rect">
                      <a:avLst/>
                    </a:prstGeom>
                  </pic:spPr>
                </pic:pic>
              </a:graphicData>
            </a:graphic>
          </wp:inline>
        </w:drawing>
      </w:r>
    </w:p>
    <w:p w14:paraId="10B7E09B" w14:textId="77777777" w:rsidR="00141B97" w:rsidRDefault="00141B97">
      <w:pPr>
        <w:rPr>
          <w:sz w:val="20"/>
        </w:rPr>
        <w:sectPr w:rsidR="00141B97">
          <w:pgSz w:w="16840" w:h="11910" w:orient="landscape"/>
          <w:pgMar w:top="840" w:right="600" w:bottom="540" w:left="300" w:header="0" w:footer="345" w:gutter="0"/>
          <w:cols w:space="720"/>
        </w:sectPr>
      </w:pPr>
    </w:p>
    <w:p w14:paraId="79305B6B" w14:textId="77777777" w:rsidR="00141B97" w:rsidRDefault="00911D63">
      <w:pPr>
        <w:pStyle w:val="BodyText"/>
        <w:ind w:left="119"/>
        <w:rPr>
          <w:sz w:val="20"/>
        </w:rPr>
      </w:pPr>
      <w:r>
        <w:rPr>
          <w:noProof/>
          <w:sz w:val="20"/>
        </w:rPr>
        <w:lastRenderedPageBreak/>
        <w:drawing>
          <wp:inline distT="0" distB="0" distL="0" distR="0" wp14:anchorId="446B2195" wp14:editId="5CF429B1">
            <wp:extent cx="9667303" cy="4299204"/>
            <wp:effectExtent l="0" t="0" r="0" b="0"/>
            <wp:docPr id="10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6.jpeg"/>
                    <pic:cNvPicPr/>
                  </pic:nvPicPr>
                  <pic:blipFill>
                    <a:blip r:embed="rId107" cstate="email">
                      <a:extLst>
                        <a:ext uri="{28A0092B-C50C-407E-A947-70E740481C1C}">
                          <a14:useLocalDpi xmlns:a14="http://schemas.microsoft.com/office/drawing/2010/main"/>
                        </a:ext>
                      </a:extLst>
                    </a:blip>
                    <a:stretch>
                      <a:fillRect/>
                    </a:stretch>
                  </pic:blipFill>
                  <pic:spPr>
                    <a:xfrm>
                      <a:off x="0" y="0"/>
                      <a:ext cx="9667303" cy="4299204"/>
                    </a:xfrm>
                    <a:prstGeom prst="rect">
                      <a:avLst/>
                    </a:prstGeom>
                  </pic:spPr>
                </pic:pic>
              </a:graphicData>
            </a:graphic>
          </wp:inline>
        </w:drawing>
      </w:r>
    </w:p>
    <w:p w14:paraId="4F301227" w14:textId="77777777" w:rsidR="00141B97" w:rsidRDefault="00141B97">
      <w:pPr>
        <w:rPr>
          <w:sz w:val="20"/>
        </w:rPr>
        <w:sectPr w:rsidR="00141B97">
          <w:pgSz w:w="16840" w:h="11910" w:orient="landscape"/>
          <w:pgMar w:top="840" w:right="600" w:bottom="540" w:left="300" w:header="0" w:footer="345" w:gutter="0"/>
          <w:cols w:space="720"/>
        </w:sectPr>
      </w:pPr>
    </w:p>
    <w:p w14:paraId="02354CCC" w14:textId="77777777" w:rsidR="00141B97" w:rsidRDefault="00911D63">
      <w:pPr>
        <w:pStyle w:val="BodyText"/>
        <w:ind w:left="119"/>
        <w:rPr>
          <w:sz w:val="20"/>
        </w:rPr>
      </w:pPr>
      <w:r>
        <w:rPr>
          <w:noProof/>
          <w:sz w:val="20"/>
        </w:rPr>
        <w:lastRenderedPageBreak/>
        <w:drawing>
          <wp:inline distT="0" distB="0" distL="0" distR="0" wp14:anchorId="1DF05FF7" wp14:editId="299E5974">
            <wp:extent cx="9980473" cy="5754624"/>
            <wp:effectExtent l="0" t="0" r="0" b="0"/>
            <wp:docPr id="10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7.jpeg"/>
                    <pic:cNvPicPr/>
                  </pic:nvPicPr>
                  <pic:blipFill>
                    <a:blip r:embed="rId108" cstate="email">
                      <a:extLst>
                        <a:ext uri="{28A0092B-C50C-407E-A947-70E740481C1C}">
                          <a14:useLocalDpi xmlns:a14="http://schemas.microsoft.com/office/drawing/2010/main"/>
                        </a:ext>
                      </a:extLst>
                    </a:blip>
                    <a:stretch>
                      <a:fillRect/>
                    </a:stretch>
                  </pic:blipFill>
                  <pic:spPr>
                    <a:xfrm>
                      <a:off x="0" y="0"/>
                      <a:ext cx="9980473" cy="5754624"/>
                    </a:xfrm>
                    <a:prstGeom prst="rect">
                      <a:avLst/>
                    </a:prstGeom>
                  </pic:spPr>
                </pic:pic>
              </a:graphicData>
            </a:graphic>
          </wp:inline>
        </w:drawing>
      </w:r>
    </w:p>
    <w:p w14:paraId="51CFCD6E" w14:textId="77777777" w:rsidR="00141B97" w:rsidRDefault="00141B97">
      <w:pPr>
        <w:rPr>
          <w:sz w:val="20"/>
        </w:rPr>
        <w:sectPr w:rsidR="00141B97">
          <w:pgSz w:w="16840" w:h="11910" w:orient="landscape"/>
          <w:pgMar w:top="880" w:right="600" w:bottom="540" w:left="300" w:header="0" w:footer="345" w:gutter="0"/>
          <w:cols w:space="720"/>
        </w:sectPr>
      </w:pPr>
    </w:p>
    <w:p w14:paraId="2C08CBF5" w14:textId="77777777" w:rsidR="00141B97" w:rsidRDefault="00911D63">
      <w:pPr>
        <w:pStyle w:val="BodyText"/>
        <w:ind w:left="119"/>
        <w:rPr>
          <w:sz w:val="20"/>
        </w:rPr>
      </w:pPr>
      <w:r>
        <w:rPr>
          <w:noProof/>
          <w:sz w:val="20"/>
        </w:rPr>
        <w:lastRenderedPageBreak/>
        <w:drawing>
          <wp:inline distT="0" distB="0" distL="0" distR="0" wp14:anchorId="3ADA7EFF" wp14:editId="6B46DDE4">
            <wp:extent cx="9678021" cy="2666333"/>
            <wp:effectExtent l="0" t="0" r="0" b="0"/>
            <wp:docPr id="1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png"/>
                    <pic:cNvPicPr/>
                  </pic:nvPicPr>
                  <pic:blipFill>
                    <a:blip r:embed="rId109" cstate="email">
                      <a:extLst>
                        <a:ext uri="{28A0092B-C50C-407E-A947-70E740481C1C}">
                          <a14:useLocalDpi xmlns:a14="http://schemas.microsoft.com/office/drawing/2010/main"/>
                        </a:ext>
                      </a:extLst>
                    </a:blip>
                    <a:stretch>
                      <a:fillRect/>
                    </a:stretch>
                  </pic:blipFill>
                  <pic:spPr>
                    <a:xfrm>
                      <a:off x="0" y="0"/>
                      <a:ext cx="9678021" cy="2666333"/>
                    </a:xfrm>
                    <a:prstGeom prst="rect">
                      <a:avLst/>
                    </a:prstGeom>
                  </pic:spPr>
                </pic:pic>
              </a:graphicData>
            </a:graphic>
          </wp:inline>
        </w:drawing>
      </w:r>
    </w:p>
    <w:p w14:paraId="68853C0F" w14:textId="77777777" w:rsidR="00141B97" w:rsidRDefault="00141B97">
      <w:pPr>
        <w:rPr>
          <w:sz w:val="20"/>
        </w:rPr>
        <w:sectPr w:rsidR="00141B97">
          <w:pgSz w:w="16840" w:h="11910" w:orient="landscape"/>
          <w:pgMar w:top="840" w:right="600" w:bottom="540" w:left="300" w:header="0" w:footer="345" w:gutter="0"/>
          <w:cols w:space="720"/>
        </w:sectPr>
      </w:pPr>
    </w:p>
    <w:p w14:paraId="5A5E0548" w14:textId="77777777" w:rsidR="00141B97" w:rsidRDefault="00911D63">
      <w:pPr>
        <w:pStyle w:val="Heading1"/>
        <w:spacing w:line="574" w:lineRule="exact"/>
        <w:ind w:left="124"/>
      </w:pPr>
      <w:r>
        <w:rPr>
          <w:color w:val="006CA3"/>
        </w:rPr>
        <w:lastRenderedPageBreak/>
        <w:t>PART</w:t>
      </w:r>
      <w:r>
        <w:rPr>
          <w:color w:val="006CA3"/>
          <w:spacing w:val="-2"/>
        </w:rPr>
        <w:t xml:space="preserve"> </w:t>
      </w:r>
      <w:r>
        <w:rPr>
          <w:color w:val="006CA3"/>
        </w:rPr>
        <w:t>C – RURAL</w:t>
      </w:r>
      <w:r>
        <w:rPr>
          <w:color w:val="006CA3"/>
          <w:spacing w:val="1"/>
        </w:rPr>
        <w:t xml:space="preserve"> </w:t>
      </w:r>
      <w:r>
        <w:rPr>
          <w:color w:val="006CA3"/>
          <w:spacing w:val="-2"/>
        </w:rPr>
        <w:t>APPENDICES</w:t>
      </w:r>
    </w:p>
    <w:p w14:paraId="63FD8255" w14:textId="77777777" w:rsidR="00141B97" w:rsidRDefault="00141B97">
      <w:pPr>
        <w:pStyle w:val="BodyText"/>
        <w:spacing w:before="3"/>
        <w:rPr>
          <w:sz w:val="38"/>
        </w:rPr>
      </w:pPr>
    </w:p>
    <w:p w14:paraId="0F7DD54B" w14:textId="77777777" w:rsidR="00141B97" w:rsidRDefault="00911D63">
      <w:pPr>
        <w:pStyle w:val="Heading2"/>
        <w:ind w:left="124" w:firstLine="0"/>
      </w:pPr>
      <w:r>
        <w:rPr>
          <w:color w:val="009BAC"/>
        </w:rPr>
        <w:t>Appendix</w:t>
      </w:r>
      <w:r>
        <w:rPr>
          <w:color w:val="009BAC"/>
          <w:spacing w:val="-5"/>
        </w:rPr>
        <w:t xml:space="preserve"> </w:t>
      </w:r>
      <w:r>
        <w:rPr>
          <w:color w:val="009BAC"/>
        </w:rPr>
        <w:t>C1</w:t>
      </w:r>
      <w:r>
        <w:rPr>
          <w:color w:val="009BAC"/>
          <w:spacing w:val="-5"/>
        </w:rPr>
        <w:t xml:space="preserve"> </w:t>
      </w:r>
      <w:r>
        <w:rPr>
          <w:color w:val="009BAC"/>
        </w:rPr>
        <w:t>‐</w:t>
      </w:r>
      <w:r>
        <w:rPr>
          <w:color w:val="009BAC"/>
          <w:spacing w:val="-6"/>
        </w:rPr>
        <w:t xml:space="preserve"> </w:t>
      </w:r>
      <w:r>
        <w:rPr>
          <w:color w:val="009BAC"/>
        </w:rPr>
        <w:t>Rural</w:t>
      </w:r>
      <w:r>
        <w:rPr>
          <w:color w:val="009BAC"/>
          <w:spacing w:val="-6"/>
        </w:rPr>
        <w:t xml:space="preserve"> </w:t>
      </w:r>
      <w:r>
        <w:rPr>
          <w:color w:val="009BAC"/>
        </w:rPr>
        <w:t>Demand</w:t>
      </w:r>
      <w:r>
        <w:rPr>
          <w:color w:val="009BAC"/>
          <w:spacing w:val="-5"/>
        </w:rPr>
        <w:t xml:space="preserve"> </w:t>
      </w:r>
      <w:r>
        <w:rPr>
          <w:color w:val="009BAC"/>
          <w:spacing w:val="-2"/>
        </w:rPr>
        <w:t>Forecast</w:t>
      </w:r>
    </w:p>
    <w:p w14:paraId="696C4CA0" w14:textId="77777777" w:rsidR="00141B97" w:rsidRDefault="00141B97">
      <w:pPr>
        <w:pStyle w:val="BodyText"/>
        <w:spacing w:before="8"/>
        <w:rPr>
          <w:sz w:val="20"/>
        </w:rPr>
      </w:pPr>
    </w:p>
    <w:p w14:paraId="7AC480AB" w14:textId="77777777" w:rsidR="00141B97" w:rsidRDefault="00911D63">
      <w:pPr>
        <w:pStyle w:val="BodyText"/>
        <w:ind w:left="124"/>
      </w:pPr>
      <w:r>
        <w:t>C1.1</w:t>
      </w:r>
      <w:r>
        <w:rPr>
          <w:spacing w:val="-5"/>
        </w:rPr>
        <w:t xml:space="preserve"> </w:t>
      </w:r>
      <w:r>
        <w:t>Pumped</w:t>
      </w:r>
      <w:r>
        <w:rPr>
          <w:spacing w:val="-7"/>
        </w:rPr>
        <w:t xml:space="preserve"> </w:t>
      </w:r>
      <w:r>
        <w:rPr>
          <w:spacing w:val="-2"/>
        </w:rPr>
        <w:t>Irrigation</w:t>
      </w:r>
    </w:p>
    <w:p w14:paraId="5F892B90" w14:textId="77777777" w:rsidR="00141B97" w:rsidRDefault="00911D63">
      <w:pPr>
        <w:pStyle w:val="BodyText"/>
        <w:spacing w:before="72"/>
        <w:ind w:left="124"/>
      </w:pPr>
      <w:r>
        <w:t>Table</w:t>
      </w:r>
      <w:r>
        <w:rPr>
          <w:spacing w:val="-6"/>
        </w:rPr>
        <w:t xml:space="preserve"> </w:t>
      </w:r>
      <w:r>
        <w:t>C1.1</w:t>
      </w:r>
      <w:r>
        <w:rPr>
          <w:spacing w:val="-7"/>
        </w:rPr>
        <w:t xml:space="preserve"> </w:t>
      </w:r>
      <w:r>
        <w:t>shows</w:t>
      </w:r>
      <w:r>
        <w:rPr>
          <w:spacing w:val="-6"/>
        </w:rPr>
        <w:t xml:space="preserve"> </w:t>
      </w:r>
      <w:r>
        <w:t>the</w:t>
      </w:r>
      <w:r>
        <w:rPr>
          <w:spacing w:val="-7"/>
        </w:rPr>
        <w:t xml:space="preserve"> </w:t>
      </w:r>
      <w:r>
        <w:t>forecast</w:t>
      </w:r>
      <w:r>
        <w:rPr>
          <w:spacing w:val="-7"/>
        </w:rPr>
        <w:t xml:space="preserve"> </w:t>
      </w:r>
      <w:r>
        <w:t>for</w:t>
      </w:r>
      <w:r>
        <w:rPr>
          <w:spacing w:val="-5"/>
        </w:rPr>
        <w:t xml:space="preserve"> </w:t>
      </w:r>
      <w:r>
        <w:t>the</w:t>
      </w:r>
      <w:r>
        <w:rPr>
          <w:spacing w:val="-8"/>
        </w:rPr>
        <w:t xml:space="preserve"> </w:t>
      </w:r>
      <w:r>
        <w:t>fifth</w:t>
      </w:r>
      <w:r>
        <w:rPr>
          <w:spacing w:val="-6"/>
        </w:rPr>
        <w:t xml:space="preserve"> </w:t>
      </w:r>
      <w:r>
        <w:t>regulatory</w:t>
      </w:r>
      <w:r>
        <w:rPr>
          <w:spacing w:val="-5"/>
        </w:rPr>
        <w:t xml:space="preserve"> </w:t>
      </w:r>
      <w:r>
        <w:rPr>
          <w:spacing w:val="-2"/>
        </w:rPr>
        <w:t>period.</w:t>
      </w:r>
    </w:p>
    <w:p w14:paraId="2C590E80" w14:textId="77777777" w:rsidR="00141B97" w:rsidRDefault="00141B97">
      <w:pPr>
        <w:pStyle w:val="BodyText"/>
        <w:spacing w:before="6"/>
        <w:rPr>
          <w:sz w:val="10"/>
        </w:rPr>
      </w:pPr>
    </w:p>
    <w:tbl>
      <w:tblPr>
        <w:tblW w:w="0" w:type="auto"/>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98"/>
        <w:gridCol w:w="2081"/>
        <w:gridCol w:w="2153"/>
        <w:gridCol w:w="2119"/>
        <w:gridCol w:w="2115"/>
        <w:gridCol w:w="2116"/>
        <w:gridCol w:w="2111"/>
      </w:tblGrid>
      <w:tr w:rsidR="00141B97" w14:paraId="2CB39917" w14:textId="77777777">
        <w:trPr>
          <w:trHeight w:val="296"/>
        </w:trPr>
        <w:tc>
          <w:tcPr>
            <w:tcW w:w="5079" w:type="dxa"/>
            <w:gridSpan w:val="2"/>
            <w:tcBorders>
              <w:top w:val="nil"/>
              <w:left w:val="nil"/>
            </w:tcBorders>
            <w:shd w:val="clear" w:color="auto" w:fill="006CA3"/>
          </w:tcPr>
          <w:p w14:paraId="6F8E2082" w14:textId="77777777" w:rsidR="00141B97" w:rsidRDefault="00911D63">
            <w:pPr>
              <w:pStyle w:val="TableParagraph"/>
              <w:spacing w:before="38"/>
              <w:ind w:right="755"/>
              <w:jc w:val="right"/>
              <w:rPr>
                <w:sz w:val="18"/>
              </w:rPr>
            </w:pPr>
            <w:r>
              <w:rPr>
                <w:color w:val="FFFFFF"/>
                <w:spacing w:val="-2"/>
                <w:sz w:val="18"/>
              </w:rPr>
              <w:t>Current</w:t>
            </w:r>
          </w:p>
        </w:tc>
        <w:tc>
          <w:tcPr>
            <w:tcW w:w="10614" w:type="dxa"/>
            <w:gridSpan w:val="5"/>
            <w:tcBorders>
              <w:top w:val="nil"/>
              <w:right w:val="nil"/>
            </w:tcBorders>
            <w:shd w:val="clear" w:color="auto" w:fill="006CA3"/>
          </w:tcPr>
          <w:p w14:paraId="3A821D87" w14:textId="77777777" w:rsidR="00141B97" w:rsidRDefault="00911D63">
            <w:pPr>
              <w:pStyle w:val="TableParagraph"/>
              <w:spacing w:before="38"/>
              <w:ind w:left="4387" w:right="4387"/>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00F3E805" w14:textId="77777777">
        <w:trPr>
          <w:trHeight w:val="295"/>
        </w:trPr>
        <w:tc>
          <w:tcPr>
            <w:tcW w:w="2998" w:type="dxa"/>
            <w:tcBorders>
              <w:left w:val="nil"/>
            </w:tcBorders>
            <w:shd w:val="clear" w:color="auto" w:fill="006CA3"/>
          </w:tcPr>
          <w:p w14:paraId="0104C10E" w14:textId="77777777" w:rsidR="00141B97" w:rsidRDefault="00911D63">
            <w:pPr>
              <w:pStyle w:val="TableParagraph"/>
              <w:spacing w:line="105" w:lineRule="exact"/>
              <w:ind w:left="80"/>
              <w:rPr>
                <w:sz w:val="18"/>
              </w:rPr>
            </w:pPr>
            <w:r>
              <w:rPr>
                <w:color w:val="FFFFFF"/>
                <w:spacing w:val="-2"/>
                <w:sz w:val="18"/>
              </w:rPr>
              <w:t>District</w:t>
            </w:r>
          </w:p>
        </w:tc>
        <w:tc>
          <w:tcPr>
            <w:tcW w:w="2081" w:type="dxa"/>
            <w:shd w:val="clear" w:color="auto" w:fill="006CA3"/>
          </w:tcPr>
          <w:p w14:paraId="2E6EE451" w14:textId="77777777" w:rsidR="00141B97" w:rsidRDefault="00911D63">
            <w:pPr>
              <w:pStyle w:val="TableParagraph"/>
              <w:spacing w:before="38"/>
              <w:ind w:left="721" w:right="720"/>
              <w:jc w:val="center"/>
              <w:rPr>
                <w:sz w:val="18"/>
              </w:rPr>
            </w:pPr>
            <w:r>
              <w:rPr>
                <w:color w:val="FFFFFF"/>
                <w:spacing w:val="-2"/>
                <w:sz w:val="18"/>
              </w:rPr>
              <w:t>2022‐23</w:t>
            </w:r>
          </w:p>
        </w:tc>
        <w:tc>
          <w:tcPr>
            <w:tcW w:w="2153" w:type="dxa"/>
            <w:shd w:val="clear" w:color="auto" w:fill="006CA3"/>
          </w:tcPr>
          <w:p w14:paraId="6F39D409" w14:textId="77777777" w:rsidR="00141B97" w:rsidRDefault="00911D63">
            <w:pPr>
              <w:pStyle w:val="TableParagraph"/>
              <w:spacing w:before="38"/>
              <w:ind w:left="756" w:right="757"/>
              <w:jc w:val="center"/>
              <w:rPr>
                <w:sz w:val="18"/>
              </w:rPr>
            </w:pPr>
            <w:r>
              <w:rPr>
                <w:color w:val="FFFFFF"/>
                <w:spacing w:val="-2"/>
                <w:sz w:val="18"/>
              </w:rPr>
              <w:t>2023‐24</w:t>
            </w:r>
          </w:p>
        </w:tc>
        <w:tc>
          <w:tcPr>
            <w:tcW w:w="2119" w:type="dxa"/>
            <w:shd w:val="clear" w:color="auto" w:fill="006CA3"/>
          </w:tcPr>
          <w:p w14:paraId="18885618" w14:textId="77777777" w:rsidR="00141B97" w:rsidRDefault="00911D63">
            <w:pPr>
              <w:pStyle w:val="TableParagraph"/>
              <w:spacing w:before="38"/>
              <w:ind w:left="739" w:right="740"/>
              <w:jc w:val="center"/>
              <w:rPr>
                <w:sz w:val="18"/>
              </w:rPr>
            </w:pPr>
            <w:r>
              <w:rPr>
                <w:color w:val="FFFFFF"/>
                <w:spacing w:val="-2"/>
                <w:sz w:val="18"/>
              </w:rPr>
              <w:t>2024‐25</w:t>
            </w:r>
          </w:p>
        </w:tc>
        <w:tc>
          <w:tcPr>
            <w:tcW w:w="2115" w:type="dxa"/>
            <w:shd w:val="clear" w:color="auto" w:fill="006CA3"/>
          </w:tcPr>
          <w:p w14:paraId="415B997B" w14:textId="77777777" w:rsidR="00141B97" w:rsidRDefault="00911D63">
            <w:pPr>
              <w:pStyle w:val="TableParagraph"/>
              <w:spacing w:before="38"/>
              <w:ind w:left="738" w:right="738"/>
              <w:jc w:val="center"/>
              <w:rPr>
                <w:sz w:val="18"/>
              </w:rPr>
            </w:pPr>
            <w:r>
              <w:rPr>
                <w:color w:val="FFFFFF"/>
                <w:spacing w:val="-2"/>
                <w:sz w:val="18"/>
              </w:rPr>
              <w:t>2025‐26</w:t>
            </w:r>
          </w:p>
        </w:tc>
        <w:tc>
          <w:tcPr>
            <w:tcW w:w="2116" w:type="dxa"/>
            <w:shd w:val="clear" w:color="auto" w:fill="006CA3"/>
          </w:tcPr>
          <w:p w14:paraId="721BD773" w14:textId="77777777" w:rsidR="00141B97" w:rsidRDefault="00911D63">
            <w:pPr>
              <w:pStyle w:val="TableParagraph"/>
              <w:spacing w:before="38"/>
              <w:ind w:left="737" w:right="737"/>
              <w:jc w:val="center"/>
              <w:rPr>
                <w:sz w:val="18"/>
              </w:rPr>
            </w:pPr>
            <w:r>
              <w:rPr>
                <w:color w:val="FFFFFF"/>
                <w:spacing w:val="-2"/>
                <w:sz w:val="18"/>
              </w:rPr>
              <w:t>2026‐27</w:t>
            </w:r>
          </w:p>
        </w:tc>
        <w:tc>
          <w:tcPr>
            <w:tcW w:w="2111" w:type="dxa"/>
            <w:tcBorders>
              <w:right w:val="nil"/>
            </w:tcBorders>
            <w:shd w:val="clear" w:color="auto" w:fill="006CA3"/>
          </w:tcPr>
          <w:p w14:paraId="312559D4" w14:textId="77777777" w:rsidR="00141B97" w:rsidRDefault="00911D63">
            <w:pPr>
              <w:pStyle w:val="TableParagraph"/>
              <w:spacing w:before="38"/>
              <w:ind w:left="738" w:right="736"/>
              <w:jc w:val="center"/>
              <w:rPr>
                <w:sz w:val="18"/>
              </w:rPr>
            </w:pPr>
            <w:r>
              <w:rPr>
                <w:color w:val="FFFFFF"/>
                <w:spacing w:val="-2"/>
                <w:sz w:val="18"/>
              </w:rPr>
              <w:t>2027‐28</w:t>
            </w:r>
          </w:p>
        </w:tc>
      </w:tr>
      <w:tr w:rsidR="00141B97" w14:paraId="0605C78E" w14:textId="77777777">
        <w:trPr>
          <w:trHeight w:val="296"/>
        </w:trPr>
        <w:tc>
          <w:tcPr>
            <w:tcW w:w="2998" w:type="dxa"/>
            <w:tcBorders>
              <w:left w:val="nil"/>
            </w:tcBorders>
            <w:shd w:val="clear" w:color="auto" w:fill="CCE2ED"/>
          </w:tcPr>
          <w:p w14:paraId="2818BEAA" w14:textId="77777777" w:rsidR="00141B97" w:rsidRDefault="00911D63">
            <w:pPr>
              <w:pStyle w:val="TableParagraph"/>
              <w:spacing w:before="38"/>
              <w:ind w:left="80"/>
              <w:rPr>
                <w:sz w:val="18"/>
              </w:rPr>
            </w:pPr>
            <w:r>
              <w:rPr>
                <w:spacing w:val="-2"/>
                <w:sz w:val="18"/>
              </w:rPr>
              <w:t>Mildura</w:t>
            </w:r>
          </w:p>
        </w:tc>
        <w:tc>
          <w:tcPr>
            <w:tcW w:w="2081" w:type="dxa"/>
            <w:shd w:val="clear" w:color="auto" w:fill="CCE2ED"/>
          </w:tcPr>
          <w:p w14:paraId="58575819" w14:textId="77777777" w:rsidR="00141B97" w:rsidRDefault="00911D63">
            <w:pPr>
              <w:pStyle w:val="TableParagraph"/>
              <w:spacing w:before="38"/>
              <w:ind w:right="77"/>
              <w:jc w:val="right"/>
              <w:rPr>
                <w:sz w:val="18"/>
              </w:rPr>
            </w:pPr>
            <w:r>
              <w:rPr>
                <w:spacing w:val="-2"/>
                <w:sz w:val="18"/>
              </w:rPr>
              <w:t>31,425</w:t>
            </w:r>
          </w:p>
        </w:tc>
        <w:tc>
          <w:tcPr>
            <w:tcW w:w="2153" w:type="dxa"/>
            <w:shd w:val="clear" w:color="auto" w:fill="CCE2ED"/>
          </w:tcPr>
          <w:p w14:paraId="29DBA258" w14:textId="77777777" w:rsidR="00141B97" w:rsidRDefault="00911D63">
            <w:pPr>
              <w:pStyle w:val="TableParagraph"/>
              <w:spacing w:before="38"/>
              <w:ind w:right="78"/>
              <w:jc w:val="right"/>
              <w:rPr>
                <w:sz w:val="18"/>
              </w:rPr>
            </w:pPr>
            <w:r>
              <w:rPr>
                <w:spacing w:val="-2"/>
                <w:sz w:val="18"/>
              </w:rPr>
              <w:t>31,425</w:t>
            </w:r>
          </w:p>
        </w:tc>
        <w:tc>
          <w:tcPr>
            <w:tcW w:w="2119" w:type="dxa"/>
            <w:shd w:val="clear" w:color="auto" w:fill="CCE2ED"/>
          </w:tcPr>
          <w:p w14:paraId="69EFD14C" w14:textId="77777777" w:rsidR="00141B97" w:rsidRDefault="00911D63">
            <w:pPr>
              <w:pStyle w:val="TableParagraph"/>
              <w:spacing w:before="38"/>
              <w:ind w:right="78"/>
              <w:jc w:val="right"/>
              <w:rPr>
                <w:sz w:val="18"/>
              </w:rPr>
            </w:pPr>
            <w:r>
              <w:rPr>
                <w:spacing w:val="-2"/>
                <w:sz w:val="18"/>
              </w:rPr>
              <w:t>31,425</w:t>
            </w:r>
          </w:p>
        </w:tc>
        <w:tc>
          <w:tcPr>
            <w:tcW w:w="2115" w:type="dxa"/>
            <w:shd w:val="clear" w:color="auto" w:fill="CCE2ED"/>
          </w:tcPr>
          <w:p w14:paraId="303D4DD1" w14:textId="77777777" w:rsidR="00141B97" w:rsidRDefault="00911D63">
            <w:pPr>
              <w:pStyle w:val="TableParagraph"/>
              <w:spacing w:before="38"/>
              <w:ind w:right="76"/>
              <w:jc w:val="right"/>
              <w:rPr>
                <w:sz w:val="18"/>
              </w:rPr>
            </w:pPr>
            <w:r>
              <w:rPr>
                <w:spacing w:val="-2"/>
                <w:sz w:val="18"/>
              </w:rPr>
              <w:t>31,425</w:t>
            </w:r>
          </w:p>
        </w:tc>
        <w:tc>
          <w:tcPr>
            <w:tcW w:w="2116" w:type="dxa"/>
            <w:shd w:val="clear" w:color="auto" w:fill="CCE2ED"/>
          </w:tcPr>
          <w:p w14:paraId="3ADF1268" w14:textId="77777777" w:rsidR="00141B97" w:rsidRDefault="00911D63">
            <w:pPr>
              <w:pStyle w:val="TableParagraph"/>
              <w:spacing w:before="38"/>
              <w:ind w:right="77"/>
              <w:jc w:val="right"/>
              <w:rPr>
                <w:sz w:val="18"/>
              </w:rPr>
            </w:pPr>
            <w:r>
              <w:rPr>
                <w:spacing w:val="-2"/>
                <w:sz w:val="18"/>
              </w:rPr>
              <w:t>31,425</w:t>
            </w:r>
          </w:p>
        </w:tc>
        <w:tc>
          <w:tcPr>
            <w:tcW w:w="2111" w:type="dxa"/>
            <w:tcBorders>
              <w:right w:val="nil"/>
            </w:tcBorders>
            <w:shd w:val="clear" w:color="auto" w:fill="CCE2ED"/>
          </w:tcPr>
          <w:p w14:paraId="1AD20490" w14:textId="77777777" w:rsidR="00141B97" w:rsidRDefault="00911D63">
            <w:pPr>
              <w:pStyle w:val="TableParagraph"/>
              <w:spacing w:before="38"/>
              <w:ind w:right="76"/>
              <w:jc w:val="right"/>
              <w:rPr>
                <w:sz w:val="18"/>
              </w:rPr>
            </w:pPr>
            <w:r>
              <w:rPr>
                <w:spacing w:val="-2"/>
                <w:sz w:val="18"/>
              </w:rPr>
              <w:t>31,425</w:t>
            </w:r>
          </w:p>
        </w:tc>
      </w:tr>
      <w:tr w:rsidR="00141B97" w14:paraId="44EEF3F6" w14:textId="77777777">
        <w:trPr>
          <w:trHeight w:val="296"/>
        </w:trPr>
        <w:tc>
          <w:tcPr>
            <w:tcW w:w="2998" w:type="dxa"/>
            <w:tcBorders>
              <w:left w:val="nil"/>
            </w:tcBorders>
            <w:shd w:val="clear" w:color="auto" w:fill="CCE2ED"/>
          </w:tcPr>
          <w:p w14:paraId="26C551C1" w14:textId="77777777" w:rsidR="00141B97" w:rsidRDefault="00911D63">
            <w:pPr>
              <w:pStyle w:val="TableParagraph"/>
              <w:spacing w:before="38"/>
              <w:ind w:left="80"/>
              <w:rPr>
                <w:sz w:val="18"/>
              </w:rPr>
            </w:pPr>
            <w:r>
              <w:rPr>
                <w:sz w:val="18"/>
              </w:rPr>
              <w:t xml:space="preserve">Mildura </w:t>
            </w:r>
            <w:r>
              <w:rPr>
                <w:spacing w:val="-5"/>
                <w:sz w:val="18"/>
              </w:rPr>
              <w:t>HPS</w:t>
            </w:r>
          </w:p>
        </w:tc>
        <w:tc>
          <w:tcPr>
            <w:tcW w:w="2081" w:type="dxa"/>
            <w:shd w:val="clear" w:color="auto" w:fill="CCE2ED"/>
          </w:tcPr>
          <w:p w14:paraId="7ADE114E" w14:textId="77777777" w:rsidR="00141B97" w:rsidRDefault="00911D63">
            <w:pPr>
              <w:pStyle w:val="TableParagraph"/>
              <w:spacing w:before="38"/>
              <w:ind w:right="77"/>
              <w:jc w:val="right"/>
              <w:rPr>
                <w:sz w:val="18"/>
              </w:rPr>
            </w:pPr>
            <w:r>
              <w:rPr>
                <w:spacing w:val="-2"/>
                <w:sz w:val="18"/>
              </w:rPr>
              <w:t>3,509</w:t>
            </w:r>
          </w:p>
        </w:tc>
        <w:tc>
          <w:tcPr>
            <w:tcW w:w="2153" w:type="dxa"/>
            <w:shd w:val="clear" w:color="auto" w:fill="CCE2ED"/>
          </w:tcPr>
          <w:p w14:paraId="344AE661" w14:textId="77777777" w:rsidR="00141B97" w:rsidRDefault="00911D63">
            <w:pPr>
              <w:pStyle w:val="TableParagraph"/>
              <w:spacing w:before="38"/>
              <w:ind w:right="78"/>
              <w:jc w:val="right"/>
              <w:rPr>
                <w:sz w:val="18"/>
              </w:rPr>
            </w:pPr>
            <w:r>
              <w:rPr>
                <w:spacing w:val="-2"/>
                <w:sz w:val="18"/>
              </w:rPr>
              <w:t>3,509</w:t>
            </w:r>
          </w:p>
        </w:tc>
        <w:tc>
          <w:tcPr>
            <w:tcW w:w="2119" w:type="dxa"/>
            <w:shd w:val="clear" w:color="auto" w:fill="CCE2ED"/>
          </w:tcPr>
          <w:p w14:paraId="3874F99F" w14:textId="77777777" w:rsidR="00141B97" w:rsidRDefault="00911D63">
            <w:pPr>
              <w:pStyle w:val="TableParagraph"/>
              <w:spacing w:before="38"/>
              <w:ind w:right="78"/>
              <w:jc w:val="right"/>
              <w:rPr>
                <w:sz w:val="18"/>
              </w:rPr>
            </w:pPr>
            <w:r>
              <w:rPr>
                <w:spacing w:val="-2"/>
                <w:sz w:val="18"/>
              </w:rPr>
              <w:t>3,509</w:t>
            </w:r>
          </w:p>
        </w:tc>
        <w:tc>
          <w:tcPr>
            <w:tcW w:w="2115" w:type="dxa"/>
            <w:shd w:val="clear" w:color="auto" w:fill="CCE2ED"/>
          </w:tcPr>
          <w:p w14:paraId="7A990F31" w14:textId="77777777" w:rsidR="00141B97" w:rsidRDefault="00911D63">
            <w:pPr>
              <w:pStyle w:val="TableParagraph"/>
              <w:spacing w:before="38"/>
              <w:ind w:right="76"/>
              <w:jc w:val="right"/>
              <w:rPr>
                <w:sz w:val="18"/>
              </w:rPr>
            </w:pPr>
            <w:r>
              <w:rPr>
                <w:spacing w:val="-2"/>
                <w:sz w:val="18"/>
              </w:rPr>
              <w:t>p3,509</w:t>
            </w:r>
          </w:p>
        </w:tc>
        <w:tc>
          <w:tcPr>
            <w:tcW w:w="2116" w:type="dxa"/>
            <w:shd w:val="clear" w:color="auto" w:fill="CCE2ED"/>
          </w:tcPr>
          <w:p w14:paraId="5CE8C11C" w14:textId="77777777" w:rsidR="00141B97" w:rsidRDefault="00911D63">
            <w:pPr>
              <w:pStyle w:val="TableParagraph"/>
              <w:spacing w:before="38"/>
              <w:ind w:right="77"/>
              <w:jc w:val="right"/>
              <w:rPr>
                <w:sz w:val="18"/>
              </w:rPr>
            </w:pPr>
            <w:r>
              <w:rPr>
                <w:spacing w:val="-2"/>
                <w:sz w:val="18"/>
              </w:rPr>
              <w:t>3,509</w:t>
            </w:r>
          </w:p>
        </w:tc>
        <w:tc>
          <w:tcPr>
            <w:tcW w:w="2111" w:type="dxa"/>
            <w:tcBorders>
              <w:right w:val="nil"/>
            </w:tcBorders>
            <w:shd w:val="clear" w:color="auto" w:fill="CCE2ED"/>
          </w:tcPr>
          <w:p w14:paraId="6845482E" w14:textId="77777777" w:rsidR="00141B97" w:rsidRDefault="00911D63">
            <w:pPr>
              <w:pStyle w:val="TableParagraph"/>
              <w:spacing w:before="38"/>
              <w:ind w:right="76"/>
              <w:jc w:val="right"/>
              <w:rPr>
                <w:sz w:val="18"/>
              </w:rPr>
            </w:pPr>
            <w:r>
              <w:rPr>
                <w:spacing w:val="-2"/>
                <w:sz w:val="18"/>
              </w:rPr>
              <w:t>3,509</w:t>
            </w:r>
          </w:p>
        </w:tc>
      </w:tr>
      <w:tr w:rsidR="00141B97" w14:paraId="0C10D2CE" w14:textId="77777777">
        <w:trPr>
          <w:trHeight w:val="296"/>
        </w:trPr>
        <w:tc>
          <w:tcPr>
            <w:tcW w:w="2998" w:type="dxa"/>
            <w:tcBorders>
              <w:left w:val="nil"/>
            </w:tcBorders>
            <w:shd w:val="clear" w:color="auto" w:fill="CCE2ED"/>
          </w:tcPr>
          <w:p w14:paraId="1E1209BF" w14:textId="77777777" w:rsidR="00141B97" w:rsidRDefault="00911D63">
            <w:pPr>
              <w:pStyle w:val="TableParagraph"/>
              <w:spacing w:before="38"/>
              <w:ind w:left="80"/>
              <w:rPr>
                <w:sz w:val="18"/>
              </w:rPr>
            </w:pPr>
            <w:r>
              <w:rPr>
                <w:spacing w:val="-2"/>
                <w:sz w:val="18"/>
              </w:rPr>
              <w:t>Merbein</w:t>
            </w:r>
          </w:p>
        </w:tc>
        <w:tc>
          <w:tcPr>
            <w:tcW w:w="2081" w:type="dxa"/>
            <w:shd w:val="clear" w:color="auto" w:fill="CCE2ED"/>
          </w:tcPr>
          <w:p w14:paraId="350CB503" w14:textId="77777777" w:rsidR="00141B97" w:rsidRDefault="00911D63">
            <w:pPr>
              <w:pStyle w:val="TableParagraph"/>
              <w:spacing w:before="38"/>
              <w:ind w:right="77"/>
              <w:jc w:val="right"/>
              <w:rPr>
                <w:sz w:val="18"/>
              </w:rPr>
            </w:pPr>
            <w:r>
              <w:rPr>
                <w:spacing w:val="-2"/>
                <w:sz w:val="18"/>
              </w:rPr>
              <w:t>18,978</w:t>
            </w:r>
          </w:p>
        </w:tc>
        <w:tc>
          <w:tcPr>
            <w:tcW w:w="2153" w:type="dxa"/>
            <w:shd w:val="clear" w:color="auto" w:fill="CCE2ED"/>
          </w:tcPr>
          <w:p w14:paraId="4388F8A6" w14:textId="77777777" w:rsidR="00141B97" w:rsidRDefault="00911D63">
            <w:pPr>
              <w:pStyle w:val="TableParagraph"/>
              <w:spacing w:before="38"/>
              <w:ind w:right="78"/>
              <w:jc w:val="right"/>
              <w:rPr>
                <w:sz w:val="18"/>
              </w:rPr>
            </w:pPr>
            <w:r>
              <w:rPr>
                <w:spacing w:val="-2"/>
                <w:sz w:val="18"/>
              </w:rPr>
              <w:t>19,621</w:t>
            </w:r>
          </w:p>
        </w:tc>
        <w:tc>
          <w:tcPr>
            <w:tcW w:w="2119" w:type="dxa"/>
            <w:shd w:val="clear" w:color="auto" w:fill="CCE2ED"/>
          </w:tcPr>
          <w:p w14:paraId="78B7D9DC" w14:textId="77777777" w:rsidR="00141B97" w:rsidRDefault="00911D63">
            <w:pPr>
              <w:pStyle w:val="TableParagraph"/>
              <w:spacing w:before="38"/>
              <w:ind w:right="78"/>
              <w:jc w:val="right"/>
              <w:rPr>
                <w:sz w:val="18"/>
              </w:rPr>
            </w:pPr>
            <w:r>
              <w:rPr>
                <w:spacing w:val="-2"/>
                <w:sz w:val="18"/>
              </w:rPr>
              <w:t>20,211</w:t>
            </w:r>
          </w:p>
        </w:tc>
        <w:tc>
          <w:tcPr>
            <w:tcW w:w="2115" w:type="dxa"/>
            <w:shd w:val="clear" w:color="auto" w:fill="CCE2ED"/>
          </w:tcPr>
          <w:p w14:paraId="402DB9CB" w14:textId="77777777" w:rsidR="00141B97" w:rsidRDefault="00911D63">
            <w:pPr>
              <w:pStyle w:val="TableParagraph"/>
              <w:spacing w:before="38"/>
              <w:ind w:right="76"/>
              <w:jc w:val="right"/>
              <w:rPr>
                <w:sz w:val="18"/>
              </w:rPr>
            </w:pPr>
            <w:r>
              <w:rPr>
                <w:spacing w:val="-2"/>
                <w:sz w:val="18"/>
              </w:rPr>
              <w:t>20,781</w:t>
            </w:r>
          </w:p>
        </w:tc>
        <w:tc>
          <w:tcPr>
            <w:tcW w:w="2116" w:type="dxa"/>
            <w:shd w:val="clear" w:color="auto" w:fill="CCE2ED"/>
          </w:tcPr>
          <w:p w14:paraId="353D77BD" w14:textId="77777777" w:rsidR="00141B97" w:rsidRDefault="00911D63">
            <w:pPr>
              <w:pStyle w:val="TableParagraph"/>
              <w:spacing w:before="38"/>
              <w:ind w:right="77"/>
              <w:jc w:val="right"/>
              <w:rPr>
                <w:sz w:val="18"/>
              </w:rPr>
            </w:pPr>
            <w:r>
              <w:rPr>
                <w:spacing w:val="-2"/>
                <w:sz w:val="18"/>
              </w:rPr>
              <w:t>21,039</w:t>
            </w:r>
          </w:p>
        </w:tc>
        <w:tc>
          <w:tcPr>
            <w:tcW w:w="2111" w:type="dxa"/>
            <w:tcBorders>
              <w:right w:val="nil"/>
            </w:tcBorders>
            <w:shd w:val="clear" w:color="auto" w:fill="CCE2ED"/>
          </w:tcPr>
          <w:p w14:paraId="12276315" w14:textId="77777777" w:rsidR="00141B97" w:rsidRDefault="00911D63">
            <w:pPr>
              <w:pStyle w:val="TableParagraph"/>
              <w:spacing w:before="38"/>
              <w:ind w:right="76"/>
              <w:jc w:val="right"/>
              <w:rPr>
                <w:sz w:val="18"/>
              </w:rPr>
            </w:pPr>
            <w:r>
              <w:rPr>
                <w:spacing w:val="-2"/>
                <w:sz w:val="18"/>
              </w:rPr>
              <w:t>21,323</w:t>
            </w:r>
          </w:p>
        </w:tc>
      </w:tr>
      <w:tr w:rsidR="00141B97" w14:paraId="080E011D" w14:textId="77777777">
        <w:trPr>
          <w:trHeight w:val="296"/>
        </w:trPr>
        <w:tc>
          <w:tcPr>
            <w:tcW w:w="2998" w:type="dxa"/>
            <w:tcBorders>
              <w:left w:val="nil"/>
            </w:tcBorders>
            <w:shd w:val="clear" w:color="auto" w:fill="CCE2ED"/>
          </w:tcPr>
          <w:p w14:paraId="7C73E8D2" w14:textId="77777777" w:rsidR="00141B97" w:rsidRDefault="00911D63">
            <w:pPr>
              <w:pStyle w:val="TableParagraph"/>
              <w:spacing w:before="38"/>
              <w:ind w:left="80"/>
              <w:rPr>
                <w:sz w:val="18"/>
              </w:rPr>
            </w:pPr>
            <w:r>
              <w:rPr>
                <w:sz w:val="18"/>
              </w:rPr>
              <w:t xml:space="preserve">Red </w:t>
            </w:r>
            <w:r>
              <w:rPr>
                <w:spacing w:val="-2"/>
                <w:sz w:val="18"/>
              </w:rPr>
              <w:t>Cliffs</w:t>
            </w:r>
          </w:p>
        </w:tc>
        <w:tc>
          <w:tcPr>
            <w:tcW w:w="2081" w:type="dxa"/>
            <w:shd w:val="clear" w:color="auto" w:fill="CCE2ED"/>
          </w:tcPr>
          <w:p w14:paraId="05B7C524" w14:textId="77777777" w:rsidR="00141B97" w:rsidRDefault="00911D63">
            <w:pPr>
              <w:pStyle w:val="TableParagraph"/>
              <w:spacing w:before="38"/>
              <w:ind w:right="77"/>
              <w:jc w:val="right"/>
              <w:rPr>
                <w:sz w:val="18"/>
              </w:rPr>
            </w:pPr>
            <w:r>
              <w:rPr>
                <w:spacing w:val="-2"/>
                <w:sz w:val="18"/>
              </w:rPr>
              <w:t>34,858</w:t>
            </w:r>
          </w:p>
        </w:tc>
        <w:tc>
          <w:tcPr>
            <w:tcW w:w="2153" w:type="dxa"/>
            <w:shd w:val="clear" w:color="auto" w:fill="CCE2ED"/>
          </w:tcPr>
          <w:p w14:paraId="7612AB80" w14:textId="77777777" w:rsidR="00141B97" w:rsidRDefault="00911D63">
            <w:pPr>
              <w:pStyle w:val="TableParagraph"/>
              <w:spacing w:before="38"/>
              <w:ind w:right="78"/>
              <w:jc w:val="right"/>
              <w:rPr>
                <w:sz w:val="18"/>
              </w:rPr>
            </w:pPr>
            <w:r>
              <w:rPr>
                <w:spacing w:val="-2"/>
                <w:sz w:val="18"/>
              </w:rPr>
              <w:t>35,543</w:t>
            </w:r>
          </w:p>
        </w:tc>
        <w:tc>
          <w:tcPr>
            <w:tcW w:w="2119" w:type="dxa"/>
            <w:shd w:val="clear" w:color="auto" w:fill="CCE2ED"/>
          </w:tcPr>
          <w:p w14:paraId="454A3AE5" w14:textId="77777777" w:rsidR="00141B97" w:rsidRDefault="00911D63">
            <w:pPr>
              <w:pStyle w:val="TableParagraph"/>
              <w:spacing w:before="38"/>
              <w:ind w:right="78"/>
              <w:jc w:val="right"/>
              <w:rPr>
                <w:sz w:val="18"/>
              </w:rPr>
            </w:pPr>
            <w:r>
              <w:rPr>
                <w:spacing w:val="-2"/>
                <w:sz w:val="18"/>
              </w:rPr>
              <w:t>35,990</w:t>
            </w:r>
          </w:p>
        </w:tc>
        <w:tc>
          <w:tcPr>
            <w:tcW w:w="2115" w:type="dxa"/>
            <w:shd w:val="clear" w:color="auto" w:fill="CCE2ED"/>
          </w:tcPr>
          <w:p w14:paraId="4BC24486" w14:textId="77777777" w:rsidR="00141B97" w:rsidRDefault="00911D63">
            <w:pPr>
              <w:pStyle w:val="TableParagraph"/>
              <w:spacing w:before="38"/>
              <w:ind w:right="76"/>
              <w:jc w:val="right"/>
              <w:rPr>
                <w:sz w:val="18"/>
              </w:rPr>
            </w:pPr>
            <w:r>
              <w:rPr>
                <w:spacing w:val="-2"/>
                <w:sz w:val="18"/>
              </w:rPr>
              <w:t>38,620</w:t>
            </w:r>
          </w:p>
        </w:tc>
        <w:tc>
          <w:tcPr>
            <w:tcW w:w="2116" w:type="dxa"/>
            <w:shd w:val="clear" w:color="auto" w:fill="CCE2ED"/>
          </w:tcPr>
          <w:p w14:paraId="76CBA0A4" w14:textId="77777777" w:rsidR="00141B97" w:rsidRDefault="00911D63">
            <w:pPr>
              <w:pStyle w:val="TableParagraph"/>
              <w:spacing w:before="38"/>
              <w:ind w:right="77"/>
              <w:jc w:val="right"/>
              <w:rPr>
                <w:sz w:val="18"/>
              </w:rPr>
            </w:pPr>
            <w:r>
              <w:rPr>
                <w:spacing w:val="-2"/>
                <w:sz w:val="18"/>
              </w:rPr>
              <w:t>39,655</w:t>
            </w:r>
          </w:p>
        </w:tc>
        <w:tc>
          <w:tcPr>
            <w:tcW w:w="2111" w:type="dxa"/>
            <w:tcBorders>
              <w:right w:val="nil"/>
            </w:tcBorders>
            <w:shd w:val="clear" w:color="auto" w:fill="CCE2ED"/>
          </w:tcPr>
          <w:p w14:paraId="7CDEBD38" w14:textId="77777777" w:rsidR="00141B97" w:rsidRDefault="00911D63">
            <w:pPr>
              <w:pStyle w:val="TableParagraph"/>
              <w:spacing w:before="38"/>
              <w:ind w:right="76"/>
              <w:jc w:val="right"/>
              <w:rPr>
                <w:sz w:val="18"/>
              </w:rPr>
            </w:pPr>
            <w:r>
              <w:rPr>
                <w:spacing w:val="-2"/>
                <w:sz w:val="18"/>
              </w:rPr>
              <w:t>40,793</w:t>
            </w:r>
          </w:p>
        </w:tc>
      </w:tr>
      <w:tr w:rsidR="00141B97" w14:paraId="096C742E" w14:textId="77777777">
        <w:trPr>
          <w:trHeight w:val="295"/>
        </w:trPr>
        <w:tc>
          <w:tcPr>
            <w:tcW w:w="2998" w:type="dxa"/>
            <w:tcBorders>
              <w:left w:val="nil"/>
            </w:tcBorders>
            <w:shd w:val="clear" w:color="auto" w:fill="CCE2ED"/>
          </w:tcPr>
          <w:p w14:paraId="1C4D5B14" w14:textId="77777777" w:rsidR="00141B97" w:rsidRDefault="00911D63">
            <w:pPr>
              <w:pStyle w:val="TableParagraph"/>
              <w:spacing w:before="38"/>
              <w:ind w:left="80"/>
              <w:rPr>
                <w:sz w:val="18"/>
              </w:rPr>
            </w:pPr>
            <w:r>
              <w:rPr>
                <w:spacing w:val="-2"/>
                <w:sz w:val="18"/>
              </w:rPr>
              <w:t>Robinvale</w:t>
            </w:r>
          </w:p>
        </w:tc>
        <w:tc>
          <w:tcPr>
            <w:tcW w:w="2081" w:type="dxa"/>
            <w:shd w:val="clear" w:color="auto" w:fill="CCE2ED"/>
          </w:tcPr>
          <w:p w14:paraId="5EABC1D1" w14:textId="77777777" w:rsidR="00141B97" w:rsidRDefault="00911D63">
            <w:pPr>
              <w:pStyle w:val="TableParagraph"/>
              <w:spacing w:before="38"/>
              <w:ind w:right="77"/>
              <w:jc w:val="right"/>
              <w:rPr>
                <w:sz w:val="18"/>
              </w:rPr>
            </w:pPr>
            <w:r>
              <w:rPr>
                <w:spacing w:val="-2"/>
                <w:sz w:val="18"/>
              </w:rPr>
              <w:t>19,934</w:t>
            </w:r>
          </w:p>
        </w:tc>
        <w:tc>
          <w:tcPr>
            <w:tcW w:w="2153" w:type="dxa"/>
            <w:shd w:val="clear" w:color="auto" w:fill="CCE2ED"/>
          </w:tcPr>
          <w:p w14:paraId="7E374790" w14:textId="77777777" w:rsidR="00141B97" w:rsidRDefault="00911D63">
            <w:pPr>
              <w:pStyle w:val="TableParagraph"/>
              <w:spacing w:before="38"/>
              <w:ind w:right="78"/>
              <w:jc w:val="right"/>
              <w:rPr>
                <w:sz w:val="18"/>
              </w:rPr>
            </w:pPr>
            <w:r>
              <w:rPr>
                <w:spacing w:val="-2"/>
                <w:sz w:val="18"/>
              </w:rPr>
              <w:t>19,934</w:t>
            </w:r>
          </w:p>
        </w:tc>
        <w:tc>
          <w:tcPr>
            <w:tcW w:w="2119" w:type="dxa"/>
            <w:shd w:val="clear" w:color="auto" w:fill="CCE2ED"/>
          </w:tcPr>
          <w:p w14:paraId="29C15AF2" w14:textId="77777777" w:rsidR="00141B97" w:rsidRDefault="00911D63">
            <w:pPr>
              <w:pStyle w:val="TableParagraph"/>
              <w:spacing w:before="38"/>
              <w:ind w:right="78"/>
              <w:jc w:val="right"/>
              <w:rPr>
                <w:sz w:val="18"/>
              </w:rPr>
            </w:pPr>
            <w:r>
              <w:rPr>
                <w:spacing w:val="-2"/>
                <w:sz w:val="18"/>
              </w:rPr>
              <w:t>19,934</w:t>
            </w:r>
          </w:p>
        </w:tc>
        <w:tc>
          <w:tcPr>
            <w:tcW w:w="2115" w:type="dxa"/>
            <w:shd w:val="clear" w:color="auto" w:fill="CCE2ED"/>
          </w:tcPr>
          <w:p w14:paraId="79CAC4A9" w14:textId="77777777" w:rsidR="00141B97" w:rsidRDefault="00911D63">
            <w:pPr>
              <w:pStyle w:val="TableParagraph"/>
              <w:spacing w:before="38"/>
              <w:ind w:right="76"/>
              <w:jc w:val="right"/>
              <w:rPr>
                <w:sz w:val="18"/>
              </w:rPr>
            </w:pPr>
            <w:r>
              <w:rPr>
                <w:spacing w:val="-2"/>
                <w:sz w:val="18"/>
              </w:rPr>
              <w:t>19,934</w:t>
            </w:r>
          </w:p>
        </w:tc>
        <w:tc>
          <w:tcPr>
            <w:tcW w:w="2116" w:type="dxa"/>
            <w:shd w:val="clear" w:color="auto" w:fill="CCE2ED"/>
          </w:tcPr>
          <w:p w14:paraId="72E783EC" w14:textId="77777777" w:rsidR="00141B97" w:rsidRDefault="00911D63">
            <w:pPr>
              <w:pStyle w:val="TableParagraph"/>
              <w:spacing w:before="38"/>
              <w:ind w:right="77"/>
              <w:jc w:val="right"/>
              <w:rPr>
                <w:sz w:val="18"/>
              </w:rPr>
            </w:pPr>
            <w:r>
              <w:rPr>
                <w:spacing w:val="-2"/>
                <w:sz w:val="18"/>
              </w:rPr>
              <w:t>19,934</w:t>
            </w:r>
          </w:p>
        </w:tc>
        <w:tc>
          <w:tcPr>
            <w:tcW w:w="2111" w:type="dxa"/>
            <w:tcBorders>
              <w:right w:val="nil"/>
            </w:tcBorders>
            <w:shd w:val="clear" w:color="auto" w:fill="CCE2ED"/>
          </w:tcPr>
          <w:p w14:paraId="36BCF0BE" w14:textId="77777777" w:rsidR="00141B97" w:rsidRDefault="00911D63">
            <w:pPr>
              <w:pStyle w:val="TableParagraph"/>
              <w:spacing w:before="38"/>
              <w:ind w:right="76"/>
              <w:jc w:val="right"/>
              <w:rPr>
                <w:sz w:val="18"/>
              </w:rPr>
            </w:pPr>
            <w:r>
              <w:rPr>
                <w:spacing w:val="-2"/>
                <w:sz w:val="18"/>
              </w:rPr>
              <w:t>19,934</w:t>
            </w:r>
          </w:p>
        </w:tc>
      </w:tr>
      <w:tr w:rsidR="00141B97" w14:paraId="07B4E93F" w14:textId="77777777">
        <w:trPr>
          <w:trHeight w:val="295"/>
        </w:trPr>
        <w:tc>
          <w:tcPr>
            <w:tcW w:w="2998" w:type="dxa"/>
            <w:tcBorders>
              <w:left w:val="nil"/>
              <w:bottom w:val="nil"/>
            </w:tcBorders>
            <w:shd w:val="clear" w:color="auto" w:fill="CCE2ED"/>
          </w:tcPr>
          <w:p w14:paraId="20B1C34F" w14:textId="77777777" w:rsidR="00141B97" w:rsidRDefault="00911D63">
            <w:pPr>
              <w:pStyle w:val="TableParagraph"/>
              <w:spacing w:before="38"/>
              <w:ind w:left="80"/>
              <w:rPr>
                <w:sz w:val="18"/>
              </w:rPr>
            </w:pPr>
            <w:r>
              <w:rPr>
                <w:spacing w:val="-2"/>
                <w:sz w:val="18"/>
              </w:rPr>
              <w:t>Total</w:t>
            </w:r>
          </w:p>
        </w:tc>
        <w:tc>
          <w:tcPr>
            <w:tcW w:w="2081" w:type="dxa"/>
            <w:tcBorders>
              <w:bottom w:val="nil"/>
            </w:tcBorders>
            <w:shd w:val="clear" w:color="auto" w:fill="CCE2ED"/>
          </w:tcPr>
          <w:p w14:paraId="5E9E62D2" w14:textId="77777777" w:rsidR="00141B97" w:rsidRDefault="00911D63">
            <w:pPr>
              <w:pStyle w:val="TableParagraph"/>
              <w:spacing w:before="38"/>
              <w:ind w:right="77"/>
              <w:jc w:val="right"/>
              <w:rPr>
                <w:sz w:val="18"/>
              </w:rPr>
            </w:pPr>
            <w:r>
              <w:rPr>
                <w:spacing w:val="-2"/>
                <w:sz w:val="18"/>
              </w:rPr>
              <w:t>108,704</w:t>
            </w:r>
          </w:p>
        </w:tc>
        <w:tc>
          <w:tcPr>
            <w:tcW w:w="2153" w:type="dxa"/>
            <w:tcBorders>
              <w:bottom w:val="nil"/>
            </w:tcBorders>
            <w:shd w:val="clear" w:color="auto" w:fill="CCE2ED"/>
          </w:tcPr>
          <w:p w14:paraId="7D420A2C" w14:textId="77777777" w:rsidR="00141B97" w:rsidRDefault="00911D63">
            <w:pPr>
              <w:pStyle w:val="TableParagraph"/>
              <w:spacing w:before="38"/>
              <w:ind w:right="78"/>
              <w:jc w:val="right"/>
              <w:rPr>
                <w:sz w:val="18"/>
              </w:rPr>
            </w:pPr>
            <w:r>
              <w:rPr>
                <w:spacing w:val="-2"/>
                <w:sz w:val="18"/>
              </w:rPr>
              <w:t>110,032</w:t>
            </w:r>
          </w:p>
        </w:tc>
        <w:tc>
          <w:tcPr>
            <w:tcW w:w="2119" w:type="dxa"/>
            <w:tcBorders>
              <w:bottom w:val="nil"/>
            </w:tcBorders>
            <w:shd w:val="clear" w:color="auto" w:fill="CCE2ED"/>
          </w:tcPr>
          <w:p w14:paraId="698D2BCC" w14:textId="77777777" w:rsidR="00141B97" w:rsidRDefault="00911D63">
            <w:pPr>
              <w:pStyle w:val="TableParagraph"/>
              <w:spacing w:before="38"/>
              <w:ind w:right="78"/>
              <w:jc w:val="right"/>
              <w:rPr>
                <w:sz w:val="18"/>
              </w:rPr>
            </w:pPr>
            <w:r>
              <w:rPr>
                <w:spacing w:val="-2"/>
                <w:sz w:val="18"/>
              </w:rPr>
              <w:t>111,069</w:t>
            </w:r>
          </w:p>
        </w:tc>
        <w:tc>
          <w:tcPr>
            <w:tcW w:w="2115" w:type="dxa"/>
            <w:tcBorders>
              <w:bottom w:val="nil"/>
            </w:tcBorders>
            <w:shd w:val="clear" w:color="auto" w:fill="CCE2ED"/>
          </w:tcPr>
          <w:p w14:paraId="67D62E03" w14:textId="77777777" w:rsidR="00141B97" w:rsidRDefault="00911D63">
            <w:pPr>
              <w:pStyle w:val="TableParagraph"/>
              <w:spacing w:before="38"/>
              <w:ind w:right="76"/>
              <w:jc w:val="right"/>
              <w:rPr>
                <w:sz w:val="18"/>
              </w:rPr>
            </w:pPr>
            <w:r>
              <w:rPr>
                <w:spacing w:val="-2"/>
                <w:sz w:val="18"/>
              </w:rPr>
              <w:t>114,269</w:t>
            </w:r>
          </w:p>
        </w:tc>
        <w:tc>
          <w:tcPr>
            <w:tcW w:w="2116" w:type="dxa"/>
            <w:tcBorders>
              <w:bottom w:val="nil"/>
            </w:tcBorders>
            <w:shd w:val="clear" w:color="auto" w:fill="CCE2ED"/>
          </w:tcPr>
          <w:p w14:paraId="1EB0216D" w14:textId="77777777" w:rsidR="00141B97" w:rsidRDefault="00911D63">
            <w:pPr>
              <w:pStyle w:val="TableParagraph"/>
              <w:spacing w:before="38"/>
              <w:ind w:right="77"/>
              <w:jc w:val="right"/>
              <w:rPr>
                <w:sz w:val="18"/>
              </w:rPr>
            </w:pPr>
            <w:r>
              <w:rPr>
                <w:spacing w:val="-2"/>
                <w:sz w:val="18"/>
              </w:rPr>
              <w:t>115,562</w:t>
            </w:r>
          </w:p>
        </w:tc>
        <w:tc>
          <w:tcPr>
            <w:tcW w:w="2111" w:type="dxa"/>
            <w:tcBorders>
              <w:bottom w:val="nil"/>
              <w:right w:val="nil"/>
            </w:tcBorders>
            <w:shd w:val="clear" w:color="auto" w:fill="CCE2ED"/>
          </w:tcPr>
          <w:p w14:paraId="65FF217F" w14:textId="77777777" w:rsidR="00141B97" w:rsidRDefault="00911D63">
            <w:pPr>
              <w:pStyle w:val="TableParagraph"/>
              <w:spacing w:before="38"/>
              <w:ind w:right="76"/>
              <w:jc w:val="right"/>
              <w:rPr>
                <w:sz w:val="18"/>
              </w:rPr>
            </w:pPr>
            <w:r>
              <w:rPr>
                <w:spacing w:val="-2"/>
                <w:sz w:val="18"/>
              </w:rPr>
              <w:t>116,984</w:t>
            </w:r>
          </w:p>
        </w:tc>
      </w:tr>
    </w:tbl>
    <w:p w14:paraId="4264BCC6" w14:textId="77777777" w:rsidR="00141B97" w:rsidRDefault="00911D63">
      <w:pPr>
        <w:spacing w:before="13"/>
        <w:ind w:left="124"/>
        <w:rPr>
          <w:sz w:val="16"/>
        </w:rPr>
      </w:pPr>
      <w:r>
        <w:rPr>
          <w:sz w:val="16"/>
        </w:rPr>
        <w:t>Table</w:t>
      </w:r>
      <w:r>
        <w:rPr>
          <w:spacing w:val="-5"/>
          <w:sz w:val="16"/>
        </w:rPr>
        <w:t xml:space="preserve"> </w:t>
      </w:r>
      <w:r>
        <w:rPr>
          <w:sz w:val="16"/>
        </w:rPr>
        <w:t>C1.1:</w:t>
      </w:r>
      <w:r>
        <w:rPr>
          <w:spacing w:val="-6"/>
          <w:sz w:val="16"/>
        </w:rPr>
        <w:t xml:space="preserve"> </w:t>
      </w:r>
      <w:r>
        <w:rPr>
          <w:sz w:val="16"/>
        </w:rPr>
        <w:t>Pumped</w:t>
      </w:r>
      <w:r>
        <w:rPr>
          <w:spacing w:val="-6"/>
          <w:sz w:val="16"/>
        </w:rPr>
        <w:t xml:space="preserve"> </w:t>
      </w:r>
      <w:r>
        <w:rPr>
          <w:sz w:val="16"/>
        </w:rPr>
        <w:t>Irrigation</w:t>
      </w:r>
      <w:r>
        <w:rPr>
          <w:spacing w:val="-5"/>
          <w:sz w:val="16"/>
        </w:rPr>
        <w:t xml:space="preserve"> </w:t>
      </w:r>
      <w:r>
        <w:rPr>
          <w:sz w:val="16"/>
        </w:rPr>
        <w:t>Forecast</w:t>
      </w:r>
      <w:r>
        <w:rPr>
          <w:spacing w:val="-5"/>
          <w:sz w:val="16"/>
        </w:rPr>
        <w:t xml:space="preserve"> </w:t>
      </w:r>
      <w:r>
        <w:rPr>
          <w:sz w:val="16"/>
        </w:rPr>
        <w:t>Volumes</w:t>
      </w:r>
      <w:r>
        <w:rPr>
          <w:spacing w:val="-5"/>
          <w:sz w:val="16"/>
        </w:rPr>
        <w:t xml:space="preserve"> </w:t>
      </w:r>
      <w:r>
        <w:rPr>
          <w:sz w:val="16"/>
        </w:rPr>
        <w:t>Summary–</w:t>
      </w:r>
      <w:r>
        <w:rPr>
          <w:spacing w:val="-6"/>
          <w:sz w:val="16"/>
        </w:rPr>
        <w:t xml:space="preserve"> </w:t>
      </w:r>
      <w:r>
        <w:rPr>
          <w:sz w:val="16"/>
        </w:rPr>
        <w:t>ML</w:t>
      </w:r>
      <w:r>
        <w:rPr>
          <w:spacing w:val="-5"/>
          <w:sz w:val="16"/>
        </w:rPr>
        <w:t xml:space="preserve"> pa</w:t>
      </w:r>
    </w:p>
    <w:p w14:paraId="2DAADC2F" w14:textId="77777777" w:rsidR="00141B97" w:rsidRDefault="00141B97">
      <w:pPr>
        <w:pStyle w:val="BodyText"/>
        <w:spacing w:before="8"/>
        <w:rPr>
          <w:sz w:val="20"/>
        </w:rPr>
      </w:pPr>
    </w:p>
    <w:p w14:paraId="0ECDD244" w14:textId="77777777" w:rsidR="00141B97" w:rsidRDefault="00911D63">
      <w:pPr>
        <w:pStyle w:val="BodyText"/>
        <w:ind w:left="124"/>
      </w:pPr>
      <w:r>
        <w:t>C1.2</w:t>
      </w:r>
      <w:r>
        <w:rPr>
          <w:spacing w:val="-5"/>
        </w:rPr>
        <w:t xml:space="preserve"> </w:t>
      </w:r>
      <w:r>
        <w:t>Stock</w:t>
      </w:r>
      <w:r>
        <w:rPr>
          <w:spacing w:val="-5"/>
        </w:rPr>
        <w:t xml:space="preserve"> </w:t>
      </w:r>
      <w:r>
        <w:t>and</w:t>
      </w:r>
      <w:r>
        <w:rPr>
          <w:spacing w:val="-6"/>
        </w:rPr>
        <w:t xml:space="preserve"> </w:t>
      </w:r>
      <w:r>
        <w:t>Domestic</w:t>
      </w:r>
      <w:r>
        <w:rPr>
          <w:spacing w:val="-7"/>
        </w:rPr>
        <w:t xml:space="preserve"> </w:t>
      </w:r>
      <w:r>
        <w:rPr>
          <w:spacing w:val="-2"/>
        </w:rPr>
        <w:t>Supplies</w:t>
      </w:r>
    </w:p>
    <w:p w14:paraId="0908305B" w14:textId="77777777" w:rsidR="00141B97" w:rsidRDefault="00911D63">
      <w:pPr>
        <w:pStyle w:val="BodyText"/>
        <w:spacing w:before="70" w:line="252" w:lineRule="auto"/>
        <w:ind w:left="124" w:hanging="1"/>
      </w:pPr>
      <w:r>
        <w:t>No</w:t>
      </w:r>
      <w:r>
        <w:rPr>
          <w:spacing w:val="13"/>
        </w:rPr>
        <w:t xml:space="preserve"> </w:t>
      </w:r>
      <w:r>
        <w:t>significant</w:t>
      </w:r>
      <w:r>
        <w:rPr>
          <w:spacing w:val="14"/>
        </w:rPr>
        <w:t xml:space="preserve"> </w:t>
      </w:r>
      <w:r>
        <w:t>changes</w:t>
      </w:r>
      <w:r>
        <w:rPr>
          <w:spacing w:val="15"/>
        </w:rPr>
        <w:t xml:space="preserve"> </w:t>
      </w:r>
      <w:r>
        <w:t>are</w:t>
      </w:r>
      <w:r>
        <w:rPr>
          <w:spacing w:val="15"/>
        </w:rPr>
        <w:t xml:space="preserve"> </w:t>
      </w:r>
      <w:r>
        <w:t>anticipated</w:t>
      </w:r>
      <w:r>
        <w:rPr>
          <w:spacing w:val="14"/>
        </w:rPr>
        <w:t xml:space="preserve"> </w:t>
      </w:r>
      <w:r>
        <w:t>in</w:t>
      </w:r>
      <w:r>
        <w:rPr>
          <w:spacing w:val="15"/>
        </w:rPr>
        <w:t xml:space="preserve"> </w:t>
      </w:r>
      <w:r>
        <w:t>net</w:t>
      </w:r>
      <w:r>
        <w:rPr>
          <w:spacing w:val="13"/>
        </w:rPr>
        <w:t xml:space="preserve"> </w:t>
      </w:r>
      <w:r>
        <w:t>stock</w:t>
      </w:r>
      <w:r>
        <w:rPr>
          <w:spacing w:val="15"/>
        </w:rPr>
        <w:t xml:space="preserve"> </w:t>
      </w:r>
      <w:r>
        <w:t>and</w:t>
      </w:r>
      <w:r>
        <w:rPr>
          <w:spacing w:val="13"/>
        </w:rPr>
        <w:t xml:space="preserve"> </w:t>
      </w:r>
      <w:r>
        <w:t>domestic</w:t>
      </w:r>
      <w:r>
        <w:rPr>
          <w:spacing w:val="14"/>
        </w:rPr>
        <w:t xml:space="preserve"> </w:t>
      </w:r>
      <w:r>
        <w:t>supplies.</w:t>
      </w:r>
      <w:r>
        <w:rPr>
          <w:spacing w:val="14"/>
        </w:rPr>
        <w:t xml:space="preserve"> </w:t>
      </w:r>
      <w:r>
        <w:t>Table</w:t>
      </w:r>
      <w:r>
        <w:rPr>
          <w:spacing w:val="13"/>
        </w:rPr>
        <w:t xml:space="preserve"> </w:t>
      </w:r>
      <w:r>
        <w:t>C1.2</w:t>
      </w:r>
      <w:r>
        <w:rPr>
          <w:spacing w:val="15"/>
        </w:rPr>
        <w:t xml:space="preserve"> </w:t>
      </w:r>
      <w:r>
        <w:t>indicates</w:t>
      </w:r>
      <w:r>
        <w:rPr>
          <w:spacing w:val="14"/>
        </w:rPr>
        <w:t xml:space="preserve"> </w:t>
      </w:r>
      <w:r>
        <w:t>the</w:t>
      </w:r>
      <w:r>
        <w:rPr>
          <w:spacing w:val="14"/>
        </w:rPr>
        <w:t xml:space="preserve"> </w:t>
      </w:r>
      <w:r>
        <w:t>volumes</w:t>
      </w:r>
      <w:r>
        <w:rPr>
          <w:spacing w:val="14"/>
        </w:rPr>
        <w:t xml:space="preserve"> </w:t>
      </w:r>
      <w:r>
        <w:t>charged</w:t>
      </w:r>
      <w:r>
        <w:rPr>
          <w:spacing w:val="15"/>
        </w:rPr>
        <w:t xml:space="preserve"> </w:t>
      </w:r>
      <w:r>
        <w:t>as</w:t>
      </w:r>
      <w:r>
        <w:rPr>
          <w:spacing w:val="14"/>
        </w:rPr>
        <w:t xml:space="preserve"> </w:t>
      </w:r>
      <w:r>
        <w:t>usage</w:t>
      </w:r>
      <w:r>
        <w:rPr>
          <w:spacing w:val="13"/>
        </w:rPr>
        <w:t xml:space="preserve"> </w:t>
      </w:r>
      <w:r>
        <w:t>for</w:t>
      </w:r>
      <w:r>
        <w:rPr>
          <w:spacing w:val="15"/>
        </w:rPr>
        <w:t xml:space="preserve"> </w:t>
      </w:r>
      <w:r>
        <w:t>the</w:t>
      </w:r>
      <w:r>
        <w:rPr>
          <w:spacing w:val="14"/>
        </w:rPr>
        <w:t xml:space="preserve"> </w:t>
      </w:r>
      <w:r>
        <w:t>Millewa</w:t>
      </w:r>
      <w:r>
        <w:rPr>
          <w:spacing w:val="13"/>
        </w:rPr>
        <w:t xml:space="preserve"> </w:t>
      </w:r>
      <w:r>
        <w:t>stock</w:t>
      </w:r>
      <w:r>
        <w:rPr>
          <w:spacing w:val="14"/>
        </w:rPr>
        <w:t xml:space="preserve"> </w:t>
      </w:r>
      <w:r>
        <w:t>and</w:t>
      </w:r>
      <w:r>
        <w:rPr>
          <w:spacing w:val="15"/>
        </w:rPr>
        <w:t xml:space="preserve"> </w:t>
      </w:r>
      <w:r>
        <w:t>domestic</w:t>
      </w:r>
      <w:r>
        <w:rPr>
          <w:spacing w:val="15"/>
        </w:rPr>
        <w:t xml:space="preserve"> </w:t>
      </w:r>
      <w:r>
        <w:t>regions.</w:t>
      </w:r>
      <w:r>
        <w:rPr>
          <w:spacing w:val="13"/>
        </w:rPr>
        <w:t xml:space="preserve"> </w:t>
      </w:r>
      <w:r>
        <w:t>The forecasts for 2022‐23 onwards are based on the most recent (2021‐22) actual data available.</w:t>
      </w:r>
    </w:p>
    <w:p w14:paraId="1A33C8A3" w14:textId="77777777" w:rsidR="00141B97" w:rsidRDefault="00141B97">
      <w:pPr>
        <w:pStyle w:val="BodyText"/>
        <w:spacing w:before="5"/>
        <w:rPr>
          <w:sz w:val="9"/>
        </w:rPr>
      </w:pPr>
    </w:p>
    <w:tbl>
      <w:tblPr>
        <w:tblW w:w="0" w:type="auto"/>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98"/>
        <w:gridCol w:w="2081"/>
        <w:gridCol w:w="2153"/>
        <w:gridCol w:w="2119"/>
        <w:gridCol w:w="2115"/>
        <w:gridCol w:w="2116"/>
        <w:gridCol w:w="2111"/>
      </w:tblGrid>
      <w:tr w:rsidR="00141B97" w14:paraId="378EE9F4" w14:textId="77777777">
        <w:trPr>
          <w:trHeight w:val="296"/>
        </w:trPr>
        <w:tc>
          <w:tcPr>
            <w:tcW w:w="5079" w:type="dxa"/>
            <w:gridSpan w:val="2"/>
            <w:tcBorders>
              <w:top w:val="nil"/>
              <w:left w:val="nil"/>
            </w:tcBorders>
            <w:shd w:val="clear" w:color="auto" w:fill="006CA3"/>
          </w:tcPr>
          <w:p w14:paraId="4FA4C3D2" w14:textId="77777777" w:rsidR="00141B97" w:rsidRDefault="00911D63">
            <w:pPr>
              <w:pStyle w:val="TableParagraph"/>
              <w:spacing w:before="38"/>
              <w:ind w:right="755"/>
              <w:jc w:val="right"/>
              <w:rPr>
                <w:sz w:val="18"/>
              </w:rPr>
            </w:pPr>
            <w:r>
              <w:rPr>
                <w:color w:val="FFFFFF"/>
                <w:spacing w:val="-2"/>
                <w:sz w:val="18"/>
              </w:rPr>
              <w:t>Current</w:t>
            </w:r>
          </w:p>
        </w:tc>
        <w:tc>
          <w:tcPr>
            <w:tcW w:w="10614" w:type="dxa"/>
            <w:gridSpan w:val="5"/>
            <w:tcBorders>
              <w:top w:val="nil"/>
              <w:right w:val="nil"/>
            </w:tcBorders>
            <w:shd w:val="clear" w:color="auto" w:fill="006CA3"/>
          </w:tcPr>
          <w:p w14:paraId="7EF92860" w14:textId="77777777" w:rsidR="00141B97" w:rsidRDefault="00911D63">
            <w:pPr>
              <w:pStyle w:val="TableParagraph"/>
              <w:spacing w:before="38"/>
              <w:ind w:left="4387" w:right="4387"/>
              <w:jc w:val="center"/>
              <w:rPr>
                <w:sz w:val="18"/>
              </w:rPr>
            </w:pPr>
            <w:r>
              <w:rPr>
                <w:color w:val="FFFFFF"/>
                <w:sz w:val="18"/>
              </w:rPr>
              <w:t>Fourth</w:t>
            </w:r>
            <w:r>
              <w:rPr>
                <w:color w:val="FFFFFF"/>
                <w:spacing w:val="-6"/>
                <w:sz w:val="18"/>
              </w:rPr>
              <w:t xml:space="preserve"> </w:t>
            </w:r>
            <w:r>
              <w:rPr>
                <w:color w:val="FFFFFF"/>
                <w:sz w:val="18"/>
              </w:rPr>
              <w:t>Regulatory</w:t>
            </w:r>
            <w:r>
              <w:rPr>
                <w:color w:val="FFFFFF"/>
                <w:spacing w:val="-6"/>
                <w:sz w:val="18"/>
              </w:rPr>
              <w:t xml:space="preserve"> </w:t>
            </w:r>
            <w:r>
              <w:rPr>
                <w:color w:val="FFFFFF"/>
                <w:spacing w:val="-2"/>
                <w:sz w:val="18"/>
              </w:rPr>
              <w:t>Period</w:t>
            </w:r>
          </w:p>
        </w:tc>
      </w:tr>
      <w:tr w:rsidR="00141B97" w14:paraId="23E8BCA5" w14:textId="77777777">
        <w:trPr>
          <w:trHeight w:val="295"/>
        </w:trPr>
        <w:tc>
          <w:tcPr>
            <w:tcW w:w="2998" w:type="dxa"/>
            <w:tcBorders>
              <w:left w:val="nil"/>
            </w:tcBorders>
            <w:shd w:val="clear" w:color="auto" w:fill="006CA3"/>
          </w:tcPr>
          <w:p w14:paraId="00B211E2" w14:textId="77777777" w:rsidR="00141B97" w:rsidRDefault="00911D63">
            <w:pPr>
              <w:pStyle w:val="TableParagraph"/>
              <w:spacing w:line="106" w:lineRule="exact"/>
              <w:ind w:left="80"/>
              <w:rPr>
                <w:sz w:val="18"/>
              </w:rPr>
            </w:pPr>
            <w:r>
              <w:rPr>
                <w:color w:val="FFFFFF"/>
                <w:spacing w:val="-2"/>
                <w:sz w:val="18"/>
              </w:rPr>
              <w:t>District</w:t>
            </w:r>
          </w:p>
        </w:tc>
        <w:tc>
          <w:tcPr>
            <w:tcW w:w="2081" w:type="dxa"/>
            <w:shd w:val="clear" w:color="auto" w:fill="006CA3"/>
          </w:tcPr>
          <w:p w14:paraId="4A64AF37" w14:textId="77777777" w:rsidR="00141B97" w:rsidRDefault="00911D63">
            <w:pPr>
              <w:pStyle w:val="TableParagraph"/>
              <w:spacing w:before="38"/>
              <w:ind w:left="721" w:right="720"/>
              <w:jc w:val="center"/>
              <w:rPr>
                <w:sz w:val="18"/>
              </w:rPr>
            </w:pPr>
            <w:r>
              <w:rPr>
                <w:color w:val="FFFFFF"/>
                <w:spacing w:val="-2"/>
                <w:sz w:val="18"/>
              </w:rPr>
              <w:t>2022‐23</w:t>
            </w:r>
          </w:p>
        </w:tc>
        <w:tc>
          <w:tcPr>
            <w:tcW w:w="2153" w:type="dxa"/>
            <w:shd w:val="clear" w:color="auto" w:fill="006CA3"/>
          </w:tcPr>
          <w:p w14:paraId="13A2BFF4" w14:textId="77777777" w:rsidR="00141B97" w:rsidRDefault="00911D63">
            <w:pPr>
              <w:pStyle w:val="TableParagraph"/>
              <w:spacing w:before="38"/>
              <w:ind w:left="756" w:right="757"/>
              <w:jc w:val="center"/>
              <w:rPr>
                <w:sz w:val="18"/>
              </w:rPr>
            </w:pPr>
            <w:r>
              <w:rPr>
                <w:color w:val="FFFFFF"/>
                <w:spacing w:val="-2"/>
                <w:sz w:val="18"/>
              </w:rPr>
              <w:t>2023‐24</w:t>
            </w:r>
          </w:p>
        </w:tc>
        <w:tc>
          <w:tcPr>
            <w:tcW w:w="2119" w:type="dxa"/>
            <w:shd w:val="clear" w:color="auto" w:fill="006CA3"/>
          </w:tcPr>
          <w:p w14:paraId="65AAB2F4" w14:textId="77777777" w:rsidR="00141B97" w:rsidRDefault="00911D63">
            <w:pPr>
              <w:pStyle w:val="TableParagraph"/>
              <w:spacing w:before="38"/>
              <w:ind w:left="739" w:right="740"/>
              <w:jc w:val="center"/>
              <w:rPr>
                <w:sz w:val="18"/>
              </w:rPr>
            </w:pPr>
            <w:r>
              <w:rPr>
                <w:color w:val="FFFFFF"/>
                <w:spacing w:val="-2"/>
                <w:sz w:val="18"/>
              </w:rPr>
              <w:t>2024‐25</w:t>
            </w:r>
          </w:p>
        </w:tc>
        <w:tc>
          <w:tcPr>
            <w:tcW w:w="2115" w:type="dxa"/>
            <w:shd w:val="clear" w:color="auto" w:fill="006CA3"/>
          </w:tcPr>
          <w:p w14:paraId="60A02723" w14:textId="77777777" w:rsidR="00141B97" w:rsidRDefault="00911D63">
            <w:pPr>
              <w:pStyle w:val="TableParagraph"/>
              <w:spacing w:before="38"/>
              <w:ind w:left="738" w:right="738"/>
              <w:jc w:val="center"/>
              <w:rPr>
                <w:sz w:val="18"/>
              </w:rPr>
            </w:pPr>
            <w:r>
              <w:rPr>
                <w:color w:val="FFFFFF"/>
                <w:spacing w:val="-2"/>
                <w:sz w:val="18"/>
              </w:rPr>
              <w:t>2025‐26</w:t>
            </w:r>
          </w:p>
        </w:tc>
        <w:tc>
          <w:tcPr>
            <w:tcW w:w="2116" w:type="dxa"/>
            <w:shd w:val="clear" w:color="auto" w:fill="006CA3"/>
          </w:tcPr>
          <w:p w14:paraId="7B0A4426" w14:textId="77777777" w:rsidR="00141B97" w:rsidRDefault="00911D63">
            <w:pPr>
              <w:pStyle w:val="TableParagraph"/>
              <w:spacing w:before="38"/>
              <w:ind w:left="737" w:right="737"/>
              <w:jc w:val="center"/>
              <w:rPr>
                <w:sz w:val="18"/>
              </w:rPr>
            </w:pPr>
            <w:r>
              <w:rPr>
                <w:color w:val="FFFFFF"/>
                <w:spacing w:val="-2"/>
                <w:sz w:val="18"/>
              </w:rPr>
              <w:t>2026‐27</w:t>
            </w:r>
          </w:p>
        </w:tc>
        <w:tc>
          <w:tcPr>
            <w:tcW w:w="2111" w:type="dxa"/>
            <w:tcBorders>
              <w:right w:val="nil"/>
            </w:tcBorders>
            <w:shd w:val="clear" w:color="auto" w:fill="006CA3"/>
          </w:tcPr>
          <w:p w14:paraId="53E56F39" w14:textId="77777777" w:rsidR="00141B97" w:rsidRDefault="00911D63">
            <w:pPr>
              <w:pStyle w:val="TableParagraph"/>
              <w:spacing w:before="38"/>
              <w:ind w:left="738" w:right="736"/>
              <w:jc w:val="center"/>
              <w:rPr>
                <w:sz w:val="18"/>
              </w:rPr>
            </w:pPr>
            <w:r>
              <w:rPr>
                <w:color w:val="FFFFFF"/>
                <w:spacing w:val="-2"/>
                <w:sz w:val="18"/>
              </w:rPr>
              <w:t>2027‐28</w:t>
            </w:r>
          </w:p>
        </w:tc>
      </w:tr>
      <w:tr w:rsidR="00141B97" w14:paraId="1A9D5DBA" w14:textId="77777777">
        <w:trPr>
          <w:trHeight w:val="296"/>
        </w:trPr>
        <w:tc>
          <w:tcPr>
            <w:tcW w:w="2998" w:type="dxa"/>
            <w:tcBorders>
              <w:left w:val="nil"/>
            </w:tcBorders>
            <w:shd w:val="clear" w:color="auto" w:fill="CCE2ED"/>
          </w:tcPr>
          <w:p w14:paraId="3299BEBD" w14:textId="77777777" w:rsidR="00141B97" w:rsidRDefault="00911D63">
            <w:pPr>
              <w:pStyle w:val="TableParagraph"/>
              <w:spacing w:before="38"/>
              <w:ind w:left="80"/>
              <w:rPr>
                <w:sz w:val="18"/>
              </w:rPr>
            </w:pPr>
            <w:r>
              <w:rPr>
                <w:sz w:val="18"/>
              </w:rPr>
              <w:t>Millewa</w:t>
            </w:r>
            <w:r>
              <w:rPr>
                <w:spacing w:val="1"/>
                <w:sz w:val="18"/>
              </w:rPr>
              <w:t xml:space="preserve"> </w:t>
            </w:r>
            <w:r>
              <w:rPr>
                <w:spacing w:val="-2"/>
                <w:sz w:val="18"/>
              </w:rPr>
              <w:t>Urban</w:t>
            </w:r>
          </w:p>
        </w:tc>
        <w:tc>
          <w:tcPr>
            <w:tcW w:w="2081" w:type="dxa"/>
            <w:shd w:val="clear" w:color="auto" w:fill="CCE2ED"/>
          </w:tcPr>
          <w:p w14:paraId="4F37265C" w14:textId="77777777" w:rsidR="00141B97" w:rsidRDefault="00911D63">
            <w:pPr>
              <w:pStyle w:val="TableParagraph"/>
              <w:spacing w:before="38"/>
              <w:ind w:right="77"/>
              <w:jc w:val="right"/>
              <w:rPr>
                <w:sz w:val="18"/>
              </w:rPr>
            </w:pPr>
            <w:r>
              <w:rPr>
                <w:spacing w:val="-5"/>
                <w:sz w:val="18"/>
              </w:rPr>
              <w:t>46</w:t>
            </w:r>
          </w:p>
        </w:tc>
        <w:tc>
          <w:tcPr>
            <w:tcW w:w="2153" w:type="dxa"/>
            <w:shd w:val="clear" w:color="auto" w:fill="CCE2ED"/>
          </w:tcPr>
          <w:p w14:paraId="11C77F20" w14:textId="77777777" w:rsidR="00141B97" w:rsidRDefault="00911D63">
            <w:pPr>
              <w:pStyle w:val="TableParagraph"/>
              <w:spacing w:before="38"/>
              <w:ind w:right="78"/>
              <w:jc w:val="right"/>
              <w:rPr>
                <w:sz w:val="18"/>
              </w:rPr>
            </w:pPr>
            <w:r>
              <w:rPr>
                <w:spacing w:val="-5"/>
                <w:sz w:val="18"/>
              </w:rPr>
              <w:t>46</w:t>
            </w:r>
          </w:p>
        </w:tc>
        <w:tc>
          <w:tcPr>
            <w:tcW w:w="2119" w:type="dxa"/>
            <w:shd w:val="clear" w:color="auto" w:fill="CCE2ED"/>
          </w:tcPr>
          <w:p w14:paraId="2D64B116" w14:textId="77777777" w:rsidR="00141B97" w:rsidRDefault="00911D63">
            <w:pPr>
              <w:pStyle w:val="TableParagraph"/>
              <w:spacing w:before="38"/>
              <w:ind w:right="78"/>
              <w:jc w:val="right"/>
              <w:rPr>
                <w:sz w:val="18"/>
              </w:rPr>
            </w:pPr>
            <w:r>
              <w:rPr>
                <w:spacing w:val="-5"/>
                <w:sz w:val="18"/>
              </w:rPr>
              <w:t>46</w:t>
            </w:r>
          </w:p>
        </w:tc>
        <w:tc>
          <w:tcPr>
            <w:tcW w:w="2115" w:type="dxa"/>
            <w:shd w:val="clear" w:color="auto" w:fill="CCE2ED"/>
          </w:tcPr>
          <w:p w14:paraId="0AEA7741" w14:textId="77777777" w:rsidR="00141B97" w:rsidRDefault="00911D63">
            <w:pPr>
              <w:pStyle w:val="TableParagraph"/>
              <w:spacing w:before="38"/>
              <w:ind w:right="76"/>
              <w:jc w:val="right"/>
              <w:rPr>
                <w:sz w:val="18"/>
              </w:rPr>
            </w:pPr>
            <w:r>
              <w:rPr>
                <w:spacing w:val="-5"/>
                <w:sz w:val="18"/>
              </w:rPr>
              <w:t>46</w:t>
            </w:r>
          </w:p>
        </w:tc>
        <w:tc>
          <w:tcPr>
            <w:tcW w:w="2116" w:type="dxa"/>
            <w:shd w:val="clear" w:color="auto" w:fill="CCE2ED"/>
          </w:tcPr>
          <w:p w14:paraId="5FEDBF6B" w14:textId="77777777" w:rsidR="00141B97" w:rsidRDefault="00911D63">
            <w:pPr>
              <w:pStyle w:val="TableParagraph"/>
              <w:spacing w:before="38"/>
              <w:ind w:right="77"/>
              <w:jc w:val="right"/>
              <w:rPr>
                <w:sz w:val="18"/>
              </w:rPr>
            </w:pPr>
            <w:r>
              <w:rPr>
                <w:spacing w:val="-5"/>
                <w:sz w:val="18"/>
              </w:rPr>
              <w:t>46</w:t>
            </w:r>
          </w:p>
        </w:tc>
        <w:tc>
          <w:tcPr>
            <w:tcW w:w="2111" w:type="dxa"/>
            <w:tcBorders>
              <w:right w:val="nil"/>
            </w:tcBorders>
            <w:shd w:val="clear" w:color="auto" w:fill="CCE2ED"/>
          </w:tcPr>
          <w:p w14:paraId="3ED55EA9" w14:textId="77777777" w:rsidR="00141B97" w:rsidRDefault="00911D63">
            <w:pPr>
              <w:pStyle w:val="TableParagraph"/>
              <w:spacing w:before="38"/>
              <w:ind w:right="76"/>
              <w:jc w:val="right"/>
              <w:rPr>
                <w:sz w:val="18"/>
              </w:rPr>
            </w:pPr>
            <w:r>
              <w:rPr>
                <w:spacing w:val="-5"/>
                <w:sz w:val="18"/>
              </w:rPr>
              <w:t>46</w:t>
            </w:r>
          </w:p>
        </w:tc>
      </w:tr>
      <w:tr w:rsidR="00141B97" w14:paraId="617602E4" w14:textId="77777777">
        <w:trPr>
          <w:trHeight w:val="296"/>
        </w:trPr>
        <w:tc>
          <w:tcPr>
            <w:tcW w:w="2998" w:type="dxa"/>
            <w:tcBorders>
              <w:left w:val="nil"/>
              <w:bottom w:val="nil"/>
            </w:tcBorders>
            <w:shd w:val="clear" w:color="auto" w:fill="CCE2ED"/>
          </w:tcPr>
          <w:p w14:paraId="2221645E" w14:textId="77777777" w:rsidR="00141B97" w:rsidRDefault="00911D63">
            <w:pPr>
              <w:pStyle w:val="TableParagraph"/>
              <w:spacing w:before="38"/>
              <w:ind w:left="80"/>
              <w:rPr>
                <w:sz w:val="18"/>
              </w:rPr>
            </w:pPr>
            <w:r>
              <w:rPr>
                <w:sz w:val="18"/>
              </w:rPr>
              <w:t>Millewa</w:t>
            </w:r>
            <w:r>
              <w:rPr>
                <w:spacing w:val="1"/>
                <w:sz w:val="18"/>
              </w:rPr>
              <w:t xml:space="preserve"> </w:t>
            </w:r>
            <w:r>
              <w:rPr>
                <w:spacing w:val="-2"/>
                <w:sz w:val="18"/>
              </w:rPr>
              <w:t>Rural</w:t>
            </w:r>
          </w:p>
        </w:tc>
        <w:tc>
          <w:tcPr>
            <w:tcW w:w="2081" w:type="dxa"/>
            <w:tcBorders>
              <w:bottom w:val="nil"/>
            </w:tcBorders>
            <w:shd w:val="clear" w:color="auto" w:fill="CCE2ED"/>
          </w:tcPr>
          <w:p w14:paraId="76141BAC" w14:textId="77777777" w:rsidR="00141B97" w:rsidRDefault="00911D63">
            <w:pPr>
              <w:pStyle w:val="TableParagraph"/>
              <w:spacing w:before="38"/>
              <w:ind w:right="77"/>
              <w:jc w:val="right"/>
              <w:rPr>
                <w:sz w:val="18"/>
              </w:rPr>
            </w:pPr>
            <w:r>
              <w:rPr>
                <w:spacing w:val="-5"/>
                <w:sz w:val="18"/>
              </w:rPr>
              <w:t>816</w:t>
            </w:r>
          </w:p>
        </w:tc>
        <w:tc>
          <w:tcPr>
            <w:tcW w:w="2153" w:type="dxa"/>
            <w:tcBorders>
              <w:bottom w:val="nil"/>
            </w:tcBorders>
            <w:shd w:val="clear" w:color="auto" w:fill="CCE2ED"/>
          </w:tcPr>
          <w:p w14:paraId="7C769828" w14:textId="77777777" w:rsidR="00141B97" w:rsidRDefault="00911D63">
            <w:pPr>
              <w:pStyle w:val="TableParagraph"/>
              <w:spacing w:before="38"/>
              <w:ind w:right="78"/>
              <w:jc w:val="right"/>
              <w:rPr>
                <w:sz w:val="18"/>
              </w:rPr>
            </w:pPr>
            <w:r>
              <w:rPr>
                <w:spacing w:val="-5"/>
                <w:sz w:val="18"/>
              </w:rPr>
              <w:t>816</w:t>
            </w:r>
          </w:p>
        </w:tc>
        <w:tc>
          <w:tcPr>
            <w:tcW w:w="2119" w:type="dxa"/>
            <w:tcBorders>
              <w:bottom w:val="nil"/>
            </w:tcBorders>
            <w:shd w:val="clear" w:color="auto" w:fill="CCE2ED"/>
          </w:tcPr>
          <w:p w14:paraId="6CB82E57" w14:textId="77777777" w:rsidR="00141B97" w:rsidRDefault="00911D63">
            <w:pPr>
              <w:pStyle w:val="TableParagraph"/>
              <w:spacing w:before="38"/>
              <w:ind w:right="78"/>
              <w:jc w:val="right"/>
              <w:rPr>
                <w:sz w:val="18"/>
              </w:rPr>
            </w:pPr>
            <w:r>
              <w:rPr>
                <w:spacing w:val="-5"/>
                <w:sz w:val="18"/>
              </w:rPr>
              <w:t>816</w:t>
            </w:r>
          </w:p>
        </w:tc>
        <w:tc>
          <w:tcPr>
            <w:tcW w:w="2115" w:type="dxa"/>
            <w:tcBorders>
              <w:bottom w:val="nil"/>
            </w:tcBorders>
            <w:shd w:val="clear" w:color="auto" w:fill="CCE2ED"/>
          </w:tcPr>
          <w:p w14:paraId="70D6AA87" w14:textId="77777777" w:rsidR="00141B97" w:rsidRDefault="00911D63">
            <w:pPr>
              <w:pStyle w:val="TableParagraph"/>
              <w:spacing w:before="38"/>
              <w:ind w:right="76"/>
              <w:jc w:val="right"/>
              <w:rPr>
                <w:sz w:val="18"/>
              </w:rPr>
            </w:pPr>
            <w:r>
              <w:rPr>
                <w:spacing w:val="-5"/>
                <w:sz w:val="18"/>
              </w:rPr>
              <w:t>816</w:t>
            </w:r>
          </w:p>
        </w:tc>
        <w:tc>
          <w:tcPr>
            <w:tcW w:w="2116" w:type="dxa"/>
            <w:tcBorders>
              <w:bottom w:val="nil"/>
            </w:tcBorders>
            <w:shd w:val="clear" w:color="auto" w:fill="CCE2ED"/>
          </w:tcPr>
          <w:p w14:paraId="7658DEAC" w14:textId="77777777" w:rsidR="00141B97" w:rsidRDefault="00911D63">
            <w:pPr>
              <w:pStyle w:val="TableParagraph"/>
              <w:spacing w:before="38"/>
              <w:ind w:right="77"/>
              <w:jc w:val="right"/>
              <w:rPr>
                <w:sz w:val="18"/>
              </w:rPr>
            </w:pPr>
            <w:r>
              <w:rPr>
                <w:spacing w:val="-5"/>
                <w:sz w:val="18"/>
              </w:rPr>
              <w:t>816</w:t>
            </w:r>
          </w:p>
        </w:tc>
        <w:tc>
          <w:tcPr>
            <w:tcW w:w="2111" w:type="dxa"/>
            <w:tcBorders>
              <w:bottom w:val="nil"/>
              <w:right w:val="nil"/>
            </w:tcBorders>
            <w:shd w:val="clear" w:color="auto" w:fill="CCE2ED"/>
          </w:tcPr>
          <w:p w14:paraId="4A636066" w14:textId="77777777" w:rsidR="00141B97" w:rsidRDefault="00911D63">
            <w:pPr>
              <w:pStyle w:val="TableParagraph"/>
              <w:spacing w:before="38"/>
              <w:ind w:right="76"/>
              <w:jc w:val="right"/>
              <w:rPr>
                <w:sz w:val="18"/>
              </w:rPr>
            </w:pPr>
            <w:r>
              <w:rPr>
                <w:spacing w:val="-5"/>
                <w:sz w:val="18"/>
              </w:rPr>
              <w:t>816</w:t>
            </w:r>
          </w:p>
        </w:tc>
      </w:tr>
    </w:tbl>
    <w:p w14:paraId="0759DCDE" w14:textId="77777777" w:rsidR="00141B97" w:rsidRDefault="00911D63">
      <w:pPr>
        <w:spacing w:before="11"/>
        <w:ind w:left="124"/>
        <w:rPr>
          <w:sz w:val="16"/>
        </w:rPr>
      </w:pPr>
      <w:r>
        <w:rPr>
          <w:sz w:val="16"/>
        </w:rPr>
        <w:t>Table</w:t>
      </w:r>
      <w:r>
        <w:rPr>
          <w:spacing w:val="-5"/>
          <w:sz w:val="16"/>
        </w:rPr>
        <w:t xml:space="preserve"> </w:t>
      </w:r>
      <w:r>
        <w:rPr>
          <w:sz w:val="16"/>
        </w:rPr>
        <w:t>C1.2:</w:t>
      </w:r>
      <w:r>
        <w:rPr>
          <w:spacing w:val="-7"/>
          <w:sz w:val="16"/>
        </w:rPr>
        <w:t xml:space="preserve"> </w:t>
      </w:r>
      <w:r>
        <w:rPr>
          <w:sz w:val="16"/>
        </w:rPr>
        <w:t>Stock</w:t>
      </w:r>
      <w:r>
        <w:rPr>
          <w:spacing w:val="-5"/>
          <w:sz w:val="16"/>
        </w:rPr>
        <w:t xml:space="preserve"> </w:t>
      </w:r>
      <w:r>
        <w:rPr>
          <w:sz w:val="16"/>
        </w:rPr>
        <w:t>and</w:t>
      </w:r>
      <w:r>
        <w:rPr>
          <w:spacing w:val="-7"/>
          <w:sz w:val="16"/>
        </w:rPr>
        <w:t xml:space="preserve"> </w:t>
      </w:r>
      <w:r>
        <w:rPr>
          <w:sz w:val="16"/>
        </w:rPr>
        <w:t>Domestic</w:t>
      </w:r>
      <w:r>
        <w:rPr>
          <w:spacing w:val="-5"/>
          <w:sz w:val="16"/>
        </w:rPr>
        <w:t xml:space="preserve"> </w:t>
      </w:r>
      <w:r>
        <w:rPr>
          <w:sz w:val="16"/>
        </w:rPr>
        <w:t>Volumes</w:t>
      </w:r>
      <w:r>
        <w:rPr>
          <w:spacing w:val="-7"/>
          <w:sz w:val="16"/>
        </w:rPr>
        <w:t xml:space="preserve"> </w:t>
      </w:r>
      <w:r>
        <w:rPr>
          <w:sz w:val="16"/>
        </w:rPr>
        <w:t>(kL</w:t>
      </w:r>
      <w:r>
        <w:rPr>
          <w:spacing w:val="-5"/>
          <w:sz w:val="16"/>
        </w:rPr>
        <w:t xml:space="preserve"> pa)</w:t>
      </w:r>
    </w:p>
    <w:p w14:paraId="1D7AE3AD" w14:textId="77777777" w:rsidR="00141B97" w:rsidRDefault="00141B97">
      <w:pPr>
        <w:rPr>
          <w:sz w:val="16"/>
        </w:rPr>
        <w:sectPr w:rsidR="00141B97">
          <w:pgSz w:w="16840" w:h="11910" w:orient="landscape"/>
          <w:pgMar w:top="860" w:right="600" w:bottom="540" w:left="300" w:header="0" w:footer="345" w:gutter="0"/>
          <w:cols w:space="720"/>
        </w:sectPr>
      </w:pPr>
    </w:p>
    <w:p w14:paraId="0E7D3213" w14:textId="77777777" w:rsidR="00141B97" w:rsidRDefault="00911D63">
      <w:pPr>
        <w:pStyle w:val="BodyText"/>
        <w:spacing w:before="39"/>
        <w:ind w:left="124"/>
      </w:pPr>
      <w:r>
        <w:lastRenderedPageBreak/>
        <w:t>C1.3</w:t>
      </w:r>
      <w:r>
        <w:rPr>
          <w:spacing w:val="-6"/>
        </w:rPr>
        <w:t xml:space="preserve"> </w:t>
      </w:r>
      <w:r>
        <w:t>Forecast</w:t>
      </w:r>
      <w:r>
        <w:rPr>
          <w:spacing w:val="-7"/>
        </w:rPr>
        <w:t xml:space="preserve"> </w:t>
      </w:r>
      <w:r>
        <w:t>of</w:t>
      </w:r>
      <w:r>
        <w:rPr>
          <w:spacing w:val="-5"/>
        </w:rPr>
        <w:t xml:space="preserve"> </w:t>
      </w:r>
      <w:r>
        <w:t>Delivery</w:t>
      </w:r>
      <w:r>
        <w:rPr>
          <w:spacing w:val="-7"/>
        </w:rPr>
        <w:t xml:space="preserve"> </w:t>
      </w:r>
      <w:r>
        <w:rPr>
          <w:spacing w:val="-2"/>
        </w:rPr>
        <w:t>Share</w:t>
      </w:r>
    </w:p>
    <w:p w14:paraId="73F6CEA7" w14:textId="77777777" w:rsidR="00141B97" w:rsidRDefault="00911D63">
      <w:pPr>
        <w:pStyle w:val="BodyText"/>
        <w:spacing w:before="72"/>
        <w:ind w:left="124"/>
      </w:pPr>
      <w:r>
        <w:t>Delivery</w:t>
      </w:r>
      <w:r>
        <w:rPr>
          <w:spacing w:val="-8"/>
        </w:rPr>
        <w:t xml:space="preserve"> </w:t>
      </w:r>
      <w:r>
        <w:t>share</w:t>
      </w:r>
      <w:r>
        <w:rPr>
          <w:spacing w:val="-8"/>
        </w:rPr>
        <w:t xml:space="preserve"> </w:t>
      </w:r>
      <w:r>
        <w:t>forms</w:t>
      </w:r>
      <w:r>
        <w:rPr>
          <w:spacing w:val="-7"/>
        </w:rPr>
        <w:t xml:space="preserve"> </w:t>
      </w:r>
      <w:r>
        <w:t>an</w:t>
      </w:r>
      <w:r>
        <w:rPr>
          <w:spacing w:val="-8"/>
        </w:rPr>
        <w:t xml:space="preserve"> </w:t>
      </w:r>
      <w:r>
        <w:t>important</w:t>
      </w:r>
      <w:r>
        <w:rPr>
          <w:spacing w:val="-7"/>
        </w:rPr>
        <w:t xml:space="preserve"> </w:t>
      </w:r>
      <w:r>
        <w:t>element</w:t>
      </w:r>
      <w:r>
        <w:rPr>
          <w:spacing w:val="-6"/>
        </w:rPr>
        <w:t xml:space="preserve"> </w:t>
      </w:r>
      <w:r>
        <w:t>of</w:t>
      </w:r>
      <w:r>
        <w:rPr>
          <w:spacing w:val="-6"/>
        </w:rPr>
        <w:t xml:space="preserve"> </w:t>
      </w:r>
      <w:r>
        <w:t>the</w:t>
      </w:r>
      <w:r>
        <w:rPr>
          <w:spacing w:val="-6"/>
        </w:rPr>
        <w:t xml:space="preserve"> </w:t>
      </w:r>
      <w:r>
        <w:t>charging</w:t>
      </w:r>
      <w:r>
        <w:rPr>
          <w:spacing w:val="-6"/>
        </w:rPr>
        <w:t xml:space="preserve"> </w:t>
      </w:r>
      <w:r>
        <w:t>base</w:t>
      </w:r>
      <w:r>
        <w:rPr>
          <w:spacing w:val="-8"/>
        </w:rPr>
        <w:t xml:space="preserve"> </w:t>
      </w:r>
      <w:r>
        <w:t>for</w:t>
      </w:r>
      <w:r>
        <w:rPr>
          <w:spacing w:val="-7"/>
        </w:rPr>
        <w:t xml:space="preserve"> </w:t>
      </w:r>
      <w:r>
        <w:t>water</w:t>
      </w:r>
      <w:r>
        <w:rPr>
          <w:spacing w:val="-8"/>
        </w:rPr>
        <w:t xml:space="preserve"> </w:t>
      </w:r>
      <w:r>
        <w:t>and</w:t>
      </w:r>
      <w:r>
        <w:rPr>
          <w:spacing w:val="-6"/>
        </w:rPr>
        <w:t xml:space="preserve"> </w:t>
      </w:r>
      <w:r>
        <w:t>drainage</w:t>
      </w:r>
      <w:r>
        <w:rPr>
          <w:spacing w:val="-7"/>
        </w:rPr>
        <w:t xml:space="preserve"> </w:t>
      </w:r>
      <w:r>
        <w:rPr>
          <w:spacing w:val="-2"/>
        </w:rPr>
        <w:t>services.</w:t>
      </w:r>
    </w:p>
    <w:p w14:paraId="5E62CF02" w14:textId="77777777" w:rsidR="00141B97" w:rsidRDefault="00141B97">
      <w:pPr>
        <w:pStyle w:val="BodyText"/>
        <w:spacing w:before="7"/>
        <w:rPr>
          <w:sz w:val="19"/>
        </w:rPr>
      </w:pPr>
    </w:p>
    <w:p w14:paraId="0FAC60C3" w14:textId="77777777" w:rsidR="00141B97" w:rsidRDefault="00911D63">
      <w:pPr>
        <w:ind w:left="124"/>
        <w:rPr>
          <w:i/>
          <w:sz w:val="20"/>
        </w:rPr>
      </w:pPr>
      <w:r>
        <w:rPr>
          <w:i/>
          <w:sz w:val="20"/>
        </w:rPr>
        <w:t>C1.3.1</w:t>
      </w:r>
      <w:r>
        <w:rPr>
          <w:i/>
          <w:spacing w:val="-4"/>
          <w:sz w:val="20"/>
        </w:rPr>
        <w:t xml:space="preserve"> </w:t>
      </w:r>
      <w:r>
        <w:rPr>
          <w:i/>
          <w:sz w:val="20"/>
        </w:rPr>
        <w:t>Delivery</w:t>
      </w:r>
      <w:r>
        <w:rPr>
          <w:i/>
          <w:spacing w:val="-4"/>
          <w:sz w:val="20"/>
        </w:rPr>
        <w:t xml:space="preserve"> </w:t>
      </w:r>
      <w:r>
        <w:rPr>
          <w:i/>
          <w:sz w:val="20"/>
        </w:rPr>
        <w:t>Share</w:t>
      </w:r>
      <w:r>
        <w:rPr>
          <w:i/>
          <w:spacing w:val="-3"/>
          <w:sz w:val="20"/>
        </w:rPr>
        <w:t xml:space="preserve"> </w:t>
      </w:r>
      <w:r>
        <w:rPr>
          <w:i/>
          <w:sz w:val="20"/>
        </w:rPr>
        <w:t>Charged</w:t>
      </w:r>
      <w:r>
        <w:rPr>
          <w:i/>
          <w:spacing w:val="-4"/>
          <w:sz w:val="20"/>
        </w:rPr>
        <w:t xml:space="preserve"> </w:t>
      </w:r>
      <w:r>
        <w:rPr>
          <w:i/>
          <w:sz w:val="20"/>
        </w:rPr>
        <w:t>for</w:t>
      </w:r>
      <w:r>
        <w:rPr>
          <w:i/>
          <w:spacing w:val="-4"/>
          <w:sz w:val="20"/>
        </w:rPr>
        <w:t xml:space="preserve"> Water</w:t>
      </w:r>
    </w:p>
    <w:p w14:paraId="6308D4EE" w14:textId="77777777" w:rsidR="00141B97" w:rsidRDefault="00911D63">
      <w:pPr>
        <w:pStyle w:val="BodyText"/>
        <w:spacing w:before="71"/>
        <w:ind w:left="124"/>
      </w:pPr>
      <w:r>
        <w:rPr>
          <w:w w:val="95"/>
        </w:rPr>
        <w:t>Delivery</w:t>
      </w:r>
      <w:r>
        <w:rPr>
          <w:spacing w:val="8"/>
        </w:rPr>
        <w:t xml:space="preserve"> </w:t>
      </w:r>
      <w:r>
        <w:rPr>
          <w:w w:val="95"/>
        </w:rPr>
        <w:t>shares</w:t>
      </w:r>
      <w:r>
        <w:rPr>
          <w:spacing w:val="8"/>
        </w:rPr>
        <w:t xml:space="preserve"> </w:t>
      </w:r>
      <w:r>
        <w:rPr>
          <w:w w:val="95"/>
        </w:rPr>
        <w:t>for</w:t>
      </w:r>
      <w:r>
        <w:rPr>
          <w:spacing w:val="9"/>
        </w:rPr>
        <w:t xml:space="preserve"> </w:t>
      </w:r>
      <w:r>
        <w:rPr>
          <w:w w:val="95"/>
        </w:rPr>
        <w:t>Merbein,</w:t>
      </w:r>
      <w:r>
        <w:rPr>
          <w:spacing w:val="8"/>
        </w:rPr>
        <w:t xml:space="preserve"> </w:t>
      </w:r>
      <w:r>
        <w:rPr>
          <w:w w:val="95"/>
        </w:rPr>
        <w:t>Red</w:t>
      </w:r>
      <w:r>
        <w:rPr>
          <w:spacing w:val="8"/>
        </w:rPr>
        <w:t xml:space="preserve"> </w:t>
      </w:r>
      <w:r>
        <w:rPr>
          <w:w w:val="95"/>
        </w:rPr>
        <w:t>Cliffs</w:t>
      </w:r>
      <w:r>
        <w:rPr>
          <w:spacing w:val="8"/>
        </w:rPr>
        <w:t xml:space="preserve"> </w:t>
      </w:r>
      <w:r>
        <w:rPr>
          <w:w w:val="95"/>
        </w:rPr>
        <w:t>and</w:t>
      </w:r>
      <w:r>
        <w:rPr>
          <w:spacing w:val="7"/>
        </w:rPr>
        <w:t xml:space="preserve"> </w:t>
      </w:r>
      <w:r>
        <w:rPr>
          <w:w w:val="95"/>
        </w:rPr>
        <w:t>Robinvale</w:t>
      </w:r>
      <w:r>
        <w:rPr>
          <w:spacing w:val="7"/>
        </w:rPr>
        <w:t xml:space="preserve"> </w:t>
      </w:r>
      <w:r>
        <w:rPr>
          <w:w w:val="95"/>
        </w:rPr>
        <w:t>were</w:t>
      </w:r>
      <w:r>
        <w:rPr>
          <w:spacing w:val="8"/>
        </w:rPr>
        <w:t xml:space="preserve"> </w:t>
      </w:r>
      <w:r>
        <w:rPr>
          <w:w w:val="95"/>
        </w:rPr>
        <w:t>calculated</w:t>
      </w:r>
      <w:r>
        <w:rPr>
          <w:spacing w:val="9"/>
        </w:rPr>
        <w:t xml:space="preserve"> </w:t>
      </w:r>
      <w:r>
        <w:rPr>
          <w:w w:val="95"/>
        </w:rPr>
        <w:t>on</w:t>
      </w:r>
      <w:r>
        <w:rPr>
          <w:spacing w:val="8"/>
        </w:rPr>
        <w:t xml:space="preserve"> </w:t>
      </w:r>
      <w:r>
        <w:rPr>
          <w:w w:val="95"/>
        </w:rPr>
        <w:t>the</w:t>
      </w:r>
      <w:r>
        <w:rPr>
          <w:spacing w:val="7"/>
        </w:rPr>
        <w:t xml:space="preserve"> </w:t>
      </w:r>
      <w:r>
        <w:rPr>
          <w:w w:val="95"/>
        </w:rPr>
        <w:t>1</w:t>
      </w:r>
      <w:r>
        <w:rPr>
          <w:spacing w:val="9"/>
        </w:rPr>
        <w:t xml:space="preserve"> </w:t>
      </w:r>
      <w:r>
        <w:rPr>
          <w:w w:val="95"/>
        </w:rPr>
        <w:t>July</w:t>
      </w:r>
      <w:r>
        <w:rPr>
          <w:spacing w:val="8"/>
        </w:rPr>
        <w:t xml:space="preserve"> </w:t>
      </w:r>
      <w:r>
        <w:rPr>
          <w:w w:val="95"/>
        </w:rPr>
        <w:t>2006</w:t>
      </w:r>
      <w:r>
        <w:rPr>
          <w:spacing w:val="8"/>
        </w:rPr>
        <w:t xml:space="preserve"> </w:t>
      </w:r>
      <w:r>
        <w:rPr>
          <w:w w:val="95"/>
        </w:rPr>
        <w:t>Water</w:t>
      </w:r>
      <w:r>
        <w:rPr>
          <w:spacing w:val="10"/>
        </w:rPr>
        <w:t xml:space="preserve"> </w:t>
      </w:r>
      <w:r>
        <w:rPr>
          <w:w w:val="95"/>
        </w:rPr>
        <w:t>Right.</w:t>
      </w:r>
      <w:r>
        <w:rPr>
          <w:spacing w:val="8"/>
        </w:rPr>
        <w:t xml:space="preserve"> </w:t>
      </w:r>
      <w:r>
        <w:rPr>
          <w:w w:val="95"/>
        </w:rPr>
        <w:t>Mildura</w:t>
      </w:r>
      <w:r>
        <w:rPr>
          <w:spacing w:val="7"/>
        </w:rPr>
        <w:t xml:space="preserve"> </w:t>
      </w:r>
      <w:r>
        <w:rPr>
          <w:w w:val="95"/>
        </w:rPr>
        <w:t>delivery</w:t>
      </w:r>
      <w:r>
        <w:rPr>
          <w:spacing w:val="8"/>
        </w:rPr>
        <w:t xml:space="preserve"> </w:t>
      </w:r>
      <w:r>
        <w:rPr>
          <w:w w:val="95"/>
        </w:rPr>
        <w:t>shares</w:t>
      </w:r>
      <w:r>
        <w:rPr>
          <w:spacing w:val="8"/>
        </w:rPr>
        <w:t xml:space="preserve"> </w:t>
      </w:r>
      <w:r>
        <w:rPr>
          <w:w w:val="95"/>
        </w:rPr>
        <w:t>are</w:t>
      </w:r>
      <w:r>
        <w:rPr>
          <w:spacing w:val="6"/>
        </w:rPr>
        <w:t xml:space="preserve"> </w:t>
      </w:r>
      <w:r>
        <w:rPr>
          <w:w w:val="95"/>
        </w:rPr>
        <w:t>based</w:t>
      </w:r>
      <w:r>
        <w:rPr>
          <w:spacing w:val="11"/>
        </w:rPr>
        <w:t xml:space="preserve"> </w:t>
      </w:r>
      <w:r>
        <w:rPr>
          <w:w w:val="95"/>
        </w:rPr>
        <w:t>on</w:t>
      </w:r>
      <w:r>
        <w:rPr>
          <w:spacing w:val="8"/>
        </w:rPr>
        <w:t xml:space="preserve"> </w:t>
      </w:r>
      <w:r>
        <w:rPr>
          <w:w w:val="95"/>
        </w:rPr>
        <w:t>the</w:t>
      </w:r>
      <w:r>
        <w:rPr>
          <w:spacing w:val="8"/>
        </w:rPr>
        <w:t xml:space="preserve"> </w:t>
      </w:r>
      <w:r>
        <w:rPr>
          <w:w w:val="95"/>
        </w:rPr>
        <w:t>irrigable</w:t>
      </w:r>
      <w:r>
        <w:rPr>
          <w:spacing w:val="7"/>
        </w:rPr>
        <w:t xml:space="preserve"> </w:t>
      </w:r>
      <w:r>
        <w:rPr>
          <w:w w:val="95"/>
        </w:rPr>
        <w:t>size</w:t>
      </w:r>
      <w:r>
        <w:rPr>
          <w:spacing w:val="7"/>
        </w:rPr>
        <w:t xml:space="preserve"> </w:t>
      </w:r>
      <w:r>
        <w:rPr>
          <w:w w:val="95"/>
        </w:rPr>
        <w:t>of</w:t>
      </w:r>
      <w:r>
        <w:rPr>
          <w:spacing w:val="8"/>
        </w:rPr>
        <w:t xml:space="preserve"> </w:t>
      </w:r>
      <w:r>
        <w:rPr>
          <w:w w:val="95"/>
        </w:rPr>
        <w:t>the</w:t>
      </w:r>
      <w:r>
        <w:rPr>
          <w:spacing w:val="8"/>
        </w:rPr>
        <w:t xml:space="preserve"> </w:t>
      </w:r>
      <w:r>
        <w:rPr>
          <w:w w:val="95"/>
        </w:rPr>
        <w:t>land</w:t>
      </w:r>
      <w:r>
        <w:rPr>
          <w:spacing w:val="6"/>
        </w:rPr>
        <w:t xml:space="preserve"> </w:t>
      </w:r>
      <w:r>
        <w:rPr>
          <w:w w:val="95"/>
        </w:rPr>
        <w:t>(in</w:t>
      </w:r>
      <w:r>
        <w:rPr>
          <w:spacing w:val="7"/>
        </w:rPr>
        <w:t xml:space="preserve"> </w:t>
      </w:r>
      <w:r>
        <w:rPr>
          <w:spacing w:val="-2"/>
          <w:w w:val="95"/>
        </w:rPr>
        <w:t>hectares).</w:t>
      </w:r>
    </w:p>
    <w:p w14:paraId="64DDA239" w14:textId="77777777" w:rsidR="00141B97" w:rsidRDefault="00911D63">
      <w:pPr>
        <w:pStyle w:val="BodyText"/>
        <w:spacing w:before="131" w:line="252" w:lineRule="auto"/>
        <w:ind w:left="124"/>
      </w:pPr>
      <w:r>
        <w:t>Table</w:t>
      </w:r>
      <w:r>
        <w:rPr>
          <w:spacing w:val="-13"/>
        </w:rPr>
        <w:t xml:space="preserve"> </w:t>
      </w:r>
      <w:r>
        <w:t>C1.3.1</w:t>
      </w:r>
      <w:r>
        <w:rPr>
          <w:spacing w:val="-12"/>
        </w:rPr>
        <w:t xml:space="preserve"> </w:t>
      </w:r>
      <w:r>
        <w:t>shows</w:t>
      </w:r>
      <w:r>
        <w:rPr>
          <w:spacing w:val="-13"/>
        </w:rPr>
        <w:t xml:space="preserve"> </w:t>
      </w:r>
      <w:r>
        <w:t>expected</w:t>
      </w:r>
      <w:r>
        <w:rPr>
          <w:spacing w:val="-12"/>
        </w:rPr>
        <w:t xml:space="preserve"> </w:t>
      </w:r>
      <w:r>
        <w:t>future</w:t>
      </w:r>
      <w:r>
        <w:rPr>
          <w:spacing w:val="-13"/>
        </w:rPr>
        <w:t xml:space="preserve"> </w:t>
      </w:r>
      <w:r>
        <w:t>delivery</w:t>
      </w:r>
      <w:r>
        <w:rPr>
          <w:spacing w:val="-12"/>
        </w:rPr>
        <w:t xml:space="preserve"> </w:t>
      </w:r>
      <w:r>
        <w:t>shares</w:t>
      </w:r>
      <w:r>
        <w:rPr>
          <w:spacing w:val="-12"/>
        </w:rPr>
        <w:t xml:space="preserve"> </w:t>
      </w:r>
      <w:r>
        <w:t>for</w:t>
      </w:r>
      <w:r>
        <w:rPr>
          <w:spacing w:val="-11"/>
        </w:rPr>
        <w:t xml:space="preserve"> </w:t>
      </w:r>
      <w:r>
        <w:t>the</w:t>
      </w:r>
      <w:r>
        <w:rPr>
          <w:spacing w:val="-12"/>
        </w:rPr>
        <w:t xml:space="preserve"> </w:t>
      </w:r>
      <w:r>
        <w:t>irrigation</w:t>
      </w:r>
      <w:r>
        <w:rPr>
          <w:spacing w:val="-12"/>
        </w:rPr>
        <w:t xml:space="preserve"> </w:t>
      </w:r>
      <w:r>
        <w:t>districts.</w:t>
      </w:r>
      <w:r>
        <w:rPr>
          <w:spacing w:val="-13"/>
        </w:rPr>
        <w:t xml:space="preserve"> </w:t>
      </w:r>
      <w:r>
        <w:t>A</w:t>
      </w:r>
      <w:r>
        <w:rPr>
          <w:spacing w:val="-12"/>
        </w:rPr>
        <w:t xml:space="preserve"> </w:t>
      </w:r>
      <w:r>
        <w:t>nominal</w:t>
      </w:r>
      <w:r>
        <w:rPr>
          <w:spacing w:val="-12"/>
        </w:rPr>
        <w:t xml:space="preserve"> </w:t>
      </w:r>
      <w:r>
        <w:t>decline</w:t>
      </w:r>
      <w:r>
        <w:rPr>
          <w:spacing w:val="-13"/>
        </w:rPr>
        <w:t xml:space="preserve"> </w:t>
      </w:r>
      <w:r>
        <w:t>is</w:t>
      </w:r>
      <w:r>
        <w:rPr>
          <w:spacing w:val="-12"/>
        </w:rPr>
        <w:t xml:space="preserve"> </w:t>
      </w:r>
      <w:r>
        <w:t>forecast</w:t>
      </w:r>
      <w:r>
        <w:rPr>
          <w:spacing w:val="-12"/>
        </w:rPr>
        <w:t xml:space="preserve"> </w:t>
      </w:r>
      <w:r>
        <w:t>for</w:t>
      </w:r>
      <w:r>
        <w:rPr>
          <w:spacing w:val="-12"/>
        </w:rPr>
        <w:t xml:space="preserve"> </w:t>
      </w:r>
      <w:r>
        <w:t>Mildura</w:t>
      </w:r>
      <w:r>
        <w:rPr>
          <w:spacing w:val="-12"/>
        </w:rPr>
        <w:t xml:space="preserve"> </w:t>
      </w:r>
      <w:r>
        <w:t>and</w:t>
      </w:r>
      <w:r>
        <w:rPr>
          <w:spacing w:val="-11"/>
        </w:rPr>
        <w:t xml:space="preserve"> </w:t>
      </w:r>
      <w:r>
        <w:t>Mildura</w:t>
      </w:r>
      <w:r>
        <w:rPr>
          <w:spacing w:val="-12"/>
        </w:rPr>
        <w:t xml:space="preserve"> </w:t>
      </w:r>
      <w:r>
        <w:t>HPS</w:t>
      </w:r>
      <w:r>
        <w:rPr>
          <w:spacing w:val="-11"/>
        </w:rPr>
        <w:t xml:space="preserve"> </w:t>
      </w:r>
      <w:r>
        <w:t>due</w:t>
      </w:r>
      <w:r>
        <w:rPr>
          <w:spacing w:val="-12"/>
        </w:rPr>
        <w:t xml:space="preserve"> </w:t>
      </w:r>
      <w:r>
        <w:t>to</w:t>
      </w:r>
      <w:r>
        <w:rPr>
          <w:spacing w:val="-12"/>
        </w:rPr>
        <w:t xml:space="preserve"> </w:t>
      </w:r>
      <w:r>
        <w:t>urban</w:t>
      </w:r>
      <w:r>
        <w:rPr>
          <w:spacing w:val="-11"/>
        </w:rPr>
        <w:t xml:space="preserve"> </w:t>
      </w:r>
      <w:r>
        <w:t>encroachment</w:t>
      </w:r>
      <w:r>
        <w:rPr>
          <w:spacing w:val="-13"/>
        </w:rPr>
        <w:t xml:space="preserve"> </w:t>
      </w:r>
      <w:r>
        <w:t>on</w:t>
      </w:r>
      <w:r>
        <w:rPr>
          <w:spacing w:val="-13"/>
        </w:rPr>
        <w:t xml:space="preserve"> </w:t>
      </w:r>
      <w:r>
        <w:t>the</w:t>
      </w:r>
      <w:r>
        <w:rPr>
          <w:spacing w:val="-12"/>
        </w:rPr>
        <w:t xml:space="preserve"> </w:t>
      </w:r>
      <w:r>
        <w:t>irrigation area and retirement of some holdings. Nominal increases are forecast for Merbein and Red Cliffs while Robinvale is fully occupied.</w:t>
      </w:r>
    </w:p>
    <w:p w14:paraId="25A556E6" w14:textId="77777777" w:rsidR="00141B97" w:rsidRDefault="00141B97">
      <w:pPr>
        <w:pStyle w:val="BodyText"/>
        <w:spacing w:before="4"/>
        <w:rPr>
          <w:sz w:val="9"/>
        </w:rPr>
      </w:pPr>
    </w:p>
    <w:tbl>
      <w:tblPr>
        <w:tblW w:w="0" w:type="auto"/>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13"/>
        <w:gridCol w:w="2311"/>
        <w:gridCol w:w="1850"/>
        <w:gridCol w:w="1849"/>
        <w:gridCol w:w="1850"/>
        <w:gridCol w:w="1850"/>
        <w:gridCol w:w="1849"/>
      </w:tblGrid>
      <w:tr w:rsidR="00141B97" w14:paraId="788AA63B" w14:textId="77777777">
        <w:trPr>
          <w:trHeight w:val="275"/>
        </w:trPr>
        <w:tc>
          <w:tcPr>
            <w:tcW w:w="6224" w:type="dxa"/>
            <w:gridSpan w:val="2"/>
            <w:tcBorders>
              <w:top w:val="nil"/>
              <w:left w:val="nil"/>
            </w:tcBorders>
            <w:shd w:val="clear" w:color="auto" w:fill="006CA3"/>
          </w:tcPr>
          <w:p w14:paraId="53038880" w14:textId="77777777" w:rsidR="00141B97" w:rsidRDefault="00911D63">
            <w:pPr>
              <w:pStyle w:val="TableParagraph"/>
              <w:spacing w:before="29"/>
              <w:ind w:right="870"/>
              <w:jc w:val="right"/>
              <w:rPr>
                <w:sz w:val="18"/>
              </w:rPr>
            </w:pPr>
            <w:r>
              <w:rPr>
                <w:color w:val="FFFFFF"/>
                <w:spacing w:val="-2"/>
                <w:sz w:val="18"/>
              </w:rPr>
              <w:t>Current</w:t>
            </w:r>
          </w:p>
        </w:tc>
        <w:tc>
          <w:tcPr>
            <w:tcW w:w="9248" w:type="dxa"/>
            <w:gridSpan w:val="5"/>
            <w:tcBorders>
              <w:top w:val="nil"/>
              <w:right w:val="nil"/>
            </w:tcBorders>
            <w:shd w:val="clear" w:color="auto" w:fill="006CA3"/>
          </w:tcPr>
          <w:p w14:paraId="49987343" w14:textId="77777777" w:rsidR="00141B97" w:rsidRDefault="00911D63">
            <w:pPr>
              <w:pStyle w:val="TableParagraph"/>
              <w:spacing w:before="29"/>
              <w:ind w:left="3705" w:right="3703"/>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47FF4B0D" w14:textId="77777777">
        <w:trPr>
          <w:trHeight w:val="275"/>
        </w:trPr>
        <w:tc>
          <w:tcPr>
            <w:tcW w:w="3913" w:type="dxa"/>
            <w:tcBorders>
              <w:left w:val="nil"/>
            </w:tcBorders>
            <w:shd w:val="clear" w:color="auto" w:fill="006CA3"/>
          </w:tcPr>
          <w:p w14:paraId="7A181DEA" w14:textId="77777777" w:rsidR="00141B97" w:rsidRDefault="00911D63">
            <w:pPr>
              <w:pStyle w:val="TableParagraph"/>
              <w:spacing w:line="106" w:lineRule="exact"/>
              <w:ind w:left="80"/>
              <w:rPr>
                <w:sz w:val="18"/>
              </w:rPr>
            </w:pPr>
            <w:r>
              <w:rPr>
                <w:color w:val="FFFFFF"/>
                <w:spacing w:val="-2"/>
                <w:sz w:val="18"/>
              </w:rPr>
              <w:t>District</w:t>
            </w:r>
          </w:p>
        </w:tc>
        <w:tc>
          <w:tcPr>
            <w:tcW w:w="2311" w:type="dxa"/>
            <w:shd w:val="clear" w:color="auto" w:fill="006CA3"/>
          </w:tcPr>
          <w:p w14:paraId="0A409D36" w14:textId="77777777" w:rsidR="00141B97" w:rsidRDefault="00911D63">
            <w:pPr>
              <w:pStyle w:val="TableParagraph"/>
              <w:spacing w:before="29"/>
              <w:ind w:left="818" w:right="818"/>
              <w:jc w:val="center"/>
              <w:rPr>
                <w:sz w:val="18"/>
              </w:rPr>
            </w:pPr>
            <w:r>
              <w:rPr>
                <w:color w:val="FFFFFF"/>
                <w:spacing w:val="-2"/>
                <w:sz w:val="18"/>
              </w:rPr>
              <w:t>2022‐23</w:t>
            </w:r>
          </w:p>
        </w:tc>
        <w:tc>
          <w:tcPr>
            <w:tcW w:w="1850" w:type="dxa"/>
            <w:shd w:val="clear" w:color="auto" w:fill="006CA3"/>
          </w:tcPr>
          <w:p w14:paraId="6BDBD630" w14:textId="77777777" w:rsidR="00141B97" w:rsidRDefault="00911D63">
            <w:pPr>
              <w:pStyle w:val="TableParagraph"/>
              <w:spacing w:before="29"/>
              <w:ind w:left="605" w:right="604"/>
              <w:jc w:val="center"/>
              <w:rPr>
                <w:sz w:val="18"/>
              </w:rPr>
            </w:pPr>
            <w:r>
              <w:rPr>
                <w:color w:val="FFFFFF"/>
                <w:spacing w:val="-2"/>
                <w:sz w:val="18"/>
              </w:rPr>
              <w:t>2023‐24</w:t>
            </w:r>
          </w:p>
        </w:tc>
        <w:tc>
          <w:tcPr>
            <w:tcW w:w="1849" w:type="dxa"/>
            <w:shd w:val="clear" w:color="auto" w:fill="006CA3"/>
          </w:tcPr>
          <w:p w14:paraId="6BB4EAC4" w14:textId="77777777" w:rsidR="00141B97" w:rsidRDefault="00911D63">
            <w:pPr>
              <w:pStyle w:val="TableParagraph"/>
              <w:spacing w:before="29"/>
              <w:ind w:left="605" w:right="605"/>
              <w:jc w:val="center"/>
              <w:rPr>
                <w:sz w:val="18"/>
              </w:rPr>
            </w:pPr>
            <w:r>
              <w:rPr>
                <w:color w:val="FFFFFF"/>
                <w:spacing w:val="-2"/>
                <w:sz w:val="18"/>
              </w:rPr>
              <w:t>2024‐25</w:t>
            </w:r>
          </w:p>
        </w:tc>
        <w:tc>
          <w:tcPr>
            <w:tcW w:w="1850" w:type="dxa"/>
            <w:shd w:val="clear" w:color="auto" w:fill="006CA3"/>
          </w:tcPr>
          <w:p w14:paraId="169F60CF" w14:textId="77777777" w:rsidR="00141B97" w:rsidRDefault="00911D63">
            <w:pPr>
              <w:pStyle w:val="TableParagraph"/>
              <w:spacing w:before="29"/>
              <w:ind w:left="606" w:right="604"/>
              <w:jc w:val="center"/>
              <w:rPr>
                <w:sz w:val="18"/>
              </w:rPr>
            </w:pPr>
            <w:r>
              <w:rPr>
                <w:color w:val="FFFFFF"/>
                <w:spacing w:val="-2"/>
                <w:sz w:val="18"/>
              </w:rPr>
              <w:t>2025‐26</w:t>
            </w:r>
          </w:p>
        </w:tc>
        <w:tc>
          <w:tcPr>
            <w:tcW w:w="1850" w:type="dxa"/>
            <w:shd w:val="clear" w:color="auto" w:fill="006CA3"/>
          </w:tcPr>
          <w:p w14:paraId="7B51A58F" w14:textId="77777777" w:rsidR="00141B97" w:rsidRDefault="00911D63">
            <w:pPr>
              <w:pStyle w:val="TableParagraph"/>
              <w:spacing w:before="29"/>
              <w:ind w:left="606" w:right="603"/>
              <w:jc w:val="center"/>
              <w:rPr>
                <w:sz w:val="18"/>
              </w:rPr>
            </w:pPr>
            <w:r>
              <w:rPr>
                <w:color w:val="FFFFFF"/>
                <w:spacing w:val="-2"/>
                <w:sz w:val="18"/>
              </w:rPr>
              <w:t>2026‐27</w:t>
            </w:r>
          </w:p>
        </w:tc>
        <w:tc>
          <w:tcPr>
            <w:tcW w:w="1849" w:type="dxa"/>
            <w:tcBorders>
              <w:right w:val="nil"/>
            </w:tcBorders>
            <w:shd w:val="clear" w:color="auto" w:fill="006CA3"/>
          </w:tcPr>
          <w:p w14:paraId="06496048" w14:textId="77777777" w:rsidR="00141B97" w:rsidRDefault="00911D63">
            <w:pPr>
              <w:pStyle w:val="TableParagraph"/>
              <w:spacing w:before="29"/>
              <w:ind w:left="608" w:right="606"/>
              <w:jc w:val="center"/>
              <w:rPr>
                <w:sz w:val="18"/>
              </w:rPr>
            </w:pPr>
            <w:r>
              <w:rPr>
                <w:color w:val="FFFFFF"/>
                <w:spacing w:val="-2"/>
                <w:sz w:val="18"/>
              </w:rPr>
              <w:t>2027‐28</w:t>
            </w:r>
          </w:p>
        </w:tc>
      </w:tr>
      <w:tr w:rsidR="00141B97" w14:paraId="1A858D3B" w14:textId="77777777">
        <w:trPr>
          <w:trHeight w:val="273"/>
        </w:trPr>
        <w:tc>
          <w:tcPr>
            <w:tcW w:w="3913" w:type="dxa"/>
            <w:tcBorders>
              <w:left w:val="nil"/>
              <w:bottom w:val="single" w:sz="6" w:space="0" w:color="FFFFFF"/>
            </w:tcBorders>
            <w:shd w:val="clear" w:color="auto" w:fill="CCE2ED"/>
          </w:tcPr>
          <w:p w14:paraId="27EF0199" w14:textId="77777777" w:rsidR="00141B97" w:rsidRDefault="00911D63">
            <w:pPr>
              <w:pStyle w:val="TableParagraph"/>
              <w:spacing w:before="29"/>
              <w:ind w:left="80"/>
              <w:rPr>
                <w:sz w:val="18"/>
              </w:rPr>
            </w:pPr>
            <w:r>
              <w:rPr>
                <w:spacing w:val="-2"/>
                <w:sz w:val="18"/>
              </w:rPr>
              <w:t>Mildura</w:t>
            </w:r>
          </w:p>
        </w:tc>
        <w:tc>
          <w:tcPr>
            <w:tcW w:w="2311" w:type="dxa"/>
            <w:tcBorders>
              <w:bottom w:val="single" w:sz="6" w:space="0" w:color="FFFFFF"/>
            </w:tcBorders>
            <w:shd w:val="clear" w:color="auto" w:fill="CCE2ED"/>
          </w:tcPr>
          <w:p w14:paraId="171D1630" w14:textId="77777777" w:rsidR="00141B97" w:rsidRDefault="00911D63">
            <w:pPr>
              <w:pStyle w:val="TableParagraph"/>
              <w:spacing w:before="29"/>
              <w:ind w:right="77"/>
              <w:jc w:val="right"/>
              <w:rPr>
                <w:sz w:val="18"/>
              </w:rPr>
            </w:pPr>
            <w:r>
              <w:rPr>
                <w:color w:val="323232"/>
                <w:spacing w:val="-2"/>
                <w:sz w:val="18"/>
              </w:rPr>
              <w:t>7,246</w:t>
            </w:r>
          </w:p>
        </w:tc>
        <w:tc>
          <w:tcPr>
            <w:tcW w:w="1850" w:type="dxa"/>
            <w:tcBorders>
              <w:bottom w:val="single" w:sz="6" w:space="0" w:color="FFFFFF"/>
            </w:tcBorders>
            <w:shd w:val="clear" w:color="auto" w:fill="CCE2ED"/>
          </w:tcPr>
          <w:p w14:paraId="51E8ED7A" w14:textId="77777777" w:rsidR="00141B97" w:rsidRDefault="00911D63">
            <w:pPr>
              <w:pStyle w:val="TableParagraph"/>
              <w:spacing w:before="29"/>
              <w:ind w:right="77"/>
              <w:jc w:val="right"/>
              <w:rPr>
                <w:sz w:val="18"/>
              </w:rPr>
            </w:pPr>
            <w:r>
              <w:rPr>
                <w:color w:val="323232"/>
                <w:spacing w:val="-2"/>
                <w:sz w:val="18"/>
              </w:rPr>
              <w:t>7,241</w:t>
            </w:r>
          </w:p>
        </w:tc>
        <w:tc>
          <w:tcPr>
            <w:tcW w:w="1849" w:type="dxa"/>
            <w:tcBorders>
              <w:bottom w:val="single" w:sz="6" w:space="0" w:color="FFFFFF"/>
            </w:tcBorders>
            <w:shd w:val="clear" w:color="auto" w:fill="CCE2ED"/>
          </w:tcPr>
          <w:p w14:paraId="6FEB4A71" w14:textId="77777777" w:rsidR="00141B97" w:rsidRDefault="00911D63">
            <w:pPr>
              <w:pStyle w:val="TableParagraph"/>
              <w:spacing w:before="29"/>
              <w:ind w:right="77"/>
              <w:jc w:val="right"/>
              <w:rPr>
                <w:sz w:val="18"/>
              </w:rPr>
            </w:pPr>
            <w:r>
              <w:rPr>
                <w:color w:val="323232"/>
                <w:spacing w:val="-2"/>
                <w:sz w:val="18"/>
              </w:rPr>
              <w:t>7,236</w:t>
            </w:r>
          </w:p>
        </w:tc>
        <w:tc>
          <w:tcPr>
            <w:tcW w:w="1850" w:type="dxa"/>
            <w:tcBorders>
              <w:bottom w:val="single" w:sz="6" w:space="0" w:color="FFFFFF"/>
            </w:tcBorders>
            <w:shd w:val="clear" w:color="auto" w:fill="CCE2ED"/>
          </w:tcPr>
          <w:p w14:paraId="3093CB2F" w14:textId="77777777" w:rsidR="00141B97" w:rsidRDefault="00911D63">
            <w:pPr>
              <w:pStyle w:val="TableParagraph"/>
              <w:spacing w:before="29"/>
              <w:ind w:right="76"/>
              <w:jc w:val="right"/>
              <w:rPr>
                <w:sz w:val="18"/>
              </w:rPr>
            </w:pPr>
            <w:r>
              <w:rPr>
                <w:color w:val="323232"/>
                <w:spacing w:val="-2"/>
                <w:sz w:val="18"/>
              </w:rPr>
              <w:t>7,231</w:t>
            </w:r>
          </w:p>
        </w:tc>
        <w:tc>
          <w:tcPr>
            <w:tcW w:w="1850" w:type="dxa"/>
            <w:tcBorders>
              <w:bottom w:val="single" w:sz="6" w:space="0" w:color="FFFFFF"/>
            </w:tcBorders>
            <w:shd w:val="clear" w:color="auto" w:fill="CCE2ED"/>
          </w:tcPr>
          <w:p w14:paraId="30E6A6E9" w14:textId="77777777" w:rsidR="00141B97" w:rsidRDefault="00911D63">
            <w:pPr>
              <w:pStyle w:val="TableParagraph"/>
              <w:spacing w:before="29"/>
              <w:ind w:right="76"/>
              <w:jc w:val="right"/>
              <w:rPr>
                <w:sz w:val="18"/>
              </w:rPr>
            </w:pPr>
            <w:r>
              <w:rPr>
                <w:color w:val="323232"/>
                <w:spacing w:val="-2"/>
                <w:sz w:val="18"/>
              </w:rPr>
              <w:t>7,226</w:t>
            </w:r>
          </w:p>
        </w:tc>
        <w:tc>
          <w:tcPr>
            <w:tcW w:w="1849" w:type="dxa"/>
            <w:tcBorders>
              <w:bottom w:val="single" w:sz="6" w:space="0" w:color="FFFFFF"/>
              <w:right w:val="nil"/>
            </w:tcBorders>
            <w:shd w:val="clear" w:color="auto" w:fill="CCE2ED"/>
          </w:tcPr>
          <w:p w14:paraId="1B9E1482" w14:textId="77777777" w:rsidR="00141B97" w:rsidRDefault="00911D63">
            <w:pPr>
              <w:pStyle w:val="TableParagraph"/>
              <w:spacing w:before="29"/>
              <w:ind w:right="76"/>
              <w:jc w:val="right"/>
              <w:rPr>
                <w:sz w:val="18"/>
              </w:rPr>
            </w:pPr>
            <w:r>
              <w:rPr>
                <w:color w:val="323232"/>
                <w:spacing w:val="-2"/>
                <w:sz w:val="18"/>
              </w:rPr>
              <w:t>7,221</w:t>
            </w:r>
          </w:p>
        </w:tc>
      </w:tr>
      <w:tr w:rsidR="00141B97" w14:paraId="11C98C10" w14:textId="77777777">
        <w:trPr>
          <w:trHeight w:val="270"/>
        </w:trPr>
        <w:tc>
          <w:tcPr>
            <w:tcW w:w="3913" w:type="dxa"/>
            <w:tcBorders>
              <w:top w:val="single" w:sz="6" w:space="0" w:color="FFFFFF"/>
              <w:left w:val="nil"/>
              <w:bottom w:val="single" w:sz="6" w:space="0" w:color="FFFFFF"/>
            </w:tcBorders>
            <w:shd w:val="clear" w:color="auto" w:fill="CCE2ED"/>
          </w:tcPr>
          <w:p w14:paraId="1087C749" w14:textId="77777777" w:rsidR="00141B97" w:rsidRDefault="00911D63">
            <w:pPr>
              <w:pStyle w:val="TableParagraph"/>
              <w:spacing w:before="25"/>
              <w:ind w:left="80"/>
              <w:rPr>
                <w:sz w:val="18"/>
              </w:rPr>
            </w:pPr>
            <w:r>
              <w:rPr>
                <w:spacing w:val="-2"/>
                <w:sz w:val="18"/>
              </w:rPr>
              <w:t>Merbein</w:t>
            </w:r>
          </w:p>
        </w:tc>
        <w:tc>
          <w:tcPr>
            <w:tcW w:w="2311" w:type="dxa"/>
            <w:tcBorders>
              <w:top w:val="single" w:sz="6" w:space="0" w:color="FFFFFF"/>
              <w:bottom w:val="single" w:sz="6" w:space="0" w:color="FFFFFF"/>
            </w:tcBorders>
            <w:shd w:val="clear" w:color="auto" w:fill="CCE2ED"/>
          </w:tcPr>
          <w:p w14:paraId="43F4ED7F" w14:textId="77777777" w:rsidR="00141B97" w:rsidRDefault="00911D63">
            <w:pPr>
              <w:pStyle w:val="TableParagraph"/>
              <w:spacing w:before="25"/>
              <w:ind w:right="77"/>
              <w:jc w:val="right"/>
              <w:rPr>
                <w:sz w:val="18"/>
              </w:rPr>
            </w:pPr>
            <w:r>
              <w:rPr>
                <w:color w:val="323232"/>
                <w:spacing w:val="-2"/>
                <w:sz w:val="18"/>
              </w:rPr>
              <w:t>4,442</w:t>
            </w:r>
          </w:p>
        </w:tc>
        <w:tc>
          <w:tcPr>
            <w:tcW w:w="1850" w:type="dxa"/>
            <w:tcBorders>
              <w:top w:val="single" w:sz="6" w:space="0" w:color="FFFFFF"/>
              <w:bottom w:val="single" w:sz="6" w:space="0" w:color="FFFFFF"/>
            </w:tcBorders>
            <w:shd w:val="clear" w:color="auto" w:fill="CCE2ED"/>
          </w:tcPr>
          <w:p w14:paraId="264800E6" w14:textId="77777777" w:rsidR="00141B97" w:rsidRDefault="00911D63">
            <w:pPr>
              <w:pStyle w:val="TableParagraph"/>
              <w:spacing w:before="25"/>
              <w:ind w:right="77"/>
              <w:jc w:val="right"/>
              <w:rPr>
                <w:sz w:val="18"/>
              </w:rPr>
            </w:pPr>
            <w:r>
              <w:rPr>
                <w:color w:val="323232"/>
                <w:spacing w:val="-2"/>
                <w:sz w:val="18"/>
              </w:rPr>
              <w:t>4,447</w:t>
            </w:r>
          </w:p>
        </w:tc>
        <w:tc>
          <w:tcPr>
            <w:tcW w:w="1849" w:type="dxa"/>
            <w:tcBorders>
              <w:top w:val="single" w:sz="6" w:space="0" w:color="FFFFFF"/>
              <w:bottom w:val="single" w:sz="6" w:space="0" w:color="FFFFFF"/>
            </w:tcBorders>
            <w:shd w:val="clear" w:color="auto" w:fill="CCE2ED"/>
          </w:tcPr>
          <w:p w14:paraId="33573047" w14:textId="77777777" w:rsidR="00141B97" w:rsidRDefault="00911D63">
            <w:pPr>
              <w:pStyle w:val="TableParagraph"/>
              <w:spacing w:before="25"/>
              <w:ind w:right="77"/>
              <w:jc w:val="right"/>
              <w:rPr>
                <w:sz w:val="18"/>
              </w:rPr>
            </w:pPr>
            <w:r>
              <w:rPr>
                <w:color w:val="323232"/>
                <w:spacing w:val="-2"/>
                <w:sz w:val="18"/>
              </w:rPr>
              <w:t>4,452</w:t>
            </w:r>
          </w:p>
        </w:tc>
        <w:tc>
          <w:tcPr>
            <w:tcW w:w="1850" w:type="dxa"/>
            <w:tcBorders>
              <w:top w:val="single" w:sz="6" w:space="0" w:color="FFFFFF"/>
              <w:bottom w:val="single" w:sz="6" w:space="0" w:color="FFFFFF"/>
            </w:tcBorders>
            <w:shd w:val="clear" w:color="auto" w:fill="CCE2ED"/>
          </w:tcPr>
          <w:p w14:paraId="32E3DA87" w14:textId="77777777" w:rsidR="00141B97" w:rsidRDefault="00911D63">
            <w:pPr>
              <w:pStyle w:val="TableParagraph"/>
              <w:spacing w:before="25"/>
              <w:ind w:right="76"/>
              <w:jc w:val="right"/>
              <w:rPr>
                <w:sz w:val="18"/>
              </w:rPr>
            </w:pPr>
            <w:r>
              <w:rPr>
                <w:color w:val="323232"/>
                <w:spacing w:val="-2"/>
                <w:sz w:val="18"/>
              </w:rPr>
              <w:t>4,457</w:t>
            </w:r>
          </w:p>
        </w:tc>
        <w:tc>
          <w:tcPr>
            <w:tcW w:w="1850" w:type="dxa"/>
            <w:tcBorders>
              <w:top w:val="single" w:sz="6" w:space="0" w:color="FFFFFF"/>
              <w:bottom w:val="single" w:sz="6" w:space="0" w:color="FFFFFF"/>
            </w:tcBorders>
            <w:shd w:val="clear" w:color="auto" w:fill="CCE2ED"/>
          </w:tcPr>
          <w:p w14:paraId="6A433280" w14:textId="77777777" w:rsidR="00141B97" w:rsidRDefault="00911D63">
            <w:pPr>
              <w:pStyle w:val="TableParagraph"/>
              <w:spacing w:before="25"/>
              <w:ind w:right="76"/>
              <w:jc w:val="right"/>
              <w:rPr>
                <w:sz w:val="18"/>
              </w:rPr>
            </w:pPr>
            <w:r>
              <w:rPr>
                <w:color w:val="323232"/>
                <w:spacing w:val="-2"/>
                <w:sz w:val="18"/>
              </w:rPr>
              <w:t>4,462</w:t>
            </w:r>
          </w:p>
        </w:tc>
        <w:tc>
          <w:tcPr>
            <w:tcW w:w="1849" w:type="dxa"/>
            <w:tcBorders>
              <w:top w:val="single" w:sz="6" w:space="0" w:color="FFFFFF"/>
              <w:bottom w:val="single" w:sz="6" w:space="0" w:color="FFFFFF"/>
              <w:right w:val="nil"/>
            </w:tcBorders>
            <w:shd w:val="clear" w:color="auto" w:fill="CCE2ED"/>
          </w:tcPr>
          <w:p w14:paraId="2EF540F4" w14:textId="77777777" w:rsidR="00141B97" w:rsidRDefault="00911D63">
            <w:pPr>
              <w:pStyle w:val="TableParagraph"/>
              <w:spacing w:before="25"/>
              <w:ind w:right="76"/>
              <w:jc w:val="right"/>
              <w:rPr>
                <w:sz w:val="18"/>
              </w:rPr>
            </w:pPr>
            <w:r>
              <w:rPr>
                <w:color w:val="323232"/>
                <w:spacing w:val="-2"/>
                <w:sz w:val="18"/>
              </w:rPr>
              <w:t>4,467</w:t>
            </w:r>
          </w:p>
        </w:tc>
      </w:tr>
      <w:tr w:rsidR="00141B97" w14:paraId="148B94C5" w14:textId="77777777">
        <w:trPr>
          <w:trHeight w:val="270"/>
        </w:trPr>
        <w:tc>
          <w:tcPr>
            <w:tcW w:w="3913" w:type="dxa"/>
            <w:tcBorders>
              <w:top w:val="single" w:sz="6" w:space="0" w:color="FFFFFF"/>
              <w:left w:val="nil"/>
              <w:bottom w:val="single" w:sz="6" w:space="0" w:color="FFFFFF"/>
            </w:tcBorders>
            <w:shd w:val="clear" w:color="auto" w:fill="CCE2ED"/>
          </w:tcPr>
          <w:p w14:paraId="7C0EF6DC" w14:textId="77777777" w:rsidR="00141B97" w:rsidRDefault="00911D63">
            <w:pPr>
              <w:pStyle w:val="TableParagraph"/>
              <w:spacing w:before="25"/>
              <w:ind w:left="80"/>
              <w:rPr>
                <w:sz w:val="18"/>
              </w:rPr>
            </w:pPr>
            <w:r>
              <w:rPr>
                <w:sz w:val="18"/>
              </w:rPr>
              <w:t xml:space="preserve">Red </w:t>
            </w:r>
            <w:r>
              <w:rPr>
                <w:spacing w:val="-2"/>
                <w:sz w:val="18"/>
              </w:rPr>
              <w:t>Cliffs</w:t>
            </w:r>
          </w:p>
        </w:tc>
        <w:tc>
          <w:tcPr>
            <w:tcW w:w="2311" w:type="dxa"/>
            <w:tcBorders>
              <w:top w:val="single" w:sz="6" w:space="0" w:color="FFFFFF"/>
              <w:bottom w:val="single" w:sz="6" w:space="0" w:color="FFFFFF"/>
            </w:tcBorders>
            <w:shd w:val="clear" w:color="auto" w:fill="CCE2ED"/>
          </w:tcPr>
          <w:p w14:paraId="652146D6" w14:textId="77777777" w:rsidR="00141B97" w:rsidRDefault="00911D63">
            <w:pPr>
              <w:pStyle w:val="TableParagraph"/>
              <w:spacing w:before="25"/>
              <w:ind w:right="77"/>
              <w:jc w:val="right"/>
              <w:rPr>
                <w:sz w:val="18"/>
              </w:rPr>
            </w:pPr>
            <w:r>
              <w:rPr>
                <w:color w:val="323232"/>
                <w:spacing w:val="-2"/>
                <w:sz w:val="18"/>
              </w:rPr>
              <w:t>7,119</w:t>
            </w:r>
          </w:p>
        </w:tc>
        <w:tc>
          <w:tcPr>
            <w:tcW w:w="1850" w:type="dxa"/>
            <w:tcBorders>
              <w:top w:val="single" w:sz="6" w:space="0" w:color="FFFFFF"/>
              <w:bottom w:val="single" w:sz="6" w:space="0" w:color="FFFFFF"/>
            </w:tcBorders>
            <w:shd w:val="clear" w:color="auto" w:fill="CCE2ED"/>
          </w:tcPr>
          <w:p w14:paraId="48A775C1" w14:textId="77777777" w:rsidR="00141B97" w:rsidRDefault="00911D63">
            <w:pPr>
              <w:pStyle w:val="TableParagraph"/>
              <w:spacing w:before="25"/>
              <w:ind w:right="77"/>
              <w:jc w:val="right"/>
              <w:rPr>
                <w:sz w:val="18"/>
              </w:rPr>
            </w:pPr>
            <w:r>
              <w:rPr>
                <w:color w:val="323232"/>
                <w:spacing w:val="-2"/>
                <w:sz w:val="18"/>
              </w:rPr>
              <w:t>7,126</w:t>
            </w:r>
          </w:p>
        </w:tc>
        <w:tc>
          <w:tcPr>
            <w:tcW w:w="1849" w:type="dxa"/>
            <w:tcBorders>
              <w:top w:val="single" w:sz="6" w:space="0" w:color="FFFFFF"/>
              <w:bottom w:val="single" w:sz="6" w:space="0" w:color="FFFFFF"/>
            </w:tcBorders>
            <w:shd w:val="clear" w:color="auto" w:fill="CCE2ED"/>
          </w:tcPr>
          <w:p w14:paraId="5B5D4A2C" w14:textId="77777777" w:rsidR="00141B97" w:rsidRDefault="00911D63">
            <w:pPr>
              <w:pStyle w:val="TableParagraph"/>
              <w:spacing w:before="25"/>
              <w:ind w:right="77"/>
              <w:jc w:val="right"/>
              <w:rPr>
                <w:sz w:val="18"/>
              </w:rPr>
            </w:pPr>
            <w:r>
              <w:rPr>
                <w:color w:val="323232"/>
                <w:spacing w:val="-2"/>
                <w:sz w:val="18"/>
              </w:rPr>
              <w:t>7,133</w:t>
            </w:r>
          </w:p>
        </w:tc>
        <w:tc>
          <w:tcPr>
            <w:tcW w:w="1850" w:type="dxa"/>
            <w:tcBorders>
              <w:top w:val="single" w:sz="6" w:space="0" w:color="FFFFFF"/>
              <w:bottom w:val="single" w:sz="6" w:space="0" w:color="FFFFFF"/>
            </w:tcBorders>
            <w:shd w:val="clear" w:color="auto" w:fill="CCE2ED"/>
          </w:tcPr>
          <w:p w14:paraId="24F36AC1" w14:textId="77777777" w:rsidR="00141B97" w:rsidRDefault="00911D63">
            <w:pPr>
              <w:pStyle w:val="TableParagraph"/>
              <w:spacing w:before="25"/>
              <w:ind w:right="76"/>
              <w:jc w:val="right"/>
              <w:rPr>
                <w:sz w:val="18"/>
              </w:rPr>
            </w:pPr>
            <w:r>
              <w:rPr>
                <w:color w:val="323232"/>
                <w:spacing w:val="-2"/>
                <w:sz w:val="18"/>
              </w:rPr>
              <w:t>7,140</w:t>
            </w:r>
          </w:p>
        </w:tc>
        <w:tc>
          <w:tcPr>
            <w:tcW w:w="1850" w:type="dxa"/>
            <w:tcBorders>
              <w:top w:val="single" w:sz="6" w:space="0" w:color="FFFFFF"/>
              <w:bottom w:val="single" w:sz="6" w:space="0" w:color="FFFFFF"/>
            </w:tcBorders>
            <w:shd w:val="clear" w:color="auto" w:fill="CCE2ED"/>
          </w:tcPr>
          <w:p w14:paraId="29532FC1" w14:textId="77777777" w:rsidR="00141B97" w:rsidRDefault="00911D63">
            <w:pPr>
              <w:pStyle w:val="TableParagraph"/>
              <w:spacing w:before="25"/>
              <w:ind w:right="76"/>
              <w:jc w:val="right"/>
              <w:rPr>
                <w:sz w:val="18"/>
              </w:rPr>
            </w:pPr>
            <w:r>
              <w:rPr>
                <w:color w:val="323232"/>
                <w:spacing w:val="-2"/>
                <w:sz w:val="18"/>
              </w:rPr>
              <w:t>7,147</w:t>
            </w:r>
          </w:p>
        </w:tc>
        <w:tc>
          <w:tcPr>
            <w:tcW w:w="1849" w:type="dxa"/>
            <w:tcBorders>
              <w:top w:val="single" w:sz="6" w:space="0" w:color="FFFFFF"/>
              <w:bottom w:val="single" w:sz="6" w:space="0" w:color="FFFFFF"/>
              <w:right w:val="nil"/>
            </w:tcBorders>
            <w:shd w:val="clear" w:color="auto" w:fill="CCE2ED"/>
          </w:tcPr>
          <w:p w14:paraId="775BB715" w14:textId="77777777" w:rsidR="00141B97" w:rsidRDefault="00911D63">
            <w:pPr>
              <w:pStyle w:val="TableParagraph"/>
              <w:spacing w:before="25"/>
              <w:ind w:right="76"/>
              <w:jc w:val="right"/>
              <w:rPr>
                <w:sz w:val="18"/>
              </w:rPr>
            </w:pPr>
            <w:r>
              <w:rPr>
                <w:color w:val="323232"/>
                <w:spacing w:val="-2"/>
                <w:sz w:val="18"/>
              </w:rPr>
              <w:t>7,154</w:t>
            </w:r>
          </w:p>
        </w:tc>
      </w:tr>
      <w:tr w:rsidR="00141B97" w14:paraId="1094E0AC" w14:textId="77777777">
        <w:trPr>
          <w:trHeight w:val="273"/>
        </w:trPr>
        <w:tc>
          <w:tcPr>
            <w:tcW w:w="3913" w:type="dxa"/>
            <w:tcBorders>
              <w:top w:val="single" w:sz="6" w:space="0" w:color="FFFFFF"/>
              <w:left w:val="nil"/>
            </w:tcBorders>
            <w:shd w:val="clear" w:color="auto" w:fill="CCE2ED"/>
          </w:tcPr>
          <w:p w14:paraId="49D71206" w14:textId="77777777" w:rsidR="00141B97" w:rsidRDefault="00911D63">
            <w:pPr>
              <w:pStyle w:val="TableParagraph"/>
              <w:spacing w:before="25"/>
              <w:ind w:left="80"/>
              <w:rPr>
                <w:sz w:val="18"/>
              </w:rPr>
            </w:pPr>
            <w:r>
              <w:rPr>
                <w:spacing w:val="-2"/>
                <w:sz w:val="18"/>
              </w:rPr>
              <w:t>Robinvale</w:t>
            </w:r>
          </w:p>
        </w:tc>
        <w:tc>
          <w:tcPr>
            <w:tcW w:w="2311" w:type="dxa"/>
            <w:tcBorders>
              <w:top w:val="single" w:sz="6" w:space="0" w:color="FFFFFF"/>
            </w:tcBorders>
            <w:shd w:val="clear" w:color="auto" w:fill="CCE2ED"/>
          </w:tcPr>
          <w:p w14:paraId="5ADB3C75" w14:textId="77777777" w:rsidR="00141B97" w:rsidRDefault="00911D63">
            <w:pPr>
              <w:pStyle w:val="TableParagraph"/>
              <w:spacing w:before="25"/>
              <w:ind w:right="77"/>
              <w:jc w:val="right"/>
              <w:rPr>
                <w:sz w:val="18"/>
              </w:rPr>
            </w:pPr>
            <w:r>
              <w:rPr>
                <w:color w:val="323232"/>
                <w:spacing w:val="-2"/>
                <w:sz w:val="18"/>
              </w:rPr>
              <w:t>2,610</w:t>
            </w:r>
          </w:p>
        </w:tc>
        <w:tc>
          <w:tcPr>
            <w:tcW w:w="1850" w:type="dxa"/>
            <w:tcBorders>
              <w:top w:val="single" w:sz="6" w:space="0" w:color="FFFFFF"/>
            </w:tcBorders>
            <w:shd w:val="clear" w:color="auto" w:fill="CCE2ED"/>
          </w:tcPr>
          <w:p w14:paraId="27AB2AE6" w14:textId="77777777" w:rsidR="00141B97" w:rsidRDefault="00911D63">
            <w:pPr>
              <w:pStyle w:val="TableParagraph"/>
              <w:spacing w:before="25"/>
              <w:ind w:right="77"/>
              <w:jc w:val="right"/>
              <w:rPr>
                <w:sz w:val="18"/>
              </w:rPr>
            </w:pPr>
            <w:r>
              <w:rPr>
                <w:color w:val="323232"/>
                <w:spacing w:val="-2"/>
                <w:sz w:val="18"/>
              </w:rPr>
              <w:t>2,610</w:t>
            </w:r>
          </w:p>
        </w:tc>
        <w:tc>
          <w:tcPr>
            <w:tcW w:w="1849" w:type="dxa"/>
            <w:tcBorders>
              <w:top w:val="single" w:sz="6" w:space="0" w:color="FFFFFF"/>
            </w:tcBorders>
            <w:shd w:val="clear" w:color="auto" w:fill="CCE2ED"/>
          </w:tcPr>
          <w:p w14:paraId="6C997D96" w14:textId="77777777" w:rsidR="00141B97" w:rsidRDefault="00911D63">
            <w:pPr>
              <w:pStyle w:val="TableParagraph"/>
              <w:spacing w:before="25"/>
              <w:ind w:right="77"/>
              <w:jc w:val="right"/>
              <w:rPr>
                <w:sz w:val="18"/>
              </w:rPr>
            </w:pPr>
            <w:r>
              <w:rPr>
                <w:color w:val="323232"/>
                <w:spacing w:val="-2"/>
                <w:sz w:val="18"/>
              </w:rPr>
              <w:t>2,610</w:t>
            </w:r>
          </w:p>
        </w:tc>
        <w:tc>
          <w:tcPr>
            <w:tcW w:w="1850" w:type="dxa"/>
            <w:tcBorders>
              <w:top w:val="single" w:sz="6" w:space="0" w:color="FFFFFF"/>
            </w:tcBorders>
            <w:shd w:val="clear" w:color="auto" w:fill="CCE2ED"/>
          </w:tcPr>
          <w:p w14:paraId="5773E0FF" w14:textId="77777777" w:rsidR="00141B97" w:rsidRDefault="00911D63">
            <w:pPr>
              <w:pStyle w:val="TableParagraph"/>
              <w:spacing w:before="25"/>
              <w:ind w:right="76"/>
              <w:jc w:val="right"/>
              <w:rPr>
                <w:sz w:val="18"/>
              </w:rPr>
            </w:pPr>
            <w:r>
              <w:rPr>
                <w:color w:val="323232"/>
                <w:spacing w:val="-2"/>
                <w:sz w:val="18"/>
              </w:rPr>
              <w:t>2,610</w:t>
            </w:r>
          </w:p>
        </w:tc>
        <w:tc>
          <w:tcPr>
            <w:tcW w:w="1850" w:type="dxa"/>
            <w:tcBorders>
              <w:top w:val="single" w:sz="6" w:space="0" w:color="FFFFFF"/>
            </w:tcBorders>
            <w:shd w:val="clear" w:color="auto" w:fill="CCE2ED"/>
          </w:tcPr>
          <w:p w14:paraId="138B7A12" w14:textId="77777777" w:rsidR="00141B97" w:rsidRDefault="00911D63">
            <w:pPr>
              <w:pStyle w:val="TableParagraph"/>
              <w:spacing w:before="25"/>
              <w:ind w:right="76"/>
              <w:jc w:val="right"/>
              <w:rPr>
                <w:sz w:val="18"/>
              </w:rPr>
            </w:pPr>
            <w:r>
              <w:rPr>
                <w:color w:val="323232"/>
                <w:spacing w:val="-2"/>
                <w:sz w:val="18"/>
              </w:rPr>
              <w:t>2,610</w:t>
            </w:r>
          </w:p>
        </w:tc>
        <w:tc>
          <w:tcPr>
            <w:tcW w:w="1849" w:type="dxa"/>
            <w:tcBorders>
              <w:top w:val="single" w:sz="6" w:space="0" w:color="FFFFFF"/>
              <w:right w:val="nil"/>
            </w:tcBorders>
            <w:shd w:val="clear" w:color="auto" w:fill="CCE2ED"/>
          </w:tcPr>
          <w:p w14:paraId="68D6B970" w14:textId="77777777" w:rsidR="00141B97" w:rsidRDefault="00911D63">
            <w:pPr>
              <w:pStyle w:val="TableParagraph"/>
              <w:spacing w:before="25"/>
              <w:ind w:right="76"/>
              <w:jc w:val="right"/>
              <w:rPr>
                <w:sz w:val="18"/>
              </w:rPr>
            </w:pPr>
            <w:r>
              <w:rPr>
                <w:color w:val="323232"/>
                <w:spacing w:val="-2"/>
                <w:sz w:val="18"/>
              </w:rPr>
              <w:t>2,610</w:t>
            </w:r>
          </w:p>
        </w:tc>
      </w:tr>
      <w:tr w:rsidR="00141B97" w14:paraId="58010BF0" w14:textId="77777777">
        <w:trPr>
          <w:trHeight w:val="275"/>
        </w:trPr>
        <w:tc>
          <w:tcPr>
            <w:tcW w:w="3913" w:type="dxa"/>
            <w:tcBorders>
              <w:left w:val="nil"/>
              <w:bottom w:val="nil"/>
            </w:tcBorders>
            <w:shd w:val="clear" w:color="auto" w:fill="CCE2ED"/>
          </w:tcPr>
          <w:p w14:paraId="3A7BD7F0" w14:textId="77777777" w:rsidR="00141B97" w:rsidRDefault="00911D63">
            <w:pPr>
              <w:pStyle w:val="TableParagraph"/>
              <w:spacing w:before="29"/>
              <w:ind w:left="80"/>
              <w:rPr>
                <w:sz w:val="18"/>
              </w:rPr>
            </w:pPr>
            <w:r>
              <w:rPr>
                <w:sz w:val="18"/>
              </w:rPr>
              <w:t xml:space="preserve">Mildura </w:t>
            </w:r>
            <w:r>
              <w:rPr>
                <w:spacing w:val="-5"/>
                <w:sz w:val="18"/>
              </w:rPr>
              <w:t>HPS</w:t>
            </w:r>
          </w:p>
        </w:tc>
        <w:tc>
          <w:tcPr>
            <w:tcW w:w="2311" w:type="dxa"/>
            <w:tcBorders>
              <w:bottom w:val="nil"/>
            </w:tcBorders>
            <w:shd w:val="clear" w:color="auto" w:fill="CCE2ED"/>
          </w:tcPr>
          <w:p w14:paraId="3C17E788" w14:textId="77777777" w:rsidR="00141B97" w:rsidRDefault="00911D63">
            <w:pPr>
              <w:pStyle w:val="TableParagraph"/>
              <w:spacing w:before="29"/>
              <w:ind w:right="77"/>
              <w:jc w:val="right"/>
              <w:rPr>
                <w:sz w:val="18"/>
              </w:rPr>
            </w:pPr>
            <w:r>
              <w:rPr>
                <w:color w:val="323232"/>
                <w:spacing w:val="-5"/>
                <w:sz w:val="18"/>
              </w:rPr>
              <w:t>690</w:t>
            </w:r>
          </w:p>
        </w:tc>
        <w:tc>
          <w:tcPr>
            <w:tcW w:w="1850" w:type="dxa"/>
            <w:tcBorders>
              <w:bottom w:val="nil"/>
            </w:tcBorders>
            <w:shd w:val="clear" w:color="auto" w:fill="CCE2ED"/>
          </w:tcPr>
          <w:p w14:paraId="7C1A21F9" w14:textId="77777777" w:rsidR="00141B97" w:rsidRDefault="00911D63">
            <w:pPr>
              <w:pStyle w:val="TableParagraph"/>
              <w:spacing w:before="29"/>
              <w:ind w:right="77"/>
              <w:jc w:val="right"/>
              <w:rPr>
                <w:sz w:val="18"/>
              </w:rPr>
            </w:pPr>
            <w:r>
              <w:rPr>
                <w:color w:val="323232"/>
                <w:spacing w:val="-5"/>
                <w:sz w:val="18"/>
              </w:rPr>
              <w:t>685</w:t>
            </w:r>
          </w:p>
        </w:tc>
        <w:tc>
          <w:tcPr>
            <w:tcW w:w="1849" w:type="dxa"/>
            <w:tcBorders>
              <w:bottom w:val="nil"/>
            </w:tcBorders>
            <w:shd w:val="clear" w:color="auto" w:fill="CCE2ED"/>
          </w:tcPr>
          <w:p w14:paraId="119637EF" w14:textId="77777777" w:rsidR="00141B97" w:rsidRDefault="00911D63">
            <w:pPr>
              <w:pStyle w:val="TableParagraph"/>
              <w:spacing w:before="29"/>
              <w:ind w:right="77"/>
              <w:jc w:val="right"/>
              <w:rPr>
                <w:sz w:val="18"/>
              </w:rPr>
            </w:pPr>
            <w:r>
              <w:rPr>
                <w:color w:val="323232"/>
                <w:spacing w:val="-5"/>
                <w:sz w:val="18"/>
              </w:rPr>
              <w:t>680</w:t>
            </w:r>
          </w:p>
        </w:tc>
        <w:tc>
          <w:tcPr>
            <w:tcW w:w="1850" w:type="dxa"/>
            <w:tcBorders>
              <w:bottom w:val="nil"/>
            </w:tcBorders>
            <w:shd w:val="clear" w:color="auto" w:fill="CCE2ED"/>
          </w:tcPr>
          <w:p w14:paraId="4AEC83A5" w14:textId="77777777" w:rsidR="00141B97" w:rsidRDefault="00911D63">
            <w:pPr>
              <w:pStyle w:val="TableParagraph"/>
              <w:spacing w:before="29"/>
              <w:ind w:right="76"/>
              <w:jc w:val="right"/>
              <w:rPr>
                <w:sz w:val="18"/>
              </w:rPr>
            </w:pPr>
            <w:r>
              <w:rPr>
                <w:color w:val="323232"/>
                <w:spacing w:val="-5"/>
                <w:sz w:val="18"/>
              </w:rPr>
              <w:t>675</w:t>
            </w:r>
          </w:p>
        </w:tc>
        <w:tc>
          <w:tcPr>
            <w:tcW w:w="1850" w:type="dxa"/>
            <w:tcBorders>
              <w:bottom w:val="nil"/>
            </w:tcBorders>
            <w:shd w:val="clear" w:color="auto" w:fill="CCE2ED"/>
          </w:tcPr>
          <w:p w14:paraId="6E833724" w14:textId="77777777" w:rsidR="00141B97" w:rsidRDefault="00911D63">
            <w:pPr>
              <w:pStyle w:val="TableParagraph"/>
              <w:spacing w:before="29"/>
              <w:ind w:right="76"/>
              <w:jc w:val="right"/>
              <w:rPr>
                <w:sz w:val="18"/>
              </w:rPr>
            </w:pPr>
            <w:r>
              <w:rPr>
                <w:color w:val="323232"/>
                <w:spacing w:val="-5"/>
                <w:sz w:val="18"/>
              </w:rPr>
              <w:t>670</w:t>
            </w:r>
          </w:p>
        </w:tc>
        <w:tc>
          <w:tcPr>
            <w:tcW w:w="1849" w:type="dxa"/>
            <w:tcBorders>
              <w:bottom w:val="nil"/>
              <w:right w:val="nil"/>
            </w:tcBorders>
            <w:shd w:val="clear" w:color="auto" w:fill="CCE2ED"/>
          </w:tcPr>
          <w:p w14:paraId="3AE756FD" w14:textId="77777777" w:rsidR="00141B97" w:rsidRDefault="00911D63">
            <w:pPr>
              <w:pStyle w:val="TableParagraph"/>
              <w:spacing w:before="29"/>
              <w:ind w:right="76"/>
              <w:jc w:val="right"/>
              <w:rPr>
                <w:sz w:val="18"/>
              </w:rPr>
            </w:pPr>
            <w:r>
              <w:rPr>
                <w:color w:val="323232"/>
                <w:spacing w:val="-5"/>
                <w:sz w:val="18"/>
              </w:rPr>
              <w:t>665</w:t>
            </w:r>
          </w:p>
        </w:tc>
      </w:tr>
    </w:tbl>
    <w:p w14:paraId="3B33E2D6" w14:textId="77777777" w:rsidR="00141B97" w:rsidRDefault="00911D63">
      <w:pPr>
        <w:spacing w:before="14"/>
        <w:ind w:left="124"/>
        <w:rPr>
          <w:i/>
          <w:sz w:val="16"/>
        </w:rPr>
      </w:pPr>
      <w:r>
        <w:rPr>
          <w:sz w:val="16"/>
        </w:rPr>
        <w:t>Table</w:t>
      </w:r>
      <w:r>
        <w:rPr>
          <w:spacing w:val="-5"/>
          <w:sz w:val="16"/>
        </w:rPr>
        <w:t xml:space="preserve"> </w:t>
      </w:r>
      <w:r>
        <w:rPr>
          <w:i/>
          <w:sz w:val="16"/>
        </w:rPr>
        <w:t>C1.3.1</w:t>
      </w:r>
      <w:r>
        <w:rPr>
          <w:i/>
          <w:spacing w:val="-6"/>
          <w:sz w:val="16"/>
        </w:rPr>
        <w:t xml:space="preserve"> </w:t>
      </w:r>
      <w:r>
        <w:rPr>
          <w:i/>
          <w:sz w:val="16"/>
        </w:rPr>
        <w:t>‐</w:t>
      </w:r>
      <w:r>
        <w:rPr>
          <w:i/>
          <w:spacing w:val="-5"/>
          <w:sz w:val="16"/>
        </w:rPr>
        <w:t xml:space="preserve"> </w:t>
      </w:r>
      <w:r>
        <w:rPr>
          <w:i/>
          <w:sz w:val="16"/>
        </w:rPr>
        <w:t>Delivery</w:t>
      </w:r>
      <w:r>
        <w:rPr>
          <w:i/>
          <w:spacing w:val="-5"/>
          <w:sz w:val="16"/>
        </w:rPr>
        <w:t xml:space="preserve"> </w:t>
      </w:r>
      <w:r>
        <w:rPr>
          <w:i/>
          <w:sz w:val="16"/>
        </w:rPr>
        <w:t>Share</w:t>
      </w:r>
      <w:r>
        <w:rPr>
          <w:i/>
          <w:spacing w:val="-4"/>
          <w:sz w:val="16"/>
        </w:rPr>
        <w:t xml:space="preserve"> </w:t>
      </w:r>
      <w:r>
        <w:rPr>
          <w:i/>
          <w:sz w:val="16"/>
        </w:rPr>
        <w:t>Forecast</w:t>
      </w:r>
      <w:r>
        <w:rPr>
          <w:i/>
          <w:spacing w:val="-5"/>
          <w:sz w:val="16"/>
        </w:rPr>
        <w:t xml:space="preserve"> </w:t>
      </w:r>
      <w:r>
        <w:rPr>
          <w:i/>
          <w:sz w:val="16"/>
        </w:rPr>
        <w:t>–</w:t>
      </w:r>
      <w:r>
        <w:rPr>
          <w:i/>
          <w:spacing w:val="-4"/>
          <w:sz w:val="16"/>
        </w:rPr>
        <w:t xml:space="preserve"> </w:t>
      </w:r>
      <w:r>
        <w:rPr>
          <w:i/>
          <w:sz w:val="16"/>
        </w:rPr>
        <w:t>Irrigation</w:t>
      </w:r>
      <w:r>
        <w:rPr>
          <w:i/>
          <w:spacing w:val="-6"/>
          <w:sz w:val="16"/>
        </w:rPr>
        <w:t xml:space="preserve"> </w:t>
      </w:r>
      <w:r>
        <w:rPr>
          <w:i/>
          <w:sz w:val="16"/>
        </w:rPr>
        <w:t>Districts</w:t>
      </w:r>
      <w:r>
        <w:rPr>
          <w:i/>
          <w:spacing w:val="-4"/>
          <w:sz w:val="16"/>
        </w:rPr>
        <w:t xml:space="preserve"> </w:t>
      </w:r>
      <w:r>
        <w:rPr>
          <w:i/>
          <w:sz w:val="16"/>
        </w:rPr>
        <w:t>(ML</w:t>
      </w:r>
      <w:r>
        <w:rPr>
          <w:i/>
          <w:spacing w:val="-4"/>
          <w:sz w:val="16"/>
        </w:rPr>
        <w:t xml:space="preserve"> </w:t>
      </w:r>
      <w:r>
        <w:rPr>
          <w:i/>
          <w:spacing w:val="-5"/>
          <w:sz w:val="16"/>
        </w:rPr>
        <w:t>pa)</w:t>
      </w:r>
    </w:p>
    <w:p w14:paraId="5091EDC1" w14:textId="77777777" w:rsidR="00141B97" w:rsidRDefault="00141B97">
      <w:pPr>
        <w:rPr>
          <w:sz w:val="16"/>
        </w:rPr>
        <w:sectPr w:rsidR="00141B97">
          <w:pgSz w:w="16840" w:h="11910" w:orient="landscape"/>
          <w:pgMar w:top="820" w:right="600" w:bottom="540" w:left="300" w:header="0" w:footer="345" w:gutter="0"/>
          <w:cols w:space="720"/>
        </w:sectPr>
      </w:pPr>
    </w:p>
    <w:p w14:paraId="095ADFEE" w14:textId="77777777" w:rsidR="00141B97" w:rsidRDefault="00911D63">
      <w:pPr>
        <w:spacing w:before="48"/>
        <w:ind w:left="124"/>
        <w:jc w:val="both"/>
        <w:rPr>
          <w:i/>
          <w:sz w:val="20"/>
        </w:rPr>
      </w:pPr>
      <w:r>
        <w:rPr>
          <w:i/>
          <w:sz w:val="20"/>
        </w:rPr>
        <w:lastRenderedPageBreak/>
        <w:t>C1.3.2</w:t>
      </w:r>
      <w:r>
        <w:rPr>
          <w:i/>
          <w:spacing w:val="-4"/>
          <w:sz w:val="20"/>
        </w:rPr>
        <w:t xml:space="preserve"> </w:t>
      </w:r>
      <w:r>
        <w:rPr>
          <w:i/>
          <w:sz w:val="20"/>
        </w:rPr>
        <w:t>Delivery</w:t>
      </w:r>
      <w:r>
        <w:rPr>
          <w:i/>
          <w:spacing w:val="-4"/>
          <w:sz w:val="20"/>
        </w:rPr>
        <w:t xml:space="preserve"> </w:t>
      </w:r>
      <w:r>
        <w:rPr>
          <w:i/>
          <w:sz w:val="20"/>
        </w:rPr>
        <w:t>Share</w:t>
      </w:r>
      <w:r>
        <w:rPr>
          <w:i/>
          <w:spacing w:val="-3"/>
          <w:sz w:val="20"/>
        </w:rPr>
        <w:t xml:space="preserve"> </w:t>
      </w:r>
      <w:r>
        <w:rPr>
          <w:i/>
          <w:sz w:val="20"/>
        </w:rPr>
        <w:t>Charged</w:t>
      </w:r>
      <w:r>
        <w:rPr>
          <w:i/>
          <w:spacing w:val="-4"/>
          <w:sz w:val="20"/>
        </w:rPr>
        <w:t xml:space="preserve"> </w:t>
      </w:r>
      <w:r>
        <w:rPr>
          <w:i/>
          <w:sz w:val="20"/>
        </w:rPr>
        <w:t>for</w:t>
      </w:r>
      <w:r>
        <w:rPr>
          <w:i/>
          <w:spacing w:val="-4"/>
          <w:sz w:val="20"/>
        </w:rPr>
        <w:t xml:space="preserve"> </w:t>
      </w:r>
      <w:r>
        <w:rPr>
          <w:i/>
          <w:spacing w:val="-2"/>
          <w:sz w:val="20"/>
        </w:rPr>
        <w:t>Drainage</w:t>
      </w:r>
    </w:p>
    <w:p w14:paraId="7E4D66A1" w14:textId="77777777" w:rsidR="00141B97" w:rsidRDefault="00911D63">
      <w:pPr>
        <w:pStyle w:val="BodyText"/>
        <w:spacing w:before="70" w:line="249" w:lineRule="auto"/>
        <w:ind w:left="124" w:right="109"/>
        <w:jc w:val="both"/>
      </w:pPr>
      <w:r>
        <w:t>Drainage charges are based on delivery share also, but with four divisional charges. Table C1.3.2 sets out the past, current and forecast delivery shares used as the basis for the drainage</w:t>
      </w:r>
      <w:r>
        <w:rPr>
          <w:spacing w:val="-8"/>
        </w:rPr>
        <w:t xml:space="preserve"> </w:t>
      </w:r>
      <w:r>
        <w:t>charges.</w:t>
      </w:r>
      <w:r>
        <w:rPr>
          <w:spacing w:val="-7"/>
        </w:rPr>
        <w:t xml:space="preserve"> </w:t>
      </w:r>
      <w:r>
        <w:t>As</w:t>
      </w:r>
      <w:r>
        <w:rPr>
          <w:spacing w:val="-5"/>
        </w:rPr>
        <w:t xml:space="preserve"> </w:t>
      </w:r>
      <w:r>
        <w:t>drainage</w:t>
      </w:r>
      <w:r>
        <w:rPr>
          <w:spacing w:val="-9"/>
        </w:rPr>
        <w:t xml:space="preserve"> </w:t>
      </w:r>
      <w:r>
        <w:t>services</w:t>
      </w:r>
      <w:r>
        <w:rPr>
          <w:spacing w:val="-7"/>
        </w:rPr>
        <w:t xml:space="preserve"> </w:t>
      </w:r>
      <w:r>
        <w:t>are</w:t>
      </w:r>
      <w:r>
        <w:rPr>
          <w:spacing w:val="-7"/>
        </w:rPr>
        <w:t xml:space="preserve"> </w:t>
      </w:r>
      <w:r>
        <w:t>dependent</w:t>
      </w:r>
      <w:r>
        <w:rPr>
          <w:spacing w:val="-6"/>
        </w:rPr>
        <w:t xml:space="preserve"> </w:t>
      </w:r>
      <w:r>
        <w:t>on</w:t>
      </w:r>
      <w:r>
        <w:rPr>
          <w:spacing w:val="-7"/>
        </w:rPr>
        <w:t xml:space="preserve"> </w:t>
      </w:r>
      <w:r>
        <w:t>the</w:t>
      </w:r>
      <w:r>
        <w:rPr>
          <w:spacing w:val="-8"/>
        </w:rPr>
        <w:t xml:space="preserve"> </w:t>
      </w:r>
      <w:r>
        <w:t>irrigation</w:t>
      </w:r>
      <w:r>
        <w:rPr>
          <w:spacing w:val="-7"/>
        </w:rPr>
        <w:t xml:space="preserve"> </w:t>
      </w:r>
      <w:r>
        <w:t>demand</w:t>
      </w:r>
      <w:r>
        <w:rPr>
          <w:spacing w:val="-6"/>
        </w:rPr>
        <w:t xml:space="preserve"> </w:t>
      </w:r>
      <w:r>
        <w:t>in</w:t>
      </w:r>
      <w:r>
        <w:rPr>
          <w:spacing w:val="-7"/>
        </w:rPr>
        <w:t xml:space="preserve"> </w:t>
      </w:r>
      <w:r>
        <w:t>the</w:t>
      </w:r>
      <w:r>
        <w:rPr>
          <w:spacing w:val="-8"/>
        </w:rPr>
        <w:t xml:space="preserve"> </w:t>
      </w:r>
      <w:r>
        <w:t>pumped</w:t>
      </w:r>
      <w:r>
        <w:rPr>
          <w:spacing w:val="-6"/>
        </w:rPr>
        <w:t xml:space="preserve"> </w:t>
      </w:r>
      <w:r>
        <w:t>districts,</w:t>
      </w:r>
      <w:r>
        <w:rPr>
          <w:spacing w:val="-9"/>
        </w:rPr>
        <w:t xml:space="preserve"> </w:t>
      </w:r>
      <w:r>
        <w:t>forecast</w:t>
      </w:r>
      <w:r>
        <w:rPr>
          <w:spacing w:val="-8"/>
        </w:rPr>
        <w:t xml:space="preserve"> </w:t>
      </w:r>
      <w:r>
        <w:t>delivery</w:t>
      </w:r>
      <w:r>
        <w:rPr>
          <w:spacing w:val="-7"/>
        </w:rPr>
        <w:t xml:space="preserve"> </w:t>
      </w:r>
      <w:r>
        <w:t>share</w:t>
      </w:r>
      <w:r>
        <w:rPr>
          <w:spacing w:val="-6"/>
        </w:rPr>
        <w:t xml:space="preserve"> </w:t>
      </w:r>
      <w:r>
        <w:t>is</w:t>
      </w:r>
      <w:r>
        <w:rPr>
          <w:spacing w:val="-8"/>
        </w:rPr>
        <w:t xml:space="preserve"> </w:t>
      </w:r>
      <w:r>
        <w:t>closely</w:t>
      </w:r>
      <w:r>
        <w:rPr>
          <w:spacing w:val="-6"/>
        </w:rPr>
        <w:t xml:space="preserve"> </w:t>
      </w:r>
      <w:r>
        <w:t>related</w:t>
      </w:r>
      <w:r>
        <w:rPr>
          <w:spacing w:val="-7"/>
        </w:rPr>
        <w:t xml:space="preserve"> </w:t>
      </w:r>
      <w:r>
        <w:t>to</w:t>
      </w:r>
      <w:r>
        <w:rPr>
          <w:spacing w:val="-7"/>
        </w:rPr>
        <w:t xml:space="preserve"> </w:t>
      </w:r>
      <w:r>
        <w:t>the</w:t>
      </w:r>
      <w:r>
        <w:rPr>
          <w:spacing w:val="-8"/>
        </w:rPr>
        <w:t xml:space="preserve"> </w:t>
      </w:r>
      <w:r>
        <w:t>pattern</w:t>
      </w:r>
      <w:r>
        <w:rPr>
          <w:spacing w:val="-7"/>
        </w:rPr>
        <w:t xml:space="preserve"> </w:t>
      </w:r>
      <w:r>
        <w:t>of</w:t>
      </w:r>
      <w:r>
        <w:rPr>
          <w:spacing w:val="-6"/>
        </w:rPr>
        <w:t xml:space="preserve"> </w:t>
      </w:r>
      <w:r>
        <w:t>irrigation</w:t>
      </w:r>
      <w:r>
        <w:rPr>
          <w:spacing w:val="-6"/>
        </w:rPr>
        <w:t xml:space="preserve"> </w:t>
      </w:r>
      <w:r>
        <w:t>delivery share, and are assumed to remain constant through the regulatory period.</w:t>
      </w:r>
    </w:p>
    <w:p w14:paraId="7A671F07" w14:textId="77777777" w:rsidR="00141B97" w:rsidRDefault="00141B97">
      <w:pPr>
        <w:pStyle w:val="BodyText"/>
        <w:spacing w:before="10" w:after="1"/>
        <w:rPr>
          <w:sz w:val="9"/>
        </w:rPr>
      </w:pPr>
    </w:p>
    <w:tbl>
      <w:tblPr>
        <w:tblW w:w="0" w:type="auto"/>
        <w:tblInd w:w="13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3913"/>
        <w:gridCol w:w="2311"/>
        <w:gridCol w:w="1850"/>
        <w:gridCol w:w="1849"/>
        <w:gridCol w:w="1850"/>
        <w:gridCol w:w="1850"/>
        <w:gridCol w:w="1849"/>
      </w:tblGrid>
      <w:tr w:rsidR="00141B97" w14:paraId="49D0A655" w14:textId="77777777">
        <w:trPr>
          <w:trHeight w:val="272"/>
        </w:trPr>
        <w:tc>
          <w:tcPr>
            <w:tcW w:w="6224" w:type="dxa"/>
            <w:gridSpan w:val="2"/>
            <w:tcBorders>
              <w:top w:val="nil"/>
              <w:left w:val="nil"/>
              <w:right w:val="single" w:sz="4" w:space="0" w:color="FFFFFF"/>
            </w:tcBorders>
            <w:shd w:val="clear" w:color="auto" w:fill="006CA3"/>
          </w:tcPr>
          <w:p w14:paraId="611E4926" w14:textId="77777777" w:rsidR="00141B97" w:rsidRDefault="00911D63">
            <w:pPr>
              <w:pStyle w:val="TableParagraph"/>
              <w:tabs>
                <w:tab w:val="left" w:pos="4785"/>
              </w:tabs>
              <w:spacing w:before="28"/>
              <w:ind w:left="120"/>
              <w:rPr>
                <w:sz w:val="18"/>
              </w:rPr>
            </w:pPr>
            <w:r>
              <w:rPr>
                <w:color w:val="FFFFFF"/>
                <w:spacing w:val="-2"/>
                <w:sz w:val="18"/>
              </w:rPr>
              <w:t>District/Division</w:t>
            </w:r>
            <w:r>
              <w:rPr>
                <w:color w:val="FFFFFF"/>
                <w:sz w:val="18"/>
              </w:rPr>
              <w:tab/>
            </w:r>
            <w:r>
              <w:rPr>
                <w:color w:val="FFFFFF"/>
                <w:spacing w:val="-2"/>
                <w:sz w:val="18"/>
              </w:rPr>
              <w:t>Current</w:t>
            </w:r>
          </w:p>
        </w:tc>
        <w:tc>
          <w:tcPr>
            <w:tcW w:w="9248" w:type="dxa"/>
            <w:gridSpan w:val="5"/>
            <w:tcBorders>
              <w:top w:val="nil"/>
              <w:left w:val="single" w:sz="4" w:space="0" w:color="FFFFFF"/>
              <w:right w:val="nil"/>
            </w:tcBorders>
            <w:shd w:val="clear" w:color="auto" w:fill="006CA3"/>
          </w:tcPr>
          <w:p w14:paraId="61E92F83" w14:textId="77777777" w:rsidR="00141B97" w:rsidRDefault="00911D63">
            <w:pPr>
              <w:pStyle w:val="TableParagraph"/>
              <w:spacing w:before="28"/>
              <w:ind w:left="3705" w:right="3703"/>
              <w:jc w:val="center"/>
              <w:rPr>
                <w:sz w:val="18"/>
              </w:rPr>
            </w:pPr>
            <w:r>
              <w:rPr>
                <w:color w:val="FFFFFF"/>
                <w:sz w:val="18"/>
              </w:rPr>
              <w:t>Fourth</w:t>
            </w:r>
            <w:r>
              <w:rPr>
                <w:color w:val="FFFFFF"/>
                <w:spacing w:val="-6"/>
                <w:sz w:val="18"/>
              </w:rPr>
              <w:t xml:space="preserve"> </w:t>
            </w:r>
            <w:r>
              <w:rPr>
                <w:color w:val="FFFFFF"/>
                <w:sz w:val="18"/>
              </w:rPr>
              <w:t>Regulatory</w:t>
            </w:r>
            <w:r>
              <w:rPr>
                <w:color w:val="FFFFFF"/>
                <w:spacing w:val="-6"/>
                <w:sz w:val="18"/>
              </w:rPr>
              <w:t xml:space="preserve"> </w:t>
            </w:r>
            <w:r>
              <w:rPr>
                <w:color w:val="FFFFFF"/>
                <w:spacing w:val="-2"/>
                <w:sz w:val="18"/>
              </w:rPr>
              <w:t>Period</w:t>
            </w:r>
          </w:p>
        </w:tc>
      </w:tr>
      <w:tr w:rsidR="00141B97" w14:paraId="0461811E" w14:textId="77777777">
        <w:trPr>
          <w:trHeight w:val="270"/>
        </w:trPr>
        <w:tc>
          <w:tcPr>
            <w:tcW w:w="3913" w:type="dxa"/>
            <w:tcBorders>
              <w:left w:val="nil"/>
              <w:right w:val="single" w:sz="4" w:space="0" w:color="FFFFFF"/>
            </w:tcBorders>
            <w:shd w:val="clear" w:color="auto" w:fill="006CA3"/>
          </w:tcPr>
          <w:p w14:paraId="6489DA60" w14:textId="77777777" w:rsidR="00141B97" w:rsidRDefault="00141B97">
            <w:pPr>
              <w:pStyle w:val="TableParagraph"/>
              <w:rPr>
                <w:rFonts w:ascii="Times New Roman"/>
                <w:sz w:val="18"/>
              </w:rPr>
            </w:pPr>
          </w:p>
        </w:tc>
        <w:tc>
          <w:tcPr>
            <w:tcW w:w="2311" w:type="dxa"/>
            <w:tcBorders>
              <w:left w:val="single" w:sz="4" w:space="0" w:color="FFFFFF"/>
              <w:right w:val="single" w:sz="4" w:space="0" w:color="FFFFFF"/>
            </w:tcBorders>
            <w:shd w:val="clear" w:color="auto" w:fill="006CA3"/>
          </w:tcPr>
          <w:p w14:paraId="178B8A5E" w14:textId="77777777" w:rsidR="00141B97" w:rsidRDefault="00911D63">
            <w:pPr>
              <w:pStyle w:val="TableParagraph"/>
              <w:spacing w:before="25"/>
              <w:ind w:left="801" w:right="836"/>
              <w:jc w:val="center"/>
              <w:rPr>
                <w:sz w:val="18"/>
              </w:rPr>
            </w:pPr>
            <w:r>
              <w:rPr>
                <w:color w:val="FFFFFF"/>
                <w:spacing w:val="-2"/>
                <w:sz w:val="18"/>
              </w:rPr>
              <w:t>2022‐23</w:t>
            </w:r>
          </w:p>
        </w:tc>
        <w:tc>
          <w:tcPr>
            <w:tcW w:w="1850" w:type="dxa"/>
            <w:tcBorders>
              <w:left w:val="single" w:sz="4" w:space="0" w:color="FFFFFF"/>
              <w:right w:val="single" w:sz="4" w:space="0" w:color="FFFFFF"/>
            </w:tcBorders>
            <w:shd w:val="clear" w:color="auto" w:fill="006CA3"/>
          </w:tcPr>
          <w:p w14:paraId="5F47E46E" w14:textId="77777777" w:rsidR="00141B97" w:rsidRDefault="00911D63">
            <w:pPr>
              <w:pStyle w:val="TableParagraph"/>
              <w:spacing w:before="25"/>
              <w:ind w:left="598"/>
              <w:rPr>
                <w:sz w:val="18"/>
              </w:rPr>
            </w:pPr>
            <w:r>
              <w:rPr>
                <w:color w:val="FFFFFF"/>
                <w:spacing w:val="-2"/>
                <w:sz w:val="18"/>
              </w:rPr>
              <w:t>2023‐24</w:t>
            </w:r>
          </w:p>
        </w:tc>
        <w:tc>
          <w:tcPr>
            <w:tcW w:w="1849" w:type="dxa"/>
            <w:tcBorders>
              <w:left w:val="single" w:sz="4" w:space="0" w:color="FFFFFF"/>
              <w:right w:val="single" w:sz="4" w:space="0" w:color="FFFFFF"/>
            </w:tcBorders>
            <w:shd w:val="clear" w:color="auto" w:fill="006CA3"/>
          </w:tcPr>
          <w:p w14:paraId="64133736" w14:textId="77777777" w:rsidR="00141B97" w:rsidRDefault="00911D63">
            <w:pPr>
              <w:pStyle w:val="TableParagraph"/>
              <w:spacing w:before="25"/>
              <w:ind w:left="598"/>
              <w:rPr>
                <w:sz w:val="18"/>
              </w:rPr>
            </w:pPr>
            <w:r>
              <w:rPr>
                <w:color w:val="FFFFFF"/>
                <w:spacing w:val="-2"/>
                <w:sz w:val="18"/>
              </w:rPr>
              <w:t>2024‐25</w:t>
            </w:r>
          </w:p>
        </w:tc>
        <w:tc>
          <w:tcPr>
            <w:tcW w:w="1850" w:type="dxa"/>
            <w:tcBorders>
              <w:left w:val="single" w:sz="4" w:space="0" w:color="FFFFFF"/>
              <w:right w:val="single" w:sz="4" w:space="0" w:color="FFFFFF"/>
            </w:tcBorders>
            <w:shd w:val="clear" w:color="auto" w:fill="006CA3"/>
          </w:tcPr>
          <w:p w14:paraId="5039F7FF" w14:textId="77777777" w:rsidR="00141B97" w:rsidRDefault="00911D63">
            <w:pPr>
              <w:pStyle w:val="TableParagraph"/>
              <w:spacing w:before="25"/>
              <w:ind w:left="599"/>
              <w:rPr>
                <w:sz w:val="18"/>
              </w:rPr>
            </w:pPr>
            <w:r>
              <w:rPr>
                <w:color w:val="FFFFFF"/>
                <w:spacing w:val="-2"/>
                <w:sz w:val="18"/>
              </w:rPr>
              <w:t>2025‐26</w:t>
            </w:r>
          </w:p>
        </w:tc>
        <w:tc>
          <w:tcPr>
            <w:tcW w:w="1850" w:type="dxa"/>
            <w:tcBorders>
              <w:left w:val="single" w:sz="4" w:space="0" w:color="FFFFFF"/>
              <w:right w:val="single" w:sz="4" w:space="0" w:color="FFFFFF"/>
            </w:tcBorders>
            <w:shd w:val="clear" w:color="auto" w:fill="006CA3"/>
          </w:tcPr>
          <w:p w14:paraId="5AEBC242" w14:textId="77777777" w:rsidR="00141B97" w:rsidRDefault="00911D63">
            <w:pPr>
              <w:pStyle w:val="TableParagraph"/>
              <w:spacing w:before="25"/>
              <w:ind w:left="599"/>
              <w:rPr>
                <w:sz w:val="18"/>
              </w:rPr>
            </w:pPr>
            <w:r>
              <w:rPr>
                <w:color w:val="FFFFFF"/>
                <w:spacing w:val="-2"/>
                <w:sz w:val="18"/>
              </w:rPr>
              <w:t>2026‐27</w:t>
            </w:r>
          </w:p>
        </w:tc>
        <w:tc>
          <w:tcPr>
            <w:tcW w:w="1849" w:type="dxa"/>
            <w:tcBorders>
              <w:left w:val="single" w:sz="4" w:space="0" w:color="FFFFFF"/>
              <w:right w:val="nil"/>
            </w:tcBorders>
            <w:shd w:val="clear" w:color="auto" w:fill="006CA3"/>
          </w:tcPr>
          <w:p w14:paraId="218848E7" w14:textId="77777777" w:rsidR="00141B97" w:rsidRDefault="00911D63">
            <w:pPr>
              <w:pStyle w:val="TableParagraph"/>
              <w:spacing w:before="25"/>
              <w:ind w:left="599"/>
              <w:rPr>
                <w:sz w:val="18"/>
              </w:rPr>
            </w:pPr>
            <w:r>
              <w:rPr>
                <w:color w:val="FFFFFF"/>
                <w:spacing w:val="-2"/>
                <w:sz w:val="18"/>
              </w:rPr>
              <w:t>2027‐28</w:t>
            </w:r>
          </w:p>
        </w:tc>
      </w:tr>
      <w:tr w:rsidR="00141B97" w14:paraId="18893403" w14:textId="77777777">
        <w:trPr>
          <w:trHeight w:val="273"/>
        </w:trPr>
        <w:tc>
          <w:tcPr>
            <w:tcW w:w="3913" w:type="dxa"/>
            <w:tcBorders>
              <w:left w:val="nil"/>
              <w:bottom w:val="single" w:sz="4" w:space="0" w:color="FFFFFF"/>
              <w:right w:val="single" w:sz="4" w:space="0" w:color="FFFFFF"/>
            </w:tcBorders>
            <w:shd w:val="clear" w:color="auto" w:fill="CCE2ED"/>
          </w:tcPr>
          <w:p w14:paraId="2BA2FC0B" w14:textId="77777777" w:rsidR="00141B97" w:rsidRDefault="00911D63">
            <w:pPr>
              <w:pStyle w:val="TableParagraph"/>
              <w:spacing w:before="25"/>
              <w:ind w:left="80"/>
              <w:rPr>
                <w:sz w:val="18"/>
              </w:rPr>
            </w:pPr>
            <w:r>
              <w:rPr>
                <w:spacing w:val="-2"/>
                <w:sz w:val="18"/>
              </w:rPr>
              <w:t>Mildura</w:t>
            </w:r>
          </w:p>
        </w:tc>
        <w:tc>
          <w:tcPr>
            <w:tcW w:w="2311" w:type="dxa"/>
            <w:tcBorders>
              <w:left w:val="single" w:sz="4" w:space="0" w:color="FFFFFF"/>
              <w:bottom w:val="single" w:sz="4" w:space="0" w:color="FFFFFF"/>
              <w:right w:val="single" w:sz="4" w:space="0" w:color="FFFFFF"/>
            </w:tcBorders>
            <w:shd w:val="clear" w:color="auto" w:fill="CCE2ED"/>
          </w:tcPr>
          <w:p w14:paraId="26AC08EA" w14:textId="77777777" w:rsidR="00141B97" w:rsidRDefault="00141B97">
            <w:pPr>
              <w:pStyle w:val="TableParagraph"/>
              <w:rPr>
                <w:rFonts w:ascii="Times New Roman"/>
                <w:sz w:val="18"/>
              </w:rPr>
            </w:pPr>
          </w:p>
        </w:tc>
        <w:tc>
          <w:tcPr>
            <w:tcW w:w="1850" w:type="dxa"/>
            <w:tcBorders>
              <w:left w:val="single" w:sz="4" w:space="0" w:color="FFFFFF"/>
              <w:bottom w:val="single" w:sz="4" w:space="0" w:color="FFFFFF"/>
              <w:right w:val="single" w:sz="4" w:space="0" w:color="FFFFFF"/>
            </w:tcBorders>
            <w:shd w:val="clear" w:color="auto" w:fill="CCE2ED"/>
          </w:tcPr>
          <w:p w14:paraId="30DEC776" w14:textId="77777777" w:rsidR="00141B97" w:rsidRDefault="00141B97">
            <w:pPr>
              <w:pStyle w:val="TableParagraph"/>
              <w:rPr>
                <w:rFonts w:ascii="Times New Roman"/>
                <w:sz w:val="18"/>
              </w:rPr>
            </w:pPr>
          </w:p>
        </w:tc>
        <w:tc>
          <w:tcPr>
            <w:tcW w:w="1849" w:type="dxa"/>
            <w:tcBorders>
              <w:left w:val="single" w:sz="4" w:space="0" w:color="FFFFFF"/>
              <w:bottom w:val="single" w:sz="4" w:space="0" w:color="FFFFFF"/>
              <w:right w:val="single" w:sz="4" w:space="0" w:color="FFFFFF"/>
            </w:tcBorders>
            <w:shd w:val="clear" w:color="auto" w:fill="CCE2ED"/>
          </w:tcPr>
          <w:p w14:paraId="6D96B429" w14:textId="77777777" w:rsidR="00141B97" w:rsidRDefault="00141B97">
            <w:pPr>
              <w:pStyle w:val="TableParagraph"/>
              <w:rPr>
                <w:rFonts w:ascii="Times New Roman"/>
                <w:sz w:val="18"/>
              </w:rPr>
            </w:pPr>
          </w:p>
        </w:tc>
        <w:tc>
          <w:tcPr>
            <w:tcW w:w="1850" w:type="dxa"/>
            <w:tcBorders>
              <w:left w:val="single" w:sz="4" w:space="0" w:color="FFFFFF"/>
              <w:bottom w:val="single" w:sz="4" w:space="0" w:color="FFFFFF"/>
              <w:right w:val="single" w:sz="4" w:space="0" w:color="FFFFFF"/>
            </w:tcBorders>
            <w:shd w:val="clear" w:color="auto" w:fill="CCE2ED"/>
          </w:tcPr>
          <w:p w14:paraId="498A6EDF" w14:textId="77777777" w:rsidR="00141B97" w:rsidRDefault="00141B97">
            <w:pPr>
              <w:pStyle w:val="TableParagraph"/>
              <w:rPr>
                <w:rFonts w:ascii="Times New Roman"/>
                <w:sz w:val="18"/>
              </w:rPr>
            </w:pPr>
          </w:p>
        </w:tc>
        <w:tc>
          <w:tcPr>
            <w:tcW w:w="1850" w:type="dxa"/>
            <w:tcBorders>
              <w:left w:val="single" w:sz="4" w:space="0" w:color="FFFFFF"/>
              <w:bottom w:val="single" w:sz="4" w:space="0" w:color="FFFFFF"/>
              <w:right w:val="single" w:sz="4" w:space="0" w:color="FFFFFF"/>
            </w:tcBorders>
            <w:shd w:val="clear" w:color="auto" w:fill="CCE2ED"/>
          </w:tcPr>
          <w:p w14:paraId="5ECC4317" w14:textId="77777777" w:rsidR="00141B97" w:rsidRDefault="00141B97">
            <w:pPr>
              <w:pStyle w:val="TableParagraph"/>
              <w:rPr>
                <w:rFonts w:ascii="Times New Roman"/>
                <w:sz w:val="18"/>
              </w:rPr>
            </w:pPr>
          </w:p>
        </w:tc>
        <w:tc>
          <w:tcPr>
            <w:tcW w:w="1849" w:type="dxa"/>
            <w:tcBorders>
              <w:left w:val="single" w:sz="4" w:space="0" w:color="FFFFFF"/>
              <w:bottom w:val="single" w:sz="4" w:space="0" w:color="FFFFFF"/>
              <w:right w:val="nil"/>
            </w:tcBorders>
            <w:shd w:val="clear" w:color="auto" w:fill="CCE2ED"/>
          </w:tcPr>
          <w:p w14:paraId="5D36C0A4" w14:textId="77777777" w:rsidR="00141B97" w:rsidRDefault="00141B97">
            <w:pPr>
              <w:pStyle w:val="TableParagraph"/>
              <w:rPr>
                <w:rFonts w:ascii="Times New Roman"/>
                <w:sz w:val="18"/>
              </w:rPr>
            </w:pPr>
          </w:p>
        </w:tc>
      </w:tr>
      <w:tr w:rsidR="00141B97" w14:paraId="39C49AED" w14:textId="77777777">
        <w:trPr>
          <w:trHeight w:val="336"/>
        </w:trPr>
        <w:tc>
          <w:tcPr>
            <w:tcW w:w="3913" w:type="dxa"/>
            <w:tcBorders>
              <w:top w:val="single" w:sz="4" w:space="0" w:color="FFFFFF"/>
              <w:left w:val="nil"/>
              <w:bottom w:val="single" w:sz="4" w:space="0" w:color="FFFFFF"/>
              <w:right w:val="single" w:sz="4" w:space="0" w:color="FFFFFF"/>
            </w:tcBorders>
            <w:shd w:val="clear" w:color="auto" w:fill="CCE2ED"/>
          </w:tcPr>
          <w:p w14:paraId="629D2829" w14:textId="77777777" w:rsidR="00141B97" w:rsidRDefault="00911D63">
            <w:pPr>
              <w:pStyle w:val="TableParagraph"/>
              <w:spacing w:before="29"/>
              <w:ind w:left="80"/>
              <w:rPr>
                <w:sz w:val="18"/>
              </w:rPr>
            </w:pPr>
            <w:r>
              <w:rPr>
                <w:sz w:val="18"/>
              </w:rPr>
              <w:t>Division</w:t>
            </w:r>
            <w:r>
              <w:rPr>
                <w:spacing w:val="-3"/>
                <w:sz w:val="18"/>
              </w:rPr>
              <w:t xml:space="preserve"> </w:t>
            </w:r>
            <w:r>
              <w:rPr>
                <w:sz w:val="18"/>
              </w:rPr>
              <w:t>1</w:t>
            </w:r>
            <w:r>
              <w:rPr>
                <w:spacing w:val="-2"/>
                <w:sz w:val="18"/>
              </w:rPr>
              <w:t xml:space="preserve"> </w:t>
            </w:r>
            <w:r>
              <w:rPr>
                <w:sz w:val="18"/>
              </w:rPr>
              <w:t>water</w:t>
            </w:r>
            <w:r>
              <w:rPr>
                <w:spacing w:val="-2"/>
                <w:sz w:val="18"/>
              </w:rPr>
              <w:t xml:space="preserve"> rights</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421A9B44" w14:textId="77777777" w:rsidR="00141B97" w:rsidRDefault="00911D63">
            <w:pPr>
              <w:pStyle w:val="TableParagraph"/>
              <w:spacing w:before="59"/>
              <w:ind w:right="77"/>
              <w:jc w:val="right"/>
              <w:rPr>
                <w:sz w:val="18"/>
              </w:rPr>
            </w:pPr>
            <w:r>
              <w:rPr>
                <w:spacing w:val="-2"/>
                <w:sz w:val="18"/>
              </w:rPr>
              <w:t>6,127</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11C34889" w14:textId="77777777" w:rsidR="00141B97" w:rsidRDefault="00911D63">
            <w:pPr>
              <w:pStyle w:val="TableParagraph"/>
              <w:spacing w:before="59"/>
              <w:ind w:right="77"/>
              <w:jc w:val="right"/>
              <w:rPr>
                <w:sz w:val="18"/>
              </w:rPr>
            </w:pPr>
            <w:r>
              <w:rPr>
                <w:spacing w:val="-2"/>
                <w:sz w:val="18"/>
              </w:rPr>
              <w:t>6,117</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0BC27887" w14:textId="77777777" w:rsidR="00141B97" w:rsidRDefault="00911D63">
            <w:pPr>
              <w:pStyle w:val="TableParagraph"/>
              <w:spacing w:before="59"/>
              <w:ind w:right="77"/>
              <w:jc w:val="right"/>
              <w:rPr>
                <w:sz w:val="18"/>
              </w:rPr>
            </w:pPr>
            <w:r>
              <w:rPr>
                <w:spacing w:val="-2"/>
                <w:sz w:val="18"/>
              </w:rPr>
              <w:t>6,107</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3E9694D5" w14:textId="77777777" w:rsidR="00141B97" w:rsidRDefault="00911D63">
            <w:pPr>
              <w:pStyle w:val="TableParagraph"/>
              <w:spacing w:before="59"/>
              <w:ind w:right="76"/>
              <w:jc w:val="right"/>
              <w:rPr>
                <w:sz w:val="18"/>
              </w:rPr>
            </w:pPr>
            <w:r>
              <w:rPr>
                <w:spacing w:val="-2"/>
                <w:sz w:val="18"/>
              </w:rPr>
              <w:t>6,097</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31D8754A" w14:textId="77777777" w:rsidR="00141B97" w:rsidRDefault="00911D63">
            <w:pPr>
              <w:pStyle w:val="TableParagraph"/>
              <w:spacing w:before="59"/>
              <w:ind w:right="76"/>
              <w:jc w:val="right"/>
              <w:rPr>
                <w:sz w:val="18"/>
              </w:rPr>
            </w:pPr>
            <w:r>
              <w:rPr>
                <w:spacing w:val="-2"/>
                <w:sz w:val="18"/>
              </w:rPr>
              <w:t>6,087</w:t>
            </w:r>
          </w:p>
        </w:tc>
        <w:tc>
          <w:tcPr>
            <w:tcW w:w="1849" w:type="dxa"/>
            <w:tcBorders>
              <w:top w:val="single" w:sz="4" w:space="0" w:color="FFFFFF"/>
              <w:left w:val="single" w:sz="4" w:space="0" w:color="FFFFFF"/>
              <w:bottom w:val="single" w:sz="4" w:space="0" w:color="FFFFFF"/>
              <w:right w:val="nil"/>
            </w:tcBorders>
            <w:shd w:val="clear" w:color="auto" w:fill="CCE2ED"/>
          </w:tcPr>
          <w:p w14:paraId="58185D6A" w14:textId="77777777" w:rsidR="00141B97" w:rsidRDefault="00911D63">
            <w:pPr>
              <w:pStyle w:val="TableParagraph"/>
              <w:spacing w:before="59"/>
              <w:ind w:right="76"/>
              <w:jc w:val="right"/>
              <w:rPr>
                <w:sz w:val="18"/>
              </w:rPr>
            </w:pPr>
            <w:r>
              <w:rPr>
                <w:spacing w:val="-2"/>
                <w:sz w:val="18"/>
              </w:rPr>
              <w:t>6,077</w:t>
            </w:r>
          </w:p>
        </w:tc>
      </w:tr>
      <w:tr w:rsidR="00141B97" w14:paraId="7B2612F3"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467853C2" w14:textId="77777777" w:rsidR="00141B97" w:rsidRDefault="00911D63">
            <w:pPr>
              <w:pStyle w:val="TableParagraph"/>
              <w:spacing w:before="29"/>
              <w:ind w:left="80"/>
              <w:rPr>
                <w:sz w:val="18"/>
              </w:rPr>
            </w:pPr>
            <w:r>
              <w:rPr>
                <w:spacing w:val="-2"/>
                <w:sz w:val="18"/>
              </w:rPr>
              <w:t>Merbein</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11321544" w14:textId="77777777" w:rsidR="00141B97" w:rsidRDefault="00141B97">
            <w:pPr>
              <w:pStyle w:val="TableParagraph"/>
              <w:rPr>
                <w:rFonts w:ascii="Times New Roman"/>
                <w:sz w:val="18"/>
              </w:rPr>
            </w:pP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496698BC" w14:textId="77777777" w:rsidR="00141B97" w:rsidRDefault="00141B97">
            <w:pPr>
              <w:pStyle w:val="TableParagraph"/>
              <w:rPr>
                <w:rFonts w:ascii="Times New Roman"/>
                <w:sz w:val="18"/>
              </w:rPr>
            </w:pP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7FFE45A0" w14:textId="77777777" w:rsidR="00141B97" w:rsidRDefault="00141B97">
            <w:pPr>
              <w:pStyle w:val="TableParagraph"/>
              <w:rPr>
                <w:rFonts w:ascii="Times New Roman"/>
                <w:sz w:val="18"/>
              </w:rPr>
            </w:pP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58C20974" w14:textId="77777777" w:rsidR="00141B97" w:rsidRDefault="00141B97">
            <w:pPr>
              <w:pStyle w:val="TableParagraph"/>
              <w:rPr>
                <w:rFonts w:ascii="Times New Roman"/>
                <w:sz w:val="18"/>
              </w:rPr>
            </w:pP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26F18A93" w14:textId="77777777" w:rsidR="00141B97" w:rsidRDefault="00141B97">
            <w:pPr>
              <w:pStyle w:val="TableParagraph"/>
              <w:rPr>
                <w:rFonts w:ascii="Times New Roman"/>
                <w:sz w:val="18"/>
              </w:rPr>
            </w:pPr>
          </w:p>
        </w:tc>
        <w:tc>
          <w:tcPr>
            <w:tcW w:w="1849" w:type="dxa"/>
            <w:tcBorders>
              <w:top w:val="single" w:sz="4" w:space="0" w:color="FFFFFF"/>
              <w:left w:val="single" w:sz="4" w:space="0" w:color="FFFFFF"/>
              <w:bottom w:val="single" w:sz="4" w:space="0" w:color="FFFFFF"/>
              <w:right w:val="nil"/>
            </w:tcBorders>
            <w:shd w:val="clear" w:color="auto" w:fill="CCE2ED"/>
          </w:tcPr>
          <w:p w14:paraId="1B5DDE4E" w14:textId="77777777" w:rsidR="00141B97" w:rsidRDefault="00141B97">
            <w:pPr>
              <w:pStyle w:val="TableParagraph"/>
              <w:rPr>
                <w:rFonts w:ascii="Times New Roman"/>
                <w:sz w:val="18"/>
              </w:rPr>
            </w:pPr>
          </w:p>
        </w:tc>
      </w:tr>
      <w:tr w:rsidR="00141B97" w14:paraId="773A367A"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7EB1F274"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1</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0BAF47DA" w14:textId="77777777" w:rsidR="00141B97" w:rsidRDefault="00911D63">
            <w:pPr>
              <w:pStyle w:val="TableParagraph"/>
              <w:spacing w:before="29"/>
              <w:ind w:right="77"/>
              <w:jc w:val="right"/>
              <w:rPr>
                <w:sz w:val="18"/>
              </w:rPr>
            </w:pPr>
            <w:r>
              <w:rPr>
                <w:spacing w:val="-2"/>
                <w:sz w:val="18"/>
              </w:rPr>
              <w:t>3,047</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5E642579" w14:textId="77777777" w:rsidR="00141B97" w:rsidRDefault="00911D63">
            <w:pPr>
              <w:pStyle w:val="TableParagraph"/>
              <w:spacing w:before="29"/>
              <w:ind w:right="77"/>
              <w:jc w:val="right"/>
              <w:rPr>
                <w:sz w:val="18"/>
              </w:rPr>
            </w:pPr>
            <w:r>
              <w:rPr>
                <w:spacing w:val="-2"/>
                <w:sz w:val="18"/>
              </w:rPr>
              <w:t>3,052</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42FE8466" w14:textId="77777777" w:rsidR="00141B97" w:rsidRDefault="00911D63">
            <w:pPr>
              <w:pStyle w:val="TableParagraph"/>
              <w:spacing w:before="29"/>
              <w:ind w:right="77"/>
              <w:jc w:val="right"/>
              <w:rPr>
                <w:sz w:val="18"/>
              </w:rPr>
            </w:pPr>
            <w:r>
              <w:rPr>
                <w:spacing w:val="-2"/>
                <w:sz w:val="18"/>
              </w:rPr>
              <w:t>3,057</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392A170B" w14:textId="77777777" w:rsidR="00141B97" w:rsidRDefault="00911D63">
            <w:pPr>
              <w:pStyle w:val="TableParagraph"/>
              <w:spacing w:before="29"/>
              <w:ind w:right="76"/>
              <w:jc w:val="right"/>
              <w:rPr>
                <w:sz w:val="18"/>
              </w:rPr>
            </w:pPr>
            <w:r>
              <w:rPr>
                <w:spacing w:val="-2"/>
                <w:sz w:val="18"/>
              </w:rPr>
              <w:t>3,062</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1EC2E09B" w14:textId="77777777" w:rsidR="00141B97" w:rsidRDefault="00911D63">
            <w:pPr>
              <w:pStyle w:val="TableParagraph"/>
              <w:spacing w:before="29"/>
              <w:ind w:right="76"/>
              <w:jc w:val="right"/>
              <w:rPr>
                <w:sz w:val="18"/>
              </w:rPr>
            </w:pPr>
            <w:r>
              <w:rPr>
                <w:spacing w:val="-2"/>
                <w:sz w:val="18"/>
              </w:rPr>
              <w:t>3,067</w:t>
            </w:r>
          </w:p>
        </w:tc>
        <w:tc>
          <w:tcPr>
            <w:tcW w:w="1849" w:type="dxa"/>
            <w:tcBorders>
              <w:top w:val="single" w:sz="4" w:space="0" w:color="FFFFFF"/>
              <w:left w:val="single" w:sz="4" w:space="0" w:color="FFFFFF"/>
              <w:bottom w:val="single" w:sz="4" w:space="0" w:color="FFFFFF"/>
              <w:right w:val="nil"/>
            </w:tcBorders>
            <w:shd w:val="clear" w:color="auto" w:fill="CCE2ED"/>
          </w:tcPr>
          <w:p w14:paraId="352F6B75" w14:textId="77777777" w:rsidR="00141B97" w:rsidRDefault="00911D63">
            <w:pPr>
              <w:pStyle w:val="TableParagraph"/>
              <w:spacing w:before="29"/>
              <w:ind w:right="76"/>
              <w:jc w:val="right"/>
              <w:rPr>
                <w:sz w:val="18"/>
              </w:rPr>
            </w:pPr>
            <w:r>
              <w:rPr>
                <w:spacing w:val="-2"/>
                <w:sz w:val="18"/>
              </w:rPr>
              <w:t>3,072</w:t>
            </w:r>
          </w:p>
        </w:tc>
      </w:tr>
      <w:tr w:rsidR="00141B97" w14:paraId="1EDEB43D"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0F48D165"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2</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7795D8E5"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4AAEB4CA" w14:textId="77777777" w:rsidR="00141B97" w:rsidRDefault="00911D63">
            <w:pPr>
              <w:pStyle w:val="TableParagraph"/>
              <w:spacing w:before="29"/>
              <w:ind w:right="77"/>
              <w:jc w:val="right"/>
              <w:rPr>
                <w:sz w:val="18"/>
              </w:rPr>
            </w:pPr>
            <w:r>
              <w:rPr>
                <w:sz w:val="18"/>
              </w:rPr>
              <w:t>‐</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2B5A7CEE"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49777E3E" w14:textId="77777777" w:rsidR="00141B97" w:rsidRDefault="00911D63">
            <w:pPr>
              <w:pStyle w:val="TableParagraph"/>
              <w:spacing w:before="29"/>
              <w:ind w:right="76"/>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0832EAD1" w14:textId="77777777" w:rsidR="00141B97" w:rsidRDefault="00911D63">
            <w:pPr>
              <w:pStyle w:val="TableParagraph"/>
              <w:spacing w:before="29"/>
              <w:ind w:right="76"/>
              <w:jc w:val="right"/>
              <w:rPr>
                <w:sz w:val="18"/>
              </w:rPr>
            </w:pPr>
            <w:r>
              <w:rPr>
                <w:sz w:val="18"/>
              </w:rPr>
              <w:t>‐</w:t>
            </w:r>
          </w:p>
        </w:tc>
        <w:tc>
          <w:tcPr>
            <w:tcW w:w="1849" w:type="dxa"/>
            <w:tcBorders>
              <w:top w:val="single" w:sz="4" w:space="0" w:color="FFFFFF"/>
              <w:left w:val="single" w:sz="4" w:space="0" w:color="FFFFFF"/>
              <w:bottom w:val="single" w:sz="4" w:space="0" w:color="FFFFFF"/>
              <w:right w:val="nil"/>
            </w:tcBorders>
            <w:shd w:val="clear" w:color="auto" w:fill="CCE2ED"/>
          </w:tcPr>
          <w:p w14:paraId="246702AF" w14:textId="77777777" w:rsidR="00141B97" w:rsidRDefault="00911D63">
            <w:pPr>
              <w:pStyle w:val="TableParagraph"/>
              <w:spacing w:before="29"/>
              <w:ind w:right="76"/>
              <w:jc w:val="right"/>
              <w:rPr>
                <w:sz w:val="18"/>
              </w:rPr>
            </w:pPr>
            <w:r>
              <w:rPr>
                <w:sz w:val="18"/>
              </w:rPr>
              <w:t>‐</w:t>
            </w:r>
          </w:p>
        </w:tc>
      </w:tr>
      <w:tr w:rsidR="00141B97" w14:paraId="1EB41839"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60B558A2"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3</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28161BD7"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7336CA8A" w14:textId="77777777" w:rsidR="00141B97" w:rsidRDefault="00911D63">
            <w:pPr>
              <w:pStyle w:val="TableParagraph"/>
              <w:spacing w:before="29"/>
              <w:ind w:right="77"/>
              <w:jc w:val="right"/>
              <w:rPr>
                <w:sz w:val="18"/>
              </w:rPr>
            </w:pPr>
            <w:r>
              <w:rPr>
                <w:sz w:val="18"/>
              </w:rPr>
              <w:t>‐</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1804FC42"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124E27A7" w14:textId="77777777" w:rsidR="00141B97" w:rsidRDefault="00911D63">
            <w:pPr>
              <w:pStyle w:val="TableParagraph"/>
              <w:spacing w:before="29"/>
              <w:ind w:right="76"/>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5B53E392" w14:textId="77777777" w:rsidR="00141B97" w:rsidRDefault="00911D63">
            <w:pPr>
              <w:pStyle w:val="TableParagraph"/>
              <w:spacing w:before="29"/>
              <w:ind w:right="76"/>
              <w:jc w:val="right"/>
              <w:rPr>
                <w:sz w:val="18"/>
              </w:rPr>
            </w:pPr>
            <w:r>
              <w:rPr>
                <w:sz w:val="18"/>
              </w:rPr>
              <w:t>‐</w:t>
            </w:r>
          </w:p>
        </w:tc>
        <w:tc>
          <w:tcPr>
            <w:tcW w:w="1849" w:type="dxa"/>
            <w:tcBorders>
              <w:top w:val="single" w:sz="4" w:space="0" w:color="FFFFFF"/>
              <w:left w:val="single" w:sz="4" w:space="0" w:color="FFFFFF"/>
              <w:bottom w:val="single" w:sz="4" w:space="0" w:color="FFFFFF"/>
              <w:right w:val="nil"/>
            </w:tcBorders>
            <w:shd w:val="clear" w:color="auto" w:fill="CCE2ED"/>
          </w:tcPr>
          <w:p w14:paraId="3C4E30D4" w14:textId="77777777" w:rsidR="00141B97" w:rsidRDefault="00911D63">
            <w:pPr>
              <w:pStyle w:val="TableParagraph"/>
              <w:spacing w:before="29"/>
              <w:ind w:right="76"/>
              <w:jc w:val="right"/>
              <w:rPr>
                <w:sz w:val="18"/>
              </w:rPr>
            </w:pPr>
            <w:r>
              <w:rPr>
                <w:sz w:val="18"/>
              </w:rPr>
              <w:t>‐</w:t>
            </w:r>
          </w:p>
        </w:tc>
      </w:tr>
      <w:tr w:rsidR="00141B97" w14:paraId="4F1C9EB2" w14:textId="77777777">
        <w:trPr>
          <w:trHeight w:val="273"/>
        </w:trPr>
        <w:tc>
          <w:tcPr>
            <w:tcW w:w="3913" w:type="dxa"/>
            <w:tcBorders>
              <w:top w:val="single" w:sz="4" w:space="0" w:color="FFFFFF"/>
              <w:left w:val="nil"/>
              <w:right w:val="single" w:sz="4" w:space="0" w:color="FFFFFF"/>
            </w:tcBorders>
            <w:shd w:val="clear" w:color="auto" w:fill="CCE2ED"/>
          </w:tcPr>
          <w:p w14:paraId="7E120910"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4</w:t>
            </w:r>
          </w:p>
        </w:tc>
        <w:tc>
          <w:tcPr>
            <w:tcW w:w="2311" w:type="dxa"/>
            <w:tcBorders>
              <w:top w:val="single" w:sz="4" w:space="0" w:color="FFFFFF"/>
              <w:left w:val="single" w:sz="4" w:space="0" w:color="FFFFFF"/>
              <w:right w:val="single" w:sz="4" w:space="0" w:color="FFFFFF"/>
            </w:tcBorders>
            <w:shd w:val="clear" w:color="auto" w:fill="CCE2ED"/>
          </w:tcPr>
          <w:p w14:paraId="14F29A29" w14:textId="77777777" w:rsidR="00141B97" w:rsidRDefault="00911D63">
            <w:pPr>
              <w:pStyle w:val="TableParagraph"/>
              <w:spacing w:before="29"/>
              <w:ind w:right="77"/>
              <w:jc w:val="right"/>
              <w:rPr>
                <w:sz w:val="18"/>
              </w:rPr>
            </w:pPr>
            <w:r>
              <w:rPr>
                <w:spacing w:val="-5"/>
                <w:sz w:val="18"/>
              </w:rPr>
              <w:t>67</w:t>
            </w:r>
          </w:p>
        </w:tc>
        <w:tc>
          <w:tcPr>
            <w:tcW w:w="1850" w:type="dxa"/>
            <w:tcBorders>
              <w:top w:val="single" w:sz="4" w:space="0" w:color="FFFFFF"/>
              <w:left w:val="single" w:sz="4" w:space="0" w:color="FFFFFF"/>
              <w:right w:val="single" w:sz="4" w:space="0" w:color="FFFFFF"/>
            </w:tcBorders>
            <w:shd w:val="clear" w:color="auto" w:fill="CCE2ED"/>
          </w:tcPr>
          <w:p w14:paraId="3A10C760" w14:textId="77777777" w:rsidR="00141B97" w:rsidRDefault="00911D63">
            <w:pPr>
              <w:pStyle w:val="TableParagraph"/>
              <w:spacing w:before="29"/>
              <w:ind w:right="77"/>
              <w:jc w:val="right"/>
              <w:rPr>
                <w:sz w:val="18"/>
              </w:rPr>
            </w:pPr>
            <w:r>
              <w:rPr>
                <w:spacing w:val="-5"/>
                <w:sz w:val="18"/>
              </w:rPr>
              <w:t>67</w:t>
            </w:r>
          </w:p>
        </w:tc>
        <w:tc>
          <w:tcPr>
            <w:tcW w:w="1849" w:type="dxa"/>
            <w:tcBorders>
              <w:top w:val="single" w:sz="4" w:space="0" w:color="FFFFFF"/>
              <w:left w:val="single" w:sz="4" w:space="0" w:color="FFFFFF"/>
              <w:right w:val="single" w:sz="4" w:space="0" w:color="FFFFFF"/>
            </w:tcBorders>
            <w:shd w:val="clear" w:color="auto" w:fill="CCE2ED"/>
          </w:tcPr>
          <w:p w14:paraId="30BD755C" w14:textId="77777777" w:rsidR="00141B97" w:rsidRDefault="00911D63">
            <w:pPr>
              <w:pStyle w:val="TableParagraph"/>
              <w:spacing w:before="29"/>
              <w:ind w:right="77"/>
              <w:jc w:val="right"/>
              <w:rPr>
                <w:sz w:val="18"/>
              </w:rPr>
            </w:pPr>
            <w:r>
              <w:rPr>
                <w:spacing w:val="-5"/>
                <w:sz w:val="18"/>
              </w:rPr>
              <w:t>67</w:t>
            </w:r>
          </w:p>
        </w:tc>
        <w:tc>
          <w:tcPr>
            <w:tcW w:w="1850" w:type="dxa"/>
            <w:tcBorders>
              <w:top w:val="single" w:sz="4" w:space="0" w:color="FFFFFF"/>
              <w:left w:val="single" w:sz="4" w:space="0" w:color="FFFFFF"/>
              <w:right w:val="single" w:sz="4" w:space="0" w:color="FFFFFF"/>
            </w:tcBorders>
            <w:shd w:val="clear" w:color="auto" w:fill="CCE2ED"/>
          </w:tcPr>
          <w:p w14:paraId="6F4C08D6" w14:textId="77777777" w:rsidR="00141B97" w:rsidRDefault="00911D63">
            <w:pPr>
              <w:pStyle w:val="TableParagraph"/>
              <w:spacing w:before="29"/>
              <w:ind w:right="76"/>
              <w:jc w:val="right"/>
              <w:rPr>
                <w:sz w:val="18"/>
              </w:rPr>
            </w:pPr>
            <w:r>
              <w:rPr>
                <w:spacing w:val="-5"/>
                <w:sz w:val="18"/>
              </w:rPr>
              <w:t>67</w:t>
            </w:r>
          </w:p>
        </w:tc>
        <w:tc>
          <w:tcPr>
            <w:tcW w:w="1850" w:type="dxa"/>
            <w:tcBorders>
              <w:top w:val="single" w:sz="4" w:space="0" w:color="FFFFFF"/>
              <w:left w:val="single" w:sz="4" w:space="0" w:color="FFFFFF"/>
              <w:right w:val="single" w:sz="4" w:space="0" w:color="FFFFFF"/>
            </w:tcBorders>
            <w:shd w:val="clear" w:color="auto" w:fill="CCE2ED"/>
          </w:tcPr>
          <w:p w14:paraId="52FBDF58" w14:textId="77777777" w:rsidR="00141B97" w:rsidRDefault="00911D63">
            <w:pPr>
              <w:pStyle w:val="TableParagraph"/>
              <w:spacing w:before="29"/>
              <w:ind w:right="76"/>
              <w:jc w:val="right"/>
              <w:rPr>
                <w:sz w:val="18"/>
              </w:rPr>
            </w:pPr>
            <w:r>
              <w:rPr>
                <w:spacing w:val="-5"/>
                <w:sz w:val="18"/>
              </w:rPr>
              <w:t>67</w:t>
            </w:r>
          </w:p>
        </w:tc>
        <w:tc>
          <w:tcPr>
            <w:tcW w:w="1849" w:type="dxa"/>
            <w:tcBorders>
              <w:top w:val="single" w:sz="4" w:space="0" w:color="FFFFFF"/>
              <w:left w:val="single" w:sz="4" w:space="0" w:color="FFFFFF"/>
              <w:right w:val="nil"/>
            </w:tcBorders>
            <w:shd w:val="clear" w:color="auto" w:fill="CCE2ED"/>
          </w:tcPr>
          <w:p w14:paraId="23B41880" w14:textId="77777777" w:rsidR="00141B97" w:rsidRDefault="00911D63">
            <w:pPr>
              <w:pStyle w:val="TableParagraph"/>
              <w:spacing w:before="29"/>
              <w:ind w:right="76"/>
              <w:jc w:val="right"/>
              <w:rPr>
                <w:sz w:val="18"/>
              </w:rPr>
            </w:pPr>
            <w:r>
              <w:rPr>
                <w:spacing w:val="-5"/>
                <w:sz w:val="18"/>
              </w:rPr>
              <w:t>67</w:t>
            </w:r>
          </w:p>
        </w:tc>
      </w:tr>
      <w:tr w:rsidR="00141B97" w14:paraId="2459EF49" w14:textId="77777777">
        <w:trPr>
          <w:trHeight w:val="270"/>
        </w:trPr>
        <w:tc>
          <w:tcPr>
            <w:tcW w:w="3913" w:type="dxa"/>
            <w:tcBorders>
              <w:left w:val="nil"/>
              <w:right w:val="single" w:sz="4" w:space="0" w:color="FFFFFF"/>
            </w:tcBorders>
            <w:shd w:val="clear" w:color="auto" w:fill="CCE2ED"/>
          </w:tcPr>
          <w:p w14:paraId="1800F559" w14:textId="77777777" w:rsidR="00141B97" w:rsidRDefault="00911D63">
            <w:pPr>
              <w:pStyle w:val="TableParagraph"/>
              <w:spacing w:before="25"/>
              <w:ind w:left="80"/>
              <w:rPr>
                <w:sz w:val="18"/>
              </w:rPr>
            </w:pPr>
            <w:r>
              <w:rPr>
                <w:sz w:val="18"/>
              </w:rPr>
              <w:t xml:space="preserve">Red </w:t>
            </w:r>
            <w:r>
              <w:rPr>
                <w:spacing w:val="-2"/>
                <w:sz w:val="18"/>
              </w:rPr>
              <w:t>Cliffs</w:t>
            </w:r>
          </w:p>
        </w:tc>
        <w:tc>
          <w:tcPr>
            <w:tcW w:w="2311" w:type="dxa"/>
            <w:tcBorders>
              <w:left w:val="single" w:sz="4" w:space="0" w:color="FFFFFF"/>
              <w:right w:val="single" w:sz="4" w:space="0" w:color="FFFFFF"/>
            </w:tcBorders>
            <w:shd w:val="clear" w:color="auto" w:fill="CCE2ED"/>
          </w:tcPr>
          <w:p w14:paraId="77D11346" w14:textId="77777777" w:rsidR="00141B97" w:rsidRDefault="00141B97">
            <w:pPr>
              <w:pStyle w:val="TableParagraph"/>
              <w:rPr>
                <w:rFonts w:ascii="Times New Roman"/>
                <w:sz w:val="18"/>
              </w:rPr>
            </w:pPr>
          </w:p>
        </w:tc>
        <w:tc>
          <w:tcPr>
            <w:tcW w:w="1850" w:type="dxa"/>
            <w:tcBorders>
              <w:left w:val="single" w:sz="4" w:space="0" w:color="FFFFFF"/>
              <w:right w:val="single" w:sz="4" w:space="0" w:color="FFFFFF"/>
            </w:tcBorders>
            <w:shd w:val="clear" w:color="auto" w:fill="CCE2ED"/>
          </w:tcPr>
          <w:p w14:paraId="2ADD4A42" w14:textId="77777777" w:rsidR="00141B97" w:rsidRDefault="00141B97">
            <w:pPr>
              <w:pStyle w:val="TableParagraph"/>
              <w:rPr>
                <w:rFonts w:ascii="Times New Roman"/>
                <w:sz w:val="18"/>
              </w:rPr>
            </w:pPr>
          </w:p>
        </w:tc>
        <w:tc>
          <w:tcPr>
            <w:tcW w:w="1849" w:type="dxa"/>
            <w:tcBorders>
              <w:left w:val="single" w:sz="4" w:space="0" w:color="FFFFFF"/>
              <w:right w:val="single" w:sz="4" w:space="0" w:color="FFFFFF"/>
            </w:tcBorders>
            <w:shd w:val="clear" w:color="auto" w:fill="CCE2ED"/>
          </w:tcPr>
          <w:p w14:paraId="06769A20" w14:textId="77777777" w:rsidR="00141B97" w:rsidRDefault="00141B97">
            <w:pPr>
              <w:pStyle w:val="TableParagraph"/>
              <w:rPr>
                <w:rFonts w:ascii="Times New Roman"/>
                <w:sz w:val="18"/>
              </w:rPr>
            </w:pPr>
          </w:p>
        </w:tc>
        <w:tc>
          <w:tcPr>
            <w:tcW w:w="1850" w:type="dxa"/>
            <w:tcBorders>
              <w:left w:val="single" w:sz="4" w:space="0" w:color="FFFFFF"/>
              <w:right w:val="single" w:sz="4" w:space="0" w:color="FFFFFF"/>
            </w:tcBorders>
            <w:shd w:val="clear" w:color="auto" w:fill="CCE2ED"/>
          </w:tcPr>
          <w:p w14:paraId="0F03706E" w14:textId="77777777" w:rsidR="00141B97" w:rsidRDefault="00141B97">
            <w:pPr>
              <w:pStyle w:val="TableParagraph"/>
              <w:rPr>
                <w:rFonts w:ascii="Times New Roman"/>
                <w:sz w:val="18"/>
              </w:rPr>
            </w:pPr>
          </w:p>
        </w:tc>
        <w:tc>
          <w:tcPr>
            <w:tcW w:w="1850" w:type="dxa"/>
            <w:tcBorders>
              <w:left w:val="single" w:sz="4" w:space="0" w:color="FFFFFF"/>
              <w:right w:val="single" w:sz="4" w:space="0" w:color="FFFFFF"/>
            </w:tcBorders>
            <w:shd w:val="clear" w:color="auto" w:fill="CCE2ED"/>
          </w:tcPr>
          <w:p w14:paraId="11FCE549" w14:textId="77777777" w:rsidR="00141B97" w:rsidRDefault="00141B97">
            <w:pPr>
              <w:pStyle w:val="TableParagraph"/>
              <w:rPr>
                <w:rFonts w:ascii="Times New Roman"/>
                <w:sz w:val="18"/>
              </w:rPr>
            </w:pPr>
          </w:p>
        </w:tc>
        <w:tc>
          <w:tcPr>
            <w:tcW w:w="1849" w:type="dxa"/>
            <w:tcBorders>
              <w:left w:val="single" w:sz="4" w:space="0" w:color="FFFFFF"/>
              <w:right w:val="nil"/>
            </w:tcBorders>
            <w:shd w:val="clear" w:color="auto" w:fill="CCE2ED"/>
          </w:tcPr>
          <w:p w14:paraId="2DF4D346" w14:textId="77777777" w:rsidR="00141B97" w:rsidRDefault="00141B97">
            <w:pPr>
              <w:pStyle w:val="TableParagraph"/>
              <w:rPr>
                <w:rFonts w:ascii="Times New Roman"/>
                <w:sz w:val="18"/>
              </w:rPr>
            </w:pPr>
          </w:p>
        </w:tc>
      </w:tr>
      <w:tr w:rsidR="00141B97" w14:paraId="71975E40" w14:textId="77777777">
        <w:trPr>
          <w:trHeight w:val="270"/>
        </w:trPr>
        <w:tc>
          <w:tcPr>
            <w:tcW w:w="3913" w:type="dxa"/>
            <w:tcBorders>
              <w:left w:val="nil"/>
              <w:right w:val="single" w:sz="4" w:space="0" w:color="FFFFFF"/>
            </w:tcBorders>
            <w:shd w:val="clear" w:color="auto" w:fill="CCE2ED"/>
          </w:tcPr>
          <w:p w14:paraId="293D889B" w14:textId="77777777" w:rsidR="00141B97" w:rsidRDefault="00911D63">
            <w:pPr>
              <w:pStyle w:val="TableParagraph"/>
              <w:spacing w:before="25"/>
              <w:ind w:left="80"/>
              <w:rPr>
                <w:sz w:val="18"/>
              </w:rPr>
            </w:pPr>
            <w:r>
              <w:rPr>
                <w:sz w:val="18"/>
              </w:rPr>
              <w:t>Division</w:t>
            </w:r>
            <w:r>
              <w:rPr>
                <w:spacing w:val="-7"/>
                <w:sz w:val="18"/>
              </w:rPr>
              <w:t xml:space="preserve"> </w:t>
            </w:r>
            <w:r>
              <w:rPr>
                <w:spacing w:val="-10"/>
                <w:sz w:val="18"/>
              </w:rPr>
              <w:t>1</w:t>
            </w:r>
          </w:p>
        </w:tc>
        <w:tc>
          <w:tcPr>
            <w:tcW w:w="2311" w:type="dxa"/>
            <w:tcBorders>
              <w:left w:val="single" w:sz="4" w:space="0" w:color="FFFFFF"/>
              <w:right w:val="single" w:sz="4" w:space="0" w:color="FFFFFF"/>
            </w:tcBorders>
            <w:shd w:val="clear" w:color="auto" w:fill="CCE2ED"/>
          </w:tcPr>
          <w:p w14:paraId="38AE67EB" w14:textId="77777777" w:rsidR="00141B97" w:rsidRDefault="00911D63">
            <w:pPr>
              <w:pStyle w:val="TableParagraph"/>
              <w:spacing w:before="25"/>
              <w:ind w:right="77"/>
              <w:jc w:val="right"/>
              <w:rPr>
                <w:sz w:val="18"/>
              </w:rPr>
            </w:pPr>
            <w:r>
              <w:rPr>
                <w:spacing w:val="-2"/>
                <w:sz w:val="18"/>
              </w:rPr>
              <w:t>4,318</w:t>
            </w:r>
          </w:p>
        </w:tc>
        <w:tc>
          <w:tcPr>
            <w:tcW w:w="1850" w:type="dxa"/>
            <w:tcBorders>
              <w:left w:val="single" w:sz="4" w:space="0" w:color="FFFFFF"/>
              <w:right w:val="single" w:sz="4" w:space="0" w:color="FFFFFF"/>
            </w:tcBorders>
            <w:shd w:val="clear" w:color="auto" w:fill="CCE2ED"/>
          </w:tcPr>
          <w:p w14:paraId="15D57266" w14:textId="77777777" w:rsidR="00141B97" w:rsidRDefault="00911D63">
            <w:pPr>
              <w:pStyle w:val="TableParagraph"/>
              <w:spacing w:before="25"/>
              <w:ind w:right="77"/>
              <w:jc w:val="right"/>
              <w:rPr>
                <w:sz w:val="18"/>
              </w:rPr>
            </w:pPr>
            <w:r>
              <w:rPr>
                <w:spacing w:val="-2"/>
                <w:sz w:val="18"/>
              </w:rPr>
              <w:t>4,325</w:t>
            </w:r>
          </w:p>
        </w:tc>
        <w:tc>
          <w:tcPr>
            <w:tcW w:w="1849" w:type="dxa"/>
            <w:tcBorders>
              <w:left w:val="single" w:sz="4" w:space="0" w:color="FFFFFF"/>
              <w:right w:val="single" w:sz="4" w:space="0" w:color="FFFFFF"/>
            </w:tcBorders>
            <w:shd w:val="clear" w:color="auto" w:fill="CCE2ED"/>
          </w:tcPr>
          <w:p w14:paraId="3892663B" w14:textId="77777777" w:rsidR="00141B97" w:rsidRDefault="00911D63">
            <w:pPr>
              <w:pStyle w:val="TableParagraph"/>
              <w:spacing w:before="25"/>
              <w:ind w:right="77"/>
              <w:jc w:val="right"/>
              <w:rPr>
                <w:sz w:val="18"/>
              </w:rPr>
            </w:pPr>
            <w:r>
              <w:rPr>
                <w:spacing w:val="-2"/>
                <w:sz w:val="18"/>
              </w:rPr>
              <w:t>4,332</w:t>
            </w:r>
          </w:p>
        </w:tc>
        <w:tc>
          <w:tcPr>
            <w:tcW w:w="1850" w:type="dxa"/>
            <w:tcBorders>
              <w:left w:val="single" w:sz="4" w:space="0" w:color="FFFFFF"/>
              <w:right w:val="single" w:sz="4" w:space="0" w:color="FFFFFF"/>
            </w:tcBorders>
            <w:shd w:val="clear" w:color="auto" w:fill="CCE2ED"/>
          </w:tcPr>
          <w:p w14:paraId="6368C198" w14:textId="77777777" w:rsidR="00141B97" w:rsidRDefault="00911D63">
            <w:pPr>
              <w:pStyle w:val="TableParagraph"/>
              <w:spacing w:before="25"/>
              <w:ind w:right="76"/>
              <w:jc w:val="right"/>
              <w:rPr>
                <w:sz w:val="18"/>
              </w:rPr>
            </w:pPr>
            <w:r>
              <w:rPr>
                <w:spacing w:val="-2"/>
                <w:sz w:val="18"/>
              </w:rPr>
              <w:t>4,339</w:t>
            </w:r>
          </w:p>
        </w:tc>
        <w:tc>
          <w:tcPr>
            <w:tcW w:w="1850" w:type="dxa"/>
            <w:tcBorders>
              <w:left w:val="single" w:sz="4" w:space="0" w:color="FFFFFF"/>
              <w:right w:val="single" w:sz="4" w:space="0" w:color="FFFFFF"/>
            </w:tcBorders>
            <w:shd w:val="clear" w:color="auto" w:fill="CCE2ED"/>
          </w:tcPr>
          <w:p w14:paraId="44D7CE18" w14:textId="77777777" w:rsidR="00141B97" w:rsidRDefault="00911D63">
            <w:pPr>
              <w:pStyle w:val="TableParagraph"/>
              <w:spacing w:before="25"/>
              <w:ind w:right="76"/>
              <w:jc w:val="right"/>
              <w:rPr>
                <w:sz w:val="18"/>
              </w:rPr>
            </w:pPr>
            <w:r>
              <w:rPr>
                <w:spacing w:val="-2"/>
                <w:sz w:val="18"/>
              </w:rPr>
              <w:t>4,346</w:t>
            </w:r>
          </w:p>
        </w:tc>
        <w:tc>
          <w:tcPr>
            <w:tcW w:w="1849" w:type="dxa"/>
            <w:tcBorders>
              <w:left w:val="single" w:sz="4" w:space="0" w:color="FFFFFF"/>
              <w:right w:val="nil"/>
            </w:tcBorders>
            <w:shd w:val="clear" w:color="auto" w:fill="CCE2ED"/>
          </w:tcPr>
          <w:p w14:paraId="260A3B72" w14:textId="77777777" w:rsidR="00141B97" w:rsidRDefault="00911D63">
            <w:pPr>
              <w:pStyle w:val="TableParagraph"/>
              <w:spacing w:before="25"/>
              <w:ind w:right="76"/>
              <w:jc w:val="right"/>
              <w:rPr>
                <w:sz w:val="18"/>
              </w:rPr>
            </w:pPr>
            <w:r>
              <w:rPr>
                <w:spacing w:val="-2"/>
                <w:sz w:val="18"/>
              </w:rPr>
              <w:t>4,353</w:t>
            </w:r>
          </w:p>
        </w:tc>
      </w:tr>
      <w:tr w:rsidR="00141B97" w14:paraId="2F86639D" w14:textId="77777777">
        <w:trPr>
          <w:trHeight w:val="298"/>
        </w:trPr>
        <w:tc>
          <w:tcPr>
            <w:tcW w:w="3913" w:type="dxa"/>
            <w:tcBorders>
              <w:left w:val="nil"/>
              <w:bottom w:val="single" w:sz="4" w:space="0" w:color="FFFFFF"/>
              <w:right w:val="single" w:sz="4" w:space="0" w:color="FFFFFF"/>
            </w:tcBorders>
            <w:shd w:val="clear" w:color="auto" w:fill="CCE2ED"/>
          </w:tcPr>
          <w:p w14:paraId="5707B549" w14:textId="77777777" w:rsidR="00141B97" w:rsidRDefault="00911D63">
            <w:pPr>
              <w:pStyle w:val="TableParagraph"/>
              <w:spacing w:before="25"/>
              <w:ind w:left="80"/>
              <w:rPr>
                <w:sz w:val="18"/>
              </w:rPr>
            </w:pPr>
            <w:r>
              <w:rPr>
                <w:sz w:val="18"/>
              </w:rPr>
              <w:t>Division</w:t>
            </w:r>
            <w:r>
              <w:rPr>
                <w:spacing w:val="-7"/>
                <w:sz w:val="18"/>
              </w:rPr>
              <w:t xml:space="preserve"> </w:t>
            </w:r>
            <w:r>
              <w:rPr>
                <w:spacing w:val="-10"/>
                <w:sz w:val="18"/>
              </w:rPr>
              <w:t>2</w:t>
            </w:r>
          </w:p>
        </w:tc>
        <w:tc>
          <w:tcPr>
            <w:tcW w:w="2311" w:type="dxa"/>
            <w:tcBorders>
              <w:left w:val="single" w:sz="4" w:space="0" w:color="FFFFFF"/>
              <w:bottom w:val="single" w:sz="4" w:space="0" w:color="FFFFFF"/>
              <w:right w:val="single" w:sz="4" w:space="0" w:color="FFFFFF"/>
            </w:tcBorders>
            <w:shd w:val="clear" w:color="auto" w:fill="CCE2ED"/>
          </w:tcPr>
          <w:p w14:paraId="5DC28B0F" w14:textId="77777777" w:rsidR="00141B97" w:rsidRDefault="00911D63">
            <w:pPr>
              <w:pStyle w:val="TableParagraph"/>
              <w:spacing w:before="39"/>
              <w:ind w:right="77"/>
              <w:jc w:val="right"/>
              <w:rPr>
                <w:sz w:val="18"/>
              </w:rPr>
            </w:pPr>
            <w:r>
              <w:rPr>
                <w:spacing w:val="-5"/>
                <w:sz w:val="18"/>
              </w:rPr>
              <w:t>10</w:t>
            </w:r>
          </w:p>
        </w:tc>
        <w:tc>
          <w:tcPr>
            <w:tcW w:w="1850" w:type="dxa"/>
            <w:tcBorders>
              <w:left w:val="single" w:sz="4" w:space="0" w:color="FFFFFF"/>
              <w:bottom w:val="single" w:sz="4" w:space="0" w:color="FFFFFF"/>
              <w:right w:val="single" w:sz="4" w:space="0" w:color="FFFFFF"/>
            </w:tcBorders>
            <w:shd w:val="clear" w:color="auto" w:fill="CCE2ED"/>
          </w:tcPr>
          <w:p w14:paraId="0B5D9A9D" w14:textId="77777777" w:rsidR="00141B97" w:rsidRDefault="00911D63">
            <w:pPr>
              <w:pStyle w:val="TableParagraph"/>
              <w:spacing w:before="39"/>
              <w:ind w:right="77"/>
              <w:jc w:val="right"/>
              <w:rPr>
                <w:sz w:val="18"/>
              </w:rPr>
            </w:pPr>
            <w:r>
              <w:rPr>
                <w:spacing w:val="-5"/>
                <w:sz w:val="18"/>
              </w:rPr>
              <w:t>10</w:t>
            </w:r>
          </w:p>
        </w:tc>
        <w:tc>
          <w:tcPr>
            <w:tcW w:w="1849" w:type="dxa"/>
            <w:tcBorders>
              <w:left w:val="single" w:sz="4" w:space="0" w:color="FFFFFF"/>
              <w:bottom w:val="single" w:sz="4" w:space="0" w:color="FFFFFF"/>
              <w:right w:val="single" w:sz="4" w:space="0" w:color="FFFFFF"/>
            </w:tcBorders>
            <w:shd w:val="clear" w:color="auto" w:fill="CCE2ED"/>
          </w:tcPr>
          <w:p w14:paraId="21013C8C" w14:textId="77777777" w:rsidR="00141B97" w:rsidRDefault="00911D63">
            <w:pPr>
              <w:pStyle w:val="TableParagraph"/>
              <w:spacing w:before="39"/>
              <w:ind w:right="77"/>
              <w:jc w:val="right"/>
              <w:rPr>
                <w:sz w:val="18"/>
              </w:rPr>
            </w:pPr>
            <w:r>
              <w:rPr>
                <w:spacing w:val="-5"/>
                <w:sz w:val="18"/>
              </w:rPr>
              <w:t>10</w:t>
            </w:r>
          </w:p>
        </w:tc>
        <w:tc>
          <w:tcPr>
            <w:tcW w:w="1850" w:type="dxa"/>
            <w:tcBorders>
              <w:left w:val="single" w:sz="4" w:space="0" w:color="FFFFFF"/>
              <w:bottom w:val="single" w:sz="4" w:space="0" w:color="FFFFFF"/>
              <w:right w:val="single" w:sz="4" w:space="0" w:color="FFFFFF"/>
            </w:tcBorders>
            <w:shd w:val="clear" w:color="auto" w:fill="CCE2ED"/>
          </w:tcPr>
          <w:p w14:paraId="477C9396" w14:textId="77777777" w:rsidR="00141B97" w:rsidRDefault="00911D63">
            <w:pPr>
              <w:pStyle w:val="TableParagraph"/>
              <w:spacing w:before="39"/>
              <w:ind w:right="76"/>
              <w:jc w:val="right"/>
              <w:rPr>
                <w:sz w:val="18"/>
              </w:rPr>
            </w:pPr>
            <w:r>
              <w:rPr>
                <w:spacing w:val="-5"/>
                <w:sz w:val="18"/>
              </w:rPr>
              <w:t>10</w:t>
            </w:r>
          </w:p>
        </w:tc>
        <w:tc>
          <w:tcPr>
            <w:tcW w:w="1850" w:type="dxa"/>
            <w:tcBorders>
              <w:left w:val="single" w:sz="4" w:space="0" w:color="FFFFFF"/>
              <w:bottom w:val="single" w:sz="4" w:space="0" w:color="FFFFFF"/>
              <w:right w:val="single" w:sz="4" w:space="0" w:color="FFFFFF"/>
            </w:tcBorders>
            <w:shd w:val="clear" w:color="auto" w:fill="CCE2ED"/>
          </w:tcPr>
          <w:p w14:paraId="1136BB56" w14:textId="77777777" w:rsidR="00141B97" w:rsidRDefault="00911D63">
            <w:pPr>
              <w:pStyle w:val="TableParagraph"/>
              <w:spacing w:before="39"/>
              <w:ind w:right="76"/>
              <w:jc w:val="right"/>
              <w:rPr>
                <w:sz w:val="18"/>
              </w:rPr>
            </w:pPr>
            <w:r>
              <w:rPr>
                <w:spacing w:val="-5"/>
                <w:sz w:val="18"/>
              </w:rPr>
              <w:t>10</w:t>
            </w:r>
          </w:p>
        </w:tc>
        <w:tc>
          <w:tcPr>
            <w:tcW w:w="1849" w:type="dxa"/>
            <w:tcBorders>
              <w:left w:val="single" w:sz="4" w:space="0" w:color="FFFFFF"/>
              <w:bottom w:val="single" w:sz="4" w:space="0" w:color="FFFFFF"/>
              <w:right w:val="nil"/>
            </w:tcBorders>
            <w:shd w:val="clear" w:color="auto" w:fill="CCE2ED"/>
          </w:tcPr>
          <w:p w14:paraId="7BBD7D8C" w14:textId="77777777" w:rsidR="00141B97" w:rsidRDefault="00911D63">
            <w:pPr>
              <w:pStyle w:val="TableParagraph"/>
              <w:spacing w:before="39"/>
              <w:ind w:right="76"/>
              <w:jc w:val="right"/>
              <w:rPr>
                <w:sz w:val="18"/>
              </w:rPr>
            </w:pPr>
            <w:r>
              <w:rPr>
                <w:spacing w:val="-5"/>
                <w:sz w:val="18"/>
              </w:rPr>
              <w:t>10</w:t>
            </w:r>
          </w:p>
        </w:tc>
      </w:tr>
      <w:tr w:rsidR="00141B97" w14:paraId="286F7CA0"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51A84C56"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3</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408551F7"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55A63896" w14:textId="77777777" w:rsidR="00141B97" w:rsidRDefault="00911D63">
            <w:pPr>
              <w:pStyle w:val="TableParagraph"/>
              <w:spacing w:before="29"/>
              <w:ind w:right="77"/>
              <w:jc w:val="right"/>
              <w:rPr>
                <w:sz w:val="18"/>
              </w:rPr>
            </w:pPr>
            <w:r>
              <w:rPr>
                <w:sz w:val="18"/>
              </w:rPr>
              <w:t>‐</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64D5B3BF"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755D9DBF" w14:textId="77777777" w:rsidR="00141B97" w:rsidRDefault="00911D63">
            <w:pPr>
              <w:pStyle w:val="TableParagraph"/>
              <w:spacing w:before="29"/>
              <w:ind w:right="76"/>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23798FCA" w14:textId="77777777" w:rsidR="00141B97" w:rsidRDefault="00911D63">
            <w:pPr>
              <w:pStyle w:val="TableParagraph"/>
              <w:spacing w:before="29"/>
              <w:ind w:right="76"/>
              <w:jc w:val="right"/>
              <w:rPr>
                <w:sz w:val="18"/>
              </w:rPr>
            </w:pPr>
            <w:r>
              <w:rPr>
                <w:sz w:val="18"/>
              </w:rPr>
              <w:t>‐</w:t>
            </w:r>
          </w:p>
        </w:tc>
        <w:tc>
          <w:tcPr>
            <w:tcW w:w="1849" w:type="dxa"/>
            <w:tcBorders>
              <w:top w:val="single" w:sz="4" w:space="0" w:color="FFFFFF"/>
              <w:left w:val="single" w:sz="4" w:space="0" w:color="FFFFFF"/>
              <w:bottom w:val="single" w:sz="4" w:space="0" w:color="FFFFFF"/>
              <w:right w:val="nil"/>
            </w:tcBorders>
            <w:shd w:val="clear" w:color="auto" w:fill="CCE2ED"/>
          </w:tcPr>
          <w:p w14:paraId="098E0556" w14:textId="77777777" w:rsidR="00141B97" w:rsidRDefault="00911D63">
            <w:pPr>
              <w:pStyle w:val="TableParagraph"/>
              <w:spacing w:before="29"/>
              <w:ind w:right="76"/>
              <w:jc w:val="right"/>
              <w:rPr>
                <w:sz w:val="18"/>
              </w:rPr>
            </w:pPr>
            <w:r>
              <w:rPr>
                <w:sz w:val="18"/>
              </w:rPr>
              <w:t>‐</w:t>
            </w:r>
          </w:p>
        </w:tc>
      </w:tr>
      <w:tr w:rsidR="00141B97" w14:paraId="4675881B"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580CCB6F"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4</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7DE53BD6" w14:textId="77777777" w:rsidR="00141B97" w:rsidRDefault="00911D63">
            <w:pPr>
              <w:pStyle w:val="TableParagraph"/>
              <w:spacing w:before="29"/>
              <w:ind w:right="77"/>
              <w:jc w:val="right"/>
              <w:rPr>
                <w:sz w:val="18"/>
              </w:rPr>
            </w:pPr>
            <w:r>
              <w:rPr>
                <w:spacing w:val="-5"/>
                <w:sz w:val="18"/>
              </w:rPr>
              <w:t>420</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5E356AC4" w14:textId="77777777" w:rsidR="00141B97" w:rsidRDefault="00911D63">
            <w:pPr>
              <w:pStyle w:val="TableParagraph"/>
              <w:spacing w:before="29"/>
              <w:ind w:right="77"/>
              <w:jc w:val="right"/>
              <w:rPr>
                <w:sz w:val="18"/>
              </w:rPr>
            </w:pPr>
            <w:r>
              <w:rPr>
                <w:spacing w:val="-5"/>
                <w:sz w:val="18"/>
              </w:rPr>
              <w:t>420</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424DBBF1" w14:textId="77777777" w:rsidR="00141B97" w:rsidRDefault="00911D63">
            <w:pPr>
              <w:pStyle w:val="TableParagraph"/>
              <w:spacing w:before="29"/>
              <w:ind w:right="77"/>
              <w:jc w:val="right"/>
              <w:rPr>
                <w:sz w:val="18"/>
              </w:rPr>
            </w:pPr>
            <w:r>
              <w:rPr>
                <w:spacing w:val="-5"/>
                <w:sz w:val="18"/>
              </w:rPr>
              <w:t>420</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3B2FE51E" w14:textId="77777777" w:rsidR="00141B97" w:rsidRDefault="00911D63">
            <w:pPr>
              <w:pStyle w:val="TableParagraph"/>
              <w:spacing w:before="29"/>
              <w:ind w:right="76"/>
              <w:jc w:val="right"/>
              <w:rPr>
                <w:sz w:val="18"/>
              </w:rPr>
            </w:pPr>
            <w:r>
              <w:rPr>
                <w:spacing w:val="-5"/>
                <w:sz w:val="18"/>
              </w:rPr>
              <w:t>420</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37757E33" w14:textId="77777777" w:rsidR="00141B97" w:rsidRDefault="00911D63">
            <w:pPr>
              <w:pStyle w:val="TableParagraph"/>
              <w:spacing w:before="29"/>
              <w:ind w:right="76"/>
              <w:jc w:val="right"/>
              <w:rPr>
                <w:sz w:val="18"/>
              </w:rPr>
            </w:pPr>
            <w:r>
              <w:rPr>
                <w:spacing w:val="-5"/>
                <w:sz w:val="18"/>
              </w:rPr>
              <w:t>420</w:t>
            </w:r>
          </w:p>
        </w:tc>
        <w:tc>
          <w:tcPr>
            <w:tcW w:w="1849" w:type="dxa"/>
            <w:tcBorders>
              <w:top w:val="single" w:sz="4" w:space="0" w:color="FFFFFF"/>
              <w:left w:val="single" w:sz="4" w:space="0" w:color="FFFFFF"/>
              <w:bottom w:val="single" w:sz="4" w:space="0" w:color="FFFFFF"/>
              <w:right w:val="nil"/>
            </w:tcBorders>
            <w:shd w:val="clear" w:color="auto" w:fill="CCE2ED"/>
          </w:tcPr>
          <w:p w14:paraId="31773D40" w14:textId="77777777" w:rsidR="00141B97" w:rsidRDefault="00911D63">
            <w:pPr>
              <w:pStyle w:val="TableParagraph"/>
              <w:spacing w:before="29"/>
              <w:ind w:right="76"/>
              <w:jc w:val="right"/>
              <w:rPr>
                <w:sz w:val="18"/>
              </w:rPr>
            </w:pPr>
            <w:r>
              <w:rPr>
                <w:spacing w:val="-5"/>
                <w:sz w:val="18"/>
              </w:rPr>
              <w:t>420</w:t>
            </w:r>
          </w:p>
        </w:tc>
      </w:tr>
      <w:tr w:rsidR="00141B97" w14:paraId="706FD3A8"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25F35511" w14:textId="77777777" w:rsidR="00141B97" w:rsidRDefault="00911D63">
            <w:pPr>
              <w:pStyle w:val="TableParagraph"/>
              <w:spacing w:before="29"/>
              <w:ind w:left="80"/>
              <w:rPr>
                <w:sz w:val="18"/>
              </w:rPr>
            </w:pPr>
            <w:r>
              <w:rPr>
                <w:spacing w:val="-2"/>
                <w:sz w:val="18"/>
              </w:rPr>
              <w:t>Robinvale</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03133E2D" w14:textId="77777777" w:rsidR="00141B97" w:rsidRDefault="00141B97">
            <w:pPr>
              <w:pStyle w:val="TableParagraph"/>
              <w:rPr>
                <w:rFonts w:ascii="Times New Roman"/>
                <w:sz w:val="18"/>
              </w:rPr>
            </w:pP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14450563" w14:textId="77777777" w:rsidR="00141B97" w:rsidRDefault="00141B97">
            <w:pPr>
              <w:pStyle w:val="TableParagraph"/>
              <w:rPr>
                <w:rFonts w:ascii="Times New Roman"/>
                <w:sz w:val="18"/>
              </w:rPr>
            </w:pP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36EC73EB" w14:textId="77777777" w:rsidR="00141B97" w:rsidRDefault="00141B97">
            <w:pPr>
              <w:pStyle w:val="TableParagraph"/>
              <w:rPr>
                <w:rFonts w:ascii="Times New Roman"/>
                <w:sz w:val="18"/>
              </w:rPr>
            </w:pP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2827DDC2" w14:textId="77777777" w:rsidR="00141B97" w:rsidRDefault="00141B97">
            <w:pPr>
              <w:pStyle w:val="TableParagraph"/>
              <w:rPr>
                <w:rFonts w:ascii="Times New Roman"/>
                <w:sz w:val="18"/>
              </w:rPr>
            </w:pP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1C7317B9" w14:textId="77777777" w:rsidR="00141B97" w:rsidRDefault="00141B97">
            <w:pPr>
              <w:pStyle w:val="TableParagraph"/>
              <w:rPr>
                <w:rFonts w:ascii="Times New Roman"/>
                <w:sz w:val="18"/>
              </w:rPr>
            </w:pPr>
          </w:p>
        </w:tc>
        <w:tc>
          <w:tcPr>
            <w:tcW w:w="1849" w:type="dxa"/>
            <w:tcBorders>
              <w:top w:val="single" w:sz="4" w:space="0" w:color="FFFFFF"/>
              <w:left w:val="single" w:sz="4" w:space="0" w:color="FFFFFF"/>
              <w:bottom w:val="single" w:sz="4" w:space="0" w:color="FFFFFF"/>
              <w:right w:val="nil"/>
            </w:tcBorders>
            <w:shd w:val="clear" w:color="auto" w:fill="CCE2ED"/>
          </w:tcPr>
          <w:p w14:paraId="0661C92F" w14:textId="77777777" w:rsidR="00141B97" w:rsidRDefault="00141B97">
            <w:pPr>
              <w:pStyle w:val="TableParagraph"/>
              <w:rPr>
                <w:rFonts w:ascii="Times New Roman"/>
                <w:sz w:val="18"/>
              </w:rPr>
            </w:pPr>
          </w:p>
        </w:tc>
      </w:tr>
      <w:tr w:rsidR="00141B97" w14:paraId="717276C9"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0D17CE18"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1</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654A1E25" w14:textId="77777777" w:rsidR="00141B97" w:rsidRDefault="00911D63">
            <w:pPr>
              <w:pStyle w:val="TableParagraph"/>
              <w:spacing w:before="29"/>
              <w:ind w:right="77"/>
              <w:jc w:val="right"/>
              <w:rPr>
                <w:sz w:val="18"/>
              </w:rPr>
            </w:pPr>
            <w:r>
              <w:rPr>
                <w:spacing w:val="-2"/>
                <w:sz w:val="18"/>
              </w:rPr>
              <w:t>2,560</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677370D1" w14:textId="77777777" w:rsidR="00141B97" w:rsidRDefault="00911D63">
            <w:pPr>
              <w:pStyle w:val="TableParagraph"/>
              <w:spacing w:before="29"/>
              <w:ind w:right="77"/>
              <w:jc w:val="right"/>
              <w:rPr>
                <w:sz w:val="18"/>
              </w:rPr>
            </w:pPr>
            <w:r>
              <w:rPr>
                <w:spacing w:val="-2"/>
                <w:sz w:val="18"/>
              </w:rPr>
              <w:t>2,560</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52BBFA09" w14:textId="77777777" w:rsidR="00141B97" w:rsidRDefault="00911D63">
            <w:pPr>
              <w:pStyle w:val="TableParagraph"/>
              <w:spacing w:before="29"/>
              <w:ind w:right="77"/>
              <w:jc w:val="right"/>
              <w:rPr>
                <w:sz w:val="18"/>
              </w:rPr>
            </w:pPr>
            <w:r>
              <w:rPr>
                <w:spacing w:val="-2"/>
                <w:sz w:val="18"/>
              </w:rPr>
              <w:t>2,560</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10740BA1" w14:textId="77777777" w:rsidR="00141B97" w:rsidRDefault="00911D63">
            <w:pPr>
              <w:pStyle w:val="TableParagraph"/>
              <w:spacing w:before="29"/>
              <w:ind w:right="76"/>
              <w:jc w:val="right"/>
              <w:rPr>
                <w:sz w:val="18"/>
              </w:rPr>
            </w:pPr>
            <w:r>
              <w:rPr>
                <w:spacing w:val="-2"/>
                <w:sz w:val="18"/>
              </w:rPr>
              <w:t>2,560</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4EEEE997" w14:textId="77777777" w:rsidR="00141B97" w:rsidRDefault="00911D63">
            <w:pPr>
              <w:pStyle w:val="TableParagraph"/>
              <w:spacing w:before="29"/>
              <w:ind w:right="76"/>
              <w:jc w:val="right"/>
              <w:rPr>
                <w:sz w:val="18"/>
              </w:rPr>
            </w:pPr>
            <w:r>
              <w:rPr>
                <w:spacing w:val="-2"/>
                <w:sz w:val="18"/>
              </w:rPr>
              <w:t>2,560</w:t>
            </w:r>
          </w:p>
        </w:tc>
        <w:tc>
          <w:tcPr>
            <w:tcW w:w="1849" w:type="dxa"/>
            <w:tcBorders>
              <w:top w:val="single" w:sz="4" w:space="0" w:color="FFFFFF"/>
              <w:left w:val="single" w:sz="4" w:space="0" w:color="FFFFFF"/>
              <w:bottom w:val="single" w:sz="4" w:space="0" w:color="FFFFFF"/>
              <w:right w:val="nil"/>
            </w:tcBorders>
            <w:shd w:val="clear" w:color="auto" w:fill="CCE2ED"/>
          </w:tcPr>
          <w:p w14:paraId="3E843859" w14:textId="77777777" w:rsidR="00141B97" w:rsidRDefault="00911D63">
            <w:pPr>
              <w:pStyle w:val="TableParagraph"/>
              <w:spacing w:before="29"/>
              <w:ind w:right="76"/>
              <w:jc w:val="right"/>
              <w:rPr>
                <w:sz w:val="18"/>
              </w:rPr>
            </w:pPr>
            <w:r>
              <w:rPr>
                <w:spacing w:val="-2"/>
                <w:sz w:val="18"/>
              </w:rPr>
              <w:t>2,560</w:t>
            </w:r>
          </w:p>
        </w:tc>
      </w:tr>
      <w:tr w:rsidR="00141B97" w14:paraId="047E760D" w14:textId="77777777">
        <w:trPr>
          <w:trHeight w:val="275"/>
        </w:trPr>
        <w:tc>
          <w:tcPr>
            <w:tcW w:w="3913" w:type="dxa"/>
            <w:tcBorders>
              <w:top w:val="single" w:sz="4" w:space="0" w:color="FFFFFF"/>
              <w:left w:val="nil"/>
              <w:bottom w:val="single" w:sz="4" w:space="0" w:color="FFFFFF"/>
              <w:right w:val="single" w:sz="4" w:space="0" w:color="FFFFFF"/>
            </w:tcBorders>
            <w:shd w:val="clear" w:color="auto" w:fill="CCE2ED"/>
          </w:tcPr>
          <w:p w14:paraId="4F43EFA9"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2</w:t>
            </w:r>
          </w:p>
        </w:tc>
        <w:tc>
          <w:tcPr>
            <w:tcW w:w="2311" w:type="dxa"/>
            <w:tcBorders>
              <w:top w:val="single" w:sz="4" w:space="0" w:color="FFFFFF"/>
              <w:left w:val="single" w:sz="4" w:space="0" w:color="FFFFFF"/>
              <w:bottom w:val="single" w:sz="4" w:space="0" w:color="FFFFFF"/>
              <w:right w:val="single" w:sz="4" w:space="0" w:color="FFFFFF"/>
            </w:tcBorders>
            <w:shd w:val="clear" w:color="auto" w:fill="CCE2ED"/>
          </w:tcPr>
          <w:p w14:paraId="7C4DFCEF"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56ED5528" w14:textId="77777777" w:rsidR="00141B97" w:rsidRDefault="00911D63">
            <w:pPr>
              <w:pStyle w:val="TableParagraph"/>
              <w:spacing w:before="29"/>
              <w:ind w:right="77"/>
              <w:jc w:val="right"/>
              <w:rPr>
                <w:sz w:val="18"/>
              </w:rPr>
            </w:pPr>
            <w:r>
              <w:rPr>
                <w:sz w:val="18"/>
              </w:rPr>
              <w:t>‐</w:t>
            </w:r>
          </w:p>
        </w:tc>
        <w:tc>
          <w:tcPr>
            <w:tcW w:w="1849" w:type="dxa"/>
            <w:tcBorders>
              <w:top w:val="single" w:sz="4" w:space="0" w:color="FFFFFF"/>
              <w:left w:val="single" w:sz="4" w:space="0" w:color="FFFFFF"/>
              <w:bottom w:val="single" w:sz="4" w:space="0" w:color="FFFFFF"/>
              <w:right w:val="single" w:sz="4" w:space="0" w:color="FFFFFF"/>
            </w:tcBorders>
            <w:shd w:val="clear" w:color="auto" w:fill="CCE2ED"/>
          </w:tcPr>
          <w:p w14:paraId="69E8D4F1"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243E1398" w14:textId="77777777" w:rsidR="00141B97" w:rsidRDefault="00911D63">
            <w:pPr>
              <w:pStyle w:val="TableParagraph"/>
              <w:spacing w:before="29"/>
              <w:ind w:right="76"/>
              <w:jc w:val="right"/>
              <w:rPr>
                <w:sz w:val="18"/>
              </w:rPr>
            </w:pPr>
            <w:r>
              <w:rPr>
                <w:sz w:val="18"/>
              </w:rPr>
              <w:t>‐</w:t>
            </w:r>
          </w:p>
        </w:tc>
        <w:tc>
          <w:tcPr>
            <w:tcW w:w="1850" w:type="dxa"/>
            <w:tcBorders>
              <w:top w:val="single" w:sz="4" w:space="0" w:color="FFFFFF"/>
              <w:left w:val="single" w:sz="4" w:space="0" w:color="FFFFFF"/>
              <w:bottom w:val="single" w:sz="4" w:space="0" w:color="FFFFFF"/>
              <w:right w:val="single" w:sz="4" w:space="0" w:color="FFFFFF"/>
            </w:tcBorders>
            <w:shd w:val="clear" w:color="auto" w:fill="CCE2ED"/>
          </w:tcPr>
          <w:p w14:paraId="7C827339" w14:textId="77777777" w:rsidR="00141B97" w:rsidRDefault="00911D63">
            <w:pPr>
              <w:pStyle w:val="TableParagraph"/>
              <w:spacing w:before="29"/>
              <w:ind w:right="76"/>
              <w:jc w:val="right"/>
              <w:rPr>
                <w:sz w:val="18"/>
              </w:rPr>
            </w:pPr>
            <w:r>
              <w:rPr>
                <w:sz w:val="18"/>
              </w:rPr>
              <w:t>‐</w:t>
            </w:r>
          </w:p>
        </w:tc>
        <w:tc>
          <w:tcPr>
            <w:tcW w:w="1849" w:type="dxa"/>
            <w:tcBorders>
              <w:top w:val="single" w:sz="4" w:space="0" w:color="FFFFFF"/>
              <w:left w:val="single" w:sz="4" w:space="0" w:color="FFFFFF"/>
              <w:bottom w:val="single" w:sz="4" w:space="0" w:color="FFFFFF"/>
              <w:right w:val="nil"/>
            </w:tcBorders>
            <w:shd w:val="clear" w:color="auto" w:fill="CCE2ED"/>
          </w:tcPr>
          <w:p w14:paraId="338B5D13" w14:textId="77777777" w:rsidR="00141B97" w:rsidRDefault="00911D63">
            <w:pPr>
              <w:pStyle w:val="TableParagraph"/>
              <w:spacing w:before="29"/>
              <w:ind w:right="76"/>
              <w:jc w:val="right"/>
              <w:rPr>
                <w:sz w:val="18"/>
              </w:rPr>
            </w:pPr>
            <w:r>
              <w:rPr>
                <w:sz w:val="18"/>
              </w:rPr>
              <w:t>‐</w:t>
            </w:r>
          </w:p>
        </w:tc>
      </w:tr>
      <w:tr w:rsidR="00141B97" w14:paraId="70CD2EB8" w14:textId="77777777">
        <w:trPr>
          <w:trHeight w:val="273"/>
        </w:trPr>
        <w:tc>
          <w:tcPr>
            <w:tcW w:w="3913" w:type="dxa"/>
            <w:tcBorders>
              <w:top w:val="single" w:sz="4" w:space="0" w:color="FFFFFF"/>
              <w:left w:val="nil"/>
              <w:right w:val="single" w:sz="4" w:space="0" w:color="FFFFFF"/>
            </w:tcBorders>
            <w:shd w:val="clear" w:color="auto" w:fill="CCE2ED"/>
          </w:tcPr>
          <w:p w14:paraId="02838387" w14:textId="77777777" w:rsidR="00141B97" w:rsidRDefault="00911D63">
            <w:pPr>
              <w:pStyle w:val="TableParagraph"/>
              <w:spacing w:before="29"/>
              <w:ind w:left="80"/>
              <w:rPr>
                <w:sz w:val="18"/>
              </w:rPr>
            </w:pPr>
            <w:r>
              <w:rPr>
                <w:sz w:val="18"/>
              </w:rPr>
              <w:t>Division</w:t>
            </w:r>
            <w:r>
              <w:rPr>
                <w:spacing w:val="-7"/>
                <w:sz w:val="18"/>
              </w:rPr>
              <w:t xml:space="preserve"> </w:t>
            </w:r>
            <w:r>
              <w:rPr>
                <w:spacing w:val="-10"/>
                <w:sz w:val="18"/>
              </w:rPr>
              <w:t>3</w:t>
            </w:r>
          </w:p>
        </w:tc>
        <w:tc>
          <w:tcPr>
            <w:tcW w:w="2311" w:type="dxa"/>
            <w:tcBorders>
              <w:top w:val="single" w:sz="4" w:space="0" w:color="FFFFFF"/>
              <w:left w:val="single" w:sz="4" w:space="0" w:color="FFFFFF"/>
              <w:right w:val="single" w:sz="4" w:space="0" w:color="FFFFFF"/>
            </w:tcBorders>
            <w:shd w:val="clear" w:color="auto" w:fill="CCE2ED"/>
          </w:tcPr>
          <w:p w14:paraId="0A598B5E"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right w:val="single" w:sz="4" w:space="0" w:color="FFFFFF"/>
            </w:tcBorders>
            <w:shd w:val="clear" w:color="auto" w:fill="CCE2ED"/>
          </w:tcPr>
          <w:p w14:paraId="284446E8" w14:textId="77777777" w:rsidR="00141B97" w:rsidRDefault="00911D63">
            <w:pPr>
              <w:pStyle w:val="TableParagraph"/>
              <w:spacing w:before="29"/>
              <w:ind w:right="77"/>
              <w:jc w:val="right"/>
              <w:rPr>
                <w:sz w:val="18"/>
              </w:rPr>
            </w:pPr>
            <w:r>
              <w:rPr>
                <w:sz w:val="18"/>
              </w:rPr>
              <w:t>‐</w:t>
            </w:r>
          </w:p>
        </w:tc>
        <w:tc>
          <w:tcPr>
            <w:tcW w:w="1849" w:type="dxa"/>
            <w:tcBorders>
              <w:top w:val="single" w:sz="4" w:space="0" w:color="FFFFFF"/>
              <w:left w:val="single" w:sz="4" w:space="0" w:color="FFFFFF"/>
              <w:right w:val="single" w:sz="4" w:space="0" w:color="FFFFFF"/>
            </w:tcBorders>
            <w:shd w:val="clear" w:color="auto" w:fill="CCE2ED"/>
          </w:tcPr>
          <w:p w14:paraId="5E60EDC3" w14:textId="77777777" w:rsidR="00141B97" w:rsidRDefault="00911D63">
            <w:pPr>
              <w:pStyle w:val="TableParagraph"/>
              <w:spacing w:before="29"/>
              <w:ind w:right="77"/>
              <w:jc w:val="right"/>
              <w:rPr>
                <w:sz w:val="18"/>
              </w:rPr>
            </w:pPr>
            <w:r>
              <w:rPr>
                <w:sz w:val="18"/>
              </w:rPr>
              <w:t>‐</w:t>
            </w:r>
          </w:p>
        </w:tc>
        <w:tc>
          <w:tcPr>
            <w:tcW w:w="1850" w:type="dxa"/>
            <w:tcBorders>
              <w:top w:val="single" w:sz="4" w:space="0" w:color="FFFFFF"/>
              <w:left w:val="single" w:sz="4" w:space="0" w:color="FFFFFF"/>
              <w:right w:val="single" w:sz="4" w:space="0" w:color="FFFFFF"/>
            </w:tcBorders>
            <w:shd w:val="clear" w:color="auto" w:fill="CCE2ED"/>
          </w:tcPr>
          <w:p w14:paraId="478E4B56" w14:textId="77777777" w:rsidR="00141B97" w:rsidRDefault="00911D63">
            <w:pPr>
              <w:pStyle w:val="TableParagraph"/>
              <w:spacing w:before="29"/>
              <w:ind w:right="76"/>
              <w:jc w:val="right"/>
              <w:rPr>
                <w:sz w:val="18"/>
              </w:rPr>
            </w:pPr>
            <w:r>
              <w:rPr>
                <w:sz w:val="18"/>
              </w:rPr>
              <w:t>‐</w:t>
            </w:r>
          </w:p>
        </w:tc>
        <w:tc>
          <w:tcPr>
            <w:tcW w:w="1850" w:type="dxa"/>
            <w:tcBorders>
              <w:top w:val="single" w:sz="4" w:space="0" w:color="FFFFFF"/>
              <w:left w:val="single" w:sz="4" w:space="0" w:color="FFFFFF"/>
              <w:right w:val="single" w:sz="4" w:space="0" w:color="FFFFFF"/>
            </w:tcBorders>
            <w:shd w:val="clear" w:color="auto" w:fill="CCE2ED"/>
          </w:tcPr>
          <w:p w14:paraId="38ECFD35" w14:textId="77777777" w:rsidR="00141B97" w:rsidRDefault="00911D63">
            <w:pPr>
              <w:pStyle w:val="TableParagraph"/>
              <w:spacing w:before="29"/>
              <w:ind w:right="76"/>
              <w:jc w:val="right"/>
              <w:rPr>
                <w:sz w:val="18"/>
              </w:rPr>
            </w:pPr>
            <w:r>
              <w:rPr>
                <w:sz w:val="18"/>
              </w:rPr>
              <w:t>‐</w:t>
            </w:r>
          </w:p>
        </w:tc>
        <w:tc>
          <w:tcPr>
            <w:tcW w:w="1849" w:type="dxa"/>
            <w:tcBorders>
              <w:top w:val="single" w:sz="4" w:space="0" w:color="FFFFFF"/>
              <w:left w:val="single" w:sz="4" w:space="0" w:color="FFFFFF"/>
              <w:right w:val="nil"/>
            </w:tcBorders>
            <w:shd w:val="clear" w:color="auto" w:fill="CCE2ED"/>
          </w:tcPr>
          <w:p w14:paraId="76BAA15C" w14:textId="77777777" w:rsidR="00141B97" w:rsidRDefault="00911D63">
            <w:pPr>
              <w:pStyle w:val="TableParagraph"/>
              <w:spacing w:before="29"/>
              <w:ind w:right="76"/>
              <w:jc w:val="right"/>
              <w:rPr>
                <w:sz w:val="18"/>
              </w:rPr>
            </w:pPr>
            <w:r>
              <w:rPr>
                <w:sz w:val="18"/>
              </w:rPr>
              <w:t>‐</w:t>
            </w:r>
          </w:p>
        </w:tc>
      </w:tr>
      <w:tr w:rsidR="00141B97" w14:paraId="5E2451DF" w14:textId="77777777">
        <w:trPr>
          <w:trHeight w:val="272"/>
        </w:trPr>
        <w:tc>
          <w:tcPr>
            <w:tcW w:w="3913" w:type="dxa"/>
            <w:tcBorders>
              <w:left w:val="nil"/>
              <w:bottom w:val="nil"/>
              <w:right w:val="single" w:sz="4" w:space="0" w:color="FFFFFF"/>
            </w:tcBorders>
            <w:shd w:val="clear" w:color="auto" w:fill="CCE2ED"/>
          </w:tcPr>
          <w:p w14:paraId="0A86430E" w14:textId="77777777" w:rsidR="00141B97" w:rsidRDefault="00911D63">
            <w:pPr>
              <w:pStyle w:val="TableParagraph"/>
              <w:spacing w:before="25"/>
              <w:ind w:left="80"/>
              <w:rPr>
                <w:sz w:val="18"/>
              </w:rPr>
            </w:pPr>
            <w:r>
              <w:rPr>
                <w:sz w:val="18"/>
              </w:rPr>
              <w:t>Division</w:t>
            </w:r>
            <w:r>
              <w:rPr>
                <w:spacing w:val="-7"/>
                <w:sz w:val="18"/>
              </w:rPr>
              <w:t xml:space="preserve"> </w:t>
            </w:r>
            <w:r>
              <w:rPr>
                <w:spacing w:val="-10"/>
                <w:sz w:val="18"/>
              </w:rPr>
              <w:t>4</w:t>
            </w:r>
          </w:p>
        </w:tc>
        <w:tc>
          <w:tcPr>
            <w:tcW w:w="2311" w:type="dxa"/>
            <w:tcBorders>
              <w:left w:val="single" w:sz="4" w:space="0" w:color="FFFFFF"/>
              <w:bottom w:val="nil"/>
              <w:right w:val="single" w:sz="4" w:space="0" w:color="FFFFFF"/>
            </w:tcBorders>
            <w:shd w:val="clear" w:color="auto" w:fill="CCE2ED"/>
          </w:tcPr>
          <w:p w14:paraId="5BC72D73" w14:textId="77777777" w:rsidR="00141B97" w:rsidRDefault="00911D63">
            <w:pPr>
              <w:pStyle w:val="TableParagraph"/>
              <w:spacing w:before="25"/>
              <w:ind w:right="77"/>
              <w:jc w:val="right"/>
              <w:rPr>
                <w:sz w:val="18"/>
              </w:rPr>
            </w:pPr>
            <w:r>
              <w:rPr>
                <w:sz w:val="18"/>
              </w:rPr>
              <w:t>‐</w:t>
            </w:r>
          </w:p>
        </w:tc>
        <w:tc>
          <w:tcPr>
            <w:tcW w:w="1850" w:type="dxa"/>
            <w:tcBorders>
              <w:left w:val="single" w:sz="4" w:space="0" w:color="FFFFFF"/>
              <w:bottom w:val="nil"/>
              <w:right w:val="single" w:sz="4" w:space="0" w:color="FFFFFF"/>
            </w:tcBorders>
            <w:shd w:val="clear" w:color="auto" w:fill="CCE2ED"/>
          </w:tcPr>
          <w:p w14:paraId="03278BEB" w14:textId="77777777" w:rsidR="00141B97" w:rsidRDefault="00911D63">
            <w:pPr>
              <w:pStyle w:val="TableParagraph"/>
              <w:spacing w:before="25"/>
              <w:ind w:right="77"/>
              <w:jc w:val="right"/>
              <w:rPr>
                <w:sz w:val="18"/>
              </w:rPr>
            </w:pPr>
            <w:r>
              <w:rPr>
                <w:sz w:val="18"/>
              </w:rPr>
              <w:t>‐</w:t>
            </w:r>
          </w:p>
        </w:tc>
        <w:tc>
          <w:tcPr>
            <w:tcW w:w="1849" w:type="dxa"/>
            <w:tcBorders>
              <w:left w:val="single" w:sz="4" w:space="0" w:color="FFFFFF"/>
              <w:bottom w:val="nil"/>
              <w:right w:val="single" w:sz="4" w:space="0" w:color="FFFFFF"/>
            </w:tcBorders>
            <w:shd w:val="clear" w:color="auto" w:fill="CCE2ED"/>
          </w:tcPr>
          <w:p w14:paraId="1F2F6282" w14:textId="77777777" w:rsidR="00141B97" w:rsidRDefault="00911D63">
            <w:pPr>
              <w:pStyle w:val="TableParagraph"/>
              <w:spacing w:before="25"/>
              <w:ind w:right="77"/>
              <w:jc w:val="right"/>
              <w:rPr>
                <w:sz w:val="18"/>
              </w:rPr>
            </w:pPr>
            <w:r>
              <w:rPr>
                <w:sz w:val="18"/>
              </w:rPr>
              <w:t>‐</w:t>
            </w:r>
          </w:p>
        </w:tc>
        <w:tc>
          <w:tcPr>
            <w:tcW w:w="1850" w:type="dxa"/>
            <w:tcBorders>
              <w:left w:val="single" w:sz="4" w:space="0" w:color="FFFFFF"/>
              <w:bottom w:val="nil"/>
              <w:right w:val="single" w:sz="4" w:space="0" w:color="FFFFFF"/>
            </w:tcBorders>
            <w:shd w:val="clear" w:color="auto" w:fill="CCE2ED"/>
          </w:tcPr>
          <w:p w14:paraId="77E2C82D" w14:textId="77777777" w:rsidR="00141B97" w:rsidRDefault="00911D63">
            <w:pPr>
              <w:pStyle w:val="TableParagraph"/>
              <w:spacing w:before="25"/>
              <w:ind w:right="76"/>
              <w:jc w:val="right"/>
              <w:rPr>
                <w:sz w:val="18"/>
              </w:rPr>
            </w:pPr>
            <w:r>
              <w:rPr>
                <w:sz w:val="18"/>
              </w:rPr>
              <w:t>‐</w:t>
            </w:r>
          </w:p>
        </w:tc>
        <w:tc>
          <w:tcPr>
            <w:tcW w:w="1850" w:type="dxa"/>
            <w:tcBorders>
              <w:left w:val="single" w:sz="4" w:space="0" w:color="FFFFFF"/>
              <w:bottom w:val="nil"/>
              <w:right w:val="single" w:sz="4" w:space="0" w:color="FFFFFF"/>
            </w:tcBorders>
            <w:shd w:val="clear" w:color="auto" w:fill="CCE2ED"/>
          </w:tcPr>
          <w:p w14:paraId="52266AF8" w14:textId="77777777" w:rsidR="00141B97" w:rsidRDefault="00911D63">
            <w:pPr>
              <w:pStyle w:val="TableParagraph"/>
              <w:spacing w:before="25"/>
              <w:ind w:right="76"/>
              <w:jc w:val="right"/>
              <w:rPr>
                <w:sz w:val="18"/>
              </w:rPr>
            </w:pPr>
            <w:r>
              <w:rPr>
                <w:sz w:val="18"/>
              </w:rPr>
              <w:t>‐</w:t>
            </w:r>
          </w:p>
        </w:tc>
        <w:tc>
          <w:tcPr>
            <w:tcW w:w="1849" w:type="dxa"/>
            <w:tcBorders>
              <w:left w:val="single" w:sz="4" w:space="0" w:color="FFFFFF"/>
              <w:bottom w:val="nil"/>
              <w:right w:val="nil"/>
            </w:tcBorders>
            <w:shd w:val="clear" w:color="auto" w:fill="CCE2ED"/>
          </w:tcPr>
          <w:p w14:paraId="26E2996A" w14:textId="77777777" w:rsidR="00141B97" w:rsidRDefault="00911D63">
            <w:pPr>
              <w:pStyle w:val="TableParagraph"/>
              <w:spacing w:before="25"/>
              <w:ind w:right="76"/>
              <w:jc w:val="right"/>
              <w:rPr>
                <w:sz w:val="18"/>
              </w:rPr>
            </w:pPr>
            <w:r>
              <w:rPr>
                <w:sz w:val="18"/>
              </w:rPr>
              <w:t>‐</w:t>
            </w:r>
          </w:p>
        </w:tc>
      </w:tr>
    </w:tbl>
    <w:p w14:paraId="3265B41A" w14:textId="77777777" w:rsidR="00141B97" w:rsidRDefault="00911D63">
      <w:pPr>
        <w:spacing w:before="23"/>
        <w:ind w:left="124"/>
        <w:jc w:val="both"/>
        <w:rPr>
          <w:sz w:val="16"/>
        </w:rPr>
      </w:pPr>
      <w:r>
        <w:rPr>
          <w:sz w:val="16"/>
        </w:rPr>
        <w:t>Table</w:t>
      </w:r>
      <w:r>
        <w:rPr>
          <w:spacing w:val="-3"/>
          <w:sz w:val="16"/>
        </w:rPr>
        <w:t xml:space="preserve"> </w:t>
      </w:r>
      <w:r>
        <w:rPr>
          <w:sz w:val="16"/>
        </w:rPr>
        <w:t>C1.3.2</w:t>
      </w:r>
      <w:r>
        <w:rPr>
          <w:spacing w:val="-5"/>
          <w:sz w:val="16"/>
        </w:rPr>
        <w:t xml:space="preserve"> </w:t>
      </w:r>
      <w:r>
        <w:rPr>
          <w:sz w:val="16"/>
        </w:rPr>
        <w:t>‐</w:t>
      </w:r>
      <w:r>
        <w:rPr>
          <w:spacing w:val="-2"/>
          <w:sz w:val="16"/>
        </w:rPr>
        <w:t xml:space="preserve"> </w:t>
      </w:r>
      <w:r>
        <w:rPr>
          <w:sz w:val="16"/>
        </w:rPr>
        <w:t>Water</w:t>
      </w:r>
      <w:r>
        <w:rPr>
          <w:spacing w:val="-5"/>
          <w:sz w:val="16"/>
        </w:rPr>
        <w:t xml:space="preserve"> </w:t>
      </w:r>
      <w:r>
        <w:rPr>
          <w:sz w:val="16"/>
        </w:rPr>
        <w:t>Rights</w:t>
      </w:r>
      <w:r>
        <w:rPr>
          <w:spacing w:val="-4"/>
          <w:sz w:val="16"/>
        </w:rPr>
        <w:t xml:space="preserve"> </w:t>
      </w:r>
      <w:r>
        <w:rPr>
          <w:sz w:val="16"/>
        </w:rPr>
        <w:t>and</w:t>
      </w:r>
      <w:r>
        <w:rPr>
          <w:spacing w:val="-5"/>
          <w:sz w:val="16"/>
        </w:rPr>
        <w:t xml:space="preserve"> </w:t>
      </w:r>
      <w:r>
        <w:rPr>
          <w:sz w:val="16"/>
        </w:rPr>
        <w:t>AULs</w:t>
      </w:r>
      <w:r>
        <w:rPr>
          <w:spacing w:val="-4"/>
          <w:sz w:val="16"/>
        </w:rPr>
        <w:t xml:space="preserve"> </w:t>
      </w:r>
      <w:r>
        <w:rPr>
          <w:sz w:val="16"/>
        </w:rPr>
        <w:t>(For</w:t>
      </w:r>
      <w:r>
        <w:rPr>
          <w:spacing w:val="-3"/>
          <w:sz w:val="16"/>
        </w:rPr>
        <w:t xml:space="preserve"> </w:t>
      </w:r>
      <w:r>
        <w:rPr>
          <w:sz w:val="16"/>
        </w:rPr>
        <w:t>drainage)</w:t>
      </w:r>
      <w:r>
        <w:rPr>
          <w:spacing w:val="-5"/>
          <w:sz w:val="16"/>
        </w:rPr>
        <w:t xml:space="preserve"> </w:t>
      </w:r>
      <w:r>
        <w:rPr>
          <w:sz w:val="16"/>
        </w:rPr>
        <w:t>(ML</w:t>
      </w:r>
      <w:r>
        <w:rPr>
          <w:spacing w:val="-3"/>
          <w:sz w:val="16"/>
        </w:rPr>
        <w:t xml:space="preserve"> </w:t>
      </w:r>
      <w:r>
        <w:rPr>
          <w:spacing w:val="-5"/>
          <w:sz w:val="16"/>
        </w:rPr>
        <w:t>pa)</w:t>
      </w:r>
    </w:p>
    <w:p w14:paraId="02BB05FE" w14:textId="77777777" w:rsidR="00141B97" w:rsidRDefault="00141B97">
      <w:pPr>
        <w:jc w:val="both"/>
        <w:rPr>
          <w:sz w:val="16"/>
        </w:rPr>
        <w:sectPr w:rsidR="00141B97">
          <w:pgSz w:w="16840" w:h="11910" w:orient="landscape"/>
          <w:pgMar w:top="800" w:right="600" w:bottom="540" w:left="300" w:header="0" w:footer="345" w:gutter="0"/>
          <w:cols w:space="720"/>
        </w:sectPr>
      </w:pPr>
    </w:p>
    <w:p w14:paraId="5BE18BC2" w14:textId="77777777" w:rsidR="00141B97" w:rsidRDefault="00911D63">
      <w:pPr>
        <w:spacing w:before="48"/>
        <w:ind w:left="124"/>
        <w:rPr>
          <w:sz w:val="20"/>
        </w:rPr>
      </w:pPr>
      <w:r>
        <w:rPr>
          <w:sz w:val="20"/>
        </w:rPr>
        <w:lastRenderedPageBreak/>
        <w:t>C1.3.3</w:t>
      </w:r>
      <w:r>
        <w:rPr>
          <w:spacing w:val="-1"/>
          <w:sz w:val="20"/>
        </w:rPr>
        <w:t xml:space="preserve"> </w:t>
      </w:r>
      <w:r>
        <w:rPr>
          <w:spacing w:val="-2"/>
          <w:sz w:val="20"/>
        </w:rPr>
        <w:t>Diversions</w:t>
      </w:r>
    </w:p>
    <w:p w14:paraId="76BB6AF1" w14:textId="77777777" w:rsidR="00141B97" w:rsidRDefault="00911D63">
      <w:pPr>
        <w:pStyle w:val="BodyText"/>
        <w:spacing w:before="71"/>
        <w:ind w:left="124"/>
      </w:pPr>
      <w:r>
        <w:t>Charges</w:t>
      </w:r>
      <w:r>
        <w:rPr>
          <w:spacing w:val="-5"/>
        </w:rPr>
        <w:t xml:space="preserve"> </w:t>
      </w:r>
      <w:r>
        <w:t>to</w:t>
      </w:r>
      <w:r>
        <w:rPr>
          <w:spacing w:val="-8"/>
        </w:rPr>
        <w:t xml:space="preserve"> </w:t>
      </w:r>
      <w:r>
        <w:t>diverters</w:t>
      </w:r>
      <w:r>
        <w:rPr>
          <w:spacing w:val="-5"/>
        </w:rPr>
        <w:t xml:space="preserve"> </w:t>
      </w:r>
      <w:r>
        <w:t>are</w:t>
      </w:r>
      <w:r>
        <w:rPr>
          <w:spacing w:val="-6"/>
        </w:rPr>
        <w:t xml:space="preserve"> </w:t>
      </w:r>
      <w:r>
        <w:t>based</w:t>
      </w:r>
      <w:r>
        <w:rPr>
          <w:spacing w:val="-5"/>
        </w:rPr>
        <w:t xml:space="preserve"> </w:t>
      </w:r>
      <w:r>
        <w:t>on</w:t>
      </w:r>
      <w:r>
        <w:rPr>
          <w:spacing w:val="-6"/>
        </w:rPr>
        <w:t xml:space="preserve"> </w:t>
      </w:r>
      <w:r>
        <w:t>per</w:t>
      </w:r>
      <w:r>
        <w:rPr>
          <w:spacing w:val="-5"/>
        </w:rPr>
        <w:t xml:space="preserve"> </w:t>
      </w:r>
      <w:r>
        <w:t>ML</w:t>
      </w:r>
      <w:r>
        <w:rPr>
          <w:spacing w:val="-7"/>
        </w:rPr>
        <w:t xml:space="preserve"> </w:t>
      </w:r>
      <w:r>
        <w:t>of</w:t>
      </w:r>
      <w:r>
        <w:rPr>
          <w:spacing w:val="-6"/>
        </w:rPr>
        <w:t xml:space="preserve"> </w:t>
      </w:r>
      <w:r>
        <w:t>water</w:t>
      </w:r>
      <w:r>
        <w:rPr>
          <w:spacing w:val="-6"/>
        </w:rPr>
        <w:t xml:space="preserve"> </w:t>
      </w:r>
      <w:r>
        <w:t>shares</w:t>
      </w:r>
      <w:r>
        <w:rPr>
          <w:spacing w:val="-5"/>
        </w:rPr>
        <w:t xml:space="preserve"> </w:t>
      </w:r>
      <w:r>
        <w:t>held</w:t>
      </w:r>
      <w:r>
        <w:rPr>
          <w:spacing w:val="-6"/>
        </w:rPr>
        <w:t xml:space="preserve"> </w:t>
      </w:r>
      <w:r>
        <w:t>in</w:t>
      </w:r>
      <w:r>
        <w:rPr>
          <w:spacing w:val="-5"/>
        </w:rPr>
        <w:t xml:space="preserve"> </w:t>
      </w:r>
      <w:r>
        <w:t>Victorian</w:t>
      </w:r>
      <w:r>
        <w:rPr>
          <w:spacing w:val="-5"/>
        </w:rPr>
        <w:t xml:space="preserve"> </w:t>
      </w:r>
      <w:r>
        <w:t>Water</w:t>
      </w:r>
      <w:r>
        <w:rPr>
          <w:spacing w:val="-6"/>
        </w:rPr>
        <w:t xml:space="preserve"> </w:t>
      </w:r>
      <w:r>
        <w:t>Register</w:t>
      </w:r>
      <w:r>
        <w:rPr>
          <w:spacing w:val="-6"/>
        </w:rPr>
        <w:t xml:space="preserve"> </w:t>
      </w:r>
      <w:r>
        <w:t>and</w:t>
      </w:r>
      <w:r>
        <w:rPr>
          <w:spacing w:val="-7"/>
        </w:rPr>
        <w:t xml:space="preserve"> </w:t>
      </w:r>
      <w:r>
        <w:t>ML</w:t>
      </w:r>
      <w:r>
        <w:rPr>
          <w:spacing w:val="-6"/>
        </w:rPr>
        <w:t xml:space="preserve"> </w:t>
      </w:r>
      <w:r>
        <w:t>per</w:t>
      </w:r>
      <w:r>
        <w:rPr>
          <w:spacing w:val="-6"/>
        </w:rPr>
        <w:t xml:space="preserve"> </w:t>
      </w:r>
      <w:r>
        <w:t>annual</w:t>
      </w:r>
      <w:r>
        <w:rPr>
          <w:spacing w:val="-6"/>
        </w:rPr>
        <w:t xml:space="preserve"> </w:t>
      </w:r>
      <w:r>
        <w:t>use</w:t>
      </w:r>
      <w:r>
        <w:rPr>
          <w:spacing w:val="-6"/>
        </w:rPr>
        <w:t xml:space="preserve"> </w:t>
      </w:r>
      <w:r>
        <w:rPr>
          <w:spacing w:val="-2"/>
        </w:rPr>
        <w:t>limit.</w:t>
      </w:r>
    </w:p>
    <w:p w14:paraId="0F028BC0" w14:textId="77777777" w:rsidR="00141B97" w:rsidRDefault="00911D63">
      <w:pPr>
        <w:pStyle w:val="BodyText"/>
        <w:spacing w:before="130" w:line="252" w:lineRule="auto"/>
        <w:ind w:left="124"/>
      </w:pPr>
      <w:r>
        <w:t>Water</w:t>
      </w:r>
      <w:r>
        <w:rPr>
          <w:spacing w:val="-2"/>
        </w:rPr>
        <w:t xml:space="preserve"> </w:t>
      </w:r>
      <w:r>
        <w:t>delivered</w:t>
      </w:r>
      <w:r>
        <w:rPr>
          <w:spacing w:val="-2"/>
        </w:rPr>
        <w:t xml:space="preserve"> </w:t>
      </w:r>
      <w:r>
        <w:t>is</w:t>
      </w:r>
      <w:r>
        <w:rPr>
          <w:spacing w:val="-2"/>
        </w:rPr>
        <w:t xml:space="preserve"> </w:t>
      </w:r>
      <w:r>
        <w:t>expected</w:t>
      </w:r>
      <w:r>
        <w:rPr>
          <w:spacing w:val="-2"/>
        </w:rPr>
        <w:t xml:space="preserve"> </w:t>
      </w:r>
      <w:r>
        <w:t>to</w:t>
      </w:r>
      <w:r>
        <w:rPr>
          <w:spacing w:val="-3"/>
        </w:rPr>
        <w:t xml:space="preserve"> </w:t>
      </w:r>
      <w:r>
        <w:t>progressively</w:t>
      </w:r>
      <w:r>
        <w:rPr>
          <w:spacing w:val="-2"/>
        </w:rPr>
        <w:t xml:space="preserve"> </w:t>
      </w:r>
      <w:r>
        <w:t>increase</w:t>
      </w:r>
      <w:r>
        <w:rPr>
          <w:spacing w:val="-2"/>
        </w:rPr>
        <w:t xml:space="preserve"> </w:t>
      </w:r>
      <w:r>
        <w:t>over</w:t>
      </w:r>
      <w:r>
        <w:rPr>
          <w:spacing w:val="-2"/>
        </w:rPr>
        <w:t xml:space="preserve"> </w:t>
      </w:r>
      <w:r>
        <w:t>the</w:t>
      </w:r>
      <w:r>
        <w:rPr>
          <w:spacing w:val="-3"/>
        </w:rPr>
        <w:t xml:space="preserve"> </w:t>
      </w:r>
      <w:r>
        <w:t>period</w:t>
      </w:r>
      <w:r>
        <w:rPr>
          <w:spacing w:val="-2"/>
        </w:rPr>
        <w:t xml:space="preserve"> </w:t>
      </w:r>
      <w:r>
        <w:t>due</w:t>
      </w:r>
      <w:r>
        <w:rPr>
          <w:spacing w:val="-2"/>
        </w:rPr>
        <w:t xml:space="preserve"> </w:t>
      </w:r>
      <w:r>
        <w:t>to</w:t>
      </w:r>
      <w:r>
        <w:rPr>
          <w:spacing w:val="-3"/>
        </w:rPr>
        <w:t xml:space="preserve"> </w:t>
      </w:r>
      <w:r>
        <w:t>continued</w:t>
      </w:r>
      <w:r>
        <w:rPr>
          <w:spacing w:val="-2"/>
        </w:rPr>
        <w:t xml:space="preserve"> </w:t>
      </w:r>
      <w:r>
        <w:t>development</w:t>
      </w:r>
      <w:r>
        <w:rPr>
          <w:spacing w:val="-2"/>
        </w:rPr>
        <w:t xml:space="preserve"> </w:t>
      </w:r>
      <w:r>
        <w:t>of</w:t>
      </w:r>
      <w:r>
        <w:rPr>
          <w:spacing w:val="-1"/>
        </w:rPr>
        <w:t xml:space="preserve"> </w:t>
      </w:r>
      <w:r>
        <w:t>out‐of‐district</w:t>
      </w:r>
      <w:r>
        <w:rPr>
          <w:spacing w:val="-2"/>
        </w:rPr>
        <w:t xml:space="preserve"> </w:t>
      </w:r>
      <w:r>
        <w:t>irrigation.</w:t>
      </w:r>
      <w:r>
        <w:rPr>
          <w:spacing w:val="-2"/>
        </w:rPr>
        <w:t xml:space="preserve"> </w:t>
      </w:r>
      <w:r>
        <w:t>Table</w:t>
      </w:r>
      <w:r>
        <w:rPr>
          <w:spacing w:val="-1"/>
        </w:rPr>
        <w:t xml:space="preserve"> </w:t>
      </w:r>
      <w:r>
        <w:t>C1.3.3a</w:t>
      </w:r>
      <w:r>
        <w:rPr>
          <w:spacing w:val="-2"/>
        </w:rPr>
        <w:t xml:space="preserve"> </w:t>
      </w:r>
      <w:r>
        <w:t>shows</w:t>
      </w:r>
      <w:r>
        <w:rPr>
          <w:spacing w:val="-2"/>
        </w:rPr>
        <w:t xml:space="preserve"> </w:t>
      </w:r>
      <w:r>
        <w:t>the</w:t>
      </w:r>
      <w:r>
        <w:rPr>
          <w:spacing w:val="-2"/>
        </w:rPr>
        <w:t xml:space="preserve"> </w:t>
      </w:r>
      <w:r>
        <w:t>quantity</w:t>
      </w:r>
      <w:r>
        <w:rPr>
          <w:spacing w:val="-2"/>
        </w:rPr>
        <w:t xml:space="preserve"> </w:t>
      </w:r>
      <w:r>
        <w:t>expected</w:t>
      </w:r>
      <w:r>
        <w:rPr>
          <w:spacing w:val="-2"/>
        </w:rPr>
        <w:t xml:space="preserve"> </w:t>
      </w:r>
      <w:r>
        <w:t>to</w:t>
      </w:r>
      <w:r>
        <w:rPr>
          <w:spacing w:val="-2"/>
        </w:rPr>
        <w:t xml:space="preserve"> </w:t>
      </w:r>
      <w:r>
        <w:t>be delivered to diverters, on which the operational fee is levied.</w:t>
      </w:r>
    </w:p>
    <w:p w14:paraId="6FB80350" w14:textId="77777777" w:rsidR="00141B97" w:rsidRDefault="00141B97">
      <w:pPr>
        <w:pStyle w:val="BodyText"/>
        <w:spacing w:before="5"/>
        <w:rPr>
          <w:sz w:val="9"/>
        </w:rPr>
      </w:pPr>
    </w:p>
    <w:tbl>
      <w:tblPr>
        <w:tblW w:w="0" w:type="auto"/>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031"/>
        <w:gridCol w:w="2380"/>
        <w:gridCol w:w="1856"/>
        <w:gridCol w:w="1858"/>
        <w:gridCol w:w="1856"/>
        <w:gridCol w:w="1858"/>
        <w:gridCol w:w="1859"/>
      </w:tblGrid>
      <w:tr w:rsidR="00141B97" w14:paraId="76A4827B" w14:textId="77777777">
        <w:trPr>
          <w:trHeight w:val="405"/>
        </w:trPr>
        <w:tc>
          <w:tcPr>
            <w:tcW w:w="6411" w:type="dxa"/>
            <w:gridSpan w:val="2"/>
            <w:tcBorders>
              <w:top w:val="nil"/>
              <w:left w:val="nil"/>
            </w:tcBorders>
            <w:shd w:val="clear" w:color="auto" w:fill="006CA3"/>
          </w:tcPr>
          <w:p w14:paraId="0164079B" w14:textId="77777777" w:rsidR="00141B97" w:rsidRDefault="00911D63">
            <w:pPr>
              <w:pStyle w:val="TableParagraph"/>
              <w:spacing w:before="79"/>
              <w:ind w:right="873"/>
              <w:jc w:val="right"/>
              <w:rPr>
                <w:sz w:val="20"/>
              </w:rPr>
            </w:pPr>
            <w:r>
              <w:rPr>
                <w:color w:val="FFFFFF"/>
                <w:spacing w:val="-2"/>
                <w:sz w:val="20"/>
              </w:rPr>
              <w:t>Current</w:t>
            </w:r>
          </w:p>
        </w:tc>
        <w:tc>
          <w:tcPr>
            <w:tcW w:w="9287" w:type="dxa"/>
            <w:gridSpan w:val="5"/>
            <w:tcBorders>
              <w:top w:val="nil"/>
              <w:right w:val="nil"/>
            </w:tcBorders>
            <w:shd w:val="clear" w:color="auto" w:fill="006CA3"/>
          </w:tcPr>
          <w:p w14:paraId="75847C61" w14:textId="77777777" w:rsidR="00141B97" w:rsidRDefault="00911D63">
            <w:pPr>
              <w:pStyle w:val="TableParagraph"/>
              <w:spacing w:before="79"/>
              <w:ind w:left="3619" w:right="3620"/>
              <w:jc w:val="center"/>
              <w:rPr>
                <w:sz w:val="20"/>
              </w:rPr>
            </w:pPr>
            <w:r>
              <w:rPr>
                <w:color w:val="FFFFFF"/>
                <w:sz w:val="20"/>
              </w:rPr>
              <w:t>Fourth</w:t>
            </w:r>
            <w:r>
              <w:rPr>
                <w:color w:val="FFFFFF"/>
                <w:spacing w:val="-3"/>
                <w:sz w:val="20"/>
              </w:rPr>
              <w:t xml:space="preserve"> </w:t>
            </w:r>
            <w:r>
              <w:rPr>
                <w:color w:val="FFFFFF"/>
                <w:sz w:val="20"/>
              </w:rPr>
              <w:t>Regulatory</w:t>
            </w:r>
            <w:r>
              <w:rPr>
                <w:color w:val="FFFFFF"/>
                <w:spacing w:val="-3"/>
                <w:sz w:val="20"/>
              </w:rPr>
              <w:t xml:space="preserve"> </w:t>
            </w:r>
            <w:r>
              <w:rPr>
                <w:color w:val="FFFFFF"/>
                <w:spacing w:val="-2"/>
                <w:sz w:val="20"/>
              </w:rPr>
              <w:t>Period</w:t>
            </w:r>
          </w:p>
        </w:tc>
      </w:tr>
      <w:tr w:rsidR="00141B97" w14:paraId="1BA0C3F4" w14:textId="77777777">
        <w:trPr>
          <w:trHeight w:val="406"/>
        </w:trPr>
        <w:tc>
          <w:tcPr>
            <w:tcW w:w="4031" w:type="dxa"/>
            <w:tcBorders>
              <w:left w:val="nil"/>
            </w:tcBorders>
            <w:shd w:val="clear" w:color="auto" w:fill="006CA3"/>
          </w:tcPr>
          <w:p w14:paraId="202EADFC" w14:textId="77777777" w:rsidR="00141B97" w:rsidRDefault="00141B97">
            <w:pPr>
              <w:pStyle w:val="TableParagraph"/>
              <w:rPr>
                <w:rFonts w:ascii="Times New Roman"/>
                <w:sz w:val="18"/>
              </w:rPr>
            </w:pPr>
          </w:p>
        </w:tc>
        <w:tc>
          <w:tcPr>
            <w:tcW w:w="2380" w:type="dxa"/>
            <w:shd w:val="clear" w:color="auto" w:fill="006CA3"/>
          </w:tcPr>
          <w:p w14:paraId="39D5556B" w14:textId="77777777" w:rsidR="00141B97" w:rsidRDefault="00911D63">
            <w:pPr>
              <w:pStyle w:val="TableParagraph"/>
              <w:spacing w:before="80"/>
              <w:ind w:left="836" w:right="837"/>
              <w:jc w:val="center"/>
              <w:rPr>
                <w:sz w:val="20"/>
              </w:rPr>
            </w:pPr>
            <w:r>
              <w:rPr>
                <w:color w:val="FFFFFF"/>
                <w:spacing w:val="-2"/>
                <w:sz w:val="20"/>
              </w:rPr>
              <w:t>2022‐23</w:t>
            </w:r>
          </w:p>
        </w:tc>
        <w:tc>
          <w:tcPr>
            <w:tcW w:w="1856" w:type="dxa"/>
            <w:shd w:val="clear" w:color="auto" w:fill="006CA3"/>
          </w:tcPr>
          <w:p w14:paraId="483ABE8A" w14:textId="77777777" w:rsidR="00141B97" w:rsidRDefault="00911D63">
            <w:pPr>
              <w:pStyle w:val="TableParagraph"/>
              <w:spacing w:before="80"/>
              <w:ind w:left="587"/>
              <w:rPr>
                <w:sz w:val="20"/>
              </w:rPr>
            </w:pPr>
            <w:r>
              <w:rPr>
                <w:color w:val="FFFFFF"/>
                <w:spacing w:val="-2"/>
                <w:sz w:val="20"/>
              </w:rPr>
              <w:t>2023‐24</w:t>
            </w:r>
          </w:p>
        </w:tc>
        <w:tc>
          <w:tcPr>
            <w:tcW w:w="1858" w:type="dxa"/>
            <w:shd w:val="clear" w:color="auto" w:fill="006CA3"/>
          </w:tcPr>
          <w:p w14:paraId="10AC97B7" w14:textId="77777777" w:rsidR="00141B97" w:rsidRDefault="00911D63">
            <w:pPr>
              <w:pStyle w:val="TableParagraph"/>
              <w:spacing w:before="80"/>
              <w:ind w:left="587"/>
              <w:rPr>
                <w:sz w:val="20"/>
              </w:rPr>
            </w:pPr>
            <w:r>
              <w:rPr>
                <w:color w:val="FFFFFF"/>
                <w:spacing w:val="-2"/>
                <w:sz w:val="20"/>
              </w:rPr>
              <w:t>2024‐25</w:t>
            </w:r>
          </w:p>
        </w:tc>
        <w:tc>
          <w:tcPr>
            <w:tcW w:w="1856" w:type="dxa"/>
            <w:shd w:val="clear" w:color="auto" w:fill="006CA3"/>
          </w:tcPr>
          <w:p w14:paraId="48450A51" w14:textId="77777777" w:rsidR="00141B97" w:rsidRDefault="00911D63">
            <w:pPr>
              <w:pStyle w:val="TableParagraph"/>
              <w:spacing w:before="80"/>
              <w:ind w:left="585"/>
              <w:rPr>
                <w:sz w:val="20"/>
              </w:rPr>
            </w:pPr>
            <w:r>
              <w:rPr>
                <w:color w:val="FFFFFF"/>
                <w:spacing w:val="-2"/>
                <w:sz w:val="20"/>
              </w:rPr>
              <w:t>2025‐26</w:t>
            </w:r>
          </w:p>
        </w:tc>
        <w:tc>
          <w:tcPr>
            <w:tcW w:w="1858" w:type="dxa"/>
            <w:shd w:val="clear" w:color="auto" w:fill="006CA3"/>
          </w:tcPr>
          <w:p w14:paraId="1BA9A02B" w14:textId="77777777" w:rsidR="00141B97" w:rsidRDefault="00911D63">
            <w:pPr>
              <w:pStyle w:val="TableParagraph"/>
              <w:spacing w:before="80"/>
              <w:ind w:left="586"/>
              <w:rPr>
                <w:sz w:val="20"/>
              </w:rPr>
            </w:pPr>
            <w:r>
              <w:rPr>
                <w:color w:val="FFFFFF"/>
                <w:spacing w:val="-2"/>
                <w:sz w:val="20"/>
              </w:rPr>
              <w:t>2026‐27</w:t>
            </w:r>
          </w:p>
        </w:tc>
        <w:tc>
          <w:tcPr>
            <w:tcW w:w="1859" w:type="dxa"/>
            <w:tcBorders>
              <w:right w:val="nil"/>
            </w:tcBorders>
            <w:shd w:val="clear" w:color="auto" w:fill="006CA3"/>
          </w:tcPr>
          <w:p w14:paraId="557243D2" w14:textId="77777777" w:rsidR="00141B97" w:rsidRDefault="00911D63">
            <w:pPr>
              <w:pStyle w:val="TableParagraph"/>
              <w:spacing w:before="80"/>
              <w:ind w:left="585"/>
              <w:rPr>
                <w:sz w:val="20"/>
              </w:rPr>
            </w:pPr>
            <w:r>
              <w:rPr>
                <w:color w:val="FFFFFF"/>
                <w:spacing w:val="-2"/>
                <w:sz w:val="20"/>
              </w:rPr>
              <w:t>2027‐28</w:t>
            </w:r>
          </w:p>
        </w:tc>
      </w:tr>
      <w:tr w:rsidR="00141B97" w14:paraId="788EF13E" w14:textId="77777777">
        <w:trPr>
          <w:trHeight w:val="424"/>
        </w:trPr>
        <w:tc>
          <w:tcPr>
            <w:tcW w:w="4031" w:type="dxa"/>
            <w:tcBorders>
              <w:left w:val="nil"/>
              <w:bottom w:val="nil"/>
            </w:tcBorders>
            <w:shd w:val="clear" w:color="auto" w:fill="CCE2ED"/>
          </w:tcPr>
          <w:p w14:paraId="018A3A5E" w14:textId="77777777" w:rsidR="00141B97" w:rsidRDefault="00911D63">
            <w:pPr>
              <w:pStyle w:val="TableParagraph"/>
              <w:spacing w:before="90"/>
              <w:ind w:left="80"/>
              <w:rPr>
                <w:sz w:val="20"/>
              </w:rPr>
            </w:pPr>
            <w:r>
              <w:rPr>
                <w:sz w:val="20"/>
              </w:rPr>
              <w:t>Annual</w:t>
            </w:r>
            <w:r>
              <w:rPr>
                <w:spacing w:val="-3"/>
                <w:sz w:val="20"/>
              </w:rPr>
              <w:t xml:space="preserve"> </w:t>
            </w:r>
            <w:r>
              <w:rPr>
                <w:sz w:val="20"/>
              </w:rPr>
              <w:t>Use</w:t>
            </w:r>
            <w:r>
              <w:rPr>
                <w:spacing w:val="-3"/>
                <w:sz w:val="20"/>
              </w:rPr>
              <w:t xml:space="preserve"> </w:t>
            </w:r>
            <w:r>
              <w:rPr>
                <w:spacing w:val="-2"/>
                <w:sz w:val="20"/>
              </w:rPr>
              <w:t>Limit</w:t>
            </w:r>
          </w:p>
        </w:tc>
        <w:tc>
          <w:tcPr>
            <w:tcW w:w="2380" w:type="dxa"/>
            <w:tcBorders>
              <w:bottom w:val="nil"/>
            </w:tcBorders>
            <w:shd w:val="clear" w:color="auto" w:fill="CCE2ED"/>
          </w:tcPr>
          <w:p w14:paraId="2EEDC9A5" w14:textId="77777777" w:rsidR="00141B97" w:rsidRDefault="00911D63">
            <w:pPr>
              <w:pStyle w:val="TableParagraph"/>
              <w:spacing w:before="103"/>
              <w:ind w:right="78"/>
              <w:jc w:val="right"/>
              <w:rPr>
                <w:sz w:val="18"/>
              </w:rPr>
            </w:pPr>
            <w:r>
              <w:rPr>
                <w:spacing w:val="-2"/>
                <w:sz w:val="18"/>
              </w:rPr>
              <w:t>682,770</w:t>
            </w:r>
          </w:p>
        </w:tc>
        <w:tc>
          <w:tcPr>
            <w:tcW w:w="1856" w:type="dxa"/>
            <w:tcBorders>
              <w:bottom w:val="nil"/>
            </w:tcBorders>
            <w:shd w:val="clear" w:color="auto" w:fill="CCE2ED"/>
          </w:tcPr>
          <w:p w14:paraId="735D79D5" w14:textId="77777777" w:rsidR="00141B97" w:rsidRDefault="00911D63">
            <w:pPr>
              <w:pStyle w:val="TableParagraph"/>
              <w:spacing w:before="103"/>
              <w:ind w:left="1172"/>
              <w:rPr>
                <w:sz w:val="18"/>
              </w:rPr>
            </w:pPr>
            <w:r>
              <w:rPr>
                <w:spacing w:val="-2"/>
                <w:sz w:val="18"/>
              </w:rPr>
              <w:t>702,216</w:t>
            </w:r>
          </w:p>
        </w:tc>
        <w:tc>
          <w:tcPr>
            <w:tcW w:w="1858" w:type="dxa"/>
            <w:tcBorders>
              <w:bottom w:val="nil"/>
            </w:tcBorders>
            <w:shd w:val="clear" w:color="auto" w:fill="CCE2ED"/>
          </w:tcPr>
          <w:p w14:paraId="6417E33D" w14:textId="77777777" w:rsidR="00141B97" w:rsidRDefault="00911D63">
            <w:pPr>
              <w:pStyle w:val="TableParagraph"/>
              <w:spacing w:before="103"/>
              <w:ind w:left="1175"/>
              <w:rPr>
                <w:sz w:val="18"/>
              </w:rPr>
            </w:pPr>
            <w:r>
              <w:rPr>
                <w:spacing w:val="-2"/>
                <w:sz w:val="18"/>
              </w:rPr>
              <w:t>708,759</w:t>
            </w:r>
          </w:p>
        </w:tc>
        <w:tc>
          <w:tcPr>
            <w:tcW w:w="1856" w:type="dxa"/>
            <w:tcBorders>
              <w:bottom w:val="nil"/>
            </w:tcBorders>
            <w:shd w:val="clear" w:color="auto" w:fill="CCE2ED"/>
          </w:tcPr>
          <w:p w14:paraId="03759153" w14:textId="77777777" w:rsidR="00141B97" w:rsidRDefault="00911D63">
            <w:pPr>
              <w:pStyle w:val="TableParagraph"/>
              <w:spacing w:before="103"/>
              <w:ind w:left="1171"/>
              <w:rPr>
                <w:sz w:val="18"/>
              </w:rPr>
            </w:pPr>
            <w:r>
              <w:rPr>
                <w:spacing w:val="-2"/>
                <w:sz w:val="18"/>
              </w:rPr>
              <w:t>715,106</w:t>
            </w:r>
          </w:p>
        </w:tc>
        <w:tc>
          <w:tcPr>
            <w:tcW w:w="1858" w:type="dxa"/>
            <w:tcBorders>
              <w:bottom w:val="nil"/>
            </w:tcBorders>
            <w:shd w:val="clear" w:color="auto" w:fill="CCE2ED"/>
          </w:tcPr>
          <w:p w14:paraId="5054E1C9" w14:textId="77777777" w:rsidR="00141B97" w:rsidRDefault="00911D63">
            <w:pPr>
              <w:pStyle w:val="TableParagraph"/>
              <w:spacing w:before="103"/>
              <w:ind w:left="1174"/>
              <w:rPr>
                <w:sz w:val="18"/>
              </w:rPr>
            </w:pPr>
            <w:r>
              <w:rPr>
                <w:spacing w:val="-2"/>
                <w:sz w:val="18"/>
              </w:rPr>
              <w:t>719,570</w:t>
            </w:r>
          </w:p>
        </w:tc>
        <w:tc>
          <w:tcPr>
            <w:tcW w:w="1859" w:type="dxa"/>
            <w:tcBorders>
              <w:bottom w:val="nil"/>
              <w:right w:val="nil"/>
            </w:tcBorders>
            <w:shd w:val="clear" w:color="auto" w:fill="CCE2ED"/>
          </w:tcPr>
          <w:p w14:paraId="6366C48B" w14:textId="77777777" w:rsidR="00141B97" w:rsidRDefault="00911D63">
            <w:pPr>
              <w:pStyle w:val="TableParagraph"/>
              <w:spacing w:before="103"/>
              <w:ind w:left="1173"/>
              <w:rPr>
                <w:sz w:val="18"/>
              </w:rPr>
            </w:pPr>
            <w:r>
              <w:rPr>
                <w:spacing w:val="-2"/>
                <w:sz w:val="18"/>
              </w:rPr>
              <w:t>720,605</w:t>
            </w:r>
          </w:p>
        </w:tc>
      </w:tr>
    </w:tbl>
    <w:p w14:paraId="1EC9D52E" w14:textId="77777777" w:rsidR="00141B97" w:rsidRDefault="00911D63">
      <w:pPr>
        <w:spacing w:before="12"/>
        <w:ind w:left="161"/>
        <w:rPr>
          <w:sz w:val="16"/>
        </w:rPr>
      </w:pPr>
      <w:r>
        <w:rPr>
          <w:sz w:val="16"/>
        </w:rPr>
        <w:t>Table</w:t>
      </w:r>
      <w:r>
        <w:rPr>
          <w:spacing w:val="-4"/>
          <w:sz w:val="16"/>
        </w:rPr>
        <w:t xml:space="preserve"> </w:t>
      </w:r>
      <w:r>
        <w:rPr>
          <w:sz w:val="16"/>
        </w:rPr>
        <w:t>C1.3.3a</w:t>
      </w:r>
      <w:r>
        <w:rPr>
          <w:spacing w:val="-5"/>
          <w:sz w:val="16"/>
        </w:rPr>
        <w:t xml:space="preserve"> </w:t>
      </w:r>
      <w:r>
        <w:rPr>
          <w:sz w:val="16"/>
        </w:rPr>
        <w:t>‐</w:t>
      </w:r>
      <w:r>
        <w:rPr>
          <w:spacing w:val="-3"/>
          <w:sz w:val="16"/>
        </w:rPr>
        <w:t xml:space="preserve"> </w:t>
      </w:r>
      <w:r>
        <w:rPr>
          <w:sz w:val="16"/>
        </w:rPr>
        <w:t>Water</w:t>
      </w:r>
      <w:r>
        <w:rPr>
          <w:spacing w:val="-6"/>
          <w:sz w:val="16"/>
        </w:rPr>
        <w:t xml:space="preserve"> </w:t>
      </w:r>
      <w:r>
        <w:rPr>
          <w:sz w:val="16"/>
        </w:rPr>
        <w:t>Delivered</w:t>
      </w:r>
      <w:r>
        <w:rPr>
          <w:spacing w:val="-5"/>
          <w:sz w:val="16"/>
        </w:rPr>
        <w:t xml:space="preserve"> </w:t>
      </w:r>
      <w:r>
        <w:rPr>
          <w:sz w:val="16"/>
        </w:rPr>
        <w:t>(ML</w:t>
      </w:r>
      <w:r>
        <w:rPr>
          <w:spacing w:val="-4"/>
          <w:sz w:val="16"/>
        </w:rPr>
        <w:t xml:space="preserve"> </w:t>
      </w:r>
      <w:r>
        <w:rPr>
          <w:spacing w:val="-5"/>
          <w:sz w:val="16"/>
        </w:rPr>
        <w:t>pa)</w:t>
      </w:r>
    </w:p>
    <w:p w14:paraId="400410B7" w14:textId="77777777" w:rsidR="00141B97" w:rsidRDefault="00141B97">
      <w:pPr>
        <w:pStyle w:val="BodyText"/>
        <w:rPr>
          <w:sz w:val="16"/>
        </w:rPr>
      </w:pPr>
    </w:p>
    <w:p w14:paraId="77020F7F" w14:textId="77777777" w:rsidR="00141B97" w:rsidRDefault="00141B97">
      <w:pPr>
        <w:pStyle w:val="BodyText"/>
        <w:spacing w:before="8"/>
      </w:pPr>
    </w:p>
    <w:p w14:paraId="2519853B" w14:textId="77777777" w:rsidR="00141B97" w:rsidRDefault="00911D63">
      <w:pPr>
        <w:pStyle w:val="BodyText"/>
        <w:ind w:left="124"/>
      </w:pPr>
      <w:r>
        <w:t>Table</w:t>
      </w:r>
      <w:r>
        <w:rPr>
          <w:spacing w:val="-7"/>
        </w:rPr>
        <w:t xml:space="preserve"> </w:t>
      </w:r>
      <w:r>
        <w:t>C1.3.3b</w:t>
      </w:r>
      <w:r>
        <w:rPr>
          <w:spacing w:val="-8"/>
        </w:rPr>
        <w:t xml:space="preserve"> </w:t>
      </w:r>
      <w:r>
        <w:t>shows</w:t>
      </w:r>
      <w:r>
        <w:rPr>
          <w:spacing w:val="-7"/>
        </w:rPr>
        <w:t xml:space="preserve"> </w:t>
      </w:r>
      <w:r>
        <w:t>the</w:t>
      </w:r>
      <w:r>
        <w:rPr>
          <w:spacing w:val="-8"/>
        </w:rPr>
        <w:t xml:space="preserve"> </w:t>
      </w:r>
      <w:r>
        <w:t>number</w:t>
      </w:r>
      <w:r>
        <w:rPr>
          <w:spacing w:val="-7"/>
        </w:rPr>
        <w:t xml:space="preserve"> </w:t>
      </w:r>
      <w:r>
        <w:t>of</w:t>
      </w:r>
      <w:r>
        <w:rPr>
          <w:spacing w:val="-6"/>
        </w:rPr>
        <w:t xml:space="preserve"> </w:t>
      </w:r>
      <w:r>
        <w:t>Annual</w:t>
      </w:r>
      <w:r>
        <w:rPr>
          <w:spacing w:val="-8"/>
        </w:rPr>
        <w:t xml:space="preserve"> </w:t>
      </w:r>
      <w:r>
        <w:t>Stock</w:t>
      </w:r>
      <w:r>
        <w:rPr>
          <w:spacing w:val="-6"/>
        </w:rPr>
        <w:t xml:space="preserve"> </w:t>
      </w:r>
      <w:r>
        <w:t>and</w:t>
      </w:r>
      <w:r>
        <w:rPr>
          <w:spacing w:val="-7"/>
        </w:rPr>
        <w:t xml:space="preserve"> </w:t>
      </w:r>
      <w:r>
        <w:t>Domestic</w:t>
      </w:r>
      <w:r>
        <w:rPr>
          <w:spacing w:val="-7"/>
        </w:rPr>
        <w:t xml:space="preserve"> </w:t>
      </w:r>
      <w:r>
        <w:rPr>
          <w:spacing w:val="-2"/>
        </w:rPr>
        <w:t>Permits.</w:t>
      </w:r>
    </w:p>
    <w:p w14:paraId="5F18F948" w14:textId="77777777" w:rsidR="00141B97" w:rsidRDefault="00141B97">
      <w:pPr>
        <w:pStyle w:val="BodyText"/>
        <w:spacing w:before="6"/>
        <w:rPr>
          <w:sz w:val="10"/>
        </w:rPr>
      </w:pPr>
    </w:p>
    <w:tbl>
      <w:tblPr>
        <w:tblW w:w="0" w:type="auto"/>
        <w:tblInd w:w="13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4028"/>
        <w:gridCol w:w="2378"/>
        <w:gridCol w:w="1855"/>
        <w:gridCol w:w="1859"/>
        <w:gridCol w:w="1854"/>
        <w:gridCol w:w="1859"/>
        <w:gridCol w:w="1861"/>
      </w:tblGrid>
      <w:tr w:rsidR="00141B97" w14:paraId="575D5EA2" w14:textId="77777777">
        <w:trPr>
          <w:trHeight w:val="272"/>
        </w:trPr>
        <w:tc>
          <w:tcPr>
            <w:tcW w:w="6406" w:type="dxa"/>
            <w:gridSpan w:val="2"/>
            <w:tcBorders>
              <w:top w:val="nil"/>
              <w:left w:val="nil"/>
              <w:right w:val="single" w:sz="4" w:space="0" w:color="FFFFFF"/>
            </w:tcBorders>
            <w:shd w:val="clear" w:color="auto" w:fill="006CA3"/>
          </w:tcPr>
          <w:p w14:paraId="5C20189F" w14:textId="77777777" w:rsidR="00141B97" w:rsidRDefault="00911D63">
            <w:pPr>
              <w:pStyle w:val="TableParagraph"/>
              <w:spacing w:before="39"/>
              <w:ind w:right="934"/>
              <w:jc w:val="right"/>
              <w:rPr>
                <w:sz w:val="16"/>
              </w:rPr>
            </w:pPr>
            <w:r>
              <w:rPr>
                <w:color w:val="FFFFFF"/>
                <w:spacing w:val="-2"/>
                <w:sz w:val="16"/>
              </w:rPr>
              <w:t>Current</w:t>
            </w:r>
          </w:p>
        </w:tc>
        <w:tc>
          <w:tcPr>
            <w:tcW w:w="9288" w:type="dxa"/>
            <w:gridSpan w:val="5"/>
            <w:tcBorders>
              <w:top w:val="nil"/>
              <w:left w:val="single" w:sz="4" w:space="0" w:color="FFFFFF"/>
              <w:right w:val="nil"/>
            </w:tcBorders>
            <w:shd w:val="clear" w:color="auto" w:fill="006CA3"/>
          </w:tcPr>
          <w:p w14:paraId="565D60F4" w14:textId="77777777" w:rsidR="00141B97" w:rsidRDefault="00911D63">
            <w:pPr>
              <w:pStyle w:val="TableParagraph"/>
              <w:spacing w:before="39"/>
              <w:ind w:left="3803" w:right="3802"/>
              <w:jc w:val="center"/>
              <w:rPr>
                <w:sz w:val="16"/>
              </w:rPr>
            </w:pPr>
            <w:r>
              <w:rPr>
                <w:color w:val="FFFFFF"/>
                <w:sz w:val="16"/>
              </w:rPr>
              <w:t>Fifth</w:t>
            </w:r>
            <w:r>
              <w:rPr>
                <w:color w:val="FFFFFF"/>
                <w:spacing w:val="-6"/>
                <w:sz w:val="16"/>
              </w:rPr>
              <w:t xml:space="preserve"> </w:t>
            </w:r>
            <w:r>
              <w:rPr>
                <w:color w:val="FFFFFF"/>
                <w:sz w:val="16"/>
              </w:rPr>
              <w:t>Regulatory</w:t>
            </w:r>
            <w:r>
              <w:rPr>
                <w:color w:val="FFFFFF"/>
                <w:spacing w:val="-5"/>
                <w:sz w:val="16"/>
              </w:rPr>
              <w:t xml:space="preserve"> </w:t>
            </w:r>
            <w:r>
              <w:rPr>
                <w:color w:val="FFFFFF"/>
                <w:spacing w:val="-2"/>
                <w:sz w:val="16"/>
              </w:rPr>
              <w:t>Period</w:t>
            </w:r>
          </w:p>
        </w:tc>
      </w:tr>
      <w:tr w:rsidR="00141B97" w14:paraId="79EEDB64" w14:textId="77777777">
        <w:trPr>
          <w:trHeight w:val="248"/>
        </w:trPr>
        <w:tc>
          <w:tcPr>
            <w:tcW w:w="4028" w:type="dxa"/>
            <w:tcBorders>
              <w:left w:val="nil"/>
              <w:bottom w:val="single" w:sz="4" w:space="0" w:color="FFFFFF"/>
              <w:right w:val="single" w:sz="4" w:space="0" w:color="FFFFFF"/>
            </w:tcBorders>
            <w:shd w:val="clear" w:color="auto" w:fill="006CA3"/>
          </w:tcPr>
          <w:p w14:paraId="34045F91" w14:textId="77777777" w:rsidR="00141B97" w:rsidRDefault="00141B97">
            <w:pPr>
              <w:pStyle w:val="TableParagraph"/>
              <w:rPr>
                <w:rFonts w:ascii="Times New Roman"/>
                <w:sz w:val="18"/>
              </w:rPr>
            </w:pPr>
          </w:p>
        </w:tc>
        <w:tc>
          <w:tcPr>
            <w:tcW w:w="2378" w:type="dxa"/>
            <w:tcBorders>
              <w:left w:val="single" w:sz="4" w:space="0" w:color="FFFFFF"/>
              <w:bottom w:val="single" w:sz="4" w:space="0" w:color="FFFFFF"/>
              <w:right w:val="single" w:sz="4" w:space="0" w:color="FFFFFF"/>
            </w:tcBorders>
            <w:shd w:val="clear" w:color="auto" w:fill="006CA3"/>
          </w:tcPr>
          <w:p w14:paraId="26D31B0A" w14:textId="77777777" w:rsidR="00141B97" w:rsidRDefault="00911D63">
            <w:pPr>
              <w:pStyle w:val="TableParagraph"/>
              <w:spacing w:before="25"/>
              <w:ind w:left="871" w:right="868"/>
              <w:jc w:val="center"/>
              <w:rPr>
                <w:sz w:val="16"/>
              </w:rPr>
            </w:pPr>
            <w:r>
              <w:rPr>
                <w:color w:val="FFFFFF"/>
                <w:spacing w:val="-2"/>
                <w:sz w:val="16"/>
              </w:rPr>
              <w:t>2022‐23</w:t>
            </w:r>
          </w:p>
        </w:tc>
        <w:tc>
          <w:tcPr>
            <w:tcW w:w="1855" w:type="dxa"/>
            <w:tcBorders>
              <w:left w:val="single" w:sz="4" w:space="0" w:color="FFFFFF"/>
              <w:bottom w:val="single" w:sz="4" w:space="0" w:color="FFFFFF"/>
              <w:right w:val="single" w:sz="4" w:space="0" w:color="FFFFFF"/>
            </w:tcBorders>
            <w:shd w:val="clear" w:color="auto" w:fill="006CA3"/>
          </w:tcPr>
          <w:p w14:paraId="0BC10E8D" w14:textId="77777777" w:rsidR="00141B97" w:rsidRDefault="00911D63">
            <w:pPr>
              <w:pStyle w:val="TableParagraph"/>
              <w:spacing w:before="25"/>
              <w:ind w:left="608" w:right="607"/>
              <w:jc w:val="center"/>
              <w:rPr>
                <w:sz w:val="16"/>
              </w:rPr>
            </w:pPr>
            <w:r>
              <w:rPr>
                <w:color w:val="FFFFFF"/>
                <w:spacing w:val="-2"/>
                <w:sz w:val="16"/>
              </w:rPr>
              <w:t>2023‐24</w:t>
            </w:r>
          </w:p>
        </w:tc>
        <w:tc>
          <w:tcPr>
            <w:tcW w:w="1859" w:type="dxa"/>
            <w:tcBorders>
              <w:left w:val="single" w:sz="4" w:space="0" w:color="FFFFFF"/>
              <w:bottom w:val="single" w:sz="4" w:space="0" w:color="FFFFFF"/>
              <w:right w:val="single" w:sz="4" w:space="0" w:color="FFFFFF"/>
            </w:tcBorders>
            <w:shd w:val="clear" w:color="auto" w:fill="006CA3"/>
          </w:tcPr>
          <w:p w14:paraId="0857E861" w14:textId="77777777" w:rsidR="00141B97" w:rsidRDefault="00911D63">
            <w:pPr>
              <w:pStyle w:val="TableParagraph"/>
              <w:spacing w:before="25"/>
              <w:ind w:left="611" w:right="608"/>
              <w:jc w:val="center"/>
              <w:rPr>
                <w:sz w:val="16"/>
              </w:rPr>
            </w:pPr>
            <w:r>
              <w:rPr>
                <w:color w:val="FFFFFF"/>
                <w:spacing w:val="-2"/>
                <w:sz w:val="16"/>
              </w:rPr>
              <w:t>2024‐25</w:t>
            </w:r>
          </w:p>
        </w:tc>
        <w:tc>
          <w:tcPr>
            <w:tcW w:w="1854" w:type="dxa"/>
            <w:tcBorders>
              <w:left w:val="single" w:sz="4" w:space="0" w:color="FFFFFF"/>
              <w:bottom w:val="single" w:sz="4" w:space="0" w:color="FFFFFF"/>
              <w:right w:val="single" w:sz="4" w:space="0" w:color="FFFFFF"/>
            </w:tcBorders>
            <w:shd w:val="clear" w:color="auto" w:fill="006CA3"/>
          </w:tcPr>
          <w:p w14:paraId="2F7A8AB6" w14:textId="77777777" w:rsidR="00141B97" w:rsidRDefault="00911D63">
            <w:pPr>
              <w:pStyle w:val="TableParagraph"/>
              <w:spacing w:before="25"/>
              <w:ind w:left="608" w:right="606"/>
              <w:jc w:val="center"/>
              <w:rPr>
                <w:sz w:val="16"/>
              </w:rPr>
            </w:pPr>
            <w:r>
              <w:rPr>
                <w:color w:val="FFFFFF"/>
                <w:spacing w:val="-2"/>
                <w:sz w:val="16"/>
              </w:rPr>
              <w:t>2025‐26</w:t>
            </w:r>
          </w:p>
        </w:tc>
        <w:tc>
          <w:tcPr>
            <w:tcW w:w="1859" w:type="dxa"/>
            <w:tcBorders>
              <w:left w:val="single" w:sz="4" w:space="0" w:color="FFFFFF"/>
              <w:bottom w:val="single" w:sz="4" w:space="0" w:color="FFFFFF"/>
              <w:right w:val="single" w:sz="4" w:space="0" w:color="FFFFFF"/>
            </w:tcBorders>
            <w:shd w:val="clear" w:color="auto" w:fill="006CA3"/>
          </w:tcPr>
          <w:p w14:paraId="0B2827CF" w14:textId="77777777" w:rsidR="00141B97" w:rsidRDefault="00911D63">
            <w:pPr>
              <w:pStyle w:val="TableParagraph"/>
              <w:spacing w:before="25"/>
              <w:ind w:left="610" w:right="608"/>
              <w:jc w:val="center"/>
              <w:rPr>
                <w:sz w:val="16"/>
              </w:rPr>
            </w:pPr>
            <w:r>
              <w:rPr>
                <w:color w:val="FFFFFF"/>
                <w:spacing w:val="-2"/>
                <w:sz w:val="16"/>
              </w:rPr>
              <w:t>2026‐27</w:t>
            </w:r>
          </w:p>
        </w:tc>
        <w:tc>
          <w:tcPr>
            <w:tcW w:w="1861" w:type="dxa"/>
            <w:tcBorders>
              <w:left w:val="single" w:sz="4" w:space="0" w:color="FFFFFF"/>
              <w:bottom w:val="single" w:sz="4" w:space="0" w:color="FFFFFF"/>
              <w:right w:val="nil"/>
            </w:tcBorders>
            <w:shd w:val="clear" w:color="auto" w:fill="006CA3"/>
          </w:tcPr>
          <w:p w14:paraId="1E8BF2D0" w14:textId="77777777" w:rsidR="00141B97" w:rsidRDefault="00911D63">
            <w:pPr>
              <w:pStyle w:val="TableParagraph"/>
              <w:spacing w:before="25"/>
              <w:ind w:left="614" w:right="612"/>
              <w:jc w:val="center"/>
              <w:rPr>
                <w:sz w:val="16"/>
              </w:rPr>
            </w:pPr>
            <w:r>
              <w:rPr>
                <w:color w:val="FFFFFF"/>
                <w:spacing w:val="-2"/>
                <w:sz w:val="16"/>
              </w:rPr>
              <w:t>2027‐28</w:t>
            </w:r>
          </w:p>
        </w:tc>
      </w:tr>
      <w:tr w:rsidR="00141B97" w14:paraId="7D4E5055" w14:textId="77777777">
        <w:trPr>
          <w:trHeight w:val="300"/>
        </w:trPr>
        <w:tc>
          <w:tcPr>
            <w:tcW w:w="4028" w:type="dxa"/>
            <w:tcBorders>
              <w:top w:val="single" w:sz="4" w:space="0" w:color="FFFFFF"/>
              <w:left w:val="nil"/>
              <w:bottom w:val="nil"/>
              <w:right w:val="single" w:sz="4" w:space="0" w:color="FFFFFF"/>
            </w:tcBorders>
            <w:shd w:val="clear" w:color="auto" w:fill="CCE2ED"/>
          </w:tcPr>
          <w:p w14:paraId="5B63969E" w14:textId="77777777" w:rsidR="00141B97" w:rsidRDefault="00911D63">
            <w:pPr>
              <w:pStyle w:val="TableParagraph"/>
              <w:spacing w:before="27"/>
              <w:ind w:left="80"/>
              <w:rPr>
                <w:sz w:val="20"/>
              </w:rPr>
            </w:pPr>
            <w:r>
              <w:rPr>
                <w:sz w:val="20"/>
              </w:rPr>
              <w:t>Licensed</w:t>
            </w:r>
            <w:r>
              <w:rPr>
                <w:spacing w:val="-2"/>
                <w:sz w:val="20"/>
              </w:rPr>
              <w:t xml:space="preserve"> Number</w:t>
            </w:r>
          </w:p>
        </w:tc>
        <w:tc>
          <w:tcPr>
            <w:tcW w:w="2378" w:type="dxa"/>
            <w:tcBorders>
              <w:top w:val="single" w:sz="4" w:space="0" w:color="FFFFFF"/>
              <w:left w:val="single" w:sz="4" w:space="0" w:color="FFFFFF"/>
              <w:bottom w:val="nil"/>
              <w:right w:val="single" w:sz="4" w:space="0" w:color="FFFFFF"/>
            </w:tcBorders>
            <w:shd w:val="clear" w:color="auto" w:fill="CCE2ED"/>
          </w:tcPr>
          <w:p w14:paraId="16961F04" w14:textId="77777777" w:rsidR="00141B97" w:rsidRDefault="00911D63">
            <w:pPr>
              <w:pStyle w:val="TableParagraph"/>
              <w:spacing w:before="27"/>
              <w:ind w:right="75"/>
              <w:jc w:val="right"/>
              <w:rPr>
                <w:sz w:val="20"/>
              </w:rPr>
            </w:pPr>
            <w:r>
              <w:rPr>
                <w:spacing w:val="-5"/>
                <w:sz w:val="20"/>
              </w:rPr>
              <w:t>320</w:t>
            </w:r>
          </w:p>
        </w:tc>
        <w:tc>
          <w:tcPr>
            <w:tcW w:w="1855" w:type="dxa"/>
            <w:tcBorders>
              <w:top w:val="single" w:sz="4" w:space="0" w:color="FFFFFF"/>
              <w:left w:val="single" w:sz="4" w:space="0" w:color="FFFFFF"/>
              <w:bottom w:val="nil"/>
              <w:right w:val="single" w:sz="4" w:space="0" w:color="FFFFFF"/>
            </w:tcBorders>
            <w:shd w:val="clear" w:color="auto" w:fill="CCE2ED"/>
          </w:tcPr>
          <w:p w14:paraId="18309A59" w14:textId="77777777" w:rsidR="00141B97" w:rsidRDefault="00911D63">
            <w:pPr>
              <w:pStyle w:val="TableParagraph"/>
              <w:spacing w:before="27"/>
              <w:ind w:right="76"/>
              <w:jc w:val="right"/>
              <w:rPr>
                <w:sz w:val="20"/>
              </w:rPr>
            </w:pPr>
            <w:r>
              <w:rPr>
                <w:spacing w:val="-5"/>
                <w:sz w:val="20"/>
              </w:rPr>
              <w:t>321</w:t>
            </w:r>
          </w:p>
        </w:tc>
        <w:tc>
          <w:tcPr>
            <w:tcW w:w="1859" w:type="dxa"/>
            <w:tcBorders>
              <w:top w:val="single" w:sz="4" w:space="0" w:color="FFFFFF"/>
              <w:left w:val="single" w:sz="4" w:space="0" w:color="FFFFFF"/>
              <w:bottom w:val="nil"/>
              <w:right w:val="single" w:sz="4" w:space="0" w:color="FFFFFF"/>
            </w:tcBorders>
            <w:shd w:val="clear" w:color="auto" w:fill="CCE2ED"/>
          </w:tcPr>
          <w:p w14:paraId="1B9DFD29" w14:textId="77777777" w:rsidR="00141B97" w:rsidRDefault="00911D63">
            <w:pPr>
              <w:pStyle w:val="TableParagraph"/>
              <w:spacing w:before="27"/>
              <w:ind w:right="76"/>
              <w:jc w:val="right"/>
              <w:rPr>
                <w:sz w:val="20"/>
              </w:rPr>
            </w:pPr>
            <w:r>
              <w:rPr>
                <w:spacing w:val="-5"/>
                <w:sz w:val="20"/>
              </w:rPr>
              <w:t>321</w:t>
            </w:r>
          </w:p>
        </w:tc>
        <w:tc>
          <w:tcPr>
            <w:tcW w:w="1854" w:type="dxa"/>
            <w:tcBorders>
              <w:top w:val="single" w:sz="4" w:space="0" w:color="FFFFFF"/>
              <w:left w:val="single" w:sz="4" w:space="0" w:color="FFFFFF"/>
              <w:bottom w:val="nil"/>
              <w:right w:val="single" w:sz="4" w:space="0" w:color="FFFFFF"/>
            </w:tcBorders>
            <w:shd w:val="clear" w:color="auto" w:fill="CCE2ED"/>
          </w:tcPr>
          <w:p w14:paraId="1705C38C" w14:textId="77777777" w:rsidR="00141B97" w:rsidRDefault="00911D63">
            <w:pPr>
              <w:pStyle w:val="TableParagraph"/>
              <w:spacing w:before="27"/>
              <w:ind w:right="75"/>
              <w:jc w:val="right"/>
              <w:rPr>
                <w:sz w:val="20"/>
              </w:rPr>
            </w:pPr>
            <w:r>
              <w:rPr>
                <w:spacing w:val="-5"/>
                <w:sz w:val="20"/>
              </w:rPr>
              <w:t>321</w:t>
            </w:r>
          </w:p>
        </w:tc>
        <w:tc>
          <w:tcPr>
            <w:tcW w:w="1859" w:type="dxa"/>
            <w:tcBorders>
              <w:top w:val="single" w:sz="4" w:space="0" w:color="FFFFFF"/>
              <w:left w:val="single" w:sz="4" w:space="0" w:color="FFFFFF"/>
              <w:bottom w:val="nil"/>
              <w:right w:val="single" w:sz="4" w:space="0" w:color="FFFFFF"/>
            </w:tcBorders>
            <w:shd w:val="clear" w:color="auto" w:fill="CCE2ED"/>
          </w:tcPr>
          <w:p w14:paraId="532B876F" w14:textId="77777777" w:rsidR="00141B97" w:rsidRDefault="00911D63">
            <w:pPr>
              <w:pStyle w:val="TableParagraph"/>
              <w:spacing w:before="27"/>
              <w:ind w:right="76"/>
              <w:jc w:val="right"/>
              <w:rPr>
                <w:sz w:val="20"/>
              </w:rPr>
            </w:pPr>
            <w:r>
              <w:rPr>
                <w:spacing w:val="-5"/>
                <w:sz w:val="20"/>
              </w:rPr>
              <w:t>321</w:t>
            </w:r>
          </w:p>
        </w:tc>
        <w:tc>
          <w:tcPr>
            <w:tcW w:w="1861" w:type="dxa"/>
            <w:tcBorders>
              <w:top w:val="single" w:sz="4" w:space="0" w:color="FFFFFF"/>
              <w:left w:val="single" w:sz="4" w:space="0" w:color="FFFFFF"/>
              <w:bottom w:val="nil"/>
              <w:right w:val="nil"/>
            </w:tcBorders>
            <w:shd w:val="clear" w:color="auto" w:fill="CCE2ED"/>
          </w:tcPr>
          <w:p w14:paraId="47F7824B" w14:textId="77777777" w:rsidR="00141B97" w:rsidRDefault="00911D63">
            <w:pPr>
              <w:pStyle w:val="TableParagraph"/>
              <w:spacing w:before="27"/>
              <w:ind w:right="76"/>
              <w:jc w:val="right"/>
              <w:rPr>
                <w:sz w:val="20"/>
              </w:rPr>
            </w:pPr>
            <w:r>
              <w:rPr>
                <w:spacing w:val="-5"/>
                <w:sz w:val="20"/>
              </w:rPr>
              <w:t>321</w:t>
            </w:r>
          </w:p>
        </w:tc>
      </w:tr>
    </w:tbl>
    <w:p w14:paraId="406CCBF5" w14:textId="77777777" w:rsidR="00141B97" w:rsidRDefault="00911D63">
      <w:pPr>
        <w:spacing w:before="12"/>
        <w:ind w:left="124"/>
        <w:rPr>
          <w:sz w:val="16"/>
        </w:rPr>
      </w:pPr>
      <w:r>
        <w:rPr>
          <w:sz w:val="16"/>
        </w:rPr>
        <w:t>Table</w:t>
      </w:r>
      <w:r>
        <w:rPr>
          <w:spacing w:val="-5"/>
          <w:sz w:val="16"/>
        </w:rPr>
        <w:t xml:space="preserve"> </w:t>
      </w:r>
      <w:r>
        <w:rPr>
          <w:sz w:val="16"/>
        </w:rPr>
        <w:t>C1.3.3b</w:t>
      </w:r>
      <w:r>
        <w:rPr>
          <w:spacing w:val="-4"/>
          <w:sz w:val="16"/>
        </w:rPr>
        <w:t xml:space="preserve"> </w:t>
      </w:r>
      <w:r>
        <w:rPr>
          <w:sz w:val="16"/>
        </w:rPr>
        <w:t>‐</w:t>
      </w:r>
      <w:r>
        <w:rPr>
          <w:spacing w:val="-7"/>
          <w:sz w:val="16"/>
        </w:rPr>
        <w:t xml:space="preserve"> </w:t>
      </w:r>
      <w:r>
        <w:rPr>
          <w:sz w:val="16"/>
        </w:rPr>
        <w:t>Annual</w:t>
      </w:r>
      <w:r>
        <w:rPr>
          <w:spacing w:val="-6"/>
          <w:sz w:val="16"/>
        </w:rPr>
        <w:t xml:space="preserve"> </w:t>
      </w:r>
      <w:r>
        <w:rPr>
          <w:sz w:val="16"/>
        </w:rPr>
        <w:t>Permits</w:t>
      </w:r>
      <w:r>
        <w:rPr>
          <w:spacing w:val="-5"/>
          <w:sz w:val="16"/>
        </w:rPr>
        <w:t xml:space="preserve"> </w:t>
      </w:r>
      <w:r>
        <w:rPr>
          <w:sz w:val="16"/>
        </w:rPr>
        <w:t>(Diverters)</w:t>
      </w:r>
      <w:r>
        <w:rPr>
          <w:spacing w:val="-5"/>
          <w:sz w:val="16"/>
        </w:rPr>
        <w:t xml:space="preserve"> </w:t>
      </w:r>
      <w:r>
        <w:rPr>
          <w:sz w:val="16"/>
        </w:rPr>
        <w:t>(ML</w:t>
      </w:r>
      <w:r>
        <w:rPr>
          <w:spacing w:val="-4"/>
          <w:sz w:val="16"/>
        </w:rPr>
        <w:t xml:space="preserve"> </w:t>
      </w:r>
      <w:r>
        <w:rPr>
          <w:spacing w:val="-5"/>
          <w:sz w:val="16"/>
        </w:rPr>
        <w:t>pa)</w:t>
      </w:r>
    </w:p>
    <w:p w14:paraId="28D9523E" w14:textId="77777777" w:rsidR="00141B97" w:rsidRDefault="00141B97">
      <w:pPr>
        <w:rPr>
          <w:sz w:val="16"/>
        </w:rPr>
        <w:sectPr w:rsidR="00141B97">
          <w:pgSz w:w="16840" w:h="11910" w:orient="landscape"/>
          <w:pgMar w:top="800" w:right="600" w:bottom="540" w:left="300" w:header="0" w:footer="345" w:gutter="0"/>
          <w:cols w:space="720"/>
        </w:sectPr>
      </w:pPr>
    </w:p>
    <w:p w14:paraId="3434DF01" w14:textId="77777777" w:rsidR="00141B97" w:rsidRDefault="00911D63">
      <w:pPr>
        <w:spacing w:before="48"/>
        <w:ind w:left="124"/>
        <w:rPr>
          <w:sz w:val="20"/>
        </w:rPr>
      </w:pPr>
      <w:r>
        <w:rPr>
          <w:sz w:val="20"/>
        </w:rPr>
        <w:lastRenderedPageBreak/>
        <w:t>C1.3.4</w:t>
      </w:r>
      <w:r>
        <w:rPr>
          <w:spacing w:val="-3"/>
          <w:sz w:val="20"/>
        </w:rPr>
        <w:t xml:space="preserve"> </w:t>
      </w:r>
      <w:r>
        <w:rPr>
          <w:sz w:val="20"/>
        </w:rPr>
        <w:t>Other</w:t>
      </w:r>
      <w:r>
        <w:rPr>
          <w:spacing w:val="-1"/>
          <w:sz w:val="20"/>
        </w:rPr>
        <w:t xml:space="preserve"> </w:t>
      </w:r>
      <w:r>
        <w:rPr>
          <w:sz w:val="20"/>
        </w:rPr>
        <w:t>Elements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Charging</w:t>
      </w:r>
      <w:r>
        <w:rPr>
          <w:spacing w:val="-1"/>
          <w:sz w:val="20"/>
        </w:rPr>
        <w:t xml:space="preserve"> </w:t>
      </w:r>
      <w:r>
        <w:rPr>
          <w:spacing w:val="-4"/>
          <w:sz w:val="20"/>
        </w:rPr>
        <w:t>Base</w:t>
      </w:r>
    </w:p>
    <w:p w14:paraId="6B5BF1F7" w14:textId="77777777" w:rsidR="00141B97" w:rsidRDefault="00911D63">
      <w:pPr>
        <w:pStyle w:val="BodyText"/>
        <w:spacing w:before="71"/>
        <w:ind w:left="124"/>
      </w:pPr>
      <w:r>
        <w:t>Table</w:t>
      </w:r>
      <w:r>
        <w:rPr>
          <w:spacing w:val="-6"/>
        </w:rPr>
        <w:t xml:space="preserve"> </w:t>
      </w:r>
      <w:r>
        <w:t>C1.3.4</w:t>
      </w:r>
      <w:r>
        <w:rPr>
          <w:spacing w:val="-7"/>
        </w:rPr>
        <w:t xml:space="preserve"> </w:t>
      </w:r>
      <w:r>
        <w:t>sets</w:t>
      </w:r>
      <w:r>
        <w:rPr>
          <w:spacing w:val="-6"/>
        </w:rPr>
        <w:t xml:space="preserve"> </w:t>
      </w:r>
      <w:r>
        <w:t>out</w:t>
      </w:r>
      <w:r>
        <w:rPr>
          <w:spacing w:val="-6"/>
        </w:rPr>
        <w:t xml:space="preserve"> </w:t>
      </w:r>
      <w:r>
        <w:t>past</w:t>
      </w:r>
      <w:r>
        <w:rPr>
          <w:spacing w:val="-6"/>
        </w:rPr>
        <w:t xml:space="preserve"> </w:t>
      </w:r>
      <w:r>
        <w:t>actuals</w:t>
      </w:r>
      <w:r>
        <w:rPr>
          <w:spacing w:val="-6"/>
        </w:rPr>
        <w:t xml:space="preserve"> </w:t>
      </w:r>
      <w:r>
        <w:t>and</w:t>
      </w:r>
      <w:r>
        <w:rPr>
          <w:spacing w:val="-6"/>
        </w:rPr>
        <w:t xml:space="preserve"> </w:t>
      </w:r>
      <w:r>
        <w:t>forecasts</w:t>
      </w:r>
      <w:r>
        <w:rPr>
          <w:spacing w:val="-6"/>
        </w:rPr>
        <w:t xml:space="preserve"> </w:t>
      </w:r>
      <w:r>
        <w:t>of</w:t>
      </w:r>
      <w:r>
        <w:rPr>
          <w:spacing w:val="-7"/>
        </w:rPr>
        <w:t xml:space="preserve"> </w:t>
      </w:r>
      <w:r>
        <w:t>the</w:t>
      </w:r>
      <w:r>
        <w:rPr>
          <w:spacing w:val="-5"/>
        </w:rPr>
        <w:t xml:space="preserve"> </w:t>
      </w:r>
      <w:r>
        <w:t>other</w:t>
      </w:r>
      <w:r>
        <w:rPr>
          <w:spacing w:val="-6"/>
        </w:rPr>
        <w:t xml:space="preserve"> </w:t>
      </w:r>
      <w:r>
        <w:t>elements</w:t>
      </w:r>
      <w:r>
        <w:rPr>
          <w:spacing w:val="-6"/>
        </w:rPr>
        <w:t xml:space="preserve"> </w:t>
      </w:r>
      <w:r>
        <w:t>of</w:t>
      </w:r>
      <w:r>
        <w:rPr>
          <w:spacing w:val="-5"/>
        </w:rPr>
        <w:t xml:space="preserve"> </w:t>
      </w:r>
      <w:r>
        <w:t>the</w:t>
      </w:r>
      <w:r>
        <w:rPr>
          <w:spacing w:val="-6"/>
        </w:rPr>
        <w:t xml:space="preserve"> </w:t>
      </w:r>
      <w:r>
        <w:t>charging</w:t>
      </w:r>
      <w:r>
        <w:rPr>
          <w:spacing w:val="-6"/>
        </w:rPr>
        <w:t xml:space="preserve"> </w:t>
      </w:r>
      <w:r>
        <w:rPr>
          <w:spacing w:val="-2"/>
        </w:rPr>
        <w:t>base.</w:t>
      </w:r>
    </w:p>
    <w:p w14:paraId="415E914F" w14:textId="77777777" w:rsidR="00141B97" w:rsidRDefault="00911D63">
      <w:pPr>
        <w:pStyle w:val="BodyText"/>
        <w:spacing w:before="130" w:line="252" w:lineRule="auto"/>
        <w:ind w:left="124"/>
      </w:pPr>
      <w:r>
        <w:t>The number</w:t>
      </w:r>
      <w:r>
        <w:rPr>
          <w:spacing w:val="14"/>
        </w:rPr>
        <w:t xml:space="preserve"> </w:t>
      </w:r>
      <w:r>
        <w:t>of</w:t>
      </w:r>
      <w:r>
        <w:rPr>
          <w:spacing w:val="13"/>
        </w:rPr>
        <w:t xml:space="preserve"> </w:t>
      </w:r>
      <w:r>
        <w:t>unmetered properties</w:t>
      </w:r>
      <w:r>
        <w:rPr>
          <w:spacing w:val="14"/>
        </w:rPr>
        <w:t xml:space="preserve"> </w:t>
      </w:r>
      <w:r>
        <w:t>in the</w:t>
      </w:r>
      <w:r>
        <w:rPr>
          <w:spacing w:val="13"/>
        </w:rPr>
        <w:t xml:space="preserve"> </w:t>
      </w:r>
      <w:r>
        <w:t>irrigation</w:t>
      </w:r>
      <w:r>
        <w:rPr>
          <w:spacing w:val="13"/>
        </w:rPr>
        <w:t xml:space="preserve"> </w:t>
      </w:r>
      <w:r>
        <w:t>districts</w:t>
      </w:r>
      <w:r>
        <w:rPr>
          <w:spacing w:val="13"/>
        </w:rPr>
        <w:t xml:space="preserve"> </w:t>
      </w:r>
      <w:r>
        <w:t>is</w:t>
      </w:r>
      <w:r>
        <w:rPr>
          <w:spacing w:val="14"/>
        </w:rPr>
        <w:t xml:space="preserve"> </w:t>
      </w:r>
      <w:r>
        <w:t>reduced to</w:t>
      </w:r>
      <w:r>
        <w:rPr>
          <w:spacing w:val="13"/>
        </w:rPr>
        <w:t xml:space="preserve"> </w:t>
      </w:r>
      <w:r>
        <w:t>low</w:t>
      </w:r>
      <w:r>
        <w:rPr>
          <w:spacing w:val="14"/>
        </w:rPr>
        <w:t xml:space="preserve"> </w:t>
      </w:r>
      <w:r>
        <w:t>levels with the completion</w:t>
      </w:r>
      <w:r>
        <w:rPr>
          <w:spacing w:val="13"/>
        </w:rPr>
        <w:t xml:space="preserve"> </w:t>
      </w:r>
      <w:r>
        <w:t>of</w:t>
      </w:r>
      <w:r>
        <w:rPr>
          <w:spacing w:val="13"/>
        </w:rPr>
        <w:t xml:space="preserve"> </w:t>
      </w:r>
      <w:r>
        <w:t>the garden</w:t>
      </w:r>
      <w:r>
        <w:rPr>
          <w:spacing w:val="13"/>
        </w:rPr>
        <w:t xml:space="preserve"> </w:t>
      </w:r>
      <w:r>
        <w:t>metering program. The</w:t>
      </w:r>
      <w:r>
        <w:rPr>
          <w:spacing w:val="13"/>
        </w:rPr>
        <w:t xml:space="preserve"> </w:t>
      </w:r>
      <w:r>
        <w:t>number</w:t>
      </w:r>
      <w:r>
        <w:rPr>
          <w:spacing w:val="13"/>
        </w:rPr>
        <w:t xml:space="preserve"> </w:t>
      </w:r>
      <w:r>
        <w:t>of</w:t>
      </w:r>
      <w:r>
        <w:rPr>
          <w:spacing w:val="13"/>
        </w:rPr>
        <w:t xml:space="preserve"> </w:t>
      </w:r>
      <w:r>
        <w:t>diverters</w:t>
      </w:r>
      <w:r>
        <w:rPr>
          <w:spacing w:val="13"/>
        </w:rPr>
        <w:t xml:space="preserve"> </w:t>
      </w:r>
      <w:r>
        <w:t>and the number of off‐takes in Millewa are assumed to remain the same over the review period.</w:t>
      </w:r>
    </w:p>
    <w:p w14:paraId="63F951D9" w14:textId="77777777" w:rsidR="00141B97" w:rsidRDefault="00141B97">
      <w:pPr>
        <w:pStyle w:val="BodyText"/>
        <w:spacing w:before="5"/>
        <w:rPr>
          <w:sz w:val="9"/>
        </w:rPr>
      </w:pPr>
    </w:p>
    <w:tbl>
      <w:tblPr>
        <w:tblW w:w="0" w:type="auto"/>
        <w:tblInd w:w="13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4028"/>
        <w:gridCol w:w="2378"/>
        <w:gridCol w:w="1855"/>
        <w:gridCol w:w="1859"/>
        <w:gridCol w:w="1854"/>
        <w:gridCol w:w="1859"/>
        <w:gridCol w:w="1861"/>
      </w:tblGrid>
      <w:tr w:rsidR="00141B97" w14:paraId="6FCBD4AB" w14:textId="77777777">
        <w:trPr>
          <w:trHeight w:val="392"/>
        </w:trPr>
        <w:tc>
          <w:tcPr>
            <w:tcW w:w="6406" w:type="dxa"/>
            <w:gridSpan w:val="2"/>
            <w:tcBorders>
              <w:top w:val="nil"/>
              <w:left w:val="nil"/>
              <w:right w:val="single" w:sz="4" w:space="0" w:color="FFFFFF"/>
            </w:tcBorders>
            <w:shd w:val="clear" w:color="auto" w:fill="006CA3"/>
          </w:tcPr>
          <w:p w14:paraId="6EC5DCFA" w14:textId="77777777" w:rsidR="00141B97" w:rsidRDefault="00911D63">
            <w:pPr>
              <w:pStyle w:val="TableParagraph"/>
              <w:spacing w:before="88" w:line="182" w:lineRule="exact"/>
              <w:ind w:left="4935"/>
              <w:rPr>
                <w:sz w:val="18"/>
              </w:rPr>
            </w:pPr>
            <w:r>
              <w:rPr>
                <w:color w:val="FFFFFF"/>
                <w:spacing w:val="-2"/>
                <w:sz w:val="18"/>
              </w:rPr>
              <w:t>Current</w:t>
            </w:r>
          </w:p>
          <w:p w14:paraId="37BB5948" w14:textId="77777777" w:rsidR="00141B97" w:rsidRDefault="00911D63">
            <w:pPr>
              <w:pStyle w:val="TableParagraph"/>
              <w:spacing w:line="102" w:lineRule="exact"/>
              <w:ind w:left="80"/>
              <w:rPr>
                <w:sz w:val="18"/>
              </w:rPr>
            </w:pPr>
            <w:r>
              <w:rPr>
                <w:color w:val="FFFFFF"/>
                <w:spacing w:val="-2"/>
                <w:sz w:val="18"/>
              </w:rPr>
              <w:t>District/Type</w:t>
            </w:r>
          </w:p>
        </w:tc>
        <w:tc>
          <w:tcPr>
            <w:tcW w:w="9288" w:type="dxa"/>
            <w:gridSpan w:val="5"/>
            <w:tcBorders>
              <w:top w:val="nil"/>
              <w:left w:val="single" w:sz="4" w:space="0" w:color="FFFFFF"/>
              <w:right w:val="nil"/>
            </w:tcBorders>
            <w:shd w:val="clear" w:color="auto" w:fill="006CA3"/>
          </w:tcPr>
          <w:p w14:paraId="295CFFBE" w14:textId="77777777" w:rsidR="00141B97" w:rsidRDefault="00911D63">
            <w:pPr>
              <w:pStyle w:val="TableParagraph"/>
              <w:spacing w:before="88"/>
              <w:ind w:left="3803" w:right="3802"/>
              <w:jc w:val="center"/>
              <w:rPr>
                <w:sz w:val="18"/>
              </w:rPr>
            </w:pPr>
            <w:r>
              <w:rPr>
                <w:color w:val="FFFFFF"/>
                <w:sz w:val="18"/>
              </w:rPr>
              <w:t>Fifth</w:t>
            </w:r>
            <w:r>
              <w:rPr>
                <w:color w:val="FFFFFF"/>
                <w:spacing w:val="-8"/>
                <w:sz w:val="18"/>
              </w:rPr>
              <w:t xml:space="preserve"> </w:t>
            </w:r>
            <w:r>
              <w:rPr>
                <w:color w:val="FFFFFF"/>
                <w:sz w:val="18"/>
              </w:rPr>
              <w:t>Regulatory</w:t>
            </w:r>
            <w:r>
              <w:rPr>
                <w:color w:val="FFFFFF"/>
                <w:spacing w:val="-5"/>
                <w:sz w:val="18"/>
              </w:rPr>
              <w:t xml:space="preserve"> </w:t>
            </w:r>
            <w:r>
              <w:rPr>
                <w:color w:val="FFFFFF"/>
                <w:spacing w:val="-2"/>
                <w:sz w:val="18"/>
              </w:rPr>
              <w:t>Period</w:t>
            </w:r>
          </w:p>
        </w:tc>
      </w:tr>
      <w:tr w:rsidR="00141B97" w14:paraId="2C513709" w14:textId="77777777">
        <w:trPr>
          <w:trHeight w:val="277"/>
        </w:trPr>
        <w:tc>
          <w:tcPr>
            <w:tcW w:w="4028" w:type="dxa"/>
            <w:tcBorders>
              <w:left w:val="nil"/>
              <w:bottom w:val="single" w:sz="4" w:space="0" w:color="FFFFFF"/>
              <w:right w:val="single" w:sz="4" w:space="0" w:color="FFFFFF"/>
            </w:tcBorders>
            <w:shd w:val="clear" w:color="auto" w:fill="006CA3"/>
          </w:tcPr>
          <w:p w14:paraId="79AA8A3F" w14:textId="77777777" w:rsidR="00141B97" w:rsidRDefault="00141B97">
            <w:pPr>
              <w:pStyle w:val="TableParagraph"/>
              <w:rPr>
                <w:rFonts w:ascii="Times New Roman"/>
                <w:sz w:val="18"/>
              </w:rPr>
            </w:pPr>
          </w:p>
        </w:tc>
        <w:tc>
          <w:tcPr>
            <w:tcW w:w="2378" w:type="dxa"/>
            <w:tcBorders>
              <w:left w:val="single" w:sz="4" w:space="0" w:color="FFFFFF"/>
              <w:bottom w:val="single" w:sz="4" w:space="0" w:color="FFFFFF"/>
              <w:right w:val="single" w:sz="4" w:space="0" w:color="FFFFFF"/>
            </w:tcBorders>
            <w:shd w:val="clear" w:color="auto" w:fill="006CA3"/>
          </w:tcPr>
          <w:p w14:paraId="1E8682E8" w14:textId="77777777" w:rsidR="00141B97" w:rsidRDefault="00911D63">
            <w:pPr>
              <w:pStyle w:val="TableParagraph"/>
              <w:spacing w:before="28"/>
              <w:ind w:left="871" w:right="868"/>
              <w:jc w:val="center"/>
              <w:rPr>
                <w:sz w:val="18"/>
              </w:rPr>
            </w:pPr>
            <w:r>
              <w:rPr>
                <w:color w:val="FFFFFF"/>
                <w:spacing w:val="-2"/>
                <w:sz w:val="18"/>
              </w:rPr>
              <w:t>2022‐23</w:t>
            </w:r>
          </w:p>
        </w:tc>
        <w:tc>
          <w:tcPr>
            <w:tcW w:w="1855" w:type="dxa"/>
            <w:tcBorders>
              <w:left w:val="single" w:sz="4" w:space="0" w:color="FFFFFF"/>
              <w:bottom w:val="single" w:sz="4" w:space="0" w:color="FFFFFF"/>
              <w:right w:val="single" w:sz="4" w:space="0" w:color="FFFFFF"/>
            </w:tcBorders>
            <w:shd w:val="clear" w:color="auto" w:fill="006CA3"/>
          </w:tcPr>
          <w:p w14:paraId="2958C70A" w14:textId="77777777" w:rsidR="00141B97" w:rsidRDefault="00911D63">
            <w:pPr>
              <w:pStyle w:val="TableParagraph"/>
              <w:spacing w:before="28"/>
              <w:ind w:left="608" w:right="607"/>
              <w:jc w:val="center"/>
              <w:rPr>
                <w:sz w:val="18"/>
              </w:rPr>
            </w:pPr>
            <w:r>
              <w:rPr>
                <w:color w:val="FFFFFF"/>
                <w:spacing w:val="-2"/>
                <w:sz w:val="18"/>
              </w:rPr>
              <w:t>2023‐24</w:t>
            </w:r>
          </w:p>
        </w:tc>
        <w:tc>
          <w:tcPr>
            <w:tcW w:w="1859" w:type="dxa"/>
            <w:tcBorders>
              <w:left w:val="single" w:sz="4" w:space="0" w:color="FFFFFF"/>
              <w:bottom w:val="single" w:sz="4" w:space="0" w:color="FFFFFF"/>
              <w:right w:val="single" w:sz="4" w:space="0" w:color="FFFFFF"/>
            </w:tcBorders>
            <w:shd w:val="clear" w:color="auto" w:fill="006CA3"/>
          </w:tcPr>
          <w:p w14:paraId="4DD88C6B" w14:textId="77777777" w:rsidR="00141B97" w:rsidRDefault="00911D63">
            <w:pPr>
              <w:pStyle w:val="TableParagraph"/>
              <w:spacing w:before="28"/>
              <w:ind w:left="611" w:right="608"/>
              <w:jc w:val="center"/>
              <w:rPr>
                <w:sz w:val="18"/>
              </w:rPr>
            </w:pPr>
            <w:r>
              <w:rPr>
                <w:color w:val="FFFFFF"/>
                <w:spacing w:val="-2"/>
                <w:sz w:val="18"/>
              </w:rPr>
              <w:t>2024‐25</w:t>
            </w:r>
          </w:p>
        </w:tc>
        <w:tc>
          <w:tcPr>
            <w:tcW w:w="1854" w:type="dxa"/>
            <w:tcBorders>
              <w:left w:val="single" w:sz="4" w:space="0" w:color="FFFFFF"/>
              <w:bottom w:val="single" w:sz="4" w:space="0" w:color="FFFFFF"/>
              <w:right w:val="single" w:sz="4" w:space="0" w:color="FFFFFF"/>
            </w:tcBorders>
            <w:shd w:val="clear" w:color="auto" w:fill="006CA3"/>
          </w:tcPr>
          <w:p w14:paraId="078FD125" w14:textId="77777777" w:rsidR="00141B97" w:rsidRDefault="00911D63">
            <w:pPr>
              <w:pStyle w:val="TableParagraph"/>
              <w:spacing w:before="28"/>
              <w:ind w:left="608" w:right="606"/>
              <w:jc w:val="center"/>
              <w:rPr>
                <w:sz w:val="18"/>
              </w:rPr>
            </w:pPr>
            <w:r>
              <w:rPr>
                <w:color w:val="FFFFFF"/>
                <w:spacing w:val="-2"/>
                <w:sz w:val="18"/>
              </w:rPr>
              <w:t>2025‐26</w:t>
            </w:r>
          </w:p>
        </w:tc>
        <w:tc>
          <w:tcPr>
            <w:tcW w:w="1859" w:type="dxa"/>
            <w:tcBorders>
              <w:left w:val="single" w:sz="4" w:space="0" w:color="FFFFFF"/>
              <w:bottom w:val="single" w:sz="4" w:space="0" w:color="FFFFFF"/>
              <w:right w:val="single" w:sz="4" w:space="0" w:color="FFFFFF"/>
            </w:tcBorders>
            <w:shd w:val="clear" w:color="auto" w:fill="006CA3"/>
          </w:tcPr>
          <w:p w14:paraId="33573DFA" w14:textId="77777777" w:rsidR="00141B97" w:rsidRDefault="00911D63">
            <w:pPr>
              <w:pStyle w:val="TableParagraph"/>
              <w:spacing w:before="28"/>
              <w:ind w:left="610" w:right="608"/>
              <w:jc w:val="center"/>
              <w:rPr>
                <w:sz w:val="18"/>
              </w:rPr>
            </w:pPr>
            <w:r>
              <w:rPr>
                <w:color w:val="FFFFFF"/>
                <w:spacing w:val="-2"/>
                <w:sz w:val="18"/>
              </w:rPr>
              <w:t>2026‐27</w:t>
            </w:r>
          </w:p>
        </w:tc>
        <w:tc>
          <w:tcPr>
            <w:tcW w:w="1861" w:type="dxa"/>
            <w:tcBorders>
              <w:left w:val="single" w:sz="4" w:space="0" w:color="FFFFFF"/>
              <w:bottom w:val="single" w:sz="4" w:space="0" w:color="FFFFFF"/>
              <w:right w:val="nil"/>
            </w:tcBorders>
            <w:shd w:val="clear" w:color="auto" w:fill="006CA3"/>
          </w:tcPr>
          <w:p w14:paraId="34F168E0" w14:textId="77777777" w:rsidR="00141B97" w:rsidRDefault="00911D63">
            <w:pPr>
              <w:pStyle w:val="TableParagraph"/>
              <w:spacing w:before="28"/>
              <w:ind w:left="614" w:right="612"/>
              <w:jc w:val="center"/>
              <w:rPr>
                <w:sz w:val="18"/>
              </w:rPr>
            </w:pPr>
            <w:r>
              <w:rPr>
                <w:color w:val="FFFFFF"/>
                <w:spacing w:val="-2"/>
                <w:sz w:val="18"/>
              </w:rPr>
              <w:t>2027‐28</w:t>
            </w:r>
          </w:p>
        </w:tc>
      </w:tr>
      <w:tr w:rsidR="00141B97" w14:paraId="10399399" w14:textId="77777777">
        <w:trPr>
          <w:trHeight w:val="275"/>
        </w:trPr>
        <w:tc>
          <w:tcPr>
            <w:tcW w:w="4028" w:type="dxa"/>
            <w:tcBorders>
              <w:top w:val="single" w:sz="4" w:space="0" w:color="FFFFFF"/>
              <w:left w:val="nil"/>
              <w:bottom w:val="single" w:sz="4" w:space="0" w:color="FFFFFF"/>
              <w:right w:val="single" w:sz="4" w:space="0" w:color="FFFFFF"/>
            </w:tcBorders>
            <w:shd w:val="clear" w:color="auto" w:fill="A6A6A6"/>
          </w:tcPr>
          <w:p w14:paraId="42B9300F" w14:textId="77777777" w:rsidR="00141B97" w:rsidRDefault="00911D63">
            <w:pPr>
              <w:pStyle w:val="TableParagraph"/>
              <w:spacing w:before="29"/>
              <w:ind w:left="80"/>
              <w:rPr>
                <w:sz w:val="18"/>
              </w:rPr>
            </w:pPr>
            <w:r>
              <w:rPr>
                <w:sz w:val="18"/>
              </w:rPr>
              <w:t>Number</w:t>
            </w:r>
            <w:r>
              <w:rPr>
                <w:spacing w:val="-1"/>
                <w:sz w:val="18"/>
              </w:rPr>
              <w:t xml:space="preserve"> </w:t>
            </w:r>
            <w:r>
              <w:rPr>
                <w:sz w:val="18"/>
              </w:rPr>
              <w:t xml:space="preserve">of </w:t>
            </w:r>
            <w:r>
              <w:rPr>
                <w:spacing w:val="-2"/>
                <w:sz w:val="18"/>
              </w:rPr>
              <w:t>Properties</w:t>
            </w:r>
          </w:p>
        </w:tc>
        <w:tc>
          <w:tcPr>
            <w:tcW w:w="2378" w:type="dxa"/>
            <w:tcBorders>
              <w:top w:val="single" w:sz="4" w:space="0" w:color="FFFFFF"/>
              <w:left w:val="single" w:sz="4" w:space="0" w:color="FFFFFF"/>
              <w:bottom w:val="single" w:sz="4" w:space="0" w:color="FFFFFF"/>
              <w:right w:val="single" w:sz="4" w:space="0" w:color="FFFFFF"/>
            </w:tcBorders>
            <w:shd w:val="clear" w:color="auto" w:fill="A6A6A6"/>
          </w:tcPr>
          <w:p w14:paraId="5575767B" w14:textId="77777777" w:rsidR="00141B97" w:rsidRDefault="00141B97">
            <w:pPr>
              <w:pStyle w:val="TableParagraph"/>
              <w:rPr>
                <w:rFonts w:ascii="Times New Roman"/>
                <w:sz w:val="18"/>
              </w:rPr>
            </w:pPr>
          </w:p>
        </w:tc>
        <w:tc>
          <w:tcPr>
            <w:tcW w:w="1855" w:type="dxa"/>
            <w:tcBorders>
              <w:top w:val="single" w:sz="4" w:space="0" w:color="FFFFFF"/>
              <w:left w:val="single" w:sz="4" w:space="0" w:color="FFFFFF"/>
              <w:bottom w:val="single" w:sz="4" w:space="0" w:color="FFFFFF"/>
              <w:right w:val="single" w:sz="4" w:space="0" w:color="FFFFFF"/>
            </w:tcBorders>
            <w:shd w:val="clear" w:color="auto" w:fill="A6A6A6"/>
          </w:tcPr>
          <w:p w14:paraId="164F2E05" w14:textId="77777777" w:rsidR="00141B97" w:rsidRDefault="00141B97">
            <w:pPr>
              <w:pStyle w:val="TableParagraph"/>
              <w:rPr>
                <w:rFonts w:ascii="Times New Roman"/>
                <w:sz w:val="18"/>
              </w:rPr>
            </w:pPr>
          </w:p>
        </w:tc>
        <w:tc>
          <w:tcPr>
            <w:tcW w:w="1859" w:type="dxa"/>
            <w:tcBorders>
              <w:top w:val="single" w:sz="4" w:space="0" w:color="FFFFFF"/>
              <w:left w:val="single" w:sz="4" w:space="0" w:color="FFFFFF"/>
              <w:bottom w:val="single" w:sz="4" w:space="0" w:color="FFFFFF"/>
              <w:right w:val="single" w:sz="4" w:space="0" w:color="FFFFFF"/>
            </w:tcBorders>
            <w:shd w:val="clear" w:color="auto" w:fill="A6A6A6"/>
          </w:tcPr>
          <w:p w14:paraId="76A5276A" w14:textId="77777777" w:rsidR="00141B97" w:rsidRDefault="00141B97">
            <w:pPr>
              <w:pStyle w:val="TableParagraph"/>
              <w:rPr>
                <w:rFonts w:ascii="Times New Roman"/>
                <w:sz w:val="18"/>
              </w:rPr>
            </w:pPr>
          </w:p>
        </w:tc>
        <w:tc>
          <w:tcPr>
            <w:tcW w:w="1854" w:type="dxa"/>
            <w:tcBorders>
              <w:top w:val="single" w:sz="4" w:space="0" w:color="FFFFFF"/>
              <w:left w:val="single" w:sz="4" w:space="0" w:color="FFFFFF"/>
              <w:bottom w:val="single" w:sz="4" w:space="0" w:color="FFFFFF"/>
              <w:right w:val="single" w:sz="4" w:space="0" w:color="FFFFFF"/>
            </w:tcBorders>
            <w:shd w:val="clear" w:color="auto" w:fill="A6A6A6"/>
          </w:tcPr>
          <w:p w14:paraId="38E61727" w14:textId="77777777" w:rsidR="00141B97" w:rsidRDefault="00141B97">
            <w:pPr>
              <w:pStyle w:val="TableParagraph"/>
              <w:rPr>
                <w:rFonts w:ascii="Times New Roman"/>
                <w:sz w:val="18"/>
              </w:rPr>
            </w:pPr>
          </w:p>
        </w:tc>
        <w:tc>
          <w:tcPr>
            <w:tcW w:w="1859" w:type="dxa"/>
            <w:tcBorders>
              <w:top w:val="single" w:sz="4" w:space="0" w:color="FFFFFF"/>
              <w:left w:val="single" w:sz="4" w:space="0" w:color="FFFFFF"/>
              <w:bottom w:val="single" w:sz="4" w:space="0" w:color="FFFFFF"/>
              <w:right w:val="single" w:sz="4" w:space="0" w:color="FFFFFF"/>
            </w:tcBorders>
            <w:shd w:val="clear" w:color="auto" w:fill="A6A6A6"/>
          </w:tcPr>
          <w:p w14:paraId="6E130091" w14:textId="77777777" w:rsidR="00141B97" w:rsidRDefault="00141B97">
            <w:pPr>
              <w:pStyle w:val="TableParagraph"/>
              <w:rPr>
                <w:rFonts w:ascii="Times New Roman"/>
                <w:sz w:val="18"/>
              </w:rPr>
            </w:pPr>
          </w:p>
        </w:tc>
        <w:tc>
          <w:tcPr>
            <w:tcW w:w="1861" w:type="dxa"/>
            <w:tcBorders>
              <w:top w:val="single" w:sz="4" w:space="0" w:color="FFFFFF"/>
              <w:left w:val="single" w:sz="4" w:space="0" w:color="FFFFFF"/>
              <w:bottom w:val="single" w:sz="4" w:space="0" w:color="FFFFFF"/>
              <w:right w:val="nil"/>
            </w:tcBorders>
            <w:shd w:val="clear" w:color="auto" w:fill="A6A6A6"/>
          </w:tcPr>
          <w:p w14:paraId="6A09ACDD" w14:textId="77777777" w:rsidR="00141B97" w:rsidRDefault="00141B97">
            <w:pPr>
              <w:pStyle w:val="TableParagraph"/>
              <w:rPr>
                <w:rFonts w:ascii="Times New Roman"/>
                <w:sz w:val="18"/>
              </w:rPr>
            </w:pPr>
          </w:p>
        </w:tc>
      </w:tr>
      <w:tr w:rsidR="00141B97" w14:paraId="303DA36C" w14:textId="77777777">
        <w:trPr>
          <w:trHeight w:val="273"/>
        </w:trPr>
        <w:tc>
          <w:tcPr>
            <w:tcW w:w="4028" w:type="dxa"/>
            <w:tcBorders>
              <w:top w:val="single" w:sz="4" w:space="0" w:color="FFFFFF"/>
              <w:left w:val="nil"/>
              <w:right w:val="single" w:sz="4" w:space="0" w:color="FFFFFF"/>
            </w:tcBorders>
            <w:shd w:val="clear" w:color="auto" w:fill="CCE2ED"/>
          </w:tcPr>
          <w:p w14:paraId="0BE00AFC" w14:textId="77777777" w:rsidR="00141B97" w:rsidRDefault="00911D63">
            <w:pPr>
              <w:pStyle w:val="TableParagraph"/>
              <w:spacing w:before="29"/>
              <w:ind w:left="80"/>
              <w:rPr>
                <w:sz w:val="18"/>
              </w:rPr>
            </w:pPr>
            <w:r>
              <w:rPr>
                <w:sz w:val="18"/>
              </w:rPr>
              <w:t>Mildura</w:t>
            </w:r>
            <w:r>
              <w:rPr>
                <w:spacing w:val="-2"/>
                <w:sz w:val="18"/>
              </w:rPr>
              <w:t xml:space="preserve"> </w:t>
            </w:r>
            <w:r>
              <w:rPr>
                <w:sz w:val="18"/>
              </w:rPr>
              <w:t>‐</w:t>
            </w:r>
            <w:r>
              <w:rPr>
                <w:spacing w:val="-1"/>
                <w:sz w:val="18"/>
              </w:rPr>
              <w:t xml:space="preserve"> </w:t>
            </w:r>
            <w:r>
              <w:rPr>
                <w:sz w:val="18"/>
              </w:rPr>
              <w:t>total</w:t>
            </w:r>
            <w:r>
              <w:rPr>
                <w:spacing w:val="-2"/>
                <w:sz w:val="18"/>
              </w:rPr>
              <w:t xml:space="preserve"> properties</w:t>
            </w:r>
          </w:p>
        </w:tc>
        <w:tc>
          <w:tcPr>
            <w:tcW w:w="2378" w:type="dxa"/>
            <w:tcBorders>
              <w:top w:val="single" w:sz="4" w:space="0" w:color="FFFFFF"/>
              <w:left w:val="single" w:sz="4" w:space="0" w:color="FFFFFF"/>
              <w:right w:val="single" w:sz="4" w:space="0" w:color="FFFFFF"/>
            </w:tcBorders>
            <w:shd w:val="clear" w:color="auto" w:fill="CCE2ED"/>
          </w:tcPr>
          <w:p w14:paraId="2D121414" w14:textId="77777777" w:rsidR="00141B97" w:rsidRDefault="00911D63">
            <w:pPr>
              <w:pStyle w:val="TableParagraph"/>
              <w:spacing w:before="29"/>
              <w:ind w:right="76"/>
              <w:jc w:val="right"/>
              <w:rPr>
                <w:sz w:val="18"/>
              </w:rPr>
            </w:pPr>
            <w:r>
              <w:rPr>
                <w:spacing w:val="-2"/>
                <w:sz w:val="18"/>
              </w:rPr>
              <w:t>1,914</w:t>
            </w:r>
          </w:p>
        </w:tc>
        <w:tc>
          <w:tcPr>
            <w:tcW w:w="1855" w:type="dxa"/>
            <w:tcBorders>
              <w:top w:val="single" w:sz="4" w:space="0" w:color="FFFFFF"/>
              <w:left w:val="single" w:sz="4" w:space="0" w:color="FFFFFF"/>
              <w:right w:val="single" w:sz="4" w:space="0" w:color="FFFFFF"/>
            </w:tcBorders>
            <w:shd w:val="clear" w:color="auto" w:fill="CCE2ED"/>
          </w:tcPr>
          <w:p w14:paraId="29991564" w14:textId="77777777" w:rsidR="00141B97" w:rsidRDefault="00911D63">
            <w:pPr>
              <w:pStyle w:val="TableParagraph"/>
              <w:spacing w:before="29"/>
              <w:ind w:right="77"/>
              <w:jc w:val="right"/>
              <w:rPr>
                <w:sz w:val="18"/>
              </w:rPr>
            </w:pPr>
            <w:r>
              <w:rPr>
                <w:spacing w:val="-2"/>
                <w:sz w:val="18"/>
              </w:rPr>
              <w:t>1,914</w:t>
            </w:r>
          </w:p>
        </w:tc>
        <w:tc>
          <w:tcPr>
            <w:tcW w:w="1859" w:type="dxa"/>
            <w:tcBorders>
              <w:top w:val="single" w:sz="4" w:space="0" w:color="FFFFFF"/>
              <w:left w:val="single" w:sz="4" w:space="0" w:color="FFFFFF"/>
              <w:right w:val="single" w:sz="4" w:space="0" w:color="FFFFFF"/>
            </w:tcBorders>
            <w:shd w:val="clear" w:color="auto" w:fill="CCE2ED"/>
          </w:tcPr>
          <w:p w14:paraId="70D653CC" w14:textId="77777777" w:rsidR="00141B97" w:rsidRDefault="00911D63">
            <w:pPr>
              <w:pStyle w:val="TableParagraph"/>
              <w:spacing w:before="29"/>
              <w:ind w:right="77"/>
              <w:jc w:val="right"/>
              <w:rPr>
                <w:sz w:val="18"/>
              </w:rPr>
            </w:pPr>
            <w:r>
              <w:rPr>
                <w:spacing w:val="-2"/>
                <w:sz w:val="18"/>
              </w:rPr>
              <w:t>1,914</w:t>
            </w:r>
          </w:p>
        </w:tc>
        <w:tc>
          <w:tcPr>
            <w:tcW w:w="1854" w:type="dxa"/>
            <w:tcBorders>
              <w:top w:val="single" w:sz="4" w:space="0" w:color="FFFFFF"/>
              <w:left w:val="single" w:sz="4" w:space="0" w:color="FFFFFF"/>
              <w:right w:val="single" w:sz="4" w:space="0" w:color="FFFFFF"/>
            </w:tcBorders>
            <w:shd w:val="clear" w:color="auto" w:fill="CCE2ED"/>
          </w:tcPr>
          <w:p w14:paraId="6959BB55" w14:textId="77777777" w:rsidR="00141B97" w:rsidRDefault="00911D63">
            <w:pPr>
              <w:pStyle w:val="TableParagraph"/>
              <w:spacing w:before="29"/>
              <w:ind w:right="76"/>
              <w:jc w:val="right"/>
              <w:rPr>
                <w:sz w:val="18"/>
              </w:rPr>
            </w:pPr>
            <w:r>
              <w:rPr>
                <w:spacing w:val="-2"/>
                <w:sz w:val="18"/>
              </w:rPr>
              <w:t>1,914</w:t>
            </w:r>
          </w:p>
        </w:tc>
        <w:tc>
          <w:tcPr>
            <w:tcW w:w="1859" w:type="dxa"/>
            <w:tcBorders>
              <w:top w:val="single" w:sz="4" w:space="0" w:color="FFFFFF"/>
              <w:left w:val="single" w:sz="4" w:space="0" w:color="FFFFFF"/>
              <w:right w:val="single" w:sz="4" w:space="0" w:color="FFFFFF"/>
            </w:tcBorders>
            <w:shd w:val="clear" w:color="auto" w:fill="CCE2ED"/>
          </w:tcPr>
          <w:p w14:paraId="3274A065" w14:textId="77777777" w:rsidR="00141B97" w:rsidRDefault="00911D63">
            <w:pPr>
              <w:pStyle w:val="TableParagraph"/>
              <w:spacing w:before="29"/>
              <w:ind w:right="77"/>
              <w:jc w:val="right"/>
              <w:rPr>
                <w:sz w:val="18"/>
              </w:rPr>
            </w:pPr>
            <w:r>
              <w:rPr>
                <w:spacing w:val="-2"/>
                <w:sz w:val="18"/>
              </w:rPr>
              <w:t>1,914</w:t>
            </w:r>
          </w:p>
        </w:tc>
        <w:tc>
          <w:tcPr>
            <w:tcW w:w="1861" w:type="dxa"/>
            <w:tcBorders>
              <w:top w:val="single" w:sz="4" w:space="0" w:color="FFFFFF"/>
              <w:left w:val="single" w:sz="4" w:space="0" w:color="FFFFFF"/>
              <w:right w:val="nil"/>
            </w:tcBorders>
            <w:shd w:val="clear" w:color="auto" w:fill="CCE2ED"/>
          </w:tcPr>
          <w:p w14:paraId="3F3A077A" w14:textId="77777777" w:rsidR="00141B97" w:rsidRDefault="00911D63">
            <w:pPr>
              <w:pStyle w:val="TableParagraph"/>
              <w:spacing w:before="29"/>
              <w:ind w:right="77"/>
              <w:jc w:val="right"/>
              <w:rPr>
                <w:sz w:val="18"/>
              </w:rPr>
            </w:pPr>
            <w:r>
              <w:rPr>
                <w:spacing w:val="-2"/>
                <w:sz w:val="18"/>
              </w:rPr>
              <w:t>1,914</w:t>
            </w:r>
          </w:p>
        </w:tc>
      </w:tr>
      <w:tr w:rsidR="00141B97" w14:paraId="1D4FE1B2" w14:textId="77777777">
        <w:trPr>
          <w:trHeight w:val="270"/>
        </w:trPr>
        <w:tc>
          <w:tcPr>
            <w:tcW w:w="4028" w:type="dxa"/>
            <w:tcBorders>
              <w:left w:val="nil"/>
              <w:right w:val="single" w:sz="4" w:space="0" w:color="FFFFFF"/>
            </w:tcBorders>
            <w:shd w:val="clear" w:color="auto" w:fill="CCE2ED"/>
          </w:tcPr>
          <w:p w14:paraId="47B32061" w14:textId="77777777" w:rsidR="00141B97" w:rsidRDefault="00911D63">
            <w:pPr>
              <w:pStyle w:val="TableParagraph"/>
              <w:spacing w:before="25"/>
              <w:ind w:left="221"/>
              <w:rPr>
                <w:sz w:val="18"/>
              </w:rPr>
            </w:pPr>
            <w:r>
              <w:rPr>
                <w:sz w:val="18"/>
              </w:rPr>
              <w:t>Merbein</w:t>
            </w:r>
            <w:r>
              <w:rPr>
                <w:spacing w:val="-3"/>
                <w:sz w:val="18"/>
              </w:rPr>
              <w:t xml:space="preserve"> </w:t>
            </w:r>
            <w:r>
              <w:rPr>
                <w:sz w:val="18"/>
              </w:rPr>
              <w:t xml:space="preserve">‐ </w:t>
            </w:r>
            <w:r>
              <w:rPr>
                <w:spacing w:val="-2"/>
                <w:sz w:val="18"/>
              </w:rPr>
              <w:t>unmetered</w:t>
            </w:r>
          </w:p>
        </w:tc>
        <w:tc>
          <w:tcPr>
            <w:tcW w:w="2378" w:type="dxa"/>
            <w:tcBorders>
              <w:left w:val="single" w:sz="4" w:space="0" w:color="FFFFFF"/>
              <w:right w:val="single" w:sz="4" w:space="0" w:color="FFFFFF"/>
            </w:tcBorders>
            <w:shd w:val="clear" w:color="auto" w:fill="CCE2ED"/>
          </w:tcPr>
          <w:p w14:paraId="3DEE0148" w14:textId="77777777" w:rsidR="00141B97" w:rsidRDefault="00911D63">
            <w:pPr>
              <w:pStyle w:val="TableParagraph"/>
              <w:spacing w:before="25"/>
              <w:ind w:right="76"/>
              <w:jc w:val="right"/>
              <w:rPr>
                <w:sz w:val="18"/>
              </w:rPr>
            </w:pPr>
            <w:r>
              <w:rPr>
                <w:spacing w:val="-5"/>
                <w:sz w:val="18"/>
              </w:rPr>
              <w:t>19</w:t>
            </w:r>
          </w:p>
        </w:tc>
        <w:tc>
          <w:tcPr>
            <w:tcW w:w="1855" w:type="dxa"/>
            <w:tcBorders>
              <w:left w:val="single" w:sz="4" w:space="0" w:color="FFFFFF"/>
              <w:right w:val="single" w:sz="4" w:space="0" w:color="FFFFFF"/>
            </w:tcBorders>
            <w:shd w:val="clear" w:color="auto" w:fill="CCE2ED"/>
          </w:tcPr>
          <w:p w14:paraId="6EB3EB0A" w14:textId="77777777" w:rsidR="00141B97" w:rsidRDefault="00911D63">
            <w:pPr>
              <w:pStyle w:val="TableParagraph"/>
              <w:spacing w:before="25"/>
              <w:ind w:right="77"/>
              <w:jc w:val="right"/>
              <w:rPr>
                <w:sz w:val="18"/>
              </w:rPr>
            </w:pPr>
            <w:r>
              <w:rPr>
                <w:spacing w:val="-5"/>
                <w:sz w:val="18"/>
              </w:rPr>
              <w:t>19</w:t>
            </w:r>
          </w:p>
        </w:tc>
        <w:tc>
          <w:tcPr>
            <w:tcW w:w="1859" w:type="dxa"/>
            <w:tcBorders>
              <w:left w:val="single" w:sz="4" w:space="0" w:color="FFFFFF"/>
              <w:right w:val="single" w:sz="4" w:space="0" w:color="FFFFFF"/>
            </w:tcBorders>
            <w:shd w:val="clear" w:color="auto" w:fill="CCE2ED"/>
          </w:tcPr>
          <w:p w14:paraId="074CCE34" w14:textId="77777777" w:rsidR="00141B97" w:rsidRDefault="00911D63">
            <w:pPr>
              <w:pStyle w:val="TableParagraph"/>
              <w:spacing w:before="25"/>
              <w:ind w:right="77"/>
              <w:jc w:val="right"/>
              <w:rPr>
                <w:sz w:val="18"/>
              </w:rPr>
            </w:pPr>
            <w:r>
              <w:rPr>
                <w:spacing w:val="-5"/>
                <w:sz w:val="18"/>
              </w:rPr>
              <w:t>19</w:t>
            </w:r>
          </w:p>
        </w:tc>
        <w:tc>
          <w:tcPr>
            <w:tcW w:w="1854" w:type="dxa"/>
            <w:tcBorders>
              <w:left w:val="single" w:sz="4" w:space="0" w:color="FFFFFF"/>
              <w:right w:val="single" w:sz="4" w:space="0" w:color="FFFFFF"/>
            </w:tcBorders>
            <w:shd w:val="clear" w:color="auto" w:fill="CCE2ED"/>
          </w:tcPr>
          <w:p w14:paraId="288F6633" w14:textId="77777777" w:rsidR="00141B97" w:rsidRDefault="00911D63">
            <w:pPr>
              <w:pStyle w:val="TableParagraph"/>
              <w:spacing w:before="25"/>
              <w:ind w:right="76"/>
              <w:jc w:val="right"/>
              <w:rPr>
                <w:sz w:val="18"/>
              </w:rPr>
            </w:pPr>
            <w:r>
              <w:rPr>
                <w:spacing w:val="-5"/>
                <w:sz w:val="18"/>
              </w:rPr>
              <w:t>19</w:t>
            </w:r>
          </w:p>
        </w:tc>
        <w:tc>
          <w:tcPr>
            <w:tcW w:w="1859" w:type="dxa"/>
            <w:tcBorders>
              <w:left w:val="single" w:sz="4" w:space="0" w:color="FFFFFF"/>
              <w:right w:val="single" w:sz="4" w:space="0" w:color="FFFFFF"/>
            </w:tcBorders>
            <w:shd w:val="clear" w:color="auto" w:fill="CCE2ED"/>
          </w:tcPr>
          <w:p w14:paraId="20508D0B" w14:textId="77777777" w:rsidR="00141B97" w:rsidRDefault="00911D63">
            <w:pPr>
              <w:pStyle w:val="TableParagraph"/>
              <w:spacing w:before="25"/>
              <w:ind w:right="77"/>
              <w:jc w:val="right"/>
              <w:rPr>
                <w:sz w:val="18"/>
              </w:rPr>
            </w:pPr>
            <w:r>
              <w:rPr>
                <w:spacing w:val="-5"/>
                <w:sz w:val="18"/>
              </w:rPr>
              <w:t>19</w:t>
            </w:r>
          </w:p>
        </w:tc>
        <w:tc>
          <w:tcPr>
            <w:tcW w:w="1861" w:type="dxa"/>
            <w:tcBorders>
              <w:left w:val="single" w:sz="4" w:space="0" w:color="FFFFFF"/>
              <w:right w:val="nil"/>
            </w:tcBorders>
            <w:shd w:val="clear" w:color="auto" w:fill="CCE2ED"/>
          </w:tcPr>
          <w:p w14:paraId="4D3FA2A8" w14:textId="77777777" w:rsidR="00141B97" w:rsidRDefault="00911D63">
            <w:pPr>
              <w:pStyle w:val="TableParagraph"/>
              <w:spacing w:before="25"/>
              <w:ind w:right="77"/>
              <w:jc w:val="right"/>
              <w:rPr>
                <w:sz w:val="18"/>
              </w:rPr>
            </w:pPr>
            <w:r>
              <w:rPr>
                <w:spacing w:val="-5"/>
                <w:sz w:val="18"/>
              </w:rPr>
              <w:t>19</w:t>
            </w:r>
          </w:p>
        </w:tc>
      </w:tr>
      <w:tr w:rsidR="00141B97" w14:paraId="6BCEA256" w14:textId="77777777">
        <w:trPr>
          <w:trHeight w:val="356"/>
        </w:trPr>
        <w:tc>
          <w:tcPr>
            <w:tcW w:w="4028" w:type="dxa"/>
            <w:tcBorders>
              <w:left w:val="nil"/>
              <w:bottom w:val="single" w:sz="4" w:space="0" w:color="FFFFFF"/>
              <w:right w:val="single" w:sz="4" w:space="0" w:color="FFFFFF"/>
            </w:tcBorders>
            <w:shd w:val="clear" w:color="auto" w:fill="CCE2ED"/>
          </w:tcPr>
          <w:p w14:paraId="1C923B43" w14:textId="77777777" w:rsidR="00141B97" w:rsidRDefault="00911D63">
            <w:pPr>
              <w:pStyle w:val="TableParagraph"/>
              <w:spacing w:before="67"/>
              <w:ind w:left="221"/>
              <w:rPr>
                <w:sz w:val="18"/>
              </w:rPr>
            </w:pPr>
            <w:r>
              <w:rPr>
                <w:sz w:val="18"/>
              </w:rPr>
              <w:t>Merbein</w:t>
            </w:r>
            <w:r>
              <w:rPr>
                <w:spacing w:val="-3"/>
                <w:sz w:val="18"/>
              </w:rPr>
              <w:t xml:space="preserve"> </w:t>
            </w:r>
            <w:r>
              <w:rPr>
                <w:sz w:val="18"/>
              </w:rPr>
              <w:t>‐</w:t>
            </w:r>
            <w:r>
              <w:rPr>
                <w:spacing w:val="-1"/>
                <w:sz w:val="18"/>
              </w:rPr>
              <w:t xml:space="preserve"> </w:t>
            </w:r>
            <w:r>
              <w:rPr>
                <w:sz w:val="18"/>
              </w:rPr>
              <w:t>total</w:t>
            </w:r>
            <w:r>
              <w:rPr>
                <w:spacing w:val="-2"/>
                <w:sz w:val="18"/>
              </w:rPr>
              <w:t xml:space="preserve"> properties</w:t>
            </w:r>
          </w:p>
        </w:tc>
        <w:tc>
          <w:tcPr>
            <w:tcW w:w="2378" w:type="dxa"/>
            <w:tcBorders>
              <w:left w:val="single" w:sz="4" w:space="0" w:color="FFFFFF"/>
              <w:bottom w:val="single" w:sz="4" w:space="0" w:color="FFFFFF"/>
              <w:right w:val="single" w:sz="4" w:space="0" w:color="FFFFFF"/>
            </w:tcBorders>
            <w:shd w:val="clear" w:color="auto" w:fill="CCE2ED"/>
          </w:tcPr>
          <w:p w14:paraId="30F84BC3" w14:textId="77777777" w:rsidR="00141B97" w:rsidRDefault="00911D63">
            <w:pPr>
              <w:pStyle w:val="TableParagraph"/>
              <w:spacing w:before="67"/>
              <w:ind w:right="76"/>
              <w:jc w:val="right"/>
              <w:rPr>
                <w:sz w:val="18"/>
              </w:rPr>
            </w:pPr>
            <w:r>
              <w:rPr>
                <w:spacing w:val="-5"/>
                <w:sz w:val="18"/>
              </w:rPr>
              <w:t>825</w:t>
            </w:r>
          </w:p>
        </w:tc>
        <w:tc>
          <w:tcPr>
            <w:tcW w:w="1855" w:type="dxa"/>
            <w:tcBorders>
              <w:left w:val="single" w:sz="4" w:space="0" w:color="FFFFFF"/>
              <w:bottom w:val="single" w:sz="4" w:space="0" w:color="FFFFFF"/>
              <w:right w:val="single" w:sz="4" w:space="0" w:color="FFFFFF"/>
            </w:tcBorders>
            <w:shd w:val="clear" w:color="auto" w:fill="CCE2ED"/>
          </w:tcPr>
          <w:p w14:paraId="407F4A30" w14:textId="77777777" w:rsidR="00141B97" w:rsidRDefault="00911D63">
            <w:pPr>
              <w:pStyle w:val="TableParagraph"/>
              <w:spacing w:before="67"/>
              <w:ind w:right="77"/>
              <w:jc w:val="right"/>
              <w:rPr>
                <w:sz w:val="18"/>
              </w:rPr>
            </w:pPr>
            <w:r>
              <w:rPr>
                <w:spacing w:val="-5"/>
                <w:sz w:val="18"/>
              </w:rPr>
              <w:t>825</w:t>
            </w:r>
          </w:p>
        </w:tc>
        <w:tc>
          <w:tcPr>
            <w:tcW w:w="1859" w:type="dxa"/>
            <w:tcBorders>
              <w:left w:val="single" w:sz="4" w:space="0" w:color="FFFFFF"/>
              <w:bottom w:val="single" w:sz="4" w:space="0" w:color="FFFFFF"/>
              <w:right w:val="single" w:sz="4" w:space="0" w:color="FFFFFF"/>
            </w:tcBorders>
            <w:shd w:val="clear" w:color="auto" w:fill="CCE2ED"/>
          </w:tcPr>
          <w:p w14:paraId="6E4DDED0" w14:textId="77777777" w:rsidR="00141B97" w:rsidRDefault="00911D63">
            <w:pPr>
              <w:pStyle w:val="TableParagraph"/>
              <w:spacing w:before="67"/>
              <w:ind w:right="77"/>
              <w:jc w:val="right"/>
              <w:rPr>
                <w:sz w:val="18"/>
              </w:rPr>
            </w:pPr>
            <w:r>
              <w:rPr>
                <w:spacing w:val="-5"/>
                <w:sz w:val="18"/>
              </w:rPr>
              <w:t>825</w:t>
            </w:r>
          </w:p>
        </w:tc>
        <w:tc>
          <w:tcPr>
            <w:tcW w:w="1854" w:type="dxa"/>
            <w:tcBorders>
              <w:left w:val="single" w:sz="4" w:space="0" w:color="FFFFFF"/>
              <w:bottom w:val="single" w:sz="4" w:space="0" w:color="FFFFFF"/>
              <w:right w:val="single" w:sz="4" w:space="0" w:color="FFFFFF"/>
            </w:tcBorders>
            <w:shd w:val="clear" w:color="auto" w:fill="CCE2ED"/>
          </w:tcPr>
          <w:p w14:paraId="3C69C76D" w14:textId="77777777" w:rsidR="00141B97" w:rsidRDefault="00911D63">
            <w:pPr>
              <w:pStyle w:val="TableParagraph"/>
              <w:spacing w:before="67"/>
              <w:ind w:right="76"/>
              <w:jc w:val="right"/>
              <w:rPr>
                <w:sz w:val="18"/>
              </w:rPr>
            </w:pPr>
            <w:r>
              <w:rPr>
                <w:spacing w:val="-5"/>
                <w:sz w:val="18"/>
              </w:rPr>
              <w:t>825</w:t>
            </w:r>
          </w:p>
        </w:tc>
        <w:tc>
          <w:tcPr>
            <w:tcW w:w="1859" w:type="dxa"/>
            <w:tcBorders>
              <w:left w:val="single" w:sz="4" w:space="0" w:color="FFFFFF"/>
              <w:bottom w:val="single" w:sz="4" w:space="0" w:color="FFFFFF"/>
              <w:right w:val="single" w:sz="4" w:space="0" w:color="FFFFFF"/>
            </w:tcBorders>
            <w:shd w:val="clear" w:color="auto" w:fill="CCE2ED"/>
          </w:tcPr>
          <w:p w14:paraId="41146FCC" w14:textId="77777777" w:rsidR="00141B97" w:rsidRDefault="00911D63">
            <w:pPr>
              <w:pStyle w:val="TableParagraph"/>
              <w:spacing w:before="67"/>
              <w:ind w:right="77"/>
              <w:jc w:val="right"/>
              <w:rPr>
                <w:sz w:val="18"/>
              </w:rPr>
            </w:pPr>
            <w:r>
              <w:rPr>
                <w:spacing w:val="-5"/>
                <w:sz w:val="18"/>
              </w:rPr>
              <w:t>825</w:t>
            </w:r>
          </w:p>
        </w:tc>
        <w:tc>
          <w:tcPr>
            <w:tcW w:w="1861" w:type="dxa"/>
            <w:tcBorders>
              <w:left w:val="single" w:sz="4" w:space="0" w:color="FFFFFF"/>
              <w:bottom w:val="single" w:sz="4" w:space="0" w:color="FFFFFF"/>
              <w:right w:val="nil"/>
            </w:tcBorders>
            <w:shd w:val="clear" w:color="auto" w:fill="CCE2ED"/>
          </w:tcPr>
          <w:p w14:paraId="4811BEB9" w14:textId="77777777" w:rsidR="00141B97" w:rsidRDefault="00911D63">
            <w:pPr>
              <w:pStyle w:val="TableParagraph"/>
              <w:spacing w:before="67"/>
              <w:ind w:right="77"/>
              <w:jc w:val="right"/>
              <w:rPr>
                <w:sz w:val="18"/>
              </w:rPr>
            </w:pPr>
            <w:r>
              <w:rPr>
                <w:spacing w:val="-5"/>
                <w:sz w:val="18"/>
              </w:rPr>
              <w:t>825</w:t>
            </w:r>
          </w:p>
        </w:tc>
      </w:tr>
      <w:tr w:rsidR="00141B97" w14:paraId="40D6371E" w14:textId="77777777">
        <w:trPr>
          <w:trHeight w:val="275"/>
        </w:trPr>
        <w:tc>
          <w:tcPr>
            <w:tcW w:w="4028" w:type="dxa"/>
            <w:tcBorders>
              <w:top w:val="single" w:sz="4" w:space="0" w:color="FFFFFF"/>
              <w:left w:val="nil"/>
              <w:bottom w:val="single" w:sz="4" w:space="0" w:color="FFFFFF"/>
              <w:right w:val="single" w:sz="4" w:space="0" w:color="FFFFFF"/>
            </w:tcBorders>
            <w:shd w:val="clear" w:color="auto" w:fill="CCE2ED"/>
          </w:tcPr>
          <w:p w14:paraId="7136A2FE" w14:textId="77777777" w:rsidR="00141B97" w:rsidRDefault="00911D63">
            <w:pPr>
              <w:pStyle w:val="TableParagraph"/>
              <w:spacing w:before="29"/>
              <w:ind w:left="221"/>
              <w:rPr>
                <w:sz w:val="18"/>
              </w:rPr>
            </w:pPr>
            <w:r>
              <w:rPr>
                <w:sz w:val="18"/>
              </w:rPr>
              <w:t>Red</w:t>
            </w:r>
            <w:r>
              <w:rPr>
                <w:spacing w:val="-4"/>
                <w:sz w:val="18"/>
              </w:rPr>
              <w:t xml:space="preserve"> </w:t>
            </w:r>
            <w:r>
              <w:rPr>
                <w:sz w:val="18"/>
              </w:rPr>
              <w:t>Cliffs</w:t>
            </w:r>
            <w:r>
              <w:rPr>
                <w:spacing w:val="-3"/>
                <w:sz w:val="18"/>
              </w:rPr>
              <w:t xml:space="preserve"> </w:t>
            </w:r>
            <w:r>
              <w:rPr>
                <w:sz w:val="18"/>
              </w:rPr>
              <w:t>‐</w:t>
            </w:r>
            <w:r>
              <w:rPr>
                <w:spacing w:val="-1"/>
                <w:sz w:val="18"/>
              </w:rPr>
              <w:t xml:space="preserve"> </w:t>
            </w:r>
            <w:r>
              <w:rPr>
                <w:spacing w:val="-2"/>
                <w:sz w:val="18"/>
              </w:rPr>
              <w:t>unmetered</w:t>
            </w:r>
          </w:p>
        </w:tc>
        <w:tc>
          <w:tcPr>
            <w:tcW w:w="2378" w:type="dxa"/>
            <w:tcBorders>
              <w:top w:val="single" w:sz="4" w:space="0" w:color="FFFFFF"/>
              <w:left w:val="single" w:sz="4" w:space="0" w:color="FFFFFF"/>
              <w:bottom w:val="single" w:sz="4" w:space="0" w:color="FFFFFF"/>
              <w:right w:val="single" w:sz="4" w:space="0" w:color="FFFFFF"/>
            </w:tcBorders>
            <w:shd w:val="clear" w:color="auto" w:fill="CCE2ED"/>
          </w:tcPr>
          <w:p w14:paraId="5817DDE3" w14:textId="77777777" w:rsidR="00141B97" w:rsidRDefault="00911D63">
            <w:pPr>
              <w:pStyle w:val="TableParagraph"/>
              <w:spacing w:before="29"/>
              <w:ind w:right="76"/>
              <w:jc w:val="right"/>
              <w:rPr>
                <w:sz w:val="18"/>
              </w:rPr>
            </w:pPr>
            <w:r>
              <w:rPr>
                <w:sz w:val="18"/>
              </w:rPr>
              <w:t>5</w:t>
            </w:r>
          </w:p>
        </w:tc>
        <w:tc>
          <w:tcPr>
            <w:tcW w:w="1855" w:type="dxa"/>
            <w:tcBorders>
              <w:top w:val="single" w:sz="4" w:space="0" w:color="FFFFFF"/>
              <w:left w:val="single" w:sz="4" w:space="0" w:color="FFFFFF"/>
              <w:bottom w:val="single" w:sz="4" w:space="0" w:color="FFFFFF"/>
              <w:right w:val="single" w:sz="4" w:space="0" w:color="FFFFFF"/>
            </w:tcBorders>
            <w:shd w:val="clear" w:color="auto" w:fill="CCE2ED"/>
          </w:tcPr>
          <w:p w14:paraId="26A831CC" w14:textId="77777777" w:rsidR="00141B97" w:rsidRDefault="00911D63">
            <w:pPr>
              <w:pStyle w:val="TableParagraph"/>
              <w:spacing w:before="29"/>
              <w:ind w:right="77"/>
              <w:jc w:val="right"/>
              <w:rPr>
                <w:sz w:val="18"/>
              </w:rPr>
            </w:pPr>
            <w:r>
              <w:rPr>
                <w:sz w:val="18"/>
              </w:rPr>
              <w:t>5</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1D8B1AE8" w14:textId="77777777" w:rsidR="00141B97" w:rsidRDefault="00911D63">
            <w:pPr>
              <w:pStyle w:val="TableParagraph"/>
              <w:spacing w:before="29"/>
              <w:ind w:right="77"/>
              <w:jc w:val="right"/>
              <w:rPr>
                <w:sz w:val="18"/>
              </w:rPr>
            </w:pPr>
            <w:r>
              <w:rPr>
                <w:sz w:val="18"/>
              </w:rPr>
              <w:t>5</w:t>
            </w:r>
          </w:p>
        </w:tc>
        <w:tc>
          <w:tcPr>
            <w:tcW w:w="1854" w:type="dxa"/>
            <w:tcBorders>
              <w:top w:val="single" w:sz="4" w:space="0" w:color="FFFFFF"/>
              <w:left w:val="single" w:sz="4" w:space="0" w:color="FFFFFF"/>
              <w:bottom w:val="single" w:sz="4" w:space="0" w:color="FFFFFF"/>
              <w:right w:val="single" w:sz="4" w:space="0" w:color="FFFFFF"/>
            </w:tcBorders>
            <w:shd w:val="clear" w:color="auto" w:fill="CCE2ED"/>
          </w:tcPr>
          <w:p w14:paraId="7C93E7CE" w14:textId="77777777" w:rsidR="00141B97" w:rsidRDefault="00911D63">
            <w:pPr>
              <w:pStyle w:val="TableParagraph"/>
              <w:spacing w:before="29"/>
              <w:ind w:right="76"/>
              <w:jc w:val="right"/>
              <w:rPr>
                <w:sz w:val="18"/>
              </w:rPr>
            </w:pPr>
            <w:r>
              <w:rPr>
                <w:sz w:val="18"/>
              </w:rPr>
              <w:t>5</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5130CC83" w14:textId="77777777" w:rsidR="00141B97" w:rsidRDefault="00911D63">
            <w:pPr>
              <w:pStyle w:val="TableParagraph"/>
              <w:spacing w:before="29"/>
              <w:ind w:right="77"/>
              <w:jc w:val="right"/>
              <w:rPr>
                <w:sz w:val="18"/>
              </w:rPr>
            </w:pPr>
            <w:r>
              <w:rPr>
                <w:sz w:val="18"/>
              </w:rPr>
              <w:t>5</w:t>
            </w:r>
          </w:p>
        </w:tc>
        <w:tc>
          <w:tcPr>
            <w:tcW w:w="1861" w:type="dxa"/>
            <w:tcBorders>
              <w:top w:val="single" w:sz="4" w:space="0" w:color="FFFFFF"/>
              <w:left w:val="single" w:sz="4" w:space="0" w:color="FFFFFF"/>
              <w:bottom w:val="single" w:sz="4" w:space="0" w:color="FFFFFF"/>
              <w:right w:val="nil"/>
            </w:tcBorders>
            <w:shd w:val="clear" w:color="auto" w:fill="CCE2ED"/>
          </w:tcPr>
          <w:p w14:paraId="58228F09" w14:textId="77777777" w:rsidR="00141B97" w:rsidRDefault="00911D63">
            <w:pPr>
              <w:pStyle w:val="TableParagraph"/>
              <w:spacing w:before="29"/>
              <w:ind w:right="77"/>
              <w:jc w:val="right"/>
              <w:rPr>
                <w:sz w:val="18"/>
              </w:rPr>
            </w:pPr>
            <w:r>
              <w:rPr>
                <w:sz w:val="18"/>
              </w:rPr>
              <w:t>5</w:t>
            </w:r>
          </w:p>
        </w:tc>
      </w:tr>
      <w:tr w:rsidR="00141B97" w14:paraId="22FC2025" w14:textId="77777777">
        <w:trPr>
          <w:trHeight w:val="356"/>
        </w:trPr>
        <w:tc>
          <w:tcPr>
            <w:tcW w:w="4028" w:type="dxa"/>
            <w:tcBorders>
              <w:top w:val="single" w:sz="4" w:space="0" w:color="FFFFFF"/>
              <w:left w:val="nil"/>
              <w:right w:val="single" w:sz="4" w:space="0" w:color="FFFFFF"/>
            </w:tcBorders>
            <w:shd w:val="clear" w:color="auto" w:fill="CCE2ED"/>
          </w:tcPr>
          <w:p w14:paraId="750D547C" w14:textId="77777777" w:rsidR="00141B97" w:rsidRDefault="00911D63">
            <w:pPr>
              <w:pStyle w:val="TableParagraph"/>
              <w:spacing w:before="71"/>
              <w:ind w:left="221"/>
              <w:rPr>
                <w:sz w:val="18"/>
              </w:rPr>
            </w:pPr>
            <w:r>
              <w:rPr>
                <w:sz w:val="18"/>
              </w:rPr>
              <w:t>Red</w:t>
            </w:r>
            <w:r>
              <w:rPr>
                <w:spacing w:val="-3"/>
                <w:sz w:val="18"/>
              </w:rPr>
              <w:t xml:space="preserve"> </w:t>
            </w:r>
            <w:r>
              <w:rPr>
                <w:sz w:val="18"/>
              </w:rPr>
              <w:t>Cliffs</w:t>
            </w:r>
            <w:r>
              <w:rPr>
                <w:spacing w:val="-3"/>
                <w:sz w:val="18"/>
              </w:rPr>
              <w:t xml:space="preserve"> </w:t>
            </w:r>
            <w:r>
              <w:rPr>
                <w:sz w:val="18"/>
              </w:rPr>
              <w:t>‐</w:t>
            </w:r>
            <w:r>
              <w:rPr>
                <w:spacing w:val="-2"/>
                <w:sz w:val="18"/>
              </w:rPr>
              <w:t xml:space="preserve"> </w:t>
            </w:r>
            <w:r>
              <w:rPr>
                <w:sz w:val="18"/>
              </w:rPr>
              <w:t>total</w:t>
            </w:r>
            <w:r>
              <w:rPr>
                <w:spacing w:val="-3"/>
                <w:sz w:val="18"/>
              </w:rPr>
              <w:t xml:space="preserve"> </w:t>
            </w:r>
            <w:r>
              <w:rPr>
                <w:spacing w:val="-2"/>
                <w:sz w:val="18"/>
              </w:rPr>
              <w:t>properties</w:t>
            </w:r>
          </w:p>
        </w:tc>
        <w:tc>
          <w:tcPr>
            <w:tcW w:w="2378" w:type="dxa"/>
            <w:tcBorders>
              <w:top w:val="single" w:sz="4" w:space="0" w:color="FFFFFF"/>
              <w:left w:val="single" w:sz="4" w:space="0" w:color="FFFFFF"/>
              <w:right w:val="single" w:sz="4" w:space="0" w:color="FFFFFF"/>
            </w:tcBorders>
            <w:shd w:val="clear" w:color="auto" w:fill="CCE2ED"/>
          </w:tcPr>
          <w:p w14:paraId="1B6F0A0B" w14:textId="77777777" w:rsidR="00141B97" w:rsidRDefault="00911D63">
            <w:pPr>
              <w:pStyle w:val="TableParagraph"/>
              <w:spacing w:before="71"/>
              <w:ind w:right="76"/>
              <w:jc w:val="right"/>
              <w:rPr>
                <w:sz w:val="18"/>
              </w:rPr>
            </w:pPr>
            <w:r>
              <w:rPr>
                <w:spacing w:val="-2"/>
                <w:sz w:val="18"/>
              </w:rPr>
              <w:t>1,328</w:t>
            </w:r>
          </w:p>
        </w:tc>
        <w:tc>
          <w:tcPr>
            <w:tcW w:w="1855" w:type="dxa"/>
            <w:tcBorders>
              <w:top w:val="single" w:sz="4" w:space="0" w:color="FFFFFF"/>
              <w:left w:val="single" w:sz="4" w:space="0" w:color="FFFFFF"/>
              <w:right w:val="single" w:sz="4" w:space="0" w:color="FFFFFF"/>
            </w:tcBorders>
            <w:shd w:val="clear" w:color="auto" w:fill="CCE2ED"/>
          </w:tcPr>
          <w:p w14:paraId="0DE0F82E" w14:textId="77777777" w:rsidR="00141B97" w:rsidRDefault="00911D63">
            <w:pPr>
              <w:pStyle w:val="TableParagraph"/>
              <w:spacing w:before="71"/>
              <w:ind w:right="77"/>
              <w:jc w:val="right"/>
              <w:rPr>
                <w:sz w:val="18"/>
              </w:rPr>
            </w:pPr>
            <w:r>
              <w:rPr>
                <w:spacing w:val="-2"/>
                <w:sz w:val="18"/>
              </w:rPr>
              <w:t>1,328</w:t>
            </w:r>
          </w:p>
        </w:tc>
        <w:tc>
          <w:tcPr>
            <w:tcW w:w="1859" w:type="dxa"/>
            <w:tcBorders>
              <w:top w:val="single" w:sz="4" w:space="0" w:color="FFFFFF"/>
              <w:left w:val="single" w:sz="4" w:space="0" w:color="FFFFFF"/>
              <w:right w:val="single" w:sz="4" w:space="0" w:color="FFFFFF"/>
            </w:tcBorders>
            <w:shd w:val="clear" w:color="auto" w:fill="CCE2ED"/>
          </w:tcPr>
          <w:p w14:paraId="0A9DA853" w14:textId="77777777" w:rsidR="00141B97" w:rsidRDefault="00911D63">
            <w:pPr>
              <w:pStyle w:val="TableParagraph"/>
              <w:spacing w:before="71"/>
              <w:ind w:right="77"/>
              <w:jc w:val="right"/>
              <w:rPr>
                <w:sz w:val="18"/>
              </w:rPr>
            </w:pPr>
            <w:r>
              <w:rPr>
                <w:spacing w:val="-2"/>
                <w:sz w:val="18"/>
              </w:rPr>
              <w:t>1,328</w:t>
            </w:r>
          </w:p>
        </w:tc>
        <w:tc>
          <w:tcPr>
            <w:tcW w:w="1854" w:type="dxa"/>
            <w:tcBorders>
              <w:top w:val="single" w:sz="4" w:space="0" w:color="FFFFFF"/>
              <w:left w:val="single" w:sz="4" w:space="0" w:color="FFFFFF"/>
              <w:right w:val="single" w:sz="4" w:space="0" w:color="FFFFFF"/>
            </w:tcBorders>
            <w:shd w:val="clear" w:color="auto" w:fill="CCE2ED"/>
          </w:tcPr>
          <w:p w14:paraId="5D4F20B0" w14:textId="77777777" w:rsidR="00141B97" w:rsidRDefault="00911D63">
            <w:pPr>
              <w:pStyle w:val="TableParagraph"/>
              <w:spacing w:before="71"/>
              <w:ind w:right="76"/>
              <w:jc w:val="right"/>
              <w:rPr>
                <w:sz w:val="18"/>
              </w:rPr>
            </w:pPr>
            <w:r>
              <w:rPr>
                <w:spacing w:val="-2"/>
                <w:sz w:val="18"/>
              </w:rPr>
              <w:t>1,328</w:t>
            </w:r>
          </w:p>
        </w:tc>
        <w:tc>
          <w:tcPr>
            <w:tcW w:w="1859" w:type="dxa"/>
            <w:tcBorders>
              <w:top w:val="single" w:sz="4" w:space="0" w:color="FFFFFF"/>
              <w:left w:val="single" w:sz="4" w:space="0" w:color="FFFFFF"/>
              <w:right w:val="single" w:sz="4" w:space="0" w:color="FFFFFF"/>
            </w:tcBorders>
            <w:shd w:val="clear" w:color="auto" w:fill="CCE2ED"/>
          </w:tcPr>
          <w:p w14:paraId="3FA5E40B" w14:textId="77777777" w:rsidR="00141B97" w:rsidRDefault="00911D63">
            <w:pPr>
              <w:pStyle w:val="TableParagraph"/>
              <w:spacing w:before="71"/>
              <w:ind w:right="77"/>
              <w:jc w:val="right"/>
              <w:rPr>
                <w:sz w:val="18"/>
              </w:rPr>
            </w:pPr>
            <w:r>
              <w:rPr>
                <w:spacing w:val="-2"/>
                <w:sz w:val="18"/>
              </w:rPr>
              <w:t>1,328</w:t>
            </w:r>
          </w:p>
        </w:tc>
        <w:tc>
          <w:tcPr>
            <w:tcW w:w="1861" w:type="dxa"/>
            <w:tcBorders>
              <w:top w:val="single" w:sz="4" w:space="0" w:color="FFFFFF"/>
              <w:left w:val="single" w:sz="4" w:space="0" w:color="FFFFFF"/>
              <w:right w:val="nil"/>
            </w:tcBorders>
            <w:shd w:val="clear" w:color="auto" w:fill="CCE2ED"/>
          </w:tcPr>
          <w:p w14:paraId="5A2A473F" w14:textId="77777777" w:rsidR="00141B97" w:rsidRDefault="00911D63">
            <w:pPr>
              <w:pStyle w:val="TableParagraph"/>
              <w:spacing w:before="71"/>
              <w:ind w:right="77"/>
              <w:jc w:val="right"/>
              <w:rPr>
                <w:sz w:val="18"/>
              </w:rPr>
            </w:pPr>
            <w:r>
              <w:rPr>
                <w:spacing w:val="-2"/>
                <w:sz w:val="18"/>
              </w:rPr>
              <w:t>1,328</w:t>
            </w:r>
          </w:p>
        </w:tc>
      </w:tr>
      <w:tr w:rsidR="00141B97" w14:paraId="6F04244C" w14:textId="77777777">
        <w:trPr>
          <w:trHeight w:val="273"/>
        </w:trPr>
        <w:tc>
          <w:tcPr>
            <w:tcW w:w="4028" w:type="dxa"/>
            <w:tcBorders>
              <w:left w:val="nil"/>
              <w:bottom w:val="single" w:sz="4" w:space="0" w:color="FFFFFF"/>
              <w:right w:val="single" w:sz="4" w:space="0" w:color="FFFFFF"/>
            </w:tcBorders>
            <w:shd w:val="clear" w:color="auto" w:fill="CCE2ED"/>
          </w:tcPr>
          <w:p w14:paraId="3D69E044" w14:textId="77777777" w:rsidR="00141B97" w:rsidRDefault="00911D63">
            <w:pPr>
              <w:pStyle w:val="TableParagraph"/>
              <w:spacing w:before="25"/>
              <w:ind w:left="221"/>
              <w:rPr>
                <w:sz w:val="18"/>
              </w:rPr>
            </w:pPr>
            <w:r>
              <w:rPr>
                <w:sz w:val="18"/>
              </w:rPr>
              <w:t xml:space="preserve">Robinvale ‐ </w:t>
            </w:r>
            <w:r>
              <w:rPr>
                <w:spacing w:val="-2"/>
                <w:sz w:val="18"/>
              </w:rPr>
              <w:t>unmetered</w:t>
            </w:r>
          </w:p>
        </w:tc>
        <w:tc>
          <w:tcPr>
            <w:tcW w:w="2378" w:type="dxa"/>
            <w:tcBorders>
              <w:left w:val="single" w:sz="4" w:space="0" w:color="FFFFFF"/>
              <w:bottom w:val="single" w:sz="4" w:space="0" w:color="FFFFFF"/>
              <w:right w:val="single" w:sz="4" w:space="0" w:color="FFFFFF"/>
            </w:tcBorders>
            <w:shd w:val="clear" w:color="auto" w:fill="CCE2ED"/>
          </w:tcPr>
          <w:p w14:paraId="21CD6CB8" w14:textId="77777777" w:rsidR="00141B97" w:rsidRDefault="00911D63">
            <w:pPr>
              <w:pStyle w:val="TableParagraph"/>
              <w:spacing w:before="25"/>
              <w:ind w:right="76"/>
              <w:jc w:val="right"/>
              <w:rPr>
                <w:sz w:val="18"/>
              </w:rPr>
            </w:pPr>
            <w:r>
              <w:rPr>
                <w:sz w:val="18"/>
              </w:rPr>
              <w:t>0</w:t>
            </w:r>
          </w:p>
        </w:tc>
        <w:tc>
          <w:tcPr>
            <w:tcW w:w="1855" w:type="dxa"/>
            <w:tcBorders>
              <w:left w:val="single" w:sz="4" w:space="0" w:color="FFFFFF"/>
              <w:bottom w:val="single" w:sz="4" w:space="0" w:color="FFFFFF"/>
              <w:right w:val="single" w:sz="4" w:space="0" w:color="FFFFFF"/>
            </w:tcBorders>
            <w:shd w:val="clear" w:color="auto" w:fill="CCE2ED"/>
          </w:tcPr>
          <w:p w14:paraId="60D0846A" w14:textId="77777777" w:rsidR="00141B97" w:rsidRDefault="00911D63">
            <w:pPr>
              <w:pStyle w:val="TableParagraph"/>
              <w:spacing w:before="25"/>
              <w:ind w:right="77"/>
              <w:jc w:val="right"/>
              <w:rPr>
                <w:sz w:val="18"/>
              </w:rPr>
            </w:pPr>
            <w:r>
              <w:rPr>
                <w:sz w:val="18"/>
              </w:rPr>
              <w:t>0</w:t>
            </w:r>
          </w:p>
        </w:tc>
        <w:tc>
          <w:tcPr>
            <w:tcW w:w="1859" w:type="dxa"/>
            <w:tcBorders>
              <w:left w:val="single" w:sz="4" w:space="0" w:color="FFFFFF"/>
              <w:bottom w:val="single" w:sz="4" w:space="0" w:color="FFFFFF"/>
              <w:right w:val="single" w:sz="4" w:space="0" w:color="FFFFFF"/>
            </w:tcBorders>
            <w:shd w:val="clear" w:color="auto" w:fill="CCE2ED"/>
          </w:tcPr>
          <w:p w14:paraId="3A74D1D7" w14:textId="77777777" w:rsidR="00141B97" w:rsidRDefault="00911D63">
            <w:pPr>
              <w:pStyle w:val="TableParagraph"/>
              <w:spacing w:before="25"/>
              <w:ind w:right="77"/>
              <w:jc w:val="right"/>
              <w:rPr>
                <w:sz w:val="18"/>
              </w:rPr>
            </w:pPr>
            <w:r>
              <w:rPr>
                <w:sz w:val="18"/>
              </w:rPr>
              <w:t>0</w:t>
            </w:r>
          </w:p>
        </w:tc>
        <w:tc>
          <w:tcPr>
            <w:tcW w:w="1854" w:type="dxa"/>
            <w:tcBorders>
              <w:left w:val="single" w:sz="4" w:space="0" w:color="FFFFFF"/>
              <w:bottom w:val="single" w:sz="4" w:space="0" w:color="FFFFFF"/>
              <w:right w:val="single" w:sz="4" w:space="0" w:color="FFFFFF"/>
            </w:tcBorders>
            <w:shd w:val="clear" w:color="auto" w:fill="CCE2ED"/>
          </w:tcPr>
          <w:p w14:paraId="2EA2FE32" w14:textId="77777777" w:rsidR="00141B97" w:rsidRDefault="00911D63">
            <w:pPr>
              <w:pStyle w:val="TableParagraph"/>
              <w:spacing w:before="25"/>
              <w:ind w:right="76"/>
              <w:jc w:val="right"/>
              <w:rPr>
                <w:sz w:val="18"/>
              </w:rPr>
            </w:pPr>
            <w:r>
              <w:rPr>
                <w:sz w:val="18"/>
              </w:rPr>
              <w:t>0</w:t>
            </w:r>
          </w:p>
        </w:tc>
        <w:tc>
          <w:tcPr>
            <w:tcW w:w="1859" w:type="dxa"/>
            <w:tcBorders>
              <w:left w:val="single" w:sz="4" w:space="0" w:color="FFFFFF"/>
              <w:bottom w:val="single" w:sz="4" w:space="0" w:color="FFFFFF"/>
              <w:right w:val="single" w:sz="4" w:space="0" w:color="FFFFFF"/>
            </w:tcBorders>
            <w:shd w:val="clear" w:color="auto" w:fill="CCE2ED"/>
          </w:tcPr>
          <w:p w14:paraId="3DFE9CE1" w14:textId="77777777" w:rsidR="00141B97" w:rsidRDefault="00911D63">
            <w:pPr>
              <w:pStyle w:val="TableParagraph"/>
              <w:spacing w:before="25"/>
              <w:ind w:right="77"/>
              <w:jc w:val="right"/>
              <w:rPr>
                <w:sz w:val="18"/>
              </w:rPr>
            </w:pPr>
            <w:r>
              <w:rPr>
                <w:sz w:val="18"/>
              </w:rPr>
              <w:t>0</w:t>
            </w:r>
          </w:p>
        </w:tc>
        <w:tc>
          <w:tcPr>
            <w:tcW w:w="1861" w:type="dxa"/>
            <w:tcBorders>
              <w:left w:val="single" w:sz="4" w:space="0" w:color="FFFFFF"/>
              <w:bottom w:val="single" w:sz="4" w:space="0" w:color="FFFFFF"/>
              <w:right w:val="nil"/>
            </w:tcBorders>
            <w:shd w:val="clear" w:color="auto" w:fill="CCE2ED"/>
          </w:tcPr>
          <w:p w14:paraId="6BD53FF9" w14:textId="77777777" w:rsidR="00141B97" w:rsidRDefault="00911D63">
            <w:pPr>
              <w:pStyle w:val="TableParagraph"/>
              <w:spacing w:before="25"/>
              <w:ind w:right="77"/>
              <w:jc w:val="right"/>
              <w:rPr>
                <w:sz w:val="18"/>
              </w:rPr>
            </w:pPr>
            <w:r>
              <w:rPr>
                <w:sz w:val="18"/>
              </w:rPr>
              <w:t>0</w:t>
            </w:r>
          </w:p>
        </w:tc>
      </w:tr>
      <w:tr w:rsidR="00141B97" w14:paraId="0547EBAB" w14:textId="77777777">
        <w:trPr>
          <w:trHeight w:val="358"/>
        </w:trPr>
        <w:tc>
          <w:tcPr>
            <w:tcW w:w="4028" w:type="dxa"/>
            <w:tcBorders>
              <w:top w:val="single" w:sz="4" w:space="0" w:color="FFFFFF"/>
              <w:left w:val="nil"/>
              <w:bottom w:val="single" w:sz="4" w:space="0" w:color="FFFFFF"/>
              <w:right w:val="single" w:sz="4" w:space="0" w:color="FFFFFF"/>
            </w:tcBorders>
            <w:shd w:val="clear" w:color="auto" w:fill="CCE2ED"/>
          </w:tcPr>
          <w:p w14:paraId="0CF166BB" w14:textId="77777777" w:rsidR="00141B97" w:rsidRDefault="00911D63">
            <w:pPr>
              <w:pStyle w:val="TableParagraph"/>
              <w:spacing w:before="69"/>
              <w:ind w:left="221"/>
              <w:rPr>
                <w:sz w:val="18"/>
              </w:rPr>
            </w:pPr>
            <w:r>
              <w:rPr>
                <w:sz w:val="18"/>
              </w:rPr>
              <w:t>Robinvale</w:t>
            </w:r>
            <w:r>
              <w:rPr>
                <w:spacing w:val="-2"/>
                <w:sz w:val="18"/>
              </w:rPr>
              <w:t xml:space="preserve"> </w:t>
            </w:r>
            <w:r>
              <w:rPr>
                <w:sz w:val="18"/>
              </w:rPr>
              <w:t>‐</w:t>
            </w:r>
            <w:r>
              <w:rPr>
                <w:spacing w:val="-1"/>
                <w:sz w:val="18"/>
              </w:rPr>
              <w:t xml:space="preserve"> </w:t>
            </w:r>
            <w:r>
              <w:rPr>
                <w:sz w:val="18"/>
              </w:rPr>
              <w:t>total</w:t>
            </w:r>
            <w:r>
              <w:rPr>
                <w:spacing w:val="-2"/>
                <w:sz w:val="18"/>
              </w:rPr>
              <w:t xml:space="preserve"> properties</w:t>
            </w:r>
          </w:p>
        </w:tc>
        <w:tc>
          <w:tcPr>
            <w:tcW w:w="2378" w:type="dxa"/>
            <w:tcBorders>
              <w:top w:val="single" w:sz="4" w:space="0" w:color="FFFFFF"/>
              <w:left w:val="single" w:sz="4" w:space="0" w:color="FFFFFF"/>
              <w:bottom w:val="single" w:sz="4" w:space="0" w:color="FFFFFF"/>
              <w:right w:val="single" w:sz="4" w:space="0" w:color="FFFFFF"/>
            </w:tcBorders>
            <w:shd w:val="clear" w:color="auto" w:fill="CCE2ED"/>
          </w:tcPr>
          <w:p w14:paraId="23FED5CC" w14:textId="77777777" w:rsidR="00141B97" w:rsidRDefault="00911D63">
            <w:pPr>
              <w:pStyle w:val="TableParagraph"/>
              <w:spacing w:before="69"/>
              <w:ind w:right="76"/>
              <w:jc w:val="right"/>
              <w:rPr>
                <w:sz w:val="18"/>
              </w:rPr>
            </w:pPr>
            <w:r>
              <w:rPr>
                <w:spacing w:val="-5"/>
                <w:sz w:val="18"/>
              </w:rPr>
              <w:t>353</w:t>
            </w:r>
          </w:p>
        </w:tc>
        <w:tc>
          <w:tcPr>
            <w:tcW w:w="1855" w:type="dxa"/>
            <w:tcBorders>
              <w:top w:val="single" w:sz="4" w:space="0" w:color="FFFFFF"/>
              <w:left w:val="single" w:sz="4" w:space="0" w:color="FFFFFF"/>
              <w:bottom w:val="single" w:sz="4" w:space="0" w:color="FFFFFF"/>
              <w:right w:val="single" w:sz="4" w:space="0" w:color="FFFFFF"/>
            </w:tcBorders>
            <w:shd w:val="clear" w:color="auto" w:fill="CCE2ED"/>
          </w:tcPr>
          <w:p w14:paraId="025CBFFD" w14:textId="77777777" w:rsidR="00141B97" w:rsidRDefault="00911D63">
            <w:pPr>
              <w:pStyle w:val="TableParagraph"/>
              <w:spacing w:before="69"/>
              <w:ind w:right="77"/>
              <w:jc w:val="right"/>
              <w:rPr>
                <w:sz w:val="18"/>
              </w:rPr>
            </w:pPr>
            <w:r>
              <w:rPr>
                <w:spacing w:val="-5"/>
                <w:sz w:val="18"/>
              </w:rPr>
              <w:t>353</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3B3E0E53" w14:textId="77777777" w:rsidR="00141B97" w:rsidRDefault="00911D63">
            <w:pPr>
              <w:pStyle w:val="TableParagraph"/>
              <w:spacing w:before="69"/>
              <w:ind w:right="77"/>
              <w:jc w:val="right"/>
              <w:rPr>
                <w:sz w:val="18"/>
              </w:rPr>
            </w:pPr>
            <w:r>
              <w:rPr>
                <w:spacing w:val="-5"/>
                <w:sz w:val="18"/>
              </w:rPr>
              <w:t>353</w:t>
            </w:r>
          </w:p>
        </w:tc>
        <w:tc>
          <w:tcPr>
            <w:tcW w:w="1854" w:type="dxa"/>
            <w:tcBorders>
              <w:top w:val="single" w:sz="4" w:space="0" w:color="FFFFFF"/>
              <w:left w:val="single" w:sz="4" w:space="0" w:color="FFFFFF"/>
              <w:bottom w:val="single" w:sz="4" w:space="0" w:color="FFFFFF"/>
              <w:right w:val="single" w:sz="4" w:space="0" w:color="FFFFFF"/>
            </w:tcBorders>
            <w:shd w:val="clear" w:color="auto" w:fill="CCE2ED"/>
          </w:tcPr>
          <w:p w14:paraId="56B84F95" w14:textId="77777777" w:rsidR="00141B97" w:rsidRDefault="00911D63">
            <w:pPr>
              <w:pStyle w:val="TableParagraph"/>
              <w:spacing w:before="69"/>
              <w:ind w:right="76"/>
              <w:jc w:val="right"/>
              <w:rPr>
                <w:sz w:val="18"/>
              </w:rPr>
            </w:pPr>
            <w:r>
              <w:rPr>
                <w:spacing w:val="-5"/>
                <w:sz w:val="18"/>
              </w:rPr>
              <w:t>353</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77D1F844" w14:textId="77777777" w:rsidR="00141B97" w:rsidRDefault="00911D63">
            <w:pPr>
              <w:pStyle w:val="TableParagraph"/>
              <w:spacing w:before="69"/>
              <w:ind w:right="77"/>
              <w:jc w:val="right"/>
              <w:rPr>
                <w:sz w:val="18"/>
              </w:rPr>
            </w:pPr>
            <w:r>
              <w:rPr>
                <w:spacing w:val="-5"/>
                <w:sz w:val="18"/>
              </w:rPr>
              <w:t>353</w:t>
            </w:r>
          </w:p>
        </w:tc>
        <w:tc>
          <w:tcPr>
            <w:tcW w:w="1861" w:type="dxa"/>
            <w:tcBorders>
              <w:top w:val="single" w:sz="4" w:space="0" w:color="FFFFFF"/>
              <w:left w:val="single" w:sz="4" w:space="0" w:color="FFFFFF"/>
              <w:bottom w:val="single" w:sz="4" w:space="0" w:color="FFFFFF"/>
              <w:right w:val="nil"/>
            </w:tcBorders>
            <w:shd w:val="clear" w:color="auto" w:fill="CCE2ED"/>
          </w:tcPr>
          <w:p w14:paraId="4D2E538B" w14:textId="77777777" w:rsidR="00141B97" w:rsidRDefault="00911D63">
            <w:pPr>
              <w:pStyle w:val="TableParagraph"/>
              <w:spacing w:before="69"/>
              <w:ind w:right="77"/>
              <w:jc w:val="right"/>
              <w:rPr>
                <w:sz w:val="18"/>
              </w:rPr>
            </w:pPr>
            <w:r>
              <w:rPr>
                <w:spacing w:val="-5"/>
                <w:sz w:val="18"/>
              </w:rPr>
              <w:t>353</w:t>
            </w:r>
          </w:p>
        </w:tc>
      </w:tr>
      <w:tr w:rsidR="00141B97" w14:paraId="4D41FF43" w14:textId="77777777">
        <w:trPr>
          <w:trHeight w:val="275"/>
        </w:trPr>
        <w:tc>
          <w:tcPr>
            <w:tcW w:w="4028" w:type="dxa"/>
            <w:tcBorders>
              <w:top w:val="single" w:sz="4" w:space="0" w:color="FFFFFF"/>
              <w:left w:val="nil"/>
              <w:bottom w:val="single" w:sz="4" w:space="0" w:color="FFFFFF"/>
              <w:right w:val="single" w:sz="4" w:space="0" w:color="FFFFFF"/>
            </w:tcBorders>
            <w:shd w:val="clear" w:color="auto" w:fill="CCE2ED"/>
          </w:tcPr>
          <w:p w14:paraId="3328AF60" w14:textId="77777777" w:rsidR="00141B97" w:rsidRDefault="00911D63">
            <w:pPr>
              <w:pStyle w:val="TableParagraph"/>
              <w:spacing w:before="29"/>
              <w:ind w:left="80"/>
              <w:rPr>
                <w:sz w:val="18"/>
              </w:rPr>
            </w:pPr>
            <w:r>
              <w:rPr>
                <w:spacing w:val="-2"/>
                <w:sz w:val="18"/>
              </w:rPr>
              <w:t>Diverters</w:t>
            </w:r>
          </w:p>
        </w:tc>
        <w:tc>
          <w:tcPr>
            <w:tcW w:w="2378" w:type="dxa"/>
            <w:tcBorders>
              <w:top w:val="single" w:sz="4" w:space="0" w:color="FFFFFF"/>
              <w:left w:val="single" w:sz="4" w:space="0" w:color="FFFFFF"/>
              <w:bottom w:val="single" w:sz="4" w:space="0" w:color="FFFFFF"/>
              <w:right w:val="single" w:sz="4" w:space="0" w:color="FFFFFF"/>
            </w:tcBorders>
            <w:shd w:val="clear" w:color="auto" w:fill="CCE2ED"/>
          </w:tcPr>
          <w:p w14:paraId="3ADCCED1" w14:textId="77777777" w:rsidR="00141B97" w:rsidRDefault="00911D63">
            <w:pPr>
              <w:pStyle w:val="TableParagraph"/>
              <w:spacing w:before="29"/>
              <w:ind w:right="76"/>
              <w:jc w:val="right"/>
              <w:rPr>
                <w:sz w:val="18"/>
              </w:rPr>
            </w:pPr>
            <w:r>
              <w:rPr>
                <w:spacing w:val="-2"/>
                <w:sz w:val="18"/>
              </w:rPr>
              <w:t>1,214</w:t>
            </w:r>
          </w:p>
        </w:tc>
        <w:tc>
          <w:tcPr>
            <w:tcW w:w="1855" w:type="dxa"/>
            <w:tcBorders>
              <w:top w:val="single" w:sz="4" w:space="0" w:color="FFFFFF"/>
              <w:left w:val="single" w:sz="4" w:space="0" w:color="FFFFFF"/>
              <w:bottom w:val="single" w:sz="4" w:space="0" w:color="FFFFFF"/>
              <w:right w:val="single" w:sz="4" w:space="0" w:color="FFFFFF"/>
            </w:tcBorders>
            <w:shd w:val="clear" w:color="auto" w:fill="CCE2ED"/>
          </w:tcPr>
          <w:p w14:paraId="43F6F2B4" w14:textId="77777777" w:rsidR="00141B97" w:rsidRDefault="00911D63">
            <w:pPr>
              <w:pStyle w:val="TableParagraph"/>
              <w:spacing w:before="29"/>
              <w:ind w:right="77"/>
              <w:jc w:val="right"/>
              <w:rPr>
                <w:sz w:val="18"/>
              </w:rPr>
            </w:pPr>
            <w:r>
              <w:rPr>
                <w:spacing w:val="-2"/>
                <w:sz w:val="18"/>
              </w:rPr>
              <w:t>1,214</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73C9C7DE" w14:textId="77777777" w:rsidR="00141B97" w:rsidRDefault="00911D63">
            <w:pPr>
              <w:pStyle w:val="TableParagraph"/>
              <w:spacing w:before="29"/>
              <w:ind w:right="77"/>
              <w:jc w:val="right"/>
              <w:rPr>
                <w:sz w:val="18"/>
              </w:rPr>
            </w:pPr>
            <w:r>
              <w:rPr>
                <w:spacing w:val="-2"/>
                <w:sz w:val="18"/>
              </w:rPr>
              <w:t>1,214</w:t>
            </w:r>
          </w:p>
        </w:tc>
        <w:tc>
          <w:tcPr>
            <w:tcW w:w="1854" w:type="dxa"/>
            <w:tcBorders>
              <w:top w:val="single" w:sz="4" w:space="0" w:color="FFFFFF"/>
              <w:left w:val="single" w:sz="4" w:space="0" w:color="FFFFFF"/>
              <w:bottom w:val="single" w:sz="4" w:space="0" w:color="FFFFFF"/>
              <w:right w:val="single" w:sz="4" w:space="0" w:color="FFFFFF"/>
            </w:tcBorders>
            <w:shd w:val="clear" w:color="auto" w:fill="CCE2ED"/>
          </w:tcPr>
          <w:p w14:paraId="1F057FBE" w14:textId="77777777" w:rsidR="00141B97" w:rsidRDefault="00911D63">
            <w:pPr>
              <w:pStyle w:val="TableParagraph"/>
              <w:spacing w:before="29"/>
              <w:ind w:right="76"/>
              <w:jc w:val="right"/>
              <w:rPr>
                <w:sz w:val="18"/>
              </w:rPr>
            </w:pPr>
            <w:r>
              <w:rPr>
                <w:spacing w:val="-2"/>
                <w:sz w:val="18"/>
              </w:rPr>
              <w:t>1,214</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31026BAC" w14:textId="77777777" w:rsidR="00141B97" w:rsidRDefault="00911D63">
            <w:pPr>
              <w:pStyle w:val="TableParagraph"/>
              <w:spacing w:before="29"/>
              <w:ind w:right="77"/>
              <w:jc w:val="right"/>
              <w:rPr>
                <w:sz w:val="18"/>
              </w:rPr>
            </w:pPr>
            <w:r>
              <w:rPr>
                <w:spacing w:val="-2"/>
                <w:sz w:val="18"/>
              </w:rPr>
              <w:t>1,214</w:t>
            </w:r>
          </w:p>
        </w:tc>
        <w:tc>
          <w:tcPr>
            <w:tcW w:w="1861" w:type="dxa"/>
            <w:tcBorders>
              <w:top w:val="single" w:sz="4" w:space="0" w:color="FFFFFF"/>
              <w:left w:val="single" w:sz="4" w:space="0" w:color="FFFFFF"/>
              <w:bottom w:val="single" w:sz="4" w:space="0" w:color="FFFFFF"/>
              <w:right w:val="nil"/>
            </w:tcBorders>
            <w:shd w:val="clear" w:color="auto" w:fill="CCE2ED"/>
          </w:tcPr>
          <w:p w14:paraId="44E9828C" w14:textId="77777777" w:rsidR="00141B97" w:rsidRDefault="00911D63">
            <w:pPr>
              <w:pStyle w:val="TableParagraph"/>
              <w:spacing w:before="29"/>
              <w:ind w:right="77"/>
              <w:jc w:val="right"/>
              <w:rPr>
                <w:sz w:val="18"/>
              </w:rPr>
            </w:pPr>
            <w:r>
              <w:rPr>
                <w:spacing w:val="-2"/>
                <w:sz w:val="18"/>
              </w:rPr>
              <w:t>1,214</w:t>
            </w:r>
          </w:p>
        </w:tc>
      </w:tr>
      <w:tr w:rsidR="00141B97" w14:paraId="3E7E51ED" w14:textId="77777777">
        <w:trPr>
          <w:trHeight w:val="273"/>
        </w:trPr>
        <w:tc>
          <w:tcPr>
            <w:tcW w:w="4028" w:type="dxa"/>
            <w:tcBorders>
              <w:top w:val="single" w:sz="4" w:space="0" w:color="FFFFFF"/>
              <w:left w:val="nil"/>
              <w:right w:val="single" w:sz="4" w:space="0" w:color="FFFFFF"/>
            </w:tcBorders>
            <w:shd w:val="clear" w:color="auto" w:fill="CCE2ED"/>
          </w:tcPr>
          <w:p w14:paraId="77EA9556" w14:textId="77777777" w:rsidR="00141B97" w:rsidRDefault="00911D63">
            <w:pPr>
              <w:pStyle w:val="TableParagraph"/>
              <w:spacing w:before="29"/>
              <w:ind w:left="80"/>
              <w:rPr>
                <w:sz w:val="18"/>
              </w:rPr>
            </w:pPr>
            <w:r>
              <w:rPr>
                <w:sz w:val="18"/>
              </w:rPr>
              <w:t xml:space="preserve">D&amp;S </w:t>
            </w:r>
            <w:r>
              <w:rPr>
                <w:spacing w:val="-2"/>
                <w:sz w:val="18"/>
              </w:rPr>
              <w:t>customers</w:t>
            </w:r>
          </w:p>
        </w:tc>
        <w:tc>
          <w:tcPr>
            <w:tcW w:w="2378" w:type="dxa"/>
            <w:tcBorders>
              <w:top w:val="single" w:sz="4" w:space="0" w:color="FFFFFF"/>
              <w:left w:val="single" w:sz="4" w:space="0" w:color="FFFFFF"/>
              <w:right w:val="single" w:sz="4" w:space="0" w:color="FFFFFF"/>
            </w:tcBorders>
            <w:shd w:val="clear" w:color="auto" w:fill="CCE2ED"/>
          </w:tcPr>
          <w:p w14:paraId="7D7008F0" w14:textId="77777777" w:rsidR="00141B97" w:rsidRDefault="00911D63">
            <w:pPr>
              <w:pStyle w:val="TableParagraph"/>
              <w:spacing w:before="29"/>
              <w:ind w:right="76"/>
              <w:jc w:val="right"/>
              <w:rPr>
                <w:sz w:val="18"/>
              </w:rPr>
            </w:pPr>
            <w:r>
              <w:rPr>
                <w:spacing w:val="-5"/>
                <w:sz w:val="18"/>
              </w:rPr>
              <w:t>12</w:t>
            </w:r>
          </w:p>
        </w:tc>
        <w:tc>
          <w:tcPr>
            <w:tcW w:w="1855" w:type="dxa"/>
            <w:tcBorders>
              <w:top w:val="single" w:sz="4" w:space="0" w:color="FFFFFF"/>
              <w:left w:val="single" w:sz="4" w:space="0" w:color="FFFFFF"/>
              <w:right w:val="single" w:sz="4" w:space="0" w:color="FFFFFF"/>
            </w:tcBorders>
            <w:shd w:val="clear" w:color="auto" w:fill="CCE2ED"/>
          </w:tcPr>
          <w:p w14:paraId="4E13D367" w14:textId="77777777" w:rsidR="00141B97" w:rsidRDefault="00911D63">
            <w:pPr>
              <w:pStyle w:val="TableParagraph"/>
              <w:spacing w:before="29"/>
              <w:ind w:right="77"/>
              <w:jc w:val="right"/>
              <w:rPr>
                <w:sz w:val="18"/>
              </w:rPr>
            </w:pPr>
            <w:r>
              <w:rPr>
                <w:spacing w:val="-5"/>
                <w:sz w:val="18"/>
              </w:rPr>
              <w:t>12</w:t>
            </w:r>
          </w:p>
        </w:tc>
        <w:tc>
          <w:tcPr>
            <w:tcW w:w="1859" w:type="dxa"/>
            <w:tcBorders>
              <w:top w:val="single" w:sz="4" w:space="0" w:color="FFFFFF"/>
              <w:left w:val="single" w:sz="4" w:space="0" w:color="FFFFFF"/>
              <w:right w:val="single" w:sz="4" w:space="0" w:color="FFFFFF"/>
            </w:tcBorders>
            <w:shd w:val="clear" w:color="auto" w:fill="CCE2ED"/>
          </w:tcPr>
          <w:p w14:paraId="69A1E5C4" w14:textId="77777777" w:rsidR="00141B97" w:rsidRDefault="00911D63">
            <w:pPr>
              <w:pStyle w:val="TableParagraph"/>
              <w:spacing w:before="29"/>
              <w:ind w:right="77"/>
              <w:jc w:val="right"/>
              <w:rPr>
                <w:sz w:val="18"/>
              </w:rPr>
            </w:pPr>
            <w:r>
              <w:rPr>
                <w:spacing w:val="-5"/>
                <w:sz w:val="18"/>
              </w:rPr>
              <w:t>12</w:t>
            </w:r>
          </w:p>
        </w:tc>
        <w:tc>
          <w:tcPr>
            <w:tcW w:w="1854" w:type="dxa"/>
            <w:tcBorders>
              <w:top w:val="single" w:sz="4" w:space="0" w:color="FFFFFF"/>
              <w:left w:val="single" w:sz="4" w:space="0" w:color="FFFFFF"/>
              <w:right w:val="single" w:sz="4" w:space="0" w:color="FFFFFF"/>
            </w:tcBorders>
            <w:shd w:val="clear" w:color="auto" w:fill="CCE2ED"/>
          </w:tcPr>
          <w:p w14:paraId="02F877C2" w14:textId="77777777" w:rsidR="00141B97" w:rsidRDefault="00911D63">
            <w:pPr>
              <w:pStyle w:val="TableParagraph"/>
              <w:spacing w:before="29"/>
              <w:ind w:right="76"/>
              <w:jc w:val="right"/>
              <w:rPr>
                <w:sz w:val="18"/>
              </w:rPr>
            </w:pPr>
            <w:r>
              <w:rPr>
                <w:spacing w:val="-5"/>
                <w:sz w:val="18"/>
              </w:rPr>
              <w:t>12</w:t>
            </w:r>
          </w:p>
        </w:tc>
        <w:tc>
          <w:tcPr>
            <w:tcW w:w="1859" w:type="dxa"/>
            <w:tcBorders>
              <w:top w:val="single" w:sz="4" w:space="0" w:color="FFFFFF"/>
              <w:left w:val="single" w:sz="4" w:space="0" w:color="FFFFFF"/>
              <w:right w:val="single" w:sz="4" w:space="0" w:color="FFFFFF"/>
            </w:tcBorders>
            <w:shd w:val="clear" w:color="auto" w:fill="CCE2ED"/>
          </w:tcPr>
          <w:p w14:paraId="11170201" w14:textId="77777777" w:rsidR="00141B97" w:rsidRDefault="00911D63">
            <w:pPr>
              <w:pStyle w:val="TableParagraph"/>
              <w:spacing w:before="29"/>
              <w:ind w:right="77"/>
              <w:jc w:val="right"/>
              <w:rPr>
                <w:sz w:val="18"/>
              </w:rPr>
            </w:pPr>
            <w:r>
              <w:rPr>
                <w:spacing w:val="-5"/>
                <w:sz w:val="18"/>
              </w:rPr>
              <w:t>12</w:t>
            </w:r>
          </w:p>
        </w:tc>
        <w:tc>
          <w:tcPr>
            <w:tcW w:w="1861" w:type="dxa"/>
            <w:tcBorders>
              <w:top w:val="single" w:sz="4" w:space="0" w:color="FFFFFF"/>
              <w:left w:val="single" w:sz="4" w:space="0" w:color="FFFFFF"/>
              <w:right w:val="nil"/>
            </w:tcBorders>
            <w:shd w:val="clear" w:color="auto" w:fill="CCE2ED"/>
          </w:tcPr>
          <w:p w14:paraId="3AB4A081" w14:textId="77777777" w:rsidR="00141B97" w:rsidRDefault="00911D63">
            <w:pPr>
              <w:pStyle w:val="TableParagraph"/>
              <w:spacing w:before="29"/>
              <w:ind w:right="77"/>
              <w:jc w:val="right"/>
              <w:rPr>
                <w:sz w:val="18"/>
              </w:rPr>
            </w:pPr>
            <w:r>
              <w:rPr>
                <w:spacing w:val="-5"/>
                <w:sz w:val="18"/>
              </w:rPr>
              <w:t>12</w:t>
            </w:r>
          </w:p>
        </w:tc>
      </w:tr>
      <w:tr w:rsidR="00141B97" w14:paraId="0E10BCF0" w14:textId="77777777">
        <w:trPr>
          <w:trHeight w:val="356"/>
        </w:trPr>
        <w:tc>
          <w:tcPr>
            <w:tcW w:w="4028" w:type="dxa"/>
            <w:tcBorders>
              <w:left w:val="nil"/>
              <w:bottom w:val="single" w:sz="4" w:space="0" w:color="FFFFFF"/>
              <w:right w:val="single" w:sz="4" w:space="0" w:color="FFFFFF"/>
            </w:tcBorders>
            <w:shd w:val="clear" w:color="auto" w:fill="CCE2ED"/>
          </w:tcPr>
          <w:p w14:paraId="0F19BB81" w14:textId="77777777" w:rsidR="00141B97" w:rsidRDefault="00911D63">
            <w:pPr>
              <w:pStyle w:val="TableParagraph"/>
              <w:spacing w:before="67"/>
              <w:ind w:left="80"/>
              <w:rPr>
                <w:sz w:val="18"/>
              </w:rPr>
            </w:pPr>
            <w:r>
              <w:rPr>
                <w:sz w:val="18"/>
              </w:rPr>
              <w:t>Millewa</w:t>
            </w:r>
            <w:r>
              <w:rPr>
                <w:spacing w:val="-1"/>
                <w:sz w:val="18"/>
              </w:rPr>
              <w:t xml:space="preserve"> </w:t>
            </w:r>
            <w:r>
              <w:rPr>
                <w:sz w:val="18"/>
              </w:rPr>
              <w:t>‐ no</w:t>
            </w:r>
            <w:r>
              <w:rPr>
                <w:spacing w:val="-2"/>
                <w:sz w:val="18"/>
              </w:rPr>
              <w:t xml:space="preserve"> </w:t>
            </w:r>
            <w:r>
              <w:rPr>
                <w:sz w:val="18"/>
              </w:rPr>
              <w:t>of rural</w:t>
            </w:r>
            <w:r>
              <w:rPr>
                <w:spacing w:val="-1"/>
                <w:sz w:val="18"/>
              </w:rPr>
              <w:t xml:space="preserve"> </w:t>
            </w:r>
            <w:r>
              <w:rPr>
                <w:spacing w:val="-2"/>
                <w:sz w:val="18"/>
              </w:rPr>
              <w:t>connections</w:t>
            </w:r>
          </w:p>
        </w:tc>
        <w:tc>
          <w:tcPr>
            <w:tcW w:w="2378" w:type="dxa"/>
            <w:tcBorders>
              <w:left w:val="single" w:sz="4" w:space="0" w:color="FFFFFF"/>
              <w:bottom w:val="single" w:sz="4" w:space="0" w:color="FFFFFF"/>
              <w:right w:val="single" w:sz="4" w:space="0" w:color="FFFFFF"/>
            </w:tcBorders>
            <w:shd w:val="clear" w:color="auto" w:fill="CCE2ED"/>
          </w:tcPr>
          <w:p w14:paraId="693B0580" w14:textId="77777777" w:rsidR="00141B97" w:rsidRDefault="00911D63">
            <w:pPr>
              <w:pStyle w:val="TableParagraph"/>
              <w:spacing w:before="67"/>
              <w:ind w:right="76"/>
              <w:jc w:val="right"/>
              <w:rPr>
                <w:sz w:val="18"/>
              </w:rPr>
            </w:pPr>
            <w:r>
              <w:rPr>
                <w:spacing w:val="-5"/>
                <w:sz w:val="18"/>
              </w:rPr>
              <w:t>189</w:t>
            </w:r>
          </w:p>
        </w:tc>
        <w:tc>
          <w:tcPr>
            <w:tcW w:w="1855" w:type="dxa"/>
            <w:tcBorders>
              <w:left w:val="single" w:sz="4" w:space="0" w:color="FFFFFF"/>
              <w:bottom w:val="single" w:sz="4" w:space="0" w:color="FFFFFF"/>
              <w:right w:val="single" w:sz="4" w:space="0" w:color="FFFFFF"/>
            </w:tcBorders>
            <w:shd w:val="clear" w:color="auto" w:fill="CCE2ED"/>
          </w:tcPr>
          <w:p w14:paraId="184EDDD6" w14:textId="77777777" w:rsidR="00141B97" w:rsidRDefault="00911D63">
            <w:pPr>
              <w:pStyle w:val="TableParagraph"/>
              <w:spacing w:before="67"/>
              <w:ind w:right="77"/>
              <w:jc w:val="right"/>
              <w:rPr>
                <w:sz w:val="18"/>
              </w:rPr>
            </w:pPr>
            <w:r>
              <w:rPr>
                <w:spacing w:val="-5"/>
                <w:sz w:val="18"/>
              </w:rPr>
              <w:t>189</w:t>
            </w:r>
          </w:p>
        </w:tc>
        <w:tc>
          <w:tcPr>
            <w:tcW w:w="1859" w:type="dxa"/>
            <w:tcBorders>
              <w:left w:val="single" w:sz="4" w:space="0" w:color="FFFFFF"/>
              <w:bottom w:val="single" w:sz="4" w:space="0" w:color="FFFFFF"/>
              <w:right w:val="single" w:sz="4" w:space="0" w:color="FFFFFF"/>
            </w:tcBorders>
            <w:shd w:val="clear" w:color="auto" w:fill="CCE2ED"/>
          </w:tcPr>
          <w:p w14:paraId="24A12885" w14:textId="77777777" w:rsidR="00141B97" w:rsidRDefault="00911D63">
            <w:pPr>
              <w:pStyle w:val="TableParagraph"/>
              <w:spacing w:before="67"/>
              <w:ind w:right="77"/>
              <w:jc w:val="right"/>
              <w:rPr>
                <w:sz w:val="18"/>
              </w:rPr>
            </w:pPr>
            <w:r>
              <w:rPr>
                <w:spacing w:val="-5"/>
                <w:sz w:val="18"/>
              </w:rPr>
              <w:t>189</w:t>
            </w:r>
          </w:p>
        </w:tc>
        <w:tc>
          <w:tcPr>
            <w:tcW w:w="1854" w:type="dxa"/>
            <w:tcBorders>
              <w:left w:val="single" w:sz="4" w:space="0" w:color="FFFFFF"/>
              <w:bottom w:val="single" w:sz="4" w:space="0" w:color="FFFFFF"/>
              <w:right w:val="single" w:sz="4" w:space="0" w:color="FFFFFF"/>
            </w:tcBorders>
            <w:shd w:val="clear" w:color="auto" w:fill="CCE2ED"/>
          </w:tcPr>
          <w:p w14:paraId="559C3E9F" w14:textId="77777777" w:rsidR="00141B97" w:rsidRDefault="00911D63">
            <w:pPr>
              <w:pStyle w:val="TableParagraph"/>
              <w:spacing w:before="67"/>
              <w:ind w:right="76"/>
              <w:jc w:val="right"/>
              <w:rPr>
                <w:sz w:val="18"/>
              </w:rPr>
            </w:pPr>
            <w:r>
              <w:rPr>
                <w:spacing w:val="-5"/>
                <w:sz w:val="18"/>
              </w:rPr>
              <w:t>189</w:t>
            </w:r>
          </w:p>
        </w:tc>
        <w:tc>
          <w:tcPr>
            <w:tcW w:w="1859" w:type="dxa"/>
            <w:tcBorders>
              <w:left w:val="single" w:sz="4" w:space="0" w:color="FFFFFF"/>
              <w:bottom w:val="single" w:sz="4" w:space="0" w:color="FFFFFF"/>
              <w:right w:val="single" w:sz="4" w:space="0" w:color="FFFFFF"/>
            </w:tcBorders>
            <w:shd w:val="clear" w:color="auto" w:fill="CCE2ED"/>
          </w:tcPr>
          <w:p w14:paraId="661B3E77" w14:textId="77777777" w:rsidR="00141B97" w:rsidRDefault="00911D63">
            <w:pPr>
              <w:pStyle w:val="TableParagraph"/>
              <w:spacing w:before="67"/>
              <w:ind w:right="77"/>
              <w:jc w:val="right"/>
              <w:rPr>
                <w:sz w:val="18"/>
              </w:rPr>
            </w:pPr>
            <w:r>
              <w:rPr>
                <w:spacing w:val="-5"/>
                <w:sz w:val="18"/>
              </w:rPr>
              <w:t>189</w:t>
            </w:r>
          </w:p>
        </w:tc>
        <w:tc>
          <w:tcPr>
            <w:tcW w:w="1861" w:type="dxa"/>
            <w:tcBorders>
              <w:left w:val="single" w:sz="4" w:space="0" w:color="FFFFFF"/>
              <w:bottom w:val="single" w:sz="4" w:space="0" w:color="FFFFFF"/>
              <w:right w:val="nil"/>
            </w:tcBorders>
            <w:shd w:val="clear" w:color="auto" w:fill="CCE2ED"/>
          </w:tcPr>
          <w:p w14:paraId="3E3839DE" w14:textId="77777777" w:rsidR="00141B97" w:rsidRDefault="00911D63">
            <w:pPr>
              <w:pStyle w:val="TableParagraph"/>
              <w:spacing w:before="67"/>
              <w:ind w:right="77"/>
              <w:jc w:val="right"/>
              <w:rPr>
                <w:sz w:val="18"/>
              </w:rPr>
            </w:pPr>
            <w:r>
              <w:rPr>
                <w:spacing w:val="-5"/>
                <w:sz w:val="18"/>
              </w:rPr>
              <w:t>189</w:t>
            </w:r>
          </w:p>
        </w:tc>
      </w:tr>
      <w:tr w:rsidR="00141B97" w14:paraId="6B9276C8" w14:textId="77777777">
        <w:trPr>
          <w:trHeight w:val="275"/>
        </w:trPr>
        <w:tc>
          <w:tcPr>
            <w:tcW w:w="4028" w:type="dxa"/>
            <w:tcBorders>
              <w:top w:val="single" w:sz="4" w:space="0" w:color="FFFFFF"/>
              <w:left w:val="nil"/>
              <w:bottom w:val="single" w:sz="4" w:space="0" w:color="FFFFFF"/>
              <w:right w:val="single" w:sz="4" w:space="0" w:color="FFFFFF"/>
            </w:tcBorders>
            <w:shd w:val="clear" w:color="auto" w:fill="CCE2ED"/>
          </w:tcPr>
          <w:p w14:paraId="332CFB03" w14:textId="77777777" w:rsidR="00141B97" w:rsidRDefault="00911D63">
            <w:pPr>
              <w:pStyle w:val="TableParagraph"/>
              <w:spacing w:before="29"/>
              <w:ind w:left="80"/>
              <w:rPr>
                <w:sz w:val="18"/>
              </w:rPr>
            </w:pPr>
            <w:r>
              <w:rPr>
                <w:sz w:val="18"/>
              </w:rPr>
              <w:t>Millewa</w:t>
            </w:r>
            <w:r>
              <w:rPr>
                <w:spacing w:val="-1"/>
                <w:sz w:val="18"/>
              </w:rPr>
              <w:t xml:space="preserve"> </w:t>
            </w:r>
            <w:r>
              <w:rPr>
                <w:sz w:val="18"/>
              </w:rPr>
              <w:t>‐ no</w:t>
            </w:r>
            <w:r>
              <w:rPr>
                <w:spacing w:val="-1"/>
                <w:sz w:val="18"/>
              </w:rPr>
              <w:t xml:space="preserve"> </w:t>
            </w:r>
            <w:r>
              <w:rPr>
                <w:sz w:val="18"/>
              </w:rPr>
              <w:t xml:space="preserve">of </w:t>
            </w:r>
            <w:r>
              <w:rPr>
                <w:spacing w:val="-2"/>
                <w:sz w:val="18"/>
              </w:rPr>
              <w:t>houses</w:t>
            </w:r>
          </w:p>
        </w:tc>
        <w:tc>
          <w:tcPr>
            <w:tcW w:w="2378" w:type="dxa"/>
            <w:tcBorders>
              <w:top w:val="single" w:sz="4" w:space="0" w:color="FFFFFF"/>
              <w:left w:val="single" w:sz="4" w:space="0" w:color="FFFFFF"/>
              <w:bottom w:val="single" w:sz="4" w:space="0" w:color="FFFFFF"/>
              <w:right w:val="single" w:sz="4" w:space="0" w:color="FFFFFF"/>
            </w:tcBorders>
            <w:shd w:val="clear" w:color="auto" w:fill="CCE2ED"/>
          </w:tcPr>
          <w:p w14:paraId="5FA661ED" w14:textId="77777777" w:rsidR="00141B97" w:rsidRDefault="00911D63">
            <w:pPr>
              <w:pStyle w:val="TableParagraph"/>
              <w:spacing w:before="29"/>
              <w:ind w:right="76"/>
              <w:jc w:val="right"/>
              <w:rPr>
                <w:sz w:val="18"/>
              </w:rPr>
            </w:pPr>
            <w:r>
              <w:rPr>
                <w:spacing w:val="-5"/>
                <w:sz w:val="18"/>
              </w:rPr>
              <w:t>97</w:t>
            </w:r>
          </w:p>
        </w:tc>
        <w:tc>
          <w:tcPr>
            <w:tcW w:w="1855" w:type="dxa"/>
            <w:tcBorders>
              <w:top w:val="single" w:sz="4" w:space="0" w:color="FFFFFF"/>
              <w:left w:val="single" w:sz="4" w:space="0" w:color="FFFFFF"/>
              <w:bottom w:val="single" w:sz="4" w:space="0" w:color="FFFFFF"/>
              <w:right w:val="single" w:sz="4" w:space="0" w:color="FFFFFF"/>
            </w:tcBorders>
            <w:shd w:val="clear" w:color="auto" w:fill="CCE2ED"/>
          </w:tcPr>
          <w:p w14:paraId="0D07B803" w14:textId="77777777" w:rsidR="00141B97" w:rsidRDefault="00911D63">
            <w:pPr>
              <w:pStyle w:val="TableParagraph"/>
              <w:spacing w:before="29"/>
              <w:ind w:right="77"/>
              <w:jc w:val="right"/>
              <w:rPr>
                <w:sz w:val="18"/>
              </w:rPr>
            </w:pPr>
            <w:r>
              <w:rPr>
                <w:spacing w:val="-5"/>
                <w:sz w:val="18"/>
              </w:rPr>
              <w:t>97</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7C2B08AD" w14:textId="77777777" w:rsidR="00141B97" w:rsidRDefault="00911D63">
            <w:pPr>
              <w:pStyle w:val="TableParagraph"/>
              <w:spacing w:before="29"/>
              <w:ind w:right="77"/>
              <w:jc w:val="right"/>
              <w:rPr>
                <w:sz w:val="18"/>
              </w:rPr>
            </w:pPr>
            <w:r>
              <w:rPr>
                <w:spacing w:val="-5"/>
                <w:sz w:val="18"/>
              </w:rPr>
              <w:t>97</w:t>
            </w:r>
          </w:p>
        </w:tc>
        <w:tc>
          <w:tcPr>
            <w:tcW w:w="1854" w:type="dxa"/>
            <w:tcBorders>
              <w:top w:val="single" w:sz="4" w:space="0" w:color="FFFFFF"/>
              <w:left w:val="single" w:sz="4" w:space="0" w:color="FFFFFF"/>
              <w:bottom w:val="single" w:sz="4" w:space="0" w:color="FFFFFF"/>
              <w:right w:val="single" w:sz="4" w:space="0" w:color="FFFFFF"/>
            </w:tcBorders>
            <w:shd w:val="clear" w:color="auto" w:fill="CCE2ED"/>
          </w:tcPr>
          <w:p w14:paraId="19F8E0E4" w14:textId="77777777" w:rsidR="00141B97" w:rsidRDefault="00911D63">
            <w:pPr>
              <w:pStyle w:val="TableParagraph"/>
              <w:spacing w:before="29"/>
              <w:ind w:right="76"/>
              <w:jc w:val="right"/>
              <w:rPr>
                <w:sz w:val="18"/>
              </w:rPr>
            </w:pPr>
            <w:r>
              <w:rPr>
                <w:spacing w:val="-5"/>
                <w:sz w:val="18"/>
              </w:rPr>
              <w:t>97</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7BD85108" w14:textId="77777777" w:rsidR="00141B97" w:rsidRDefault="00911D63">
            <w:pPr>
              <w:pStyle w:val="TableParagraph"/>
              <w:spacing w:before="29"/>
              <w:ind w:right="77"/>
              <w:jc w:val="right"/>
              <w:rPr>
                <w:sz w:val="18"/>
              </w:rPr>
            </w:pPr>
            <w:r>
              <w:rPr>
                <w:spacing w:val="-5"/>
                <w:sz w:val="18"/>
              </w:rPr>
              <w:t>97</w:t>
            </w:r>
          </w:p>
        </w:tc>
        <w:tc>
          <w:tcPr>
            <w:tcW w:w="1861" w:type="dxa"/>
            <w:tcBorders>
              <w:top w:val="single" w:sz="4" w:space="0" w:color="FFFFFF"/>
              <w:left w:val="single" w:sz="4" w:space="0" w:color="FFFFFF"/>
              <w:bottom w:val="single" w:sz="4" w:space="0" w:color="FFFFFF"/>
              <w:right w:val="nil"/>
            </w:tcBorders>
            <w:shd w:val="clear" w:color="auto" w:fill="CCE2ED"/>
          </w:tcPr>
          <w:p w14:paraId="34A9A7AD" w14:textId="77777777" w:rsidR="00141B97" w:rsidRDefault="00911D63">
            <w:pPr>
              <w:pStyle w:val="TableParagraph"/>
              <w:spacing w:before="29"/>
              <w:ind w:right="77"/>
              <w:jc w:val="right"/>
              <w:rPr>
                <w:sz w:val="18"/>
              </w:rPr>
            </w:pPr>
            <w:r>
              <w:rPr>
                <w:spacing w:val="-5"/>
                <w:sz w:val="18"/>
              </w:rPr>
              <w:t>97</w:t>
            </w:r>
          </w:p>
        </w:tc>
      </w:tr>
      <w:tr w:rsidR="00141B97" w14:paraId="391E68F3" w14:textId="77777777">
        <w:trPr>
          <w:trHeight w:val="356"/>
        </w:trPr>
        <w:tc>
          <w:tcPr>
            <w:tcW w:w="4028" w:type="dxa"/>
            <w:tcBorders>
              <w:top w:val="single" w:sz="4" w:space="0" w:color="FFFFFF"/>
              <w:left w:val="nil"/>
              <w:right w:val="single" w:sz="4" w:space="0" w:color="FFFFFF"/>
            </w:tcBorders>
            <w:shd w:val="clear" w:color="auto" w:fill="CCE2ED"/>
          </w:tcPr>
          <w:p w14:paraId="6CE3B5D0" w14:textId="77777777" w:rsidR="00141B97" w:rsidRDefault="00911D63">
            <w:pPr>
              <w:pStyle w:val="TableParagraph"/>
              <w:spacing w:before="71"/>
              <w:ind w:left="80"/>
              <w:rPr>
                <w:sz w:val="18"/>
              </w:rPr>
            </w:pPr>
            <w:r>
              <w:rPr>
                <w:sz w:val="18"/>
              </w:rPr>
              <w:t>Millewa</w:t>
            </w:r>
            <w:r>
              <w:rPr>
                <w:spacing w:val="-1"/>
                <w:sz w:val="18"/>
              </w:rPr>
              <w:t xml:space="preserve"> </w:t>
            </w:r>
            <w:r>
              <w:rPr>
                <w:sz w:val="18"/>
              </w:rPr>
              <w:t>‐ no</w:t>
            </w:r>
            <w:r>
              <w:rPr>
                <w:spacing w:val="-2"/>
                <w:sz w:val="18"/>
              </w:rPr>
              <w:t xml:space="preserve"> </w:t>
            </w:r>
            <w:r>
              <w:rPr>
                <w:sz w:val="18"/>
              </w:rPr>
              <w:t>of urban</w:t>
            </w:r>
            <w:r>
              <w:rPr>
                <w:spacing w:val="-2"/>
                <w:sz w:val="18"/>
              </w:rPr>
              <w:t xml:space="preserve"> </w:t>
            </w:r>
            <w:r>
              <w:rPr>
                <w:sz w:val="18"/>
              </w:rPr>
              <w:t xml:space="preserve">– </w:t>
            </w:r>
            <w:r>
              <w:rPr>
                <w:spacing w:val="-2"/>
                <w:sz w:val="18"/>
              </w:rPr>
              <w:t>offtake</w:t>
            </w:r>
          </w:p>
        </w:tc>
        <w:tc>
          <w:tcPr>
            <w:tcW w:w="2378" w:type="dxa"/>
            <w:tcBorders>
              <w:top w:val="single" w:sz="4" w:space="0" w:color="FFFFFF"/>
              <w:left w:val="single" w:sz="4" w:space="0" w:color="FFFFFF"/>
              <w:right w:val="single" w:sz="4" w:space="0" w:color="FFFFFF"/>
            </w:tcBorders>
            <w:shd w:val="clear" w:color="auto" w:fill="CCE2ED"/>
          </w:tcPr>
          <w:p w14:paraId="76C2E0C6" w14:textId="77777777" w:rsidR="00141B97" w:rsidRDefault="00911D63">
            <w:pPr>
              <w:pStyle w:val="TableParagraph"/>
              <w:spacing w:before="71"/>
              <w:ind w:right="76"/>
              <w:jc w:val="right"/>
              <w:rPr>
                <w:sz w:val="18"/>
              </w:rPr>
            </w:pPr>
            <w:r>
              <w:rPr>
                <w:spacing w:val="-5"/>
                <w:sz w:val="18"/>
              </w:rPr>
              <w:t>82</w:t>
            </w:r>
          </w:p>
        </w:tc>
        <w:tc>
          <w:tcPr>
            <w:tcW w:w="1855" w:type="dxa"/>
            <w:tcBorders>
              <w:top w:val="single" w:sz="4" w:space="0" w:color="FFFFFF"/>
              <w:left w:val="single" w:sz="4" w:space="0" w:color="FFFFFF"/>
              <w:right w:val="single" w:sz="4" w:space="0" w:color="FFFFFF"/>
            </w:tcBorders>
            <w:shd w:val="clear" w:color="auto" w:fill="CCE2ED"/>
          </w:tcPr>
          <w:p w14:paraId="2D3601A5" w14:textId="77777777" w:rsidR="00141B97" w:rsidRDefault="00911D63">
            <w:pPr>
              <w:pStyle w:val="TableParagraph"/>
              <w:spacing w:before="71"/>
              <w:ind w:right="77"/>
              <w:jc w:val="right"/>
              <w:rPr>
                <w:sz w:val="18"/>
              </w:rPr>
            </w:pPr>
            <w:r>
              <w:rPr>
                <w:spacing w:val="-5"/>
                <w:sz w:val="18"/>
              </w:rPr>
              <w:t>82</w:t>
            </w:r>
          </w:p>
        </w:tc>
        <w:tc>
          <w:tcPr>
            <w:tcW w:w="1859" w:type="dxa"/>
            <w:tcBorders>
              <w:top w:val="single" w:sz="4" w:space="0" w:color="FFFFFF"/>
              <w:left w:val="single" w:sz="4" w:space="0" w:color="FFFFFF"/>
              <w:right w:val="single" w:sz="4" w:space="0" w:color="FFFFFF"/>
            </w:tcBorders>
            <w:shd w:val="clear" w:color="auto" w:fill="CCE2ED"/>
          </w:tcPr>
          <w:p w14:paraId="0BE9D835" w14:textId="77777777" w:rsidR="00141B97" w:rsidRDefault="00911D63">
            <w:pPr>
              <w:pStyle w:val="TableParagraph"/>
              <w:spacing w:before="71"/>
              <w:ind w:right="77"/>
              <w:jc w:val="right"/>
              <w:rPr>
                <w:sz w:val="18"/>
              </w:rPr>
            </w:pPr>
            <w:r>
              <w:rPr>
                <w:spacing w:val="-5"/>
                <w:sz w:val="18"/>
              </w:rPr>
              <w:t>82</w:t>
            </w:r>
          </w:p>
        </w:tc>
        <w:tc>
          <w:tcPr>
            <w:tcW w:w="1854" w:type="dxa"/>
            <w:tcBorders>
              <w:top w:val="single" w:sz="4" w:space="0" w:color="FFFFFF"/>
              <w:left w:val="single" w:sz="4" w:space="0" w:color="FFFFFF"/>
              <w:right w:val="single" w:sz="4" w:space="0" w:color="FFFFFF"/>
            </w:tcBorders>
            <w:shd w:val="clear" w:color="auto" w:fill="CCE2ED"/>
          </w:tcPr>
          <w:p w14:paraId="251824C0" w14:textId="77777777" w:rsidR="00141B97" w:rsidRDefault="00911D63">
            <w:pPr>
              <w:pStyle w:val="TableParagraph"/>
              <w:spacing w:before="71"/>
              <w:ind w:right="76"/>
              <w:jc w:val="right"/>
              <w:rPr>
                <w:sz w:val="18"/>
              </w:rPr>
            </w:pPr>
            <w:r>
              <w:rPr>
                <w:spacing w:val="-5"/>
                <w:sz w:val="18"/>
              </w:rPr>
              <w:t>82</w:t>
            </w:r>
          </w:p>
        </w:tc>
        <w:tc>
          <w:tcPr>
            <w:tcW w:w="1859" w:type="dxa"/>
            <w:tcBorders>
              <w:top w:val="single" w:sz="4" w:space="0" w:color="FFFFFF"/>
              <w:left w:val="single" w:sz="4" w:space="0" w:color="FFFFFF"/>
              <w:right w:val="single" w:sz="4" w:space="0" w:color="FFFFFF"/>
            </w:tcBorders>
            <w:shd w:val="clear" w:color="auto" w:fill="CCE2ED"/>
          </w:tcPr>
          <w:p w14:paraId="2A4695C5" w14:textId="77777777" w:rsidR="00141B97" w:rsidRDefault="00911D63">
            <w:pPr>
              <w:pStyle w:val="TableParagraph"/>
              <w:spacing w:before="71"/>
              <w:ind w:right="77"/>
              <w:jc w:val="right"/>
              <w:rPr>
                <w:sz w:val="18"/>
              </w:rPr>
            </w:pPr>
            <w:r>
              <w:rPr>
                <w:spacing w:val="-5"/>
                <w:sz w:val="18"/>
              </w:rPr>
              <w:t>82</w:t>
            </w:r>
          </w:p>
        </w:tc>
        <w:tc>
          <w:tcPr>
            <w:tcW w:w="1861" w:type="dxa"/>
            <w:tcBorders>
              <w:top w:val="single" w:sz="4" w:space="0" w:color="FFFFFF"/>
              <w:left w:val="single" w:sz="4" w:space="0" w:color="FFFFFF"/>
              <w:right w:val="nil"/>
            </w:tcBorders>
            <w:shd w:val="clear" w:color="auto" w:fill="CCE2ED"/>
          </w:tcPr>
          <w:p w14:paraId="70EC6CFF" w14:textId="77777777" w:rsidR="00141B97" w:rsidRDefault="00911D63">
            <w:pPr>
              <w:pStyle w:val="TableParagraph"/>
              <w:spacing w:before="71"/>
              <w:ind w:right="77"/>
              <w:jc w:val="right"/>
              <w:rPr>
                <w:sz w:val="18"/>
              </w:rPr>
            </w:pPr>
            <w:r>
              <w:rPr>
                <w:spacing w:val="-5"/>
                <w:sz w:val="18"/>
              </w:rPr>
              <w:t>82</w:t>
            </w:r>
          </w:p>
        </w:tc>
      </w:tr>
      <w:tr w:rsidR="00141B97" w14:paraId="3C0454FE" w14:textId="77777777">
        <w:trPr>
          <w:trHeight w:val="356"/>
        </w:trPr>
        <w:tc>
          <w:tcPr>
            <w:tcW w:w="4028" w:type="dxa"/>
            <w:tcBorders>
              <w:left w:val="nil"/>
              <w:bottom w:val="single" w:sz="4" w:space="0" w:color="FFFFFF"/>
              <w:right w:val="single" w:sz="4" w:space="0" w:color="FFFFFF"/>
            </w:tcBorders>
            <w:shd w:val="clear" w:color="auto" w:fill="CCE2ED"/>
          </w:tcPr>
          <w:p w14:paraId="5EAD04EC" w14:textId="77777777" w:rsidR="00141B97" w:rsidRDefault="00911D63">
            <w:pPr>
              <w:pStyle w:val="TableParagraph"/>
              <w:spacing w:before="67"/>
              <w:ind w:left="80"/>
              <w:rPr>
                <w:sz w:val="18"/>
              </w:rPr>
            </w:pPr>
            <w:r>
              <w:rPr>
                <w:sz w:val="18"/>
              </w:rPr>
              <w:t>Millewa</w:t>
            </w:r>
            <w:r>
              <w:rPr>
                <w:spacing w:val="-1"/>
                <w:sz w:val="18"/>
              </w:rPr>
              <w:t xml:space="preserve"> </w:t>
            </w:r>
            <w:r>
              <w:rPr>
                <w:sz w:val="18"/>
              </w:rPr>
              <w:t>‐ no</w:t>
            </w:r>
            <w:r>
              <w:rPr>
                <w:spacing w:val="-2"/>
                <w:sz w:val="18"/>
              </w:rPr>
              <w:t xml:space="preserve"> </w:t>
            </w:r>
            <w:r>
              <w:rPr>
                <w:sz w:val="18"/>
              </w:rPr>
              <w:t>of urban</w:t>
            </w:r>
            <w:r>
              <w:rPr>
                <w:spacing w:val="-2"/>
                <w:sz w:val="18"/>
              </w:rPr>
              <w:t xml:space="preserve"> </w:t>
            </w:r>
            <w:r>
              <w:rPr>
                <w:sz w:val="18"/>
              </w:rPr>
              <w:t>‐ no</w:t>
            </w:r>
            <w:r>
              <w:rPr>
                <w:spacing w:val="-1"/>
                <w:sz w:val="18"/>
              </w:rPr>
              <w:t xml:space="preserve"> </w:t>
            </w:r>
            <w:r>
              <w:rPr>
                <w:spacing w:val="-2"/>
                <w:sz w:val="18"/>
              </w:rPr>
              <w:t>offtake</w:t>
            </w:r>
          </w:p>
        </w:tc>
        <w:tc>
          <w:tcPr>
            <w:tcW w:w="2378" w:type="dxa"/>
            <w:tcBorders>
              <w:left w:val="single" w:sz="4" w:space="0" w:color="FFFFFF"/>
              <w:bottom w:val="single" w:sz="4" w:space="0" w:color="FFFFFF"/>
              <w:right w:val="single" w:sz="4" w:space="0" w:color="FFFFFF"/>
            </w:tcBorders>
            <w:shd w:val="clear" w:color="auto" w:fill="CCE2ED"/>
          </w:tcPr>
          <w:p w14:paraId="2EA2B8FD" w14:textId="77777777" w:rsidR="00141B97" w:rsidRDefault="00911D63">
            <w:pPr>
              <w:pStyle w:val="TableParagraph"/>
              <w:spacing w:before="67"/>
              <w:ind w:right="76"/>
              <w:jc w:val="right"/>
              <w:rPr>
                <w:sz w:val="18"/>
              </w:rPr>
            </w:pPr>
            <w:r>
              <w:rPr>
                <w:spacing w:val="-5"/>
                <w:sz w:val="18"/>
              </w:rPr>
              <w:t>15</w:t>
            </w:r>
          </w:p>
        </w:tc>
        <w:tc>
          <w:tcPr>
            <w:tcW w:w="1855" w:type="dxa"/>
            <w:tcBorders>
              <w:left w:val="single" w:sz="4" w:space="0" w:color="FFFFFF"/>
              <w:bottom w:val="single" w:sz="4" w:space="0" w:color="FFFFFF"/>
              <w:right w:val="single" w:sz="4" w:space="0" w:color="FFFFFF"/>
            </w:tcBorders>
            <w:shd w:val="clear" w:color="auto" w:fill="CCE2ED"/>
          </w:tcPr>
          <w:p w14:paraId="339F80ED" w14:textId="77777777" w:rsidR="00141B97" w:rsidRDefault="00911D63">
            <w:pPr>
              <w:pStyle w:val="TableParagraph"/>
              <w:spacing w:before="67"/>
              <w:ind w:right="77"/>
              <w:jc w:val="right"/>
              <w:rPr>
                <w:sz w:val="18"/>
              </w:rPr>
            </w:pPr>
            <w:r>
              <w:rPr>
                <w:spacing w:val="-5"/>
                <w:sz w:val="18"/>
              </w:rPr>
              <w:t>15</w:t>
            </w:r>
          </w:p>
        </w:tc>
        <w:tc>
          <w:tcPr>
            <w:tcW w:w="1859" w:type="dxa"/>
            <w:tcBorders>
              <w:left w:val="single" w:sz="4" w:space="0" w:color="FFFFFF"/>
              <w:bottom w:val="single" w:sz="4" w:space="0" w:color="FFFFFF"/>
              <w:right w:val="single" w:sz="4" w:space="0" w:color="FFFFFF"/>
            </w:tcBorders>
            <w:shd w:val="clear" w:color="auto" w:fill="CCE2ED"/>
          </w:tcPr>
          <w:p w14:paraId="0921D4B9" w14:textId="77777777" w:rsidR="00141B97" w:rsidRDefault="00911D63">
            <w:pPr>
              <w:pStyle w:val="TableParagraph"/>
              <w:spacing w:before="67"/>
              <w:ind w:right="77"/>
              <w:jc w:val="right"/>
              <w:rPr>
                <w:sz w:val="18"/>
              </w:rPr>
            </w:pPr>
            <w:r>
              <w:rPr>
                <w:spacing w:val="-5"/>
                <w:sz w:val="18"/>
              </w:rPr>
              <w:t>15</w:t>
            </w:r>
          </w:p>
        </w:tc>
        <w:tc>
          <w:tcPr>
            <w:tcW w:w="1854" w:type="dxa"/>
            <w:tcBorders>
              <w:left w:val="single" w:sz="4" w:space="0" w:color="FFFFFF"/>
              <w:bottom w:val="single" w:sz="4" w:space="0" w:color="FFFFFF"/>
              <w:right w:val="single" w:sz="4" w:space="0" w:color="FFFFFF"/>
            </w:tcBorders>
            <w:shd w:val="clear" w:color="auto" w:fill="CCE2ED"/>
          </w:tcPr>
          <w:p w14:paraId="71EA81C4" w14:textId="77777777" w:rsidR="00141B97" w:rsidRDefault="00911D63">
            <w:pPr>
              <w:pStyle w:val="TableParagraph"/>
              <w:spacing w:before="67"/>
              <w:ind w:right="76"/>
              <w:jc w:val="right"/>
              <w:rPr>
                <w:sz w:val="18"/>
              </w:rPr>
            </w:pPr>
            <w:r>
              <w:rPr>
                <w:spacing w:val="-5"/>
                <w:sz w:val="18"/>
              </w:rPr>
              <w:t>15</w:t>
            </w:r>
          </w:p>
        </w:tc>
        <w:tc>
          <w:tcPr>
            <w:tcW w:w="1859" w:type="dxa"/>
            <w:tcBorders>
              <w:left w:val="single" w:sz="4" w:space="0" w:color="FFFFFF"/>
              <w:bottom w:val="single" w:sz="4" w:space="0" w:color="FFFFFF"/>
              <w:right w:val="single" w:sz="4" w:space="0" w:color="FFFFFF"/>
            </w:tcBorders>
            <w:shd w:val="clear" w:color="auto" w:fill="CCE2ED"/>
          </w:tcPr>
          <w:p w14:paraId="4C811DC2" w14:textId="77777777" w:rsidR="00141B97" w:rsidRDefault="00911D63">
            <w:pPr>
              <w:pStyle w:val="TableParagraph"/>
              <w:spacing w:before="67"/>
              <w:ind w:right="77"/>
              <w:jc w:val="right"/>
              <w:rPr>
                <w:sz w:val="18"/>
              </w:rPr>
            </w:pPr>
            <w:r>
              <w:rPr>
                <w:spacing w:val="-5"/>
                <w:sz w:val="18"/>
              </w:rPr>
              <w:t>15</w:t>
            </w:r>
          </w:p>
        </w:tc>
        <w:tc>
          <w:tcPr>
            <w:tcW w:w="1861" w:type="dxa"/>
            <w:tcBorders>
              <w:left w:val="single" w:sz="4" w:space="0" w:color="FFFFFF"/>
              <w:bottom w:val="single" w:sz="4" w:space="0" w:color="FFFFFF"/>
              <w:right w:val="nil"/>
            </w:tcBorders>
            <w:shd w:val="clear" w:color="auto" w:fill="CCE2ED"/>
          </w:tcPr>
          <w:p w14:paraId="105F8880" w14:textId="77777777" w:rsidR="00141B97" w:rsidRDefault="00911D63">
            <w:pPr>
              <w:pStyle w:val="TableParagraph"/>
              <w:spacing w:before="67"/>
              <w:ind w:right="77"/>
              <w:jc w:val="right"/>
              <w:rPr>
                <w:sz w:val="18"/>
              </w:rPr>
            </w:pPr>
            <w:r>
              <w:rPr>
                <w:spacing w:val="-5"/>
                <w:sz w:val="18"/>
              </w:rPr>
              <w:t>15</w:t>
            </w:r>
          </w:p>
        </w:tc>
      </w:tr>
      <w:tr w:rsidR="00141B97" w14:paraId="4D02CF56" w14:textId="77777777">
        <w:trPr>
          <w:trHeight w:val="280"/>
        </w:trPr>
        <w:tc>
          <w:tcPr>
            <w:tcW w:w="4028" w:type="dxa"/>
            <w:tcBorders>
              <w:top w:val="single" w:sz="4" w:space="0" w:color="FFFFFF"/>
              <w:left w:val="nil"/>
              <w:bottom w:val="single" w:sz="4" w:space="0" w:color="FFFFFF"/>
              <w:right w:val="single" w:sz="4" w:space="0" w:color="FFFFFF"/>
            </w:tcBorders>
            <w:shd w:val="clear" w:color="auto" w:fill="A6A6A6"/>
          </w:tcPr>
          <w:p w14:paraId="0D3D5A7C" w14:textId="77777777" w:rsidR="00141B97" w:rsidRDefault="00911D63">
            <w:pPr>
              <w:pStyle w:val="TableParagraph"/>
              <w:spacing w:before="31"/>
              <w:ind w:left="80"/>
              <w:rPr>
                <w:sz w:val="18"/>
              </w:rPr>
            </w:pPr>
            <w:r>
              <w:rPr>
                <w:spacing w:val="-2"/>
                <w:sz w:val="18"/>
              </w:rPr>
              <w:t>Hectares</w:t>
            </w:r>
          </w:p>
        </w:tc>
        <w:tc>
          <w:tcPr>
            <w:tcW w:w="2378" w:type="dxa"/>
            <w:tcBorders>
              <w:top w:val="single" w:sz="4" w:space="0" w:color="FFFFFF"/>
              <w:left w:val="single" w:sz="4" w:space="0" w:color="FFFFFF"/>
              <w:bottom w:val="single" w:sz="4" w:space="0" w:color="FFFFFF"/>
              <w:right w:val="single" w:sz="4" w:space="0" w:color="FFFFFF"/>
            </w:tcBorders>
            <w:shd w:val="clear" w:color="auto" w:fill="A6A6A6"/>
          </w:tcPr>
          <w:p w14:paraId="05C50218" w14:textId="77777777" w:rsidR="00141B97" w:rsidRDefault="00141B97">
            <w:pPr>
              <w:pStyle w:val="TableParagraph"/>
              <w:rPr>
                <w:rFonts w:ascii="Times New Roman"/>
                <w:sz w:val="18"/>
              </w:rPr>
            </w:pPr>
          </w:p>
        </w:tc>
        <w:tc>
          <w:tcPr>
            <w:tcW w:w="1855" w:type="dxa"/>
            <w:tcBorders>
              <w:top w:val="single" w:sz="4" w:space="0" w:color="FFFFFF"/>
              <w:left w:val="single" w:sz="4" w:space="0" w:color="FFFFFF"/>
              <w:bottom w:val="single" w:sz="4" w:space="0" w:color="FFFFFF"/>
              <w:right w:val="single" w:sz="4" w:space="0" w:color="FFFFFF"/>
            </w:tcBorders>
            <w:shd w:val="clear" w:color="auto" w:fill="A6A6A6"/>
          </w:tcPr>
          <w:p w14:paraId="71EE0B49" w14:textId="77777777" w:rsidR="00141B97" w:rsidRDefault="00141B97">
            <w:pPr>
              <w:pStyle w:val="TableParagraph"/>
              <w:rPr>
                <w:rFonts w:ascii="Times New Roman"/>
                <w:sz w:val="18"/>
              </w:rPr>
            </w:pPr>
          </w:p>
        </w:tc>
        <w:tc>
          <w:tcPr>
            <w:tcW w:w="1859" w:type="dxa"/>
            <w:tcBorders>
              <w:top w:val="single" w:sz="4" w:space="0" w:color="FFFFFF"/>
              <w:left w:val="single" w:sz="4" w:space="0" w:color="FFFFFF"/>
              <w:bottom w:val="single" w:sz="4" w:space="0" w:color="FFFFFF"/>
              <w:right w:val="single" w:sz="4" w:space="0" w:color="FFFFFF"/>
            </w:tcBorders>
            <w:shd w:val="clear" w:color="auto" w:fill="A6A6A6"/>
          </w:tcPr>
          <w:p w14:paraId="5433F50A" w14:textId="77777777" w:rsidR="00141B97" w:rsidRDefault="00141B97">
            <w:pPr>
              <w:pStyle w:val="TableParagraph"/>
              <w:rPr>
                <w:rFonts w:ascii="Times New Roman"/>
                <w:sz w:val="18"/>
              </w:rPr>
            </w:pPr>
          </w:p>
        </w:tc>
        <w:tc>
          <w:tcPr>
            <w:tcW w:w="1854" w:type="dxa"/>
            <w:tcBorders>
              <w:top w:val="single" w:sz="4" w:space="0" w:color="FFFFFF"/>
              <w:left w:val="single" w:sz="4" w:space="0" w:color="FFFFFF"/>
              <w:bottom w:val="single" w:sz="4" w:space="0" w:color="FFFFFF"/>
              <w:right w:val="single" w:sz="4" w:space="0" w:color="FFFFFF"/>
            </w:tcBorders>
            <w:shd w:val="clear" w:color="auto" w:fill="A6A6A6"/>
          </w:tcPr>
          <w:p w14:paraId="684C74D8" w14:textId="77777777" w:rsidR="00141B97" w:rsidRDefault="00141B97">
            <w:pPr>
              <w:pStyle w:val="TableParagraph"/>
              <w:rPr>
                <w:rFonts w:ascii="Times New Roman"/>
                <w:sz w:val="18"/>
              </w:rPr>
            </w:pPr>
          </w:p>
        </w:tc>
        <w:tc>
          <w:tcPr>
            <w:tcW w:w="1859" w:type="dxa"/>
            <w:tcBorders>
              <w:top w:val="single" w:sz="4" w:space="0" w:color="FFFFFF"/>
              <w:left w:val="single" w:sz="4" w:space="0" w:color="FFFFFF"/>
              <w:bottom w:val="single" w:sz="4" w:space="0" w:color="FFFFFF"/>
              <w:right w:val="single" w:sz="4" w:space="0" w:color="FFFFFF"/>
            </w:tcBorders>
            <w:shd w:val="clear" w:color="auto" w:fill="A6A6A6"/>
          </w:tcPr>
          <w:p w14:paraId="582B781B" w14:textId="77777777" w:rsidR="00141B97" w:rsidRDefault="00141B97">
            <w:pPr>
              <w:pStyle w:val="TableParagraph"/>
              <w:rPr>
                <w:rFonts w:ascii="Times New Roman"/>
                <w:sz w:val="18"/>
              </w:rPr>
            </w:pPr>
          </w:p>
        </w:tc>
        <w:tc>
          <w:tcPr>
            <w:tcW w:w="1861" w:type="dxa"/>
            <w:tcBorders>
              <w:top w:val="single" w:sz="4" w:space="0" w:color="FFFFFF"/>
              <w:left w:val="single" w:sz="4" w:space="0" w:color="FFFFFF"/>
              <w:bottom w:val="single" w:sz="4" w:space="0" w:color="FFFFFF"/>
              <w:right w:val="nil"/>
            </w:tcBorders>
            <w:shd w:val="clear" w:color="auto" w:fill="A6A6A6"/>
          </w:tcPr>
          <w:p w14:paraId="16AB8465" w14:textId="77777777" w:rsidR="00141B97" w:rsidRDefault="00141B97">
            <w:pPr>
              <w:pStyle w:val="TableParagraph"/>
              <w:rPr>
                <w:rFonts w:ascii="Times New Roman"/>
                <w:sz w:val="18"/>
              </w:rPr>
            </w:pPr>
          </w:p>
        </w:tc>
      </w:tr>
      <w:tr w:rsidR="00141B97" w14:paraId="5729A767" w14:textId="77777777">
        <w:trPr>
          <w:trHeight w:val="279"/>
        </w:trPr>
        <w:tc>
          <w:tcPr>
            <w:tcW w:w="4028" w:type="dxa"/>
            <w:tcBorders>
              <w:top w:val="single" w:sz="4" w:space="0" w:color="FFFFFF"/>
              <w:left w:val="nil"/>
              <w:bottom w:val="single" w:sz="4" w:space="0" w:color="FFFFFF"/>
              <w:right w:val="single" w:sz="4" w:space="0" w:color="FFFFFF"/>
            </w:tcBorders>
            <w:shd w:val="clear" w:color="auto" w:fill="CCE2ED"/>
          </w:tcPr>
          <w:p w14:paraId="7FD8FC5E" w14:textId="77777777" w:rsidR="00141B97" w:rsidRDefault="00911D63">
            <w:pPr>
              <w:pStyle w:val="TableParagraph"/>
              <w:spacing w:before="30"/>
              <w:ind w:left="80"/>
              <w:rPr>
                <w:sz w:val="18"/>
              </w:rPr>
            </w:pPr>
            <w:r>
              <w:rPr>
                <w:sz w:val="18"/>
              </w:rPr>
              <w:t>Millewa</w:t>
            </w:r>
            <w:r>
              <w:rPr>
                <w:spacing w:val="-1"/>
                <w:sz w:val="18"/>
              </w:rPr>
              <w:t xml:space="preserve"> </w:t>
            </w:r>
            <w:r>
              <w:rPr>
                <w:sz w:val="18"/>
              </w:rPr>
              <w:t xml:space="preserve">‐ Hectares </w:t>
            </w:r>
            <w:r>
              <w:rPr>
                <w:spacing w:val="-2"/>
                <w:sz w:val="18"/>
              </w:rPr>
              <w:t>scrub</w:t>
            </w:r>
          </w:p>
        </w:tc>
        <w:tc>
          <w:tcPr>
            <w:tcW w:w="2378" w:type="dxa"/>
            <w:tcBorders>
              <w:top w:val="single" w:sz="4" w:space="0" w:color="FFFFFF"/>
              <w:left w:val="single" w:sz="4" w:space="0" w:color="FFFFFF"/>
              <w:bottom w:val="single" w:sz="4" w:space="0" w:color="FFFFFF"/>
              <w:right w:val="single" w:sz="4" w:space="0" w:color="FFFFFF"/>
            </w:tcBorders>
            <w:shd w:val="clear" w:color="auto" w:fill="CCE2ED"/>
          </w:tcPr>
          <w:p w14:paraId="42569217" w14:textId="77777777" w:rsidR="00141B97" w:rsidRDefault="00911D63">
            <w:pPr>
              <w:pStyle w:val="TableParagraph"/>
              <w:spacing w:before="30"/>
              <w:ind w:right="76"/>
              <w:jc w:val="right"/>
              <w:rPr>
                <w:sz w:val="18"/>
              </w:rPr>
            </w:pPr>
            <w:r>
              <w:rPr>
                <w:spacing w:val="-2"/>
                <w:sz w:val="18"/>
              </w:rPr>
              <w:t>8,763</w:t>
            </w:r>
          </w:p>
        </w:tc>
        <w:tc>
          <w:tcPr>
            <w:tcW w:w="1855" w:type="dxa"/>
            <w:tcBorders>
              <w:top w:val="single" w:sz="4" w:space="0" w:color="FFFFFF"/>
              <w:left w:val="single" w:sz="4" w:space="0" w:color="FFFFFF"/>
              <w:bottom w:val="single" w:sz="4" w:space="0" w:color="FFFFFF"/>
              <w:right w:val="single" w:sz="4" w:space="0" w:color="FFFFFF"/>
            </w:tcBorders>
            <w:shd w:val="clear" w:color="auto" w:fill="CCE2ED"/>
          </w:tcPr>
          <w:p w14:paraId="0E2F6496" w14:textId="77777777" w:rsidR="00141B97" w:rsidRDefault="00911D63">
            <w:pPr>
              <w:pStyle w:val="TableParagraph"/>
              <w:spacing w:before="30"/>
              <w:ind w:right="77"/>
              <w:jc w:val="right"/>
              <w:rPr>
                <w:sz w:val="18"/>
              </w:rPr>
            </w:pPr>
            <w:r>
              <w:rPr>
                <w:spacing w:val="-2"/>
                <w:sz w:val="18"/>
              </w:rPr>
              <w:t>8,763</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4B327501" w14:textId="77777777" w:rsidR="00141B97" w:rsidRDefault="00911D63">
            <w:pPr>
              <w:pStyle w:val="TableParagraph"/>
              <w:spacing w:before="30"/>
              <w:ind w:right="77"/>
              <w:jc w:val="right"/>
              <w:rPr>
                <w:sz w:val="18"/>
              </w:rPr>
            </w:pPr>
            <w:r>
              <w:rPr>
                <w:spacing w:val="-2"/>
                <w:sz w:val="18"/>
              </w:rPr>
              <w:t>8,763</w:t>
            </w:r>
          </w:p>
        </w:tc>
        <w:tc>
          <w:tcPr>
            <w:tcW w:w="1854" w:type="dxa"/>
            <w:tcBorders>
              <w:top w:val="single" w:sz="4" w:space="0" w:color="FFFFFF"/>
              <w:left w:val="single" w:sz="4" w:space="0" w:color="FFFFFF"/>
              <w:bottom w:val="single" w:sz="4" w:space="0" w:color="FFFFFF"/>
              <w:right w:val="single" w:sz="4" w:space="0" w:color="FFFFFF"/>
            </w:tcBorders>
            <w:shd w:val="clear" w:color="auto" w:fill="CCE2ED"/>
          </w:tcPr>
          <w:p w14:paraId="69BF8F23" w14:textId="77777777" w:rsidR="00141B97" w:rsidRDefault="00911D63">
            <w:pPr>
              <w:pStyle w:val="TableParagraph"/>
              <w:spacing w:before="30"/>
              <w:ind w:right="76"/>
              <w:jc w:val="right"/>
              <w:rPr>
                <w:sz w:val="18"/>
              </w:rPr>
            </w:pPr>
            <w:r>
              <w:rPr>
                <w:spacing w:val="-2"/>
                <w:sz w:val="18"/>
              </w:rPr>
              <w:t>8,763</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74E32181" w14:textId="77777777" w:rsidR="00141B97" w:rsidRDefault="00911D63">
            <w:pPr>
              <w:pStyle w:val="TableParagraph"/>
              <w:spacing w:before="30"/>
              <w:ind w:right="77"/>
              <w:jc w:val="right"/>
              <w:rPr>
                <w:sz w:val="18"/>
              </w:rPr>
            </w:pPr>
            <w:r>
              <w:rPr>
                <w:spacing w:val="-2"/>
                <w:sz w:val="18"/>
              </w:rPr>
              <w:t>8,763</w:t>
            </w:r>
          </w:p>
        </w:tc>
        <w:tc>
          <w:tcPr>
            <w:tcW w:w="1861" w:type="dxa"/>
            <w:tcBorders>
              <w:top w:val="single" w:sz="4" w:space="0" w:color="FFFFFF"/>
              <w:left w:val="single" w:sz="4" w:space="0" w:color="FFFFFF"/>
              <w:bottom w:val="single" w:sz="4" w:space="0" w:color="FFFFFF"/>
              <w:right w:val="nil"/>
            </w:tcBorders>
            <w:shd w:val="clear" w:color="auto" w:fill="CCE2ED"/>
          </w:tcPr>
          <w:p w14:paraId="4889525D" w14:textId="77777777" w:rsidR="00141B97" w:rsidRDefault="00911D63">
            <w:pPr>
              <w:pStyle w:val="TableParagraph"/>
              <w:spacing w:before="30"/>
              <w:ind w:right="77"/>
              <w:jc w:val="right"/>
              <w:rPr>
                <w:sz w:val="18"/>
              </w:rPr>
            </w:pPr>
            <w:r>
              <w:rPr>
                <w:spacing w:val="-2"/>
                <w:sz w:val="18"/>
              </w:rPr>
              <w:t>8,763</w:t>
            </w:r>
          </w:p>
        </w:tc>
      </w:tr>
      <w:tr w:rsidR="00141B97" w14:paraId="7533B0F3" w14:textId="77777777">
        <w:trPr>
          <w:trHeight w:val="280"/>
        </w:trPr>
        <w:tc>
          <w:tcPr>
            <w:tcW w:w="4028" w:type="dxa"/>
            <w:tcBorders>
              <w:top w:val="single" w:sz="4" w:space="0" w:color="FFFFFF"/>
              <w:left w:val="nil"/>
              <w:bottom w:val="single" w:sz="4" w:space="0" w:color="FFFFFF"/>
              <w:right w:val="single" w:sz="4" w:space="0" w:color="FFFFFF"/>
            </w:tcBorders>
            <w:shd w:val="clear" w:color="auto" w:fill="CCE2ED"/>
          </w:tcPr>
          <w:p w14:paraId="740810A7" w14:textId="77777777" w:rsidR="00141B97" w:rsidRDefault="00911D63">
            <w:pPr>
              <w:pStyle w:val="TableParagraph"/>
              <w:spacing w:before="31"/>
              <w:ind w:left="80"/>
              <w:rPr>
                <w:sz w:val="18"/>
              </w:rPr>
            </w:pPr>
            <w:r>
              <w:rPr>
                <w:sz w:val="18"/>
              </w:rPr>
              <w:t>Millewa</w:t>
            </w:r>
            <w:r>
              <w:rPr>
                <w:spacing w:val="-1"/>
                <w:sz w:val="18"/>
              </w:rPr>
              <w:t xml:space="preserve"> </w:t>
            </w:r>
            <w:r>
              <w:rPr>
                <w:sz w:val="18"/>
              </w:rPr>
              <w:t xml:space="preserve">‐ Hectares </w:t>
            </w:r>
            <w:r>
              <w:rPr>
                <w:spacing w:val="-2"/>
                <w:sz w:val="18"/>
              </w:rPr>
              <w:t>stock</w:t>
            </w:r>
          </w:p>
        </w:tc>
        <w:tc>
          <w:tcPr>
            <w:tcW w:w="2378" w:type="dxa"/>
            <w:tcBorders>
              <w:top w:val="single" w:sz="4" w:space="0" w:color="FFFFFF"/>
              <w:left w:val="single" w:sz="4" w:space="0" w:color="FFFFFF"/>
              <w:bottom w:val="single" w:sz="4" w:space="0" w:color="FFFFFF"/>
              <w:right w:val="single" w:sz="4" w:space="0" w:color="FFFFFF"/>
            </w:tcBorders>
            <w:shd w:val="clear" w:color="auto" w:fill="CCE2ED"/>
          </w:tcPr>
          <w:p w14:paraId="7473C8A2" w14:textId="77777777" w:rsidR="00141B97" w:rsidRDefault="00911D63">
            <w:pPr>
              <w:pStyle w:val="TableParagraph"/>
              <w:spacing w:before="31"/>
              <w:ind w:right="76"/>
              <w:jc w:val="right"/>
              <w:rPr>
                <w:sz w:val="18"/>
              </w:rPr>
            </w:pPr>
            <w:r>
              <w:rPr>
                <w:spacing w:val="-2"/>
                <w:sz w:val="18"/>
              </w:rPr>
              <w:t>221,202</w:t>
            </w:r>
          </w:p>
        </w:tc>
        <w:tc>
          <w:tcPr>
            <w:tcW w:w="1855" w:type="dxa"/>
            <w:tcBorders>
              <w:top w:val="single" w:sz="4" w:space="0" w:color="FFFFFF"/>
              <w:left w:val="single" w:sz="4" w:space="0" w:color="FFFFFF"/>
              <w:bottom w:val="single" w:sz="4" w:space="0" w:color="FFFFFF"/>
              <w:right w:val="single" w:sz="4" w:space="0" w:color="FFFFFF"/>
            </w:tcBorders>
            <w:shd w:val="clear" w:color="auto" w:fill="CCE2ED"/>
          </w:tcPr>
          <w:p w14:paraId="18E4D355" w14:textId="77777777" w:rsidR="00141B97" w:rsidRDefault="00911D63">
            <w:pPr>
              <w:pStyle w:val="TableParagraph"/>
              <w:spacing w:before="31"/>
              <w:ind w:right="77"/>
              <w:jc w:val="right"/>
              <w:rPr>
                <w:sz w:val="18"/>
              </w:rPr>
            </w:pPr>
            <w:r>
              <w:rPr>
                <w:spacing w:val="-2"/>
                <w:sz w:val="18"/>
              </w:rPr>
              <w:t>221,202</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1D8C2DB0" w14:textId="77777777" w:rsidR="00141B97" w:rsidRDefault="00911D63">
            <w:pPr>
              <w:pStyle w:val="TableParagraph"/>
              <w:spacing w:before="31"/>
              <w:ind w:right="77"/>
              <w:jc w:val="right"/>
              <w:rPr>
                <w:sz w:val="18"/>
              </w:rPr>
            </w:pPr>
            <w:r>
              <w:rPr>
                <w:spacing w:val="-2"/>
                <w:sz w:val="18"/>
              </w:rPr>
              <w:t>221,202</w:t>
            </w:r>
          </w:p>
        </w:tc>
        <w:tc>
          <w:tcPr>
            <w:tcW w:w="1854" w:type="dxa"/>
            <w:tcBorders>
              <w:top w:val="single" w:sz="4" w:space="0" w:color="FFFFFF"/>
              <w:left w:val="single" w:sz="4" w:space="0" w:color="FFFFFF"/>
              <w:bottom w:val="single" w:sz="4" w:space="0" w:color="FFFFFF"/>
              <w:right w:val="single" w:sz="4" w:space="0" w:color="FFFFFF"/>
            </w:tcBorders>
            <w:shd w:val="clear" w:color="auto" w:fill="CCE2ED"/>
          </w:tcPr>
          <w:p w14:paraId="25C16931" w14:textId="77777777" w:rsidR="00141B97" w:rsidRDefault="00911D63">
            <w:pPr>
              <w:pStyle w:val="TableParagraph"/>
              <w:spacing w:before="31"/>
              <w:ind w:right="76"/>
              <w:jc w:val="right"/>
              <w:rPr>
                <w:sz w:val="18"/>
              </w:rPr>
            </w:pPr>
            <w:r>
              <w:rPr>
                <w:spacing w:val="-2"/>
                <w:sz w:val="18"/>
              </w:rPr>
              <w:t>221,202</w:t>
            </w:r>
          </w:p>
        </w:tc>
        <w:tc>
          <w:tcPr>
            <w:tcW w:w="1859" w:type="dxa"/>
            <w:tcBorders>
              <w:top w:val="single" w:sz="4" w:space="0" w:color="FFFFFF"/>
              <w:left w:val="single" w:sz="4" w:space="0" w:color="FFFFFF"/>
              <w:bottom w:val="single" w:sz="4" w:space="0" w:color="FFFFFF"/>
              <w:right w:val="single" w:sz="4" w:space="0" w:color="FFFFFF"/>
            </w:tcBorders>
            <w:shd w:val="clear" w:color="auto" w:fill="CCE2ED"/>
          </w:tcPr>
          <w:p w14:paraId="07ED55BF" w14:textId="77777777" w:rsidR="00141B97" w:rsidRDefault="00911D63">
            <w:pPr>
              <w:pStyle w:val="TableParagraph"/>
              <w:spacing w:before="31"/>
              <w:ind w:right="77"/>
              <w:jc w:val="right"/>
              <w:rPr>
                <w:sz w:val="18"/>
              </w:rPr>
            </w:pPr>
            <w:r>
              <w:rPr>
                <w:spacing w:val="-2"/>
                <w:sz w:val="18"/>
              </w:rPr>
              <w:t>221,202</w:t>
            </w:r>
          </w:p>
        </w:tc>
        <w:tc>
          <w:tcPr>
            <w:tcW w:w="1861" w:type="dxa"/>
            <w:tcBorders>
              <w:top w:val="single" w:sz="4" w:space="0" w:color="FFFFFF"/>
              <w:left w:val="single" w:sz="4" w:space="0" w:color="FFFFFF"/>
              <w:bottom w:val="single" w:sz="4" w:space="0" w:color="FFFFFF"/>
              <w:right w:val="nil"/>
            </w:tcBorders>
            <w:shd w:val="clear" w:color="auto" w:fill="CCE2ED"/>
          </w:tcPr>
          <w:p w14:paraId="36FF24CE" w14:textId="77777777" w:rsidR="00141B97" w:rsidRDefault="00911D63">
            <w:pPr>
              <w:pStyle w:val="TableParagraph"/>
              <w:spacing w:before="31"/>
              <w:ind w:right="77"/>
              <w:jc w:val="right"/>
              <w:rPr>
                <w:sz w:val="18"/>
              </w:rPr>
            </w:pPr>
            <w:r>
              <w:rPr>
                <w:spacing w:val="-2"/>
                <w:sz w:val="18"/>
              </w:rPr>
              <w:t>221,202</w:t>
            </w:r>
          </w:p>
        </w:tc>
      </w:tr>
      <w:tr w:rsidR="00141B97" w14:paraId="3D315408" w14:textId="77777777">
        <w:trPr>
          <w:trHeight w:val="277"/>
        </w:trPr>
        <w:tc>
          <w:tcPr>
            <w:tcW w:w="4028" w:type="dxa"/>
            <w:tcBorders>
              <w:top w:val="single" w:sz="4" w:space="0" w:color="FFFFFF"/>
              <w:left w:val="nil"/>
              <w:right w:val="single" w:sz="4" w:space="0" w:color="FFFFFF"/>
            </w:tcBorders>
            <w:shd w:val="clear" w:color="auto" w:fill="CCE2ED"/>
          </w:tcPr>
          <w:p w14:paraId="5B184A5E" w14:textId="77777777" w:rsidR="00141B97" w:rsidRDefault="00911D63">
            <w:pPr>
              <w:pStyle w:val="TableParagraph"/>
              <w:spacing w:before="31"/>
              <w:ind w:left="80"/>
              <w:rPr>
                <w:sz w:val="18"/>
              </w:rPr>
            </w:pPr>
            <w:r>
              <w:rPr>
                <w:sz w:val="18"/>
              </w:rPr>
              <w:t>WWD</w:t>
            </w:r>
            <w:r>
              <w:rPr>
                <w:spacing w:val="-1"/>
                <w:sz w:val="18"/>
              </w:rPr>
              <w:t xml:space="preserve"> </w:t>
            </w:r>
            <w:r>
              <w:rPr>
                <w:sz w:val="18"/>
              </w:rPr>
              <w:t>Hectares ‐</w:t>
            </w:r>
            <w:r>
              <w:rPr>
                <w:spacing w:val="-1"/>
                <w:sz w:val="18"/>
              </w:rPr>
              <w:t xml:space="preserve"> </w:t>
            </w:r>
            <w:r>
              <w:rPr>
                <w:sz w:val="18"/>
              </w:rPr>
              <w:t>div</w:t>
            </w:r>
            <w:r>
              <w:rPr>
                <w:spacing w:val="-1"/>
                <w:sz w:val="18"/>
              </w:rPr>
              <w:t xml:space="preserve"> </w:t>
            </w:r>
            <w:r>
              <w:rPr>
                <w:spacing w:val="-10"/>
                <w:sz w:val="18"/>
              </w:rPr>
              <w:t>1</w:t>
            </w:r>
          </w:p>
        </w:tc>
        <w:tc>
          <w:tcPr>
            <w:tcW w:w="2378" w:type="dxa"/>
            <w:tcBorders>
              <w:top w:val="single" w:sz="4" w:space="0" w:color="FFFFFF"/>
              <w:left w:val="single" w:sz="4" w:space="0" w:color="FFFFFF"/>
              <w:right w:val="single" w:sz="4" w:space="0" w:color="FFFFFF"/>
            </w:tcBorders>
            <w:shd w:val="clear" w:color="auto" w:fill="CCE2ED"/>
          </w:tcPr>
          <w:p w14:paraId="4DE9EE29" w14:textId="77777777" w:rsidR="00141B97" w:rsidRDefault="00911D63">
            <w:pPr>
              <w:pStyle w:val="TableParagraph"/>
              <w:spacing w:before="31"/>
              <w:ind w:right="76"/>
              <w:jc w:val="right"/>
              <w:rPr>
                <w:sz w:val="18"/>
              </w:rPr>
            </w:pPr>
            <w:r>
              <w:rPr>
                <w:sz w:val="18"/>
              </w:rPr>
              <w:t>0</w:t>
            </w:r>
          </w:p>
        </w:tc>
        <w:tc>
          <w:tcPr>
            <w:tcW w:w="1855" w:type="dxa"/>
            <w:tcBorders>
              <w:top w:val="single" w:sz="4" w:space="0" w:color="FFFFFF"/>
              <w:left w:val="single" w:sz="4" w:space="0" w:color="FFFFFF"/>
              <w:right w:val="single" w:sz="4" w:space="0" w:color="FFFFFF"/>
            </w:tcBorders>
            <w:shd w:val="clear" w:color="auto" w:fill="CCE2ED"/>
          </w:tcPr>
          <w:p w14:paraId="226277F5" w14:textId="77777777" w:rsidR="00141B97" w:rsidRDefault="00911D63">
            <w:pPr>
              <w:pStyle w:val="TableParagraph"/>
              <w:spacing w:before="31"/>
              <w:ind w:right="77"/>
              <w:jc w:val="right"/>
              <w:rPr>
                <w:sz w:val="18"/>
              </w:rPr>
            </w:pPr>
            <w:r>
              <w:rPr>
                <w:sz w:val="18"/>
              </w:rPr>
              <w:t>0</w:t>
            </w:r>
          </w:p>
        </w:tc>
        <w:tc>
          <w:tcPr>
            <w:tcW w:w="1859" w:type="dxa"/>
            <w:tcBorders>
              <w:top w:val="single" w:sz="4" w:space="0" w:color="FFFFFF"/>
              <w:left w:val="single" w:sz="4" w:space="0" w:color="FFFFFF"/>
              <w:right w:val="single" w:sz="4" w:space="0" w:color="FFFFFF"/>
            </w:tcBorders>
            <w:shd w:val="clear" w:color="auto" w:fill="CCE2ED"/>
          </w:tcPr>
          <w:p w14:paraId="36A0BC69" w14:textId="77777777" w:rsidR="00141B97" w:rsidRDefault="00911D63">
            <w:pPr>
              <w:pStyle w:val="TableParagraph"/>
              <w:spacing w:before="31"/>
              <w:ind w:right="77"/>
              <w:jc w:val="right"/>
              <w:rPr>
                <w:sz w:val="18"/>
              </w:rPr>
            </w:pPr>
            <w:r>
              <w:rPr>
                <w:sz w:val="18"/>
              </w:rPr>
              <w:t>0</w:t>
            </w:r>
          </w:p>
        </w:tc>
        <w:tc>
          <w:tcPr>
            <w:tcW w:w="1854" w:type="dxa"/>
            <w:tcBorders>
              <w:top w:val="single" w:sz="4" w:space="0" w:color="FFFFFF"/>
              <w:left w:val="single" w:sz="4" w:space="0" w:color="FFFFFF"/>
              <w:right w:val="single" w:sz="4" w:space="0" w:color="FFFFFF"/>
            </w:tcBorders>
            <w:shd w:val="clear" w:color="auto" w:fill="CCE2ED"/>
          </w:tcPr>
          <w:p w14:paraId="4F68C9C8" w14:textId="77777777" w:rsidR="00141B97" w:rsidRDefault="00911D63">
            <w:pPr>
              <w:pStyle w:val="TableParagraph"/>
              <w:spacing w:before="31"/>
              <w:ind w:right="76"/>
              <w:jc w:val="right"/>
              <w:rPr>
                <w:sz w:val="18"/>
              </w:rPr>
            </w:pPr>
            <w:r>
              <w:rPr>
                <w:sz w:val="18"/>
              </w:rPr>
              <w:t>0</w:t>
            </w:r>
          </w:p>
        </w:tc>
        <w:tc>
          <w:tcPr>
            <w:tcW w:w="1859" w:type="dxa"/>
            <w:tcBorders>
              <w:top w:val="single" w:sz="4" w:space="0" w:color="FFFFFF"/>
              <w:left w:val="single" w:sz="4" w:space="0" w:color="FFFFFF"/>
              <w:right w:val="single" w:sz="4" w:space="0" w:color="FFFFFF"/>
            </w:tcBorders>
            <w:shd w:val="clear" w:color="auto" w:fill="CCE2ED"/>
          </w:tcPr>
          <w:p w14:paraId="0211DBFF" w14:textId="77777777" w:rsidR="00141B97" w:rsidRDefault="00911D63">
            <w:pPr>
              <w:pStyle w:val="TableParagraph"/>
              <w:spacing w:before="31"/>
              <w:ind w:right="77"/>
              <w:jc w:val="right"/>
              <w:rPr>
                <w:sz w:val="18"/>
              </w:rPr>
            </w:pPr>
            <w:r>
              <w:rPr>
                <w:sz w:val="18"/>
              </w:rPr>
              <w:t>0</w:t>
            </w:r>
          </w:p>
        </w:tc>
        <w:tc>
          <w:tcPr>
            <w:tcW w:w="1861" w:type="dxa"/>
            <w:tcBorders>
              <w:top w:val="single" w:sz="4" w:space="0" w:color="FFFFFF"/>
              <w:left w:val="single" w:sz="4" w:space="0" w:color="FFFFFF"/>
              <w:right w:val="nil"/>
            </w:tcBorders>
            <w:shd w:val="clear" w:color="auto" w:fill="CCE2ED"/>
          </w:tcPr>
          <w:p w14:paraId="02316D0E" w14:textId="77777777" w:rsidR="00141B97" w:rsidRDefault="00911D63">
            <w:pPr>
              <w:pStyle w:val="TableParagraph"/>
              <w:spacing w:before="31"/>
              <w:ind w:right="77"/>
              <w:jc w:val="right"/>
              <w:rPr>
                <w:sz w:val="18"/>
              </w:rPr>
            </w:pPr>
            <w:r>
              <w:rPr>
                <w:sz w:val="18"/>
              </w:rPr>
              <w:t>0</w:t>
            </w:r>
          </w:p>
        </w:tc>
      </w:tr>
      <w:tr w:rsidR="00141B97" w14:paraId="61FA97D9" w14:textId="77777777">
        <w:trPr>
          <w:trHeight w:val="277"/>
        </w:trPr>
        <w:tc>
          <w:tcPr>
            <w:tcW w:w="4028" w:type="dxa"/>
            <w:tcBorders>
              <w:left w:val="nil"/>
              <w:bottom w:val="single" w:sz="4" w:space="0" w:color="FFFFFF"/>
              <w:right w:val="single" w:sz="4" w:space="0" w:color="FFFFFF"/>
            </w:tcBorders>
            <w:shd w:val="clear" w:color="auto" w:fill="CCE2ED"/>
          </w:tcPr>
          <w:p w14:paraId="28718C3F" w14:textId="77777777" w:rsidR="00141B97" w:rsidRDefault="00911D63">
            <w:pPr>
              <w:pStyle w:val="TableParagraph"/>
              <w:spacing w:before="28"/>
              <w:ind w:left="80"/>
              <w:rPr>
                <w:sz w:val="18"/>
              </w:rPr>
            </w:pPr>
            <w:r>
              <w:rPr>
                <w:sz w:val="18"/>
              </w:rPr>
              <w:t>WWD</w:t>
            </w:r>
            <w:r>
              <w:rPr>
                <w:spacing w:val="-1"/>
                <w:sz w:val="18"/>
              </w:rPr>
              <w:t xml:space="preserve"> </w:t>
            </w:r>
            <w:r>
              <w:rPr>
                <w:sz w:val="18"/>
              </w:rPr>
              <w:t>Hectares ‐</w:t>
            </w:r>
            <w:r>
              <w:rPr>
                <w:spacing w:val="-1"/>
                <w:sz w:val="18"/>
              </w:rPr>
              <w:t xml:space="preserve"> </w:t>
            </w:r>
            <w:r>
              <w:rPr>
                <w:sz w:val="18"/>
              </w:rPr>
              <w:t>div</w:t>
            </w:r>
            <w:r>
              <w:rPr>
                <w:spacing w:val="-1"/>
                <w:sz w:val="18"/>
              </w:rPr>
              <w:t xml:space="preserve"> </w:t>
            </w:r>
            <w:r>
              <w:rPr>
                <w:spacing w:val="-10"/>
                <w:sz w:val="18"/>
              </w:rPr>
              <w:t>2</w:t>
            </w:r>
          </w:p>
        </w:tc>
        <w:tc>
          <w:tcPr>
            <w:tcW w:w="2378" w:type="dxa"/>
            <w:tcBorders>
              <w:left w:val="single" w:sz="4" w:space="0" w:color="FFFFFF"/>
              <w:bottom w:val="single" w:sz="4" w:space="0" w:color="FFFFFF"/>
              <w:right w:val="single" w:sz="4" w:space="0" w:color="FFFFFF"/>
            </w:tcBorders>
            <w:shd w:val="clear" w:color="auto" w:fill="CCE2ED"/>
          </w:tcPr>
          <w:p w14:paraId="271E1AD0" w14:textId="77777777" w:rsidR="00141B97" w:rsidRDefault="00911D63">
            <w:pPr>
              <w:pStyle w:val="TableParagraph"/>
              <w:spacing w:before="28"/>
              <w:ind w:right="76"/>
              <w:jc w:val="right"/>
              <w:rPr>
                <w:sz w:val="18"/>
              </w:rPr>
            </w:pPr>
            <w:r>
              <w:rPr>
                <w:sz w:val="18"/>
              </w:rPr>
              <w:t>0</w:t>
            </w:r>
          </w:p>
        </w:tc>
        <w:tc>
          <w:tcPr>
            <w:tcW w:w="1855" w:type="dxa"/>
            <w:tcBorders>
              <w:left w:val="single" w:sz="4" w:space="0" w:color="FFFFFF"/>
              <w:bottom w:val="single" w:sz="4" w:space="0" w:color="FFFFFF"/>
              <w:right w:val="single" w:sz="4" w:space="0" w:color="FFFFFF"/>
            </w:tcBorders>
            <w:shd w:val="clear" w:color="auto" w:fill="CCE2ED"/>
          </w:tcPr>
          <w:p w14:paraId="48F773CE" w14:textId="77777777" w:rsidR="00141B97" w:rsidRDefault="00911D63">
            <w:pPr>
              <w:pStyle w:val="TableParagraph"/>
              <w:spacing w:before="28"/>
              <w:ind w:right="77"/>
              <w:jc w:val="right"/>
              <w:rPr>
                <w:sz w:val="18"/>
              </w:rPr>
            </w:pPr>
            <w:r>
              <w:rPr>
                <w:sz w:val="18"/>
              </w:rPr>
              <w:t>0</w:t>
            </w:r>
          </w:p>
        </w:tc>
        <w:tc>
          <w:tcPr>
            <w:tcW w:w="1859" w:type="dxa"/>
            <w:tcBorders>
              <w:left w:val="single" w:sz="4" w:space="0" w:color="FFFFFF"/>
              <w:bottom w:val="single" w:sz="4" w:space="0" w:color="FFFFFF"/>
              <w:right w:val="single" w:sz="4" w:space="0" w:color="FFFFFF"/>
            </w:tcBorders>
            <w:shd w:val="clear" w:color="auto" w:fill="CCE2ED"/>
          </w:tcPr>
          <w:p w14:paraId="5822824C" w14:textId="77777777" w:rsidR="00141B97" w:rsidRDefault="00911D63">
            <w:pPr>
              <w:pStyle w:val="TableParagraph"/>
              <w:spacing w:before="28"/>
              <w:ind w:right="77"/>
              <w:jc w:val="right"/>
              <w:rPr>
                <w:sz w:val="18"/>
              </w:rPr>
            </w:pPr>
            <w:r>
              <w:rPr>
                <w:sz w:val="18"/>
              </w:rPr>
              <w:t>0</w:t>
            </w:r>
          </w:p>
        </w:tc>
        <w:tc>
          <w:tcPr>
            <w:tcW w:w="1854" w:type="dxa"/>
            <w:tcBorders>
              <w:left w:val="single" w:sz="4" w:space="0" w:color="FFFFFF"/>
              <w:bottom w:val="single" w:sz="4" w:space="0" w:color="FFFFFF"/>
              <w:right w:val="single" w:sz="4" w:space="0" w:color="FFFFFF"/>
            </w:tcBorders>
            <w:shd w:val="clear" w:color="auto" w:fill="CCE2ED"/>
          </w:tcPr>
          <w:p w14:paraId="3EED7CFE" w14:textId="77777777" w:rsidR="00141B97" w:rsidRDefault="00911D63">
            <w:pPr>
              <w:pStyle w:val="TableParagraph"/>
              <w:spacing w:before="28"/>
              <w:ind w:right="76"/>
              <w:jc w:val="right"/>
              <w:rPr>
                <w:sz w:val="18"/>
              </w:rPr>
            </w:pPr>
            <w:r>
              <w:rPr>
                <w:sz w:val="18"/>
              </w:rPr>
              <w:t>0</w:t>
            </w:r>
          </w:p>
        </w:tc>
        <w:tc>
          <w:tcPr>
            <w:tcW w:w="1859" w:type="dxa"/>
            <w:tcBorders>
              <w:left w:val="single" w:sz="4" w:space="0" w:color="FFFFFF"/>
              <w:bottom w:val="single" w:sz="4" w:space="0" w:color="FFFFFF"/>
              <w:right w:val="single" w:sz="4" w:space="0" w:color="FFFFFF"/>
            </w:tcBorders>
            <w:shd w:val="clear" w:color="auto" w:fill="CCE2ED"/>
          </w:tcPr>
          <w:p w14:paraId="37E0FEE1" w14:textId="77777777" w:rsidR="00141B97" w:rsidRDefault="00911D63">
            <w:pPr>
              <w:pStyle w:val="TableParagraph"/>
              <w:spacing w:before="28"/>
              <w:ind w:right="77"/>
              <w:jc w:val="right"/>
              <w:rPr>
                <w:sz w:val="18"/>
              </w:rPr>
            </w:pPr>
            <w:r>
              <w:rPr>
                <w:sz w:val="18"/>
              </w:rPr>
              <w:t>0</w:t>
            </w:r>
          </w:p>
        </w:tc>
        <w:tc>
          <w:tcPr>
            <w:tcW w:w="1861" w:type="dxa"/>
            <w:tcBorders>
              <w:left w:val="single" w:sz="4" w:space="0" w:color="FFFFFF"/>
              <w:bottom w:val="single" w:sz="4" w:space="0" w:color="FFFFFF"/>
              <w:right w:val="nil"/>
            </w:tcBorders>
            <w:shd w:val="clear" w:color="auto" w:fill="CCE2ED"/>
          </w:tcPr>
          <w:p w14:paraId="4D9ED913" w14:textId="77777777" w:rsidR="00141B97" w:rsidRDefault="00911D63">
            <w:pPr>
              <w:pStyle w:val="TableParagraph"/>
              <w:spacing w:before="28"/>
              <w:ind w:right="77"/>
              <w:jc w:val="right"/>
              <w:rPr>
                <w:sz w:val="18"/>
              </w:rPr>
            </w:pPr>
            <w:r>
              <w:rPr>
                <w:sz w:val="18"/>
              </w:rPr>
              <w:t>0</w:t>
            </w:r>
          </w:p>
        </w:tc>
      </w:tr>
      <w:tr w:rsidR="00141B97" w14:paraId="18357174" w14:textId="77777777">
        <w:trPr>
          <w:trHeight w:val="280"/>
        </w:trPr>
        <w:tc>
          <w:tcPr>
            <w:tcW w:w="4028" w:type="dxa"/>
            <w:tcBorders>
              <w:top w:val="single" w:sz="4" w:space="0" w:color="FFFFFF"/>
              <w:left w:val="nil"/>
              <w:bottom w:val="nil"/>
              <w:right w:val="single" w:sz="4" w:space="0" w:color="FFFFFF"/>
            </w:tcBorders>
            <w:shd w:val="clear" w:color="auto" w:fill="CCE2ED"/>
          </w:tcPr>
          <w:p w14:paraId="65A059E3" w14:textId="77777777" w:rsidR="00141B97" w:rsidRDefault="00911D63">
            <w:pPr>
              <w:pStyle w:val="TableParagraph"/>
              <w:spacing w:before="31"/>
              <w:ind w:left="80"/>
              <w:rPr>
                <w:sz w:val="18"/>
              </w:rPr>
            </w:pPr>
            <w:r>
              <w:rPr>
                <w:sz w:val="18"/>
              </w:rPr>
              <w:t>WWD</w:t>
            </w:r>
            <w:r>
              <w:rPr>
                <w:spacing w:val="-1"/>
                <w:sz w:val="18"/>
              </w:rPr>
              <w:t xml:space="preserve"> </w:t>
            </w:r>
            <w:r>
              <w:rPr>
                <w:sz w:val="18"/>
              </w:rPr>
              <w:t>Hectares ‐</w:t>
            </w:r>
            <w:r>
              <w:rPr>
                <w:spacing w:val="-1"/>
                <w:sz w:val="18"/>
              </w:rPr>
              <w:t xml:space="preserve"> </w:t>
            </w:r>
            <w:r>
              <w:rPr>
                <w:sz w:val="18"/>
              </w:rPr>
              <w:t>div</w:t>
            </w:r>
            <w:r>
              <w:rPr>
                <w:spacing w:val="-1"/>
                <w:sz w:val="18"/>
              </w:rPr>
              <w:t xml:space="preserve"> </w:t>
            </w:r>
            <w:r>
              <w:rPr>
                <w:spacing w:val="-10"/>
                <w:sz w:val="18"/>
              </w:rPr>
              <w:t>3</w:t>
            </w:r>
          </w:p>
        </w:tc>
        <w:tc>
          <w:tcPr>
            <w:tcW w:w="2378" w:type="dxa"/>
            <w:tcBorders>
              <w:top w:val="single" w:sz="4" w:space="0" w:color="FFFFFF"/>
              <w:left w:val="single" w:sz="4" w:space="0" w:color="FFFFFF"/>
              <w:bottom w:val="nil"/>
              <w:right w:val="single" w:sz="4" w:space="0" w:color="FFFFFF"/>
            </w:tcBorders>
            <w:shd w:val="clear" w:color="auto" w:fill="CCE2ED"/>
          </w:tcPr>
          <w:p w14:paraId="53A5558C" w14:textId="77777777" w:rsidR="00141B97" w:rsidRDefault="00911D63">
            <w:pPr>
              <w:pStyle w:val="TableParagraph"/>
              <w:spacing w:before="31"/>
              <w:ind w:right="76"/>
              <w:jc w:val="right"/>
              <w:rPr>
                <w:sz w:val="18"/>
              </w:rPr>
            </w:pPr>
            <w:r>
              <w:rPr>
                <w:sz w:val="18"/>
              </w:rPr>
              <w:t>0</w:t>
            </w:r>
          </w:p>
        </w:tc>
        <w:tc>
          <w:tcPr>
            <w:tcW w:w="1855" w:type="dxa"/>
            <w:tcBorders>
              <w:top w:val="single" w:sz="4" w:space="0" w:color="FFFFFF"/>
              <w:left w:val="single" w:sz="4" w:space="0" w:color="FFFFFF"/>
              <w:bottom w:val="nil"/>
              <w:right w:val="single" w:sz="4" w:space="0" w:color="FFFFFF"/>
            </w:tcBorders>
            <w:shd w:val="clear" w:color="auto" w:fill="CCE2ED"/>
          </w:tcPr>
          <w:p w14:paraId="08CFADE9" w14:textId="77777777" w:rsidR="00141B97" w:rsidRDefault="00911D63">
            <w:pPr>
              <w:pStyle w:val="TableParagraph"/>
              <w:spacing w:before="31"/>
              <w:ind w:right="77"/>
              <w:jc w:val="right"/>
              <w:rPr>
                <w:sz w:val="18"/>
              </w:rPr>
            </w:pPr>
            <w:r>
              <w:rPr>
                <w:sz w:val="18"/>
              </w:rPr>
              <w:t>0</w:t>
            </w:r>
          </w:p>
        </w:tc>
        <w:tc>
          <w:tcPr>
            <w:tcW w:w="1859" w:type="dxa"/>
            <w:tcBorders>
              <w:top w:val="single" w:sz="4" w:space="0" w:color="FFFFFF"/>
              <w:left w:val="single" w:sz="4" w:space="0" w:color="FFFFFF"/>
              <w:bottom w:val="nil"/>
              <w:right w:val="single" w:sz="4" w:space="0" w:color="FFFFFF"/>
            </w:tcBorders>
            <w:shd w:val="clear" w:color="auto" w:fill="CCE2ED"/>
          </w:tcPr>
          <w:p w14:paraId="224F7327" w14:textId="77777777" w:rsidR="00141B97" w:rsidRDefault="00911D63">
            <w:pPr>
              <w:pStyle w:val="TableParagraph"/>
              <w:spacing w:before="31"/>
              <w:ind w:right="77"/>
              <w:jc w:val="right"/>
              <w:rPr>
                <w:sz w:val="18"/>
              </w:rPr>
            </w:pPr>
            <w:r>
              <w:rPr>
                <w:sz w:val="18"/>
              </w:rPr>
              <w:t>0</w:t>
            </w:r>
          </w:p>
        </w:tc>
        <w:tc>
          <w:tcPr>
            <w:tcW w:w="1854" w:type="dxa"/>
            <w:tcBorders>
              <w:top w:val="single" w:sz="4" w:space="0" w:color="FFFFFF"/>
              <w:left w:val="single" w:sz="4" w:space="0" w:color="FFFFFF"/>
              <w:bottom w:val="nil"/>
              <w:right w:val="single" w:sz="4" w:space="0" w:color="FFFFFF"/>
            </w:tcBorders>
            <w:shd w:val="clear" w:color="auto" w:fill="CCE2ED"/>
          </w:tcPr>
          <w:p w14:paraId="5D0158C9" w14:textId="77777777" w:rsidR="00141B97" w:rsidRDefault="00911D63">
            <w:pPr>
              <w:pStyle w:val="TableParagraph"/>
              <w:spacing w:before="31"/>
              <w:ind w:right="76"/>
              <w:jc w:val="right"/>
              <w:rPr>
                <w:sz w:val="18"/>
              </w:rPr>
            </w:pPr>
            <w:r>
              <w:rPr>
                <w:sz w:val="18"/>
              </w:rPr>
              <w:t>0</w:t>
            </w:r>
          </w:p>
        </w:tc>
        <w:tc>
          <w:tcPr>
            <w:tcW w:w="1859" w:type="dxa"/>
            <w:tcBorders>
              <w:top w:val="single" w:sz="4" w:space="0" w:color="FFFFFF"/>
              <w:left w:val="single" w:sz="4" w:space="0" w:color="FFFFFF"/>
              <w:bottom w:val="nil"/>
              <w:right w:val="single" w:sz="4" w:space="0" w:color="FFFFFF"/>
            </w:tcBorders>
            <w:shd w:val="clear" w:color="auto" w:fill="CCE2ED"/>
          </w:tcPr>
          <w:p w14:paraId="17B80B03" w14:textId="77777777" w:rsidR="00141B97" w:rsidRDefault="00911D63">
            <w:pPr>
              <w:pStyle w:val="TableParagraph"/>
              <w:spacing w:before="31"/>
              <w:ind w:right="77"/>
              <w:jc w:val="right"/>
              <w:rPr>
                <w:sz w:val="18"/>
              </w:rPr>
            </w:pPr>
            <w:r>
              <w:rPr>
                <w:sz w:val="18"/>
              </w:rPr>
              <w:t>0</w:t>
            </w:r>
          </w:p>
        </w:tc>
        <w:tc>
          <w:tcPr>
            <w:tcW w:w="1861" w:type="dxa"/>
            <w:tcBorders>
              <w:top w:val="single" w:sz="4" w:space="0" w:color="FFFFFF"/>
              <w:left w:val="single" w:sz="4" w:space="0" w:color="FFFFFF"/>
              <w:bottom w:val="nil"/>
              <w:right w:val="nil"/>
            </w:tcBorders>
            <w:shd w:val="clear" w:color="auto" w:fill="CCE2ED"/>
          </w:tcPr>
          <w:p w14:paraId="0A8B2C76" w14:textId="77777777" w:rsidR="00141B97" w:rsidRDefault="00911D63">
            <w:pPr>
              <w:pStyle w:val="TableParagraph"/>
              <w:spacing w:before="31"/>
              <w:ind w:right="77"/>
              <w:jc w:val="right"/>
              <w:rPr>
                <w:sz w:val="18"/>
              </w:rPr>
            </w:pPr>
            <w:r>
              <w:rPr>
                <w:sz w:val="18"/>
              </w:rPr>
              <w:t>0</w:t>
            </w:r>
          </w:p>
        </w:tc>
      </w:tr>
    </w:tbl>
    <w:p w14:paraId="554E26A9" w14:textId="77777777" w:rsidR="00141B97" w:rsidRDefault="00911D63">
      <w:pPr>
        <w:spacing w:before="21"/>
        <w:ind w:left="124"/>
        <w:rPr>
          <w:sz w:val="16"/>
        </w:rPr>
      </w:pPr>
      <w:r>
        <w:rPr>
          <w:sz w:val="16"/>
        </w:rPr>
        <w:t>Table</w:t>
      </w:r>
      <w:r>
        <w:rPr>
          <w:spacing w:val="-4"/>
          <w:sz w:val="16"/>
        </w:rPr>
        <w:t xml:space="preserve"> </w:t>
      </w:r>
      <w:r>
        <w:rPr>
          <w:sz w:val="16"/>
        </w:rPr>
        <w:t>C1.3.4</w:t>
      </w:r>
      <w:r>
        <w:rPr>
          <w:spacing w:val="-5"/>
          <w:sz w:val="16"/>
        </w:rPr>
        <w:t xml:space="preserve"> </w:t>
      </w:r>
      <w:r>
        <w:rPr>
          <w:sz w:val="16"/>
        </w:rPr>
        <w:t>‐</w:t>
      </w:r>
      <w:r>
        <w:rPr>
          <w:spacing w:val="-5"/>
          <w:sz w:val="16"/>
        </w:rPr>
        <w:t xml:space="preserve"> </w:t>
      </w:r>
      <w:r>
        <w:rPr>
          <w:sz w:val="16"/>
        </w:rPr>
        <w:t>Properties</w:t>
      </w:r>
      <w:r>
        <w:rPr>
          <w:spacing w:val="-5"/>
          <w:sz w:val="16"/>
        </w:rPr>
        <w:t xml:space="preserve"> </w:t>
      </w:r>
      <w:r>
        <w:rPr>
          <w:sz w:val="16"/>
        </w:rPr>
        <w:t>and</w:t>
      </w:r>
      <w:r>
        <w:rPr>
          <w:spacing w:val="-5"/>
          <w:sz w:val="16"/>
        </w:rPr>
        <w:t xml:space="preserve"> </w:t>
      </w:r>
      <w:r>
        <w:rPr>
          <w:spacing w:val="-2"/>
          <w:sz w:val="16"/>
        </w:rPr>
        <w:t>Hectares</w:t>
      </w:r>
    </w:p>
    <w:p w14:paraId="322E1216" w14:textId="77777777" w:rsidR="00141B97" w:rsidRDefault="00141B97">
      <w:pPr>
        <w:rPr>
          <w:sz w:val="16"/>
        </w:rPr>
        <w:sectPr w:rsidR="00141B97">
          <w:pgSz w:w="16840" w:h="11910" w:orient="landscape"/>
          <w:pgMar w:top="800" w:right="600" w:bottom="540" w:left="300" w:header="0" w:footer="345" w:gutter="0"/>
          <w:cols w:space="720"/>
        </w:sectPr>
      </w:pPr>
    </w:p>
    <w:p w14:paraId="2C78B707" w14:textId="77777777" w:rsidR="00141B97" w:rsidRDefault="00911D63">
      <w:pPr>
        <w:pStyle w:val="Heading2"/>
        <w:spacing w:before="27"/>
        <w:ind w:left="124" w:firstLine="0"/>
      </w:pPr>
      <w:r>
        <w:rPr>
          <w:color w:val="009BAC"/>
        </w:rPr>
        <w:lastRenderedPageBreak/>
        <w:t>Appendix</w:t>
      </w:r>
      <w:r>
        <w:rPr>
          <w:color w:val="009BAC"/>
          <w:spacing w:val="-4"/>
        </w:rPr>
        <w:t xml:space="preserve"> </w:t>
      </w:r>
      <w:r>
        <w:rPr>
          <w:color w:val="009BAC"/>
        </w:rPr>
        <w:t>C2</w:t>
      </w:r>
      <w:r>
        <w:rPr>
          <w:color w:val="009BAC"/>
          <w:spacing w:val="-5"/>
        </w:rPr>
        <w:t xml:space="preserve"> </w:t>
      </w:r>
      <w:r>
        <w:rPr>
          <w:color w:val="009BAC"/>
        </w:rPr>
        <w:t>‐</w:t>
      </w:r>
      <w:r>
        <w:rPr>
          <w:color w:val="009BAC"/>
          <w:spacing w:val="-6"/>
        </w:rPr>
        <w:t xml:space="preserve"> </w:t>
      </w:r>
      <w:r>
        <w:rPr>
          <w:color w:val="009BAC"/>
        </w:rPr>
        <w:t>Rural</w:t>
      </w:r>
      <w:r>
        <w:rPr>
          <w:color w:val="009BAC"/>
          <w:spacing w:val="-6"/>
        </w:rPr>
        <w:t xml:space="preserve"> </w:t>
      </w:r>
      <w:r>
        <w:rPr>
          <w:color w:val="009BAC"/>
        </w:rPr>
        <w:t>Capital</w:t>
      </w:r>
      <w:r>
        <w:rPr>
          <w:color w:val="009BAC"/>
          <w:spacing w:val="-4"/>
        </w:rPr>
        <w:t xml:space="preserve"> </w:t>
      </w:r>
      <w:r>
        <w:rPr>
          <w:color w:val="009BAC"/>
          <w:spacing w:val="-2"/>
        </w:rPr>
        <w:t>Program</w:t>
      </w:r>
    </w:p>
    <w:p w14:paraId="2E1243A3" w14:textId="77777777" w:rsidR="00141B97" w:rsidRDefault="00141B97">
      <w:pPr>
        <w:pStyle w:val="BodyText"/>
        <w:rPr>
          <w:sz w:val="20"/>
        </w:rPr>
      </w:pPr>
    </w:p>
    <w:p w14:paraId="0DB9919F" w14:textId="77777777" w:rsidR="00141B97" w:rsidRDefault="00141B97">
      <w:pPr>
        <w:pStyle w:val="BodyText"/>
        <w:spacing w:before="3"/>
        <w:rPr>
          <w:sz w:val="10"/>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435"/>
        <w:gridCol w:w="1411"/>
        <w:gridCol w:w="1878"/>
        <w:gridCol w:w="1217"/>
        <w:gridCol w:w="1216"/>
        <w:gridCol w:w="1216"/>
        <w:gridCol w:w="1217"/>
        <w:gridCol w:w="1216"/>
        <w:gridCol w:w="1040"/>
      </w:tblGrid>
      <w:tr w:rsidR="00141B97" w14:paraId="211D01C4" w14:textId="77777777">
        <w:trPr>
          <w:trHeight w:val="525"/>
          <w:tblCellSpacing w:w="9" w:type="dxa"/>
        </w:trPr>
        <w:tc>
          <w:tcPr>
            <w:tcW w:w="5408" w:type="dxa"/>
            <w:tcBorders>
              <w:top w:val="nil"/>
              <w:left w:val="nil"/>
            </w:tcBorders>
            <w:shd w:val="clear" w:color="auto" w:fill="006CA3"/>
          </w:tcPr>
          <w:p w14:paraId="2314263A" w14:textId="77777777" w:rsidR="00141B97" w:rsidRDefault="00911D63">
            <w:pPr>
              <w:pStyle w:val="TableParagraph"/>
              <w:spacing w:before="154"/>
              <w:ind w:left="88"/>
              <w:rPr>
                <w:sz w:val="18"/>
              </w:rPr>
            </w:pPr>
            <w:r>
              <w:rPr>
                <w:color w:val="FFFFFF"/>
                <w:sz w:val="18"/>
              </w:rPr>
              <w:t>Project/program</w:t>
            </w:r>
            <w:r>
              <w:rPr>
                <w:color w:val="FFFFFF"/>
                <w:spacing w:val="-3"/>
                <w:sz w:val="18"/>
              </w:rPr>
              <w:t xml:space="preserve"> </w:t>
            </w:r>
            <w:r>
              <w:rPr>
                <w:color w:val="FFFFFF"/>
                <w:spacing w:val="-4"/>
                <w:sz w:val="18"/>
              </w:rPr>
              <w:t>Name</w:t>
            </w:r>
          </w:p>
        </w:tc>
        <w:tc>
          <w:tcPr>
            <w:tcW w:w="1393" w:type="dxa"/>
            <w:tcBorders>
              <w:top w:val="nil"/>
            </w:tcBorders>
            <w:shd w:val="clear" w:color="auto" w:fill="006CA3"/>
          </w:tcPr>
          <w:p w14:paraId="570B5204" w14:textId="77777777" w:rsidR="00141B97" w:rsidRDefault="00911D63">
            <w:pPr>
              <w:pStyle w:val="TableParagraph"/>
              <w:spacing w:before="154"/>
              <w:ind w:left="428"/>
              <w:rPr>
                <w:sz w:val="18"/>
              </w:rPr>
            </w:pPr>
            <w:r>
              <w:rPr>
                <w:color w:val="FFFFFF"/>
                <w:spacing w:val="-2"/>
                <w:sz w:val="18"/>
              </w:rPr>
              <w:t>Service</w:t>
            </w:r>
          </w:p>
        </w:tc>
        <w:tc>
          <w:tcPr>
            <w:tcW w:w="1860" w:type="dxa"/>
            <w:tcBorders>
              <w:top w:val="nil"/>
            </w:tcBorders>
            <w:shd w:val="clear" w:color="auto" w:fill="006CA3"/>
          </w:tcPr>
          <w:p w14:paraId="68564036" w14:textId="77777777" w:rsidR="00141B97" w:rsidRDefault="00911D63">
            <w:pPr>
              <w:pStyle w:val="TableParagraph"/>
              <w:spacing w:before="154"/>
              <w:ind w:left="298"/>
              <w:rPr>
                <w:sz w:val="18"/>
              </w:rPr>
            </w:pPr>
            <w:r>
              <w:rPr>
                <w:color w:val="FFFFFF"/>
                <w:sz w:val="18"/>
              </w:rPr>
              <w:t>Major</w:t>
            </w:r>
            <w:r>
              <w:rPr>
                <w:color w:val="FFFFFF"/>
                <w:spacing w:val="-2"/>
                <w:sz w:val="18"/>
              </w:rPr>
              <w:t xml:space="preserve"> </w:t>
            </w:r>
            <w:r>
              <w:rPr>
                <w:color w:val="FFFFFF"/>
                <w:sz w:val="18"/>
              </w:rPr>
              <w:t>cost</w:t>
            </w:r>
            <w:r>
              <w:rPr>
                <w:color w:val="FFFFFF"/>
                <w:spacing w:val="-2"/>
                <w:sz w:val="18"/>
              </w:rPr>
              <w:t xml:space="preserve"> driver</w:t>
            </w:r>
          </w:p>
        </w:tc>
        <w:tc>
          <w:tcPr>
            <w:tcW w:w="1199" w:type="dxa"/>
            <w:tcBorders>
              <w:top w:val="nil"/>
            </w:tcBorders>
            <w:shd w:val="clear" w:color="auto" w:fill="006CA3"/>
          </w:tcPr>
          <w:p w14:paraId="4FEA52E0" w14:textId="77777777" w:rsidR="00141B97" w:rsidRDefault="00911D63">
            <w:pPr>
              <w:pStyle w:val="TableParagraph"/>
              <w:spacing w:before="154"/>
              <w:ind w:left="286"/>
              <w:rPr>
                <w:sz w:val="18"/>
              </w:rPr>
            </w:pPr>
            <w:r>
              <w:rPr>
                <w:color w:val="FFFFFF"/>
                <w:spacing w:val="-2"/>
                <w:sz w:val="18"/>
              </w:rPr>
              <w:t>2023‐24</w:t>
            </w:r>
          </w:p>
        </w:tc>
        <w:tc>
          <w:tcPr>
            <w:tcW w:w="1198" w:type="dxa"/>
            <w:tcBorders>
              <w:top w:val="nil"/>
            </w:tcBorders>
            <w:shd w:val="clear" w:color="auto" w:fill="006CA3"/>
          </w:tcPr>
          <w:p w14:paraId="6B7A2D7E" w14:textId="77777777" w:rsidR="00141B97" w:rsidRDefault="00911D63">
            <w:pPr>
              <w:pStyle w:val="TableParagraph"/>
              <w:spacing w:before="154"/>
              <w:ind w:left="286"/>
              <w:rPr>
                <w:sz w:val="18"/>
              </w:rPr>
            </w:pPr>
            <w:r>
              <w:rPr>
                <w:color w:val="FFFFFF"/>
                <w:spacing w:val="-2"/>
                <w:sz w:val="18"/>
              </w:rPr>
              <w:t>2024‐25</w:t>
            </w:r>
          </w:p>
        </w:tc>
        <w:tc>
          <w:tcPr>
            <w:tcW w:w="1198" w:type="dxa"/>
            <w:tcBorders>
              <w:top w:val="nil"/>
            </w:tcBorders>
            <w:shd w:val="clear" w:color="auto" w:fill="006CA3"/>
          </w:tcPr>
          <w:p w14:paraId="49303DF9" w14:textId="77777777" w:rsidR="00141B97" w:rsidRDefault="00911D63">
            <w:pPr>
              <w:pStyle w:val="TableParagraph"/>
              <w:spacing w:before="154"/>
              <w:ind w:left="286"/>
              <w:rPr>
                <w:sz w:val="18"/>
              </w:rPr>
            </w:pPr>
            <w:r>
              <w:rPr>
                <w:color w:val="FFFFFF"/>
                <w:spacing w:val="-2"/>
                <w:sz w:val="18"/>
              </w:rPr>
              <w:t>2025‐26</w:t>
            </w:r>
          </w:p>
        </w:tc>
        <w:tc>
          <w:tcPr>
            <w:tcW w:w="1199" w:type="dxa"/>
            <w:tcBorders>
              <w:top w:val="nil"/>
            </w:tcBorders>
            <w:shd w:val="clear" w:color="auto" w:fill="006CA3"/>
          </w:tcPr>
          <w:p w14:paraId="5AC65565" w14:textId="77777777" w:rsidR="00141B97" w:rsidRDefault="00911D63">
            <w:pPr>
              <w:pStyle w:val="TableParagraph"/>
              <w:spacing w:before="154"/>
              <w:ind w:left="285"/>
              <w:rPr>
                <w:sz w:val="18"/>
              </w:rPr>
            </w:pPr>
            <w:r>
              <w:rPr>
                <w:color w:val="FFFFFF"/>
                <w:spacing w:val="-2"/>
                <w:sz w:val="18"/>
              </w:rPr>
              <w:t>2026‐27</w:t>
            </w:r>
          </w:p>
        </w:tc>
        <w:tc>
          <w:tcPr>
            <w:tcW w:w="1198" w:type="dxa"/>
            <w:tcBorders>
              <w:top w:val="nil"/>
            </w:tcBorders>
            <w:shd w:val="clear" w:color="auto" w:fill="006CA3"/>
          </w:tcPr>
          <w:p w14:paraId="05C6D8AA" w14:textId="77777777" w:rsidR="00141B97" w:rsidRDefault="00911D63">
            <w:pPr>
              <w:pStyle w:val="TableParagraph"/>
              <w:spacing w:before="154"/>
              <w:ind w:left="285"/>
              <w:rPr>
                <w:sz w:val="18"/>
              </w:rPr>
            </w:pPr>
            <w:r>
              <w:rPr>
                <w:color w:val="FFFFFF"/>
                <w:spacing w:val="-2"/>
                <w:sz w:val="18"/>
              </w:rPr>
              <w:t>2027‐28</w:t>
            </w:r>
          </w:p>
        </w:tc>
        <w:tc>
          <w:tcPr>
            <w:tcW w:w="1013" w:type="dxa"/>
            <w:tcBorders>
              <w:top w:val="nil"/>
              <w:right w:val="nil"/>
            </w:tcBorders>
            <w:shd w:val="clear" w:color="auto" w:fill="006CA3"/>
          </w:tcPr>
          <w:p w14:paraId="3872A47C" w14:textId="77777777" w:rsidR="00141B97" w:rsidRDefault="00911D63">
            <w:pPr>
              <w:pStyle w:val="TableParagraph"/>
              <w:spacing w:before="154"/>
              <w:ind w:left="266"/>
              <w:rPr>
                <w:sz w:val="18"/>
              </w:rPr>
            </w:pPr>
            <w:r>
              <w:rPr>
                <w:color w:val="FFFFFF"/>
                <w:spacing w:val="-2"/>
                <w:sz w:val="18"/>
              </w:rPr>
              <w:t>TOTAL</w:t>
            </w:r>
          </w:p>
        </w:tc>
      </w:tr>
      <w:tr w:rsidR="00141B97" w14:paraId="51F89B82" w14:textId="77777777">
        <w:trPr>
          <w:trHeight w:val="314"/>
          <w:tblCellSpacing w:w="9" w:type="dxa"/>
        </w:trPr>
        <w:tc>
          <w:tcPr>
            <w:tcW w:w="5408" w:type="dxa"/>
            <w:tcBorders>
              <w:left w:val="nil"/>
            </w:tcBorders>
            <w:shd w:val="clear" w:color="auto" w:fill="BFBFBF"/>
          </w:tcPr>
          <w:p w14:paraId="70D97213" w14:textId="77777777" w:rsidR="00141B97" w:rsidRDefault="00911D63">
            <w:pPr>
              <w:pStyle w:val="TableParagraph"/>
              <w:spacing w:before="48"/>
              <w:ind w:left="88"/>
              <w:rPr>
                <w:sz w:val="18"/>
              </w:rPr>
            </w:pPr>
            <w:r>
              <w:rPr>
                <w:sz w:val="18"/>
              </w:rPr>
              <w:t>Top</w:t>
            </w:r>
            <w:r>
              <w:rPr>
                <w:spacing w:val="-4"/>
                <w:sz w:val="18"/>
              </w:rPr>
              <w:t xml:space="preserve"> </w:t>
            </w:r>
            <w:r>
              <w:rPr>
                <w:sz w:val="18"/>
              </w:rPr>
              <w:t>10</w:t>
            </w:r>
            <w:r>
              <w:rPr>
                <w:spacing w:val="-1"/>
                <w:sz w:val="18"/>
              </w:rPr>
              <w:t xml:space="preserve"> </w:t>
            </w:r>
            <w:r>
              <w:rPr>
                <w:sz w:val="18"/>
              </w:rPr>
              <w:t>Projects</w:t>
            </w:r>
            <w:r>
              <w:rPr>
                <w:spacing w:val="-1"/>
                <w:sz w:val="18"/>
              </w:rPr>
              <w:t xml:space="preserve"> </w:t>
            </w:r>
            <w:r>
              <w:rPr>
                <w:sz w:val="18"/>
              </w:rPr>
              <w:t>‐</w:t>
            </w:r>
            <w:r>
              <w:rPr>
                <w:spacing w:val="-2"/>
                <w:sz w:val="18"/>
              </w:rPr>
              <w:t xml:space="preserve"> </w:t>
            </w:r>
            <w:r>
              <w:rPr>
                <w:sz w:val="18"/>
              </w:rPr>
              <w:t>Rural</w:t>
            </w:r>
            <w:r>
              <w:rPr>
                <w:spacing w:val="-1"/>
                <w:sz w:val="18"/>
              </w:rPr>
              <w:t xml:space="preserve"> </w:t>
            </w:r>
            <w:r>
              <w:rPr>
                <w:sz w:val="18"/>
              </w:rPr>
              <w:t xml:space="preserve">component </w:t>
            </w:r>
            <w:r>
              <w:rPr>
                <w:spacing w:val="-4"/>
                <w:sz w:val="18"/>
              </w:rPr>
              <w:t>only</w:t>
            </w:r>
          </w:p>
        </w:tc>
        <w:tc>
          <w:tcPr>
            <w:tcW w:w="1393" w:type="dxa"/>
            <w:shd w:val="clear" w:color="auto" w:fill="BFBFBF"/>
          </w:tcPr>
          <w:p w14:paraId="60FA33BE" w14:textId="77777777" w:rsidR="00141B97" w:rsidRDefault="00141B97">
            <w:pPr>
              <w:pStyle w:val="TableParagraph"/>
              <w:rPr>
                <w:rFonts w:ascii="Times New Roman"/>
                <w:sz w:val="18"/>
              </w:rPr>
            </w:pPr>
          </w:p>
        </w:tc>
        <w:tc>
          <w:tcPr>
            <w:tcW w:w="1860" w:type="dxa"/>
            <w:shd w:val="clear" w:color="auto" w:fill="BFBFBF"/>
          </w:tcPr>
          <w:p w14:paraId="799FEF24" w14:textId="77777777" w:rsidR="00141B97" w:rsidRDefault="00141B97">
            <w:pPr>
              <w:pStyle w:val="TableParagraph"/>
              <w:rPr>
                <w:rFonts w:ascii="Times New Roman"/>
                <w:sz w:val="18"/>
              </w:rPr>
            </w:pPr>
          </w:p>
        </w:tc>
        <w:tc>
          <w:tcPr>
            <w:tcW w:w="1199" w:type="dxa"/>
            <w:shd w:val="clear" w:color="auto" w:fill="BFBFBF"/>
          </w:tcPr>
          <w:p w14:paraId="07A6203B" w14:textId="77777777" w:rsidR="00141B97" w:rsidRDefault="00141B97">
            <w:pPr>
              <w:pStyle w:val="TableParagraph"/>
              <w:rPr>
                <w:rFonts w:ascii="Times New Roman"/>
                <w:sz w:val="18"/>
              </w:rPr>
            </w:pPr>
          </w:p>
        </w:tc>
        <w:tc>
          <w:tcPr>
            <w:tcW w:w="1198" w:type="dxa"/>
            <w:shd w:val="clear" w:color="auto" w:fill="BFBFBF"/>
          </w:tcPr>
          <w:p w14:paraId="0B2F3D7F" w14:textId="77777777" w:rsidR="00141B97" w:rsidRDefault="00141B97">
            <w:pPr>
              <w:pStyle w:val="TableParagraph"/>
              <w:rPr>
                <w:rFonts w:ascii="Times New Roman"/>
                <w:sz w:val="18"/>
              </w:rPr>
            </w:pPr>
          </w:p>
        </w:tc>
        <w:tc>
          <w:tcPr>
            <w:tcW w:w="1198" w:type="dxa"/>
            <w:shd w:val="clear" w:color="auto" w:fill="BFBFBF"/>
          </w:tcPr>
          <w:p w14:paraId="2E56DE3F" w14:textId="77777777" w:rsidR="00141B97" w:rsidRDefault="00141B97">
            <w:pPr>
              <w:pStyle w:val="TableParagraph"/>
              <w:rPr>
                <w:rFonts w:ascii="Times New Roman"/>
                <w:sz w:val="18"/>
              </w:rPr>
            </w:pPr>
          </w:p>
        </w:tc>
        <w:tc>
          <w:tcPr>
            <w:tcW w:w="1199" w:type="dxa"/>
            <w:shd w:val="clear" w:color="auto" w:fill="BFBFBF"/>
          </w:tcPr>
          <w:p w14:paraId="5598D7B3" w14:textId="77777777" w:rsidR="00141B97" w:rsidRDefault="00141B97">
            <w:pPr>
              <w:pStyle w:val="TableParagraph"/>
              <w:rPr>
                <w:rFonts w:ascii="Times New Roman"/>
                <w:sz w:val="18"/>
              </w:rPr>
            </w:pPr>
          </w:p>
        </w:tc>
        <w:tc>
          <w:tcPr>
            <w:tcW w:w="1198" w:type="dxa"/>
            <w:shd w:val="clear" w:color="auto" w:fill="BFBFBF"/>
          </w:tcPr>
          <w:p w14:paraId="6397CC6F" w14:textId="77777777" w:rsidR="00141B97" w:rsidRDefault="00141B97">
            <w:pPr>
              <w:pStyle w:val="TableParagraph"/>
              <w:rPr>
                <w:rFonts w:ascii="Times New Roman"/>
                <w:sz w:val="18"/>
              </w:rPr>
            </w:pPr>
          </w:p>
        </w:tc>
        <w:tc>
          <w:tcPr>
            <w:tcW w:w="1013" w:type="dxa"/>
            <w:tcBorders>
              <w:right w:val="nil"/>
            </w:tcBorders>
            <w:shd w:val="clear" w:color="auto" w:fill="BFBFBF"/>
          </w:tcPr>
          <w:p w14:paraId="518AB96E" w14:textId="77777777" w:rsidR="00141B97" w:rsidRDefault="00141B97">
            <w:pPr>
              <w:pStyle w:val="TableParagraph"/>
              <w:rPr>
                <w:rFonts w:ascii="Times New Roman"/>
                <w:sz w:val="18"/>
              </w:rPr>
            </w:pPr>
          </w:p>
        </w:tc>
      </w:tr>
      <w:tr w:rsidR="00141B97" w14:paraId="1293DE1B" w14:textId="77777777">
        <w:trPr>
          <w:trHeight w:val="439"/>
          <w:tblCellSpacing w:w="9" w:type="dxa"/>
        </w:trPr>
        <w:tc>
          <w:tcPr>
            <w:tcW w:w="5408" w:type="dxa"/>
            <w:tcBorders>
              <w:left w:val="nil"/>
            </w:tcBorders>
            <w:shd w:val="clear" w:color="auto" w:fill="CCE2ED"/>
          </w:tcPr>
          <w:p w14:paraId="4972AF4E" w14:textId="77777777" w:rsidR="00141B97" w:rsidRDefault="00911D63">
            <w:pPr>
              <w:pStyle w:val="TableParagraph"/>
              <w:spacing w:line="220" w:lineRule="atLeast"/>
              <w:ind w:left="88"/>
              <w:rPr>
                <w:sz w:val="18"/>
              </w:rPr>
            </w:pPr>
            <w:r>
              <w:rPr>
                <w:sz w:val="18"/>
              </w:rPr>
              <w:t>ROB</w:t>
            </w:r>
            <w:r>
              <w:rPr>
                <w:spacing w:val="-3"/>
                <w:sz w:val="18"/>
              </w:rPr>
              <w:t xml:space="preserve"> </w:t>
            </w:r>
            <w:r>
              <w:rPr>
                <w:sz w:val="18"/>
              </w:rPr>
              <w:t>‐</w:t>
            </w:r>
            <w:r>
              <w:rPr>
                <w:spacing w:val="-2"/>
                <w:sz w:val="18"/>
              </w:rPr>
              <w:t xml:space="preserve"> </w:t>
            </w:r>
            <w:r>
              <w:rPr>
                <w:sz w:val="18"/>
              </w:rPr>
              <w:t>Decommission</w:t>
            </w:r>
            <w:r>
              <w:rPr>
                <w:spacing w:val="-2"/>
                <w:sz w:val="18"/>
              </w:rPr>
              <w:t xml:space="preserve"> </w:t>
            </w:r>
            <w:r>
              <w:rPr>
                <w:sz w:val="18"/>
              </w:rPr>
              <w:t>selected</w:t>
            </w:r>
            <w:r>
              <w:rPr>
                <w:spacing w:val="-3"/>
                <w:sz w:val="18"/>
              </w:rPr>
              <w:t xml:space="preserve"> </w:t>
            </w:r>
            <w:r>
              <w:rPr>
                <w:sz w:val="18"/>
              </w:rPr>
              <w:t>section</w:t>
            </w:r>
            <w:r>
              <w:rPr>
                <w:spacing w:val="-3"/>
                <w:sz w:val="18"/>
              </w:rPr>
              <w:t xml:space="preserve"> </w:t>
            </w:r>
            <w:r>
              <w:rPr>
                <w:sz w:val="18"/>
              </w:rPr>
              <w:t>of</w:t>
            </w:r>
            <w:r>
              <w:rPr>
                <w:spacing w:val="-2"/>
                <w:sz w:val="18"/>
              </w:rPr>
              <w:t xml:space="preserve"> </w:t>
            </w:r>
            <w:r>
              <w:rPr>
                <w:sz w:val="18"/>
              </w:rPr>
              <w:t>redundant</w:t>
            </w:r>
            <w:r>
              <w:rPr>
                <w:spacing w:val="-3"/>
                <w:sz w:val="18"/>
              </w:rPr>
              <w:t xml:space="preserve"> </w:t>
            </w:r>
            <w:r>
              <w:rPr>
                <w:sz w:val="18"/>
              </w:rPr>
              <w:t>channel</w:t>
            </w:r>
            <w:r>
              <w:rPr>
                <w:spacing w:val="-2"/>
                <w:sz w:val="18"/>
              </w:rPr>
              <w:t xml:space="preserve"> </w:t>
            </w:r>
            <w:r>
              <w:rPr>
                <w:sz w:val="18"/>
              </w:rPr>
              <w:t>(rubbish dumping /ongoing opex)</w:t>
            </w:r>
          </w:p>
        </w:tc>
        <w:tc>
          <w:tcPr>
            <w:tcW w:w="1393" w:type="dxa"/>
            <w:shd w:val="clear" w:color="auto" w:fill="CCE2ED"/>
          </w:tcPr>
          <w:p w14:paraId="4FBC1E73"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7EE8F6D1"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4A51B659" w14:textId="77777777" w:rsidR="00141B97" w:rsidRDefault="00911D63">
            <w:pPr>
              <w:pStyle w:val="TableParagraph"/>
              <w:spacing w:before="110"/>
              <w:ind w:right="96"/>
              <w:jc w:val="right"/>
              <w:rPr>
                <w:sz w:val="18"/>
              </w:rPr>
            </w:pPr>
            <w:r>
              <w:rPr>
                <w:spacing w:val="-4"/>
                <w:sz w:val="18"/>
              </w:rPr>
              <w:t>0.15</w:t>
            </w:r>
          </w:p>
        </w:tc>
        <w:tc>
          <w:tcPr>
            <w:tcW w:w="1198" w:type="dxa"/>
            <w:shd w:val="clear" w:color="auto" w:fill="CCE2ED"/>
          </w:tcPr>
          <w:p w14:paraId="3BCD4914"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4D794873"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40DD48DB" w14:textId="77777777" w:rsidR="00141B97" w:rsidRDefault="00911D63">
            <w:pPr>
              <w:pStyle w:val="TableParagraph"/>
              <w:spacing w:before="110"/>
              <w:ind w:right="97"/>
              <w:jc w:val="right"/>
              <w:rPr>
                <w:sz w:val="18"/>
              </w:rPr>
            </w:pPr>
            <w:r>
              <w:rPr>
                <w:spacing w:val="-4"/>
                <w:sz w:val="18"/>
              </w:rPr>
              <w:t>0.22</w:t>
            </w:r>
          </w:p>
        </w:tc>
        <w:tc>
          <w:tcPr>
            <w:tcW w:w="1198" w:type="dxa"/>
            <w:shd w:val="clear" w:color="auto" w:fill="CCE2ED"/>
          </w:tcPr>
          <w:p w14:paraId="0440D4AD" w14:textId="77777777" w:rsidR="00141B97" w:rsidRDefault="00911D63">
            <w:pPr>
              <w:pStyle w:val="TableParagraph"/>
              <w:spacing w:before="110"/>
              <w:ind w:right="96"/>
              <w:jc w:val="right"/>
              <w:rPr>
                <w:sz w:val="18"/>
              </w:rPr>
            </w:pPr>
            <w:r>
              <w:rPr>
                <w:spacing w:val="-4"/>
                <w:sz w:val="18"/>
              </w:rPr>
              <w:t>0.63</w:t>
            </w:r>
          </w:p>
        </w:tc>
        <w:tc>
          <w:tcPr>
            <w:tcW w:w="1013" w:type="dxa"/>
            <w:tcBorders>
              <w:right w:val="nil"/>
            </w:tcBorders>
            <w:shd w:val="clear" w:color="auto" w:fill="CCE2ED"/>
          </w:tcPr>
          <w:p w14:paraId="462B9F87" w14:textId="77777777" w:rsidR="00141B97" w:rsidRDefault="00911D63">
            <w:pPr>
              <w:pStyle w:val="TableParagraph"/>
              <w:spacing w:before="110"/>
              <w:ind w:right="86"/>
              <w:jc w:val="right"/>
              <w:rPr>
                <w:sz w:val="18"/>
              </w:rPr>
            </w:pPr>
            <w:r>
              <w:rPr>
                <w:spacing w:val="-4"/>
                <w:sz w:val="18"/>
              </w:rPr>
              <w:t>1.00</w:t>
            </w:r>
          </w:p>
        </w:tc>
      </w:tr>
      <w:tr w:rsidR="00141B97" w14:paraId="430DF7C8" w14:textId="77777777">
        <w:trPr>
          <w:trHeight w:val="439"/>
          <w:tblCellSpacing w:w="9" w:type="dxa"/>
        </w:trPr>
        <w:tc>
          <w:tcPr>
            <w:tcW w:w="5408" w:type="dxa"/>
            <w:tcBorders>
              <w:left w:val="nil"/>
            </w:tcBorders>
            <w:shd w:val="clear" w:color="auto" w:fill="CCE2ED"/>
          </w:tcPr>
          <w:p w14:paraId="4DBC600A" w14:textId="77777777" w:rsidR="00141B97" w:rsidRDefault="00911D63">
            <w:pPr>
              <w:pStyle w:val="TableParagraph"/>
              <w:spacing w:before="110"/>
              <w:ind w:left="88"/>
              <w:rPr>
                <w:sz w:val="18"/>
              </w:rPr>
            </w:pPr>
            <w:r>
              <w:rPr>
                <w:sz w:val="18"/>
              </w:rPr>
              <w:t>ROB</w:t>
            </w:r>
            <w:r>
              <w:rPr>
                <w:spacing w:val="-2"/>
                <w:sz w:val="18"/>
              </w:rPr>
              <w:t xml:space="preserve"> </w:t>
            </w:r>
            <w:r>
              <w:rPr>
                <w:sz w:val="18"/>
              </w:rPr>
              <w:t>‐</w:t>
            </w:r>
            <w:r>
              <w:rPr>
                <w:spacing w:val="-1"/>
                <w:sz w:val="18"/>
              </w:rPr>
              <w:t xml:space="preserve"> </w:t>
            </w:r>
            <w:r>
              <w:rPr>
                <w:sz w:val="18"/>
              </w:rPr>
              <w:t>Decommission</w:t>
            </w:r>
            <w:r>
              <w:rPr>
                <w:spacing w:val="-1"/>
                <w:sz w:val="18"/>
              </w:rPr>
              <w:t xml:space="preserve"> </w:t>
            </w:r>
            <w:r>
              <w:rPr>
                <w:sz w:val="18"/>
              </w:rPr>
              <w:t>and</w:t>
            </w:r>
            <w:r>
              <w:rPr>
                <w:spacing w:val="-1"/>
                <w:sz w:val="18"/>
              </w:rPr>
              <w:t xml:space="preserve"> </w:t>
            </w:r>
            <w:r>
              <w:rPr>
                <w:sz w:val="18"/>
              </w:rPr>
              <w:t>seal</w:t>
            </w:r>
            <w:r>
              <w:rPr>
                <w:spacing w:val="-2"/>
                <w:sz w:val="18"/>
              </w:rPr>
              <w:t xml:space="preserve"> </w:t>
            </w:r>
            <w:r>
              <w:rPr>
                <w:sz w:val="18"/>
              </w:rPr>
              <w:t>the</w:t>
            </w:r>
            <w:r>
              <w:rPr>
                <w:spacing w:val="-2"/>
                <w:sz w:val="18"/>
              </w:rPr>
              <w:t xml:space="preserve"> </w:t>
            </w:r>
            <w:r>
              <w:rPr>
                <w:sz w:val="18"/>
              </w:rPr>
              <w:t xml:space="preserve">old </w:t>
            </w:r>
            <w:r>
              <w:rPr>
                <w:spacing w:val="-2"/>
                <w:sz w:val="18"/>
              </w:rPr>
              <w:t>suction</w:t>
            </w:r>
          </w:p>
        </w:tc>
        <w:tc>
          <w:tcPr>
            <w:tcW w:w="1393" w:type="dxa"/>
            <w:shd w:val="clear" w:color="auto" w:fill="CCE2ED"/>
          </w:tcPr>
          <w:p w14:paraId="4EBD3C3E"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4CBD03D8"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0A494FD6"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39887A77"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43CF0A23"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78C4B18F" w14:textId="77777777" w:rsidR="00141B97" w:rsidRDefault="00911D63">
            <w:pPr>
              <w:pStyle w:val="TableParagraph"/>
              <w:spacing w:before="110"/>
              <w:ind w:right="97"/>
              <w:jc w:val="right"/>
              <w:rPr>
                <w:sz w:val="18"/>
              </w:rPr>
            </w:pPr>
            <w:r>
              <w:rPr>
                <w:spacing w:val="-4"/>
                <w:sz w:val="18"/>
              </w:rPr>
              <w:t>0.15</w:t>
            </w:r>
          </w:p>
        </w:tc>
        <w:tc>
          <w:tcPr>
            <w:tcW w:w="1198" w:type="dxa"/>
            <w:shd w:val="clear" w:color="auto" w:fill="CCE2ED"/>
          </w:tcPr>
          <w:p w14:paraId="2CDCBAC7"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2AF639A3" w14:textId="77777777" w:rsidR="00141B97" w:rsidRDefault="00911D63">
            <w:pPr>
              <w:pStyle w:val="TableParagraph"/>
              <w:spacing w:before="110"/>
              <w:ind w:right="86"/>
              <w:jc w:val="right"/>
              <w:rPr>
                <w:sz w:val="18"/>
              </w:rPr>
            </w:pPr>
            <w:r>
              <w:rPr>
                <w:spacing w:val="-4"/>
                <w:sz w:val="18"/>
              </w:rPr>
              <w:t>0.15</w:t>
            </w:r>
          </w:p>
        </w:tc>
      </w:tr>
      <w:tr w:rsidR="00141B97" w14:paraId="02DB104B" w14:textId="77777777">
        <w:trPr>
          <w:trHeight w:val="438"/>
          <w:tblCellSpacing w:w="9" w:type="dxa"/>
        </w:trPr>
        <w:tc>
          <w:tcPr>
            <w:tcW w:w="5408" w:type="dxa"/>
            <w:tcBorders>
              <w:left w:val="nil"/>
            </w:tcBorders>
            <w:shd w:val="clear" w:color="auto" w:fill="CCE2ED"/>
          </w:tcPr>
          <w:p w14:paraId="09E79E22" w14:textId="77777777" w:rsidR="00141B97" w:rsidRDefault="00911D63">
            <w:pPr>
              <w:pStyle w:val="TableParagraph"/>
              <w:spacing w:before="109"/>
              <w:ind w:left="88"/>
              <w:rPr>
                <w:sz w:val="18"/>
              </w:rPr>
            </w:pPr>
            <w:r>
              <w:rPr>
                <w:sz w:val="18"/>
              </w:rPr>
              <w:t>ROB</w:t>
            </w:r>
            <w:r>
              <w:rPr>
                <w:spacing w:val="-3"/>
                <w:sz w:val="18"/>
              </w:rPr>
              <w:t xml:space="preserve"> </w:t>
            </w:r>
            <w:r>
              <w:rPr>
                <w:sz w:val="18"/>
              </w:rPr>
              <w:t>‐</w:t>
            </w:r>
            <w:r>
              <w:rPr>
                <w:spacing w:val="-1"/>
                <w:sz w:val="18"/>
              </w:rPr>
              <w:t xml:space="preserve"> </w:t>
            </w:r>
            <w:r>
              <w:rPr>
                <w:sz w:val="18"/>
              </w:rPr>
              <w:t>Decommission</w:t>
            </w:r>
            <w:r>
              <w:rPr>
                <w:spacing w:val="-1"/>
                <w:sz w:val="18"/>
              </w:rPr>
              <w:t xml:space="preserve"> </w:t>
            </w:r>
            <w:r>
              <w:rPr>
                <w:sz w:val="18"/>
              </w:rPr>
              <w:t>the</w:t>
            </w:r>
            <w:r>
              <w:rPr>
                <w:spacing w:val="-2"/>
                <w:sz w:val="18"/>
              </w:rPr>
              <w:t xml:space="preserve"> </w:t>
            </w:r>
            <w:r>
              <w:rPr>
                <w:sz w:val="18"/>
              </w:rPr>
              <w:t>old</w:t>
            </w:r>
            <w:r>
              <w:rPr>
                <w:spacing w:val="-1"/>
                <w:sz w:val="18"/>
              </w:rPr>
              <w:t xml:space="preserve"> </w:t>
            </w:r>
            <w:r>
              <w:rPr>
                <w:sz w:val="18"/>
              </w:rPr>
              <w:t>PS</w:t>
            </w:r>
            <w:r>
              <w:rPr>
                <w:spacing w:val="-2"/>
                <w:sz w:val="18"/>
              </w:rPr>
              <w:t xml:space="preserve"> </w:t>
            </w:r>
            <w:r>
              <w:rPr>
                <w:sz w:val="18"/>
              </w:rPr>
              <w:t>(main</w:t>
            </w:r>
            <w:r>
              <w:rPr>
                <w:spacing w:val="-1"/>
                <w:sz w:val="18"/>
              </w:rPr>
              <w:t xml:space="preserve"> </w:t>
            </w:r>
            <w:r>
              <w:rPr>
                <w:sz w:val="18"/>
              </w:rPr>
              <w:t>and</w:t>
            </w:r>
            <w:r>
              <w:rPr>
                <w:spacing w:val="-3"/>
                <w:sz w:val="18"/>
              </w:rPr>
              <w:t xml:space="preserve"> </w:t>
            </w:r>
            <w:r>
              <w:rPr>
                <w:sz w:val="18"/>
              </w:rPr>
              <w:t>relift)</w:t>
            </w:r>
            <w:r>
              <w:rPr>
                <w:spacing w:val="-2"/>
                <w:sz w:val="18"/>
              </w:rPr>
              <w:t xml:space="preserve"> </w:t>
            </w:r>
            <w:r>
              <w:rPr>
                <w:sz w:val="18"/>
              </w:rPr>
              <w:t>and</w:t>
            </w:r>
            <w:r>
              <w:rPr>
                <w:spacing w:val="-1"/>
                <w:sz w:val="18"/>
              </w:rPr>
              <w:t xml:space="preserve"> </w:t>
            </w:r>
            <w:r>
              <w:rPr>
                <w:sz w:val="18"/>
              </w:rPr>
              <w:t>rising</w:t>
            </w:r>
            <w:r>
              <w:rPr>
                <w:spacing w:val="-2"/>
                <w:sz w:val="18"/>
              </w:rPr>
              <w:t xml:space="preserve"> </w:t>
            </w:r>
            <w:r>
              <w:rPr>
                <w:spacing w:val="-4"/>
                <w:sz w:val="18"/>
              </w:rPr>
              <w:t>main</w:t>
            </w:r>
          </w:p>
        </w:tc>
        <w:tc>
          <w:tcPr>
            <w:tcW w:w="1393" w:type="dxa"/>
            <w:shd w:val="clear" w:color="auto" w:fill="CCE2ED"/>
          </w:tcPr>
          <w:p w14:paraId="15AA361A" w14:textId="77777777" w:rsidR="00141B97" w:rsidRDefault="00911D63">
            <w:pPr>
              <w:pStyle w:val="TableParagraph"/>
              <w:spacing w:before="109"/>
              <w:ind w:right="95"/>
              <w:jc w:val="right"/>
              <w:rPr>
                <w:sz w:val="18"/>
              </w:rPr>
            </w:pPr>
            <w:r>
              <w:rPr>
                <w:spacing w:val="-2"/>
                <w:sz w:val="18"/>
              </w:rPr>
              <w:t>Irrigation</w:t>
            </w:r>
          </w:p>
        </w:tc>
        <w:tc>
          <w:tcPr>
            <w:tcW w:w="1860" w:type="dxa"/>
            <w:shd w:val="clear" w:color="auto" w:fill="CCE2ED"/>
          </w:tcPr>
          <w:p w14:paraId="3DEA3C51" w14:textId="77777777" w:rsidR="00141B97" w:rsidRDefault="00911D63">
            <w:pPr>
              <w:pStyle w:val="TableParagraph"/>
              <w:spacing w:line="219" w:lineRule="exact"/>
              <w:ind w:right="94"/>
              <w:jc w:val="right"/>
              <w:rPr>
                <w:sz w:val="18"/>
              </w:rPr>
            </w:pPr>
            <w:r>
              <w:rPr>
                <w:sz w:val="18"/>
              </w:rPr>
              <w:t xml:space="preserve">Improvements </w:t>
            </w:r>
            <w:r>
              <w:rPr>
                <w:spacing w:val="-10"/>
                <w:sz w:val="18"/>
              </w:rPr>
              <w:t>/</w:t>
            </w:r>
          </w:p>
          <w:p w14:paraId="5E18C418" w14:textId="77777777" w:rsidR="00141B97" w:rsidRDefault="00911D63">
            <w:pPr>
              <w:pStyle w:val="TableParagraph"/>
              <w:spacing w:before="1" w:line="199" w:lineRule="exact"/>
              <w:ind w:right="95"/>
              <w:jc w:val="right"/>
              <w:rPr>
                <w:sz w:val="18"/>
              </w:rPr>
            </w:pPr>
            <w:r>
              <w:rPr>
                <w:spacing w:val="-2"/>
                <w:sz w:val="18"/>
              </w:rPr>
              <w:t>Compliance</w:t>
            </w:r>
          </w:p>
        </w:tc>
        <w:tc>
          <w:tcPr>
            <w:tcW w:w="1199" w:type="dxa"/>
            <w:shd w:val="clear" w:color="auto" w:fill="CCE2ED"/>
          </w:tcPr>
          <w:p w14:paraId="7727B04C" w14:textId="77777777" w:rsidR="00141B97" w:rsidRDefault="00911D63">
            <w:pPr>
              <w:pStyle w:val="TableParagraph"/>
              <w:spacing w:before="109"/>
              <w:ind w:right="96"/>
              <w:jc w:val="right"/>
              <w:rPr>
                <w:sz w:val="18"/>
              </w:rPr>
            </w:pPr>
            <w:r>
              <w:rPr>
                <w:spacing w:val="-4"/>
                <w:sz w:val="18"/>
              </w:rPr>
              <w:t>0.00</w:t>
            </w:r>
          </w:p>
        </w:tc>
        <w:tc>
          <w:tcPr>
            <w:tcW w:w="1198" w:type="dxa"/>
            <w:shd w:val="clear" w:color="auto" w:fill="CCE2ED"/>
          </w:tcPr>
          <w:p w14:paraId="48A33CCF" w14:textId="77777777" w:rsidR="00141B97" w:rsidRDefault="00911D63">
            <w:pPr>
              <w:pStyle w:val="TableParagraph"/>
              <w:spacing w:before="109"/>
              <w:ind w:right="95"/>
              <w:jc w:val="right"/>
              <w:rPr>
                <w:sz w:val="18"/>
              </w:rPr>
            </w:pPr>
            <w:r>
              <w:rPr>
                <w:spacing w:val="-4"/>
                <w:sz w:val="18"/>
              </w:rPr>
              <w:t>0.00</w:t>
            </w:r>
          </w:p>
        </w:tc>
        <w:tc>
          <w:tcPr>
            <w:tcW w:w="1198" w:type="dxa"/>
            <w:shd w:val="clear" w:color="auto" w:fill="CCE2ED"/>
          </w:tcPr>
          <w:p w14:paraId="3960ABF0" w14:textId="77777777" w:rsidR="00141B97" w:rsidRDefault="00911D63">
            <w:pPr>
              <w:pStyle w:val="TableParagraph"/>
              <w:spacing w:before="109"/>
              <w:ind w:right="96"/>
              <w:jc w:val="right"/>
              <w:rPr>
                <w:sz w:val="18"/>
              </w:rPr>
            </w:pPr>
            <w:r>
              <w:rPr>
                <w:spacing w:val="-4"/>
                <w:sz w:val="18"/>
              </w:rPr>
              <w:t>0.00</w:t>
            </w:r>
          </w:p>
        </w:tc>
        <w:tc>
          <w:tcPr>
            <w:tcW w:w="1199" w:type="dxa"/>
            <w:shd w:val="clear" w:color="auto" w:fill="CCE2ED"/>
          </w:tcPr>
          <w:p w14:paraId="4CB0EEC1" w14:textId="77777777" w:rsidR="00141B97" w:rsidRDefault="00911D63">
            <w:pPr>
              <w:pStyle w:val="TableParagraph"/>
              <w:spacing w:before="109"/>
              <w:ind w:right="97"/>
              <w:jc w:val="right"/>
              <w:rPr>
                <w:sz w:val="18"/>
              </w:rPr>
            </w:pPr>
            <w:r>
              <w:rPr>
                <w:spacing w:val="-4"/>
                <w:sz w:val="18"/>
              </w:rPr>
              <w:t>0.22</w:t>
            </w:r>
          </w:p>
        </w:tc>
        <w:tc>
          <w:tcPr>
            <w:tcW w:w="1198" w:type="dxa"/>
            <w:shd w:val="clear" w:color="auto" w:fill="CCE2ED"/>
          </w:tcPr>
          <w:p w14:paraId="3AC4306A" w14:textId="77777777" w:rsidR="00141B97" w:rsidRDefault="00911D63">
            <w:pPr>
              <w:pStyle w:val="TableParagraph"/>
              <w:spacing w:before="109"/>
              <w:ind w:right="96"/>
              <w:jc w:val="right"/>
              <w:rPr>
                <w:sz w:val="18"/>
              </w:rPr>
            </w:pPr>
            <w:r>
              <w:rPr>
                <w:spacing w:val="-4"/>
                <w:sz w:val="18"/>
              </w:rPr>
              <w:t>0.78</w:t>
            </w:r>
          </w:p>
        </w:tc>
        <w:tc>
          <w:tcPr>
            <w:tcW w:w="1013" w:type="dxa"/>
            <w:tcBorders>
              <w:right w:val="nil"/>
            </w:tcBorders>
            <w:shd w:val="clear" w:color="auto" w:fill="CCE2ED"/>
          </w:tcPr>
          <w:p w14:paraId="1382253B" w14:textId="77777777" w:rsidR="00141B97" w:rsidRDefault="00911D63">
            <w:pPr>
              <w:pStyle w:val="TableParagraph"/>
              <w:spacing w:before="109"/>
              <w:ind w:right="86"/>
              <w:jc w:val="right"/>
              <w:rPr>
                <w:sz w:val="18"/>
              </w:rPr>
            </w:pPr>
            <w:r>
              <w:rPr>
                <w:spacing w:val="-4"/>
                <w:sz w:val="18"/>
              </w:rPr>
              <w:t>1.00</w:t>
            </w:r>
          </w:p>
        </w:tc>
      </w:tr>
      <w:tr w:rsidR="00141B97" w14:paraId="3145B98B" w14:textId="77777777">
        <w:trPr>
          <w:trHeight w:val="438"/>
          <w:tblCellSpacing w:w="9" w:type="dxa"/>
        </w:trPr>
        <w:tc>
          <w:tcPr>
            <w:tcW w:w="5408" w:type="dxa"/>
            <w:tcBorders>
              <w:left w:val="nil"/>
            </w:tcBorders>
            <w:shd w:val="clear" w:color="auto" w:fill="CCE2ED"/>
          </w:tcPr>
          <w:p w14:paraId="290CC824" w14:textId="77777777" w:rsidR="00141B97" w:rsidRDefault="00911D63">
            <w:pPr>
              <w:pStyle w:val="TableParagraph"/>
              <w:spacing w:before="110"/>
              <w:ind w:left="88"/>
              <w:rPr>
                <w:sz w:val="18"/>
              </w:rPr>
            </w:pPr>
            <w:r>
              <w:rPr>
                <w:sz w:val="18"/>
              </w:rPr>
              <w:t>BTS:</w:t>
            </w:r>
            <w:r>
              <w:rPr>
                <w:spacing w:val="-4"/>
                <w:sz w:val="18"/>
              </w:rPr>
              <w:t xml:space="preserve"> </w:t>
            </w:r>
            <w:r>
              <w:rPr>
                <w:sz w:val="18"/>
              </w:rPr>
              <w:t>Customer</w:t>
            </w:r>
            <w:r>
              <w:rPr>
                <w:spacing w:val="-2"/>
                <w:sz w:val="18"/>
              </w:rPr>
              <w:t xml:space="preserve"> </w:t>
            </w:r>
            <w:r>
              <w:rPr>
                <w:sz w:val="18"/>
              </w:rPr>
              <w:t>CRM,</w:t>
            </w:r>
            <w:r>
              <w:rPr>
                <w:spacing w:val="-2"/>
                <w:sz w:val="18"/>
              </w:rPr>
              <w:t xml:space="preserve"> </w:t>
            </w:r>
            <w:r>
              <w:rPr>
                <w:sz w:val="18"/>
              </w:rPr>
              <w:t>Portal</w:t>
            </w:r>
            <w:r>
              <w:rPr>
                <w:spacing w:val="-3"/>
                <w:sz w:val="18"/>
              </w:rPr>
              <w:t xml:space="preserve"> </w:t>
            </w:r>
            <w:r>
              <w:rPr>
                <w:sz w:val="18"/>
              </w:rPr>
              <w:t>Phase</w:t>
            </w:r>
            <w:r>
              <w:rPr>
                <w:spacing w:val="-3"/>
                <w:sz w:val="18"/>
              </w:rPr>
              <w:t xml:space="preserve"> </w:t>
            </w:r>
            <w:r>
              <w:rPr>
                <w:spacing w:val="-10"/>
                <w:sz w:val="18"/>
              </w:rPr>
              <w:t>2</w:t>
            </w:r>
          </w:p>
        </w:tc>
        <w:tc>
          <w:tcPr>
            <w:tcW w:w="1393" w:type="dxa"/>
            <w:shd w:val="clear" w:color="auto" w:fill="CCE2ED"/>
          </w:tcPr>
          <w:p w14:paraId="6A66DE13"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07627D4F"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686E0395" w14:textId="77777777" w:rsidR="00141B97" w:rsidRDefault="00911D63">
            <w:pPr>
              <w:pStyle w:val="TableParagraph"/>
              <w:spacing w:before="110"/>
              <w:ind w:right="96"/>
              <w:jc w:val="right"/>
              <w:rPr>
                <w:sz w:val="18"/>
              </w:rPr>
            </w:pPr>
            <w:r>
              <w:rPr>
                <w:spacing w:val="-4"/>
                <w:sz w:val="18"/>
              </w:rPr>
              <w:t>0.17</w:t>
            </w:r>
          </w:p>
        </w:tc>
        <w:tc>
          <w:tcPr>
            <w:tcW w:w="1198" w:type="dxa"/>
            <w:shd w:val="clear" w:color="auto" w:fill="CCE2ED"/>
          </w:tcPr>
          <w:p w14:paraId="5F8C5AB2" w14:textId="77777777" w:rsidR="00141B97" w:rsidRDefault="00911D63">
            <w:pPr>
              <w:pStyle w:val="TableParagraph"/>
              <w:spacing w:before="110"/>
              <w:ind w:right="95"/>
              <w:jc w:val="right"/>
              <w:rPr>
                <w:sz w:val="18"/>
              </w:rPr>
            </w:pPr>
            <w:r>
              <w:rPr>
                <w:spacing w:val="-4"/>
                <w:sz w:val="18"/>
              </w:rPr>
              <w:t>0.17</w:t>
            </w:r>
          </w:p>
        </w:tc>
        <w:tc>
          <w:tcPr>
            <w:tcW w:w="1198" w:type="dxa"/>
            <w:shd w:val="clear" w:color="auto" w:fill="CCE2ED"/>
          </w:tcPr>
          <w:p w14:paraId="26804A43" w14:textId="77777777" w:rsidR="00141B97" w:rsidRDefault="00911D63">
            <w:pPr>
              <w:pStyle w:val="TableParagraph"/>
              <w:spacing w:before="110"/>
              <w:ind w:right="96"/>
              <w:jc w:val="right"/>
              <w:rPr>
                <w:sz w:val="18"/>
              </w:rPr>
            </w:pPr>
            <w:r>
              <w:rPr>
                <w:spacing w:val="-4"/>
                <w:sz w:val="18"/>
              </w:rPr>
              <w:t>0.17</w:t>
            </w:r>
          </w:p>
        </w:tc>
        <w:tc>
          <w:tcPr>
            <w:tcW w:w="1199" w:type="dxa"/>
            <w:shd w:val="clear" w:color="auto" w:fill="CCE2ED"/>
          </w:tcPr>
          <w:p w14:paraId="22ADBFE3"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7EA72F3E"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6ECC5E2C" w14:textId="77777777" w:rsidR="00141B97" w:rsidRDefault="00911D63">
            <w:pPr>
              <w:pStyle w:val="TableParagraph"/>
              <w:spacing w:before="110"/>
              <w:ind w:right="86"/>
              <w:jc w:val="right"/>
              <w:rPr>
                <w:sz w:val="18"/>
              </w:rPr>
            </w:pPr>
            <w:r>
              <w:rPr>
                <w:spacing w:val="-4"/>
                <w:sz w:val="18"/>
              </w:rPr>
              <w:t>0.50</w:t>
            </w:r>
          </w:p>
        </w:tc>
      </w:tr>
      <w:tr w:rsidR="00141B97" w14:paraId="6CDD87EE" w14:textId="77777777">
        <w:trPr>
          <w:trHeight w:val="437"/>
          <w:tblCellSpacing w:w="9" w:type="dxa"/>
        </w:trPr>
        <w:tc>
          <w:tcPr>
            <w:tcW w:w="5408" w:type="dxa"/>
            <w:tcBorders>
              <w:left w:val="nil"/>
            </w:tcBorders>
            <w:shd w:val="clear" w:color="auto" w:fill="CCE2ED"/>
          </w:tcPr>
          <w:p w14:paraId="5AEBD133" w14:textId="77777777" w:rsidR="00141B97" w:rsidRDefault="00911D63">
            <w:pPr>
              <w:pStyle w:val="TableParagraph"/>
              <w:spacing w:before="110"/>
              <w:ind w:left="88"/>
              <w:rPr>
                <w:sz w:val="18"/>
              </w:rPr>
            </w:pPr>
            <w:r>
              <w:rPr>
                <w:sz w:val="18"/>
              </w:rPr>
              <w:t>BTS:</w:t>
            </w:r>
            <w:r>
              <w:rPr>
                <w:spacing w:val="-3"/>
                <w:sz w:val="18"/>
              </w:rPr>
              <w:t xml:space="preserve"> </w:t>
            </w:r>
            <w:r>
              <w:rPr>
                <w:sz w:val="18"/>
              </w:rPr>
              <w:t>INFOR</w:t>
            </w:r>
            <w:r>
              <w:rPr>
                <w:spacing w:val="-1"/>
                <w:sz w:val="18"/>
              </w:rPr>
              <w:t xml:space="preserve"> </w:t>
            </w:r>
            <w:r>
              <w:rPr>
                <w:sz w:val="18"/>
              </w:rPr>
              <w:t>Asset</w:t>
            </w:r>
            <w:r>
              <w:rPr>
                <w:spacing w:val="-1"/>
                <w:sz w:val="18"/>
              </w:rPr>
              <w:t xml:space="preserve"> </w:t>
            </w:r>
            <w:r>
              <w:rPr>
                <w:spacing w:val="-2"/>
                <w:sz w:val="18"/>
              </w:rPr>
              <w:t>Management</w:t>
            </w:r>
          </w:p>
        </w:tc>
        <w:tc>
          <w:tcPr>
            <w:tcW w:w="1393" w:type="dxa"/>
            <w:shd w:val="clear" w:color="auto" w:fill="CCE2ED"/>
          </w:tcPr>
          <w:p w14:paraId="23C58B37"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6C7A6FDB" w14:textId="77777777" w:rsidR="00141B97" w:rsidRDefault="00911D63">
            <w:pPr>
              <w:pStyle w:val="TableParagraph"/>
              <w:spacing w:line="219" w:lineRule="exact"/>
              <w:ind w:right="94"/>
              <w:jc w:val="right"/>
              <w:rPr>
                <w:sz w:val="18"/>
              </w:rPr>
            </w:pPr>
            <w:r>
              <w:rPr>
                <w:sz w:val="18"/>
              </w:rPr>
              <w:t xml:space="preserve">Improvements </w:t>
            </w:r>
            <w:r>
              <w:rPr>
                <w:spacing w:val="-10"/>
                <w:sz w:val="18"/>
              </w:rPr>
              <w:t>/</w:t>
            </w:r>
          </w:p>
          <w:p w14:paraId="30220B36" w14:textId="77777777" w:rsidR="00141B97" w:rsidRDefault="00911D63">
            <w:pPr>
              <w:pStyle w:val="TableParagraph"/>
              <w:spacing w:line="199" w:lineRule="exact"/>
              <w:ind w:right="95"/>
              <w:jc w:val="right"/>
              <w:rPr>
                <w:sz w:val="18"/>
              </w:rPr>
            </w:pPr>
            <w:r>
              <w:rPr>
                <w:spacing w:val="-2"/>
                <w:sz w:val="18"/>
              </w:rPr>
              <w:t>Compliance</w:t>
            </w:r>
          </w:p>
        </w:tc>
        <w:tc>
          <w:tcPr>
            <w:tcW w:w="1199" w:type="dxa"/>
            <w:shd w:val="clear" w:color="auto" w:fill="CCE2ED"/>
          </w:tcPr>
          <w:p w14:paraId="2514EAC3" w14:textId="77777777" w:rsidR="00141B97" w:rsidRDefault="00911D63">
            <w:pPr>
              <w:pStyle w:val="TableParagraph"/>
              <w:spacing w:before="110"/>
              <w:ind w:right="96"/>
              <w:jc w:val="right"/>
              <w:rPr>
                <w:sz w:val="18"/>
              </w:rPr>
            </w:pPr>
            <w:r>
              <w:rPr>
                <w:spacing w:val="-4"/>
                <w:sz w:val="18"/>
              </w:rPr>
              <w:t>0.15</w:t>
            </w:r>
          </w:p>
        </w:tc>
        <w:tc>
          <w:tcPr>
            <w:tcW w:w="1198" w:type="dxa"/>
            <w:shd w:val="clear" w:color="auto" w:fill="CCE2ED"/>
          </w:tcPr>
          <w:p w14:paraId="2E7F1402" w14:textId="77777777" w:rsidR="00141B97" w:rsidRDefault="00911D63">
            <w:pPr>
              <w:pStyle w:val="TableParagraph"/>
              <w:spacing w:before="110"/>
              <w:ind w:right="95"/>
              <w:jc w:val="right"/>
              <w:rPr>
                <w:sz w:val="18"/>
              </w:rPr>
            </w:pPr>
            <w:r>
              <w:rPr>
                <w:spacing w:val="-4"/>
                <w:sz w:val="18"/>
              </w:rPr>
              <w:t>0.15</w:t>
            </w:r>
          </w:p>
        </w:tc>
        <w:tc>
          <w:tcPr>
            <w:tcW w:w="1198" w:type="dxa"/>
            <w:shd w:val="clear" w:color="auto" w:fill="CCE2ED"/>
          </w:tcPr>
          <w:p w14:paraId="5C2F4A0C" w14:textId="77777777" w:rsidR="00141B97" w:rsidRDefault="00911D63">
            <w:pPr>
              <w:pStyle w:val="TableParagraph"/>
              <w:spacing w:before="110"/>
              <w:ind w:right="96"/>
              <w:jc w:val="right"/>
              <w:rPr>
                <w:sz w:val="18"/>
              </w:rPr>
            </w:pPr>
            <w:r>
              <w:rPr>
                <w:spacing w:val="-4"/>
                <w:sz w:val="18"/>
              </w:rPr>
              <w:t>0.15</w:t>
            </w:r>
          </w:p>
        </w:tc>
        <w:tc>
          <w:tcPr>
            <w:tcW w:w="1199" w:type="dxa"/>
            <w:shd w:val="clear" w:color="auto" w:fill="CCE2ED"/>
          </w:tcPr>
          <w:p w14:paraId="1D38867A" w14:textId="77777777" w:rsidR="00141B97" w:rsidRDefault="00911D63">
            <w:pPr>
              <w:pStyle w:val="TableParagraph"/>
              <w:spacing w:before="110"/>
              <w:ind w:right="97"/>
              <w:jc w:val="right"/>
              <w:rPr>
                <w:sz w:val="18"/>
              </w:rPr>
            </w:pPr>
            <w:r>
              <w:rPr>
                <w:spacing w:val="-4"/>
                <w:sz w:val="18"/>
              </w:rPr>
              <w:t>0.15</w:t>
            </w:r>
          </w:p>
        </w:tc>
        <w:tc>
          <w:tcPr>
            <w:tcW w:w="1198" w:type="dxa"/>
            <w:shd w:val="clear" w:color="auto" w:fill="CCE2ED"/>
          </w:tcPr>
          <w:p w14:paraId="1C8BC12D" w14:textId="77777777" w:rsidR="00141B97" w:rsidRDefault="00911D63">
            <w:pPr>
              <w:pStyle w:val="TableParagraph"/>
              <w:spacing w:before="110"/>
              <w:ind w:right="96"/>
              <w:jc w:val="right"/>
              <w:rPr>
                <w:sz w:val="18"/>
              </w:rPr>
            </w:pPr>
            <w:r>
              <w:rPr>
                <w:spacing w:val="-4"/>
                <w:sz w:val="18"/>
              </w:rPr>
              <w:t>0.15</w:t>
            </w:r>
          </w:p>
        </w:tc>
        <w:tc>
          <w:tcPr>
            <w:tcW w:w="1013" w:type="dxa"/>
            <w:tcBorders>
              <w:right w:val="nil"/>
            </w:tcBorders>
            <w:shd w:val="clear" w:color="auto" w:fill="CCE2ED"/>
          </w:tcPr>
          <w:p w14:paraId="387EA06F" w14:textId="77777777" w:rsidR="00141B97" w:rsidRDefault="00911D63">
            <w:pPr>
              <w:pStyle w:val="TableParagraph"/>
              <w:spacing w:before="110"/>
              <w:ind w:right="86"/>
              <w:jc w:val="right"/>
              <w:rPr>
                <w:sz w:val="18"/>
              </w:rPr>
            </w:pPr>
            <w:r>
              <w:rPr>
                <w:spacing w:val="-4"/>
                <w:sz w:val="18"/>
              </w:rPr>
              <w:t>0.77</w:t>
            </w:r>
          </w:p>
        </w:tc>
      </w:tr>
      <w:tr w:rsidR="00141B97" w14:paraId="3F284F03" w14:textId="77777777">
        <w:trPr>
          <w:trHeight w:val="316"/>
          <w:tblCellSpacing w:w="9" w:type="dxa"/>
        </w:trPr>
        <w:tc>
          <w:tcPr>
            <w:tcW w:w="5408" w:type="dxa"/>
            <w:tcBorders>
              <w:left w:val="nil"/>
            </w:tcBorders>
            <w:shd w:val="clear" w:color="auto" w:fill="BFBFBF"/>
          </w:tcPr>
          <w:p w14:paraId="09B4ABDA" w14:textId="77777777" w:rsidR="00141B97" w:rsidRDefault="00911D63">
            <w:pPr>
              <w:pStyle w:val="TableParagraph"/>
              <w:spacing w:before="49"/>
              <w:ind w:left="88"/>
              <w:rPr>
                <w:sz w:val="18"/>
              </w:rPr>
            </w:pPr>
            <w:r>
              <w:rPr>
                <w:sz w:val="18"/>
              </w:rPr>
              <w:t>Ongoing</w:t>
            </w:r>
            <w:r>
              <w:rPr>
                <w:spacing w:val="-5"/>
                <w:sz w:val="18"/>
              </w:rPr>
              <w:t xml:space="preserve"> </w:t>
            </w:r>
            <w:r>
              <w:rPr>
                <w:sz w:val="18"/>
              </w:rPr>
              <w:t>capital</w:t>
            </w:r>
            <w:r>
              <w:rPr>
                <w:spacing w:val="-3"/>
                <w:sz w:val="18"/>
              </w:rPr>
              <w:t xml:space="preserve"> </w:t>
            </w:r>
            <w:r>
              <w:rPr>
                <w:spacing w:val="-2"/>
                <w:sz w:val="18"/>
              </w:rPr>
              <w:t>programs</w:t>
            </w:r>
          </w:p>
        </w:tc>
        <w:tc>
          <w:tcPr>
            <w:tcW w:w="1393" w:type="dxa"/>
            <w:shd w:val="clear" w:color="auto" w:fill="BFBFBF"/>
          </w:tcPr>
          <w:p w14:paraId="73317D5E" w14:textId="77777777" w:rsidR="00141B97" w:rsidRDefault="00141B97">
            <w:pPr>
              <w:pStyle w:val="TableParagraph"/>
              <w:rPr>
                <w:rFonts w:ascii="Times New Roman"/>
                <w:sz w:val="18"/>
              </w:rPr>
            </w:pPr>
          </w:p>
        </w:tc>
        <w:tc>
          <w:tcPr>
            <w:tcW w:w="1860" w:type="dxa"/>
            <w:shd w:val="clear" w:color="auto" w:fill="BFBFBF"/>
          </w:tcPr>
          <w:p w14:paraId="4CA381AC" w14:textId="77777777" w:rsidR="00141B97" w:rsidRDefault="00141B97">
            <w:pPr>
              <w:pStyle w:val="TableParagraph"/>
              <w:rPr>
                <w:rFonts w:ascii="Times New Roman"/>
                <w:sz w:val="18"/>
              </w:rPr>
            </w:pPr>
          </w:p>
        </w:tc>
        <w:tc>
          <w:tcPr>
            <w:tcW w:w="1199" w:type="dxa"/>
            <w:shd w:val="clear" w:color="auto" w:fill="BFBFBF"/>
          </w:tcPr>
          <w:p w14:paraId="37B28D82" w14:textId="77777777" w:rsidR="00141B97" w:rsidRDefault="00141B97">
            <w:pPr>
              <w:pStyle w:val="TableParagraph"/>
              <w:rPr>
                <w:rFonts w:ascii="Times New Roman"/>
                <w:sz w:val="18"/>
              </w:rPr>
            </w:pPr>
          </w:p>
        </w:tc>
        <w:tc>
          <w:tcPr>
            <w:tcW w:w="1198" w:type="dxa"/>
            <w:shd w:val="clear" w:color="auto" w:fill="BFBFBF"/>
          </w:tcPr>
          <w:p w14:paraId="57EB8EE3" w14:textId="77777777" w:rsidR="00141B97" w:rsidRDefault="00141B97">
            <w:pPr>
              <w:pStyle w:val="TableParagraph"/>
              <w:rPr>
                <w:rFonts w:ascii="Times New Roman"/>
                <w:sz w:val="18"/>
              </w:rPr>
            </w:pPr>
          </w:p>
        </w:tc>
        <w:tc>
          <w:tcPr>
            <w:tcW w:w="1198" w:type="dxa"/>
            <w:shd w:val="clear" w:color="auto" w:fill="BFBFBF"/>
          </w:tcPr>
          <w:p w14:paraId="02D5926E" w14:textId="77777777" w:rsidR="00141B97" w:rsidRDefault="00141B97">
            <w:pPr>
              <w:pStyle w:val="TableParagraph"/>
              <w:rPr>
                <w:rFonts w:ascii="Times New Roman"/>
                <w:sz w:val="18"/>
              </w:rPr>
            </w:pPr>
          </w:p>
        </w:tc>
        <w:tc>
          <w:tcPr>
            <w:tcW w:w="1199" w:type="dxa"/>
            <w:shd w:val="clear" w:color="auto" w:fill="BFBFBF"/>
          </w:tcPr>
          <w:p w14:paraId="565F3205" w14:textId="77777777" w:rsidR="00141B97" w:rsidRDefault="00141B97">
            <w:pPr>
              <w:pStyle w:val="TableParagraph"/>
              <w:rPr>
                <w:rFonts w:ascii="Times New Roman"/>
                <w:sz w:val="18"/>
              </w:rPr>
            </w:pPr>
          </w:p>
        </w:tc>
        <w:tc>
          <w:tcPr>
            <w:tcW w:w="1198" w:type="dxa"/>
            <w:shd w:val="clear" w:color="auto" w:fill="BFBFBF"/>
          </w:tcPr>
          <w:p w14:paraId="1D0EBC2B" w14:textId="77777777" w:rsidR="00141B97" w:rsidRDefault="00141B97">
            <w:pPr>
              <w:pStyle w:val="TableParagraph"/>
              <w:rPr>
                <w:rFonts w:ascii="Times New Roman"/>
                <w:sz w:val="18"/>
              </w:rPr>
            </w:pPr>
          </w:p>
        </w:tc>
        <w:tc>
          <w:tcPr>
            <w:tcW w:w="1013" w:type="dxa"/>
            <w:tcBorders>
              <w:right w:val="nil"/>
            </w:tcBorders>
            <w:shd w:val="clear" w:color="auto" w:fill="BFBFBF"/>
          </w:tcPr>
          <w:p w14:paraId="595579A3" w14:textId="77777777" w:rsidR="00141B97" w:rsidRDefault="00141B97">
            <w:pPr>
              <w:pStyle w:val="TableParagraph"/>
              <w:rPr>
                <w:rFonts w:ascii="Times New Roman"/>
                <w:sz w:val="18"/>
              </w:rPr>
            </w:pPr>
          </w:p>
        </w:tc>
      </w:tr>
      <w:tr w:rsidR="00141B97" w14:paraId="5D342D22" w14:textId="77777777">
        <w:trPr>
          <w:trHeight w:val="218"/>
          <w:tblCellSpacing w:w="9" w:type="dxa"/>
        </w:trPr>
        <w:tc>
          <w:tcPr>
            <w:tcW w:w="5408" w:type="dxa"/>
            <w:tcBorders>
              <w:left w:val="nil"/>
            </w:tcBorders>
            <w:shd w:val="clear" w:color="auto" w:fill="CCE2ED"/>
          </w:tcPr>
          <w:p w14:paraId="086BF60B" w14:textId="77777777" w:rsidR="00141B97" w:rsidRDefault="00911D63">
            <w:pPr>
              <w:pStyle w:val="TableParagraph"/>
              <w:spacing w:line="199" w:lineRule="exact"/>
              <w:ind w:left="88"/>
              <w:rPr>
                <w:sz w:val="18"/>
              </w:rPr>
            </w:pPr>
            <w:r>
              <w:rPr>
                <w:sz w:val="18"/>
              </w:rPr>
              <w:t>LMW</w:t>
            </w:r>
            <w:r>
              <w:rPr>
                <w:spacing w:val="-3"/>
                <w:sz w:val="18"/>
              </w:rPr>
              <w:t xml:space="preserve"> </w:t>
            </w:r>
            <w:r>
              <w:rPr>
                <w:sz w:val="18"/>
              </w:rPr>
              <w:t>Control</w:t>
            </w:r>
            <w:r>
              <w:rPr>
                <w:spacing w:val="-2"/>
                <w:sz w:val="18"/>
              </w:rPr>
              <w:t xml:space="preserve"> </w:t>
            </w:r>
            <w:r>
              <w:rPr>
                <w:sz w:val="18"/>
              </w:rPr>
              <w:t>Network</w:t>
            </w:r>
            <w:r>
              <w:rPr>
                <w:spacing w:val="-2"/>
                <w:sz w:val="18"/>
              </w:rPr>
              <w:t xml:space="preserve"> </w:t>
            </w:r>
            <w:r>
              <w:rPr>
                <w:sz w:val="18"/>
              </w:rPr>
              <w:t>Systems</w:t>
            </w:r>
            <w:r>
              <w:rPr>
                <w:spacing w:val="-3"/>
                <w:sz w:val="18"/>
              </w:rPr>
              <w:t xml:space="preserve"> </w:t>
            </w:r>
            <w:r>
              <w:rPr>
                <w:sz w:val="18"/>
              </w:rPr>
              <w:t>‐</w:t>
            </w:r>
            <w:r>
              <w:rPr>
                <w:spacing w:val="-2"/>
                <w:sz w:val="18"/>
              </w:rPr>
              <w:t xml:space="preserve"> </w:t>
            </w:r>
            <w:r>
              <w:rPr>
                <w:sz w:val="18"/>
              </w:rPr>
              <w:t>Rural</w:t>
            </w:r>
            <w:r>
              <w:rPr>
                <w:spacing w:val="-2"/>
                <w:sz w:val="18"/>
              </w:rPr>
              <w:t xml:space="preserve"> </w:t>
            </w:r>
            <w:r>
              <w:rPr>
                <w:sz w:val="18"/>
              </w:rPr>
              <w:t>OT</w:t>
            </w:r>
            <w:r>
              <w:rPr>
                <w:spacing w:val="-2"/>
                <w:sz w:val="18"/>
              </w:rPr>
              <w:t xml:space="preserve"> </w:t>
            </w:r>
            <w:r>
              <w:rPr>
                <w:sz w:val="18"/>
              </w:rPr>
              <w:t>Firewall</w:t>
            </w:r>
            <w:r>
              <w:rPr>
                <w:spacing w:val="-3"/>
                <w:sz w:val="18"/>
              </w:rPr>
              <w:t xml:space="preserve"> </w:t>
            </w:r>
            <w:r>
              <w:rPr>
                <w:spacing w:val="-2"/>
                <w:sz w:val="18"/>
              </w:rPr>
              <w:t>Install</w:t>
            </w:r>
          </w:p>
        </w:tc>
        <w:tc>
          <w:tcPr>
            <w:tcW w:w="1393" w:type="dxa"/>
            <w:shd w:val="clear" w:color="auto" w:fill="CCE2ED"/>
          </w:tcPr>
          <w:p w14:paraId="30CAB034"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6AD69B2C"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460BD07C" w14:textId="77777777" w:rsidR="00141B97" w:rsidRDefault="00911D63">
            <w:pPr>
              <w:pStyle w:val="TableParagraph"/>
              <w:spacing w:line="199" w:lineRule="exact"/>
              <w:ind w:right="96"/>
              <w:jc w:val="right"/>
              <w:rPr>
                <w:sz w:val="18"/>
              </w:rPr>
            </w:pPr>
            <w:r>
              <w:rPr>
                <w:spacing w:val="-4"/>
                <w:sz w:val="18"/>
              </w:rPr>
              <w:t>0.16</w:t>
            </w:r>
          </w:p>
        </w:tc>
        <w:tc>
          <w:tcPr>
            <w:tcW w:w="1198" w:type="dxa"/>
            <w:shd w:val="clear" w:color="auto" w:fill="CCE2ED"/>
          </w:tcPr>
          <w:p w14:paraId="4E49F54B" w14:textId="77777777" w:rsidR="00141B97" w:rsidRDefault="00911D63">
            <w:pPr>
              <w:pStyle w:val="TableParagraph"/>
              <w:spacing w:line="199" w:lineRule="exact"/>
              <w:ind w:right="95"/>
              <w:jc w:val="right"/>
              <w:rPr>
                <w:sz w:val="18"/>
              </w:rPr>
            </w:pPr>
            <w:r>
              <w:rPr>
                <w:spacing w:val="-4"/>
                <w:sz w:val="18"/>
              </w:rPr>
              <w:t>0.00</w:t>
            </w:r>
          </w:p>
        </w:tc>
        <w:tc>
          <w:tcPr>
            <w:tcW w:w="1198" w:type="dxa"/>
            <w:shd w:val="clear" w:color="auto" w:fill="CCE2ED"/>
          </w:tcPr>
          <w:p w14:paraId="06542CB2" w14:textId="77777777" w:rsidR="00141B97" w:rsidRDefault="00911D63">
            <w:pPr>
              <w:pStyle w:val="TableParagraph"/>
              <w:spacing w:line="199" w:lineRule="exact"/>
              <w:ind w:right="96"/>
              <w:jc w:val="right"/>
              <w:rPr>
                <w:sz w:val="18"/>
              </w:rPr>
            </w:pPr>
            <w:r>
              <w:rPr>
                <w:spacing w:val="-4"/>
                <w:sz w:val="18"/>
              </w:rPr>
              <w:t>0.00</w:t>
            </w:r>
          </w:p>
        </w:tc>
        <w:tc>
          <w:tcPr>
            <w:tcW w:w="1199" w:type="dxa"/>
            <w:shd w:val="clear" w:color="auto" w:fill="CCE2ED"/>
          </w:tcPr>
          <w:p w14:paraId="66435219" w14:textId="77777777" w:rsidR="00141B97" w:rsidRDefault="00911D63">
            <w:pPr>
              <w:pStyle w:val="TableParagraph"/>
              <w:spacing w:line="199" w:lineRule="exact"/>
              <w:ind w:right="97"/>
              <w:jc w:val="right"/>
              <w:rPr>
                <w:sz w:val="18"/>
              </w:rPr>
            </w:pPr>
            <w:r>
              <w:rPr>
                <w:spacing w:val="-4"/>
                <w:sz w:val="18"/>
              </w:rPr>
              <w:t>0.00</w:t>
            </w:r>
          </w:p>
        </w:tc>
        <w:tc>
          <w:tcPr>
            <w:tcW w:w="1198" w:type="dxa"/>
            <w:shd w:val="clear" w:color="auto" w:fill="CCE2ED"/>
          </w:tcPr>
          <w:p w14:paraId="3FB17414" w14:textId="77777777" w:rsidR="00141B97" w:rsidRDefault="00911D63">
            <w:pPr>
              <w:pStyle w:val="TableParagraph"/>
              <w:spacing w:line="199" w:lineRule="exact"/>
              <w:ind w:right="96"/>
              <w:jc w:val="right"/>
              <w:rPr>
                <w:sz w:val="18"/>
              </w:rPr>
            </w:pPr>
            <w:r>
              <w:rPr>
                <w:spacing w:val="-4"/>
                <w:sz w:val="18"/>
              </w:rPr>
              <w:t>0.00</w:t>
            </w:r>
          </w:p>
        </w:tc>
        <w:tc>
          <w:tcPr>
            <w:tcW w:w="1013" w:type="dxa"/>
            <w:tcBorders>
              <w:right w:val="nil"/>
            </w:tcBorders>
            <w:shd w:val="clear" w:color="auto" w:fill="CCE2ED"/>
          </w:tcPr>
          <w:p w14:paraId="15BF0BCB" w14:textId="77777777" w:rsidR="00141B97" w:rsidRDefault="00911D63">
            <w:pPr>
              <w:pStyle w:val="TableParagraph"/>
              <w:spacing w:line="199" w:lineRule="exact"/>
              <w:ind w:right="86"/>
              <w:jc w:val="right"/>
              <w:rPr>
                <w:sz w:val="18"/>
              </w:rPr>
            </w:pPr>
            <w:r>
              <w:rPr>
                <w:spacing w:val="-4"/>
                <w:sz w:val="18"/>
              </w:rPr>
              <w:t>0.16</w:t>
            </w:r>
          </w:p>
        </w:tc>
      </w:tr>
      <w:tr w:rsidR="00141B97" w14:paraId="27BC6555" w14:textId="77777777">
        <w:trPr>
          <w:trHeight w:val="439"/>
          <w:tblCellSpacing w:w="9" w:type="dxa"/>
        </w:trPr>
        <w:tc>
          <w:tcPr>
            <w:tcW w:w="5408" w:type="dxa"/>
            <w:tcBorders>
              <w:left w:val="nil"/>
            </w:tcBorders>
            <w:shd w:val="clear" w:color="auto" w:fill="CCE2ED"/>
          </w:tcPr>
          <w:p w14:paraId="35B448A5" w14:textId="77777777" w:rsidR="00141B97" w:rsidRDefault="00911D63">
            <w:pPr>
              <w:pStyle w:val="TableParagraph"/>
              <w:spacing w:before="111"/>
              <w:ind w:left="88"/>
              <w:rPr>
                <w:sz w:val="18"/>
              </w:rPr>
            </w:pPr>
            <w:r>
              <w:rPr>
                <w:sz w:val="18"/>
              </w:rPr>
              <w:t>MER</w:t>
            </w:r>
            <w:r>
              <w:rPr>
                <w:spacing w:val="-1"/>
                <w:sz w:val="18"/>
              </w:rPr>
              <w:t xml:space="preserve"> </w:t>
            </w:r>
            <w:r>
              <w:rPr>
                <w:sz w:val="18"/>
              </w:rPr>
              <w:t>Minor Capital</w:t>
            </w:r>
            <w:r>
              <w:rPr>
                <w:spacing w:val="-2"/>
                <w:sz w:val="18"/>
              </w:rPr>
              <w:t xml:space="preserve"> </w:t>
            </w:r>
            <w:r>
              <w:rPr>
                <w:sz w:val="18"/>
              </w:rPr>
              <w:t xml:space="preserve">‐ </w:t>
            </w:r>
            <w:r>
              <w:rPr>
                <w:spacing w:val="-5"/>
                <w:sz w:val="18"/>
              </w:rPr>
              <w:t>New</w:t>
            </w:r>
          </w:p>
        </w:tc>
        <w:tc>
          <w:tcPr>
            <w:tcW w:w="1393" w:type="dxa"/>
            <w:shd w:val="clear" w:color="auto" w:fill="CCE2ED"/>
          </w:tcPr>
          <w:p w14:paraId="6053ACDE" w14:textId="77777777" w:rsidR="00141B97" w:rsidRDefault="00911D63">
            <w:pPr>
              <w:pStyle w:val="TableParagraph"/>
              <w:spacing w:before="111"/>
              <w:ind w:right="95"/>
              <w:jc w:val="right"/>
              <w:rPr>
                <w:sz w:val="18"/>
              </w:rPr>
            </w:pPr>
            <w:r>
              <w:rPr>
                <w:spacing w:val="-2"/>
                <w:sz w:val="18"/>
              </w:rPr>
              <w:t>Irrigation</w:t>
            </w:r>
          </w:p>
        </w:tc>
        <w:tc>
          <w:tcPr>
            <w:tcW w:w="1860" w:type="dxa"/>
            <w:shd w:val="clear" w:color="auto" w:fill="CCE2ED"/>
          </w:tcPr>
          <w:p w14:paraId="051BB311"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12B154AB" w14:textId="77777777" w:rsidR="00141B97" w:rsidRDefault="00911D63">
            <w:pPr>
              <w:pStyle w:val="TableParagraph"/>
              <w:spacing w:before="111"/>
              <w:ind w:right="96"/>
              <w:jc w:val="right"/>
              <w:rPr>
                <w:sz w:val="18"/>
              </w:rPr>
            </w:pPr>
            <w:r>
              <w:rPr>
                <w:spacing w:val="-4"/>
                <w:sz w:val="18"/>
              </w:rPr>
              <w:t>0.10</w:t>
            </w:r>
          </w:p>
        </w:tc>
        <w:tc>
          <w:tcPr>
            <w:tcW w:w="1198" w:type="dxa"/>
            <w:shd w:val="clear" w:color="auto" w:fill="CCE2ED"/>
          </w:tcPr>
          <w:p w14:paraId="3809CE28" w14:textId="77777777" w:rsidR="00141B97" w:rsidRDefault="00911D63">
            <w:pPr>
              <w:pStyle w:val="TableParagraph"/>
              <w:spacing w:before="111"/>
              <w:ind w:right="95"/>
              <w:jc w:val="right"/>
              <w:rPr>
                <w:sz w:val="18"/>
              </w:rPr>
            </w:pPr>
            <w:r>
              <w:rPr>
                <w:spacing w:val="-4"/>
                <w:sz w:val="18"/>
              </w:rPr>
              <w:t>0.10</w:t>
            </w:r>
          </w:p>
        </w:tc>
        <w:tc>
          <w:tcPr>
            <w:tcW w:w="1198" w:type="dxa"/>
            <w:shd w:val="clear" w:color="auto" w:fill="CCE2ED"/>
          </w:tcPr>
          <w:p w14:paraId="6B36AA8C" w14:textId="77777777" w:rsidR="00141B97" w:rsidRDefault="00911D63">
            <w:pPr>
              <w:pStyle w:val="TableParagraph"/>
              <w:spacing w:before="111"/>
              <w:ind w:right="96"/>
              <w:jc w:val="right"/>
              <w:rPr>
                <w:sz w:val="18"/>
              </w:rPr>
            </w:pPr>
            <w:r>
              <w:rPr>
                <w:spacing w:val="-4"/>
                <w:sz w:val="18"/>
              </w:rPr>
              <w:t>0.10</w:t>
            </w:r>
          </w:p>
        </w:tc>
        <w:tc>
          <w:tcPr>
            <w:tcW w:w="1199" w:type="dxa"/>
            <w:shd w:val="clear" w:color="auto" w:fill="CCE2ED"/>
          </w:tcPr>
          <w:p w14:paraId="2B39AAC8" w14:textId="77777777" w:rsidR="00141B97" w:rsidRDefault="00911D63">
            <w:pPr>
              <w:pStyle w:val="TableParagraph"/>
              <w:spacing w:before="111"/>
              <w:ind w:right="97"/>
              <w:jc w:val="right"/>
              <w:rPr>
                <w:sz w:val="18"/>
              </w:rPr>
            </w:pPr>
            <w:r>
              <w:rPr>
                <w:spacing w:val="-4"/>
                <w:sz w:val="18"/>
              </w:rPr>
              <w:t>0.10</w:t>
            </w:r>
          </w:p>
        </w:tc>
        <w:tc>
          <w:tcPr>
            <w:tcW w:w="1198" w:type="dxa"/>
            <w:shd w:val="clear" w:color="auto" w:fill="CCE2ED"/>
          </w:tcPr>
          <w:p w14:paraId="5E59801D" w14:textId="77777777" w:rsidR="00141B97" w:rsidRDefault="00911D63">
            <w:pPr>
              <w:pStyle w:val="TableParagraph"/>
              <w:spacing w:before="111"/>
              <w:ind w:right="96"/>
              <w:jc w:val="right"/>
              <w:rPr>
                <w:sz w:val="18"/>
              </w:rPr>
            </w:pPr>
            <w:r>
              <w:rPr>
                <w:spacing w:val="-4"/>
                <w:sz w:val="18"/>
              </w:rPr>
              <w:t>0.10</w:t>
            </w:r>
          </w:p>
        </w:tc>
        <w:tc>
          <w:tcPr>
            <w:tcW w:w="1013" w:type="dxa"/>
            <w:tcBorders>
              <w:right w:val="nil"/>
            </w:tcBorders>
            <w:shd w:val="clear" w:color="auto" w:fill="CCE2ED"/>
          </w:tcPr>
          <w:p w14:paraId="2A94C0FD" w14:textId="77777777" w:rsidR="00141B97" w:rsidRDefault="00911D63">
            <w:pPr>
              <w:pStyle w:val="TableParagraph"/>
              <w:spacing w:before="111"/>
              <w:ind w:right="86"/>
              <w:jc w:val="right"/>
              <w:rPr>
                <w:sz w:val="18"/>
              </w:rPr>
            </w:pPr>
            <w:r>
              <w:rPr>
                <w:spacing w:val="-4"/>
                <w:sz w:val="18"/>
              </w:rPr>
              <w:t>0.48</w:t>
            </w:r>
          </w:p>
        </w:tc>
      </w:tr>
      <w:tr w:rsidR="00141B97" w14:paraId="77FC43B9" w14:textId="77777777">
        <w:trPr>
          <w:trHeight w:val="220"/>
          <w:tblCellSpacing w:w="9" w:type="dxa"/>
        </w:trPr>
        <w:tc>
          <w:tcPr>
            <w:tcW w:w="5408" w:type="dxa"/>
            <w:tcBorders>
              <w:left w:val="nil"/>
            </w:tcBorders>
            <w:shd w:val="clear" w:color="auto" w:fill="CCE2ED"/>
          </w:tcPr>
          <w:p w14:paraId="018822EF" w14:textId="77777777" w:rsidR="00141B97" w:rsidRDefault="00911D63">
            <w:pPr>
              <w:pStyle w:val="TableParagraph"/>
              <w:spacing w:line="199" w:lineRule="exact"/>
              <w:ind w:left="88"/>
              <w:rPr>
                <w:sz w:val="18"/>
              </w:rPr>
            </w:pPr>
            <w:r>
              <w:rPr>
                <w:sz w:val="18"/>
              </w:rPr>
              <w:t>MER</w:t>
            </w:r>
            <w:r>
              <w:rPr>
                <w:spacing w:val="-1"/>
                <w:sz w:val="18"/>
              </w:rPr>
              <w:t xml:space="preserve"> </w:t>
            </w:r>
            <w:r>
              <w:rPr>
                <w:sz w:val="18"/>
              </w:rPr>
              <w:t>Minor Capital</w:t>
            </w:r>
            <w:r>
              <w:rPr>
                <w:spacing w:val="-2"/>
                <w:sz w:val="18"/>
              </w:rPr>
              <w:t xml:space="preserve"> </w:t>
            </w:r>
            <w:r>
              <w:rPr>
                <w:sz w:val="18"/>
              </w:rPr>
              <w:t xml:space="preserve">‐ </w:t>
            </w:r>
            <w:r>
              <w:rPr>
                <w:spacing w:val="-2"/>
                <w:sz w:val="18"/>
              </w:rPr>
              <w:t>Replacement</w:t>
            </w:r>
          </w:p>
        </w:tc>
        <w:tc>
          <w:tcPr>
            <w:tcW w:w="1393" w:type="dxa"/>
            <w:shd w:val="clear" w:color="auto" w:fill="CCE2ED"/>
          </w:tcPr>
          <w:p w14:paraId="5EB0CF03"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40029C07"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3F289A1A" w14:textId="77777777" w:rsidR="00141B97" w:rsidRDefault="00911D63">
            <w:pPr>
              <w:pStyle w:val="TableParagraph"/>
              <w:spacing w:line="199" w:lineRule="exact"/>
              <w:ind w:right="96"/>
              <w:jc w:val="right"/>
              <w:rPr>
                <w:sz w:val="18"/>
              </w:rPr>
            </w:pPr>
            <w:r>
              <w:rPr>
                <w:spacing w:val="-4"/>
                <w:sz w:val="18"/>
              </w:rPr>
              <w:t>0.11</w:t>
            </w:r>
          </w:p>
        </w:tc>
        <w:tc>
          <w:tcPr>
            <w:tcW w:w="1198" w:type="dxa"/>
            <w:shd w:val="clear" w:color="auto" w:fill="CCE2ED"/>
          </w:tcPr>
          <w:p w14:paraId="13AC9DF5" w14:textId="77777777" w:rsidR="00141B97" w:rsidRDefault="00911D63">
            <w:pPr>
              <w:pStyle w:val="TableParagraph"/>
              <w:spacing w:line="199" w:lineRule="exact"/>
              <w:ind w:right="95"/>
              <w:jc w:val="right"/>
              <w:rPr>
                <w:sz w:val="18"/>
              </w:rPr>
            </w:pPr>
            <w:r>
              <w:rPr>
                <w:spacing w:val="-4"/>
                <w:sz w:val="18"/>
              </w:rPr>
              <w:t>0.11</w:t>
            </w:r>
          </w:p>
        </w:tc>
        <w:tc>
          <w:tcPr>
            <w:tcW w:w="1198" w:type="dxa"/>
            <w:shd w:val="clear" w:color="auto" w:fill="CCE2ED"/>
          </w:tcPr>
          <w:p w14:paraId="6034708E" w14:textId="77777777" w:rsidR="00141B97" w:rsidRDefault="00911D63">
            <w:pPr>
              <w:pStyle w:val="TableParagraph"/>
              <w:spacing w:line="199" w:lineRule="exact"/>
              <w:ind w:right="96"/>
              <w:jc w:val="right"/>
              <w:rPr>
                <w:sz w:val="18"/>
              </w:rPr>
            </w:pPr>
            <w:r>
              <w:rPr>
                <w:spacing w:val="-4"/>
                <w:sz w:val="18"/>
              </w:rPr>
              <w:t>0.11</w:t>
            </w:r>
          </w:p>
        </w:tc>
        <w:tc>
          <w:tcPr>
            <w:tcW w:w="1199" w:type="dxa"/>
            <w:shd w:val="clear" w:color="auto" w:fill="CCE2ED"/>
          </w:tcPr>
          <w:p w14:paraId="56CEEC66" w14:textId="77777777" w:rsidR="00141B97" w:rsidRDefault="00911D63">
            <w:pPr>
              <w:pStyle w:val="TableParagraph"/>
              <w:spacing w:line="199" w:lineRule="exact"/>
              <w:ind w:right="97"/>
              <w:jc w:val="right"/>
              <w:rPr>
                <w:sz w:val="18"/>
              </w:rPr>
            </w:pPr>
            <w:r>
              <w:rPr>
                <w:spacing w:val="-4"/>
                <w:sz w:val="18"/>
              </w:rPr>
              <w:t>0.11</w:t>
            </w:r>
          </w:p>
        </w:tc>
        <w:tc>
          <w:tcPr>
            <w:tcW w:w="1198" w:type="dxa"/>
            <w:shd w:val="clear" w:color="auto" w:fill="CCE2ED"/>
          </w:tcPr>
          <w:p w14:paraId="5B4FE5B6" w14:textId="77777777" w:rsidR="00141B97" w:rsidRDefault="00911D63">
            <w:pPr>
              <w:pStyle w:val="TableParagraph"/>
              <w:spacing w:line="199" w:lineRule="exact"/>
              <w:ind w:right="96"/>
              <w:jc w:val="right"/>
              <w:rPr>
                <w:sz w:val="18"/>
              </w:rPr>
            </w:pPr>
            <w:r>
              <w:rPr>
                <w:spacing w:val="-4"/>
                <w:sz w:val="18"/>
              </w:rPr>
              <w:t>0.11</w:t>
            </w:r>
          </w:p>
        </w:tc>
        <w:tc>
          <w:tcPr>
            <w:tcW w:w="1013" w:type="dxa"/>
            <w:tcBorders>
              <w:right w:val="nil"/>
            </w:tcBorders>
            <w:shd w:val="clear" w:color="auto" w:fill="CCE2ED"/>
          </w:tcPr>
          <w:p w14:paraId="232C5D19" w14:textId="77777777" w:rsidR="00141B97" w:rsidRDefault="00911D63">
            <w:pPr>
              <w:pStyle w:val="TableParagraph"/>
              <w:spacing w:line="199" w:lineRule="exact"/>
              <w:ind w:right="86"/>
              <w:jc w:val="right"/>
              <w:rPr>
                <w:sz w:val="18"/>
              </w:rPr>
            </w:pPr>
            <w:r>
              <w:rPr>
                <w:spacing w:val="-4"/>
                <w:sz w:val="18"/>
              </w:rPr>
              <w:t>0.56</w:t>
            </w:r>
          </w:p>
        </w:tc>
      </w:tr>
      <w:tr w:rsidR="00141B97" w14:paraId="23F2DB8B" w14:textId="77777777">
        <w:trPr>
          <w:trHeight w:val="439"/>
          <w:tblCellSpacing w:w="9" w:type="dxa"/>
        </w:trPr>
        <w:tc>
          <w:tcPr>
            <w:tcW w:w="5408" w:type="dxa"/>
            <w:tcBorders>
              <w:left w:val="nil"/>
            </w:tcBorders>
            <w:shd w:val="clear" w:color="auto" w:fill="CCE2ED"/>
          </w:tcPr>
          <w:p w14:paraId="23BF0087" w14:textId="77777777" w:rsidR="00141B97" w:rsidRDefault="00911D63">
            <w:pPr>
              <w:pStyle w:val="TableParagraph"/>
              <w:spacing w:before="110"/>
              <w:ind w:left="88"/>
              <w:rPr>
                <w:sz w:val="18"/>
              </w:rPr>
            </w:pPr>
            <w:r>
              <w:rPr>
                <w:sz w:val="18"/>
              </w:rPr>
              <w:t>MDA</w:t>
            </w:r>
            <w:r>
              <w:rPr>
                <w:spacing w:val="-1"/>
                <w:sz w:val="18"/>
              </w:rPr>
              <w:t xml:space="preserve"> </w:t>
            </w:r>
            <w:r>
              <w:rPr>
                <w:sz w:val="18"/>
              </w:rPr>
              <w:t>Minor Capital</w:t>
            </w:r>
            <w:r>
              <w:rPr>
                <w:spacing w:val="-2"/>
                <w:sz w:val="18"/>
              </w:rPr>
              <w:t xml:space="preserve"> </w:t>
            </w:r>
            <w:r>
              <w:rPr>
                <w:sz w:val="18"/>
              </w:rPr>
              <w:t xml:space="preserve">‐ </w:t>
            </w:r>
            <w:r>
              <w:rPr>
                <w:spacing w:val="-5"/>
                <w:sz w:val="18"/>
              </w:rPr>
              <w:t>New</w:t>
            </w:r>
          </w:p>
        </w:tc>
        <w:tc>
          <w:tcPr>
            <w:tcW w:w="1393" w:type="dxa"/>
            <w:shd w:val="clear" w:color="auto" w:fill="CCE2ED"/>
          </w:tcPr>
          <w:p w14:paraId="7183F94E"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6F00235D"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735994B4" w14:textId="77777777" w:rsidR="00141B97" w:rsidRDefault="00911D63">
            <w:pPr>
              <w:pStyle w:val="TableParagraph"/>
              <w:spacing w:before="110"/>
              <w:ind w:right="96"/>
              <w:jc w:val="right"/>
              <w:rPr>
                <w:sz w:val="18"/>
              </w:rPr>
            </w:pPr>
            <w:r>
              <w:rPr>
                <w:spacing w:val="-4"/>
                <w:sz w:val="18"/>
              </w:rPr>
              <w:t>0.13</w:t>
            </w:r>
          </w:p>
        </w:tc>
        <w:tc>
          <w:tcPr>
            <w:tcW w:w="1198" w:type="dxa"/>
            <w:shd w:val="clear" w:color="auto" w:fill="CCE2ED"/>
          </w:tcPr>
          <w:p w14:paraId="4EAAA936" w14:textId="77777777" w:rsidR="00141B97" w:rsidRDefault="00911D63">
            <w:pPr>
              <w:pStyle w:val="TableParagraph"/>
              <w:spacing w:before="110"/>
              <w:ind w:right="95"/>
              <w:jc w:val="right"/>
              <w:rPr>
                <w:sz w:val="18"/>
              </w:rPr>
            </w:pPr>
            <w:r>
              <w:rPr>
                <w:spacing w:val="-4"/>
                <w:sz w:val="18"/>
              </w:rPr>
              <w:t>0.13</w:t>
            </w:r>
          </w:p>
        </w:tc>
        <w:tc>
          <w:tcPr>
            <w:tcW w:w="1198" w:type="dxa"/>
            <w:shd w:val="clear" w:color="auto" w:fill="CCE2ED"/>
          </w:tcPr>
          <w:p w14:paraId="042A6525" w14:textId="77777777" w:rsidR="00141B97" w:rsidRDefault="00911D63">
            <w:pPr>
              <w:pStyle w:val="TableParagraph"/>
              <w:spacing w:before="110"/>
              <w:ind w:right="96"/>
              <w:jc w:val="right"/>
              <w:rPr>
                <w:sz w:val="18"/>
              </w:rPr>
            </w:pPr>
            <w:r>
              <w:rPr>
                <w:spacing w:val="-4"/>
                <w:sz w:val="18"/>
              </w:rPr>
              <w:t>0.13</w:t>
            </w:r>
          </w:p>
        </w:tc>
        <w:tc>
          <w:tcPr>
            <w:tcW w:w="1199" w:type="dxa"/>
            <w:shd w:val="clear" w:color="auto" w:fill="CCE2ED"/>
          </w:tcPr>
          <w:p w14:paraId="6976FED3" w14:textId="77777777" w:rsidR="00141B97" w:rsidRDefault="00911D63">
            <w:pPr>
              <w:pStyle w:val="TableParagraph"/>
              <w:spacing w:before="110"/>
              <w:ind w:right="97"/>
              <w:jc w:val="right"/>
              <w:rPr>
                <w:sz w:val="18"/>
              </w:rPr>
            </w:pPr>
            <w:r>
              <w:rPr>
                <w:spacing w:val="-4"/>
                <w:sz w:val="18"/>
              </w:rPr>
              <w:t>0.13</w:t>
            </w:r>
          </w:p>
        </w:tc>
        <w:tc>
          <w:tcPr>
            <w:tcW w:w="1198" w:type="dxa"/>
            <w:shd w:val="clear" w:color="auto" w:fill="CCE2ED"/>
          </w:tcPr>
          <w:p w14:paraId="151AE24F" w14:textId="77777777" w:rsidR="00141B97" w:rsidRDefault="00911D63">
            <w:pPr>
              <w:pStyle w:val="TableParagraph"/>
              <w:spacing w:before="110"/>
              <w:ind w:right="96"/>
              <w:jc w:val="right"/>
              <w:rPr>
                <w:sz w:val="18"/>
              </w:rPr>
            </w:pPr>
            <w:r>
              <w:rPr>
                <w:spacing w:val="-4"/>
                <w:sz w:val="18"/>
              </w:rPr>
              <w:t>0.13</w:t>
            </w:r>
          </w:p>
        </w:tc>
        <w:tc>
          <w:tcPr>
            <w:tcW w:w="1013" w:type="dxa"/>
            <w:tcBorders>
              <w:right w:val="nil"/>
            </w:tcBorders>
            <w:shd w:val="clear" w:color="auto" w:fill="CCE2ED"/>
          </w:tcPr>
          <w:p w14:paraId="4368BBA1" w14:textId="77777777" w:rsidR="00141B97" w:rsidRDefault="00911D63">
            <w:pPr>
              <w:pStyle w:val="TableParagraph"/>
              <w:spacing w:before="110"/>
              <w:ind w:right="86"/>
              <w:jc w:val="right"/>
              <w:rPr>
                <w:sz w:val="18"/>
              </w:rPr>
            </w:pPr>
            <w:r>
              <w:rPr>
                <w:spacing w:val="-4"/>
                <w:sz w:val="18"/>
              </w:rPr>
              <w:t>0.67</w:t>
            </w:r>
          </w:p>
        </w:tc>
      </w:tr>
      <w:tr w:rsidR="00141B97" w14:paraId="17BAA108" w14:textId="77777777">
        <w:trPr>
          <w:trHeight w:val="219"/>
          <w:tblCellSpacing w:w="9" w:type="dxa"/>
        </w:trPr>
        <w:tc>
          <w:tcPr>
            <w:tcW w:w="5408" w:type="dxa"/>
            <w:tcBorders>
              <w:left w:val="nil"/>
            </w:tcBorders>
            <w:shd w:val="clear" w:color="auto" w:fill="CCE2ED"/>
          </w:tcPr>
          <w:p w14:paraId="36DD24FC" w14:textId="77777777" w:rsidR="00141B97" w:rsidRDefault="00911D63">
            <w:pPr>
              <w:pStyle w:val="TableParagraph"/>
              <w:spacing w:line="199" w:lineRule="exact"/>
              <w:ind w:left="88"/>
              <w:rPr>
                <w:sz w:val="18"/>
              </w:rPr>
            </w:pPr>
            <w:r>
              <w:rPr>
                <w:sz w:val="18"/>
              </w:rPr>
              <w:t>MDA</w:t>
            </w:r>
            <w:r>
              <w:rPr>
                <w:spacing w:val="-1"/>
                <w:sz w:val="18"/>
              </w:rPr>
              <w:t xml:space="preserve"> </w:t>
            </w:r>
            <w:r>
              <w:rPr>
                <w:sz w:val="18"/>
              </w:rPr>
              <w:t>Minor Capital</w:t>
            </w:r>
            <w:r>
              <w:rPr>
                <w:spacing w:val="-2"/>
                <w:sz w:val="18"/>
              </w:rPr>
              <w:t xml:space="preserve"> </w:t>
            </w:r>
            <w:r>
              <w:rPr>
                <w:sz w:val="18"/>
              </w:rPr>
              <w:t xml:space="preserve">‐ </w:t>
            </w:r>
            <w:r>
              <w:rPr>
                <w:spacing w:val="-2"/>
                <w:sz w:val="18"/>
              </w:rPr>
              <w:t>Replacement</w:t>
            </w:r>
          </w:p>
        </w:tc>
        <w:tc>
          <w:tcPr>
            <w:tcW w:w="1393" w:type="dxa"/>
            <w:shd w:val="clear" w:color="auto" w:fill="CCE2ED"/>
          </w:tcPr>
          <w:p w14:paraId="5CE0A7F2"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3197C4EF"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266ACC62" w14:textId="77777777" w:rsidR="00141B97" w:rsidRDefault="00911D63">
            <w:pPr>
              <w:pStyle w:val="TableParagraph"/>
              <w:spacing w:line="199" w:lineRule="exact"/>
              <w:ind w:right="96"/>
              <w:jc w:val="right"/>
              <w:rPr>
                <w:sz w:val="18"/>
              </w:rPr>
            </w:pPr>
            <w:r>
              <w:rPr>
                <w:spacing w:val="-4"/>
                <w:sz w:val="18"/>
              </w:rPr>
              <w:t>0.22</w:t>
            </w:r>
          </w:p>
        </w:tc>
        <w:tc>
          <w:tcPr>
            <w:tcW w:w="1198" w:type="dxa"/>
            <w:shd w:val="clear" w:color="auto" w:fill="CCE2ED"/>
          </w:tcPr>
          <w:p w14:paraId="6A2F90FC" w14:textId="77777777" w:rsidR="00141B97" w:rsidRDefault="00911D63">
            <w:pPr>
              <w:pStyle w:val="TableParagraph"/>
              <w:spacing w:line="199" w:lineRule="exact"/>
              <w:ind w:right="95"/>
              <w:jc w:val="right"/>
              <w:rPr>
                <w:sz w:val="18"/>
              </w:rPr>
            </w:pPr>
            <w:r>
              <w:rPr>
                <w:spacing w:val="-4"/>
                <w:sz w:val="18"/>
              </w:rPr>
              <w:t>0.22</w:t>
            </w:r>
          </w:p>
        </w:tc>
        <w:tc>
          <w:tcPr>
            <w:tcW w:w="1198" w:type="dxa"/>
            <w:shd w:val="clear" w:color="auto" w:fill="CCE2ED"/>
          </w:tcPr>
          <w:p w14:paraId="3DD9F507" w14:textId="77777777" w:rsidR="00141B97" w:rsidRDefault="00911D63">
            <w:pPr>
              <w:pStyle w:val="TableParagraph"/>
              <w:spacing w:line="199" w:lineRule="exact"/>
              <w:ind w:right="96"/>
              <w:jc w:val="right"/>
              <w:rPr>
                <w:sz w:val="18"/>
              </w:rPr>
            </w:pPr>
            <w:r>
              <w:rPr>
                <w:spacing w:val="-4"/>
                <w:sz w:val="18"/>
              </w:rPr>
              <w:t>0.22</w:t>
            </w:r>
          </w:p>
        </w:tc>
        <w:tc>
          <w:tcPr>
            <w:tcW w:w="1199" w:type="dxa"/>
            <w:shd w:val="clear" w:color="auto" w:fill="CCE2ED"/>
          </w:tcPr>
          <w:p w14:paraId="6D99F371" w14:textId="77777777" w:rsidR="00141B97" w:rsidRDefault="00911D63">
            <w:pPr>
              <w:pStyle w:val="TableParagraph"/>
              <w:spacing w:line="199" w:lineRule="exact"/>
              <w:ind w:right="97"/>
              <w:jc w:val="right"/>
              <w:rPr>
                <w:sz w:val="18"/>
              </w:rPr>
            </w:pPr>
            <w:r>
              <w:rPr>
                <w:spacing w:val="-4"/>
                <w:sz w:val="18"/>
              </w:rPr>
              <w:t>0.22</w:t>
            </w:r>
          </w:p>
        </w:tc>
        <w:tc>
          <w:tcPr>
            <w:tcW w:w="1198" w:type="dxa"/>
            <w:shd w:val="clear" w:color="auto" w:fill="CCE2ED"/>
          </w:tcPr>
          <w:p w14:paraId="461D3774" w14:textId="77777777" w:rsidR="00141B97" w:rsidRDefault="00911D63">
            <w:pPr>
              <w:pStyle w:val="TableParagraph"/>
              <w:spacing w:line="199" w:lineRule="exact"/>
              <w:ind w:right="96"/>
              <w:jc w:val="right"/>
              <w:rPr>
                <w:sz w:val="18"/>
              </w:rPr>
            </w:pPr>
            <w:r>
              <w:rPr>
                <w:spacing w:val="-4"/>
                <w:sz w:val="18"/>
              </w:rPr>
              <w:t>0.22</w:t>
            </w:r>
          </w:p>
        </w:tc>
        <w:tc>
          <w:tcPr>
            <w:tcW w:w="1013" w:type="dxa"/>
            <w:tcBorders>
              <w:right w:val="nil"/>
            </w:tcBorders>
            <w:shd w:val="clear" w:color="auto" w:fill="CCE2ED"/>
          </w:tcPr>
          <w:p w14:paraId="69E52B4A" w14:textId="77777777" w:rsidR="00141B97" w:rsidRDefault="00911D63">
            <w:pPr>
              <w:pStyle w:val="TableParagraph"/>
              <w:spacing w:line="199" w:lineRule="exact"/>
              <w:ind w:right="86"/>
              <w:jc w:val="right"/>
              <w:rPr>
                <w:sz w:val="18"/>
              </w:rPr>
            </w:pPr>
            <w:r>
              <w:rPr>
                <w:spacing w:val="-4"/>
                <w:sz w:val="18"/>
              </w:rPr>
              <w:t>1.11</w:t>
            </w:r>
          </w:p>
        </w:tc>
      </w:tr>
      <w:tr w:rsidR="00141B97" w14:paraId="0DB0E462" w14:textId="77777777">
        <w:trPr>
          <w:trHeight w:val="438"/>
          <w:tblCellSpacing w:w="9" w:type="dxa"/>
        </w:trPr>
        <w:tc>
          <w:tcPr>
            <w:tcW w:w="5408" w:type="dxa"/>
            <w:tcBorders>
              <w:left w:val="nil"/>
            </w:tcBorders>
            <w:shd w:val="clear" w:color="auto" w:fill="CCE2ED"/>
          </w:tcPr>
          <w:p w14:paraId="6DC08001" w14:textId="77777777" w:rsidR="00141B97" w:rsidRDefault="00911D63">
            <w:pPr>
              <w:pStyle w:val="TableParagraph"/>
              <w:spacing w:before="110"/>
              <w:ind w:left="88"/>
              <w:rPr>
                <w:sz w:val="18"/>
              </w:rPr>
            </w:pPr>
            <w:r>
              <w:rPr>
                <w:sz w:val="18"/>
              </w:rPr>
              <w:t>MILL</w:t>
            </w:r>
            <w:r>
              <w:rPr>
                <w:spacing w:val="-3"/>
                <w:sz w:val="18"/>
              </w:rPr>
              <w:t xml:space="preserve"> </w:t>
            </w:r>
            <w:r>
              <w:rPr>
                <w:sz w:val="18"/>
              </w:rPr>
              <w:t>Minor</w:t>
            </w:r>
            <w:r>
              <w:rPr>
                <w:spacing w:val="-1"/>
                <w:sz w:val="18"/>
              </w:rPr>
              <w:t xml:space="preserve"> </w:t>
            </w:r>
            <w:r>
              <w:rPr>
                <w:sz w:val="18"/>
              </w:rPr>
              <w:t>Capital</w:t>
            </w:r>
            <w:r>
              <w:rPr>
                <w:spacing w:val="-2"/>
                <w:sz w:val="18"/>
              </w:rPr>
              <w:t xml:space="preserve"> </w:t>
            </w:r>
            <w:r>
              <w:rPr>
                <w:sz w:val="18"/>
              </w:rPr>
              <w:t xml:space="preserve">‐ </w:t>
            </w:r>
            <w:r>
              <w:rPr>
                <w:spacing w:val="-5"/>
                <w:sz w:val="18"/>
              </w:rPr>
              <w:t>New</w:t>
            </w:r>
          </w:p>
        </w:tc>
        <w:tc>
          <w:tcPr>
            <w:tcW w:w="1393" w:type="dxa"/>
            <w:shd w:val="clear" w:color="auto" w:fill="CCE2ED"/>
          </w:tcPr>
          <w:p w14:paraId="0CFB86E0" w14:textId="77777777" w:rsidR="00141B97" w:rsidRDefault="00911D63">
            <w:pPr>
              <w:pStyle w:val="TableParagraph"/>
              <w:ind w:right="95"/>
              <w:jc w:val="right"/>
              <w:rPr>
                <w:sz w:val="18"/>
              </w:rPr>
            </w:pPr>
            <w:r>
              <w:rPr>
                <w:sz w:val="18"/>
              </w:rPr>
              <w:t>Domestic</w:t>
            </w:r>
            <w:r>
              <w:rPr>
                <w:spacing w:val="-7"/>
                <w:sz w:val="18"/>
              </w:rPr>
              <w:t xml:space="preserve"> </w:t>
            </w:r>
            <w:r>
              <w:rPr>
                <w:spacing w:val="-5"/>
                <w:sz w:val="18"/>
              </w:rPr>
              <w:t>and</w:t>
            </w:r>
          </w:p>
          <w:p w14:paraId="2871F10E" w14:textId="77777777" w:rsidR="00141B97" w:rsidRDefault="00911D63">
            <w:pPr>
              <w:pStyle w:val="TableParagraph"/>
              <w:spacing w:line="199" w:lineRule="exact"/>
              <w:ind w:right="95"/>
              <w:jc w:val="right"/>
              <w:rPr>
                <w:sz w:val="18"/>
              </w:rPr>
            </w:pPr>
            <w:r>
              <w:rPr>
                <w:spacing w:val="-2"/>
                <w:sz w:val="18"/>
              </w:rPr>
              <w:t>stock</w:t>
            </w:r>
          </w:p>
        </w:tc>
        <w:tc>
          <w:tcPr>
            <w:tcW w:w="1860" w:type="dxa"/>
            <w:shd w:val="clear" w:color="auto" w:fill="CCE2ED"/>
          </w:tcPr>
          <w:p w14:paraId="363969F9"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53A33EA9" w14:textId="77777777" w:rsidR="00141B97" w:rsidRDefault="00911D63">
            <w:pPr>
              <w:pStyle w:val="TableParagraph"/>
              <w:spacing w:before="110"/>
              <w:ind w:right="96"/>
              <w:jc w:val="right"/>
              <w:rPr>
                <w:sz w:val="18"/>
              </w:rPr>
            </w:pPr>
            <w:r>
              <w:rPr>
                <w:spacing w:val="-4"/>
                <w:sz w:val="18"/>
              </w:rPr>
              <w:t>0.01</w:t>
            </w:r>
          </w:p>
        </w:tc>
        <w:tc>
          <w:tcPr>
            <w:tcW w:w="1198" w:type="dxa"/>
            <w:shd w:val="clear" w:color="auto" w:fill="CCE2ED"/>
          </w:tcPr>
          <w:p w14:paraId="38A7C4FE" w14:textId="77777777" w:rsidR="00141B97" w:rsidRDefault="00911D63">
            <w:pPr>
              <w:pStyle w:val="TableParagraph"/>
              <w:spacing w:before="110"/>
              <w:ind w:right="95"/>
              <w:jc w:val="right"/>
              <w:rPr>
                <w:sz w:val="18"/>
              </w:rPr>
            </w:pPr>
            <w:r>
              <w:rPr>
                <w:spacing w:val="-4"/>
                <w:sz w:val="18"/>
              </w:rPr>
              <w:t>0.01</w:t>
            </w:r>
          </w:p>
        </w:tc>
        <w:tc>
          <w:tcPr>
            <w:tcW w:w="1198" w:type="dxa"/>
            <w:shd w:val="clear" w:color="auto" w:fill="CCE2ED"/>
          </w:tcPr>
          <w:p w14:paraId="173D17D2" w14:textId="77777777" w:rsidR="00141B97" w:rsidRDefault="00911D63">
            <w:pPr>
              <w:pStyle w:val="TableParagraph"/>
              <w:spacing w:before="110"/>
              <w:ind w:right="96"/>
              <w:jc w:val="right"/>
              <w:rPr>
                <w:sz w:val="18"/>
              </w:rPr>
            </w:pPr>
            <w:r>
              <w:rPr>
                <w:spacing w:val="-4"/>
                <w:sz w:val="18"/>
              </w:rPr>
              <w:t>0.01</w:t>
            </w:r>
          </w:p>
        </w:tc>
        <w:tc>
          <w:tcPr>
            <w:tcW w:w="1199" w:type="dxa"/>
            <w:shd w:val="clear" w:color="auto" w:fill="CCE2ED"/>
          </w:tcPr>
          <w:p w14:paraId="1DC79B13" w14:textId="77777777" w:rsidR="00141B97" w:rsidRDefault="00911D63">
            <w:pPr>
              <w:pStyle w:val="TableParagraph"/>
              <w:spacing w:before="110"/>
              <w:ind w:right="97"/>
              <w:jc w:val="right"/>
              <w:rPr>
                <w:sz w:val="18"/>
              </w:rPr>
            </w:pPr>
            <w:r>
              <w:rPr>
                <w:spacing w:val="-4"/>
                <w:sz w:val="18"/>
              </w:rPr>
              <w:t>0.01</w:t>
            </w:r>
          </w:p>
        </w:tc>
        <w:tc>
          <w:tcPr>
            <w:tcW w:w="1198" w:type="dxa"/>
            <w:shd w:val="clear" w:color="auto" w:fill="CCE2ED"/>
          </w:tcPr>
          <w:p w14:paraId="0D94DBD5" w14:textId="77777777" w:rsidR="00141B97" w:rsidRDefault="00911D63">
            <w:pPr>
              <w:pStyle w:val="TableParagraph"/>
              <w:spacing w:before="110"/>
              <w:ind w:right="96"/>
              <w:jc w:val="right"/>
              <w:rPr>
                <w:sz w:val="18"/>
              </w:rPr>
            </w:pPr>
            <w:r>
              <w:rPr>
                <w:spacing w:val="-4"/>
                <w:sz w:val="18"/>
              </w:rPr>
              <w:t>0.01</w:t>
            </w:r>
          </w:p>
        </w:tc>
        <w:tc>
          <w:tcPr>
            <w:tcW w:w="1013" w:type="dxa"/>
            <w:tcBorders>
              <w:right w:val="nil"/>
            </w:tcBorders>
            <w:shd w:val="clear" w:color="auto" w:fill="CCE2ED"/>
          </w:tcPr>
          <w:p w14:paraId="22C22923" w14:textId="77777777" w:rsidR="00141B97" w:rsidRDefault="00911D63">
            <w:pPr>
              <w:pStyle w:val="TableParagraph"/>
              <w:spacing w:before="110"/>
              <w:ind w:right="86"/>
              <w:jc w:val="right"/>
              <w:rPr>
                <w:sz w:val="18"/>
              </w:rPr>
            </w:pPr>
            <w:r>
              <w:rPr>
                <w:spacing w:val="-4"/>
                <w:sz w:val="18"/>
              </w:rPr>
              <w:t>0.07</w:t>
            </w:r>
          </w:p>
        </w:tc>
      </w:tr>
      <w:tr w:rsidR="00141B97" w14:paraId="0AF56847" w14:textId="77777777">
        <w:trPr>
          <w:trHeight w:val="437"/>
          <w:tblCellSpacing w:w="9" w:type="dxa"/>
        </w:trPr>
        <w:tc>
          <w:tcPr>
            <w:tcW w:w="5408" w:type="dxa"/>
            <w:tcBorders>
              <w:left w:val="nil"/>
            </w:tcBorders>
            <w:shd w:val="clear" w:color="auto" w:fill="CCE2ED"/>
          </w:tcPr>
          <w:p w14:paraId="56362DB6" w14:textId="77777777" w:rsidR="00141B97" w:rsidRDefault="00911D63">
            <w:pPr>
              <w:pStyle w:val="TableParagraph"/>
              <w:spacing w:before="110"/>
              <w:ind w:left="88"/>
              <w:rPr>
                <w:sz w:val="18"/>
              </w:rPr>
            </w:pPr>
            <w:r>
              <w:rPr>
                <w:sz w:val="18"/>
              </w:rPr>
              <w:t>MILL</w:t>
            </w:r>
            <w:r>
              <w:rPr>
                <w:spacing w:val="-1"/>
                <w:sz w:val="18"/>
              </w:rPr>
              <w:t xml:space="preserve"> </w:t>
            </w:r>
            <w:r>
              <w:rPr>
                <w:sz w:val="18"/>
              </w:rPr>
              <w:t>Minor</w:t>
            </w:r>
            <w:r>
              <w:rPr>
                <w:spacing w:val="-1"/>
                <w:sz w:val="18"/>
              </w:rPr>
              <w:t xml:space="preserve"> </w:t>
            </w:r>
            <w:r>
              <w:rPr>
                <w:sz w:val="18"/>
              </w:rPr>
              <w:t>Capital</w:t>
            </w:r>
            <w:r>
              <w:rPr>
                <w:spacing w:val="-2"/>
                <w:sz w:val="18"/>
              </w:rPr>
              <w:t xml:space="preserve"> </w:t>
            </w:r>
            <w:r>
              <w:rPr>
                <w:sz w:val="18"/>
              </w:rPr>
              <w:t xml:space="preserve">‐ </w:t>
            </w:r>
            <w:r>
              <w:rPr>
                <w:spacing w:val="-2"/>
                <w:sz w:val="18"/>
              </w:rPr>
              <w:t>Replacement</w:t>
            </w:r>
          </w:p>
        </w:tc>
        <w:tc>
          <w:tcPr>
            <w:tcW w:w="1393" w:type="dxa"/>
            <w:shd w:val="clear" w:color="auto" w:fill="CCE2ED"/>
          </w:tcPr>
          <w:p w14:paraId="77847C1A" w14:textId="77777777" w:rsidR="00141B97" w:rsidRDefault="00911D63">
            <w:pPr>
              <w:pStyle w:val="TableParagraph"/>
              <w:spacing w:line="219" w:lineRule="exact"/>
              <w:ind w:right="95"/>
              <w:jc w:val="right"/>
              <w:rPr>
                <w:sz w:val="18"/>
              </w:rPr>
            </w:pPr>
            <w:r>
              <w:rPr>
                <w:sz w:val="18"/>
              </w:rPr>
              <w:t>Domestic</w:t>
            </w:r>
            <w:r>
              <w:rPr>
                <w:spacing w:val="-7"/>
                <w:sz w:val="18"/>
              </w:rPr>
              <w:t xml:space="preserve"> </w:t>
            </w:r>
            <w:r>
              <w:rPr>
                <w:spacing w:val="-5"/>
                <w:sz w:val="18"/>
              </w:rPr>
              <w:t>and</w:t>
            </w:r>
          </w:p>
          <w:p w14:paraId="3099DB3F" w14:textId="77777777" w:rsidR="00141B97" w:rsidRDefault="00911D63">
            <w:pPr>
              <w:pStyle w:val="TableParagraph"/>
              <w:spacing w:line="199" w:lineRule="exact"/>
              <w:ind w:right="95"/>
              <w:jc w:val="right"/>
              <w:rPr>
                <w:sz w:val="18"/>
              </w:rPr>
            </w:pPr>
            <w:r>
              <w:rPr>
                <w:spacing w:val="-2"/>
                <w:sz w:val="18"/>
              </w:rPr>
              <w:t>stock</w:t>
            </w:r>
          </w:p>
        </w:tc>
        <w:tc>
          <w:tcPr>
            <w:tcW w:w="1860" w:type="dxa"/>
            <w:shd w:val="clear" w:color="auto" w:fill="CCE2ED"/>
          </w:tcPr>
          <w:p w14:paraId="197CC5A6" w14:textId="77777777" w:rsidR="00141B97" w:rsidRDefault="00911D63">
            <w:pPr>
              <w:pStyle w:val="TableParagraph"/>
              <w:spacing w:before="110"/>
              <w:ind w:right="95"/>
              <w:jc w:val="right"/>
              <w:rPr>
                <w:sz w:val="18"/>
              </w:rPr>
            </w:pPr>
            <w:r>
              <w:rPr>
                <w:spacing w:val="-2"/>
                <w:sz w:val="18"/>
              </w:rPr>
              <w:t>Renewals</w:t>
            </w:r>
          </w:p>
        </w:tc>
        <w:tc>
          <w:tcPr>
            <w:tcW w:w="1199" w:type="dxa"/>
            <w:shd w:val="clear" w:color="auto" w:fill="CCE2ED"/>
          </w:tcPr>
          <w:p w14:paraId="62B728E6" w14:textId="77777777" w:rsidR="00141B97" w:rsidRDefault="00911D63">
            <w:pPr>
              <w:pStyle w:val="TableParagraph"/>
              <w:spacing w:before="110"/>
              <w:ind w:right="96"/>
              <w:jc w:val="right"/>
              <w:rPr>
                <w:sz w:val="18"/>
              </w:rPr>
            </w:pPr>
            <w:r>
              <w:rPr>
                <w:spacing w:val="-4"/>
                <w:sz w:val="18"/>
              </w:rPr>
              <w:t>0.06</w:t>
            </w:r>
          </w:p>
        </w:tc>
        <w:tc>
          <w:tcPr>
            <w:tcW w:w="1198" w:type="dxa"/>
            <w:shd w:val="clear" w:color="auto" w:fill="CCE2ED"/>
          </w:tcPr>
          <w:p w14:paraId="27A8F738" w14:textId="77777777" w:rsidR="00141B97" w:rsidRDefault="00911D63">
            <w:pPr>
              <w:pStyle w:val="TableParagraph"/>
              <w:spacing w:before="110"/>
              <w:ind w:right="95"/>
              <w:jc w:val="right"/>
              <w:rPr>
                <w:sz w:val="18"/>
              </w:rPr>
            </w:pPr>
            <w:r>
              <w:rPr>
                <w:spacing w:val="-4"/>
                <w:sz w:val="18"/>
              </w:rPr>
              <w:t>0.06</w:t>
            </w:r>
          </w:p>
        </w:tc>
        <w:tc>
          <w:tcPr>
            <w:tcW w:w="1198" w:type="dxa"/>
            <w:shd w:val="clear" w:color="auto" w:fill="CCE2ED"/>
          </w:tcPr>
          <w:p w14:paraId="1820D5E5" w14:textId="77777777" w:rsidR="00141B97" w:rsidRDefault="00911D63">
            <w:pPr>
              <w:pStyle w:val="TableParagraph"/>
              <w:spacing w:before="110"/>
              <w:ind w:right="96"/>
              <w:jc w:val="right"/>
              <w:rPr>
                <w:sz w:val="18"/>
              </w:rPr>
            </w:pPr>
            <w:r>
              <w:rPr>
                <w:spacing w:val="-4"/>
                <w:sz w:val="18"/>
              </w:rPr>
              <w:t>0.06</w:t>
            </w:r>
          </w:p>
        </w:tc>
        <w:tc>
          <w:tcPr>
            <w:tcW w:w="1199" w:type="dxa"/>
            <w:shd w:val="clear" w:color="auto" w:fill="CCE2ED"/>
          </w:tcPr>
          <w:p w14:paraId="3EBA6EA9" w14:textId="77777777" w:rsidR="00141B97" w:rsidRDefault="00911D63">
            <w:pPr>
              <w:pStyle w:val="TableParagraph"/>
              <w:spacing w:before="110"/>
              <w:ind w:right="97"/>
              <w:jc w:val="right"/>
              <w:rPr>
                <w:sz w:val="18"/>
              </w:rPr>
            </w:pPr>
            <w:r>
              <w:rPr>
                <w:spacing w:val="-4"/>
                <w:sz w:val="18"/>
              </w:rPr>
              <w:t>0.06</w:t>
            </w:r>
          </w:p>
        </w:tc>
        <w:tc>
          <w:tcPr>
            <w:tcW w:w="1198" w:type="dxa"/>
            <w:shd w:val="clear" w:color="auto" w:fill="CCE2ED"/>
          </w:tcPr>
          <w:p w14:paraId="11341347" w14:textId="77777777" w:rsidR="00141B97" w:rsidRDefault="00911D63">
            <w:pPr>
              <w:pStyle w:val="TableParagraph"/>
              <w:spacing w:before="110"/>
              <w:ind w:right="96"/>
              <w:jc w:val="right"/>
              <w:rPr>
                <w:sz w:val="18"/>
              </w:rPr>
            </w:pPr>
            <w:r>
              <w:rPr>
                <w:spacing w:val="-4"/>
                <w:sz w:val="18"/>
              </w:rPr>
              <w:t>0.06</w:t>
            </w:r>
          </w:p>
        </w:tc>
        <w:tc>
          <w:tcPr>
            <w:tcW w:w="1013" w:type="dxa"/>
            <w:tcBorders>
              <w:right w:val="nil"/>
            </w:tcBorders>
            <w:shd w:val="clear" w:color="auto" w:fill="CCE2ED"/>
          </w:tcPr>
          <w:p w14:paraId="15D44205" w14:textId="77777777" w:rsidR="00141B97" w:rsidRDefault="00911D63">
            <w:pPr>
              <w:pStyle w:val="TableParagraph"/>
              <w:spacing w:before="110"/>
              <w:ind w:right="86"/>
              <w:jc w:val="right"/>
              <w:rPr>
                <w:sz w:val="18"/>
              </w:rPr>
            </w:pPr>
            <w:r>
              <w:rPr>
                <w:spacing w:val="-4"/>
                <w:sz w:val="18"/>
              </w:rPr>
              <w:t>0.28</w:t>
            </w:r>
          </w:p>
        </w:tc>
      </w:tr>
      <w:tr w:rsidR="00141B97" w14:paraId="7450BDB6" w14:textId="77777777">
        <w:trPr>
          <w:trHeight w:val="439"/>
          <w:tblCellSpacing w:w="9" w:type="dxa"/>
        </w:trPr>
        <w:tc>
          <w:tcPr>
            <w:tcW w:w="5408" w:type="dxa"/>
            <w:tcBorders>
              <w:left w:val="nil"/>
            </w:tcBorders>
            <w:shd w:val="clear" w:color="auto" w:fill="CCE2ED"/>
          </w:tcPr>
          <w:p w14:paraId="03AE1096" w14:textId="77777777" w:rsidR="00141B97" w:rsidRDefault="00911D63">
            <w:pPr>
              <w:pStyle w:val="TableParagraph"/>
              <w:spacing w:before="111"/>
              <w:ind w:left="88"/>
              <w:rPr>
                <w:sz w:val="18"/>
              </w:rPr>
            </w:pPr>
            <w:r>
              <w:rPr>
                <w:sz w:val="18"/>
              </w:rPr>
              <w:t>RC</w:t>
            </w:r>
            <w:r>
              <w:rPr>
                <w:spacing w:val="-1"/>
                <w:sz w:val="18"/>
              </w:rPr>
              <w:t xml:space="preserve"> </w:t>
            </w:r>
            <w:r>
              <w:rPr>
                <w:sz w:val="18"/>
              </w:rPr>
              <w:t>Minor Capital</w:t>
            </w:r>
            <w:r>
              <w:rPr>
                <w:spacing w:val="-2"/>
                <w:sz w:val="18"/>
              </w:rPr>
              <w:t xml:space="preserve"> </w:t>
            </w:r>
            <w:r>
              <w:rPr>
                <w:sz w:val="18"/>
              </w:rPr>
              <w:t xml:space="preserve">‐ </w:t>
            </w:r>
            <w:r>
              <w:rPr>
                <w:spacing w:val="-5"/>
                <w:sz w:val="18"/>
              </w:rPr>
              <w:t>New</w:t>
            </w:r>
          </w:p>
        </w:tc>
        <w:tc>
          <w:tcPr>
            <w:tcW w:w="1393" w:type="dxa"/>
            <w:shd w:val="clear" w:color="auto" w:fill="CCE2ED"/>
          </w:tcPr>
          <w:p w14:paraId="47BF0516" w14:textId="77777777" w:rsidR="00141B97" w:rsidRDefault="00911D63">
            <w:pPr>
              <w:pStyle w:val="TableParagraph"/>
              <w:spacing w:before="111"/>
              <w:ind w:right="95"/>
              <w:jc w:val="right"/>
              <w:rPr>
                <w:sz w:val="18"/>
              </w:rPr>
            </w:pPr>
            <w:r>
              <w:rPr>
                <w:spacing w:val="-2"/>
                <w:sz w:val="18"/>
              </w:rPr>
              <w:t>Irrigation</w:t>
            </w:r>
          </w:p>
        </w:tc>
        <w:tc>
          <w:tcPr>
            <w:tcW w:w="1860" w:type="dxa"/>
            <w:shd w:val="clear" w:color="auto" w:fill="CCE2ED"/>
          </w:tcPr>
          <w:p w14:paraId="0632F87C"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6C735834" w14:textId="77777777" w:rsidR="00141B97" w:rsidRDefault="00911D63">
            <w:pPr>
              <w:pStyle w:val="TableParagraph"/>
              <w:spacing w:before="111"/>
              <w:ind w:right="96"/>
              <w:jc w:val="right"/>
              <w:rPr>
                <w:sz w:val="18"/>
              </w:rPr>
            </w:pPr>
            <w:r>
              <w:rPr>
                <w:spacing w:val="-4"/>
                <w:sz w:val="18"/>
              </w:rPr>
              <w:t>0.11</w:t>
            </w:r>
          </w:p>
        </w:tc>
        <w:tc>
          <w:tcPr>
            <w:tcW w:w="1198" w:type="dxa"/>
            <w:shd w:val="clear" w:color="auto" w:fill="CCE2ED"/>
          </w:tcPr>
          <w:p w14:paraId="200BB4B5" w14:textId="77777777" w:rsidR="00141B97" w:rsidRDefault="00911D63">
            <w:pPr>
              <w:pStyle w:val="TableParagraph"/>
              <w:spacing w:before="111"/>
              <w:ind w:right="95"/>
              <w:jc w:val="right"/>
              <w:rPr>
                <w:sz w:val="18"/>
              </w:rPr>
            </w:pPr>
            <w:r>
              <w:rPr>
                <w:spacing w:val="-4"/>
                <w:sz w:val="18"/>
              </w:rPr>
              <w:t>0.11</w:t>
            </w:r>
          </w:p>
        </w:tc>
        <w:tc>
          <w:tcPr>
            <w:tcW w:w="1198" w:type="dxa"/>
            <w:shd w:val="clear" w:color="auto" w:fill="CCE2ED"/>
          </w:tcPr>
          <w:p w14:paraId="7C205A4B" w14:textId="77777777" w:rsidR="00141B97" w:rsidRDefault="00911D63">
            <w:pPr>
              <w:pStyle w:val="TableParagraph"/>
              <w:spacing w:before="111"/>
              <w:ind w:right="96"/>
              <w:jc w:val="right"/>
              <w:rPr>
                <w:sz w:val="18"/>
              </w:rPr>
            </w:pPr>
            <w:r>
              <w:rPr>
                <w:spacing w:val="-4"/>
                <w:sz w:val="18"/>
              </w:rPr>
              <w:t>0.11</w:t>
            </w:r>
          </w:p>
        </w:tc>
        <w:tc>
          <w:tcPr>
            <w:tcW w:w="1199" w:type="dxa"/>
            <w:shd w:val="clear" w:color="auto" w:fill="CCE2ED"/>
          </w:tcPr>
          <w:p w14:paraId="0034E796" w14:textId="77777777" w:rsidR="00141B97" w:rsidRDefault="00911D63">
            <w:pPr>
              <w:pStyle w:val="TableParagraph"/>
              <w:spacing w:before="111"/>
              <w:ind w:right="97"/>
              <w:jc w:val="right"/>
              <w:rPr>
                <w:sz w:val="18"/>
              </w:rPr>
            </w:pPr>
            <w:r>
              <w:rPr>
                <w:spacing w:val="-4"/>
                <w:sz w:val="18"/>
              </w:rPr>
              <w:t>0.11</w:t>
            </w:r>
          </w:p>
        </w:tc>
        <w:tc>
          <w:tcPr>
            <w:tcW w:w="1198" w:type="dxa"/>
            <w:shd w:val="clear" w:color="auto" w:fill="CCE2ED"/>
          </w:tcPr>
          <w:p w14:paraId="08A50E2F" w14:textId="77777777" w:rsidR="00141B97" w:rsidRDefault="00911D63">
            <w:pPr>
              <w:pStyle w:val="TableParagraph"/>
              <w:spacing w:before="111"/>
              <w:ind w:right="96"/>
              <w:jc w:val="right"/>
              <w:rPr>
                <w:sz w:val="18"/>
              </w:rPr>
            </w:pPr>
            <w:r>
              <w:rPr>
                <w:spacing w:val="-4"/>
                <w:sz w:val="18"/>
              </w:rPr>
              <w:t>0.11</w:t>
            </w:r>
          </w:p>
        </w:tc>
        <w:tc>
          <w:tcPr>
            <w:tcW w:w="1013" w:type="dxa"/>
            <w:tcBorders>
              <w:right w:val="nil"/>
            </w:tcBorders>
            <w:shd w:val="clear" w:color="auto" w:fill="CCE2ED"/>
          </w:tcPr>
          <w:p w14:paraId="3F1DC664" w14:textId="77777777" w:rsidR="00141B97" w:rsidRDefault="00911D63">
            <w:pPr>
              <w:pStyle w:val="TableParagraph"/>
              <w:spacing w:before="111"/>
              <w:ind w:right="86"/>
              <w:jc w:val="right"/>
              <w:rPr>
                <w:sz w:val="18"/>
              </w:rPr>
            </w:pPr>
            <w:r>
              <w:rPr>
                <w:spacing w:val="-4"/>
                <w:sz w:val="18"/>
              </w:rPr>
              <w:t>0.56</w:t>
            </w:r>
          </w:p>
        </w:tc>
      </w:tr>
      <w:tr w:rsidR="00141B97" w14:paraId="48342358" w14:textId="77777777">
        <w:trPr>
          <w:trHeight w:val="220"/>
          <w:tblCellSpacing w:w="9" w:type="dxa"/>
        </w:trPr>
        <w:tc>
          <w:tcPr>
            <w:tcW w:w="5408" w:type="dxa"/>
            <w:tcBorders>
              <w:left w:val="nil"/>
            </w:tcBorders>
            <w:shd w:val="clear" w:color="auto" w:fill="CCE2ED"/>
          </w:tcPr>
          <w:p w14:paraId="588AE667" w14:textId="77777777" w:rsidR="00141B97" w:rsidRDefault="00911D63">
            <w:pPr>
              <w:pStyle w:val="TableParagraph"/>
              <w:spacing w:line="199" w:lineRule="exact"/>
              <w:ind w:left="88"/>
              <w:rPr>
                <w:sz w:val="18"/>
              </w:rPr>
            </w:pPr>
            <w:r>
              <w:rPr>
                <w:sz w:val="18"/>
              </w:rPr>
              <w:t>RC</w:t>
            </w:r>
            <w:r>
              <w:rPr>
                <w:spacing w:val="-1"/>
                <w:sz w:val="18"/>
              </w:rPr>
              <w:t xml:space="preserve"> </w:t>
            </w:r>
            <w:r>
              <w:rPr>
                <w:sz w:val="18"/>
              </w:rPr>
              <w:t>Minor Capital</w:t>
            </w:r>
            <w:r>
              <w:rPr>
                <w:spacing w:val="-2"/>
                <w:sz w:val="18"/>
              </w:rPr>
              <w:t xml:space="preserve"> </w:t>
            </w:r>
            <w:r>
              <w:rPr>
                <w:sz w:val="18"/>
              </w:rPr>
              <w:t xml:space="preserve">‐ </w:t>
            </w:r>
            <w:r>
              <w:rPr>
                <w:spacing w:val="-2"/>
                <w:sz w:val="18"/>
              </w:rPr>
              <w:t>Replacement</w:t>
            </w:r>
          </w:p>
        </w:tc>
        <w:tc>
          <w:tcPr>
            <w:tcW w:w="1393" w:type="dxa"/>
            <w:shd w:val="clear" w:color="auto" w:fill="CCE2ED"/>
          </w:tcPr>
          <w:p w14:paraId="63B5DDD9"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530CC544"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2BF8B013" w14:textId="77777777" w:rsidR="00141B97" w:rsidRDefault="00911D63">
            <w:pPr>
              <w:pStyle w:val="TableParagraph"/>
              <w:spacing w:line="199" w:lineRule="exact"/>
              <w:ind w:right="96"/>
              <w:jc w:val="right"/>
              <w:rPr>
                <w:sz w:val="18"/>
              </w:rPr>
            </w:pPr>
            <w:r>
              <w:rPr>
                <w:spacing w:val="-4"/>
                <w:sz w:val="18"/>
              </w:rPr>
              <w:t>0.21</w:t>
            </w:r>
          </w:p>
        </w:tc>
        <w:tc>
          <w:tcPr>
            <w:tcW w:w="1198" w:type="dxa"/>
            <w:shd w:val="clear" w:color="auto" w:fill="CCE2ED"/>
          </w:tcPr>
          <w:p w14:paraId="7E8791BB" w14:textId="77777777" w:rsidR="00141B97" w:rsidRDefault="00911D63">
            <w:pPr>
              <w:pStyle w:val="TableParagraph"/>
              <w:spacing w:line="199" w:lineRule="exact"/>
              <w:ind w:right="95"/>
              <w:jc w:val="right"/>
              <w:rPr>
                <w:sz w:val="18"/>
              </w:rPr>
            </w:pPr>
            <w:r>
              <w:rPr>
                <w:spacing w:val="-4"/>
                <w:sz w:val="18"/>
              </w:rPr>
              <w:t>0.21</w:t>
            </w:r>
          </w:p>
        </w:tc>
        <w:tc>
          <w:tcPr>
            <w:tcW w:w="1198" w:type="dxa"/>
            <w:shd w:val="clear" w:color="auto" w:fill="CCE2ED"/>
          </w:tcPr>
          <w:p w14:paraId="31EEA20E" w14:textId="77777777" w:rsidR="00141B97" w:rsidRDefault="00911D63">
            <w:pPr>
              <w:pStyle w:val="TableParagraph"/>
              <w:spacing w:line="199" w:lineRule="exact"/>
              <w:ind w:right="96"/>
              <w:jc w:val="right"/>
              <w:rPr>
                <w:sz w:val="18"/>
              </w:rPr>
            </w:pPr>
            <w:r>
              <w:rPr>
                <w:spacing w:val="-4"/>
                <w:sz w:val="18"/>
              </w:rPr>
              <w:t>0.21</w:t>
            </w:r>
          </w:p>
        </w:tc>
        <w:tc>
          <w:tcPr>
            <w:tcW w:w="1199" w:type="dxa"/>
            <w:shd w:val="clear" w:color="auto" w:fill="CCE2ED"/>
          </w:tcPr>
          <w:p w14:paraId="2ACBB4F3" w14:textId="77777777" w:rsidR="00141B97" w:rsidRDefault="00911D63">
            <w:pPr>
              <w:pStyle w:val="TableParagraph"/>
              <w:spacing w:line="199" w:lineRule="exact"/>
              <w:ind w:right="97"/>
              <w:jc w:val="right"/>
              <w:rPr>
                <w:sz w:val="18"/>
              </w:rPr>
            </w:pPr>
            <w:r>
              <w:rPr>
                <w:spacing w:val="-4"/>
                <w:sz w:val="18"/>
              </w:rPr>
              <w:t>0.21</w:t>
            </w:r>
          </w:p>
        </w:tc>
        <w:tc>
          <w:tcPr>
            <w:tcW w:w="1198" w:type="dxa"/>
            <w:shd w:val="clear" w:color="auto" w:fill="CCE2ED"/>
          </w:tcPr>
          <w:p w14:paraId="63E99B27" w14:textId="77777777" w:rsidR="00141B97" w:rsidRDefault="00911D63">
            <w:pPr>
              <w:pStyle w:val="TableParagraph"/>
              <w:spacing w:line="199" w:lineRule="exact"/>
              <w:ind w:right="96"/>
              <w:jc w:val="right"/>
              <w:rPr>
                <w:sz w:val="18"/>
              </w:rPr>
            </w:pPr>
            <w:r>
              <w:rPr>
                <w:spacing w:val="-4"/>
                <w:sz w:val="18"/>
              </w:rPr>
              <w:t>0.21</w:t>
            </w:r>
          </w:p>
        </w:tc>
        <w:tc>
          <w:tcPr>
            <w:tcW w:w="1013" w:type="dxa"/>
            <w:tcBorders>
              <w:right w:val="nil"/>
            </w:tcBorders>
            <w:shd w:val="clear" w:color="auto" w:fill="CCE2ED"/>
          </w:tcPr>
          <w:p w14:paraId="13F20EF2" w14:textId="77777777" w:rsidR="00141B97" w:rsidRDefault="00911D63">
            <w:pPr>
              <w:pStyle w:val="TableParagraph"/>
              <w:spacing w:line="199" w:lineRule="exact"/>
              <w:ind w:right="86"/>
              <w:jc w:val="right"/>
              <w:rPr>
                <w:sz w:val="18"/>
              </w:rPr>
            </w:pPr>
            <w:r>
              <w:rPr>
                <w:spacing w:val="-4"/>
                <w:sz w:val="18"/>
              </w:rPr>
              <w:t>1.06</w:t>
            </w:r>
          </w:p>
        </w:tc>
      </w:tr>
      <w:tr w:rsidR="00141B97" w14:paraId="2FD793A7" w14:textId="77777777">
        <w:trPr>
          <w:trHeight w:val="439"/>
          <w:tblCellSpacing w:w="9" w:type="dxa"/>
        </w:trPr>
        <w:tc>
          <w:tcPr>
            <w:tcW w:w="5408" w:type="dxa"/>
            <w:tcBorders>
              <w:left w:val="nil"/>
            </w:tcBorders>
            <w:shd w:val="clear" w:color="auto" w:fill="CCE2ED"/>
          </w:tcPr>
          <w:p w14:paraId="133CC11C" w14:textId="77777777" w:rsidR="00141B97" w:rsidRDefault="00911D63">
            <w:pPr>
              <w:pStyle w:val="TableParagraph"/>
              <w:spacing w:before="110"/>
              <w:ind w:left="88"/>
              <w:rPr>
                <w:sz w:val="18"/>
              </w:rPr>
            </w:pPr>
            <w:r>
              <w:rPr>
                <w:sz w:val="18"/>
              </w:rPr>
              <w:t>ROB</w:t>
            </w:r>
            <w:r>
              <w:rPr>
                <w:spacing w:val="-4"/>
                <w:sz w:val="18"/>
              </w:rPr>
              <w:t xml:space="preserve"> </w:t>
            </w:r>
            <w:r>
              <w:rPr>
                <w:sz w:val="18"/>
              </w:rPr>
              <w:t>Minor Capital</w:t>
            </w:r>
            <w:r>
              <w:rPr>
                <w:spacing w:val="-1"/>
                <w:sz w:val="18"/>
              </w:rPr>
              <w:t xml:space="preserve"> </w:t>
            </w:r>
            <w:r>
              <w:rPr>
                <w:sz w:val="18"/>
              </w:rPr>
              <w:t xml:space="preserve">‐ </w:t>
            </w:r>
            <w:r>
              <w:rPr>
                <w:spacing w:val="-5"/>
                <w:sz w:val="18"/>
              </w:rPr>
              <w:t>New</w:t>
            </w:r>
          </w:p>
        </w:tc>
        <w:tc>
          <w:tcPr>
            <w:tcW w:w="1393" w:type="dxa"/>
            <w:shd w:val="clear" w:color="auto" w:fill="CCE2ED"/>
          </w:tcPr>
          <w:p w14:paraId="1CC9165B"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696B69F6"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58CCF874" w14:textId="77777777" w:rsidR="00141B97" w:rsidRDefault="00911D63">
            <w:pPr>
              <w:pStyle w:val="TableParagraph"/>
              <w:spacing w:before="110"/>
              <w:ind w:right="96"/>
              <w:jc w:val="right"/>
              <w:rPr>
                <w:sz w:val="18"/>
              </w:rPr>
            </w:pPr>
            <w:r>
              <w:rPr>
                <w:spacing w:val="-4"/>
                <w:sz w:val="18"/>
              </w:rPr>
              <w:t>0.04</w:t>
            </w:r>
          </w:p>
        </w:tc>
        <w:tc>
          <w:tcPr>
            <w:tcW w:w="1198" w:type="dxa"/>
            <w:shd w:val="clear" w:color="auto" w:fill="CCE2ED"/>
          </w:tcPr>
          <w:p w14:paraId="4A645E2B" w14:textId="77777777" w:rsidR="00141B97" w:rsidRDefault="00911D63">
            <w:pPr>
              <w:pStyle w:val="TableParagraph"/>
              <w:spacing w:before="110"/>
              <w:ind w:right="95"/>
              <w:jc w:val="right"/>
              <w:rPr>
                <w:sz w:val="18"/>
              </w:rPr>
            </w:pPr>
            <w:r>
              <w:rPr>
                <w:spacing w:val="-4"/>
                <w:sz w:val="18"/>
              </w:rPr>
              <w:t>0.04</w:t>
            </w:r>
          </w:p>
        </w:tc>
        <w:tc>
          <w:tcPr>
            <w:tcW w:w="1198" w:type="dxa"/>
            <w:shd w:val="clear" w:color="auto" w:fill="CCE2ED"/>
          </w:tcPr>
          <w:p w14:paraId="077D8445" w14:textId="77777777" w:rsidR="00141B97" w:rsidRDefault="00911D63">
            <w:pPr>
              <w:pStyle w:val="TableParagraph"/>
              <w:spacing w:before="110"/>
              <w:ind w:right="96"/>
              <w:jc w:val="right"/>
              <w:rPr>
                <w:sz w:val="18"/>
              </w:rPr>
            </w:pPr>
            <w:r>
              <w:rPr>
                <w:spacing w:val="-4"/>
                <w:sz w:val="18"/>
              </w:rPr>
              <w:t>0.04</w:t>
            </w:r>
          </w:p>
        </w:tc>
        <w:tc>
          <w:tcPr>
            <w:tcW w:w="1199" w:type="dxa"/>
            <w:shd w:val="clear" w:color="auto" w:fill="CCE2ED"/>
          </w:tcPr>
          <w:p w14:paraId="75480D13" w14:textId="77777777" w:rsidR="00141B97" w:rsidRDefault="00911D63">
            <w:pPr>
              <w:pStyle w:val="TableParagraph"/>
              <w:spacing w:before="110"/>
              <w:ind w:right="97"/>
              <w:jc w:val="right"/>
              <w:rPr>
                <w:sz w:val="18"/>
              </w:rPr>
            </w:pPr>
            <w:r>
              <w:rPr>
                <w:spacing w:val="-4"/>
                <w:sz w:val="18"/>
              </w:rPr>
              <w:t>0.04</w:t>
            </w:r>
          </w:p>
        </w:tc>
        <w:tc>
          <w:tcPr>
            <w:tcW w:w="1198" w:type="dxa"/>
            <w:shd w:val="clear" w:color="auto" w:fill="CCE2ED"/>
          </w:tcPr>
          <w:p w14:paraId="682A9314" w14:textId="77777777" w:rsidR="00141B97" w:rsidRDefault="00911D63">
            <w:pPr>
              <w:pStyle w:val="TableParagraph"/>
              <w:spacing w:before="110"/>
              <w:ind w:right="96"/>
              <w:jc w:val="right"/>
              <w:rPr>
                <w:sz w:val="18"/>
              </w:rPr>
            </w:pPr>
            <w:r>
              <w:rPr>
                <w:spacing w:val="-4"/>
                <w:sz w:val="18"/>
              </w:rPr>
              <w:t>0.04</w:t>
            </w:r>
          </w:p>
        </w:tc>
        <w:tc>
          <w:tcPr>
            <w:tcW w:w="1013" w:type="dxa"/>
            <w:tcBorders>
              <w:right w:val="nil"/>
            </w:tcBorders>
            <w:shd w:val="clear" w:color="auto" w:fill="CCE2ED"/>
          </w:tcPr>
          <w:p w14:paraId="445945CD" w14:textId="77777777" w:rsidR="00141B97" w:rsidRDefault="00911D63">
            <w:pPr>
              <w:pStyle w:val="TableParagraph"/>
              <w:spacing w:before="110"/>
              <w:ind w:right="86"/>
              <w:jc w:val="right"/>
              <w:rPr>
                <w:sz w:val="18"/>
              </w:rPr>
            </w:pPr>
            <w:r>
              <w:rPr>
                <w:spacing w:val="-4"/>
                <w:sz w:val="18"/>
              </w:rPr>
              <w:t>0.21</w:t>
            </w:r>
          </w:p>
        </w:tc>
      </w:tr>
      <w:tr w:rsidR="00141B97" w14:paraId="4DC34C85" w14:textId="77777777">
        <w:trPr>
          <w:trHeight w:val="220"/>
          <w:tblCellSpacing w:w="9" w:type="dxa"/>
        </w:trPr>
        <w:tc>
          <w:tcPr>
            <w:tcW w:w="5408" w:type="dxa"/>
            <w:tcBorders>
              <w:left w:val="nil"/>
            </w:tcBorders>
            <w:shd w:val="clear" w:color="auto" w:fill="CCE2ED"/>
          </w:tcPr>
          <w:p w14:paraId="7C4840C3" w14:textId="77777777" w:rsidR="00141B97" w:rsidRDefault="00911D63">
            <w:pPr>
              <w:pStyle w:val="TableParagraph"/>
              <w:spacing w:line="199" w:lineRule="exact"/>
              <w:ind w:left="88"/>
              <w:rPr>
                <w:sz w:val="18"/>
              </w:rPr>
            </w:pPr>
            <w:r>
              <w:rPr>
                <w:sz w:val="18"/>
              </w:rPr>
              <w:t>ROB</w:t>
            </w:r>
            <w:r>
              <w:rPr>
                <w:spacing w:val="-4"/>
                <w:sz w:val="18"/>
              </w:rPr>
              <w:t xml:space="preserve"> </w:t>
            </w:r>
            <w:r>
              <w:rPr>
                <w:sz w:val="18"/>
              </w:rPr>
              <w:t>Minor Capital</w:t>
            </w:r>
            <w:r>
              <w:rPr>
                <w:spacing w:val="-1"/>
                <w:sz w:val="18"/>
              </w:rPr>
              <w:t xml:space="preserve"> </w:t>
            </w:r>
            <w:r>
              <w:rPr>
                <w:sz w:val="18"/>
              </w:rPr>
              <w:t xml:space="preserve">‐ </w:t>
            </w:r>
            <w:r>
              <w:rPr>
                <w:spacing w:val="-2"/>
                <w:sz w:val="18"/>
              </w:rPr>
              <w:t>Replacement</w:t>
            </w:r>
          </w:p>
        </w:tc>
        <w:tc>
          <w:tcPr>
            <w:tcW w:w="1393" w:type="dxa"/>
            <w:shd w:val="clear" w:color="auto" w:fill="CCE2ED"/>
          </w:tcPr>
          <w:p w14:paraId="7AE96389"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669C71C8"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1AC5FEF8" w14:textId="77777777" w:rsidR="00141B97" w:rsidRDefault="00911D63">
            <w:pPr>
              <w:pStyle w:val="TableParagraph"/>
              <w:spacing w:line="199" w:lineRule="exact"/>
              <w:ind w:right="96"/>
              <w:jc w:val="right"/>
              <w:rPr>
                <w:sz w:val="18"/>
              </w:rPr>
            </w:pPr>
            <w:r>
              <w:rPr>
                <w:spacing w:val="-4"/>
                <w:sz w:val="18"/>
              </w:rPr>
              <w:t>0.06</w:t>
            </w:r>
          </w:p>
        </w:tc>
        <w:tc>
          <w:tcPr>
            <w:tcW w:w="1198" w:type="dxa"/>
            <w:shd w:val="clear" w:color="auto" w:fill="CCE2ED"/>
          </w:tcPr>
          <w:p w14:paraId="38D3267E" w14:textId="77777777" w:rsidR="00141B97" w:rsidRDefault="00911D63">
            <w:pPr>
              <w:pStyle w:val="TableParagraph"/>
              <w:spacing w:line="199" w:lineRule="exact"/>
              <w:ind w:right="95"/>
              <w:jc w:val="right"/>
              <w:rPr>
                <w:sz w:val="18"/>
              </w:rPr>
            </w:pPr>
            <w:r>
              <w:rPr>
                <w:spacing w:val="-4"/>
                <w:sz w:val="18"/>
              </w:rPr>
              <w:t>0.06</w:t>
            </w:r>
          </w:p>
        </w:tc>
        <w:tc>
          <w:tcPr>
            <w:tcW w:w="1198" w:type="dxa"/>
            <w:shd w:val="clear" w:color="auto" w:fill="CCE2ED"/>
          </w:tcPr>
          <w:p w14:paraId="177884AC" w14:textId="77777777" w:rsidR="00141B97" w:rsidRDefault="00911D63">
            <w:pPr>
              <w:pStyle w:val="TableParagraph"/>
              <w:spacing w:line="199" w:lineRule="exact"/>
              <w:ind w:right="96"/>
              <w:jc w:val="right"/>
              <w:rPr>
                <w:sz w:val="18"/>
              </w:rPr>
            </w:pPr>
            <w:r>
              <w:rPr>
                <w:spacing w:val="-4"/>
                <w:sz w:val="18"/>
              </w:rPr>
              <w:t>0.06</w:t>
            </w:r>
          </w:p>
        </w:tc>
        <w:tc>
          <w:tcPr>
            <w:tcW w:w="1199" w:type="dxa"/>
            <w:shd w:val="clear" w:color="auto" w:fill="CCE2ED"/>
          </w:tcPr>
          <w:p w14:paraId="0586663F" w14:textId="77777777" w:rsidR="00141B97" w:rsidRDefault="00911D63">
            <w:pPr>
              <w:pStyle w:val="TableParagraph"/>
              <w:spacing w:line="199" w:lineRule="exact"/>
              <w:ind w:right="97"/>
              <w:jc w:val="right"/>
              <w:rPr>
                <w:sz w:val="18"/>
              </w:rPr>
            </w:pPr>
            <w:r>
              <w:rPr>
                <w:spacing w:val="-4"/>
                <w:sz w:val="18"/>
              </w:rPr>
              <w:t>0.06</w:t>
            </w:r>
          </w:p>
        </w:tc>
        <w:tc>
          <w:tcPr>
            <w:tcW w:w="1198" w:type="dxa"/>
            <w:shd w:val="clear" w:color="auto" w:fill="CCE2ED"/>
          </w:tcPr>
          <w:p w14:paraId="100D355D" w14:textId="77777777" w:rsidR="00141B97" w:rsidRDefault="00911D63">
            <w:pPr>
              <w:pStyle w:val="TableParagraph"/>
              <w:spacing w:line="199" w:lineRule="exact"/>
              <w:ind w:right="96"/>
              <w:jc w:val="right"/>
              <w:rPr>
                <w:sz w:val="18"/>
              </w:rPr>
            </w:pPr>
            <w:r>
              <w:rPr>
                <w:spacing w:val="-4"/>
                <w:sz w:val="18"/>
              </w:rPr>
              <w:t>0.06</w:t>
            </w:r>
          </w:p>
        </w:tc>
        <w:tc>
          <w:tcPr>
            <w:tcW w:w="1013" w:type="dxa"/>
            <w:tcBorders>
              <w:right w:val="nil"/>
            </w:tcBorders>
            <w:shd w:val="clear" w:color="auto" w:fill="CCE2ED"/>
          </w:tcPr>
          <w:p w14:paraId="65C4E648" w14:textId="77777777" w:rsidR="00141B97" w:rsidRDefault="00911D63">
            <w:pPr>
              <w:pStyle w:val="TableParagraph"/>
              <w:spacing w:line="199" w:lineRule="exact"/>
              <w:ind w:right="86"/>
              <w:jc w:val="right"/>
              <w:rPr>
                <w:sz w:val="18"/>
              </w:rPr>
            </w:pPr>
            <w:r>
              <w:rPr>
                <w:spacing w:val="-4"/>
                <w:sz w:val="18"/>
              </w:rPr>
              <w:t>0.32</w:t>
            </w:r>
          </w:p>
        </w:tc>
      </w:tr>
      <w:tr w:rsidR="00141B97" w14:paraId="3790ED9A" w14:textId="77777777">
        <w:trPr>
          <w:trHeight w:val="314"/>
          <w:tblCellSpacing w:w="9" w:type="dxa"/>
        </w:trPr>
        <w:tc>
          <w:tcPr>
            <w:tcW w:w="5408" w:type="dxa"/>
            <w:tcBorders>
              <w:left w:val="nil"/>
            </w:tcBorders>
            <w:shd w:val="clear" w:color="auto" w:fill="BFBFBF"/>
          </w:tcPr>
          <w:p w14:paraId="585B6787" w14:textId="77777777" w:rsidR="00141B97" w:rsidRDefault="00911D63">
            <w:pPr>
              <w:pStyle w:val="TableParagraph"/>
              <w:spacing w:before="48"/>
              <w:ind w:left="88"/>
              <w:rPr>
                <w:sz w:val="18"/>
              </w:rPr>
            </w:pPr>
            <w:r>
              <w:rPr>
                <w:sz w:val="18"/>
              </w:rPr>
              <w:t>Pumps</w:t>
            </w:r>
            <w:r>
              <w:rPr>
                <w:spacing w:val="-1"/>
                <w:sz w:val="18"/>
              </w:rPr>
              <w:t xml:space="preserve"> </w:t>
            </w:r>
            <w:r>
              <w:rPr>
                <w:sz w:val="18"/>
              </w:rPr>
              <w:t xml:space="preserve">‐ </w:t>
            </w:r>
            <w:r>
              <w:rPr>
                <w:spacing w:val="-2"/>
                <w:sz w:val="18"/>
              </w:rPr>
              <w:t>Irrigation</w:t>
            </w:r>
          </w:p>
        </w:tc>
        <w:tc>
          <w:tcPr>
            <w:tcW w:w="1393" w:type="dxa"/>
            <w:shd w:val="clear" w:color="auto" w:fill="BFBFBF"/>
          </w:tcPr>
          <w:p w14:paraId="459F7E62" w14:textId="77777777" w:rsidR="00141B97" w:rsidRDefault="00141B97">
            <w:pPr>
              <w:pStyle w:val="TableParagraph"/>
              <w:rPr>
                <w:rFonts w:ascii="Times New Roman"/>
                <w:sz w:val="18"/>
              </w:rPr>
            </w:pPr>
          </w:p>
        </w:tc>
        <w:tc>
          <w:tcPr>
            <w:tcW w:w="1860" w:type="dxa"/>
            <w:shd w:val="clear" w:color="auto" w:fill="BFBFBF"/>
          </w:tcPr>
          <w:p w14:paraId="12C0555D" w14:textId="77777777" w:rsidR="00141B97" w:rsidRDefault="00141B97">
            <w:pPr>
              <w:pStyle w:val="TableParagraph"/>
              <w:rPr>
                <w:rFonts w:ascii="Times New Roman"/>
                <w:sz w:val="18"/>
              </w:rPr>
            </w:pPr>
          </w:p>
        </w:tc>
        <w:tc>
          <w:tcPr>
            <w:tcW w:w="1199" w:type="dxa"/>
            <w:shd w:val="clear" w:color="auto" w:fill="BFBFBF"/>
          </w:tcPr>
          <w:p w14:paraId="77978981" w14:textId="77777777" w:rsidR="00141B97" w:rsidRDefault="00141B97">
            <w:pPr>
              <w:pStyle w:val="TableParagraph"/>
              <w:rPr>
                <w:rFonts w:ascii="Times New Roman"/>
                <w:sz w:val="18"/>
              </w:rPr>
            </w:pPr>
          </w:p>
        </w:tc>
        <w:tc>
          <w:tcPr>
            <w:tcW w:w="1198" w:type="dxa"/>
            <w:shd w:val="clear" w:color="auto" w:fill="BFBFBF"/>
          </w:tcPr>
          <w:p w14:paraId="0B8306F6" w14:textId="77777777" w:rsidR="00141B97" w:rsidRDefault="00141B97">
            <w:pPr>
              <w:pStyle w:val="TableParagraph"/>
              <w:rPr>
                <w:rFonts w:ascii="Times New Roman"/>
                <w:sz w:val="18"/>
              </w:rPr>
            </w:pPr>
          </w:p>
        </w:tc>
        <w:tc>
          <w:tcPr>
            <w:tcW w:w="1198" w:type="dxa"/>
            <w:shd w:val="clear" w:color="auto" w:fill="BFBFBF"/>
          </w:tcPr>
          <w:p w14:paraId="3CAED0D4" w14:textId="77777777" w:rsidR="00141B97" w:rsidRDefault="00141B97">
            <w:pPr>
              <w:pStyle w:val="TableParagraph"/>
              <w:rPr>
                <w:rFonts w:ascii="Times New Roman"/>
                <w:sz w:val="18"/>
              </w:rPr>
            </w:pPr>
          </w:p>
        </w:tc>
        <w:tc>
          <w:tcPr>
            <w:tcW w:w="1199" w:type="dxa"/>
            <w:shd w:val="clear" w:color="auto" w:fill="BFBFBF"/>
          </w:tcPr>
          <w:p w14:paraId="198E171B" w14:textId="77777777" w:rsidR="00141B97" w:rsidRDefault="00141B97">
            <w:pPr>
              <w:pStyle w:val="TableParagraph"/>
              <w:rPr>
                <w:rFonts w:ascii="Times New Roman"/>
                <w:sz w:val="18"/>
              </w:rPr>
            </w:pPr>
          </w:p>
        </w:tc>
        <w:tc>
          <w:tcPr>
            <w:tcW w:w="1198" w:type="dxa"/>
            <w:shd w:val="clear" w:color="auto" w:fill="BFBFBF"/>
          </w:tcPr>
          <w:p w14:paraId="7B192239" w14:textId="77777777" w:rsidR="00141B97" w:rsidRDefault="00141B97">
            <w:pPr>
              <w:pStyle w:val="TableParagraph"/>
              <w:rPr>
                <w:rFonts w:ascii="Times New Roman"/>
                <w:sz w:val="18"/>
              </w:rPr>
            </w:pPr>
          </w:p>
        </w:tc>
        <w:tc>
          <w:tcPr>
            <w:tcW w:w="1013" w:type="dxa"/>
            <w:tcBorders>
              <w:right w:val="nil"/>
            </w:tcBorders>
            <w:shd w:val="clear" w:color="auto" w:fill="BFBFBF"/>
          </w:tcPr>
          <w:p w14:paraId="0E42E67C" w14:textId="77777777" w:rsidR="00141B97" w:rsidRDefault="00141B97">
            <w:pPr>
              <w:pStyle w:val="TableParagraph"/>
              <w:rPr>
                <w:rFonts w:ascii="Times New Roman"/>
                <w:sz w:val="18"/>
              </w:rPr>
            </w:pPr>
          </w:p>
        </w:tc>
      </w:tr>
      <w:tr w:rsidR="00141B97" w14:paraId="01AC3C71" w14:textId="77777777">
        <w:trPr>
          <w:trHeight w:val="439"/>
          <w:tblCellSpacing w:w="9" w:type="dxa"/>
        </w:trPr>
        <w:tc>
          <w:tcPr>
            <w:tcW w:w="5408" w:type="dxa"/>
            <w:tcBorders>
              <w:left w:val="nil"/>
            </w:tcBorders>
            <w:shd w:val="clear" w:color="auto" w:fill="CCE2ED"/>
          </w:tcPr>
          <w:p w14:paraId="4DF7FC85" w14:textId="77777777" w:rsidR="00141B97" w:rsidRDefault="00911D63">
            <w:pPr>
              <w:pStyle w:val="TableParagraph"/>
              <w:spacing w:before="110"/>
              <w:ind w:left="88"/>
              <w:rPr>
                <w:sz w:val="18"/>
              </w:rPr>
            </w:pPr>
            <w:r>
              <w:rPr>
                <w:sz w:val="18"/>
              </w:rPr>
              <w:t>MER</w:t>
            </w:r>
            <w:r>
              <w:rPr>
                <w:spacing w:val="-1"/>
                <w:sz w:val="18"/>
              </w:rPr>
              <w:t xml:space="preserve"> </w:t>
            </w:r>
            <w:r>
              <w:rPr>
                <w:sz w:val="18"/>
              </w:rPr>
              <w:t>‐</w:t>
            </w:r>
            <w:r>
              <w:rPr>
                <w:spacing w:val="-1"/>
                <w:sz w:val="18"/>
              </w:rPr>
              <w:t xml:space="preserve"> </w:t>
            </w:r>
            <w:r>
              <w:rPr>
                <w:sz w:val="18"/>
              </w:rPr>
              <w:t>WARGAN</w:t>
            </w:r>
            <w:r>
              <w:rPr>
                <w:spacing w:val="-2"/>
                <w:sz w:val="18"/>
              </w:rPr>
              <w:t xml:space="preserve"> </w:t>
            </w:r>
            <w:r>
              <w:rPr>
                <w:sz w:val="18"/>
              </w:rPr>
              <w:t>RELIFT PUMP</w:t>
            </w:r>
            <w:r>
              <w:rPr>
                <w:spacing w:val="-2"/>
                <w:sz w:val="18"/>
              </w:rPr>
              <w:t xml:space="preserve"> </w:t>
            </w:r>
            <w:r>
              <w:rPr>
                <w:sz w:val="18"/>
              </w:rPr>
              <w:t>STATION</w:t>
            </w:r>
            <w:r>
              <w:rPr>
                <w:spacing w:val="-3"/>
                <w:sz w:val="18"/>
              </w:rPr>
              <w:t xml:space="preserve"> </w:t>
            </w:r>
            <w:r>
              <w:rPr>
                <w:sz w:val="18"/>
              </w:rPr>
              <w:t>‐</w:t>
            </w:r>
            <w:r>
              <w:rPr>
                <w:spacing w:val="-1"/>
                <w:sz w:val="18"/>
              </w:rPr>
              <w:t xml:space="preserve"> </w:t>
            </w:r>
            <w:r>
              <w:rPr>
                <w:sz w:val="18"/>
              </w:rPr>
              <w:t xml:space="preserve">Telemetry </w:t>
            </w:r>
            <w:r>
              <w:rPr>
                <w:spacing w:val="-2"/>
                <w:sz w:val="18"/>
              </w:rPr>
              <w:t>Renewal</w:t>
            </w:r>
          </w:p>
        </w:tc>
        <w:tc>
          <w:tcPr>
            <w:tcW w:w="1393" w:type="dxa"/>
            <w:shd w:val="clear" w:color="auto" w:fill="CCE2ED"/>
          </w:tcPr>
          <w:p w14:paraId="3D9F5069"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23DC9AAC" w14:textId="77777777" w:rsidR="00141B97" w:rsidRDefault="00911D63">
            <w:pPr>
              <w:pStyle w:val="TableParagraph"/>
              <w:ind w:right="94"/>
              <w:jc w:val="right"/>
              <w:rPr>
                <w:sz w:val="18"/>
              </w:rPr>
            </w:pPr>
            <w:r>
              <w:rPr>
                <w:sz w:val="18"/>
              </w:rPr>
              <w:t xml:space="preserve">Improvements </w:t>
            </w:r>
            <w:r>
              <w:rPr>
                <w:spacing w:val="-10"/>
                <w:sz w:val="18"/>
              </w:rPr>
              <w:t>/</w:t>
            </w:r>
          </w:p>
          <w:p w14:paraId="612679BF" w14:textId="77777777" w:rsidR="00141B97" w:rsidRDefault="00911D63">
            <w:pPr>
              <w:pStyle w:val="TableParagraph"/>
              <w:spacing w:before="1" w:line="199" w:lineRule="exact"/>
              <w:ind w:right="95"/>
              <w:jc w:val="right"/>
              <w:rPr>
                <w:sz w:val="18"/>
              </w:rPr>
            </w:pPr>
            <w:r>
              <w:rPr>
                <w:spacing w:val="-2"/>
                <w:sz w:val="18"/>
              </w:rPr>
              <w:t>Compliance</w:t>
            </w:r>
          </w:p>
        </w:tc>
        <w:tc>
          <w:tcPr>
            <w:tcW w:w="1199" w:type="dxa"/>
            <w:shd w:val="clear" w:color="auto" w:fill="CCE2ED"/>
          </w:tcPr>
          <w:p w14:paraId="1C19763F"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17DA0AE8"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22E12CB7"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337D386E" w14:textId="77777777" w:rsidR="00141B97" w:rsidRDefault="00911D63">
            <w:pPr>
              <w:pStyle w:val="TableParagraph"/>
              <w:spacing w:before="110"/>
              <w:ind w:right="97"/>
              <w:jc w:val="right"/>
              <w:rPr>
                <w:sz w:val="18"/>
              </w:rPr>
            </w:pPr>
            <w:r>
              <w:rPr>
                <w:spacing w:val="-4"/>
                <w:sz w:val="18"/>
              </w:rPr>
              <w:t>0.09</w:t>
            </w:r>
          </w:p>
        </w:tc>
        <w:tc>
          <w:tcPr>
            <w:tcW w:w="1198" w:type="dxa"/>
            <w:shd w:val="clear" w:color="auto" w:fill="CCE2ED"/>
          </w:tcPr>
          <w:p w14:paraId="65EAA688"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76038FB0" w14:textId="77777777" w:rsidR="00141B97" w:rsidRDefault="00911D63">
            <w:pPr>
              <w:pStyle w:val="TableParagraph"/>
              <w:spacing w:before="110"/>
              <w:ind w:right="86"/>
              <w:jc w:val="right"/>
              <w:rPr>
                <w:sz w:val="18"/>
              </w:rPr>
            </w:pPr>
            <w:r>
              <w:rPr>
                <w:spacing w:val="-4"/>
                <w:sz w:val="18"/>
              </w:rPr>
              <w:t>0.09</w:t>
            </w:r>
          </w:p>
        </w:tc>
      </w:tr>
      <w:tr w:rsidR="00141B97" w14:paraId="5A150F6E" w14:textId="77777777">
        <w:trPr>
          <w:trHeight w:val="218"/>
          <w:tblCellSpacing w:w="9" w:type="dxa"/>
        </w:trPr>
        <w:tc>
          <w:tcPr>
            <w:tcW w:w="5408" w:type="dxa"/>
            <w:tcBorders>
              <w:left w:val="nil"/>
            </w:tcBorders>
            <w:shd w:val="clear" w:color="auto" w:fill="CCE2ED"/>
          </w:tcPr>
          <w:p w14:paraId="479764F0" w14:textId="77777777" w:rsidR="00141B97" w:rsidRDefault="00911D63">
            <w:pPr>
              <w:pStyle w:val="TableParagraph"/>
              <w:spacing w:line="199" w:lineRule="exact"/>
              <w:ind w:left="88"/>
              <w:rPr>
                <w:sz w:val="18"/>
              </w:rPr>
            </w:pPr>
            <w:r>
              <w:rPr>
                <w:sz w:val="18"/>
              </w:rPr>
              <w:t>MER</w:t>
            </w:r>
            <w:r>
              <w:rPr>
                <w:spacing w:val="-1"/>
                <w:sz w:val="18"/>
              </w:rPr>
              <w:t xml:space="preserve"> </w:t>
            </w:r>
            <w:r>
              <w:rPr>
                <w:sz w:val="18"/>
              </w:rPr>
              <w:t>‐ Main</w:t>
            </w:r>
            <w:r>
              <w:rPr>
                <w:spacing w:val="-1"/>
                <w:sz w:val="18"/>
              </w:rPr>
              <w:t xml:space="preserve"> </w:t>
            </w:r>
            <w:r>
              <w:rPr>
                <w:sz w:val="18"/>
              </w:rPr>
              <w:t>PS (M1</w:t>
            </w:r>
            <w:r>
              <w:rPr>
                <w:spacing w:val="-1"/>
                <w:sz w:val="18"/>
              </w:rPr>
              <w:t xml:space="preserve"> </w:t>
            </w:r>
            <w:r>
              <w:rPr>
                <w:sz w:val="18"/>
              </w:rPr>
              <w:t>‐ M4)</w:t>
            </w:r>
            <w:r>
              <w:rPr>
                <w:spacing w:val="-1"/>
                <w:sz w:val="18"/>
              </w:rPr>
              <w:t xml:space="preserve"> </w:t>
            </w:r>
            <w:r>
              <w:rPr>
                <w:sz w:val="18"/>
              </w:rPr>
              <w:t xml:space="preserve">VSD </w:t>
            </w:r>
            <w:r>
              <w:rPr>
                <w:spacing w:val="-2"/>
                <w:sz w:val="18"/>
              </w:rPr>
              <w:t>Refurb</w:t>
            </w:r>
          </w:p>
        </w:tc>
        <w:tc>
          <w:tcPr>
            <w:tcW w:w="1393" w:type="dxa"/>
            <w:shd w:val="clear" w:color="auto" w:fill="CCE2ED"/>
          </w:tcPr>
          <w:p w14:paraId="16081346"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4ED824DE"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550B3A94" w14:textId="77777777" w:rsidR="00141B97" w:rsidRDefault="00911D63">
            <w:pPr>
              <w:pStyle w:val="TableParagraph"/>
              <w:spacing w:line="199" w:lineRule="exact"/>
              <w:ind w:right="96"/>
              <w:jc w:val="right"/>
              <w:rPr>
                <w:sz w:val="18"/>
              </w:rPr>
            </w:pPr>
            <w:r>
              <w:rPr>
                <w:spacing w:val="-4"/>
                <w:sz w:val="18"/>
              </w:rPr>
              <w:t>0.00</w:t>
            </w:r>
          </w:p>
        </w:tc>
        <w:tc>
          <w:tcPr>
            <w:tcW w:w="1198" w:type="dxa"/>
            <w:shd w:val="clear" w:color="auto" w:fill="CCE2ED"/>
          </w:tcPr>
          <w:p w14:paraId="2AD3291E" w14:textId="77777777" w:rsidR="00141B97" w:rsidRDefault="00911D63">
            <w:pPr>
              <w:pStyle w:val="TableParagraph"/>
              <w:spacing w:line="199" w:lineRule="exact"/>
              <w:ind w:right="95"/>
              <w:jc w:val="right"/>
              <w:rPr>
                <w:sz w:val="18"/>
              </w:rPr>
            </w:pPr>
            <w:r>
              <w:rPr>
                <w:spacing w:val="-4"/>
                <w:sz w:val="18"/>
              </w:rPr>
              <w:t>0.36</w:t>
            </w:r>
          </w:p>
        </w:tc>
        <w:tc>
          <w:tcPr>
            <w:tcW w:w="1198" w:type="dxa"/>
            <w:shd w:val="clear" w:color="auto" w:fill="CCE2ED"/>
          </w:tcPr>
          <w:p w14:paraId="01DD2637" w14:textId="77777777" w:rsidR="00141B97" w:rsidRDefault="00911D63">
            <w:pPr>
              <w:pStyle w:val="TableParagraph"/>
              <w:spacing w:line="199" w:lineRule="exact"/>
              <w:ind w:right="96"/>
              <w:jc w:val="right"/>
              <w:rPr>
                <w:sz w:val="18"/>
              </w:rPr>
            </w:pPr>
            <w:r>
              <w:rPr>
                <w:spacing w:val="-4"/>
                <w:sz w:val="18"/>
              </w:rPr>
              <w:t>0.36</w:t>
            </w:r>
          </w:p>
        </w:tc>
        <w:tc>
          <w:tcPr>
            <w:tcW w:w="1199" w:type="dxa"/>
            <w:shd w:val="clear" w:color="auto" w:fill="CCE2ED"/>
          </w:tcPr>
          <w:p w14:paraId="1C0FB5F1" w14:textId="77777777" w:rsidR="00141B97" w:rsidRDefault="00911D63">
            <w:pPr>
              <w:pStyle w:val="TableParagraph"/>
              <w:spacing w:line="199" w:lineRule="exact"/>
              <w:ind w:right="97"/>
              <w:jc w:val="right"/>
              <w:rPr>
                <w:sz w:val="18"/>
              </w:rPr>
            </w:pPr>
            <w:r>
              <w:rPr>
                <w:spacing w:val="-4"/>
                <w:sz w:val="18"/>
              </w:rPr>
              <w:t>0.00</w:t>
            </w:r>
          </w:p>
        </w:tc>
        <w:tc>
          <w:tcPr>
            <w:tcW w:w="1198" w:type="dxa"/>
            <w:shd w:val="clear" w:color="auto" w:fill="CCE2ED"/>
          </w:tcPr>
          <w:p w14:paraId="21C3AD9B" w14:textId="77777777" w:rsidR="00141B97" w:rsidRDefault="00911D63">
            <w:pPr>
              <w:pStyle w:val="TableParagraph"/>
              <w:spacing w:line="199" w:lineRule="exact"/>
              <w:ind w:right="96"/>
              <w:jc w:val="right"/>
              <w:rPr>
                <w:sz w:val="18"/>
              </w:rPr>
            </w:pPr>
            <w:r>
              <w:rPr>
                <w:spacing w:val="-4"/>
                <w:sz w:val="18"/>
              </w:rPr>
              <w:t>0.00</w:t>
            </w:r>
          </w:p>
        </w:tc>
        <w:tc>
          <w:tcPr>
            <w:tcW w:w="1013" w:type="dxa"/>
            <w:tcBorders>
              <w:right w:val="nil"/>
            </w:tcBorders>
            <w:shd w:val="clear" w:color="auto" w:fill="CCE2ED"/>
          </w:tcPr>
          <w:p w14:paraId="6AE7CFA0" w14:textId="77777777" w:rsidR="00141B97" w:rsidRDefault="00911D63">
            <w:pPr>
              <w:pStyle w:val="TableParagraph"/>
              <w:spacing w:line="199" w:lineRule="exact"/>
              <w:ind w:right="86"/>
              <w:jc w:val="right"/>
              <w:rPr>
                <w:sz w:val="18"/>
              </w:rPr>
            </w:pPr>
            <w:r>
              <w:rPr>
                <w:spacing w:val="-4"/>
                <w:sz w:val="18"/>
              </w:rPr>
              <w:t>0.72</w:t>
            </w:r>
          </w:p>
        </w:tc>
      </w:tr>
      <w:tr w:rsidR="00141B97" w14:paraId="106E5E3A" w14:textId="77777777">
        <w:trPr>
          <w:trHeight w:val="439"/>
          <w:tblCellSpacing w:w="9" w:type="dxa"/>
        </w:trPr>
        <w:tc>
          <w:tcPr>
            <w:tcW w:w="5408" w:type="dxa"/>
            <w:tcBorders>
              <w:left w:val="nil"/>
            </w:tcBorders>
            <w:shd w:val="clear" w:color="auto" w:fill="CCE2ED"/>
          </w:tcPr>
          <w:p w14:paraId="74FDD4C9" w14:textId="77777777" w:rsidR="00141B97" w:rsidRDefault="00911D63">
            <w:pPr>
              <w:pStyle w:val="TableParagraph"/>
              <w:spacing w:before="1"/>
              <w:ind w:left="88"/>
              <w:rPr>
                <w:sz w:val="18"/>
              </w:rPr>
            </w:pPr>
            <w:r>
              <w:rPr>
                <w:sz w:val="18"/>
              </w:rPr>
              <w:t>MDA</w:t>
            </w:r>
            <w:r>
              <w:rPr>
                <w:spacing w:val="-1"/>
                <w:sz w:val="18"/>
              </w:rPr>
              <w:t xml:space="preserve"> </w:t>
            </w:r>
            <w:r>
              <w:rPr>
                <w:sz w:val="18"/>
              </w:rPr>
              <w:t>‐ MILDURA</w:t>
            </w:r>
            <w:r>
              <w:rPr>
                <w:spacing w:val="-2"/>
                <w:sz w:val="18"/>
              </w:rPr>
              <w:t xml:space="preserve"> </w:t>
            </w:r>
            <w:r>
              <w:rPr>
                <w:sz w:val="18"/>
              </w:rPr>
              <w:t>17TH ST</w:t>
            </w:r>
            <w:r>
              <w:rPr>
                <w:spacing w:val="-2"/>
                <w:sz w:val="18"/>
              </w:rPr>
              <w:t xml:space="preserve"> </w:t>
            </w:r>
            <w:r>
              <w:rPr>
                <w:sz w:val="18"/>
              </w:rPr>
              <w:t>HIGH PRESSURE</w:t>
            </w:r>
            <w:r>
              <w:rPr>
                <w:spacing w:val="-2"/>
                <w:sz w:val="18"/>
              </w:rPr>
              <w:t xml:space="preserve"> </w:t>
            </w:r>
            <w:r>
              <w:rPr>
                <w:sz w:val="18"/>
              </w:rPr>
              <w:t>PUMP STATION</w:t>
            </w:r>
            <w:r>
              <w:rPr>
                <w:spacing w:val="-1"/>
                <w:sz w:val="18"/>
              </w:rPr>
              <w:t xml:space="preserve"> </w:t>
            </w:r>
            <w:r>
              <w:rPr>
                <w:sz w:val="18"/>
              </w:rPr>
              <w:t xml:space="preserve">‐ </w:t>
            </w:r>
            <w:r>
              <w:rPr>
                <w:spacing w:val="-2"/>
                <w:sz w:val="18"/>
              </w:rPr>
              <w:t>Control</w:t>
            </w:r>
          </w:p>
          <w:p w14:paraId="48D91D74" w14:textId="77777777" w:rsidR="00141B97" w:rsidRDefault="00911D63">
            <w:pPr>
              <w:pStyle w:val="TableParagraph"/>
              <w:spacing w:line="199" w:lineRule="exact"/>
              <w:ind w:left="88"/>
              <w:rPr>
                <w:sz w:val="18"/>
              </w:rPr>
            </w:pPr>
            <w:r>
              <w:rPr>
                <w:sz w:val="18"/>
              </w:rPr>
              <w:t>Systems</w:t>
            </w:r>
            <w:r>
              <w:rPr>
                <w:spacing w:val="-1"/>
                <w:sz w:val="18"/>
              </w:rPr>
              <w:t xml:space="preserve"> </w:t>
            </w:r>
            <w:r>
              <w:rPr>
                <w:spacing w:val="-2"/>
                <w:sz w:val="18"/>
              </w:rPr>
              <w:t>Renewal</w:t>
            </w:r>
          </w:p>
        </w:tc>
        <w:tc>
          <w:tcPr>
            <w:tcW w:w="1393" w:type="dxa"/>
            <w:shd w:val="clear" w:color="auto" w:fill="CCE2ED"/>
          </w:tcPr>
          <w:p w14:paraId="4C4BBD7D" w14:textId="77777777" w:rsidR="00141B97" w:rsidRDefault="00911D63">
            <w:pPr>
              <w:pStyle w:val="TableParagraph"/>
              <w:spacing w:before="111"/>
              <w:ind w:right="95"/>
              <w:jc w:val="right"/>
              <w:rPr>
                <w:sz w:val="18"/>
              </w:rPr>
            </w:pPr>
            <w:r>
              <w:rPr>
                <w:spacing w:val="-2"/>
                <w:sz w:val="18"/>
              </w:rPr>
              <w:t>Irrigation</w:t>
            </w:r>
          </w:p>
        </w:tc>
        <w:tc>
          <w:tcPr>
            <w:tcW w:w="1860" w:type="dxa"/>
            <w:shd w:val="clear" w:color="auto" w:fill="CCE2ED"/>
          </w:tcPr>
          <w:p w14:paraId="10B12FCB" w14:textId="77777777" w:rsidR="00141B97" w:rsidRDefault="00911D63">
            <w:pPr>
              <w:pStyle w:val="TableParagraph"/>
              <w:spacing w:before="111"/>
              <w:ind w:right="95"/>
              <w:jc w:val="right"/>
              <w:rPr>
                <w:sz w:val="18"/>
              </w:rPr>
            </w:pPr>
            <w:r>
              <w:rPr>
                <w:spacing w:val="-2"/>
                <w:sz w:val="18"/>
              </w:rPr>
              <w:t>Renewals</w:t>
            </w:r>
          </w:p>
        </w:tc>
        <w:tc>
          <w:tcPr>
            <w:tcW w:w="1199" w:type="dxa"/>
            <w:shd w:val="clear" w:color="auto" w:fill="CCE2ED"/>
          </w:tcPr>
          <w:p w14:paraId="788327E1" w14:textId="77777777" w:rsidR="00141B97" w:rsidRDefault="00911D63">
            <w:pPr>
              <w:pStyle w:val="TableParagraph"/>
              <w:spacing w:before="111"/>
              <w:ind w:right="96"/>
              <w:jc w:val="right"/>
              <w:rPr>
                <w:sz w:val="18"/>
              </w:rPr>
            </w:pPr>
            <w:r>
              <w:rPr>
                <w:spacing w:val="-4"/>
                <w:sz w:val="18"/>
              </w:rPr>
              <w:t>0.10</w:t>
            </w:r>
          </w:p>
        </w:tc>
        <w:tc>
          <w:tcPr>
            <w:tcW w:w="1198" w:type="dxa"/>
            <w:shd w:val="clear" w:color="auto" w:fill="CCE2ED"/>
          </w:tcPr>
          <w:p w14:paraId="5A9DD839" w14:textId="77777777" w:rsidR="00141B97" w:rsidRDefault="00911D63">
            <w:pPr>
              <w:pStyle w:val="TableParagraph"/>
              <w:spacing w:before="111"/>
              <w:ind w:right="95"/>
              <w:jc w:val="right"/>
              <w:rPr>
                <w:sz w:val="18"/>
              </w:rPr>
            </w:pPr>
            <w:r>
              <w:rPr>
                <w:spacing w:val="-4"/>
                <w:sz w:val="18"/>
              </w:rPr>
              <w:t>0.22</w:t>
            </w:r>
          </w:p>
        </w:tc>
        <w:tc>
          <w:tcPr>
            <w:tcW w:w="1198" w:type="dxa"/>
            <w:shd w:val="clear" w:color="auto" w:fill="CCE2ED"/>
          </w:tcPr>
          <w:p w14:paraId="747CFBB7" w14:textId="77777777" w:rsidR="00141B97" w:rsidRDefault="00911D63">
            <w:pPr>
              <w:pStyle w:val="TableParagraph"/>
              <w:spacing w:before="111"/>
              <w:ind w:right="96"/>
              <w:jc w:val="right"/>
              <w:rPr>
                <w:sz w:val="18"/>
              </w:rPr>
            </w:pPr>
            <w:r>
              <w:rPr>
                <w:spacing w:val="-4"/>
                <w:sz w:val="18"/>
              </w:rPr>
              <w:t>0.00</w:t>
            </w:r>
          </w:p>
        </w:tc>
        <w:tc>
          <w:tcPr>
            <w:tcW w:w="1199" w:type="dxa"/>
            <w:shd w:val="clear" w:color="auto" w:fill="CCE2ED"/>
          </w:tcPr>
          <w:p w14:paraId="79D182BA" w14:textId="77777777" w:rsidR="00141B97" w:rsidRDefault="00911D63">
            <w:pPr>
              <w:pStyle w:val="TableParagraph"/>
              <w:spacing w:before="111"/>
              <w:ind w:right="97"/>
              <w:jc w:val="right"/>
              <w:rPr>
                <w:sz w:val="18"/>
              </w:rPr>
            </w:pPr>
            <w:r>
              <w:rPr>
                <w:spacing w:val="-4"/>
                <w:sz w:val="18"/>
              </w:rPr>
              <w:t>0.00</w:t>
            </w:r>
          </w:p>
        </w:tc>
        <w:tc>
          <w:tcPr>
            <w:tcW w:w="1198" w:type="dxa"/>
            <w:shd w:val="clear" w:color="auto" w:fill="CCE2ED"/>
          </w:tcPr>
          <w:p w14:paraId="75912575" w14:textId="77777777" w:rsidR="00141B97" w:rsidRDefault="00911D63">
            <w:pPr>
              <w:pStyle w:val="TableParagraph"/>
              <w:spacing w:before="111"/>
              <w:ind w:right="96"/>
              <w:jc w:val="right"/>
              <w:rPr>
                <w:sz w:val="18"/>
              </w:rPr>
            </w:pPr>
            <w:r>
              <w:rPr>
                <w:spacing w:val="-4"/>
                <w:sz w:val="18"/>
              </w:rPr>
              <w:t>0.00</w:t>
            </w:r>
          </w:p>
        </w:tc>
        <w:tc>
          <w:tcPr>
            <w:tcW w:w="1013" w:type="dxa"/>
            <w:tcBorders>
              <w:right w:val="nil"/>
            </w:tcBorders>
            <w:shd w:val="clear" w:color="auto" w:fill="CCE2ED"/>
          </w:tcPr>
          <w:p w14:paraId="5C56FE80" w14:textId="77777777" w:rsidR="00141B97" w:rsidRDefault="00911D63">
            <w:pPr>
              <w:pStyle w:val="TableParagraph"/>
              <w:spacing w:before="111"/>
              <w:ind w:right="86"/>
              <w:jc w:val="right"/>
              <w:rPr>
                <w:sz w:val="18"/>
              </w:rPr>
            </w:pPr>
            <w:r>
              <w:rPr>
                <w:spacing w:val="-4"/>
                <w:sz w:val="18"/>
              </w:rPr>
              <w:t>0.32</w:t>
            </w:r>
          </w:p>
        </w:tc>
      </w:tr>
      <w:tr w:rsidR="00141B97" w14:paraId="447B63BF" w14:textId="77777777">
        <w:trPr>
          <w:trHeight w:val="440"/>
          <w:tblCellSpacing w:w="9" w:type="dxa"/>
        </w:trPr>
        <w:tc>
          <w:tcPr>
            <w:tcW w:w="5408" w:type="dxa"/>
            <w:tcBorders>
              <w:left w:val="nil"/>
              <w:bottom w:val="nil"/>
            </w:tcBorders>
            <w:shd w:val="clear" w:color="auto" w:fill="CCE2ED"/>
          </w:tcPr>
          <w:p w14:paraId="752195DB" w14:textId="77777777" w:rsidR="00141B97" w:rsidRDefault="00911D63">
            <w:pPr>
              <w:pStyle w:val="TableParagraph"/>
              <w:spacing w:line="220" w:lineRule="atLeast"/>
              <w:ind w:left="88" w:right="194"/>
              <w:rPr>
                <w:sz w:val="18"/>
              </w:rPr>
            </w:pPr>
            <w:r>
              <w:rPr>
                <w:sz w:val="18"/>
              </w:rPr>
              <w:t>MDA</w:t>
            </w:r>
            <w:r>
              <w:rPr>
                <w:spacing w:val="-2"/>
                <w:sz w:val="18"/>
              </w:rPr>
              <w:t xml:space="preserve"> </w:t>
            </w:r>
            <w:r>
              <w:rPr>
                <w:sz w:val="18"/>
              </w:rPr>
              <w:t>‐</w:t>
            </w:r>
            <w:r>
              <w:rPr>
                <w:spacing w:val="-2"/>
                <w:sz w:val="18"/>
              </w:rPr>
              <w:t xml:space="preserve"> </w:t>
            </w:r>
            <w:r>
              <w:rPr>
                <w:sz w:val="18"/>
              </w:rPr>
              <w:t>BENETOOK</w:t>
            </w:r>
            <w:r>
              <w:rPr>
                <w:spacing w:val="-2"/>
                <w:sz w:val="18"/>
              </w:rPr>
              <w:t xml:space="preserve"> </w:t>
            </w:r>
            <w:r>
              <w:rPr>
                <w:sz w:val="18"/>
              </w:rPr>
              <w:t>PRESSURE</w:t>
            </w:r>
            <w:r>
              <w:rPr>
                <w:spacing w:val="-3"/>
                <w:sz w:val="18"/>
              </w:rPr>
              <w:t xml:space="preserve"> </w:t>
            </w:r>
            <w:r>
              <w:rPr>
                <w:sz w:val="18"/>
              </w:rPr>
              <w:t>PUMP</w:t>
            </w:r>
            <w:r>
              <w:rPr>
                <w:spacing w:val="-3"/>
                <w:sz w:val="18"/>
              </w:rPr>
              <w:t xml:space="preserve"> </w:t>
            </w:r>
            <w:r>
              <w:rPr>
                <w:sz w:val="18"/>
              </w:rPr>
              <w:t>STATION</w:t>
            </w:r>
            <w:r>
              <w:rPr>
                <w:spacing w:val="-2"/>
                <w:sz w:val="18"/>
              </w:rPr>
              <w:t xml:space="preserve"> </w:t>
            </w:r>
            <w:r>
              <w:rPr>
                <w:sz w:val="18"/>
              </w:rPr>
              <w:t>‐</w:t>
            </w:r>
            <w:r>
              <w:rPr>
                <w:spacing w:val="-3"/>
                <w:sz w:val="18"/>
              </w:rPr>
              <w:t xml:space="preserve"> </w:t>
            </w:r>
            <w:r>
              <w:rPr>
                <w:sz w:val="18"/>
              </w:rPr>
              <w:t>Radio</w:t>
            </w:r>
            <w:r>
              <w:rPr>
                <w:spacing w:val="-3"/>
                <w:sz w:val="18"/>
              </w:rPr>
              <w:t xml:space="preserve"> </w:t>
            </w:r>
            <w:r>
              <w:rPr>
                <w:sz w:val="18"/>
              </w:rPr>
              <w:t xml:space="preserve">Telemetry </w:t>
            </w:r>
            <w:r>
              <w:rPr>
                <w:spacing w:val="-2"/>
                <w:sz w:val="18"/>
              </w:rPr>
              <w:t>Renewal</w:t>
            </w:r>
          </w:p>
        </w:tc>
        <w:tc>
          <w:tcPr>
            <w:tcW w:w="1393" w:type="dxa"/>
            <w:tcBorders>
              <w:bottom w:val="nil"/>
            </w:tcBorders>
            <w:shd w:val="clear" w:color="auto" w:fill="CCE2ED"/>
          </w:tcPr>
          <w:p w14:paraId="247EFB01" w14:textId="77777777" w:rsidR="00141B97" w:rsidRDefault="00911D63">
            <w:pPr>
              <w:pStyle w:val="TableParagraph"/>
              <w:spacing w:before="111"/>
              <w:ind w:right="95"/>
              <w:jc w:val="right"/>
              <w:rPr>
                <w:sz w:val="18"/>
              </w:rPr>
            </w:pPr>
            <w:r>
              <w:rPr>
                <w:spacing w:val="-2"/>
                <w:sz w:val="18"/>
              </w:rPr>
              <w:t>Irrigation</w:t>
            </w:r>
          </w:p>
        </w:tc>
        <w:tc>
          <w:tcPr>
            <w:tcW w:w="1860" w:type="dxa"/>
            <w:tcBorders>
              <w:bottom w:val="nil"/>
            </w:tcBorders>
            <w:shd w:val="clear" w:color="auto" w:fill="CCE2ED"/>
          </w:tcPr>
          <w:p w14:paraId="3670265D" w14:textId="77777777" w:rsidR="00141B97" w:rsidRDefault="00911D63">
            <w:pPr>
              <w:pStyle w:val="TableParagraph"/>
              <w:spacing w:before="111"/>
              <w:ind w:right="95"/>
              <w:jc w:val="right"/>
              <w:rPr>
                <w:sz w:val="18"/>
              </w:rPr>
            </w:pPr>
            <w:r>
              <w:rPr>
                <w:spacing w:val="-2"/>
                <w:sz w:val="18"/>
              </w:rPr>
              <w:t>Renewals</w:t>
            </w:r>
          </w:p>
        </w:tc>
        <w:tc>
          <w:tcPr>
            <w:tcW w:w="1199" w:type="dxa"/>
            <w:tcBorders>
              <w:bottom w:val="nil"/>
            </w:tcBorders>
            <w:shd w:val="clear" w:color="auto" w:fill="CCE2ED"/>
          </w:tcPr>
          <w:p w14:paraId="077C7ED4" w14:textId="77777777" w:rsidR="00141B97" w:rsidRDefault="00911D63">
            <w:pPr>
              <w:pStyle w:val="TableParagraph"/>
              <w:spacing w:before="111"/>
              <w:ind w:right="96"/>
              <w:jc w:val="right"/>
              <w:rPr>
                <w:sz w:val="18"/>
              </w:rPr>
            </w:pPr>
            <w:r>
              <w:rPr>
                <w:spacing w:val="-4"/>
                <w:sz w:val="18"/>
              </w:rPr>
              <w:t>0.00</w:t>
            </w:r>
          </w:p>
        </w:tc>
        <w:tc>
          <w:tcPr>
            <w:tcW w:w="1198" w:type="dxa"/>
            <w:tcBorders>
              <w:bottom w:val="nil"/>
            </w:tcBorders>
            <w:shd w:val="clear" w:color="auto" w:fill="CCE2ED"/>
          </w:tcPr>
          <w:p w14:paraId="4E1A319A" w14:textId="77777777" w:rsidR="00141B97" w:rsidRDefault="00911D63">
            <w:pPr>
              <w:pStyle w:val="TableParagraph"/>
              <w:spacing w:before="111"/>
              <w:ind w:right="95"/>
              <w:jc w:val="right"/>
              <w:rPr>
                <w:sz w:val="18"/>
              </w:rPr>
            </w:pPr>
            <w:r>
              <w:rPr>
                <w:spacing w:val="-4"/>
                <w:sz w:val="18"/>
              </w:rPr>
              <w:t>0.00</w:t>
            </w:r>
          </w:p>
        </w:tc>
        <w:tc>
          <w:tcPr>
            <w:tcW w:w="1198" w:type="dxa"/>
            <w:tcBorders>
              <w:bottom w:val="nil"/>
            </w:tcBorders>
            <w:shd w:val="clear" w:color="auto" w:fill="CCE2ED"/>
          </w:tcPr>
          <w:p w14:paraId="5DEDCFB0" w14:textId="77777777" w:rsidR="00141B97" w:rsidRDefault="00911D63">
            <w:pPr>
              <w:pStyle w:val="TableParagraph"/>
              <w:spacing w:before="111"/>
              <w:ind w:right="96"/>
              <w:jc w:val="right"/>
              <w:rPr>
                <w:sz w:val="18"/>
              </w:rPr>
            </w:pPr>
            <w:r>
              <w:rPr>
                <w:spacing w:val="-4"/>
                <w:sz w:val="18"/>
              </w:rPr>
              <w:t>0.06</w:t>
            </w:r>
          </w:p>
        </w:tc>
        <w:tc>
          <w:tcPr>
            <w:tcW w:w="1199" w:type="dxa"/>
            <w:tcBorders>
              <w:bottom w:val="nil"/>
            </w:tcBorders>
            <w:shd w:val="clear" w:color="auto" w:fill="CCE2ED"/>
          </w:tcPr>
          <w:p w14:paraId="07457E9D" w14:textId="77777777" w:rsidR="00141B97" w:rsidRDefault="00911D63">
            <w:pPr>
              <w:pStyle w:val="TableParagraph"/>
              <w:spacing w:before="111"/>
              <w:ind w:right="97"/>
              <w:jc w:val="right"/>
              <w:rPr>
                <w:sz w:val="18"/>
              </w:rPr>
            </w:pPr>
            <w:r>
              <w:rPr>
                <w:spacing w:val="-4"/>
                <w:sz w:val="18"/>
              </w:rPr>
              <w:t>0.00</w:t>
            </w:r>
          </w:p>
        </w:tc>
        <w:tc>
          <w:tcPr>
            <w:tcW w:w="1198" w:type="dxa"/>
            <w:tcBorders>
              <w:bottom w:val="nil"/>
            </w:tcBorders>
            <w:shd w:val="clear" w:color="auto" w:fill="CCE2ED"/>
          </w:tcPr>
          <w:p w14:paraId="10170130" w14:textId="77777777" w:rsidR="00141B97" w:rsidRDefault="00911D63">
            <w:pPr>
              <w:pStyle w:val="TableParagraph"/>
              <w:spacing w:before="111"/>
              <w:ind w:right="96"/>
              <w:jc w:val="right"/>
              <w:rPr>
                <w:sz w:val="18"/>
              </w:rPr>
            </w:pPr>
            <w:r>
              <w:rPr>
                <w:spacing w:val="-4"/>
                <w:sz w:val="18"/>
              </w:rPr>
              <w:t>0.00</w:t>
            </w:r>
          </w:p>
        </w:tc>
        <w:tc>
          <w:tcPr>
            <w:tcW w:w="1013" w:type="dxa"/>
            <w:tcBorders>
              <w:bottom w:val="nil"/>
              <w:right w:val="nil"/>
            </w:tcBorders>
            <w:shd w:val="clear" w:color="auto" w:fill="CCE2ED"/>
          </w:tcPr>
          <w:p w14:paraId="5D955219" w14:textId="77777777" w:rsidR="00141B97" w:rsidRDefault="00911D63">
            <w:pPr>
              <w:pStyle w:val="TableParagraph"/>
              <w:spacing w:before="111"/>
              <w:ind w:right="86"/>
              <w:jc w:val="right"/>
              <w:rPr>
                <w:sz w:val="18"/>
              </w:rPr>
            </w:pPr>
            <w:r>
              <w:rPr>
                <w:spacing w:val="-4"/>
                <w:sz w:val="18"/>
              </w:rPr>
              <w:t>0.06</w:t>
            </w:r>
          </w:p>
        </w:tc>
      </w:tr>
    </w:tbl>
    <w:p w14:paraId="4CAE67FC" w14:textId="77777777" w:rsidR="00141B97" w:rsidRDefault="00141B97">
      <w:pPr>
        <w:jc w:val="right"/>
        <w:rPr>
          <w:sz w:val="18"/>
        </w:rPr>
        <w:sectPr w:rsidR="00141B97">
          <w:pgSz w:w="16840" w:h="11910" w:orient="landscape"/>
          <w:pgMar w:top="820" w:right="600" w:bottom="540" w:left="300" w:header="0" w:footer="345" w:gutter="0"/>
          <w:cols w:space="720"/>
        </w:sectPr>
      </w:pPr>
    </w:p>
    <w:p w14:paraId="59D800F7" w14:textId="77777777" w:rsidR="00141B97" w:rsidRDefault="00141B97">
      <w:pPr>
        <w:pStyle w:val="BodyText"/>
        <w:spacing w:before="1"/>
        <w:rPr>
          <w:sz w:val="2"/>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435"/>
        <w:gridCol w:w="1411"/>
        <w:gridCol w:w="1878"/>
        <w:gridCol w:w="1217"/>
        <w:gridCol w:w="1216"/>
        <w:gridCol w:w="1216"/>
        <w:gridCol w:w="1217"/>
        <w:gridCol w:w="1216"/>
        <w:gridCol w:w="1040"/>
      </w:tblGrid>
      <w:tr w:rsidR="00141B97" w14:paraId="5D2148D5" w14:textId="77777777">
        <w:trPr>
          <w:trHeight w:val="408"/>
          <w:tblCellSpacing w:w="9" w:type="dxa"/>
        </w:trPr>
        <w:tc>
          <w:tcPr>
            <w:tcW w:w="5408" w:type="dxa"/>
            <w:tcBorders>
              <w:top w:val="nil"/>
              <w:left w:val="nil"/>
            </w:tcBorders>
            <w:shd w:val="clear" w:color="auto" w:fill="006CA3"/>
          </w:tcPr>
          <w:p w14:paraId="4EA9FC70" w14:textId="77777777" w:rsidR="00141B97" w:rsidRDefault="00911D63">
            <w:pPr>
              <w:pStyle w:val="TableParagraph"/>
              <w:spacing w:before="95"/>
              <w:ind w:left="88"/>
              <w:rPr>
                <w:sz w:val="18"/>
              </w:rPr>
            </w:pPr>
            <w:r>
              <w:rPr>
                <w:color w:val="FFFFFF"/>
                <w:sz w:val="18"/>
              </w:rPr>
              <w:t>Project/program</w:t>
            </w:r>
            <w:r>
              <w:rPr>
                <w:color w:val="FFFFFF"/>
                <w:spacing w:val="-3"/>
                <w:sz w:val="18"/>
              </w:rPr>
              <w:t xml:space="preserve"> </w:t>
            </w:r>
            <w:r>
              <w:rPr>
                <w:color w:val="FFFFFF"/>
                <w:spacing w:val="-4"/>
                <w:sz w:val="18"/>
              </w:rPr>
              <w:t>Name</w:t>
            </w:r>
          </w:p>
        </w:tc>
        <w:tc>
          <w:tcPr>
            <w:tcW w:w="1393" w:type="dxa"/>
            <w:tcBorders>
              <w:top w:val="nil"/>
            </w:tcBorders>
            <w:shd w:val="clear" w:color="auto" w:fill="006CA3"/>
          </w:tcPr>
          <w:p w14:paraId="6A46466D" w14:textId="77777777" w:rsidR="00141B97" w:rsidRDefault="00911D63">
            <w:pPr>
              <w:pStyle w:val="TableParagraph"/>
              <w:spacing w:before="95"/>
              <w:ind w:right="94"/>
              <w:jc w:val="right"/>
              <w:rPr>
                <w:sz w:val="18"/>
              </w:rPr>
            </w:pPr>
            <w:r>
              <w:rPr>
                <w:color w:val="FFFFFF"/>
                <w:spacing w:val="-2"/>
                <w:sz w:val="18"/>
              </w:rPr>
              <w:t>Service</w:t>
            </w:r>
          </w:p>
        </w:tc>
        <w:tc>
          <w:tcPr>
            <w:tcW w:w="1860" w:type="dxa"/>
            <w:tcBorders>
              <w:top w:val="nil"/>
            </w:tcBorders>
            <w:shd w:val="clear" w:color="auto" w:fill="006CA3"/>
          </w:tcPr>
          <w:p w14:paraId="2508B976" w14:textId="77777777" w:rsidR="00141B97" w:rsidRDefault="00911D63">
            <w:pPr>
              <w:pStyle w:val="TableParagraph"/>
              <w:spacing w:before="95"/>
              <w:ind w:right="95"/>
              <w:jc w:val="right"/>
              <w:rPr>
                <w:sz w:val="18"/>
              </w:rPr>
            </w:pPr>
            <w:r>
              <w:rPr>
                <w:color w:val="FFFFFF"/>
                <w:sz w:val="18"/>
              </w:rPr>
              <w:t>Major</w:t>
            </w:r>
            <w:r>
              <w:rPr>
                <w:color w:val="FFFFFF"/>
                <w:spacing w:val="-2"/>
                <w:sz w:val="18"/>
              </w:rPr>
              <w:t xml:space="preserve"> </w:t>
            </w:r>
            <w:r>
              <w:rPr>
                <w:color w:val="FFFFFF"/>
                <w:sz w:val="18"/>
              </w:rPr>
              <w:t>cost</w:t>
            </w:r>
            <w:r>
              <w:rPr>
                <w:color w:val="FFFFFF"/>
                <w:spacing w:val="-2"/>
                <w:sz w:val="18"/>
              </w:rPr>
              <w:t xml:space="preserve"> driver</w:t>
            </w:r>
          </w:p>
        </w:tc>
        <w:tc>
          <w:tcPr>
            <w:tcW w:w="1199" w:type="dxa"/>
            <w:tcBorders>
              <w:top w:val="nil"/>
            </w:tcBorders>
            <w:shd w:val="clear" w:color="auto" w:fill="006CA3"/>
          </w:tcPr>
          <w:p w14:paraId="5ABFB2FD" w14:textId="77777777" w:rsidR="00141B97" w:rsidRDefault="00911D63">
            <w:pPr>
              <w:pStyle w:val="TableParagraph"/>
              <w:spacing w:before="95"/>
              <w:ind w:right="95"/>
              <w:jc w:val="right"/>
              <w:rPr>
                <w:sz w:val="18"/>
              </w:rPr>
            </w:pPr>
            <w:r>
              <w:rPr>
                <w:color w:val="FFFFFF"/>
                <w:spacing w:val="-2"/>
                <w:sz w:val="18"/>
              </w:rPr>
              <w:t>2023‐24</w:t>
            </w:r>
          </w:p>
        </w:tc>
        <w:tc>
          <w:tcPr>
            <w:tcW w:w="1198" w:type="dxa"/>
            <w:tcBorders>
              <w:top w:val="nil"/>
            </w:tcBorders>
            <w:shd w:val="clear" w:color="auto" w:fill="006CA3"/>
          </w:tcPr>
          <w:p w14:paraId="07428CEC" w14:textId="77777777" w:rsidR="00141B97" w:rsidRDefault="00911D63">
            <w:pPr>
              <w:pStyle w:val="TableParagraph"/>
              <w:spacing w:before="95"/>
              <w:ind w:right="94"/>
              <w:jc w:val="right"/>
              <w:rPr>
                <w:sz w:val="18"/>
              </w:rPr>
            </w:pPr>
            <w:r>
              <w:rPr>
                <w:color w:val="FFFFFF"/>
                <w:spacing w:val="-2"/>
                <w:sz w:val="18"/>
              </w:rPr>
              <w:t>2024‐25</w:t>
            </w:r>
          </w:p>
        </w:tc>
        <w:tc>
          <w:tcPr>
            <w:tcW w:w="1198" w:type="dxa"/>
            <w:tcBorders>
              <w:top w:val="nil"/>
            </w:tcBorders>
            <w:shd w:val="clear" w:color="auto" w:fill="006CA3"/>
          </w:tcPr>
          <w:p w14:paraId="1F24FAA0" w14:textId="77777777" w:rsidR="00141B97" w:rsidRDefault="00911D63">
            <w:pPr>
              <w:pStyle w:val="TableParagraph"/>
              <w:spacing w:before="95"/>
              <w:ind w:right="95"/>
              <w:jc w:val="right"/>
              <w:rPr>
                <w:sz w:val="18"/>
              </w:rPr>
            </w:pPr>
            <w:r>
              <w:rPr>
                <w:color w:val="FFFFFF"/>
                <w:spacing w:val="-2"/>
                <w:sz w:val="18"/>
              </w:rPr>
              <w:t>2025‐26</w:t>
            </w:r>
          </w:p>
        </w:tc>
        <w:tc>
          <w:tcPr>
            <w:tcW w:w="1199" w:type="dxa"/>
            <w:tcBorders>
              <w:top w:val="nil"/>
            </w:tcBorders>
            <w:shd w:val="clear" w:color="auto" w:fill="006CA3"/>
          </w:tcPr>
          <w:p w14:paraId="68AF8B23" w14:textId="77777777" w:rsidR="00141B97" w:rsidRDefault="00911D63">
            <w:pPr>
              <w:pStyle w:val="TableParagraph"/>
              <w:spacing w:before="95"/>
              <w:ind w:right="96"/>
              <w:jc w:val="right"/>
              <w:rPr>
                <w:sz w:val="18"/>
              </w:rPr>
            </w:pPr>
            <w:r>
              <w:rPr>
                <w:color w:val="FFFFFF"/>
                <w:spacing w:val="-2"/>
                <w:sz w:val="18"/>
              </w:rPr>
              <w:t>2026‐27</w:t>
            </w:r>
          </w:p>
        </w:tc>
        <w:tc>
          <w:tcPr>
            <w:tcW w:w="1198" w:type="dxa"/>
            <w:tcBorders>
              <w:top w:val="nil"/>
            </w:tcBorders>
            <w:shd w:val="clear" w:color="auto" w:fill="006CA3"/>
          </w:tcPr>
          <w:p w14:paraId="3179B4B4" w14:textId="77777777" w:rsidR="00141B97" w:rsidRDefault="00911D63">
            <w:pPr>
              <w:pStyle w:val="TableParagraph"/>
              <w:spacing w:before="95"/>
              <w:ind w:right="95"/>
              <w:jc w:val="right"/>
              <w:rPr>
                <w:sz w:val="18"/>
              </w:rPr>
            </w:pPr>
            <w:r>
              <w:rPr>
                <w:color w:val="FFFFFF"/>
                <w:spacing w:val="-2"/>
                <w:sz w:val="18"/>
              </w:rPr>
              <w:t>2027‐28</w:t>
            </w:r>
          </w:p>
        </w:tc>
        <w:tc>
          <w:tcPr>
            <w:tcW w:w="1013" w:type="dxa"/>
            <w:tcBorders>
              <w:top w:val="nil"/>
              <w:right w:val="nil"/>
            </w:tcBorders>
            <w:shd w:val="clear" w:color="auto" w:fill="006CA3"/>
          </w:tcPr>
          <w:p w14:paraId="251621F4" w14:textId="77777777" w:rsidR="00141B97" w:rsidRDefault="00911D63">
            <w:pPr>
              <w:pStyle w:val="TableParagraph"/>
              <w:spacing w:before="95"/>
              <w:ind w:right="85"/>
              <w:jc w:val="right"/>
              <w:rPr>
                <w:sz w:val="18"/>
              </w:rPr>
            </w:pPr>
            <w:r>
              <w:rPr>
                <w:color w:val="FFFFFF"/>
                <w:spacing w:val="-2"/>
                <w:sz w:val="18"/>
              </w:rPr>
              <w:t>TOTAL</w:t>
            </w:r>
          </w:p>
        </w:tc>
      </w:tr>
      <w:tr w:rsidR="00141B97" w14:paraId="6BCE4AE1" w14:textId="77777777">
        <w:trPr>
          <w:trHeight w:val="439"/>
          <w:tblCellSpacing w:w="9" w:type="dxa"/>
        </w:trPr>
        <w:tc>
          <w:tcPr>
            <w:tcW w:w="5408" w:type="dxa"/>
            <w:tcBorders>
              <w:left w:val="nil"/>
            </w:tcBorders>
            <w:shd w:val="clear" w:color="auto" w:fill="CCE2ED"/>
          </w:tcPr>
          <w:p w14:paraId="60F4003F" w14:textId="77777777" w:rsidR="00141B97" w:rsidRDefault="00911D63">
            <w:pPr>
              <w:pStyle w:val="TableParagraph"/>
              <w:spacing w:before="110"/>
              <w:ind w:left="88"/>
              <w:rPr>
                <w:sz w:val="18"/>
              </w:rPr>
            </w:pPr>
            <w:r>
              <w:rPr>
                <w:sz w:val="18"/>
              </w:rPr>
              <w:t>MDA</w:t>
            </w:r>
            <w:r>
              <w:rPr>
                <w:spacing w:val="-2"/>
                <w:sz w:val="18"/>
              </w:rPr>
              <w:t xml:space="preserve"> </w:t>
            </w:r>
            <w:r>
              <w:rPr>
                <w:sz w:val="18"/>
              </w:rPr>
              <w:t>‐</w:t>
            </w:r>
            <w:r>
              <w:rPr>
                <w:spacing w:val="-1"/>
                <w:sz w:val="18"/>
              </w:rPr>
              <w:t xml:space="preserve"> </w:t>
            </w:r>
            <w:r>
              <w:rPr>
                <w:sz w:val="18"/>
              </w:rPr>
              <w:t>Low</w:t>
            </w:r>
            <w:r>
              <w:rPr>
                <w:spacing w:val="-2"/>
                <w:sz w:val="18"/>
              </w:rPr>
              <w:t xml:space="preserve"> </w:t>
            </w:r>
            <w:r>
              <w:rPr>
                <w:sz w:val="18"/>
              </w:rPr>
              <w:t>flow</w:t>
            </w:r>
            <w:r>
              <w:rPr>
                <w:spacing w:val="-2"/>
                <w:sz w:val="18"/>
              </w:rPr>
              <w:t xml:space="preserve"> </w:t>
            </w:r>
            <w:r>
              <w:rPr>
                <w:sz w:val="18"/>
              </w:rPr>
              <w:t>Pumps</w:t>
            </w:r>
            <w:r>
              <w:rPr>
                <w:spacing w:val="-3"/>
                <w:sz w:val="18"/>
              </w:rPr>
              <w:t xml:space="preserve"> </w:t>
            </w:r>
            <w:r>
              <w:rPr>
                <w:sz w:val="18"/>
              </w:rPr>
              <w:t>‐17th</w:t>
            </w:r>
            <w:r>
              <w:rPr>
                <w:spacing w:val="-1"/>
                <w:sz w:val="18"/>
              </w:rPr>
              <w:t xml:space="preserve"> </w:t>
            </w:r>
            <w:r>
              <w:rPr>
                <w:sz w:val="18"/>
              </w:rPr>
              <w:t>St</w:t>
            </w:r>
            <w:r>
              <w:rPr>
                <w:spacing w:val="-3"/>
                <w:sz w:val="18"/>
              </w:rPr>
              <w:t xml:space="preserve"> </w:t>
            </w:r>
            <w:r>
              <w:rPr>
                <w:sz w:val="18"/>
              </w:rPr>
              <w:t>HP</w:t>
            </w:r>
            <w:r>
              <w:rPr>
                <w:spacing w:val="-2"/>
                <w:sz w:val="18"/>
              </w:rPr>
              <w:t xml:space="preserve"> </w:t>
            </w:r>
            <w:r>
              <w:rPr>
                <w:sz w:val="18"/>
              </w:rPr>
              <w:t>Relift</w:t>
            </w:r>
            <w:r>
              <w:rPr>
                <w:spacing w:val="-2"/>
                <w:sz w:val="18"/>
              </w:rPr>
              <w:t xml:space="preserve"> </w:t>
            </w:r>
            <w:r>
              <w:rPr>
                <w:spacing w:val="-5"/>
                <w:sz w:val="18"/>
              </w:rPr>
              <w:t>PS</w:t>
            </w:r>
          </w:p>
        </w:tc>
        <w:tc>
          <w:tcPr>
            <w:tcW w:w="1393" w:type="dxa"/>
            <w:shd w:val="clear" w:color="auto" w:fill="CCE2ED"/>
          </w:tcPr>
          <w:p w14:paraId="0BBA6E2C"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0A213613" w14:textId="77777777" w:rsidR="00141B97" w:rsidRDefault="00911D63">
            <w:pPr>
              <w:pStyle w:val="TableParagraph"/>
              <w:ind w:right="94"/>
              <w:jc w:val="right"/>
              <w:rPr>
                <w:sz w:val="18"/>
              </w:rPr>
            </w:pPr>
            <w:r>
              <w:rPr>
                <w:sz w:val="18"/>
              </w:rPr>
              <w:t xml:space="preserve">Improvements </w:t>
            </w:r>
            <w:r>
              <w:rPr>
                <w:spacing w:val="-10"/>
                <w:sz w:val="18"/>
              </w:rPr>
              <w:t>/</w:t>
            </w:r>
          </w:p>
          <w:p w14:paraId="37243133" w14:textId="77777777" w:rsidR="00141B97" w:rsidRDefault="00911D63">
            <w:pPr>
              <w:pStyle w:val="TableParagraph"/>
              <w:spacing w:before="1" w:line="199" w:lineRule="exact"/>
              <w:ind w:right="95"/>
              <w:jc w:val="right"/>
              <w:rPr>
                <w:sz w:val="18"/>
              </w:rPr>
            </w:pPr>
            <w:r>
              <w:rPr>
                <w:spacing w:val="-2"/>
                <w:sz w:val="18"/>
              </w:rPr>
              <w:t>Compliance</w:t>
            </w:r>
          </w:p>
        </w:tc>
        <w:tc>
          <w:tcPr>
            <w:tcW w:w="1199" w:type="dxa"/>
            <w:shd w:val="clear" w:color="auto" w:fill="CCE2ED"/>
          </w:tcPr>
          <w:p w14:paraId="02803125"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0AEA1417"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511159F3" w14:textId="77777777" w:rsidR="00141B97" w:rsidRDefault="00911D63">
            <w:pPr>
              <w:pStyle w:val="TableParagraph"/>
              <w:spacing w:before="110"/>
              <w:ind w:right="96"/>
              <w:jc w:val="right"/>
              <w:rPr>
                <w:sz w:val="18"/>
              </w:rPr>
            </w:pPr>
            <w:r>
              <w:rPr>
                <w:spacing w:val="-4"/>
                <w:sz w:val="18"/>
              </w:rPr>
              <w:t>0.05</w:t>
            </w:r>
          </w:p>
        </w:tc>
        <w:tc>
          <w:tcPr>
            <w:tcW w:w="1199" w:type="dxa"/>
            <w:shd w:val="clear" w:color="auto" w:fill="CCE2ED"/>
          </w:tcPr>
          <w:p w14:paraId="21B49477" w14:textId="77777777" w:rsidR="00141B97" w:rsidRDefault="00911D63">
            <w:pPr>
              <w:pStyle w:val="TableParagraph"/>
              <w:spacing w:before="110"/>
              <w:ind w:right="97"/>
              <w:jc w:val="right"/>
              <w:rPr>
                <w:sz w:val="18"/>
              </w:rPr>
            </w:pPr>
            <w:r>
              <w:rPr>
                <w:spacing w:val="-4"/>
                <w:sz w:val="18"/>
              </w:rPr>
              <w:t>0.50</w:t>
            </w:r>
          </w:p>
        </w:tc>
        <w:tc>
          <w:tcPr>
            <w:tcW w:w="1198" w:type="dxa"/>
            <w:shd w:val="clear" w:color="auto" w:fill="CCE2ED"/>
          </w:tcPr>
          <w:p w14:paraId="27B05194"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32366505" w14:textId="77777777" w:rsidR="00141B97" w:rsidRDefault="00911D63">
            <w:pPr>
              <w:pStyle w:val="TableParagraph"/>
              <w:spacing w:before="110"/>
              <w:ind w:right="86"/>
              <w:jc w:val="right"/>
              <w:rPr>
                <w:sz w:val="18"/>
              </w:rPr>
            </w:pPr>
            <w:r>
              <w:rPr>
                <w:spacing w:val="-4"/>
                <w:sz w:val="18"/>
              </w:rPr>
              <w:t>0.55</w:t>
            </w:r>
          </w:p>
        </w:tc>
      </w:tr>
      <w:tr w:rsidR="00141B97" w14:paraId="50670CA7" w14:textId="77777777">
        <w:trPr>
          <w:trHeight w:val="218"/>
          <w:tblCellSpacing w:w="9" w:type="dxa"/>
        </w:trPr>
        <w:tc>
          <w:tcPr>
            <w:tcW w:w="5408" w:type="dxa"/>
            <w:tcBorders>
              <w:left w:val="nil"/>
            </w:tcBorders>
            <w:shd w:val="clear" w:color="auto" w:fill="CCE2ED"/>
          </w:tcPr>
          <w:p w14:paraId="641B8050" w14:textId="77777777" w:rsidR="00141B97" w:rsidRDefault="00911D63">
            <w:pPr>
              <w:pStyle w:val="TableParagraph"/>
              <w:spacing w:line="199" w:lineRule="exact"/>
              <w:ind w:left="88"/>
              <w:rPr>
                <w:sz w:val="18"/>
              </w:rPr>
            </w:pPr>
            <w:r>
              <w:rPr>
                <w:sz w:val="18"/>
              </w:rPr>
              <w:t>MDA</w:t>
            </w:r>
            <w:r>
              <w:rPr>
                <w:spacing w:val="-1"/>
                <w:sz w:val="18"/>
              </w:rPr>
              <w:t xml:space="preserve"> </w:t>
            </w:r>
            <w:r>
              <w:rPr>
                <w:sz w:val="18"/>
              </w:rPr>
              <w:t>‐</w:t>
            </w:r>
            <w:r>
              <w:rPr>
                <w:spacing w:val="-1"/>
                <w:sz w:val="18"/>
              </w:rPr>
              <w:t xml:space="preserve"> </w:t>
            </w:r>
            <w:r>
              <w:rPr>
                <w:sz w:val="18"/>
              </w:rPr>
              <w:t>Mid</w:t>
            </w:r>
            <w:r>
              <w:rPr>
                <w:spacing w:val="-2"/>
                <w:sz w:val="18"/>
              </w:rPr>
              <w:t xml:space="preserve"> </w:t>
            </w:r>
            <w:r>
              <w:rPr>
                <w:sz w:val="18"/>
              </w:rPr>
              <w:t>Area</w:t>
            </w:r>
            <w:r>
              <w:rPr>
                <w:spacing w:val="-3"/>
                <w:sz w:val="18"/>
              </w:rPr>
              <w:t xml:space="preserve"> </w:t>
            </w:r>
            <w:r>
              <w:rPr>
                <w:sz w:val="18"/>
              </w:rPr>
              <w:t>VSD replacement</w:t>
            </w:r>
            <w:r>
              <w:rPr>
                <w:spacing w:val="-2"/>
                <w:sz w:val="18"/>
              </w:rPr>
              <w:t xml:space="preserve"> </w:t>
            </w:r>
            <w:r>
              <w:rPr>
                <w:sz w:val="18"/>
              </w:rPr>
              <w:t xml:space="preserve">(9 </w:t>
            </w:r>
            <w:r>
              <w:rPr>
                <w:spacing w:val="-2"/>
                <w:sz w:val="18"/>
              </w:rPr>
              <w:t>VSDs)</w:t>
            </w:r>
          </w:p>
        </w:tc>
        <w:tc>
          <w:tcPr>
            <w:tcW w:w="1393" w:type="dxa"/>
            <w:shd w:val="clear" w:color="auto" w:fill="CCE2ED"/>
          </w:tcPr>
          <w:p w14:paraId="0E167088"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0DE7C15D"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0EF1C9DB" w14:textId="77777777" w:rsidR="00141B97" w:rsidRDefault="00911D63">
            <w:pPr>
              <w:pStyle w:val="TableParagraph"/>
              <w:spacing w:line="199" w:lineRule="exact"/>
              <w:ind w:right="96"/>
              <w:jc w:val="right"/>
              <w:rPr>
                <w:sz w:val="18"/>
              </w:rPr>
            </w:pPr>
            <w:r>
              <w:rPr>
                <w:spacing w:val="-4"/>
                <w:sz w:val="18"/>
              </w:rPr>
              <w:t>0.00</w:t>
            </w:r>
          </w:p>
        </w:tc>
        <w:tc>
          <w:tcPr>
            <w:tcW w:w="1198" w:type="dxa"/>
            <w:shd w:val="clear" w:color="auto" w:fill="CCE2ED"/>
          </w:tcPr>
          <w:p w14:paraId="6CD98B75" w14:textId="77777777" w:rsidR="00141B97" w:rsidRDefault="00911D63">
            <w:pPr>
              <w:pStyle w:val="TableParagraph"/>
              <w:spacing w:line="199" w:lineRule="exact"/>
              <w:ind w:right="95"/>
              <w:jc w:val="right"/>
              <w:rPr>
                <w:sz w:val="18"/>
              </w:rPr>
            </w:pPr>
            <w:r>
              <w:rPr>
                <w:spacing w:val="-4"/>
                <w:sz w:val="18"/>
              </w:rPr>
              <w:t>0.00</w:t>
            </w:r>
          </w:p>
        </w:tc>
        <w:tc>
          <w:tcPr>
            <w:tcW w:w="1198" w:type="dxa"/>
            <w:shd w:val="clear" w:color="auto" w:fill="CCE2ED"/>
          </w:tcPr>
          <w:p w14:paraId="70C7EA7B" w14:textId="77777777" w:rsidR="00141B97" w:rsidRDefault="00911D63">
            <w:pPr>
              <w:pStyle w:val="TableParagraph"/>
              <w:spacing w:line="199" w:lineRule="exact"/>
              <w:ind w:right="96"/>
              <w:jc w:val="right"/>
              <w:rPr>
                <w:sz w:val="18"/>
              </w:rPr>
            </w:pPr>
            <w:r>
              <w:rPr>
                <w:spacing w:val="-4"/>
                <w:sz w:val="18"/>
              </w:rPr>
              <w:t>0.00</w:t>
            </w:r>
          </w:p>
        </w:tc>
        <w:tc>
          <w:tcPr>
            <w:tcW w:w="1199" w:type="dxa"/>
            <w:shd w:val="clear" w:color="auto" w:fill="CCE2ED"/>
          </w:tcPr>
          <w:p w14:paraId="407B6EF0" w14:textId="77777777" w:rsidR="00141B97" w:rsidRDefault="00911D63">
            <w:pPr>
              <w:pStyle w:val="TableParagraph"/>
              <w:spacing w:line="199" w:lineRule="exact"/>
              <w:ind w:right="97"/>
              <w:jc w:val="right"/>
              <w:rPr>
                <w:sz w:val="18"/>
              </w:rPr>
            </w:pPr>
            <w:r>
              <w:rPr>
                <w:spacing w:val="-4"/>
                <w:sz w:val="18"/>
              </w:rPr>
              <w:t>0.20</w:t>
            </w:r>
          </w:p>
        </w:tc>
        <w:tc>
          <w:tcPr>
            <w:tcW w:w="1198" w:type="dxa"/>
            <w:shd w:val="clear" w:color="auto" w:fill="CCE2ED"/>
          </w:tcPr>
          <w:p w14:paraId="5A5BC993" w14:textId="77777777" w:rsidR="00141B97" w:rsidRDefault="00911D63">
            <w:pPr>
              <w:pStyle w:val="TableParagraph"/>
              <w:spacing w:line="199" w:lineRule="exact"/>
              <w:ind w:right="96"/>
              <w:jc w:val="right"/>
              <w:rPr>
                <w:sz w:val="18"/>
              </w:rPr>
            </w:pPr>
            <w:r>
              <w:rPr>
                <w:spacing w:val="-4"/>
                <w:sz w:val="18"/>
              </w:rPr>
              <w:t>0.32</w:t>
            </w:r>
          </w:p>
        </w:tc>
        <w:tc>
          <w:tcPr>
            <w:tcW w:w="1013" w:type="dxa"/>
            <w:tcBorders>
              <w:right w:val="nil"/>
            </w:tcBorders>
            <w:shd w:val="clear" w:color="auto" w:fill="CCE2ED"/>
          </w:tcPr>
          <w:p w14:paraId="0E50E4D2" w14:textId="77777777" w:rsidR="00141B97" w:rsidRDefault="00911D63">
            <w:pPr>
              <w:pStyle w:val="TableParagraph"/>
              <w:spacing w:line="199" w:lineRule="exact"/>
              <w:ind w:right="86"/>
              <w:jc w:val="right"/>
              <w:rPr>
                <w:sz w:val="18"/>
              </w:rPr>
            </w:pPr>
            <w:r>
              <w:rPr>
                <w:spacing w:val="-4"/>
                <w:sz w:val="18"/>
              </w:rPr>
              <w:t>0.52</w:t>
            </w:r>
          </w:p>
        </w:tc>
      </w:tr>
      <w:tr w:rsidR="00141B97" w14:paraId="6A8BEB3A" w14:textId="77777777">
        <w:trPr>
          <w:trHeight w:val="220"/>
          <w:tblCellSpacing w:w="9" w:type="dxa"/>
        </w:trPr>
        <w:tc>
          <w:tcPr>
            <w:tcW w:w="5408" w:type="dxa"/>
            <w:tcBorders>
              <w:left w:val="nil"/>
            </w:tcBorders>
            <w:shd w:val="clear" w:color="auto" w:fill="CCE2ED"/>
          </w:tcPr>
          <w:p w14:paraId="1C5D3DA2" w14:textId="77777777" w:rsidR="00141B97" w:rsidRDefault="00911D63">
            <w:pPr>
              <w:pStyle w:val="TableParagraph"/>
              <w:spacing w:before="1" w:line="199" w:lineRule="exact"/>
              <w:ind w:left="88"/>
              <w:rPr>
                <w:sz w:val="18"/>
              </w:rPr>
            </w:pPr>
            <w:r>
              <w:rPr>
                <w:sz w:val="18"/>
              </w:rPr>
              <w:t>MDA</w:t>
            </w:r>
            <w:r>
              <w:rPr>
                <w:spacing w:val="-2"/>
                <w:sz w:val="18"/>
              </w:rPr>
              <w:t xml:space="preserve"> </w:t>
            </w:r>
            <w:r>
              <w:rPr>
                <w:sz w:val="18"/>
              </w:rPr>
              <w:t>‐</w:t>
            </w:r>
            <w:r>
              <w:rPr>
                <w:spacing w:val="-2"/>
                <w:sz w:val="18"/>
              </w:rPr>
              <w:t xml:space="preserve"> </w:t>
            </w:r>
            <w:r>
              <w:rPr>
                <w:sz w:val="18"/>
              </w:rPr>
              <w:t>VSD</w:t>
            </w:r>
            <w:r>
              <w:rPr>
                <w:spacing w:val="-2"/>
                <w:sz w:val="18"/>
              </w:rPr>
              <w:t xml:space="preserve"> </w:t>
            </w:r>
            <w:r>
              <w:rPr>
                <w:sz w:val="18"/>
              </w:rPr>
              <w:t>Replacement</w:t>
            </w:r>
            <w:r>
              <w:rPr>
                <w:spacing w:val="-2"/>
                <w:sz w:val="18"/>
              </w:rPr>
              <w:t xml:space="preserve"> </w:t>
            </w:r>
            <w:r>
              <w:rPr>
                <w:sz w:val="18"/>
              </w:rPr>
              <w:t>‐</w:t>
            </w:r>
            <w:r>
              <w:rPr>
                <w:spacing w:val="-2"/>
                <w:sz w:val="18"/>
              </w:rPr>
              <w:t xml:space="preserve"> </w:t>
            </w:r>
            <w:r>
              <w:rPr>
                <w:sz w:val="18"/>
              </w:rPr>
              <w:t>Central</w:t>
            </w:r>
            <w:r>
              <w:rPr>
                <w:spacing w:val="-1"/>
                <w:sz w:val="18"/>
              </w:rPr>
              <w:t xml:space="preserve"> </w:t>
            </w:r>
            <w:r>
              <w:rPr>
                <w:spacing w:val="-5"/>
                <w:sz w:val="18"/>
              </w:rPr>
              <w:t>PS</w:t>
            </w:r>
          </w:p>
        </w:tc>
        <w:tc>
          <w:tcPr>
            <w:tcW w:w="1393" w:type="dxa"/>
            <w:shd w:val="clear" w:color="auto" w:fill="CCE2ED"/>
          </w:tcPr>
          <w:p w14:paraId="401236F5"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15D33D4F"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63E3AD2E" w14:textId="77777777" w:rsidR="00141B97" w:rsidRDefault="00911D63">
            <w:pPr>
              <w:pStyle w:val="TableParagraph"/>
              <w:spacing w:before="1" w:line="199" w:lineRule="exact"/>
              <w:ind w:right="96"/>
              <w:jc w:val="right"/>
              <w:rPr>
                <w:sz w:val="18"/>
              </w:rPr>
            </w:pPr>
            <w:r>
              <w:rPr>
                <w:spacing w:val="-4"/>
                <w:sz w:val="18"/>
              </w:rPr>
              <w:t>0.00</w:t>
            </w:r>
          </w:p>
        </w:tc>
        <w:tc>
          <w:tcPr>
            <w:tcW w:w="1198" w:type="dxa"/>
            <w:shd w:val="clear" w:color="auto" w:fill="CCE2ED"/>
          </w:tcPr>
          <w:p w14:paraId="3077A15E" w14:textId="77777777" w:rsidR="00141B97" w:rsidRDefault="00911D63">
            <w:pPr>
              <w:pStyle w:val="TableParagraph"/>
              <w:spacing w:before="1" w:line="199" w:lineRule="exact"/>
              <w:ind w:right="95"/>
              <w:jc w:val="right"/>
              <w:rPr>
                <w:sz w:val="18"/>
              </w:rPr>
            </w:pPr>
            <w:r>
              <w:rPr>
                <w:spacing w:val="-4"/>
                <w:sz w:val="18"/>
              </w:rPr>
              <w:t>0.00</w:t>
            </w:r>
          </w:p>
        </w:tc>
        <w:tc>
          <w:tcPr>
            <w:tcW w:w="1198" w:type="dxa"/>
            <w:shd w:val="clear" w:color="auto" w:fill="CCE2ED"/>
          </w:tcPr>
          <w:p w14:paraId="78765CF3" w14:textId="77777777" w:rsidR="00141B97" w:rsidRDefault="00911D63">
            <w:pPr>
              <w:pStyle w:val="TableParagraph"/>
              <w:spacing w:before="1" w:line="199" w:lineRule="exact"/>
              <w:ind w:right="96"/>
              <w:jc w:val="right"/>
              <w:rPr>
                <w:sz w:val="18"/>
              </w:rPr>
            </w:pPr>
            <w:r>
              <w:rPr>
                <w:spacing w:val="-4"/>
                <w:sz w:val="18"/>
              </w:rPr>
              <w:t>0.00</w:t>
            </w:r>
          </w:p>
        </w:tc>
        <w:tc>
          <w:tcPr>
            <w:tcW w:w="1199" w:type="dxa"/>
            <w:shd w:val="clear" w:color="auto" w:fill="CCE2ED"/>
          </w:tcPr>
          <w:p w14:paraId="6FD8D341" w14:textId="77777777" w:rsidR="00141B97" w:rsidRDefault="00911D63">
            <w:pPr>
              <w:pStyle w:val="TableParagraph"/>
              <w:spacing w:before="1" w:line="199" w:lineRule="exact"/>
              <w:ind w:right="97"/>
              <w:jc w:val="right"/>
              <w:rPr>
                <w:sz w:val="18"/>
              </w:rPr>
            </w:pPr>
            <w:r>
              <w:rPr>
                <w:spacing w:val="-4"/>
                <w:sz w:val="18"/>
              </w:rPr>
              <w:t>0.36</w:t>
            </w:r>
          </w:p>
        </w:tc>
        <w:tc>
          <w:tcPr>
            <w:tcW w:w="1198" w:type="dxa"/>
            <w:shd w:val="clear" w:color="auto" w:fill="CCE2ED"/>
          </w:tcPr>
          <w:p w14:paraId="6C2D63EA" w14:textId="77777777" w:rsidR="00141B97" w:rsidRDefault="00911D63">
            <w:pPr>
              <w:pStyle w:val="TableParagraph"/>
              <w:spacing w:before="1" w:line="199" w:lineRule="exact"/>
              <w:ind w:right="96"/>
              <w:jc w:val="right"/>
              <w:rPr>
                <w:sz w:val="18"/>
              </w:rPr>
            </w:pPr>
            <w:r>
              <w:rPr>
                <w:spacing w:val="-4"/>
                <w:sz w:val="18"/>
              </w:rPr>
              <w:t>0.36</w:t>
            </w:r>
          </w:p>
        </w:tc>
        <w:tc>
          <w:tcPr>
            <w:tcW w:w="1013" w:type="dxa"/>
            <w:tcBorders>
              <w:right w:val="nil"/>
            </w:tcBorders>
            <w:shd w:val="clear" w:color="auto" w:fill="CCE2ED"/>
          </w:tcPr>
          <w:p w14:paraId="245EF93A" w14:textId="77777777" w:rsidR="00141B97" w:rsidRDefault="00911D63">
            <w:pPr>
              <w:pStyle w:val="TableParagraph"/>
              <w:spacing w:before="1" w:line="199" w:lineRule="exact"/>
              <w:ind w:right="86"/>
              <w:jc w:val="right"/>
              <w:rPr>
                <w:sz w:val="18"/>
              </w:rPr>
            </w:pPr>
            <w:r>
              <w:rPr>
                <w:spacing w:val="-4"/>
                <w:sz w:val="18"/>
              </w:rPr>
              <w:t>0.72</w:t>
            </w:r>
          </w:p>
        </w:tc>
      </w:tr>
      <w:tr w:rsidR="00141B97" w14:paraId="31F576DC" w14:textId="77777777">
        <w:trPr>
          <w:trHeight w:val="220"/>
          <w:tblCellSpacing w:w="9" w:type="dxa"/>
        </w:trPr>
        <w:tc>
          <w:tcPr>
            <w:tcW w:w="5408" w:type="dxa"/>
            <w:tcBorders>
              <w:left w:val="nil"/>
            </w:tcBorders>
            <w:shd w:val="clear" w:color="auto" w:fill="CCE2ED"/>
          </w:tcPr>
          <w:p w14:paraId="14CC0303" w14:textId="77777777" w:rsidR="00141B97" w:rsidRDefault="00911D63">
            <w:pPr>
              <w:pStyle w:val="TableParagraph"/>
              <w:spacing w:before="1" w:line="199" w:lineRule="exact"/>
              <w:ind w:left="88"/>
              <w:rPr>
                <w:sz w:val="18"/>
              </w:rPr>
            </w:pPr>
            <w:r>
              <w:rPr>
                <w:sz w:val="18"/>
              </w:rPr>
              <w:t>MDA</w:t>
            </w:r>
            <w:r>
              <w:rPr>
                <w:spacing w:val="-2"/>
                <w:sz w:val="18"/>
              </w:rPr>
              <w:t xml:space="preserve"> </w:t>
            </w:r>
            <w:r>
              <w:rPr>
                <w:sz w:val="18"/>
              </w:rPr>
              <w:t>‐</w:t>
            </w:r>
            <w:r>
              <w:rPr>
                <w:spacing w:val="-1"/>
                <w:sz w:val="18"/>
              </w:rPr>
              <w:t xml:space="preserve"> </w:t>
            </w:r>
            <w:r>
              <w:rPr>
                <w:sz w:val="18"/>
              </w:rPr>
              <w:t>CP‐</w:t>
            </w:r>
            <w:r>
              <w:rPr>
                <w:spacing w:val="-1"/>
                <w:sz w:val="18"/>
              </w:rPr>
              <w:t xml:space="preserve"> </w:t>
            </w:r>
            <w:r>
              <w:rPr>
                <w:sz w:val="18"/>
              </w:rPr>
              <w:t>central</w:t>
            </w:r>
            <w:r>
              <w:rPr>
                <w:spacing w:val="-1"/>
                <w:sz w:val="18"/>
              </w:rPr>
              <w:t xml:space="preserve"> </w:t>
            </w:r>
            <w:r>
              <w:rPr>
                <w:sz w:val="18"/>
              </w:rPr>
              <w:t>PS</w:t>
            </w:r>
            <w:r>
              <w:rPr>
                <w:spacing w:val="-1"/>
                <w:sz w:val="18"/>
              </w:rPr>
              <w:t xml:space="preserve"> </w:t>
            </w:r>
            <w:r>
              <w:rPr>
                <w:sz w:val="18"/>
              </w:rPr>
              <w:t>and</w:t>
            </w:r>
            <w:r>
              <w:rPr>
                <w:spacing w:val="-1"/>
                <w:sz w:val="18"/>
              </w:rPr>
              <w:t xml:space="preserve"> </w:t>
            </w:r>
            <w:r>
              <w:rPr>
                <w:sz w:val="18"/>
              </w:rPr>
              <w:t>rising</w:t>
            </w:r>
            <w:r>
              <w:rPr>
                <w:spacing w:val="-3"/>
                <w:sz w:val="18"/>
              </w:rPr>
              <w:t xml:space="preserve"> </w:t>
            </w:r>
            <w:r>
              <w:rPr>
                <w:spacing w:val="-4"/>
                <w:sz w:val="18"/>
              </w:rPr>
              <w:t>main</w:t>
            </w:r>
          </w:p>
        </w:tc>
        <w:tc>
          <w:tcPr>
            <w:tcW w:w="1393" w:type="dxa"/>
            <w:shd w:val="clear" w:color="auto" w:fill="CCE2ED"/>
          </w:tcPr>
          <w:p w14:paraId="719C55FD"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159BCB31"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14CEC915" w14:textId="77777777" w:rsidR="00141B97" w:rsidRDefault="00911D63">
            <w:pPr>
              <w:pStyle w:val="TableParagraph"/>
              <w:spacing w:before="1" w:line="199" w:lineRule="exact"/>
              <w:ind w:right="96"/>
              <w:jc w:val="right"/>
              <w:rPr>
                <w:sz w:val="18"/>
              </w:rPr>
            </w:pPr>
            <w:r>
              <w:rPr>
                <w:spacing w:val="-4"/>
                <w:sz w:val="18"/>
              </w:rPr>
              <w:t>0.00</w:t>
            </w:r>
          </w:p>
        </w:tc>
        <w:tc>
          <w:tcPr>
            <w:tcW w:w="1198" w:type="dxa"/>
            <w:shd w:val="clear" w:color="auto" w:fill="CCE2ED"/>
          </w:tcPr>
          <w:p w14:paraId="5C04D988" w14:textId="77777777" w:rsidR="00141B97" w:rsidRDefault="00911D63">
            <w:pPr>
              <w:pStyle w:val="TableParagraph"/>
              <w:spacing w:before="1" w:line="199" w:lineRule="exact"/>
              <w:ind w:right="95"/>
              <w:jc w:val="right"/>
              <w:rPr>
                <w:sz w:val="18"/>
              </w:rPr>
            </w:pPr>
            <w:r>
              <w:rPr>
                <w:spacing w:val="-4"/>
                <w:sz w:val="18"/>
              </w:rPr>
              <w:t>0.20</w:t>
            </w:r>
          </w:p>
        </w:tc>
        <w:tc>
          <w:tcPr>
            <w:tcW w:w="1198" w:type="dxa"/>
            <w:shd w:val="clear" w:color="auto" w:fill="CCE2ED"/>
          </w:tcPr>
          <w:p w14:paraId="411A2B5F" w14:textId="77777777" w:rsidR="00141B97" w:rsidRDefault="00911D63">
            <w:pPr>
              <w:pStyle w:val="TableParagraph"/>
              <w:spacing w:before="1" w:line="199" w:lineRule="exact"/>
              <w:ind w:right="96"/>
              <w:jc w:val="right"/>
              <w:rPr>
                <w:sz w:val="18"/>
              </w:rPr>
            </w:pPr>
            <w:r>
              <w:rPr>
                <w:spacing w:val="-4"/>
                <w:sz w:val="18"/>
              </w:rPr>
              <w:t>0.20</w:t>
            </w:r>
          </w:p>
        </w:tc>
        <w:tc>
          <w:tcPr>
            <w:tcW w:w="1199" w:type="dxa"/>
            <w:shd w:val="clear" w:color="auto" w:fill="CCE2ED"/>
          </w:tcPr>
          <w:p w14:paraId="23FEA3BF" w14:textId="77777777" w:rsidR="00141B97" w:rsidRDefault="00911D63">
            <w:pPr>
              <w:pStyle w:val="TableParagraph"/>
              <w:spacing w:before="1" w:line="199" w:lineRule="exact"/>
              <w:ind w:right="97"/>
              <w:jc w:val="right"/>
              <w:rPr>
                <w:sz w:val="18"/>
              </w:rPr>
            </w:pPr>
            <w:r>
              <w:rPr>
                <w:spacing w:val="-4"/>
                <w:sz w:val="18"/>
              </w:rPr>
              <w:t>0.00</w:t>
            </w:r>
          </w:p>
        </w:tc>
        <w:tc>
          <w:tcPr>
            <w:tcW w:w="1198" w:type="dxa"/>
            <w:shd w:val="clear" w:color="auto" w:fill="CCE2ED"/>
          </w:tcPr>
          <w:p w14:paraId="7ADC8DC1" w14:textId="77777777" w:rsidR="00141B97" w:rsidRDefault="00911D63">
            <w:pPr>
              <w:pStyle w:val="TableParagraph"/>
              <w:spacing w:before="1" w:line="199" w:lineRule="exact"/>
              <w:ind w:right="96"/>
              <w:jc w:val="right"/>
              <w:rPr>
                <w:sz w:val="18"/>
              </w:rPr>
            </w:pPr>
            <w:r>
              <w:rPr>
                <w:spacing w:val="-4"/>
                <w:sz w:val="18"/>
              </w:rPr>
              <w:t>0.00</w:t>
            </w:r>
          </w:p>
        </w:tc>
        <w:tc>
          <w:tcPr>
            <w:tcW w:w="1013" w:type="dxa"/>
            <w:tcBorders>
              <w:right w:val="nil"/>
            </w:tcBorders>
            <w:shd w:val="clear" w:color="auto" w:fill="CCE2ED"/>
          </w:tcPr>
          <w:p w14:paraId="7A372E3B" w14:textId="77777777" w:rsidR="00141B97" w:rsidRDefault="00911D63">
            <w:pPr>
              <w:pStyle w:val="TableParagraph"/>
              <w:spacing w:before="1" w:line="199" w:lineRule="exact"/>
              <w:ind w:right="86"/>
              <w:jc w:val="right"/>
              <w:rPr>
                <w:sz w:val="18"/>
              </w:rPr>
            </w:pPr>
            <w:r>
              <w:rPr>
                <w:spacing w:val="-4"/>
                <w:sz w:val="18"/>
              </w:rPr>
              <w:t>0.40</w:t>
            </w:r>
          </w:p>
        </w:tc>
      </w:tr>
      <w:tr w:rsidR="00141B97" w14:paraId="2476364D" w14:textId="77777777">
        <w:trPr>
          <w:trHeight w:val="220"/>
          <w:tblCellSpacing w:w="9" w:type="dxa"/>
        </w:trPr>
        <w:tc>
          <w:tcPr>
            <w:tcW w:w="5408" w:type="dxa"/>
            <w:tcBorders>
              <w:left w:val="nil"/>
            </w:tcBorders>
            <w:shd w:val="clear" w:color="auto" w:fill="CCE2ED"/>
          </w:tcPr>
          <w:p w14:paraId="30DD9F47" w14:textId="77777777" w:rsidR="00141B97" w:rsidRDefault="00911D63">
            <w:pPr>
              <w:pStyle w:val="TableParagraph"/>
              <w:spacing w:before="1" w:line="199" w:lineRule="exact"/>
              <w:ind w:left="88"/>
              <w:rPr>
                <w:sz w:val="18"/>
              </w:rPr>
            </w:pPr>
            <w:r>
              <w:rPr>
                <w:sz w:val="18"/>
              </w:rPr>
              <w:t>MILL</w:t>
            </w:r>
            <w:r>
              <w:rPr>
                <w:spacing w:val="-2"/>
                <w:sz w:val="18"/>
              </w:rPr>
              <w:t xml:space="preserve"> </w:t>
            </w:r>
            <w:r>
              <w:rPr>
                <w:sz w:val="18"/>
              </w:rPr>
              <w:t>‐</w:t>
            </w:r>
            <w:r>
              <w:rPr>
                <w:spacing w:val="-2"/>
                <w:sz w:val="18"/>
              </w:rPr>
              <w:t xml:space="preserve"> </w:t>
            </w:r>
            <w:r>
              <w:rPr>
                <w:sz w:val="18"/>
              </w:rPr>
              <w:t>Millewa</w:t>
            </w:r>
            <w:r>
              <w:rPr>
                <w:spacing w:val="-2"/>
                <w:sz w:val="18"/>
              </w:rPr>
              <w:t xml:space="preserve"> </w:t>
            </w:r>
            <w:r>
              <w:rPr>
                <w:sz w:val="18"/>
              </w:rPr>
              <w:t>Replace</w:t>
            </w:r>
            <w:r>
              <w:rPr>
                <w:spacing w:val="-1"/>
                <w:sz w:val="18"/>
              </w:rPr>
              <w:t xml:space="preserve"> </w:t>
            </w:r>
            <w:r>
              <w:rPr>
                <w:sz w:val="18"/>
              </w:rPr>
              <w:t>River</w:t>
            </w:r>
            <w:r>
              <w:rPr>
                <w:spacing w:val="-2"/>
                <w:sz w:val="18"/>
              </w:rPr>
              <w:t xml:space="preserve"> </w:t>
            </w:r>
            <w:r>
              <w:rPr>
                <w:sz w:val="18"/>
              </w:rPr>
              <w:t>Pump</w:t>
            </w:r>
            <w:r>
              <w:rPr>
                <w:spacing w:val="-1"/>
                <w:sz w:val="18"/>
              </w:rPr>
              <w:t xml:space="preserve"> </w:t>
            </w:r>
            <w:r>
              <w:rPr>
                <w:spacing w:val="-2"/>
                <w:sz w:val="18"/>
              </w:rPr>
              <w:t>Station</w:t>
            </w:r>
          </w:p>
        </w:tc>
        <w:tc>
          <w:tcPr>
            <w:tcW w:w="1393" w:type="dxa"/>
            <w:shd w:val="clear" w:color="auto" w:fill="CCE2ED"/>
          </w:tcPr>
          <w:p w14:paraId="413439F7"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0BA08409" w14:textId="77777777" w:rsidR="00141B97" w:rsidRDefault="00911D63">
            <w:pPr>
              <w:pStyle w:val="TableParagraph"/>
              <w:spacing w:before="1" w:line="199" w:lineRule="exact"/>
              <w:ind w:right="96"/>
              <w:jc w:val="right"/>
              <w:rPr>
                <w:sz w:val="18"/>
              </w:rPr>
            </w:pPr>
            <w:r>
              <w:rPr>
                <w:spacing w:val="-2"/>
                <w:sz w:val="18"/>
              </w:rPr>
              <w:t>Growth</w:t>
            </w:r>
          </w:p>
        </w:tc>
        <w:tc>
          <w:tcPr>
            <w:tcW w:w="1199" w:type="dxa"/>
            <w:shd w:val="clear" w:color="auto" w:fill="CCE2ED"/>
          </w:tcPr>
          <w:p w14:paraId="27F615CD" w14:textId="77777777" w:rsidR="00141B97" w:rsidRDefault="00911D63">
            <w:pPr>
              <w:pStyle w:val="TableParagraph"/>
              <w:spacing w:before="1" w:line="199" w:lineRule="exact"/>
              <w:ind w:right="96"/>
              <w:jc w:val="right"/>
              <w:rPr>
                <w:sz w:val="18"/>
              </w:rPr>
            </w:pPr>
            <w:r>
              <w:rPr>
                <w:spacing w:val="-4"/>
                <w:sz w:val="18"/>
              </w:rPr>
              <w:t>7.00</w:t>
            </w:r>
          </w:p>
        </w:tc>
        <w:tc>
          <w:tcPr>
            <w:tcW w:w="1198" w:type="dxa"/>
            <w:shd w:val="clear" w:color="auto" w:fill="CCE2ED"/>
          </w:tcPr>
          <w:p w14:paraId="26AF2CB8" w14:textId="77777777" w:rsidR="00141B97" w:rsidRDefault="00911D63">
            <w:pPr>
              <w:pStyle w:val="TableParagraph"/>
              <w:spacing w:before="1" w:line="199" w:lineRule="exact"/>
              <w:ind w:right="95"/>
              <w:jc w:val="right"/>
              <w:rPr>
                <w:sz w:val="18"/>
              </w:rPr>
            </w:pPr>
            <w:r>
              <w:rPr>
                <w:spacing w:val="-4"/>
                <w:sz w:val="18"/>
              </w:rPr>
              <w:t>0.00</w:t>
            </w:r>
          </w:p>
        </w:tc>
        <w:tc>
          <w:tcPr>
            <w:tcW w:w="1198" w:type="dxa"/>
            <w:shd w:val="clear" w:color="auto" w:fill="CCE2ED"/>
          </w:tcPr>
          <w:p w14:paraId="2953611E" w14:textId="77777777" w:rsidR="00141B97" w:rsidRDefault="00911D63">
            <w:pPr>
              <w:pStyle w:val="TableParagraph"/>
              <w:spacing w:before="1" w:line="199" w:lineRule="exact"/>
              <w:ind w:right="96"/>
              <w:jc w:val="right"/>
              <w:rPr>
                <w:sz w:val="18"/>
              </w:rPr>
            </w:pPr>
            <w:r>
              <w:rPr>
                <w:spacing w:val="-4"/>
                <w:sz w:val="18"/>
              </w:rPr>
              <w:t>0.00</w:t>
            </w:r>
          </w:p>
        </w:tc>
        <w:tc>
          <w:tcPr>
            <w:tcW w:w="1199" w:type="dxa"/>
            <w:shd w:val="clear" w:color="auto" w:fill="CCE2ED"/>
          </w:tcPr>
          <w:p w14:paraId="7EC1804E" w14:textId="77777777" w:rsidR="00141B97" w:rsidRDefault="00911D63">
            <w:pPr>
              <w:pStyle w:val="TableParagraph"/>
              <w:spacing w:before="1" w:line="199" w:lineRule="exact"/>
              <w:ind w:right="97"/>
              <w:jc w:val="right"/>
              <w:rPr>
                <w:sz w:val="18"/>
              </w:rPr>
            </w:pPr>
            <w:r>
              <w:rPr>
                <w:spacing w:val="-4"/>
                <w:sz w:val="18"/>
              </w:rPr>
              <w:t>0.00</w:t>
            </w:r>
          </w:p>
        </w:tc>
        <w:tc>
          <w:tcPr>
            <w:tcW w:w="1198" w:type="dxa"/>
            <w:shd w:val="clear" w:color="auto" w:fill="CCE2ED"/>
          </w:tcPr>
          <w:p w14:paraId="60642A51" w14:textId="77777777" w:rsidR="00141B97" w:rsidRDefault="00911D63">
            <w:pPr>
              <w:pStyle w:val="TableParagraph"/>
              <w:spacing w:before="1" w:line="199" w:lineRule="exact"/>
              <w:ind w:right="96"/>
              <w:jc w:val="right"/>
              <w:rPr>
                <w:sz w:val="18"/>
              </w:rPr>
            </w:pPr>
            <w:r>
              <w:rPr>
                <w:spacing w:val="-4"/>
                <w:sz w:val="18"/>
              </w:rPr>
              <w:t>0.00</w:t>
            </w:r>
          </w:p>
        </w:tc>
        <w:tc>
          <w:tcPr>
            <w:tcW w:w="1013" w:type="dxa"/>
            <w:tcBorders>
              <w:right w:val="nil"/>
            </w:tcBorders>
            <w:shd w:val="clear" w:color="auto" w:fill="CCE2ED"/>
          </w:tcPr>
          <w:p w14:paraId="7DB85A89" w14:textId="77777777" w:rsidR="00141B97" w:rsidRDefault="00911D63">
            <w:pPr>
              <w:pStyle w:val="TableParagraph"/>
              <w:spacing w:before="1" w:line="199" w:lineRule="exact"/>
              <w:ind w:right="86"/>
              <w:jc w:val="right"/>
              <w:rPr>
                <w:sz w:val="18"/>
              </w:rPr>
            </w:pPr>
            <w:r>
              <w:rPr>
                <w:spacing w:val="-4"/>
                <w:sz w:val="18"/>
              </w:rPr>
              <w:t>7.00</w:t>
            </w:r>
          </w:p>
        </w:tc>
      </w:tr>
      <w:tr w:rsidR="00141B97" w14:paraId="3BE3FC9E" w14:textId="77777777">
        <w:trPr>
          <w:trHeight w:val="220"/>
          <w:tblCellSpacing w:w="9" w:type="dxa"/>
        </w:trPr>
        <w:tc>
          <w:tcPr>
            <w:tcW w:w="5408" w:type="dxa"/>
            <w:tcBorders>
              <w:left w:val="nil"/>
            </w:tcBorders>
            <w:shd w:val="clear" w:color="auto" w:fill="CCE2ED"/>
          </w:tcPr>
          <w:p w14:paraId="660DFD9D" w14:textId="77777777" w:rsidR="00141B97" w:rsidRDefault="00911D63">
            <w:pPr>
              <w:pStyle w:val="TableParagraph"/>
              <w:spacing w:line="200" w:lineRule="exact"/>
              <w:ind w:left="88"/>
              <w:rPr>
                <w:sz w:val="18"/>
              </w:rPr>
            </w:pPr>
            <w:r>
              <w:rPr>
                <w:sz w:val="18"/>
              </w:rPr>
              <w:t>RC</w:t>
            </w:r>
            <w:r>
              <w:rPr>
                <w:spacing w:val="-2"/>
                <w:sz w:val="18"/>
              </w:rPr>
              <w:t xml:space="preserve"> </w:t>
            </w:r>
            <w:r>
              <w:rPr>
                <w:sz w:val="18"/>
              </w:rPr>
              <w:t>‐</w:t>
            </w:r>
            <w:r>
              <w:rPr>
                <w:spacing w:val="-1"/>
                <w:sz w:val="18"/>
              </w:rPr>
              <w:t xml:space="preserve"> </w:t>
            </w:r>
            <w:r>
              <w:rPr>
                <w:sz w:val="18"/>
              </w:rPr>
              <w:t>Pump</w:t>
            </w:r>
            <w:r>
              <w:rPr>
                <w:spacing w:val="-1"/>
                <w:sz w:val="18"/>
              </w:rPr>
              <w:t xml:space="preserve"> </w:t>
            </w:r>
            <w:r>
              <w:rPr>
                <w:sz w:val="18"/>
              </w:rPr>
              <w:t>refurbishment</w:t>
            </w:r>
            <w:r>
              <w:rPr>
                <w:spacing w:val="-2"/>
                <w:sz w:val="18"/>
              </w:rPr>
              <w:t xml:space="preserve"> </w:t>
            </w:r>
            <w:r>
              <w:rPr>
                <w:sz w:val="18"/>
              </w:rPr>
              <w:t>RC</w:t>
            </w:r>
            <w:r>
              <w:rPr>
                <w:spacing w:val="-2"/>
                <w:sz w:val="18"/>
              </w:rPr>
              <w:t xml:space="preserve"> </w:t>
            </w:r>
            <w:r>
              <w:rPr>
                <w:sz w:val="18"/>
              </w:rPr>
              <w:t>main irrigation</w:t>
            </w:r>
            <w:r>
              <w:rPr>
                <w:spacing w:val="-1"/>
                <w:sz w:val="18"/>
              </w:rPr>
              <w:t xml:space="preserve"> </w:t>
            </w:r>
            <w:r>
              <w:rPr>
                <w:sz w:val="18"/>
              </w:rPr>
              <w:t>PS</w:t>
            </w:r>
            <w:r>
              <w:rPr>
                <w:spacing w:val="-1"/>
                <w:sz w:val="18"/>
              </w:rPr>
              <w:t xml:space="preserve"> </w:t>
            </w:r>
            <w:r>
              <w:rPr>
                <w:sz w:val="18"/>
              </w:rPr>
              <w:t>(Pump 1</w:t>
            </w:r>
            <w:r>
              <w:rPr>
                <w:spacing w:val="-1"/>
                <w:sz w:val="18"/>
              </w:rPr>
              <w:t xml:space="preserve"> </w:t>
            </w:r>
            <w:r>
              <w:rPr>
                <w:sz w:val="18"/>
              </w:rPr>
              <w:t>and</w:t>
            </w:r>
            <w:r>
              <w:rPr>
                <w:spacing w:val="-1"/>
                <w:sz w:val="18"/>
              </w:rPr>
              <w:t xml:space="preserve"> </w:t>
            </w:r>
            <w:r>
              <w:rPr>
                <w:sz w:val="18"/>
              </w:rPr>
              <w:t xml:space="preserve">pump </w:t>
            </w:r>
            <w:r>
              <w:rPr>
                <w:spacing w:val="-5"/>
                <w:sz w:val="18"/>
              </w:rPr>
              <w:t>2)</w:t>
            </w:r>
          </w:p>
        </w:tc>
        <w:tc>
          <w:tcPr>
            <w:tcW w:w="1393" w:type="dxa"/>
            <w:shd w:val="clear" w:color="auto" w:fill="CCE2ED"/>
          </w:tcPr>
          <w:p w14:paraId="41C7617A" w14:textId="77777777" w:rsidR="00141B97" w:rsidRDefault="00911D63">
            <w:pPr>
              <w:pStyle w:val="TableParagraph"/>
              <w:spacing w:line="200" w:lineRule="exact"/>
              <w:ind w:right="95"/>
              <w:jc w:val="right"/>
              <w:rPr>
                <w:sz w:val="18"/>
              </w:rPr>
            </w:pPr>
            <w:r>
              <w:rPr>
                <w:spacing w:val="-2"/>
                <w:sz w:val="18"/>
              </w:rPr>
              <w:t>Irrigation</w:t>
            </w:r>
          </w:p>
        </w:tc>
        <w:tc>
          <w:tcPr>
            <w:tcW w:w="1860" w:type="dxa"/>
            <w:shd w:val="clear" w:color="auto" w:fill="CCE2ED"/>
          </w:tcPr>
          <w:p w14:paraId="18F35F50" w14:textId="77777777" w:rsidR="00141B97" w:rsidRDefault="00911D63">
            <w:pPr>
              <w:pStyle w:val="TableParagraph"/>
              <w:spacing w:line="200" w:lineRule="exact"/>
              <w:ind w:right="95"/>
              <w:jc w:val="right"/>
              <w:rPr>
                <w:sz w:val="18"/>
              </w:rPr>
            </w:pPr>
            <w:r>
              <w:rPr>
                <w:spacing w:val="-2"/>
                <w:sz w:val="18"/>
              </w:rPr>
              <w:t>Renewals</w:t>
            </w:r>
          </w:p>
        </w:tc>
        <w:tc>
          <w:tcPr>
            <w:tcW w:w="1199" w:type="dxa"/>
            <w:shd w:val="clear" w:color="auto" w:fill="CCE2ED"/>
          </w:tcPr>
          <w:p w14:paraId="4B9C394F" w14:textId="77777777" w:rsidR="00141B97" w:rsidRDefault="00911D63">
            <w:pPr>
              <w:pStyle w:val="TableParagraph"/>
              <w:spacing w:line="200" w:lineRule="exact"/>
              <w:ind w:right="96"/>
              <w:jc w:val="right"/>
              <w:rPr>
                <w:sz w:val="18"/>
              </w:rPr>
            </w:pPr>
            <w:r>
              <w:rPr>
                <w:spacing w:val="-4"/>
                <w:sz w:val="18"/>
              </w:rPr>
              <w:t>0.00</w:t>
            </w:r>
          </w:p>
        </w:tc>
        <w:tc>
          <w:tcPr>
            <w:tcW w:w="1198" w:type="dxa"/>
            <w:shd w:val="clear" w:color="auto" w:fill="CCE2ED"/>
          </w:tcPr>
          <w:p w14:paraId="434F5CD9" w14:textId="77777777" w:rsidR="00141B97" w:rsidRDefault="00911D63">
            <w:pPr>
              <w:pStyle w:val="TableParagraph"/>
              <w:spacing w:line="200" w:lineRule="exact"/>
              <w:ind w:right="95"/>
              <w:jc w:val="right"/>
              <w:rPr>
                <w:sz w:val="18"/>
              </w:rPr>
            </w:pPr>
            <w:r>
              <w:rPr>
                <w:spacing w:val="-4"/>
                <w:sz w:val="18"/>
              </w:rPr>
              <w:t>0.05</w:t>
            </w:r>
          </w:p>
        </w:tc>
        <w:tc>
          <w:tcPr>
            <w:tcW w:w="1198" w:type="dxa"/>
            <w:shd w:val="clear" w:color="auto" w:fill="CCE2ED"/>
          </w:tcPr>
          <w:p w14:paraId="56A9BFCE" w14:textId="77777777" w:rsidR="00141B97" w:rsidRDefault="00911D63">
            <w:pPr>
              <w:pStyle w:val="TableParagraph"/>
              <w:spacing w:line="200" w:lineRule="exact"/>
              <w:ind w:right="96"/>
              <w:jc w:val="right"/>
              <w:rPr>
                <w:sz w:val="18"/>
              </w:rPr>
            </w:pPr>
            <w:r>
              <w:rPr>
                <w:spacing w:val="-4"/>
                <w:sz w:val="18"/>
              </w:rPr>
              <w:t>0.25</w:t>
            </w:r>
          </w:p>
        </w:tc>
        <w:tc>
          <w:tcPr>
            <w:tcW w:w="1199" w:type="dxa"/>
            <w:shd w:val="clear" w:color="auto" w:fill="CCE2ED"/>
          </w:tcPr>
          <w:p w14:paraId="49302CE9" w14:textId="77777777" w:rsidR="00141B97" w:rsidRDefault="00911D63">
            <w:pPr>
              <w:pStyle w:val="TableParagraph"/>
              <w:spacing w:line="200" w:lineRule="exact"/>
              <w:ind w:right="97"/>
              <w:jc w:val="right"/>
              <w:rPr>
                <w:sz w:val="18"/>
              </w:rPr>
            </w:pPr>
            <w:r>
              <w:rPr>
                <w:spacing w:val="-4"/>
                <w:sz w:val="18"/>
              </w:rPr>
              <w:t>0.20</w:t>
            </w:r>
          </w:p>
        </w:tc>
        <w:tc>
          <w:tcPr>
            <w:tcW w:w="1198" w:type="dxa"/>
            <w:shd w:val="clear" w:color="auto" w:fill="CCE2ED"/>
          </w:tcPr>
          <w:p w14:paraId="5837AFC6" w14:textId="77777777" w:rsidR="00141B97" w:rsidRDefault="00911D63">
            <w:pPr>
              <w:pStyle w:val="TableParagraph"/>
              <w:spacing w:line="200" w:lineRule="exact"/>
              <w:ind w:right="96"/>
              <w:jc w:val="right"/>
              <w:rPr>
                <w:sz w:val="18"/>
              </w:rPr>
            </w:pPr>
            <w:r>
              <w:rPr>
                <w:spacing w:val="-4"/>
                <w:sz w:val="18"/>
              </w:rPr>
              <w:t>0.00</w:t>
            </w:r>
          </w:p>
        </w:tc>
        <w:tc>
          <w:tcPr>
            <w:tcW w:w="1013" w:type="dxa"/>
            <w:tcBorders>
              <w:right w:val="nil"/>
            </w:tcBorders>
            <w:shd w:val="clear" w:color="auto" w:fill="CCE2ED"/>
          </w:tcPr>
          <w:p w14:paraId="6B5F238E" w14:textId="77777777" w:rsidR="00141B97" w:rsidRDefault="00911D63">
            <w:pPr>
              <w:pStyle w:val="TableParagraph"/>
              <w:spacing w:line="200" w:lineRule="exact"/>
              <w:ind w:right="86"/>
              <w:jc w:val="right"/>
              <w:rPr>
                <w:sz w:val="18"/>
              </w:rPr>
            </w:pPr>
            <w:r>
              <w:rPr>
                <w:spacing w:val="-4"/>
                <w:sz w:val="18"/>
              </w:rPr>
              <w:t>0.50</w:t>
            </w:r>
          </w:p>
        </w:tc>
      </w:tr>
      <w:tr w:rsidR="00141B97" w14:paraId="5CD70D76" w14:textId="77777777">
        <w:trPr>
          <w:trHeight w:val="438"/>
          <w:tblCellSpacing w:w="9" w:type="dxa"/>
        </w:trPr>
        <w:tc>
          <w:tcPr>
            <w:tcW w:w="5408" w:type="dxa"/>
            <w:tcBorders>
              <w:left w:val="nil"/>
            </w:tcBorders>
            <w:shd w:val="clear" w:color="auto" w:fill="CCE2ED"/>
          </w:tcPr>
          <w:p w14:paraId="345F00F5" w14:textId="77777777" w:rsidR="00141B97" w:rsidRDefault="00911D63">
            <w:pPr>
              <w:pStyle w:val="TableParagraph"/>
              <w:spacing w:before="110"/>
              <w:ind w:left="88"/>
              <w:rPr>
                <w:sz w:val="18"/>
              </w:rPr>
            </w:pPr>
            <w:r>
              <w:rPr>
                <w:sz w:val="18"/>
              </w:rPr>
              <w:t>RC</w:t>
            </w:r>
            <w:r>
              <w:rPr>
                <w:spacing w:val="-4"/>
                <w:sz w:val="18"/>
              </w:rPr>
              <w:t xml:space="preserve"> </w:t>
            </w:r>
            <w:r>
              <w:rPr>
                <w:sz w:val="18"/>
              </w:rPr>
              <w:t>‐</w:t>
            </w:r>
            <w:r>
              <w:rPr>
                <w:spacing w:val="-1"/>
                <w:sz w:val="18"/>
              </w:rPr>
              <w:t xml:space="preserve"> </w:t>
            </w:r>
            <w:r>
              <w:rPr>
                <w:sz w:val="18"/>
              </w:rPr>
              <w:t>Pillars</w:t>
            </w:r>
            <w:r>
              <w:rPr>
                <w:spacing w:val="-2"/>
                <w:sz w:val="18"/>
              </w:rPr>
              <w:t xml:space="preserve"> </w:t>
            </w:r>
            <w:r>
              <w:rPr>
                <w:sz w:val="18"/>
              </w:rPr>
              <w:t>pressure</w:t>
            </w:r>
            <w:r>
              <w:rPr>
                <w:spacing w:val="-2"/>
                <w:sz w:val="18"/>
              </w:rPr>
              <w:t xml:space="preserve"> </w:t>
            </w:r>
            <w:r>
              <w:rPr>
                <w:sz w:val="18"/>
              </w:rPr>
              <w:t>pit</w:t>
            </w:r>
            <w:r>
              <w:rPr>
                <w:spacing w:val="-2"/>
                <w:sz w:val="18"/>
              </w:rPr>
              <w:t xml:space="preserve"> </w:t>
            </w:r>
            <w:r>
              <w:rPr>
                <w:sz w:val="18"/>
              </w:rPr>
              <w:t>remediation</w:t>
            </w:r>
            <w:r>
              <w:rPr>
                <w:spacing w:val="-2"/>
                <w:sz w:val="18"/>
              </w:rPr>
              <w:t xml:space="preserve"> </w:t>
            </w:r>
            <w:r>
              <w:rPr>
                <w:sz w:val="18"/>
              </w:rPr>
              <w:t>and</w:t>
            </w:r>
            <w:r>
              <w:rPr>
                <w:spacing w:val="-1"/>
                <w:sz w:val="18"/>
              </w:rPr>
              <w:t xml:space="preserve"> </w:t>
            </w:r>
            <w:r>
              <w:rPr>
                <w:sz w:val="18"/>
              </w:rPr>
              <w:t>insert</w:t>
            </w:r>
            <w:r>
              <w:rPr>
                <w:spacing w:val="-2"/>
                <w:sz w:val="18"/>
              </w:rPr>
              <w:t xml:space="preserve"> </w:t>
            </w:r>
            <w:r>
              <w:rPr>
                <w:sz w:val="18"/>
              </w:rPr>
              <w:t>3</w:t>
            </w:r>
            <w:r>
              <w:rPr>
                <w:spacing w:val="-1"/>
                <w:sz w:val="18"/>
              </w:rPr>
              <w:t xml:space="preserve"> </w:t>
            </w:r>
            <w:r>
              <w:rPr>
                <w:sz w:val="18"/>
              </w:rPr>
              <w:t>x</w:t>
            </w:r>
            <w:r>
              <w:rPr>
                <w:spacing w:val="-2"/>
                <w:sz w:val="18"/>
              </w:rPr>
              <w:t xml:space="preserve"> </w:t>
            </w:r>
            <w:r>
              <w:rPr>
                <w:sz w:val="18"/>
              </w:rPr>
              <w:t>isolation</w:t>
            </w:r>
            <w:r>
              <w:rPr>
                <w:spacing w:val="-1"/>
                <w:sz w:val="18"/>
              </w:rPr>
              <w:t xml:space="preserve"> </w:t>
            </w:r>
            <w:r>
              <w:rPr>
                <w:spacing w:val="-2"/>
                <w:sz w:val="18"/>
              </w:rPr>
              <w:t>valves</w:t>
            </w:r>
          </w:p>
        </w:tc>
        <w:tc>
          <w:tcPr>
            <w:tcW w:w="1393" w:type="dxa"/>
            <w:shd w:val="clear" w:color="auto" w:fill="CCE2ED"/>
          </w:tcPr>
          <w:p w14:paraId="3BB47C63"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1614C373"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359AD251" w14:textId="77777777" w:rsidR="00141B97" w:rsidRDefault="00911D63">
            <w:pPr>
              <w:pStyle w:val="TableParagraph"/>
              <w:spacing w:before="110"/>
              <w:ind w:right="96"/>
              <w:jc w:val="right"/>
              <w:rPr>
                <w:sz w:val="18"/>
              </w:rPr>
            </w:pPr>
            <w:r>
              <w:rPr>
                <w:spacing w:val="-4"/>
                <w:sz w:val="18"/>
              </w:rPr>
              <w:t>0.33</w:t>
            </w:r>
          </w:p>
        </w:tc>
        <w:tc>
          <w:tcPr>
            <w:tcW w:w="1198" w:type="dxa"/>
            <w:shd w:val="clear" w:color="auto" w:fill="CCE2ED"/>
          </w:tcPr>
          <w:p w14:paraId="0F834878" w14:textId="77777777" w:rsidR="00141B97" w:rsidRDefault="00911D63">
            <w:pPr>
              <w:pStyle w:val="TableParagraph"/>
              <w:spacing w:before="110"/>
              <w:ind w:right="95"/>
              <w:jc w:val="right"/>
              <w:rPr>
                <w:sz w:val="18"/>
              </w:rPr>
            </w:pPr>
            <w:r>
              <w:rPr>
                <w:spacing w:val="-4"/>
                <w:sz w:val="18"/>
              </w:rPr>
              <w:t>0.27</w:t>
            </w:r>
          </w:p>
        </w:tc>
        <w:tc>
          <w:tcPr>
            <w:tcW w:w="1198" w:type="dxa"/>
            <w:shd w:val="clear" w:color="auto" w:fill="CCE2ED"/>
          </w:tcPr>
          <w:p w14:paraId="3A7FCB4E"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53A75384"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553BC32C"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70BB4F1D" w14:textId="77777777" w:rsidR="00141B97" w:rsidRDefault="00911D63">
            <w:pPr>
              <w:pStyle w:val="TableParagraph"/>
              <w:spacing w:before="110"/>
              <w:ind w:right="86"/>
              <w:jc w:val="right"/>
              <w:rPr>
                <w:sz w:val="18"/>
              </w:rPr>
            </w:pPr>
            <w:r>
              <w:rPr>
                <w:spacing w:val="-4"/>
                <w:sz w:val="18"/>
              </w:rPr>
              <w:t>0.60</w:t>
            </w:r>
          </w:p>
        </w:tc>
      </w:tr>
      <w:tr w:rsidR="00141B97" w14:paraId="71881A72" w14:textId="77777777">
        <w:trPr>
          <w:trHeight w:val="218"/>
          <w:tblCellSpacing w:w="9" w:type="dxa"/>
        </w:trPr>
        <w:tc>
          <w:tcPr>
            <w:tcW w:w="5408" w:type="dxa"/>
            <w:tcBorders>
              <w:left w:val="nil"/>
            </w:tcBorders>
            <w:shd w:val="clear" w:color="auto" w:fill="CCE2ED"/>
          </w:tcPr>
          <w:p w14:paraId="412C4082" w14:textId="77777777" w:rsidR="00141B97" w:rsidRDefault="00911D63">
            <w:pPr>
              <w:pStyle w:val="TableParagraph"/>
              <w:spacing w:line="198" w:lineRule="exact"/>
              <w:ind w:left="88"/>
              <w:rPr>
                <w:sz w:val="18"/>
              </w:rPr>
            </w:pPr>
            <w:r>
              <w:rPr>
                <w:sz w:val="18"/>
              </w:rPr>
              <w:t>RC</w:t>
            </w:r>
            <w:r>
              <w:rPr>
                <w:spacing w:val="-2"/>
                <w:sz w:val="18"/>
              </w:rPr>
              <w:t xml:space="preserve"> </w:t>
            </w:r>
            <w:r>
              <w:rPr>
                <w:sz w:val="18"/>
              </w:rPr>
              <w:t>‐</w:t>
            </w:r>
            <w:r>
              <w:rPr>
                <w:spacing w:val="-1"/>
                <w:sz w:val="18"/>
              </w:rPr>
              <w:t xml:space="preserve"> </w:t>
            </w:r>
            <w:r>
              <w:rPr>
                <w:sz w:val="18"/>
              </w:rPr>
              <w:t>Minor</w:t>
            </w:r>
            <w:r>
              <w:rPr>
                <w:spacing w:val="-1"/>
                <w:sz w:val="18"/>
              </w:rPr>
              <w:t xml:space="preserve"> </w:t>
            </w:r>
            <w:r>
              <w:rPr>
                <w:sz w:val="18"/>
              </w:rPr>
              <w:t>VSD</w:t>
            </w:r>
            <w:r>
              <w:rPr>
                <w:spacing w:val="-3"/>
                <w:sz w:val="18"/>
              </w:rPr>
              <w:t xml:space="preserve"> </w:t>
            </w:r>
            <w:r>
              <w:rPr>
                <w:sz w:val="18"/>
              </w:rPr>
              <w:t>Replacement</w:t>
            </w:r>
            <w:r>
              <w:rPr>
                <w:spacing w:val="-1"/>
                <w:sz w:val="18"/>
              </w:rPr>
              <w:t xml:space="preserve"> </w:t>
            </w:r>
            <w:r>
              <w:rPr>
                <w:sz w:val="18"/>
              </w:rPr>
              <w:t>(Relift</w:t>
            </w:r>
            <w:r>
              <w:rPr>
                <w:spacing w:val="-2"/>
                <w:sz w:val="18"/>
              </w:rPr>
              <w:t xml:space="preserve"> </w:t>
            </w:r>
            <w:r>
              <w:rPr>
                <w:sz w:val="18"/>
              </w:rPr>
              <w:t>A,</w:t>
            </w:r>
            <w:r>
              <w:rPr>
                <w:spacing w:val="-1"/>
                <w:sz w:val="18"/>
              </w:rPr>
              <w:t xml:space="preserve"> </w:t>
            </w:r>
            <w:r>
              <w:rPr>
                <w:sz w:val="18"/>
              </w:rPr>
              <w:t>B</w:t>
            </w:r>
            <w:r>
              <w:rPr>
                <w:spacing w:val="-2"/>
                <w:sz w:val="18"/>
              </w:rPr>
              <w:t xml:space="preserve"> </w:t>
            </w:r>
            <w:r>
              <w:rPr>
                <w:sz w:val="18"/>
              </w:rPr>
              <w:t xml:space="preserve">&amp; </w:t>
            </w:r>
            <w:r>
              <w:rPr>
                <w:spacing w:val="-5"/>
                <w:sz w:val="18"/>
              </w:rPr>
              <w:t>C)</w:t>
            </w:r>
          </w:p>
        </w:tc>
        <w:tc>
          <w:tcPr>
            <w:tcW w:w="1393" w:type="dxa"/>
            <w:shd w:val="clear" w:color="auto" w:fill="CCE2ED"/>
          </w:tcPr>
          <w:p w14:paraId="59B3907E" w14:textId="77777777" w:rsidR="00141B97" w:rsidRDefault="00911D63">
            <w:pPr>
              <w:pStyle w:val="TableParagraph"/>
              <w:spacing w:line="198" w:lineRule="exact"/>
              <w:ind w:right="95"/>
              <w:jc w:val="right"/>
              <w:rPr>
                <w:sz w:val="18"/>
              </w:rPr>
            </w:pPr>
            <w:r>
              <w:rPr>
                <w:spacing w:val="-2"/>
                <w:sz w:val="18"/>
              </w:rPr>
              <w:t>Irrigation</w:t>
            </w:r>
          </w:p>
        </w:tc>
        <w:tc>
          <w:tcPr>
            <w:tcW w:w="1860" w:type="dxa"/>
            <w:shd w:val="clear" w:color="auto" w:fill="CCE2ED"/>
          </w:tcPr>
          <w:p w14:paraId="58BB26BC" w14:textId="77777777" w:rsidR="00141B97" w:rsidRDefault="00911D63">
            <w:pPr>
              <w:pStyle w:val="TableParagraph"/>
              <w:spacing w:line="198" w:lineRule="exact"/>
              <w:ind w:right="95"/>
              <w:jc w:val="right"/>
              <w:rPr>
                <w:sz w:val="18"/>
              </w:rPr>
            </w:pPr>
            <w:r>
              <w:rPr>
                <w:spacing w:val="-2"/>
                <w:sz w:val="18"/>
              </w:rPr>
              <w:t>Renewals</w:t>
            </w:r>
          </w:p>
        </w:tc>
        <w:tc>
          <w:tcPr>
            <w:tcW w:w="1199" w:type="dxa"/>
            <w:shd w:val="clear" w:color="auto" w:fill="CCE2ED"/>
          </w:tcPr>
          <w:p w14:paraId="1EC9E8E5" w14:textId="77777777" w:rsidR="00141B97" w:rsidRDefault="00911D63">
            <w:pPr>
              <w:pStyle w:val="TableParagraph"/>
              <w:spacing w:line="198" w:lineRule="exact"/>
              <w:ind w:right="96"/>
              <w:jc w:val="right"/>
              <w:rPr>
                <w:sz w:val="18"/>
              </w:rPr>
            </w:pPr>
            <w:r>
              <w:rPr>
                <w:spacing w:val="-4"/>
                <w:sz w:val="18"/>
              </w:rPr>
              <w:t>0.00</w:t>
            </w:r>
          </w:p>
        </w:tc>
        <w:tc>
          <w:tcPr>
            <w:tcW w:w="1198" w:type="dxa"/>
            <w:shd w:val="clear" w:color="auto" w:fill="CCE2ED"/>
          </w:tcPr>
          <w:p w14:paraId="42F85090" w14:textId="77777777" w:rsidR="00141B97" w:rsidRDefault="00911D63">
            <w:pPr>
              <w:pStyle w:val="TableParagraph"/>
              <w:spacing w:line="198" w:lineRule="exact"/>
              <w:ind w:right="95"/>
              <w:jc w:val="right"/>
              <w:rPr>
                <w:sz w:val="18"/>
              </w:rPr>
            </w:pPr>
            <w:r>
              <w:rPr>
                <w:spacing w:val="-4"/>
                <w:sz w:val="18"/>
              </w:rPr>
              <w:t>0.00</w:t>
            </w:r>
          </w:p>
        </w:tc>
        <w:tc>
          <w:tcPr>
            <w:tcW w:w="1198" w:type="dxa"/>
            <w:shd w:val="clear" w:color="auto" w:fill="CCE2ED"/>
          </w:tcPr>
          <w:p w14:paraId="4B378711" w14:textId="77777777" w:rsidR="00141B97" w:rsidRDefault="00911D63">
            <w:pPr>
              <w:pStyle w:val="TableParagraph"/>
              <w:spacing w:line="198" w:lineRule="exact"/>
              <w:ind w:right="96"/>
              <w:jc w:val="right"/>
              <w:rPr>
                <w:sz w:val="18"/>
              </w:rPr>
            </w:pPr>
            <w:r>
              <w:rPr>
                <w:spacing w:val="-4"/>
                <w:sz w:val="18"/>
              </w:rPr>
              <w:t>0.00</w:t>
            </w:r>
          </w:p>
        </w:tc>
        <w:tc>
          <w:tcPr>
            <w:tcW w:w="1199" w:type="dxa"/>
            <w:shd w:val="clear" w:color="auto" w:fill="CCE2ED"/>
          </w:tcPr>
          <w:p w14:paraId="2C458074" w14:textId="77777777" w:rsidR="00141B97" w:rsidRDefault="00911D63">
            <w:pPr>
              <w:pStyle w:val="TableParagraph"/>
              <w:spacing w:line="198" w:lineRule="exact"/>
              <w:ind w:right="97"/>
              <w:jc w:val="right"/>
              <w:rPr>
                <w:sz w:val="18"/>
              </w:rPr>
            </w:pPr>
            <w:r>
              <w:rPr>
                <w:spacing w:val="-4"/>
                <w:sz w:val="18"/>
              </w:rPr>
              <w:t>0.30</w:t>
            </w:r>
          </w:p>
        </w:tc>
        <w:tc>
          <w:tcPr>
            <w:tcW w:w="1198" w:type="dxa"/>
            <w:shd w:val="clear" w:color="auto" w:fill="CCE2ED"/>
          </w:tcPr>
          <w:p w14:paraId="015D9D7D" w14:textId="77777777" w:rsidR="00141B97" w:rsidRDefault="00911D63">
            <w:pPr>
              <w:pStyle w:val="TableParagraph"/>
              <w:spacing w:line="198" w:lineRule="exact"/>
              <w:ind w:right="96"/>
              <w:jc w:val="right"/>
              <w:rPr>
                <w:sz w:val="18"/>
              </w:rPr>
            </w:pPr>
            <w:r>
              <w:rPr>
                <w:spacing w:val="-4"/>
                <w:sz w:val="18"/>
              </w:rPr>
              <w:t>0.31</w:t>
            </w:r>
          </w:p>
        </w:tc>
        <w:tc>
          <w:tcPr>
            <w:tcW w:w="1013" w:type="dxa"/>
            <w:tcBorders>
              <w:right w:val="nil"/>
            </w:tcBorders>
            <w:shd w:val="clear" w:color="auto" w:fill="CCE2ED"/>
          </w:tcPr>
          <w:p w14:paraId="7F6F727D" w14:textId="77777777" w:rsidR="00141B97" w:rsidRDefault="00911D63">
            <w:pPr>
              <w:pStyle w:val="TableParagraph"/>
              <w:spacing w:line="198" w:lineRule="exact"/>
              <w:ind w:right="86"/>
              <w:jc w:val="right"/>
              <w:rPr>
                <w:sz w:val="18"/>
              </w:rPr>
            </w:pPr>
            <w:r>
              <w:rPr>
                <w:spacing w:val="-4"/>
                <w:sz w:val="18"/>
              </w:rPr>
              <w:t>0.61</w:t>
            </w:r>
          </w:p>
        </w:tc>
      </w:tr>
      <w:tr w:rsidR="00141B97" w14:paraId="094358A4" w14:textId="77777777">
        <w:trPr>
          <w:trHeight w:val="220"/>
          <w:tblCellSpacing w:w="9" w:type="dxa"/>
        </w:trPr>
        <w:tc>
          <w:tcPr>
            <w:tcW w:w="5408" w:type="dxa"/>
            <w:tcBorders>
              <w:left w:val="nil"/>
            </w:tcBorders>
            <w:shd w:val="clear" w:color="auto" w:fill="CCE2ED"/>
          </w:tcPr>
          <w:p w14:paraId="0D6B8885" w14:textId="77777777" w:rsidR="00141B97" w:rsidRDefault="00911D63">
            <w:pPr>
              <w:pStyle w:val="TableParagraph"/>
              <w:spacing w:before="1" w:line="199" w:lineRule="exact"/>
              <w:ind w:left="88"/>
              <w:rPr>
                <w:sz w:val="18"/>
              </w:rPr>
            </w:pPr>
            <w:r>
              <w:rPr>
                <w:sz w:val="18"/>
              </w:rPr>
              <w:t>RC</w:t>
            </w:r>
            <w:r>
              <w:rPr>
                <w:spacing w:val="-5"/>
                <w:sz w:val="18"/>
              </w:rPr>
              <w:t xml:space="preserve"> </w:t>
            </w:r>
            <w:r>
              <w:rPr>
                <w:sz w:val="18"/>
              </w:rPr>
              <w:t>‐</w:t>
            </w:r>
            <w:r>
              <w:rPr>
                <w:spacing w:val="-1"/>
                <w:sz w:val="18"/>
              </w:rPr>
              <w:t xml:space="preserve"> </w:t>
            </w:r>
            <w:r>
              <w:rPr>
                <w:sz w:val="18"/>
              </w:rPr>
              <w:t>Main</w:t>
            </w:r>
            <w:r>
              <w:rPr>
                <w:spacing w:val="-2"/>
                <w:sz w:val="18"/>
              </w:rPr>
              <w:t xml:space="preserve"> </w:t>
            </w:r>
            <w:r>
              <w:rPr>
                <w:sz w:val="18"/>
              </w:rPr>
              <w:t>PS</w:t>
            </w:r>
            <w:r>
              <w:rPr>
                <w:spacing w:val="-1"/>
                <w:sz w:val="18"/>
              </w:rPr>
              <w:t xml:space="preserve"> </w:t>
            </w:r>
            <w:r>
              <w:rPr>
                <w:sz w:val="18"/>
              </w:rPr>
              <w:t>Danfoss</w:t>
            </w:r>
            <w:r>
              <w:rPr>
                <w:spacing w:val="-2"/>
                <w:sz w:val="18"/>
              </w:rPr>
              <w:t xml:space="preserve"> </w:t>
            </w:r>
            <w:r>
              <w:rPr>
                <w:sz w:val="18"/>
              </w:rPr>
              <w:t>VSD</w:t>
            </w:r>
            <w:r>
              <w:rPr>
                <w:spacing w:val="-1"/>
                <w:sz w:val="18"/>
              </w:rPr>
              <w:t xml:space="preserve"> </w:t>
            </w:r>
            <w:r>
              <w:rPr>
                <w:spacing w:val="-2"/>
                <w:sz w:val="18"/>
              </w:rPr>
              <w:t>Refurbishment</w:t>
            </w:r>
          </w:p>
        </w:tc>
        <w:tc>
          <w:tcPr>
            <w:tcW w:w="1393" w:type="dxa"/>
            <w:shd w:val="clear" w:color="auto" w:fill="CCE2ED"/>
          </w:tcPr>
          <w:p w14:paraId="71610897"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3293847D"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604E7E28" w14:textId="77777777" w:rsidR="00141B97" w:rsidRDefault="00911D63">
            <w:pPr>
              <w:pStyle w:val="TableParagraph"/>
              <w:spacing w:before="1" w:line="199" w:lineRule="exact"/>
              <w:ind w:right="96"/>
              <w:jc w:val="right"/>
              <w:rPr>
                <w:sz w:val="18"/>
              </w:rPr>
            </w:pPr>
            <w:r>
              <w:rPr>
                <w:spacing w:val="-4"/>
                <w:sz w:val="18"/>
              </w:rPr>
              <w:t>0.36</w:t>
            </w:r>
          </w:p>
        </w:tc>
        <w:tc>
          <w:tcPr>
            <w:tcW w:w="1198" w:type="dxa"/>
            <w:shd w:val="clear" w:color="auto" w:fill="CCE2ED"/>
          </w:tcPr>
          <w:p w14:paraId="3E4AC110" w14:textId="77777777" w:rsidR="00141B97" w:rsidRDefault="00911D63">
            <w:pPr>
              <w:pStyle w:val="TableParagraph"/>
              <w:spacing w:before="1" w:line="199" w:lineRule="exact"/>
              <w:ind w:right="95"/>
              <w:jc w:val="right"/>
              <w:rPr>
                <w:sz w:val="18"/>
              </w:rPr>
            </w:pPr>
            <w:r>
              <w:rPr>
                <w:spacing w:val="-4"/>
                <w:sz w:val="18"/>
              </w:rPr>
              <w:t>0.36</w:t>
            </w:r>
          </w:p>
        </w:tc>
        <w:tc>
          <w:tcPr>
            <w:tcW w:w="1198" w:type="dxa"/>
            <w:shd w:val="clear" w:color="auto" w:fill="CCE2ED"/>
          </w:tcPr>
          <w:p w14:paraId="54DD584E" w14:textId="77777777" w:rsidR="00141B97" w:rsidRDefault="00911D63">
            <w:pPr>
              <w:pStyle w:val="TableParagraph"/>
              <w:spacing w:before="1" w:line="199" w:lineRule="exact"/>
              <w:ind w:right="96"/>
              <w:jc w:val="right"/>
              <w:rPr>
                <w:sz w:val="18"/>
              </w:rPr>
            </w:pPr>
            <w:r>
              <w:rPr>
                <w:spacing w:val="-4"/>
                <w:sz w:val="18"/>
              </w:rPr>
              <w:t>0.00</w:t>
            </w:r>
          </w:p>
        </w:tc>
        <w:tc>
          <w:tcPr>
            <w:tcW w:w="1199" w:type="dxa"/>
            <w:shd w:val="clear" w:color="auto" w:fill="CCE2ED"/>
          </w:tcPr>
          <w:p w14:paraId="4A918BD7" w14:textId="77777777" w:rsidR="00141B97" w:rsidRDefault="00911D63">
            <w:pPr>
              <w:pStyle w:val="TableParagraph"/>
              <w:spacing w:before="1" w:line="199" w:lineRule="exact"/>
              <w:ind w:right="97"/>
              <w:jc w:val="right"/>
              <w:rPr>
                <w:sz w:val="18"/>
              </w:rPr>
            </w:pPr>
            <w:r>
              <w:rPr>
                <w:spacing w:val="-4"/>
                <w:sz w:val="18"/>
              </w:rPr>
              <w:t>0.00</w:t>
            </w:r>
          </w:p>
        </w:tc>
        <w:tc>
          <w:tcPr>
            <w:tcW w:w="1198" w:type="dxa"/>
            <w:shd w:val="clear" w:color="auto" w:fill="CCE2ED"/>
          </w:tcPr>
          <w:p w14:paraId="4CAE9956" w14:textId="77777777" w:rsidR="00141B97" w:rsidRDefault="00911D63">
            <w:pPr>
              <w:pStyle w:val="TableParagraph"/>
              <w:spacing w:before="1" w:line="199" w:lineRule="exact"/>
              <w:ind w:right="96"/>
              <w:jc w:val="right"/>
              <w:rPr>
                <w:sz w:val="18"/>
              </w:rPr>
            </w:pPr>
            <w:r>
              <w:rPr>
                <w:spacing w:val="-4"/>
                <w:sz w:val="18"/>
              </w:rPr>
              <w:t>0.00</w:t>
            </w:r>
          </w:p>
        </w:tc>
        <w:tc>
          <w:tcPr>
            <w:tcW w:w="1013" w:type="dxa"/>
            <w:tcBorders>
              <w:right w:val="nil"/>
            </w:tcBorders>
            <w:shd w:val="clear" w:color="auto" w:fill="CCE2ED"/>
          </w:tcPr>
          <w:p w14:paraId="613D571A" w14:textId="77777777" w:rsidR="00141B97" w:rsidRDefault="00911D63">
            <w:pPr>
              <w:pStyle w:val="TableParagraph"/>
              <w:spacing w:before="1" w:line="199" w:lineRule="exact"/>
              <w:ind w:right="86"/>
              <w:jc w:val="right"/>
              <w:rPr>
                <w:sz w:val="18"/>
              </w:rPr>
            </w:pPr>
            <w:r>
              <w:rPr>
                <w:spacing w:val="-4"/>
                <w:sz w:val="18"/>
              </w:rPr>
              <w:t>0.72</w:t>
            </w:r>
          </w:p>
        </w:tc>
      </w:tr>
      <w:tr w:rsidR="00141B97" w14:paraId="574774D2" w14:textId="77777777">
        <w:trPr>
          <w:trHeight w:val="439"/>
          <w:tblCellSpacing w:w="9" w:type="dxa"/>
        </w:trPr>
        <w:tc>
          <w:tcPr>
            <w:tcW w:w="5408" w:type="dxa"/>
            <w:tcBorders>
              <w:left w:val="nil"/>
            </w:tcBorders>
            <w:shd w:val="clear" w:color="auto" w:fill="CCE2ED"/>
          </w:tcPr>
          <w:p w14:paraId="77AC3709" w14:textId="77777777" w:rsidR="00141B97" w:rsidRDefault="00911D63">
            <w:pPr>
              <w:pStyle w:val="TableParagraph"/>
              <w:spacing w:before="1"/>
              <w:ind w:left="88"/>
              <w:rPr>
                <w:sz w:val="18"/>
              </w:rPr>
            </w:pPr>
            <w:r>
              <w:rPr>
                <w:sz w:val="18"/>
              </w:rPr>
              <w:t>ROB</w:t>
            </w:r>
            <w:r>
              <w:rPr>
                <w:spacing w:val="-2"/>
                <w:sz w:val="18"/>
              </w:rPr>
              <w:t xml:space="preserve"> </w:t>
            </w:r>
            <w:r>
              <w:rPr>
                <w:sz w:val="18"/>
              </w:rPr>
              <w:t>‐</w:t>
            </w:r>
            <w:r>
              <w:rPr>
                <w:spacing w:val="-1"/>
                <w:sz w:val="18"/>
              </w:rPr>
              <w:t xml:space="preserve"> </w:t>
            </w:r>
            <w:r>
              <w:rPr>
                <w:sz w:val="18"/>
              </w:rPr>
              <w:t>ROBINVALE</w:t>
            </w:r>
            <w:r>
              <w:rPr>
                <w:spacing w:val="-1"/>
                <w:sz w:val="18"/>
              </w:rPr>
              <w:t xml:space="preserve"> </w:t>
            </w:r>
            <w:r>
              <w:rPr>
                <w:sz w:val="18"/>
              </w:rPr>
              <w:t>HIGH</w:t>
            </w:r>
            <w:r>
              <w:rPr>
                <w:spacing w:val="-1"/>
                <w:sz w:val="18"/>
              </w:rPr>
              <w:t xml:space="preserve"> </w:t>
            </w:r>
            <w:r>
              <w:rPr>
                <w:sz w:val="18"/>
              </w:rPr>
              <w:t>PRESSURE</w:t>
            </w:r>
            <w:r>
              <w:rPr>
                <w:spacing w:val="-1"/>
                <w:sz w:val="18"/>
              </w:rPr>
              <w:t xml:space="preserve"> </w:t>
            </w:r>
            <w:r>
              <w:rPr>
                <w:sz w:val="18"/>
              </w:rPr>
              <w:t>PUMP</w:t>
            </w:r>
            <w:r>
              <w:rPr>
                <w:spacing w:val="-2"/>
                <w:sz w:val="18"/>
              </w:rPr>
              <w:t xml:space="preserve"> </w:t>
            </w:r>
            <w:r>
              <w:rPr>
                <w:sz w:val="18"/>
              </w:rPr>
              <w:t>STATION</w:t>
            </w:r>
            <w:r>
              <w:rPr>
                <w:spacing w:val="-1"/>
                <w:sz w:val="18"/>
              </w:rPr>
              <w:t xml:space="preserve"> </w:t>
            </w:r>
            <w:r>
              <w:rPr>
                <w:sz w:val="18"/>
              </w:rPr>
              <w:t>‐ SCADA</w:t>
            </w:r>
            <w:r>
              <w:rPr>
                <w:spacing w:val="-2"/>
                <w:sz w:val="18"/>
              </w:rPr>
              <w:t xml:space="preserve"> </w:t>
            </w:r>
            <w:r>
              <w:rPr>
                <w:sz w:val="18"/>
              </w:rPr>
              <w:t xml:space="preserve">&amp; </w:t>
            </w:r>
            <w:r>
              <w:rPr>
                <w:spacing w:val="-2"/>
                <w:sz w:val="18"/>
              </w:rPr>
              <w:t>Control</w:t>
            </w:r>
          </w:p>
          <w:p w14:paraId="24C83B99" w14:textId="77777777" w:rsidR="00141B97" w:rsidRDefault="00911D63">
            <w:pPr>
              <w:pStyle w:val="TableParagraph"/>
              <w:spacing w:line="199" w:lineRule="exact"/>
              <w:ind w:left="88"/>
              <w:rPr>
                <w:sz w:val="18"/>
              </w:rPr>
            </w:pPr>
            <w:r>
              <w:rPr>
                <w:sz w:val="18"/>
              </w:rPr>
              <w:t>Systems</w:t>
            </w:r>
            <w:r>
              <w:rPr>
                <w:spacing w:val="-1"/>
                <w:sz w:val="18"/>
              </w:rPr>
              <w:t xml:space="preserve"> </w:t>
            </w:r>
            <w:r>
              <w:rPr>
                <w:spacing w:val="-2"/>
                <w:sz w:val="18"/>
              </w:rPr>
              <w:t>Renewal</w:t>
            </w:r>
          </w:p>
        </w:tc>
        <w:tc>
          <w:tcPr>
            <w:tcW w:w="1393" w:type="dxa"/>
            <w:shd w:val="clear" w:color="auto" w:fill="CCE2ED"/>
          </w:tcPr>
          <w:p w14:paraId="30A322A4"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7D74C10B" w14:textId="77777777" w:rsidR="00141B97" w:rsidRDefault="00911D63">
            <w:pPr>
              <w:pStyle w:val="TableParagraph"/>
              <w:spacing w:before="110"/>
              <w:ind w:right="95"/>
              <w:jc w:val="right"/>
              <w:rPr>
                <w:sz w:val="18"/>
              </w:rPr>
            </w:pPr>
            <w:r>
              <w:rPr>
                <w:spacing w:val="-2"/>
                <w:sz w:val="18"/>
              </w:rPr>
              <w:t>Renewals</w:t>
            </w:r>
          </w:p>
        </w:tc>
        <w:tc>
          <w:tcPr>
            <w:tcW w:w="1199" w:type="dxa"/>
            <w:shd w:val="clear" w:color="auto" w:fill="CCE2ED"/>
          </w:tcPr>
          <w:p w14:paraId="031ED08A"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5032F641"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4E1DF754" w14:textId="77777777" w:rsidR="00141B97" w:rsidRDefault="00911D63">
            <w:pPr>
              <w:pStyle w:val="TableParagraph"/>
              <w:spacing w:before="110"/>
              <w:ind w:right="96"/>
              <w:jc w:val="right"/>
              <w:rPr>
                <w:sz w:val="18"/>
              </w:rPr>
            </w:pPr>
            <w:r>
              <w:rPr>
                <w:spacing w:val="-4"/>
                <w:sz w:val="18"/>
              </w:rPr>
              <w:t>0.22</w:t>
            </w:r>
          </w:p>
        </w:tc>
        <w:tc>
          <w:tcPr>
            <w:tcW w:w="1199" w:type="dxa"/>
            <w:shd w:val="clear" w:color="auto" w:fill="CCE2ED"/>
          </w:tcPr>
          <w:p w14:paraId="6EA62894" w14:textId="77777777" w:rsidR="00141B97" w:rsidRDefault="00911D63">
            <w:pPr>
              <w:pStyle w:val="TableParagraph"/>
              <w:spacing w:before="110"/>
              <w:ind w:right="97"/>
              <w:jc w:val="right"/>
              <w:rPr>
                <w:sz w:val="18"/>
              </w:rPr>
            </w:pPr>
            <w:r>
              <w:rPr>
                <w:spacing w:val="-4"/>
                <w:sz w:val="18"/>
              </w:rPr>
              <w:t>0.44</w:t>
            </w:r>
          </w:p>
        </w:tc>
        <w:tc>
          <w:tcPr>
            <w:tcW w:w="1198" w:type="dxa"/>
            <w:shd w:val="clear" w:color="auto" w:fill="CCE2ED"/>
          </w:tcPr>
          <w:p w14:paraId="776FB883"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14067872" w14:textId="77777777" w:rsidR="00141B97" w:rsidRDefault="00911D63">
            <w:pPr>
              <w:pStyle w:val="TableParagraph"/>
              <w:spacing w:before="110"/>
              <w:ind w:right="86"/>
              <w:jc w:val="right"/>
              <w:rPr>
                <w:sz w:val="18"/>
              </w:rPr>
            </w:pPr>
            <w:r>
              <w:rPr>
                <w:spacing w:val="-4"/>
                <w:sz w:val="18"/>
              </w:rPr>
              <w:t>0.66</w:t>
            </w:r>
          </w:p>
        </w:tc>
      </w:tr>
      <w:tr w:rsidR="00141B97" w14:paraId="7D99C47A" w14:textId="77777777">
        <w:trPr>
          <w:trHeight w:val="314"/>
          <w:tblCellSpacing w:w="9" w:type="dxa"/>
        </w:trPr>
        <w:tc>
          <w:tcPr>
            <w:tcW w:w="5408" w:type="dxa"/>
            <w:tcBorders>
              <w:left w:val="nil"/>
            </w:tcBorders>
            <w:shd w:val="clear" w:color="auto" w:fill="BFBFBF"/>
          </w:tcPr>
          <w:p w14:paraId="6B597A19" w14:textId="77777777" w:rsidR="00141B97" w:rsidRDefault="00911D63">
            <w:pPr>
              <w:pStyle w:val="TableParagraph"/>
              <w:spacing w:before="48"/>
              <w:ind w:left="88"/>
              <w:rPr>
                <w:sz w:val="18"/>
              </w:rPr>
            </w:pPr>
            <w:r>
              <w:rPr>
                <w:sz w:val="18"/>
              </w:rPr>
              <w:t>Pumps</w:t>
            </w:r>
            <w:r>
              <w:rPr>
                <w:spacing w:val="-1"/>
                <w:sz w:val="18"/>
              </w:rPr>
              <w:t xml:space="preserve"> </w:t>
            </w:r>
            <w:r>
              <w:rPr>
                <w:sz w:val="18"/>
              </w:rPr>
              <w:t xml:space="preserve">‐ </w:t>
            </w:r>
            <w:r>
              <w:rPr>
                <w:spacing w:val="-2"/>
                <w:sz w:val="18"/>
              </w:rPr>
              <w:t>Drainage</w:t>
            </w:r>
          </w:p>
        </w:tc>
        <w:tc>
          <w:tcPr>
            <w:tcW w:w="1393" w:type="dxa"/>
            <w:shd w:val="clear" w:color="auto" w:fill="BFBFBF"/>
          </w:tcPr>
          <w:p w14:paraId="62ADFACE" w14:textId="77777777" w:rsidR="00141B97" w:rsidRDefault="00141B97">
            <w:pPr>
              <w:pStyle w:val="TableParagraph"/>
              <w:rPr>
                <w:rFonts w:ascii="Times New Roman"/>
                <w:sz w:val="18"/>
              </w:rPr>
            </w:pPr>
          </w:p>
        </w:tc>
        <w:tc>
          <w:tcPr>
            <w:tcW w:w="1860" w:type="dxa"/>
            <w:shd w:val="clear" w:color="auto" w:fill="BFBFBF"/>
          </w:tcPr>
          <w:p w14:paraId="477B9610" w14:textId="77777777" w:rsidR="00141B97" w:rsidRDefault="00141B97">
            <w:pPr>
              <w:pStyle w:val="TableParagraph"/>
              <w:rPr>
                <w:rFonts w:ascii="Times New Roman"/>
                <w:sz w:val="18"/>
              </w:rPr>
            </w:pPr>
          </w:p>
        </w:tc>
        <w:tc>
          <w:tcPr>
            <w:tcW w:w="1199" w:type="dxa"/>
            <w:shd w:val="clear" w:color="auto" w:fill="BFBFBF"/>
          </w:tcPr>
          <w:p w14:paraId="6B38CCDC" w14:textId="77777777" w:rsidR="00141B97" w:rsidRDefault="00141B97">
            <w:pPr>
              <w:pStyle w:val="TableParagraph"/>
              <w:rPr>
                <w:rFonts w:ascii="Times New Roman"/>
                <w:sz w:val="18"/>
              </w:rPr>
            </w:pPr>
          </w:p>
        </w:tc>
        <w:tc>
          <w:tcPr>
            <w:tcW w:w="1198" w:type="dxa"/>
            <w:shd w:val="clear" w:color="auto" w:fill="BFBFBF"/>
          </w:tcPr>
          <w:p w14:paraId="7D180715" w14:textId="77777777" w:rsidR="00141B97" w:rsidRDefault="00141B97">
            <w:pPr>
              <w:pStyle w:val="TableParagraph"/>
              <w:rPr>
                <w:rFonts w:ascii="Times New Roman"/>
                <w:sz w:val="18"/>
              </w:rPr>
            </w:pPr>
          </w:p>
        </w:tc>
        <w:tc>
          <w:tcPr>
            <w:tcW w:w="1198" w:type="dxa"/>
            <w:shd w:val="clear" w:color="auto" w:fill="BFBFBF"/>
          </w:tcPr>
          <w:p w14:paraId="1DD4B7E0" w14:textId="77777777" w:rsidR="00141B97" w:rsidRDefault="00141B97">
            <w:pPr>
              <w:pStyle w:val="TableParagraph"/>
              <w:rPr>
                <w:rFonts w:ascii="Times New Roman"/>
                <w:sz w:val="18"/>
              </w:rPr>
            </w:pPr>
          </w:p>
        </w:tc>
        <w:tc>
          <w:tcPr>
            <w:tcW w:w="1199" w:type="dxa"/>
            <w:shd w:val="clear" w:color="auto" w:fill="BFBFBF"/>
          </w:tcPr>
          <w:p w14:paraId="049EE0F9" w14:textId="77777777" w:rsidR="00141B97" w:rsidRDefault="00141B97">
            <w:pPr>
              <w:pStyle w:val="TableParagraph"/>
              <w:rPr>
                <w:rFonts w:ascii="Times New Roman"/>
                <w:sz w:val="18"/>
              </w:rPr>
            </w:pPr>
          </w:p>
        </w:tc>
        <w:tc>
          <w:tcPr>
            <w:tcW w:w="1198" w:type="dxa"/>
            <w:shd w:val="clear" w:color="auto" w:fill="BFBFBF"/>
          </w:tcPr>
          <w:p w14:paraId="5E2966B4" w14:textId="77777777" w:rsidR="00141B97" w:rsidRDefault="00141B97">
            <w:pPr>
              <w:pStyle w:val="TableParagraph"/>
              <w:rPr>
                <w:rFonts w:ascii="Times New Roman"/>
                <w:sz w:val="18"/>
              </w:rPr>
            </w:pPr>
          </w:p>
        </w:tc>
        <w:tc>
          <w:tcPr>
            <w:tcW w:w="1013" w:type="dxa"/>
            <w:tcBorders>
              <w:right w:val="nil"/>
            </w:tcBorders>
            <w:shd w:val="clear" w:color="auto" w:fill="BFBFBF"/>
          </w:tcPr>
          <w:p w14:paraId="7555F4B5" w14:textId="77777777" w:rsidR="00141B97" w:rsidRDefault="00141B97">
            <w:pPr>
              <w:pStyle w:val="TableParagraph"/>
              <w:rPr>
                <w:rFonts w:ascii="Times New Roman"/>
                <w:sz w:val="18"/>
              </w:rPr>
            </w:pPr>
          </w:p>
        </w:tc>
      </w:tr>
      <w:tr w:rsidR="00141B97" w14:paraId="22E8F0B3" w14:textId="77777777">
        <w:trPr>
          <w:trHeight w:val="220"/>
          <w:tblCellSpacing w:w="9" w:type="dxa"/>
        </w:trPr>
        <w:tc>
          <w:tcPr>
            <w:tcW w:w="5408" w:type="dxa"/>
            <w:tcBorders>
              <w:left w:val="nil"/>
            </w:tcBorders>
            <w:shd w:val="clear" w:color="auto" w:fill="CCE2ED"/>
          </w:tcPr>
          <w:p w14:paraId="0F137EEC" w14:textId="77777777" w:rsidR="00141B97" w:rsidRDefault="00911D63">
            <w:pPr>
              <w:pStyle w:val="TableParagraph"/>
              <w:spacing w:before="1" w:line="199" w:lineRule="exact"/>
              <w:ind w:left="88"/>
              <w:rPr>
                <w:sz w:val="18"/>
              </w:rPr>
            </w:pPr>
            <w:r>
              <w:rPr>
                <w:sz w:val="18"/>
              </w:rPr>
              <w:t>MER</w:t>
            </w:r>
            <w:r>
              <w:rPr>
                <w:spacing w:val="-1"/>
                <w:sz w:val="18"/>
              </w:rPr>
              <w:t xml:space="preserve"> </w:t>
            </w:r>
            <w:r>
              <w:rPr>
                <w:sz w:val="18"/>
              </w:rPr>
              <w:t>‐ Drainage</w:t>
            </w:r>
            <w:r>
              <w:rPr>
                <w:spacing w:val="-1"/>
                <w:sz w:val="18"/>
              </w:rPr>
              <w:t xml:space="preserve"> </w:t>
            </w:r>
            <w:r>
              <w:rPr>
                <w:sz w:val="18"/>
              </w:rPr>
              <w:t>PS Switchboards</w:t>
            </w:r>
            <w:r>
              <w:rPr>
                <w:spacing w:val="-2"/>
                <w:sz w:val="18"/>
              </w:rPr>
              <w:t xml:space="preserve"> Replacement</w:t>
            </w:r>
          </w:p>
        </w:tc>
        <w:tc>
          <w:tcPr>
            <w:tcW w:w="1393" w:type="dxa"/>
            <w:shd w:val="clear" w:color="auto" w:fill="CCE2ED"/>
          </w:tcPr>
          <w:p w14:paraId="79F8EE49"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5DDA5C75"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1D19CAC0" w14:textId="77777777" w:rsidR="00141B97" w:rsidRDefault="00911D63">
            <w:pPr>
              <w:pStyle w:val="TableParagraph"/>
              <w:spacing w:before="1" w:line="199" w:lineRule="exact"/>
              <w:ind w:right="96"/>
              <w:jc w:val="right"/>
              <w:rPr>
                <w:sz w:val="18"/>
              </w:rPr>
            </w:pPr>
            <w:r>
              <w:rPr>
                <w:spacing w:val="-4"/>
                <w:sz w:val="18"/>
              </w:rPr>
              <w:t>0.03</w:t>
            </w:r>
          </w:p>
        </w:tc>
        <w:tc>
          <w:tcPr>
            <w:tcW w:w="1198" w:type="dxa"/>
            <w:shd w:val="clear" w:color="auto" w:fill="CCE2ED"/>
          </w:tcPr>
          <w:p w14:paraId="0183DDDA" w14:textId="77777777" w:rsidR="00141B97" w:rsidRDefault="00911D63">
            <w:pPr>
              <w:pStyle w:val="TableParagraph"/>
              <w:spacing w:before="1" w:line="199" w:lineRule="exact"/>
              <w:ind w:right="95"/>
              <w:jc w:val="right"/>
              <w:rPr>
                <w:sz w:val="18"/>
              </w:rPr>
            </w:pPr>
            <w:r>
              <w:rPr>
                <w:spacing w:val="-4"/>
                <w:sz w:val="18"/>
              </w:rPr>
              <w:t>0.04</w:t>
            </w:r>
          </w:p>
        </w:tc>
        <w:tc>
          <w:tcPr>
            <w:tcW w:w="1198" w:type="dxa"/>
            <w:shd w:val="clear" w:color="auto" w:fill="CCE2ED"/>
          </w:tcPr>
          <w:p w14:paraId="3AE2AD37" w14:textId="77777777" w:rsidR="00141B97" w:rsidRDefault="00911D63">
            <w:pPr>
              <w:pStyle w:val="TableParagraph"/>
              <w:spacing w:before="1" w:line="199" w:lineRule="exact"/>
              <w:ind w:right="96"/>
              <w:jc w:val="right"/>
              <w:rPr>
                <w:sz w:val="18"/>
              </w:rPr>
            </w:pPr>
            <w:r>
              <w:rPr>
                <w:spacing w:val="-4"/>
                <w:sz w:val="18"/>
              </w:rPr>
              <w:t>0.00</w:t>
            </w:r>
          </w:p>
        </w:tc>
        <w:tc>
          <w:tcPr>
            <w:tcW w:w="1199" w:type="dxa"/>
            <w:shd w:val="clear" w:color="auto" w:fill="CCE2ED"/>
          </w:tcPr>
          <w:p w14:paraId="251BF997" w14:textId="77777777" w:rsidR="00141B97" w:rsidRDefault="00911D63">
            <w:pPr>
              <w:pStyle w:val="TableParagraph"/>
              <w:spacing w:before="1" w:line="199" w:lineRule="exact"/>
              <w:ind w:right="97"/>
              <w:jc w:val="right"/>
              <w:rPr>
                <w:sz w:val="18"/>
              </w:rPr>
            </w:pPr>
            <w:r>
              <w:rPr>
                <w:spacing w:val="-4"/>
                <w:sz w:val="18"/>
              </w:rPr>
              <w:t>0.00</w:t>
            </w:r>
          </w:p>
        </w:tc>
        <w:tc>
          <w:tcPr>
            <w:tcW w:w="1198" w:type="dxa"/>
            <w:shd w:val="clear" w:color="auto" w:fill="CCE2ED"/>
          </w:tcPr>
          <w:p w14:paraId="3D42D64B" w14:textId="77777777" w:rsidR="00141B97" w:rsidRDefault="00911D63">
            <w:pPr>
              <w:pStyle w:val="TableParagraph"/>
              <w:spacing w:before="1" w:line="199" w:lineRule="exact"/>
              <w:ind w:right="96"/>
              <w:jc w:val="right"/>
              <w:rPr>
                <w:sz w:val="18"/>
              </w:rPr>
            </w:pPr>
            <w:r>
              <w:rPr>
                <w:spacing w:val="-4"/>
                <w:sz w:val="18"/>
              </w:rPr>
              <w:t>0.00</w:t>
            </w:r>
          </w:p>
        </w:tc>
        <w:tc>
          <w:tcPr>
            <w:tcW w:w="1013" w:type="dxa"/>
            <w:tcBorders>
              <w:right w:val="nil"/>
            </w:tcBorders>
            <w:shd w:val="clear" w:color="auto" w:fill="CCE2ED"/>
          </w:tcPr>
          <w:p w14:paraId="4823DD2D" w14:textId="77777777" w:rsidR="00141B97" w:rsidRDefault="00911D63">
            <w:pPr>
              <w:pStyle w:val="TableParagraph"/>
              <w:spacing w:before="1" w:line="199" w:lineRule="exact"/>
              <w:ind w:right="86"/>
              <w:jc w:val="right"/>
              <w:rPr>
                <w:sz w:val="18"/>
              </w:rPr>
            </w:pPr>
            <w:r>
              <w:rPr>
                <w:spacing w:val="-4"/>
                <w:sz w:val="18"/>
              </w:rPr>
              <w:t>0.07</w:t>
            </w:r>
          </w:p>
        </w:tc>
      </w:tr>
      <w:tr w:rsidR="00141B97" w14:paraId="0DAC9CED" w14:textId="77777777">
        <w:trPr>
          <w:trHeight w:val="220"/>
          <w:tblCellSpacing w:w="9" w:type="dxa"/>
        </w:trPr>
        <w:tc>
          <w:tcPr>
            <w:tcW w:w="5408" w:type="dxa"/>
            <w:tcBorders>
              <w:left w:val="nil"/>
            </w:tcBorders>
            <w:shd w:val="clear" w:color="auto" w:fill="CCE2ED"/>
          </w:tcPr>
          <w:p w14:paraId="5D66C556" w14:textId="77777777" w:rsidR="00141B97" w:rsidRDefault="00911D63">
            <w:pPr>
              <w:pStyle w:val="TableParagraph"/>
              <w:spacing w:line="200" w:lineRule="exact"/>
              <w:ind w:left="88"/>
              <w:rPr>
                <w:sz w:val="18"/>
              </w:rPr>
            </w:pPr>
            <w:r>
              <w:rPr>
                <w:sz w:val="18"/>
              </w:rPr>
              <w:t xml:space="preserve">MER Drainage </w:t>
            </w:r>
            <w:r>
              <w:rPr>
                <w:spacing w:val="-2"/>
                <w:sz w:val="18"/>
              </w:rPr>
              <w:t>Pumps</w:t>
            </w:r>
          </w:p>
        </w:tc>
        <w:tc>
          <w:tcPr>
            <w:tcW w:w="1393" w:type="dxa"/>
            <w:shd w:val="clear" w:color="auto" w:fill="CCE2ED"/>
          </w:tcPr>
          <w:p w14:paraId="4AAD6AEE" w14:textId="77777777" w:rsidR="00141B97" w:rsidRDefault="00911D63">
            <w:pPr>
              <w:pStyle w:val="TableParagraph"/>
              <w:spacing w:line="200" w:lineRule="exact"/>
              <w:ind w:right="94"/>
              <w:jc w:val="right"/>
              <w:rPr>
                <w:sz w:val="18"/>
              </w:rPr>
            </w:pPr>
            <w:r>
              <w:rPr>
                <w:spacing w:val="-2"/>
                <w:sz w:val="18"/>
              </w:rPr>
              <w:t>Drainage</w:t>
            </w:r>
          </w:p>
        </w:tc>
        <w:tc>
          <w:tcPr>
            <w:tcW w:w="1860" w:type="dxa"/>
            <w:shd w:val="clear" w:color="auto" w:fill="CCE2ED"/>
          </w:tcPr>
          <w:p w14:paraId="79EBFB82" w14:textId="77777777" w:rsidR="00141B97" w:rsidRDefault="00911D63">
            <w:pPr>
              <w:pStyle w:val="TableParagraph"/>
              <w:spacing w:line="200" w:lineRule="exact"/>
              <w:ind w:right="95"/>
              <w:jc w:val="right"/>
              <w:rPr>
                <w:sz w:val="18"/>
              </w:rPr>
            </w:pPr>
            <w:r>
              <w:rPr>
                <w:spacing w:val="-2"/>
                <w:sz w:val="18"/>
              </w:rPr>
              <w:t>Renewals</w:t>
            </w:r>
          </w:p>
        </w:tc>
        <w:tc>
          <w:tcPr>
            <w:tcW w:w="1199" w:type="dxa"/>
            <w:shd w:val="clear" w:color="auto" w:fill="CCE2ED"/>
          </w:tcPr>
          <w:p w14:paraId="6D1C9C44" w14:textId="77777777" w:rsidR="00141B97" w:rsidRDefault="00911D63">
            <w:pPr>
              <w:pStyle w:val="TableParagraph"/>
              <w:spacing w:line="200" w:lineRule="exact"/>
              <w:ind w:right="96"/>
              <w:jc w:val="right"/>
              <w:rPr>
                <w:sz w:val="18"/>
              </w:rPr>
            </w:pPr>
            <w:r>
              <w:rPr>
                <w:spacing w:val="-4"/>
                <w:sz w:val="18"/>
              </w:rPr>
              <w:t>0.00</w:t>
            </w:r>
          </w:p>
        </w:tc>
        <w:tc>
          <w:tcPr>
            <w:tcW w:w="1198" w:type="dxa"/>
            <w:shd w:val="clear" w:color="auto" w:fill="CCE2ED"/>
          </w:tcPr>
          <w:p w14:paraId="7DA3C839" w14:textId="77777777" w:rsidR="00141B97" w:rsidRDefault="00911D63">
            <w:pPr>
              <w:pStyle w:val="TableParagraph"/>
              <w:spacing w:line="200" w:lineRule="exact"/>
              <w:ind w:right="95"/>
              <w:jc w:val="right"/>
              <w:rPr>
                <w:sz w:val="18"/>
              </w:rPr>
            </w:pPr>
            <w:r>
              <w:rPr>
                <w:spacing w:val="-4"/>
                <w:sz w:val="18"/>
              </w:rPr>
              <w:t>0.02</w:t>
            </w:r>
          </w:p>
        </w:tc>
        <w:tc>
          <w:tcPr>
            <w:tcW w:w="1198" w:type="dxa"/>
            <w:shd w:val="clear" w:color="auto" w:fill="CCE2ED"/>
          </w:tcPr>
          <w:p w14:paraId="0F4525BA" w14:textId="77777777" w:rsidR="00141B97" w:rsidRDefault="00911D63">
            <w:pPr>
              <w:pStyle w:val="TableParagraph"/>
              <w:spacing w:line="200" w:lineRule="exact"/>
              <w:ind w:right="96"/>
              <w:jc w:val="right"/>
              <w:rPr>
                <w:sz w:val="18"/>
              </w:rPr>
            </w:pPr>
            <w:r>
              <w:rPr>
                <w:spacing w:val="-4"/>
                <w:sz w:val="18"/>
              </w:rPr>
              <w:t>0.00</w:t>
            </w:r>
          </w:p>
        </w:tc>
        <w:tc>
          <w:tcPr>
            <w:tcW w:w="1199" w:type="dxa"/>
            <w:shd w:val="clear" w:color="auto" w:fill="CCE2ED"/>
          </w:tcPr>
          <w:p w14:paraId="6AC4FD26" w14:textId="77777777" w:rsidR="00141B97" w:rsidRDefault="00911D63">
            <w:pPr>
              <w:pStyle w:val="TableParagraph"/>
              <w:spacing w:line="200" w:lineRule="exact"/>
              <w:ind w:right="97"/>
              <w:jc w:val="right"/>
              <w:rPr>
                <w:sz w:val="18"/>
              </w:rPr>
            </w:pPr>
            <w:r>
              <w:rPr>
                <w:spacing w:val="-4"/>
                <w:sz w:val="18"/>
              </w:rPr>
              <w:t>0.00</w:t>
            </w:r>
          </w:p>
        </w:tc>
        <w:tc>
          <w:tcPr>
            <w:tcW w:w="1198" w:type="dxa"/>
            <w:shd w:val="clear" w:color="auto" w:fill="CCE2ED"/>
          </w:tcPr>
          <w:p w14:paraId="22309DEE" w14:textId="77777777" w:rsidR="00141B97" w:rsidRDefault="00911D63">
            <w:pPr>
              <w:pStyle w:val="TableParagraph"/>
              <w:spacing w:line="200" w:lineRule="exact"/>
              <w:ind w:right="96"/>
              <w:jc w:val="right"/>
              <w:rPr>
                <w:sz w:val="18"/>
              </w:rPr>
            </w:pPr>
            <w:r>
              <w:rPr>
                <w:spacing w:val="-4"/>
                <w:sz w:val="18"/>
              </w:rPr>
              <w:t>0.00</w:t>
            </w:r>
          </w:p>
        </w:tc>
        <w:tc>
          <w:tcPr>
            <w:tcW w:w="1013" w:type="dxa"/>
            <w:tcBorders>
              <w:right w:val="nil"/>
            </w:tcBorders>
            <w:shd w:val="clear" w:color="auto" w:fill="CCE2ED"/>
          </w:tcPr>
          <w:p w14:paraId="3E278881" w14:textId="77777777" w:rsidR="00141B97" w:rsidRDefault="00911D63">
            <w:pPr>
              <w:pStyle w:val="TableParagraph"/>
              <w:spacing w:line="200" w:lineRule="exact"/>
              <w:ind w:right="86"/>
              <w:jc w:val="right"/>
              <w:rPr>
                <w:sz w:val="18"/>
              </w:rPr>
            </w:pPr>
            <w:r>
              <w:rPr>
                <w:spacing w:val="-4"/>
                <w:sz w:val="18"/>
              </w:rPr>
              <w:t>0.02</w:t>
            </w:r>
          </w:p>
        </w:tc>
      </w:tr>
      <w:tr w:rsidR="00141B97" w14:paraId="2EA0A98B" w14:textId="77777777">
        <w:trPr>
          <w:trHeight w:val="218"/>
          <w:tblCellSpacing w:w="9" w:type="dxa"/>
        </w:trPr>
        <w:tc>
          <w:tcPr>
            <w:tcW w:w="5408" w:type="dxa"/>
            <w:tcBorders>
              <w:left w:val="nil"/>
            </w:tcBorders>
            <w:shd w:val="clear" w:color="auto" w:fill="CCE2ED"/>
          </w:tcPr>
          <w:p w14:paraId="320CDE54" w14:textId="77777777" w:rsidR="00141B97" w:rsidRDefault="00911D63">
            <w:pPr>
              <w:pStyle w:val="TableParagraph"/>
              <w:spacing w:line="199" w:lineRule="exact"/>
              <w:ind w:left="88"/>
              <w:rPr>
                <w:sz w:val="18"/>
              </w:rPr>
            </w:pPr>
            <w:r>
              <w:rPr>
                <w:sz w:val="18"/>
              </w:rPr>
              <w:t>MDA</w:t>
            </w:r>
            <w:r>
              <w:rPr>
                <w:spacing w:val="-4"/>
                <w:sz w:val="18"/>
              </w:rPr>
              <w:t xml:space="preserve"> </w:t>
            </w:r>
            <w:r>
              <w:rPr>
                <w:sz w:val="18"/>
              </w:rPr>
              <w:t>‐</w:t>
            </w:r>
            <w:r>
              <w:rPr>
                <w:spacing w:val="-2"/>
                <w:sz w:val="18"/>
              </w:rPr>
              <w:t xml:space="preserve"> </w:t>
            </w:r>
            <w:r>
              <w:rPr>
                <w:sz w:val="18"/>
              </w:rPr>
              <w:t>Drainage</w:t>
            </w:r>
            <w:r>
              <w:rPr>
                <w:spacing w:val="-3"/>
                <w:sz w:val="18"/>
              </w:rPr>
              <w:t xml:space="preserve"> </w:t>
            </w:r>
            <w:r>
              <w:rPr>
                <w:sz w:val="18"/>
              </w:rPr>
              <w:t>PS</w:t>
            </w:r>
            <w:r>
              <w:rPr>
                <w:spacing w:val="-2"/>
                <w:sz w:val="18"/>
              </w:rPr>
              <w:t xml:space="preserve"> </w:t>
            </w:r>
            <w:r>
              <w:rPr>
                <w:sz w:val="18"/>
              </w:rPr>
              <w:t>Switchboard</w:t>
            </w:r>
            <w:r>
              <w:rPr>
                <w:spacing w:val="-3"/>
                <w:sz w:val="18"/>
              </w:rPr>
              <w:t xml:space="preserve"> </w:t>
            </w:r>
            <w:r>
              <w:rPr>
                <w:spacing w:val="-2"/>
                <w:sz w:val="18"/>
              </w:rPr>
              <w:t>Replacement</w:t>
            </w:r>
          </w:p>
        </w:tc>
        <w:tc>
          <w:tcPr>
            <w:tcW w:w="1393" w:type="dxa"/>
            <w:shd w:val="clear" w:color="auto" w:fill="CCE2ED"/>
          </w:tcPr>
          <w:p w14:paraId="32BA1921" w14:textId="77777777" w:rsidR="00141B97" w:rsidRDefault="00911D63">
            <w:pPr>
              <w:pStyle w:val="TableParagraph"/>
              <w:spacing w:line="199" w:lineRule="exact"/>
              <w:ind w:right="94"/>
              <w:jc w:val="right"/>
              <w:rPr>
                <w:sz w:val="18"/>
              </w:rPr>
            </w:pPr>
            <w:r>
              <w:rPr>
                <w:spacing w:val="-2"/>
                <w:sz w:val="18"/>
              </w:rPr>
              <w:t>Drainage</w:t>
            </w:r>
          </w:p>
        </w:tc>
        <w:tc>
          <w:tcPr>
            <w:tcW w:w="1860" w:type="dxa"/>
            <w:shd w:val="clear" w:color="auto" w:fill="CCE2ED"/>
          </w:tcPr>
          <w:p w14:paraId="2862CDF2"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71839746" w14:textId="77777777" w:rsidR="00141B97" w:rsidRDefault="00911D63">
            <w:pPr>
              <w:pStyle w:val="TableParagraph"/>
              <w:spacing w:line="199" w:lineRule="exact"/>
              <w:ind w:right="96"/>
              <w:jc w:val="right"/>
              <w:rPr>
                <w:sz w:val="18"/>
              </w:rPr>
            </w:pPr>
            <w:r>
              <w:rPr>
                <w:spacing w:val="-4"/>
                <w:sz w:val="18"/>
              </w:rPr>
              <w:t>0.14</w:t>
            </w:r>
          </w:p>
        </w:tc>
        <w:tc>
          <w:tcPr>
            <w:tcW w:w="1198" w:type="dxa"/>
            <w:shd w:val="clear" w:color="auto" w:fill="CCE2ED"/>
          </w:tcPr>
          <w:p w14:paraId="604F5AE1" w14:textId="77777777" w:rsidR="00141B97" w:rsidRDefault="00911D63">
            <w:pPr>
              <w:pStyle w:val="TableParagraph"/>
              <w:spacing w:line="199" w:lineRule="exact"/>
              <w:ind w:right="95"/>
              <w:jc w:val="right"/>
              <w:rPr>
                <w:sz w:val="18"/>
              </w:rPr>
            </w:pPr>
            <w:r>
              <w:rPr>
                <w:spacing w:val="-4"/>
                <w:sz w:val="18"/>
              </w:rPr>
              <w:t>0.20</w:t>
            </w:r>
          </w:p>
        </w:tc>
        <w:tc>
          <w:tcPr>
            <w:tcW w:w="1198" w:type="dxa"/>
            <w:shd w:val="clear" w:color="auto" w:fill="CCE2ED"/>
          </w:tcPr>
          <w:p w14:paraId="5F5E4CB8" w14:textId="77777777" w:rsidR="00141B97" w:rsidRDefault="00911D63">
            <w:pPr>
              <w:pStyle w:val="TableParagraph"/>
              <w:spacing w:line="199" w:lineRule="exact"/>
              <w:ind w:right="96"/>
              <w:jc w:val="right"/>
              <w:rPr>
                <w:sz w:val="18"/>
              </w:rPr>
            </w:pPr>
            <w:r>
              <w:rPr>
                <w:spacing w:val="-4"/>
                <w:sz w:val="18"/>
              </w:rPr>
              <w:t>0.00</w:t>
            </w:r>
          </w:p>
        </w:tc>
        <w:tc>
          <w:tcPr>
            <w:tcW w:w="1199" w:type="dxa"/>
            <w:shd w:val="clear" w:color="auto" w:fill="CCE2ED"/>
          </w:tcPr>
          <w:p w14:paraId="3FB206A9" w14:textId="77777777" w:rsidR="00141B97" w:rsidRDefault="00911D63">
            <w:pPr>
              <w:pStyle w:val="TableParagraph"/>
              <w:spacing w:line="199" w:lineRule="exact"/>
              <w:ind w:right="97"/>
              <w:jc w:val="right"/>
              <w:rPr>
                <w:sz w:val="18"/>
              </w:rPr>
            </w:pPr>
            <w:r>
              <w:rPr>
                <w:spacing w:val="-4"/>
                <w:sz w:val="18"/>
              </w:rPr>
              <w:t>0.00</w:t>
            </w:r>
          </w:p>
        </w:tc>
        <w:tc>
          <w:tcPr>
            <w:tcW w:w="1198" w:type="dxa"/>
            <w:shd w:val="clear" w:color="auto" w:fill="CCE2ED"/>
          </w:tcPr>
          <w:p w14:paraId="2BB656BD" w14:textId="77777777" w:rsidR="00141B97" w:rsidRDefault="00911D63">
            <w:pPr>
              <w:pStyle w:val="TableParagraph"/>
              <w:spacing w:line="199" w:lineRule="exact"/>
              <w:ind w:right="96"/>
              <w:jc w:val="right"/>
              <w:rPr>
                <w:sz w:val="18"/>
              </w:rPr>
            </w:pPr>
            <w:r>
              <w:rPr>
                <w:spacing w:val="-4"/>
                <w:sz w:val="18"/>
              </w:rPr>
              <w:t>0.00</w:t>
            </w:r>
          </w:p>
        </w:tc>
        <w:tc>
          <w:tcPr>
            <w:tcW w:w="1013" w:type="dxa"/>
            <w:tcBorders>
              <w:right w:val="nil"/>
            </w:tcBorders>
            <w:shd w:val="clear" w:color="auto" w:fill="CCE2ED"/>
          </w:tcPr>
          <w:p w14:paraId="0D2A663B" w14:textId="77777777" w:rsidR="00141B97" w:rsidRDefault="00911D63">
            <w:pPr>
              <w:pStyle w:val="TableParagraph"/>
              <w:spacing w:line="199" w:lineRule="exact"/>
              <w:ind w:right="86"/>
              <w:jc w:val="right"/>
              <w:rPr>
                <w:sz w:val="18"/>
              </w:rPr>
            </w:pPr>
            <w:r>
              <w:rPr>
                <w:spacing w:val="-4"/>
                <w:sz w:val="18"/>
              </w:rPr>
              <w:t>0.34</w:t>
            </w:r>
          </w:p>
        </w:tc>
      </w:tr>
      <w:tr w:rsidR="00141B97" w14:paraId="45865CC4" w14:textId="77777777">
        <w:trPr>
          <w:trHeight w:val="220"/>
          <w:tblCellSpacing w:w="9" w:type="dxa"/>
        </w:trPr>
        <w:tc>
          <w:tcPr>
            <w:tcW w:w="5408" w:type="dxa"/>
            <w:tcBorders>
              <w:left w:val="nil"/>
            </w:tcBorders>
            <w:shd w:val="clear" w:color="auto" w:fill="CCE2ED"/>
          </w:tcPr>
          <w:p w14:paraId="6495179B" w14:textId="77777777" w:rsidR="00141B97" w:rsidRDefault="00911D63">
            <w:pPr>
              <w:pStyle w:val="TableParagraph"/>
              <w:spacing w:before="1" w:line="199" w:lineRule="exact"/>
              <w:ind w:left="88"/>
              <w:rPr>
                <w:sz w:val="18"/>
              </w:rPr>
            </w:pPr>
            <w:r>
              <w:rPr>
                <w:sz w:val="18"/>
              </w:rPr>
              <w:t>MDA</w:t>
            </w:r>
            <w:r>
              <w:rPr>
                <w:spacing w:val="-1"/>
                <w:sz w:val="18"/>
              </w:rPr>
              <w:t xml:space="preserve"> </w:t>
            </w:r>
            <w:r>
              <w:rPr>
                <w:sz w:val="18"/>
              </w:rPr>
              <w:t>Drainage</w:t>
            </w:r>
            <w:r>
              <w:rPr>
                <w:spacing w:val="-1"/>
                <w:sz w:val="18"/>
              </w:rPr>
              <w:t xml:space="preserve"> </w:t>
            </w:r>
            <w:r>
              <w:rPr>
                <w:spacing w:val="-2"/>
                <w:sz w:val="18"/>
              </w:rPr>
              <w:t>Pumps</w:t>
            </w:r>
          </w:p>
        </w:tc>
        <w:tc>
          <w:tcPr>
            <w:tcW w:w="1393" w:type="dxa"/>
            <w:shd w:val="clear" w:color="auto" w:fill="CCE2ED"/>
          </w:tcPr>
          <w:p w14:paraId="46B7748B"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06FECD2B"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7811A7D6" w14:textId="77777777" w:rsidR="00141B97" w:rsidRDefault="00911D63">
            <w:pPr>
              <w:pStyle w:val="TableParagraph"/>
              <w:spacing w:before="1" w:line="199" w:lineRule="exact"/>
              <w:ind w:right="96"/>
              <w:jc w:val="right"/>
              <w:rPr>
                <w:sz w:val="18"/>
              </w:rPr>
            </w:pPr>
            <w:r>
              <w:rPr>
                <w:spacing w:val="-4"/>
                <w:sz w:val="18"/>
              </w:rPr>
              <w:t>0.02</w:t>
            </w:r>
          </w:p>
        </w:tc>
        <w:tc>
          <w:tcPr>
            <w:tcW w:w="1198" w:type="dxa"/>
            <w:shd w:val="clear" w:color="auto" w:fill="CCE2ED"/>
          </w:tcPr>
          <w:p w14:paraId="5860A5F1" w14:textId="77777777" w:rsidR="00141B97" w:rsidRDefault="00911D63">
            <w:pPr>
              <w:pStyle w:val="TableParagraph"/>
              <w:spacing w:before="1" w:line="199" w:lineRule="exact"/>
              <w:ind w:right="95"/>
              <w:jc w:val="right"/>
              <w:rPr>
                <w:sz w:val="18"/>
              </w:rPr>
            </w:pPr>
            <w:r>
              <w:rPr>
                <w:spacing w:val="-4"/>
                <w:sz w:val="18"/>
              </w:rPr>
              <w:t>0.02</w:t>
            </w:r>
          </w:p>
        </w:tc>
        <w:tc>
          <w:tcPr>
            <w:tcW w:w="1198" w:type="dxa"/>
            <w:shd w:val="clear" w:color="auto" w:fill="CCE2ED"/>
          </w:tcPr>
          <w:p w14:paraId="0ECAE94B" w14:textId="77777777" w:rsidR="00141B97" w:rsidRDefault="00911D63">
            <w:pPr>
              <w:pStyle w:val="TableParagraph"/>
              <w:spacing w:before="1" w:line="199" w:lineRule="exact"/>
              <w:ind w:right="96"/>
              <w:jc w:val="right"/>
              <w:rPr>
                <w:sz w:val="18"/>
              </w:rPr>
            </w:pPr>
            <w:r>
              <w:rPr>
                <w:spacing w:val="-4"/>
                <w:sz w:val="18"/>
              </w:rPr>
              <w:t>0.02</w:t>
            </w:r>
          </w:p>
        </w:tc>
        <w:tc>
          <w:tcPr>
            <w:tcW w:w="1199" w:type="dxa"/>
            <w:shd w:val="clear" w:color="auto" w:fill="CCE2ED"/>
          </w:tcPr>
          <w:p w14:paraId="19649473" w14:textId="77777777" w:rsidR="00141B97" w:rsidRDefault="00911D63">
            <w:pPr>
              <w:pStyle w:val="TableParagraph"/>
              <w:spacing w:before="1" w:line="199" w:lineRule="exact"/>
              <w:ind w:right="97"/>
              <w:jc w:val="right"/>
              <w:rPr>
                <w:sz w:val="18"/>
              </w:rPr>
            </w:pPr>
            <w:r>
              <w:rPr>
                <w:spacing w:val="-4"/>
                <w:sz w:val="18"/>
              </w:rPr>
              <w:t>0.02</w:t>
            </w:r>
          </w:p>
        </w:tc>
        <w:tc>
          <w:tcPr>
            <w:tcW w:w="1198" w:type="dxa"/>
            <w:shd w:val="clear" w:color="auto" w:fill="CCE2ED"/>
          </w:tcPr>
          <w:p w14:paraId="429FCE14" w14:textId="77777777" w:rsidR="00141B97" w:rsidRDefault="00911D63">
            <w:pPr>
              <w:pStyle w:val="TableParagraph"/>
              <w:spacing w:before="1" w:line="199" w:lineRule="exact"/>
              <w:ind w:right="96"/>
              <w:jc w:val="right"/>
              <w:rPr>
                <w:sz w:val="18"/>
              </w:rPr>
            </w:pPr>
            <w:r>
              <w:rPr>
                <w:spacing w:val="-4"/>
                <w:sz w:val="18"/>
              </w:rPr>
              <w:t>0.02</w:t>
            </w:r>
          </w:p>
        </w:tc>
        <w:tc>
          <w:tcPr>
            <w:tcW w:w="1013" w:type="dxa"/>
            <w:tcBorders>
              <w:right w:val="nil"/>
            </w:tcBorders>
            <w:shd w:val="clear" w:color="auto" w:fill="CCE2ED"/>
          </w:tcPr>
          <w:p w14:paraId="07B1A7FD" w14:textId="77777777" w:rsidR="00141B97" w:rsidRDefault="00911D63">
            <w:pPr>
              <w:pStyle w:val="TableParagraph"/>
              <w:spacing w:before="1" w:line="199" w:lineRule="exact"/>
              <w:ind w:right="86"/>
              <w:jc w:val="right"/>
              <w:rPr>
                <w:sz w:val="18"/>
              </w:rPr>
            </w:pPr>
            <w:r>
              <w:rPr>
                <w:spacing w:val="-4"/>
                <w:sz w:val="18"/>
              </w:rPr>
              <w:t>0.11</w:t>
            </w:r>
          </w:p>
        </w:tc>
      </w:tr>
      <w:tr w:rsidR="00141B97" w14:paraId="4B0534DA" w14:textId="77777777">
        <w:trPr>
          <w:trHeight w:val="220"/>
          <w:tblCellSpacing w:w="9" w:type="dxa"/>
        </w:trPr>
        <w:tc>
          <w:tcPr>
            <w:tcW w:w="5408" w:type="dxa"/>
            <w:tcBorders>
              <w:left w:val="nil"/>
            </w:tcBorders>
            <w:shd w:val="clear" w:color="auto" w:fill="CCE2ED"/>
          </w:tcPr>
          <w:p w14:paraId="4EA1AC76" w14:textId="77777777" w:rsidR="00141B97" w:rsidRDefault="00911D63">
            <w:pPr>
              <w:pStyle w:val="TableParagraph"/>
              <w:spacing w:before="1" w:line="199" w:lineRule="exact"/>
              <w:ind w:left="88"/>
              <w:rPr>
                <w:sz w:val="18"/>
              </w:rPr>
            </w:pPr>
            <w:r>
              <w:rPr>
                <w:sz w:val="18"/>
              </w:rPr>
              <w:t>RC</w:t>
            </w:r>
            <w:r>
              <w:rPr>
                <w:spacing w:val="-2"/>
                <w:sz w:val="18"/>
              </w:rPr>
              <w:t xml:space="preserve"> </w:t>
            </w:r>
            <w:r>
              <w:rPr>
                <w:sz w:val="18"/>
              </w:rPr>
              <w:t>‐ Drainage PS</w:t>
            </w:r>
            <w:r>
              <w:rPr>
                <w:spacing w:val="-1"/>
                <w:sz w:val="18"/>
              </w:rPr>
              <w:t xml:space="preserve"> </w:t>
            </w:r>
            <w:r>
              <w:rPr>
                <w:sz w:val="18"/>
              </w:rPr>
              <w:t>Switchboards</w:t>
            </w:r>
            <w:r>
              <w:rPr>
                <w:spacing w:val="-1"/>
                <w:sz w:val="18"/>
              </w:rPr>
              <w:t xml:space="preserve"> </w:t>
            </w:r>
            <w:r>
              <w:rPr>
                <w:spacing w:val="-2"/>
                <w:sz w:val="18"/>
              </w:rPr>
              <w:t>Replacement</w:t>
            </w:r>
          </w:p>
        </w:tc>
        <w:tc>
          <w:tcPr>
            <w:tcW w:w="1393" w:type="dxa"/>
            <w:shd w:val="clear" w:color="auto" w:fill="CCE2ED"/>
          </w:tcPr>
          <w:p w14:paraId="2B61FBDE"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690834AF"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7ADA10E3" w14:textId="77777777" w:rsidR="00141B97" w:rsidRDefault="00911D63">
            <w:pPr>
              <w:pStyle w:val="TableParagraph"/>
              <w:spacing w:before="1" w:line="199" w:lineRule="exact"/>
              <w:ind w:right="96"/>
              <w:jc w:val="right"/>
              <w:rPr>
                <w:sz w:val="18"/>
              </w:rPr>
            </w:pPr>
            <w:r>
              <w:rPr>
                <w:spacing w:val="-4"/>
                <w:sz w:val="18"/>
              </w:rPr>
              <w:t>0.05</w:t>
            </w:r>
          </w:p>
        </w:tc>
        <w:tc>
          <w:tcPr>
            <w:tcW w:w="1198" w:type="dxa"/>
            <w:shd w:val="clear" w:color="auto" w:fill="CCE2ED"/>
          </w:tcPr>
          <w:p w14:paraId="1AC6C336" w14:textId="77777777" w:rsidR="00141B97" w:rsidRDefault="00911D63">
            <w:pPr>
              <w:pStyle w:val="TableParagraph"/>
              <w:spacing w:before="1" w:line="199" w:lineRule="exact"/>
              <w:ind w:right="95"/>
              <w:jc w:val="right"/>
              <w:rPr>
                <w:sz w:val="18"/>
              </w:rPr>
            </w:pPr>
            <w:r>
              <w:rPr>
                <w:spacing w:val="-4"/>
                <w:sz w:val="18"/>
              </w:rPr>
              <w:t>0.09</w:t>
            </w:r>
          </w:p>
        </w:tc>
        <w:tc>
          <w:tcPr>
            <w:tcW w:w="1198" w:type="dxa"/>
            <w:shd w:val="clear" w:color="auto" w:fill="CCE2ED"/>
          </w:tcPr>
          <w:p w14:paraId="563BB413" w14:textId="77777777" w:rsidR="00141B97" w:rsidRDefault="00911D63">
            <w:pPr>
              <w:pStyle w:val="TableParagraph"/>
              <w:spacing w:before="1" w:line="199" w:lineRule="exact"/>
              <w:ind w:right="96"/>
              <w:jc w:val="right"/>
              <w:rPr>
                <w:sz w:val="18"/>
              </w:rPr>
            </w:pPr>
            <w:r>
              <w:rPr>
                <w:spacing w:val="-4"/>
                <w:sz w:val="18"/>
              </w:rPr>
              <w:t>0.00</w:t>
            </w:r>
          </w:p>
        </w:tc>
        <w:tc>
          <w:tcPr>
            <w:tcW w:w="1199" w:type="dxa"/>
            <w:shd w:val="clear" w:color="auto" w:fill="CCE2ED"/>
          </w:tcPr>
          <w:p w14:paraId="4B78255A" w14:textId="77777777" w:rsidR="00141B97" w:rsidRDefault="00911D63">
            <w:pPr>
              <w:pStyle w:val="TableParagraph"/>
              <w:spacing w:before="1" w:line="199" w:lineRule="exact"/>
              <w:ind w:right="97"/>
              <w:jc w:val="right"/>
              <w:rPr>
                <w:sz w:val="18"/>
              </w:rPr>
            </w:pPr>
            <w:r>
              <w:rPr>
                <w:spacing w:val="-4"/>
                <w:sz w:val="18"/>
              </w:rPr>
              <w:t>0.00</w:t>
            </w:r>
          </w:p>
        </w:tc>
        <w:tc>
          <w:tcPr>
            <w:tcW w:w="1198" w:type="dxa"/>
            <w:shd w:val="clear" w:color="auto" w:fill="CCE2ED"/>
          </w:tcPr>
          <w:p w14:paraId="5B3DCF7A" w14:textId="77777777" w:rsidR="00141B97" w:rsidRDefault="00911D63">
            <w:pPr>
              <w:pStyle w:val="TableParagraph"/>
              <w:spacing w:before="1" w:line="199" w:lineRule="exact"/>
              <w:ind w:right="96"/>
              <w:jc w:val="right"/>
              <w:rPr>
                <w:sz w:val="18"/>
              </w:rPr>
            </w:pPr>
            <w:r>
              <w:rPr>
                <w:spacing w:val="-4"/>
                <w:sz w:val="18"/>
              </w:rPr>
              <w:t>0.00</w:t>
            </w:r>
          </w:p>
        </w:tc>
        <w:tc>
          <w:tcPr>
            <w:tcW w:w="1013" w:type="dxa"/>
            <w:tcBorders>
              <w:right w:val="nil"/>
            </w:tcBorders>
            <w:shd w:val="clear" w:color="auto" w:fill="CCE2ED"/>
          </w:tcPr>
          <w:p w14:paraId="6D4D56BB" w14:textId="77777777" w:rsidR="00141B97" w:rsidRDefault="00911D63">
            <w:pPr>
              <w:pStyle w:val="TableParagraph"/>
              <w:spacing w:before="1" w:line="199" w:lineRule="exact"/>
              <w:ind w:right="86"/>
              <w:jc w:val="right"/>
              <w:rPr>
                <w:sz w:val="18"/>
              </w:rPr>
            </w:pPr>
            <w:r>
              <w:rPr>
                <w:spacing w:val="-4"/>
                <w:sz w:val="18"/>
              </w:rPr>
              <w:t>0.14</w:t>
            </w:r>
          </w:p>
        </w:tc>
      </w:tr>
      <w:tr w:rsidR="00141B97" w14:paraId="0232556B" w14:textId="77777777">
        <w:trPr>
          <w:trHeight w:val="220"/>
          <w:tblCellSpacing w:w="9" w:type="dxa"/>
        </w:trPr>
        <w:tc>
          <w:tcPr>
            <w:tcW w:w="5408" w:type="dxa"/>
            <w:tcBorders>
              <w:left w:val="nil"/>
            </w:tcBorders>
            <w:shd w:val="clear" w:color="auto" w:fill="CCE2ED"/>
          </w:tcPr>
          <w:p w14:paraId="21C95ED9" w14:textId="77777777" w:rsidR="00141B97" w:rsidRDefault="00911D63">
            <w:pPr>
              <w:pStyle w:val="TableParagraph"/>
              <w:spacing w:before="1" w:line="199" w:lineRule="exact"/>
              <w:ind w:left="88"/>
              <w:rPr>
                <w:sz w:val="18"/>
              </w:rPr>
            </w:pPr>
            <w:r>
              <w:rPr>
                <w:sz w:val="18"/>
              </w:rPr>
              <w:t>RC</w:t>
            </w:r>
            <w:r>
              <w:rPr>
                <w:spacing w:val="-1"/>
                <w:sz w:val="18"/>
              </w:rPr>
              <w:t xml:space="preserve"> </w:t>
            </w:r>
            <w:r>
              <w:rPr>
                <w:sz w:val="18"/>
              </w:rPr>
              <w:t xml:space="preserve">Drainage </w:t>
            </w:r>
            <w:r>
              <w:rPr>
                <w:spacing w:val="-2"/>
                <w:sz w:val="18"/>
              </w:rPr>
              <w:t>Pumps</w:t>
            </w:r>
          </w:p>
        </w:tc>
        <w:tc>
          <w:tcPr>
            <w:tcW w:w="1393" w:type="dxa"/>
            <w:shd w:val="clear" w:color="auto" w:fill="CCE2ED"/>
          </w:tcPr>
          <w:p w14:paraId="45486188"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04D268D0"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170BB534" w14:textId="77777777" w:rsidR="00141B97" w:rsidRDefault="00911D63">
            <w:pPr>
              <w:pStyle w:val="TableParagraph"/>
              <w:spacing w:before="1" w:line="199" w:lineRule="exact"/>
              <w:ind w:right="96"/>
              <w:jc w:val="right"/>
              <w:rPr>
                <w:sz w:val="18"/>
              </w:rPr>
            </w:pPr>
            <w:r>
              <w:rPr>
                <w:spacing w:val="-4"/>
                <w:sz w:val="18"/>
              </w:rPr>
              <w:t>0.00</w:t>
            </w:r>
          </w:p>
        </w:tc>
        <w:tc>
          <w:tcPr>
            <w:tcW w:w="1198" w:type="dxa"/>
            <w:shd w:val="clear" w:color="auto" w:fill="CCE2ED"/>
          </w:tcPr>
          <w:p w14:paraId="373343DD" w14:textId="77777777" w:rsidR="00141B97" w:rsidRDefault="00911D63">
            <w:pPr>
              <w:pStyle w:val="TableParagraph"/>
              <w:spacing w:before="1" w:line="199" w:lineRule="exact"/>
              <w:ind w:right="95"/>
              <w:jc w:val="right"/>
              <w:rPr>
                <w:sz w:val="18"/>
              </w:rPr>
            </w:pPr>
            <w:r>
              <w:rPr>
                <w:spacing w:val="-4"/>
                <w:sz w:val="18"/>
              </w:rPr>
              <w:t>0.02</w:t>
            </w:r>
          </w:p>
        </w:tc>
        <w:tc>
          <w:tcPr>
            <w:tcW w:w="1198" w:type="dxa"/>
            <w:shd w:val="clear" w:color="auto" w:fill="CCE2ED"/>
          </w:tcPr>
          <w:p w14:paraId="44BF4310" w14:textId="77777777" w:rsidR="00141B97" w:rsidRDefault="00911D63">
            <w:pPr>
              <w:pStyle w:val="TableParagraph"/>
              <w:spacing w:before="1" w:line="199" w:lineRule="exact"/>
              <w:ind w:right="96"/>
              <w:jc w:val="right"/>
              <w:rPr>
                <w:sz w:val="18"/>
              </w:rPr>
            </w:pPr>
            <w:r>
              <w:rPr>
                <w:spacing w:val="-4"/>
                <w:sz w:val="18"/>
              </w:rPr>
              <w:t>0.00</w:t>
            </w:r>
          </w:p>
        </w:tc>
        <w:tc>
          <w:tcPr>
            <w:tcW w:w="1199" w:type="dxa"/>
            <w:shd w:val="clear" w:color="auto" w:fill="CCE2ED"/>
          </w:tcPr>
          <w:p w14:paraId="787C851D" w14:textId="77777777" w:rsidR="00141B97" w:rsidRDefault="00911D63">
            <w:pPr>
              <w:pStyle w:val="TableParagraph"/>
              <w:spacing w:before="1" w:line="199" w:lineRule="exact"/>
              <w:ind w:right="97"/>
              <w:jc w:val="right"/>
              <w:rPr>
                <w:sz w:val="18"/>
              </w:rPr>
            </w:pPr>
            <w:r>
              <w:rPr>
                <w:spacing w:val="-4"/>
                <w:sz w:val="18"/>
              </w:rPr>
              <w:t>0.02</w:t>
            </w:r>
          </w:p>
        </w:tc>
        <w:tc>
          <w:tcPr>
            <w:tcW w:w="1198" w:type="dxa"/>
            <w:shd w:val="clear" w:color="auto" w:fill="CCE2ED"/>
          </w:tcPr>
          <w:p w14:paraId="5C0BB49A" w14:textId="77777777" w:rsidR="00141B97" w:rsidRDefault="00911D63">
            <w:pPr>
              <w:pStyle w:val="TableParagraph"/>
              <w:spacing w:before="1" w:line="199" w:lineRule="exact"/>
              <w:ind w:right="96"/>
              <w:jc w:val="right"/>
              <w:rPr>
                <w:sz w:val="18"/>
              </w:rPr>
            </w:pPr>
            <w:r>
              <w:rPr>
                <w:spacing w:val="-4"/>
                <w:sz w:val="18"/>
              </w:rPr>
              <w:t>0.00</w:t>
            </w:r>
          </w:p>
        </w:tc>
        <w:tc>
          <w:tcPr>
            <w:tcW w:w="1013" w:type="dxa"/>
            <w:tcBorders>
              <w:right w:val="nil"/>
            </w:tcBorders>
            <w:shd w:val="clear" w:color="auto" w:fill="CCE2ED"/>
          </w:tcPr>
          <w:p w14:paraId="481C5694" w14:textId="77777777" w:rsidR="00141B97" w:rsidRDefault="00911D63">
            <w:pPr>
              <w:pStyle w:val="TableParagraph"/>
              <w:spacing w:before="1" w:line="199" w:lineRule="exact"/>
              <w:ind w:right="86"/>
              <w:jc w:val="right"/>
              <w:rPr>
                <w:sz w:val="18"/>
              </w:rPr>
            </w:pPr>
            <w:r>
              <w:rPr>
                <w:spacing w:val="-4"/>
                <w:sz w:val="18"/>
              </w:rPr>
              <w:t>0.03</w:t>
            </w:r>
          </w:p>
        </w:tc>
      </w:tr>
      <w:tr w:rsidR="00141B97" w14:paraId="625D08C4" w14:textId="77777777">
        <w:trPr>
          <w:trHeight w:val="218"/>
          <w:tblCellSpacing w:w="9" w:type="dxa"/>
        </w:trPr>
        <w:tc>
          <w:tcPr>
            <w:tcW w:w="5408" w:type="dxa"/>
            <w:tcBorders>
              <w:left w:val="nil"/>
            </w:tcBorders>
            <w:shd w:val="clear" w:color="auto" w:fill="CCE2ED"/>
          </w:tcPr>
          <w:p w14:paraId="6003A1B1" w14:textId="77777777" w:rsidR="00141B97" w:rsidRDefault="00911D63">
            <w:pPr>
              <w:pStyle w:val="TableParagraph"/>
              <w:spacing w:line="199" w:lineRule="exact"/>
              <w:ind w:left="88"/>
              <w:rPr>
                <w:sz w:val="18"/>
              </w:rPr>
            </w:pPr>
            <w:r>
              <w:rPr>
                <w:sz w:val="18"/>
              </w:rPr>
              <w:t>ROB</w:t>
            </w:r>
            <w:r>
              <w:rPr>
                <w:spacing w:val="-4"/>
                <w:sz w:val="18"/>
              </w:rPr>
              <w:t xml:space="preserve"> </w:t>
            </w:r>
            <w:r>
              <w:rPr>
                <w:sz w:val="18"/>
              </w:rPr>
              <w:t>Replace</w:t>
            </w:r>
            <w:r>
              <w:rPr>
                <w:spacing w:val="-3"/>
                <w:sz w:val="18"/>
              </w:rPr>
              <w:t xml:space="preserve"> </w:t>
            </w:r>
            <w:r>
              <w:rPr>
                <w:sz w:val="18"/>
              </w:rPr>
              <w:t>Drainage</w:t>
            </w:r>
            <w:r>
              <w:rPr>
                <w:spacing w:val="-3"/>
                <w:sz w:val="18"/>
              </w:rPr>
              <w:t xml:space="preserve"> </w:t>
            </w:r>
            <w:r>
              <w:rPr>
                <w:spacing w:val="-2"/>
                <w:sz w:val="18"/>
              </w:rPr>
              <w:t>Pumps</w:t>
            </w:r>
          </w:p>
        </w:tc>
        <w:tc>
          <w:tcPr>
            <w:tcW w:w="1393" w:type="dxa"/>
            <w:shd w:val="clear" w:color="auto" w:fill="CCE2ED"/>
          </w:tcPr>
          <w:p w14:paraId="065EE982" w14:textId="77777777" w:rsidR="00141B97" w:rsidRDefault="00911D63">
            <w:pPr>
              <w:pStyle w:val="TableParagraph"/>
              <w:spacing w:line="199" w:lineRule="exact"/>
              <w:ind w:right="94"/>
              <w:jc w:val="right"/>
              <w:rPr>
                <w:sz w:val="18"/>
              </w:rPr>
            </w:pPr>
            <w:r>
              <w:rPr>
                <w:spacing w:val="-2"/>
                <w:sz w:val="18"/>
              </w:rPr>
              <w:t>Drainage</w:t>
            </w:r>
          </w:p>
        </w:tc>
        <w:tc>
          <w:tcPr>
            <w:tcW w:w="1860" w:type="dxa"/>
            <w:shd w:val="clear" w:color="auto" w:fill="CCE2ED"/>
          </w:tcPr>
          <w:p w14:paraId="0230E16B"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28447A66" w14:textId="77777777" w:rsidR="00141B97" w:rsidRDefault="00911D63">
            <w:pPr>
              <w:pStyle w:val="TableParagraph"/>
              <w:spacing w:line="199" w:lineRule="exact"/>
              <w:ind w:right="96"/>
              <w:jc w:val="right"/>
              <w:rPr>
                <w:sz w:val="18"/>
              </w:rPr>
            </w:pPr>
            <w:r>
              <w:rPr>
                <w:spacing w:val="-4"/>
                <w:sz w:val="18"/>
              </w:rPr>
              <w:t>0.00</w:t>
            </w:r>
          </w:p>
        </w:tc>
        <w:tc>
          <w:tcPr>
            <w:tcW w:w="1198" w:type="dxa"/>
            <w:shd w:val="clear" w:color="auto" w:fill="CCE2ED"/>
          </w:tcPr>
          <w:p w14:paraId="66185B32" w14:textId="77777777" w:rsidR="00141B97" w:rsidRDefault="00911D63">
            <w:pPr>
              <w:pStyle w:val="TableParagraph"/>
              <w:spacing w:line="199" w:lineRule="exact"/>
              <w:ind w:right="95"/>
              <w:jc w:val="right"/>
              <w:rPr>
                <w:sz w:val="18"/>
              </w:rPr>
            </w:pPr>
            <w:r>
              <w:rPr>
                <w:spacing w:val="-4"/>
                <w:sz w:val="18"/>
              </w:rPr>
              <w:t>0.00</w:t>
            </w:r>
          </w:p>
        </w:tc>
        <w:tc>
          <w:tcPr>
            <w:tcW w:w="1198" w:type="dxa"/>
            <w:shd w:val="clear" w:color="auto" w:fill="CCE2ED"/>
          </w:tcPr>
          <w:p w14:paraId="4F6F6A39" w14:textId="77777777" w:rsidR="00141B97" w:rsidRDefault="00911D63">
            <w:pPr>
              <w:pStyle w:val="TableParagraph"/>
              <w:spacing w:line="199" w:lineRule="exact"/>
              <w:ind w:right="96"/>
              <w:jc w:val="right"/>
              <w:rPr>
                <w:sz w:val="18"/>
              </w:rPr>
            </w:pPr>
            <w:r>
              <w:rPr>
                <w:spacing w:val="-4"/>
                <w:sz w:val="18"/>
              </w:rPr>
              <w:t>0.00</w:t>
            </w:r>
          </w:p>
        </w:tc>
        <w:tc>
          <w:tcPr>
            <w:tcW w:w="1199" w:type="dxa"/>
            <w:shd w:val="clear" w:color="auto" w:fill="CCE2ED"/>
          </w:tcPr>
          <w:p w14:paraId="004AFD7A" w14:textId="77777777" w:rsidR="00141B97" w:rsidRDefault="00911D63">
            <w:pPr>
              <w:pStyle w:val="TableParagraph"/>
              <w:spacing w:line="199" w:lineRule="exact"/>
              <w:ind w:right="97"/>
              <w:jc w:val="right"/>
              <w:rPr>
                <w:sz w:val="18"/>
              </w:rPr>
            </w:pPr>
            <w:r>
              <w:rPr>
                <w:spacing w:val="-4"/>
                <w:sz w:val="18"/>
              </w:rPr>
              <w:t>0.03</w:t>
            </w:r>
          </w:p>
        </w:tc>
        <w:tc>
          <w:tcPr>
            <w:tcW w:w="1198" w:type="dxa"/>
            <w:shd w:val="clear" w:color="auto" w:fill="CCE2ED"/>
          </w:tcPr>
          <w:p w14:paraId="57EAF2F5" w14:textId="77777777" w:rsidR="00141B97" w:rsidRDefault="00911D63">
            <w:pPr>
              <w:pStyle w:val="TableParagraph"/>
              <w:spacing w:line="199" w:lineRule="exact"/>
              <w:ind w:right="96"/>
              <w:jc w:val="right"/>
              <w:rPr>
                <w:sz w:val="18"/>
              </w:rPr>
            </w:pPr>
            <w:r>
              <w:rPr>
                <w:spacing w:val="-4"/>
                <w:sz w:val="18"/>
              </w:rPr>
              <w:t>0.00</w:t>
            </w:r>
          </w:p>
        </w:tc>
        <w:tc>
          <w:tcPr>
            <w:tcW w:w="1013" w:type="dxa"/>
            <w:tcBorders>
              <w:right w:val="nil"/>
            </w:tcBorders>
            <w:shd w:val="clear" w:color="auto" w:fill="CCE2ED"/>
          </w:tcPr>
          <w:p w14:paraId="6B777F56" w14:textId="77777777" w:rsidR="00141B97" w:rsidRDefault="00911D63">
            <w:pPr>
              <w:pStyle w:val="TableParagraph"/>
              <w:spacing w:line="199" w:lineRule="exact"/>
              <w:ind w:right="86"/>
              <w:jc w:val="right"/>
              <w:rPr>
                <w:sz w:val="18"/>
              </w:rPr>
            </w:pPr>
            <w:r>
              <w:rPr>
                <w:spacing w:val="-4"/>
                <w:sz w:val="18"/>
              </w:rPr>
              <w:t>0.03</w:t>
            </w:r>
          </w:p>
        </w:tc>
      </w:tr>
      <w:tr w:rsidR="00141B97" w14:paraId="5A8885BC" w14:textId="77777777">
        <w:trPr>
          <w:trHeight w:val="315"/>
          <w:tblCellSpacing w:w="9" w:type="dxa"/>
        </w:trPr>
        <w:tc>
          <w:tcPr>
            <w:tcW w:w="5408" w:type="dxa"/>
            <w:tcBorders>
              <w:left w:val="nil"/>
            </w:tcBorders>
            <w:shd w:val="clear" w:color="auto" w:fill="BFBFBF"/>
          </w:tcPr>
          <w:p w14:paraId="2626313B" w14:textId="77777777" w:rsidR="00141B97" w:rsidRDefault="00911D63">
            <w:pPr>
              <w:pStyle w:val="TableParagraph"/>
              <w:spacing w:before="49"/>
              <w:ind w:left="88"/>
              <w:rPr>
                <w:sz w:val="18"/>
              </w:rPr>
            </w:pPr>
            <w:r>
              <w:rPr>
                <w:sz w:val="18"/>
              </w:rPr>
              <w:t xml:space="preserve">Reticulation ‐ </w:t>
            </w:r>
            <w:r>
              <w:rPr>
                <w:spacing w:val="-2"/>
                <w:sz w:val="18"/>
              </w:rPr>
              <w:t>Irrigation</w:t>
            </w:r>
          </w:p>
        </w:tc>
        <w:tc>
          <w:tcPr>
            <w:tcW w:w="1393" w:type="dxa"/>
            <w:shd w:val="clear" w:color="auto" w:fill="BFBFBF"/>
          </w:tcPr>
          <w:p w14:paraId="223B58BC" w14:textId="77777777" w:rsidR="00141B97" w:rsidRDefault="00141B97">
            <w:pPr>
              <w:pStyle w:val="TableParagraph"/>
              <w:rPr>
                <w:rFonts w:ascii="Times New Roman"/>
                <w:sz w:val="18"/>
              </w:rPr>
            </w:pPr>
          </w:p>
        </w:tc>
        <w:tc>
          <w:tcPr>
            <w:tcW w:w="1860" w:type="dxa"/>
            <w:shd w:val="clear" w:color="auto" w:fill="BFBFBF"/>
          </w:tcPr>
          <w:p w14:paraId="59C7F5E4" w14:textId="77777777" w:rsidR="00141B97" w:rsidRDefault="00141B97">
            <w:pPr>
              <w:pStyle w:val="TableParagraph"/>
              <w:rPr>
                <w:rFonts w:ascii="Times New Roman"/>
                <w:sz w:val="18"/>
              </w:rPr>
            </w:pPr>
          </w:p>
        </w:tc>
        <w:tc>
          <w:tcPr>
            <w:tcW w:w="1199" w:type="dxa"/>
            <w:shd w:val="clear" w:color="auto" w:fill="BFBFBF"/>
          </w:tcPr>
          <w:p w14:paraId="6731249C" w14:textId="77777777" w:rsidR="00141B97" w:rsidRDefault="00141B97">
            <w:pPr>
              <w:pStyle w:val="TableParagraph"/>
              <w:rPr>
                <w:rFonts w:ascii="Times New Roman"/>
                <w:sz w:val="18"/>
              </w:rPr>
            </w:pPr>
          </w:p>
        </w:tc>
        <w:tc>
          <w:tcPr>
            <w:tcW w:w="1198" w:type="dxa"/>
            <w:shd w:val="clear" w:color="auto" w:fill="BFBFBF"/>
          </w:tcPr>
          <w:p w14:paraId="63566D61" w14:textId="77777777" w:rsidR="00141B97" w:rsidRDefault="00141B97">
            <w:pPr>
              <w:pStyle w:val="TableParagraph"/>
              <w:rPr>
                <w:rFonts w:ascii="Times New Roman"/>
                <w:sz w:val="18"/>
              </w:rPr>
            </w:pPr>
          </w:p>
        </w:tc>
        <w:tc>
          <w:tcPr>
            <w:tcW w:w="1198" w:type="dxa"/>
            <w:shd w:val="clear" w:color="auto" w:fill="BFBFBF"/>
          </w:tcPr>
          <w:p w14:paraId="05AF13FC" w14:textId="77777777" w:rsidR="00141B97" w:rsidRDefault="00141B97">
            <w:pPr>
              <w:pStyle w:val="TableParagraph"/>
              <w:rPr>
                <w:rFonts w:ascii="Times New Roman"/>
                <w:sz w:val="18"/>
              </w:rPr>
            </w:pPr>
          </w:p>
        </w:tc>
        <w:tc>
          <w:tcPr>
            <w:tcW w:w="1199" w:type="dxa"/>
            <w:shd w:val="clear" w:color="auto" w:fill="BFBFBF"/>
          </w:tcPr>
          <w:p w14:paraId="289E53AF" w14:textId="77777777" w:rsidR="00141B97" w:rsidRDefault="00141B97">
            <w:pPr>
              <w:pStyle w:val="TableParagraph"/>
              <w:rPr>
                <w:rFonts w:ascii="Times New Roman"/>
                <w:sz w:val="18"/>
              </w:rPr>
            </w:pPr>
          </w:p>
        </w:tc>
        <w:tc>
          <w:tcPr>
            <w:tcW w:w="1198" w:type="dxa"/>
            <w:shd w:val="clear" w:color="auto" w:fill="BFBFBF"/>
          </w:tcPr>
          <w:p w14:paraId="5CFD2FB2" w14:textId="77777777" w:rsidR="00141B97" w:rsidRDefault="00141B97">
            <w:pPr>
              <w:pStyle w:val="TableParagraph"/>
              <w:rPr>
                <w:rFonts w:ascii="Times New Roman"/>
                <w:sz w:val="18"/>
              </w:rPr>
            </w:pPr>
          </w:p>
        </w:tc>
        <w:tc>
          <w:tcPr>
            <w:tcW w:w="1013" w:type="dxa"/>
            <w:tcBorders>
              <w:right w:val="nil"/>
            </w:tcBorders>
            <w:shd w:val="clear" w:color="auto" w:fill="BFBFBF"/>
          </w:tcPr>
          <w:p w14:paraId="781BB8AC" w14:textId="77777777" w:rsidR="00141B97" w:rsidRDefault="00141B97">
            <w:pPr>
              <w:pStyle w:val="TableParagraph"/>
              <w:rPr>
                <w:rFonts w:ascii="Times New Roman"/>
                <w:sz w:val="18"/>
              </w:rPr>
            </w:pPr>
          </w:p>
        </w:tc>
      </w:tr>
      <w:tr w:rsidR="00141B97" w14:paraId="0652E357" w14:textId="77777777">
        <w:trPr>
          <w:trHeight w:val="282"/>
          <w:tblCellSpacing w:w="9" w:type="dxa"/>
        </w:trPr>
        <w:tc>
          <w:tcPr>
            <w:tcW w:w="5408" w:type="dxa"/>
            <w:tcBorders>
              <w:left w:val="nil"/>
            </w:tcBorders>
            <w:shd w:val="clear" w:color="auto" w:fill="CCE2ED"/>
          </w:tcPr>
          <w:p w14:paraId="427F62D3" w14:textId="77777777" w:rsidR="00141B97" w:rsidRDefault="00911D63">
            <w:pPr>
              <w:pStyle w:val="TableParagraph"/>
              <w:spacing w:before="32"/>
              <w:ind w:left="88"/>
              <w:rPr>
                <w:sz w:val="18"/>
              </w:rPr>
            </w:pPr>
            <w:r>
              <w:rPr>
                <w:sz w:val="18"/>
              </w:rPr>
              <w:t>MER</w:t>
            </w:r>
            <w:r>
              <w:rPr>
                <w:spacing w:val="-1"/>
                <w:sz w:val="18"/>
              </w:rPr>
              <w:t xml:space="preserve"> </w:t>
            </w:r>
            <w:r>
              <w:rPr>
                <w:sz w:val="18"/>
              </w:rPr>
              <w:t>D&amp;S</w:t>
            </w:r>
            <w:r>
              <w:rPr>
                <w:spacing w:val="-1"/>
                <w:sz w:val="18"/>
              </w:rPr>
              <w:t xml:space="preserve"> </w:t>
            </w:r>
            <w:r>
              <w:rPr>
                <w:sz w:val="18"/>
              </w:rPr>
              <w:t>Metering</w:t>
            </w:r>
            <w:r>
              <w:rPr>
                <w:spacing w:val="-1"/>
                <w:sz w:val="18"/>
              </w:rPr>
              <w:t xml:space="preserve"> </w:t>
            </w:r>
            <w:r>
              <w:rPr>
                <w:spacing w:val="-2"/>
                <w:sz w:val="18"/>
              </w:rPr>
              <w:t>Program</w:t>
            </w:r>
          </w:p>
        </w:tc>
        <w:tc>
          <w:tcPr>
            <w:tcW w:w="1393" w:type="dxa"/>
            <w:shd w:val="clear" w:color="auto" w:fill="CCE2ED"/>
          </w:tcPr>
          <w:p w14:paraId="2BFF1737" w14:textId="77777777" w:rsidR="00141B97" w:rsidRDefault="00911D63">
            <w:pPr>
              <w:pStyle w:val="TableParagraph"/>
              <w:spacing w:before="32"/>
              <w:ind w:right="95"/>
              <w:jc w:val="right"/>
              <w:rPr>
                <w:sz w:val="18"/>
              </w:rPr>
            </w:pPr>
            <w:r>
              <w:rPr>
                <w:spacing w:val="-2"/>
                <w:sz w:val="18"/>
              </w:rPr>
              <w:t>Irrigation</w:t>
            </w:r>
          </w:p>
        </w:tc>
        <w:tc>
          <w:tcPr>
            <w:tcW w:w="1860" w:type="dxa"/>
            <w:shd w:val="clear" w:color="auto" w:fill="CCE2ED"/>
          </w:tcPr>
          <w:p w14:paraId="742A554B" w14:textId="77777777" w:rsidR="00141B97" w:rsidRDefault="00911D63">
            <w:pPr>
              <w:pStyle w:val="TableParagraph"/>
              <w:spacing w:before="32"/>
              <w:ind w:right="95"/>
              <w:jc w:val="right"/>
              <w:rPr>
                <w:sz w:val="18"/>
              </w:rPr>
            </w:pPr>
            <w:r>
              <w:rPr>
                <w:spacing w:val="-2"/>
                <w:sz w:val="18"/>
              </w:rPr>
              <w:t>Renewals</w:t>
            </w:r>
          </w:p>
        </w:tc>
        <w:tc>
          <w:tcPr>
            <w:tcW w:w="1199" w:type="dxa"/>
            <w:shd w:val="clear" w:color="auto" w:fill="CCE2ED"/>
          </w:tcPr>
          <w:p w14:paraId="171726EB" w14:textId="77777777" w:rsidR="00141B97" w:rsidRDefault="00911D63">
            <w:pPr>
              <w:pStyle w:val="TableParagraph"/>
              <w:spacing w:before="32"/>
              <w:ind w:right="96"/>
              <w:jc w:val="right"/>
              <w:rPr>
                <w:sz w:val="18"/>
              </w:rPr>
            </w:pPr>
            <w:r>
              <w:rPr>
                <w:spacing w:val="-4"/>
                <w:sz w:val="18"/>
              </w:rPr>
              <w:t>0.01</w:t>
            </w:r>
          </w:p>
        </w:tc>
        <w:tc>
          <w:tcPr>
            <w:tcW w:w="1198" w:type="dxa"/>
            <w:shd w:val="clear" w:color="auto" w:fill="CCE2ED"/>
          </w:tcPr>
          <w:p w14:paraId="6E3CC4D5" w14:textId="77777777" w:rsidR="00141B97" w:rsidRDefault="00911D63">
            <w:pPr>
              <w:pStyle w:val="TableParagraph"/>
              <w:spacing w:before="32"/>
              <w:ind w:right="95"/>
              <w:jc w:val="right"/>
              <w:rPr>
                <w:sz w:val="18"/>
              </w:rPr>
            </w:pPr>
            <w:r>
              <w:rPr>
                <w:spacing w:val="-4"/>
                <w:sz w:val="18"/>
              </w:rPr>
              <w:t>0.01</w:t>
            </w:r>
          </w:p>
        </w:tc>
        <w:tc>
          <w:tcPr>
            <w:tcW w:w="1198" w:type="dxa"/>
            <w:shd w:val="clear" w:color="auto" w:fill="CCE2ED"/>
          </w:tcPr>
          <w:p w14:paraId="2C5819D0" w14:textId="77777777" w:rsidR="00141B97" w:rsidRDefault="00911D63">
            <w:pPr>
              <w:pStyle w:val="TableParagraph"/>
              <w:spacing w:before="32"/>
              <w:ind w:right="96"/>
              <w:jc w:val="right"/>
              <w:rPr>
                <w:sz w:val="18"/>
              </w:rPr>
            </w:pPr>
            <w:r>
              <w:rPr>
                <w:spacing w:val="-4"/>
                <w:sz w:val="18"/>
              </w:rPr>
              <w:t>0.01</w:t>
            </w:r>
          </w:p>
        </w:tc>
        <w:tc>
          <w:tcPr>
            <w:tcW w:w="1199" w:type="dxa"/>
            <w:shd w:val="clear" w:color="auto" w:fill="CCE2ED"/>
          </w:tcPr>
          <w:p w14:paraId="4AE312E9" w14:textId="77777777" w:rsidR="00141B97" w:rsidRDefault="00911D63">
            <w:pPr>
              <w:pStyle w:val="TableParagraph"/>
              <w:spacing w:before="32"/>
              <w:ind w:right="97"/>
              <w:jc w:val="right"/>
              <w:rPr>
                <w:sz w:val="18"/>
              </w:rPr>
            </w:pPr>
            <w:r>
              <w:rPr>
                <w:spacing w:val="-4"/>
                <w:sz w:val="18"/>
              </w:rPr>
              <w:t>0.01</w:t>
            </w:r>
          </w:p>
        </w:tc>
        <w:tc>
          <w:tcPr>
            <w:tcW w:w="1198" w:type="dxa"/>
            <w:shd w:val="clear" w:color="auto" w:fill="CCE2ED"/>
          </w:tcPr>
          <w:p w14:paraId="04594007" w14:textId="77777777" w:rsidR="00141B97" w:rsidRDefault="00911D63">
            <w:pPr>
              <w:pStyle w:val="TableParagraph"/>
              <w:spacing w:before="32"/>
              <w:ind w:right="96"/>
              <w:jc w:val="right"/>
              <w:rPr>
                <w:sz w:val="18"/>
              </w:rPr>
            </w:pPr>
            <w:r>
              <w:rPr>
                <w:spacing w:val="-4"/>
                <w:sz w:val="18"/>
              </w:rPr>
              <w:t>0.01</w:t>
            </w:r>
          </w:p>
        </w:tc>
        <w:tc>
          <w:tcPr>
            <w:tcW w:w="1013" w:type="dxa"/>
            <w:tcBorders>
              <w:right w:val="nil"/>
            </w:tcBorders>
            <w:shd w:val="clear" w:color="auto" w:fill="CCE2ED"/>
          </w:tcPr>
          <w:p w14:paraId="6EF9F5AD" w14:textId="77777777" w:rsidR="00141B97" w:rsidRDefault="00911D63">
            <w:pPr>
              <w:pStyle w:val="TableParagraph"/>
              <w:spacing w:before="32"/>
              <w:ind w:right="86"/>
              <w:jc w:val="right"/>
              <w:rPr>
                <w:sz w:val="18"/>
              </w:rPr>
            </w:pPr>
            <w:r>
              <w:rPr>
                <w:spacing w:val="-4"/>
                <w:sz w:val="18"/>
              </w:rPr>
              <w:t>0.04</w:t>
            </w:r>
          </w:p>
        </w:tc>
      </w:tr>
      <w:tr w:rsidR="00141B97" w14:paraId="4CD43871" w14:textId="77777777">
        <w:trPr>
          <w:trHeight w:val="283"/>
          <w:tblCellSpacing w:w="9" w:type="dxa"/>
        </w:trPr>
        <w:tc>
          <w:tcPr>
            <w:tcW w:w="5408" w:type="dxa"/>
            <w:tcBorders>
              <w:left w:val="nil"/>
            </w:tcBorders>
            <w:shd w:val="clear" w:color="auto" w:fill="CCE2ED"/>
          </w:tcPr>
          <w:p w14:paraId="34E82CE4" w14:textId="77777777" w:rsidR="00141B97" w:rsidRDefault="00911D63">
            <w:pPr>
              <w:pStyle w:val="TableParagraph"/>
              <w:spacing w:before="32"/>
              <w:ind w:left="88"/>
              <w:rPr>
                <w:sz w:val="18"/>
              </w:rPr>
            </w:pPr>
            <w:r>
              <w:rPr>
                <w:sz w:val="18"/>
              </w:rPr>
              <w:t>MER</w:t>
            </w:r>
            <w:r>
              <w:rPr>
                <w:spacing w:val="-2"/>
                <w:sz w:val="18"/>
              </w:rPr>
              <w:t xml:space="preserve"> </w:t>
            </w:r>
            <w:r>
              <w:rPr>
                <w:sz w:val="18"/>
              </w:rPr>
              <w:t>Irrigation</w:t>
            </w:r>
            <w:r>
              <w:rPr>
                <w:spacing w:val="-2"/>
                <w:sz w:val="18"/>
              </w:rPr>
              <w:t xml:space="preserve"> </w:t>
            </w:r>
            <w:r>
              <w:rPr>
                <w:sz w:val="18"/>
              </w:rPr>
              <w:t>Meter</w:t>
            </w:r>
            <w:r>
              <w:rPr>
                <w:spacing w:val="-1"/>
                <w:sz w:val="18"/>
              </w:rPr>
              <w:t xml:space="preserve"> </w:t>
            </w:r>
            <w:r>
              <w:rPr>
                <w:spacing w:val="-2"/>
                <w:sz w:val="18"/>
              </w:rPr>
              <w:t>Replacement</w:t>
            </w:r>
          </w:p>
        </w:tc>
        <w:tc>
          <w:tcPr>
            <w:tcW w:w="1393" w:type="dxa"/>
            <w:shd w:val="clear" w:color="auto" w:fill="CCE2ED"/>
          </w:tcPr>
          <w:p w14:paraId="4A0EE7B7" w14:textId="77777777" w:rsidR="00141B97" w:rsidRDefault="00911D63">
            <w:pPr>
              <w:pStyle w:val="TableParagraph"/>
              <w:spacing w:before="32"/>
              <w:ind w:right="95"/>
              <w:jc w:val="right"/>
              <w:rPr>
                <w:sz w:val="18"/>
              </w:rPr>
            </w:pPr>
            <w:r>
              <w:rPr>
                <w:spacing w:val="-2"/>
                <w:sz w:val="18"/>
              </w:rPr>
              <w:t>Irrigation</w:t>
            </w:r>
          </w:p>
        </w:tc>
        <w:tc>
          <w:tcPr>
            <w:tcW w:w="1860" w:type="dxa"/>
            <w:shd w:val="clear" w:color="auto" w:fill="CCE2ED"/>
          </w:tcPr>
          <w:p w14:paraId="38DC3CDC" w14:textId="77777777" w:rsidR="00141B97" w:rsidRDefault="00911D63">
            <w:pPr>
              <w:pStyle w:val="TableParagraph"/>
              <w:spacing w:before="32"/>
              <w:ind w:right="95"/>
              <w:jc w:val="right"/>
              <w:rPr>
                <w:sz w:val="18"/>
              </w:rPr>
            </w:pPr>
            <w:r>
              <w:rPr>
                <w:spacing w:val="-2"/>
                <w:sz w:val="18"/>
              </w:rPr>
              <w:t>Renewals</w:t>
            </w:r>
          </w:p>
        </w:tc>
        <w:tc>
          <w:tcPr>
            <w:tcW w:w="1199" w:type="dxa"/>
            <w:shd w:val="clear" w:color="auto" w:fill="CCE2ED"/>
          </w:tcPr>
          <w:p w14:paraId="7417948B" w14:textId="77777777" w:rsidR="00141B97" w:rsidRDefault="00911D63">
            <w:pPr>
              <w:pStyle w:val="TableParagraph"/>
              <w:spacing w:before="32"/>
              <w:ind w:right="96"/>
              <w:jc w:val="right"/>
              <w:rPr>
                <w:sz w:val="18"/>
              </w:rPr>
            </w:pPr>
            <w:r>
              <w:rPr>
                <w:spacing w:val="-4"/>
                <w:sz w:val="18"/>
              </w:rPr>
              <w:t>0.11</w:t>
            </w:r>
          </w:p>
        </w:tc>
        <w:tc>
          <w:tcPr>
            <w:tcW w:w="1198" w:type="dxa"/>
            <w:shd w:val="clear" w:color="auto" w:fill="CCE2ED"/>
          </w:tcPr>
          <w:p w14:paraId="47AA836B" w14:textId="77777777" w:rsidR="00141B97" w:rsidRDefault="00911D63">
            <w:pPr>
              <w:pStyle w:val="TableParagraph"/>
              <w:spacing w:before="32"/>
              <w:ind w:right="95"/>
              <w:jc w:val="right"/>
              <w:rPr>
                <w:sz w:val="18"/>
              </w:rPr>
            </w:pPr>
            <w:r>
              <w:rPr>
                <w:spacing w:val="-4"/>
                <w:sz w:val="18"/>
              </w:rPr>
              <w:t>0.11</w:t>
            </w:r>
          </w:p>
        </w:tc>
        <w:tc>
          <w:tcPr>
            <w:tcW w:w="1198" w:type="dxa"/>
            <w:shd w:val="clear" w:color="auto" w:fill="CCE2ED"/>
          </w:tcPr>
          <w:p w14:paraId="73808180" w14:textId="77777777" w:rsidR="00141B97" w:rsidRDefault="00911D63">
            <w:pPr>
              <w:pStyle w:val="TableParagraph"/>
              <w:spacing w:before="32"/>
              <w:ind w:right="96"/>
              <w:jc w:val="right"/>
              <w:rPr>
                <w:sz w:val="18"/>
              </w:rPr>
            </w:pPr>
            <w:r>
              <w:rPr>
                <w:spacing w:val="-4"/>
                <w:sz w:val="18"/>
              </w:rPr>
              <w:t>0.11</w:t>
            </w:r>
          </w:p>
        </w:tc>
        <w:tc>
          <w:tcPr>
            <w:tcW w:w="1199" w:type="dxa"/>
            <w:shd w:val="clear" w:color="auto" w:fill="CCE2ED"/>
          </w:tcPr>
          <w:p w14:paraId="23F4FF57" w14:textId="77777777" w:rsidR="00141B97" w:rsidRDefault="00911D63">
            <w:pPr>
              <w:pStyle w:val="TableParagraph"/>
              <w:spacing w:before="32"/>
              <w:ind w:right="97"/>
              <w:jc w:val="right"/>
              <w:rPr>
                <w:sz w:val="18"/>
              </w:rPr>
            </w:pPr>
            <w:r>
              <w:rPr>
                <w:spacing w:val="-4"/>
                <w:sz w:val="18"/>
              </w:rPr>
              <w:t>0.11</w:t>
            </w:r>
          </w:p>
        </w:tc>
        <w:tc>
          <w:tcPr>
            <w:tcW w:w="1198" w:type="dxa"/>
            <w:shd w:val="clear" w:color="auto" w:fill="CCE2ED"/>
          </w:tcPr>
          <w:p w14:paraId="08F47F8E" w14:textId="77777777" w:rsidR="00141B97" w:rsidRDefault="00911D63">
            <w:pPr>
              <w:pStyle w:val="TableParagraph"/>
              <w:spacing w:before="32"/>
              <w:ind w:right="96"/>
              <w:jc w:val="right"/>
              <w:rPr>
                <w:sz w:val="18"/>
              </w:rPr>
            </w:pPr>
            <w:r>
              <w:rPr>
                <w:spacing w:val="-4"/>
                <w:sz w:val="18"/>
              </w:rPr>
              <w:t>0.11</w:t>
            </w:r>
          </w:p>
        </w:tc>
        <w:tc>
          <w:tcPr>
            <w:tcW w:w="1013" w:type="dxa"/>
            <w:tcBorders>
              <w:right w:val="nil"/>
            </w:tcBorders>
            <w:shd w:val="clear" w:color="auto" w:fill="CCE2ED"/>
          </w:tcPr>
          <w:p w14:paraId="26CE20FC" w14:textId="77777777" w:rsidR="00141B97" w:rsidRDefault="00911D63">
            <w:pPr>
              <w:pStyle w:val="TableParagraph"/>
              <w:spacing w:before="32"/>
              <w:ind w:right="86"/>
              <w:jc w:val="right"/>
              <w:rPr>
                <w:sz w:val="18"/>
              </w:rPr>
            </w:pPr>
            <w:r>
              <w:rPr>
                <w:spacing w:val="-4"/>
                <w:sz w:val="18"/>
              </w:rPr>
              <w:t>0.53</w:t>
            </w:r>
          </w:p>
        </w:tc>
      </w:tr>
      <w:tr w:rsidR="00141B97" w14:paraId="72807F09" w14:textId="77777777">
        <w:trPr>
          <w:trHeight w:val="438"/>
          <w:tblCellSpacing w:w="9" w:type="dxa"/>
        </w:trPr>
        <w:tc>
          <w:tcPr>
            <w:tcW w:w="5408" w:type="dxa"/>
            <w:tcBorders>
              <w:left w:val="nil"/>
            </w:tcBorders>
            <w:shd w:val="clear" w:color="auto" w:fill="CCE2ED"/>
          </w:tcPr>
          <w:p w14:paraId="0486192D" w14:textId="77777777" w:rsidR="00141B97" w:rsidRDefault="00911D63">
            <w:pPr>
              <w:pStyle w:val="TableParagraph"/>
              <w:spacing w:line="220" w:lineRule="atLeast"/>
              <w:ind w:left="88"/>
              <w:rPr>
                <w:sz w:val="18"/>
              </w:rPr>
            </w:pPr>
            <w:r>
              <w:rPr>
                <w:sz w:val="18"/>
              </w:rPr>
              <w:t>MER</w:t>
            </w:r>
            <w:r>
              <w:rPr>
                <w:spacing w:val="-2"/>
                <w:sz w:val="18"/>
              </w:rPr>
              <w:t xml:space="preserve"> </w:t>
            </w:r>
            <w:r>
              <w:rPr>
                <w:sz w:val="18"/>
              </w:rPr>
              <w:t>‐</w:t>
            </w:r>
            <w:r>
              <w:rPr>
                <w:spacing w:val="-2"/>
                <w:sz w:val="18"/>
              </w:rPr>
              <w:t xml:space="preserve"> </w:t>
            </w:r>
            <w:r>
              <w:rPr>
                <w:sz w:val="18"/>
              </w:rPr>
              <w:t>Meridian</w:t>
            </w:r>
            <w:r>
              <w:rPr>
                <w:spacing w:val="-4"/>
                <w:sz w:val="18"/>
              </w:rPr>
              <w:t xml:space="preserve"> </w:t>
            </w:r>
            <w:r>
              <w:rPr>
                <w:sz w:val="18"/>
              </w:rPr>
              <w:t>Road</w:t>
            </w:r>
            <w:r>
              <w:rPr>
                <w:spacing w:val="-2"/>
                <w:sz w:val="18"/>
              </w:rPr>
              <w:t xml:space="preserve"> </w:t>
            </w:r>
            <w:r>
              <w:rPr>
                <w:sz w:val="18"/>
              </w:rPr>
              <w:t>Bridge</w:t>
            </w:r>
            <w:r>
              <w:rPr>
                <w:spacing w:val="-2"/>
                <w:sz w:val="18"/>
              </w:rPr>
              <w:t xml:space="preserve"> </w:t>
            </w:r>
            <w:r>
              <w:rPr>
                <w:sz w:val="18"/>
              </w:rPr>
              <w:t>(Drainage)‐</w:t>
            </w:r>
            <w:r>
              <w:rPr>
                <w:spacing w:val="-2"/>
                <w:sz w:val="18"/>
              </w:rPr>
              <w:t xml:space="preserve"> </w:t>
            </w:r>
            <w:r>
              <w:rPr>
                <w:sz w:val="18"/>
              </w:rPr>
              <w:t>replace</w:t>
            </w:r>
            <w:r>
              <w:rPr>
                <w:spacing w:val="-3"/>
                <w:sz w:val="18"/>
              </w:rPr>
              <w:t xml:space="preserve"> </w:t>
            </w:r>
            <w:r>
              <w:rPr>
                <w:sz w:val="18"/>
              </w:rPr>
              <w:t>existing</w:t>
            </w:r>
            <w:r>
              <w:rPr>
                <w:spacing w:val="-3"/>
                <w:sz w:val="18"/>
              </w:rPr>
              <w:t xml:space="preserve"> </w:t>
            </w:r>
            <w:r>
              <w:rPr>
                <w:sz w:val="18"/>
              </w:rPr>
              <w:t>pipe/</w:t>
            </w:r>
            <w:r>
              <w:rPr>
                <w:spacing w:val="-3"/>
                <w:sz w:val="18"/>
              </w:rPr>
              <w:t xml:space="preserve"> </w:t>
            </w:r>
            <w:r>
              <w:rPr>
                <w:sz w:val="18"/>
              </w:rPr>
              <w:t>headwall (New section: 500 DN PE 70 m section)</w:t>
            </w:r>
          </w:p>
        </w:tc>
        <w:tc>
          <w:tcPr>
            <w:tcW w:w="1393" w:type="dxa"/>
            <w:shd w:val="clear" w:color="auto" w:fill="CCE2ED"/>
          </w:tcPr>
          <w:p w14:paraId="278089D3"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09341928"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2EB5BB2B" w14:textId="77777777" w:rsidR="00141B97" w:rsidRDefault="00911D63">
            <w:pPr>
              <w:pStyle w:val="TableParagraph"/>
              <w:spacing w:before="110"/>
              <w:ind w:right="96"/>
              <w:jc w:val="right"/>
              <w:rPr>
                <w:sz w:val="18"/>
              </w:rPr>
            </w:pPr>
            <w:r>
              <w:rPr>
                <w:spacing w:val="-4"/>
                <w:sz w:val="18"/>
              </w:rPr>
              <w:t>0.03</w:t>
            </w:r>
          </w:p>
        </w:tc>
        <w:tc>
          <w:tcPr>
            <w:tcW w:w="1198" w:type="dxa"/>
            <w:shd w:val="clear" w:color="auto" w:fill="CCE2ED"/>
          </w:tcPr>
          <w:p w14:paraId="0CDA3DD6" w14:textId="77777777" w:rsidR="00141B97" w:rsidRDefault="00911D63">
            <w:pPr>
              <w:pStyle w:val="TableParagraph"/>
              <w:spacing w:before="110"/>
              <w:ind w:right="95"/>
              <w:jc w:val="right"/>
              <w:rPr>
                <w:sz w:val="18"/>
              </w:rPr>
            </w:pPr>
            <w:r>
              <w:rPr>
                <w:spacing w:val="-4"/>
                <w:sz w:val="18"/>
              </w:rPr>
              <w:t>0.08</w:t>
            </w:r>
          </w:p>
        </w:tc>
        <w:tc>
          <w:tcPr>
            <w:tcW w:w="1198" w:type="dxa"/>
            <w:shd w:val="clear" w:color="auto" w:fill="CCE2ED"/>
          </w:tcPr>
          <w:p w14:paraId="2B82ECB9"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58C02E9A"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5FC8A907"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30095EA4" w14:textId="77777777" w:rsidR="00141B97" w:rsidRDefault="00911D63">
            <w:pPr>
              <w:pStyle w:val="TableParagraph"/>
              <w:spacing w:before="110"/>
              <w:ind w:right="86"/>
              <w:jc w:val="right"/>
              <w:rPr>
                <w:sz w:val="18"/>
              </w:rPr>
            </w:pPr>
            <w:r>
              <w:rPr>
                <w:spacing w:val="-4"/>
                <w:sz w:val="18"/>
              </w:rPr>
              <w:t>0.11</w:t>
            </w:r>
          </w:p>
        </w:tc>
      </w:tr>
      <w:tr w:rsidR="00141B97" w14:paraId="531635E0" w14:textId="77777777">
        <w:trPr>
          <w:trHeight w:val="437"/>
          <w:tblCellSpacing w:w="9" w:type="dxa"/>
        </w:trPr>
        <w:tc>
          <w:tcPr>
            <w:tcW w:w="5408" w:type="dxa"/>
            <w:tcBorders>
              <w:left w:val="nil"/>
            </w:tcBorders>
            <w:shd w:val="clear" w:color="auto" w:fill="CCE2ED"/>
          </w:tcPr>
          <w:p w14:paraId="469664B8" w14:textId="77777777" w:rsidR="00141B97" w:rsidRDefault="00911D63">
            <w:pPr>
              <w:pStyle w:val="TableParagraph"/>
              <w:spacing w:before="110"/>
              <w:ind w:left="88"/>
              <w:rPr>
                <w:sz w:val="18"/>
              </w:rPr>
            </w:pPr>
            <w:r>
              <w:rPr>
                <w:sz w:val="18"/>
              </w:rPr>
              <w:t>MER</w:t>
            </w:r>
            <w:r>
              <w:rPr>
                <w:spacing w:val="-7"/>
                <w:sz w:val="18"/>
              </w:rPr>
              <w:t xml:space="preserve"> </w:t>
            </w:r>
            <w:r>
              <w:rPr>
                <w:sz w:val="18"/>
              </w:rPr>
              <w:t>‐</w:t>
            </w:r>
            <w:r>
              <w:rPr>
                <w:spacing w:val="-4"/>
                <w:sz w:val="18"/>
              </w:rPr>
              <w:t xml:space="preserve"> </w:t>
            </w:r>
            <w:r>
              <w:rPr>
                <w:sz w:val="18"/>
              </w:rPr>
              <w:t>Channel</w:t>
            </w:r>
            <w:r>
              <w:rPr>
                <w:spacing w:val="-4"/>
                <w:sz w:val="18"/>
              </w:rPr>
              <w:t xml:space="preserve"> </w:t>
            </w:r>
            <w:r>
              <w:rPr>
                <w:sz w:val="18"/>
              </w:rPr>
              <w:t>Reserve</w:t>
            </w:r>
            <w:r>
              <w:rPr>
                <w:spacing w:val="-4"/>
                <w:sz w:val="18"/>
              </w:rPr>
              <w:t xml:space="preserve"> </w:t>
            </w:r>
            <w:r>
              <w:rPr>
                <w:sz w:val="18"/>
              </w:rPr>
              <w:t>Reinstatement</w:t>
            </w:r>
            <w:r>
              <w:rPr>
                <w:spacing w:val="-4"/>
                <w:sz w:val="18"/>
              </w:rPr>
              <w:t xml:space="preserve"> </w:t>
            </w:r>
            <w:r>
              <w:rPr>
                <w:sz w:val="18"/>
              </w:rPr>
              <w:t>(selected</w:t>
            </w:r>
            <w:r>
              <w:rPr>
                <w:spacing w:val="-4"/>
                <w:sz w:val="18"/>
              </w:rPr>
              <w:t xml:space="preserve"> </w:t>
            </w:r>
            <w:r>
              <w:rPr>
                <w:spacing w:val="-2"/>
                <w:sz w:val="18"/>
              </w:rPr>
              <w:t>sections)</w:t>
            </w:r>
          </w:p>
        </w:tc>
        <w:tc>
          <w:tcPr>
            <w:tcW w:w="1393" w:type="dxa"/>
            <w:shd w:val="clear" w:color="auto" w:fill="CCE2ED"/>
          </w:tcPr>
          <w:p w14:paraId="12A2C8C7"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09FD3D48" w14:textId="77777777" w:rsidR="00141B97" w:rsidRDefault="00911D63">
            <w:pPr>
              <w:pStyle w:val="TableParagraph"/>
              <w:spacing w:line="219" w:lineRule="exact"/>
              <w:ind w:right="94"/>
              <w:jc w:val="right"/>
              <w:rPr>
                <w:sz w:val="18"/>
              </w:rPr>
            </w:pPr>
            <w:r>
              <w:rPr>
                <w:sz w:val="18"/>
              </w:rPr>
              <w:t xml:space="preserve">Improvements </w:t>
            </w:r>
            <w:r>
              <w:rPr>
                <w:spacing w:val="-10"/>
                <w:sz w:val="18"/>
              </w:rPr>
              <w:t>/</w:t>
            </w:r>
          </w:p>
          <w:p w14:paraId="5324B578" w14:textId="77777777" w:rsidR="00141B97" w:rsidRDefault="00911D63">
            <w:pPr>
              <w:pStyle w:val="TableParagraph"/>
              <w:spacing w:line="199" w:lineRule="exact"/>
              <w:ind w:right="95"/>
              <w:jc w:val="right"/>
              <w:rPr>
                <w:sz w:val="18"/>
              </w:rPr>
            </w:pPr>
            <w:r>
              <w:rPr>
                <w:spacing w:val="-2"/>
                <w:sz w:val="18"/>
              </w:rPr>
              <w:t>Compliance</w:t>
            </w:r>
          </w:p>
        </w:tc>
        <w:tc>
          <w:tcPr>
            <w:tcW w:w="1199" w:type="dxa"/>
            <w:shd w:val="clear" w:color="auto" w:fill="CCE2ED"/>
          </w:tcPr>
          <w:p w14:paraId="42528CEB"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73F4E26B"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149F14EA" w14:textId="77777777" w:rsidR="00141B97" w:rsidRDefault="00911D63">
            <w:pPr>
              <w:pStyle w:val="TableParagraph"/>
              <w:spacing w:before="110"/>
              <w:ind w:right="96"/>
              <w:jc w:val="right"/>
              <w:rPr>
                <w:sz w:val="18"/>
              </w:rPr>
            </w:pPr>
            <w:r>
              <w:rPr>
                <w:spacing w:val="-4"/>
                <w:sz w:val="18"/>
              </w:rPr>
              <w:t>0.10</w:t>
            </w:r>
          </w:p>
        </w:tc>
        <w:tc>
          <w:tcPr>
            <w:tcW w:w="1199" w:type="dxa"/>
            <w:shd w:val="clear" w:color="auto" w:fill="CCE2ED"/>
          </w:tcPr>
          <w:p w14:paraId="35F21A2B"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23E2B033"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4A8E606E" w14:textId="77777777" w:rsidR="00141B97" w:rsidRDefault="00911D63">
            <w:pPr>
              <w:pStyle w:val="TableParagraph"/>
              <w:spacing w:before="110"/>
              <w:ind w:right="86"/>
              <w:jc w:val="right"/>
              <w:rPr>
                <w:sz w:val="18"/>
              </w:rPr>
            </w:pPr>
            <w:r>
              <w:rPr>
                <w:spacing w:val="-4"/>
                <w:sz w:val="18"/>
              </w:rPr>
              <w:t>0.10</w:t>
            </w:r>
          </w:p>
        </w:tc>
      </w:tr>
      <w:tr w:rsidR="00141B97" w14:paraId="3054EC55" w14:textId="77777777">
        <w:trPr>
          <w:trHeight w:val="220"/>
          <w:tblCellSpacing w:w="9" w:type="dxa"/>
        </w:trPr>
        <w:tc>
          <w:tcPr>
            <w:tcW w:w="5408" w:type="dxa"/>
            <w:tcBorders>
              <w:left w:val="nil"/>
            </w:tcBorders>
            <w:shd w:val="clear" w:color="auto" w:fill="CCE2ED"/>
          </w:tcPr>
          <w:p w14:paraId="161DAB05" w14:textId="77777777" w:rsidR="00141B97" w:rsidRDefault="00911D63">
            <w:pPr>
              <w:pStyle w:val="TableParagraph"/>
              <w:spacing w:before="1" w:line="199" w:lineRule="exact"/>
              <w:ind w:left="88"/>
              <w:rPr>
                <w:sz w:val="18"/>
              </w:rPr>
            </w:pPr>
            <w:r>
              <w:rPr>
                <w:sz w:val="18"/>
              </w:rPr>
              <w:t>MER</w:t>
            </w:r>
            <w:r>
              <w:rPr>
                <w:spacing w:val="-3"/>
                <w:sz w:val="18"/>
              </w:rPr>
              <w:t xml:space="preserve"> </w:t>
            </w:r>
            <w:r>
              <w:rPr>
                <w:sz w:val="18"/>
              </w:rPr>
              <w:t>‐</w:t>
            </w:r>
            <w:r>
              <w:rPr>
                <w:spacing w:val="-1"/>
                <w:sz w:val="18"/>
              </w:rPr>
              <w:t xml:space="preserve"> </w:t>
            </w:r>
            <w:r>
              <w:rPr>
                <w:sz w:val="18"/>
              </w:rPr>
              <w:t>Mains</w:t>
            </w:r>
            <w:r>
              <w:rPr>
                <w:spacing w:val="-2"/>
                <w:sz w:val="18"/>
              </w:rPr>
              <w:t xml:space="preserve"> </w:t>
            </w:r>
            <w:r>
              <w:rPr>
                <w:sz w:val="18"/>
              </w:rPr>
              <w:t>Replacement</w:t>
            </w:r>
            <w:r>
              <w:rPr>
                <w:spacing w:val="-2"/>
                <w:sz w:val="18"/>
              </w:rPr>
              <w:t xml:space="preserve"> </w:t>
            </w:r>
            <w:r>
              <w:rPr>
                <w:sz w:val="18"/>
              </w:rPr>
              <w:t>and</w:t>
            </w:r>
            <w:r>
              <w:rPr>
                <w:spacing w:val="-1"/>
                <w:sz w:val="18"/>
              </w:rPr>
              <w:t xml:space="preserve"> </w:t>
            </w:r>
            <w:r>
              <w:rPr>
                <w:sz w:val="18"/>
              </w:rPr>
              <w:t>upgrade</w:t>
            </w:r>
            <w:r>
              <w:rPr>
                <w:spacing w:val="-2"/>
                <w:sz w:val="18"/>
              </w:rPr>
              <w:t xml:space="preserve"> </w:t>
            </w:r>
            <w:r>
              <w:rPr>
                <w:sz w:val="18"/>
              </w:rPr>
              <w:t>Tight</w:t>
            </w:r>
            <w:r>
              <w:rPr>
                <w:spacing w:val="-2"/>
                <w:sz w:val="18"/>
              </w:rPr>
              <w:t xml:space="preserve"> </w:t>
            </w:r>
            <w:r>
              <w:rPr>
                <w:sz w:val="18"/>
              </w:rPr>
              <w:t>Spurs</w:t>
            </w:r>
            <w:r>
              <w:rPr>
                <w:spacing w:val="-1"/>
                <w:sz w:val="18"/>
              </w:rPr>
              <w:t xml:space="preserve"> </w:t>
            </w:r>
            <w:r>
              <w:rPr>
                <w:spacing w:val="-2"/>
                <w:sz w:val="18"/>
              </w:rPr>
              <w:t>Program</w:t>
            </w:r>
          </w:p>
        </w:tc>
        <w:tc>
          <w:tcPr>
            <w:tcW w:w="1393" w:type="dxa"/>
            <w:shd w:val="clear" w:color="auto" w:fill="CCE2ED"/>
          </w:tcPr>
          <w:p w14:paraId="0B368DBA"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46E7C0CF"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43DC8D6E" w14:textId="77777777" w:rsidR="00141B97" w:rsidRDefault="00911D63">
            <w:pPr>
              <w:pStyle w:val="TableParagraph"/>
              <w:spacing w:before="1" w:line="199" w:lineRule="exact"/>
              <w:ind w:right="96"/>
              <w:jc w:val="right"/>
              <w:rPr>
                <w:sz w:val="18"/>
              </w:rPr>
            </w:pPr>
            <w:r>
              <w:rPr>
                <w:spacing w:val="-4"/>
                <w:sz w:val="18"/>
              </w:rPr>
              <w:t>0.16</w:t>
            </w:r>
          </w:p>
        </w:tc>
        <w:tc>
          <w:tcPr>
            <w:tcW w:w="1198" w:type="dxa"/>
            <w:shd w:val="clear" w:color="auto" w:fill="CCE2ED"/>
          </w:tcPr>
          <w:p w14:paraId="7F2A92B1" w14:textId="77777777" w:rsidR="00141B97" w:rsidRDefault="00911D63">
            <w:pPr>
              <w:pStyle w:val="TableParagraph"/>
              <w:spacing w:before="1" w:line="199" w:lineRule="exact"/>
              <w:ind w:right="95"/>
              <w:jc w:val="right"/>
              <w:rPr>
                <w:sz w:val="18"/>
              </w:rPr>
            </w:pPr>
            <w:r>
              <w:rPr>
                <w:spacing w:val="-4"/>
                <w:sz w:val="18"/>
              </w:rPr>
              <w:t>0.25</w:t>
            </w:r>
          </w:p>
        </w:tc>
        <w:tc>
          <w:tcPr>
            <w:tcW w:w="1198" w:type="dxa"/>
            <w:shd w:val="clear" w:color="auto" w:fill="CCE2ED"/>
          </w:tcPr>
          <w:p w14:paraId="1F4A996C" w14:textId="77777777" w:rsidR="00141B97" w:rsidRDefault="00911D63">
            <w:pPr>
              <w:pStyle w:val="TableParagraph"/>
              <w:spacing w:before="1" w:line="199" w:lineRule="exact"/>
              <w:ind w:right="96"/>
              <w:jc w:val="right"/>
              <w:rPr>
                <w:sz w:val="18"/>
              </w:rPr>
            </w:pPr>
            <w:r>
              <w:rPr>
                <w:spacing w:val="-4"/>
                <w:sz w:val="18"/>
              </w:rPr>
              <w:t>0.25</w:t>
            </w:r>
          </w:p>
        </w:tc>
        <w:tc>
          <w:tcPr>
            <w:tcW w:w="1199" w:type="dxa"/>
            <w:shd w:val="clear" w:color="auto" w:fill="CCE2ED"/>
          </w:tcPr>
          <w:p w14:paraId="0BEC874C" w14:textId="77777777" w:rsidR="00141B97" w:rsidRDefault="00911D63">
            <w:pPr>
              <w:pStyle w:val="TableParagraph"/>
              <w:spacing w:before="1" w:line="199" w:lineRule="exact"/>
              <w:ind w:right="97"/>
              <w:jc w:val="right"/>
              <w:rPr>
                <w:sz w:val="18"/>
              </w:rPr>
            </w:pPr>
            <w:r>
              <w:rPr>
                <w:spacing w:val="-4"/>
                <w:sz w:val="18"/>
              </w:rPr>
              <w:t>0.26</w:t>
            </w:r>
          </w:p>
        </w:tc>
        <w:tc>
          <w:tcPr>
            <w:tcW w:w="1198" w:type="dxa"/>
            <w:shd w:val="clear" w:color="auto" w:fill="CCE2ED"/>
          </w:tcPr>
          <w:p w14:paraId="0C0F37E5" w14:textId="77777777" w:rsidR="00141B97" w:rsidRDefault="00911D63">
            <w:pPr>
              <w:pStyle w:val="TableParagraph"/>
              <w:spacing w:before="1" w:line="199" w:lineRule="exact"/>
              <w:ind w:right="96"/>
              <w:jc w:val="right"/>
              <w:rPr>
                <w:sz w:val="18"/>
              </w:rPr>
            </w:pPr>
            <w:r>
              <w:rPr>
                <w:spacing w:val="-4"/>
                <w:sz w:val="18"/>
              </w:rPr>
              <w:t>0.18</w:t>
            </w:r>
          </w:p>
        </w:tc>
        <w:tc>
          <w:tcPr>
            <w:tcW w:w="1013" w:type="dxa"/>
            <w:tcBorders>
              <w:right w:val="nil"/>
            </w:tcBorders>
            <w:shd w:val="clear" w:color="auto" w:fill="CCE2ED"/>
          </w:tcPr>
          <w:p w14:paraId="3EDFF208" w14:textId="77777777" w:rsidR="00141B97" w:rsidRDefault="00911D63">
            <w:pPr>
              <w:pStyle w:val="TableParagraph"/>
              <w:spacing w:before="1" w:line="199" w:lineRule="exact"/>
              <w:ind w:right="86"/>
              <w:jc w:val="right"/>
              <w:rPr>
                <w:sz w:val="18"/>
              </w:rPr>
            </w:pPr>
            <w:r>
              <w:rPr>
                <w:spacing w:val="-4"/>
                <w:sz w:val="18"/>
              </w:rPr>
              <w:t>1.11</w:t>
            </w:r>
          </w:p>
        </w:tc>
      </w:tr>
      <w:tr w:rsidR="00141B97" w14:paraId="6EDC0C42" w14:textId="77777777">
        <w:trPr>
          <w:trHeight w:val="439"/>
          <w:tblCellSpacing w:w="9" w:type="dxa"/>
        </w:trPr>
        <w:tc>
          <w:tcPr>
            <w:tcW w:w="5408" w:type="dxa"/>
            <w:tcBorders>
              <w:left w:val="nil"/>
            </w:tcBorders>
            <w:shd w:val="clear" w:color="auto" w:fill="CCE2ED"/>
          </w:tcPr>
          <w:p w14:paraId="44FB4109" w14:textId="77777777" w:rsidR="00141B97" w:rsidRDefault="00911D63">
            <w:pPr>
              <w:pStyle w:val="TableParagraph"/>
              <w:spacing w:before="110"/>
              <w:ind w:left="88"/>
              <w:rPr>
                <w:sz w:val="18"/>
              </w:rPr>
            </w:pPr>
            <w:r>
              <w:rPr>
                <w:sz w:val="18"/>
              </w:rPr>
              <w:t>MER</w:t>
            </w:r>
            <w:r>
              <w:rPr>
                <w:spacing w:val="-3"/>
                <w:sz w:val="18"/>
              </w:rPr>
              <w:t xml:space="preserve"> </w:t>
            </w:r>
            <w:r>
              <w:rPr>
                <w:sz w:val="18"/>
              </w:rPr>
              <w:t>‐</w:t>
            </w:r>
            <w:r>
              <w:rPr>
                <w:spacing w:val="-2"/>
                <w:sz w:val="18"/>
              </w:rPr>
              <w:t xml:space="preserve"> </w:t>
            </w:r>
            <w:r>
              <w:rPr>
                <w:sz w:val="18"/>
              </w:rPr>
              <w:t>Isolation,</w:t>
            </w:r>
            <w:r>
              <w:rPr>
                <w:spacing w:val="-2"/>
                <w:sz w:val="18"/>
              </w:rPr>
              <w:t xml:space="preserve"> </w:t>
            </w:r>
            <w:r>
              <w:rPr>
                <w:sz w:val="18"/>
              </w:rPr>
              <w:t>Scour</w:t>
            </w:r>
            <w:r>
              <w:rPr>
                <w:spacing w:val="-2"/>
                <w:sz w:val="18"/>
              </w:rPr>
              <w:t xml:space="preserve"> </w:t>
            </w:r>
            <w:r>
              <w:rPr>
                <w:sz w:val="18"/>
              </w:rPr>
              <w:t>&amp;</w:t>
            </w:r>
            <w:r>
              <w:rPr>
                <w:spacing w:val="-3"/>
                <w:sz w:val="18"/>
              </w:rPr>
              <w:t xml:space="preserve"> </w:t>
            </w:r>
            <w:r>
              <w:rPr>
                <w:sz w:val="18"/>
              </w:rPr>
              <w:t>Air</w:t>
            </w:r>
            <w:r>
              <w:rPr>
                <w:spacing w:val="-2"/>
                <w:sz w:val="18"/>
              </w:rPr>
              <w:t xml:space="preserve"> </w:t>
            </w:r>
            <w:r>
              <w:rPr>
                <w:sz w:val="18"/>
              </w:rPr>
              <w:t>Valve</w:t>
            </w:r>
            <w:r>
              <w:rPr>
                <w:spacing w:val="-2"/>
                <w:sz w:val="18"/>
              </w:rPr>
              <w:t xml:space="preserve"> Program</w:t>
            </w:r>
          </w:p>
        </w:tc>
        <w:tc>
          <w:tcPr>
            <w:tcW w:w="1393" w:type="dxa"/>
            <w:shd w:val="clear" w:color="auto" w:fill="CCE2ED"/>
          </w:tcPr>
          <w:p w14:paraId="75FACD09"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3198B926"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4B03A96A" w14:textId="77777777" w:rsidR="00141B97" w:rsidRDefault="00911D63">
            <w:pPr>
              <w:pStyle w:val="TableParagraph"/>
              <w:spacing w:before="110"/>
              <w:ind w:right="96"/>
              <w:jc w:val="right"/>
              <w:rPr>
                <w:sz w:val="18"/>
              </w:rPr>
            </w:pPr>
            <w:r>
              <w:rPr>
                <w:spacing w:val="-4"/>
                <w:sz w:val="18"/>
              </w:rPr>
              <w:t>0.30</w:t>
            </w:r>
          </w:p>
        </w:tc>
        <w:tc>
          <w:tcPr>
            <w:tcW w:w="1198" w:type="dxa"/>
            <w:shd w:val="clear" w:color="auto" w:fill="CCE2ED"/>
          </w:tcPr>
          <w:p w14:paraId="668733B4" w14:textId="77777777" w:rsidR="00141B97" w:rsidRDefault="00911D63">
            <w:pPr>
              <w:pStyle w:val="TableParagraph"/>
              <w:spacing w:before="110"/>
              <w:ind w:right="95"/>
              <w:jc w:val="right"/>
              <w:rPr>
                <w:sz w:val="18"/>
              </w:rPr>
            </w:pPr>
            <w:r>
              <w:rPr>
                <w:spacing w:val="-4"/>
                <w:sz w:val="18"/>
              </w:rPr>
              <w:t>0.10</w:t>
            </w:r>
          </w:p>
        </w:tc>
        <w:tc>
          <w:tcPr>
            <w:tcW w:w="1198" w:type="dxa"/>
            <w:shd w:val="clear" w:color="auto" w:fill="CCE2ED"/>
          </w:tcPr>
          <w:p w14:paraId="6BD76551"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4156C7F7" w14:textId="77777777" w:rsidR="00141B97" w:rsidRDefault="00911D63">
            <w:pPr>
              <w:pStyle w:val="TableParagraph"/>
              <w:spacing w:before="110"/>
              <w:ind w:right="97"/>
              <w:jc w:val="right"/>
              <w:rPr>
                <w:sz w:val="18"/>
              </w:rPr>
            </w:pPr>
            <w:r>
              <w:rPr>
                <w:spacing w:val="-4"/>
                <w:sz w:val="18"/>
              </w:rPr>
              <w:t>0.30</w:t>
            </w:r>
          </w:p>
        </w:tc>
        <w:tc>
          <w:tcPr>
            <w:tcW w:w="1198" w:type="dxa"/>
            <w:shd w:val="clear" w:color="auto" w:fill="CCE2ED"/>
          </w:tcPr>
          <w:p w14:paraId="39422C2B" w14:textId="77777777" w:rsidR="00141B97" w:rsidRDefault="00911D63">
            <w:pPr>
              <w:pStyle w:val="TableParagraph"/>
              <w:spacing w:before="110"/>
              <w:ind w:right="96"/>
              <w:jc w:val="right"/>
              <w:rPr>
                <w:sz w:val="18"/>
              </w:rPr>
            </w:pPr>
            <w:r>
              <w:rPr>
                <w:spacing w:val="-4"/>
                <w:sz w:val="18"/>
              </w:rPr>
              <w:t>0.14</w:t>
            </w:r>
          </w:p>
        </w:tc>
        <w:tc>
          <w:tcPr>
            <w:tcW w:w="1013" w:type="dxa"/>
            <w:tcBorders>
              <w:right w:val="nil"/>
            </w:tcBorders>
            <w:shd w:val="clear" w:color="auto" w:fill="CCE2ED"/>
          </w:tcPr>
          <w:p w14:paraId="3AA53481" w14:textId="77777777" w:rsidR="00141B97" w:rsidRDefault="00911D63">
            <w:pPr>
              <w:pStyle w:val="TableParagraph"/>
              <w:spacing w:before="110"/>
              <w:ind w:right="86"/>
              <w:jc w:val="right"/>
              <w:rPr>
                <w:sz w:val="18"/>
              </w:rPr>
            </w:pPr>
            <w:r>
              <w:rPr>
                <w:spacing w:val="-4"/>
                <w:sz w:val="18"/>
              </w:rPr>
              <w:t>0.84</w:t>
            </w:r>
          </w:p>
        </w:tc>
      </w:tr>
      <w:tr w:rsidR="00141B97" w14:paraId="5647EC23" w14:textId="77777777">
        <w:trPr>
          <w:trHeight w:val="439"/>
          <w:tblCellSpacing w:w="9" w:type="dxa"/>
        </w:trPr>
        <w:tc>
          <w:tcPr>
            <w:tcW w:w="5408" w:type="dxa"/>
            <w:tcBorders>
              <w:left w:val="nil"/>
            </w:tcBorders>
            <w:shd w:val="clear" w:color="auto" w:fill="CCE2ED"/>
          </w:tcPr>
          <w:p w14:paraId="0ACF2030" w14:textId="77777777" w:rsidR="00141B97" w:rsidRDefault="00911D63">
            <w:pPr>
              <w:pStyle w:val="TableParagraph"/>
              <w:spacing w:before="110"/>
              <w:ind w:left="88"/>
              <w:rPr>
                <w:sz w:val="18"/>
              </w:rPr>
            </w:pPr>
            <w:r>
              <w:rPr>
                <w:sz w:val="18"/>
              </w:rPr>
              <w:t>MER</w:t>
            </w:r>
            <w:r>
              <w:rPr>
                <w:spacing w:val="-3"/>
                <w:sz w:val="18"/>
              </w:rPr>
              <w:t xml:space="preserve"> </w:t>
            </w:r>
            <w:r>
              <w:rPr>
                <w:sz w:val="18"/>
              </w:rPr>
              <w:t>‐</w:t>
            </w:r>
            <w:r>
              <w:rPr>
                <w:spacing w:val="-3"/>
                <w:sz w:val="18"/>
              </w:rPr>
              <w:t xml:space="preserve"> </w:t>
            </w:r>
            <w:r>
              <w:rPr>
                <w:sz w:val="18"/>
              </w:rPr>
              <w:t>Pipeline</w:t>
            </w:r>
            <w:r>
              <w:rPr>
                <w:spacing w:val="-3"/>
                <w:sz w:val="18"/>
              </w:rPr>
              <w:t xml:space="preserve"> </w:t>
            </w:r>
            <w:r>
              <w:rPr>
                <w:sz w:val="18"/>
              </w:rPr>
              <w:t>Extension</w:t>
            </w:r>
            <w:r>
              <w:rPr>
                <w:spacing w:val="-4"/>
                <w:sz w:val="18"/>
              </w:rPr>
              <w:t xml:space="preserve"> </w:t>
            </w:r>
            <w:r>
              <w:rPr>
                <w:sz w:val="18"/>
              </w:rPr>
              <w:t>of</w:t>
            </w:r>
            <w:r>
              <w:rPr>
                <w:spacing w:val="-2"/>
                <w:sz w:val="18"/>
              </w:rPr>
              <w:t xml:space="preserve"> </w:t>
            </w:r>
            <w:r>
              <w:rPr>
                <w:sz w:val="18"/>
              </w:rPr>
              <w:t>Merbein</w:t>
            </w:r>
            <w:r>
              <w:rPr>
                <w:spacing w:val="-4"/>
                <w:sz w:val="18"/>
              </w:rPr>
              <w:t xml:space="preserve"> </w:t>
            </w:r>
            <w:r>
              <w:rPr>
                <w:sz w:val="18"/>
              </w:rPr>
              <w:t>Termination</w:t>
            </w:r>
            <w:r>
              <w:rPr>
                <w:spacing w:val="-1"/>
                <w:sz w:val="18"/>
              </w:rPr>
              <w:t xml:space="preserve"> </w:t>
            </w:r>
            <w:r>
              <w:rPr>
                <w:spacing w:val="-2"/>
                <w:sz w:val="18"/>
              </w:rPr>
              <w:t>Structure</w:t>
            </w:r>
          </w:p>
        </w:tc>
        <w:tc>
          <w:tcPr>
            <w:tcW w:w="1393" w:type="dxa"/>
            <w:shd w:val="clear" w:color="auto" w:fill="CCE2ED"/>
          </w:tcPr>
          <w:p w14:paraId="47128D9B"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2DCF47AE"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03FDA5EC"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34D2FBB1"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1D0E8E8B"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527F2AC9" w14:textId="77777777" w:rsidR="00141B97" w:rsidRDefault="00911D63">
            <w:pPr>
              <w:pStyle w:val="TableParagraph"/>
              <w:spacing w:before="110"/>
              <w:ind w:right="97"/>
              <w:jc w:val="right"/>
              <w:rPr>
                <w:sz w:val="18"/>
              </w:rPr>
            </w:pPr>
            <w:r>
              <w:rPr>
                <w:spacing w:val="-4"/>
                <w:sz w:val="18"/>
              </w:rPr>
              <w:t>0.26</w:t>
            </w:r>
          </w:p>
        </w:tc>
        <w:tc>
          <w:tcPr>
            <w:tcW w:w="1198" w:type="dxa"/>
            <w:shd w:val="clear" w:color="auto" w:fill="CCE2ED"/>
          </w:tcPr>
          <w:p w14:paraId="73993503" w14:textId="77777777" w:rsidR="00141B97" w:rsidRDefault="00911D63">
            <w:pPr>
              <w:pStyle w:val="TableParagraph"/>
              <w:spacing w:before="110"/>
              <w:ind w:right="96"/>
              <w:jc w:val="right"/>
              <w:rPr>
                <w:sz w:val="18"/>
              </w:rPr>
            </w:pPr>
            <w:r>
              <w:rPr>
                <w:spacing w:val="-4"/>
                <w:sz w:val="18"/>
              </w:rPr>
              <w:t>0.29</w:t>
            </w:r>
          </w:p>
        </w:tc>
        <w:tc>
          <w:tcPr>
            <w:tcW w:w="1013" w:type="dxa"/>
            <w:tcBorders>
              <w:right w:val="nil"/>
            </w:tcBorders>
            <w:shd w:val="clear" w:color="auto" w:fill="CCE2ED"/>
          </w:tcPr>
          <w:p w14:paraId="5793A5AE" w14:textId="77777777" w:rsidR="00141B97" w:rsidRDefault="00911D63">
            <w:pPr>
              <w:pStyle w:val="TableParagraph"/>
              <w:spacing w:before="110"/>
              <w:ind w:right="86"/>
              <w:jc w:val="right"/>
              <w:rPr>
                <w:sz w:val="18"/>
              </w:rPr>
            </w:pPr>
            <w:r>
              <w:rPr>
                <w:spacing w:val="-4"/>
                <w:sz w:val="18"/>
              </w:rPr>
              <w:t>0.55</w:t>
            </w:r>
          </w:p>
        </w:tc>
      </w:tr>
      <w:tr w:rsidR="00141B97" w14:paraId="64511279" w14:textId="77777777">
        <w:trPr>
          <w:trHeight w:val="438"/>
          <w:tblCellSpacing w:w="9" w:type="dxa"/>
        </w:trPr>
        <w:tc>
          <w:tcPr>
            <w:tcW w:w="5408" w:type="dxa"/>
            <w:tcBorders>
              <w:left w:val="nil"/>
            </w:tcBorders>
            <w:shd w:val="clear" w:color="auto" w:fill="CCE2ED"/>
          </w:tcPr>
          <w:p w14:paraId="203AD215" w14:textId="77777777" w:rsidR="00141B97" w:rsidRDefault="00911D63">
            <w:pPr>
              <w:pStyle w:val="TableParagraph"/>
              <w:spacing w:before="109"/>
              <w:ind w:left="88"/>
              <w:rPr>
                <w:sz w:val="18"/>
              </w:rPr>
            </w:pPr>
            <w:r>
              <w:rPr>
                <w:sz w:val="18"/>
              </w:rPr>
              <w:t>MER</w:t>
            </w:r>
            <w:r>
              <w:rPr>
                <w:spacing w:val="-5"/>
                <w:sz w:val="18"/>
              </w:rPr>
              <w:t xml:space="preserve"> </w:t>
            </w:r>
            <w:r>
              <w:rPr>
                <w:sz w:val="18"/>
              </w:rPr>
              <w:t>‐</w:t>
            </w:r>
            <w:r>
              <w:rPr>
                <w:spacing w:val="-2"/>
                <w:sz w:val="18"/>
              </w:rPr>
              <w:t xml:space="preserve"> </w:t>
            </w:r>
            <w:r>
              <w:rPr>
                <w:sz w:val="18"/>
              </w:rPr>
              <w:t>Improve</w:t>
            </w:r>
            <w:r>
              <w:rPr>
                <w:spacing w:val="-2"/>
                <w:sz w:val="18"/>
              </w:rPr>
              <w:t xml:space="preserve"> </w:t>
            </w:r>
            <w:r>
              <w:rPr>
                <w:sz w:val="18"/>
              </w:rPr>
              <w:t>safety</w:t>
            </w:r>
            <w:r>
              <w:rPr>
                <w:spacing w:val="-2"/>
                <w:sz w:val="18"/>
              </w:rPr>
              <w:t xml:space="preserve"> </w:t>
            </w:r>
            <w:r>
              <w:rPr>
                <w:sz w:val="18"/>
              </w:rPr>
              <w:t>and</w:t>
            </w:r>
            <w:r>
              <w:rPr>
                <w:spacing w:val="-2"/>
                <w:sz w:val="18"/>
              </w:rPr>
              <w:t xml:space="preserve"> </w:t>
            </w:r>
            <w:r>
              <w:rPr>
                <w:sz w:val="18"/>
              </w:rPr>
              <w:t>accessibility</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pacing w:val="-2"/>
                <w:sz w:val="18"/>
              </w:rPr>
              <w:t>clusters</w:t>
            </w:r>
          </w:p>
        </w:tc>
        <w:tc>
          <w:tcPr>
            <w:tcW w:w="1393" w:type="dxa"/>
            <w:shd w:val="clear" w:color="auto" w:fill="CCE2ED"/>
          </w:tcPr>
          <w:p w14:paraId="0B9A4187" w14:textId="77777777" w:rsidR="00141B97" w:rsidRDefault="00911D63">
            <w:pPr>
              <w:pStyle w:val="TableParagraph"/>
              <w:spacing w:before="109"/>
              <w:ind w:right="95"/>
              <w:jc w:val="right"/>
              <w:rPr>
                <w:sz w:val="18"/>
              </w:rPr>
            </w:pPr>
            <w:r>
              <w:rPr>
                <w:spacing w:val="-2"/>
                <w:sz w:val="18"/>
              </w:rPr>
              <w:t>Irrigation</w:t>
            </w:r>
          </w:p>
        </w:tc>
        <w:tc>
          <w:tcPr>
            <w:tcW w:w="1860" w:type="dxa"/>
            <w:shd w:val="clear" w:color="auto" w:fill="CCE2ED"/>
          </w:tcPr>
          <w:p w14:paraId="37D09FFA"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5995FBAE" w14:textId="77777777" w:rsidR="00141B97" w:rsidRDefault="00911D63">
            <w:pPr>
              <w:pStyle w:val="TableParagraph"/>
              <w:spacing w:before="109"/>
              <w:ind w:right="96"/>
              <w:jc w:val="right"/>
              <w:rPr>
                <w:sz w:val="18"/>
              </w:rPr>
            </w:pPr>
            <w:r>
              <w:rPr>
                <w:spacing w:val="-4"/>
                <w:sz w:val="18"/>
              </w:rPr>
              <w:t>0.13</w:t>
            </w:r>
          </w:p>
        </w:tc>
        <w:tc>
          <w:tcPr>
            <w:tcW w:w="1198" w:type="dxa"/>
            <w:shd w:val="clear" w:color="auto" w:fill="CCE2ED"/>
          </w:tcPr>
          <w:p w14:paraId="69E53573" w14:textId="77777777" w:rsidR="00141B97" w:rsidRDefault="00911D63">
            <w:pPr>
              <w:pStyle w:val="TableParagraph"/>
              <w:spacing w:before="109"/>
              <w:ind w:right="95"/>
              <w:jc w:val="right"/>
              <w:rPr>
                <w:sz w:val="18"/>
              </w:rPr>
            </w:pPr>
            <w:r>
              <w:rPr>
                <w:spacing w:val="-4"/>
                <w:sz w:val="18"/>
              </w:rPr>
              <w:t>0.00</w:t>
            </w:r>
          </w:p>
        </w:tc>
        <w:tc>
          <w:tcPr>
            <w:tcW w:w="1198" w:type="dxa"/>
            <w:shd w:val="clear" w:color="auto" w:fill="CCE2ED"/>
          </w:tcPr>
          <w:p w14:paraId="1940648E" w14:textId="77777777" w:rsidR="00141B97" w:rsidRDefault="00911D63">
            <w:pPr>
              <w:pStyle w:val="TableParagraph"/>
              <w:spacing w:before="109"/>
              <w:ind w:right="96"/>
              <w:jc w:val="right"/>
              <w:rPr>
                <w:sz w:val="18"/>
              </w:rPr>
            </w:pPr>
            <w:r>
              <w:rPr>
                <w:spacing w:val="-4"/>
                <w:sz w:val="18"/>
              </w:rPr>
              <w:t>0.00</w:t>
            </w:r>
          </w:p>
        </w:tc>
        <w:tc>
          <w:tcPr>
            <w:tcW w:w="1199" w:type="dxa"/>
            <w:shd w:val="clear" w:color="auto" w:fill="CCE2ED"/>
          </w:tcPr>
          <w:p w14:paraId="565E6504" w14:textId="77777777" w:rsidR="00141B97" w:rsidRDefault="00911D63">
            <w:pPr>
              <w:pStyle w:val="TableParagraph"/>
              <w:spacing w:before="109"/>
              <w:ind w:right="97"/>
              <w:jc w:val="right"/>
              <w:rPr>
                <w:sz w:val="18"/>
              </w:rPr>
            </w:pPr>
            <w:r>
              <w:rPr>
                <w:spacing w:val="-4"/>
                <w:sz w:val="18"/>
              </w:rPr>
              <w:t>0.00</w:t>
            </w:r>
          </w:p>
        </w:tc>
        <w:tc>
          <w:tcPr>
            <w:tcW w:w="1198" w:type="dxa"/>
            <w:shd w:val="clear" w:color="auto" w:fill="CCE2ED"/>
          </w:tcPr>
          <w:p w14:paraId="7E562497" w14:textId="77777777" w:rsidR="00141B97" w:rsidRDefault="00911D63">
            <w:pPr>
              <w:pStyle w:val="TableParagraph"/>
              <w:spacing w:before="109"/>
              <w:ind w:right="96"/>
              <w:jc w:val="right"/>
              <w:rPr>
                <w:sz w:val="18"/>
              </w:rPr>
            </w:pPr>
            <w:r>
              <w:rPr>
                <w:spacing w:val="-4"/>
                <w:sz w:val="18"/>
              </w:rPr>
              <w:t>0.00</w:t>
            </w:r>
          </w:p>
        </w:tc>
        <w:tc>
          <w:tcPr>
            <w:tcW w:w="1013" w:type="dxa"/>
            <w:tcBorders>
              <w:right w:val="nil"/>
            </w:tcBorders>
            <w:shd w:val="clear" w:color="auto" w:fill="CCE2ED"/>
          </w:tcPr>
          <w:p w14:paraId="49C6A266" w14:textId="77777777" w:rsidR="00141B97" w:rsidRDefault="00911D63">
            <w:pPr>
              <w:pStyle w:val="TableParagraph"/>
              <w:spacing w:before="109"/>
              <w:ind w:right="86"/>
              <w:jc w:val="right"/>
              <w:rPr>
                <w:sz w:val="18"/>
              </w:rPr>
            </w:pPr>
            <w:r>
              <w:rPr>
                <w:spacing w:val="-4"/>
                <w:sz w:val="18"/>
              </w:rPr>
              <w:t>0.13</w:t>
            </w:r>
          </w:p>
        </w:tc>
      </w:tr>
      <w:tr w:rsidR="00141B97" w14:paraId="566797D4" w14:textId="77777777">
        <w:trPr>
          <w:trHeight w:val="438"/>
          <w:tblCellSpacing w:w="9" w:type="dxa"/>
        </w:trPr>
        <w:tc>
          <w:tcPr>
            <w:tcW w:w="5408" w:type="dxa"/>
            <w:tcBorders>
              <w:left w:val="nil"/>
            </w:tcBorders>
            <w:shd w:val="clear" w:color="auto" w:fill="CCE2ED"/>
          </w:tcPr>
          <w:p w14:paraId="153E899F" w14:textId="77777777" w:rsidR="00141B97" w:rsidRDefault="00911D63">
            <w:pPr>
              <w:pStyle w:val="TableParagraph"/>
              <w:spacing w:line="218" w:lineRule="exact"/>
              <w:ind w:left="88"/>
              <w:rPr>
                <w:sz w:val="18"/>
              </w:rPr>
            </w:pPr>
            <w:r>
              <w:rPr>
                <w:sz w:val="18"/>
              </w:rPr>
              <w:t>MER</w:t>
            </w:r>
            <w:r>
              <w:rPr>
                <w:spacing w:val="-1"/>
                <w:sz w:val="18"/>
              </w:rPr>
              <w:t xml:space="preserve"> </w:t>
            </w:r>
            <w:r>
              <w:rPr>
                <w:sz w:val="18"/>
              </w:rPr>
              <w:t>‐</w:t>
            </w:r>
            <w:r>
              <w:rPr>
                <w:spacing w:val="-1"/>
                <w:sz w:val="18"/>
              </w:rPr>
              <w:t xml:space="preserve"> </w:t>
            </w:r>
            <w:r>
              <w:rPr>
                <w:sz w:val="18"/>
              </w:rPr>
              <w:t>MERBEIN</w:t>
            </w:r>
            <w:r>
              <w:rPr>
                <w:spacing w:val="-3"/>
                <w:sz w:val="18"/>
              </w:rPr>
              <w:t xml:space="preserve"> </w:t>
            </w:r>
            <w:r>
              <w:rPr>
                <w:sz w:val="18"/>
              </w:rPr>
              <w:t>RURAL</w:t>
            </w:r>
            <w:r>
              <w:rPr>
                <w:spacing w:val="-1"/>
                <w:sz w:val="18"/>
              </w:rPr>
              <w:t xml:space="preserve"> </w:t>
            </w:r>
            <w:r>
              <w:rPr>
                <w:sz w:val="18"/>
              </w:rPr>
              <w:t>(IP)</w:t>
            </w:r>
            <w:r>
              <w:rPr>
                <w:spacing w:val="-1"/>
                <w:sz w:val="18"/>
              </w:rPr>
              <w:t xml:space="preserve"> </w:t>
            </w:r>
            <w:r>
              <w:rPr>
                <w:sz w:val="18"/>
              </w:rPr>
              <w:t>RADIO</w:t>
            </w:r>
            <w:r>
              <w:rPr>
                <w:spacing w:val="-1"/>
                <w:sz w:val="18"/>
              </w:rPr>
              <w:t xml:space="preserve"> </w:t>
            </w:r>
            <w:r>
              <w:rPr>
                <w:sz w:val="18"/>
              </w:rPr>
              <w:t>TELEMETRY</w:t>
            </w:r>
            <w:r>
              <w:rPr>
                <w:spacing w:val="-2"/>
                <w:sz w:val="18"/>
              </w:rPr>
              <w:t xml:space="preserve"> </w:t>
            </w:r>
            <w:r>
              <w:rPr>
                <w:sz w:val="18"/>
              </w:rPr>
              <w:t>NETWORK</w:t>
            </w:r>
            <w:r>
              <w:rPr>
                <w:spacing w:val="-1"/>
                <w:sz w:val="18"/>
              </w:rPr>
              <w:t xml:space="preserve"> </w:t>
            </w:r>
            <w:r>
              <w:rPr>
                <w:sz w:val="18"/>
              </w:rPr>
              <w:t>‐</w:t>
            </w:r>
            <w:r>
              <w:rPr>
                <w:spacing w:val="-1"/>
                <w:sz w:val="18"/>
              </w:rPr>
              <w:t xml:space="preserve"> </w:t>
            </w:r>
            <w:r>
              <w:rPr>
                <w:sz w:val="18"/>
              </w:rPr>
              <w:t>Base</w:t>
            </w:r>
            <w:r>
              <w:rPr>
                <w:spacing w:val="-2"/>
                <w:sz w:val="18"/>
              </w:rPr>
              <w:t xml:space="preserve"> Station</w:t>
            </w:r>
          </w:p>
          <w:p w14:paraId="1B324E30" w14:textId="77777777" w:rsidR="00141B97" w:rsidRDefault="00911D63">
            <w:pPr>
              <w:pStyle w:val="TableParagraph"/>
              <w:spacing w:before="1" w:line="199" w:lineRule="exact"/>
              <w:ind w:left="88"/>
              <w:rPr>
                <w:sz w:val="18"/>
              </w:rPr>
            </w:pPr>
            <w:r>
              <w:rPr>
                <w:spacing w:val="-2"/>
                <w:sz w:val="18"/>
              </w:rPr>
              <w:t>Renewal</w:t>
            </w:r>
          </w:p>
        </w:tc>
        <w:tc>
          <w:tcPr>
            <w:tcW w:w="1393" w:type="dxa"/>
            <w:shd w:val="clear" w:color="auto" w:fill="CCE2ED"/>
          </w:tcPr>
          <w:p w14:paraId="73EE4E77" w14:textId="77777777" w:rsidR="00141B97" w:rsidRDefault="00911D63">
            <w:pPr>
              <w:pStyle w:val="TableParagraph"/>
              <w:spacing w:before="109"/>
              <w:ind w:right="95"/>
              <w:jc w:val="right"/>
              <w:rPr>
                <w:sz w:val="18"/>
              </w:rPr>
            </w:pPr>
            <w:r>
              <w:rPr>
                <w:spacing w:val="-2"/>
                <w:sz w:val="18"/>
              </w:rPr>
              <w:t>Irrigation</w:t>
            </w:r>
          </w:p>
        </w:tc>
        <w:tc>
          <w:tcPr>
            <w:tcW w:w="1860" w:type="dxa"/>
            <w:shd w:val="clear" w:color="auto" w:fill="CCE2ED"/>
          </w:tcPr>
          <w:p w14:paraId="184532EE" w14:textId="77777777" w:rsidR="00141B97" w:rsidRDefault="00911D63">
            <w:pPr>
              <w:pStyle w:val="TableParagraph"/>
              <w:spacing w:line="218" w:lineRule="exact"/>
              <w:ind w:right="94"/>
              <w:jc w:val="right"/>
              <w:rPr>
                <w:sz w:val="18"/>
              </w:rPr>
            </w:pPr>
            <w:r>
              <w:rPr>
                <w:sz w:val="18"/>
              </w:rPr>
              <w:t xml:space="preserve">Improvements </w:t>
            </w:r>
            <w:r>
              <w:rPr>
                <w:spacing w:val="-10"/>
                <w:sz w:val="18"/>
              </w:rPr>
              <w:t>/</w:t>
            </w:r>
          </w:p>
          <w:p w14:paraId="31BF8624" w14:textId="77777777" w:rsidR="00141B97" w:rsidRDefault="00911D63">
            <w:pPr>
              <w:pStyle w:val="TableParagraph"/>
              <w:spacing w:before="1" w:line="199" w:lineRule="exact"/>
              <w:ind w:right="95"/>
              <w:jc w:val="right"/>
              <w:rPr>
                <w:sz w:val="18"/>
              </w:rPr>
            </w:pPr>
            <w:r>
              <w:rPr>
                <w:spacing w:val="-2"/>
                <w:sz w:val="18"/>
              </w:rPr>
              <w:t>Compliance</w:t>
            </w:r>
          </w:p>
        </w:tc>
        <w:tc>
          <w:tcPr>
            <w:tcW w:w="1199" w:type="dxa"/>
            <w:shd w:val="clear" w:color="auto" w:fill="CCE2ED"/>
          </w:tcPr>
          <w:p w14:paraId="1B89D6F7" w14:textId="77777777" w:rsidR="00141B97" w:rsidRDefault="00911D63">
            <w:pPr>
              <w:pStyle w:val="TableParagraph"/>
              <w:spacing w:before="109"/>
              <w:ind w:right="96"/>
              <w:jc w:val="right"/>
              <w:rPr>
                <w:sz w:val="18"/>
              </w:rPr>
            </w:pPr>
            <w:r>
              <w:rPr>
                <w:spacing w:val="-4"/>
                <w:sz w:val="18"/>
              </w:rPr>
              <w:t>0.42</w:t>
            </w:r>
          </w:p>
        </w:tc>
        <w:tc>
          <w:tcPr>
            <w:tcW w:w="1198" w:type="dxa"/>
            <w:shd w:val="clear" w:color="auto" w:fill="CCE2ED"/>
          </w:tcPr>
          <w:p w14:paraId="12088AF0" w14:textId="77777777" w:rsidR="00141B97" w:rsidRDefault="00911D63">
            <w:pPr>
              <w:pStyle w:val="TableParagraph"/>
              <w:spacing w:before="109"/>
              <w:ind w:right="95"/>
              <w:jc w:val="right"/>
              <w:rPr>
                <w:sz w:val="18"/>
              </w:rPr>
            </w:pPr>
            <w:r>
              <w:rPr>
                <w:spacing w:val="-4"/>
                <w:sz w:val="18"/>
              </w:rPr>
              <w:t>0.00</w:t>
            </w:r>
          </w:p>
        </w:tc>
        <w:tc>
          <w:tcPr>
            <w:tcW w:w="1198" w:type="dxa"/>
            <w:shd w:val="clear" w:color="auto" w:fill="CCE2ED"/>
          </w:tcPr>
          <w:p w14:paraId="6CC6DE6B" w14:textId="77777777" w:rsidR="00141B97" w:rsidRDefault="00911D63">
            <w:pPr>
              <w:pStyle w:val="TableParagraph"/>
              <w:spacing w:before="109"/>
              <w:ind w:right="96"/>
              <w:jc w:val="right"/>
              <w:rPr>
                <w:sz w:val="18"/>
              </w:rPr>
            </w:pPr>
            <w:r>
              <w:rPr>
                <w:spacing w:val="-4"/>
                <w:sz w:val="18"/>
              </w:rPr>
              <w:t>0.00</w:t>
            </w:r>
          </w:p>
        </w:tc>
        <w:tc>
          <w:tcPr>
            <w:tcW w:w="1199" w:type="dxa"/>
            <w:shd w:val="clear" w:color="auto" w:fill="CCE2ED"/>
          </w:tcPr>
          <w:p w14:paraId="244FA8C8" w14:textId="77777777" w:rsidR="00141B97" w:rsidRDefault="00911D63">
            <w:pPr>
              <w:pStyle w:val="TableParagraph"/>
              <w:spacing w:before="109"/>
              <w:ind w:right="97"/>
              <w:jc w:val="right"/>
              <w:rPr>
                <w:sz w:val="18"/>
              </w:rPr>
            </w:pPr>
            <w:r>
              <w:rPr>
                <w:spacing w:val="-4"/>
                <w:sz w:val="18"/>
              </w:rPr>
              <w:t>0.00</w:t>
            </w:r>
          </w:p>
        </w:tc>
        <w:tc>
          <w:tcPr>
            <w:tcW w:w="1198" w:type="dxa"/>
            <w:shd w:val="clear" w:color="auto" w:fill="CCE2ED"/>
          </w:tcPr>
          <w:p w14:paraId="1F0AC884" w14:textId="77777777" w:rsidR="00141B97" w:rsidRDefault="00911D63">
            <w:pPr>
              <w:pStyle w:val="TableParagraph"/>
              <w:spacing w:before="109"/>
              <w:ind w:right="96"/>
              <w:jc w:val="right"/>
              <w:rPr>
                <w:sz w:val="18"/>
              </w:rPr>
            </w:pPr>
            <w:r>
              <w:rPr>
                <w:spacing w:val="-4"/>
                <w:sz w:val="18"/>
              </w:rPr>
              <w:t>0.00</w:t>
            </w:r>
          </w:p>
        </w:tc>
        <w:tc>
          <w:tcPr>
            <w:tcW w:w="1013" w:type="dxa"/>
            <w:tcBorders>
              <w:right w:val="nil"/>
            </w:tcBorders>
            <w:shd w:val="clear" w:color="auto" w:fill="CCE2ED"/>
          </w:tcPr>
          <w:p w14:paraId="7BBB2AD8" w14:textId="77777777" w:rsidR="00141B97" w:rsidRDefault="00911D63">
            <w:pPr>
              <w:pStyle w:val="TableParagraph"/>
              <w:spacing w:before="109"/>
              <w:ind w:right="86"/>
              <w:jc w:val="right"/>
              <w:rPr>
                <w:sz w:val="18"/>
              </w:rPr>
            </w:pPr>
            <w:r>
              <w:rPr>
                <w:spacing w:val="-4"/>
                <w:sz w:val="18"/>
              </w:rPr>
              <w:t>0.42</w:t>
            </w:r>
          </w:p>
        </w:tc>
      </w:tr>
      <w:tr w:rsidR="00141B97" w14:paraId="16F83B36" w14:textId="77777777">
        <w:trPr>
          <w:trHeight w:val="218"/>
          <w:tblCellSpacing w:w="9" w:type="dxa"/>
        </w:trPr>
        <w:tc>
          <w:tcPr>
            <w:tcW w:w="5408" w:type="dxa"/>
            <w:tcBorders>
              <w:left w:val="nil"/>
            </w:tcBorders>
            <w:shd w:val="clear" w:color="auto" w:fill="CCE2ED"/>
          </w:tcPr>
          <w:p w14:paraId="5F38877D" w14:textId="77777777" w:rsidR="00141B97" w:rsidRDefault="00911D63">
            <w:pPr>
              <w:pStyle w:val="TableParagraph"/>
              <w:spacing w:line="199" w:lineRule="exact"/>
              <w:ind w:left="88"/>
              <w:rPr>
                <w:sz w:val="18"/>
              </w:rPr>
            </w:pPr>
            <w:r>
              <w:rPr>
                <w:sz w:val="18"/>
              </w:rPr>
              <w:t>MDA D &amp;</w:t>
            </w:r>
            <w:r>
              <w:rPr>
                <w:spacing w:val="-1"/>
                <w:sz w:val="18"/>
              </w:rPr>
              <w:t xml:space="preserve"> </w:t>
            </w:r>
            <w:r>
              <w:rPr>
                <w:sz w:val="18"/>
              </w:rPr>
              <w:t>S Metering</w:t>
            </w:r>
            <w:r>
              <w:rPr>
                <w:spacing w:val="-1"/>
                <w:sz w:val="18"/>
              </w:rPr>
              <w:t xml:space="preserve"> </w:t>
            </w:r>
            <w:r>
              <w:rPr>
                <w:spacing w:val="-2"/>
                <w:sz w:val="18"/>
              </w:rPr>
              <w:t>Program</w:t>
            </w:r>
          </w:p>
        </w:tc>
        <w:tc>
          <w:tcPr>
            <w:tcW w:w="1393" w:type="dxa"/>
            <w:shd w:val="clear" w:color="auto" w:fill="CCE2ED"/>
          </w:tcPr>
          <w:p w14:paraId="16B2C0B2"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629730EC"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5D3CB9C8" w14:textId="77777777" w:rsidR="00141B97" w:rsidRDefault="00911D63">
            <w:pPr>
              <w:pStyle w:val="TableParagraph"/>
              <w:spacing w:line="199" w:lineRule="exact"/>
              <w:ind w:right="96"/>
              <w:jc w:val="right"/>
              <w:rPr>
                <w:sz w:val="18"/>
              </w:rPr>
            </w:pPr>
            <w:r>
              <w:rPr>
                <w:spacing w:val="-4"/>
                <w:sz w:val="18"/>
              </w:rPr>
              <w:t>0.02</w:t>
            </w:r>
          </w:p>
        </w:tc>
        <w:tc>
          <w:tcPr>
            <w:tcW w:w="1198" w:type="dxa"/>
            <w:shd w:val="clear" w:color="auto" w:fill="CCE2ED"/>
          </w:tcPr>
          <w:p w14:paraId="7DB004A5" w14:textId="77777777" w:rsidR="00141B97" w:rsidRDefault="00911D63">
            <w:pPr>
              <w:pStyle w:val="TableParagraph"/>
              <w:spacing w:line="199" w:lineRule="exact"/>
              <w:ind w:right="95"/>
              <w:jc w:val="right"/>
              <w:rPr>
                <w:sz w:val="18"/>
              </w:rPr>
            </w:pPr>
            <w:r>
              <w:rPr>
                <w:spacing w:val="-4"/>
                <w:sz w:val="18"/>
              </w:rPr>
              <w:t>0.02</w:t>
            </w:r>
          </w:p>
        </w:tc>
        <w:tc>
          <w:tcPr>
            <w:tcW w:w="1198" w:type="dxa"/>
            <w:shd w:val="clear" w:color="auto" w:fill="CCE2ED"/>
          </w:tcPr>
          <w:p w14:paraId="64AF29B9" w14:textId="77777777" w:rsidR="00141B97" w:rsidRDefault="00911D63">
            <w:pPr>
              <w:pStyle w:val="TableParagraph"/>
              <w:spacing w:line="199" w:lineRule="exact"/>
              <w:ind w:right="96"/>
              <w:jc w:val="right"/>
              <w:rPr>
                <w:sz w:val="18"/>
              </w:rPr>
            </w:pPr>
            <w:r>
              <w:rPr>
                <w:spacing w:val="-4"/>
                <w:sz w:val="18"/>
              </w:rPr>
              <w:t>0.02</w:t>
            </w:r>
          </w:p>
        </w:tc>
        <w:tc>
          <w:tcPr>
            <w:tcW w:w="1199" w:type="dxa"/>
            <w:shd w:val="clear" w:color="auto" w:fill="CCE2ED"/>
          </w:tcPr>
          <w:p w14:paraId="2EE07ABF" w14:textId="77777777" w:rsidR="00141B97" w:rsidRDefault="00911D63">
            <w:pPr>
              <w:pStyle w:val="TableParagraph"/>
              <w:spacing w:line="199" w:lineRule="exact"/>
              <w:ind w:right="97"/>
              <w:jc w:val="right"/>
              <w:rPr>
                <w:sz w:val="18"/>
              </w:rPr>
            </w:pPr>
            <w:r>
              <w:rPr>
                <w:spacing w:val="-4"/>
                <w:sz w:val="18"/>
              </w:rPr>
              <w:t>0.02</w:t>
            </w:r>
          </w:p>
        </w:tc>
        <w:tc>
          <w:tcPr>
            <w:tcW w:w="1198" w:type="dxa"/>
            <w:shd w:val="clear" w:color="auto" w:fill="CCE2ED"/>
          </w:tcPr>
          <w:p w14:paraId="74D1B15F" w14:textId="77777777" w:rsidR="00141B97" w:rsidRDefault="00911D63">
            <w:pPr>
              <w:pStyle w:val="TableParagraph"/>
              <w:spacing w:line="199" w:lineRule="exact"/>
              <w:ind w:right="96"/>
              <w:jc w:val="right"/>
              <w:rPr>
                <w:sz w:val="18"/>
              </w:rPr>
            </w:pPr>
            <w:r>
              <w:rPr>
                <w:spacing w:val="-4"/>
                <w:sz w:val="18"/>
              </w:rPr>
              <w:t>0.02</w:t>
            </w:r>
          </w:p>
        </w:tc>
        <w:tc>
          <w:tcPr>
            <w:tcW w:w="1013" w:type="dxa"/>
            <w:tcBorders>
              <w:right w:val="nil"/>
            </w:tcBorders>
            <w:shd w:val="clear" w:color="auto" w:fill="CCE2ED"/>
          </w:tcPr>
          <w:p w14:paraId="2B8E8E5C" w14:textId="77777777" w:rsidR="00141B97" w:rsidRDefault="00911D63">
            <w:pPr>
              <w:pStyle w:val="TableParagraph"/>
              <w:spacing w:line="199" w:lineRule="exact"/>
              <w:ind w:right="86"/>
              <w:jc w:val="right"/>
              <w:rPr>
                <w:sz w:val="18"/>
              </w:rPr>
            </w:pPr>
            <w:r>
              <w:rPr>
                <w:spacing w:val="-4"/>
                <w:sz w:val="18"/>
              </w:rPr>
              <w:t>0.10</w:t>
            </w:r>
          </w:p>
        </w:tc>
      </w:tr>
      <w:tr w:rsidR="00141B97" w14:paraId="46CC6A7A" w14:textId="77777777">
        <w:trPr>
          <w:trHeight w:val="220"/>
          <w:tblCellSpacing w:w="9" w:type="dxa"/>
        </w:trPr>
        <w:tc>
          <w:tcPr>
            <w:tcW w:w="5408" w:type="dxa"/>
            <w:tcBorders>
              <w:left w:val="nil"/>
              <w:bottom w:val="nil"/>
            </w:tcBorders>
            <w:shd w:val="clear" w:color="auto" w:fill="CCE2ED"/>
          </w:tcPr>
          <w:p w14:paraId="4C044DA6" w14:textId="77777777" w:rsidR="00141B97" w:rsidRDefault="00911D63">
            <w:pPr>
              <w:pStyle w:val="TableParagraph"/>
              <w:spacing w:before="1" w:line="199" w:lineRule="exact"/>
              <w:ind w:left="88"/>
              <w:rPr>
                <w:sz w:val="18"/>
              </w:rPr>
            </w:pPr>
            <w:r>
              <w:rPr>
                <w:sz w:val="18"/>
              </w:rPr>
              <w:t>MDA</w:t>
            </w:r>
            <w:r>
              <w:rPr>
                <w:spacing w:val="-2"/>
                <w:sz w:val="18"/>
              </w:rPr>
              <w:t xml:space="preserve"> </w:t>
            </w:r>
            <w:r>
              <w:rPr>
                <w:sz w:val="18"/>
              </w:rPr>
              <w:t>Irrigation</w:t>
            </w:r>
            <w:r>
              <w:rPr>
                <w:spacing w:val="-2"/>
                <w:sz w:val="18"/>
              </w:rPr>
              <w:t xml:space="preserve"> </w:t>
            </w:r>
            <w:r>
              <w:rPr>
                <w:sz w:val="18"/>
              </w:rPr>
              <w:t>Meter</w:t>
            </w:r>
            <w:r>
              <w:rPr>
                <w:spacing w:val="-1"/>
                <w:sz w:val="18"/>
              </w:rPr>
              <w:t xml:space="preserve"> </w:t>
            </w:r>
            <w:r>
              <w:rPr>
                <w:spacing w:val="-2"/>
                <w:sz w:val="18"/>
              </w:rPr>
              <w:t>Replacement</w:t>
            </w:r>
          </w:p>
        </w:tc>
        <w:tc>
          <w:tcPr>
            <w:tcW w:w="1393" w:type="dxa"/>
            <w:tcBorders>
              <w:bottom w:val="nil"/>
            </w:tcBorders>
            <w:shd w:val="clear" w:color="auto" w:fill="CCE2ED"/>
          </w:tcPr>
          <w:p w14:paraId="5C23BAA3"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tcBorders>
              <w:bottom w:val="nil"/>
            </w:tcBorders>
            <w:shd w:val="clear" w:color="auto" w:fill="CCE2ED"/>
          </w:tcPr>
          <w:p w14:paraId="61BBD72E" w14:textId="77777777" w:rsidR="00141B97" w:rsidRDefault="00911D63">
            <w:pPr>
              <w:pStyle w:val="TableParagraph"/>
              <w:spacing w:before="1" w:line="199" w:lineRule="exact"/>
              <w:ind w:right="95"/>
              <w:jc w:val="right"/>
              <w:rPr>
                <w:sz w:val="18"/>
              </w:rPr>
            </w:pPr>
            <w:r>
              <w:rPr>
                <w:spacing w:val="-2"/>
                <w:sz w:val="18"/>
              </w:rPr>
              <w:t>Renewals</w:t>
            </w:r>
          </w:p>
        </w:tc>
        <w:tc>
          <w:tcPr>
            <w:tcW w:w="1199" w:type="dxa"/>
            <w:tcBorders>
              <w:bottom w:val="nil"/>
            </w:tcBorders>
            <w:shd w:val="clear" w:color="auto" w:fill="CCE2ED"/>
          </w:tcPr>
          <w:p w14:paraId="7E3AE2FD" w14:textId="77777777" w:rsidR="00141B97" w:rsidRDefault="00911D63">
            <w:pPr>
              <w:pStyle w:val="TableParagraph"/>
              <w:spacing w:before="1" w:line="199" w:lineRule="exact"/>
              <w:ind w:right="96"/>
              <w:jc w:val="right"/>
              <w:rPr>
                <w:sz w:val="18"/>
              </w:rPr>
            </w:pPr>
            <w:r>
              <w:rPr>
                <w:spacing w:val="-4"/>
                <w:sz w:val="18"/>
              </w:rPr>
              <w:t>0.28</w:t>
            </w:r>
          </w:p>
        </w:tc>
        <w:tc>
          <w:tcPr>
            <w:tcW w:w="1198" w:type="dxa"/>
            <w:tcBorders>
              <w:bottom w:val="nil"/>
            </w:tcBorders>
            <w:shd w:val="clear" w:color="auto" w:fill="CCE2ED"/>
          </w:tcPr>
          <w:p w14:paraId="3422F79A" w14:textId="77777777" w:rsidR="00141B97" w:rsidRDefault="00911D63">
            <w:pPr>
              <w:pStyle w:val="TableParagraph"/>
              <w:spacing w:before="1" w:line="199" w:lineRule="exact"/>
              <w:ind w:right="95"/>
              <w:jc w:val="right"/>
              <w:rPr>
                <w:sz w:val="18"/>
              </w:rPr>
            </w:pPr>
            <w:r>
              <w:rPr>
                <w:spacing w:val="-4"/>
                <w:sz w:val="18"/>
              </w:rPr>
              <w:t>0.28</w:t>
            </w:r>
          </w:p>
        </w:tc>
        <w:tc>
          <w:tcPr>
            <w:tcW w:w="1198" w:type="dxa"/>
            <w:tcBorders>
              <w:bottom w:val="nil"/>
            </w:tcBorders>
            <w:shd w:val="clear" w:color="auto" w:fill="CCE2ED"/>
          </w:tcPr>
          <w:p w14:paraId="3C8193CE" w14:textId="77777777" w:rsidR="00141B97" w:rsidRDefault="00911D63">
            <w:pPr>
              <w:pStyle w:val="TableParagraph"/>
              <w:spacing w:before="1" w:line="199" w:lineRule="exact"/>
              <w:ind w:right="96"/>
              <w:jc w:val="right"/>
              <w:rPr>
                <w:sz w:val="18"/>
              </w:rPr>
            </w:pPr>
            <w:r>
              <w:rPr>
                <w:spacing w:val="-4"/>
                <w:sz w:val="18"/>
              </w:rPr>
              <w:t>0.28</w:t>
            </w:r>
          </w:p>
        </w:tc>
        <w:tc>
          <w:tcPr>
            <w:tcW w:w="1199" w:type="dxa"/>
            <w:tcBorders>
              <w:bottom w:val="nil"/>
            </w:tcBorders>
            <w:shd w:val="clear" w:color="auto" w:fill="CCE2ED"/>
          </w:tcPr>
          <w:p w14:paraId="52101CE7" w14:textId="77777777" w:rsidR="00141B97" w:rsidRDefault="00911D63">
            <w:pPr>
              <w:pStyle w:val="TableParagraph"/>
              <w:spacing w:before="1" w:line="199" w:lineRule="exact"/>
              <w:ind w:right="97"/>
              <w:jc w:val="right"/>
              <w:rPr>
                <w:sz w:val="18"/>
              </w:rPr>
            </w:pPr>
            <w:r>
              <w:rPr>
                <w:spacing w:val="-4"/>
                <w:sz w:val="18"/>
              </w:rPr>
              <w:t>0.28</w:t>
            </w:r>
          </w:p>
        </w:tc>
        <w:tc>
          <w:tcPr>
            <w:tcW w:w="1198" w:type="dxa"/>
            <w:tcBorders>
              <w:bottom w:val="nil"/>
            </w:tcBorders>
            <w:shd w:val="clear" w:color="auto" w:fill="CCE2ED"/>
          </w:tcPr>
          <w:p w14:paraId="4F31A64E" w14:textId="77777777" w:rsidR="00141B97" w:rsidRDefault="00911D63">
            <w:pPr>
              <w:pStyle w:val="TableParagraph"/>
              <w:spacing w:before="1" w:line="199" w:lineRule="exact"/>
              <w:ind w:right="96"/>
              <w:jc w:val="right"/>
              <w:rPr>
                <w:sz w:val="18"/>
              </w:rPr>
            </w:pPr>
            <w:r>
              <w:rPr>
                <w:spacing w:val="-4"/>
                <w:sz w:val="18"/>
              </w:rPr>
              <w:t>0.28</w:t>
            </w:r>
          </w:p>
        </w:tc>
        <w:tc>
          <w:tcPr>
            <w:tcW w:w="1013" w:type="dxa"/>
            <w:tcBorders>
              <w:bottom w:val="nil"/>
              <w:right w:val="nil"/>
            </w:tcBorders>
            <w:shd w:val="clear" w:color="auto" w:fill="CCE2ED"/>
          </w:tcPr>
          <w:p w14:paraId="3EC5D6C0" w14:textId="77777777" w:rsidR="00141B97" w:rsidRDefault="00911D63">
            <w:pPr>
              <w:pStyle w:val="TableParagraph"/>
              <w:spacing w:before="1" w:line="199" w:lineRule="exact"/>
              <w:ind w:right="86"/>
              <w:jc w:val="right"/>
              <w:rPr>
                <w:sz w:val="18"/>
              </w:rPr>
            </w:pPr>
            <w:r>
              <w:rPr>
                <w:spacing w:val="-4"/>
                <w:sz w:val="18"/>
              </w:rPr>
              <w:t>1.38</w:t>
            </w:r>
          </w:p>
        </w:tc>
      </w:tr>
    </w:tbl>
    <w:p w14:paraId="2B1DA549" w14:textId="77777777" w:rsidR="00141B97" w:rsidRDefault="00141B97">
      <w:pPr>
        <w:spacing w:line="199" w:lineRule="exact"/>
        <w:jc w:val="right"/>
        <w:rPr>
          <w:sz w:val="18"/>
        </w:rPr>
        <w:sectPr w:rsidR="00141B97">
          <w:pgSz w:w="16840" w:h="11910" w:orient="landscape"/>
          <w:pgMar w:top="840" w:right="600" w:bottom="540" w:left="300" w:header="0" w:footer="345" w:gutter="0"/>
          <w:cols w:space="720"/>
        </w:sectPr>
      </w:pPr>
    </w:p>
    <w:p w14:paraId="2B5AA8A1" w14:textId="77777777" w:rsidR="00141B97" w:rsidRDefault="00141B97">
      <w:pPr>
        <w:pStyle w:val="BodyText"/>
        <w:spacing w:before="1"/>
        <w:rPr>
          <w:sz w:val="2"/>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435"/>
        <w:gridCol w:w="1411"/>
        <w:gridCol w:w="1878"/>
        <w:gridCol w:w="1217"/>
        <w:gridCol w:w="1216"/>
        <w:gridCol w:w="1216"/>
        <w:gridCol w:w="1217"/>
        <w:gridCol w:w="1216"/>
        <w:gridCol w:w="1040"/>
      </w:tblGrid>
      <w:tr w:rsidR="00141B97" w14:paraId="7F2D8C08" w14:textId="77777777">
        <w:trPr>
          <w:trHeight w:val="408"/>
          <w:tblCellSpacing w:w="9" w:type="dxa"/>
        </w:trPr>
        <w:tc>
          <w:tcPr>
            <w:tcW w:w="5408" w:type="dxa"/>
            <w:tcBorders>
              <w:top w:val="nil"/>
              <w:left w:val="nil"/>
            </w:tcBorders>
            <w:shd w:val="clear" w:color="auto" w:fill="006CA3"/>
          </w:tcPr>
          <w:p w14:paraId="5003EA6D" w14:textId="77777777" w:rsidR="00141B97" w:rsidRDefault="00911D63">
            <w:pPr>
              <w:pStyle w:val="TableParagraph"/>
              <w:spacing w:before="95"/>
              <w:ind w:left="88"/>
              <w:rPr>
                <w:sz w:val="18"/>
              </w:rPr>
            </w:pPr>
            <w:r>
              <w:rPr>
                <w:color w:val="FFFFFF"/>
                <w:sz w:val="18"/>
              </w:rPr>
              <w:t>Project/program</w:t>
            </w:r>
            <w:r>
              <w:rPr>
                <w:color w:val="FFFFFF"/>
                <w:spacing w:val="-3"/>
                <w:sz w:val="18"/>
              </w:rPr>
              <w:t xml:space="preserve"> </w:t>
            </w:r>
            <w:r>
              <w:rPr>
                <w:color w:val="FFFFFF"/>
                <w:spacing w:val="-4"/>
                <w:sz w:val="18"/>
              </w:rPr>
              <w:t>Name</w:t>
            </w:r>
          </w:p>
        </w:tc>
        <w:tc>
          <w:tcPr>
            <w:tcW w:w="1393" w:type="dxa"/>
            <w:tcBorders>
              <w:top w:val="nil"/>
            </w:tcBorders>
            <w:shd w:val="clear" w:color="auto" w:fill="006CA3"/>
          </w:tcPr>
          <w:p w14:paraId="41452B71" w14:textId="77777777" w:rsidR="00141B97" w:rsidRDefault="00911D63">
            <w:pPr>
              <w:pStyle w:val="TableParagraph"/>
              <w:spacing w:before="95"/>
              <w:ind w:right="94"/>
              <w:jc w:val="right"/>
              <w:rPr>
                <w:sz w:val="18"/>
              </w:rPr>
            </w:pPr>
            <w:r>
              <w:rPr>
                <w:color w:val="FFFFFF"/>
                <w:spacing w:val="-2"/>
                <w:sz w:val="18"/>
              </w:rPr>
              <w:t>Service</w:t>
            </w:r>
          </w:p>
        </w:tc>
        <w:tc>
          <w:tcPr>
            <w:tcW w:w="1860" w:type="dxa"/>
            <w:tcBorders>
              <w:top w:val="nil"/>
            </w:tcBorders>
            <w:shd w:val="clear" w:color="auto" w:fill="006CA3"/>
          </w:tcPr>
          <w:p w14:paraId="15A071B5" w14:textId="77777777" w:rsidR="00141B97" w:rsidRDefault="00911D63">
            <w:pPr>
              <w:pStyle w:val="TableParagraph"/>
              <w:spacing w:before="95"/>
              <w:ind w:right="95"/>
              <w:jc w:val="right"/>
              <w:rPr>
                <w:sz w:val="18"/>
              </w:rPr>
            </w:pPr>
            <w:r>
              <w:rPr>
                <w:color w:val="FFFFFF"/>
                <w:sz w:val="18"/>
              </w:rPr>
              <w:t>Major</w:t>
            </w:r>
            <w:r>
              <w:rPr>
                <w:color w:val="FFFFFF"/>
                <w:spacing w:val="-2"/>
                <w:sz w:val="18"/>
              </w:rPr>
              <w:t xml:space="preserve"> </w:t>
            </w:r>
            <w:r>
              <w:rPr>
                <w:color w:val="FFFFFF"/>
                <w:sz w:val="18"/>
              </w:rPr>
              <w:t>cost</w:t>
            </w:r>
            <w:r>
              <w:rPr>
                <w:color w:val="FFFFFF"/>
                <w:spacing w:val="-2"/>
                <w:sz w:val="18"/>
              </w:rPr>
              <w:t xml:space="preserve"> driver</w:t>
            </w:r>
          </w:p>
        </w:tc>
        <w:tc>
          <w:tcPr>
            <w:tcW w:w="1199" w:type="dxa"/>
            <w:tcBorders>
              <w:top w:val="nil"/>
            </w:tcBorders>
            <w:shd w:val="clear" w:color="auto" w:fill="006CA3"/>
          </w:tcPr>
          <w:p w14:paraId="4736F68F" w14:textId="77777777" w:rsidR="00141B97" w:rsidRDefault="00911D63">
            <w:pPr>
              <w:pStyle w:val="TableParagraph"/>
              <w:spacing w:before="95"/>
              <w:ind w:right="95"/>
              <w:jc w:val="right"/>
              <w:rPr>
                <w:sz w:val="18"/>
              </w:rPr>
            </w:pPr>
            <w:r>
              <w:rPr>
                <w:color w:val="FFFFFF"/>
                <w:spacing w:val="-2"/>
                <w:sz w:val="18"/>
              </w:rPr>
              <w:t>2023‐24</w:t>
            </w:r>
          </w:p>
        </w:tc>
        <w:tc>
          <w:tcPr>
            <w:tcW w:w="1198" w:type="dxa"/>
            <w:tcBorders>
              <w:top w:val="nil"/>
            </w:tcBorders>
            <w:shd w:val="clear" w:color="auto" w:fill="006CA3"/>
          </w:tcPr>
          <w:p w14:paraId="229DA292" w14:textId="77777777" w:rsidR="00141B97" w:rsidRDefault="00911D63">
            <w:pPr>
              <w:pStyle w:val="TableParagraph"/>
              <w:spacing w:before="95"/>
              <w:ind w:right="94"/>
              <w:jc w:val="right"/>
              <w:rPr>
                <w:sz w:val="18"/>
              </w:rPr>
            </w:pPr>
            <w:r>
              <w:rPr>
                <w:color w:val="FFFFFF"/>
                <w:spacing w:val="-2"/>
                <w:sz w:val="18"/>
              </w:rPr>
              <w:t>2024‐25</w:t>
            </w:r>
          </w:p>
        </w:tc>
        <w:tc>
          <w:tcPr>
            <w:tcW w:w="1198" w:type="dxa"/>
            <w:tcBorders>
              <w:top w:val="nil"/>
            </w:tcBorders>
            <w:shd w:val="clear" w:color="auto" w:fill="006CA3"/>
          </w:tcPr>
          <w:p w14:paraId="14726D9E" w14:textId="77777777" w:rsidR="00141B97" w:rsidRDefault="00911D63">
            <w:pPr>
              <w:pStyle w:val="TableParagraph"/>
              <w:spacing w:before="95"/>
              <w:ind w:right="95"/>
              <w:jc w:val="right"/>
              <w:rPr>
                <w:sz w:val="18"/>
              </w:rPr>
            </w:pPr>
            <w:r>
              <w:rPr>
                <w:color w:val="FFFFFF"/>
                <w:spacing w:val="-2"/>
                <w:sz w:val="18"/>
              </w:rPr>
              <w:t>2025‐26</w:t>
            </w:r>
          </w:p>
        </w:tc>
        <w:tc>
          <w:tcPr>
            <w:tcW w:w="1199" w:type="dxa"/>
            <w:tcBorders>
              <w:top w:val="nil"/>
            </w:tcBorders>
            <w:shd w:val="clear" w:color="auto" w:fill="006CA3"/>
          </w:tcPr>
          <w:p w14:paraId="04E4112E" w14:textId="77777777" w:rsidR="00141B97" w:rsidRDefault="00911D63">
            <w:pPr>
              <w:pStyle w:val="TableParagraph"/>
              <w:spacing w:before="95"/>
              <w:ind w:right="96"/>
              <w:jc w:val="right"/>
              <w:rPr>
                <w:sz w:val="18"/>
              </w:rPr>
            </w:pPr>
            <w:r>
              <w:rPr>
                <w:color w:val="FFFFFF"/>
                <w:spacing w:val="-2"/>
                <w:sz w:val="18"/>
              </w:rPr>
              <w:t>2026‐27</w:t>
            </w:r>
          </w:p>
        </w:tc>
        <w:tc>
          <w:tcPr>
            <w:tcW w:w="1198" w:type="dxa"/>
            <w:tcBorders>
              <w:top w:val="nil"/>
            </w:tcBorders>
            <w:shd w:val="clear" w:color="auto" w:fill="006CA3"/>
          </w:tcPr>
          <w:p w14:paraId="3C73CFD4" w14:textId="77777777" w:rsidR="00141B97" w:rsidRDefault="00911D63">
            <w:pPr>
              <w:pStyle w:val="TableParagraph"/>
              <w:spacing w:before="95"/>
              <w:ind w:right="95"/>
              <w:jc w:val="right"/>
              <w:rPr>
                <w:sz w:val="18"/>
              </w:rPr>
            </w:pPr>
            <w:r>
              <w:rPr>
                <w:color w:val="FFFFFF"/>
                <w:spacing w:val="-2"/>
                <w:sz w:val="18"/>
              </w:rPr>
              <w:t>2027‐28</w:t>
            </w:r>
          </w:p>
        </w:tc>
        <w:tc>
          <w:tcPr>
            <w:tcW w:w="1013" w:type="dxa"/>
            <w:tcBorders>
              <w:top w:val="nil"/>
              <w:right w:val="nil"/>
            </w:tcBorders>
            <w:shd w:val="clear" w:color="auto" w:fill="006CA3"/>
          </w:tcPr>
          <w:p w14:paraId="41F8C1BF" w14:textId="77777777" w:rsidR="00141B97" w:rsidRDefault="00911D63">
            <w:pPr>
              <w:pStyle w:val="TableParagraph"/>
              <w:spacing w:before="95"/>
              <w:ind w:right="85"/>
              <w:jc w:val="right"/>
              <w:rPr>
                <w:sz w:val="18"/>
              </w:rPr>
            </w:pPr>
            <w:r>
              <w:rPr>
                <w:color w:val="FFFFFF"/>
                <w:spacing w:val="-2"/>
                <w:sz w:val="18"/>
              </w:rPr>
              <w:t>TOTAL</w:t>
            </w:r>
          </w:p>
        </w:tc>
      </w:tr>
      <w:tr w:rsidR="00141B97" w14:paraId="0B4A0ED0" w14:textId="77777777">
        <w:trPr>
          <w:trHeight w:val="439"/>
          <w:tblCellSpacing w:w="9" w:type="dxa"/>
        </w:trPr>
        <w:tc>
          <w:tcPr>
            <w:tcW w:w="5408" w:type="dxa"/>
            <w:tcBorders>
              <w:left w:val="nil"/>
            </w:tcBorders>
            <w:shd w:val="clear" w:color="auto" w:fill="CCE2ED"/>
          </w:tcPr>
          <w:p w14:paraId="11621255" w14:textId="77777777" w:rsidR="00141B97" w:rsidRDefault="00911D63">
            <w:pPr>
              <w:pStyle w:val="TableParagraph"/>
              <w:spacing w:before="110"/>
              <w:ind w:left="88"/>
              <w:rPr>
                <w:sz w:val="18"/>
              </w:rPr>
            </w:pPr>
            <w:r>
              <w:rPr>
                <w:sz w:val="18"/>
              </w:rPr>
              <w:t>MDA</w:t>
            </w:r>
            <w:r>
              <w:rPr>
                <w:spacing w:val="-7"/>
                <w:sz w:val="18"/>
              </w:rPr>
              <w:t xml:space="preserve"> </w:t>
            </w:r>
            <w:r>
              <w:rPr>
                <w:sz w:val="18"/>
              </w:rPr>
              <w:t>Channel</w:t>
            </w:r>
            <w:r>
              <w:rPr>
                <w:spacing w:val="-4"/>
                <w:sz w:val="18"/>
              </w:rPr>
              <w:t xml:space="preserve"> </w:t>
            </w:r>
            <w:r>
              <w:rPr>
                <w:sz w:val="18"/>
              </w:rPr>
              <w:t>Reserve</w:t>
            </w:r>
            <w:r>
              <w:rPr>
                <w:spacing w:val="-6"/>
                <w:sz w:val="18"/>
              </w:rPr>
              <w:t xml:space="preserve"> </w:t>
            </w:r>
            <w:r>
              <w:rPr>
                <w:sz w:val="18"/>
              </w:rPr>
              <w:t>Reinstatement</w:t>
            </w:r>
            <w:r>
              <w:rPr>
                <w:spacing w:val="-4"/>
                <w:sz w:val="18"/>
              </w:rPr>
              <w:t xml:space="preserve"> </w:t>
            </w:r>
            <w:r>
              <w:rPr>
                <w:sz w:val="18"/>
              </w:rPr>
              <w:t>(selected</w:t>
            </w:r>
            <w:r>
              <w:rPr>
                <w:spacing w:val="-5"/>
                <w:sz w:val="18"/>
              </w:rPr>
              <w:t xml:space="preserve"> </w:t>
            </w:r>
            <w:r>
              <w:rPr>
                <w:spacing w:val="-2"/>
                <w:sz w:val="18"/>
              </w:rPr>
              <w:t>sections)</w:t>
            </w:r>
          </w:p>
        </w:tc>
        <w:tc>
          <w:tcPr>
            <w:tcW w:w="1393" w:type="dxa"/>
            <w:shd w:val="clear" w:color="auto" w:fill="CCE2ED"/>
          </w:tcPr>
          <w:p w14:paraId="7A66116E"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38B79EE6" w14:textId="77777777" w:rsidR="00141B97" w:rsidRDefault="00911D63">
            <w:pPr>
              <w:pStyle w:val="TableParagraph"/>
              <w:ind w:right="94"/>
              <w:jc w:val="right"/>
              <w:rPr>
                <w:sz w:val="18"/>
              </w:rPr>
            </w:pPr>
            <w:r>
              <w:rPr>
                <w:sz w:val="18"/>
              </w:rPr>
              <w:t xml:space="preserve">Improvements </w:t>
            </w:r>
            <w:r>
              <w:rPr>
                <w:spacing w:val="-10"/>
                <w:sz w:val="18"/>
              </w:rPr>
              <w:t>/</w:t>
            </w:r>
          </w:p>
          <w:p w14:paraId="7757B3CB" w14:textId="77777777" w:rsidR="00141B97" w:rsidRDefault="00911D63">
            <w:pPr>
              <w:pStyle w:val="TableParagraph"/>
              <w:spacing w:before="1" w:line="199" w:lineRule="exact"/>
              <w:ind w:right="95"/>
              <w:jc w:val="right"/>
              <w:rPr>
                <w:sz w:val="18"/>
              </w:rPr>
            </w:pPr>
            <w:r>
              <w:rPr>
                <w:spacing w:val="-2"/>
                <w:sz w:val="18"/>
              </w:rPr>
              <w:t>Compliance</w:t>
            </w:r>
          </w:p>
        </w:tc>
        <w:tc>
          <w:tcPr>
            <w:tcW w:w="1199" w:type="dxa"/>
            <w:shd w:val="clear" w:color="auto" w:fill="CCE2ED"/>
          </w:tcPr>
          <w:p w14:paraId="7A997591"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6C404192" w14:textId="77777777" w:rsidR="00141B97" w:rsidRDefault="00911D63">
            <w:pPr>
              <w:pStyle w:val="TableParagraph"/>
              <w:spacing w:before="110"/>
              <w:ind w:right="95"/>
              <w:jc w:val="right"/>
              <w:rPr>
                <w:sz w:val="18"/>
              </w:rPr>
            </w:pPr>
            <w:r>
              <w:rPr>
                <w:spacing w:val="-4"/>
                <w:sz w:val="18"/>
              </w:rPr>
              <w:t>0.09</w:t>
            </w:r>
          </w:p>
        </w:tc>
        <w:tc>
          <w:tcPr>
            <w:tcW w:w="1198" w:type="dxa"/>
            <w:shd w:val="clear" w:color="auto" w:fill="CCE2ED"/>
          </w:tcPr>
          <w:p w14:paraId="78206EA7"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0F41FD2C" w14:textId="77777777" w:rsidR="00141B97" w:rsidRDefault="00911D63">
            <w:pPr>
              <w:pStyle w:val="TableParagraph"/>
              <w:spacing w:before="110"/>
              <w:ind w:right="97"/>
              <w:jc w:val="right"/>
              <w:rPr>
                <w:sz w:val="18"/>
              </w:rPr>
            </w:pPr>
            <w:r>
              <w:rPr>
                <w:spacing w:val="-4"/>
                <w:sz w:val="18"/>
              </w:rPr>
              <w:t>0.06</w:t>
            </w:r>
          </w:p>
        </w:tc>
        <w:tc>
          <w:tcPr>
            <w:tcW w:w="1198" w:type="dxa"/>
            <w:shd w:val="clear" w:color="auto" w:fill="CCE2ED"/>
          </w:tcPr>
          <w:p w14:paraId="719A483D"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46D24266" w14:textId="77777777" w:rsidR="00141B97" w:rsidRDefault="00911D63">
            <w:pPr>
              <w:pStyle w:val="TableParagraph"/>
              <w:spacing w:before="110"/>
              <w:ind w:right="86"/>
              <w:jc w:val="right"/>
              <w:rPr>
                <w:sz w:val="18"/>
              </w:rPr>
            </w:pPr>
            <w:r>
              <w:rPr>
                <w:spacing w:val="-4"/>
                <w:sz w:val="18"/>
              </w:rPr>
              <w:t>0.15</w:t>
            </w:r>
          </w:p>
        </w:tc>
      </w:tr>
      <w:tr w:rsidR="00141B97" w14:paraId="68B926C1" w14:textId="77777777">
        <w:trPr>
          <w:trHeight w:val="439"/>
          <w:tblCellSpacing w:w="9" w:type="dxa"/>
        </w:trPr>
        <w:tc>
          <w:tcPr>
            <w:tcW w:w="5408" w:type="dxa"/>
            <w:tcBorders>
              <w:left w:val="nil"/>
            </w:tcBorders>
            <w:shd w:val="clear" w:color="auto" w:fill="CCE2ED"/>
          </w:tcPr>
          <w:p w14:paraId="3326E72D" w14:textId="77777777" w:rsidR="00141B97" w:rsidRDefault="00911D63">
            <w:pPr>
              <w:pStyle w:val="TableParagraph"/>
              <w:spacing w:before="110"/>
              <w:ind w:left="88"/>
              <w:rPr>
                <w:sz w:val="18"/>
              </w:rPr>
            </w:pPr>
            <w:r>
              <w:rPr>
                <w:sz w:val="18"/>
              </w:rPr>
              <w:t>MDA</w:t>
            </w:r>
            <w:r>
              <w:rPr>
                <w:spacing w:val="-3"/>
                <w:sz w:val="18"/>
              </w:rPr>
              <w:t xml:space="preserve"> </w:t>
            </w:r>
            <w:r>
              <w:rPr>
                <w:sz w:val="18"/>
              </w:rPr>
              <w:t>Pipe</w:t>
            </w:r>
            <w:r>
              <w:rPr>
                <w:spacing w:val="-3"/>
                <w:sz w:val="18"/>
              </w:rPr>
              <w:t xml:space="preserve"> </w:t>
            </w:r>
            <w:r>
              <w:rPr>
                <w:sz w:val="18"/>
              </w:rPr>
              <w:t>culverts</w:t>
            </w:r>
            <w:r>
              <w:rPr>
                <w:spacing w:val="-2"/>
                <w:sz w:val="18"/>
              </w:rPr>
              <w:t xml:space="preserve"> repair</w:t>
            </w:r>
          </w:p>
        </w:tc>
        <w:tc>
          <w:tcPr>
            <w:tcW w:w="1393" w:type="dxa"/>
            <w:shd w:val="clear" w:color="auto" w:fill="CCE2ED"/>
          </w:tcPr>
          <w:p w14:paraId="767F8A3A"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15E6CDF5"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5277DF48"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5BBDBE99" w14:textId="77777777" w:rsidR="00141B97" w:rsidRDefault="00911D63">
            <w:pPr>
              <w:pStyle w:val="TableParagraph"/>
              <w:spacing w:before="110"/>
              <w:ind w:right="95"/>
              <w:jc w:val="right"/>
              <w:rPr>
                <w:sz w:val="18"/>
              </w:rPr>
            </w:pPr>
            <w:r>
              <w:rPr>
                <w:spacing w:val="-4"/>
                <w:sz w:val="18"/>
              </w:rPr>
              <w:t>0.17</w:t>
            </w:r>
          </w:p>
        </w:tc>
        <w:tc>
          <w:tcPr>
            <w:tcW w:w="1198" w:type="dxa"/>
            <w:shd w:val="clear" w:color="auto" w:fill="CCE2ED"/>
          </w:tcPr>
          <w:p w14:paraId="1945CD93" w14:textId="77777777" w:rsidR="00141B97" w:rsidRDefault="00911D63">
            <w:pPr>
              <w:pStyle w:val="TableParagraph"/>
              <w:spacing w:before="110"/>
              <w:ind w:right="96"/>
              <w:jc w:val="right"/>
              <w:rPr>
                <w:sz w:val="18"/>
              </w:rPr>
            </w:pPr>
            <w:r>
              <w:rPr>
                <w:spacing w:val="-4"/>
                <w:sz w:val="18"/>
              </w:rPr>
              <w:t>0.16</w:t>
            </w:r>
          </w:p>
        </w:tc>
        <w:tc>
          <w:tcPr>
            <w:tcW w:w="1199" w:type="dxa"/>
            <w:shd w:val="clear" w:color="auto" w:fill="CCE2ED"/>
          </w:tcPr>
          <w:p w14:paraId="25EC39A6" w14:textId="77777777" w:rsidR="00141B97" w:rsidRDefault="00911D63">
            <w:pPr>
              <w:pStyle w:val="TableParagraph"/>
              <w:spacing w:before="110"/>
              <w:ind w:right="97"/>
              <w:jc w:val="right"/>
              <w:rPr>
                <w:sz w:val="18"/>
              </w:rPr>
            </w:pPr>
            <w:r>
              <w:rPr>
                <w:spacing w:val="-4"/>
                <w:sz w:val="18"/>
              </w:rPr>
              <w:t>0.06</w:t>
            </w:r>
          </w:p>
        </w:tc>
        <w:tc>
          <w:tcPr>
            <w:tcW w:w="1198" w:type="dxa"/>
            <w:shd w:val="clear" w:color="auto" w:fill="CCE2ED"/>
          </w:tcPr>
          <w:p w14:paraId="726C6673"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43A33F1D" w14:textId="77777777" w:rsidR="00141B97" w:rsidRDefault="00911D63">
            <w:pPr>
              <w:pStyle w:val="TableParagraph"/>
              <w:spacing w:before="110"/>
              <w:ind w:right="86"/>
              <w:jc w:val="right"/>
              <w:rPr>
                <w:sz w:val="18"/>
              </w:rPr>
            </w:pPr>
            <w:r>
              <w:rPr>
                <w:spacing w:val="-4"/>
                <w:sz w:val="18"/>
              </w:rPr>
              <w:t>0.39</w:t>
            </w:r>
          </w:p>
        </w:tc>
      </w:tr>
      <w:tr w:rsidR="00141B97" w14:paraId="2A71A1CB" w14:textId="77777777">
        <w:trPr>
          <w:trHeight w:val="438"/>
          <w:tblCellSpacing w:w="9" w:type="dxa"/>
        </w:trPr>
        <w:tc>
          <w:tcPr>
            <w:tcW w:w="5408" w:type="dxa"/>
            <w:tcBorders>
              <w:left w:val="nil"/>
            </w:tcBorders>
            <w:shd w:val="clear" w:color="auto" w:fill="CCE2ED"/>
          </w:tcPr>
          <w:p w14:paraId="2210B78C" w14:textId="77777777" w:rsidR="00141B97" w:rsidRDefault="00911D63">
            <w:pPr>
              <w:pStyle w:val="TableParagraph"/>
              <w:spacing w:before="110"/>
              <w:ind w:left="88"/>
              <w:rPr>
                <w:sz w:val="18"/>
              </w:rPr>
            </w:pPr>
            <w:r>
              <w:rPr>
                <w:sz w:val="18"/>
              </w:rPr>
              <w:t>MDA</w:t>
            </w:r>
            <w:r>
              <w:rPr>
                <w:spacing w:val="-1"/>
                <w:sz w:val="18"/>
              </w:rPr>
              <w:t xml:space="preserve"> </w:t>
            </w:r>
            <w:r>
              <w:rPr>
                <w:sz w:val="18"/>
              </w:rPr>
              <w:t>Dow</w:t>
            </w:r>
            <w:r>
              <w:rPr>
                <w:spacing w:val="-1"/>
                <w:sz w:val="18"/>
              </w:rPr>
              <w:t xml:space="preserve"> </w:t>
            </w:r>
            <w:r>
              <w:rPr>
                <w:sz w:val="18"/>
              </w:rPr>
              <w:t>Avenue bridge</w:t>
            </w:r>
            <w:r>
              <w:rPr>
                <w:spacing w:val="-2"/>
                <w:sz w:val="18"/>
              </w:rPr>
              <w:t xml:space="preserve"> </w:t>
            </w:r>
            <w:r>
              <w:rPr>
                <w:sz w:val="18"/>
              </w:rPr>
              <w:t>replacement</w:t>
            </w:r>
            <w:r>
              <w:rPr>
                <w:spacing w:val="-1"/>
                <w:sz w:val="18"/>
              </w:rPr>
              <w:t xml:space="preserve"> </w:t>
            </w:r>
            <w:r>
              <w:rPr>
                <w:sz w:val="18"/>
              </w:rPr>
              <w:t>and</w:t>
            </w:r>
            <w:r>
              <w:rPr>
                <w:spacing w:val="-1"/>
                <w:sz w:val="18"/>
              </w:rPr>
              <w:t xml:space="preserve"> </w:t>
            </w:r>
            <w:r>
              <w:rPr>
                <w:sz w:val="18"/>
              </w:rPr>
              <w:t>siphon/</w:t>
            </w:r>
            <w:r>
              <w:rPr>
                <w:spacing w:val="-1"/>
                <w:sz w:val="18"/>
              </w:rPr>
              <w:t xml:space="preserve"> </w:t>
            </w:r>
            <w:r>
              <w:rPr>
                <w:sz w:val="18"/>
              </w:rPr>
              <w:t>pipes</w:t>
            </w:r>
            <w:r>
              <w:rPr>
                <w:spacing w:val="-1"/>
                <w:sz w:val="18"/>
              </w:rPr>
              <w:t xml:space="preserve"> </w:t>
            </w:r>
            <w:r>
              <w:rPr>
                <w:spacing w:val="-2"/>
                <w:sz w:val="18"/>
              </w:rPr>
              <w:t>installation</w:t>
            </w:r>
          </w:p>
        </w:tc>
        <w:tc>
          <w:tcPr>
            <w:tcW w:w="1393" w:type="dxa"/>
            <w:shd w:val="clear" w:color="auto" w:fill="CCE2ED"/>
          </w:tcPr>
          <w:p w14:paraId="765E2BE1"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15C65585" w14:textId="77777777" w:rsidR="00141B97" w:rsidRDefault="00911D63">
            <w:pPr>
              <w:pStyle w:val="TableParagraph"/>
              <w:spacing w:line="219" w:lineRule="exact"/>
              <w:ind w:right="94"/>
              <w:jc w:val="right"/>
              <w:rPr>
                <w:sz w:val="18"/>
              </w:rPr>
            </w:pPr>
            <w:r>
              <w:rPr>
                <w:sz w:val="18"/>
              </w:rPr>
              <w:t xml:space="preserve">Improvements </w:t>
            </w:r>
            <w:r>
              <w:rPr>
                <w:spacing w:val="-10"/>
                <w:sz w:val="18"/>
              </w:rPr>
              <w:t>/</w:t>
            </w:r>
          </w:p>
          <w:p w14:paraId="74CB8FAD" w14:textId="77777777" w:rsidR="00141B97" w:rsidRDefault="00911D63">
            <w:pPr>
              <w:pStyle w:val="TableParagraph"/>
              <w:spacing w:line="199" w:lineRule="exact"/>
              <w:ind w:right="95"/>
              <w:jc w:val="right"/>
              <w:rPr>
                <w:sz w:val="18"/>
              </w:rPr>
            </w:pPr>
            <w:r>
              <w:rPr>
                <w:spacing w:val="-2"/>
                <w:sz w:val="18"/>
              </w:rPr>
              <w:t>Compliance</w:t>
            </w:r>
          </w:p>
        </w:tc>
        <w:tc>
          <w:tcPr>
            <w:tcW w:w="1199" w:type="dxa"/>
            <w:shd w:val="clear" w:color="auto" w:fill="CCE2ED"/>
          </w:tcPr>
          <w:p w14:paraId="4053E12D"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6CF2429A"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24F2042F"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73974AD3" w14:textId="77777777" w:rsidR="00141B97" w:rsidRDefault="00911D63">
            <w:pPr>
              <w:pStyle w:val="TableParagraph"/>
              <w:spacing w:before="110"/>
              <w:ind w:right="97"/>
              <w:jc w:val="right"/>
              <w:rPr>
                <w:sz w:val="18"/>
              </w:rPr>
            </w:pPr>
            <w:r>
              <w:rPr>
                <w:spacing w:val="-4"/>
                <w:sz w:val="18"/>
              </w:rPr>
              <w:t>0.05</w:t>
            </w:r>
          </w:p>
        </w:tc>
        <w:tc>
          <w:tcPr>
            <w:tcW w:w="1198" w:type="dxa"/>
            <w:shd w:val="clear" w:color="auto" w:fill="CCE2ED"/>
          </w:tcPr>
          <w:p w14:paraId="0E1E72FF" w14:textId="77777777" w:rsidR="00141B97" w:rsidRDefault="00911D63">
            <w:pPr>
              <w:pStyle w:val="TableParagraph"/>
              <w:spacing w:before="110"/>
              <w:ind w:right="96"/>
              <w:jc w:val="right"/>
              <w:rPr>
                <w:sz w:val="18"/>
              </w:rPr>
            </w:pPr>
            <w:r>
              <w:rPr>
                <w:spacing w:val="-4"/>
                <w:sz w:val="18"/>
              </w:rPr>
              <w:t>0.30</w:t>
            </w:r>
          </w:p>
        </w:tc>
        <w:tc>
          <w:tcPr>
            <w:tcW w:w="1013" w:type="dxa"/>
            <w:tcBorders>
              <w:right w:val="nil"/>
            </w:tcBorders>
            <w:shd w:val="clear" w:color="auto" w:fill="CCE2ED"/>
          </w:tcPr>
          <w:p w14:paraId="412E5B4E" w14:textId="77777777" w:rsidR="00141B97" w:rsidRDefault="00911D63">
            <w:pPr>
              <w:pStyle w:val="TableParagraph"/>
              <w:spacing w:before="110"/>
              <w:ind w:right="86"/>
              <w:jc w:val="right"/>
              <w:rPr>
                <w:sz w:val="18"/>
              </w:rPr>
            </w:pPr>
            <w:r>
              <w:rPr>
                <w:spacing w:val="-4"/>
                <w:sz w:val="18"/>
              </w:rPr>
              <w:t>0.35</w:t>
            </w:r>
          </w:p>
        </w:tc>
      </w:tr>
      <w:tr w:rsidR="00141B97" w14:paraId="5369D100" w14:textId="77777777">
        <w:trPr>
          <w:trHeight w:val="220"/>
          <w:tblCellSpacing w:w="9" w:type="dxa"/>
        </w:trPr>
        <w:tc>
          <w:tcPr>
            <w:tcW w:w="5408" w:type="dxa"/>
            <w:tcBorders>
              <w:left w:val="nil"/>
            </w:tcBorders>
            <w:shd w:val="clear" w:color="auto" w:fill="CCE2ED"/>
          </w:tcPr>
          <w:p w14:paraId="6458B625" w14:textId="77777777" w:rsidR="00141B97" w:rsidRDefault="00911D63">
            <w:pPr>
              <w:pStyle w:val="TableParagraph"/>
              <w:spacing w:before="1" w:line="199" w:lineRule="exact"/>
              <w:ind w:left="88"/>
              <w:rPr>
                <w:sz w:val="18"/>
              </w:rPr>
            </w:pPr>
            <w:r>
              <w:rPr>
                <w:sz w:val="18"/>
              </w:rPr>
              <w:t>MDA</w:t>
            </w:r>
            <w:r>
              <w:rPr>
                <w:spacing w:val="-2"/>
                <w:sz w:val="18"/>
              </w:rPr>
              <w:t xml:space="preserve"> </w:t>
            </w:r>
            <w:r>
              <w:rPr>
                <w:sz w:val="18"/>
              </w:rPr>
              <w:t>‐</w:t>
            </w:r>
            <w:r>
              <w:rPr>
                <w:spacing w:val="-1"/>
                <w:sz w:val="18"/>
              </w:rPr>
              <w:t xml:space="preserve"> </w:t>
            </w:r>
            <w:r>
              <w:rPr>
                <w:sz w:val="18"/>
              </w:rPr>
              <w:t>Mains</w:t>
            </w:r>
            <w:r>
              <w:rPr>
                <w:spacing w:val="-2"/>
                <w:sz w:val="18"/>
              </w:rPr>
              <w:t xml:space="preserve"> </w:t>
            </w:r>
            <w:r>
              <w:rPr>
                <w:sz w:val="18"/>
              </w:rPr>
              <w:t>Replacement</w:t>
            </w:r>
            <w:r>
              <w:rPr>
                <w:spacing w:val="-3"/>
                <w:sz w:val="18"/>
              </w:rPr>
              <w:t xml:space="preserve"> </w:t>
            </w:r>
            <w:r>
              <w:rPr>
                <w:sz w:val="18"/>
              </w:rPr>
              <w:t>and</w:t>
            </w:r>
            <w:r>
              <w:rPr>
                <w:spacing w:val="-1"/>
                <w:sz w:val="18"/>
              </w:rPr>
              <w:t xml:space="preserve"> </w:t>
            </w:r>
            <w:r>
              <w:rPr>
                <w:sz w:val="18"/>
              </w:rPr>
              <w:t>upgrade</w:t>
            </w:r>
            <w:r>
              <w:rPr>
                <w:spacing w:val="-2"/>
                <w:sz w:val="18"/>
              </w:rPr>
              <w:t xml:space="preserve"> </w:t>
            </w:r>
            <w:r>
              <w:rPr>
                <w:sz w:val="18"/>
              </w:rPr>
              <w:t>tight</w:t>
            </w:r>
            <w:r>
              <w:rPr>
                <w:spacing w:val="-2"/>
                <w:sz w:val="18"/>
              </w:rPr>
              <w:t xml:space="preserve"> </w:t>
            </w:r>
            <w:r>
              <w:rPr>
                <w:sz w:val="18"/>
              </w:rPr>
              <w:t>spurs</w:t>
            </w:r>
            <w:r>
              <w:rPr>
                <w:spacing w:val="-2"/>
                <w:sz w:val="18"/>
              </w:rPr>
              <w:t xml:space="preserve"> Program</w:t>
            </w:r>
          </w:p>
        </w:tc>
        <w:tc>
          <w:tcPr>
            <w:tcW w:w="1393" w:type="dxa"/>
            <w:shd w:val="clear" w:color="auto" w:fill="CCE2ED"/>
          </w:tcPr>
          <w:p w14:paraId="3A509BA2"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416F68CC"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6A1436DE" w14:textId="77777777" w:rsidR="00141B97" w:rsidRDefault="00911D63">
            <w:pPr>
              <w:pStyle w:val="TableParagraph"/>
              <w:spacing w:before="1" w:line="199" w:lineRule="exact"/>
              <w:ind w:right="96"/>
              <w:jc w:val="right"/>
              <w:rPr>
                <w:sz w:val="18"/>
              </w:rPr>
            </w:pPr>
            <w:r>
              <w:rPr>
                <w:spacing w:val="-4"/>
                <w:sz w:val="18"/>
              </w:rPr>
              <w:t>0.29</w:t>
            </w:r>
          </w:p>
        </w:tc>
        <w:tc>
          <w:tcPr>
            <w:tcW w:w="1198" w:type="dxa"/>
            <w:shd w:val="clear" w:color="auto" w:fill="CCE2ED"/>
          </w:tcPr>
          <w:p w14:paraId="2489DDE8" w14:textId="77777777" w:rsidR="00141B97" w:rsidRDefault="00911D63">
            <w:pPr>
              <w:pStyle w:val="TableParagraph"/>
              <w:spacing w:before="1" w:line="199" w:lineRule="exact"/>
              <w:ind w:right="95"/>
              <w:jc w:val="right"/>
              <w:rPr>
                <w:sz w:val="18"/>
              </w:rPr>
            </w:pPr>
            <w:r>
              <w:rPr>
                <w:spacing w:val="-4"/>
                <w:sz w:val="18"/>
              </w:rPr>
              <w:t>0.50</w:t>
            </w:r>
          </w:p>
        </w:tc>
        <w:tc>
          <w:tcPr>
            <w:tcW w:w="1198" w:type="dxa"/>
            <w:shd w:val="clear" w:color="auto" w:fill="CCE2ED"/>
          </w:tcPr>
          <w:p w14:paraId="5812DF67" w14:textId="77777777" w:rsidR="00141B97" w:rsidRDefault="00911D63">
            <w:pPr>
              <w:pStyle w:val="TableParagraph"/>
              <w:spacing w:before="1" w:line="199" w:lineRule="exact"/>
              <w:ind w:right="96"/>
              <w:jc w:val="right"/>
              <w:rPr>
                <w:sz w:val="18"/>
              </w:rPr>
            </w:pPr>
            <w:r>
              <w:rPr>
                <w:spacing w:val="-4"/>
                <w:sz w:val="18"/>
              </w:rPr>
              <w:t>0.60</w:t>
            </w:r>
          </w:p>
        </w:tc>
        <w:tc>
          <w:tcPr>
            <w:tcW w:w="1199" w:type="dxa"/>
            <w:shd w:val="clear" w:color="auto" w:fill="CCE2ED"/>
          </w:tcPr>
          <w:p w14:paraId="67114F41" w14:textId="77777777" w:rsidR="00141B97" w:rsidRDefault="00911D63">
            <w:pPr>
              <w:pStyle w:val="TableParagraph"/>
              <w:spacing w:before="1" w:line="199" w:lineRule="exact"/>
              <w:ind w:right="97"/>
              <w:jc w:val="right"/>
              <w:rPr>
                <w:sz w:val="18"/>
              </w:rPr>
            </w:pPr>
            <w:r>
              <w:rPr>
                <w:spacing w:val="-4"/>
                <w:sz w:val="18"/>
              </w:rPr>
              <w:t>0.53</w:t>
            </w:r>
          </w:p>
        </w:tc>
        <w:tc>
          <w:tcPr>
            <w:tcW w:w="1198" w:type="dxa"/>
            <w:shd w:val="clear" w:color="auto" w:fill="CCE2ED"/>
          </w:tcPr>
          <w:p w14:paraId="1E1A4C7A" w14:textId="77777777" w:rsidR="00141B97" w:rsidRDefault="00911D63">
            <w:pPr>
              <w:pStyle w:val="TableParagraph"/>
              <w:spacing w:before="1" w:line="199" w:lineRule="exact"/>
              <w:ind w:right="96"/>
              <w:jc w:val="right"/>
              <w:rPr>
                <w:sz w:val="18"/>
              </w:rPr>
            </w:pPr>
            <w:r>
              <w:rPr>
                <w:spacing w:val="-4"/>
                <w:sz w:val="18"/>
              </w:rPr>
              <w:t>0.24</w:t>
            </w:r>
          </w:p>
        </w:tc>
        <w:tc>
          <w:tcPr>
            <w:tcW w:w="1013" w:type="dxa"/>
            <w:tcBorders>
              <w:right w:val="nil"/>
            </w:tcBorders>
            <w:shd w:val="clear" w:color="auto" w:fill="CCE2ED"/>
          </w:tcPr>
          <w:p w14:paraId="71F4B251" w14:textId="77777777" w:rsidR="00141B97" w:rsidRDefault="00911D63">
            <w:pPr>
              <w:pStyle w:val="TableParagraph"/>
              <w:spacing w:before="1" w:line="199" w:lineRule="exact"/>
              <w:ind w:right="86"/>
              <w:jc w:val="right"/>
              <w:rPr>
                <w:sz w:val="18"/>
              </w:rPr>
            </w:pPr>
            <w:r>
              <w:rPr>
                <w:spacing w:val="-4"/>
                <w:sz w:val="18"/>
              </w:rPr>
              <w:t>2.17</w:t>
            </w:r>
          </w:p>
        </w:tc>
      </w:tr>
      <w:tr w:rsidR="00141B97" w14:paraId="13D71A3A" w14:textId="77777777">
        <w:trPr>
          <w:trHeight w:val="439"/>
          <w:tblCellSpacing w:w="9" w:type="dxa"/>
        </w:trPr>
        <w:tc>
          <w:tcPr>
            <w:tcW w:w="5408" w:type="dxa"/>
            <w:tcBorders>
              <w:left w:val="nil"/>
            </w:tcBorders>
            <w:shd w:val="clear" w:color="auto" w:fill="CCE2ED"/>
          </w:tcPr>
          <w:p w14:paraId="1D83C558" w14:textId="77777777" w:rsidR="00141B97" w:rsidRDefault="00911D63">
            <w:pPr>
              <w:pStyle w:val="TableParagraph"/>
              <w:spacing w:before="110"/>
              <w:ind w:left="88"/>
              <w:rPr>
                <w:sz w:val="18"/>
              </w:rPr>
            </w:pPr>
            <w:r>
              <w:rPr>
                <w:sz w:val="18"/>
              </w:rPr>
              <w:t>MDA</w:t>
            </w:r>
            <w:r>
              <w:rPr>
                <w:spacing w:val="-3"/>
                <w:sz w:val="18"/>
              </w:rPr>
              <w:t xml:space="preserve"> </w:t>
            </w:r>
            <w:r>
              <w:rPr>
                <w:sz w:val="18"/>
              </w:rPr>
              <w:t>‐</w:t>
            </w:r>
            <w:r>
              <w:rPr>
                <w:spacing w:val="-2"/>
                <w:sz w:val="18"/>
              </w:rPr>
              <w:t xml:space="preserve"> </w:t>
            </w:r>
            <w:r>
              <w:rPr>
                <w:sz w:val="18"/>
              </w:rPr>
              <w:t>Isolation,</w:t>
            </w:r>
            <w:r>
              <w:rPr>
                <w:spacing w:val="-2"/>
                <w:sz w:val="18"/>
              </w:rPr>
              <w:t xml:space="preserve"> </w:t>
            </w:r>
            <w:r>
              <w:rPr>
                <w:sz w:val="18"/>
              </w:rPr>
              <w:t>Scour</w:t>
            </w:r>
            <w:r>
              <w:rPr>
                <w:spacing w:val="-2"/>
                <w:sz w:val="18"/>
              </w:rPr>
              <w:t xml:space="preserve"> </w:t>
            </w:r>
            <w:r>
              <w:rPr>
                <w:sz w:val="18"/>
              </w:rPr>
              <w:t>&amp;</w:t>
            </w:r>
            <w:r>
              <w:rPr>
                <w:spacing w:val="-3"/>
                <w:sz w:val="18"/>
              </w:rPr>
              <w:t xml:space="preserve"> </w:t>
            </w:r>
            <w:r>
              <w:rPr>
                <w:sz w:val="18"/>
              </w:rPr>
              <w:t>Air</w:t>
            </w:r>
            <w:r>
              <w:rPr>
                <w:spacing w:val="-2"/>
                <w:sz w:val="18"/>
              </w:rPr>
              <w:t xml:space="preserve"> </w:t>
            </w:r>
            <w:r>
              <w:rPr>
                <w:sz w:val="18"/>
              </w:rPr>
              <w:t>Valve</w:t>
            </w:r>
            <w:r>
              <w:rPr>
                <w:spacing w:val="-2"/>
                <w:sz w:val="18"/>
              </w:rPr>
              <w:t xml:space="preserve"> Program</w:t>
            </w:r>
          </w:p>
        </w:tc>
        <w:tc>
          <w:tcPr>
            <w:tcW w:w="1393" w:type="dxa"/>
            <w:shd w:val="clear" w:color="auto" w:fill="CCE2ED"/>
          </w:tcPr>
          <w:p w14:paraId="63367A5D"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3C0120DF"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1256D1BF" w14:textId="77777777" w:rsidR="00141B97" w:rsidRDefault="00911D63">
            <w:pPr>
              <w:pStyle w:val="TableParagraph"/>
              <w:spacing w:before="110"/>
              <w:ind w:right="96"/>
              <w:jc w:val="right"/>
              <w:rPr>
                <w:sz w:val="18"/>
              </w:rPr>
            </w:pPr>
            <w:r>
              <w:rPr>
                <w:spacing w:val="-4"/>
                <w:sz w:val="18"/>
              </w:rPr>
              <w:t>0.15</w:t>
            </w:r>
          </w:p>
        </w:tc>
        <w:tc>
          <w:tcPr>
            <w:tcW w:w="1198" w:type="dxa"/>
            <w:shd w:val="clear" w:color="auto" w:fill="CCE2ED"/>
          </w:tcPr>
          <w:p w14:paraId="27B951D9" w14:textId="77777777" w:rsidR="00141B97" w:rsidRDefault="00911D63">
            <w:pPr>
              <w:pStyle w:val="TableParagraph"/>
              <w:spacing w:before="110"/>
              <w:ind w:right="95"/>
              <w:jc w:val="right"/>
              <w:rPr>
                <w:sz w:val="18"/>
              </w:rPr>
            </w:pPr>
            <w:r>
              <w:rPr>
                <w:spacing w:val="-4"/>
                <w:sz w:val="18"/>
              </w:rPr>
              <w:t>0.05</w:t>
            </w:r>
          </w:p>
        </w:tc>
        <w:tc>
          <w:tcPr>
            <w:tcW w:w="1198" w:type="dxa"/>
            <w:shd w:val="clear" w:color="auto" w:fill="CCE2ED"/>
          </w:tcPr>
          <w:p w14:paraId="0B85B3EC"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23542028" w14:textId="77777777" w:rsidR="00141B97" w:rsidRDefault="00911D63">
            <w:pPr>
              <w:pStyle w:val="TableParagraph"/>
              <w:spacing w:before="110"/>
              <w:ind w:right="97"/>
              <w:jc w:val="right"/>
              <w:rPr>
                <w:sz w:val="18"/>
              </w:rPr>
            </w:pPr>
            <w:r>
              <w:rPr>
                <w:spacing w:val="-4"/>
                <w:sz w:val="18"/>
              </w:rPr>
              <w:t>0.15</w:t>
            </w:r>
          </w:p>
        </w:tc>
        <w:tc>
          <w:tcPr>
            <w:tcW w:w="1198" w:type="dxa"/>
            <w:shd w:val="clear" w:color="auto" w:fill="CCE2ED"/>
          </w:tcPr>
          <w:p w14:paraId="6D625394" w14:textId="77777777" w:rsidR="00141B97" w:rsidRDefault="00911D63">
            <w:pPr>
              <w:pStyle w:val="TableParagraph"/>
              <w:spacing w:before="110"/>
              <w:ind w:right="96"/>
              <w:jc w:val="right"/>
              <w:rPr>
                <w:sz w:val="18"/>
              </w:rPr>
            </w:pPr>
            <w:r>
              <w:rPr>
                <w:spacing w:val="-4"/>
                <w:sz w:val="18"/>
              </w:rPr>
              <w:t>0.07</w:t>
            </w:r>
          </w:p>
        </w:tc>
        <w:tc>
          <w:tcPr>
            <w:tcW w:w="1013" w:type="dxa"/>
            <w:tcBorders>
              <w:right w:val="nil"/>
            </w:tcBorders>
            <w:shd w:val="clear" w:color="auto" w:fill="CCE2ED"/>
          </w:tcPr>
          <w:p w14:paraId="702D45AE" w14:textId="77777777" w:rsidR="00141B97" w:rsidRDefault="00911D63">
            <w:pPr>
              <w:pStyle w:val="TableParagraph"/>
              <w:spacing w:before="110"/>
              <w:ind w:right="86"/>
              <w:jc w:val="right"/>
              <w:rPr>
                <w:sz w:val="18"/>
              </w:rPr>
            </w:pPr>
            <w:r>
              <w:rPr>
                <w:spacing w:val="-4"/>
                <w:sz w:val="18"/>
              </w:rPr>
              <w:t>0.42</w:t>
            </w:r>
          </w:p>
        </w:tc>
      </w:tr>
      <w:tr w:rsidR="00141B97" w14:paraId="4F742944" w14:textId="77777777">
        <w:trPr>
          <w:trHeight w:val="439"/>
          <w:tblCellSpacing w:w="9" w:type="dxa"/>
        </w:trPr>
        <w:tc>
          <w:tcPr>
            <w:tcW w:w="5408" w:type="dxa"/>
            <w:tcBorders>
              <w:left w:val="nil"/>
            </w:tcBorders>
            <w:shd w:val="clear" w:color="auto" w:fill="CCE2ED"/>
          </w:tcPr>
          <w:p w14:paraId="3E15D9D8" w14:textId="77777777" w:rsidR="00141B97" w:rsidRDefault="00911D63">
            <w:pPr>
              <w:pStyle w:val="TableParagraph"/>
              <w:ind w:left="88"/>
              <w:rPr>
                <w:sz w:val="18"/>
              </w:rPr>
            </w:pPr>
            <w:r>
              <w:rPr>
                <w:sz w:val="18"/>
              </w:rPr>
              <w:t>MDA</w:t>
            </w:r>
            <w:r>
              <w:rPr>
                <w:spacing w:val="-2"/>
                <w:sz w:val="18"/>
              </w:rPr>
              <w:t xml:space="preserve"> </w:t>
            </w:r>
            <w:r>
              <w:rPr>
                <w:sz w:val="18"/>
              </w:rPr>
              <w:t>‐</w:t>
            </w:r>
            <w:r>
              <w:rPr>
                <w:spacing w:val="-1"/>
                <w:sz w:val="18"/>
              </w:rPr>
              <w:t xml:space="preserve"> </w:t>
            </w:r>
            <w:r>
              <w:rPr>
                <w:sz w:val="18"/>
              </w:rPr>
              <w:t>MILDURA</w:t>
            </w:r>
            <w:r>
              <w:rPr>
                <w:spacing w:val="-2"/>
                <w:sz w:val="18"/>
              </w:rPr>
              <w:t xml:space="preserve"> </w:t>
            </w:r>
            <w:r>
              <w:rPr>
                <w:sz w:val="18"/>
              </w:rPr>
              <w:t>RURAL</w:t>
            </w:r>
            <w:r>
              <w:rPr>
                <w:spacing w:val="-1"/>
                <w:sz w:val="18"/>
              </w:rPr>
              <w:t xml:space="preserve"> </w:t>
            </w:r>
            <w:r>
              <w:rPr>
                <w:sz w:val="18"/>
              </w:rPr>
              <w:t>(IP)</w:t>
            </w:r>
            <w:r>
              <w:rPr>
                <w:spacing w:val="-3"/>
                <w:sz w:val="18"/>
              </w:rPr>
              <w:t xml:space="preserve"> </w:t>
            </w:r>
            <w:r>
              <w:rPr>
                <w:sz w:val="18"/>
              </w:rPr>
              <w:t>RADIO</w:t>
            </w:r>
            <w:r>
              <w:rPr>
                <w:spacing w:val="-1"/>
                <w:sz w:val="18"/>
              </w:rPr>
              <w:t xml:space="preserve"> </w:t>
            </w:r>
            <w:r>
              <w:rPr>
                <w:sz w:val="18"/>
              </w:rPr>
              <w:t>TELEMETRY</w:t>
            </w:r>
            <w:r>
              <w:rPr>
                <w:spacing w:val="-2"/>
                <w:sz w:val="18"/>
              </w:rPr>
              <w:t xml:space="preserve"> </w:t>
            </w:r>
            <w:r>
              <w:rPr>
                <w:sz w:val="18"/>
              </w:rPr>
              <w:t>NETWORK</w:t>
            </w:r>
            <w:r>
              <w:rPr>
                <w:spacing w:val="-1"/>
                <w:sz w:val="18"/>
              </w:rPr>
              <w:t xml:space="preserve"> </w:t>
            </w:r>
            <w:r>
              <w:rPr>
                <w:sz w:val="18"/>
              </w:rPr>
              <w:t>‐</w:t>
            </w:r>
            <w:r>
              <w:rPr>
                <w:spacing w:val="-1"/>
                <w:sz w:val="18"/>
              </w:rPr>
              <w:t xml:space="preserve"> </w:t>
            </w:r>
            <w:r>
              <w:rPr>
                <w:spacing w:val="-4"/>
                <w:sz w:val="18"/>
              </w:rPr>
              <w:t>Base</w:t>
            </w:r>
          </w:p>
          <w:p w14:paraId="675304D7" w14:textId="77777777" w:rsidR="00141B97" w:rsidRDefault="00911D63">
            <w:pPr>
              <w:pStyle w:val="TableParagraph"/>
              <w:spacing w:line="199" w:lineRule="exact"/>
              <w:ind w:left="88"/>
              <w:rPr>
                <w:sz w:val="18"/>
              </w:rPr>
            </w:pPr>
            <w:r>
              <w:rPr>
                <w:sz w:val="18"/>
              </w:rPr>
              <w:t>Station</w:t>
            </w:r>
            <w:r>
              <w:rPr>
                <w:spacing w:val="-7"/>
                <w:sz w:val="18"/>
              </w:rPr>
              <w:t xml:space="preserve"> </w:t>
            </w:r>
            <w:r>
              <w:rPr>
                <w:spacing w:val="-2"/>
                <w:sz w:val="18"/>
              </w:rPr>
              <w:t>Renewal</w:t>
            </w:r>
          </w:p>
        </w:tc>
        <w:tc>
          <w:tcPr>
            <w:tcW w:w="1393" w:type="dxa"/>
            <w:shd w:val="clear" w:color="auto" w:fill="CCE2ED"/>
          </w:tcPr>
          <w:p w14:paraId="76ED8FFB"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12B99542" w14:textId="77777777" w:rsidR="00141B97" w:rsidRDefault="00911D63">
            <w:pPr>
              <w:pStyle w:val="TableParagraph"/>
              <w:spacing w:before="110"/>
              <w:ind w:right="95"/>
              <w:jc w:val="right"/>
              <w:rPr>
                <w:sz w:val="18"/>
              </w:rPr>
            </w:pPr>
            <w:r>
              <w:rPr>
                <w:spacing w:val="-2"/>
                <w:sz w:val="18"/>
              </w:rPr>
              <w:t>Renewals</w:t>
            </w:r>
          </w:p>
        </w:tc>
        <w:tc>
          <w:tcPr>
            <w:tcW w:w="1199" w:type="dxa"/>
            <w:shd w:val="clear" w:color="auto" w:fill="CCE2ED"/>
          </w:tcPr>
          <w:p w14:paraId="749FCF3A" w14:textId="77777777" w:rsidR="00141B97" w:rsidRDefault="00911D63">
            <w:pPr>
              <w:pStyle w:val="TableParagraph"/>
              <w:spacing w:before="110"/>
              <w:ind w:right="96"/>
              <w:jc w:val="right"/>
              <w:rPr>
                <w:sz w:val="18"/>
              </w:rPr>
            </w:pPr>
            <w:r>
              <w:rPr>
                <w:spacing w:val="-4"/>
                <w:sz w:val="18"/>
              </w:rPr>
              <w:t>0.07</w:t>
            </w:r>
          </w:p>
        </w:tc>
        <w:tc>
          <w:tcPr>
            <w:tcW w:w="1198" w:type="dxa"/>
            <w:shd w:val="clear" w:color="auto" w:fill="CCE2ED"/>
          </w:tcPr>
          <w:p w14:paraId="31DDE480"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2893C2DD"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47A7733F"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7DFD255A"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738EFC5B" w14:textId="77777777" w:rsidR="00141B97" w:rsidRDefault="00911D63">
            <w:pPr>
              <w:pStyle w:val="TableParagraph"/>
              <w:spacing w:before="110"/>
              <w:ind w:right="86"/>
              <w:jc w:val="right"/>
              <w:rPr>
                <w:sz w:val="18"/>
              </w:rPr>
            </w:pPr>
            <w:r>
              <w:rPr>
                <w:spacing w:val="-4"/>
                <w:sz w:val="18"/>
              </w:rPr>
              <w:t>0.07</w:t>
            </w:r>
          </w:p>
        </w:tc>
      </w:tr>
      <w:tr w:rsidR="00141B97" w14:paraId="1AC3EF1A" w14:textId="77777777">
        <w:trPr>
          <w:trHeight w:val="439"/>
          <w:tblCellSpacing w:w="9" w:type="dxa"/>
        </w:trPr>
        <w:tc>
          <w:tcPr>
            <w:tcW w:w="5408" w:type="dxa"/>
            <w:tcBorders>
              <w:left w:val="nil"/>
            </w:tcBorders>
            <w:shd w:val="clear" w:color="auto" w:fill="CCE2ED"/>
          </w:tcPr>
          <w:p w14:paraId="365FF96F" w14:textId="77777777" w:rsidR="00141B97" w:rsidRDefault="00911D63">
            <w:pPr>
              <w:pStyle w:val="TableParagraph"/>
              <w:spacing w:before="1"/>
              <w:ind w:left="88"/>
              <w:rPr>
                <w:sz w:val="18"/>
              </w:rPr>
            </w:pPr>
            <w:r>
              <w:rPr>
                <w:sz w:val="18"/>
              </w:rPr>
              <w:t>MILL</w:t>
            </w:r>
            <w:r>
              <w:rPr>
                <w:spacing w:val="-1"/>
                <w:sz w:val="18"/>
              </w:rPr>
              <w:t xml:space="preserve"> </w:t>
            </w:r>
            <w:r>
              <w:rPr>
                <w:sz w:val="18"/>
              </w:rPr>
              <w:t>‐</w:t>
            </w:r>
            <w:r>
              <w:rPr>
                <w:spacing w:val="-2"/>
                <w:sz w:val="18"/>
              </w:rPr>
              <w:t xml:space="preserve"> </w:t>
            </w:r>
            <w:r>
              <w:rPr>
                <w:sz w:val="18"/>
              </w:rPr>
              <w:t>MILLEWA</w:t>
            </w:r>
            <w:r>
              <w:rPr>
                <w:spacing w:val="-2"/>
                <w:sz w:val="18"/>
              </w:rPr>
              <w:t xml:space="preserve"> </w:t>
            </w:r>
            <w:r>
              <w:rPr>
                <w:sz w:val="18"/>
              </w:rPr>
              <w:t>RURAL</w:t>
            </w:r>
            <w:r>
              <w:rPr>
                <w:spacing w:val="-1"/>
                <w:sz w:val="18"/>
              </w:rPr>
              <w:t xml:space="preserve"> </w:t>
            </w:r>
            <w:r>
              <w:rPr>
                <w:sz w:val="18"/>
              </w:rPr>
              <w:t>(IP)</w:t>
            </w:r>
            <w:r>
              <w:rPr>
                <w:spacing w:val="-2"/>
                <w:sz w:val="18"/>
              </w:rPr>
              <w:t xml:space="preserve"> </w:t>
            </w:r>
            <w:r>
              <w:rPr>
                <w:sz w:val="18"/>
              </w:rPr>
              <w:t>RADIO</w:t>
            </w:r>
            <w:r>
              <w:rPr>
                <w:spacing w:val="-1"/>
                <w:sz w:val="18"/>
              </w:rPr>
              <w:t xml:space="preserve"> </w:t>
            </w:r>
            <w:r>
              <w:rPr>
                <w:sz w:val="18"/>
              </w:rPr>
              <w:t>TELEMETRY</w:t>
            </w:r>
            <w:r>
              <w:rPr>
                <w:spacing w:val="-2"/>
                <w:sz w:val="18"/>
              </w:rPr>
              <w:t xml:space="preserve"> </w:t>
            </w:r>
            <w:r>
              <w:rPr>
                <w:sz w:val="18"/>
              </w:rPr>
              <w:t>NETWORK</w:t>
            </w:r>
            <w:r>
              <w:rPr>
                <w:spacing w:val="-1"/>
                <w:sz w:val="18"/>
              </w:rPr>
              <w:t xml:space="preserve"> </w:t>
            </w:r>
            <w:r>
              <w:rPr>
                <w:sz w:val="18"/>
              </w:rPr>
              <w:t>‐</w:t>
            </w:r>
            <w:r>
              <w:rPr>
                <w:spacing w:val="-1"/>
                <w:sz w:val="18"/>
              </w:rPr>
              <w:t xml:space="preserve"> </w:t>
            </w:r>
            <w:r>
              <w:rPr>
                <w:sz w:val="18"/>
              </w:rPr>
              <w:t>SCADA</w:t>
            </w:r>
            <w:r>
              <w:rPr>
                <w:spacing w:val="-1"/>
                <w:sz w:val="18"/>
              </w:rPr>
              <w:t xml:space="preserve"> </w:t>
            </w:r>
            <w:r>
              <w:rPr>
                <w:spacing w:val="-10"/>
                <w:sz w:val="18"/>
              </w:rPr>
              <w:t>&amp;</w:t>
            </w:r>
          </w:p>
          <w:p w14:paraId="1AF0E819" w14:textId="77777777" w:rsidR="00141B97" w:rsidRDefault="00911D63">
            <w:pPr>
              <w:pStyle w:val="TableParagraph"/>
              <w:spacing w:line="199" w:lineRule="exact"/>
              <w:ind w:left="88"/>
              <w:rPr>
                <w:sz w:val="18"/>
              </w:rPr>
            </w:pPr>
            <w:r>
              <w:rPr>
                <w:sz w:val="18"/>
              </w:rPr>
              <w:t>Control</w:t>
            </w:r>
            <w:r>
              <w:rPr>
                <w:spacing w:val="-3"/>
                <w:sz w:val="18"/>
              </w:rPr>
              <w:t xml:space="preserve"> </w:t>
            </w:r>
            <w:r>
              <w:rPr>
                <w:sz w:val="18"/>
              </w:rPr>
              <w:t>Systems</w:t>
            </w:r>
            <w:r>
              <w:rPr>
                <w:spacing w:val="-3"/>
                <w:sz w:val="18"/>
              </w:rPr>
              <w:t xml:space="preserve"> </w:t>
            </w:r>
            <w:r>
              <w:rPr>
                <w:spacing w:val="-2"/>
                <w:sz w:val="18"/>
              </w:rPr>
              <w:t>Renewal</w:t>
            </w:r>
          </w:p>
        </w:tc>
        <w:tc>
          <w:tcPr>
            <w:tcW w:w="1393" w:type="dxa"/>
            <w:shd w:val="clear" w:color="auto" w:fill="CCE2ED"/>
          </w:tcPr>
          <w:p w14:paraId="2704D994" w14:textId="77777777" w:rsidR="00141B97" w:rsidRDefault="00911D63">
            <w:pPr>
              <w:pStyle w:val="TableParagraph"/>
              <w:spacing w:before="1"/>
              <w:ind w:right="95"/>
              <w:jc w:val="right"/>
              <w:rPr>
                <w:sz w:val="18"/>
              </w:rPr>
            </w:pPr>
            <w:r>
              <w:rPr>
                <w:sz w:val="18"/>
              </w:rPr>
              <w:t>Domestic</w:t>
            </w:r>
            <w:r>
              <w:rPr>
                <w:spacing w:val="-7"/>
                <w:sz w:val="18"/>
              </w:rPr>
              <w:t xml:space="preserve"> </w:t>
            </w:r>
            <w:r>
              <w:rPr>
                <w:spacing w:val="-5"/>
                <w:sz w:val="18"/>
              </w:rPr>
              <w:t>and</w:t>
            </w:r>
          </w:p>
          <w:p w14:paraId="001BDC16" w14:textId="77777777" w:rsidR="00141B97" w:rsidRDefault="00911D63">
            <w:pPr>
              <w:pStyle w:val="TableParagraph"/>
              <w:spacing w:line="199" w:lineRule="exact"/>
              <w:ind w:right="95"/>
              <w:jc w:val="right"/>
              <w:rPr>
                <w:sz w:val="18"/>
              </w:rPr>
            </w:pPr>
            <w:r>
              <w:rPr>
                <w:spacing w:val="-2"/>
                <w:sz w:val="18"/>
              </w:rPr>
              <w:t>stock</w:t>
            </w:r>
          </w:p>
        </w:tc>
        <w:tc>
          <w:tcPr>
            <w:tcW w:w="1860" w:type="dxa"/>
            <w:shd w:val="clear" w:color="auto" w:fill="CCE2ED"/>
          </w:tcPr>
          <w:p w14:paraId="47D6D8E3" w14:textId="77777777" w:rsidR="00141B97" w:rsidRDefault="00911D63">
            <w:pPr>
              <w:pStyle w:val="TableParagraph"/>
              <w:spacing w:before="110"/>
              <w:ind w:right="95"/>
              <w:jc w:val="right"/>
              <w:rPr>
                <w:sz w:val="18"/>
              </w:rPr>
            </w:pPr>
            <w:r>
              <w:rPr>
                <w:spacing w:val="-2"/>
                <w:sz w:val="18"/>
              </w:rPr>
              <w:t>Renewals</w:t>
            </w:r>
          </w:p>
        </w:tc>
        <w:tc>
          <w:tcPr>
            <w:tcW w:w="1199" w:type="dxa"/>
            <w:shd w:val="clear" w:color="auto" w:fill="CCE2ED"/>
          </w:tcPr>
          <w:p w14:paraId="184B4C58"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1BBC7F99"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2977C9D4" w14:textId="77777777" w:rsidR="00141B97" w:rsidRDefault="00911D63">
            <w:pPr>
              <w:pStyle w:val="TableParagraph"/>
              <w:spacing w:before="110"/>
              <w:ind w:right="96"/>
              <w:jc w:val="right"/>
              <w:rPr>
                <w:sz w:val="18"/>
              </w:rPr>
            </w:pPr>
            <w:r>
              <w:rPr>
                <w:spacing w:val="-4"/>
                <w:sz w:val="18"/>
              </w:rPr>
              <w:t>0.20</w:t>
            </w:r>
          </w:p>
        </w:tc>
        <w:tc>
          <w:tcPr>
            <w:tcW w:w="1199" w:type="dxa"/>
            <w:shd w:val="clear" w:color="auto" w:fill="CCE2ED"/>
          </w:tcPr>
          <w:p w14:paraId="73869B29" w14:textId="77777777" w:rsidR="00141B97" w:rsidRDefault="00911D63">
            <w:pPr>
              <w:pStyle w:val="TableParagraph"/>
              <w:spacing w:before="110"/>
              <w:ind w:right="97"/>
              <w:jc w:val="right"/>
              <w:rPr>
                <w:sz w:val="18"/>
              </w:rPr>
            </w:pPr>
            <w:r>
              <w:rPr>
                <w:spacing w:val="-4"/>
                <w:sz w:val="18"/>
              </w:rPr>
              <w:t>0.70</w:t>
            </w:r>
          </w:p>
        </w:tc>
        <w:tc>
          <w:tcPr>
            <w:tcW w:w="1198" w:type="dxa"/>
            <w:shd w:val="clear" w:color="auto" w:fill="CCE2ED"/>
          </w:tcPr>
          <w:p w14:paraId="0DFB693C"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0100E7A9" w14:textId="77777777" w:rsidR="00141B97" w:rsidRDefault="00911D63">
            <w:pPr>
              <w:pStyle w:val="TableParagraph"/>
              <w:spacing w:before="110"/>
              <w:ind w:right="86"/>
              <w:jc w:val="right"/>
              <w:rPr>
                <w:sz w:val="18"/>
              </w:rPr>
            </w:pPr>
            <w:r>
              <w:rPr>
                <w:spacing w:val="-4"/>
                <w:sz w:val="18"/>
              </w:rPr>
              <w:t>0.90</w:t>
            </w:r>
          </w:p>
        </w:tc>
      </w:tr>
      <w:tr w:rsidR="00141B97" w14:paraId="66C04294" w14:textId="77777777">
        <w:trPr>
          <w:trHeight w:val="439"/>
          <w:tblCellSpacing w:w="9" w:type="dxa"/>
        </w:trPr>
        <w:tc>
          <w:tcPr>
            <w:tcW w:w="5408" w:type="dxa"/>
            <w:tcBorders>
              <w:left w:val="nil"/>
            </w:tcBorders>
            <w:shd w:val="clear" w:color="auto" w:fill="CCE2ED"/>
          </w:tcPr>
          <w:p w14:paraId="69B86E78" w14:textId="77777777" w:rsidR="00141B97" w:rsidRDefault="00911D63">
            <w:pPr>
              <w:pStyle w:val="TableParagraph"/>
              <w:spacing w:before="110"/>
              <w:ind w:left="88"/>
              <w:rPr>
                <w:sz w:val="18"/>
              </w:rPr>
            </w:pPr>
            <w:r>
              <w:rPr>
                <w:sz w:val="18"/>
              </w:rPr>
              <w:t>PD</w:t>
            </w:r>
            <w:r>
              <w:rPr>
                <w:spacing w:val="-1"/>
                <w:sz w:val="18"/>
              </w:rPr>
              <w:t xml:space="preserve"> </w:t>
            </w:r>
            <w:r>
              <w:rPr>
                <w:sz w:val="18"/>
              </w:rPr>
              <w:t>D&amp;S</w:t>
            </w:r>
            <w:r>
              <w:rPr>
                <w:spacing w:val="-2"/>
                <w:sz w:val="18"/>
              </w:rPr>
              <w:t xml:space="preserve"> </w:t>
            </w:r>
            <w:r>
              <w:rPr>
                <w:sz w:val="18"/>
              </w:rPr>
              <w:t>Metering</w:t>
            </w:r>
            <w:r>
              <w:rPr>
                <w:spacing w:val="-1"/>
                <w:sz w:val="18"/>
              </w:rPr>
              <w:t xml:space="preserve"> </w:t>
            </w:r>
            <w:r>
              <w:rPr>
                <w:spacing w:val="-2"/>
                <w:sz w:val="18"/>
              </w:rPr>
              <w:t>Program</w:t>
            </w:r>
          </w:p>
        </w:tc>
        <w:tc>
          <w:tcPr>
            <w:tcW w:w="1393" w:type="dxa"/>
            <w:shd w:val="clear" w:color="auto" w:fill="CCE2ED"/>
          </w:tcPr>
          <w:p w14:paraId="6372D582" w14:textId="77777777" w:rsidR="00141B97" w:rsidRDefault="00911D63">
            <w:pPr>
              <w:pStyle w:val="TableParagraph"/>
              <w:spacing w:line="220" w:lineRule="atLeast"/>
              <w:ind w:left="545" w:firstLine="187"/>
              <w:rPr>
                <w:sz w:val="18"/>
              </w:rPr>
            </w:pPr>
            <w:r>
              <w:rPr>
                <w:spacing w:val="-2"/>
                <w:sz w:val="18"/>
              </w:rPr>
              <w:t>Surface</w:t>
            </w:r>
            <w:r>
              <w:rPr>
                <w:sz w:val="18"/>
              </w:rPr>
              <w:t xml:space="preserve"> </w:t>
            </w:r>
            <w:r>
              <w:rPr>
                <w:spacing w:val="-2"/>
                <w:sz w:val="18"/>
              </w:rPr>
              <w:t>diversions</w:t>
            </w:r>
          </w:p>
        </w:tc>
        <w:tc>
          <w:tcPr>
            <w:tcW w:w="1860" w:type="dxa"/>
            <w:shd w:val="clear" w:color="auto" w:fill="CCE2ED"/>
          </w:tcPr>
          <w:p w14:paraId="4775D190" w14:textId="77777777" w:rsidR="00141B97" w:rsidRDefault="00911D63">
            <w:pPr>
              <w:pStyle w:val="TableParagraph"/>
              <w:spacing w:before="110"/>
              <w:ind w:right="95"/>
              <w:jc w:val="right"/>
              <w:rPr>
                <w:sz w:val="18"/>
              </w:rPr>
            </w:pPr>
            <w:r>
              <w:rPr>
                <w:spacing w:val="-2"/>
                <w:sz w:val="18"/>
              </w:rPr>
              <w:t>Renewals</w:t>
            </w:r>
          </w:p>
        </w:tc>
        <w:tc>
          <w:tcPr>
            <w:tcW w:w="1199" w:type="dxa"/>
            <w:shd w:val="clear" w:color="auto" w:fill="CCE2ED"/>
          </w:tcPr>
          <w:p w14:paraId="0DF56C63" w14:textId="77777777" w:rsidR="00141B97" w:rsidRDefault="00911D63">
            <w:pPr>
              <w:pStyle w:val="TableParagraph"/>
              <w:spacing w:before="110"/>
              <w:ind w:right="96"/>
              <w:jc w:val="right"/>
              <w:rPr>
                <w:sz w:val="18"/>
              </w:rPr>
            </w:pPr>
            <w:r>
              <w:rPr>
                <w:spacing w:val="-4"/>
                <w:sz w:val="18"/>
              </w:rPr>
              <w:t>0.02</w:t>
            </w:r>
          </w:p>
        </w:tc>
        <w:tc>
          <w:tcPr>
            <w:tcW w:w="1198" w:type="dxa"/>
            <w:shd w:val="clear" w:color="auto" w:fill="CCE2ED"/>
          </w:tcPr>
          <w:p w14:paraId="1B4BDB19" w14:textId="77777777" w:rsidR="00141B97" w:rsidRDefault="00911D63">
            <w:pPr>
              <w:pStyle w:val="TableParagraph"/>
              <w:spacing w:before="110"/>
              <w:ind w:right="95"/>
              <w:jc w:val="right"/>
              <w:rPr>
                <w:sz w:val="18"/>
              </w:rPr>
            </w:pPr>
            <w:r>
              <w:rPr>
                <w:spacing w:val="-4"/>
                <w:sz w:val="18"/>
              </w:rPr>
              <w:t>0.02</w:t>
            </w:r>
          </w:p>
        </w:tc>
        <w:tc>
          <w:tcPr>
            <w:tcW w:w="1198" w:type="dxa"/>
            <w:shd w:val="clear" w:color="auto" w:fill="CCE2ED"/>
          </w:tcPr>
          <w:p w14:paraId="48210C59" w14:textId="77777777" w:rsidR="00141B97" w:rsidRDefault="00911D63">
            <w:pPr>
              <w:pStyle w:val="TableParagraph"/>
              <w:spacing w:before="110"/>
              <w:ind w:right="96"/>
              <w:jc w:val="right"/>
              <w:rPr>
                <w:sz w:val="18"/>
              </w:rPr>
            </w:pPr>
            <w:r>
              <w:rPr>
                <w:spacing w:val="-4"/>
                <w:sz w:val="18"/>
              </w:rPr>
              <w:t>0.02</w:t>
            </w:r>
          </w:p>
        </w:tc>
        <w:tc>
          <w:tcPr>
            <w:tcW w:w="1199" w:type="dxa"/>
            <w:shd w:val="clear" w:color="auto" w:fill="CCE2ED"/>
          </w:tcPr>
          <w:p w14:paraId="36E38A00" w14:textId="77777777" w:rsidR="00141B97" w:rsidRDefault="00911D63">
            <w:pPr>
              <w:pStyle w:val="TableParagraph"/>
              <w:spacing w:before="110"/>
              <w:ind w:right="97"/>
              <w:jc w:val="right"/>
              <w:rPr>
                <w:sz w:val="18"/>
              </w:rPr>
            </w:pPr>
            <w:r>
              <w:rPr>
                <w:spacing w:val="-4"/>
                <w:sz w:val="18"/>
              </w:rPr>
              <w:t>0.02</w:t>
            </w:r>
          </w:p>
        </w:tc>
        <w:tc>
          <w:tcPr>
            <w:tcW w:w="1198" w:type="dxa"/>
            <w:shd w:val="clear" w:color="auto" w:fill="CCE2ED"/>
          </w:tcPr>
          <w:p w14:paraId="5231E968" w14:textId="77777777" w:rsidR="00141B97" w:rsidRDefault="00911D63">
            <w:pPr>
              <w:pStyle w:val="TableParagraph"/>
              <w:spacing w:before="110"/>
              <w:ind w:right="96"/>
              <w:jc w:val="right"/>
              <w:rPr>
                <w:sz w:val="18"/>
              </w:rPr>
            </w:pPr>
            <w:r>
              <w:rPr>
                <w:spacing w:val="-4"/>
                <w:sz w:val="18"/>
              </w:rPr>
              <w:t>0.02</w:t>
            </w:r>
          </w:p>
        </w:tc>
        <w:tc>
          <w:tcPr>
            <w:tcW w:w="1013" w:type="dxa"/>
            <w:tcBorders>
              <w:right w:val="nil"/>
            </w:tcBorders>
            <w:shd w:val="clear" w:color="auto" w:fill="CCE2ED"/>
          </w:tcPr>
          <w:p w14:paraId="5FD41897" w14:textId="77777777" w:rsidR="00141B97" w:rsidRDefault="00911D63">
            <w:pPr>
              <w:pStyle w:val="TableParagraph"/>
              <w:spacing w:before="110"/>
              <w:ind w:right="86"/>
              <w:jc w:val="right"/>
              <w:rPr>
                <w:sz w:val="18"/>
              </w:rPr>
            </w:pPr>
            <w:r>
              <w:rPr>
                <w:spacing w:val="-4"/>
                <w:sz w:val="18"/>
              </w:rPr>
              <w:t>0.11</w:t>
            </w:r>
          </w:p>
        </w:tc>
      </w:tr>
      <w:tr w:rsidR="00141B97" w14:paraId="48C3CA6A" w14:textId="77777777">
        <w:trPr>
          <w:trHeight w:val="439"/>
          <w:tblCellSpacing w:w="9" w:type="dxa"/>
        </w:trPr>
        <w:tc>
          <w:tcPr>
            <w:tcW w:w="5408" w:type="dxa"/>
            <w:tcBorders>
              <w:left w:val="nil"/>
            </w:tcBorders>
            <w:shd w:val="clear" w:color="auto" w:fill="CCE2ED"/>
          </w:tcPr>
          <w:p w14:paraId="78C70CEA" w14:textId="77777777" w:rsidR="00141B97" w:rsidRDefault="00911D63">
            <w:pPr>
              <w:pStyle w:val="TableParagraph"/>
              <w:spacing w:before="110"/>
              <w:ind w:left="88"/>
              <w:rPr>
                <w:sz w:val="18"/>
              </w:rPr>
            </w:pPr>
            <w:r>
              <w:rPr>
                <w:sz w:val="18"/>
              </w:rPr>
              <w:t>PD</w:t>
            </w:r>
            <w:r>
              <w:rPr>
                <w:spacing w:val="-1"/>
                <w:sz w:val="18"/>
              </w:rPr>
              <w:t xml:space="preserve"> </w:t>
            </w:r>
            <w:r>
              <w:rPr>
                <w:sz w:val="18"/>
              </w:rPr>
              <w:t>Metering</w:t>
            </w:r>
            <w:r>
              <w:rPr>
                <w:spacing w:val="-1"/>
                <w:sz w:val="18"/>
              </w:rPr>
              <w:t xml:space="preserve"> </w:t>
            </w:r>
            <w:r>
              <w:rPr>
                <w:spacing w:val="-2"/>
                <w:sz w:val="18"/>
              </w:rPr>
              <w:t>Program</w:t>
            </w:r>
          </w:p>
        </w:tc>
        <w:tc>
          <w:tcPr>
            <w:tcW w:w="1393" w:type="dxa"/>
            <w:shd w:val="clear" w:color="auto" w:fill="CCE2ED"/>
          </w:tcPr>
          <w:p w14:paraId="07477575" w14:textId="77777777" w:rsidR="00141B97" w:rsidRDefault="00911D63">
            <w:pPr>
              <w:pStyle w:val="TableParagraph"/>
              <w:spacing w:line="219" w:lineRule="exact"/>
              <w:ind w:right="94"/>
              <w:jc w:val="right"/>
              <w:rPr>
                <w:sz w:val="18"/>
              </w:rPr>
            </w:pPr>
            <w:r>
              <w:rPr>
                <w:spacing w:val="-2"/>
                <w:sz w:val="18"/>
              </w:rPr>
              <w:t>Surface</w:t>
            </w:r>
          </w:p>
          <w:p w14:paraId="5B71B423" w14:textId="77777777" w:rsidR="00141B97" w:rsidRDefault="00911D63">
            <w:pPr>
              <w:pStyle w:val="TableParagraph"/>
              <w:spacing w:before="1" w:line="199" w:lineRule="exact"/>
              <w:ind w:right="94"/>
              <w:jc w:val="right"/>
              <w:rPr>
                <w:sz w:val="18"/>
              </w:rPr>
            </w:pPr>
            <w:r>
              <w:rPr>
                <w:spacing w:val="-2"/>
                <w:sz w:val="18"/>
              </w:rPr>
              <w:t>diversions</w:t>
            </w:r>
          </w:p>
        </w:tc>
        <w:tc>
          <w:tcPr>
            <w:tcW w:w="1860" w:type="dxa"/>
            <w:shd w:val="clear" w:color="auto" w:fill="CCE2ED"/>
          </w:tcPr>
          <w:p w14:paraId="34188A1E" w14:textId="77777777" w:rsidR="00141B97" w:rsidRDefault="00911D63">
            <w:pPr>
              <w:pStyle w:val="TableParagraph"/>
              <w:spacing w:before="110"/>
              <w:ind w:right="95"/>
              <w:jc w:val="right"/>
              <w:rPr>
                <w:sz w:val="18"/>
              </w:rPr>
            </w:pPr>
            <w:r>
              <w:rPr>
                <w:spacing w:val="-2"/>
                <w:sz w:val="18"/>
              </w:rPr>
              <w:t>Renewals</w:t>
            </w:r>
          </w:p>
        </w:tc>
        <w:tc>
          <w:tcPr>
            <w:tcW w:w="1199" w:type="dxa"/>
            <w:shd w:val="clear" w:color="auto" w:fill="CCE2ED"/>
          </w:tcPr>
          <w:p w14:paraId="2C776DDA" w14:textId="77777777" w:rsidR="00141B97" w:rsidRDefault="00911D63">
            <w:pPr>
              <w:pStyle w:val="TableParagraph"/>
              <w:spacing w:before="110"/>
              <w:ind w:right="96"/>
              <w:jc w:val="right"/>
              <w:rPr>
                <w:sz w:val="18"/>
              </w:rPr>
            </w:pPr>
            <w:r>
              <w:rPr>
                <w:spacing w:val="-4"/>
                <w:sz w:val="18"/>
              </w:rPr>
              <w:t>0.42</w:t>
            </w:r>
          </w:p>
        </w:tc>
        <w:tc>
          <w:tcPr>
            <w:tcW w:w="1198" w:type="dxa"/>
            <w:shd w:val="clear" w:color="auto" w:fill="CCE2ED"/>
          </w:tcPr>
          <w:p w14:paraId="7CBE0C93" w14:textId="77777777" w:rsidR="00141B97" w:rsidRDefault="00911D63">
            <w:pPr>
              <w:pStyle w:val="TableParagraph"/>
              <w:spacing w:before="110"/>
              <w:ind w:right="95"/>
              <w:jc w:val="right"/>
              <w:rPr>
                <w:sz w:val="18"/>
              </w:rPr>
            </w:pPr>
            <w:r>
              <w:rPr>
                <w:spacing w:val="-4"/>
                <w:sz w:val="18"/>
              </w:rPr>
              <w:t>0.42</w:t>
            </w:r>
          </w:p>
        </w:tc>
        <w:tc>
          <w:tcPr>
            <w:tcW w:w="1198" w:type="dxa"/>
            <w:shd w:val="clear" w:color="auto" w:fill="CCE2ED"/>
          </w:tcPr>
          <w:p w14:paraId="21F54F14" w14:textId="77777777" w:rsidR="00141B97" w:rsidRDefault="00911D63">
            <w:pPr>
              <w:pStyle w:val="TableParagraph"/>
              <w:spacing w:before="110"/>
              <w:ind w:right="96"/>
              <w:jc w:val="right"/>
              <w:rPr>
                <w:sz w:val="18"/>
              </w:rPr>
            </w:pPr>
            <w:r>
              <w:rPr>
                <w:spacing w:val="-4"/>
                <w:sz w:val="18"/>
              </w:rPr>
              <w:t>0.42</w:t>
            </w:r>
          </w:p>
        </w:tc>
        <w:tc>
          <w:tcPr>
            <w:tcW w:w="1199" w:type="dxa"/>
            <w:shd w:val="clear" w:color="auto" w:fill="CCE2ED"/>
          </w:tcPr>
          <w:p w14:paraId="5AE7667D" w14:textId="77777777" w:rsidR="00141B97" w:rsidRDefault="00911D63">
            <w:pPr>
              <w:pStyle w:val="TableParagraph"/>
              <w:spacing w:before="110"/>
              <w:ind w:right="97"/>
              <w:jc w:val="right"/>
              <w:rPr>
                <w:sz w:val="18"/>
              </w:rPr>
            </w:pPr>
            <w:r>
              <w:rPr>
                <w:spacing w:val="-4"/>
                <w:sz w:val="18"/>
              </w:rPr>
              <w:t>0.42</w:t>
            </w:r>
          </w:p>
        </w:tc>
        <w:tc>
          <w:tcPr>
            <w:tcW w:w="1198" w:type="dxa"/>
            <w:shd w:val="clear" w:color="auto" w:fill="CCE2ED"/>
          </w:tcPr>
          <w:p w14:paraId="7A53BA66" w14:textId="77777777" w:rsidR="00141B97" w:rsidRDefault="00911D63">
            <w:pPr>
              <w:pStyle w:val="TableParagraph"/>
              <w:spacing w:before="110"/>
              <w:ind w:right="96"/>
              <w:jc w:val="right"/>
              <w:rPr>
                <w:sz w:val="18"/>
              </w:rPr>
            </w:pPr>
            <w:r>
              <w:rPr>
                <w:spacing w:val="-4"/>
                <w:sz w:val="18"/>
              </w:rPr>
              <w:t>0.42</w:t>
            </w:r>
          </w:p>
        </w:tc>
        <w:tc>
          <w:tcPr>
            <w:tcW w:w="1013" w:type="dxa"/>
            <w:tcBorders>
              <w:right w:val="nil"/>
            </w:tcBorders>
            <w:shd w:val="clear" w:color="auto" w:fill="CCE2ED"/>
          </w:tcPr>
          <w:p w14:paraId="7922D7F5" w14:textId="77777777" w:rsidR="00141B97" w:rsidRDefault="00911D63">
            <w:pPr>
              <w:pStyle w:val="TableParagraph"/>
              <w:spacing w:before="110"/>
              <w:ind w:right="86"/>
              <w:jc w:val="right"/>
              <w:rPr>
                <w:sz w:val="18"/>
              </w:rPr>
            </w:pPr>
            <w:r>
              <w:rPr>
                <w:spacing w:val="-4"/>
                <w:sz w:val="18"/>
              </w:rPr>
              <w:t>2.11</w:t>
            </w:r>
          </w:p>
        </w:tc>
      </w:tr>
      <w:tr w:rsidR="00141B97" w14:paraId="08E19CFD" w14:textId="77777777">
        <w:trPr>
          <w:trHeight w:val="439"/>
          <w:tblCellSpacing w:w="9" w:type="dxa"/>
        </w:trPr>
        <w:tc>
          <w:tcPr>
            <w:tcW w:w="5408" w:type="dxa"/>
            <w:tcBorders>
              <w:left w:val="nil"/>
            </w:tcBorders>
            <w:shd w:val="clear" w:color="auto" w:fill="CCE2ED"/>
          </w:tcPr>
          <w:p w14:paraId="1A391A74" w14:textId="77777777" w:rsidR="00141B97" w:rsidRDefault="00911D63">
            <w:pPr>
              <w:pStyle w:val="TableParagraph"/>
              <w:spacing w:before="110"/>
              <w:ind w:left="88"/>
              <w:rPr>
                <w:sz w:val="18"/>
              </w:rPr>
            </w:pPr>
            <w:r>
              <w:rPr>
                <w:sz w:val="18"/>
              </w:rPr>
              <w:t>PD</w:t>
            </w:r>
            <w:r>
              <w:rPr>
                <w:spacing w:val="-1"/>
                <w:sz w:val="18"/>
              </w:rPr>
              <w:t xml:space="preserve"> </w:t>
            </w:r>
            <w:r>
              <w:rPr>
                <w:sz w:val="18"/>
              </w:rPr>
              <w:t>‐ Air valve</w:t>
            </w:r>
            <w:r>
              <w:rPr>
                <w:spacing w:val="-1"/>
                <w:sz w:val="18"/>
              </w:rPr>
              <w:t xml:space="preserve"> </w:t>
            </w:r>
            <w:r>
              <w:rPr>
                <w:spacing w:val="-2"/>
                <w:sz w:val="18"/>
              </w:rPr>
              <w:t>Replacement</w:t>
            </w:r>
          </w:p>
        </w:tc>
        <w:tc>
          <w:tcPr>
            <w:tcW w:w="1393" w:type="dxa"/>
            <w:shd w:val="clear" w:color="auto" w:fill="CCE2ED"/>
          </w:tcPr>
          <w:p w14:paraId="1BB894BB" w14:textId="77777777" w:rsidR="00141B97" w:rsidRDefault="00911D63">
            <w:pPr>
              <w:pStyle w:val="TableParagraph"/>
              <w:spacing w:line="220" w:lineRule="atLeast"/>
              <w:ind w:left="545" w:firstLine="187"/>
              <w:rPr>
                <w:sz w:val="18"/>
              </w:rPr>
            </w:pPr>
            <w:r>
              <w:rPr>
                <w:spacing w:val="-2"/>
                <w:sz w:val="18"/>
              </w:rPr>
              <w:t>Surface</w:t>
            </w:r>
            <w:r>
              <w:rPr>
                <w:sz w:val="18"/>
              </w:rPr>
              <w:t xml:space="preserve"> </w:t>
            </w:r>
            <w:r>
              <w:rPr>
                <w:spacing w:val="-2"/>
                <w:sz w:val="18"/>
              </w:rPr>
              <w:t>diversions</w:t>
            </w:r>
          </w:p>
        </w:tc>
        <w:tc>
          <w:tcPr>
            <w:tcW w:w="1860" w:type="dxa"/>
            <w:shd w:val="clear" w:color="auto" w:fill="CCE2ED"/>
          </w:tcPr>
          <w:p w14:paraId="132E9371"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7CDB10CB" w14:textId="77777777" w:rsidR="00141B97" w:rsidRDefault="00911D63">
            <w:pPr>
              <w:pStyle w:val="TableParagraph"/>
              <w:spacing w:before="110"/>
              <w:ind w:right="96"/>
              <w:jc w:val="right"/>
              <w:rPr>
                <w:sz w:val="18"/>
              </w:rPr>
            </w:pPr>
            <w:r>
              <w:rPr>
                <w:spacing w:val="-4"/>
                <w:sz w:val="18"/>
              </w:rPr>
              <w:t>0.05</w:t>
            </w:r>
          </w:p>
        </w:tc>
        <w:tc>
          <w:tcPr>
            <w:tcW w:w="1198" w:type="dxa"/>
            <w:shd w:val="clear" w:color="auto" w:fill="CCE2ED"/>
          </w:tcPr>
          <w:p w14:paraId="7B20252B" w14:textId="77777777" w:rsidR="00141B97" w:rsidRDefault="00911D63">
            <w:pPr>
              <w:pStyle w:val="TableParagraph"/>
              <w:spacing w:before="110"/>
              <w:ind w:right="95"/>
              <w:jc w:val="right"/>
              <w:rPr>
                <w:sz w:val="18"/>
              </w:rPr>
            </w:pPr>
            <w:r>
              <w:rPr>
                <w:spacing w:val="-4"/>
                <w:sz w:val="18"/>
              </w:rPr>
              <w:t>0.05</w:t>
            </w:r>
          </w:p>
        </w:tc>
        <w:tc>
          <w:tcPr>
            <w:tcW w:w="1198" w:type="dxa"/>
            <w:shd w:val="clear" w:color="auto" w:fill="CCE2ED"/>
          </w:tcPr>
          <w:p w14:paraId="1B3ED257" w14:textId="77777777" w:rsidR="00141B97" w:rsidRDefault="00911D63">
            <w:pPr>
              <w:pStyle w:val="TableParagraph"/>
              <w:spacing w:before="110"/>
              <w:ind w:right="96"/>
              <w:jc w:val="right"/>
              <w:rPr>
                <w:sz w:val="18"/>
              </w:rPr>
            </w:pPr>
            <w:r>
              <w:rPr>
                <w:spacing w:val="-4"/>
                <w:sz w:val="18"/>
              </w:rPr>
              <w:t>0.05</w:t>
            </w:r>
          </w:p>
        </w:tc>
        <w:tc>
          <w:tcPr>
            <w:tcW w:w="1199" w:type="dxa"/>
            <w:shd w:val="clear" w:color="auto" w:fill="CCE2ED"/>
          </w:tcPr>
          <w:p w14:paraId="541826DA" w14:textId="77777777" w:rsidR="00141B97" w:rsidRDefault="00911D63">
            <w:pPr>
              <w:pStyle w:val="TableParagraph"/>
              <w:spacing w:before="110"/>
              <w:ind w:right="97"/>
              <w:jc w:val="right"/>
              <w:rPr>
                <w:sz w:val="18"/>
              </w:rPr>
            </w:pPr>
            <w:r>
              <w:rPr>
                <w:spacing w:val="-4"/>
                <w:sz w:val="18"/>
              </w:rPr>
              <w:t>0.05</w:t>
            </w:r>
          </w:p>
        </w:tc>
        <w:tc>
          <w:tcPr>
            <w:tcW w:w="1198" w:type="dxa"/>
            <w:shd w:val="clear" w:color="auto" w:fill="CCE2ED"/>
          </w:tcPr>
          <w:p w14:paraId="3D974B78" w14:textId="77777777" w:rsidR="00141B97" w:rsidRDefault="00911D63">
            <w:pPr>
              <w:pStyle w:val="TableParagraph"/>
              <w:spacing w:before="110"/>
              <w:ind w:right="96"/>
              <w:jc w:val="right"/>
              <w:rPr>
                <w:sz w:val="18"/>
              </w:rPr>
            </w:pPr>
            <w:r>
              <w:rPr>
                <w:spacing w:val="-4"/>
                <w:sz w:val="18"/>
              </w:rPr>
              <w:t>0.05</w:t>
            </w:r>
          </w:p>
        </w:tc>
        <w:tc>
          <w:tcPr>
            <w:tcW w:w="1013" w:type="dxa"/>
            <w:tcBorders>
              <w:right w:val="nil"/>
            </w:tcBorders>
            <w:shd w:val="clear" w:color="auto" w:fill="CCE2ED"/>
          </w:tcPr>
          <w:p w14:paraId="7036FF00" w14:textId="77777777" w:rsidR="00141B97" w:rsidRDefault="00911D63">
            <w:pPr>
              <w:pStyle w:val="TableParagraph"/>
              <w:spacing w:before="110"/>
              <w:ind w:right="86"/>
              <w:jc w:val="right"/>
              <w:rPr>
                <w:sz w:val="18"/>
              </w:rPr>
            </w:pPr>
            <w:r>
              <w:rPr>
                <w:spacing w:val="-4"/>
                <w:sz w:val="18"/>
              </w:rPr>
              <w:t>0.27</w:t>
            </w:r>
          </w:p>
        </w:tc>
      </w:tr>
      <w:tr w:rsidR="00141B97" w14:paraId="0AB4CC04" w14:textId="77777777">
        <w:trPr>
          <w:trHeight w:val="218"/>
          <w:tblCellSpacing w:w="9" w:type="dxa"/>
        </w:trPr>
        <w:tc>
          <w:tcPr>
            <w:tcW w:w="5408" w:type="dxa"/>
            <w:tcBorders>
              <w:left w:val="nil"/>
            </w:tcBorders>
            <w:shd w:val="clear" w:color="auto" w:fill="CCE2ED"/>
          </w:tcPr>
          <w:p w14:paraId="52503E4C" w14:textId="77777777" w:rsidR="00141B97" w:rsidRDefault="00911D63">
            <w:pPr>
              <w:pStyle w:val="TableParagraph"/>
              <w:spacing w:line="198" w:lineRule="exact"/>
              <w:ind w:left="88"/>
              <w:rPr>
                <w:sz w:val="18"/>
              </w:rPr>
            </w:pPr>
            <w:r>
              <w:rPr>
                <w:sz w:val="18"/>
              </w:rPr>
              <w:t>RC</w:t>
            </w:r>
            <w:r>
              <w:rPr>
                <w:spacing w:val="-2"/>
                <w:sz w:val="18"/>
              </w:rPr>
              <w:t xml:space="preserve"> </w:t>
            </w:r>
            <w:r>
              <w:rPr>
                <w:sz w:val="18"/>
              </w:rPr>
              <w:t>D&amp;S</w:t>
            </w:r>
            <w:r>
              <w:rPr>
                <w:spacing w:val="-1"/>
                <w:sz w:val="18"/>
              </w:rPr>
              <w:t xml:space="preserve"> </w:t>
            </w:r>
            <w:r>
              <w:rPr>
                <w:sz w:val="18"/>
              </w:rPr>
              <w:t>Metering</w:t>
            </w:r>
            <w:r>
              <w:rPr>
                <w:spacing w:val="-1"/>
                <w:sz w:val="18"/>
              </w:rPr>
              <w:t xml:space="preserve"> </w:t>
            </w:r>
            <w:r>
              <w:rPr>
                <w:spacing w:val="-2"/>
                <w:sz w:val="18"/>
              </w:rPr>
              <w:t>Program</w:t>
            </w:r>
          </w:p>
        </w:tc>
        <w:tc>
          <w:tcPr>
            <w:tcW w:w="1393" w:type="dxa"/>
            <w:shd w:val="clear" w:color="auto" w:fill="CCE2ED"/>
          </w:tcPr>
          <w:p w14:paraId="6B72BFC6" w14:textId="77777777" w:rsidR="00141B97" w:rsidRDefault="00911D63">
            <w:pPr>
              <w:pStyle w:val="TableParagraph"/>
              <w:spacing w:line="198" w:lineRule="exact"/>
              <w:ind w:right="95"/>
              <w:jc w:val="right"/>
              <w:rPr>
                <w:sz w:val="18"/>
              </w:rPr>
            </w:pPr>
            <w:r>
              <w:rPr>
                <w:spacing w:val="-2"/>
                <w:sz w:val="18"/>
              </w:rPr>
              <w:t>Irrigation</w:t>
            </w:r>
          </w:p>
        </w:tc>
        <w:tc>
          <w:tcPr>
            <w:tcW w:w="1860" w:type="dxa"/>
            <w:shd w:val="clear" w:color="auto" w:fill="CCE2ED"/>
          </w:tcPr>
          <w:p w14:paraId="2C340ACA" w14:textId="77777777" w:rsidR="00141B97" w:rsidRDefault="00911D63">
            <w:pPr>
              <w:pStyle w:val="TableParagraph"/>
              <w:spacing w:line="198" w:lineRule="exact"/>
              <w:ind w:right="95"/>
              <w:jc w:val="right"/>
              <w:rPr>
                <w:sz w:val="18"/>
              </w:rPr>
            </w:pPr>
            <w:r>
              <w:rPr>
                <w:spacing w:val="-2"/>
                <w:sz w:val="18"/>
              </w:rPr>
              <w:t>Renewals</w:t>
            </w:r>
          </w:p>
        </w:tc>
        <w:tc>
          <w:tcPr>
            <w:tcW w:w="1199" w:type="dxa"/>
            <w:shd w:val="clear" w:color="auto" w:fill="CCE2ED"/>
          </w:tcPr>
          <w:p w14:paraId="638EA499" w14:textId="77777777" w:rsidR="00141B97" w:rsidRDefault="00911D63">
            <w:pPr>
              <w:pStyle w:val="TableParagraph"/>
              <w:spacing w:line="198" w:lineRule="exact"/>
              <w:ind w:right="96"/>
              <w:jc w:val="right"/>
              <w:rPr>
                <w:sz w:val="18"/>
              </w:rPr>
            </w:pPr>
            <w:r>
              <w:rPr>
                <w:spacing w:val="-4"/>
                <w:sz w:val="18"/>
              </w:rPr>
              <w:t>0.01</w:t>
            </w:r>
          </w:p>
        </w:tc>
        <w:tc>
          <w:tcPr>
            <w:tcW w:w="1198" w:type="dxa"/>
            <w:shd w:val="clear" w:color="auto" w:fill="CCE2ED"/>
          </w:tcPr>
          <w:p w14:paraId="724D6AC7" w14:textId="77777777" w:rsidR="00141B97" w:rsidRDefault="00911D63">
            <w:pPr>
              <w:pStyle w:val="TableParagraph"/>
              <w:spacing w:line="198" w:lineRule="exact"/>
              <w:ind w:right="95"/>
              <w:jc w:val="right"/>
              <w:rPr>
                <w:sz w:val="18"/>
              </w:rPr>
            </w:pPr>
            <w:r>
              <w:rPr>
                <w:spacing w:val="-4"/>
                <w:sz w:val="18"/>
              </w:rPr>
              <w:t>0.01</w:t>
            </w:r>
          </w:p>
        </w:tc>
        <w:tc>
          <w:tcPr>
            <w:tcW w:w="1198" w:type="dxa"/>
            <w:shd w:val="clear" w:color="auto" w:fill="CCE2ED"/>
          </w:tcPr>
          <w:p w14:paraId="1F065566" w14:textId="77777777" w:rsidR="00141B97" w:rsidRDefault="00911D63">
            <w:pPr>
              <w:pStyle w:val="TableParagraph"/>
              <w:spacing w:line="198" w:lineRule="exact"/>
              <w:ind w:right="96"/>
              <w:jc w:val="right"/>
              <w:rPr>
                <w:sz w:val="18"/>
              </w:rPr>
            </w:pPr>
            <w:r>
              <w:rPr>
                <w:spacing w:val="-4"/>
                <w:sz w:val="18"/>
              </w:rPr>
              <w:t>0.01</w:t>
            </w:r>
          </w:p>
        </w:tc>
        <w:tc>
          <w:tcPr>
            <w:tcW w:w="1199" w:type="dxa"/>
            <w:shd w:val="clear" w:color="auto" w:fill="CCE2ED"/>
          </w:tcPr>
          <w:p w14:paraId="5106DC55" w14:textId="77777777" w:rsidR="00141B97" w:rsidRDefault="00911D63">
            <w:pPr>
              <w:pStyle w:val="TableParagraph"/>
              <w:spacing w:line="198" w:lineRule="exact"/>
              <w:ind w:right="97"/>
              <w:jc w:val="right"/>
              <w:rPr>
                <w:sz w:val="18"/>
              </w:rPr>
            </w:pPr>
            <w:r>
              <w:rPr>
                <w:spacing w:val="-4"/>
                <w:sz w:val="18"/>
              </w:rPr>
              <w:t>0.01</w:t>
            </w:r>
          </w:p>
        </w:tc>
        <w:tc>
          <w:tcPr>
            <w:tcW w:w="1198" w:type="dxa"/>
            <w:shd w:val="clear" w:color="auto" w:fill="CCE2ED"/>
          </w:tcPr>
          <w:p w14:paraId="0F3F7E27" w14:textId="77777777" w:rsidR="00141B97" w:rsidRDefault="00911D63">
            <w:pPr>
              <w:pStyle w:val="TableParagraph"/>
              <w:spacing w:line="198" w:lineRule="exact"/>
              <w:ind w:right="96"/>
              <w:jc w:val="right"/>
              <w:rPr>
                <w:sz w:val="18"/>
              </w:rPr>
            </w:pPr>
            <w:r>
              <w:rPr>
                <w:spacing w:val="-4"/>
                <w:sz w:val="18"/>
              </w:rPr>
              <w:t>0.01</w:t>
            </w:r>
          </w:p>
        </w:tc>
        <w:tc>
          <w:tcPr>
            <w:tcW w:w="1013" w:type="dxa"/>
            <w:tcBorders>
              <w:right w:val="nil"/>
            </w:tcBorders>
            <w:shd w:val="clear" w:color="auto" w:fill="CCE2ED"/>
          </w:tcPr>
          <w:p w14:paraId="11D74668" w14:textId="77777777" w:rsidR="00141B97" w:rsidRDefault="00911D63">
            <w:pPr>
              <w:pStyle w:val="TableParagraph"/>
              <w:spacing w:line="198" w:lineRule="exact"/>
              <w:ind w:right="86"/>
              <w:jc w:val="right"/>
              <w:rPr>
                <w:sz w:val="18"/>
              </w:rPr>
            </w:pPr>
            <w:r>
              <w:rPr>
                <w:spacing w:val="-4"/>
                <w:sz w:val="18"/>
              </w:rPr>
              <w:t>0.04</w:t>
            </w:r>
          </w:p>
        </w:tc>
      </w:tr>
      <w:tr w:rsidR="00141B97" w14:paraId="7C914409" w14:textId="77777777">
        <w:trPr>
          <w:trHeight w:val="220"/>
          <w:tblCellSpacing w:w="9" w:type="dxa"/>
        </w:trPr>
        <w:tc>
          <w:tcPr>
            <w:tcW w:w="5408" w:type="dxa"/>
            <w:tcBorders>
              <w:left w:val="nil"/>
            </w:tcBorders>
            <w:shd w:val="clear" w:color="auto" w:fill="CCE2ED"/>
          </w:tcPr>
          <w:p w14:paraId="55036CD3" w14:textId="77777777" w:rsidR="00141B97" w:rsidRDefault="00911D63">
            <w:pPr>
              <w:pStyle w:val="TableParagraph"/>
              <w:spacing w:before="1" w:line="199" w:lineRule="exact"/>
              <w:ind w:left="88"/>
              <w:rPr>
                <w:sz w:val="18"/>
              </w:rPr>
            </w:pPr>
            <w:r>
              <w:rPr>
                <w:sz w:val="18"/>
              </w:rPr>
              <w:t>RC</w:t>
            </w:r>
            <w:r>
              <w:rPr>
                <w:spacing w:val="-2"/>
                <w:sz w:val="18"/>
              </w:rPr>
              <w:t xml:space="preserve"> </w:t>
            </w:r>
            <w:r>
              <w:rPr>
                <w:sz w:val="18"/>
              </w:rPr>
              <w:t>Irrigation</w:t>
            </w:r>
            <w:r>
              <w:rPr>
                <w:spacing w:val="-1"/>
                <w:sz w:val="18"/>
              </w:rPr>
              <w:t xml:space="preserve"> </w:t>
            </w:r>
            <w:r>
              <w:rPr>
                <w:sz w:val="18"/>
              </w:rPr>
              <w:t>Meter</w:t>
            </w:r>
            <w:r>
              <w:rPr>
                <w:spacing w:val="-1"/>
                <w:sz w:val="18"/>
              </w:rPr>
              <w:t xml:space="preserve"> </w:t>
            </w:r>
            <w:r>
              <w:rPr>
                <w:spacing w:val="-2"/>
                <w:sz w:val="18"/>
              </w:rPr>
              <w:t>Replacement</w:t>
            </w:r>
          </w:p>
        </w:tc>
        <w:tc>
          <w:tcPr>
            <w:tcW w:w="1393" w:type="dxa"/>
            <w:shd w:val="clear" w:color="auto" w:fill="CCE2ED"/>
          </w:tcPr>
          <w:p w14:paraId="7F72BD67"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6FD9280E"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78E282DD" w14:textId="77777777" w:rsidR="00141B97" w:rsidRDefault="00911D63">
            <w:pPr>
              <w:pStyle w:val="TableParagraph"/>
              <w:spacing w:before="1" w:line="199" w:lineRule="exact"/>
              <w:ind w:right="96"/>
              <w:jc w:val="right"/>
              <w:rPr>
                <w:sz w:val="18"/>
              </w:rPr>
            </w:pPr>
            <w:r>
              <w:rPr>
                <w:spacing w:val="-4"/>
                <w:sz w:val="18"/>
              </w:rPr>
              <w:t>0.21</w:t>
            </w:r>
          </w:p>
        </w:tc>
        <w:tc>
          <w:tcPr>
            <w:tcW w:w="1198" w:type="dxa"/>
            <w:shd w:val="clear" w:color="auto" w:fill="CCE2ED"/>
          </w:tcPr>
          <w:p w14:paraId="24C35A23" w14:textId="77777777" w:rsidR="00141B97" w:rsidRDefault="00911D63">
            <w:pPr>
              <w:pStyle w:val="TableParagraph"/>
              <w:spacing w:before="1" w:line="199" w:lineRule="exact"/>
              <w:ind w:right="95"/>
              <w:jc w:val="right"/>
              <w:rPr>
                <w:sz w:val="18"/>
              </w:rPr>
            </w:pPr>
            <w:r>
              <w:rPr>
                <w:spacing w:val="-4"/>
                <w:sz w:val="18"/>
              </w:rPr>
              <w:t>0.21</w:t>
            </w:r>
          </w:p>
        </w:tc>
        <w:tc>
          <w:tcPr>
            <w:tcW w:w="1198" w:type="dxa"/>
            <w:shd w:val="clear" w:color="auto" w:fill="CCE2ED"/>
          </w:tcPr>
          <w:p w14:paraId="7565C24F" w14:textId="77777777" w:rsidR="00141B97" w:rsidRDefault="00911D63">
            <w:pPr>
              <w:pStyle w:val="TableParagraph"/>
              <w:spacing w:before="1" w:line="199" w:lineRule="exact"/>
              <w:ind w:right="96"/>
              <w:jc w:val="right"/>
              <w:rPr>
                <w:sz w:val="18"/>
              </w:rPr>
            </w:pPr>
            <w:r>
              <w:rPr>
                <w:spacing w:val="-4"/>
                <w:sz w:val="18"/>
              </w:rPr>
              <w:t>0.21</w:t>
            </w:r>
          </w:p>
        </w:tc>
        <w:tc>
          <w:tcPr>
            <w:tcW w:w="1199" w:type="dxa"/>
            <w:shd w:val="clear" w:color="auto" w:fill="CCE2ED"/>
          </w:tcPr>
          <w:p w14:paraId="5BDC497B" w14:textId="77777777" w:rsidR="00141B97" w:rsidRDefault="00911D63">
            <w:pPr>
              <w:pStyle w:val="TableParagraph"/>
              <w:spacing w:before="1" w:line="199" w:lineRule="exact"/>
              <w:ind w:right="97"/>
              <w:jc w:val="right"/>
              <w:rPr>
                <w:sz w:val="18"/>
              </w:rPr>
            </w:pPr>
            <w:r>
              <w:rPr>
                <w:spacing w:val="-4"/>
                <w:sz w:val="18"/>
              </w:rPr>
              <w:t>0.21</w:t>
            </w:r>
          </w:p>
        </w:tc>
        <w:tc>
          <w:tcPr>
            <w:tcW w:w="1198" w:type="dxa"/>
            <w:shd w:val="clear" w:color="auto" w:fill="CCE2ED"/>
          </w:tcPr>
          <w:p w14:paraId="2CFBEC65" w14:textId="77777777" w:rsidR="00141B97" w:rsidRDefault="00911D63">
            <w:pPr>
              <w:pStyle w:val="TableParagraph"/>
              <w:spacing w:before="1" w:line="199" w:lineRule="exact"/>
              <w:ind w:right="96"/>
              <w:jc w:val="right"/>
              <w:rPr>
                <w:sz w:val="18"/>
              </w:rPr>
            </w:pPr>
            <w:r>
              <w:rPr>
                <w:spacing w:val="-4"/>
                <w:sz w:val="18"/>
              </w:rPr>
              <w:t>0.21</w:t>
            </w:r>
          </w:p>
        </w:tc>
        <w:tc>
          <w:tcPr>
            <w:tcW w:w="1013" w:type="dxa"/>
            <w:tcBorders>
              <w:right w:val="nil"/>
            </w:tcBorders>
            <w:shd w:val="clear" w:color="auto" w:fill="CCE2ED"/>
          </w:tcPr>
          <w:p w14:paraId="57A8AA11" w14:textId="77777777" w:rsidR="00141B97" w:rsidRDefault="00911D63">
            <w:pPr>
              <w:pStyle w:val="TableParagraph"/>
              <w:spacing w:before="1" w:line="199" w:lineRule="exact"/>
              <w:ind w:right="86"/>
              <w:jc w:val="right"/>
              <w:rPr>
                <w:sz w:val="18"/>
              </w:rPr>
            </w:pPr>
            <w:r>
              <w:rPr>
                <w:spacing w:val="-4"/>
                <w:sz w:val="18"/>
              </w:rPr>
              <w:t>1.06</w:t>
            </w:r>
          </w:p>
        </w:tc>
      </w:tr>
      <w:tr w:rsidR="00141B97" w14:paraId="6B9C35B2" w14:textId="77777777">
        <w:trPr>
          <w:trHeight w:val="439"/>
          <w:tblCellSpacing w:w="9" w:type="dxa"/>
        </w:trPr>
        <w:tc>
          <w:tcPr>
            <w:tcW w:w="5408" w:type="dxa"/>
            <w:tcBorders>
              <w:left w:val="nil"/>
            </w:tcBorders>
            <w:shd w:val="clear" w:color="auto" w:fill="CCE2ED"/>
          </w:tcPr>
          <w:p w14:paraId="6BEC02C1" w14:textId="77777777" w:rsidR="00141B97" w:rsidRDefault="00911D63">
            <w:pPr>
              <w:pStyle w:val="TableParagraph"/>
              <w:spacing w:before="110"/>
              <w:ind w:left="88"/>
              <w:rPr>
                <w:sz w:val="18"/>
              </w:rPr>
            </w:pPr>
            <w:r>
              <w:rPr>
                <w:sz w:val="18"/>
              </w:rPr>
              <w:t>RC</w:t>
            </w:r>
            <w:r>
              <w:rPr>
                <w:spacing w:val="-5"/>
                <w:sz w:val="18"/>
              </w:rPr>
              <w:t xml:space="preserve"> </w:t>
            </w:r>
            <w:r>
              <w:rPr>
                <w:sz w:val="18"/>
              </w:rPr>
              <w:t>‐</w:t>
            </w:r>
            <w:r>
              <w:rPr>
                <w:spacing w:val="-3"/>
                <w:sz w:val="18"/>
              </w:rPr>
              <w:t xml:space="preserve"> </w:t>
            </w:r>
            <w:r>
              <w:rPr>
                <w:sz w:val="18"/>
              </w:rPr>
              <w:t>Channel</w:t>
            </w:r>
            <w:r>
              <w:rPr>
                <w:spacing w:val="-3"/>
                <w:sz w:val="18"/>
              </w:rPr>
              <w:t xml:space="preserve"> </w:t>
            </w:r>
            <w:r>
              <w:rPr>
                <w:sz w:val="18"/>
              </w:rPr>
              <w:t>Reserve</w:t>
            </w:r>
            <w:r>
              <w:rPr>
                <w:spacing w:val="-4"/>
                <w:sz w:val="18"/>
              </w:rPr>
              <w:t xml:space="preserve"> </w:t>
            </w:r>
            <w:r>
              <w:rPr>
                <w:sz w:val="18"/>
              </w:rPr>
              <w:t>Reinstatement</w:t>
            </w:r>
            <w:r>
              <w:rPr>
                <w:spacing w:val="-3"/>
                <w:sz w:val="18"/>
              </w:rPr>
              <w:t xml:space="preserve"> </w:t>
            </w:r>
            <w:r>
              <w:rPr>
                <w:sz w:val="18"/>
              </w:rPr>
              <w:t>(selected</w:t>
            </w:r>
            <w:r>
              <w:rPr>
                <w:spacing w:val="-4"/>
                <w:sz w:val="18"/>
              </w:rPr>
              <w:t xml:space="preserve"> </w:t>
            </w:r>
            <w:r>
              <w:rPr>
                <w:spacing w:val="-2"/>
                <w:sz w:val="18"/>
              </w:rPr>
              <w:t>sections)</w:t>
            </w:r>
          </w:p>
        </w:tc>
        <w:tc>
          <w:tcPr>
            <w:tcW w:w="1393" w:type="dxa"/>
            <w:shd w:val="clear" w:color="auto" w:fill="CCE2ED"/>
          </w:tcPr>
          <w:p w14:paraId="58329F1F"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290F4F97"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4B6D19D7" w14:textId="77777777" w:rsidR="00141B97" w:rsidRDefault="00911D63">
            <w:pPr>
              <w:pStyle w:val="TableParagraph"/>
              <w:spacing w:before="110"/>
              <w:ind w:right="96"/>
              <w:jc w:val="right"/>
              <w:rPr>
                <w:sz w:val="18"/>
              </w:rPr>
            </w:pPr>
            <w:r>
              <w:rPr>
                <w:spacing w:val="-4"/>
                <w:sz w:val="18"/>
              </w:rPr>
              <w:t>0.00</w:t>
            </w:r>
          </w:p>
        </w:tc>
        <w:tc>
          <w:tcPr>
            <w:tcW w:w="1198" w:type="dxa"/>
            <w:shd w:val="clear" w:color="auto" w:fill="CCE2ED"/>
          </w:tcPr>
          <w:p w14:paraId="3385199C" w14:textId="77777777" w:rsidR="00141B97" w:rsidRDefault="00911D63">
            <w:pPr>
              <w:pStyle w:val="TableParagraph"/>
              <w:spacing w:before="110"/>
              <w:ind w:right="95"/>
              <w:jc w:val="right"/>
              <w:rPr>
                <w:sz w:val="18"/>
              </w:rPr>
            </w:pPr>
            <w:r>
              <w:rPr>
                <w:spacing w:val="-4"/>
                <w:sz w:val="18"/>
              </w:rPr>
              <w:t>0.00</w:t>
            </w:r>
          </w:p>
        </w:tc>
        <w:tc>
          <w:tcPr>
            <w:tcW w:w="1198" w:type="dxa"/>
            <w:shd w:val="clear" w:color="auto" w:fill="CCE2ED"/>
          </w:tcPr>
          <w:p w14:paraId="14343A9C" w14:textId="77777777" w:rsidR="00141B97" w:rsidRDefault="00911D63">
            <w:pPr>
              <w:pStyle w:val="TableParagraph"/>
              <w:spacing w:before="110"/>
              <w:ind w:right="96"/>
              <w:jc w:val="right"/>
              <w:rPr>
                <w:sz w:val="18"/>
              </w:rPr>
            </w:pPr>
            <w:r>
              <w:rPr>
                <w:spacing w:val="-4"/>
                <w:sz w:val="18"/>
              </w:rPr>
              <w:t>0.50</w:t>
            </w:r>
          </w:p>
        </w:tc>
        <w:tc>
          <w:tcPr>
            <w:tcW w:w="1199" w:type="dxa"/>
            <w:shd w:val="clear" w:color="auto" w:fill="CCE2ED"/>
          </w:tcPr>
          <w:p w14:paraId="32B92A58"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049A4A3D"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2E1EB897" w14:textId="77777777" w:rsidR="00141B97" w:rsidRDefault="00911D63">
            <w:pPr>
              <w:pStyle w:val="TableParagraph"/>
              <w:spacing w:before="110"/>
              <w:ind w:right="86"/>
              <w:jc w:val="right"/>
              <w:rPr>
                <w:sz w:val="18"/>
              </w:rPr>
            </w:pPr>
            <w:r>
              <w:rPr>
                <w:spacing w:val="-4"/>
                <w:sz w:val="18"/>
              </w:rPr>
              <w:t>0.50</w:t>
            </w:r>
          </w:p>
        </w:tc>
      </w:tr>
      <w:tr w:rsidR="00141B97" w14:paraId="6C3A5832" w14:textId="77777777">
        <w:trPr>
          <w:trHeight w:val="220"/>
          <w:tblCellSpacing w:w="9" w:type="dxa"/>
        </w:trPr>
        <w:tc>
          <w:tcPr>
            <w:tcW w:w="5408" w:type="dxa"/>
            <w:tcBorders>
              <w:left w:val="nil"/>
            </w:tcBorders>
            <w:shd w:val="clear" w:color="auto" w:fill="CCE2ED"/>
          </w:tcPr>
          <w:p w14:paraId="62C4DA62" w14:textId="77777777" w:rsidR="00141B97" w:rsidRDefault="00911D63">
            <w:pPr>
              <w:pStyle w:val="TableParagraph"/>
              <w:spacing w:line="199" w:lineRule="exact"/>
              <w:ind w:left="88"/>
              <w:rPr>
                <w:sz w:val="18"/>
              </w:rPr>
            </w:pPr>
            <w:r>
              <w:rPr>
                <w:sz w:val="18"/>
              </w:rPr>
              <w:t>RC</w:t>
            </w:r>
            <w:r>
              <w:rPr>
                <w:spacing w:val="-5"/>
                <w:sz w:val="18"/>
              </w:rPr>
              <w:t xml:space="preserve"> </w:t>
            </w:r>
            <w:r>
              <w:rPr>
                <w:sz w:val="18"/>
              </w:rPr>
              <w:t>‐</w:t>
            </w:r>
            <w:r>
              <w:rPr>
                <w:spacing w:val="-2"/>
                <w:sz w:val="18"/>
              </w:rPr>
              <w:t xml:space="preserve"> </w:t>
            </w:r>
            <w:r>
              <w:rPr>
                <w:sz w:val="18"/>
              </w:rPr>
              <w:t>Mains</w:t>
            </w:r>
            <w:r>
              <w:rPr>
                <w:spacing w:val="-2"/>
                <w:sz w:val="18"/>
              </w:rPr>
              <w:t xml:space="preserve"> </w:t>
            </w:r>
            <w:r>
              <w:rPr>
                <w:sz w:val="18"/>
              </w:rPr>
              <w:t>Replacement</w:t>
            </w:r>
            <w:r>
              <w:rPr>
                <w:spacing w:val="-2"/>
                <w:sz w:val="18"/>
              </w:rPr>
              <w:t xml:space="preserve"> </w:t>
            </w:r>
            <w:r>
              <w:rPr>
                <w:sz w:val="18"/>
              </w:rPr>
              <w:t>and</w:t>
            </w:r>
            <w:r>
              <w:rPr>
                <w:spacing w:val="-2"/>
                <w:sz w:val="18"/>
              </w:rPr>
              <w:t xml:space="preserve"> </w:t>
            </w:r>
            <w:r>
              <w:rPr>
                <w:sz w:val="18"/>
              </w:rPr>
              <w:t>upgrade</w:t>
            </w:r>
            <w:r>
              <w:rPr>
                <w:spacing w:val="-2"/>
                <w:sz w:val="18"/>
              </w:rPr>
              <w:t xml:space="preserve"> </w:t>
            </w:r>
            <w:r>
              <w:rPr>
                <w:sz w:val="18"/>
              </w:rPr>
              <w:t>Tight</w:t>
            </w:r>
            <w:r>
              <w:rPr>
                <w:spacing w:val="-3"/>
                <w:sz w:val="18"/>
              </w:rPr>
              <w:t xml:space="preserve"> </w:t>
            </w:r>
            <w:r>
              <w:rPr>
                <w:sz w:val="18"/>
              </w:rPr>
              <w:t>Spurs</w:t>
            </w:r>
            <w:r>
              <w:rPr>
                <w:spacing w:val="-3"/>
                <w:sz w:val="18"/>
              </w:rPr>
              <w:t xml:space="preserve"> </w:t>
            </w:r>
            <w:r>
              <w:rPr>
                <w:spacing w:val="-2"/>
                <w:sz w:val="18"/>
              </w:rPr>
              <w:t>Program</w:t>
            </w:r>
          </w:p>
        </w:tc>
        <w:tc>
          <w:tcPr>
            <w:tcW w:w="1393" w:type="dxa"/>
            <w:shd w:val="clear" w:color="auto" w:fill="CCE2ED"/>
          </w:tcPr>
          <w:p w14:paraId="34FAD105"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15318A7B"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289A461C" w14:textId="77777777" w:rsidR="00141B97" w:rsidRDefault="00911D63">
            <w:pPr>
              <w:pStyle w:val="TableParagraph"/>
              <w:spacing w:line="199" w:lineRule="exact"/>
              <w:ind w:right="96"/>
              <w:jc w:val="right"/>
              <w:rPr>
                <w:sz w:val="18"/>
              </w:rPr>
            </w:pPr>
            <w:r>
              <w:rPr>
                <w:spacing w:val="-4"/>
                <w:sz w:val="18"/>
              </w:rPr>
              <w:t>0.13</w:t>
            </w:r>
          </w:p>
        </w:tc>
        <w:tc>
          <w:tcPr>
            <w:tcW w:w="1198" w:type="dxa"/>
            <w:shd w:val="clear" w:color="auto" w:fill="CCE2ED"/>
          </w:tcPr>
          <w:p w14:paraId="41806734" w14:textId="77777777" w:rsidR="00141B97" w:rsidRDefault="00911D63">
            <w:pPr>
              <w:pStyle w:val="TableParagraph"/>
              <w:spacing w:line="199" w:lineRule="exact"/>
              <w:ind w:right="95"/>
              <w:jc w:val="right"/>
              <w:rPr>
                <w:sz w:val="18"/>
              </w:rPr>
            </w:pPr>
            <w:r>
              <w:rPr>
                <w:spacing w:val="-4"/>
                <w:sz w:val="18"/>
              </w:rPr>
              <w:t>0.18</w:t>
            </w:r>
          </w:p>
        </w:tc>
        <w:tc>
          <w:tcPr>
            <w:tcW w:w="1198" w:type="dxa"/>
            <w:shd w:val="clear" w:color="auto" w:fill="CCE2ED"/>
          </w:tcPr>
          <w:p w14:paraId="76041738" w14:textId="77777777" w:rsidR="00141B97" w:rsidRDefault="00911D63">
            <w:pPr>
              <w:pStyle w:val="TableParagraph"/>
              <w:spacing w:line="199" w:lineRule="exact"/>
              <w:ind w:right="96"/>
              <w:jc w:val="right"/>
              <w:rPr>
                <w:sz w:val="18"/>
              </w:rPr>
            </w:pPr>
            <w:r>
              <w:rPr>
                <w:spacing w:val="-4"/>
                <w:sz w:val="18"/>
              </w:rPr>
              <w:t>0.18</w:t>
            </w:r>
          </w:p>
        </w:tc>
        <w:tc>
          <w:tcPr>
            <w:tcW w:w="1199" w:type="dxa"/>
            <w:shd w:val="clear" w:color="auto" w:fill="CCE2ED"/>
          </w:tcPr>
          <w:p w14:paraId="15FBBDAD" w14:textId="77777777" w:rsidR="00141B97" w:rsidRDefault="00911D63">
            <w:pPr>
              <w:pStyle w:val="TableParagraph"/>
              <w:spacing w:line="199" w:lineRule="exact"/>
              <w:ind w:right="97"/>
              <w:jc w:val="right"/>
              <w:rPr>
                <w:sz w:val="18"/>
              </w:rPr>
            </w:pPr>
            <w:r>
              <w:rPr>
                <w:spacing w:val="-4"/>
                <w:sz w:val="18"/>
              </w:rPr>
              <w:t>0.17</w:t>
            </w:r>
          </w:p>
        </w:tc>
        <w:tc>
          <w:tcPr>
            <w:tcW w:w="1198" w:type="dxa"/>
            <w:shd w:val="clear" w:color="auto" w:fill="CCE2ED"/>
          </w:tcPr>
          <w:p w14:paraId="75A852E9" w14:textId="77777777" w:rsidR="00141B97" w:rsidRDefault="00911D63">
            <w:pPr>
              <w:pStyle w:val="TableParagraph"/>
              <w:spacing w:line="199" w:lineRule="exact"/>
              <w:ind w:right="96"/>
              <w:jc w:val="right"/>
              <w:rPr>
                <w:sz w:val="18"/>
              </w:rPr>
            </w:pPr>
            <w:r>
              <w:rPr>
                <w:spacing w:val="-4"/>
                <w:sz w:val="18"/>
              </w:rPr>
              <w:t>0.10</w:t>
            </w:r>
          </w:p>
        </w:tc>
        <w:tc>
          <w:tcPr>
            <w:tcW w:w="1013" w:type="dxa"/>
            <w:tcBorders>
              <w:right w:val="nil"/>
            </w:tcBorders>
            <w:shd w:val="clear" w:color="auto" w:fill="CCE2ED"/>
          </w:tcPr>
          <w:p w14:paraId="5581B645" w14:textId="77777777" w:rsidR="00141B97" w:rsidRDefault="00911D63">
            <w:pPr>
              <w:pStyle w:val="TableParagraph"/>
              <w:spacing w:line="199" w:lineRule="exact"/>
              <w:ind w:right="86"/>
              <w:jc w:val="right"/>
              <w:rPr>
                <w:sz w:val="18"/>
              </w:rPr>
            </w:pPr>
            <w:r>
              <w:rPr>
                <w:spacing w:val="-4"/>
                <w:sz w:val="18"/>
              </w:rPr>
              <w:t>0.76</w:t>
            </w:r>
          </w:p>
        </w:tc>
      </w:tr>
      <w:tr w:rsidR="00141B97" w14:paraId="2A200B11" w14:textId="77777777">
        <w:trPr>
          <w:trHeight w:val="439"/>
          <w:tblCellSpacing w:w="9" w:type="dxa"/>
        </w:trPr>
        <w:tc>
          <w:tcPr>
            <w:tcW w:w="5408" w:type="dxa"/>
            <w:tcBorders>
              <w:left w:val="nil"/>
            </w:tcBorders>
            <w:shd w:val="clear" w:color="auto" w:fill="CCE2ED"/>
          </w:tcPr>
          <w:p w14:paraId="15565BEB" w14:textId="77777777" w:rsidR="00141B97" w:rsidRDefault="00911D63">
            <w:pPr>
              <w:pStyle w:val="TableParagraph"/>
              <w:spacing w:before="110"/>
              <w:ind w:left="88"/>
              <w:rPr>
                <w:sz w:val="18"/>
              </w:rPr>
            </w:pPr>
            <w:r>
              <w:rPr>
                <w:sz w:val="18"/>
              </w:rPr>
              <w:t>RC</w:t>
            </w:r>
            <w:r>
              <w:rPr>
                <w:spacing w:val="-5"/>
                <w:sz w:val="18"/>
              </w:rPr>
              <w:t xml:space="preserve"> </w:t>
            </w:r>
            <w:r>
              <w:rPr>
                <w:sz w:val="18"/>
              </w:rPr>
              <w:t>‐</w:t>
            </w:r>
            <w:r>
              <w:rPr>
                <w:spacing w:val="-2"/>
                <w:sz w:val="18"/>
              </w:rPr>
              <w:t xml:space="preserve"> </w:t>
            </w:r>
            <w:r>
              <w:rPr>
                <w:sz w:val="18"/>
              </w:rPr>
              <w:t>Isolation,</w:t>
            </w:r>
            <w:r>
              <w:rPr>
                <w:spacing w:val="-2"/>
                <w:sz w:val="18"/>
              </w:rPr>
              <w:t xml:space="preserve"> </w:t>
            </w:r>
            <w:r>
              <w:rPr>
                <w:sz w:val="18"/>
              </w:rPr>
              <w:t>Scour</w:t>
            </w:r>
            <w:r>
              <w:rPr>
                <w:spacing w:val="-2"/>
                <w:sz w:val="18"/>
              </w:rPr>
              <w:t xml:space="preserve"> </w:t>
            </w:r>
            <w:r>
              <w:rPr>
                <w:sz w:val="18"/>
              </w:rPr>
              <w:t>&amp;</w:t>
            </w:r>
            <w:r>
              <w:rPr>
                <w:spacing w:val="-2"/>
                <w:sz w:val="18"/>
              </w:rPr>
              <w:t xml:space="preserve"> </w:t>
            </w:r>
            <w:r>
              <w:rPr>
                <w:sz w:val="18"/>
              </w:rPr>
              <w:t>Air</w:t>
            </w:r>
            <w:r>
              <w:rPr>
                <w:spacing w:val="-2"/>
                <w:sz w:val="18"/>
              </w:rPr>
              <w:t xml:space="preserve"> </w:t>
            </w:r>
            <w:r>
              <w:rPr>
                <w:sz w:val="18"/>
              </w:rPr>
              <w:t>Valve</w:t>
            </w:r>
            <w:r>
              <w:rPr>
                <w:spacing w:val="-2"/>
                <w:sz w:val="18"/>
              </w:rPr>
              <w:t xml:space="preserve"> Program</w:t>
            </w:r>
          </w:p>
        </w:tc>
        <w:tc>
          <w:tcPr>
            <w:tcW w:w="1393" w:type="dxa"/>
            <w:shd w:val="clear" w:color="auto" w:fill="CCE2ED"/>
          </w:tcPr>
          <w:p w14:paraId="2D1113A0"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032A9F05"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152337A5" w14:textId="77777777" w:rsidR="00141B97" w:rsidRDefault="00911D63">
            <w:pPr>
              <w:pStyle w:val="TableParagraph"/>
              <w:spacing w:before="110"/>
              <w:ind w:right="96"/>
              <w:jc w:val="right"/>
              <w:rPr>
                <w:sz w:val="18"/>
              </w:rPr>
            </w:pPr>
            <w:r>
              <w:rPr>
                <w:spacing w:val="-4"/>
                <w:sz w:val="18"/>
              </w:rPr>
              <w:t>0.17</w:t>
            </w:r>
          </w:p>
        </w:tc>
        <w:tc>
          <w:tcPr>
            <w:tcW w:w="1198" w:type="dxa"/>
            <w:shd w:val="clear" w:color="auto" w:fill="CCE2ED"/>
          </w:tcPr>
          <w:p w14:paraId="031A6A99" w14:textId="77777777" w:rsidR="00141B97" w:rsidRDefault="00911D63">
            <w:pPr>
              <w:pStyle w:val="TableParagraph"/>
              <w:spacing w:before="110"/>
              <w:ind w:right="95"/>
              <w:jc w:val="right"/>
              <w:rPr>
                <w:sz w:val="18"/>
              </w:rPr>
            </w:pPr>
            <w:r>
              <w:rPr>
                <w:spacing w:val="-4"/>
                <w:sz w:val="18"/>
              </w:rPr>
              <w:t>0.06</w:t>
            </w:r>
          </w:p>
        </w:tc>
        <w:tc>
          <w:tcPr>
            <w:tcW w:w="1198" w:type="dxa"/>
            <w:shd w:val="clear" w:color="auto" w:fill="CCE2ED"/>
          </w:tcPr>
          <w:p w14:paraId="277815CC"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44E8FF04" w14:textId="77777777" w:rsidR="00141B97" w:rsidRDefault="00911D63">
            <w:pPr>
              <w:pStyle w:val="TableParagraph"/>
              <w:spacing w:before="110"/>
              <w:ind w:right="97"/>
              <w:jc w:val="right"/>
              <w:rPr>
                <w:sz w:val="18"/>
              </w:rPr>
            </w:pPr>
            <w:r>
              <w:rPr>
                <w:spacing w:val="-4"/>
                <w:sz w:val="18"/>
              </w:rPr>
              <w:t>0.17</w:t>
            </w:r>
          </w:p>
        </w:tc>
        <w:tc>
          <w:tcPr>
            <w:tcW w:w="1198" w:type="dxa"/>
            <w:shd w:val="clear" w:color="auto" w:fill="CCE2ED"/>
          </w:tcPr>
          <w:p w14:paraId="398C0702" w14:textId="77777777" w:rsidR="00141B97" w:rsidRDefault="00911D63">
            <w:pPr>
              <w:pStyle w:val="TableParagraph"/>
              <w:spacing w:before="110"/>
              <w:ind w:right="96"/>
              <w:jc w:val="right"/>
              <w:rPr>
                <w:sz w:val="18"/>
              </w:rPr>
            </w:pPr>
            <w:r>
              <w:rPr>
                <w:spacing w:val="-4"/>
                <w:sz w:val="18"/>
              </w:rPr>
              <w:t>0.04</w:t>
            </w:r>
          </w:p>
        </w:tc>
        <w:tc>
          <w:tcPr>
            <w:tcW w:w="1013" w:type="dxa"/>
            <w:tcBorders>
              <w:right w:val="nil"/>
            </w:tcBorders>
            <w:shd w:val="clear" w:color="auto" w:fill="CCE2ED"/>
          </w:tcPr>
          <w:p w14:paraId="4BF5A74D" w14:textId="77777777" w:rsidR="00141B97" w:rsidRDefault="00911D63">
            <w:pPr>
              <w:pStyle w:val="TableParagraph"/>
              <w:spacing w:before="110"/>
              <w:ind w:right="86"/>
              <w:jc w:val="right"/>
              <w:rPr>
                <w:sz w:val="18"/>
              </w:rPr>
            </w:pPr>
            <w:r>
              <w:rPr>
                <w:spacing w:val="-4"/>
                <w:sz w:val="18"/>
              </w:rPr>
              <w:t>0.43</w:t>
            </w:r>
          </w:p>
        </w:tc>
      </w:tr>
      <w:tr w:rsidR="00141B97" w14:paraId="2C18C206" w14:textId="77777777">
        <w:trPr>
          <w:trHeight w:val="438"/>
          <w:tblCellSpacing w:w="9" w:type="dxa"/>
        </w:trPr>
        <w:tc>
          <w:tcPr>
            <w:tcW w:w="5408" w:type="dxa"/>
            <w:tcBorders>
              <w:left w:val="nil"/>
            </w:tcBorders>
            <w:shd w:val="clear" w:color="auto" w:fill="CCE2ED"/>
          </w:tcPr>
          <w:p w14:paraId="2A5559B4" w14:textId="77777777" w:rsidR="00141B97" w:rsidRDefault="00911D63">
            <w:pPr>
              <w:pStyle w:val="TableParagraph"/>
              <w:spacing w:line="219" w:lineRule="exact"/>
              <w:ind w:left="88"/>
              <w:rPr>
                <w:sz w:val="18"/>
              </w:rPr>
            </w:pPr>
            <w:r>
              <w:rPr>
                <w:sz w:val="18"/>
              </w:rPr>
              <w:t>RC</w:t>
            </w:r>
            <w:r>
              <w:rPr>
                <w:spacing w:val="-5"/>
                <w:sz w:val="18"/>
              </w:rPr>
              <w:t xml:space="preserve"> </w:t>
            </w:r>
            <w:r>
              <w:rPr>
                <w:sz w:val="18"/>
              </w:rPr>
              <w:t>‐</w:t>
            </w:r>
            <w:r>
              <w:rPr>
                <w:spacing w:val="-2"/>
                <w:sz w:val="18"/>
              </w:rPr>
              <w:t xml:space="preserve"> </w:t>
            </w:r>
            <w:r>
              <w:rPr>
                <w:sz w:val="18"/>
              </w:rPr>
              <w:t>Drainage</w:t>
            </w:r>
            <w:r>
              <w:rPr>
                <w:spacing w:val="-2"/>
                <w:sz w:val="18"/>
              </w:rPr>
              <w:t xml:space="preserve"> </w:t>
            </w:r>
            <w:r>
              <w:rPr>
                <w:sz w:val="18"/>
              </w:rPr>
              <w:t>design/</w:t>
            </w:r>
            <w:r>
              <w:rPr>
                <w:spacing w:val="-3"/>
                <w:sz w:val="18"/>
              </w:rPr>
              <w:t xml:space="preserve"> </w:t>
            </w:r>
            <w:r>
              <w:rPr>
                <w:sz w:val="18"/>
              </w:rPr>
              <w:t>Overflow</w:t>
            </w:r>
            <w:r>
              <w:rPr>
                <w:spacing w:val="-2"/>
                <w:sz w:val="18"/>
              </w:rPr>
              <w:t xml:space="preserve"> </w:t>
            </w:r>
            <w:r>
              <w:rPr>
                <w:sz w:val="18"/>
              </w:rPr>
              <w:t>management</w:t>
            </w:r>
            <w:r>
              <w:rPr>
                <w:spacing w:val="-2"/>
                <w:sz w:val="18"/>
              </w:rPr>
              <w:t xml:space="preserve"> </w:t>
            </w:r>
            <w:r>
              <w:rPr>
                <w:sz w:val="18"/>
              </w:rPr>
              <w:t>from</w:t>
            </w:r>
            <w:r>
              <w:rPr>
                <w:spacing w:val="-2"/>
                <w:sz w:val="18"/>
              </w:rPr>
              <w:t xml:space="preserve"> </w:t>
            </w:r>
            <w:r>
              <w:rPr>
                <w:sz w:val="18"/>
              </w:rPr>
              <w:t>the</w:t>
            </w:r>
            <w:r>
              <w:rPr>
                <w:spacing w:val="-3"/>
                <w:sz w:val="18"/>
              </w:rPr>
              <w:t xml:space="preserve"> </w:t>
            </w:r>
            <w:r>
              <w:rPr>
                <w:sz w:val="18"/>
              </w:rPr>
              <w:t>system</w:t>
            </w:r>
            <w:r>
              <w:rPr>
                <w:spacing w:val="-2"/>
                <w:sz w:val="18"/>
              </w:rPr>
              <w:t xml:space="preserve"> </w:t>
            </w:r>
            <w:r>
              <w:rPr>
                <w:sz w:val="18"/>
              </w:rPr>
              <w:t>tank</w:t>
            </w:r>
            <w:r>
              <w:rPr>
                <w:spacing w:val="-2"/>
                <w:sz w:val="18"/>
              </w:rPr>
              <w:t xml:space="preserve"> </w:t>
            </w:r>
            <w:r>
              <w:rPr>
                <w:spacing w:val="-5"/>
                <w:sz w:val="18"/>
              </w:rPr>
              <w:t>for</w:t>
            </w:r>
          </w:p>
          <w:p w14:paraId="275F0FA8" w14:textId="77777777" w:rsidR="00141B97" w:rsidRDefault="00911D63">
            <w:pPr>
              <w:pStyle w:val="TableParagraph"/>
              <w:spacing w:line="199" w:lineRule="exact"/>
              <w:ind w:left="88"/>
              <w:rPr>
                <w:sz w:val="18"/>
              </w:rPr>
            </w:pPr>
            <w:r>
              <w:rPr>
                <w:sz w:val="18"/>
              </w:rPr>
              <w:t>the</w:t>
            </w:r>
            <w:r>
              <w:rPr>
                <w:spacing w:val="-3"/>
                <w:sz w:val="18"/>
              </w:rPr>
              <w:t xml:space="preserve"> </w:t>
            </w:r>
            <w:r>
              <w:rPr>
                <w:spacing w:val="-5"/>
                <w:sz w:val="18"/>
              </w:rPr>
              <w:t>PS</w:t>
            </w:r>
          </w:p>
        </w:tc>
        <w:tc>
          <w:tcPr>
            <w:tcW w:w="1393" w:type="dxa"/>
            <w:shd w:val="clear" w:color="auto" w:fill="CCE2ED"/>
          </w:tcPr>
          <w:p w14:paraId="04E85B87" w14:textId="77777777" w:rsidR="00141B97" w:rsidRDefault="00911D63">
            <w:pPr>
              <w:pStyle w:val="TableParagraph"/>
              <w:spacing w:before="110"/>
              <w:ind w:right="95"/>
              <w:jc w:val="right"/>
              <w:rPr>
                <w:sz w:val="18"/>
              </w:rPr>
            </w:pPr>
            <w:r>
              <w:rPr>
                <w:spacing w:val="-2"/>
                <w:sz w:val="18"/>
              </w:rPr>
              <w:t>Irrigation</w:t>
            </w:r>
          </w:p>
        </w:tc>
        <w:tc>
          <w:tcPr>
            <w:tcW w:w="1860" w:type="dxa"/>
            <w:shd w:val="clear" w:color="auto" w:fill="CCE2ED"/>
          </w:tcPr>
          <w:p w14:paraId="610C060F" w14:textId="77777777" w:rsidR="00141B97" w:rsidRDefault="00911D63">
            <w:pPr>
              <w:pStyle w:val="TableParagraph"/>
              <w:spacing w:line="219" w:lineRule="exact"/>
              <w:ind w:right="94"/>
              <w:jc w:val="right"/>
              <w:rPr>
                <w:sz w:val="18"/>
              </w:rPr>
            </w:pPr>
            <w:r>
              <w:rPr>
                <w:sz w:val="18"/>
              </w:rPr>
              <w:t xml:space="preserve">Improvements </w:t>
            </w:r>
            <w:r>
              <w:rPr>
                <w:spacing w:val="-10"/>
                <w:sz w:val="18"/>
              </w:rPr>
              <w:t>/</w:t>
            </w:r>
          </w:p>
          <w:p w14:paraId="25515A3F" w14:textId="77777777" w:rsidR="00141B97" w:rsidRDefault="00911D63">
            <w:pPr>
              <w:pStyle w:val="TableParagraph"/>
              <w:spacing w:line="199" w:lineRule="exact"/>
              <w:ind w:right="95"/>
              <w:jc w:val="right"/>
              <w:rPr>
                <w:sz w:val="18"/>
              </w:rPr>
            </w:pPr>
            <w:r>
              <w:rPr>
                <w:spacing w:val="-2"/>
                <w:sz w:val="18"/>
              </w:rPr>
              <w:t>Compliance</w:t>
            </w:r>
          </w:p>
        </w:tc>
        <w:tc>
          <w:tcPr>
            <w:tcW w:w="1199" w:type="dxa"/>
            <w:shd w:val="clear" w:color="auto" w:fill="CCE2ED"/>
          </w:tcPr>
          <w:p w14:paraId="3CFFF2D6" w14:textId="77777777" w:rsidR="00141B97" w:rsidRDefault="00911D63">
            <w:pPr>
              <w:pStyle w:val="TableParagraph"/>
              <w:spacing w:before="110"/>
              <w:ind w:right="96"/>
              <w:jc w:val="right"/>
              <w:rPr>
                <w:sz w:val="18"/>
              </w:rPr>
            </w:pPr>
            <w:r>
              <w:rPr>
                <w:spacing w:val="-4"/>
                <w:sz w:val="18"/>
              </w:rPr>
              <w:t>0.01</w:t>
            </w:r>
          </w:p>
        </w:tc>
        <w:tc>
          <w:tcPr>
            <w:tcW w:w="1198" w:type="dxa"/>
            <w:shd w:val="clear" w:color="auto" w:fill="CCE2ED"/>
          </w:tcPr>
          <w:p w14:paraId="4213CE50" w14:textId="77777777" w:rsidR="00141B97" w:rsidRDefault="00911D63">
            <w:pPr>
              <w:pStyle w:val="TableParagraph"/>
              <w:spacing w:before="110"/>
              <w:ind w:right="95"/>
              <w:jc w:val="right"/>
              <w:rPr>
                <w:sz w:val="18"/>
              </w:rPr>
            </w:pPr>
            <w:r>
              <w:rPr>
                <w:spacing w:val="-4"/>
                <w:sz w:val="18"/>
              </w:rPr>
              <w:t>0.30</w:t>
            </w:r>
          </w:p>
        </w:tc>
        <w:tc>
          <w:tcPr>
            <w:tcW w:w="1198" w:type="dxa"/>
            <w:shd w:val="clear" w:color="auto" w:fill="CCE2ED"/>
          </w:tcPr>
          <w:p w14:paraId="0CDEB359" w14:textId="77777777" w:rsidR="00141B97" w:rsidRDefault="00911D63">
            <w:pPr>
              <w:pStyle w:val="TableParagraph"/>
              <w:spacing w:before="110"/>
              <w:ind w:right="96"/>
              <w:jc w:val="right"/>
              <w:rPr>
                <w:sz w:val="18"/>
              </w:rPr>
            </w:pPr>
            <w:r>
              <w:rPr>
                <w:spacing w:val="-4"/>
                <w:sz w:val="18"/>
              </w:rPr>
              <w:t>0.00</w:t>
            </w:r>
          </w:p>
        </w:tc>
        <w:tc>
          <w:tcPr>
            <w:tcW w:w="1199" w:type="dxa"/>
            <w:shd w:val="clear" w:color="auto" w:fill="CCE2ED"/>
          </w:tcPr>
          <w:p w14:paraId="56932077" w14:textId="77777777" w:rsidR="00141B97" w:rsidRDefault="00911D63">
            <w:pPr>
              <w:pStyle w:val="TableParagraph"/>
              <w:spacing w:before="110"/>
              <w:ind w:right="97"/>
              <w:jc w:val="right"/>
              <w:rPr>
                <w:sz w:val="18"/>
              </w:rPr>
            </w:pPr>
            <w:r>
              <w:rPr>
                <w:spacing w:val="-4"/>
                <w:sz w:val="18"/>
              </w:rPr>
              <w:t>0.00</w:t>
            </w:r>
          </w:p>
        </w:tc>
        <w:tc>
          <w:tcPr>
            <w:tcW w:w="1198" w:type="dxa"/>
            <w:shd w:val="clear" w:color="auto" w:fill="CCE2ED"/>
          </w:tcPr>
          <w:p w14:paraId="65516BD7" w14:textId="77777777" w:rsidR="00141B97" w:rsidRDefault="00911D63">
            <w:pPr>
              <w:pStyle w:val="TableParagraph"/>
              <w:spacing w:before="110"/>
              <w:ind w:right="96"/>
              <w:jc w:val="right"/>
              <w:rPr>
                <w:sz w:val="18"/>
              </w:rPr>
            </w:pPr>
            <w:r>
              <w:rPr>
                <w:spacing w:val="-4"/>
                <w:sz w:val="18"/>
              </w:rPr>
              <w:t>0.00</w:t>
            </w:r>
          </w:p>
        </w:tc>
        <w:tc>
          <w:tcPr>
            <w:tcW w:w="1013" w:type="dxa"/>
            <w:tcBorders>
              <w:right w:val="nil"/>
            </w:tcBorders>
            <w:shd w:val="clear" w:color="auto" w:fill="CCE2ED"/>
          </w:tcPr>
          <w:p w14:paraId="7FA3058C" w14:textId="77777777" w:rsidR="00141B97" w:rsidRDefault="00911D63">
            <w:pPr>
              <w:pStyle w:val="TableParagraph"/>
              <w:spacing w:before="110"/>
              <w:ind w:right="86"/>
              <w:jc w:val="right"/>
              <w:rPr>
                <w:sz w:val="18"/>
              </w:rPr>
            </w:pPr>
            <w:r>
              <w:rPr>
                <w:spacing w:val="-4"/>
                <w:sz w:val="18"/>
              </w:rPr>
              <w:t>0.30</w:t>
            </w:r>
          </w:p>
        </w:tc>
      </w:tr>
      <w:tr w:rsidR="00141B97" w14:paraId="77CDE128" w14:textId="77777777">
        <w:trPr>
          <w:trHeight w:val="439"/>
          <w:tblCellSpacing w:w="9" w:type="dxa"/>
        </w:trPr>
        <w:tc>
          <w:tcPr>
            <w:tcW w:w="5408" w:type="dxa"/>
            <w:tcBorders>
              <w:left w:val="nil"/>
            </w:tcBorders>
            <w:shd w:val="clear" w:color="auto" w:fill="CCE2ED"/>
          </w:tcPr>
          <w:p w14:paraId="4CD824E3" w14:textId="77777777" w:rsidR="00141B97" w:rsidRDefault="00911D63">
            <w:pPr>
              <w:pStyle w:val="TableParagraph"/>
              <w:spacing w:before="1"/>
              <w:ind w:left="88"/>
              <w:rPr>
                <w:sz w:val="18"/>
              </w:rPr>
            </w:pPr>
            <w:r>
              <w:rPr>
                <w:sz w:val="18"/>
              </w:rPr>
              <w:t>RC</w:t>
            </w:r>
            <w:r>
              <w:rPr>
                <w:spacing w:val="-2"/>
                <w:sz w:val="18"/>
              </w:rPr>
              <w:t xml:space="preserve"> </w:t>
            </w:r>
            <w:r>
              <w:rPr>
                <w:sz w:val="18"/>
              </w:rPr>
              <w:t>‐</w:t>
            </w:r>
            <w:r>
              <w:rPr>
                <w:spacing w:val="-1"/>
                <w:sz w:val="18"/>
              </w:rPr>
              <w:t xml:space="preserve"> </w:t>
            </w:r>
            <w:r>
              <w:rPr>
                <w:sz w:val="18"/>
              </w:rPr>
              <w:t>RED</w:t>
            </w:r>
            <w:r>
              <w:rPr>
                <w:spacing w:val="-1"/>
                <w:sz w:val="18"/>
              </w:rPr>
              <w:t xml:space="preserve"> </w:t>
            </w:r>
            <w:r>
              <w:rPr>
                <w:sz w:val="18"/>
              </w:rPr>
              <w:t>CLIFFS</w:t>
            </w:r>
            <w:r>
              <w:rPr>
                <w:spacing w:val="-2"/>
                <w:sz w:val="18"/>
              </w:rPr>
              <w:t xml:space="preserve"> </w:t>
            </w:r>
            <w:r>
              <w:rPr>
                <w:sz w:val="18"/>
              </w:rPr>
              <w:t>RURAL</w:t>
            </w:r>
            <w:r>
              <w:rPr>
                <w:spacing w:val="-1"/>
                <w:sz w:val="18"/>
              </w:rPr>
              <w:t xml:space="preserve"> </w:t>
            </w:r>
            <w:r>
              <w:rPr>
                <w:sz w:val="18"/>
              </w:rPr>
              <w:t>(IP)</w:t>
            </w:r>
            <w:r>
              <w:rPr>
                <w:spacing w:val="-2"/>
                <w:sz w:val="18"/>
              </w:rPr>
              <w:t xml:space="preserve"> </w:t>
            </w:r>
            <w:r>
              <w:rPr>
                <w:sz w:val="18"/>
              </w:rPr>
              <w:t>RADIO</w:t>
            </w:r>
            <w:r>
              <w:rPr>
                <w:spacing w:val="-1"/>
                <w:sz w:val="18"/>
              </w:rPr>
              <w:t xml:space="preserve"> </w:t>
            </w:r>
            <w:r>
              <w:rPr>
                <w:sz w:val="18"/>
              </w:rPr>
              <w:t>TELEMETRY</w:t>
            </w:r>
            <w:r>
              <w:rPr>
                <w:spacing w:val="-2"/>
                <w:sz w:val="18"/>
              </w:rPr>
              <w:t xml:space="preserve"> </w:t>
            </w:r>
            <w:r>
              <w:rPr>
                <w:sz w:val="18"/>
              </w:rPr>
              <w:t>NETWORK</w:t>
            </w:r>
            <w:r>
              <w:rPr>
                <w:spacing w:val="-1"/>
                <w:sz w:val="18"/>
              </w:rPr>
              <w:t xml:space="preserve"> </w:t>
            </w:r>
            <w:r>
              <w:rPr>
                <w:sz w:val="18"/>
              </w:rPr>
              <w:t>‐</w:t>
            </w:r>
            <w:r>
              <w:rPr>
                <w:spacing w:val="-1"/>
                <w:sz w:val="18"/>
              </w:rPr>
              <w:t xml:space="preserve"> </w:t>
            </w:r>
            <w:r>
              <w:rPr>
                <w:sz w:val="18"/>
              </w:rPr>
              <w:t>Base</w:t>
            </w:r>
            <w:r>
              <w:rPr>
                <w:spacing w:val="-2"/>
                <w:sz w:val="18"/>
              </w:rPr>
              <w:t xml:space="preserve"> Station</w:t>
            </w:r>
          </w:p>
          <w:p w14:paraId="1B0C07F6" w14:textId="77777777" w:rsidR="00141B97" w:rsidRDefault="00911D63">
            <w:pPr>
              <w:pStyle w:val="TableParagraph"/>
              <w:spacing w:line="199" w:lineRule="exact"/>
              <w:ind w:left="88"/>
              <w:rPr>
                <w:sz w:val="18"/>
              </w:rPr>
            </w:pPr>
            <w:r>
              <w:rPr>
                <w:spacing w:val="-2"/>
                <w:sz w:val="18"/>
              </w:rPr>
              <w:t>Renewal</w:t>
            </w:r>
          </w:p>
        </w:tc>
        <w:tc>
          <w:tcPr>
            <w:tcW w:w="1393" w:type="dxa"/>
            <w:shd w:val="clear" w:color="auto" w:fill="CCE2ED"/>
          </w:tcPr>
          <w:p w14:paraId="379A26A2" w14:textId="77777777" w:rsidR="00141B97" w:rsidRDefault="00911D63">
            <w:pPr>
              <w:pStyle w:val="TableParagraph"/>
              <w:spacing w:before="111"/>
              <w:ind w:right="95"/>
              <w:jc w:val="right"/>
              <w:rPr>
                <w:sz w:val="18"/>
              </w:rPr>
            </w:pPr>
            <w:r>
              <w:rPr>
                <w:spacing w:val="-2"/>
                <w:sz w:val="18"/>
              </w:rPr>
              <w:t>Irrigation</w:t>
            </w:r>
          </w:p>
        </w:tc>
        <w:tc>
          <w:tcPr>
            <w:tcW w:w="1860" w:type="dxa"/>
            <w:shd w:val="clear" w:color="auto" w:fill="CCE2ED"/>
          </w:tcPr>
          <w:p w14:paraId="2FC8EC85" w14:textId="77777777" w:rsidR="00141B97" w:rsidRDefault="00911D63">
            <w:pPr>
              <w:pStyle w:val="TableParagraph"/>
              <w:spacing w:before="111"/>
              <w:ind w:right="95"/>
              <w:jc w:val="right"/>
              <w:rPr>
                <w:sz w:val="18"/>
              </w:rPr>
            </w:pPr>
            <w:r>
              <w:rPr>
                <w:spacing w:val="-2"/>
                <w:sz w:val="18"/>
              </w:rPr>
              <w:t>Renewals</w:t>
            </w:r>
          </w:p>
        </w:tc>
        <w:tc>
          <w:tcPr>
            <w:tcW w:w="1199" w:type="dxa"/>
            <w:shd w:val="clear" w:color="auto" w:fill="CCE2ED"/>
          </w:tcPr>
          <w:p w14:paraId="4A2671B9" w14:textId="77777777" w:rsidR="00141B97" w:rsidRDefault="00911D63">
            <w:pPr>
              <w:pStyle w:val="TableParagraph"/>
              <w:spacing w:before="111"/>
              <w:ind w:right="96"/>
              <w:jc w:val="right"/>
              <w:rPr>
                <w:sz w:val="18"/>
              </w:rPr>
            </w:pPr>
            <w:r>
              <w:rPr>
                <w:spacing w:val="-4"/>
                <w:sz w:val="18"/>
              </w:rPr>
              <w:t>0.46</w:t>
            </w:r>
          </w:p>
        </w:tc>
        <w:tc>
          <w:tcPr>
            <w:tcW w:w="1198" w:type="dxa"/>
            <w:shd w:val="clear" w:color="auto" w:fill="CCE2ED"/>
          </w:tcPr>
          <w:p w14:paraId="3FE5A405" w14:textId="77777777" w:rsidR="00141B97" w:rsidRDefault="00911D63">
            <w:pPr>
              <w:pStyle w:val="TableParagraph"/>
              <w:spacing w:before="111"/>
              <w:ind w:right="95"/>
              <w:jc w:val="right"/>
              <w:rPr>
                <w:sz w:val="18"/>
              </w:rPr>
            </w:pPr>
            <w:r>
              <w:rPr>
                <w:spacing w:val="-4"/>
                <w:sz w:val="18"/>
              </w:rPr>
              <w:t>0.00</w:t>
            </w:r>
          </w:p>
        </w:tc>
        <w:tc>
          <w:tcPr>
            <w:tcW w:w="1198" w:type="dxa"/>
            <w:shd w:val="clear" w:color="auto" w:fill="CCE2ED"/>
          </w:tcPr>
          <w:p w14:paraId="67D2172D" w14:textId="77777777" w:rsidR="00141B97" w:rsidRDefault="00911D63">
            <w:pPr>
              <w:pStyle w:val="TableParagraph"/>
              <w:spacing w:before="111"/>
              <w:ind w:right="96"/>
              <w:jc w:val="right"/>
              <w:rPr>
                <w:sz w:val="18"/>
              </w:rPr>
            </w:pPr>
            <w:r>
              <w:rPr>
                <w:spacing w:val="-4"/>
                <w:sz w:val="18"/>
              </w:rPr>
              <w:t>0.00</w:t>
            </w:r>
          </w:p>
        </w:tc>
        <w:tc>
          <w:tcPr>
            <w:tcW w:w="1199" w:type="dxa"/>
            <w:shd w:val="clear" w:color="auto" w:fill="CCE2ED"/>
          </w:tcPr>
          <w:p w14:paraId="01CFFE81" w14:textId="77777777" w:rsidR="00141B97" w:rsidRDefault="00911D63">
            <w:pPr>
              <w:pStyle w:val="TableParagraph"/>
              <w:spacing w:before="111"/>
              <w:ind w:right="97"/>
              <w:jc w:val="right"/>
              <w:rPr>
                <w:sz w:val="18"/>
              </w:rPr>
            </w:pPr>
            <w:r>
              <w:rPr>
                <w:spacing w:val="-4"/>
                <w:sz w:val="18"/>
              </w:rPr>
              <w:t>0.00</w:t>
            </w:r>
          </w:p>
        </w:tc>
        <w:tc>
          <w:tcPr>
            <w:tcW w:w="1198" w:type="dxa"/>
            <w:shd w:val="clear" w:color="auto" w:fill="CCE2ED"/>
          </w:tcPr>
          <w:p w14:paraId="23635695" w14:textId="77777777" w:rsidR="00141B97" w:rsidRDefault="00911D63">
            <w:pPr>
              <w:pStyle w:val="TableParagraph"/>
              <w:spacing w:before="111"/>
              <w:ind w:right="96"/>
              <w:jc w:val="right"/>
              <w:rPr>
                <w:sz w:val="18"/>
              </w:rPr>
            </w:pPr>
            <w:r>
              <w:rPr>
                <w:spacing w:val="-4"/>
                <w:sz w:val="18"/>
              </w:rPr>
              <w:t>0.00</w:t>
            </w:r>
          </w:p>
        </w:tc>
        <w:tc>
          <w:tcPr>
            <w:tcW w:w="1013" w:type="dxa"/>
            <w:tcBorders>
              <w:right w:val="nil"/>
            </w:tcBorders>
            <w:shd w:val="clear" w:color="auto" w:fill="CCE2ED"/>
          </w:tcPr>
          <w:p w14:paraId="34FD630E" w14:textId="77777777" w:rsidR="00141B97" w:rsidRDefault="00911D63">
            <w:pPr>
              <w:pStyle w:val="TableParagraph"/>
              <w:spacing w:before="111"/>
              <w:ind w:right="86"/>
              <w:jc w:val="right"/>
              <w:rPr>
                <w:sz w:val="18"/>
              </w:rPr>
            </w:pPr>
            <w:r>
              <w:rPr>
                <w:spacing w:val="-4"/>
                <w:sz w:val="18"/>
              </w:rPr>
              <w:t>0.46</w:t>
            </w:r>
          </w:p>
        </w:tc>
      </w:tr>
      <w:tr w:rsidR="00141B97" w14:paraId="3B27AF08" w14:textId="77777777">
        <w:trPr>
          <w:trHeight w:val="439"/>
          <w:tblCellSpacing w:w="9" w:type="dxa"/>
        </w:trPr>
        <w:tc>
          <w:tcPr>
            <w:tcW w:w="5408" w:type="dxa"/>
            <w:tcBorders>
              <w:left w:val="nil"/>
            </w:tcBorders>
            <w:shd w:val="clear" w:color="auto" w:fill="CCE2ED"/>
          </w:tcPr>
          <w:p w14:paraId="3043A9E7" w14:textId="77777777" w:rsidR="00141B97" w:rsidRDefault="00911D63">
            <w:pPr>
              <w:pStyle w:val="TableParagraph"/>
              <w:spacing w:before="111"/>
              <w:ind w:left="88"/>
              <w:rPr>
                <w:sz w:val="18"/>
              </w:rPr>
            </w:pPr>
            <w:r>
              <w:rPr>
                <w:sz w:val="18"/>
              </w:rPr>
              <w:t>RC</w:t>
            </w:r>
            <w:r>
              <w:rPr>
                <w:spacing w:val="-5"/>
                <w:sz w:val="18"/>
              </w:rPr>
              <w:t xml:space="preserve"> </w:t>
            </w:r>
            <w:r>
              <w:rPr>
                <w:sz w:val="18"/>
              </w:rPr>
              <w:t>‐</w:t>
            </w:r>
            <w:r>
              <w:rPr>
                <w:spacing w:val="-1"/>
                <w:sz w:val="18"/>
              </w:rPr>
              <w:t xml:space="preserve"> </w:t>
            </w:r>
            <w:r>
              <w:rPr>
                <w:sz w:val="18"/>
              </w:rPr>
              <w:t>Improve</w:t>
            </w:r>
            <w:r>
              <w:rPr>
                <w:spacing w:val="-1"/>
                <w:sz w:val="18"/>
              </w:rPr>
              <w:t xml:space="preserve"> </w:t>
            </w:r>
            <w:r>
              <w:rPr>
                <w:sz w:val="18"/>
              </w:rPr>
              <w:t>safety</w:t>
            </w:r>
            <w:r>
              <w:rPr>
                <w:spacing w:val="-3"/>
                <w:sz w:val="18"/>
              </w:rPr>
              <w:t xml:space="preserve"> </w:t>
            </w:r>
            <w:r>
              <w:rPr>
                <w:sz w:val="18"/>
              </w:rPr>
              <w:t>and</w:t>
            </w:r>
            <w:r>
              <w:rPr>
                <w:spacing w:val="-1"/>
                <w:sz w:val="18"/>
              </w:rPr>
              <w:t xml:space="preserve"> </w:t>
            </w:r>
            <w:r>
              <w:rPr>
                <w:sz w:val="18"/>
              </w:rPr>
              <w:t>accessibility</w:t>
            </w:r>
            <w:r>
              <w:rPr>
                <w:spacing w:val="-2"/>
                <w:sz w:val="18"/>
              </w:rPr>
              <w:t xml:space="preserve"> </w:t>
            </w:r>
            <w:r>
              <w:rPr>
                <w:sz w:val="18"/>
              </w:rPr>
              <w:t>to</w:t>
            </w:r>
            <w:r>
              <w:rPr>
                <w:spacing w:val="-2"/>
                <w:sz w:val="18"/>
              </w:rPr>
              <w:t xml:space="preserve"> </w:t>
            </w:r>
            <w:r>
              <w:rPr>
                <w:sz w:val="18"/>
              </w:rPr>
              <w:t>the</w:t>
            </w:r>
            <w:r>
              <w:rPr>
                <w:spacing w:val="-2"/>
                <w:sz w:val="18"/>
              </w:rPr>
              <w:t xml:space="preserve"> clusters</w:t>
            </w:r>
          </w:p>
        </w:tc>
        <w:tc>
          <w:tcPr>
            <w:tcW w:w="1393" w:type="dxa"/>
            <w:shd w:val="clear" w:color="auto" w:fill="CCE2ED"/>
          </w:tcPr>
          <w:p w14:paraId="2ED9CBD3" w14:textId="77777777" w:rsidR="00141B97" w:rsidRDefault="00911D63">
            <w:pPr>
              <w:pStyle w:val="TableParagraph"/>
              <w:spacing w:before="111"/>
              <w:ind w:right="95"/>
              <w:jc w:val="right"/>
              <w:rPr>
                <w:sz w:val="18"/>
              </w:rPr>
            </w:pPr>
            <w:r>
              <w:rPr>
                <w:spacing w:val="-2"/>
                <w:sz w:val="18"/>
              </w:rPr>
              <w:t>Irrigation</w:t>
            </w:r>
          </w:p>
        </w:tc>
        <w:tc>
          <w:tcPr>
            <w:tcW w:w="1860" w:type="dxa"/>
            <w:shd w:val="clear" w:color="auto" w:fill="CCE2ED"/>
          </w:tcPr>
          <w:p w14:paraId="746D2D60"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1B729FE8" w14:textId="77777777" w:rsidR="00141B97" w:rsidRDefault="00911D63">
            <w:pPr>
              <w:pStyle w:val="TableParagraph"/>
              <w:spacing w:before="111"/>
              <w:ind w:right="96"/>
              <w:jc w:val="right"/>
              <w:rPr>
                <w:sz w:val="18"/>
              </w:rPr>
            </w:pPr>
            <w:r>
              <w:rPr>
                <w:spacing w:val="-4"/>
                <w:sz w:val="18"/>
              </w:rPr>
              <w:t>0.13</w:t>
            </w:r>
          </w:p>
        </w:tc>
        <w:tc>
          <w:tcPr>
            <w:tcW w:w="1198" w:type="dxa"/>
            <w:shd w:val="clear" w:color="auto" w:fill="CCE2ED"/>
          </w:tcPr>
          <w:p w14:paraId="176D4DA4" w14:textId="77777777" w:rsidR="00141B97" w:rsidRDefault="00911D63">
            <w:pPr>
              <w:pStyle w:val="TableParagraph"/>
              <w:spacing w:before="111"/>
              <w:ind w:right="95"/>
              <w:jc w:val="right"/>
              <w:rPr>
                <w:sz w:val="18"/>
              </w:rPr>
            </w:pPr>
            <w:r>
              <w:rPr>
                <w:spacing w:val="-4"/>
                <w:sz w:val="18"/>
              </w:rPr>
              <w:t>0.00</w:t>
            </w:r>
          </w:p>
        </w:tc>
        <w:tc>
          <w:tcPr>
            <w:tcW w:w="1198" w:type="dxa"/>
            <w:shd w:val="clear" w:color="auto" w:fill="CCE2ED"/>
          </w:tcPr>
          <w:p w14:paraId="5748558F" w14:textId="77777777" w:rsidR="00141B97" w:rsidRDefault="00911D63">
            <w:pPr>
              <w:pStyle w:val="TableParagraph"/>
              <w:spacing w:before="111"/>
              <w:ind w:right="96"/>
              <w:jc w:val="right"/>
              <w:rPr>
                <w:sz w:val="18"/>
              </w:rPr>
            </w:pPr>
            <w:r>
              <w:rPr>
                <w:spacing w:val="-4"/>
                <w:sz w:val="18"/>
              </w:rPr>
              <w:t>0.00</w:t>
            </w:r>
          </w:p>
        </w:tc>
        <w:tc>
          <w:tcPr>
            <w:tcW w:w="1199" w:type="dxa"/>
            <w:shd w:val="clear" w:color="auto" w:fill="CCE2ED"/>
          </w:tcPr>
          <w:p w14:paraId="0D0725A5" w14:textId="77777777" w:rsidR="00141B97" w:rsidRDefault="00911D63">
            <w:pPr>
              <w:pStyle w:val="TableParagraph"/>
              <w:spacing w:before="111"/>
              <w:ind w:right="97"/>
              <w:jc w:val="right"/>
              <w:rPr>
                <w:sz w:val="18"/>
              </w:rPr>
            </w:pPr>
            <w:r>
              <w:rPr>
                <w:spacing w:val="-4"/>
                <w:sz w:val="18"/>
              </w:rPr>
              <w:t>0.00</w:t>
            </w:r>
          </w:p>
        </w:tc>
        <w:tc>
          <w:tcPr>
            <w:tcW w:w="1198" w:type="dxa"/>
            <w:shd w:val="clear" w:color="auto" w:fill="CCE2ED"/>
          </w:tcPr>
          <w:p w14:paraId="663BE47C" w14:textId="77777777" w:rsidR="00141B97" w:rsidRDefault="00911D63">
            <w:pPr>
              <w:pStyle w:val="TableParagraph"/>
              <w:spacing w:before="111"/>
              <w:ind w:right="96"/>
              <w:jc w:val="right"/>
              <w:rPr>
                <w:sz w:val="18"/>
              </w:rPr>
            </w:pPr>
            <w:r>
              <w:rPr>
                <w:spacing w:val="-4"/>
                <w:sz w:val="18"/>
              </w:rPr>
              <w:t>0.00</w:t>
            </w:r>
          </w:p>
        </w:tc>
        <w:tc>
          <w:tcPr>
            <w:tcW w:w="1013" w:type="dxa"/>
            <w:tcBorders>
              <w:right w:val="nil"/>
            </w:tcBorders>
            <w:shd w:val="clear" w:color="auto" w:fill="CCE2ED"/>
          </w:tcPr>
          <w:p w14:paraId="22B95612" w14:textId="77777777" w:rsidR="00141B97" w:rsidRDefault="00911D63">
            <w:pPr>
              <w:pStyle w:val="TableParagraph"/>
              <w:spacing w:before="111"/>
              <w:ind w:right="86"/>
              <w:jc w:val="right"/>
              <w:rPr>
                <w:sz w:val="18"/>
              </w:rPr>
            </w:pPr>
            <w:r>
              <w:rPr>
                <w:spacing w:val="-4"/>
                <w:sz w:val="18"/>
              </w:rPr>
              <w:t>0.13</w:t>
            </w:r>
          </w:p>
        </w:tc>
      </w:tr>
      <w:tr w:rsidR="00141B97" w14:paraId="01717862" w14:textId="77777777">
        <w:trPr>
          <w:trHeight w:val="220"/>
          <w:tblCellSpacing w:w="9" w:type="dxa"/>
        </w:trPr>
        <w:tc>
          <w:tcPr>
            <w:tcW w:w="5408" w:type="dxa"/>
            <w:tcBorders>
              <w:left w:val="nil"/>
            </w:tcBorders>
            <w:shd w:val="clear" w:color="auto" w:fill="CCE2ED"/>
          </w:tcPr>
          <w:p w14:paraId="7C728C1C" w14:textId="77777777" w:rsidR="00141B97" w:rsidRDefault="00911D63">
            <w:pPr>
              <w:pStyle w:val="TableParagraph"/>
              <w:spacing w:line="199" w:lineRule="exact"/>
              <w:ind w:left="88"/>
              <w:rPr>
                <w:sz w:val="18"/>
              </w:rPr>
            </w:pPr>
            <w:r>
              <w:rPr>
                <w:sz w:val="18"/>
              </w:rPr>
              <w:t>ROB</w:t>
            </w:r>
            <w:r>
              <w:rPr>
                <w:spacing w:val="-2"/>
                <w:sz w:val="18"/>
              </w:rPr>
              <w:t xml:space="preserve"> </w:t>
            </w:r>
            <w:r>
              <w:rPr>
                <w:sz w:val="18"/>
              </w:rPr>
              <w:t>D&amp;S</w:t>
            </w:r>
            <w:r>
              <w:rPr>
                <w:spacing w:val="-1"/>
                <w:sz w:val="18"/>
              </w:rPr>
              <w:t xml:space="preserve"> </w:t>
            </w:r>
            <w:r>
              <w:rPr>
                <w:sz w:val="18"/>
              </w:rPr>
              <w:t>Metering</w:t>
            </w:r>
            <w:r>
              <w:rPr>
                <w:spacing w:val="-1"/>
                <w:sz w:val="18"/>
              </w:rPr>
              <w:t xml:space="preserve"> </w:t>
            </w:r>
            <w:r>
              <w:rPr>
                <w:spacing w:val="-2"/>
                <w:sz w:val="18"/>
              </w:rPr>
              <w:t>Program</w:t>
            </w:r>
          </w:p>
        </w:tc>
        <w:tc>
          <w:tcPr>
            <w:tcW w:w="1393" w:type="dxa"/>
            <w:shd w:val="clear" w:color="auto" w:fill="CCE2ED"/>
          </w:tcPr>
          <w:p w14:paraId="517615F1"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3A349D7C"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0F8A7D36" w14:textId="77777777" w:rsidR="00141B97" w:rsidRDefault="00911D63">
            <w:pPr>
              <w:pStyle w:val="TableParagraph"/>
              <w:spacing w:line="199" w:lineRule="exact"/>
              <w:ind w:right="96"/>
              <w:jc w:val="right"/>
              <w:rPr>
                <w:sz w:val="18"/>
              </w:rPr>
            </w:pPr>
            <w:r>
              <w:rPr>
                <w:spacing w:val="-4"/>
                <w:sz w:val="18"/>
              </w:rPr>
              <w:t>0.01</w:t>
            </w:r>
          </w:p>
        </w:tc>
        <w:tc>
          <w:tcPr>
            <w:tcW w:w="1198" w:type="dxa"/>
            <w:shd w:val="clear" w:color="auto" w:fill="CCE2ED"/>
          </w:tcPr>
          <w:p w14:paraId="4EF227F4" w14:textId="77777777" w:rsidR="00141B97" w:rsidRDefault="00911D63">
            <w:pPr>
              <w:pStyle w:val="TableParagraph"/>
              <w:spacing w:line="199" w:lineRule="exact"/>
              <w:ind w:right="95"/>
              <w:jc w:val="right"/>
              <w:rPr>
                <w:sz w:val="18"/>
              </w:rPr>
            </w:pPr>
            <w:r>
              <w:rPr>
                <w:spacing w:val="-4"/>
                <w:sz w:val="18"/>
              </w:rPr>
              <w:t>0.01</w:t>
            </w:r>
          </w:p>
        </w:tc>
        <w:tc>
          <w:tcPr>
            <w:tcW w:w="1198" w:type="dxa"/>
            <w:shd w:val="clear" w:color="auto" w:fill="CCE2ED"/>
          </w:tcPr>
          <w:p w14:paraId="3AF3A358" w14:textId="77777777" w:rsidR="00141B97" w:rsidRDefault="00911D63">
            <w:pPr>
              <w:pStyle w:val="TableParagraph"/>
              <w:spacing w:line="199" w:lineRule="exact"/>
              <w:ind w:right="96"/>
              <w:jc w:val="right"/>
              <w:rPr>
                <w:sz w:val="18"/>
              </w:rPr>
            </w:pPr>
            <w:r>
              <w:rPr>
                <w:spacing w:val="-4"/>
                <w:sz w:val="18"/>
              </w:rPr>
              <w:t>0.01</w:t>
            </w:r>
          </w:p>
        </w:tc>
        <w:tc>
          <w:tcPr>
            <w:tcW w:w="1199" w:type="dxa"/>
            <w:shd w:val="clear" w:color="auto" w:fill="CCE2ED"/>
          </w:tcPr>
          <w:p w14:paraId="2FCE296E" w14:textId="77777777" w:rsidR="00141B97" w:rsidRDefault="00911D63">
            <w:pPr>
              <w:pStyle w:val="TableParagraph"/>
              <w:spacing w:line="199" w:lineRule="exact"/>
              <w:ind w:right="97"/>
              <w:jc w:val="right"/>
              <w:rPr>
                <w:sz w:val="18"/>
              </w:rPr>
            </w:pPr>
            <w:r>
              <w:rPr>
                <w:spacing w:val="-4"/>
                <w:sz w:val="18"/>
              </w:rPr>
              <w:t>0.01</w:t>
            </w:r>
          </w:p>
        </w:tc>
        <w:tc>
          <w:tcPr>
            <w:tcW w:w="1198" w:type="dxa"/>
            <w:shd w:val="clear" w:color="auto" w:fill="CCE2ED"/>
          </w:tcPr>
          <w:p w14:paraId="13183F39" w14:textId="77777777" w:rsidR="00141B97" w:rsidRDefault="00911D63">
            <w:pPr>
              <w:pStyle w:val="TableParagraph"/>
              <w:spacing w:line="199" w:lineRule="exact"/>
              <w:ind w:right="96"/>
              <w:jc w:val="right"/>
              <w:rPr>
                <w:sz w:val="18"/>
              </w:rPr>
            </w:pPr>
            <w:r>
              <w:rPr>
                <w:spacing w:val="-4"/>
                <w:sz w:val="18"/>
              </w:rPr>
              <w:t>0.01</w:t>
            </w:r>
          </w:p>
        </w:tc>
        <w:tc>
          <w:tcPr>
            <w:tcW w:w="1013" w:type="dxa"/>
            <w:tcBorders>
              <w:right w:val="nil"/>
            </w:tcBorders>
            <w:shd w:val="clear" w:color="auto" w:fill="CCE2ED"/>
          </w:tcPr>
          <w:p w14:paraId="243E3484" w14:textId="77777777" w:rsidR="00141B97" w:rsidRDefault="00911D63">
            <w:pPr>
              <w:pStyle w:val="TableParagraph"/>
              <w:spacing w:line="199" w:lineRule="exact"/>
              <w:ind w:right="86"/>
              <w:jc w:val="right"/>
              <w:rPr>
                <w:sz w:val="18"/>
              </w:rPr>
            </w:pPr>
            <w:r>
              <w:rPr>
                <w:spacing w:val="-4"/>
                <w:sz w:val="18"/>
              </w:rPr>
              <w:t>0.04</w:t>
            </w:r>
          </w:p>
        </w:tc>
      </w:tr>
      <w:tr w:rsidR="00141B97" w14:paraId="75F25555" w14:textId="77777777">
        <w:trPr>
          <w:trHeight w:val="220"/>
          <w:tblCellSpacing w:w="9" w:type="dxa"/>
        </w:trPr>
        <w:tc>
          <w:tcPr>
            <w:tcW w:w="5408" w:type="dxa"/>
            <w:tcBorders>
              <w:left w:val="nil"/>
            </w:tcBorders>
            <w:shd w:val="clear" w:color="auto" w:fill="CCE2ED"/>
          </w:tcPr>
          <w:p w14:paraId="79240590" w14:textId="77777777" w:rsidR="00141B97" w:rsidRDefault="00911D63">
            <w:pPr>
              <w:pStyle w:val="TableParagraph"/>
              <w:spacing w:before="1" w:line="199" w:lineRule="exact"/>
              <w:ind w:left="88"/>
              <w:rPr>
                <w:sz w:val="18"/>
              </w:rPr>
            </w:pPr>
            <w:r>
              <w:rPr>
                <w:sz w:val="18"/>
              </w:rPr>
              <w:t>ROB</w:t>
            </w:r>
            <w:r>
              <w:rPr>
                <w:spacing w:val="-3"/>
                <w:sz w:val="18"/>
              </w:rPr>
              <w:t xml:space="preserve"> </w:t>
            </w:r>
            <w:r>
              <w:rPr>
                <w:sz w:val="18"/>
              </w:rPr>
              <w:t>Irrigation</w:t>
            </w:r>
            <w:r>
              <w:rPr>
                <w:spacing w:val="-2"/>
                <w:sz w:val="18"/>
              </w:rPr>
              <w:t xml:space="preserve"> </w:t>
            </w:r>
            <w:r>
              <w:rPr>
                <w:sz w:val="18"/>
              </w:rPr>
              <w:t>Meter</w:t>
            </w:r>
            <w:r>
              <w:rPr>
                <w:spacing w:val="-2"/>
                <w:sz w:val="18"/>
              </w:rPr>
              <w:t xml:space="preserve"> Replacement</w:t>
            </w:r>
          </w:p>
        </w:tc>
        <w:tc>
          <w:tcPr>
            <w:tcW w:w="1393" w:type="dxa"/>
            <w:shd w:val="clear" w:color="auto" w:fill="CCE2ED"/>
          </w:tcPr>
          <w:p w14:paraId="75F66DD4"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09E067D0"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00FB4B8A" w14:textId="77777777" w:rsidR="00141B97" w:rsidRDefault="00911D63">
            <w:pPr>
              <w:pStyle w:val="TableParagraph"/>
              <w:spacing w:before="1" w:line="199" w:lineRule="exact"/>
              <w:ind w:right="96"/>
              <w:jc w:val="right"/>
              <w:rPr>
                <w:sz w:val="18"/>
              </w:rPr>
            </w:pPr>
            <w:r>
              <w:rPr>
                <w:spacing w:val="-4"/>
                <w:sz w:val="18"/>
              </w:rPr>
              <w:t>0.08</w:t>
            </w:r>
          </w:p>
        </w:tc>
        <w:tc>
          <w:tcPr>
            <w:tcW w:w="1198" w:type="dxa"/>
            <w:shd w:val="clear" w:color="auto" w:fill="CCE2ED"/>
          </w:tcPr>
          <w:p w14:paraId="438DB0B8" w14:textId="77777777" w:rsidR="00141B97" w:rsidRDefault="00911D63">
            <w:pPr>
              <w:pStyle w:val="TableParagraph"/>
              <w:spacing w:before="1" w:line="199" w:lineRule="exact"/>
              <w:ind w:right="95"/>
              <w:jc w:val="right"/>
              <w:rPr>
                <w:sz w:val="18"/>
              </w:rPr>
            </w:pPr>
            <w:r>
              <w:rPr>
                <w:spacing w:val="-4"/>
                <w:sz w:val="18"/>
              </w:rPr>
              <w:t>0.08</w:t>
            </w:r>
          </w:p>
        </w:tc>
        <w:tc>
          <w:tcPr>
            <w:tcW w:w="1198" w:type="dxa"/>
            <w:shd w:val="clear" w:color="auto" w:fill="CCE2ED"/>
          </w:tcPr>
          <w:p w14:paraId="2DC1568B" w14:textId="77777777" w:rsidR="00141B97" w:rsidRDefault="00911D63">
            <w:pPr>
              <w:pStyle w:val="TableParagraph"/>
              <w:spacing w:before="1" w:line="199" w:lineRule="exact"/>
              <w:ind w:right="96"/>
              <w:jc w:val="right"/>
              <w:rPr>
                <w:sz w:val="18"/>
              </w:rPr>
            </w:pPr>
            <w:r>
              <w:rPr>
                <w:spacing w:val="-4"/>
                <w:sz w:val="18"/>
              </w:rPr>
              <w:t>0.08</w:t>
            </w:r>
          </w:p>
        </w:tc>
        <w:tc>
          <w:tcPr>
            <w:tcW w:w="1199" w:type="dxa"/>
            <w:shd w:val="clear" w:color="auto" w:fill="CCE2ED"/>
          </w:tcPr>
          <w:p w14:paraId="6D21CD50" w14:textId="77777777" w:rsidR="00141B97" w:rsidRDefault="00911D63">
            <w:pPr>
              <w:pStyle w:val="TableParagraph"/>
              <w:spacing w:before="1" w:line="199" w:lineRule="exact"/>
              <w:ind w:right="97"/>
              <w:jc w:val="right"/>
              <w:rPr>
                <w:sz w:val="18"/>
              </w:rPr>
            </w:pPr>
            <w:r>
              <w:rPr>
                <w:spacing w:val="-4"/>
                <w:sz w:val="18"/>
              </w:rPr>
              <w:t>0.08</w:t>
            </w:r>
          </w:p>
        </w:tc>
        <w:tc>
          <w:tcPr>
            <w:tcW w:w="1198" w:type="dxa"/>
            <w:shd w:val="clear" w:color="auto" w:fill="CCE2ED"/>
          </w:tcPr>
          <w:p w14:paraId="44CE6674" w14:textId="77777777" w:rsidR="00141B97" w:rsidRDefault="00911D63">
            <w:pPr>
              <w:pStyle w:val="TableParagraph"/>
              <w:spacing w:before="1" w:line="199" w:lineRule="exact"/>
              <w:ind w:right="96"/>
              <w:jc w:val="right"/>
              <w:rPr>
                <w:sz w:val="18"/>
              </w:rPr>
            </w:pPr>
            <w:r>
              <w:rPr>
                <w:spacing w:val="-4"/>
                <w:sz w:val="18"/>
              </w:rPr>
              <w:t>0.08</w:t>
            </w:r>
          </w:p>
        </w:tc>
        <w:tc>
          <w:tcPr>
            <w:tcW w:w="1013" w:type="dxa"/>
            <w:tcBorders>
              <w:right w:val="nil"/>
            </w:tcBorders>
            <w:shd w:val="clear" w:color="auto" w:fill="CCE2ED"/>
          </w:tcPr>
          <w:p w14:paraId="3D3D5BAA" w14:textId="77777777" w:rsidR="00141B97" w:rsidRDefault="00911D63">
            <w:pPr>
              <w:pStyle w:val="TableParagraph"/>
              <w:spacing w:before="1" w:line="199" w:lineRule="exact"/>
              <w:ind w:right="86"/>
              <w:jc w:val="right"/>
              <w:rPr>
                <w:sz w:val="18"/>
              </w:rPr>
            </w:pPr>
            <w:r>
              <w:rPr>
                <w:spacing w:val="-4"/>
                <w:sz w:val="18"/>
              </w:rPr>
              <w:t>0.42</w:t>
            </w:r>
          </w:p>
        </w:tc>
      </w:tr>
      <w:tr w:rsidR="00141B97" w14:paraId="0368FF3A" w14:textId="77777777">
        <w:trPr>
          <w:trHeight w:val="220"/>
          <w:tblCellSpacing w:w="9" w:type="dxa"/>
        </w:trPr>
        <w:tc>
          <w:tcPr>
            <w:tcW w:w="5408" w:type="dxa"/>
            <w:tcBorders>
              <w:left w:val="nil"/>
            </w:tcBorders>
            <w:shd w:val="clear" w:color="auto" w:fill="CCE2ED"/>
          </w:tcPr>
          <w:p w14:paraId="6CC09024" w14:textId="77777777" w:rsidR="00141B97" w:rsidRDefault="00911D63">
            <w:pPr>
              <w:pStyle w:val="TableParagraph"/>
              <w:spacing w:line="200" w:lineRule="exact"/>
              <w:ind w:left="88"/>
              <w:rPr>
                <w:sz w:val="18"/>
              </w:rPr>
            </w:pPr>
            <w:r>
              <w:rPr>
                <w:sz w:val="18"/>
              </w:rPr>
              <w:t>ROB</w:t>
            </w:r>
            <w:r>
              <w:rPr>
                <w:spacing w:val="-3"/>
                <w:sz w:val="18"/>
              </w:rPr>
              <w:t xml:space="preserve"> </w:t>
            </w:r>
            <w:r>
              <w:rPr>
                <w:sz w:val="18"/>
              </w:rPr>
              <w:t>‐</w:t>
            </w:r>
            <w:r>
              <w:rPr>
                <w:spacing w:val="-1"/>
                <w:sz w:val="18"/>
              </w:rPr>
              <w:t xml:space="preserve"> </w:t>
            </w:r>
            <w:r>
              <w:rPr>
                <w:sz w:val="18"/>
              </w:rPr>
              <w:t>Control</w:t>
            </w:r>
            <w:r>
              <w:rPr>
                <w:spacing w:val="-2"/>
                <w:sz w:val="18"/>
              </w:rPr>
              <w:t xml:space="preserve"> </w:t>
            </w:r>
            <w:r>
              <w:rPr>
                <w:sz w:val="18"/>
              </w:rPr>
              <w:t>cards</w:t>
            </w:r>
            <w:r>
              <w:rPr>
                <w:spacing w:val="-1"/>
                <w:sz w:val="18"/>
              </w:rPr>
              <w:t xml:space="preserve"> </w:t>
            </w:r>
            <w:r>
              <w:rPr>
                <w:sz w:val="18"/>
              </w:rPr>
              <w:t>for</w:t>
            </w:r>
            <w:r>
              <w:rPr>
                <w:spacing w:val="-2"/>
                <w:sz w:val="18"/>
              </w:rPr>
              <w:t xml:space="preserve"> </w:t>
            </w:r>
            <w:r>
              <w:rPr>
                <w:sz w:val="18"/>
              </w:rPr>
              <w:t>3</w:t>
            </w:r>
            <w:r>
              <w:rPr>
                <w:spacing w:val="-1"/>
                <w:sz w:val="18"/>
              </w:rPr>
              <w:t xml:space="preserve"> </w:t>
            </w:r>
            <w:r>
              <w:rPr>
                <w:sz w:val="18"/>
              </w:rPr>
              <w:t>VSDs</w:t>
            </w:r>
            <w:r>
              <w:rPr>
                <w:spacing w:val="-2"/>
                <w:sz w:val="18"/>
              </w:rPr>
              <w:t xml:space="preserve"> </w:t>
            </w:r>
            <w:r>
              <w:rPr>
                <w:sz w:val="18"/>
              </w:rPr>
              <w:t>(Pumps</w:t>
            </w:r>
            <w:r>
              <w:rPr>
                <w:spacing w:val="-2"/>
                <w:sz w:val="18"/>
              </w:rPr>
              <w:t xml:space="preserve"> </w:t>
            </w:r>
            <w:r>
              <w:rPr>
                <w:sz w:val="18"/>
              </w:rPr>
              <w:t>2,3,</w:t>
            </w:r>
            <w:r>
              <w:rPr>
                <w:spacing w:val="-1"/>
                <w:sz w:val="18"/>
              </w:rPr>
              <w:t xml:space="preserve"> </w:t>
            </w:r>
            <w:r>
              <w:rPr>
                <w:spacing w:val="-5"/>
                <w:sz w:val="18"/>
              </w:rPr>
              <w:t>4)</w:t>
            </w:r>
          </w:p>
        </w:tc>
        <w:tc>
          <w:tcPr>
            <w:tcW w:w="1393" w:type="dxa"/>
            <w:shd w:val="clear" w:color="auto" w:fill="CCE2ED"/>
          </w:tcPr>
          <w:p w14:paraId="3266B56E" w14:textId="77777777" w:rsidR="00141B97" w:rsidRDefault="00911D63">
            <w:pPr>
              <w:pStyle w:val="TableParagraph"/>
              <w:spacing w:line="200" w:lineRule="exact"/>
              <w:ind w:right="95"/>
              <w:jc w:val="right"/>
              <w:rPr>
                <w:sz w:val="18"/>
              </w:rPr>
            </w:pPr>
            <w:r>
              <w:rPr>
                <w:spacing w:val="-2"/>
                <w:sz w:val="18"/>
              </w:rPr>
              <w:t>Irrigation</w:t>
            </w:r>
          </w:p>
        </w:tc>
        <w:tc>
          <w:tcPr>
            <w:tcW w:w="1860" w:type="dxa"/>
            <w:shd w:val="clear" w:color="auto" w:fill="CCE2ED"/>
          </w:tcPr>
          <w:p w14:paraId="294B1CA5" w14:textId="77777777" w:rsidR="00141B97" w:rsidRDefault="00911D63">
            <w:pPr>
              <w:pStyle w:val="TableParagraph"/>
              <w:spacing w:line="200" w:lineRule="exact"/>
              <w:ind w:right="95"/>
              <w:jc w:val="right"/>
              <w:rPr>
                <w:sz w:val="18"/>
              </w:rPr>
            </w:pPr>
            <w:r>
              <w:rPr>
                <w:spacing w:val="-2"/>
                <w:sz w:val="18"/>
              </w:rPr>
              <w:t>Renewals</w:t>
            </w:r>
          </w:p>
        </w:tc>
        <w:tc>
          <w:tcPr>
            <w:tcW w:w="1199" w:type="dxa"/>
            <w:shd w:val="clear" w:color="auto" w:fill="CCE2ED"/>
          </w:tcPr>
          <w:p w14:paraId="4196BE0F" w14:textId="77777777" w:rsidR="00141B97" w:rsidRDefault="00911D63">
            <w:pPr>
              <w:pStyle w:val="TableParagraph"/>
              <w:spacing w:line="200" w:lineRule="exact"/>
              <w:ind w:right="96"/>
              <w:jc w:val="right"/>
              <w:rPr>
                <w:sz w:val="18"/>
              </w:rPr>
            </w:pPr>
            <w:r>
              <w:rPr>
                <w:spacing w:val="-4"/>
                <w:sz w:val="18"/>
              </w:rPr>
              <w:t>0.00</w:t>
            </w:r>
          </w:p>
        </w:tc>
        <w:tc>
          <w:tcPr>
            <w:tcW w:w="1198" w:type="dxa"/>
            <w:shd w:val="clear" w:color="auto" w:fill="CCE2ED"/>
          </w:tcPr>
          <w:p w14:paraId="4F06104D" w14:textId="77777777" w:rsidR="00141B97" w:rsidRDefault="00911D63">
            <w:pPr>
              <w:pStyle w:val="TableParagraph"/>
              <w:spacing w:line="200" w:lineRule="exact"/>
              <w:ind w:right="95"/>
              <w:jc w:val="right"/>
              <w:rPr>
                <w:sz w:val="18"/>
              </w:rPr>
            </w:pPr>
            <w:r>
              <w:rPr>
                <w:spacing w:val="-4"/>
                <w:sz w:val="18"/>
              </w:rPr>
              <w:t>0.00</w:t>
            </w:r>
          </w:p>
        </w:tc>
        <w:tc>
          <w:tcPr>
            <w:tcW w:w="1198" w:type="dxa"/>
            <w:shd w:val="clear" w:color="auto" w:fill="CCE2ED"/>
          </w:tcPr>
          <w:p w14:paraId="36AC456C" w14:textId="77777777" w:rsidR="00141B97" w:rsidRDefault="00911D63">
            <w:pPr>
              <w:pStyle w:val="TableParagraph"/>
              <w:spacing w:line="200" w:lineRule="exact"/>
              <w:ind w:right="96"/>
              <w:jc w:val="right"/>
              <w:rPr>
                <w:sz w:val="18"/>
              </w:rPr>
            </w:pPr>
            <w:r>
              <w:rPr>
                <w:spacing w:val="-4"/>
                <w:sz w:val="18"/>
              </w:rPr>
              <w:t>0.18</w:t>
            </w:r>
          </w:p>
        </w:tc>
        <w:tc>
          <w:tcPr>
            <w:tcW w:w="1199" w:type="dxa"/>
            <w:shd w:val="clear" w:color="auto" w:fill="CCE2ED"/>
          </w:tcPr>
          <w:p w14:paraId="09F005D9" w14:textId="77777777" w:rsidR="00141B97" w:rsidRDefault="00911D63">
            <w:pPr>
              <w:pStyle w:val="TableParagraph"/>
              <w:spacing w:line="200" w:lineRule="exact"/>
              <w:ind w:right="97"/>
              <w:jc w:val="right"/>
              <w:rPr>
                <w:sz w:val="18"/>
              </w:rPr>
            </w:pPr>
            <w:r>
              <w:rPr>
                <w:spacing w:val="-4"/>
                <w:sz w:val="18"/>
              </w:rPr>
              <w:t>0.00</w:t>
            </w:r>
          </w:p>
        </w:tc>
        <w:tc>
          <w:tcPr>
            <w:tcW w:w="1198" w:type="dxa"/>
            <w:shd w:val="clear" w:color="auto" w:fill="CCE2ED"/>
          </w:tcPr>
          <w:p w14:paraId="581CFF7E" w14:textId="77777777" w:rsidR="00141B97" w:rsidRDefault="00911D63">
            <w:pPr>
              <w:pStyle w:val="TableParagraph"/>
              <w:spacing w:line="200" w:lineRule="exact"/>
              <w:ind w:right="96"/>
              <w:jc w:val="right"/>
              <w:rPr>
                <w:sz w:val="18"/>
              </w:rPr>
            </w:pPr>
            <w:r>
              <w:rPr>
                <w:spacing w:val="-4"/>
                <w:sz w:val="18"/>
              </w:rPr>
              <w:t>0.00</w:t>
            </w:r>
          </w:p>
        </w:tc>
        <w:tc>
          <w:tcPr>
            <w:tcW w:w="1013" w:type="dxa"/>
            <w:tcBorders>
              <w:right w:val="nil"/>
            </w:tcBorders>
            <w:shd w:val="clear" w:color="auto" w:fill="CCE2ED"/>
          </w:tcPr>
          <w:p w14:paraId="6B825E4F" w14:textId="77777777" w:rsidR="00141B97" w:rsidRDefault="00911D63">
            <w:pPr>
              <w:pStyle w:val="TableParagraph"/>
              <w:spacing w:line="200" w:lineRule="exact"/>
              <w:ind w:right="86"/>
              <w:jc w:val="right"/>
              <w:rPr>
                <w:sz w:val="18"/>
              </w:rPr>
            </w:pPr>
            <w:r>
              <w:rPr>
                <w:spacing w:val="-4"/>
                <w:sz w:val="18"/>
              </w:rPr>
              <w:t>0.18</w:t>
            </w:r>
          </w:p>
        </w:tc>
      </w:tr>
      <w:tr w:rsidR="00141B97" w14:paraId="62C58A62" w14:textId="77777777">
        <w:trPr>
          <w:trHeight w:val="218"/>
          <w:tblCellSpacing w:w="9" w:type="dxa"/>
        </w:trPr>
        <w:tc>
          <w:tcPr>
            <w:tcW w:w="5408" w:type="dxa"/>
            <w:tcBorders>
              <w:left w:val="nil"/>
            </w:tcBorders>
            <w:shd w:val="clear" w:color="auto" w:fill="CCE2ED"/>
          </w:tcPr>
          <w:p w14:paraId="6E1417BA" w14:textId="77777777" w:rsidR="00141B97" w:rsidRDefault="00911D63">
            <w:pPr>
              <w:pStyle w:val="TableParagraph"/>
              <w:spacing w:line="199" w:lineRule="exact"/>
              <w:ind w:left="88"/>
              <w:rPr>
                <w:sz w:val="18"/>
              </w:rPr>
            </w:pPr>
            <w:r>
              <w:rPr>
                <w:sz w:val="18"/>
              </w:rPr>
              <w:t>ROB</w:t>
            </w:r>
            <w:r>
              <w:rPr>
                <w:spacing w:val="-2"/>
                <w:sz w:val="18"/>
              </w:rPr>
              <w:t xml:space="preserve"> </w:t>
            </w:r>
            <w:r>
              <w:rPr>
                <w:sz w:val="18"/>
              </w:rPr>
              <w:t>‐</w:t>
            </w:r>
            <w:r>
              <w:rPr>
                <w:spacing w:val="-1"/>
                <w:sz w:val="18"/>
              </w:rPr>
              <w:t xml:space="preserve"> </w:t>
            </w:r>
            <w:r>
              <w:rPr>
                <w:sz w:val="18"/>
              </w:rPr>
              <w:t>Bermad</w:t>
            </w:r>
            <w:r>
              <w:rPr>
                <w:spacing w:val="-1"/>
                <w:sz w:val="18"/>
              </w:rPr>
              <w:t xml:space="preserve"> </w:t>
            </w:r>
            <w:r>
              <w:rPr>
                <w:sz w:val="18"/>
              </w:rPr>
              <w:t>valve</w:t>
            </w:r>
            <w:r>
              <w:rPr>
                <w:spacing w:val="-2"/>
                <w:sz w:val="18"/>
              </w:rPr>
              <w:t xml:space="preserve"> </w:t>
            </w:r>
            <w:r>
              <w:rPr>
                <w:sz w:val="18"/>
              </w:rPr>
              <w:t>replacement</w:t>
            </w:r>
            <w:r>
              <w:rPr>
                <w:spacing w:val="-3"/>
                <w:sz w:val="18"/>
              </w:rPr>
              <w:t xml:space="preserve"> </w:t>
            </w:r>
            <w:r>
              <w:rPr>
                <w:sz w:val="18"/>
              </w:rPr>
              <w:t>program</w:t>
            </w:r>
            <w:r>
              <w:rPr>
                <w:spacing w:val="-1"/>
                <w:sz w:val="18"/>
              </w:rPr>
              <w:t xml:space="preserve"> </w:t>
            </w:r>
            <w:r>
              <w:rPr>
                <w:sz w:val="18"/>
              </w:rPr>
              <w:t xml:space="preserve">for </w:t>
            </w:r>
            <w:r>
              <w:rPr>
                <w:spacing w:val="-5"/>
                <w:sz w:val="18"/>
              </w:rPr>
              <w:t>WP5</w:t>
            </w:r>
          </w:p>
        </w:tc>
        <w:tc>
          <w:tcPr>
            <w:tcW w:w="1393" w:type="dxa"/>
            <w:shd w:val="clear" w:color="auto" w:fill="CCE2ED"/>
          </w:tcPr>
          <w:p w14:paraId="13DF3B9A"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75FE2E53"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33442CE0" w14:textId="77777777" w:rsidR="00141B97" w:rsidRDefault="00911D63">
            <w:pPr>
              <w:pStyle w:val="TableParagraph"/>
              <w:spacing w:line="199" w:lineRule="exact"/>
              <w:ind w:right="96"/>
              <w:jc w:val="right"/>
              <w:rPr>
                <w:sz w:val="18"/>
              </w:rPr>
            </w:pPr>
            <w:r>
              <w:rPr>
                <w:spacing w:val="-4"/>
                <w:sz w:val="18"/>
              </w:rPr>
              <w:t>0.04</w:t>
            </w:r>
          </w:p>
        </w:tc>
        <w:tc>
          <w:tcPr>
            <w:tcW w:w="1198" w:type="dxa"/>
            <w:shd w:val="clear" w:color="auto" w:fill="CCE2ED"/>
          </w:tcPr>
          <w:p w14:paraId="597A57A1" w14:textId="77777777" w:rsidR="00141B97" w:rsidRDefault="00911D63">
            <w:pPr>
              <w:pStyle w:val="TableParagraph"/>
              <w:spacing w:line="199" w:lineRule="exact"/>
              <w:ind w:right="95"/>
              <w:jc w:val="right"/>
              <w:rPr>
                <w:sz w:val="18"/>
              </w:rPr>
            </w:pPr>
            <w:r>
              <w:rPr>
                <w:spacing w:val="-4"/>
                <w:sz w:val="18"/>
              </w:rPr>
              <w:t>0.04</w:t>
            </w:r>
          </w:p>
        </w:tc>
        <w:tc>
          <w:tcPr>
            <w:tcW w:w="1198" w:type="dxa"/>
            <w:shd w:val="clear" w:color="auto" w:fill="CCE2ED"/>
          </w:tcPr>
          <w:p w14:paraId="4580958D" w14:textId="77777777" w:rsidR="00141B97" w:rsidRDefault="00911D63">
            <w:pPr>
              <w:pStyle w:val="TableParagraph"/>
              <w:spacing w:line="199" w:lineRule="exact"/>
              <w:ind w:right="96"/>
              <w:jc w:val="right"/>
              <w:rPr>
                <w:sz w:val="18"/>
              </w:rPr>
            </w:pPr>
            <w:r>
              <w:rPr>
                <w:spacing w:val="-4"/>
                <w:sz w:val="18"/>
              </w:rPr>
              <w:t>0.04</w:t>
            </w:r>
          </w:p>
        </w:tc>
        <w:tc>
          <w:tcPr>
            <w:tcW w:w="1199" w:type="dxa"/>
            <w:shd w:val="clear" w:color="auto" w:fill="CCE2ED"/>
          </w:tcPr>
          <w:p w14:paraId="70F628CC" w14:textId="77777777" w:rsidR="00141B97" w:rsidRDefault="00911D63">
            <w:pPr>
              <w:pStyle w:val="TableParagraph"/>
              <w:spacing w:line="199" w:lineRule="exact"/>
              <w:ind w:right="97"/>
              <w:jc w:val="right"/>
              <w:rPr>
                <w:sz w:val="18"/>
              </w:rPr>
            </w:pPr>
            <w:r>
              <w:rPr>
                <w:spacing w:val="-4"/>
                <w:sz w:val="18"/>
              </w:rPr>
              <w:t>0.04</w:t>
            </w:r>
          </w:p>
        </w:tc>
        <w:tc>
          <w:tcPr>
            <w:tcW w:w="1198" w:type="dxa"/>
            <w:shd w:val="clear" w:color="auto" w:fill="CCE2ED"/>
          </w:tcPr>
          <w:p w14:paraId="2E880D80" w14:textId="77777777" w:rsidR="00141B97" w:rsidRDefault="00911D63">
            <w:pPr>
              <w:pStyle w:val="TableParagraph"/>
              <w:spacing w:line="199" w:lineRule="exact"/>
              <w:ind w:right="96"/>
              <w:jc w:val="right"/>
              <w:rPr>
                <w:sz w:val="18"/>
              </w:rPr>
            </w:pPr>
            <w:r>
              <w:rPr>
                <w:spacing w:val="-4"/>
                <w:sz w:val="18"/>
              </w:rPr>
              <w:t>0.04</w:t>
            </w:r>
          </w:p>
        </w:tc>
        <w:tc>
          <w:tcPr>
            <w:tcW w:w="1013" w:type="dxa"/>
            <w:tcBorders>
              <w:right w:val="nil"/>
            </w:tcBorders>
            <w:shd w:val="clear" w:color="auto" w:fill="CCE2ED"/>
          </w:tcPr>
          <w:p w14:paraId="347AB6DA" w14:textId="77777777" w:rsidR="00141B97" w:rsidRDefault="00911D63">
            <w:pPr>
              <w:pStyle w:val="TableParagraph"/>
              <w:spacing w:line="199" w:lineRule="exact"/>
              <w:ind w:right="86"/>
              <w:jc w:val="right"/>
              <w:rPr>
                <w:sz w:val="18"/>
              </w:rPr>
            </w:pPr>
            <w:r>
              <w:rPr>
                <w:spacing w:val="-4"/>
                <w:sz w:val="18"/>
              </w:rPr>
              <w:t>0.20</w:t>
            </w:r>
          </w:p>
        </w:tc>
      </w:tr>
      <w:tr w:rsidR="00141B97" w14:paraId="50B790BC" w14:textId="77777777">
        <w:trPr>
          <w:trHeight w:val="439"/>
          <w:tblCellSpacing w:w="9" w:type="dxa"/>
        </w:trPr>
        <w:tc>
          <w:tcPr>
            <w:tcW w:w="5408" w:type="dxa"/>
            <w:tcBorders>
              <w:left w:val="nil"/>
            </w:tcBorders>
            <w:shd w:val="clear" w:color="auto" w:fill="CCE2ED"/>
          </w:tcPr>
          <w:p w14:paraId="4F5AAC7D" w14:textId="77777777" w:rsidR="00141B97" w:rsidRDefault="00911D63">
            <w:pPr>
              <w:pStyle w:val="TableParagraph"/>
              <w:spacing w:before="111"/>
              <w:ind w:left="88"/>
              <w:rPr>
                <w:sz w:val="18"/>
              </w:rPr>
            </w:pPr>
            <w:r>
              <w:rPr>
                <w:sz w:val="18"/>
              </w:rPr>
              <w:t>ROB</w:t>
            </w:r>
            <w:r>
              <w:rPr>
                <w:spacing w:val="-4"/>
                <w:sz w:val="18"/>
              </w:rPr>
              <w:t xml:space="preserve"> </w:t>
            </w:r>
            <w:r>
              <w:rPr>
                <w:sz w:val="18"/>
              </w:rPr>
              <w:t>‐ Program</w:t>
            </w:r>
            <w:r>
              <w:rPr>
                <w:spacing w:val="-1"/>
                <w:sz w:val="18"/>
              </w:rPr>
              <w:t xml:space="preserve"> </w:t>
            </w:r>
            <w:r>
              <w:rPr>
                <w:sz w:val="18"/>
              </w:rPr>
              <w:t>to</w:t>
            </w:r>
            <w:r>
              <w:rPr>
                <w:spacing w:val="-1"/>
                <w:sz w:val="18"/>
              </w:rPr>
              <w:t xml:space="preserve"> </w:t>
            </w:r>
            <w:r>
              <w:rPr>
                <w:sz w:val="18"/>
              </w:rPr>
              <w:t>install</w:t>
            </w:r>
            <w:r>
              <w:rPr>
                <w:spacing w:val="-2"/>
                <w:sz w:val="18"/>
              </w:rPr>
              <w:t xml:space="preserve"> </w:t>
            </w:r>
            <w:r>
              <w:rPr>
                <w:sz w:val="18"/>
              </w:rPr>
              <w:t>bypass/</w:t>
            </w:r>
            <w:r>
              <w:rPr>
                <w:spacing w:val="-1"/>
                <w:sz w:val="18"/>
              </w:rPr>
              <w:t xml:space="preserve"> </w:t>
            </w:r>
            <w:r>
              <w:rPr>
                <w:sz w:val="18"/>
              </w:rPr>
              <w:t>sluice</w:t>
            </w:r>
            <w:r>
              <w:rPr>
                <w:spacing w:val="-2"/>
                <w:sz w:val="18"/>
              </w:rPr>
              <w:t xml:space="preserve"> </w:t>
            </w:r>
            <w:r>
              <w:rPr>
                <w:sz w:val="18"/>
              </w:rPr>
              <w:t xml:space="preserve">valves in </w:t>
            </w:r>
            <w:r>
              <w:rPr>
                <w:spacing w:val="-2"/>
                <w:sz w:val="18"/>
              </w:rPr>
              <w:t>reticulation</w:t>
            </w:r>
          </w:p>
        </w:tc>
        <w:tc>
          <w:tcPr>
            <w:tcW w:w="1393" w:type="dxa"/>
            <w:shd w:val="clear" w:color="auto" w:fill="CCE2ED"/>
          </w:tcPr>
          <w:p w14:paraId="64981DE9" w14:textId="77777777" w:rsidR="00141B97" w:rsidRDefault="00911D63">
            <w:pPr>
              <w:pStyle w:val="TableParagraph"/>
              <w:spacing w:before="111"/>
              <w:ind w:right="95"/>
              <w:jc w:val="right"/>
              <w:rPr>
                <w:sz w:val="18"/>
              </w:rPr>
            </w:pPr>
            <w:r>
              <w:rPr>
                <w:spacing w:val="-2"/>
                <w:sz w:val="18"/>
              </w:rPr>
              <w:t>Irrigation</w:t>
            </w:r>
          </w:p>
        </w:tc>
        <w:tc>
          <w:tcPr>
            <w:tcW w:w="1860" w:type="dxa"/>
            <w:shd w:val="clear" w:color="auto" w:fill="CCE2ED"/>
          </w:tcPr>
          <w:p w14:paraId="3AC06011" w14:textId="77777777" w:rsidR="00141B97" w:rsidRDefault="00911D63">
            <w:pPr>
              <w:pStyle w:val="TableParagraph"/>
              <w:spacing w:line="220" w:lineRule="atLeast"/>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01323FA6" w14:textId="77777777" w:rsidR="00141B97" w:rsidRDefault="00911D63">
            <w:pPr>
              <w:pStyle w:val="TableParagraph"/>
              <w:spacing w:before="111"/>
              <w:ind w:right="96"/>
              <w:jc w:val="right"/>
              <w:rPr>
                <w:sz w:val="18"/>
              </w:rPr>
            </w:pPr>
            <w:r>
              <w:rPr>
                <w:spacing w:val="-4"/>
                <w:sz w:val="18"/>
              </w:rPr>
              <w:t>0.00</w:t>
            </w:r>
          </w:p>
        </w:tc>
        <w:tc>
          <w:tcPr>
            <w:tcW w:w="1198" w:type="dxa"/>
            <w:shd w:val="clear" w:color="auto" w:fill="CCE2ED"/>
          </w:tcPr>
          <w:p w14:paraId="7FC0841D" w14:textId="77777777" w:rsidR="00141B97" w:rsidRDefault="00911D63">
            <w:pPr>
              <w:pStyle w:val="TableParagraph"/>
              <w:spacing w:before="111"/>
              <w:ind w:right="95"/>
              <w:jc w:val="right"/>
              <w:rPr>
                <w:sz w:val="18"/>
              </w:rPr>
            </w:pPr>
            <w:r>
              <w:rPr>
                <w:spacing w:val="-4"/>
                <w:sz w:val="18"/>
              </w:rPr>
              <w:t>0.00</w:t>
            </w:r>
          </w:p>
        </w:tc>
        <w:tc>
          <w:tcPr>
            <w:tcW w:w="1198" w:type="dxa"/>
            <w:shd w:val="clear" w:color="auto" w:fill="CCE2ED"/>
          </w:tcPr>
          <w:p w14:paraId="17995150" w14:textId="77777777" w:rsidR="00141B97" w:rsidRDefault="00911D63">
            <w:pPr>
              <w:pStyle w:val="TableParagraph"/>
              <w:spacing w:before="111"/>
              <w:ind w:right="96"/>
              <w:jc w:val="right"/>
              <w:rPr>
                <w:sz w:val="18"/>
              </w:rPr>
            </w:pPr>
            <w:r>
              <w:rPr>
                <w:spacing w:val="-4"/>
                <w:sz w:val="18"/>
              </w:rPr>
              <w:t>0.00</w:t>
            </w:r>
          </w:p>
        </w:tc>
        <w:tc>
          <w:tcPr>
            <w:tcW w:w="1199" w:type="dxa"/>
            <w:shd w:val="clear" w:color="auto" w:fill="CCE2ED"/>
          </w:tcPr>
          <w:p w14:paraId="6FD123FB" w14:textId="77777777" w:rsidR="00141B97" w:rsidRDefault="00911D63">
            <w:pPr>
              <w:pStyle w:val="TableParagraph"/>
              <w:spacing w:before="111"/>
              <w:ind w:right="97"/>
              <w:jc w:val="right"/>
              <w:rPr>
                <w:sz w:val="18"/>
              </w:rPr>
            </w:pPr>
            <w:r>
              <w:rPr>
                <w:spacing w:val="-4"/>
                <w:sz w:val="18"/>
              </w:rPr>
              <w:t>0.36</w:t>
            </w:r>
          </w:p>
        </w:tc>
        <w:tc>
          <w:tcPr>
            <w:tcW w:w="1198" w:type="dxa"/>
            <w:shd w:val="clear" w:color="auto" w:fill="CCE2ED"/>
          </w:tcPr>
          <w:p w14:paraId="455E3DAF" w14:textId="77777777" w:rsidR="00141B97" w:rsidRDefault="00911D63">
            <w:pPr>
              <w:pStyle w:val="TableParagraph"/>
              <w:spacing w:before="111"/>
              <w:ind w:right="96"/>
              <w:jc w:val="right"/>
              <w:rPr>
                <w:sz w:val="18"/>
              </w:rPr>
            </w:pPr>
            <w:r>
              <w:rPr>
                <w:spacing w:val="-4"/>
                <w:sz w:val="18"/>
              </w:rPr>
              <w:t>0.35</w:t>
            </w:r>
          </w:p>
        </w:tc>
        <w:tc>
          <w:tcPr>
            <w:tcW w:w="1013" w:type="dxa"/>
            <w:tcBorders>
              <w:right w:val="nil"/>
            </w:tcBorders>
            <w:shd w:val="clear" w:color="auto" w:fill="CCE2ED"/>
          </w:tcPr>
          <w:p w14:paraId="4B7132D2" w14:textId="77777777" w:rsidR="00141B97" w:rsidRDefault="00911D63">
            <w:pPr>
              <w:pStyle w:val="TableParagraph"/>
              <w:spacing w:before="111"/>
              <w:ind w:right="86"/>
              <w:jc w:val="right"/>
              <w:rPr>
                <w:sz w:val="18"/>
              </w:rPr>
            </w:pPr>
            <w:r>
              <w:rPr>
                <w:spacing w:val="-4"/>
                <w:sz w:val="18"/>
              </w:rPr>
              <w:t>0.71</w:t>
            </w:r>
          </w:p>
        </w:tc>
      </w:tr>
      <w:tr w:rsidR="00141B97" w14:paraId="09792410" w14:textId="77777777">
        <w:trPr>
          <w:trHeight w:val="314"/>
          <w:tblCellSpacing w:w="9" w:type="dxa"/>
        </w:trPr>
        <w:tc>
          <w:tcPr>
            <w:tcW w:w="5408" w:type="dxa"/>
            <w:tcBorders>
              <w:left w:val="nil"/>
            </w:tcBorders>
            <w:shd w:val="clear" w:color="auto" w:fill="BFBFBF"/>
          </w:tcPr>
          <w:p w14:paraId="2D384C19" w14:textId="77777777" w:rsidR="00141B97" w:rsidRDefault="00911D63">
            <w:pPr>
              <w:pStyle w:val="TableParagraph"/>
              <w:spacing w:before="48"/>
              <w:ind w:left="88"/>
              <w:rPr>
                <w:sz w:val="18"/>
              </w:rPr>
            </w:pPr>
            <w:r>
              <w:rPr>
                <w:sz w:val="18"/>
              </w:rPr>
              <w:t xml:space="preserve">Reticulation ‐ </w:t>
            </w:r>
            <w:r>
              <w:rPr>
                <w:spacing w:val="-2"/>
                <w:sz w:val="18"/>
              </w:rPr>
              <w:t>Drainage</w:t>
            </w:r>
          </w:p>
        </w:tc>
        <w:tc>
          <w:tcPr>
            <w:tcW w:w="1393" w:type="dxa"/>
            <w:shd w:val="clear" w:color="auto" w:fill="BFBFBF"/>
          </w:tcPr>
          <w:p w14:paraId="63CC1FB7" w14:textId="77777777" w:rsidR="00141B97" w:rsidRDefault="00141B97">
            <w:pPr>
              <w:pStyle w:val="TableParagraph"/>
              <w:rPr>
                <w:rFonts w:ascii="Times New Roman"/>
                <w:sz w:val="18"/>
              </w:rPr>
            </w:pPr>
          </w:p>
        </w:tc>
        <w:tc>
          <w:tcPr>
            <w:tcW w:w="1860" w:type="dxa"/>
            <w:shd w:val="clear" w:color="auto" w:fill="BFBFBF"/>
          </w:tcPr>
          <w:p w14:paraId="28E99802" w14:textId="77777777" w:rsidR="00141B97" w:rsidRDefault="00141B97">
            <w:pPr>
              <w:pStyle w:val="TableParagraph"/>
              <w:rPr>
                <w:rFonts w:ascii="Times New Roman"/>
                <w:sz w:val="18"/>
              </w:rPr>
            </w:pPr>
          </w:p>
        </w:tc>
        <w:tc>
          <w:tcPr>
            <w:tcW w:w="1199" w:type="dxa"/>
            <w:shd w:val="clear" w:color="auto" w:fill="BFBFBF"/>
          </w:tcPr>
          <w:p w14:paraId="2479471D" w14:textId="77777777" w:rsidR="00141B97" w:rsidRDefault="00141B97">
            <w:pPr>
              <w:pStyle w:val="TableParagraph"/>
              <w:rPr>
                <w:rFonts w:ascii="Times New Roman"/>
                <w:sz w:val="18"/>
              </w:rPr>
            </w:pPr>
          </w:p>
        </w:tc>
        <w:tc>
          <w:tcPr>
            <w:tcW w:w="1198" w:type="dxa"/>
            <w:shd w:val="clear" w:color="auto" w:fill="BFBFBF"/>
          </w:tcPr>
          <w:p w14:paraId="5BA9FAD3" w14:textId="77777777" w:rsidR="00141B97" w:rsidRDefault="00141B97">
            <w:pPr>
              <w:pStyle w:val="TableParagraph"/>
              <w:rPr>
                <w:rFonts w:ascii="Times New Roman"/>
                <w:sz w:val="18"/>
              </w:rPr>
            </w:pPr>
          </w:p>
        </w:tc>
        <w:tc>
          <w:tcPr>
            <w:tcW w:w="1198" w:type="dxa"/>
            <w:shd w:val="clear" w:color="auto" w:fill="BFBFBF"/>
          </w:tcPr>
          <w:p w14:paraId="230861F2" w14:textId="77777777" w:rsidR="00141B97" w:rsidRDefault="00141B97">
            <w:pPr>
              <w:pStyle w:val="TableParagraph"/>
              <w:rPr>
                <w:rFonts w:ascii="Times New Roman"/>
                <w:sz w:val="18"/>
              </w:rPr>
            </w:pPr>
          </w:p>
        </w:tc>
        <w:tc>
          <w:tcPr>
            <w:tcW w:w="1199" w:type="dxa"/>
            <w:shd w:val="clear" w:color="auto" w:fill="BFBFBF"/>
          </w:tcPr>
          <w:p w14:paraId="13A24CF8" w14:textId="77777777" w:rsidR="00141B97" w:rsidRDefault="00141B97">
            <w:pPr>
              <w:pStyle w:val="TableParagraph"/>
              <w:rPr>
                <w:rFonts w:ascii="Times New Roman"/>
                <w:sz w:val="18"/>
              </w:rPr>
            </w:pPr>
          </w:p>
        </w:tc>
        <w:tc>
          <w:tcPr>
            <w:tcW w:w="1198" w:type="dxa"/>
            <w:shd w:val="clear" w:color="auto" w:fill="BFBFBF"/>
          </w:tcPr>
          <w:p w14:paraId="546F8795" w14:textId="77777777" w:rsidR="00141B97" w:rsidRDefault="00141B97">
            <w:pPr>
              <w:pStyle w:val="TableParagraph"/>
              <w:rPr>
                <w:rFonts w:ascii="Times New Roman"/>
                <w:sz w:val="18"/>
              </w:rPr>
            </w:pPr>
          </w:p>
        </w:tc>
        <w:tc>
          <w:tcPr>
            <w:tcW w:w="1013" w:type="dxa"/>
            <w:tcBorders>
              <w:right w:val="nil"/>
            </w:tcBorders>
            <w:shd w:val="clear" w:color="auto" w:fill="BFBFBF"/>
          </w:tcPr>
          <w:p w14:paraId="55B12F87" w14:textId="77777777" w:rsidR="00141B97" w:rsidRDefault="00141B97">
            <w:pPr>
              <w:pStyle w:val="TableParagraph"/>
              <w:rPr>
                <w:rFonts w:ascii="Times New Roman"/>
                <w:sz w:val="18"/>
              </w:rPr>
            </w:pPr>
          </w:p>
        </w:tc>
      </w:tr>
      <w:tr w:rsidR="00141B97" w14:paraId="70A07447" w14:textId="77777777">
        <w:trPr>
          <w:trHeight w:val="219"/>
          <w:tblCellSpacing w:w="9" w:type="dxa"/>
        </w:trPr>
        <w:tc>
          <w:tcPr>
            <w:tcW w:w="5408" w:type="dxa"/>
            <w:tcBorders>
              <w:left w:val="nil"/>
            </w:tcBorders>
            <w:shd w:val="clear" w:color="auto" w:fill="CCE2ED"/>
          </w:tcPr>
          <w:p w14:paraId="0769415F" w14:textId="77777777" w:rsidR="00141B97" w:rsidRDefault="00911D63">
            <w:pPr>
              <w:pStyle w:val="TableParagraph"/>
              <w:spacing w:before="1" w:line="199" w:lineRule="exact"/>
              <w:ind w:left="88"/>
              <w:rPr>
                <w:sz w:val="18"/>
              </w:rPr>
            </w:pPr>
            <w:r>
              <w:rPr>
                <w:sz w:val="18"/>
              </w:rPr>
              <w:t>MER</w:t>
            </w:r>
            <w:r>
              <w:rPr>
                <w:spacing w:val="-1"/>
                <w:sz w:val="18"/>
              </w:rPr>
              <w:t xml:space="preserve"> </w:t>
            </w:r>
            <w:r>
              <w:rPr>
                <w:sz w:val="18"/>
              </w:rPr>
              <w:t>Drainage</w:t>
            </w:r>
            <w:r>
              <w:rPr>
                <w:spacing w:val="-2"/>
                <w:sz w:val="18"/>
              </w:rPr>
              <w:t xml:space="preserve"> </w:t>
            </w:r>
            <w:r>
              <w:rPr>
                <w:sz w:val="18"/>
              </w:rPr>
              <w:t>Pit</w:t>
            </w:r>
            <w:r>
              <w:rPr>
                <w:spacing w:val="-1"/>
                <w:sz w:val="18"/>
              </w:rPr>
              <w:t xml:space="preserve"> </w:t>
            </w:r>
            <w:r>
              <w:rPr>
                <w:spacing w:val="-4"/>
                <w:sz w:val="18"/>
              </w:rPr>
              <w:t>Lids</w:t>
            </w:r>
          </w:p>
        </w:tc>
        <w:tc>
          <w:tcPr>
            <w:tcW w:w="1393" w:type="dxa"/>
            <w:shd w:val="clear" w:color="auto" w:fill="CCE2ED"/>
          </w:tcPr>
          <w:p w14:paraId="6BFD9EE5"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7BC598AB"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667EE476" w14:textId="77777777" w:rsidR="00141B97" w:rsidRDefault="00911D63">
            <w:pPr>
              <w:pStyle w:val="TableParagraph"/>
              <w:spacing w:before="1" w:line="199" w:lineRule="exact"/>
              <w:ind w:right="96"/>
              <w:jc w:val="right"/>
              <w:rPr>
                <w:sz w:val="18"/>
              </w:rPr>
            </w:pPr>
            <w:r>
              <w:rPr>
                <w:spacing w:val="-4"/>
                <w:sz w:val="18"/>
              </w:rPr>
              <w:t>0.01</w:t>
            </w:r>
          </w:p>
        </w:tc>
        <w:tc>
          <w:tcPr>
            <w:tcW w:w="1198" w:type="dxa"/>
            <w:shd w:val="clear" w:color="auto" w:fill="CCE2ED"/>
          </w:tcPr>
          <w:p w14:paraId="2D0F64F3" w14:textId="77777777" w:rsidR="00141B97" w:rsidRDefault="00911D63">
            <w:pPr>
              <w:pStyle w:val="TableParagraph"/>
              <w:spacing w:before="1" w:line="199" w:lineRule="exact"/>
              <w:ind w:right="95"/>
              <w:jc w:val="right"/>
              <w:rPr>
                <w:sz w:val="18"/>
              </w:rPr>
            </w:pPr>
            <w:r>
              <w:rPr>
                <w:spacing w:val="-4"/>
                <w:sz w:val="18"/>
              </w:rPr>
              <w:t>0.01</w:t>
            </w:r>
          </w:p>
        </w:tc>
        <w:tc>
          <w:tcPr>
            <w:tcW w:w="1198" w:type="dxa"/>
            <w:shd w:val="clear" w:color="auto" w:fill="CCE2ED"/>
          </w:tcPr>
          <w:p w14:paraId="42A08F33" w14:textId="77777777" w:rsidR="00141B97" w:rsidRDefault="00911D63">
            <w:pPr>
              <w:pStyle w:val="TableParagraph"/>
              <w:spacing w:before="1" w:line="199" w:lineRule="exact"/>
              <w:ind w:right="96"/>
              <w:jc w:val="right"/>
              <w:rPr>
                <w:sz w:val="18"/>
              </w:rPr>
            </w:pPr>
            <w:r>
              <w:rPr>
                <w:spacing w:val="-4"/>
                <w:sz w:val="18"/>
              </w:rPr>
              <w:t>0.01</w:t>
            </w:r>
          </w:p>
        </w:tc>
        <w:tc>
          <w:tcPr>
            <w:tcW w:w="1199" w:type="dxa"/>
            <w:shd w:val="clear" w:color="auto" w:fill="CCE2ED"/>
          </w:tcPr>
          <w:p w14:paraId="24A277F6" w14:textId="77777777" w:rsidR="00141B97" w:rsidRDefault="00911D63">
            <w:pPr>
              <w:pStyle w:val="TableParagraph"/>
              <w:spacing w:before="1" w:line="199" w:lineRule="exact"/>
              <w:ind w:right="97"/>
              <w:jc w:val="right"/>
              <w:rPr>
                <w:sz w:val="18"/>
              </w:rPr>
            </w:pPr>
            <w:r>
              <w:rPr>
                <w:spacing w:val="-4"/>
                <w:sz w:val="18"/>
              </w:rPr>
              <w:t>0.01</w:t>
            </w:r>
          </w:p>
        </w:tc>
        <w:tc>
          <w:tcPr>
            <w:tcW w:w="1198" w:type="dxa"/>
            <w:shd w:val="clear" w:color="auto" w:fill="CCE2ED"/>
          </w:tcPr>
          <w:p w14:paraId="07E0E971" w14:textId="77777777" w:rsidR="00141B97" w:rsidRDefault="00911D63">
            <w:pPr>
              <w:pStyle w:val="TableParagraph"/>
              <w:spacing w:before="1" w:line="199" w:lineRule="exact"/>
              <w:ind w:right="96"/>
              <w:jc w:val="right"/>
              <w:rPr>
                <w:sz w:val="18"/>
              </w:rPr>
            </w:pPr>
            <w:r>
              <w:rPr>
                <w:spacing w:val="-4"/>
                <w:sz w:val="18"/>
              </w:rPr>
              <w:t>0.01</w:t>
            </w:r>
          </w:p>
        </w:tc>
        <w:tc>
          <w:tcPr>
            <w:tcW w:w="1013" w:type="dxa"/>
            <w:tcBorders>
              <w:right w:val="nil"/>
            </w:tcBorders>
            <w:shd w:val="clear" w:color="auto" w:fill="CCE2ED"/>
          </w:tcPr>
          <w:p w14:paraId="5A685C0E" w14:textId="77777777" w:rsidR="00141B97" w:rsidRDefault="00911D63">
            <w:pPr>
              <w:pStyle w:val="TableParagraph"/>
              <w:spacing w:before="1" w:line="199" w:lineRule="exact"/>
              <w:ind w:right="86"/>
              <w:jc w:val="right"/>
              <w:rPr>
                <w:sz w:val="18"/>
              </w:rPr>
            </w:pPr>
            <w:r>
              <w:rPr>
                <w:spacing w:val="-4"/>
                <w:sz w:val="18"/>
              </w:rPr>
              <w:t>0.06</w:t>
            </w:r>
          </w:p>
        </w:tc>
      </w:tr>
      <w:tr w:rsidR="00141B97" w14:paraId="4CC42D97" w14:textId="77777777">
        <w:trPr>
          <w:trHeight w:val="220"/>
          <w:tblCellSpacing w:w="9" w:type="dxa"/>
        </w:trPr>
        <w:tc>
          <w:tcPr>
            <w:tcW w:w="5408" w:type="dxa"/>
            <w:tcBorders>
              <w:left w:val="nil"/>
              <w:bottom w:val="nil"/>
            </w:tcBorders>
            <w:shd w:val="clear" w:color="auto" w:fill="CCE2ED"/>
          </w:tcPr>
          <w:p w14:paraId="5699B6E9" w14:textId="77777777" w:rsidR="00141B97" w:rsidRDefault="00911D63">
            <w:pPr>
              <w:pStyle w:val="TableParagraph"/>
              <w:spacing w:before="1" w:line="199" w:lineRule="exact"/>
              <w:ind w:left="88"/>
              <w:rPr>
                <w:sz w:val="18"/>
              </w:rPr>
            </w:pPr>
            <w:r>
              <w:rPr>
                <w:sz w:val="18"/>
              </w:rPr>
              <w:t>MER</w:t>
            </w:r>
            <w:r>
              <w:rPr>
                <w:spacing w:val="-3"/>
                <w:sz w:val="18"/>
              </w:rPr>
              <w:t xml:space="preserve"> </w:t>
            </w:r>
            <w:r>
              <w:rPr>
                <w:sz w:val="18"/>
              </w:rPr>
              <w:t>Minor</w:t>
            </w:r>
            <w:r>
              <w:rPr>
                <w:spacing w:val="-2"/>
                <w:sz w:val="18"/>
              </w:rPr>
              <w:t xml:space="preserve"> </w:t>
            </w:r>
            <w:r>
              <w:rPr>
                <w:sz w:val="18"/>
              </w:rPr>
              <w:t>Drainage</w:t>
            </w:r>
            <w:r>
              <w:rPr>
                <w:spacing w:val="-3"/>
                <w:sz w:val="18"/>
              </w:rPr>
              <w:t xml:space="preserve"> </w:t>
            </w:r>
            <w:r>
              <w:rPr>
                <w:sz w:val="18"/>
              </w:rPr>
              <w:t>Pipeline</w:t>
            </w:r>
            <w:r>
              <w:rPr>
                <w:spacing w:val="-3"/>
                <w:sz w:val="18"/>
              </w:rPr>
              <w:t xml:space="preserve"> </w:t>
            </w:r>
            <w:r>
              <w:rPr>
                <w:spacing w:val="-2"/>
                <w:sz w:val="18"/>
              </w:rPr>
              <w:t>Replacements</w:t>
            </w:r>
          </w:p>
        </w:tc>
        <w:tc>
          <w:tcPr>
            <w:tcW w:w="1393" w:type="dxa"/>
            <w:tcBorders>
              <w:bottom w:val="nil"/>
            </w:tcBorders>
            <w:shd w:val="clear" w:color="auto" w:fill="CCE2ED"/>
          </w:tcPr>
          <w:p w14:paraId="620AF0DE" w14:textId="77777777" w:rsidR="00141B97" w:rsidRDefault="00911D63">
            <w:pPr>
              <w:pStyle w:val="TableParagraph"/>
              <w:spacing w:before="1" w:line="199" w:lineRule="exact"/>
              <w:ind w:right="94"/>
              <w:jc w:val="right"/>
              <w:rPr>
                <w:sz w:val="18"/>
              </w:rPr>
            </w:pPr>
            <w:r>
              <w:rPr>
                <w:spacing w:val="-2"/>
                <w:sz w:val="18"/>
              </w:rPr>
              <w:t>Drainage</w:t>
            </w:r>
          </w:p>
        </w:tc>
        <w:tc>
          <w:tcPr>
            <w:tcW w:w="1860" w:type="dxa"/>
            <w:tcBorders>
              <w:bottom w:val="nil"/>
            </w:tcBorders>
            <w:shd w:val="clear" w:color="auto" w:fill="CCE2ED"/>
          </w:tcPr>
          <w:p w14:paraId="58C767E3" w14:textId="77777777" w:rsidR="00141B97" w:rsidRDefault="00911D63">
            <w:pPr>
              <w:pStyle w:val="TableParagraph"/>
              <w:spacing w:before="1" w:line="199" w:lineRule="exact"/>
              <w:ind w:right="95"/>
              <w:jc w:val="right"/>
              <w:rPr>
                <w:sz w:val="18"/>
              </w:rPr>
            </w:pPr>
            <w:r>
              <w:rPr>
                <w:spacing w:val="-2"/>
                <w:sz w:val="18"/>
              </w:rPr>
              <w:t>Renewals</w:t>
            </w:r>
          </w:p>
        </w:tc>
        <w:tc>
          <w:tcPr>
            <w:tcW w:w="1199" w:type="dxa"/>
            <w:tcBorders>
              <w:bottom w:val="nil"/>
            </w:tcBorders>
            <w:shd w:val="clear" w:color="auto" w:fill="CCE2ED"/>
          </w:tcPr>
          <w:p w14:paraId="74E9573D" w14:textId="77777777" w:rsidR="00141B97" w:rsidRDefault="00911D63">
            <w:pPr>
              <w:pStyle w:val="TableParagraph"/>
              <w:spacing w:before="1" w:line="199" w:lineRule="exact"/>
              <w:ind w:right="96"/>
              <w:jc w:val="right"/>
              <w:rPr>
                <w:sz w:val="18"/>
              </w:rPr>
            </w:pPr>
            <w:r>
              <w:rPr>
                <w:spacing w:val="-4"/>
                <w:sz w:val="18"/>
              </w:rPr>
              <w:t>0.00</w:t>
            </w:r>
          </w:p>
        </w:tc>
        <w:tc>
          <w:tcPr>
            <w:tcW w:w="1198" w:type="dxa"/>
            <w:tcBorders>
              <w:bottom w:val="nil"/>
            </w:tcBorders>
            <w:shd w:val="clear" w:color="auto" w:fill="CCE2ED"/>
          </w:tcPr>
          <w:p w14:paraId="36C4AEF4" w14:textId="77777777" w:rsidR="00141B97" w:rsidRDefault="00911D63">
            <w:pPr>
              <w:pStyle w:val="TableParagraph"/>
              <w:spacing w:before="1" w:line="199" w:lineRule="exact"/>
              <w:ind w:right="95"/>
              <w:jc w:val="right"/>
              <w:rPr>
                <w:sz w:val="18"/>
              </w:rPr>
            </w:pPr>
            <w:r>
              <w:rPr>
                <w:spacing w:val="-4"/>
                <w:sz w:val="18"/>
              </w:rPr>
              <w:t>0.00</w:t>
            </w:r>
          </w:p>
        </w:tc>
        <w:tc>
          <w:tcPr>
            <w:tcW w:w="1198" w:type="dxa"/>
            <w:tcBorders>
              <w:bottom w:val="nil"/>
            </w:tcBorders>
            <w:shd w:val="clear" w:color="auto" w:fill="CCE2ED"/>
          </w:tcPr>
          <w:p w14:paraId="3278A0C8" w14:textId="77777777" w:rsidR="00141B97" w:rsidRDefault="00911D63">
            <w:pPr>
              <w:pStyle w:val="TableParagraph"/>
              <w:spacing w:before="1" w:line="199" w:lineRule="exact"/>
              <w:ind w:right="96"/>
              <w:jc w:val="right"/>
              <w:rPr>
                <w:sz w:val="18"/>
              </w:rPr>
            </w:pPr>
            <w:r>
              <w:rPr>
                <w:spacing w:val="-4"/>
                <w:sz w:val="18"/>
              </w:rPr>
              <w:t>0.08</w:t>
            </w:r>
          </w:p>
        </w:tc>
        <w:tc>
          <w:tcPr>
            <w:tcW w:w="1199" w:type="dxa"/>
            <w:tcBorders>
              <w:bottom w:val="nil"/>
            </w:tcBorders>
            <w:shd w:val="clear" w:color="auto" w:fill="CCE2ED"/>
          </w:tcPr>
          <w:p w14:paraId="58BCDFD6" w14:textId="77777777" w:rsidR="00141B97" w:rsidRDefault="00911D63">
            <w:pPr>
              <w:pStyle w:val="TableParagraph"/>
              <w:spacing w:before="1" w:line="199" w:lineRule="exact"/>
              <w:ind w:right="97"/>
              <w:jc w:val="right"/>
              <w:rPr>
                <w:sz w:val="18"/>
              </w:rPr>
            </w:pPr>
            <w:r>
              <w:rPr>
                <w:spacing w:val="-4"/>
                <w:sz w:val="18"/>
              </w:rPr>
              <w:t>0.00</w:t>
            </w:r>
          </w:p>
        </w:tc>
        <w:tc>
          <w:tcPr>
            <w:tcW w:w="1198" w:type="dxa"/>
            <w:tcBorders>
              <w:bottom w:val="nil"/>
            </w:tcBorders>
            <w:shd w:val="clear" w:color="auto" w:fill="CCE2ED"/>
          </w:tcPr>
          <w:p w14:paraId="60E40402" w14:textId="77777777" w:rsidR="00141B97" w:rsidRDefault="00911D63">
            <w:pPr>
              <w:pStyle w:val="TableParagraph"/>
              <w:spacing w:before="1" w:line="199" w:lineRule="exact"/>
              <w:ind w:right="96"/>
              <w:jc w:val="right"/>
              <w:rPr>
                <w:sz w:val="18"/>
              </w:rPr>
            </w:pPr>
            <w:r>
              <w:rPr>
                <w:spacing w:val="-4"/>
                <w:sz w:val="18"/>
              </w:rPr>
              <w:t>0.12</w:t>
            </w:r>
          </w:p>
        </w:tc>
        <w:tc>
          <w:tcPr>
            <w:tcW w:w="1013" w:type="dxa"/>
            <w:tcBorders>
              <w:bottom w:val="nil"/>
              <w:right w:val="nil"/>
            </w:tcBorders>
            <w:shd w:val="clear" w:color="auto" w:fill="CCE2ED"/>
          </w:tcPr>
          <w:p w14:paraId="267AB6D1" w14:textId="77777777" w:rsidR="00141B97" w:rsidRDefault="00911D63">
            <w:pPr>
              <w:pStyle w:val="TableParagraph"/>
              <w:spacing w:before="1" w:line="199" w:lineRule="exact"/>
              <w:ind w:right="86"/>
              <w:jc w:val="right"/>
              <w:rPr>
                <w:sz w:val="18"/>
              </w:rPr>
            </w:pPr>
            <w:r>
              <w:rPr>
                <w:spacing w:val="-4"/>
                <w:sz w:val="18"/>
              </w:rPr>
              <w:t>0.19</w:t>
            </w:r>
          </w:p>
        </w:tc>
      </w:tr>
    </w:tbl>
    <w:p w14:paraId="1D15E681" w14:textId="77777777" w:rsidR="00141B97" w:rsidRDefault="00141B97">
      <w:pPr>
        <w:spacing w:line="199" w:lineRule="exact"/>
        <w:jc w:val="right"/>
        <w:rPr>
          <w:sz w:val="18"/>
        </w:rPr>
        <w:sectPr w:rsidR="00141B97">
          <w:pgSz w:w="16840" w:h="11910" w:orient="landscape"/>
          <w:pgMar w:top="840" w:right="600" w:bottom="540" w:left="300" w:header="0" w:footer="345" w:gutter="0"/>
          <w:cols w:space="720"/>
        </w:sectPr>
      </w:pPr>
    </w:p>
    <w:p w14:paraId="6C38A4DF" w14:textId="77777777" w:rsidR="00141B97" w:rsidRDefault="00141B97">
      <w:pPr>
        <w:pStyle w:val="BodyText"/>
        <w:spacing w:before="1"/>
        <w:rPr>
          <w:sz w:val="2"/>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435"/>
        <w:gridCol w:w="1411"/>
        <w:gridCol w:w="1878"/>
        <w:gridCol w:w="1217"/>
        <w:gridCol w:w="1216"/>
        <w:gridCol w:w="1216"/>
        <w:gridCol w:w="1217"/>
        <w:gridCol w:w="1216"/>
        <w:gridCol w:w="1040"/>
      </w:tblGrid>
      <w:tr w:rsidR="00141B97" w14:paraId="7CABD07E" w14:textId="77777777">
        <w:trPr>
          <w:trHeight w:val="408"/>
          <w:tblCellSpacing w:w="9" w:type="dxa"/>
        </w:trPr>
        <w:tc>
          <w:tcPr>
            <w:tcW w:w="5408" w:type="dxa"/>
            <w:tcBorders>
              <w:top w:val="nil"/>
              <w:left w:val="nil"/>
            </w:tcBorders>
            <w:shd w:val="clear" w:color="auto" w:fill="006CA3"/>
          </w:tcPr>
          <w:p w14:paraId="541A0030" w14:textId="77777777" w:rsidR="00141B97" w:rsidRDefault="00911D63">
            <w:pPr>
              <w:pStyle w:val="TableParagraph"/>
              <w:spacing w:before="95"/>
              <w:ind w:left="88"/>
              <w:rPr>
                <w:sz w:val="18"/>
              </w:rPr>
            </w:pPr>
            <w:r>
              <w:rPr>
                <w:color w:val="FFFFFF"/>
                <w:sz w:val="18"/>
              </w:rPr>
              <w:t>Project/program</w:t>
            </w:r>
            <w:r>
              <w:rPr>
                <w:color w:val="FFFFFF"/>
                <w:spacing w:val="-3"/>
                <w:sz w:val="18"/>
              </w:rPr>
              <w:t xml:space="preserve"> </w:t>
            </w:r>
            <w:r>
              <w:rPr>
                <w:color w:val="FFFFFF"/>
                <w:spacing w:val="-4"/>
                <w:sz w:val="18"/>
              </w:rPr>
              <w:t>Name</w:t>
            </w:r>
          </w:p>
        </w:tc>
        <w:tc>
          <w:tcPr>
            <w:tcW w:w="1393" w:type="dxa"/>
            <w:tcBorders>
              <w:top w:val="nil"/>
            </w:tcBorders>
            <w:shd w:val="clear" w:color="auto" w:fill="006CA3"/>
          </w:tcPr>
          <w:p w14:paraId="048610FA" w14:textId="77777777" w:rsidR="00141B97" w:rsidRDefault="00911D63">
            <w:pPr>
              <w:pStyle w:val="TableParagraph"/>
              <w:spacing w:before="95"/>
              <w:ind w:right="94"/>
              <w:jc w:val="right"/>
              <w:rPr>
                <w:sz w:val="18"/>
              </w:rPr>
            </w:pPr>
            <w:r>
              <w:rPr>
                <w:color w:val="FFFFFF"/>
                <w:spacing w:val="-2"/>
                <w:sz w:val="18"/>
              </w:rPr>
              <w:t>Service</w:t>
            </w:r>
          </w:p>
        </w:tc>
        <w:tc>
          <w:tcPr>
            <w:tcW w:w="1860" w:type="dxa"/>
            <w:tcBorders>
              <w:top w:val="nil"/>
            </w:tcBorders>
            <w:shd w:val="clear" w:color="auto" w:fill="006CA3"/>
          </w:tcPr>
          <w:p w14:paraId="2645EAA3" w14:textId="77777777" w:rsidR="00141B97" w:rsidRDefault="00911D63">
            <w:pPr>
              <w:pStyle w:val="TableParagraph"/>
              <w:spacing w:before="95"/>
              <w:ind w:right="95"/>
              <w:jc w:val="right"/>
              <w:rPr>
                <w:sz w:val="18"/>
              </w:rPr>
            </w:pPr>
            <w:r>
              <w:rPr>
                <w:color w:val="FFFFFF"/>
                <w:sz w:val="18"/>
              </w:rPr>
              <w:t>Major</w:t>
            </w:r>
            <w:r>
              <w:rPr>
                <w:color w:val="FFFFFF"/>
                <w:spacing w:val="-2"/>
                <w:sz w:val="18"/>
              </w:rPr>
              <w:t xml:space="preserve"> </w:t>
            </w:r>
            <w:r>
              <w:rPr>
                <w:color w:val="FFFFFF"/>
                <w:sz w:val="18"/>
              </w:rPr>
              <w:t>cost</w:t>
            </w:r>
            <w:r>
              <w:rPr>
                <w:color w:val="FFFFFF"/>
                <w:spacing w:val="-2"/>
                <w:sz w:val="18"/>
              </w:rPr>
              <w:t xml:space="preserve"> driver</w:t>
            </w:r>
          </w:p>
        </w:tc>
        <w:tc>
          <w:tcPr>
            <w:tcW w:w="1199" w:type="dxa"/>
            <w:tcBorders>
              <w:top w:val="nil"/>
            </w:tcBorders>
            <w:shd w:val="clear" w:color="auto" w:fill="006CA3"/>
          </w:tcPr>
          <w:p w14:paraId="6347424F" w14:textId="77777777" w:rsidR="00141B97" w:rsidRDefault="00911D63">
            <w:pPr>
              <w:pStyle w:val="TableParagraph"/>
              <w:spacing w:before="95"/>
              <w:ind w:right="95"/>
              <w:jc w:val="right"/>
              <w:rPr>
                <w:sz w:val="18"/>
              </w:rPr>
            </w:pPr>
            <w:r>
              <w:rPr>
                <w:color w:val="FFFFFF"/>
                <w:spacing w:val="-2"/>
                <w:sz w:val="18"/>
              </w:rPr>
              <w:t>2023‐24</w:t>
            </w:r>
          </w:p>
        </w:tc>
        <w:tc>
          <w:tcPr>
            <w:tcW w:w="1198" w:type="dxa"/>
            <w:tcBorders>
              <w:top w:val="nil"/>
            </w:tcBorders>
            <w:shd w:val="clear" w:color="auto" w:fill="006CA3"/>
          </w:tcPr>
          <w:p w14:paraId="3FC7BB66" w14:textId="77777777" w:rsidR="00141B97" w:rsidRDefault="00911D63">
            <w:pPr>
              <w:pStyle w:val="TableParagraph"/>
              <w:spacing w:before="95"/>
              <w:ind w:right="94"/>
              <w:jc w:val="right"/>
              <w:rPr>
                <w:sz w:val="18"/>
              </w:rPr>
            </w:pPr>
            <w:r>
              <w:rPr>
                <w:color w:val="FFFFFF"/>
                <w:spacing w:val="-2"/>
                <w:sz w:val="18"/>
              </w:rPr>
              <w:t>2024‐25</w:t>
            </w:r>
          </w:p>
        </w:tc>
        <w:tc>
          <w:tcPr>
            <w:tcW w:w="1198" w:type="dxa"/>
            <w:tcBorders>
              <w:top w:val="nil"/>
            </w:tcBorders>
            <w:shd w:val="clear" w:color="auto" w:fill="006CA3"/>
          </w:tcPr>
          <w:p w14:paraId="6C6D04B4" w14:textId="77777777" w:rsidR="00141B97" w:rsidRDefault="00911D63">
            <w:pPr>
              <w:pStyle w:val="TableParagraph"/>
              <w:spacing w:before="95"/>
              <w:ind w:right="95"/>
              <w:jc w:val="right"/>
              <w:rPr>
                <w:sz w:val="18"/>
              </w:rPr>
            </w:pPr>
            <w:r>
              <w:rPr>
                <w:color w:val="FFFFFF"/>
                <w:spacing w:val="-2"/>
                <w:sz w:val="18"/>
              </w:rPr>
              <w:t>2025‐26</w:t>
            </w:r>
          </w:p>
        </w:tc>
        <w:tc>
          <w:tcPr>
            <w:tcW w:w="1199" w:type="dxa"/>
            <w:tcBorders>
              <w:top w:val="nil"/>
            </w:tcBorders>
            <w:shd w:val="clear" w:color="auto" w:fill="006CA3"/>
          </w:tcPr>
          <w:p w14:paraId="2D5A66A0" w14:textId="77777777" w:rsidR="00141B97" w:rsidRDefault="00911D63">
            <w:pPr>
              <w:pStyle w:val="TableParagraph"/>
              <w:spacing w:before="95"/>
              <w:ind w:right="96"/>
              <w:jc w:val="right"/>
              <w:rPr>
                <w:sz w:val="18"/>
              </w:rPr>
            </w:pPr>
            <w:r>
              <w:rPr>
                <w:color w:val="FFFFFF"/>
                <w:spacing w:val="-2"/>
                <w:sz w:val="18"/>
              </w:rPr>
              <w:t>2026‐27</w:t>
            </w:r>
          </w:p>
        </w:tc>
        <w:tc>
          <w:tcPr>
            <w:tcW w:w="1198" w:type="dxa"/>
            <w:tcBorders>
              <w:top w:val="nil"/>
            </w:tcBorders>
            <w:shd w:val="clear" w:color="auto" w:fill="006CA3"/>
          </w:tcPr>
          <w:p w14:paraId="001FDE12" w14:textId="77777777" w:rsidR="00141B97" w:rsidRDefault="00911D63">
            <w:pPr>
              <w:pStyle w:val="TableParagraph"/>
              <w:spacing w:before="95"/>
              <w:ind w:right="95"/>
              <w:jc w:val="right"/>
              <w:rPr>
                <w:sz w:val="18"/>
              </w:rPr>
            </w:pPr>
            <w:r>
              <w:rPr>
                <w:color w:val="FFFFFF"/>
                <w:spacing w:val="-2"/>
                <w:sz w:val="18"/>
              </w:rPr>
              <w:t>2027‐28</w:t>
            </w:r>
          </w:p>
        </w:tc>
        <w:tc>
          <w:tcPr>
            <w:tcW w:w="1013" w:type="dxa"/>
            <w:tcBorders>
              <w:top w:val="nil"/>
              <w:right w:val="nil"/>
            </w:tcBorders>
            <w:shd w:val="clear" w:color="auto" w:fill="006CA3"/>
          </w:tcPr>
          <w:p w14:paraId="61971920" w14:textId="77777777" w:rsidR="00141B97" w:rsidRDefault="00911D63">
            <w:pPr>
              <w:pStyle w:val="TableParagraph"/>
              <w:spacing w:before="95"/>
              <w:ind w:right="85"/>
              <w:jc w:val="right"/>
              <w:rPr>
                <w:sz w:val="18"/>
              </w:rPr>
            </w:pPr>
            <w:r>
              <w:rPr>
                <w:color w:val="FFFFFF"/>
                <w:spacing w:val="-2"/>
                <w:sz w:val="18"/>
              </w:rPr>
              <w:t>TOTAL</w:t>
            </w:r>
          </w:p>
        </w:tc>
      </w:tr>
      <w:tr w:rsidR="00141B97" w14:paraId="35D79DEF" w14:textId="77777777">
        <w:trPr>
          <w:trHeight w:val="220"/>
          <w:tblCellSpacing w:w="9" w:type="dxa"/>
        </w:trPr>
        <w:tc>
          <w:tcPr>
            <w:tcW w:w="5408" w:type="dxa"/>
            <w:tcBorders>
              <w:left w:val="nil"/>
            </w:tcBorders>
            <w:shd w:val="clear" w:color="auto" w:fill="CCE2ED"/>
          </w:tcPr>
          <w:p w14:paraId="666A6144" w14:textId="77777777" w:rsidR="00141B97" w:rsidRDefault="00911D63">
            <w:pPr>
              <w:pStyle w:val="TableParagraph"/>
              <w:spacing w:line="200" w:lineRule="exact"/>
              <w:ind w:left="88"/>
              <w:rPr>
                <w:sz w:val="18"/>
              </w:rPr>
            </w:pPr>
            <w:r>
              <w:rPr>
                <w:sz w:val="18"/>
              </w:rPr>
              <w:t>MDA</w:t>
            </w:r>
            <w:r>
              <w:rPr>
                <w:spacing w:val="-2"/>
                <w:sz w:val="18"/>
              </w:rPr>
              <w:t xml:space="preserve"> </w:t>
            </w:r>
            <w:r>
              <w:rPr>
                <w:sz w:val="18"/>
              </w:rPr>
              <w:t>Drainage</w:t>
            </w:r>
            <w:r>
              <w:rPr>
                <w:spacing w:val="-1"/>
                <w:sz w:val="18"/>
              </w:rPr>
              <w:t xml:space="preserve"> </w:t>
            </w:r>
            <w:r>
              <w:rPr>
                <w:sz w:val="18"/>
              </w:rPr>
              <w:t>Pit</w:t>
            </w:r>
            <w:r>
              <w:rPr>
                <w:spacing w:val="-2"/>
                <w:sz w:val="18"/>
              </w:rPr>
              <w:t xml:space="preserve"> </w:t>
            </w:r>
            <w:r>
              <w:rPr>
                <w:spacing w:val="-4"/>
                <w:sz w:val="18"/>
              </w:rPr>
              <w:t>Lids</w:t>
            </w:r>
          </w:p>
        </w:tc>
        <w:tc>
          <w:tcPr>
            <w:tcW w:w="1393" w:type="dxa"/>
            <w:shd w:val="clear" w:color="auto" w:fill="CCE2ED"/>
          </w:tcPr>
          <w:p w14:paraId="1A225256" w14:textId="77777777" w:rsidR="00141B97" w:rsidRDefault="00911D63">
            <w:pPr>
              <w:pStyle w:val="TableParagraph"/>
              <w:spacing w:line="200" w:lineRule="exact"/>
              <w:ind w:right="94"/>
              <w:jc w:val="right"/>
              <w:rPr>
                <w:sz w:val="18"/>
              </w:rPr>
            </w:pPr>
            <w:r>
              <w:rPr>
                <w:spacing w:val="-2"/>
                <w:sz w:val="18"/>
              </w:rPr>
              <w:t>Drainage</w:t>
            </w:r>
          </w:p>
        </w:tc>
        <w:tc>
          <w:tcPr>
            <w:tcW w:w="1860" w:type="dxa"/>
            <w:shd w:val="clear" w:color="auto" w:fill="CCE2ED"/>
          </w:tcPr>
          <w:p w14:paraId="31BD5E8C" w14:textId="77777777" w:rsidR="00141B97" w:rsidRDefault="00911D63">
            <w:pPr>
              <w:pStyle w:val="TableParagraph"/>
              <w:spacing w:line="200" w:lineRule="exact"/>
              <w:ind w:right="95"/>
              <w:jc w:val="right"/>
              <w:rPr>
                <w:sz w:val="18"/>
              </w:rPr>
            </w:pPr>
            <w:r>
              <w:rPr>
                <w:spacing w:val="-2"/>
                <w:sz w:val="18"/>
              </w:rPr>
              <w:t>Renewals</w:t>
            </w:r>
          </w:p>
        </w:tc>
        <w:tc>
          <w:tcPr>
            <w:tcW w:w="1199" w:type="dxa"/>
            <w:shd w:val="clear" w:color="auto" w:fill="CCE2ED"/>
          </w:tcPr>
          <w:p w14:paraId="48E0E844" w14:textId="77777777" w:rsidR="00141B97" w:rsidRDefault="00911D63">
            <w:pPr>
              <w:pStyle w:val="TableParagraph"/>
              <w:spacing w:line="200" w:lineRule="exact"/>
              <w:ind w:right="96"/>
              <w:jc w:val="right"/>
              <w:rPr>
                <w:sz w:val="18"/>
              </w:rPr>
            </w:pPr>
            <w:r>
              <w:rPr>
                <w:spacing w:val="-4"/>
                <w:sz w:val="18"/>
              </w:rPr>
              <w:t>0.04</w:t>
            </w:r>
          </w:p>
        </w:tc>
        <w:tc>
          <w:tcPr>
            <w:tcW w:w="1198" w:type="dxa"/>
            <w:shd w:val="clear" w:color="auto" w:fill="CCE2ED"/>
          </w:tcPr>
          <w:p w14:paraId="773B5683" w14:textId="77777777" w:rsidR="00141B97" w:rsidRDefault="00911D63">
            <w:pPr>
              <w:pStyle w:val="TableParagraph"/>
              <w:spacing w:line="200" w:lineRule="exact"/>
              <w:ind w:right="95"/>
              <w:jc w:val="right"/>
              <w:rPr>
                <w:sz w:val="18"/>
              </w:rPr>
            </w:pPr>
            <w:r>
              <w:rPr>
                <w:spacing w:val="-4"/>
                <w:sz w:val="18"/>
              </w:rPr>
              <w:t>0.04</w:t>
            </w:r>
          </w:p>
        </w:tc>
        <w:tc>
          <w:tcPr>
            <w:tcW w:w="1198" w:type="dxa"/>
            <w:shd w:val="clear" w:color="auto" w:fill="CCE2ED"/>
          </w:tcPr>
          <w:p w14:paraId="3A72C950" w14:textId="77777777" w:rsidR="00141B97" w:rsidRDefault="00911D63">
            <w:pPr>
              <w:pStyle w:val="TableParagraph"/>
              <w:spacing w:line="200" w:lineRule="exact"/>
              <w:ind w:right="96"/>
              <w:jc w:val="right"/>
              <w:rPr>
                <w:sz w:val="18"/>
              </w:rPr>
            </w:pPr>
            <w:r>
              <w:rPr>
                <w:spacing w:val="-4"/>
                <w:sz w:val="18"/>
              </w:rPr>
              <w:t>0.04</w:t>
            </w:r>
          </w:p>
        </w:tc>
        <w:tc>
          <w:tcPr>
            <w:tcW w:w="1199" w:type="dxa"/>
            <w:shd w:val="clear" w:color="auto" w:fill="CCE2ED"/>
          </w:tcPr>
          <w:p w14:paraId="60A1E74A" w14:textId="77777777" w:rsidR="00141B97" w:rsidRDefault="00911D63">
            <w:pPr>
              <w:pStyle w:val="TableParagraph"/>
              <w:spacing w:line="200" w:lineRule="exact"/>
              <w:ind w:right="97"/>
              <w:jc w:val="right"/>
              <w:rPr>
                <w:sz w:val="18"/>
              </w:rPr>
            </w:pPr>
            <w:r>
              <w:rPr>
                <w:spacing w:val="-4"/>
                <w:sz w:val="18"/>
              </w:rPr>
              <w:t>0.04</w:t>
            </w:r>
          </w:p>
        </w:tc>
        <w:tc>
          <w:tcPr>
            <w:tcW w:w="1198" w:type="dxa"/>
            <w:shd w:val="clear" w:color="auto" w:fill="CCE2ED"/>
          </w:tcPr>
          <w:p w14:paraId="3E32EAEF" w14:textId="77777777" w:rsidR="00141B97" w:rsidRDefault="00911D63">
            <w:pPr>
              <w:pStyle w:val="TableParagraph"/>
              <w:spacing w:line="200" w:lineRule="exact"/>
              <w:ind w:right="96"/>
              <w:jc w:val="right"/>
              <w:rPr>
                <w:sz w:val="18"/>
              </w:rPr>
            </w:pPr>
            <w:r>
              <w:rPr>
                <w:spacing w:val="-4"/>
                <w:sz w:val="18"/>
              </w:rPr>
              <w:t>0.04</w:t>
            </w:r>
          </w:p>
        </w:tc>
        <w:tc>
          <w:tcPr>
            <w:tcW w:w="1013" w:type="dxa"/>
            <w:tcBorders>
              <w:right w:val="nil"/>
            </w:tcBorders>
            <w:shd w:val="clear" w:color="auto" w:fill="CCE2ED"/>
          </w:tcPr>
          <w:p w14:paraId="426B9FA0" w14:textId="77777777" w:rsidR="00141B97" w:rsidRDefault="00911D63">
            <w:pPr>
              <w:pStyle w:val="TableParagraph"/>
              <w:spacing w:line="200" w:lineRule="exact"/>
              <w:ind w:right="86"/>
              <w:jc w:val="right"/>
              <w:rPr>
                <w:sz w:val="18"/>
              </w:rPr>
            </w:pPr>
            <w:r>
              <w:rPr>
                <w:spacing w:val="-4"/>
                <w:sz w:val="18"/>
              </w:rPr>
              <w:t>0.21</w:t>
            </w:r>
          </w:p>
        </w:tc>
      </w:tr>
      <w:tr w:rsidR="00141B97" w14:paraId="07AC00CC" w14:textId="77777777">
        <w:trPr>
          <w:trHeight w:val="218"/>
          <w:tblCellSpacing w:w="9" w:type="dxa"/>
        </w:trPr>
        <w:tc>
          <w:tcPr>
            <w:tcW w:w="5408" w:type="dxa"/>
            <w:tcBorders>
              <w:left w:val="nil"/>
            </w:tcBorders>
            <w:shd w:val="clear" w:color="auto" w:fill="CCE2ED"/>
          </w:tcPr>
          <w:p w14:paraId="2BD2A760" w14:textId="77777777" w:rsidR="00141B97" w:rsidRDefault="00911D63">
            <w:pPr>
              <w:pStyle w:val="TableParagraph"/>
              <w:spacing w:line="199" w:lineRule="exact"/>
              <w:ind w:left="88"/>
              <w:rPr>
                <w:sz w:val="18"/>
              </w:rPr>
            </w:pPr>
            <w:r>
              <w:rPr>
                <w:sz w:val="18"/>
              </w:rPr>
              <w:t>MDA</w:t>
            </w:r>
            <w:r>
              <w:rPr>
                <w:spacing w:val="-3"/>
                <w:sz w:val="18"/>
              </w:rPr>
              <w:t xml:space="preserve"> </w:t>
            </w:r>
            <w:r>
              <w:rPr>
                <w:sz w:val="18"/>
              </w:rPr>
              <w:t>Minor</w:t>
            </w:r>
            <w:r>
              <w:rPr>
                <w:spacing w:val="-3"/>
                <w:sz w:val="18"/>
              </w:rPr>
              <w:t xml:space="preserve"> </w:t>
            </w:r>
            <w:r>
              <w:rPr>
                <w:sz w:val="18"/>
              </w:rPr>
              <w:t>Drainage</w:t>
            </w:r>
            <w:r>
              <w:rPr>
                <w:spacing w:val="-4"/>
                <w:sz w:val="18"/>
              </w:rPr>
              <w:t xml:space="preserve"> </w:t>
            </w:r>
            <w:r>
              <w:rPr>
                <w:sz w:val="18"/>
              </w:rPr>
              <w:t>Pipeline</w:t>
            </w:r>
            <w:r>
              <w:rPr>
                <w:spacing w:val="-3"/>
                <w:sz w:val="18"/>
              </w:rPr>
              <w:t xml:space="preserve"> </w:t>
            </w:r>
            <w:r>
              <w:rPr>
                <w:spacing w:val="-2"/>
                <w:sz w:val="18"/>
              </w:rPr>
              <w:t>Replacements</w:t>
            </w:r>
          </w:p>
        </w:tc>
        <w:tc>
          <w:tcPr>
            <w:tcW w:w="1393" w:type="dxa"/>
            <w:shd w:val="clear" w:color="auto" w:fill="CCE2ED"/>
          </w:tcPr>
          <w:p w14:paraId="4B6BE7A4" w14:textId="77777777" w:rsidR="00141B97" w:rsidRDefault="00911D63">
            <w:pPr>
              <w:pStyle w:val="TableParagraph"/>
              <w:spacing w:line="199" w:lineRule="exact"/>
              <w:ind w:right="94"/>
              <w:jc w:val="right"/>
              <w:rPr>
                <w:sz w:val="18"/>
              </w:rPr>
            </w:pPr>
            <w:r>
              <w:rPr>
                <w:spacing w:val="-2"/>
                <w:sz w:val="18"/>
              </w:rPr>
              <w:t>Drainage</w:t>
            </w:r>
          </w:p>
        </w:tc>
        <w:tc>
          <w:tcPr>
            <w:tcW w:w="1860" w:type="dxa"/>
            <w:shd w:val="clear" w:color="auto" w:fill="CCE2ED"/>
          </w:tcPr>
          <w:p w14:paraId="05A24949"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3DE22CAB" w14:textId="77777777" w:rsidR="00141B97" w:rsidRDefault="00911D63">
            <w:pPr>
              <w:pStyle w:val="TableParagraph"/>
              <w:spacing w:line="199" w:lineRule="exact"/>
              <w:ind w:right="96"/>
              <w:jc w:val="right"/>
              <w:rPr>
                <w:sz w:val="18"/>
              </w:rPr>
            </w:pPr>
            <w:r>
              <w:rPr>
                <w:spacing w:val="-4"/>
                <w:sz w:val="18"/>
              </w:rPr>
              <w:t>0.00</w:t>
            </w:r>
          </w:p>
        </w:tc>
        <w:tc>
          <w:tcPr>
            <w:tcW w:w="1198" w:type="dxa"/>
            <w:shd w:val="clear" w:color="auto" w:fill="CCE2ED"/>
          </w:tcPr>
          <w:p w14:paraId="28D869F9" w14:textId="77777777" w:rsidR="00141B97" w:rsidRDefault="00911D63">
            <w:pPr>
              <w:pStyle w:val="TableParagraph"/>
              <w:spacing w:line="199" w:lineRule="exact"/>
              <w:ind w:right="95"/>
              <w:jc w:val="right"/>
              <w:rPr>
                <w:sz w:val="18"/>
              </w:rPr>
            </w:pPr>
            <w:r>
              <w:rPr>
                <w:spacing w:val="-4"/>
                <w:sz w:val="18"/>
              </w:rPr>
              <w:t>0.00</w:t>
            </w:r>
          </w:p>
        </w:tc>
        <w:tc>
          <w:tcPr>
            <w:tcW w:w="1198" w:type="dxa"/>
            <w:shd w:val="clear" w:color="auto" w:fill="CCE2ED"/>
          </w:tcPr>
          <w:p w14:paraId="116644BC" w14:textId="77777777" w:rsidR="00141B97" w:rsidRDefault="00911D63">
            <w:pPr>
              <w:pStyle w:val="TableParagraph"/>
              <w:spacing w:line="199" w:lineRule="exact"/>
              <w:ind w:right="96"/>
              <w:jc w:val="right"/>
              <w:rPr>
                <w:sz w:val="18"/>
              </w:rPr>
            </w:pPr>
            <w:r>
              <w:rPr>
                <w:spacing w:val="-4"/>
                <w:sz w:val="18"/>
              </w:rPr>
              <w:t>0.15</w:t>
            </w:r>
          </w:p>
        </w:tc>
        <w:tc>
          <w:tcPr>
            <w:tcW w:w="1199" w:type="dxa"/>
            <w:shd w:val="clear" w:color="auto" w:fill="CCE2ED"/>
          </w:tcPr>
          <w:p w14:paraId="1B679A85" w14:textId="77777777" w:rsidR="00141B97" w:rsidRDefault="00911D63">
            <w:pPr>
              <w:pStyle w:val="TableParagraph"/>
              <w:spacing w:line="199" w:lineRule="exact"/>
              <w:ind w:right="97"/>
              <w:jc w:val="right"/>
              <w:rPr>
                <w:sz w:val="18"/>
              </w:rPr>
            </w:pPr>
            <w:r>
              <w:rPr>
                <w:spacing w:val="-4"/>
                <w:sz w:val="18"/>
              </w:rPr>
              <w:t>0.00</w:t>
            </w:r>
          </w:p>
        </w:tc>
        <w:tc>
          <w:tcPr>
            <w:tcW w:w="1198" w:type="dxa"/>
            <w:shd w:val="clear" w:color="auto" w:fill="CCE2ED"/>
          </w:tcPr>
          <w:p w14:paraId="709F98F6" w14:textId="77777777" w:rsidR="00141B97" w:rsidRDefault="00911D63">
            <w:pPr>
              <w:pStyle w:val="TableParagraph"/>
              <w:spacing w:line="199" w:lineRule="exact"/>
              <w:ind w:right="96"/>
              <w:jc w:val="right"/>
              <w:rPr>
                <w:sz w:val="18"/>
              </w:rPr>
            </w:pPr>
            <w:r>
              <w:rPr>
                <w:spacing w:val="-4"/>
                <w:sz w:val="18"/>
              </w:rPr>
              <w:t>0.40</w:t>
            </w:r>
          </w:p>
        </w:tc>
        <w:tc>
          <w:tcPr>
            <w:tcW w:w="1013" w:type="dxa"/>
            <w:tcBorders>
              <w:right w:val="nil"/>
            </w:tcBorders>
            <w:shd w:val="clear" w:color="auto" w:fill="CCE2ED"/>
          </w:tcPr>
          <w:p w14:paraId="35BBFB7F" w14:textId="77777777" w:rsidR="00141B97" w:rsidRDefault="00911D63">
            <w:pPr>
              <w:pStyle w:val="TableParagraph"/>
              <w:spacing w:line="199" w:lineRule="exact"/>
              <w:ind w:right="86"/>
              <w:jc w:val="right"/>
              <w:rPr>
                <w:sz w:val="18"/>
              </w:rPr>
            </w:pPr>
            <w:r>
              <w:rPr>
                <w:spacing w:val="-4"/>
                <w:sz w:val="18"/>
              </w:rPr>
              <w:t>0.55</w:t>
            </w:r>
          </w:p>
        </w:tc>
      </w:tr>
      <w:tr w:rsidR="00141B97" w14:paraId="46C68CDD" w14:textId="77777777">
        <w:trPr>
          <w:trHeight w:val="220"/>
          <w:tblCellSpacing w:w="9" w:type="dxa"/>
        </w:trPr>
        <w:tc>
          <w:tcPr>
            <w:tcW w:w="5408" w:type="dxa"/>
            <w:tcBorders>
              <w:left w:val="nil"/>
            </w:tcBorders>
            <w:shd w:val="clear" w:color="auto" w:fill="CCE2ED"/>
          </w:tcPr>
          <w:p w14:paraId="6CA7346D" w14:textId="77777777" w:rsidR="00141B97" w:rsidRDefault="00911D63">
            <w:pPr>
              <w:pStyle w:val="TableParagraph"/>
              <w:spacing w:before="1" w:line="199" w:lineRule="exact"/>
              <w:ind w:left="88"/>
              <w:rPr>
                <w:sz w:val="18"/>
              </w:rPr>
            </w:pPr>
            <w:r>
              <w:rPr>
                <w:sz w:val="18"/>
              </w:rPr>
              <w:t>RC</w:t>
            </w:r>
            <w:r>
              <w:rPr>
                <w:spacing w:val="-2"/>
                <w:sz w:val="18"/>
              </w:rPr>
              <w:t xml:space="preserve"> </w:t>
            </w:r>
            <w:r>
              <w:rPr>
                <w:sz w:val="18"/>
              </w:rPr>
              <w:t>Drainage</w:t>
            </w:r>
            <w:r>
              <w:rPr>
                <w:spacing w:val="-1"/>
                <w:sz w:val="18"/>
              </w:rPr>
              <w:t xml:space="preserve"> </w:t>
            </w:r>
            <w:r>
              <w:rPr>
                <w:sz w:val="18"/>
              </w:rPr>
              <w:t>Pit</w:t>
            </w:r>
            <w:r>
              <w:rPr>
                <w:spacing w:val="-1"/>
                <w:sz w:val="18"/>
              </w:rPr>
              <w:t xml:space="preserve"> </w:t>
            </w:r>
            <w:r>
              <w:rPr>
                <w:spacing w:val="-4"/>
                <w:sz w:val="18"/>
              </w:rPr>
              <w:t>Lids</w:t>
            </w:r>
          </w:p>
        </w:tc>
        <w:tc>
          <w:tcPr>
            <w:tcW w:w="1393" w:type="dxa"/>
            <w:shd w:val="clear" w:color="auto" w:fill="CCE2ED"/>
          </w:tcPr>
          <w:p w14:paraId="65931AC7"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577734C2"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132FE8F8" w14:textId="77777777" w:rsidR="00141B97" w:rsidRDefault="00911D63">
            <w:pPr>
              <w:pStyle w:val="TableParagraph"/>
              <w:spacing w:before="1" w:line="199" w:lineRule="exact"/>
              <w:ind w:right="96"/>
              <w:jc w:val="right"/>
              <w:rPr>
                <w:sz w:val="18"/>
              </w:rPr>
            </w:pPr>
            <w:r>
              <w:rPr>
                <w:spacing w:val="-4"/>
                <w:sz w:val="18"/>
              </w:rPr>
              <w:t>0.06</w:t>
            </w:r>
          </w:p>
        </w:tc>
        <w:tc>
          <w:tcPr>
            <w:tcW w:w="1198" w:type="dxa"/>
            <w:shd w:val="clear" w:color="auto" w:fill="CCE2ED"/>
          </w:tcPr>
          <w:p w14:paraId="30093A8D" w14:textId="77777777" w:rsidR="00141B97" w:rsidRDefault="00911D63">
            <w:pPr>
              <w:pStyle w:val="TableParagraph"/>
              <w:spacing w:before="1" w:line="199" w:lineRule="exact"/>
              <w:ind w:right="95"/>
              <w:jc w:val="right"/>
              <w:rPr>
                <w:sz w:val="18"/>
              </w:rPr>
            </w:pPr>
            <w:r>
              <w:rPr>
                <w:spacing w:val="-4"/>
                <w:sz w:val="18"/>
              </w:rPr>
              <w:t>0.06</w:t>
            </w:r>
          </w:p>
        </w:tc>
        <w:tc>
          <w:tcPr>
            <w:tcW w:w="1198" w:type="dxa"/>
            <w:shd w:val="clear" w:color="auto" w:fill="CCE2ED"/>
          </w:tcPr>
          <w:p w14:paraId="6D17FF7F" w14:textId="77777777" w:rsidR="00141B97" w:rsidRDefault="00911D63">
            <w:pPr>
              <w:pStyle w:val="TableParagraph"/>
              <w:spacing w:before="1" w:line="199" w:lineRule="exact"/>
              <w:ind w:right="96"/>
              <w:jc w:val="right"/>
              <w:rPr>
                <w:sz w:val="18"/>
              </w:rPr>
            </w:pPr>
            <w:r>
              <w:rPr>
                <w:spacing w:val="-4"/>
                <w:sz w:val="18"/>
              </w:rPr>
              <w:t>0.06</w:t>
            </w:r>
          </w:p>
        </w:tc>
        <w:tc>
          <w:tcPr>
            <w:tcW w:w="1199" w:type="dxa"/>
            <w:shd w:val="clear" w:color="auto" w:fill="CCE2ED"/>
          </w:tcPr>
          <w:p w14:paraId="4CB1A7E4" w14:textId="77777777" w:rsidR="00141B97" w:rsidRDefault="00911D63">
            <w:pPr>
              <w:pStyle w:val="TableParagraph"/>
              <w:spacing w:before="1" w:line="199" w:lineRule="exact"/>
              <w:ind w:right="97"/>
              <w:jc w:val="right"/>
              <w:rPr>
                <w:sz w:val="18"/>
              </w:rPr>
            </w:pPr>
            <w:r>
              <w:rPr>
                <w:spacing w:val="-4"/>
                <w:sz w:val="18"/>
              </w:rPr>
              <w:t>0.06</w:t>
            </w:r>
          </w:p>
        </w:tc>
        <w:tc>
          <w:tcPr>
            <w:tcW w:w="1198" w:type="dxa"/>
            <w:shd w:val="clear" w:color="auto" w:fill="CCE2ED"/>
          </w:tcPr>
          <w:p w14:paraId="5682C04D" w14:textId="77777777" w:rsidR="00141B97" w:rsidRDefault="00911D63">
            <w:pPr>
              <w:pStyle w:val="TableParagraph"/>
              <w:spacing w:before="1" w:line="199" w:lineRule="exact"/>
              <w:ind w:right="96"/>
              <w:jc w:val="right"/>
              <w:rPr>
                <w:sz w:val="18"/>
              </w:rPr>
            </w:pPr>
            <w:r>
              <w:rPr>
                <w:spacing w:val="-4"/>
                <w:sz w:val="18"/>
              </w:rPr>
              <w:t>0.06</w:t>
            </w:r>
          </w:p>
        </w:tc>
        <w:tc>
          <w:tcPr>
            <w:tcW w:w="1013" w:type="dxa"/>
            <w:tcBorders>
              <w:right w:val="nil"/>
            </w:tcBorders>
            <w:shd w:val="clear" w:color="auto" w:fill="CCE2ED"/>
          </w:tcPr>
          <w:p w14:paraId="71182814" w14:textId="77777777" w:rsidR="00141B97" w:rsidRDefault="00911D63">
            <w:pPr>
              <w:pStyle w:val="TableParagraph"/>
              <w:spacing w:before="1" w:line="199" w:lineRule="exact"/>
              <w:ind w:right="86"/>
              <w:jc w:val="right"/>
              <w:rPr>
                <w:sz w:val="18"/>
              </w:rPr>
            </w:pPr>
            <w:r>
              <w:rPr>
                <w:spacing w:val="-4"/>
                <w:sz w:val="18"/>
              </w:rPr>
              <w:t>0.32</w:t>
            </w:r>
          </w:p>
        </w:tc>
      </w:tr>
      <w:tr w:rsidR="00141B97" w14:paraId="383497F9" w14:textId="77777777">
        <w:trPr>
          <w:trHeight w:val="220"/>
          <w:tblCellSpacing w:w="9" w:type="dxa"/>
        </w:trPr>
        <w:tc>
          <w:tcPr>
            <w:tcW w:w="5408" w:type="dxa"/>
            <w:tcBorders>
              <w:left w:val="nil"/>
            </w:tcBorders>
            <w:shd w:val="clear" w:color="auto" w:fill="CCE2ED"/>
          </w:tcPr>
          <w:p w14:paraId="4A16CF07" w14:textId="77777777" w:rsidR="00141B97" w:rsidRDefault="00911D63">
            <w:pPr>
              <w:pStyle w:val="TableParagraph"/>
              <w:spacing w:before="1" w:line="199" w:lineRule="exact"/>
              <w:ind w:left="88"/>
              <w:rPr>
                <w:sz w:val="18"/>
              </w:rPr>
            </w:pPr>
            <w:r>
              <w:rPr>
                <w:sz w:val="18"/>
              </w:rPr>
              <w:t>RC</w:t>
            </w:r>
            <w:r>
              <w:rPr>
                <w:spacing w:val="-5"/>
                <w:sz w:val="18"/>
              </w:rPr>
              <w:t xml:space="preserve"> </w:t>
            </w:r>
            <w:r>
              <w:rPr>
                <w:sz w:val="18"/>
              </w:rPr>
              <w:t>Minor</w:t>
            </w:r>
            <w:r>
              <w:rPr>
                <w:spacing w:val="-3"/>
                <w:sz w:val="18"/>
              </w:rPr>
              <w:t xml:space="preserve"> </w:t>
            </w:r>
            <w:r>
              <w:rPr>
                <w:sz w:val="18"/>
              </w:rPr>
              <w:t>Drainage</w:t>
            </w:r>
            <w:r>
              <w:rPr>
                <w:spacing w:val="-4"/>
                <w:sz w:val="18"/>
              </w:rPr>
              <w:t xml:space="preserve"> </w:t>
            </w:r>
            <w:r>
              <w:rPr>
                <w:sz w:val="18"/>
              </w:rPr>
              <w:t>Pipeline</w:t>
            </w:r>
            <w:r>
              <w:rPr>
                <w:spacing w:val="-4"/>
                <w:sz w:val="18"/>
              </w:rPr>
              <w:t xml:space="preserve"> </w:t>
            </w:r>
            <w:r>
              <w:rPr>
                <w:spacing w:val="-2"/>
                <w:sz w:val="18"/>
              </w:rPr>
              <w:t>Replacements</w:t>
            </w:r>
          </w:p>
        </w:tc>
        <w:tc>
          <w:tcPr>
            <w:tcW w:w="1393" w:type="dxa"/>
            <w:shd w:val="clear" w:color="auto" w:fill="CCE2ED"/>
          </w:tcPr>
          <w:p w14:paraId="68112A17"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7588996E"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14731271" w14:textId="77777777" w:rsidR="00141B97" w:rsidRDefault="00911D63">
            <w:pPr>
              <w:pStyle w:val="TableParagraph"/>
              <w:spacing w:before="1" w:line="199" w:lineRule="exact"/>
              <w:ind w:right="96"/>
              <w:jc w:val="right"/>
              <w:rPr>
                <w:sz w:val="18"/>
              </w:rPr>
            </w:pPr>
            <w:r>
              <w:rPr>
                <w:spacing w:val="-4"/>
                <w:sz w:val="18"/>
              </w:rPr>
              <w:t>0.00</w:t>
            </w:r>
          </w:p>
        </w:tc>
        <w:tc>
          <w:tcPr>
            <w:tcW w:w="1198" w:type="dxa"/>
            <w:shd w:val="clear" w:color="auto" w:fill="CCE2ED"/>
          </w:tcPr>
          <w:p w14:paraId="1D9727BC" w14:textId="77777777" w:rsidR="00141B97" w:rsidRDefault="00911D63">
            <w:pPr>
              <w:pStyle w:val="TableParagraph"/>
              <w:spacing w:before="1" w:line="199" w:lineRule="exact"/>
              <w:ind w:right="95"/>
              <w:jc w:val="right"/>
              <w:rPr>
                <w:sz w:val="18"/>
              </w:rPr>
            </w:pPr>
            <w:r>
              <w:rPr>
                <w:spacing w:val="-4"/>
                <w:sz w:val="18"/>
              </w:rPr>
              <w:t>0.00</w:t>
            </w:r>
          </w:p>
        </w:tc>
        <w:tc>
          <w:tcPr>
            <w:tcW w:w="1198" w:type="dxa"/>
            <w:shd w:val="clear" w:color="auto" w:fill="CCE2ED"/>
          </w:tcPr>
          <w:p w14:paraId="4ADC10FE" w14:textId="77777777" w:rsidR="00141B97" w:rsidRDefault="00911D63">
            <w:pPr>
              <w:pStyle w:val="TableParagraph"/>
              <w:spacing w:before="1" w:line="199" w:lineRule="exact"/>
              <w:ind w:right="96"/>
              <w:jc w:val="right"/>
              <w:rPr>
                <w:sz w:val="18"/>
              </w:rPr>
            </w:pPr>
            <w:r>
              <w:rPr>
                <w:spacing w:val="-4"/>
                <w:sz w:val="18"/>
              </w:rPr>
              <w:t>0.11</w:t>
            </w:r>
          </w:p>
        </w:tc>
        <w:tc>
          <w:tcPr>
            <w:tcW w:w="1199" w:type="dxa"/>
            <w:shd w:val="clear" w:color="auto" w:fill="CCE2ED"/>
          </w:tcPr>
          <w:p w14:paraId="7784B4DD" w14:textId="77777777" w:rsidR="00141B97" w:rsidRDefault="00911D63">
            <w:pPr>
              <w:pStyle w:val="TableParagraph"/>
              <w:spacing w:before="1" w:line="199" w:lineRule="exact"/>
              <w:ind w:right="97"/>
              <w:jc w:val="right"/>
              <w:rPr>
                <w:sz w:val="18"/>
              </w:rPr>
            </w:pPr>
            <w:r>
              <w:rPr>
                <w:spacing w:val="-4"/>
                <w:sz w:val="18"/>
              </w:rPr>
              <w:t>0.00</w:t>
            </w:r>
          </w:p>
        </w:tc>
        <w:tc>
          <w:tcPr>
            <w:tcW w:w="1198" w:type="dxa"/>
            <w:shd w:val="clear" w:color="auto" w:fill="CCE2ED"/>
          </w:tcPr>
          <w:p w14:paraId="391B8543" w14:textId="77777777" w:rsidR="00141B97" w:rsidRDefault="00911D63">
            <w:pPr>
              <w:pStyle w:val="TableParagraph"/>
              <w:spacing w:before="1" w:line="199" w:lineRule="exact"/>
              <w:ind w:right="96"/>
              <w:jc w:val="right"/>
              <w:rPr>
                <w:sz w:val="18"/>
              </w:rPr>
            </w:pPr>
            <w:r>
              <w:rPr>
                <w:spacing w:val="-4"/>
                <w:sz w:val="18"/>
              </w:rPr>
              <w:t>0.21</w:t>
            </w:r>
          </w:p>
        </w:tc>
        <w:tc>
          <w:tcPr>
            <w:tcW w:w="1013" w:type="dxa"/>
            <w:tcBorders>
              <w:right w:val="nil"/>
            </w:tcBorders>
            <w:shd w:val="clear" w:color="auto" w:fill="CCE2ED"/>
          </w:tcPr>
          <w:p w14:paraId="6FD4224B" w14:textId="77777777" w:rsidR="00141B97" w:rsidRDefault="00911D63">
            <w:pPr>
              <w:pStyle w:val="TableParagraph"/>
              <w:spacing w:before="1" w:line="199" w:lineRule="exact"/>
              <w:ind w:right="86"/>
              <w:jc w:val="right"/>
              <w:rPr>
                <w:sz w:val="18"/>
              </w:rPr>
            </w:pPr>
            <w:r>
              <w:rPr>
                <w:spacing w:val="-4"/>
                <w:sz w:val="18"/>
              </w:rPr>
              <w:t>0.32</w:t>
            </w:r>
          </w:p>
        </w:tc>
      </w:tr>
      <w:tr w:rsidR="00141B97" w14:paraId="515E9A13" w14:textId="77777777">
        <w:trPr>
          <w:trHeight w:val="220"/>
          <w:tblCellSpacing w:w="9" w:type="dxa"/>
        </w:trPr>
        <w:tc>
          <w:tcPr>
            <w:tcW w:w="5408" w:type="dxa"/>
            <w:tcBorders>
              <w:left w:val="nil"/>
            </w:tcBorders>
            <w:shd w:val="clear" w:color="auto" w:fill="CCE2ED"/>
          </w:tcPr>
          <w:p w14:paraId="54B707B1" w14:textId="77777777" w:rsidR="00141B97" w:rsidRDefault="00911D63">
            <w:pPr>
              <w:pStyle w:val="TableParagraph"/>
              <w:spacing w:before="1" w:line="199" w:lineRule="exact"/>
              <w:ind w:left="88"/>
              <w:rPr>
                <w:sz w:val="18"/>
              </w:rPr>
            </w:pPr>
            <w:r>
              <w:rPr>
                <w:sz w:val="18"/>
              </w:rPr>
              <w:t>ROB</w:t>
            </w:r>
            <w:r>
              <w:rPr>
                <w:spacing w:val="-3"/>
                <w:sz w:val="18"/>
              </w:rPr>
              <w:t xml:space="preserve"> </w:t>
            </w:r>
            <w:r>
              <w:rPr>
                <w:sz w:val="18"/>
              </w:rPr>
              <w:t>Drainage</w:t>
            </w:r>
            <w:r>
              <w:rPr>
                <w:spacing w:val="-1"/>
                <w:sz w:val="18"/>
              </w:rPr>
              <w:t xml:space="preserve"> </w:t>
            </w:r>
            <w:r>
              <w:rPr>
                <w:sz w:val="18"/>
              </w:rPr>
              <w:t>Pit</w:t>
            </w:r>
            <w:r>
              <w:rPr>
                <w:spacing w:val="-2"/>
                <w:sz w:val="18"/>
              </w:rPr>
              <w:t xml:space="preserve"> </w:t>
            </w:r>
            <w:r>
              <w:rPr>
                <w:spacing w:val="-4"/>
                <w:sz w:val="18"/>
              </w:rPr>
              <w:t>Lids</w:t>
            </w:r>
          </w:p>
        </w:tc>
        <w:tc>
          <w:tcPr>
            <w:tcW w:w="1393" w:type="dxa"/>
            <w:shd w:val="clear" w:color="auto" w:fill="CCE2ED"/>
          </w:tcPr>
          <w:p w14:paraId="0CAF0225" w14:textId="77777777" w:rsidR="00141B97" w:rsidRDefault="00911D63">
            <w:pPr>
              <w:pStyle w:val="TableParagraph"/>
              <w:spacing w:before="1" w:line="199" w:lineRule="exact"/>
              <w:ind w:right="94"/>
              <w:jc w:val="right"/>
              <w:rPr>
                <w:sz w:val="18"/>
              </w:rPr>
            </w:pPr>
            <w:r>
              <w:rPr>
                <w:spacing w:val="-2"/>
                <w:sz w:val="18"/>
              </w:rPr>
              <w:t>Drainage</w:t>
            </w:r>
          </w:p>
        </w:tc>
        <w:tc>
          <w:tcPr>
            <w:tcW w:w="1860" w:type="dxa"/>
            <w:shd w:val="clear" w:color="auto" w:fill="CCE2ED"/>
          </w:tcPr>
          <w:p w14:paraId="30F20E0C"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5111BC93" w14:textId="77777777" w:rsidR="00141B97" w:rsidRDefault="00911D63">
            <w:pPr>
              <w:pStyle w:val="TableParagraph"/>
              <w:spacing w:before="1" w:line="199" w:lineRule="exact"/>
              <w:ind w:right="96"/>
              <w:jc w:val="right"/>
              <w:rPr>
                <w:sz w:val="18"/>
              </w:rPr>
            </w:pPr>
            <w:r>
              <w:rPr>
                <w:spacing w:val="-4"/>
                <w:sz w:val="18"/>
              </w:rPr>
              <w:t>0.03</w:t>
            </w:r>
          </w:p>
        </w:tc>
        <w:tc>
          <w:tcPr>
            <w:tcW w:w="1198" w:type="dxa"/>
            <w:shd w:val="clear" w:color="auto" w:fill="CCE2ED"/>
          </w:tcPr>
          <w:p w14:paraId="307C218E" w14:textId="77777777" w:rsidR="00141B97" w:rsidRDefault="00911D63">
            <w:pPr>
              <w:pStyle w:val="TableParagraph"/>
              <w:spacing w:before="1" w:line="199" w:lineRule="exact"/>
              <w:ind w:right="95"/>
              <w:jc w:val="right"/>
              <w:rPr>
                <w:sz w:val="18"/>
              </w:rPr>
            </w:pPr>
            <w:r>
              <w:rPr>
                <w:spacing w:val="-4"/>
                <w:sz w:val="18"/>
              </w:rPr>
              <w:t>0.03</w:t>
            </w:r>
          </w:p>
        </w:tc>
        <w:tc>
          <w:tcPr>
            <w:tcW w:w="1198" w:type="dxa"/>
            <w:shd w:val="clear" w:color="auto" w:fill="CCE2ED"/>
          </w:tcPr>
          <w:p w14:paraId="2520095F" w14:textId="77777777" w:rsidR="00141B97" w:rsidRDefault="00911D63">
            <w:pPr>
              <w:pStyle w:val="TableParagraph"/>
              <w:spacing w:before="1" w:line="199" w:lineRule="exact"/>
              <w:ind w:right="96"/>
              <w:jc w:val="right"/>
              <w:rPr>
                <w:sz w:val="18"/>
              </w:rPr>
            </w:pPr>
            <w:r>
              <w:rPr>
                <w:spacing w:val="-4"/>
                <w:sz w:val="18"/>
              </w:rPr>
              <w:t>0.03</w:t>
            </w:r>
          </w:p>
        </w:tc>
        <w:tc>
          <w:tcPr>
            <w:tcW w:w="1199" w:type="dxa"/>
            <w:shd w:val="clear" w:color="auto" w:fill="CCE2ED"/>
          </w:tcPr>
          <w:p w14:paraId="5914519C" w14:textId="77777777" w:rsidR="00141B97" w:rsidRDefault="00911D63">
            <w:pPr>
              <w:pStyle w:val="TableParagraph"/>
              <w:spacing w:before="1" w:line="199" w:lineRule="exact"/>
              <w:ind w:right="97"/>
              <w:jc w:val="right"/>
              <w:rPr>
                <w:sz w:val="18"/>
              </w:rPr>
            </w:pPr>
            <w:r>
              <w:rPr>
                <w:spacing w:val="-4"/>
                <w:sz w:val="18"/>
              </w:rPr>
              <w:t>0.03</w:t>
            </w:r>
          </w:p>
        </w:tc>
        <w:tc>
          <w:tcPr>
            <w:tcW w:w="1198" w:type="dxa"/>
            <w:shd w:val="clear" w:color="auto" w:fill="CCE2ED"/>
          </w:tcPr>
          <w:p w14:paraId="7B8BAE2D" w14:textId="77777777" w:rsidR="00141B97" w:rsidRDefault="00911D63">
            <w:pPr>
              <w:pStyle w:val="TableParagraph"/>
              <w:spacing w:before="1" w:line="199" w:lineRule="exact"/>
              <w:ind w:right="96"/>
              <w:jc w:val="right"/>
              <w:rPr>
                <w:sz w:val="18"/>
              </w:rPr>
            </w:pPr>
            <w:r>
              <w:rPr>
                <w:spacing w:val="-4"/>
                <w:sz w:val="18"/>
              </w:rPr>
              <w:t>0.03</w:t>
            </w:r>
          </w:p>
        </w:tc>
        <w:tc>
          <w:tcPr>
            <w:tcW w:w="1013" w:type="dxa"/>
            <w:tcBorders>
              <w:right w:val="nil"/>
            </w:tcBorders>
            <w:shd w:val="clear" w:color="auto" w:fill="CCE2ED"/>
          </w:tcPr>
          <w:p w14:paraId="38A5F2C1" w14:textId="77777777" w:rsidR="00141B97" w:rsidRDefault="00911D63">
            <w:pPr>
              <w:pStyle w:val="TableParagraph"/>
              <w:spacing w:before="1" w:line="199" w:lineRule="exact"/>
              <w:ind w:right="86"/>
              <w:jc w:val="right"/>
              <w:rPr>
                <w:sz w:val="18"/>
              </w:rPr>
            </w:pPr>
            <w:r>
              <w:rPr>
                <w:spacing w:val="-4"/>
                <w:sz w:val="18"/>
              </w:rPr>
              <w:t>0.16</w:t>
            </w:r>
          </w:p>
        </w:tc>
      </w:tr>
      <w:tr w:rsidR="00141B97" w14:paraId="5C80B328" w14:textId="77777777">
        <w:trPr>
          <w:trHeight w:val="218"/>
          <w:tblCellSpacing w:w="9" w:type="dxa"/>
        </w:trPr>
        <w:tc>
          <w:tcPr>
            <w:tcW w:w="5408" w:type="dxa"/>
            <w:tcBorders>
              <w:left w:val="nil"/>
            </w:tcBorders>
            <w:shd w:val="clear" w:color="auto" w:fill="CCE2ED"/>
          </w:tcPr>
          <w:p w14:paraId="35499B14" w14:textId="77777777" w:rsidR="00141B97" w:rsidRDefault="00911D63">
            <w:pPr>
              <w:pStyle w:val="TableParagraph"/>
              <w:spacing w:line="199" w:lineRule="exact"/>
              <w:ind w:left="88"/>
              <w:rPr>
                <w:sz w:val="18"/>
              </w:rPr>
            </w:pPr>
            <w:r>
              <w:rPr>
                <w:sz w:val="18"/>
              </w:rPr>
              <w:t>ROB</w:t>
            </w:r>
            <w:r>
              <w:rPr>
                <w:spacing w:val="-4"/>
                <w:sz w:val="18"/>
              </w:rPr>
              <w:t xml:space="preserve"> </w:t>
            </w:r>
            <w:r>
              <w:rPr>
                <w:sz w:val="18"/>
              </w:rPr>
              <w:t>Minor</w:t>
            </w:r>
            <w:r>
              <w:rPr>
                <w:spacing w:val="-3"/>
                <w:sz w:val="18"/>
              </w:rPr>
              <w:t xml:space="preserve"> </w:t>
            </w:r>
            <w:r>
              <w:rPr>
                <w:sz w:val="18"/>
              </w:rPr>
              <w:t>Drainage</w:t>
            </w:r>
            <w:r>
              <w:rPr>
                <w:spacing w:val="-3"/>
                <w:sz w:val="18"/>
              </w:rPr>
              <w:t xml:space="preserve"> </w:t>
            </w:r>
            <w:r>
              <w:rPr>
                <w:sz w:val="18"/>
              </w:rPr>
              <w:t>Pipeline</w:t>
            </w:r>
            <w:r>
              <w:rPr>
                <w:spacing w:val="-3"/>
                <w:sz w:val="18"/>
              </w:rPr>
              <w:t xml:space="preserve"> </w:t>
            </w:r>
            <w:r>
              <w:rPr>
                <w:spacing w:val="-2"/>
                <w:sz w:val="18"/>
              </w:rPr>
              <w:t>Replacements</w:t>
            </w:r>
          </w:p>
        </w:tc>
        <w:tc>
          <w:tcPr>
            <w:tcW w:w="1393" w:type="dxa"/>
            <w:shd w:val="clear" w:color="auto" w:fill="CCE2ED"/>
          </w:tcPr>
          <w:p w14:paraId="63CF0F60" w14:textId="77777777" w:rsidR="00141B97" w:rsidRDefault="00911D63">
            <w:pPr>
              <w:pStyle w:val="TableParagraph"/>
              <w:spacing w:line="199" w:lineRule="exact"/>
              <w:ind w:right="94"/>
              <w:jc w:val="right"/>
              <w:rPr>
                <w:sz w:val="18"/>
              </w:rPr>
            </w:pPr>
            <w:r>
              <w:rPr>
                <w:spacing w:val="-2"/>
                <w:sz w:val="18"/>
              </w:rPr>
              <w:t>Drainage</w:t>
            </w:r>
          </w:p>
        </w:tc>
        <w:tc>
          <w:tcPr>
            <w:tcW w:w="1860" w:type="dxa"/>
            <w:shd w:val="clear" w:color="auto" w:fill="CCE2ED"/>
          </w:tcPr>
          <w:p w14:paraId="198DD029"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70777927" w14:textId="77777777" w:rsidR="00141B97" w:rsidRDefault="00911D63">
            <w:pPr>
              <w:pStyle w:val="TableParagraph"/>
              <w:spacing w:line="199" w:lineRule="exact"/>
              <w:ind w:right="96"/>
              <w:jc w:val="right"/>
              <w:rPr>
                <w:sz w:val="18"/>
              </w:rPr>
            </w:pPr>
            <w:r>
              <w:rPr>
                <w:spacing w:val="-4"/>
                <w:sz w:val="18"/>
              </w:rPr>
              <w:t>0.00</w:t>
            </w:r>
          </w:p>
        </w:tc>
        <w:tc>
          <w:tcPr>
            <w:tcW w:w="1198" w:type="dxa"/>
            <w:shd w:val="clear" w:color="auto" w:fill="CCE2ED"/>
          </w:tcPr>
          <w:p w14:paraId="326FB937" w14:textId="77777777" w:rsidR="00141B97" w:rsidRDefault="00911D63">
            <w:pPr>
              <w:pStyle w:val="TableParagraph"/>
              <w:spacing w:line="199" w:lineRule="exact"/>
              <w:ind w:right="95"/>
              <w:jc w:val="right"/>
              <w:rPr>
                <w:sz w:val="18"/>
              </w:rPr>
            </w:pPr>
            <w:r>
              <w:rPr>
                <w:spacing w:val="-4"/>
                <w:sz w:val="18"/>
              </w:rPr>
              <w:t>0.00</w:t>
            </w:r>
          </w:p>
        </w:tc>
        <w:tc>
          <w:tcPr>
            <w:tcW w:w="1198" w:type="dxa"/>
            <w:shd w:val="clear" w:color="auto" w:fill="CCE2ED"/>
          </w:tcPr>
          <w:p w14:paraId="03214A20" w14:textId="77777777" w:rsidR="00141B97" w:rsidRDefault="00911D63">
            <w:pPr>
              <w:pStyle w:val="TableParagraph"/>
              <w:spacing w:line="199" w:lineRule="exact"/>
              <w:ind w:right="96"/>
              <w:jc w:val="right"/>
              <w:rPr>
                <w:sz w:val="18"/>
              </w:rPr>
            </w:pPr>
            <w:r>
              <w:rPr>
                <w:spacing w:val="-4"/>
                <w:sz w:val="18"/>
              </w:rPr>
              <w:t>0.04</w:t>
            </w:r>
          </w:p>
        </w:tc>
        <w:tc>
          <w:tcPr>
            <w:tcW w:w="1199" w:type="dxa"/>
            <w:shd w:val="clear" w:color="auto" w:fill="CCE2ED"/>
          </w:tcPr>
          <w:p w14:paraId="2F256A9E" w14:textId="77777777" w:rsidR="00141B97" w:rsidRDefault="00911D63">
            <w:pPr>
              <w:pStyle w:val="TableParagraph"/>
              <w:spacing w:line="199" w:lineRule="exact"/>
              <w:ind w:right="97"/>
              <w:jc w:val="right"/>
              <w:rPr>
                <w:sz w:val="18"/>
              </w:rPr>
            </w:pPr>
            <w:r>
              <w:rPr>
                <w:spacing w:val="-4"/>
                <w:sz w:val="18"/>
              </w:rPr>
              <w:t>0.00</w:t>
            </w:r>
          </w:p>
        </w:tc>
        <w:tc>
          <w:tcPr>
            <w:tcW w:w="1198" w:type="dxa"/>
            <w:shd w:val="clear" w:color="auto" w:fill="CCE2ED"/>
          </w:tcPr>
          <w:p w14:paraId="497803B2" w14:textId="77777777" w:rsidR="00141B97" w:rsidRDefault="00911D63">
            <w:pPr>
              <w:pStyle w:val="TableParagraph"/>
              <w:spacing w:line="199" w:lineRule="exact"/>
              <w:ind w:right="96"/>
              <w:jc w:val="right"/>
              <w:rPr>
                <w:sz w:val="18"/>
              </w:rPr>
            </w:pPr>
            <w:r>
              <w:rPr>
                <w:spacing w:val="-4"/>
                <w:sz w:val="18"/>
              </w:rPr>
              <w:t>0.00</w:t>
            </w:r>
          </w:p>
        </w:tc>
        <w:tc>
          <w:tcPr>
            <w:tcW w:w="1013" w:type="dxa"/>
            <w:tcBorders>
              <w:right w:val="nil"/>
            </w:tcBorders>
            <w:shd w:val="clear" w:color="auto" w:fill="CCE2ED"/>
          </w:tcPr>
          <w:p w14:paraId="1C329B68" w14:textId="77777777" w:rsidR="00141B97" w:rsidRDefault="00911D63">
            <w:pPr>
              <w:pStyle w:val="TableParagraph"/>
              <w:spacing w:line="199" w:lineRule="exact"/>
              <w:ind w:right="86"/>
              <w:jc w:val="right"/>
              <w:rPr>
                <w:sz w:val="18"/>
              </w:rPr>
            </w:pPr>
            <w:r>
              <w:rPr>
                <w:spacing w:val="-4"/>
                <w:sz w:val="18"/>
              </w:rPr>
              <w:t>0.04</w:t>
            </w:r>
          </w:p>
        </w:tc>
      </w:tr>
      <w:tr w:rsidR="00141B97" w14:paraId="672EF544" w14:textId="77777777">
        <w:trPr>
          <w:trHeight w:val="315"/>
          <w:tblCellSpacing w:w="9" w:type="dxa"/>
        </w:trPr>
        <w:tc>
          <w:tcPr>
            <w:tcW w:w="5408" w:type="dxa"/>
            <w:tcBorders>
              <w:left w:val="nil"/>
            </w:tcBorders>
            <w:shd w:val="clear" w:color="auto" w:fill="BFBFBF"/>
          </w:tcPr>
          <w:p w14:paraId="5065DF38" w14:textId="77777777" w:rsidR="00141B97" w:rsidRDefault="00911D63">
            <w:pPr>
              <w:pStyle w:val="TableParagraph"/>
              <w:spacing w:before="49"/>
              <w:ind w:left="88"/>
              <w:rPr>
                <w:sz w:val="18"/>
              </w:rPr>
            </w:pPr>
            <w:r>
              <w:rPr>
                <w:spacing w:val="-2"/>
                <w:sz w:val="18"/>
              </w:rPr>
              <w:t>Treatment</w:t>
            </w:r>
          </w:p>
        </w:tc>
        <w:tc>
          <w:tcPr>
            <w:tcW w:w="1393" w:type="dxa"/>
            <w:shd w:val="clear" w:color="auto" w:fill="BFBFBF"/>
          </w:tcPr>
          <w:p w14:paraId="6F315171" w14:textId="77777777" w:rsidR="00141B97" w:rsidRDefault="00141B97">
            <w:pPr>
              <w:pStyle w:val="TableParagraph"/>
              <w:rPr>
                <w:rFonts w:ascii="Times New Roman"/>
                <w:sz w:val="18"/>
              </w:rPr>
            </w:pPr>
          </w:p>
        </w:tc>
        <w:tc>
          <w:tcPr>
            <w:tcW w:w="1860" w:type="dxa"/>
            <w:shd w:val="clear" w:color="auto" w:fill="BFBFBF"/>
          </w:tcPr>
          <w:p w14:paraId="520E3DAE" w14:textId="77777777" w:rsidR="00141B97" w:rsidRDefault="00141B97">
            <w:pPr>
              <w:pStyle w:val="TableParagraph"/>
              <w:rPr>
                <w:rFonts w:ascii="Times New Roman"/>
                <w:sz w:val="18"/>
              </w:rPr>
            </w:pPr>
          </w:p>
        </w:tc>
        <w:tc>
          <w:tcPr>
            <w:tcW w:w="1199" w:type="dxa"/>
            <w:shd w:val="clear" w:color="auto" w:fill="BFBFBF"/>
          </w:tcPr>
          <w:p w14:paraId="07613021" w14:textId="77777777" w:rsidR="00141B97" w:rsidRDefault="00141B97">
            <w:pPr>
              <w:pStyle w:val="TableParagraph"/>
              <w:rPr>
                <w:rFonts w:ascii="Times New Roman"/>
                <w:sz w:val="18"/>
              </w:rPr>
            </w:pPr>
          </w:p>
        </w:tc>
        <w:tc>
          <w:tcPr>
            <w:tcW w:w="1198" w:type="dxa"/>
            <w:shd w:val="clear" w:color="auto" w:fill="BFBFBF"/>
          </w:tcPr>
          <w:p w14:paraId="36801564" w14:textId="77777777" w:rsidR="00141B97" w:rsidRDefault="00141B97">
            <w:pPr>
              <w:pStyle w:val="TableParagraph"/>
              <w:rPr>
                <w:rFonts w:ascii="Times New Roman"/>
                <w:sz w:val="18"/>
              </w:rPr>
            </w:pPr>
          </w:p>
        </w:tc>
        <w:tc>
          <w:tcPr>
            <w:tcW w:w="1198" w:type="dxa"/>
            <w:shd w:val="clear" w:color="auto" w:fill="BFBFBF"/>
          </w:tcPr>
          <w:p w14:paraId="6AC16808" w14:textId="77777777" w:rsidR="00141B97" w:rsidRDefault="00141B97">
            <w:pPr>
              <w:pStyle w:val="TableParagraph"/>
              <w:rPr>
                <w:rFonts w:ascii="Times New Roman"/>
                <w:sz w:val="18"/>
              </w:rPr>
            </w:pPr>
          </w:p>
        </w:tc>
        <w:tc>
          <w:tcPr>
            <w:tcW w:w="1199" w:type="dxa"/>
            <w:shd w:val="clear" w:color="auto" w:fill="BFBFBF"/>
          </w:tcPr>
          <w:p w14:paraId="18C0D86B" w14:textId="77777777" w:rsidR="00141B97" w:rsidRDefault="00141B97">
            <w:pPr>
              <w:pStyle w:val="TableParagraph"/>
              <w:rPr>
                <w:rFonts w:ascii="Times New Roman"/>
                <w:sz w:val="18"/>
              </w:rPr>
            </w:pPr>
          </w:p>
        </w:tc>
        <w:tc>
          <w:tcPr>
            <w:tcW w:w="1198" w:type="dxa"/>
            <w:shd w:val="clear" w:color="auto" w:fill="BFBFBF"/>
          </w:tcPr>
          <w:p w14:paraId="393B4EB9" w14:textId="77777777" w:rsidR="00141B97" w:rsidRDefault="00141B97">
            <w:pPr>
              <w:pStyle w:val="TableParagraph"/>
              <w:rPr>
                <w:rFonts w:ascii="Times New Roman"/>
                <w:sz w:val="18"/>
              </w:rPr>
            </w:pPr>
          </w:p>
        </w:tc>
        <w:tc>
          <w:tcPr>
            <w:tcW w:w="1013" w:type="dxa"/>
            <w:tcBorders>
              <w:right w:val="nil"/>
            </w:tcBorders>
            <w:shd w:val="clear" w:color="auto" w:fill="BFBFBF"/>
          </w:tcPr>
          <w:p w14:paraId="3347DE7B" w14:textId="77777777" w:rsidR="00141B97" w:rsidRDefault="00141B97">
            <w:pPr>
              <w:pStyle w:val="TableParagraph"/>
              <w:rPr>
                <w:rFonts w:ascii="Times New Roman"/>
                <w:sz w:val="18"/>
              </w:rPr>
            </w:pPr>
          </w:p>
        </w:tc>
      </w:tr>
      <w:tr w:rsidR="00141B97" w14:paraId="5FC0CCA4" w14:textId="77777777">
        <w:trPr>
          <w:trHeight w:val="509"/>
          <w:tblCellSpacing w:w="9" w:type="dxa"/>
        </w:trPr>
        <w:tc>
          <w:tcPr>
            <w:tcW w:w="5408" w:type="dxa"/>
            <w:tcBorders>
              <w:left w:val="nil"/>
            </w:tcBorders>
            <w:shd w:val="clear" w:color="auto" w:fill="CCE2ED"/>
          </w:tcPr>
          <w:p w14:paraId="0F8410B7" w14:textId="77777777" w:rsidR="00141B97" w:rsidRDefault="00911D63">
            <w:pPr>
              <w:pStyle w:val="TableParagraph"/>
              <w:spacing w:before="36"/>
              <w:ind w:left="88"/>
              <w:rPr>
                <w:sz w:val="18"/>
              </w:rPr>
            </w:pPr>
            <w:r>
              <w:rPr>
                <w:sz w:val="18"/>
              </w:rPr>
              <w:t>MILL</w:t>
            </w:r>
            <w:r>
              <w:rPr>
                <w:spacing w:val="-2"/>
                <w:sz w:val="18"/>
              </w:rPr>
              <w:t xml:space="preserve"> </w:t>
            </w:r>
            <w:r>
              <w:rPr>
                <w:sz w:val="18"/>
              </w:rPr>
              <w:t>‐</w:t>
            </w:r>
            <w:r>
              <w:rPr>
                <w:spacing w:val="-2"/>
                <w:sz w:val="18"/>
              </w:rPr>
              <w:t xml:space="preserve"> </w:t>
            </w:r>
            <w:r>
              <w:rPr>
                <w:sz w:val="18"/>
              </w:rPr>
              <w:t>Solution</w:t>
            </w:r>
            <w:r>
              <w:rPr>
                <w:spacing w:val="-3"/>
                <w:sz w:val="18"/>
              </w:rPr>
              <w:t xml:space="preserve"> </w:t>
            </w:r>
            <w:r>
              <w:rPr>
                <w:sz w:val="18"/>
              </w:rPr>
              <w:t>for</w:t>
            </w:r>
            <w:r>
              <w:rPr>
                <w:spacing w:val="-2"/>
                <w:sz w:val="18"/>
              </w:rPr>
              <w:t xml:space="preserve"> </w:t>
            </w:r>
            <w:r>
              <w:rPr>
                <w:sz w:val="18"/>
              </w:rPr>
              <w:t>better</w:t>
            </w:r>
            <w:r>
              <w:rPr>
                <w:spacing w:val="-2"/>
                <w:sz w:val="18"/>
              </w:rPr>
              <w:t xml:space="preserve"> </w:t>
            </w:r>
            <w:r>
              <w:rPr>
                <w:sz w:val="18"/>
              </w:rPr>
              <w:t>sludge</w:t>
            </w:r>
            <w:r>
              <w:rPr>
                <w:spacing w:val="-3"/>
                <w:sz w:val="18"/>
              </w:rPr>
              <w:t xml:space="preserve"> </w:t>
            </w:r>
            <w:r>
              <w:rPr>
                <w:sz w:val="18"/>
              </w:rPr>
              <w:t>management</w:t>
            </w:r>
            <w:r>
              <w:rPr>
                <w:spacing w:val="-3"/>
                <w:sz w:val="18"/>
              </w:rPr>
              <w:t xml:space="preserve"> </w:t>
            </w:r>
            <w:r>
              <w:rPr>
                <w:sz w:val="18"/>
              </w:rPr>
              <w:t>/</w:t>
            </w:r>
            <w:r>
              <w:rPr>
                <w:spacing w:val="-3"/>
                <w:sz w:val="18"/>
              </w:rPr>
              <w:t xml:space="preserve"> </w:t>
            </w:r>
            <w:r>
              <w:rPr>
                <w:sz w:val="18"/>
              </w:rPr>
              <w:t>redesign</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 xml:space="preserve">sludge </w:t>
            </w:r>
            <w:r>
              <w:rPr>
                <w:spacing w:val="-4"/>
                <w:sz w:val="18"/>
              </w:rPr>
              <w:t>beds</w:t>
            </w:r>
          </w:p>
        </w:tc>
        <w:tc>
          <w:tcPr>
            <w:tcW w:w="1393" w:type="dxa"/>
            <w:shd w:val="clear" w:color="auto" w:fill="CCE2ED"/>
          </w:tcPr>
          <w:p w14:paraId="5881FC3E" w14:textId="77777777" w:rsidR="00141B97" w:rsidRDefault="00911D63">
            <w:pPr>
              <w:pStyle w:val="TableParagraph"/>
              <w:spacing w:before="36"/>
              <w:ind w:right="95"/>
              <w:jc w:val="right"/>
              <w:rPr>
                <w:sz w:val="18"/>
              </w:rPr>
            </w:pPr>
            <w:r>
              <w:rPr>
                <w:sz w:val="18"/>
              </w:rPr>
              <w:t>Domestic</w:t>
            </w:r>
            <w:r>
              <w:rPr>
                <w:spacing w:val="-7"/>
                <w:sz w:val="18"/>
              </w:rPr>
              <w:t xml:space="preserve"> </w:t>
            </w:r>
            <w:r>
              <w:rPr>
                <w:spacing w:val="-5"/>
                <w:sz w:val="18"/>
              </w:rPr>
              <w:t>and</w:t>
            </w:r>
          </w:p>
          <w:p w14:paraId="0DB6C678" w14:textId="77777777" w:rsidR="00141B97" w:rsidRDefault="00911D63">
            <w:pPr>
              <w:pStyle w:val="TableParagraph"/>
              <w:ind w:right="95"/>
              <w:jc w:val="right"/>
              <w:rPr>
                <w:sz w:val="18"/>
              </w:rPr>
            </w:pPr>
            <w:r>
              <w:rPr>
                <w:spacing w:val="-2"/>
                <w:sz w:val="18"/>
              </w:rPr>
              <w:t>stock</w:t>
            </w:r>
          </w:p>
        </w:tc>
        <w:tc>
          <w:tcPr>
            <w:tcW w:w="1860" w:type="dxa"/>
            <w:shd w:val="clear" w:color="auto" w:fill="CCE2ED"/>
          </w:tcPr>
          <w:p w14:paraId="37E8AB4F" w14:textId="77777777" w:rsidR="00141B97" w:rsidRDefault="00911D63">
            <w:pPr>
              <w:pStyle w:val="TableParagraph"/>
              <w:spacing w:before="36"/>
              <w:ind w:left="892" w:hanging="315"/>
              <w:rPr>
                <w:sz w:val="18"/>
              </w:rPr>
            </w:pPr>
            <w:r>
              <w:rPr>
                <w:sz w:val="18"/>
              </w:rPr>
              <w:t>Improvements</w:t>
            </w:r>
            <w:r>
              <w:rPr>
                <w:spacing w:val="-11"/>
                <w:sz w:val="18"/>
              </w:rPr>
              <w:t xml:space="preserve"> </w:t>
            </w:r>
            <w:r>
              <w:rPr>
                <w:sz w:val="18"/>
              </w:rPr>
              <w:t xml:space="preserve">/ </w:t>
            </w:r>
            <w:r>
              <w:rPr>
                <w:spacing w:val="-2"/>
                <w:sz w:val="18"/>
              </w:rPr>
              <w:t>Compliance</w:t>
            </w:r>
          </w:p>
        </w:tc>
        <w:tc>
          <w:tcPr>
            <w:tcW w:w="1199" w:type="dxa"/>
            <w:shd w:val="clear" w:color="auto" w:fill="CCE2ED"/>
          </w:tcPr>
          <w:p w14:paraId="7400B4A3" w14:textId="77777777" w:rsidR="00141B97" w:rsidRDefault="00911D63">
            <w:pPr>
              <w:pStyle w:val="TableParagraph"/>
              <w:spacing w:before="145"/>
              <w:ind w:right="96"/>
              <w:jc w:val="right"/>
              <w:rPr>
                <w:sz w:val="18"/>
              </w:rPr>
            </w:pPr>
            <w:r>
              <w:rPr>
                <w:spacing w:val="-4"/>
                <w:sz w:val="18"/>
              </w:rPr>
              <w:t>0.00</w:t>
            </w:r>
          </w:p>
        </w:tc>
        <w:tc>
          <w:tcPr>
            <w:tcW w:w="1198" w:type="dxa"/>
            <w:shd w:val="clear" w:color="auto" w:fill="CCE2ED"/>
          </w:tcPr>
          <w:p w14:paraId="5A1EC13B" w14:textId="77777777" w:rsidR="00141B97" w:rsidRDefault="00911D63">
            <w:pPr>
              <w:pStyle w:val="TableParagraph"/>
              <w:spacing w:before="145"/>
              <w:ind w:right="95"/>
              <w:jc w:val="right"/>
              <w:rPr>
                <w:sz w:val="18"/>
              </w:rPr>
            </w:pPr>
            <w:r>
              <w:rPr>
                <w:spacing w:val="-4"/>
                <w:sz w:val="18"/>
              </w:rPr>
              <w:t>0.40</w:t>
            </w:r>
          </w:p>
        </w:tc>
        <w:tc>
          <w:tcPr>
            <w:tcW w:w="1198" w:type="dxa"/>
            <w:shd w:val="clear" w:color="auto" w:fill="CCE2ED"/>
          </w:tcPr>
          <w:p w14:paraId="68E7E38D" w14:textId="77777777" w:rsidR="00141B97" w:rsidRDefault="00911D63">
            <w:pPr>
              <w:pStyle w:val="TableParagraph"/>
              <w:spacing w:before="145"/>
              <w:ind w:right="96"/>
              <w:jc w:val="right"/>
              <w:rPr>
                <w:sz w:val="18"/>
              </w:rPr>
            </w:pPr>
            <w:r>
              <w:rPr>
                <w:spacing w:val="-4"/>
                <w:sz w:val="18"/>
              </w:rPr>
              <w:t>0.00</w:t>
            </w:r>
          </w:p>
        </w:tc>
        <w:tc>
          <w:tcPr>
            <w:tcW w:w="1199" w:type="dxa"/>
            <w:shd w:val="clear" w:color="auto" w:fill="CCE2ED"/>
          </w:tcPr>
          <w:p w14:paraId="23118060" w14:textId="77777777" w:rsidR="00141B97" w:rsidRDefault="00911D63">
            <w:pPr>
              <w:pStyle w:val="TableParagraph"/>
              <w:spacing w:before="145"/>
              <w:ind w:right="97"/>
              <w:jc w:val="right"/>
              <w:rPr>
                <w:sz w:val="18"/>
              </w:rPr>
            </w:pPr>
            <w:r>
              <w:rPr>
                <w:spacing w:val="-4"/>
                <w:sz w:val="18"/>
              </w:rPr>
              <w:t>0.00</w:t>
            </w:r>
          </w:p>
        </w:tc>
        <w:tc>
          <w:tcPr>
            <w:tcW w:w="1198" w:type="dxa"/>
            <w:shd w:val="clear" w:color="auto" w:fill="CCE2ED"/>
          </w:tcPr>
          <w:p w14:paraId="7176A8C8" w14:textId="77777777" w:rsidR="00141B97" w:rsidRDefault="00911D63">
            <w:pPr>
              <w:pStyle w:val="TableParagraph"/>
              <w:spacing w:before="145"/>
              <w:ind w:right="96"/>
              <w:jc w:val="right"/>
              <w:rPr>
                <w:sz w:val="18"/>
              </w:rPr>
            </w:pPr>
            <w:r>
              <w:rPr>
                <w:spacing w:val="-4"/>
                <w:sz w:val="18"/>
              </w:rPr>
              <w:t>0.00</w:t>
            </w:r>
          </w:p>
        </w:tc>
        <w:tc>
          <w:tcPr>
            <w:tcW w:w="1013" w:type="dxa"/>
            <w:tcBorders>
              <w:right w:val="nil"/>
            </w:tcBorders>
            <w:shd w:val="clear" w:color="auto" w:fill="CCE2ED"/>
          </w:tcPr>
          <w:p w14:paraId="7035EC8D" w14:textId="77777777" w:rsidR="00141B97" w:rsidRDefault="00911D63">
            <w:pPr>
              <w:pStyle w:val="TableParagraph"/>
              <w:spacing w:before="145"/>
              <w:ind w:right="86"/>
              <w:jc w:val="right"/>
              <w:rPr>
                <w:sz w:val="18"/>
              </w:rPr>
            </w:pPr>
            <w:r>
              <w:rPr>
                <w:spacing w:val="-4"/>
                <w:sz w:val="18"/>
              </w:rPr>
              <w:t>0.40</w:t>
            </w:r>
          </w:p>
        </w:tc>
      </w:tr>
      <w:tr w:rsidR="00141B97" w14:paraId="362C5489" w14:textId="77777777">
        <w:trPr>
          <w:trHeight w:val="330"/>
          <w:tblCellSpacing w:w="9" w:type="dxa"/>
        </w:trPr>
        <w:tc>
          <w:tcPr>
            <w:tcW w:w="5408" w:type="dxa"/>
            <w:tcBorders>
              <w:left w:val="nil"/>
            </w:tcBorders>
            <w:shd w:val="clear" w:color="auto" w:fill="BFBFBF"/>
          </w:tcPr>
          <w:p w14:paraId="02778D51" w14:textId="77777777" w:rsidR="00141B97" w:rsidRDefault="00911D63">
            <w:pPr>
              <w:pStyle w:val="TableParagraph"/>
              <w:spacing w:before="56"/>
              <w:ind w:left="88"/>
              <w:rPr>
                <w:sz w:val="18"/>
              </w:rPr>
            </w:pPr>
            <w:r>
              <w:rPr>
                <w:spacing w:val="-2"/>
                <w:sz w:val="18"/>
              </w:rPr>
              <w:t>Corporate</w:t>
            </w:r>
          </w:p>
        </w:tc>
        <w:tc>
          <w:tcPr>
            <w:tcW w:w="1393" w:type="dxa"/>
            <w:shd w:val="clear" w:color="auto" w:fill="BFBFBF"/>
          </w:tcPr>
          <w:p w14:paraId="3F7518D1" w14:textId="77777777" w:rsidR="00141B97" w:rsidRDefault="00141B97">
            <w:pPr>
              <w:pStyle w:val="TableParagraph"/>
              <w:rPr>
                <w:rFonts w:ascii="Times New Roman"/>
                <w:sz w:val="18"/>
              </w:rPr>
            </w:pPr>
          </w:p>
        </w:tc>
        <w:tc>
          <w:tcPr>
            <w:tcW w:w="1860" w:type="dxa"/>
            <w:shd w:val="clear" w:color="auto" w:fill="BFBFBF"/>
          </w:tcPr>
          <w:p w14:paraId="0A45F335" w14:textId="77777777" w:rsidR="00141B97" w:rsidRDefault="00141B97">
            <w:pPr>
              <w:pStyle w:val="TableParagraph"/>
              <w:rPr>
                <w:rFonts w:ascii="Times New Roman"/>
                <w:sz w:val="18"/>
              </w:rPr>
            </w:pPr>
          </w:p>
        </w:tc>
        <w:tc>
          <w:tcPr>
            <w:tcW w:w="1199" w:type="dxa"/>
            <w:shd w:val="clear" w:color="auto" w:fill="BFBFBF"/>
          </w:tcPr>
          <w:p w14:paraId="388FE43D" w14:textId="77777777" w:rsidR="00141B97" w:rsidRDefault="00141B97">
            <w:pPr>
              <w:pStyle w:val="TableParagraph"/>
              <w:rPr>
                <w:rFonts w:ascii="Times New Roman"/>
                <w:sz w:val="18"/>
              </w:rPr>
            </w:pPr>
          </w:p>
        </w:tc>
        <w:tc>
          <w:tcPr>
            <w:tcW w:w="1198" w:type="dxa"/>
            <w:shd w:val="clear" w:color="auto" w:fill="BFBFBF"/>
          </w:tcPr>
          <w:p w14:paraId="0333C38B" w14:textId="77777777" w:rsidR="00141B97" w:rsidRDefault="00141B97">
            <w:pPr>
              <w:pStyle w:val="TableParagraph"/>
              <w:rPr>
                <w:rFonts w:ascii="Times New Roman"/>
                <w:sz w:val="18"/>
              </w:rPr>
            </w:pPr>
          </w:p>
        </w:tc>
        <w:tc>
          <w:tcPr>
            <w:tcW w:w="1198" w:type="dxa"/>
            <w:shd w:val="clear" w:color="auto" w:fill="BFBFBF"/>
          </w:tcPr>
          <w:p w14:paraId="73E154A1" w14:textId="77777777" w:rsidR="00141B97" w:rsidRDefault="00141B97">
            <w:pPr>
              <w:pStyle w:val="TableParagraph"/>
              <w:rPr>
                <w:rFonts w:ascii="Times New Roman"/>
                <w:sz w:val="18"/>
              </w:rPr>
            </w:pPr>
          </w:p>
        </w:tc>
        <w:tc>
          <w:tcPr>
            <w:tcW w:w="1199" w:type="dxa"/>
            <w:shd w:val="clear" w:color="auto" w:fill="BFBFBF"/>
          </w:tcPr>
          <w:p w14:paraId="267899FB" w14:textId="77777777" w:rsidR="00141B97" w:rsidRDefault="00141B97">
            <w:pPr>
              <w:pStyle w:val="TableParagraph"/>
              <w:rPr>
                <w:rFonts w:ascii="Times New Roman"/>
                <w:sz w:val="18"/>
              </w:rPr>
            </w:pPr>
          </w:p>
        </w:tc>
        <w:tc>
          <w:tcPr>
            <w:tcW w:w="1198" w:type="dxa"/>
            <w:shd w:val="clear" w:color="auto" w:fill="BFBFBF"/>
          </w:tcPr>
          <w:p w14:paraId="7BB7F58A" w14:textId="77777777" w:rsidR="00141B97" w:rsidRDefault="00141B97">
            <w:pPr>
              <w:pStyle w:val="TableParagraph"/>
              <w:rPr>
                <w:rFonts w:ascii="Times New Roman"/>
                <w:sz w:val="18"/>
              </w:rPr>
            </w:pPr>
          </w:p>
        </w:tc>
        <w:tc>
          <w:tcPr>
            <w:tcW w:w="1013" w:type="dxa"/>
            <w:tcBorders>
              <w:right w:val="nil"/>
            </w:tcBorders>
            <w:shd w:val="clear" w:color="auto" w:fill="BFBFBF"/>
          </w:tcPr>
          <w:p w14:paraId="5B53BAA6" w14:textId="77777777" w:rsidR="00141B97" w:rsidRDefault="00141B97">
            <w:pPr>
              <w:pStyle w:val="TableParagraph"/>
              <w:rPr>
                <w:rFonts w:ascii="Times New Roman"/>
                <w:sz w:val="18"/>
              </w:rPr>
            </w:pPr>
          </w:p>
        </w:tc>
      </w:tr>
      <w:tr w:rsidR="00141B97" w14:paraId="38EAD8AF" w14:textId="77777777">
        <w:trPr>
          <w:trHeight w:val="220"/>
          <w:tblCellSpacing w:w="9" w:type="dxa"/>
        </w:trPr>
        <w:tc>
          <w:tcPr>
            <w:tcW w:w="5408" w:type="dxa"/>
            <w:tcBorders>
              <w:left w:val="nil"/>
            </w:tcBorders>
            <w:shd w:val="clear" w:color="auto" w:fill="CCE2ED"/>
          </w:tcPr>
          <w:p w14:paraId="5DB3EAA1" w14:textId="77777777" w:rsidR="00141B97" w:rsidRDefault="00911D63">
            <w:pPr>
              <w:pStyle w:val="TableParagraph"/>
              <w:spacing w:before="1" w:line="199" w:lineRule="exact"/>
              <w:ind w:left="88"/>
              <w:rPr>
                <w:sz w:val="18"/>
              </w:rPr>
            </w:pPr>
            <w:r>
              <w:rPr>
                <w:sz w:val="18"/>
              </w:rPr>
              <w:t>Motor</w:t>
            </w:r>
            <w:r>
              <w:rPr>
                <w:spacing w:val="-4"/>
                <w:sz w:val="18"/>
              </w:rPr>
              <w:t xml:space="preserve"> </w:t>
            </w:r>
            <w:r>
              <w:rPr>
                <w:spacing w:val="-2"/>
                <w:sz w:val="18"/>
              </w:rPr>
              <w:t>Vehicles</w:t>
            </w:r>
          </w:p>
        </w:tc>
        <w:tc>
          <w:tcPr>
            <w:tcW w:w="1393" w:type="dxa"/>
            <w:shd w:val="clear" w:color="auto" w:fill="CCE2ED"/>
          </w:tcPr>
          <w:p w14:paraId="5A3CFAAD"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7069B708"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229F953C" w14:textId="77777777" w:rsidR="00141B97" w:rsidRDefault="00911D63">
            <w:pPr>
              <w:pStyle w:val="TableParagraph"/>
              <w:spacing w:before="1" w:line="199" w:lineRule="exact"/>
              <w:ind w:right="96"/>
              <w:jc w:val="right"/>
              <w:rPr>
                <w:sz w:val="18"/>
              </w:rPr>
            </w:pPr>
            <w:r>
              <w:rPr>
                <w:spacing w:val="-4"/>
                <w:sz w:val="18"/>
              </w:rPr>
              <w:t>1.19</w:t>
            </w:r>
          </w:p>
        </w:tc>
        <w:tc>
          <w:tcPr>
            <w:tcW w:w="1198" w:type="dxa"/>
            <w:shd w:val="clear" w:color="auto" w:fill="CCE2ED"/>
          </w:tcPr>
          <w:p w14:paraId="5F2CE4DA" w14:textId="77777777" w:rsidR="00141B97" w:rsidRDefault="00911D63">
            <w:pPr>
              <w:pStyle w:val="TableParagraph"/>
              <w:spacing w:before="1" w:line="199" w:lineRule="exact"/>
              <w:ind w:right="95"/>
              <w:jc w:val="right"/>
              <w:rPr>
                <w:sz w:val="18"/>
              </w:rPr>
            </w:pPr>
            <w:r>
              <w:rPr>
                <w:spacing w:val="-4"/>
                <w:sz w:val="18"/>
              </w:rPr>
              <w:t>0.80</w:t>
            </w:r>
          </w:p>
        </w:tc>
        <w:tc>
          <w:tcPr>
            <w:tcW w:w="1198" w:type="dxa"/>
            <w:shd w:val="clear" w:color="auto" w:fill="CCE2ED"/>
          </w:tcPr>
          <w:p w14:paraId="58547907" w14:textId="77777777" w:rsidR="00141B97" w:rsidRDefault="00911D63">
            <w:pPr>
              <w:pStyle w:val="TableParagraph"/>
              <w:spacing w:before="1" w:line="199" w:lineRule="exact"/>
              <w:ind w:right="96"/>
              <w:jc w:val="right"/>
              <w:rPr>
                <w:sz w:val="18"/>
              </w:rPr>
            </w:pPr>
            <w:r>
              <w:rPr>
                <w:spacing w:val="-4"/>
                <w:sz w:val="18"/>
              </w:rPr>
              <w:t>0.64</w:t>
            </w:r>
          </w:p>
        </w:tc>
        <w:tc>
          <w:tcPr>
            <w:tcW w:w="1199" w:type="dxa"/>
            <w:shd w:val="clear" w:color="auto" w:fill="CCE2ED"/>
          </w:tcPr>
          <w:p w14:paraId="3BB3E8B8" w14:textId="77777777" w:rsidR="00141B97" w:rsidRDefault="00911D63">
            <w:pPr>
              <w:pStyle w:val="TableParagraph"/>
              <w:spacing w:before="1" w:line="199" w:lineRule="exact"/>
              <w:ind w:right="97"/>
              <w:jc w:val="right"/>
              <w:rPr>
                <w:sz w:val="18"/>
              </w:rPr>
            </w:pPr>
            <w:r>
              <w:rPr>
                <w:spacing w:val="-4"/>
                <w:sz w:val="18"/>
              </w:rPr>
              <w:t>0.45</w:t>
            </w:r>
          </w:p>
        </w:tc>
        <w:tc>
          <w:tcPr>
            <w:tcW w:w="1198" w:type="dxa"/>
            <w:shd w:val="clear" w:color="auto" w:fill="CCE2ED"/>
          </w:tcPr>
          <w:p w14:paraId="7FF3B940" w14:textId="77777777" w:rsidR="00141B97" w:rsidRDefault="00911D63">
            <w:pPr>
              <w:pStyle w:val="TableParagraph"/>
              <w:spacing w:before="1" w:line="199" w:lineRule="exact"/>
              <w:ind w:right="96"/>
              <w:jc w:val="right"/>
              <w:rPr>
                <w:sz w:val="18"/>
              </w:rPr>
            </w:pPr>
            <w:r>
              <w:rPr>
                <w:spacing w:val="-4"/>
                <w:sz w:val="18"/>
              </w:rPr>
              <w:t>0.53</w:t>
            </w:r>
          </w:p>
        </w:tc>
        <w:tc>
          <w:tcPr>
            <w:tcW w:w="1013" w:type="dxa"/>
            <w:tcBorders>
              <w:right w:val="nil"/>
            </w:tcBorders>
            <w:shd w:val="clear" w:color="auto" w:fill="CCE2ED"/>
          </w:tcPr>
          <w:p w14:paraId="4416C75B" w14:textId="77777777" w:rsidR="00141B97" w:rsidRDefault="00911D63">
            <w:pPr>
              <w:pStyle w:val="TableParagraph"/>
              <w:spacing w:before="1" w:line="199" w:lineRule="exact"/>
              <w:ind w:right="86"/>
              <w:jc w:val="right"/>
              <w:rPr>
                <w:sz w:val="18"/>
              </w:rPr>
            </w:pPr>
            <w:r>
              <w:rPr>
                <w:spacing w:val="-4"/>
                <w:sz w:val="18"/>
              </w:rPr>
              <w:t>3.60</w:t>
            </w:r>
          </w:p>
        </w:tc>
      </w:tr>
      <w:tr w:rsidR="00141B97" w14:paraId="782F5B7E" w14:textId="77777777">
        <w:trPr>
          <w:trHeight w:val="220"/>
          <w:tblCellSpacing w:w="9" w:type="dxa"/>
        </w:trPr>
        <w:tc>
          <w:tcPr>
            <w:tcW w:w="5408" w:type="dxa"/>
            <w:tcBorders>
              <w:left w:val="nil"/>
            </w:tcBorders>
            <w:shd w:val="clear" w:color="auto" w:fill="CCE2ED"/>
          </w:tcPr>
          <w:p w14:paraId="24877742" w14:textId="77777777" w:rsidR="00141B97" w:rsidRDefault="00911D63">
            <w:pPr>
              <w:pStyle w:val="TableParagraph"/>
              <w:spacing w:line="200" w:lineRule="exact"/>
              <w:ind w:left="88"/>
              <w:rPr>
                <w:sz w:val="18"/>
              </w:rPr>
            </w:pPr>
            <w:r>
              <w:rPr>
                <w:sz w:val="18"/>
              </w:rPr>
              <w:t>Computer</w:t>
            </w:r>
            <w:r>
              <w:rPr>
                <w:spacing w:val="-7"/>
                <w:sz w:val="18"/>
              </w:rPr>
              <w:t xml:space="preserve"> </w:t>
            </w:r>
            <w:r>
              <w:rPr>
                <w:spacing w:val="-2"/>
                <w:sz w:val="18"/>
              </w:rPr>
              <w:t>Equipment</w:t>
            </w:r>
          </w:p>
        </w:tc>
        <w:tc>
          <w:tcPr>
            <w:tcW w:w="1393" w:type="dxa"/>
            <w:shd w:val="clear" w:color="auto" w:fill="CCE2ED"/>
          </w:tcPr>
          <w:p w14:paraId="7BF6F5F7" w14:textId="77777777" w:rsidR="00141B97" w:rsidRDefault="00911D63">
            <w:pPr>
              <w:pStyle w:val="TableParagraph"/>
              <w:spacing w:line="200" w:lineRule="exact"/>
              <w:ind w:right="95"/>
              <w:jc w:val="right"/>
              <w:rPr>
                <w:sz w:val="18"/>
              </w:rPr>
            </w:pPr>
            <w:r>
              <w:rPr>
                <w:spacing w:val="-2"/>
                <w:sz w:val="18"/>
              </w:rPr>
              <w:t>Irrigation</w:t>
            </w:r>
          </w:p>
        </w:tc>
        <w:tc>
          <w:tcPr>
            <w:tcW w:w="1860" w:type="dxa"/>
            <w:shd w:val="clear" w:color="auto" w:fill="CCE2ED"/>
          </w:tcPr>
          <w:p w14:paraId="4C470083" w14:textId="77777777" w:rsidR="00141B97" w:rsidRDefault="00911D63">
            <w:pPr>
              <w:pStyle w:val="TableParagraph"/>
              <w:spacing w:line="200" w:lineRule="exact"/>
              <w:ind w:right="95"/>
              <w:jc w:val="right"/>
              <w:rPr>
                <w:sz w:val="18"/>
              </w:rPr>
            </w:pPr>
            <w:r>
              <w:rPr>
                <w:spacing w:val="-2"/>
                <w:sz w:val="18"/>
              </w:rPr>
              <w:t>Renewals</w:t>
            </w:r>
          </w:p>
        </w:tc>
        <w:tc>
          <w:tcPr>
            <w:tcW w:w="1199" w:type="dxa"/>
            <w:shd w:val="clear" w:color="auto" w:fill="CCE2ED"/>
          </w:tcPr>
          <w:p w14:paraId="5AEB7E20" w14:textId="77777777" w:rsidR="00141B97" w:rsidRDefault="00911D63">
            <w:pPr>
              <w:pStyle w:val="TableParagraph"/>
              <w:spacing w:line="200" w:lineRule="exact"/>
              <w:ind w:right="96"/>
              <w:jc w:val="right"/>
              <w:rPr>
                <w:sz w:val="18"/>
              </w:rPr>
            </w:pPr>
            <w:r>
              <w:rPr>
                <w:spacing w:val="-4"/>
                <w:sz w:val="18"/>
              </w:rPr>
              <w:t>0.10</w:t>
            </w:r>
          </w:p>
        </w:tc>
        <w:tc>
          <w:tcPr>
            <w:tcW w:w="1198" w:type="dxa"/>
            <w:shd w:val="clear" w:color="auto" w:fill="CCE2ED"/>
          </w:tcPr>
          <w:p w14:paraId="175277FB" w14:textId="77777777" w:rsidR="00141B97" w:rsidRDefault="00911D63">
            <w:pPr>
              <w:pStyle w:val="TableParagraph"/>
              <w:spacing w:line="200" w:lineRule="exact"/>
              <w:ind w:right="95"/>
              <w:jc w:val="right"/>
              <w:rPr>
                <w:sz w:val="18"/>
              </w:rPr>
            </w:pPr>
            <w:r>
              <w:rPr>
                <w:spacing w:val="-4"/>
                <w:sz w:val="18"/>
              </w:rPr>
              <w:t>0.11</w:t>
            </w:r>
          </w:p>
        </w:tc>
        <w:tc>
          <w:tcPr>
            <w:tcW w:w="1198" w:type="dxa"/>
            <w:shd w:val="clear" w:color="auto" w:fill="CCE2ED"/>
          </w:tcPr>
          <w:p w14:paraId="51D1904E" w14:textId="77777777" w:rsidR="00141B97" w:rsidRDefault="00911D63">
            <w:pPr>
              <w:pStyle w:val="TableParagraph"/>
              <w:spacing w:line="200" w:lineRule="exact"/>
              <w:ind w:right="96"/>
              <w:jc w:val="right"/>
              <w:rPr>
                <w:sz w:val="18"/>
              </w:rPr>
            </w:pPr>
            <w:r>
              <w:rPr>
                <w:spacing w:val="-4"/>
                <w:sz w:val="18"/>
              </w:rPr>
              <w:t>0.10</w:t>
            </w:r>
          </w:p>
        </w:tc>
        <w:tc>
          <w:tcPr>
            <w:tcW w:w="1199" w:type="dxa"/>
            <w:shd w:val="clear" w:color="auto" w:fill="CCE2ED"/>
          </w:tcPr>
          <w:p w14:paraId="6F99DC0C" w14:textId="77777777" w:rsidR="00141B97" w:rsidRDefault="00911D63">
            <w:pPr>
              <w:pStyle w:val="TableParagraph"/>
              <w:spacing w:line="200" w:lineRule="exact"/>
              <w:ind w:right="97"/>
              <w:jc w:val="right"/>
              <w:rPr>
                <w:sz w:val="18"/>
              </w:rPr>
            </w:pPr>
            <w:r>
              <w:rPr>
                <w:spacing w:val="-4"/>
                <w:sz w:val="18"/>
              </w:rPr>
              <w:t>0.10</w:t>
            </w:r>
          </w:p>
        </w:tc>
        <w:tc>
          <w:tcPr>
            <w:tcW w:w="1198" w:type="dxa"/>
            <w:shd w:val="clear" w:color="auto" w:fill="CCE2ED"/>
          </w:tcPr>
          <w:p w14:paraId="7C9B9EC8" w14:textId="77777777" w:rsidR="00141B97" w:rsidRDefault="00911D63">
            <w:pPr>
              <w:pStyle w:val="TableParagraph"/>
              <w:spacing w:line="200" w:lineRule="exact"/>
              <w:ind w:right="96"/>
              <w:jc w:val="right"/>
              <w:rPr>
                <w:sz w:val="18"/>
              </w:rPr>
            </w:pPr>
            <w:r>
              <w:rPr>
                <w:spacing w:val="-4"/>
                <w:sz w:val="18"/>
              </w:rPr>
              <w:t>0.10</w:t>
            </w:r>
          </w:p>
        </w:tc>
        <w:tc>
          <w:tcPr>
            <w:tcW w:w="1013" w:type="dxa"/>
            <w:tcBorders>
              <w:right w:val="nil"/>
            </w:tcBorders>
            <w:shd w:val="clear" w:color="auto" w:fill="CCE2ED"/>
          </w:tcPr>
          <w:p w14:paraId="79276A8B" w14:textId="77777777" w:rsidR="00141B97" w:rsidRDefault="00911D63">
            <w:pPr>
              <w:pStyle w:val="TableParagraph"/>
              <w:spacing w:line="200" w:lineRule="exact"/>
              <w:ind w:right="86"/>
              <w:jc w:val="right"/>
              <w:rPr>
                <w:sz w:val="18"/>
              </w:rPr>
            </w:pPr>
            <w:r>
              <w:rPr>
                <w:spacing w:val="-4"/>
                <w:sz w:val="18"/>
              </w:rPr>
              <w:t>0.51</w:t>
            </w:r>
          </w:p>
        </w:tc>
      </w:tr>
      <w:tr w:rsidR="00141B97" w14:paraId="0FB0B5ED" w14:textId="77777777">
        <w:trPr>
          <w:trHeight w:val="218"/>
          <w:tblCellSpacing w:w="9" w:type="dxa"/>
        </w:trPr>
        <w:tc>
          <w:tcPr>
            <w:tcW w:w="5408" w:type="dxa"/>
            <w:tcBorders>
              <w:left w:val="nil"/>
            </w:tcBorders>
            <w:shd w:val="clear" w:color="auto" w:fill="CCE2ED"/>
          </w:tcPr>
          <w:p w14:paraId="4BD5DA7F" w14:textId="77777777" w:rsidR="00141B97" w:rsidRDefault="00911D63">
            <w:pPr>
              <w:pStyle w:val="TableParagraph"/>
              <w:spacing w:line="199" w:lineRule="exact"/>
              <w:ind w:left="88"/>
              <w:rPr>
                <w:sz w:val="18"/>
              </w:rPr>
            </w:pPr>
            <w:r>
              <w:rPr>
                <w:sz w:val="18"/>
              </w:rPr>
              <w:t>Business</w:t>
            </w:r>
            <w:r>
              <w:rPr>
                <w:spacing w:val="-7"/>
                <w:sz w:val="18"/>
              </w:rPr>
              <w:t xml:space="preserve"> </w:t>
            </w:r>
            <w:r>
              <w:rPr>
                <w:spacing w:val="-2"/>
                <w:sz w:val="18"/>
              </w:rPr>
              <w:t>Transformation</w:t>
            </w:r>
          </w:p>
        </w:tc>
        <w:tc>
          <w:tcPr>
            <w:tcW w:w="1393" w:type="dxa"/>
            <w:shd w:val="clear" w:color="auto" w:fill="CCE2ED"/>
          </w:tcPr>
          <w:p w14:paraId="662C1F5D" w14:textId="77777777" w:rsidR="00141B97" w:rsidRDefault="00911D63">
            <w:pPr>
              <w:pStyle w:val="TableParagraph"/>
              <w:spacing w:line="199" w:lineRule="exact"/>
              <w:ind w:right="95"/>
              <w:jc w:val="right"/>
              <w:rPr>
                <w:sz w:val="18"/>
              </w:rPr>
            </w:pPr>
            <w:r>
              <w:rPr>
                <w:spacing w:val="-2"/>
                <w:sz w:val="18"/>
              </w:rPr>
              <w:t>Irrigation</w:t>
            </w:r>
          </w:p>
        </w:tc>
        <w:tc>
          <w:tcPr>
            <w:tcW w:w="1860" w:type="dxa"/>
            <w:shd w:val="clear" w:color="auto" w:fill="CCE2ED"/>
          </w:tcPr>
          <w:p w14:paraId="45BC1BD6" w14:textId="77777777" w:rsidR="00141B97" w:rsidRDefault="00911D63">
            <w:pPr>
              <w:pStyle w:val="TableParagraph"/>
              <w:spacing w:line="199" w:lineRule="exact"/>
              <w:ind w:right="95"/>
              <w:jc w:val="right"/>
              <w:rPr>
                <w:sz w:val="18"/>
              </w:rPr>
            </w:pPr>
            <w:r>
              <w:rPr>
                <w:spacing w:val="-2"/>
                <w:sz w:val="18"/>
              </w:rPr>
              <w:t>Renewals</w:t>
            </w:r>
          </w:p>
        </w:tc>
        <w:tc>
          <w:tcPr>
            <w:tcW w:w="1199" w:type="dxa"/>
            <w:shd w:val="clear" w:color="auto" w:fill="CCE2ED"/>
          </w:tcPr>
          <w:p w14:paraId="5C84AD8B" w14:textId="77777777" w:rsidR="00141B97" w:rsidRDefault="00911D63">
            <w:pPr>
              <w:pStyle w:val="TableParagraph"/>
              <w:spacing w:line="199" w:lineRule="exact"/>
              <w:ind w:right="96"/>
              <w:jc w:val="right"/>
              <w:rPr>
                <w:sz w:val="18"/>
              </w:rPr>
            </w:pPr>
            <w:r>
              <w:rPr>
                <w:spacing w:val="-4"/>
                <w:sz w:val="18"/>
              </w:rPr>
              <w:t>0.66</w:t>
            </w:r>
          </w:p>
        </w:tc>
        <w:tc>
          <w:tcPr>
            <w:tcW w:w="1198" w:type="dxa"/>
            <w:shd w:val="clear" w:color="auto" w:fill="CCE2ED"/>
          </w:tcPr>
          <w:p w14:paraId="69028E4D" w14:textId="77777777" w:rsidR="00141B97" w:rsidRDefault="00911D63">
            <w:pPr>
              <w:pStyle w:val="TableParagraph"/>
              <w:spacing w:line="199" w:lineRule="exact"/>
              <w:ind w:right="95"/>
              <w:jc w:val="right"/>
              <w:rPr>
                <w:sz w:val="18"/>
              </w:rPr>
            </w:pPr>
            <w:r>
              <w:rPr>
                <w:spacing w:val="-4"/>
                <w:sz w:val="18"/>
              </w:rPr>
              <w:t>0.46</w:t>
            </w:r>
          </w:p>
        </w:tc>
        <w:tc>
          <w:tcPr>
            <w:tcW w:w="1198" w:type="dxa"/>
            <w:shd w:val="clear" w:color="auto" w:fill="CCE2ED"/>
          </w:tcPr>
          <w:p w14:paraId="221A13E4" w14:textId="77777777" w:rsidR="00141B97" w:rsidRDefault="00911D63">
            <w:pPr>
              <w:pStyle w:val="TableParagraph"/>
              <w:spacing w:line="199" w:lineRule="exact"/>
              <w:ind w:right="96"/>
              <w:jc w:val="right"/>
              <w:rPr>
                <w:sz w:val="18"/>
              </w:rPr>
            </w:pPr>
            <w:r>
              <w:rPr>
                <w:spacing w:val="-4"/>
                <w:sz w:val="18"/>
              </w:rPr>
              <w:t>0.46</w:t>
            </w:r>
          </w:p>
        </w:tc>
        <w:tc>
          <w:tcPr>
            <w:tcW w:w="1199" w:type="dxa"/>
            <w:shd w:val="clear" w:color="auto" w:fill="CCE2ED"/>
          </w:tcPr>
          <w:p w14:paraId="5D79C53A" w14:textId="77777777" w:rsidR="00141B97" w:rsidRDefault="00911D63">
            <w:pPr>
              <w:pStyle w:val="TableParagraph"/>
              <w:spacing w:line="199" w:lineRule="exact"/>
              <w:ind w:right="97"/>
              <w:jc w:val="right"/>
              <w:rPr>
                <w:sz w:val="18"/>
              </w:rPr>
            </w:pPr>
            <w:r>
              <w:rPr>
                <w:spacing w:val="-4"/>
                <w:sz w:val="18"/>
              </w:rPr>
              <w:t>0.14</w:t>
            </w:r>
          </w:p>
        </w:tc>
        <w:tc>
          <w:tcPr>
            <w:tcW w:w="1198" w:type="dxa"/>
            <w:shd w:val="clear" w:color="auto" w:fill="CCE2ED"/>
          </w:tcPr>
          <w:p w14:paraId="23903324" w14:textId="77777777" w:rsidR="00141B97" w:rsidRDefault="00911D63">
            <w:pPr>
              <w:pStyle w:val="TableParagraph"/>
              <w:spacing w:line="199" w:lineRule="exact"/>
              <w:ind w:right="96"/>
              <w:jc w:val="right"/>
              <w:rPr>
                <w:sz w:val="18"/>
              </w:rPr>
            </w:pPr>
            <w:r>
              <w:rPr>
                <w:spacing w:val="-4"/>
                <w:sz w:val="18"/>
              </w:rPr>
              <w:t>0.14</w:t>
            </w:r>
          </w:p>
        </w:tc>
        <w:tc>
          <w:tcPr>
            <w:tcW w:w="1013" w:type="dxa"/>
            <w:tcBorders>
              <w:right w:val="nil"/>
            </w:tcBorders>
            <w:shd w:val="clear" w:color="auto" w:fill="CCE2ED"/>
          </w:tcPr>
          <w:p w14:paraId="6E06A339" w14:textId="77777777" w:rsidR="00141B97" w:rsidRDefault="00911D63">
            <w:pPr>
              <w:pStyle w:val="TableParagraph"/>
              <w:spacing w:line="199" w:lineRule="exact"/>
              <w:ind w:right="86"/>
              <w:jc w:val="right"/>
              <w:rPr>
                <w:sz w:val="18"/>
              </w:rPr>
            </w:pPr>
            <w:r>
              <w:rPr>
                <w:spacing w:val="-4"/>
                <w:sz w:val="18"/>
              </w:rPr>
              <w:t>1.87</w:t>
            </w:r>
          </w:p>
        </w:tc>
      </w:tr>
      <w:tr w:rsidR="00141B97" w14:paraId="67B03A40" w14:textId="77777777">
        <w:trPr>
          <w:trHeight w:val="220"/>
          <w:tblCellSpacing w:w="9" w:type="dxa"/>
        </w:trPr>
        <w:tc>
          <w:tcPr>
            <w:tcW w:w="5408" w:type="dxa"/>
            <w:tcBorders>
              <w:left w:val="nil"/>
            </w:tcBorders>
            <w:shd w:val="clear" w:color="auto" w:fill="CCE2ED"/>
          </w:tcPr>
          <w:p w14:paraId="093FEE16" w14:textId="77777777" w:rsidR="00141B97" w:rsidRDefault="00911D63">
            <w:pPr>
              <w:pStyle w:val="TableParagraph"/>
              <w:spacing w:before="1" w:line="199" w:lineRule="exact"/>
              <w:ind w:left="88"/>
              <w:rPr>
                <w:sz w:val="18"/>
              </w:rPr>
            </w:pPr>
            <w:r>
              <w:rPr>
                <w:sz w:val="18"/>
              </w:rPr>
              <w:t xml:space="preserve">General </w:t>
            </w:r>
            <w:r>
              <w:rPr>
                <w:spacing w:val="-2"/>
                <w:sz w:val="18"/>
              </w:rPr>
              <w:t>equipment</w:t>
            </w:r>
          </w:p>
        </w:tc>
        <w:tc>
          <w:tcPr>
            <w:tcW w:w="1393" w:type="dxa"/>
            <w:shd w:val="clear" w:color="auto" w:fill="CCE2ED"/>
          </w:tcPr>
          <w:p w14:paraId="749D832D"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59BE5699"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760D1228" w14:textId="77777777" w:rsidR="00141B97" w:rsidRDefault="00911D63">
            <w:pPr>
              <w:pStyle w:val="TableParagraph"/>
              <w:spacing w:before="1" w:line="199" w:lineRule="exact"/>
              <w:ind w:right="96"/>
              <w:jc w:val="right"/>
              <w:rPr>
                <w:sz w:val="18"/>
              </w:rPr>
            </w:pPr>
            <w:r>
              <w:rPr>
                <w:spacing w:val="-4"/>
                <w:sz w:val="18"/>
              </w:rPr>
              <w:t>0.11</w:t>
            </w:r>
          </w:p>
        </w:tc>
        <w:tc>
          <w:tcPr>
            <w:tcW w:w="1198" w:type="dxa"/>
            <w:shd w:val="clear" w:color="auto" w:fill="CCE2ED"/>
          </w:tcPr>
          <w:p w14:paraId="6E7E7BEB" w14:textId="77777777" w:rsidR="00141B97" w:rsidRDefault="00911D63">
            <w:pPr>
              <w:pStyle w:val="TableParagraph"/>
              <w:spacing w:before="1" w:line="199" w:lineRule="exact"/>
              <w:ind w:right="95"/>
              <w:jc w:val="right"/>
              <w:rPr>
                <w:sz w:val="18"/>
              </w:rPr>
            </w:pPr>
            <w:r>
              <w:rPr>
                <w:spacing w:val="-4"/>
                <w:sz w:val="18"/>
              </w:rPr>
              <w:t>0.11</w:t>
            </w:r>
          </w:p>
        </w:tc>
        <w:tc>
          <w:tcPr>
            <w:tcW w:w="1198" w:type="dxa"/>
            <w:shd w:val="clear" w:color="auto" w:fill="CCE2ED"/>
          </w:tcPr>
          <w:p w14:paraId="0564DC16" w14:textId="77777777" w:rsidR="00141B97" w:rsidRDefault="00911D63">
            <w:pPr>
              <w:pStyle w:val="TableParagraph"/>
              <w:spacing w:before="1" w:line="199" w:lineRule="exact"/>
              <w:ind w:right="96"/>
              <w:jc w:val="right"/>
              <w:rPr>
                <w:sz w:val="18"/>
              </w:rPr>
            </w:pPr>
            <w:r>
              <w:rPr>
                <w:spacing w:val="-4"/>
                <w:sz w:val="18"/>
              </w:rPr>
              <w:t>0.12</w:t>
            </w:r>
          </w:p>
        </w:tc>
        <w:tc>
          <w:tcPr>
            <w:tcW w:w="1199" w:type="dxa"/>
            <w:shd w:val="clear" w:color="auto" w:fill="CCE2ED"/>
          </w:tcPr>
          <w:p w14:paraId="095BF942" w14:textId="77777777" w:rsidR="00141B97" w:rsidRDefault="00911D63">
            <w:pPr>
              <w:pStyle w:val="TableParagraph"/>
              <w:spacing w:before="1" w:line="199" w:lineRule="exact"/>
              <w:ind w:right="97"/>
              <w:jc w:val="right"/>
              <w:rPr>
                <w:sz w:val="18"/>
              </w:rPr>
            </w:pPr>
            <w:r>
              <w:rPr>
                <w:spacing w:val="-4"/>
                <w:sz w:val="18"/>
              </w:rPr>
              <w:t>0.05</w:t>
            </w:r>
          </w:p>
        </w:tc>
        <w:tc>
          <w:tcPr>
            <w:tcW w:w="1198" w:type="dxa"/>
            <w:shd w:val="clear" w:color="auto" w:fill="CCE2ED"/>
          </w:tcPr>
          <w:p w14:paraId="28761479" w14:textId="77777777" w:rsidR="00141B97" w:rsidRDefault="00911D63">
            <w:pPr>
              <w:pStyle w:val="TableParagraph"/>
              <w:spacing w:before="1" w:line="199" w:lineRule="exact"/>
              <w:ind w:right="96"/>
              <w:jc w:val="right"/>
              <w:rPr>
                <w:sz w:val="18"/>
              </w:rPr>
            </w:pPr>
            <w:r>
              <w:rPr>
                <w:spacing w:val="-4"/>
                <w:sz w:val="18"/>
              </w:rPr>
              <w:t>0.05</w:t>
            </w:r>
          </w:p>
        </w:tc>
        <w:tc>
          <w:tcPr>
            <w:tcW w:w="1013" w:type="dxa"/>
            <w:tcBorders>
              <w:right w:val="nil"/>
            </w:tcBorders>
            <w:shd w:val="clear" w:color="auto" w:fill="CCE2ED"/>
          </w:tcPr>
          <w:p w14:paraId="54FC21F9" w14:textId="77777777" w:rsidR="00141B97" w:rsidRDefault="00911D63">
            <w:pPr>
              <w:pStyle w:val="TableParagraph"/>
              <w:spacing w:before="1" w:line="199" w:lineRule="exact"/>
              <w:ind w:right="86"/>
              <w:jc w:val="right"/>
              <w:rPr>
                <w:sz w:val="18"/>
              </w:rPr>
            </w:pPr>
            <w:r>
              <w:rPr>
                <w:spacing w:val="-4"/>
                <w:sz w:val="18"/>
              </w:rPr>
              <w:t>0.44</w:t>
            </w:r>
          </w:p>
        </w:tc>
      </w:tr>
      <w:tr w:rsidR="00141B97" w14:paraId="162EDD69" w14:textId="77777777">
        <w:trPr>
          <w:trHeight w:val="220"/>
          <w:tblCellSpacing w:w="9" w:type="dxa"/>
        </w:trPr>
        <w:tc>
          <w:tcPr>
            <w:tcW w:w="5408" w:type="dxa"/>
            <w:tcBorders>
              <w:left w:val="nil"/>
            </w:tcBorders>
            <w:shd w:val="clear" w:color="auto" w:fill="CCE2ED"/>
          </w:tcPr>
          <w:p w14:paraId="6EB79F8F" w14:textId="77777777" w:rsidR="00141B97" w:rsidRDefault="00911D63">
            <w:pPr>
              <w:pStyle w:val="TableParagraph"/>
              <w:spacing w:before="1" w:line="199" w:lineRule="exact"/>
              <w:ind w:left="88"/>
              <w:rPr>
                <w:sz w:val="18"/>
              </w:rPr>
            </w:pPr>
            <w:r>
              <w:rPr>
                <w:spacing w:val="-2"/>
                <w:sz w:val="18"/>
              </w:rPr>
              <w:t>Buildings</w:t>
            </w:r>
          </w:p>
        </w:tc>
        <w:tc>
          <w:tcPr>
            <w:tcW w:w="1393" w:type="dxa"/>
            <w:shd w:val="clear" w:color="auto" w:fill="CCE2ED"/>
          </w:tcPr>
          <w:p w14:paraId="157129E3" w14:textId="77777777" w:rsidR="00141B97" w:rsidRDefault="00911D63">
            <w:pPr>
              <w:pStyle w:val="TableParagraph"/>
              <w:spacing w:before="1" w:line="199" w:lineRule="exact"/>
              <w:ind w:right="95"/>
              <w:jc w:val="right"/>
              <w:rPr>
                <w:sz w:val="18"/>
              </w:rPr>
            </w:pPr>
            <w:r>
              <w:rPr>
                <w:spacing w:val="-2"/>
                <w:sz w:val="18"/>
              </w:rPr>
              <w:t>Irrigation</w:t>
            </w:r>
          </w:p>
        </w:tc>
        <w:tc>
          <w:tcPr>
            <w:tcW w:w="1860" w:type="dxa"/>
            <w:shd w:val="clear" w:color="auto" w:fill="CCE2ED"/>
          </w:tcPr>
          <w:p w14:paraId="3160A389" w14:textId="77777777" w:rsidR="00141B97" w:rsidRDefault="00911D63">
            <w:pPr>
              <w:pStyle w:val="TableParagraph"/>
              <w:spacing w:before="1" w:line="199" w:lineRule="exact"/>
              <w:ind w:right="95"/>
              <w:jc w:val="right"/>
              <w:rPr>
                <w:sz w:val="18"/>
              </w:rPr>
            </w:pPr>
            <w:r>
              <w:rPr>
                <w:spacing w:val="-2"/>
                <w:sz w:val="18"/>
              </w:rPr>
              <w:t>Renewals</w:t>
            </w:r>
          </w:p>
        </w:tc>
        <w:tc>
          <w:tcPr>
            <w:tcW w:w="1199" w:type="dxa"/>
            <w:shd w:val="clear" w:color="auto" w:fill="CCE2ED"/>
          </w:tcPr>
          <w:p w14:paraId="636E8FD7" w14:textId="77777777" w:rsidR="00141B97" w:rsidRDefault="00911D63">
            <w:pPr>
              <w:pStyle w:val="TableParagraph"/>
              <w:spacing w:before="1" w:line="199" w:lineRule="exact"/>
              <w:ind w:right="96"/>
              <w:jc w:val="right"/>
              <w:rPr>
                <w:sz w:val="18"/>
              </w:rPr>
            </w:pPr>
            <w:r>
              <w:rPr>
                <w:spacing w:val="-4"/>
                <w:sz w:val="18"/>
              </w:rPr>
              <w:t>0.48</w:t>
            </w:r>
          </w:p>
        </w:tc>
        <w:tc>
          <w:tcPr>
            <w:tcW w:w="1198" w:type="dxa"/>
            <w:shd w:val="clear" w:color="auto" w:fill="CCE2ED"/>
          </w:tcPr>
          <w:p w14:paraId="2391197A" w14:textId="77777777" w:rsidR="00141B97" w:rsidRDefault="00911D63">
            <w:pPr>
              <w:pStyle w:val="TableParagraph"/>
              <w:spacing w:before="1" w:line="199" w:lineRule="exact"/>
              <w:ind w:right="95"/>
              <w:jc w:val="right"/>
              <w:rPr>
                <w:sz w:val="18"/>
              </w:rPr>
            </w:pPr>
            <w:r>
              <w:rPr>
                <w:spacing w:val="-4"/>
                <w:sz w:val="18"/>
              </w:rPr>
              <w:t>0.22</w:t>
            </w:r>
          </w:p>
        </w:tc>
        <w:tc>
          <w:tcPr>
            <w:tcW w:w="1198" w:type="dxa"/>
            <w:shd w:val="clear" w:color="auto" w:fill="CCE2ED"/>
          </w:tcPr>
          <w:p w14:paraId="108B2627" w14:textId="77777777" w:rsidR="00141B97" w:rsidRDefault="00911D63">
            <w:pPr>
              <w:pStyle w:val="TableParagraph"/>
              <w:spacing w:before="1" w:line="199" w:lineRule="exact"/>
              <w:ind w:right="96"/>
              <w:jc w:val="right"/>
              <w:rPr>
                <w:sz w:val="18"/>
              </w:rPr>
            </w:pPr>
            <w:r>
              <w:rPr>
                <w:spacing w:val="-4"/>
                <w:sz w:val="18"/>
              </w:rPr>
              <w:t>0.25</w:t>
            </w:r>
          </w:p>
        </w:tc>
        <w:tc>
          <w:tcPr>
            <w:tcW w:w="1199" w:type="dxa"/>
            <w:shd w:val="clear" w:color="auto" w:fill="CCE2ED"/>
          </w:tcPr>
          <w:p w14:paraId="45436EEC" w14:textId="77777777" w:rsidR="00141B97" w:rsidRDefault="00911D63">
            <w:pPr>
              <w:pStyle w:val="TableParagraph"/>
              <w:spacing w:before="1" w:line="199" w:lineRule="exact"/>
              <w:ind w:right="97"/>
              <w:jc w:val="right"/>
              <w:rPr>
                <w:sz w:val="18"/>
              </w:rPr>
            </w:pPr>
            <w:r>
              <w:rPr>
                <w:spacing w:val="-4"/>
                <w:sz w:val="18"/>
              </w:rPr>
              <w:t>0.14</w:t>
            </w:r>
          </w:p>
        </w:tc>
        <w:tc>
          <w:tcPr>
            <w:tcW w:w="1198" w:type="dxa"/>
            <w:shd w:val="clear" w:color="auto" w:fill="CCE2ED"/>
          </w:tcPr>
          <w:p w14:paraId="47033BE2" w14:textId="77777777" w:rsidR="00141B97" w:rsidRDefault="00911D63">
            <w:pPr>
              <w:pStyle w:val="TableParagraph"/>
              <w:spacing w:before="1" w:line="199" w:lineRule="exact"/>
              <w:ind w:right="96"/>
              <w:jc w:val="right"/>
              <w:rPr>
                <w:sz w:val="18"/>
              </w:rPr>
            </w:pPr>
            <w:r>
              <w:rPr>
                <w:spacing w:val="-4"/>
                <w:sz w:val="18"/>
              </w:rPr>
              <w:t>0.13</w:t>
            </w:r>
          </w:p>
        </w:tc>
        <w:tc>
          <w:tcPr>
            <w:tcW w:w="1013" w:type="dxa"/>
            <w:tcBorders>
              <w:right w:val="nil"/>
            </w:tcBorders>
            <w:shd w:val="clear" w:color="auto" w:fill="CCE2ED"/>
          </w:tcPr>
          <w:p w14:paraId="621D395F" w14:textId="77777777" w:rsidR="00141B97" w:rsidRDefault="00911D63">
            <w:pPr>
              <w:pStyle w:val="TableParagraph"/>
              <w:spacing w:before="1" w:line="199" w:lineRule="exact"/>
              <w:ind w:right="86"/>
              <w:jc w:val="right"/>
              <w:rPr>
                <w:sz w:val="18"/>
              </w:rPr>
            </w:pPr>
            <w:r>
              <w:rPr>
                <w:spacing w:val="-4"/>
                <w:sz w:val="18"/>
              </w:rPr>
              <w:t>1.22</w:t>
            </w:r>
          </w:p>
        </w:tc>
      </w:tr>
      <w:tr w:rsidR="00141B97" w14:paraId="623A8BA2" w14:textId="77777777">
        <w:trPr>
          <w:trHeight w:val="329"/>
          <w:tblCellSpacing w:w="9" w:type="dxa"/>
        </w:trPr>
        <w:tc>
          <w:tcPr>
            <w:tcW w:w="5408" w:type="dxa"/>
            <w:tcBorders>
              <w:left w:val="nil"/>
              <w:bottom w:val="nil"/>
            </w:tcBorders>
            <w:shd w:val="clear" w:color="auto" w:fill="BFBFBF"/>
          </w:tcPr>
          <w:p w14:paraId="1EF0CE34" w14:textId="77777777" w:rsidR="00141B97" w:rsidRDefault="00911D63">
            <w:pPr>
              <w:pStyle w:val="TableParagraph"/>
              <w:spacing w:before="55"/>
              <w:ind w:left="88"/>
              <w:rPr>
                <w:sz w:val="18"/>
              </w:rPr>
            </w:pPr>
            <w:r>
              <w:rPr>
                <w:spacing w:val="-2"/>
                <w:sz w:val="18"/>
              </w:rPr>
              <w:t>TOTAL</w:t>
            </w:r>
          </w:p>
        </w:tc>
        <w:tc>
          <w:tcPr>
            <w:tcW w:w="1393" w:type="dxa"/>
            <w:tcBorders>
              <w:bottom w:val="nil"/>
            </w:tcBorders>
            <w:shd w:val="clear" w:color="auto" w:fill="BFBFBF"/>
          </w:tcPr>
          <w:p w14:paraId="17235831" w14:textId="77777777" w:rsidR="00141B97" w:rsidRDefault="00141B97">
            <w:pPr>
              <w:pStyle w:val="TableParagraph"/>
              <w:rPr>
                <w:rFonts w:ascii="Times New Roman"/>
                <w:sz w:val="18"/>
              </w:rPr>
            </w:pPr>
          </w:p>
        </w:tc>
        <w:tc>
          <w:tcPr>
            <w:tcW w:w="1860" w:type="dxa"/>
            <w:tcBorders>
              <w:bottom w:val="nil"/>
            </w:tcBorders>
            <w:shd w:val="clear" w:color="auto" w:fill="BFBFBF"/>
          </w:tcPr>
          <w:p w14:paraId="41FB053A" w14:textId="77777777" w:rsidR="00141B97" w:rsidRDefault="00911D63">
            <w:pPr>
              <w:pStyle w:val="TableParagraph"/>
              <w:spacing w:before="55"/>
              <w:ind w:right="95"/>
              <w:jc w:val="right"/>
              <w:rPr>
                <w:sz w:val="18"/>
              </w:rPr>
            </w:pPr>
            <w:r>
              <w:rPr>
                <w:sz w:val="18"/>
              </w:rPr>
              <w:t xml:space="preserve">$m </w:t>
            </w:r>
            <w:r>
              <w:rPr>
                <w:spacing w:val="-2"/>
                <w:sz w:val="18"/>
              </w:rPr>
              <w:t>1/1/23</w:t>
            </w:r>
          </w:p>
        </w:tc>
        <w:tc>
          <w:tcPr>
            <w:tcW w:w="1199" w:type="dxa"/>
            <w:tcBorders>
              <w:bottom w:val="nil"/>
            </w:tcBorders>
            <w:shd w:val="clear" w:color="auto" w:fill="BFBFBF"/>
          </w:tcPr>
          <w:p w14:paraId="5604491A" w14:textId="77777777" w:rsidR="00141B97" w:rsidRDefault="00911D63">
            <w:pPr>
              <w:pStyle w:val="TableParagraph"/>
              <w:spacing w:before="55"/>
              <w:ind w:right="96"/>
              <w:jc w:val="right"/>
              <w:rPr>
                <w:sz w:val="18"/>
              </w:rPr>
            </w:pPr>
            <w:r>
              <w:rPr>
                <w:spacing w:val="-2"/>
                <w:sz w:val="18"/>
              </w:rPr>
              <w:t>16.08</w:t>
            </w:r>
          </w:p>
        </w:tc>
        <w:tc>
          <w:tcPr>
            <w:tcW w:w="1198" w:type="dxa"/>
            <w:tcBorders>
              <w:bottom w:val="nil"/>
            </w:tcBorders>
            <w:shd w:val="clear" w:color="auto" w:fill="BFBFBF"/>
          </w:tcPr>
          <w:p w14:paraId="7D754BC6" w14:textId="77777777" w:rsidR="00141B97" w:rsidRDefault="00911D63">
            <w:pPr>
              <w:pStyle w:val="TableParagraph"/>
              <w:spacing w:before="55"/>
              <w:ind w:right="95"/>
              <w:jc w:val="right"/>
              <w:rPr>
                <w:sz w:val="18"/>
              </w:rPr>
            </w:pPr>
            <w:r>
              <w:rPr>
                <w:spacing w:val="-4"/>
                <w:sz w:val="18"/>
              </w:rPr>
              <w:t>8.51</w:t>
            </w:r>
          </w:p>
        </w:tc>
        <w:tc>
          <w:tcPr>
            <w:tcW w:w="1198" w:type="dxa"/>
            <w:tcBorders>
              <w:bottom w:val="nil"/>
            </w:tcBorders>
            <w:shd w:val="clear" w:color="auto" w:fill="BFBFBF"/>
          </w:tcPr>
          <w:p w14:paraId="17E8E943" w14:textId="77777777" w:rsidR="00141B97" w:rsidRDefault="00911D63">
            <w:pPr>
              <w:pStyle w:val="TableParagraph"/>
              <w:spacing w:before="55"/>
              <w:ind w:right="96"/>
              <w:jc w:val="right"/>
              <w:rPr>
                <w:sz w:val="18"/>
              </w:rPr>
            </w:pPr>
            <w:r>
              <w:rPr>
                <w:spacing w:val="-4"/>
                <w:sz w:val="18"/>
              </w:rPr>
              <w:t>8.06</w:t>
            </w:r>
          </w:p>
        </w:tc>
        <w:tc>
          <w:tcPr>
            <w:tcW w:w="1199" w:type="dxa"/>
            <w:tcBorders>
              <w:bottom w:val="nil"/>
            </w:tcBorders>
            <w:shd w:val="clear" w:color="auto" w:fill="BFBFBF"/>
          </w:tcPr>
          <w:p w14:paraId="5D496C68" w14:textId="77777777" w:rsidR="00141B97" w:rsidRDefault="00911D63">
            <w:pPr>
              <w:pStyle w:val="TableParagraph"/>
              <w:spacing w:before="55"/>
              <w:ind w:right="97"/>
              <w:jc w:val="right"/>
              <w:rPr>
                <w:sz w:val="18"/>
              </w:rPr>
            </w:pPr>
            <w:r>
              <w:rPr>
                <w:spacing w:val="-4"/>
                <w:sz w:val="18"/>
              </w:rPr>
              <w:t>9.30</w:t>
            </w:r>
          </w:p>
        </w:tc>
        <w:tc>
          <w:tcPr>
            <w:tcW w:w="1198" w:type="dxa"/>
            <w:tcBorders>
              <w:bottom w:val="nil"/>
            </w:tcBorders>
            <w:shd w:val="clear" w:color="auto" w:fill="BFBFBF"/>
          </w:tcPr>
          <w:p w14:paraId="64D0AD0B" w14:textId="77777777" w:rsidR="00141B97" w:rsidRDefault="00911D63">
            <w:pPr>
              <w:pStyle w:val="TableParagraph"/>
              <w:spacing w:before="55"/>
              <w:ind w:right="96"/>
              <w:jc w:val="right"/>
              <w:rPr>
                <w:sz w:val="18"/>
              </w:rPr>
            </w:pPr>
            <w:r>
              <w:rPr>
                <w:spacing w:val="-4"/>
                <w:sz w:val="18"/>
              </w:rPr>
              <w:t>8.41</w:t>
            </w:r>
          </w:p>
        </w:tc>
        <w:tc>
          <w:tcPr>
            <w:tcW w:w="1013" w:type="dxa"/>
            <w:tcBorders>
              <w:bottom w:val="nil"/>
              <w:right w:val="nil"/>
            </w:tcBorders>
            <w:shd w:val="clear" w:color="auto" w:fill="BFBFBF"/>
          </w:tcPr>
          <w:p w14:paraId="348B61FA" w14:textId="77777777" w:rsidR="00141B97" w:rsidRDefault="00911D63">
            <w:pPr>
              <w:pStyle w:val="TableParagraph"/>
              <w:spacing w:before="55"/>
              <w:ind w:right="86"/>
              <w:jc w:val="right"/>
              <w:rPr>
                <w:sz w:val="18"/>
              </w:rPr>
            </w:pPr>
            <w:r>
              <w:rPr>
                <w:spacing w:val="-2"/>
                <w:sz w:val="18"/>
              </w:rPr>
              <w:t>50.35</w:t>
            </w:r>
          </w:p>
        </w:tc>
      </w:tr>
    </w:tbl>
    <w:p w14:paraId="7B0BC18E" w14:textId="77777777" w:rsidR="00141B97" w:rsidRDefault="00141B97">
      <w:pPr>
        <w:jc w:val="right"/>
        <w:rPr>
          <w:sz w:val="18"/>
        </w:rPr>
        <w:sectPr w:rsidR="00141B97">
          <w:pgSz w:w="16840" w:h="11910" w:orient="landscape"/>
          <w:pgMar w:top="840" w:right="600" w:bottom="540" w:left="300" w:header="0" w:footer="345" w:gutter="0"/>
          <w:cols w:space="720"/>
        </w:sectPr>
      </w:pPr>
    </w:p>
    <w:p w14:paraId="0D0D6085" w14:textId="77777777" w:rsidR="00141B97" w:rsidRDefault="00911D63">
      <w:pPr>
        <w:spacing w:before="27"/>
        <w:ind w:left="124"/>
        <w:rPr>
          <w:sz w:val="28"/>
        </w:rPr>
      </w:pPr>
      <w:r>
        <w:rPr>
          <w:color w:val="009BAC"/>
          <w:sz w:val="28"/>
        </w:rPr>
        <w:lastRenderedPageBreak/>
        <w:t>Appendix</w:t>
      </w:r>
      <w:r>
        <w:rPr>
          <w:color w:val="009BAC"/>
          <w:spacing w:val="-4"/>
          <w:sz w:val="28"/>
        </w:rPr>
        <w:t xml:space="preserve"> </w:t>
      </w:r>
      <w:r>
        <w:rPr>
          <w:color w:val="009BAC"/>
          <w:sz w:val="28"/>
        </w:rPr>
        <w:t>C3</w:t>
      </w:r>
      <w:r>
        <w:rPr>
          <w:color w:val="009BAC"/>
          <w:spacing w:val="-5"/>
          <w:sz w:val="28"/>
        </w:rPr>
        <w:t xml:space="preserve"> </w:t>
      </w:r>
      <w:r>
        <w:rPr>
          <w:color w:val="009BAC"/>
          <w:sz w:val="28"/>
        </w:rPr>
        <w:t>‐</w:t>
      </w:r>
      <w:r>
        <w:rPr>
          <w:color w:val="009BAC"/>
          <w:spacing w:val="-6"/>
          <w:sz w:val="28"/>
        </w:rPr>
        <w:t xml:space="preserve"> </w:t>
      </w:r>
      <w:r>
        <w:rPr>
          <w:color w:val="009BAC"/>
          <w:sz w:val="28"/>
        </w:rPr>
        <w:t>Rural</w:t>
      </w:r>
      <w:r>
        <w:rPr>
          <w:color w:val="009BAC"/>
          <w:spacing w:val="-6"/>
          <w:sz w:val="28"/>
        </w:rPr>
        <w:t xml:space="preserve"> </w:t>
      </w:r>
      <w:r>
        <w:rPr>
          <w:color w:val="009BAC"/>
          <w:sz w:val="28"/>
        </w:rPr>
        <w:t>Major</w:t>
      </w:r>
      <w:r>
        <w:rPr>
          <w:color w:val="009BAC"/>
          <w:spacing w:val="-6"/>
          <w:sz w:val="28"/>
        </w:rPr>
        <w:t xml:space="preserve"> </w:t>
      </w:r>
      <w:r>
        <w:rPr>
          <w:color w:val="009BAC"/>
          <w:sz w:val="28"/>
        </w:rPr>
        <w:t>Projects</w:t>
      </w:r>
      <w:r>
        <w:rPr>
          <w:color w:val="009BAC"/>
          <w:spacing w:val="-6"/>
          <w:sz w:val="28"/>
        </w:rPr>
        <w:t xml:space="preserve"> </w:t>
      </w:r>
      <w:r>
        <w:rPr>
          <w:color w:val="009BAC"/>
          <w:sz w:val="28"/>
        </w:rPr>
        <w:t>and</w:t>
      </w:r>
      <w:r>
        <w:rPr>
          <w:color w:val="009BAC"/>
          <w:spacing w:val="-5"/>
          <w:sz w:val="28"/>
        </w:rPr>
        <w:t xml:space="preserve"> </w:t>
      </w:r>
      <w:r>
        <w:rPr>
          <w:color w:val="009BAC"/>
          <w:spacing w:val="-2"/>
          <w:sz w:val="28"/>
        </w:rPr>
        <w:t>Programs</w:t>
      </w:r>
    </w:p>
    <w:p w14:paraId="553C9293" w14:textId="77777777" w:rsidR="00141B97" w:rsidRDefault="00911D63">
      <w:pPr>
        <w:pStyle w:val="BodyText"/>
        <w:spacing w:before="120"/>
        <w:ind w:left="124"/>
      </w:pPr>
      <w:r>
        <w:t>C3.1</w:t>
      </w:r>
      <w:r>
        <w:rPr>
          <w:spacing w:val="-5"/>
        </w:rPr>
        <w:t xml:space="preserve"> </w:t>
      </w:r>
      <w:r>
        <w:t>Top</w:t>
      </w:r>
      <w:r>
        <w:rPr>
          <w:spacing w:val="-5"/>
        </w:rPr>
        <w:t xml:space="preserve"> </w:t>
      </w:r>
      <w:r>
        <w:t>10</w:t>
      </w:r>
      <w:r>
        <w:rPr>
          <w:spacing w:val="-5"/>
        </w:rPr>
        <w:t xml:space="preserve"> </w:t>
      </w:r>
      <w:r>
        <w:t>Projects</w:t>
      </w:r>
      <w:r>
        <w:rPr>
          <w:spacing w:val="-5"/>
        </w:rPr>
        <w:t xml:space="preserve"> </w:t>
      </w:r>
      <w:r>
        <w:t>Rural</w:t>
      </w:r>
      <w:r>
        <w:rPr>
          <w:spacing w:val="-5"/>
        </w:rPr>
        <w:t xml:space="preserve"> </w:t>
      </w:r>
      <w:r>
        <w:t>Component</w:t>
      </w:r>
      <w:r>
        <w:rPr>
          <w:spacing w:val="-5"/>
        </w:rPr>
        <w:t xml:space="preserve"> </w:t>
      </w:r>
      <w:r>
        <w:t>–</w:t>
      </w:r>
      <w:r>
        <w:rPr>
          <w:spacing w:val="-5"/>
        </w:rPr>
        <w:t xml:space="preserve"> </w:t>
      </w:r>
      <w:r>
        <w:t>Schedule</w:t>
      </w:r>
      <w:r>
        <w:rPr>
          <w:spacing w:val="-6"/>
        </w:rPr>
        <w:t xml:space="preserve"> </w:t>
      </w:r>
      <w:r>
        <w:t>of</w:t>
      </w:r>
      <w:r>
        <w:rPr>
          <w:spacing w:val="-6"/>
        </w:rPr>
        <w:t xml:space="preserve"> </w:t>
      </w:r>
      <w:r>
        <w:rPr>
          <w:spacing w:val="-2"/>
        </w:rPr>
        <w:t>Investment</w:t>
      </w:r>
    </w:p>
    <w:p w14:paraId="0FCFFD74" w14:textId="77777777" w:rsidR="00141B97" w:rsidRDefault="00141B97">
      <w:pPr>
        <w:pStyle w:val="BodyText"/>
        <w:spacing w:before="9"/>
      </w:pPr>
    </w:p>
    <w:tbl>
      <w:tblPr>
        <w:tblW w:w="0" w:type="auto"/>
        <w:tblInd w:w="142" w:type="dxa"/>
        <w:tblLayout w:type="fixed"/>
        <w:tblCellMar>
          <w:left w:w="0" w:type="dxa"/>
          <w:right w:w="0" w:type="dxa"/>
        </w:tblCellMar>
        <w:tblLook w:val="01E0" w:firstRow="1" w:lastRow="1" w:firstColumn="1" w:lastColumn="1" w:noHBand="0" w:noVBand="0"/>
      </w:tblPr>
      <w:tblGrid>
        <w:gridCol w:w="581"/>
        <w:gridCol w:w="1945"/>
        <w:gridCol w:w="3897"/>
        <w:gridCol w:w="1295"/>
        <w:gridCol w:w="1295"/>
        <w:gridCol w:w="1402"/>
        <w:gridCol w:w="876"/>
        <w:gridCol w:w="877"/>
        <w:gridCol w:w="877"/>
        <w:gridCol w:w="877"/>
        <w:gridCol w:w="909"/>
        <w:gridCol w:w="835"/>
      </w:tblGrid>
      <w:tr w:rsidR="00141B97" w14:paraId="7F528BC3" w14:textId="77777777">
        <w:trPr>
          <w:trHeight w:val="719"/>
        </w:trPr>
        <w:tc>
          <w:tcPr>
            <w:tcW w:w="581" w:type="dxa"/>
            <w:tcBorders>
              <w:bottom w:val="single" w:sz="4" w:space="0" w:color="FFFFFF"/>
            </w:tcBorders>
            <w:shd w:val="clear" w:color="auto" w:fill="006CA3"/>
          </w:tcPr>
          <w:p w14:paraId="393AFBC5" w14:textId="77777777" w:rsidR="00141B97" w:rsidRDefault="00141B97">
            <w:pPr>
              <w:pStyle w:val="TableParagraph"/>
              <w:spacing w:before="5"/>
              <w:rPr>
                <w:sz w:val="20"/>
              </w:rPr>
            </w:pPr>
          </w:p>
          <w:p w14:paraId="26D989FD" w14:textId="77777777" w:rsidR="00141B97" w:rsidRDefault="00911D63">
            <w:pPr>
              <w:pStyle w:val="TableParagraph"/>
              <w:ind w:left="140"/>
              <w:rPr>
                <w:sz w:val="18"/>
              </w:rPr>
            </w:pPr>
            <w:r>
              <w:rPr>
                <w:color w:val="FFFFFF"/>
                <w:spacing w:val="-5"/>
                <w:sz w:val="18"/>
              </w:rPr>
              <w:t>No.</w:t>
            </w:r>
          </w:p>
        </w:tc>
        <w:tc>
          <w:tcPr>
            <w:tcW w:w="1945" w:type="dxa"/>
            <w:tcBorders>
              <w:bottom w:val="single" w:sz="4" w:space="0" w:color="FFFFFF"/>
            </w:tcBorders>
            <w:shd w:val="clear" w:color="auto" w:fill="006CA3"/>
          </w:tcPr>
          <w:p w14:paraId="028F6516" w14:textId="77777777" w:rsidR="00141B97" w:rsidRDefault="00141B97">
            <w:pPr>
              <w:pStyle w:val="TableParagraph"/>
              <w:spacing w:before="5"/>
              <w:rPr>
                <w:sz w:val="20"/>
              </w:rPr>
            </w:pPr>
          </w:p>
          <w:p w14:paraId="5225BCFB" w14:textId="77777777" w:rsidR="00141B97" w:rsidRDefault="00911D63">
            <w:pPr>
              <w:pStyle w:val="TableParagraph"/>
              <w:ind w:left="452"/>
              <w:rPr>
                <w:sz w:val="18"/>
              </w:rPr>
            </w:pPr>
            <w:r>
              <w:rPr>
                <w:color w:val="FFFFFF"/>
                <w:sz w:val="18"/>
              </w:rPr>
              <w:t>Business</w:t>
            </w:r>
            <w:r>
              <w:rPr>
                <w:color w:val="FFFFFF"/>
                <w:spacing w:val="-3"/>
                <w:sz w:val="18"/>
              </w:rPr>
              <w:t xml:space="preserve"> </w:t>
            </w:r>
            <w:r>
              <w:rPr>
                <w:color w:val="FFFFFF"/>
                <w:spacing w:val="-4"/>
                <w:sz w:val="18"/>
              </w:rPr>
              <w:t>Case</w:t>
            </w:r>
          </w:p>
        </w:tc>
        <w:tc>
          <w:tcPr>
            <w:tcW w:w="3897" w:type="dxa"/>
            <w:tcBorders>
              <w:bottom w:val="single" w:sz="4" w:space="0" w:color="FFFFFF"/>
            </w:tcBorders>
            <w:shd w:val="clear" w:color="auto" w:fill="006CA3"/>
          </w:tcPr>
          <w:p w14:paraId="0CCFC7AD" w14:textId="77777777" w:rsidR="00141B97" w:rsidRDefault="00141B97">
            <w:pPr>
              <w:pStyle w:val="TableParagraph"/>
              <w:spacing w:before="5"/>
              <w:rPr>
                <w:sz w:val="20"/>
              </w:rPr>
            </w:pPr>
          </w:p>
          <w:p w14:paraId="1A2BDDD7" w14:textId="77777777" w:rsidR="00141B97" w:rsidRDefault="00911D63">
            <w:pPr>
              <w:pStyle w:val="TableParagraph"/>
              <w:ind w:left="753"/>
              <w:rPr>
                <w:sz w:val="18"/>
              </w:rPr>
            </w:pPr>
            <w:r>
              <w:rPr>
                <w:color w:val="FFFFFF"/>
                <w:sz w:val="18"/>
              </w:rPr>
              <w:t>Component</w:t>
            </w:r>
            <w:r>
              <w:rPr>
                <w:color w:val="FFFFFF"/>
                <w:spacing w:val="-8"/>
                <w:sz w:val="18"/>
              </w:rPr>
              <w:t xml:space="preserve"> </w:t>
            </w:r>
            <w:r>
              <w:rPr>
                <w:color w:val="FFFFFF"/>
                <w:sz w:val="18"/>
              </w:rPr>
              <w:t>Projects,</w:t>
            </w:r>
            <w:r>
              <w:rPr>
                <w:color w:val="FFFFFF"/>
                <w:spacing w:val="-2"/>
                <w:sz w:val="18"/>
              </w:rPr>
              <w:t xml:space="preserve"> Comments</w:t>
            </w:r>
          </w:p>
        </w:tc>
        <w:tc>
          <w:tcPr>
            <w:tcW w:w="1295" w:type="dxa"/>
            <w:tcBorders>
              <w:bottom w:val="single" w:sz="4" w:space="0" w:color="FFFFFF"/>
            </w:tcBorders>
            <w:shd w:val="clear" w:color="auto" w:fill="006CA3"/>
          </w:tcPr>
          <w:p w14:paraId="1FEA381B" w14:textId="77777777" w:rsidR="00141B97" w:rsidRDefault="00911D63">
            <w:pPr>
              <w:pStyle w:val="TableParagraph"/>
              <w:spacing w:before="140"/>
              <w:ind w:left="277" w:right="178" w:hanging="88"/>
              <w:rPr>
                <w:sz w:val="18"/>
              </w:rPr>
            </w:pPr>
            <w:r>
              <w:rPr>
                <w:color w:val="FFFFFF"/>
                <w:sz w:val="18"/>
              </w:rPr>
              <w:t>Total</w:t>
            </w:r>
            <w:r>
              <w:rPr>
                <w:color w:val="FFFFFF"/>
                <w:spacing w:val="-11"/>
                <w:sz w:val="18"/>
              </w:rPr>
              <w:t xml:space="preserve"> </w:t>
            </w:r>
            <w:r>
              <w:rPr>
                <w:color w:val="FFFFFF"/>
                <w:sz w:val="18"/>
              </w:rPr>
              <w:t>Project Cost</w:t>
            </w:r>
            <w:r>
              <w:rPr>
                <w:color w:val="FFFFFF"/>
                <w:spacing w:val="-2"/>
                <w:sz w:val="18"/>
              </w:rPr>
              <w:t xml:space="preserve"> </w:t>
            </w:r>
            <w:r>
              <w:rPr>
                <w:color w:val="FFFFFF"/>
                <w:sz w:val="18"/>
              </w:rPr>
              <w:t>($m)</w:t>
            </w:r>
          </w:p>
        </w:tc>
        <w:tc>
          <w:tcPr>
            <w:tcW w:w="1295" w:type="dxa"/>
            <w:tcBorders>
              <w:bottom w:val="single" w:sz="4" w:space="0" w:color="FFFFFF"/>
            </w:tcBorders>
            <w:shd w:val="clear" w:color="auto" w:fill="006CA3"/>
          </w:tcPr>
          <w:p w14:paraId="777723B8" w14:textId="77777777" w:rsidR="00141B97" w:rsidRDefault="00911D63">
            <w:pPr>
              <w:pStyle w:val="TableParagraph"/>
              <w:spacing w:before="140"/>
              <w:ind w:left="306" w:right="140" w:hanging="15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402" w:type="dxa"/>
            <w:tcBorders>
              <w:bottom w:val="single" w:sz="4" w:space="0" w:color="FFFFFF"/>
            </w:tcBorders>
            <w:shd w:val="clear" w:color="auto" w:fill="006CA3"/>
          </w:tcPr>
          <w:p w14:paraId="30A247B9" w14:textId="77777777" w:rsidR="00141B97" w:rsidRDefault="00141B97">
            <w:pPr>
              <w:pStyle w:val="TableParagraph"/>
              <w:spacing w:before="5"/>
              <w:rPr>
                <w:sz w:val="20"/>
              </w:rPr>
            </w:pPr>
          </w:p>
          <w:p w14:paraId="5CA6640A" w14:textId="77777777" w:rsidR="00141B97" w:rsidRDefault="00911D63">
            <w:pPr>
              <w:pStyle w:val="TableParagraph"/>
              <w:ind w:left="129"/>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c>
          <w:tcPr>
            <w:tcW w:w="876" w:type="dxa"/>
            <w:tcBorders>
              <w:bottom w:val="single" w:sz="4" w:space="0" w:color="FFFFFF"/>
            </w:tcBorders>
            <w:shd w:val="clear" w:color="auto" w:fill="006CA3"/>
          </w:tcPr>
          <w:p w14:paraId="7658B9AF" w14:textId="77777777" w:rsidR="00141B97" w:rsidRDefault="00141B97">
            <w:pPr>
              <w:pStyle w:val="TableParagraph"/>
              <w:spacing w:before="5"/>
              <w:rPr>
                <w:sz w:val="20"/>
              </w:rPr>
            </w:pPr>
          </w:p>
          <w:p w14:paraId="44D8578C" w14:textId="77777777" w:rsidR="00141B97" w:rsidRDefault="00911D63">
            <w:pPr>
              <w:pStyle w:val="TableParagraph"/>
              <w:ind w:left="130" w:right="116"/>
              <w:jc w:val="center"/>
              <w:rPr>
                <w:sz w:val="18"/>
              </w:rPr>
            </w:pPr>
            <w:r>
              <w:rPr>
                <w:color w:val="FFFFFF"/>
                <w:spacing w:val="-2"/>
                <w:sz w:val="18"/>
              </w:rPr>
              <w:t>2023‐24</w:t>
            </w:r>
          </w:p>
        </w:tc>
        <w:tc>
          <w:tcPr>
            <w:tcW w:w="877" w:type="dxa"/>
            <w:tcBorders>
              <w:bottom w:val="single" w:sz="4" w:space="0" w:color="FFFFFF"/>
            </w:tcBorders>
            <w:shd w:val="clear" w:color="auto" w:fill="006CA3"/>
          </w:tcPr>
          <w:p w14:paraId="3AA38222" w14:textId="77777777" w:rsidR="00141B97" w:rsidRDefault="00141B97">
            <w:pPr>
              <w:pStyle w:val="TableParagraph"/>
              <w:spacing w:before="5"/>
              <w:rPr>
                <w:sz w:val="20"/>
              </w:rPr>
            </w:pPr>
          </w:p>
          <w:p w14:paraId="2DC417E3" w14:textId="77777777" w:rsidR="00141B97" w:rsidRDefault="00911D63">
            <w:pPr>
              <w:pStyle w:val="TableParagraph"/>
              <w:ind w:left="128" w:right="111"/>
              <w:jc w:val="center"/>
              <w:rPr>
                <w:sz w:val="18"/>
              </w:rPr>
            </w:pPr>
            <w:r>
              <w:rPr>
                <w:color w:val="FFFFFF"/>
                <w:spacing w:val="-2"/>
                <w:sz w:val="18"/>
              </w:rPr>
              <w:t>2024‐25</w:t>
            </w:r>
          </w:p>
        </w:tc>
        <w:tc>
          <w:tcPr>
            <w:tcW w:w="877" w:type="dxa"/>
            <w:tcBorders>
              <w:bottom w:val="single" w:sz="4" w:space="0" w:color="FFFFFF"/>
            </w:tcBorders>
            <w:shd w:val="clear" w:color="auto" w:fill="006CA3"/>
          </w:tcPr>
          <w:p w14:paraId="56D52885" w14:textId="77777777" w:rsidR="00141B97" w:rsidRDefault="00141B97">
            <w:pPr>
              <w:pStyle w:val="TableParagraph"/>
              <w:spacing w:before="5"/>
              <w:rPr>
                <w:sz w:val="20"/>
              </w:rPr>
            </w:pPr>
          </w:p>
          <w:p w14:paraId="4A8053FA" w14:textId="77777777" w:rsidR="00141B97" w:rsidRDefault="00911D63">
            <w:pPr>
              <w:pStyle w:val="TableParagraph"/>
              <w:ind w:left="132" w:right="109"/>
              <w:jc w:val="center"/>
              <w:rPr>
                <w:sz w:val="18"/>
              </w:rPr>
            </w:pPr>
            <w:r>
              <w:rPr>
                <w:color w:val="FFFFFF"/>
                <w:spacing w:val="-2"/>
                <w:sz w:val="18"/>
              </w:rPr>
              <w:t>2025‐26</w:t>
            </w:r>
          </w:p>
        </w:tc>
        <w:tc>
          <w:tcPr>
            <w:tcW w:w="877" w:type="dxa"/>
            <w:tcBorders>
              <w:bottom w:val="single" w:sz="4" w:space="0" w:color="FFFFFF"/>
            </w:tcBorders>
            <w:shd w:val="clear" w:color="auto" w:fill="006CA3"/>
          </w:tcPr>
          <w:p w14:paraId="3822799C" w14:textId="77777777" w:rsidR="00141B97" w:rsidRDefault="00141B97">
            <w:pPr>
              <w:pStyle w:val="TableParagraph"/>
              <w:spacing w:before="5"/>
              <w:rPr>
                <w:sz w:val="20"/>
              </w:rPr>
            </w:pPr>
          </w:p>
          <w:p w14:paraId="1DA01CB5" w14:textId="77777777" w:rsidR="00141B97" w:rsidRDefault="00911D63">
            <w:pPr>
              <w:pStyle w:val="TableParagraph"/>
              <w:ind w:left="132" w:right="107"/>
              <w:jc w:val="center"/>
              <w:rPr>
                <w:sz w:val="18"/>
              </w:rPr>
            </w:pPr>
            <w:r>
              <w:rPr>
                <w:color w:val="FFFFFF"/>
                <w:spacing w:val="-2"/>
                <w:sz w:val="18"/>
              </w:rPr>
              <w:t>2026‐27</w:t>
            </w:r>
          </w:p>
        </w:tc>
        <w:tc>
          <w:tcPr>
            <w:tcW w:w="909" w:type="dxa"/>
            <w:tcBorders>
              <w:bottom w:val="single" w:sz="4" w:space="0" w:color="FFFFFF"/>
            </w:tcBorders>
            <w:shd w:val="clear" w:color="auto" w:fill="006CA3"/>
          </w:tcPr>
          <w:p w14:paraId="227A06B9" w14:textId="77777777" w:rsidR="00141B97" w:rsidRDefault="00141B97">
            <w:pPr>
              <w:pStyle w:val="TableParagraph"/>
              <w:spacing w:before="5"/>
              <w:rPr>
                <w:sz w:val="20"/>
              </w:rPr>
            </w:pPr>
          </w:p>
          <w:p w14:paraId="3E60BF2C" w14:textId="77777777" w:rsidR="00141B97" w:rsidRDefault="00911D63">
            <w:pPr>
              <w:pStyle w:val="TableParagraph"/>
              <w:ind w:left="140" w:right="140"/>
              <w:jc w:val="center"/>
              <w:rPr>
                <w:sz w:val="18"/>
              </w:rPr>
            </w:pPr>
            <w:r>
              <w:rPr>
                <w:color w:val="FFFFFF"/>
                <w:spacing w:val="-2"/>
                <w:sz w:val="18"/>
              </w:rPr>
              <w:t>2027‐28</w:t>
            </w:r>
          </w:p>
        </w:tc>
        <w:tc>
          <w:tcPr>
            <w:tcW w:w="835" w:type="dxa"/>
            <w:tcBorders>
              <w:bottom w:val="single" w:sz="4" w:space="0" w:color="FFFFFF"/>
            </w:tcBorders>
            <w:shd w:val="clear" w:color="auto" w:fill="006CA3"/>
          </w:tcPr>
          <w:p w14:paraId="2092DE44" w14:textId="77777777" w:rsidR="00141B97" w:rsidRDefault="00141B97">
            <w:pPr>
              <w:pStyle w:val="TableParagraph"/>
              <w:spacing w:before="5"/>
              <w:rPr>
                <w:sz w:val="20"/>
              </w:rPr>
            </w:pPr>
          </w:p>
          <w:p w14:paraId="3D65A408" w14:textId="77777777" w:rsidR="00141B97" w:rsidRDefault="00911D63">
            <w:pPr>
              <w:pStyle w:val="TableParagraph"/>
              <w:ind w:left="134" w:right="128"/>
              <w:jc w:val="center"/>
              <w:rPr>
                <w:sz w:val="18"/>
              </w:rPr>
            </w:pPr>
            <w:r>
              <w:rPr>
                <w:color w:val="FFFFFF"/>
                <w:spacing w:val="-2"/>
                <w:sz w:val="18"/>
              </w:rPr>
              <w:t>TOTAL</w:t>
            </w:r>
          </w:p>
        </w:tc>
      </w:tr>
      <w:tr w:rsidR="00141B97" w14:paraId="43A42D95" w14:textId="77777777">
        <w:trPr>
          <w:trHeight w:val="477"/>
        </w:trPr>
        <w:tc>
          <w:tcPr>
            <w:tcW w:w="581" w:type="dxa"/>
            <w:tcBorders>
              <w:top w:val="single" w:sz="4" w:space="0" w:color="FFFFFF"/>
              <w:bottom w:val="single" w:sz="6" w:space="0" w:color="FFFFFF"/>
            </w:tcBorders>
            <w:shd w:val="clear" w:color="auto" w:fill="CCE2ED"/>
          </w:tcPr>
          <w:p w14:paraId="1CC8B546" w14:textId="77777777" w:rsidR="00141B97" w:rsidRDefault="00911D63">
            <w:pPr>
              <w:pStyle w:val="TableParagraph"/>
              <w:spacing w:before="131"/>
              <w:ind w:left="101"/>
              <w:rPr>
                <w:sz w:val="18"/>
              </w:rPr>
            </w:pPr>
            <w:r>
              <w:rPr>
                <w:sz w:val="18"/>
              </w:rPr>
              <w:t>8</w:t>
            </w:r>
          </w:p>
        </w:tc>
        <w:tc>
          <w:tcPr>
            <w:tcW w:w="1945" w:type="dxa"/>
            <w:tcBorders>
              <w:top w:val="single" w:sz="4" w:space="0" w:color="FFFFFF"/>
              <w:bottom w:val="single" w:sz="6" w:space="0" w:color="FFFFFF"/>
            </w:tcBorders>
            <w:shd w:val="clear" w:color="auto" w:fill="CCE2ED"/>
          </w:tcPr>
          <w:p w14:paraId="5ADEF49A" w14:textId="77777777" w:rsidR="00141B97" w:rsidRDefault="00911D63">
            <w:pPr>
              <w:pStyle w:val="TableParagraph"/>
              <w:spacing w:before="17" w:line="220" w:lineRule="atLeast"/>
              <w:ind w:left="108"/>
              <w:rPr>
                <w:sz w:val="18"/>
              </w:rPr>
            </w:pPr>
            <w:r>
              <w:rPr>
                <w:sz w:val="18"/>
              </w:rPr>
              <w:t>Customer</w:t>
            </w:r>
            <w:r>
              <w:rPr>
                <w:spacing w:val="-11"/>
                <w:sz w:val="18"/>
              </w:rPr>
              <w:t xml:space="preserve"> </w:t>
            </w:r>
            <w:r>
              <w:rPr>
                <w:sz w:val="18"/>
              </w:rPr>
              <w:t>CRM,</w:t>
            </w:r>
            <w:r>
              <w:rPr>
                <w:spacing w:val="-10"/>
                <w:sz w:val="18"/>
              </w:rPr>
              <w:t xml:space="preserve"> </w:t>
            </w:r>
            <w:r>
              <w:rPr>
                <w:sz w:val="18"/>
              </w:rPr>
              <w:t>portal Phase</w:t>
            </w:r>
            <w:r>
              <w:rPr>
                <w:spacing w:val="-2"/>
                <w:sz w:val="18"/>
              </w:rPr>
              <w:t xml:space="preserve"> </w:t>
            </w:r>
            <w:r>
              <w:rPr>
                <w:sz w:val="18"/>
              </w:rPr>
              <w:t>2</w:t>
            </w:r>
          </w:p>
        </w:tc>
        <w:tc>
          <w:tcPr>
            <w:tcW w:w="3897" w:type="dxa"/>
            <w:tcBorders>
              <w:top w:val="single" w:sz="4" w:space="0" w:color="FFFFFF"/>
              <w:bottom w:val="single" w:sz="6" w:space="0" w:color="FFFFFF"/>
            </w:tcBorders>
            <w:shd w:val="clear" w:color="auto" w:fill="CCE2ED"/>
          </w:tcPr>
          <w:p w14:paraId="365A9E4C" w14:textId="77777777" w:rsidR="00141B97" w:rsidRDefault="00911D63">
            <w:pPr>
              <w:pStyle w:val="TableParagraph"/>
              <w:spacing w:before="17" w:line="220" w:lineRule="atLeast"/>
              <w:ind w:left="109"/>
              <w:rPr>
                <w:sz w:val="18"/>
              </w:rPr>
            </w:pPr>
            <w:r>
              <w:rPr>
                <w:sz w:val="18"/>
              </w:rPr>
              <w:t>Customer</w:t>
            </w:r>
            <w:r>
              <w:rPr>
                <w:spacing w:val="-6"/>
                <w:sz w:val="18"/>
              </w:rPr>
              <w:t xml:space="preserve"> </w:t>
            </w:r>
            <w:r>
              <w:rPr>
                <w:sz w:val="18"/>
              </w:rPr>
              <w:t>CRM,</w:t>
            </w:r>
            <w:r>
              <w:rPr>
                <w:spacing w:val="-6"/>
                <w:sz w:val="18"/>
              </w:rPr>
              <w:t xml:space="preserve"> </w:t>
            </w:r>
            <w:r>
              <w:rPr>
                <w:sz w:val="18"/>
              </w:rPr>
              <w:t>portal</w:t>
            </w:r>
            <w:r>
              <w:rPr>
                <w:spacing w:val="-7"/>
                <w:sz w:val="18"/>
              </w:rPr>
              <w:t xml:space="preserve"> </w:t>
            </w:r>
            <w:r>
              <w:rPr>
                <w:sz w:val="18"/>
              </w:rPr>
              <w:t>Phase</w:t>
            </w:r>
            <w:r>
              <w:rPr>
                <w:spacing w:val="-7"/>
                <w:sz w:val="18"/>
              </w:rPr>
              <w:t xml:space="preserve"> </w:t>
            </w:r>
            <w:r>
              <w:rPr>
                <w:sz w:val="18"/>
              </w:rPr>
              <w:t>2</w:t>
            </w:r>
            <w:r>
              <w:rPr>
                <w:spacing w:val="-6"/>
                <w:sz w:val="18"/>
              </w:rPr>
              <w:t xml:space="preserve"> </w:t>
            </w:r>
            <w:r>
              <w:rPr>
                <w:sz w:val="18"/>
              </w:rPr>
              <w:t>(additional</w:t>
            </w:r>
            <w:r>
              <w:rPr>
                <w:spacing w:val="-7"/>
                <w:sz w:val="18"/>
              </w:rPr>
              <w:t xml:space="preserve"> </w:t>
            </w:r>
            <w:r>
              <w:rPr>
                <w:sz w:val="18"/>
              </w:rPr>
              <w:t>process design &amp; NextGen service catalogue Portal</w:t>
            </w:r>
          </w:p>
        </w:tc>
        <w:tc>
          <w:tcPr>
            <w:tcW w:w="1295" w:type="dxa"/>
            <w:tcBorders>
              <w:top w:val="single" w:sz="4" w:space="0" w:color="FFFFFF"/>
              <w:bottom w:val="single" w:sz="6" w:space="0" w:color="FFFFFF"/>
            </w:tcBorders>
            <w:shd w:val="clear" w:color="auto" w:fill="CCE2ED"/>
          </w:tcPr>
          <w:p w14:paraId="4D77A818" w14:textId="77777777" w:rsidR="00141B97" w:rsidRDefault="00911D63">
            <w:pPr>
              <w:pStyle w:val="TableParagraph"/>
              <w:spacing w:before="131"/>
              <w:ind w:left="268" w:right="265"/>
              <w:jc w:val="center"/>
              <w:rPr>
                <w:sz w:val="18"/>
              </w:rPr>
            </w:pPr>
            <w:r>
              <w:rPr>
                <w:spacing w:val="-4"/>
                <w:sz w:val="18"/>
              </w:rPr>
              <w:t>0.50</w:t>
            </w:r>
          </w:p>
        </w:tc>
        <w:tc>
          <w:tcPr>
            <w:tcW w:w="1295" w:type="dxa"/>
            <w:tcBorders>
              <w:top w:val="single" w:sz="4" w:space="0" w:color="FFFFFF"/>
              <w:bottom w:val="single" w:sz="6" w:space="0" w:color="FFFFFF"/>
            </w:tcBorders>
            <w:shd w:val="clear" w:color="auto" w:fill="CCE2ED"/>
          </w:tcPr>
          <w:p w14:paraId="02787C6F" w14:textId="77777777" w:rsidR="00141B97" w:rsidRDefault="00911D63">
            <w:pPr>
              <w:pStyle w:val="TableParagraph"/>
              <w:spacing w:before="131"/>
              <w:ind w:left="273" w:right="265"/>
              <w:jc w:val="center"/>
              <w:rPr>
                <w:sz w:val="18"/>
              </w:rPr>
            </w:pPr>
            <w:r>
              <w:rPr>
                <w:spacing w:val="-2"/>
                <w:sz w:val="18"/>
              </w:rPr>
              <w:t>Corporate</w:t>
            </w:r>
          </w:p>
        </w:tc>
        <w:tc>
          <w:tcPr>
            <w:tcW w:w="1402" w:type="dxa"/>
            <w:tcBorders>
              <w:top w:val="single" w:sz="4" w:space="0" w:color="FFFFFF"/>
              <w:bottom w:val="single" w:sz="6" w:space="0" w:color="FFFFFF"/>
            </w:tcBorders>
            <w:shd w:val="clear" w:color="auto" w:fill="CCE2ED"/>
          </w:tcPr>
          <w:p w14:paraId="634A6E63" w14:textId="77777777" w:rsidR="00141B97" w:rsidRDefault="00911D63">
            <w:pPr>
              <w:pStyle w:val="TableParagraph"/>
              <w:spacing w:before="17" w:line="220" w:lineRule="atLeast"/>
              <w:ind w:left="290" w:hanging="148"/>
              <w:rPr>
                <w:sz w:val="18"/>
              </w:rPr>
            </w:pPr>
            <w:r>
              <w:rPr>
                <w:spacing w:val="-2"/>
                <w:sz w:val="18"/>
              </w:rPr>
              <w:t>Improvements/</w:t>
            </w:r>
            <w:r>
              <w:rPr>
                <w:sz w:val="18"/>
              </w:rPr>
              <w:t xml:space="preserve"> </w:t>
            </w:r>
            <w:r>
              <w:rPr>
                <w:spacing w:val="-2"/>
                <w:sz w:val="18"/>
              </w:rPr>
              <w:t>compliance</w:t>
            </w:r>
          </w:p>
        </w:tc>
        <w:tc>
          <w:tcPr>
            <w:tcW w:w="876" w:type="dxa"/>
            <w:tcBorders>
              <w:top w:val="single" w:sz="4" w:space="0" w:color="FFFFFF"/>
              <w:bottom w:val="single" w:sz="6" w:space="0" w:color="FFFFFF"/>
            </w:tcBorders>
            <w:shd w:val="clear" w:color="auto" w:fill="CCE2ED"/>
          </w:tcPr>
          <w:p w14:paraId="3979B16C" w14:textId="77777777" w:rsidR="00141B97" w:rsidRDefault="00911D63">
            <w:pPr>
              <w:pStyle w:val="TableParagraph"/>
              <w:spacing w:before="131"/>
              <w:ind w:left="128" w:right="116"/>
              <w:jc w:val="center"/>
              <w:rPr>
                <w:sz w:val="18"/>
              </w:rPr>
            </w:pPr>
            <w:r>
              <w:rPr>
                <w:spacing w:val="-4"/>
                <w:sz w:val="18"/>
              </w:rPr>
              <w:t>0.17</w:t>
            </w:r>
          </w:p>
        </w:tc>
        <w:tc>
          <w:tcPr>
            <w:tcW w:w="877" w:type="dxa"/>
            <w:tcBorders>
              <w:top w:val="single" w:sz="4" w:space="0" w:color="FFFFFF"/>
              <w:bottom w:val="single" w:sz="6" w:space="0" w:color="FFFFFF"/>
            </w:tcBorders>
            <w:shd w:val="clear" w:color="auto" w:fill="CCE2ED"/>
          </w:tcPr>
          <w:p w14:paraId="0C984478" w14:textId="77777777" w:rsidR="00141B97" w:rsidRDefault="00911D63">
            <w:pPr>
              <w:pStyle w:val="TableParagraph"/>
              <w:spacing w:before="131"/>
              <w:ind w:left="127" w:right="111"/>
              <w:jc w:val="center"/>
              <w:rPr>
                <w:sz w:val="18"/>
              </w:rPr>
            </w:pPr>
            <w:r>
              <w:rPr>
                <w:spacing w:val="-4"/>
                <w:sz w:val="18"/>
              </w:rPr>
              <w:t>0.17</w:t>
            </w:r>
          </w:p>
        </w:tc>
        <w:tc>
          <w:tcPr>
            <w:tcW w:w="877" w:type="dxa"/>
            <w:tcBorders>
              <w:top w:val="single" w:sz="4" w:space="0" w:color="FFFFFF"/>
              <w:bottom w:val="single" w:sz="6" w:space="0" w:color="FFFFFF"/>
            </w:tcBorders>
            <w:shd w:val="clear" w:color="auto" w:fill="CCE2ED"/>
          </w:tcPr>
          <w:p w14:paraId="488766F7" w14:textId="77777777" w:rsidR="00141B97" w:rsidRDefault="00911D63">
            <w:pPr>
              <w:pStyle w:val="TableParagraph"/>
              <w:spacing w:before="131"/>
              <w:ind w:left="132" w:right="111"/>
              <w:jc w:val="center"/>
              <w:rPr>
                <w:sz w:val="18"/>
              </w:rPr>
            </w:pPr>
            <w:r>
              <w:rPr>
                <w:spacing w:val="-4"/>
                <w:sz w:val="18"/>
              </w:rPr>
              <w:t>0.17</w:t>
            </w:r>
          </w:p>
        </w:tc>
        <w:tc>
          <w:tcPr>
            <w:tcW w:w="877" w:type="dxa"/>
            <w:tcBorders>
              <w:top w:val="single" w:sz="4" w:space="0" w:color="FFFFFF"/>
              <w:bottom w:val="single" w:sz="6" w:space="0" w:color="FFFFFF"/>
            </w:tcBorders>
            <w:shd w:val="clear" w:color="auto" w:fill="CCE2ED"/>
          </w:tcPr>
          <w:p w14:paraId="0D85F47D" w14:textId="77777777" w:rsidR="00141B97" w:rsidRDefault="00911D63">
            <w:pPr>
              <w:pStyle w:val="TableParagraph"/>
              <w:spacing w:before="131"/>
              <w:ind w:left="132" w:right="108"/>
              <w:jc w:val="center"/>
              <w:rPr>
                <w:sz w:val="18"/>
              </w:rPr>
            </w:pPr>
            <w:r>
              <w:rPr>
                <w:spacing w:val="-4"/>
                <w:sz w:val="18"/>
              </w:rPr>
              <w:t>0.00</w:t>
            </w:r>
          </w:p>
        </w:tc>
        <w:tc>
          <w:tcPr>
            <w:tcW w:w="909" w:type="dxa"/>
            <w:tcBorders>
              <w:top w:val="single" w:sz="4" w:space="0" w:color="FFFFFF"/>
              <w:bottom w:val="single" w:sz="6" w:space="0" w:color="FFFFFF"/>
            </w:tcBorders>
            <w:shd w:val="clear" w:color="auto" w:fill="CCE2ED"/>
          </w:tcPr>
          <w:p w14:paraId="67012252" w14:textId="77777777" w:rsidR="00141B97" w:rsidRDefault="00911D63">
            <w:pPr>
              <w:pStyle w:val="TableParagraph"/>
              <w:spacing w:before="131"/>
              <w:ind w:left="140" w:right="140"/>
              <w:jc w:val="center"/>
              <w:rPr>
                <w:sz w:val="18"/>
              </w:rPr>
            </w:pPr>
            <w:r>
              <w:rPr>
                <w:spacing w:val="-4"/>
                <w:sz w:val="18"/>
              </w:rPr>
              <w:t>0.00</w:t>
            </w:r>
          </w:p>
        </w:tc>
        <w:tc>
          <w:tcPr>
            <w:tcW w:w="835" w:type="dxa"/>
            <w:tcBorders>
              <w:top w:val="single" w:sz="4" w:space="0" w:color="FFFFFF"/>
              <w:bottom w:val="single" w:sz="6" w:space="0" w:color="FFFFFF"/>
            </w:tcBorders>
            <w:shd w:val="clear" w:color="auto" w:fill="CCE2ED"/>
          </w:tcPr>
          <w:p w14:paraId="318E857F" w14:textId="77777777" w:rsidR="00141B97" w:rsidRDefault="00911D63">
            <w:pPr>
              <w:pStyle w:val="TableParagraph"/>
              <w:spacing w:before="131"/>
              <w:ind w:left="133" w:right="128"/>
              <w:jc w:val="center"/>
              <w:rPr>
                <w:sz w:val="18"/>
              </w:rPr>
            </w:pPr>
            <w:r>
              <w:rPr>
                <w:spacing w:val="-4"/>
                <w:sz w:val="18"/>
              </w:rPr>
              <w:t>0.50</w:t>
            </w:r>
          </w:p>
        </w:tc>
      </w:tr>
      <w:tr w:rsidR="00141B97" w14:paraId="77AEF28A" w14:textId="77777777">
        <w:trPr>
          <w:trHeight w:val="249"/>
        </w:trPr>
        <w:tc>
          <w:tcPr>
            <w:tcW w:w="581" w:type="dxa"/>
            <w:tcBorders>
              <w:top w:val="single" w:sz="6" w:space="0" w:color="FFFFFF"/>
              <w:right w:val="single" w:sz="6" w:space="0" w:color="FFFFFF"/>
            </w:tcBorders>
            <w:shd w:val="clear" w:color="auto" w:fill="CCE2ED"/>
          </w:tcPr>
          <w:p w14:paraId="0C757BCF" w14:textId="77777777" w:rsidR="00141B97" w:rsidRDefault="00911D63">
            <w:pPr>
              <w:pStyle w:val="TableParagraph"/>
              <w:spacing w:line="218" w:lineRule="exact"/>
              <w:ind w:left="94"/>
              <w:rPr>
                <w:sz w:val="18"/>
              </w:rPr>
            </w:pPr>
            <w:r>
              <w:rPr>
                <w:sz w:val="18"/>
              </w:rPr>
              <w:t>9</w:t>
            </w:r>
          </w:p>
        </w:tc>
        <w:tc>
          <w:tcPr>
            <w:tcW w:w="1945" w:type="dxa"/>
            <w:tcBorders>
              <w:top w:val="single" w:sz="6" w:space="0" w:color="FFFFFF"/>
              <w:left w:val="single" w:sz="6" w:space="0" w:color="FFFFFF"/>
            </w:tcBorders>
            <w:shd w:val="clear" w:color="auto" w:fill="CCE2ED"/>
          </w:tcPr>
          <w:p w14:paraId="121B5D0A" w14:textId="77777777" w:rsidR="00141B97" w:rsidRDefault="00911D63">
            <w:pPr>
              <w:pStyle w:val="TableParagraph"/>
              <w:spacing w:line="218" w:lineRule="exact"/>
              <w:ind w:left="101"/>
              <w:rPr>
                <w:sz w:val="18"/>
              </w:rPr>
            </w:pPr>
            <w:r>
              <w:rPr>
                <w:spacing w:val="-2"/>
                <w:sz w:val="18"/>
              </w:rPr>
              <w:t>Robinvale</w:t>
            </w:r>
          </w:p>
        </w:tc>
        <w:tc>
          <w:tcPr>
            <w:tcW w:w="3897" w:type="dxa"/>
            <w:tcBorders>
              <w:top w:val="single" w:sz="6" w:space="0" w:color="FFFFFF"/>
              <w:right w:val="single" w:sz="6" w:space="0" w:color="FFFFFF"/>
            </w:tcBorders>
            <w:shd w:val="clear" w:color="auto" w:fill="CCE2ED"/>
          </w:tcPr>
          <w:p w14:paraId="3ECCFBE2" w14:textId="77777777" w:rsidR="00141B97" w:rsidRDefault="00911D63">
            <w:pPr>
              <w:pStyle w:val="TableParagraph"/>
              <w:spacing w:before="28" w:line="201" w:lineRule="exact"/>
              <w:ind w:left="101"/>
              <w:rPr>
                <w:sz w:val="18"/>
              </w:rPr>
            </w:pPr>
            <w:r>
              <w:rPr>
                <w:sz w:val="18"/>
              </w:rPr>
              <w:t>ROB</w:t>
            </w:r>
            <w:r>
              <w:rPr>
                <w:spacing w:val="-4"/>
                <w:sz w:val="18"/>
              </w:rPr>
              <w:t xml:space="preserve"> </w:t>
            </w:r>
            <w:r>
              <w:rPr>
                <w:sz w:val="18"/>
              </w:rPr>
              <w:t>‐</w:t>
            </w:r>
            <w:r>
              <w:rPr>
                <w:spacing w:val="-4"/>
                <w:sz w:val="18"/>
              </w:rPr>
              <w:t xml:space="preserve"> </w:t>
            </w:r>
            <w:r>
              <w:rPr>
                <w:sz w:val="18"/>
              </w:rPr>
              <w:t>Decommission</w:t>
            </w:r>
            <w:r>
              <w:rPr>
                <w:spacing w:val="-3"/>
                <w:sz w:val="18"/>
              </w:rPr>
              <w:t xml:space="preserve"> </w:t>
            </w:r>
            <w:r>
              <w:rPr>
                <w:sz w:val="18"/>
              </w:rPr>
              <w:t>selected</w:t>
            </w:r>
            <w:r>
              <w:rPr>
                <w:spacing w:val="-4"/>
                <w:sz w:val="18"/>
              </w:rPr>
              <w:t xml:space="preserve"> </w:t>
            </w:r>
            <w:r>
              <w:rPr>
                <w:sz w:val="18"/>
              </w:rPr>
              <w:t>section</w:t>
            </w:r>
            <w:r>
              <w:rPr>
                <w:spacing w:val="-3"/>
                <w:sz w:val="18"/>
              </w:rPr>
              <w:t xml:space="preserve"> </w:t>
            </w:r>
            <w:r>
              <w:rPr>
                <w:spacing w:val="-5"/>
                <w:sz w:val="18"/>
              </w:rPr>
              <w:t>of</w:t>
            </w:r>
          </w:p>
        </w:tc>
        <w:tc>
          <w:tcPr>
            <w:tcW w:w="1295" w:type="dxa"/>
            <w:tcBorders>
              <w:top w:val="single" w:sz="6" w:space="0" w:color="FFFFFF"/>
              <w:left w:val="single" w:sz="6" w:space="0" w:color="FFFFFF"/>
              <w:right w:val="single" w:sz="6" w:space="0" w:color="FFFFFF"/>
            </w:tcBorders>
            <w:shd w:val="clear" w:color="auto" w:fill="CCE2ED"/>
          </w:tcPr>
          <w:p w14:paraId="58E7F03B" w14:textId="77777777" w:rsidR="00141B97" w:rsidRDefault="00141B97">
            <w:pPr>
              <w:pStyle w:val="TableParagraph"/>
              <w:rPr>
                <w:rFonts w:ascii="Times New Roman"/>
                <w:sz w:val="18"/>
              </w:rPr>
            </w:pPr>
          </w:p>
        </w:tc>
        <w:tc>
          <w:tcPr>
            <w:tcW w:w="1295" w:type="dxa"/>
            <w:tcBorders>
              <w:top w:val="single" w:sz="6" w:space="0" w:color="FFFFFF"/>
              <w:left w:val="single" w:sz="6" w:space="0" w:color="FFFFFF"/>
              <w:right w:val="single" w:sz="6" w:space="0" w:color="FFFFFF"/>
            </w:tcBorders>
            <w:shd w:val="clear" w:color="auto" w:fill="CCE2ED"/>
          </w:tcPr>
          <w:p w14:paraId="54F7ED2F" w14:textId="77777777" w:rsidR="00141B97" w:rsidRDefault="00141B97">
            <w:pPr>
              <w:pStyle w:val="TableParagraph"/>
              <w:rPr>
                <w:rFonts w:ascii="Times New Roman"/>
                <w:sz w:val="18"/>
              </w:rPr>
            </w:pPr>
          </w:p>
        </w:tc>
        <w:tc>
          <w:tcPr>
            <w:tcW w:w="1402" w:type="dxa"/>
            <w:tcBorders>
              <w:top w:val="single" w:sz="6" w:space="0" w:color="FFFFFF"/>
              <w:left w:val="single" w:sz="6" w:space="0" w:color="FFFFFF"/>
            </w:tcBorders>
            <w:shd w:val="clear" w:color="auto" w:fill="CCE2ED"/>
          </w:tcPr>
          <w:p w14:paraId="4653178A" w14:textId="77777777" w:rsidR="00141B97" w:rsidRDefault="00141B97">
            <w:pPr>
              <w:pStyle w:val="TableParagraph"/>
              <w:rPr>
                <w:rFonts w:ascii="Times New Roman"/>
                <w:sz w:val="18"/>
              </w:rPr>
            </w:pPr>
          </w:p>
        </w:tc>
        <w:tc>
          <w:tcPr>
            <w:tcW w:w="876" w:type="dxa"/>
            <w:tcBorders>
              <w:top w:val="single" w:sz="6" w:space="0" w:color="FFFFFF"/>
            </w:tcBorders>
            <w:shd w:val="clear" w:color="auto" w:fill="CCE2ED"/>
          </w:tcPr>
          <w:p w14:paraId="7CBADF72" w14:textId="77777777" w:rsidR="00141B97" w:rsidRDefault="00141B97">
            <w:pPr>
              <w:pStyle w:val="TableParagraph"/>
              <w:rPr>
                <w:rFonts w:ascii="Times New Roman"/>
                <w:sz w:val="18"/>
              </w:rPr>
            </w:pPr>
          </w:p>
        </w:tc>
        <w:tc>
          <w:tcPr>
            <w:tcW w:w="877" w:type="dxa"/>
            <w:tcBorders>
              <w:top w:val="single" w:sz="6" w:space="0" w:color="FFFFFF"/>
            </w:tcBorders>
            <w:shd w:val="clear" w:color="auto" w:fill="CCE2ED"/>
          </w:tcPr>
          <w:p w14:paraId="281B2235" w14:textId="77777777" w:rsidR="00141B97" w:rsidRDefault="00141B97">
            <w:pPr>
              <w:pStyle w:val="TableParagraph"/>
              <w:rPr>
                <w:rFonts w:ascii="Times New Roman"/>
                <w:sz w:val="18"/>
              </w:rPr>
            </w:pPr>
          </w:p>
        </w:tc>
        <w:tc>
          <w:tcPr>
            <w:tcW w:w="877" w:type="dxa"/>
            <w:tcBorders>
              <w:top w:val="single" w:sz="6" w:space="0" w:color="FFFFFF"/>
            </w:tcBorders>
            <w:shd w:val="clear" w:color="auto" w:fill="CCE2ED"/>
          </w:tcPr>
          <w:p w14:paraId="33FC2698" w14:textId="77777777" w:rsidR="00141B97" w:rsidRDefault="00141B97">
            <w:pPr>
              <w:pStyle w:val="TableParagraph"/>
              <w:rPr>
                <w:rFonts w:ascii="Times New Roman"/>
                <w:sz w:val="18"/>
              </w:rPr>
            </w:pPr>
          </w:p>
        </w:tc>
        <w:tc>
          <w:tcPr>
            <w:tcW w:w="877" w:type="dxa"/>
            <w:tcBorders>
              <w:top w:val="single" w:sz="6" w:space="0" w:color="FFFFFF"/>
            </w:tcBorders>
            <w:shd w:val="clear" w:color="auto" w:fill="CCE2ED"/>
          </w:tcPr>
          <w:p w14:paraId="6B6158CD" w14:textId="77777777" w:rsidR="00141B97" w:rsidRDefault="00141B97">
            <w:pPr>
              <w:pStyle w:val="TableParagraph"/>
              <w:rPr>
                <w:rFonts w:ascii="Times New Roman"/>
                <w:sz w:val="18"/>
              </w:rPr>
            </w:pPr>
          </w:p>
        </w:tc>
        <w:tc>
          <w:tcPr>
            <w:tcW w:w="909" w:type="dxa"/>
            <w:tcBorders>
              <w:top w:val="single" w:sz="6" w:space="0" w:color="FFFFFF"/>
            </w:tcBorders>
            <w:shd w:val="clear" w:color="auto" w:fill="CCE2ED"/>
          </w:tcPr>
          <w:p w14:paraId="1098AA89" w14:textId="77777777" w:rsidR="00141B97" w:rsidRDefault="00141B97">
            <w:pPr>
              <w:pStyle w:val="TableParagraph"/>
              <w:rPr>
                <w:rFonts w:ascii="Times New Roman"/>
                <w:sz w:val="18"/>
              </w:rPr>
            </w:pPr>
          </w:p>
        </w:tc>
        <w:tc>
          <w:tcPr>
            <w:tcW w:w="835" w:type="dxa"/>
            <w:tcBorders>
              <w:top w:val="single" w:sz="6" w:space="0" w:color="FFFFFF"/>
            </w:tcBorders>
            <w:shd w:val="clear" w:color="auto" w:fill="CCE2ED"/>
          </w:tcPr>
          <w:p w14:paraId="4BD2F933" w14:textId="77777777" w:rsidR="00141B97" w:rsidRDefault="00141B97">
            <w:pPr>
              <w:pStyle w:val="TableParagraph"/>
              <w:rPr>
                <w:rFonts w:ascii="Times New Roman"/>
                <w:sz w:val="18"/>
              </w:rPr>
            </w:pPr>
          </w:p>
        </w:tc>
      </w:tr>
      <w:tr w:rsidR="00141B97" w14:paraId="085A8716" w14:textId="77777777">
        <w:trPr>
          <w:trHeight w:val="234"/>
        </w:trPr>
        <w:tc>
          <w:tcPr>
            <w:tcW w:w="581" w:type="dxa"/>
            <w:tcBorders>
              <w:right w:val="single" w:sz="6" w:space="0" w:color="FFFFFF"/>
            </w:tcBorders>
            <w:shd w:val="clear" w:color="auto" w:fill="CCE2ED"/>
          </w:tcPr>
          <w:p w14:paraId="0D9B903F" w14:textId="77777777" w:rsidR="00141B97" w:rsidRDefault="00141B97">
            <w:pPr>
              <w:pStyle w:val="TableParagraph"/>
              <w:rPr>
                <w:rFonts w:ascii="Times New Roman"/>
                <w:sz w:val="16"/>
              </w:rPr>
            </w:pPr>
          </w:p>
        </w:tc>
        <w:tc>
          <w:tcPr>
            <w:tcW w:w="1945" w:type="dxa"/>
            <w:tcBorders>
              <w:left w:val="single" w:sz="6" w:space="0" w:color="FFFFFF"/>
            </w:tcBorders>
            <w:shd w:val="clear" w:color="auto" w:fill="CCE2ED"/>
          </w:tcPr>
          <w:p w14:paraId="23F97AF5" w14:textId="77777777" w:rsidR="00141B97" w:rsidRDefault="00911D63">
            <w:pPr>
              <w:pStyle w:val="TableParagraph"/>
              <w:spacing w:line="188" w:lineRule="exact"/>
              <w:ind w:left="101"/>
              <w:rPr>
                <w:sz w:val="18"/>
              </w:rPr>
            </w:pPr>
            <w:r>
              <w:rPr>
                <w:spacing w:val="-2"/>
                <w:sz w:val="18"/>
              </w:rPr>
              <w:t>Decommissioning</w:t>
            </w:r>
          </w:p>
        </w:tc>
        <w:tc>
          <w:tcPr>
            <w:tcW w:w="3897" w:type="dxa"/>
            <w:tcBorders>
              <w:right w:val="single" w:sz="6" w:space="0" w:color="FFFFFF"/>
            </w:tcBorders>
            <w:shd w:val="clear" w:color="auto" w:fill="CCE2ED"/>
          </w:tcPr>
          <w:p w14:paraId="34EEDA14" w14:textId="77777777" w:rsidR="00141B97" w:rsidRDefault="00911D63">
            <w:pPr>
              <w:pStyle w:val="TableParagraph"/>
              <w:spacing w:line="215" w:lineRule="exact"/>
              <w:ind w:left="101"/>
              <w:rPr>
                <w:sz w:val="18"/>
              </w:rPr>
            </w:pPr>
            <w:r>
              <w:rPr>
                <w:sz w:val="18"/>
              </w:rPr>
              <w:t>redundant</w:t>
            </w:r>
            <w:r>
              <w:rPr>
                <w:spacing w:val="-4"/>
                <w:sz w:val="18"/>
              </w:rPr>
              <w:t xml:space="preserve"> </w:t>
            </w:r>
            <w:r>
              <w:rPr>
                <w:sz w:val="18"/>
              </w:rPr>
              <w:t>channel</w:t>
            </w:r>
            <w:r>
              <w:rPr>
                <w:spacing w:val="-2"/>
                <w:sz w:val="18"/>
              </w:rPr>
              <w:t xml:space="preserve"> </w:t>
            </w:r>
            <w:r>
              <w:rPr>
                <w:sz w:val="18"/>
              </w:rPr>
              <w:t>(rubbish</w:t>
            </w:r>
            <w:r>
              <w:rPr>
                <w:spacing w:val="-1"/>
                <w:sz w:val="18"/>
              </w:rPr>
              <w:t xml:space="preserve"> </w:t>
            </w:r>
            <w:r>
              <w:rPr>
                <w:sz w:val="18"/>
              </w:rPr>
              <w:t>dumping</w:t>
            </w:r>
            <w:r>
              <w:rPr>
                <w:spacing w:val="-2"/>
                <w:sz w:val="18"/>
              </w:rPr>
              <w:t xml:space="preserve"> /ongoing</w:t>
            </w:r>
          </w:p>
        </w:tc>
        <w:tc>
          <w:tcPr>
            <w:tcW w:w="1295" w:type="dxa"/>
            <w:tcBorders>
              <w:left w:val="single" w:sz="6" w:space="0" w:color="FFFFFF"/>
              <w:right w:val="single" w:sz="6" w:space="0" w:color="FFFFFF"/>
            </w:tcBorders>
            <w:shd w:val="clear" w:color="auto" w:fill="CCE2ED"/>
          </w:tcPr>
          <w:p w14:paraId="4A30F945" w14:textId="77777777" w:rsidR="00141B97" w:rsidRDefault="00141B97">
            <w:pPr>
              <w:pStyle w:val="TableParagraph"/>
              <w:rPr>
                <w:rFonts w:ascii="Times New Roman"/>
                <w:sz w:val="16"/>
              </w:rPr>
            </w:pPr>
          </w:p>
        </w:tc>
        <w:tc>
          <w:tcPr>
            <w:tcW w:w="1295" w:type="dxa"/>
            <w:tcBorders>
              <w:left w:val="single" w:sz="6" w:space="0" w:color="FFFFFF"/>
              <w:right w:val="single" w:sz="6" w:space="0" w:color="FFFFFF"/>
            </w:tcBorders>
            <w:shd w:val="clear" w:color="auto" w:fill="CCE2ED"/>
          </w:tcPr>
          <w:p w14:paraId="53D7BB42" w14:textId="77777777" w:rsidR="00141B97" w:rsidRDefault="00141B97">
            <w:pPr>
              <w:pStyle w:val="TableParagraph"/>
              <w:rPr>
                <w:rFonts w:ascii="Times New Roman"/>
                <w:sz w:val="16"/>
              </w:rPr>
            </w:pPr>
          </w:p>
        </w:tc>
        <w:tc>
          <w:tcPr>
            <w:tcW w:w="1402" w:type="dxa"/>
            <w:tcBorders>
              <w:left w:val="single" w:sz="6" w:space="0" w:color="FFFFFF"/>
            </w:tcBorders>
            <w:shd w:val="clear" w:color="auto" w:fill="CCE2ED"/>
          </w:tcPr>
          <w:p w14:paraId="1637C219" w14:textId="77777777" w:rsidR="00141B97" w:rsidRDefault="00141B97">
            <w:pPr>
              <w:pStyle w:val="TableParagraph"/>
              <w:rPr>
                <w:rFonts w:ascii="Times New Roman"/>
                <w:sz w:val="16"/>
              </w:rPr>
            </w:pPr>
          </w:p>
        </w:tc>
        <w:tc>
          <w:tcPr>
            <w:tcW w:w="876" w:type="dxa"/>
            <w:shd w:val="clear" w:color="auto" w:fill="CCE2ED"/>
          </w:tcPr>
          <w:p w14:paraId="741DFADE" w14:textId="77777777" w:rsidR="00141B97" w:rsidRDefault="00911D63">
            <w:pPr>
              <w:pStyle w:val="TableParagraph"/>
              <w:spacing w:line="215" w:lineRule="exact"/>
              <w:ind w:left="128" w:right="116"/>
              <w:jc w:val="center"/>
              <w:rPr>
                <w:sz w:val="18"/>
              </w:rPr>
            </w:pPr>
            <w:r>
              <w:rPr>
                <w:spacing w:val="-4"/>
                <w:sz w:val="18"/>
              </w:rPr>
              <w:t>0.15</w:t>
            </w:r>
          </w:p>
        </w:tc>
        <w:tc>
          <w:tcPr>
            <w:tcW w:w="877" w:type="dxa"/>
            <w:shd w:val="clear" w:color="auto" w:fill="CCE2ED"/>
          </w:tcPr>
          <w:p w14:paraId="3D2E02EC" w14:textId="77777777" w:rsidR="00141B97" w:rsidRDefault="00911D63">
            <w:pPr>
              <w:pStyle w:val="TableParagraph"/>
              <w:spacing w:line="215" w:lineRule="exact"/>
              <w:ind w:left="127" w:right="111"/>
              <w:jc w:val="center"/>
              <w:rPr>
                <w:sz w:val="18"/>
              </w:rPr>
            </w:pPr>
            <w:r>
              <w:rPr>
                <w:spacing w:val="-4"/>
                <w:sz w:val="18"/>
              </w:rPr>
              <w:t>0.00</w:t>
            </w:r>
          </w:p>
        </w:tc>
        <w:tc>
          <w:tcPr>
            <w:tcW w:w="877" w:type="dxa"/>
            <w:shd w:val="clear" w:color="auto" w:fill="CCE2ED"/>
          </w:tcPr>
          <w:p w14:paraId="2932DD58" w14:textId="77777777" w:rsidR="00141B97" w:rsidRDefault="00911D63">
            <w:pPr>
              <w:pStyle w:val="TableParagraph"/>
              <w:spacing w:line="215" w:lineRule="exact"/>
              <w:ind w:left="132" w:right="111"/>
              <w:jc w:val="center"/>
              <w:rPr>
                <w:sz w:val="18"/>
              </w:rPr>
            </w:pPr>
            <w:r>
              <w:rPr>
                <w:spacing w:val="-4"/>
                <w:sz w:val="18"/>
              </w:rPr>
              <w:t>0.00</w:t>
            </w:r>
          </w:p>
        </w:tc>
        <w:tc>
          <w:tcPr>
            <w:tcW w:w="877" w:type="dxa"/>
            <w:shd w:val="clear" w:color="auto" w:fill="CCE2ED"/>
          </w:tcPr>
          <w:p w14:paraId="1F6248FF" w14:textId="77777777" w:rsidR="00141B97" w:rsidRDefault="00911D63">
            <w:pPr>
              <w:pStyle w:val="TableParagraph"/>
              <w:spacing w:line="215" w:lineRule="exact"/>
              <w:ind w:left="132" w:right="108"/>
              <w:jc w:val="center"/>
              <w:rPr>
                <w:sz w:val="18"/>
              </w:rPr>
            </w:pPr>
            <w:r>
              <w:rPr>
                <w:spacing w:val="-4"/>
                <w:sz w:val="18"/>
              </w:rPr>
              <w:t>0.22</w:t>
            </w:r>
          </w:p>
        </w:tc>
        <w:tc>
          <w:tcPr>
            <w:tcW w:w="909" w:type="dxa"/>
            <w:shd w:val="clear" w:color="auto" w:fill="CCE2ED"/>
          </w:tcPr>
          <w:p w14:paraId="189711D1" w14:textId="77777777" w:rsidR="00141B97" w:rsidRDefault="00911D63">
            <w:pPr>
              <w:pStyle w:val="TableParagraph"/>
              <w:spacing w:line="215" w:lineRule="exact"/>
              <w:ind w:left="140" w:right="140"/>
              <w:jc w:val="center"/>
              <w:rPr>
                <w:sz w:val="18"/>
              </w:rPr>
            </w:pPr>
            <w:r>
              <w:rPr>
                <w:spacing w:val="-4"/>
                <w:sz w:val="18"/>
              </w:rPr>
              <w:t>0.63</w:t>
            </w:r>
          </w:p>
        </w:tc>
        <w:tc>
          <w:tcPr>
            <w:tcW w:w="835" w:type="dxa"/>
            <w:shd w:val="clear" w:color="auto" w:fill="CCE2ED"/>
          </w:tcPr>
          <w:p w14:paraId="769334B9" w14:textId="77777777" w:rsidR="00141B97" w:rsidRDefault="00911D63">
            <w:pPr>
              <w:pStyle w:val="TableParagraph"/>
              <w:spacing w:line="215" w:lineRule="exact"/>
              <w:ind w:left="133" w:right="128"/>
              <w:jc w:val="center"/>
              <w:rPr>
                <w:sz w:val="18"/>
              </w:rPr>
            </w:pPr>
            <w:r>
              <w:rPr>
                <w:spacing w:val="-4"/>
                <w:sz w:val="18"/>
              </w:rPr>
              <w:t>1.00</w:t>
            </w:r>
          </w:p>
        </w:tc>
      </w:tr>
      <w:tr w:rsidR="00141B97" w14:paraId="35045F9D" w14:textId="77777777">
        <w:trPr>
          <w:trHeight w:val="233"/>
        </w:trPr>
        <w:tc>
          <w:tcPr>
            <w:tcW w:w="581" w:type="dxa"/>
            <w:vMerge w:val="restart"/>
            <w:tcBorders>
              <w:right w:val="single" w:sz="6" w:space="0" w:color="FFFFFF"/>
            </w:tcBorders>
            <w:shd w:val="clear" w:color="auto" w:fill="CCE2ED"/>
          </w:tcPr>
          <w:p w14:paraId="13FCFD6F" w14:textId="77777777" w:rsidR="00141B97" w:rsidRDefault="00141B97">
            <w:pPr>
              <w:pStyle w:val="TableParagraph"/>
              <w:rPr>
                <w:rFonts w:ascii="Times New Roman"/>
                <w:sz w:val="18"/>
              </w:rPr>
            </w:pPr>
          </w:p>
        </w:tc>
        <w:tc>
          <w:tcPr>
            <w:tcW w:w="1945" w:type="dxa"/>
            <w:vMerge w:val="restart"/>
            <w:tcBorders>
              <w:left w:val="single" w:sz="6" w:space="0" w:color="FFFFFF"/>
            </w:tcBorders>
            <w:shd w:val="clear" w:color="auto" w:fill="CCE2ED"/>
          </w:tcPr>
          <w:p w14:paraId="6B9345C4" w14:textId="77777777" w:rsidR="00141B97" w:rsidRDefault="00141B97">
            <w:pPr>
              <w:pStyle w:val="TableParagraph"/>
              <w:rPr>
                <w:rFonts w:ascii="Times New Roman"/>
                <w:sz w:val="18"/>
              </w:rPr>
            </w:pPr>
          </w:p>
        </w:tc>
        <w:tc>
          <w:tcPr>
            <w:tcW w:w="3897" w:type="dxa"/>
            <w:tcBorders>
              <w:bottom w:val="single" w:sz="4" w:space="0" w:color="FFFFFF"/>
              <w:right w:val="single" w:sz="6" w:space="0" w:color="FFFFFF"/>
            </w:tcBorders>
            <w:shd w:val="clear" w:color="auto" w:fill="CCE2ED"/>
          </w:tcPr>
          <w:p w14:paraId="0BE8641F" w14:textId="77777777" w:rsidR="00141B97" w:rsidRDefault="00911D63">
            <w:pPr>
              <w:pStyle w:val="TableParagraph"/>
              <w:spacing w:line="203" w:lineRule="exact"/>
              <w:ind w:left="101"/>
              <w:rPr>
                <w:sz w:val="18"/>
              </w:rPr>
            </w:pPr>
            <w:r>
              <w:rPr>
                <w:spacing w:val="-2"/>
                <w:sz w:val="18"/>
              </w:rPr>
              <w:t>opex)</w:t>
            </w:r>
          </w:p>
        </w:tc>
        <w:tc>
          <w:tcPr>
            <w:tcW w:w="1295" w:type="dxa"/>
            <w:vMerge w:val="restart"/>
            <w:tcBorders>
              <w:left w:val="single" w:sz="6" w:space="0" w:color="FFFFFF"/>
              <w:right w:val="single" w:sz="6" w:space="0" w:color="FFFFFF"/>
            </w:tcBorders>
            <w:shd w:val="clear" w:color="auto" w:fill="CCE2ED"/>
          </w:tcPr>
          <w:p w14:paraId="6D55ACBC" w14:textId="77777777" w:rsidR="00141B97" w:rsidRDefault="00141B97">
            <w:pPr>
              <w:pStyle w:val="TableParagraph"/>
              <w:spacing w:before="6"/>
              <w:rPr>
                <w:sz w:val="16"/>
              </w:rPr>
            </w:pPr>
          </w:p>
          <w:p w14:paraId="0AD0A056" w14:textId="77777777" w:rsidR="00141B97" w:rsidRDefault="00911D63">
            <w:pPr>
              <w:pStyle w:val="TableParagraph"/>
              <w:ind w:left="415" w:right="412"/>
              <w:jc w:val="center"/>
              <w:rPr>
                <w:sz w:val="18"/>
              </w:rPr>
            </w:pPr>
            <w:r>
              <w:rPr>
                <w:spacing w:val="-4"/>
                <w:sz w:val="18"/>
              </w:rPr>
              <w:t>2.15</w:t>
            </w:r>
          </w:p>
        </w:tc>
        <w:tc>
          <w:tcPr>
            <w:tcW w:w="1295" w:type="dxa"/>
            <w:vMerge w:val="restart"/>
            <w:tcBorders>
              <w:left w:val="single" w:sz="6" w:space="0" w:color="FFFFFF"/>
              <w:right w:val="single" w:sz="6" w:space="0" w:color="FFFFFF"/>
            </w:tcBorders>
            <w:shd w:val="clear" w:color="auto" w:fill="CCE2ED"/>
          </w:tcPr>
          <w:p w14:paraId="00A3B66C" w14:textId="77777777" w:rsidR="00141B97" w:rsidRDefault="00141B97">
            <w:pPr>
              <w:pStyle w:val="TableParagraph"/>
              <w:spacing w:before="6"/>
              <w:rPr>
                <w:sz w:val="16"/>
              </w:rPr>
            </w:pPr>
          </w:p>
          <w:p w14:paraId="239A0309" w14:textId="77777777" w:rsidR="00141B97" w:rsidRDefault="00911D63">
            <w:pPr>
              <w:pStyle w:val="TableParagraph"/>
              <w:ind w:left="104"/>
              <w:rPr>
                <w:sz w:val="18"/>
              </w:rPr>
            </w:pPr>
            <w:r>
              <w:rPr>
                <w:sz w:val="18"/>
              </w:rPr>
              <w:t xml:space="preserve">Rural </w:t>
            </w:r>
            <w:r>
              <w:rPr>
                <w:spacing w:val="-2"/>
                <w:sz w:val="18"/>
              </w:rPr>
              <w:t>Irrigation</w:t>
            </w:r>
          </w:p>
        </w:tc>
        <w:tc>
          <w:tcPr>
            <w:tcW w:w="1402" w:type="dxa"/>
            <w:vMerge w:val="restart"/>
            <w:tcBorders>
              <w:left w:val="single" w:sz="6" w:space="0" w:color="FFFFFF"/>
            </w:tcBorders>
            <w:shd w:val="clear" w:color="auto" w:fill="CCE2ED"/>
          </w:tcPr>
          <w:p w14:paraId="667333C7" w14:textId="77777777" w:rsidR="00141B97" w:rsidRDefault="00911D63">
            <w:pPr>
              <w:pStyle w:val="TableParagraph"/>
              <w:spacing w:before="91"/>
              <w:ind w:left="283" w:hanging="148"/>
              <w:rPr>
                <w:sz w:val="18"/>
              </w:rPr>
            </w:pPr>
            <w:r>
              <w:rPr>
                <w:spacing w:val="-2"/>
                <w:sz w:val="18"/>
              </w:rPr>
              <w:t>Improvements/</w:t>
            </w:r>
            <w:r>
              <w:rPr>
                <w:sz w:val="18"/>
              </w:rPr>
              <w:t xml:space="preserve"> </w:t>
            </w:r>
            <w:r>
              <w:rPr>
                <w:spacing w:val="-2"/>
                <w:sz w:val="18"/>
              </w:rPr>
              <w:t>compliance</w:t>
            </w:r>
          </w:p>
        </w:tc>
        <w:tc>
          <w:tcPr>
            <w:tcW w:w="876" w:type="dxa"/>
            <w:tcBorders>
              <w:bottom w:val="single" w:sz="4" w:space="0" w:color="FFFFFF"/>
            </w:tcBorders>
            <w:shd w:val="clear" w:color="auto" w:fill="CCE2ED"/>
          </w:tcPr>
          <w:p w14:paraId="6C9657E2" w14:textId="77777777" w:rsidR="00141B97" w:rsidRDefault="00141B97">
            <w:pPr>
              <w:pStyle w:val="TableParagraph"/>
              <w:rPr>
                <w:rFonts w:ascii="Times New Roman"/>
                <w:sz w:val="16"/>
              </w:rPr>
            </w:pPr>
          </w:p>
        </w:tc>
        <w:tc>
          <w:tcPr>
            <w:tcW w:w="877" w:type="dxa"/>
            <w:tcBorders>
              <w:bottom w:val="single" w:sz="4" w:space="0" w:color="FFFFFF"/>
            </w:tcBorders>
            <w:shd w:val="clear" w:color="auto" w:fill="CCE2ED"/>
          </w:tcPr>
          <w:p w14:paraId="5EB6618D" w14:textId="77777777" w:rsidR="00141B97" w:rsidRDefault="00141B97">
            <w:pPr>
              <w:pStyle w:val="TableParagraph"/>
              <w:rPr>
                <w:rFonts w:ascii="Times New Roman"/>
                <w:sz w:val="16"/>
              </w:rPr>
            </w:pPr>
          </w:p>
        </w:tc>
        <w:tc>
          <w:tcPr>
            <w:tcW w:w="877" w:type="dxa"/>
            <w:tcBorders>
              <w:bottom w:val="single" w:sz="4" w:space="0" w:color="FFFFFF"/>
            </w:tcBorders>
            <w:shd w:val="clear" w:color="auto" w:fill="CCE2ED"/>
          </w:tcPr>
          <w:p w14:paraId="15C94028" w14:textId="77777777" w:rsidR="00141B97" w:rsidRDefault="00141B97">
            <w:pPr>
              <w:pStyle w:val="TableParagraph"/>
              <w:rPr>
                <w:rFonts w:ascii="Times New Roman"/>
                <w:sz w:val="16"/>
              </w:rPr>
            </w:pPr>
          </w:p>
        </w:tc>
        <w:tc>
          <w:tcPr>
            <w:tcW w:w="877" w:type="dxa"/>
            <w:tcBorders>
              <w:bottom w:val="single" w:sz="4" w:space="0" w:color="FFFFFF"/>
            </w:tcBorders>
            <w:shd w:val="clear" w:color="auto" w:fill="CCE2ED"/>
          </w:tcPr>
          <w:p w14:paraId="64AF0184" w14:textId="77777777" w:rsidR="00141B97" w:rsidRDefault="00141B97">
            <w:pPr>
              <w:pStyle w:val="TableParagraph"/>
              <w:rPr>
                <w:rFonts w:ascii="Times New Roman"/>
                <w:sz w:val="16"/>
              </w:rPr>
            </w:pPr>
          </w:p>
        </w:tc>
        <w:tc>
          <w:tcPr>
            <w:tcW w:w="909" w:type="dxa"/>
            <w:tcBorders>
              <w:bottom w:val="single" w:sz="4" w:space="0" w:color="FFFFFF"/>
            </w:tcBorders>
            <w:shd w:val="clear" w:color="auto" w:fill="CCE2ED"/>
          </w:tcPr>
          <w:p w14:paraId="28DA0DA1" w14:textId="77777777" w:rsidR="00141B97" w:rsidRDefault="00141B97">
            <w:pPr>
              <w:pStyle w:val="TableParagraph"/>
              <w:rPr>
                <w:rFonts w:ascii="Times New Roman"/>
                <w:sz w:val="16"/>
              </w:rPr>
            </w:pPr>
          </w:p>
        </w:tc>
        <w:tc>
          <w:tcPr>
            <w:tcW w:w="835" w:type="dxa"/>
            <w:tcBorders>
              <w:bottom w:val="single" w:sz="4" w:space="0" w:color="FFFFFF"/>
            </w:tcBorders>
            <w:shd w:val="clear" w:color="auto" w:fill="CCE2ED"/>
          </w:tcPr>
          <w:p w14:paraId="5049A9D0" w14:textId="77777777" w:rsidR="00141B97" w:rsidRDefault="00141B97">
            <w:pPr>
              <w:pStyle w:val="TableParagraph"/>
              <w:rPr>
                <w:rFonts w:ascii="Times New Roman"/>
                <w:sz w:val="16"/>
              </w:rPr>
            </w:pPr>
          </w:p>
        </w:tc>
      </w:tr>
      <w:tr w:rsidR="00141B97" w14:paraId="630C3ED8" w14:textId="77777777">
        <w:trPr>
          <w:trHeight w:val="252"/>
        </w:trPr>
        <w:tc>
          <w:tcPr>
            <w:tcW w:w="581" w:type="dxa"/>
            <w:vMerge/>
            <w:tcBorders>
              <w:top w:val="nil"/>
              <w:right w:val="single" w:sz="6" w:space="0" w:color="FFFFFF"/>
            </w:tcBorders>
            <w:shd w:val="clear" w:color="auto" w:fill="CCE2ED"/>
          </w:tcPr>
          <w:p w14:paraId="03D4D5B7" w14:textId="77777777" w:rsidR="00141B97" w:rsidRDefault="00141B97">
            <w:pPr>
              <w:rPr>
                <w:sz w:val="2"/>
                <w:szCs w:val="2"/>
              </w:rPr>
            </w:pPr>
          </w:p>
        </w:tc>
        <w:tc>
          <w:tcPr>
            <w:tcW w:w="1945" w:type="dxa"/>
            <w:vMerge/>
            <w:tcBorders>
              <w:top w:val="nil"/>
              <w:left w:val="single" w:sz="6" w:space="0" w:color="FFFFFF"/>
            </w:tcBorders>
            <w:shd w:val="clear" w:color="auto" w:fill="CCE2ED"/>
          </w:tcPr>
          <w:p w14:paraId="1717927E" w14:textId="77777777" w:rsidR="00141B97" w:rsidRDefault="00141B97">
            <w:pPr>
              <w:rPr>
                <w:sz w:val="2"/>
                <w:szCs w:val="2"/>
              </w:rPr>
            </w:pPr>
          </w:p>
        </w:tc>
        <w:tc>
          <w:tcPr>
            <w:tcW w:w="3897" w:type="dxa"/>
            <w:tcBorders>
              <w:top w:val="single" w:sz="4" w:space="0" w:color="FFFFFF"/>
              <w:bottom w:val="single" w:sz="6" w:space="0" w:color="FFFFFF"/>
              <w:right w:val="single" w:sz="6" w:space="0" w:color="FFFFFF"/>
            </w:tcBorders>
            <w:shd w:val="clear" w:color="auto" w:fill="CCE2ED"/>
          </w:tcPr>
          <w:p w14:paraId="7E5BAA69" w14:textId="77777777" w:rsidR="00141B97" w:rsidRDefault="00911D63">
            <w:pPr>
              <w:pStyle w:val="TableParagraph"/>
              <w:spacing w:before="18" w:line="214" w:lineRule="exact"/>
              <w:ind w:left="101"/>
              <w:rPr>
                <w:sz w:val="18"/>
              </w:rPr>
            </w:pPr>
            <w:r>
              <w:rPr>
                <w:sz w:val="18"/>
              </w:rPr>
              <w:t>ROB</w:t>
            </w:r>
            <w:r>
              <w:rPr>
                <w:spacing w:val="-2"/>
                <w:sz w:val="18"/>
              </w:rPr>
              <w:t xml:space="preserve"> </w:t>
            </w:r>
            <w:r>
              <w:rPr>
                <w:sz w:val="18"/>
              </w:rPr>
              <w:t>‐</w:t>
            </w:r>
            <w:r>
              <w:rPr>
                <w:spacing w:val="-1"/>
                <w:sz w:val="18"/>
              </w:rPr>
              <w:t xml:space="preserve"> </w:t>
            </w:r>
            <w:r>
              <w:rPr>
                <w:sz w:val="18"/>
              </w:rPr>
              <w:t>Decommission</w:t>
            </w:r>
            <w:r>
              <w:rPr>
                <w:spacing w:val="-1"/>
                <w:sz w:val="18"/>
              </w:rPr>
              <w:t xml:space="preserve"> </w:t>
            </w:r>
            <w:r>
              <w:rPr>
                <w:sz w:val="18"/>
              </w:rPr>
              <w:t>and</w:t>
            </w:r>
            <w:r>
              <w:rPr>
                <w:spacing w:val="-1"/>
                <w:sz w:val="18"/>
              </w:rPr>
              <w:t xml:space="preserve"> </w:t>
            </w:r>
            <w:r>
              <w:rPr>
                <w:sz w:val="18"/>
              </w:rPr>
              <w:t>seal</w:t>
            </w:r>
            <w:r>
              <w:rPr>
                <w:spacing w:val="-2"/>
                <w:sz w:val="18"/>
              </w:rPr>
              <w:t xml:space="preserve"> </w:t>
            </w:r>
            <w:r>
              <w:rPr>
                <w:sz w:val="18"/>
              </w:rPr>
              <w:t>the</w:t>
            </w:r>
            <w:r>
              <w:rPr>
                <w:spacing w:val="-2"/>
                <w:sz w:val="18"/>
              </w:rPr>
              <w:t xml:space="preserve"> </w:t>
            </w:r>
            <w:r>
              <w:rPr>
                <w:sz w:val="18"/>
              </w:rPr>
              <w:t xml:space="preserve">old </w:t>
            </w:r>
            <w:r>
              <w:rPr>
                <w:spacing w:val="-2"/>
                <w:sz w:val="18"/>
              </w:rPr>
              <w:t>suction</w:t>
            </w:r>
          </w:p>
        </w:tc>
        <w:tc>
          <w:tcPr>
            <w:tcW w:w="1295" w:type="dxa"/>
            <w:vMerge/>
            <w:tcBorders>
              <w:top w:val="nil"/>
              <w:left w:val="single" w:sz="6" w:space="0" w:color="FFFFFF"/>
              <w:right w:val="single" w:sz="6" w:space="0" w:color="FFFFFF"/>
            </w:tcBorders>
            <w:shd w:val="clear" w:color="auto" w:fill="CCE2ED"/>
          </w:tcPr>
          <w:p w14:paraId="1DA578A8" w14:textId="77777777" w:rsidR="00141B97" w:rsidRDefault="00141B97">
            <w:pPr>
              <w:rPr>
                <w:sz w:val="2"/>
                <w:szCs w:val="2"/>
              </w:rPr>
            </w:pPr>
          </w:p>
        </w:tc>
        <w:tc>
          <w:tcPr>
            <w:tcW w:w="1295" w:type="dxa"/>
            <w:vMerge/>
            <w:tcBorders>
              <w:top w:val="nil"/>
              <w:left w:val="single" w:sz="6" w:space="0" w:color="FFFFFF"/>
              <w:right w:val="single" w:sz="6" w:space="0" w:color="FFFFFF"/>
            </w:tcBorders>
            <w:shd w:val="clear" w:color="auto" w:fill="CCE2ED"/>
          </w:tcPr>
          <w:p w14:paraId="701277E8" w14:textId="77777777" w:rsidR="00141B97" w:rsidRDefault="00141B97">
            <w:pPr>
              <w:rPr>
                <w:sz w:val="2"/>
                <w:szCs w:val="2"/>
              </w:rPr>
            </w:pPr>
          </w:p>
        </w:tc>
        <w:tc>
          <w:tcPr>
            <w:tcW w:w="1402" w:type="dxa"/>
            <w:vMerge/>
            <w:tcBorders>
              <w:top w:val="nil"/>
              <w:left w:val="single" w:sz="6" w:space="0" w:color="FFFFFF"/>
            </w:tcBorders>
            <w:shd w:val="clear" w:color="auto" w:fill="CCE2ED"/>
          </w:tcPr>
          <w:p w14:paraId="0F8EE5F0" w14:textId="77777777" w:rsidR="00141B97" w:rsidRDefault="00141B97">
            <w:pPr>
              <w:rPr>
                <w:sz w:val="2"/>
                <w:szCs w:val="2"/>
              </w:rPr>
            </w:pPr>
          </w:p>
        </w:tc>
        <w:tc>
          <w:tcPr>
            <w:tcW w:w="876" w:type="dxa"/>
            <w:tcBorders>
              <w:top w:val="single" w:sz="4" w:space="0" w:color="FFFFFF"/>
              <w:bottom w:val="single" w:sz="6" w:space="0" w:color="FFFFFF"/>
            </w:tcBorders>
            <w:shd w:val="clear" w:color="auto" w:fill="CCE2ED"/>
          </w:tcPr>
          <w:p w14:paraId="7817D5F7" w14:textId="77777777" w:rsidR="00141B97" w:rsidRDefault="00911D63">
            <w:pPr>
              <w:pStyle w:val="TableParagraph"/>
              <w:spacing w:before="18" w:line="214" w:lineRule="exact"/>
              <w:ind w:left="128" w:right="116"/>
              <w:jc w:val="center"/>
              <w:rPr>
                <w:sz w:val="18"/>
              </w:rPr>
            </w:pPr>
            <w:r>
              <w:rPr>
                <w:spacing w:val="-4"/>
                <w:sz w:val="18"/>
              </w:rPr>
              <w:t>0.00</w:t>
            </w:r>
          </w:p>
        </w:tc>
        <w:tc>
          <w:tcPr>
            <w:tcW w:w="877" w:type="dxa"/>
            <w:tcBorders>
              <w:top w:val="single" w:sz="4" w:space="0" w:color="FFFFFF"/>
              <w:bottom w:val="single" w:sz="6" w:space="0" w:color="FFFFFF"/>
            </w:tcBorders>
            <w:shd w:val="clear" w:color="auto" w:fill="CCE2ED"/>
          </w:tcPr>
          <w:p w14:paraId="45786442" w14:textId="77777777" w:rsidR="00141B97" w:rsidRDefault="00911D63">
            <w:pPr>
              <w:pStyle w:val="TableParagraph"/>
              <w:spacing w:before="18" w:line="214" w:lineRule="exact"/>
              <w:ind w:left="127" w:right="111"/>
              <w:jc w:val="center"/>
              <w:rPr>
                <w:sz w:val="18"/>
              </w:rPr>
            </w:pPr>
            <w:r>
              <w:rPr>
                <w:spacing w:val="-4"/>
                <w:sz w:val="18"/>
              </w:rPr>
              <w:t>0.00</w:t>
            </w:r>
          </w:p>
        </w:tc>
        <w:tc>
          <w:tcPr>
            <w:tcW w:w="877" w:type="dxa"/>
            <w:tcBorders>
              <w:top w:val="single" w:sz="4" w:space="0" w:color="FFFFFF"/>
              <w:bottom w:val="single" w:sz="6" w:space="0" w:color="FFFFFF"/>
            </w:tcBorders>
            <w:shd w:val="clear" w:color="auto" w:fill="CCE2ED"/>
          </w:tcPr>
          <w:p w14:paraId="36AB17D0" w14:textId="77777777" w:rsidR="00141B97" w:rsidRDefault="00911D63">
            <w:pPr>
              <w:pStyle w:val="TableParagraph"/>
              <w:spacing w:before="18" w:line="214" w:lineRule="exact"/>
              <w:ind w:left="132" w:right="111"/>
              <w:jc w:val="center"/>
              <w:rPr>
                <w:sz w:val="18"/>
              </w:rPr>
            </w:pPr>
            <w:r>
              <w:rPr>
                <w:spacing w:val="-4"/>
                <w:sz w:val="18"/>
              </w:rPr>
              <w:t>0.15</w:t>
            </w:r>
          </w:p>
        </w:tc>
        <w:tc>
          <w:tcPr>
            <w:tcW w:w="877" w:type="dxa"/>
            <w:tcBorders>
              <w:top w:val="single" w:sz="4" w:space="0" w:color="FFFFFF"/>
              <w:bottom w:val="single" w:sz="6" w:space="0" w:color="FFFFFF"/>
            </w:tcBorders>
            <w:shd w:val="clear" w:color="auto" w:fill="CCE2ED"/>
          </w:tcPr>
          <w:p w14:paraId="5CBD4640" w14:textId="77777777" w:rsidR="00141B97" w:rsidRDefault="00911D63">
            <w:pPr>
              <w:pStyle w:val="TableParagraph"/>
              <w:spacing w:before="18" w:line="214" w:lineRule="exact"/>
              <w:ind w:left="132" w:right="108"/>
              <w:jc w:val="center"/>
              <w:rPr>
                <w:sz w:val="18"/>
              </w:rPr>
            </w:pPr>
            <w:r>
              <w:rPr>
                <w:spacing w:val="-4"/>
                <w:sz w:val="18"/>
              </w:rPr>
              <w:t>0.00</w:t>
            </w:r>
          </w:p>
        </w:tc>
        <w:tc>
          <w:tcPr>
            <w:tcW w:w="909" w:type="dxa"/>
            <w:tcBorders>
              <w:top w:val="single" w:sz="4" w:space="0" w:color="FFFFFF"/>
              <w:bottom w:val="single" w:sz="6" w:space="0" w:color="FFFFFF"/>
            </w:tcBorders>
            <w:shd w:val="clear" w:color="auto" w:fill="CCE2ED"/>
          </w:tcPr>
          <w:p w14:paraId="643CEE39" w14:textId="77777777" w:rsidR="00141B97" w:rsidRDefault="00911D63">
            <w:pPr>
              <w:pStyle w:val="TableParagraph"/>
              <w:spacing w:before="18" w:line="214" w:lineRule="exact"/>
              <w:ind w:left="140" w:right="140"/>
              <w:jc w:val="center"/>
              <w:rPr>
                <w:sz w:val="18"/>
              </w:rPr>
            </w:pPr>
            <w:r>
              <w:rPr>
                <w:spacing w:val="-4"/>
                <w:sz w:val="18"/>
              </w:rPr>
              <w:t>0.00</w:t>
            </w:r>
          </w:p>
        </w:tc>
        <w:tc>
          <w:tcPr>
            <w:tcW w:w="835" w:type="dxa"/>
            <w:tcBorders>
              <w:top w:val="single" w:sz="4" w:space="0" w:color="FFFFFF"/>
              <w:bottom w:val="single" w:sz="6" w:space="0" w:color="FFFFFF"/>
            </w:tcBorders>
            <w:shd w:val="clear" w:color="auto" w:fill="CCE2ED"/>
          </w:tcPr>
          <w:p w14:paraId="108BECE8" w14:textId="77777777" w:rsidR="00141B97" w:rsidRDefault="00911D63">
            <w:pPr>
              <w:pStyle w:val="TableParagraph"/>
              <w:spacing w:before="18" w:line="214" w:lineRule="exact"/>
              <w:ind w:left="133" w:right="128"/>
              <w:jc w:val="center"/>
              <w:rPr>
                <w:sz w:val="18"/>
              </w:rPr>
            </w:pPr>
            <w:r>
              <w:rPr>
                <w:spacing w:val="-4"/>
                <w:sz w:val="18"/>
              </w:rPr>
              <w:t>0.15</w:t>
            </w:r>
          </w:p>
        </w:tc>
      </w:tr>
      <w:tr w:rsidR="00141B97" w14:paraId="02095393" w14:textId="77777777">
        <w:trPr>
          <w:trHeight w:val="65"/>
        </w:trPr>
        <w:tc>
          <w:tcPr>
            <w:tcW w:w="581" w:type="dxa"/>
            <w:vMerge/>
            <w:tcBorders>
              <w:top w:val="nil"/>
              <w:right w:val="single" w:sz="6" w:space="0" w:color="FFFFFF"/>
            </w:tcBorders>
            <w:shd w:val="clear" w:color="auto" w:fill="CCE2ED"/>
          </w:tcPr>
          <w:p w14:paraId="67D3D802" w14:textId="77777777" w:rsidR="00141B97" w:rsidRDefault="00141B97">
            <w:pPr>
              <w:rPr>
                <w:sz w:val="2"/>
                <w:szCs w:val="2"/>
              </w:rPr>
            </w:pPr>
          </w:p>
        </w:tc>
        <w:tc>
          <w:tcPr>
            <w:tcW w:w="1945" w:type="dxa"/>
            <w:vMerge/>
            <w:tcBorders>
              <w:top w:val="nil"/>
              <w:left w:val="single" w:sz="6" w:space="0" w:color="FFFFFF"/>
            </w:tcBorders>
            <w:shd w:val="clear" w:color="auto" w:fill="CCE2ED"/>
          </w:tcPr>
          <w:p w14:paraId="4512A203" w14:textId="77777777" w:rsidR="00141B97" w:rsidRDefault="00141B97">
            <w:pPr>
              <w:rPr>
                <w:sz w:val="2"/>
                <w:szCs w:val="2"/>
              </w:rPr>
            </w:pPr>
          </w:p>
        </w:tc>
        <w:tc>
          <w:tcPr>
            <w:tcW w:w="3897" w:type="dxa"/>
            <w:tcBorders>
              <w:top w:val="single" w:sz="6" w:space="0" w:color="FFFFFF"/>
              <w:right w:val="single" w:sz="6" w:space="0" w:color="FFFFFF"/>
            </w:tcBorders>
            <w:shd w:val="clear" w:color="auto" w:fill="CCE2ED"/>
          </w:tcPr>
          <w:p w14:paraId="76DE2C65" w14:textId="77777777" w:rsidR="00141B97" w:rsidRDefault="00141B97">
            <w:pPr>
              <w:pStyle w:val="TableParagraph"/>
              <w:rPr>
                <w:rFonts w:ascii="Times New Roman"/>
                <w:sz w:val="2"/>
              </w:rPr>
            </w:pPr>
          </w:p>
        </w:tc>
        <w:tc>
          <w:tcPr>
            <w:tcW w:w="1295" w:type="dxa"/>
            <w:vMerge/>
            <w:tcBorders>
              <w:top w:val="nil"/>
              <w:left w:val="single" w:sz="6" w:space="0" w:color="FFFFFF"/>
              <w:right w:val="single" w:sz="6" w:space="0" w:color="FFFFFF"/>
            </w:tcBorders>
            <w:shd w:val="clear" w:color="auto" w:fill="CCE2ED"/>
          </w:tcPr>
          <w:p w14:paraId="445A20B1" w14:textId="77777777" w:rsidR="00141B97" w:rsidRDefault="00141B97">
            <w:pPr>
              <w:rPr>
                <w:sz w:val="2"/>
                <w:szCs w:val="2"/>
              </w:rPr>
            </w:pPr>
          </w:p>
        </w:tc>
        <w:tc>
          <w:tcPr>
            <w:tcW w:w="1295" w:type="dxa"/>
            <w:vMerge/>
            <w:tcBorders>
              <w:top w:val="nil"/>
              <w:left w:val="single" w:sz="6" w:space="0" w:color="FFFFFF"/>
              <w:right w:val="single" w:sz="6" w:space="0" w:color="FFFFFF"/>
            </w:tcBorders>
            <w:shd w:val="clear" w:color="auto" w:fill="CCE2ED"/>
          </w:tcPr>
          <w:p w14:paraId="50A505D5" w14:textId="77777777" w:rsidR="00141B97" w:rsidRDefault="00141B97">
            <w:pPr>
              <w:rPr>
                <w:sz w:val="2"/>
                <w:szCs w:val="2"/>
              </w:rPr>
            </w:pPr>
          </w:p>
        </w:tc>
        <w:tc>
          <w:tcPr>
            <w:tcW w:w="1402" w:type="dxa"/>
            <w:vMerge/>
            <w:tcBorders>
              <w:top w:val="nil"/>
              <w:left w:val="single" w:sz="6" w:space="0" w:color="FFFFFF"/>
            </w:tcBorders>
            <w:shd w:val="clear" w:color="auto" w:fill="CCE2ED"/>
          </w:tcPr>
          <w:p w14:paraId="65DDACEB" w14:textId="77777777" w:rsidR="00141B97" w:rsidRDefault="00141B97">
            <w:pPr>
              <w:rPr>
                <w:sz w:val="2"/>
                <w:szCs w:val="2"/>
              </w:rPr>
            </w:pPr>
          </w:p>
        </w:tc>
        <w:tc>
          <w:tcPr>
            <w:tcW w:w="876" w:type="dxa"/>
            <w:tcBorders>
              <w:top w:val="single" w:sz="6" w:space="0" w:color="FFFFFF"/>
            </w:tcBorders>
            <w:shd w:val="clear" w:color="auto" w:fill="CCE2ED"/>
          </w:tcPr>
          <w:p w14:paraId="043FACD5" w14:textId="77777777" w:rsidR="00141B97" w:rsidRDefault="00141B97">
            <w:pPr>
              <w:pStyle w:val="TableParagraph"/>
              <w:rPr>
                <w:rFonts w:ascii="Times New Roman"/>
                <w:sz w:val="2"/>
              </w:rPr>
            </w:pPr>
          </w:p>
        </w:tc>
        <w:tc>
          <w:tcPr>
            <w:tcW w:w="877" w:type="dxa"/>
            <w:tcBorders>
              <w:top w:val="single" w:sz="6" w:space="0" w:color="FFFFFF"/>
            </w:tcBorders>
            <w:shd w:val="clear" w:color="auto" w:fill="CCE2ED"/>
          </w:tcPr>
          <w:p w14:paraId="19D62BB7" w14:textId="77777777" w:rsidR="00141B97" w:rsidRDefault="00141B97">
            <w:pPr>
              <w:pStyle w:val="TableParagraph"/>
              <w:rPr>
                <w:rFonts w:ascii="Times New Roman"/>
                <w:sz w:val="2"/>
              </w:rPr>
            </w:pPr>
          </w:p>
        </w:tc>
        <w:tc>
          <w:tcPr>
            <w:tcW w:w="877" w:type="dxa"/>
            <w:tcBorders>
              <w:top w:val="single" w:sz="6" w:space="0" w:color="FFFFFF"/>
            </w:tcBorders>
            <w:shd w:val="clear" w:color="auto" w:fill="CCE2ED"/>
          </w:tcPr>
          <w:p w14:paraId="4857D822" w14:textId="77777777" w:rsidR="00141B97" w:rsidRDefault="00141B97">
            <w:pPr>
              <w:pStyle w:val="TableParagraph"/>
              <w:rPr>
                <w:rFonts w:ascii="Times New Roman"/>
                <w:sz w:val="2"/>
              </w:rPr>
            </w:pPr>
          </w:p>
        </w:tc>
        <w:tc>
          <w:tcPr>
            <w:tcW w:w="877" w:type="dxa"/>
            <w:tcBorders>
              <w:top w:val="single" w:sz="6" w:space="0" w:color="FFFFFF"/>
            </w:tcBorders>
            <w:shd w:val="clear" w:color="auto" w:fill="CCE2ED"/>
          </w:tcPr>
          <w:p w14:paraId="6D0B6338" w14:textId="77777777" w:rsidR="00141B97" w:rsidRDefault="00141B97">
            <w:pPr>
              <w:pStyle w:val="TableParagraph"/>
              <w:rPr>
                <w:rFonts w:ascii="Times New Roman"/>
                <w:sz w:val="2"/>
              </w:rPr>
            </w:pPr>
          </w:p>
        </w:tc>
        <w:tc>
          <w:tcPr>
            <w:tcW w:w="909" w:type="dxa"/>
            <w:tcBorders>
              <w:top w:val="single" w:sz="6" w:space="0" w:color="FFFFFF"/>
            </w:tcBorders>
            <w:shd w:val="clear" w:color="auto" w:fill="CCE2ED"/>
          </w:tcPr>
          <w:p w14:paraId="68EA577F" w14:textId="77777777" w:rsidR="00141B97" w:rsidRDefault="00141B97">
            <w:pPr>
              <w:pStyle w:val="TableParagraph"/>
              <w:rPr>
                <w:rFonts w:ascii="Times New Roman"/>
                <w:sz w:val="2"/>
              </w:rPr>
            </w:pPr>
          </w:p>
        </w:tc>
        <w:tc>
          <w:tcPr>
            <w:tcW w:w="835" w:type="dxa"/>
            <w:tcBorders>
              <w:top w:val="single" w:sz="6" w:space="0" w:color="FFFFFF"/>
            </w:tcBorders>
            <w:shd w:val="clear" w:color="auto" w:fill="CCE2ED"/>
          </w:tcPr>
          <w:p w14:paraId="012BA298" w14:textId="77777777" w:rsidR="00141B97" w:rsidRDefault="00141B97">
            <w:pPr>
              <w:pStyle w:val="TableParagraph"/>
              <w:rPr>
                <w:rFonts w:ascii="Times New Roman"/>
                <w:sz w:val="2"/>
              </w:rPr>
            </w:pPr>
          </w:p>
        </w:tc>
      </w:tr>
      <w:tr w:rsidR="00141B97" w14:paraId="1903B98C" w14:textId="77777777">
        <w:trPr>
          <w:trHeight w:val="532"/>
        </w:trPr>
        <w:tc>
          <w:tcPr>
            <w:tcW w:w="581" w:type="dxa"/>
            <w:tcBorders>
              <w:bottom w:val="single" w:sz="4" w:space="0" w:color="FFFFFF"/>
              <w:right w:val="single" w:sz="6" w:space="0" w:color="FFFFFF"/>
            </w:tcBorders>
            <w:shd w:val="clear" w:color="auto" w:fill="CCE2ED"/>
          </w:tcPr>
          <w:p w14:paraId="3AD7E447" w14:textId="77777777" w:rsidR="00141B97" w:rsidRDefault="00141B97">
            <w:pPr>
              <w:pStyle w:val="TableParagraph"/>
              <w:rPr>
                <w:rFonts w:ascii="Times New Roman"/>
                <w:sz w:val="18"/>
              </w:rPr>
            </w:pPr>
          </w:p>
        </w:tc>
        <w:tc>
          <w:tcPr>
            <w:tcW w:w="1945" w:type="dxa"/>
            <w:tcBorders>
              <w:left w:val="single" w:sz="6" w:space="0" w:color="FFFFFF"/>
              <w:bottom w:val="single" w:sz="4" w:space="0" w:color="FFFFFF"/>
            </w:tcBorders>
            <w:shd w:val="clear" w:color="auto" w:fill="CCE2ED"/>
          </w:tcPr>
          <w:p w14:paraId="075D4DC6" w14:textId="77777777" w:rsidR="00141B97" w:rsidRDefault="00141B97">
            <w:pPr>
              <w:pStyle w:val="TableParagraph"/>
              <w:rPr>
                <w:rFonts w:ascii="Times New Roman"/>
                <w:sz w:val="18"/>
              </w:rPr>
            </w:pPr>
          </w:p>
        </w:tc>
        <w:tc>
          <w:tcPr>
            <w:tcW w:w="3897" w:type="dxa"/>
            <w:tcBorders>
              <w:bottom w:val="single" w:sz="4" w:space="0" w:color="FFFFFF"/>
              <w:right w:val="single" w:sz="6" w:space="0" w:color="FFFFFF"/>
            </w:tcBorders>
            <w:shd w:val="clear" w:color="auto" w:fill="CCE2ED"/>
          </w:tcPr>
          <w:p w14:paraId="217D6538" w14:textId="77777777" w:rsidR="00141B97" w:rsidRDefault="00911D63">
            <w:pPr>
              <w:pStyle w:val="TableParagraph"/>
              <w:spacing w:before="13"/>
              <w:ind w:left="101" w:right="98"/>
              <w:rPr>
                <w:sz w:val="18"/>
              </w:rPr>
            </w:pPr>
            <w:r>
              <w:rPr>
                <w:sz w:val="18"/>
              </w:rPr>
              <w:t>ROB</w:t>
            </w:r>
            <w:r>
              <w:rPr>
                <w:spacing w:val="-5"/>
                <w:sz w:val="18"/>
              </w:rPr>
              <w:t xml:space="preserve"> </w:t>
            </w:r>
            <w:r>
              <w:rPr>
                <w:sz w:val="18"/>
              </w:rPr>
              <w:t>‐</w:t>
            </w:r>
            <w:r>
              <w:rPr>
                <w:spacing w:val="-4"/>
                <w:sz w:val="18"/>
              </w:rPr>
              <w:t xml:space="preserve"> </w:t>
            </w:r>
            <w:r>
              <w:rPr>
                <w:sz w:val="18"/>
              </w:rPr>
              <w:t>Decommission</w:t>
            </w:r>
            <w:r>
              <w:rPr>
                <w:spacing w:val="-4"/>
                <w:sz w:val="18"/>
              </w:rPr>
              <w:t xml:space="preserve"> </w:t>
            </w:r>
            <w:r>
              <w:rPr>
                <w:sz w:val="18"/>
              </w:rPr>
              <w:t>the</w:t>
            </w:r>
            <w:r>
              <w:rPr>
                <w:spacing w:val="-5"/>
                <w:sz w:val="18"/>
              </w:rPr>
              <w:t xml:space="preserve"> </w:t>
            </w:r>
            <w:r>
              <w:rPr>
                <w:sz w:val="18"/>
              </w:rPr>
              <w:t>old</w:t>
            </w:r>
            <w:r>
              <w:rPr>
                <w:spacing w:val="-4"/>
                <w:sz w:val="18"/>
              </w:rPr>
              <w:t xml:space="preserve"> </w:t>
            </w:r>
            <w:r>
              <w:rPr>
                <w:sz w:val="18"/>
              </w:rPr>
              <w:t>PS</w:t>
            </w:r>
            <w:r>
              <w:rPr>
                <w:spacing w:val="-4"/>
                <w:sz w:val="18"/>
              </w:rPr>
              <w:t xml:space="preserve"> </w:t>
            </w:r>
            <w:r>
              <w:rPr>
                <w:sz w:val="18"/>
              </w:rPr>
              <w:t>(main</w:t>
            </w:r>
            <w:r>
              <w:rPr>
                <w:spacing w:val="-4"/>
                <w:sz w:val="18"/>
              </w:rPr>
              <w:t xml:space="preserve"> </w:t>
            </w:r>
            <w:r>
              <w:rPr>
                <w:sz w:val="18"/>
              </w:rPr>
              <w:t>and</w:t>
            </w:r>
            <w:r>
              <w:rPr>
                <w:spacing w:val="-6"/>
                <w:sz w:val="18"/>
              </w:rPr>
              <w:t xml:space="preserve"> </w:t>
            </w:r>
            <w:r>
              <w:rPr>
                <w:sz w:val="18"/>
              </w:rPr>
              <w:t>relift) and rising main</w:t>
            </w:r>
          </w:p>
        </w:tc>
        <w:tc>
          <w:tcPr>
            <w:tcW w:w="1295" w:type="dxa"/>
            <w:tcBorders>
              <w:left w:val="single" w:sz="6" w:space="0" w:color="FFFFFF"/>
              <w:bottom w:val="single" w:sz="4" w:space="0" w:color="FFFFFF"/>
              <w:right w:val="single" w:sz="6" w:space="0" w:color="FFFFFF"/>
            </w:tcBorders>
            <w:shd w:val="clear" w:color="auto" w:fill="CCE2ED"/>
          </w:tcPr>
          <w:p w14:paraId="62A0E956" w14:textId="77777777" w:rsidR="00141B97" w:rsidRDefault="00141B97">
            <w:pPr>
              <w:pStyle w:val="TableParagraph"/>
              <w:rPr>
                <w:rFonts w:ascii="Times New Roman"/>
                <w:sz w:val="18"/>
              </w:rPr>
            </w:pPr>
          </w:p>
        </w:tc>
        <w:tc>
          <w:tcPr>
            <w:tcW w:w="1295" w:type="dxa"/>
            <w:tcBorders>
              <w:left w:val="single" w:sz="6" w:space="0" w:color="FFFFFF"/>
              <w:bottom w:val="single" w:sz="4" w:space="0" w:color="FFFFFF"/>
              <w:right w:val="single" w:sz="6" w:space="0" w:color="FFFFFF"/>
            </w:tcBorders>
            <w:shd w:val="clear" w:color="auto" w:fill="CCE2ED"/>
          </w:tcPr>
          <w:p w14:paraId="522479D5" w14:textId="77777777" w:rsidR="00141B97" w:rsidRDefault="00141B97">
            <w:pPr>
              <w:pStyle w:val="TableParagraph"/>
              <w:rPr>
                <w:rFonts w:ascii="Times New Roman"/>
                <w:sz w:val="18"/>
              </w:rPr>
            </w:pPr>
          </w:p>
        </w:tc>
        <w:tc>
          <w:tcPr>
            <w:tcW w:w="1402" w:type="dxa"/>
            <w:tcBorders>
              <w:left w:val="single" w:sz="6" w:space="0" w:color="FFFFFF"/>
              <w:bottom w:val="single" w:sz="4" w:space="0" w:color="FFFFFF"/>
            </w:tcBorders>
            <w:shd w:val="clear" w:color="auto" w:fill="CCE2ED"/>
          </w:tcPr>
          <w:p w14:paraId="5C62C84E" w14:textId="77777777" w:rsidR="00141B97" w:rsidRDefault="00141B97">
            <w:pPr>
              <w:pStyle w:val="TableParagraph"/>
              <w:rPr>
                <w:rFonts w:ascii="Times New Roman"/>
                <w:sz w:val="18"/>
              </w:rPr>
            </w:pPr>
          </w:p>
        </w:tc>
        <w:tc>
          <w:tcPr>
            <w:tcW w:w="876" w:type="dxa"/>
            <w:tcBorders>
              <w:bottom w:val="single" w:sz="4" w:space="0" w:color="FFFFFF"/>
            </w:tcBorders>
            <w:shd w:val="clear" w:color="auto" w:fill="CCE2ED"/>
          </w:tcPr>
          <w:p w14:paraId="54AB2FB4" w14:textId="77777777" w:rsidR="00141B97" w:rsidRDefault="00911D63">
            <w:pPr>
              <w:pStyle w:val="TableParagraph"/>
              <w:spacing w:before="122"/>
              <w:ind w:left="128" w:right="116"/>
              <w:jc w:val="center"/>
              <w:rPr>
                <w:sz w:val="18"/>
              </w:rPr>
            </w:pPr>
            <w:r>
              <w:rPr>
                <w:spacing w:val="-4"/>
                <w:sz w:val="18"/>
              </w:rPr>
              <w:t>0.00</w:t>
            </w:r>
          </w:p>
        </w:tc>
        <w:tc>
          <w:tcPr>
            <w:tcW w:w="877" w:type="dxa"/>
            <w:tcBorders>
              <w:bottom w:val="single" w:sz="4" w:space="0" w:color="FFFFFF"/>
            </w:tcBorders>
            <w:shd w:val="clear" w:color="auto" w:fill="CCE2ED"/>
          </w:tcPr>
          <w:p w14:paraId="4651DE4A" w14:textId="77777777" w:rsidR="00141B97" w:rsidRDefault="00911D63">
            <w:pPr>
              <w:pStyle w:val="TableParagraph"/>
              <w:spacing w:before="122"/>
              <w:ind w:left="127" w:right="111"/>
              <w:jc w:val="center"/>
              <w:rPr>
                <w:sz w:val="18"/>
              </w:rPr>
            </w:pPr>
            <w:r>
              <w:rPr>
                <w:spacing w:val="-4"/>
                <w:sz w:val="18"/>
              </w:rPr>
              <w:t>0.00</w:t>
            </w:r>
          </w:p>
        </w:tc>
        <w:tc>
          <w:tcPr>
            <w:tcW w:w="877" w:type="dxa"/>
            <w:tcBorders>
              <w:bottom w:val="single" w:sz="4" w:space="0" w:color="FFFFFF"/>
            </w:tcBorders>
            <w:shd w:val="clear" w:color="auto" w:fill="CCE2ED"/>
          </w:tcPr>
          <w:p w14:paraId="4DC984D0" w14:textId="77777777" w:rsidR="00141B97" w:rsidRDefault="00911D63">
            <w:pPr>
              <w:pStyle w:val="TableParagraph"/>
              <w:spacing w:before="122"/>
              <w:ind w:left="132" w:right="111"/>
              <w:jc w:val="center"/>
              <w:rPr>
                <w:sz w:val="18"/>
              </w:rPr>
            </w:pPr>
            <w:r>
              <w:rPr>
                <w:spacing w:val="-4"/>
                <w:sz w:val="18"/>
              </w:rPr>
              <w:t>0.22</w:t>
            </w:r>
          </w:p>
        </w:tc>
        <w:tc>
          <w:tcPr>
            <w:tcW w:w="877" w:type="dxa"/>
            <w:tcBorders>
              <w:bottom w:val="single" w:sz="4" w:space="0" w:color="FFFFFF"/>
            </w:tcBorders>
            <w:shd w:val="clear" w:color="auto" w:fill="CCE2ED"/>
          </w:tcPr>
          <w:p w14:paraId="46F907CA" w14:textId="77777777" w:rsidR="00141B97" w:rsidRDefault="00911D63">
            <w:pPr>
              <w:pStyle w:val="TableParagraph"/>
              <w:spacing w:before="122"/>
              <w:ind w:left="132" w:right="108"/>
              <w:jc w:val="center"/>
              <w:rPr>
                <w:sz w:val="18"/>
              </w:rPr>
            </w:pPr>
            <w:r>
              <w:rPr>
                <w:spacing w:val="-4"/>
                <w:sz w:val="18"/>
              </w:rPr>
              <w:t>0.78</w:t>
            </w:r>
          </w:p>
        </w:tc>
        <w:tc>
          <w:tcPr>
            <w:tcW w:w="909" w:type="dxa"/>
            <w:tcBorders>
              <w:bottom w:val="single" w:sz="4" w:space="0" w:color="FFFFFF"/>
            </w:tcBorders>
            <w:shd w:val="clear" w:color="auto" w:fill="CCE2ED"/>
          </w:tcPr>
          <w:p w14:paraId="5AAC9D42" w14:textId="77777777" w:rsidR="00141B97" w:rsidRDefault="00911D63">
            <w:pPr>
              <w:pStyle w:val="TableParagraph"/>
              <w:spacing w:before="122"/>
              <w:ind w:left="140" w:right="140"/>
              <w:jc w:val="center"/>
              <w:rPr>
                <w:sz w:val="18"/>
              </w:rPr>
            </w:pPr>
            <w:r>
              <w:rPr>
                <w:spacing w:val="-4"/>
                <w:sz w:val="18"/>
              </w:rPr>
              <w:t>0.00</w:t>
            </w:r>
          </w:p>
        </w:tc>
        <w:tc>
          <w:tcPr>
            <w:tcW w:w="835" w:type="dxa"/>
            <w:tcBorders>
              <w:bottom w:val="single" w:sz="4" w:space="0" w:color="FFFFFF"/>
            </w:tcBorders>
            <w:shd w:val="clear" w:color="auto" w:fill="CCE2ED"/>
          </w:tcPr>
          <w:p w14:paraId="2B19D4C1" w14:textId="77777777" w:rsidR="00141B97" w:rsidRDefault="00911D63">
            <w:pPr>
              <w:pStyle w:val="TableParagraph"/>
              <w:spacing w:before="122"/>
              <w:ind w:left="133" w:right="128"/>
              <w:jc w:val="center"/>
              <w:rPr>
                <w:sz w:val="18"/>
              </w:rPr>
            </w:pPr>
            <w:r>
              <w:rPr>
                <w:spacing w:val="-4"/>
                <w:sz w:val="18"/>
              </w:rPr>
              <w:t>1.00</w:t>
            </w:r>
          </w:p>
        </w:tc>
      </w:tr>
      <w:tr w:rsidR="00141B97" w14:paraId="3DAE3430" w14:textId="77777777">
        <w:trPr>
          <w:trHeight w:val="479"/>
        </w:trPr>
        <w:tc>
          <w:tcPr>
            <w:tcW w:w="581" w:type="dxa"/>
            <w:tcBorders>
              <w:top w:val="single" w:sz="4" w:space="0" w:color="FFFFFF"/>
              <w:bottom w:val="single" w:sz="4" w:space="0" w:color="FFFFFF"/>
            </w:tcBorders>
            <w:shd w:val="clear" w:color="auto" w:fill="CCE2ED"/>
          </w:tcPr>
          <w:p w14:paraId="3EF1E3A3" w14:textId="77777777" w:rsidR="00141B97" w:rsidRDefault="00911D63">
            <w:pPr>
              <w:pStyle w:val="TableParagraph"/>
              <w:spacing w:before="131"/>
              <w:ind w:left="101"/>
              <w:rPr>
                <w:sz w:val="18"/>
              </w:rPr>
            </w:pPr>
            <w:r>
              <w:rPr>
                <w:spacing w:val="-5"/>
                <w:sz w:val="18"/>
              </w:rPr>
              <w:t>10</w:t>
            </w:r>
          </w:p>
        </w:tc>
        <w:tc>
          <w:tcPr>
            <w:tcW w:w="1945" w:type="dxa"/>
            <w:tcBorders>
              <w:top w:val="single" w:sz="4" w:space="0" w:color="FFFFFF"/>
              <w:bottom w:val="single" w:sz="4" w:space="0" w:color="FFFFFF"/>
            </w:tcBorders>
            <w:shd w:val="clear" w:color="auto" w:fill="CCE2ED"/>
          </w:tcPr>
          <w:p w14:paraId="60B6AB65" w14:textId="77777777" w:rsidR="00141B97" w:rsidRDefault="00911D63">
            <w:pPr>
              <w:pStyle w:val="TableParagraph"/>
              <w:spacing w:before="19" w:line="220" w:lineRule="atLeast"/>
              <w:ind w:left="108" w:right="426"/>
              <w:rPr>
                <w:sz w:val="18"/>
              </w:rPr>
            </w:pPr>
            <w:r>
              <w:rPr>
                <w:sz w:val="18"/>
              </w:rPr>
              <w:t>Asset</w:t>
            </w:r>
            <w:r>
              <w:rPr>
                <w:spacing w:val="-11"/>
                <w:sz w:val="18"/>
              </w:rPr>
              <w:t xml:space="preserve"> </w:t>
            </w:r>
            <w:r>
              <w:rPr>
                <w:sz w:val="18"/>
              </w:rPr>
              <w:t>Management Platform uplift</w:t>
            </w:r>
          </w:p>
        </w:tc>
        <w:tc>
          <w:tcPr>
            <w:tcW w:w="3897" w:type="dxa"/>
            <w:tcBorders>
              <w:top w:val="single" w:sz="4" w:space="0" w:color="FFFFFF"/>
              <w:bottom w:val="single" w:sz="4" w:space="0" w:color="FFFFFF"/>
            </w:tcBorders>
            <w:shd w:val="clear" w:color="auto" w:fill="CCE2ED"/>
          </w:tcPr>
          <w:p w14:paraId="5ADA30F5" w14:textId="77777777" w:rsidR="00141B97" w:rsidRDefault="00911D63">
            <w:pPr>
              <w:pStyle w:val="TableParagraph"/>
              <w:spacing w:before="19" w:line="220" w:lineRule="atLeast"/>
              <w:ind w:left="109"/>
              <w:rPr>
                <w:sz w:val="18"/>
              </w:rPr>
            </w:pPr>
            <w:r>
              <w:rPr>
                <w:sz w:val="18"/>
              </w:rPr>
              <w:t>Asset</w:t>
            </w:r>
            <w:r>
              <w:rPr>
                <w:spacing w:val="-8"/>
                <w:sz w:val="18"/>
              </w:rPr>
              <w:t xml:space="preserve"> </w:t>
            </w:r>
            <w:r>
              <w:rPr>
                <w:sz w:val="18"/>
              </w:rPr>
              <w:t>Management</w:t>
            </w:r>
            <w:r>
              <w:rPr>
                <w:spacing w:val="-9"/>
                <w:sz w:val="18"/>
              </w:rPr>
              <w:t xml:space="preserve"> </w:t>
            </w:r>
            <w:r>
              <w:rPr>
                <w:sz w:val="18"/>
              </w:rPr>
              <w:t>Improvement</w:t>
            </w:r>
            <w:r>
              <w:rPr>
                <w:spacing w:val="-8"/>
                <w:sz w:val="18"/>
              </w:rPr>
              <w:t xml:space="preserve"> </w:t>
            </w:r>
            <w:r>
              <w:rPr>
                <w:sz w:val="18"/>
              </w:rPr>
              <w:t>‐</w:t>
            </w:r>
            <w:r>
              <w:rPr>
                <w:spacing w:val="-8"/>
                <w:sz w:val="18"/>
              </w:rPr>
              <w:t xml:space="preserve"> </w:t>
            </w:r>
            <w:r>
              <w:rPr>
                <w:sz w:val="18"/>
              </w:rPr>
              <w:t>Fixed</w:t>
            </w:r>
            <w:r>
              <w:rPr>
                <w:spacing w:val="-8"/>
                <w:sz w:val="18"/>
              </w:rPr>
              <w:t xml:space="preserve"> </w:t>
            </w:r>
            <w:r>
              <w:rPr>
                <w:sz w:val="18"/>
              </w:rPr>
              <w:t>Asset Implementation &amp; Value Study Initiatives</w:t>
            </w:r>
          </w:p>
        </w:tc>
        <w:tc>
          <w:tcPr>
            <w:tcW w:w="1295" w:type="dxa"/>
            <w:tcBorders>
              <w:top w:val="single" w:sz="4" w:space="0" w:color="FFFFFF"/>
              <w:bottom w:val="single" w:sz="4" w:space="0" w:color="FFFFFF"/>
            </w:tcBorders>
            <w:shd w:val="clear" w:color="auto" w:fill="CCE2ED"/>
          </w:tcPr>
          <w:p w14:paraId="7F951D16" w14:textId="77777777" w:rsidR="00141B97" w:rsidRDefault="00911D63">
            <w:pPr>
              <w:pStyle w:val="TableParagraph"/>
              <w:spacing w:before="131"/>
              <w:ind w:left="268" w:right="265"/>
              <w:jc w:val="center"/>
              <w:rPr>
                <w:sz w:val="18"/>
              </w:rPr>
            </w:pPr>
            <w:r>
              <w:rPr>
                <w:spacing w:val="-4"/>
                <w:sz w:val="18"/>
              </w:rPr>
              <w:t>0.77</w:t>
            </w:r>
          </w:p>
        </w:tc>
        <w:tc>
          <w:tcPr>
            <w:tcW w:w="1295" w:type="dxa"/>
            <w:tcBorders>
              <w:top w:val="single" w:sz="4" w:space="0" w:color="FFFFFF"/>
              <w:bottom w:val="single" w:sz="4" w:space="0" w:color="FFFFFF"/>
            </w:tcBorders>
            <w:shd w:val="clear" w:color="auto" w:fill="CCE2ED"/>
          </w:tcPr>
          <w:p w14:paraId="1689DF63" w14:textId="77777777" w:rsidR="00141B97" w:rsidRDefault="00911D63">
            <w:pPr>
              <w:pStyle w:val="TableParagraph"/>
              <w:spacing w:before="131"/>
              <w:ind w:left="273" w:right="265"/>
              <w:jc w:val="center"/>
              <w:rPr>
                <w:sz w:val="18"/>
              </w:rPr>
            </w:pPr>
            <w:r>
              <w:rPr>
                <w:spacing w:val="-2"/>
                <w:sz w:val="18"/>
              </w:rPr>
              <w:t>Corporate</w:t>
            </w:r>
          </w:p>
        </w:tc>
        <w:tc>
          <w:tcPr>
            <w:tcW w:w="1402" w:type="dxa"/>
            <w:tcBorders>
              <w:top w:val="single" w:sz="4" w:space="0" w:color="FFFFFF"/>
              <w:bottom w:val="single" w:sz="4" w:space="0" w:color="FFFFFF"/>
            </w:tcBorders>
            <w:shd w:val="clear" w:color="auto" w:fill="CCE2ED"/>
          </w:tcPr>
          <w:p w14:paraId="424B9F53" w14:textId="77777777" w:rsidR="00141B97" w:rsidRDefault="00911D63">
            <w:pPr>
              <w:pStyle w:val="TableParagraph"/>
              <w:spacing w:before="19" w:line="220" w:lineRule="atLeast"/>
              <w:ind w:left="290" w:hanging="148"/>
              <w:rPr>
                <w:sz w:val="18"/>
              </w:rPr>
            </w:pPr>
            <w:r>
              <w:rPr>
                <w:spacing w:val="-2"/>
                <w:sz w:val="18"/>
              </w:rPr>
              <w:t>Improvements/</w:t>
            </w:r>
            <w:r>
              <w:rPr>
                <w:sz w:val="18"/>
              </w:rPr>
              <w:t xml:space="preserve"> </w:t>
            </w:r>
            <w:r>
              <w:rPr>
                <w:spacing w:val="-2"/>
                <w:sz w:val="18"/>
              </w:rPr>
              <w:t>compliance</w:t>
            </w:r>
          </w:p>
        </w:tc>
        <w:tc>
          <w:tcPr>
            <w:tcW w:w="876" w:type="dxa"/>
            <w:tcBorders>
              <w:top w:val="single" w:sz="4" w:space="0" w:color="FFFFFF"/>
              <w:bottom w:val="single" w:sz="4" w:space="0" w:color="FFFFFF"/>
            </w:tcBorders>
            <w:shd w:val="clear" w:color="auto" w:fill="CCE2ED"/>
          </w:tcPr>
          <w:p w14:paraId="6A2BFC21" w14:textId="77777777" w:rsidR="00141B97" w:rsidRDefault="00911D63">
            <w:pPr>
              <w:pStyle w:val="TableParagraph"/>
              <w:spacing w:before="131"/>
              <w:ind w:left="128" w:right="116"/>
              <w:jc w:val="center"/>
              <w:rPr>
                <w:sz w:val="18"/>
              </w:rPr>
            </w:pPr>
            <w:r>
              <w:rPr>
                <w:spacing w:val="-4"/>
                <w:sz w:val="18"/>
              </w:rPr>
              <w:t>0.15</w:t>
            </w:r>
          </w:p>
        </w:tc>
        <w:tc>
          <w:tcPr>
            <w:tcW w:w="877" w:type="dxa"/>
            <w:tcBorders>
              <w:top w:val="single" w:sz="4" w:space="0" w:color="FFFFFF"/>
              <w:bottom w:val="single" w:sz="4" w:space="0" w:color="FFFFFF"/>
            </w:tcBorders>
            <w:shd w:val="clear" w:color="auto" w:fill="CCE2ED"/>
          </w:tcPr>
          <w:p w14:paraId="34747B0B" w14:textId="77777777" w:rsidR="00141B97" w:rsidRDefault="00911D63">
            <w:pPr>
              <w:pStyle w:val="TableParagraph"/>
              <w:spacing w:before="131"/>
              <w:ind w:left="127" w:right="111"/>
              <w:jc w:val="center"/>
              <w:rPr>
                <w:sz w:val="18"/>
              </w:rPr>
            </w:pPr>
            <w:r>
              <w:rPr>
                <w:spacing w:val="-4"/>
                <w:sz w:val="18"/>
              </w:rPr>
              <w:t>0.15</w:t>
            </w:r>
          </w:p>
        </w:tc>
        <w:tc>
          <w:tcPr>
            <w:tcW w:w="877" w:type="dxa"/>
            <w:tcBorders>
              <w:top w:val="single" w:sz="4" w:space="0" w:color="FFFFFF"/>
              <w:bottom w:val="single" w:sz="4" w:space="0" w:color="FFFFFF"/>
            </w:tcBorders>
            <w:shd w:val="clear" w:color="auto" w:fill="CCE2ED"/>
          </w:tcPr>
          <w:p w14:paraId="73A134E7" w14:textId="77777777" w:rsidR="00141B97" w:rsidRDefault="00911D63">
            <w:pPr>
              <w:pStyle w:val="TableParagraph"/>
              <w:spacing w:before="131"/>
              <w:ind w:left="132" w:right="111"/>
              <w:jc w:val="center"/>
              <w:rPr>
                <w:sz w:val="18"/>
              </w:rPr>
            </w:pPr>
            <w:r>
              <w:rPr>
                <w:spacing w:val="-4"/>
                <w:sz w:val="18"/>
              </w:rPr>
              <w:t>0.15</w:t>
            </w:r>
          </w:p>
        </w:tc>
        <w:tc>
          <w:tcPr>
            <w:tcW w:w="877" w:type="dxa"/>
            <w:tcBorders>
              <w:top w:val="single" w:sz="4" w:space="0" w:color="FFFFFF"/>
              <w:bottom w:val="single" w:sz="4" w:space="0" w:color="FFFFFF"/>
            </w:tcBorders>
            <w:shd w:val="clear" w:color="auto" w:fill="CCE2ED"/>
          </w:tcPr>
          <w:p w14:paraId="0A776EF1" w14:textId="77777777" w:rsidR="00141B97" w:rsidRDefault="00911D63">
            <w:pPr>
              <w:pStyle w:val="TableParagraph"/>
              <w:spacing w:before="131"/>
              <w:ind w:left="132" w:right="108"/>
              <w:jc w:val="center"/>
              <w:rPr>
                <w:sz w:val="18"/>
              </w:rPr>
            </w:pPr>
            <w:r>
              <w:rPr>
                <w:spacing w:val="-4"/>
                <w:sz w:val="18"/>
              </w:rPr>
              <w:t>0.15</w:t>
            </w:r>
          </w:p>
        </w:tc>
        <w:tc>
          <w:tcPr>
            <w:tcW w:w="909" w:type="dxa"/>
            <w:tcBorders>
              <w:top w:val="single" w:sz="4" w:space="0" w:color="FFFFFF"/>
              <w:bottom w:val="single" w:sz="4" w:space="0" w:color="FFFFFF"/>
            </w:tcBorders>
            <w:shd w:val="clear" w:color="auto" w:fill="CCE2ED"/>
          </w:tcPr>
          <w:p w14:paraId="22E7D21E" w14:textId="77777777" w:rsidR="00141B97" w:rsidRDefault="00911D63">
            <w:pPr>
              <w:pStyle w:val="TableParagraph"/>
              <w:spacing w:before="131"/>
              <w:ind w:left="140" w:right="140"/>
              <w:jc w:val="center"/>
              <w:rPr>
                <w:sz w:val="18"/>
              </w:rPr>
            </w:pPr>
            <w:r>
              <w:rPr>
                <w:spacing w:val="-4"/>
                <w:sz w:val="18"/>
              </w:rPr>
              <w:t>0.15</w:t>
            </w:r>
          </w:p>
        </w:tc>
        <w:tc>
          <w:tcPr>
            <w:tcW w:w="835" w:type="dxa"/>
            <w:tcBorders>
              <w:top w:val="single" w:sz="4" w:space="0" w:color="FFFFFF"/>
              <w:bottom w:val="single" w:sz="4" w:space="0" w:color="FFFFFF"/>
            </w:tcBorders>
            <w:shd w:val="clear" w:color="auto" w:fill="CCE2ED"/>
          </w:tcPr>
          <w:p w14:paraId="32749613" w14:textId="77777777" w:rsidR="00141B97" w:rsidRDefault="00911D63">
            <w:pPr>
              <w:pStyle w:val="TableParagraph"/>
              <w:spacing w:before="131"/>
              <w:ind w:left="133" w:right="128"/>
              <w:jc w:val="center"/>
              <w:rPr>
                <w:sz w:val="18"/>
              </w:rPr>
            </w:pPr>
            <w:r>
              <w:rPr>
                <w:spacing w:val="-4"/>
                <w:sz w:val="18"/>
              </w:rPr>
              <w:t>0.77</w:t>
            </w:r>
          </w:p>
        </w:tc>
      </w:tr>
      <w:tr w:rsidR="00141B97" w14:paraId="2D4731B8" w14:textId="77777777">
        <w:trPr>
          <w:trHeight w:val="299"/>
        </w:trPr>
        <w:tc>
          <w:tcPr>
            <w:tcW w:w="581" w:type="dxa"/>
            <w:tcBorders>
              <w:top w:val="single" w:sz="4" w:space="0" w:color="FFFFFF"/>
            </w:tcBorders>
            <w:shd w:val="clear" w:color="auto" w:fill="BFBFBF"/>
          </w:tcPr>
          <w:p w14:paraId="5F14F4BF" w14:textId="77777777" w:rsidR="00141B97" w:rsidRDefault="00141B97">
            <w:pPr>
              <w:pStyle w:val="TableParagraph"/>
              <w:rPr>
                <w:rFonts w:ascii="Times New Roman"/>
                <w:sz w:val="18"/>
              </w:rPr>
            </w:pPr>
          </w:p>
        </w:tc>
        <w:tc>
          <w:tcPr>
            <w:tcW w:w="1945" w:type="dxa"/>
            <w:tcBorders>
              <w:top w:val="single" w:sz="4" w:space="0" w:color="FFFFFF"/>
            </w:tcBorders>
            <w:shd w:val="clear" w:color="auto" w:fill="BFBFBF"/>
          </w:tcPr>
          <w:p w14:paraId="41FE1F06" w14:textId="77777777" w:rsidR="00141B97" w:rsidRDefault="00141B97">
            <w:pPr>
              <w:pStyle w:val="TableParagraph"/>
              <w:rPr>
                <w:rFonts w:ascii="Times New Roman"/>
                <w:sz w:val="18"/>
              </w:rPr>
            </w:pPr>
          </w:p>
        </w:tc>
        <w:tc>
          <w:tcPr>
            <w:tcW w:w="3897" w:type="dxa"/>
            <w:tcBorders>
              <w:top w:val="single" w:sz="4" w:space="0" w:color="FFFFFF"/>
            </w:tcBorders>
            <w:shd w:val="clear" w:color="auto" w:fill="BFBFBF"/>
          </w:tcPr>
          <w:p w14:paraId="4CF908A3" w14:textId="77777777" w:rsidR="00141B97" w:rsidRDefault="00911D63">
            <w:pPr>
              <w:pStyle w:val="TableParagraph"/>
              <w:spacing w:before="41"/>
              <w:ind w:left="109"/>
              <w:rPr>
                <w:sz w:val="18"/>
              </w:rPr>
            </w:pPr>
            <w:r>
              <w:rPr>
                <w:sz w:val="18"/>
              </w:rPr>
              <w:t>TOTAL</w:t>
            </w:r>
            <w:r>
              <w:rPr>
                <w:spacing w:val="-1"/>
                <w:sz w:val="18"/>
              </w:rPr>
              <w:t xml:space="preserve"> </w:t>
            </w:r>
            <w:r>
              <w:rPr>
                <w:sz w:val="18"/>
              </w:rPr>
              <w:t xml:space="preserve">Top 10 </w:t>
            </w:r>
            <w:r>
              <w:rPr>
                <w:spacing w:val="-2"/>
                <w:sz w:val="18"/>
              </w:rPr>
              <w:t>Rural</w:t>
            </w:r>
          </w:p>
        </w:tc>
        <w:tc>
          <w:tcPr>
            <w:tcW w:w="1295" w:type="dxa"/>
            <w:tcBorders>
              <w:top w:val="single" w:sz="4" w:space="0" w:color="FFFFFF"/>
            </w:tcBorders>
            <w:shd w:val="clear" w:color="auto" w:fill="BFBFBF"/>
          </w:tcPr>
          <w:p w14:paraId="08CD3ECB" w14:textId="77777777" w:rsidR="00141B97" w:rsidRDefault="00911D63">
            <w:pPr>
              <w:pStyle w:val="TableParagraph"/>
              <w:spacing w:before="41"/>
              <w:ind w:left="268" w:right="265"/>
              <w:jc w:val="center"/>
              <w:rPr>
                <w:sz w:val="18"/>
              </w:rPr>
            </w:pPr>
            <w:r>
              <w:rPr>
                <w:spacing w:val="-4"/>
                <w:sz w:val="18"/>
              </w:rPr>
              <w:t>3.42</w:t>
            </w:r>
          </w:p>
        </w:tc>
        <w:tc>
          <w:tcPr>
            <w:tcW w:w="1295" w:type="dxa"/>
            <w:tcBorders>
              <w:top w:val="single" w:sz="4" w:space="0" w:color="FFFFFF"/>
            </w:tcBorders>
            <w:shd w:val="clear" w:color="auto" w:fill="BFBFBF"/>
          </w:tcPr>
          <w:p w14:paraId="44EEA299" w14:textId="77777777" w:rsidR="00141B97" w:rsidRDefault="00141B97">
            <w:pPr>
              <w:pStyle w:val="TableParagraph"/>
              <w:rPr>
                <w:rFonts w:ascii="Times New Roman"/>
                <w:sz w:val="18"/>
              </w:rPr>
            </w:pPr>
          </w:p>
        </w:tc>
        <w:tc>
          <w:tcPr>
            <w:tcW w:w="1402" w:type="dxa"/>
            <w:tcBorders>
              <w:top w:val="single" w:sz="4" w:space="0" w:color="FFFFFF"/>
            </w:tcBorders>
            <w:shd w:val="clear" w:color="auto" w:fill="BFBFBF"/>
          </w:tcPr>
          <w:p w14:paraId="11E0B1E9" w14:textId="77777777" w:rsidR="00141B97" w:rsidRDefault="00141B97">
            <w:pPr>
              <w:pStyle w:val="TableParagraph"/>
              <w:rPr>
                <w:rFonts w:ascii="Times New Roman"/>
                <w:sz w:val="18"/>
              </w:rPr>
            </w:pPr>
          </w:p>
        </w:tc>
        <w:tc>
          <w:tcPr>
            <w:tcW w:w="876" w:type="dxa"/>
            <w:tcBorders>
              <w:top w:val="single" w:sz="4" w:space="0" w:color="FFFFFF"/>
            </w:tcBorders>
            <w:shd w:val="clear" w:color="auto" w:fill="BFBFBF"/>
          </w:tcPr>
          <w:p w14:paraId="7415E174" w14:textId="77777777" w:rsidR="00141B97" w:rsidRDefault="00911D63">
            <w:pPr>
              <w:pStyle w:val="TableParagraph"/>
              <w:spacing w:before="41"/>
              <w:ind w:left="128" w:right="116"/>
              <w:jc w:val="center"/>
              <w:rPr>
                <w:sz w:val="18"/>
              </w:rPr>
            </w:pPr>
            <w:r>
              <w:rPr>
                <w:spacing w:val="-4"/>
                <w:sz w:val="18"/>
              </w:rPr>
              <w:t>0.47</w:t>
            </w:r>
          </w:p>
        </w:tc>
        <w:tc>
          <w:tcPr>
            <w:tcW w:w="877" w:type="dxa"/>
            <w:tcBorders>
              <w:top w:val="single" w:sz="4" w:space="0" w:color="FFFFFF"/>
            </w:tcBorders>
            <w:shd w:val="clear" w:color="auto" w:fill="BFBFBF"/>
          </w:tcPr>
          <w:p w14:paraId="0677069F" w14:textId="77777777" w:rsidR="00141B97" w:rsidRDefault="00911D63">
            <w:pPr>
              <w:pStyle w:val="TableParagraph"/>
              <w:spacing w:before="41"/>
              <w:ind w:left="127" w:right="111"/>
              <w:jc w:val="center"/>
              <w:rPr>
                <w:sz w:val="18"/>
              </w:rPr>
            </w:pPr>
            <w:r>
              <w:rPr>
                <w:spacing w:val="-4"/>
                <w:sz w:val="18"/>
              </w:rPr>
              <w:t>0.32</w:t>
            </w:r>
          </w:p>
        </w:tc>
        <w:tc>
          <w:tcPr>
            <w:tcW w:w="877" w:type="dxa"/>
            <w:tcBorders>
              <w:top w:val="single" w:sz="4" w:space="0" w:color="FFFFFF"/>
            </w:tcBorders>
            <w:shd w:val="clear" w:color="auto" w:fill="BFBFBF"/>
          </w:tcPr>
          <w:p w14:paraId="1F45AF65" w14:textId="77777777" w:rsidR="00141B97" w:rsidRDefault="00911D63">
            <w:pPr>
              <w:pStyle w:val="TableParagraph"/>
              <w:spacing w:before="41"/>
              <w:ind w:left="132" w:right="111"/>
              <w:jc w:val="center"/>
              <w:rPr>
                <w:sz w:val="18"/>
              </w:rPr>
            </w:pPr>
            <w:r>
              <w:rPr>
                <w:spacing w:val="-4"/>
                <w:sz w:val="18"/>
              </w:rPr>
              <w:t>0.69</w:t>
            </w:r>
          </w:p>
        </w:tc>
        <w:tc>
          <w:tcPr>
            <w:tcW w:w="877" w:type="dxa"/>
            <w:tcBorders>
              <w:top w:val="single" w:sz="4" w:space="0" w:color="FFFFFF"/>
            </w:tcBorders>
            <w:shd w:val="clear" w:color="auto" w:fill="BFBFBF"/>
          </w:tcPr>
          <w:p w14:paraId="4F6680EB" w14:textId="77777777" w:rsidR="00141B97" w:rsidRDefault="00911D63">
            <w:pPr>
              <w:pStyle w:val="TableParagraph"/>
              <w:spacing w:before="41"/>
              <w:ind w:left="132" w:right="108"/>
              <w:jc w:val="center"/>
              <w:rPr>
                <w:sz w:val="18"/>
              </w:rPr>
            </w:pPr>
            <w:r>
              <w:rPr>
                <w:spacing w:val="-4"/>
                <w:sz w:val="18"/>
              </w:rPr>
              <w:t>1.15</w:t>
            </w:r>
          </w:p>
        </w:tc>
        <w:tc>
          <w:tcPr>
            <w:tcW w:w="909" w:type="dxa"/>
            <w:tcBorders>
              <w:top w:val="single" w:sz="4" w:space="0" w:color="FFFFFF"/>
            </w:tcBorders>
            <w:shd w:val="clear" w:color="auto" w:fill="BFBFBF"/>
          </w:tcPr>
          <w:p w14:paraId="2A6C9F4C" w14:textId="77777777" w:rsidR="00141B97" w:rsidRDefault="00911D63">
            <w:pPr>
              <w:pStyle w:val="TableParagraph"/>
              <w:spacing w:before="41"/>
              <w:ind w:left="140" w:right="140"/>
              <w:jc w:val="center"/>
              <w:rPr>
                <w:sz w:val="18"/>
              </w:rPr>
            </w:pPr>
            <w:r>
              <w:rPr>
                <w:spacing w:val="-4"/>
                <w:sz w:val="18"/>
              </w:rPr>
              <w:t>0.78</w:t>
            </w:r>
          </w:p>
        </w:tc>
        <w:tc>
          <w:tcPr>
            <w:tcW w:w="835" w:type="dxa"/>
            <w:tcBorders>
              <w:top w:val="single" w:sz="4" w:space="0" w:color="FFFFFF"/>
            </w:tcBorders>
            <w:shd w:val="clear" w:color="auto" w:fill="BFBFBF"/>
          </w:tcPr>
          <w:p w14:paraId="2427FDFA" w14:textId="77777777" w:rsidR="00141B97" w:rsidRDefault="00911D63">
            <w:pPr>
              <w:pStyle w:val="TableParagraph"/>
              <w:spacing w:before="41"/>
              <w:ind w:left="133" w:right="128"/>
              <w:jc w:val="center"/>
              <w:rPr>
                <w:sz w:val="18"/>
              </w:rPr>
            </w:pPr>
            <w:r>
              <w:rPr>
                <w:spacing w:val="-4"/>
                <w:sz w:val="18"/>
              </w:rPr>
              <w:t>3.42</w:t>
            </w:r>
          </w:p>
        </w:tc>
      </w:tr>
    </w:tbl>
    <w:p w14:paraId="1F4B27C7" w14:textId="77777777" w:rsidR="00141B97" w:rsidRDefault="00141B97">
      <w:pPr>
        <w:jc w:val="center"/>
        <w:rPr>
          <w:sz w:val="18"/>
        </w:rPr>
        <w:sectPr w:rsidR="00141B97">
          <w:pgSz w:w="16840" w:h="11910" w:orient="landscape"/>
          <w:pgMar w:top="820" w:right="600" w:bottom="540" w:left="300" w:header="0" w:footer="345" w:gutter="0"/>
          <w:cols w:space="720"/>
        </w:sectPr>
      </w:pPr>
    </w:p>
    <w:p w14:paraId="2141BF28" w14:textId="77777777" w:rsidR="00141B97" w:rsidRDefault="00911D63">
      <w:pPr>
        <w:pStyle w:val="BodyText"/>
        <w:spacing w:before="27"/>
        <w:ind w:left="124"/>
      </w:pPr>
      <w:r>
        <w:lastRenderedPageBreak/>
        <w:t>C3.2</w:t>
      </w:r>
      <w:r>
        <w:rPr>
          <w:spacing w:val="-6"/>
        </w:rPr>
        <w:t xml:space="preserve"> </w:t>
      </w:r>
      <w:r>
        <w:t>Top</w:t>
      </w:r>
      <w:r>
        <w:rPr>
          <w:spacing w:val="-6"/>
        </w:rPr>
        <w:t xml:space="preserve"> </w:t>
      </w:r>
      <w:r>
        <w:t>10</w:t>
      </w:r>
      <w:r>
        <w:rPr>
          <w:spacing w:val="-7"/>
        </w:rPr>
        <w:t xml:space="preserve"> </w:t>
      </w:r>
      <w:r>
        <w:t>Projects</w:t>
      </w:r>
      <w:r>
        <w:rPr>
          <w:spacing w:val="-6"/>
        </w:rPr>
        <w:t xml:space="preserve"> </w:t>
      </w:r>
      <w:r>
        <w:t>Rural</w:t>
      </w:r>
      <w:r>
        <w:rPr>
          <w:spacing w:val="-7"/>
        </w:rPr>
        <w:t xml:space="preserve"> </w:t>
      </w:r>
      <w:r>
        <w:t>Component</w:t>
      </w:r>
      <w:r>
        <w:rPr>
          <w:spacing w:val="-6"/>
        </w:rPr>
        <w:t xml:space="preserve"> </w:t>
      </w:r>
      <w:r>
        <w:t>–</w:t>
      </w:r>
      <w:r>
        <w:rPr>
          <w:spacing w:val="-6"/>
        </w:rPr>
        <w:t xml:space="preserve"> </w:t>
      </w:r>
      <w:r>
        <w:t>Alignment</w:t>
      </w:r>
      <w:r>
        <w:rPr>
          <w:spacing w:val="-6"/>
        </w:rPr>
        <w:t xml:space="preserve"> </w:t>
      </w:r>
      <w:r>
        <w:t>to</w:t>
      </w:r>
      <w:r>
        <w:rPr>
          <w:spacing w:val="-6"/>
        </w:rPr>
        <w:t xml:space="preserve"> </w:t>
      </w:r>
      <w:r>
        <w:t>Customer</w:t>
      </w:r>
      <w:r>
        <w:rPr>
          <w:spacing w:val="-6"/>
        </w:rPr>
        <w:t xml:space="preserve"> </w:t>
      </w:r>
      <w:r>
        <w:rPr>
          <w:spacing w:val="-2"/>
        </w:rPr>
        <w:t>Outcomes</w:t>
      </w:r>
    </w:p>
    <w:p w14:paraId="724F2E68" w14:textId="77777777" w:rsidR="00141B97" w:rsidRDefault="00141B97">
      <w:pPr>
        <w:pStyle w:val="BodyText"/>
        <w:spacing w:before="6"/>
        <w:rPr>
          <w:sz w:val="21"/>
        </w:rPr>
      </w:pPr>
    </w:p>
    <w:tbl>
      <w:tblPr>
        <w:tblW w:w="0" w:type="auto"/>
        <w:tblCellSpacing w:w="9" w:type="dxa"/>
        <w:tblInd w:w="160" w:type="dxa"/>
        <w:tblLayout w:type="fixed"/>
        <w:tblCellMar>
          <w:left w:w="0" w:type="dxa"/>
          <w:right w:w="0" w:type="dxa"/>
        </w:tblCellMar>
        <w:tblLook w:val="01E0" w:firstRow="1" w:lastRow="1" w:firstColumn="1" w:lastColumn="1" w:noHBand="0" w:noVBand="0"/>
      </w:tblPr>
      <w:tblGrid>
        <w:gridCol w:w="575"/>
        <w:gridCol w:w="1740"/>
        <w:gridCol w:w="1085"/>
        <w:gridCol w:w="1235"/>
        <w:gridCol w:w="1389"/>
        <w:gridCol w:w="1999"/>
        <w:gridCol w:w="2305"/>
        <w:gridCol w:w="2761"/>
        <w:gridCol w:w="2760"/>
      </w:tblGrid>
      <w:tr w:rsidR="00141B97" w14:paraId="6FFB1FD6" w14:textId="77777777">
        <w:trPr>
          <w:trHeight w:val="659"/>
          <w:tblCellSpacing w:w="9" w:type="dxa"/>
        </w:trPr>
        <w:tc>
          <w:tcPr>
            <w:tcW w:w="548" w:type="dxa"/>
            <w:tcBorders>
              <w:top w:val="nil"/>
              <w:left w:val="nil"/>
            </w:tcBorders>
            <w:shd w:val="clear" w:color="auto" w:fill="006CA3"/>
          </w:tcPr>
          <w:p w14:paraId="62B4338E" w14:textId="77777777" w:rsidR="00141B97" w:rsidRDefault="00141B97">
            <w:pPr>
              <w:pStyle w:val="TableParagraph"/>
              <w:spacing w:before="1"/>
              <w:rPr>
                <w:sz w:val="18"/>
              </w:rPr>
            </w:pPr>
          </w:p>
          <w:p w14:paraId="362ABE74" w14:textId="77777777" w:rsidR="00141B97" w:rsidRDefault="00911D63">
            <w:pPr>
              <w:pStyle w:val="TableParagraph"/>
              <w:ind w:left="111"/>
              <w:rPr>
                <w:sz w:val="18"/>
              </w:rPr>
            </w:pPr>
            <w:r>
              <w:rPr>
                <w:color w:val="FFFFFF"/>
                <w:spacing w:val="-5"/>
                <w:sz w:val="18"/>
              </w:rPr>
              <w:t>No.</w:t>
            </w:r>
          </w:p>
        </w:tc>
        <w:tc>
          <w:tcPr>
            <w:tcW w:w="1722" w:type="dxa"/>
            <w:tcBorders>
              <w:top w:val="nil"/>
            </w:tcBorders>
            <w:shd w:val="clear" w:color="auto" w:fill="006CA3"/>
          </w:tcPr>
          <w:p w14:paraId="20D94940" w14:textId="77777777" w:rsidR="00141B97" w:rsidRDefault="00141B97">
            <w:pPr>
              <w:pStyle w:val="TableParagraph"/>
              <w:spacing w:before="1"/>
              <w:rPr>
                <w:sz w:val="18"/>
              </w:rPr>
            </w:pPr>
          </w:p>
          <w:p w14:paraId="4ADBDF4F" w14:textId="77777777" w:rsidR="00141B97" w:rsidRDefault="00911D63">
            <w:pPr>
              <w:pStyle w:val="TableParagraph"/>
              <w:ind w:left="329"/>
              <w:rPr>
                <w:sz w:val="18"/>
              </w:rPr>
            </w:pPr>
            <w:r>
              <w:rPr>
                <w:color w:val="FFFFFF"/>
                <w:sz w:val="18"/>
              </w:rPr>
              <w:t>Business</w:t>
            </w:r>
            <w:r>
              <w:rPr>
                <w:color w:val="FFFFFF"/>
                <w:spacing w:val="-3"/>
                <w:sz w:val="18"/>
              </w:rPr>
              <w:t xml:space="preserve"> </w:t>
            </w:r>
            <w:r>
              <w:rPr>
                <w:color w:val="FFFFFF"/>
                <w:spacing w:val="-4"/>
                <w:sz w:val="18"/>
              </w:rPr>
              <w:t>Case</w:t>
            </w:r>
          </w:p>
        </w:tc>
        <w:tc>
          <w:tcPr>
            <w:tcW w:w="1067" w:type="dxa"/>
            <w:tcBorders>
              <w:top w:val="nil"/>
            </w:tcBorders>
            <w:shd w:val="clear" w:color="auto" w:fill="006CA3"/>
          </w:tcPr>
          <w:p w14:paraId="7012C957" w14:textId="77777777" w:rsidR="00141B97" w:rsidRDefault="00911D63">
            <w:pPr>
              <w:pStyle w:val="TableParagraph"/>
              <w:spacing w:line="220" w:lineRule="atLeast"/>
              <w:ind w:left="152" w:right="190" w:firstLine="39"/>
              <w:jc w:val="center"/>
              <w:rPr>
                <w:sz w:val="18"/>
              </w:rPr>
            </w:pPr>
            <w:r>
              <w:rPr>
                <w:color w:val="FFFFFF"/>
                <w:spacing w:val="-4"/>
                <w:sz w:val="18"/>
              </w:rPr>
              <w:t>Total</w:t>
            </w:r>
            <w:r>
              <w:rPr>
                <w:color w:val="FFFFFF"/>
                <w:sz w:val="18"/>
              </w:rPr>
              <w:t xml:space="preserve"> </w:t>
            </w:r>
            <w:r>
              <w:rPr>
                <w:color w:val="FFFFFF"/>
                <w:spacing w:val="-2"/>
                <w:sz w:val="18"/>
              </w:rPr>
              <w:t>Project</w:t>
            </w:r>
            <w:r>
              <w:rPr>
                <w:color w:val="FFFFFF"/>
                <w:sz w:val="18"/>
              </w:rPr>
              <w:t xml:space="preserve"> Cost</w:t>
            </w:r>
            <w:r>
              <w:rPr>
                <w:color w:val="FFFFFF"/>
                <w:spacing w:val="-2"/>
                <w:sz w:val="18"/>
              </w:rPr>
              <w:t xml:space="preserve"> </w:t>
            </w:r>
            <w:r>
              <w:rPr>
                <w:color w:val="FFFFFF"/>
                <w:spacing w:val="-4"/>
                <w:sz w:val="18"/>
              </w:rPr>
              <w:t>($m)</w:t>
            </w:r>
          </w:p>
        </w:tc>
        <w:tc>
          <w:tcPr>
            <w:tcW w:w="1217" w:type="dxa"/>
            <w:tcBorders>
              <w:top w:val="nil"/>
            </w:tcBorders>
            <w:shd w:val="clear" w:color="auto" w:fill="006CA3"/>
          </w:tcPr>
          <w:p w14:paraId="1BC3012C" w14:textId="77777777" w:rsidR="00141B97" w:rsidRDefault="00911D63">
            <w:pPr>
              <w:pStyle w:val="TableParagraph"/>
              <w:spacing w:before="112"/>
              <w:ind w:left="252" w:hanging="15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371" w:type="dxa"/>
            <w:tcBorders>
              <w:top w:val="nil"/>
            </w:tcBorders>
            <w:shd w:val="clear" w:color="auto" w:fill="006CA3"/>
          </w:tcPr>
          <w:p w14:paraId="2310C47C" w14:textId="77777777" w:rsidR="00141B97" w:rsidRDefault="00141B97">
            <w:pPr>
              <w:pStyle w:val="TableParagraph"/>
              <w:spacing w:before="1"/>
              <w:rPr>
                <w:sz w:val="18"/>
              </w:rPr>
            </w:pPr>
          </w:p>
          <w:p w14:paraId="554E982C" w14:textId="77777777" w:rsidR="00141B97" w:rsidRDefault="00911D63">
            <w:pPr>
              <w:pStyle w:val="TableParagraph"/>
              <w:ind w:left="100"/>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c>
          <w:tcPr>
            <w:tcW w:w="1981" w:type="dxa"/>
            <w:tcBorders>
              <w:top w:val="nil"/>
            </w:tcBorders>
            <w:shd w:val="clear" w:color="auto" w:fill="006CA3"/>
          </w:tcPr>
          <w:p w14:paraId="4330A2A1" w14:textId="77777777" w:rsidR="00141B97" w:rsidRDefault="00911D63">
            <w:pPr>
              <w:pStyle w:val="TableParagraph"/>
              <w:spacing w:before="112"/>
              <w:ind w:left="642" w:hanging="353"/>
              <w:rPr>
                <w:sz w:val="18"/>
              </w:rPr>
            </w:pPr>
            <w:r>
              <w:rPr>
                <w:color w:val="FFFFFF"/>
                <w:sz w:val="18"/>
              </w:rPr>
              <w:t>Relevant</w:t>
            </w:r>
            <w:r>
              <w:rPr>
                <w:color w:val="FFFFFF"/>
                <w:spacing w:val="-11"/>
                <w:sz w:val="18"/>
              </w:rPr>
              <w:t xml:space="preserve"> </w:t>
            </w:r>
            <w:r>
              <w:rPr>
                <w:color w:val="FFFFFF"/>
                <w:sz w:val="18"/>
              </w:rPr>
              <w:t xml:space="preserve">Customer </w:t>
            </w:r>
            <w:r>
              <w:rPr>
                <w:color w:val="FFFFFF"/>
                <w:spacing w:val="-2"/>
                <w:sz w:val="18"/>
              </w:rPr>
              <w:t>Outcome</w:t>
            </w:r>
          </w:p>
        </w:tc>
        <w:tc>
          <w:tcPr>
            <w:tcW w:w="2287" w:type="dxa"/>
            <w:tcBorders>
              <w:top w:val="nil"/>
            </w:tcBorders>
            <w:shd w:val="clear" w:color="auto" w:fill="006CA3"/>
          </w:tcPr>
          <w:p w14:paraId="3BDBE1BD" w14:textId="77777777" w:rsidR="00141B97" w:rsidRDefault="00141B97">
            <w:pPr>
              <w:pStyle w:val="TableParagraph"/>
              <w:spacing w:before="1"/>
              <w:rPr>
                <w:sz w:val="18"/>
              </w:rPr>
            </w:pPr>
          </w:p>
          <w:p w14:paraId="7D6FF509" w14:textId="77777777" w:rsidR="00141B97" w:rsidRDefault="00911D63">
            <w:pPr>
              <w:pStyle w:val="TableParagraph"/>
              <w:ind w:left="789" w:right="790"/>
              <w:jc w:val="center"/>
              <w:rPr>
                <w:sz w:val="18"/>
              </w:rPr>
            </w:pPr>
            <w:r>
              <w:rPr>
                <w:color w:val="FFFFFF"/>
                <w:spacing w:val="-2"/>
                <w:sz w:val="18"/>
              </w:rPr>
              <w:t>Objective</w:t>
            </w:r>
          </w:p>
        </w:tc>
        <w:tc>
          <w:tcPr>
            <w:tcW w:w="2743" w:type="dxa"/>
            <w:tcBorders>
              <w:top w:val="nil"/>
            </w:tcBorders>
            <w:shd w:val="clear" w:color="auto" w:fill="006CA3"/>
          </w:tcPr>
          <w:p w14:paraId="4B185141" w14:textId="77777777" w:rsidR="00141B97" w:rsidRDefault="00141B97">
            <w:pPr>
              <w:pStyle w:val="TableParagraph"/>
              <w:spacing w:before="1"/>
              <w:rPr>
                <w:sz w:val="18"/>
              </w:rPr>
            </w:pPr>
          </w:p>
          <w:p w14:paraId="7EF21588" w14:textId="77777777" w:rsidR="00141B97" w:rsidRDefault="00911D63">
            <w:pPr>
              <w:pStyle w:val="TableParagraph"/>
              <w:ind w:left="1137" w:right="1141"/>
              <w:jc w:val="center"/>
              <w:rPr>
                <w:sz w:val="18"/>
              </w:rPr>
            </w:pPr>
            <w:r>
              <w:rPr>
                <w:color w:val="FFFFFF"/>
                <w:spacing w:val="-2"/>
                <w:sz w:val="18"/>
              </w:rPr>
              <w:t>Scope</w:t>
            </w:r>
          </w:p>
        </w:tc>
        <w:tc>
          <w:tcPr>
            <w:tcW w:w="2733" w:type="dxa"/>
            <w:tcBorders>
              <w:top w:val="nil"/>
              <w:right w:val="nil"/>
            </w:tcBorders>
            <w:shd w:val="clear" w:color="auto" w:fill="006CA3"/>
          </w:tcPr>
          <w:p w14:paraId="28310A54" w14:textId="77777777" w:rsidR="00141B97" w:rsidRDefault="00141B97">
            <w:pPr>
              <w:pStyle w:val="TableParagraph"/>
              <w:spacing w:before="1"/>
              <w:rPr>
                <w:sz w:val="18"/>
              </w:rPr>
            </w:pPr>
          </w:p>
          <w:p w14:paraId="7C65FF2B" w14:textId="77777777" w:rsidR="00141B97" w:rsidRDefault="00911D63">
            <w:pPr>
              <w:pStyle w:val="TableParagraph"/>
              <w:ind w:left="931" w:right="927"/>
              <w:jc w:val="center"/>
              <w:rPr>
                <w:sz w:val="18"/>
              </w:rPr>
            </w:pPr>
            <w:r>
              <w:rPr>
                <w:color w:val="FFFFFF"/>
                <w:spacing w:val="-2"/>
                <w:sz w:val="18"/>
              </w:rPr>
              <w:t>Justification</w:t>
            </w:r>
          </w:p>
        </w:tc>
      </w:tr>
      <w:tr w:rsidR="00141B97" w14:paraId="442C33AD" w14:textId="77777777">
        <w:trPr>
          <w:trHeight w:val="2417"/>
          <w:tblCellSpacing w:w="9" w:type="dxa"/>
        </w:trPr>
        <w:tc>
          <w:tcPr>
            <w:tcW w:w="548" w:type="dxa"/>
            <w:tcBorders>
              <w:left w:val="nil"/>
            </w:tcBorders>
            <w:shd w:val="clear" w:color="auto" w:fill="CCE2ED"/>
          </w:tcPr>
          <w:p w14:paraId="10014177" w14:textId="77777777" w:rsidR="00141B97" w:rsidRDefault="00141B97">
            <w:pPr>
              <w:pStyle w:val="TableParagraph"/>
              <w:rPr>
                <w:sz w:val="18"/>
              </w:rPr>
            </w:pPr>
          </w:p>
          <w:p w14:paraId="1B393B4A" w14:textId="77777777" w:rsidR="00141B97" w:rsidRDefault="00141B97">
            <w:pPr>
              <w:pStyle w:val="TableParagraph"/>
              <w:rPr>
                <w:sz w:val="18"/>
              </w:rPr>
            </w:pPr>
          </w:p>
          <w:p w14:paraId="7DA43D2D" w14:textId="77777777" w:rsidR="00141B97" w:rsidRDefault="00141B97">
            <w:pPr>
              <w:pStyle w:val="TableParagraph"/>
              <w:rPr>
                <w:sz w:val="18"/>
              </w:rPr>
            </w:pPr>
          </w:p>
          <w:p w14:paraId="20CBE980" w14:textId="77777777" w:rsidR="00141B97" w:rsidRDefault="00141B97">
            <w:pPr>
              <w:pStyle w:val="TableParagraph"/>
              <w:rPr>
                <w:sz w:val="18"/>
              </w:rPr>
            </w:pPr>
          </w:p>
          <w:p w14:paraId="49C99A9B" w14:textId="77777777" w:rsidR="00141B97" w:rsidRDefault="00141B97">
            <w:pPr>
              <w:pStyle w:val="TableParagraph"/>
              <w:spacing w:before="1"/>
              <w:rPr>
                <w:sz w:val="18"/>
              </w:rPr>
            </w:pPr>
          </w:p>
          <w:p w14:paraId="563D149C" w14:textId="77777777" w:rsidR="00141B97" w:rsidRDefault="00911D63">
            <w:pPr>
              <w:pStyle w:val="TableParagraph"/>
              <w:ind w:left="88"/>
              <w:rPr>
                <w:sz w:val="18"/>
              </w:rPr>
            </w:pPr>
            <w:r>
              <w:rPr>
                <w:sz w:val="18"/>
              </w:rPr>
              <w:t>8</w:t>
            </w:r>
          </w:p>
        </w:tc>
        <w:tc>
          <w:tcPr>
            <w:tcW w:w="1722" w:type="dxa"/>
            <w:shd w:val="clear" w:color="auto" w:fill="CCE2ED"/>
          </w:tcPr>
          <w:p w14:paraId="004C7885" w14:textId="77777777" w:rsidR="00141B97" w:rsidRDefault="00141B97">
            <w:pPr>
              <w:pStyle w:val="TableParagraph"/>
              <w:rPr>
                <w:sz w:val="18"/>
              </w:rPr>
            </w:pPr>
          </w:p>
          <w:p w14:paraId="10B8439C" w14:textId="77777777" w:rsidR="00141B97" w:rsidRDefault="00141B97">
            <w:pPr>
              <w:pStyle w:val="TableParagraph"/>
              <w:rPr>
                <w:sz w:val="18"/>
              </w:rPr>
            </w:pPr>
          </w:p>
          <w:p w14:paraId="0806817B" w14:textId="77777777" w:rsidR="00141B97" w:rsidRDefault="00141B97">
            <w:pPr>
              <w:pStyle w:val="TableParagraph"/>
              <w:rPr>
                <w:sz w:val="18"/>
              </w:rPr>
            </w:pPr>
          </w:p>
          <w:p w14:paraId="7CA20A4D" w14:textId="77777777" w:rsidR="00141B97" w:rsidRDefault="00141B97">
            <w:pPr>
              <w:pStyle w:val="TableParagraph"/>
              <w:rPr>
                <w:sz w:val="18"/>
              </w:rPr>
            </w:pPr>
          </w:p>
          <w:p w14:paraId="6F722E54" w14:textId="77777777" w:rsidR="00141B97" w:rsidRDefault="00911D63">
            <w:pPr>
              <w:pStyle w:val="TableParagraph"/>
              <w:spacing w:before="110"/>
              <w:ind w:left="98" w:right="87"/>
              <w:rPr>
                <w:sz w:val="18"/>
              </w:rPr>
            </w:pPr>
            <w:r>
              <w:rPr>
                <w:sz w:val="18"/>
              </w:rPr>
              <w:t>Customer</w:t>
            </w:r>
            <w:r>
              <w:rPr>
                <w:spacing w:val="-11"/>
                <w:sz w:val="18"/>
              </w:rPr>
              <w:t xml:space="preserve"> </w:t>
            </w:r>
            <w:r>
              <w:rPr>
                <w:sz w:val="18"/>
              </w:rPr>
              <w:t>CRM, portal Phase 2</w:t>
            </w:r>
          </w:p>
        </w:tc>
        <w:tc>
          <w:tcPr>
            <w:tcW w:w="1067" w:type="dxa"/>
            <w:shd w:val="clear" w:color="auto" w:fill="CCE2ED"/>
          </w:tcPr>
          <w:p w14:paraId="0A683066" w14:textId="77777777" w:rsidR="00141B97" w:rsidRDefault="00141B97">
            <w:pPr>
              <w:pStyle w:val="TableParagraph"/>
              <w:rPr>
                <w:sz w:val="18"/>
              </w:rPr>
            </w:pPr>
          </w:p>
          <w:p w14:paraId="5A157179" w14:textId="77777777" w:rsidR="00141B97" w:rsidRDefault="00141B97">
            <w:pPr>
              <w:pStyle w:val="TableParagraph"/>
              <w:rPr>
                <w:sz w:val="18"/>
              </w:rPr>
            </w:pPr>
          </w:p>
          <w:p w14:paraId="03AF268C" w14:textId="77777777" w:rsidR="00141B97" w:rsidRDefault="00141B97">
            <w:pPr>
              <w:pStyle w:val="TableParagraph"/>
              <w:rPr>
                <w:sz w:val="18"/>
              </w:rPr>
            </w:pPr>
          </w:p>
          <w:p w14:paraId="71667870" w14:textId="77777777" w:rsidR="00141B97" w:rsidRDefault="00141B97">
            <w:pPr>
              <w:pStyle w:val="TableParagraph"/>
              <w:rPr>
                <w:sz w:val="18"/>
              </w:rPr>
            </w:pPr>
          </w:p>
          <w:p w14:paraId="032747A5" w14:textId="77777777" w:rsidR="00141B97" w:rsidRDefault="00141B97">
            <w:pPr>
              <w:pStyle w:val="TableParagraph"/>
              <w:spacing w:before="1"/>
              <w:rPr>
                <w:sz w:val="18"/>
              </w:rPr>
            </w:pPr>
          </w:p>
          <w:p w14:paraId="14F4283C" w14:textId="77777777" w:rsidR="00141B97" w:rsidRDefault="00911D63">
            <w:pPr>
              <w:pStyle w:val="TableParagraph"/>
              <w:ind w:right="362"/>
              <w:jc w:val="right"/>
              <w:rPr>
                <w:sz w:val="18"/>
              </w:rPr>
            </w:pPr>
            <w:r>
              <w:rPr>
                <w:spacing w:val="-4"/>
                <w:sz w:val="18"/>
              </w:rPr>
              <w:t>0.50</w:t>
            </w:r>
          </w:p>
        </w:tc>
        <w:tc>
          <w:tcPr>
            <w:tcW w:w="1217" w:type="dxa"/>
            <w:shd w:val="clear" w:color="auto" w:fill="CCE2ED"/>
          </w:tcPr>
          <w:p w14:paraId="75B84E7A" w14:textId="77777777" w:rsidR="00141B97" w:rsidRDefault="00141B97">
            <w:pPr>
              <w:pStyle w:val="TableParagraph"/>
              <w:rPr>
                <w:sz w:val="18"/>
              </w:rPr>
            </w:pPr>
          </w:p>
          <w:p w14:paraId="3AA79682" w14:textId="77777777" w:rsidR="00141B97" w:rsidRDefault="00141B97">
            <w:pPr>
              <w:pStyle w:val="TableParagraph"/>
              <w:rPr>
                <w:sz w:val="18"/>
              </w:rPr>
            </w:pPr>
          </w:p>
          <w:p w14:paraId="4A45BA30" w14:textId="77777777" w:rsidR="00141B97" w:rsidRDefault="00141B97">
            <w:pPr>
              <w:pStyle w:val="TableParagraph"/>
              <w:rPr>
                <w:sz w:val="18"/>
              </w:rPr>
            </w:pPr>
          </w:p>
          <w:p w14:paraId="7004AFC8" w14:textId="77777777" w:rsidR="00141B97" w:rsidRDefault="00141B97">
            <w:pPr>
              <w:pStyle w:val="TableParagraph"/>
              <w:rPr>
                <w:sz w:val="18"/>
              </w:rPr>
            </w:pPr>
          </w:p>
          <w:p w14:paraId="7ED87E85" w14:textId="77777777" w:rsidR="00141B97" w:rsidRDefault="00141B97">
            <w:pPr>
              <w:pStyle w:val="TableParagraph"/>
              <w:spacing w:before="1"/>
              <w:rPr>
                <w:sz w:val="18"/>
              </w:rPr>
            </w:pPr>
          </w:p>
          <w:p w14:paraId="527A9FB0" w14:textId="77777777" w:rsidR="00141B97" w:rsidRDefault="00911D63">
            <w:pPr>
              <w:pStyle w:val="TableParagraph"/>
              <w:ind w:left="211" w:right="249"/>
              <w:jc w:val="center"/>
              <w:rPr>
                <w:sz w:val="18"/>
              </w:rPr>
            </w:pPr>
            <w:r>
              <w:rPr>
                <w:spacing w:val="-2"/>
                <w:sz w:val="18"/>
              </w:rPr>
              <w:t>Corporate</w:t>
            </w:r>
          </w:p>
        </w:tc>
        <w:tc>
          <w:tcPr>
            <w:tcW w:w="1371" w:type="dxa"/>
            <w:shd w:val="clear" w:color="auto" w:fill="CCE2ED"/>
          </w:tcPr>
          <w:p w14:paraId="454D0804" w14:textId="77777777" w:rsidR="00141B97" w:rsidRDefault="00141B97">
            <w:pPr>
              <w:pStyle w:val="TableParagraph"/>
              <w:rPr>
                <w:sz w:val="18"/>
              </w:rPr>
            </w:pPr>
          </w:p>
          <w:p w14:paraId="37395C91" w14:textId="77777777" w:rsidR="00141B97" w:rsidRDefault="00141B97">
            <w:pPr>
              <w:pStyle w:val="TableParagraph"/>
              <w:rPr>
                <w:sz w:val="18"/>
              </w:rPr>
            </w:pPr>
          </w:p>
          <w:p w14:paraId="2EA0FBB9" w14:textId="77777777" w:rsidR="00141B97" w:rsidRDefault="00141B97">
            <w:pPr>
              <w:pStyle w:val="TableParagraph"/>
              <w:rPr>
                <w:sz w:val="18"/>
              </w:rPr>
            </w:pPr>
          </w:p>
          <w:p w14:paraId="70E5A1E6" w14:textId="77777777" w:rsidR="00141B97" w:rsidRDefault="00141B97">
            <w:pPr>
              <w:pStyle w:val="TableParagraph"/>
              <w:rPr>
                <w:sz w:val="18"/>
              </w:rPr>
            </w:pPr>
          </w:p>
          <w:p w14:paraId="3480EF83" w14:textId="77777777" w:rsidR="00141B97" w:rsidRDefault="00911D63">
            <w:pPr>
              <w:pStyle w:val="TableParagraph"/>
              <w:spacing w:before="110"/>
              <w:ind w:left="240" w:hanging="128"/>
              <w:rPr>
                <w:sz w:val="18"/>
              </w:rPr>
            </w:pPr>
            <w:r>
              <w:rPr>
                <w:spacing w:val="-2"/>
                <w:sz w:val="18"/>
              </w:rPr>
              <w:t>Improvements/</w:t>
            </w:r>
            <w:r>
              <w:rPr>
                <w:sz w:val="18"/>
              </w:rPr>
              <w:t xml:space="preserve"> </w:t>
            </w:r>
            <w:r>
              <w:rPr>
                <w:spacing w:val="-2"/>
                <w:sz w:val="18"/>
              </w:rPr>
              <w:t>compliance</w:t>
            </w:r>
          </w:p>
        </w:tc>
        <w:tc>
          <w:tcPr>
            <w:tcW w:w="1981" w:type="dxa"/>
            <w:shd w:val="clear" w:color="auto" w:fill="CCE2ED"/>
          </w:tcPr>
          <w:p w14:paraId="51715147" w14:textId="77777777" w:rsidR="00141B97" w:rsidRDefault="00141B97">
            <w:pPr>
              <w:pStyle w:val="TableParagraph"/>
              <w:rPr>
                <w:sz w:val="18"/>
              </w:rPr>
            </w:pPr>
          </w:p>
          <w:p w14:paraId="0347DEB9" w14:textId="77777777" w:rsidR="00141B97" w:rsidRDefault="00141B97">
            <w:pPr>
              <w:pStyle w:val="TableParagraph"/>
              <w:rPr>
                <w:sz w:val="18"/>
              </w:rPr>
            </w:pPr>
          </w:p>
          <w:p w14:paraId="77380F15" w14:textId="77777777" w:rsidR="00141B97" w:rsidRDefault="00911D63">
            <w:pPr>
              <w:pStyle w:val="TableParagraph"/>
              <w:spacing w:before="110"/>
              <w:ind w:left="97" w:right="158"/>
              <w:rPr>
                <w:sz w:val="18"/>
              </w:rPr>
            </w:pPr>
            <w:r>
              <w:rPr>
                <w:sz w:val="18"/>
              </w:rPr>
              <w:t>Provide</w:t>
            </w:r>
            <w:r>
              <w:rPr>
                <w:spacing w:val="-2"/>
                <w:sz w:val="18"/>
              </w:rPr>
              <w:t xml:space="preserve"> </w:t>
            </w:r>
            <w:r>
              <w:rPr>
                <w:sz w:val="18"/>
              </w:rPr>
              <w:t xml:space="preserve">Customer Service Avenues that are responsive to </w:t>
            </w:r>
            <w:r>
              <w:rPr>
                <w:spacing w:val="-2"/>
                <w:sz w:val="18"/>
              </w:rPr>
              <w:t>resolve</w:t>
            </w:r>
            <w:r>
              <w:rPr>
                <w:sz w:val="18"/>
              </w:rPr>
              <w:t xml:space="preserve"> </w:t>
            </w:r>
            <w:r>
              <w:rPr>
                <w:spacing w:val="-2"/>
                <w:sz w:val="18"/>
              </w:rPr>
              <w:t>requests/enquiries</w:t>
            </w:r>
            <w:r>
              <w:rPr>
                <w:sz w:val="18"/>
              </w:rPr>
              <w:t xml:space="preserve"> within</w:t>
            </w:r>
            <w:r>
              <w:rPr>
                <w:spacing w:val="-6"/>
                <w:sz w:val="18"/>
              </w:rPr>
              <w:t xml:space="preserve"> </w:t>
            </w:r>
            <w:r>
              <w:rPr>
                <w:sz w:val="18"/>
              </w:rPr>
              <w:t>the</w:t>
            </w:r>
            <w:r>
              <w:rPr>
                <w:spacing w:val="-7"/>
                <w:sz w:val="18"/>
              </w:rPr>
              <w:t xml:space="preserve"> </w:t>
            </w:r>
            <w:r>
              <w:rPr>
                <w:sz w:val="18"/>
              </w:rPr>
              <w:t>agreed</w:t>
            </w:r>
            <w:r>
              <w:rPr>
                <w:spacing w:val="-6"/>
                <w:sz w:val="18"/>
              </w:rPr>
              <w:t xml:space="preserve"> </w:t>
            </w:r>
            <w:r>
              <w:rPr>
                <w:sz w:val="18"/>
              </w:rPr>
              <w:t>KPIs</w:t>
            </w:r>
          </w:p>
        </w:tc>
        <w:tc>
          <w:tcPr>
            <w:tcW w:w="2287" w:type="dxa"/>
            <w:shd w:val="clear" w:color="auto" w:fill="CCE2ED"/>
          </w:tcPr>
          <w:p w14:paraId="3CA79B75" w14:textId="77777777" w:rsidR="00141B97" w:rsidRDefault="00911D63">
            <w:pPr>
              <w:pStyle w:val="TableParagraph"/>
              <w:ind w:left="96" w:right="35"/>
              <w:rPr>
                <w:sz w:val="18"/>
              </w:rPr>
            </w:pPr>
            <w:r>
              <w:rPr>
                <w:sz w:val="18"/>
              </w:rPr>
              <w:t>To achieve personalised services that improves customer experience, including faster response to customer</w:t>
            </w:r>
            <w:r>
              <w:rPr>
                <w:spacing w:val="-9"/>
                <w:sz w:val="18"/>
              </w:rPr>
              <w:t xml:space="preserve"> </w:t>
            </w:r>
            <w:r>
              <w:rPr>
                <w:sz w:val="18"/>
              </w:rPr>
              <w:t>requests,</w:t>
            </w:r>
            <w:r>
              <w:rPr>
                <w:spacing w:val="-9"/>
                <w:sz w:val="18"/>
              </w:rPr>
              <w:t xml:space="preserve"> </w:t>
            </w:r>
            <w:r>
              <w:rPr>
                <w:sz w:val="18"/>
              </w:rPr>
              <w:t>efficient and streamlined service delivery,</w:t>
            </w:r>
            <w:r>
              <w:rPr>
                <w:spacing w:val="-2"/>
                <w:sz w:val="18"/>
              </w:rPr>
              <w:t xml:space="preserve"> </w:t>
            </w:r>
            <w:r>
              <w:rPr>
                <w:sz w:val="18"/>
              </w:rPr>
              <w:t>improved communication and resolution of customer</w:t>
            </w:r>
          </w:p>
          <w:p w14:paraId="0503A79B" w14:textId="77777777" w:rsidR="00141B97" w:rsidRDefault="00911D63">
            <w:pPr>
              <w:pStyle w:val="TableParagraph"/>
              <w:spacing w:line="220" w:lineRule="atLeast"/>
              <w:ind w:left="96" w:right="183"/>
              <w:rPr>
                <w:sz w:val="18"/>
              </w:rPr>
            </w:pPr>
            <w:r>
              <w:rPr>
                <w:sz w:val="18"/>
              </w:rPr>
              <w:t>issues,</w:t>
            </w:r>
            <w:r>
              <w:rPr>
                <w:spacing w:val="-6"/>
                <w:sz w:val="18"/>
              </w:rPr>
              <w:t xml:space="preserve"> </w:t>
            </w:r>
            <w:r>
              <w:rPr>
                <w:sz w:val="18"/>
              </w:rPr>
              <w:t>and</w:t>
            </w:r>
            <w:r>
              <w:rPr>
                <w:spacing w:val="-6"/>
                <w:sz w:val="18"/>
              </w:rPr>
              <w:t xml:space="preserve"> </w:t>
            </w:r>
            <w:r>
              <w:rPr>
                <w:sz w:val="18"/>
              </w:rPr>
              <w:t>improved</w:t>
            </w:r>
            <w:r>
              <w:rPr>
                <w:spacing w:val="-7"/>
                <w:sz w:val="18"/>
              </w:rPr>
              <w:t xml:space="preserve"> </w:t>
            </w:r>
            <w:r>
              <w:rPr>
                <w:sz w:val="18"/>
              </w:rPr>
              <w:t>level of trust with LMW</w:t>
            </w:r>
          </w:p>
        </w:tc>
        <w:tc>
          <w:tcPr>
            <w:tcW w:w="2743" w:type="dxa"/>
            <w:shd w:val="clear" w:color="auto" w:fill="CCE2ED"/>
          </w:tcPr>
          <w:p w14:paraId="78419F73" w14:textId="77777777" w:rsidR="00141B97" w:rsidRDefault="00141B97">
            <w:pPr>
              <w:pStyle w:val="TableParagraph"/>
              <w:rPr>
                <w:sz w:val="18"/>
              </w:rPr>
            </w:pPr>
          </w:p>
          <w:p w14:paraId="088EFD2F" w14:textId="77777777" w:rsidR="00141B97" w:rsidRDefault="00911D63">
            <w:pPr>
              <w:pStyle w:val="TableParagraph"/>
              <w:ind w:left="95" w:right="101"/>
              <w:rPr>
                <w:sz w:val="18"/>
              </w:rPr>
            </w:pPr>
            <w:r>
              <w:rPr>
                <w:sz w:val="18"/>
              </w:rPr>
              <w:t>Customer journey and service modelling, customer service process redesign, continuous</w:t>
            </w:r>
            <w:r>
              <w:rPr>
                <w:spacing w:val="80"/>
                <w:sz w:val="18"/>
              </w:rPr>
              <w:t xml:space="preserve"> </w:t>
            </w:r>
            <w:r>
              <w:rPr>
                <w:sz w:val="18"/>
              </w:rPr>
              <w:t>uplift</w:t>
            </w:r>
            <w:r>
              <w:rPr>
                <w:spacing w:val="-4"/>
                <w:sz w:val="18"/>
              </w:rPr>
              <w:t xml:space="preserve"> </w:t>
            </w:r>
            <w:r>
              <w:rPr>
                <w:sz w:val="18"/>
              </w:rPr>
              <w:t>of</w:t>
            </w:r>
            <w:r>
              <w:rPr>
                <w:spacing w:val="-3"/>
                <w:sz w:val="18"/>
              </w:rPr>
              <w:t xml:space="preserve"> </w:t>
            </w:r>
            <w:r>
              <w:rPr>
                <w:sz w:val="18"/>
              </w:rPr>
              <w:t>CRM</w:t>
            </w:r>
            <w:r>
              <w:rPr>
                <w:spacing w:val="-3"/>
                <w:sz w:val="18"/>
              </w:rPr>
              <w:t xml:space="preserve"> </w:t>
            </w:r>
            <w:r>
              <w:rPr>
                <w:sz w:val="18"/>
              </w:rPr>
              <w:t>and</w:t>
            </w:r>
            <w:r>
              <w:rPr>
                <w:spacing w:val="35"/>
                <w:sz w:val="18"/>
              </w:rPr>
              <w:t xml:space="preserve"> </w:t>
            </w:r>
            <w:r>
              <w:rPr>
                <w:sz w:val="18"/>
              </w:rPr>
              <w:t>Customer</w:t>
            </w:r>
            <w:r>
              <w:rPr>
                <w:spacing w:val="-3"/>
                <w:sz w:val="18"/>
              </w:rPr>
              <w:t xml:space="preserve"> </w:t>
            </w:r>
            <w:r>
              <w:rPr>
                <w:sz w:val="18"/>
              </w:rPr>
              <w:t>Portal capabilities (e.g. online payments, outage notification, online requests, additional advanced capabilities), internal and external change management</w:t>
            </w:r>
          </w:p>
        </w:tc>
        <w:tc>
          <w:tcPr>
            <w:tcW w:w="2733" w:type="dxa"/>
            <w:tcBorders>
              <w:right w:val="nil"/>
            </w:tcBorders>
            <w:shd w:val="clear" w:color="auto" w:fill="CCE2ED"/>
          </w:tcPr>
          <w:p w14:paraId="7093B808" w14:textId="77777777" w:rsidR="00141B97" w:rsidRDefault="00911D63">
            <w:pPr>
              <w:pStyle w:val="TableParagraph"/>
              <w:ind w:left="95" w:right="166"/>
              <w:rPr>
                <w:sz w:val="18"/>
              </w:rPr>
            </w:pPr>
            <w:r>
              <w:rPr>
                <w:sz w:val="18"/>
              </w:rPr>
              <w:t>Increased customer expectation are driving improvement, including need to clarify services provided to customers, improve ability to monitor and measure service requests. improve efficiency</w:t>
            </w:r>
            <w:r>
              <w:rPr>
                <w:spacing w:val="-5"/>
                <w:sz w:val="18"/>
              </w:rPr>
              <w:t xml:space="preserve"> </w:t>
            </w:r>
            <w:r>
              <w:rPr>
                <w:sz w:val="18"/>
              </w:rPr>
              <w:t>of</w:t>
            </w:r>
            <w:r>
              <w:rPr>
                <w:spacing w:val="-4"/>
                <w:sz w:val="18"/>
              </w:rPr>
              <w:t xml:space="preserve"> </w:t>
            </w:r>
            <w:r>
              <w:rPr>
                <w:sz w:val="18"/>
              </w:rPr>
              <w:t>manual</w:t>
            </w:r>
            <w:r>
              <w:rPr>
                <w:spacing w:val="-5"/>
                <w:sz w:val="18"/>
              </w:rPr>
              <w:t xml:space="preserve"> </w:t>
            </w:r>
            <w:r>
              <w:rPr>
                <w:sz w:val="18"/>
              </w:rPr>
              <w:t>and</w:t>
            </w:r>
            <w:r>
              <w:rPr>
                <w:spacing w:val="-4"/>
                <w:sz w:val="18"/>
              </w:rPr>
              <w:t xml:space="preserve"> </w:t>
            </w:r>
            <w:r>
              <w:rPr>
                <w:sz w:val="18"/>
              </w:rPr>
              <w:t>complex processes, resolve system limitations causing inefficiencies</w:t>
            </w:r>
          </w:p>
          <w:p w14:paraId="6E080171" w14:textId="77777777" w:rsidR="00141B97" w:rsidRDefault="00911D63">
            <w:pPr>
              <w:pStyle w:val="TableParagraph"/>
              <w:spacing w:line="220" w:lineRule="atLeast"/>
              <w:ind w:left="95" w:right="166"/>
              <w:rPr>
                <w:sz w:val="18"/>
              </w:rPr>
            </w:pPr>
            <w:r>
              <w:rPr>
                <w:sz w:val="18"/>
              </w:rPr>
              <w:t>and employee frustration, and improve</w:t>
            </w:r>
            <w:r>
              <w:rPr>
                <w:spacing w:val="-8"/>
                <w:sz w:val="18"/>
              </w:rPr>
              <w:t xml:space="preserve"> </w:t>
            </w:r>
            <w:r>
              <w:rPr>
                <w:sz w:val="18"/>
              </w:rPr>
              <w:t>process</w:t>
            </w:r>
            <w:r>
              <w:rPr>
                <w:spacing w:val="-9"/>
                <w:sz w:val="18"/>
              </w:rPr>
              <w:t xml:space="preserve"> </w:t>
            </w:r>
            <w:r>
              <w:rPr>
                <w:sz w:val="18"/>
              </w:rPr>
              <w:t>documentation.</w:t>
            </w:r>
          </w:p>
        </w:tc>
      </w:tr>
      <w:tr w:rsidR="00141B97" w14:paraId="0F08925C" w14:textId="77777777">
        <w:trPr>
          <w:trHeight w:val="1963"/>
          <w:tblCellSpacing w:w="9" w:type="dxa"/>
        </w:trPr>
        <w:tc>
          <w:tcPr>
            <w:tcW w:w="548" w:type="dxa"/>
            <w:tcBorders>
              <w:left w:val="nil"/>
            </w:tcBorders>
            <w:shd w:val="clear" w:color="auto" w:fill="CCE2ED"/>
          </w:tcPr>
          <w:p w14:paraId="6EC755C7" w14:textId="77777777" w:rsidR="00141B97" w:rsidRDefault="00911D63">
            <w:pPr>
              <w:pStyle w:val="TableParagraph"/>
              <w:ind w:left="88"/>
              <w:rPr>
                <w:sz w:val="18"/>
              </w:rPr>
            </w:pPr>
            <w:r>
              <w:rPr>
                <w:sz w:val="18"/>
              </w:rPr>
              <w:t>9</w:t>
            </w:r>
          </w:p>
        </w:tc>
        <w:tc>
          <w:tcPr>
            <w:tcW w:w="1722" w:type="dxa"/>
            <w:shd w:val="clear" w:color="auto" w:fill="CCE2ED"/>
          </w:tcPr>
          <w:p w14:paraId="70329CA4" w14:textId="77777777" w:rsidR="00141B97" w:rsidRDefault="00911D63">
            <w:pPr>
              <w:pStyle w:val="TableParagraph"/>
              <w:ind w:left="98"/>
              <w:rPr>
                <w:sz w:val="18"/>
              </w:rPr>
            </w:pPr>
            <w:r>
              <w:rPr>
                <w:spacing w:val="-2"/>
                <w:sz w:val="18"/>
              </w:rPr>
              <w:t>Robinvale</w:t>
            </w:r>
            <w:r>
              <w:rPr>
                <w:sz w:val="18"/>
              </w:rPr>
              <w:t xml:space="preserve"> </w:t>
            </w:r>
            <w:r>
              <w:rPr>
                <w:spacing w:val="-2"/>
                <w:sz w:val="18"/>
              </w:rPr>
              <w:t>Decommissioning</w:t>
            </w:r>
          </w:p>
        </w:tc>
        <w:tc>
          <w:tcPr>
            <w:tcW w:w="1067" w:type="dxa"/>
            <w:shd w:val="clear" w:color="auto" w:fill="CCE2ED"/>
          </w:tcPr>
          <w:p w14:paraId="60B02867" w14:textId="77777777" w:rsidR="00141B97" w:rsidRDefault="00911D63">
            <w:pPr>
              <w:pStyle w:val="TableParagraph"/>
              <w:ind w:right="362"/>
              <w:jc w:val="right"/>
              <w:rPr>
                <w:sz w:val="18"/>
              </w:rPr>
            </w:pPr>
            <w:r>
              <w:rPr>
                <w:spacing w:val="-4"/>
                <w:sz w:val="18"/>
              </w:rPr>
              <w:t>2.15</w:t>
            </w:r>
          </w:p>
        </w:tc>
        <w:tc>
          <w:tcPr>
            <w:tcW w:w="1217" w:type="dxa"/>
            <w:shd w:val="clear" w:color="auto" w:fill="CCE2ED"/>
          </w:tcPr>
          <w:p w14:paraId="610AD5C0" w14:textId="77777777" w:rsidR="00141B97" w:rsidRDefault="00911D63">
            <w:pPr>
              <w:pStyle w:val="TableParagraph"/>
              <w:ind w:left="211" w:right="212"/>
              <w:jc w:val="center"/>
              <w:rPr>
                <w:sz w:val="18"/>
              </w:rPr>
            </w:pPr>
            <w:r>
              <w:rPr>
                <w:spacing w:val="-2"/>
                <w:sz w:val="18"/>
              </w:rPr>
              <w:t>Irrigation</w:t>
            </w:r>
          </w:p>
        </w:tc>
        <w:tc>
          <w:tcPr>
            <w:tcW w:w="1371" w:type="dxa"/>
            <w:shd w:val="clear" w:color="auto" w:fill="CCE2ED"/>
          </w:tcPr>
          <w:p w14:paraId="77B71AE3" w14:textId="77777777" w:rsidR="00141B97" w:rsidRDefault="00141B97">
            <w:pPr>
              <w:pStyle w:val="TableParagraph"/>
              <w:rPr>
                <w:sz w:val="18"/>
              </w:rPr>
            </w:pPr>
          </w:p>
          <w:p w14:paraId="468F6522" w14:textId="77777777" w:rsidR="00141B97" w:rsidRDefault="00141B97">
            <w:pPr>
              <w:pStyle w:val="TableParagraph"/>
              <w:rPr>
                <w:sz w:val="18"/>
              </w:rPr>
            </w:pPr>
          </w:p>
          <w:p w14:paraId="0627AE22" w14:textId="77777777" w:rsidR="00141B97" w:rsidRDefault="00141B97">
            <w:pPr>
              <w:pStyle w:val="TableParagraph"/>
              <w:spacing w:before="6"/>
              <w:rPr>
                <w:sz w:val="26"/>
              </w:rPr>
            </w:pPr>
          </w:p>
          <w:p w14:paraId="3B500D97" w14:textId="77777777" w:rsidR="00141B97" w:rsidRDefault="00911D63">
            <w:pPr>
              <w:pStyle w:val="TableParagraph"/>
              <w:ind w:left="240" w:hanging="128"/>
              <w:rPr>
                <w:sz w:val="18"/>
              </w:rPr>
            </w:pPr>
            <w:r>
              <w:rPr>
                <w:spacing w:val="-2"/>
                <w:sz w:val="18"/>
              </w:rPr>
              <w:t>Improvements/</w:t>
            </w:r>
            <w:r>
              <w:rPr>
                <w:sz w:val="18"/>
              </w:rPr>
              <w:t xml:space="preserve"> </w:t>
            </w:r>
            <w:r>
              <w:rPr>
                <w:spacing w:val="-2"/>
                <w:sz w:val="18"/>
              </w:rPr>
              <w:t>compliance</w:t>
            </w:r>
          </w:p>
        </w:tc>
        <w:tc>
          <w:tcPr>
            <w:tcW w:w="1981" w:type="dxa"/>
            <w:shd w:val="clear" w:color="auto" w:fill="CCE2ED"/>
          </w:tcPr>
          <w:p w14:paraId="09263F63" w14:textId="77777777" w:rsidR="00141B97" w:rsidRDefault="00141B97">
            <w:pPr>
              <w:pStyle w:val="TableParagraph"/>
              <w:rPr>
                <w:sz w:val="18"/>
              </w:rPr>
            </w:pPr>
          </w:p>
          <w:p w14:paraId="1B5A712A" w14:textId="77777777" w:rsidR="00141B97" w:rsidRDefault="00141B97">
            <w:pPr>
              <w:pStyle w:val="TableParagraph"/>
              <w:rPr>
                <w:sz w:val="18"/>
              </w:rPr>
            </w:pPr>
          </w:p>
          <w:p w14:paraId="77B41492" w14:textId="77777777" w:rsidR="00141B97" w:rsidRDefault="00141B97">
            <w:pPr>
              <w:pStyle w:val="TableParagraph"/>
              <w:spacing w:before="6"/>
              <w:rPr>
                <w:sz w:val="17"/>
              </w:rPr>
            </w:pPr>
          </w:p>
          <w:p w14:paraId="52862DB5" w14:textId="77777777" w:rsidR="00141B97" w:rsidRDefault="00911D63">
            <w:pPr>
              <w:pStyle w:val="TableParagraph"/>
              <w:ind w:left="97" w:right="158"/>
              <w:rPr>
                <w:sz w:val="18"/>
              </w:rPr>
            </w:pPr>
            <w:r>
              <w:rPr>
                <w:sz w:val="18"/>
              </w:rPr>
              <w:t>Services</w:t>
            </w:r>
            <w:r>
              <w:rPr>
                <w:spacing w:val="-2"/>
                <w:sz w:val="18"/>
              </w:rPr>
              <w:t xml:space="preserve"> </w:t>
            </w:r>
            <w:r>
              <w:rPr>
                <w:sz w:val="18"/>
              </w:rPr>
              <w:t>provide customers</w:t>
            </w:r>
            <w:r>
              <w:rPr>
                <w:spacing w:val="-9"/>
                <w:sz w:val="18"/>
              </w:rPr>
              <w:t xml:space="preserve"> </w:t>
            </w:r>
            <w:r>
              <w:rPr>
                <w:sz w:val="18"/>
              </w:rPr>
              <w:t>value</w:t>
            </w:r>
            <w:r>
              <w:rPr>
                <w:spacing w:val="-10"/>
                <w:sz w:val="18"/>
              </w:rPr>
              <w:t xml:space="preserve"> </w:t>
            </w:r>
            <w:r>
              <w:rPr>
                <w:sz w:val="18"/>
              </w:rPr>
              <w:t xml:space="preserve">for </w:t>
            </w:r>
            <w:r>
              <w:rPr>
                <w:spacing w:val="-2"/>
                <w:sz w:val="18"/>
              </w:rPr>
              <w:t>money</w:t>
            </w:r>
          </w:p>
        </w:tc>
        <w:tc>
          <w:tcPr>
            <w:tcW w:w="2287" w:type="dxa"/>
            <w:shd w:val="clear" w:color="auto" w:fill="CCE2ED"/>
          </w:tcPr>
          <w:p w14:paraId="00945E96" w14:textId="77777777" w:rsidR="00141B97" w:rsidRDefault="00141B97">
            <w:pPr>
              <w:pStyle w:val="TableParagraph"/>
              <w:rPr>
                <w:sz w:val="18"/>
              </w:rPr>
            </w:pPr>
          </w:p>
          <w:p w14:paraId="56FD4E33" w14:textId="77777777" w:rsidR="00141B97" w:rsidRDefault="00141B97">
            <w:pPr>
              <w:pStyle w:val="TableParagraph"/>
              <w:rPr>
                <w:sz w:val="18"/>
              </w:rPr>
            </w:pPr>
          </w:p>
          <w:p w14:paraId="4EADCCB9" w14:textId="77777777" w:rsidR="00141B97" w:rsidRDefault="00141B97">
            <w:pPr>
              <w:pStyle w:val="TableParagraph"/>
              <w:spacing w:before="6"/>
              <w:rPr>
                <w:sz w:val="17"/>
              </w:rPr>
            </w:pPr>
          </w:p>
          <w:p w14:paraId="7C93C479" w14:textId="77777777" w:rsidR="00141B97" w:rsidRDefault="00911D63">
            <w:pPr>
              <w:pStyle w:val="TableParagraph"/>
              <w:ind w:left="96"/>
              <w:rPr>
                <w:sz w:val="18"/>
              </w:rPr>
            </w:pPr>
            <w:r>
              <w:rPr>
                <w:sz w:val="18"/>
              </w:rPr>
              <w:t>To</w:t>
            </w:r>
            <w:r>
              <w:rPr>
                <w:spacing w:val="-5"/>
                <w:sz w:val="18"/>
              </w:rPr>
              <w:t xml:space="preserve"> </w:t>
            </w:r>
            <w:r>
              <w:rPr>
                <w:sz w:val="18"/>
              </w:rPr>
              <w:t>eliminate</w:t>
            </w:r>
            <w:r>
              <w:rPr>
                <w:spacing w:val="-4"/>
                <w:sz w:val="18"/>
              </w:rPr>
              <w:t xml:space="preserve"> </w:t>
            </w:r>
            <w:r>
              <w:rPr>
                <w:sz w:val="18"/>
              </w:rPr>
              <w:t>or</w:t>
            </w:r>
            <w:r>
              <w:rPr>
                <w:spacing w:val="-4"/>
                <w:sz w:val="18"/>
              </w:rPr>
              <w:t xml:space="preserve"> </w:t>
            </w:r>
            <w:r>
              <w:rPr>
                <w:sz w:val="18"/>
              </w:rPr>
              <w:t>reduce</w:t>
            </w:r>
            <w:r>
              <w:rPr>
                <w:spacing w:val="-5"/>
                <w:sz w:val="18"/>
              </w:rPr>
              <w:t xml:space="preserve"> </w:t>
            </w:r>
            <w:r>
              <w:rPr>
                <w:sz w:val="18"/>
              </w:rPr>
              <w:t>risks associated with redundant aging</w:t>
            </w:r>
            <w:r>
              <w:rPr>
                <w:spacing w:val="-2"/>
                <w:sz w:val="18"/>
              </w:rPr>
              <w:t xml:space="preserve"> </w:t>
            </w:r>
            <w:r>
              <w:rPr>
                <w:sz w:val="18"/>
              </w:rPr>
              <w:t>assets</w:t>
            </w:r>
          </w:p>
        </w:tc>
        <w:tc>
          <w:tcPr>
            <w:tcW w:w="2743" w:type="dxa"/>
            <w:shd w:val="clear" w:color="auto" w:fill="CCE2ED"/>
          </w:tcPr>
          <w:p w14:paraId="4BE54C0B" w14:textId="77777777" w:rsidR="00141B97" w:rsidRDefault="00141B97">
            <w:pPr>
              <w:pStyle w:val="TableParagraph"/>
              <w:spacing w:before="5"/>
              <w:rPr>
                <w:sz w:val="26"/>
              </w:rPr>
            </w:pPr>
          </w:p>
          <w:p w14:paraId="36A32607" w14:textId="77777777" w:rsidR="00141B97" w:rsidRDefault="00911D63">
            <w:pPr>
              <w:pStyle w:val="TableParagraph"/>
              <w:ind w:left="95" w:right="111"/>
              <w:rPr>
                <w:sz w:val="18"/>
              </w:rPr>
            </w:pPr>
            <w:r>
              <w:rPr>
                <w:sz w:val="18"/>
              </w:rPr>
              <w:t>Decommissioning of a selected section of redundant channel, redundant</w:t>
            </w:r>
            <w:r>
              <w:rPr>
                <w:spacing w:val="-5"/>
                <w:sz w:val="18"/>
              </w:rPr>
              <w:t xml:space="preserve"> </w:t>
            </w:r>
            <w:r>
              <w:rPr>
                <w:sz w:val="18"/>
              </w:rPr>
              <w:t>pump</w:t>
            </w:r>
            <w:r>
              <w:rPr>
                <w:spacing w:val="-6"/>
                <w:sz w:val="18"/>
              </w:rPr>
              <w:t xml:space="preserve"> </w:t>
            </w:r>
            <w:r>
              <w:rPr>
                <w:sz w:val="18"/>
              </w:rPr>
              <w:t>stations</w:t>
            </w:r>
            <w:r>
              <w:rPr>
                <w:spacing w:val="-5"/>
                <w:sz w:val="18"/>
              </w:rPr>
              <w:t xml:space="preserve"> </w:t>
            </w:r>
            <w:r>
              <w:rPr>
                <w:sz w:val="18"/>
              </w:rPr>
              <w:t xml:space="preserve">(Main and re‐lift pump stations) and suction line of the main pump </w:t>
            </w:r>
            <w:r>
              <w:rPr>
                <w:spacing w:val="-2"/>
                <w:sz w:val="18"/>
              </w:rPr>
              <w:t>station.</w:t>
            </w:r>
          </w:p>
        </w:tc>
        <w:tc>
          <w:tcPr>
            <w:tcW w:w="2733" w:type="dxa"/>
            <w:tcBorders>
              <w:right w:val="nil"/>
            </w:tcBorders>
            <w:shd w:val="clear" w:color="auto" w:fill="CCE2ED"/>
          </w:tcPr>
          <w:p w14:paraId="2BF6A0D4" w14:textId="77777777" w:rsidR="00141B97" w:rsidRDefault="00141B97">
            <w:pPr>
              <w:pStyle w:val="TableParagraph"/>
              <w:spacing w:before="5"/>
              <w:rPr>
                <w:sz w:val="26"/>
              </w:rPr>
            </w:pPr>
          </w:p>
          <w:p w14:paraId="2F84A707" w14:textId="77777777" w:rsidR="00141B97" w:rsidRDefault="00911D63">
            <w:pPr>
              <w:pStyle w:val="TableParagraph"/>
              <w:ind w:left="95" w:right="89"/>
              <w:rPr>
                <w:sz w:val="18"/>
              </w:rPr>
            </w:pPr>
            <w:r>
              <w:rPr>
                <w:sz w:val="18"/>
              </w:rPr>
              <w:t>The redundant aging assets pose safety risk to the public and LMW staff. Decommissioning of those assets will eliminate/minimise the safety</w:t>
            </w:r>
            <w:r>
              <w:rPr>
                <w:spacing w:val="-4"/>
                <w:sz w:val="18"/>
              </w:rPr>
              <w:t xml:space="preserve"> </w:t>
            </w:r>
            <w:r>
              <w:rPr>
                <w:sz w:val="18"/>
              </w:rPr>
              <w:t>risk</w:t>
            </w:r>
            <w:r>
              <w:rPr>
                <w:spacing w:val="-4"/>
                <w:sz w:val="18"/>
              </w:rPr>
              <w:t xml:space="preserve"> </w:t>
            </w:r>
            <w:r>
              <w:rPr>
                <w:sz w:val="18"/>
              </w:rPr>
              <w:t>and</w:t>
            </w:r>
            <w:r>
              <w:rPr>
                <w:spacing w:val="-4"/>
                <w:sz w:val="18"/>
              </w:rPr>
              <w:t xml:space="preserve"> </w:t>
            </w:r>
            <w:r>
              <w:rPr>
                <w:sz w:val="18"/>
              </w:rPr>
              <w:t>improve</w:t>
            </w:r>
            <w:r>
              <w:rPr>
                <w:spacing w:val="-4"/>
                <w:sz w:val="18"/>
              </w:rPr>
              <w:t xml:space="preserve"> </w:t>
            </w:r>
            <w:r>
              <w:rPr>
                <w:sz w:val="18"/>
              </w:rPr>
              <w:t>amenity</w:t>
            </w:r>
            <w:r>
              <w:rPr>
                <w:spacing w:val="-5"/>
                <w:sz w:val="18"/>
              </w:rPr>
              <w:t xml:space="preserve"> </w:t>
            </w:r>
            <w:r>
              <w:rPr>
                <w:sz w:val="18"/>
              </w:rPr>
              <w:t>of the surrounding environment.</w:t>
            </w:r>
          </w:p>
        </w:tc>
      </w:tr>
      <w:tr w:rsidR="00141B97" w14:paraId="59BDEDE5" w14:textId="77777777">
        <w:trPr>
          <w:trHeight w:val="2880"/>
          <w:tblCellSpacing w:w="9" w:type="dxa"/>
        </w:trPr>
        <w:tc>
          <w:tcPr>
            <w:tcW w:w="548" w:type="dxa"/>
            <w:tcBorders>
              <w:left w:val="nil"/>
              <w:bottom w:val="nil"/>
            </w:tcBorders>
            <w:shd w:val="clear" w:color="auto" w:fill="CCE2ED"/>
          </w:tcPr>
          <w:p w14:paraId="56E38C97" w14:textId="77777777" w:rsidR="00141B97" w:rsidRDefault="00141B97">
            <w:pPr>
              <w:pStyle w:val="TableParagraph"/>
              <w:rPr>
                <w:sz w:val="18"/>
              </w:rPr>
            </w:pPr>
          </w:p>
          <w:p w14:paraId="72956D65" w14:textId="77777777" w:rsidR="00141B97" w:rsidRDefault="00141B97">
            <w:pPr>
              <w:pStyle w:val="TableParagraph"/>
              <w:rPr>
                <w:sz w:val="18"/>
              </w:rPr>
            </w:pPr>
          </w:p>
          <w:p w14:paraId="6992B526" w14:textId="77777777" w:rsidR="00141B97" w:rsidRDefault="00141B97">
            <w:pPr>
              <w:pStyle w:val="TableParagraph"/>
              <w:rPr>
                <w:sz w:val="18"/>
              </w:rPr>
            </w:pPr>
          </w:p>
          <w:p w14:paraId="3C3C5D94" w14:textId="77777777" w:rsidR="00141B97" w:rsidRDefault="00141B97">
            <w:pPr>
              <w:pStyle w:val="TableParagraph"/>
              <w:rPr>
                <w:sz w:val="18"/>
              </w:rPr>
            </w:pPr>
          </w:p>
          <w:p w14:paraId="72DECA62" w14:textId="77777777" w:rsidR="00141B97" w:rsidRDefault="00141B97">
            <w:pPr>
              <w:pStyle w:val="TableParagraph"/>
              <w:rPr>
                <w:sz w:val="18"/>
              </w:rPr>
            </w:pPr>
          </w:p>
          <w:p w14:paraId="680706B6" w14:textId="77777777" w:rsidR="00141B97" w:rsidRDefault="00141B97">
            <w:pPr>
              <w:pStyle w:val="TableParagraph"/>
              <w:spacing w:before="1"/>
              <w:rPr>
                <w:sz w:val="19"/>
              </w:rPr>
            </w:pPr>
          </w:p>
          <w:p w14:paraId="709970B8" w14:textId="77777777" w:rsidR="00141B97" w:rsidRDefault="00911D63">
            <w:pPr>
              <w:pStyle w:val="TableParagraph"/>
              <w:ind w:left="88"/>
              <w:rPr>
                <w:sz w:val="18"/>
              </w:rPr>
            </w:pPr>
            <w:r>
              <w:rPr>
                <w:spacing w:val="-5"/>
                <w:sz w:val="18"/>
              </w:rPr>
              <w:t>10</w:t>
            </w:r>
          </w:p>
        </w:tc>
        <w:tc>
          <w:tcPr>
            <w:tcW w:w="1722" w:type="dxa"/>
            <w:tcBorders>
              <w:bottom w:val="nil"/>
            </w:tcBorders>
            <w:shd w:val="clear" w:color="auto" w:fill="CCE2ED"/>
          </w:tcPr>
          <w:p w14:paraId="498645AB" w14:textId="77777777" w:rsidR="00141B97" w:rsidRDefault="00141B97">
            <w:pPr>
              <w:pStyle w:val="TableParagraph"/>
              <w:rPr>
                <w:sz w:val="18"/>
              </w:rPr>
            </w:pPr>
          </w:p>
          <w:p w14:paraId="3F2B90A8" w14:textId="77777777" w:rsidR="00141B97" w:rsidRDefault="00141B97">
            <w:pPr>
              <w:pStyle w:val="TableParagraph"/>
              <w:rPr>
                <w:sz w:val="18"/>
              </w:rPr>
            </w:pPr>
          </w:p>
          <w:p w14:paraId="05594737" w14:textId="77777777" w:rsidR="00141B97" w:rsidRDefault="00141B97">
            <w:pPr>
              <w:pStyle w:val="TableParagraph"/>
              <w:rPr>
                <w:sz w:val="18"/>
              </w:rPr>
            </w:pPr>
          </w:p>
          <w:p w14:paraId="4D0DB5B6" w14:textId="77777777" w:rsidR="00141B97" w:rsidRDefault="00141B97">
            <w:pPr>
              <w:pStyle w:val="TableParagraph"/>
              <w:rPr>
                <w:sz w:val="18"/>
              </w:rPr>
            </w:pPr>
          </w:p>
          <w:p w14:paraId="2200F1D1" w14:textId="77777777" w:rsidR="00141B97" w:rsidRDefault="00141B97">
            <w:pPr>
              <w:pStyle w:val="TableParagraph"/>
              <w:rPr>
                <w:sz w:val="18"/>
              </w:rPr>
            </w:pPr>
          </w:p>
          <w:p w14:paraId="1949AB95" w14:textId="77777777" w:rsidR="00141B97" w:rsidRDefault="00911D63">
            <w:pPr>
              <w:pStyle w:val="TableParagraph"/>
              <w:spacing w:before="122"/>
              <w:ind w:left="98"/>
              <w:rPr>
                <w:sz w:val="18"/>
              </w:rPr>
            </w:pPr>
            <w:r>
              <w:rPr>
                <w:sz w:val="18"/>
              </w:rPr>
              <w:t>Asset</w:t>
            </w:r>
            <w:r>
              <w:rPr>
                <w:spacing w:val="-11"/>
                <w:sz w:val="18"/>
              </w:rPr>
              <w:t xml:space="preserve"> </w:t>
            </w:r>
            <w:r>
              <w:rPr>
                <w:sz w:val="18"/>
              </w:rPr>
              <w:t>Management Platform uplift</w:t>
            </w:r>
          </w:p>
        </w:tc>
        <w:tc>
          <w:tcPr>
            <w:tcW w:w="1067" w:type="dxa"/>
            <w:tcBorders>
              <w:bottom w:val="nil"/>
            </w:tcBorders>
            <w:shd w:val="clear" w:color="auto" w:fill="CCE2ED"/>
          </w:tcPr>
          <w:p w14:paraId="3A481FA3" w14:textId="77777777" w:rsidR="00141B97" w:rsidRDefault="00141B97">
            <w:pPr>
              <w:pStyle w:val="TableParagraph"/>
              <w:rPr>
                <w:sz w:val="18"/>
              </w:rPr>
            </w:pPr>
          </w:p>
          <w:p w14:paraId="7BF28601" w14:textId="77777777" w:rsidR="00141B97" w:rsidRDefault="00141B97">
            <w:pPr>
              <w:pStyle w:val="TableParagraph"/>
              <w:rPr>
                <w:sz w:val="18"/>
              </w:rPr>
            </w:pPr>
          </w:p>
          <w:p w14:paraId="220BD3BE" w14:textId="77777777" w:rsidR="00141B97" w:rsidRDefault="00141B97">
            <w:pPr>
              <w:pStyle w:val="TableParagraph"/>
              <w:rPr>
                <w:sz w:val="18"/>
              </w:rPr>
            </w:pPr>
          </w:p>
          <w:p w14:paraId="3AC6F1C5" w14:textId="77777777" w:rsidR="00141B97" w:rsidRDefault="00141B97">
            <w:pPr>
              <w:pStyle w:val="TableParagraph"/>
              <w:rPr>
                <w:sz w:val="18"/>
              </w:rPr>
            </w:pPr>
          </w:p>
          <w:p w14:paraId="7D35F2EC" w14:textId="77777777" w:rsidR="00141B97" w:rsidRDefault="00141B97">
            <w:pPr>
              <w:pStyle w:val="TableParagraph"/>
              <w:rPr>
                <w:sz w:val="18"/>
              </w:rPr>
            </w:pPr>
          </w:p>
          <w:p w14:paraId="19B53834" w14:textId="77777777" w:rsidR="00141B97" w:rsidRDefault="00141B97">
            <w:pPr>
              <w:pStyle w:val="TableParagraph"/>
              <w:spacing w:before="1"/>
              <w:rPr>
                <w:sz w:val="19"/>
              </w:rPr>
            </w:pPr>
          </w:p>
          <w:p w14:paraId="5839EF17" w14:textId="77777777" w:rsidR="00141B97" w:rsidRDefault="00911D63">
            <w:pPr>
              <w:pStyle w:val="TableParagraph"/>
              <w:ind w:right="362"/>
              <w:jc w:val="right"/>
              <w:rPr>
                <w:sz w:val="18"/>
              </w:rPr>
            </w:pPr>
            <w:r>
              <w:rPr>
                <w:spacing w:val="-4"/>
                <w:sz w:val="18"/>
              </w:rPr>
              <w:t>0.77</w:t>
            </w:r>
          </w:p>
        </w:tc>
        <w:tc>
          <w:tcPr>
            <w:tcW w:w="1217" w:type="dxa"/>
            <w:tcBorders>
              <w:bottom w:val="nil"/>
            </w:tcBorders>
            <w:shd w:val="clear" w:color="auto" w:fill="CCE2ED"/>
          </w:tcPr>
          <w:p w14:paraId="41963B25" w14:textId="77777777" w:rsidR="00141B97" w:rsidRDefault="00141B97">
            <w:pPr>
              <w:pStyle w:val="TableParagraph"/>
              <w:rPr>
                <w:sz w:val="18"/>
              </w:rPr>
            </w:pPr>
          </w:p>
          <w:p w14:paraId="3B67C299" w14:textId="77777777" w:rsidR="00141B97" w:rsidRDefault="00141B97">
            <w:pPr>
              <w:pStyle w:val="TableParagraph"/>
              <w:rPr>
                <w:sz w:val="18"/>
              </w:rPr>
            </w:pPr>
          </w:p>
          <w:p w14:paraId="16A13E5A" w14:textId="77777777" w:rsidR="00141B97" w:rsidRDefault="00141B97">
            <w:pPr>
              <w:pStyle w:val="TableParagraph"/>
              <w:rPr>
                <w:sz w:val="18"/>
              </w:rPr>
            </w:pPr>
          </w:p>
          <w:p w14:paraId="42E1C335" w14:textId="77777777" w:rsidR="00141B97" w:rsidRDefault="00141B97">
            <w:pPr>
              <w:pStyle w:val="TableParagraph"/>
              <w:rPr>
                <w:sz w:val="18"/>
              </w:rPr>
            </w:pPr>
          </w:p>
          <w:p w14:paraId="6A0AB127" w14:textId="77777777" w:rsidR="00141B97" w:rsidRDefault="00141B97">
            <w:pPr>
              <w:pStyle w:val="TableParagraph"/>
              <w:rPr>
                <w:sz w:val="18"/>
              </w:rPr>
            </w:pPr>
          </w:p>
          <w:p w14:paraId="373B0A66" w14:textId="77777777" w:rsidR="00141B97" w:rsidRDefault="00141B97">
            <w:pPr>
              <w:pStyle w:val="TableParagraph"/>
              <w:spacing w:before="1"/>
              <w:rPr>
                <w:sz w:val="19"/>
              </w:rPr>
            </w:pPr>
          </w:p>
          <w:p w14:paraId="6F0AADBD" w14:textId="77777777" w:rsidR="00141B97" w:rsidRDefault="00911D63">
            <w:pPr>
              <w:pStyle w:val="TableParagraph"/>
              <w:ind w:left="211" w:right="249"/>
              <w:jc w:val="center"/>
              <w:rPr>
                <w:sz w:val="18"/>
              </w:rPr>
            </w:pPr>
            <w:r>
              <w:rPr>
                <w:spacing w:val="-2"/>
                <w:sz w:val="18"/>
              </w:rPr>
              <w:t>Corporate</w:t>
            </w:r>
          </w:p>
        </w:tc>
        <w:tc>
          <w:tcPr>
            <w:tcW w:w="1371" w:type="dxa"/>
            <w:tcBorders>
              <w:bottom w:val="nil"/>
            </w:tcBorders>
            <w:shd w:val="clear" w:color="auto" w:fill="CCE2ED"/>
          </w:tcPr>
          <w:p w14:paraId="07B81ED4" w14:textId="77777777" w:rsidR="00141B97" w:rsidRDefault="00141B97">
            <w:pPr>
              <w:pStyle w:val="TableParagraph"/>
              <w:rPr>
                <w:sz w:val="18"/>
              </w:rPr>
            </w:pPr>
          </w:p>
          <w:p w14:paraId="3D836589" w14:textId="77777777" w:rsidR="00141B97" w:rsidRDefault="00141B97">
            <w:pPr>
              <w:pStyle w:val="TableParagraph"/>
              <w:rPr>
                <w:sz w:val="18"/>
              </w:rPr>
            </w:pPr>
          </w:p>
          <w:p w14:paraId="74DB0D49" w14:textId="77777777" w:rsidR="00141B97" w:rsidRDefault="00141B97">
            <w:pPr>
              <w:pStyle w:val="TableParagraph"/>
              <w:rPr>
                <w:sz w:val="18"/>
              </w:rPr>
            </w:pPr>
          </w:p>
          <w:p w14:paraId="1299A587" w14:textId="77777777" w:rsidR="00141B97" w:rsidRDefault="00141B97">
            <w:pPr>
              <w:pStyle w:val="TableParagraph"/>
              <w:rPr>
                <w:sz w:val="18"/>
              </w:rPr>
            </w:pPr>
          </w:p>
          <w:p w14:paraId="2B6FF733" w14:textId="77777777" w:rsidR="00141B97" w:rsidRDefault="00141B97">
            <w:pPr>
              <w:pStyle w:val="TableParagraph"/>
              <w:rPr>
                <w:sz w:val="18"/>
              </w:rPr>
            </w:pPr>
          </w:p>
          <w:p w14:paraId="016B1A20" w14:textId="77777777" w:rsidR="00141B97" w:rsidRDefault="00911D63">
            <w:pPr>
              <w:pStyle w:val="TableParagraph"/>
              <w:spacing w:before="122"/>
              <w:ind w:left="240" w:hanging="128"/>
              <w:rPr>
                <w:sz w:val="18"/>
              </w:rPr>
            </w:pPr>
            <w:r>
              <w:rPr>
                <w:spacing w:val="-2"/>
                <w:sz w:val="18"/>
              </w:rPr>
              <w:t>Improvements/</w:t>
            </w:r>
            <w:r>
              <w:rPr>
                <w:sz w:val="18"/>
              </w:rPr>
              <w:t xml:space="preserve"> </w:t>
            </w:r>
            <w:r>
              <w:rPr>
                <w:spacing w:val="-2"/>
                <w:sz w:val="18"/>
              </w:rPr>
              <w:t>compliance</w:t>
            </w:r>
          </w:p>
        </w:tc>
        <w:tc>
          <w:tcPr>
            <w:tcW w:w="1981" w:type="dxa"/>
            <w:tcBorders>
              <w:bottom w:val="nil"/>
            </w:tcBorders>
            <w:shd w:val="clear" w:color="auto" w:fill="CCE2ED"/>
          </w:tcPr>
          <w:p w14:paraId="04D5F2C1" w14:textId="77777777" w:rsidR="00141B97" w:rsidRDefault="00141B97">
            <w:pPr>
              <w:pStyle w:val="TableParagraph"/>
              <w:rPr>
                <w:sz w:val="18"/>
              </w:rPr>
            </w:pPr>
          </w:p>
          <w:p w14:paraId="1ECE8147" w14:textId="77777777" w:rsidR="00141B97" w:rsidRDefault="00141B97">
            <w:pPr>
              <w:pStyle w:val="TableParagraph"/>
              <w:rPr>
                <w:sz w:val="18"/>
              </w:rPr>
            </w:pPr>
          </w:p>
          <w:p w14:paraId="73423160" w14:textId="77777777" w:rsidR="00141B97" w:rsidRDefault="00911D63">
            <w:pPr>
              <w:pStyle w:val="TableParagraph"/>
              <w:spacing w:before="123"/>
              <w:ind w:left="97" w:right="158"/>
              <w:rPr>
                <w:sz w:val="18"/>
              </w:rPr>
            </w:pPr>
            <w:r>
              <w:rPr>
                <w:sz w:val="18"/>
              </w:rPr>
              <w:t>Services</w:t>
            </w:r>
            <w:r>
              <w:rPr>
                <w:spacing w:val="-2"/>
                <w:sz w:val="18"/>
              </w:rPr>
              <w:t xml:space="preserve"> </w:t>
            </w:r>
            <w:r>
              <w:rPr>
                <w:sz w:val="18"/>
              </w:rPr>
              <w:t>provide customers value for money. Provide customers</w:t>
            </w:r>
            <w:r>
              <w:rPr>
                <w:spacing w:val="-8"/>
                <w:sz w:val="18"/>
              </w:rPr>
              <w:t xml:space="preserve"> </w:t>
            </w:r>
            <w:r>
              <w:rPr>
                <w:sz w:val="18"/>
              </w:rPr>
              <w:t>reliable</w:t>
            </w:r>
            <w:r>
              <w:rPr>
                <w:spacing w:val="-9"/>
                <w:sz w:val="18"/>
              </w:rPr>
              <w:t xml:space="preserve"> </w:t>
            </w:r>
            <w:r>
              <w:rPr>
                <w:sz w:val="18"/>
              </w:rPr>
              <w:t>and safe drinking water.</w:t>
            </w:r>
          </w:p>
          <w:p w14:paraId="4D6D33B6" w14:textId="77777777" w:rsidR="00141B97" w:rsidRDefault="00911D63">
            <w:pPr>
              <w:pStyle w:val="TableParagraph"/>
              <w:ind w:left="97" w:right="158"/>
              <w:rPr>
                <w:sz w:val="18"/>
              </w:rPr>
            </w:pPr>
            <w:r>
              <w:rPr>
                <w:sz w:val="18"/>
              </w:rPr>
              <w:t>Provide</w:t>
            </w:r>
            <w:r>
              <w:rPr>
                <w:spacing w:val="-11"/>
                <w:sz w:val="18"/>
              </w:rPr>
              <w:t xml:space="preserve"> </w:t>
            </w:r>
            <w:r>
              <w:rPr>
                <w:sz w:val="18"/>
              </w:rPr>
              <w:t>customers reliable</w:t>
            </w:r>
            <w:r>
              <w:rPr>
                <w:spacing w:val="-2"/>
                <w:sz w:val="18"/>
              </w:rPr>
              <w:t xml:space="preserve"> </w:t>
            </w:r>
            <w:r>
              <w:rPr>
                <w:sz w:val="18"/>
              </w:rPr>
              <w:t xml:space="preserve">sewerage </w:t>
            </w:r>
            <w:r>
              <w:rPr>
                <w:spacing w:val="-2"/>
                <w:sz w:val="18"/>
              </w:rPr>
              <w:t>services</w:t>
            </w:r>
          </w:p>
        </w:tc>
        <w:tc>
          <w:tcPr>
            <w:tcW w:w="2287" w:type="dxa"/>
            <w:tcBorders>
              <w:bottom w:val="nil"/>
            </w:tcBorders>
            <w:shd w:val="clear" w:color="auto" w:fill="CCE2ED"/>
          </w:tcPr>
          <w:p w14:paraId="7165AAB3" w14:textId="77777777" w:rsidR="00141B97" w:rsidRDefault="00141B97">
            <w:pPr>
              <w:pStyle w:val="TableParagraph"/>
              <w:rPr>
                <w:sz w:val="18"/>
              </w:rPr>
            </w:pPr>
          </w:p>
          <w:p w14:paraId="64529035" w14:textId="77777777" w:rsidR="00141B97" w:rsidRDefault="00141B97">
            <w:pPr>
              <w:pStyle w:val="TableParagraph"/>
              <w:rPr>
                <w:sz w:val="18"/>
              </w:rPr>
            </w:pPr>
          </w:p>
          <w:p w14:paraId="4E7332C5" w14:textId="77777777" w:rsidR="00141B97" w:rsidRDefault="00911D63">
            <w:pPr>
              <w:pStyle w:val="TableParagraph"/>
              <w:spacing w:before="123"/>
              <w:ind w:left="96" w:right="116"/>
              <w:rPr>
                <w:sz w:val="18"/>
              </w:rPr>
            </w:pPr>
            <w:r>
              <w:rPr>
                <w:sz w:val="18"/>
              </w:rPr>
              <w:t>To drive improved, data‐ driven and integrated asset lifecycle management and robust</w:t>
            </w:r>
            <w:r>
              <w:rPr>
                <w:spacing w:val="-2"/>
                <w:sz w:val="18"/>
              </w:rPr>
              <w:t xml:space="preserve"> </w:t>
            </w:r>
            <w:r>
              <w:rPr>
                <w:sz w:val="18"/>
              </w:rPr>
              <w:t>expenditure</w:t>
            </w:r>
            <w:r>
              <w:rPr>
                <w:spacing w:val="40"/>
                <w:sz w:val="18"/>
              </w:rPr>
              <w:t xml:space="preserve"> </w:t>
            </w:r>
            <w:r>
              <w:rPr>
                <w:sz w:val="18"/>
              </w:rPr>
              <w:t>planning,</w:t>
            </w:r>
            <w:r>
              <w:rPr>
                <w:spacing w:val="-9"/>
                <w:sz w:val="18"/>
              </w:rPr>
              <w:t xml:space="preserve"> </w:t>
            </w:r>
            <w:r>
              <w:rPr>
                <w:sz w:val="18"/>
              </w:rPr>
              <w:t>including</w:t>
            </w:r>
            <w:r>
              <w:rPr>
                <w:spacing w:val="-9"/>
                <w:sz w:val="18"/>
              </w:rPr>
              <w:t xml:space="preserve"> </w:t>
            </w:r>
            <w:r>
              <w:rPr>
                <w:sz w:val="18"/>
              </w:rPr>
              <w:t>real‐time asset data analysis &amp; visualisation, via a single source of truth.</w:t>
            </w:r>
          </w:p>
        </w:tc>
        <w:tc>
          <w:tcPr>
            <w:tcW w:w="2743" w:type="dxa"/>
            <w:tcBorders>
              <w:bottom w:val="nil"/>
            </w:tcBorders>
            <w:shd w:val="clear" w:color="auto" w:fill="CCE2ED"/>
          </w:tcPr>
          <w:p w14:paraId="346F9086" w14:textId="77777777" w:rsidR="00141B97" w:rsidRDefault="00911D63">
            <w:pPr>
              <w:pStyle w:val="TableParagraph"/>
              <w:spacing w:before="122"/>
              <w:ind w:left="95" w:right="111"/>
              <w:rPr>
                <w:sz w:val="18"/>
              </w:rPr>
            </w:pPr>
            <w:r>
              <w:rPr>
                <w:sz w:val="18"/>
              </w:rPr>
              <w:t>Implement Infor Value Study initiatives to ensure assets and infrastructure are maintained to support water services. Includes centralised asset register, enhanced work management processes to deliver transparency and improved data capture, simplification of capital works management,</w:t>
            </w:r>
            <w:r>
              <w:rPr>
                <w:spacing w:val="-6"/>
                <w:sz w:val="18"/>
              </w:rPr>
              <w:t xml:space="preserve"> </w:t>
            </w:r>
            <w:r>
              <w:rPr>
                <w:sz w:val="18"/>
              </w:rPr>
              <w:t>and</w:t>
            </w:r>
            <w:r>
              <w:rPr>
                <w:spacing w:val="-6"/>
                <w:sz w:val="18"/>
              </w:rPr>
              <w:t xml:space="preserve"> </w:t>
            </w:r>
            <w:r>
              <w:rPr>
                <w:sz w:val="18"/>
              </w:rPr>
              <w:t>asset</w:t>
            </w:r>
            <w:r>
              <w:rPr>
                <w:spacing w:val="-6"/>
                <w:sz w:val="18"/>
              </w:rPr>
              <w:t xml:space="preserve"> </w:t>
            </w:r>
            <w:r>
              <w:rPr>
                <w:sz w:val="18"/>
              </w:rPr>
              <w:t>reporting and dashboards to gain insights with advanced data intelligence.</w:t>
            </w:r>
          </w:p>
        </w:tc>
        <w:tc>
          <w:tcPr>
            <w:tcW w:w="2733" w:type="dxa"/>
            <w:tcBorders>
              <w:bottom w:val="nil"/>
              <w:right w:val="nil"/>
            </w:tcBorders>
            <w:shd w:val="clear" w:color="auto" w:fill="CCE2ED"/>
          </w:tcPr>
          <w:p w14:paraId="3708402B" w14:textId="77777777" w:rsidR="00141B97" w:rsidRDefault="00911D63">
            <w:pPr>
              <w:pStyle w:val="TableParagraph"/>
              <w:spacing w:before="13"/>
              <w:ind w:left="95" w:right="123"/>
              <w:rPr>
                <w:sz w:val="18"/>
              </w:rPr>
            </w:pPr>
            <w:r>
              <w:rPr>
                <w:sz w:val="18"/>
              </w:rPr>
              <w:t>The current Asset Management platform</w:t>
            </w:r>
            <w:r>
              <w:rPr>
                <w:spacing w:val="-3"/>
                <w:sz w:val="18"/>
              </w:rPr>
              <w:t xml:space="preserve"> </w:t>
            </w:r>
            <w:r>
              <w:rPr>
                <w:sz w:val="18"/>
              </w:rPr>
              <w:t>is</w:t>
            </w:r>
            <w:r>
              <w:rPr>
                <w:spacing w:val="-2"/>
                <w:sz w:val="18"/>
              </w:rPr>
              <w:t xml:space="preserve"> </w:t>
            </w:r>
            <w:r>
              <w:rPr>
                <w:sz w:val="18"/>
              </w:rPr>
              <w:t>not</w:t>
            </w:r>
            <w:r>
              <w:rPr>
                <w:spacing w:val="-3"/>
                <w:sz w:val="18"/>
              </w:rPr>
              <w:t xml:space="preserve"> </w:t>
            </w:r>
            <w:r>
              <w:rPr>
                <w:sz w:val="18"/>
              </w:rPr>
              <w:t>fit</w:t>
            </w:r>
            <w:r>
              <w:rPr>
                <w:spacing w:val="-3"/>
                <w:sz w:val="18"/>
              </w:rPr>
              <w:t xml:space="preserve"> </w:t>
            </w:r>
            <w:r>
              <w:rPr>
                <w:sz w:val="18"/>
              </w:rPr>
              <w:t>for</w:t>
            </w:r>
            <w:r>
              <w:rPr>
                <w:spacing w:val="-2"/>
                <w:sz w:val="18"/>
              </w:rPr>
              <w:t xml:space="preserve"> </w:t>
            </w:r>
            <w:r>
              <w:rPr>
                <w:sz w:val="18"/>
              </w:rPr>
              <w:t>purpose,</w:t>
            </w:r>
            <w:r>
              <w:rPr>
                <w:spacing w:val="-3"/>
                <w:sz w:val="18"/>
              </w:rPr>
              <w:t xml:space="preserve"> </w:t>
            </w:r>
            <w:r>
              <w:rPr>
                <w:sz w:val="18"/>
              </w:rPr>
              <w:t>and 66%</w:t>
            </w:r>
            <w:r>
              <w:rPr>
                <w:spacing w:val="-4"/>
                <w:sz w:val="18"/>
              </w:rPr>
              <w:t xml:space="preserve"> </w:t>
            </w:r>
            <w:r>
              <w:rPr>
                <w:sz w:val="18"/>
              </w:rPr>
              <w:t>of</w:t>
            </w:r>
            <w:r>
              <w:rPr>
                <w:spacing w:val="-4"/>
                <w:sz w:val="18"/>
              </w:rPr>
              <w:t xml:space="preserve"> </w:t>
            </w:r>
            <w:r>
              <w:rPr>
                <w:sz w:val="18"/>
              </w:rPr>
              <w:t>business</w:t>
            </w:r>
            <w:r>
              <w:rPr>
                <w:spacing w:val="-5"/>
                <w:sz w:val="18"/>
              </w:rPr>
              <w:t xml:space="preserve"> </w:t>
            </w:r>
            <w:r>
              <w:rPr>
                <w:sz w:val="18"/>
              </w:rPr>
              <w:t>processes</w:t>
            </w:r>
            <w:r>
              <w:rPr>
                <w:spacing w:val="-5"/>
                <w:sz w:val="18"/>
              </w:rPr>
              <w:t xml:space="preserve"> </w:t>
            </w:r>
            <w:r>
              <w:rPr>
                <w:sz w:val="18"/>
              </w:rPr>
              <w:t>relating to asset management are performed outside of IPS</w:t>
            </w:r>
            <w:r>
              <w:rPr>
                <w:spacing w:val="40"/>
                <w:sz w:val="18"/>
              </w:rPr>
              <w:t xml:space="preserve"> </w:t>
            </w:r>
            <w:r>
              <w:rPr>
                <w:sz w:val="18"/>
              </w:rPr>
              <w:t>capability (manual processes).</w:t>
            </w:r>
          </w:p>
          <w:p w14:paraId="52928324" w14:textId="77777777" w:rsidR="00141B97" w:rsidRDefault="00911D63">
            <w:pPr>
              <w:pStyle w:val="TableParagraph"/>
              <w:spacing w:line="220" w:lineRule="atLeast"/>
              <w:ind w:left="95" w:right="89"/>
              <w:rPr>
                <w:sz w:val="18"/>
              </w:rPr>
            </w:pPr>
            <w:r>
              <w:rPr>
                <w:sz w:val="18"/>
              </w:rPr>
              <w:t>There</w:t>
            </w:r>
            <w:r>
              <w:rPr>
                <w:spacing w:val="-4"/>
                <w:sz w:val="18"/>
              </w:rPr>
              <w:t xml:space="preserve"> </w:t>
            </w:r>
            <w:r>
              <w:rPr>
                <w:sz w:val="18"/>
              </w:rPr>
              <w:t>is</w:t>
            </w:r>
            <w:r>
              <w:rPr>
                <w:spacing w:val="-4"/>
                <w:sz w:val="18"/>
              </w:rPr>
              <w:t xml:space="preserve"> </w:t>
            </w:r>
            <w:r>
              <w:rPr>
                <w:sz w:val="18"/>
              </w:rPr>
              <w:t>limited</w:t>
            </w:r>
            <w:r>
              <w:rPr>
                <w:spacing w:val="-4"/>
                <w:sz w:val="18"/>
              </w:rPr>
              <w:t xml:space="preserve"> </w:t>
            </w:r>
            <w:r>
              <w:rPr>
                <w:sz w:val="18"/>
              </w:rPr>
              <w:t>visibility</w:t>
            </w:r>
            <w:r>
              <w:rPr>
                <w:spacing w:val="-4"/>
                <w:sz w:val="18"/>
              </w:rPr>
              <w:t xml:space="preserve"> </w:t>
            </w:r>
            <w:r>
              <w:rPr>
                <w:sz w:val="18"/>
              </w:rPr>
              <w:t>over</w:t>
            </w:r>
            <w:r>
              <w:rPr>
                <w:spacing w:val="-4"/>
                <w:sz w:val="18"/>
              </w:rPr>
              <w:t xml:space="preserve"> </w:t>
            </w:r>
            <w:r>
              <w:rPr>
                <w:sz w:val="18"/>
              </w:rPr>
              <w:t>asset lifecycle management and there are disparate data and inputs without consolidated data structures. Asset reporting is manual leading to duplication of data and large inefficiencies.</w:t>
            </w:r>
          </w:p>
        </w:tc>
      </w:tr>
    </w:tbl>
    <w:p w14:paraId="665C40A8" w14:textId="77777777" w:rsidR="00141B97" w:rsidRDefault="00141B97">
      <w:pPr>
        <w:spacing w:line="220" w:lineRule="atLeast"/>
        <w:rPr>
          <w:sz w:val="18"/>
        </w:rPr>
        <w:sectPr w:rsidR="00141B97">
          <w:pgSz w:w="16840" w:h="11910" w:orient="landscape"/>
          <w:pgMar w:top="820" w:right="600" w:bottom="540" w:left="300" w:header="0" w:footer="345" w:gutter="0"/>
          <w:cols w:space="720"/>
        </w:sectPr>
      </w:pPr>
    </w:p>
    <w:p w14:paraId="7C295E65" w14:textId="77777777" w:rsidR="00141B97" w:rsidRDefault="00911D63">
      <w:pPr>
        <w:spacing w:before="46"/>
        <w:ind w:left="124"/>
        <w:rPr>
          <w:sz w:val="20"/>
        </w:rPr>
      </w:pPr>
      <w:r>
        <w:rPr>
          <w:sz w:val="20"/>
        </w:rPr>
        <w:lastRenderedPageBreak/>
        <w:t>C3.3</w:t>
      </w:r>
      <w:r>
        <w:rPr>
          <w:spacing w:val="-4"/>
          <w:sz w:val="20"/>
        </w:rPr>
        <w:t xml:space="preserve"> </w:t>
      </w:r>
      <w:r>
        <w:rPr>
          <w:sz w:val="20"/>
        </w:rPr>
        <w:t>Major</w:t>
      </w:r>
      <w:r>
        <w:rPr>
          <w:spacing w:val="-2"/>
          <w:sz w:val="20"/>
        </w:rPr>
        <w:t xml:space="preserve"> </w:t>
      </w:r>
      <w:r>
        <w:rPr>
          <w:sz w:val="20"/>
        </w:rPr>
        <w:t>Rural</w:t>
      </w:r>
      <w:r>
        <w:rPr>
          <w:spacing w:val="-1"/>
          <w:sz w:val="20"/>
        </w:rPr>
        <w:t xml:space="preserve"> </w:t>
      </w:r>
      <w:r>
        <w:rPr>
          <w:sz w:val="20"/>
        </w:rPr>
        <w:t>Programs</w:t>
      </w:r>
      <w:r>
        <w:rPr>
          <w:spacing w:val="-1"/>
          <w:sz w:val="20"/>
        </w:rPr>
        <w:t xml:space="preserve"> </w:t>
      </w:r>
      <w:r>
        <w:rPr>
          <w:sz w:val="20"/>
        </w:rPr>
        <w:t>–</w:t>
      </w:r>
      <w:r>
        <w:rPr>
          <w:spacing w:val="-3"/>
          <w:sz w:val="20"/>
        </w:rPr>
        <w:t xml:space="preserve"> </w:t>
      </w:r>
      <w:r>
        <w:rPr>
          <w:sz w:val="20"/>
        </w:rPr>
        <w:t>Schedule</w:t>
      </w:r>
      <w:r>
        <w:rPr>
          <w:spacing w:val="-2"/>
          <w:sz w:val="20"/>
        </w:rPr>
        <w:t xml:space="preserve"> </w:t>
      </w:r>
      <w:r>
        <w:rPr>
          <w:sz w:val="20"/>
        </w:rPr>
        <w:t>of</w:t>
      </w:r>
      <w:r>
        <w:rPr>
          <w:spacing w:val="-2"/>
          <w:sz w:val="20"/>
        </w:rPr>
        <w:t xml:space="preserve"> Investment</w:t>
      </w:r>
    </w:p>
    <w:p w14:paraId="5A174213" w14:textId="77777777" w:rsidR="00141B97" w:rsidRDefault="00141B97">
      <w:pPr>
        <w:pStyle w:val="BodyText"/>
        <w:spacing w:before="6"/>
        <w:rPr>
          <w:sz w:val="15"/>
        </w:rPr>
      </w:pPr>
    </w:p>
    <w:tbl>
      <w:tblPr>
        <w:tblW w:w="0" w:type="auto"/>
        <w:tblInd w:w="14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764"/>
        <w:gridCol w:w="1115"/>
        <w:gridCol w:w="995"/>
        <w:gridCol w:w="1397"/>
        <w:gridCol w:w="3771"/>
        <w:gridCol w:w="1106"/>
        <w:gridCol w:w="911"/>
        <w:gridCol w:w="911"/>
        <w:gridCol w:w="910"/>
        <w:gridCol w:w="939"/>
        <w:gridCol w:w="869"/>
      </w:tblGrid>
      <w:tr w:rsidR="00141B97" w14:paraId="2AD62D98" w14:textId="77777777">
        <w:trPr>
          <w:trHeight w:val="777"/>
        </w:trPr>
        <w:tc>
          <w:tcPr>
            <w:tcW w:w="2764" w:type="dxa"/>
            <w:tcBorders>
              <w:top w:val="nil"/>
              <w:left w:val="nil"/>
              <w:right w:val="nil"/>
            </w:tcBorders>
            <w:shd w:val="clear" w:color="auto" w:fill="006CA3"/>
          </w:tcPr>
          <w:p w14:paraId="494EB6A2" w14:textId="77777777" w:rsidR="00141B97" w:rsidRDefault="00141B97">
            <w:pPr>
              <w:pStyle w:val="TableParagraph"/>
              <w:spacing w:before="12"/>
              <w:rPr>
                <w:sz w:val="23"/>
              </w:rPr>
            </w:pPr>
          </w:p>
          <w:p w14:paraId="6BC1359F" w14:textId="77777777" w:rsidR="00141B97" w:rsidRDefault="00911D63">
            <w:pPr>
              <w:pStyle w:val="TableParagraph"/>
              <w:ind w:left="101"/>
              <w:rPr>
                <w:sz w:val="16"/>
              </w:rPr>
            </w:pPr>
            <w:r>
              <w:rPr>
                <w:color w:val="FFFFFF"/>
                <w:sz w:val="16"/>
              </w:rPr>
              <w:t>Major</w:t>
            </w:r>
            <w:r>
              <w:rPr>
                <w:color w:val="FFFFFF"/>
                <w:spacing w:val="-6"/>
                <w:sz w:val="16"/>
              </w:rPr>
              <w:t xml:space="preserve"> </w:t>
            </w:r>
            <w:r>
              <w:rPr>
                <w:color w:val="FFFFFF"/>
                <w:spacing w:val="-2"/>
                <w:sz w:val="16"/>
              </w:rPr>
              <w:t>Program</w:t>
            </w:r>
          </w:p>
        </w:tc>
        <w:tc>
          <w:tcPr>
            <w:tcW w:w="2110" w:type="dxa"/>
            <w:gridSpan w:val="2"/>
            <w:tcBorders>
              <w:top w:val="nil"/>
              <w:left w:val="nil"/>
              <w:right w:val="nil"/>
            </w:tcBorders>
            <w:shd w:val="clear" w:color="auto" w:fill="006CA3"/>
          </w:tcPr>
          <w:p w14:paraId="6E330D9E" w14:textId="77777777" w:rsidR="00141B97" w:rsidRDefault="00911D63">
            <w:pPr>
              <w:pStyle w:val="TableParagraph"/>
              <w:tabs>
                <w:tab w:val="left" w:pos="1038"/>
                <w:tab w:val="left" w:pos="1380"/>
                <w:tab w:val="left" w:pos="1417"/>
              </w:tabs>
              <w:spacing w:before="97"/>
              <w:ind w:left="120" w:right="225" w:firstLine="273"/>
              <w:jc w:val="right"/>
              <w:rPr>
                <w:sz w:val="16"/>
              </w:rPr>
            </w:pPr>
            <w:r>
              <w:rPr>
                <w:color w:val="FFFFFF"/>
                <w:spacing w:val="-4"/>
                <w:sz w:val="16"/>
              </w:rPr>
              <w:t>Total</w:t>
            </w:r>
            <w:r>
              <w:rPr>
                <w:color w:val="FFFFFF"/>
                <w:sz w:val="16"/>
              </w:rPr>
              <w:tab/>
            </w:r>
            <w:r>
              <w:rPr>
                <w:color w:val="FFFFFF"/>
                <w:sz w:val="16"/>
              </w:rPr>
              <w:tab/>
            </w:r>
            <w:r>
              <w:rPr>
                <w:color w:val="FFFFFF"/>
                <w:sz w:val="16"/>
              </w:rPr>
              <w:tab/>
            </w:r>
            <w:r>
              <w:rPr>
                <w:color w:val="FFFFFF"/>
                <w:spacing w:val="-4"/>
                <w:sz w:val="16"/>
              </w:rPr>
              <w:t>Major</w:t>
            </w:r>
            <w:r>
              <w:rPr>
                <w:color w:val="FFFFFF"/>
                <w:spacing w:val="40"/>
                <w:sz w:val="16"/>
              </w:rPr>
              <w:t xml:space="preserve"> </w:t>
            </w:r>
            <w:r>
              <w:rPr>
                <w:color w:val="FFFFFF"/>
                <w:sz w:val="16"/>
              </w:rPr>
              <w:t>Program</w:t>
            </w:r>
            <w:r>
              <w:rPr>
                <w:color w:val="FFFFFF"/>
                <w:spacing w:val="-5"/>
                <w:sz w:val="16"/>
              </w:rPr>
              <w:t xml:space="preserve"> </w:t>
            </w:r>
            <w:r>
              <w:rPr>
                <w:color w:val="FFFFFF"/>
                <w:sz w:val="16"/>
              </w:rPr>
              <w:t>Cost</w:t>
            </w:r>
            <w:r>
              <w:rPr>
                <w:color w:val="FFFFFF"/>
                <w:sz w:val="16"/>
              </w:rPr>
              <w:tab/>
            </w:r>
            <w:r>
              <w:rPr>
                <w:color w:val="FFFFFF"/>
                <w:sz w:val="16"/>
              </w:rPr>
              <w:tab/>
            </w:r>
            <w:r>
              <w:rPr>
                <w:color w:val="FFFFFF"/>
                <w:spacing w:val="-2"/>
                <w:sz w:val="16"/>
              </w:rPr>
              <w:t>Service</w:t>
            </w:r>
            <w:r>
              <w:rPr>
                <w:color w:val="FFFFFF"/>
                <w:spacing w:val="40"/>
                <w:sz w:val="16"/>
              </w:rPr>
              <w:t xml:space="preserve"> </w:t>
            </w:r>
            <w:r>
              <w:rPr>
                <w:color w:val="FFFFFF"/>
                <w:spacing w:val="-4"/>
                <w:sz w:val="16"/>
              </w:rPr>
              <w:t>($m)</w:t>
            </w:r>
            <w:r>
              <w:rPr>
                <w:color w:val="FFFFFF"/>
                <w:sz w:val="16"/>
              </w:rPr>
              <w:tab/>
            </w:r>
            <w:r>
              <w:rPr>
                <w:color w:val="FFFFFF"/>
                <w:spacing w:val="-2"/>
                <w:sz w:val="16"/>
              </w:rPr>
              <w:t>Category</w:t>
            </w:r>
          </w:p>
        </w:tc>
        <w:tc>
          <w:tcPr>
            <w:tcW w:w="1397" w:type="dxa"/>
            <w:tcBorders>
              <w:top w:val="nil"/>
              <w:left w:val="nil"/>
              <w:right w:val="nil"/>
            </w:tcBorders>
            <w:shd w:val="clear" w:color="auto" w:fill="006CA3"/>
          </w:tcPr>
          <w:p w14:paraId="379E6627" w14:textId="77777777" w:rsidR="00141B97" w:rsidRDefault="00141B97">
            <w:pPr>
              <w:pStyle w:val="TableParagraph"/>
              <w:spacing w:before="12"/>
              <w:rPr>
                <w:sz w:val="23"/>
              </w:rPr>
            </w:pPr>
          </w:p>
          <w:p w14:paraId="52C1B478" w14:textId="77777777" w:rsidR="00141B97" w:rsidRDefault="00911D63">
            <w:pPr>
              <w:pStyle w:val="TableParagraph"/>
              <w:ind w:left="135" w:right="171"/>
              <w:jc w:val="center"/>
              <w:rPr>
                <w:sz w:val="16"/>
              </w:rPr>
            </w:pPr>
            <w:r>
              <w:rPr>
                <w:color w:val="FFFFFF"/>
                <w:sz w:val="16"/>
              </w:rPr>
              <w:t>ESC</w:t>
            </w:r>
            <w:r>
              <w:rPr>
                <w:color w:val="FFFFFF"/>
                <w:spacing w:val="-4"/>
                <w:sz w:val="16"/>
              </w:rPr>
              <w:t xml:space="preserve"> </w:t>
            </w:r>
            <w:r>
              <w:rPr>
                <w:color w:val="FFFFFF"/>
                <w:sz w:val="16"/>
              </w:rPr>
              <w:t>Cost</w:t>
            </w:r>
            <w:r>
              <w:rPr>
                <w:color w:val="FFFFFF"/>
                <w:spacing w:val="-4"/>
                <w:sz w:val="16"/>
              </w:rPr>
              <w:t xml:space="preserve"> </w:t>
            </w:r>
            <w:r>
              <w:rPr>
                <w:color w:val="FFFFFF"/>
                <w:spacing w:val="-2"/>
                <w:sz w:val="16"/>
              </w:rPr>
              <w:t>Driver</w:t>
            </w:r>
          </w:p>
        </w:tc>
        <w:tc>
          <w:tcPr>
            <w:tcW w:w="3771" w:type="dxa"/>
            <w:tcBorders>
              <w:top w:val="nil"/>
              <w:left w:val="nil"/>
              <w:right w:val="nil"/>
            </w:tcBorders>
            <w:shd w:val="clear" w:color="auto" w:fill="006CA3"/>
          </w:tcPr>
          <w:p w14:paraId="6C353250" w14:textId="77777777" w:rsidR="00141B97" w:rsidRDefault="00141B97">
            <w:pPr>
              <w:pStyle w:val="TableParagraph"/>
              <w:spacing w:before="12"/>
              <w:rPr>
                <w:sz w:val="23"/>
              </w:rPr>
            </w:pPr>
          </w:p>
          <w:p w14:paraId="4FD81548" w14:textId="77777777" w:rsidR="00141B97" w:rsidRDefault="00911D63">
            <w:pPr>
              <w:pStyle w:val="TableParagraph"/>
              <w:ind w:left="1258"/>
              <w:rPr>
                <w:sz w:val="16"/>
              </w:rPr>
            </w:pPr>
            <w:r>
              <w:rPr>
                <w:color w:val="FFFFFF"/>
                <w:spacing w:val="-2"/>
                <w:sz w:val="16"/>
              </w:rPr>
              <w:t>Component</w:t>
            </w:r>
            <w:r>
              <w:rPr>
                <w:color w:val="FFFFFF"/>
                <w:spacing w:val="6"/>
                <w:sz w:val="16"/>
              </w:rPr>
              <w:t xml:space="preserve"> </w:t>
            </w:r>
            <w:r>
              <w:rPr>
                <w:color w:val="FFFFFF"/>
                <w:spacing w:val="-2"/>
                <w:sz w:val="16"/>
              </w:rPr>
              <w:t>Programs</w:t>
            </w:r>
          </w:p>
        </w:tc>
        <w:tc>
          <w:tcPr>
            <w:tcW w:w="1106" w:type="dxa"/>
            <w:tcBorders>
              <w:top w:val="nil"/>
              <w:left w:val="nil"/>
              <w:right w:val="nil"/>
            </w:tcBorders>
            <w:shd w:val="clear" w:color="auto" w:fill="006CA3"/>
          </w:tcPr>
          <w:p w14:paraId="2FB54C7D" w14:textId="77777777" w:rsidR="00141B97" w:rsidRDefault="00141B97">
            <w:pPr>
              <w:pStyle w:val="TableParagraph"/>
              <w:spacing w:before="12"/>
              <w:rPr>
                <w:sz w:val="23"/>
              </w:rPr>
            </w:pPr>
          </w:p>
          <w:p w14:paraId="59442F60" w14:textId="77777777" w:rsidR="00141B97" w:rsidRDefault="00911D63">
            <w:pPr>
              <w:pStyle w:val="TableParagraph"/>
              <w:ind w:left="369" w:right="175"/>
              <w:jc w:val="center"/>
              <w:rPr>
                <w:sz w:val="16"/>
              </w:rPr>
            </w:pPr>
            <w:r>
              <w:rPr>
                <w:color w:val="FFFFFF"/>
                <w:spacing w:val="-2"/>
                <w:sz w:val="16"/>
              </w:rPr>
              <w:t>2023‐24</w:t>
            </w:r>
          </w:p>
        </w:tc>
        <w:tc>
          <w:tcPr>
            <w:tcW w:w="911" w:type="dxa"/>
            <w:tcBorders>
              <w:top w:val="nil"/>
              <w:left w:val="nil"/>
              <w:right w:val="nil"/>
            </w:tcBorders>
            <w:shd w:val="clear" w:color="auto" w:fill="006CA3"/>
          </w:tcPr>
          <w:p w14:paraId="27DA5928" w14:textId="77777777" w:rsidR="00141B97" w:rsidRDefault="00141B97">
            <w:pPr>
              <w:pStyle w:val="TableParagraph"/>
              <w:spacing w:before="12"/>
              <w:rPr>
                <w:sz w:val="23"/>
              </w:rPr>
            </w:pPr>
          </w:p>
          <w:p w14:paraId="7E9B20DB" w14:textId="77777777" w:rsidR="00141B97" w:rsidRDefault="00911D63">
            <w:pPr>
              <w:pStyle w:val="TableParagraph"/>
              <w:ind w:left="173" w:right="174"/>
              <w:jc w:val="center"/>
              <w:rPr>
                <w:sz w:val="16"/>
              </w:rPr>
            </w:pPr>
            <w:r>
              <w:rPr>
                <w:color w:val="FFFFFF"/>
                <w:spacing w:val="-2"/>
                <w:sz w:val="16"/>
              </w:rPr>
              <w:t>2024‐25</w:t>
            </w:r>
          </w:p>
        </w:tc>
        <w:tc>
          <w:tcPr>
            <w:tcW w:w="911" w:type="dxa"/>
            <w:tcBorders>
              <w:top w:val="nil"/>
              <w:left w:val="nil"/>
              <w:right w:val="nil"/>
            </w:tcBorders>
            <w:shd w:val="clear" w:color="auto" w:fill="006CA3"/>
          </w:tcPr>
          <w:p w14:paraId="20485CC9" w14:textId="77777777" w:rsidR="00141B97" w:rsidRDefault="00141B97">
            <w:pPr>
              <w:pStyle w:val="TableParagraph"/>
              <w:spacing w:before="12"/>
              <w:rPr>
                <w:sz w:val="23"/>
              </w:rPr>
            </w:pPr>
          </w:p>
          <w:p w14:paraId="131C3BCD" w14:textId="77777777" w:rsidR="00141B97" w:rsidRDefault="00911D63">
            <w:pPr>
              <w:pStyle w:val="TableParagraph"/>
              <w:ind w:left="173" w:right="175"/>
              <w:jc w:val="center"/>
              <w:rPr>
                <w:sz w:val="16"/>
              </w:rPr>
            </w:pPr>
            <w:r>
              <w:rPr>
                <w:color w:val="FFFFFF"/>
                <w:spacing w:val="-2"/>
                <w:sz w:val="16"/>
              </w:rPr>
              <w:t>2025‐26</w:t>
            </w:r>
          </w:p>
        </w:tc>
        <w:tc>
          <w:tcPr>
            <w:tcW w:w="910" w:type="dxa"/>
            <w:tcBorders>
              <w:top w:val="nil"/>
              <w:left w:val="nil"/>
              <w:right w:val="nil"/>
            </w:tcBorders>
            <w:shd w:val="clear" w:color="auto" w:fill="006CA3"/>
          </w:tcPr>
          <w:p w14:paraId="3D2EE477" w14:textId="77777777" w:rsidR="00141B97" w:rsidRDefault="00141B97">
            <w:pPr>
              <w:pStyle w:val="TableParagraph"/>
              <w:spacing w:before="12"/>
              <w:rPr>
                <w:sz w:val="23"/>
              </w:rPr>
            </w:pPr>
          </w:p>
          <w:p w14:paraId="4AFF7D86" w14:textId="77777777" w:rsidR="00141B97" w:rsidRDefault="00911D63">
            <w:pPr>
              <w:pStyle w:val="TableParagraph"/>
              <w:ind w:left="172" w:right="175"/>
              <w:jc w:val="center"/>
              <w:rPr>
                <w:sz w:val="16"/>
              </w:rPr>
            </w:pPr>
            <w:r>
              <w:rPr>
                <w:color w:val="FFFFFF"/>
                <w:spacing w:val="-2"/>
                <w:sz w:val="16"/>
              </w:rPr>
              <w:t>2026‐27</w:t>
            </w:r>
          </w:p>
        </w:tc>
        <w:tc>
          <w:tcPr>
            <w:tcW w:w="939" w:type="dxa"/>
            <w:tcBorders>
              <w:top w:val="nil"/>
              <w:left w:val="nil"/>
              <w:right w:val="nil"/>
            </w:tcBorders>
            <w:shd w:val="clear" w:color="auto" w:fill="006CA3"/>
          </w:tcPr>
          <w:p w14:paraId="467F64C8" w14:textId="77777777" w:rsidR="00141B97" w:rsidRDefault="00141B97">
            <w:pPr>
              <w:pStyle w:val="TableParagraph"/>
              <w:spacing w:before="12"/>
              <w:rPr>
                <w:sz w:val="23"/>
              </w:rPr>
            </w:pPr>
          </w:p>
          <w:p w14:paraId="204A241A" w14:textId="77777777" w:rsidR="00141B97" w:rsidRDefault="00911D63">
            <w:pPr>
              <w:pStyle w:val="TableParagraph"/>
              <w:ind w:left="172" w:right="205"/>
              <w:jc w:val="center"/>
              <w:rPr>
                <w:sz w:val="16"/>
              </w:rPr>
            </w:pPr>
            <w:r>
              <w:rPr>
                <w:color w:val="FFFFFF"/>
                <w:spacing w:val="-2"/>
                <w:sz w:val="16"/>
              </w:rPr>
              <w:t>2027‐28</w:t>
            </w:r>
          </w:p>
        </w:tc>
        <w:tc>
          <w:tcPr>
            <w:tcW w:w="869" w:type="dxa"/>
            <w:tcBorders>
              <w:top w:val="nil"/>
              <w:left w:val="nil"/>
              <w:right w:val="nil"/>
            </w:tcBorders>
            <w:shd w:val="clear" w:color="auto" w:fill="006CA3"/>
          </w:tcPr>
          <w:p w14:paraId="5757ABF2" w14:textId="77777777" w:rsidR="00141B97" w:rsidRDefault="00141B97">
            <w:pPr>
              <w:pStyle w:val="TableParagraph"/>
              <w:spacing w:before="12"/>
              <w:rPr>
                <w:sz w:val="23"/>
              </w:rPr>
            </w:pPr>
          </w:p>
          <w:p w14:paraId="596C4D16" w14:textId="77777777" w:rsidR="00141B97" w:rsidRDefault="00911D63">
            <w:pPr>
              <w:pStyle w:val="TableParagraph"/>
              <w:ind w:right="238"/>
              <w:jc w:val="right"/>
              <w:rPr>
                <w:sz w:val="16"/>
              </w:rPr>
            </w:pPr>
            <w:r>
              <w:rPr>
                <w:color w:val="FFFFFF"/>
                <w:spacing w:val="-2"/>
                <w:sz w:val="16"/>
              </w:rPr>
              <w:t>TOTAL</w:t>
            </w:r>
          </w:p>
        </w:tc>
      </w:tr>
      <w:tr w:rsidR="00141B97" w14:paraId="33FE9B3D" w14:textId="77777777">
        <w:trPr>
          <w:trHeight w:val="221"/>
        </w:trPr>
        <w:tc>
          <w:tcPr>
            <w:tcW w:w="2764" w:type="dxa"/>
            <w:vMerge w:val="restart"/>
            <w:tcBorders>
              <w:left w:val="nil"/>
              <w:right w:val="single" w:sz="4" w:space="0" w:color="FFFFFF"/>
            </w:tcBorders>
            <w:shd w:val="clear" w:color="auto" w:fill="CCE2ED"/>
          </w:tcPr>
          <w:p w14:paraId="759FE992" w14:textId="77777777" w:rsidR="00141B97" w:rsidRDefault="00141B97">
            <w:pPr>
              <w:pStyle w:val="TableParagraph"/>
              <w:rPr>
                <w:sz w:val="16"/>
              </w:rPr>
            </w:pPr>
          </w:p>
          <w:p w14:paraId="12D07F93" w14:textId="77777777" w:rsidR="00141B97" w:rsidRDefault="00141B97">
            <w:pPr>
              <w:pStyle w:val="TableParagraph"/>
              <w:rPr>
                <w:sz w:val="16"/>
              </w:rPr>
            </w:pPr>
          </w:p>
          <w:p w14:paraId="63BAF5DA" w14:textId="77777777" w:rsidR="00141B97" w:rsidRDefault="00141B97">
            <w:pPr>
              <w:pStyle w:val="TableParagraph"/>
              <w:rPr>
                <w:sz w:val="16"/>
              </w:rPr>
            </w:pPr>
          </w:p>
          <w:p w14:paraId="1676A907" w14:textId="77777777" w:rsidR="00141B97" w:rsidRDefault="00141B97">
            <w:pPr>
              <w:pStyle w:val="TableParagraph"/>
              <w:rPr>
                <w:sz w:val="16"/>
              </w:rPr>
            </w:pPr>
          </w:p>
          <w:p w14:paraId="613F3C8B" w14:textId="77777777" w:rsidR="00141B97" w:rsidRDefault="00141B97">
            <w:pPr>
              <w:pStyle w:val="TableParagraph"/>
              <w:rPr>
                <w:sz w:val="16"/>
              </w:rPr>
            </w:pPr>
          </w:p>
          <w:p w14:paraId="520299E1" w14:textId="77777777" w:rsidR="00141B97" w:rsidRDefault="00911D63">
            <w:pPr>
              <w:pStyle w:val="TableParagraph"/>
              <w:spacing w:before="102"/>
              <w:ind w:left="96"/>
              <w:rPr>
                <w:sz w:val="16"/>
              </w:rPr>
            </w:pPr>
            <w:r>
              <w:rPr>
                <w:spacing w:val="-2"/>
                <w:sz w:val="16"/>
              </w:rPr>
              <w:t>Irrigation</w:t>
            </w:r>
            <w:r>
              <w:rPr>
                <w:spacing w:val="6"/>
                <w:sz w:val="16"/>
              </w:rPr>
              <w:t xml:space="preserve"> </w:t>
            </w:r>
            <w:r>
              <w:rPr>
                <w:spacing w:val="-2"/>
                <w:sz w:val="16"/>
              </w:rPr>
              <w:t>Meter</w:t>
            </w:r>
            <w:r>
              <w:rPr>
                <w:spacing w:val="5"/>
                <w:sz w:val="16"/>
              </w:rPr>
              <w:t xml:space="preserve"> </w:t>
            </w:r>
            <w:r>
              <w:rPr>
                <w:spacing w:val="-2"/>
                <w:sz w:val="16"/>
              </w:rPr>
              <w:t>Replacement</w:t>
            </w:r>
          </w:p>
        </w:tc>
        <w:tc>
          <w:tcPr>
            <w:tcW w:w="1115" w:type="dxa"/>
            <w:vMerge w:val="restart"/>
            <w:tcBorders>
              <w:left w:val="single" w:sz="4" w:space="0" w:color="FFFFFF"/>
              <w:right w:val="single" w:sz="4" w:space="0" w:color="FFFFFF"/>
            </w:tcBorders>
            <w:shd w:val="clear" w:color="auto" w:fill="CCE2ED"/>
          </w:tcPr>
          <w:p w14:paraId="48D63078" w14:textId="77777777" w:rsidR="00141B97" w:rsidRDefault="00141B97">
            <w:pPr>
              <w:pStyle w:val="TableParagraph"/>
              <w:rPr>
                <w:sz w:val="16"/>
              </w:rPr>
            </w:pPr>
          </w:p>
          <w:p w14:paraId="5C0E3C5D" w14:textId="77777777" w:rsidR="00141B97" w:rsidRDefault="00141B97">
            <w:pPr>
              <w:pStyle w:val="TableParagraph"/>
              <w:rPr>
                <w:sz w:val="16"/>
              </w:rPr>
            </w:pPr>
          </w:p>
          <w:p w14:paraId="292EB4A5" w14:textId="77777777" w:rsidR="00141B97" w:rsidRDefault="00141B97">
            <w:pPr>
              <w:pStyle w:val="TableParagraph"/>
              <w:rPr>
                <w:sz w:val="16"/>
              </w:rPr>
            </w:pPr>
          </w:p>
          <w:p w14:paraId="7FD4F741" w14:textId="77777777" w:rsidR="00141B97" w:rsidRDefault="00141B97">
            <w:pPr>
              <w:pStyle w:val="TableParagraph"/>
              <w:rPr>
                <w:sz w:val="16"/>
              </w:rPr>
            </w:pPr>
          </w:p>
          <w:p w14:paraId="281E663C" w14:textId="77777777" w:rsidR="00141B97" w:rsidRDefault="00141B97">
            <w:pPr>
              <w:pStyle w:val="TableParagraph"/>
              <w:rPr>
                <w:sz w:val="16"/>
              </w:rPr>
            </w:pPr>
          </w:p>
          <w:p w14:paraId="3144DBBF" w14:textId="77777777" w:rsidR="00141B97" w:rsidRDefault="00911D63">
            <w:pPr>
              <w:pStyle w:val="TableParagraph"/>
              <w:spacing w:before="102"/>
              <w:ind w:left="399" w:right="399"/>
              <w:jc w:val="center"/>
              <w:rPr>
                <w:sz w:val="16"/>
              </w:rPr>
            </w:pPr>
            <w:r>
              <w:rPr>
                <w:spacing w:val="-4"/>
                <w:sz w:val="16"/>
              </w:rPr>
              <w:t>5.81</w:t>
            </w:r>
          </w:p>
        </w:tc>
        <w:tc>
          <w:tcPr>
            <w:tcW w:w="995" w:type="dxa"/>
            <w:vMerge w:val="restart"/>
            <w:tcBorders>
              <w:left w:val="single" w:sz="4" w:space="0" w:color="FFFFFF"/>
              <w:right w:val="single" w:sz="4" w:space="0" w:color="FFFFFF"/>
            </w:tcBorders>
            <w:shd w:val="clear" w:color="auto" w:fill="CCE2ED"/>
          </w:tcPr>
          <w:p w14:paraId="39AF00F5" w14:textId="77777777" w:rsidR="00141B97" w:rsidRDefault="00141B97">
            <w:pPr>
              <w:pStyle w:val="TableParagraph"/>
              <w:rPr>
                <w:sz w:val="16"/>
              </w:rPr>
            </w:pPr>
          </w:p>
          <w:p w14:paraId="09C4974A" w14:textId="77777777" w:rsidR="00141B97" w:rsidRDefault="00141B97">
            <w:pPr>
              <w:pStyle w:val="TableParagraph"/>
              <w:rPr>
                <w:sz w:val="16"/>
              </w:rPr>
            </w:pPr>
          </w:p>
          <w:p w14:paraId="55ECB504" w14:textId="77777777" w:rsidR="00141B97" w:rsidRDefault="00141B97">
            <w:pPr>
              <w:pStyle w:val="TableParagraph"/>
              <w:rPr>
                <w:sz w:val="16"/>
              </w:rPr>
            </w:pPr>
          </w:p>
          <w:p w14:paraId="74E95110" w14:textId="77777777" w:rsidR="00141B97" w:rsidRDefault="00141B97">
            <w:pPr>
              <w:pStyle w:val="TableParagraph"/>
              <w:rPr>
                <w:sz w:val="16"/>
              </w:rPr>
            </w:pPr>
          </w:p>
          <w:p w14:paraId="35D7C142" w14:textId="77777777" w:rsidR="00141B97" w:rsidRDefault="00141B97">
            <w:pPr>
              <w:pStyle w:val="TableParagraph"/>
              <w:rPr>
                <w:sz w:val="16"/>
              </w:rPr>
            </w:pPr>
          </w:p>
          <w:p w14:paraId="311DD0ED" w14:textId="77777777" w:rsidR="00141B97" w:rsidRDefault="00911D63">
            <w:pPr>
              <w:pStyle w:val="TableParagraph"/>
              <w:spacing w:before="102"/>
              <w:ind w:left="197"/>
              <w:rPr>
                <w:sz w:val="16"/>
              </w:rPr>
            </w:pPr>
            <w:r>
              <w:rPr>
                <w:spacing w:val="-2"/>
                <w:sz w:val="16"/>
              </w:rPr>
              <w:t>Irrigation</w:t>
            </w:r>
          </w:p>
        </w:tc>
        <w:tc>
          <w:tcPr>
            <w:tcW w:w="1397" w:type="dxa"/>
            <w:vMerge w:val="restart"/>
            <w:tcBorders>
              <w:left w:val="single" w:sz="4" w:space="0" w:color="FFFFFF"/>
              <w:right w:val="nil"/>
            </w:tcBorders>
            <w:shd w:val="clear" w:color="auto" w:fill="CCE2ED"/>
          </w:tcPr>
          <w:p w14:paraId="5FE4E6AB" w14:textId="77777777" w:rsidR="00141B97" w:rsidRDefault="00141B97">
            <w:pPr>
              <w:pStyle w:val="TableParagraph"/>
              <w:rPr>
                <w:sz w:val="16"/>
              </w:rPr>
            </w:pPr>
          </w:p>
          <w:p w14:paraId="6B720E67" w14:textId="77777777" w:rsidR="00141B97" w:rsidRDefault="00141B97">
            <w:pPr>
              <w:pStyle w:val="TableParagraph"/>
              <w:rPr>
                <w:sz w:val="16"/>
              </w:rPr>
            </w:pPr>
          </w:p>
          <w:p w14:paraId="119F6EEC" w14:textId="77777777" w:rsidR="00141B97" w:rsidRDefault="00141B97">
            <w:pPr>
              <w:pStyle w:val="TableParagraph"/>
              <w:rPr>
                <w:sz w:val="16"/>
              </w:rPr>
            </w:pPr>
          </w:p>
          <w:p w14:paraId="2C6EFD9F" w14:textId="77777777" w:rsidR="00141B97" w:rsidRDefault="00141B97">
            <w:pPr>
              <w:pStyle w:val="TableParagraph"/>
              <w:rPr>
                <w:sz w:val="16"/>
              </w:rPr>
            </w:pPr>
          </w:p>
          <w:p w14:paraId="390484D8" w14:textId="77777777" w:rsidR="00141B97" w:rsidRDefault="00141B97">
            <w:pPr>
              <w:pStyle w:val="TableParagraph"/>
              <w:rPr>
                <w:sz w:val="16"/>
              </w:rPr>
            </w:pPr>
          </w:p>
          <w:p w14:paraId="7D692244" w14:textId="77777777" w:rsidR="00141B97" w:rsidRDefault="00911D63">
            <w:pPr>
              <w:pStyle w:val="TableParagraph"/>
              <w:spacing w:before="102"/>
              <w:ind w:left="368"/>
              <w:rPr>
                <w:sz w:val="16"/>
              </w:rPr>
            </w:pPr>
            <w:r>
              <w:rPr>
                <w:spacing w:val="-2"/>
                <w:sz w:val="16"/>
              </w:rPr>
              <w:t>Renewals</w:t>
            </w:r>
          </w:p>
        </w:tc>
        <w:tc>
          <w:tcPr>
            <w:tcW w:w="3771" w:type="dxa"/>
            <w:tcBorders>
              <w:left w:val="nil"/>
              <w:bottom w:val="single" w:sz="4" w:space="0" w:color="FFFFFF"/>
              <w:right w:val="nil"/>
            </w:tcBorders>
            <w:shd w:val="clear" w:color="auto" w:fill="CCE2ED"/>
          </w:tcPr>
          <w:p w14:paraId="455475B3" w14:textId="77777777" w:rsidR="00141B97" w:rsidRDefault="00911D63">
            <w:pPr>
              <w:pStyle w:val="TableParagraph"/>
              <w:spacing w:before="13" w:line="188" w:lineRule="exact"/>
              <w:ind w:left="106"/>
              <w:rPr>
                <w:sz w:val="16"/>
              </w:rPr>
            </w:pPr>
            <w:r>
              <w:rPr>
                <w:sz w:val="16"/>
              </w:rPr>
              <w:t>MDA</w:t>
            </w:r>
            <w:r>
              <w:rPr>
                <w:spacing w:val="-4"/>
                <w:sz w:val="16"/>
              </w:rPr>
              <w:t xml:space="preserve"> </w:t>
            </w:r>
            <w:r>
              <w:rPr>
                <w:sz w:val="16"/>
              </w:rPr>
              <w:t>‐</w:t>
            </w:r>
            <w:r>
              <w:rPr>
                <w:spacing w:val="-4"/>
                <w:sz w:val="16"/>
              </w:rPr>
              <w:t xml:space="preserve"> </w:t>
            </w:r>
            <w:r>
              <w:rPr>
                <w:sz w:val="16"/>
              </w:rPr>
              <w:t>Irrigation</w:t>
            </w:r>
            <w:r>
              <w:rPr>
                <w:spacing w:val="-3"/>
                <w:sz w:val="16"/>
              </w:rPr>
              <w:t xml:space="preserve"> </w:t>
            </w:r>
            <w:r>
              <w:rPr>
                <w:sz w:val="16"/>
              </w:rPr>
              <w:t>Meter</w:t>
            </w:r>
            <w:r>
              <w:rPr>
                <w:spacing w:val="-4"/>
                <w:sz w:val="16"/>
              </w:rPr>
              <w:t xml:space="preserve"> </w:t>
            </w:r>
            <w:r>
              <w:rPr>
                <w:spacing w:val="-2"/>
                <w:sz w:val="16"/>
              </w:rPr>
              <w:t>Replacement</w:t>
            </w:r>
          </w:p>
        </w:tc>
        <w:tc>
          <w:tcPr>
            <w:tcW w:w="1106" w:type="dxa"/>
            <w:tcBorders>
              <w:left w:val="nil"/>
              <w:bottom w:val="single" w:sz="4" w:space="0" w:color="FFFFFF"/>
              <w:right w:val="nil"/>
            </w:tcBorders>
            <w:shd w:val="clear" w:color="auto" w:fill="CCE2ED"/>
          </w:tcPr>
          <w:p w14:paraId="54343C8D" w14:textId="77777777" w:rsidR="00141B97" w:rsidRDefault="00911D63">
            <w:pPr>
              <w:pStyle w:val="TableParagraph"/>
              <w:spacing w:before="13" w:line="188" w:lineRule="exact"/>
              <w:ind w:left="366" w:right="175"/>
              <w:jc w:val="center"/>
              <w:rPr>
                <w:sz w:val="16"/>
              </w:rPr>
            </w:pPr>
            <w:r>
              <w:rPr>
                <w:spacing w:val="-4"/>
                <w:sz w:val="16"/>
              </w:rPr>
              <w:t>0.27</w:t>
            </w:r>
          </w:p>
        </w:tc>
        <w:tc>
          <w:tcPr>
            <w:tcW w:w="911" w:type="dxa"/>
            <w:tcBorders>
              <w:left w:val="nil"/>
              <w:bottom w:val="single" w:sz="4" w:space="0" w:color="FFFFFF"/>
              <w:right w:val="nil"/>
            </w:tcBorders>
            <w:shd w:val="clear" w:color="auto" w:fill="CCE2ED"/>
          </w:tcPr>
          <w:p w14:paraId="7303D5F8" w14:textId="77777777" w:rsidR="00141B97" w:rsidRDefault="00911D63">
            <w:pPr>
              <w:pStyle w:val="TableParagraph"/>
              <w:spacing w:before="13" w:line="188" w:lineRule="exact"/>
              <w:ind w:left="171" w:right="175"/>
              <w:jc w:val="center"/>
              <w:rPr>
                <w:sz w:val="16"/>
              </w:rPr>
            </w:pPr>
            <w:r>
              <w:rPr>
                <w:spacing w:val="-4"/>
                <w:sz w:val="16"/>
              </w:rPr>
              <w:t>0.27</w:t>
            </w:r>
          </w:p>
        </w:tc>
        <w:tc>
          <w:tcPr>
            <w:tcW w:w="911" w:type="dxa"/>
            <w:tcBorders>
              <w:left w:val="nil"/>
              <w:bottom w:val="single" w:sz="4" w:space="0" w:color="FFFFFF"/>
              <w:right w:val="nil"/>
            </w:tcBorders>
            <w:shd w:val="clear" w:color="auto" w:fill="CCE2ED"/>
          </w:tcPr>
          <w:p w14:paraId="753488BF" w14:textId="77777777" w:rsidR="00141B97" w:rsidRDefault="00911D63">
            <w:pPr>
              <w:pStyle w:val="TableParagraph"/>
              <w:spacing w:before="13" w:line="188" w:lineRule="exact"/>
              <w:ind w:left="171" w:right="175"/>
              <w:jc w:val="center"/>
              <w:rPr>
                <w:sz w:val="16"/>
              </w:rPr>
            </w:pPr>
            <w:r>
              <w:rPr>
                <w:spacing w:val="-4"/>
                <w:sz w:val="16"/>
              </w:rPr>
              <w:t>0.27</w:t>
            </w:r>
          </w:p>
        </w:tc>
        <w:tc>
          <w:tcPr>
            <w:tcW w:w="910" w:type="dxa"/>
            <w:tcBorders>
              <w:left w:val="nil"/>
              <w:bottom w:val="single" w:sz="4" w:space="0" w:color="FFFFFF"/>
              <w:right w:val="nil"/>
            </w:tcBorders>
            <w:shd w:val="clear" w:color="auto" w:fill="CCE2ED"/>
          </w:tcPr>
          <w:p w14:paraId="7B6EF8C0" w14:textId="77777777" w:rsidR="00141B97" w:rsidRDefault="00911D63">
            <w:pPr>
              <w:pStyle w:val="TableParagraph"/>
              <w:spacing w:before="13" w:line="188" w:lineRule="exact"/>
              <w:ind w:left="169" w:right="175"/>
              <w:jc w:val="center"/>
              <w:rPr>
                <w:sz w:val="16"/>
              </w:rPr>
            </w:pPr>
            <w:r>
              <w:rPr>
                <w:spacing w:val="-4"/>
                <w:sz w:val="16"/>
              </w:rPr>
              <w:t>0.27</w:t>
            </w:r>
          </w:p>
        </w:tc>
        <w:tc>
          <w:tcPr>
            <w:tcW w:w="939" w:type="dxa"/>
            <w:tcBorders>
              <w:left w:val="nil"/>
              <w:bottom w:val="single" w:sz="4" w:space="0" w:color="FFFFFF"/>
              <w:right w:val="nil"/>
            </w:tcBorders>
            <w:shd w:val="clear" w:color="auto" w:fill="CCE2ED"/>
          </w:tcPr>
          <w:p w14:paraId="6B49D735" w14:textId="77777777" w:rsidR="00141B97" w:rsidRDefault="00911D63">
            <w:pPr>
              <w:pStyle w:val="TableParagraph"/>
              <w:spacing w:before="13" w:line="188" w:lineRule="exact"/>
              <w:ind w:left="169" w:right="205"/>
              <w:jc w:val="center"/>
              <w:rPr>
                <w:sz w:val="16"/>
              </w:rPr>
            </w:pPr>
            <w:r>
              <w:rPr>
                <w:spacing w:val="-4"/>
                <w:sz w:val="16"/>
              </w:rPr>
              <w:t>0.27</w:t>
            </w:r>
          </w:p>
        </w:tc>
        <w:tc>
          <w:tcPr>
            <w:tcW w:w="869" w:type="dxa"/>
            <w:tcBorders>
              <w:left w:val="nil"/>
              <w:bottom w:val="single" w:sz="4" w:space="0" w:color="FFFFFF"/>
              <w:right w:val="nil"/>
            </w:tcBorders>
            <w:shd w:val="clear" w:color="auto" w:fill="CCE2ED"/>
          </w:tcPr>
          <w:p w14:paraId="0AD1F708" w14:textId="77777777" w:rsidR="00141B97" w:rsidRDefault="00911D63">
            <w:pPr>
              <w:pStyle w:val="TableParagraph"/>
              <w:spacing w:before="13" w:line="188" w:lineRule="exact"/>
              <w:ind w:right="307"/>
              <w:jc w:val="right"/>
              <w:rPr>
                <w:sz w:val="16"/>
              </w:rPr>
            </w:pPr>
            <w:r>
              <w:rPr>
                <w:spacing w:val="-4"/>
                <w:sz w:val="16"/>
              </w:rPr>
              <w:t>1.37</w:t>
            </w:r>
          </w:p>
        </w:tc>
      </w:tr>
      <w:tr w:rsidR="00141B97" w14:paraId="7B80BBE6" w14:textId="77777777">
        <w:trPr>
          <w:trHeight w:val="222"/>
        </w:trPr>
        <w:tc>
          <w:tcPr>
            <w:tcW w:w="2764" w:type="dxa"/>
            <w:vMerge/>
            <w:tcBorders>
              <w:top w:val="nil"/>
              <w:left w:val="nil"/>
              <w:right w:val="single" w:sz="4" w:space="0" w:color="FFFFFF"/>
            </w:tcBorders>
            <w:shd w:val="clear" w:color="auto" w:fill="CCE2ED"/>
          </w:tcPr>
          <w:p w14:paraId="499648E1"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2576B1C9"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558F41E3"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73DF8172" w14:textId="77777777" w:rsidR="00141B97" w:rsidRDefault="00141B97">
            <w:pPr>
              <w:rPr>
                <w:sz w:val="2"/>
                <w:szCs w:val="2"/>
              </w:rPr>
            </w:pPr>
          </w:p>
        </w:tc>
        <w:tc>
          <w:tcPr>
            <w:tcW w:w="3771" w:type="dxa"/>
            <w:tcBorders>
              <w:top w:val="single" w:sz="4" w:space="0" w:color="FFFFFF"/>
              <w:left w:val="nil"/>
              <w:right w:val="nil"/>
            </w:tcBorders>
            <w:shd w:val="clear" w:color="auto" w:fill="CCE2ED"/>
          </w:tcPr>
          <w:p w14:paraId="6075E667" w14:textId="77777777" w:rsidR="00141B97" w:rsidRDefault="00911D63">
            <w:pPr>
              <w:pStyle w:val="TableParagraph"/>
              <w:spacing w:before="13" w:line="189" w:lineRule="exact"/>
              <w:ind w:left="106"/>
              <w:rPr>
                <w:sz w:val="16"/>
              </w:rPr>
            </w:pPr>
            <w:r>
              <w:rPr>
                <w:sz w:val="16"/>
              </w:rPr>
              <w:t>MDA</w:t>
            </w:r>
            <w:r>
              <w:rPr>
                <w:spacing w:val="-2"/>
                <w:sz w:val="16"/>
              </w:rPr>
              <w:t xml:space="preserve"> </w:t>
            </w:r>
            <w:r>
              <w:rPr>
                <w:sz w:val="16"/>
              </w:rPr>
              <w:t>‐</w:t>
            </w:r>
            <w:r>
              <w:rPr>
                <w:spacing w:val="-3"/>
                <w:sz w:val="16"/>
              </w:rPr>
              <w:t xml:space="preserve"> </w:t>
            </w:r>
            <w:r>
              <w:rPr>
                <w:sz w:val="16"/>
              </w:rPr>
              <w:t>D</w:t>
            </w:r>
            <w:r>
              <w:rPr>
                <w:spacing w:val="-1"/>
                <w:sz w:val="16"/>
              </w:rPr>
              <w:t xml:space="preserve"> </w:t>
            </w:r>
            <w:r>
              <w:rPr>
                <w:sz w:val="16"/>
              </w:rPr>
              <w:t>&amp;</w:t>
            </w:r>
            <w:r>
              <w:rPr>
                <w:spacing w:val="-2"/>
                <w:sz w:val="16"/>
              </w:rPr>
              <w:t xml:space="preserve"> </w:t>
            </w:r>
            <w:r>
              <w:rPr>
                <w:sz w:val="16"/>
              </w:rPr>
              <w:t>S</w:t>
            </w:r>
            <w:r>
              <w:rPr>
                <w:spacing w:val="-2"/>
                <w:sz w:val="16"/>
              </w:rPr>
              <w:t xml:space="preserve"> </w:t>
            </w:r>
            <w:r>
              <w:rPr>
                <w:sz w:val="16"/>
              </w:rPr>
              <w:t>Meter</w:t>
            </w:r>
            <w:r>
              <w:rPr>
                <w:spacing w:val="-3"/>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2614DE27" w14:textId="77777777" w:rsidR="00141B97" w:rsidRDefault="00911D63">
            <w:pPr>
              <w:pStyle w:val="TableParagraph"/>
              <w:spacing w:before="13" w:line="189" w:lineRule="exact"/>
              <w:ind w:left="366" w:right="175"/>
              <w:jc w:val="center"/>
              <w:rPr>
                <w:sz w:val="16"/>
              </w:rPr>
            </w:pPr>
            <w:r>
              <w:rPr>
                <w:spacing w:val="-4"/>
                <w:sz w:val="16"/>
              </w:rPr>
              <w:t>0.02</w:t>
            </w:r>
          </w:p>
        </w:tc>
        <w:tc>
          <w:tcPr>
            <w:tcW w:w="911" w:type="dxa"/>
            <w:tcBorders>
              <w:top w:val="single" w:sz="4" w:space="0" w:color="FFFFFF"/>
              <w:left w:val="nil"/>
              <w:right w:val="nil"/>
            </w:tcBorders>
            <w:shd w:val="clear" w:color="auto" w:fill="CCE2ED"/>
          </w:tcPr>
          <w:p w14:paraId="099B44C1" w14:textId="77777777" w:rsidR="00141B97" w:rsidRDefault="00911D63">
            <w:pPr>
              <w:pStyle w:val="TableParagraph"/>
              <w:spacing w:before="13" w:line="189" w:lineRule="exact"/>
              <w:ind w:left="171" w:right="175"/>
              <w:jc w:val="center"/>
              <w:rPr>
                <w:sz w:val="16"/>
              </w:rPr>
            </w:pPr>
            <w:r>
              <w:rPr>
                <w:spacing w:val="-4"/>
                <w:sz w:val="16"/>
              </w:rPr>
              <w:t>0.02</w:t>
            </w:r>
          </w:p>
        </w:tc>
        <w:tc>
          <w:tcPr>
            <w:tcW w:w="911" w:type="dxa"/>
            <w:tcBorders>
              <w:top w:val="single" w:sz="4" w:space="0" w:color="FFFFFF"/>
              <w:left w:val="nil"/>
              <w:right w:val="nil"/>
            </w:tcBorders>
            <w:shd w:val="clear" w:color="auto" w:fill="CCE2ED"/>
          </w:tcPr>
          <w:p w14:paraId="24A957A3" w14:textId="77777777" w:rsidR="00141B97" w:rsidRDefault="00911D63">
            <w:pPr>
              <w:pStyle w:val="TableParagraph"/>
              <w:spacing w:before="13" w:line="189" w:lineRule="exact"/>
              <w:ind w:left="171" w:right="175"/>
              <w:jc w:val="center"/>
              <w:rPr>
                <w:sz w:val="16"/>
              </w:rPr>
            </w:pPr>
            <w:r>
              <w:rPr>
                <w:spacing w:val="-4"/>
                <w:sz w:val="16"/>
              </w:rPr>
              <w:t>0.02</w:t>
            </w:r>
          </w:p>
        </w:tc>
        <w:tc>
          <w:tcPr>
            <w:tcW w:w="910" w:type="dxa"/>
            <w:tcBorders>
              <w:top w:val="single" w:sz="4" w:space="0" w:color="FFFFFF"/>
              <w:left w:val="nil"/>
              <w:right w:val="nil"/>
            </w:tcBorders>
            <w:shd w:val="clear" w:color="auto" w:fill="CCE2ED"/>
          </w:tcPr>
          <w:p w14:paraId="0F93D28C" w14:textId="77777777" w:rsidR="00141B97" w:rsidRDefault="00911D63">
            <w:pPr>
              <w:pStyle w:val="TableParagraph"/>
              <w:spacing w:before="13" w:line="189" w:lineRule="exact"/>
              <w:ind w:left="169" w:right="175"/>
              <w:jc w:val="center"/>
              <w:rPr>
                <w:sz w:val="16"/>
              </w:rPr>
            </w:pPr>
            <w:r>
              <w:rPr>
                <w:spacing w:val="-4"/>
                <w:sz w:val="16"/>
              </w:rPr>
              <w:t>0.02</w:t>
            </w:r>
          </w:p>
        </w:tc>
        <w:tc>
          <w:tcPr>
            <w:tcW w:w="939" w:type="dxa"/>
            <w:tcBorders>
              <w:top w:val="single" w:sz="4" w:space="0" w:color="FFFFFF"/>
              <w:left w:val="nil"/>
              <w:right w:val="nil"/>
            </w:tcBorders>
            <w:shd w:val="clear" w:color="auto" w:fill="CCE2ED"/>
          </w:tcPr>
          <w:p w14:paraId="3500FF87" w14:textId="77777777" w:rsidR="00141B97" w:rsidRDefault="00911D63">
            <w:pPr>
              <w:pStyle w:val="TableParagraph"/>
              <w:spacing w:before="13" w:line="189" w:lineRule="exact"/>
              <w:ind w:left="169" w:right="205"/>
              <w:jc w:val="center"/>
              <w:rPr>
                <w:sz w:val="16"/>
              </w:rPr>
            </w:pPr>
            <w:r>
              <w:rPr>
                <w:spacing w:val="-4"/>
                <w:sz w:val="16"/>
              </w:rPr>
              <w:t>0.02</w:t>
            </w:r>
          </w:p>
        </w:tc>
        <w:tc>
          <w:tcPr>
            <w:tcW w:w="869" w:type="dxa"/>
            <w:tcBorders>
              <w:top w:val="single" w:sz="4" w:space="0" w:color="FFFFFF"/>
              <w:left w:val="nil"/>
              <w:right w:val="nil"/>
            </w:tcBorders>
            <w:shd w:val="clear" w:color="auto" w:fill="CCE2ED"/>
          </w:tcPr>
          <w:p w14:paraId="0257C081" w14:textId="77777777" w:rsidR="00141B97" w:rsidRDefault="00911D63">
            <w:pPr>
              <w:pStyle w:val="TableParagraph"/>
              <w:spacing w:before="13" w:line="189" w:lineRule="exact"/>
              <w:ind w:right="307"/>
              <w:jc w:val="right"/>
              <w:rPr>
                <w:sz w:val="16"/>
              </w:rPr>
            </w:pPr>
            <w:r>
              <w:rPr>
                <w:spacing w:val="-4"/>
                <w:sz w:val="16"/>
              </w:rPr>
              <w:t>0.10</w:t>
            </w:r>
          </w:p>
        </w:tc>
      </w:tr>
      <w:tr w:rsidR="00141B97" w14:paraId="02696740" w14:textId="77777777">
        <w:trPr>
          <w:trHeight w:val="222"/>
        </w:trPr>
        <w:tc>
          <w:tcPr>
            <w:tcW w:w="2764" w:type="dxa"/>
            <w:vMerge/>
            <w:tcBorders>
              <w:top w:val="nil"/>
              <w:left w:val="nil"/>
              <w:right w:val="single" w:sz="4" w:space="0" w:color="FFFFFF"/>
            </w:tcBorders>
            <w:shd w:val="clear" w:color="auto" w:fill="CCE2ED"/>
          </w:tcPr>
          <w:p w14:paraId="14B558C0"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0C1A816A"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6FE373CE"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03DE9DCD" w14:textId="77777777" w:rsidR="00141B97" w:rsidRDefault="00141B97">
            <w:pPr>
              <w:rPr>
                <w:sz w:val="2"/>
                <w:szCs w:val="2"/>
              </w:rPr>
            </w:pPr>
          </w:p>
        </w:tc>
        <w:tc>
          <w:tcPr>
            <w:tcW w:w="3771" w:type="dxa"/>
            <w:tcBorders>
              <w:left w:val="nil"/>
              <w:bottom w:val="single" w:sz="4" w:space="0" w:color="FFFFFF"/>
              <w:right w:val="nil"/>
            </w:tcBorders>
            <w:shd w:val="clear" w:color="auto" w:fill="CCE2ED"/>
          </w:tcPr>
          <w:p w14:paraId="0E586D9C" w14:textId="77777777" w:rsidR="00141B97" w:rsidRDefault="00911D63">
            <w:pPr>
              <w:pStyle w:val="TableParagraph"/>
              <w:spacing w:before="13" w:line="188" w:lineRule="exact"/>
              <w:ind w:left="106"/>
              <w:rPr>
                <w:sz w:val="16"/>
              </w:rPr>
            </w:pPr>
            <w:r>
              <w:rPr>
                <w:sz w:val="16"/>
              </w:rPr>
              <w:t>MER</w:t>
            </w:r>
            <w:r>
              <w:rPr>
                <w:spacing w:val="-4"/>
                <w:sz w:val="16"/>
              </w:rPr>
              <w:t xml:space="preserve"> </w:t>
            </w:r>
            <w:r>
              <w:rPr>
                <w:sz w:val="16"/>
              </w:rPr>
              <w:t>‐</w:t>
            </w:r>
            <w:r>
              <w:rPr>
                <w:spacing w:val="-5"/>
                <w:sz w:val="16"/>
              </w:rPr>
              <w:t xml:space="preserve"> </w:t>
            </w:r>
            <w:r>
              <w:rPr>
                <w:sz w:val="16"/>
              </w:rPr>
              <w:t>Irrigation</w:t>
            </w:r>
            <w:r>
              <w:rPr>
                <w:spacing w:val="-3"/>
                <w:sz w:val="16"/>
              </w:rPr>
              <w:t xml:space="preserve"> </w:t>
            </w:r>
            <w:r>
              <w:rPr>
                <w:sz w:val="16"/>
              </w:rPr>
              <w:t>Meter</w:t>
            </w:r>
            <w:r>
              <w:rPr>
                <w:spacing w:val="-5"/>
                <w:sz w:val="16"/>
              </w:rPr>
              <w:t xml:space="preserve"> </w:t>
            </w:r>
            <w:r>
              <w:rPr>
                <w:spacing w:val="-2"/>
                <w:sz w:val="16"/>
              </w:rPr>
              <w:t>Replacement</w:t>
            </w:r>
          </w:p>
        </w:tc>
        <w:tc>
          <w:tcPr>
            <w:tcW w:w="1106" w:type="dxa"/>
            <w:tcBorders>
              <w:left w:val="nil"/>
              <w:bottom w:val="single" w:sz="4" w:space="0" w:color="FFFFFF"/>
              <w:right w:val="nil"/>
            </w:tcBorders>
            <w:shd w:val="clear" w:color="auto" w:fill="CCE2ED"/>
          </w:tcPr>
          <w:p w14:paraId="7171AC9F" w14:textId="77777777" w:rsidR="00141B97" w:rsidRDefault="00911D63">
            <w:pPr>
              <w:pStyle w:val="TableParagraph"/>
              <w:spacing w:before="13" w:line="188" w:lineRule="exact"/>
              <w:ind w:left="366" w:right="175"/>
              <w:jc w:val="center"/>
              <w:rPr>
                <w:sz w:val="16"/>
              </w:rPr>
            </w:pPr>
            <w:r>
              <w:rPr>
                <w:spacing w:val="-4"/>
                <w:sz w:val="16"/>
              </w:rPr>
              <w:t>0.11</w:t>
            </w:r>
          </w:p>
        </w:tc>
        <w:tc>
          <w:tcPr>
            <w:tcW w:w="911" w:type="dxa"/>
            <w:tcBorders>
              <w:left w:val="nil"/>
              <w:bottom w:val="single" w:sz="4" w:space="0" w:color="FFFFFF"/>
              <w:right w:val="nil"/>
            </w:tcBorders>
            <w:shd w:val="clear" w:color="auto" w:fill="CCE2ED"/>
          </w:tcPr>
          <w:p w14:paraId="30F83D62" w14:textId="77777777" w:rsidR="00141B97" w:rsidRDefault="00911D63">
            <w:pPr>
              <w:pStyle w:val="TableParagraph"/>
              <w:spacing w:before="13" w:line="188" w:lineRule="exact"/>
              <w:ind w:left="171" w:right="175"/>
              <w:jc w:val="center"/>
              <w:rPr>
                <w:sz w:val="16"/>
              </w:rPr>
            </w:pPr>
            <w:r>
              <w:rPr>
                <w:spacing w:val="-4"/>
                <w:sz w:val="16"/>
              </w:rPr>
              <w:t>0.11</w:t>
            </w:r>
          </w:p>
        </w:tc>
        <w:tc>
          <w:tcPr>
            <w:tcW w:w="911" w:type="dxa"/>
            <w:tcBorders>
              <w:left w:val="nil"/>
              <w:bottom w:val="single" w:sz="4" w:space="0" w:color="FFFFFF"/>
              <w:right w:val="nil"/>
            </w:tcBorders>
            <w:shd w:val="clear" w:color="auto" w:fill="CCE2ED"/>
          </w:tcPr>
          <w:p w14:paraId="3E57A88D" w14:textId="77777777" w:rsidR="00141B97" w:rsidRDefault="00911D63">
            <w:pPr>
              <w:pStyle w:val="TableParagraph"/>
              <w:spacing w:before="13" w:line="188" w:lineRule="exact"/>
              <w:ind w:left="171" w:right="175"/>
              <w:jc w:val="center"/>
              <w:rPr>
                <w:sz w:val="16"/>
              </w:rPr>
            </w:pPr>
            <w:r>
              <w:rPr>
                <w:spacing w:val="-4"/>
                <w:sz w:val="16"/>
              </w:rPr>
              <w:t>0.11</w:t>
            </w:r>
          </w:p>
        </w:tc>
        <w:tc>
          <w:tcPr>
            <w:tcW w:w="910" w:type="dxa"/>
            <w:tcBorders>
              <w:left w:val="nil"/>
              <w:bottom w:val="single" w:sz="4" w:space="0" w:color="FFFFFF"/>
              <w:right w:val="nil"/>
            </w:tcBorders>
            <w:shd w:val="clear" w:color="auto" w:fill="CCE2ED"/>
          </w:tcPr>
          <w:p w14:paraId="43E9FBCB" w14:textId="77777777" w:rsidR="00141B97" w:rsidRDefault="00911D63">
            <w:pPr>
              <w:pStyle w:val="TableParagraph"/>
              <w:spacing w:before="13" w:line="188" w:lineRule="exact"/>
              <w:ind w:left="169" w:right="175"/>
              <w:jc w:val="center"/>
              <w:rPr>
                <w:sz w:val="16"/>
              </w:rPr>
            </w:pPr>
            <w:r>
              <w:rPr>
                <w:spacing w:val="-4"/>
                <w:sz w:val="16"/>
              </w:rPr>
              <w:t>0.11</w:t>
            </w:r>
          </w:p>
        </w:tc>
        <w:tc>
          <w:tcPr>
            <w:tcW w:w="939" w:type="dxa"/>
            <w:tcBorders>
              <w:left w:val="nil"/>
              <w:bottom w:val="single" w:sz="4" w:space="0" w:color="FFFFFF"/>
              <w:right w:val="nil"/>
            </w:tcBorders>
            <w:shd w:val="clear" w:color="auto" w:fill="CCE2ED"/>
          </w:tcPr>
          <w:p w14:paraId="026D7B08" w14:textId="77777777" w:rsidR="00141B97" w:rsidRDefault="00911D63">
            <w:pPr>
              <w:pStyle w:val="TableParagraph"/>
              <w:spacing w:before="13" w:line="188" w:lineRule="exact"/>
              <w:ind w:left="169" w:right="205"/>
              <w:jc w:val="center"/>
              <w:rPr>
                <w:sz w:val="16"/>
              </w:rPr>
            </w:pPr>
            <w:r>
              <w:rPr>
                <w:spacing w:val="-4"/>
                <w:sz w:val="16"/>
              </w:rPr>
              <w:t>0.11</w:t>
            </w:r>
          </w:p>
        </w:tc>
        <w:tc>
          <w:tcPr>
            <w:tcW w:w="869" w:type="dxa"/>
            <w:tcBorders>
              <w:left w:val="nil"/>
              <w:bottom w:val="single" w:sz="4" w:space="0" w:color="FFFFFF"/>
              <w:right w:val="nil"/>
            </w:tcBorders>
            <w:shd w:val="clear" w:color="auto" w:fill="CCE2ED"/>
          </w:tcPr>
          <w:p w14:paraId="3D15A50B" w14:textId="77777777" w:rsidR="00141B97" w:rsidRDefault="00911D63">
            <w:pPr>
              <w:pStyle w:val="TableParagraph"/>
              <w:spacing w:before="13" w:line="188" w:lineRule="exact"/>
              <w:ind w:right="307"/>
              <w:jc w:val="right"/>
              <w:rPr>
                <w:sz w:val="16"/>
              </w:rPr>
            </w:pPr>
            <w:r>
              <w:rPr>
                <w:spacing w:val="-4"/>
                <w:sz w:val="16"/>
              </w:rPr>
              <w:t>0.53</w:t>
            </w:r>
          </w:p>
        </w:tc>
      </w:tr>
      <w:tr w:rsidR="00141B97" w14:paraId="220CC601" w14:textId="77777777">
        <w:trPr>
          <w:trHeight w:val="221"/>
        </w:trPr>
        <w:tc>
          <w:tcPr>
            <w:tcW w:w="2764" w:type="dxa"/>
            <w:vMerge/>
            <w:tcBorders>
              <w:top w:val="nil"/>
              <w:left w:val="nil"/>
              <w:right w:val="single" w:sz="4" w:space="0" w:color="FFFFFF"/>
            </w:tcBorders>
            <w:shd w:val="clear" w:color="auto" w:fill="CCE2ED"/>
          </w:tcPr>
          <w:p w14:paraId="20AABAF9"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50D3A931"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630E9943"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421A7EB9" w14:textId="77777777" w:rsidR="00141B97" w:rsidRDefault="00141B97">
            <w:pPr>
              <w:rPr>
                <w:sz w:val="2"/>
                <w:szCs w:val="2"/>
              </w:rPr>
            </w:pPr>
          </w:p>
        </w:tc>
        <w:tc>
          <w:tcPr>
            <w:tcW w:w="3771" w:type="dxa"/>
            <w:tcBorders>
              <w:top w:val="single" w:sz="4" w:space="0" w:color="FFFFFF"/>
              <w:left w:val="nil"/>
              <w:right w:val="nil"/>
            </w:tcBorders>
            <w:shd w:val="clear" w:color="auto" w:fill="CCE2ED"/>
          </w:tcPr>
          <w:p w14:paraId="0D7C61D1" w14:textId="77777777" w:rsidR="00141B97" w:rsidRDefault="00911D63">
            <w:pPr>
              <w:pStyle w:val="TableParagraph"/>
              <w:spacing w:before="13" w:line="189" w:lineRule="exact"/>
              <w:ind w:left="106"/>
              <w:rPr>
                <w:sz w:val="16"/>
              </w:rPr>
            </w:pPr>
            <w:r>
              <w:rPr>
                <w:sz w:val="16"/>
              </w:rPr>
              <w:t>MER</w:t>
            </w:r>
            <w:r>
              <w:rPr>
                <w:spacing w:val="-4"/>
                <w:sz w:val="16"/>
              </w:rPr>
              <w:t xml:space="preserve"> </w:t>
            </w:r>
            <w:r>
              <w:rPr>
                <w:sz w:val="16"/>
              </w:rPr>
              <w:t>‐</w:t>
            </w:r>
            <w:r>
              <w:rPr>
                <w:spacing w:val="-4"/>
                <w:sz w:val="16"/>
              </w:rPr>
              <w:t xml:space="preserve"> </w:t>
            </w:r>
            <w:r>
              <w:rPr>
                <w:sz w:val="16"/>
              </w:rPr>
              <w:t>D&amp;S</w:t>
            </w:r>
            <w:r>
              <w:rPr>
                <w:spacing w:val="-3"/>
                <w:sz w:val="16"/>
              </w:rPr>
              <w:t xml:space="preserve"> </w:t>
            </w:r>
            <w:r>
              <w:rPr>
                <w:sz w:val="16"/>
              </w:rPr>
              <w:t>Meter</w:t>
            </w:r>
            <w:r>
              <w:rPr>
                <w:spacing w:val="-2"/>
                <w:sz w:val="16"/>
              </w:rPr>
              <w:t xml:space="preserve"> Replacement</w:t>
            </w:r>
          </w:p>
        </w:tc>
        <w:tc>
          <w:tcPr>
            <w:tcW w:w="1106" w:type="dxa"/>
            <w:tcBorders>
              <w:top w:val="single" w:sz="4" w:space="0" w:color="FFFFFF"/>
              <w:left w:val="nil"/>
              <w:right w:val="nil"/>
            </w:tcBorders>
            <w:shd w:val="clear" w:color="auto" w:fill="CCE2ED"/>
          </w:tcPr>
          <w:p w14:paraId="77C143E6" w14:textId="77777777" w:rsidR="00141B97" w:rsidRDefault="00911D63">
            <w:pPr>
              <w:pStyle w:val="TableParagraph"/>
              <w:spacing w:before="13" w:line="189" w:lineRule="exact"/>
              <w:ind w:left="366" w:right="175"/>
              <w:jc w:val="center"/>
              <w:rPr>
                <w:sz w:val="16"/>
              </w:rPr>
            </w:pPr>
            <w:r>
              <w:rPr>
                <w:spacing w:val="-4"/>
                <w:sz w:val="16"/>
              </w:rPr>
              <w:t>0.01</w:t>
            </w:r>
          </w:p>
        </w:tc>
        <w:tc>
          <w:tcPr>
            <w:tcW w:w="911" w:type="dxa"/>
            <w:tcBorders>
              <w:top w:val="single" w:sz="4" w:space="0" w:color="FFFFFF"/>
              <w:left w:val="nil"/>
              <w:right w:val="nil"/>
            </w:tcBorders>
            <w:shd w:val="clear" w:color="auto" w:fill="CCE2ED"/>
          </w:tcPr>
          <w:p w14:paraId="4C56B881" w14:textId="77777777" w:rsidR="00141B97" w:rsidRDefault="00911D63">
            <w:pPr>
              <w:pStyle w:val="TableParagraph"/>
              <w:spacing w:before="13" w:line="189" w:lineRule="exact"/>
              <w:ind w:left="171" w:right="175"/>
              <w:jc w:val="center"/>
              <w:rPr>
                <w:sz w:val="16"/>
              </w:rPr>
            </w:pPr>
            <w:r>
              <w:rPr>
                <w:spacing w:val="-4"/>
                <w:sz w:val="16"/>
              </w:rPr>
              <w:t>0.01</w:t>
            </w:r>
          </w:p>
        </w:tc>
        <w:tc>
          <w:tcPr>
            <w:tcW w:w="911" w:type="dxa"/>
            <w:tcBorders>
              <w:top w:val="single" w:sz="4" w:space="0" w:color="FFFFFF"/>
              <w:left w:val="nil"/>
              <w:right w:val="nil"/>
            </w:tcBorders>
            <w:shd w:val="clear" w:color="auto" w:fill="CCE2ED"/>
          </w:tcPr>
          <w:p w14:paraId="35F100B5" w14:textId="77777777" w:rsidR="00141B97" w:rsidRDefault="00911D63">
            <w:pPr>
              <w:pStyle w:val="TableParagraph"/>
              <w:spacing w:before="13" w:line="189" w:lineRule="exact"/>
              <w:ind w:left="171" w:right="175"/>
              <w:jc w:val="center"/>
              <w:rPr>
                <w:sz w:val="16"/>
              </w:rPr>
            </w:pPr>
            <w:r>
              <w:rPr>
                <w:spacing w:val="-4"/>
                <w:sz w:val="16"/>
              </w:rPr>
              <w:t>0.01</w:t>
            </w:r>
          </w:p>
        </w:tc>
        <w:tc>
          <w:tcPr>
            <w:tcW w:w="910" w:type="dxa"/>
            <w:tcBorders>
              <w:top w:val="single" w:sz="4" w:space="0" w:color="FFFFFF"/>
              <w:left w:val="nil"/>
              <w:right w:val="nil"/>
            </w:tcBorders>
            <w:shd w:val="clear" w:color="auto" w:fill="CCE2ED"/>
          </w:tcPr>
          <w:p w14:paraId="79B50368" w14:textId="77777777" w:rsidR="00141B97" w:rsidRDefault="00911D63">
            <w:pPr>
              <w:pStyle w:val="TableParagraph"/>
              <w:spacing w:before="13" w:line="189" w:lineRule="exact"/>
              <w:ind w:left="169" w:right="175"/>
              <w:jc w:val="center"/>
              <w:rPr>
                <w:sz w:val="16"/>
              </w:rPr>
            </w:pPr>
            <w:r>
              <w:rPr>
                <w:spacing w:val="-4"/>
                <w:sz w:val="16"/>
              </w:rPr>
              <w:t>0.01</w:t>
            </w:r>
          </w:p>
        </w:tc>
        <w:tc>
          <w:tcPr>
            <w:tcW w:w="939" w:type="dxa"/>
            <w:tcBorders>
              <w:top w:val="single" w:sz="4" w:space="0" w:color="FFFFFF"/>
              <w:left w:val="nil"/>
              <w:right w:val="nil"/>
            </w:tcBorders>
            <w:shd w:val="clear" w:color="auto" w:fill="CCE2ED"/>
          </w:tcPr>
          <w:p w14:paraId="30509CF3" w14:textId="77777777" w:rsidR="00141B97" w:rsidRDefault="00911D63">
            <w:pPr>
              <w:pStyle w:val="TableParagraph"/>
              <w:spacing w:before="13" w:line="189" w:lineRule="exact"/>
              <w:ind w:left="169" w:right="205"/>
              <w:jc w:val="center"/>
              <w:rPr>
                <w:sz w:val="16"/>
              </w:rPr>
            </w:pPr>
            <w:r>
              <w:rPr>
                <w:spacing w:val="-4"/>
                <w:sz w:val="16"/>
              </w:rPr>
              <w:t>0.01</w:t>
            </w:r>
          </w:p>
        </w:tc>
        <w:tc>
          <w:tcPr>
            <w:tcW w:w="869" w:type="dxa"/>
            <w:tcBorders>
              <w:top w:val="single" w:sz="4" w:space="0" w:color="FFFFFF"/>
              <w:left w:val="nil"/>
              <w:right w:val="nil"/>
            </w:tcBorders>
            <w:shd w:val="clear" w:color="auto" w:fill="CCE2ED"/>
          </w:tcPr>
          <w:p w14:paraId="1FA1ECF9" w14:textId="77777777" w:rsidR="00141B97" w:rsidRDefault="00911D63">
            <w:pPr>
              <w:pStyle w:val="TableParagraph"/>
              <w:spacing w:before="13" w:line="189" w:lineRule="exact"/>
              <w:ind w:right="307"/>
              <w:jc w:val="right"/>
              <w:rPr>
                <w:sz w:val="16"/>
              </w:rPr>
            </w:pPr>
            <w:r>
              <w:rPr>
                <w:spacing w:val="-4"/>
                <w:sz w:val="16"/>
              </w:rPr>
              <w:t>0.04</w:t>
            </w:r>
          </w:p>
        </w:tc>
      </w:tr>
      <w:tr w:rsidR="00141B97" w14:paraId="7D836303" w14:textId="77777777">
        <w:trPr>
          <w:trHeight w:val="222"/>
        </w:trPr>
        <w:tc>
          <w:tcPr>
            <w:tcW w:w="2764" w:type="dxa"/>
            <w:vMerge/>
            <w:tcBorders>
              <w:top w:val="nil"/>
              <w:left w:val="nil"/>
              <w:right w:val="single" w:sz="4" w:space="0" w:color="FFFFFF"/>
            </w:tcBorders>
            <w:shd w:val="clear" w:color="auto" w:fill="CCE2ED"/>
          </w:tcPr>
          <w:p w14:paraId="5F14DB05"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3E2333AC"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678213B1"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043A4EB6" w14:textId="77777777" w:rsidR="00141B97" w:rsidRDefault="00141B97">
            <w:pPr>
              <w:rPr>
                <w:sz w:val="2"/>
                <w:szCs w:val="2"/>
              </w:rPr>
            </w:pPr>
          </w:p>
        </w:tc>
        <w:tc>
          <w:tcPr>
            <w:tcW w:w="3771" w:type="dxa"/>
            <w:tcBorders>
              <w:left w:val="nil"/>
              <w:bottom w:val="single" w:sz="4" w:space="0" w:color="FFFFFF"/>
              <w:right w:val="nil"/>
            </w:tcBorders>
            <w:shd w:val="clear" w:color="auto" w:fill="CCE2ED"/>
          </w:tcPr>
          <w:p w14:paraId="4BEA54B0" w14:textId="77777777" w:rsidR="00141B97" w:rsidRDefault="00911D63">
            <w:pPr>
              <w:pStyle w:val="TableParagraph"/>
              <w:spacing w:before="13" w:line="188" w:lineRule="exact"/>
              <w:ind w:left="106"/>
              <w:rPr>
                <w:sz w:val="16"/>
              </w:rPr>
            </w:pPr>
            <w:r>
              <w:rPr>
                <w:sz w:val="16"/>
              </w:rPr>
              <w:t>RC</w:t>
            </w:r>
            <w:r>
              <w:rPr>
                <w:spacing w:val="-4"/>
                <w:sz w:val="16"/>
              </w:rPr>
              <w:t xml:space="preserve"> </w:t>
            </w:r>
            <w:r>
              <w:rPr>
                <w:sz w:val="16"/>
              </w:rPr>
              <w:t>‐</w:t>
            </w:r>
            <w:r>
              <w:rPr>
                <w:spacing w:val="-4"/>
                <w:sz w:val="16"/>
              </w:rPr>
              <w:t xml:space="preserve"> </w:t>
            </w:r>
            <w:r>
              <w:rPr>
                <w:sz w:val="16"/>
              </w:rPr>
              <w:t>Irrigation</w:t>
            </w:r>
            <w:r>
              <w:rPr>
                <w:spacing w:val="-4"/>
                <w:sz w:val="16"/>
              </w:rPr>
              <w:t xml:space="preserve"> </w:t>
            </w:r>
            <w:r>
              <w:rPr>
                <w:sz w:val="16"/>
              </w:rPr>
              <w:t>Meter</w:t>
            </w:r>
            <w:r>
              <w:rPr>
                <w:spacing w:val="-4"/>
                <w:sz w:val="16"/>
              </w:rPr>
              <w:t xml:space="preserve"> </w:t>
            </w:r>
            <w:r>
              <w:rPr>
                <w:spacing w:val="-2"/>
                <w:sz w:val="16"/>
              </w:rPr>
              <w:t>Replacement</w:t>
            </w:r>
          </w:p>
        </w:tc>
        <w:tc>
          <w:tcPr>
            <w:tcW w:w="1106" w:type="dxa"/>
            <w:tcBorders>
              <w:left w:val="nil"/>
              <w:bottom w:val="single" w:sz="4" w:space="0" w:color="FFFFFF"/>
              <w:right w:val="nil"/>
            </w:tcBorders>
            <w:shd w:val="clear" w:color="auto" w:fill="CCE2ED"/>
          </w:tcPr>
          <w:p w14:paraId="77BFC318" w14:textId="77777777" w:rsidR="00141B97" w:rsidRDefault="00911D63">
            <w:pPr>
              <w:pStyle w:val="TableParagraph"/>
              <w:spacing w:before="13" w:line="188" w:lineRule="exact"/>
              <w:ind w:left="366" w:right="175"/>
              <w:jc w:val="center"/>
              <w:rPr>
                <w:sz w:val="16"/>
              </w:rPr>
            </w:pPr>
            <w:r>
              <w:rPr>
                <w:spacing w:val="-4"/>
                <w:sz w:val="16"/>
              </w:rPr>
              <w:t>0.21</w:t>
            </w:r>
          </w:p>
        </w:tc>
        <w:tc>
          <w:tcPr>
            <w:tcW w:w="911" w:type="dxa"/>
            <w:tcBorders>
              <w:left w:val="nil"/>
              <w:bottom w:val="single" w:sz="4" w:space="0" w:color="FFFFFF"/>
              <w:right w:val="nil"/>
            </w:tcBorders>
            <w:shd w:val="clear" w:color="auto" w:fill="CCE2ED"/>
          </w:tcPr>
          <w:p w14:paraId="12AC63C9" w14:textId="77777777" w:rsidR="00141B97" w:rsidRDefault="00911D63">
            <w:pPr>
              <w:pStyle w:val="TableParagraph"/>
              <w:spacing w:before="13" w:line="188" w:lineRule="exact"/>
              <w:ind w:left="171" w:right="175"/>
              <w:jc w:val="center"/>
              <w:rPr>
                <w:sz w:val="16"/>
              </w:rPr>
            </w:pPr>
            <w:r>
              <w:rPr>
                <w:spacing w:val="-4"/>
                <w:sz w:val="16"/>
              </w:rPr>
              <w:t>0.21</w:t>
            </w:r>
          </w:p>
        </w:tc>
        <w:tc>
          <w:tcPr>
            <w:tcW w:w="911" w:type="dxa"/>
            <w:tcBorders>
              <w:left w:val="nil"/>
              <w:bottom w:val="single" w:sz="4" w:space="0" w:color="FFFFFF"/>
              <w:right w:val="nil"/>
            </w:tcBorders>
            <w:shd w:val="clear" w:color="auto" w:fill="CCE2ED"/>
          </w:tcPr>
          <w:p w14:paraId="7A7CD76E" w14:textId="77777777" w:rsidR="00141B97" w:rsidRDefault="00911D63">
            <w:pPr>
              <w:pStyle w:val="TableParagraph"/>
              <w:spacing w:before="13" w:line="188" w:lineRule="exact"/>
              <w:ind w:left="171" w:right="175"/>
              <w:jc w:val="center"/>
              <w:rPr>
                <w:sz w:val="16"/>
              </w:rPr>
            </w:pPr>
            <w:r>
              <w:rPr>
                <w:spacing w:val="-4"/>
                <w:sz w:val="16"/>
              </w:rPr>
              <w:t>0.21</w:t>
            </w:r>
          </w:p>
        </w:tc>
        <w:tc>
          <w:tcPr>
            <w:tcW w:w="910" w:type="dxa"/>
            <w:tcBorders>
              <w:left w:val="nil"/>
              <w:bottom w:val="single" w:sz="4" w:space="0" w:color="FFFFFF"/>
              <w:right w:val="nil"/>
            </w:tcBorders>
            <w:shd w:val="clear" w:color="auto" w:fill="CCE2ED"/>
          </w:tcPr>
          <w:p w14:paraId="226186C2" w14:textId="77777777" w:rsidR="00141B97" w:rsidRDefault="00911D63">
            <w:pPr>
              <w:pStyle w:val="TableParagraph"/>
              <w:spacing w:before="13" w:line="188" w:lineRule="exact"/>
              <w:ind w:left="169" w:right="175"/>
              <w:jc w:val="center"/>
              <w:rPr>
                <w:sz w:val="16"/>
              </w:rPr>
            </w:pPr>
            <w:r>
              <w:rPr>
                <w:spacing w:val="-4"/>
                <w:sz w:val="16"/>
              </w:rPr>
              <w:t>0.21</w:t>
            </w:r>
          </w:p>
        </w:tc>
        <w:tc>
          <w:tcPr>
            <w:tcW w:w="939" w:type="dxa"/>
            <w:tcBorders>
              <w:left w:val="nil"/>
              <w:bottom w:val="single" w:sz="4" w:space="0" w:color="FFFFFF"/>
              <w:right w:val="nil"/>
            </w:tcBorders>
            <w:shd w:val="clear" w:color="auto" w:fill="CCE2ED"/>
          </w:tcPr>
          <w:p w14:paraId="127B7441" w14:textId="77777777" w:rsidR="00141B97" w:rsidRDefault="00911D63">
            <w:pPr>
              <w:pStyle w:val="TableParagraph"/>
              <w:spacing w:before="13" w:line="188" w:lineRule="exact"/>
              <w:ind w:left="169" w:right="205"/>
              <w:jc w:val="center"/>
              <w:rPr>
                <w:sz w:val="16"/>
              </w:rPr>
            </w:pPr>
            <w:r>
              <w:rPr>
                <w:spacing w:val="-4"/>
                <w:sz w:val="16"/>
              </w:rPr>
              <w:t>0.21</w:t>
            </w:r>
          </w:p>
        </w:tc>
        <w:tc>
          <w:tcPr>
            <w:tcW w:w="869" w:type="dxa"/>
            <w:tcBorders>
              <w:left w:val="nil"/>
              <w:bottom w:val="single" w:sz="4" w:space="0" w:color="FFFFFF"/>
              <w:right w:val="nil"/>
            </w:tcBorders>
            <w:shd w:val="clear" w:color="auto" w:fill="CCE2ED"/>
          </w:tcPr>
          <w:p w14:paraId="2527A8CC" w14:textId="77777777" w:rsidR="00141B97" w:rsidRDefault="00911D63">
            <w:pPr>
              <w:pStyle w:val="TableParagraph"/>
              <w:spacing w:before="13" w:line="188" w:lineRule="exact"/>
              <w:ind w:right="307"/>
              <w:jc w:val="right"/>
              <w:rPr>
                <w:sz w:val="16"/>
              </w:rPr>
            </w:pPr>
            <w:r>
              <w:rPr>
                <w:spacing w:val="-4"/>
                <w:sz w:val="16"/>
              </w:rPr>
              <w:t>1.06</w:t>
            </w:r>
          </w:p>
        </w:tc>
      </w:tr>
      <w:tr w:rsidR="00141B97" w14:paraId="666D9678" w14:textId="77777777">
        <w:trPr>
          <w:trHeight w:val="222"/>
        </w:trPr>
        <w:tc>
          <w:tcPr>
            <w:tcW w:w="2764" w:type="dxa"/>
            <w:vMerge/>
            <w:tcBorders>
              <w:top w:val="nil"/>
              <w:left w:val="nil"/>
              <w:right w:val="single" w:sz="4" w:space="0" w:color="FFFFFF"/>
            </w:tcBorders>
            <w:shd w:val="clear" w:color="auto" w:fill="CCE2ED"/>
          </w:tcPr>
          <w:p w14:paraId="347A602E"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55C88260"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083E8986"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622E9BB1" w14:textId="77777777" w:rsidR="00141B97" w:rsidRDefault="00141B97">
            <w:pPr>
              <w:rPr>
                <w:sz w:val="2"/>
                <w:szCs w:val="2"/>
              </w:rPr>
            </w:pPr>
          </w:p>
        </w:tc>
        <w:tc>
          <w:tcPr>
            <w:tcW w:w="3771" w:type="dxa"/>
            <w:tcBorders>
              <w:top w:val="single" w:sz="4" w:space="0" w:color="FFFFFF"/>
              <w:left w:val="nil"/>
              <w:right w:val="nil"/>
            </w:tcBorders>
            <w:shd w:val="clear" w:color="auto" w:fill="CCE2ED"/>
          </w:tcPr>
          <w:p w14:paraId="3117B01D" w14:textId="77777777" w:rsidR="00141B97" w:rsidRDefault="00911D63">
            <w:pPr>
              <w:pStyle w:val="TableParagraph"/>
              <w:spacing w:before="13" w:line="189" w:lineRule="exact"/>
              <w:ind w:left="106"/>
              <w:rPr>
                <w:sz w:val="16"/>
              </w:rPr>
            </w:pPr>
            <w:r>
              <w:rPr>
                <w:sz w:val="16"/>
              </w:rPr>
              <w:t>RC</w:t>
            </w:r>
            <w:r>
              <w:rPr>
                <w:spacing w:val="-4"/>
                <w:sz w:val="16"/>
              </w:rPr>
              <w:t xml:space="preserve"> </w:t>
            </w:r>
            <w:r>
              <w:rPr>
                <w:sz w:val="16"/>
              </w:rPr>
              <w:t>‐</w:t>
            </w:r>
            <w:r>
              <w:rPr>
                <w:spacing w:val="-3"/>
                <w:sz w:val="16"/>
              </w:rPr>
              <w:t xml:space="preserve"> </w:t>
            </w:r>
            <w:r>
              <w:rPr>
                <w:sz w:val="16"/>
              </w:rPr>
              <w:t>D&amp;S</w:t>
            </w:r>
            <w:r>
              <w:rPr>
                <w:spacing w:val="-2"/>
                <w:sz w:val="16"/>
              </w:rPr>
              <w:t xml:space="preserve"> </w:t>
            </w:r>
            <w:r>
              <w:rPr>
                <w:sz w:val="16"/>
              </w:rPr>
              <w:t>Meter</w:t>
            </w:r>
            <w:r>
              <w:rPr>
                <w:spacing w:val="-3"/>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74CC2811" w14:textId="77777777" w:rsidR="00141B97" w:rsidRDefault="00911D63">
            <w:pPr>
              <w:pStyle w:val="TableParagraph"/>
              <w:spacing w:before="13" w:line="189" w:lineRule="exact"/>
              <w:ind w:left="366" w:right="175"/>
              <w:jc w:val="center"/>
              <w:rPr>
                <w:sz w:val="16"/>
              </w:rPr>
            </w:pPr>
            <w:r>
              <w:rPr>
                <w:spacing w:val="-4"/>
                <w:sz w:val="16"/>
              </w:rPr>
              <w:t>0.01</w:t>
            </w:r>
          </w:p>
        </w:tc>
        <w:tc>
          <w:tcPr>
            <w:tcW w:w="911" w:type="dxa"/>
            <w:tcBorders>
              <w:top w:val="single" w:sz="4" w:space="0" w:color="FFFFFF"/>
              <w:left w:val="nil"/>
              <w:right w:val="nil"/>
            </w:tcBorders>
            <w:shd w:val="clear" w:color="auto" w:fill="CCE2ED"/>
          </w:tcPr>
          <w:p w14:paraId="572A04B8" w14:textId="77777777" w:rsidR="00141B97" w:rsidRDefault="00911D63">
            <w:pPr>
              <w:pStyle w:val="TableParagraph"/>
              <w:spacing w:before="13" w:line="189" w:lineRule="exact"/>
              <w:ind w:left="171" w:right="175"/>
              <w:jc w:val="center"/>
              <w:rPr>
                <w:sz w:val="16"/>
              </w:rPr>
            </w:pPr>
            <w:r>
              <w:rPr>
                <w:spacing w:val="-4"/>
                <w:sz w:val="16"/>
              </w:rPr>
              <w:t>0.01</w:t>
            </w:r>
          </w:p>
        </w:tc>
        <w:tc>
          <w:tcPr>
            <w:tcW w:w="911" w:type="dxa"/>
            <w:tcBorders>
              <w:top w:val="single" w:sz="4" w:space="0" w:color="FFFFFF"/>
              <w:left w:val="nil"/>
              <w:right w:val="nil"/>
            </w:tcBorders>
            <w:shd w:val="clear" w:color="auto" w:fill="CCE2ED"/>
          </w:tcPr>
          <w:p w14:paraId="0203DA18" w14:textId="77777777" w:rsidR="00141B97" w:rsidRDefault="00911D63">
            <w:pPr>
              <w:pStyle w:val="TableParagraph"/>
              <w:spacing w:before="13" w:line="189" w:lineRule="exact"/>
              <w:ind w:left="171" w:right="175"/>
              <w:jc w:val="center"/>
              <w:rPr>
                <w:sz w:val="16"/>
              </w:rPr>
            </w:pPr>
            <w:r>
              <w:rPr>
                <w:spacing w:val="-4"/>
                <w:sz w:val="16"/>
              </w:rPr>
              <w:t>0.01</w:t>
            </w:r>
          </w:p>
        </w:tc>
        <w:tc>
          <w:tcPr>
            <w:tcW w:w="910" w:type="dxa"/>
            <w:tcBorders>
              <w:top w:val="single" w:sz="4" w:space="0" w:color="FFFFFF"/>
              <w:left w:val="nil"/>
              <w:right w:val="nil"/>
            </w:tcBorders>
            <w:shd w:val="clear" w:color="auto" w:fill="CCE2ED"/>
          </w:tcPr>
          <w:p w14:paraId="68D276A0" w14:textId="77777777" w:rsidR="00141B97" w:rsidRDefault="00911D63">
            <w:pPr>
              <w:pStyle w:val="TableParagraph"/>
              <w:spacing w:before="13" w:line="189" w:lineRule="exact"/>
              <w:ind w:left="169" w:right="175"/>
              <w:jc w:val="center"/>
              <w:rPr>
                <w:sz w:val="16"/>
              </w:rPr>
            </w:pPr>
            <w:r>
              <w:rPr>
                <w:spacing w:val="-4"/>
                <w:sz w:val="16"/>
              </w:rPr>
              <w:t>0.01</w:t>
            </w:r>
          </w:p>
        </w:tc>
        <w:tc>
          <w:tcPr>
            <w:tcW w:w="939" w:type="dxa"/>
            <w:tcBorders>
              <w:top w:val="single" w:sz="4" w:space="0" w:color="FFFFFF"/>
              <w:left w:val="nil"/>
              <w:right w:val="nil"/>
            </w:tcBorders>
            <w:shd w:val="clear" w:color="auto" w:fill="CCE2ED"/>
          </w:tcPr>
          <w:p w14:paraId="6D1DC2E6" w14:textId="77777777" w:rsidR="00141B97" w:rsidRDefault="00911D63">
            <w:pPr>
              <w:pStyle w:val="TableParagraph"/>
              <w:spacing w:before="13" w:line="189" w:lineRule="exact"/>
              <w:ind w:left="169" w:right="205"/>
              <w:jc w:val="center"/>
              <w:rPr>
                <w:sz w:val="16"/>
              </w:rPr>
            </w:pPr>
            <w:r>
              <w:rPr>
                <w:spacing w:val="-4"/>
                <w:sz w:val="16"/>
              </w:rPr>
              <w:t>0.01</w:t>
            </w:r>
          </w:p>
        </w:tc>
        <w:tc>
          <w:tcPr>
            <w:tcW w:w="869" w:type="dxa"/>
            <w:tcBorders>
              <w:top w:val="single" w:sz="4" w:space="0" w:color="FFFFFF"/>
              <w:left w:val="nil"/>
              <w:right w:val="nil"/>
            </w:tcBorders>
            <w:shd w:val="clear" w:color="auto" w:fill="CCE2ED"/>
          </w:tcPr>
          <w:p w14:paraId="29CADC2E" w14:textId="77777777" w:rsidR="00141B97" w:rsidRDefault="00911D63">
            <w:pPr>
              <w:pStyle w:val="TableParagraph"/>
              <w:spacing w:before="13" w:line="189" w:lineRule="exact"/>
              <w:ind w:right="307"/>
              <w:jc w:val="right"/>
              <w:rPr>
                <w:sz w:val="16"/>
              </w:rPr>
            </w:pPr>
            <w:r>
              <w:rPr>
                <w:spacing w:val="-4"/>
                <w:sz w:val="16"/>
              </w:rPr>
              <w:t>0.04</w:t>
            </w:r>
          </w:p>
        </w:tc>
      </w:tr>
      <w:tr w:rsidR="00141B97" w14:paraId="578367D8" w14:textId="77777777">
        <w:trPr>
          <w:trHeight w:val="221"/>
        </w:trPr>
        <w:tc>
          <w:tcPr>
            <w:tcW w:w="2764" w:type="dxa"/>
            <w:vMerge/>
            <w:tcBorders>
              <w:top w:val="nil"/>
              <w:left w:val="nil"/>
              <w:right w:val="single" w:sz="4" w:space="0" w:color="FFFFFF"/>
            </w:tcBorders>
            <w:shd w:val="clear" w:color="auto" w:fill="CCE2ED"/>
          </w:tcPr>
          <w:p w14:paraId="1532578F"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4755B3E2"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3DE2C203"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3F39CFEC" w14:textId="77777777" w:rsidR="00141B97" w:rsidRDefault="00141B97">
            <w:pPr>
              <w:rPr>
                <w:sz w:val="2"/>
                <w:szCs w:val="2"/>
              </w:rPr>
            </w:pPr>
          </w:p>
        </w:tc>
        <w:tc>
          <w:tcPr>
            <w:tcW w:w="3771" w:type="dxa"/>
            <w:tcBorders>
              <w:left w:val="nil"/>
              <w:bottom w:val="single" w:sz="4" w:space="0" w:color="FFFFFF"/>
              <w:right w:val="nil"/>
            </w:tcBorders>
            <w:shd w:val="clear" w:color="auto" w:fill="CCE2ED"/>
          </w:tcPr>
          <w:p w14:paraId="27EA5A9E" w14:textId="77777777" w:rsidR="00141B97" w:rsidRDefault="00911D63">
            <w:pPr>
              <w:pStyle w:val="TableParagraph"/>
              <w:spacing w:before="13" w:line="188" w:lineRule="exact"/>
              <w:ind w:left="106"/>
              <w:rPr>
                <w:sz w:val="16"/>
              </w:rPr>
            </w:pPr>
            <w:r>
              <w:rPr>
                <w:sz w:val="16"/>
              </w:rPr>
              <w:t>ROB</w:t>
            </w:r>
            <w:r>
              <w:rPr>
                <w:spacing w:val="-5"/>
                <w:sz w:val="16"/>
              </w:rPr>
              <w:t xml:space="preserve"> </w:t>
            </w:r>
            <w:r>
              <w:rPr>
                <w:sz w:val="16"/>
              </w:rPr>
              <w:t>‐</w:t>
            </w:r>
            <w:r>
              <w:rPr>
                <w:spacing w:val="-4"/>
                <w:sz w:val="16"/>
              </w:rPr>
              <w:t xml:space="preserve"> </w:t>
            </w:r>
            <w:r>
              <w:rPr>
                <w:sz w:val="16"/>
              </w:rPr>
              <w:t>Irrigation</w:t>
            </w:r>
            <w:r>
              <w:rPr>
                <w:spacing w:val="-2"/>
                <w:sz w:val="16"/>
              </w:rPr>
              <w:t xml:space="preserve"> </w:t>
            </w:r>
            <w:r>
              <w:rPr>
                <w:sz w:val="16"/>
              </w:rPr>
              <w:t>Meter</w:t>
            </w:r>
            <w:r>
              <w:rPr>
                <w:spacing w:val="-5"/>
                <w:sz w:val="16"/>
              </w:rPr>
              <w:t xml:space="preserve"> </w:t>
            </w:r>
            <w:r>
              <w:rPr>
                <w:spacing w:val="-2"/>
                <w:sz w:val="16"/>
              </w:rPr>
              <w:t>Replacement</w:t>
            </w:r>
          </w:p>
        </w:tc>
        <w:tc>
          <w:tcPr>
            <w:tcW w:w="1106" w:type="dxa"/>
            <w:tcBorders>
              <w:left w:val="nil"/>
              <w:bottom w:val="single" w:sz="4" w:space="0" w:color="FFFFFF"/>
              <w:right w:val="nil"/>
            </w:tcBorders>
            <w:shd w:val="clear" w:color="auto" w:fill="CCE2ED"/>
          </w:tcPr>
          <w:p w14:paraId="64A3169E" w14:textId="77777777" w:rsidR="00141B97" w:rsidRDefault="00911D63">
            <w:pPr>
              <w:pStyle w:val="TableParagraph"/>
              <w:spacing w:before="13" w:line="188" w:lineRule="exact"/>
              <w:ind w:left="366" w:right="175"/>
              <w:jc w:val="center"/>
              <w:rPr>
                <w:sz w:val="16"/>
              </w:rPr>
            </w:pPr>
            <w:r>
              <w:rPr>
                <w:spacing w:val="-4"/>
                <w:sz w:val="16"/>
              </w:rPr>
              <w:t>0.08</w:t>
            </w:r>
          </w:p>
        </w:tc>
        <w:tc>
          <w:tcPr>
            <w:tcW w:w="911" w:type="dxa"/>
            <w:tcBorders>
              <w:left w:val="nil"/>
              <w:bottom w:val="single" w:sz="4" w:space="0" w:color="FFFFFF"/>
              <w:right w:val="nil"/>
            </w:tcBorders>
            <w:shd w:val="clear" w:color="auto" w:fill="CCE2ED"/>
          </w:tcPr>
          <w:p w14:paraId="5FA7A694" w14:textId="77777777" w:rsidR="00141B97" w:rsidRDefault="00911D63">
            <w:pPr>
              <w:pStyle w:val="TableParagraph"/>
              <w:spacing w:before="13" w:line="188" w:lineRule="exact"/>
              <w:ind w:left="171" w:right="175"/>
              <w:jc w:val="center"/>
              <w:rPr>
                <w:sz w:val="16"/>
              </w:rPr>
            </w:pPr>
            <w:r>
              <w:rPr>
                <w:spacing w:val="-4"/>
                <w:sz w:val="16"/>
              </w:rPr>
              <w:t>0.08</w:t>
            </w:r>
          </w:p>
        </w:tc>
        <w:tc>
          <w:tcPr>
            <w:tcW w:w="911" w:type="dxa"/>
            <w:tcBorders>
              <w:left w:val="nil"/>
              <w:bottom w:val="single" w:sz="4" w:space="0" w:color="FFFFFF"/>
              <w:right w:val="nil"/>
            </w:tcBorders>
            <w:shd w:val="clear" w:color="auto" w:fill="CCE2ED"/>
          </w:tcPr>
          <w:p w14:paraId="3DAE6D48" w14:textId="77777777" w:rsidR="00141B97" w:rsidRDefault="00911D63">
            <w:pPr>
              <w:pStyle w:val="TableParagraph"/>
              <w:spacing w:before="13" w:line="188" w:lineRule="exact"/>
              <w:ind w:left="171" w:right="175"/>
              <w:jc w:val="center"/>
              <w:rPr>
                <w:sz w:val="16"/>
              </w:rPr>
            </w:pPr>
            <w:r>
              <w:rPr>
                <w:spacing w:val="-4"/>
                <w:sz w:val="16"/>
              </w:rPr>
              <w:t>0.08</w:t>
            </w:r>
          </w:p>
        </w:tc>
        <w:tc>
          <w:tcPr>
            <w:tcW w:w="910" w:type="dxa"/>
            <w:tcBorders>
              <w:left w:val="nil"/>
              <w:bottom w:val="single" w:sz="4" w:space="0" w:color="FFFFFF"/>
              <w:right w:val="nil"/>
            </w:tcBorders>
            <w:shd w:val="clear" w:color="auto" w:fill="CCE2ED"/>
          </w:tcPr>
          <w:p w14:paraId="67A3441D" w14:textId="77777777" w:rsidR="00141B97" w:rsidRDefault="00911D63">
            <w:pPr>
              <w:pStyle w:val="TableParagraph"/>
              <w:spacing w:before="13" w:line="188" w:lineRule="exact"/>
              <w:ind w:left="169" w:right="175"/>
              <w:jc w:val="center"/>
              <w:rPr>
                <w:sz w:val="16"/>
              </w:rPr>
            </w:pPr>
            <w:r>
              <w:rPr>
                <w:spacing w:val="-4"/>
                <w:sz w:val="16"/>
              </w:rPr>
              <w:t>0.08</w:t>
            </w:r>
          </w:p>
        </w:tc>
        <w:tc>
          <w:tcPr>
            <w:tcW w:w="939" w:type="dxa"/>
            <w:tcBorders>
              <w:left w:val="nil"/>
              <w:bottom w:val="single" w:sz="4" w:space="0" w:color="FFFFFF"/>
              <w:right w:val="nil"/>
            </w:tcBorders>
            <w:shd w:val="clear" w:color="auto" w:fill="CCE2ED"/>
          </w:tcPr>
          <w:p w14:paraId="7D78E805" w14:textId="77777777" w:rsidR="00141B97" w:rsidRDefault="00911D63">
            <w:pPr>
              <w:pStyle w:val="TableParagraph"/>
              <w:spacing w:before="13" w:line="188" w:lineRule="exact"/>
              <w:ind w:left="169" w:right="205"/>
              <w:jc w:val="center"/>
              <w:rPr>
                <w:sz w:val="16"/>
              </w:rPr>
            </w:pPr>
            <w:r>
              <w:rPr>
                <w:spacing w:val="-4"/>
                <w:sz w:val="16"/>
              </w:rPr>
              <w:t>0.08</w:t>
            </w:r>
          </w:p>
        </w:tc>
        <w:tc>
          <w:tcPr>
            <w:tcW w:w="869" w:type="dxa"/>
            <w:tcBorders>
              <w:left w:val="nil"/>
              <w:bottom w:val="single" w:sz="4" w:space="0" w:color="FFFFFF"/>
              <w:right w:val="nil"/>
            </w:tcBorders>
            <w:shd w:val="clear" w:color="auto" w:fill="CCE2ED"/>
          </w:tcPr>
          <w:p w14:paraId="2269FFB4" w14:textId="77777777" w:rsidR="00141B97" w:rsidRDefault="00911D63">
            <w:pPr>
              <w:pStyle w:val="TableParagraph"/>
              <w:spacing w:before="13" w:line="188" w:lineRule="exact"/>
              <w:ind w:right="307"/>
              <w:jc w:val="right"/>
              <w:rPr>
                <w:sz w:val="16"/>
              </w:rPr>
            </w:pPr>
            <w:r>
              <w:rPr>
                <w:spacing w:val="-4"/>
                <w:sz w:val="16"/>
              </w:rPr>
              <w:t>0.42</w:t>
            </w:r>
          </w:p>
        </w:tc>
      </w:tr>
      <w:tr w:rsidR="00141B97" w14:paraId="47617F7A" w14:textId="77777777">
        <w:trPr>
          <w:trHeight w:val="222"/>
        </w:trPr>
        <w:tc>
          <w:tcPr>
            <w:tcW w:w="2764" w:type="dxa"/>
            <w:vMerge/>
            <w:tcBorders>
              <w:top w:val="nil"/>
              <w:left w:val="nil"/>
              <w:right w:val="single" w:sz="4" w:space="0" w:color="FFFFFF"/>
            </w:tcBorders>
            <w:shd w:val="clear" w:color="auto" w:fill="CCE2ED"/>
          </w:tcPr>
          <w:p w14:paraId="67339FEF"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428B8531"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7D817BD1"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6B780B04" w14:textId="77777777" w:rsidR="00141B97" w:rsidRDefault="00141B97">
            <w:pPr>
              <w:rPr>
                <w:sz w:val="2"/>
                <w:szCs w:val="2"/>
              </w:rPr>
            </w:pPr>
          </w:p>
        </w:tc>
        <w:tc>
          <w:tcPr>
            <w:tcW w:w="3771" w:type="dxa"/>
            <w:tcBorders>
              <w:top w:val="single" w:sz="4" w:space="0" w:color="FFFFFF"/>
              <w:left w:val="nil"/>
              <w:right w:val="nil"/>
            </w:tcBorders>
            <w:shd w:val="clear" w:color="auto" w:fill="CCE2ED"/>
          </w:tcPr>
          <w:p w14:paraId="774B8FA9" w14:textId="77777777" w:rsidR="00141B97" w:rsidRDefault="00911D63">
            <w:pPr>
              <w:pStyle w:val="TableParagraph"/>
              <w:spacing w:before="13" w:line="189" w:lineRule="exact"/>
              <w:ind w:left="106"/>
              <w:rPr>
                <w:sz w:val="16"/>
              </w:rPr>
            </w:pPr>
            <w:r>
              <w:rPr>
                <w:sz w:val="16"/>
              </w:rPr>
              <w:t>ROB</w:t>
            </w:r>
            <w:r>
              <w:rPr>
                <w:spacing w:val="-4"/>
                <w:sz w:val="16"/>
              </w:rPr>
              <w:t xml:space="preserve"> </w:t>
            </w:r>
            <w:r>
              <w:rPr>
                <w:sz w:val="16"/>
              </w:rPr>
              <w:t>‐</w:t>
            </w:r>
            <w:r>
              <w:rPr>
                <w:spacing w:val="-3"/>
                <w:sz w:val="16"/>
              </w:rPr>
              <w:t xml:space="preserve"> </w:t>
            </w:r>
            <w:r>
              <w:rPr>
                <w:sz w:val="16"/>
              </w:rPr>
              <w:t>D&amp;S</w:t>
            </w:r>
            <w:r>
              <w:rPr>
                <w:spacing w:val="-3"/>
                <w:sz w:val="16"/>
              </w:rPr>
              <w:t xml:space="preserve"> </w:t>
            </w:r>
            <w:r>
              <w:rPr>
                <w:sz w:val="16"/>
              </w:rPr>
              <w:t>Meter</w:t>
            </w:r>
            <w:r>
              <w:rPr>
                <w:spacing w:val="-2"/>
                <w:sz w:val="16"/>
              </w:rPr>
              <w:t xml:space="preserve"> Replacement</w:t>
            </w:r>
          </w:p>
        </w:tc>
        <w:tc>
          <w:tcPr>
            <w:tcW w:w="1106" w:type="dxa"/>
            <w:tcBorders>
              <w:top w:val="single" w:sz="4" w:space="0" w:color="FFFFFF"/>
              <w:left w:val="nil"/>
              <w:right w:val="nil"/>
            </w:tcBorders>
            <w:shd w:val="clear" w:color="auto" w:fill="CCE2ED"/>
          </w:tcPr>
          <w:p w14:paraId="28D3464D" w14:textId="77777777" w:rsidR="00141B97" w:rsidRDefault="00911D63">
            <w:pPr>
              <w:pStyle w:val="TableParagraph"/>
              <w:spacing w:before="13" w:line="189" w:lineRule="exact"/>
              <w:ind w:left="366" w:right="175"/>
              <w:jc w:val="center"/>
              <w:rPr>
                <w:sz w:val="16"/>
              </w:rPr>
            </w:pPr>
            <w:r>
              <w:rPr>
                <w:spacing w:val="-4"/>
                <w:sz w:val="16"/>
              </w:rPr>
              <w:t>0.01</w:t>
            </w:r>
          </w:p>
        </w:tc>
        <w:tc>
          <w:tcPr>
            <w:tcW w:w="911" w:type="dxa"/>
            <w:tcBorders>
              <w:top w:val="single" w:sz="4" w:space="0" w:color="FFFFFF"/>
              <w:left w:val="nil"/>
              <w:right w:val="nil"/>
            </w:tcBorders>
            <w:shd w:val="clear" w:color="auto" w:fill="CCE2ED"/>
          </w:tcPr>
          <w:p w14:paraId="4C3CADD8" w14:textId="77777777" w:rsidR="00141B97" w:rsidRDefault="00911D63">
            <w:pPr>
              <w:pStyle w:val="TableParagraph"/>
              <w:spacing w:before="13" w:line="189" w:lineRule="exact"/>
              <w:ind w:left="171" w:right="175"/>
              <w:jc w:val="center"/>
              <w:rPr>
                <w:sz w:val="16"/>
              </w:rPr>
            </w:pPr>
            <w:r>
              <w:rPr>
                <w:spacing w:val="-4"/>
                <w:sz w:val="16"/>
              </w:rPr>
              <w:t>0.01</w:t>
            </w:r>
          </w:p>
        </w:tc>
        <w:tc>
          <w:tcPr>
            <w:tcW w:w="911" w:type="dxa"/>
            <w:tcBorders>
              <w:top w:val="single" w:sz="4" w:space="0" w:color="FFFFFF"/>
              <w:left w:val="nil"/>
              <w:right w:val="nil"/>
            </w:tcBorders>
            <w:shd w:val="clear" w:color="auto" w:fill="CCE2ED"/>
          </w:tcPr>
          <w:p w14:paraId="4EE6284F" w14:textId="77777777" w:rsidR="00141B97" w:rsidRDefault="00911D63">
            <w:pPr>
              <w:pStyle w:val="TableParagraph"/>
              <w:spacing w:before="13" w:line="189" w:lineRule="exact"/>
              <w:ind w:left="171" w:right="175"/>
              <w:jc w:val="center"/>
              <w:rPr>
                <w:sz w:val="16"/>
              </w:rPr>
            </w:pPr>
            <w:r>
              <w:rPr>
                <w:spacing w:val="-4"/>
                <w:sz w:val="16"/>
              </w:rPr>
              <w:t>0.01</w:t>
            </w:r>
          </w:p>
        </w:tc>
        <w:tc>
          <w:tcPr>
            <w:tcW w:w="910" w:type="dxa"/>
            <w:tcBorders>
              <w:top w:val="single" w:sz="4" w:space="0" w:color="FFFFFF"/>
              <w:left w:val="nil"/>
              <w:right w:val="nil"/>
            </w:tcBorders>
            <w:shd w:val="clear" w:color="auto" w:fill="CCE2ED"/>
          </w:tcPr>
          <w:p w14:paraId="6EA54DAA" w14:textId="77777777" w:rsidR="00141B97" w:rsidRDefault="00911D63">
            <w:pPr>
              <w:pStyle w:val="TableParagraph"/>
              <w:spacing w:before="13" w:line="189" w:lineRule="exact"/>
              <w:ind w:left="169" w:right="175"/>
              <w:jc w:val="center"/>
              <w:rPr>
                <w:sz w:val="16"/>
              </w:rPr>
            </w:pPr>
            <w:r>
              <w:rPr>
                <w:spacing w:val="-4"/>
                <w:sz w:val="16"/>
              </w:rPr>
              <w:t>0.01</w:t>
            </w:r>
          </w:p>
        </w:tc>
        <w:tc>
          <w:tcPr>
            <w:tcW w:w="939" w:type="dxa"/>
            <w:tcBorders>
              <w:top w:val="single" w:sz="4" w:space="0" w:color="FFFFFF"/>
              <w:left w:val="nil"/>
              <w:right w:val="nil"/>
            </w:tcBorders>
            <w:shd w:val="clear" w:color="auto" w:fill="CCE2ED"/>
          </w:tcPr>
          <w:p w14:paraId="56A17355" w14:textId="77777777" w:rsidR="00141B97" w:rsidRDefault="00911D63">
            <w:pPr>
              <w:pStyle w:val="TableParagraph"/>
              <w:spacing w:before="13" w:line="189" w:lineRule="exact"/>
              <w:ind w:left="169" w:right="205"/>
              <w:jc w:val="center"/>
              <w:rPr>
                <w:sz w:val="16"/>
              </w:rPr>
            </w:pPr>
            <w:r>
              <w:rPr>
                <w:spacing w:val="-4"/>
                <w:sz w:val="16"/>
              </w:rPr>
              <w:t>0.01</w:t>
            </w:r>
          </w:p>
        </w:tc>
        <w:tc>
          <w:tcPr>
            <w:tcW w:w="869" w:type="dxa"/>
            <w:tcBorders>
              <w:top w:val="single" w:sz="4" w:space="0" w:color="FFFFFF"/>
              <w:left w:val="nil"/>
              <w:right w:val="nil"/>
            </w:tcBorders>
            <w:shd w:val="clear" w:color="auto" w:fill="CCE2ED"/>
          </w:tcPr>
          <w:p w14:paraId="0AD27865" w14:textId="77777777" w:rsidR="00141B97" w:rsidRDefault="00911D63">
            <w:pPr>
              <w:pStyle w:val="TableParagraph"/>
              <w:spacing w:before="13" w:line="189" w:lineRule="exact"/>
              <w:ind w:right="307"/>
              <w:jc w:val="right"/>
              <w:rPr>
                <w:sz w:val="16"/>
              </w:rPr>
            </w:pPr>
            <w:r>
              <w:rPr>
                <w:spacing w:val="-4"/>
                <w:sz w:val="16"/>
              </w:rPr>
              <w:t>0.04</w:t>
            </w:r>
          </w:p>
        </w:tc>
      </w:tr>
      <w:tr w:rsidR="00141B97" w14:paraId="71C3AFED" w14:textId="77777777">
        <w:trPr>
          <w:trHeight w:val="222"/>
        </w:trPr>
        <w:tc>
          <w:tcPr>
            <w:tcW w:w="2764" w:type="dxa"/>
            <w:vMerge/>
            <w:tcBorders>
              <w:top w:val="nil"/>
              <w:left w:val="nil"/>
              <w:right w:val="single" w:sz="4" w:space="0" w:color="FFFFFF"/>
            </w:tcBorders>
            <w:shd w:val="clear" w:color="auto" w:fill="CCE2ED"/>
          </w:tcPr>
          <w:p w14:paraId="02643B6C"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5A485861"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24735949"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7834FA0B" w14:textId="77777777" w:rsidR="00141B97" w:rsidRDefault="00141B97">
            <w:pPr>
              <w:rPr>
                <w:sz w:val="2"/>
                <w:szCs w:val="2"/>
              </w:rPr>
            </w:pPr>
          </w:p>
        </w:tc>
        <w:tc>
          <w:tcPr>
            <w:tcW w:w="3771" w:type="dxa"/>
            <w:tcBorders>
              <w:left w:val="nil"/>
              <w:bottom w:val="single" w:sz="4" w:space="0" w:color="FFFFFF"/>
              <w:right w:val="nil"/>
            </w:tcBorders>
            <w:shd w:val="clear" w:color="auto" w:fill="CCE2ED"/>
          </w:tcPr>
          <w:p w14:paraId="23695E80" w14:textId="77777777" w:rsidR="00141B97" w:rsidRDefault="00911D63">
            <w:pPr>
              <w:pStyle w:val="TableParagraph"/>
              <w:spacing w:before="13" w:line="188" w:lineRule="exact"/>
              <w:ind w:left="106"/>
              <w:rPr>
                <w:sz w:val="16"/>
              </w:rPr>
            </w:pPr>
            <w:r>
              <w:rPr>
                <w:sz w:val="16"/>
              </w:rPr>
              <w:t>PD</w:t>
            </w:r>
            <w:r>
              <w:rPr>
                <w:spacing w:val="-3"/>
                <w:sz w:val="16"/>
              </w:rPr>
              <w:t xml:space="preserve"> </w:t>
            </w:r>
            <w:r>
              <w:rPr>
                <w:sz w:val="16"/>
              </w:rPr>
              <w:t>‐</w:t>
            </w:r>
            <w:r>
              <w:rPr>
                <w:spacing w:val="-4"/>
                <w:sz w:val="16"/>
              </w:rPr>
              <w:t xml:space="preserve"> </w:t>
            </w:r>
            <w:r>
              <w:rPr>
                <w:sz w:val="16"/>
              </w:rPr>
              <w:t>Metering</w:t>
            </w:r>
            <w:r>
              <w:rPr>
                <w:spacing w:val="-4"/>
                <w:sz w:val="16"/>
              </w:rPr>
              <w:t xml:space="preserve"> </w:t>
            </w:r>
            <w:r>
              <w:rPr>
                <w:spacing w:val="-2"/>
                <w:sz w:val="16"/>
              </w:rPr>
              <w:t>Program</w:t>
            </w:r>
          </w:p>
        </w:tc>
        <w:tc>
          <w:tcPr>
            <w:tcW w:w="1106" w:type="dxa"/>
            <w:tcBorders>
              <w:left w:val="nil"/>
              <w:bottom w:val="single" w:sz="4" w:space="0" w:color="FFFFFF"/>
              <w:right w:val="nil"/>
            </w:tcBorders>
            <w:shd w:val="clear" w:color="auto" w:fill="CCE2ED"/>
          </w:tcPr>
          <w:p w14:paraId="1C5B1A8F" w14:textId="77777777" w:rsidR="00141B97" w:rsidRDefault="00911D63">
            <w:pPr>
              <w:pStyle w:val="TableParagraph"/>
              <w:spacing w:before="13" w:line="188" w:lineRule="exact"/>
              <w:ind w:left="366" w:right="175"/>
              <w:jc w:val="center"/>
              <w:rPr>
                <w:sz w:val="16"/>
              </w:rPr>
            </w:pPr>
            <w:r>
              <w:rPr>
                <w:spacing w:val="-4"/>
                <w:sz w:val="16"/>
              </w:rPr>
              <w:t>0.42</w:t>
            </w:r>
          </w:p>
        </w:tc>
        <w:tc>
          <w:tcPr>
            <w:tcW w:w="911" w:type="dxa"/>
            <w:tcBorders>
              <w:left w:val="nil"/>
              <w:bottom w:val="single" w:sz="4" w:space="0" w:color="FFFFFF"/>
              <w:right w:val="nil"/>
            </w:tcBorders>
            <w:shd w:val="clear" w:color="auto" w:fill="CCE2ED"/>
          </w:tcPr>
          <w:p w14:paraId="6E16B36B" w14:textId="77777777" w:rsidR="00141B97" w:rsidRDefault="00911D63">
            <w:pPr>
              <w:pStyle w:val="TableParagraph"/>
              <w:spacing w:before="13" w:line="188" w:lineRule="exact"/>
              <w:ind w:left="171" w:right="175"/>
              <w:jc w:val="center"/>
              <w:rPr>
                <w:sz w:val="16"/>
              </w:rPr>
            </w:pPr>
            <w:r>
              <w:rPr>
                <w:spacing w:val="-4"/>
                <w:sz w:val="16"/>
              </w:rPr>
              <w:t>0.42</w:t>
            </w:r>
          </w:p>
        </w:tc>
        <w:tc>
          <w:tcPr>
            <w:tcW w:w="911" w:type="dxa"/>
            <w:tcBorders>
              <w:left w:val="nil"/>
              <w:bottom w:val="single" w:sz="4" w:space="0" w:color="FFFFFF"/>
              <w:right w:val="nil"/>
            </w:tcBorders>
            <w:shd w:val="clear" w:color="auto" w:fill="CCE2ED"/>
          </w:tcPr>
          <w:p w14:paraId="77EDF70B" w14:textId="77777777" w:rsidR="00141B97" w:rsidRDefault="00911D63">
            <w:pPr>
              <w:pStyle w:val="TableParagraph"/>
              <w:spacing w:before="13" w:line="188" w:lineRule="exact"/>
              <w:ind w:left="171" w:right="175"/>
              <w:jc w:val="center"/>
              <w:rPr>
                <w:sz w:val="16"/>
              </w:rPr>
            </w:pPr>
            <w:r>
              <w:rPr>
                <w:spacing w:val="-4"/>
                <w:sz w:val="16"/>
              </w:rPr>
              <w:t>0.42</w:t>
            </w:r>
          </w:p>
        </w:tc>
        <w:tc>
          <w:tcPr>
            <w:tcW w:w="910" w:type="dxa"/>
            <w:tcBorders>
              <w:left w:val="nil"/>
              <w:bottom w:val="single" w:sz="4" w:space="0" w:color="FFFFFF"/>
              <w:right w:val="nil"/>
            </w:tcBorders>
            <w:shd w:val="clear" w:color="auto" w:fill="CCE2ED"/>
          </w:tcPr>
          <w:p w14:paraId="7F2B65D7" w14:textId="77777777" w:rsidR="00141B97" w:rsidRDefault="00911D63">
            <w:pPr>
              <w:pStyle w:val="TableParagraph"/>
              <w:spacing w:before="13" w:line="188" w:lineRule="exact"/>
              <w:ind w:left="169" w:right="175"/>
              <w:jc w:val="center"/>
              <w:rPr>
                <w:sz w:val="16"/>
              </w:rPr>
            </w:pPr>
            <w:r>
              <w:rPr>
                <w:spacing w:val="-4"/>
                <w:sz w:val="16"/>
              </w:rPr>
              <w:t>0.42</w:t>
            </w:r>
          </w:p>
        </w:tc>
        <w:tc>
          <w:tcPr>
            <w:tcW w:w="939" w:type="dxa"/>
            <w:tcBorders>
              <w:left w:val="nil"/>
              <w:bottom w:val="single" w:sz="4" w:space="0" w:color="FFFFFF"/>
              <w:right w:val="nil"/>
            </w:tcBorders>
            <w:shd w:val="clear" w:color="auto" w:fill="CCE2ED"/>
          </w:tcPr>
          <w:p w14:paraId="3EEEEB42" w14:textId="77777777" w:rsidR="00141B97" w:rsidRDefault="00911D63">
            <w:pPr>
              <w:pStyle w:val="TableParagraph"/>
              <w:spacing w:before="13" w:line="188" w:lineRule="exact"/>
              <w:ind w:left="169" w:right="205"/>
              <w:jc w:val="center"/>
              <w:rPr>
                <w:sz w:val="16"/>
              </w:rPr>
            </w:pPr>
            <w:r>
              <w:rPr>
                <w:spacing w:val="-4"/>
                <w:sz w:val="16"/>
              </w:rPr>
              <w:t>0.42</w:t>
            </w:r>
          </w:p>
        </w:tc>
        <w:tc>
          <w:tcPr>
            <w:tcW w:w="869" w:type="dxa"/>
            <w:tcBorders>
              <w:left w:val="nil"/>
              <w:bottom w:val="single" w:sz="4" w:space="0" w:color="FFFFFF"/>
              <w:right w:val="nil"/>
            </w:tcBorders>
            <w:shd w:val="clear" w:color="auto" w:fill="CCE2ED"/>
          </w:tcPr>
          <w:p w14:paraId="6EC40A15" w14:textId="77777777" w:rsidR="00141B97" w:rsidRDefault="00911D63">
            <w:pPr>
              <w:pStyle w:val="TableParagraph"/>
              <w:spacing w:before="13" w:line="188" w:lineRule="exact"/>
              <w:ind w:right="307"/>
              <w:jc w:val="right"/>
              <w:rPr>
                <w:sz w:val="16"/>
              </w:rPr>
            </w:pPr>
            <w:r>
              <w:rPr>
                <w:spacing w:val="-4"/>
                <w:sz w:val="16"/>
              </w:rPr>
              <w:t>2.11</w:t>
            </w:r>
          </w:p>
        </w:tc>
      </w:tr>
      <w:tr w:rsidR="00141B97" w14:paraId="3A84D495" w14:textId="77777777">
        <w:trPr>
          <w:trHeight w:val="221"/>
        </w:trPr>
        <w:tc>
          <w:tcPr>
            <w:tcW w:w="2764" w:type="dxa"/>
            <w:vMerge/>
            <w:tcBorders>
              <w:top w:val="nil"/>
              <w:left w:val="nil"/>
              <w:right w:val="single" w:sz="4" w:space="0" w:color="FFFFFF"/>
            </w:tcBorders>
            <w:shd w:val="clear" w:color="auto" w:fill="CCE2ED"/>
          </w:tcPr>
          <w:p w14:paraId="7B41114D" w14:textId="77777777" w:rsidR="00141B97" w:rsidRDefault="00141B97">
            <w:pPr>
              <w:rPr>
                <w:sz w:val="2"/>
                <w:szCs w:val="2"/>
              </w:rPr>
            </w:pPr>
          </w:p>
        </w:tc>
        <w:tc>
          <w:tcPr>
            <w:tcW w:w="1115" w:type="dxa"/>
            <w:vMerge/>
            <w:tcBorders>
              <w:top w:val="nil"/>
              <w:left w:val="single" w:sz="4" w:space="0" w:color="FFFFFF"/>
              <w:right w:val="single" w:sz="4" w:space="0" w:color="FFFFFF"/>
            </w:tcBorders>
            <w:shd w:val="clear" w:color="auto" w:fill="CCE2ED"/>
          </w:tcPr>
          <w:p w14:paraId="0A41C112" w14:textId="77777777" w:rsidR="00141B97" w:rsidRDefault="00141B97">
            <w:pPr>
              <w:rPr>
                <w:sz w:val="2"/>
                <w:szCs w:val="2"/>
              </w:rPr>
            </w:pPr>
          </w:p>
        </w:tc>
        <w:tc>
          <w:tcPr>
            <w:tcW w:w="995" w:type="dxa"/>
            <w:vMerge/>
            <w:tcBorders>
              <w:top w:val="nil"/>
              <w:left w:val="single" w:sz="4" w:space="0" w:color="FFFFFF"/>
              <w:right w:val="single" w:sz="4" w:space="0" w:color="FFFFFF"/>
            </w:tcBorders>
            <w:shd w:val="clear" w:color="auto" w:fill="CCE2ED"/>
          </w:tcPr>
          <w:p w14:paraId="17987A07" w14:textId="77777777" w:rsidR="00141B97" w:rsidRDefault="00141B97">
            <w:pPr>
              <w:rPr>
                <w:sz w:val="2"/>
                <w:szCs w:val="2"/>
              </w:rPr>
            </w:pPr>
          </w:p>
        </w:tc>
        <w:tc>
          <w:tcPr>
            <w:tcW w:w="1397" w:type="dxa"/>
            <w:vMerge/>
            <w:tcBorders>
              <w:top w:val="nil"/>
              <w:left w:val="single" w:sz="4" w:space="0" w:color="FFFFFF"/>
              <w:right w:val="nil"/>
            </w:tcBorders>
            <w:shd w:val="clear" w:color="auto" w:fill="CCE2ED"/>
          </w:tcPr>
          <w:p w14:paraId="4F8E11A5" w14:textId="77777777" w:rsidR="00141B97" w:rsidRDefault="00141B97">
            <w:pPr>
              <w:rPr>
                <w:sz w:val="2"/>
                <w:szCs w:val="2"/>
              </w:rPr>
            </w:pPr>
          </w:p>
        </w:tc>
        <w:tc>
          <w:tcPr>
            <w:tcW w:w="3771" w:type="dxa"/>
            <w:tcBorders>
              <w:top w:val="single" w:sz="4" w:space="0" w:color="FFFFFF"/>
              <w:left w:val="nil"/>
              <w:right w:val="nil"/>
            </w:tcBorders>
            <w:shd w:val="clear" w:color="auto" w:fill="CCE2ED"/>
          </w:tcPr>
          <w:p w14:paraId="1847BC23" w14:textId="77777777" w:rsidR="00141B97" w:rsidRDefault="00911D63">
            <w:pPr>
              <w:pStyle w:val="TableParagraph"/>
              <w:spacing w:before="13" w:line="189" w:lineRule="exact"/>
              <w:ind w:left="106"/>
              <w:rPr>
                <w:sz w:val="16"/>
              </w:rPr>
            </w:pPr>
            <w:r>
              <w:rPr>
                <w:sz w:val="16"/>
              </w:rPr>
              <w:t>PD</w:t>
            </w:r>
            <w:r>
              <w:rPr>
                <w:spacing w:val="-3"/>
                <w:sz w:val="16"/>
              </w:rPr>
              <w:t xml:space="preserve"> </w:t>
            </w:r>
            <w:r>
              <w:rPr>
                <w:sz w:val="16"/>
              </w:rPr>
              <w:t>‐</w:t>
            </w:r>
            <w:r>
              <w:rPr>
                <w:spacing w:val="-3"/>
                <w:sz w:val="16"/>
              </w:rPr>
              <w:t xml:space="preserve"> </w:t>
            </w:r>
            <w:r>
              <w:rPr>
                <w:sz w:val="16"/>
              </w:rPr>
              <w:t>D&amp;S</w:t>
            </w:r>
            <w:r>
              <w:rPr>
                <w:spacing w:val="-4"/>
                <w:sz w:val="16"/>
              </w:rPr>
              <w:t xml:space="preserve"> </w:t>
            </w:r>
            <w:r>
              <w:rPr>
                <w:sz w:val="16"/>
              </w:rPr>
              <w:t>Metering</w:t>
            </w:r>
            <w:r>
              <w:rPr>
                <w:spacing w:val="-2"/>
                <w:sz w:val="16"/>
              </w:rPr>
              <w:t xml:space="preserve"> Program</w:t>
            </w:r>
          </w:p>
        </w:tc>
        <w:tc>
          <w:tcPr>
            <w:tcW w:w="1106" w:type="dxa"/>
            <w:tcBorders>
              <w:top w:val="single" w:sz="4" w:space="0" w:color="FFFFFF"/>
              <w:left w:val="nil"/>
              <w:right w:val="nil"/>
            </w:tcBorders>
            <w:shd w:val="clear" w:color="auto" w:fill="CCE2ED"/>
          </w:tcPr>
          <w:p w14:paraId="13095259" w14:textId="77777777" w:rsidR="00141B97" w:rsidRDefault="00911D63">
            <w:pPr>
              <w:pStyle w:val="TableParagraph"/>
              <w:spacing w:before="13" w:line="189" w:lineRule="exact"/>
              <w:ind w:left="366" w:right="175"/>
              <w:jc w:val="center"/>
              <w:rPr>
                <w:sz w:val="16"/>
              </w:rPr>
            </w:pPr>
            <w:r>
              <w:rPr>
                <w:spacing w:val="-4"/>
                <w:sz w:val="16"/>
              </w:rPr>
              <w:t>0.02</w:t>
            </w:r>
          </w:p>
        </w:tc>
        <w:tc>
          <w:tcPr>
            <w:tcW w:w="911" w:type="dxa"/>
            <w:tcBorders>
              <w:top w:val="single" w:sz="4" w:space="0" w:color="FFFFFF"/>
              <w:left w:val="nil"/>
              <w:right w:val="nil"/>
            </w:tcBorders>
            <w:shd w:val="clear" w:color="auto" w:fill="CCE2ED"/>
          </w:tcPr>
          <w:p w14:paraId="67A8ECAF" w14:textId="77777777" w:rsidR="00141B97" w:rsidRDefault="00911D63">
            <w:pPr>
              <w:pStyle w:val="TableParagraph"/>
              <w:spacing w:before="13" w:line="189" w:lineRule="exact"/>
              <w:ind w:left="171" w:right="175"/>
              <w:jc w:val="center"/>
              <w:rPr>
                <w:sz w:val="16"/>
              </w:rPr>
            </w:pPr>
            <w:r>
              <w:rPr>
                <w:spacing w:val="-4"/>
                <w:sz w:val="16"/>
              </w:rPr>
              <w:t>0.02</w:t>
            </w:r>
          </w:p>
        </w:tc>
        <w:tc>
          <w:tcPr>
            <w:tcW w:w="911" w:type="dxa"/>
            <w:tcBorders>
              <w:top w:val="single" w:sz="4" w:space="0" w:color="FFFFFF"/>
              <w:left w:val="nil"/>
              <w:right w:val="nil"/>
            </w:tcBorders>
            <w:shd w:val="clear" w:color="auto" w:fill="CCE2ED"/>
          </w:tcPr>
          <w:p w14:paraId="568CD2EF" w14:textId="77777777" w:rsidR="00141B97" w:rsidRDefault="00911D63">
            <w:pPr>
              <w:pStyle w:val="TableParagraph"/>
              <w:spacing w:before="13" w:line="189" w:lineRule="exact"/>
              <w:ind w:left="171" w:right="175"/>
              <w:jc w:val="center"/>
              <w:rPr>
                <w:sz w:val="16"/>
              </w:rPr>
            </w:pPr>
            <w:r>
              <w:rPr>
                <w:spacing w:val="-4"/>
                <w:sz w:val="16"/>
              </w:rPr>
              <w:t>0.02</w:t>
            </w:r>
          </w:p>
        </w:tc>
        <w:tc>
          <w:tcPr>
            <w:tcW w:w="910" w:type="dxa"/>
            <w:tcBorders>
              <w:top w:val="single" w:sz="4" w:space="0" w:color="FFFFFF"/>
              <w:left w:val="nil"/>
              <w:right w:val="nil"/>
            </w:tcBorders>
            <w:shd w:val="clear" w:color="auto" w:fill="CCE2ED"/>
          </w:tcPr>
          <w:p w14:paraId="73850119" w14:textId="77777777" w:rsidR="00141B97" w:rsidRDefault="00911D63">
            <w:pPr>
              <w:pStyle w:val="TableParagraph"/>
              <w:spacing w:before="13" w:line="189" w:lineRule="exact"/>
              <w:ind w:left="169" w:right="175"/>
              <w:jc w:val="center"/>
              <w:rPr>
                <w:sz w:val="16"/>
              </w:rPr>
            </w:pPr>
            <w:r>
              <w:rPr>
                <w:spacing w:val="-4"/>
                <w:sz w:val="16"/>
              </w:rPr>
              <w:t>0.02</w:t>
            </w:r>
          </w:p>
        </w:tc>
        <w:tc>
          <w:tcPr>
            <w:tcW w:w="939" w:type="dxa"/>
            <w:tcBorders>
              <w:top w:val="single" w:sz="4" w:space="0" w:color="FFFFFF"/>
              <w:left w:val="nil"/>
              <w:right w:val="nil"/>
            </w:tcBorders>
            <w:shd w:val="clear" w:color="auto" w:fill="CCE2ED"/>
          </w:tcPr>
          <w:p w14:paraId="508819F6" w14:textId="77777777" w:rsidR="00141B97" w:rsidRDefault="00911D63">
            <w:pPr>
              <w:pStyle w:val="TableParagraph"/>
              <w:spacing w:before="13" w:line="189" w:lineRule="exact"/>
              <w:ind w:left="169" w:right="205"/>
              <w:jc w:val="center"/>
              <w:rPr>
                <w:sz w:val="16"/>
              </w:rPr>
            </w:pPr>
            <w:r>
              <w:rPr>
                <w:spacing w:val="-4"/>
                <w:sz w:val="16"/>
              </w:rPr>
              <w:t>0.02</w:t>
            </w:r>
          </w:p>
        </w:tc>
        <w:tc>
          <w:tcPr>
            <w:tcW w:w="869" w:type="dxa"/>
            <w:tcBorders>
              <w:top w:val="single" w:sz="4" w:space="0" w:color="FFFFFF"/>
              <w:left w:val="nil"/>
              <w:right w:val="nil"/>
            </w:tcBorders>
            <w:shd w:val="clear" w:color="auto" w:fill="CCE2ED"/>
          </w:tcPr>
          <w:p w14:paraId="1058D234" w14:textId="77777777" w:rsidR="00141B97" w:rsidRDefault="00911D63">
            <w:pPr>
              <w:pStyle w:val="TableParagraph"/>
              <w:spacing w:before="13" w:line="189" w:lineRule="exact"/>
              <w:ind w:right="307"/>
              <w:jc w:val="right"/>
              <w:rPr>
                <w:sz w:val="16"/>
              </w:rPr>
            </w:pPr>
            <w:r>
              <w:rPr>
                <w:spacing w:val="-4"/>
                <w:sz w:val="16"/>
              </w:rPr>
              <w:t>0.11</w:t>
            </w:r>
          </w:p>
        </w:tc>
      </w:tr>
      <w:tr w:rsidR="00141B97" w14:paraId="2A9B4E95" w14:textId="77777777">
        <w:trPr>
          <w:trHeight w:val="385"/>
        </w:trPr>
        <w:tc>
          <w:tcPr>
            <w:tcW w:w="2764" w:type="dxa"/>
            <w:tcBorders>
              <w:left w:val="nil"/>
              <w:right w:val="single" w:sz="4" w:space="0" w:color="FFFFFF"/>
            </w:tcBorders>
            <w:shd w:val="clear" w:color="auto" w:fill="CCE2ED"/>
          </w:tcPr>
          <w:p w14:paraId="14DC1ABE" w14:textId="77777777" w:rsidR="00141B97" w:rsidRDefault="00911D63">
            <w:pPr>
              <w:pStyle w:val="TableParagraph"/>
              <w:spacing w:line="192" w:lineRule="exact"/>
              <w:ind w:left="96"/>
              <w:rPr>
                <w:sz w:val="16"/>
              </w:rPr>
            </w:pPr>
            <w:r>
              <w:rPr>
                <w:sz w:val="16"/>
              </w:rPr>
              <w:t>Light</w:t>
            </w:r>
            <w:r>
              <w:rPr>
                <w:spacing w:val="-4"/>
                <w:sz w:val="16"/>
              </w:rPr>
              <w:t xml:space="preserve"> </w:t>
            </w:r>
            <w:r>
              <w:rPr>
                <w:sz w:val="16"/>
              </w:rPr>
              <w:t>Motor</w:t>
            </w:r>
            <w:r>
              <w:rPr>
                <w:spacing w:val="-5"/>
                <w:sz w:val="16"/>
              </w:rPr>
              <w:t xml:space="preserve"> </w:t>
            </w:r>
            <w:r>
              <w:rPr>
                <w:sz w:val="16"/>
              </w:rPr>
              <w:t>Vehicle</w:t>
            </w:r>
            <w:r>
              <w:rPr>
                <w:spacing w:val="-5"/>
                <w:sz w:val="16"/>
              </w:rPr>
              <w:t xml:space="preserve"> </w:t>
            </w:r>
            <w:r>
              <w:rPr>
                <w:sz w:val="16"/>
              </w:rPr>
              <w:t>Fleet</w:t>
            </w:r>
            <w:r>
              <w:rPr>
                <w:spacing w:val="-4"/>
                <w:sz w:val="16"/>
              </w:rPr>
              <w:t xml:space="preserve"> </w:t>
            </w:r>
            <w:r>
              <w:rPr>
                <w:sz w:val="16"/>
              </w:rPr>
              <w:t>‐</w:t>
            </w:r>
            <w:r>
              <w:rPr>
                <w:spacing w:val="-5"/>
                <w:sz w:val="16"/>
              </w:rPr>
              <w:t xml:space="preserve"> </w:t>
            </w:r>
            <w:r>
              <w:rPr>
                <w:spacing w:val="-2"/>
                <w:sz w:val="16"/>
              </w:rPr>
              <w:t>annual</w:t>
            </w:r>
          </w:p>
          <w:p w14:paraId="5AFAB0DB" w14:textId="77777777" w:rsidR="00141B97" w:rsidRDefault="00911D63">
            <w:pPr>
              <w:pStyle w:val="TableParagraph"/>
              <w:spacing w:line="173" w:lineRule="exact"/>
              <w:ind w:left="96"/>
              <w:rPr>
                <w:sz w:val="16"/>
              </w:rPr>
            </w:pPr>
            <w:r>
              <w:rPr>
                <w:sz w:val="16"/>
              </w:rPr>
              <w:t>vehicle</w:t>
            </w:r>
            <w:r>
              <w:rPr>
                <w:spacing w:val="-7"/>
                <w:sz w:val="16"/>
              </w:rPr>
              <w:t xml:space="preserve"> </w:t>
            </w:r>
            <w:r>
              <w:rPr>
                <w:spacing w:val="-2"/>
                <w:sz w:val="16"/>
              </w:rPr>
              <w:t>replacements</w:t>
            </w:r>
          </w:p>
        </w:tc>
        <w:tc>
          <w:tcPr>
            <w:tcW w:w="1115" w:type="dxa"/>
            <w:tcBorders>
              <w:left w:val="single" w:sz="4" w:space="0" w:color="FFFFFF"/>
              <w:right w:val="single" w:sz="4" w:space="0" w:color="FFFFFF"/>
            </w:tcBorders>
            <w:shd w:val="clear" w:color="auto" w:fill="CCE2ED"/>
          </w:tcPr>
          <w:p w14:paraId="5E5FA67C" w14:textId="77777777" w:rsidR="00141B97" w:rsidRDefault="00911D63">
            <w:pPr>
              <w:pStyle w:val="TableParagraph"/>
              <w:spacing w:before="95"/>
              <w:ind w:left="399" w:right="399"/>
              <w:jc w:val="center"/>
              <w:rPr>
                <w:sz w:val="16"/>
              </w:rPr>
            </w:pPr>
            <w:r>
              <w:rPr>
                <w:spacing w:val="-4"/>
                <w:sz w:val="16"/>
              </w:rPr>
              <w:t>2.16</w:t>
            </w:r>
          </w:p>
        </w:tc>
        <w:tc>
          <w:tcPr>
            <w:tcW w:w="995" w:type="dxa"/>
            <w:tcBorders>
              <w:left w:val="single" w:sz="4" w:space="0" w:color="FFFFFF"/>
              <w:right w:val="single" w:sz="4" w:space="0" w:color="FFFFFF"/>
            </w:tcBorders>
            <w:shd w:val="clear" w:color="auto" w:fill="CCE2ED"/>
          </w:tcPr>
          <w:p w14:paraId="1682D697" w14:textId="77777777" w:rsidR="00141B97" w:rsidRDefault="00911D63">
            <w:pPr>
              <w:pStyle w:val="TableParagraph"/>
              <w:spacing w:before="95"/>
              <w:ind w:left="136" w:right="173"/>
              <w:jc w:val="center"/>
              <w:rPr>
                <w:sz w:val="16"/>
              </w:rPr>
            </w:pPr>
            <w:r>
              <w:rPr>
                <w:spacing w:val="-2"/>
                <w:sz w:val="16"/>
              </w:rPr>
              <w:t>Corporate</w:t>
            </w:r>
          </w:p>
        </w:tc>
        <w:tc>
          <w:tcPr>
            <w:tcW w:w="1397" w:type="dxa"/>
            <w:tcBorders>
              <w:left w:val="single" w:sz="4" w:space="0" w:color="FFFFFF"/>
              <w:right w:val="nil"/>
            </w:tcBorders>
            <w:shd w:val="clear" w:color="auto" w:fill="CCE2ED"/>
          </w:tcPr>
          <w:p w14:paraId="346F15C7" w14:textId="77777777" w:rsidR="00141B97" w:rsidRDefault="00911D63">
            <w:pPr>
              <w:pStyle w:val="TableParagraph"/>
              <w:spacing w:before="95"/>
              <w:ind w:left="180" w:right="218"/>
              <w:jc w:val="center"/>
              <w:rPr>
                <w:sz w:val="16"/>
              </w:rPr>
            </w:pPr>
            <w:r>
              <w:rPr>
                <w:spacing w:val="-2"/>
                <w:sz w:val="16"/>
              </w:rPr>
              <w:t>Renewals</w:t>
            </w:r>
          </w:p>
        </w:tc>
        <w:tc>
          <w:tcPr>
            <w:tcW w:w="3771" w:type="dxa"/>
            <w:tcBorders>
              <w:left w:val="nil"/>
              <w:right w:val="nil"/>
            </w:tcBorders>
            <w:shd w:val="clear" w:color="auto" w:fill="CCE2ED"/>
          </w:tcPr>
          <w:p w14:paraId="24A3529B" w14:textId="77777777" w:rsidR="00141B97" w:rsidRDefault="00911D63">
            <w:pPr>
              <w:pStyle w:val="TableParagraph"/>
              <w:spacing w:before="95"/>
              <w:ind w:left="106"/>
              <w:rPr>
                <w:sz w:val="16"/>
              </w:rPr>
            </w:pPr>
            <w:r>
              <w:rPr>
                <w:sz w:val="16"/>
              </w:rPr>
              <w:t>Motor</w:t>
            </w:r>
            <w:r>
              <w:rPr>
                <w:spacing w:val="-8"/>
                <w:sz w:val="16"/>
              </w:rPr>
              <w:t xml:space="preserve"> </w:t>
            </w:r>
            <w:r>
              <w:rPr>
                <w:spacing w:val="-2"/>
                <w:sz w:val="16"/>
              </w:rPr>
              <w:t>Vehicles</w:t>
            </w:r>
          </w:p>
        </w:tc>
        <w:tc>
          <w:tcPr>
            <w:tcW w:w="1106" w:type="dxa"/>
            <w:tcBorders>
              <w:left w:val="nil"/>
              <w:right w:val="nil"/>
            </w:tcBorders>
            <w:shd w:val="clear" w:color="auto" w:fill="CCE2ED"/>
          </w:tcPr>
          <w:p w14:paraId="28A4B996" w14:textId="77777777" w:rsidR="00141B97" w:rsidRDefault="00911D63">
            <w:pPr>
              <w:pStyle w:val="TableParagraph"/>
              <w:spacing w:before="95"/>
              <w:ind w:left="366" w:right="175"/>
              <w:jc w:val="center"/>
              <w:rPr>
                <w:sz w:val="16"/>
              </w:rPr>
            </w:pPr>
            <w:r>
              <w:rPr>
                <w:spacing w:val="-4"/>
                <w:sz w:val="16"/>
              </w:rPr>
              <w:t>0.67</w:t>
            </w:r>
          </w:p>
        </w:tc>
        <w:tc>
          <w:tcPr>
            <w:tcW w:w="911" w:type="dxa"/>
            <w:tcBorders>
              <w:left w:val="nil"/>
              <w:right w:val="nil"/>
            </w:tcBorders>
            <w:shd w:val="clear" w:color="auto" w:fill="CCE2ED"/>
          </w:tcPr>
          <w:p w14:paraId="52706896" w14:textId="77777777" w:rsidR="00141B97" w:rsidRDefault="00911D63">
            <w:pPr>
              <w:pStyle w:val="TableParagraph"/>
              <w:spacing w:before="95"/>
              <w:ind w:left="171" w:right="175"/>
              <w:jc w:val="center"/>
              <w:rPr>
                <w:sz w:val="16"/>
              </w:rPr>
            </w:pPr>
            <w:r>
              <w:rPr>
                <w:spacing w:val="-4"/>
                <w:sz w:val="16"/>
              </w:rPr>
              <w:t>0.42</w:t>
            </w:r>
          </w:p>
        </w:tc>
        <w:tc>
          <w:tcPr>
            <w:tcW w:w="911" w:type="dxa"/>
            <w:tcBorders>
              <w:left w:val="nil"/>
              <w:right w:val="nil"/>
            </w:tcBorders>
            <w:shd w:val="clear" w:color="auto" w:fill="CCE2ED"/>
          </w:tcPr>
          <w:p w14:paraId="3D692C11" w14:textId="77777777" w:rsidR="00141B97" w:rsidRDefault="00911D63">
            <w:pPr>
              <w:pStyle w:val="TableParagraph"/>
              <w:spacing w:before="95"/>
              <w:ind w:left="171" w:right="175"/>
              <w:jc w:val="center"/>
              <w:rPr>
                <w:sz w:val="16"/>
              </w:rPr>
            </w:pPr>
            <w:r>
              <w:rPr>
                <w:spacing w:val="-4"/>
                <w:sz w:val="16"/>
              </w:rPr>
              <w:t>0.32</w:t>
            </w:r>
          </w:p>
        </w:tc>
        <w:tc>
          <w:tcPr>
            <w:tcW w:w="910" w:type="dxa"/>
            <w:tcBorders>
              <w:left w:val="nil"/>
              <w:right w:val="nil"/>
            </w:tcBorders>
            <w:shd w:val="clear" w:color="auto" w:fill="CCE2ED"/>
          </w:tcPr>
          <w:p w14:paraId="06CC5F65" w14:textId="77777777" w:rsidR="00141B97" w:rsidRDefault="00911D63">
            <w:pPr>
              <w:pStyle w:val="TableParagraph"/>
              <w:spacing w:before="95"/>
              <w:ind w:left="169" w:right="175"/>
              <w:jc w:val="center"/>
              <w:rPr>
                <w:sz w:val="16"/>
              </w:rPr>
            </w:pPr>
            <w:r>
              <w:rPr>
                <w:spacing w:val="-4"/>
                <w:sz w:val="16"/>
              </w:rPr>
              <w:t>0.37</w:t>
            </w:r>
          </w:p>
        </w:tc>
        <w:tc>
          <w:tcPr>
            <w:tcW w:w="939" w:type="dxa"/>
            <w:tcBorders>
              <w:left w:val="nil"/>
              <w:right w:val="nil"/>
            </w:tcBorders>
            <w:shd w:val="clear" w:color="auto" w:fill="CCE2ED"/>
          </w:tcPr>
          <w:p w14:paraId="697469A6" w14:textId="77777777" w:rsidR="00141B97" w:rsidRDefault="00911D63">
            <w:pPr>
              <w:pStyle w:val="TableParagraph"/>
              <w:spacing w:before="95"/>
              <w:ind w:left="169" w:right="205"/>
              <w:jc w:val="center"/>
              <w:rPr>
                <w:sz w:val="16"/>
              </w:rPr>
            </w:pPr>
            <w:r>
              <w:rPr>
                <w:spacing w:val="-4"/>
                <w:sz w:val="16"/>
              </w:rPr>
              <w:t>0.38</w:t>
            </w:r>
          </w:p>
        </w:tc>
        <w:tc>
          <w:tcPr>
            <w:tcW w:w="869" w:type="dxa"/>
            <w:tcBorders>
              <w:left w:val="nil"/>
              <w:right w:val="nil"/>
            </w:tcBorders>
            <w:shd w:val="clear" w:color="auto" w:fill="CCE2ED"/>
          </w:tcPr>
          <w:p w14:paraId="3205FBD8" w14:textId="77777777" w:rsidR="00141B97" w:rsidRDefault="00911D63">
            <w:pPr>
              <w:pStyle w:val="TableParagraph"/>
              <w:spacing w:before="95"/>
              <w:ind w:right="307"/>
              <w:jc w:val="right"/>
              <w:rPr>
                <w:sz w:val="16"/>
              </w:rPr>
            </w:pPr>
            <w:r>
              <w:rPr>
                <w:spacing w:val="-4"/>
                <w:sz w:val="16"/>
              </w:rPr>
              <w:t>2.16</w:t>
            </w:r>
          </w:p>
        </w:tc>
      </w:tr>
      <w:tr w:rsidR="00141B97" w14:paraId="72A111E9" w14:textId="77777777">
        <w:trPr>
          <w:trHeight w:val="224"/>
        </w:trPr>
        <w:tc>
          <w:tcPr>
            <w:tcW w:w="2764" w:type="dxa"/>
            <w:vMerge w:val="restart"/>
            <w:tcBorders>
              <w:left w:val="nil"/>
              <w:bottom w:val="single" w:sz="4" w:space="0" w:color="FFFFFF"/>
              <w:right w:val="single" w:sz="4" w:space="0" w:color="FFFFFF"/>
            </w:tcBorders>
            <w:shd w:val="clear" w:color="auto" w:fill="CCE2ED"/>
          </w:tcPr>
          <w:p w14:paraId="23227E0D" w14:textId="77777777" w:rsidR="00141B97" w:rsidRDefault="00141B97">
            <w:pPr>
              <w:pStyle w:val="TableParagraph"/>
              <w:spacing w:before="5"/>
              <w:rPr>
                <w:sz w:val="20"/>
              </w:rPr>
            </w:pPr>
          </w:p>
          <w:p w14:paraId="7D4A7CFB" w14:textId="77777777" w:rsidR="00141B97" w:rsidRDefault="00911D63">
            <w:pPr>
              <w:pStyle w:val="TableParagraph"/>
              <w:spacing w:before="1"/>
              <w:ind w:left="96"/>
              <w:rPr>
                <w:sz w:val="16"/>
              </w:rPr>
            </w:pPr>
            <w:r>
              <w:rPr>
                <w:spacing w:val="-2"/>
                <w:sz w:val="16"/>
              </w:rPr>
              <w:t>Irrigation</w:t>
            </w:r>
            <w:r>
              <w:rPr>
                <w:spacing w:val="6"/>
                <w:sz w:val="16"/>
              </w:rPr>
              <w:t xml:space="preserve"> </w:t>
            </w:r>
            <w:r>
              <w:rPr>
                <w:spacing w:val="-2"/>
                <w:sz w:val="16"/>
              </w:rPr>
              <w:t>Mains</w:t>
            </w:r>
            <w:r>
              <w:rPr>
                <w:spacing w:val="4"/>
                <w:sz w:val="16"/>
              </w:rPr>
              <w:t xml:space="preserve"> </w:t>
            </w:r>
            <w:r>
              <w:rPr>
                <w:spacing w:val="-2"/>
                <w:sz w:val="16"/>
              </w:rPr>
              <w:t>Replacement</w:t>
            </w:r>
          </w:p>
        </w:tc>
        <w:tc>
          <w:tcPr>
            <w:tcW w:w="1115" w:type="dxa"/>
            <w:vMerge w:val="restart"/>
            <w:tcBorders>
              <w:left w:val="single" w:sz="4" w:space="0" w:color="FFFFFF"/>
              <w:bottom w:val="single" w:sz="4" w:space="0" w:color="FFFFFF"/>
              <w:right w:val="single" w:sz="4" w:space="0" w:color="FFFFFF"/>
            </w:tcBorders>
            <w:shd w:val="clear" w:color="auto" w:fill="CCE2ED"/>
          </w:tcPr>
          <w:p w14:paraId="2DA9953B" w14:textId="77777777" w:rsidR="00141B97" w:rsidRDefault="00141B97">
            <w:pPr>
              <w:pStyle w:val="TableParagraph"/>
              <w:spacing w:before="5"/>
              <w:rPr>
                <w:sz w:val="20"/>
              </w:rPr>
            </w:pPr>
          </w:p>
          <w:p w14:paraId="5DCECF93" w14:textId="77777777" w:rsidR="00141B97" w:rsidRDefault="00911D63">
            <w:pPr>
              <w:pStyle w:val="TableParagraph"/>
              <w:spacing w:before="1"/>
              <w:ind w:left="399" w:right="399"/>
              <w:jc w:val="center"/>
              <w:rPr>
                <w:sz w:val="16"/>
              </w:rPr>
            </w:pPr>
            <w:r>
              <w:rPr>
                <w:spacing w:val="-4"/>
                <w:sz w:val="16"/>
              </w:rPr>
              <w:t>4.03</w:t>
            </w:r>
          </w:p>
        </w:tc>
        <w:tc>
          <w:tcPr>
            <w:tcW w:w="995" w:type="dxa"/>
            <w:vMerge w:val="restart"/>
            <w:tcBorders>
              <w:left w:val="single" w:sz="4" w:space="0" w:color="FFFFFF"/>
              <w:bottom w:val="single" w:sz="4" w:space="0" w:color="FFFFFF"/>
              <w:right w:val="single" w:sz="4" w:space="0" w:color="FFFFFF"/>
            </w:tcBorders>
            <w:shd w:val="clear" w:color="auto" w:fill="CCE2ED"/>
          </w:tcPr>
          <w:p w14:paraId="61FE1DC1" w14:textId="77777777" w:rsidR="00141B97" w:rsidRDefault="00141B97">
            <w:pPr>
              <w:pStyle w:val="TableParagraph"/>
              <w:spacing w:before="5"/>
              <w:rPr>
                <w:sz w:val="20"/>
              </w:rPr>
            </w:pPr>
          </w:p>
          <w:p w14:paraId="6CC86FC5" w14:textId="77777777" w:rsidR="00141B97" w:rsidRDefault="00911D63">
            <w:pPr>
              <w:pStyle w:val="TableParagraph"/>
              <w:spacing w:before="1"/>
              <w:ind w:left="197"/>
              <w:rPr>
                <w:sz w:val="16"/>
              </w:rPr>
            </w:pPr>
            <w:r>
              <w:rPr>
                <w:spacing w:val="-2"/>
                <w:sz w:val="16"/>
              </w:rPr>
              <w:t>Irrigation</w:t>
            </w:r>
          </w:p>
        </w:tc>
        <w:tc>
          <w:tcPr>
            <w:tcW w:w="1397" w:type="dxa"/>
            <w:vMerge w:val="restart"/>
            <w:tcBorders>
              <w:left w:val="single" w:sz="4" w:space="0" w:color="FFFFFF"/>
              <w:bottom w:val="single" w:sz="4" w:space="0" w:color="FFFFFF"/>
              <w:right w:val="nil"/>
            </w:tcBorders>
            <w:shd w:val="clear" w:color="auto" w:fill="CCE2ED"/>
          </w:tcPr>
          <w:p w14:paraId="6074BFAB" w14:textId="77777777" w:rsidR="00141B97" w:rsidRDefault="00141B97">
            <w:pPr>
              <w:pStyle w:val="TableParagraph"/>
              <w:spacing w:before="5"/>
              <w:rPr>
                <w:sz w:val="20"/>
              </w:rPr>
            </w:pPr>
          </w:p>
          <w:p w14:paraId="79E9DA8F" w14:textId="77777777" w:rsidR="00141B97" w:rsidRDefault="00911D63">
            <w:pPr>
              <w:pStyle w:val="TableParagraph"/>
              <w:spacing w:before="1"/>
              <w:ind w:left="368"/>
              <w:rPr>
                <w:sz w:val="16"/>
              </w:rPr>
            </w:pPr>
            <w:r>
              <w:rPr>
                <w:spacing w:val="-2"/>
                <w:sz w:val="16"/>
              </w:rPr>
              <w:t>Renewals</w:t>
            </w:r>
          </w:p>
        </w:tc>
        <w:tc>
          <w:tcPr>
            <w:tcW w:w="3771" w:type="dxa"/>
            <w:tcBorders>
              <w:left w:val="nil"/>
              <w:bottom w:val="single" w:sz="4" w:space="0" w:color="FFFFFF"/>
              <w:right w:val="nil"/>
            </w:tcBorders>
            <w:shd w:val="clear" w:color="auto" w:fill="CCE2ED"/>
          </w:tcPr>
          <w:p w14:paraId="1B729F2E" w14:textId="77777777" w:rsidR="00141B97" w:rsidRDefault="00911D63">
            <w:pPr>
              <w:pStyle w:val="TableParagraph"/>
              <w:spacing w:before="13" w:line="191" w:lineRule="exact"/>
              <w:ind w:left="106"/>
              <w:rPr>
                <w:sz w:val="16"/>
              </w:rPr>
            </w:pPr>
            <w:r>
              <w:rPr>
                <w:sz w:val="16"/>
              </w:rPr>
              <w:t>MDA</w:t>
            </w:r>
            <w:r>
              <w:rPr>
                <w:spacing w:val="-6"/>
                <w:sz w:val="16"/>
              </w:rPr>
              <w:t xml:space="preserve"> </w:t>
            </w:r>
            <w:r>
              <w:rPr>
                <w:sz w:val="16"/>
              </w:rPr>
              <w:t>‐</w:t>
            </w:r>
            <w:r>
              <w:rPr>
                <w:spacing w:val="-6"/>
                <w:sz w:val="16"/>
              </w:rPr>
              <w:t xml:space="preserve"> </w:t>
            </w:r>
            <w:r>
              <w:rPr>
                <w:sz w:val="16"/>
              </w:rPr>
              <w:t>Mains</w:t>
            </w:r>
            <w:r>
              <w:rPr>
                <w:spacing w:val="-5"/>
                <w:sz w:val="16"/>
              </w:rPr>
              <w:t xml:space="preserve"> </w:t>
            </w:r>
            <w:r>
              <w:rPr>
                <w:sz w:val="16"/>
              </w:rPr>
              <w:t>Replacement</w:t>
            </w:r>
            <w:r>
              <w:rPr>
                <w:spacing w:val="-5"/>
                <w:sz w:val="16"/>
              </w:rPr>
              <w:t xml:space="preserve"> </w:t>
            </w:r>
            <w:r>
              <w:rPr>
                <w:sz w:val="16"/>
              </w:rPr>
              <w:t>and</w:t>
            </w:r>
            <w:r>
              <w:rPr>
                <w:spacing w:val="-6"/>
                <w:sz w:val="16"/>
              </w:rPr>
              <w:t xml:space="preserve"> </w:t>
            </w:r>
            <w:r>
              <w:rPr>
                <w:sz w:val="16"/>
              </w:rPr>
              <w:t>upgrade</w:t>
            </w:r>
            <w:r>
              <w:rPr>
                <w:spacing w:val="-6"/>
                <w:sz w:val="16"/>
              </w:rPr>
              <w:t xml:space="preserve"> </w:t>
            </w:r>
            <w:r>
              <w:rPr>
                <w:sz w:val="16"/>
              </w:rPr>
              <w:t>tight</w:t>
            </w:r>
            <w:r>
              <w:rPr>
                <w:spacing w:val="-4"/>
                <w:sz w:val="16"/>
              </w:rPr>
              <w:t xml:space="preserve"> </w:t>
            </w:r>
            <w:r>
              <w:rPr>
                <w:spacing w:val="-2"/>
                <w:sz w:val="16"/>
              </w:rPr>
              <w:t>spurs</w:t>
            </w:r>
          </w:p>
        </w:tc>
        <w:tc>
          <w:tcPr>
            <w:tcW w:w="1106" w:type="dxa"/>
            <w:tcBorders>
              <w:left w:val="nil"/>
              <w:bottom w:val="single" w:sz="4" w:space="0" w:color="FFFFFF"/>
              <w:right w:val="nil"/>
            </w:tcBorders>
            <w:shd w:val="clear" w:color="auto" w:fill="CCE2ED"/>
          </w:tcPr>
          <w:p w14:paraId="17516BAC" w14:textId="77777777" w:rsidR="00141B97" w:rsidRDefault="00911D63">
            <w:pPr>
              <w:pStyle w:val="TableParagraph"/>
              <w:spacing w:before="13" w:line="191" w:lineRule="exact"/>
              <w:ind w:left="366" w:right="175"/>
              <w:jc w:val="center"/>
              <w:rPr>
                <w:sz w:val="16"/>
              </w:rPr>
            </w:pPr>
            <w:r>
              <w:rPr>
                <w:spacing w:val="-4"/>
                <w:sz w:val="16"/>
              </w:rPr>
              <w:t>0.29</w:t>
            </w:r>
          </w:p>
        </w:tc>
        <w:tc>
          <w:tcPr>
            <w:tcW w:w="911" w:type="dxa"/>
            <w:tcBorders>
              <w:left w:val="nil"/>
              <w:bottom w:val="single" w:sz="4" w:space="0" w:color="FFFFFF"/>
              <w:right w:val="nil"/>
            </w:tcBorders>
            <w:shd w:val="clear" w:color="auto" w:fill="CCE2ED"/>
          </w:tcPr>
          <w:p w14:paraId="299C75A9" w14:textId="77777777" w:rsidR="00141B97" w:rsidRDefault="00911D63">
            <w:pPr>
              <w:pStyle w:val="TableParagraph"/>
              <w:spacing w:before="13" w:line="191" w:lineRule="exact"/>
              <w:ind w:left="171" w:right="175"/>
              <w:jc w:val="center"/>
              <w:rPr>
                <w:sz w:val="16"/>
              </w:rPr>
            </w:pPr>
            <w:r>
              <w:rPr>
                <w:spacing w:val="-4"/>
                <w:sz w:val="16"/>
              </w:rPr>
              <w:t>0.50</w:t>
            </w:r>
          </w:p>
        </w:tc>
        <w:tc>
          <w:tcPr>
            <w:tcW w:w="911" w:type="dxa"/>
            <w:tcBorders>
              <w:left w:val="nil"/>
              <w:bottom w:val="single" w:sz="4" w:space="0" w:color="FFFFFF"/>
              <w:right w:val="nil"/>
            </w:tcBorders>
            <w:shd w:val="clear" w:color="auto" w:fill="CCE2ED"/>
          </w:tcPr>
          <w:p w14:paraId="725A9581" w14:textId="77777777" w:rsidR="00141B97" w:rsidRDefault="00911D63">
            <w:pPr>
              <w:pStyle w:val="TableParagraph"/>
              <w:spacing w:before="13" w:line="191" w:lineRule="exact"/>
              <w:ind w:left="171" w:right="175"/>
              <w:jc w:val="center"/>
              <w:rPr>
                <w:sz w:val="16"/>
              </w:rPr>
            </w:pPr>
            <w:r>
              <w:rPr>
                <w:spacing w:val="-4"/>
                <w:sz w:val="16"/>
              </w:rPr>
              <w:t>0.60</w:t>
            </w:r>
          </w:p>
        </w:tc>
        <w:tc>
          <w:tcPr>
            <w:tcW w:w="910" w:type="dxa"/>
            <w:tcBorders>
              <w:left w:val="nil"/>
              <w:bottom w:val="single" w:sz="4" w:space="0" w:color="FFFFFF"/>
              <w:right w:val="nil"/>
            </w:tcBorders>
            <w:shd w:val="clear" w:color="auto" w:fill="CCE2ED"/>
          </w:tcPr>
          <w:p w14:paraId="18267026" w14:textId="77777777" w:rsidR="00141B97" w:rsidRDefault="00911D63">
            <w:pPr>
              <w:pStyle w:val="TableParagraph"/>
              <w:spacing w:before="13" w:line="191" w:lineRule="exact"/>
              <w:ind w:left="169" w:right="175"/>
              <w:jc w:val="center"/>
              <w:rPr>
                <w:sz w:val="16"/>
              </w:rPr>
            </w:pPr>
            <w:r>
              <w:rPr>
                <w:spacing w:val="-4"/>
                <w:sz w:val="16"/>
              </w:rPr>
              <w:t>0.53</w:t>
            </w:r>
          </w:p>
        </w:tc>
        <w:tc>
          <w:tcPr>
            <w:tcW w:w="939" w:type="dxa"/>
            <w:tcBorders>
              <w:left w:val="nil"/>
              <w:bottom w:val="single" w:sz="4" w:space="0" w:color="FFFFFF"/>
              <w:right w:val="nil"/>
            </w:tcBorders>
            <w:shd w:val="clear" w:color="auto" w:fill="CCE2ED"/>
          </w:tcPr>
          <w:p w14:paraId="15A92611" w14:textId="77777777" w:rsidR="00141B97" w:rsidRDefault="00911D63">
            <w:pPr>
              <w:pStyle w:val="TableParagraph"/>
              <w:spacing w:before="13" w:line="191" w:lineRule="exact"/>
              <w:ind w:left="169" w:right="205"/>
              <w:jc w:val="center"/>
              <w:rPr>
                <w:sz w:val="16"/>
              </w:rPr>
            </w:pPr>
            <w:r>
              <w:rPr>
                <w:spacing w:val="-4"/>
                <w:sz w:val="16"/>
              </w:rPr>
              <w:t>0.24</w:t>
            </w:r>
          </w:p>
        </w:tc>
        <w:tc>
          <w:tcPr>
            <w:tcW w:w="869" w:type="dxa"/>
            <w:tcBorders>
              <w:left w:val="nil"/>
              <w:bottom w:val="single" w:sz="4" w:space="0" w:color="FFFFFF"/>
              <w:right w:val="nil"/>
            </w:tcBorders>
            <w:shd w:val="clear" w:color="auto" w:fill="CCE2ED"/>
          </w:tcPr>
          <w:p w14:paraId="15261FDD" w14:textId="77777777" w:rsidR="00141B97" w:rsidRDefault="00911D63">
            <w:pPr>
              <w:pStyle w:val="TableParagraph"/>
              <w:spacing w:before="13" w:line="191" w:lineRule="exact"/>
              <w:ind w:right="307"/>
              <w:jc w:val="right"/>
              <w:rPr>
                <w:sz w:val="16"/>
              </w:rPr>
            </w:pPr>
            <w:r>
              <w:rPr>
                <w:spacing w:val="-4"/>
                <w:sz w:val="16"/>
              </w:rPr>
              <w:t>2.17</w:t>
            </w:r>
          </w:p>
        </w:tc>
      </w:tr>
      <w:tr w:rsidR="00141B97" w14:paraId="2220A333"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2839136E"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30AB1923"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2EF013B4" w14:textId="77777777" w:rsidR="00141B97" w:rsidRDefault="00141B97">
            <w:pPr>
              <w:rPr>
                <w:sz w:val="2"/>
                <w:szCs w:val="2"/>
              </w:rPr>
            </w:pPr>
          </w:p>
        </w:tc>
        <w:tc>
          <w:tcPr>
            <w:tcW w:w="1397" w:type="dxa"/>
            <w:vMerge/>
            <w:tcBorders>
              <w:top w:val="nil"/>
              <w:left w:val="single" w:sz="4" w:space="0" w:color="FFFFFF"/>
              <w:bottom w:val="single" w:sz="4" w:space="0" w:color="FFFFFF"/>
              <w:right w:val="nil"/>
            </w:tcBorders>
            <w:shd w:val="clear" w:color="auto" w:fill="CCE2ED"/>
          </w:tcPr>
          <w:p w14:paraId="4B30BEE0" w14:textId="77777777" w:rsidR="00141B97" w:rsidRDefault="00141B97">
            <w:pPr>
              <w:rPr>
                <w:sz w:val="2"/>
                <w:szCs w:val="2"/>
              </w:rPr>
            </w:pPr>
          </w:p>
        </w:tc>
        <w:tc>
          <w:tcPr>
            <w:tcW w:w="3771" w:type="dxa"/>
            <w:tcBorders>
              <w:top w:val="single" w:sz="4" w:space="0" w:color="FFFFFF"/>
              <w:left w:val="nil"/>
              <w:right w:val="nil"/>
            </w:tcBorders>
            <w:shd w:val="clear" w:color="auto" w:fill="CCE2ED"/>
          </w:tcPr>
          <w:p w14:paraId="28177317" w14:textId="77777777" w:rsidR="00141B97" w:rsidRDefault="00911D63">
            <w:pPr>
              <w:pStyle w:val="TableParagraph"/>
              <w:spacing w:before="15" w:line="189" w:lineRule="exact"/>
              <w:ind w:left="106"/>
              <w:rPr>
                <w:sz w:val="16"/>
              </w:rPr>
            </w:pPr>
            <w:r>
              <w:rPr>
                <w:sz w:val="16"/>
              </w:rPr>
              <w:t>MER</w:t>
            </w:r>
            <w:r>
              <w:rPr>
                <w:spacing w:val="-5"/>
                <w:sz w:val="16"/>
              </w:rPr>
              <w:t xml:space="preserve"> </w:t>
            </w:r>
            <w:r>
              <w:rPr>
                <w:sz w:val="16"/>
              </w:rPr>
              <w:t>‐</w:t>
            </w:r>
            <w:r>
              <w:rPr>
                <w:spacing w:val="-6"/>
                <w:sz w:val="16"/>
              </w:rPr>
              <w:t xml:space="preserve"> </w:t>
            </w:r>
            <w:r>
              <w:rPr>
                <w:sz w:val="16"/>
              </w:rPr>
              <w:t>Mains</w:t>
            </w:r>
            <w:r>
              <w:rPr>
                <w:spacing w:val="-4"/>
                <w:sz w:val="16"/>
              </w:rPr>
              <w:t xml:space="preserve"> </w:t>
            </w:r>
            <w:r>
              <w:rPr>
                <w:sz w:val="16"/>
              </w:rPr>
              <w:t>Replacement</w:t>
            </w:r>
            <w:r>
              <w:rPr>
                <w:spacing w:val="-5"/>
                <w:sz w:val="16"/>
              </w:rPr>
              <w:t xml:space="preserve"> </w:t>
            </w:r>
            <w:r>
              <w:rPr>
                <w:sz w:val="16"/>
              </w:rPr>
              <w:t>and</w:t>
            </w:r>
            <w:r>
              <w:rPr>
                <w:spacing w:val="-6"/>
                <w:sz w:val="16"/>
              </w:rPr>
              <w:t xml:space="preserve"> </w:t>
            </w:r>
            <w:r>
              <w:rPr>
                <w:sz w:val="16"/>
              </w:rPr>
              <w:t>upgrade</w:t>
            </w:r>
            <w:r>
              <w:rPr>
                <w:spacing w:val="-5"/>
                <w:sz w:val="16"/>
              </w:rPr>
              <w:t xml:space="preserve"> </w:t>
            </w:r>
            <w:r>
              <w:rPr>
                <w:sz w:val="16"/>
              </w:rPr>
              <w:t>tight</w:t>
            </w:r>
            <w:r>
              <w:rPr>
                <w:spacing w:val="-4"/>
                <w:sz w:val="16"/>
              </w:rPr>
              <w:t xml:space="preserve"> </w:t>
            </w:r>
            <w:r>
              <w:rPr>
                <w:spacing w:val="-2"/>
                <w:sz w:val="16"/>
              </w:rPr>
              <w:t>spurs</w:t>
            </w:r>
          </w:p>
        </w:tc>
        <w:tc>
          <w:tcPr>
            <w:tcW w:w="1106" w:type="dxa"/>
            <w:tcBorders>
              <w:top w:val="single" w:sz="4" w:space="0" w:color="FFFFFF"/>
              <w:left w:val="nil"/>
              <w:right w:val="nil"/>
            </w:tcBorders>
            <w:shd w:val="clear" w:color="auto" w:fill="CCE2ED"/>
          </w:tcPr>
          <w:p w14:paraId="26A6F96C" w14:textId="77777777" w:rsidR="00141B97" w:rsidRDefault="00911D63">
            <w:pPr>
              <w:pStyle w:val="TableParagraph"/>
              <w:spacing w:before="15" w:line="189" w:lineRule="exact"/>
              <w:ind w:left="366" w:right="175"/>
              <w:jc w:val="center"/>
              <w:rPr>
                <w:sz w:val="16"/>
              </w:rPr>
            </w:pPr>
            <w:r>
              <w:rPr>
                <w:spacing w:val="-4"/>
                <w:sz w:val="16"/>
              </w:rPr>
              <w:t>0.16</w:t>
            </w:r>
          </w:p>
        </w:tc>
        <w:tc>
          <w:tcPr>
            <w:tcW w:w="911" w:type="dxa"/>
            <w:tcBorders>
              <w:top w:val="single" w:sz="4" w:space="0" w:color="FFFFFF"/>
              <w:left w:val="nil"/>
              <w:right w:val="nil"/>
            </w:tcBorders>
            <w:shd w:val="clear" w:color="auto" w:fill="CCE2ED"/>
          </w:tcPr>
          <w:p w14:paraId="6EBB6352" w14:textId="77777777" w:rsidR="00141B97" w:rsidRDefault="00911D63">
            <w:pPr>
              <w:pStyle w:val="TableParagraph"/>
              <w:spacing w:before="15" w:line="189" w:lineRule="exact"/>
              <w:ind w:left="171" w:right="175"/>
              <w:jc w:val="center"/>
              <w:rPr>
                <w:sz w:val="16"/>
              </w:rPr>
            </w:pPr>
            <w:r>
              <w:rPr>
                <w:spacing w:val="-4"/>
                <w:sz w:val="16"/>
              </w:rPr>
              <w:t>0.25</w:t>
            </w:r>
          </w:p>
        </w:tc>
        <w:tc>
          <w:tcPr>
            <w:tcW w:w="911" w:type="dxa"/>
            <w:tcBorders>
              <w:top w:val="single" w:sz="4" w:space="0" w:color="FFFFFF"/>
              <w:left w:val="nil"/>
              <w:right w:val="nil"/>
            </w:tcBorders>
            <w:shd w:val="clear" w:color="auto" w:fill="CCE2ED"/>
          </w:tcPr>
          <w:p w14:paraId="25DE3EBF" w14:textId="77777777" w:rsidR="00141B97" w:rsidRDefault="00911D63">
            <w:pPr>
              <w:pStyle w:val="TableParagraph"/>
              <w:spacing w:before="15" w:line="189" w:lineRule="exact"/>
              <w:ind w:left="171" w:right="175"/>
              <w:jc w:val="center"/>
              <w:rPr>
                <w:sz w:val="16"/>
              </w:rPr>
            </w:pPr>
            <w:r>
              <w:rPr>
                <w:spacing w:val="-4"/>
                <w:sz w:val="16"/>
              </w:rPr>
              <w:t>0.25</w:t>
            </w:r>
          </w:p>
        </w:tc>
        <w:tc>
          <w:tcPr>
            <w:tcW w:w="910" w:type="dxa"/>
            <w:tcBorders>
              <w:top w:val="single" w:sz="4" w:space="0" w:color="FFFFFF"/>
              <w:left w:val="nil"/>
              <w:right w:val="nil"/>
            </w:tcBorders>
            <w:shd w:val="clear" w:color="auto" w:fill="CCE2ED"/>
          </w:tcPr>
          <w:p w14:paraId="5A19E5E6" w14:textId="77777777" w:rsidR="00141B97" w:rsidRDefault="00911D63">
            <w:pPr>
              <w:pStyle w:val="TableParagraph"/>
              <w:spacing w:before="15" w:line="189" w:lineRule="exact"/>
              <w:ind w:left="169" w:right="175"/>
              <w:jc w:val="center"/>
              <w:rPr>
                <w:sz w:val="16"/>
              </w:rPr>
            </w:pPr>
            <w:r>
              <w:rPr>
                <w:spacing w:val="-4"/>
                <w:sz w:val="16"/>
              </w:rPr>
              <w:t>0.26</w:t>
            </w:r>
          </w:p>
        </w:tc>
        <w:tc>
          <w:tcPr>
            <w:tcW w:w="939" w:type="dxa"/>
            <w:tcBorders>
              <w:top w:val="single" w:sz="4" w:space="0" w:color="FFFFFF"/>
              <w:left w:val="nil"/>
              <w:right w:val="nil"/>
            </w:tcBorders>
            <w:shd w:val="clear" w:color="auto" w:fill="CCE2ED"/>
          </w:tcPr>
          <w:p w14:paraId="2E959175" w14:textId="77777777" w:rsidR="00141B97" w:rsidRDefault="00911D63">
            <w:pPr>
              <w:pStyle w:val="TableParagraph"/>
              <w:spacing w:before="15" w:line="189" w:lineRule="exact"/>
              <w:ind w:left="169" w:right="205"/>
              <w:jc w:val="center"/>
              <w:rPr>
                <w:sz w:val="16"/>
              </w:rPr>
            </w:pPr>
            <w:r>
              <w:rPr>
                <w:spacing w:val="-4"/>
                <w:sz w:val="16"/>
              </w:rPr>
              <w:t>0.18</w:t>
            </w:r>
          </w:p>
        </w:tc>
        <w:tc>
          <w:tcPr>
            <w:tcW w:w="869" w:type="dxa"/>
            <w:tcBorders>
              <w:top w:val="single" w:sz="4" w:space="0" w:color="FFFFFF"/>
              <w:left w:val="nil"/>
              <w:right w:val="nil"/>
            </w:tcBorders>
            <w:shd w:val="clear" w:color="auto" w:fill="CCE2ED"/>
          </w:tcPr>
          <w:p w14:paraId="3AF9F45F" w14:textId="77777777" w:rsidR="00141B97" w:rsidRDefault="00911D63">
            <w:pPr>
              <w:pStyle w:val="TableParagraph"/>
              <w:spacing w:before="15" w:line="189" w:lineRule="exact"/>
              <w:ind w:right="307"/>
              <w:jc w:val="right"/>
              <w:rPr>
                <w:sz w:val="16"/>
              </w:rPr>
            </w:pPr>
            <w:r>
              <w:rPr>
                <w:spacing w:val="-4"/>
                <w:sz w:val="16"/>
              </w:rPr>
              <w:t>1.10</w:t>
            </w:r>
          </w:p>
        </w:tc>
      </w:tr>
      <w:tr w:rsidR="00141B97" w14:paraId="4F9A4487"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5921A854"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7B437F52"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677860B3" w14:textId="77777777" w:rsidR="00141B97" w:rsidRDefault="00141B97">
            <w:pPr>
              <w:rPr>
                <w:sz w:val="2"/>
                <w:szCs w:val="2"/>
              </w:rPr>
            </w:pPr>
          </w:p>
        </w:tc>
        <w:tc>
          <w:tcPr>
            <w:tcW w:w="1397" w:type="dxa"/>
            <w:vMerge/>
            <w:tcBorders>
              <w:top w:val="nil"/>
              <w:left w:val="single" w:sz="4" w:space="0" w:color="FFFFFF"/>
              <w:bottom w:val="single" w:sz="4" w:space="0" w:color="FFFFFF"/>
              <w:right w:val="nil"/>
            </w:tcBorders>
            <w:shd w:val="clear" w:color="auto" w:fill="CCE2ED"/>
          </w:tcPr>
          <w:p w14:paraId="1022B33C" w14:textId="77777777" w:rsidR="00141B97" w:rsidRDefault="00141B97">
            <w:pPr>
              <w:rPr>
                <w:sz w:val="2"/>
                <w:szCs w:val="2"/>
              </w:rPr>
            </w:pPr>
          </w:p>
        </w:tc>
        <w:tc>
          <w:tcPr>
            <w:tcW w:w="3771" w:type="dxa"/>
            <w:tcBorders>
              <w:left w:val="nil"/>
              <w:bottom w:val="single" w:sz="4" w:space="0" w:color="FFFFFF"/>
              <w:right w:val="nil"/>
            </w:tcBorders>
            <w:shd w:val="clear" w:color="auto" w:fill="CCE2ED"/>
          </w:tcPr>
          <w:p w14:paraId="1E42B01C" w14:textId="77777777" w:rsidR="00141B97" w:rsidRDefault="00911D63">
            <w:pPr>
              <w:pStyle w:val="TableParagraph"/>
              <w:spacing w:before="13" w:line="191" w:lineRule="exact"/>
              <w:ind w:left="106"/>
              <w:rPr>
                <w:sz w:val="16"/>
              </w:rPr>
            </w:pPr>
            <w:r>
              <w:rPr>
                <w:sz w:val="16"/>
              </w:rPr>
              <w:t>RC</w:t>
            </w:r>
            <w:r>
              <w:rPr>
                <w:spacing w:val="-6"/>
                <w:sz w:val="16"/>
              </w:rPr>
              <w:t xml:space="preserve"> </w:t>
            </w:r>
            <w:r>
              <w:rPr>
                <w:sz w:val="16"/>
              </w:rPr>
              <w:t>‐</w:t>
            </w:r>
            <w:r>
              <w:rPr>
                <w:spacing w:val="-6"/>
                <w:sz w:val="16"/>
              </w:rPr>
              <w:t xml:space="preserve"> </w:t>
            </w:r>
            <w:r>
              <w:rPr>
                <w:sz w:val="16"/>
              </w:rPr>
              <w:t>Mains</w:t>
            </w:r>
            <w:r>
              <w:rPr>
                <w:spacing w:val="-5"/>
                <w:sz w:val="16"/>
              </w:rPr>
              <w:t xml:space="preserve"> </w:t>
            </w:r>
            <w:r>
              <w:rPr>
                <w:sz w:val="16"/>
              </w:rPr>
              <w:t>Replacement</w:t>
            </w:r>
            <w:r>
              <w:rPr>
                <w:spacing w:val="-5"/>
                <w:sz w:val="16"/>
              </w:rPr>
              <w:t xml:space="preserve"> </w:t>
            </w:r>
            <w:r>
              <w:rPr>
                <w:sz w:val="16"/>
              </w:rPr>
              <w:t>and</w:t>
            </w:r>
            <w:r>
              <w:rPr>
                <w:spacing w:val="-6"/>
                <w:sz w:val="16"/>
              </w:rPr>
              <w:t xml:space="preserve"> </w:t>
            </w:r>
            <w:r>
              <w:rPr>
                <w:sz w:val="16"/>
              </w:rPr>
              <w:t>upgrade</w:t>
            </w:r>
            <w:r>
              <w:rPr>
                <w:spacing w:val="-4"/>
                <w:sz w:val="16"/>
              </w:rPr>
              <w:t xml:space="preserve"> </w:t>
            </w:r>
            <w:r>
              <w:rPr>
                <w:sz w:val="16"/>
              </w:rPr>
              <w:t>tight</w:t>
            </w:r>
            <w:r>
              <w:rPr>
                <w:spacing w:val="-4"/>
                <w:sz w:val="16"/>
              </w:rPr>
              <w:t xml:space="preserve"> </w:t>
            </w:r>
            <w:r>
              <w:rPr>
                <w:spacing w:val="-2"/>
                <w:sz w:val="16"/>
              </w:rPr>
              <w:t>spurs</w:t>
            </w:r>
          </w:p>
        </w:tc>
        <w:tc>
          <w:tcPr>
            <w:tcW w:w="1106" w:type="dxa"/>
            <w:tcBorders>
              <w:left w:val="nil"/>
              <w:bottom w:val="single" w:sz="4" w:space="0" w:color="FFFFFF"/>
              <w:right w:val="nil"/>
            </w:tcBorders>
            <w:shd w:val="clear" w:color="auto" w:fill="CCE2ED"/>
          </w:tcPr>
          <w:p w14:paraId="7F6AD532" w14:textId="77777777" w:rsidR="00141B97" w:rsidRDefault="00911D63">
            <w:pPr>
              <w:pStyle w:val="TableParagraph"/>
              <w:spacing w:before="13" w:line="191" w:lineRule="exact"/>
              <w:ind w:left="366" w:right="175"/>
              <w:jc w:val="center"/>
              <w:rPr>
                <w:sz w:val="16"/>
              </w:rPr>
            </w:pPr>
            <w:r>
              <w:rPr>
                <w:spacing w:val="-4"/>
                <w:sz w:val="16"/>
              </w:rPr>
              <w:t>0.13</w:t>
            </w:r>
          </w:p>
        </w:tc>
        <w:tc>
          <w:tcPr>
            <w:tcW w:w="911" w:type="dxa"/>
            <w:tcBorders>
              <w:left w:val="nil"/>
              <w:bottom w:val="single" w:sz="4" w:space="0" w:color="FFFFFF"/>
              <w:right w:val="nil"/>
            </w:tcBorders>
            <w:shd w:val="clear" w:color="auto" w:fill="CCE2ED"/>
          </w:tcPr>
          <w:p w14:paraId="4081D3C1" w14:textId="77777777" w:rsidR="00141B97" w:rsidRDefault="00911D63">
            <w:pPr>
              <w:pStyle w:val="TableParagraph"/>
              <w:spacing w:before="13" w:line="191" w:lineRule="exact"/>
              <w:ind w:left="171" w:right="175"/>
              <w:jc w:val="center"/>
              <w:rPr>
                <w:sz w:val="16"/>
              </w:rPr>
            </w:pPr>
            <w:r>
              <w:rPr>
                <w:spacing w:val="-4"/>
                <w:sz w:val="16"/>
              </w:rPr>
              <w:t>0.18</w:t>
            </w:r>
          </w:p>
        </w:tc>
        <w:tc>
          <w:tcPr>
            <w:tcW w:w="911" w:type="dxa"/>
            <w:tcBorders>
              <w:left w:val="nil"/>
              <w:bottom w:val="single" w:sz="4" w:space="0" w:color="FFFFFF"/>
              <w:right w:val="nil"/>
            </w:tcBorders>
            <w:shd w:val="clear" w:color="auto" w:fill="CCE2ED"/>
          </w:tcPr>
          <w:p w14:paraId="4FA55EDD" w14:textId="77777777" w:rsidR="00141B97" w:rsidRDefault="00911D63">
            <w:pPr>
              <w:pStyle w:val="TableParagraph"/>
              <w:spacing w:before="13" w:line="191" w:lineRule="exact"/>
              <w:ind w:left="171" w:right="175"/>
              <w:jc w:val="center"/>
              <w:rPr>
                <w:sz w:val="16"/>
              </w:rPr>
            </w:pPr>
            <w:r>
              <w:rPr>
                <w:spacing w:val="-4"/>
                <w:sz w:val="16"/>
              </w:rPr>
              <w:t>0.18</w:t>
            </w:r>
          </w:p>
        </w:tc>
        <w:tc>
          <w:tcPr>
            <w:tcW w:w="910" w:type="dxa"/>
            <w:tcBorders>
              <w:left w:val="nil"/>
              <w:bottom w:val="single" w:sz="4" w:space="0" w:color="FFFFFF"/>
              <w:right w:val="nil"/>
            </w:tcBorders>
            <w:shd w:val="clear" w:color="auto" w:fill="CCE2ED"/>
          </w:tcPr>
          <w:p w14:paraId="163536A1" w14:textId="77777777" w:rsidR="00141B97" w:rsidRDefault="00911D63">
            <w:pPr>
              <w:pStyle w:val="TableParagraph"/>
              <w:spacing w:before="13" w:line="191" w:lineRule="exact"/>
              <w:ind w:left="169" w:right="175"/>
              <w:jc w:val="center"/>
              <w:rPr>
                <w:sz w:val="16"/>
              </w:rPr>
            </w:pPr>
            <w:r>
              <w:rPr>
                <w:spacing w:val="-4"/>
                <w:sz w:val="16"/>
              </w:rPr>
              <w:t>0.17</w:t>
            </w:r>
          </w:p>
        </w:tc>
        <w:tc>
          <w:tcPr>
            <w:tcW w:w="939" w:type="dxa"/>
            <w:tcBorders>
              <w:left w:val="nil"/>
              <w:bottom w:val="single" w:sz="4" w:space="0" w:color="FFFFFF"/>
              <w:right w:val="nil"/>
            </w:tcBorders>
            <w:shd w:val="clear" w:color="auto" w:fill="CCE2ED"/>
          </w:tcPr>
          <w:p w14:paraId="127D7903" w14:textId="77777777" w:rsidR="00141B97" w:rsidRDefault="00911D63">
            <w:pPr>
              <w:pStyle w:val="TableParagraph"/>
              <w:spacing w:before="13" w:line="191" w:lineRule="exact"/>
              <w:ind w:left="169" w:right="205"/>
              <w:jc w:val="center"/>
              <w:rPr>
                <w:sz w:val="16"/>
              </w:rPr>
            </w:pPr>
            <w:r>
              <w:rPr>
                <w:spacing w:val="-4"/>
                <w:sz w:val="16"/>
              </w:rPr>
              <w:t>0.10</w:t>
            </w:r>
          </w:p>
        </w:tc>
        <w:tc>
          <w:tcPr>
            <w:tcW w:w="869" w:type="dxa"/>
            <w:tcBorders>
              <w:left w:val="nil"/>
              <w:bottom w:val="single" w:sz="4" w:space="0" w:color="FFFFFF"/>
              <w:right w:val="nil"/>
            </w:tcBorders>
            <w:shd w:val="clear" w:color="auto" w:fill="CCE2ED"/>
          </w:tcPr>
          <w:p w14:paraId="7298163E" w14:textId="77777777" w:rsidR="00141B97" w:rsidRDefault="00911D63">
            <w:pPr>
              <w:pStyle w:val="TableParagraph"/>
              <w:spacing w:before="13" w:line="191" w:lineRule="exact"/>
              <w:ind w:right="307"/>
              <w:jc w:val="right"/>
              <w:rPr>
                <w:sz w:val="16"/>
              </w:rPr>
            </w:pPr>
            <w:r>
              <w:rPr>
                <w:spacing w:val="-4"/>
                <w:sz w:val="16"/>
              </w:rPr>
              <w:t>0.76</w:t>
            </w:r>
          </w:p>
        </w:tc>
      </w:tr>
      <w:tr w:rsidR="00141B97" w14:paraId="67B5041D" w14:textId="77777777">
        <w:trPr>
          <w:trHeight w:val="224"/>
        </w:trPr>
        <w:tc>
          <w:tcPr>
            <w:tcW w:w="2764" w:type="dxa"/>
            <w:vMerge w:val="restart"/>
            <w:tcBorders>
              <w:top w:val="single" w:sz="4" w:space="0" w:color="FFFFFF"/>
              <w:left w:val="nil"/>
              <w:bottom w:val="single" w:sz="4" w:space="0" w:color="FFFFFF"/>
              <w:right w:val="single" w:sz="4" w:space="0" w:color="FFFFFF"/>
            </w:tcBorders>
            <w:shd w:val="clear" w:color="auto" w:fill="CCE2ED"/>
          </w:tcPr>
          <w:p w14:paraId="6C43E08F" w14:textId="77777777" w:rsidR="00141B97" w:rsidRDefault="00141B97">
            <w:pPr>
              <w:pStyle w:val="TableParagraph"/>
              <w:rPr>
                <w:sz w:val="16"/>
              </w:rPr>
            </w:pPr>
          </w:p>
          <w:p w14:paraId="030AAEE9" w14:textId="77777777" w:rsidR="00141B97" w:rsidRDefault="00141B97">
            <w:pPr>
              <w:pStyle w:val="TableParagraph"/>
              <w:rPr>
                <w:sz w:val="16"/>
              </w:rPr>
            </w:pPr>
          </w:p>
          <w:p w14:paraId="4BE4D5EB" w14:textId="77777777" w:rsidR="00141B97" w:rsidRDefault="00141B97">
            <w:pPr>
              <w:pStyle w:val="TableParagraph"/>
              <w:rPr>
                <w:sz w:val="16"/>
              </w:rPr>
            </w:pPr>
          </w:p>
          <w:p w14:paraId="24EF77D6" w14:textId="77777777" w:rsidR="00141B97" w:rsidRDefault="00141B97">
            <w:pPr>
              <w:pStyle w:val="TableParagraph"/>
              <w:rPr>
                <w:sz w:val="16"/>
              </w:rPr>
            </w:pPr>
          </w:p>
          <w:p w14:paraId="11D50099" w14:textId="77777777" w:rsidR="00141B97" w:rsidRDefault="00141B97">
            <w:pPr>
              <w:pStyle w:val="TableParagraph"/>
              <w:rPr>
                <w:sz w:val="16"/>
              </w:rPr>
            </w:pPr>
          </w:p>
          <w:p w14:paraId="3384955F" w14:textId="77777777" w:rsidR="00141B97" w:rsidRDefault="00911D63">
            <w:pPr>
              <w:pStyle w:val="TableParagraph"/>
              <w:spacing w:before="105"/>
              <w:ind w:left="96"/>
              <w:rPr>
                <w:sz w:val="16"/>
              </w:rPr>
            </w:pPr>
            <w:r>
              <w:rPr>
                <w:sz w:val="16"/>
              </w:rPr>
              <w:t>Minor</w:t>
            </w:r>
            <w:r>
              <w:rPr>
                <w:spacing w:val="-5"/>
                <w:sz w:val="16"/>
              </w:rPr>
              <w:t xml:space="preserve"> </w:t>
            </w:r>
            <w:r>
              <w:rPr>
                <w:sz w:val="16"/>
              </w:rPr>
              <w:t>capex</w:t>
            </w:r>
            <w:r>
              <w:rPr>
                <w:spacing w:val="-3"/>
                <w:sz w:val="16"/>
              </w:rPr>
              <w:t xml:space="preserve"> </w:t>
            </w:r>
            <w:r>
              <w:rPr>
                <w:sz w:val="16"/>
              </w:rPr>
              <w:t>‐</w:t>
            </w:r>
            <w:r>
              <w:rPr>
                <w:spacing w:val="-5"/>
                <w:sz w:val="16"/>
              </w:rPr>
              <w:t xml:space="preserve"> </w:t>
            </w:r>
            <w:r>
              <w:rPr>
                <w:spacing w:val="-2"/>
                <w:sz w:val="16"/>
              </w:rPr>
              <w:t>Irrigation</w:t>
            </w:r>
          </w:p>
        </w:tc>
        <w:tc>
          <w:tcPr>
            <w:tcW w:w="1115" w:type="dxa"/>
            <w:vMerge w:val="restart"/>
            <w:tcBorders>
              <w:top w:val="single" w:sz="4" w:space="0" w:color="FFFFFF"/>
              <w:left w:val="single" w:sz="4" w:space="0" w:color="FFFFFF"/>
              <w:bottom w:val="single" w:sz="4" w:space="0" w:color="FFFFFF"/>
              <w:right w:val="single" w:sz="4" w:space="0" w:color="FFFFFF"/>
            </w:tcBorders>
            <w:shd w:val="clear" w:color="auto" w:fill="CCE2ED"/>
          </w:tcPr>
          <w:p w14:paraId="0063224D" w14:textId="77777777" w:rsidR="00141B97" w:rsidRDefault="00141B97">
            <w:pPr>
              <w:pStyle w:val="TableParagraph"/>
              <w:rPr>
                <w:sz w:val="16"/>
              </w:rPr>
            </w:pPr>
          </w:p>
          <w:p w14:paraId="76278DB4" w14:textId="77777777" w:rsidR="00141B97" w:rsidRDefault="00141B97">
            <w:pPr>
              <w:pStyle w:val="TableParagraph"/>
              <w:rPr>
                <w:sz w:val="16"/>
              </w:rPr>
            </w:pPr>
          </w:p>
          <w:p w14:paraId="66743943" w14:textId="77777777" w:rsidR="00141B97" w:rsidRDefault="00141B97">
            <w:pPr>
              <w:pStyle w:val="TableParagraph"/>
              <w:rPr>
                <w:sz w:val="16"/>
              </w:rPr>
            </w:pPr>
          </w:p>
          <w:p w14:paraId="13C5A5C5" w14:textId="77777777" w:rsidR="00141B97" w:rsidRDefault="00141B97">
            <w:pPr>
              <w:pStyle w:val="TableParagraph"/>
              <w:rPr>
                <w:sz w:val="16"/>
              </w:rPr>
            </w:pPr>
          </w:p>
          <w:p w14:paraId="207535A9" w14:textId="77777777" w:rsidR="00141B97" w:rsidRDefault="00141B97">
            <w:pPr>
              <w:pStyle w:val="TableParagraph"/>
              <w:rPr>
                <w:sz w:val="16"/>
              </w:rPr>
            </w:pPr>
          </w:p>
          <w:p w14:paraId="4B98459F" w14:textId="77777777" w:rsidR="00141B97" w:rsidRDefault="00911D63">
            <w:pPr>
              <w:pStyle w:val="TableParagraph"/>
              <w:spacing w:before="105"/>
              <w:ind w:left="399" w:right="399"/>
              <w:jc w:val="center"/>
              <w:rPr>
                <w:sz w:val="16"/>
              </w:rPr>
            </w:pPr>
            <w:r>
              <w:rPr>
                <w:spacing w:val="-4"/>
                <w:sz w:val="16"/>
              </w:rPr>
              <w:t>5.28</w:t>
            </w:r>
          </w:p>
        </w:tc>
        <w:tc>
          <w:tcPr>
            <w:tcW w:w="995" w:type="dxa"/>
            <w:vMerge w:val="restart"/>
            <w:tcBorders>
              <w:top w:val="single" w:sz="4" w:space="0" w:color="FFFFFF"/>
              <w:left w:val="single" w:sz="4" w:space="0" w:color="FFFFFF"/>
              <w:bottom w:val="single" w:sz="4" w:space="0" w:color="FFFFFF"/>
              <w:right w:val="single" w:sz="4" w:space="0" w:color="FFFFFF"/>
            </w:tcBorders>
            <w:shd w:val="clear" w:color="auto" w:fill="CCE2ED"/>
          </w:tcPr>
          <w:p w14:paraId="2BB3CB91" w14:textId="77777777" w:rsidR="00141B97" w:rsidRDefault="00141B97">
            <w:pPr>
              <w:pStyle w:val="TableParagraph"/>
              <w:rPr>
                <w:rFonts w:ascii="Times New Roman"/>
                <w:sz w:val="16"/>
              </w:rPr>
            </w:pPr>
          </w:p>
        </w:tc>
        <w:tc>
          <w:tcPr>
            <w:tcW w:w="1397" w:type="dxa"/>
            <w:tcBorders>
              <w:top w:val="single" w:sz="4" w:space="0" w:color="FFFFFF"/>
              <w:left w:val="single" w:sz="4" w:space="0" w:color="FFFFFF"/>
              <w:right w:val="nil"/>
            </w:tcBorders>
            <w:shd w:val="clear" w:color="auto" w:fill="CCE2ED"/>
          </w:tcPr>
          <w:p w14:paraId="2B95353F" w14:textId="77777777" w:rsidR="00141B97" w:rsidRDefault="00911D63">
            <w:pPr>
              <w:pStyle w:val="TableParagraph"/>
              <w:spacing w:before="15" w:line="189" w:lineRule="exact"/>
              <w:ind w:left="180" w:right="218"/>
              <w:jc w:val="center"/>
              <w:rPr>
                <w:sz w:val="16"/>
              </w:rPr>
            </w:pPr>
            <w:r>
              <w:rPr>
                <w:spacing w:val="-2"/>
                <w:sz w:val="16"/>
              </w:rPr>
              <w:t>Renewals</w:t>
            </w:r>
          </w:p>
        </w:tc>
        <w:tc>
          <w:tcPr>
            <w:tcW w:w="3771" w:type="dxa"/>
            <w:tcBorders>
              <w:top w:val="single" w:sz="4" w:space="0" w:color="FFFFFF"/>
              <w:left w:val="nil"/>
              <w:right w:val="nil"/>
            </w:tcBorders>
            <w:shd w:val="clear" w:color="auto" w:fill="CCE2ED"/>
          </w:tcPr>
          <w:p w14:paraId="162874E0" w14:textId="77777777" w:rsidR="00141B97" w:rsidRDefault="00911D63">
            <w:pPr>
              <w:pStyle w:val="TableParagraph"/>
              <w:spacing w:before="15" w:line="189" w:lineRule="exact"/>
              <w:ind w:left="106"/>
              <w:rPr>
                <w:sz w:val="16"/>
              </w:rPr>
            </w:pPr>
            <w:r>
              <w:rPr>
                <w:sz w:val="16"/>
              </w:rPr>
              <w:t>MILL</w:t>
            </w:r>
            <w:r>
              <w:rPr>
                <w:spacing w:val="-5"/>
                <w:sz w:val="16"/>
              </w:rPr>
              <w:t xml:space="preserve"> </w:t>
            </w:r>
            <w:r>
              <w:rPr>
                <w:sz w:val="16"/>
              </w:rPr>
              <w:t>Minor</w:t>
            </w:r>
            <w:r>
              <w:rPr>
                <w:spacing w:val="-6"/>
                <w:sz w:val="16"/>
              </w:rPr>
              <w:t xml:space="preserve"> </w:t>
            </w:r>
            <w:r>
              <w:rPr>
                <w:sz w:val="16"/>
              </w:rPr>
              <w:t>Capital</w:t>
            </w:r>
            <w:r>
              <w:rPr>
                <w:spacing w:val="-5"/>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291877B0" w14:textId="77777777" w:rsidR="00141B97" w:rsidRDefault="00911D63">
            <w:pPr>
              <w:pStyle w:val="TableParagraph"/>
              <w:spacing w:before="15" w:line="189" w:lineRule="exact"/>
              <w:ind w:left="366" w:right="175"/>
              <w:jc w:val="center"/>
              <w:rPr>
                <w:sz w:val="16"/>
              </w:rPr>
            </w:pPr>
            <w:r>
              <w:rPr>
                <w:spacing w:val="-4"/>
                <w:sz w:val="16"/>
              </w:rPr>
              <w:t>0.05</w:t>
            </w:r>
          </w:p>
        </w:tc>
        <w:tc>
          <w:tcPr>
            <w:tcW w:w="911" w:type="dxa"/>
            <w:tcBorders>
              <w:top w:val="single" w:sz="4" w:space="0" w:color="FFFFFF"/>
              <w:left w:val="nil"/>
              <w:right w:val="nil"/>
            </w:tcBorders>
            <w:shd w:val="clear" w:color="auto" w:fill="CCE2ED"/>
          </w:tcPr>
          <w:p w14:paraId="2AB46B43" w14:textId="77777777" w:rsidR="00141B97" w:rsidRDefault="00911D63">
            <w:pPr>
              <w:pStyle w:val="TableParagraph"/>
              <w:spacing w:before="15" w:line="189" w:lineRule="exact"/>
              <w:ind w:left="171" w:right="175"/>
              <w:jc w:val="center"/>
              <w:rPr>
                <w:sz w:val="16"/>
              </w:rPr>
            </w:pPr>
            <w:r>
              <w:rPr>
                <w:spacing w:val="-4"/>
                <w:sz w:val="16"/>
              </w:rPr>
              <w:t>0.05</w:t>
            </w:r>
          </w:p>
        </w:tc>
        <w:tc>
          <w:tcPr>
            <w:tcW w:w="911" w:type="dxa"/>
            <w:tcBorders>
              <w:top w:val="single" w:sz="4" w:space="0" w:color="FFFFFF"/>
              <w:left w:val="nil"/>
              <w:right w:val="nil"/>
            </w:tcBorders>
            <w:shd w:val="clear" w:color="auto" w:fill="CCE2ED"/>
          </w:tcPr>
          <w:p w14:paraId="6683B863" w14:textId="77777777" w:rsidR="00141B97" w:rsidRDefault="00911D63">
            <w:pPr>
              <w:pStyle w:val="TableParagraph"/>
              <w:spacing w:before="15" w:line="189" w:lineRule="exact"/>
              <w:ind w:left="171" w:right="175"/>
              <w:jc w:val="center"/>
              <w:rPr>
                <w:sz w:val="16"/>
              </w:rPr>
            </w:pPr>
            <w:r>
              <w:rPr>
                <w:spacing w:val="-4"/>
                <w:sz w:val="16"/>
              </w:rPr>
              <w:t>0.05</w:t>
            </w:r>
          </w:p>
        </w:tc>
        <w:tc>
          <w:tcPr>
            <w:tcW w:w="910" w:type="dxa"/>
            <w:tcBorders>
              <w:top w:val="single" w:sz="4" w:space="0" w:color="FFFFFF"/>
              <w:left w:val="nil"/>
              <w:right w:val="nil"/>
            </w:tcBorders>
            <w:shd w:val="clear" w:color="auto" w:fill="CCE2ED"/>
          </w:tcPr>
          <w:p w14:paraId="6645A001" w14:textId="77777777" w:rsidR="00141B97" w:rsidRDefault="00911D63">
            <w:pPr>
              <w:pStyle w:val="TableParagraph"/>
              <w:spacing w:before="15" w:line="189" w:lineRule="exact"/>
              <w:ind w:left="169" w:right="175"/>
              <w:jc w:val="center"/>
              <w:rPr>
                <w:sz w:val="16"/>
              </w:rPr>
            </w:pPr>
            <w:r>
              <w:rPr>
                <w:spacing w:val="-4"/>
                <w:sz w:val="16"/>
              </w:rPr>
              <w:t>0.05</w:t>
            </w:r>
          </w:p>
        </w:tc>
        <w:tc>
          <w:tcPr>
            <w:tcW w:w="939" w:type="dxa"/>
            <w:tcBorders>
              <w:top w:val="single" w:sz="4" w:space="0" w:color="FFFFFF"/>
              <w:left w:val="nil"/>
              <w:right w:val="nil"/>
            </w:tcBorders>
            <w:shd w:val="clear" w:color="auto" w:fill="CCE2ED"/>
          </w:tcPr>
          <w:p w14:paraId="181831BD" w14:textId="77777777" w:rsidR="00141B97" w:rsidRDefault="00911D63">
            <w:pPr>
              <w:pStyle w:val="TableParagraph"/>
              <w:spacing w:before="15" w:line="189" w:lineRule="exact"/>
              <w:ind w:left="169" w:right="205"/>
              <w:jc w:val="center"/>
              <w:rPr>
                <w:sz w:val="16"/>
              </w:rPr>
            </w:pPr>
            <w:r>
              <w:rPr>
                <w:spacing w:val="-4"/>
                <w:sz w:val="16"/>
              </w:rPr>
              <w:t>0.05</w:t>
            </w:r>
          </w:p>
        </w:tc>
        <w:tc>
          <w:tcPr>
            <w:tcW w:w="869" w:type="dxa"/>
            <w:tcBorders>
              <w:top w:val="single" w:sz="4" w:space="0" w:color="FFFFFF"/>
              <w:left w:val="nil"/>
              <w:right w:val="nil"/>
            </w:tcBorders>
            <w:shd w:val="clear" w:color="auto" w:fill="CCE2ED"/>
          </w:tcPr>
          <w:p w14:paraId="7338DE4C" w14:textId="77777777" w:rsidR="00141B97" w:rsidRDefault="00911D63">
            <w:pPr>
              <w:pStyle w:val="TableParagraph"/>
              <w:spacing w:before="15" w:line="189" w:lineRule="exact"/>
              <w:ind w:right="307"/>
              <w:jc w:val="right"/>
              <w:rPr>
                <w:sz w:val="16"/>
              </w:rPr>
            </w:pPr>
            <w:r>
              <w:rPr>
                <w:spacing w:val="-4"/>
                <w:sz w:val="16"/>
              </w:rPr>
              <w:t>0.27</w:t>
            </w:r>
          </w:p>
        </w:tc>
      </w:tr>
      <w:tr w:rsidR="00141B97" w14:paraId="1993EE80"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266BCC24"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1083415F"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166F8725" w14:textId="77777777" w:rsidR="00141B97" w:rsidRDefault="00141B97">
            <w:pPr>
              <w:rPr>
                <w:sz w:val="2"/>
                <w:szCs w:val="2"/>
              </w:rPr>
            </w:pPr>
          </w:p>
        </w:tc>
        <w:tc>
          <w:tcPr>
            <w:tcW w:w="1397" w:type="dxa"/>
            <w:tcBorders>
              <w:left w:val="single" w:sz="4" w:space="0" w:color="FFFFFF"/>
              <w:bottom w:val="single" w:sz="4" w:space="0" w:color="FFFFFF"/>
              <w:right w:val="nil"/>
            </w:tcBorders>
            <w:shd w:val="clear" w:color="auto" w:fill="CCE2ED"/>
          </w:tcPr>
          <w:p w14:paraId="4FA061AB" w14:textId="77777777" w:rsidR="00141B97" w:rsidRDefault="00911D63">
            <w:pPr>
              <w:pStyle w:val="TableParagraph"/>
              <w:spacing w:before="13" w:line="191" w:lineRule="exact"/>
              <w:ind w:left="217" w:right="218"/>
              <w:jc w:val="center"/>
              <w:rPr>
                <w:sz w:val="16"/>
              </w:rPr>
            </w:pPr>
            <w:r>
              <w:rPr>
                <w:spacing w:val="-2"/>
                <w:sz w:val="16"/>
              </w:rPr>
              <w:t>Improvements</w:t>
            </w:r>
          </w:p>
        </w:tc>
        <w:tc>
          <w:tcPr>
            <w:tcW w:w="3771" w:type="dxa"/>
            <w:tcBorders>
              <w:left w:val="nil"/>
              <w:bottom w:val="single" w:sz="4" w:space="0" w:color="FFFFFF"/>
              <w:right w:val="nil"/>
            </w:tcBorders>
            <w:shd w:val="clear" w:color="auto" w:fill="CCE2ED"/>
          </w:tcPr>
          <w:p w14:paraId="56CFC50C" w14:textId="77777777" w:rsidR="00141B97" w:rsidRDefault="00911D63">
            <w:pPr>
              <w:pStyle w:val="TableParagraph"/>
              <w:spacing w:before="13" w:line="191" w:lineRule="exact"/>
              <w:ind w:left="106"/>
              <w:rPr>
                <w:sz w:val="16"/>
              </w:rPr>
            </w:pPr>
            <w:r>
              <w:rPr>
                <w:sz w:val="16"/>
              </w:rPr>
              <w:t>MILL</w:t>
            </w:r>
            <w:r>
              <w:rPr>
                <w:spacing w:val="-4"/>
                <w:sz w:val="16"/>
              </w:rPr>
              <w:t xml:space="preserve"> </w:t>
            </w:r>
            <w:r>
              <w:rPr>
                <w:sz w:val="16"/>
              </w:rPr>
              <w:t>Minor</w:t>
            </w:r>
            <w:r>
              <w:rPr>
                <w:spacing w:val="-5"/>
                <w:sz w:val="16"/>
              </w:rPr>
              <w:t xml:space="preserve"> </w:t>
            </w:r>
            <w:r>
              <w:rPr>
                <w:sz w:val="16"/>
              </w:rPr>
              <w:t>Capital</w:t>
            </w:r>
            <w:r>
              <w:rPr>
                <w:spacing w:val="-4"/>
                <w:sz w:val="16"/>
              </w:rPr>
              <w:t xml:space="preserve"> </w:t>
            </w:r>
            <w:r>
              <w:rPr>
                <w:sz w:val="16"/>
              </w:rPr>
              <w:t>‐</w:t>
            </w:r>
            <w:r>
              <w:rPr>
                <w:spacing w:val="-4"/>
                <w:sz w:val="16"/>
              </w:rPr>
              <w:t xml:space="preserve"> </w:t>
            </w:r>
            <w:r>
              <w:rPr>
                <w:spacing w:val="-5"/>
                <w:sz w:val="16"/>
              </w:rPr>
              <w:t>New</w:t>
            </w:r>
          </w:p>
        </w:tc>
        <w:tc>
          <w:tcPr>
            <w:tcW w:w="1106" w:type="dxa"/>
            <w:tcBorders>
              <w:left w:val="nil"/>
              <w:bottom w:val="single" w:sz="4" w:space="0" w:color="FFFFFF"/>
              <w:right w:val="nil"/>
            </w:tcBorders>
            <w:shd w:val="clear" w:color="auto" w:fill="CCE2ED"/>
          </w:tcPr>
          <w:p w14:paraId="7BC734B9" w14:textId="77777777" w:rsidR="00141B97" w:rsidRDefault="00911D63">
            <w:pPr>
              <w:pStyle w:val="TableParagraph"/>
              <w:spacing w:before="13" w:line="191" w:lineRule="exact"/>
              <w:ind w:left="366" w:right="175"/>
              <w:jc w:val="center"/>
              <w:rPr>
                <w:sz w:val="16"/>
              </w:rPr>
            </w:pPr>
            <w:r>
              <w:rPr>
                <w:spacing w:val="-4"/>
                <w:sz w:val="16"/>
              </w:rPr>
              <w:t>0.01</w:t>
            </w:r>
          </w:p>
        </w:tc>
        <w:tc>
          <w:tcPr>
            <w:tcW w:w="911" w:type="dxa"/>
            <w:tcBorders>
              <w:left w:val="nil"/>
              <w:bottom w:val="single" w:sz="4" w:space="0" w:color="FFFFFF"/>
              <w:right w:val="nil"/>
            </w:tcBorders>
            <w:shd w:val="clear" w:color="auto" w:fill="CCE2ED"/>
          </w:tcPr>
          <w:p w14:paraId="243E9578" w14:textId="77777777" w:rsidR="00141B97" w:rsidRDefault="00911D63">
            <w:pPr>
              <w:pStyle w:val="TableParagraph"/>
              <w:spacing w:before="13" w:line="191" w:lineRule="exact"/>
              <w:ind w:left="171" w:right="175"/>
              <w:jc w:val="center"/>
              <w:rPr>
                <w:sz w:val="16"/>
              </w:rPr>
            </w:pPr>
            <w:r>
              <w:rPr>
                <w:spacing w:val="-4"/>
                <w:sz w:val="16"/>
              </w:rPr>
              <w:t>0.01</w:t>
            </w:r>
          </w:p>
        </w:tc>
        <w:tc>
          <w:tcPr>
            <w:tcW w:w="911" w:type="dxa"/>
            <w:tcBorders>
              <w:left w:val="nil"/>
              <w:bottom w:val="single" w:sz="4" w:space="0" w:color="FFFFFF"/>
              <w:right w:val="nil"/>
            </w:tcBorders>
            <w:shd w:val="clear" w:color="auto" w:fill="CCE2ED"/>
          </w:tcPr>
          <w:p w14:paraId="0FF8E49A" w14:textId="77777777" w:rsidR="00141B97" w:rsidRDefault="00911D63">
            <w:pPr>
              <w:pStyle w:val="TableParagraph"/>
              <w:spacing w:before="13" w:line="191" w:lineRule="exact"/>
              <w:ind w:left="171" w:right="175"/>
              <w:jc w:val="center"/>
              <w:rPr>
                <w:sz w:val="16"/>
              </w:rPr>
            </w:pPr>
            <w:r>
              <w:rPr>
                <w:spacing w:val="-4"/>
                <w:sz w:val="16"/>
              </w:rPr>
              <w:t>0.01</w:t>
            </w:r>
          </w:p>
        </w:tc>
        <w:tc>
          <w:tcPr>
            <w:tcW w:w="910" w:type="dxa"/>
            <w:tcBorders>
              <w:left w:val="nil"/>
              <w:bottom w:val="single" w:sz="4" w:space="0" w:color="FFFFFF"/>
              <w:right w:val="nil"/>
            </w:tcBorders>
            <w:shd w:val="clear" w:color="auto" w:fill="CCE2ED"/>
          </w:tcPr>
          <w:p w14:paraId="5A66B0C6" w14:textId="77777777" w:rsidR="00141B97" w:rsidRDefault="00911D63">
            <w:pPr>
              <w:pStyle w:val="TableParagraph"/>
              <w:spacing w:before="13" w:line="191" w:lineRule="exact"/>
              <w:ind w:left="169" w:right="175"/>
              <w:jc w:val="center"/>
              <w:rPr>
                <w:sz w:val="16"/>
              </w:rPr>
            </w:pPr>
            <w:r>
              <w:rPr>
                <w:spacing w:val="-4"/>
                <w:sz w:val="16"/>
              </w:rPr>
              <w:t>0.01</w:t>
            </w:r>
          </w:p>
        </w:tc>
        <w:tc>
          <w:tcPr>
            <w:tcW w:w="939" w:type="dxa"/>
            <w:tcBorders>
              <w:left w:val="nil"/>
              <w:bottom w:val="single" w:sz="4" w:space="0" w:color="FFFFFF"/>
              <w:right w:val="nil"/>
            </w:tcBorders>
            <w:shd w:val="clear" w:color="auto" w:fill="CCE2ED"/>
          </w:tcPr>
          <w:p w14:paraId="30988B0D" w14:textId="77777777" w:rsidR="00141B97" w:rsidRDefault="00911D63">
            <w:pPr>
              <w:pStyle w:val="TableParagraph"/>
              <w:spacing w:before="13" w:line="191" w:lineRule="exact"/>
              <w:ind w:left="169" w:right="205"/>
              <w:jc w:val="center"/>
              <w:rPr>
                <w:sz w:val="16"/>
              </w:rPr>
            </w:pPr>
            <w:r>
              <w:rPr>
                <w:spacing w:val="-4"/>
                <w:sz w:val="16"/>
              </w:rPr>
              <w:t>0.01</w:t>
            </w:r>
          </w:p>
        </w:tc>
        <w:tc>
          <w:tcPr>
            <w:tcW w:w="869" w:type="dxa"/>
            <w:tcBorders>
              <w:left w:val="nil"/>
              <w:bottom w:val="single" w:sz="4" w:space="0" w:color="FFFFFF"/>
              <w:right w:val="nil"/>
            </w:tcBorders>
            <w:shd w:val="clear" w:color="auto" w:fill="CCE2ED"/>
          </w:tcPr>
          <w:p w14:paraId="671B3382" w14:textId="77777777" w:rsidR="00141B97" w:rsidRDefault="00911D63">
            <w:pPr>
              <w:pStyle w:val="TableParagraph"/>
              <w:spacing w:before="13" w:line="191" w:lineRule="exact"/>
              <w:ind w:right="307"/>
              <w:jc w:val="right"/>
              <w:rPr>
                <w:sz w:val="16"/>
              </w:rPr>
            </w:pPr>
            <w:r>
              <w:rPr>
                <w:spacing w:val="-4"/>
                <w:sz w:val="16"/>
              </w:rPr>
              <w:t>0.06</w:t>
            </w:r>
          </w:p>
        </w:tc>
      </w:tr>
      <w:tr w:rsidR="00141B97" w14:paraId="4314A8EC"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5B316A08"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11BDA454" w14:textId="77777777" w:rsidR="00141B97" w:rsidRDefault="00141B97">
            <w:pPr>
              <w:rPr>
                <w:sz w:val="2"/>
                <w:szCs w:val="2"/>
              </w:rPr>
            </w:pPr>
          </w:p>
        </w:tc>
        <w:tc>
          <w:tcPr>
            <w:tcW w:w="995" w:type="dxa"/>
            <w:vMerge w:val="restart"/>
            <w:tcBorders>
              <w:top w:val="single" w:sz="4" w:space="0" w:color="FFFFFF"/>
              <w:left w:val="single" w:sz="4" w:space="0" w:color="FFFFFF"/>
              <w:bottom w:val="single" w:sz="4" w:space="0" w:color="FFFFFF"/>
              <w:right w:val="single" w:sz="4" w:space="0" w:color="FFFFFF"/>
            </w:tcBorders>
            <w:shd w:val="clear" w:color="auto" w:fill="CCE2ED"/>
          </w:tcPr>
          <w:p w14:paraId="3355E1D0" w14:textId="77777777" w:rsidR="00141B97" w:rsidRDefault="00141B97">
            <w:pPr>
              <w:pStyle w:val="TableParagraph"/>
              <w:rPr>
                <w:sz w:val="16"/>
              </w:rPr>
            </w:pPr>
          </w:p>
          <w:p w14:paraId="00C4C45B" w14:textId="77777777" w:rsidR="00141B97" w:rsidRDefault="00141B97">
            <w:pPr>
              <w:pStyle w:val="TableParagraph"/>
              <w:rPr>
                <w:sz w:val="16"/>
              </w:rPr>
            </w:pPr>
          </w:p>
          <w:p w14:paraId="17AD77BB" w14:textId="77777777" w:rsidR="00141B97" w:rsidRDefault="00911D63">
            <w:pPr>
              <w:pStyle w:val="TableParagraph"/>
              <w:spacing w:before="119"/>
              <w:ind w:left="197" w:firstLine="127"/>
              <w:rPr>
                <w:sz w:val="16"/>
              </w:rPr>
            </w:pPr>
            <w:r>
              <w:rPr>
                <w:spacing w:val="-2"/>
                <w:sz w:val="16"/>
              </w:rPr>
              <w:t>Rural</w:t>
            </w:r>
            <w:r>
              <w:rPr>
                <w:spacing w:val="40"/>
                <w:sz w:val="16"/>
              </w:rPr>
              <w:t xml:space="preserve"> </w:t>
            </w:r>
            <w:r>
              <w:rPr>
                <w:spacing w:val="-2"/>
                <w:sz w:val="16"/>
              </w:rPr>
              <w:t>Irrigation</w:t>
            </w:r>
          </w:p>
        </w:tc>
        <w:tc>
          <w:tcPr>
            <w:tcW w:w="1397" w:type="dxa"/>
            <w:tcBorders>
              <w:top w:val="single" w:sz="4" w:space="0" w:color="FFFFFF"/>
              <w:left w:val="single" w:sz="4" w:space="0" w:color="FFFFFF"/>
              <w:right w:val="nil"/>
            </w:tcBorders>
            <w:shd w:val="clear" w:color="auto" w:fill="CCE2ED"/>
          </w:tcPr>
          <w:p w14:paraId="74D6FBE7" w14:textId="77777777" w:rsidR="00141B97" w:rsidRDefault="00911D63">
            <w:pPr>
              <w:pStyle w:val="TableParagraph"/>
              <w:spacing w:before="15" w:line="189" w:lineRule="exact"/>
              <w:ind w:left="180" w:right="218"/>
              <w:jc w:val="center"/>
              <w:rPr>
                <w:sz w:val="16"/>
              </w:rPr>
            </w:pPr>
            <w:r>
              <w:rPr>
                <w:spacing w:val="-2"/>
                <w:sz w:val="16"/>
              </w:rPr>
              <w:t>Renewals</w:t>
            </w:r>
          </w:p>
        </w:tc>
        <w:tc>
          <w:tcPr>
            <w:tcW w:w="3771" w:type="dxa"/>
            <w:tcBorders>
              <w:top w:val="single" w:sz="4" w:space="0" w:color="FFFFFF"/>
              <w:left w:val="nil"/>
              <w:right w:val="nil"/>
            </w:tcBorders>
            <w:shd w:val="clear" w:color="auto" w:fill="CCE2ED"/>
          </w:tcPr>
          <w:p w14:paraId="768AB062" w14:textId="77777777" w:rsidR="00141B97" w:rsidRDefault="00911D63">
            <w:pPr>
              <w:pStyle w:val="TableParagraph"/>
              <w:spacing w:before="15" w:line="189" w:lineRule="exact"/>
              <w:ind w:left="106"/>
              <w:rPr>
                <w:sz w:val="16"/>
              </w:rPr>
            </w:pPr>
            <w:r>
              <w:rPr>
                <w:sz w:val="16"/>
              </w:rPr>
              <w:t>MDA</w:t>
            </w:r>
            <w:r>
              <w:rPr>
                <w:spacing w:val="30"/>
                <w:sz w:val="16"/>
              </w:rPr>
              <w:t xml:space="preserve"> </w:t>
            </w:r>
            <w:r>
              <w:rPr>
                <w:sz w:val="16"/>
              </w:rPr>
              <w:t>Minor</w:t>
            </w:r>
            <w:r>
              <w:rPr>
                <w:spacing w:val="-3"/>
                <w:sz w:val="16"/>
              </w:rPr>
              <w:t xml:space="preserve"> </w:t>
            </w:r>
            <w:r>
              <w:rPr>
                <w:sz w:val="16"/>
              </w:rPr>
              <w:t>Capital</w:t>
            </w:r>
            <w:r>
              <w:rPr>
                <w:spacing w:val="-4"/>
                <w:sz w:val="16"/>
              </w:rPr>
              <w:t xml:space="preserve"> </w:t>
            </w:r>
            <w:r>
              <w:rPr>
                <w:sz w:val="16"/>
              </w:rPr>
              <w:t>‐</w:t>
            </w:r>
            <w:r>
              <w:rPr>
                <w:spacing w:val="-3"/>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419D9191" w14:textId="77777777" w:rsidR="00141B97" w:rsidRDefault="00911D63">
            <w:pPr>
              <w:pStyle w:val="TableParagraph"/>
              <w:spacing w:before="15" w:line="189" w:lineRule="exact"/>
              <w:ind w:left="366" w:right="175"/>
              <w:jc w:val="center"/>
              <w:rPr>
                <w:sz w:val="16"/>
              </w:rPr>
            </w:pPr>
            <w:r>
              <w:rPr>
                <w:spacing w:val="-4"/>
                <w:sz w:val="16"/>
              </w:rPr>
              <w:t>0.22</w:t>
            </w:r>
          </w:p>
        </w:tc>
        <w:tc>
          <w:tcPr>
            <w:tcW w:w="911" w:type="dxa"/>
            <w:tcBorders>
              <w:top w:val="single" w:sz="4" w:space="0" w:color="FFFFFF"/>
              <w:left w:val="nil"/>
              <w:right w:val="nil"/>
            </w:tcBorders>
            <w:shd w:val="clear" w:color="auto" w:fill="CCE2ED"/>
          </w:tcPr>
          <w:p w14:paraId="54E64C27" w14:textId="77777777" w:rsidR="00141B97" w:rsidRDefault="00911D63">
            <w:pPr>
              <w:pStyle w:val="TableParagraph"/>
              <w:spacing w:before="15" w:line="189" w:lineRule="exact"/>
              <w:ind w:left="171" w:right="175"/>
              <w:jc w:val="center"/>
              <w:rPr>
                <w:sz w:val="16"/>
              </w:rPr>
            </w:pPr>
            <w:r>
              <w:rPr>
                <w:spacing w:val="-4"/>
                <w:sz w:val="16"/>
              </w:rPr>
              <w:t>0.22</w:t>
            </w:r>
          </w:p>
        </w:tc>
        <w:tc>
          <w:tcPr>
            <w:tcW w:w="911" w:type="dxa"/>
            <w:tcBorders>
              <w:top w:val="single" w:sz="4" w:space="0" w:color="FFFFFF"/>
              <w:left w:val="nil"/>
              <w:right w:val="nil"/>
            </w:tcBorders>
            <w:shd w:val="clear" w:color="auto" w:fill="CCE2ED"/>
          </w:tcPr>
          <w:p w14:paraId="22046443" w14:textId="77777777" w:rsidR="00141B97" w:rsidRDefault="00911D63">
            <w:pPr>
              <w:pStyle w:val="TableParagraph"/>
              <w:spacing w:before="15" w:line="189" w:lineRule="exact"/>
              <w:ind w:left="171" w:right="175"/>
              <w:jc w:val="center"/>
              <w:rPr>
                <w:sz w:val="16"/>
              </w:rPr>
            </w:pPr>
            <w:r>
              <w:rPr>
                <w:spacing w:val="-4"/>
                <w:sz w:val="16"/>
              </w:rPr>
              <w:t>0.22</w:t>
            </w:r>
          </w:p>
        </w:tc>
        <w:tc>
          <w:tcPr>
            <w:tcW w:w="910" w:type="dxa"/>
            <w:tcBorders>
              <w:top w:val="single" w:sz="4" w:space="0" w:color="FFFFFF"/>
              <w:left w:val="nil"/>
              <w:right w:val="nil"/>
            </w:tcBorders>
            <w:shd w:val="clear" w:color="auto" w:fill="CCE2ED"/>
          </w:tcPr>
          <w:p w14:paraId="1D872DFE" w14:textId="77777777" w:rsidR="00141B97" w:rsidRDefault="00911D63">
            <w:pPr>
              <w:pStyle w:val="TableParagraph"/>
              <w:spacing w:before="15" w:line="189" w:lineRule="exact"/>
              <w:ind w:left="169" w:right="175"/>
              <w:jc w:val="center"/>
              <w:rPr>
                <w:sz w:val="16"/>
              </w:rPr>
            </w:pPr>
            <w:r>
              <w:rPr>
                <w:spacing w:val="-4"/>
                <w:sz w:val="16"/>
              </w:rPr>
              <w:t>0.22</w:t>
            </w:r>
          </w:p>
        </w:tc>
        <w:tc>
          <w:tcPr>
            <w:tcW w:w="939" w:type="dxa"/>
            <w:tcBorders>
              <w:top w:val="single" w:sz="4" w:space="0" w:color="FFFFFF"/>
              <w:left w:val="nil"/>
              <w:right w:val="nil"/>
            </w:tcBorders>
            <w:shd w:val="clear" w:color="auto" w:fill="CCE2ED"/>
          </w:tcPr>
          <w:p w14:paraId="65FC1FF8" w14:textId="77777777" w:rsidR="00141B97" w:rsidRDefault="00911D63">
            <w:pPr>
              <w:pStyle w:val="TableParagraph"/>
              <w:spacing w:before="15" w:line="189" w:lineRule="exact"/>
              <w:ind w:left="169" w:right="205"/>
              <w:jc w:val="center"/>
              <w:rPr>
                <w:sz w:val="16"/>
              </w:rPr>
            </w:pPr>
            <w:r>
              <w:rPr>
                <w:spacing w:val="-4"/>
                <w:sz w:val="16"/>
              </w:rPr>
              <w:t>0.22</w:t>
            </w:r>
          </w:p>
        </w:tc>
        <w:tc>
          <w:tcPr>
            <w:tcW w:w="869" w:type="dxa"/>
            <w:tcBorders>
              <w:top w:val="single" w:sz="4" w:space="0" w:color="FFFFFF"/>
              <w:left w:val="nil"/>
              <w:right w:val="nil"/>
            </w:tcBorders>
            <w:shd w:val="clear" w:color="auto" w:fill="CCE2ED"/>
          </w:tcPr>
          <w:p w14:paraId="14635DDD" w14:textId="77777777" w:rsidR="00141B97" w:rsidRDefault="00911D63">
            <w:pPr>
              <w:pStyle w:val="TableParagraph"/>
              <w:spacing w:before="15" w:line="189" w:lineRule="exact"/>
              <w:ind w:right="307"/>
              <w:jc w:val="right"/>
              <w:rPr>
                <w:sz w:val="16"/>
              </w:rPr>
            </w:pPr>
            <w:r>
              <w:rPr>
                <w:spacing w:val="-4"/>
                <w:sz w:val="16"/>
              </w:rPr>
              <w:t>1.11</w:t>
            </w:r>
          </w:p>
        </w:tc>
      </w:tr>
      <w:tr w:rsidR="00141B97" w14:paraId="76ABCBA1"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0AA14413"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67BD3450"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608CCFBB" w14:textId="77777777" w:rsidR="00141B97" w:rsidRDefault="00141B97">
            <w:pPr>
              <w:rPr>
                <w:sz w:val="2"/>
                <w:szCs w:val="2"/>
              </w:rPr>
            </w:pPr>
          </w:p>
        </w:tc>
        <w:tc>
          <w:tcPr>
            <w:tcW w:w="1397" w:type="dxa"/>
            <w:tcBorders>
              <w:left w:val="single" w:sz="4" w:space="0" w:color="FFFFFF"/>
              <w:bottom w:val="single" w:sz="4" w:space="0" w:color="FFFFFF"/>
              <w:right w:val="nil"/>
            </w:tcBorders>
            <w:shd w:val="clear" w:color="auto" w:fill="CCE2ED"/>
          </w:tcPr>
          <w:p w14:paraId="150A1DA4" w14:textId="77777777" w:rsidR="00141B97" w:rsidRDefault="00911D63">
            <w:pPr>
              <w:pStyle w:val="TableParagraph"/>
              <w:spacing w:before="13" w:line="191" w:lineRule="exact"/>
              <w:ind w:left="217" w:right="218"/>
              <w:jc w:val="center"/>
              <w:rPr>
                <w:sz w:val="16"/>
              </w:rPr>
            </w:pPr>
            <w:r>
              <w:rPr>
                <w:spacing w:val="-2"/>
                <w:sz w:val="16"/>
              </w:rPr>
              <w:t>Improvements</w:t>
            </w:r>
          </w:p>
        </w:tc>
        <w:tc>
          <w:tcPr>
            <w:tcW w:w="3771" w:type="dxa"/>
            <w:tcBorders>
              <w:left w:val="nil"/>
              <w:bottom w:val="single" w:sz="4" w:space="0" w:color="FFFFFF"/>
              <w:right w:val="nil"/>
            </w:tcBorders>
            <w:shd w:val="clear" w:color="auto" w:fill="CCE2ED"/>
          </w:tcPr>
          <w:p w14:paraId="401FD4D9" w14:textId="77777777" w:rsidR="00141B97" w:rsidRDefault="00911D63">
            <w:pPr>
              <w:pStyle w:val="TableParagraph"/>
              <w:spacing w:before="13" w:line="191" w:lineRule="exact"/>
              <w:ind w:left="106"/>
              <w:rPr>
                <w:sz w:val="16"/>
              </w:rPr>
            </w:pPr>
            <w:r>
              <w:rPr>
                <w:sz w:val="16"/>
              </w:rPr>
              <w:t>MDA</w:t>
            </w:r>
            <w:r>
              <w:rPr>
                <w:spacing w:val="31"/>
                <w:sz w:val="16"/>
              </w:rPr>
              <w:t xml:space="preserve"> </w:t>
            </w:r>
            <w:r>
              <w:rPr>
                <w:sz w:val="16"/>
              </w:rPr>
              <w:t>Minor</w:t>
            </w:r>
            <w:r>
              <w:rPr>
                <w:spacing w:val="-4"/>
                <w:sz w:val="16"/>
              </w:rPr>
              <w:t xml:space="preserve"> </w:t>
            </w:r>
            <w:r>
              <w:rPr>
                <w:sz w:val="16"/>
              </w:rPr>
              <w:t>Capital</w:t>
            </w:r>
            <w:r>
              <w:rPr>
                <w:spacing w:val="30"/>
                <w:sz w:val="16"/>
              </w:rPr>
              <w:t xml:space="preserve"> </w:t>
            </w:r>
            <w:r>
              <w:rPr>
                <w:spacing w:val="-4"/>
                <w:sz w:val="16"/>
              </w:rPr>
              <w:t>‐New</w:t>
            </w:r>
          </w:p>
        </w:tc>
        <w:tc>
          <w:tcPr>
            <w:tcW w:w="1106" w:type="dxa"/>
            <w:tcBorders>
              <w:left w:val="nil"/>
              <w:bottom w:val="single" w:sz="4" w:space="0" w:color="FFFFFF"/>
              <w:right w:val="nil"/>
            </w:tcBorders>
            <w:shd w:val="clear" w:color="auto" w:fill="CCE2ED"/>
          </w:tcPr>
          <w:p w14:paraId="2035727C" w14:textId="77777777" w:rsidR="00141B97" w:rsidRDefault="00911D63">
            <w:pPr>
              <w:pStyle w:val="TableParagraph"/>
              <w:spacing w:before="13" w:line="191" w:lineRule="exact"/>
              <w:ind w:left="366" w:right="175"/>
              <w:jc w:val="center"/>
              <w:rPr>
                <w:sz w:val="16"/>
              </w:rPr>
            </w:pPr>
            <w:r>
              <w:rPr>
                <w:spacing w:val="-4"/>
                <w:sz w:val="16"/>
              </w:rPr>
              <w:t>0.13</w:t>
            </w:r>
          </w:p>
        </w:tc>
        <w:tc>
          <w:tcPr>
            <w:tcW w:w="911" w:type="dxa"/>
            <w:tcBorders>
              <w:left w:val="nil"/>
              <w:bottom w:val="single" w:sz="4" w:space="0" w:color="FFFFFF"/>
              <w:right w:val="nil"/>
            </w:tcBorders>
            <w:shd w:val="clear" w:color="auto" w:fill="CCE2ED"/>
          </w:tcPr>
          <w:p w14:paraId="3D75B6DE" w14:textId="77777777" w:rsidR="00141B97" w:rsidRDefault="00911D63">
            <w:pPr>
              <w:pStyle w:val="TableParagraph"/>
              <w:spacing w:before="13" w:line="191" w:lineRule="exact"/>
              <w:ind w:left="171" w:right="175"/>
              <w:jc w:val="center"/>
              <w:rPr>
                <w:sz w:val="16"/>
              </w:rPr>
            </w:pPr>
            <w:r>
              <w:rPr>
                <w:spacing w:val="-4"/>
                <w:sz w:val="16"/>
              </w:rPr>
              <w:t>0.13</w:t>
            </w:r>
          </w:p>
        </w:tc>
        <w:tc>
          <w:tcPr>
            <w:tcW w:w="911" w:type="dxa"/>
            <w:tcBorders>
              <w:left w:val="nil"/>
              <w:bottom w:val="single" w:sz="4" w:space="0" w:color="FFFFFF"/>
              <w:right w:val="nil"/>
            </w:tcBorders>
            <w:shd w:val="clear" w:color="auto" w:fill="CCE2ED"/>
          </w:tcPr>
          <w:p w14:paraId="67F548D9" w14:textId="77777777" w:rsidR="00141B97" w:rsidRDefault="00911D63">
            <w:pPr>
              <w:pStyle w:val="TableParagraph"/>
              <w:spacing w:before="13" w:line="191" w:lineRule="exact"/>
              <w:ind w:left="171" w:right="175"/>
              <w:jc w:val="center"/>
              <w:rPr>
                <w:sz w:val="16"/>
              </w:rPr>
            </w:pPr>
            <w:r>
              <w:rPr>
                <w:spacing w:val="-4"/>
                <w:sz w:val="16"/>
              </w:rPr>
              <w:t>0.13</w:t>
            </w:r>
          </w:p>
        </w:tc>
        <w:tc>
          <w:tcPr>
            <w:tcW w:w="910" w:type="dxa"/>
            <w:tcBorders>
              <w:left w:val="nil"/>
              <w:bottom w:val="single" w:sz="4" w:space="0" w:color="FFFFFF"/>
              <w:right w:val="nil"/>
            </w:tcBorders>
            <w:shd w:val="clear" w:color="auto" w:fill="CCE2ED"/>
          </w:tcPr>
          <w:p w14:paraId="47F8A3BE" w14:textId="77777777" w:rsidR="00141B97" w:rsidRDefault="00911D63">
            <w:pPr>
              <w:pStyle w:val="TableParagraph"/>
              <w:spacing w:before="13" w:line="191" w:lineRule="exact"/>
              <w:ind w:left="169" w:right="175"/>
              <w:jc w:val="center"/>
              <w:rPr>
                <w:sz w:val="16"/>
              </w:rPr>
            </w:pPr>
            <w:r>
              <w:rPr>
                <w:spacing w:val="-4"/>
                <w:sz w:val="16"/>
              </w:rPr>
              <w:t>0.13</w:t>
            </w:r>
          </w:p>
        </w:tc>
        <w:tc>
          <w:tcPr>
            <w:tcW w:w="939" w:type="dxa"/>
            <w:tcBorders>
              <w:left w:val="nil"/>
              <w:bottom w:val="single" w:sz="4" w:space="0" w:color="FFFFFF"/>
              <w:right w:val="nil"/>
            </w:tcBorders>
            <w:shd w:val="clear" w:color="auto" w:fill="CCE2ED"/>
          </w:tcPr>
          <w:p w14:paraId="28AE93FB" w14:textId="77777777" w:rsidR="00141B97" w:rsidRDefault="00911D63">
            <w:pPr>
              <w:pStyle w:val="TableParagraph"/>
              <w:spacing w:before="13" w:line="191" w:lineRule="exact"/>
              <w:ind w:left="169" w:right="205"/>
              <w:jc w:val="center"/>
              <w:rPr>
                <w:sz w:val="16"/>
              </w:rPr>
            </w:pPr>
            <w:r>
              <w:rPr>
                <w:spacing w:val="-4"/>
                <w:sz w:val="16"/>
              </w:rPr>
              <w:t>0.13</w:t>
            </w:r>
          </w:p>
        </w:tc>
        <w:tc>
          <w:tcPr>
            <w:tcW w:w="869" w:type="dxa"/>
            <w:tcBorders>
              <w:left w:val="nil"/>
              <w:bottom w:val="single" w:sz="4" w:space="0" w:color="FFFFFF"/>
              <w:right w:val="nil"/>
            </w:tcBorders>
            <w:shd w:val="clear" w:color="auto" w:fill="CCE2ED"/>
          </w:tcPr>
          <w:p w14:paraId="4C6FC37F" w14:textId="77777777" w:rsidR="00141B97" w:rsidRDefault="00911D63">
            <w:pPr>
              <w:pStyle w:val="TableParagraph"/>
              <w:spacing w:before="13" w:line="191" w:lineRule="exact"/>
              <w:ind w:right="307"/>
              <w:jc w:val="right"/>
              <w:rPr>
                <w:sz w:val="16"/>
              </w:rPr>
            </w:pPr>
            <w:r>
              <w:rPr>
                <w:spacing w:val="-4"/>
                <w:sz w:val="16"/>
              </w:rPr>
              <w:t>0.67</w:t>
            </w:r>
          </w:p>
        </w:tc>
      </w:tr>
      <w:tr w:rsidR="00141B97" w14:paraId="31D72CFB"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37AFE04A"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713C5A03"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33560AD8" w14:textId="77777777" w:rsidR="00141B97" w:rsidRDefault="00141B97">
            <w:pPr>
              <w:rPr>
                <w:sz w:val="2"/>
                <w:szCs w:val="2"/>
              </w:rPr>
            </w:pPr>
          </w:p>
        </w:tc>
        <w:tc>
          <w:tcPr>
            <w:tcW w:w="1397" w:type="dxa"/>
            <w:tcBorders>
              <w:top w:val="single" w:sz="4" w:space="0" w:color="FFFFFF"/>
              <w:left w:val="single" w:sz="4" w:space="0" w:color="FFFFFF"/>
              <w:right w:val="nil"/>
            </w:tcBorders>
            <w:shd w:val="clear" w:color="auto" w:fill="CCE2ED"/>
          </w:tcPr>
          <w:p w14:paraId="06EACDB9" w14:textId="77777777" w:rsidR="00141B97" w:rsidRDefault="00911D63">
            <w:pPr>
              <w:pStyle w:val="TableParagraph"/>
              <w:spacing w:before="15" w:line="189" w:lineRule="exact"/>
              <w:ind w:left="180" w:right="218"/>
              <w:jc w:val="center"/>
              <w:rPr>
                <w:sz w:val="16"/>
              </w:rPr>
            </w:pPr>
            <w:r>
              <w:rPr>
                <w:spacing w:val="-2"/>
                <w:sz w:val="16"/>
              </w:rPr>
              <w:t>Renewals</w:t>
            </w:r>
          </w:p>
        </w:tc>
        <w:tc>
          <w:tcPr>
            <w:tcW w:w="3771" w:type="dxa"/>
            <w:tcBorders>
              <w:top w:val="single" w:sz="4" w:space="0" w:color="FFFFFF"/>
              <w:left w:val="nil"/>
              <w:right w:val="nil"/>
            </w:tcBorders>
            <w:shd w:val="clear" w:color="auto" w:fill="CCE2ED"/>
          </w:tcPr>
          <w:p w14:paraId="78E2F018" w14:textId="77777777" w:rsidR="00141B97" w:rsidRDefault="00911D63">
            <w:pPr>
              <w:pStyle w:val="TableParagraph"/>
              <w:spacing w:before="15" w:line="189" w:lineRule="exact"/>
              <w:ind w:left="106"/>
              <w:rPr>
                <w:sz w:val="16"/>
              </w:rPr>
            </w:pPr>
            <w:r>
              <w:rPr>
                <w:sz w:val="16"/>
              </w:rPr>
              <w:t>MER</w:t>
            </w:r>
            <w:r>
              <w:rPr>
                <w:spacing w:val="30"/>
                <w:sz w:val="16"/>
              </w:rPr>
              <w:t xml:space="preserve"> </w:t>
            </w:r>
            <w:r>
              <w:rPr>
                <w:sz w:val="16"/>
              </w:rPr>
              <w:t>Minor</w:t>
            </w:r>
            <w:r>
              <w:rPr>
                <w:spacing w:val="-4"/>
                <w:sz w:val="16"/>
              </w:rPr>
              <w:t xml:space="preserve"> </w:t>
            </w:r>
            <w:r>
              <w:rPr>
                <w:sz w:val="16"/>
              </w:rPr>
              <w:t>Capital</w:t>
            </w:r>
            <w:r>
              <w:rPr>
                <w:spacing w:val="-4"/>
                <w:sz w:val="16"/>
              </w:rPr>
              <w:t xml:space="preserve"> </w:t>
            </w:r>
            <w:r>
              <w:rPr>
                <w:sz w:val="16"/>
              </w:rPr>
              <w:t>‐</w:t>
            </w:r>
            <w:r>
              <w:rPr>
                <w:spacing w:val="-4"/>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3521CA45" w14:textId="77777777" w:rsidR="00141B97" w:rsidRDefault="00911D63">
            <w:pPr>
              <w:pStyle w:val="TableParagraph"/>
              <w:spacing w:before="15" w:line="189" w:lineRule="exact"/>
              <w:ind w:left="366" w:right="175"/>
              <w:jc w:val="center"/>
              <w:rPr>
                <w:sz w:val="16"/>
              </w:rPr>
            </w:pPr>
            <w:r>
              <w:rPr>
                <w:spacing w:val="-4"/>
                <w:sz w:val="16"/>
              </w:rPr>
              <w:t>0.11</w:t>
            </w:r>
          </w:p>
        </w:tc>
        <w:tc>
          <w:tcPr>
            <w:tcW w:w="911" w:type="dxa"/>
            <w:tcBorders>
              <w:top w:val="single" w:sz="4" w:space="0" w:color="FFFFFF"/>
              <w:left w:val="nil"/>
              <w:right w:val="nil"/>
            </w:tcBorders>
            <w:shd w:val="clear" w:color="auto" w:fill="CCE2ED"/>
          </w:tcPr>
          <w:p w14:paraId="6C599527" w14:textId="77777777" w:rsidR="00141B97" w:rsidRDefault="00911D63">
            <w:pPr>
              <w:pStyle w:val="TableParagraph"/>
              <w:spacing w:before="15" w:line="189" w:lineRule="exact"/>
              <w:ind w:left="171" w:right="175"/>
              <w:jc w:val="center"/>
              <w:rPr>
                <w:sz w:val="16"/>
              </w:rPr>
            </w:pPr>
            <w:r>
              <w:rPr>
                <w:spacing w:val="-4"/>
                <w:sz w:val="16"/>
              </w:rPr>
              <w:t>0.11</w:t>
            </w:r>
          </w:p>
        </w:tc>
        <w:tc>
          <w:tcPr>
            <w:tcW w:w="911" w:type="dxa"/>
            <w:tcBorders>
              <w:top w:val="single" w:sz="4" w:space="0" w:color="FFFFFF"/>
              <w:left w:val="nil"/>
              <w:right w:val="nil"/>
            </w:tcBorders>
            <w:shd w:val="clear" w:color="auto" w:fill="CCE2ED"/>
          </w:tcPr>
          <w:p w14:paraId="43BBDC13" w14:textId="77777777" w:rsidR="00141B97" w:rsidRDefault="00911D63">
            <w:pPr>
              <w:pStyle w:val="TableParagraph"/>
              <w:spacing w:before="15" w:line="189" w:lineRule="exact"/>
              <w:ind w:left="171" w:right="175"/>
              <w:jc w:val="center"/>
              <w:rPr>
                <w:sz w:val="16"/>
              </w:rPr>
            </w:pPr>
            <w:r>
              <w:rPr>
                <w:spacing w:val="-4"/>
                <w:sz w:val="16"/>
              </w:rPr>
              <w:t>0.11</w:t>
            </w:r>
          </w:p>
        </w:tc>
        <w:tc>
          <w:tcPr>
            <w:tcW w:w="910" w:type="dxa"/>
            <w:tcBorders>
              <w:top w:val="single" w:sz="4" w:space="0" w:color="FFFFFF"/>
              <w:left w:val="nil"/>
              <w:right w:val="nil"/>
            </w:tcBorders>
            <w:shd w:val="clear" w:color="auto" w:fill="CCE2ED"/>
          </w:tcPr>
          <w:p w14:paraId="18F695C1" w14:textId="77777777" w:rsidR="00141B97" w:rsidRDefault="00911D63">
            <w:pPr>
              <w:pStyle w:val="TableParagraph"/>
              <w:spacing w:before="15" w:line="189" w:lineRule="exact"/>
              <w:ind w:left="169" w:right="175"/>
              <w:jc w:val="center"/>
              <w:rPr>
                <w:sz w:val="16"/>
              </w:rPr>
            </w:pPr>
            <w:r>
              <w:rPr>
                <w:spacing w:val="-4"/>
                <w:sz w:val="16"/>
              </w:rPr>
              <w:t>0.11</w:t>
            </w:r>
          </w:p>
        </w:tc>
        <w:tc>
          <w:tcPr>
            <w:tcW w:w="939" w:type="dxa"/>
            <w:tcBorders>
              <w:top w:val="single" w:sz="4" w:space="0" w:color="FFFFFF"/>
              <w:left w:val="nil"/>
              <w:right w:val="nil"/>
            </w:tcBorders>
            <w:shd w:val="clear" w:color="auto" w:fill="CCE2ED"/>
          </w:tcPr>
          <w:p w14:paraId="46DBC037" w14:textId="77777777" w:rsidR="00141B97" w:rsidRDefault="00911D63">
            <w:pPr>
              <w:pStyle w:val="TableParagraph"/>
              <w:spacing w:before="15" w:line="189" w:lineRule="exact"/>
              <w:ind w:left="169" w:right="205"/>
              <w:jc w:val="center"/>
              <w:rPr>
                <w:sz w:val="16"/>
              </w:rPr>
            </w:pPr>
            <w:r>
              <w:rPr>
                <w:spacing w:val="-4"/>
                <w:sz w:val="16"/>
              </w:rPr>
              <w:t>0.11</w:t>
            </w:r>
          </w:p>
        </w:tc>
        <w:tc>
          <w:tcPr>
            <w:tcW w:w="869" w:type="dxa"/>
            <w:tcBorders>
              <w:top w:val="single" w:sz="4" w:space="0" w:color="FFFFFF"/>
              <w:left w:val="nil"/>
              <w:right w:val="nil"/>
            </w:tcBorders>
            <w:shd w:val="clear" w:color="auto" w:fill="CCE2ED"/>
          </w:tcPr>
          <w:p w14:paraId="7769D32C" w14:textId="77777777" w:rsidR="00141B97" w:rsidRDefault="00911D63">
            <w:pPr>
              <w:pStyle w:val="TableParagraph"/>
              <w:spacing w:before="15" w:line="189" w:lineRule="exact"/>
              <w:ind w:right="307"/>
              <w:jc w:val="right"/>
              <w:rPr>
                <w:sz w:val="16"/>
              </w:rPr>
            </w:pPr>
            <w:r>
              <w:rPr>
                <w:spacing w:val="-4"/>
                <w:sz w:val="16"/>
              </w:rPr>
              <w:t>0.55</w:t>
            </w:r>
          </w:p>
        </w:tc>
      </w:tr>
      <w:tr w:rsidR="00141B97" w14:paraId="722BDDEB"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26E5658A"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49751621"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2BDED644" w14:textId="77777777" w:rsidR="00141B97" w:rsidRDefault="00141B97">
            <w:pPr>
              <w:rPr>
                <w:sz w:val="2"/>
                <w:szCs w:val="2"/>
              </w:rPr>
            </w:pPr>
          </w:p>
        </w:tc>
        <w:tc>
          <w:tcPr>
            <w:tcW w:w="1397" w:type="dxa"/>
            <w:tcBorders>
              <w:left w:val="single" w:sz="4" w:space="0" w:color="FFFFFF"/>
              <w:bottom w:val="single" w:sz="4" w:space="0" w:color="FFFFFF"/>
              <w:right w:val="nil"/>
            </w:tcBorders>
            <w:shd w:val="clear" w:color="auto" w:fill="CCE2ED"/>
          </w:tcPr>
          <w:p w14:paraId="1ECEC639" w14:textId="77777777" w:rsidR="00141B97" w:rsidRDefault="00911D63">
            <w:pPr>
              <w:pStyle w:val="TableParagraph"/>
              <w:spacing w:before="13" w:line="191" w:lineRule="exact"/>
              <w:ind w:left="217" w:right="218"/>
              <w:jc w:val="center"/>
              <w:rPr>
                <w:sz w:val="16"/>
              </w:rPr>
            </w:pPr>
            <w:r>
              <w:rPr>
                <w:spacing w:val="-2"/>
                <w:sz w:val="16"/>
              </w:rPr>
              <w:t>Improvements</w:t>
            </w:r>
          </w:p>
        </w:tc>
        <w:tc>
          <w:tcPr>
            <w:tcW w:w="3771" w:type="dxa"/>
            <w:tcBorders>
              <w:left w:val="nil"/>
              <w:bottom w:val="single" w:sz="4" w:space="0" w:color="FFFFFF"/>
              <w:right w:val="nil"/>
            </w:tcBorders>
            <w:shd w:val="clear" w:color="auto" w:fill="CCE2ED"/>
          </w:tcPr>
          <w:p w14:paraId="7D97322C" w14:textId="77777777" w:rsidR="00141B97" w:rsidRDefault="00911D63">
            <w:pPr>
              <w:pStyle w:val="TableParagraph"/>
              <w:spacing w:before="13" w:line="191" w:lineRule="exact"/>
              <w:ind w:left="106"/>
              <w:rPr>
                <w:sz w:val="16"/>
              </w:rPr>
            </w:pPr>
            <w:r>
              <w:rPr>
                <w:sz w:val="16"/>
              </w:rPr>
              <w:t>MER</w:t>
            </w:r>
            <w:r>
              <w:rPr>
                <w:spacing w:val="30"/>
                <w:sz w:val="16"/>
              </w:rPr>
              <w:t xml:space="preserve"> </w:t>
            </w:r>
            <w:r>
              <w:rPr>
                <w:sz w:val="16"/>
              </w:rPr>
              <w:t>Minor</w:t>
            </w:r>
            <w:r>
              <w:rPr>
                <w:spacing w:val="-4"/>
                <w:sz w:val="16"/>
              </w:rPr>
              <w:t xml:space="preserve"> </w:t>
            </w:r>
            <w:r>
              <w:rPr>
                <w:sz w:val="16"/>
              </w:rPr>
              <w:t>Capital</w:t>
            </w:r>
            <w:r>
              <w:rPr>
                <w:spacing w:val="-4"/>
                <w:sz w:val="16"/>
              </w:rPr>
              <w:t xml:space="preserve"> </w:t>
            </w:r>
            <w:r>
              <w:rPr>
                <w:sz w:val="16"/>
              </w:rPr>
              <w:t>‐</w:t>
            </w:r>
            <w:r>
              <w:rPr>
                <w:spacing w:val="-4"/>
                <w:sz w:val="16"/>
              </w:rPr>
              <w:t xml:space="preserve"> </w:t>
            </w:r>
            <w:r>
              <w:rPr>
                <w:spacing w:val="-5"/>
                <w:sz w:val="16"/>
              </w:rPr>
              <w:t>New</w:t>
            </w:r>
          </w:p>
        </w:tc>
        <w:tc>
          <w:tcPr>
            <w:tcW w:w="1106" w:type="dxa"/>
            <w:tcBorders>
              <w:left w:val="nil"/>
              <w:bottom w:val="single" w:sz="4" w:space="0" w:color="FFFFFF"/>
              <w:right w:val="nil"/>
            </w:tcBorders>
            <w:shd w:val="clear" w:color="auto" w:fill="CCE2ED"/>
          </w:tcPr>
          <w:p w14:paraId="2C6CCE67" w14:textId="77777777" w:rsidR="00141B97" w:rsidRDefault="00911D63">
            <w:pPr>
              <w:pStyle w:val="TableParagraph"/>
              <w:spacing w:before="13" w:line="191" w:lineRule="exact"/>
              <w:ind w:left="366" w:right="175"/>
              <w:jc w:val="center"/>
              <w:rPr>
                <w:sz w:val="16"/>
              </w:rPr>
            </w:pPr>
            <w:r>
              <w:rPr>
                <w:spacing w:val="-4"/>
                <w:sz w:val="16"/>
              </w:rPr>
              <w:t>0.10</w:t>
            </w:r>
          </w:p>
        </w:tc>
        <w:tc>
          <w:tcPr>
            <w:tcW w:w="911" w:type="dxa"/>
            <w:tcBorders>
              <w:left w:val="nil"/>
              <w:bottom w:val="single" w:sz="4" w:space="0" w:color="FFFFFF"/>
              <w:right w:val="nil"/>
            </w:tcBorders>
            <w:shd w:val="clear" w:color="auto" w:fill="CCE2ED"/>
          </w:tcPr>
          <w:p w14:paraId="6537082D" w14:textId="77777777" w:rsidR="00141B97" w:rsidRDefault="00911D63">
            <w:pPr>
              <w:pStyle w:val="TableParagraph"/>
              <w:spacing w:before="13" w:line="191" w:lineRule="exact"/>
              <w:ind w:left="171" w:right="175"/>
              <w:jc w:val="center"/>
              <w:rPr>
                <w:sz w:val="16"/>
              </w:rPr>
            </w:pPr>
            <w:r>
              <w:rPr>
                <w:spacing w:val="-4"/>
                <w:sz w:val="16"/>
              </w:rPr>
              <w:t>0.10</w:t>
            </w:r>
          </w:p>
        </w:tc>
        <w:tc>
          <w:tcPr>
            <w:tcW w:w="911" w:type="dxa"/>
            <w:tcBorders>
              <w:left w:val="nil"/>
              <w:bottom w:val="single" w:sz="4" w:space="0" w:color="FFFFFF"/>
              <w:right w:val="nil"/>
            </w:tcBorders>
            <w:shd w:val="clear" w:color="auto" w:fill="CCE2ED"/>
          </w:tcPr>
          <w:p w14:paraId="0B41A07C" w14:textId="77777777" w:rsidR="00141B97" w:rsidRDefault="00911D63">
            <w:pPr>
              <w:pStyle w:val="TableParagraph"/>
              <w:spacing w:before="13" w:line="191" w:lineRule="exact"/>
              <w:ind w:left="171" w:right="175"/>
              <w:jc w:val="center"/>
              <w:rPr>
                <w:sz w:val="16"/>
              </w:rPr>
            </w:pPr>
            <w:r>
              <w:rPr>
                <w:spacing w:val="-4"/>
                <w:sz w:val="16"/>
              </w:rPr>
              <w:t>0.10</w:t>
            </w:r>
          </w:p>
        </w:tc>
        <w:tc>
          <w:tcPr>
            <w:tcW w:w="910" w:type="dxa"/>
            <w:tcBorders>
              <w:left w:val="nil"/>
              <w:bottom w:val="single" w:sz="4" w:space="0" w:color="FFFFFF"/>
              <w:right w:val="nil"/>
            </w:tcBorders>
            <w:shd w:val="clear" w:color="auto" w:fill="CCE2ED"/>
          </w:tcPr>
          <w:p w14:paraId="6FB66B5E" w14:textId="77777777" w:rsidR="00141B97" w:rsidRDefault="00911D63">
            <w:pPr>
              <w:pStyle w:val="TableParagraph"/>
              <w:spacing w:before="13" w:line="191" w:lineRule="exact"/>
              <w:ind w:left="169" w:right="175"/>
              <w:jc w:val="center"/>
              <w:rPr>
                <w:sz w:val="16"/>
              </w:rPr>
            </w:pPr>
            <w:r>
              <w:rPr>
                <w:spacing w:val="-4"/>
                <w:sz w:val="16"/>
              </w:rPr>
              <w:t>0.10</w:t>
            </w:r>
          </w:p>
        </w:tc>
        <w:tc>
          <w:tcPr>
            <w:tcW w:w="939" w:type="dxa"/>
            <w:tcBorders>
              <w:left w:val="nil"/>
              <w:bottom w:val="single" w:sz="4" w:space="0" w:color="FFFFFF"/>
              <w:right w:val="nil"/>
            </w:tcBorders>
            <w:shd w:val="clear" w:color="auto" w:fill="CCE2ED"/>
          </w:tcPr>
          <w:p w14:paraId="4441E970" w14:textId="77777777" w:rsidR="00141B97" w:rsidRDefault="00911D63">
            <w:pPr>
              <w:pStyle w:val="TableParagraph"/>
              <w:spacing w:before="13" w:line="191" w:lineRule="exact"/>
              <w:ind w:left="169" w:right="205"/>
              <w:jc w:val="center"/>
              <w:rPr>
                <w:sz w:val="16"/>
              </w:rPr>
            </w:pPr>
            <w:r>
              <w:rPr>
                <w:spacing w:val="-4"/>
                <w:sz w:val="16"/>
              </w:rPr>
              <w:t>0.10</w:t>
            </w:r>
          </w:p>
        </w:tc>
        <w:tc>
          <w:tcPr>
            <w:tcW w:w="869" w:type="dxa"/>
            <w:tcBorders>
              <w:left w:val="nil"/>
              <w:bottom w:val="single" w:sz="4" w:space="0" w:color="FFFFFF"/>
              <w:right w:val="nil"/>
            </w:tcBorders>
            <w:shd w:val="clear" w:color="auto" w:fill="CCE2ED"/>
          </w:tcPr>
          <w:p w14:paraId="2FA543EE" w14:textId="77777777" w:rsidR="00141B97" w:rsidRDefault="00911D63">
            <w:pPr>
              <w:pStyle w:val="TableParagraph"/>
              <w:spacing w:before="13" w:line="191" w:lineRule="exact"/>
              <w:ind w:right="307"/>
              <w:jc w:val="right"/>
              <w:rPr>
                <w:sz w:val="16"/>
              </w:rPr>
            </w:pPr>
            <w:r>
              <w:rPr>
                <w:spacing w:val="-4"/>
                <w:sz w:val="16"/>
              </w:rPr>
              <w:t>0.48</w:t>
            </w:r>
          </w:p>
        </w:tc>
      </w:tr>
      <w:tr w:rsidR="00141B97" w14:paraId="34C57C15"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17ED861F"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0E3F0F95"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24458313" w14:textId="77777777" w:rsidR="00141B97" w:rsidRDefault="00141B97">
            <w:pPr>
              <w:rPr>
                <w:sz w:val="2"/>
                <w:szCs w:val="2"/>
              </w:rPr>
            </w:pPr>
          </w:p>
        </w:tc>
        <w:tc>
          <w:tcPr>
            <w:tcW w:w="1397" w:type="dxa"/>
            <w:tcBorders>
              <w:top w:val="single" w:sz="4" w:space="0" w:color="FFFFFF"/>
              <w:left w:val="single" w:sz="4" w:space="0" w:color="FFFFFF"/>
              <w:right w:val="nil"/>
            </w:tcBorders>
            <w:shd w:val="clear" w:color="auto" w:fill="CCE2ED"/>
          </w:tcPr>
          <w:p w14:paraId="19C22F5F" w14:textId="77777777" w:rsidR="00141B97" w:rsidRDefault="00911D63">
            <w:pPr>
              <w:pStyle w:val="TableParagraph"/>
              <w:spacing w:before="15" w:line="189" w:lineRule="exact"/>
              <w:ind w:left="180" w:right="218"/>
              <w:jc w:val="center"/>
              <w:rPr>
                <w:sz w:val="16"/>
              </w:rPr>
            </w:pPr>
            <w:r>
              <w:rPr>
                <w:spacing w:val="-2"/>
                <w:sz w:val="16"/>
              </w:rPr>
              <w:t>Renewals</w:t>
            </w:r>
          </w:p>
        </w:tc>
        <w:tc>
          <w:tcPr>
            <w:tcW w:w="3771" w:type="dxa"/>
            <w:tcBorders>
              <w:top w:val="single" w:sz="4" w:space="0" w:color="FFFFFF"/>
              <w:left w:val="nil"/>
              <w:right w:val="nil"/>
            </w:tcBorders>
            <w:shd w:val="clear" w:color="auto" w:fill="CCE2ED"/>
          </w:tcPr>
          <w:p w14:paraId="499FFD38" w14:textId="77777777" w:rsidR="00141B97" w:rsidRDefault="00911D63">
            <w:pPr>
              <w:pStyle w:val="TableParagraph"/>
              <w:spacing w:before="15" w:line="189" w:lineRule="exact"/>
              <w:ind w:left="106"/>
              <w:rPr>
                <w:sz w:val="16"/>
              </w:rPr>
            </w:pPr>
            <w:r>
              <w:rPr>
                <w:sz w:val="16"/>
              </w:rPr>
              <w:t>RC</w:t>
            </w:r>
            <w:r>
              <w:rPr>
                <w:spacing w:val="-4"/>
                <w:sz w:val="16"/>
              </w:rPr>
              <w:t xml:space="preserve"> </w:t>
            </w:r>
            <w:r>
              <w:rPr>
                <w:sz w:val="16"/>
              </w:rPr>
              <w:t>‐</w:t>
            </w:r>
            <w:r>
              <w:rPr>
                <w:spacing w:val="-4"/>
                <w:sz w:val="16"/>
              </w:rPr>
              <w:t xml:space="preserve"> </w:t>
            </w:r>
            <w:r>
              <w:rPr>
                <w:sz w:val="16"/>
              </w:rPr>
              <w:t>Minor</w:t>
            </w:r>
            <w:r>
              <w:rPr>
                <w:spacing w:val="-2"/>
                <w:sz w:val="16"/>
              </w:rPr>
              <w:t xml:space="preserve"> </w:t>
            </w:r>
            <w:r>
              <w:rPr>
                <w:sz w:val="16"/>
              </w:rPr>
              <w:t>Capital</w:t>
            </w:r>
            <w:r>
              <w:rPr>
                <w:spacing w:val="-3"/>
                <w:sz w:val="16"/>
              </w:rPr>
              <w:t xml:space="preserve"> </w:t>
            </w:r>
            <w:r>
              <w:rPr>
                <w:sz w:val="16"/>
              </w:rPr>
              <w:t>‐</w:t>
            </w:r>
            <w:r>
              <w:rPr>
                <w:spacing w:val="-3"/>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19C21F8B" w14:textId="77777777" w:rsidR="00141B97" w:rsidRDefault="00911D63">
            <w:pPr>
              <w:pStyle w:val="TableParagraph"/>
              <w:spacing w:before="15" w:line="189" w:lineRule="exact"/>
              <w:ind w:left="366" w:right="175"/>
              <w:jc w:val="center"/>
              <w:rPr>
                <w:sz w:val="16"/>
              </w:rPr>
            </w:pPr>
            <w:r>
              <w:rPr>
                <w:spacing w:val="-4"/>
                <w:sz w:val="16"/>
              </w:rPr>
              <w:t>0.21</w:t>
            </w:r>
          </w:p>
        </w:tc>
        <w:tc>
          <w:tcPr>
            <w:tcW w:w="911" w:type="dxa"/>
            <w:tcBorders>
              <w:top w:val="single" w:sz="4" w:space="0" w:color="FFFFFF"/>
              <w:left w:val="nil"/>
              <w:right w:val="nil"/>
            </w:tcBorders>
            <w:shd w:val="clear" w:color="auto" w:fill="CCE2ED"/>
          </w:tcPr>
          <w:p w14:paraId="4740D4F0" w14:textId="77777777" w:rsidR="00141B97" w:rsidRDefault="00911D63">
            <w:pPr>
              <w:pStyle w:val="TableParagraph"/>
              <w:spacing w:before="15" w:line="189" w:lineRule="exact"/>
              <w:ind w:left="171" w:right="175"/>
              <w:jc w:val="center"/>
              <w:rPr>
                <w:sz w:val="16"/>
              </w:rPr>
            </w:pPr>
            <w:r>
              <w:rPr>
                <w:spacing w:val="-4"/>
                <w:sz w:val="16"/>
              </w:rPr>
              <w:t>0.21</w:t>
            </w:r>
          </w:p>
        </w:tc>
        <w:tc>
          <w:tcPr>
            <w:tcW w:w="911" w:type="dxa"/>
            <w:tcBorders>
              <w:top w:val="single" w:sz="4" w:space="0" w:color="FFFFFF"/>
              <w:left w:val="nil"/>
              <w:right w:val="nil"/>
            </w:tcBorders>
            <w:shd w:val="clear" w:color="auto" w:fill="CCE2ED"/>
          </w:tcPr>
          <w:p w14:paraId="1D35D2EE" w14:textId="77777777" w:rsidR="00141B97" w:rsidRDefault="00911D63">
            <w:pPr>
              <w:pStyle w:val="TableParagraph"/>
              <w:spacing w:before="15" w:line="189" w:lineRule="exact"/>
              <w:ind w:left="171" w:right="175"/>
              <w:jc w:val="center"/>
              <w:rPr>
                <w:sz w:val="16"/>
              </w:rPr>
            </w:pPr>
            <w:r>
              <w:rPr>
                <w:spacing w:val="-4"/>
                <w:sz w:val="16"/>
              </w:rPr>
              <w:t>0.21</w:t>
            </w:r>
          </w:p>
        </w:tc>
        <w:tc>
          <w:tcPr>
            <w:tcW w:w="910" w:type="dxa"/>
            <w:tcBorders>
              <w:top w:val="single" w:sz="4" w:space="0" w:color="FFFFFF"/>
              <w:left w:val="nil"/>
              <w:right w:val="nil"/>
            </w:tcBorders>
            <w:shd w:val="clear" w:color="auto" w:fill="CCE2ED"/>
          </w:tcPr>
          <w:p w14:paraId="34E9C2D6" w14:textId="77777777" w:rsidR="00141B97" w:rsidRDefault="00911D63">
            <w:pPr>
              <w:pStyle w:val="TableParagraph"/>
              <w:spacing w:before="15" w:line="189" w:lineRule="exact"/>
              <w:ind w:left="169" w:right="175"/>
              <w:jc w:val="center"/>
              <w:rPr>
                <w:sz w:val="16"/>
              </w:rPr>
            </w:pPr>
            <w:r>
              <w:rPr>
                <w:spacing w:val="-4"/>
                <w:sz w:val="16"/>
              </w:rPr>
              <w:t>0.21</w:t>
            </w:r>
          </w:p>
        </w:tc>
        <w:tc>
          <w:tcPr>
            <w:tcW w:w="939" w:type="dxa"/>
            <w:tcBorders>
              <w:top w:val="single" w:sz="4" w:space="0" w:color="FFFFFF"/>
              <w:left w:val="nil"/>
              <w:right w:val="nil"/>
            </w:tcBorders>
            <w:shd w:val="clear" w:color="auto" w:fill="CCE2ED"/>
          </w:tcPr>
          <w:p w14:paraId="06E4656F" w14:textId="77777777" w:rsidR="00141B97" w:rsidRDefault="00911D63">
            <w:pPr>
              <w:pStyle w:val="TableParagraph"/>
              <w:spacing w:before="15" w:line="189" w:lineRule="exact"/>
              <w:ind w:left="169" w:right="205"/>
              <w:jc w:val="center"/>
              <w:rPr>
                <w:sz w:val="16"/>
              </w:rPr>
            </w:pPr>
            <w:r>
              <w:rPr>
                <w:spacing w:val="-4"/>
                <w:sz w:val="16"/>
              </w:rPr>
              <w:t>0.21</w:t>
            </w:r>
          </w:p>
        </w:tc>
        <w:tc>
          <w:tcPr>
            <w:tcW w:w="869" w:type="dxa"/>
            <w:tcBorders>
              <w:top w:val="single" w:sz="4" w:space="0" w:color="FFFFFF"/>
              <w:left w:val="nil"/>
              <w:right w:val="nil"/>
            </w:tcBorders>
            <w:shd w:val="clear" w:color="auto" w:fill="CCE2ED"/>
          </w:tcPr>
          <w:p w14:paraId="03141710" w14:textId="77777777" w:rsidR="00141B97" w:rsidRDefault="00911D63">
            <w:pPr>
              <w:pStyle w:val="TableParagraph"/>
              <w:spacing w:before="15" w:line="189" w:lineRule="exact"/>
              <w:ind w:right="307"/>
              <w:jc w:val="right"/>
              <w:rPr>
                <w:sz w:val="16"/>
              </w:rPr>
            </w:pPr>
            <w:r>
              <w:rPr>
                <w:spacing w:val="-4"/>
                <w:sz w:val="16"/>
              </w:rPr>
              <w:t>1.06</w:t>
            </w:r>
          </w:p>
        </w:tc>
      </w:tr>
      <w:tr w:rsidR="00141B97" w14:paraId="74405760"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1735FF1C"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0D88989C"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4C535E6E" w14:textId="77777777" w:rsidR="00141B97" w:rsidRDefault="00141B97">
            <w:pPr>
              <w:rPr>
                <w:sz w:val="2"/>
                <w:szCs w:val="2"/>
              </w:rPr>
            </w:pPr>
          </w:p>
        </w:tc>
        <w:tc>
          <w:tcPr>
            <w:tcW w:w="1397" w:type="dxa"/>
            <w:tcBorders>
              <w:left w:val="single" w:sz="4" w:space="0" w:color="FFFFFF"/>
              <w:bottom w:val="single" w:sz="4" w:space="0" w:color="FFFFFF"/>
              <w:right w:val="nil"/>
            </w:tcBorders>
            <w:shd w:val="clear" w:color="auto" w:fill="CCE2ED"/>
          </w:tcPr>
          <w:p w14:paraId="355A7FEC" w14:textId="77777777" w:rsidR="00141B97" w:rsidRDefault="00911D63">
            <w:pPr>
              <w:pStyle w:val="TableParagraph"/>
              <w:spacing w:before="13" w:line="191" w:lineRule="exact"/>
              <w:ind w:left="217" w:right="218"/>
              <w:jc w:val="center"/>
              <w:rPr>
                <w:sz w:val="16"/>
              </w:rPr>
            </w:pPr>
            <w:r>
              <w:rPr>
                <w:spacing w:val="-2"/>
                <w:sz w:val="16"/>
              </w:rPr>
              <w:t>Improvements</w:t>
            </w:r>
          </w:p>
        </w:tc>
        <w:tc>
          <w:tcPr>
            <w:tcW w:w="3771" w:type="dxa"/>
            <w:tcBorders>
              <w:left w:val="nil"/>
              <w:bottom w:val="single" w:sz="4" w:space="0" w:color="FFFFFF"/>
              <w:right w:val="nil"/>
            </w:tcBorders>
            <w:shd w:val="clear" w:color="auto" w:fill="CCE2ED"/>
          </w:tcPr>
          <w:p w14:paraId="6BEA5207" w14:textId="77777777" w:rsidR="00141B97" w:rsidRDefault="00911D63">
            <w:pPr>
              <w:pStyle w:val="TableParagraph"/>
              <w:spacing w:before="13" w:line="191" w:lineRule="exact"/>
              <w:ind w:left="106"/>
              <w:rPr>
                <w:sz w:val="16"/>
              </w:rPr>
            </w:pPr>
            <w:r>
              <w:rPr>
                <w:sz w:val="16"/>
              </w:rPr>
              <w:t>RC</w:t>
            </w:r>
            <w:r>
              <w:rPr>
                <w:spacing w:val="-5"/>
                <w:sz w:val="16"/>
              </w:rPr>
              <w:t xml:space="preserve"> </w:t>
            </w:r>
            <w:r>
              <w:rPr>
                <w:sz w:val="16"/>
              </w:rPr>
              <w:t>‐Minor</w:t>
            </w:r>
            <w:r>
              <w:rPr>
                <w:spacing w:val="-3"/>
                <w:sz w:val="16"/>
              </w:rPr>
              <w:t xml:space="preserve"> </w:t>
            </w:r>
            <w:r>
              <w:rPr>
                <w:sz w:val="16"/>
              </w:rPr>
              <w:t>Capital</w:t>
            </w:r>
            <w:r>
              <w:rPr>
                <w:spacing w:val="-4"/>
                <w:sz w:val="16"/>
              </w:rPr>
              <w:t xml:space="preserve"> </w:t>
            </w:r>
            <w:r>
              <w:rPr>
                <w:sz w:val="16"/>
              </w:rPr>
              <w:t>‐</w:t>
            </w:r>
            <w:r>
              <w:rPr>
                <w:spacing w:val="-3"/>
                <w:sz w:val="16"/>
              </w:rPr>
              <w:t xml:space="preserve"> </w:t>
            </w:r>
            <w:r>
              <w:rPr>
                <w:spacing w:val="-5"/>
                <w:sz w:val="16"/>
              </w:rPr>
              <w:t>New</w:t>
            </w:r>
          </w:p>
        </w:tc>
        <w:tc>
          <w:tcPr>
            <w:tcW w:w="1106" w:type="dxa"/>
            <w:tcBorders>
              <w:left w:val="nil"/>
              <w:bottom w:val="single" w:sz="4" w:space="0" w:color="FFFFFF"/>
              <w:right w:val="nil"/>
            </w:tcBorders>
            <w:shd w:val="clear" w:color="auto" w:fill="CCE2ED"/>
          </w:tcPr>
          <w:p w14:paraId="1759D9D2" w14:textId="77777777" w:rsidR="00141B97" w:rsidRDefault="00911D63">
            <w:pPr>
              <w:pStyle w:val="TableParagraph"/>
              <w:spacing w:before="13" w:line="191" w:lineRule="exact"/>
              <w:ind w:left="366" w:right="175"/>
              <w:jc w:val="center"/>
              <w:rPr>
                <w:sz w:val="16"/>
              </w:rPr>
            </w:pPr>
            <w:r>
              <w:rPr>
                <w:spacing w:val="-4"/>
                <w:sz w:val="16"/>
              </w:rPr>
              <w:t>0.11</w:t>
            </w:r>
          </w:p>
        </w:tc>
        <w:tc>
          <w:tcPr>
            <w:tcW w:w="911" w:type="dxa"/>
            <w:tcBorders>
              <w:left w:val="nil"/>
              <w:bottom w:val="single" w:sz="4" w:space="0" w:color="FFFFFF"/>
              <w:right w:val="nil"/>
            </w:tcBorders>
            <w:shd w:val="clear" w:color="auto" w:fill="CCE2ED"/>
          </w:tcPr>
          <w:p w14:paraId="6D0609C1" w14:textId="77777777" w:rsidR="00141B97" w:rsidRDefault="00911D63">
            <w:pPr>
              <w:pStyle w:val="TableParagraph"/>
              <w:spacing w:before="13" w:line="191" w:lineRule="exact"/>
              <w:ind w:left="171" w:right="175"/>
              <w:jc w:val="center"/>
              <w:rPr>
                <w:sz w:val="16"/>
              </w:rPr>
            </w:pPr>
            <w:r>
              <w:rPr>
                <w:spacing w:val="-4"/>
                <w:sz w:val="16"/>
              </w:rPr>
              <w:t>0.11</w:t>
            </w:r>
          </w:p>
        </w:tc>
        <w:tc>
          <w:tcPr>
            <w:tcW w:w="911" w:type="dxa"/>
            <w:tcBorders>
              <w:left w:val="nil"/>
              <w:bottom w:val="single" w:sz="4" w:space="0" w:color="FFFFFF"/>
              <w:right w:val="nil"/>
            </w:tcBorders>
            <w:shd w:val="clear" w:color="auto" w:fill="CCE2ED"/>
          </w:tcPr>
          <w:p w14:paraId="1BB1215C" w14:textId="77777777" w:rsidR="00141B97" w:rsidRDefault="00911D63">
            <w:pPr>
              <w:pStyle w:val="TableParagraph"/>
              <w:spacing w:before="13" w:line="191" w:lineRule="exact"/>
              <w:ind w:left="171" w:right="175"/>
              <w:jc w:val="center"/>
              <w:rPr>
                <w:sz w:val="16"/>
              </w:rPr>
            </w:pPr>
            <w:r>
              <w:rPr>
                <w:spacing w:val="-4"/>
                <w:sz w:val="16"/>
              </w:rPr>
              <w:t>0.11</w:t>
            </w:r>
          </w:p>
        </w:tc>
        <w:tc>
          <w:tcPr>
            <w:tcW w:w="910" w:type="dxa"/>
            <w:tcBorders>
              <w:left w:val="nil"/>
              <w:bottom w:val="single" w:sz="4" w:space="0" w:color="FFFFFF"/>
              <w:right w:val="nil"/>
            </w:tcBorders>
            <w:shd w:val="clear" w:color="auto" w:fill="CCE2ED"/>
          </w:tcPr>
          <w:p w14:paraId="75597DCA" w14:textId="77777777" w:rsidR="00141B97" w:rsidRDefault="00911D63">
            <w:pPr>
              <w:pStyle w:val="TableParagraph"/>
              <w:spacing w:before="13" w:line="191" w:lineRule="exact"/>
              <w:ind w:left="169" w:right="175"/>
              <w:jc w:val="center"/>
              <w:rPr>
                <w:sz w:val="16"/>
              </w:rPr>
            </w:pPr>
            <w:r>
              <w:rPr>
                <w:spacing w:val="-4"/>
                <w:sz w:val="16"/>
              </w:rPr>
              <w:t>0.11</w:t>
            </w:r>
          </w:p>
        </w:tc>
        <w:tc>
          <w:tcPr>
            <w:tcW w:w="939" w:type="dxa"/>
            <w:tcBorders>
              <w:left w:val="nil"/>
              <w:bottom w:val="single" w:sz="4" w:space="0" w:color="FFFFFF"/>
              <w:right w:val="nil"/>
            </w:tcBorders>
            <w:shd w:val="clear" w:color="auto" w:fill="CCE2ED"/>
          </w:tcPr>
          <w:p w14:paraId="053BB781" w14:textId="77777777" w:rsidR="00141B97" w:rsidRDefault="00911D63">
            <w:pPr>
              <w:pStyle w:val="TableParagraph"/>
              <w:spacing w:before="13" w:line="191" w:lineRule="exact"/>
              <w:ind w:left="169" w:right="205"/>
              <w:jc w:val="center"/>
              <w:rPr>
                <w:sz w:val="16"/>
              </w:rPr>
            </w:pPr>
            <w:r>
              <w:rPr>
                <w:spacing w:val="-4"/>
                <w:sz w:val="16"/>
              </w:rPr>
              <w:t>0.11</w:t>
            </w:r>
          </w:p>
        </w:tc>
        <w:tc>
          <w:tcPr>
            <w:tcW w:w="869" w:type="dxa"/>
            <w:tcBorders>
              <w:left w:val="nil"/>
              <w:bottom w:val="single" w:sz="4" w:space="0" w:color="FFFFFF"/>
              <w:right w:val="nil"/>
            </w:tcBorders>
            <w:shd w:val="clear" w:color="auto" w:fill="CCE2ED"/>
          </w:tcPr>
          <w:p w14:paraId="5EFB92EC" w14:textId="77777777" w:rsidR="00141B97" w:rsidRDefault="00911D63">
            <w:pPr>
              <w:pStyle w:val="TableParagraph"/>
              <w:spacing w:before="13" w:line="191" w:lineRule="exact"/>
              <w:ind w:right="307"/>
              <w:jc w:val="right"/>
              <w:rPr>
                <w:sz w:val="16"/>
              </w:rPr>
            </w:pPr>
            <w:r>
              <w:rPr>
                <w:spacing w:val="-4"/>
                <w:sz w:val="16"/>
              </w:rPr>
              <w:t>0.55</w:t>
            </w:r>
          </w:p>
        </w:tc>
      </w:tr>
      <w:tr w:rsidR="00141B97" w14:paraId="1AB37E81"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6364F070"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3268EE8D"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7E946658" w14:textId="77777777" w:rsidR="00141B97" w:rsidRDefault="00141B97">
            <w:pPr>
              <w:rPr>
                <w:sz w:val="2"/>
                <w:szCs w:val="2"/>
              </w:rPr>
            </w:pPr>
          </w:p>
        </w:tc>
        <w:tc>
          <w:tcPr>
            <w:tcW w:w="1397" w:type="dxa"/>
            <w:tcBorders>
              <w:top w:val="single" w:sz="4" w:space="0" w:color="FFFFFF"/>
              <w:left w:val="single" w:sz="4" w:space="0" w:color="FFFFFF"/>
              <w:right w:val="nil"/>
            </w:tcBorders>
            <w:shd w:val="clear" w:color="auto" w:fill="CCE2ED"/>
          </w:tcPr>
          <w:p w14:paraId="1E2736FB" w14:textId="77777777" w:rsidR="00141B97" w:rsidRDefault="00911D63">
            <w:pPr>
              <w:pStyle w:val="TableParagraph"/>
              <w:spacing w:before="15" w:line="189" w:lineRule="exact"/>
              <w:ind w:left="180" w:right="218"/>
              <w:jc w:val="center"/>
              <w:rPr>
                <w:sz w:val="16"/>
              </w:rPr>
            </w:pPr>
            <w:r>
              <w:rPr>
                <w:spacing w:val="-2"/>
                <w:sz w:val="16"/>
              </w:rPr>
              <w:t>Renewals</w:t>
            </w:r>
          </w:p>
        </w:tc>
        <w:tc>
          <w:tcPr>
            <w:tcW w:w="3771" w:type="dxa"/>
            <w:tcBorders>
              <w:top w:val="single" w:sz="4" w:space="0" w:color="FFFFFF"/>
              <w:left w:val="nil"/>
              <w:right w:val="nil"/>
            </w:tcBorders>
            <w:shd w:val="clear" w:color="auto" w:fill="CCE2ED"/>
          </w:tcPr>
          <w:p w14:paraId="6174FC25" w14:textId="77777777" w:rsidR="00141B97" w:rsidRDefault="00911D63">
            <w:pPr>
              <w:pStyle w:val="TableParagraph"/>
              <w:spacing w:before="15" w:line="189" w:lineRule="exact"/>
              <w:ind w:left="106"/>
              <w:rPr>
                <w:sz w:val="16"/>
              </w:rPr>
            </w:pPr>
            <w:r>
              <w:rPr>
                <w:sz w:val="16"/>
              </w:rPr>
              <w:t>ROB</w:t>
            </w:r>
            <w:r>
              <w:rPr>
                <w:spacing w:val="-5"/>
                <w:sz w:val="16"/>
              </w:rPr>
              <w:t xml:space="preserve"> </w:t>
            </w:r>
            <w:r>
              <w:rPr>
                <w:sz w:val="16"/>
              </w:rPr>
              <w:t>‐</w:t>
            </w:r>
            <w:r>
              <w:rPr>
                <w:spacing w:val="-5"/>
                <w:sz w:val="16"/>
              </w:rPr>
              <w:t xml:space="preserve"> </w:t>
            </w:r>
            <w:r>
              <w:rPr>
                <w:sz w:val="16"/>
              </w:rPr>
              <w:t>Minor</w:t>
            </w:r>
            <w:r>
              <w:rPr>
                <w:spacing w:val="-2"/>
                <w:sz w:val="16"/>
              </w:rPr>
              <w:t xml:space="preserve"> </w:t>
            </w:r>
            <w:r>
              <w:rPr>
                <w:sz w:val="16"/>
              </w:rPr>
              <w:t>Capital</w:t>
            </w:r>
            <w:r>
              <w:rPr>
                <w:spacing w:val="-5"/>
                <w:sz w:val="16"/>
              </w:rPr>
              <w:t xml:space="preserve"> </w:t>
            </w:r>
            <w:r>
              <w:rPr>
                <w:sz w:val="16"/>
              </w:rPr>
              <w:t>‐</w:t>
            </w:r>
            <w:r>
              <w:rPr>
                <w:spacing w:val="-5"/>
                <w:sz w:val="16"/>
              </w:rPr>
              <w:t xml:space="preserve"> </w:t>
            </w:r>
            <w:r>
              <w:rPr>
                <w:spacing w:val="-2"/>
                <w:sz w:val="16"/>
              </w:rPr>
              <w:t>Replacement</w:t>
            </w:r>
          </w:p>
        </w:tc>
        <w:tc>
          <w:tcPr>
            <w:tcW w:w="1106" w:type="dxa"/>
            <w:tcBorders>
              <w:top w:val="single" w:sz="4" w:space="0" w:color="FFFFFF"/>
              <w:left w:val="nil"/>
              <w:right w:val="nil"/>
            </w:tcBorders>
            <w:shd w:val="clear" w:color="auto" w:fill="CCE2ED"/>
          </w:tcPr>
          <w:p w14:paraId="5FFA03C9" w14:textId="77777777" w:rsidR="00141B97" w:rsidRDefault="00911D63">
            <w:pPr>
              <w:pStyle w:val="TableParagraph"/>
              <w:spacing w:before="15" w:line="189" w:lineRule="exact"/>
              <w:ind w:left="366" w:right="175"/>
              <w:jc w:val="center"/>
              <w:rPr>
                <w:sz w:val="16"/>
              </w:rPr>
            </w:pPr>
            <w:r>
              <w:rPr>
                <w:spacing w:val="-4"/>
                <w:sz w:val="16"/>
              </w:rPr>
              <w:t>0.06</w:t>
            </w:r>
          </w:p>
        </w:tc>
        <w:tc>
          <w:tcPr>
            <w:tcW w:w="911" w:type="dxa"/>
            <w:tcBorders>
              <w:top w:val="single" w:sz="4" w:space="0" w:color="FFFFFF"/>
              <w:left w:val="nil"/>
              <w:right w:val="nil"/>
            </w:tcBorders>
            <w:shd w:val="clear" w:color="auto" w:fill="CCE2ED"/>
          </w:tcPr>
          <w:p w14:paraId="157028E3" w14:textId="77777777" w:rsidR="00141B97" w:rsidRDefault="00911D63">
            <w:pPr>
              <w:pStyle w:val="TableParagraph"/>
              <w:spacing w:before="15" w:line="189" w:lineRule="exact"/>
              <w:ind w:left="171" w:right="175"/>
              <w:jc w:val="center"/>
              <w:rPr>
                <w:sz w:val="16"/>
              </w:rPr>
            </w:pPr>
            <w:r>
              <w:rPr>
                <w:spacing w:val="-4"/>
                <w:sz w:val="16"/>
              </w:rPr>
              <w:t>0.06</w:t>
            </w:r>
          </w:p>
        </w:tc>
        <w:tc>
          <w:tcPr>
            <w:tcW w:w="911" w:type="dxa"/>
            <w:tcBorders>
              <w:top w:val="single" w:sz="4" w:space="0" w:color="FFFFFF"/>
              <w:left w:val="nil"/>
              <w:right w:val="nil"/>
            </w:tcBorders>
            <w:shd w:val="clear" w:color="auto" w:fill="CCE2ED"/>
          </w:tcPr>
          <w:p w14:paraId="0ADD5167" w14:textId="77777777" w:rsidR="00141B97" w:rsidRDefault="00911D63">
            <w:pPr>
              <w:pStyle w:val="TableParagraph"/>
              <w:spacing w:before="15" w:line="189" w:lineRule="exact"/>
              <w:ind w:left="171" w:right="175"/>
              <w:jc w:val="center"/>
              <w:rPr>
                <w:sz w:val="16"/>
              </w:rPr>
            </w:pPr>
            <w:r>
              <w:rPr>
                <w:spacing w:val="-4"/>
                <w:sz w:val="16"/>
              </w:rPr>
              <w:t>0.06</w:t>
            </w:r>
          </w:p>
        </w:tc>
        <w:tc>
          <w:tcPr>
            <w:tcW w:w="910" w:type="dxa"/>
            <w:tcBorders>
              <w:top w:val="single" w:sz="4" w:space="0" w:color="FFFFFF"/>
              <w:left w:val="nil"/>
              <w:right w:val="nil"/>
            </w:tcBorders>
            <w:shd w:val="clear" w:color="auto" w:fill="CCE2ED"/>
          </w:tcPr>
          <w:p w14:paraId="67889416" w14:textId="77777777" w:rsidR="00141B97" w:rsidRDefault="00911D63">
            <w:pPr>
              <w:pStyle w:val="TableParagraph"/>
              <w:spacing w:before="15" w:line="189" w:lineRule="exact"/>
              <w:ind w:left="169" w:right="175"/>
              <w:jc w:val="center"/>
              <w:rPr>
                <w:sz w:val="16"/>
              </w:rPr>
            </w:pPr>
            <w:r>
              <w:rPr>
                <w:spacing w:val="-4"/>
                <w:sz w:val="16"/>
              </w:rPr>
              <w:t>0.06</w:t>
            </w:r>
          </w:p>
        </w:tc>
        <w:tc>
          <w:tcPr>
            <w:tcW w:w="939" w:type="dxa"/>
            <w:tcBorders>
              <w:top w:val="single" w:sz="4" w:space="0" w:color="FFFFFF"/>
              <w:left w:val="nil"/>
              <w:right w:val="nil"/>
            </w:tcBorders>
            <w:shd w:val="clear" w:color="auto" w:fill="CCE2ED"/>
          </w:tcPr>
          <w:p w14:paraId="7DA60E9E" w14:textId="77777777" w:rsidR="00141B97" w:rsidRDefault="00911D63">
            <w:pPr>
              <w:pStyle w:val="TableParagraph"/>
              <w:spacing w:before="15" w:line="189" w:lineRule="exact"/>
              <w:ind w:left="169" w:right="205"/>
              <w:jc w:val="center"/>
              <w:rPr>
                <w:sz w:val="16"/>
              </w:rPr>
            </w:pPr>
            <w:r>
              <w:rPr>
                <w:spacing w:val="-4"/>
                <w:sz w:val="16"/>
              </w:rPr>
              <w:t>0.06</w:t>
            </w:r>
          </w:p>
        </w:tc>
        <w:tc>
          <w:tcPr>
            <w:tcW w:w="869" w:type="dxa"/>
            <w:tcBorders>
              <w:top w:val="single" w:sz="4" w:space="0" w:color="FFFFFF"/>
              <w:left w:val="nil"/>
              <w:right w:val="nil"/>
            </w:tcBorders>
            <w:shd w:val="clear" w:color="auto" w:fill="CCE2ED"/>
          </w:tcPr>
          <w:p w14:paraId="668BC28D" w14:textId="77777777" w:rsidR="00141B97" w:rsidRDefault="00911D63">
            <w:pPr>
              <w:pStyle w:val="TableParagraph"/>
              <w:spacing w:before="15" w:line="189" w:lineRule="exact"/>
              <w:ind w:right="307"/>
              <w:jc w:val="right"/>
              <w:rPr>
                <w:sz w:val="16"/>
              </w:rPr>
            </w:pPr>
            <w:r>
              <w:rPr>
                <w:spacing w:val="-4"/>
                <w:sz w:val="16"/>
              </w:rPr>
              <w:t>0.32</w:t>
            </w:r>
          </w:p>
        </w:tc>
      </w:tr>
      <w:tr w:rsidR="00141B97" w14:paraId="3D3DA7B4" w14:textId="77777777">
        <w:trPr>
          <w:trHeight w:val="224"/>
        </w:trPr>
        <w:tc>
          <w:tcPr>
            <w:tcW w:w="2764" w:type="dxa"/>
            <w:vMerge/>
            <w:tcBorders>
              <w:top w:val="nil"/>
              <w:left w:val="nil"/>
              <w:bottom w:val="single" w:sz="4" w:space="0" w:color="FFFFFF"/>
              <w:right w:val="single" w:sz="4" w:space="0" w:color="FFFFFF"/>
            </w:tcBorders>
            <w:shd w:val="clear" w:color="auto" w:fill="CCE2ED"/>
          </w:tcPr>
          <w:p w14:paraId="7308E830" w14:textId="77777777" w:rsidR="00141B97" w:rsidRDefault="00141B97">
            <w:pPr>
              <w:rPr>
                <w:sz w:val="2"/>
                <w:szCs w:val="2"/>
              </w:rPr>
            </w:pPr>
          </w:p>
        </w:tc>
        <w:tc>
          <w:tcPr>
            <w:tcW w:w="1115" w:type="dxa"/>
            <w:vMerge/>
            <w:tcBorders>
              <w:top w:val="nil"/>
              <w:left w:val="single" w:sz="4" w:space="0" w:color="FFFFFF"/>
              <w:bottom w:val="single" w:sz="4" w:space="0" w:color="FFFFFF"/>
              <w:right w:val="single" w:sz="4" w:space="0" w:color="FFFFFF"/>
            </w:tcBorders>
            <w:shd w:val="clear" w:color="auto" w:fill="CCE2ED"/>
          </w:tcPr>
          <w:p w14:paraId="37C064A9" w14:textId="77777777" w:rsidR="00141B97" w:rsidRDefault="00141B97">
            <w:pPr>
              <w:rPr>
                <w:sz w:val="2"/>
                <w:szCs w:val="2"/>
              </w:rPr>
            </w:pPr>
          </w:p>
        </w:tc>
        <w:tc>
          <w:tcPr>
            <w:tcW w:w="995" w:type="dxa"/>
            <w:vMerge/>
            <w:tcBorders>
              <w:top w:val="nil"/>
              <w:left w:val="single" w:sz="4" w:space="0" w:color="FFFFFF"/>
              <w:bottom w:val="single" w:sz="4" w:space="0" w:color="FFFFFF"/>
              <w:right w:val="single" w:sz="4" w:space="0" w:color="FFFFFF"/>
            </w:tcBorders>
            <w:shd w:val="clear" w:color="auto" w:fill="CCE2ED"/>
          </w:tcPr>
          <w:p w14:paraId="6AE27E89" w14:textId="77777777" w:rsidR="00141B97" w:rsidRDefault="00141B97">
            <w:pPr>
              <w:rPr>
                <w:sz w:val="2"/>
                <w:szCs w:val="2"/>
              </w:rPr>
            </w:pPr>
          </w:p>
        </w:tc>
        <w:tc>
          <w:tcPr>
            <w:tcW w:w="1397" w:type="dxa"/>
            <w:tcBorders>
              <w:left w:val="single" w:sz="4" w:space="0" w:color="FFFFFF"/>
              <w:bottom w:val="single" w:sz="4" w:space="0" w:color="FFFFFF"/>
              <w:right w:val="nil"/>
            </w:tcBorders>
            <w:shd w:val="clear" w:color="auto" w:fill="CCE2ED"/>
          </w:tcPr>
          <w:p w14:paraId="0E1D3121" w14:textId="77777777" w:rsidR="00141B97" w:rsidRDefault="00911D63">
            <w:pPr>
              <w:pStyle w:val="TableParagraph"/>
              <w:spacing w:before="13" w:line="191" w:lineRule="exact"/>
              <w:ind w:left="217" w:right="218"/>
              <w:jc w:val="center"/>
              <w:rPr>
                <w:sz w:val="16"/>
              </w:rPr>
            </w:pPr>
            <w:r>
              <w:rPr>
                <w:spacing w:val="-2"/>
                <w:sz w:val="16"/>
              </w:rPr>
              <w:t>Improvements</w:t>
            </w:r>
          </w:p>
        </w:tc>
        <w:tc>
          <w:tcPr>
            <w:tcW w:w="3771" w:type="dxa"/>
            <w:tcBorders>
              <w:left w:val="nil"/>
              <w:bottom w:val="single" w:sz="4" w:space="0" w:color="FFFFFF"/>
              <w:right w:val="nil"/>
            </w:tcBorders>
            <w:shd w:val="clear" w:color="auto" w:fill="CCE2ED"/>
          </w:tcPr>
          <w:p w14:paraId="10F26D13" w14:textId="77777777" w:rsidR="00141B97" w:rsidRDefault="00911D63">
            <w:pPr>
              <w:pStyle w:val="TableParagraph"/>
              <w:spacing w:before="13" w:line="191" w:lineRule="exact"/>
              <w:ind w:left="106"/>
              <w:rPr>
                <w:sz w:val="16"/>
              </w:rPr>
            </w:pPr>
            <w:r>
              <w:rPr>
                <w:sz w:val="16"/>
              </w:rPr>
              <w:t>ROB</w:t>
            </w:r>
            <w:r>
              <w:rPr>
                <w:spacing w:val="-5"/>
                <w:sz w:val="16"/>
              </w:rPr>
              <w:t xml:space="preserve"> </w:t>
            </w:r>
            <w:r>
              <w:rPr>
                <w:sz w:val="16"/>
              </w:rPr>
              <w:t>‐</w:t>
            </w:r>
            <w:r>
              <w:rPr>
                <w:spacing w:val="-5"/>
                <w:sz w:val="16"/>
              </w:rPr>
              <w:t xml:space="preserve"> </w:t>
            </w:r>
            <w:r>
              <w:rPr>
                <w:sz w:val="16"/>
              </w:rPr>
              <w:t>Minor</w:t>
            </w:r>
            <w:r>
              <w:rPr>
                <w:spacing w:val="-2"/>
                <w:sz w:val="16"/>
              </w:rPr>
              <w:t xml:space="preserve"> </w:t>
            </w:r>
            <w:r>
              <w:rPr>
                <w:sz w:val="16"/>
              </w:rPr>
              <w:t>Capital</w:t>
            </w:r>
            <w:r>
              <w:rPr>
                <w:spacing w:val="-5"/>
                <w:sz w:val="16"/>
              </w:rPr>
              <w:t xml:space="preserve"> </w:t>
            </w:r>
            <w:r>
              <w:rPr>
                <w:sz w:val="16"/>
              </w:rPr>
              <w:t>‐</w:t>
            </w:r>
            <w:r>
              <w:rPr>
                <w:spacing w:val="-5"/>
                <w:sz w:val="16"/>
              </w:rPr>
              <w:t xml:space="preserve"> New</w:t>
            </w:r>
          </w:p>
        </w:tc>
        <w:tc>
          <w:tcPr>
            <w:tcW w:w="1106" w:type="dxa"/>
            <w:tcBorders>
              <w:left w:val="nil"/>
              <w:bottom w:val="single" w:sz="4" w:space="0" w:color="FFFFFF"/>
              <w:right w:val="nil"/>
            </w:tcBorders>
            <w:shd w:val="clear" w:color="auto" w:fill="CCE2ED"/>
          </w:tcPr>
          <w:p w14:paraId="3F4F1A37" w14:textId="77777777" w:rsidR="00141B97" w:rsidRDefault="00911D63">
            <w:pPr>
              <w:pStyle w:val="TableParagraph"/>
              <w:spacing w:before="13" w:line="191" w:lineRule="exact"/>
              <w:ind w:left="366" w:right="175"/>
              <w:jc w:val="center"/>
              <w:rPr>
                <w:sz w:val="16"/>
              </w:rPr>
            </w:pPr>
            <w:r>
              <w:rPr>
                <w:spacing w:val="-4"/>
                <w:sz w:val="16"/>
              </w:rPr>
              <w:t>0.04</w:t>
            </w:r>
          </w:p>
        </w:tc>
        <w:tc>
          <w:tcPr>
            <w:tcW w:w="911" w:type="dxa"/>
            <w:tcBorders>
              <w:left w:val="nil"/>
              <w:bottom w:val="single" w:sz="4" w:space="0" w:color="FFFFFF"/>
              <w:right w:val="nil"/>
            </w:tcBorders>
            <w:shd w:val="clear" w:color="auto" w:fill="CCE2ED"/>
          </w:tcPr>
          <w:p w14:paraId="58AD7F2E" w14:textId="77777777" w:rsidR="00141B97" w:rsidRDefault="00911D63">
            <w:pPr>
              <w:pStyle w:val="TableParagraph"/>
              <w:spacing w:before="13" w:line="191" w:lineRule="exact"/>
              <w:ind w:left="171" w:right="175"/>
              <w:jc w:val="center"/>
              <w:rPr>
                <w:sz w:val="16"/>
              </w:rPr>
            </w:pPr>
            <w:r>
              <w:rPr>
                <w:spacing w:val="-4"/>
                <w:sz w:val="16"/>
              </w:rPr>
              <w:t>0.04</w:t>
            </w:r>
          </w:p>
        </w:tc>
        <w:tc>
          <w:tcPr>
            <w:tcW w:w="911" w:type="dxa"/>
            <w:tcBorders>
              <w:left w:val="nil"/>
              <w:bottom w:val="single" w:sz="4" w:space="0" w:color="FFFFFF"/>
              <w:right w:val="nil"/>
            </w:tcBorders>
            <w:shd w:val="clear" w:color="auto" w:fill="CCE2ED"/>
          </w:tcPr>
          <w:p w14:paraId="12F4E154" w14:textId="77777777" w:rsidR="00141B97" w:rsidRDefault="00911D63">
            <w:pPr>
              <w:pStyle w:val="TableParagraph"/>
              <w:spacing w:before="13" w:line="191" w:lineRule="exact"/>
              <w:ind w:left="171" w:right="175"/>
              <w:jc w:val="center"/>
              <w:rPr>
                <w:sz w:val="16"/>
              </w:rPr>
            </w:pPr>
            <w:r>
              <w:rPr>
                <w:spacing w:val="-4"/>
                <w:sz w:val="16"/>
              </w:rPr>
              <w:t>0.04</w:t>
            </w:r>
          </w:p>
        </w:tc>
        <w:tc>
          <w:tcPr>
            <w:tcW w:w="910" w:type="dxa"/>
            <w:tcBorders>
              <w:left w:val="nil"/>
              <w:bottom w:val="single" w:sz="4" w:space="0" w:color="FFFFFF"/>
              <w:right w:val="nil"/>
            </w:tcBorders>
            <w:shd w:val="clear" w:color="auto" w:fill="CCE2ED"/>
          </w:tcPr>
          <w:p w14:paraId="57751048" w14:textId="77777777" w:rsidR="00141B97" w:rsidRDefault="00911D63">
            <w:pPr>
              <w:pStyle w:val="TableParagraph"/>
              <w:spacing w:before="13" w:line="191" w:lineRule="exact"/>
              <w:ind w:left="169" w:right="175"/>
              <w:jc w:val="center"/>
              <w:rPr>
                <w:sz w:val="16"/>
              </w:rPr>
            </w:pPr>
            <w:r>
              <w:rPr>
                <w:spacing w:val="-4"/>
                <w:sz w:val="16"/>
              </w:rPr>
              <w:t>0.04</w:t>
            </w:r>
          </w:p>
        </w:tc>
        <w:tc>
          <w:tcPr>
            <w:tcW w:w="939" w:type="dxa"/>
            <w:tcBorders>
              <w:left w:val="nil"/>
              <w:bottom w:val="single" w:sz="4" w:space="0" w:color="FFFFFF"/>
              <w:right w:val="nil"/>
            </w:tcBorders>
            <w:shd w:val="clear" w:color="auto" w:fill="CCE2ED"/>
          </w:tcPr>
          <w:p w14:paraId="40FE7FE9" w14:textId="77777777" w:rsidR="00141B97" w:rsidRDefault="00911D63">
            <w:pPr>
              <w:pStyle w:val="TableParagraph"/>
              <w:spacing w:before="13" w:line="191" w:lineRule="exact"/>
              <w:ind w:left="169" w:right="205"/>
              <w:jc w:val="center"/>
              <w:rPr>
                <w:sz w:val="16"/>
              </w:rPr>
            </w:pPr>
            <w:r>
              <w:rPr>
                <w:spacing w:val="-4"/>
                <w:sz w:val="16"/>
              </w:rPr>
              <w:t>0.04</w:t>
            </w:r>
          </w:p>
        </w:tc>
        <w:tc>
          <w:tcPr>
            <w:tcW w:w="869" w:type="dxa"/>
            <w:tcBorders>
              <w:left w:val="nil"/>
              <w:bottom w:val="single" w:sz="4" w:space="0" w:color="FFFFFF"/>
              <w:right w:val="nil"/>
            </w:tcBorders>
            <w:shd w:val="clear" w:color="auto" w:fill="CCE2ED"/>
          </w:tcPr>
          <w:p w14:paraId="7E7DDABE" w14:textId="77777777" w:rsidR="00141B97" w:rsidRDefault="00911D63">
            <w:pPr>
              <w:pStyle w:val="TableParagraph"/>
              <w:spacing w:before="13" w:line="191" w:lineRule="exact"/>
              <w:ind w:right="307"/>
              <w:jc w:val="right"/>
              <w:rPr>
                <w:sz w:val="16"/>
              </w:rPr>
            </w:pPr>
            <w:r>
              <w:rPr>
                <w:spacing w:val="-4"/>
                <w:sz w:val="16"/>
              </w:rPr>
              <w:t>0.21</w:t>
            </w:r>
          </w:p>
        </w:tc>
      </w:tr>
      <w:tr w:rsidR="00141B97" w14:paraId="7892337C" w14:textId="77777777">
        <w:trPr>
          <w:trHeight w:val="224"/>
        </w:trPr>
        <w:tc>
          <w:tcPr>
            <w:tcW w:w="2764" w:type="dxa"/>
            <w:tcBorders>
              <w:top w:val="single" w:sz="4" w:space="0" w:color="FFFFFF"/>
              <w:left w:val="nil"/>
              <w:right w:val="single" w:sz="4" w:space="0" w:color="FFFFFF"/>
            </w:tcBorders>
            <w:shd w:val="clear" w:color="auto" w:fill="CCE2ED"/>
          </w:tcPr>
          <w:p w14:paraId="015787D3" w14:textId="77777777" w:rsidR="00141B97" w:rsidRDefault="00911D63">
            <w:pPr>
              <w:pStyle w:val="TableParagraph"/>
              <w:spacing w:before="15" w:line="189" w:lineRule="exact"/>
              <w:ind w:left="96"/>
              <w:rPr>
                <w:sz w:val="16"/>
              </w:rPr>
            </w:pPr>
            <w:r>
              <w:rPr>
                <w:sz w:val="16"/>
              </w:rPr>
              <w:t>ICT</w:t>
            </w:r>
            <w:r>
              <w:rPr>
                <w:spacing w:val="-5"/>
                <w:sz w:val="16"/>
              </w:rPr>
              <w:t xml:space="preserve"> </w:t>
            </w:r>
            <w:r>
              <w:rPr>
                <w:spacing w:val="-2"/>
                <w:sz w:val="16"/>
              </w:rPr>
              <w:t>equipment</w:t>
            </w:r>
          </w:p>
        </w:tc>
        <w:tc>
          <w:tcPr>
            <w:tcW w:w="1115" w:type="dxa"/>
            <w:tcBorders>
              <w:top w:val="single" w:sz="4" w:space="0" w:color="FFFFFF"/>
              <w:left w:val="single" w:sz="4" w:space="0" w:color="FFFFFF"/>
              <w:right w:val="single" w:sz="4" w:space="0" w:color="FFFFFF"/>
            </w:tcBorders>
            <w:shd w:val="clear" w:color="auto" w:fill="CCE2ED"/>
          </w:tcPr>
          <w:p w14:paraId="16025E8E" w14:textId="77777777" w:rsidR="00141B97" w:rsidRDefault="00911D63">
            <w:pPr>
              <w:pStyle w:val="TableParagraph"/>
              <w:spacing w:before="15" w:line="189" w:lineRule="exact"/>
              <w:ind w:left="399" w:right="399"/>
              <w:jc w:val="center"/>
              <w:rPr>
                <w:sz w:val="16"/>
              </w:rPr>
            </w:pPr>
            <w:r>
              <w:rPr>
                <w:spacing w:val="-4"/>
                <w:sz w:val="16"/>
              </w:rPr>
              <w:t>0.51</w:t>
            </w:r>
          </w:p>
        </w:tc>
        <w:tc>
          <w:tcPr>
            <w:tcW w:w="995" w:type="dxa"/>
            <w:tcBorders>
              <w:top w:val="single" w:sz="4" w:space="0" w:color="FFFFFF"/>
              <w:left w:val="single" w:sz="4" w:space="0" w:color="FFFFFF"/>
              <w:right w:val="nil"/>
            </w:tcBorders>
            <w:shd w:val="clear" w:color="auto" w:fill="CCE2ED"/>
          </w:tcPr>
          <w:p w14:paraId="73F22A34" w14:textId="77777777" w:rsidR="00141B97" w:rsidRDefault="00911D63">
            <w:pPr>
              <w:pStyle w:val="TableParagraph"/>
              <w:spacing w:before="15" w:line="189" w:lineRule="exact"/>
              <w:ind w:left="139" w:right="176"/>
              <w:jc w:val="center"/>
              <w:rPr>
                <w:sz w:val="16"/>
              </w:rPr>
            </w:pPr>
            <w:r>
              <w:rPr>
                <w:spacing w:val="-2"/>
                <w:sz w:val="16"/>
              </w:rPr>
              <w:t>Corporate</w:t>
            </w:r>
          </w:p>
        </w:tc>
        <w:tc>
          <w:tcPr>
            <w:tcW w:w="1397" w:type="dxa"/>
            <w:tcBorders>
              <w:top w:val="single" w:sz="4" w:space="0" w:color="FFFFFF"/>
              <w:left w:val="nil"/>
              <w:right w:val="nil"/>
            </w:tcBorders>
            <w:shd w:val="clear" w:color="auto" w:fill="CCE2ED"/>
          </w:tcPr>
          <w:p w14:paraId="2C49F036" w14:textId="77777777" w:rsidR="00141B97" w:rsidRDefault="00911D63">
            <w:pPr>
              <w:pStyle w:val="TableParagraph"/>
              <w:spacing w:before="15" w:line="189" w:lineRule="exact"/>
              <w:ind w:left="133" w:right="171"/>
              <w:jc w:val="center"/>
              <w:rPr>
                <w:sz w:val="16"/>
              </w:rPr>
            </w:pPr>
            <w:r>
              <w:rPr>
                <w:spacing w:val="-2"/>
                <w:sz w:val="16"/>
              </w:rPr>
              <w:t>Renewals</w:t>
            </w:r>
          </w:p>
        </w:tc>
        <w:tc>
          <w:tcPr>
            <w:tcW w:w="3771" w:type="dxa"/>
            <w:tcBorders>
              <w:top w:val="single" w:sz="4" w:space="0" w:color="FFFFFF"/>
              <w:left w:val="nil"/>
              <w:right w:val="nil"/>
            </w:tcBorders>
            <w:shd w:val="clear" w:color="auto" w:fill="CCE2ED"/>
          </w:tcPr>
          <w:p w14:paraId="2B910549" w14:textId="77777777" w:rsidR="00141B97" w:rsidRDefault="00911D63">
            <w:pPr>
              <w:pStyle w:val="TableParagraph"/>
              <w:spacing w:before="15" w:line="189" w:lineRule="exact"/>
              <w:ind w:left="106"/>
              <w:rPr>
                <w:sz w:val="16"/>
              </w:rPr>
            </w:pPr>
            <w:r>
              <w:rPr>
                <w:sz w:val="16"/>
              </w:rPr>
              <w:t>Computer</w:t>
            </w:r>
            <w:r>
              <w:rPr>
                <w:spacing w:val="-8"/>
                <w:sz w:val="16"/>
              </w:rPr>
              <w:t xml:space="preserve"> </w:t>
            </w:r>
            <w:r>
              <w:rPr>
                <w:spacing w:val="-2"/>
                <w:sz w:val="16"/>
              </w:rPr>
              <w:t>Equipment</w:t>
            </w:r>
          </w:p>
        </w:tc>
        <w:tc>
          <w:tcPr>
            <w:tcW w:w="1106" w:type="dxa"/>
            <w:tcBorders>
              <w:top w:val="single" w:sz="4" w:space="0" w:color="FFFFFF"/>
              <w:left w:val="nil"/>
              <w:right w:val="nil"/>
            </w:tcBorders>
            <w:shd w:val="clear" w:color="auto" w:fill="CCE2ED"/>
          </w:tcPr>
          <w:p w14:paraId="758487CD" w14:textId="77777777" w:rsidR="00141B97" w:rsidRDefault="00911D63">
            <w:pPr>
              <w:pStyle w:val="TableParagraph"/>
              <w:spacing w:before="15" w:line="189" w:lineRule="exact"/>
              <w:ind w:left="366" w:right="175"/>
              <w:jc w:val="center"/>
              <w:rPr>
                <w:sz w:val="16"/>
              </w:rPr>
            </w:pPr>
            <w:r>
              <w:rPr>
                <w:spacing w:val="-4"/>
                <w:sz w:val="16"/>
              </w:rPr>
              <w:t>0.10</w:t>
            </w:r>
          </w:p>
        </w:tc>
        <w:tc>
          <w:tcPr>
            <w:tcW w:w="911" w:type="dxa"/>
            <w:tcBorders>
              <w:top w:val="single" w:sz="4" w:space="0" w:color="FFFFFF"/>
              <w:left w:val="nil"/>
              <w:right w:val="nil"/>
            </w:tcBorders>
            <w:shd w:val="clear" w:color="auto" w:fill="CCE2ED"/>
          </w:tcPr>
          <w:p w14:paraId="785AABD8" w14:textId="77777777" w:rsidR="00141B97" w:rsidRDefault="00911D63">
            <w:pPr>
              <w:pStyle w:val="TableParagraph"/>
              <w:spacing w:before="15" w:line="189" w:lineRule="exact"/>
              <w:ind w:left="171" w:right="175"/>
              <w:jc w:val="center"/>
              <w:rPr>
                <w:sz w:val="16"/>
              </w:rPr>
            </w:pPr>
            <w:r>
              <w:rPr>
                <w:spacing w:val="-4"/>
                <w:sz w:val="16"/>
              </w:rPr>
              <w:t>0.11</w:t>
            </w:r>
          </w:p>
        </w:tc>
        <w:tc>
          <w:tcPr>
            <w:tcW w:w="911" w:type="dxa"/>
            <w:tcBorders>
              <w:top w:val="single" w:sz="4" w:space="0" w:color="FFFFFF"/>
              <w:left w:val="nil"/>
              <w:right w:val="nil"/>
            </w:tcBorders>
            <w:shd w:val="clear" w:color="auto" w:fill="CCE2ED"/>
          </w:tcPr>
          <w:p w14:paraId="497F7EB8" w14:textId="77777777" w:rsidR="00141B97" w:rsidRDefault="00911D63">
            <w:pPr>
              <w:pStyle w:val="TableParagraph"/>
              <w:spacing w:before="15" w:line="189" w:lineRule="exact"/>
              <w:ind w:left="171" w:right="175"/>
              <w:jc w:val="center"/>
              <w:rPr>
                <w:sz w:val="16"/>
              </w:rPr>
            </w:pPr>
            <w:r>
              <w:rPr>
                <w:spacing w:val="-4"/>
                <w:sz w:val="16"/>
              </w:rPr>
              <w:t>0.10</w:t>
            </w:r>
          </w:p>
        </w:tc>
        <w:tc>
          <w:tcPr>
            <w:tcW w:w="910" w:type="dxa"/>
            <w:tcBorders>
              <w:top w:val="single" w:sz="4" w:space="0" w:color="FFFFFF"/>
              <w:left w:val="nil"/>
              <w:right w:val="nil"/>
            </w:tcBorders>
            <w:shd w:val="clear" w:color="auto" w:fill="CCE2ED"/>
          </w:tcPr>
          <w:p w14:paraId="3B2D3F6C" w14:textId="77777777" w:rsidR="00141B97" w:rsidRDefault="00911D63">
            <w:pPr>
              <w:pStyle w:val="TableParagraph"/>
              <w:spacing w:before="15" w:line="189" w:lineRule="exact"/>
              <w:ind w:left="169" w:right="175"/>
              <w:jc w:val="center"/>
              <w:rPr>
                <w:sz w:val="16"/>
              </w:rPr>
            </w:pPr>
            <w:r>
              <w:rPr>
                <w:spacing w:val="-4"/>
                <w:sz w:val="16"/>
              </w:rPr>
              <w:t>0.10</w:t>
            </w:r>
          </w:p>
        </w:tc>
        <w:tc>
          <w:tcPr>
            <w:tcW w:w="939" w:type="dxa"/>
            <w:tcBorders>
              <w:top w:val="single" w:sz="4" w:space="0" w:color="FFFFFF"/>
              <w:left w:val="nil"/>
              <w:right w:val="nil"/>
            </w:tcBorders>
            <w:shd w:val="clear" w:color="auto" w:fill="CCE2ED"/>
          </w:tcPr>
          <w:p w14:paraId="51E6DF43" w14:textId="77777777" w:rsidR="00141B97" w:rsidRDefault="00911D63">
            <w:pPr>
              <w:pStyle w:val="TableParagraph"/>
              <w:spacing w:before="15" w:line="189" w:lineRule="exact"/>
              <w:ind w:left="169" w:right="205"/>
              <w:jc w:val="center"/>
              <w:rPr>
                <w:sz w:val="16"/>
              </w:rPr>
            </w:pPr>
            <w:r>
              <w:rPr>
                <w:spacing w:val="-4"/>
                <w:sz w:val="16"/>
              </w:rPr>
              <w:t>0.10</w:t>
            </w:r>
          </w:p>
        </w:tc>
        <w:tc>
          <w:tcPr>
            <w:tcW w:w="869" w:type="dxa"/>
            <w:tcBorders>
              <w:top w:val="single" w:sz="4" w:space="0" w:color="FFFFFF"/>
              <w:left w:val="nil"/>
              <w:right w:val="nil"/>
            </w:tcBorders>
            <w:shd w:val="clear" w:color="auto" w:fill="CCE2ED"/>
          </w:tcPr>
          <w:p w14:paraId="210FDCB1" w14:textId="77777777" w:rsidR="00141B97" w:rsidRDefault="00911D63">
            <w:pPr>
              <w:pStyle w:val="TableParagraph"/>
              <w:spacing w:before="15" w:line="189" w:lineRule="exact"/>
              <w:ind w:right="307"/>
              <w:jc w:val="right"/>
              <w:rPr>
                <w:sz w:val="16"/>
              </w:rPr>
            </w:pPr>
            <w:r>
              <w:rPr>
                <w:spacing w:val="-4"/>
                <w:sz w:val="16"/>
              </w:rPr>
              <w:t>0.51</w:t>
            </w:r>
          </w:p>
        </w:tc>
      </w:tr>
      <w:tr w:rsidR="00141B97" w14:paraId="4C789594" w14:textId="77777777">
        <w:trPr>
          <w:trHeight w:val="162"/>
        </w:trPr>
        <w:tc>
          <w:tcPr>
            <w:tcW w:w="2764" w:type="dxa"/>
            <w:tcBorders>
              <w:left w:val="nil"/>
              <w:bottom w:val="nil"/>
              <w:right w:val="single" w:sz="4" w:space="0" w:color="FFFFFF"/>
            </w:tcBorders>
            <w:shd w:val="clear" w:color="auto" w:fill="CCE2ED"/>
          </w:tcPr>
          <w:p w14:paraId="1BCE1D4D" w14:textId="77777777" w:rsidR="00141B97" w:rsidRDefault="00141B97">
            <w:pPr>
              <w:pStyle w:val="TableParagraph"/>
              <w:rPr>
                <w:rFonts w:ascii="Times New Roman"/>
                <w:sz w:val="10"/>
              </w:rPr>
            </w:pPr>
          </w:p>
        </w:tc>
        <w:tc>
          <w:tcPr>
            <w:tcW w:w="1115" w:type="dxa"/>
            <w:tcBorders>
              <w:left w:val="single" w:sz="4" w:space="0" w:color="FFFFFF"/>
              <w:bottom w:val="nil"/>
              <w:right w:val="single" w:sz="4" w:space="0" w:color="FFFFFF"/>
            </w:tcBorders>
            <w:shd w:val="clear" w:color="auto" w:fill="CCE2ED"/>
          </w:tcPr>
          <w:p w14:paraId="4D46D330" w14:textId="77777777" w:rsidR="00141B97" w:rsidRDefault="00141B97">
            <w:pPr>
              <w:pStyle w:val="TableParagraph"/>
              <w:rPr>
                <w:rFonts w:ascii="Times New Roman"/>
                <w:sz w:val="10"/>
              </w:rPr>
            </w:pPr>
          </w:p>
        </w:tc>
        <w:tc>
          <w:tcPr>
            <w:tcW w:w="11809" w:type="dxa"/>
            <w:gridSpan w:val="9"/>
            <w:tcBorders>
              <w:left w:val="single" w:sz="4" w:space="0" w:color="FFFFFF"/>
              <w:bottom w:val="nil"/>
              <w:right w:val="nil"/>
            </w:tcBorders>
            <w:shd w:val="clear" w:color="auto" w:fill="CCE2ED"/>
          </w:tcPr>
          <w:p w14:paraId="3120A577" w14:textId="77777777" w:rsidR="00141B97" w:rsidRDefault="00141B97">
            <w:pPr>
              <w:pStyle w:val="TableParagraph"/>
              <w:rPr>
                <w:rFonts w:ascii="Times New Roman"/>
                <w:sz w:val="10"/>
              </w:rPr>
            </w:pPr>
          </w:p>
        </w:tc>
      </w:tr>
      <w:tr w:rsidR="00141B97" w14:paraId="2622B39D" w14:textId="77777777">
        <w:trPr>
          <w:trHeight w:val="315"/>
        </w:trPr>
        <w:tc>
          <w:tcPr>
            <w:tcW w:w="2764" w:type="dxa"/>
            <w:tcBorders>
              <w:top w:val="nil"/>
              <w:left w:val="nil"/>
              <w:bottom w:val="single" w:sz="4" w:space="0" w:color="FFFFFF"/>
              <w:right w:val="nil"/>
            </w:tcBorders>
            <w:shd w:val="clear" w:color="auto" w:fill="CCE2ED"/>
          </w:tcPr>
          <w:p w14:paraId="490F3651" w14:textId="77777777" w:rsidR="00141B97" w:rsidRDefault="00911D63">
            <w:pPr>
              <w:pStyle w:val="TableParagraph"/>
              <w:spacing w:before="74"/>
              <w:ind w:left="101"/>
              <w:rPr>
                <w:sz w:val="16"/>
              </w:rPr>
            </w:pPr>
            <w:r>
              <w:rPr>
                <w:sz w:val="16"/>
              </w:rPr>
              <w:t>vehicle</w:t>
            </w:r>
            <w:r>
              <w:rPr>
                <w:spacing w:val="-7"/>
                <w:sz w:val="16"/>
              </w:rPr>
              <w:t xml:space="preserve"> </w:t>
            </w:r>
            <w:r>
              <w:rPr>
                <w:spacing w:val="-2"/>
                <w:sz w:val="16"/>
              </w:rPr>
              <w:t>replacements</w:t>
            </w:r>
          </w:p>
        </w:tc>
        <w:tc>
          <w:tcPr>
            <w:tcW w:w="2110" w:type="dxa"/>
            <w:gridSpan w:val="2"/>
            <w:tcBorders>
              <w:top w:val="nil"/>
              <w:left w:val="nil"/>
              <w:bottom w:val="single" w:sz="4" w:space="0" w:color="FFFFFF"/>
              <w:right w:val="nil"/>
            </w:tcBorders>
            <w:shd w:val="clear" w:color="auto" w:fill="CCE2ED"/>
          </w:tcPr>
          <w:p w14:paraId="67A39C50" w14:textId="77777777" w:rsidR="00141B97" w:rsidRDefault="00911D63">
            <w:pPr>
              <w:pStyle w:val="TableParagraph"/>
              <w:tabs>
                <w:tab w:val="left" w:pos="1266"/>
              </w:tabs>
              <w:spacing w:line="173" w:lineRule="exact"/>
              <w:ind w:left="415"/>
              <w:rPr>
                <w:sz w:val="16"/>
              </w:rPr>
            </w:pPr>
            <w:r>
              <w:rPr>
                <w:spacing w:val="-4"/>
                <w:sz w:val="16"/>
              </w:rPr>
              <w:t>0.96</w:t>
            </w:r>
            <w:r>
              <w:rPr>
                <w:sz w:val="16"/>
              </w:rPr>
              <w:tab/>
            </w:r>
            <w:r>
              <w:rPr>
                <w:spacing w:val="-2"/>
                <w:sz w:val="16"/>
              </w:rPr>
              <w:t>Corporate</w:t>
            </w:r>
          </w:p>
        </w:tc>
        <w:tc>
          <w:tcPr>
            <w:tcW w:w="1397" w:type="dxa"/>
            <w:tcBorders>
              <w:top w:val="nil"/>
              <w:left w:val="nil"/>
              <w:bottom w:val="single" w:sz="4" w:space="0" w:color="FFFFFF"/>
              <w:right w:val="nil"/>
            </w:tcBorders>
            <w:shd w:val="clear" w:color="auto" w:fill="CCE2ED"/>
          </w:tcPr>
          <w:p w14:paraId="0AB08F91" w14:textId="77777777" w:rsidR="00141B97" w:rsidRDefault="00911D63">
            <w:pPr>
              <w:pStyle w:val="TableParagraph"/>
              <w:spacing w:line="173" w:lineRule="exact"/>
              <w:ind w:left="133" w:right="171"/>
              <w:jc w:val="center"/>
              <w:rPr>
                <w:sz w:val="16"/>
              </w:rPr>
            </w:pPr>
            <w:r>
              <w:rPr>
                <w:spacing w:val="-2"/>
                <w:sz w:val="16"/>
              </w:rPr>
              <w:t>Renewals</w:t>
            </w:r>
          </w:p>
        </w:tc>
        <w:tc>
          <w:tcPr>
            <w:tcW w:w="3771" w:type="dxa"/>
            <w:tcBorders>
              <w:top w:val="nil"/>
              <w:left w:val="nil"/>
              <w:bottom w:val="single" w:sz="4" w:space="0" w:color="FFFFFF"/>
              <w:right w:val="nil"/>
            </w:tcBorders>
            <w:shd w:val="clear" w:color="auto" w:fill="CCE2ED"/>
          </w:tcPr>
          <w:p w14:paraId="328073BC" w14:textId="77777777" w:rsidR="00141B97" w:rsidRDefault="00911D63">
            <w:pPr>
              <w:pStyle w:val="TableParagraph"/>
              <w:spacing w:line="173" w:lineRule="exact"/>
              <w:ind w:left="106"/>
              <w:rPr>
                <w:sz w:val="16"/>
              </w:rPr>
            </w:pPr>
            <w:r>
              <w:rPr>
                <w:sz w:val="16"/>
              </w:rPr>
              <w:t>Motor</w:t>
            </w:r>
            <w:r>
              <w:rPr>
                <w:spacing w:val="-8"/>
                <w:sz w:val="16"/>
              </w:rPr>
              <w:t xml:space="preserve"> </w:t>
            </w:r>
            <w:r>
              <w:rPr>
                <w:spacing w:val="-2"/>
                <w:sz w:val="16"/>
              </w:rPr>
              <w:t>Vehicles</w:t>
            </w:r>
          </w:p>
        </w:tc>
        <w:tc>
          <w:tcPr>
            <w:tcW w:w="1106" w:type="dxa"/>
            <w:tcBorders>
              <w:top w:val="nil"/>
              <w:left w:val="nil"/>
              <w:bottom w:val="single" w:sz="4" w:space="0" w:color="FFFFFF"/>
              <w:right w:val="nil"/>
            </w:tcBorders>
            <w:shd w:val="clear" w:color="auto" w:fill="CCE2ED"/>
          </w:tcPr>
          <w:p w14:paraId="04E4C6C5" w14:textId="77777777" w:rsidR="00141B97" w:rsidRDefault="00911D63">
            <w:pPr>
              <w:pStyle w:val="TableParagraph"/>
              <w:spacing w:line="173" w:lineRule="exact"/>
              <w:ind w:left="366" w:right="175"/>
              <w:jc w:val="center"/>
              <w:rPr>
                <w:sz w:val="16"/>
              </w:rPr>
            </w:pPr>
            <w:r>
              <w:rPr>
                <w:spacing w:val="-4"/>
                <w:sz w:val="16"/>
              </w:rPr>
              <w:t>0.32</w:t>
            </w:r>
          </w:p>
        </w:tc>
        <w:tc>
          <w:tcPr>
            <w:tcW w:w="911" w:type="dxa"/>
            <w:tcBorders>
              <w:top w:val="nil"/>
              <w:left w:val="nil"/>
              <w:bottom w:val="single" w:sz="4" w:space="0" w:color="FFFFFF"/>
              <w:right w:val="nil"/>
            </w:tcBorders>
            <w:shd w:val="clear" w:color="auto" w:fill="CCE2ED"/>
          </w:tcPr>
          <w:p w14:paraId="57AA3461" w14:textId="77777777" w:rsidR="00141B97" w:rsidRDefault="00911D63">
            <w:pPr>
              <w:pStyle w:val="TableParagraph"/>
              <w:spacing w:line="173" w:lineRule="exact"/>
              <w:ind w:left="171" w:right="175"/>
              <w:jc w:val="center"/>
              <w:rPr>
                <w:sz w:val="16"/>
              </w:rPr>
            </w:pPr>
            <w:r>
              <w:rPr>
                <w:spacing w:val="-4"/>
                <w:sz w:val="16"/>
              </w:rPr>
              <w:t>0.34</w:t>
            </w:r>
          </w:p>
        </w:tc>
        <w:tc>
          <w:tcPr>
            <w:tcW w:w="911" w:type="dxa"/>
            <w:tcBorders>
              <w:top w:val="nil"/>
              <w:left w:val="nil"/>
              <w:bottom w:val="single" w:sz="4" w:space="0" w:color="FFFFFF"/>
              <w:right w:val="nil"/>
            </w:tcBorders>
            <w:shd w:val="clear" w:color="auto" w:fill="CCE2ED"/>
          </w:tcPr>
          <w:p w14:paraId="37A84BA6" w14:textId="77777777" w:rsidR="00141B97" w:rsidRDefault="00911D63">
            <w:pPr>
              <w:pStyle w:val="TableParagraph"/>
              <w:spacing w:line="173" w:lineRule="exact"/>
              <w:ind w:left="171" w:right="175"/>
              <w:jc w:val="center"/>
              <w:rPr>
                <w:sz w:val="16"/>
              </w:rPr>
            </w:pPr>
            <w:r>
              <w:rPr>
                <w:spacing w:val="-4"/>
                <w:sz w:val="16"/>
              </w:rPr>
              <w:t>0.22</w:t>
            </w:r>
          </w:p>
        </w:tc>
        <w:tc>
          <w:tcPr>
            <w:tcW w:w="910" w:type="dxa"/>
            <w:tcBorders>
              <w:top w:val="nil"/>
              <w:left w:val="nil"/>
              <w:bottom w:val="single" w:sz="4" w:space="0" w:color="FFFFFF"/>
              <w:right w:val="nil"/>
            </w:tcBorders>
            <w:shd w:val="clear" w:color="auto" w:fill="CCE2ED"/>
          </w:tcPr>
          <w:p w14:paraId="4E6AF40C" w14:textId="77777777" w:rsidR="00141B97" w:rsidRDefault="00911D63">
            <w:pPr>
              <w:pStyle w:val="TableParagraph"/>
              <w:spacing w:line="173" w:lineRule="exact"/>
              <w:ind w:left="169" w:right="175"/>
              <w:jc w:val="center"/>
              <w:rPr>
                <w:sz w:val="16"/>
              </w:rPr>
            </w:pPr>
            <w:r>
              <w:rPr>
                <w:spacing w:val="-4"/>
                <w:sz w:val="16"/>
              </w:rPr>
              <w:t>0.00</w:t>
            </w:r>
          </w:p>
        </w:tc>
        <w:tc>
          <w:tcPr>
            <w:tcW w:w="939" w:type="dxa"/>
            <w:tcBorders>
              <w:top w:val="nil"/>
              <w:left w:val="nil"/>
              <w:bottom w:val="single" w:sz="4" w:space="0" w:color="FFFFFF"/>
              <w:right w:val="nil"/>
            </w:tcBorders>
            <w:shd w:val="clear" w:color="auto" w:fill="CCE2ED"/>
          </w:tcPr>
          <w:p w14:paraId="78215AE8" w14:textId="77777777" w:rsidR="00141B97" w:rsidRDefault="00911D63">
            <w:pPr>
              <w:pStyle w:val="TableParagraph"/>
              <w:spacing w:line="173" w:lineRule="exact"/>
              <w:ind w:left="169" w:right="205"/>
              <w:jc w:val="center"/>
              <w:rPr>
                <w:sz w:val="16"/>
              </w:rPr>
            </w:pPr>
            <w:r>
              <w:rPr>
                <w:spacing w:val="-4"/>
                <w:sz w:val="16"/>
              </w:rPr>
              <w:t>0.08</w:t>
            </w:r>
          </w:p>
        </w:tc>
        <w:tc>
          <w:tcPr>
            <w:tcW w:w="869" w:type="dxa"/>
            <w:tcBorders>
              <w:top w:val="nil"/>
              <w:left w:val="nil"/>
              <w:bottom w:val="single" w:sz="4" w:space="0" w:color="FFFFFF"/>
              <w:right w:val="nil"/>
            </w:tcBorders>
            <w:shd w:val="clear" w:color="auto" w:fill="CCE2ED"/>
          </w:tcPr>
          <w:p w14:paraId="32A95B5C" w14:textId="77777777" w:rsidR="00141B97" w:rsidRDefault="00911D63">
            <w:pPr>
              <w:pStyle w:val="TableParagraph"/>
              <w:spacing w:line="173" w:lineRule="exact"/>
              <w:ind w:right="307"/>
              <w:jc w:val="right"/>
              <w:rPr>
                <w:sz w:val="16"/>
              </w:rPr>
            </w:pPr>
            <w:r>
              <w:rPr>
                <w:spacing w:val="-4"/>
                <w:sz w:val="16"/>
              </w:rPr>
              <w:t>0.96</w:t>
            </w:r>
          </w:p>
        </w:tc>
      </w:tr>
      <w:tr w:rsidR="00141B97" w14:paraId="4AF6C301" w14:textId="77777777">
        <w:trPr>
          <w:trHeight w:val="387"/>
        </w:trPr>
        <w:tc>
          <w:tcPr>
            <w:tcW w:w="2764" w:type="dxa"/>
            <w:tcBorders>
              <w:top w:val="single" w:sz="4" w:space="0" w:color="FFFFFF"/>
              <w:left w:val="nil"/>
              <w:right w:val="nil"/>
            </w:tcBorders>
            <w:shd w:val="clear" w:color="auto" w:fill="CCE2ED"/>
          </w:tcPr>
          <w:p w14:paraId="1C5143B0" w14:textId="77777777" w:rsidR="00141B97" w:rsidRDefault="00911D63">
            <w:pPr>
              <w:pStyle w:val="TableParagraph"/>
              <w:spacing w:before="97"/>
              <w:ind w:left="101"/>
              <w:rPr>
                <w:sz w:val="16"/>
              </w:rPr>
            </w:pPr>
            <w:r>
              <w:rPr>
                <w:sz w:val="16"/>
              </w:rPr>
              <w:t>Corporate</w:t>
            </w:r>
            <w:r>
              <w:rPr>
                <w:spacing w:val="-8"/>
                <w:sz w:val="16"/>
              </w:rPr>
              <w:t xml:space="preserve"> </w:t>
            </w:r>
            <w:r>
              <w:rPr>
                <w:sz w:val="16"/>
              </w:rPr>
              <w:t>Facilities</w:t>
            </w:r>
            <w:r>
              <w:rPr>
                <w:spacing w:val="-9"/>
                <w:sz w:val="16"/>
              </w:rPr>
              <w:t xml:space="preserve"> </w:t>
            </w:r>
            <w:r>
              <w:rPr>
                <w:sz w:val="16"/>
              </w:rPr>
              <w:t>and</w:t>
            </w:r>
            <w:r>
              <w:rPr>
                <w:spacing w:val="-8"/>
                <w:sz w:val="16"/>
              </w:rPr>
              <w:t xml:space="preserve"> </w:t>
            </w:r>
            <w:r>
              <w:rPr>
                <w:spacing w:val="-2"/>
                <w:sz w:val="16"/>
              </w:rPr>
              <w:t>Buildings</w:t>
            </w:r>
          </w:p>
        </w:tc>
        <w:tc>
          <w:tcPr>
            <w:tcW w:w="2110" w:type="dxa"/>
            <w:gridSpan w:val="2"/>
            <w:tcBorders>
              <w:top w:val="single" w:sz="4" w:space="0" w:color="FFFFFF"/>
              <w:left w:val="nil"/>
              <w:right w:val="nil"/>
            </w:tcBorders>
            <w:shd w:val="clear" w:color="auto" w:fill="CCE2ED"/>
          </w:tcPr>
          <w:p w14:paraId="749E6C82" w14:textId="77777777" w:rsidR="00141B97" w:rsidRDefault="00911D63">
            <w:pPr>
              <w:pStyle w:val="TableParagraph"/>
              <w:tabs>
                <w:tab w:val="left" w:pos="1266"/>
              </w:tabs>
              <w:spacing w:before="97"/>
              <w:ind w:left="415"/>
              <w:rPr>
                <w:sz w:val="16"/>
              </w:rPr>
            </w:pPr>
            <w:r>
              <w:rPr>
                <w:spacing w:val="-4"/>
                <w:sz w:val="16"/>
              </w:rPr>
              <w:t>1.22</w:t>
            </w:r>
            <w:r>
              <w:rPr>
                <w:sz w:val="16"/>
              </w:rPr>
              <w:tab/>
            </w:r>
            <w:r>
              <w:rPr>
                <w:spacing w:val="-2"/>
                <w:sz w:val="16"/>
              </w:rPr>
              <w:t>Corporate</w:t>
            </w:r>
          </w:p>
        </w:tc>
        <w:tc>
          <w:tcPr>
            <w:tcW w:w="1397" w:type="dxa"/>
            <w:tcBorders>
              <w:top w:val="single" w:sz="4" w:space="0" w:color="FFFFFF"/>
              <w:left w:val="nil"/>
              <w:right w:val="nil"/>
            </w:tcBorders>
            <w:shd w:val="clear" w:color="auto" w:fill="CCE2ED"/>
          </w:tcPr>
          <w:p w14:paraId="7CB5B28E" w14:textId="77777777" w:rsidR="00141B97" w:rsidRDefault="00911D63">
            <w:pPr>
              <w:pStyle w:val="TableParagraph"/>
              <w:spacing w:line="195" w:lineRule="exact"/>
              <w:ind w:left="171" w:right="171"/>
              <w:jc w:val="center"/>
              <w:rPr>
                <w:sz w:val="16"/>
              </w:rPr>
            </w:pPr>
            <w:r>
              <w:rPr>
                <w:w w:val="95"/>
                <w:sz w:val="16"/>
              </w:rPr>
              <w:t>Improvements</w:t>
            </w:r>
            <w:r>
              <w:rPr>
                <w:spacing w:val="37"/>
                <w:sz w:val="16"/>
              </w:rPr>
              <w:t xml:space="preserve"> </w:t>
            </w:r>
            <w:r>
              <w:rPr>
                <w:spacing w:val="-10"/>
                <w:sz w:val="16"/>
              </w:rPr>
              <w:t>/</w:t>
            </w:r>
          </w:p>
          <w:p w14:paraId="618FF130" w14:textId="77777777" w:rsidR="00141B97" w:rsidRDefault="00911D63">
            <w:pPr>
              <w:pStyle w:val="TableParagraph"/>
              <w:spacing w:line="173" w:lineRule="exact"/>
              <w:ind w:left="133" w:right="171"/>
              <w:jc w:val="center"/>
              <w:rPr>
                <w:sz w:val="16"/>
              </w:rPr>
            </w:pPr>
            <w:r>
              <w:rPr>
                <w:spacing w:val="-2"/>
                <w:sz w:val="16"/>
              </w:rPr>
              <w:t>Compliance</w:t>
            </w:r>
          </w:p>
        </w:tc>
        <w:tc>
          <w:tcPr>
            <w:tcW w:w="3771" w:type="dxa"/>
            <w:tcBorders>
              <w:top w:val="single" w:sz="4" w:space="0" w:color="FFFFFF"/>
              <w:left w:val="nil"/>
              <w:right w:val="nil"/>
            </w:tcBorders>
            <w:shd w:val="clear" w:color="auto" w:fill="CCE2ED"/>
          </w:tcPr>
          <w:p w14:paraId="6A24A529" w14:textId="77777777" w:rsidR="00141B97" w:rsidRDefault="00911D63">
            <w:pPr>
              <w:pStyle w:val="TableParagraph"/>
              <w:spacing w:before="97"/>
              <w:ind w:left="106"/>
              <w:rPr>
                <w:sz w:val="16"/>
              </w:rPr>
            </w:pPr>
            <w:r>
              <w:rPr>
                <w:spacing w:val="-2"/>
                <w:sz w:val="16"/>
              </w:rPr>
              <w:t>Buildings</w:t>
            </w:r>
          </w:p>
        </w:tc>
        <w:tc>
          <w:tcPr>
            <w:tcW w:w="1106" w:type="dxa"/>
            <w:tcBorders>
              <w:top w:val="single" w:sz="4" w:space="0" w:color="FFFFFF"/>
              <w:left w:val="nil"/>
              <w:right w:val="nil"/>
            </w:tcBorders>
            <w:shd w:val="clear" w:color="auto" w:fill="CCE2ED"/>
          </w:tcPr>
          <w:p w14:paraId="1AE11739" w14:textId="77777777" w:rsidR="00141B97" w:rsidRDefault="00911D63">
            <w:pPr>
              <w:pStyle w:val="TableParagraph"/>
              <w:spacing w:before="97"/>
              <w:ind w:left="366" w:right="175"/>
              <w:jc w:val="center"/>
              <w:rPr>
                <w:sz w:val="16"/>
              </w:rPr>
            </w:pPr>
            <w:r>
              <w:rPr>
                <w:spacing w:val="-4"/>
                <w:sz w:val="16"/>
              </w:rPr>
              <w:t>0.48</w:t>
            </w:r>
          </w:p>
        </w:tc>
        <w:tc>
          <w:tcPr>
            <w:tcW w:w="911" w:type="dxa"/>
            <w:tcBorders>
              <w:top w:val="single" w:sz="4" w:space="0" w:color="FFFFFF"/>
              <w:left w:val="nil"/>
              <w:right w:val="nil"/>
            </w:tcBorders>
            <w:shd w:val="clear" w:color="auto" w:fill="CCE2ED"/>
          </w:tcPr>
          <w:p w14:paraId="4844ACD0" w14:textId="77777777" w:rsidR="00141B97" w:rsidRDefault="00911D63">
            <w:pPr>
              <w:pStyle w:val="TableParagraph"/>
              <w:spacing w:before="97"/>
              <w:ind w:left="171" w:right="175"/>
              <w:jc w:val="center"/>
              <w:rPr>
                <w:sz w:val="16"/>
              </w:rPr>
            </w:pPr>
            <w:r>
              <w:rPr>
                <w:spacing w:val="-4"/>
                <w:sz w:val="16"/>
              </w:rPr>
              <w:t>0.22</w:t>
            </w:r>
          </w:p>
        </w:tc>
        <w:tc>
          <w:tcPr>
            <w:tcW w:w="911" w:type="dxa"/>
            <w:tcBorders>
              <w:top w:val="single" w:sz="4" w:space="0" w:color="FFFFFF"/>
              <w:left w:val="nil"/>
              <w:right w:val="nil"/>
            </w:tcBorders>
            <w:shd w:val="clear" w:color="auto" w:fill="CCE2ED"/>
          </w:tcPr>
          <w:p w14:paraId="0DA68FDE" w14:textId="77777777" w:rsidR="00141B97" w:rsidRDefault="00911D63">
            <w:pPr>
              <w:pStyle w:val="TableParagraph"/>
              <w:spacing w:before="97"/>
              <w:ind w:left="171" w:right="175"/>
              <w:jc w:val="center"/>
              <w:rPr>
                <w:sz w:val="16"/>
              </w:rPr>
            </w:pPr>
            <w:r>
              <w:rPr>
                <w:spacing w:val="-4"/>
                <w:sz w:val="16"/>
              </w:rPr>
              <w:t>0.25</w:t>
            </w:r>
          </w:p>
        </w:tc>
        <w:tc>
          <w:tcPr>
            <w:tcW w:w="910" w:type="dxa"/>
            <w:tcBorders>
              <w:top w:val="single" w:sz="4" w:space="0" w:color="FFFFFF"/>
              <w:left w:val="nil"/>
              <w:right w:val="nil"/>
            </w:tcBorders>
            <w:shd w:val="clear" w:color="auto" w:fill="CCE2ED"/>
          </w:tcPr>
          <w:p w14:paraId="49E9E521" w14:textId="77777777" w:rsidR="00141B97" w:rsidRDefault="00911D63">
            <w:pPr>
              <w:pStyle w:val="TableParagraph"/>
              <w:spacing w:before="97"/>
              <w:ind w:left="169" w:right="175"/>
              <w:jc w:val="center"/>
              <w:rPr>
                <w:sz w:val="16"/>
              </w:rPr>
            </w:pPr>
            <w:r>
              <w:rPr>
                <w:spacing w:val="-4"/>
                <w:sz w:val="16"/>
              </w:rPr>
              <w:t>0.14</w:t>
            </w:r>
          </w:p>
        </w:tc>
        <w:tc>
          <w:tcPr>
            <w:tcW w:w="939" w:type="dxa"/>
            <w:tcBorders>
              <w:top w:val="single" w:sz="4" w:space="0" w:color="FFFFFF"/>
              <w:left w:val="nil"/>
              <w:right w:val="nil"/>
            </w:tcBorders>
            <w:shd w:val="clear" w:color="auto" w:fill="CCE2ED"/>
          </w:tcPr>
          <w:p w14:paraId="2D0806A5" w14:textId="77777777" w:rsidR="00141B97" w:rsidRDefault="00911D63">
            <w:pPr>
              <w:pStyle w:val="TableParagraph"/>
              <w:spacing w:before="97"/>
              <w:ind w:left="169" w:right="205"/>
              <w:jc w:val="center"/>
              <w:rPr>
                <w:sz w:val="16"/>
              </w:rPr>
            </w:pPr>
            <w:r>
              <w:rPr>
                <w:spacing w:val="-4"/>
                <w:sz w:val="16"/>
              </w:rPr>
              <w:t>0.13</w:t>
            </w:r>
          </w:p>
        </w:tc>
        <w:tc>
          <w:tcPr>
            <w:tcW w:w="869" w:type="dxa"/>
            <w:tcBorders>
              <w:top w:val="single" w:sz="4" w:space="0" w:color="FFFFFF"/>
              <w:left w:val="nil"/>
              <w:right w:val="nil"/>
            </w:tcBorders>
            <w:shd w:val="clear" w:color="auto" w:fill="CCE2ED"/>
          </w:tcPr>
          <w:p w14:paraId="27F3B1BF" w14:textId="77777777" w:rsidR="00141B97" w:rsidRDefault="00911D63">
            <w:pPr>
              <w:pStyle w:val="TableParagraph"/>
              <w:spacing w:before="97"/>
              <w:ind w:right="307"/>
              <w:jc w:val="right"/>
              <w:rPr>
                <w:sz w:val="16"/>
              </w:rPr>
            </w:pPr>
            <w:r>
              <w:rPr>
                <w:spacing w:val="-4"/>
                <w:sz w:val="16"/>
              </w:rPr>
              <w:t>1.22</w:t>
            </w:r>
          </w:p>
        </w:tc>
      </w:tr>
      <w:tr w:rsidR="00141B97" w14:paraId="588BB703" w14:textId="77777777">
        <w:trPr>
          <w:trHeight w:val="193"/>
        </w:trPr>
        <w:tc>
          <w:tcPr>
            <w:tcW w:w="2764" w:type="dxa"/>
            <w:tcBorders>
              <w:left w:val="nil"/>
              <w:bottom w:val="nil"/>
              <w:right w:val="nil"/>
            </w:tcBorders>
            <w:shd w:val="clear" w:color="auto" w:fill="BFBFBF"/>
          </w:tcPr>
          <w:p w14:paraId="77A3D64D" w14:textId="77777777" w:rsidR="00141B97" w:rsidRDefault="00141B97">
            <w:pPr>
              <w:pStyle w:val="TableParagraph"/>
              <w:rPr>
                <w:rFonts w:ascii="Times New Roman"/>
                <w:sz w:val="12"/>
              </w:rPr>
            </w:pPr>
          </w:p>
        </w:tc>
        <w:tc>
          <w:tcPr>
            <w:tcW w:w="7278" w:type="dxa"/>
            <w:gridSpan w:val="4"/>
            <w:tcBorders>
              <w:left w:val="nil"/>
              <w:bottom w:val="nil"/>
              <w:right w:val="nil"/>
            </w:tcBorders>
            <w:shd w:val="clear" w:color="auto" w:fill="BFBFBF"/>
          </w:tcPr>
          <w:p w14:paraId="6361391D" w14:textId="77777777" w:rsidR="00141B97" w:rsidRDefault="00911D63">
            <w:pPr>
              <w:pStyle w:val="TableParagraph"/>
              <w:tabs>
                <w:tab w:val="left" w:pos="4558"/>
              </w:tabs>
              <w:spacing w:line="173" w:lineRule="exact"/>
              <w:ind w:left="375"/>
              <w:rPr>
                <w:sz w:val="16"/>
              </w:rPr>
            </w:pPr>
            <w:r>
              <w:rPr>
                <w:spacing w:val="-2"/>
                <w:sz w:val="16"/>
              </w:rPr>
              <w:t>19.97</w:t>
            </w:r>
            <w:r>
              <w:rPr>
                <w:sz w:val="16"/>
              </w:rPr>
              <w:tab/>
              <w:t>TOTAL</w:t>
            </w:r>
            <w:r>
              <w:rPr>
                <w:spacing w:val="-6"/>
                <w:sz w:val="16"/>
              </w:rPr>
              <w:t xml:space="preserve"> </w:t>
            </w:r>
            <w:r>
              <w:rPr>
                <w:sz w:val="16"/>
              </w:rPr>
              <w:t>Major</w:t>
            </w:r>
            <w:r>
              <w:rPr>
                <w:spacing w:val="-6"/>
                <w:sz w:val="16"/>
              </w:rPr>
              <w:t xml:space="preserve"> </w:t>
            </w:r>
            <w:r>
              <w:rPr>
                <w:sz w:val="16"/>
              </w:rPr>
              <w:t>Programs</w:t>
            </w:r>
            <w:r>
              <w:rPr>
                <w:spacing w:val="-8"/>
                <w:sz w:val="16"/>
              </w:rPr>
              <w:t xml:space="preserve"> </w:t>
            </w:r>
            <w:r>
              <w:rPr>
                <w:spacing w:val="-2"/>
                <w:sz w:val="16"/>
              </w:rPr>
              <w:t>Rural</w:t>
            </w:r>
          </w:p>
        </w:tc>
        <w:tc>
          <w:tcPr>
            <w:tcW w:w="1106" w:type="dxa"/>
            <w:tcBorders>
              <w:left w:val="nil"/>
              <w:bottom w:val="nil"/>
              <w:right w:val="nil"/>
            </w:tcBorders>
            <w:shd w:val="clear" w:color="auto" w:fill="BFBFBF"/>
          </w:tcPr>
          <w:p w14:paraId="23D8F22A" w14:textId="77777777" w:rsidR="00141B97" w:rsidRDefault="00911D63">
            <w:pPr>
              <w:pStyle w:val="TableParagraph"/>
              <w:spacing w:line="173" w:lineRule="exact"/>
              <w:ind w:left="369" w:right="175"/>
              <w:jc w:val="center"/>
              <w:rPr>
                <w:sz w:val="16"/>
              </w:rPr>
            </w:pPr>
            <w:r>
              <w:rPr>
                <w:spacing w:val="-4"/>
                <w:sz w:val="16"/>
              </w:rPr>
              <w:t>4.36</w:t>
            </w:r>
          </w:p>
        </w:tc>
        <w:tc>
          <w:tcPr>
            <w:tcW w:w="911" w:type="dxa"/>
            <w:tcBorders>
              <w:left w:val="nil"/>
              <w:bottom w:val="nil"/>
              <w:right w:val="nil"/>
            </w:tcBorders>
            <w:shd w:val="clear" w:color="auto" w:fill="BFBFBF"/>
          </w:tcPr>
          <w:p w14:paraId="54CF0CEC" w14:textId="77777777" w:rsidR="00141B97" w:rsidRDefault="00911D63">
            <w:pPr>
              <w:pStyle w:val="TableParagraph"/>
              <w:spacing w:line="173" w:lineRule="exact"/>
              <w:ind w:left="173" w:right="174"/>
              <w:jc w:val="center"/>
              <w:rPr>
                <w:sz w:val="16"/>
              </w:rPr>
            </w:pPr>
            <w:r>
              <w:rPr>
                <w:spacing w:val="-4"/>
                <w:sz w:val="16"/>
              </w:rPr>
              <w:t>4.24</w:t>
            </w:r>
          </w:p>
        </w:tc>
        <w:tc>
          <w:tcPr>
            <w:tcW w:w="911" w:type="dxa"/>
            <w:tcBorders>
              <w:left w:val="nil"/>
              <w:bottom w:val="nil"/>
              <w:right w:val="nil"/>
            </w:tcBorders>
            <w:shd w:val="clear" w:color="auto" w:fill="BFBFBF"/>
          </w:tcPr>
          <w:p w14:paraId="262FA782" w14:textId="77777777" w:rsidR="00141B97" w:rsidRDefault="00911D63">
            <w:pPr>
              <w:pStyle w:val="TableParagraph"/>
              <w:spacing w:line="173" w:lineRule="exact"/>
              <w:ind w:left="173" w:right="174"/>
              <w:jc w:val="center"/>
              <w:rPr>
                <w:sz w:val="16"/>
              </w:rPr>
            </w:pPr>
            <w:r>
              <w:rPr>
                <w:spacing w:val="-4"/>
                <w:sz w:val="16"/>
              </w:rPr>
              <w:t>4.13</w:t>
            </w:r>
          </w:p>
        </w:tc>
        <w:tc>
          <w:tcPr>
            <w:tcW w:w="910" w:type="dxa"/>
            <w:tcBorders>
              <w:left w:val="nil"/>
              <w:bottom w:val="nil"/>
              <w:right w:val="nil"/>
            </w:tcBorders>
            <w:shd w:val="clear" w:color="auto" w:fill="BFBFBF"/>
          </w:tcPr>
          <w:p w14:paraId="0D39DDAD" w14:textId="77777777" w:rsidR="00141B97" w:rsidRDefault="00911D63">
            <w:pPr>
              <w:pStyle w:val="TableParagraph"/>
              <w:spacing w:line="173" w:lineRule="exact"/>
              <w:ind w:left="172" w:right="175"/>
              <w:jc w:val="center"/>
              <w:rPr>
                <w:sz w:val="16"/>
              </w:rPr>
            </w:pPr>
            <w:r>
              <w:rPr>
                <w:spacing w:val="-4"/>
                <w:sz w:val="16"/>
              </w:rPr>
              <w:t>3.78</w:t>
            </w:r>
          </w:p>
        </w:tc>
        <w:tc>
          <w:tcPr>
            <w:tcW w:w="939" w:type="dxa"/>
            <w:tcBorders>
              <w:left w:val="nil"/>
              <w:bottom w:val="nil"/>
              <w:right w:val="nil"/>
            </w:tcBorders>
            <w:shd w:val="clear" w:color="auto" w:fill="BFBFBF"/>
          </w:tcPr>
          <w:p w14:paraId="7FF9F934" w14:textId="77777777" w:rsidR="00141B97" w:rsidRDefault="00911D63">
            <w:pPr>
              <w:pStyle w:val="TableParagraph"/>
              <w:spacing w:line="173" w:lineRule="exact"/>
              <w:ind w:left="172" w:right="205"/>
              <w:jc w:val="center"/>
              <w:rPr>
                <w:sz w:val="16"/>
              </w:rPr>
            </w:pPr>
            <w:r>
              <w:rPr>
                <w:spacing w:val="-4"/>
                <w:sz w:val="16"/>
              </w:rPr>
              <w:t>3.44</w:t>
            </w:r>
          </w:p>
        </w:tc>
        <w:tc>
          <w:tcPr>
            <w:tcW w:w="869" w:type="dxa"/>
            <w:tcBorders>
              <w:left w:val="nil"/>
              <w:bottom w:val="nil"/>
              <w:right w:val="nil"/>
            </w:tcBorders>
            <w:shd w:val="clear" w:color="auto" w:fill="BFBFBF"/>
          </w:tcPr>
          <w:p w14:paraId="33DA4B68" w14:textId="77777777" w:rsidR="00141B97" w:rsidRDefault="00911D63">
            <w:pPr>
              <w:pStyle w:val="TableParagraph"/>
              <w:spacing w:line="173" w:lineRule="exact"/>
              <w:ind w:right="265"/>
              <w:jc w:val="right"/>
              <w:rPr>
                <w:sz w:val="16"/>
              </w:rPr>
            </w:pPr>
            <w:r>
              <w:rPr>
                <w:spacing w:val="-2"/>
                <w:sz w:val="16"/>
              </w:rPr>
              <w:t>19.97</w:t>
            </w:r>
          </w:p>
        </w:tc>
      </w:tr>
    </w:tbl>
    <w:p w14:paraId="02F8CCF4" w14:textId="77777777" w:rsidR="00141B97" w:rsidRDefault="00911D63">
      <w:pPr>
        <w:spacing w:before="87"/>
        <w:ind w:left="237"/>
        <w:rPr>
          <w:sz w:val="18"/>
        </w:rPr>
      </w:pPr>
      <w:r>
        <w:rPr>
          <w:sz w:val="18"/>
        </w:rPr>
        <w:t>Note:</w:t>
      </w:r>
      <w:r>
        <w:rPr>
          <w:spacing w:val="-6"/>
          <w:sz w:val="18"/>
        </w:rPr>
        <w:t xml:space="preserve"> </w:t>
      </w:r>
      <w:r>
        <w:rPr>
          <w:sz w:val="18"/>
        </w:rPr>
        <w:t>Costs</w:t>
      </w:r>
      <w:r>
        <w:rPr>
          <w:spacing w:val="-3"/>
          <w:sz w:val="18"/>
        </w:rPr>
        <w:t xml:space="preserve"> </w:t>
      </w:r>
      <w:r>
        <w:rPr>
          <w:sz w:val="18"/>
        </w:rPr>
        <w:t>for</w:t>
      </w:r>
      <w:r>
        <w:rPr>
          <w:spacing w:val="-3"/>
          <w:sz w:val="18"/>
        </w:rPr>
        <w:t xml:space="preserve"> </w:t>
      </w:r>
      <w:r>
        <w:rPr>
          <w:sz w:val="18"/>
        </w:rPr>
        <w:t>Corporate</w:t>
      </w:r>
      <w:r>
        <w:rPr>
          <w:spacing w:val="-3"/>
          <w:sz w:val="18"/>
        </w:rPr>
        <w:t xml:space="preserve"> </w:t>
      </w:r>
      <w:r>
        <w:rPr>
          <w:sz w:val="18"/>
        </w:rPr>
        <w:t>projects</w:t>
      </w:r>
      <w:r>
        <w:rPr>
          <w:spacing w:val="-4"/>
          <w:sz w:val="18"/>
        </w:rPr>
        <w:t xml:space="preserve"> </w:t>
      </w:r>
      <w:r>
        <w:rPr>
          <w:sz w:val="18"/>
        </w:rPr>
        <w:t>are</w:t>
      </w:r>
      <w:r>
        <w:rPr>
          <w:spacing w:val="-4"/>
          <w:sz w:val="18"/>
        </w:rPr>
        <w:t xml:space="preserve"> </w:t>
      </w:r>
      <w:r>
        <w:rPr>
          <w:sz w:val="18"/>
        </w:rPr>
        <w:t>the</w:t>
      </w:r>
      <w:r>
        <w:rPr>
          <w:spacing w:val="-4"/>
          <w:sz w:val="18"/>
        </w:rPr>
        <w:t xml:space="preserve"> </w:t>
      </w:r>
      <w:r>
        <w:rPr>
          <w:sz w:val="18"/>
        </w:rPr>
        <w:t>rural</w:t>
      </w:r>
      <w:r>
        <w:rPr>
          <w:spacing w:val="-3"/>
          <w:sz w:val="18"/>
        </w:rPr>
        <w:t xml:space="preserve"> </w:t>
      </w:r>
      <w:r>
        <w:rPr>
          <w:sz w:val="18"/>
        </w:rPr>
        <w:t>component,</w:t>
      </w:r>
      <w:r>
        <w:rPr>
          <w:spacing w:val="-3"/>
          <w:sz w:val="18"/>
        </w:rPr>
        <w:t xml:space="preserve"> </w:t>
      </w:r>
      <w:r>
        <w:rPr>
          <w:sz w:val="18"/>
        </w:rPr>
        <w:t>Heavy</w:t>
      </w:r>
      <w:r>
        <w:rPr>
          <w:spacing w:val="-5"/>
          <w:sz w:val="18"/>
        </w:rPr>
        <w:t xml:space="preserve"> </w:t>
      </w:r>
      <w:r>
        <w:rPr>
          <w:sz w:val="18"/>
        </w:rPr>
        <w:t>and</w:t>
      </w:r>
      <w:r>
        <w:rPr>
          <w:spacing w:val="-2"/>
          <w:sz w:val="18"/>
        </w:rPr>
        <w:t xml:space="preserve"> </w:t>
      </w:r>
      <w:r>
        <w:rPr>
          <w:sz w:val="18"/>
        </w:rPr>
        <w:t>Light</w:t>
      </w:r>
      <w:r>
        <w:rPr>
          <w:spacing w:val="-4"/>
          <w:sz w:val="18"/>
        </w:rPr>
        <w:t xml:space="preserve"> </w:t>
      </w:r>
      <w:r>
        <w:rPr>
          <w:sz w:val="18"/>
        </w:rPr>
        <w:t>Motor</w:t>
      </w:r>
      <w:r>
        <w:rPr>
          <w:spacing w:val="-3"/>
          <w:sz w:val="18"/>
        </w:rPr>
        <w:t xml:space="preserve"> </w:t>
      </w:r>
      <w:r>
        <w:rPr>
          <w:sz w:val="18"/>
        </w:rPr>
        <w:t>Vehicle</w:t>
      </w:r>
      <w:r>
        <w:rPr>
          <w:spacing w:val="-3"/>
          <w:sz w:val="18"/>
        </w:rPr>
        <w:t xml:space="preserve"> </w:t>
      </w:r>
      <w:r>
        <w:rPr>
          <w:sz w:val="18"/>
        </w:rPr>
        <w:t>Fleet</w:t>
      </w:r>
      <w:r>
        <w:rPr>
          <w:spacing w:val="-3"/>
          <w:sz w:val="18"/>
        </w:rPr>
        <w:t xml:space="preserve"> </w:t>
      </w:r>
      <w:r>
        <w:rPr>
          <w:sz w:val="18"/>
        </w:rPr>
        <w:t>totals</w:t>
      </w:r>
      <w:r>
        <w:rPr>
          <w:spacing w:val="-4"/>
          <w:sz w:val="18"/>
        </w:rPr>
        <w:t xml:space="preserve"> </w:t>
      </w:r>
      <w:r>
        <w:rPr>
          <w:sz w:val="18"/>
        </w:rPr>
        <w:t>exclude</w:t>
      </w:r>
      <w:r>
        <w:rPr>
          <w:spacing w:val="-3"/>
          <w:sz w:val="18"/>
        </w:rPr>
        <w:t xml:space="preserve"> </w:t>
      </w:r>
      <w:r>
        <w:rPr>
          <w:sz w:val="18"/>
        </w:rPr>
        <w:t>Tractors,</w:t>
      </w:r>
      <w:r>
        <w:rPr>
          <w:spacing w:val="-3"/>
          <w:sz w:val="18"/>
        </w:rPr>
        <w:t xml:space="preserve"> </w:t>
      </w:r>
      <w:r>
        <w:rPr>
          <w:sz w:val="18"/>
        </w:rPr>
        <w:t>Trailers,</w:t>
      </w:r>
      <w:r>
        <w:rPr>
          <w:spacing w:val="-1"/>
          <w:sz w:val="18"/>
        </w:rPr>
        <w:t xml:space="preserve"> </w:t>
      </w:r>
      <w:r>
        <w:rPr>
          <w:spacing w:val="-5"/>
          <w:sz w:val="18"/>
        </w:rPr>
        <w:t>etc</w:t>
      </w:r>
    </w:p>
    <w:p w14:paraId="1DDB5E78" w14:textId="77777777" w:rsidR="00141B97" w:rsidRDefault="00141B97">
      <w:pPr>
        <w:rPr>
          <w:sz w:val="18"/>
        </w:rPr>
        <w:sectPr w:rsidR="00141B97">
          <w:pgSz w:w="16840" w:h="11910" w:orient="landscape"/>
          <w:pgMar w:top="800" w:right="600" w:bottom="540" w:left="300" w:header="0" w:footer="345" w:gutter="0"/>
          <w:cols w:space="720"/>
        </w:sectPr>
      </w:pPr>
    </w:p>
    <w:p w14:paraId="03C3F36C" w14:textId="77777777" w:rsidR="00141B97" w:rsidRDefault="00911D63">
      <w:pPr>
        <w:pStyle w:val="BodyText"/>
        <w:spacing w:before="27"/>
        <w:ind w:left="124"/>
      </w:pPr>
      <w:r>
        <w:lastRenderedPageBreak/>
        <w:t>C3.4</w:t>
      </w:r>
      <w:r>
        <w:rPr>
          <w:spacing w:val="-6"/>
        </w:rPr>
        <w:t xml:space="preserve"> </w:t>
      </w:r>
      <w:r>
        <w:t>Major</w:t>
      </w:r>
      <w:r>
        <w:rPr>
          <w:spacing w:val="-6"/>
        </w:rPr>
        <w:t xml:space="preserve"> </w:t>
      </w:r>
      <w:r>
        <w:t>Rural</w:t>
      </w:r>
      <w:r>
        <w:rPr>
          <w:spacing w:val="-8"/>
        </w:rPr>
        <w:t xml:space="preserve"> </w:t>
      </w:r>
      <w:r>
        <w:t>Programs</w:t>
      </w:r>
      <w:r>
        <w:rPr>
          <w:spacing w:val="-6"/>
        </w:rPr>
        <w:t xml:space="preserve"> </w:t>
      </w:r>
      <w:r>
        <w:t>–</w:t>
      </w:r>
      <w:r>
        <w:rPr>
          <w:spacing w:val="-6"/>
        </w:rPr>
        <w:t xml:space="preserve"> </w:t>
      </w:r>
      <w:r>
        <w:t>Alignment</w:t>
      </w:r>
      <w:r>
        <w:rPr>
          <w:spacing w:val="-6"/>
        </w:rPr>
        <w:t xml:space="preserve"> </w:t>
      </w:r>
      <w:r>
        <w:t>to</w:t>
      </w:r>
      <w:r>
        <w:rPr>
          <w:spacing w:val="-8"/>
        </w:rPr>
        <w:t xml:space="preserve"> </w:t>
      </w:r>
      <w:r>
        <w:t>Customer</w:t>
      </w:r>
      <w:r>
        <w:rPr>
          <w:spacing w:val="-7"/>
        </w:rPr>
        <w:t xml:space="preserve"> </w:t>
      </w:r>
      <w:r>
        <w:rPr>
          <w:spacing w:val="-2"/>
        </w:rPr>
        <w:t>Outcomes</w:t>
      </w:r>
    </w:p>
    <w:p w14:paraId="0F5E27D7" w14:textId="77777777" w:rsidR="00141B97" w:rsidRDefault="00141B97">
      <w:pPr>
        <w:pStyle w:val="BodyText"/>
        <w:spacing w:before="9" w:after="1"/>
        <w:rPr>
          <w:sz w:val="14"/>
        </w:rPr>
      </w:pPr>
    </w:p>
    <w:tbl>
      <w:tblPr>
        <w:tblW w:w="0" w:type="auto"/>
        <w:tblInd w:w="1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75"/>
        <w:gridCol w:w="1079"/>
        <w:gridCol w:w="1269"/>
        <w:gridCol w:w="1381"/>
        <w:gridCol w:w="1991"/>
        <w:gridCol w:w="2603"/>
        <w:gridCol w:w="2448"/>
        <w:gridCol w:w="3444"/>
      </w:tblGrid>
      <w:tr w:rsidR="00141B97" w14:paraId="7F0853D4" w14:textId="77777777">
        <w:trPr>
          <w:trHeight w:val="779"/>
        </w:trPr>
        <w:tc>
          <w:tcPr>
            <w:tcW w:w="1475" w:type="dxa"/>
            <w:tcBorders>
              <w:top w:val="nil"/>
              <w:left w:val="nil"/>
              <w:right w:val="nil"/>
            </w:tcBorders>
            <w:shd w:val="clear" w:color="auto" w:fill="006CA3"/>
          </w:tcPr>
          <w:p w14:paraId="2A2B2006" w14:textId="77777777" w:rsidR="00141B97" w:rsidRDefault="00141B97">
            <w:pPr>
              <w:pStyle w:val="TableParagraph"/>
              <w:rPr>
                <w:sz w:val="23"/>
              </w:rPr>
            </w:pPr>
          </w:p>
          <w:p w14:paraId="53785381" w14:textId="77777777" w:rsidR="00141B97" w:rsidRDefault="00911D63">
            <w:pPr>
              <w:pStyle w:val="TableParagraph"/>
              <w:ind w:left="140"/>
              <w:rPr>
                <w:sz w:val="18"/>
              </w:rPr>
            </w:pPr>
            <w:r>
              <w:rPr>
                <w:color w:val="FFFFFF"/>
                <w:sz w:val="18"/>
              </w:rPr>
              <w:t xml:space="preserve">Major </w:t>
            </w:r>
            <w:r>
              <w:rPr>
                <w:color w:val="FFFFFF"/>
                <w:spacing w:val="-2"/>
                <w:sz w:val="18"/>
              </w:rPr>
              <w:t>Program</w:t>
            </w:r>
          </w:p>
        </w:tc>
        <w:tc>
          <w:tcPr>
            <w:tcW w:w="1079" w:type="dxa"/>
            <w:tcBorders>
              <w:top w:val="nil"/>
              <w:left w:val="nil"/>
              <w:right w:val="nil"/>
            </w:tcBorders>
            <w:shd w:val="clear" w:color="auto" w:fill="006CA3"/>
          </w:tcPr>
          <w:p w14:paraId="4A286716" w14:textId="77777777" w:rsidR="00141B97" w:rsidRDefault="00911D63">
            <w:pPr>
              <w:pStyle w:val="TableParagraph"/>
              <w:spacing w:before="61"/>
              <w:ind w:left="215" w:right="158" w:firstLine="41"/>
              <w:jc w:val="center"/>
              <w:rPr>
                <w:sz w:val="18"/>
              </w:rPr>
            </w:pPr>
            <w:r>
              <w:rPr>
                <w:color w:val="FFFFFF"/>
                <w:spacing w:val="-4"/>
                <w:sz w:val="18"/>
              </w:rPr>
              <w:t>Total</w:t>
            </w:r>
            <w:r>
              <w:rPr>
                <w:color w:val="FFFFFF"/>
                <w:sz w:val="18"/>
              </w:rPr>
              <w:t xml:space="preserve"> </w:t>
            </w:r>
            <w:r>
              <w:rPr>
                <w:color w:val="FFFFFF"/>
                <w:spacing w:val="-2"/>
                <w:sz w:val="18"/>
              </w:rPr>
              <w:t>Program</w:t>
            </w:r>
            <w:r>
              <w:rPr>
                <w:color w:val="FFFFFF"/>
                <w:sz w:val="18"/>
              </w:rPr>
              <w:t xml:space="preserve"> Cost</w:t>
            </w:r>
            <w:r>
              <w:rPr>
                <w:color w:val="FFFFFF"/>
                <w:spacing w:val="-2"/>
                <w:sz w:val="18"/>
              </w:rPr>
              <w:t xml:space="preserve"> </w:t>
            </w:r>
            <w:r>
              <w:rPr>
                <w:color w:val="FFFFFF"/>
                <w:spacing w:val="-4"/>
                <w:sz w:val="18"/>
              </w:rPr>
              <w:t>($m)</w:t>
            </w:r>
          </w:p>
        </w:tc>
        <w:tc>
          <w:tcPr>
            <w:tcW w:w="1269" w:type="dxa"/>
            <w:tcBorders>
              <w:top w:val="nil"/>
              <w:left w:val="nil"/>
              <w:right w:val="nil"/>
            </w:tcBorders>
            <w:shd w:val="clear" w:color="auto" w:fill="006CA3"/>
          </w:tcPr>
          <w:p w14:paraId="0B078E10" w14:textId="77777777" w:rsidR="00141B97" w:rsidRDefault="00141B97">
            <w:pPr>
              <w:pStyle w:val="TableParagraph"/>
              <w:spacing w:before="11"/>
              <w:rPr>
                <w:sz w:val="13"/>
              </w:rPr>
            </w:pPr>
          </w:p>
          <w:p w14:paraId="3BE1B1D6" w14:textId="77777777" w:rsidR="00141B97" w:rsidRDefault="00911D63">
            <w:pPr>
              <w:pStyle w:val="TableParagraph"/>
              <w:ind w:left="310" w:right="110" w:hanging="152"/>
              <w:rPr>
                <w:sz w:val="18"/>
              </w:rPr>
            </w:pPr>
            <w:r>
              <w:rPr>
                <w:color w:val="FFFFFF"/>
                <w:sz w:val="18"/>
              </w:rPr>
              <w:t>Major</w:t>
            </w:r>
            <w:r>
              <w:rPr>
                <w:color w:val="FFFFFF"/>
                <w:spacing w:val="-11"/>
                <w:sz w:val="18"/>
              </w:rPr>
              <w:t xml:space="preserve"> </w:t>
            </w:r>
            <w:r>
              <w:rPr>
                <w:color w:val="FFFFFF"/>
                <w:sz w:val="18"/>
              </w:rPr>
              <w:t xml:space="preserve">Service </w:t>
            </w:r>
            <w:r>
              <w:rPr>
                <w:color w:val="FFFFFF"/>
                <w:spacing w:val="-2"/>
                <w:sz w:val="18"/>
              </w:rPr>
              <w:t>Category</w:t>
            </w:r>
          </w:p>
        </w:tc>
        <w:tc>
          <w:tcPr>
            <w:tcW w:w="1381" w:type="dxa"/>
            <w:tcBorders>
              <w:top w:val="nil"/>
              <w:left w:val="nil"/>
              <w:right w:val="single" w:sz="6" w:space="0" w:color="FFFFFF"/>
            </w:tcBorders>
            <w:shd w:val="clear" w:color="auto" w:fill="006CA3"/>
          </w:tcPr>
          <w:p w14:paraId="5C703728" w14:textId="77777777" w:rsidR="00141B97" w:rsidRDefault="00141B97">
            <w:pPr>
              <w:pStyle w:val="TableParagraph"/>
              <w:rPr>
                <w:sz w:val="23"/>
              </w:rPr>
            </w:pPr>
          </w:p>
          <w:p w14:paraId="5800E042" w14:textId="77777777" w:rsidR="00141B97" w:rsidRDefault="00911D63">
            <w:pPr>
              <w:pStyle w:val="TableParagraph"/>
              <w:ind w:left="98" w:right="142"/>
              <w:jc w:val="center"/>
              <w:rPr>
                <w:sz w:val="18"/>
              </w:rPr>
            </w:pPr>
            <w:r>
              <w:rPr>
                <w:color w:val="FFFFFF"/>
                <w:sz w:val="18"/>
              </w:rPr>
              <w:t>ESC</w:t>
            </w:r>
            <w:r>
              <w:rPr>
                <w:color w:val="FFFFFF"/>
                <w:spacing w:val="-2"/>
                <w:sz w:val="18"/>
              </w:rPr>
              <w:t xml:space="preserve"> </w:t>
            </w:r>
            <w:r>
              <w:rPr>
                <w:color w:val="FFFFFF"/>
                <w:sz w:val="18"/>
              </w:rPr>
              <w:t>Cost</w:t>
            </w:r>
            <w:r>
              <w:rPr>
                <w:color w:val="FFFFFF"/>
                <w:spacing w:val="-1"/>
                <w:sz w:val="18"/>
              </w:rPr>
              <w:t xml:space="preserve"> </w:t>
            </w:r>
            <w:r>
              <w:rPr>
                <w:color w:val="FFFFFF"/>
                <w:spacing w:val="-2"/>
                <w:sz w:val="18"/>
              </w:rPr>
              <w:t>Driver</w:t>
            </w:r>
          </w:p>
        </w:tc>
        <w:tc>
          <w:tcPr>
            <w:tcW w:w="1991" w:type="dxa"/>
            <w:tcBorders>
              <w:top w:val="single" w:sz="4" w:space="0" w:color="000000"/>
              <w:left w:val="single" w:sz="6" w:space="0" w:color="FFFFFF"/>
              <w:right w:val="single" w:sz="8" w:space="0" w:color="FFFFFF"/>
            </w:tcBorders>
            <w:shd w:val="clear" w:color="auto" w:fill="006CA3"/>
          </w:tcPr>
          <w:p w14:paraId="34A81EF1" w14:textId="77777777" w:rsidR="00141B97" w:rsidRDefault="00141B97">
            <w:pPr>
              <w:pStyle w:val="TableParagraph"/>
              <w:spacing w:before="11"/>
              <w:rPr>
                <w:sz w:val="13"/>
              </w:rPr>
            </w:pPr>
          </w:p>
          <w:p w14:paraId="30B7CAA9" w14:textId="77777777" w:rsidR="00141B97" w:rsidRDefault="00911D63">
            <w:pPr>
              <w:pStyle w:val="TableParagraph"/>
              <w:ind w:left="643" w:right="296" w:hanging="352"/>
              <w:rPr>
                <w:sz w:val="18"/>
              </w:rPr>
            </w:pPr>
            <w:r>
              <w:rPr>
                <w:color w:val="FFFFFF"/>
                <w:sz w:val="18"/>
              </w:rPr>
              <w:t>Relevant</w:t>
            </w:r>
            <w:r>
              <w:rPr>
                <w:color w:val="FFFFFF"/>
                <w:spacing w:val="-11"/>
                <w:sz w:val="18"/>
              </w:rPr>
              <w:t xml:space="preserve"> </w:t>
            </w:r>
            <w:r>
              <w:rPr>
                <w:color w:val="FFFFFF"/>
                <w:sz w:val="18"/>
              </w:rPr>
              <w:t xml:space="preserve">Customer </w:t>
            </w:r>
            <w:r>
              <w:rPr>
                <w:color w:val="FFFFFF"/>
                <w:spacing w:val="-2"/>
                <w:sz w:val="18"/>
              </w:rPr>
              <w:t>Outcome</w:t>
            </w:r>
          </w:p>
        </w:tc>
        <w:tc>
          <w:tcPr>
            <w:tcW w:w="2603" w:type="dxa"/>
            <w:tcBorders>
              <w:top w:val="single" w:sz="4" w:space="0" w:color="000000"/>
              <w:left w:val="single" w:sz="8" w:space="0" w:color="FFFFFF"/>
              <w:right w:val="single" w:sz="6" w:space="0" w:color="FFFFFF"/>
            </w:tcBorders>
            <w:shd w:val="clear" w:color="auto" w:fill="006CA3"/>
          </w:tcPr>
          <w:p w14:paraId="15E67756" w14:textId="77777777" w:rsidR="00141B97" w:rsidRDefault="00141B97">
            <w:pPr>
              <w:pStyle w:val="TableParagraph"/>
              <w:rPr>
                <w:sz w:val="23"/>
              </w:rPr>
            </w:pPr>
          </w:p>
          <w:p w14:paraId="457CCBB9" w14:textId="77777777" w:rsidR="00141B97" w:rsidRDefault="00911D63">
            <w:pPr>
              <w:pStyle w:val="TableParagraph"/>
              <w:ind w:left="933" w:right="944"/>
              <w:jc w:val="center"/>
              <w:rPr>
                <w:sz w:val="18"/>
              </w:rPr>
            </w:pPr>
            <w:r>
              <w:rPr>
                <w:color w:val="FFFFFF"/>
                <w:spacing w:val="-2"/>
                <w:sz w:val="18"/>
              </w:rPr>
              <w:t>Objective</w:t>
            </w:r>
          </w:p>
        </w:tc>
        <w:tc>
          <w:tcPr>
            <w:tcW w:w="2448" w:type="dxa"/>
            <w:tcBorders>
              <w:top w:val="single" w:sz="4" w:space="0" w:color="000000"/>
              <w:left w:val="single" w:sz="6" w:space="0" w:color="FFFFFF"/>
              <w:right w:val="single" w:sz="8" w:space="0" w:color="FFFFFF"/>
            </w:tcBorders>
            <w:shd w:val="clear" w:color="auto" w:fill="006CA3"/>
          </w:tcPr>
          <w:p w14:paraId="5FA05BDC" w14:textId="77777777" w:rsidR="00141B97" w:rsidRDefault="00141B97">
            <w:pPr>
              <w:pStyle w:val="TableParagraph"/>
              <w:rPr>
                <w:sz w:val="23"/>
              </w:rPr>
            </w:pPr>
          </w:p>
          <w:p w14:paraId="25F0F717" w14:textId="77777777" w:rsidR="00141B97" w:rsidRDefault="00911D63">
            <w:pPr>
              <w:pStyle w:val="TableParagraph"/>
              <w:ind w:left="978" w:right="987"/>
              <w:jc w:val="center"/>
              <w:rPr>
                <w:sz w:val="18"/>
              </w:rPr>
            </w:pPr>
            <w:r>
              <w:rPr>
                <w:color w:val="FFFFFF"/>
                <w:spacing w:val="-2"/>
                <w:sz w:val="18"/>
              </w:rPr>
              <w:t>Scope</w:t>
            </w:r>
          </w:p>
        </w:tc>
        <w:tc>
          <w:tcPr>
            <w:tcW w:w="3444" w:type="dxa"/>
            <w:tcBorders>
              <w:top w:val="single" w:sz="4" w:space="0" w:color="000000"/>
              <w:left w:val="single" w:sz="8" w:space="0" w:color="FFFFFF"/>
              <w:right w:val="nil"/>
            </w:tcBorders>
            <w:shd w:val="clear" w:color="auto" w:fill="006CA3"/>
          </w:tcPr>
          <w:p w14:paraId="284403F9" w14:textId="77777777" w:rsidR="00141B97" w:rsidRDefault="00141B97">
            <w:pPr>
              <w:pStyle w:val="TableParagraph"/>
              <w:rPr>
                <w:sz w:val="23"/>
              </w:rPr>
            </w:pPr>
          </w:p>
          <w:p w14:paraId="54594065" w14:textId="77777777" w:rsidR="00141B97" w:rsidRDefault="00911D63">
            <w:pPr>
              <w:pStyle w:val="TableParagraph"/>
              <w:ind w:left="87" w:right="90"/>
              <w:jc w:val="center"/>
              <w:rPr>
                <w:sz w:val="18"/>
              </w:rPr>
            </w:pPr>
            <w:r>
              <w:rPr>
                <w:color w:val="FFFFFF"/>
                <w:spacing w:val="-2"/>
                <w:sz w:val="18"/>
              </w:rPr>
              <w:t>Justification</w:t>
            </w:r>
          </w:p>
        </w:tc>
      </w:tr>
      <w:tr w:rsidR="00141B97" w14:paraId="28EE1684" w14:textId="77777777">
        <w:trPr>
          <w:trHeight w:val="1109"/>
        </w:trPr>
        <w:tc>
          <w:tcPr>
            <w:tcW w:w="1475" w:type="dxa"/>
            <w:tcBorders>
              <w:left w:val="nil"/>
              <w:right w:val="nil"/>
            </w:tcBorders>
            <w:shd w:val="clear" w:color="auto" w:fill="CCE2ED"/>
          </w:tcPr>
          <w:p w14:paraId="7D84F6DB" w14:textId="77777777" w:rsidR="00141B97" w:rsidRDefault="00141B97">
            <w:pPr>
              <w:pStyle w:val="TableParagraph"/>
              <w:rPr>
                <w:sz w:val="18"/>
              </w:rPr>
            </w:pPr>
          </w:p>
          <w:p w14:paraId="70FF1FB9" w14:textId="77777777" w:rsidR="00141B97" w:rsidRDefault="00911D63">
            <w:pPr>
              <w:pStyle w:val="TableParagraph"/>
              <w:spacing w:before="121"/>
              <w:ind w:left="103" w:right="208"/>
              <w:rPr>
                <w:sz w:val="18"/>
              </w:rPr>
            </w:pPr>
            <w:r>
              <w:rPr>
                <w:sz w:val="18"/>
              </w:rPr>
              <w:t>Irrigation</w:t>
            </w:r>
            <w:r>
              <w:rPr>
                <w:spacing w:val="-11"/>
                <w:sz w:val="18"/>
              </w:rPr>
              <w:t xml:space="preserve"> </w:t>
            </w:r>
            <w:r>
              <w:rPr>
                <w:sz w:val="18"/>
              </w:rPr>
              <w:t xml:space="preserve">Meter </w:t>
            </w:r>
            <w:r>
              <w:rPr>
                <w:spacing w:val="-2"/>
                <w:sz w:val="18"/>
              </w:rPr>
              <w:t>Replacement</w:t>
            </w:r>
          </w:p>
        </w:tc>
        <w:tc>
          <w:tcPr>
            <w:tcW w:w="1079" w:type="dxa"/>
            <w:tcBorders>
              <w:left w:val="nil"/>
              <w:right w:val="nil"/>
            </w:tcBorders>
            <w:shd w:val="clear" w:color="auto" w:fill="CCE2ED"/>
          </w:tcPr>
          <w:p w14:paraId="0670F944" w14:textId="77777777" w:rsidR="00141B97" w:rsidRDefault="00141B97">
            <w:pPr>
              <w:pStyle w:val="TableParagraph"/>
              <w:rPr>
                <w:sz w:val="18"/>
              </w:rPr>
            </w:pPr>
          </w:p>
          <w:p w14:paraId="37175F53" w14:textId="77777777" w:rsidR="00141B97" w:rsidRDefault="00141B97">
            <w:pPr>
              <w:pStyle w:val="TableParagraph"/>
              <w:spacing w:before="10"/>
              <w:rPr>
                <w:sz w:val="18"/>
              </w:rPr>
            </w:pPr>
          </w:p>
          <w:p w14:paraId="16B0C0C8" w14:textId="77777777" w:rsidR="00141B97" w:rsidRDefault="00911D63">
            <w:pPr>
              <w:pStyle w:val="TableParagraph"/>
              <w:ind w:right="330"/>
              <w:jc w:val="right"/>
              <w:rPr>
                <w:sz w:val="18"/>
              </w:rPr>
            </w:pPr>
            <w:r>
              <w:rPr>
                <w:spacing w:val="-4"/>
                <w:sz w:val="18"/>
              </w:rPr>
              <w:t>5.81</w:t>
            </w:r>
          </w:p>
        </w:tc>
        <w:tc>
          <w:tcPr>
            <w:tcW w:w="1269" w:type="dxa"/>
            <w:tcBorders>
              <w:left w:val="nil"/>
              <w:right w:val="nil"/>
            </w:tcBorders>
            <w:shd w:val="clear" w:color="auto" w:fill="CCE2ED"/>
          </w:tcPr>
          <w:p w14:paraId="15E07307" w14:textId="77777777" w:rsidR="00141B97" w:rsidRDefault="00141B97">
            <w:pPr>
              <w:pStyle w:val="TableParagraph"/>
              <w:rPr>
                <w:sz w:val="18"/>
              </w:rPr>
            </w:pPr>
          </w:p>
          <w:p w14:paraId="5EA99A20" w14:textId="77777777" w:rsidR="00141B97" w:rsidRDefault="00141B97">
            <w:pPr>
              <w:pStyle w:val="TableParagraph"/>
              <w:spacing w:before="10"/>
              <w:rPr>
                <w:sz w:val="18"/>
              </w:rPr>
            </w:pPr>
          </w:p>
          <w:p w14:paraId="2B8A9B83" w14:textId="77777777" w:rsidR="00141B97" w:rsidRDefault="00911D63">
            <w:pPr>
              <w:pStyle w:val="TableParagraph"/>
              <w:ind w:right="280"/>
              <w:jc w:val="right"/>
              <w:rPr>
                <w:sz w:val="18"/>
              </w:rPr>
            </w:pPr>
            <w:r>
              <w:rPr>
                <w:spacing w:val="-2"/>
                <w:sz w:val="18"/>
              </w:rPr>
              <w:t>Irrigation</w:t>
            </w:r>
          </w:p>
        </w:tc>
        <w:tc>
          <w:tcPr>
            <w:tcW w:w="1381" w:type="dxa"/>
            <w:tcBorders>
              <w:left w:val="nil"/>
              <w:right w:val="single" w:sz="6" w:space="0" w:color="FFFFFF"/>
            </w:tcBorders>
            <w:shd w:val="clear" w:color="auto" w:fill="CCE2ED"/>
          </w:tcPr>
          <w:p w14:paraId="7F7CBAEA" w14:textId="77777777" w:rsidR="00141B97" w:rsidRDefault="00141B97">
            <w:pPr>
              <w:pStyle w:val="TableParagraph"/>
              <w:rPr>
                <w:sz w:val="18"/>
              </w:rPr>
            </w:pPr>
          </w:p>
          <w:p w14:paraId="6F1BAA67" w14:textId="77777777" w:rsidR="00141B97" w:rsidRDefault="00141B97">
            <w:pPr>
              <w:pStyle w:val="TableParagraph"/>
              <w:spacing w:before="10"/>
              <w:rPr>
                <w:sz w:val="18"/>
              </w:rPr>
            </w:pPr>
          </w:p>
          <w:p w14:paraId="136513F4" w14:textId="77777777" w:rsidR="00141B97" w:rsidRDefault="00911D63">
            <w:pPr>
              <w:pStyle w:val="TableParagraph"/>
              <w:ind w:left="98" w:right="141"/>
              <w:jc w:val="center"/>
              <w:rPr>
                <w:sz w:val="18"/>
              </w:rPr>
            </w:pPr>
            <w:r>
              <w:rPr>
                <w:spacing w:val="-2"/>
                <w:sz w:val="18"/>
              </w:rPr>
              <w:t>Renewals</w:t>
            </w:r>
          </w:p>
        </w:tc>
        <w:tc>
          <w:tcPr>
            <w:tcW w:w="1991" w:type="dxa"/>
            <w:tcBorders>
              <w:left w:val="single" w:sz="6" w:space="0" w:color="FFFFFF"/>
              <w:right w:val="single" w:sz="8" w:space="0" w:color="FFFFFF"/>
            </w:tcBorders>
            <w:shd w:val="clear" w:color="auto" w:fill="CCE2ED"/>
          </w:tcPr>
          <w:p w14:paraId="27BB25B9" w14:textId="77777777" w:rsidR="00141B97" w:rsidRDefault="00141B97">
            <w:pPr>
              <w:pStyle w:val="TableParagraph"/>
              <w:spacing w:before="10"/>
              <w:rPr>
                <w:sz w:val="18"/>
              </w:rPr>
            </w:pPr>
          </w:p>
          <w:p w14:paraId="51A2F8E2" w14:textId="77777777" w:rsidR="00141B97" w:rsidRDefault="00911D63">
            <w:pPr>
              <w:pStyle w:val="TableParagraph"/>
              <w:ind w:left="93"/>
              <w:rPr>
                <w:sz w:val="18"/>
              </w:rPr>
            </w:pPr>
            <w:r>
              <w:rPr>
                <w:sz w:val="18"/>
              </w:rPr>
              <w:t>Services</w:t>
            </w:r>
            <w:r>
              <w:rPr>
                <w:spacing w:val="-2"/>
                <w:sz w:val="18"/>
              </w:rPr>
              <w:t xml:space="preserve"> </w:t>
            </w:r>
            <w:r>
              <w:rPr>
                <w:sz w:val="18"/>
              </w:rPr>
              <w:t>provide customers</w:t>
            </w:r>
            <w:r>
              <w:rPr>
                <w:spacing w:val="-11"/>
                <w:sz w:val="18"/>
              </w:rPr>
              <w:t xml:space="preserve"> </w:t>
            </w:r>
            <w:r>
              <w:rPr>
                <w:sz w:val="18"/>
              </w:rPr>
              <w:t>value</w:t>
            </w:r>
            <w:r>
              <w:rPr>
                <w:spacing w:val="-10"/>
                <w:sz w:val="18"/>
              </w:rPr>
              <w:t xml:space="preserve"> </w:t>
            </w:r>
            <w:r>
              <w:rPr>
                <w:sz w:val="18"/>
              </w:rPr>
              <w:t xml:space="preserve">for </w:t>
            </w:r>
            <w:r>
              <w:rPr>
                <w:spacing w:val="-2"/>
                <w:sz w:val="18"/>
              </w:rPr>
              <w:t>money</w:t>
            </w:r>
          </w:p>
        </w:tc>
        <w:tc>
          <w:tcPr>
            <w:tcW w:w="2603" w:type="dxa"/>
            <w:tcBorders>
              <w:left w:val="single" w:sz="8" w:space="0" w:color="FFFFFF"/>
              <w:right w:val="single" w:sz="6" w:space="0" w:color="FFFFFF"/>
            </w:tcBorders>
            <w:shd w:val="clear" w:color="auto" w:fill="CCE2ED"/>
          </w:tcPr>
          <w:p w14:paraId="7432C54C" w14:textId="77777777" w:rsidR="00141B97" w:rsidRDefault="00911D63">
            <w:pPr>
              <w:pStyle w:val="TableParagraph"/>
              <w:spacing w:before="11"/>
              <w:ind w:left="92" w:right="85"/>
              <w:rPr>
                <w:sz w:val="18"/>
              </w:rPr>
            </w:pPr>
            <w:r>
              <w:rPr>
                <w:sz w:val="18"/>
              </w:rPr>
              <w:t>Maintain</w:t>
            </w:r>
            <w:r>
              <w:rPr>
                <w:spacing w:val="-11"/>
                <w:sz w:val="18"/>
              </w:rPr>
              <w:t xml:space="preserve"> </w:t>
            </w:r>
            <w:r>
              <w:rPr>
                <w:sz w:val="18"/>
              </w:rPr>
              <w:t>accurate</w:t>
            </w:r>
            <w:r>
              <w:rPr>
                <w:spacing w:val="-10"/>
                <w:sz w:val="18"/>
              </w:rPr>
              <w:t xml:space="preserve"> </w:t>
            </w:r>
            <w:r>
              <w:rPr>
                <w:sz w:val="18"/>
              </w:rPr>
              <w:t>metering</w:t>
            </w:r>
            <w:r>
              <w:rPr>
                <w:spacing w:val="-10"/>
                <w:sz w:val="18"/>
              </w:rPr>
              <w:t xml:space="preserve"> </w:t>
            </w:r>
            <w:r>
              <w:rPr>
                <w:sz w:val="18"/>
              </w:rPr>
              <w:t>fleet and to meet compliance with National Standards for non‐ urban</w:t>
            </w:r>
            <w:r>
              <w:rPr>
                <w:spacing w:val="-2"/>
                <w:sz w:val="18"/>
              </w:rPr>
              <w:t xml:space="preserve"> </w:t>
            </w:r>
            <w:r>
              <w:rPr>
                <w:sz w:val="18"/>
              </w:rPr>
              <w:t>metering.</w:t>
            </w:r>
          </w:p>
        </w:tc>
        <w:tc>
          <w:tcPr>
            <w:tcW w:w="2448" w:type="dxa"/>
            <w:tcBorders>
              <w:left w:val="single" w:sz="6" w:space="0" w:color="FFFFFF"/>
              <w:right w:val="single" w:sz="8" w:space="0" w:color="FFFFFF"/>
            </w:tcBorders>
            <w:shd w:val="clear" w:color="auto" w:fill="CCE2ED"/>
          </w:tcPr>
          <w:p w14:paraId="5AC7F496" w14:textId="77777777" w:rsidR="00141B97" w:rsidRDefault="00911D63">
            <w:pPr>
              <w:pStyle w:val="TableParagraph"/>
              <w:spacing w:before="11"/>
              <w:ind w:left="91" w:right="79"/>
              <w:rPr>
                <w:sz w:val="18"/>
              </w:rPr>
            </w:pPr>
            <w:r>
              <w:rPr>
                <w:sz w:val="18"/>
              </w:rPr>
              <w:t>Replacement of aged or inaccurate</w:t>
            </w:r>
            <w:r>
              <w:rPr>
                <w:spacing w:val="-11"/>
                <w:sz w:val="18"/>
              </w:rPr>
              <w:t xml:space="preserve"> </w:t>
            </w:r>
            <w:r>
              <w:rPr>
                <w:sz w:val="18"/>
              </w:rPr>
              <w:t>irrigation</w:t>
            </w:r>
            <w:r>
              <w:rPr>
                <w:spacing w:val="-10"/>
                <w:sz w:val="18"/>
              </w:rPr>
              <w:t xml:space="preserve"> </w:t>
            </w:r>
            <w:r>
              <w:rPr>
                <w:sz w:val="18"/>
              </w:rPr>
              <w:t>and</w:t>
            </w:r>
            <w:r>
              <w:rPr>
                <w:spacing w:val="-10"/>
                <w:sz w:val="18"/>
              </w:rPr>
              <w:t xml:space="preserve"> </w:t>
            </w:r>
            <w:r>
              <w:rPr>
                <w:sz w:val="18"/>
              </w:rPr>
              <w:t>stock &amp; domestic flow meters.</w:t>
            </w:r>
          </w:p>
        </w:tc>
        <w:tc>
          <w:tcPr>
            <w:tcW w:w="3444" w:type="dxa"/>
            <w:tcBorders>
              <w:left w:val="single" w:sz="8" w:space="0" w:color="FFFFFF"/>
              <w:right w:val="nil"/>
            </w:tcBorders>
            <w:shd w:val="clear" w:color="auto" w:fill="CCE2ED"/>
          </w:tcPr>
          <w:p w14:paraId="43FF019F" w14:textId="77777777" w:rsidR="00141B97" w:rsidRDefault="00911D63">
            <w:pPr>
              <w:pStyle w:val="TableParagraph"/>
              <w:spacing w:line="220" w:lineRule="atLeast"/>
              <w:ind w:left="91" w:right="74"/>
              <w:rPr>
                <w:sz w:val="18"/>
              </w:rPr>
            </w:pPr>
            <w:r>
              <w:rPr>
                <w:sz w:val="18"/>
              </w:rPr>
              <w:t>A</w:t>
            </w:r>
            <w:r>
              <w:rPr>
                <w:spacing w:val="-4"/>
                <w:sz w:val="18"/>
              </w:rPr>
              <w:t xml:space="preserve"> </w:t>
            </w:r>
            <w:r>
              <w:rPr>
                <w:sz w:val="18"/>
              </w:rPr>
              <w:t>risk‐based</w:t>
            </w:r>
            <w:r>
              <w:rPr>
                <w:spacing w:val="-6"/>
                <w:sz w:val="18"/>
              </w:rPr>
              <w:t xml:space="preserve"> </w:t>
            </w:r>
            <w:r>
              <w:rPr>
                <w:sz w:val="18"/>
              </w:rPr>
              <w:t>approach</w:t>
            </w:r>
            <w:r>
              <w:rPr>
                <w:spacing w:val="-4"/>
                <w:sz w:val="18"/>
              </w:rPr>
              <w:t xml:space="preserve"> </w:t>
            </w:r>
            <w:r>
              <w:rPr>
                <w:sz w:val="18"/>
              </w:rPr>
              <w:t>is</w:t>
            </w:r>
            <w:r>
              <w:rPr>
                <w:spacing w:val="-4"/>
                <w:sz w:val="18"/>
              </w:rPr>
              <w:t xml:space="preserve"> </w:t>
            </w:r>
            <w:r>
              <w:rPr>
                <w:sz w:val="18"/>
              </w:rPr>
              <w:t>adopted</w:t>
            </w:r>
            <w:r>
              <w:rPr>
                <w:spacing w:val="-6"/>
                <w:sz w:val="18"/>
              </w:rPr>
              <w:t xml:space="preserve"> </w:t>
            </w:r>
            <w:r>
              <w:rPr>
                <w:sz w:val="18"/>
              </w:rPr>
              <w:t>based</w:t>
            </w:r>
            <w:r>
              <w:rPr>
                <w:spacing w:val="-5"/>
                <w:sz w:val="18"/>
              </w:rPr>
              <w:t xml:space="preserve"> </w:t>
            </w:r>
            <w:r>
              <w:rPr>
                <w:sz w:val="18"/>
              </w:rPr>
              <w:t>on the condition (asset age), type, size and performance of the existing meters, to proactively replace meters to ensure accuracy and compliance.</w:t>
            </w:r>
          </w:p>
        </w:tc>
      </w:tr>
      <w:tr w:rsidR="00141B97" w14:paraId="7B9341A9" w14:textId="77777777">
        <w:trPr>
          <w:trHeight w:val="236"/>
        </w:trPr>
        <w:tc>
          <w:tcPr>
            <w:tcW w:w="1475" w:type="dxa"/>
            <w:tcBorders>
              <w:left w:val="nil"/>
              <w:bottom w:val="nil"/>
              <w:right w:val="nil"/>
            </w:tcBorders>
            <w:shd w:val="clear" w:color="auto" w:fill="CCE2ED"/>
          </w:tcPr>
          <w:p w14:paraId="50E2930E" w14:textId="77777777" w:rsidR="00141B97" w:rsidRDefault="00911D63">
            <w:pPr>
              <w:pStyle w:val="TableParagraph"/>
              <w:spacing w:line="216" w:lineRule="exact"/>
              <w:ind w:left="103"/>
              <w:rPr>
                <w:sz w:val="18"/>
              </w:rPr>
            </w:pPr>
            <w:r>
              <w:rPr>
                <w:sz w:val="18"/>
              </w:rPr>
              <w:t>Light</w:t>
            </w:r>
            <w:r>
              <w:rPr>
                <w:spacing w:val="-5"/>
                <w:sz w:val="18"/>
              </w:rPr>
              <w:t xml:space="preserve"> </w:t>
            </w:r>
            <w:r>
              <w:rPr>
                <w:spacing w:val="-2"/>
                <w:sz w:val="18"/>
              </w:rPr>
              <w:t>Motor</w:t>
            </w:r>
          </w:p>
        </w:tc>
        <w:tc>
          <w:tcPr>
            <w:tcW w:w="1079" w:type="dxa"/>
            <w:tcBorders>
              <w:left w:val="nil"/>
              <w:bottom w:val="nil"/>
              <w:right w:val="nil"/>
            </w:tcBorders>
            <w:shd w:val="clear" w:color="auto" w:fill="CCE2ED"/>
          </w:tcPr>
          <w:p w14:paraId="1F305668" w14:textId="77777777" w:rsidR="00141B97" w:rsidRDefault="00141B97">
            <w:pPr>
              <w:pStyle w:val="TableParagraph"/>
              <w:rPr>
                <w:rFonts w:ascii="Times New Roman"/>
                <w:sz w:val="16"/>
              </w:rPr>
            </w:pPr>
          </w:p>
        </w:tc>
        <w:tc>
          <w:tcPr>
            <w:tcW w:w="1269" w:type="dxa"/>
            <w:tcBorders>
              <w:left w:val="nil"/>
              <w:bottom w:val="nil"/>
              <w:right w:val="nil"/>
            </w:tcBorders>
            <w:shd w:val="clear" w:color="auto" w:fill="CCE2ED"/>
          </w:tcPr>
          <w:p w14:paraId="1C6F90DA" w14:textId="77777777" w:rsidR="00141B97" w:rsidRDefault="00141B97">
            <w:pPr>
              <w:pStyle w:val="TableParagraph"/>
              <w:rPr>
                <w:rFonts w:ascii="Times New Roman"/>
                <w:sz w:val="16"/>
              </w:rPr>
            </w:pPr>
          </w:p>
        </w:tc>
        <w:tc>
          <w:tcPr>
            <w:tcW w:w="1381" w:type="dxa"/>
            <w:tcBorders>
              <w:left w:val="nil"/>
              <w:bottom w:val="nil"/>
              <w:right w:val="single" w:sz="6" w:space="0" w:color="FFFFFF"/>
            </w:tcBorders>
            <w:shd w:val="clear" w:color="auto" w:fill="CCE2ED"/>
          </w:tcPr>
          <w:p w14:paraId="7F14B017" w14:textId="77777777" w:rsidR="00141B97" w:rsidRDefault="00141B97">
            <w:pPr>
              <w:pStyle w:val="TableParagraph"/>
              <w:rPr>
                <w:rFonts w:ascii="Times New Roman"/>
                <w:sz w:val="16"/>
              </w:rPr>
            </w:pPr>
          </w:p>
        </w:tc>
        <w:tc>
          <w:tcPr>
            <w:tcW w:w="1991" w:type="dxa"/>
            <w:tcBorders>
              <w:left w:val="single" w:sz="6" w:space="0" w:color="FFFFFF"/>
              <w:bottom w:val="nil"/>
              <w:right w:val="single" w:sz="8" w:space="0" w:color="FFFFFF"/>
            </w:tcBorders>
            <w:shd w:val="clear" w:color="auto" w:fill="CCE2ED"/>
          </w:tcPr>
          <w:p w14:paraId="57B46BB3" w14:textId="77777777" w:rsidR="00141B97" w:rsidRDefault="00141B97">
            <w:pPr>
              <w:pStyle w:val="TableParagraph"/>
              <w:rPr>
                <w:rFonts w:ascii="Times New Roman"/>
                <w:sz w:val="16"/>
              </w:rPr>
            </w:pPr>
          </w:p>
        </w:tc>
        <w:tc>
          <w:tcPr>
            <w:tcW w:w="2603" w:type="dxa"/>
            <w:tcBorders>
              <w:left w:val="single" w:sz="8" w:space="0" w:color="FFFFFF"/>
              <w:bottom w:val="nil"/>
              <w:right w:val="single" w:sz="6" w:space="0" w:color="FFFFFF"/>
            </w:tcBorders>
            <w:shd w:val="clear" w:color="auto" w:fill="CCE2ED"/>
          </w:tcPr>
          <w:p w14:paraId="3F9489EB" w14:textId="77777777" w:rsidR="00141B97" w:rsidRDefault="00911D63">
            <w:pPr>
              <w:pStyle w:val="TableParagraph"/>
              <w:spacing w:line="216" w:lineRule="exact"/>
              <w:ind w:left="92"/>
              <w:rPr>
                <w:sz w:val="18"/>
              </w:rPr>
            </w:pPr>
            <w:r>
              <w:rPr>
                <w:sz w:val="18"/>
              </w:rPr>
              <w:t>Maintain</w:t>
            </w:r>
            <w:r>
              <w:rPr>
                <w:spacing w:val="-3"/>
                <w:sz w:val="18"/>
              </w:rPr>
              <w:t xml:space="preserve"> </w:t>
            </w:r>
            <w:r>
              <w:rPr>
                <w:sz w:val="18"/>
              </w:rPr>
              <w:t>light</w:t>
            </w:r>
            <w:r>
              <w:rPr>
                <w:spacing w:val="-3"/>
                <w:sz w:val="18"/>
              </w:rPr>
              <w:t xml:space="preserve"> </w:t>
            </w:r>
            <w:r>
              <w:rPr>
                <w:sz w:val="18"/>
              </w:rPr>
              <w:t>vehicle</w:t>
            </w:r>
            <w:r>
              <w:rPr>
                <w:spacing w:val="-3"/>
                <w:sz w:val="18"/>
              </w:rPr>
              <w:t xml:space="preserve"> </w:t>
            </w:r>
            <w:r>
              <w:rPr>
                <w:sz w:val="18"/>
              </w:rPr>
              <w:t>fleet</w:t>
            </w:r>
            <w:r>
              <w:rPr>
                <w:spacing w:val="-2"/>
                <w:sz w:val="18"/>
              </w:rPr>
              <w:t xml:space="preserve"> </w:t>
            </w:r>
            <w:r>
              <w:rPr>
                <w:spacing w:val="-5"/>
                <w:sz w:val="18"/>
              </w:rPr>
              <w:t>to</w:t>
            </w:r>
          </w:p>
        </w:tc>
        <w:tc>
          <w:tcPr>
            <w:tcW w:w="2448" w:type="dxa"/>
            <w:tcBorders>
              <w:left w:val="single" w:sz="6" w:space="0" w:color="FFFFFF"/>
              <w:bottom w:val="nil"/>
              <w:right w:val="single" w:sz="8" w:space="0" w:color="FFFFFF"/>
            </w:tcBorders>
            <w:shd w:val="clear" w:color="auto" w:fill="CCE2ED"/>
          </w:tcPr>
          <w:p w14:paraId="407BD8AF" w14:textId="77777777" w:rsidR="00141B97" w:rsidRDefault="00911D63">
            <w:pPr>
              <w:pStyle w:val="TableParagraph"/>
              <w:spacing w:line="216" w:lineRule="exact"/>
              <w:ind w:left="91"/>
              <w:rPr>
                <w:sz w:val="18"/>
              </w:rPr>
            </w:pPr>
            <w:r>
              <w:rPr>
                <w:sz w:val="18"/>
              </w:rPr>
              <w:t>Rolling</w:t>
            </w:r>
            <w:r>
              <w:rPr>
                <w:spacing w:val="-3"/>
                <w:sz w:val="18"/>
              </w:rPr>
              <w:t xml:space="preserve"> </w:t>
            </w:r>
            <w:r>
              <w:rPr>
                <w:sz w:val="18"/>
              </w:rPr>
              <w:t>periodic</w:t>
            </w:r>
            <w:r>
              <w:rPr>
                <w:spacing w:val="-3"/>
                <w:sz w:val="18"/>
              </w:rPr>
              <w:t xml:space="preserve"> </w:t>
            </w:r>
            <w:r>
              <w:rPr>
                <w:sz w:val="18"/>
              </w:rPr>
              <w:t>disposal</w:t>
            </w:r>
            <w:r>
              <w:rPr>
                <w:spacing w:val="-3"/>
                <w:sz w:val="18"/>
              </w:rPr>
              <w:t xml:space="preserve"> </w:t>
            </w:r>
            <w:r>
              <w:rPr>
                <w:spacing w:val="-5"/>
                <w:sz w:val="18"/>
              </w:rPr>
              <w:t>and</w:t>
            </w:r>
          </w:p>
        </w:tc>
        <w:tc>
          <w:tcPr>
            <w:tcW w:w="3444" w:type="dxa"/>
            <w:tcBorders>
              <w:left w:val="single" w:sz="8" w:space="0" w:color="FFFFFF"/>
              <w:bottom w:val="nil"/>
              <w:right w:val="nil"/>
            </w:tcBorders>
            <w:shd w:val="clear" w:color="auto" w:fill="CCE2ED"/>
          </w:tcPr>
          <w:p w14:paraId="6A348305" w14:textId="77777777" w:rsidR="00141B97" w:rsidRDefault="00911D63">
            <w:pPr>
              <w:pStyle w:val="TableParagraph"/>
              <w:spacing w:line="216" w:lineRule="exact"/>
              <w:ind w:left="87" w:right="110"/>
              <w:jc w:val="center"/>
              <w:rPr>
                <w:sz w:val="18"/>
              </w:rPr>
            </w:pPr>
            <w:r>
              <w:rPr>
                <w:sz w:val="18"/>
              </w:rPr>
              <w:t>Optimal</w:t>
            </w:r>
            <w:r>
              <w:rPr>
                <w:spacing w:val="-4"/>
                <w:sz w:val="18"/>
              </w:rPr>
              <w:t xml:space="preserve"> </w:t>
            </w:r>
            <w:r>
              <w:rPr>
                <w:sz w:val="18"/>
              </w:rPr>
              <w:t>replacement</w:t>
            </w:r>
            <w:r>
              <w:rPr>
                <w:spacing w:val="-1"/>
                <w:sz w:val="18"/>
              </w:rPr>
              <w:t xml:space="preserve"> </w:t>
            </w:r>
            <w:r>
              <w:rPr>
                <w:sz w:val="18"/>
              </w:rPr>
              <w:t>regime</w:t>
            </w:r>
            <w:r>
              <w:rPr>
                <w:spacing w:val="-2"/>
                <w:sz w:val="18"/>
              </w:rPr>
              <w:t xml:space="preserve"> </w:t>
            </w:r>
            <w:r>
              <w:rPr>
                <w:sz w:val="18"/>
              </w:rPr>
              <w:t>with</w:t>
            </w:r>
            <w:r>
              <w:rPr>
                <w:spacing w:val="-1"/>
                <w:sz w:val="18"/>
              </w:rPr>
              <w:t xml:space="preserve"> </w:t>
            </w:r>
            <w:r>
              <w:rPr>
                <w:sz w:val="18"/>
              </w:rPr>
              <w:t>respect</w:t>
            </w:r>
            <w:r>
              <w:rPr>
                <w:spacing w:val="-2"/>
                <w:sz w:val="18"/>
              </w:rPr>
              <w:t xml:space="preserve"> </w:t>
            </w:r>
            <w:r>
              <w:rPr>
                <w:spacing w:val="-5"/>
                <w:sz w:val="18"/>
              </w:rPr>
              <w:t>to</w:t>
            </w:r>
          </w:p>
        </w:tc>
      </w:tr>
      <w:tr w:rsidR="00141B97" w14:paraId="165BAFC6" w14:textId="77777777">
        <w:trPr>
          <w:trHeight w:val="439"/>
        </w:trPr>
        <w:tc>
          <w:tcPr>
            <w:tcW w:w="1475" w:type="dxa"/>
            <w:tcBorders>
              <w:top w:val="nil"/>
              <w:left w:val="nil"/>
              <w:bottom w:val="nil"/>
              <w:right w:val="nil"/>
            </w:tcBorders>
            <w:shd w:val="clear" w:color="auto" w:fill="CCE2ED"/>
          </w:tcPr>
          <w:p w14:paraId="5B4AF158" w14:textId="77777777" w:rsidR="00141B97" w:rsidRDefault="00911D63">
            <w:pPr>
              <w:pStyle w:val="TableParagraph"/>
              <w:spacing w:line="203" w:lineRule="exact"/>
              <w:ind w:left="103"/>
              <w:rPr>
                <w:sz w:val="18"/>
              </w:rPr>
            </w:pPr>
            <w:r>
              <w:rPr>
                <w:sz w:val="18"/>
              </w:rPr>
              <w:t>Vehicle</w:t>
            </w:r>
            <w:r>
              <w:rPr>
                <w:spacing w:val="-6"/>
                <w:sz w:val="18"/>
              </w:rPr>
              <w:t xml:space="preserve"> </w:t>
            </w:r>
            <w:r>
              <w:rPr>
                <w:sz w:val="18"/>
              </w:rPr>
              <w:t>Fleet</w:t>
            </w:r>
            <w:r>
              <w:rPr>
                <w:spacing w:val="-5"/>
                <w:sz w:val="18"/>
              </w:rPr>
              <w:t xml:space="preserve"> </w:t>
            </w:r>
            <w:r>
              <w:rPr>
                <w:spacing w:val="-10"/>
                <w:sz w:val="18"/>
              </w:rPr>
              <w:t>‐</w:t>
            </w:r>
          </w:p>
          <w:p w14:paraId="6519AE09" w14:textId="77777777" w:rsidR="00141B97" w:rsidRDefault="00911D63">
            <w:pPr>
              <w:pStyle w:val="TableParagraph"/>
              <w:spacing w:line="216" w:lineRule="exact"/>
              <w:ind w:left="103"/>
              <w:rPr>
                <w:sz w:val="18"/>
              </w:rPr>
            </w:pPr>
            <w:r>
              <w:rPr>
                <w:sz w:val="18"/>
              </w:rPr>
              <w:t>annual</w:t>
            </w:r>
            <w:r>
              <w:rPr>
                <w:spacing w:val="-1"/>
                <w:sz w:val="18"/>
              </w:rPr>
              <w:t xml:space="preserve"> </w:t>
            </w:r>
            <w:r>
              <w:rPr>
                <w:spacing w:val="-2"/>
                <w:sz w:val="18"/>
              </w:rPr>
              <w:t>vehicle</w:t>
            </w:r>
          </w:p>
        </w:tc>
        <w:tc>
          <w:tcPr>
            <w:tcW w:w="1079" w:type="dxa"/>
            <w:tcBorders>
              <w:top w:val="nil"/>
              <w:left w:val="nil"/>
              <w:bottom w:val="nil"/>
              <w:right w:val="nil"/>
            </w:tcBorders>
            <w:shd w:val="clear" w:color="auto" w:fill="CCE2ED"/>
          </w:tcPr>
          <w:p w14:paraId="25366CC8" w14:textId="77777777" w:rsidR="00141B97" w:rsidRDefault="00911D63">
            <w:pPr>
              <w:pStyle w:val="TableParagraph"/>
              <w:spacing w:before="94"/>
              <w:ind w:right="330"/>
              <w:jc w:val="right"/>
              <w:rPr>
                <w:sz w:val="18"/>
              </w:rPr>
            </w:pPr>
            <w:r>
              <w:rPr>
                <w:spacing w:val="-4"/>
                <w:sz w:val="18"/>
              </w:rPr>
              <w:t>2.16</w:t>
            </w:r>
          </w:p>
        </w:tc>
        <w:tc>
          <w:tcPr>
            <w:tcW w:w="1269" w:type="dxa"/>
            <w:tcBorders>
              <w:top w:val="nil"/>
              <w:left w:val="nil"/>
              <w:bottom w:val="nil"/>
              <w:right w:val="nil"/>
            </w:tcBorders>
            <w:shd w:val="clear" w:color="auto" w:fill="CCE2ED"/>
          </w:tcPr>
          <w:p w14:paraId="33F80282" w14:textId="77777777" w:rsidR="00141B97" w:rsidRDefault="00911D63">
            <w:pPr>
              <w:pStyle w:val="TableParagraph"/>
              <w:spacing w:before="94"/>
              <w:ind w:right="264"/>
              <w:jc w:val="right"/>
              <w:rPr>
                <w:sz w:val="18"/>
              </w:rPr>
            </w:pPr>
            <w:r>
              <w:rPr>
                <w:spacing w:val="-2"/>
                <w:sz w:val="18"/>
              </w:rPr>
              <w:t>Corporate</w:t>
            </w:r>
          </w:p>
        </w:tc>
        <w:tc>
          <w:tcPr>
            <w:tcW w:w="1381" w:type="dxa"/>
            <w:tcBorders>
              <w:top w:val="nil"/>
              <w:left w:val="nil"/>
              <w:bottom w:val="nil"/>
              <w:right w:val="single" w:sz="6" w:space="0" w:color="FFFFFF"/>
            </w:tcBorders>
            <w:shd w:val="clear" w:color="auto" w:fill="CCE2ED"/>
          </w:tcPr>
          <w:p w14:paraId="4C850480" w14:textId="77777777" w:rsidR="00141B97" w:rsidRDefault="00911D63">
            <w:pPr>
              <w:pStyle w:val="TableParagraph"/>
              <w:spacing w:before="94"/>
              <w:ind w:left="98" w:right="141"/>
              <w:jc w:val="center"/>
              <w:rPr>
                <w:sz w:val="18"/>
              </w:rPr>
            </w:pPr>
            <w:r>
              <w:rPr>
                <w:spacing w:val="-2"/>
                <w:sz w:val="18"/>
              </w:rPr>
              <w:t>Renewals</w:t>
            </w:r>
          </w:p>
        </w:tc>
        <w:tc>
          <w:tcPr>
            <w:tcW w:w="1991" w:type="dxa"/>
            <w:tcBorders>
              <w:top w:val="nil"/>
              <w:left w:val="single" w:sz="6" w:space="0" w:color="FFFFFF"/>
              <w:bottom w:val="nil"/>
              <w:right w:val="single" w:sz="8" w:space="0" w:color="FFFFFF"/>
            </w:tcBorders>
            <w:shd w:val="clear" w:color="auto" w:fill="CCE2ED"/>
          </w:tcPr>
          <w:p w14:paraId="260A8316" w14:textId="77777777" w:rsidR="00141B97" w:rsidRDefault="00911D63">
            <w:pPr>
              <w:pStyle w:val="TableParagraph"/>
              <w:spacing w:before="94"/>
              <w:ind w:right="520"/>
              <w:jc w:val="right"/>
              <w:rPr>
                <w:sz w:val="18"/>
              </w:rPr>
            </w:pPr>
            <w:r>
              <w:rPr>
                <w:sz w:val="18"/>
              </w:rPr>
              <w:t xml:space="preserve">All </w:t>
            </w:r>
            <w:r>
              <w:rPr>
                <w:spacing w:val="-2"/>
                <w:sz w:val="18"/>
              </w:rPr>
              <w:t>outcomes</w:t>
            </w:r>
          </w:p>
        </w:tc>
        <w:tc>
          <w:tcPr>
            <w:tcW w:w="2603" w:type="dxa"/>
            <w:tcBorders>
              <w:top w:val="nil"/>
              <w:left w:val="single" w:sz="8" w:space="0" w:color="FFFFFF"/>
              <w:bottom w:val="nil"/>
              <w:right w:val="single" w:sz="6" w:space="0" w:color="FFFFFF"/>
            </w:tcBorders>
            <w:shd w:val="clear" w:color="auto" w:fill="CCE2ED"/>
          </w:tcPr>
          <w:p w14:paraId="7C539BA2" w14:textId="77777777" w:rsidR="00141B97" w:rsidRDefault="00911D63">
            <w:pPr>
              <w:pStyle w:val="TableParagraph"/>
              <w:spacing w:line="203" w:lineRule="exact"/>
              <w:ind w:left="92"/>
              <w:rPr>
                <w:sz w:val="18"/>
              </w:rPr>
            </w:pPr>
            <w:r>
              <w:rPr>
                <w:sz w:val="18"/>
              </w:rPr>
              <w:t>ensure</w:t>
            </w:r>
            <w:r>
              <w:rPr>
                <w:spacing w:val="-4"/>
                <w:sz w:val="18"/>
              </w:rPr>
              <w:t xml:space="preserve"> </w:t>
            </w:r>
            <w:r>
              <w:rPr>
                <w:sz w:val="18"/>
              </w:rPr>
              <w:t>safety</w:t>
            </w:r>
            <w:r>
              <w:rPr>
                <w:spacing w:val="-3"/>
                <w:sz w:val="18"/>
              </w:rPr>
              <w:t xml:space="preserve"> </w:t>
            </w:r>
            <w:r>
              <w:rPr>
                <w:sz w:val="18"/>
              </w:rPr>
              <w:t>and</w:t>
            </w:r>
            <w:r>
              <w:rPr>
                <w:spacing w:val="-2"/>
                <w:sz w:val="18"/>
              </w:rPr>
              <w:t xml:space="preserve"> </w:t>
            </w:r>
            <w:r>
              <w:rPr>
                <w:sz w:val="18"/>
              </w:rPr>
              <w:t>mobility</w:t>
            </w:r>
            <w:r>
              <w:rPr>
                <w:spacing w:val="-3"/>
                <w:sz w:val="18"/>
              </w:rPr>
              <w:t xml:space="preserve"> </w:t>
            </w:r>
            <w:r>
              <w:rPr>
                <w:spacing w:val="-5"/>
                <w:sz w:val="18"/>
              </w:rPr>
              <w:t>for</w:t>
            </w:r>
          </w:p>
          <w:p w14:paraId="2E86A258" w14:textId="77777777" w:rsidR="00141B97" w:rsidRDefault="00911D63">
            <w:pPr>
              <w:pStyle w:val="TableParagraph"/>
              <w:spacing w:line="216" w:lineRule="exact"/>
              <w:ind w:left="92"/>
              <w:rPr>
                <w:sz w:val="18"/>
              </w:rPr>
            </w:pPr>
            <w:r>
              <w:rPr>
                <w:sz w:val="18"/>
              </w:rPr>
              <w:t>customer</w:t>
            </w:r>
            <w:r>
              <w:rPr>
                <w:spacing w:val="-3"/>
                <w:sz w:val="18"/>
              </w:rPr>
              <w:t xml:space="preserve"> </w:t>
            </w:r>
            <w:r>
              <w:rPr>
                <w:sz w:val="18"/>
              </w:rPr>
              <w:t>service</w:t>
            </w:r>
            <w:r>
              <w:rPr>
                <w:spacing w:val="-4"/>
                <w:sz w:val="18"/>
              </w:rPr>
              <w:t xml:space="preserve"> </w:t>
            </w:r>
            <w:r>
              <w:rPr>
                <w:sz w:val="18"/>
              </w:rPr>
              <w:t>and</w:t>
            </w:r>
            <w:r>
              <w:rPr>
                <w:spacing w:val="-2"/>
                <w:sz w:val="18"/>
              </w:rPr>
              <w:t xml:space="preserve"> service</w:t>
            </w:r>
          </w:p>
        </w:tc>
        <w:tc>
          <w:tcPr>
            <w:tcW w:w="2448" w:type="dxa"/>
            <w:tcBorders>
              <w:top w:val="nil"/>
              <w:left w:val="single" w:sz="6" w:space="0" w:color="FFFFFF"/>
              <w:bottom w:val="nil"/>
              <w:right w:val="single" w:sz="8" w:space="0" w:color="FFFFFF"/>
            </w:tcBorders>
            <w:shd w:val="clear" w:color="auto" w:fill="CCE2ED"/>
          </w:tcPr>
          <w:p w14:paraId="7E0ED39F" w14:textId="77777777" w:rsidR="00141B97" w:rsidRDefault="00911D63">
            <w:pPr>
              <w:pStyle w:val="TableParagraph"/>
              <w:spacing w:line="203" w:lineRule="exact"/>
              <w:ind w:left="91"/>
              <w:rPr>
                <w:sz w:val="18"/>
              </w:rPr>
            </w:pPr>
            <w:r>
              <w:rPr>
                <w:sz w:val="18"/>
              </w:rPr>
              <w:t>replacement</w:t>
            </w:r>
            <w:r>
              <w:rPr>
                <w:spacing w:val="-3"/>
                <w:sz w:val="18"/>
              </w:rPr>
              <w:t xml:space="preserve"> </w:t>
            </w:r>
            <w:r>
              <w:rPr>
                <w:sz w:val="18"/>
              </w:rPr>
              <w:t>of</w:t>
            </w:r>
            <w:r>
              <w:rPr>
                <w:spacing w:val="-3"/>
                <w:sz w:val="18"/>
              </w:rPr>
              <w:t xml:space="preserve"> </w:t>
            </w:r>
            <w:r>
              <w:rPr>
                <w:sz w:val="18"/>
              </w:rPr>
              <w:t>light</w:t>
            </w:r>
            <w:r>
              <w:rPr>
                <w:spacing w:val="-2"/>
                <w:sz w:val="18"/>
              </w:rPr>
              <w:t xml:space="preserve"> vehicle</w:t>
            </w:r>
          </w:p>
          <w:p w14:paraId="19D969CF" w14:textId="77777777" w:rsidR="00141B97" w:rsidRDefault="00911D63">
            <w:pPr>
              <w:pStyle w:val="TableParagraph"/>
              <w:spacing w:line="216" w:lineRule="exact"/>
              <w:ind w:left="91"/>
              <w:rPr>
                <w:sz w:val="18"/>
              </w:rPr>
            </w:pPr>
            <w:r>
              <w:rPr>
                <w:spacing w:val="-2"/>
                <w:sz w:val="18"/>
              </w:rPr>
              <w:t>fleet.</w:t>
            </w:r>
          </w:p>
        </w:tc>
        <w:tc>
          <w:tcPr>
            <w:tcW w:w="3444" w:type="dxa"/>
            <w:tcBorders>
              <w:top w:val="nil"/>
              <w:left w:val="single" w:sz="8" w:space="0" w:color="FFFFFF"/>
              <w:bottom w:val="nil"/>
              <w:right w:val="nil"/>
            </w:tcBorders>
            <w:shd w:val="clear" w:color="auto" w:fill="CCE2ED"/>
          </w:tcPr>
          <w:p w14:paraId="44BCE52B" w14:textId="77777777" w:rsidR="00141B97" w:rsidRDefault="00911D63">
            <w:pPr>
              <w:pStyle w:val="TableParagraph"/>
              <w:spacing w:line="203" w:lineRule="exact"/>
              <w:ind w:left="91"/>
              <w:rPr>
                <w:sz w:val="18"/>
              </w:rPr>
            </w:pPr>
            <w:r>
              <w:rPr>
                <w:sz w:val="18"/>
              </w:rPr>
              <w:t>triple</w:t>
            </w:r>
            <w:r>
              <w:rPr>
                <w:spacing w:val="-3"/>
                <w:sz w:val="18"/>
              </w:rPr>
              <w:t xml:space="preserve"> </w:t>
            </w:r>
            <w:r>
              <w:rPr>
                <w:sz w:val="18"/>
              </w:rPr>
              <w:t>bottom</w:t>
            </w:r>
            <w:r>
              <w:rPr>
                <w:spacing w:val="-1"/>
                <w:sz w:val="18"/>
              </w:rPr>
              <w:t xml:space="preserve"> </w:t>
            </w:r>
            <w:r>
              <w:rPr>
                <w:sz w:val="18"/>
              </w:rPr>
              <w:t>line</w:t>
            </w:r>
            <w:r>
              <w:rPr>
                <w:spacing w:val="-3"/>
                <w:sz w:val="18"/>
              </w:rPr>
              <w:t xml:space="preserve"> </w:t>
            </w:r>
            <w:r>
              <w:rPr>
                <w:sz w:val="18"/>
              </w:rPr>
              <w:t>(social,</w:t>
            </w:r>
            <w:r>
              <w:rPr>
                <w:spacing w:val="-1"/>
                <w:sz w:val="18"/>
              </w:rPr>
              <w:t xml:space="preserve"> </w:t>
            </w:r>
            <w:r>
              <w:rPr>
                <w:spacing w:val="-2"/>
                <w:sz w:val="18"/>
              </w:rPr>
              <w:t>environmental,</w:t>
            </w:r>
          </w:p>
          <w:p w14:paraId="1DB07A97" w14:textId="77777777" w:rsidR="00141B97" w:rsidRDefault="00911D63">
            <w:pPr>
              <w:pStyle w:val="TableParagraph"/>
              <w:spacing w:line="216" w:lineRule="exact"/>
              <w:ind w:left="91"/>
              <w:rPr>
                <w:sz w:val="18"/>
              </w:rPr>
            </w:pPr>
            <w:r>
              <w:rPr>
                <w:sz w:val="18"/>
              </w:rPr>
              <w:t xml:space="preserve">economic) </w:t>
            </w:r>
            <w:r>
              <w:rPr>
                <w:spacing w:val="-2"/>
                <w:sz w:val="18"/>
              </w:rPr>
              <w:t>objectives.</w:t>
            </w:r>
          </w:p>
        </w:tc>
      </w:tr>
      <w:tr w:rsidR="00141B97" w14:paraId="7C36A814" w14:textId="77777777">
        <w:trPr>
          <w:trHeight w:val="202"/>
        </w:trPr>
        <w:tc>
          <w:tcPr>
            <w:tcW w:w="1475" w:type="dxa"/>
            <w:tcBorders>
              <w:top w:val="nil"/>
              <w:left w:val="nil"/>
              <w:right w:val="nil"/>
            </w:tcBorders>
            <w:shd w:val="clear" w:color="auto" w:fill="CCE2ED"/>
          </w:tcPr>
          <w:p w14:paraId="56730C41" w14:textId="77777777" w:rsidR="00141B97" w:rsidRDefault="00911D63">
            <w:pPr>
              <w:pStyle w:val="TableParagraph"/>
              <w:spacing w:line="183" w:lineRule="exact"/>
              <w:ind w:left="103"/>
              <w:rPr>
                <w:sz w:val="18"/>
              </w:rPr>
            </w:pPr>
            <w:r>
              <w:rPr>
                <w:spacing w:val="-2"/>
                <w:sz w:val="18"/>
              </w:rPr>
              <w:t>replacements</w:t>
            </w:r>
          </w:p>
        </w:tc>
        <w:tc>
          <w:tcPr>
            <w:tcW w:w="1079" w:type="dxa"/>
            <w:tcBorders>
              <w:top w:val="nil"/>
              <w:left w:val="nil"/>
              <w:right w:val="nil"/>
            </w:tcBorders>
            <w:shd w:val="clear" w:color="auto" w:fill="CCE2ED"/>
          </w:tcPr>
          <w:p w14:paraId="16AA04D7" w14:textId="77777777" w:rsidR="00141B97" w:rsidRDefault="00141B97">
            <w:pPr>
              <w:pStyle w:val="TableParagraph"/>
              <w:rPr>
                <w:rFonts w:ascii="Times New Roman"/>
                <w:sz w:val="14"/>
              </w:rPr>
            </w:pPr>
          </w:p>
        </w:tc>
        <w:tc>
          <w:tcPr>
            <w:tcW w:w="1269" w:type="dxa"/>
            <w:tcBorders>
              <w:top w:val="nil"/>
              <w:left w:val="nil"/>
              <w:right w:val="nil"/>
            </w:tcBorders>
            <w:shd w:val="clear" w:color="auto" w:fill="CCE2ED"/>
          </w:tcPr>
          <w:p w14:paraId="13885CD0" w14:textId="77777777" w:rsidR="00141B97" w:rsidRDefault="00141B97">
            <w:pPr>
              <w:pStyle w:val="TableParagraph"/>
              <w:rPr>
                <w:rFonts w:ascii="Times New Roman"/>
                <w:sz w:val="14"/>
              </w:rPr>
            </w:pPr>
          </w:p>
        </w:tc>
        <w:tc>
          <w:tcPr>
            <w:tcW w:w="1381" w:type="dxa"/>
            <w:tcBorders>
              <w:top w:val="nil"/>
              <w:left w:val="nil"/>
              <w:right w:val="single" w:sz="6" w:space="0" w:color="FFFFFF"/>
            </w:tcBorders>
            <w:shd w:val="clear" w:color="auto" w:fill="CCE2ED"/>
          </w:tcPr>
          <w:p w14:paraId="715D4D95" w14:textId="77777777" w:rsidR="00141B97" w:rsidRDefault="00141B97">
            <w:pPr>
              <w:pStyle w:val="TableParagraph"/>
              <w:rPr>
                <w:rFonts w:ascii="Times New Roman"/>
                <w:sz w:val="14"/>
              </w:rPr>
            </w:pPr>
          </w:p>
        </w:tc>
        <w:tc>
          <w:tcPr>
            <w:tcW w:w="1991" w:type="dxa"/>
            <w:tcBorders>
              <w:top w:val="nil"/>
              <w:left w:val="single" w:sz="6" w:space="0" w:color="FFFFFF"/>
              <w:right w:val="single" w:sz="8" w:space="0" w:color="FFFFFF"/>
            </w:tcBorders>
            <w:shd w:val="clear" w:color="auto" w:fill="CCE2ED"/>
          </w:tcPr>
          <w:p w14:paraId="23764BE9" w14:textId="77777777" w:rsidR="00141B97" w:rsidRDefault="00141B97">
            <w:pPr>
              <w:pStyle w:val="TableParagraph"/>
              <w:rPr>
                <w:rFonts w:ascii="Times New Roman"/>
                <w:sz w:val="14"/>
              </w:rPr>
            </w:pPr>
          </w:p>
        </w:tc>
        <w:tc>
          <w:tcPr>
            <w:tcW w:w="2603" w:type="dxa"/>
            <w:tcBorders>
              <w:top w:val="nil"/>
              <w:left w:val="single" w:sz="8" w:space="0" w:color="FFFFFF"/>
              <w:right w:val="single" w:sz="6" w:space="0" w:color="FFFFFF"/>
            </w:tcBorders>
            <w:shd w:val="clear" w:color="auto" w:fill="CCE2ED"/>
          </w:tcPr>
          <w:p w14:paraId="0C4AEA03" w14:textId="77777777" w:rsidR="00141B97" w:rsidRDefault="00911D63">
            <w:pPr>
              <w:pStyle w:val="TableParagraph"/>
              <w:spacing w:line="183" w:lineRule="exact"/>
              <w:ind w:left="92"/>
              <w:rPr>
                <w:sz w:val="18"/>
              </w:rPr>
            </w:pPr>
            <w:r>
              <w:rPr>
                <w:spacing w:val="-2"/>
                <w:sz w:val="18"/>
              </w:rPr>
              <w:t>delivery</w:t>
            </w:r>
          </w:p>
        </w:tc>
        <w:tc>
          <w:tcPr>
            <w:tcW w:w="2448" w:type="dxa"/>
            <w:tcBorders>
              <w:top w:val="nil"/>
              <w:left w:val="single" w:sz="6" w:space="0" w:color="FFFFFF"/>
              <w:right w:val="single" w:sz="8" w:space="0" w:color="FFFFFF"/>
            </w:tcBorders>
            <w:shd w:val="clear" w:color="auto" w:fill="CCE2ED"/>
          </w:tcPr>
          <w:p w14:paraId="310029B1" w14:textId="77777777" w:rsidR="00141B97" w:rsidRDefault="00141B97">
            <w:pPr>
              <w:pStyle w:val="TableParagraph"/>
              <w:rPr>
                <w:rFonts w:ascii="Times New Roman"/>
                <w:sz w:val="14"/>
              </w:rPr>
            </w:pPr>
          </w:p>
        </w:tc>
        <w:tc>
          <w:tcPr>
            <w:tcW w:w="3444" w:type="dxa"/>
            <w:tcBorders>
              <w:top w:val="nil"/>
              <w:left w:val="single" w:sz="8" w:space="0" w:color="FFFFFF"/>
              <w:right w:val="nil"/>
            </w:tcBorders>
            <w:shd w:val="clear" w:color="auto" w:fill="CCE2ED"/>
          </w:tcPr>
          <w:p w14:paraId="6E4C3268" w14:textId="77777777" w:rsidR="00141B97" w:rsidRDefault="00141B97">
            <w:pPr>
              <w:pStyle w:val="TableParagraph"/>
              <w:rPr>
                <w:rFonts w:ascii="Times New Roman"/>
                <w:sz w:val="14"/>
              </w:rPr>
            </w:pPr>
          </w:p>
        </w:tc>
      </w:tr>
      <w:tr w:rsidR="00141B97" w14:paraId="1A711A6B" w14:textId="77777777">
        <w:trPr>
          <w:trHeight w:val="1108"/>
        </w:trPr>
        <w:tc>
          <w:tcPr>
            <w:tcW w:w="1475" w:type="dxa"/>
            <w:tcBorders>
              <w:left w:val="nil"/>
              <w:right w:val="nil"/>
            </w:tcBorders>
            <w:shd w:val="clear" w:color="auto" w:fill="CCE2ED"/>
          </w:tcPr>
          <w:p w14:paraId="57DB0179" w14:textId="77777777" w:rsidR="00141B97" w:rsidRDefault="00141B97">
            <w:pPr>
              <w:pStyle w:val="TableParagraph"/>
              <w:rPr>
                <w:sz w:val="18"/>
              </w:rPr>
            </w:pPr>
          </w:p>
          <w:p w14:paraId="07D462B1" w14:textId="77777777" w:rsidR="00141B97" w:rsidRDefault="00911D63">
            <w:pPr>
              <w:pStyle w:val="TableParagraph"/>
              <w:spacing w:before="121"/>
              <w:ind w:left="103" w:right="219"/>
              <w:rPr>
                <w:sz w:val="18"/>
              </w:rPr>
            </w:pPr>
            <w:r>
              <w:rPr>
                <w:sz w:val="18"/>
              </w:rPr>
              <w:t>Irrigation</w:t>
            </w:r>
            <w:r>
              <w:rPr>
                <w:spacing w:val="-11"/>
                <w:sz w:val="18"/>
              </w:rPr>
              <w:t xml:space="preserve"> </w:t>
            </w:r>
            <w:r>
              <w:rPr>
                <w:sz w:val="18"/>
              </w:rPr>
              <w:t xml:space="preserve">Mains </w:t>
            </w:r>
            <w:r>
              <w:rPr>
                <w:spacing w:val="-2"/>
                <w:sz w:val="18"/>
              </w:rPr>
              <w:t>Replacement</w:t>
            </w:r>
          </w:p>
        </w:tc>
        <w:tc>
          <w:tcPr>
            <w:tcW w:w="1079" w:type="dxa"/>
            <w:tcBorders>
              <w:left w:val="nil"/>
              <w:right w:val="nil"/>
            </w:tcBorders>
            <w:shd w:val="clear" w:color="auto" w:fill="CCE2ED"/>
          </w:tcPr>
          <w:p w14:paraId="79DACAB5" w14:textId="77777777" w:rsidR="00141B97" w:rsidRDefault="00141B97">
            <w:pPr>
              <w:pStyle w:val="TableParagraph"/>
              <w:rPr>
                <w:sz w:val="18"/>
              </w:rPr>
            </w:pPr>
          </w:p>
          <w:p w14:paraId="599F7A9D" w14:textId="77777777" w:rsidR="00141B97" w:rsidRDefault="00141B97">
            <w:pPr>
              <w:pStyle w:val="TableParagraph"/>
              <w:spacing w:before="10"/>
              <w:rPr>
                <w:sz w:val="18"/>
              </w:rPr>
            </w:pPr>
          </w:p>
          <w:p w14:paraId="562FB26C" w14:textId="77777777" w:rsidR="00141B97" w:rsidRDefault="00911D63">
            <w:pPr>
              <w:pStyle w:val="TableParagraph"/>
              <w:ind w:right="330"/>
              <w:jc w:val="right"/>
              <w:rPr>
                <w:sz w:val="18"/>
              </w:rPr>
            </w:pPr>
            <w:r>
              <w:rPr>
                <w:spacing w:val="-4"/>
                <w:sz w:val="18"/>
              </w:rPr>
              <w:t>4.03</w:t>
            </w:r>
          </w:p>
        </w:tc>
        <w:tc>
          <w:tcPr>
            <w:tcW w:w="1269" w:type="dxa"/>
            <w:tcBorders>
              <w:left w:val="nil"/>
              <w:right w:val="nil"/>
            </w:tcBorders>
            <w:shd w:val="clear" w:color="auto" w:fill="CCE2ED"/>
          </w:tcPr>
          <w:p w14:paraId="7EDCCDD2" w14:textId="77777777" w:rsidR="00141B97" w:rsidRDefault="00141B97">
            <w:pPr>
              <w:pStyle w:val="TableParagraph"/>
              <w:rPr>
                <w:sz w:val="18"/>
              </w:rPr>
            </w:pPr>
          </w:p>
          <w:p w14:paraId="77D0E367" w14:textId="77777777" w:rsidR="00141B97" w:rsidRDefault="00141B97">
            <w:pPr>
              <w:pStyle w:val="TableParagraph"/>
              <w:spacing w:before="10"/>
              <w:rPr>
                <w:sz w:val="18"/>
              </w:rPr>
            </w:pPr>
          </w:p>
          <w:p w14:paraId="23B0D8D6" w14:textId="77777777" w:rsidR="00141B97" w:rsidRDefault="00911D63">
            <w:pPr>
              <w:pStyle w:val="TableParagraph"/>
              <w:ind w:right="280"/>
              <w:jc w:val="right"/>
              <w:rPr>
                <w:sz w:val="18"/>
              </w:rPr>
            </w:pPr>
            <w:r>
              <w:rPr>
                <w:spacing w:val="-2"/>
                <w:sz w:val="18"/>
              </w:rPr>
              <w:t>Irrigation</w:t>
            </w:r>
          </w:p>
        </w:tc>
        <w:tc>
          <w:tcPr>
            <w:tcW w:w="1381" w:type="dxa"/>
            <w:tcBorders>
              <w:left w:val="nil"/>
              <w:right w:val="single" w:sz="6" w:space="0" w:color="FFFFFF"/>
            </w:tcBorders>
            <w:shd w:val="clear" w:color="auto" w:fill="CCE2ED"/>
          </w:tcPr>
          <w:p w14:paraId="527B4B4E" w14:textId="77777777" w:rsidR="00141B97" w:rsidRDefault="00141B97">
            <w:pPr>
              <w:pStyle w:val="TableParagraph"/>
              <w:rPr>
                <w:sz w:val="18"/>
              </w:rPr>
            </w:pPr>
          </w:p>
          <w:p w14:paraId="5F04C6B3" w14:textId="77777777" w:rsidR="00141B97" w:rsidRDefault="00141B97">
            <w:pPr>
              <w:pStyle w:val="TableParagraph"/>
              <w:spacing w:before="10"/>
              <w:rPr>
                <w:sz w:val="18"/>
              </w:rPr>
            </w:pPr>
          </w:p>
          <w:p w14:paraId="5547B949" w14:textId="77777777" w:rsidR="00141B97" w:rsidRDefault="00911D63">
            <w:pPr>
              <w:pStyle w:val="TableParagraph"/>
              <w:ind w:left="98" w:right="141"/>
              <w:jc w:val="center"/>
              <w:rPr>
                <w:sz w:val="18"/>
              </w:rPr>
            </w:pPr>
            <w:r>
              <w:rPr>
                <w:spacing w:val="-2"/>
                <w:sz w:val="18"/>
              </w:rPr>
              <w:t>Renewals</w:t>
            </w:r>
          </w:p>
        </w:tc>
        <w:tc>
          <w:tcPr>
            <w:tcW w:w="1991" w:type="dxa"/>
            <w:tcBorders>
              <w:left w:val="single" w:sz="6" w:space="0" w:color="FFFFFF"/>
              <w:right w:val="single" w:sz="8" w:space="0" w:color="FFFFFF"/>
            </w:tcBorders>
            <w:shd w:val="clear" w:color="auto" w:fill="CCE2ED"/>
          </w:tcPr>
          <w:p w14:paraId="3B9C13D1" w14:textId="77777777" w:rsidR="00141B97" w:rsidRDefault="00141B97">
            <w:pPr>
              <w:pStyle w:val="TableParagraph"/>
              <w:rPr>
                <w:sz w:val="18"/>
              </w:rPr>
            </w:pPr>
          </w:p>
          <w:p w14:paraId="6DB0FAC9" w14:textId="77777777" w:rsidR="00141B97" w:rsidRDefault="00911D63">
            <w:pPr>
              <w:pStyle w:val="TableParagraph"/>
              <w:spacing w:before="121"/>
              <w:ind w:left="94" w:firstLine="33"/>
              <w:rPr>
                <w:sz w:val="18"/>
              </w:rPr>
            </w:pPr>
            <w:r>
              <w:rPr>
                <w:sz w:val="18"/>
              </w:rPr>
              <w:t>Provide</w:t>
            </w:r>
            <w:r>
              <w:rPr>
                <w:spacing w:val="-1"/>
                <w:sz w:val="18"/>
              </w:rPr>
              <w:t xml:space="preserve"> </w:t>
            </w:r>
            <w:r>
              <w:rPr>
                <w:sz w:val="18"/>
              </w:rPr>
              <w:t>customers with water</w:t>
            </w:r>
            <w:r>
              <w:rPr>
                <w:spacing w:val="-9"/>
                <w:sz w:val="18"/>
              </w:rPr>
              <w:t xml:space="preserve"> </w:t>
            </w:r>
            <w:r>
              <w:rPr>
                <w:sz w:val="18"/>
              </w:rPr>
              <w:t>when</w:t>
            </w:r>
            <w:r>
              <w:rPr>
                <w:spacing w:val="-9"/>
                <w:sz w:val="18"/>
              </w:rPr>
              <w:t xml:space="preserve"> </w:t>
            </w:r>
            <w:r>
              <w:rPr>
                <w:sz w:val="18"/>
              </w:rPr>
              <w:t>they</w:t>
            </w:r>
            <w:r>
              <w:rPr>
                <w:spacing w:val="-9"/>
                <w:sz w:val="18"/>
              </w:rPr>
              <w:t xml:space="preserve"> </w:t>
            </w:r>
            <w:r>
              <w:rPr>
                <w:sz w:val="18"/>
              </w:rPr>
              <w:t>need</w:t>
            </w:r>
            <w:r>
              <w:rPr>
                <w:spacing w:val="-9"/>
                <w:sz w:val="18"/>
              </w:rPr>
              <w:t xml:space="preserve"> </w:t>
            </w:r>
            <w:r>
              <w:rPr>
                <w:sz w:val="18"/>
              </w:rPr>
              <w:t>it</w:t>
            </w:r>
          </w:p>
        </w:tc>
        <w:tc>
          <w:tcPr>
            <w:tcW w:w="2603" w:type="dxa"/>
            <w:tcBorders>
              <w:left w:val="single" w:sz="8" w:space="0" w:color="FFFFFF"/>
              <w:right w:val="single" w:sz="6" w:space="0" w:color="FFFFFF"/>
            </w:tcBorders>
            <w:shd w:val="clear" w:color="auto" w:fill="CCE2ED"/>
          </w:tcPr>
          <w:p w14:paraId="3991E443" w14:textId="77777777" w:rsidR="00141B97" w:rsidRDefault="00911D63">
            <w:pPr>
              <w:pStyle w:val="TableParagraph"/>
              <w:spacing w:line="220" w:lineRule="atLeast"/>
              <w:ind w:left="92" w:right="166"/>
              <w:rPr>
                <w:sz w:val="18"/>
              </w:rPr>
            </w:pPr>
            <w:r>
              <w:rPr>
                <w:sz w:val="18"/>
              </w:rPr>
              <w:t>Maintain security of supply, agreed</w:t>
            </w:r>
            <w:r>
              <w:rPr>
                <w:spacing w:val="-4"/>
                <w:sz w:val="18"/>
              </w:rPr>
              <w:t xml:space="preserve"> </w:t>
            </w:r>
            <w:r>
              <w:rPr>
                <w:sz w:val="18"/>
              </w:rPr>
              <w:t>level</w:t>
            </w:r>
            <w:r>
              <w:rPr>
                <w:spacing w:val="-5"/>
                <w:sz w:val="18"/>
              </w:rPr>
              <w:t xml:space="preserve"> </w:t>
            </w:r>
            <w:r>
              <w:rPr>
                <w:sz w:val="18"/>
              </w:rPr>
              <w:t>of</w:t>
            </w:r>
            <w:r>
              <w:rPr>
                <w:spacing w:val="-4"/>
                <w:sz w:val="18"/>
              </w:rPr>
              <w:t xml:space="preserve"> </w:t>
            </w:r>
            <w:r>
              <w:rPr>
                <w:sz w:val="18"/>
              </w:rPr>
              <w:t>service</w:t>
            </w:r>
            <w:r>
              <w:rPr>
                <w:spacing w:val="-5"/>
                <w:sz w:val="18"/>
              </w:rPr>
              <w:t xml:space="preserve"> </w:t>
            </w:r>
            <w:r>
              <w:rPr>
                <w:sz w:val="18"/>
              </w:rPr>
              <w:t>and</w:t>
            </w:r>
            <w:r>
              <w:rPr>
                <w:spacing w:val="-4"/>
                <w:sz w:val="18"/>
              </w:rPr>
              <w:t xml:space="preserve"> </w:t>
            </w:r>
            <w:r>
              <w:rPr>
                <w:sz w:val="18"/>
              </w:rPr>
              <w:t>to minimise backlog works and peak</w:t>
            </w:r>
            <w:r>
              <w:rPr>
                <w:spacing w:val="-11"/>
                <w:sz w:val="18"/>
              </w:rPr>
              <w:t xml:space="preserve"> </w:t>
            </w:r>
            <w:r>
              <w:rPr>
                <w:sz w:val="18"/>
              </w:rPr>
              <w:t>funding</w:t>
            </w:r>
            <w:r>
              <w:rPr>
                <w:spacing w:val="-10"/>
                <w:sz w:val="18"/>
              </w:rPr>
              <w:t xml:space="preserve"> </w:t>
            </w:r>
            <w:r>
              <w:rPr>
                <w:sz w:val="18"/>
              </w:rPr>
              <w:t>requirements</w:t>
            </w:r>
            <w:r>
              <w:rPr>
                <w:spacing w:val="-10"/>
                <w:sz w:val="18"/>
              </w:rPr>
              <w:t xml:space="preserve"> </w:t>
            </w:r>
            <w:r>
              <w:rPr>
                <w:sz w:val="18"/>
              </w:rPr>
              <w:t>in the</w:t>
            </w:r>
            <w:r>
              <w:rPr>
                <w:spacing w:val="-2"/>
                <w:sz w:val="18"/>
              </w:rPr>
              <w:t xml:space="preserve"> </w:t>
            </w:r>
            <w:r>
              <w:rPr>
                <w:sz w:val="18"/>
              </w:rPr>
              <w:t>future.</w:t>
            </w:r>
          </w:p>
        </w:tc>
        <w:tc>
          <w:tcPr>
            <w:tcW w:w="2448" w:type="dxa"/>
            <w:tcBorders>
              <w:left w:val="single" w:sz="6" w:space="0" w:color="FFFFFF"/>
              <w:right w:val="single" w:sz="8" w:space="0" w:color="FFFFFF"/>
            </w:tcBorders>
            <w:shd w:val="clear" w:color="auto" w:fill="CCE2ED"/>
          </w:tcPr>
          <w:p w14:paraId="2CEE9FE7" w14:textId="77777777" w:rsidR="00141B97" w:rsidRDefault="00911D63">
            <w:pPr>
              <w:pStyle w:val="TableParagraph"/>
              <w:spacing w:before="11"/>
              <w:ind w:left="91" w:right="118"/>
              <w:rPr>
                <w:sz w:val="18"/>
              </w:rPr>
            </w:pPr>
            <w:r>
              <w:rPr>
                <w:sz w:val="18"/>
              </w:rPr>
              <w:t>Replacement and renewal of irrigation mains and</w:t>
            </w:r>
            <w:r>
              <w:rPr>
                <w:spacing w:val="40"/>
                <w:sz w:val="18"/>
              </w:rPr>
              <w:t xml:space="preserve"> </w:t>
            </w:r>
            <w:r>
              <w:rPr>
                <w:sz w:val="18"/>
              </w:rPr>
              <w:t>associated structures such as cluster</w:t>
            </w:r>
            <w:r>
              <w:rPr>
                <w:spacing w:val="-9"/>
                <w:sz w:val="18"/>
              </w:rPr>
              <w:t xml:space="preserve"> </w:t>
            </w:r>
            <w:r>
              <w:rPr>
                <w:sz w:val="18"/>
              </w:rPr>
              <w:t>boxes,</w:t>
            </w:r>
            <w:r>
              <w:rPr>
                <w:spacing w:val="-9"/>
                <w:sz w:val="18"/>
              </w:rPr>
              <w:t xml:space="preserve"> </w:t>
            </w:r>
            <w:r>
              <w:rPr>
                <w:sz w:val="18"/>
              </w:rPr>
              <w:t>buffer</w:t>
            </w:r>
            <w:r>
              <w:rPr>
                <w:spacing w:val="-9"/>
                <w:sz w:val="18"/>
              </w:rPr>
              <w:t xml:space="preserve"> </w:t>
            </w:r>
            <w:r>
              <w:rPr>
                <w:sz w:val="18"/>
              </w:rPr>
              <w:t>tanks</w:t>
            </w:r>
            <w:r>
              <w:rPr>
                <w:spacing w:val="-10"/>
                <w:sz w:val="18"/>
              </w:rPr>
              <w:t xml:space="preserve"> </w:t>
            </w:r>
            <w:r>
              <w:rPr>
                <w:sz w:val="18"/>
              </w:rPr>
              <w:t>etc.</w:t>
            </w:r>
          </w:p>
        </w:tc>
        <w:tc>
          <w:tcPr>
            <w:tcW w:w="3444" w:type="dxa"/>
            <w:tcBorders>
              <w:left w:val="single" w:sz="8" w:space="0" w:color="FFFFFF"/>
              <w:right w:val="nil"/>
            </w:tcBorders>
            <w:shd w:val="clear" w:color="auto" w:fill="CCE2ED"/>
          </w:tcPr>
          <w:p w14:paraId="59793848" w14:textId="77777777" w:rsidR="00141B97" w:rsidRDefault="00911D63">
            <w:pPr>
              <w:pStyle w:val="TableParagraph"/>
              <w:spacing w:before="11"/>
              <w:ind w:left="91" w:right="74"/>
              <w:rPr>
                <w:sz w:val="18"/>
              </w:rPr>
            </w:pPr>
            <w:r>
              <w:rPr>
                <w:sz w:val="18"/>
              </w:rPr>
              <w:t>Condition</w:t>
            </w:r>
            <w:r>
              <w:rPr>
                <w:spacing w:val="-6"/>
                <w:sz w:val="18"/>
              </w:rPr>
              <w:t xml:space="preserve"> </w:t>
            </w:r>
            <w:r>
              <w:rPr>
                <w:sz w:val="18"/>
              </w:rPr>
              <w:t>and</w:t>
            </w:r>
            <w:r>
              <w:rPr>
                <w:spacing w:val="-6"/>
                <w:sz w:val="18"/>
              </w:rPr>
              <w:t xml:space="preserve"> </w:t>
            </w:r>
            <w:r>
              <w:rPr>
                <w:sz w:val="18"/>
              </w:rPr>
              <w:t>performance</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 xml:space="preserve">irrigation </w:t>
            </w:r>
            <w:r>
              <w:rPr>
                <w:spacing w:val="-2"/>
                <w:sz w:val="18"/>
              </w:rPr>
              <w:t>networks.</w:t>
            </w:r>
          </w:p>
        </w:tc>
      </w:tr>
      <w:tr w:rsidR="00141B97" w14:paraId="1590D54E" w14:textId="77777777">
        <w:trPr>
          <w:trHeight w:val="1329"/>
        </w:trPr>
        <w:tc>
          <w:tcPr>
            <w:tcW w:w="1475" w:type="dxa"/>
            <w:tcBorders>
              <w:left w:val="nil"/>
              <w:right w:val="nil"/>
            </w:tcBorders>
            <w:shd w:val="clear" w:color="auto" w:fill="CCE2ED"/>
          </w:tcPr>
          <w:p w14:paraId="000F42CE" w14:textId="77777777" w:rsidR="00141B97" w:rsidRDefault="00141B97">
            <w:pPr>
              <w:pStyle w:val="TableParagraph"/>
              <w:rPr>
                <w:sz w:val="18"/>
              </w:rPr>
            </w:pPr>
          </w:p>
          <w:p w14:paraId="64829AB2" w14:textId="77777777" w:rsidR="00141B97" w:rsidRDefault="00141B97">
            <w:pPr>
              <w:pStyle w:val="TableParagraph"/>
              <w:spacing w:before="10"/>
              <w:rPr>
                <w:sz w:val="18"/>
              </w:rPr>
            </w:pPr>
          </w:p>
          <w:p w14:paraId="017591E9" w14:textId="77777777" w:rsidR="00141B97" w:rsidRDefault="00911D63">
            <w:pPr>
              <w:pStyle w:val="TableParagraph"/>
              <w:ind w:left="103"/>
              <w:rPr>
                <w:sz w:val="18"/>
              </w:rPr>
            </w:pPr>
            <w:r>
              <w:rPr>
                <w:sz w:val="18"/>
              </w:rPr>
              <w:t xml:space="preserve">Minor capex </w:t>
            </w:r>
            <w:r>
              <w:rPr>
                <w:spacing w:val="-10"/>
                <w:sz w:val="18"/>
              </w:rPr>
              <w:t>‐</w:t>
            </w:r>
          </w:p>
          <w:p w14:paraId="166B4055" w14:textId="77777777" w:rsidR="00141B97" w:rsidRDefault="00911D63">
            <w:pPr>
              <w:pStyle w:val="TableParagraph"/>
              <w:ind w:left="103"/>
              <w:rPr>
                <w:sz w:val="18"/>
              </w:rPr>
            </w:pPr>
            <w:r>
              <w:rPr>
                <w:spacing w:val="-2"/>
                <w:sz w:val="18"/>
              </w:rPr>
              <w:t>Irrigation</w:t>
            </w:r>
          </w:p>
        </w:tc>
        <w:tc>
          <w:tcPr>
            <w:tcW w:w="1079" w:type="dxa"/>
            <w:tcBorders>
              <w:left w:val="nil"/>
              <w:right w:val="nil"/>
            </w:tcBorders>
            <w:shd w:val="clear" w:color="auto" w:fill="CCE2ED"/>
          </w:tcPr>
          <w:p w14:paraId="2B8FC88F" w14:textId="77777777" w:rsidR="00141B97" w:rsidRDefault="00141B97">
            <w:pPr>
              <w:pStyle w:val="TableParagraph"/>
              <w:rPr>
                <w:sz w:val="18"/>
              </w:rPr>
            </w:pPr>
          </w:p>
          <w:p w14:paraId="460DE676" w14:textId="77777777" w:rsidR="00141B97" w:rsidRDefault="00141B97">
            <w:pPr>
              <w:pStyle w:val="TableParagraph"/>
              <w:rPr>
                <w:sz w:val="18"/>
              </w:rPr>
            </w:pPr>
          </w:p>
          <w:p w14:paraId="1E4F0A28" w14:textId="77777777" w:rsidR="00141B97" w:rsidRDefault="00911D63">
            <w:pPr>
              <w:pStyle w:val="TableParagraph"/>
              <w:spacing w:before="121"/>
              <w:ind w:right="330"/>
              <w:jc w:val="right"/>
              <w:rPr>
                <w:sz w:val="18"/>
              </w:rPr>
            </w:pPr>
            <w:r>
              <w:rPr>
                <w:spacing w:val="-4"/>
                <w:sz w:val="18"/>
              </w:rPr>
              <w:t>5.28</w:t>
            </w:r>
          </w:p>
        </w:tc>
        <w:tc>
          <w:tcPr>
            <w:tcW w:w="1269" w:type="dxa"/>
            <w:tcBorders>
              <w:left w:val="nil"/>
              <w:right w:val="nil"/>
            </w:tcBorders>
            <w:shd w:val="clear" w:color="auto" w:fill="CCE2ED"/>
          </w:tcPr>
          <w:p w14:paraId="5945750D" w14:textId="77777777" w:rsidR="00141B97" w:rsidRDefault="00141B97">
            <w:pPr>
              <w:pStyle w:val="TableParagraph"/>
              <w:rPr>
                <w:sz w:val="18"/>
              </w:rPr>
            </w:pPr>
          </w:p>
          <w:p w14:paraId="58A8495D" w14:textId="77777777" w:rsidR="00141B97" w:rsidRDefault="00141B97">
            <w:pPr>
              <w:pStyle w:val="TableParagraph"/>
              <w:rPr>
                <w:sz w:val="18"/>
              </w:rPr>
            </w:pPr>
          </w:p>
          <w:p w14:paraId="4B13663A" w14:textId="77777777" w:rsidR="00141B97" w:rsidRDefault="00911D63">
            <w:pPr>
              <w:pStyle w:val="TableParagraph"/>
              <w:spacing w:before="121"/>
              <w:ind w:right="280"/>
              <w:jc w:val="right"/>
              <w:rPr>
                <w:sz w:val="18"/>
              </w:rPr>
            </w:pPr>
            <w:r>
              <w:rPr>
                <w:spacing w:val="-2"/>
                <w:sz w:val="18"/>
              </w:rPr>
              <w:t>Irrigation</w:t>
            </w:r>
          </w:p>
        </w:tc>
        <w:tc>
          <w:tcPr>
            <w:tcW w:w="1381" w:type="dxa"/>
            <w:tcBorders>
              <w:left w:val="nil"/>
              <w:right w:val="single" w:sz="6" w:space="0" w:color="FFFFFF"/>
            </w:tcBorders>
            <w:shd w:val="clear" w:color="auto" w:fill="CCE2ED"/>
          </w:tcPr>
          <w:p w14:paraId="4245990F" w14:textId="77777777" w:rsidR="00141B97" w:rsidRDefault="00141B97">
            <w:pPr>
              <w:pStyle w:val="TableParagraph"/>
              <w:rPr>
                <w:sz w:val="18"/>
              </w:rPr>
            </w:pPr>
          </w:p>
          <w:p w14:paraId="030DB410" w14:textId="77777777" w:rsidR="00141B97" w:rsidRDefault="00141B97">
            <w:pPr>
              <w:pStyle w:val="TableParagraph"/>
              <w:spacing w:before="10"/>
              <w:rPr>
                <w:sz w:val="18"/>
              </w:rPr>
            </w:pPr>
          </w:p>
          <w:p w14:paraId="3FC17499" w14:textId="77777777" w:rsidR="00141B97" w:rsidRDefault="00911D63">
            <w:pPr>
              <w:pStyle w:val="TableParagraph"/>
              <w:ind w:left="185" w:firstLine="69"/>
              <w:rPr>
                <w:sz w:val="18"/>
              </w:rPr>
            </w:pPr>
            <w:r>
              <w:rPr>
                <w:sz w:val="18"/>
              </w:rPr>
              <w:t xml:space="preserve">Renewals &amp; </w:t>
            </w:r>
            <w:r>
              <w:rPr>
                <w:spacing w:val="-2"/>
                <w:sz w:val="18"/>
              </w:rPr>
              <w:t>Improvement</w:t>
            </w:r>
          </w:p>
        </w:tc>
        <w:tc>
          <w:tcPr>
            <w:tcW w:w="1991" w:type="dxa"/>
            <w:tcBorders>
              <w:left w:val="single" w:sz="6" w:space="0" w:color="FFFFFF"/>
              <w:right w:val="single" w:sz="8" w:space="0" w:color="FFFFFF"/>
            </w:tcBorders>
            <w:shd w:val="clear" w:color="auto" w:fill="CCE2ED"/>
          </w:tcPr>
          <w:p w14:paraId="7BA2E08E" w14:textId="77777777" w:rsidR="00141B97" w:rsidRDefault="00141B97">
            <w:pPr>
              <w:pStyle w:val="TableParagraph"/>
              <w:rPr>
                <w:sz w:val="18"/>
              </w:rPr>
            </w:pPr>
          </w:p>
          <w:p w14:paraId="328DA9AA" w14:textId="77777777" w:rsidR="00141B97" w:rsidRDefault="00141B97">
            <w:pPr>
              <w:pStyle w:val="TableParagraph"/>
              <w:spacing w:before="10"/>
              <w:rPr>
                <w:sz w:val="18"/>
              </w:rPr>
            </w:pPr>
          </w:p>
          <w:p w14:paraId="7FB29ED1" w14:textId="77777777" w:rsidR="00141B97" w:rsidRDefault="00911D63">
            <w:pPr>
              <w:pStyle w:val="TableParagraph"/>
              <w:ind w:left="94" w:firstLine="33"/>
              <w:rPr>
                <w:sz w:val="18"/>
              </w:rPr>
            </w:pPr>
            <w:r>
              <w:rPr>
                <w:sz w:val="18"/>
              </w:rPr>
              <w:t>Provide</w:t>
            </w:r>
            <w:r>
              <w:rPr>
                <w:spacing w:val="-1"/>
                <w:sz w:val="18"/>
              </w:rPr>
              <w:t xml:space="preserve"> </w:t>
            </w:r>
            <w:r>
              <w:rPr>
                <w:sz w:val="18"/>
              </w:rPr>
              <w:t>customers with water</w:t>
            </w:r>
            <w:r>
              <w:rPr>
                <w:spacing w:val="-9"/>
                <w:sz w:val="18"/>
              </w:rPr>
              <w:t xml:space="preserve"> </w:t>
            </w:r>
            <w:r>
              <w:rPr>
                <w:sz w:val="18"/>
              </w:rPr>
              <w:t>when</w:t>
            </w:r>
            <w:r>
              <w:rPr>
                <w:spacing w:val="-9"/>
                <w:sz w:val="18"/>
              </w:rPr>
              <w:t xml:space="preserve"> </w:t>
            </w:r>
            <w:r>
              <w:rPr>
                <w:sz w:val="18"/>
              </w:rPr>
              <w:t>they</w:t>
            </w:r>
            <w:r>
              <w:rPr>
                <w:spacing w:val="-9"/>
                <w:sz w:val="18"/>
              </w:rPr>
              <w:t xml:space="preserve"> </w:t>
            </w:r>
            <w:r>
              <w:rPr>
                <w:sz w:val="18"/>
              </w:rPr>
              <w:t>need</w:t>
            </w:r>
            <w:r>
              <w:rPr>
                <w:spacing w:val="-9"/>
                <w:sz w:val="18"/>
              </w:rPr>
              <w:t xml:space="preserve"> </w:t>
            </w:r>
            <w:r>
              <w:rPr>
                <w:sz w:val="18"/>
              </w:rPr>
              <w:t>it</w:t>
            </w:r>
          </w:p>
        </w:tc>
        <w:tc>
          <w:tcPr>
            <w:tcW w:w="2603" w:type="dxa"/>
            <w:tcBorders>
              <w:left w:val="single" w:sz="8" w:space="0" w:color="FFFFFF"/>
              <w:right w:val="single" w:sz="6" w:space="0" w:color="FFFFFF"/>
            </w:tcBorders>
            <w:shd w:val="clear" w:color="auto" w:fill="CCE2ED"/>
          </w:tcPr>
          <w:p w14:paraId="0283C3BF" w14:textId="77777777" w:rsidR="00141B97" w:rsidRDefault="00911D63">
            <w:pPr>
              <w:pStyle w:val="TableParagraph"/>
              <w:spacing w:before="11"/>
              <w:ind w:left="92" w:right="186"/>
              <w:jc w:val="both"/>
              <w:rPr>
                <w:sz w:val="18"/>
              </w:rPr>
            </w:pPr>
            <w:r>
              <w:rPr>
                <w:sz w:val="18"/>
              </w:rPr>
              <w:t>Maintain</w:t>
            </w:r>
            <w:r>
              <w:rPr>
                <w:spacing w:val="-8"/>
                <w:sz w:val="18"/>
              </w:rPr>
              <w:t xml:space="preserve"> </w:t>
            </w:r>
            <w:r>
              <w:rPr>
                <w:sz w:val="18"/>
              </w:rPr>
              <w:t>agreed</w:t>
            </w:r>
            <w:r>
              <w:rPr>
                <w:spacing w:val="-10"/>
                <w:sz w:val="18"/>
              </w:rPr>
              <w:t xml:space="preserve"> </w:t>
            </w:r>
            <w:r>
              <w:rPr>
                <w:sz w:val="18"/>
              </w:rPr>
              <w:t>level</w:t>
            </w:r>
            <w:r>
              <w:rPr>
                <w:spacing w:val="-9"/>
                <w:sz w:val="18"/>
              </w:rPr>
              <w:t xml:space="preserve"> </w:t>
            </w:r>
            <w:r>
              <w:rPr>
                <w:sz w:val="18"/>
              </w:rPr>
              <w:t>of</w:t>
            </w:r>
            <w:r>
              <w:rPr>
                <w:spacing w:val="-8"/>
                <w:sz w:val="18"/>
              </w:rPr>
              <w:t xml:space="preserve"> </w:t>
            </w:r>
            <w:r>
              <w:rPr>
                <w:sz w:val="18"/>
              </w:rPr>
              <w:t>service and to mitigate service delivery and operational risks.</w:t>
            </w:r>
          </w:p>
        </w:tc>
        <w:tc>
          <w:tcPr>
            <w:tcW w:w="2448" w:type="dxa"/>
            <w:tcBorders>
              <w:left w:val="single" w:sz="6" w:space="0" w:color="FFFFFF"/>
              <w:right w:val="single" w:sz="8" w:space="0" w:color="FFFFFF"/>
            </w:tcBorders>
            <w:shd w:val="clear" w:color="auto" w:fill="CCE2ED"/>
          </w:tcPr>
          <w:p w14:paraId="13F927C4" w14:textId="77777777" w:rsidR="00141B97" w:rsidRDefault="00911D63">
            <w:pPr>
              <w:pStyle w:val="TableParagraph"/>
              <w:spacing w:before="11"/>
              <w:ind w:left="91" w:right="79"/>
              <w:rPr>
                <w:sz w:val="18"/>
              </w:rPr>
            </w:pPr>
            <w:r>
              <w:rPr>
                <w:sz w:val="18"/>
              </w:rPr>
              <w:t>Replacement,</w:t>
            </w:r>
            <w:r>
              <w:rPr>
                <w:spacing w:val="-4"/>
                <w:sz w:val="18"/>
              </w:rPr>
              <w:t xml:space="preserve"> </w:t>
            </w:r>
            <w:r>
              <w:rPr>
                <w:sz w:val="18"/>
              </w:rPr>
              <w:t>rehabilitation, and renewal of various irrigation assets, excluding irrigation</w:t>
            </w:r>
            <w:r>
              <w:rPr>
                <w:spacing w:val="-11"/>
                <w:sz w:val="18"/>
              </w:rPr>
              <w:t xml:space="preserve"> </w:t>
            </w:r>
            <w:r>
              <w:rPr>
                <w:sz w:val="18"/>
              </w:rPr>
              <w:t>mains</w:t>
            </w:r>
            <w:r>
              <w:rPr>
                <w:spacing w:val="-10"/>
                <w:sz w:val="18"/>
              </w:rPr>
              <w:t xml:space="preserve"> </w:t>
            </w:r>
            <w:r>
              <w:rPr>
                <w:sz w:val="18"/>
              </w:rPr>
              <w:t>and</w:t>
            </w:r>
            <w:r>
              <w:rPr>
                <w:spacing w:val="-10"/>
                <w:sz w:val="18"/>
              </w:rPr>
              <w:t xml:space="preserve"> </w:t>
            </w:r>
            <w:r>
              <w:rPr>
                <w:sz w:val="18"/>
              </w:rPr>
              <w:t>auxiliary assets covered in the Mains</w:t>
            </w:r>
          </w:p>
          <w:p w14:paraId="58775894" w14:textId="77777777" w:rsidR="00141B97" w:rsidRDefault="00911D63">
            <w:pPr>
              <w:pStyle w:val="TableParagraph"/>
              <w:spacing w:line="199" w:lineRule="exact"/>
              <w:ind w:left="91"/>
              <w:rPr>
                <w:sz w:val="18"/>
              </w:rPr>
            </w:pPr>
            <w:r>
              <w:rPr>
                <w:sz w:val="18"/>
              </w:rPr>
              <w:t xml:space="preserve">Renewal </w:t>
            </w:r>
            <w:r>
              <w:rPr>
                <w:spacing w:val="-2"/>
                <w:sz w:val="18"/>
              </w:rPr>
              <w:t>Program.</w:t>
            </w:r>
          </w:p>
        </w:tc>
        <w:tc>
          <w:tcPr>
            <w:tcW w:w="3444" w:type="dxa"/>
            <w:tcBorders>
              <w:left w:val="single" w:sz="8" w:space="0" w:color="FFFFFF"/>
              <w:right w:val="nil"/>
            </w:tcBorders>
            <w:shd w:val="clear" w:color="auto" w:fill="CCE2ED"/>
          </w:tcPr>
          <w:p w14:paraId="758E1674" w14:textId="77777777" w:rsidR="00141B97" w:rsidRDefault="00911D63">
            <w:pPr>
              <w:pStyle w:val="TableParagraph"/>
              <w:spacing w:before="11"/>
              <w:ind w:left="91" w:right="74"/>
              <w:rPr>
                <w:sz w:val="18"/>
              </w:rPr>
            </w:pPr>
            <w:r>
              <w:rPr>
                <w:sz w:val="18"/>
              </w:rPr>
              <w:t>Assets can deteriorate and/or fail due to several known and unknown factors. Minor ongoing or discrete investments are necessary</w:t>
            </w:r>
            <w:r>
              <w:rPr>
                <w:spacing w:val="-7"/>
                <w:sz w:val="18"/>
              </w:rPr>
              <w:t xml:space="preserve"> </w:t>
            </w:r>
            <w:r>
              <w:rPr>
                <w:sz w:val="18"/>
              </w:rPr>
              <w:t>to</w:t>
            </w:r>
            <w:r>
              <w:rPr>
                <w:spacing w:val="-7"/>
                <w:sz w:val="18"/>
              </w:rPr>
              <w:t xml:space="preserve"> </w:t>
            </w:r>
            <w:r>
              <w:rPr>
                <w:sz w:val="18"/>
              </w:rPr>
              <w:t>prevent</w:t>
            </w:r>
            <w:r>
              <w:rPr>
                <w:spacing w:val="-7"/>
                <w:sz w:val="18"/>
              </w:rPr>
              <w:t xml:space="preserve"> </w:t>
            </w:r>
            <w:r>
              <w:rPr>
                <w:sz w:val="18"/>
              </w:rPr>
              <w:t>deterioration,</w:t>
            </w:r>
            <w:r>
              <w:rPr>
                <w:spacing w:val="-7"/>
                <w:sz w:val="18"/>
              </w:rPr>
              <w:t xml:space="preserve"> </w:t>
            </w:r>
            <w:r>
              <w:rPr>
                <w:sz w:val="18"/>
              </w:rPr>
              <w:t>improve asset life and mitigate service delivery and</w:t>
            </w:r>
          </w:p>
          <w:p w14:paraId="67006789" w14:textId="77777777" w:rsidR="00141B97" w:rsidRDefault="00911D63">
            <w:pPr>
              <w:pStyle w:val="TableParagraph"/>
              <w:spacing w:line="199" w:lineRule="exact"/>
              <w:ind w:left="91"/>
              <w:rPr>
                <w:sz w:val="18"/>
              </w:rPr>
            </w:pPr>
            <w:r>
              <w:rPr>
                <w:sz w:val="18"/>
              </w:rPr>
              <w:t>operational</w:t>
            </w:r>
            <w:r>
              <w:rPr>
                <w:spacing w:val="-10"/>
                <w:sz w:val="18"/>
              </w:rPr>
              <w:t xml:space="preserve"> </w:t>
            </w:r>
            <w:r>
              <w:rPr>
                <w:spacing w:val="-2"/>
                <w:sz w:val="18"/>
              </w:rPr>
              <w:t>risks.</w:t>
            </w:r>
          </w:p>
        </w:tc>
      </w:tr>
      <w:tr w:rsidR="00141B97" w14:paraId="4C0295EA" w14:textId="77777777">
        <w:trPr>
          <w:trHeight w:val="1318"/>
        </w:trPr>
        <w:tc>
          <w:tcPr>
            <w:tcW w:w="1475" w:type="dxa"/>
            <w:tcBorders>
              <w:left w:val="nil"/>
              <w:right w:val="nil"/>
            </w:tcBorders>
            <w:shd w:val="clear" w:color="auto" w:fill="CCE2ED"/>
          </w:tcPr>
          <w:p w14:paraId="7053BF57" w14:textId="77777777" w:rsidR="00141B97" w:rsidRDefault="00141B97">
            <w:pPr>
              <w:pStyle w:val="TableParagraph"/>
              <w:rPr>
                <w:sz w:val="18"/>
              </w:rPr>
            </w:pPr>
          </w:p>
          <w:p w14:paraId="57E05AAD" w14:textId="77777777" w:rsidR="00141B97" w:rsidRDefault="00141B97">
            <w:pPr>
              <w:pStyle w:val="TableParagraph"/>
              <w:spacing w:before="11"/>
              <w:rPr>
                <w:sz w:val="17"/>
              </w:rPr>
            </w:pPr>
          </w:p>
          <w:p w14:paraId="5503723E" w14:textId="77777777" w:rsidR="00141B97" w:rsidRDefault="00911D63">
            <w:pPr>
              <w:pStyle w:val="TableParagraph"/>
              <w:spacing w:before="1"/>
              <w:ind w:left="103"/>
              <w:rPr>
                <w:sz w:val="18"/>
              </w:rPr>
            </w:pPr>
            <w:r>
              <w:rPr>
                <w:sz w:val="18"/>
              </w:rPr>
              <w:t xml:space="preserve">Total ICT </w:t>
            </w:r>
            <w:r>
              <w:rPr>
                <w:spacing w:val="-2"/>
                <w:sz w:val="18"/>
              </w:rPr>
              <w:t>equipment</w:t>
            </w:r>
          </w:p>
        </w:tc>
        <w:tc>
          <w:tcPr>
            <w:tcW w:w="1079" w:type="dxa"/>
            <w:tcBorders>
              <w:left w:val="nil"/>
              <w:right w:val="nil"/>
            </w:tcBorders>
            <w:shd w:val="clear" w:color="auto" w:fill="CCE2ED"/>
          </w:tcPr>
          <w:p w14:paraId="004294BC" w14:textId="77777777" w:rsidR="00141B97" w:rsidRDefault="00141B97">
            <w:pPr>
              <w:pStyle w:val="TableParagraph"/>
              <w:rPr>
                <w:sz w:val="18"/>
              </w:rPr>
            </w:pPr>
          </w:p>
          <w:p w14:paraId="1550AC78" w14:textId="77777777" w:rsidR="00141B97" w:rsidRDefault="00141B97">
            <w:pPr>
              <w:pStyle w:val="TableParagraph"/>
              <w:rPr>
                <w:sz w:val="18"/>
              </w:rPr>
            </w:pPr>
          </w:p>
          <w:p w14:paraId="52F5259A" w14:textId="77777777" w:rsidR="00141B97" w:rsidRDefault="00911D63">
            <w:pPr>
              <w:pStyle w:val="TableParagraph"/>
              <w:spacing w:before="110"/>
              <w:ind w:right="330"/>
              <w:jc w:val="right"/>
              <w:rPr>
                <w:sz w:val="18"/>
              </w:rPr>
            </w:pPr>
            <w:r>
              <w:rPr>
                <w:spacing w:val="-4"/>
                <w:sz w:val="18"/>
              </w:rPr>
              <w:t>0.51</w:t>
            </w:r>
          </w:p>
        </w:tc>
        <w:tc>
          <w:tcPr>
            <w:tcW w:w="1269" w:type="dxa"/>
            <w:tcBorders>
              <w:left w:val="nil"/>
              <w:right w:val="nil"/>
            </w:tcBorders>
            <w:shd w:val="clear" w:color="auto" w:fill="CCE2ED"/>
          </w:tcPr>
          <w:p w14:paraId="21B05B05" w14:textId="77777777" w:rsidR="00141B97" w:rsidRDefault="00141B97">
            <w:pPr>
              <w:pStyle w:val="TableParagraph"/>
              <w:rPr>
                <w:sz w:val="18"/>
              </w:rPr>
            </w:pPr>
          </w:p>
          <w:p w14:paraId="05A0A536" w14:textId="77777777" w:rsidR="00141B97" w:rsidRDefault="00141B97">
            <w:pPr>
              <w:pStyle w:val="TableParagraph"/>
              <w:rPr>
                <w:sz w:val="18"/>
              </w:rPr>
            </w:pPr>
          </w:p>
          <w:p w14:paraId="7EEECCA6" w14:textId="77777777" w:rsidR="00141B97" w:rsidRDefault="00911D63">
            <w:pPr>
              <w:pStyle w:val="TableParagraph"/>
              <w:spacing w:before="110"/>
              <w:ind w:right="264"/>
              <w:jc w:val="right"/>
              <w:rPr>
                <w:sz w:val="18"/>
              </w:rPr>
            </w:pPr>
            <w:r>
              <w:rPr>
                <w:spacing w:val="-2"/>
                <w:sz w:val="18"/>
              </w:rPr>
              <w:t>Corporate</w:t>
            </w:r>
          </w:p>
        </w:tc>
        <w:tc>
          <w:tcPr>
            <w:tcW w:w="1381" w:type="dxa"/>
            <w:tcBorders>
              <w:left w:val="nil"/>
              <w:right w:val="nil"/>
            </w:tcBorders>
            <w:shd w:val="clear" w:color="auto" w:fill="CCE2ED"/>
          </w:tcPr>
          <w:p w14:paraId="2A2DF9D0" w14:textId="77777777" w:rsidR="00141B97" w:rsidRDefault="00141B97">
            <w:pPr>
              <w:pStyle w:val="TableParagraph"/>
              <w:rPr>
                <w:sz w:val="18"/>
              </w:rPr>
            </w:pPr>
          </w:p>
          <w:p w14:paraId="40D55DA1" w14:textId="77777777" w:rsidR="00141B97" w:rsidRDefault="00141B97">
            <w:pPr>
              <w:pStyle w:val="TableParagraph"/>
              <w:rPr>
                <w:sz w:val="18"/>
              </w:rPr>
            </w:pPr>
          </w:p>
          <w:p w14:paraId="5475C4C0" w14:textId="77777777" w:rsidR="00141B97" w:rsidRDefault="00911D63">
            <w:pPr>
              <w:pStyle w:val="TableParagraph"/>
              <w:spacing w:before="110"/>
              <w:ind w:left="313" w:right="356"/>
              <w:jc w:val="center"/>
              <w:rPr>
                <w:sz w:val="18"/>
              </w:rPr>
            </w:pPr>
            <w:r>
              <w:rPr>
                <w:spacing w:val="-2"/>
                <w:sz w:val="18"/>
              </w:rPr>
              <w:t>Renewals</w:t>
            </w:r>
          </w:p>
        </w:tc>
        <w:tc>
          <w:tcPr>
            <w:tcW w:w="1991" w:type="dxa"/>
            <w:tcBorders>
              <w:left w:val="nil"/>
              <w:right w:val="nil"/>
            </w:tcBorders>
            <w:shd w:val="clear" w:color="auto" w:fill="CCE2ED"/>
          </w:tcPr>
          <w:p w14:paraId="4509DCBB" w14:textId="77777777" w:rsidR="00141B97" w:rsidRDefault="00141B97">
            <w:pPr>
              <w:pStyle w:val="TableParagraph"/>
              <w:rPr>
                <w:sz w:val="18"/>
              </w:rPr>
            </w:pPr>
          </w:p>
          <w:p w14:paraId="2665C9C0" w14:textId="77777777" w:rsidR="00141B97" w:rsidRDefault="00141B97">
            <w:pPr>
              <w:pStyle w:val="TableParagraph"/>
              <w:rPr>
                <w:sz w:val="18"/>
              </w:rPr>
            </w:pPr>
          </w:p>
          <w:p w14:paraId="29F9A018" w14:textId="77777777" w:rsidR="00141B97" w:rsidRDefault="00911D63">
            <w:pPr>
              <w:pStyle w:val="TableParagraph"/>
              <w:spacing w:before="110"/>
              <w:ind w:right="530"/>
              <w:jc w:val="right"/>
              <w:rPr>
                <w:sz w:val="18"/>
              </w:rPr>
            </w:pPr>
            <w:r>
              <w:rPr>
                <w:sz w:val="18"/>
              </w:rPr>
              <w:t xml:space="preserve">All </w:t>
            </w:r>
            <w:r>
              <w:rPr>
                <w:spacing w:val="-2"/>
                <w:sz w:val="18"/>
              </w:rPr>
              <w:t>outcomes</w:t>
            </w:r>
          </w:p>
        </w:tc>
        <w:tc>
          <w:tcPr>
            <w:tcW w:w="2603" w:type="dxa"/>
            <w:tcBorders>
              <w:left w:val="nil"/>
              <w:right w:val="nil"/>
            </w:tcBorders>
            <w:shd w:val="clear" w:color="auto" w:fill="CCE2ED"/>
          </w:tcPr>
          <w:p w14:paraId="687F8E49" w14:textId="77777777" w:rsidR="00141B97" w:rsidRDefault="00911D63">
            <w:pPr>
              <w:pStyle w:val="TableParagraph"/>
              <w:ind w:left="102" w:right="81"/>
              <w:rPr>
                <w:sz w:val="18"/>
              </w:rPr>
            </w:pPr>
            <w:r>
              <w:rPr>
                <w:sz w:val="18"/>
              </w:rPr>
              <w:t>Maintain ICT equipment to ensure reliable and secure ICT services</w:t>
            </w:r>
            <w:r>
              <w:rPr>
                <w:spacing w:val="-11"/>
                <w:sz w:val="18"/>
              </w:rPr>
              <w:t xml:space="preserve"> </w:t>
            </w:r>
            <w:r>
              <w:rPr>
                <w:sz w:val="18"/>
              </w:rPr>
              <w:t>for</w:t>
            </w:r>
            <w:r>
              <w:rPr>
                <w:spacing w:val="-10"/>
                <w:sz w:val="18"/>
              </w:rPr>
              <w:t xml:space="preserve"> </w:t>
            </w:r>
            <w:r>
              <w:rPr>
                <w:sz w:val="18"/>
              </w:rPr>
              <w:t>business</w:t>
            </w:r>
            <w:r>
              <w:rPr>
                <w:spacing w:val="-10"/>
                <w:sz w:val="18"/>
              </w:rPr>
              <w:t xml:space="preserve"> </w:t>
            </w:r>
            <w:r>
              <w:rPr>
                <w:sz w:val="18"/>
              </w:rPr>
              <w:t xml:space="preserve">operations, customer service and service </w:t>
            </w:r>
            <w:r>
              <w:rPr>
                <w:spacing w:val="-2"/>
                <w:sz w:val="18"/>
              </w:rPr>
              <w:t>delivery.</w:t>
            </w:r>
          </w:p>
        </w:tc>
        <w:tc>
          <w:tcPr>
            <w:tcW w:w="2448" w:type="dxa"/>
            <w:tcBorders>
              <w:left w:val="nil"/>
              <w:right w:val="nil"/>
            </w:tcBorders>
            <w:shd w:val="clear" w:color="auto" w:fill="CCE2ED"/>
          </w:tcPr>
          <w:p w14:paraId="008270FF" w14:textId="77777777" w:rsidR="00141B97" w:rsidRDefault="00911D63">
            <w:pPr>
              <w:pStyle w:val="TableParagraph"/>
              <w:ind w:left="101"/>
              <w:rPr>
                <w:sz w:val="18"/>
              </w:rPr>
            </w:pPr>
            <w:r>
              <w:rPr>
                <w:sz w:val="18"/>
              </w:rPr>
              <w:t>End</w:t>
            </w:r>
            <w:r>
              <w:rPr>
                <w:spacing w:val="-8"/>
                <w:sz w:val="18"/>
              </w:rPr>
              <w:t xml:space="preserve"> </w:t>
            </w:r>
            <w:r>
              <w:rPr>
                <w:sz w:val="18"/>
              </w:rPr>
              <w:t>of</w:t>
            </w:r>
            <w:r>
              <w:rPr>
                <w:spacing w:val="-8"/>
                <w:sz w:val="18"/>
              </w:rPr>
              <w:t xml:space="preserve"> </w:t>
            </w:r>
            <w:r>
              <w:rPr>
                <w:sz w:val="18"/>
              </w:rPr>
              <w:t>life</w:t>
            </w:r>
            <w:r>
              <w:rPr>
                <w:spacing w:val="-8"/>
                <w:sz w:val="18"/>
              </w:rPr>
              <w:t xml:space="preserve"> </w:t>
            </w:r>
            <w:r>
              <w:rPr>
                <w:sz w:val="18"/>
              </w:rPr>
              <w:t>replacement</w:t>
            </w:r>
            <w:r>
              <w:rPr>
                <w:spacing w:val="-8"/>
                <w:sz w:val="18"/>
              </w:rPr>
              <w:t xml:space="preserve"> </w:t>
            </w:r>
            <w:r>
              <w:rPr>
                <w:sz w:val="18"/>
              </w:rPr>
              <w:t>of</w:t>
            </w:r>
            <w:r>
              <w:rPr>
                <w:spacing w:val="-8"/>
                <w:sz w:val="18"/>
              </w:rPr>
              <w:t xml:space="preserve"> </w:t>
            </w:r>
            <w:r>
              <w:rPr>
                <w:sz w:val="18"/>
              </w:rPr>
              <w:t>ICT equipment including servers, network hardware, UPS batteries,</w:t>
            </w:r>
            <w:r>
              <w:rPr>
                <w:spacing w:val="-2"/>
                <w:sz w:val="18"/>
              </w:rPr>
              <w:t xml:space="preserve"> </w:t>
            </w:r>
            <w:r>
              <w:rPr>
                <w:sz w:val="18"/>
              </w:rPr>
              <w:t>firewalls,</w:t>
            </w:r>
          </w:p>
          <w:p w14:paraId="27359E63" w14:textId="77777777" w:rsidR="00141B97" w:rsidRDefault="00911D63">
            <w:pPr>
              <w:pStyle w:val="TableParagraph"/>
              <w:spacing w:line="220" w:lineRule="atLeast"/>
              <w:ind w:left="101"/>
              <w:rPr>
                <w:sz w:val="18"/>
              </w:rPr>
            </w:pPr>
            <w:r>
              <w:rPr>
                <w:sz w:val="18"/>
              </w:rPr>
              <w:t>telecommunications,</w:t>
            </w:r>
            <w:r>
              <w:rPr>
                <w:spacing w:val="-2"/>
                <w:sz w:val="18"/>
              </w:rPr>
              <w:t xml:space="preserve"> </w:t>
            </w:r>
            <w:r>
              <w:rPr>
                <w:sz w:val="18"/>
              </w:rPr>
              <w:t>and business</w:t>
            </w:r>
            <w:r>
              <w:rPr>
                <w:spacing w:val="-11"/>
                <w:sz w:val="18"/>
              </w:rPr>
              <w:t xml:space="preserve"> </w:t>
            </w:r>
            <w:r>
              <w:rPr>
                <w:sz w:val="18"/>
              </w:rPr>
              <w:t>computing</w:t>
            </w:r>
            <w:r>
              <w:rPr>
                <w:spacing w:val="-10"/>
                <w:sz w:val="18"/>
              </w:rPr>
              <w:t xml:space="preserve"> </w:t>
            </w:r>
            <w:r>
              <w:rPr>
                <w:sz w:val="18"/>
              </w:rPr>
              <w:t>devices.</w:t>
            </w:r>
          </w:p>
        </w:tc>
        <w:tc>
          <w:tcPr>
            <w:tcW w:w="3444" w:type="dxa"/>
            <w:tcBorders>
              <w:left w:val="nil"/>
              <w:right w:val="nil"/>
            </w:tcBorders>
            <w:shd w:val="clear" w:color="auto" w:fill="CCE2ED"/>
          </w:tcPr>
          <w:p w14:paraId="4F09F4D6" w14:textId="77777777" w:rsidR="00141B97" w:rsidRDefault="00911D63">
            <w:pPr>
              <w:pStyle w:val="TableParagraph"/>
              <w:ind w:left="101" w:right="34"/>
              <w:rPr>
                <w:sz w:val="18"/>
              </w:rPr>
            </w:pPr>
            <w:r>
              <w:rPr>
                <w:sz w:val="18"/>
              </w:rPr>
              <w:t>Economic</w:t>
            </w:r>
            <w:r>
              <w:rPr>
                <w:spacing w:val="-8"/>
                <w:sz w:val="18"/>
              </w:rPr>
              <w:t xml:space="preserve"> </w:t>
            </w:r>
            <w:r>
              <w:rPr>
                <w:sz w:val="18"/>
              </w:rPr>
              <w:t>replacement</w:t>
            </w:r>
            <w:r>
              <w:rPr>
                <w:spacing w:val="-9"/>
                <w:sz w:val="18"/>
              </w:rPr>
              <w:t xml:space="preserve"> </w:t>
            </w:r>
            <w:r>
              <w:rPr>
                <w:sz w:val="18"/>
              </w:rPr>
              <w:t>of</w:t>
            </w:r>
            <w:r>
              <w:rPr>
                <w:spacing w:val="-8"/>
                <w:sz w:val="18"/>
              </w:rPr>
              <w:t xml:space="preserve"> </w:t>
            </w:r>
            <w:r>
              <w:rPr>
                <w:sz w:val="18"/>
              </w:rPr>
              <w:t>ICT</w:t>
            </w:r>
            <w:r>
              <w:rPr>
                <w:spacing w:val="-8"/>
                <w:sz w:val="18"/>
              </w:rPr>
              <w:t xml:space="preserve"> </w:t>
            </w:r>
            <w:r>
              <w:rPr>
                <w:sz w:val="18"/>
              </w:rPr>
              <w:t>equipment</w:t>
            </w:r>
            <w:r>
              <w:rPr>
                <w:spacing w:val="-9"/>
                <w:sz w:val="18"/>
              </w:rPr>
              <w:t xml:space="preserve"> </w:t>
            </w:r>
            <w:r>
              <w:rPr>
                <w:sz w:val="18"/>
              </w:rPr>
              <w:t>to maintain reliability, security and service performance at lowest lifecycle cost.</w:t>
            </w:r>
          </w:p>
        </w:tc>
      </w:tr>
      <w:tr w:rsidR="00141B97" w14:paraId="26964FE0" w14:textId="77777777">
        <w:trPr>
          <w:trHeight w:val="1018"/>
        </w:trPr>
        <w:tc>
          <w:tcPr>
            <w:tcW w:w="1475" w:type="dxa"/>
            <w:tcBorders>
              <w:left w:val="nil"/>
              <w:right w:val="nil"/>
            </w:tcBorders>
            <w:shd w:val="clear" w:color="auto" w:fill="CCE2ED"/>
          </w:tcPr>
          <w:p w14:paraId="1A3DFDD6" w14:textId="77777777" w:rsidR="00141B97" w:rsidRDefault="00911D63">
            <w:pPr>
              <w:pStyle w:val="TableParagraph"/>
              <w:spacing w:before="70"/>
              <w:ind w:left="103" w:right="325"/>
              <w:rPr>
                <w:sz w:val="18"/>
              </w:rPr>
            </w:pPr>
            <w:r>
              <w:rPr>
                <w:sz w:val="18"/>
              </w:rPr>
              <w:t>Heavy Motor Vehicle</w:t>
            </w:r>
            <w:r>
              <w:rPr>
                <w:spacing w:val="-11"/>
                <w:sz w:val="18"/>
              </w:rPr>
              <w:t xml:space="preserve"> </w:t>
            </w:r>
            <w:r>
              <w:rPr>
                <w:sz w:val="18"/>
              </w:rPr>
              <w:t>Fleet</w:t>
            </w:r>
            <w:r>
              <w:rPr>
                <w:spacing w:val="-10"/>
                <w:sz w:val="18"/>
              </w:rPr>
              <w:t xml:space="preserve"> </w:t>
            </w:r>
            <w:r>
              <w:rPr>
                <w:sz w:val="18"/>
              </w:rPr>
              <w:t>‐ annual</w:t>
            </w:r>
            <w:r>
              <w:rPr>
                <w:spacing w:val="-11"/>
                <w:sz w:val="18"/>
              </w:rPr>
              <w:t xml:space="preserve"> </w:t>
            </w:r>
            <w:r>
              <w:rPr>
                <w:sz w:val="18"/>
              </w:rPr>
              <w:t xml:space="preserve">vehicle </w:t>
            </w:r>
            <w:r>
              <w:rPr>
                <w:spacing w:val="-2"/>
                <w:sz w:val="18"/>
              </w:rPr>
              <w:t>replacements</w:t>
            </w:r>
          </w:p>
        </w:tc>
        <w:tc>
          <w:tcPr>
            <w:tcW w:w="1079" w:type="dxa"/>
            <w:tcBorders>
              <w:left w:val="nil"/>
              <w:right w:val="nil"/>
            </w:tcBorders>
            <w:shd w:val="clear" w:color="auto" w:fill="CCE2ED"/>
          </w:tcPr>
          <w:p w14:paraId="573FCDB0" w14:textId="77777777" w:rsidR="00141B97" w:rsidRDefault="00141B97">
            <w:pPr>
              <w:pStyle w:val="TableParagraph"/>
              <w:rPr>
                <w:sz w:val="18"/>
              </w:rPr>
            </w:pPr>
          </w:p>
          <w:p w14:paraId="45C2B5B3" w14:textId="77777777" w:rsidR="00141B97" w:rsidRDefault="00141B97">
            <w:pPr>
              <w:pStyle w:val="TableParagraph"/>
              <w:spacing w:before="9"/>
              <w:rPr>
                <w:sz w:val="14"/>
              </w:rPr>
            </w:pPr>
          </w:p>
          <w:p w14:paraId="59C168EB" w14:textId="77777777" w:rsidR="00141B97" w:rsidRDefault="00911D63">
            <w:pPr>
              <w:pStyle w:val="TableParagraph"/>
              <w:ind w:right="330"/>
              <w:jc w:val="right"/>
              <w:rPr>
                <w:sz w:val="18"/>
              </w:rPr>
            </w:pPr>
            <w:r>
              <w:rPr>
                <w:spacing w:val="-4"/>
                <w:sz w:val="18"/>
              </w:rPr>
              <w:t>0.96</w:t>
            </w:r>
          </w:p>
        </w:tc>
        <w:tc>
          <w:tcPr>
            <w:tcW w:w="1269" w:type="dxa"/>
            <w:tcBorders>
              <w:left w:val="nil"/>
              <w:right w:val="nil"/>
            </w:tcBorders>
            <w:shd w:val="clear" w:color="auto" w:fill="CCE2ED"/>
          </w:tcPr>
          <w:p w14:paraId="6BE2F7DA" w14:textId="77777777" w:rsidR="00141B97" w:rsidRDefault="00141B97">
            <w:pPr>
              <w:pStyle w:val="TableParagraph"/>
              <w:rPr>
                <w:sz w:val="18"/>
              </w:rPr>
            </w:pPr>
          </w:p>
          <w:p w14:paraId="7D4B6964" w14:textId="77777777" w:rsidR="00141B97" w:rsidRDefault="00141B97">
            <w:pPr>
              <w:pStyle w:val="TableParagraph"/>
              <w:spacing w:before="9"/>
              <w:rPr>
                <w:sz w:val="14"/>
              </w:rPr>
            </w:pPr>
          </w:p>
          <w:p w14:paraId="511723A1" w14:textId="77777777" w:rsidR="00141B97" w:rsidRDefault="00911D63">
            <w:pPr>
              <w:pStyle w:val="TableParagraph"/>
              <w:ind w:right="264"/>
              <w:jc w:val="right"/>
              <w:rPr>
                <w:sz w:val="18"/>
              </w:rPr>
            </w:pPr>
            <w:r>
              <w:rPr>
                <w:spacing w:val="-2"/>
                <w:sz w:val="18"/>
              </w:rPr>
              <w:t>Corporate</w:t>
            </w:r>
          </w:p>
        </w:tc>
        <w:tc>
          <w:tcPr>
            <w:tcW w:w="1381" w:type="dxa"/>
            <w:tcBorders>
              <w:left w:val="nil"/>
              <w:right w:val="nil"/>
            </w:tcBorders>
            <w:shd w:val="clear" w:color="auto" w:fill="CCE2ED"/>
          </w:tcPr>
          <w:p w14:paraId="7FBEAC87" w14:textId="77777777" w:rsidR="00141B97" w:rsidRDefault="00141B97">
            <w:pPr>
              <w:pStyle w:val="TableParagraph"/>
              <w:rPr>
                <w:sz w:val="18"/>
              </w:rPr>
            </w:pPr>
          </w:p>
          <w:p w14:paraId="50EDBD77" w14:textId="77777777" w:rsidR="00141B97" w:rsidRDefault="00141B97">
            <w:pPr>
              <w:pStyle w:val="TableParagraph"/>
              <w:spacing w:before="9"/>
              <w:rPr>
                <w:sz w:val="14"/>
              </w:rPr>
            </w:pPr>
          </w:p>
          <w:p w14:paraId="4B8A52F9" w14:textId="77777777" w:rsidR="00141B97" w:rsidRDefault="00911D63">
            <w:pPr>
              <w:pStyle w:val="TableParagraph"/>
              <w:ind w:left="313" w:right="356"/>
              <w:jc w:val="center"/>
              <w:rPr>
                <w:sz w:val="18"/>
              </w:rPr>
            </w:pPr>
            <w:r>
              <w:rPr>
                <w:spacing w:val="-2"/>
                <w:sz w:val="18"/>
              </w:rPr>
              <w:t>Renewals</w:t>
            </w:r>
          </w:p>
        </w:tc>
        <w:tc>
          <w:tcPr>
            <w:tcW w:w="1991" w:type="dxa"/>
            <w:tcBorders>
              <w:left w:val="nil"/>
              <w:right w:val="nil"/>
            </w:tcBorders>
            <w:shd w:val="clear" w:color="auto" w:fill="CCE2ED"/>
          </w:tcPr>
          <w:p w14:paraId="149E0502" w14:textId="77777777" w:rsidR="00141B97" w:rsidRDefault="00141B97">
            <w:pPr>
              <w:pStyle w:val="TableParagraph"/>
              <w:rPr>
                <w:sz w:val="18"/>
              </w:rPr>
            </w:pPr>
          </w:p>
          <w:p w14:paraId="0D32DC72" w14:textId="77777777" w:rsidR="00141B97" w:rsidRDefault="00141B97">
            <w:pPr>
              <w:pStyle w:val="TableParagraph"/>
              <w:spacing w:before="9"/>
              <w:rPr>
                <w:sz w:val="14"/>
              </w:rPr>
            </w:pPr>
          </w:p>
          <w:p w14:paraId="733FB629" w14:textId="77777777" w:rsidR="00141B97" w:rsidRDefault="00911D63">
            <w:pPr>
              <w:pStyle w:val="TableParagraph"/>
              <w:ind w:right="530"/>
              <w:jc w:val="right"/>
              <w:rPr>
                <w:sz w:val="18"/>
              </w:rPr>
            </w:pPr>
            <w:r>
              <w:rPr>
                <w:sz w:val="18"/>
              </w:rPr>
              <w:t xml:space="preserve">All </w:t>
            </w:r>
            <w:r>
              <w:rPr>
                <w:spacing w:val="-2"/>
                <w:sz w:val="18"/>
              </w:rPr>
              <w:t>outcomes</w:t>
            </w:r>
          </w:p>
        </w:tc>
        <w:tc>
          <w:tcPr>
            <w:tcW w:w="2603" w:type="dxa"/>
            <w:tcBorders>
              <w:left w:val="nil"/>
              <w:right w:val="nil"/>
            </w:tcBorders>
            <w:shd w:val="clear" w:color="auto" w:fill="CCE2ED"/>
          </w:tcPr>
          <w:p w14:paraId="6E3C3E4D" w14:textId="77777777" w:rsidR="00141B97" w:rsidRDefault="00911D63">
            <w:pPr>
              <w:pStyle w:val="TableParagraph"/>
              <w:ind w:left="102" w:right="81"/>
              <w:rPr>
                <w:sz w:val="18"/>
              </w:rPr>
            </w:pPr>
            <w:r>
              <w:rPr>
                <w:sz w:val="18"/>
              </w:rPr>
              <w:t>Maintain heavy vehicle fleet to ensure safety and functionality for</w:t>
            </w:r>
            <w:r>
              <w:rPr>
                <w:spacing w:val="-9"/>
                <w:sz w:val="18"/>
              </w:rPr>
              <w:t xml:space="preserve"> </w:t>
            </w:r>
            <w:r>
              <w:rPr>
                <w:sz w:val="18"/>
              </w:rPr>
              <w:t>customer</w:t>
            </w:r>
            <w:r>
              <w:rPr>
                <w:spacing w:val="-9"/>
                <w:sz w:val="18"/>
              </w:rPr>
              <w:t xml:space="preserve"> </w:t>
            </w:r>
            <w:r>
              <w:rPr>
                <w:sz w:val="18"/>
              </w:rPr>
              <w:t>service</w:t>
            </w:r>
            <w:r>
              <w:rPr>
                <w:spacing w:val="-10"/>
                <w:sz w:val="18"/>
              </w:rPr>
              <w:t xml:space="preserve"> </w:t>
            </w:r>
            <w:r>
              <w:rPr>
                <w:sz w:val="18"/>
              </w:rPr>
              <w:t>and</w:t>
            </w:r>
            <w:r>
              <w:rPr>
                <w:spacing w:val="-9"/>
                <w:sz w:val="18"/>
              </w:rPr>
              <w:t xml:space="preserve"> </w:t>
            </w:r>
            <w:r>
              <w:rPr>
                <w:sz w:val="18"/>
              </w:rPr>
              <w:t xml:space="preserve">service </w:t>
            </w:r>
            <w:r>
              <w:rPr>
                <w:spacing w:val="-2"/>
                <w:sz w:val="18"/>
              </w:rPr>
              <w:t>delivery.</w:t>
            </w:r>
          </w:p>
        </w:tc>
        <w:tc>
          <w:tcPr>
            <w:tcW w:w="2448" w:type="dxa"/>
            <w:tcBorders>
              <w:left w:val="nil"/>
              <w:right w:val="nil"/>
            </w:tcBorders>
            <w:shd w:val="clear" w:color="auto" w:fill="CCE2ED"/>
          </w:tcPr>
          <w:p w14:paraId="182EF01C" w14:textId="77777777" w:rsidR="00141B97" w:rsidRDefault="00911D63">
            <w:pPr>
              <w:pStyle w:val="TableParagraph"/>
              <w:ind w:left="101"/>
              <w:rPr>
                <w:sz w:val="18"/>
              </w:rPr>
            </w:pPr>
            <w:r>
              <w:rPr>
                <w:sz w:val="18"/>
              </w:rPr>
              <w:t>Rolling periodic disposal and replacement</w:t>
            </w:r>
            <w:r>
              <w:rPr>
                <w:spacing w:val="-11"/>
                <w:sz w:val="18"/>
              </w:rPr>
              <w:t xml:space="preserve"> </w:t>
            </w:r>
            <w:r>
              <w:rPr>
                <w:sz w:val="18"/>
              </w:rPr>
              <w:t>of</w:t>
            </w:r>
            <w:r>
              <w:rPr>
                <w:spacing w:val="-10"/>
                <w:sz w:val="18"/>
              </w:rPr>
              <w:t xml:space="preserve"> </w:t>
            </w:r>
            <w:r>
              <w:rPr>
                <w:sz w:val="18"/>
              </w:rPr>
              <w:t>heavy</w:t>
            </w:r>
            <w:r>
              <w:rPr>
                <w:spacing w:val="-10"/>
                <w:sz w:val="18"/>
              </w:rPr>
              <w:t xml:space="preserve"> </w:t>
            </w:r>
            <w:r>
              <w:rPr>
                <w:sz w:val="18"/>
              </w:rPr>
              <w:t xml:space="preserve">vehicle </w:t>
            </w:r>
            <w:r>
              <w:rPr>
                <w:spacing w:val="-2"/>
                <w:sz w:val="18"/>
              </w:rPr>
              <w:t>fleet.</w:t>
            </w:r>
          </w:p>
        </w:tc>
        <w:tc>
          <w:tcPr>
            <w:tcW w:w="3444" w:type="dxa"/>
            <w:tcBorders>
              <w:left w:val="nil"/>
              <w:right w:val="nil"/>
            </w:tcBorders>
            <w:shd w:val="clear" w:color="auto" w:fill="CCE2ED"/>
          </w:tcPr>
          <w:p w14:paraId="5BBE1772" w14:textId="77777777" w:rsidR="00141B97" w:rsidRDefault="00911D63">
            <w:pPr>
              <w:pStyle w:val="TableParagraph"/>
              <w:ind w:left="101" w:right="34"/>
              <w:rPr>
                <w:sz w:val="18"/>
              </w:rPr>
            </w:pPr>
            <w:r>
              <w:rPr>
                <w:sz w:val="18"/>
              </w:rPr>
              <w:t>Optimal</w:t>
            </w:r>
            <w:r>
              <w:rPr>
                <w:spacing w:val="-7"/>
                <w:sz w:val="18"/>
              </w:rPr>
              <w:t xml:space="preserve"> </w:t>
            </w:r>
            <w:r>
              <w:rPr>
                <w:sz w:val="18"/>
              </w:rPr>
              <w:t>replacement</w:t>
            </w:r>
            <w:r>
              <w:rPr>
                <w:spacing w:val="-8"/>
                <w:sz w:val="18"/>
              </w:rPr>
              <w:t xml:space="preserve"> </w:t>
            </w:r>
            <w:r>
              <w:rPr>
                <w:sz w:val="18"/>
              </w:rPr>
              <w:t>regime</w:t>
            </w:r>
            <w:r>
              <w:rPr>
                <w:spacing w:val="-8"/>
                <w:sz w:val="18"/>
              </w:rPr>
              <w:t xml:space="preserve"> </w:t>
            </w:r>
            <w:r>
              <w:rPr>
                <w:sz w:val="18"/>
              </w:rPr>
              <w:t>with</w:t>
            </w:r>
            <w:r>
              <w:rPr>
                <w:spacing w:val="-7"/>
                <w:sz w:val="18"/>
              </w:rPr>
              <w:t xml:space="preserve"> </w:t>
            </w:r>
            <w:r>
              <w:rPr>
                <w:sz w:val="18"/>
              </w:rPr>
              <w:t>respect</w:t>
            </w:r>
            <w:r>
              <w:rPr>
                <w:spacing w:val="-8"/>
                <w:sz w:val="18"/>
              </w:rPr>
              <w:t xml:space="preserve"> </w:t>
            </w:r>
            <w:r>
              <w:rPr>
                <w:sz w:val="18"/>
              </w:rPr>
              <w:t>to triple bottom line (social, environmental, economic) objectives.</w:t>
            </w:r>
          </w:p>
        </w:tc>
      </w:tr>
      <w:tr w:rsidR="00141B97" w14:paraId="096A4E68" w14:textId="77777777">
        <w:trPr>
          <w:trHeight w:val="879"/>
        </w:trPr>
        <w:tc>
          <w:tcPr>
            <w:tcW w:w="1475" w:type="dxa"/>
            <w:tcBorders>
              <w:left w:val="nil"/>
              <w:bottom w:val="nil"/>
              <w:right w:val="nil"/>
            </w:tcBorders>
            <w:shd w:val="clear" w:color="auto" w:fill="CCE2ED"/>
          </w:tcPr>
          <w:p w14:paraId="6F830795" w14:textId="77777777" w:rsidR="00141B97" w:rsidRDefault="00911D63">
            <w:pPr>
              <w:pStyle w:val="TableParagraph"/>
              <w:spacing w:before="110"/>
              <w:ind w:left="103" w:right="429"/>
              <w:rPr>
                <w:sz w:val="18"/>
              </w:rPr>
            </w:pPr>
            <w:r>
              <w:rPr>
                <w:spacing w:val="-2"/>
                <w:sz w:val="18"/>
              </w:rPr>
              <w:t>Corporate</w:t>
            </w:r>
            <w:r>
              <w:rPr>
                <w:sz w:val="18"/>
              </w:rPr>
              <w:t xml:space="preserve"> Facilities</w:t>
            </w:r>
            <w:r>
              <w:rPr>
                <w:spacing w:val="-11"/>
                <w:sz w:val="18"/>
              </w:rPr>
              <w:t xml:space="preserve"> </w:t>
            </w:r>
            <w:r>
              <w:rPr>
                <w:sz w:val="18"/>
              </w:rPr>
              <w:t xml:space="preserve">and </w:t>
            </w:r>
            <w:r>
              <w:rPr>
                <w:spacing w:val="-2"/>
                <w:sz w:val="18"/>
              </w:rPr>
              <w:t>Buildings</w:t>
            </w:r>
          </w:p>
        </w:tc>
        <w:tc>
          <w:tcPr>
            <w:tcW w:w="1079" w:type="dxa"/>
            <w:tcBorders>
              <w:left w:val="nil"/>
              <w:bottom w:val="nil"/>
              <w:right w:val="nil"/>
            </w:tcBorders>
            <w:shd w:val="clear" w:color="auto" w:fill="CCE2ED"/>
          </w:tcPr>
          <w:p w14:paraId="10C6DCB6" w14:textId="77777777" w:rsidR="00141B97" w:rsidRDefault="00141B97">
            <w:pPr>
              <w:pStyle w:val="TableParagraph"/>
              <w:rPr>
                <w:sz w:val="18"/>
              </w:rPr>
            </w:pPr>
          </w:p>
          <w:p w14:paraId="380DF614" w14:textId="77777777" w:rsidR="00141B97" w:rsidRDefault="00911D63">
            <w:pPr>
              <w:pStyle w:val="TableParagraph"/>
              <w:spacing w:before="110"/>
              <w:ind w:right="330"/>
              <w:jc w:val="right"/>
              <w:rPr>
                <w:sz w:val="18"/>
              </w:rPr>
            </w:pPr>
            <w:r>
              <w:rPr>
                <w:spacing w:val="-4"/>
                <w:sz w:val="18"/>
              </w:rPr>
              <w:t>1.22</w:t>
            </w:r>
          </w:p>
        </w:tc>
        <w:tc>
          <w:tcPr>
            <w:tcW w:w="1269" w:type="dxa"/>
            <w:tcBorders>
              <w:left w:val="nil"/>
              <w:bottom w:val="nil"/>
              <w:right w:val="nil"/>
            </w:tcBorders>
            <w:shd w:val="clear" w:color="auto" w:fill="CCE2ED"/>
          </w:tcPr>
          <w:p w14:paraId="0AA62D71" w14:textId="77777777" w:rsidR="00141B97" w:rsidRDefault="00141B97">
            <w:pPr>
              <w:pStyle w:val="TableParagraph"/>
              <w:rPr>
                <w:sz w:val="18"/>
              </w:rPr>
            </w:pPr>
          </w:p>
          <w:p w14:paraId="242A092A" w14:textId="77777777" w:rsidR="00141B97" w:rsidRDefault="00911D63">
            <w:pPr>
              <w:pStyle w:val="TableParagraph"/>
              <w:spacing w:before="110"/>
              <w:ind w:right="264"/>
              <w:jc w:val="right"/>
              <w:rPr>
                <w:sz w:val="18"/>
              </w:rPr>
            </w:pPr>
            <w:r>
              <w:rPr>
                <w:spacing w:val="-2"/>
                <w:sz w:val="18"/>
              </w:rPr>
              <w:t>Corporate</w:t>
            </w:r>
          </w:p>
        </w:tc>
        <w:tc>
          <w:tcPr>
            <w:tcW w:w="1381" w:type="dxa"/>
            <w:tcBorders>
              <w:left w:val="nil"/>
              <w:bottom w:val="nil"/>
              <w:right w:val="nil"/>
            </w:tcBorders>
            <w:shd w:val="clear" w:color="auto" w:fill="CCE2ED"/>
          </w:tcPr>
          <w:p w14:paraId="7BAE642D" w14:textId="77777777" w:rsidR="00141B97" w:rsidRDefault="00141B97">
            <w:pPr>
              <w:pStyle w:val="TableParagraph"/>
              <w:spacing w:before="1"/>
              <w:rPr>
                <w:sz w:val="18"/>
              </w:rPr>
            </w:pPr>
          </w:p>
          <w:p w14:paraId="6C45FCF8" w14:textId="77777777" w:rsidR="00141B97" w:rsidRDefault="00911D63">
            <w:pPr>
              <w:pStyle w:val="TableParagraph"/>
              <w:ind w:left="158"/>
              <w:rPr>
                <w:sz w:val="18"/>
              </w:rPr>
            </w:pPr>
            <w:r>
              <w:rPr>
                <w:spacing w:val="-2"/>
                <w:sz w:val="18"/>
              </w:rPr>
              <w:t>Improvements</w:t>
            </w:r>
          </w:p>
          <w:p w14:paraId="5406A237" w14:textId="77777777" w:rsidR="00141B97" w:rsidRDefault="00911D63">
            <w:pPr>
              <w:pStyle w:val="TableParagraph"/>
              <w:ind w:left="189"/>
              <w:rPr>
                <w:sz w:val="18"/>
              </w:rPr>
            </w:pPr>
            <w:r>
              <w:rPr>
                <w:sz w:val="18"/>
              </w:rPr>
              <w:t>/</w:t>
            </w:r>
            <w:r>
              <w:rPr>
                <w:spacing w:val="-1"/>
                <w:sz w:val="18"/>
              </w:rPr>
              <w:t xml:space="preserve"> </w:t>
            </w:r>
            <w:r>
              <w:rPr>
                <w:spacing w:val="-2"/>
                <w:sz w:val="18"/>
              </w:rPr>
              <w:t>Compliance</w:t>
            </w:r>
          </w:p>
        </w:tc>
        <w:tc>
          <w:tcPr>
            <w:tcW w:w="1991" w:type="dxa"/>
            <w:tcBorders>
              <w:left w:val="nil"/>
              <w:bottom w:val="nil"/>
              <w:right w:val="nil"/>
            </w:tcBorders>
            <w:shd w:val="clear" w:color="auto" w:fill="CCE2ED"/>
          </w:tcPr>
          <w:p w14:paraId="1D89F605" w14:textId="77777777" w:rsidR="00141B97" w:rsidRDefault="00141B97">
            <w:pPr>
              <w:pStyle w:val="TableParagraph"/>
              <w:rPr>
                <w:sz w:val="18"/>
              </w:rPr>
            </w:pPr>
          </w:p>
          <w:p w14:paraId="50AFCFB8" w14:textId="77777777" w:rsidR="00141B97" w:rsidRDefault="00911D63">
            <w:pPr>
              <w:pStyle w:val="TableParagraph"/>
              <w:spacing w:before="110"/>
              <w:ind w:right="530"/>
              <w:jc w:val="right"/>
              <w:rPr>
                <w:sz w:val="18"/>
              </w:rPr>
            </w:pPr>
            <w:r>
              <w:rPr>
                <w:sz w:val="18"/>
              </w:rPr>
              <w:t xml:space="preserve">All </w:t>
            </w:r>
            <w:r>
              <w:rPr>
                <w:spacing w:val="-2"/>
                <w:sz w:val="18"/>
              </w:rPr>
              <w:t>outcomes</w:t>
            </w:r>
          </w:p>
        </w:tc>
        <w:tc>
          <w:tcPr>
            <w:tcW w:w="2603" w:type="dxa"/>
            <w:tcBorders>
              <w:left w:val="nil"/>
              <w:bottom w:val="nil"/>
              <w:right w:val="nil"/>
            </w:tcBorders>
            <w:shd w:val="clear" w:color="auto" w:fill="CCE2ED"/>
          </w:tcPr>
          <w:p w14:paraId="03C09EA3" w14:textId="77777777" w:rsidR="00141B97" w:rsidRDefault="00911D63">
            <w:pPr>
              <w:pStyle w:val="TableParagraph"/>
              <w:ind w:left="102" w:right="211"/>
              <w:jc w:val="both"/>
              <w:rPr>
                <w:sz w:val="18"/>
              </w:rPr>
            </w:pPr>
            <w:r>
              <w:rPr>
                <w:sz w:val="18"/>
              </w:rPr>
              <w:t>Maintain</w:t>
            </w:r>
            <w:r>
              <w:rPr>
                <w:spacing w:val="-11"/>
                <w:sz w:val="18"/>
              </w:rPr>
              <w:t xml:space="preserve"> </w:t>
            </w:r>
            <w:r>
              <w:rPr>
                <w:sz w:val="18"/>
              </w:rPr>
              <w:t>facilities</w:t>
            </w:r>
            <w:r>
              <w:rPr>
                <w:spacing w:val="-10"/>
                <w:sz w:val="18"/>
              </w:rPr>
              <w:t xml:space="preserve"> </w:t>
            </w:r>
            <w:r>
              <w:rPr>
                <w:sz w:val="18"/>
              </w:rPr>
              <w:t>and</w:t>
            </w:r>
            <w:r>
              <w:rPr>
                <w:spacing w:val="-10"/>
                <w:sz w:val="18"/>
              </w:rPr>
              <w:t xml:space="preserve"> </w:t>
            </w:r>
            <w:r>
              <w:rPr>
                <w:sz w:val="18"/>
              </w:rPr>
              <w:t>buildings in</w:t>
            </w:r>
            <w:r>
              <w:rPr>
                <w:spacing w:val="-7"/>
                <w:sz w:val="18"/>
              </w:rPr>
              <w:t xml:space="preserve"> </w:t>
            </w:r>
            <w:r>
              <w:rPr>
                <w:sz w:val="18"/>
              </w:rPr>
              <w:t>a</w:t>
            </w:r>
            <w:r>
              <w:rPr>
                <w:spacing w:val="-7"/>
                <w:sz w:val="18"/>
              </w:rPr>
              <w:t xml:space="preserve"> </w:t>
            </w:r>
            <w:r>
              <w:rPr>
                <w:sz w:val="18"/>
              </w:rPr>
              <w:t>safe,</w:t>
            </w:r>
            <w:r>
              <w:rPr>
                <w:spacing w:val="-8"/>
                <w:sz w:val="18"/>
              </w:rPr>
              <w:t xml:space="preserve"> </w:t>
            </w:r>
            <w:r>
              <w:rPr>
                <w:sz w:val="18"/>
              </w:rPr>
              <w:t>functional,</w:t>
            </w:r>
            <w:r>
              <w:rPr>
                <w:spacing w:val="-7"/>
                <w:sz w:val="18"/>
              </w:rPr>
              <w:t xml:space="preserve"> </w:t>
            </w:r>
            <w:r>
              <w:rPr>
                <w:sz w:val="18"/>
              </w:rPr>
              <w:t>secure</w:t>
            </w:r>
            <w:r>
              <w:rPr>
                <w:spacing w:val="-9"/>
                <w:sz w:val="18"/>
              </w:rPr>
              <w:t xml:space="preserve"> </w:t>
            </w:r>
            <w:r>
              <w:rPr>
                <w:sz w:val="18"/>
              </w:rPr>
              <w:t>and compliant manner.</w:t>
            </w:r>
          </w:p>
        </w:tc>
        <w:tc>
          <w:tcPr>
            <w:tcW w:w="2448" w:type="dxa"/>
            <w:tcBorders>
              <w:left w:val="nil"/>
              <w:bottom w:val="nil"/>
              <w:right w:val="nil"/>
            </w:tcBorders>
            <w:shd w:val="clear" w:color="auto" w:fill="CCE2ED"/>
          </w:tcPr>
          <w:p w14:paraId="0F92900F" w14:textId="77777777" w:rsidR="00141B97" w:rsidRDefault="00911D63">
            <w:pPr>
              <w:pStyle w:val="TableParagraph"/>
              <w:ind w:left="101"/>
              <w:rPr>
                <w:sz w:val="18"/>
              </w:rPr>
            </w:pPr>
            <w:r>
              <w:rPr>
                <w:sz w:val="18"/>
              </w:rPr>
              <w:t>Minor</w:t>
            </w:r>
            <w:r>
              <w:rPr>
                <w:spacing w:val="-11"/>
                <w:sz w:val="18"/>
              </w:rPr>
              <w:t xml:space="preserve"> </w:t>
            </w:r>
            <w:r>
              <w:rPr>
                <w:sz w:val="18"/>
              </w:rPr>
              <w:t>interior</w:t>
            </w:r>
            <w:r>
              <w:rPr>
                <w:spacing w:val="-10"/>
                <w:sz w:val="18"/>
              </w:rPr>
              <w:t xml:space="preserve"> </w:t>
            </w:r>
            <w:r>
              <w:rPr>
                <w:sz w:val="18"/>
              </w:rPr>
              <w:t>and</w:t>
            </w:r>
            <w:r>
              <w:rPr>
                <w:spacing w:val="-10"/>
                <w:sz w:val="18"/>
              </w:rPr>
              <w:t xml:space="preserve"> </w:t>
            </w:r>
            <w:r>
              <w:rPr>
                <w:sz w:val="18"/>
              </w:rPr>
              <w:t>exterior building and facility</w:t>
            </w:r>
          </w:p>
          <w:p w14:paraId="04AD55D0" w14:textId="77777777" w:rsidR="00141B97" w:rsidRDefault="00911D63">
            <w:pPr>
              <w:pStyle w:val="TableParagraph"/>
              <w:spacing w:line="220" w:lineRule="atLeast"/>
              <w:ind w:left="101" w:right="1037"/>
              <w:rPr>
                <w:sz w:val="18"/>
              </w:rPr>
            </w:pPr>
            <w:r>
              <w:rPr>
                <w:sz w:val="18"/>
              </w:rPr>
              <w:t>replacements</w:t>
            </w:r>
            <w:r>
              <w:rPr>
                <w:spacing w:val="-11"/>
                <w:sz w:val="18"/>
              </w:rPr>
              <w:t xml:space="preserve"> </w:t>
            </w:r>
            <w:r>
              <w:rPr>
                <w:sz w:val="18"/>
              </w:rPr>
              <w:t xml:space="preserve">and </w:t>
            </w:r>
            <w:r>
              <w:rPr>
                <w:spacing w:val="-2"/>
                <w:sz w:val="18"/>
              </w:rPr>
              <w:t>improvements.</w:t>
            </w:r>
          </w:p>
        </w:tc>
        <w:tc>
          <w:tcPr>
            <w:tcW w:w="3444" w:type="dxa"/>
            <w:tcBorders>
              <w:left w:val="nil"/>
              <w:bottom w:val="nil"/>
              <w:right w:val="nil"/>
            </w:tcBorders>
            <w:shd w:val="clear" w:color="auto" w:fill="CCE2ED"/>
          </w:tcPr>
          <w:p w14:paraId="08C1AF2F" w14:textId="77777777" w:rsidR="00141B97" w:rsidRDefault="00911D63">
            <w:pPr>
              <w:pStyle w:val="TableParagraph"/>
              <w:ind w:left="101" w:right="34"/>
              <w:rPr>
                <w:sz w:val="18"/>
              </w:rPr>
            </w:pPr>
            <w:r>
              <w:rPr>
                <w:sz w:val="18"/>
              </w:rPr>
              <w:t>Building</w:t>
            </w:r>
            <w:r>
              <w:rPr>
                <w:spacing w:val="-10"/>
                <w:sz w:val="18"/>
              </w:rPr>
              <w:t xml:space="preserve"> </w:t>
            </w:r>
            <w:r>
              <w:rPr>
                <w:sz w:val="18"/>
              </w:rPr>
              <w:t>and</w:t>
            </w:r>
            <w:r>
              <w:rPr>
                <w:spacing w:val="-9"/>
                <w:sz w:val="18"/>
              </w:rPr>
              <w:t xml:space="preserve"> </w:t>
            </w:r>
            <w:r>
              <w:rPr>
                <w:sz w:val="18"/>
              </w:rPr>
              <w:t>facility</w:t>
            </w:r>
            <w:r>
              <w:rPr>
                <w:spacing w:val="-9"/>
                <w:sz w:val="18"/>
              </w:rPr>
              <w:t xml:space="preserve"> </w:t>
            </w:r>
            <w:r>
              <w:rPr>
                <w:sz w:val="18"/>
              </w:rPr>
              <w:t>improvements</w:t>
            </w:r>
            <w:r>
              <w:rPr>
                <w:spacing w:val="-10"/>
                <w:sz w:val="18"/>
              </w:rPr>
              <w:t xml:space="preserve"> </w:t>
            </w:r>
            <w:r>
              <w:rPr>
                <w:sz w:val="18"/>
              </w:rPr>
              <w:t>arising from safety and amenity inspections, accommodation reviews, etc.</w:t>
            </w:r>
          </w:p>
        </w:tc>
      </w:tr>
    </w:tbl>
    <w:p w14:paraId="4E4EA553" w14:textId="77777777" w:rsidR="00141B97" w:rsidRDefault="00141B97">
      <w:pPr>
        <w:rPr>
          <w:sz w:val="18"/>
        </w:rPr>
        <w:sectPr w:rsidR="00141B97">
          <w:pgSz w:w="16840" w:h="11910" w:orient="landscape"/>
          <w:pgMar w:top="820" w:right="600" w:bottom="540" w:left="300" w:header="0" w:footer="345" w:gutter="0"/>
          <w:cols w:space="720"/>
        </w:sectPr>
      </w:pPr>
    </w:p>
    <w:p w14:paraId="3A294E2C" w14:textId="77777777" w:rsidR="00141B97" w:rsidRDefault="00911D63">
      <w:pPr>
        <w:spacing w:before="27"/>
        <w:ind w:left="124"/>
        <w:rPr>
          <w:sz w:val="28"/>
        </w:rPr>
      </w:pPr>
      <w:r>
        <w:rPr>
          <w:color w:val="009BAC"/>
          <w:sz w:val="28"/>
        </w:rPr>
        <w:lastRenderedPageBreak/>
        <w:t>Appendix</w:t>
      </w:r>
      <w:r>
        <w:rPr>
          <w:color w:val="009BAC"/>
          <w:spacing w:val="-6"/>
          <w:sz w:val="28"/>
        </w:rPr>
        <w:t xml:space="preserve"> </w:t>
      </w:r>
      <w:r>
        <w:rPr>
          <w:color w:val="009BAC"/>
          <w:sz w:val="28"/>
        </w:rPr>
        <w:t>C4</w:t>
      </w:r>
      <w:r>
        <w:rPr>
          <w:color w:val="009BAC"/>
          <w:spacing w:val="-7"/>
          <w:sz w:val="28"/>
        </w:rPr>
        <w:t xml:space="preserve"> </w:t>
      </w:r>
      <w:r>
        <w:rPr>
          <w:color w:val="009BAC"/>
          <w:sz w:val="28"/>
        </w:rPr>
        <w:t>‐</w:t>
      </w:r>
      <w:r>
        <w:rPr>
          <w:color w:val="009BAC"/>
          <w:spacing w:val="-9"/>
          <w:sz w:val="28"/>
        </w:rPr>
        <w:t xml:space="preserve"> </w:t>
      </w:r>
      <w:r>
        <w:rPr>
          <w:color w:val="009BAC"/>
          <w:sz w:val="28"/>
        </w:rPr>
        <w:t>Rural</w:t>
      </w:r>
      <w:r>
        <w:rPr>
          <w:color w:val="009BAC"/>
          <w:spacing w:val="-8"/>
          <w:sz w:val="28"/>
        </w:rPr>
        <w:t xml:space="preserve"> </w:t>
      </w:r>
      <w:r>
        <w:rPr>
          <w:color w:val="009BAC"/>
          <w:sz w:val="28"/>
        </w:rPr>
        <w:t>Miscellaneous</w:t>
      </w:r>
      <w:r>
        <w:rPr>
          <w:color w:val="009BAC"/>
          <w:spacing w:val="-8"/>
          <w:sz w:val="28"/>
        </w:rPr>
        <w:t xml:space="preserve"> </w:t>
      </w:r>
      <w:r>
        <w:rPr>
          <w:color w:val="009BAC"/>
          <w:spacing w:val="-2"/>
          <w:sz w:val="28"/>
        </w:rPr>
        <w:t>Charges</w:t>
      </w:r>
    </w:p>
    <w:p w14:paraId="5DA8D2D6" w14:textId="77777777" w:rsidR="00141B97" w:rsidRDefault="00911D63">
      <w:pPr>
        <w:pStyle w:val="BodyText"/>
        <w:rPr>
          <w:sz w:val="17"/>
        </w:rPr>
      </w:pPr>
      <w:r>
        <w:rPr>
          <w:noProof/>
        </w:rPr>
        <w:drawing>
          <wp:anchor distT="0" distB="0" distL="0" distR="0" simplePos="0" relativeHeight="79" behindDoc="0" locked="0" layoutInCell="1" allowOverlap="1" wp14:anchorId="18BB6B31" wp14:editId="690BF7E9">
            <wp:simplePos x="0" y="0"/>
            <wp:positionH relativeFrom="page">
              <wp:posOffset>266585</wp:posOffset>
            </wp:positionH>
            <wp:positionV relativeFrom="paragraph">
              <wp:posOffset>147576</wp:posOffset>
            </wp:positionV>
            <wp:extent cx="9661398" cy="5314950"/>
            <wp:effectExtent l="0" t="0" r="0" b="0"/>
            <wp:wrapTopAndBottom/>
            <wp:docPr id="10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jpeg"/>
                    <pic:cNvPicPr/>
                  </pic:nvPicPr>
                  <pic:blipFill>
                    <a:blip r:embed="rId110" cstate="email">
                      <a:extLst>
                        <a:ext uri="{28A0092B-C50C-407E-A947-70E740481C1C}">
                          <a14:useLocalDpi xmlns:a14="http://schemas.microsoft.com/office/drawing/2010/main"/>
                        </a:ext>
                      </a:extLst>
                    </a:blip>
                    <a:stretch>
                      <a:fillRect/>
                    </a:stretch>
                  </pic:blipFill>
                  <pic:spPr>
                    <a:xfrm>
                      <a:off x="0" y="0"/>
                      <a:ext cx="9661398" cy="5314950"/>
                    </a:xfrm>
                    <a:prstGeom prst="rect">
                      <a:avLst/>
                    </a:prstGeom>
                  </pic:spPr>
                </pic:pic>
              </a:graphicData>
            </a:graphic>
          </wp:anchor>
        </w:drawing>
      </w:r>
    </w:p>
    <w:p w14:paraId="30AD4851" w14:textId="77777777" w:rsidR="00141B97" w:rsidRDefault="00141B97">
      <w:pPr>
        <w:rPr>
          <w:sz w:val="17"/>
        </w:rPr>
        <w:sectPr w:rsidR="00141B97">
          <w:pgSz w:w="16840" w:h="11910" w:orient="landscape"/>
          <w:pgMar w:top="820" w:right="600" w:bottom="540" w:left="300" w:header="0" w:footer="345" w:gutter="0"/>
          <w:cols w:space="720"/>
        </w:sectPr>
      </w:pPr>
    </w:p>
    <w:p w14:paraId="02BC0679" w14:textId="77777777" w:rsidR="00141B97" w:rsidRDefault="00911D63">
      <w:pPr>
        <w:pStyle w:val="BodyText"/>
        <w:ind w:left="119"/>
        <w:rPr>
          <w:sz w:val="20"/>
        </w:rPr>
      </w:pPr>
      <w:r>
        <w:rPr>
          <w:noProof/>
          <w:sz w:val="20"/>
        </w:rPr>
        <w:lastRenderedPageBreak/>
        <w:drawing>
          <wp:inline distT="0" distB="0" distL="0" distR="0" wp14:anchorId="0B329FEE" wp14:editId="302E31B9">
            <wp:extent cx="9681826" cy="5905500"/>
            <wp:effectExtent l="0" t="0" r="0" b="0"/>
            <wp:docPr id="11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png"/>
                    <pic:cNvPicPr/>
                  </pic:nvPicPr>
                  <pic:blipFill>
                    <a:blip r:embed="rId111" cstate="email">
                      <a:extLst>
                        <a:ext uri="{28A0092B-C50C-407E-A947-70E740481C1C}">
                          <a14:useLocalDpi xmlns:a14="http://schemas.microsoft.com/office/drawing/2010/main"/>
                        </a:ext>
                      </a:extLst>
                    </a:blip>
                    <a:stretch>
                      <a:fillRect/>
                    </a:stretch>
                  </pic:blipFill>
                  <pic:spPr>
                    <a:xfrm>
                      <a:off x="0" y="0"/>
                      <a:ext cx="9681826" cy="5905500"/>
                    </a:xfrm>
                    <a:prstGeom prst="rect">
                      <a:avLst/>
                    </a:prstGeom>
                  </pic:spPr>
                </pic:pic>
              </a:graphicData>
            </a:graphic>
          </wp:inline>
        </w:drawing>
      </w:r>
    </w:p>
    <w:p w14:paraId="02510888" w14:textId="77777777" w:rsidR="00141B97" w:rsidRDefault="00141B97">
      <w:pPr>
        <w:rPr>
          <w:sz w:val="20"/>
        </w:rPr>
        <w:sectPr w:rsidR="00141B97">
          <w:pgSz w:w="16840" w:h="11910" w:orient="landscape"/>
          <w:pgMar w:top="840" w:right="600" w:bottom="540" w:left="300" w:header="0" w:footer="345" w:gutter="0"/>
          <w:cols w:space="720"/>
        </w:sectPr>
      </w:pPr>
    </w:p>
    <w:p w14:paraId="79C10233" w14:textId="77777777" w:rsidR="00141B97" w:rsidRDefault="00911D63">
      <w:pPr>
        <w:pStyle w:val="BodyText"/>
        <w:ind w:left="119"/>
        <w:rPr>
          <w:sz w:val="20"/>
        </w:rPr>
      </w:pPr>
      <w:r>
        <w:rPr>
          <w:noProof/>
          <w:sz w:val="20"/>
        </w:rPr>
        <w:lastRenderedPageBreak/>
        <w:drawing>
          <wp:inline distT="0" distB="0" distL="0" distR="0" wp14:anchorId="77364BE3" wp14:editId="790A40D1">
            <wp:extent cx="9667303" cy="4116133"/>
            <wp:effectExtent l="0" t="0" r="0" b="0"/>
            <wp:docPr id="11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png"/>
                    <pic:cNvPicPr/>
                  </pic:nvPicPr>
                  <pic:blipFill>
                    <a:blip r:embed="rId112" cstate="email">
                      <a:extLst>
                        <a:ext uri="{28A0092B-C50C-407E-A947-70E740481C1C}">
                          <a14:useLocalDpi xmlns:a14="http://schemas.microsoft.com/office/drawing/2010/main"/>
                        </a:ext>
                      </a:extLst>
                    </a:blip>
                    <a:stretch>
                      <a:fillRect/>
                    </a:stretch>
                  </pic:blipFill>
                  <pic:spPr>
                    <a:xfrm>
                      <a:off x="0" y="0"/>
                      <a:ext cx="9667303" cy="4116133"/>
                    </a:xfrm>
                    <a:prstGeom prst="rect">
                      <a:avLst/>
                    </a:prstGeom>
                  </pic:spPr>
                </pic:pic>
              </a:graphicData>
            </a:graphic>
          </wp:inline>
        </w:drawing>
      </w:r>
    </w:p>
    <w:p w14:paraId="7C7E6996" w14:textId="77777777" w:rsidR="00141B97" w:rsidRDefault="00141B97">
      <w:pPr>
        <w:rPr>
          <w:sz w:val="20"/>
        </w:rPr>
        <w:sectPr w:rsidR="00141B97">
          <w:pgSz w:w="16840" w:h="11910" w:orient="landscape"/>
          <w:pgMar w:top="840" w:right="600" w:bottom="540" w:left="300" w:header="0" w:footer="345" w:gutter="0"/>
          <w:cols w:space="720"/>
        </w:sectPr>
      </w:pPr>
    </w:p>
    <w:p w14:paraId="18A59D00" w14:textId="77777777" w:rsidR="00141B97" w:rsidRDefault="00911D63">
      <w:pPr>
        <w:pStyle w:val="BodyText"/>
        <w:ind w:left="119"/>
        <w:rPr>
          <w:sz w:val="20"/>
        </w:rPr>
      </w:pPr>
      <w:r>
        <w:rPr>
          <w:noProof/>
          <w:sz w:val="20"/>
        </w:rPr>
        <w:lastRenderedPageBreak/>
        <w:drawing>
          <wp:inline distT="0" distB="0" distL="0" distR="0" wp14:anchorId="19658DC9" wp14:editId="67FD153C">
            <wp:extent cx="9681094" cy="4145661"/>
            <wp:effectExtent l="0" t="0" r="0" b="0"/>
            <wp:docPr id="1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113" cstate="email">
                      <a:extLst>
                        <a:ext uri="{28A0092B-C50C-407E-A947-70E740481C1C}">
                          <a14:useLocalDpi xmlns:a14="http://schemas.microsoft.com/office/drawing/2010/main"/>
                        </a:ext>
                      </a:extLst>
                    </a:blip>
                    <a:stretch>
                      <a:fillRect/>
                    </a:stretch>
                  </pic:blipFill>
                  <pic:spPr>
                    <a:xfrm>
                      <a:off x="0" y="0"/>
                      <a:ext cx="9681094" cy="4145661"/>
                    </a:xfrm>
                    <a:prstGeom prst="rect">
                      <a:avLst/>
                    </a:prstGeom>
                  </pic:spPr>
                </pic:pic>
              </a:graphicData>
            </a:graphic>
          </wp:inline>
        </w:drawing>
      </w:r>
    </w:p>
    <w:sectPr w:rsidR="00141B97">
      <w:pgSz w:w="16840" w:h="11910" w:orient="landscape"/>
      <w:pgMar w:top="840" w:right="600" w:bottom="540" w:left="300" w:header="0" w:footer="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3792" w14:textId="77777777" w:rsidR="00F108F0" w:rsidRDefault="00F108F0">
      <w:r>
        <w:separator/>
      </w:r>
    </w:p>
  </w:endnote>
  <w:endnote w:type="continuationSeparator" w:id="0">
    <w:p w14:paraId="43C12A2B" w14:textId="77777777" w:rsidR="00F108F0" w:rsidRDefault="00F1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EFA5" w14:textId="274FDA2B" w:rsidR="00141B97" w:rsidRDefault="00911D63">
    <w:pPr>
      <w:pStyle w:val="BodyText"/>
      <w:spacing w:line="14" w:lineRule="auto"/>
      <w:rPr>
        <w:sz w:val="20"/>
      </w:rPr>
    </w:pPr>
    <w:r>
      <w:rPr>
        <w:noProof/>
      </w:rPr>
      <mc:AlternateContent>
        <mc:Choice Requires="wps">
          <w:drawing>
            <wp:anchor distT="0" distB="0" distL="114300" distR="114300" simplePos="0" relativeHeight="471425536" behindDoc="1" locked="0" layoutInCell="1" allowOverlap="1" wp14:anchorId="6CA1D180" wp14:editId="73A1F563">
              <wp:simplePos x="0" y="0"/>
              <wp:positionH relativeFrom="page">
                <wp:posOffset>3643630</wp:posOffset>
              </wp:positionH>
              <wp:positionV relativeFrom="page">
                <wp:posOffset>9274810</wp:posOffset>
              </wp:positionV>
              <wp:extent cx="3549650" cy="165735"/>
              <wp:effectExtent l="0" t="0" r="0" b="0"/>
              <wp:wrapNone/>
              <wp:docPr id="2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CAA3" w14:textId="77777777" w:rsidR="00141B97" w:rsidRDefault="00911D63">
                          <w:pPr>
                            <w:spacing w:line="245" w:lineRule="exact"/>
                            <w:ind w:left="20"/>
                            <w:rPr>
                              <w:rFonts w:ascii="Calibri"/>
                              <w:sz w:val="18"/>
                            </w:rPr>
                          </w:pPr>
                          <w:r>
                            <w:rPr>
                              <w:rFonts w:ascii="Calibri"/>
                              <w:sz w:val="18"/>
                            </w:rPr>
                            <w:t>Lower</w:t>
                          </w:r>
                          <w:r>
                            <w:rPr>
                              <w:rFonts w:ascii="Calibri"/>
                              <w:spacing w:val="-4"/>
                              <w:sz w:val="18"/>
                            </w:rPr>
                            <w:t xml:space="preserve"> </w:t>
                          </w:r>
                          <w:r>
                            <w:rPr>
                              <w:rFonts w:ascii="Calibri"/>
                              <w:sz w:val="18"/>
                            </w:rPr>
                            <w:t>Murray</w:t>
                          </w:r>
                          <w:r>
                            <w:rPr>
                              <w:rFonts w:ascii="Calibri"/>
                              <w:spacing w:val="-2"/>
                              <w:sz w:val="18"/>
                            </w:rPr>
                            <w:t xml:space="preserve"> </w:t>
                          </w:r>
                          <w:r>
                            <w:rPr>
                              <w:rFonts w:ascii="Calibri"/>
                              <w:sz w:val="18"/>
                            </w:rPr>
                            <w:t>Water</w:t>
                          </w:r>
                          <w:r>
                            <w:rPr>
                              <w:rFonts w:ascii="Calibri"/>
                              <w:spacing w:val="-3"/>
                              <w:sz w:val="18"/>
                            </w:rPr>
                            <w:t xml:space="preserve"> </w:t>
                          </w:r>
                          <w:r>
                            <w:rPr>
                              <w:rFonts w:ascii="Calibri"/>
                              <w:sz w:val="18"/>
                            </w:rPr>
                            <w:t>Price</w:t>
                          </w:r>
                          <w:r>
                            <w:rPr>
                              <w:rFonts w:ascii="Calibri"/>
                              <w:spacing w:val="-3"/>
                              <w:sz w:val="18"/>
                            </w:rPr>
                            <w:t xml:space="preserve"> </w:t>
                          </w:r>
                          <w:r>
                            <w:rPr>
                              <w:rFonts w:ascii="Calibri"/>
                              <w:sz w:val="18"/>
                            </w:rPr>
                            <w:t>Submission</w:t>
                          </w:r>
                          <w:r>
                            <w:rPr>
                              <w:rFonts w:ascii="Calibri"/>
                              <w:spacing w:val="-3"/>
                              <w:sz w:val="18"/>
                            </w:rPr>
                            <w:t xml:space="preserve"> </w:t>
                          </w:r>
                          <w:r>
                            <w:rPr>
                              <w:rFonts w:ascii="Calibri"/>
                              <w:sz w:val="18"/>
                            </w:rPr>
                            <w:t>2023-28</w:t>
                          </w:r>
                          <w:r>
                            <w:rPr>
                              <w:rFonts w:ascii="Calibri"/>
                              <w:spacing w:val="-2"/>
                              <w:sz w:val="18"/>
                            </w:rPr>
                            <w:t xml:space="preserve"> </w:t>
                          </w:r>
                          <w:r>
                            <w:rPr>
                              <w:rFonts w:ascii="Calibri"/>
                              <w:sz w:val="18"/>
                            </w:rPr>
                            <w:t>EXECUTIVE</w:t>
                          </w:r>
                          <w:r>
                            <w:rPr>
                              <w:rFonts w:ascii="Calibri"/>
                              <w:spacing w:val="-1"/>
                              <w:sz w:val="18"/>
                            </w:rPr>
                            <w:t xml:space="preserve"> </w:t>
                          </w:r>
                          <w:r>
                            <w:rPr>
                              <w:rFonts w:ascii="Calibri"/>
                              <w:sz w:val="18"/>
                            </w:rPr>
                            <w:t>SUMMARY</w:t>
                          </w:r>
                          <w:r>
                            <w:rPr>
                              <w:rFonts w:ascii="Calibri"/>
                            </w:rPr>
                            <w:t>|</w:t>
                          </w:r>
                          <w:r>
                            <w:rPr>
                              <w:rFonts w:ascii="Calibri"/>
                              <w:spacing w:val="-3"/>
                            </w:rPr>
                            <w:t xml:space="preserve"> </w:t>
                          </w: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Pr>
                              <w:rFonts w:ascii="Calibri"/>
                              <w:spacing w:val="-4"/>
                              <w:sz w:val="18"/>
                            </w:rPr>
                            <w:t>viii</w:t>
                          </w:r>
                          <w:r>
                            <w:rPr>
                              <w:rFonts w:ascii="Calibri"/>
                              <w:spacing w:val="-4"/>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1D180" id="_x0000_t202" coordsize="21600,21600" o:spt="202" path="m,l,21600r21600,l21600,xe">
              <v:stroke joinstyle="miter"/>
              <v:path gradientshapeok="t" o:connecttype="rect"/>
            </v:shapetype>
            <v:shape id="docshape14" o:spid="_x0000_s1130" type="#_x0000_t202" style="position:absolute;margin-left:286.9pt;margin-top:730.3pt;width:279.5pt;height:13.05pt;z-index:-318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" filled="f" stroked="f">
              <v:textbox inset="0,0,0,0">
                <w:txbxContent>
                  <w:p w14:paraId="22AECAA3" w14:textId="77777777" w:rsidR="00141B97" w:rsidRDefault="00911D63">
                    <w:pPr>
                      <w:spacing w:line="245" w:lineRule="exact"/>
                      <w:ind w:left="20"/>
                      <w:rPr>
                        <w:rFonts w:ascii="Calibri"/>
                        <w:sz w:val="18"/>
                      </w:rPr>
                    </w:pPr>
                    <w:r>
                      <w:rPr>
                        <w:rFonts w:ascii="Calibri"/>
                        <w:sz w:val="18"/>
                      </w:rPr>
                      <w:t>Lower</w:t>
                    </w:r>
                    <w:r>
                      <w:rPr>
                        <w:rFonts w:ascii="Calibri"/>
                        <w:spacing w:val="-4"/>
                        <w:sz w:val="18"/>
                      </w:rPr>
                      <w:t xml:space="preserve"> </w:t>
                    </w:r>
                    <w:r>
                      <w:rPr>
                        <w:rFonts w:ascii="Calibri"/>
                        <w:sz w:val="18"/>
                      </w:rPr>
                      <w:t>Murray</w:t>
                    </w:r>
                    <w:r>
                      <w:rPr>
                        <w:rFonts w:ascii="Calibri"/>
                        <w:spacing w:val="-2"/>
                        <w:sz w:val="18"/>
                      </w:rPr>
                      <w:t xml:space="preserve"> </w:t>
                    </w:r>
                    <w:r>
                      <w:rPr>
                        <w:rFonts w:ascii="Calibri"/>
                        <w:sz w:val="18"/>
                      </w:rPr>
                      <w:t>Water</w:t>
                    </w:r>
                    <w:r>
                      <w:rPr>
                        <w:rFonts w:ascii="Calibri"/>
                        <w:spacing w:val="-3"/>
                        <w:sz w:val="18"/>
                      </w:rPr>
                      <w:t xml:space="preserve"> </w:t>
                    </w:r>
                    <w:r>
                      <w:rPr>
                        <w:rFonts w:ascii="Calibri"/>
                        <w:sz w:val="18"/>
                      </w:rPr>
                      <w:t>Price</w:t>
                    </w:r>
                    <w:r>
                      <w:rPr>
                        <w:rFonts w:ascii="Calibri"/>
                        <w:spacing w:val="-3"/>
                        <w:sz w:val="18"/>
                      </w:rPr>
                      <w:t xml:space="preserve"> </w:t>
                    </w:r>
                    <w:r>
                      <w:rPr>
                        <w:rFonts w:ascii="Calibri"/>
                        <w:sz w:val="18"/>
                      </w:rPr>
                      <w:t>Submission</w:t>
                    </w:r>
                    <w:r>
                      <w:rPr>
                        <w:rFonts w:ascii="Calibri"/>
                        <w:spacing w:val="-3"/>
                        <w:sz w:val="18"/>
                      </w:rPr>
                      <w:t xml:space="preserve"> </w:t>
                    </w:r>
                    <w:r>
                      <w:rPr>
                        <w:rFonts w:ascii="Calibri"/>
                        <w:sz w:val="18"/>
                      </w:rPr>
                      <w:t>2023-28</w:t>
                    </w:r>
                    <w:r>
                      <w:rPr>
                        <w:rFonts w:ascii="Calibri"/>
                        <w:spacing w:val="-2"/>
                        <w:sz w:val="18"/>
                      </w:rPr>
                      <w:t xml:space="preserve"> </w:t>
                    </w:r>
                    <w:r>
                      <w:rPr>
                        <w:rFonts w:ascii="Calibri"/>
                        <w:sz w:val="18"/>
                      </w:rPr>
                      <w:t>EXECUTIVE</w:t>
                    </w:r>
                    <w:r>
                      <w:rPr>
                        <w:rFonts w:ascii="Calibri"/>
                        <w:spacing w:val="-1"/>
                        <w:sz w:val="18"/>
                      </w:rPr>
                      <w:t xml:space="preserve"> </w:t>
                    </w:r>
                    <w:r>
                      <w:rPr>
                        <w:rFonts w:ascii="Calibri"/>
                        <w:sz w:val="18"/>
                      </w:rPr>
                      <w:t>SUMMARY</w:t>
                    </w:r>
                    <w:r>
                      <w:rPr>
                        <w:rFonts w:ascii="Calibri"/>
                      </w:rPr>
                      <w:t>|</w:t>
                    </w:r>
                    <w:r>
                      <w:rPr>
                        <w:rFonts w:ascii="Calibri"/>
                        <w:spacing w:val="-3"/>
                      </w:rPr>
                      <w:t xml:space="preserve"> </w:t>
                    </w: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Pr>
                        <w:rFonts w:ascii="Calibri"/>
                        <w:spacing w:val="-4"/>
                        <w:sz w:val="18"/>
                      </w:rPr>
                      <w:t>viii</w:t>
                    </w:r>
                    <w:r>
                      <w:rPr>
                        <w:rFonts w:ascii="Calibri"/>
                        <w:spacing w:val="-4"/>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81B8" w14:textId="38EFAB7A" w:rsidR="00141B97" w:rsidRDefault="00911D63">
    <w:pPr>
      <w:pStyle w:val="BodyText"/>
      <w:spacing w:line="14" w:lineRule="auto"/>
      <w:rPr>
        <w:sz w:val="20"/>
      </w:rPr>
    </w:pPr>
    <w:r>
      <w:rPr>
        <w:noProof/>
      </w:rPr>
      <mc:AlternateContent>
        <mc:Choice Requires="wps">
          <w:drawing>
            <wp:anchor distT="0" distB="0" distL="114300" distR="114300" simplePos="0" relativeHeight="471428608" behindDoc="1" locked="0" layoutInCell="1" allowOverlap="1" wp14:anchorId="4C455A3F" wp14:editId="45A7297E">
              <wp:simplePos x="0" y="0"/>
              <wp:positionH relativeFrom="page">
                <wp:posOffset>3801745</wp:posOffset>
              </wp:positionH>
              <wp:positionV relativeFrom="page">
                <wp:posOffset>10185400</wp:posOffset>
              </wp:positionV>
              <wp:extent cx="3179445" cy="139700"/>
              <wp:effectExtent l="0" t="0" r="0" b="0"/>
              <wp:wrapNone/>
              <wp:docPr id="12"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58255"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B</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Urban|</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45</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55A3F" id="_x0000_t202" coordsize="21600,21600" o:spt="202" path="m,l,21600r21600,l21600,xe">
              <v:stroke joinstyle="miter"/>
              <v:path gradientshapeok="t" o:connecttype="rect"/>
            </v:shapetype>
            <v:shape id="docshape109" o:spid="_x0000_s1136" type="#_x0000_t202" style="position:absolute;margin-left:299.35pt;margin-top:802pt;width:250.35pt;height:11pt;z-index:-31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" filled="f" stroked="f">
              <v:textbox inset="0,0,0,0">
                <w:txbxContent>
                  <w:p w14:paraId="46658255"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B</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Urban|</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45</w:t>
                    </w:r>
                    <w:r>
                      <w:rPr>
                        <w:rFonts w:ascii="Calibri" w:hAnsi="Calibri"/>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6DFD" w14:textId="019EB386" w:rsidR="00141B97" w:rsidRDefault="00911D63">
    <w:pPr>
      <w:pStyle w:val="BodyText"/>
      <w:spacing w:line="14" w:lineRule="auto"/>
      <w:rPr>
        <w:sz w:val="20"/>
      </w:rPr>
    </w:pPr>
    <w:r>
      <w:rPr>
        <w:noProof/>
      </w:rPr>
      <mc:AlternateContent>
        <mc:Choice Requires="wps">
          <w:drawing>
            <wp:anchor distT="0" distB="0" distL="114300" distR="114300" simplePos="0" relativeHeight="471429120" behindDoc="1" locked="0" layoutInCell="1" allowOverlap="1" wp14:anchorId="1BA4014D" wp14:editId="1CFBC419">
              <wp:simplePos x="0" y="0"/>
              <wp:positionH relativeFrom="page">
                <wp:posOffset>3801745</wp:posOffset>
              </wp:positionH>
              <wp:positionV relativeFrom="page">
                <wp:posOffset>10185400</wp:posOffset>
              </wp:positionV>
              <wp:extent cx="3141345" cy="139700"/>
              <wp:effectExtent l="0" t="0" r="0" b="0"/>
              <wp:wrapNone/>
              <wp:docPr id="10"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069"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8"/>
                              <w:sz w:val="18"/>
                            </w:rPr>
                            <w:t xml:space="preserve"> </w:t>
                          </w:r>
                          <w:r>
                            <w:rPr>
                              <w:rFonts w:ascii="Calibri" w:hAnsi="Calibri"/>
                              <w:sz w:val="18"/>
                            </w:rPr>
                            <w:t>Murray</w:t>
                          </w:r>
                          <w:r>
                            <w:rPr>
                              <w:rFonts w:ascii="Calibri" w:hAnsi="Calibri"/>
                              <w:spacing w:val="-7"/>
                              <w:sz w:val="18"/>
                            </w:rPr>
                            <w:t xml:space="preserve"> </w:t>
                          </w:r>
                          <w:r>
                            <w:rPr>
                              <w:rFonts w:ascii="Calibri" w:hAnsi="Calibri"/>
                              <w:sz w:val="18"/>
                            </w:rPr>
                            <w:t>Water</w:t>
                          </w:r>
                          <w:r>
                            <w:rPr>
                              <w:rFonts w:ascii="Calibri" w:hAnsi="Calibri"/>
                              <w:spacing w:val="-9"/>
                              <w:sz w:val="18"/>
                            </w:rPr>
                            <w:t xml:space="preserve"> </w:t>
                          </w:r>
                          <w:r>
                            <w:rPr>
                              <w:rFonts w:ascii="Calibri" w:hAnsi="Calibri"/>
                              <w:sz w:val="18"/>
                            </w:rPr>
                            <w:t>Price</w:t>
                          </w:r>
                          <w:r>
                            <w:rPr>
                              <w:rFonts w:ascii="Calibri" w:hAnsi="Calibri"/>
                              <w:spacing w:val="-7"/>
                              <w:sz w:val="18"/>
                            </w:rPr>
                            <w:t xml:space="preserve"> </w:t>
                          </w:r>
                          <w:r>
                            <w:rPr>
                              <w:rFonts w:ascii="Calibri" w:hAnsi="Calibri"/>
                              <w:sz w:val="18"/>
                            </w:rPr>
                            <w:t>Submission</w:t>
                          </w:r>
                          <w:r>
                            <w:rPr>
                              <w:rFonts w:ascii="Calibri" w:hAnsi="Calibri"/>
                              <w:spacing w:val="-7"/>
                              <w:sz w:val="18"/>
                            </w:rPr>
                            <w:t xml:space="preserve"> </w:t>
                          </w:r>
                          <w:r>
                            <w:rPr>
                              <w:rFonts w:ascii="Calibri" w:hAnsi="Calibri"/>
                              <w:sz w:val="18"/>
                            </w:rPr>
                            <w:t>2023‐28</w:t>
                          </w:r>
                          <w:r>
                            <w:rPr>
                              <w:rFonts w:ascii="Calibri" w:hAnsi="Calibri"/>
                              <w:spacing w:val="-7"/>
                              <w:sz w:val="18"/>
                            </w:rPr>
                            <w:t xml:space="preserve"> </w:t>
                          </w:r>
                          <w:r>
                            <w:rPr>
                              <w:rFonts w:ascii="Calibri" w:hAnsi="Calibri"/>
                              <w:sz w:val="18"/>
                            </w:rPr>
                            <w:t>PART</w:t>
                          </w:r>
                          <w:r>
                            <w:rPr>
                              <w:rFonts w:ascii="Calibri" w:hAnsi="Calibri"/>
                              <w:spacing w:val="-8"/>
                              <w:sz w:val="18"/>
                            </w:rPr>
                            <w:t xml:space="preserve"> </w:t>
                          </w:r>
                          <w:r>
                            <w:rPr>
                              <w:rFonts w:ascii="Calibri" w:hAnsi="Calibri"/>
                              <w:sz w:val="18"/>
                            </w:rPr>
                            <w:t>B</w:t>
                          </w:r>
                          <w:r>
                            <w:rPr>
                              <w:rFonts w:ascii="Calibri" w:hAnsi="Calibri"/>
                              <w:spacing w:val="-8"/>
                              <w:sz w:val="18"/>
                            </w:rPr>
                            <w:t xml:space="preserve"> </w:t>
                          </w:r>
                          <w:r>
                            <w:rPr>
                              <w:rFonts w:ascii="Calibri" w:hAnsi="Calibri"/>
                              <w:sz w:val="18"/>
                            </w:rPr>
                            <w:t>‐</w:t>
                          </w:r>
                          <w:r>
                            <w:rPr>
                              <w:rFonts w:ascii="Calibri" w:hAnsi="Calibri"/>
                              <w:spacing w:val="-7"/>
                              <w:sz w:val="18"/>
                            </w:rPr>
                            <w:t xml:space="preserve"> </w:t>
                          </w:r>
                          <w:r>
                            <w:rPr>
                              <w:rFonts w:ascii="Calibri" w:hAnsi="Calibri"/>
                              <w:sz w:val="18"/>
                            </w:rPr>
                            <w:t>Urban|</w:t>
                          </w:r>
                          <w:r>
                            <w:rPr>
                              <w:rFonts w:ascii="Calibri" w:hAnsi="Calibri"/>
                              <w:spacing w:val="-8"/>
                              <w:sz w:val="18"/>
                            </w:rPr>
                            <w:t xml:space="preserve"> </w:t>
                          </w:r>
                          <w:r>
                            <w:rPr>
                              <w:rFonts w:ascii="Calibri" w:hAnsi="Calibri"/>
                              <w:spacing w:val="-5"/>
                              <w:sz w:val="18"/>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4014D" id="_x0000_t202" coordsize="21600,21600" o:spt="202" path="m,l,21600r21600,l21600,xe">
              <v:stroke joinstyle="miter"/>
              <v:path gradientshapeok="t" o:connecttype="rect"/>
            </v:shapetype>
            <v:shape id="docshape118" o:spid="_x0000_s1137" type="#_x0000_t202" style="position:absolute;margin-left:299.35pt;margin-top:802pt;width:247.35pt;height:11pt;z-index:-31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" filled="f" stroked="f">
              <v:textbox inset="0,0,0,0">
                <w:txbxContent>
                  <w:p w14:paraId="735C8069"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8"/>
                        <w:sz w:val="18"/>
                      </w:rPr>
                      <w:t xml:space="preserve"> </w:t>
                    </w:r>
                    <w:r>
                      <w:rPr>
                        <w:rFonts w:ascii="Calibri" w:hAnsi="Calibri"/>
                        <w:sz w:val="18"/>
                      </w:rPr>
                      <w:t>Murray</w:t>
                    </w:r>
                    <w:r>
                      <w:rPr>
                        <w:rFonts w:ascii="Calibri" w:hAnsi="Calibri"/>
                        <w:spacing w:val="-7"/>
                        <w:sz w:val="18"/>
                      </w:rPr>
                      <w:t xml:space="preserve"> </w:t>
                    </w:r>
                    <w:r>
                      <w:rPr>
                        <w:rFonts w:ascii="Calibri" w:hAnsi="Calibri"/>
                        <w:sz w:val="18"/>
                      </w:rPr>
                      <w:t>Water</w:t>
                    </w:r>
                    <w:r>
                      <w:rPr>
                        <w:rFonts w:ascii="Calibri" w:hAnsi="Calibri"/>
                        <w:spacing w:val="-9"/>
                        <w:sz w:val="18"/>
                      </w:rPr>
                      <w:t xml:space="preserve"> </w:t>
                    </w:r>
                    <w:r>
                      <w:rPr>
                        <w:rFonts w:ascii="Calibri" w:hAnsi="Calibri"/>
                        <w:sz w:val="18"/>
                      </w:rPr>
                      <w:t>Price</w:t>
                    </w:r>
                    <w:r>
                      <w:rPr>
                        <w:rFonts w:ascii="Calibri" w:hAnsi="Calibri"/>
                        <w:spacing w:val="-7"/>
                        <w:sz w:val="18"/>
                      </w:rPr>
                      <w:t xml:space="preserve"> </w:t>
                    </w:r>
                    <w:r>
                      <w:rPr>
                        <w:rFonts w:ascii="Calibri" w:hAnsi="Calibri"/>
                        <w:sz w:val="18"/>
                      </w:rPr>
                      <w:t>Submission</w:t>
                    </w:r>
                    <w:r>
                      <w:rPr>
                        <w:rFonts w:ascii="Calibri" w:hAnsi="Calibri"/>
                        <w:spacing w:val="-7"/>
                        <w:sz w:val="18"/>
                      </w:rPr>
                      <w:t xml:space="preserve"> </w:t>
                    </w:r>
                    <w:r>
                      <w:rPr>
                        <w:rFonts w:ascii="Calibri" w:hAnsi="Calibri"/>
                        <w:sz w:val="18"/>
                      </w:rPr>
                      <w:t>2023‐28</w:t>
                    </w:r>
                    <w:r>
                      <w:rPr>
                        <w:rFonts w:ascii="Calibri" w:hAnsi="Calibri"/>
                        <w:spacing w:val="-7"/>
                        <w:sz w:val="18"/>
                      </w:rPr>
                      <w:t xml:space="preserve"> </w:t>
                    </w:r>
                    <w:r>
                      <w:rPr>
                        <w:rFonts w:ascii="Calibri" w:hAnsi="Calibri"/>
                        <w:sz w:val="18"/>
                      </w:rPr>
                      <w:t>PART</w:t>
                    </w:r>
                    <w:r>
                      <w:rPr>
                        <w:rFonts w:ascii="Calibri" w:hAnsi="Calibri"/>
                        <w:spacing w:val="-8"/>
                        <w:sz w:val="18"/>
                      </w:rPr>
                      <w:t xml:space="preserve"> </w:t>
                    </w:r>
                    <w:r>
                      <w:rPr>
                        <w:rFonts w:ascii="Calibri" w:hAnsi="Calibri"/>
                        <w:sz w:val="18"/>
                      </w:rPr>
                      <w:t>B</w:t>
                    </w:r>
                    <w:r>
                      <w:rPr>
                        <w:rFonts w:ascii="Calibri" w:hAnsi="Calibri"/>
                        <w:spacing w:val="-8"/>
                        <w:sz w:val="18"/>
                      </w:rPr>
                      <w:t xml:space="preserve"> </w:t>
                    </w:r>
                    <w:r>
                      <w:rPr>
                        <w:rFonts w:ascii="Calibri" w:hAnsi="Calibri"/>
                        <w:sz w:val="18"/>
                      </w:rPr>
                      <w:t>‐</w:t>
                    </w:r>
                    <w:r>
                      <w:rPr>
                        <w:rFonts w:ascii="Calibri" w:hAnsi="Calibri"/>
                        <w:spacing w:val="-7"/>
                        <w:sz w:val="18"/>
                      </w:rPr>
                      <w:t xml:space="preserve"> </w:t>
                    </w:r>
                    <w:r>
                      <w:rPr>
                        <w:rFonts w:ascii="Calibri" w:hAnsi="Calibri"/>
                        <w:sz w:val="18"/>
                      </w:rPr>
                      <w:t>Urban|</w:t>
                    </w:r>
                    <w:r>
                      <w:rPr>
                        <w:rFonts w:ascii="Calibri" w:hAnsi="Calibri"/>
                        <w:spacing w:val="-8"/>
                        <w:sz w:val="18"/>
                      </w:rPr>
                      <w:t xml:space="preserve"> </w:t>
                    </w:r>
                    <w:r>
                      <w:rPr>
                        <w:rFonts w:ascii="Calibri" w:hAnsi="Calibri"/>
                        <w:spacing w:val="-5"/>
                        <w:sz w:val="18"/>
                      </w:rPr>
                      <w:t>52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5574" w14:textId="5916BF1A" w:rsidR="00141B97" w:rsidRDefault="00911D63">
    <w:pPr>
      <w:pStyle w:val="BodyText"/>
      <w:spacing w:line="14" w:lineRule="auto"/>
      <w:rPr>
        <w:sz w:val="20"/>
      </w:rPr>
    </w:pPr>
    <w:r>
      <w:rPr>
        <w:noProof/>
      </w:rPr>
      <mc:AlternateContent>
        <mc:Choice Requires="wps">
          <w:drawing>
            <wp:anchor distT="0" distB="0" distL="114300" distR="114300" simplePos="0" relativeHeight="471429632" behindDoc="1" locked="0" layoutInCell="1" allowOverlap="1" wp14:anchorId="7DD2955A" wp14:editId="0B3A5D37">
              <wp:simplePos x="0" y="0"/>
              <wp:positionH relativeFrom="page">
                <wp:posOffset>3801745</wp:posOffset>
              </wp:positionH>
              <wp:positionV relativeFrom="page">
                <wp:posOffset>10185400</wp:posOffset>
              </wp:positionV>
              <wp:extent cx="3179445" cy="139700"/>
              <wp:effectExtent l="0" t="0" r="0" b="0"/>
              <wp:wrapNone/>
              <wp:docPr id="8"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3C9E"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8"/>
                              <w:sz w:val="18"/>
                            </w:rPr>
                            <w:t xml:space="preserve"> </w:t>
                          </w:r>
                          <w:r>
                            <w:rPr>
                              <w:rFonts w:ascii="Calibri" w:hAnsi="Calibri"/>
                              <w:sz w:val="18"/>
                            </w:rPr>
                            <w:t>Murray</w:t>
                          </w:r>
                          <w:r>
                            <w:rPr>
                              <w:rFonts w:ascii="Calibri" w:hAnsi="Calibri"/>
                              <w:spacing w:val="-7"/>
                              <w:sz w:val="18"/>
                            </w:rPr>
                            <w:t xml:space="preserve"> </w:t>
                          </w:r>
                          <w:r>
                            <w:rPr>
                              <w:rFonts w:ascii="Calibri" w:hAnsi="Calibri"/>
                              <w:sz w:val="18"/>
                            </w:rPr>
                            <w:t>Water</w:t>
                          </w:r>
                          <w:r>
                            <w:rPr>
                              <w:rFonts w:ascii="Calibri" w:hAnsi="Calibri"/>
                              <w:spacing w:val="-9"/>
                              <w:sz w:val="18"/>
                            </w:rPr>
                            <w:t xml:space="preserve"> </w:t>
                          </w:r>
                          <w:r>
                            <w:rPr>
                              <w:rFonts w:ascii="Calibri" w:hAnsi="Calibri"/>
                              <w:sz w:val="18"/>
                            </w:rPr>
                            <w:t>Price</w:t>
                          </w:r>
                          <w:r>
                            <w:rPr>
                              <w:rFonts w:ascii="Calibri" w:hAnsi="Calibri"/>
                              <w:spacing w:val="-7"/>
                              <w:sz w:val="18"/>
                            </w:rPr>
                            <w:t xml:space="preserve"> </w:t>
                          </w:r>
                          <w:r>
                            <w:rPr>
                              <w:rFonts w:ascii="Calibri" w:hAnsi="Calibri"/>
                              <w:sz w:val="18"/>
                            </w:rPr>
                            <w:t>Submission</w:t>
                          </w:r>
                          <w:r>
                            <w:rPr>
                              <w:rFonts w:ascii="Calibri" w:hAnsi="Calibri"/>
                              <w:spacing w:val="-7"/>
                              <w:sz w:val="18"/>
                            </w:rPr>
                            <w:t xml:space="preserve"> </w:t>
                          </w:r>
                          <w:r>
                            <w:rPr>
                              <w:rFonts w:ascii="Calibri" w:hAnsi="Calibri"/>
                              <w:sz w:val="18"/>
                            </w:rPr>
                            <w:t>2023‐28</w:t>
                          </w:r>
                          <w:r>
                            <w:rPr>
                              <w:rFonts w:ascii="Calibri" w:hAnsi="Calibri"/>
                              <w:spacing w:val="-7"/>
                              <w:sz w:val="18"/>
                            </w:rPr>
                            <w:t xml:space="preserve"> </w:t>
                          </w:r>
                          <w:r>
                            <w:rPr>
                              <w:rFonts w:ascii="Calibri" w:hAnsi="Calibri"/>
                              <w:sz w:val="18"/>
                            </w:rPr>
                            <w:t>PART</w:t>
                          </w:r>
                          <w:r>
                            <w:rPr>
                              <w:rFonts w:ascii="Calibri" w:hAnsi="Calibri"/>
                              <w:spacing w:val="-8"/>
                              <w:sz w:val="18"/>
                            </w:rPr>
                            <w:t xml:space="preserve"> </w:t>
                          </w:r>
                          <w:r>
                            <w:rPr>
                              <w:rFonts w:ascii="Calibri" w:hAnsi="Calibri"/>
                              <w:sz w:val="18"/>
                            </w:rPr>
                            <w:t>B</w:t>
                          </w:r>
                          <w:r>
                            <w:rPr>
                              <w:rFonts w:ascii="Calibri" w:hAnsi="Calibri"/>
                              <w:spacing w:val="-8"/>
                              <w:sz w:val="18"/>
                            </w:rPr>
                            <w:t xml:space="preserve"> </w:t>
                          </w:r>
                          <w:r>
                            <w:rPr>
                              <w:rFonts w:ascii="Calibri" w:hAnsi="Calibri"/>
                              <w:sz w:val="18"/>
                            </w:rPr>
                            <w:t>‐</w:t>
                          </w:r>
                          <w:r>
                            <w:rPr>
                              <w:rFonts w:ascii="Calibri" w:hAnsi="Calibri"/>
                              <w:spacing w:val="-7"/>
                              <w:sz w:val="18"/>
                            </w:rPr>
                            <w:t xml:space="preserve"> </w:t>
                          </w:r>
                          <w:r>
                            <w:rPr>
                              <w:rFonts w:ascii="Calibri" w:hAnsi="Calibri"/>
                              <w:sz w:val="18"/>
                            </w:rPr>
                            <w:t>Urban|</w:t>
                          </w:r>
                          <w:r>
                            <w:rPr>
                              <w:rFonts w:ascii="Calibri" w:hAnsi="Calibri"/>
                              <w:spacing w:val="-8"/>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53</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2955A" id="_x0000_t202" coordsize="21600,21600" o:spt="202" path="m,l,21600r21600,l21600,xe">
              <v:stroke joinstyle="miter"/>
              <v:path gradientshapeok="t" o:connecttype="rect"/>
            </v:shapetype>
            <v:shape id="docshape121" o:spid="_x0000_s1138" type="#_x0000_t202" style="position:absolute;margin-left:299.35pt;margin-top:802pt;width:250.35pt;height:11pt;z-index:-31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" filled="f" stroked="f">
              <v:textbox inset="0,0,0,0">
                <w:txbxContent>
                  <w:p w14:paraId="15D53C9E"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8"/>
                        <w:sz w:val="18"/>
                      </w:rPr>
                      <w:t xml:space="preserve"> </w:t>
                    </w:r>
                    <w:r>
                      <w:rPr>
                        <w:rFonts w:ascii="Calibri" w:hAnsi="Calibri"/>
                        <w:sz w:val="18"/>
                      </w:rPr>
                      <w:t>Murray</w:t>
                    </w:r>
                    <w:r>
                      <w:rPr>
                        <w:rFonts w:ascii="Calibri" w:hAnsi="Calibri"/>
                        <w:spacing w:val="-7"/>
                        <w:sz w:val="18"/>
                      </w:rPr>
                      <w:t xml:space="preserve"> </w:t>
                    </w:r>
                    <w:r>
                      <w:rPr>
                        <w:rFonts w:ascii="Calibri" w:hAnsi="Calibri"/>
                        <w:sz w:val="18"/>
                      </w:rPr>
                      <w:t>Water</w:t>
                    </w:r>
                    <w:r>
                      <w:rPr>
                        <w:rFonts w:ascii="Calibri" w:hAnsi="Calibri"/>
                        <w:spacing w:val="-9"/>
                        <w:sz w:val="18"/>
                      </w:rPr>
                      <w:t xml:space="preserve"> </w:t>
                    </w:r>
                    <w:r>
                      <w:rPr>
                        <w:rFonts w:ascii="Calibri" w:hAnsi="Calibri"/>
                        <w:sz w:val="18"/>
                      </w:rPr>
                      <w:t>Price</w:t>
                    </w:r>
                    <w:r>
                      <w:rPr>
                        <w:rFonts w:ascii="Calibri" w:hAnsi="Calibri"/>
                        <w:spacing w:val="-7"/>
                        <w:sz w:val="18"/>
                      </w:rPr>
                      <w:t xml:space="preserve"> </w:t>
                    </w:r>
                    <w:r>
                      <w:rPr>
                        <w:rFonts w:ascii="Calibri" w:hAnsi="Calibri"/>
                        <w:sz w:val="18"/>
                      </w:rPr>
                      <w:t>Submission</w:t>
                    </w:r>
                    <w:r>
                      <w:rPr>
                        <w:rFonts w:ascii="Calibri" w:hAnsi="Calibri"/>
                        <w:spacing w:val="-7"/>
                        <w:sz w:val="18"/>
                      </w:rPr>
                      <w:t xml:space="preserve"> </w:t>
                    </w:r>
                    <w:r>
                      <w:rPr>
                        <w:rFonts w:ascii="Calibri" w:hAnsi="Calibri"/>
                        <w:sz w:val="18"/>
                      </w:rPr>
                      <w:t>2023‐28</w:t>
                    </w:r>
                    <w:r>
                      <w:rPr>
                        <w:rFonts w:ascii="Calibri" w:hAnsi="Calibri"/>
                        <w:spacing w:val="-7"/>
                        <w:sz w:val="18"/>
                      </w:rPr>
                      <w:t xml:space="preserve"> </w:t>
                    </w:r>
                    <w:r>
                      <w:rPr>
                        <w:rFonts w:ascii="Calibri" w:hAnsi="Calibri"/>
                        <w:sz w:val="18"/>
                      </w:rPr>
                      <w:t>PART</w:t>
                    </w:r>
                    <w:r>
                      <w:rPr>
                        <w:rFonts w:ascii="Calibri" w:hAnsi="Calibri"/>
                        <w:spacing w:val="-8"/>
                        <w:sz w:val="18"/>
                      </w:rPr>
                      <w:t xml:space="preserve"> </w:t>
                    </w:r>
                    <w:r>
                      <w:rPr>
                        <w:rFonts w:ascii="Calibri" w:hAnsi="Calibri"/>
                        <w:sz w:val="18"/>
                      </w:rPr>
                      <w:t>B</w:t>
                    </w:r>
                    <w:r>
                      <w:rPr>
                        <w:rFonts w:ascii="Calibri" w:hAnsi="Calibri"/>
                        <w:spacing w:val="-8"/>
                        <w:sz w:val="18"/>
                      </w:rPr>
                      <w:t xml:space="preserve"> </w:t>
                    </w:r>
                    <w:r>
                      <w:rPr>
                        <w:rFonts w:ascii="Calibri" w:hAnsi="Calibri"/>
                        <w:sz w:val="18"/>
                      </w:rPr>
                      <w:t>‐</w:t>
                    </w:r>
                    <w:r>
                      <w:rPr>
                        <w:rFonts w:ascii="Calibri" w:hAnsi="Calibri"/>
                        <w:spacing w:val="-7"/>
                        <w:sz w:val="18"/>
                      </w:rPr>
                      <w:t xml:space="preserve"> </w:t>
                    </w:r>
                    <w:r>
                      <w:rPr>
                        <w:rFonts w:ascii="Calibri" w:hAnsi="Calibri"/>
                        <w:sz w:val="18"/>
                      </w:rPr>
                      <w:t>Urban|</w:t>
                    </w:r>
                    <w:r>
                      <w:rPr>
                        <w:rFonts w:ascii="Calibri" w:hAnsi="Calibri"/>
                        <w:spacing w:val="-8"/>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53</w:t>
                    </w:r>
                    <w:r>
                      <w:rPr>
                        <w:rFonts w:ascii="Calibri" w:hAnsi="Calibri"/>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FD94" w14:textId="77777777" w:rsidR="00141B97" w:rsidRDefault="00141B9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6878" w14:textId="06C2C649" w:rsidR="00141B97" w:rsidRDefault="00911D63">
    <w:pPr>
      <w:pStyle w:val="BodyText"/>
      <w:spacing w:line="14" w:lineRule="auto"/>
      <w:rPr>
        <w:sz w:val="20"/>
      </w:rPr>
    </w:pPr>
    <w:r>
      <w:rPr>
        <w:noProof/>
      </w:rPr>
      <mc:AlternateContent>
        <mc:Choice Requires="wps">
          <w:drawing>
            <wp:anchor distT="0" distB="0" distL="114300" distR="114300" simplePos="0" relativeHeight="471430144" behindDoc="1" locked="0" layoutInCell="1" allowOverlap="1" wp14:anchorId="12B8883F" wp14:editId="3658C678">
              <wp:simplePos x="0" y="0"/>
              <wp:positionH relativeFrom="page">
                <wp:posOffset>3790315</wp:posOffset>
              </wp:positionH>
              <wp:positionV relativeFrom="page">
                <wp:posOffset>10181590</wp:posOffset>
              </wp:positionV>
              <wp:extent cx="3190875" cy="139700"/>
              <wp:effectExtent l="0" t="0" r="0" b="0"/>
              <wp:wrapNone/>
              <wp:docPr id="6"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ADD9"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C</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Rural|</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100</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8883F" id="_x0000_t202" coordsize="21600,21600" o:spt="202" path="m,l,21600r21600,l21600,xe">
              <v:stroke joinstyle="miter"/>
              <v:path gradientshapeok="t" o:connecttype="rect"/>
            </v:shapetype>
            <v:shape id="docshape134" o:spid="_x0000_s1139" type="#_x0000_t202" style="position:absolute;margin-left:298.45pt;margin-top:801.7pt;width:251.25pt;height:11pt;z-index:-31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" filled="f" stroked="f">
              <v:textbox inset="0,0,0,0">
                <w:txbxContent>
                  <w:p w14:paraId="34DBADD9"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C</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Rural|</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100</w:t>
                    </w:r>
                    <w:r>
                      <w:rPr>
                        <w:rFonts w:ascii="Calibri" w:hAnsi="Calibri"/>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40E0" w14:textId="77777777" w:rsidR="00141B97" w:rsidRDefault="00141B9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A0AF" w14:textId="7248C43D" w:rsidR="00141B97" w:rsidRDefault="00911D63">
    <w:pPr>
      <w:pStyle w:val="BodyText"/>
      <w:spacing w:line="14" w:lineRule="auto"/>
      <w:rPr>
        <w:sz w:val="20"/>
      </w:rPr>
    </w:pPr>
    <w:r>
      <w:rPr>
        <w:noProof/>
      </w:rPr>
      <mc:AlternateContent>
        <mc:Choice Requires="wps">
          <w:drawing>
            <wp:anchor distT="0" distB="0" distL="114300" distR="114300" simplePos="0" relativeHeight="471430656" behindDoc="1" locked="0" layoutInCell="1" allowOverlap="1" wp14:anchorId="4C4F97C0" wp14:editId="65BBD78A">
              <wp:simplePos x="0" y="0"/>
              <wp:positionH relativeFrom="page">
                <wp:posOffset>3841750</wp:posOffset>
              </wp:positionH>
              <wp:positionV relativeFrom="page">
                <wp:posOffset>10332720</wp:posOffset>
              </wp:positionV>
              <wp:extent cx="3140075" cy="139700"/>
              <wp:effectExtent l="0" t="0" r="0" b="0"/>
              <wp:wrapNone/>
              <wp:docPr id="4"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C6F1"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4"/>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APPENDICES</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130</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F97C0" id="_x0000_t202" coordsize="21600,21600" o:spt="202" path="m,l,21600r21600,l21600,xe">
              <v:stroke joinstyle="miter"/>
              <v:path gradientshapeok="t" o:connecttype="rect"/>
            </v:shapetype>
            <v:shape id="docshape287" o:spid="_x0000_s1140" type="#_x0000_t202" style="position:absolute;margin-left:302.5pt;margin-top:813.6pt;width:247.25pt;height:11pt;z-index:-31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" filled="f" stroked="f">
              <v:textbox inset="0,0,0,0">
                <w:txbxContent>
                  <w:p w14:paraId="7711C6F1"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4"/>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APPENDICES</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130</w:t>
                    </w:r>
                    <w:r>
                      <w:rPr>
                        <w:rFonts w:ascii="Calibri" w:hAnsi="Calibri"/>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61A7" w14:textId="00E13FBC" w:rsidR="00141B97" w:rsidRDefault="00911D63">
    <w:pPr>
      <w:pStyle w:val="BodyText"/>
      <w:spacing w:line="14" w:lineRule="auto"/>
      <w:rPr>
        <w:sz w:val="20"/>
      </w:rPr>
    </w:pPr>
    <w:r>
      <w:rPr>
        <w:noProof/>
      </w:rPr>
      <mc:AlternateContent>
        <mc:Choice Requires="wps">
          <w:drawing>
            <wp:anchor distT="0" distB="0" distL="114300" distR="114300" simplePos="0" relativeHeight="471431168" behindDoc="1" locked="0" layoutInCell="1" allowOverlap="1" wp14:anchorId="247D89CD" wp14:editId="32D718DA">
              <wp:simplePos x="0" y="0"/>
              <wp:positionH relativeFrom="page">
                <wp:posOffset>7153275</wp:posOffset>
              </wp:positionH>
              <wp:positionV relativeFrom="page">
                <wp:posOffset>7200900</wp:posOffset>
              </wp:positionV>
              <wp:extent cx="3140075" cy="139700"/>
              <wp:effectExtent l="0" t="0" r="0" b="0"/>
              <wp:wrapNone/>
              <wp:docPr id="2"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C2F0"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4"/>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APPENDICES</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133</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D89CD" id="_x0000_t202" coordsize="21600,21600" o:spt="202" path="m,l,21600r21600,l21600,xe">
              <v:stroke joinstyle="miter"/>
              <v:path gradientshapeok="t" o:connecttype="rect"/>
            </v:shapetype>
            <v:shape id="docshape290" o:spid="_x0000_s1141" type="#_x0000_t202" style="position:absolute;margin-left:563.25pt;margin-top:567pt;width:247.25pt;height:11pt;z-index:-31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" filled="f" stroked="f">
              <v:textbox inset="0,0,0,0">
                <w:txbxContent>
                  <w:p w14:paraId="1921C2F0"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4"/>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APPENDICES</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133</w:t>
                    </w:r>
                    <w:r>
                      <w:rPr>
                        <w:rFonts w:ascii="Calibri" w:hAnsi="Calibri"/>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AABF" w14:textId="77777777" w:rsidR="00141B97" w:rsidRDefault="00141B9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62CB" w14:textId="77777777" w:rsidR="00141B97" w:rsidRDefault="00141B9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6D56" w14:textId="059FDE10" w:rsidR="00141B97" w:rsidRDefault="00911D63">
    <w:pPr>
      <w:pStyle w:val="BodyText"/>
      <w:spacing w:line="14" w:lineRule="auto"/>
      <w:rPr>
        <w:sz w:val="17"/>
      </w:rPr>
    </w:pPr>
    <w:r>
      <w:rPr>
        <w:noProof/>
      </w:rPr>
      <mc:AlternateContent>
        <mc:Choice Requires="wps">
          <w:drawing>
            <wp:anchor distT="0" distB="0" distL="114300" distR="114300" simplePos="0" relativeHeight="471426048" behindDoc="1" locked="0" layoutInCell="1" allowOverlap="1" wp14:anchorId="16EEFCFC" wp14:editId="792E7087">
              <wp:simplePos x="0" y="0"/>
              <wp:positionH relativeFrom="page">
                <wp:posOffset>4173855</wp:posOffset>
              </wp:positionH>
              <wp:positionV relativeFrom="page">
                <wp:posOffset>9968230</wp:posOffset>
              </wp:positionV>
              <wp:extent cx="2809240" cy="139700"/>
              <wp:effectExtent l="0" t="0" r="0" b="0"/>
              <wp:wrapNone/>
              <wp:docPr id="2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F058"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14</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EFCFC" id="_x0000_t202" coordsize="21600,21600" o:spt="202" path="m,l,21600r21600,l21600,xe">
              <v:stroke joinstyle="miter"/>
              <v:path gradientshapeok="t" o:connecttype="rect"/>
            </v:shapetype>
            <v:shape id="docshape23" o:spid="_x0000_s1131" type="#_x0000_t202" style="position:absolute;margin-left:328.65pt;margin-top:784.9pt;width:221.2pt;height:11pt;z-index:-31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" filled="f" stroked="f">
              <v:textbox inset="0,0,0,0">
                <w:txbxContent>
                  <w:p w14:paraId="79ADF058"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14</w:t>
                    </w:r>
                    <w:r>
                      <w:rPr>
                        <w:rFonts w:ascii="Calibri" w:hAnsi="Calibri"/>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57BF" w14:textId="11786DB3" w:rsidR="00141B97" w:rsidRDefault="00911D63">
    <w:pPr>
      <w:pStyle w:val="BodyText"/>
      <w:spacing w:line="14" w:lineRule="auto"/>
      <w:rPr>
        <w:sz w:val="20"/>
      </w:rPr>
    </w:pPr>
    <w:r>
      <w:rPr>
        <w:noProof/>
      </w:rPr>
      <mc:AlternateContent>
        <mc:Choice Requires="wps">
          <w:drawing>
            <wp:anchor distT="0" distB="0" distL="114300" distR="114300" simplePos="0" relativeHeight="471426560" behindDoc="1" locked="0" layoutInCell="1" allowOverlap="1" wp14:anchorId="696C0F29" wp14:editId="6E38BB5A">
              <wp:simplePos x="0" y="0"/>
              <wp:positionH relativeFrom="page">
                <wp:posOffset>7306310</wp:posOffset>
              </wp:positionH>
              <wp:positionV relativeFrom="page">
                <wp:posOffset>6981825</wp:posOffset>
              </wp:positionV>
              <wp:extent cx="2771140" cy="139700"/>
              <wp:effectExtent l="0" t="0" r="0" b="0"/>
              <wp:wrapNone/>
              <wp:docPr id="2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85DA"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2018‐23</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C0F29" id="_x0000_t202" coordsize="21600,21600" o:spt="202" path="m,l,21600r21600,l21600,xe">
              <v:stroke joinstyle="miter"/>
              <v:path gradientshapeok="t" o:connecttype="rect"/>
            </v:shapetype>
            <v:shape id="docshape99" o:spid="_x0000_s1132" type="#_x0000_t202" style="position:absolute;margin-left:575.3pt;margin-top:549.75pt;width:218.2pt;height:11pt;z-index:-31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" filled="f" stroked="f">
              <v:textbox inset="0,0,0,0">
                <w:txbxContent>
                  <w:p w14:paraId="5ACE85DA"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2018‐23</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t>37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1EAF" w14:textId="58FACB7B" w:rsidR="00141B97" w:rsidRDefault="00911D63">
    <w:pPr>
      <w:pStyle w:val="BodyText"/>
      <w:spacing w:line="14" w:lineRule="auto"/>
      <w:rPr>
        <w:sz w:val="20"/>
      </w:rPr>
    </w:pPr>
    <w:r>
      <w:rPr>
        <w:noProof/>
      </w:rPr>
      <mc:AlternateContent>
        <mc:Choice Requires="wps">
          <w:drawing>
            <wp:anchor distT="0" distB="0" distL="114300" distR="114300" simplePos="0" relativeHeight="471427072" behindDoc="1" locked="0" layoutInCell="1" allowOverlap="1" wp14:anchorId="718E79E6" wp14:editId="12837A62">
              <wp:simplePos x="0" y="0"/>
              <wp:positionH relativeFrom="page">
                <wp:posOffset>7306310</wp:posOffset>
              </wp:positionH>
              <wp:positionV relativeFrom="page">
                <wp:posOffset>6835775</wp:posOffset>
              </wp:positionV>
              <wp:extent cx="2771140" cy="139700"/>
              <wp:effectExtent l="0" t="0" r="0" b="0"/>
              <wp:wrapNone/>
              <wp:docPr id="18"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4C6F"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E79E6" id="_x0000_t202" coordsize="21600,21600" o:spt="202" path="m,l,21600r21600,l21600,xe">
              <v:stroke joinstyle="miter"/>
              <v:path gradientshapeok="t" o:connecttype="rect"/>
            </v:shapetype>
            <v:shape id="docshape100" o:spid="_x0000_s1133" type="#_x0000_t202" style="position:absolute;margin-left:575.3pt;margin-top:538.25pt;width:218.2pt;height:11pt;z-index:-31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" filled="f" stroked="f">
              <v:textbox inset="0,0,0,0">
                <w:txbxContent>
                  <w:p w14:paraId="3B5F4C6F"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t>38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6DB" w14:textId="78AE9C1E" w:rsidR="00141B97" w:rsidRDefault="00911D63">
    <w:pPr>
      <w:pStyle w:val="BodyText"/>
      <w:spacing w:line="14" w:lineRule="auto"/>
      <w:rPr>
        <w:sz w:val="20"/>
      </w:rPr>
    </w:pPr>
    <w:r>
      <w:rPr>
        <w:noProof/>
      </w:rPr>
      <mc:AlternateContent>
        <mc:Choice Requires="wps">
          <w:drawing>
            <wp:anchor distT="0" distB="0" distL="114300" distR="114300" simplePos="0" relativeHeight="471427584" behindDoc="1" locked="0" layoutInCell="1" allowOverlap="1" wp14:anchorId="01E75CE0" wp14:editId="637ACA45">
              <wp:simplePos x="0" y="0"/>
              <wp:positionH relativeFrom="page">
                <wp:posOffset>4173220</wp:posOffset>
              </wp:positionH>
              <wp:positionV relativeFrom="page">
                <wp:posOffset>10185400</wp:posOffset>
              </wp:positionV>
              <wp:extent cx="2809240" cy="139700"/>
              <wp:effectExtent l="0" t="0" r="0" b="0"/>
              <wp:wrapNone/>
              <wp:docPr id="16"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FC4E"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39</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75CE0" id="_x0000_t202" coordsize="21600,21600" o:spt="202" path="m,l,21600r21600,l21600,xe">
              <v:stroke joinstyle="miter"/>
              <v:path gradientshapeok="t" o:connecttype="rect"/>
            </v:shapetype>
            <v:shape id="docshape101" o:spid="_x0000_s1134" type="#_x0000_t202" style="position:absolute;margin-left:328.6pt;margin-top:802pt;width:221.2pt;height:11pt;z-index:-31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Zw2wEAAJgDAAAOAAAAZHJzL2Uyb0RvYy54bWysU9tu1DAQfUfiHyy/s8kuFbTRZqvSqgip&#10;UKTCBziOk1gkHjPj3WT5esbOZsvlDfFijWfs43POjLfX09CLg0Gy4Eq5XuVSGKehtq4t5dcv968u&#10;pa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" filled="f" stroked="f">
              <v:textbox inset="0,0,0,0">
                <w:txbxContent>
                  <w:p w14:paraId="017BFC4E"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3"/>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3"/>
                        <w:sz w:val="18"/>
                      </w:rPr>
                      <w:t xml:space="preserve"> </w:t>
                    </w:r>
                    <w:r>
                      <w:rPr>
                        <w:rFonts w:ascii="Calibri" w:hAnsi="Calibri"/>
                        <w:sz w:val="18"/>
                      </w:rPr>
                      <w:t>Submission</w:t>
                    </w:r>
                    <w:r>
                      <w:rPr>
                        <w:rFonts w:ascii="Calibri" w:hAnsi="Calibri"/>
                        <w:spacing w:val="-3"/>
                        <w:sz w:val="18"/>
                      </w:rPr>
                      <w:t xml:space="preserve"> </w:t>
                    </w:r>
                    <w:r>
                      <w:rPr>
                        <w:rFonts w:ascii="Calibri" w:hAnsi="Calibri"/>
                        <w:sz w:val="18"/>
                      </w:rPr>
                      <w:t>2023‐28</w:t>
                    </w:r>
                    <w:r>
                      <w:rPr>
                        <w:rFonts w:ascii="Calibri" w:hAnsi="Calibri"/>
                        <w:spacing w:val="-3"/>
                        <w:sz w:val="18"/>
                      </w:rPr>
                      <w:t xml:space="preserve"> </w:t>
                    </w:r>
                    <w:r>
                      <w:rPr>
                        <w:rFonts w:ascii="Calibri" w:hAnsi="Calibri"/>
                        <w:sz w:val="18"/>
                      </w:rPr>
                      <w:t>PART</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39</w:t>
                    </w:r>
                    <w:r>
                      <w:rPr>
                        <w:rFonts w:ascii="Calibri" w:hAnsi="Calibri"/>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8E53" w14:textId="77777777" w:rsidR="00141B97" w:rsidRDefault="00141B9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6874" w14:textId="16C8D7CA" w:rsidR="00141B97" w:rsidRDefault="00911D63">
    <w:pPr>
      <w:pStyle w:val="BodyText"/>
      <w:spacing w:line="14" w:lineRule="auto"/>
      <w:rPr>
        <w:sz w:val="20"/>
      </w:rPr>
    </w:pPr>
    <w:r>
      <w:rPr>
        <w:noProof/>
      </w:rPr>
      <mc:AlternateContent>
        <mc:Choice Requires="wps">
          <w:drawing>
            <wp:anchor distT="0" distB="0" distL="114300" distR="114300" simplePos="0" relativeHeight="471428096" behindDoc="1" locked="0" layoutInCell="1" allowOverlap="1" wp14:anchorId="23E2BBA4" wp14:editId="60CF9660">
              <wp:simplePos x="0" y="0"/>
              <wp:positionH relativeFrom="page">
                <wp:posOffset>4219575</wp:posOffset>
              </wp:positionH>
              <wp:positionV relativeFrom="page">
                <wp:posOffset>10186035</wp:posOffset>
              </wp:positionV>
              <wp:extent cx="2762250" cy="139700"/>
              <wp:effectExtent l="0" t="0" r="0" b="0"/>
              <wp:wrapNone/>
              <wp:docPr id="1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2A8DD"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4"/>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4"/>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4"/>
                              <w:sz w:val="18"/>
                            </w:rPr>
                            <w:t xml:space="preserve"> </w:t>
                          </w:r>
                          <w:r>
                            <w:rPr>
                              <w:rFonts w:ascii="Calibri" w:hAnsi="Calibri"/>
                              <w:sz w:val="18"/>
                            </w:rPr>
                            <w:t>Urban|</w:t>
                          </w:r>
                          <w:r>
                            <w:rPr>
                              <w:rFonts w:ascii="Calibri" w:hAnsi="Calibri"/>
                              <w:spacing w:val="-4"/>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42</w:t>
                          </w:r>
                          <w:r>
                            <w:rPr>
                              <w:rFonts w:ascii="Calibri" w:hAnsi="Calibri"/>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2BBA4" id="_x0000_t202" coordsize="21600,21600" o:spt="202" path="m,l,21600r21600,l21600,xe">
              <v:stroke joinstyle="miter"/>
              <v:path gradientshapeok="t" o:connecttype="rect"/>
            </v:shapetype>
            <v:shape id="docshape108" o:spid="_x0000_s1135" type="#_x0000_t202" style="position:absolute;margin-left:332.25pt;margin-top:802.05pt;width:217.5pt;height:11pt;z-index:-31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" filled="f" stroked="f">
              <v:textbox inset="0,0,0,0">
                <w:txbxContent>
                  <w:p w14:paraId="49C2A8DD" w14:textId="77777777" w:rsidR="00141B97" w:rsidRDefault="00911D63">
                    <w:pPr>
                      <w:spacing w:line="203" w:lineRule="exact"/>
                      <w:ind w:left="20"/>
                      <w:rPr>
                        <w:rFonts w:ascii="Calibri" w:hAnsi="Calibri"/>
                        <w:sz w:val="18"/>
                      </w:rPr>
                    </w:pPr>
                    <w:r>
                      <w:rPr>
                        <w:rFonts w:ascii="Calibri" w:hAnsi="Calibri"/>
                        <w:sz w:val="18"/>
                      </w:rPr>
                      <w:t>Lower</w:t>
                    </w:r>
                    <w:r>
                      <w:rPr>
                        <w:rFonts w:ascii="Calibri" w:hAnsi="Calibri"/>
                        <w:spacing w:val="-6"/>
                        <w:sz w:val="18"/>
                      </w:rPr>
                      <w:t xml:space="preserve"> </w:t>
                    </w:r>
                    <w:r>
                      <w:rPr>
                        <w:rFonts w:ascii="Calibri" w:hAnsi="Calibri"/>
                        <w:sz w:val="18"/>
                      </w:rPr>
                      <w:t>Murray</w:t>
                    </w:r>
                    <w:r>
                      <w:rPr>
                        <w:rFonts w:ascii="Calibri" w:hAnsi="Calibri"/>
                        <w:spacing w:val="-4"/>
                        <w:sz w:val="18"/>
                      </w:rPr>
                      <w:t xml:space="preserve"> </w:t>
                    </w:r>
                    <w:r>
                      <w:rPr>
                        <w:rFonts w:ascii="Calibri" w:hAnsi="Calibri"/>
                        <w:sz w:val="18"/>
                      </w:rPr>
                      <w:t>Water</w:t>
                    </w:r>
                    <w:r>
                      <w:rPr>
                        <w:rFonts w:ascii="Calibri" w:hAnsi="Calibri"/>
                        <w:spacing w:val="-4"/>
                        <w:sz w:val="18"/>
                      </w:rPr>
                      <w:t xml:space="preserve"> </w:t>
                    </w:r>
                    <w:r>
                      <w:rPr>
                        <w:rFonts w:ascii="Calibri" w:hAnsi="Calibri"/>
                        <w:sz w:val="18"/>
                      </w:rPr>
                      <w:t>Price</w:t>
                    </w:r>
                    <w:r>
                      <w:rPr>
                        <w:rFonts w:ascii="Calibri" w:hAnsi="Calibri"/>
                        <w:spacing w:val="-4"/>
                        <w:sz w:val="18"/>
                      </w:rPr>
                      <w:t xml:space="preserve"> </w:t>
                    </w:r>
                    <w:r>
                      <w:rPr>
                        <w:rFonts w:ascii="Calibri" w:hAnsi="Calibri"/>
                        <w:sz w:val="18"/>
                      </w:rPr>
                      <w:t>Submission</w:t>
                    </w:r>
                    <w:r>
                      <w:rPr>
                        <w:rFonts w:ascii="Calibri" w:hAnsi="Calibri"/>
                        <w:spacing w:val="-2"/>
                        <w:sz w:val="18"/>
                      </w:rPr>
                      <w:t xml:space="preserve"> </w:t>
                    </w:r>
                    <w:r>
                      <w:rPr>
                        <w:rFonts w:ascii="Calibri" w:hAnsi="Calibri"/>
                        <w:sz w:val="18"/>
                      </w:rPr>
                      <w:t>2023‐28</w:t>
                    </w:r>
                    <w:r>
                      <w:rPr>
                        <w:rFonts w:ascii="Calibri" w:hAnsi="Calibri"/>
                        <w:spacing w:val="-4"/>
                        <w:sz w:val="18"/>
                      </w:rPr>
                      <w:t xml:space="preserve"> </w:t>
                    </w:r>
                    <w:r>
                      <w:rPr>
                        <w:rFonts w:ascii="Calibri" w:hAnsi="Calibri"/>
                        <w:sz w:val="18"/>
                      </w:rPr>
                      <w:t>Urban|</w:t>
                    </w:r>
                    <w:r>
                      <w:rPr>
                        <w:rFonts w:ascii="Calibri" w:hAnsi="Calibri"/>
                        <w:spacing w:val="-4"/>
                        <w:sz w:val="18"/>
                      </w:rPr>
                      <w:t xml:space="preserve"> </w:t>
                    </w:r>
                    <w:r>
                      <w:rPr>
                        <w:rFonts w:ascii="Calibri" w:hAnsi="Calibri"/>
                        <w:spacing w:val="-5"/>
                        <w:sz w:val="18"/>
                      </w:rPr>
                      <w:fldChar w:fldCharType="begin"/>
                    </w:r>
                    <w:r>
                      <w:rPr>
                        <w:rFonts w:ascii="Calibri" w:hAnsi="Calibri"/>
                        <w:spacing w:val="-5"/>
                        <w:sz w:val="18"/>
                      </w:rPr>
                      <w:instrText xml:space="preserve"> PAGE </w:instrText>
                    </w:r>
                    <w:r>
                      <w:rPr>
                        <w:rFonts w:ascii="Calibri" w:hAnsi="Calibri"/>
                        <w:spacing w:val="-5"/>
                        <w:sz w:val="18"/>
                      </w:rPr>
                      <w:fldChar w:fldCharType="separate"/>
                    </w:r>
                    <w:r>
                      <w:rPr>
                        <w:rFonts w:ascii="Calibri" w:hAnsi="Calibri"/>
                        <w:spacing w:val="-5"/>
                        <w:sz w:val="18"/>
                      </w:rPr>
                      <w:t>42</w:t>
                    </w:r>
                    <w:r>
                      <w:rPr>
                        <w:rFonts w:ascii="Calibri" w:hAns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E112" w14:textId="77777777" w:rsidR="00F108F0" w:rsidRDefault="00F108F0">
      <w:r>
        <w:separator/>
      </w:r>
    </w:p>
  </w:footnote>
  <w:footnote w:type="continuationSeparator" w:id="0">
    <w:p w14:paraId="74AB1E27" w14:textId="77777777" w:rsidR="00F108F0" w:rsidRDefault="00F10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3EA"/>
    <w:multiLevelType w:val="hybridMultilevel"/>
    <w:tmpl w:val="397E27FA"/>
    <w:lvl w:ilvl="0" w:tplc="E52AFDCE">
      <w:numFmt w:val="bullet"/>
      <w:lvlText w:val=""/>
      <w:lvlJc w:val="left"/>
      <w:pPr>
        <w:ind w:left="412" w:hanging="285"/>
      </w:pPr>
      <w:rPr>
        <w:rFonts w:ascii="Symbol" w:eastAsia="Symbol" w:hAnsi="Symbol" w:cs="Symbol" w:hint="default"/>
        <w:b w:val="0"/>
        <w:bCs w:val="0"/>
        <w:i w:val="0"/>
        <w:iCs w:val="0"/>
        <w:w w:val="99"/>
        <w:sz w:val="22"/>
        <w:szCs w:val="22"/>
        <w:lang w:val="en-US" w:eastAsia="en-US" w:bidi="ar-SA"/>
      </w:rPr>
    </w:lvl>
    <w:lvl w:ilvl="1" w:tplc="6F5CBBFE">
      <w:numFmt w:val="bullet"/>
      <w:lvlText w:val="•"/>
      <w:lvlJc w:val="left"/>
      <w:pPr>
        <w:ind w:left="1111" w:hanging="285"/>
      </w:pPr>
      <w:rPr>
        <w:rFonts w:hint="default"/>
        <w:lang w:val="en-US" w:eastAsia="en-US" w:bidi="ar-SA"/>
      </w:rPr>
    </w:lvl>
    <w:lvl w:ilvl="2" w:tplc="815C39DE">
      <w:numFmt w:val="bullet"/>
      <w:lvlText w:val="•"/>
      <w:lvlJc w:val="left"/>
      <w:pPr>
        <w:ind w:left="1803" w:hanging="285"/>
      </w:pPr>
      <w:rPr>
        <w:rFonts w:hint="default"/>
        <w:lang w:val="en-US" w:eastAsia="en-US" w:bidi="ar-SA"/>
      </w:rPr>
    </w:lvl>
    <w:lvl w:ilvl="3" w:tplc="4B2E9778">
      <w:numFmt w:val="bullet"/>
      <w:lvlText w:val="•"/>
      <w:lvlJc w:val="left"/>
      <w:pPr>
        <w:ind w:left="2494" w:hanging="285"/>
      </w:pPr>
      <w:rPr>
        <w:rFonts w:hint="default"/>
        <w:lang w:val="en-US" w:eastAsia="en-US" w:bidi="ar-SA"/>
      </w:rPr>
    </w:lvl>
    <w:lvl w:ilvl="4" w:tplc="504C0C72">
      <w:numFmt w:val="bullet"/>
      <w:lvlText w:val="•"/>
      <w:lvlJc w:val="left"/>
      <w:pPr>
        <w:ind w:left="3186" w:hanging="285"/>
      </w:pPr>
      <w:rPr>
        <w:rFonts w:hint="default"/>
        <w:lang w:val="en-US" w:eastAsia="en-US" w:bidi="ar-SA"/>
      </w:rPr>
    </w:lvl>
    <w:lvl w:ilvl="5" w:tplc="DF741FA0">
      <w:numFmt w:val="bullet"/>
      <w:lvlText w:val="•"/>
      <w:lvlJc w:val="left"/>
      <w:pPr>
        <w:ind w:left="3877" w:hanging="285"/>
      </w:pPr>
      <w:rPr>
        <w:rFonts w:hint="default"/>
        <w:lang w:val="en-US" w:eastAsia="en-US" w:bidi="ar-SA"/>
      </w:rPr>
    </w:lvl>
    <w:lvl w:ilvl="6" w:tplc="A3D0D476">
      <w:numFmt w:val="bullet"/>
      <w:lvlText w:val="•"/>
      <w:lvlJc w:val="left"/>
      <w:pPr>
        <w:ind w:left="4569" w:hanging="285"/>
      </w:pPr>
      <w:rPr>
        <w:rFonts w:hint="default"/>
        <w:lang w:val="en-US" w:eastAsia="en-US" w:bidi="ar-SA"/>
      </w:rPr>
    </w:lvl>
    <w:lvl w:ilvl="7" w:tplc="39BC364C">
      <w:numFmt w:val="bullet"/>
      <w:lvlText w:val="•"/>
      <w:lvlJc w:val="left"/>
      <w:pPr>
        <w:ind w:left="5260" w:hanging="285"/>
      </w:pPr>
      <w:rPr>
        <w:rFonts w:hint="default"/>
        <w:lang w:val="en-US" w:eastAsia="en-US" w:bidi="ar-SA"/>
      </w:rPr>
    </w:lvl>
    <w:lvl w:ilvl="8" w:tplc="8A6CB2BC">
      <w:numFmt w:val="bullet"/>
      <w:lvlText w:val="•"/>
      <w:lvlJc w:val="left"/>
      <w:pPr>
        <w:ind w:left="5952" w:hanging="285"/>
      </w:pPr>
      <w:rPr>
        <w:rFonts w:hint="default"/>
        <w:lang w:val="en-US" w:eastAsia="en-US" w:bidi="ar-SA"/>
      </w:rPr>
    </w:lvl>
  </w:abstractNum>
  <w:abstractNum w:abstractNumId="1" w15:restartNumberingAfterBreak="0">
    <w:nsid w:val="005450A8"/>
    <w:multiLevelType w:val="hybridMultilevel"/>
    <w:tmpl w:val="E8C8C840"/>
    <w:lvl w:ilvl="0" w:tplc="F9B6667A">
      <w:numFmt w:val="bullet"/>
      <w:lvlText w:val=""/>
      <w:lvlJc w:val="left"/>
      <w:pPr>
        <w:ind w:left="526" w:hanging="429"/>
      </w:pPr>
      <w:rPr>
        <w:rFonts w:ascii="Symbol" w:eastAsia="Symbol" w:hAnsi="Symbol" w:cs="Symbol" w:hint="default"/>
        <w:b w:val="0"/>
        <w:bCs w:val="0"/>
        <w:i w:val="0"/>
        <w:iCs w:val="0"/>
        <w:w w:val="99"/>
        <w:sz w:val="22"/>
        <w:szCs w:val="22"/>
        <w:lang w:val="en-US" w:eastAsia="en-US" w:bidi="ar-SA"/>
      </w:rPr>
    </w:lvl>
    <w:lvl w:ilvl="1" w:tplc="AC0E2FE0">
      <w:numFmt w:val="bullet"/>
      <w:lvlText w:val="•"/>
      <w:lvlJc w:val="left"/>
      <w:pPr>
        <w:ind w:left="1201" w:hanging="429"/>
      </w:pPr>
      <w:rPr>
        <w:rFonts w:hint="default"/>
        <w:lang w:val="en-US" w:eastAsia="en-US" w:bidi="ar-SA"/>
      </w:rPr>
    </w:lvl>
    <w:lvl w:ilvl="2" w:tplc="174C0748">
      <w:numFmt w:val="bullet"/>
      <w:lvlText w:val="•"/>
      <w:lvlJc w:val="left"/>
      <w:pPr>
        <w:ind w:left="1883" w:hanging="429"/>
      </w:pPr>
      <w:rPr>
        <w:rFonts w:hint="default"/>
        <w:lang w:val="en-US" w:eastAsia="en-US" w:bidi="ar-SA"/>
      </w:rPr>
    </w:lvl>
    <w:lvl w:ilvl="3" w:tplc="90BE5928">
      <w:numFmt w:val="bullet"/>
      <w:lvlText w:val="•"/>
      <w:lvlJc w:val="left"/>
      <w:pPr>
        <w:ind w:left="2564" w:hanging="429"/>
      </w:pPr>
      <w:rPr>
        <w:rFonts w:hint="default"/>
        <w:lang w:val="en-US" w:eastAsia="en-US" w:bidi="ar-SA"/>
      </w:rPr>
    </w:lvl>
    <w:lvl w:ilvl="4" w:tplc="AB4AE78A">
      <w:numFmt w:val="bullet"/>
      <w:lvlText w:val="•"/>
      <w:lvlJc w:val="left"/>
      <w:pPr>
        <w:ind w:left="3246" w:hanging="429"/>
      </w:pPr>
      <w:rPr>
        <w:rFonts w:hint="default"/>
        <w:lang w:val="en-US" w:eastAsia="en-US" w:bidi="ar-SA"/>
      </w:rPr>
    </w:lvl>
    <w:lvl w:ilvl="5" w:tplc="41F81384">
      <w:numFmt w:val="bullet"/>
      <w:lvlText w:val="•"/>
      <w:lvlJc w:val="left"/>
      <w:pPr>
        <w:ind w:left="3927" w:hanging="429"/>
      </w:pPr>
      <w:rPr>
        <w:rFonts w:hint="default"/>
        <w:lang w:val="en-US" w:eastAsia="en-US" w:bidi="ar-SA"/>
      </w:rPr>
    </w:lvl>
    <w:lvl w:ilvl="6" w:tplc="F014E77C">
      <w:numFmt w:val="bullet"/>
      <w:lvlText w:val="•"/>
      <w:lvlJc w:val="left"/>
      <w:pPr>
        <w:ind w:left="4609" w:hanging="429"/>
      </w:pPr>
      <w:rPr>
        <w:rFonts w:hint="default"/>
        <w:lang w:val="en-US" w:eastAsia="en-US" w:bidi="ar-SA"/>
      </w:rPr>
    </w:lvl>
    <w:lvl w:ilvl="7" w:tplc="23F4C5EE">
      <w:numFmt w:val="bullet"/>
      <w:lvlText w:val="•"/>
      <w:lvlJc w:val="left"/>
      <w:pPr>
        <w:ind w:left="5290" w:hanging="429"/>
      </w:pPr>
      <w:rPr>
        <w:rFonts w:hint="default"/>
        <w:lang w:val="en-US" w:eastAsia="en-US" w:bidi="ar-SA"/>
      </w:rPr>
    </w:lvl>
    <w:lvl w:ilvl="8" w:tplc="B4B052BA">
      <w:numFmt w:val="bullet"/>
      <w:lvlText w:val="•"/>
      <w:lvlJc w:val="left"/>
      <w:pPr>
        <w:ind w:left="5972" w:hanging="429"/>
      </w:pPr>
      <w:rPr>
        <w:rFonts w:hint="default"/>
        <w:lang w:val="en-US" w:eastAsia="en-US" w:bidi="ar-SA"/>
      </w:rPr>
    </w:lvl>
  </w:abstractNum>
  <w:abstractNum w:abstractNumId="2" w15:restartNumberingAfterBreak="0">
    <w:nsid w:val="011116CA"/>
    <w:multiLevelType w:val="hybridMultilevel"/>
    <w:tmpl w:val="F81271E4"/>
    <w:lvl w:ilvl="0" w:tplc="A8D0D8B8">
      <w:numFmt w:val="bullet"/>
      <w:lvlText w:val=""/>
      <w:lvlJc w:val="left"/>
      <w:pPr>
        <w:ind w:left="375" w:hanging="358"/>
      </w:pPr>
      <w:rPr>
        <w:rFonts w:ascii="Symbol" w:eastAsia="Symbol" w:hAnsi="Symbol" w:cs="Symbol" w:hint="default"/>
        <w:b w:val="0"/>
        <w:bCs w:val="0"/>
        <w:i w:val="0"/>
        <w:iCs w:val="0"/>
        <w:w w:val="100"/>
        <w:sz w:val="18"/>
        <w:szCs w:val="18"/>
        <w:lang w:val="en-US" w:eastAsia="en-US" w:bidi="ar-SA"/>
      </w:rPr>
    </w:lvl>
    <w:lvl w:ilvl="1" w:tplc="CA18ADCC">
      <w:numFmt w:val="bullet"/>
      <w:lvlText w:val="•"/>
      <w:lvlJc w:val="left"/>
      <w:pPr>
        <w:ind w:left="1085" w:hanging="358"/>
      </w:pPr>
      <w:rPr>
        <w:rFonts w:hint="default"/>
        <w:lang w:val="en-US" w:eastAsia="en-US" w:bidi="ar-SA"/>
      </w:rPr>
    </w:lvl>
    <w:lvl w:ilvl="2" w:tplc="FD90296C">
      <w:numFmt w:val="bullet"/>
      <w:lvlText w:val="•"/>
      <w:lvlJc w:val="left"/>
      <w:pPr>
        <w:ind w:left="1790" w:hanging="358"/>
      </w:pPr>
      <w:rPr>
        <w:rFonts w:hint="default"/>
        <w:lang w:val="en-US" w:eastAsia="en-US" w:bidi="ar-SA"/>
      </w:rPr>
    </w:lvl>
    <w:lvl w:ilvl="3" w:tplc="649C5352">
      <w:numFmt w:val="bullet"/>
      <w:lvlText w:val="•"/>
      <w:lvlJc w:val="left"/>
      <w:pPr>
        <w:ind w:left="2496" w:hanging="358"/>
      </w:pPr>
      <w:rPr>
        <w:rFonts w:hint="default"/>
        <w:lang w:val="en-US" w:eastAsia="en-US" w:bidi="ar-SA"/>
      </w:rPr>
    </w:lvl>
    <w:lvl w:ilvl="4" w:tplc="DF8E02A0">
      <w:numFmt w:val="bullet"/>
      <w:lvlText w:val="•"/>
      <w:lvlJc w:val="left"/>
      <w:pPr>
        <w:ind w:left="3201" w:hanging="358"/>
      </w:pPr>
      <w:rPr>
        <w:rFonts w:hint="default"/>
        <w:lang w:val="en-US" w:eastAsia="en-US" w:bidi="ar-SA"/>
      </w:rPr>
    </w:lvl>
    <w:lvl w:ilvl="5" w:tplc="2746208A">
      <w:numFmt w:val="bullet"/>
      <w:lvlText w:val="•"/>
      <w:lvlJc w:val="left"/>
      <w:pPr>
        <w:ind w:left="3907" w:hanging="358"/>
      </w:pPr>
      <w:rPr>
        <w:rFonts w:hint="default"/>
        <w:lang w:val="en-US" w:eastAsia="en-US" w:bidi="ar-SA"/>
      </w:rPr>
    </w:lvl>
    <w:lvl w:ilvl="6" w:tplc="B9F812F8">
      <w:numFmt w:val="bullet"/>
      <w:lvlText w:val="•"/>
      <w:lvlJc w:val="left"/>
      <w:pPr>
        <w:ind w:left="4612" w:hanging="358"/>
      </w:pPr>
      <w:rPr>
        <w:rFonts w:hint="default"/>
        <w:lang w:val="en-US" w:eastAsia="en-US" w:bidi="ar-SA"/>
      </w:rPr>
    </w:lvl>
    <w:lvl w:ilvl="7" w:tplc="33165E64">
      <w:numFmt w:val="bullet"/>
      <w:lvlText w:val="•"/>
      <w:lvlJc w:val="left"/>
      <w:pPr>
        <w:ind w:left="5317" w:hanging="358"/>
      </w:pPr>
      <w:rPr>
        <w:rFonts w:hint="default"/>
        <w:lang w:val="en-US" w:eastAsia="en-US" w:bidi="ar-SA"/>
      </w:rPr>
    </w:lvl>
    <w:lvl w:ilvl="8" w:tplc="814CB24A">
      <w:numFmt w:val="bullet"/>
      <w:lvlText w:val="•"/>
      <w:lvlJc w:val="left"/>
      <w:pPr>
        <w:ind w:left="6023" w:hanging="358"/>
      </w:pPr>
      <w:rPr>
        <w:rFonts w:hint="default"/>
        <w:lang w:val="en-US" w:eastAsia="en-US" w:bidi="ar-SA"/>
      </w:rPr>
    </w:lvl>
  </w:abstractNum>
  <w:abstractNum w:abstractNumId="3" w15:restartNumberingAfterBreak="0">
    <w:nsid w:val="01716F7A"/>
    <w:multiLevelType w:val="hybridMultilevel"/>
    <w:tmpl w:val="CBDAE85A"/>
    <w:lvl w:ilvl="0" w:tplc="65D053EC">
      <w:numFmt w:val="bullet"/>
      <w:lvlText w:val=""/>
      <w:lvlJc w:val="left"/>
      <w:pPr>
        <w:ind w:left="558" w:hanging="360"/>
      </w:pPr>
      <w:rPr>
        <w:rFonts w:ascii="Symbol" w:eastAsia="Symbol" w:hAnsi="Symbol" w:cs="Symbol" w:hint="default"/>
        <w:b w:val="0"/>
        <w:bCs w:val="0"/>
        <w:i w:val="0"/>
        <w:iCs w:val="0"/>
        <w:w w:val="100"/>
        <w:sz w:val="18"/>
        <w:szCs w:val="18"/>
        <w:lang w:val="en-US" w:eastAsia="en-US" w:bidi="ar-SA"/>
      </w:rPr>
    </w:lvl>
    <w:lvl w:ilvl="1" w:tplc="E7D44E96">
      <w:numFmt w:val="bullet"/>
      <w:lvlText w:val="•"/>
      <w:lvlJc w:val="left"/>
      <w:pPr>
        <w:ind w:left="870" w:hanging="360"/>
      </w:pPr>
      <w:rPr>
        <w:rFonts w:hint="default"/>
        <w:lang w:val="en-US" w:eastAsia="en-US" w:bidi="ar-SA"/>
      </w:rPr>
    </w:lvl>
    <w:lvl w:ilvl="2" w:tplc="4A28569A">
      <w:numFmt w:val="bullet"/>
      <w:lvlText w:val="•"/>
      <w:lvlJc w:val="left"/>
      <w:pPr>
        <w:ind w:left="1180" w:hanging="360"/>
      </w:pPr>
      <w:rPr>
        <w:rFonts w:hint="default"/>
        <w:lang w:val="en-US" w:eastAsia="en-US" w:bidi="ar-SA"/>
      </w:rPr>
    </w:lvl>
    <w:lvl w:ilvl="3" w:tplc="D602A35C">
      <w:numFmt w:val="bullet"/>
      <w:lvlText w:val="•"/>
      <w:lvlJc w:val="left"/>
      <w:pPr>
        <w:ind w:left="1490" w:hanging="360"/>
      </w:pPr>
      <w:rPr>
        <w:rFonts w:hint="default"/>
        <w:lang w:val="en-US" w:eastAsia="en-US" w:bidi="ar-SA"/>
      </w:rPr>
    </w:lvl>
    <w:lvl w:ilvl="4" w:tplc="6B6201CC">
      <w:numFmt w:val="bullet"/>
      <w:lvlText w:val="•"/>
      <w:lvlJc w:val="left"/>
      <w:pPr>
        <w:ind w:left="1800" w:hanging="360"/>
      </w:pPr>
      <w:rPr>
        <w:rFonts w:hint="default"/>
        <w:lang w:val="en-US" w:eastAsia="en-US" w:bidi="ar-SA"/>
      </w:rPr>
    </w:lvl>
    <w:lvl w:ilvl="5" w:tplc="57643320">
      <w:numFmt w:val="bullet"/>
      <w:lvlText w:val="•"/>
      <w:lvlJc w:val="left"/>
      <w:pPr>
        <w:ind w:left="2110" w:hanging="360"/>
      </w:pPr>
      <w:rPr>
        <w:rFonts w:hint="default"/>
        <w:lang w:val="en-US" w:eastAsia="en-US" w:bidi="ar-SA"/>
      </w:rPr>
    </w:lvl>
    <w:lvl w:ilvl="6" w:tplc="AFA2798C">
      <w:numFmt w:val="bullet"/>
      <w:lvlText w:val="•"/>
      <w:lvlJc w:val="left"/>
      <w:pPr>
        <w:ind w:left="2420" w:hanging="360"/>
      </w:pPr>
      <w:rPr>
        <w:rFonts w:hint="default"/>
        <w:lang w:val="en-US" w:eastAsia="en-US" w:bidi="ar-SA"/>
      </w:rPr>
    </w:lvl>
    <w:lvl w:ilvl="7" w:tplc="79D43228">
      <w:numFmt w:val="bullet"/>
      <w:lvlText w:val="•"/>
      <w:lvlJc w:val="left"/>
      <w:pPr>
        <w:ind w:left="2730" w:hanging="360"/>
      </w:pPr>
      <w:rPr>
        <w:rFonts w:hint="default"/>
        <w:lang w:val="en-US" w:eastAsia="en-US" w:bidi="ar-SA"/>
      </w:rPr>
    </w:lvl>
    <w:lvl w:ilvl="8" w:tplc="93C2EF32">
      <w:numFmt w:val="bullet"/>
      <w:lvlText w:val="•"/>
      <w:lvlJc w:val="left"/>
      <w:pPr>
        <w:ind w:left="3040" w:hanging="360"/>
      </w:pPr>
      <w:rPr>
        <w:rFonts w:hint="default"/>
        <w:lang w:val="en-US" w:eastAsia="en-US" w:bidi="ar-SA"/>
      </w:rPr>
    </w:lvl>
  </w:abstractNum>
  <w:abstractNum w:abstractNumId="4" w15:restartNumberingAfterBreak="0">
    <w:nsid w:val="03DB0BA7"/>
    <w:multiLevelType w:val="hybridMultilevel"/>
    <w:tmpl w:val="719830B0"/>
    <w:lvl w:ilvl="0" w:tplc="171ABB62">
      <w:numFmt w:val="bullet"/>
      <w:lvlText w:val=""/>
      <w:lvlJc w:val="left"/>
      <w:pPr>
        <w:ind w:left="827" w:hanging="358"/>
      </w:pPr>
      <w:rPr>
        <w:rFonts w:ascii="Symbol" w:eastAsia="Symbol" w:hAnsi="Symbol" w:cs="Symbol" w:hint="default"/>
        <w:b w:val="0"/>
        <w:bCs w:val="0"/>
        <w:i w:val="0"/>
        <w:iCs w:val="0"/>
        <w:w w:val="99"/>
        <w:sz w:val="22"/>
        <w:szCs w:val="22"/>
        <w:lang w:val="en-US" w:eastAsia="en-US" w:bidi="ar-SA"/>
      </w:rPr>
    </w:lvl>
    <w:lvl w:ilvl="1" w:tplc="0D84DABA">
      <w:numFmt w:val="bullet"/>
      <w:lvlText w:val="•"/>
      <w:lvlJc w:val="left"/>
      <w:pPr>
        <w:ind w:left="1822" w:hanging="358"/>
      </w:pPr>
      <w:rPr>
        <w:rFonts w:hint="default"/>
        <w:lang w:val="en-US" w:eastAsia="en-US" w:bidi="ar-SA"/>
      </w:rPr>
    </w:lvl>
    <w:lvl w:ilvl="2" w:tplc="B0F40188">
      <w:numFmt w:val="bullet"/>
      <w:lvlText w:val="•"/>
      <w:lvlJc w:val="left"/>
      <w:pPr>
        <w:ind w:left="2824" w:hanging="358"/>
      </w:pPr>
      <w:rPr>
        <w:rFonts w:hint="default"/>
        <w:lang w:val="en-US" w:eastAsia="en-US" w:bidi="ar-SA"/>
      </w:rPr>
    </w:lvl>
    <w:lvl w:ilvl="3" w:tplc="01627244">
      <w:numFmt w:val="bullet"/>
      <w:lvlText w:val="•"/>
      <w:lvlJc w:val="left"/>
      <w:pPr>
        <w:ind w:left="3827" w:hanging="358"/>
      </w:pPr>
      <w:rPr>
        <w:rFonts w:hint="default"/>
        <w:lang w:val="en-US" w:eastAsia="en-US" w:bidi="ar-SA"/>
      </w:rPr>
    </w:lvl>
    <w:lvl w:ilvl="4" w:tplc="1BCEEC74">
      <w:numFmt w:val="bullet"/>
      <w:lvlText w:val="•"/>
      <w:lvlJc w:val="left"/>
      <w:pPr>
        <w:ind w:left="4829" w:hanging="358"/>
      </w:pPr>
      <w:rPr>
        <w:rFonts w:hint="default"/>
        <w:lang w:val="en-US" w:eastAsia="en-US" w:bidi="ar-SA"/>
      </w:rPr>
    </w:lvl>
    <w:lvl w:ilvl="5" w:tplc="D7BA792C">
      <w:numFmt w:val="bullet"/>
      <w:lvlText w:val="•"/>
      <w:lvlJc w:val="left"/>
      <w:pPr>
        <w:ind w:left="5832" w:hanging="358"/>
      </w:pPr>
      <w:rPr>
        <w:rFonts w:hint="default"/>
        <w:lang w:val="en-US" w:eastAsia="en-US" w:bidi="ar-SA"/>
      </w:rPr>
    </w:lvl>
    <w:lvl w:ilvl="6" w:tplc="21866E4E">
      <w:numFmt w:val="bullet"/>
      <w:lvlText w:val="•"/>
      <w:lvlJc w:val="left"/>
      <w:pPr>
        <w:ind w:left="6834" w:hanging="358"/>
      </w:pPr>
      <w:rPr>
        <w:rFonts w:hint="default"/>
        <w:lang w:val="en-US" w:eastAsia="en-US" w:bidi="ar-SA"/>
      </w:rPr>
    </w:lvl>
    <w:lvl w:ilvl="7" w:tplc="0F70BB40">
      <w:numFmt w:val="bullet"/>
      <w:lvlText w:val="•"/>
      <w:lvlJc w:val="left"/>
      <w:pPr>
        <w:ind w:left="7837" w:hanging="358"/>
      </w:pPr>
      <w:rPr>
        <w:rFonts w:hint="default"/>
        <w:lang w:val="en-US" w:eastAsia="en-US" w:bidi="ar-SA"/>
      </w:rPr>
    </w:lvl>
    <w:lvl w:ilvl="8" w:tplc="15907A86">
      <w:numFmt w:val="bullet"/>
      <w:lvlText w:val="•"/>
      <w:lvlJc w:val="left"/>
      <w:pPr>
        <w:ind w:left="8839" w:hanging="358"/>
      </w:pPr>
      <w:rPr>
        <w:rFonts w:hint="default"/>
        <w:lang w:val="en-US" w:eastAsia="en-US" w:bidi="ar-SA"/>
      </w:rPr>
    </w:lvl>
  </w:abstractNum>
  <w:abstractNum w:abstractNumId="5" w15:restartNumberingAfterBreak="0">
    <w:nsid w:val="03DB1407"/>
    <w:multiLevelType w:val="hybridMultilevel"/>
    <w:tmpl w:val="03BA400C"/>
    <w:lvl w:ilvl="0" w:tplc="87B4A10A">
      <w:numFmt w:val="bullet"/>
      <w:lvlText w:val=""/>
      <w:lvlJc w:val="left"/>
      <w:pPr>
        <w:ind w:left="412" w:hanging="358"/>
      </w:pPr>
      <w:rPr>
        <w:rFonts w:ascii="Symbol" w:eastAsia="Symbol" w:hAnsi="Symbol" w:cs="Symbol" w:hint="default"/>
        <w:b w:val="0"/>
        <w:bCs w:val="0"/>
        <w:i w:val="0"/>
        <w:iCs w:val="0"/>
        <w:w w:val="100"/>
        <w:sz w:val="18"/>
        <w:szCs w:val="18"/>
        <w:lang w:val="en-US" w:eastAsia="en-US" w:bidi="ar-SA"/>
      </w:rPr>
    </w:lvl>
    <w:lvl w:ilvl="1" w:tplc="947E321E">
      <w:numFmt w:val="bullet"/>
      <w:lvlText w:val="•"/>
      <w:lvlJc w:val="left"/>
      <w:pPr>
        <w:ind w:left="1121" w:hanging="358"/>
      </w:pPr>
      <w:rPr>
        <w:rFonts w:hint="default"/>
        <w:lang w:val="en-US" w:eastAsia="en-US" w:bidi="ar-SA"/>
      </w:rPr>
    </w:lvl>
    <w:lvl w:ilvl="2" w:tplc="08B0941C">
      <w:numFmt w:val="bullet"/>
      <w:lvlText w:val="•"/>
      <w:lvlJc w:val="left"/>
      <w:pPr>
        <w:ind w:left="1822" w:hanging="358"/>
      </w:pPr>
      <w:rPr>
        <w:rFonts w:hint="default"/>
        <w:lang w:val="en-US" w:eastAsia="en-US" w:bidi="ar-SA"/>
      </w:rPr>
    </w:lvl>
    <w:lvl w:ilvl="3" w:tplc="88BC2812">
      <w:numFmt w:val="bullet"/>
      <w:lvlText w:val="•"/>
      <w:lvlJc w:val="left"/>
      <w:pPr>
        <w:ind w:left="2524" w:hanging="358"/>
      </w:pPr>
      <w:rPr>
        <w:rFonts w:hint="default"/>
        <w:lang w:val="en-US" w:eastAsia="en-US" w:bidi="ar-SA"/>
      </w:rPr>
    </w:lvl>
    <w:lvl w:ilvl="4" w:tplc="C51A1840">
      <w:numFmt w:val="bullet"/>
      <w:lvlText w:val="•"/>
      <w:lvlJc w:val="left"/>
      <w:pPr>
        <w:ind w:left="3225" w:hanging="358"/>
      </w:pPr>
      <w:rPr>
        <w:rFonts w:hint="default"/>
        <w:lang w:val="en-US" w:eastAsia="en-US" w:bidi="ar-SA"/>
      </w:rPr>
    </w:lvl>
    <w:lvl w:ilvl="5" w:tplc="CE94AE66">
      <w:numFmt w:val="bullet"/>
      <w:lvlText w:val="•"/>
      <w:lvlJc w:val="left"/>
      <w:pPr>
        <w:ind w:left="3927" w:hanging="358"/>
      </w:pPr>
      <w:rPr>
        <w:rFonts w:hint="default"/>
        <w:lang w:val="en-US" w:eastAsia="en-US" w:bidi="ar-SA"/>
      </w:rPr>
    </w:lvl>
    <w:lvl w:ilvl="6" w:tplc="27404328">
      <w:numFmt w:val="bullet"/>
      <w:lvlText w:val="•"/>
      <w:lvlJc w:val="left"/>
      <w:pPr>
        <w:ind w:left="4628" w:hanging="358"/>
      </w:pPr>
      <w:rPr>
        <w:rFonts w:hint="default"/>
        <w:lang w:val="en-US" w:eastAsia="en-US" w:bidi="ar-SA"/>
      </w:rPr>
    </w:lvl>
    <w:lvl w:ilvl="7" w:tplc="B190628C">
      <w:numFmt w:val="bullet"/>
      <w:lvlText w:val="•"/>
      <w:lvlJc w:val="left"/>
      <w:pPr>
        <w:ind w:left="5329" w:hanging="358"/>
      </w:pPr>
      <w:rPr>
        <w:rFonts w:hint="default"/>
        <w:lang w:val="en-US" w:eastAsia="en-US" w:bidi="ar-SA"/>
      </w:rPr>
    </w:lvl>
    <w:lvl w:ilvl="8" w:tplc="1506DDDE">
      <w:numFmt w:val="bullet"/>
      <w:lvlText w:val="•"/>
      <w:lvlJc w:val="left"/>
      <w:pPr>
        <w:ind w:left="6031" w:hanging="358"/>
      </w:pPr>
      <w:rPr>
        <w:rFonts w:hint="default"/>
        <w:lang w:val="en-US" w:eastAsia="en-US" w:bidi="ar-SA"/>
      </w:rPr>
    </w:lvl>
  </w:abstractNum>
  <w:abstractNum w:abstractNumId="6" w15:restartNumberingAfterBreak="0">
    <w:nsid w:val="04903A69"/>
    <w:multiLevelType w:val="hybridMultilevel"/>
    <w:tmpl w:val="0CBE3F20"/>
    <w:lvl w:ilvl="0" w:tplc="0046C81C">
      <w:numFmt w:val="bullet"/>
      <w:lvlText w:val=""/>
      <w:lvlJc w:val="left"/>
      <w:pPr>
        <w:ind w:left="834" w:hanging="360"/>
      </w:pPr>
      <w:rPr>
        <w:rFonts w:ascii="Symbol" w:eastAsia="Symbol" w:hAnsi="Symbol" w:cs="Symbol" w:hint="default"/>
        <w:b w:val="0"/>
        <w:bCs w:val="0"/>
        <w:i w:val="0"/>
        <w:iCs w:val="0"/>
        <w:w w:val="99"/>
        <w:sz w:val="22"/>
        <w:szCs w:val="22"/>
        <w:lang w:val="en-US" w:eastAsia="en-US" w:bidi="ar-SA"/>
      </w:rPr>
    </w:lvl>
    <w:lvl w:ilvl="1" w:tplc="7CDA456A">
      <w:numFmt w:val="bullet"/>
      <w:lvlText w:val="•"/>
      <w:lvlJc w:val="left"/>
      <w:pPr>
        <w:ind w:left="1840" w:hanging="360"/>
      </w:pPr>
      <w:rPr>
        <w:rFonts w:hint="default"/>
        <w:lang w:val="en-US" w:eastAsia="en-US" w:bidi="ar-SA"/>
      </w:rPr>
    </w:lvl>
    <w:lvl w:ilvl="2" w:tplc="5DB0A728">
      <w:numFmt w:val="bullet"/>
      <w:lvlText w:val="•"/>
      <w:lvlJc w:val="left"/>
      <w:pPr>
        <w:ind w:left="2840" w:hanging="360"/>
      </w:pPr>
      <w:rPr>
        <w:rFonts w:hint="default"/>
        <w:lang w:val="en-US" w:eastAsia="en-US" w:bidi="ar-SA"/>
      </w:rPr>
    </w:lvl>
    <w:lvl w:ilvl="3" w:tplc="3660706A">
      <w:numFmt w:val="bullet"/>
      <w:lvlText w:val="•"/>
      <w:lvlJc w:val="left"/>
      <w:pPr>
        <w:ind w:left="3841" w:hanging="360"/>
      </w:pPr>
      <w:rPr>
        <w:rFonts w:hint="default"/>
        <w:lang w:val="en-US" w:eastAsia="en-US" w:bidi="ar-SA"/>
      </w:rPr>
    </w:lvl>
    <w:lvl w:ilvl="4" w:tplc="130063D0">
      <w:numFmt w:val="bullet"/>
      <w:lvlText w:val="•"/>
      <w:lvlJc w:val="left"/>
      <w:pPr>
        <w:ind w:left="4841" w:hanging="360"/>
      </w:pPr>
      <w:rPr>
        <w:rFonts w:hint="default"/>
        <w:lang w:val="en-US" w:eastAsia="en-US" w:bidi="ar-SA"/>
      </w:rPr>
    </w:lvl>
    <w:lvl w:ilvl="5" w:tplc="B63C8D4C">
      <w:numFmt w:val="bullet"/>
      <w:lvlText w:val="•"/>
      <w:lvlJc w:val="left"/>
      <w:pPr>
        <w:ind w:left="5842" w:hanging="360"/>
      </w:pPr>
      <w:rPr>
        <w:rFonts w:hint="default"/>
        <w:lang w:val="en-US" w:eastAsia="en-US" w:bidi="ar-SA"/>
      </w:rPr>
    </w:lvl>
    <w:lvl w:ilvl="6" w:tplc="183283D8">
      <w:numFmt w:val="bullet"/>
      <w:lvlText w:val="•"/>
      <w:lvlJc w:val="left"/>
      <w:pPr>
        <w:ind w:left="6842" w:hanging="360"/>
      </w:pPr>
      <w:rPr>
        <w:rFonts w:hint="default"/>
        <w:lang w:val="en-US" w:eastAsia="en-US" w:bidi="ar-SA"/>
      </w:rPr>
    </w:lvl>
    <w:lvl w:ilvl="7" w:tplc="61A8F3EC">
      <w:numFmt w:val="bullet"/>
      <w:lvlText w:val="•"/>
      <w:lvlJc w:val="left"/>
      <w:pPr>
        <w:ind w:left="7843" w:hanging="360"/>
      </w:pPr>
      <w:rPr>
        <w:rFonts w:hint="default"/>
        <w:lang w:val="en-US" w:eastAsia="en-US" w:bidi="ar-SA"/>
      </w:rPr>
    </w:lvl>
    <w:lvl w:ilvl="8" w:tplc="2A6AA914">
      <w:numFmt w:val="bullet"/>
      <w:lvlText w:val="•"/>
      <w:lvlJc w:val="left"/>
      <w:pPr>
        <w:ind w:left="8843" w:hanging="360"/>
      </w:pPr>
      <w:rPr>
        <w:rFonts w:hint="default"/>
        <w:lang w:val="en-US" w:eastAsia="en-US" w:bidi="ar-SA"/>
      </w:rPr>
    </w:lvl>
  </w:abstractNum>
  <w:abstractNum w:abstractNumId="7" w15:restartNumberingAfterBreak="0">
    <w:nsid w:val="050D65C8"/>
    <w:multiLevelType w:val="hybridMultilevel"/>
    <w:tmpl w:val="F284565C"/>
    <w:lvl w:ilvl="0" w:tplc="8F564B36">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1" w:tplc="DF3A7410">
      <w:numFmt w:val="bullet"/>
      <w:lvlText w:val="•"/>
      <w:lvlJc w:val="left"/>
      <w:pPr>
        <w:ind w:left="1840" w:hanging="360"/>
      </w:pPr>
      <w:rPr>
        <w:rFonts w:hint="default"/>
        <w:lang w:val="en-US" w:eastAsia="en-US" w:bidi="ar-SA"/>
      </w:rPr>
    </w:lvl>
    <w:lvl w:ilvl="2" w:tplc="E8221DEA">
      <w:numFmt w:val="bullet"/>
      <w:lvlText w:val="•"/>
      <w:lvlJc w:val="left"/>
      <w:pPr>
        <w:ind w:left="2840" w:hanging="360"/>
      </w:pPr>
      <w:rPr>
        <w:rFonts w:hint="default"/>
        <w:lang w:val="en-US" w:eastAsia="en-US" w:bidi="ar-SA"/>
      </w:rPr>
    </w:lvl>
    <w:lvl w:ilvl="3" w:tplc="DAFA28A8">
      <w:numFmt w:val="bullet"/>
      <w:lvlText w:val="•"/>
      <w:lvlJc w:val="left"/>
      <w:pPr>
        <w:ind w:left="3841" w:hanging="360"/>
      </w:pPr>
      <w:rPr>
        <w:rFonts w:hint="default"/>
        <w:lang w:val="en-US" w:eastAsia="en-US" w:bidi="ar-SA"/>
      </w:rPr>
    </w:lvl>
    <w:lvl w:ilvl="4" w:tplc="18C0EECC">
      <w:numFmt w:val="bullet"/>
      <w:lvlText w:val="•"/>
      <w:lvlJc w:val="left"/>
      <w:pPr>
        <w:ind w:left="4841" w:hanging="360"/>
      </w:pPr>
      <w:rPr>
        <w:rFonts w:hint="default"/>
        <w:lang w:val="en-US" w:eastAsia="en-US" w:bidi="ar-SA"/>
      </w:rPr>
    </w:lvl>
    <w:lvl w:ilvl="5" w:tplc="9A461B12">
      <w:numFmt w:val="bullet"/>
      <w:lvlText w:val="•"/>
      <w:lvlJc w:val="left"/>
      <w:pPr>
        <w:ind w:left="5842" w:hanging="360"/>
      </w:pPr>
      <w:rPr>
        <w:rFonts w:hint="default"/>
        <w:lang w:val="en-US" w:eastAsia="en-US" w:bidi="ar-SA"/>
      </w:rPr>
    </w:lvl>
    <w:lvl w:ilvl="6" w:tplc="E4EA7A9A">
      <w:numFmt w:val="bullet"/>
      <w:lvlText w:val="•"/>
      <w:lvlJc w:val="left"/>
      <w:pPr>
        <w:ind w:left="6842" w:hanging="360"/>
      </w:pPr>
      <w:rPr>
        <w:rFonts w:hint="default"/>
        <w:lang w:val="en-US" w:eastAsia="en-US" w:bidi="ar-SA"/>
      </w:rPr>
    </w:lvl>
    <w:lvl w:ilvl="7" w:tplc="F7DA1F42">
      <w:numFmt w:val="bullet"/>
      <w:lvlText w:val="•"/>
      <w:lvlJc w:val="left"/>
      <w:pPr>
        <w:ind w:left="7843" w:hanging="360"/>
      </w:pPr>
      <w:rPr>
        <w:rFonts w:hint="default"/>
        <w:lang w:val="en-US" w:eastAsia="en-US" w:bidi="ar-SA"/>
      </w:rPr>
    </w:lvl>
    <w:lvl w:ilvl="8" w:tplc="A978EFB6">
      <w:numFmt w:val="bullet"/>
      <w:lvlText w:val="•"/>
      <w:lvlJc w:val="left"/>
      <w:pPr>
        <w:ind w:left="8843" w:hanging="360"/>
      </w:pPr>
      <w:rPr>
        <w:rFonts w:hint="default"/>
        <w:lang w:val="en-US" w:eastAsia="en-US" w:bidi="ar-SA"/>
      </w:rPr>
    </w:lvl>
  </w:abstractNum>
  <w:abstractNum w:abstractNumId="8" w15:restartNumberingAfterBreak="0">
    <w:nsid w:val="052924EA"/>
    <w:multiLevelType w:val="hybridMultilevel"/>
    <w:tmpl w:val="9C7608CE"/>
    <w:lvl w:ilvl="0" w:tplc="4A1EBA3E">
      <w:numFmt w:val="bullet"/>
      <w:lvlText w:val=""/>
      <w:lvlJc w:val="left"/>
      <w:pPr>
        <w:ind w:left="834" w:hanging="360"/>
      </w:pPr>
      <w:rPr>
        <w:rFonts w:ascii="Symbol" w:eastAsia="Symbol" w:hAnsi="Symbol" w:cs="Symbol" w:hint="default"/>
        <w:b w:val="0"/>
        <w:bCs w:val="0"/>
        <w:i w:val="0"/>
        <w:iCs w:val="0"/>
        <w:w w:val="99"/>
        <w:sz w:val="22"/>
        <w:szCs w:val="22"/>
        <w:lang w:val="en-US" w:eastAsia="en-US" w:bidi="ar-SA"/>
      </w:rPr>
    </w:lvl>
    <w:lvl w:ilvl="1" w:tplc="82CC7540">
      <w:numFmt w:val="bullet"/>
      <w:lvlText w:val="•"/>
      <w:lvlJc w:val="left"/>
      <w:pPr>
        <w:ind w:left="1840" w:hanging="360"/>
      </w:pPr>
      <w:rPr>
        <w:rFonts w:hint="default"/>
        <w:lang w:val="en-US" w:eastAsia="en-US" w:bidi="ar-SA"/>
      </w:rPr>
    </w:lvl>
    <w:lvl w:ilvl="2" w:tplc="82D6E3BC">
      <w:numFmt w:val="bullet"/>
      <w:lvlText w:val="•"/>
      <w:lvlJc w:val="left"/>
      <w:pPr>
        <w:ind w:left="2840" w:hanging="360"/>
      </w:pPr>
      <w:rPr>
        <w:rFonts w:hint="default"/>
        <w:lang w:val="en-US" w:eastAsia="en-US" w:bidi="ar-SA"/>
      </w:rPr>
    </w:lvl>
    <w:lvl w:ilvl="3" w:tplc="46A8E8D0">
      <w:numFmt w:val="bullet"/>
      <w:lvlText w:val="•"/>
      <w:lvlJc w:val="left"/>
      <w:pPr>
        <w:ind w:left="3841" w:hanging="360"/>
      </w:pPr>
      <w:rPr>
        <w:rFonts w:hint="default"/>
        <w:lang w:val="en-US" w:eastAsia="en-US" w:bidi="ar-SA"/>
      </w:rPr>
    </w:lvl>
    <w:lvl w:ilvl="4" w:tplc="F9200362">
      <w:numFmt w:val="bullet"/>
      <w:lvlText w:val="•"/>
      <w:lvlJc w:val="left"/>
      <w:pPr>
        <w:ind w:left="4841" w:hanging="360"/>
      </w:pPr>
      <w:rPr>
        <w:rFonts w:hint="default"/>
        <w:lang w:val="en-US" w:eastAsia="en-US" w:bidi="ar-SA"/>
      </w:rPr>
    </w:lvl>
    <w:lvl w:ilvl="5" w:tplc="2136954C">
      <w:numFmt w:val="bullet"/>
      <w:lvlText w:val="•"/>
      <w:lvlJc w:val="left"/>
      <w:pPr>
        <w:ind w:left="5842" w:hanging="360"/>
      </w:pPr>
      <w:rPr>
        <w:rFonts w:hint="default"/>
        <w:lang w:val="en-US" w:eastAsia="en-US" w:bidi="ar-SA"/>
      </w:rPr>
    </w:lvl>
    <w:lvl w:ilvl="6" w:tplc="FC9C6F06">
      <w:numFmt w:val="bullet"/>
      <w:lvlText w:val="•"/>
      <w:lvlJc w:val="left"/>
      <w:pPr>
        <w:ind w:left="6842" w:hanging="360"/>
      </w:pPr>
      <w:rPr>
        <w:rFonts w:hint="default"/>
        <w:lang w:val="en-US" w:eastAsia="en-US" w:bidi="ar-SA"/>
      </w:rPr>
    </w:lvl>
    <w:lvl w:ilvl="7" w:tplc="BC268DA2">
      <w:numFmt w:val="bullet"/>
      <w:lvlText w:val="•"/>
      <w:lvlJc w:val="left"/>
      <w:pPr>
        <w:ind w:left="7843" w:hanging="360"/>
      </w:pPr>
      <w:rPr>
        <w:rFonts w:hint="default"/>
        <w:lang w:val="en-US" w:eastAsia="en-US" w:bidi="ar-SA"/>
      </w:rPr>
    </w:lvl>
    <w:lvl w:ilvl="8" w:tplc="04B29C98">
      <w:numFmt w:val="bullet"/>
      <w:lvlText w:val="•"/>
      <w:lvlJc w:val="left"/>
      <w:pPr>
        <w:ind w:left="8843" w:hanging="360"/>
      </w:pPr>
      <w:rPr>
        <w:rFonts w:hint="default"/>
        <w:lang w:val="en-US" w:eastAsia="en-US" w:bidi="ar-SA"/>
      </w:rPr>
    </w:lvl>
  </w:abstractNum>
  <w:abstractNum w:abstractNumId="9" w15:restartNumberingAfterBreak="0">
    <w:nsid w:val="07E16EB1"/>
    <w:multiLevelType w:val="hybridMultilevel"/>
    <w:tmpl w:val="753609CA"/>
    <w:lvl w:ilvl="0" w:tplc="E1342790">
      <w:numFmt w:val="bullet"/>
      <w:lvlText w:val=""/>
      <w:lvlJc w:val="left"/>
      <w:pPr>
        <w:ind w:left="808" w:hanging="360"/>
      </w:pPr>
      <w:rPr>
        <w:rFonts w:ascii="Symbol" w:eastAsia="Symbol" w:hAnsi="Symbol" w:cs="Symbol" w:hint="default"/>
        <w:b w:val="0"/>
        <w:bCs w:val="0"/>
        <w:i w:val="0"/>
        <w:iCs w:val="0"/>
        <w:w w:val="99"/>
        <w:sz w:val="22"/>
        <w:szCs w:val="22"/>
        <w:lang w:val="en-US" w:eastAsia="en-US" w:bidi="ar-SA"/>
      </w:rPr>
    </w:lvl>
    <w:lvl w:ilvl="1" w:tplc="4D38CDFE">
      <w:numFmt w:val="bullet"/>
      <w:lvlText w:val="•"/>
      <w:lvlJc w:val="left"/>
      <w:pPr>
        <w:ind w:left="943" w:hanging="360"/>
      </w:pPr>
      <w:rPr>
        <w:rFonts w:hint="default"/>
        <w:lang w:val="en-US" w:eastAsia="en-US" w:bidi="ar-SA"/>
      </w:rPr>
    </w:lvl>
    <w:lvl w:ilvl="2" w:tplc="FF62E3EA">
      <w:numFmt w:val="bullet"/>
      <w:lvlText w:val="•"/>
      <w:lvlJc w:val="left"/>
      <w:pPr>
        <w:ind w:left="1087" w:hanging="360"/>
      </w:pPr>
      <w:rPr>
        <w:rFonts w:hint="default"/>
        <w:lang w:val="en-US" w:eastAsia="en-US" w:bidi="ar-SA"/>
      </w:rPr>
    </w:lvl>
    <w:lvl w:ilvl="3" w:tplc="1C9285B2">
      <w:numFmt w:val="bullet"/>
      <w:lvlText w:val="•"/>
      <w:lvlJc w:val="left"/>
      <w:pPr>
        <w:ind w:left="1230" w:hanging="360"/>
      </w:pPr>
      <w:rPr>
        <w:rFonts w:hint="default"/>
        <w:lang w:val="en-US" w:eastAsia="en-US" w:bidi="ar-SA"/>
      </w:rPr>
    </w:lvl>
    <w:lvl w:ilvl="4" w:tplc="624C7200">
      <w:numFmt w:val="bullet"/>
      <w:lvlText w:val="•"/>
      <w:lvlJc w:val="left"/>
      <w:pPr>
        <w:ind w:left="1374" w:hanging="360"/>
      </w:pPr>
      <w:rPr>
        <w:rFonts w:hint="default"/>
        <w:lang w:val="en-US" w:eastAsia="en-US" w:bidi="ar-SA"/>
      </w:rPr>
    </w:lvl>
    <w:lvl w:ilvl="5" w:tplc="DE1ED648">
      <w:numFmt w:val="bullet"/>
      <w:lvlText w:val="•"/>
      <w:lvlJc w:val="left"/>
      <w:pPr>
        <w:ind w:left="1518" w:hanging="360"/>
      </w:pPr>
      <w:rPr>
        <w:rFonts w:hint="default"/>
        <w:lang w:val="en-US" w:eastAsia="en-US" w:bidi="ar-SA"/>
      </w:rPr>
    </w:lvl>
    <w:lvl w:ilvl="6" w:tplc="1F347BB4">
      <w:numFmt w:val="bullet"/>
      <w:lvlText w:val="•"/>
      <w:lvlJc w:val="left"/>
      <w:pPr>
        <w:ind w:left="1661" w:hanging="360"/>
      </w:pPr>
      <w:rPr>
        <w:rFonts w:hint="default"/>
        <w:lang w:val="en-US" w:eastAsia="en-US" w:bidi="ar-SA"/>
      </w:rPr>
    </w:lvl>
    <w:lvl w:ilvl="7" w:tplc="03A056F2">
      <w:numFmt w:val="bullet"/>
      <w:lvlText w:val="•"/>
      <w:lvlJc w:val="left"/>
      <w:pPr>
        <w:ind w:left="1805" w:hanging="360"/>
      </w:pPr>
      <w:rPr>
        <w:rFonts w:hint="default"/>
        <w:lang w:val="en-US" w:eastAsia="en-US" w:bidi="ar-SA"/>
      </w:rPr>
    </w:lvl>
    <w:lvl w:ilvl="8" w:tplc="EFE4C5F0">
      <w:numFmt w:val="bullet"/>
      <w:lvlText w:val="•"/>
      <w:lvlJc w:val="left"/>
      <w:pPr>
        <w:ind w:left="1948" w:hanging="360"/>
      </w:pPr>
      <w:rPr>
        <w:rFonts w:hint="default"/>
        <w:lang w:val="en-US" w:eastAsia="en-US" w:bidi="ar-SA"/>
      </w:rPr>
    </w:lvl>
  </w:abstractNum>
  <w:abstractNum w:abstractNumId="10" w15:restartNumberingAfterBreak="0">
    <w:nsid w:val="087D48E5"/>
    <w:multiLevelType w:val="hybridMultilevel"/>
    <w:tmpl w:val="6CD20C4E"/>
    <w:lvl w:ilvl="0" w:tplc="77AA40C4">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F01848E6">
      <w:numFmt w:val="bullet"/>
      <w:lvlText w:val="•"/>
      <w:lvlJc w:val="left"/>
      <w:pPr>
        <w:ind w:left="1085" w:hanging="360"/>
      </w:pPr>
      <w:rPr>
        <w:rFonts w:hint="default"/>
        <w:lang w:val="en-US" w:eastAsia="en-US" w:bidi="ar-SA"/>
      </w:rPr>
    </w:lvl>
    <w:lvl w:ilvl="2" w:tplc="2C9CBA9E">
      <w:numFmt w:val="bullet"/>
      <w:lvlText w:val="•"/>
      <w:lvlJc w:val="left"/>
      <w:pPr>
        <w:ind w:left="1790" w:hanging="360"/>
      </w:pPr>
      <w:rPr>
        <w:rFonts w:hint="default"/>
        <w:lang w:val="en-US" w:eastAsia="en-US" w:bidi="ar-SA"/>
      </w:rPr>
    </w:lvl>
    <w:lvl w:ilvl="3" w:tplc="F3349B24">
      <w:numFmt w:val="bullet"/>
      <w:lvlText w:val="•"/>
      <w:lvlJc w:val="left"/>
      <w:pPr>
        <w:ind w:left="2496" w:hanging="360"/>
      </w:pPr>
      <w:rPr>
        <w:rFonts w:hint="default"/>
        <w:lang w:val="en-US" w:eastAsia="en-US" w:bidi="ar-SA"/>
      </w:rPr>
    </w:lvl>
    <w:lvl w:ilvl="4" w:tplc="5B8A39D4">
      <w:numFmt w:val="bullet"/>
      <w:lvlText w:val="•"/>
      <w:lvlJc w:val="left"/>
      <w:pPr>
        <w:ind w:left="3201" w:hanging="360"/>
      </w:pPr>
      <w:rPr>
        <w:rFonts w:hint="default"/>
        <w:lang w:val="en-US" w:eastAsia="en-US" w:bidi="ar-SA"/>
      </w:rPr>
    </w:lvl>
    <w:lvl w:ilvl="5" w:tplc="C9A420C4">
      <w:numFmt w:val="bullet"/>
      <w:lvlText w:val="•"/>
      <w:lvlJc w:val="left"/>
      <w:pPr>
        <w:ind w:left="3907" w:hanging="360"/>
      </w:pPr>
      <w:rPr>
        <w:rFonts w:hint="default"/>
        <w:lang w:val="en-US" w:eastAsia="en-US" w:bidi="ar-SA"/>
      </w:rPr>
    </w:lvl>
    <w:lvl w:ilvl="6" w:tplc="43D8421A">
      <w:numFmt w:val="bullet"/>
      <w:lvlText w:val="•"/>
      <w:lvlJc w:val="left"/>
      <w:pPr>
        <w:ind w:left="4612" w:hanging="360"/>
      </w:pPr>
      <w:rPr>
        <w:rFonts w:hint="default"/>
        <w:lang w:val="en-US" w:eastAsia="en-US" w:bidi="ar-SA"/>
      </w:rPr>
    </w:lvl>
    <w:lvl w:ilvl="7" w:tplc="42BA63DA">
      <w:numFmt w:val="bullet"/>
      <w:lvlText w:val="•"/>
      <w:lvlJc w:val="left"/>
      <w:pPr>
        <w:ind w:left="5317" w:hanging="360"/>
      </w:pPr>
      <w:rPr>
        <w:rFonts w:hint="default"/>
        <w:lang w:val="en-US" w:eastAsia="en-US" w:bidi="ar-SA"/>
      </w:rPr>
    </w:lvl>
    <w:lvl w:ilvl="8" w:tplc="27F2D2C6">
      <w:numFmt w:val="bullet"/>
      <w:lvlText w:val="•"/>
      <w:lvlJc w:val="left"/>
      <w:pPr>
        <w:ind w:left="6023" w:hanging="360"/>
      </w:pPr>
      <w:rPr>
        <w:rFonts w:hint="default"/>
        <w:lang w:val="en-US" w:eastAsia="en-US" w:bidi="ar-SA"/>
      </w:rPr>
    </w:lvl>
  </w:abstractNum>
  <w:abstractNum w:abstractNumId="11" w15:restartNumberingAfterBreak="0">
    <w:nsid w:val="09425F3F"/>
    <w:multiLevelType w:val="hybridMultilevel"/>
    <w:tmpl w:val="80CCB3C6"/>
    <w:lvl w:ilvl="0" w:tplc="36EEC04C">
      <w:numFmt w:val="bullet"/>
      <w:lvlText w:val=""/>
      <w:lvlJc w:val="left"/>
      <w:pPr>
        <w:ind w:left="873" w:hanging="360"/>
      </w:pPr>
      <w:rPr>
        <w:rFonts w:ascii="Symbol" w:eastAsia="Symbol" w:hAnsi="Symbol" w:cs="Symbol" w:hint="default"/>
        <w:b w:val="0"/>
        <w:bCs w:val="0"/>
        <w:i w:val="0"/>
        <w:iCs w:val="0"/>
        <w:w w:val="99"/>
        <w:sz w:val="22"/>
        <w:szCs w:val="22"/>
        <w:lang w:val="en-US" w:eastAsia="en-US" w:bidi="ar-SA"/>
      </w:rPr>
    </w:lvl>
    <w:lvl w:ilvl="1" w:tplc="C206E25A">
      <w:numFmt w:val="bullet"/>
      <w:lvlText w:val="•"/>
      <w:lvlJc w:val="left"/>
      <w:pPr>
        <w:ind w:left="1810" w:hanging="360"/>
      </w:pPr>
      <w:rPr>
        <w:rFonts w:hint="default"/>
        <w:lang w:val="en-US" w:eastAsia="en-US" w:bidi="ar-SA"/>
      </w:rPr>
    </w:lvl>
    <w:lvl w:ilvl="2" w:tplc="2F8A1404">
      <w:numFmt w:val="bullet"/>
      <w:lvlText w:val="•"/>
      <w:lvlJc w:val="left"/>
      <w:pPr>
        <w:ind w:left="2740" w:hanging="360"/>
      </w:pPr>
      <w:rPr>
        <w:rFonts w:hint="default"/>
        <w:lang w:val="en-US" w:eastAsia="en-US" w:bidi="ar-SA"/>
      </w:rPr>
    </w:lvl>
    <w:lvl w:ilvl="3" w:tplc="4C061A26">
      <w:numFmt w:val="bullet"/>
      <w:lvlText w:val="•"/>
      <w:lvlJc w:val="left"/>
      <w:pPr>
        <w:ind w:left="3671" w:hanging="360"/>
      </w:pPr>
      <w:rPr>
        <w:rFonts w:hint="default"/>
        <w:lang w:val="en-US" w:eastAsia="en-US" w:bidi="ar-SA"/>
      </w:rPr>
    </w:lvl>
    <w:lvl w:ilvl="4" w:tplc="A9D86E46">
      <w:numFmt w:val="bullet"/>
      <w:lvlText w:val="•"/>
      <w:lvlJc w:val="left"/>
      <w:pPr>
        <w:ind w:left="4601" w:hanging="360"/>
      </w:pPr>
      <w:rPr>
        <w:rFonts w:hint="default"/>
        <w:lang w:val="en-US" w:eastAsia="en-US" w:bidi="ar-SA"/>
      </w:rPr>
    </w:lvl>
    <w:lvl w:ilvl="5" w:tplc="CE3C4C92">
      <w:numFmt w:val="bullet"/>
      <w:lvlText w:val="•"/>
      <w:lvlJc w:val="left"/>
      <w:pPr>
        <w:ind w:left="5532" w:hanging="360"/>
      </w:pPr>
      <w:rPr>
        <w:rFonts w:hint="default"/>
        <w:lang w:val="en-US" w:eastAsia="en-US" w:bidi="ar-SA"/>
      </w:rPr>
    </w:lvl>
    <w:lvl w:ilvl="6" w:tplc="00C62CA0">
      <w:numFmt w:val="bullet"/>
      <w:lvlText w:val="•"/>
      <w:lvlJc w:val="left"/>
      <w:pPr>
        <w:ind w:left="6462" w:hanging="360"/>
      </w:pPr>
      <w:rPr>
        <w:rFonts w:hint="default"/>
        <w:lang w:val="en-US" w:eastAsia="en-US" w:bidi="ar-SA"/>
      </w:rPr>
    </w:lvl>
    <w:lvl w:ilvl="7" w:tplc="802CBB1A">
      <w:numFmt w:val="bullet"/>
      <w:lvlText w:val="•"/>
      <w:lvlJc w:val="left"/>
      <w:pPr>
        <w:ind w:left="7393" w:hanging="360"/>
      </w:pPr>
      <w:rPr>
        <w:rFonts w:hint="default"/>
        <w:lang w:val="en-US" w:eastAsia="en-US" w:bidi="ar-SA"/>
      </w:rPr>
    </w:lvl>
    <w:lvl w:ilvl="8" w:tplc="7F4C07D4">
      <w:numFmt w:val="bullet"/>
      <w:lvlText w:val="•"/>
      <w:lvlJc w:val="left"/>
      <w:pPr>
        <w:ind w:left="8323" w:hanging="360"/>
      </w:pPr>
      <w:rPr>
        <w:rFonts w:hint="default"/>
        <w:lang w:val="en-US" w:eastAsia="en-US" w:bidi="ar-SA"/>
      </w:rPr>
    </w:lvl>
  </w:abstractNum>
  <w:abstractNum w:abstractNumId="12" w15:restartNumberingAfterBreak="0">
    <w:nsid w:val="09856394"/>
    <w:multiLevelType w:val="hybridMultilevel"/>
    <w:tmpl w:val="E006F268"/>
    <w:lvl w:ilvl="0" w:tplc="28FA7FB4">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A468D63E">
      <w:numFmt w:val="bullet"/>
      <w:lvlText w:val="•"/>
      <w:lvlJc w:val="left"/>
      <w:pPr>
        <w:ind w:left="1085" w:hanging="360"/>
      </w:pPr>
      <w:rPr>
        <w:rFonts w:hint="default"/>
        <w:lang w:val="en-US" w:eastAsia="en-US" w:bidi="ar-SA"/>
      </w:rPr>
    </w:lvl>
    <w:lvl w:ilvl="2" w:tplc="B2CCB8D2">
      <w:numFmt w:val="bullet"/>
      <w:lvlText w:val="•"/>
      <w:lvlJc w:val="left"/>
      <w:pPr>
        <w:ind w:left="1790" w:hanging="360"/>
      </w:pPr>
      <w:rPr>
        <w:rFonts w:hint="default"/>
        <w:lang w:val="en-US" w:eastAsia="en-US" w:bidi="ar-SA"/>
      </w:rPr>
    </w:lvl>
    <w:lvl w:ilvl="3" w:tplc="C786EA50">
      <w:numFmt w:val="bullet"/>
      <w:lvlText w:val="•"/>
      <w:lvlJc w:val="left"/>
      <w:pPr>
        <w:ind w:left="2496" w:hanging="360"/>
      </w:pPr>
      <w:rPr>
        <w:rFonts w:hint="default"/>
        <w:lang w:val="en-US" w:eastAsia="en-US" w:bidi="ar-SA"/>
      </w:rPr>
    </w:lvl>
    <w:lvl w:ilvl="4" w:tplc="923CB0F4">
      <w:numFmt w:val="bullet"/>
      <w:lvlText w:val="•"/>
      <w:lvlJc w:val="left"/>
      <w:pPr>
        <w:ind w:left="3201" w:hanging="360"/>
      </w:pPr>
      <w:rPr>
        <w:rFonts w:hint="default"/>
        <w:lang w:val="en-US" w:eastAsia="en-US" w:bidi="ar-SA"/>
      </w:rPr>
    </w:lvl>
    <w:lvl w:ilvl="5" w:tplc="0C7689F6">
      <w:numFmt w:val="bullet"/>
      <w:lvlText w:val="•"/>
      <w:lvlJc w:val="left"/>
      <w:pPr>
        <w:ind w:left="3907" w:hanging="360"/>
      </w:pPr>
      <w:rPr>
        <w:rFonts w:hint="default"/>
        <w:lang w:val="en-US" w:eastAsia="en-US" w:bidi="ar-SA"/>
      </w:rPr>
    </w:lvl>
    <w:lvl w:ilvl="6" w:tplc="2348ED62">
      <w:numFmt w:val="bullet"/>
      <w:lvlText w:val="•"/>
      <w:lvlJc w:val="left"/>
      <w:pPr>
        <w:ind w:left="4612" w:hanging="360"/>
      </w:pPr>
      <w:rPr>
        <w:rFonts w:hint="default"/>
        <w:lang w:val="en-US" w:eastAsia="en-US" w:bidi="ar-SA"/>
      </w:rPr>
    </w:lvl>
    <w:lvl w:ilvl="7" w:tplc="7C7284AC">
      <w:numFmt w:val="bullet"/>
      <w:lvlText w:val="•"/>
      <w:lvlJc w:val="left"/>
      <w:pPr>
        <w:ind w:left="5317" w:hanging="360"/>
      </w:pPr>
      <w:rPr>
        <w:rFonts w:hint="default"/>
        <w:lang w:val="en-US" w:eastAsia="en-US" w:bidi="ar-SA"/>
      </w:rPr>
    </w:lvl>
    <w:lvl w:ilvl="8" w:tplc="301AD2F8">
      <w:numFmt w:val="bullet"/>
      <w:lvlText w:val="•"/>
      <w:lvlJc w:val="left"/>
      <w:pPr>
        <w:ind w:left="6023" w:hanging="360"/>
      </w:pPr>
      <w:rPr>
        <w:rFonts w:hint="default"/>
        <w:lang w:val="en-US" w:eastAsia="en-US" w:bidi="ar-SA"/>
      </w:rPr>
    </w:lvl>
  </w:abstractNum>
  <w:abstractNum w:abstractNumId="13" w15:restartNumberingAfterBreak="0">
    <w:nsid w:val="0B8B04FB"/>
    <w:multiLevelType w:val="hybridMultilevel"/>
    <w:tmpl w:val="9AFAE02C"/>
    <w:lvl w:ilvl="0" w:tplc="7A8E2FF2">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AC20EB04">
      <w:numFmt w:val="bullet"/>
      <w:lvlText w:val="•"/>
      <w:lvlJc w:val="left"/>
      <w:pPr>
        <w:ind w:left="1085" w:hanging="360"/>
      </w:pPr>
      <w:rPr>
        <w:rFonts w:hint="default"/>
        <w:lang w:val="en-US" w:eastAsia="en-US" w:bidi="ar-SA"/>
      </w:rPr>
    </w:lvl>
    <w:lvl w:ilvl="2" w:tplc="97566BCE">
      <w:numFmt w:val="bullet"/>
      <w:lvlText w:val="•"/>
      <w:lvlJc w:val="left"/>
      <w:pPr>
        <w:ind w:left="1790" w:hanging="360"/>
      </w:pPr>
      <w:rPr>
        <w:rFonts w:hint="default"/>
        <w:lang w:val="en-US" w:eastAsia="en-US" w:bidi="ar-SA"/>
      </w:rPr>
    </w:lvl>
    <w:lvl w:ilvl="3" w:tplc="2D92C634">
      <w:numFmt w:val="bullet"/>
      <w:lvlText w:val="•"/>
      <w:lvlJc w:val="left"/>
      <w:pPr>
        <w:ind w:left="2496" w:hanging="360"/>
      </w:pPr>
      <w:rPr>
        <w:rFonts w:hint="default"/>
        <w:lang w:val="en-US" w:eastAsia="en-US" w:bidi="ar-SA"/>
      </w:rPr>
    </w:lvl>
    <w:lvl w:ilvl="4" w:tplc="6C5ED346">
      <w:numFmt w:val="bullet"/>
      <w:lvlText w:val="•"/>
      <w:lvlJc w:val="left"/>
      <w:pPr>
        <w:ind w:left="3201" w:hanging="360"/>
      </w:pPr>
      <w:rPr>
        <w:rFonts w:hint="default"/>
        <w:lang w:val="en-US" w:eastAsia="en-US" w:bidi="ar-SA"/>
      </w:rPr>
    </w:lvl>
    <w:lvl w:ilvl="5" w:tplc="CFB04EDA">
      <w:numFmt w:val="bullet"/>
      <w:lvlText w:val="•"/>
      <w:lvlJc w:val="left"/>
      <w:pPr>
        <w:ind w:left="3907" w:hanging="360"/>
      </w:pPr>
      <w:rPr>
        <w:rFonts w:hint="default"/>
        <w:lang w:val="en-US" w:eastAsia="en-US" w:bidi="ar-SA"/>
      </w:rPr>
    </w:lvl>
    <w:lvl w:ilvl="6" w:tplc="6D2471D8">
      <w:numFmt w:val="bullet"/>
      <w:lvlText w:val="•"/>
      <w:lvlJc w:val="left"/>
      <w:pPr>
        <w:ind w:left="4612" w:hanging="360"/>
      </w:pPr>
      <w:rPr>
        <w:rFonts w:hint="default"/>
        <w:lang w:val="en-US" w:eastAsia="en-US" w:bidi="ar-SA"/>
      </w:rPr>
    </w:lvl>
    <w:lvl w:ilvl="7" w:tplc="CB10C630">
      <w:numFmt w:val="bullet"/>
      <w:lvlText w:val="•"/>
      <w:lvlJc w:val="left"/>
      <w:pPr>
        <w:ind w:left="5317" w:hanging="360"/>
      </w:pPr>
      <w:rPr>
        <w:rFonts w:hint="default"/>
        <w:lang w:val="en-US" w:eastAsia="en-US" w:bidi="ar-SA"/>
      </w:rPr>
    </w:lvl>
    <w:lvl w:ilvl="8" w:tplc="A720F0AC">
      <w:numFmt w:val="bullet"/>
      <w:lvlText w:val="•"/>
      <w:lvlJc w:val="left"/>
      <w:pPr>
        <w:ind w:left="6023" w:hanging="360"/>
      </w:pPr>
      <w:rPr>
        <w:rFonts w:hint="default"/>
        <w:lang w:val="en-US" w:eastAsia="en-US" w:bidi="ar-SA"/>
      </w:rPr>
    </w:lvl>
  </w:abstractNum>
  <w:abstractNum w:abstractNumId="14" w15:restartNumberingAfterBreak="0">
    <w:nsid w:val="0BEF0CAD"/>
    <w:multiLevelType w:val="hybridMultilevel"/>
    <w:tmpl w:val="DCA07122"/>
    <w:lvl w:ilvl="0" w:tplc="9AB0C736">
      <w:numFmt w:val="bullet"/>
      <w:lvlText w:val=""/>
      <w:lvlJc w:val="left"/>
      <w:pPr>
        <w:ind w:left="823" w:hanging="425"/>
      </w:pPr>
      <w:rPr>
        <w:rFonts w:ascii="Symbol" w:eastAsia="Symbol" w:hAnsi="Symbol" w:cs="Symbol" w:hint="default"/>
        <w:w w:val="100"/>
        <w:lang w:val="en-US" w:eastAsia="en-US" w:bidi="ar-SA"/>
      </w:rPr>
    </w:lvl>
    <w:lvl w:ilvl="1" w:tplc="F780B5C4">
      <w:numFmt w:val="bullet"/>
      <w:lvlText w:val="•"/>
      <w:lvlJc w:val="left"/>
      <w:pPr>
        <w:ind w:left="1822" w:hanging="425"/>
      </w:pPr>
      <w:rPr>
        <w:rFonts w:hint="default"/>
        <w:lang w:val="en-US" w:eastAsia="en-US" w:bidi="ar-SA"/>
      </w:rPr>
    </w:lvl>
    <w:lvl w:ilvl="2" w:tplc="C6460A24">
      <w:numFmt w:val="bullet"/>
      <w:lvlText w:val="•"/>
      <w:lvlJc w:val="left"/>
      <w:pPr>
        <w:ind w:left="2824" w:hanging="425"/>
      </w:pPr>
      <w:rPr>
        <w:rFonts w:hint="default"/>
        <w:lang w:val="en-US" w:eastAsia="en-US" w:bidi="ar-SA"/>
      </w:rPr>
    </w:lvl>
    <w:lvl w:ilvl="3" w:tplc="7A245014">
      <w:numFmt w:val="bullet"/>
      <w:lvlText w:val="•"/>
      <w:lvlJc w:val="left"/>
      <w:pPr>
        <w:ind w:left="3827" w:hanging="425"/>
      </w:pPr>
      <w:rPr>
        <w:rFonts w:hint="default"/>
        <w:lang w:val="en-US" w:eastAsia="en-US" w:bidi="ar-SA"/>
      </w:rPr>
    </w:lvl>
    <w:lvl w:ilvl="4" w:tplc="7ACEACD2">
      <w:numFmt w:val="bullet"/>
      <w:lvlText w:val="•"/>
      <w:lvlJc w:val="left"/>
      <w:pPr>
        <w:ind w:left="4829" w:hanging="425"/>
      </w:pPr>
      <w:rPr>
        <w:rFonts w:hint="default"/>
        <w:lang w:val="en-US" w:eastAsia="en-US" w:bidi="ar-SA"/>
      </w:rPr>
    </w:lvl>
    <w:lvl w:ilvl="5" w:tplc="88F6CE7E">
      <w:numFmt w:val="bullet"/>
      <w:lvlText w:val="•"/>
      <w:lvlJc w:val="left"/>
      <w:pPr>
        <w:ind w:left="5832" w:hanging="425"/>
      </w:pPr>
      <w:rPr>
        <w:rFonts w:hint="default"/>
        <w:lang w:val="en-US" w:eastAsia="en-US" w:bidi="ar-SA"/>
      </w:rPr>
    </w:lvl>
    <w:lvl w:ilvl="6" w:tplc="534851CA">
      <w:numFmt w:val="bullet"/>
      <w:lvlText w:val="•"/>
      <w:lvlJc w:val="left"/>
      <w:pPr>
        <w:ind w:left="6834" w:hanging="425"/>
      </w:pPr>
      <w:rPr>
        <w:rFonts w:hint="default"/>
        <w:lang w:val="en-US" w:eastAsia="en-US" w:bidi="ar-SA"/>
      </w:rPr>
    </w:lvl>
    <w:lvl w:ilvl="7" w:tplc="2104D7E0">
      <w:numFmt w:val="bullet"/>
      <w:lvlText w:val="•"/>
      <w:lvlJc w:val="left"/>
      <w:pPr>
        <w:ind w:left="7837" w:hanging="425"/>
      </w:pPr>
      <w:rPr>
        <w:rFonts w:hint="default"/>
        <w:lang w:val="en-US" w:eastAsia="en-US" w:bidi="ar-SA"/>
      </w:rPr>
    </w:lvl>
    <w:lvl w:ilvl="8" w:tplc="46AA7F0A">
      <w:numFmt w:val="bullet"/>
      <w:lvlText w:val="•"/>
      <w:lvlJc w:val="left"/>
      <w:pPr>
        <w:ind w:left="8839" w:hanging="425"/>
      </w:pPr>
      <w:rPr>
        <w:rFonts w:hint="default"/>
        <w:lang w:val="en-US" w:eastAsia="en-US" w:bidi="ar-SA"/>
      </w:rPr>
    </w:lvl>
  </w:abstractNum>
  <w:abstractNum w:abstractNumId="15" w15:restartNumberingAfterBreak="0">
    <w:nsid w:val="0C27532E"/>
    <w:multiLevelType w:val="hybridMultilevel"/>
    <w:tmpl w:val="9132CF0E"/>
    <w:lvl w:ilvl="0" w:tplc="0458022C">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AEBAA876">
      <w:numFmt w:val="bullet"/>
      <w:lvlText w:val="•"/>
      <w:lvlJc w:val="left"/>
      <w:pPr>
        <w:ind w:left="1147" w:hanging="360"/>
      </w:pPr>
      <w:rPr>
        <w:rFonts w:hint="default"/>
        <w:lang w:val="en-US" w:eastAsia="en-US" w:bidi="ar-SA"/>
      </w:rPr>
    </w:lvl>
    <w:lvl w:ilvl="2" w:tplc="5D8C26CC">
      <w:numFmt w:val="bullet"/>
      <w:lvlText w:val="•"/>
      <w:lvlJc w:val="left"/>
      <w:pPr>
        <w:ind w:left="1835" w:hanging="360"/>
      </w:pPr>
      <w:rPr>
        <w:rFonts w:hint="default"/>
        <w:lang w:val="en-US" w:eastAsia="en-US" w:bidi="ar-SA"/>
      </w:rPr>
    </w:lvl>
    <w:lvl w:ilvl="3" w:tplc="B3E01800">
      <w:numFmt w:val="bullet"/>
      <w:lvlText w:val="•"/>
      <w:lvlJc w:val="left"/>
      <w:pPr>
        <w:ind w:left="2522" w:hanging="360"/>
      </w:pPr>
      <w:rPr>
        <w:rFonts w:hint="default"/>
        <w:lang w:val="en-US" w:eastAsia="en-US" w:bidi="ar-SA"/>
      </w:rPr>
    </w:lvl>
    <w:lvl w:ilvl="4" w:tplc="12E66CD4">
      <w:numFmt w:val="bullet"/>
      <w:lvlText w:val="•"/>
      <w:lvlJc w:val="left"/>
      <w:pPr>
        <w:ind w:left="3210" w:hanging="360"/>
      </w:pPr>
      <w:rPr>
        <w:rFonts w:hint="default"/>
        <w:lang w:val="en-US" w:eastAsia="en-US" w:bidi="ar-SA"/>
      </w:rPr>
    </w:lvl>
    <w:lvl w:ilvl="5" w:tplc="789C7CAA">
      <w:numFmt w:val="bullet"/>
      <w:lvlText w:val="•"/>
      <w:lvlJc w:val="left"/>
      <w:pPr>
        <w:ind w:left="3897" w:hanging="360"/>
      </w:pPr>
      <w:rPr>
        <w:rFonts w:hint="default"/>
        <w:lang w:val="en-US" w:eastAsia="en-US" w:bidi="ar-SA"/>
      </w:rPr>
    </w:lvl>
    <w:lvl w:ilvl="6" w:tplc="2C6460EA">
      <w:numFmt w:val="bullet"/>
      <w:lvlText w:val="•"/>
      <w:lvlJc w:val="left"/>
      <w:pPr>
        <w:ind w:left="4585" w:hanging="360"/>
      </w:pPr>
      <w:rPr>
        <w:rFonts w:hint="default"/>
        <w:lang w:val="en-US" w:eastAsia="en-US" w:bidi="ar-SA"/>
      </w:rPr>
    </w:lvl>
    <w:lvl w:ilvl="7" w:tplc="56568AA4">
      <w:numFmt w:val="bullet"/>
      <w:lvlText w:val="•"/>
      <w:lvlJc w:val="left"/>
      <w:pPr>
        <w:ind w:left="5272" w:hanging="360"/>
      </w:pPr>
      <w:rPr>
        <w:rFonts w:hint="default"/>
        <w:lang w:val="en-US" w:eastAsia="en-US" w:bidi="ar-SA"/>
      </w:rPr>
    </w:lvl>
    <w:lvl w:ilvl="8" w:tplc="33F6B570">
      <w:numFmt w:val="bullet"/>
      <w:lvlText w:val="•"/>
      <w:lvlJc w:val="left"/>
      <w:pPr>
        <w:ind w:left="5960" w:hanging="360"/>
      </w:pPr>
      <w:rPr>
        <w:rFonts w:hint="default"/>
        <w:lang w:val="en-US" w:eastAsia="en-US" w:bidi="ar-SA"/>
      </w:rPr>
    </w:lvl>
  </w:abstractNum>
  <w:abstractNum w:abstractNumId="16" w15:restartNumberingAfterBreak="0">
    <w:nsid w:val="0D4C4C8C"/>
    <w:multiLevelType w:val="hybridMultilevel"/>
    <w:tmpl w:val="CC4CF81C"/>
    <w:lvl w:ilvl="0" w:tplc="F404C22E">
      <w:numFmt w:val="bullet"/>
      <w:lvlText w:val=""/>
      <w:lvlJc w:val="left"/>
      <w:pPr>
        <w:ind w:left="827" w:hanging="358"/>
      </w:pPr>
      <w:rPr>
        <w:rFonts w:ascii="Symbol" w:eastAsia="Symbol" w:hAnsi="Symbol" w:cs="Symbol" w:hint="default"/>
        <w:w w:val="99"/>
        <w:lang w:val="en-US" w:eastAsia="en-US" w:bidi="ar-SA"/>
      </w:rPr>
    </w:lvl>
    <w:lvl w:ilvl="1" w:tplc="E9143E26">
      <w:numFmt w:val="bullet"/>
      <w:lvlText w:val="•"/>
      <w:lvlJc w:val="left"/>
      <w:pPr>
        <w:ind w:left="1822" w:hanging="358"/>
      </w:pPr>
      <w:rPr>
        <w:rFonts w:hint="default"/>
        <w:lang w:val="en-US" w:eastAsia="en-US" w:bidi="ar-SA"/>
      </w:rPr>
    </w:lvl>
    <w:lvl w:ilvl="2" w:tplc="8398D4A0">
      <w:numFmt w:val="bullet"/>
      <w:lvlText w:val="•"/>
      <w:lvlJc w:val="left"/>
      <w:pPr>
        <w:ind w:left="2824" w:hanging="358"/>
      </w:pPr>
      <w:rPr>
        <w:rFonts w:hint="default"/>
        <w:lang w:val="en-US" w:eastAsia="en-US" w:bidi="ar-SA"/>
      </w:rPr>
    </w:lvl>
    <w:lvl w:ilvl="3" w:tplc="BE8EF394">
      <w:numFmt w:val="bullet"/>
      <w:lvlText w:val="•"/>
      <w:lvlJc w:val="left"/>
      <w:pPr>
        <w:ind w:left="3827" w:hanging="358"/>
      </w:pPr>
      <w:rPr>
        <w:rFonts w:hint="default"/>
        <w:lang w:val="en-US" w:eastAsia="en-US" w:bidi="ar-SA"/>
      </w:rPr>
    </w:lvl>
    <w:lvl w:ilvl="4" w:tplc="142C5834">
      <w:numFmt w:val="bullet"/>
      <w:lvlText w:val="•"/>
      <w:lvlJc w:val="left"/>
      <w:pPr>
        <w:ind w:left="4829" w:hanging="358"/>
      </w:pPr>
      <w:rPr>
        <w:rFonts w:hint="default"/>
        <w:lang w:val="en-US" w:eastAsia="en-US" w:bidi="ar-SA"/>
      </w:rPr>
    </w:lvl>
    <w:lvl w:ilvl="5" w:tplc="39D03142">
      <w:numFmt w:val="bullet"/>
      <w:lvlText w:val="•"/>
      <w:lvlJc w:val="left"/>
      <w:pPr>
        <w:ind w:left="5832" w:hanging="358"/>
      </w:pPr>
      <w:rPr>
        <w:rFonts w:hint="default"/>
        <w:lang w:val="en-US" w:eastAsia="en-US" w:bidi="ar-SA"/>
      </w:rPr>
    </w:lvl>
    <w:lvl w:ilvl="6" w:tplc="38206D06">
      <w:numFmt w:val="bullet"/>
      <w:lvlText w:val="•"/>
      <w:lvlJc w:val="left"/>
      <w:pPr>
        <w:ind w:left="6834" w:hanging="358"/>
      </w:pPr>
      <w:rPr>
        <w:rFonts w:hint="default"/>
        <w:lang w:val="en-US" w:eastAsia="en-US" w:bidi="ar-SA"/>
      </w:rPr>
    </w:lvl>
    <w:lvl w:ilvl="7" w:tplc="08026E28">
      <w:numFmt w:val="bullet"/>
      <w:lvlText w:val="•"/>
      <w:lvlJc w:val="left"/>
      <w:pPr>
        <w:ind w:left="7837" w:hanging="358"/>
      </w:pPr>
      <w:rPr>
        <w:rFonts w:hint="default"/>
        <w:lang w:val="en-US" w:eastAsia="en-US" w:bidi="ar-SA"/>
      </w:rPr>
    </w:lvl>
    <w:lvl w:ilvl="8" w:tplc="7EE8F58C">
      <w:numFmt w:val="bullet"/>
      <w:lvlText w:val="•"/>
      <w:lvlJc w:val="left"/>
      <w:pPr>
        <w:ind w:left="8839" w:hanging="358"/>
      </w:pPr>
      <w:rPr>
        <w:rFonts w:hint="default"/>
        <w:lang w:val="en-US" w:eastAsia="en-US" w:bidi="ar-SA"/>
      </w:rPr>
    </w:lvl>
  </w:abstractNum>
  <w:abstractNum w:abstractNumId="17" w15:restartNumberingAfterBreak="0">
    <w:nsid w:val="0D6F1F2D"/>
    <w:multiLevelType w:val="hybridMultilevel"/>
    <w:tmpl w:val="5230896A"/>
    <w:lvl w:ilvl="0" w:tplc="491AF2F6">
      <w:start w:val="1"/>
      <w:numFmt w:val="decimal"/>
      <w:lvlText w:val="%1."/>
      <w:lvlJc w:val="left"/>
      <w:pPr>
        <w:ind w:left="1180" w:hanging="720"/>
        <w:jc w:val="left"/>
      </w:pPr>
      <w:rPr>
        <w:rFonts w:ascii="Calibri Light" w:eastAsia="Calibri Light" w:hAnsi="Calibri Light" w:cs="Calibri Light" w:hint="default"/>
        <w:b w:val="0"/>
        <w:bCs w:val="0"/>
        <w:i w:val="0"/>
        <w:iCs w:val="0"/>
        <w:w w:val="99"/>
        <w:sz w:val="22"/>
        <w:szCs w:val="22"/>
        <w:lang w:val="en-US" w:eastAsia="en-US" w:bidi="ar-SA"/>
      </w:rPr>
    </w:lvl>
    <w:lvl w:ilvl="1" w:tplc="86BC4060">
      <w:numFmt w:val="bullet"/>
      <w:lvlText w:val="•"/>
      <w:lvlJc w:val="left"/>
      <w:pPr>
        <w:ind w:left="2080" w:hanging="720"/>
      </w:pPr>
      <w:rPr>
        <w:rFonts w:hint="default"/>
        <w:lang w:val="en-US" w:eastAsia="en-US" w:bidi="ar-SA"/>
      </w:rPr>
    </w:lvl>
    <w:lvl w:ilvl="2" w:tplc="02E0AE34">
      <w:numFmt w:val="bullet"/>
      <w:lvlText w:val="•"/>
      <w:lvlJc w:val="left"/>
      <w:pPr>
        <w:ind w:left="2980" w:hanging="720"/>
      </w:pPr>
      <w:rPr>
        <w:rFonts w:hint="default"/>
        <w:lang w:val="en-US" w:eastAsia="en-US" w:bidi="ar-SA"/>
      </w:rPr>
    </w:lvl>
    <w:lvl w:ilvl="3" w:tplc="81503F8E">
      <w:numFmt w:val="bullet"/>
      <w:lvlText w:val="•"/>
      <w:lvlJc w:val="left"/>
      <w:pPr>
        <w:ind w:left="3881" w:hanging="720"/>
      </w:pPr>
      <w:rPr>
        <w:rFonts w:hint="default"/>
        <w:lang w:val="en-US" w:eastAsia="en-US" w:bidi="ar-SA"/>
      </w:rPr>
    </w:lvl>
    <w:lvl w:ilvl="4" w:tplc="9FD40574">
      <w:numFmt w:val="bullet"/>
      <w:lvlText w:val="•"/>
      <w:lvlJc w:val="left"/>
      <w:pPr>
        <w:ind w:left="4781" w:hanging="720"/>
      </w:pPr>
      <w:rPr>
        <w:rFonts w:hint="default"/>
        <w:lang w:val="en-US" w:eastAsia="en-US" w:bidi="ar-SA"/>
      </w:rPr>
    </w:lvl>
    <w:lvl w:ilvl="5" w:tplc="7D7CA4DA">
      <w:numFmt w:val="bullet"/>
      <w:lvlText w:val="•"/>
      <w:lvlJc w:val="left"/>
      <w:pPr>
        <w:ind w:left="5682" w:hanging="720"/>
      </w:pPr>
      <w:rPr>
        <w:rFonts w:hint="default"/>
        <w:lang w:val="en-US" w:eastAsia="en-US" w:bidi="ar-SA"/>
      </w:rPr>
    </w:lvl>
    <w:lvl w:ilvl="6" w:tplc="EA2E68C0">
      <w:numFmt w:val="bullet"/>
      <w:lvlText w:val="•"/>
      <w:lvlJc w:val="left"/>
      <w:pPr>
        <w:ind w:left="6582" w:hanging="720"/>
      </w:pPr>
      <w:rPr>
        <w:rFonts w:hint="default"/>
        <w:lang w:val="en-US" w:eastAsia="en-US" w:bidi="ar-SA"/>
      </w:rPr>
    </w:lvl>
    <w:lvl w:ilvl="7" w:tplc="1D1E8562">
      <w:numFmt w:val="bullet"/>
      <w:lvlText w:val="•"/>
      <w:lvlJc w:val="left"/>
      <w:pPr>
        <w:ind w:left="7483" w:hanging="720"/>
      </w:pPr>
      <w:rPr>
        <w:rFonts w:hint="default"/>
        <w:lang w:val="en-US" w:eastAsia="en-US" w:bidi="ar-SA"/>
      </w:rPr>
    </w:lvl>
    <w:lvl w:ilvl="8" w:tplc="993E6A28">
      <w:numFmt w:val="bullet"/>
      <w:lvlText w:val="•"/>
      <w:lvlJc w:val="left"/>
      <w:pPr>
        <w:ind w:left="8383" w:hanging="720"/>
      </w:pPr>
      <w:rPr>
        <w:rFonts w:hint="default"/>
        <w:lang w:val="en-US" w:eastAsia="en-US" w:bidi="ar-SA"/>
      </w:rPr>
    </w:lvl>
  </w:abstractNum>
  <w:abstractNum w:abstractNumId="18" w15:restartNumberingAfterBreak="0">
    <w:nsid w:val="0EB9760C"/>
    <w:multiLevelType w:val="hybridMultilevel"/>
    <w:tmpl w:val="D51890B8"/>
    <w:lvl w:ilvl="0" w:tplc="5DACEF88">
      <w:numFmt w:val="bullet"/>
      <w:lvlText w:val=""/>
      <w:lvlJc w:val="left"/>
      <w:pPr>
        <w:ind w:left="427" w:hanging="284"/>
      </w:pPr>
      <w:rPr>
        <w:rFonts w:ascii="Symbol" w:eastAsia="Symbol" w:hAnsi="Symbol" w:cs="Symbol" w:hint="default"/>
        <w:b w:val="0"/>
        <w:bCs w:val="0"/>
        <w:i w:val="0"/>
        <w:iCs w:val="0"/>
        <w:w w:val="100"/>
        <w:sz w:val="18"/>
        <w:szCs w:val="18"/>
        <w:lang w:val="en-US" w:eastAsia="en-US" w:bidi="ar-SA"/>
      </w:rPr>
    </w:lvl>
    <w:lvl w:ilvl="1" w:tplc="EDF208F2">
      <w:numFmt w:val="bullet"/>
      <w:lvlText w:val="•"/>
      <w:lvlJc w:val="left"/>
      <w:pPr>
        <w:ind w:left="744" w:hanging="284"/>
      </w:pPr>
      <w:rPr>
        <w:rFonts w:hint="default"/>
        <w:lang w:val="en-US" w:eastAsia="en-US" w:bidi="ar-SA"/>
      </w:rPr>
    </w:lvl>
    <w:lvl w:ilvl="2" w:tplc="70920B24">
      <w:numFmt w:val="bullet"/>
      <w:lvlText w:val="•"/>
      <w:lvlJc w:val="left"/>
      <w:pPr>
        <w:ind w:left="1068" w:hanging="284"/>
      </w:pPr>
      <w:rPr>
        <w:rFonts w:hint="default"/>
        <w:lang w:val="en-US" w:eastAsia="en-US" w:bidi="ar-SA"/>
      </w:rPr>
    </w:lvl>
    <w:lvl w:ilvl="3" w:tplc="C4AA415E">
      <w:numFmt w:val="bullet"/>
      <w:lvlText w:val="•"/>
      <w:lvlJc w:val="left"/>
      <w:pPr>
        <w:ind w:left="1392" w:hanging="284"/>
      </w:pPr>
      <w:rPr>
        <w:rFonts w:hint="default"/>
        <w:lang w:val="en-US" w:eastAsia="en-US" w:bidi="ar-SA"/>
      </w:rPr>
    </w:lvl>
    <w:lvl w:ilvl="4" w:tplc="00061F2A">
      <w:numFmt w:val="bullet"/>
      <w:lvlText w:val="•"/>
      <w:lvlJc w:val="left"/>
      <w:pPr>
        <w:ind w:left="1716" w:hanging="284"/>
      </w:pPr>
      <w:rPr>
        <w:rFonts w:hint="default"/>
        <w:lang w:val="en-US" w:eastAsia="en-US" w:bidi="ar-SA"/>
      </w:rPr>
    </w:lvl>
    <w:lvl w:ilvl="5" w:tplc="FF8C481C">
      <w:numFmt w:val="bullet"/>
      <w:lvlText w:val="•"/>
      <w:lvlJc w:val="left"/>
      <w:pPr>
        <w:ind w:left="2040" w:hanging="284"/>
      </w:pPr>
      <w:rPr>
        <w:rFonts w:hint="default"/>
        <w:lang w:val="en-US" w:eastAsia="en-US" w:bidi="ar-SA"/>
      </w:rPr>
    </w:lvl>
    <w:lvl w:ilvl="6" w:tplc="E986665A">
      <w:numFmt w:val="bullet"/>
      <w:lvlText w:val="•"/>
      <w:lvlJc w:val="left"/>
      <w:pPr>
        <w:ind w:left="2364" w:hanging="284"/>
      </w:pPr>
      <w:rPr>
        <w:rFonts w:hint="default"/>
        <w:lang w:val="en-US" w:eastAsia="en-US" w:bidi="ar-SA"/>
      </w:rPr>
    </w:lvl>
    <w:lvl w:ilvl="7" w:tplc="1AF0DB1A">
      <w:numFmt w:val="bullet"/>
      <w:lvlText w:val="•"/>
      <w:lvlJc w:val="left"/>
      <w:pPr>
        <w:ind w:left="2688" w:hanging="284"/>
      </w:pPr>
      <w:rPr>
        <w:rFonts w:hint="default"/>
        <w:lang w:val="en-US" w:eastAsia="en-US" w:bidi="ar-SA"/>
      </w:rPr>
    </w:lvl>
    <w:lvl w:ilvl="8" w:tplc="092AE436">
      <w:numFmt w:val="bullet"/>
      <w:lvlText w:val="•"/>
      <w:lvlJc w:val="left"/>
      <w:pPr>
        <w:ind w:left="3012" w:hanging="284"/>
      </w:pPr>
      <w:rPr>
        <w:rFonts w:hint="default"/>
        <w:lang w:val="en-US" w:eastAsia="en-US" w:bidi="ar-SA"/>
      </w:rPr>
    </w:lvl>
  </w:abstractNum>
  <w:abstractNum w:abstractNumId="19" w15:restartNumberingAfterBreak="0">
    <w:nsid w:val="10CE68FE"/>
    <w:multiLevelType w:val="hybridMultilevel"/>
    <w:tmpl w:val="32BA9046"/>
    <w:lvl w:ilvl="0" w:tplc="4B0C874C">
      <w:numFmt w:val="bullet"/>
      <w:lvlText w:val=""/>
      <w:lvlJc w:val="left"/>
      <w:pPr>
        <w:ind w:left="375" w:hanging="358"/>
      </w:pPr>
      <w:rPr>
        <w:rFonts w:ascii="Symbol" w:eastAsia="Symbol" w:hAnsi="Symbol" w:cs="Symbol" w:hint="default"/>
        <w:b w:val="0"/>
        <w:bCs w:val="0"/>
        <w:i w:val="0"/>
        <w:iCs w:val="0"/>
        <w:w w:val="100"/>
        <w:sz w:val="18"/>
        <w:szCs w:val="18"/>
        <w:lang w:val="en-US" w:eastAsia="en-US" w:bidi="ar-SA"/>
      </w:rPr>
    </w:lvl>
    <w:lvl w:ilvl="1" w:tplc="EA30C00E">
      <w:numFmt w:val="bullet"/>
      <w:lvlText w:val="•"/>
      <w:lvlJc w:val="left"/>
      <w:pPr>
        <w:ind w:left="1085" w:hanging="358"/>
      </w:pPr>
      <w:rPr>
        <w:rFonts w:hint="default"/>
        <w:lang w:val="en-US" w:eastAsia="en-US" w:bidi="ar-SA"/>
      </w:rPr>
    </w:lvl>
    <w:lvl w:ilvl="2" w:tplc="49E43BE2">
      <w:numFmt w:val="bullet"/>
      <w:lvlText w:val="•"/>
      <w:lvlJc w:val="left"/>
      <w:pPr>
        <w:ind w:left="1790" w:hanging="358"/>
      </w:pPr>
      <w:rPr>
        <w:rFonts w:hint="default"/>
        <w:lang w:val="en-US" w:eastAsia="en-US" w:bidi="ar-SA"/>
      </w:rPr>
    </w:lvl>
    <w:lvl w:ilvl="3" w:tplc="AD6ECF24">
      <w:numFmt w:val="bullet"/>
      <w:lvlText w:val="•"/>
      <w:lvlJc w:val="left"/>
      <w:pPr>
        <w:ind w:left="2496" w:hanging="358"/>
      </w:pPr>
      <w:rPr>
        <w:rFonts w:hint="default"/>
        <w:lang w:val="en-US" w:eastAsia="en-US" w:bidi="ar-SA"/>
      </w:rPr>
    </w:lvl>
    <w:lvl w:ilvl="4" w:tplc="0D9A154C">
      <w:numFmt w:val="bullet"/>
      <w:lvlText w:val="•"/>
      <w:lvlJc w:val="left"/>
      <w:pPr>
        <w:ind w:left="3201" w:hanging="358"/>
      </w:pPr>
      <w:rPr>
        <w:rFonts w:hint="default"/>
        <w:lang w:val="en-US" w:eastAsia="en-US" w:bidi="ar-SA"/>
      </w:rPr>
    </w:lvl>
    <w:lvl w:ilvl="5" w:tplc="8CF88604">
      <w:numFmt w:val="bullet"/>
      <w:lvlText w:val="•"/>
      <w:lvlJc w:val="left"/>
      <w:pPr>
        <w:ind w:left="3907" w:hanging="358"/>
      </w:pPr>
      <w:rPr>
        <w:rFonts w:hint="default"/>
        <w:lang w:val="en-US" w:eastAsia="en-US" w:bidi="ar-SA"/>
      </w:rPr>
    </w:lvl>
    <w:lvl w:ilvl="6" w:tplc="D96A600A">
      <w:numFmt w:val="bullet"/>
      <w:lvlText w:val="•"/>
      <w:lvlJc w:val="left"/>
      <w:pPr>
        <w:ind w:left="4612" w:hanging="358"/>
      </w:pPr>
      <w:rPr>
        <w:rFonts w:hint="default"/>
        <w:lang w:val="en-US" w:eastAsia="en-US" w:bidi="ar-SA"/>
      </w:rPr>
    </w:lvl>
    <w:lvl w:ilvl="7" w:tplc="D2022B1E">
      <w:numFmt w:val="bullet"/>
      <w:lvlText w:val="•"/>
      <w:lvlJc w:val="left"/>
      <w:pPr>
        <w:ind w:left="5317" w:hanging="358"/>
      </w:pPr>
      <w:rPr>
        <w:rFonts w:hint="default"/>
        <w:lang w:val="en-US" w:eastAsia="en-US" w:bidi="ar-SA"/>
      </w:rPr>
    </w:lvl>
    <w:lvl w:ilvl="8" w:tplc="9BF21C04">
      <w:numFmt w:val="bullet"/>
      <w:lvlText w:val="•"/>
      <w:lvlJc w:val="left"/>
      <w:pPr>
        <w:ind w:left="6023" w:hanging="358"/>
      </w:pPr>
      <w:rPr>
        <w:rFonts w:hint="default"/>
        <w:lang w:val="en-US" w:eastAsia="en-US" w:bidi="ar-SA"/>
      </w:rPr>
    </w:lvl>
  </w:abstractNum>
  <w:abstractNum w:abstractNumId="20" w15:restartNumberingAfterBreak="0">
    <w:nsid w:val="11103C78"/>
    <w:multiLevelType w:val="hybridMultilevel"/>
    <w:tmpl w:val="EC762FAA"/>
    <w:lvl w:ilvl="0" w:tplc="108415E6">
      <w:numFmt w:val="bullet"/>
      <w:lvlText w:val=""/>
      <w:lvlJc w:val="left"/>
      <w:pPr>
        <w:ind w:left="1053" w:hanging="360"/>
      </w:pPr>
      <w:rPr>
        <w:rFonts w:ascii="Symbol" w:eastAsia="Symbol" w:hAnsi="Symbol" w:cs="Symbol" w:hint="default"/>
        <w:b w:val="0"/>
        <w:bCs w:val="0"/>
        <w:i w:val="0"/>
        <w:iCs w:val="0"/>
        <w:w w:val="99"/>
        <w:sz w:val="22"/>
        <w:szCs w:val="22"/>
        <w:lang w:val="en-US" w:eastAsia="en-US" w:bidi="ar-SA"/>
      </w:rPr>
    </w:lvl>
    <w:lvl w:ilvl="1" w:tplc="5692B964">
      <w:numFmt w:val="bullet"/>
      <w:lvlText w:val="•"/>
      <w:lvlJc w:val="left"/>
      <w:pPr>
        <w:ind w:left="2012" w:hanging="360"/>
      </w:pPr>
      <w:rPr>
        <w:rFonts w:hint="default"/>
        <w:lang w:val="en-US" w:eastAsia="en-US" w:bidi="ar-SA"/>
      </w:rPr>
    </w:lvl>
    <w:lvl w:ilvl="2" w:tplc="C1848D50">
      <w:numFmt w:val="bullet"/>
      <w:lvlText w:val="•"/>
      <w:lvlJc w:val="left"/>
      <w:pPr>
        <w:ind w:left="2964" w:hanging="360"/>
      </w:pPr>
      <w:rPr>
        <w:rFonts w:hint="default"/>
        <w:lang w:val="en-US" w:eastAsia="en-US" w:bidi="ar-SA"/>
      </w:rPr>
    </w:lvl>
    <w:lvl w:ilvl="3" w:tplc="9976EFE6">
      <w:numFmt w:val="bullet"/>
      <w:lvlText w:val="•"/>
      <w:lvlJc w:val="left"/>
      <w:pPr>
        <w:ind w:left="3917" w:hanging="360"/>
      </w:pPr>
      <w:rPr>
        <w:rFonts w:hint="default"/>
        <w:lang w:val="en-US" w:eastAsia="en-US" w:bidi="ar-SA"/>
      </w:rPr>
    </w:lvl>
    <w:lvl w:ilvl="4" w:tplc="EB362E7C">
      <w:numFmt w:val="bullet"/>
      <w:lvlText w:val="•"/>
      <w:lvlJc w:val="left"/>
      <w:pPr>
        <w:ind w:left="4869" w:hanging="360"/>
      </w:pPr>
      <w:rPr>
        <w:rFonts w:hint="default"/>
        <w:lang w:val="en-US" w:eastAsia="en-US" w:bidi="ar-SA"/>
      </w:rPr>
    </w:lvl>
    <w:lvl w:ilvl="5" w:tplc="9B86F8B8">
      <w:numFmt w:val="bullet"/>
      <w:lvlText w:val="•"/>
      <w:lvlJc w:val="left"/>
      <w:pPr>
        <w:ind w:left="5822" w:hanging="360"/>
      </w:pPr>
      <w:rPr>
        <w:rFonts w:hint="default"/>
        <w:lang w:val="en-US" w:eastAsia="en-US" w:bidi="ar-SA"/>
      </w:rPr>
    </w:lvl>
    <w:lvl w:ilvl="6" w:tplc="2EF6FE38">
      <w:numFmt w:val="bullet"/>
      <w:lvlText w:val="•"/>
      <w:lvlJc w:val="left"/>
      <w:pPr>
        <w:ind w:left="6774" w:hanging="360"/>
      </w:pPr>
      <w:rPr>
        <w:rFonts w:hint="default"/>
        <w:lang w:val="en-US" w:eastAsia="en-US" w:bidi="ar-SA"/>
      </w:rPr>
    </w:lvl>
    <w:lvl w:ilvl="7" w:tplc="71380268">
      <w:numFmt w:val="bullet"/>
      <w:lvlText w:val="•"/>
      <w:lvlJc w:val="left"/>
      <w:pPr>
        <w:ind w:left="7727" w:hanging="360"/>
      </w:pPr>
      <w:rPr>
        <w:rFonts w:hint="default"/>
        <w:lang w:val="en-US" w:eastAsia="en-US" w:bidi="ar-SA"/>
      </w:rPr>
    </w:lvl>
    <w:lvl w:ilvl="8" w:tplc="ADF40ED2">
      <w:numFmt w:val="bullet"/>
      <w:lvlText w:val="•"/>
      <w:lvlJc w:val="left"/>
      <w:pPr>
        <w:ind w:left="8679" w:hanging="360"/>
      </w:pPr>
      <w:rPr>
        <w:rFonts w:hint="default"/>
        <w:lang w:val="en-US" w:eastAsia="en-US" w:bidi="ar-SA"/>
      </w:rPr>
    </w:lvl>
  </w:abstractNum>
  <w:abstractNum w:abstractNumId="21" w15:restartNumberingAfterBreak="0">
    <w:nsid w:val="1165032C"/>
    <w:multiLevelType w:val="hybridMultilevel"/>
    <w:tmpl w:val="D222FF66"/>
    <w:lvl w:ilvl="0" w:tplc="77B6E44E">
      <w:numFmt w:val="bullet"/>
      <w:lvlText w:val=""/>
      <w:lvlJc w:val="left"/>
      <w:pPr>
        <w:ind w:left="412" w:hanging="358"/>
      </w:pPr>
      <w:rPr>
        <w:rFonts w:ascii="Symbol" w:eastAsia="Symbol" w:hAnsi="Symbol" w:cs="Symbol" w:hint="default"/>
        <w:b w:val="0"/>
        <w:bCs w:val="0"/>
        <w:i w:val="0"/>
        <w:iCs w:val="0"/>
        <w:w w:val="100"/>
        <w:sz w:val="18"/>
        <w:szCs w:val="18"/>
        <w:lang w:val="en-US" w:eastAsia="en-US" w:bidi="ar-SA"/>
      </w:rPr>
    </w:lvl>
    <w:lvl w:ilvl="1" w:tplc="3EB4FBF2">
      <w:numFmt w:val="bullet"/>
      <w:lvlText w:val="•"/>
      <w:lvlJc w:val="left"/>
      <w:pPr>
        <w:ind w:left="1121" w:hanging="358"/>
      </w:pPr>
      <w:rPr>
        <w:rFonts w:hint="default"/>
        <w:lang w:val="en-US" w:eastAsia="en-US" w:bidi="ar-SA"/>
      </w:rPr>
    </w:lvl>
    <w:lvl w:ilvl="2" w:tplc="20245A6C">
      <w:numFmt w:val="bullet"/>
      <w:lvlText w:val="•"/>
      <w:lvlJc w:val="left"/>
      <w:pPr>
        <w:ind w:left="1822" w:hanging="358"/>
      </w:pPr>
      <w:rPr>
        <w:rFonts w:hint="default"/>
        <w:lang w:val="en-US" w:eastAsia="en-US" w:bidi="ar-SA"/>
      </w:rPr>
    </w:lvl>
    <w:lvl w:ilvl="3" w:tplc="68945486">
      <w:numFmt w:val="bullet"/>
      <w:lvlText w:val="•"/>
      <w:lvlJc w:val="left"/>
      <w:pPr>
        <w:ind w:left="2524" w:hanging="358"/>
      </w:pPr>
      <w:rPr>
        <w:rFonts w:hint="default"/>
        <w:lang w:val="en-US" w:eastAsia="en-US" w:bidi="ar-SA"/>
      </w:rPr>
    </w:lvl>
    <w:lvl w:ilvl="4" w:tplc="045446A6">
      <w:numFmt w:val="bullet"/>
      <w:lvlText w:val="•"/>
      <w:lvlJc w:val="left"/>
      <w:pPr>
        <w:ind w:left="3225" w:hanging="358"/>
      </w:pPr>
      <w:rPr>
        <w:rFonts w:hint="default"/>
        <w:lang w:val="en-US" w:eastAsia="en-US" w:bidi="ar-SA"/>
      </w:rPr>
    </w:lvl>
    <w:lvl w:ilvl="5" w:tplc="C7EE81E6">
      <w:numFmt w:val="bullet"/>
      <w:lvlText w:val="•"/>
      <w:lvlJc w:val="left"/>
      <w:pPr>
        <w:ind w:left="3927" w:hanging="358"/>
      </w:pPr>
      <w:rPr>
        <w:rFonts w:hint="default"/>
        <w:lang w:val="en-US" w:eastAsia="en-US" w:bidi="ar-SA"/>
      </w:rPr>
    </w:lvl>
    <w:lvl w:ilvl="6" w:tplc="DFA69446">
      <w:numFmt w:val="bullet"/>
      <w:lvlText w:val="•"/>
      <w:lvlJc w:val="left"/>
      <w:pPr>
        <w:ind w:left="4628" w:hanging="358"/>
      </w:pPr>
      <w:rPr>
        <w:rFonts w:hint="default"/>
        <w:lang w:val="en-US" w:eastAsia="en-US" w:bidi="ar-SA"/>
      </w:rPr>
    </w:lvl>
    <w:lvl w:ilvl="7" w:tplc="B0BEFCF2">
      <w:numFmt w:val="bullet"/>
      <w:lvlText w:val="•"/>
      <w:lvlJc w:val="left"/>
      <w:pPr>
        <w:ind w:left="5329" w:hanging="358"/>
      </w:pPr>
      <w:rPr>
        <w:rFonts w:hint="default"/>
        <w:lang w:val="en-US" w:eastAsia="en-US" w:bidi="ar-SA"/>
      </w:rPr>
    </w:lvl>
    <w:lvl w:ilvl="8" w:tplc="7C0C3CDE">
      <w:numFmt w:val="bullet"/>
      <w:lvlText w:val="•"/>
      <w:lvlJc w:val="left"/>
      <w:pPr>
        <w:ind w:left="6031" w:hanging="358"/>
      </w:pPr>
      <w:rPr>
        <w:rFonts w:hint="default"/>
        <w:lang w:val="en-US" w:eastAsia="en-US" w:bidi="ar-SA"/>
      </w:rPr>
    </w:lvl>
  </w:abstractNum>
  <w:abstractNum w:abstractNumId="22" w15:restartNumberingAfterBreak="0">
    <w:nsid w:val="121D27C7"/>
    <w:multiLevelType w:val="hybridMultilevel"/>
    <w:tmpl w:val="59E05302"/>
    <w:lvl w:ilvl="0" w:tplc="FB6E5A42">
      <w:numFmt w:val="bullet"/>
      <w:lvlText w:val=""/>
      <w:lvlJc w:val="left"/>
      <w:pPr>
        <w:ind w:left="828" w:hanging="358"/>
      </w:pPr>
      <w:rPr>
        <w:rFonts w:ascii="Symbol" w:eastAsia="Symbol" w:hAnsi="Symbol" w:cs="Symbol" w:hint="default"/>
        <w:w w:val="99"/>
        <w:lang w:val="en-US" w:eastAsia="en-US" w:bidi="ar-SA"/>
      </w:rPr>
    </w:lvl>
    <w:lvl w:ilvl="1" w:tplc="04E085E4">
      <w:numFmt w:val="bullet"/>
      <w:lvlText w:val="•"/>
      <w:lvlJc w:val="left"/>
      <w:pPr>
        <w:ind w:left="1822" w:hanging="358"/>
      </w:pPr>
      <w:rPr>
        <w:rFonts w:hint="default"/>
        <w:lang w:val="en-US" w:eastAsia="en-US" w:bidi="ar-SA"/>
      </w:rPr>
    </w:lvl>
    <w:lvl w:ilvl="2" w:tplc="21623906">
      <w:numFmt w:val="bullet"/>
      <w:lvlText w:val="•"/>
      <w:lvlJc w:val="left"/>
      <w:pPr>
        <w:ind w:left="2824" w:hanging="358"/>
      </w:pPr>
      <w:rPr>
        <w:rFonts w:hint="default"/>
        <w:lang w:val="en-US" w:eastAsia="en-US" w:bidi="ar-SA"/>
      </w:rPr>
    </w:lvl>
    <w:lvl w:ilvl="3" w:tplc="1B0E659C">
      <w:numFmt w:val="bullet"/>
      <w:lvlText w:val="•"/>
      <w:lvlJc w:val="left"/>
      <w:pPr>
        <w:ind w:left="3827" w:hanging="358"/>
      </w:pPr>
      <w:rPr>
        <w:rFonts w:hint="default"/>
        <w:lang w:val="en-US" w:eastAsia="en-US" w:bidi="ar-SA"/>
      </w:rPr>
    </w:lvl>
    <w:lvl w:ilvl="4" w:tplc="728842DA">
      <w:numFmt w:val="bullet"/>
      <w:lvlText w:val="•"/>
      <w:lvlJc w:val="left"/>
      <w:pPr>
        <w:ind w:left="4829" w:hanging="358"/>
      </w:pPr>
      <w:rPr>
        <w:rFonts w:hint="default"/>
        <w:lang w:val="en-US" w:eastAsia="en-US" w:bidi="ar-SA"/>
      </w:rPr>
    </w:lvl>
    <w:lvl w:ilvl="5" w:tplc="0CD21F68">
      <w:numFmt w:val="bullet"/>
      <w:lvlText w:val="•"/>
      <w:lvlJc w:val="left"/>
      <w:pPr>
        <w:ind w:left="5832" w:hanging="358"/>
      </w:pPr>
      <w:rPr>
        <w:rFonts w:hint="default"/>
        <w:lang w:val="en-US" w:eastAsia="en-US" w:bidi="ar-SA"/>
      </w:rPr>
    </w:lvl>
    <w:lvl w:ilvl="6" w:tplc="431AD342">
      <w:numFmt w:val="bullet"/>
      <w:lvlText w:val="•"/>
      <w:lvlJc w:val="left"/>
      <w:pPr>
        <w:ind w:left="6834" w:hanging="358"/>
      </w:pPr>
      <w:rPr>
        <w:rFonts w:hint="default"/>
        <w:lang w:val="en-US" w:eastAsia="en-US" w:bidi="ar-SA"/>
      </w:rPr>
    </w:lvl>
    <w:lvl w:ilvl="7" w:tplc="21B46D2C">
      <w:numFmt w:val="bullet"/>
      <w:lvlText w:val="•"/>
      <w:lvlJc w:val="left"/>
      <w:pPr>
        <w:ind w:left="7837" w:hanging="358"/>
      </w:pPr>
      <w:rPr>
        <w:rFonts w:hint="default"/>
        <w:lang w:val="en-US" w:eastAsia="en-US" w:bidi="ar-SA"/>
      </w:rPr>
    </w:lvl>
    <w:lvl w:ilvl="8" w:tplc="C10C8504">
      <w:numFmt w:val="bullet"/>
      <w:lvlText w:val="•"/>
      <w:lvlJc w:val="left"/>
      <w:pPr>
        <w:ind w:left="8839" w:hanging="358"/>
      </w:pPr>
      <w:rPr>
        <w:rFonts w:hint="default"/>
        <w:lang w:val="en-US" w:eastAsia="en-US" w:bidi="ar-SA"/>
      </w:rPr>
    </w:lvl>
  </w:abstractNum>
  <w:abstractNum w:abstractNumId="23" w15:restartNumberingAfterBreak="0">
    <w:nsid w:val="12E476CB"/>
    <w:multiLevelType w:val="hybridMultilevel"/>
    <w:tmpl w:val="43A463F4"/>
    <w:lvl w:ilvl="0" w:tplc="123497D0">
      <w:numFmt w:val="bullet"/>
      <w:lvlText w:val=""/>
      <w:lvlJc w:val="left"/>
      <w:pPr>
        <w:ind w:left="828" w:hanging="358"/>
      </w:pPr>
      <w:rPr>
        <w:rFonts w:ascii="Symbol" w:eastAsia="Symbol" w:hAnsi="Symbol" w:cs="Symbol" w:hint="default"/>
        <w:b w:val="0"/>
        <w:bCs w:val="0"/>
        <w:i w:val="0"/>
        <w:iCs w:val="0"/>
        <w:w w:val="99"/>
        <w:sz w:val="22"/>
        <w:szCs w:val="22"/>
        <w:lang w:val="en-US" w:eastAsia="en-US" w:bidi="ar-SA"/>
      </w:rPr>
    </w:lvl>
    <w:lvl w:ilvl="1" w:tplc="99CCA2FA">
      <w:numFmt w:val="bullet"/>
      <w:lvlText w:val="•"/>
      <w:lvlJc w:val="left"/>
      <w:pPr>
        <w:ind w:left="1822" w:hanging="358"/>
      </w:pPr>
      <w:rPr>
        <w:rFonts w:hint="default"/>
        <w:lang w:val="en-US" w:eastAsia="en-US" w:bidi="ar-SA"/>
      </w:rPr>
    </w:lvl>
    <w:lvl w:ilvl="2" w:tplc="C674FCCC">
      <w:numFmt w:val="bullet"/>
      <w:lvlText w:val="•"/>
      <w:lvlJc w:val="left"/>
      <w:pPr>
        <w:ind w:left="2824" w:hanging="358"/>
      </w:pPr>
      <w:rPr>
        <w:rFonts w:hint="default"/>
        <w:lang w:val="en-US" w:eastAsia="en-US" w:bidi="ar-SA"/>
      </w:rPr>
    </w:lvl>
    <w:lvl w:ilvl="3" w:tplc="B62A2044">
      <w:numFmt w:val="bullet"/>
      <w:lvlText w:val="•"/>
      <w:lvlJc w:val="left"/>
      <w:pPr>
        <w:ind w:left="3827" w:hanging="358"/>
      </w:pPr>
      <w:rPr>
        <w:rFonts w:hint="default"/>
        <w:lang w:val="en-US" w:eastAsia="en-US" w:bidi="ar-SA"/>
      </w:rPr>
    </w:lvl>
    <w:lvl w:ilvl="4" w:tplc="5806567C">
      <w:numFmt w:val="bullet"/>
      <w:lvlText w:val="•"/>
      <w:lvlJc w:val="left"/>
      <w:pPr>
        <w:ind w:left="4829" w:hanging="358"/>
      </w:pPr>
      <w:rPr>
        <w:rFonts w:hint="default"/>
        <w:lang w:val="en-US" w:eastAsia="en-US" w:bidi="ar-SA"/>
      </w:rPr>
    </w:lvl>
    <w:lvl w:ilvl="5" w:tplc="6CF8EB70">
      <w:numFmt w:val="bullet"/>
      <w:lvlText w:val="•"/>
      <w:lvlJc w:val="left"/>
      <w:pPr>
        <w:ind w:left="5832" w:hanging="358"/>
      </w:pPr>
      <w:rPr>
        <w:rFonts w:hint="default"/>
        <w:lang w:val="en-US" w:eastAsia="en-US" w:bidi="ar-SA"/>
      </w:rPr>
    </w:lvl>
    <w:lvl w:ilvl="6" w:tplc="B7026444">
      <w:numFmt w:val="bullet"/>
      <w:lvlText w:val="•"/>
      <w:lvlJc w:val="left"/>
      <w:pPr>
        <w:ind w:left="6834" w:hanging="358"/>
      </w:pPr>
      <w:rPr>
        <w:rFonts w:hint="default"/>
        <w:lang w:val="en-US" w:eastAsia="en-US" w:bidi="ar-SA"/>
      </w:rPr>
    </w:lvl>
    <w:lvl w:ilvl="7" w:tplc="E6561170">
      <w:numFmt w:val="bullet"/>
      <w:lvlText w:val="•"/>
      <w:lvlJc w:val="left"/>
      <w:pPr>
        <w:ind w:left="7837" w:hanging="358"/>
      </w:pPr>
      <w:rPr>
        <w:rFonts w:hint="default"/>
        <w:lang w:val="en-US" w:eastAsia="en-US" w:bidi="ar-SA"/>
      </w:rPr>
    </w:lvl>
    <w:lvl w:ilvl="8" w:tplc="5A38B058">
      <w:numFmt w:val="bullet"/>
      <w:lvlText w:val="•"/>
      <w:lvlJc w:val="left"/>
      <w:pPr>
        <w:ind w:left="8839" w:hanging="358"/>
      </w:pPr>
      <w:rPr>
        <w:rFonts w:hint="default"/>
        <w:lang w:val="en-US" w:eastAsia="en-US" w:bidi="ar-SA"/>
      </w:rPr>
    </w:lvl>
  </w:abstractNum>
  <w:abstractNum w:abstractNumId="24" w15:restartNumberingAfterBreak="0">
    <w:nsid w:val="139C71C4"/>
    <w:multiLevelType w:val="hybridMultilevel"/>
    <w:tmpl w:val="697E71C0"/>
    <w:lvl w:ilvl="0" w:tplc="436636C6">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C9541148">
      <w:numFmt w:val="bullet"/>
      <w:lvlText w:val="•"/>
      <w:lvlJc w:val="left"/>
      <w:pPr>
        <w:ind w:left="1085" w:hanging="360"/>
      </w:pPr>
      <w:rPr>
        <w:rFonts w:hint="default"/>
        <w:lang w:val="en-US" w:eastAsia="en-US" w:bidi="ar-SA"/>
      </w:rPr>
    </w:lvl>
    <w:lvl w:ilvl="2" w:tplc="6824BB94">
      <w:numFmt w:val="bullet"/>
      <w:lvlText w:val="•"/>
      <w:lvlJc w:val="left"/>
      <w:pPr>
        <w:ind w:left="1790" w:hanging="360"/>
      </w:pPr>
      <w:rPr>
        <w:rFonts w:hint="default"/>
        <w:lang w:val="en-US" w:eastAsia="en-US" w:bidi="ar-SA"/>
      </w:rPr>
    </w:lvl>
    <w:lvl w:ilvl="3" w:tplc="BFFE0AE2">
      <w:numFmt w:val="bullet"/>
      <w:lvlText w:val="•"/>
      <w:lvlJc w:val="left"/>
      <w:pPr>
        <w:ind w:left="2496" w:hanging="360"/>
      </w:pPr>
      <w:rPr>
        <w:rFonts w:hint="default"/>
        <w:lang w:val="en-US" w:eastAsia="en-US" w:bidi="ar-SA"/>
      </w:rPr>
    </w:lvl>
    <w:lvl w:ilvl="4" w:tplc="BD3E6786">
      <w:numFmt w:val="bullet"/>
      <w:lvlText w:val="•"/>
      <w:lvlJc w:val="left"/>
      <w:pPr>
        <w:ind w:left="3201" w:hanging="360"/>
      </w:pPr>
      <w:rPr>
        <w:rFonts w:hint="default"/>
        <w:lang w:val="en-US" w:eastAsia="en-US" w:bidi="ar-SA"/>
      </w:rPr>
    </w:lvl>
    <w:lvl w:ilvl="5" w:tplc="13A6325E">
      <w:numFmt w:val="bullet"/>
      <w:lvlText w:val="•"/>
      <w:lvlJc w:val="left"/>
      <w:pPr>
        <w:ind w:left="3907" w:hanging="360"/>
      </w:pPr>
      <w:rPr>
        <w:rFonts w:hint="default"/>
        <w:lang w:val="en-US" w:eastAsia="en-US" w:bidi="ar-SA"/>
      </w:rPr>
    </w:lvl>
    <w:lvl w:ilvl="6" w:tplc="99BEA740">
      <w:numFmt w:val="bullet"/>
      <w:lvlText w:val="•"/>
      <w:lvlJc w:val="left"/>
      <w:pPr>
        <w:ind w:left="4612" w:hanging="360"/>
      </w:pPr>
      <w:rPr>
        <w:rFonts w:hint="default"/>
        <w:lang w:val="en-US" w:eastAsia="en-US" w:bidi="ar-SA"/>
      </w:rPr>
    </w:lvl>
    <w:lvl w:ilvl="7" w:tplc="B694F792">
      <w:numFmt w:val="bullet"/>
      <w:lvlText w:val="•"/>
      <w:lvlJc w:val="left"/>
      <w:pPr>
        <w:ind w:left="5317" w:hanging="360"/>
      </w:pPr>
      <w:rPr>
        <w:rFonts w:hint="default"/>
        <w:lang w:val="en-US" w:eastAsia="en-US" w:bidi="ar-SA"/>
      </w:rPr>
    </w:lvl>
    <w:lvl w:ilvl="8" w:tplc="5B40371C">
      <w:numFmt w:val="bullet"/>
      <w:lvlText w:val="•"/>
      <w:lvlJc w:val="left"/>
      <w:pPr>
        <w:ind w:left="6023" w:hanging="360"/>
      </w:pPr>
      <w:rPr>
        <w:rFonts w:hint="default"/>
        <w:lang w:val="en-US" w:eastAsia="en-US" w:bidi="ar-SA"/>
      </w:rPr>
    </w:lvl>
  </w:abstractNum>
  <w:abstractNum w:abstractNumId="25" w15:restartNumberingAfterBreak="0">
    <w:nsid w:val="13B1296A"/>
    <w:multiLevelType w:val="hybridMultilevel"/>
    <w:tmpl w:val="1BDE9D22"/>
    <w:lvl w:ilvl="0" w:tplc="B0728D0E">
      <w:numFmt w:val="bullet"/>
      <w:lvlText w:val=""/>
      <w:lvlJc w:val="left"/>
      <w:pPr>
        <w:ind w:left="412" w:hanging="360"/>
      </w:pPr>
      <w:rPr>
        <w:rFonts w:ascii="Symbol" w:eastAsia="Symbol" w:hAnsi="Symbol" w:cs="Symbol" w:hint="default"/>
        <w:b w:val="0"/>
        <w:bCs w:val="0"/>
        <w:i w:val="0"/>
        <w:iCs w:val="0"/>
        <w:w w:val="100"/>
        <w:sz w:val="18"/>
        <w:szCs w:val="18"/>
        <w:lang w:val="en-US" w:eastAsia="en-US" w:bidi="ar-SA"/>
      </w:rPr>
    </w:lvl>
    <w:lvl w:ilvl="1" w:tplc="B58415BE">
      <w:numFmt w:val="bullet"/>
      <w:lvlText w:val="•"/>
      <w:lvlJc w:val="left"/>
      <w:pPr>
        <w:ind w:left="1121" w:hanging="360"/>
      </w:pPr>
      <w:rPr>
        <w:rFonts w:hint="default"/>
        <w:lang w:val="en-US" w:eastAsia="en-US" w:bidi="ar-SA"/>
      </w:rPr>
    </w:lvl>
    <w:lvl w:ilvl="2" w:tplc="8E7CB2EC">
      <w:numFmt w:val="bullet"/>
      <w:lvlText w:val="•"/>
      <w:lvlJc w:val="left"/>
      <w:pPr>
        <w:ind w:left="1822" w:hanging="360"/>
      </w:pPr>
      <w:rPr>
        <w:rFonts w:hint="default"/>
        <w:lang w:val="en-US" w:eastAsia="en-US" w:bidi="ar-SA"/>
      </w:rPr>
    </w:lvl>
    <w:lvl w:ilvl="3" w:tplc="8AD47468">
      <w:numFmt w:val="bullet"/>
      <w:lvlText w:val="•"/>
      <w:lvlJc w:val="left"/>
      <w:pPr>
        <w:ind w:left="2524" w:hanging="360"/>
      </w:pPr>
      <w:rPr>
        <w:rFonts w:hint="default"/>
        <w:lang w:val="en-US" w:eastAsia="en-US" w:bidi="ar-SA"/>
      </w:rPr>
    </w:lvl>
    <w:lvl w:ilvl="4" w:tplc="305A521E">
      <w:numFmt w:val="bullet"/>
      <w:lvlText w:val="•"/>
      <w:lvlJc w:val="left"/>
      <w:pPr>
        <w:ind w:left="3225" w:hanging="360"/>
      </w:pPr>
      <w:rPr>
        <w:rFonts w:hint="default"/>
        <w:lang w:val="en-US" w:eastAsia="en-US" w:bidi="ar-SA"/>
      </w:rPr>
    </w:lvl>
    <w:lvl w:ilvl="5" w:tplc="DFA6A62C">
      <w:numFmt w:val="bullet"/>
      <w:lvlText w:val="•"/>
      <w:lvlJc w:val="left"/>
      <w:pPr>
        <w:ind w:left="3927" w:hanging="360"/>
      </w:pPr>
      <w:rPr>
        <w:rFonts w:hint="default"/>
        <w:lang w:val="en-US" w:eastAsia="en-US" w:bidi="ar-SA"/>
      </w:rPr>
    </w:lvl>
    <w:lvl w:ilvl="6" w:tplc="91B20198">
      <w:numFmt w:val="bullet"/>
      <w:lvlText w:val="•"/>
      <w:lvlJc w:val="left"/>
      <w:pPr>
        <w:ind w:left="4628" w:hanging="360"/>
      </w:pPr>
      <w:rPr>
        <w:rFonts w:hint="default"/>
        <w:lang w:val="en-US" w:eastAsia="en-US" w:bidi="ar-SA"/>
      </w:rPr>
    </w:lvl>
    <w:lvl w:ilvl="7" w:tplc="A0CC2D4E">
      <w:numFmt w:val="bullet"/>
      <w:lvlText w:val="•"/>
      <w:lvlJc w:val="left"/>
      <w:pPr>
        <w:ind w:left="5329" w:hanging="360"/>
      </w:pPr>
      <w:rPr>
        <w:rFonts w:hint="default"/>
        <w:lang w:val="en-US" w:eastAsia="en-US" w:bidi="ar-SA"/>
      </w:rPr>
    </w:lvl>
    <w:lvl w:ilvl="8" w:tplc="6DD4F6CC">
      <w:numFmt w:val="bullet"/>
      <w:lvlText w:val="•"/>
      <w:lvlJc w:val="left"/>
      <w:pPr>
        <w:ind w:left="6031" w:hanging="360"/>
      </w:pPr>
      <w:rPr>
        <w:rFonts w:hint="default"/>
        <w:lang w:val="en-US" w:eastAsia="en-US" w:bidi="ar-SA"/>
      </w:rPr>
    </w:lvl>
  </w:abstractNum>
  <w:abstractNum w:abstractNumId="26" w15:restartNumberingAfterBreak="0">
    <w:nsid w:val="14AA0285"/>
    <w:multiLevelType w:val="hybridMultilevel"/>
    <w:tmpl w:val="9C66909C"/>
    <w:lvl w:ilvl="0" w:tplc="184C99B4">
      <w:numFmt w:val="bullet"/>
      <w:lvlText w:val=""/>
      <w:lvlJc w:val="left"/>
      <w:pPr>
        <w:ind w:left="827" w:hanging="358"/>
      </w:pPr>
      <w:rPr>
        <w:rFonts w:ascii="Symbol" w:eastAsia="Symbol" w:hAnsi="Symbol" w:cs="Symbol" w:hint="default"/>
        <w:b w:val="0"/>
        <w:bCs w:val="0"/>
        <w:i w:val="0"/>
        <w:iCs w:val="0"/>
        <w:w w:val="99"/>
        <w:sz w:val="22"/>
        <w:szCs w:val="22"/>
        <w:lang w:val="en-US" w:eastAsia="en-US" w:bidi="ar-SA"/>
      </w:rPr>
    </w:lvl>
    <w:lvl w:ilvl="1" w:tplc="00A4DA02">
      <w:numFmt w:val="bullet"/>
      <w:lvlText w:val="•"/>
      <w:lvlJc w:val="left"/>
      <w:pPr>
        <w:ind w:left="1822" w:hanging="358"/>
      </w:pPr>
      <w:rPr>
        <w:rFonts w:hint="default"/>
        <w:lang w:val="en-US" w:eastAsia="en-US" w:bidi="ar-SA"/>
      </w:rPr>
    </w:lvl>
    <w:lvl w:ilvl="2" w:tplc="22BA9AA8">
      <w:numFmt w:val="bullet"/>
      <w:lvlText w:val="•"/>
      <w:lvlJc w:val="left"/>
      <w:pPr>
        <w:ind w:left="2824" w:hanging="358"/>
      </w:pPr>
      <w:rPr>
        <w:rFonts w:hint="default"/>
        <w:lang w:val="en-US" w:eastAsia="en-US" w:bidi="ar-SA"/>
      </w:rPr>
    </w:lvl>
    <w:lvl w:ilvl="3" w:tplc="C846AFA4">
      <w:numFmt w:val="bullet"/>
      <w:lvlText w:val="•"/>
      <w:lvlJc w:val="left"/>
      <w:pPr>
        <w:ind w:left="3827" w:hanging="358"/>
      </w:pPr>
      <w:rPr>
        <w:rFonts w:hint="default"/>
        <w:lang w:val="en-US" w:eastAsia="en-US" w:bidi="ar-SA"/>
      </w:rPr>
    </w:lvl>
    <w:lvl w:ilvl="4" w:tplc="B31EFD6A">
      <w:numFmt w:val="bullet"/>
      <w:lvlText w:val="•"/>
      <w:lvlJc w:val="left"/>
      <w:pPr>
        <w:ind w:left="4829" w:hanging="358"/>
      </w:pPr>
      <w:rPr>
        <w:rFonts w:hint="default"/>
        <w:lang w:val="en-US" w:eastAsia="en-US" w:bidi="ar-SA"/>
      </w:rPr>
    </w:lvl>
    <w:lvl w:ilvl="5" w:tplc="7CAA0F2A">
      <w:numFmt w:val="bullet"/>
      <w:lvlText w:val="•"/>
      <w:lvlJc w:val="left"/>
      <w:pPr>
        <w:ind w:left="5832" w:hanging="358"/>
      </w:pPr>
      <w:rPr>
        <w:rFonts w:hint="default"/>
        <w:lang w:val="en-US" w:eastAsia="en-US" w:bidi="ar-SA"/>
      </w:rPr>
    </w:lvl>
    <w:lvl w:ilvl="6" w:tplc="04A460DA">
      <w:numFmt w:val="bullet"/>
      <w:lvlText w:val="•"/>
      <w:lvlJc w:val="left"/>
      <w:pPr>
        <w:ind w:left="6834" w:hanging="358"/>
      </w:pPr>
      <w:rPr>
        <w:rFonts w:hint="default"/>
        <w:lang w:val="en-US" w:eastAsia="en-US" w:bidi="ar-SA"/>
      </w:rPr>
    </w:lvl>
    <w:lvl w:ilvl="7" w:tplc="0BE499C2">
      <w:numFmt w:val="bullet"/>
      <w:lvlText w:val="•"/>
      <w:lvlJc w:val="left"/>
      <w:pPr>
        <w:ind w:left="7837" w:hanging="358"/>
      </w:pPr>
      <w:rPr>
        <w:rFonts w:hint="default"/>
        <w:lang w:val="en-US" w:eastAsia="en-US" w:bidi="ar-SA"/>
      </w:rPr>
    </w:lvl>
    <w:lvl w:ilvl="8" w:tplc="4E9E7CD2">
      <w:numFmt w:val="bullet"/>
      <w:lvlText w:val="•"/>
      <w:lvlJc w:val="left"/>
      <w:pPr>
        <w:ind w:left="8839" w:hanging="358"/>
      </w:pPr>
      <w:rPr>
        <w:rFonts w:hint="default"/>
        <w:lang w:val="en-US" w:eastAsia="en-US" w:bidi="ar-SA"/>
      </w:rPr>
    </w:lvl>
  </w:abstractNum>
  <w:abstractNum w:abstractNumId="27" w15:restartNumberingAfterBreak="0">
    <w:nsid w:val="14CF0ABD"/>
    <w:multiLevelType w:val="hybridMultilevel"/>
    <w:tmpl w:val="28F82E7C"/>
    <w:lvl w:ilvl="0" w:tplc="93965E08">
      <w:numFmt w:val="bullet"/>
      <w:lvlText w:val=""/>
      <w:lvlJc w:val="left"/>
      <w:pPr>
        <w:ind w:left="448" w:hanging="360"/>
      </w:pPr>
      <w:rPr>
        <w:rFonts w:ascii="Symbol" w:eastAsia="Symbol" w:hAnsi="Symbol" w:cs="Symbol" w:hint="default"/>
        <w:b w:val="0"/>
        <w:bCs w:val="0"/>
        <w:i w:val="0"/>
        <w:iCs w:val="0"/>
        <w:w w:val="100"/>
        <w:sz w:val="18"/>
        <w:szCs w:val="18"/>
        <w:lang w:val="en-US" w:eastAsia="en-US" w:bidi="ar-SA"/>
      </w:rPr>
    </w:lvl>
    <w:lvl w:ilvl="1" w:tplc="CCB6DD56">
      <w:numFmt w:val="bullet"/>
      <w:lvlText w:val="•"/>
      <w:lvlJc w:val="left"/>
      <w:pPr>
        <w:ind w:left="622" w:hanging="360"/>
      </w:pPr>
      <w:rPr>
        <w:rFonts w:hint="default"/>
        <w:lang w:val="en-US" w:eastAsia="en-US" w:bidi="ar-SA"/>
      </w:rPr>
    </w:lvl>
    <w:lvl w:ilvl="2" w:tplc="B0BEE96E">
      <w:numFmt w:val="bullet"/>
      <w:lvlText w:val="•"/>
      <w:lvlJc w:val="left"/>
      <w:pPr>
        <w:ind w:left="805" w:hanging="360"/>
      </w:pPr>
      <w:rPr>
        <w:rFonts w:hint="default"/>
        <w:lang w:val="en-US" w:eastAsia="en-US" w:bidi="ar-SA"/>
      </w:rPr>
    </w:lvl>
    <w:lvl w:ilvl="3" w:tplc="B36A7386">
      <w:numFmt w:val="bullet"/>
      <w:lvlText w:val="•"/>
      <w:lvlJc w:val="left"/>
      <w:pPr>
        <w:ind w:left="988" w:hanging="360"/>
      </w:pPr>
      <w:rPr>
        <w:rFonts w:hint="default"/>
        <w:lang w:val="en-US" w:eastAsia="en-US" w:bidi="ar-SA"/>
      </w:rPr>
    </w:lvl>
    <w:lvl w:ilvl="4" w:tplc="53C2CCA0">
      <w:numFmt w:val="bullet"/>
      <w:lvlText w:val="•"/>
      <w:lvlJc w:val="left"/>
      <w:pPr>
        <w:ind w:left="1170" w:hanging="360"/>
      </w:pPr>
      <w:rPr>
        <w:rFonts w:hint="default"/>
        <w:lang w:val="en-US" w:eastAsia="en-US" w:bidi="ar-SA"/>
      </w:rPr>
    </w:lvl>
    <w:lvl w:ilvl="5" w:tplc="A1B4EC9A">
      <w:numFmt w:val="bullet"/>
      <w:lvlText w:val="•"/>
      <w:lvlJc w:val="left"/>
      <w:pPr>
        <w:ind w:left="1353" w:hanging="360"/>
      </w:pPr>
      <w:rPr>
        <w:rFonts w:hint="default"/>
        <w:lang w:val="en-US" w:eastAsia="en-US" w:bidi="ar-SA"/>
      </w:rPr>
    </w:lvl>
    <w:lvl w:ilvl="6" w:tplc="73D07F0C">
      <w:numFmt w:val="bullet"/>
      <w:lvlText w:val="•"/>
      <w:lvlJc w:val="left"/>
      <w:pPr>
        <w:ind w:left="1536" w:hanging="360"/>
      </w:pPr>
      <w:rPr>
        <w:rFonts w:hint="default"/>
        <w:lang w:val="en-US" w:eastAsia="en-US" w:bidi="ar-SA"/>
      </w:rPr>
    </w:lvl>
    <w:lvl w:ilvl="7" w:tplc="50808CB8">
      <w:numFmt w:val="bullet"/>
      <w:lvlText w:val="•"/>
      <w:lvlJc w:val="left"/>
      <w:pPr>
        <w:ind w:left="1718" w:hanging="360"/>
      </w:pPr>
      <w:rPr>
        <w:rFonts w:hint="default"/>
        <w:lang w:val="en-US" w:eastAsia="en-US" w:bidi="ar-SA"/>
      </w:rPr>
    </w:lvl>
    <w:lvl w:ilvl="8" w:tplc="0004DC54">
      <w:numFmt w:val="bullet"/>
      <w:lvlText w:val="•"/>
      <w:lvlJc w:val="left"/>
      <w:pPr>
        <w:ind w:left="1901" w:hanging="360"/>
      </w:pPr>
      <w:rPr>
        <w:rFonts w:hint="default"/>
        <w:lang w:val="en-US" w:eastAsia="en-US" w:bidi="ar-SA"/>
      </w:rPr>
    </w:lvl>
  </w:abstractNum>
  <w:abstractNum w:abstractNumId="28" w15:restartNumberingAfterBreak="0">
    <w:nsid w:val="16CF3805"/>
    <w:multiLevelType w:val="hybridMultilevel"/>
    <w:tmpl w:val="8F309714"/>
    <w:lvl w:ilvl="0" w:tplc="6FDCCBF8">
      <w:numFmt w:val="bullet"/>
      <w:lvlText w:val=""/>
      <w:lvlJc w:val="left"/>
      <w:pPr>
        <w:ind w:left="823" w:hanging="425"/>
      </w:pPr>
      <w:rPr>
        <w:rFonts w:ascii="Symbol" w:eastAsia="Symbol" w:hAnsi="Symbol" w:cs="Symbol" w:hint="default"/>
        <w:w w:val="100"/>
        <w:lang w:val="en-US" w:eastAsia="en-US" w:bidi="ar-SA"/>
      </w:rPr>
    </w:lvl>
    <w:lvl w:ilvl="1" w:tplc="68EECD76">
      <w:numFmt w:val="bullet"/>
      <w:lvlText w:val="o"/>
      <w:lvlJc w:val="left"/>
      <w:pPr>
        <w:ind w:left="1389" w:hanging="425"/>
      </w:pPr>
      <w:rPr>
        <w:rFonts w:ascii="Courier New" w:eastAsia="Courier New" w:hAnsi="Courier New" w:cs="Courier New" w:hint="default"/>
        <w:b w:val="0"/>
        <w:bCs w:val="0"/>
        <w:i w:val="0"/>
        <w:iCs w:val="0"/>
        <w:w w:val="100"/>
        <w:sz w:val="24"/>
        <w:szCs w:val="24"/>
        <w:lang w:val="en-US" w:eastAsia="en-US" w:bidi="ar-SA"/>
      </w:rPr>
    </w:lvl>
    <w:lvl w:ilvl="2" w:tplc="CE46D338">
      <w:numFmt w:val="bullet"/>
      <w:lvlText w:val="•"/>
      <w:lvlJc w:val="left"/>
      <w:pPr>
        <w:ind w:left="2431" w:hanging="425"/>
      </w:pPr>
      <w:rPr>
        <w:rFonts w:hint="default"/>
        <w:lang w:val="en-US" w:eastAsia="en-US" w:bidi="ar-SA"/>
      </w:rPr>
    </w:lvl>
    <w:lvl w:ilvl="3" w:tplc="99783D36">
      <w:numFmt w:val="bullet"/>
      <w:lvlText w:val="•"/>
      <w:lvlJc w:val="left"/>
      <w:pPr>
        <w:ind w:left="3483" w:hanging="425"/>
      </w:pPr>
      <w:rPr>
        <w:rFonts w:hint="default"/>
        <w:lang w:val="en-US" w:eastAsia="en-US" w:bidi="ar-SA"/>
      </w:rPr>
    </w:lvl>
    <w:lvl w:ilvl="4" w:tplc="8C645D2A">
      <w:numFmt w:val="bullet"/>
      <w:lvlText w:val="•"/>
      <w:lvlJc w:val="left"/>
      <w:pPr>
        <w:ind w:left="4534" w:hanging="425"/>
      </w:pPr>
      <w:rPr>
        <w:rFonts w:hint="default"/>
        <w:lang w:val="en-US" w:eastAsia="en-US" w:bidi="ar-SA"/>
      </w:rPr>
    </w:lvl>
    <w:lvl w:ilvl="5" w:tplc="882A1A96">
      <w:numFmt w:val="bullet"/>
      <w:lvlText w:val="•"/>
      <w:lvlJc w:val="left"/>
      <w:pPr>
        <w:ind w:left="5586" w:hanging="425"/>
      </w:pPr>
      <w:rPr>
        <w:rFonts w:hint="default"/>
        <w:lang w:val="en-US" w:eastAsia="en-US" w:bidi="ar-SA"/>
      </w:rPr>
    </w:lvl>
    <w:lvl w:ilvl="6" w:tplc="5E8C7EAC">
      <w:numFmt w:val="bullet"/>
      <w:lvlText w:val="•"/>
      <w:lvlJc w:val="left"/>
      <w:pPr>
        <w:ind w:left="6638" w:hanging="425"/>
      </w:pPr>
      <w:rPr>
        <w:rFonts w:hint="default"/>
        <w:lang w:val="en-US" w:eastAsia="en-US" w:bidi="ar-SA"/>
      </w:rPr>
    </w:lvl>
    <w:lvl w:ilvl="7" w:tplc="0074BD98">
      <w:numFmt w:val="bullet"/>
      <w:lvlText w:val="•"/>
      <w:lvlJc w:val="left"/>
      <w:pPr>
        <w:ind w:left="7689" w:hanging="425"/>
      </w:pPr>
      <w:rPr>
        <w:rFonts w:hint="default"/>
        <w:lang w:val="en-US" w:eastAsia="en-US" w:bidi="ar-SA"/>
      </w:rPr>
    </w:lvl>
    <w:lvl w:ilvl="8" w:tplc="DF22CC48">
      <w:numFmt w:val="bullet"/>
      <w:lvlText w:val="•"/>
      <w:lvlJc w:val="left"/>
      <w:pPr>
        <w:ind w:left="8741" w:hanging="425"/>
      </w:pPr>
      <w:rPr>
        <w:rFonts w:hint="default"/>
        <w:lang w:val="en-US" w:eastAsia="en-US" w:bidi="ar-SA"/>
      </w:rPr>
    </w:lvl>
  </w:abstractNum>
  <w:abstractNum w:abstractNumId="29" w15:restartNumberingAfterBreak="0">
    <w:nsid w:val="17D904FA"/>
    <w:multiLevelType w:val="hybridMultilevel"/>
    <w:tmpl w:val="275EA8B0"/>
    <w:lvl w:ilvl="0" w:tplc="F4D09A4A">
      <w:numFmt w:val="bullet"/>
      <w:lvlText w:val=""/>
      <w:lvlJc w:val="left"/>
      <w:pPr>
        <w:ind w:left="448" w:hanging="360"/>
      </w:pPr>
      <w:rPr>
        <w:rFonts w:ascii="Symbol" w:eastAsia="Symbol" w:hAnsi="Symbol" w:cs="Symbol" w:hint="default"/>
        <w:b w:val="0"/>
        <w:bCs w:val="0"/>
        <w:i w:val="0"/>
        <w:iCs w:val="0"/>
        <w:w w:val="100"/>
        <w:sz w:val="18"/>
        <w:szCs w:val="18"/>
        <w:lang w:val="en-US" w:eastAsia="en-US" w:bidi="ar-SA"/>
      </w:rPr>
    </w:lvl>
    <w:lvl w:ilvl="1" w:tplc="96641EB0">
      <w:numFmt w:val="bullet"/>
      <w:lvlText w:val="•"/>
      <w:lvlJc w:val="left"/>
      <w:pPr>
        <w:ind w:left="622" w:hanging="360"/>
      </w:pPr>
      <w:rPr>
        <w:rFonts w:hint="default"/>
        <w:lang w:val="en-US" w:eastAsia="en-US" w:bidi="ar-SA"/>
      </w:rPr>
    </w:lvl>
    <w:lvl w:ilvl="2" w:tplc="B180032C">
      <w:numFmt w:val="bullet"/>
      <w:lvlText w:val="•"/>
      <w:lvlJc w:val="left"/>
      <w:pPr>
        <w:ind w:left="805" w:hanging="360"/>
      </w:pPr>
      <w:rPr>
        <w:rFonts w:hint="default"/>
        <w:lang w:val="en-US" w:eastAsia="en-US" w:bidi="ar-SA"/>
      </w:rPr>
    </w:lvl>
    <w:lvl w:ilvl="3" w:tplc="0EA8C0E6">
      <w:numFmt w:val="bullet"/>
      <w:lvlText w:val="•"/>
      <w:lvlJc w:val="left"/>
      <w:pPr>
        <w:ind w:left="988" w:hanging="360"/>
      </w:pPr>
      <w:rPr>
        <w:rFonts w:hint="default"/>
        <w:lang w:val="en-US" w:eastAsia="en-US" w:bidi="ar-SA"/>
      </w:rPr>
    </w:lvl>
    <w:lvl w:ilvl="4" w:tplc="DEFCFECC">
      <w:numFmt w:val="bullet"/>
      <w:lvlText w:val="•"/>
      <w:lvlJc w:val="left"/>
      <w:pPr>
        <w:ind w:left="1170" w:hanging="360"/>
      </w:pPr>
      <w:rPr>
        <w:rFonts w:hint="default"/>
        <w:lang w:val="en-US" w:eastAsia="en-US" w:bidi="ar-SA"/>
      </w:rPr>
    </w:lvl>
    <w:lvl w:ilvl="5" w:tplc="943AFDB8">
      <w:numFmt w:val="bullet"/>
      <w:lvlText w:val="•"/>
      <w:lvlJc w:val="left"/>
      <w:pPr>
        <w:ind w:left="1353" w:hanging="360"/>
      </w:pPr>
      <w:rPr>
        <w:rFonts w:hint="default"/>
        <w:lang w:val="en-US" w:eastAsia="en-US" w:bidi="ar-SA"/>
      </w:rPr>
    </w:lvl>
    <w:lvl w:ilvl="6" w:tplc="278230D8">
      <w:numFmt w:val="bullet"/>
      <w:lvlText w:val="•"/>
      <w:lvlJc w:val="left"/>
      <w:pPr>
        <w:ind w:left="1536" w:hanging="360"/>
      </w:pPr>
      <w:rPr>
        <w:rFonts w:hint="default"/>
        <w:lang w:val="en-US" w:eastAsia="en-US" w:bidi="ar-SA"/>
      </w:rPr>
    </w:lvl>
    <w:lvl w:ilvl="7" w:tplc="2F82DD9C">
      <w:numFmt w:val="bullet"/>
      <w:lvlText w:val="•"/>
      <w:lvlJc w:val="left"/>
      <w:pPr>
        <w:ind w:left="1718" w:hanging="360"/>
      </w:pPr>
      <w:rPr>
        <w:rFonts w:hint="default"/>
        <w:lang w:val="en-US" w:eastAsia="en-US" w:bidi="ar-SA"/>
      </w:rPr>
    </w:lvl>
    <w:lvl w:ilvl="8" w:tplc="3412FE2A">
      <w:numFmt w:val="bullet"/>
      <w:lvlText w:val="•"/>
      <w:lvlJc w:val="left"/>
      <w:pPr>
        <w:ind w:left="1901" w:hanging="360"/>
      </w:pPr>
      <w:rPr>
        <w:rFonts w:hint="default"/>
        <w:lang w:val="en-US" w:eastAsia="en-US" w:bidi="ar-SA"/>
      </w:rPr>
    </w:lvl>
  </w:abstractNum>
  <w:abstractNum w:abstractNumId="30" w15:restartNumberingAfterBreak="0">
    <w:nsid w:val="184F40A2"/>
    <w:multiLevelType w:val="hybridMultilevel"/>
    <w:tmpl w:val="7F08F766"/>
    <w:lvl w:ilvl="0" w:tplc="8AD21E62">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E5266030">
      <w:numFmt w:val="bullet"/>
      <w:lvlText w:val="•"/>
      <w:lvlJc w:val="left"/>
      <w:pPr>
        <w:ind w:left="1147" w:hanging="360"/>
      </w:pPr>
      <w:rPr>
        <w:rFonts w:hint="default"/>
        <w:lang w:val="en-US" w:eastAsia="en-US" w:bidi="ar-SA"/>
      </w:rPr>
    </w:lvl>
    <w:lvl w:ilvl="2" w:tplc="73144198">
      <w:numFmt w:val="bullet"/>
      <w:lvlText w:val="•"/>
      <w:lvlJc w:val="left"/>
      <w:pPr>
        <w:ind w:left="1835" w:hanging="360"/>
      </w:pPr>
      <w:rPr>
        <w:rFonts w:hint="default"/>
        <w:lang w:val="en-US" w:eastAsia="en-US" w:bidi="ar-SA"/>
      </w:rPr>
    </w:lvl>
    <w:lvl w:ilvl="3" w:tplc="DA440C40">
      <w:numFmt w:val="bullet"/>
      <w:lvlText w:val="•"/>
      <w:lvlJc w:val="left"/>
      <w:pPr>
        <w:ind w:left="2522" w:hanging="360"/>
      </w:pPr>
      <w:rPr>
        <w:rFonts w:hint="default"/>
        <w:lang w:val="en-US" w:eastAsia="en-US" w:bidi="ar-SA"/>
      </w:rPr>
    </w:lvl>
    <w:lvl w:ilvl="4" w:tplc="3C1663E4">
      <w:numFmt w:val="bullet"/>
      <w:lvlText w:val="•"/>
      <w:lvlJc w:val="left"/>
      <w:pPr>
        <w:ind w:left="3210" w:hanging="360"/>
      </w:pPr>
      <w:rPr>
        <w:rFonts w:hint="default"/>
        <w:lang w:val="en-US" w:eastAsia="en-US" w:bidi="ar-SA"/>
      </w:rPr>
    </w:lvl>
    <w:lvl w:ilvl="5" w:tplc="B2E23DEC">
      <w:numFmt w:val="bullet"/>
      <w:lvlText w:val="•"/>
      <w:lvlJc w:val="left"/>
      <w:pPr>
        <w:ind w:left="3897" w:hanging="360"/>
      </w:pPr>
      <w:rPr>
        <w:rFonts w:hint="default"/>
        <w:lang w:val="en-US" w:eastAsia="en-US" w:bidi="ar-SA"/>
      </w:rPr>
    </w:lvl>
    <w:lvl w:ilvl="6" w:tplc="DF86CB4A">
      <w:numFmt w:val="bullet"/>
      <w:lvlText w:val="•"/>
      <w:lvlJc w:val="left"/>
      <w:pPr>
        <w:ind w:left="4585" w:hanging="360"/>
      </w:pPr>
      <w:rPr>
        <w:rFonts w:hint="default"/>
        <w:lang w:val="en-US" w:eastAsia="en-US" w:bidi="ar-SA"/>
      </w:rPr>
    </w:lvl>
    <w:lvl w:ilvl="7" w:tplc="4EBE5B30">
      <w:numFmt w:val="bullet"/>
      <w:lvlText w:val="•"/>
      <w:lvlJc w:val="left"/>
      <w:pPr>
        <w:ind w:left="5272" w:hanging="360"/>
      </w:pPr>
      <w:rPr>
        <w:rFonts w:hint="default"/>
        <w:lang w:val="en-US" w:eastAsia="en-US" w:bidi="ar-SA"/>
      </w:rPr>
    </w:lvl>
    <w:lvl w:ilvl="8" w:tplc="C6D8C512">
      <w:numFmt w:val="bullet"/>
      <w:lvlText w:val="•"/>
      <w:lvlJc w:val="left"/>
      <w:pPr>
        <w:ind w:left="5960" w:hanging="360"/>
      </w:pPr>
      <w:rPr>
        <w:rFonts w:hint="default"/>
        <w:lang w:val="en-US" w:eastAsia="en-US" w:bidi="ar-SA"/>
      </w:rPr>
    </w:lvl>
  </w:abstractNum>
  <w:abstractNum w:abstractNumId="31" w15:restartNumberingAfterBreak="0">
    <w:nsid w:val="1A9B66B5"/>
    <w:multiLevelType w:val="hybridMultilevel"/>
    <w:tmpl w:val="F0520F64"/>
    <w:lvl w:ilvl="0" w:tplc="B68EFE5E">
      <w:numFmt w:val="bullet"/>
      <w:lvlText w:val=""/>
      <w:lvlJc w:val="left"/>
      <w:pPr>
        <w:ind w:left="621" w:hanging="360"/>
      </w:pPr>
      <w:rPr>
        <w:rFonts w:ascii="Symbol" w:eastAsia="Symbol" w:hAnsi="Symbol" w:cs="Symbol" w:hint="default"/>
        <w:b w:val="0"/>
        <w:bCs w:val="0"/>
        <w:i w:val="0"/>
        <w:iCs w:val="0"/>
        <w:w w:val="99"/>
        <w:sz w:val="22"/>
        <w:szCs w:val="22"/>
        <w:lang w:val="en-US" w:eastAsia="en-US" w:bidi="ar-SA"/>
      </w:rPr>
    </w:lvl>
    <w:lvl w:ilvl="1" w:tplc="06309BE6">
      <w:numFmt w:val="bullet"/>
      <w:lvlText w:val=""/>
      <w:lvlJc w:val="left"/>
      <w:pPr>
        <w:ind w:left="3420" w:hanging="360"/>
      </w:pPr>
      <w:rPr>
        <w:rFonts w:ascii="Symbol" w:eastAsia="Symbol" w:hAnsi="Symbol" w:cs="Symbol" w:hint="default"/>
        <w:b w:val="0"/>
        <w:bCs w:val="0"/>
        <w:i w:val="0"/>
        <w:iCs w:val="0"/>
        <w:w w:val="99"/>
        <w:sz w:val="22"/>
        <w:szCs w:val="22"/>
        <w:lang w:val="en-US" w:eastAsia="en-US" w:bidi="ar-SA"/>
      </w:rPr>
    </w:lvl>
    <w:lvl w:ilvl="2" w:tplc="4580B034">
      <w:numFmt w:val="bullet"/>
      <w:lvlText w:val="•"/>
      <w:lvlJc w:val="left"/>
      <w:pPr>
        <w:ind w:left="3860" w:hanging="360"/>
      </w:pPr>
      <w:rPr>
        <w:rFonts w:hint="default"/>
        <w:lang w:val="en-US" w:eastAsia="en-US" w:bidi="ar-SA"/>
      </w:rPr>
    </w:lvl>
    <w:lvl w:ilvl="3" w:tplc="6A20E924">
      <w:numFmt w:val="bullet"/>
      <w:lvlText w:val="•"/>
      <w:lvlJc w:val="left"/>
      <w:pPr>
        <w:ind w:left="4301" w:hanging="360"/>
      </w:pPr>
      <w:rPr>
        <w:rFonts w:hint="default"/>
        <w:lang w:val="en-US" w:eastAsia="en-US" w:bidi="ar-SA"/>
      </w:rPr>
    </w:lvl>
    <w:lvl w:ilvl="4" w:tplc="8EBE7142">
      <w:numFmt w:val="bullet"/>
      <w:lvlText w:val="•"/>
      <w:lvlJc w:val="left"/>
      <w:pPr>
        <w:ind w:left="4742" w:hanging="360"/>
      </w:pPr>
      <w:rPr>
        <w:rFonts w:hint="default"/>
        <w:lang w:val="en-US" w:eastAsia="en-US" w:bidi="ar-SA"/>
      </w:rPr>
    </w:lvl>
    <w:lvl w:ilvl="5" w:tplc="74AA3172">
      <w:numFmt w:val="bullet"/>
      <w:lvlText w:val="•"/>
      <w:lvlJc w:val="left"/>
      <w:pPr>
        <w:ind w:left="5182" w:hanging="360"/>
      </w:pPr>
      <w:rPr>
        <w:rFonts w:hint="default"/>
        <w:lang w:val="en-US" w:eastAsia="en-US" w:bidi="ar-SA"/>
      </w:rPr>
    </w:lvl>
    <w:lvl w:ilvl="6" w:tplc="53D21520">
      <w:numFmt w:val="bullet"/>
      <w:lvlText w:val="•"/>
      <w:lvlJc w:val="left"/>
      <w:pPr>
        <w:ind w:left="5623" w:hanging="360"/>
      </w:pPr>
      <w:rPr>
        <w:rFonts w:hint="default"/>
        <w:lang w:val="en-US" w:eastAsia="en-US" w:bidi="ar-SA"/>
      </w:rPr>
    </w:lvl>
    <w:lvl w:ilvl="7" w:tplc="F140B49C">
      <w:numFmt w:val="bullet"/>
      <w:lvlText w:val="•"/>
      <w:lvlJc w:val="left"/>
      <w:pPr>
        <w:ind w:left="6064" w:hanging="360"/>
      </w:pPr>
      <w:rPr>
        <w:rFonts w:hint="default"/>
        <w:lang w:val="en-US" w:eastAsia="en-US" w:bidi="ar-SA"/>
      </w:rPr>
    </w:lvl>
    <w:lvl w:ilvl="8" w:tplc="59046366">
      <w:numFmt w:val="bullet"/>
      <w:lvlText w:val="•"/>
      <w:lvlJc w:val="left"/>
      <w:pPr>
        <w:ind w:left="6504" w:hanging="360"/>
      </w:pPr>
      <w:rPr>
        <w:rFonts w:hint="default"/>
        <w:lang w:val="en-US" w:eastAsia="en-US" w:bidi="ar-SA"/>
      </w:rPr>
    </w:lvl>
  </w:abstractNum>
  <w:abstractNum w:abstractNumId="32" w15:restartNumberingAfterBreak="0">
    <w:nsid w:val="1B826F90"/>
    <w:multiLevelType w:val="hybridMultilevel"/>
    <w:tmpl w:val="910C2542"/>
    <w:lvl w:ilvl="0" w:tplc="E0549712">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12D4A54E">
      <w:numFmt w:val="bullet"/>
      <w:lvlText w:val="•"/>
      <w:lvlJc w:val="left"/>
      <w:pPr>
        <w:ind w:left="1147" w:hanging="360"/>
      </w:pPr>
      <w:rPr>
        <w:rFonts w:hint="default"/>
        <w:lang w:val="en-US" w:eastAsia="en-US" w:bidi="ar-SA"/>
      </w:rPr>
    </w:lvl>
    <w:lvl w:ilvl="2" w:tplc="0D280E86">
      <w:numFmt w:val="bullet"/>
      <w:lvlText w:val="•"/>
      <w:lvlJc w:val="left"/>
      <w:pPr>
        <w:ind w:left="1835" w:hanging="360"/>
      </w:pPr>
      <w:rPr>
        <w:rFonts w:hint="default"/>
        <w:lang w:val="en-US" w:eastAsia="en-US" w:bidi="ar-SA"/>
      </w:rPr>
    </w:lvl>
    <w:lvl w:ilvl="3" w:tplc="6E86796C">
      <w:numFmt w:val="bullet"/>
      <w:lvlText w:val="•"/>
      <w:lvlJc w:val="left"/>
      <w:pPr>
        <w:ind w:left="2522" w:hanging="360"/>
      </w:pPr>
      <w:rPr>
        <w:rFonts w:hint="default"/>
        <w:lang w:val="en-US" w:eastAsia="en-US" w:bidi="ar-SA"/>
      </w:rPr>
    </w:lvl>
    <w:lvl w:ilvl="4" w:tplc="BF0CD902">
      <w:numFmt w:val="bullet"/>
      <w:lvlText w:val="•"/>
      <w:lvlJc w:val="left"/>
      <w:pPr>
        <w:ind w:left="3210" w:hanging="360"/>
      </w:pPr>
      <w:rPr>
        <w:rFonts w:hint="default"/>
        <w:lang w:val="en-US" w:eastAsia="en-US" w:bidi="ar-SA"/>
      </w:rPr>
    </w:lvl>
    <w:lvl w:ilvl="5" w:tplc="A150F270">
      <w:numFmt w:val="bullet"/>
      <w:lvlText w:val="•"/>
      <w:lvlJc w:val="left"/>
      <w:pPr>
        <w:ind w:left="3897" w:hanging="360"/>
      </w:pPr>
      <w:rPr>
        <w:rFonts w:hint="default"/>
        <w:lang w:val="en-US" w:eastAsia="en-US" w:bidi="ar-SA"/>
      </w:rPr>
    </w:lvl>
    <w:lvl w:ilvl="6" w:tplc="7B56FDE0">
      <w:numFmt w:val="bullet"/>
      <w:lvlText w:val="•"/>
      <w:lvlJc w:val="left"/>
      <w:pPr>
        <w:ind w:left="4585" w:hanging="360"/>
      </w:pPr>
      <w:rPr>
        <w:rFonts w:hint="default"/>
        <w:lang w:val="en-US" w:eastAsia="en-US" w:bidi="ar-SA"/>
      </w:rPr>
    </w:lvl>
    <w:lvl w:ilvl="7" w:tplc="3BA45C26">
      <w:numFmt w:val="bullet"/>
      <w:lvlText w:val="•"/>
      <w:lvlJc w:val="left"/>
      <w:pPr>
        <w:ind w:left="5272" w:hanging="360"/>
      </w:pPr>
      <w:rPr>
        <w:rFonts w:hint="default"/>
        <w:lang w:val="en-US" w:eastAsia="en-US" w:bidi="ar-SA"/>
      </w:rPr>
    </w:lvl>
    <w:lvl w:ilvl="8" w:tplc="9032633A">
      <w:numFmt w:val="bullet"/>
      <w:lvlText w:val="•"/>
      <w:lvlJc w:val="left"/>
      <w:pPr>
        <w:ind w:left="5960" w:hanging="360"/>
      </w:pPr>
      <w:rPr>
        <w:rFonts w:hint="default"/>
        <w:lang w:val="en-US" w:eastAsia="en-US" w:bidi="ar-SA"/>
      </w:rPr>
    </w:lvl>
  </w:abstractNum>
  <w:abstractNum w:abstractNumId="33" w15:restartNumberingAfterBreak="0">
    <w:nsid w:val="1BBB119D"/>
    <w:multiLevelType w:val="hybridMultilevel"/>
    <w:tmpl w:val="CFBAD12C"/>
    <w:lvl w:ilvl="0" w:tplc="0BF04584">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1" w:tplc="59741960">
      <w:numFmt w:val="bullet"/>
      <w:lvlText w:val="•"/>
      <w:lvlJc w:val="left"/>
      <w:pPr>
        <w:ind w:left="1840" w:hanging="360"/>
      </w:pPr>
      <w:rPr>
        <w:rFonts w:hint="default"/>
        <w:lang w:val="en-US" w:eastAsia="en-US" w:bidi="ar-SA"/>
      </w:rPr>
    </w:lvl>
    <w:lvl w:ilvl="2" w:tplc="F82086D4">
      <w:numFmt w:val="bullet"/>
      <w:lvlText w:val="•"/>
      <w:lvlJc w:val="left"/>
      <w:pPr>
        <w:ind w:left="2840" w:hanging="360"/>
      </w:pPr>
      <w:rPr>
        <w:rFonts w:hint="default"/>
        <w:lang w:val="en-US" w:eastAsia="en-US" w:bidi="ar-SA"/>
      </w:rPr>
    </w:lvl>
    <w:lvl w:ilvl="3" w:tplc="1B307B5C">
      <w:numFmt w:val="bullet"/>
      <w:lvlText w:val="•"/>
      <w:lvlJc w:val="left"/>
      <w:pPr>
        <w:ind w:left="3841" w:hanging="360"/>
      </w:pPr>
      <w:rPr>
        <w:rFonts w:hint="default"/>
        <w:lang w:val="en-US" w:eastAsia="en-US" w:bidi="ar-SA"/>
      </w:rPr>
    </w:lvl>
    <w:lvl w:ilvl="4" w:tplc="12CC60BE">
      <w:numFmt w:val="bullet"/>
      <w:lvlText w:val="•"/>
      <w:lvlJc w:val="left"/>
      <w:pPr>
        <w:ind w:left="4841" w:hanging="360"/>
      </w:pPr>
      <w:rPr>
        <w:rFonts w:hint="default"/>
        <w:lang w:val="en-US" w:eastAsia="en-US" w:bidi="ar-SA"/>
      </w:rPr>
    </w:lvl>
    <w:lvl w:ilvl="5" w:tplc="ACBC4F34">
      <w:numFmt w:val="bullet"/>
      <w:lvlText w:val="•"/>
      <w:lvlJc w:val="left"/>
      <w:pPr>
        <w:ind w:left="5842" w:hanging="360"/>
      </w:pPr>
      <w:rPr>
        <w:rFonts w:hint="default"/>
        <w:lang w:val="en-US" w:eastAsia="en-US" w:bidi="ar-SA"/>
      </w:rPr>
    </w:lvl>
    <w:lvl w:ilvl="6" w:tplc="DE68EF7C">
      <w:numFmt w:val="bullet"/>
      <w:lvlText w:val="•"/>
      <w:lvlJc w:val="left"/>
      <w:pPr>
        <w:ind w:left="6842" w:hanging="360"/>
      </w:pPr>
      <w:rPr>
        <w:rFonts w:hint="default"/>
        <w:lang w:val="en-US" w:eastAsia="en-US" w:bidi="ar-SA"/>
      </w:rPr>
    </w:lvl>
    <w:lvl w:ilvl="7" w:tplc="F334A7B6">
      <w:numFmt w:val="bullet"/>
      <w:lvlText w:val="•"/>
      <w:lvlJc w:val="left"/>
      <w:pPr>
        <w:ind w:left="7843" w:hanging="360"/>
      </w:pPr>
      <w:rPr>
        <w:rFonts w:hint="default"/>
        <w:lang w:val="en-US" w:eastAsia="en-US" w:bidi="ar-SA"/>
      </w:rPr>
    </w:lvl>
    <w:lvl w:ilvl="8" w:tplc="77AECA00">
      <w:numFmt w:val="bullet"/>
      <w:lvlText w:val="•"/>
      <w:lvlJc w:val="left"/>
      <w:pPr>
        <w:ind w:left="8843" w:hanging="360"/>
      </w:pPr>
      <w:rPr>
        <w:rFonts w:hint="default"/>
        <w:lang w:val="en-US" w:eastAsia="en-US" w:bidi="ar-SA"/>
      </w:rPr>
    </w:lvl>
  </w:abstractNum>
  <w:abstractNum w:abstractNumId="34" w15:restartNumberingAfterBreak="0">
    <w:nsid w:val="1BD7460A"/>
    <w:multiLevelType w:val="multilevel"/>
    <w:tmpl w:val="556CA374"/>
    <w:lvl w:ilvl="0">
      <w:start w:val="1"/>
      <w:numFmt w:val="decimal"/>
      <w:lvlText w:val="%1."/>
      <w:lvlJc w:val="left"/>
      <w:pPr>
        <w:ind w:left="681" w:hanging="568"/>
        <w:jc w:val="left"/>
      </w:pPr>
      <w:rPr>
        <w:rFonts w:ascii="Calibri Light" w:eastAsia="Calibri Light" w:hAnsi="Calibri Light" w:cs="Calibri Light" w:hint="default"/>
        <w:b w:val="0"/>
        <w:bCs w:val="0"/>
        <w:i w:val="0"/>
        <w:iCs w:val="0"/>
        <w:color w:val="006CA3"/>
        <w:w w:val="100"/>
        <w:sz w:val="48"/>
        <w:szCs w:val="48"/>
        <w:lang w:val="en-US" w:eastAsia="en-US" w:bidi="ar-SA"/>
      </w:rPr>
    </w:lvl>
    <w:lvl w:ilvl="1">
      <w:start w:val="1"/>
      <w:numFmt w:val="decimal"/>
      <w:lvlText w:val="%1.%2"/>
      <w:lvlJc w:val="left"/>
      <w:pPr>
        <w:ind w:left="1112" w:hanging="999"/>
        <w:jc w:val="left"/>
      </w:pPr>
      <w:rPr>
        <w:rFonts w:hint="default"/>
        <w:w w:val="99"/>
        <w:lang w:val="en-US" w:eastAsia="en-US" w:bidi="ar-SA"/>
      </w:rPr>
    </w:lvl>
    <w:lvl w:ilvl="2">
      <w:start w:val="1"/>
      <w:numFmt w:val="decimal"/>
      <w:lvlText w:val="%1.%2.%3"/>
      <w:lvlJc w:val="left"/>
      <w:pPr>
        <w:ind w:left="1248" w:hanging="999"/>
        <w:jc w:val="left"/>
      </w:pPr>
      <w:rPr>
        <w:rFonts w:ascii="Calibri Light" w:eastAsia="Calibri Light" w:hAnsi="Calibri Light" w:cs="Calibri Light" w:hint="default"/>
        <w:b w:val="0"/>
        <w:bCs w:val="0"/>
        <w:i w:val="0"/>
        <w:iCs w:val="0"/>
        <w:w w:val="99"/>
        <w:sz w:val="22"/>
        <w:szCs w:val="22"/>
        <w:lang w:val="en-US" w:eastAsia="en-US" w:bidi="ar-SA"/>
      </w:rPr>
    </w:lvl>
    <w:lvl w:ilvl="3">
      <w:start w:val="1"/>
      <w:numFmt w:val="decimal"/>
      <w:lvlText w:val="%1.%2.%3.%4"/>
      <w:lvlJc w:val="left"/>
      <w:pPr>
        <w:ind w:left="1112" w:hanging="999"/>
        <w:jc w:val="left"/>
      </w:pPr>
      <w:rPr>
        <w:rFonts w:hint="default"/>
        <w:w w:val="99"/>
        <w:lang w:val="en-US" w:eastAsia="en-US" w:bidi="ar-SA"/>
      </w:rPr>
    </w:lvl>
    <w:lvl w:ilvl="4">
      <w:numFmt w:val="bullet"/>
      <w:lvlText w:val=""/>
      <w:lvlJc w:val="left"/>
      <w:pPr>
        <w:ind w:left="833" w:hanging="999"/>
      </w:pPr>
      <w:rPr>
        <w:rFonts w:ascii="Symbol" w:eastAsia="Symbol" w:hAnsi="Symbol" w:cs="Symbol" w:hint="default"/>
        <w:w w:val="99"/>
        <w:lang w:val="en-US" w:eastAsia="en-US" w:bidi="ar-SA"/>
      </w:rPr>
    </w:lvl>
    <w:lvl w:ilvl="5">
      <w:numFmt w:val="bullet"/>
      <w:lvlText w:val=""/>
      <w:lvlJc w:val="left"/>
      <w:pPr>
        <w:ind w:left="1401" w:hanging="999"/>
      </w:pPr>
      <w:rPr>
        <w:rFonts w:ascii="Symbol" w:eastAsia="Symbol" w:hAnsi="Symbol" w:cs="Symbol" w:hint="default"/>
        <w:b w:val="0"/>
        <w:bCs w:val="0"/>
        <w:i w:val="0"/>
        <w:iCs w:val="0"/>
        <w:w w:val="99"/>
        <w:sz w:val="22"/>
        <w:szCs w:val="22"/>
        <w:lang w:val="en-US" w:eastAsia="en-US" w:bidi="ar-SA"/>
      </w:rPr>
    </w:lvl>
    <w:lvl w:ilvl="6">
      <w:numFmt w:val="bullet"/>
      <w:lvlText w:val="•"/>
      <w:lvlJc w:val="left"/>
      <w:pPr>
        <w:ind w:left="1400" w:hanging="999"/>
      </w:pPr>
      <w:rPr>
        <w:rFonts w:hint="default"/>
        <w:lang w:val="en-US" w:eastAsia="en-US" w:bidi="ar-SA"/>
      </w:rPr>
    </w:lvl>
    <w:lvl w:ilvl="7">
      <w:numFmt w:val="bullet"/>
      <w:lvlText w:val="•"/>
      <w:lvlJc w:val="left"/>
      <w:pPr>
        <w:ind w:left="3761" w:hanging="999"/>
      </w:pPr>
      <w:rPr>
        <w:rFonts w:hint="default"/>
        <w:lang w:val="en-US" w:eastAsia="en-US" w:bidi="ar-SA"/>
      </w:rPr>
    </w:lvl>
    <w:lvl w:ilvl="8">
      <w:numFmt w:val="bullet"/>
      <w:lvlText w:val="•"/>
      <w:lvlJc w:val="left"/>
      <w:pPr>
        <w:ind w:left="6122" w:hanging="999"/>
      </w:pPr>
      <w:rPr>
        <w:rFonts w:hint="default"/>
        <w:lang w:val="en-US" w:eastAsia="en-US" w:bidi="ar-SA"/>
      </w:rPr>
    </w:lvl>
  </w:abstractNum>
  <w:abstractNum w:abstractNumId="35" w15:restartNumberingAfterBreak="0">
    <w:nsid w:val="20DA04F2"/>
    <w:multiLevelType w:val="hybridMultilevel"/>
    <w:tmpl w:val="D82A806A"/>
    <w:lvl w:ilvl="0" w:tplc="05EA3E5A">
      <w:numFmt w:val="bullet"/>
      <w:lvlText w:val=""/>
      <w:lvlJc w:val="left"/>
      <w:pPr>
        <w:ind w:left="562" w:hanging="360"/>
      </w:pPr>
      <w:rPr>
        <w:rFonts w:ascii="Symbol" w:eastAsia="Symbol" w:hAnsi="Symbol" w:cs="Symbol" w:hint="default"/>
        <w:b w:val="0"/>
        <w:bCs w:val="0"/>
        <w:i w:val="0"/>
        <w:iCs w:val="0"/>
        <w:w w:val="100"/>
        <w:sz w:val="18"/>
        <w:szCs w:val="18"/>
        <w:lang w:val="en-US" w:eastAsia="en-US" w:bidi="ar-SA"/>
      </w:rPr>
    </w:lvl>
    <w:lvl w:ilvl="1" w:tplc="7A2AFB44">
      <w:numFmt w:val="bullet"/>
      <w:lvlText w:val="•"/>
      <w:lvlJc w:val="left"/>
      <w:pPr>
        <w:ind w:left="864" w:hanging="360"/>
      </w:pPr>
      <w:rPr>
        <w:rFonts w:hint="default"/>
        <w:lang w:val="en-US" w:eastAsia="en-US" w:bidi="ar-SA"/>
      </w:rPr>
    </w:lvl>
    <w:lvl w:ilvl="2" w:tplc="148CB848">
      <w:numFmt w:val="bullet"/>
      <w:lvlText w:val="•"/>
      <w:lvlJc w:val="left"/>
      <w:pPr>
        <w:ind w:left="1168" w:hanging="360"/>
      </w:pPr>
      <w:rPr>
        <w:rFonts w:hint="default"/>
        <w:lang w:val="en-US" w:eastAsia="en-US" w:bidi="ar-SA"/>
      </w:rPr>
    </w:lvl>
    <w:lvl w:ilvl="3" w:tplc="43D0CF0A">
      <w:numFmt w:val="bullet"/>
      <w:lvlText w:val="•"/>
      <w:lvlJc w:val="left"/>
      <w:pPr>
        <w:ind w:left="1472" w:hanging="360"/>
      </w:pPr>
      <w:rPr>
        <w:rFonts w:hint="default"/>
        <w:lang w:val="en-US" w:eastAsia="en-US" w:bidi="ar-SA"/>
      </w:rPr>
    </w:lvl>
    <w:lvl w:ilvl="4" w:tplc="32263540">
      <w:numFmt w:val="bullet"/>
      <w:lvlText w:val="•"/>
      <w:lvlJc w:val="left"/>
      <w:pPr>
        <w:ind w:left="1777" w:hanging="360"/>
      </w:pPr>
      <w:rPr>
        <w:rFonts w:hint="default"/>
        <w:lang w:val="en-US" w:eastAsia="en-US" w:bidi="ar-SA"/>
      </w:rPr>
    </w:lvl>
    <w:lvl w:ilvl="5" w:tplc="5C3269D2">
      <w:numFmt w:val="bullet"/>
      <w:lvlText w:val="•"/>
      <w:lvlJc w:val="left"/>
      <w:pPr>
        <w:ind w:left="2081" w:hanging="360"/>
      </w:pPr>
      <w:rPr>
        <w:rFonts w:hint="default"/>
        <w:lang w:val="en-US" w:eastAsia="en-US" w:bidi="ar-SA"/>
      </w:rPr>
    </w:lvl>
    <w:lvl w:ilvl="6" w:tplc="348069C6">
      <w:numFmt w:val="bullet"/>
      <w:lvlText w:val="•"/>
      <w:lvlJc w:val="left"/>
      <w:pPr>
        <w:ind w:left="2385" w:hanging="360"/>
      </w:pPr>
      <w:rPr>
        <w:rFonts w:hint="default"/>
        <w:lang w:val="en-US" w:eastAsia="en-US" w:bidi="ar-SA"/>
      </w:rPr>
    </w:lvl>
    <w:lvl w:ilvl="7" w:tplc="36944C0E">
      <w:numFmt w:val="bullet"/>
      <w:lvlText w:val="•"/>
      <w:lvlJc w:val="left"/>
      <w:pPr>
        <w:ind w:left="2690" w:hanging="360"/>
      </w:pPr>
      <w:rPr>
        <w:rFonts w:hint="default"/>
        <w:lang w:val="en-US" w:eastAsia="en-US" w:bidi="ar-SA"/>
      </w:rPr>
    </w:lvl>
    <w:lvl w:ilvl="8" w:tplc="444A1888">
      <w:numFmt w:val="bullet"/>
      <w:lvlText w:val="•"/>
      <w:lvlJc w:val="left"/>
      <w:pPr>
        <w:ind w:left="2994" w:hanging="360"/>
      </w:pPr>
      <w:rPr>
        <w:rFonts w:hint="default"/>
        <w:lang w:val="en-US" w:eastAsia="en-US" w:bidi="ar-SA"/>
      </w:rPr>
    </w:lvl>
  </w:abstractNum>
  <w:abstractNum w:abstractNumId="36" w15:restartNumberingAfterBreak="0">
    <w:nsid w:val="22820521"/>
    <w:multiLevelType w:val="hybridMultilevel"/>
    <w:tmpl w:val="BFC0CB92"/>
    <w:lvl w:ilvl="0" w:tplc="15629910">
      <w:numFmt w:val="bullet"/>
      <w:lvlText w:val=""/>
      <w:lvlJc w:val="left"/>
      <w:pPr>
        <w:ind w:left="1106" w:hanging="360"/>
      </w:pPr>
      <w:rPr>
        <w:rFonts w:ascii="Symbol" w:eastAsia="Symbol" w:hAnsi="Symbol" w:cs="Symbol" w:hint="default"/>
        <w:b w:val="0"/>
        <w:bCs w:val="0"/>
        <w:i w:val="0"/>
        <w:iCs w:val="0"/>
        <w:w w:val="99"/>
        <w:sz w:val="22"/>
        <w:szCs w:val="22"/>
        <w:lang w:val="en-US" w:eastAsia="en-US" w:bidi="ar-SA"/>
      </w:rPr>
    </w:lvl>
    <w:lvl w:ilvl="1" w:tplc="75663868">
      <w:numFmt w:val="bullet"/>
      <w:lvlText w:val="•"/>
      <w:lvlJc w:val="left"/>
      <w:pPr>
        <w:ind w:left="2074" w:hanging="360"/>
      </w:pPr>
      <w:rPr>
        <w:rFonts w:hint="default"/>
        <w:lang w:val="en-US" w:eastAsia="en-US" w:bidi="ar-SA"/>
      </w:rPr>
    </w:lvl>
    <w:lvl w:ilvl="2" w:tplc="558E9E4A">
      <w:numFmt w:val="bullet"/>
      <w:lvlText w:val="•"/>
      <w:lvlJc w:val="left"/>
      <w:pPr>
        <w:ind w:left="3048" w:hanging="360"/>
      </w:pPr>
      <w:rPr>
        <w:rFonts w:hint="default"/>
        <w:lang w:val="en-US" w:eastAsia="en-US" w:bidi="ar-SA"/>
      </w:rPr>
    </w:lvl>
    <w:lvl w:ilvl="3" w:tplc="2098EF56">
      <w:numFmt w:val="bullet"/>
      <w:lvlText w:val="•"/>
      <w:lvlJc w:val="left"/>
      <w:pPr>
        <w:ind w:left="4023" w:hanging="360"/>
      </w:pPr>
      <w:rPr>
        <w:rFonts w:hint="default"/>
        <w:lang w:val="en-US" w:eastAsia="en-US" w:bidi="ar-SA"/>
      </w:rPr>
    </w:lvl>
    <w:lvl w:ilvl="4" w:tplc="804A0946">
      <w:numFmt w:val="bullet"/>
      <w:lvlText w:val="•"/>
      <w:lvlJc w:val="left"/>
      <w:pPr>
        <w:ind w:left="4997" w:hanging="360"/>
      </w:pPr>
      <w:rPr>
        <w:rFonts w:hint="default"/>
        <w:lang w:val="en-US" w:eastAsia="en-US" w:bidi="ar-SA"/>
      </w:rPr>
    </w:lvl>
    <w:lvl w:ilvl="5" w:tplc="2EEA1A8A">
      <w:numFmt w:val="bullet"/>
      <w:lvlText w:val="•"/>
      <w:lvlJc w:val="left"/>
      <w:pPr>
        <w:ind w:left="5972" w:hanging="360"/>
      </w:pPr>
      <w:rPr>
        <w:rFonts w:hint="default"/>
        <w:lang w:val="en-US" w:eastAsia="en-US" w:bidi="ar-SA"/>
      </w:rPr>
    </w:lvl>
    <w:lvl w:ilvl="6" w:tplc="76A2BF6A">
      <w:numFmt w:val="bullet"/>
      <w:lvlText w:val="•"/>
      <w:lvlJc w:val="left"/>
      <w:pPr>
        <w:ind w:left="6946" w:hanging="360"/>
      </w:pPr>
      <w:rPr>
        <w:rFonts w:hint="default"/>
        <w:lang w:val="en-US" w:eastAsia="en-US" w:bidi="ar-SA"/>
      </w:rPr>
    </w:lvl>
    <w:lvl w:ilvl="7" w:tplc="F09E7F6E">
      <w:numFmt w:val="bullet"/>
      <w:lvlText w:val="•"/>
      <w:lvlJc w:val="left"/>
      <w:pPr>
        <w:ind w:left="7921" w:hanging="360"/>
      </w:pPr>
      <w:rPr>
        <w:rFonts w:hint="default"/>
        <w:lang w:val="en-US" w:eastAsia="en-US" w:bidi="ar-SA"/>
      </w:rPr>
    </w:lvl>
    <w:lvl w:ilvl="8" w:tplc="016861AC">
      <w:numFmt w:val="bullet"/>
      <w:lvlText w:val="•"/>
      <w:lvlJc w:val="left"/>
      <w:pPr>
        <w:ind w:left="8895" w:hanging="360"/>
      </w:pPr>
      <w:rPr>
        <w:rFonts w:hint="default"/>
        <w:lang w:val="en-US" w:eastAsia="en-US" w:bidi="ar-SA"/>
      </w:rPr>
    </w:lvl>
  </w:abstractNum>
  <w:abstractNum w:abstractNumId="37" w15:restartNumberingAfterBreak="0">
    <w:nsid w:val="23BB6460"/>
    <w:multiLevelType w:val="hybridMultilevel"/>
    <w:tmpl w:val="108072DC"/>
    <w:lvl w:ilvl="0" w:tplc="DEA061B0">
      <w:numFmt w:val="bullet"/>
      <w:lvlText w:val=""/>
      <w:lvlJc w:val="left"/>
      <w:pPr>
        <w:ind w:left="515" w:hanging="303"/>
      </w:pPr>
      <w:rPr>
        <w:rFonts w:ascii="Symbol" w:eastAsia="Symbol" w:hAnsi="Symbol" w:cs="Symbol" w:hint="default"/>
        <w:b w:val="0"/>
        <w:bCs w:val="0"/>
        <w:i w:val="0"/>
        <w:iCs w:val="0"/>
        <w:w w:val="99"/>
        <w:sz w:val="22"/>
        <w:szCs w:val="22"/>
        <w:lang w:val="en-US" w:eastAsia="en-US" w:bidi="ar-SA"/>
      </w:rPr>
    </w:lvl>
    <w:lvl w:ilvl="1" w:tplc="FBC20D88">
      <w:numFmt w:val="bullet"/>
      <w:lvlText w:val="•"/>
      <w:lvlJc w:val="left"/>
      <w:pPr>
        <w:ind w:left="1201" w:hanging="303"/>
      </w:pPr>
      <w:rPr>
        <w:rFonts w:hint="default"/>
        <w:lang w:val="en-US" w:eastAsia="en-US" w:bidi="ar-SA"/>
      </w:rPr>
    </w:lvl>
    <w:lvl w:ilvl="2" w:tplc="91DC4F2E">
      <w:numFmt w:val="bullet"/>
      <w:lvlText w:val="•"/>
      <w:lvlJc w:val="left"/>
      <w:pPr>
        <w:ind w:left="1883" w:hanging="303"/>
      </w:pPr>
      <w:rPr>
        <w:rFonts w:hint="default"/>
        <w:lang w:val="en-US" w:eastAsia="en-US" w:bidi="ar-SA"/>
      </w:rPr>
    </w:lvl>
    <w:lvl w:ilvl="3" w:tplc="1E4A4C3C">
      <w:numFmt w:val="bullet"/>
      <w:lvlText w:val="•"/>
      <w:lvlJc w:val="left"/>
      <w:pPr>
        <w:ind w:left="2564" w:hanging="303"/>
      </w:pPr>
      <w:rPr>
        <w:rFonts w:hint="default"/>
        <w:lang w:val="en-US" w:eastAsia="en-US" w:bidi="ar-SA"/>
      </w:rPr>
    </w:lvl>
    <w:lvl w:ilvl="4" w:tplc="E83830FE">
      <w:numFmt w:val="bullet"/>
      <w:lvlText w:val="•"/>
      <w:lvlJc w:val="left"/>
      <w:pPr>
        <w:ind w:left="3246" w:hanging="303"/>
      </w:pPr>
      <w:rPr>
        <w:rFonts w:hint="default"/>
        <w:lang w:val="en-US" w:eastAsia="en-US" w:bidi="ar-SA"/>
      </w:rPr>
    </w:lvl>
    <w:lvl w:ilvl="5" w:tplc="CF1CE9E8">
      <w:numFmt w:val="bullet"/>
      <w:lvlText w:val="•"/>
      <w:lvlJc w:val="left"/>
      <w:pPr>
        <w:ind w:left="3927" w:hanging="303"/>
      </w:pPr>
      <w:rPr>
        <w:rFonts w:hint="default"/>
        <w:lang w:val="en-US" w:eastAsia="en-US" w:bidi="ar-SA"/>
      </w:rPr>
    </w:lvl>
    <w:lvl w:ilvl="6" w:tplc="06649C18">
      <w:numFmt w:val="bullet"/>
      <w:lvlText w:val="•"/>
      <w:lvlJc w:val="left"/>
      <w:pPr>
        <w:ind w:left="4609" w:hanging="303"/>
      </w:pPr>
      <w:rPr>
        <w:rFonts w:hint="default"/>
        <w:lang w:val="en-US" w:eastAsia="en-US" w:bidi="ar-SA"/>
      </w:rPr>
    </w:lvl>
    <w:lvl w:ilvl="7" w:tplc="B6184174">
      <w:numFmt w:val="bullet"/>
      <w:lvlText w:val="•"/>
      <w:lvlJc w:val="left"/>
      <w:pPr>
        <w:ind w:left="5290" w:hanging="303"/>
      </w:pPr>
      <w:rPr>
        <w:rFonts w:hint="default"/>
        <w:lang w:val="en-US" w:eastAsia="en-US" w:bidi="ar-SA"/>
      </w:rPr>
    </w:lvl>
    <w:lvl w:ilvl="8" w:tplc="5F3CE3D8">
      <w:numFmt w:val="bullet"/>
      <w:lvlText w:val="•"/>
      <w:lvlJc w:val="left"/>
      <w:pPr>
        <w:ind w:left="5972" w:hanging="303"/>
      </w:pPr>
      <w:rPr>
        <w:rFonts w:hint="default"/>
        <w:lang w:val="en-US" w:eastAsia="en-US" w:bidi="ar-SA"/>
      </w:rPr>
    </w:lvl>
  </w:abstractNum>
  <w:abstractNum w:abstractNumId="38" w15:restartNumberingAfterBreak="0">
    <w:nsid w:val="24CF449A"/>
    <w:multiLevelType w:val="hybridMultilevel"/>
    <w:tmpl w:val="118C85FC"/>
    <w:lvl w:ilvl="0" w:tplc="B31CD7E6">
      <w:numFmt w:val="bullet"/>
      <w:lvlText w:val=""/>
      <w:lvlJc w:val="left"/>
      <w:pPr>
        <w:ind w:left="834" w:hanging="360"/>
      </w:pPr>
      <w:rPr>
        <w:rFonts w:ascii="Symbol" w:eastAsia="Symbol" w:hAnsi="Symbol" w:cs="Symbol" w:hint="default"/>
        <w:b w:val="0"/>
        <w:bCs w:val="0"/>
        <w:i w:val="0"/>
        <w:iCs w:val="0"/>
        <w:w w:val="99"/>
        <w:sz w:val="22"/>
        <w:szCs w:val="22"/>
        <w:lang w:val="en-US" w:eastAsia="en-US" w:bidi="ar-SA"/>
      </w:rPr>
    </w:lvl>
    <w:lvl w:ilvl="1" w:tplc="39E0AF3A">
      <w:numFmt w:val="bullet"/>
      <w:lvlText w:val="•"/>
      <w:lvlJc w:val="left"/>
      <w:pPr>
        <w:ind w:left="1840" w:hanging="360"/>
      </w:pPr>
      <w:rPr>
        <w:rFonts w:hint="default"/>
        <w:lang w:val="en-US" w:eastAsia="en-US" w:bidi="ar-SA"/>
      </w:rPr>
    </w:lvl>
    <w:lvl w:ilvl="2" w:tplc="F4B449B2">
      <w:numFmt w:val="bullet"/>
      <w:lvlText w:val="•"/>
      <w:lvlJc w:val="left"/>
      <w:pPr>
        <w:ind w:left="2840" w:hanging="360"/>
      </w:pPr>
      <w:rPr>
        <w:rFonts w:hint="default"/>
        <w:lang w:val="en-US" w:eastAsia="en-US" w:bidi="ar-SA"/>
      </w:rPr>
    </w:lvl>
    <w:lvl w:ilvl="3" w:tplc="A688504C">
      <w:numFmt w:val="bullet"/>
      <w:lvlText w:val="•"/>
      <w:lvlJc w:val="left"/>
      <w:pPr>
        <w:ind w:left="3841" w:hanging="360"/>
      </w:pPr>
      <w:rPr>
        <w:rFonts w:hint="default"/>
        <w:lang w:val="en-US" w:eastAsia="en-US" w:bidi="ar-SA"/>
      </w:rPr>
    </w:lvl>
    <w:lvl w:ilvl="4" w:tplc="D4FC7B06">
      <w:numFmt w:val="bullet"/>
      <w:lvlText w:val="•"/>
      <w:lvlJc w:val="left"/>
      <w:pPr>
        <w:ind w:left="4841" w:hanging="360"/>
      </w:pPr>
      <w:rPr>
        <w:rFonts w:hint="default"/>
        <w:lang w:val="en-US" w:eastAsia="en-US" w:bidi="ar-SA"/>
      </w:rPr>
    </w:lvl>
    <w:lvl w:ilvl="5" w:tplc="2B82A0E6">
      <w:numFmt w:val="bullet"/>
      <w:lvlText w:val="•"/>
      <w:lvlJc w:val="left"/>
      <w:pPr>
        <w:ind w:left="5842" w:hanging="360"/>
      </w:pPr>
      <w:rPr>
        <w:rFonts w:hint="default"/>
        <w:lang w:val="en-US" w:eastAsia="en-US" w:bidi="ar-SA"/>
      </w:rPr>
    </w:lvl>
    <w:lvl w:ilvl="6" w:tplc="2AF2DE80">
      <w:numFmt w:val="bullet"/>
      <w:lvlText w:val="•"/>
      <w:lvlJc w:val="left"/>
      <w:pPr>
        <w:ind w:left="6842" w:hanging="360"/>
      </w:pPr>
      <w:rPr>
        <w:rFonts w:hint="default"/>
        <w:lang w:val="en-US" w:eastAsia="en-US" w:bidi="ar-SA"/>
      </w:rPr>
    </w:lvl>
    <w:lvl w:ilvl="7" w:tplc="558C7282">
      <w:numFmt w:val="bullet"/>
      <w:lvlText w:val="•"/>
      <w:lvlJc w:val="left"/>
      <w:pPr>
        <w:ind w:left="7843" w:hanging="360"/>
      </w:pPr>
      <w:rPr>
        <w:rFonts w:hint="default"/>
        <w:lang w:val="en-US" w:eastAsia="en-US" w:bidi="ar-SA"/>
      </w:rPr>
    </w:lvl>
    <w:lvl w:ilvl="8" w:tplc="659A2874">
      <w:numFmt w:val="bullet"/>
      <w:lvlText w:val="•"/>
      <w:lvlJc w:val="left"/>
      <w:pPr>
        <w:ind w:left="8843" w:hanging="360"/>
      </w:pPr>
      <w:rPr>
        <w:rFonts w:hint="default"/>
        <w:lang w:val="en-US" w:eastAsia="en-US" w:bidi="ar-SA"/>
      </w:rPr>
    </w:lvl>
  </w:abstractNum>
  <w:abstractNum w:abstractNumId="39" w15:restartNumberingAfterBreak="0">
    <w:nsid w:val="25822478"/>
    <w:multiLevelType w:val="hybridMultilevel"/>
    <w:tmpl w:val="9424CF40"/>
    <w:lvl w:ilvl="0" w:tplc="5D223DA6">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58F89364">
      <w:numFmt w:val="bullet"/>
      <w:lvlText w:val="•"/>
      <w:lvlJc w:val="left"/>
      <w:pPr>
        <w:ind w:left="1085" w:hanging="360"/>
      </w:pPr>
      <w:rPr>
        <w:rFonts w:hint="default"/>
        <w:lang w:val="en-US" w:eastAsia="en-US" w:bidi="ar-SA"/>
      </w:rPr>
    </w:lvl>
    <w:lvl w:ilvl="2" w:tplc="EBDAC7DC">
      <w:numFmt w:val="bullet"/>
      <w:lvlText w:val="•"/>
      <w:lvlJc w:val="left"/>
      <w:pPr>
        <w:ind w:left="1790" w:hanging="360"/>
      </w:pPr>
      <w:rPr>
        <w:rFonts w:hint="default"/>
        <w:lang w:val="en-US" w:eastAsia="en-US" w:bidi="ar-SA"/>
      </w:rPr>
    </w:lvl>
    <w:lvl w:ilvl="3" w:tplc="DDB88534">
      <w:numFmt w:val="bullet"/>
      <w:lvlText w:val="•"/>
      <w:lvlJc w:val="left"/>
      <w:pPr>
        <w:ind w:left="2496" w:hanging="360"/>
      </w:pPr>
      <w:rPr>
        <w:rFonts w:hint="default"/>
        <w:lang w:val="en-US" w:eastAsia="en-US" w:bidi="ar-SA"/>
      </w:rPr>
    </w:lvl>
    <w:lvl w:ilvl="4" w:tplc="AB78A65C">
      <w:numFmt w:val="bullet"/>
      <w:lvlText w:val="•"/>
      <w:lvlJc w:val="left"/>
      <w:pPr>
        <w:ind w:left="3201" w:hanging="360"/>
      </w:pPr>
      <w:rPr>
        <w:rFonts w:hint="default"/>
        <w:lang w:val="en-US" w:eastAsia="en-US" w:bidi="ar-SA"/>
      </w:rPr>
    </w:lvl>
    <w:lvl w:ilvl="5" w:tplc="8F9A9A14">
      <w:numFmt w:val="bullet"/>
      <w:lvlText w:val="•"/>
      <w:lvlJc w:val="left"/>
      <w:pPr>
        <w:ind w:left="3907" w:hanging="360"/>
      </w:pPr>
      <w:rPr>
        <w:rFonts w:hint="default"/>
        <w:lang w:val="en-US" w:eastAsia="en-US" w:bidi="ar-SA"/>
      </w:rPr>
    </w:lvl>
    <w:lvl w:ilvl="6" w:tplc="64DEF16E">
      <w:numFmt w:val="bullet"/>
      <w:lvlText w:val="•"/>
      <w:lvlJc w:val="left"/>
      <w:pPr>
        <w:ind w:left="4612" w:hanging="360"/>
      </w:pPr>
      <w:rPr>
        <w:rFonts w:hint="default"/>
        <w:lang w:val="en-US" w:eastAsia="en-US" w:bidi="ar-SA"/>
      </w:rPr>
    </w:lvl>
    <w:lvl w:ilvl="7" w:tplc="A29A61D6">
      <w:numFmt w:val="bullet"/>
      <w:lvlText w:val="•"/>
      <w:lvlJc w:val="left"/>
      <w:pPr>
        <w:ind w:left="5317" w:hanging="360"/>
      </w:pPr>
      <w:rPr>
        <w:rFonts w:hint="default"/>
        <w:lang w:val="en-US" w:eastAsia="en-US" w:bidi="ar-SA"/>
      </w:rPr>
    </w:lvl>
    <w:lvl w:ilvl="8" w:tplc="B052E206">
      <w:numFmt w:val="bullet"/>
      <w:lvlText w:val="•"/>
      <w:lvlJc w:val="left"/>
      <w:pPr>
        <w:ind w:left="6023" w:hanging="360"/>
      </w:pPr>
      <w:rPr>
        <w:rFonts w:hint="default"/>
        <w:lang w:val="en-US" w:eastAsia="en-US" w:bidi="ar-SA"/>
      </w:rPr>
    </w:lvl>
  </w:abstractNum>
  <w:abstractNum w:abstractNumId="40" w15:restartNumberingAfterBreak="0">
    <w:nsid w:val="273A22F9"/>
    <w:multiLevelType w:val="hybridMultilevel"/>
    <w:tmpl w:val="D7EC2A4C"/>
    <w:lvl w:ilvl="0" w:tplc="030AE59E">
      <w:numFmt w:val="bullet"/>
      <w:lvlText w:val=""/>
      <w:lvlJc w:val="left"/>
      <w:pPr>
        <w:ind w:left="474" w:hanging="360"/>
      </w:pPr>
      <w:rPr>
        <w:rFonts w:ascii="Symbol" w:eastAsia="Symbol" w:hAnsi="Symbol" w:cs="Symbol" w:hint="default"/>
        <w:b w:val="0"/>
        <w:bCs w:val="0"/>
        <w:i w:val="0"/>
        <w:iCs w:val="0"/>
        <w:w w:val="99"/>
        <w:sz w:val="22"/>
        <w:szCs w:val="22"/>
        <w:lang w:val="en-US" w:eastAsia="en-US" w:bidi="ar-SA"/>
      </w:rPr>
    </w:lvl>
    <w:lvl w:ilvl="1" w:tplc="7F5665BA">
      <w:numFmt w:val="bullet"/>
      <w:lvlText w:val="•"/>
      <w:lvlJc w:val="left"/>
      <w:pPr>
        <w:ind w:left="1432" w:hanging="360"/>
      </w:pPr>
      <w:rPr>
        <w:rFonts w:hint="default"/>
        <w:lang w:val="en-US" w:eastAsia="en-US" w:bidi="ar-SA"/>
      </w:rPr>
    </w:lvl>
    <w:lvl w:ilvl="2" w:tplc="EC5C151C">
      <w:numFmt w:val="bullet"/>
      <w:lvlText w:val="•"/>
      <w:lvlJc w:val="left"/>
      <w:pPr>
        <w:ind w:left="2384" w:hanging="360"/>
      </w:pPr>
      <w:rPr>
        <w:rFonts w:hint="default"/>
        <w:lang w:val="en-US" w:eastAsia="en-US" w:bidi="ar-SA"/>
      </w:rPr>
    </w:lvl>
    <w:lvl w:ilvl="3" w:tplc="579C60C4">
      <w:numFmt w:val="bullet"/>
      <w:lvlText w:val="•"/>
      <w:lvlJc w:val="left"/>
      <w:pPr>
        <w:ind w:left="3337" w:hanging="360"/>
      </w:pPr>
      <w:rPr>
        <w:rFonts w:hint="default"/>
        <w:lang w:val="en-US" w:eastAsia="en-US" w:bidi="ar-SA"/>
      </w:rPr>
    </w:lvl>
    <w:lvl w:ilvl="4" w:tplc="D53E523A">
      <w:numFmt w:val="bullet"/>
      <w:lvlText w:val="•"/>
      <w:lvlJc w:val="left"/>
      <w:pPr>
        <w:ind w:left="4289" w:hanging="360"/>
      </w:pPr>
      <w:rPr>
        <w:rFonts w:hint="default"/>
        <w:lang w:val="en-US" w:eastAsia="en-US" w:bidi="ar-SA"/>
      </w:rPr>
    </w:lvl>
    <w:lvl w:ilvl="5" w:tplc="F2F06312">
      <w:numFmt w:val="bullet"/>
      <w:lvlText w:val="•"/>
      <w:lvlJc w:val="left"/>
      <w:pPr>
        <w:ind w:left="5242" w:hanging="360"/>
      </w:pPr>
      <w:rPr>
        <w:rFonts w:hint="default"/>
        <w:lang w:val="en-US" w:eastAsia="en-US" w:bidi="ar-SA"/>
      </w:rPr>
    </w:lvl>
    <w:lvl w:ilvl="6" w:tplc="3DF6730C">
      <w:numFmt w:val="bullet"/>
      <w:lvlText w:val="•"/>
      <w:lvlJc w:val="left"/>
      <w:pPr>
        <w:ind w:left="6194" w:hanging="360"/>
      </w:pPr>
      <w:rPr>
        <w:rFonts w:hint="default"/>
        <w:lang w:val="en-US" w:eastAsia="en-US" w:bidi="ar-SA"/>
      </w:rPr>
    </w:lvl>
    <w:lvl w:ilvl="7" w:tplc="11DA25C8">
      <w:numFmt w:val="bullet"/>
      <w:lvlText w:val="•"/>
      <w:lvlJc w:val="left"/>
      <w:pPr>
        <w:ind w:left="7147" w:hanging="360"/>
      </w:pPr>
      <w:rPr>
        <w:rFonts w:hint="default"/>
        <w:lang w:val="en-US" w:eastAsia="en-US" w:bidi="ar-SA"/>
      </w:rPr>
    </w:lvl>
    <w:lvl w:ilvl="8" w:tplc="B3D81D88">
      <w:numFmt w:val="bullet"/>
      <w:lvlText w:val="•"/>
      <w:lvlJc w:val="left"/>
      <w:pPr>
        <w:ind w:left="8099" w:hanging="360"/>
      </w:pPr>
      <w:rPr>
        <w:rFonts w:hint="default"/>
        <w:lang w:val="en-US" w:eastAsia="en-US" w:bidi="ar-SA"/>
      </w:rPr>
    </w:lvl>
  </w:abstractNum>
  <w:abstractNum w:abstractNumId="41" w15:restartNumberingAfterBreak="0">
    <w:nsid w:val="27C033B0"/>
    <w:multiLevelType w:val="hybridMultilevel"/>
    <w:tmpl w:val="2A9C073C"/>
    <w:lvl w:ilvl="0" w:tplc="CA14136E">
      <w:numFmt w:val="bullet"/>
      <w:lvlText w:val=""/>
      <w:lvlJc w:val="left"/>
      <w:pPr>
        <w:ind w:left="808" w:hanging="360"/>
      </w:pPr>
      <w:rPr>
        <w:rFonts w:ascii="Symbol" w:eastAsia="Symbol" w:hAnsi="Symbol" w:cs="Symbol" w:hint="default"/>
        <w:b w:val="0"/>
        <w:bCs w:val="0"/>
        <w:i w:val="0"/>
        <w:iCs w:val="0"/>
        <w:w w:val="99"/>
        <w:sz w:val="22"/>
        <w:szCs w:val="22"/>
        <w:lang w:val="en-US" w:eastAsia="en-US" w:bidi="ar-SA"/>
      </w:rPr>
    </w:lvl>
    <w:lvl w:ilvl="1" w:tplc="AFE67D86">
      <w:numFmt w:val="bullet"/>
      <w:lvlText w:val="•"/>
      <w:lvlJc w:val="left"/>
      <w:pPr>
        <w:ind w:left="943" w:hanging="360"/>
      </w:pPr>
      <w:rPr>
        <w:rFonts w:hint="default"/>
        <w:lang w:val="en-US" w:eastAsia="en-US" w:bidi="ar-SA"/>
      </w:rPr>
    </w:lvl>
    <w:lvl w:ilvl="2" w:tplc="164E046E">
      <w:numFmt w:val="bullet"/>
      <w:lvlText w:val="•"/>
      <w:lvlJc w:val="left"/>
      <w:pPr>
        <w:ind w:left="1087" w:hanging="360"/>
      </w:pPr>
      <w:rPr>
        <w:rFonts w:hint="default"/>
        <w:lang w:val="en-US" w:eastAsia="en-US" w:bidi="ar-SA"/>
      </w:rPr>
    </w:lvl>
    <w:lvl w:ilvl="3" w:tplc="389281FC">
      <w:numFmt w:val="bullet"/>
      <w:lvlText w:val="•"/>
      <w:lvlJc w:val="left"/>
      <w:pPr>
        <w:ind w:left="1230" w:hanging="360"/>
      </w:pPr>
      <w:rPr>
        <w:rFonts w:hint="default"/>
        <w:lang w:val="en-US" w:eastAsia="en-US" w:bidi="ar-SA"/>
      </w:rPr>
    </w:lvl>
    <w:lvl w:ilvl="4" w:tplc="1E1207D2">
      <w:numFmt w:val="bullet"/>
      <w:lvlText w:val="•"/>
      <w:lvlJc w:val="left"/>
      <w:pPr>
        <w:ind w:left="1374" w:hanging="360"/>
      </w:pPr>
      <w:rPr>
        <w:rFonts w:hint="default"/>
        <w:lang w:val="en-US" w:eastAsia="en-US" w:bidi="ar-SA"/>
      </w:rPr>
    </w:lvl>
    <w:lvl w:ilvl="5" w:tplc="4EAA61E2">
      <w:numFmt w:val="bullet"/>
      <w:lvlText w:val="•"/>
      <w:lvlJc w:val="left"/>
      <w:pPr>
        <w:ind w:left="1518" w:hanging="360"/>
      </w:pPr>
      <w:rPr>
        <w:rFonts w:hint="default"/>
        <w:lang w:val="en-US" w:eastAsia="en-US" w:bidi="ar-SA"/>
      </w:rPr>
    </w:lvl>
    <w:lvl w:ilvl="6" w:tplc="7076D140">
      <w:numFmt w:val="bullet"/>
      <w:lvlText w:val="•"/>
      <w:lvlJc w:val="left"/>
      <w:pPr>
        <w:ind w:left="1661" w:hanging="360"/>
      </w:pPr>
      <w:rPr>
        <w:rFonts w:hint="default"/>
        <w:lang w:val="en-US" w:eastAsia="en-US" w:bidi="ar-SA"/>
      </w:rPr>
    </w:lvl>
    <w:lvl w:ilvl="7" w:tplc="0ADE2802">
      <w:numFmt w:val="bullet"/>
      <w:lvlText w:val="•"/>
      <w:lvlJc w:val="left"/>
      <w:pPr>
        <w:ind w:left="1805" w:hanging="360"/>
      </w:pPr>
      <w:rPr>
        <w:rFonts w:hint="default"/>
        <w:lang w:val="en-US" w:eastAsia="en-US" w:bidi="ar-SA"/>
      </w:rPr>
    </w:lvl>
    <w:lvl w:ilvl="8" w:tplc="3154BD18">
      <w:numFmt w:val="bullet"/>
      <w:lvlText w:val="•"/>
      <w:lvlJc w:val="left"/>
      <w:pPr>
        <w:ind w:left="1948" w:hanging="360"/>
      </w:pPr>
      <w:rPr>
        <w:rFonts w:hint="default"/>
        <w:lang w:val="en-US" w:eastAsia="en-US" w:bidi="ar-SA"/>
      </w:rPr>
    </w:lvl>
  </w:abstractNum>
  <w:abstractNum w:abstractNumId="42" w15:restartNumberingAfterBreak="0">
    <w:nsid w:val="283C4979"/>
    <w:multiLevelType w:val="hybridMultilevel"/>
    <w:tmpl w:val="C7A0DA64"/>
    <w:lvl w:ilvl="0" w:tplc="F11676A2">
      <w:numFmt w:val="bullet"/>
      <w:lvlText w:val=""/>
      <w:lvlJc w:val="left"/>
      <w:pPr>
        <w:ind w:left="412" w:hanging="360"/>
      </w:pPr>
      <w:rPr>
        <w:rFonts w:ascii="Symbol" w:eastAsia="Symbol" w:hAnsi="Symbol" w:cs="Symbol" w:hint="default"/>
        <w:b w:val="0"/>
        <w:bCs w:val="0"/>
        <w:i w:val="0"/>
        <w:iCs w:val="0"/>
        <w:w w:val="100"/>
        <w:sz w:val="18"/>
        <w:szCs w:val="18"/>
        <w:lang w:val="en-US" w:eastAsia="en-US" w:bidi="ar-SA"/>
      </w:rPr>
    </w:lvl>
    <w:lvl w:ilvl="1" w:tplc="C1AA4E40">
      <w:numFmt w:val="bullet"/>
      <w:lvlText w:val="•"/>
      <w:lvlJc w:val="left"/>
      <w:pPr>
        <w:ind w:left="1121" w:hanging="360"/>
      </w:pPr>
      <w:rPr>
        <w:rFonts w:hint="default"/>
        <w:lang w:val="en-US" w:eastAsia="en-US" w:bidi="ar-SA"/>
      </w:rPr>
    </w:lvl>
    <w:lvl w:ilvl="2" w:tplc="4CE8D902">
      <w:numFmt w:val="bullet"/>
      <w:lvlText w:val="•"/>
      <w:lvlJc w:val="left"/>
      <w:pPr>
        <w:ind w:left="1822" w:hanging="360"/>
      </w:pPr>
      <w:rPr>
        <w:rFonts w:hint="default"/>
        <w:lang w:val="en-US" w:eastAsia="en-US" w:bidi="ar-SA"/>
      </w:rPr>
    </w:lvl>
    <w:lvl w:ilvl="3" w:tplc="E1865C56">
      <w:numFmt w:val="bullet"/>
      <w:lvlText w:val="•"/>
      <w:lvlJc w:val="left"/>
      <w:pPr>
        <w:ind w:left="2524" w:hanging="360"/>
      </w:pPr>
      <w:rPr>
        <w:rFonts w:hint="default"/>
        <w:lang w:val="en-US" w:eastAsia="en-US" w:bidi="ar-SA"/>
      </w:rPr>
    </w:lvl>
    <w:lvl w:ilvl="4" w:tplc="D5662282">
      <w:numFmt w:val="bullet"/>
      <w:lvlText w:val="•"/>
      <w:lvlJc w:val="left"/>
      <w:pPr>
        <w:ind w:left="3225" w:hanging="360"/>
      </w:pPr>
      <w:rPr>
        <w:rFonts w:hint="default"/>
        <w:lang w:val="en-US" w:eastAsia="en-US" w:bidi="ar-SA"/>
      </w:rPr>
    </w:lvl>
    <w:lvl w:ilvl="5" w:tplc="4C3E619E">
      <w:numFmt w:val="bullet"/>
      <w:lvlText w:val="•"/>
      <w:lvlJc w:val="left"/>
      <w:pPr>
        <w:ind w:left="3927" w:hanging="360"/>
      </w:pPr>
      <w:rPr>
        <w:rFonts w:hint="default"/>
        <w:lang w:val="en-US" w:eastAsia="en-US" w:bidi="ar-SA"/>
      </w:rPr>
    </w:lvl>
    <w:lvl w:ilvl="6" w:tplc="481003D6">
      <w:numFmt w:val="bullet"/>
      <w:lvlText w:val="•"/>
      <w:lvlJc w:val="left"/>
      <w:pPr>
        <w:ind w:left="4628" w:hanging="360"/>
      </w:pPr>
      <w:rPr>
        <w:rFonts w:hint="default"/>
        <w:lang w:val="en-US" w:eastAsia="en-US" w:bidi="ar-SA"/>
      </w:rPr>
    </w:lvl>
    <w:lvl w:ilvl="7" w:tplc="70D656EC">
      <w:numFmt w:val="bullet"/>
      <w:lvlText w:val="•"/>
      <w:lvlJc w:val="left"/>
      <w:pPr>
        <w:ind w:left="5329" w:hanging="360"/>
      </w:pPr>
      <w:rPr>
        <w:rFonts w:hint="default"/>
        <w:lang w:val="en-US" w:eastAsia="en-US" w:bidi="ar-SA"/>
      </w:rPr>
    </w:lvl>
    <w:lvl w:ilvl="8" w:tplc="0BE4A5A4">
      <w:numFmt w:val="bullet"/>
      <w:lvlText w:val="•"/>
      <w:lvlJc w:val="left"/>
      <w:pPr>
        <w:ind w:left="6031" w:hanging="360"/>
      </w:pPr>
      <w:rPr>
        <w:rFonts w:hint="default"/>
        <w:lang w:val="en-US" w:eastAsia="en-US" w:bidi="ar-SA"/>
      </w:rPr>
    </w:lvl>
  </w:abstractNum>
  <w:abstractNum w:abstractNumId="43" w15:restartNumberingAfterBreak="0">
    <w:nsid w:val="2D7C2D1B"/>
    <w:multiLevelType w:val="hybridMultilevel"/>
    <w:tmpl w:val="479CB9AA"/>
    <w:lvl w:ilvl="0" w:tplc="59FC80F4">
      <w:numFmt w:val="bullet"/>
      <w:lvlText w:val=""/>
      <w:lvlJc w:val="left"/>
      <w:pPr>
        <w:ind w:left="621" w:hanging="360"/>
      </w:pPr>
      <w:rPr>
        <w:rFonts w:ascii="Symbol" w:eastAsia="Symbol" w:hAnsi="Symbol" w:cs="Symbol" w:hint="default"/>
        <w:b w:val="0"/>
        <w:bCs w:val="0"/>
        <w:i w:val="0"/>
        <w:iCs w:val="0"/>
        <w:w w:val="99"/>
        <w:sz w:val="22"/>
        <w:szCs w:val="22"/>
        <w:lang w:val="en-US" w:eastAsia="en-US" w:bidi="ar-SA"/>
      </w:rPr>
    </w:lvl>
    <w:lvl w:ilvl="1" w:tplc="757ED296">
      <w:numFmt w:val="bullet"/>
      <w:lvlText w:val=""/>
      <w:lvlJc w:val="left"/>
      <w:pPr>
        <w:ind w:left="3416" w:hanging="360"/>
      </w:pPr>
      <w:rPr>
        <w:rFonts w:ascii="Symbol" w:eastAsia="Symbol" w:hAnsi="Symbol" w:cs="Symbol" w:hint="default"/>
        <w:b w:val="0"/>
        <w:bCs w:val="0"/>
        <w:i w:val="0"/>
        <w:iCs w:val="0"/>
        <w:w w:val="99"/>
        <w:sz w:val="22"/>
        <w:szCs w:val="22"/>
        <w:lang w:val="en-US" w:eastAsia="en-US" w:bidi="ar-SA"/>
      </w:rPr>
    </w:lvl>
    <w:lvl w:ilvl="2" w:tplc="442234CA">
      <w:numFmt w:val="bullet"/>
      <w:lvlText w:val="•"/>
      <w:lvlJc w:val="left"/>
      <w:pPr>
        <w:ind w:left="3861" w:hanging="360"/>
      </w:pPr>
      <w:rPr>
        <w:rFonts w:hint="default"/>
        <w:lang w:val="en-US" w:eastAsia="en-US" w:bidi="ar-SA"/>
      </w:rPr>
    </w:lvl>
    <w:lvl w:ilvl="3" w:tplc="80FA5E86">
      <w:numFmt w:val="bullet"/>
      <w:lvlText w:val="•"/>
      <w:lvlJc w:val="left"/>
      <w:pPr>
        <w:ind w:left="4302" w:hanging="360"/>
      </w:pPr>
      <w:rPr>
        <w:rFonts w:hint="default"/>
        <w:lang w:val="en-US" w:eastAsia="en-US" w:bidi="ar-SA"/>
      </w:rPr>
    </w:lvl>
    <w:lvl w:ilvl="4" w:tplc="A30800EA">
      <w:numFmt w:val="bullet"/>
      <w:lvlText w:val="•"/>
      <w:lvlJc w:val="left"/>
      <w:pPr>
        <w:ind w:left="4743" w:hanging="360"/>
      </w:pPr>
      <w:rPr>
        <w:rFonts w:hint="default"/>
        <w:lang w:val="en-US" w:eastAsia="en-US" w:bidi="ar-SA"/>
      </w:rPr>
    </w:lvl>
    <w:lvl w:ilvl="5" w:tplc="4D52CD70">
      <w:numFmt w:val="bullet"/>
      <w:lvlText w:val="•"/>
      <w:lvlJc w:val="left"/>
      <w:pPr>
        <w:ind w:left="5184" w:hanging="360"/>
      </w:pPr>
      <w:rPr>
        <w:rFonts w:hint="default"/>
        <w:lang w:val="en-US" w:eastAsia="en-US" w:bidi="ar-SA"/>
      </w:rPr>
    </w:lvl>
    <w:lvl w:ilvl="6" w:tplc="EE46BAFC">
      <w:numFmt w:val="bullet"/>
      <w:lvlText w:val="•"/>
      <w:lvlJc w:val="left"/>
      <w:pPr>
        <w:ind w:left="5625" w:hanging="360"/>
      </w:pPr>
      <w:rPr>
        <w:rFonts w:hint="default"/>
        <w:lang w:val="en-US" w:eastAsia="en-US" w:bidi="ar-SA"/>
      </w:rPr>
    </w:lvl>
    <w:lvl w:ilvl="7" w:tplc="D52C8F36">
      <w:numFmt w:val="bullet"/>
      <w:lvlText w:val="•"/>
      <w:lvlJc w:val="left"/>
      <w:pPr>
        <w:ind w:left="6066" w:hanging="360"/>
      </w:pPr>
      <w:rPr>
        <w:rFonts w:hint="default"/>
        <w:lang w:val="en-US" w:eastAsia="en-US" w:bidi="ar-SA"/>
      </w:rPr>
    </w:lvl>
    <w:lvl w:ilvl="8" w:tplc="95C29DA0">
      <w:numFmt w:val="bullet"/>
      <w:lvlText w:val="•"/>
      <w:lvlJc w:val="left"/>
      <w:pPr>
        <w:ind w:left="6507" w:hanging="360"/>
      </w:pPr>
      <w:rPr>
        <w:rFonts w:hint="default"/>
        <w:lang w:val="en-US" w:eastAsia="en-US" w:bidi="ar-SA"/>
      </w:rPr>
    </w:lvl>
  </w:abstractNum>
  <w:abstractNum w:abstractNumId="44" w15:restartNumberingAfterBreak="0">
    <w:nsid w:val="320D6BAE"/>
    <w:multiLevelType w:val="hybridMultilevel"/>
    <w:tmpl w:val="623ACBE4"/>
    <w:lvl w:ilvl="0" w:tplc="8938C518">
      <w:numFmt w:val="bullet"/>
      <w:lvlText w:val=""/>
      <w:lvlJc w:val="left"/>
      <w:pPr>
        <w:ind w:left="427" w:hanging="284"/>
      </w:pPr>
      <w:rPr>
        <w:rFonts w:ascii="Symbol" w:eastAsia="Symbol" w:hAnsi="Symbol" w:cs="Symbol" w:hint="default"/>
        <w:b w:val="0"/>
        <w:bCs w:val="0"/>
        <w:i w:val="0"/>
        <w:iCs w:val="0"/>
        <w:w w:val="100"/>
        <w:sz w:val="18"/>
        <w:szCs w:val="18"/>
        <w:lang w:val="en-US" w:eastAsia="en-US" w:bidi="ar-SA"/>
      </w:rPr>
    </w:lvl>
    <w:lvl w:ilvl="1" w:tplc="BCD23B44">
      <w:numFmt w:val="bullet"/>
      <w:lvlText w:val="•"/>
      <w:lvlJc w:val="left"/>
      <w:pPr>
        <w:ind w:left="831" w:hanging="284"/>
      </w:pPr>
      <w:rPr>
        <w:rFonts w:hint="default"/>
        <w:lang w:val="en-US" w:eastAsia="en-US" w:bidi="ar-SA"/>
      </w:rPr>
    </w:lvl>
    <w:lvl w:ilvl="2" w:tplc="11A8BE42">
      <w:numFmt w:val="bullet"/>
      <w:lvlText w:val="•"/>
      <w:lvlJc w:val="left"/>
      <w:pPr>
        <w:ind w:left="1242" w:hanging="284"/>
      </w:pPr>
      <w:rPr>
        <w:rFonts w:hint="default"/>
        <w:lang w:val="en-US" w:eastAsia="en-US" w:bidi="ar-SA"/>
      </w:rPr>
    </w:lvl>
    <w:lvl w:ilvl="3" w:tplc="87A65B72">
      <w:numFmt w:val="bullet"/>
      <w:lvlText w:val="•"/>
      <w:lvlJc w:val="left"/>
      <w:pPr>
        <w:ind w:left="1653" w:hanging="284"/>
      </w:pPr>
      <w:rPr>
        <w:rFonts w:hint="default"/>
        <w:lang w:val="en-US" w:eastAsia="en-US" w:bidi="ar-SA"/>
      </w:rPr>
    </w:lvl>
    <w:lvl w:ilvl="4" w:tplc="B3AC8514">
      <w:numFmt w:val="bullet"/>
      <w:lvlText w:val="•"/>
      <w:lvlJc w:val="left"/>
      <w:pPr>
        <w:ind w:left="2064" w:hanging="284"/>
      </w:pPr>
      <w:rPr>
        <w:rFonts w:hint="default"/>
        <w:lang w:val="en-US" w:eastAsia="en-US" w:bidi="ar-SA"/>
      </w:rPr>
    </w:lvl>
    <w:lvl w:ilvl="5" w:tplc="C1265E84">
      <w:numFmt w:val="bullet"/>
      <w:lvlText w:val="•"/>
      <w:lvlJc w:val="left"/>
      <w:pPr>
        <w:ind w:left="2475" w:hanging="284"/>
      </w:pPr>
      <w:rPr>
        <w:rFonts w:hint="default"/>
        <w:lang w:val="en-US" w:eastAsia="en-US" w:bidi="ar-SA"/>
      </w:rPr>
    </w:lvl>
    <w:lvl w:ilvl="6" w:tplc="77289BE8">
      <w:numFmt w:val="bullet"/>
      <w:lvlText w:val="•"/>
      <w:lvlJc w:val="left"/>
      <w:pPr>
        <w:ind w:left="2886" w:hanging="284"/>
      </w:pPr>
      <w:rPr>
        <w:rFonts w:hint="default"/>
        <w:lang w:val="en-US" w:eastAsia="en-US" w:bidi="ar-SA"/>
      </w:rPr>
    </w:lvl>
    <w:lvl w:ilvl="7" w:tplc="890864E6">
      <w:numFmt w:val="bullet"/>
      <w:lvlText w:val="•"/>
      <w:lvlJc w:val="left"/>
      <w:pPr>
        <w:ind w:left="3297" w:hanging="284"/>
      </w:pPr>
      <w:rPr>
        <w:rFonts w:hint="default"/>
        <w:lang w:val="en-US" w:eastAsia="en-US" w:bidi="ar-SA"/>
      </w:rPr>
    </w:lvl>
    <w:lvl w:ilvl="8" w:tplc="53AE90E2">
      <w:numFmt w:val="bullet"/>
      <w:lvlText w:val="•"/>
      <w:lvlJc w:val="left"/>
      <w:pPr>
        <w:ind w:left="3708" w:hanging="284"/>
      </w:pPr>
      <w:rPr>
        <w:rFonts w:hint="default"/>
        <w:lang w:val="en-US" w:eastAsia="en-US" w:bidi="ar-SA"/>
      </w:rPr>
    </w:lvl>
  </w:abstractNum>
  <w:abstractNum w:abstractNumId="45" w15:restartNumberingAfterBreak="0">
    <w:nsid w:val="32B21AB7"/>
    <w:multiLevelType w:val="hybridMultilevel"/>
    <w:tmpl w:val="40E26C66"/>
    <w:lvl w:ilvl="0" w:tplc="E5AA53DC">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8F5AD7A6">
      <w:numFmt w:val="bullet"/>
      <w:lvlText w:val="•"/>
      <w:lvlJc w:val="left"/>
      <w:pPr>
        <w:ind w:left="1147" w:hanging="360"/>
      </w:pPr>
      <w:rPr>
        <w:rFonts w:hint="default"/>
        <w:lang w:val="en-US" w:eastAsia="en-US" w:bidi="ar-SA"/>
      </w:rPr>
    </w:lvl>
    <w:lvl w:ilvl="2" w:tplc="B49C579E">
      <w:numFmt w:val="bullet"/>
      <w:lvlText w:val="•"/>
      <w:lvlJc w:val="left"/>
      <w:pPr>
        <w:ind w:left="1835" w:hanging="360"/>
      </w:pPr>
      <w:rPr>
        <w:rFonts w:hint="default"/>
        <w:lang w:val="en-US" w:eastAsia="en-US" w:bidi="ar-SA"/>
      </w:rPr>
    </w:lvl>
    <w:lvl w:ilvl="3" w:tplc="9DE4B124">
      <w:numFmt w:val="bullet"/>
      <w:lvlText w:val="•"/>
      <w:lvlJc w:val="left"/>
      <w:pPr>
        <w:ind w:left="2522" w:hanging="360"/>
      </w:pPr>
      <w:rPr>
        <w:rFonts w:hint="default"/>
        <w:lang w:val="en-US" w:eastAsia="en-US" w:bidi="ar-SA"/>
      </w:rPr>
    </w:lvl>
    <w:lvl w:ilvl="4" w:tplc="4EBA8730">
      <w:numFmt w:val="bullet"/>
      <w:lvlText w:val="•"/>
      <w:lvlJc w:val="left"/>
      <w:pPr>
        <w:ind w:left="3210" w:hanging="360"/>
      </w:pPr>
      <w:rPr>
        <w:rFonts w:hint="default"/>
        <w:lang w:val="en-US" w:eastAsia="en-US" w:bidi="ar-SA"/>
      </w:rPr>
    </w:lvl>
    <w:lvl w:ilvl="5" w:tplc="A8925436">
      <w:numFmt w:val="bullet"/>
      <w:lvlText w:val="•"/>
      <w:lvlJc w:val="left"/>
      <w:pPr>
        <w:ind w:left="3897" w:hanging="360"/>
      </w:pPr>
      <w:rPr>
        <w:rFonts w:hint="default"/>
        <w:lang w:val="en-US" w:eastAsia="en-US" w:bidi="ar-SA"/>
      </w:rPr>
    </w:lvl>
    <w:lvl w:ilvl="6" w:tplc="363E51AA">
      <w:numFmt w:val="bullet"/>
      <w:lvlText w:val="•"/>
      <w:lvlJc w:val="left"/>
      <w:pPr>
        <w:ind w:left="4585" w:hanging="360"/>
      </w:pPr>
      <w:rPr>
        <w:rFonts w:hint="default"/>
        <w:lang w:val="en-US" w:eastAsia="en-US" w:bidi="ar-SA"/>
      </w:rPr>
    </w:lvl>
    <w:lvl w:ilvl="7" w:tplc="532A057A">
      <w:numFmt w:val="bullet"/>
      <w:lvlText w:val="•"/>
      <w:lvlJc w:val="left"/>
      <w:pPr>
        <w:ind w:left="5272" w:hanging="360"/>
      </w:pPr>
      <w:rPr>
        <w:rFonts w:hint="default"/>
        <w:lang w:val="en-US" w:eastAsia="en-US" w:bidi="ar-SA"/>
      </w:rPr>
    </w:lvl>
    <w:lvl w:ilvl="8" w:tplc="75C0D230">
      <w:numFmt w:val="bullet"/>
      <w:lvlText w:val="•"/>
      <w:lvlJc w:val="left"/>
      <w:pPr>
        <w:ind w:left="5960" w:hanging="360"/>
      </w:pPr>
      <w:rPr>
        <w:rFonts w:hint="default"/>
        <w:lang w:val="en-US" w:eastAsia="en-US" w:bidi="ar-SA"/>
      </w:rPr>
    </w:lvl>
  </w:abstractNum>
  <w:abstractNum w:abstractNumId="46" w15:restartNumberingAfterBreak="0">
    <w:nsid w:val="334466FC"/>
    <w:multiLevelType w:val="hybridMultilevel"/>
    <w:tmpl w:val="4CF23C4E"/>
    <w:lvl w:ilvl="0" w:tplc="0FD60A26">
      <w:numFmt w:val="bullet"/>
      <w:lvlText w:val=""/>
      <w:lvlJc w:val="left"/>
      <w:pPr>
        <w:ind w:left="375" w:hanging="358"/>
      </w:pPr>
      <w:rPr>
        <w:rFonts w:ascii="Symbol" w:eastAsia="Symbol" w:hAnsi="Symbol" w:cs="Symbol" w:hint="default"/>
        <w:b w:val="0"/>
        <w:bCs w:val="0"/>
        <w:i w:val="0"/>
        <w:iCs w:val="0"/>
        <w:w w:val="100"/>
        <w:sz w:val="18"/>
        <w:szCs w:val="18"/>
        <w:lang w:val="en-US" w:eastAsia="en-US" w:bidi="ar-SA"/>
      </w:rPr>
    </w:lvl>
    <w:lvl w:ilvl="1" w:tplc="A14A0DC0">
      <w:numFmt w:val="bullet"/>
      <w:lvlText w:val="•"/>
      <w:lvlJc w:val="left"/>
      <w:pPr>
        <w:ind w:left="1085" w:hanging="358"/>
      </w:pPr>
      <w:rPr>
        <w:rFonts w:hint="default"/>
        <w:lang w:val="en-US" w:eastAsia="en-US" w:bidi="ar-SA"/>
      </w:rPr>
    </w:lvl>
    <w:lvl w:ilvl="2" w:tplc="E95AB97C">
      <w:numFmt w:val="bullet"/>
      <w:lvlText w:val="•"/>
      <w:lvlJc w:val="left"/>
      <w:pPr>
        <w:ind w:left="1790" w:hanging="358"/>
      </w:pPr>
      <w:rPr>
        <w:rFonts w:hint="default"/>
        <w:lang w:val="en-US" w:eastAsia="en-US" w:bidi="ar-SA"/>
      </w:rPr>
    </w:lvl>
    <w:lvl w:ilvl="3" w:tplc="4B14BDC4">
      <w:numFmt w:val="bullet"/>
      <w:lvlText w:val="•"/>
      <w:lvlJc w:val="left"/>
      <w:pPr>
        <w:ind w:left="2496" w:hanging="358"/>
      </w:pPr>
      <w:rPr>
        <w:rFonts w:hint="default"/>
        <w:lang w:val="en-US" w:eastAsia="en-US" w:bidi="ar-SA"/>
      </w:rPr>
    </w:lvl>
    <w:lvl w:ilvl="4" w:tplc="8676D722">
      <w:numFmt w:val="bullet"/>
      <w:lvlText w:val="•"/>
      <w:lvlJc w:val="left"/>
      <w:pPr>
        <w:ind w:left="3201" w:hanging="358"/>
      </w:pPr>
      <w:rPr>
        <w:rFonts w:hint="default"/>
        <w:lang w:val="en-US" w:eastAsia="en-US" w:bidi="ar-SA"/>
      </w:rPr>
    </w:lvl>
    <w:lvl w:ilvl="5" w:tplc="DF566B1E">
      <w:numFmt w:val="bullet"/>
      <w:lvlText w:val="•"/>
      <w:lvlJc w:val="left"/>
      <w:pPr>
        <w:ind w:left="3907" w:hanging="358"/>
      </w:pPr>
      <w:rPr>
        <w:rFonts w:hint="default"/>
        <w:lang w:val="en-US" w:eastAsia="en-US" w:bidi="ar-SA"/>
      </w:rPr>
    </w:lvl>
    <w:lvl w:ilvl="6" w:tplc="D132EFF2">
      <w:numFmt w:val="bullet"/>
      <w:lvlText w:val="•"/>
      <w:lvlJc w:val="left"/>
      <w:pPr>
        <w:ind w:left="4612" w:hanging="358"/>
      </w:pPr>
      <w:rPr>
        <w:rFonts w:hint="default"/>
        <w:lang w:val="en-US" w:eastAsia="en-US" w:bidi="ar-SA"/>
      </w:rPr>
    </w:lvl>
    <w:lvl w:ilvl="7" w:tplc="C9683F68">
      <w:numFmt w:val="bullet"/>
      <w:lvlText w:val="•"/>
      <w:lvlJc w:val="left"/>
      <w:pPr>
        <w:ind w:left="5317" w:hanging="358"/>
      </w:pPr>
      <w:rPr>
        <w:rFonts w:hint="default"/>
        <w:lang w:val="en-US" w:eastAsia="en-US" w:bidi="ar-SA"/>
      </w:rPr>
    </w:lvl>
    <w:lvl w:ilvl="8" w:tplc="01B033D0">
      <w:numFmt w:val="bullet"/>
      <w:lvlText w:val="•"/>
      <w:lvlJc w:val="left"/>
      <w:pPr>
        <w:ind w:left="6023" w:hanging="358"/>
      </w:pPr>
      <w:rPr>
        <w:rFonts w:hint="default"/>
        <w:lang w:val="en-US" w:eastAsia="en-US" w:bidi="ar-SA"/>
      </w:rPr>
    </w:lvl>
  </w:abstractNum>
  <w:abstractNum w:abstractNumId="47" w15:restartNumberingAfterBreak="0">
    <w:nsid w:val="335C19E1"/>
    <w:multiLevelType w:val="hybridMultilevel"/>
    <w:tmpl w:val="27E28FE8"/>
    <w:lvl w:ilvl="0" w:tplc="26B686F0">
      <w:numFmt w:val="bullet"/>
      <w:lvlText w:val=""/>
      <w:lvlJc w:val="left"/>
      <w:pPr>
        <w:ind w:left="556" w:hanging="360"/>
      </w:pPr>
      <w:rPr>
        <w:rFonts w:ascii="Symbol" w:eastAsia="Symbol" w:hAnsi="Symbol" w:cs="Symbol" w:hint="default"/>
        <w:b w:val="0"/>
        <w:bCs w:val="0"/>
        <w:i w:val="0"/>
        <w:iCs w:val="0"/>
        <w:w w:val="99"/>
        <w:sz w:val="22"/>
        <w:szCs w:val="22"/>
        <w:lang w:val="en-US" w:eastAsia="en-US" w:bidi="ar-SA"/>
      </w:rPr>
    </w:lvl>
    <w:lvl w:ilvl="1" w:tplc="4FC25FDC">
      <w:numFmt w:val="bullet"/>
      <w:lvlText w:val="•"/>
      <w:lvlJc w:val="left"/>
      <w:pPr>
        <w:ind w:left="1132" w:hanging="360"/>
      </w:pPr>
      <w:rPr>
        <w:rFonts w:hint="default"/>
        <w:lang w:val="en-US" w:eastAsia="en-US" w:bidi="ar-SA"/>
      </w:rPr>
    </w:lvl>
    <w:lvl w:ilvl="2" w:tplc="DE921A24">
      <w:numFmt w:val="bullet"/>
      <w:lvlText w:val="•"/>
      <w:lvlJc w:val="left"/>
      <w:pPr>
        <w:ind w:left="1704" w:hanging="360"/>
      </w:pPr>
      <w:rPr>
        <w:rFonts w:hint="default"/>
        <w:lang w:val="en-US" w:eastAsia="en-US" w:bidi="ar-SA"/>
      </w:rPr>
    </w:lvl>
    <w:lvl w:ilvl="3" w:tplc="6108DDE6">
      <w:numFmt w:val="bullet"/>
      <w:lvlText w:val="•"/>
      <w:lvlJc w:val="left"/>
      <w:pPr>
        <w:ind w:left="2276" w:hanging="360"/>
      </w:pPr>
      <w:rPr>
        <w:rFonts w:hint="default"/>
        <w:lang w:val="en-US" w:eastAsia="en-US" w:bidi="ar-SA"/>
      </w:rPr>
    </w:lvl>
    <w:lvl w:ilvl="4" w:tplc="43347DFE">
      <w:numFmt w:val="bullet"/>
      <w:lvlText w:val="•"/>
      <w:lvlJc w:val="left"/>
      <w:pPr>
        <w:ind w:left="2848" w:hanging="360"/>
      </w:pPr>
      <w:rPr>
        <w:rFonts w:hint="default"/>
        <w:lang w:val="en-US" w:eastAsia="en-US" w:bidi="ar-SA"/>
      </w:rPr>
    </w:lvl>
    <w:lvl w:ilvl="5" w:tplc="F8B86506">
      <w:numFmt w:val="bullet"/>
      <w:lvlText w:val="•"/>
      <w:lvlJc w:val="left"/>
      <w:pPr>
        <w:ind w:left="3420" w:hanging="360"/>
      </w:pPr>
      <w:rPr>
        <w:rFonts w:hint="default"/>
        <w:lang w:val="en-US" w:eastAsia="en-US" w:bidi="ar-SA"/>
      </w:rPr>
    </w:lvl>
    <w:lvl w:ilvl="6" w:tplc="FD0A1A64">
      <w:numFmt w:val="bullet"/>
      <w:lvlText w:val="•"/>
      <w:lvlJc w:val="left"/>
      <w:pPr>
        <w:ind w:left="3992" w:hanging="360"/>
      </w:pPr>
      <w:rPr>
        <w:rFonts w:hint="default"/>
        <w:lang w:val="en-US" w:eastAsia="en-US" w:bidi="ar-SA"/>
      </w:rPr>
    </w:lvl>
    <w:lvl w:ilvl="7" w:tplc="F6A4A13C">
      <w:numFmt w:val="bullet"/>
      <w:lvlText w:val="•"/>
      <w:lvlJc w:val="left"/>
      <w:pPr>
        <w:ind w:left="4564" w:hanging="360"/>
      </w:pPr>
      <w:rPr>
        <w:rFonts w:hint="default"/>
        <w:lang w:val="en-US" w:eastAsia="en-US" w:bidi="ar-SA"/>
      </w:rPr>
    </w:lvl>
    <w:lvl w:ilvl="8" w:tplc="0F3CC224">
      <w:numFmt w:val="bullet"/>
      <w:lvlText w:val="•"/>
      <w:lvlJc w:val="left"/>
      <w:pPr>
        <w:ind w:left="5136" w:hanging="360"/>
      </w:pPr>
      <w:rPr>
        <w:rFonts w:hint="default"/>
        <w:lang w:val="en-US" w:eastAsia="en-US" w:bidi="ar-SA"/>
      </w:rPr>
    </w:lvl>
  </w:abstractNum>
  <w:abstractNum w:abstractNumId="48" w15:restartNumberingAfterBreak="0">
    <w:nsid w:val="353E5622"/>
    <w:multiLevelType w:val="hybridMultilevel"/>
    <w:tmpl w:val="4F3621CC"/>
    <w:lvl w:ilvl="0" w:tplc="0518B7B8">
      <w:numFmt w:val="bullet"/>
      <w:lvlText w:val=""/>
      <w:lvlJc w:val="left"/>
      <w:pPr>
        <w:ind w:left="427" w:hanging="284"/>
      </w:pPr>
      <w:rPr>
        <w:rFonts w:ascii="Symbol" w:eastAsia="Symbol" w:hAnsi="Symbol" w:cs="Symbol" w:hint="default"/>
        <w:b w:val="0"/>
        <w:bCs w:val="0"/>
        <w:i w:val="0"/>
        <w:iCs w:val="0"/>
        <w:w w:val="100"/>
        <w:sz w:val="18"/>
        <w:szCs w:val="18"/>
        <w:lang w:val="en-US" w:eastAsia="en-US" w:bidi="ar-SA"/>
      </w:rPr>
    </w:lvl>
    <w:lvl w:ilvl="1" w:tplc="A2CC0E56">
      <w:numFmt w:val="bullet"/>
      <w:lvlText w:val="•"/>
      <w:lvlJc w:val="left"/>
      <w:pPr>
        <w:ind w:left="831" w:hanging="284"/>
      </w:pPr>
      <w:rPr>
        <w:rFonts w:hint="default"/>
        <w:lang w:val="en-US" w:eastAsia="en-US" w:bidi="ar-SA"/>
      </w:rPr>
    </w:lvl>
    <w:lvl w:ilvl="2" w:tplc="49243D82">
      <w:numFmt w:val="bullet"/>
      <w:lvlText w:val="•"/>
      <w:lvlJc w:val="left"/>
      <w:pPr>
        <w:ind w:left="1242" w:hanging="284"/>
      </w:pPr>
      <w:rPr>
        <w:rFonts w:hint="default"/>
        <w:lang w:val="en-US" w:eastAsia="en-US" w:bidi="ar-SA"/>
      </w:rPr>
    </w:lvl>
    <w:lvl w:ilvl="3" w:tplc="247AB3AA">
      <w:numFmt w:val="bullet"/>
      <w:lvlText w:val="•"/>
      <w:lvlJc w:val="left"/>
      <w:pPr>
        <w:ind w:left="1653" w:hanging="284"/>
      </w:pPr>
      <w:rPr>
        <w:rFonts w:hint="default"/>
        <w:lang w:val="en-US" w:eastAsia="en-US" w:bidi="ar-SA"/>
      </w:rPr>
    </w:lvl>
    <w:lvl w:ilvl="4" w:tplc="25989F2A">
      <w:numFmt w:val="bullet"/>
      <w:lvlText w:val="•"/>
      <w:lvlJc w:val="left"/>
      <w:pPr>
        <w:ind w:left="2064" w:hanging="284"/>
      </w:pPr>
      <w:rPr>
        <w:rFonts w:hint="default"/>
        <w:lang w:val="en-US" w:eastAsia="en-US" w:bidi="ar-SA"/>
      </w:rPr>
    </w:lvl>
    <w:lvl w:ilvl="5" w:tplc="9190DD50">
      <w:numFmt w:val="bullet"/>
      <w:lvlText w:val="•"/>
      <w:lvlJc w:val="left"/>
      <w:pPr>
        <w:ind w:left="2475" w:hanging="284"/>
      </w:pPr>
      <w:rPr>
        <w:rFonts w:hint="default"/>
        <w:lang w:val="en-US" w:eastAsia="en-US" w:bidi="ar-SA"/>
      </w:rPr>
    </w:lvl>
    <w:lvl w:ilvl="6" w:tplc="F1E6CEE4">
      <w:numFmt w:val="bullet"/>
      <w:lvlText w:val="•"/>
      <w:lvlJc w:val="left"/>
      <w:pPr>
        <w:ind w:left="2886" w:hanging="284"/>
      </w:pPr>
      <w:rPr>
        <w:rFonts w:hint="default"/>
        <w:lang w:val="en-US" w:eastAsia="en-US" w:bidi="ar-SA"/>
      </w:rPr>
    </w:lvl>
    <w:lvl w:ilvl="7" w:tplc="BF688F60">
      <w:numFmt w:val="bullet"/>
      <w:lvlText w:val="•"/>
      <w:lvlJc w:val="left"/>
      <w:pPr>
        <w:ind w:left="3297" w:hanging="284"/>
      </w:pPr>
      <w:rPr>
        <w:rFonts w:hint="default"/>
        <w:lang w:val="en-US" w:eastAsia="en-US" w:bidi="ar-SA"/>
      </w:rPr>
    </w:lvl>
    <w:lvl w:ilvl="8" w:tplc="EE2A6B44">
      <w:numFmt w:val="bullet"/>
      <w:lvlText w:val="•"/>
      <w:lvlJc w:val="left"/>
      <w:pPr>
        <w:ind w:left="3708" w:hanging="284"/>
      </w:pPr>
      <w:rPr>
        <w:rFonts w:hint="default"/>
        <w:lang w:val="en-US" w:eastAsia="en-US" w:bidi="ar-SA"/>
      </w:rPr>
    </w:lvl>
  </w:abstractNum>
  <w:abstractNum w:abstractNumId="49" w15:restartNumberingAfterBreak="0">
    <w:nsid w:val="365C1E60"/>
    <w:multiLevelType w:val="hybridMultilevel"/>
    <w:tmpl w:val="FB688E0E"/>
    <w:lvl w:ilvl="0" w:tplc="4B86D75A">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451A5E24">
      <w:numFmt w:val="bullet"/>
      <w:lvlText w:val="•"/>
      <w:lvlJc w:val="left"/>
      <w:pPr>
        <w:ind w:left="1147" w:hanging="360"/>
      </w:pPr>
      <w:rPr>
        <w:rFonts w:hint="default"/>
        <w:lang w:val="en-US" w:eastAsia="en-US" w:bidi="ar-SA"/>
      </w:rPr>
    </w:lvl>
    <w:lvl w:ilvl="2" w:tplc="137E4360">
      <w:numFmt w:val="bullet"/>
      <w:lvlText w:val="•"/>
      <w:lvlJc w:val="left"/>
      <w:pPr>
        <w:ind w:left="1835" w:hanging="360"/>
      </w:pPr>
      <w:rPr>
        <w:rFonts w:hint="default"/>
        <w:lang w:val="en-US" w:eastAsia="en-US" w:bidi="ar-SA"/>
      </w:rPr>
    </w:lvl>
    <w:lvl w:ilvl="3" w:tplc="0B9CDFBE">
      <w:numFmt w:val="bullet"/>
      <w:lvlText w:val="•"/>
      <w:lvlJc w:val="left"/>
      <w:pPr>
        <w:ind w:left="2522" w:hanging="360"/>
      </w:pPr>
      <w:rPr>
        <w:rFonts w:hint="default"/>
        <w:lang w:val="en-US" w:eastAsia="en-US" w:bidi="ar-SA"/>
      </w:rPr>
    </w:lvl>
    <w:lvl w:ilvl="4" w:tplc="105C1DB8">
      <w:numFmt w:val="bullet"/>
      <w:lvlText w:val="•"/>
      <w:lvlJc w:val="left"/>
      <w:pPr>
        <w:ind w:left="3210" w:hanging="360"/>
      </w:pPr>
      <w:rPr>
        <w:rFonts w:hint="default"/>
        <w:lang w:val="en-US" w:eastAsia="en-US" w:bidi="ar-SA"/>
      </w:rPr>
    </w:lvl>
    <w:lvl w:ilvl="5" w:tplc="8D44DC80">
      <w:numFmt w:val="bullet"/>
      <w:lvlText w:val="•"/>
      <w:lvlJc w:val="left"/>
      <w:pPr>
        <w:ind w:left="3897" w:hanging="360"/>
      </w:pPr>
      <w:rPr>
        <w:rFonts w:hint="default"/>
        <w:lang w:val="en-US" w:eastAsia="en-US" w:bidi="ar-SA"/>
      </w:rPr>
    </w:lvl>
    <w:lvl w:ilvl="6" w:tplc="BB3A5918">
      <w:numFmt w:val="bullet"/>
      <w:lvlText w:val="•"/>
      <w:lvlJc w:val="left"/>
      <w:pPr>
        <w:ind w:left="4585" w:hanging="360"/>
      </w:pPr>
      <w:rPr>
        <w:rFonts w:hint="default"/>
        <w:lang w:val="en-US" w:eastAsia="en-US" w:bidi="ar-SA"/>
      </w:rPr>
    </w:lvl>
    <w:lvl w:ilvl="7" w:tplc="5658DD5A">
      <w:numFmt w:val="bullet"/>
      <w:lvlText w:val="•"/>
      <w:lvlJc w:val="left"/>
      <w:pPr>
        <w:ind w:left="5272" w:hanging="360"/>
      </w:pPr>
      <w:rPr>
        <w:rFonts w:hint="default"/>
        <w:lang w:val="en-US" w:eastAsia="en-US" w:bidi="ar-SA"/>
      </w:rPr>
    </w:lvl>
    <w:lvl w:ilvl="8" w:tplc="6A12D4D8">
      <w:numFmt w:val="bullet"/>
      <w:lvlText w:val="•"/>
      <w:lvlJc w:val="left"/>
      <w:pPr>
        <w:ind w:left="5960" w:hanging="360"/>
      </w:pPr>
      <w:rPr>
        <w:rFonts w:hint="default"/>
        <w:lang w:val="en-US" w:eastAsia="en-US" w:bidi="ar-SA"/>
      </w:rPr>
    </w:lvl>
  </w:abstractNum>
  <w:abstractNum w:abstractNumId="50" w15:restartNumberingAfterBreak="0">
    <w:nsid w:val="37A20809"/>
    <w:multiLevelType w:val="hybridMultilevel"/>
    <w:tmpl w:val="01EE5292"/>
    <w:lvl w:ilvl="0" w:tplc="2A44BD3E">
      <w:numFmt w:val="bullet"/>
      <w:lvlText w:val=""/>
      <w:lvlJc w:val="left"/>
      <w:pPr>
        <w:ind w:left="873" w:hanging="360"/>
      </w:pPr>
      <w:rPr>
        <w:rFonts w:ascii="Symbol" w:eastAsia="Symbol" w:hAnsi="Symbol" w:cs="Symbol" w:hint="default"/>
        <w:b w:val="0"/>
        <w:bCs w:val="0"/>
        <w:i w:val="0"/>
        <w:iCs w:val="0"/>
        <w:w w:val="99"/>
        <w:sz w:val="22"/>
        <w:szCs w:val="22"/>
        <w:lang w:val="en-US" w:eastAsia="en-US" w:bidi="ar-SA"/>
      </w:rPr>
    </w:lvl>
    <w:lvl w:ilvl="1" w:tplc="76DC6AB2">
      <w:numFmt w:val="bullet"/>
      <w:lvlText w:val="•"/>
      <w:lvlJc w:val="left"/>
      <w:pPr>
        <w:ind w:left="1810" w:hanging="360"/>
      </w:pPr>
      <w:rPr>
        <w:rFonts w:hint="default"/>
        <w:lang w:val="en-US" w:eastAsia="en-US" w:bidi="ar-SA"/>
      </w:rPr>
    </w:lvl>
    <w:lvl w:ilvl="2" w:tplc="C32E51E8">
      <w:numFmt w:val="bullet"/>
      <w:lvlText w:val="•"/>
      <w:lvlJc w:val="left"/>
      <w:pPr>
        <w:ind w:left="2740" w:hanging="360"/>
      </w:pPr>
      <w:rPr>
        <w:rFonts w:hint="default"/>
        <w:lang w:val="en-US" w:eastAsia="en-US" w:bidi="ar-SA"/>
      </w:rPr>
    </w:lvl>
    <w:lvl w:ilvl="3" w:tplc="CAEEC946">
      <w:numFmt w:val="bullet"/>
      <w:lvlText w:val="•"/>
      <w:lvlJc w:val="left"/>
      <w:pPr>
        <w:ind w:left="3671" w:hanging="360"/>
      </w:pPr>
      <w:rPr>
        <w:rFonts w:hint="default"/>
        <w:lang w:val="en-US" w:eastAsia="en-US" w:bidi="ar-SA"/>
      </w:rPr>
    </w:lvl>
    <w:lvl w:ilvl="4" w:tplc="14989424">
      <w:numFmt w:val="bullet"/>
      <w:lvlText w:val="•"/>
      <w:lvlJc w:val="left"/>
      <w:pPr>
        <w:ind w:left="4601" w:hanging="360"/>
      </w:pPr>
      <w:rPr>
        <w:rFonts w:hint="default"/>
        <w:lang w:val="en-US" w:eastAsia="en-US" w:bidi="ar-SA"/>
      </w:rPr>
    </w:lvl>
    <w:lvl w:ilvl="5" w:tplc="8ED03BF0">
      <w:numFmt w:val="bullet"/>
      <w:lvlText w:val="•"/>
      <w:lvlJc w:val="left"/>
      <w:pPr>
        <w:ind w:left="5532" w:hanging="360"/>
      </w:pPr>
      <w:rPr>
        <w:rFonts w:hint="default"/>
        <w:lang w:val="en-US" w:eastAsia="en-US" w:bidi="ar-SA"/>
      </w:rPr>
    </w:lvl>
    <w:lvl w:ilvl="6" w:tplc="BD8C14C6">
      <w:numFmt w:val="bullet"/>
      <w:lvlText w:val="•"/>
      <w:lvlJc w:val="left"/>
      <w:pPr>
        <w:ind w:left="6462" w:hanging="360"/>
      </w:pPr>
      <w:rPr>
        <w:rFonts w:hint="default"/>
        <w:lang w:val="en-US" w:eastAsia="en-US" w:bidi="ar-SA"/>
      </w:rPr>
    </w:lvl>
    <w:lvl w:ilvl="7" w:tplc="3780B050">
      <w:numFmt w:val="bullet"/>
      <w:lvlText w:val="•"/>
      <w:lvlJc w:val="left"/>
      <w:pPr>
        <w:ind w:left="7393" w:hanging="360"/>
      </w:pPr>
      <w:rPr>
        <w:rFonts w:hint="default"/>
        <w:lang w:val="en-US" w:eastAsia="en-US" w:bidi="ar-SA"/>
      </w:rPr>
    </w:lvl>
    <w:lvl w:ilvl="8" w:tplc="5A864856">
      <w:numFmt w:val="bullet"/>
      <w:lvlText w:val="•"/>
      <w:lvlJc w:val="left"/>
      <w:pPr>
        <w:ind w:left="8323" w:hanging="360"/>
      </w:pPr>
      <w:rPr>
        <w:rFonts w:hint="default"/>
        <w:lang w:val="en-US" w:eastAsia="en-US" w:bidi="ar-SA"/>
      </w:rPr>
    </w:lvl>
  </w:abstractNum>
  <w:abstractNum w:abstractNumId="51" w15:restartNumberingAfterBreak="0">
    <w:nsid w:val="37CF3391"/>
    <w:multiLevelType w:val="hybridMultilevel"/>
    <w:tmpl w:val="05EEB70E"/>
    <w:lvl w:ilvl="0" w:tplc="0B181CB0">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D4066622">
      <w:numFmt w:val="bullet"/>
      <w:lvlText w:val="•"/>
      <w:lvlJc w:val="left"/>
      <w:pPr>
        <w:ind w:left="1085" w:hanging="360"/>
      </w:pPr>
      <w:rPr>
        <w:rFonts w:hint="default"/>
        <w:lang w:val="en-US" w:eastAsia="en-US" w:bidi="ar-SA"/>
      </w:rPr>
    </w:lvl>
    <w:lvl w:ilvl="2" w:tplc="86AAA3FC">
      <w:numFmt w:val="bullet"/>
      <w:lvlText w:val="•"/>
      <w:lvlJc w:val="left"/>
      <w:pPr>
        <w:ind w:left="1790" w:hanging="360"/>
      </w:pPr>
      <w:rPr>
        <w:rFonts w:hint="default"/>
        <w:lang w:val="en-US" w:eastAsia="en-US" w:bidi="ar-SA"/>
      </w:rPr>
    </w:lvl>
    <w:lvl w:ilvl="3" w:tplc="7C089BFC">
      <w:numFmt w:val="bullet"/>
      <w:lvlText w:val="•"/>
      <w:lvlJc w:val="left"/>
      <w:pPr>
        <w:ind w:left="2496" w:hanging="360"/>
      </w:pPr>
      <w:rPr>
        <w:rFonts w:hint="default"/>
        <w:lang w:val="en-US" w:eastAsia="en-US" w:bidi="ar-SA"/>
      </w:rPr>
    </w:lvl>
    <w:lvl w:ilvl="4" w:tplc="8A683BF8">
      <w:numFmt w:val="bullet"/>
      <w:lvlText w:val="•"/>
      <w:lvlJc w:val="left"/>
      <w:pPr>
        <w:ind w:left="3201" w:hanging="360"/>
      </w:pPr>
      <w:rPr>
        <w:rFonts w:hint="default"/>
        <w:lang w:val="en-US" w:eastAsia="en-US" w:bidi="ar-SA"/>
      </w:rPr>
    </w:lvl>
    <w:lvl w:ilvl="5" w:tplc="27B254A2">
      <w:numFmt w:val="bullet"/>
      <w:lvlText w:val="•"/>
      <w:lvlJc w:val="left"/>
      <w:pPr>
        <w:ind w:left="3907" w:hanging="360"/>
      </w:pPr>
      <w:rPr>
        <w:rFonts w:hint="default"/>
        <w:lang w:val="en-US" w:eastAsia="en-US" w:bidi="ar-SA"/>
      </w:rPr>
    </w:lvl>
    <w:lvl w:ilvl="6" w:tplc="362C821C">
      <w:numFmt w:val="bullet"/>
      <w:lvlText w:val="•"/>
      <w:lvlJc w:val="left"/>
      <w:pPr>
        <w:ind w:left="4612" w:hanging="360"/>
      </w:pPr>
      <w:rPr>
        <w:rFonts w:hint="default"/>
        <w:lang w:val="en-US" w:eastAsia="en-US" w:bidi="ar-SA"/>
      </w:rPr>
    </w:lvl>
    <w:lvl w:ilvl="7" w:tplc="F984CEAE">
      <w:numFmt w:val="bullet"/>
      <w:lvlText w:val="•"/>
      <w:lvlJc w:val="left"/>
      <w:pPr>
        <w:ind w:left="5317" w:hanging="360"/>
      </w:pPr>
      <w:rPr>
        <w:rFonts w:hint="default"/>
        <w:lang w:val="en-US" w:eastAsia="en-US" w:bidi="ar-SA"/>
      </w:rPr>
    </w:lvl>
    <w:lvl w:ilvl="8" w:tplc="9AF8B0C8">
      <w:numFmt w:val="bullet"/>
      <w:lvlText w:val="•"/>
      <w:lvlJc w:val="left"/>
      <w:pPr>
        <w:ind w:left="6023" w:hanging="360"/>
      </w:pPr>
      <w:rPr>
        <w:rFonts w:hint="default"/>
        <w:lang w:val="en-US" w:eastAsia="en-US" w:bidi="ar-SA"/>
      </w:rPr>
    </w:lvl>
  </w:abstractNum>
  <w:abstractNum w:abstractNumId="52" w15:restartNumberingAfterBreak="0">
    <w:nsid w:val="37CF4163"/>
    <w:multiLevelType w:val="hybridMultilevel"/>
    <w:tmpl w:val="8F262814"/>
    <w:lvl w:ilvl="0" w:tplc="D7207EAA">
      <w:numFmt w:val="bullet"/>
      <w:lvlText w:val=""/>
      <w:lvlJc w:val="left"/>
      <w:pPr>
        <w:ind w:left="823" w:hanging="425"/>
      </w:pPr>
      <w:rPr>
        <w:rFonts w:ascii="Symbol" w:eastAsia="Symbol" w:hAnsi="Symbol" w:cs="Symbol" w:hint="default"/>
        <w:b w:val="0"/>
        <w:bCs w:val="0"/>
        <w:i w:val="0"/>
        <w:iCs w:val="0"/>
        <w:w w:val="100"/>
        <w:sz w:val="24"/>
        <w:szCs w:val="24"/>
        <w:lang w:val="en-US" w:eastAsia="en-US" w:bidi="ar-SA"/>
      </w:rPr>
    </w:lvl>
    <w:lvl w:ilvl="1" w:tplc="A04AB652">
      <w:numFmt w:val="bullet"/>
      <w:lvlText w:val="•"/>
      <w:lvlJc w:val="left"/>
      <w:pPr>
        <w:ind w:left="1822" w:hanging="425"/>
      </w:pPr>
      <w:rPr>
        <w:rFonts w:hint="default"/>
        <w:lang w:val="en-US" w:eastAsia="en-US" w:bidi="ar-SA"/>
      </w:rPr>
    </w:lvl>
    <w:lvl w:ilvl="2" w:tplc="174AFB82">
      <w:numFmt w:val="bullet"/>
      <w:lvlText w:val="•"/>
      <w:lvlJc w:val="left"/>
      <w:pPr>
        <w:ind w:left="2824" w:hanging="425"/>
      </w:pPr>
      <w:rPr>
        <w:rFonts w:hint="default"/>
        <w:lang w:val="en-US" w:eastAsia="en-US" w:bidi="ar-SA"/>
      </w:rPr>
    </w:lvl>
    <w:lvl w:ilvl="3" w:tplc="66041FE0">
      <w:numFmt w:val="bullet"/>
      <w:lvlText w:val="•"/>
      <w:lvlJc w:val="left"/>
      <w:pPr>
        <w:ind w:left="3827" w:hanging="425"/>
      </w:pPr>
      <w:rPr>
        <w:rFonts w:hint="default"/>
        <w:lang w:val="en-US" w:eastAsia="en-US" w:bidi="ar-SA"/>
      </w:rPr>
    </w:lvl>
    <w:lvl w:ilvl="4" w:tplc="4EB4B3CE">
      <w:numFmt w:val="bullet"/>
      <w:lvlText w:val="•"/>
      <w:lvlJc w:val="left"/>
      <w:pPr>
        <w:ind w:left="4829" w:hanging="425"/>
      </w:pPr>
      <w:rPr>
        <w:rFonts w:hint="default"/>
        <w:lang w:val="en-US" w:eastAsia="en-US" w:bidi="ar-SA"/>
      </w:rPr>
    </w:lvl>
    <w:lvl w:ilvl="5" w:tplc="950EDE80">
      <w:numFmt w:val="bullet"/>
      <w:lvlText w:val="•"/>
      <w:lvlJc w:val="left"/>
      <w:pPr>
        <w:ind w:left="5832" w:hanging="425"/>
      </w:pPr>
      <w:rPr>
        <w:rFonts w:hint="default"/>
        <w:lang w:val="en-US" w:eastAsia="en-US" w:bidi="ar-SA"/>
      </w:rPr>
    </w:lvl>
    <w:lvl w:ilvl="6" w:tplc="4FB67C42">
      <w:numFmt w:val="bullet"/>
      <w:lvlText w:val="•"/>
      <w:lvlJc w:val="left"/>
      <w:pPr>
        <w:ind w:left="6834" w:hanging="425"/>
      </w:pPr>
      <w:rPr>
        <w:rFonts w:hint="default"/>
        <w:lang w:val="en-US" w:eastAsia="en-US" w:bidi="ar-SA"/>
      </w:rPr>
    </w:lvl>
    <w:lvl w:ilvl="7" w:tplc="8DB4A168">
      <w:numFmt w:val="bullet"/>
      <w:lvlText w:val="•"/>
      <w:lvlJc w:val="left"/>
      <w:pPr>
        <w:ind w:left="7837" w:hanging="425"/>
      </w:pPr>
      <w:rPr>
        <w:rFonts w:hint="default"/>
        <w:lang w:val="en-US" w:eastAsia="en-US" w:bidi="ar-SA"/>
      </w:rPr>
    </w:lvl>
    <w:lvl w:ilvl="8" w:tplc="8A8493EE">
      <w:numFmt w:val="bullet"/>
      <w:lvlText w:val="•"/>
      <w:lvlJc w:val="left"/>
      <w:pPr>
        <w:ind w:left="8839" w:hanging="425"/>
      </w:pPr>
      <w:rPr>
        <w:rFonts w:hint="default"/>
        <w:lang w:val="en-US" w:eastAsia="en-US" w:bidi="ar-SA"/>
      </w:rPr>
    </w:lvl>
  </w:abstractNum>
  <w:abstractNum w:abstractNumId="53" w15:restartNumberingAfterBreak="0">
    <w:nsid w:val="37D65CDB"/>
    <w:multiLevelType w:val="hybridMultilevel"/>
    <w:tmpl w:val="FDFA0FF4"/>
    <w:lvl w:ilvl="0" w:tplc="707EFE4A">
      <w:numFmt w:val="bullet"/>
      <w:lvlText w:val=""/>
      <w:lvlJc w:val="left"/>
      <w:pPr>
        <w:ind w:left="556" w:hanging="360"/>
      </w:pPr>
      <w:rPr>
        <w:rFonts w:ascii="Symbol" w:eastAsia="Symbol" w:hAnsi="Symbol" w:cs="Symbol" w:hint="default"/>
        <w:b w:val="0"/>
        <w:bCs w:val="0"/>
        <w:i w:val="0"/>
        <w:iCs w:val="0"/>
        <w:w w:val="99"/>
        <w:sz w:val="22"/>
        <w:szCs w:val="22"/>
        <w:lang w:val="en-US" w:eastAsia="en-US" w:bidi="ar-SA"/>
      </w:rPr>
    </w:lvl>
    <w:lvl w:ilvl="1" w:tplc="E8687474">
      <w:numFmt w:val="bullet"/>
      <w:lvlText w:val="•"/>
      <w:lvlJc w:val="left"/>
      <w:pPr>
        <w:ind w:left="1132" w:hanging="360"/>
      </w:pPr>
      <w:rPr>
        <w:rFonts w:hint="default"/>
        <w:lang w:val="en-US" w:eastAsia="en-US" w:bidi="ar-SA"/>
      </w:rPr>
    </w:lvl>
    <w:lvl w:ilvl="2" w:tplc="EEB64E40">
      <w:numFmt w:val="bullet"/>
      <w:lvlText w:val="•"/>
      <w:lvlJc w:val="left"/>
      <w:pPr>
        <w:ind w:left="1704" w:hanging="360"/>
      </w:pPr>
      <w:rPr>
        <w:rFonts w:hint="default"/>
        <w:lang w:val="en-US" w:eastAsia="en-US" w:bidi="ar-SA"/>
      </w:rPr>
    </w:lvl>
    <w:lvl w:ilvl="3" w:tplc="658AD09C">
      <w:numFmt w:val="bullet"/>
      <w:lvlText w:val="•"/>
      <w:lvlJc w:val="left"/>
      <w:pPr>
        <w:ind w:left="2276" w:hanging="360"/>
      </w:pPr>
      <w:rPr>
        <w:rFonts w:hint="default"/>
        <w:lang w:val="en-US" w:eastAsia="en-US" w:bidi="ar-SA"/>
      </w:rPr>
    </w:lvl>
    <w:lvl w:ilvl="4" w:tplc="A4F49ACA">
      <w:numFmt w:val="bullet"/>
      <w:lvlText w:val="•"/>
      <w:lvlJc w:val="left"/>
      <w:pPr>
        <w:ind w:left="2848" w:hanging="360"/>
      </w:pPr>
      <w:rPr>
        <w:rFonts w:hint="default"/>
        <w:lang w:val="en-US" w:eastAsia="en-US" w:bidi="ar-SA"/>
      </w:rPr>
    </w:lvl>
    <w:lvl w:ilvl="5" w:tplc="D6B6801C">
      <w:numFmt w:val="bullet"/>
      <w:lvlText w:val="•"/>
      <w:lvlJc w:val="left"/>
      <w:pPr>
        <w:ind w:left="3420" w:hanging="360"/>
      </w:pPr>
      <w:rPr>
        <w:rFonts w:hint="default"/>
        <w:lang w:val="en-US" w:eastAsia="en-US" w:bidi="ar-SA"/>
      </w:rPr>
    </w:lvl>
    <w:lvl w:ilvl="6" w:tplc="3D66FA30">
      <w:numFmt w:val="bullet"/>
      <w:lvlText w:val="•"/>
      <w:lvlJc w:val="left"/>
      <w:pPr>
        <w:ind w:left="3992" w:hanging="360"/>
      </w:pPr>
      <w:rPr>
        <w:rFonts w:hint="default"/>
        <w:lang w:val="en-US" w:eastAsia="en-US" w:bidi="ar-SA"/>
      </w:rPr>
    </w:lvl>
    <w:lvl w:ilvl="7" w:tplc="9EFEF972">
      <w:numFmt w:val="bullet"/>
      <w:lvlText w:val="•"/>
      <w:lvlJc w:val="left"/>
      <w:pPr>
        <w:ind w:left="4564" w:hanging="360"/>
      </w:pPr>
      <w:rPr>
        <w:rFonts w:hint="default"/>
        <w:lang w:val="en-US" w:eastAsia="en-US" w:bidi="ar-SA"/>
      </w:rPr>
    </w:lvl>
    <w:lvl w:ilvl="8" w:tplc="4EC2D5C0">
      <w:numFmt w:val="bullet"/>
      <w:lvlText w:val="•"/>
      <w:lvlJc w:val="left"/>
      <w:pPr>
        <w:ind w:left="5136" w:hanging="360"/>
      </w:pPr>
      <w:rPr>
        <w:rFonts w:hint="default"/>
        <w:lang w:val="en-US" w:eastAsia="en-US" w:bidi="ar-SA"/>
      </w:rPr>
    </w:lvl>
  </w:abstractNum>
  <w:abstractNum w:abstractNumId="54" w15:restartNumberingAfterBreak="0">
    <w:nsid w:val="38CA4EA1"/>
    <w:multiLevelType w:val="hybridMultilevel"/>
    <w:tmpl w:val="530C8D72"/>
    <w:lvl w:ilvl="0" w:tplc="BE3A6BDE">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86A63860">
      <w:numFmt w:val="bullet"/>
      <w:lvlText w:val="•"/>
      <w:lvlJc w:val="left"/>
      <w:pPr>
        <w:ind w:left="1085" w:hanging="360"/>
      </w:pPr>
      <w:rPr>
        <w:rFonts w:hint="default"/>
        <w:lang w:val="en-US" w:eastAsia="en-US" w:bidi="ar-SA"/>
      </w:rPr>
    </w:lvl>
    <w:lvl w:ilvl="2" w:tplc="4DB80CE6">
      <w:numFmt w:val="bullet"/>
      <w:lvlText w:val="•"/>
      <w:lvlJc w:val="left"/>
      <w:pPr>
        <w:ind w:left="1790" w:hanging="360"/>
      </w:pPr>
      <w:rPr>
        <w:rFonts w:hint="default"/>
        <w:lang w:val="en-US" w:eastAsia="en-US" w:bidi="ar-SA"/>
      </w:rPr>
    </w:lvl>
    <w:lvl w:ilvl="3" w:tplc="4DA649A6">
      <w:numFmt w:val="bullet"/>
      <w:lvlText w:val="•"/>
      <w:lvlJc w:val="left"/>
      <w:pPr>
        <w:ind w:left="2496" w:hanging="360"/>
      </w:pPr>
      <w:rPr>
        <w:rFonts w:hint="default"/>
        <w:lang w:val="en-US" w:eastAsia="en-US" w:bidi="ar-SA"/>
      </w:rPr>
    </w:lvl>
    <w:lvl w:ilvl="4" w:tplc="E57677EA">
      <w:numFmt w:val="bullet"/>
      <w:lvlText w:val="•"/>
      <w:lvlJc w:val="left"/>
      <w:pPr>
        <w:ind w:left="3201" w:hanging="360"/>
      </w:pPr>
      <w:rPr>
        <w:rFonts w:hint="default"/>
        <w:lang w:val="en-US" w:eastAsia="en-US" w:bidi="ar-SA"/>
      </w:rPr>
    </w:lvl>
    <w:lvl w:ilvl="5" w:tplc="F154DAB2">
      <w:numFmt w:val="bullet"/>
      <w:lvlText w:val="•"/>
      <w:lvlJc w:val="left"/>
      <w:pPr>
        <w:ind w:left="3907" w:hanging="360"/>
      </w:pPr>
      <w:rPr>
        <w:rFonts w:hint="default"/>
        <w:lang w:val="en-US" w:eastAsia="en-US" w:bidi="ar-SA"/>
      </w:rPr>
    </w:lvl>
    <w:lvl w:ilvl="6" w:tplc="5CDCF7C4">
      <w:numFmt w:val="bullet"/>
      <w:lvlText w:val="•"/>
      <w:lvlJc w:val="left"/>
      <w:pPr>
        <w:ind w:left="4612" w:hanging="360"/>
      </w:pPr>
      <w:rPr>
        <w:rFonts w:hint="default"/>
        <w:lang w:val="en-US" w:eastAsia="en-US" w:bidi="ar-SA"/>
      </w:rPr>
    </w:lvl>
    <w:lvl w:ilvl="7" w:tplc="9E84BB2C">
      <w:numFmt w:val="bullet"/>
      <w:lvlText w:val="•"/>
      <w:lvlJc w:val="left"/>
      <w:pPr>
        <w:ind w:left="5317" w:hanging="360"/>
      </w:pPr>
      <w:rPr>
        <w:rFonts w:hint="default"/>
        <w:lang w:val="en-US" w:eastAsia="en-US" w:bidi="ar-SA"/>
      </w:rPr>
    </w:lvl>
    <w:lvl w:ilvl="8" w:tplc="FD7C2E26">
      <w:numFmt w:val="bullet"/>
      <w:lvlText w:val="•"/>
      <w:lvlJc w:val="left"/>
      <w:pPr>
        <w:ind w:left="6023" w:hanging="360"/>
      </w:pPr>
      <w:rPr>
        <w:rFonts w:hint="default"/>
        <w:lang w:val="en-US" w:eastAsia="en-US" w:bidi="ar-SA"/>
      </w:rPr>
    </w:lvl>
  </w:abstractNum>
  <w:abstractNum w:abstractNumId="55" w15:restartNumberingAfterBreak="0">
    <w:nsid w:val="3915220F"/>
    <w:multiLevelType w:val="hybridMultilevel"/>
    <w:tmpl w:val="BABC66CE"/>
    <w:lvl w:ilvl="0" w:tplc="73946A08">
      <w:numFmt w:val="bullet"/>
      <w:lvlText w:val=""/>
      <w:lvlJc w:val="left"/>
      <w:pPr>
        <w:ind w:left="834" w:hanging="360"/>
      </w:pPr>
      <w:rPr>
        <w:rFonts w:ascii="Symbol" w:eastAsia="Symbol" w:hAnsi="Symbol" w:cs="Symbol" w:hint="default"/>
        <w:b w:val="0"/>
        <w:bCs w:val="0"/>
        <w:i w:val="0"/>
        <w:iCs w:val="0"/>
        <w:w w:val="99"/>
        <w:sz w:val="22"/>
        <w:szCs w:val="22"/>
        <w:lang w:val="en-US" w:eastAsia="en-US" w:bidi="ar-SA"/>
      </w:rPr>
    </w:lvl>
    <w:lvl w:ilvl="1" w:tplc="18860F94">
      <w:numFmt w:val="bullet"/>
      <w:lvlText w:val="•"/>
      <w:lvlJc w:val="left"/>
      <w:pPr>
        <w:ind w:left="1840" w:hanging="360"/>
      </w:pPr>
      <w:rPr>
        <w:rFonts w:hint="default"/>
        <w:lang w:val="en-US" w:eastAsia="en-US" w:bidi="ar-SA"/>
      </w:rPr>
    </w:lvl>
    <w:lvl w:ilvl="2" w:tplc="0128B68A">
      <w:numFmt w:val="bullet"/>
      <w:lvlText w:val="•"/>
      <w:lvlJc w:val="left"/>
      <w:pPr>
        <w:ind w:left="2840" w:hanging="360"/>
      </w:pPr>
      <w:rPr>
        <w:rFonts w:hint="default"/>
        <w:lang w:val="en-US" w:eastAsia="en-US" w:bidi="ar-SA"/>
      </w:rPr>
    </w:lvl>
    <w:lvl w:ilvl="3" w:tplc="7C9609F8">
      <w:numFmt w:val="bullet"/>
      <w:lvlText w:val="•"/>
      <w:lvlJc w:val="left"/>
      <w:pPr>
        <w:ind w:left="3841" w:hanging="360"/>
      </w:pPr>
      <w:rPr>
        <w:rFonts w:hint="default"/>
        <w:lang w:val="en-US" w:eastAsia="en-US" w:bidi="ar-SA"/>
      </w:rPr>
    </w:lvl>
    <w:lvl w:ilvl="4" w:tplc="C9F8AA76">
      <w:numFmt w:val="bullet"/>
      <w:lvlText w:val="•"/>
      <w:lvlJc w:val="left"/>
      <w:pPr>
        <w:ind w:left="4841" w:hanging="360"/>
      </w:pPr>
      <w:rPr>
        <w:rFonts w:hint="default"/>
        <w:lang w:val="en-US" w:eastAsia="en-US" w:bidi="ar-SA"/>
      </w:rPr>
    </w:lvl>
    <w:lvl w:ilvl="5" w:tplc="0A4A2E96">
      <w:numFmt w:val="bullet"/>
      <w:lvlText w:val="•"/>
      <w:lvlJc w:val="left"/>
      <w:pPr>
        <w:ind w:left="5842" w:hanging="360"/>
      </w:pPr>
      <w:rPr>
        <w:rFonts w:hint="default"/>
        <w:lang w:val="en-US" w:eastAsia="en-US" w:bidi="ar-SA"/>
      </w:rPr>
    </w:lvl>
    <w:lvl w:ilvl="6" w:tplc="A814720E">
      <w:numFmt w:val="bullet"/>
      <w:lvlText w:val="•"/>
      <w:lvlJc w:val="left"/>
      <w:pPr>
        <w:ind w:left="6842" w:hanging="360"/>
      </w:pPr>
      <w:rPr>
        <w:rFonts w:hint="default"/>
        <w:lang w:val="en-US" w:eastAsia="en-US" w:bidi="ar-SA"/>
      </w:rPr>
    </w:lvl>
    <w:lvl w:ilvl="7" w:tplc="1040AA26">
      <w:numFmt w:val="bullet"/>
      <w:lvlText w:val="•"/>
      <w:lvlJc w:val="left"/>
      <w:pPr>
        <w:ind w:left="7843" w:hanging="360"/>
      </w:pPr>
      <w:rPr>
        <w:rFonts w:hint="default"/>
        <w:lang w:val="en-US" w:eastAsia="en-US" w:bidi="ar-SA"/>
      </w:rPr>
    </w:lvl>
    <w:lvl w:ilvl="8" w:tplc="235ABC4C">
      <w:numFmt w:val="bullet"/>
      <w:lvlText w:val="•"/>
      <w:lvlJc w:val="left"/>
      <w:pPr>
        <w:ind w:left="8843" w:hanging="360"/>
      </w:pPr>
      <w:rPr>
        <w:rFonts w:hint="default"/>
        <w:lang w:val="en-US" w:eastAsia="en-US" w:bidi="ar-SA"/>
      </w:rPr>
    </w:lvl>
  </w:abstractNum>
  <w:abstractNum w:abstractNumId="56" w15:restartNumberingAfterBreak="0">
    <w:nsid w:val="39AD50E3"/>
    <w:multiLevelType w:val="hybridMultilevel"/>
    <w:tmpl w:val="C6BE0598"/>
    <w:lvl w:ilvl="0" w:tplc="E5523DBE">
      <w:numFmt w:val="bullet"/>
      <w:lvlText w:val=""/>
      <w:lvlJc w:val="left"/>
      <w:pPr>
        <w:ind w:left="808" w:hanging="360"/>
      </w:pPr>
      <w:rPr>
        <w:rFonts w:ascii="Symbol" w:eastAsia="Symbol" w:hAnsi="Symbol" w:cs="Symbol" w:hint="default"/>
        <w:b w:val="0"/>
        <w:bCs w:val="0"/>
        <w:i w:val="0"/>
        <w:iCs w:val="0"/>
        <w:w w:val="99"/>
        <w:sz w:val="22"/>
        <w:szCs w:val="22"/>
        <w:lang w:val="en-US" w:eastAsia="en-US" w:bidi="ar-SA"/>
      </w:rPr>
    </w:lvl>
    <w:lvl w:ilvl="1" w:tplc="FDA41D40">
      <w:numFmt w:val="bullet"/>
      <w:lvlText w:val="•"/>
      <w:lvlJc w:val="left"/>
      <w:pPr>
        <w:ind w:left="943" w:hanging="360"/>
      </w:pPr>
      <w:rPr>
        <w:rFonts w:hint="default"/>
        <w:lang w:val="en-US" w:eastAsia="en-US" w:bidi="ar-SA"/>
      </w:rPr>
    </w:lvl>
    <w:lvl w:ilvl="2" w:tplc="8ECE178C">
      <w:numFmt w:val="bullet"/>
      <w:lvlText w:val="•"/>
      <w:lvlJc w:val="left"/>
      <w:pPr>
        <w:ind w:left="1087" w:hanging="360"/>
      </w:pPr>
      <w:rPr>
        <w:rFonts w:hint="default"/>
        <w:lang w:val="en-US" w:eastAsia="en-US" w:bidi="ar-SA"/>
      </w:rPr>
    </w:lvl>
    <w:lvl w:ilvl="3" w:tplc="BC185D6C">
      <w:numFmt w:val="bullet"/>
      <w:lvlText w:val="•"/>
      <w:lvlJc w:val="left"/>
      <w:pPr>
        <w:ind w:left="1230" w:hanging="360"/>
      </w:pPr>
      <w:rPr>
        <w:rFonts w:hint="default"/>
        <w:lang w:val="en-US" w:eastAsia="en-US" w:bidi="ar-SA"/>
      </w:rPr>
    </w:lvl>
    <w:lvl w:ilvl="4" w:tplc="55446E50">
      <w:numFmt w:val="bullet"/>
      <w:lvlText w:val="•"/>
      <w:lvlJc w:val="left"/>
      <w:pPr>
        <w:ind w:left="1374" w:hanging="360"/>
      </w:pPr>
      <w:rPr>
        <w:rFonts w:hint="default"/>
        <w:lang w:val="en-US" w:eastAsia="en-US" w:bidi="ar-SA"/>
      </w:rPr>
    </w:lvl>
    <w:lvl w:ilvl="5" w:tplc="7E76EF18">
      <w:numFmt w:val="bullet"/>
      <w:lvlText w:val="•"/>
      <w:lvlJc w:val="left"/>
      <w:pPr>
        <w:ind w:left="1518" w:hanging="360"/>
      </w:pPr>
      <w:rPr>
        <w:rFonts w:hint="default"/>
        <w:lang w:val="en-US" w:eastAsia="en-US" w:bidi="ar-SA"/>
      </w:rPr>
    </w:lvl>
    <w:lvl w:ilvl="6" w:tplc="0E40260E">
      <w:numFmt w:val="bullet"/>
      <w:lvlText w:val="•"/>
      <w:lvlJc w:val="left"/>
      <w:pPr>
        <w:ind w:left="1661" w:hanging="360"/>
      </w:pPr>
      <w:rPr>
        <w:rFonts w:hint="default"/>
        <w:lang w:val="en-US" w:eastAsia="en-US" w:bidi="ar-SA"/>
      </w:rPr>
    </w:lvl>
    <w:lvl w:ilvl="7" w:tplc="455A1CE2">
      <w:numFmt w:val="bullet"/>
      <w:lvlText w:val="•"/>
      <w:lvlJc w:val="left"/>
      <w:pPr>
        <w:ind w:left="1805" w:hanging="360"/>
      </w:pPr>
      <w:rPr>
        <w:rFonts w:hint="default"/>
        <w:lang w:val="en-US" w:eastAsia="en-US" w:bidi="ar-SA"/>
      </w:rPr>
    </w:lvl>
    <w:lvl w:ilvl="8" w:tplc="849E3B2A">
      <w:numFmt w:val="bullet"/>
      <w:lvlText w:val="•"/>
      <w:lvlJc w:val="left"/>
      <w:pPr>
        <w:ind w:left="1948" w:hanging="360"/>
      </w:pPr>
      <w:rPr>
        <w:rFonts w:hint="default"/>
        <w:lang w:val="en-US" w:eastAsia="en-US" w:bidi="ar-SA"/>
      </w:rPr>
    </w:lvl>
  </w:abstractNum>
  <w:abstractNum w:abstractNumId="57" w15:restartNumberingAfterBreak="0">
    <w:nsid w:val="3D0E7079"/>
    <w:multiLevelType w:val="hybridMultilevel"/>
    <w:tmpl w:val="1E9EE7A0"/>
    <w:lvl w:ilvl="0" w:tplc="95A67E0E">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52C01694">
      <w:numFmt w:val="bullet"/>
      <w:lvlText w:val="o"/>
      <w:lvlJc w:val="left"/>
      <w:pPr>
        <w:ind w:left="800" w:hanging="360"/>
      </w:pPr>
      <w:rPr>
        <w:rFonts w:ascii="Courier New" w:eastAsia="Courier New" w:hAnsi="Courier New" w:cs="Courier New" w:hint="default"/>
        <w:b w:val="0"/>
        <w:bCs w:val="0"/>
        <w:i w:val="0"/>
        <w:iCs w:val="0"/>
        <w:w w:val="100"/>
        <w:sz w:val="18"/>
        <w:szCs w:val="18"/>
        <w:lang w:val="en-US" w:eastAsia="en-US" w:bidi="ar-SA"/>
      </w:rPr>
    </w:lvl>
    <w:lvl w:ilvl="2" w:tplc="8E442F02">
      <w:numFmt w:val="bullet"/>
      <w:lvlText w:val="•"/>
      <w:lvlJc w:val="left"/>
      <w:pPr>
        <w:ind w:left="1537" w:hanging="360"/>
      </w:pPr>
      <w:rPr>
        <w:rFonts w:hint="default"/>
        <w:lang w:val="en-US" w:eastAsia="en-US" w:bidi="ar-SA"/>
      </w:rPr>
    </w:lvl>
    <w:lvl w:ilvl="3" w:tplc="E49E0B78">
      <w:numFmt w:val="bullet"/>
      <w:lvlText w:val="•"/>
      <w:lvlJc w:val="left"/>
      <w:pPr>
        <w:ind w:left="2274" w:hanging="360"/>
      </w:pPr>
      <w:rPr>
        <w:rFonts w:hint="default"/>
        <w:lang w:val="en-US" w:eastAsia="en-US" w:bidi="ar-SA"/>
      </w:rPr>
    </w:lvl>
    <w:lvl w:ilvl="4" w:tplc="3EFA5CAA">
      <w:numFmt w:val="bullet"/>
      <w:lvlText w:val="•"/>
      <w:lvlJc w:val="left"/>
      <w:pPr>
        <w:ind w:left="3011" w:hanging="360"/>
      </w:pPr>
      <w:rPr>
        <w:rFonts w:hint="default"/>
        <w:lang w:val="en-US" w:eastAsia="en-US" w:bidi="ar-SA"/>
      </w:rPr>
    </w:lvl>
    <w:lvl w:ilvl="5" w:tplc="7FECEFE6">
      <w:numFmt w:val="bullet"/>
      <w:lvlText w:val="•"/>
      <w:lvlJc w:val="left"/>
      <w:pPr>
        <w:ind w:left="3748" w:hanging="360"/>
      </w:pPr>
      <w:rPr>
        <w:rFonts w:hint="default"/>
        <w:lang w:val="en-US" w:eastAsia="en-US" w:bidi="ar-SA"/>
      </w:rPr>
    </w:lvl>
    <w:lvl w:ilvl="6" w:tplc="E2EE890A">
      <w:numFmt w:val="bullet"/>
      <w:lvlText w:val="•"/>
      <w:lvlJc w:val="left"/>
      <w:pPr>
        <w:ind w:left="4485" w:hanging="360"/>
      </w:pPr>
      <w:rPr>
        <w:rFonts w:hint="default"/>
        <w:lang w:val="en-US" w:eastAsia="en-US" w:bidi="ar-SA"/>
      </w:rPr>
    </w:lvl>
    <w:lvl w:ilvl="7" w:tplc="E34A135A">
      <w:numFmt w:val="bullet"/>
      <w:lvlText w:val="•"/>
      <w:lvlJc w:val="left"/>
      <w:pPr>
        <w:ind w:left="5222" w:hanging="360"/>
      </w:pPr>
      <w:rPr>
        <w:rFonts w:hint="default"/>
        <w:lang w:val="en-US" w:eastAsia="en-US" w:bidi="ar-SA"/>
      </w:rPr>
    </w:lvl>
    <w:lvl w:ilvl="8" w:tplc="A0183872">
      <w:numFmt w:val="bullet"/>
      <w:lvlText w:val="•"/>
      <w:lvlJc w:val="left"/>
      <w:pPr>
        <w:ind w:left="5959" w:hanging="360"/>
      </w:pPr>
      <w:rPr>
        <w:rFonts w:hint="default"/>
        <w:lang w:val="en-US" w:eastAsia="en-US" w:bidi="ar-SA"/>
      </w:rPr>
    </w:lvl>
  </w:abstractNum>
  <w:abstractNum w:abstractNumId="58" w15:restartNumberingAfterBreak="0">
    <w:nsid w:val="3DBD45E4"/>
    <w:multiLevelType w:val="hybridMultilevel"/>
    <w:tmpl w:val="1F8E0BFC"/>
    <w:lvl w:ilvl="0" w:tplc="07B4D7BC">
      <w:numFmt w:val="bullet"/>
      <w:lvlText w:val=""/>
      <w:lvlJc w:val="left"/>
      <w:pPr>
        <w:ind w:left="833" w:hanging="361"/>
      </w:pPr>
      <w:rPr>
        <w:rFonts w:ascii="Symbol" w:eastAsia="Symbol" w:hAnsi="Symbol" w:cs="Symbol" w:hint="default"/>
        <w:b w:val="0"/>
        <w:bCs w:val="0"/>
        <w:i w:val="0"/>
        <w:iCs w:val="0"/>
        <w:w w:val="100"/>
        <w:sz w:val="22"/>
        <w:szCs w:val="22"/>
        <w:lang w:val="en-US" w:eastAsia="en-US" w:bidi="ar-SA"/>
      </w:rPr>
    </w:lvl>
    <w:lvl w:ilvl="1" w:tplc="0A5471D8">
      <w:numFmt w:val="bullet"/>
      <w:lvlText w:val="o"/>
      <w:lvlJc w:val="left"/>
      <w:pPr>
        <w:ind w:left="1552" w:hanging="361"/>
      </w:pPr>
      <w:rPr>
        <w:rFonts w:ascii="Courier New" w:eastAsia="Courier New" w:hAnsi="Courier New" w:cs="Courier New" w:hint="default"/>
        <w:b w:val="0"/>
        <w:bCs w:val="0"/>
        <w:i w:val="0"/>
        <w:iCs w:val="0"/>
        <w:w w:val="100"/>
        <w:sz w:val="22"/>
        <w:szCs w:val="22"/>
        <w:lang w:val="en-US" w:eastAsia="en-US" w:bidi="ar-SA"/>
      </w:rPr>
    </w:lvl>
    <w:lvl w:ilvl="2" w:tplc="E96456DC">
      <w:numFmt w:val="bullet"/>
      <w:lvlText w:val="•"/>
      <w:lvlJc w:val="left"/>
      <w:pPr>
        <w:ind w:left="2535" w:hanging="361"/>
      </w:pPr>
      <w:rPr>
        <w:rFonts w:hint="default"/>
        <w:lang w:val="en-US" w:eastAsia="en-US" w:bidi="ar-SA"/>
      </w:rPr>
    </w:lvl>
    <w:lvl w:ilvl="3" w:tplc="A91C0910">
      <w:numFmt w:val="bullet"/>
      <w:lvlText w:val="•"/>
      <w:lvlJc w:val="left"/>
      <w:pPr>
        <w:ind w:left="3511" w:hanging="361"/>
      </w:pPr>
      <w:rPr>
        <w:rFonts w:hint="default"/>
        <w:lang w:val="en-US" w:eastAsia="en-US" w:bidi="ar-SA"/>
      </w:rPr>
    </w:lvl>
    <w:lvl w:ilvl="4" w:tplc="043E0034">
      <w:numFmt w:val="bullet"/>
      <w:lvlText w:val="•"/>
      <w:lvlJc w:val="left"/>
      <w:pPr>
        <w:ind w:left="4486" w:hanging="361"/>
      </w:pPr>
      <w:rPr>
        <w:rFonts w:hint="default"/>
        <w:lang w:val="en-US" w:eastAsia="en-US" w:bidi="ar-SA"/>
      </w:rPr>
    </w:lvl>
    <w:lvl w:ilvl="5" w:tplc="4626B656">
      <w:numFmt w:val="bullet"/>
      <w:lvlText w:val="•"/>
      <w:lvlJc w:val="left"/>
      <w:pPr>
        <w:ind w:left="5462" w:hanging="361"/>
      </w:pPr>
      <w:rPr>
        <w:rFonts w:hint="default"/>
        <w:lang w:val="en-US" w:eastAsia="en-US" w:bidi="ar-SA"/>
      </w:rPr>
    </w:lvl>
    <w:lvl w:ilvl="6" w:tplc="98FEB756">
      <w:numFmt w:val="bullet"/>
      <w:lvlText w:val="•"/>
      <w:lvlJc w:val="left"/>
      <w:pPr>
        <w:ind w:left="6437" w:hanging="361"/>
      </w:pPr>
      <w:rPr>
        <w:rFonts w:hint="default"/>
        <w:lang w:val="en-US" w:eastAsia="en-US" w:bidi="ar-SA"/>
      </w:rPr>
    </w:lvl>
    <w:lvl w:ilvl="7" w:tplc="FD207C64">
      <w:numFmt w:val="bullet"/>
      <w:lvlText w:val="•"/>
      <w:lvlJc w:val="left"/>
      <w:pPr>
        <w:ind w:left="7413" w:hanging="361"/>
      </w:pPr>
      <w:rPr>
        <w:rFonts w:hint="default"/>
        <w:lang w:val="en-US" w:eastAsia="en-US" w:bidi="ar-SA"/>
      </w:rPr>
    </w:lvl>
    <w:lvl w:ilvl="8" w:tplc="A126A4F6">
      <w:numFmt w:val="bullet"/>
      <w:lvlText w:val="•"/>
      <w:lvlJc w:val="left"/>
      <w:pPr>
        <w:ind w:left="8388" w:hanging="361"/>
      </w:pPr>
      <w:rPr>
        <w:rFonts w:hint="default"/>
        <w:lang w:val="en-US" w:eastAsia="en-US" w:bidi="ar-SA"/>
      </w:rPr>
    </w:lvl>
  </w:abstractNum>
  <w:abstractNum w:abstractNumId="59" w15:restartNumberingAfterBreak="0">
    <w:nsid w:val="3E9068B8"/>
    <w:multiLevelType w:val="hybridMultilevel"/>
    <w:tmpl w:val="6F78BD7A"/>
    <w:lvl w:ilvl="0" w:tplc="78B2B458">
      <w:numFmt w:val="bullet"/>
      <w:lvlText w:val=""/>
      <w:lvlJc w:val="left"/>
      <w:pPr>
        <w:ind w:left="1040" w:hanging="360"/>
      </w:pPr>
      <w:rPr>
        <w:rFonts w:ascii="Symbol" w:eastAsia="Symbol" w:hAnsi="Symbol" w:cs="Symbol" w:hint="default"/>
        <w:w w:val="99"/>
        <w:lang w:val="en-US" w:eastAsia="en-US" w:bidi="ar-SA"/>
      </w:rPr>
    </w:lvl>
    <w:lvl w:ilvl="1" w:tplc="10225440">
      <w:numFmt w:val="bullet"/>
      <w:lvlText w:val="•"/>
      <w:lvlJc w:val="left"/>
      <w:pPr>
        <w:ind w:left="2020" w:hanging="360"/>
      </w:pPr>
      <w:rPr>
        <w:rFonts w:hint="default"/>
        <w:lang w:val="en-US" w:eastAsia="en-US" w:bidi="ar-SA"/>
      </w:rPr>
    </w:lvl>
    <w:lvl w:ilvl="2" w:tplc="7BAACEA4">
      <w:numFmt w:val="bullet"/>
      <w:lvlText w:val="•"/>
      <w:lvlJc w:val="left"/>
      <w:pPr>
        <w:ind w:left="3000" w:hanging="360"/>
      </w:pPr>
      <w:rPr>
        <w:rFonts w:hint="default"/>
        <w:lang w:val="en-US" w:eastAsia="en-US" w:bidi="ar-SA"/>
      </w:rPr>
    </w:lvl>
    <w:lvl w:ilvl="3" w:tplc="24985122">
      <w:numFmt w:val="bullet"/>
      <w:lvlText w:val="•"/>
      <w:lvlJc w:val="left"/>
      <w:pPr>
        <w:ind w:left="3981" w:hanging="360"/>
      </w:pPr>
      <w:rPr>
        <w:rFonts w:hint="default"/>
        <w:lang w:val="en-US" w:eastAsia="en-US" w:bidi="ar-SA"/>
      </w:rPr>
    </w:lvl>
    <w:lvl w:ilvl="4" w:tplc="170EB394">
      <w:numFmt w:val="bullet"/>
      <w:lvlText w:val="•"/>
      <w:lvlJc w:val="left"/>
      <w:pPr>
        <w:ind w:left="4961" w:hanging="360"/>
      </w:pPr>
      <w:rPr>
        <w:rFonts w:hint="default"/>
        <w:lang w:val="en-US" w:eastAsia="en-US" w:bidi="ar-SA"/>
      </w:rPr>
    </w:lvl>
    <w:lvl w:ilvl="5" w:tplc="C9567210">
      <w:numFmt w:val="bullet"/>
      <w:lvlText w:val="•"/>
      <w:lvlJc w:val="left"/>
      <w:pPr>
        <w:ind w:left="5942" w:hanging="360"/>
      </w:pPr>
      <w:rPr>
        <w:rFonts w:hint="default"/>
        <w:lang w:val="en-US" w:eastAsia="en-US" w:bidi="ar-SA"/>
      </w:rPr>
    </w:lvl>
    <w:lvl w:ilvl="6" w:tplc="48983FF2">
      <w:numFmt w:val="bullet"/>
      <w:lvlText w:val="•"/>
      <w:lvlJc w:val="left"/>
      <w:pPr>
        <w:ind w:left="6922" w:hanging="360"/>
      </w:pPr>
      <w:rPr>
        <w:rFonts w:hint="default"/>
        <w:lang w:val="en-US" w:eastAsia="en-US" w:bidi="ar-SA"/>
      </w:rPr>
    </w:lvl>
    <w:lvl w:ilvl="7" w:tplc="71A40CE8">
      <w:numFmt w:val="bullet"/>
      <w:lvlText w:val="•"/>
      <w:lvlJc w:val="left"/>
      <w:pPr>
        <w:ind w:left="7903" w:hanging="360"/>
      </w:pPr>
      <w:rPr>
        <w:rFonts w:hint="default"/>
        <w:lang w:val="en-US" w:eastAsia="en-US" w:bidi="ar-SA"/>
      </w:rPr>
    </w:lvl>
    <w:lvl w:ilvl="8" w:tplc="61265D74">
      <w:numFmt w:val="bullet"/>
      <w:lvlText w:val="•"/>
      <w:lvlJc w:val="left"/>
      <w:pPr>
        <w:ind w:left="8883" w:hanging="360"/>
      </w:pPr>
      <w:rPr>
        <w:rFonts w:hint="default"/>
        <w:lang w:val="en-US" w:eastAsia="en-US" w:bidi="ar-SA"/>
      </w:rPr>
    </w:lvl>
  </w:abstractNum>
  <w:abstractNum w:abstractNumId="60" w15:restartNumberingAfterBreak="0">
    <w:nsid w:val="3F35053E"/>
    <w:multiLevelType w:val="hybridMultilevel"/>
    <w:tmpl w:val="B956BE48"/>
    <w:lvl w:ilvl="0" w:tplc="7E30956A">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6B3EA5A2">
      <w:numFmt w:val="bullet"/>
      <w:lvlText w:val="•"/>
      <w:lvlJc w:val="left"/>
      <w:pPr>
        <w:ind w:left="1147" w:hanging="360"/>
      </w:pPr>
      <w:rPr>
        <w:rFonts w:hint="default"/>
        <w:lang w:val="en-US" w:eastAsia="en-US" w:bidi="ar-SA"/>
      </w:rPr>
    </w:lvl>
    <w:lvl w:ilvl="2" w:tplc="A0F2D90C">
      <w:numFmt w:val="bullet"/>
      <w:lvlText w:val="•"/>
      <w:lvlJc w:val="left"/>
      <w:pPr>
        <w:ind w:left="1835" w:hanging="360"/>
      </w:pPr>
      <w:rPr>
        <w:rFonts w:hint="default"/>
        <w:lang w:val="en-US" w:eastAsia="en-US" w:bidi="ar-SA"/>
      </w:rPr>
    </w:lvl>
    <w:lvl w:ilvl="3" w:tplc="373C7244">
      <w:numFmt w:val="bullet"/>
      <w:lvlText w:val="•"/>
      <w:lvlJc w:val="left"/>
      <w:pPr>
        <w:ind w:left="2522" w:hanging="360"/>
      </w:pPr>
      <w:rPr>
        <w:rFonts w:hint="default"/>
        <w:lang w:val="en-US" w:eastAsia="en-US" w:bidi="ar-SA"/>
      </w:rPr>
    </w:lvl>
    <w:lvl w:ilvl="4" w:tplc="F6D6F286">
      <w:numFmt w:val="bullet"/>
      <w:lvlText w:val="•"/>
      <w:lvlJc w:val="left"/>
      <w:pPr>
        <w:ind w:left="3210" w:hanging="360"/>
      </w:pPr>
      <w:rPr>
        <w:rFonts w:hint="default"/>
        <w:lang w:val="en-US" w:eastAsia="en-US" w:bidi="ar-SA"/>
      </w:rPr>
    </w:lvl>
    <w:lvl w:ilvl="5" w:tplc="C40ECF98">
      <w:numFmt w:val="bullet"/>
      <w:lvlText w:val="•"/>
      <w:lvlJc w:val="left"/>
      <w:pPr>
        <w:ind w:left="3897" w:hanging="360"/>
      </w:pPr>
      <w:rPr>
        <w:rFonts w:hint="default"/>
        <w:lang w:val="en-US" w:eastAsia="en-US" w:bidi="ar-SA"/>
      </w:rPr>
    </w:lvl>
    <w:lvl w:ilvl="6" w:tplc="AC4EA2D6">
      <w:numFmt w:val="bullet"/>
      <w:lvlText w:val="•"/>
      <w:lvlJc w:val="left"/>
      <w:pPr>
        <w:ind w:left="4585" w:hanging="360"/>
      </w:pPr>
      <w:rPr>
        <w:rFonts w:hint="default"/>
        <w:lang w:val="en-US" w:eastAsia="en-US" w:bidi="ar-SA"/>
      </w:rPr>
    </w:lvl>
    <w:lvl w:ilvl="7" w:tplc="946A0EF2">
      <w:numFmt w:val="bullet"/>
      <w:lvlText w:val="•"/>
      <w:lvlJc w:val="left"/>
      <w:pPr>
        <w:ind w:left="5272" w:hanging="360"/>
      </w:pPr>
      <w:rPr>
        <w:rFonts w:hint="default"/>
        <w:lang w:val="en-US" w:eastAsia="en-US" w:bidi="ar-SA"/>
      </w:rPr>
    </w:lvl>
    <w:lvl w:ilvl="8" w:tplc="AD7CF974">
      <w:numFmt w:val="bullet"/>
      <w:lvlText w:val="•"/>
      <w:lvlJc w:val="left"/>
      <w:pPr>
        <w:ind w:left="5960" w:hanging="360"/>
      </w:pPr>
      <w:rPr>
        <w:rFonts w:hint="default"/>
        <w:lang w:val="en-US" w:eastAsia="en-US" w:bidi="ar-SA"/>
      </w:rPr>
    </w:lvl>
  </w:abstractNum>
  <w:abstractNum w:abstractNumId="61" w15:restartNumberingAfterBreak="0">
    <w:nsid w:val="41D551A3"/>
    <w:multiLevelType w:val="hybridMultilevel"/>
    <w:tmpl w:val="3AECFC94"/>
    <w:lvl w:ilvl="0" w:tplc="5CC6B2AC">
      <w:numFmt w:val="bullet"/>
      <w:lvlText w:val=""/>
      <w:lvlJc w:val="left"/>
      <w:pPr>
        <w:ind w:left="964" w:hanging="360"/>
      </w:pPr>
      <w:rPr>
        <w:rFonts w:ascii="Symbol" w:eastAsia="Symbol" w:hAnsi="Symbol" w:cs="Symbol" w:hint="default"/>
        <w:b w:val="0"/>
        <w:bCs w:val="0"/>
        <w:i w:val="0"/>
        <w:iCs w:val="0"/>
        <w:w w:val="99"/>
        <w:sz w:val="22"/>
        <w:szCs w:val="22"/>
        <w:lang w:val="en-US" w:eastAsia="en-US" w:bidi="ar-SA"/>
      </w:rPr>
    </w:lvl>
    <w:lvl w:ilvl="1" w:tplc="F156FF4C">
      <w:numFmt w:val="bullet"/>
      <w:lvlText w:val="•"/>
      <w:lvlJc w:val="left"/>
      <w:pPr>
        <w:ind w:left="1948" w:hanging="360"/>
      </w:pPr>
      <w:rPr>
        <w:rFonts w:hint="default"/>
        <w:lang w:val="en-US" w:eastAsia="en-US" w:bidi="ar-SA"/>
      </w:rPr>
    </w:lvl>
    <w:lvl w:ilvl="2" w:tplc="A926AC1C">
      <w:numFmt w:val="bullet"/>
      <w:lvlText w:val="•"/>
      <w:lvlJc w:val="left"/>
      <w:pPr>
        <w:ind w:left="2936" w:hanging="360"/>
      </w:pPr>
      <w:rPr>
        <w:rFonts w:hint="default"/>
        <w:lang w:val="en-US" w:eastAsia="en-US" w:bidi="ar-SA"/>
      </w:rPr>
    </w:lvl>
    <w:lvl w:ilvl="3" w:tplc="502C011E">
      <w:numFmt w:val="bullet"/>
      <w:lvlText w:val="•"/>
      <w:lvlJc w:val="left"/>
      <w:pPr>
        <w:ind w:left="3925" w:hanging="360"/>
      </w:pPr>
      <w:rPr>
        <w:rFonts w:hint="default"/>
        <w:lang w:val="en-US" w:eastAsia="en-US" w:bidi="ar-SA"/>
      </w:rPr>
    </w:lvl>
    <w:lvl w:ilvl="4" w:tplc="5D108FF8">
      <w:numFmt w:val="bullet"/>
      <w:lvlText w:val="•"/>
      <w:lvlJc w:val="left"/>
      <w:pPr>
        <w:ind w:left="4913" w:hanging="360"/>
      </w:pPr>
      <w:rPr>
        <w:rFonts w:hint="default"/>
        <w:lang w:val="en-US" w:eastAsia="en-US" w:bidi="ar-SA"/>
      </w:rPr>
    </w:lvl>
    <w:lvl w:ilvl="5" w:tplc="98B844BA">
      <w:numFmt w:val="bullet"/>
      <w:lvlText w:val="•"/>
      <w:lvlJc w:val="left"/>
      <w:pPr>
        <w:ind w:left="5902" w:hanging="360"/>
      </w:pPr>
      <w:rPr>
        <w:rFonts w:hint="default"/>
        <w:lang w:val="en-US" w:eastAsia="en-US" w:bidi="ar-SA"/>
      </w:rPr>
    </w:lvl>
    <w:lvl w:ilvl="6" w:tplc="215C4B88">
      <w:numFmt w:val="bullet"/>
      <w:lvlText w:val="•"/>
      <w:lvlJc w:val="left"/>
      <w:pPr>
        <w:ind w:left="6890" w:hanging="360"/>
      </w:pPr>
      <w:rPr>
        <w:rFonts w:hint="default"/>
        <w:lang w:val="en-US" w:eastAsia="en-US" w:bidi="ar-SA"/>
      </w:rPr>
    </w:lvl>
    <w:lvl w:ilvl="7" w:tplc="FDF091D0">
      <w:numFmt w:val="bullet"/>
      <w:lvlText w:val="•"/>
      <w:lvlJc w:val="left"/>
      <w:pPr>
        <w:ind w:left="7879" w:hanging="360"/>
      </w:pPr>
      <w:rPr>
        <w:rFonts w:hint="default"/>
        <w:lang w:val="en-US" w:eastAsia="en-US" w:bidi="ar-SA"/>
      </w:rPr>
    </w:lvl>
    <w:lvl w:ilvl="8" w:tplc="471A46F8">
      <w:numFmt w:val="bullet"/>
      <w:lvlText w:val="•"/>
      <w:lvlJc w:val="left"/>
      <w:pPr>
        <w:ind w:left="8867" w:hanging="360"/>
      </w:pPr>
      <w:rPr>
        <w:rFonts w:hint="default"/>
        <w:lang w:val="en-US" w:eastAsia="en-US" w:bidi="ar-SA"/>
      </w:rPr>
    </w:lvl>
  </w:abstractNum>
  <w:abstractNum w:abstractNumId="62" w15:restartNumberingAfterBreak="0">
    <w:nsid w:val="42D22B7E"/>
    <w:multiLevelType w:val="hybridMultilevel"/>
    <w:tmpl w:val="7EE4514E"/>
    <w:lvl w:ilvl="0" w:tplc="74AC8596">
      <w:numFmt w:val="bullet"/>
      <w:lvlText w:val=""/>
      <w:lvlJc w:val="left"/>
      <w:pPr>
        <w:ind w:left="412" w:hanging="358"/>
      </w:pPr>
      <w:rPr>
        <w:rFonts w:ascii="Symbol" w:eastAsia="Symbol" w:hAnsi="Symbol" w:cs="Symbol" w:hint="default"/>
        <w:b w:val="0"/>
        <w:bCs w:val="0"/>
        <w:i w:val="0"/>
        <w:iCs w:val="0"/>
        <w:w w:val="100"/>
        <w:sz w:val="18"/>
        <w:szCs w:val="18"/>
        <w:lang w:val="en-US" w:eastAsia="en-US" w:bidi="ar-SA"/>
      </w:rPr>
    </w:lvl>
    <w:lvl w:ilvl="1" w:tplc="41664348">
      <w:numFmt w:val="bullet"/>
      <w:lvlText w:val="o"/>
      <w:lvlJc w:val="left"/>
      <w:pPr>
        <w:ind w:left="979" w:hanging="357"/>
      </w:pPr>
      <w:rPr>
        <w:rFonts w:ascii="Courier New" w:eastAsia="Courier New" w:hAnsi="Courier New" w:cs="Courier New" w:hint="default"/>
        <w:b w:val="0"/>
        <w:bCs w:val="0"/>
        <w:i w:val="0"/>
        <w:iCs w:val="0"/>
        <w:w w:val="100"/>
        <w:sz w:val="18"/>
        <w:szCs w:val="18"/>
        <w:lang w:val="en-US" w:eastAsia="en-US" w:bidi="ar-SA"/>
      </w:rPr>
    </w:lvl>
    <w:lvl w:ilvl="2" w:tplc="AFC6EEC6">
      <w:numFmt w:val="bullet"/>
      <w:lvlText w:val="•"/>
      <w:lvlJc w:val="left"/>
      <w:pPr>
        <w:ind w:left="1697" w:hanging="357"/>
      </w:pPr>
      <w:rPr>
        <w:rFonts w:hint="default"/>
        <w:lang w:val="en-US" w:eastAsia="en-US" w:bidi="ar-SA"/>
      </w:rPr>
    </w:lvl>
    <w:lvl w:ilvl="3" w:tplc="DC261D3A">
      <w:numFmt w:val="bullet"/>
      <w:lvlText w:val="•"/>
      <w:lvlJc w:val="left"/>
      <w:pPr>
        <w:ind w:left="2414" w:hanging="357"/>
      </w:pPr>
      <w:rPr>
        <w:rFonts w:hint="default"/>
        <w:lang w:val="en-US" w:eastAsia="en-US" w:bidi="ar-SA"/>
      </w:rPr>
    </w:lvl>
    <w:lvl w:ilvl="4" w:tplc="AC2ED3F6">
      <w:numFmt w:val="bullet"/>
      <w:lvlText w:val="•"/>
      <w:lvlJc w:val="left"/>
      <w:pPr>
        <w:ind w:left="3131" w:hanging="357"/>
      </w:pPr>
      <w:rPr>
        <w:rFonts w:hint="default"/>
        <w:lang w:val="en-US" w:eastAsia="en-US" w:bidi="ar-SA"/>
      </w:rPr>
    </w:lvl>
    <w:lvl w:ilvl="5" w:tplc="235AB782">
      <w:numFmt w:val="bullet"/>
      <w:lvlText w:val="•"/>
      <w:lvlJc w:val="left"/>
      <w:pPr>
        <w:ind w:left="3848" w:hanging="357"/>
      </w:pPr>
      <w:rPr>
        <w:rFonts w:hint="default"/>
        <w:lang w:val="en-US" w:eastAsia="en-US" w:bidi="ar-SA"/>
      </w:rPr>
    </w:lvl>
    <w:lvl w:ilvl="6" w:tplc="A92EDC28">
      <w:numFmt w:val="bullet"/>
      <w:lvlText w:val="•"/>
      <w:lvlJc w:val="left"/>
      <w:pPr>
        <w:ind w:left="4565" w:hanging="357"/>
      </w:pPr>
      <w:rPr>
        <w:rFonts w:hint="default"/>
        <w:lang w:val="en-US" w:eastAsia="en-US" w:bidi="ar-SA"/>
      </w:rPr>
    </w:lvl>
    <w:lvl w:ilvl="7" w:tplc="8C5E526A">
      <w:numFmt w:val="bullet"/>
      <w:lvlText w:val="•"/>
      <w:lvlJc w:val="left"/>
      <w:pPr>
        <w:ind w:left="5282" w:hanging="357"/>
      </w:pPr>
      <w:rPr>
        <w:rFonts w:hint="default"/>
        <w:lang w:val="en-US" w:eastAsia="en-US" w:bidi="ar-SA"/>
      </w:rPr>
    </w:lvl>
    <w:lvl w:ilvl="8" w:tplc="2AA8F552">
      <w:numFmt w:val="bullet"/>
      <w:lvlText w:val="•"/>
      <w:lvlJc w:val="left"/>
      <w:pPr>
        <w:ind w:left="5999" w:hanging="357"/>
      </w:pPr>
      <w:rPr>
        <w:rFonts w:hint="default"/>
        <w:lang w:val="en-US" w:eastAsia="en-US" w:bidi="ar-SA"/>
      </w:rPr>
    </w:lvl>
  </w:abstractNum>
  <w:abstractNum w:abstractNumId="63" w15:restartNumberingAfterBreak="0">
    <w:nsid w:val="44FE0133"/>
    <w:multiLevelType w:val="hybridMultilevel"/>
    <w:tmpl w:val="6F3CD896"/>
    <w:lvl w:ilvl="0" w:tplc="A050AFCA">
      <w:numFmt w:val="bullet"/>
      <w:lvlText w:val=""/>
      <w:lvlJc w:val="left"/>
      <w:pPr>
        <w:ind w:left="448" w:hanging="360"/>
      </w:pPr>
      <w:rPr>
        <w:rFonts w:ascii="Symbol" w:eastAsia="Symbol" w:hAnsi="Symbol" w:cs="Symbol" w:hint="default"/>
        <w:b w:val="0"/>
        <w:bCs w:val="0"/>
        <w:i w:val="0"/>
        <w:iCs w:val="0"/>
        <w:w w:val="100"/>
        <w:sz w:val="18"/>
        <w:szCs w:val="18"/>
        <w:lang w:val="en-US" w:eastAsia="en-US" w:bidi="ar-SA"/>
      </w:rPr>
    </w:lvl>
    <w:lvl w:ilvl="1" w:tplc="64F68F20">
      <w:numFmt w:val="bullet"/>
      <w:lvlText w:val="•"/>
      <w:lvlJc w:val="left"/>
      <w:pPr>
        <w:ind w:left="622" w:hanging="360"/>
      </w:pPr>
      <w:rPr>
        <w:rFonts w:hint="default"/>
        <w:lang w:val="en-US" w:eastAsia="en-US" w:bidi="ar-SA"/>
      </w:rPr>
    </w:lvl>
    <w:lvl w:ilvl="2" w:tplc="6BE81530">
      <w:numFmt w:val="bullet"/>
      <w:lvlText w:val="•"/>
      <w:lvlJc w:val="left"/>
      <w:pPr>
        <w:ind w:left="805" w:hanging="360"/>
      </w:pPr>
      <w:rPr>
        <w:rFonts w:hint="default"/>
        <w:lang w:val="en-US" w:eastAsia="en-US" w:bidi="ar-SA"/>
      </w:rPr>
    </w:lvl>
    <w:lvl w:ilvl="3" w:tplc="48844700">
      <w:numFmt w:val="bullet"/>
      <w:lvlText w:val="•"/>
      <w:lvlJc w:val="left"/>
      <w:pPr>
        <w:ind w:left="988" w:hanging="360"/>
      </w:pPr>
      <w:rPr>
        <w:rFonts w:hint="default"/>
        <w:lang w:val="en-US" w:eastAsia="en-US" w:bidi="ar-SA"/>
      </w:rPr>
    </w:lvl>
    <w:lvl w:ilvl="4" w:tplc="5344C6BE">
      <w:numFmt w:val="bullet"/>
      <w:lvlText w:val="•"/>
      <w:lvlJc w:val="left"/>
      <w:pPr>
        <w:ind w:left="1170" w:hanging="360"/>
      </w:pPr>
      <w:rPr>
        <w:rFonts w:hint="default"/>
        <w:lang w:val="en-US" w:eastAsia="en-US" w:bidi="ar-SA"/>
      </w:rPr>
    </w:lvl>
    <w:lvl w:ilvl="5" w:tplc="F66E9A24">
      <w:numFmt w:val="bullet"/>
      <w:lvlText w:val="•"/>
      <w:lvlJc w:val="left"/>
      <w:pPr>
        <w:ind w:left="1353" w:hanging="360"/>
      </w:pPr>
      <w:rPr>
        <w:rFonts w:hint="default"/>
        <w:lang w:val="en-US" w:eastAsia="en-US" w:bidi="ar-SA"/>
      </w:rPr>
    </w:lvl>
    <w:lvl w:ilvl="6" w:tplc="027E0A1A">
      <w:numFmt w:val="bullet"/>
      <w:lvlText w:val="•"/>
      <w:lvlJc w:val="left"/>
      <w:pPr>
        <w:ind w:left="1536" w:hanging="360"/>
      </w:pPr>
      <w:rPr>
        <w:rFonts w:hint="default"/>
        <w:lang w:val="en-US" w:eastAsia="en-US" w:bidi="ar-SA"/>
      </w:rPr>
    </w:lvl>
    <w:lvl w:ilvl="7" w:tplc="D4BCC498">
      <w:numFmt w:val="bullet"/>
      <w:lvlText w:val="•"/>
      <w:lvlJc w:val="left"/>
      <w:pPr>
        <w:ind w:left="1718" w:hanging="360"/>
      </w:pPr>
      <w:rPr>
        <w:rFonts w:hint="default"/>
        <w:lang w:val="en-US" w:eastAsia="en-US" w:bidi="ar-SA"/>
      </w:rPr>
    </w:lvl>
    <w:lvl w:ilvl="8" w:tplc="80B289DC">
      <w:numFmt w:val="bullet"/>
      <w:lvlText w:val="•"/>
      <w:lvlJc w:val="left"/>
      <w:pPr>
        <w:ind w:left="1901" w:hanging="360"/>
      </w:pPr>
      <w:rPr>
        <w:rFonts w:hint="default"/>
        <w:lang w:val="en-US" w:eastAsia="en-US" w:bidi="ar-SA"/>
      </w:rPr>
    </w:lvl>
  </w:abstractNum>
  <w:abstractNum w:abstractNumId="64" w15:restartNumberingAfterBreak="0">
    <w:nsid w:val="45773542"/>
    <w:multiLevelType w:val="hybridMultilevel"/>
    <w:tmpl w:val="D8BC58EA"/>
    <w:lvl w:ilvl="0" w:tplc="9E887630">
      <w:numFmt w:val="bullet"/>
      <w:lvlText w:val=""/>
      <w:lvlJc w:val="left"/>
      <w:pPr>
        <w:ind w:left="823" w:hanging="425"/>
      </w:pPr>
      <w:rPr>
        <w:rFonts w:ascii="Symbol" w:eastAsia="Symbol" w:hAnsi="Symbol" w:cs="Symbol" w:hint="default"/>
        <w:b w:val="0"/>
        <w:bCs w:val="0"/>
        <w:i w:val="0"/>
        <w:iCs w:val="0"/>
        <w:w w:val="99"/>
        <w:sz w:val="22"/>
        <w:szCs w:val="22"/>
        <w:lang w:val="en-US" w:eastAsia="en-US" w:bidi="ar-SA"/>
      </w:rPr>
    </w:lvl>
    <w:lvl w:ilvl="1" w:tplc="72E6528E">
      <w:numFmt w:val="bullet"/>
      <w:lvlText w:val=""/>
      <w:lvlJc w:val="left"/>
      <w:pPr>
        <w:ind w:left="964" w:hanging="425"/>
      </w:pPr>
      <w:rPr>
        <w:rFonts w:ascii="Symbol" w:eastAsia="Symbol" w:hAnsi="Symbol" w:cs="Symbol" w:hint="default"/>
        <w:b w:val="0"/>
        <w:bCs w:val="0"/>
        <w:i w:val="0"/>
        <w:iCs w:val="0"/>
        <w:w w:val="99"/>
        <w:sz w:val="22"/>
        <w:szCs w:val="22"/>
        <w:lang w:val="en-US" w:eastAsia="en-US" w:bidi="ar-SA"/>
      </w:rPr>
    </w:lvl>
    <w:lvl w:ilvl="2" w:tplc="8D6CF5D0">
      <w:numFmt w:val="bullet"/>
      <w:lvlText w:val="•"/>
      <w:lvlJc w:val="left"/>
      <w:pPr>
        <w:ind w:left="1964" w:hanging="425"/>
      </w:pPr>
      <w:rPr>
        <w:rFonts w:hint="default"/>
        <w:lang w:val="en-US" w:eastAsia="en-US" w:bidi="ar-SA"/>
      </w:rPr>
    </w:lvl>
    <w:lvl w:ilvl="3" w:tplc="F53EF276">
      <w:numFmt w:val="bullet"/>
      <w:lvlText w:val="•"/>
      <w:lvlJc w:val="left"/>
      <w:pPr>
        <w:ind w:left="2969" w:hanging="425"/>
      </w:pPr>
      <w:rPr>
        <w:rFonts w:hint="default"/>
        <w:lang w:val="en-US" w:eastAsia="en-US" w:bidi="ar-SA"/>
      </w:rPr>
    </w:lvl>
    <w:lvl w:ilvl="4" w:tplc="2B140D32">
      <w:numFmt w:val="bullet"/>
      <w:lvlText w:val="•"/>
      <w:lvlJc w:val="left"/>
      <w:pPr>
        <w:ind w:left="3974" w:hanging="425"/>
      </w:pPr>
      <w:rPr>
        <w:rFonts w:hint="default"/>
        <w:lang w:val="en-US" w:eastAsia="en-US" w:bidi="ar-SA"/>
      </w:rPr>
    </w:lvl>
    <w:lvl w:ilvl="5" w:tplc="74EE6854">
      <w:numFmt w:val="bullet"/>
      <w:lvlText w:val="•"/>
      <w:lvlJc w:val="left"/>
      <w:pPr>
        <w:ind w:left="4979" w:hanging="425"/>
      </w:pPr>
      <w:rPr>
        <w:rFonts w:hint="default"/>
        <w:lang w:val="en-US" w:eastAsia="en-US" w:bidi="ar-SA"/>
      </w:rPr>
    </w:lvl>
    <w:lvl w:ilvl="6" w:tplc="BE34645C">
      <w:numFmt w:val="bullet"/>
      <w:lvlText w:val="•"/>
      <w:lvlJc w:val="left"/>
      <w:pPr>
        <w:ind w:left="5984" w:hanging="425"/>
      </w:pPr>
      <w:rPr>
        <w:rFonts w:hint="default"/>
        <w:lang w:val="en-US" w:eastAsia="en-US" w:bidi="ar-SA"/>
      </w:rPr>
    </w:lvl>
    <w:lvl w:ilvl="7" w:tplc="ACD88260">
      <w:numFmt w:val="bullet"/>
      <w:lvlText w:val="•"/>
      <w:lvlJc w:val="left"/>
      <w:pPr>
        <w:ind w:left="6989" w:hanging="425"/>
      </w:pPr>
      <w:rPr>
        <w:rFonts w:hint="default"/>
        <w:lang w:val="en-US" w:eastAsia="en-US" w:bidi="ar-SA"/>
      </w:rPr>
    </w:lvl>
    <w:lvl w:ilvl="8" w:tplc="02CA7F64">
      <w:numFmt w:val="bullet"/>
      <w:lvlText w:val="•"/>
      <w:lvlJc w:val="left"/>
      <w:pPr>
        <w:ind w:left="7994" w:hanging="425"/>
      </w:pPr>
      <w:rPr>
        <w:rFonts w:hint="default"/>
        <w:lang w:val="en-US" w:eastAsia="en-US" w:bidi="ar-SA"/>
      </w:rPr>
    </w:lvl>
  </w:abstractNum>
  <w:abstractNum w:abstractNumId="65" w15:restartNumberingAfterBreak="0">
    <w:nsid w:val="45F17AC4"/>
    <w:multiLevelType w:val="hybridMultilevel"/>
    <w:tmpl w:val="217037AA"/>
    <w:lvl w:ilvl="0" w:tplc="D0EEBB9C">
      <w:numFmt w:val="bullet"/>
      <w:lvlText w:val=""/>
      <w:lvlJc w:val="left"/>
      <w:pPr>
        <w:ind w:left="448" w:hanging="360"/>
      </w:pPr>
      <w:rPr>
        <w:rFonts w:ascii="Symbol" w:eastAsia="Symbol" w:hAnsi="Symbol" w:cs="Symbol" w:hint="default"/>
        <w:b w:val="0"/>
        <w:bCs w:val="0"/>
        <w:i w:val="0"/>
        <w:iCs w:val="0"/>
        <w:w w:val="100"/>
        <w:sz w:val="18"/>
        <w:szCs w:val="18"/>
        <w:lang w:val="en-US" w:eastAsia="en-US" w:bidi="ar-SA"/>
      </w:rPr>
    </w:lvl>
    <w:lvl w:ilvl="1" w:tplc="D45C4B2C">
      <w:numFmt w:val="bullet"/>
      <w:lvlText w:val="•"/>
      <w:lvlJc w:val="left"/>
      <w:pPr>
        <w:ind w:left="622" w:hanging="360"/>
      </w:pPr>
      <w:rPr>
        <w:rFonts w:hint="default"/>
        <w:lang w:val="en-US" w:eastAsia="en-US" w:bidi="ar-SA"/>
      </w:rPr>
    </w:lvl>
    <w:lvl w:ilvl="2" w:tplc="4D761C3C">
      <w:numFmt w:val="bullet"/>
      <w:lvlText w:val="•"/>
      <w:lvlJc w:val="left"/>
      <w:pPr>
        <w:ind w:left="805" w:hanging="360"/>
      </w:pPr>
      <w:rPr>
        <w:rFonts w:hint="default"/>
        <w:lang w:val="en-US" w:eastAsia="en-US" w:bidi="ar-SA"/>
      </w:rPr>
    </w:lvl>
    <w:lvl w:ilvl="3" w:tplc="7D7C9528">
      <w:numFmt w:val="bullet"/>
      <w:lvlText w:val="•"/>
      <w:lvlJc w:val="left"/>
      <w:pPr>
        <w:ind w:left="988" w:hanging="360"/>
      </w:pPr>
      <w:rPr>
        <w:rFonts w:hint="default"/>
        <w:lang w:val="en-US" w:eastAsia="en-US" w:bidi="ar-SA"/>
      </w:rPr>
    </w:lvl>
    <w:lvl w:ilvl="4" w:tplc="B28E7B34">
      <w:numFmt w:val="bullet"/>
      <w:lvlText w:val="•"/>
      <w:lvlJc w:val="left"/>
      <w:pPr>
        <w:ind w:left="1170" w:hanging="360"/>
      </w:pPr>
      <w:rPr>
        <w:rFonts w:hint="default"/>
        <w:lang w:val="en-US" w:eastAsia="en-US" w:bidi="ar-SA"/>
      </w:rPr>
    </w:lvl>
    <w:lvl w:ilvl="5" w:tplc="DF9C187C">
      <w:numFmt w:val="bullet"/>
      <w:lvlText w:val="•"/>
      <w:lvlJc w:val="left"/>
      <w:pPr>
        <w:ind w:left="1353" w:hanging="360"/>
      </w:pPr>
      <w:rPr>
        <w:rFonts w:hint="default"/>
        <w:lang w:val="en-US" w:eastAsia="en-US" w:bidi="ar-SA"/>
      </w:rPr>
    </w:lvl>
    <w:lvl w:ilvl="6" w:tplc="A55C2458">
      <w:numFmt w:val="bullet"/>
      <w:lvlText w:val="•"/>
      <w:lvlJc w:val="left"/>
      <w:pPr>
        <w:ind w:left="1536" w:hanging="360"/>
      </w:pPr>
      <w:rPr>
        <w:rFonts w:hint="default"/>
        <w:lang w:val="en-US" w:eastAsia="en-US" w:bidi="ar-SA"/>
      </w:rPr>
    </w:lvl>
    <w:lvl w:ilvl="7" w:tplc="A54E2342">
      <w:numFmt w:val="bullet"/>
      <w:lvlText w:val="•"/>
      <w:lvlJc w:val="left"/>
      <w:pPr>
        <w:ind w:left="1718" w:hanging="360"/>
      </w:pPr>
      <w:rPr>
        <w:rFonts w:hint="default"/>
        <w:lang w:val="en-US" w:eastAsia="en-US" w:bidi="ar-SA"/>
      </w:rPr>
    </w:lvl>
    <w:lvl w:ilvl="8" w:tplc="E4308A0C">
      <w:numFmt w:val="bullet"/>
      <w:lvlText w:val="•"/>
      <w:lvlJc w:val="left"/>
      <w:pPr>
        <w:ind w:left="1901" w:hanging="360"/>
      </w:pPr>
      <w:rPr>
        <w:rFonts w:hint="default"/>
        <w:lang w:val="en-US" w:eastAsia="en-US" w:bidi="ar-SA"/>
      </w:rPr>
    </w:lvl>
  </w:abstractNum>
  <w:abstractNum w:abstractNumId="66" w15:restartNumberingAfterBreak="0">
    <w:nsid w:val="46F03819"/>
    <w:multiLevelType w:val="hybridMultilevel"/>
    <w:tmpl w:val="B0E0FD02"/>
    <w:lvl w:ilvl="0" w:tplc="D098FF72">
      <w:numFmt w:val="bullet"/>
      <w:lvlText w:val=""/>
      <w:lvlJc w:val="left"/>
      <w:pPr>
        <w:ind w:left="874" w:hanging="360"/>
      </w:pPr>
      <w:rPr>
        <w:rFonts w:ascii="Symbol" w:eastAsia="Symbol" w:hAnsi="Symbol" w:cs="Symbol" w:hint="default"/>
        <w:b w:val="0"/>
        <w:bCs w:val="0"/>
        <w:i w:val="0"/>
        <w:iCs w:val="0"/>
        <w:w w:val="99"/>
        <w:sz w:val="22"/>
        <w:szCs w:val="22"/>
        <w:lang w:val="en-US" w:eastAsia="en-US" w:bidi="ar-SA"/>
      </w:rPr>
    </w:lvl>
    <w:lvl w:ilvl="1" w:tplc="50FA0E1C">
      <w:numFmt w:val="bullet"/>
      <w:lvlText w:val="•"/>
      <w:lvlJc w:val="left"/>
      <w:pPr>
        <w:ind w:left="1810" w:hanging="360"/>
      </w:pPr>
      <w:rPr>
        <w:rFonts w:hint="default"/>
        <w:lang w:val="en-US" w:eastAsia="en-US" w:bidi="ar-SA"/>
      </w:rPr>
    </w:lvl>
    <w:lvl w:ilvl="2" w:tplc="B3706F28">
      <w:numFmt w:val="bullet"/>
      <w:lvlText w:val="•"/>
      <w:lvlJc w:val="left"/>
      <w:pPr>
        <w:ind w:left="2740" w:hanging="360"/>
      </w:pPr>
      <w:rPr>
        <w:rFonts w:hint="default"/>
        <w:lang w:val="en-US" w:eastAsia="en-US" w:bidi="ar-SA"/>
      </w:rPr>
    </w:lvl>
    <w:lvl w:ilvl="3" w:tplc="D1FEB51C">
      <w:numFmt w:val="bullet"/>
      <w:lvlText w:val="•"/>
      <w:lvlJc w:val="left"/>
      <w:pPr>
        <w:ind w:left="3671" w:hanging="360"/>
      </w:pPr>
      <w:rPr>
        <w:rFonts w:hint="default"/>
        <w:lang w:val="en-US" w:eastAsia="en-US" w:bidi="ar-SA"/>
      </w:rPr>
    </w:lvl>
    <w:lvl w:ilvl="4" w:tplc="9FDE8F96">
      <w:numFmt w:val="bullet"/>
      <w:lvlText w:val="•"/>
      <w:lvlJc w:val="left"/>
      <w:pPr>
        <w:ind w:left="4601" w:hanging="360"/>
      </w:pPr>
      <w:rPr>
        <w:rFonts w:hint="default"/>
        <w:lang w:val="en-US" w:eastAsia="en-US" w:bidi="ar-SA"/>
      </w:rPr>
    </w:lvl>
    <w:lvl w:ilvl="5" w:tplc="E00A71F4">
      <w:numFmt w:val="bullet"/>
      <w:lvlText w:val="•"/>
      <w:lvlJc w:val="left"/>
      <w:pPr>
        <w:ind w:left="5532" w:hanging="360"/>
      </w:pPr>
      <w:rPr>
        <w:rFonts w:hint="default"/>
        <w:lang w:val="en-US" w:eastAsia="en-US" w:bidi="ar-SA"/>
      </w:rPr>
    </w:lvl>
    <w:lvl w:ilvl="6" w:tplc="17D49DAC">
      <w:numFmt w:val="bullet"/>
      <w:lvlText w:val="•"/>
      <w:lvlJc w:val="left"/>
      <w:pPr>
        <w:ind w:left="6462" w:hanging="360"/>
      </w:pPr>
      <w:rPr>
        <w:rFonts w:hint="default"/>
        <w:lang w:val="en-US" w:eastAsia="en-US" w:bidi="ar-SA"/>
      </w:rPr>
    </w:lvl>
    <w:lvl w:ilvl="7" w:tplc="4EC44766">
      <w:numFmt w:val="bullet"/>
      <w:lvlText w:val="•"/>
      <w:lvlJc w:val="left"/>
      <w:pPr>
        <w:ind w:left="7393" w:hanging="360"/>
      </w:pPr>
      <w:rPr>
        <w:rFonts w:hint="default"/>
        <w:lang w:val="en-US" w:eastAsia="en-US" w:bidi="ar-SA"/>
      </w:rPr>
    </w:lvl>
    <w:lvl w:ilvl="8" w:tplc="8EA8659C">
      <w:numFmt w:val="bullet"/>
      <w:lvlText w:val="•"/>
      <w:lvlJc w:val="left"/>
      <w:pPr>
        <w:ind w:left="8323" w:hanging="360"/>
      </w:pPr>
      <w:rPr>
        <w:rFonts w:hint="default"/>
        <w:lang w:val="en-US" w:eastAsia="en-US" w:bidi="ar-SA"/>
      </w:rPr>
    </w:lvl>
  </w:abstractNum>
  <w:abstractNum w:abstractNumId="67" w15:restartNumberingAfterBreak="0">
    <w:nsid w:val="48292229"/>
    <w:multiLevelType w:val="hybridMultilevel"/>
    <w:tmpl w:val="7B10AB14"/>
    <w:lvl w:ilvl="0" w:tplc="A1A24E36">
      <w:numFmt w:val="bullet"/>
      <w:lvlText w:val=""/>
      <w:lvlJc w:val="left"/>
      <w:pPr>
        <w:ind w:left="427" w:hanging="284"/>
      </w:pPr>
      <w:rPr>
        <w:rFonts w:ascii="Symbol" w:eastAsia="Symbol" w:hAnsi="Symbol" w:cs="Symbol" w:hint="default"/>
        <w:b w:val="0"/>
        <w:bCs w:val="0"/>
        <w:i w:val="0"/>
        <w:iCs w:val="0"/>
        <w:w w:val="100"/>
        <w:sz w:val="18"/>
        <w:szCs w:val="18"/>
        <w:lang w:val="en-US" w:eastAsia="en-US" w:bidi="ar-SA"/>
      </w:rPr>
    </w:lvl>
    <w:lvl w:ilvl="1" w:tplc="DD26B432">
      <w:numFmt w:val="bullet"/>
      <w:lvlText w:val="•"/>
      <w:lvlJc w:val="left"/>
      <w:pPr>
        <w:ind w:left="744" w:hanging="284"/>
      </w:pPr>
      <w:rPr>
        <w:rFonts w:hint="default"/>
        <w:lang w:val="en-US" w:eastAsia="en-US" w:bidi="ar-SA"/>
      </w:rPr>
    </w:lvl>
    <w:lvl w:ilvl="2" w:tplc="51408586">
      <w:numFmt w:val="bullet"/>
      <w:lvlText w:val="•"/>
      <w:lvlJc w:val="left"/>
      <w:pPr>
        <w:ind w:left="1068" w:hanging="284"/>
      </w:pPr>
      <w:rPr>
        <w:rFonts w:hint="default"/>
        <w:lang w:val="en-US" w:eastAsia="en-US" w:bidi="ar-SA"/>
      </w:rPr>
    </w:lvl>
    <w:lvl w:ilvl="3" w:tplc="E968E13C">
      <w:numFmt w:val="bullet"/>
      <w:lvlText w:val="•"/>
      <w:lvlJc w:val="left"/>
      <w:pPr>
        <w:ind w:left="1392" w:hanging="284"/>
      </w:pPr>
      <w:rPr>
        <w:rFonts w:hint="default"/>
        <w:lang w:val="en-US" w:eastAsia="en-US" w:bidi="ar-SA"/>
      </w:rPr>
    </w:lvl>
    <w:lvl w:ilvl="4" w:tplc="7E82B1E8">
      <w:numFmt w:val="bullet"/>
      <w:lvlText w:val="•"/>
      <w:lvlJc w:val="left"/>
      <w:pPr>
        <w:ind w:left="1716" w:hanging="284"/>
      </w:pPr>
      <w:rPr>
        <w:rFonts w:hint="default"/>
        <w:lang w:val="en-US" w:eastAsia="en-US" w:bidi="ar-SA"/>
      </w:rPr>
    </w:lvl>
    <w:lvl w:ilvl="5" w:tplc="8CC02798">
      <w:numFmt w:val="bullet"/>
      <w:lvlText w:val="•"/>
      <w:lvlJc w:val="left"/>
      <w:pPr>
        <w:ind w:left="2040" w:hanging="284"/>
      </w:pPr>
      <w:rPr>
        <w:rFonts w:hint="default"/>
        <w:lang w:val="en-US" w:eastAsia="en-US" w:bidi="ar-SA"/>
      </w:rPr>
    </w:lvl>
    <w:lvl w:ilvl="6" w:tplc="681C8BD8">
      <w:numFmt w:val="bullet"/>
      <w:lvlText w:val="•"/>
      <w:lvlJc w:val="left"/>
      <w:pPr>
        <w:ind w:left="2364" w:hanging="284"/>
      </w:pPr>
      <w:rPr>
        <w:rFonts w:hint="default"/>
        <w:lang w:val="en-US" w:eastAsia="en-US" w:bidi="ar-SA"/>
      </w:rPr>
    </w:lvl>
    <w:lvl w:ilvl="7" w:tplc="47701AB8">
      <w:numFmt w:val="bullet"/>
      <w:lvlText w:val="•"/>
      <w:lvlJc w:val="left"/>
      <w:pPr>
        <w:ind w:left="2688" w:hanging="284"/>
      </w:pPr>
      <w:rPr>
        <w:rFonts w:hint="default"/>
        <w:lang w:val="en-US" w:eastAsia="en-US" w:bidi="ar-SA"/>
      </w:rPr>
    </w:lvl>
    <w:lvl w:ilvl="8" w:tplc="63F065E4">
      <w:numFmt w:val="bullet"/>
      <w:lvlText w:val="•"/>
      <w:lvlJc w:val="left"/>
      <w:pPr>
        <w:ind w:left="3012" w:hanging="284"/>
      </w:pPr>
      <w:rPr>
        <w:rFonts w:hint="default"/>
        <w:lang w:val="en-US" w:eastAsia="en-US" w:bidi="ar-SA"/>
      </w:rPr>
    </w:lvl>
  </w:abstractNum>
  <w:abstractNum w:abstractNumId="68" w15:restartNumberingAfterBreak="0">
    <w:nsid w:val="4A3F1A55"/>
    <w:multiLevelType w:val="hybridMultilevel"/>
    <w:tmpl w:val="DC10FEF4"/>
    <w:lvl w:ilvl="0" w:tplc="7900995A">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828CCE52">
      <w:numFmt w:val="bullet"/>
      <w:lvlText w:val="•"/>
      <w:lvlJc w:val="left"/>
      <w:pPr>
        <w:ind w:left="1147" w:hanging="360"/>
      </w:pPr>
      <w:rPr>
        <w:rFonts w:hint="default"/>
        <w:lang w:val="en-US" w:eastAsia="en-US" w:bidi="ar-SA"/>
      </w:rPr>
    </w:lvl>
    <w:lvl w:ilvl="2" w:tplc="DD82622A">
      <w:numFmt w:val="bullet"/>
      <w:lvlText w:val="•"/>
      <w:lvlJc w:val="left"/>
      <w:pPr>
        <w:ind w:left="1835" w:hanging="360"/>
      </w:pPr>
      <w:rPr>
        <w:rFonts w:hint="default"/>
        <w:lang w:val="en-US" w:eastAsia="en-US" w:bidi="ar-SA"/>
      </w:rPr>
    </w:lvl>
    <w:lvl w:ilvl="3" w:tplc="82DEF47C">
      <w:numFmt w:val="bullet"/>
      <w:lvlText w:val="•"/>
      <w:lvlJc w:val="left"/>
      <w:pPr>
        <w:ind w:left="2522" w:hanging="360"/>
      </w:pPr>
      <w:rPr>
        <w:rFonts w:hint="default"/>
        <w:lang w:val="en-US" w:eastAsia="en-US" w:bidi="ar-SA"/>
      </w:rPr>
    </w:lvl>
    <w:lvl w:ilvl="4" w:tplc="F2DEF30C">
      <w:numFmt w:val="bullet"/>
      <w:lvlText w:val="•"/>
      <w:lvlJc w:val="left"/>
      <w:pPr>
        <w:ind w:left="3210" w:hanging="360"/>
      </w:pPr>
      <w:rPr>
        <w:rFonts w:hint="default"/>
        <w:lang w:val="en-US" w:eastAsia="en-US" w:bidi="ar-SA"/>
      </w:rPr>
    </w:lvl>
    <w:lvl w:ilvl="5" w:tplc="A03A4AE0">
      <w:numFmt w:val="bullet"/>
      <w:lvlText w:val="•"/>
      <w:lvlJc w:val="left"/>
      <w:pPr>
        <w:ind w:left="3897" w:hanging="360"/>
      </w:pPr>
      <w:rPr>
        <w:rFonts w:hint="default"/>
        <w:lang w:val="en-US" w:eastAsia="en-US" w:bidi="ar-SA"/>
      </w:rPr>
    </w:lvl>
    <w:lvl w:ilvl="6" w:tplc="0478D2FE">
      <w:numFmt w:val="bullet"/>
      <w:lvlText w:val="•"/>
      <w:lvlJc w:val="left"/>
      <w:pPr>
        <w:ind w:left="4585" w:hanging="360"/>
      </w:pPr>
      <w:rPr>
        <w:rFonts w:hint="default"/>
        <w:lang w:val="en-US" w:eastAsia="en-US" w:bidi="ar-SA"/>
      </w:rPr>
    </w:lvl>
    <w:lvl w:ilvl="7" w:tplc="E1065DD2">
      <w:numFmt w:val="bullet"/>
      <w:lvlText w:val="•"/>
      <w:lvlJc w:val="left"/>
      <w:pPr>
        <w:ind w:left="5272" w:hanging="360"/>
      </w:pPr>
      <w:rPr>
        <w:rFonts w:hint="default"/>
        <w:lang w:val="en-US" w:eastAsia="en-US" w:bidi="ar-SA"/>
      </w:rPr>
    </w:lvl>
    <w:lvl w:ilvl="8" w:tplc="CF56D28C">
      <w:numFmt w:val="bullet"/>
      <w:lvlText w:val="•"/>
      <w:lvlJc w:val="left"/>
      <w:pPr>
        <w:ind w:left="5960" w:hanging="360"/>
      </w:pPr>
      <w:rPr>
        <w:rFonts w:hint="default"/>
        <w:lang w:val="en-US" w:eastAsia="en-US" w:bidi="ar-SA"/>
      </w:rPr>
    </w:lvl>
  </w:abstractNum>
  <w:abstractNum w:abstractNumId="69" w15:restartNumberingAfterBreak="0">
    <w:nsid w:val="4B0E1049"/>
    <w:multiLevelType w:val="hybridMultilevel"/>
    <w:tmpl w:val="FC8AF0B2"/>
    <w:lvl w:ilvl="0" w:tplc="78EC540A">
      <w:numFmt w:val="bullet"/>
      <w:lvlText w:val=""/>
      <w:lvlJc w:val="left"/>
      <w:pPr>
        <w:ind w:left="412" w:hanging="358"/>
      </w:pPr>
      <w:rPr>
        <w:rFonts w:ascii="Symbol" w:eastAsia="Symbol" w:hAnsi="Symbol" w:cs="Symbol" w:hint="default"/>
        <w:b w:val="0"/>
        <w:bCs w:val="0"/>
        <w:i w:val="0"/>
        <w:iCs w:val="0"/>
        <w:w w:val="100"/>
        <w:sz w:val="18"/>
        <w:szCs w:val="18"/>
        <w:lang w:val="en-US" w:eastAsia="en-US" w:bidi="ar-SA"/>
      </w:rPr>
    </w:lvl>
    <w:lvl w:ilvl="1" w:tplc="7A7A181C">
      <w:numFmt w:val="bullet"/>
      <w:lvlText w:val="•"/>
      <w:lvlJc w:val="left"/>
      <w:pPr>
        <w:ind w:left="1121" w:hanging="358"/>
      </w:pPr>
      <w:rPr>
        <w:rFonts w:hint="default"/>
        <w:lang w:val="en-US" w:eastAsia="en-US" w:bidi="ar-SA"/>
      </w:rPr>
    </w:lvl>
    <w:lvl w:ilvl="2" w:tplc="70FA8836">
      <w:numFmt w:val="bullet"/>
      <w:lvlText w:val="•"/>
      <w:lvlJc w:val="left"/>
      <w:pPr>
        <w:ind w:left="1822" w:hanging="358"/>
      </w:pPr>
      <w:rPr>
        <w:rFonts w:hint="default"/>
        <w:lang w:val="en-US" w:eastAsia="en-US" w:bidi="ar-SA"/>
      </w:rPr>
    </w:lvl>
    <w:lvl w:ilvl="3" w:tplc="1442AA7C">
      <w:numFmt w:val="bullet"/>
      <w:lvlText w:val="•"/>
      <w:lvlJc w:val="left"/>
      <w:pPr>
        <w:ind w:left="2524" w:hanging="358"/>
      </w:pPr>
      <w:rPr>
        <w:rFonts w:hint="default"/>
        <w:lang w:val="en-US" w:eastAsia="en-US" w:bidi="ar-SA"/>
      </w:rPr>
    </w:lvl>
    <w:lvl w:ilvl="4" w:tplc="0032F0E8">
      <w:numFmt w:val="bullet"/>
      <w:lvlText w:val="•"/>
      <w:lvlJc w:val="left"/>
      <w:pPr>
        <w:ind w:left="3225" w:hanging="358"/>
      </w:pPr>
      <w:rPr>
        <w:rFonts w:hint="default"/>
        <w:lang w:val="en-US" w:eastAsia="en-US" w:bidi="ar-SA"/>
      </w:rPr>
    </w:lvl>
    <w:lvl w:ilvl="5" w:tplc="B994E2F6">
      <w:numFmt w:val="bullet"/>
      <w:lvlText w:val="•"/>
      <w:lvlJc w:val="left"/>
      <w:pPr>
        <w:ind w:left="3927" w:hanging="358"/>
      </w:pPr>
      <w:rPr>
        <w:rFonts w:hint="default"/>
        <w:lang w:val="en-US" w:eastAsia="en-US" w:bidi="ar-SA"/>
      </w:rPr>
    </w:lvl>
    <w:lvl w:ilvl="6" w:tplc="A8BA6A6C">
      <w:numFmt w:val="bullet"/>
      <w:lvlText w:val="•"/>
      <w:lvlJc w:val="left"/>
      <w:pPr>
        <w:ind w:left="4628" w:hanging="358"/>
      </w:pPr>
      <w:rPr>
        <w:rFonts w:hint="default"/>
        <w:lang w:val="en-US" w:eastAsia="en-US" w:bidi="ar-SA"/>
      </w:rPr>
    </w:lvl>
    <w:lvl w:ilvl="7" w:tplc="32CE777C">
      <w:numFmt w:val="bullet"/>
      <w:lvlText w:val="•"/>
      <w:lvlJc w:val="left"/>
      <w:pPr>
        <w:ind w:left="5329" w:hanging="358"/>
      </w:pPr>
      <w:rPr>
        <w:rFonts w:hint="default"/>
        <w:lang w:val="en-US" w:eastAsia="en-US" w:bidi="ar-SA"/>
      </w:rPr>
    </w:lvl>
    <w:lvl w:ilvl="8" w:tplc="476ED486">
      <w:numFmt w:val="bullet"/>
      <w:lvlText w:val="•"/>
      <w:lvlJc w:val="left"/>
      <w:pPr>
        <w:ind w:left="6031" w:hanging="358"/>
      </w:pPr>
      <w:rPr>
        <w:rFonts w:hint="default"/>
        <w:lang w:val="en-US" w:eastAsia="en-US" w:bidi="ar-SA"/>
      </w:rPr>
    </w:lvl>
  </w:abstractNum>
  <w:abstractNum w:abstractNumId="70" w15:restartNumberingAfterBreak="0">
    <w:nsid w:val="4D242845"/>
    <w:multiLevelType w:val="hybridMultilevel"/>
    <w:tmpl w:val="3B7A2C9C"/>
    <w:lvl w:ilvl="0" w:tplc="E6644730">
      <w:start w:val="1"/>
      <w:numFmt w:val="decimal"/>
      <w:lvlText w:val="%1."/>
      <w:lvlJc w:val="left"/>
      <w:pPr>
        <w:ind w:left="1180" w:hanging="720"/>
        <w:jc w:val="left"/>
      </w:pPr>
      <w:rPr>
        <w:rFonts w:ascii="Calibri Light" w:eastAsia="Calibri Light" w:hAnsi="Calibri Light" w:cs="Calibri Light" w:hint="default"/>
        <w:b w:val="0"/>
        <w:bCs w:val="0"/>
        <w:i w:val="0"/>
        <w:iCs w:val="0"/>
        <w:w w:val="99"/>
        <w:sz w:val="22"/>
        <w:szCs w:val="22"/>
        <w:lang w:val="en-US" w:eastAsia="en-US" w:bidi="ar-SA"/>
      </w:rPr>
    </w:lvl>
    <w:lvl w:ilvl="1" w:tplc="92B256CA">
      <w:numFmt w:val="bullet"/>
      <w:lvlText w:val="•"/>
      <w:lvlJc w:val="left"/>
      <w:pPr>
        <w:ind w:left="2080" w:hanging="720"/>
      </w:pPr>
      <w:rPr>
        <w:rFonts w:hint="default"/>
        <w:lang w:val="en-US" w:eastAsia="en-US" w:bidi="ar-SA"/>
      </w:rPr>
    </w:lvl>
    <w:lvl w:ilvl="2" w:tplc="13D059CE">
      <w:numFmt w:val="bullet"/>
      <w:lvlText w:val="•"/>
      <w:lvlJc w:val="left"/>
      <w:pPr>
        <w:ind w:left="2980" w:hanging="720"/>
      </w:pPr>
      <w:rPr>
        <w:rFonts w:hint="default"/>
        <w:lang w:val="en-US" w:eastAsia="en-US" w:bidi="ar-SA"/>
      </w:rPr>
    </w:lvl>
    <w:lvl w:ilvl="3" w:tplc="91C815E4">
      <w:numFmt w:val="bullet"/>
      <w:lvlText w:val="•"/>
      <w:lvlJc w:val="left"/>
      <w:pPr>
        <w:ind w:left="3881" w:hanging="720"/>
      </w:pPr>
      <w:rPr>
        <w:rFonts w:hint="default"/>
        <w:lang w:val="en-US" w:eastAsia="en-US" w:bidi="ar-SA"/>
      </w:rPr>
    </w:lvl>
    <w:lvl w:ilvl="4" w:tplc="39DAD766">
      <w:numFmt w:val="bullet"/>
      <w:lvlText w:val="•"/>
      <w:lvlJc w:val="left"/>
      <w:pPr>
        <w:ind w:left="4781" w:hanging="720"/>
      </w:pPr>
      <w:rPr>
        <w:rFonts w:hint="default"/>
        <w:lang w:val="en-US" w:eastAsia="en-US" w:bidi="ar-SA"/>
      </w:rPr>
    </w:lvl>
    <w:lvl w:ilvl="5" w:tplc="F80A267C">
      <w:numFmt w:val="bullet"/>
      <w:lvlText w:val="•"/>
      <w:lvlJc w:val="left"/>
      <w:pPr>
        <w:ind w:left="5682" w:hanging="720"/>
      </w:pPr>
      <w:rPr>
        <w:rFonts w:hint="default"/>
        <w:lang w:val="en-US" w:eastAsia="en-US" w:bidi="ar-SA"/>
      </w:rPr>
    </w:lvl>
    <w:lvl w:ilvl="6" w:tplc="D8E41BDC">
      <w:numFmt w:val="bullet"/>
      <w:lvlText w:val="•"/>
      <w:lvlJc w:val="left"/>
      <w:pPr>
        <w:ind w:left="6582" w:hanging="720"/>
      </w:pPr>
      <w:rPr>
        <w:rFonts w:hint="default"/>
        <w:lang w:val="en-US" w:eastAsia="en-US" w:bidi="ar-SA"/>
      </w:rPr>
    </w:lvl>
    <w:lvl w:ilvl="7" w:tplc="0D3E74D2">
      <w:numFmt w:val="bullet"/>
      <w:lvlText w:val="•"/>
      <w:lvlJc w:val="left"/>
      <w:pPr>
        <w:ind w:left="7483" w:hanging="720"/>
      </w:pPr>
      <w:rPr>
        <w:rFonts w:hint="default"/>
        <w:lang w:val="en-US" w:eastAsia="en-US" w:bidi="ar-SA"/>
      </w:rPr>
    </w:lvl>
    <w:lvl w:ilvl="8" w:tplc="27ECE124">
      <w:numFmt w:val="bullet"/>
      <w:lvlText w:val="•"/>
      <w:lvlJc w:val="left"/>
      <w:pPr>
        <w:ind w:left="8383" w:hanging="720"/>
      </w:pPr>
      <w:rPr>
        <w:rFonts w:hint="default"/>
        <w:lang w:val="en-US" w:eastAsia="en-US" w:bidi="ar-SA"/>
      </w:rPr>
    </w:lvl>
  </w:abstractNum>
  <w:abstractNum w:abstractNumId="71" w15:restartNumberingAfterBreak="0">
    <w:nsid w:val="4DF7357F"/>
    <w:multiLevelType w:val="hybridMultilevel"/>
    <w:tmpl w:val="EFEE1956"/>
    <w:lvl w:ilvl="0" w:tplc="537A044E">
      <w:numFmt w:val="bullet"/>
      <w:lvlText w:val=""/>
      <w:lvlJc w:val="left"/>
      <w:pPr>
        <w:ind w:left="562" w:hanging="360"/>
      </w:pPr>
      <w:rPr>
        <w:rFonts w:ascii="Symbol" w:eastAsia="Symbol" w:hAnsi="Symbol" w:cs="Symbol" w:hint="default"/>
        <w:b w:val="0"/>
        <w:bCs w:val="0"/>
        <w:i w:val="0"/>
        <w:iCs w:val="0"/>
        <w:w w:val="100"/>
        <w:sz w:val="18"/>
        <w:szCs w:val="18"/>
        <w:lang w:val="en-US" w:eastAsia="en-US" w:bidi="ar-SA"/>
      </w:rPr>
    </w:lvl>
    <w:lvl w:ilvl="1" w:tplc="733078CA">
      <w:numFmt w:val="bullet"/>
      <w:lvlText w:val="•"/>
      <w:lvlJc w:val="left"/>
      <w:pPr>
        <w:ind w:left="864" w:hanging="360"/>
      </w:pPr>
      <w:rPr>
        <w:rFonts w:hint="default"/>
        <w:lang w:val="en-US" w:eastAsia="en-US" w:bidi="ar-SA"/>
      </w:rPr>
    </w:lvl>
    <w:lvl w:ilvl="2" w:tplc="729060DC">
      <w:numFmt w:val="bullet"/>
      <w:lvlText w:val="•"/>
      <w:lvlJc w:val="left"/>
      <w:pPr>
        <w:ind w:left="1168" w:hanging="360"/>
      </w:pPr>
      <w:rPr>
        <w:rFonts w:hint="default"/>
        <w:lang w:val="en-US" w:eastAsia="en-US" w:bidi="ar-SA"/>
      </w:rPr>
    </w:lvl>
    <w:lvl w:ilvl="3" w:tplc="512687F4">
      <w:numFmt w:val="bullet"/>
      <w:lvlText w:val="•"/>
      <w:lvlJc w:val="left"/>
      <w:pPr>
        <w:ind w:left="1472" w:hanging="360"/>
      </w:pPr>
      <w:rPr>
        <w:rFonts w:hint="default"/>
        <w:lang w:val="en-US" w:eastAsia="en-US" w:bidi="ar-SA"/>
      </w:rPr>
    </w:lvl>
    <w:lvl w:ilvl="4" w:tplc="25300536">
      <w:numFmt w:val="bullet"/>
      <w:lvlText w:val="•"/>
      <w:lvlJc w:val="left"/>
      <w:pPr>
        <w:ind w:left="1777" w:hanging="360"/>
      </w:pPr>
      <w:rPr>
        <w:rFonts w:hint="default"/>
        <w:lang w:val="en-US" w:eastAsia="en-US" w:bidi="ar-SA"/>
      </w:rPr>
    </w:lvl>
    <w:lvl w:ilvl="5" w:tplc="3BA23674">
      <w:numFmt w:val="bullet"/>
      <w:lvlText w:val="•"/>
      <w:lvlJc w:val="left"/>
      <w:pPr>
        <w:ind w:left="2081" w:hanging="360"/>
      </w:pPr>
      <w:rPr>
        <w:rFonts w:hint="default"/>
        <w:lang w:val="en-US" w:eastAsia="en-US" w:bidi="ar-SA"/>
      </w:rPr>
    </w:lvl>
    <w:lvl w:ilvl="6" w:tplc="7B889742">
      <w:numFmt w:val="bullet"/>
      <w:lvlText w:val="•"/>
      <w:lvlJc w:val="left"/>
      <w:pPr>
        <w:ind w:left="2385" w:hanging="360"/>
      </w:pPr>
      <w:rPr>
        <w:rFonts w:hint="default"/>
        <w:lang w:val="en-US" w:eastAsia="en-US" w:bidi="ar-SA"/>
      </w:rPr>
    </w:lvl>
    <w:lvl w:ilvl="7" w:tplc="50AAE946">
      <w:numFmt w:val="bullet"/>
      <w:lvlText w:val="•"/>
      <w:lvlJc w:val="left"/>
      <w:pPr>
        <w:ind w:left="2690" w:hanging="360"/>
      </w:pPr>
      <w:rPr>
        <w:rFonts w:hint="default"/>
        <w:lang w:val="en-US" w:eastAsia="en-US" w:bidi="ar-SA"/>
      </w:rPr>
    </w:lvl>
    <w:lvl w:ilvl="8" w:tplc="E588408C">
      <w:numFmt w:val="bullet"/>
      <w:lvlText w:val="•"/>
      <w:lvlJc w:val="left"/>
      <w:pPr>
        <w:ind w:left="2994" w:hanging="360"/>
      </w:pPr>
      <w:rPr>
        <w:rFonts w:hint="default"/>
        <w:lang w:val="en-US" w:eastAsia="en-US" w:bidi="ar-SA"/>
      </w:rPr>
    </w:lvl>
  </w:abstractNum>
  <w:abstractNum w:abstractNumId="72" w15:restartNumberingAfterBreak="0">
    <w:nsid w:val="4FAC3208"/>
    <w:multiLevelType w:val="hybridMultilevel"/>
    <w:tmpl w:val="484A9274"/>
    <w:lvl w:ilvl="0" w:tplc="E4AADD2C">
      <w:numFmt w:val="bullet"/>
      <w:lvlText w:val=""/>
      <w:lvlJc w:val="left"/>
      <w:pPr>
        <w:ind w:left="873" w:hanging="360"/>
      </w:pPr>
      <w:rPr>
        <w:rFonts w:ascii="Symbol" w:eastAsia="Symbol" w:hAnsi="Symbol" w:cs="Symbol" w:hint="default"/>
        <w:b w:val="0"/>
        <w:bCs w:val="0"/>
        <w:i w:val="0"/>
        <w:iCs w:val="0"/>
        <w:w w:val="99"/>
        <w:sz w:val="22"/>
        <w:szCs w:val="22"/>
        <w:lang w:val="en-US" w:eastAsia="en-US" w:bidi="ar-SA"/>
      </w:rPr>
    </w:lvl>
    <w:lvl w:ilvl="1" w:tplc="7C148F10">
      <w:numFmt w:val="bullet"/>
      <w:lvlText w:val="•"/>
      <w:lvlJc w:val="left"/>
      <w:pPr>
        <w:ind w:left="1810" w:hanging="360"/>
      </w:pPr>
      <w:rPr>
        <w:rFonts w:hint="default"/>
        <w:lang w:val="en-US" w:eastAsia="en-US" w:bidi="ar-SA"/>
      </w:rPr>
    </w:lvl>
    <w:lvl w:ilvl="2" w:tplc="C29A44AC">
      <w:numFmt w:val="bullet"/>
      <w:lvlText w:val="•"/>
      <w:lvlJc w:val="left"/>
      <w:pPr>
        <w:ind w:left="2740" w:hanging="360"/>
      </w:pPr>
      <w:rPr>
        <w:rFonts w:hint="default"/>
        <w:lang w:val="en-US" w:eastAsia="en-US" w:bidi="ar-SA"/>
      </w:rPr>
    </w:lvl>
    <w:lvl w:ilvl="3" w:tplc="CFFC828A">
      <w:numFmt w:val="bullet"/>
      <w:lvlText w:val="•"/>
      <w:lvlJc w:val="left"/>
      <w:pPr>
        <w:ind w:left="3671" w:hanging="360"/>
      </w:pPr>
      <w:rPr>
        <w:rFonts w:hint="default"/>
        <w:lang w:val="en-US" w:eastAsia="en-US" w:bidi="ar-SA"/>
      </w:rPr>
    </w:lvl>
    <w:lvl w:ilvl="4" w:tplc="46EE9024">
      <w:numFmt w:val="bullet"/>
      <w:lvlText w:val="•"/>
      <w:lvlJc w:val="left"/>
      <w:pPr>
        <w:ind w:left="4601" w:hanging="360"/>
      </w:pPr>
      <w:rPr>
        <w:rFonts w:hint="default"/>
        <w:lang w:val="en-US" w:eastAsia="en-US" w:bidi="ar-SA"/>
      </w:rPr>
    </w:lvl>
    <w:lvl w:ilvl="5" w:tplc="28C8EE2C">
      <w:numFmt w:val="bullet"/>
      <w:lvlText w:val="•"/>
      <w:lvlJc w:val="left"/>
      <w:pPr>
        <w:ind w:left="5532" w:hanging="360"/>
      </w:pPr>
      <w:rPr>
        <w:rFonts w:hint="default"/>
        <w:lang w:val="en-US" w:eastAsia="en-US" w:bidi="ar-SA"/>
      </w:rPr>
    </w:lvl>
    <w:lvl w:ilvl="6" w:tplc="9232EDE4">
      <w:numFmt w:val="bullet"/>
      <w:lvlText w:val="•"/>
      <w:lvlJc w:val="left"/>
      <w:pPr>
        <w:ind w:left="6462" w:hanging="360"/>
      </w:pPr>
      <w:rPr>
        <w:rFonts w:hint="default"/>
        <w:lang w:val="en-US" w:eastAsia="en-US" w:bidi="ar-SA"/>
      </w:rPr>
    </w:lvl>
    <w:lvl w:ilvl="7" w:tplc="0CDCBB20">
      <w:numFmt w:val="bullet"/>
      <w:lvlText w:val="•"/>
      <w:lvlJc w:val="left"/>
      <w:pPr>
        <w:ind w:left="7393" w:hanging="360"/>
      </w:pPr>
      <w:rPr>
        <w:rFonts w:hint="default"/>
        <w:lang w:val="en-US" w:eastAsia="en-US" w:bidi="ar-SA"/>
      </w:rPr>
    </w:lvl>
    <w:lvl w:ilvl="8" w:tplc="5784DFA0">
      <w:numFmt w:val="bullet"/>
      <w:lvlText w:val="•"/>
      <w:lvlJc w:val="left"/>
      <w:pPr>
        <w:ind w:left="8323" w:hanging="360"/>
      </w:pPr>
      <w:rPr>
        <w:rFonts w:hint="default"/>
        <w:lang w:val="en-US" w:eastAsia="en-US" w:bidi="ar-SA"/>
      </w:rPr>
    </w:lvl>
  </w:abstractNum>
  <w:abstractNum w:abstractNumId="73" w15:restartNumberingAfterBreak="0">
    <w:nsid w:val="4FFD614F"/>
    <w:multiLevelType w:val="hybridMultilevel"/>
    <w:tmpl w:val="AF14147C"/>
    <w:lvl w:ilvl="0" w:tplc="604496A2">
      <w:numFmt w:val="bullet"/>
      <w:lvlText w:val=""/>
      <w:lvlJc w:val="left"/>
      <w:pPr>
        <w:ind w:left="827" w:hanging="358"/>
      </w:pPr>
      <w:rPr>
        <w:rFonts w:ascii="Symbol" w:eastAsia="Symbol" w:hAnsi="Symbol" w:cs="Symbol" w:hint="default"/>
        <w:b w:val="0"/>
        <w:bCs w:val="0"/>
        <w:i w:val="0"/>
        <w:iCs w:val="0"/>
        <w:w w:val="99"/>
        <w:sz w:val="22"/>
        <w:szCs w:val="22"/>
        <w:lang w:val="en-US" w:eastAsia="en-US" w:bidi="ar-SA"/>
      </w:rPr>
    </w:lvl>
    <w:lvl w:ilvl="1" w:tplc="72720858">
      <w:numFmt w:val="bullet"/>
      <w:lvlText w:val="•"/>
      <w:lvlJc w:val="left"/>
      <w:pPr>
        <w:ind w:left="1822" w:hanging="358"/>
      </w:pPr>
      <w:rPr>
        <w:rFonts w:hint="default"/>
        <w:lang w:val="en-US" w:eastAsia="en-US" w:bidi="ar-SA"/>
      </w:rPr>
    </w:lvl>
    <w:lvl w:ilvl="2" w:tplc="59AC75FC">
      <w:numFmt w:val="bullet"/>
      <w:lvlText w:val="•"/>
      <w:lvlJc w:val="left"/>
      <w:pPr>
        <w:ind w:left="2824" w:hanging="358"/>
      </w:pPr>
      <w:rPr>
        <w:rFonts w:hint="default"/>
        <w:lang w:val="en-US" w:eastAsia="en-US" w:bidi="ar-SA"/>
      </w:rPr>
    </w:lvl>
    <w:lvl w:ilvl="3" w:tplc="C2D4E47E">
      <w:numFmt w:val="bullet"/>
      <w:lvlText w:val="•"/>
      <w:lvlJc w:val="left"/>
      <w:pPr>
        <w:ind w:left="3827" w:hanging="358"/>
      </w:pPr>
      <w:rPr>
        <w:rFonts w:hint="default"/>
        <w:lang w:val="en-US" w:eastAsia="en-US" w:bidi="ar-SA"/>
      </w:rPr>
    </w:lvl>
    <w:lvl w:ilvl="4" w:tplc="696E06F2">
      <w:numFmt w:val="bullet"/>
      <w:lvlText w:val="•"/>
      <w:lvlJc w:val="left"/>
      <w:pPr>
        <w:ind w:left="4829" w:hanging="358"/>
      </w:pPr>
      <w:rPr>
        <w:rFonts w:hint="default"/>
        <w:lang w:val="en-US" w:eastAsia="en-US" w:bidi="ar-SA"/>
      </w:rPr>
    </w:lvl>
    <w:lvl w:ilvl="5" w:tplc="E68C4B6A">
      <w:numFmt w:val="bullet"/>
      <w:lvlText w:val="•"/>
      <w:lvlJc w:val="left"/>
      <w:pPr>
        <w:ind w:left="5832" w:hanging="358"/>
      </w:pPr>
      <w:rPr>
        <w:rFonts w:hint="default"/>
        <w:lang w:val="en-US" w:eastAsia="en-US" w:bidi="ar-SA"/>
      </w:rPr>
    </w:lvl>
    <w:lvl w:ilvl="6" w:tplc="7B085AF0">
      <w:numFmt w:val="bullet"/>
      <w:lvlText w:val="•"/>
      <w:lvlJc w:val="left"/>
      <w:pPr>
        <w:ind w:left="6834" w:hanging="358"/>
      </w:pPr>
      <w:rPr>
        <w:rFonts w:hint="default"/>
        <w:lang w:val="en-US" w:eastAsia="en-US" w:bidi="ar-SA"/>
      </w:rPr>
    </w:lvl>
    <w:lvl w:ilvl="7" w:tplc="27BE00F4">
      <w:numFmt w:val="bullet"/>
      <w:lvlText w:val="•"/>
      <w:lvlJc w:val="left"/>
      <w:pPr>
        <w:ind w:left="7837" w:hanging="358"/>
      </w:pPr>
      <w:rPr>
        <w:rFonts w:hint="default"/>
        <w:lang w:val="en-US" w:eastAsia="en-US" w:bidi="ar-SA"/>
      </w:rPr>
    </w:lvl>
    <w:lvl w:ilvl="8" w:tplc="CF1609BE">
      <w:numFmt w:val="bullet"/>
      <w:lvlText w:val="•"/>
      <w:lvlJc w:val="left"/>
      <w:pPr>
        <w:ind w:left="8839" w:hanging="358"/>
      </w:pPr>
      <w:rPr>
        <w:rFonts w:hint="default"/>
        <w:lang w:val="en-US" w:eastAsia="en-US" w:bidi="ar-SA"/>
      </w:rPr>
    </w:lvl>
  </w:abstractNum>
  <w:abstractNum w:abstractNumId="74" w15:restartNumberingAfterBreak="0">
    <w:nsid w:val="5051746E"/>
    <w:multiLevelType w:val="hybridMultilevel"/>
    <w:tmpl w:val="D0FABD20"/>
    <w:lvl w:ilvl="0" w:tplc="2C808F6C">
      <w:start w:val="1"/>
      <w:numFmt w:val="decimal"/>
      <w:lvlText w:val="%1."/>
      <w:lvlJc w:val="left"/>
      <w:pPr>
        <w:ind w:left="1180" w:hanging="720"/>
        <w:jc w:val="left"/>
      </w:pPr>
      <w:rPr>
        <w:rFonts w:ascii="Calibri Light" w:eastAsia="Calibri Light" w:hAnsi="Calibri Light" w:cs="Calibri Light" w:hint="default"/>
        <w:b w:val="0"/>
        <w:bCs w:val="0"/>
        <w:i w:val="0"/>
        <w:iCs w:val="0"/>
        <w:w w:val="99"/>
        <w:sz w:val="22"/>
        <w:szCs w:val="22"/>
        <w:lang w:val="en-US" w:eastAsia="en-US" w:bidi="ar-SA"/>
      </w:rPr>
    </w:lvl>
    <w:lvl w:ilvl="1" w:tplc="B2945632">
      <w:numFmt w:val="bullet"/>
      <w:lvlText w:val="•"/>
      <w:lvlJc w:val="left"/>
      <w:pPr>
        <w:ind w:left="2080" w:hanging="720"/>
      </w:pPr>
      <w:rPr>
        <w:rFonts w:hint="default"/>
        <w:lang w:val="en-US" w:eastAsia="en-US" w:bidi="ar-SA"/>
      </w:rPr>
    </w:lvl>
    <w:lvl w:ilvl="2" w:tplc="367474B4">
      <w:numFmt w:val="bullet"/>
      <w:lvlText w:val="•"/>
      <w:lvlJc w:val="left"/>
      <w:pPr>
        <w:ind w:left="2980" w:hanging="720"/>
      </w:pPr>
      <w:rPr>
        <w:rFonts w:hint="default"/>
        <w:lang w:val="en-US" w:eastAsia="en-US" w:bidi="ar-SA"/>
      </w:rPr>
    </w:lvl>
    <w:lvl w:ilvl="3" w:tplc="BAB69144">
      <w:numFmt w:val="bullet"/>
      <w:lvlText w:val="•"/>
      <w:lvlJc w:val="left"/>
      <w:pPr>
        <w:ind w:left="3881" w:hanging="720"/>
      </w:pPr>
      <w:rPr>
        <w:rFonts w:hint="default"/>
        <w:lang w:val="en-US" w:eastAsia="en-US" w:bidi="ar-SA"/>
      </w:rPr>
    </w:lvl>
    <w:lvl w:ilvl="4" w:tplc="6F1298CA">
      <w:numFmt w:val="bullet"/>
      <w:lvlText w:val="•"/>
      <w:lvlJc w:val="left"/>
      <w:pPr>
        <w:ind w:left="4781" w:hanging="720"/>
      </w:pPr>
      <w:rPr>
        <w:rFonts w:hint="default"/>
        <w:lang w:val="en-US" w:eastAsia="en-US" w:bidi="ar-SA"/>
      </w:rPr>
    </w:lvl>
    <w:lvl w:ilvl="5" w:tplc="2B8C25DE">
      <w:numFmt w:val="bullet"/>
      <w:lvlText w:val="•"/>
      <w:lvlJc w:val="left"/>
      <w:pPr>
        <w:ind w:left="5682" w:hanging="720"/>
      </w:pPr>
      <w:rPr>
        <w:rFonts w:hint="default"/>
        <w:lang w:val="en-US" w:eastAsia="en-US" w:bidi="ar-SA"/>
      </w:rPr>
    </w:lvl>
    <w:lvl w:ilvl="6" w:tplc="0EFC4B28">
      <w:numFmt w:val="bullet"/>
      <w:lvlText w:val="•"/>
      <w:lvlJc w:val="left"/>
      <w:pPr>
        <w:ind w:left="6582" w:hanging="720"/>
      </w:pPr>
      <w:rPr>
        <w:rFonts w:hint="default"/>
        <w:lang w:val="en-US" w:eastAsia="en-US" w:bidi="ar-SA"/>
      </w:rPr>
    </w:lvl>
    <w:lvl w:ilvl="7" w:tplc="A648B34C">
      <w:numFmt w:val="bullet"/>
      <w:lvlText w:val="•"/>
      <w:lvlJc w:val="left"/>
      <w:pPr>
        <w:ind w:left="7483" w:hanging="720"/>
      </w:pPr>
      <w:rPr>
        <w:rFonts w:hint="default"/>
        <w:lang w:val="en-US" w:eastAsia="en-US" w:bidi="ar-SA"/>
      </w:rPr>
    </w:lvl>
    <w:lvl w:ilvl="8" w:tplc="F41CA10A">
      <w:numFmt w:val="bullet"/>
      <w:lvlText w:val="•"/>
      <w:lvlJc w:val="left"/>
      <w:pPr>
        <w:ind w:left="8383" w:hanging="720"/>
      </w:pPr>
      <w:rPr>
        <w:rFonts w:hint="default"/>
        <w:lang w:val="en-US" w:eastAsia="en-US" w:bidi="ar-SA"/>
      </w:rPr>
    </w:lvl>
  </w:abstractNum>
  <w:abstractNum w:abstractNumId="75" w15:restartNumberingAfterBreak="0">
    <w:nsid w:val="51113E80"/>
    <w:multiLevelType w:val="hybridMultilevel"/>
    <w:tmpl w:val="D682DA58"/>
    <w:lvl w:ilvl="0" w:tplc="23D27B4C">
      <w:numFmt w:val="bullet"/>
      <w:lvlText w:val=""/>
      <w:lvlJc w:val="left"/>
      <w:pPr>
        <w:ind w:left="412" w:hanging="360"/>
      </w:pPr>
      <w:rPr>
        <w:rFonts w:ascii="Symbol" w:eastAsia="Symbol" w:hAnsi="Symbol" w:cs="Symbol" w:hint="default"/>
        <w:b w:val="0"/>
        <w:bCs w:val="0"/>
        <w:i w:val="0"/>
        <w:iCs w:val="0"/>
        <w:w w:val="100"/>
        <w:sz w:val="18"/>
        <w:szCs w:val="18"/>
        <w:lang w:val="en-US" w:eastAsia="en-US" w:bidi="ar-SA"/>
      </w:rPr>
    </w:lvl>
    <w:lvl w:ilvl="1" w:tplc="704EBF30">
      <w:numFmt w:val="bullet"/>
      <w:lvlText w:val="•"/>
      <w:lvlJc w:val="left"/>
      <w:pPr>
        <w:ind w:left="1121" w:hanging="360"/>
      </w:pPr>
      <w:rPr>
        <w:rFonts w:hint="default"/>
        <w:lang w:val="en-US" w:eastAsia="en-US" w:bidi="ar-SA"/>
      </w:rPr>
    </w:lvl>
    <w:lvl w:ilvl="2" w:tplc="3BD6DEEE">
      <w:numFmt w:val="bullet"/>
      <w:lvlText w:val="•"/>
      <w:lvlJc w:val="left"/>
      <w:pPr>
        <w:ind w:left="1822" w:hanging="360"/>
      </w:pPr>
      <w:rPr>
        <w:rFonts w:hint="default"/>
        <w:lang w:val="en-US" w:eastAsia="en-US" w:bidi="ar-SA"/>
      </w:rPr>
    </w:lvl>
    <w:lvl w:ilvl="3" w:tplc="E2C41F0E">
      <w:numFmt w:val="bullet"/>
      <w:lvlText w:val="•"/>
      <w:lvlJc w:val="left"/>
      <w:pPr>
        <w:ind w:left="2524" w:hanging="360"/>
      </w:pPr>
      <w:rPr>
        <w:rFonts w:hint="default"/>
        <w:lang w:val="en-US" w:eastAsia="en-US" w:bidi="ar-SA"/>
      </w:rPr>
    </w:lvl>
    <w:lvl w:ilvl="4" w:tplc="BAAC06AC">
      <w:numFmt w:val="bullet"/>
      <w:lvlText w:val="•"/>
      <w:lvlJc w:val="left"/>
      <w:pPr>
        <w:ind w:left="3225" w:hanging="360"/>
      </w:pPr>
      <w:rPr>
        <w:rFonts w:hint="default"/>
        <w:lang w:val="en-US" w:eastAsia="en-US" w:bidi="ar-SA"/>
      </w:rPr>
    </w:lvl>
    <w:lvl w:ilvl="5" w:tplc="683E74E0">
      <w:numFmt w:val="bullet"/>
      <w:lvlText w:val="•"/>
      <w:lvlJc w:val="left"/>
      <w:pPr>
        <w:ind w:left="3927" w:hanging="360"/>
      </w:pPr>
      <w:rPr>
        <w:rFonts w:hint="default"/>
        <w:lang w:val="en-US" w:eastAsia="en-US" w:bidi="ar-SA"/>
      </w:rPr>
    </w:lvl>
    <w:lvl w:ilvl="6" w:tplc="29CCD748">
      <w:numFmt w:val="bullet"/>
      <w:lvlText w:val="•"/>
      <w:lvlJc w:val="left"/>
      <w:pPr>
        <w:ind w:left="4628" w:hanging="360"/>
      </w:pPr>
      <w:rPr>
        <w:rFonts w:hint="default"/>
        <w:lang w:val="en-US" w:eastAsia="en-US" w:bidi="ar-SA"/>
      </w:rPr>
    </w:lvl>
    <w:lvl w:ilvl="7" w:tplc="6070143E">
      <w:numFmt w:val="bullet"/>
      <w:lvlText w:val="•"/>
      <w:lvlJc w:val="left"/>
      <w:pPr>
        <w:ind w:left="5329" w:hanging="360"/>
      </w:pPr>
      <w:rPr>
        <w:rFonts w:hint="default"/>
        <w:lang w:val="en-US" w:eastAsia="en-US" w:bidi="ar-SA"/>
      </w:rPr>
    </w:lvl>
    <w:lvl w:ilvl="8" w:tplc="0F34949C">
      <w:numFmt w:val="bullet"/>
      <w:lvlText w:val="•"/>
      <w:lvlJc w:val="left"/>
      <w:pPr>
        <w:ind w:left="6031" w:hanging="360"/>
      </w:pPr>
      <w:rPr>
        <w:rFonts w:hint="default"/>
        <w:lang w:val="en-US" w:eastAsia="en-US" w:bidi="ar-SA"/>
      </w:rPr>
    </w:lvl>
  </w:abstractNum>
  <w:abstractNum w:abstractNumId="76" w15:restartNumberingAfterBreak="0">
    <w:nsid w:val="512251C3"/>
    <w:multiLevelType w:val="hybridMultilevel"/>
    <w:tmpl w:val="B71405AE"/>
    <w:lvl w:ilvl="0" w:tplc="3D1CE498">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1" w:tplc="3D229716">
      <w:numFmt w:val="bullet"/>
      <w:lvlText w:val="•"/>
      <w:lvlJc w:val="left"/>
      <w:pPr>
        <w:ind w:left="1840" w:hanging="360"/>
      </w:pPr>
      <w:rPr>
        <w:rFonts w:hint="default"/>
        <w:lang w:val="en-US" w:eastAsia="en-US" w:bidi="ar-SA"/>
      </w:rPr>
    </w:lvl>
    <w:lvl w:ilvl="2" w:tplc="99CE0562">
      <w:numFmt w:val="bullet"/>
      <w:lvlText w:val="•"/>
      <w:lvlJc w:val="left"/>
      <w:pPr>
        <w:ind w:left="2840" w:hanging="360"/>
      </w:pPr>
      <w:rPr>
        <w:rFonts w:hint="default"/>
        <w:lang w:val="en-US" w:eastAsia="en-US" w:bidi="ar-SA"/>
      </w:rPr>
    </w:lvl>
    <w:lvl w:ilvl="3" w:tplc="01347D94">
      <w:numFmt w:val="bullet"/>
      <w:lvlText w:val="•"/>
      <w:lvlJc w:val="left"/>
      <w:pPr>
        <w:ind w:left="3841" w:hanging="360"/>
      </w:pPr>
      <w:rPr>
        <w:rFonts w:hint="default"/>
        <w:lang w:val="en-US" w:eastAsia="en-US" w:bidi="ar-SA"/>
      </w:rPr>
    </w:lvl>
    <w:lvl w:ilvl="4" w:tplc="017E8D68">
      <w:numFmt w:val="bullet"/>
      <w:lvlText w:val="•"/>
      <w:lvlJc w:val="left"/>
      <w:pPr>
        <w:ind w:left="4841" w:hanging="360"/>
      </w:pPr>
      <w:rPr>
        <w:rFonts w:hint="default"/>
        <w:lang w:val="en-US" w:eastAsia="en-US" w:bidi="ar-SA"/>
      </w:rPr>
    </w:lvl>
    <w:lvl w:ilvl="5" w:tplc="40E0253E">
      <w:numFmt w:val="bullet"/>
      <w:lvlText w:val="•"/>
      <w:lvlJc w:val="left"/>
      <w:pPr>
        <w:ind w:left="5842" w:hanging="360"/>
      </w:pPr>
      <w:rPr>
        <w:rFonts w:hint="default"/>
        <w:lang w:val="en-US" w:eastAsia="en-US" w:bidi="ar-SA"/>
      </w:rPr>
    </w:lvl>
    <w:lvl w:ilvl="6" w:tplc="13C489EE">
      <w:numFmt w:val="bullet"/>
      <w:lvlText w:val="•"/>
      <w:lvlJc w:val="left"/>
      <w:pPr>
        <w:ind w:left="6842" w:hanging="360"/>
      </w:pPr>
      <w:rPr>
        <w:rFonts w:hint="default"/>
        <w:lang w:val="en-US" w:eastAsia="en-US" w:bidi="ar-SA"/>
      </w:rPr>
    </w:lvl>
    <w:lvl w:ilvl="7" w:tplc="02247D06">
      <w:numFmt w:val="bullet"/>
      <w:lvlText w:val="•"/>
      <w:lvlJc w:val="left"/>
      <w:pPr>
        <w:ind w:left="7843" w:hanging="360"/>
      </w:pPr>
      <w:rPr>
        <w:rFonts w:hint="default"/>
        <w:lang w:val="en-US" w:eastAsia="en-US" w:bidi="ar-SA"/>
      </w:rPr>
    </w:lvl>
    <w:lvl w:ilvl="8" w:tplc="CC020424">
      <w:numFmt w:val="bullet"/>
      <w:lvlText w:val="•"/>
      <w:lvlJc w:val="left"/>
      <w:pPr>
        <w:ind w:left="8843" w:hanging="360"/>
      </w:pPr>
      <w:rPr>
        <w:rFonts w:hint="default"/>
        <w:lang w:val="en-US" w:eastAsia="en-US" w:bidi="ar-SA"/>
      </w:rPr>
    </w:lvl>
  </w:abstractNum>
  <w:abstractNum w:abstractNumId="77" w15:restartNumberingAfterBreak="0">
    <w:nsid w:val="526B0AB6"/>
    <w:multiLevelType w:val="hybridMultilevel"/>
    <w:tmpl w:val="4FF84C6C"/>
    <w:lvl w:ilvl="0" w:tplc="19DC57C6">
      <w:numFmt w:val="bullet"/>
      <w:lvlText w:val=""/>
      <w:lvlJc w:val="left"/>
      <w:pPr>
        <w:ind w:left="863" w:hanging="360"/>
      </w:pPr>
      <w:rPr>
        <w:rFonts w:ascii="Symbol" w:eastAsia="Symbol" w:hAnsi="Symbol" w:cs="Symbol" w:hint="default"/>
        <w:b w:val="0"/>
        <w:bCs w:val="0"/>
        <w:i w:val="0"/>
        <w:iCs w:val="0"/>
        <w:w w:val="99"/>
        <w:sz w:val="22"/>
        <w:szCs w:val="22"/>
        <w:lang w:val="en-US" w:eastAsia="en-US" w:bidi="ar-SA"/>
      </w:rPr>
    </w:lvl>
    <w:lvl w:ilvl="1" w:tplc="A322EFDC">
      <w:numFmt w:val="bullet"/>
      <w:lvlText w:val="•"/>
      <w:lvlJc w:val="left"/>
      <w:pPr>
        <w:ind w:left="1792" w:hanging="360"/>
      </w:pPr>
      <w:rPr>
        <w:rFonts w:hint="default"/>
        <w:lang w:val="en-US" w:eastAsia="en-US" w:bidi="ar-SA"/>
      </w:rPr>
    </w:lvl>
    <w:lvl w:ilvl="2" w:tplc="772AE48E">
      <w:numFmt w:val="bullet"/>
      <w:lvlText w:val="•"/>
      <w:lvlJc w:val="left"/>
      <w:pPr>
        <w:ind w:left="2724" w:hanging="360"/>
      </w:pPr>
      <w:rPr>
        <w:rFonts w:hint="default"/>
        <w:lang w:val="en-US" w:eastAsia="en-US" w:bidi="ar-SA"/>
      </w:rPr>
    </w:lvl>
    <w:lvl w:ilvl="3" w:tplc="9B28CD98">
      <w:numFmt w:val="bullet"/>
      <w:lvlText w:val="•"/>
      <w:lvlJc w:val="left"/>
      <w:pPr>
        <w:ind w:left="3657" w:hanging="360"/>
      </w:pPr>
      <w:rPr>
        <w:rFonts w:hint="default"/>
        <w:lang w:val="en-US" w:eastAsia="en-US" w:bidi="ar-SA"/>
      </w:rPr>
    </w:lvl>
    <w:lvl w:ilvl="4" w:tplc="EE4CA2B6">
      <w:numFmt w:val="bullet"/>
      <w:lvlText w:val="•"/>
      <w:lvlJc w:val="left"/>
      <w:pPr>
        <w:ind w:left="4589" w:hanging="360"/>
      </w:pPr>
      <w:rPr>
        <w:rFonts w:hint="default"/>
        <w:lang w:val="en-US" w:eastAsia="en-US" w:bidi="ar-SA"/>
      </w:rPr>
    </w:lvl>
    <w:lvl w:ilvl="5" w:tplc="953204B8">
      <w:numFmt w:val="bullet"/>
      <w:lvlText w:val="•"/>
      <w:lvlJc w:val="left"/>
      <w:pPr>
        <w:ind w:left="5522" w:hanging="360"/>
      </w:pPr>
      <w:rPr>
        <w:rFonts w:hint="default"/>
        <w:lang w:val="en-US" w:eastAsia="en-US" w:bidi="ar-SA"/>
      </w:rPr>
    </w:lvl>
    <w:lvl w:ilvl="6" w:tplc="66EA962C">
      <w:numFmt w:val="bullet"/>
      <w:lvlText w:val="•"/>
      <w:lvlJc w:val="left"/>
      <w:pPr>
        <w:ind w:left="6454" w:hanging="360"/>
      </w:pPr>
      <w:rPr>
        <w:rFonts w:hint="default"/>
        <w:lang w:val="en-US" w:eastAsia="en-US" w:bidi="ar-SA"/>
      </w:rPr>
    </w:lvl>
    <w:lvl w:ilvl="7" w:tplc="A0A69CEC">
      <w:numFmt w:val="bullet"/>
      <w:lvlText w:val="•"/>
      <w:lvlJc w:val="left"/>
      <w:pPr>
        <w:ind w:left="7387" w:hanging="360"/>
      </w:pPr>
      <w:rPr>
        <w:rFonts w:hint="default"/>
        <w:lang w:val="en-US" w:eastAsia="en-US" w:bidi="ar-SA"/>
      </w:rPr>
    </w:lvl>
    <w:lvl w:ilvl="8" w:tplc="B38C849E">
      <w:numFmt w:val="bullet"/>
      <w:lvlText w:val="•"/>
      <w:lvlJc w:val="left"/>
      <w:pPr>
        <w:ind w:left="8319" w:hanging="360"/>
      </w:pPr>
      <w:rPr>
        <w:rFonts w:hint="default"/>
        <w:lang w:val="en-US" w:eastAsia="en-US" w:bidi="ar-SA"/>
      </w:rPr>
    </w:lvl>
  </w:abstractNum>
  <w:abstractNum w:abstractNumId="78" w15:restartNumberingAfterBreak="0">
    <w:nsid w:val="54255213"/>
    <w:multiLevelType w:val="hybridMultilevel"/>
    <w:tmpl w:val="C48EFBF2"/>
    <w:lvl w:ilvl="0" w:tplc="F88E07D8">
      <w:numFmt w:val="bullet"/>
      <w:lvlText w:val=""/>
      <w:lvlJc w:val="left"/>
      <w:pPr>
        <w:ind w:left="412" w:hanging="360"/>
      </w:pPr>
      <w:rPr>
        <w:rFonts w:ascii="Symbol" w:eastAsia="Symbol" w:hAnsi="Symbol" w:cs="Symbol" w:hint="default"/>
        <w:b w:val="0"/>
        <w:bCs w:val="0"/>
        <w:i w:val="0"/>
        <w:iCs w:val="0"/>
        <w:w w:val="100"/>
        <w:sz w:val="18"/>
        <w:szCs w:val="18"/>
        <w:lang w:val="en-US" w:eastAsia="en-US" w:bidi="ar-SA"/>
      </w:rPr>
    </w:lvl>
    <w:lvl w:ilvl="1" w:tplc="4AA61722">
      <w:numFmt w:val="bullet"/>
      <w:lvlText w:val="•"/>
      <w:lvlJc w:val="left"/>
      <w:pPr>
        <w:ind w:left="1121" w:hanging="360"/>
      </w:pPr>
      <w:rPr>
        <w:rFonts w:hint="default"/>
        <w:lang w:val="en-US" w:eastAsia="en-US" w:bidi="ar-SA"/>
      </w:rPr>
    </w:lvl>
    <w:lvl w:ilvl="2" w:tplc="BF325D02">
      <w:numFmt w:val="bullet"/>
      <w:lvlText w:val="•"/>
      <w:lvlJc w:val="left"/>
      <w:pPr>
        <w:ind w:left="1822" w:hanging="360"/>
      </w:pPr>
      <w:rPr>
        <w:rFonts w:hint="default"/>
        <w:lang w:val="en-US" w:eastAsia="en-US" w:bidi="ar-SA"/>
      </w:rPr>
    </w:lvl>
    <w:lvl w:ilvl="3" w:tplc="8CF4F440">
      <w:numFmt w:val="bullet"/>
      <w:lvlText w:val="•"/>
      <w:lvlJc w:val="left"/>
      <w:pPr>
        <w:ind w:left="2524" w:hanging="360"/>
      </w:pPr>
      <w:rPr>
        <w:rFonts w:hint="default"/>
        <w:lang w:val="en-US" w:eastAsia="en-US" w:bidi="ar-SA"/>
      </w:rPr>
    </w:lvl>
    <w:lvl w:ilvl="4" w:tplc="01C08D0C">
      <w:numFmt w:val="bullet"/>
      <w:lvlText w:val="•"/>
      <w:lvlJc w:val="left"/>
      <w:pPr>
        <w:ind w:left="3225" w:hanging="360"/>
      </w:pPr>
      <w:rPr>
        <w:rFonts w:hint="default"/>
        <w:lang w:val="en-US" w:eastAsia="en-US" w:bidi="ar-SA"/>
      </w:rPr>
    </w:lvl>
    <w:lvl w:ilvl="5" w:tplc="6AD6EA3E">
      <w:numFmt w:val="bullet"/>
      <w:lvlText w:val="•"/>
      <w:lvlJc w:val="left"/>
      <w:pPr>
        <w:ind w:left="3927" w:hanging="360"/>
      </w:pPr>
      <w:rPr>
        <w:rFonts w:hint="default"/>
        <w:lang w:val="en-US" w:eastAsia="en-US" w:bidi="ar-SA"/>
      </w:rPr>
    </w:lvl>
    <w:lvl w:ilvl="6" w:tplc="EB943020">
      <w:numFmt w:val="bullet"/>
      <w:lvlText w:val="•"/>
      <w:lvlJc w:val="left"/>
      <w:pPr>
        <w:ind w:left="4628" w:hanging="360"/>
      </w:pPr>
      <w:rPr>
        <w:rFonts w:hint="default"/>
        <w:lang w:val="en-US" w:eastAsia="en-US" w:bidi="ar-SA"/>
      </w:rPr>
    </w:lvl>
    <w:lvl w:ilvl="7" w:tplc="C8BC5FA6">
      <w:numFmt w:val="bullet"/>
      <w:lvlText w:val="•"/>
      <w:lvlJc w:val="left"/>
      <w:pPr>
        <w:ind w:left="5329" w:hanging="360"/>
      </w:pPr>
      <w:rPr>
        <w:rFonts w:hint="default"/>
        <w:lang w:val="en-US" w:eastAsia="en-US" w:bidi="ar-SA"/>
      </w:rPr>
    </w:lvl>
    <w:lvl w:ilvl="8" w:tplc="FBFE0BAC">
      <w:numFmt w:val="bullet"/>
      <w:lvlText w:val="•"/>
      <w:lvlJc w:val="left"/>
      <w:pPr>
        <w:ind w:left="6031" w:hanging="360"/>
      </w:pPr>
      <w:rPr>
        <w:rFonts w:hint="default"/>
        <w:lang w:val="en-US" w:eastAsia="en-US" w:bidi="ar-SA"/>
      </w:rPr>
    </w:lvl>
  </w:abstractNum>
  <w:abstractNum w:abstractNumId="79" w15:restartNumberingAfterBreak="0">
    <w:nsid w:val="56E431BB"/>
    <w:multiLevelType w:val="hybridMultilevel"/>
    <w:tmpl w:val="15CE08B2"/>
    <w:lvl w:ilvl="0" w:tplc="E44AAC9E">
      <w:numFmt w:val="bullet"/>
      <w:lvlText w:val=""/>
      <w:lvlJc w:val="left"/>
      <w:pPr>
        <w:ind w:left="375" w:hanging="358"/>
      </w:pPr>
      <w:rPr>
        <w:rFonts w:ascii="Symbol" w:eastAsia="Symbol" w:hAnsi="Symbol" w:cs="Symbol" w:hint="default"/>
        <w:b w:val="0"/>
        <w:bCs w:val="0"/>
        <w:i w:val="0"/>
        <w:iCs w:val="0"/>
        <w:w w:val="100"/>
        <w:sz w:val="18"/>
        <w:szCs w:val="18"/>
        <w:lang w:val="en-US" w:eastAsia="en-US" w:bidi="ar-SA"/>
      </w:rPr>
    </w:lvl>
    <w:lvl w:ilvl="1" w:tplc="D41A816A">
      <w:numFmt w:val="bullet"/>
      <w:lvlText w:val="•"/>
      <w:lvlJc w:val="left"/>
      <w:pPr>
        <w:ind w:left="1085" w:hanging="358"/>
      </w:pPr>
      <w:rPr>
        <w:rFonts w:hint="default"/>
        <w:lang w:val="en-US" w:eastAsia="en-US" w:bidi="ar-SA"/>
      </w:rPr>
    </w:lvl>
    <w:lvl w:ilvl="2" w:tplc="6366ADC0">
      <w:numFmt w:val="bullet"/>
      <w:lvlText w:val="•"/>
      <w:lvlJc w:val="left"/>
      <w:pPr>
        <w:ind w:left="1790" w:hanging="358"/>
      </w:pPr>
      <w:rPr>
        <w:rFonts w:hint="default"/>
        <w:lang w:val="en-US" w:eastAsia="en-US" w:bidi="ar-SA"/>
      </w:rPr>
    </w:lvl>
    <w:lvl w:ilvl="3" w:tplc="30EAC912">
      <w:numFmt w:val="bullet"/>
      <w:lvlText w:val="•"/>
      <w:lvlJc w:val="left"/>
      <w:pPr>
        <w:ind w:left="2496" w:hanging="358"/>
      </w:pPr>
      <w:rPr>
        <w:rFonts w:hint="default"/>
        <w:lang w:val="en-US" w:eastAsia="en-US" w:bidi="ar-SA"/>
      </w:rPr>
    </w:lvl>
    <w:lvl w:ilvl="4" w:tplc="407E6FB8">
      <w:numFmt w:val="bullet"/>
      <w:lvlText w:val="•"/>
      <w:lvlJc w:val="left"/>
      <w:pPr>
        <w:ind w:left="3201" w:hanging="358"/>
      </w:pPr>
      <w:rPr>
        <w:rFonts w:hint="default"/>
        <w:lang w:val="en-US" w:eastAsia="en-US" w:bidi="ar-SA"/>
      </w:rPr>
    </w:lvl>
    <w:lvl w:ilvl="5" w:tplc="4D82016A">
      <w:numFmt w:val="bullet"/>
      <w:lvlText w:val="•"/>
      <w:lvlJc w:val="left"/>
      <w:pPr>
        <w:ind w:left="3907" w:hanging="358"/>
      </w:pPr>
      <w:rPr>
        <w:rFonts w:hint="default"/>
        <w:lang w:val="en-US" w:eastAsia="en-US" w:bidi="ar-SA"/>
      </w:rPr>
    </w:lvl>
    <w:lvl w:ilvl="6" w:tplc="9752BF5C">
      <w:numFmt w:val="bullet"/>
      <w:lvlText w:val="•"/>
      <w:lvlJc w:val="left"/>
      <w:pPr>
        <w:ind w:left="4612" w:hanging="358"/>
      </w:pPr>
      <w:rPr>
        <w:rFonts w:hint="default"/>
        <w:lang w:val="en-US" w:eastAsia="en-US" w:bidi="ar-SA"/>
      </w:rPr>
    </w:lvl>
    <w:lvl w:ilvl="7" w:tplc="AA16C098">
      <w:numFmt w:val="bullet"/>
      <w:lvlText w:val="•"/>
      <w:lvlJc w:val="left"/>
      <w:pPr>
        <w:ind w:left="5317" w:hanging="358"/>
      </w:pPr>
      <w:rPr>
        <w:rFonts w:hint="default"/>
        <w:lang w:val="en-US" w:eastAsia="en-US" w:bidi="ar-SA"/>
      </w:rPr>
    </w:lvl>
    <w:lvl w:ilvl="8" w:tplc="35C4F834">
      <w:numFmt w:val="bullet"/>
      <w:lvlText w:val="•"/>
      <w:lvlJc w:val="left"/>
      <w:pPr>
        <w:ind w:left="6023" w:hanging="358"/>
      </w:pPr>
      <w:rPr>
        <w:rFonts w:hint="default"/>
        <w:lang w:val="en-US" w:eastAsia="en-US" w:bidi="ar-SA"/>
      </w:rPr>
    </w:lvl>
  </w:abstractNum>
  <w:abstractNum w:abstractNumId="80" w15:restartNumberingAfterBreak="0">
    <w:nsid w:val="57453894"/>
    <w:multiLevelType w:val="hybridMultilevel"/>
    <w:tmpl w:val="7C564B32"/>
    <w:lvl w:ilvl="0" w:tplc="109CAA50">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1" w:tplc="2F18F18E">
      <w:numFmt w:val="bullet"/>
      <w:lvlText w:val="•"/>
      <w:lvlJc w:val="left"/>
      <w:pPr>
        <w:ind w:left="1840" w:hanging="360"/>
      </w:pPr>
      <w:rPr>
        <w:rFonts w:hint="default"/>
        <w:lang w:val="en-US" w:eastAsia="en-US" w:bidi="ar-SA"/>
      </w:rPr>
    </w:lvl>
    <w:lvl w:ilvl="2" w:tplc="6ADABD0C">
      <w:numFmt w:val="bullet"/>
      <w:lvlText w:val="•"/>
      <w:lvlJc w:val="left"/>
      <w:pPr>
        <w:ind w:left="2840" w:hanging="360"/>
      </w:pPr>
      <w:rPr>
        <w:rFonts w:hint="default"/>
        <w:lang w:val="en-US" w:eastAsia="en-US" w:bidi="ar-SA"/>
      </w:rPr>
    </w:lvl>
    <w:lvl w:ilvl="3" w:tplc="108E7C0E">
      <w:numFmt w:val="bullet"/>
      <w:lvlText w:val="•"/>
      <w:lvlJc w:val="left"/>
      <w:pPr>
        <w:ind w:left="3841" w:hanging="360"/>
      </w:pPr>
      <w:rPr>
        <w:rFonts w:hint="default"/>
        <w:lang w:val="en-US" w:eastAsia="en-US" w:bidi="ar-SA"/>
      </w:rPr>
    </w:lvl>
    <w:lvl w:ilvl="4" w:tplc="C018CD02">
      <w:numFmt w:val="bullet"/>
      <w:lvlText w:val="•"/>
      <w:lvlJc w:val="left"/>
      <w:pPr>
        <w:ind w:left="4841" w:hanging="360"/>
      </w:pPr>
      <w:rPr>
        <w:rFonts w:hint="default"/>
        <w:lang w:val="en-US" w:eastAsia="en-US" w:bidi="ar-SA"/>
      </w:rPr>
    </w:lvl>
    <w:lvl w:ilvl="5" w:tplc="52C6E45A">
      <w:numFmt w:val="bullet"/>
      <w:lvlText w:val="•"/>
      <w:lvlJc w:val="left"/>
      <w:pPr>
        <w:ind w:left="5842" w:hanging="360"/>
      </w:pPr>
      <w:rPr>
        <w:rFonts w:hint="default"/>
        <w:lang w:val="en-US" w:eastAsia="en-US" w:bidi="ar-SA"/>
      </w:rPr>
    </w:lvl>
    <w:lvl w:ilvl="6" w:tplc="EFD09868">
      <w:numFmt w:val="bullet"/>
      <w:lvlText w:val="•"/>
      <w:lvlJc w:val="left"/>
      <w:pPr>
        <w:ind w:left="6842" w:hanging="360"/>
      </w:pPr>
      <w:rPr>
        <w:rFonts w:hint="default"/>
        <w:lang w:val="en-US" w:eastAsia="en-US" w:bidi="ar-SA"/>
      </w:rPr>
    </w:lvl>
    <w:lvl w:ilvl="7" w:tplc="4A14510A">
      <w:numFmt w:val="bullet"/>
      <w:lvlText w:val="•"/>
      <w:lvlJc w:val="left"/>
      <w:pPr>
        <w:ind w:left="7843" w:hanging="360"/>
      </w:pPr>
      <w:rPr>
        <w:rFonts w:hint="default"/>
        <w:lang w:val="en-US" w:eastAsia="en-US" w:bidi="ar-SA"/>
      </w:rPr>
    </w:lvl>
    <w:lvl w:ilvl="8" w:tplc="82707534">
      <w:numFmt w:val="bullet"/>
      <w:lvlText w:val="•"/>
      <w:lvlJc w:val="left"/>
      <w:pPr>
        <w:ind w:left="8843" w:hanging="360"/>
      </w:pPr>
      <w:rPr>
        <w:rFonts w:hint="default"/>
        <w:lang w:val="en-US" w:eastAsia="en-US" w:bidi="ar-SA"/>
      </w:rPr>
    </w:lvl>
  </w:abstractNum>
  <w:abstractNum w:abstractNumId="81" w15:restartNumberingAfterBreak="0">
    <w:nsid w:val="57C15B14"/>
    <w:multiLevelType w:val="hybridMultilevel"/>
    <w:tmpl w:val="B9A69B78"/>
    <w:lvl w:ilvl="0" w:tplc="CA8855B4">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1" w:tplc="5FAA9B46">
      <w:numFmt w:val="bullet"/>
      <w:lvlText w:val="•"/>
      <w:lvlJc w:val="left"/>
      <w:pPr>
        <w:ind w:left="1840" w:hanging="360"/>
      </w:pPr>
      <w:rPr>
        <w:rFonts w:hint="default"/>
        <w:lang w:val="en-US" w:eastAsia="en-US" w:bidi="ar-SA"/>
      </w:rPr>
    </w:lvl>
    <w:lvl w:ilvl="2" w:tplc="3496AC54">
      <w:numFmt w:val="bullet"/>
      <w:lvlText w:val="•"/>
      <w:lvlJc w:val="left"/>
      <w:pPr>
        <w:ind w:left="2840" w:hanging="360"/>
      </w:pPr>
      <w:rPr>
        <w:rFonts w:hint="default"/>
        <w:lang w:val="en-US" w:eastAsia="en-US" w:bidi="ar-SA"/>
      </w:rPr>
    </w:lvl>
    <w:lvl w:ilvl="3" w:tplc="957ADD90">
      <w:numFmt w:val="bullet"/>
      <w:lvlText w:val="•"/>
      <w:lvlJc w:val="left"/>
      <w:pPr>
        <w:ind w:left="3841" w:hanging="360"/>
      </w:pPr>
      <w:rPr>
        <w:rFonts w:hint="default"/>
        <w:lang w:val="en-US" w:eastAsia="en-US" w:bidi="ar-SA"/>
      </w:rPr>
    </w:lvl>
    <w:lvl w:ilvl="4" w:tplc="5FFA5BF0">
      <w:numFmt w:val="bullet"/>
      <w:lvlText w:val="•"/>
      <w:lvlJc w:val="left"/>
      <w:pPr>
        <w:ind w:left="4841" w:hanging="360"/>
      </w:pPr>
      <w:rPr>
        <w:rFonts w:hint="default"/>
        <w:lang w:val="en-US" w:eastAsia="en-US" w:bidi="ar-SA"/>
      </w:rPr>
    </w:lvl>
    <w:lvl w:ilvl="5" w:tplc="75549FDC">
      <w:numFmt w:val="bullet"/>
      <w:lvlText w:val="•"/>
      <w:lvlJc w:val="left"/>
      <w:pPr>
        <w:ind w:left="5842" w:hanging="360"/>
      </w:pPr>
      <w:rPr>
        <w:rFonts w:hint="default"/>
        <w:lang w:val="en-US" w:eastAsia="en-US" w:bidi="ar-SA"/>
      </w:rPr>
    </w:lvl>
    <w:lvl w:ilvl="6" w:tplc="35C29DD2">
      <w:numFmt w:val="bullet"/>
      <w:lvlText w:val="•"/>
      <w:lvlJc w:val="left"/>
      <w:pPr>
        <w:ind w:left="6842" w:hanging="360"/>
      </w:pPr>
      <w:rPr>
        <w:rFonts w:hint="default"/>
        <w:lang w:val="en-US" w:eastAsia="en-US" w:bidi="ar-SA"/>
      </w:rPr>
    </w:lvl>
    <w:lvl w:ilvl="7" w:tplc="156A0204">
      <w:numFmt w:val="bullet"/>
      <w:lvlText w:val="•"/>
      <w:lvlJc w:val="left"/>
      <w:pPr>
        <w:ind w:left="7843" w:hanging="360"/>
      </w:pPr>
      <w:rPr>
        <w:rFonts w:hint="default"/>
        <w:lang w:val="en-US" w:eastAsia="en-US" w:bidi="ar-SA"/>
      </w:rPr>
    </w:lvl>
    <w:lvl w:ilvl="8" w:tplc="C3808AFA">
      <w:numFmt w:val="bullet"/>
      <w:lvlText w:val="•"/>
      <w:lvlJc w:val="left"/>
      <w:pPr>
        <w:ind w:left="8843" w:hanging="360"/>
      </w:pPr>
      <w:rPr>
        <w:rFonts w:hint="default"/>
        <w:lang w:val="en-US" w:eastAsia="en-US" w:bidi="ar-SA"/>
      </w:rPr>
    </w:lvl>
  </w:abstractNum>
  <w:abstractNum w:abstractNumId="82" w15:restartNumberingAfterBreak="0">
    <w:nsid w:val="581559E8"/>
    <w:multiLevelType w:val="multilevel"/>
    <w:tmpl w:val="E25A27A6"/>
    <w:lvl w:ilvl="0">
      <w:start w:val="1"/>
      <w:numFmt w:val="decimal"/>
      <w:lvlText w:val="%1."/>
      <w:lvlJc w:val="left"/>
      <w:pPr>
        <w:ind w:left="721" w:hanging="568"/>
        <w:jc w:val="left"/>
      </w:pPr>
      <w:rPr>
        <w:rFonts w:ascii="Calibri Light" w:eastAsia="Calibri Light" w:hAnsi="Calibri Light" w:cs="Calibri Light" w:hint="default"/>
        <w:b w:val="0"/>
        <w:bCs w:val="0"/>
        <w:i w:val="0"/>
        <w:iCs w:val="0"/>
        <w:color w:val="006CA3"/>
        <w:w w:val="99"/>
        <w:sz w:val="48"/>
        <w:szCs w:val="48"/>
        <w:lang w:val="en-US" w:eastAsia="en-US" w:bidi="ar-SA"/>
      </w:rPr>
    </w:lvl>
    <w:lvl w:ilvl="1">
      <w:start w:val="1"/>
      <w:numFmt w:val="decimal"/>
      <w:lvlText w:val="%1.%2"/>
      <w:lvlJc w:val="left"/>
      <w:pPr>
        <w:ind w:left="1152" w:hanging="999"/>
        <w:jc w:val="left"/>
      </w:pPr>
      <w:rPr>
        <w:rFonts w:ascii="Calibri Light" w:eastAsia="Calibri Light" w:hAnsi="Calibri Light" w:cs="Calibri Light" w:hint="default"/>
        <w:b w:val="0"/>
        <w:bCs w:val="0"/>
        <w:i w:val="0"/>
        <w:iCs w:val="0"/>
        <w:color w:val="009BAC"/>
        <w:w w:val="99"/>
        <w:sz w:val="28"/>
        <w:szCs w:val="28"/>
        <w:lang w:val="en-US" w:eastAsia="en-US" w:bidi="ar-SA"/>
      </w:rPr>
    </w:lvl>
    <w:lvl w:ilvl="2">
      <w:start w:val="1"/>
      <w:numFmt w:val="decimal"/>
      <w:lvlText w:val="%1.%2.%3"/>
      <w:lvlJc w:val="left"/>
      <w:pPr>
        <w:ind w:left="1152" w:hanging="999"/>
        <w:jc w:val="left"/>
      </w:pPr>
      <w:rPr>
        <w:rFonts w:ascii="Calibri Light" w:eastAsia="Calibri Light" w:hAnsi="Calibri Light" w:cs="Calibri Light" w:hint="default"/>
        <w:b w:val="0"/>
        <w:bCs w:val="0"/>
        <w:i w:val="0"/>
        <w:iCs w:val="0"/>
        <w:w w:val="99"/>
        <w:sz w:val="22"/>
        <w:szCs w:val="22"/>
        <w:lang w:val="en-US" w:eastAsia="en-US" w:bidi="ar-SA"/>
      </w:rPr>
    </w:lvl>
    <w:lvl w:ilvl="3">
      <w:numFmt w:val="bullet"/>
      <w:lvlText w:val=""/>
      <w:lvlJc w:val="left"/>
      <w:pPr>
        <w:ind w:left="874" w:hanging="360"/>
      </w:pPr>
      <w:rPr>
        <w:rFonts w:ascii="Symbol" w:eastAsia="Symbol" w:hAnsi="Symbol" w:cs="Symbol" w:hint="default"/>
        <w:b w:val="0"/>
        <w:bCs w:val="0"/>
        <w:i w:val="0"/>
        <w:iCs w:val="0"/>
        <w:w w:val="99"/>
        <w:sz w:val="22"/>
        <w:szCs w:val="22"/>
        <w:lang w:val="en-US" w:eastAsia="en-US" w:bidi="ar-SA"/>
      </w:rPr>
    </w:lvl>
    <w:lvl w:ilvl="4">
      <w:numFmt w:val="bullet"/>
      <w:lvlText w:val=""/>
      <w:lvlJc w:val="left"/>
      <w:pPr>
        <w:ind w:left="1288" w:hanging="360"/>
      </w:pPr>
      <w:rPr>
        <w:rFonts w:ascii="Symbol" w:eastAsia="Symbol" w:hAnsi="Symbol" w:cs="Symbol" w:hint="default"/>
        <w:b w:val="0"/>
        <w:bCs w:val="0"/>
        <w:i w:val="0"/>
        <w:iCs w:val="0"/>
        <w:w w:val="99"/>
        <w:sz w:val="22"/>
        <w:szCs w:val="22"/>
        <w:lang w:val="en-US" w:eastAsia="en-US" w:bidi="ar-SA"/>
      </w:rPr>
    </w:lvl>
    <w:lvl w:ilvl="5">
      <w:numFmt w:val="bullet"/>
      <w:lvlText w:val="•"/>
      <w:lvlJc w:val="left"/>
      <w:pPr>
        <w:ind w:left="3824" w:hanging="360"/>
      </w:pPr>
      <w:rPr>
        <w:rFonts w:hint="default"/>
        <w:lang w:val="en-US" w:eastAsia="en-US" w:bidi="ar-SA"/>
      </w:rPr>
    </w:lvl>
    <w:lvl w:ilvl="6">
      <w:numFmt w:val="bullet"/>
      <w:lvlText w:val="•"/>
      <w:lvlJc w:val="left"/>
      <w:pPr>
        <w:ind w:left="5096" w:hanging="360"/>
      </w:pPr>
      <w:rPr>
        <w:rFonts w:hint="default"/>
        <w:lang w:val="en-US" w:eastAsia="en-US" w:bidi="ar-SA"/>
      </w:rPr>
    </w:lvl>
    <w:lvl w:ilvl="7">
      <w:numFmt w:val="bullet"/>
      <w:lvlText w:val="•"/>
      <w:lvlJc w:val="left"/>
      <w:pPr>
        <w:ind w:left="6368" w:hanging="360"/>
      </w:pPr>
      <w:rPr>
        <w:rFonts w:hint="default"/>
        <w:lang w:val="en-US" w:eastAsia="en-US" w:bidi="ar-SA"/>
      </w:rPr>
    </w:lvl>
    <w:lvl w:ilvl="8">
      <w:numFmt w:val="bullet"/>
      <w:lvlText w:val="•"/>
      <w:lvlJc w:val="left"/>
      <w:pPr>
        <w:ind w:left="7640" w:hanging="360"/>
      </w:pPr>
      <w:rPr>
        <w:rFonts w:hint="default"/>
        <w:lang w:val="en-US" w:eastAsia="en-US" w:bidi="ar-SA"/>
      </w:rPr>
    </w:lvl>
  </w:abstractNum>
  <w:abstractNum w:abstractNumId="83" w15:restartNumberingAfterBreak="0">
    <w:nsid w:val="5B6E5374"/>
    <w:multiLevelType w:val="hybridMultilevel"/>
    <w:tmpl w:val="92184824"/>
    <w:lvl w:ilvl="0" w:tplc="0D6C69EE">
      <w:numFmt w:val="bullet"/>
      <w:lvlText w:val=""/>
      <w:lvlJc w:val="left"/>
      <w:pPr>
        <w:ind w:left="412" w:hanging="358"/>
      </w:pPr>
      <w:rPr>
        <w:rFonts w:ascii="Symbol" w:eastAsia="Symbol" w:hAnsi="Symbol" w:cs="Symbol" w:hint="default"/>
        <w:b w:val="0"/>
        <w:bCs w:val="0"/>
        <w:i w:val="0"/>
        <w:iCs w:val="0"/>
        <w:w w:val="100"/>
        <w:sz w:val="18"/>
        <w:szCs w:val="18"/>
        <w:lang w:val="en-US" w:eastAsia="en-US" w:bidi="ar-SA"/>
      </w:rPr>
    </w:lvl>
    <w:lvl w:ilvl="1" w:tplc="5E14795C">
      <w:numFmt w:val="bullet"/>
      <w:lvlText w:val="•"/>
      <w:lvlJc w:val="left"/>
      <w:pPr>
        <w:ind w:left="1121" w:hanging="358"/>
      </w:pPr>
      <w:rPr>
        <w:rFonts w:hint="default"/>
        <w:lang w:val="en-US" w:eastAsia="en-US" w:bidi="ar-SA"/>
      </w:rPr>
    </w:lvl>
    <w:lvl w:ilvl="2" w:tplc="1DA82CB0">
      <w:numFmt w:val="bullet"/>
      <w:lvlText w:val="•"/>
      <w:lvlJc w:val="left"/>
      <w:pPr>
        <w:ind w:left="1822" w:hanging="358"/>
      </w:pPr>
      <w:rPr>
        <w:rFonts w:hint="default"/>
        <w:lang w:val="en-US" w:eastAsia="en-US" w:bidi="ar-SA"/>
      </w:rPr>
    </w:lvl>
    <w:lvl w:ilvl="3" w:tplc="C574A0AE">
      <w:numFmt w:val="bullet"/>
      <w:lvlText w:val="•"/>
      <w:lvlJc w:val="left"/>
      <w:pPr>
        <w:ind w:left="2524" w:hanging="358"/>
      </w:pPr>
      <w:rPr>
        <w:rFonts w:hint="default"/>
        <w:lang w:val="en-US" w:eastAsia="en-US" w:bidi="ar-SA"/>
      </w:rPr>
    </w:lvl>
    <w:lvl w:ilvl="4" w:tplc="A4D4DC68">
      <w:numFmt w:val="bullet"/>
      <w:lvlText w:val="•"/>
      <w:lvlJc w:val="left"/>
      <w:pPr>
        <w:ind w:left="3225" w:hanging="358"/>
      </w:pPr>
      <w:rPr>
        <w:rFonts w:hint="default"/>
        <w:lang w:val="en-US" w:eastAsia="en-US" w:bidi="ar-SA"/>
      </w:rPr>
    </w:lvl>
    <w:lvl w:ilvl="5" w:tplc="33EA1EBC">
      <w:numFmt w:val="bullet"/>
      <w:lvlText w:val="•"/>
      <w:lvlJc w:val="left"/>
      <w:pPr>
        <w:ind w:left="3927" w:hanging="358"/>
      </w:pPr>
      <w:rPr>
        <w:rFonts w:hint="default"/>
        <w:lang w:val="en-US" w:eastAsia="en-US" w:bidi="ar-SA"/>
      </w:rPr>
    </w:lvl>
    <w:lvl w:ilvl="6" w:tplc="96E0BE5C">
      <w:numFmt w:val="bullet"/>
      <w:lvlText w:val="•"/>
      <w:lvlJc w:val="left"/>
      <w:pPr>
        <w:ind w:left="4628" w:hanging="358"/>
      </w:pPr>
      <w:rPr>
        <w:rFonts w:hint="default"/>
        <w:lang w:val="en-US" w:eastAsia="en-US" w:bidi="ar-SA"/>
      </w:rPr>
    </w:lvl>
    <w:lvl w:ilvl="7" w:tplc="4A3AEEE4">
      <w:numFmt w:val="bullet"/>
      <w:lvlText w:val="•"/>
      <w:lvlJc w:val="left"/>
      <w:pPr>
        <w:ind w:left="5329" w:hanging="358"/>
      </w:pPr>
      <w:rPr>
        <w:rFonts w:hint="default"/>
        <w:lang w:val="en-US" w:eastAsia="en-US" w:bidi="ar-SA"/>
      </w:rPr>
    </w:lvl>
    <w:lvl w:ilvl="8" w:tplc="5C2454B8">
      <w:numFmt w:val="bullet"/>
      <w:lvlText w:val="•"/>
      <w:lvlJc w:val="left"/>
      <w:pPr>
        <w:ind w:left="6031" w:hanging="358"/>
      </w:pPr>
      <w:rPr>
        <w:rFonts w:hint="default"/>
        <w:lang w:val="en-US" w:eastAsia="en-US" w:bidi="ar-SA"/>
      </w:rPr>
    </w:lvl>
  </w:abstractNum>
  <w:abstractNum w:abstractNumId="84" w15:restartNumberingAfterBreak="0">
    <w:nsid w:val="5C254B02"/>
    <w:multiLevelType w:val="multilevel"/>
    <w:tmpl w:val="AF303B14"/>
    <w:lvl w:ilvl="0">
      <w:start w:val="1"/>
      <w:numFmt w:val="decimal"/>
      <w:lvlText w:val="%1."/>
      <w:lvlJc w:val="left"/>
      <w:pPr>
        <w:ind w:left="1112" w:hanging="999"/>
        <w:jc w:val="left"/>
      </w:pPr>
      <w:rPr>
        <w:rFonts w:ascii="Calibri Light" w:eastAsia="Calibri Light" w:hAnsi="Calibri Light" w:cs="Calibri Light" w:hint="default"/>
        <w:b w:val="0"/>
        <w:bCs w:val="0"/>
        <w:i w:val="0"/>
        <w:iCs w:val="0"/>
        <w:color w:val="006CA3"/>
        <w:w w:val="100"/>
        <w:sz w:val="48"/>
        <w:szCs w:val="48"/>
        <w:lang w:val="en-US" w:eastAsia="en-US" w:bidi="ar-SA"/>
      </w:rPr>
    </w:lvl>
    <w:lvl w:ilvl="1">
      <w:start w:val="1"/>
      <w:numFmt w:val="decimal"/>
      <w:lvlText w:val="%1.%2"/>
      <w:lvlJc w:val="left"/>
      <w:pPr>
        <w:ind w:left="1112" w:hanging="999"/>
        <w:jc w:val="left"/>
      </w:pPr>
      <w:rPr>
        <w:rFonts w:ascii="Calibri Light" w:eastAsia="Calibri Light" w:hAnsi="Calibri Light" w:cs="Calibri Light" w:hint="default"/>
        <w:b w:val="0"/>
        <w:bCs w:val="0"/>
        <w:i w:val="0"/>
        <w:iCs w:val="0"/>
        <w:color w:val="009BAC"/>
        <w:w w:val="99"/>
        <w:sz w:val="28"/>
        <w:szCs w:val="28"/>
        <w:lang w:val="en-US" w:eastAsia="en-US" w:bidi="ar-SA"/>
      </w:rPr>
    </w:lvl>
    <w:lvl w:ilvl="2">
      <w:start w:val="1"/>
      <w:numFmt w:val="decimal"/>
      <w:lvlText w:val="%1.%2.%3"/>
      <w:lvlJc w:val="left"/>
      <w:pPr>
        <w:ind w:left="1112" w:hanging="999"/>
        <w:jc w:val="left"/>
      </w:pPr>
      <w:rPr>
        <w:rFonts w:ascii="Calibri Light" w:eastAsia="Calibri Light" w:hAnsi="Calibri Light" w:cs="Calibri Light" w:hint="default"/>
        <w:b w:val="0"/>
        <w:bCs w:val="0"/>
        <w:i w:val="0"/>
        <w:iCs w:val="0"/>
        <w:spacing w:val="-1"/>
        <w:w w:val="100"/>
        <w:sz w:val="20"/>
        <w:szCs w:val="20"/>
        <w:lang w:val="en-US" w:eastAsia="en-US" w:bidi="ar-SA"/>
      </w:rPr>
    </w:lvl>
    <w:lvl w:ilvl="3">
      <w:start w:val="1"/>
      <w:numFmt w:val="decimal"/>
      <w:lvlText w:val="%1.%2.%3.%4"/>
      <w:lvlJc w:val="left"/>
      <w:pPr>
        <w:ind w:left="1106" w:hanging="993"/>
        <w:jc w:val="left"/>
      </w:pPr>
      <w:rPr>
        <w:rFonts w:ascii="Calibri Light" w:eastAsia="Calibri Light" w:hAnsi="Calibri Light" w:cs="Calibri Light" w:hint="default"/>
        <w:b w:val="0"/>
        <w:bCs w:val="0"/>
        <w:i/>
        <w:iCs/>
        <w:spacing w:val="-1"/>
        <w:w w:val="100"/>
        <w:sz w:val="20"/>
        <w:szCs w:val="20"/>
        <w:lang w:val="en-US" w:eastAsia="en-US" w:bidi="ar-SA"/>
      </w:rPr>
    </w:lvl>
    <w:lvl w:ilvl="4">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5">
      <w:numFmt w:val="bullet"/>
      <w:lvlText w:val=""/>
      <w:lvlJc w:val="left"/>
      <w:pPr>
        <w:ind w:left="1553" w:hanging="360"/>
      </w:pPr>
      <w:rPr>
        <w:rFonts w:ascii="Symbol" w:eastAsia="Symbol" w:hAnsi="Symbol" w:cs="Symbol" w:hint="default"/>
        <w:b w:val="0"/>
        <w:bCs w:val="0"/>
        <w:i w:val="0"/>
        <w:iCs w:val="0"/>
        <w:w w:val="99"/>
        <w:sz w:val="22"/>
        <w:szCs w:val="22"/>
        <w:lang w:val="en-US" w:eastAsia="en-US" w:bidi="ar-SA"/>
      </w:rPr>
    </w:lvl>
    <w:lvl w:ilvl="6">
      <w:numFmt w:val="bullet"/>
      <w:lvlText w:val="•"/>
      <w:lvlJc w:val="left"/>
      <w:pPr>
        <w:ind w:left="4654" w:hanging="360"/>
      </w:pPr>
      <w:rPr>
        <w:rFonts w:hint="default"/>
        <w:lang w:val="en-US" w:eastAsia="en-US" w:bidi="ar-SA"/>
      </w:rPr>
    </w:lvl>
    <w:lvl w:ilvl="7">
      <w:numFmt w:val="bullet"/>
      <w:lvlText w:val="•"/>
      <w:lvlJc w:val="left"/>
      <w:pPr>
        <w:ind w:left="6202" w:hanging="360"/>
      </w:pPr>
      <w:rPr>
        <w:rFonts w:hint="default"/>
        <w:lang w:val="en-US" w:eastAsia="en-US" w:bidi="ar-SA"/>
      </w:rPr>
    </w:lvl>
    <w:lvl w:ilvl="8">
      <w:numFmt w:val="bullet"/>
      <w:lvlText w:val="•"/>
      <w:lvlJc w:val="left"/>
      <w:pPr>
        <w:ind w:left="7749" w:hanging="360"/>
      </w:pPr>
      <w:rPr>
        <w:rFonts w:hint="default"/>
        <w:lang w:val="en-US" w:eastAsia="en-US" w:bidi="ar-SA"/>
      </w:rPr>
    </w:lvl>
  </w:abstractNum>
  <w:abstractNum w:abstractNumId="85" w15:restartNumberingAfterBreak="0">
    <w:nsid w:val="5C4C1AE4"/>
    <w:multiLevelType w:val="hybridMultilevel"/>
    <w:tmpl w:val="B114EE16"/>
    <w:lvl w:ilvl="0" w:tplc="62F018AC">
      <w:numFmt w:val="bullet"/>
      <w:lvlText w:val=""/>
      <w:lvlJc w:val="left"/>
      <w:pPr>
        <w:ind w:left="863" w:hanging="285"/>
      </w:pPr>
      <w:rPr>
        <w:rFonts w:ascii="Symbol" w:eastAsia="Symbol" w:hAnsi="Symbol" w:cs="Symbol" w:hint="default"/>
        <w:b w:val="0"/>
        <w:bCs w:val="0"/>
        <w:i w:val="0"/>
        <w:iCs w:val="0"/>
        <w:w w:val="99"/>
        <w:sz w:val="22"/>
        <w:szCs w:val="22"/>
        <w:lang w:val="en-US" w:eastAsia="en-US" w:bidi="ar-SA"/>
      </w:rPr>
    </w:lvl>
    <w:lvl w:ilvl="1" w:tplc="06B48966">
      <w:numFmt w:val="bullet"/>
      <w:lvlText w:val="•"/>
      <w:lvlJc w:val="left"/>
      <w:pPr>
        <w:ind w:left="1792" w:hanging="285"/>
      </w:pPr>
      <w:rPr>
        <w:rFonts w:hint="default"/>
        <w:lang w:val="en-US" w:eastAsia="en-US" w:bidi="ar-SA"/>
      </w:rPr>
    </w:lvl>
    <w:lvl w:ilvl="2" w:tplc="828CD3B8">
      <w:numFmt w:val="bullet"/>
      <w:lvlText w:val="•"/>
      <w:lvlJc w:val="left"/>
      <w:pPr>
        <w:ind w:left="2724" w:hanging="285"/>
      </w:pPr>
      <w:rPr>
        <w:rFonts w:hint="default"/>
        <w:lang w:val="en-US" w:eastAsia="en-US" w:bidi="ar-SA"/>
      </w:rPr>
    </w:lvl>
    <w:lvl w:ilvl="3" w:tplc="D62CFAB4">
      <w:numFmt w:val="bullet"/>
      <w:lvlText w:val="•"/>
      <w:lvlJc w:val="left"/>
      <w:pPr>
        <w:ind w:left="3657" w:hanging="285"/>
      </w:pPr>
      <w:rPr>
        <w:rFonts w:hint="default"/>
        <w:lang w:val="en-US" w:eastAsia="en-US" w:bidi="ar-SA"/>
      </w:rPr>
    </w:lvl>
    <w:lvl w:ilvl="4" w:tplc="55EE15A4">
      <w:numFmt w:val="bullet"/>
      <w:lvlText w:val="•"/>
      <w:lvlJc w:val="left"/>
      <w:pPr>
        <w:ind w:left="4589" w:hanging="285"/>
      </w:pPr>
      <w:rPr>
        <w:rFonts w:hint="default"/>
        <w:lang w:val="en-US" w:eastAsia="en-US" w:bidi="ar-SA"/>
      </w:rPr>
    </w:lvl>
    <w:lvl w:ilvl="5" w:tplc="8A7678FC">
      <w:numFmt w:val="bullet"/>
      <w:lvlText w:val="•"/>
      <w:lvlJc w:val="left"/>
      <w:pPr>
        <w:ind w:left="5522" w:hanging="285"/>
      </w:pPr>
      <w:rPr>
        <w:rFonts w:hint="default"/>
        <w:lang w:val="en-US" w:eastAsia="en-US" w:bidi="ar-SA"/>
      </w:rPr>
    </w:lvl>
    <w:lvl w:ilvl="6" w:tplc="E40ADCDE">
      <w:numFmt w:val="bullet"/>
      <w:lvlText w:val="•"/>
      <w:lvlJc w:val="left"/>
      <w:pPr>
        <w:ind w:left="6454" w:hanging="285"/>
      </w:pPr>
      <w:rPr>
        <w:rFonts w:hint="default"/>
        <w:lang w:val="en-US" w:eastAsia="en-US" w:bidi="ar-SA"/>
      </w:rPr>
    </w:lvl>
    <w:lvl w:ilvl="7" w:tplc="DB70D484">
      <w:numFmt w:val="bullet"/>
      <w:lvlText w:val="•"/>
      <w:lvlJc w:val="left"/>
      <w:pPr>
        <w:ind w:left="7387" w:hanging="285"/>
      </w:pPr>
      <w:rPr>
        <w:rFonts w:hint="default"/>
        <w:lang w:val="en-US" w:eastAsia="en-US" w:bidi="ar-SA"/>
      </w:rPr>
    </w:lvl>
    <w:lvl w:ilvl="8" w:tplc="663EE8AA">
      <w:numFmt w:val="bullet"/>
      <w:lvlText w:val="•"/>
      <w:lvlJc w:val="left"/>
      <w:pPr>
        <w:ind w:left="8319" w:hanging="285"/>
      </w:pPr>
      <w:rPr>
        <w:rFonts w:hint="default"/>
        <w:lang w:val="en-US" w:eastAsia="en-US" w:bidi="ar-SA"/>
      </w:rPr>
    </w:lvl>
  </w:abstractNum>
  <w:abstractNum w:abstractNumId="86" w15:restartNumberingAfterBreak="0">
    <w:nsid w:val="5D9A1FC8"/>
    <w:multiLevelType w:val="hybridMultilevel"/>
    <w:tmpl w:val="001A2DFE"/>
    <w:lvl w:ilvl="0" w:tplc="D05A8A9C">
      <w:numFmt w:val="bullet"/>
      <w:lvlText w:val=""/>
      <w:lvlJc w:val="left"/>
      <w:pPr>
        <w:ind w:left="874" w:hanging="360"/>
      </w:pPr>
      <w:rPr>
        <w:rFonts w:ascii="Symbol" w:eastAsia="Symbol" w:hAnsi="Symbol" w:cs="Symbol" w:hint="default"/>
        <w:b w:val="0"/>
        <w:bCs w:val="0"/>
        <w:i w:val="0"/>
        <w:iCs w:val="0"/>
        <w:w w:val="99"/>
        <w:sz w:val="22"/>
        <w:szCs w:val="22"/>
        <w:lang w:val="en-US" w:eastAsia="en-US" w:bidi="ar-SA"/>
      </w:rPr>
    </w:lvl>
    <w:lvl w:ilvl="1" w:tplc="FEA83BB2">
      <w:numFmt w:val="bullet"/>
      <w:lvlText w:val="•"/>
      <w:lvlJc w:val="left"/>
      <w:pPr>
        <w:ind w:left="1810" w:hanging="360"/>
      </w:pPr>
      <w:rPr>
        <w:rFonts w:hint="default"/>
        <w:lang w:val="en-US" w:eastAsia="en-US" w:bidi="ar-SA"/>
      </w:rPr>
    </w:lvl>
    <w:lvl w:ilvl="2" w:tplc="7B04C2A8">
      <w:numFmt w:val="bullet"/>
      <w:lvlText w:val="•"/>
      <w:lvlJc w:val="left"/>
      <w:pPr>
        <w:ind w:left="2740" w:hanging="360"/>
      </w:pPr>
      <w:rPr>
        <w:rFonts w:hint="default"/>
        <w:lang w:val="en-US" w:eastAsia="en-US" w:bidi="ar-SA"/>
      </w:rPr>
    </w:lvl>
    <w:lvl w:ilvl="3" w:tplc="1C78759E">
      <w:numFmt w:val="bullet"/>
      <w:lvlText w:val="•"/>
      <w:lvlJc w:val="left"/>
      <w:pPr>
        <w:ind w:left="3671" w:hanging="360"/>
      </w:pPr>
      <w:rPr>
        <w:rFonts w:hint="default"/>
        <w:lang w:val="en-US" w:eastAsia="en-US" w:bidi="ar-SA"/>
      </w:rPr>
    </w:lvl>
    <w:lvl w:ilvl="4" w:tplc="BF1294BA">
      <w:numFmt w:val="bullet"/>
      <w:lvlText w:val="•"/>
      <w:lvlJc w:val="left"/>
      <w:pPr>
        <w:ind w:left="4601" w:hanging="360"/>
      </w:pPr>
      <w:rPr>
        <w:rFonts w:hint="default"/>
        <w:lang w:val="en-US" w:eastAsia="en-US" w:bidi="ar-SA"/>
      </w:rPr>
    </w:lvl>
    <w:lvl w:ilvl="5" w:tplc="26C6C85C">
      <w:numFmt w:val="bullet"/>
      <w:lvlText w:val="•"/>
      <w:lvlJc w:val="left"/>
      <w:pPr>
        <w:ind w:left="5532" w:hanging="360"/>
      </w:pPr>
      <w:rPr>
        <w:rFonts w:hint="default"/>
        <w:lang w:val="en-US" w:eastAsia="en-US" w:bidi="ar-SA"/>
      </w:rPr>
    </w:lvl>
    <w:lvl w:ilvl="6" w:tplc="1820C97A">
      <w:numFmt w:val="bullet"/>
      <w:lvlText w:val="•"/>
      <w:lvlJc w:val="left"/>
      <w:pPr>
        <w:ind w:left="6462" w:hanging="360"/>
      </w:pPr>
      <w:rPr>
        <w:rFonts w:hint="default"/>
        <w:lang w:val="en-US" w:eastAsia="en-US" w:bidi="ar-SA"/>
      </w:rPr>
    </w:lvl>
    <w:lvl w:ilvl="7" w:tplc="F59269B8">
      <w:numFmt w:val="bullet"/>
      <w:lvlText w:val="•"/>
      <w:lvlJc w:val="left"/>
      <w:pPr>
        <w:ind w:left="7393" w:hanging="360"/>
      </w:pPr>
      <w:rPr>
        <w:rFonts w:hint="default"/>
        <w:lang w:val="en-US" w:eastAsia="en-US" w:bidi="ar-SA"/>
      </w:rPr>
    </w:lvl>
    <w:lvl w:ilvl="8" w:tplc="3B708C96">
      <w:numFmt w:val="bullet"/>
      <w:lvlText w:val="•"/>
      <w:lvlJc w:val="left"/>
      <w:pPr>
        <w:ind w:left="8323" w:hanging="360"/>
      </w:pPr>
      <w:rPr>
        <w:rFonts w:hint="default"/>
        <w:lang w:val="en-US" w:eastAsia="en-US" w:bidi="ar-SA"/>
      </w:rPr>
    </w:lvl>
  </w:abstractNum>
  <w:abstractNum w:abstractNumId="87" w15:restartNumberingAfterBreak="0">
    <w:nsid w:val="5DAD7BDA"/>
    <w:multiLevelType w:val="hybridMultilevel"/>
    <w:tmpl w:val="7F78A878"/>
    <w:lvl w:ilvl="0" w:tplc="713A421A">
      <w:numFmt w:val="bullet"/>
      <w:lvlText w:val=""/>
      <w:lvlJc w:val="left"/>
      <w:pPr>
        <w:ind w:left="375" w:hanging="358"/>
      </w:pPr>
      <w:rPr>
        <w:rFonts w:ascii="Symbol" w:eastAsia="Symbol" w:hAnsi="Symbol" w:cs="Symbol" w:hint="default"/>
        <w:b w:val="0"/>
        <w:bCs w:val="0"/>
        <w:i w:val="0"/>
        <w:iCs w:val="0"/>
        <w:w w:val="100"/>
        <w:sz w:val="18"/>
        <w:szCs w:val="18"/>
        <w:lang w:val="en-US" w:eastAsia="en-US" w:bidi="ar-SA"/>
      </w:rPr>
    </w:lvl>
    <w:lvl w:ilvl="1" w:tplc="4458674E">
      <w:numFmt w:val="bullet"/>
      <w:lvlText w:val="•"/>
      <w:lvlJc w:val="left"/>
      <w:pPr>
        <w:ind w:left="1085" w:hanging="358"/>
      </w:pPr>
      <w:rPr>
        <w:rFonts w:hint="default"/>
        <w:lang w:val="en-US" w:eastAsia="en-US" w:bidi="ar-SA"/>
      </w:rPr>
    </w:lvl>
    <w:lvl w:ilvl="2" w:tplc="A11AC8F4">
      <w:numFmt w:val="bullet"/>
      <w:lvlText w:val="•"/>
      <w:lvlJc w:val="left"/>
      <w:pPr>
        <w:ind w:left="1790" w:hanging="358"/>
      </w:pPr>
      <w:rPr>
        <w:rFonts w:hint="default"/>
        <w:lang w:val="en-US" w:eastAsia="en-US" w:bidi="ar-SA"/>
      </w:rPr>
    </w:lvl>
    <w:lvl w:ilvl="3" w:tplc="C8DADB48">
      <w:numFmt w:val="bullet"/>
      <w:lvlText w:val="•"/>
      <w:lvlJc w:val="left"/>
      <w:pPr>
        <w:ind w:left="2496" w:hanging="358"/>
      </w:pPr>
      <w:rPr>
        <w:rFonts w:hint="default"/>
        <w:lang w:val="en-US" w:eastAsia="en-US" w:bidi="ar-SA"/>
      </w:rPr>
    </w:lvl>
    <w:lvl w:ilvl="4" w:tplc="035EA8C0">
      <w:numFmt w:val="bullet"/>
      <w:lvlText w:val="•"/>
      <w:lvlJc w:val="left"/>
      <w:pPr>
        <w:ind w:left="3201" w:hanging="358"/>
      </w:pPr>
      <w:rPr>
        <w:rFonts w:hint="default"/>
        <w:lang w:val="en-US" w:eastAsia="en-US" w:bidi="ar-SA"/>
      </w:rPr>
    </w:lvl>
    <w:lvl w:ilvl="5" w:tplc="71C03D80">
      <w:numFmt w:val="bullet"/>
      <w:lvlText w:val="•"/>
      <w:lvlJc w:val="left"/>
      <w:pPr>
        <w:ind w:left="3907" w:hanging="358"/>
      </w:pPr>
      <w:rPr>
        <w:rFonts w:hint="default"/>
        <w:lang w:val="en-US" w:eastAsia="en-US" w:bidi="ar-SA"/>
      </w:rPr>
    </w:lvl>
    <w:lvl w:ilvl="6" w:tplc="B91C1264">
      <w:numFmt w:val="bullet"/>
      <w:lvlText w:val="•"/>
      <w:lvlJc w:val="left"/>
      <w:pPr>
        <w:ind w:left="4612" w:hanging="358"/>
      </w:pPr>
      <w:rPr>
        <w:rFonts w:hint="default"/>
        <w:lang w:val="en-US" w:eastAsia="en-US" w:bidi="ar-SA"/>
      </w:rPr>
    </w:lvl>
    <w:lvl w:ilvl="7" w:tplc="DBE6BA04">
      <w:numFmt w:val="bullet"/>
      <w:lvlText w:val="•"/>
      <w:lvlJc w:val="left"/>
      <w:pPr>
        <w:ind w:left="5317" w:hanging="358"/>
      </w:pPr>
      <w:rPr>
        <w:rFonts w:hint="default"/>
        <w:lang w:val="en-US" w:eastAsia="en-US" w:bidi="ar-SA"/>
      </w:rPr>
    </w:lvl>
    <w:lvl w:ilvl="8" w:tplc="99D621F4">
      <w:numFmt w:val="bullet"/>
      <w:lvlText w:val="•"/>
      <w:lvlJc w:val="left"/>
      <w:pPr>
        <w:ind w:left="6023" w:hanging="358"/>
      </w:pPr>
      <w:rPr>
        <w:rFonts w:hint="default"/>
        <w:lang w:val="en-US" w:eastAsia="en-US" w:bidi="ar-SA"/>
      </w:rPr>
    </w:lvl>
  </w:abstractNum>
  <w:abstractNum w:abstractNumId="88" w15:restartNumberingAfterBreak="0">
    <w:nsid w:val="5F6E3D5B"/>
    <w:multiLevelType w:val="hybridMultilevel"/>
    <w:tmpl w:val="18A248C4"/>
    <w:lvl w:ilvl="0" w:tplc="D5363ACA">
      <w:numFmt w:val="bullet"/>
      <w:lvlText w:val=""/>
      <w:lvlJc w:val="left"/>
      <w:pPr>
        <w:ind w:left="558" w:hanging="360"/>
      </w:pPr>
      <w:rPr>
        <w:rFonts w:ascii="Symbol" w:eastAsia="Symbol" w:hAnsi="Symbol" w:cs="Symbol" w:hint="default"/>
        <w:b w:val="0"/>
        <w:bCs w:val="0"/>
        <w:i w:val="0"/>
        <w:iCs w:val="0"/>
        <w:w w:val="100"/>
        <w:sz w:val="18"/>
        <w:szCs w:val="18"/>
        <w:lang w:val="en-US" w:eastAsia="en-US" w:bidi="ar-SA"/>
      </w:rPr>
    </w:lvl>
    <w:lvl w:ilvl="1" w:tplc="D3C49F04">
      <w:numFmt w:val="bullet"/>
      <w:lvlText w:val="•"/>
      <w:lvlJc w:val="left"/>
      <w:pPr>
        <w:ind w:left="870" w:hanging="360"/>
      </w:pPr>
      <w:rPr>
        <w:rFonts w:hint="default"/>
        <w:lang w:val="en-US" w:eastAsia="en-US" w:bidi="ar-SA"/>
      </w:rPr>
    </w:lvl>
    <w:lvl w:ilvl="2" w:tplc="E60CE95A">
      <w:numFmt w:val="bullet"/>
      <w:lvlText w:val="•"/>
      <w:lvlJc w:val="left"/>
      <w:pPr>
        <w:ind w:left="1180" w:hanging="360"/>
      </w:pPr>
      <w:rPr>
        <w:rFonts w:hint="default"/>
        <w:lang w:val="en-US" w:eastAsia="en-US" w:bidi="ar-SA"/>
      </w:rPr>
    </w:lvl>
    <w:lvl w:ilvl="3" w:tplc="C34A6C86">
      <w:numFmt w:val="bullet"/>
      <w:lvlText w:val="•"/>
      <w:lvlJc w:val="left"/>
      <w:pPr>
        <w:ind w:left="1490" w:hanging="360"/>
      </w:pPr>
      <w:rPr>
        <w:rFonts w:hint="default"/>
        <w:lang w:val="en-US" w:eastAsia="en-US" w:bidi="ar-SA"/>
      </w:rPr>
    </w:lvl>
    <w:lvl w:ilvl="4" w:tplc="D464A988">
      <w:numFmt w:val="bullet"/>
      <w:lvlText w:val="•"/>
      <w:lvlJc w:val="left"/>
      <w:pPr>
        <w:ind w:left="1800" w:hanging="360"/>
      </w:pPr>
      <w:rPr>
        <w:rFonts w:hint="default"/>
        <w:lang w:val="en-US" w:eastAsia="en-US" w:bidi="ar-SA"/>
      </w:rPr>
    </w:lvl>
    <w:lvl w:ilvl="5" w:tplc="51BE5DD4">
      <w:numFmt w:val="bullet"/>
      <w:lvlText w:val="•"/>
      <w:lvlJc w:val="left"/>
      <w:pPr>
        <w:ind w:left="2110" w:hanging="360"/>
      </w:pPr>
      <w:rPr>
        <w:rFonts w:hint="default"/>
        <w:lang w:val="en-US" w:eastAsia="en-US" w:bidi="ar-SA"/>
      </w:rPr>
    </w:lvl>
    <w:lvl w:ilvl="6" w:tplc="E2DEF882">
      <w:numFmt w:val="bullet"/>
      <w:lvlText w:val="•"/>
      <w:lvlJc w:val="left"/>
      <w:pPr>
        <w:ind w:left="2420" w:hanging="360"/>
      </w:pPr>
      <w:rPr>
        <w:rFonts w:hint="default"/>
        <w:lang w:val="en-US" w:eastAsia="en-US" w:bidi="ar-SA"/>
      </w:rPr>
    </w:lvl>
    <w:lvl w:ilvl="7" w:tplc="3A9255C0">
      <w:numFmt w:val="bullet"/>
      <w:lvlText w:val="•"/>
      <w:lvlJc w:val="left"/>
      <w:pPr>
        <w:ind w:left="2730" w:hanging="360"/>
      </w:pPr>
      <w:rPr>
        <w:rFonts w:hint="default"/>
        <w:lang w:val="en-US" w:eastAsia="en-US" w:bidi="ar-SA"/>
      </w:rPr>
    </w:lvl>
    <w:lvl w:ilvl="8" w:tplc="079EB8B8">
      <w:numFmt w:val="bullet"/>
      <w:lvlText w:val="•"/>
      <w:lvlJc w:val="left"/>
      <w:pPr>
        <w:ind w:left="3040" w:hanging="360"/>
      </w:pPr>
      <w:rPr>
        <w:rFonts w:hint="default"/>
        <w:lang w:val="en-US" w:eastAsia="en-US" w:bidi="ar-SA"/>
      </w:rPr>
    </w:lvl>
  </w:abstractNum>
  <w:abstractNum w:abstractNumId="89" w15:restartNumberingAfterBreak="0">
    <w:nsid w:val="5F77275D"/>
    <w:multiLevelType w:val="hybridMultilevel"/>
    <w:tmpl w:val="C0B6A606"/>
    <w:lvl w:ilvl="0" w:tplc="CBFC22EE">
      <w:numFmt w:val="bullet"/>
      <w:lvlText w:val=""/>
      <w:lvlJc w:val="left"/>
      <w:pPr>
        <w:ind w:left="375" w:hanging="358"/>
      </w:pPr>
      <w:rPr>
        <w:rFonts w:ascii="Symbol" w:eastAsia="Symbol" w:hAnsi="Symbol" w:cs="Symbol" w:hint="default"/>
        <w:b w:val="0"/>
        <w:bCs w:val="0"/>
        <w:i w:val="0"/>
        <w:iCs w:val="0"/>
        <w:w w:val="100"/>
        <w:sz w:val="18"/>
        <w:szCs w:val="18"/>
        <w:lang w:val="en-US" w:eastAsia="en-US" w:bidi="ar-SA"/>
      </w:rPr>
    </w:lvl>
    <w:lvl w:ilvl="1" w:tplc="47F4CAFE">
      <w:numFmt w:val="bullet"/>
      <w:lvlText w:val="•"/>
      <w:lvlJc w:val="left"/>
      <w:pPr>
        <w:ind w:left="1085" w:hanging="358"/>
      </w:pPr>
      <w:rPr>
        <w:rFonts w:hint="default"/>
        <w:lang w:val="en-US" w:eastAsia="en-US" w:bidi="ar-SA"/>
      </w:rPr>
    </w:lvl>
    <w:lvl w:ilvl="2" w:tplc="F2B48A6C">
      <w:numFmt w:val="bullet"/>
      <w:lvlText w:val="•"/>
      <w:lvlJc w:val="left"/>
      <w:pPr>
        <w:ind w:left="1790" w:hanging="358"/>
      </w:pPr>
      <w:rPr>
        <w:rFonts w:hint="default"/>
        <w:lang w:val="en-US" w:eastAsia="en-US" w:bidi="ar-SA"/>
      </w:rPr>
    </w:lvl>
    <w:lvl w:ilvl="3" w:tplc="BD42371C">
      <w:numFmt w:val="bullet"/>
      <w:lvlText w:val="•"/>
      <w:lvlJc w:val="left"/>
      <w:pPr>
        <w:ind w:left="2496" w:hanging="358"/>
      </w:pPr>
      <w:rPr>
        <w:rFonts w:hint="default"/>
        <w:lang w:val="en-US" w:eastAsia="en-US" w:bidi="ar-SA"/>
      </w:rPr>
    </w:lvl>
    <w:lvl w:ilvl="4" w:tplc="97AADD76">
      <w:numFmt w:val="bullet"/>
      <w:lvlText w:val="•"/>
      <w:lvlJc w:val="left"/>
      <w:pPr>
        <w:ind w:left="3201" w:hanging="358"/>
      </w:pPr>
      <w:rPr>
        <w:rFonts w:hint="default"/>
        <w:lang w:val="en-US" w:eastAsia="en-US" w:bidi="ar-SA"/>
      </w:rPr>
    </w:lvl>
    <w:lvl w:ilvl="5" w:tplc="9F82BFE8">
      <w:numFmt w:val="bullet"/>
      <w:lvlText w:val="•"/>
      <w:lvlJc w:val="left"/>
      <w:pPr>
        <w:ind w:left="3907" w:hanging="358"/>
      </w:pPr>
      <w:rPr>
        <w:rFonts w:hint="default"/>
        <w:lang w:val="en-US" w:eastAsia="en-US" w:bidi="ar-SA"/>
      </w:rPr>
    </w:lvl>
    <w:lvl w:ilvl="6" w:tplc="ABDC9F02">
      <w:numFmt w:val="bullet"/>
      <w:lvlText w:val="•"/>
      <w:lvlJc w:val="left"/>
      <w:pPr>
        <w:ind w:left="4612" w:hanging="358"/>
      </w:pPr>
      <w:rPr>
        <w:rFonts w:hint="default"/>
        <w:lang w:val="en-US" w:eastAsia="en-US" w:bidi="ar-SA"/>
      </w:rPr>
    </w:lvl>
    <w:lvl w:ilvl="7" w:tplc="A74C9734">
      <w:numFmt w:val="bullet"/>
      <w:lvlText w:val="•"/>
      <w:lvlJc w:val="left"/>
      <w:pPr>
        <w:ind w:left="5317" w:hanging="358"/>
      </w:pPr>
      <w:rPr>
        <w:rFonts w:hint="default"/>
        <w:lang w:val="en-US" w:eastAsia="en-US" w:bidi="ar-SA"/>
      </w:rPr>
    </w:lvl>
    <w:lvl w:ilvl="8" w:tplc="317E2A4C">
      <w:numFmt w:val="bullet"/>
      <w:lvlText w:val="•"/>
      <w:lvlJc w:val="left"/>
      <w:pPr>
        <w:ind w:left="6023" w:hanging="358"/>
      </w:pPr>
      <w:rPr>
        <w:rFonts w:hint="default"/>
        <w:lang w:val="en-US" w:eastAsia="en-US" w:bidi="ar-SA"/>
      </w:rPr>
    </w:lvl>
  </w:abstractNum>
  <w:abstractNum w:abstractNumId="90" w15:restartNumberingAfterBreak="0">
    <w:nsid w:val="60463B01"/>
    <w:multiLevelType w:val="hybridMultilevel"/>
    <w:tmpl w:val="AE8A6062"/>
    <w:lvl w:ilvl="0" w:tplc="0D62DB2E">
      <w:numFmt w:val="bullet"/>
      <w:lvlText w:val=""/>
      <w:lvlJc w:val="left"/>
      <w:pPr>
        <w:ind w:left="874" w:hanging="360"/>
      </w:pPr>
      <w:rPr>
        <w:rFonts w:ascii="Symbol" w:eastAsia="Symbol" w:hAnsi="Symbol" w:cs="Symbol" w:hint="default"/>
        <w:b w:val="0"/>
        <w:bCs w:val="0"/>
        <w:i w:val="0"/>
        <w:iCs w:val="0"/>
        <w:w w:val="99"/>
        <w:sz w:val="22"/>
        <w:szCs w:val="22"/>
        <w:lang w:val="en-US" w:eastAsia="en-US" w:bidi="ar-SA"/>
      </w:rPr>
    </w:lvl>
    <w:lvl w:ilvl="1" w:tplc="12F0E2E0">
      <w:numFmt w:val="bullet"/>
      <w:lvlText w:val="•"/>
      <w:lvlJc w:val="left"/>
      <w:pPr>
        <w:ind w:left="1810" w:hanging="360"/>
      </w:pPr>
      <w:rPr>
        <w:rFonts w:hint="default"/>
        <w:lang w:val="en-US" w:eastAsia="en-US" w:bidi="ar-SA"/>
      </w:rPr>
    </w:lvl>
    <w:lvl w:ilvl="2" w:tplc="55A62AEE">
      <w:numFmt w:val="bullet"/>
      <w:lvlText w:val="•"/>
      <w:lvlJc w:val="left"/>
      <w:pPr>
        <w:ind w:left="2740" w:hanging="360"/>
      </w:pPr>
      <w:rPr>
        <w:rFonts w:hint="default"/>
        <w:lang w:val="en-US" w:eastAsia="en-US" w:bidi="ar-SA"/>
      </w:rPr>
    </w:lvl>
    <w:lvl w:ilvl="3" w:tplc="4B243AE8">
      <w:numFmt w:val="bullet"/>
      <w:lvlText w:val="•"/>
      <w:lvlJc w:val="left"/>
      <w:pPr>
        <w:ind w:left="3671" w:hanging="360"/>
      </w:pPr>
      <w:rPr>
        <w:rFonts w:hint="default"/>
        <w:lang w:val="en-US" w:eastAsia="en-US" w:bidi="ar-SA"/>
      </w:rPr>
    </w:lvl>
    <w:lvl w:ilvl="4" w:tplc="4552E034">
      <w:numFmt w:val="bullet"/>
      <w:lvlText w:val="•"/>
      <w:lvlJc w:val="left"/>
      <w:pPr>
        <w:ind w:left="4601" w:hanging="360"/>
      </w:pPr>
      <w:rPr>
        <w:rFonts w:hint="default"/>
        <w:lang w:val="en-US" w:eastAsia="en-US" w:bidi="ar-SA"/>
      </w:rPr>
    </w:lvl>
    <w:lvl w:ilvl="5" w:tplc="DF8CA412">
      <w:numFmt w:val="bullet"/>
      <w:lvlText w:val="•"/>
      <w:lvlJc w:val="left"/>
      <w:pPr>
        <w:ind w:left="5532" w:hanging="360"/>
      </w:pPr>
      <w:rPr>
        <w:rFonts w:hint="default"/>
        <w:lang w:val="en-US" w:eastAsia="en-US" w:bidi="ar-SA"/>
      </w:rPr>
    </w:lvl>
    <w:lvl w:ilvl="6" w:tplc="E1C4DCCE">
      <w:numFmt w:val="bullet"/>
      <w:lvlText w:val="•"/>
      <w:lvlJc w:val="left"/>
      <w:pPr>
        <w:ind w:left="6462" w:hanging="360"/>
      </w:pPr>
      <w:rPr>
        <w:rFonts w:hint="default"/>
        <w:lang w:val="en-US" w:eastAsia="en-US" w:bidi="ar-SA"/>
      </w:rPr>
    </w:lvl>
    <w:lvl w:ilvl="7" w:tplc="5E0EAACA">
      <w:numFmt w:val="bullet"/>
      <w:lvlText w:val="•"/>
      <w:lvlJc w:val="left"/>
      <w:pPr>
        <w:ind w:left="7393" w:hanging="360"/>
      </w:pPr>
      <w:rPr>
        <w:rFonts w:hint="default"/>
        <w:lang w:val="en-US" w:eastAsia="en-US" w:bidi="ar-SA"/>
      </w:rPr>
    </w:lvl>
    <w:lvl w:ilvl="8" w:tplc="787CC1A2">
      <w:numFmt w:val="bullet"/>
      <w:lvlText w:val="•"/>
      <w:lvlJc w:val="left"/>
      <w:pPr>
        <w:ind w:left="8323" w:hanging="360"/>
      </w:pPr>
      <w:rPr>
        <w:rFonts w:hint="default"/>
        <w:lang w:val="en-US" w:eastAsia="en-US" w:bidi="ar-SA"/>
      </w:rPr>
    </w:lvl>
  </w:abstractNum>
  <w:abstractNum w:abstractNumId="91" w15:restartNumberingAfterBreak="0">
    <w:nsid w:val="605A2D00"/>
    <w:multiLevelType w:val="hybridMultilevel"/>
    <w:tmpl w:val="3B8CEC04"/>
    <w:lvl w:ilvl="0" w:tplc="1EEC8BBC">
      <w:numFmt w:val="bullet"/>
      <w:lvlText w:val=""/>
      <w:lvlJc w:val="left"/>
      <w:pPr>
        <w:ind w:left="873" w:hanging="360"/>
      </w:pPr>
      <w:rPr>
        <w:rFonts w:ascii="Symbol" w:eastAsia="Symbol" w:hAnsi="Symbol" w:cs="Symbol" w:hint="default"/>
        <w:b w:val="0"/>
        <w:bCs w:val="0"/>
        <w:i w:val="0"/>
        <w:iCs w:val="0"/>
        <w:w w:val="99"/>
        <w:sz w:val="22"/>
        <w:szCs w:val="22"/>
        <w:lang w:val="en-US" w:eastAsia="en-US" w:bidi="ar-SA"/>
      </w:rPr>
    </w:lvl>
    <w:lvl w:ilvl="1" w:tplc="25604986">
      <w:numFmt w:val="bullet"/>
      <w:lvlText w:val="•"/>
      <w:lvlJc w:val="left"/>
      <w:pPr>
        <w:ind w:left="1810" w:hanging="360"/>
      </w:pPr>
      <w:rPr>
        <w:rFonts w:hint="default"/>
        <w:lang w:val="en-US" w:eastAsia="en-US" w:bidi="ar-SA"/>
      </w:rPr>
    </w:lvl>
    <w:lvl w:ilvl="2" w:tplc="16982384">
      <w:numFmt w:val="bullet"/>
      <w:lvlText w:val="•"/>
      <w:lvlJc w:val="left"/>
      <w:pPr>
        <w:ind w:left="2740" w:hanging="360"/>
      </w:pPr>
      <w:rPr>
        <w:rFonts w:hint="default"/>
        <w:lang w:val="en-US" w:eastAsia="en-US" w:bidi="ar-SA"/>
      </w:rPr>
    </w:lvl>
    <w:lvl w:ilvl="3" w:tplc="E7D6B724">
      <w:numFmt w:val="bullet"/>
      <w:lvlText w:val="•"/>
      <w:lvlJc w:val="left"/>
      <w:pPr>
        <w:ind w:left="3671" w:hanging="360"/>
      </w:pPr>
      <w:rPr>
        <w:rFonts w:hint="default"/>
        <w:lang w:val="en-US" w:eastAsia="en-US" w:bidi="ar-SA"/>
      </w:rPr>
    </w:lvl>
    <w:lvl w:ilvl="4" w:tplc="52F4B66E">
      <w:numFmt w:val="bullet"/>
      <w:lvlText w:val="•"/>
      <w:lvlJc w:val="left"/>
      <w:pPr>
        <w:ind w:left="4601" w:hanging="360"/>
      </w:pPr>
      <w:rPr>
        <w:rFonts w:hint="default"/>
        <w:lang w:val="en-US" w:eastAsia="en-US" w:bidi="ar-SA"/>
      </w:rPr>
    </w:lvl>
    <w:lvl w:ilvl="5" w:tplc="1C94E192">
      <w:numFmt w:val="bullet"/>
      <w:lvlText w:val="•"/>
      <w:lvlJc w:val="left"/>
      <w:pPr>
        <w:ind w:left="5532" w:hanging="360"/>
      </w:pPr>
      <w:rPr>
        <w:rFonts w:hint="default"/>
        <w:lang w:val="en-US" w:eastAsia="en-US" w:bidi="ar-SA"/>
      </w:rPr>
    </w:lvl>
    <w:lvl w:ilvl="6" w:tplc="641C0C12">
      <w:numFmt w:val="bullet"/>
      <w:lvlText w:val="•"/>
      <w:lvlJc w:val="left"/>
      <w:pPr>
        <w:ind w:left="6462" w:hanging="360"/>
      </w:pPr>
      <w:rPr>
        <w:rFonts w:hint="default"/>
        <w:lang w:val="en-US" w:eastAsia="en-US" w:bidi="ar-SA"/>
      </w:rPr>
    </w:lvl>
    <w:lvl w:ilvl="7" w:tplc="65587BA4">
      <w:numFmt w:val="bullet"/>
      <w:lvlText w:val="•"/>
      <w:lvlJc w:val="left"/>
      <w:pPr>
        <w:ind w:left="7393" w:hanging="360"/>
      </w:pPr>
      <w:rPr>
        <w:rFonts w:hint="default"/>
        <w:lang w:val="en-US" w:eastAsia="en-US" w:bidi="ar-SA"/>
      </w:rPr>
    </w:lvl>
    <w:lvl w:ilvl="8" w:tplc="AF12D3FA">
      <w:numFmt w:val="bullet"/>
      <w:lvlText w:val="•"/>
      <w:lvlJc w:val="left"/>
      <w:pPr>
        <w:ind w:left="8323" w:hanging="360"/>
      </w:pPr>
      <w:rPr>
        <w:rFonts w:hint="default"/>
        <w:lang w:val="en-US" w:eastAsia="en-US" w:bidi="ar-SA"/>
      </w:rPr>
    </w:lvl>
  </w:abstractNum>
  <w:abstractNum w:abstractNumId="92" w15:restartNumberingAfterBreak="0">
    <w:nsid w:val="60EB5232"/>
    <w:multiLevelType w:val="multilevel"/>
    <w:tmpl w:val="01EC2C92"/>
    <w:lvl w:ilvl="0">
      <w:start w:val="1"/>
      <w:numFmt w:val="decimal"/>
      <w:lvlText w:val="%1."/>
      <w:lvlJc w:val="left"/>
      <w:pPr>
        <w:ind w:left="681" w:hanging="568"/>
        <w:jc w:val="left"/>
      </w:pPr>
      <w:rPr>
        <w:rFonts w:ascii="Calibri Light" w:eastAsia="Calibri Light" w:hAnsi="Calibri Light" w:cs="Calibri Light" w:hint="default"/>
        <w:b w:val="0"/>
        <w:bCs w:val="0"/>
        <w:i w:val="0"/>
        <w:iCs w:val="0"/>
        <w:color w:val="009BAC"/>
        <w:spacing w:val="-1"/>
        <w:w w:val="100"/>
        <w:sz w:val="24"/>
        <w:szCs w:val="24"/>
        <w:lang w:val="en-US" w:eastAsia="en-US" w:bidi="ar-SA"/>
      </w:rPr>
    </w:lvl>
    <w:lvl w:ilvl="1">
      <w:start w:val="1"/>
      <w:numFmt w:val="decimal"/>
      <w:lvlText w:val="%1.%2"/>
      <w:lvlJc w:val="left"/>
      <w:pPr>
        <w:ind w:left="1248" w:hanging="567"/>
        <w:jc w:val="left"/>
      </w:pPr>
      <w:rPr>
        <w:rFonts w:ascii="Calibri Light" w:eastAsia="Calibri Light" w:hAnsi="Calibri Light" w:cs="Calibri Light" w:hint="default"/>
        <w:b w:val="0"/>
        <w:bCs w:val="0"/>
        <w:i w:val="0"/>
        <w:iCs w:val="0"/>
        <w:w w:val="100"/>
        <w:sz w:val="20"/>
        <w:szCs w:val="20"/>
        <w:lang w:val="en-US" w:eastAsia="en-US" w:bidi="ar-SA"/>
      </w:rPr>
    </w:lvl>
    <w:lvl w:ilvl="2">
      <w:start w:val="1"/>
      <w:numFmt w:val="decimal"/>
      <w:lvlText w:val="%1.%2.%3"/>
      <w:lvlJc w:val="left"/>
      <w:pPr>
        <w:ind w:left="1974" w:hanging="726"/>
        <w:jc w:val="left"/>
      </w:pPr>
      <w:rPr>
        <w:rFonts w:ascii="Calibri Light" w:eastAsia="Calibri Light" w:hAnsi="Calibri Light" w:cs="Calibri Light" w:hint="default"/>
        <w:b w:val="0"/>
        <w:bCs w:val="0"/>
        <w:i w:val="0"/>
        <w:iCs w:val="0"/>
        <w:spacing w:val="-1"/>
        <w:w w:val="100"/>
        <w:sz w:val="20"/>
        <w:szCs w:val="20"/>
        <w:lang w:val="en-US" w:eastAsia="en-US" w:bidi="ar-SA"/>
      </w:rPr>
    </w:lvl>
    <w:lvl w:ilvl="3">
      <w:start w:val="1"/>
      <w:numFmt w:val="decimal"/>
      <w:lvlText w:val="%1.%2.%3.%4"/>
      <w:lvlJc w:val="left"/>
      <w:pPr>
        <w:ind w:left="2554" w:hanging="598"/>
        <w:jc w:val="left"/>
      </w:pPr>
      <w:rPr>
        <w:rFonts w:ascii="Calibri Light" w:eastAsia="Calibri Light" w:hAnsi="Calibri Light" w:cs="Calibri Light" w:hint="default"/>
        <w:b w:val="0"/>
        <w:bCs w:val="0"/>
        <w:i/>
        <w:iCs/>
        <w:spacing w:val="-1"/>
        <w:w w:val="100"/>
        <w:sz w:val="20"/>
        <w:szCs w:val="20"/>
        <w:lang w:val="en-US" w:eastAsia="en-US" w:bidi="ar-SA"/>
      </w:rPr>
    </w:lvl>
    <w:lvl w:ilvl="4">
      <w:numFmt w:val="bullet"/>
      <w:lvlText w:val="•"/>
      <w:lvlJc w:val="left"/>
      <w:pPr>
        <w:ind w:left="2560" w:hanging="598"/>
      </w:pPr>
      <w:rPr>
        <w:rFonts w:hint="default"/>
        <w:lang w:val="en-US" w:eastAsia="en-US" w:bidi="ar-SA"/>
      </w:rPr>
    </w:lvl>
    <w:lvl w:ilvl="5">
      <w:numFmt w:val="bullet"/>
      <w:lvlText w:val="•"/>
      <w:lvlJc w:val="left"/>
      <w:pPr>
        <w:ind w:left="3940" w:hanging="598"/>
      </w:pPr>
      <w:rPr>
        <w:rFonts w:hint="default"/>
        <w:lang w:val="en-US" w:eastAsia="en-US" w:bidi="ar-SA"/>
      </w:rPr>
    </w:lvl>
    <w:lvl w:ilvl="6">
      <w:numFmt w:val="bullet"/>
      <w:lvlText w:val="•"/>
      <w:lvlJc w:val="left"/>
      <w:pPr>
        <w:ind w:left="5321" w:hanging="598"/>
      </w:pPr>
      <w:rPr>
        <w:rFonts w:hint="default"/>
        <w:lang w:val="en-US" w:eastAsia="en-US" w:bidi="ar-SA"/>
      </w:rPr>
    </w:lvl>
    <w:lvl w:ilvl="7">
      <w:numFmt w:val="bullet"/>
      <w:lvlText w:val="•"/>
      <w:lvlJc w:val="left"/>
      <w:pPr>
        <w:ind w:left="6702" w:hanging="598"/>
      </w:pPr>
      <w:rPr>
        <w:rFonts w:hint="default"/>
        <w:lang w:val="en-US" w:eastAsia="en-US" w:bidi="ar-SA"/>
      </w:rPr>
    </w:lvl>
    <w:lvl w:ilvl="8">
      <w:numFmt w:val="bullet"/>
      <w:lvlText w:val="•"/>
      <w:lvlJc w:val="left"/>
      <w:pPr>
        <w:ind w:left="8082" w:hanging="598"/>
      </w:pPr>
      <w:rPr>
        <w:rFonts w:hint="default"/>
        <w:lang w:val="en-US" w:eastAsia="en-US" w:bidi="ar-SA"/>
      </w:rPr>
    </w:lvl>
  </w:abstractNum>
  <w:abstractNum w:abstractNumId="93" w15:restartNumberingAfterBreak="0">
    <w:nsid w:val="6144326A"/>
    <w:multiLevelType w:val="hybridMultilevel"/>
    <w:tmpl w:val="934AF45C"/>
    <w:lvl w:ilvl="0" w:tplc="03C4D262">
      <w:numFmt w:val="bullet"/>
      <w:lvlText w:val=""/>
      <w:lvlJc w:val="left"/>
      <w:pPr>
        <w:ind w:left="412" w:hanging="285"/>
      </w:pPr>
      <w:rPr>
        <w:rFonts w:ascii="Symbol" w:eastAsia="Symbol" w:hAnsi="Symbol" w:cs="Symbol" w:hint="default"/>
        <w:b w:val="0"/>
        <w:bCs w:val="0"/>
        <w:i w:val="0"/>
        <w:iCs w:val="0"/>
        <w:w w:val="99"/>
        <w:sz w:val="22"/>
        <w:szCs w:val="22"/>
        <w:lang w:val="en-US" w:eastAsia="en-US" w:bidi="ar-SA"/>
      </w:rPr>
    </w:lvl>
    <w:lvl w:ilvl="1" w:tplc="83B2D786">
      <w:numFmt w:val="bullet"/>
      <w:lvlText w:val="•"/>
      <w:lvlJc w:val="left"/>
      <w:pPr>
        <w:ind w:left="1111" w:hanging="285"/>
      </w:pPr>
      <w:rPr>
        <w:rFonts w:hint="default"/>
        <w:lang w:val="en-US" w:eastAsia="en-US" w:bidi="ar-SA"/>
      </w:rPr>
    </w:lvl>
    <w:lvl w:ilvl="2" w:tplc="B5C8643C">
      <w:numFmt w:val="bullet"/>
      <w:lvlText w:val="•"/>
      <w:lvlJc w:val="left"/>
      <w:pPr>
        <w:ind w:left="1803" w:hanging="285"/>
      </w:pPr>
      <w:rPr>
        <w:rFonts w:hint="default"/>
        <w:lang w:val="en-US" w:eastAsia="en-US" w:bidi="ar-SA"/>
      </w:rPr>
    </w:lvl>
    <w:lvl w:ilvl="3" w:tplc="EBB06868">
      <w:numFmt w:val="bullet"/>
      <w:lvlText w:val="•"/>
      <w:lvlJc w:val="left"/>
      <w:pPr>
        <w:ind w:left="2494" w:hanging="285"/>
      </w:pPr>
      <w:rPr>
        <w:rFonts w:hint="default"/>
        <w:lang w:val="en-US" w:eastAsia="en-US" w:bidi="ar-SA"/>
      </w:rPr>
    </w:lvl>
    <w:lvl w:ilvl="4" w:tplc="BA922D16">
      <w:numFmt w:val="bullet"/>
      <w:lvlText w:val="•"/>
      <w:lvlJc w:val="left"/>
      <w:pPr>
        <w:ind w:left="3186" w:hanging="285"/>
      </w:pPr>
      <w:rPr>
        <w:rFonts w:hint="default"/>
        <w:lang w:val="en-US" w:eastAsia="en-US" w:bidi="ar-SA"/>
      </w:rPr>
    </w:lvl>
    <w:lvl w:ilvl="5" w:tplc="15D87558">
      <w:numFmt w:val="bullet"/>
      <w:lvlText w:val="•"/>
      <w:lvlJc w:val="left"/>
      <w:pPr>
        <w:ind w:left="3877" w:hanging="285"/>
      </w:pPr>
      <w:rPr>
        <w:rFonts w:hint="default"/>
        <w:lang w:val="en-US" w:eastAsia="en-US" w:bidi="ar-SA"/>
      </w:rPr>
    </w:lvl>
    <w:lvl w:ilvl="6" w:tplc="1C44CBAC">
      <w:numFmt w:val="bullet"/>
      <w:lvlText w:val="•"/>
      <w:lvlJc w:val="left"/>
      <w:pPr>
        <w:ind w:left="4569" w:hanging="285"/>
      </w:pPr>
      <w:rPr>
        <w:rFonts w:hint="default"/>
        <w:lang w:val="en-US" w:eastAsia="en-US" w:bidi="ar-SA"/>
      </w:rPr>
    </w:lvl>
    <w:lvl w:ilvl="7" w:tplc="44409F8A">
      <w:numFmt w:val="bullet"/>
      <w:lvlText w:val="•"/>
      <w:lvlJc w:val="left"/>
      <w:pPr>
        <w:ind w:left="5260" w:hanging="285"/>
      </w:pPr>
      <w:rPr>
        <w:rFonts w:hint="default"/>
        <w:lang w:val="en-US" w:eastAsia="en-US" w:bidi="ar-SA"/>
      </w:rPr>
    </w:lvl>
    <w:lvl w:ilvl="8" w:tplc="21CCFD94">
      <w:numFmt w:val="bullet"/>
      <w:lvlText w:val="•"/>
      <w:lvlJc w:val="left"/>
      <w:pPr>
        <w:ind w:left="5952" w:hanging="285"/>
      </w:pPr>
      <w:rPr>
        <w:rFonts w:hint="default"/>
        <w:lang w:val="en-US" w:eastAsia="en-US" w:bidi="ar-SA"/>
      </w:rPr>
    </w:lvl>
  </w:abstractNum>
  <w:abstractNum w:abstractNumId="94" w15:restartNumberingAfterBreak="0">
    <w:nsid w:val="61733DC9"/>
    <w:multiLevelType w:val="hybridMultilevel"/>
    <w:tmpl w:val="26EEFCCA"/>
    <w:lvl w:ilvl="0" w:tplc="83EC5E6C">
      <w:numFmt w:val="bullet"/>
      <w:lvlText w:val=""/>
      <w:lvlJc w:val="left"/>
      <w:pPr>
        <w:ind w:left="873" w:hanging="360"/>
      </w:pPr>
      <w:rPr>
        <w:rFonts w:ascii="Symbol" w:eastAsia="Symbol" w:hAnsi="Symbol" w:cs="Symbol" w:hint="default"/>
        <w:b w:val="0"/>
        <w:bCs w:val="0"/>
        <w:i w:val="0"/>
        <w:iCs w:val="0"/>
        <w:w w:val="99"/>
        <w:sz w:val="22"/>
        <w:szCs w:val="22"/>
        <w:lang w:val="en-US" w:eastAsia="en-US" w:bidi="ar-SA"/>
      </w:rPr>
    </w:lvl>
    <w:lvl w:ilvl="1" w:tplc="BF084EA4">
      <w:numFmt w:val="bullet"/>
      <w:lvlText w:val="•"/>
      <w:lvlJc w:val="left"/>
      <w:pPr>
        <w:ind w:left="1810" w:hanging="360"/>
      </w:pPr>
      <w:rPr>
        <w:rFonts w:hint="default"/>
        <w:lang w:val="en-US" w:eastAsia="en-US" w:bidi="ar-SA"/>
      </w:rPr>
    </w:lvl>
    <w:lvl w:ilvl="2" w:tplc="3D7626EA">
      <w:numFmt w:val="bullet"/>
      <w:lvlText w:val="•"/>
      <w:lvlJc w:val="left"/>
      <w:pPr>
        <w:ind w:left="2740" w:hanging="360"/>
      </w:pPr>
      <w:rPr>
        <w:rFonts w:hint="default"/>
        <w:lang w:val="en-US" w:eastAsia="en-US" w:bidi="ar-SA"/>
      </w:rPr>
    </w:lvl>
    <w:lvl w:ilvl="3" w:tplc="5CA6A120">
      <w:numFmt w:val="bullet"/>
      <w:lvlText w:val="•"/>
      <w:lvlJc w:val="left"/>
      <w:pPr>
        <w:ind w:left="3671" w:hanging="360"/>
      </w:pPr>
      <w:rPr>
        <w:rFonts w:hint="default"/>
        <w:lang w:val="en-US" w:eastAsia="en-US" w:bidi="ar-SA"/>
      </w:rPr>
    </w:lvl>
    <w:lvl w:ilvl="4" w:tplc="D3B2F064">
      <w:numFmt w:val="bullet"/>
      <w:lvlText w:val="•"/>
      <w:lvlJc w:val="left"/>
      <w:pPr>
        <w:ind w:left="4601" w:hanging="360"/>
      </w:pPr>
      <w:rPr>
        <w:rFonts w:hint="default"/>
        <w:lang w:val="en-US" w:eastAsia="en-US" w:bidi="ar-SA"/>
      </w:rPr>
    </w:lvl>
    <w:lvl w:ilvl="5" w:tplc="C2A47F0E">
      <w:numFmt w:val="bullet"/>
      <w:lvlText w:val="•"/>
      <w:lvlJc w:val="left"/>
      <w:pPr>
        <w:ind w:left="5532" w:hanging="360"/>
      </w:pPr>
      <w:rPr>
        <w:rFonts w:hint="default"/>
        <w:lang w:val="en-US" w:eastAsia="en-US" w:bidi="ar-SA"/>
      </w:rPr>
    </w:lvl>
    <w:lvl w:ilvl="6" w:tplc="D3A4D8B6">
      <w:numFmt w:val="bullet"/>
      <w:lvlText w:val="•"/>
      <w:lvlJc w:val="left"/>
      <w:pPr>
        <w:ind w:left="6462" w:hanging="360"/>
      </w:pPr>
      <w:rPr>
        <w:rFonts w:hint="default"/>
        <w:lang w:val="en-US" w:eastAsia="en-US" w:bidi="ar-SA"/>
      </w:rPr>
    </w:lvl>
    <w:lvl w:ilvl="7" w:tplc="5A668E06">
      <w:numFmt w:val="bullet"/>
      <w:lvlText w:val="•"/>
      <w:lvlJc w:val="left"/>
      <w:pPr>
        <w:ind w:left="7393" w:hanging="360"/>
      </w:pPr>
      <w:rPr>
        <w:rFonts w:hint="default"/>
        <w:lang w:val="en-US" w:eastAsia="en-US" w:bidi="ar-SA"/>
      </w:rPr>
    </w:lvl>
    <w:lvl w:ilvl="8" w:tplc="0720C9EE">
      <w:numFmt w:val="bullet"/>
      <w:lvlText w:val="•"/>
      <w:lvlJc w:val="left"/>
      <w:pPr>
        <w:ind w:left="8323" w:hanging="360"/>
      </w:pPr>
      <w:rPr>
        <w:rFonts w:hint="default"/>
        <w:lang w:val="en-US" w:eastAsia="en-US" w:bidi="ar-SA"/>
      </w:rPr>
    </w:lvl>
  </w:abstractNum>
  <w:abstractNum w:abstractNumId="95" w15:restartNumberingAfterBreak="0">
    <w:nsid w:val="61CE73A4"/>
    <w:multiLevelType w:val="hybridMultilevel"/>
    <w:tmpl w:val="590223AE"/>
    <w:lvl w:ilvl="0" w:tplc="4CF8583E">
      <w:numFmt w:val="bullet"/>
      <w:lvlText w:val="-"/>
      <w:lvlJc w:val="left"/>
      <w:pPr>
        <w:ind w:left="833" w:hanging="360"/>
      </w:pPr>
      <w:rPr>
        <w:rFonts w:ascii="Trebuchet MS" w:eastAsia="Trebuchet MS" w:hAnsi="Trebuchet MS" w:cs="Trebuchet MS" w:hint="default"/>
        <w:b w:val="0"/>
        <w:bCs w:val="0"/>
        <w:i w:val="0"/>
        <w:iCs w:val="0"/>
        <w:w w:val="100"/>
        <w:sz w:val="18"/>
        <w:szCs w:val="18"/>
        <w:lang w:val="en-US" w:eastAsia="en-US" w:bidi="ar-SA"/>
      </w:rPr>
    </w:lvl>
    <w:lvl w:ilvl="1" w:tplc="AE687320">
      <w:numFmt w:val="bullet"/>
      <w:lvlText w:val="•"/>
      <w:lvlJc w:val="left"/>
      <w:pPr>
        <w:ind w:left="1309" w:hanging="360"/>
      </w:pPr>
      <w:rPr>
        <w:rFonts w:hint="default"/>
        <w:lang w:val="en-US" w:eastAsia="en-US" w:bidi="ar-SA"/>
      </w:rPr>
    </w:lvl>
    <w:lvl w:ilvl="2" w:tplc="FD8C966C">
      <w:numFmt w:val="bullet"/>
      <w:lvlText w:val="•"/>
      <w:lvlJc w:val="left"/>
      <w:pPr>
        <w:ind w:left="1778" w:hanging="360"/>
      </w:pPr>
      <w:rPr>
        <w:rFonts w:hint="default"/>
        <w:lang w:val="en-US" w:eastAsia="en-US" w:bidi="ar-SA"/>
      </w:rPr>
    </w:lvl>
    <w:lvl w:ilvl="3" w:tplc="552839CA">
      <w:numFmt w:val="bullet"/>
      <w:lvlText w:val="•"/>
      <w:lvlJc w:val="left"/>
      <w:pPr>
        <w:ind w:left="2248" w:hanging="360"/>
      </w:pPr>
      <w:rPr>
        <w:rFonts w:hint="default"/>
        <w:lang w:val="en-US" w:eastAsia="en-US" w:bidi="ar-SA"/>
      </w:rPr>
    </w:lvl>
    <w:lvl w:ilvl="4" w:tplc="58A8B57C">
      <w:numFmt w:val="bullet"/>
      <w:lvlText w:val="•"/>
      <w:lvlJc w:val="left"/>
      <w:pPr>
        <w:ind w:left="2717" w:hanging="360"/>
      </w:pPr>
      <w:rPr>
        <w:rFonts w:hint="default"/>
        <w:lang w:val="en-US" w:eastAsia="en-US" w:bidi="ar-SA"/>
      </w:rPr>
    </w:lvl>
    <w:lvl w:ilvl="5" w:tplc="D9D0783E">
      <w:numFmt w:val="bullet"/>
      <w:lvlText w:val="•"/>
      <w:lvlJc w:val="left"/>
      <w:pPr>
        <w:ind w:left="3187" w:hanging="360"/>
      </w:pPr>
      <w:rPr>
        <w:rFonts w:hint="default"/>
        <w:lang w:val="en-US" w:eastAsia="en-US" w:bidi="ar-SA"/>
      </w:rPr>
    </w:lvl>
    <w:lvl w:ilvl="6" w:tplc="79E852B4">
      <w:numFmt w:val="bullet"/>
      <w:lvlText w:val="•"/>
      <w:lvlJc w:val="left"/>
      <w:pPr>
        <w:ind w:left="3656" w:hanging="360"/>
      </w:pPr>
      <w:rPr>
        <w:rFonts w:hint="default"/>
        <w:lang w:val="en-US" w:eastAsia="en-US" w:bidi="ar-SA"/>
      </w:rPr>
    </w:lvl>
    <w:lvl w:ilvl="7" w:tplc="5C1029D2">
      <w:numFmt w:val="bullet"/>
      <w:lvlText w:val="•"/>
      <w:lvlJc w:val="left"/>
      <w:pPr>
        <w:ind w:left="4125" w:hanging="360"/>
      </w:pPr>
      <w:rPr>
        <w:rFonts w:hint="default"/>
        <w:lang w:val="en-US" w:eastAsia="en-US" w:bidi="ar-SA"/>
      </w:rPr>
    </w:lvl>
    <w:lvl w:ilvl="8" w:tplc="CA687544">
      <w:numFmt w:val="bullet"/>
      <w:lvlText w:val="•"/>
      <w:lvlJc w:val="left"/>
      <w:pPr>
        <w:ind w:left="4595" w:hanging="360"/>
      </w:pPr>
      <w:rPr>
        <w:rFonts w:hint="default"/>
        <w:lang w:val="en-US" w:eastAsia="en-US" w:bidi="ar-SA"/>
      </w:rPr>
    </w:lvl>
  </w:abstractNum>
  <w:abstractNum w:abstractNumId="96" w15:restartNumberingAfterBreak="0">
    <w:nsid w:val="625F1F15"/>
    <w:multiLevelType w:val="hybridMultilevel"/>
    <w:tmpl w:val="4C223A6A"/>
    <w:lvl w:ilvl="0" w:tplc="51244FD4">
      <w:numFmt w:val="bullet"/>
      <w:lvlText w:val=""/>
      <w:lvlJc w:val="left"/>
      <w:pPr>
        <w:ind w:left="412" w:hanging="360"/>
      </w:pPr>
      <w:rPr>
        <w:rFonts w:ascii="Symbol" w:eastAsia="Symbol" w:hAnsi="Symbol" w:cs="Symbol" w:hint="default"/>
        <w:b w:val="0"/>
        <w:bCs w:val="0"/>
        <w:i w:val="0"/>
        <w:iCs w:val="0"/>
        <w:w w:val="100"/>
        <w:sz w:val="18"/>
        <w:szCs w:val="18"/>
        <w:lang w:val="en-US" w:eastAsia="en-US" w:bidi="ar-SA"/>
      </w:rPr>
    </w:lvl>
    <w:lvl w:ilvl="1" w:tplc="E8F6DCCE">
      <w:numFmt w:val="bullet"/>
      <w:lvlText w:val="•"/>
      <w:lvlJc w:val="left"/>
      <w:pPr>
        <w:ind w:left="1121" w:hanging="360"/>
      </w:pPr>
      <w:rPr>
        <w:rFonts w:hint="default"/>
        <w:lang w:val="en-US" w:eastAsia="en-US" w:bidi="ar-SA"/>
      </w:rPr>
    </w:lvl>
    <w:lvl w:ilvl="2" w:tplc="7E1A3D38">
      <w:numFmt w:val="bullet"/>
      <w:lvlText w:val="•"/>
      <w:lvlJc w:val="left"/>
      <w:pPr>
        <w:ind w:left="1822" w:hanging="360"/>
      </w:pPr>
      <w:rPr>
        <w:rFonts w:hint="default"/>
        <w:lang w:val="en-US" w:eastAsia="en-US" w:bidi="ar-SA"/>
      </w:rPr>
    </w:lvl>
    <w:lvl w:ilvl="3" w:tplc="1A20C6DE">
      <w:numFmt w:val="bullet"/>
      <w:lvlText w:val="•"/>
      <w:lvlJc w:val="left"/>
      <w:pPr>
        <w:ind w:left="2524" w:hanging="360"/>
      </w:pPr>
      <w:rPr>
        <w:rFonts w:hint="default"/>
        <w:lang w:val="en-US" w:eastAsia="en-US" w:bidi="ar-SA"/>
      </w:rPr>
    </w:lvl>
    <w:lvl w:ilvl="4" w:tplc="EB1E91A8">
      <w:numFmt w:val="bullet"/>
      <w:lvlText w:val="•"/>
      <w:lvlJc w:val="left"/>
      <w:pPr>
        <w:ind w:left="3225" w:hanging="360"/>
      </w:pPr>
      <w:rPr>
        <w:rFonts w:hint="default"/>
        <w:lang w:val="en-US" w:eastAsia="en-US" w:bidi="ar-SA"/>
      </w:rPr>
    </w:lvl>
    <w:lvl w:ilvl="5" w:tplc="47ECBAD8">
      <w:numFmt w:val="bullet"/>
      <w:lvlText w:val="•"/>
      <w:lvlJc w:val="left"/>
      <w:pPr>
        <w:ind w:left="3927" w:hanging="360"/>
      </w:pPr>
      <w:rPr>
        <w:rFonts w:hint="default"/>
        <w:lang w:val="en-US" w:eastAsia="en-US" w:bidi="ar-SA"/>
      </w:rPr>
    </w:lvl>
    <w:lvl w:ilvl="6" w:tplc="969C5B66">
      <w:numFmt w:val="bullet"/>
      <w:lvlText w:val="•"/>
      <w:lvlJc w:val="left"/>
      <w:pPr>
        <w:ind w:left="4628" w:hanging="360"/>
      </w:pPr>
      <w:rPr>
        <w:rFonts w:hint="default"/>
        <w:lang w:val="en-US" w:eastAsia="en-US" w:bidi="ar-SA"/>
      </w:rPr>
    </w:lvl>
    <w:lvl w:ilvl="7" w:tplc="B672CFD6">
      <w:numFmt w:val="bullet"/>
      <w:lvlText w:val="•"/>
      <w:lvlJc w:val="left"/>
      <w:pPr>
        <w:ind w:left="5329" w:hanging="360"/>
      </w:pPr>
      <w:rPr>
        <w:rFonts w:hint="default"/>
        <w:lang w:val="en-US" w:eastAsia="en-US" w:bidi="ar-SA"/>
      </w:rPr>
    </w:lvl>
    <w:lvl w:ilvl="8" w:tplc="CF78E8E8">
      <w:numFmt w:val="bullet"/>
      <w:lvlText w:val="•"/>
      <w:lvlJc w:val="left"/>
      <w:pPr>
        <w:ind w:left="6031" w:hanging="360"/>
      </w:pPr>
      <w:rPr>
        <w:rFonts w:hint="default"/>
        <w:lang w:val="en-US" w:eastAsia="en-US" w:bidi="ar-SA"/>
      </w:rPr>
    </w:lvl>
  </w:abstractNum>
  <w:abstractNum w:abstractNumId="97" w15:restartNumberingAfterBreak="0">
    <w:nsid w:val="62616DA1"/>
    <w:multiLevelType w:val="hybridMultilevel"/>
    <w:tmpl w:val="FF0E6C46"/>
    <w:lvl w:ilvl="0" w:tplc="48C04878">
      <w:numFmt w:val="bullet"/>
      <w:lvlText w:val=""/>
      <w:lvlJc w:val="left"/>
      <w:pPr>
        <w:ind w:left="383" w:hanging="284"/>
      </w:pPr>
      <w:rPr>
        <w:rFonts w:ascii="Symbol" w:eastAsia="Symbol" w:hAnsi="Symbol" w:cs="Symbol" w:hint="default"/>
        <w:b w:val="0"/>
        <w:bCs w:val="0"/>
        <w:i w:val="0"/>
        <w:iCs w:val="0"/>
        <w:w w:val="99"/>
        <w:sz w:val="22"/>
        <w:szCs w:val="22"/>
        <w:lang w:val="en-US" w:eastAsia="en-US" w:bidi="ar-SA"/>
      </w:rPr>
    </w:lvl>
    <w:lvl w:ilvl="1" w:tplc="7A1C1B98">
      <w:numFmt w:val="bullet"/>
      <w:lvlText w:val="•"/>
      <w:lvlJc w:val="left"/>
      <w:pPr>
        <w:ind w:left="1075" w:hanging="284"/>
      </w:pPr>
      <w:rPr>
        <w:rFonts w:hint="default"/>
        <w:lang w:val="en-US" w:eastAsia="en-US" w:bidi="ar-SA"/>
      </w:rPr>
    </w:lvl>
    <w:lvl w:ilvl="2" w:tplc="F4203516">
      <w:numFmt w:val="bullet"/>
      <w:lvlText w:val="•"/>
      <w:lvlJc w:val="left"/>
      <w:pPr>
        <w:ind w:left="1771" w:hanging="284"/>
      </w:pPr>
      <w:rPr>
        <w:rFonts w:hint="default"/>
        <w:lang w:val="en-US" w:eastAsia="en-US" w:bidi="ar-SA"/>
      </w:rPr>
    </w:lvl>
    <w:lvl w:ilvl="3" w:tplc="E4FAF116">
      <w:numFmt w:val="bullet"/>
      <w:lvlText w:val="•"/>
      <w:lvlJc w:val="left"/>
      <w:pPr>
        <w:ind w:left="2466" w:hanging="284"/>
      </w:pPr>
      <w:rPr>
        <w:rFonts w:hint="default"/>
        <w:lang w:val="en-US" w:eastAsia="en-US" w:bidi="ar-SA"/>
      </w:rPr>
    </w:lvl>
    <w:lvl w:ilvl="4" w:tplc="57D04872">
      <w:numFmt w:val="bullet"/>
      <w:lvlText w:val="•"/>
      <w:lvlJc w:val="left"/>
      <w:pPr>
        <w:ind w:left="3162" w:hanging="284"/>
      </w:pPr>
      <w:rPr>
        <w:rFonts w:hint="default"/>
        <w:lang w:val="en-US" w:eastAsia="en-US" w:bidi="ar-SA"/>
      </w:rPr>
    </w:lvl>
    <w:lvl w:ilvl="5" w:tplc="8DE64F5A">
      <w:numFmt w:val="bullet"/>
      <w:lvlText w:val="•"/>
      <w:lvlJc w:val="left"/>
      <w:pPr>
        <w:ind w:left="3857" w:hanging="284"/>
      </w:pPr>
      <w:rPr>
        <w:rFonts w:hint="default"/>
        <w:lang w:val="en-US" w:eastAsia="en-US" w:bidi="ar-SA"/>
      </w:rPr>
    </w:lvl>
    <w:lvl w:ilvl="6" w:tplc="9B386404">
      <w:numFmt w:val="bullet"/>
      <w:lvlText w:val="•"/>
      <w:lvlJc w:val="left"/>
      <w:pPr>
        <w:ind w:left="4553" w:hanging="284"/>
      </w:pPr>
      <w:rPr>
        <w:rFonts w:hint="default"/>
        <w:lang w:val="en-US" w:eastAsia="en-US" w:bidi="ar-SA"/>
      </w:rPr>
    </w:lvl>
    <w:lvl w:ilvl="7" w:tplc="8D00C380">
      <w:numFmt w:val="bullet"/>
      <w:lvlText w:val="•"/>
      <w:lvlJc w:val="left"/>
      <w:pPr>
        <w:ind w:left="5248" w:hanging="284"/>
      </w:pPr>
      <w:rPr>
        <w:rFonts w:hint="default"/>
        <w:lang w:val="en-US" w:eastAsia="en-US" w:bidi="ar-SA"/>
      </w:rPr>
    </w:lvl>
    <w:lvl w:ilvl="8" w:tplc="B4D82EE2">
      <w:numFmt w:val="bullet"/>
      <w:lvlText w:val="•"/>
      <w:lvlJc w:val="left"/>
      <w:pPr>
        <w:ind w:left="5944" w:hanging="284"/>
      </w:pPr>
      <w:rPr>
        <w:rFonts w:hint="default"/>
        <w:lang w:val="en-US" w:eastAsia="en-US" w:bidi="ar-SA"/>
      </w:rPr>
    </w:lvl>
  </w:abstractNum>
  <w:abstractNum w:abstractNumId="98" w15:restartNumberingAfterBreak="0">
    <w:nsid w:val="62BA4DE8"/>
    <w:multiLevelType w:val="hybridMultilevel"/>
    <w:tmpl w:val="FDC2BA4C"/>
    <w:lvl w:ilvl="0" w:tplc="851E5734">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E8602F8C">
      <w:numFmt w:val="bullet"/>
      <w:lvlText w:val="•"/>
      <w:lvlJc w:val="left"/>
      <w:pPr>
        <w:ind w:left="1085" w:hanging="360"/>
      </w:pPr>
      <w:rPr>
        <w:rFonts w:hint="default"/>
        <w:lang w:val="en-US" w:eastAsia="en-US" w:bidi="ar-SA"/>
      </w:rPr>
    </w:lvl>
    <w:lvl w:ilvl="2" w:tplc="93ACCBE6">
      <w:numFmt w:val="bullet"/>
      <w:lvlText w:val="•"/>
      <w:lvlJc w:val="left"/>
      <w:pPr>
        <w:ind w:left="1790" w:hanging="360"/>
      </w:pPr>
      <w:rPr>
        <w:rFonts w:hint="default"/>
        <w:lang w:val="en-US" w:eastAsia="en-US" w:bidi="ar-SA"/>
      </w:rPr>
    </w:lvl>
    <w:lvl w:ilvl="3" w:tplc="B4769FE4">
      <w:numFmt w:val="bullet"/>
      <w:lvlText w:val="•"/>
      <w:lvlJc w:val="left"/>
      <w:pPr>
        <w:ind w:left="2496" w:hanging="360"/>
      </w:pPr>
      <w:rPr>
        <w:rFonts w:hint="default"/>
        <w:lang w:val="en-US" w:eastAsia="en-US" w:bidi="ar-SA"/>
      </w:rPr>
    </w:lvl>
    <w:lvl w:ilvl="4" w:tplc="601CA51C">
      <w:numFmt w:val="bullet"/>
      <w:lvlText w:val="•"/>
      <w:lvlJc w:val="left"/>
      <w:pPr>
        <w:ind w:left="3201" w:hanging="360"/>
      </w:pPr>
      <w:rPr>
        <w:rFonts w:hint="default"/>
        <w:lang w:val="en-US" w:eastAsia="en-US" w:bidi="ar-SA"/>
      </w:rPr>
    </w:lvl>
    <w:lvl w:ilvl="5" w:tplc="8DA2E0BA">
      <w:numFmt w:val="bullet"/>
      <w:lvlText w:val="•"/>
      <w:lvlJc w:val="left"/>
      <w:pPr>
        <w:ind w:left="3907" w:hanging="360"/>
      </w:pPr>
      <w:rPr>
        <w:rFonts w:hint="default"/>
        <w:lang w:val="en-US" w:eastAsia="en-US" w:bidi="ar-SA"/>
      </w:rPr>
    </w:lvl>
    <w:lvl w:ilvl="6" w:tplc="D7DCB89E">
      <w:numFmt w:val="bullet"/>
      <w:lvlText w:val="•"/>
      <w:lvlJc w:val="left"/>
      <w:pPr>
        <w:ind w:left="4612" w:hanging="360"/>
      </w:pPr>
      <w:rPr>
        <w:rFonts w:hint="default"/>
        <w:lang w:val="en-US" w:eastAsia="en-US" w:bidi="ar-SA"/>
      </w:rPr>
    </w:lvl>
    <w:lvl w:ilvl="7" w:tplc="F8602DC2">
      <w:numFmt w:val="bullet"/>
      <w:lvlText w:val="•"/>
      <w:lvlJc w:val="left"/>
      <w:pPr>
        <w:ind w:left="5317" w:hanging="360"/>
      </w:pPr>
      <w:rPr>
        <w:rFonts w:hint="default"/>
        <w:lang w:val="en-US" w:eastAsia="en-US" w:bidi="ar-SA"/>
      </w:rPr>
    </w:lvl>
    <w:lvl w:ilvl="8" w:tplc="E2CE88FE">
      <w:numFmt w:val="bullet"/>
      <w:lvlText w:val="•"/>
      <w:lvlJc w:val="left"/>
      <w:pPr>
        <w:ind w:left="6023" w:hanging="360"/>
      </w:pPr>
      <w:rPr>
        <w:rFonts w:hint="default"/>
        <w:lang w:val="en-US" w:eastAsia="en-US" w:bidi="ar-SA"/>
      </w:rPr>
    </w:lvl>
  </w:abstractNum>
  <w:abstractNum w:abstractNumId="99" w15:restartNumberingAfterBreak="0">
    <w:nsid w:val="63450AA6"/>
    <w:multiLevelType w:val="hybridMultilevel"/>
    <w:tmpl w:val="693225DA"/>
    <w:lvl w:ilvl="0" w:tplc="895E3CBE">
      <w:numFmt w:val="bullet"/>
      <w:lvlText w:val=""/>
      <w:lvlJc w:val="left"/>
      <w:pPr>
        <w:ind w:left="412" w:hanging="285"/>
      </w:pPr>
      <w:rPr>
        <w:rFonts w:ascii="Symbol" w:eastAsia="Symbol" w:hAnsi="Symbol" w:cs="Symbol" w:hint="default"/>
        <w:b w:val="0"/>
        <w:bCs w:val="0"/>
        <w:i w:val="0"/>
        <w:iCs w:val="0"/>
        <w:w w:val="99"/>
        <w:sz w:val="22"/>
        <w:szCs w:val="22"/>
        <w:lang w:val="en-US" w:eastAsia="en-US" w:bidi="ar-SA"/>
      </w:rPr>
    </w:lvl>
    <w:lvl w:ilvl="1" w:tplc="9578B4D4">
      <w:numFmt w:val="bullet"/>
      <w:lvlText w:val="•"/>
      <w:lvlJc w:val="left"/>
      <w:pPr>
        <w:ind w:left="1111" w:hanging="285"/>
      </w:pPr>
      <w:rPr>
        <w:rFonts w:hint="default"/>
        <w:lang w:val="en-US" w:eastAsia="en-US" w:bidi="ar-SA"/>
      </w:rPr>
    </w:lvl>
    <w:lvl w:ilvl="2" w:tplc="C69AB922">
      <w:numFmt w:val="bullet"/>
      <w:lvlText w:val="•"/>
      <w:lvlJc w:val="left"/>
      <w:pPr>
        <w:ind w:left="1803" w:hanging="285"/>
      </w:pPr>
      <w:rPr>
        <w:rFonts w:hint="default"/>
        <w:lang w:val="en-US" w:eastAsia="en-US" w:bidi="ar-SA"/>
      </w:rPr>
    </w:lvl>
    <w:lvl w:ilvl="3" w:tplc="CA68B5BE">
      <w:numFmt w:val="bullet"/>
      <w:lvlText w:val="•"/>
      <w:lvlJc w:val="left"/>
      <w:pPr>
        <w:ind w:left="2494" w:hanging="285"/>
      </w:pPr>
      <w:rPr>
        <w:rFonts w:hint="default"/>
        <w:lang w:val="en-US" w:eastAsia="en-US" w:bidi="ar-SA"/>
      </w:rPr>
    </w:lvl>
    <w:lvl w:ilvl="4" w:tplc="E858F8DA">
      <w:numFmt w:val="bullet"/>
      <w:lvlText w:val="•"/>
      <w:lvlJc w:val="left"/>
      <w:pPr>
        <w:ind w:left="3186" w:hanging="285"/>
      </w:pPr>
      <w:rPr>
        <w:rFonts w:hint="default"/>
        <w:lang w:val="en-US" w:eastAsia="en-US" w:bidi="ar-SA"/>
      </w:rPr>
    </w:lvl>
    <w:lvl w:ilvl="5" w:tplc="7154049E">
      <w:numFmt w:val="bullet"/>
      <w:lvlText w:val="•"/>
      <w:lvlJc w:val="left"/>
      <w:pPr>
        <w:ind w:left="3877" w:hanging="285"/>
      </w:pPr>
      <w:rPr>
        <w:rFonts w:hint="default"/>
        <w:lang w:val="en-US" w:eastAsia="en-US" w:bidi="ar-SA"/>
      </w:rPr>
    </w:lvl>
    <w:lvl w:ilvl="6" w:tplc="7A4EA7CC">
      <w:numFmt w:val="bullet"/>
      <w:lvlText w:val="•"/>
      <w:lvlJc w:val="left"/>
      <w:pPr>
        <w:ind w:left="4569" w:hanging="285"/>
      </w:pPr>
      <w:rPr>
        <w:rFonts w:hint="default"/>
        <w:lang w:val="en-US" w:eastAsia="en-US" w:bidi="ar-SA"/>
      </w:rPr>
    </w:lvl>
    <w:lvl w:ilvl="7" w:tplc="BA107C48">
      <w:numFmt w:val="bullet"/>
      <w:lvlText w:val="•"/>
      <w:lvlJc w:val="left"/>
      <w:pPr>
        <w:ind w:left="5260" w:hanging="285"/>
      </w:pPr>
      <w:rPr>
        <w:rFonts w:hint="default"/>
        <w:lang w:val="en-US" w:eastAsia="en-US" w:bidi="ar-SA"/>
      </w:rPr>
    </w:lvl>
    <w:lvl w:ilvl="8" w:tplc="6FDCD0AA">
      <w:numFmt w:val="bullet"/>
      <w:lvlText w:val="•"/>
      <w:lvlJc w:val="left"/>
      <w:pPr>
        <w:ind w:left="5952" w:hanging="285"/>
      </w:pPr>
      <w:rPr>
        <w:rFonts w:hint="default"/>
        <w:lang w:val="en-US" w:eastAsia="en-US" w:bidi="ar-SA"/>
      </w:rPr>
    </w:lvl>
  </w:abstractNum>
  <w:abstractNum w:abstractNumId="100" w15:restartNumberingAfterBreak="0">
    <w:nsid w:val="638A0310"/>
    <w:multiLevelType w:val="hybridMultilevel"/>
    <w:tmpl w:val="745A146C"/>
    <w:lvl w:ilvl="0" w:tplc="B958E34C">
      <w:numFmt w:val="bullet"/>
      <w:lvlText w:val=""/>
      <w:lvlJc w:val="left"/>
      <w:pPr>
        <w:ind w:left="413" w:hanging="282"/>
      </w:pPr>
      <w:rPr>
        <w:rFonts w:ascii="Symbol" w:eastAsia="Symbol" w:hAnsi="Symbol" w:cs="Symbol" w:hint="default"/>
        <w:b w:val="0"/>
        <w:bCs w:val="0"/>
        <w:i w:val="0"/>
        <w:iCs w:val="0"/>
        <w:w w:val="100"/>
        <w:sz w:val="18"/>
        <w:szCs w:val="18"/>
        <w:lang w:val="en-US" w:eastAsia="en-US" w:bidi="ar-SA"/>
      </w:rPr>
    </w:lvl>
    <w:lvl w:ilvl="1" w:tplc="5790CA76">
      <w:numFmt w:val="bullet"/>
      <w:lvlText w:val="•"/>
      <w:lvlJc w:val="left"/>
      <w:pPr>
        <w:ind w:left="738" w:hanging="282"/>
      </w:pPr>
      <w:rPr>
        <w:rFonts w:hint="default"/>
        <w:lang w:val="en-US" w:eastAsia="en-US" w:bidi="ar-SA"/>
      </w:rPr>
    </w:lvl>
    <w:lvl w:ilvl="2" w:tplc="BCFCC6E0">
      <w:numFmt w:val="bullet"/>
      <w:lvlText w:val="•"/>
      <w:lvlJc w:val="left"/>
      <w:pPr>
        <w:ind w:left="1056" w:hanging="282"/>
      </w:pPr>
      <w:rPr>
        <w:rFonts w:hint="default"/>
        <w:lang w:val="en-US" w:eastAsia="en-US" w:bidi="ar-SA"/>
      </w:rPr>
    </w:lvl>
    <w:lvl w:ilvl="3" w:tplc="1132FCF4">
      <w:numFmt w:val="bullet"/>
      <w:lvlText w:val="•"/>
      <w:lvlJc w:val="left"/>
      <w:pPr>
        <w:ind w:left="1374" w:hanging="282"/>
      </w:pPr>
      <w:rPr>
        <w:rFonts w:hint="default"/>
        <w:lang w:val="en-US" w:eastAsia="en-US" w:bidi="ar-SA"/>
      </w:rPr>
    </w:lvl>
    <w:lvl w:ilvl="4" w:tplc="E6CA849C">
      <w:numFmt w:val="bullet"/>
      <w:lvlText w:val="•"/>
      <w:lvlJc w:val="left"/>
      <w:pPr>
        <w:ind w:left="1693" w:hanging="282"/>
      </w:pPr>
      <w:rPr>
        <w:rFonts w:hint="default"/>
        <w:lang w:val="en-US" w:eastAsia="en-US" w:bidi="ar-SA"/>
      </w:rPr>
    </w:lvl>
    <w:lvl w:ilvl="5" w:tplc="DFAE9A52">
      <w:numFmt w:val="bullet"/>
      <w:lvlText w:val="•"/>
      <w:lvlJc w:val="left"/>
      <w:pPr>
        <w:ind w:left="2011" w:hanging="282"/>
      </w:pPr>
      <w:rPr>
        <w:rFonts w:hint="default"/>
        <w:lang w:val="en-US" w:eastAsia="en-US" w:bidi="ar-SA"/>
      </w:rPr>
    </w:lvl>
    <w:lvl w:ilvl="6" w:tplc="D1149808">
      <w:numFmt w:val="bullet"/>
      <w:lvlText w:val="•"/>
      <w:lvlJc w:val="left"/>
      <w:pPr>
        <w:ind w:left="2329" w:hanging="282"/>
      </w:pPr>
      <w:rPr>
        <w:rFonts w:hint="default"/>
        <w:lang w:val="en-US" w:eastAsia="en-US" w:bidi="ar-SA"/>
      </w:rPr>
    </w:lvl>
    <w:lvl w:ilvl="7" w:tplc="0F661B84">
      <w:numFmt w:val="bullet"/>
      <w:lvlText w:val="•"/>
      <w:lvlJc w:val="left"/>
      <w:pPr>
        <w:ind w:left="2648" w:hanging="282"/>
      </w:pPr>
      <w:rPr>
        <w:rFonts w:hint="default"/>
        <w:lang w:val="en-US" w:eastAsia="en-US" w:bidi="ar-SA"/>
      </w:rPr>
    </w:lvl>
    <w:lvl w:ilvl="8" w:tplc="D6260E8C">
      <w:numFmt w:val="bullet"/>
      <w:lvlText w:val="•"/>
      <w:lvlJc w:val="left"/>
      <w:pPr>
        <w:ind w:left="2966" w:hanging="282"/>
      </w:pPr>
      <w:rPr>
        <w:rFonts w:hint="default"/>
        <w:lang w:val="en-US" w:eastAsia="en-US" w:bidi="ar-SA"/>
      </w:rPr>
    </w:lvl>
  </w:abstractNum>
  <w:abstractNum w:abstractNumId="101" w15:restartNumberingAfterBreak="0">
    <w:nsid w:val="676D0A36"/>
    <w:multiLevelType w:val="multilevel"/>
    <w:tmpl w:val="C3A8A608"/>
    <w:lvl w:ilvl="0">
      <w:start w:val="1"/>
      <w:numFmt w:val="decimal"/>
      <w:lvlText w:val="%1."/>
      <w:lvlJc w:val="left"/>
      <w:pPr>
        <w:ind w:left="721" w:hanging="568"/>
        <w:jc w:val="left"/>
      </w:pPr>
      <w:rPr>
        <w:rFonts w:ascii="Calibri Light" w:eastAsia="Calibri Light" w:hAnsi="Calibri Light" w:cs="Calibri Light" w:hint="default"/>
        <w:b w:val="0"/>
        <w:bCs w:val="0"/>
        <w:i w:val="0"/>
        <w:iCs w:val="0"/>
        <w:color w:val="009BAC"/>
        <w:spacing w:val="-1"/>
        <w:w w:val="100"/>
        <w:sz w:val="24"/>
        <w:szCs w:val="24"/>
        <w:lang w:val="en-US" w:eastAsia="en-US" w:bidi="ar-SA"/>
      </w:rPr>
    </w:lvl>
    <w:lvl w:ilvl="1">
      <w:start w:val="1"/>
      <w:numFmt w:val="decimal"/>
      <w:lvlText w:val="%1.%2"/>
      <w:lvlJc w:val="left"/>
      <w:pPr>
        <w:ind w:left="1288" w:hanging="567"/>
        <w:jc w:val="left"/>
      </w:pPr>
      <w:rPr>
        <w:rFonts w:ascii="Calibri Light" w:eastAsia="Calibri Light" w:hAnsi="Calibri Light" w:cs="Calibri Light" w:hint="default"/>
        <w:b w:val="0"/>
        <w:bCs w:val="0"/>
        <w:i w:val="0"/>
        <w:iCs w:val="0"/>
        <w:w w:val="100"/>
        <w:sz w:val="20"/>
        <w:szCs w:val="20"/>
        <w:lang w:val="en-US" w:eastAsia="en-US" w:bidi="ar-SA"/>
      </w:rPr>
    </w:lvl>
    <w:lvl w:ilvl="2">
      <w:start w:val="1"/>
      <w:numFmt w:val="decimal"/>
      <w:lvlText w:val="%1.%2.%3"/>
      <w:lvlJc w:val="left"/>
      <w:pPr>
        <w:ind w:left="1968" w:hanging="681"/>
        <w:jc w:val="left"/>
      </w:pPr>
      <w:rPr>
        <w:rFonts w:ascii="Calibri Light" w:eastAsia="Calibri Light" w:hAnsi="Calibri Light" w:cs="Calibri Light" w:hint="default"/>
        <w:b w:val="0"/>
        <w:bCs w:val="0"/>
        <w:i w:val="0"/>
        <w:iCs w:val="0"/>
        <w:spacing w:val="-1"/>
        <w:w w:val="100"/>
        <w:sz w:val="20"/>
        <w:szCs w:val="20"/>
        <w:lang w:val="en-US" w:eastAsia="en-US" w:bidi="ar-SA"/>
      </w:rPr>
    </w:lvl>
    <w:lvl w:ilvl="3">
      <w:numFmt w:val="bullet"/>
      <w:lvlText w:val="•"/>
      <w:lvlJc w:val="left"/>
      <w:pPr>
        <w:ind w:left="2988" w:hanging="681"/>
      </w:pPr>
      <w:rPr>
        <w:rFonts w:hint="default"/>
        <w:lang w:val="en-US" w:eastAsia="en-US" w:bidi="ar-SA"/>
      </w:rPr>
    </w:lvl>
    <w:lvl w:ilvl="4">
      <w:numFmt w:val="bullet"/>
      <w:lvlText w:val="•"/>
      <w:lvlJc w:val="left"/>
      <w:pPr>
        <w:ind w:left="4016" w:hanging="681"/>
      </w:pPr>
      <w:rPr>
        <w:rFonts w:hint="default"/>
        <w:lang w:val="en-US" w:eastAsia="en-US" w:bidi="ar-SA"/>
      </w:rPr>
    </w:lvl>
    <w:lvl w:ilvl="5">
      <w:numFmt w:val="bullet"/>
      <w:lvlText w:val="•"/>
      <w:lvlJc w:val="left"/>
      <w:pPr>
        <w:ind w:left="5044" w:hanging="681"/>
      </w:pPr>
      <w:rPr>
        <w:rFonts w:hint="default"/>
        <w:lang w:val="en-US" w:eastAsia="en-US" w:bidi="ar-SA"/>
      </w:rPr>
    </w:lvl>
    <w:lvl w:ilvl="6">
      <w:numFmt w:val="bullet"/>
      <w:lvlText w:val="•"/>
      <w:lvlJc w:val="left"/>
      <w:pPr>
        <w:ind w:left="6072" w:hanging="681"/>
      </w:pPr>
      <w:rPr>
        <w:rFonts w:hint="default"/>
        <w:lang w:val="en-US" w:eastAsia="en-US" w:bidi="ar-SA"/>
      </w:rPr>
    </w:lvl>
    <w:lvl w:ilvl="7">
      <w:numFmt w:val="bullet"/>
      <w:lvlText w:val="•"/>
      <w:lvlJc w:val="left"/>
      <w:pPr>
        <w:ind w:left="7100" w:hanging="681"/>
      </w:pPr>
      <w:rPr>
        <w:rFonts w:hint="default"/>
        <w:lang w:val="en-US" w:eastAsia="en-US" w:bidi="ar-SA"/>
      </w:rPr>
    </w:lvl>
    <w:lvl w:ilvl="8">
      <w:numFmt w:val="bullet"/>
      <w:lvlText w:val="•"/>
      <w:lvlJc w:val="left"/>
      <w:pPr>
        <w:ind w:left="8128" w:hanging="681"/>
      </w:pPr>
      <w:rPr>
        <w:rFonts w:hint="default"/>
        <w:lang w:val="en-US" w:eastAsia="en-US" w:bidi="ar-SA"/>
      </w:rPr>
    </w:lvl>
  </w:abstractNum>
  <w:abstractNum w:abstractNumId="102" w15:restartNumberingAfterBreak="0">
    <w:nsid w:val="67A60918"/>
    <w:multiLevelType w:val="hybridMultilevel"/>
    <w:tmpl w:val="14E624C0"/>
    <w:lvl w:ilvl="0" w:tplc="51B88268">
      <w:numFmt w:val="bullet"/>
      <w:lvlText w:val=""/>
      <w:lvlJc w:val="left"/>
      <w:pPr>
        <w:ind w:left="448" w:hanging="360"/>
      </w:pPr>
      <w:rPr>
        <w:rFonts w:ascii="Symbol" w:eastAsia="Symbol" w:hAnsi="Symbol" w:cs="Symbol" w:hint="default"/>
        <w:b w:val="0"/>
        <w:bCs w:val="0"/>
        <w:i w:val="0"/>
        <w:iCs w:val="0"/>
        <w:w w:val="100"/>
        <w:sz w:val="18"/>
        <w:szCs w:val="18"/>
        <w:lang w:val="en-US" w:eastAsia="en-US" w:bidi="ar-SA"/>
      </w:rPr>
    </w:lvl>
    <w:lvl w:ilvl="1" w:tplc="549C730C">
      <w:numFmt w:val="bullet"/>
      <w:lvlText w:val="•"/>
      <w:lvlJc w:val="left"/>
      <w:pPr>
        <w:ind w:left="622" w:hanging="360"/>
      </w:pPr>
      <w:rPr>
        <w:rFonts w:hint="default"/>
        <w:lang w:val="en-US" w:eastAsia="en-US" w:bidi="ar-SA"/>
      </w:rPr>
    </w:lvl>
    <w:lvl w:ilvl="2" w:tplc="F1862986">
      <w:numFmt w:val="bullet"/>
      <w:lvlText w:val="•"/>
      <w:lvlJc w:val="left"/>
      <w:pPr>
        <w:ind w:left="805" w:hanging="360"/>
      </w:pPr>
      <w:rPr>
        <w:rFonts w:hint="default"/>
        <w:lang w:val="en-US" w:eastAsia="en-US" w:bidi="ar-SA"/>
      </w:rPr>
    </w:lvl>
    <w:lvl w:ilvl="3" w:tplc="4C2A6AE8">
      <w:numFmt w:val="bullet"/>
      <w:lvlText w:val="•"/>
      <w:lvlJc w:val="left"/>
      <w:pPr>
        <w:ind w:left="988" w:hanging="360"/>
      </w:pPr>
      <w:rPr>
        <w:rFonts w:hint="default"/>
        <w:lang w:val="en-US" w:eastAsia="en-US" w:bidi="ar-SA"/>
      </w:rPr>
    </w:lvl>
    <w:lvl w:ilvl="4" w:tplc="E2349EC4">
      <w:numFmt w:val="bullet"/>
      <w:lvlText w:val="•"/>
      <w:lvlJc w:val="left"/>
      <w:pPr>
        <w:ind w:left="1170" w:hanging="360"/>
      </w:pPr>
      <w:rPr>
        <w:rFonts w:hint="default"/>
        <w:lang w:val="en-US" w:eastAsia="en-US" w:bidi="ar-SA"/>
      </w:rPr>
    </w:lvl>
    <w:lvl w:ilvl="5" w:tplc="6E7E5D2A">
      <w:numFmt w:val="bullet"/>
      <w:lvlText w:val="•"/>
      <w:lvlJc w:val="left"/>
      <w:pPr>
        <w:ind w:left="1353" w:hanging="360"/>
      </w:pPr>
      <w:rPr>
        <w:rFonts w:hint="default"/>
        <w:lang w:val="en-US" w:eastAsia="en-US" w:bidi="ar-SA"/>
      </w:rPr>
    </w:lvl>
    <w:lvl w:ilvl="6" w:tplc="AA924826">
      <w:numFmt w:val="bullet"/>
      <w:lvlText w:val="•"/>
      <w:lvlJc w:val="left"/>
      <w:pPr>
        <w:ind w:left="1536" w:hanging="360"/>
      </w:pPr>
      <w:rPr>
        <w:rFonts w:hint="default"/>
        <w:lang w:val="en-US" w:eastAsia="en-US" w:bidi="ar-SA"/>
      </w:rPr>
    </w:lvl>
    <w:lvl w:ilvl="7" w:tplc="482AD3EA">
      <w:numFmt w:val="bullet"/>
      <w:lvlText w:val="•"/>
      <w:lvlJc w:val="left"/>
      <w:pPr>
        <w:ind w:left="1718" w:hanging="360"/>
      </w:pPr>
      <w:rPr>
        <w:rFonts w:hint="default"/>
        <w:lang w:val="en-US" w:eastAsia="en-US" w:bidi="ar-SA"/>
      </w:rPr>
    </w:lvl>
    <w:lvl w:ilvl="8" w:tplc="75604F8E">
      <w:numFmt w:val="bullet"/>
      <w:lvlText w:val="•"/>
      <w:lvlJc w:val="left"/>
      <w:pPr>
        <w:ind w:left="1901" w:hanging="360"/>
      </w:pPr>
      <w:rPr>
        <w:rFonts w:hint="default"/>
        <w:lang w:val="en-US" w:eastAsia="en-US" w:bidi="ar-SA"/>
      </w:rPr>
    </w:lvl>
  </w:abstractNum>
  <w:abstractNum w:abstractNumId="103" w15:restartNumberingAfterBreak="0">
    <w:nsid w:val="67A85819"/>
    <w:multiLevelType w:val="hybridMultilevel"/>
    <w:tmpl w:val="EBB625F0"/>
    <w:lvl w:ilvl="0" w:tplc="DDF210A6">
      <w:numFmt w:val="bullet"/>
      <w:lvlText w:val=""/>
      <w:lvlJc w:val="left"/>
      <w:pPr>
        <w:ind w:left="526" w:hanging="436"/>
      </w:pPr>
      <w:rPr>
        <w:rFonts w:ascii="Symbol" w:eastAsia="Symbol" w:hAnsi="Symbol" w:cs="Symbol" w:hint="default"/>
        <w:b w:val="0"/>
        <w:bCs w:val="0"/>
        <w:i w:val="0"/>
        <w:iCs w:val="0"/>
        <w:w w:val="99"/>
        <w:sz w:val="22"/>
        <w:szCs w:val="22"/>
        <w:lang w:val="en-US" w:eastAsia="en-US" w:bidi="ar-SA"/>
      </w:rPr>
    </w:lvl>
    <w:lvl w:ilvl="1" w:tplc="F64097F8">
      <w:numFmt w:val="bullet"/>
      <w:lvlText w:val="•"/>
      <w:lvlJc w:val="left"/>
      <w:pPr>
        <w:ind w:left="1201" w:hanging="436"/>
      </w:pPr>
      <w:rPr>
        <w:rFonts w:hint="default"/>
        <w:lang w:val="en-US" w:eastAsia="en-US" w:bidi="ar-SA"/>
      </w:rPr>
    </w:lvl>
    <w:lvl w:ilvl="2" w:tplc="A2D419B8">
      <w:numFmt w:val="bullet"/>
      <w:lvlText w:val="•"/>
      <w:lvlJc w:val="left"/>
      <w:pPr>
        <w:ind w:left="1883" w:hanging="436"/>
      </w:pPr>
      <w:rPr>
        <w:rFonts w:hint="default"/>
        <w:lang w:val="en-US" w:eastAsia="en-US" w:bidi="ar-SA"/>
      </w:rPr>
    </w:lvl>
    <w:lvl w:ilvl="3" w:tplc="16D8DEBE">
      <w:numFmt w:val="bullet"/>
      <w:lvlText w:val="•"/>
      <w:lvlJc w:val="left"/>
      <w:pPr>
        <w:ind w:left="2564" w:hanging="436"/>
      </w:pPr>
      <w:rPr>
        <w:rFonts w:hint="default"/>
        <w:lang w:val="en-US" w:eastAsia="en-US" w:bidi="ar-SA"/>
      </w:rPr>
    </w:lvl>
    <w:lvl w:ilvl="4" w:tplc="B3207594">
      <w:numFmt w:val="bullet"/>
      <w:lvlText w:val="•"/>
      <w:lvlJc w:val="left"/>
      <w:pPr>
        <w:ind w:left="3246" w:hanging="436"/>
      </w:pPr>
      <w:rPr>
        <w:rFonts w:hint="default"/>
        <w:lang w:val="en-US" w:eastAsia="en-US" w:bidi="ar-SA"/>
      </w:rPr>
    </w:lvl>
    <w:lvl w:ilvl="5" w:tplc="0A5E12CE">
      <w:numFmt w:val="bullet"/>
      <w:lvlText w:val="•"/>
      <w:lvlJc w:val="left"/>
      <w:pPr>
        <w:ind w:left="3927" w:hanging="436"/>
      </w:pPr>
      <w:rPr>
        <w:rFonts w:hint="default"/>
        <w:lang w:val="en-US" w:eastAsia="en-US" w:bidi="ar-SA"/>
      </w:rPr>
    </w:lvl>
    <w:lvl w:ilvl="6" w:tplc="CFE0607E">
      <w:numFmt w:val="bullet"/>
      <w:lvlText w:val="•"/>
      <w:lvlJc w:val="left"/>
      <w:pPr>
        <w:ind w:left="4609" w:hanging="436"/>
      </w:pPr>
      <w:rPr>
        <w:rFonts w:hint="default"/>
        <w:lang w:val="en-US" w:eastAsia="en-US" w:bidi="ar-SA"/>
      </w:rPr>
    </w:lvl>
    <w:lvl w:ilvl="7" w:tplc="490E334C">
      <w:numFmt w:val="bullet"/>
      <w:lvlText w:val="•"/>
      <w:lvlJc w:val="left"/>
      <w:pPr>
        <w:ind w:left="5290" w:hanging="436"/>
      </w:pPr>
      <w:rPr>
        <w:rFonts w:hint="default"/>
        <w:lang w:val="en-US" w:eastAsia="en-US" w:bidi="ar-SA"/>
      </w:rPr>
    </w:lvl>
    <w:lvl w:ilvl="8" w:tplc="5C9EAF40">
      <w:numFmt w:val="bullet"/>
      <w:lvlText w:val="•"/>
      <w:lvlJc w:val="left"/>
      <w:pPr>
        <w:ind w:left="5972" w:hanging="436"/>
      </w:pPr>
      <w:rPr>
        <w:rFonts w:hint="default"/>
        <w:lang w:val="en-US" w:eastAsia="en-US" w:bidi="ar-SA"/>
      </w:rPr>
    </w:lvl>
  </w:abstractNum>
  <w:abstractNum w:abstractNumId="104" w15:restartNumberingAfterBreak="0">
    <w:nsid w:val="68376010"/>
    <w:multiLevelType w:val="hybridMultilevel"/>
    <w:tmpl w:val="0ED43504"/>
    <w:lvl w:ilvl="0" w:tplc="506A86CC">
      <w:numFmt w:val="bullet"/>
      <w:lvlText w:val=""/>
      <w:lvlJc w:val="left"/>
      <w:pPr>
        <w:ind w:left="427" w:hanging="284"/>
      </w:pPr>
      <w:rPr>
        <w:rFonts w:ascii="Symbol" w:eastAsia="Symbol" w:hAnsi="Symbol" w:cs="Symbol" w:hint="default"/>
        <w:b w:val="0"/>
        <w:bCs w:val="0"/>
        <w:i w:val="0"/>
        <w:iCs w:val="0"/>
        <w:w w:val="100"/>
        <w:sz w:val="18"/>
        <w:szCs w:val="18"/>
        <w:lang w:val="en-US" w:eastAsia="en-US" w:bidi="ar-SA"/>
      </w:rPr>
    </w:lvl>
    <w:lvl w:ilvl="1" w:tplc="B622D21E">
      <w:numFmt w:val="bullet"/>
      <w:lvlText w:val="•"/>
      <w:lvlJc w:val="left"/>
      <w:pPr>
        <w:ind w:left="831" w:hanging="284"/>
      </w:pPr>
      <w:rPr>
        <w:rFonts w:hint="default"/>
        <w:lang w:val="en-US" w:eastAsia="en-US" w:bidi="ar-SA"/>
      </w:rPr>
    </w:lvl>
    <w:lvl w:ilvl="2" w:tplc="7A4AE8CE">
      <w:numFmt w:val="bullet"/>
      <w:lvlText w:val="•"/>
      <w:lvlJc w:val="left"/>
      <w:pPr>
        <w:ind w:left="1242" w:hanging="284"/>
      </w:pPr>
      <w:rPr>
        <w:rFonts w:hint="default"/>
        <w:lang w:val="en-US" w:eastAsia="en-US" w:bidi="ar-SA"/>
      </w:rPr>
    </w:lvl>
    <w:lvl w:ilvl="3" w:tplc="B4C8DC2A">
      <w:numFmt w:val="bullet"/>
      <w:lvlText w:val="•"/>
      <w:lvlJc w:val="left"/>
      <w:pPr>
        <w:ind w:left="1653" w:hanging="284"/>
      </w:pPr>
      <w:rPr>
        <w:rFonts w:hint="default"/>
        <w:lang w:val="en-US" w:eastAsia="en-US" w:bidi="ar-SA"/>
      </w:rPr>
    </w:lvl>
    <w:lvl w:ilvl="4" w:tplc="F33CD30E">
      <w:numFmt w:val="bullet"/>
      <w:lvlText w:val="•"/>
      <w:lvlJc w:val="left"/>
      <w:pPr>
        <w:ind w:left="2064" w:hanging="284"/>
      </w:pPr>
      <w:rPr>
        <w:rFonts w:hint="default"/>
        <w:lang w:val="en-US" w:eastAsia="en-US" w:bidi="ar-SA"/>
      </w:rPr>
    </w:lvl>
    <w:lvl w:ilvl="5" w:tplc="70E46EA6">
      <w:numFmt w:val="bullet"/>
      <w:lvlText w:val="•"/>
      <w:lvlJc w:val="left"/>
      <w:pPr>
        <w:ind w:left="2475" w:hanging="284"/>
      </w:pPr>
      <w:rPr>
        <w:rFonts w:hint="default"/>
        <w:lang w:val="en-US" w:eastAsia="en-US" w:bidi="ar-SA"/>
      </w:rPr>
    </w:lvl>
    <w:lvl w:ilvl="6" w:tplc="5AD281B0">
      <w:numFmt w:val="bullet"/>
      <w:lvlText w:val="•"/>
      <w:lvlJc w:val="left"/>
      <w:pPr>
        <w:ind w:left="2886" w:hanging="284"/>
      </w:pPr>
      <w:rPr>
        <w:rFonts w:hint="default"/>
        <w:lang w:val="en-US" w:eastAsia="en-US" w:bidi="ar-SA"/>
      </w:rPr>
    </w:lvl>
    <w:lvl w:ilvl="7" w:tplc="B0508FE6">
      <w:numFmt w:val="bullet"/>
      <w:lvlText w:val="•"/>
      <w:lvlJc w:val="left"/>
      <w:pPr>
        <w:ind w:left="3297" w:hanging="284"/>
      </w:pPr>
      <w:rPr>
        <w:rFonts w:hint="default"/>
        <w:lang w:val="en-US" w:eastAsia="en-US" w:bidi="ar-SA"/>
      </w:rPr>
    </w:lvl>
    <w:lvl w:ilvl="8" w:tplc="D53E3A00">
      <w:numFmt w:val="bullet"/>
      <w:lvlText w:val="•"/>
      <w:lvlJc w:val="left"/>
      <w:pPr>
        <w:ind w:left="3708" w:hanging="284"/>
      </w:pPr>
      <w:rPr>
        <w:rFonts w:hint="default"/>
        <w:lang w:val="en-US" w:eastAsia="en-US" w:bidi="ar-SA"/>
      </w:rPr>
    </w:lvl>
  </w:abstractNum>
  <w:abstractNum w:abstractNumId="105" w15:restartNumberingAfterBreak="0">
    <w:nsid w:val="6AEC3D81"/>
    <w:multiLevelType w:val="hybridMultilevel"/>
    <w:tmpl w:val="6C46199A"/>
    <w:lvl w:ilvl="0" w:tplc="71E0274A">
      <w:numFmt w:val="bullet"/>
      <w:lvlText w:val=""/>
      <w:lvlJc w:val="left"/>
      <w:pPr>
        <w:ind w:left="834" w:hanging="360"/>
      </w:pPr>
      <w:rPr>
        <w:rFonts w:ascii="Symbol" w:eastAsia="Symbol" w:hAnsi="Symbol" w:cs="Symbol" w:hint="default"/>
        <w:b w:val="0"/>
        <w:bCs w:val="0"/>
        <w:i w:val="0"/>
        <w:iCs w:val="0"/>
        <w:w w:val="99"/>
        <w:sz w:val="22"/>
        <w:szCs w:val="22"/>
        <w:lang w:val="en-US" w:eastAsia="en-US" w:bidi="ar-SA"/>
      </w:rPr>
    </w:lvl>
    <w:lvl w:ilvl="1" w:tplc="A61AC1C4">
      <w:numFmt w:val="bullet"/>
      <w:lvlText w:val="•"/>
      <w:lvlJc w:val="left"/>
      <w:pPr>
        <w:ind w:left="1840" w:hanging="360"/>
      </w:pPr>
      <w:rPr>
        <w:rFonts w:hint="default"/>
        <w:lang w:val="en-US" w:eastAsia="en-US" w:bidi="ar-SA"/>
      </w:rPr>
    </w:lvl>
    <w:lvl w:ilvl="2" w:tplc="182EE686">
      <w:numFmt w:val="bullet"/>
      <w:lvlText w:val="•"/>
      <w:lvlJc w:val="left"/>
      <w:pPr>
        <w:ind w:left="2840" w:hanging="360"/>
      </w:pPr>
      <w:rPr>
        <w:rFonts w:hint="default"/>
        <w:lang w:val="en-US" w:eastAsia="en-US" w:bidi="ar-SA"/>
      </w:rPr>
    </w:lvl>
    <w:lvl w:ilvl="3" w:tplc="341C726A">
      <w:numFmt w:val="bullet"/>
      <w:lvlText w:val="•"/>
      <w:lvlJc w:val="left"/>
      <w:pPr>
        <w:ind w:left="3841" w:hanging="360"/>
      </w:pPr>
      <w:rPr>
        <w:rFonts w:hint="default"/>
        <w:lang w:val="en-US" w:eastAsia="en-US" w:bidi="ar-SA"/>
      </w:rPr>
    </w:lvl>
    <w:lvl w:ilvl="4" w:tplc="B228507C">
      <w:numFmt w:val="bullet"/>
      <w:lvlText w:val="•"/>
      <w:lvlJc w:val="left"/>
      <w:pPr>
        <w:ind w:left="4841" w:hanging="360"/>
      </w:pPr>
      <w:rPr>
        <w:rFonts w:hint="default"/>
        <w:lang w:val="en-US" w:eastAsia="en-US" w:bidi="ar-SA"/>
      </w:rPr>
    </w:lvl>
    <w:lvl w:ilvl="5" w:tplc="02FAA34E">
      <w:numFmt w:val="bullet"/>
      <w:lvlText w:val="•"/>
      <w:lvlJc w:val="left"/>
      <w:pPr>
        <w:ind w:left="5842" w:hanging="360"/>
      </w:pPr>
      <w:rPr>
        <w:rFonts w:hint="default"/>
        <w:lang w:val="en-US" w:eastAsia="en-US" w:bidi="ar-SA"/>
      </w:rPr>
    </w:lvl>
    <w:lvl w:ilvl="6" w:tplc="5762C142">
      <w:numFmt w:val="bullet"/>
      <w:lvlText w:val="•"/>
      <w:lvlJc w:val="left"/>
      <w:pPr>
        <w:ind w:left="6842" w:hanging="360"/>
      </w:pPr>
      <w:rPr>
        <w:rFonts w:hint="default"/>
        <w:lang w:val="en-US" w:eastAsia="en-US" w:bidi="ar-SA"/>
      </w:rPr>
    </w:lvl>
    <w:lvl w:ilvl="7" w:tplc="7A101A8A">
      <w:numFmt w:val="bullet"/>
      <w:lvlText w:val="•"/>
      <w:lvlJc w:val="left"/>
      <w:pPr>
        <w:ind w:left="7843" w:hanging="360"/>
      </w:pPr>
      <w:rPr>
        <w:rFonts w:hint="default"/>
        <w:lang w:val="en-US" w:eastAsia="en-US" w:bidi="ar-SA"/>
      </w:rPr>
    </w:lvl>
    <w:lvl w:ilvl="8" w:tplc="76D8C868">
      <w:numFmt w:val="bullet"/>
      <w:lvlText w:val="•"/>
      <w:lvlJc w:val="left"/>
      <w:pPr>
        <w:ind w:left="8843" w:hanging="360"/>
      </w:pPr>
      <w:rPr>
        <w:rFonts w:hint="default"/>
        <w:lang w:val="en-US" w:eastAsia="en-US" w:bidi="ar-SA"/>
      </w:rPr>
    </w:lvl>
  </w:abstractNum>
  <w:abstractNum w:abstractNumId="106" w15:restartNumberingAfterBreak="0">
    <w:nsid w:val="6B06239A"/>
    <w:multiLevelType w:val="hybridMultilevel"/>
    <w:tmpl w:val="EAC2B842"/>
    <w:lvl w:ilvl="0" w:tplc="5F78F06E">
      <w:numFmt w:val="bullet"/>
      <w:lvlText w:val=""/>
      <w:lvlJc w:val="left"/>
      <w:pPr>
        <w:ind w:left="412" w:hanging="358"/>
      </w:pPr>
      <w:rPr>
        <w:rFonts w:ascii="Symbol" w:eastAsia="Symbol" w:hAnsi="Symbol" w:cs="Symbol" w:hint="default"/>
        <w:b w:val="0"/>
        <w:bCs w:val="0"/>
        <w:i w:val="0"/>
        <w:iCs w:val="0"/>
        <w:w w:val="100"/>
        <w:sz w:val="18"/>
        <w:szCs w:val="18"/>
        <w:lang w:val="en-US" w:eastAsia="en-US" w:bidi="ar-SA"/>
      </w:rPr>
    </w:lvl>
    <w:lvl w:ilvl="1" w:tplc="727C8412">
      <w:numFmt w:val="bullet"/>
      <w:lvlText w:val="•"/>
      <w:lvlJc w:val="left"/>
      <w:pPr>
        <w:ind w:left="1121" w:hanging="358"/>
      </w:pPr>
      <w:rPr>
        <w:rFonts w:hint="default"/>
        <w:lang w:val="en-US" w:eastAsia="en-US" w:bidi="ar-SA"/>
      </w:rPr>
    </w:lvl>
    <w:lvl w:ilvl="2" w:tplc="1CF4124E">
      <w:numFmt w:val="bullet"/>
      <w:lvlText w:val="•"/>
      <w:lvlJc w:val="left"/>
      <w:pPr>
        <w:ind w:left="1822" w:hanging="358"/>
      </w:pPr>
      <w:rPr>
        <w:rFonts w:hint="default"/>
        <w:lang w:val="en-US" w:eastAsia="en-US" w:bidi="ar-SA"/>
      </w:rPr>
    </w:lvl>
    <w:lvl w:ilvl="3" w:tplc="8DEC1410">
      <w:numFmt w:val="bullet"/>
      <w:lvlText w:val="•"/>
      <w:lvlJc w:val="left"/>
      <w:pPr>
        <w:ind w:left="2524" w:hanging="358"/>
      </w:pPr>
      <w:rPr>
        <w:rFonts w:hint="default"/>
        <w:lang w:val="en-US" w:eastAsia="en-US" w:bidi="ar-SA"/>
      </w:rPr>
    </w:lvl>
    <w:lvl w:ilvl="4" w:tplc="17DC98C0">
      <w:numFmt w:val="bullet"/>
      <w:lvlText w:val="•"/>
      <w:lvlJc w:val="left"/>
      <w:pPr>
        <w:ind w:left="3225" w:hanging="358"/>
      </w:pPr>
      <w:rPr>
        <w:rFonts w:hint="default"/>
        <w:lang w:val="en-US" w:eastAsia="en-US" w:bidi="ar-SA"/>
      </w:rPr>
    </w:lvl>
    <w:lvl w:ilvl="5" w:tplc="6FCECE64">
      <w:numFmt w:val="bullet"/>
      <w:lvlText w:val="•"/>
      <w:lvlJc w:val="left"/>
      <w:pPr>
        <w:ind w:left="3927" w:hanging="358"/>
      </w:pPr>
      <w:rPr>
        <w:rFonts w:hint="default"/>
        <w:lang w:val="en-US" w:eastAsia="en-US" w:bidi="ar-SA"/>
      </w:rPr>
    </w:lvl>
    <w:lvl w:ilvl="6" w:tplc="6044A1A8">
      <w:numFmt w:val="bullet"/>
      <w:lvlText w:val="•"/>
      <w:lvlJc w:val="left"/>
      <w:pPr>
        <w:ind w:left="4628" w:hanging="358"/>
      </w:pPr>
      <w:rPr>
        <w:rFonts w:hint="default"/>
        <w:lang w:val="en-US" w:eastAsia="en-US" w:bidi="ar-SA"/>
      </w:rPr>
    </w:lvl>
    <w:lvl w:ilvl="7" w:tplc="32E2968E">
      <w:numFmt w:val="bullet"/>
      <w:lvlText w:val="•"/>
      <w:lvlJc w:val="left"/>
      <w:pPr>
        <w:ind w:left="5329" w:hanging="358"/>
      </w:pPr>
      <w:rPr>
        <w:rFonts w:hint="default"/>
        <w:lang w:val="en-US" w:eastAsia="en-US" w:bidi="ar-SA"/>
      </w:rPr>
    </w:lvl>
    <w:lvl w:ilvl="8" w:tplc="6F5EC408">
      <w:numFmt w:val="bullet"/>
      <w:lvlText w:val="•"/>
      <w:lvlJc w:val="left"/>
      <w:pPr>
        <w:ind w:left="6031" w:hanging="358"/>
      </w:pPr>
      <w:rPr>
        <w:rFonts w:hint="default"/>
        <w:lang w:val="en-US" w:eastAsia="en-US" w:bidi="ar-SA"/>
      </w:rPr>
    </w:lvl>
  </w:abstractNum>
  <w:abstractNum w:abstractNumId="107" w15:restartNumberingAfterBreak="0">
    <w:nsid w:val="6CCF1E38"/>
    <w:multiLevelType w:val="hybridMultilevel"/>
    <w:tmpl w:val="E4B210A2"/>
    <w:lvl w:ilvl="0" w:tplc="6EC4B990">
      <w:numFmt w:val="bullet"/>
      <w:lvlText w:val=""/>
      <w:lvlJc w:val="left"/>
      <w:pPr>
        <w:ind w:left="413" w:hanging="282"/>
      </w:pPr>
      <w:rPr>
        <w:rFonts w:ascii="Symbol" w:eastAsia="Symbol" w:hAnsi="Symbol" w:cs="Symbol" w:hint="default"/>
        <w:b w:val="0"/>
        <w:bCs w:val="0"/>
        <w:i w:val="0"/>
        <w:iCs w:val="0"/>
        <w:w w:val="100"/>
        <w:sz w:val="18"/>
        <w:szCs w:val="18"/>
        <w:lang w:val="en-US" w:eastAsia="en-US" w:bidi="ar-SA"/>
      </w:rPr>
    </w:lvl>
    <w:lvl w:ilvl="1" w:tplc="6FC2EF5E">
      <w:numFmt w:val="bullet"/>
      <w:lvlText w:val="•"/>
      <w:lvlJc w:val="left"/>
      <w:pPr>
        <w:ind w:left="738" w:hanging="282"/>
      </w:pPr>
      <w:rPr>
        <w:rFonts w:hint="default"/>
        <w:lang w:val="en-US" w:eastAsia="en-US" w:bidi="ar-SA"/>
      </w:rPr>
    </w:lvl>
    <w:lvl w:ilvl="2" w:tplc="9F003792">
      <w:numFmt w:val="bullet"/>
      <w:lvlText w:val="•"/>
      <w:lvlJc w:val="left"/>
      <w:pPr>
        <w:ind w:left="1056" w:hanging="282"/>
      </w:pPr>
      <w:rPr>
        <w:rFonts w:hint="default"/>
        <w:lang w:val="en-US" w:eastAsia="en-US" w:bidi="ar-SA"/>
      </w:rPr>
    </w:lvl>
    <w:lvl w:ilvl="3" w:tplc="23FA6FAA">
      <w:numFmt w:val="bullet"/>
      <w:lvlText w:val="•"/>
      <w:lvlJc w:val="left"/>
      <w:pPr>
        <w:ind w:left="1374" w:hanging="282"/>
      </w:pPr>
      <w:rPr>
        <w:rFonts w:hint="default"/>
        <w:lang w:val="en-US" w:eastAsia="en-US" w:bidi="ar-SA"/>
      </w:rPr>
    </w:lvl>
    <w:lvl w:ilvl="4" w:tplc="2B3E355E">
      <w:numFmt w:val="bullet"/>
      <w:lvlText w:val="•"/>
      <w:lvlJc w:val="left"/>
      <w:pPr>
        <w:ind w:left="1693" w:hanging="282"/>
      </w:pPr>
      <w:rPr>
        <w:rFonts w:hint="default"/>
        <w:lang w:val="en-US" w:eastAsia="en-US" w:bidi="ar-SA"/>
      </w:rPr>
    </w:lvl>
    <w:lvl w:ilvl="5" w:tplc="CCD6C2C4">
      <w:numFmt w:val="bullet"/>
      <w:lvlText w:val="•"/>
      <w:lvlJc w:val="left"/>
      <w:pPr>
        <w:ind w:left="2011" w:hanging="282"/>
      </w:pPr>
      <w:rPr>
        <w:rFonts w:hint="default"/>
        <w:lang w:val="en-US" w:eastAsia="en-US" w:bidi="ar-SA"/>
      </w:rPr>
    </w:lvl>
    <w:lvl w:ilvl="6" w:tplc="93C2FF5E">
      <w:numFmt w:val="bullet"/>
      <w:lvlText w:val="•"/>
      <w:lvlJc w:val="left"/>
      <w:pPr>
        <w:ind w:left="2329" w:hanging="282"/>
      </w:pPr>
      <w:rPr>
        <w:rFonts w:hint="default"/>
        <w:lang w:val="en-US" w:eastAsia="en-US" w:bidi="ar-SA"/>
      </w:rPr>
    </w:lvl>
    <w:lvl w:ilvl="7" w:tplc="48E03CB0">
      <w:numFmt w:val="bullet"/>
      <w:lvlText w:val="•"/>
      <w:lvlJc w:val="left"/>
      <w:pPr>
        <w:ind w:left="2648" w:hanging="282"/>
      </w:pPr>
      <w:rPr>
        <w:rFonts w:hint="default"/>
        <w:lang w:val="en-US" w:eastAsia="en-US" w:bidi="ar-SA"/>
      </w:rPr>
    </w:lvl>
    <w:lvl w:ilvl="8" w:tplc="A5CAE576">
      <w:numFmt w:val="bullet"/>
      <w:lvlText w:val="•"/>
      <w:lvlJc w:val="left"/>
      <w:pPr>
        <w:ind w:left="2966" w:hanging="282"/>
      </w:pPr>
      <w:rPr>
        <w:rFonts w:hint="default"/>
        <w:lang w:val="en-US" w:eastAsia="en-US" w:bidi="ar-SA"/>
      </w:rPr>
    </w:lvl>
  </w:abstractNum>
  <w:abstractNum w:abstractNumId="108" w15:restartNumberingAfterBreak="0">
    <w:nsid w:val="6F1C5EFD"/>
    <w:multiLevelType w:val="hybridMultilevel"/>
    <w:tmpl w:val="A08C8BCC"/>
    <w:lvl w:ilvl="0" w:tplc="73DC2F88">
      <w:numFmt w:val="bullet"/>
      <w:lvlText w:val=""/>
      <w:lvlJc w:val="left"/>
      <w:pPr>
        <w:ind w:left="375" w:hanging="360"/>
      </w:pPr>
      <w:rPr>
        <w:rFonts w:ascii="Symbol" w:eastAsia="Symbol" w:hAnsi="Symbol" w:cs="Symbol" w:hint="default"/>
        <w:b w:val="0"/>
        <w:bCs w:val="0"/>
        <w:i w:val="0"/>
        <w:iCs w:val="0"/>
        <w:w w:val="100"/>
        <w:sz w:val="18"/>
        <w:szCs w:val="18"/>
        <w:lang w:val="en-US" w:eastAsia="en-US" w:bidi="ar-SA"/>
      </w:rPr>
    </w:lvl>
    <w:lvl w:ilvl="1" w:tplc="F5F2DFA6">
      <w:numFmt w:val="bullet"/>
      <w:lvlText w:val="•"/>
      <w:lvlJc w:val="left"/>
      <w:pPr>
        <w:ind w:left="1085" w:hanging="360"/>
      </w:pPr>
      <w:rPr>
        <w:rFonts w:hint="default"/>
        <w:lang w:val="en-US" w:eastAsia="en-US" w:bidi="ar-SA"/>
      </w:rPr>
    </w:lvl>
    <w:lvl w:ilvl="2" w:tplc="97147922">
      <w:numFmt w:val="bullet"/>
      <w:lvlText w:val="•"/>
      <w:lvlJc w:val="left"/>
      <w:pPr>
        <w:ind w:left="1790" w:hanging="360"/>
      </w:pPr>
      <w:rPr>
        <w:rFonts w:hint="default"/>
        <w:lang w:val="en-US" w:eastAsia="en-US" w:bidi="ar-SA"/>
      </w:rPr>
    </w:lvl>
    <w:lvl w:ilvl="3" w:tplc="882A33C4">
      <w:numFmt w:val="bullet"/>
      <w:lvlText w:val="•"/>
      <w:lvlJc w:val="left"/>
      <w:pPr>
        <w:ind w:left="2496" w:hanging="360"/>
      </w:pPr>
      <w:rPr>
        <w:rFonts w:hint="default"/>
        <w:lang w:val="en-US" w:eastAsia="en-US" w:bidi="ar-SA"/>
      </w:rPr>
    </w:lvl>
    <w:lvl w:ilvl="4" w:tplc="640C992A">
      <w:numFmt w:val="bullet"/>
      <w:lvlText w:val="•"/>
      <w:lvlJc w:val="left"/>
      <w:pPr>
        <w:ind w:left="3201" w:hanging="360"/>
      </w:pPr>
      <w:rPr>
        <w:rFonts w:hint="default"/>
        <w:lang w:val="en-US" w:eastAsia="en-US" w:bidi="ar-SA"/>
      </w:rPr>
    </w:lvl>
    <w:lvl w:ilvl="5" w:tplc="704A4CE8">
      <w:numFmt w:val="bullet"/>
      <w:lvlText w:val="•"/>
      <w:lvlJc w:val="left"/>
      <w:pPr>
        <w:ind w:left="3907" w:hanging="360"/>
      </w:pPr>
      <w:rPr>
        <w:rFonts w:hint="default"/>
        <w:lang w:val="en-US" w:eastAsia="en-US" w:bidi="ar-SA"/>
      </w:rPr>
    </w:lvl>
    <w:lvl w:ilvl="6" w:tplc="BD563998">
      <w:numFmt w:val="bullet"/>
      <w:lvlText w:val="•"/>
      <w:lvlJc w:val="left"/>
      <w:pPr>
        <w:ind w:left="4612" w:hanging="360"/>
      </w:pPr>
      <w:rPr>
        <w:rFonts w:hint="default"/>
        <w:lang w:val="en-US" w:eastAsia="en-US" w:bidi="ar-SA"/>
      </w:rPr>
    </w:lvl>
    <w:lvl w:ilvl="7" w:tplc="D81A13B0">
      <w:numFmt w:val="bullet"/>
      <w:lvlText w:val="•"/>
      <w:lvlJc w:val="left"/>
      <w:pPr>
        <w:ind w:left="5317" w:hanging="360"/>
      </w:pPr>
      <w:rPr>
        <w:rFonts w:hint="default"/>
        <w:lang w:val="en-US" w:eastAsia="en-US" w:bidi="ar-SA"/>
      </w:rPr>
    </w:lvl>
    <w:lvl w:ilvl="8" w:tplc="C54A4E30">
      <w:numFmt w:val="bullet"/>
      <w:lvlText w:val="•"/>
      <w:lvlJc w:val="left"/>
      <w:pPr>
        <w:ind w:left="6023" w:hanging="360"/>
      </w:pPr>
      <w:rPr>
        <w:rFonts w:hint="default"/>
        <w:lang w:val="en-US" w:eastAsia="en-US" w:bidi="ar-SA"/>
      </w:rPr>
    </w:lvl>
  </w:abstractNum>
  <w:abstractNum w:abstractNumId="109" w15:restartNumberingAfterBreak="0">
    <w:nsid w:val="715B7BC8"/>
    <w:multiLevelType w:val="hybridMultilevel"/>
    <w:tmpl w:val="E3A4A79C"/>
    <w:lvl w:ilvl="0" w:tplc="A6E40354">
      <w:numFmt w:val="bullet"/>
      <w:lvlText w:val=""/>
      <w:lvlJc w:val="left"/>
      <w:pPr>
        <w:ind w:left="833" w:hanging="360"/>
      </w:pPr>
      <w:rPr>
        <w:rFonts w:ascii="Symbol" w:eastAsia="Symbol" w:hAnsi="Symbol" w:cs="Symbol" w:hint="default"/>
        <w:b w:val="0"/>
        <w:bCs w:val="0"/>
        <w:i w:val="0"/>
        <w:iCs w:val="0"/>
        <w:w w:val="99"/>
        <w:sz w:val="22"/>
        <w:szCs w:val="22"/>
        <w:lang w:val="en-US" w:eastAsia="en-US" w:bidi="ar-SA"/>
      </w:rPr>
    </w:lvl>
    <w:lvl w:ilvl="1" w:tplc="02D4F6F4">
      <w:numFmt w:val="bullet"/>
      <w:lvlText w:val="•"/>
      <w:lvlJc w:val="left"/>
      <w:pPr>
        <w:ind w:left="1840" w:hanging="360"/>
      </w:pPr>
      <w:rPr>
        <w:rFonts w:hint="default"/>
        <w:lang w:val="en-US" w:eastAsia="en-US" w:bidi="ar-SA"/>
      </w:rPr>
    </w:lvl>
    <w:lvl w:ilvl="2" w:tplc="AD5408C6">
      <w:numFmt w:val="bullet"/>
      <w:lvlText w:val="•"/>
      <w:lvlJc w:val="left"/>
      <w:pPr>
        <w:ind w:left="2840" w:hanging="360"/>
      </w:pPr>
      <w:rPr>
        <w:rFonts w:hint="default"/>
        <w:lang w:val="en-US" w:eastAsia="en-US" w:bidi="ar-SA"/>
      </w:rPr>
    </w:lvl>
    <w:lvl w:ilvl="3" w:tplc="13702938">
      <w:numFmt w:val="bullet"/>
      <w:lvlText w:val="•"/>
      <w:lvlJc w:val="left"/>
      <w:pPr>
        <w:ind w:left="3841" w:hanging="360"/>
      </w:pPr>
      <w:rPr>
        <w:rFonts w:hint="default"/>
        <w:lang w:val="en-US" w:eastAsia="en-US" w:bidi="ar-SA"/>
      </w:rPr>
    </w:lvl>
    <w:lvl w:ilvl="4" w:tplc="A740F710">
      <w:numFmt w:val="bullet"/>
      <w:lvlText w:val="•"/>
      <w:lvlJc w:val="left"/>
      <w:pPr>
        <w:ind w:left="4841" w:hanging="360"/>
      </w:pPr>
      <w:rPr>
        <w:rFonts w:hint="default"/>
        <w:lang w:val="en-US" w:eastAsia="en-US" w:bidi="ar-SA"/>
      </w:rPr>
    </w:lvl>
    <w:lvl w:ilvl="5" w:tplc="C57A58E2">
      <w:numFmt w:val="bullet"/>
      <w:lvlText w:val="•"/>
      <w:lvlJc w:val="left"/>
      <w:pPr>
        <w:ind w:left="5842" w:hanging="360"/>
      </w:pPr>
      <w:rPr>
        <w:rFonts w:hint="default"/>
        <w:lang w:val="en-US" w:eastAsia="en-US" w:bidi="ar-SA"/>
      </w:rPr>
    </w:lvl>
    <w:lvl w:ilvl="6" w:tplc="5CB86FD4">
      <w:numFmt w:val="bullet"/>
      <w:lvlText w:val="•"/>
      <w:lvlJc w:val="left"/>
      <w:pPr>
        <w:ind w:left="6842" w:hanging="360"/>
      </w:pPr>
      <w:rPr>
        <w:rFonts w:hint="default"/>
        <w:lang w:val="en-US" w:eastAsia="en-US" w:bidi="ar-SA"/>
      </w:rPr>
    </w:lvl>
    <w:lvl w:ilvl="7" w:tplc="B2444CE4">
      <w:numFmt w:val="bullet"/>
      <w:lvlText w:val="•"/>
      <w:lvlJc w:val="left"/>
      <w:pPr>
        <w:ind w:left="7843" w:hanging="360"/>
      </w:pPr>
      <w:rPr>
        <w:rFonts w:hint="default"/>
        <w:lang w:val="en-US" w:eastAsia="en-US" w:bidi="ar-SA"/>
      </w:rPr>
    </w:lvl>
    <w:lvl w:ilvl="8" w:tplc="2B20E91C">
      <w:numFmt w:val="bullet"/>
      <w:lvlText w:val="•"/>
      <w:lvlJc w:val="left"/>
      <w:pPr>
        <w:ind w:left="8843" w:hanging="360"/>
      </w:pPr>
      <w:rPr>
        <w:rFonts w:hint="default"/>
        <w:lang w:val="en-US" w:eastAsia="en-US" w:bidi="ar-SA"/>
      </w:rPr>
    </w:lvl>
  </w:abstractNum>
  <w:abstractNum w:abstractNumId="110" w15:restartNumberingAfterBreak="0">
    <w:nsid w:val="73154053"/>
    <w:multiLevelType w:val="hybridMultilevel"/>
    <w:tmpl w:val="D8164516"/>
    <w:lvl w:ilvl="0" w:tplc="B8288580">
      <w:numFmt w:val="bullet"/>
      <w:lvlText w:val=""/>
      <w:lvlJc w:val="left"/>
      <w:pPr>
        <w:ind w:left="458" w:hanging="360"/>
      </w:pPr>
      <w:rPr>
        <w:rFonts w:ascii="Symbol" w:eastAsia="Symbol" w:hAnsi="Symbol" w:cs="Symbol" w:hint="default"/>
        <w:b w:val="0"/>
        <w:bCs w:val="0"/>
        <w:i w:val="0"/>
        <w:iCs w:val="0"/>
        <w:w w:val="99"/>
        <w:sz w:val="22"/>
        <w:szCs w:val="22"/>
        <w:lang w:val="en-US" w:eastAsia="en-US" w:bidi="ar-SA"/>
      </w:rPr>
    </w:lvl>
    <w:lvl w:ilvl="1" w:tplc="1730F5DC">
      <w:numFmt w:val="bullet"/>
      <w:lvlText w:val="•"/>
      <w:lvlJc w:val="left"/>
      <w:pPr>
        <w:ind w:left="1147" w:hanging="360"/>
      </w:pPr>
      <w:rPr>
        <w:rFonts w:hint="default"/>
        <w:lang w:val="en-US" w:eastAsia="en-US" w:bidi="ar-SA"/>
      </w:rPr>
    </w:lvl>
    <w:lvl w:ilvl="2" w:tplc="92D0C62A">
      <w:numFmt w:val="bullet"/>
      <w:lvlText w:val="•"/>
      <w:lvlJc w:val="left"/>
      <w:pPr>
        <w:ind w:left="1835" w:hanging="360"/>
      </w:pPr>
      <w:rPr>
        <w:rFonts w:hint="default"/>
        <w:lang w:val="en-US" w:eastAsia="en-US" w:bidi="ar-SA"/>
      </w:rPr>
    </w:lvl>
    <w:lvl w:ilvl="3" w:tplc="DDC0C73E">
      <w:numFmt w:val="bullet"/>
      <w:lvlText w:val="•"/>
      <w:lvlJc w:val="left"/>
      <w:pPr>
        <w:ind w:left="2522" w:hanging="360"/>
      </w:pPr>
      <w:rPr>
        <w:rFonts w:hint="default"/>
        <w:lang w:val="en-US" w:eastAsia="en-US" w:bidi="ar-SA"/>
      </w:rPr>
    </w:lvl>
    <w:lvl w:ilvl="4" w:tplc="3DFE9040">
      <w:numFmt w:val="bullet"/>
      <w:lvlText w:val="•"/>
      <w:lvlJc w:val="left"/>
      <w:pPr>
        <w:ind w:left="3210" w:hanging="360"/>
      </w:pPr>
      <w:rPr>
        <w:rFonts w:hint="default"/>
        <w:lang w:val="en-US" w:eastAsia="en-US" w:bidi="ar-SA"/>
      </w:rPr>
    </w:lvl>
    <w:lvl w:ilvl="5" w:tplc="5906A3B2">
      <w:numFmt w:val="bullet"/>
      <w:lvlText w:val="•"/>
      <w:lvlJc w:val="left"/>
      <w:pPr>
        <w:ind w:left="3897" w:hanging="360"/>
      </w:pPr>
      <w:rPr>
        <w:rFonts w:hint="default"/>
        <w:lang w:val="en-US" w:eastAsia="en-US" w:bidi="ar-SA"/>
      </w:rPr>
    </w:lvl>
    <w:lvl w:ilvl="6" w:tplc="592C46A8">
      <w:numFmt w:val="bullet"/>
      <w:lvlText w:val="•"/>
      <w:lvlJc w:val="left"/>
      <w:pPr>
        <w:ind w:left="4585" w:hanging="360"/>
      </w:pPr>
      <w:rPr>
        <w:rFonts w:hint="default"/>
        <w:lang w:val="en-US" w:eastAsia="en-US" w:bidi="ar-SA"/>
      </w:rPr>
    </w:lvl>
    <w:lvl w:ilvl="7" w:tplc="1500FDCC">
      <w:numFmt w:val="bullet"/>
      <w:lvlText w:val="•"/>
      <w:lvlJc w:val="left"/>
      <w:pPr>
        <w:ind w:left="5272" w:hanging="360"/>
      </w:pPr>
      <w:rPr>
        <w:rFonts w:hint="default"/>
        <w:lang w:val="en-US" w:eastAsia="en-US" w:bidi="ar-SA"/>
      </w:rPr>
    </w:lvl>
    <w:lvl w:ilvl="8" w:tplc="FF88B6DE">
      <w:numFmt w:val="bullet"/>
      <w:lvlText w:val="•"/>
      <w:lvlJc w:val="left"/>
      <w:pPr>
        <w:ind w:left="5960" w:hanging="360"/>
      </w:pPr>
      <w:rPr>
        <w:rFonts w:hint="default"/>
        <w:lang w:val="en-US" w:eastAsia="en-US" w:bidi="ar-SA"/>
      </w:rPr>
    </w:lvl>
  </w:abstractNum>
  <w:abstractNum w:abstractNumId="111" w15:restartNumberingAfterBreak="0">
    <w:nsid w:val="73821123"/>
    <w:multiLevelType w:val="hybridMultilevel"/>
    <w:tmpl w:val="5FB4050C"/>
    <w:lvl w:ilvl="0" w:tplc="E5A2332C">
      <w:numFmt w:val="bullet"/>
      <w:lvlText w:val=""/>
      <w:lvlJc w:val="left"/>
      <w:pPr>
        <w:ind w:left="808" w:hanging="360"/>
      </w:pPr>
      <w:rPr>
        <w:rFonts w:ascii="Symbol" w:eastAsia="Symbol" w:hAnsi="Symbol" w:cs="Symbol" w:hint="default"/>
        <w:b w:val="0"/>
        <w:bCs w:val="0"/>
        <w:i w:val="0"/>
        <w:iCs w:val="0"/>
        <w:w w:val="99"/>
        <w:sz w:val="22"/>
        <w:szCs w:val="22"/>
        <w:lang w:val="en-US" w:eastAsia="en-US" w:bidi="ar-SA"/>
      </w:rPr>
    </w:lvl>
    <w:lvl w:ilvl="1" w:tplc="6480E37C">
      <w:numFmt w:val="bullet"/>
      <w:lvlText w:val="•"/>
      <w:lvlJc w:val="left"/>
      <w:pPr>
        <w:ind w:left="943" w:hanging="360"/>
      </w:pPr>
      <w:rPr>
        <w:rFonts w:hint="default"/>
        <w:lang w:val="en-US" w:eastAsia="en-US" w:bidi="ar-SA"/>
      </w:rPr>
    </w:lvl>
    <w:lvl w:ilvl="2" w:tplc="C91CF0B8">
      <w:numFmt w:val="bullet"/>
      <w:lvlText w:val="•"/>
      <w:lvlJc w:val="left"/>
      <w:pPr>
        <w:ind w:left="1087" w:hanging="360"/>
      </w:pPr>
      <w:rPr>
        <w:rFonts w:hint="default"/>
        <w:lang w:val="en-US" w:eastAsia="en-US" w:bidi="ar-SA"/>
      </w:rPr>
    </w:lvl>
    <w:lvl w:ilvl="3" w:tplc="5F84DBE6">
      <w:numFmt w:val="bullet"/>
      <w:lvlText w:val="•"/>
      <w:lvlJc w:val="left"/>
      <w:pPr>
        <w:ind w:left="1230" w:hanging="360"/>
      </w:pPr>
      <w:rPr>
        <w:rFonts w:hint="default"/>
        <w:lang w:val="en-US" w:eastAsia="en-US" w:bidi="ar-SA"/>
      </w:rPr>
    </w:lvl>
    <w:lvl w:ilvl="4" w:tplc="A45A8C58">
      <w:numFmt w:val="bullet"/>
      <w:lvlText w:val="•"/>
      <w:lvlJc w:val="left"/>
      <w:pPr>
        <w:ind w:left="1374" w:hanging="360"/>
      </w:pPr>
      <w:rPr>
        <w:rFonts w:hint="default"/>
        <w:lang w:val="en-US" w:eastAsia="en-US" w:bidi="ar-SA"/>
      </w:rPr>
    </w:lvl>
    <w:lvl w:ilvl="5" w:tplc="91B42A10">
      <w:numFmt w:val="bullet"/>
      <w:lvlText w:val="•"/>
      <w:lvlJc w:val="left"/>
      <w:pPr>
        <w:ind w:left="1518" w:hanging="360"/>
      </w:pPr>
      <w:rPr>
        <w:rFonts w:hint="default"/>
        <w:lang w:val="en-US" w:eastAsia="en-US" w:bidi="ar-SA"/>
      </w:rPr>
    </w:lvl>
    <w:lvl w:ilvl="6" w:tplc="FE5470AE">
      <w:numFmt w:val="bullet"/>
      <w:lvlText w:val="•"/>
      <w:lvlJc w:val="left"/>
      <w:pPr>
        <w:ind w:left="1661" w:hanging="360"/>
      </w:pPr>
      <w:rPr>
        <w:rFonts w:hint="default"/>
        <w:lang w:val="en-US" w:eastAsia="en-US" w:bidi="ar-SA"/>
      </w:rPr>
    </w:lvl>
    <w:lvl w:ilvl="7" w:tplc="3056CDC0">
      <w:numFmt w:val="bullet"/>
      <w:lvlText w:val="•"/>
      <w:lvlJc w:val="left"/>
      <w:pPr>
        <w:ind w:left="1805" w:hanging="360"/>
      </w:pPr>
      <w:rPr>
        <w:rFonts w:hint="default"/>
        <w:lang w:val="en-US" w:eastAsia="en-US" w:bidi="ar-SA"/>
      </w:rPr>
    </w:lvl>
    <w:lvl w:ilvl="8" w:tplc="B90C7BA4">
      <w:numFmt w:val="bullet"/>
      <w:lvlText w:val="•"/>
      <w:lvlJc w:val="left"/>
      <w:pPr>
        <w:ind w:left="1948" w:hanging="360"/>
      </w:pPr>
      <w:rPr>
        <w:rFonts w:hint="default"/>
        <w:lang w:val="en-US" w:eastAsia="en-US" w:bidi="ar-SA"/>
      </w:rPr>
    </w:lvl>
  </w:abstractNum>
  <w:abstractNum w:abstractNumId="112" w15:restartNumberingAfterBreak="0">
    <w:nsid w:val="73F00E01"/>
    <w:multiLevelType w:val="hybridMultilevel"/>
    <w:tmpl w:val="F2BC9682"/>
    <w:lvl w:ilvl="0" w:tplc="8348E870">
      <w:numFmt w:val="bullet"/>
      <w:lvlText w:val=""/>
      <w:lvlJc w:val="left"/>
      <w:pPr>
        <w:ind w:left="828" w:hanging="358"/>
      </w:pPr>
      <w:rPr>
        <w:rFonts w:ascii="Symbol" w:eastAsia="Symbol" w:hAnsi="Symbol" w:cs="Symbol" w:hint="default"/>
        <w:b w:val="0"/>
        <w:bCs w:val="0"/>
        <w:i w:val="0"/>
        <w:iCs w:val="0"/>
        <w:w w:val="99"/>
        <w:sz w:val="22"/>
        <w:szCs w:val="22"/>
        <w:lang w:val="en-US" w:eastAsia="en-US" w:bidi="ar-SA"/>
      </w:rPr>
    </w:lvl>
    <w:lvl w:ilvl="1" w:tplc="A5FC4CC4">
      <w:numFmt w:val="bullet"/>
      <w:lvlText w:val="•"/>
      <w:lvlJc w:val="left"/>
      <w:pPr>
        <w:ind w:left="1822" w:hanging="358"/>
      </w:pPr>
      <w:rPr>
        <w:rFonts w:hint="default"/>
        <w:lang w:val="en-US" w:eastAsia="en-US" w:bidi="ar-SA"/>
      </w:rPr>
    </w:lvl>
    <w:lvl w:ilvl="2" w:tplc="76946A78">
      <w:numFmt w:val="bullet"/>
      <w:lvlText w:val="•"/>
      <w:lvlJc w:val="left"/>
      <w:pPr>
        <w:ind w:left="2824" w:hanging="358"/>
      </w:pPr>
      <w:rPr>
        <w:rFonts w:hint="default"/>
        <w:lang w:val="en-US" w:eastAsia="en-US" w:bidi="ar-SA"/>
      </w:rPr>
    </w:lvl>
    <w:lvl w:ilvl="3" w:tplc="0DC22EC6">
      <w:numFmt w:val="bullet"/>
      <w:lvlText w:val="•"/>
      <w:lvlJc w:val="left"/>
      <w:pPr>
        <w:ind w:left="3827" w:hanging="358"/>
      </w:pPr>
      <w:rPr>
        <w:rFonts w:hint="default"/>
        <w:lang w:val="en-US" w:eastAsia="en-US" w:bidi="ar-SA"/>
      </w:rPr>
    </w:lvl>
    <w:lvl w:ilvl="4" w:tplc="E0AE36E6">
      <w:numFmt w:val="bullet"/>
      <w:lvlText w:val="•"/>
      <w:lvlJc w:val="left"/>
      <w:pPr>
        <w:ind w:left="4829" w:hanging="358"/>
      </w:pPr>
      <w:rPr>
        <w:rFonts w:hint="default"/>
        <w:lang w:val="en-US" w:eastAsia="en-US" w:bidi="ar-SA"/>
      </w:rPr>
    </w:lvl>
    <w:lvl w:ilvl="5" w:tplc="86E8D3E2">
      <w:numFmt w:val="bullet"/>
      <w:lvlText w:val="•"/>
      <w:lvlJc w:val="left"/>
      <w:pPr>
        <w:ind w:left="5832" w:hanging="358"/>
      </w:pPr>
      <w:rPr>
        <w:rFonts w:hint="default"/>
        <w:lang w:val="en-US" w:eastAsia="en-US" w:bidi="ar-SA"/>
      </w:rPr>
    </w:lvl>
    <w:lvl w:ilvl="6" w:tplc="3C86627A">
      <w:numFmt w:val="bullet"/>
      <w:lvlText w:val="•"/>
      <w:lvlJc w:val="left"/>
      <w:pPr>
        <w:ind w:left="6834" w:hanging="358"/>
      </w:pPr>
      <w:rPr>
        <w:rFonts w:hint="default"/>
        <w:lang w:val="en-US" w:eastAsia="en-US" w:bidi="ar-SA"/>
      </w:rPr>
    </w:lvl>
    <w:lvl w:ilvl="7" w:tplc="790C28FC">
      <w:numFmt w:val="bullet"/>
      <w:lvlText w:val="•"/>
      <w:lvlJc w:val="left"/>
      <w:pPr>
        <w:ind w:left="7837" w:hanging="358"/>
      </w:pPr>
      <w:rPr>
        <w:rFonts w:hint="default"/>
        <w:lang w:val="en-US" w:eastAsia="en-US" w:bidi="ar-SA"/>
      </w:rPr>
    </w:lvl>
    <w:lvl w:ilvl="8" w:tplc="C5D2954E">
      <w:numFmt w:val="bullet"/>
      <w:lvlText w:val="•"/>
      <w:lvlJc w:val="left"/>
      <w:pPr>
        <w:ind w:left="8839" w:hanging="358"/>
      </w:pPr>
      <w:rPr>
        <w:rFonts w:hint="default"/>
        <w:lang w:val="en-US" w:eastAsia="en-US" w:bidi="ar-SA"/>
      </w:rPr>
    </w:lvl>
  </w:abstractNum>
  <w:abstractNum w:abstractNumId="113" w15:restartNumberingAfterBreak="0">
    <w:nsid w:val="74D26B2C"/>
    <w:multiLevelType w:val="hybridMultilevel"/>
    <w:tmpl w:val="6A4E892A"/>
    <w:lvl w:ilvl="0" w:tplc="7A72FD26">
      <w:numFmt w:val="bullet"/>
      <w:lvlText w:val=""/>
      <w:lvlJc w:val="left"/>
      <w:pPr>
        <w:ind w:left="556" w:hanging="360"/>
      </w:pPr>
      <w:rPr>
        <w:rFonts w:ascii="Symbol" w:eastAsia="Symbol" w:hAnsi="Symbol" w:cs="Symbol" w:hint="default"/>
        <w:b w:val="0"/>
        <w:bCs w:val="0"/>
        <w:i w:val="0"/>
        <w:iCs w:val="0"/>
        <w:w w:val="99"/>
        <w:sz w:val="22"/>
        <w:szCs w:val="22"/>
        <w:lang w:val="en-US" w:eastAsia="en-US" w:bidi="ar-SA"/>
      </w:rPr>
    </w:lvl>
    <w:lvl w:ilvl="1" w:tplc="60CC0598">
      <w:numFmt w:val="bullet"/>
      <w:lvlText w:val="•"/>
      <w:lvlJc w:val="left"/>
      <w:pPr>
        <w:ind w:left="1132" w:hanging="360"/>
      </w:pPr>
      <w:rPr>
        <w:rFonts w:hint="default"/>
        <w:lang w:val="en-US" w:eastAsia="en-US" w:bidi="ar-SA"/>
      </w:rPr>
    </w:lvl>
    <w:lvl w:ilvl="2" w:tplc="F516EFEC">
      <w:numFmt w:val="bullet"/>
      <w:lvlText w:val="•"/>
      <w:lvlJc w:val="left"/>
      <w:pPr>
        <w:ind w:left="1704" w:hanging="360"/>
      </w:pPr>
      <w:rPr>
        <w:rFonts w:hint="default"/>
        <w:lang w:val="en-US" w:eastAsia="en-US" w:bidi="ar-SA"/>
      </w:rPr>
    </w:lvl>
    <w:lvl w:ilvl="3" w:tplc="F8A8F29E">
      <w:numFmt w:val="bullet"/>
      <w:lvlText w:val="•"/>
      <w:lvlJc w:val="left"/>
      <w:pPr>
        <w:ind w:left="2276" w:hanging="360"/>
      </w:pPr>
      <w:rPr>
        <w:rFonts w:hint="default"/>
        <w:lang w:val="en-US" w:eastAsia="en-US" w:bidi="ar-SA"/>
      </w:rPr>
    </w:lvl>
    <w:lvl w:ilvl="4" w:tplc="51A6E4AC">
      <w:numFmt w:val="bullet"/>
      <w:lvlText w:val="•"/>
      <w:lvlJc w:val="left"/>
      <w:pPr>
        <w:ind w:left="2848" w:hanging="360"/>
      </w:pPr>
      <w:rPr>
        <w:rFonts w:hint="default"/>
        <w:lang w:val="en-US" w:eastAsia="en-US" w:bidi="ar-SA"/>
      </w:rPr>
    </w:lvl>
    <w:lvl w:ilvl="5" w:tplc="5418A084">
      <w:numFmt w:val="bullet"/>
      <w:lvlText w:val="•"/>
      <w:lvlJc w:val="left"/>
      <w:pPr>
        <w:ind w:left="3420" w:hanging="360"/>
      </w:pPr>
      <w:rPr>
        <w:rFonts w:hint="default"/>
        <w:lang w:val="en-US" w:eastAsia="en-US" w:bidi="ar-SA"/>
      </w:rPr>
    </w:lvl>
    <w:lvl w:ilvl="6" w:tplc="5C4E874C">
      <w:numFmt w:val="bullet"/>
      <w:lvlText w:val="•"/>
      <w:lvlJc w:val="left"/>
      <w:pPr>
        <w:ind w:left="3992" w:hanging="360"/>
      </w:pPr>
      <w:rPr>
        <w:rFonts w:hint="default"/>
        <w:lang w:val="en-US" w:eastAsia="en-US" w:bidi="ar-SA"/>
      </w:rPr>
    </w:lvl>
    <w:lvl w:ilvl="7" w:tplc="E376C4D4">
      <w:numFmt w:val="bullet"/>
      <w:lvlText w:val="•"/>
      <w:lvlJc w:val="left"/>
      <w:pPr>
        <w:ind w:left="4564" w:hanging="360"/>
      </w:pPr>
      <w:rPr>
        <w:rFonts w:hint="default"/>
        <w:lang w:val="en-US" w:eastAsia="en-US" w:bidi="ar-SA"/>
      </w:rPr>
    </w:lvl>
    <w:lvl w:ilvl="8" w:tplc="76D074B0">
      <w:numFmt w:val="bullet"/>
      <w:lvlText w:val="•"/>
      <w:lvlJc w:val="left"/>
      <w:pPr>
        <w:ind w:left="5136" w:hanging="360"/>
      </w:pPr>
      <w:rPr>
        <w:rFonts w:hint="default"/>
        <w:lang w:val="en-US" w:eastAsia="en-US" w:bidi="ar-SA"/>
      </w:rPr>
    </w:lvl>
  </w:abstractNum>
  <w:abstractNum w:abstractNumId="114" w15:restartNumberingAfterBreak="0">
    <w:nsid w:val="75714C60"/>
    <w:multiLevelType w:val="hybridMultilevel"/>
    <w:tmpl w:val="AAD6811E"/>
    <w:lvl w:ilvl="0" w:tplc="B9F8E722">
      <w:numFmt w:val="bullet"/>
      <w:lvlText w:val=""/>
      <w:lvlJc w:val="left"/>
      <w:pPr>
        <w:ind w:left="822" w:hanging="360"/>
      </w:pPr>
      <w:rPr>
        <w:rFonts w:ascii="Symbol" w:eastAsia="Symbol" w:hAnsi="Symbol" w:cs="Symbol" w:hint="default"/>
        <w:w w:val="99"/>
        <w:lang w:val="en-US" w:eastAsia="en-US" w:bidi="ar-SA"/>
      </w:rPr>
    </w:lvl>
    <w:lvl w:ilvl="1" w:tplc="C5A6FB6A">
      <w:numFmt w:val="bullet"/>
      <w:lvlText w:val="•"/>
      <w:lvlJc w:val="left"/>
      <w:pPr>
        <w:ind w:left="1822" w:hanging="360"/>
      </w:pPr>
      <w:rPr>
        <w:rFonts w:hint="default"/>
        <w:lang w:val="en-US" w:eastAsia="en-US" w:bidi="ar-SA"/>
      </w:rPr>
    </w:lvl>
    <w:lvl w:ilvl="2" w:tplc="CCE2A248">
      <w:numFmt w:val="bullet"/>
      <w:lvlText w:val="•"/>
      <w:lvlJc w:val="left"/>
      <w:pPr>
        <w:ind w:left="2824" w:hanging="360"/>
      </w:pPr>
      <w:rPr>
        <w:rFonts w:hint="default"/>
        <w:lang w:val="en-US" w:eastAsia="en-US" w:bidi="ar-SA"/>
      </w:rPr>
    </w:lvl>
    <w:lvl w:ilvl="3" w:tplc="470ADB6A">
      <w:numFmt w:val="bullet"/>
      <w:lvlText w:val="•"/>
      <w:lvlJc w:val="left"/>
      <w:pPr>
        <w:ind w:left="3827" w:hanging="360"/>
      </w:pPr>
      <w:rPr>
        <w:rFonts w:hint="default"/>
        <w:lang w:val="en-US" w:eastAsia="en-US" w:bidi="ar-SA"/>
      </w:rPr>
    </w:lvl>
    <w:lvl w:ilvl="4" w:tplc="1604E0D8">
      <w:numFmt w:val="bullet"/>
      <w:lvlText w:val="•"/>
      <w:lvlJc w:val="left"/>
      <w:pPr>
        <w:ind w:left="4829" w:hanging="360"/>
      </w:pPr>
      <w:rPr>
        <w:rFonts w:hint="default"/>
        <w:lang w:val="en-US" w:eastAsia="en-US" w:bidi="ar-SA"/>
      </w:rPr>
    </w:lvl>
    <w:lvl w:ilvl="5" w:tplc="7DBE41E8">
      <w:numFmt w:val="bullet"/>
      <w:lvlText w:val="•"/>
      <w:lvlJc w:val="left"/>
      <w:pPr>
        <w:ind w:left="5832" w:hanging="360"/>
      </w:pPr>
      <w:rPr>
        <w:rFonts w:hint="default"/>
        <w:lang w:val="en-US" w:eastAsia="en-US" w:bidi="ar-SA"/>
      </w:rPr>
    </w:lvl>
    <w:lvl w:ilvl="6" w:tplc="D2A82C36">
      <w:numFmt w:val="bullet"/>
      <w:lvlText w:val="•"/>
      <w:lvlJc w:val="left"/>
      <w:pPr>
        <w:ind w:left="6834" w:hanging="360"/>
      </w:pPr>
      <w:rPr>
        <w:rFonts w:hint="default"/>
        <w:lang w:val="en-US" w:eastAsia="en-US" w:bidi="ar-SA"/>
      </w:rPr>
    </w:lvl>
    <w:lvl w:ilvl="7" w:tplc="5D1A2898">
      <w:numFmt w:val="bullet"/>
      <w:lvlText w:val="•"/>
      <w:lvlJc w:val="left"/>
      <w:pPr>
        <w:ind w:left="7837" w:hanging="360"/>
      </w:pPr>
      <w:rPr>
        <w:rFonts w:hint="default"/>
        <w:lang w:val="en-US" w:eastAsia="en-US" w:bidi="ar-SA"/>
      </w:rPr>
    </w:lvl>
    <w:lvl w:ilvl="8" w:tplc="997825DA">
      <w:numFmt w:val="bullet"/>
      <w:lvlText w:val="•"/>
      <w:lvlJc w:val="left"/>
      <w:pPr>
        <w:ind w:left="8839" w:hanging="360"/>
      </w:pPr>
      <w:rPr>
        <w:rFonts w:hint="default"/>
        <w:lang w:val="en-US" w:eastAsia="en-US" w:bidi="ar-SA"/>
      </w:rPr>
    </w:lvl>
  </w:abstractNum>
  <w:abstractNum w:abstractNumId="115" w15:restartNumberingAfterBreak="0">
    <w:nsid w:val="76834866"/>
    <w:multiLevelType w:val="hybridMultilevel"/>
    <w:tmpl w:val="60065774"/>
    <w:lvl w:ilvl="0" w:tplc="904AD8C4">
      <w:numFmt w:val="bullet"/>
      <w:lvlText w:val=""/>
      <w:lvlJc w:val="left"/>
      <w:pPr>
        <w:ind w:left="98" w:hanging="360"/>
      </w:pPr>
      <w:rPr>
        <w:rFonts w:ascii="Symbol" w:eastAsia="Symbol" w:hAnsi="Symbol" w:cs="Symbol" w:hint="default"/>
        <w:b w:val="0"/>
        <w:bCs w:val="0"/>
        <w:i w:val="0"/>
        <w:iCs w:val="0"/>
        <w:w w:val="100"/>
        <w:sz w:val="18"/>
        <w:szCs w:val="18"/>
        <w:lang w:val="en-US" w:eastAsia="en-US" w:bidi="ar-SA"/>
      </w:rPr>
    </w:lvl>
    <w:lvl w:ilvl="1" w:tplc="79C29C16">
      <w:numFmt w:val="bullet"/>
      <w:lvlText w:val="•"/>
      <w:lvlJc w:val="left"/>
      <w:pPr>
        <w:ind w:left="543" w:hanging="360"/>
      </w:pPr>
      <w:rPr>
        <w:rFonts w:hint="default"/>
        <w:lang w:val="en-US" w:eastAsia="en-US" w:bidi="ar-SA"/>
      </w:rPr>
    </w:lvl>
    <w:lvl w:ilvl="2" w:tplc="6556176C">
      <w:numFmt w:val="bullet"/>
      <w:lvlText w:val="•"/>
      <w:lvlJc w:val="left"/>
      <w:pPr>
        <w:ind w:left="986" w:hanging="360"/>
      </w:pPr>
      <w:rPr>
        <w:rFonts w:hint="default"/>
        <w:lang w:val="en-US" w:eastAsia="en-US" w:bidi="ar-SA"/>
      </w:rPr>
    </w:lvl>
    <w:lvl w:ilvl="3" w:tplc="0C5CA6EA">
      <w:numFmt w:val="bullet"/>
      <w:lvlText w:val="•"/>
      <w:lvlJc w:val="left"/>
      <w:pPr>
        <w:ind w:left="1429" w:hanging="360"/>
      </w:pPr>
      <w:rPr>
        <w:rFonts w:hint="default"/>
        <w:lang w:val="en-US" w:eastAsia="en-US" w:bidi="ar-SA"/>
      </w:rPr>
    </w:lvl>
    <w:lvl w:ilvl="4" w:tplc="124412C2">
      <w:numFmt w:val="bullet"/>
      <w:lvlText w:val="•"/>
      <w:lvlJc w:val="left"/>
      <w:pPr>
        <w:ind w:left="1872" w:hanging="360"/>
      </w:pPr>
      <w:rPr>
        <w:rFonts w:hint="default"/>
        <w:lang w:val="en-US" w:eastAsia="en-US" w:bidi="ar-SA"/>
      </w:rPr>
    </w:lvl>
    <w:lvl w:ilvl="5" w:tplc="FB28EBBE">
      <w:numFmt w:val="bullet"/>
      <w:lvlText w:val="•"/>
      <w:lvlJc w:val="left"/>
      <w:pPr>
        <w:ind w:left="2315" w:hanging="360"/>
      </w:pPr>
      <w:rPr>
        <w:rFonts w:hint="default"/>
        <w:lang w:val="en-US" w:eastAsia="en-US" w:bidi="ar-SA"/>
      </w:rPr>
    </w:lvl>
    <w:lvl w:ilvl="6" w:tplc="895AA20A">
      <w:numFmt w:val="bullet"/>
      <w:lvlText w:val="•"/>
      <w:lvlJc w:val="left"/>
      <w:pPr>
        <w:ind w:left="2758" w:hanging="360"/>
      </w:pPr>
      <w:rPr>
        <w:rFonts w:hint="default"/>
        <w:lang w:val="en-US" w:eastAsia="en-US" w:bidi="ar-SA"/>
      </w:rPr>
    </w:lvl>
    <w:lvl w:ilvl="7" w:tplc="DF6A8438">
      <w:numFmt w:val="bullet"/>
      <w:lvlText w:val="•"/>
      <w:lvlJc w:val="left"/>
      <w:pPr>
        <w:ind w:left="3201" w:hanging="360"/>
      </w:pPr>
      <w:rPr>
        <w:rFonts w:hint="default"/>
        <w:lang w:val="en-US" w:eastAsia="en-US" w:bidi="ar-SA"/>
      </w:rPr>
    </w:lvl>
    <w:lvl w:ilvl="8" w:tplc="FE5000E6">
      <w:numFmt w:val="bullet"/>
      <w:lvlText w:val="•"/>
      <w:lvlJc w:val="left"/>
      <w:pPr>
        <w:ind w:left="3644" w:hanging="360"/>
      </w:pPr>
      <w:rPr>
        <w:rFonts w:hint="default"/>
        <w:lang w:val="en-US" w:eastAsia="en-US" w:bidi="ar-SA"/>
      </w:rPr>
    </w:lvl>
  </w:abstractNum>
  <w:abstractNum w:abstractNumId="116" w15:restartNumberingAfterBreak="0">
    <w:nsid w:val="7B872F8B"/>
    <w:multiLevelType w:val="multilevel"/>
    <w:tmpl w:val="45CE43FA"/>
    <w:lvl w:ilvl="0">
      <w:start w:val="1"/>
      <w:numFmt w:val="decimal"/>
      <w:lvlText w:val="%1."/>
      <w:lvlJc w:val="left"/>
      <w:pPr>
        <w:ind w:left="681" w:hanging="568"/>
        <w:jc w:val="left"/>
      </w:pPr>
      <w:rPr>
        <w:rFonts w:ascii="Calibri Light" w:eastAsia="Calibri Light" w:hAnsi="Calibri Light" w:cs="Calibri Light" w:hint="default"/>
        <w:b w:val="0"/>
        <w:bCs w:val="0"/>
        <w:i w:val="0"/>
        <w:iCs w:val="0"/>
        <w:color w:val="009BAC"/>
        <w:spacing w:val="-1"/>
        <w:w w:val="100"/>
        <w:sz w:val="24"/>
        <w:szCs w:val="24"/>
        <w:lang w:val="en-US" w:eastAsia="en-US" w:bidi="ar-SA"/>
      </w:rPr>
    </w:lvl>
    <w:lvl w:ilvl="1">
      <w:start w:val="1"/>
      <w:numFmt w:val="decimal"/>
      <w:lvlText w:val="%1.%2"/>
      <w:lvlJc w:val="left"/>
      <w:pPr>
        <w:ind w:left="1248" w:hanging="567"/>
        <w:jc w:val="left"/>
      </w:pPr>
      <w:rPr>
        <w:rFonts w:ascii="Calibri Light" w:eastAsia="Calibri Light" w:hAnsi="Calibri Light" w:cs="Calibri Light" w:hint="default"/>
        <w:b w:val="0"/>
        <w:bCs w:val="0"/>
        <w:i w:val="0"/>
        <w:iCs w:val="0"/>
        <w:w w:val="100"/>
        <w:sz w:val="20"/>
        <w:szCs w:val="20"/>
        <w:lang w:val="en-US" w:eastAsia="en-US" w:bidi="ar-SA"/>
      </w:rPr>
    </w:lvl>
    <w:lvl w:ilvl="2">
      <w:start w:val="1"/>
      <w:numFmt w:val="decimal"/>
      <w:lvlText w:val="%1.%2.%3"/>
      <w:lvlJc w:val="left"/>
      <w:pPr>
        <w:ind w:left="1928" w:hanging="681"/>
        <w:jc w:val="left"/>
      </w:pPr>
      <w:rPr>
        <w:rFonts w:ascii="Calibri Light" w:eastAsia="Calibri Light" w:hAnsi="Calibri Light" w:cs="Calibri Light" w:hint="default"/>
        <w:b w:val="0"/>
        <w:bCs w:val="0"/>
        <w:i w:val="0"/>
        <w:iCs w:val="0"/>
        <w:spacing w:val="-1"/>
        <w:w w:val="100"/>
        <w:sz w:val="20"/>
        <w:szCs w:val="20"/>
        <w:lang w:val="en-US" w:eastAsia="en-US" w:bidi="ar-SA"/>
      </w:rPr>
    </w:lvl>
    <w:lvl w:ilvl="3">
      <w:start w:val="1"/>
      <w:numFmt w:val="decimal"/>
      <w:lvlText w:val="%1.%2.%3.%4"/>
      <w:lvlJc w:val="left"/>
      <w:pPr>
        <w:ind w:left="2554" w:hanging="598"/>
        <w:jc w:val="left"/>
      </w:pPr>
      <w:rPr>
        <w:rFonts w:ascii="Calibri Light" w:eastAsia="Calibri Light" w:hAnsi="Calibri Light" w:cs="Calibri Light" w:hint="default"/>
        <w:b w:val="0"/>
        <w:bCs w:val="0"/>
        <w:i/>
        <w:iCs/>
        <w:spacing w:val="-1"/>
        <w:w w:val="100"/>
        <w:sz w:val="20"/>
        <w:szCs w:val="20"/>
        <w:lang w:val="en-US" w:eastAsia="en-US" w:bidi="ar-SA"/>
      </w:rPr>
    </w:lvl>
    <w:lvl w:ilvl="4">
      <w:numFmt w:val="bullet"/>
      <w:lvlText w:val="•"/>
      <w:lvlJc w:val="left"/>
      <w:pPr>
        <w:ind w:left="3743" w:hanging="598"/>
      </w:pPr>
      <w:rPr>
        <w:rFonts w:hint="default"/>
        <w:lang w:val="en-US" w:eastAsia="en-US" w:bidi="ar-SA"/>
      </w:rPr>
    </w:lvl>
    <w:lvl w:ilvl="5">
      <w:numFmt w:val="bullet"/>
      <w:lvlText w:val="•"/>
      <w:lvlJc w:val="left"/>
      <w:pPr>
        <w:ind w:left="4926" w:hanging="598"/>
      </w:pPr>
      <w:rPr>
        <w:rFonts w:hint="default"/>
        <w:lang w:val="en-US" w:eastAsia="en-US" w:bidi="ar-SA"/>
      </w:rPr>
    </w:lvl>
    <w:lvl w:ilvl="6">
      <w:numFmt w:val="bullet"/>
      <w:lvlText w:val="•"/>
      <w:lvlJc w:val="left"/>
      <w:pPr>
        <w:ind w:left="6110" w:hanging="598"/>
      </w:pPr>
      <w:rPr>
        <w:rFonts w:hint="default"/>
        <w:lang w:val="en-US" w:eastAsia="en-US" w:bidi="ar-SA"/>
      </w:rPr>
    </w:lvl>
    <w:lvl w:ilvl="7">
      <w:numFmt w:val="bullet"/>
      <w:lvlText w:val="•"/>
      <w:lvlJc w:val="left"/>
      <w:pPr>
        <w:ind w:left="7293" w:hanging="598"/>
      </w:pPr>
      <w:rPr>
        <w:rFonts w:hint="default"/>
        <w:lang w:val="en-US" w:eastAsia="en-US" w:bidi="ar-SA"/>
      </w:rPr>
    </w:lvl>
    <w:lvl w:ilvl="8">
      <w:numFmt w:val="bullet"/>
      <w:lvlText w:val="•"/>
      <w:lvlJc w:val="left"/>
      <w:pPr>
        <w:ind w:left="8477" w:hanging="598"/>
      </w:pPr>
      <w:rPr>
        <w:rFonts w:hint="default"/>
        <w:lang w:val="en-US" w:eastAsia="en-US" w:bidi="ar-SA"/>
      </w:rPr>
    </w:lvl>
  </w:abstractNum>
  <w:abstractNum w:abstractNumId="117" w15:restartNumberingAfterBreak="0">
    <w:nsid w:val="7B942D83"/>
    <w:multiLevelType w:val="hybridMultilevel"/>
    <w:tmpl w:val="5E26390E"/>
    <w:lvl w:ilvl="0" w:tplc="5F386B88">
      <w:numFmt w:val="bullet"/>
      <w:lvlText w:val=""/>
      <w:lvlJc w:val="left"/>
      <w:pPr>
        <w:ind w:left="153" w:hanging="360"/>
      </w:pPr>
      <w:rPr>
        <w:rFonts w:ascii="Symbol" w:eastAsia="Symbol" w:hAnsi="Symbol" w:cs="Symbol" w:hint="default"/>
        <w:b w:val="0"/>
        <w:bCs w:val="0"/>
        <w:i w:val="0"/>
        <w:iCs w:val="0"/>
        <w:w w:val="99"/>
        <w:sz w:val="22"/>
        <w:szCs w:val="22"/>
        <w:lang w:val="en-US" w:eastAsia="en-US" w:bidi="ar-SA"/>
      </w:rPr>
    </w:lvl>
    <w:lvl w:ilvl="1" w:tplc="B48E1CAC">
      <w:numFmt w:val="bullet"/>
      <w:lvlText w:val="•"/>
      <w:lvlJc w:val="left"/>
      <w:pPr>
        <w:ind w:left="1162" w:hanging="360"/>
      </w:pPr>
      <w:rPr>
        <w:rFonts w:hint="default"/>
        <w:lang w:val="en-US" w:eastAsia="en-US" w:bidi="ar-SA"/>
      </w:rPr>
    </w:lvl>
    <w:lvl w:ilvl="2" w:tplc="49A8466E">
      <w:numFmt w:val="bullet"/>
      <w:lvlText w:val="•"/>
      <w:lvlJc w:val="left"/>
      <w:pPr>
        <w:ind w:left="2164" w:hanging="360"/>
      </w:pPr>
      <w:rPr>
        <w:rFonts w:hint="default"/>
        <w:lang w:val="en-US" w:eastAsia="en-US" w:bidi="ar-SA"/>
      </w:rPr>
    </w:lvl>
    <w:lvl w:ilvl="3" w:tplc="74B4B8C6">
      <w:numFmt w:val="bullet"/>
      <w:lvlText w:val="•"/>
      <w:lvlJc w:val="left"/>
      <w:pPr>
        <w:ind w:left="3167" w:hanging="360"/>
      </w:pPr>
      <w:rPr>
        <w:rFonts w:hint="default"/>
        <w:lang w:val="en-US" w:eastAsia="en-US" w:bidi="ar-SA"/>
      </w:rPr>
    </w:lvl>
    <w:lvl w:ilvl="4" w:tplc="2586E366">
      <w:numFmt w:val="bullet"/>
      <w:lvlText w:val="•"/>
      <w:lvlJc w:val="left"/>
      <w:pPr>
        <w:ind w:left="4169" w:hanging="360"/>
      </w:pPr>
      <w:rPr>
        <w:rFonts w:hint="default"/>
        <w:lang w:val="en-US" w:eastAsia="en-US" w:bidi="ar-SA"/>
      </w:rPr>
    </w:lvl>
    <w:lvl w:ilvl="5" w:tplc="4306D220">
      <w:numFmt w:val="bullet"/>
      <w:lvlText w:val="•"/>
      <w:lvlJc w:val="left"/>
      <w:pPr>
        <w:ind w:left="5172" w:hanging="360"/>
      </w:pPr>
      <w:rPr>
        <w:rFonts w:hint="default"/>
        <w:lang w:val="en-US" w:eastAsia="en-US" w:bidi="ar-SA"/>
      </w:rPr>
    </w:lvl>
    <w:lvl w:ilvl="6" w:tplc="B804FB72">
      <w:numFmt w:val="bullet"/>
      <w:lvlText w:val="•"/>
      <w:lvlJc w:val="left"/>
      <w:pPr>
        <w:ind w:left="6174" w:hanging="360"/>
      </w:pPr>
      <w:rPr>
        <w:rFonts w:hint="default"/>
        <w:lang w:val="en-US" w:eastAsia="en-US" w:bidi="ar-SA"/>
      </w:rPr>
    </w:lvl>
    <w:lvl w:ilvl="7" w:tplc="06DEF2FE">
      <w:numFmt w:val="bullet"/>
      <w:lvlText w:val="•"/>
      <w:lvlJc w:val="left"/>
      <w:pPr>
        <w:ind w:left="7177" w:hanging="360"/>
      </w:pPr>
      <w:rPr>
        <w:rFonts w:hint="default"/>
        <w:lang w:val="en-US" w:eastAsia="en-US" w:bidi="ar-SA"/>
      </w:rPr>
    </w:lvl>
    <w:lvl w:ilvl="8" w:tplc="95020114">
      <w:numFmt w:val="bullet"/>
      <w:lvlText w:val="•"/>
      <w:lvlJc w:val="left"/>
      <w:pPr>
        <w:ind w:left="8179" w:hanging="360"/>
      </w:pPr>
      <w:rPr>
        <w:rFonts w:hint="default"/>
        <w:lang w:val="en-US" w:eastAsia="en-US" w:bidi="ar-SA"/>
      </w:rPr>
    </w:lvl>
  </w:abstractNum>
  <w:abstractNum w:abstractNumId="118" w15:restartNumberingAfterBreak="0">
    <w:nsid w:val="7BA37AEF"/>
    <w:multiLevelType w:val="hybridMultilevel"/>
    <w:tmpl w:val="DB560BC4"/>
    <w:lvl w:ilvl="0" w:tplc="C054CE50">
      <w:start w:val="1"/>
      <w:numFmt w:val="decimal"/>
      <w:lvlText w:val="%1."/>
      <w:lvlJc w:val="left"/>
      <w:pPr>
        <w:ind w:left="1180" w:hanging="720"/>
        <w:jc w:val="left"/>
      </w:pPr>
      <w:rPr>
        <w:rFonts w:ascii="Calibri Light" w:eastAsia="Calibri Light" w:hAnsi="Calibri Light" w:cs="Calibri Light" w:hint="default"/>
        <w:b w:val="0"/>
        <w:bCs w:val="0"/>
        <w:i w:val="0"/>
        <w:iCs w:val="0"/>
        <w:w w:val="99"/>
        <w:sz w:val="22"/>
        <w:szCs w:val="22"/>
        <w:lang w:val="en-US" w:eastAsia="en-US" w:bidi="ar-SA"/>
      </w:rPr>
    </w:lvl>
    <w:lvl w:ilvl="1" w:tplc="4E50B268">
      <w:numFmt w:val="bullet"/>
      <w:lvlText w:val="•"/>
      <w:lvlJc w:val="left"/>
      <w:pPr>
        <w:ind w:left="2080" w:hanging="720"/>
      </w:pPr>
      <w:rPr>
        <w:rFonts w:hint="default"/>
        <w:lang w:val="en-US" w:eastAsia="en-US" w:bidi="ar-SA"/>
      </w:rPr>
    </w:lvl>
    <w:lvl w:ilvl="2" w:tplc="E15079A0">
      <w:numFmt w:val="bullet"/>
      <w:lvlText w:val="•"/>
      <w:lvlJc w:val="left"/>
      <w:pPr>
        <w:ind w:left="2980" w:hanging="720"/>
      </w:pPr>
      <w:rPr>
        <w:rFonts w:hint="default"/>
        <w:lang w:val="en-US" w:eastAsia="en-US" w:bidi="ar-SA"/>
      </w:rPr>
    </w:lvl>
    <w:lvl w:ilvl="3" w:tplc="53F2CB26">
      <w:numFmt w:val="bullet"/>
      <w:lvlText w:val="•"/>
      <w:lvlJc w:val="left"/>
      <w:pPr>
        <w:ind w:left="3881" w:hanging="720"/>
      </w:pPr>
      <w:rPr>
        <w:rFonts w:hint="default"/>
        <w:lang w:val="en-US" w:eastAsia="en-US" w:bidi="ar-SA"/>
      </w:rPr>
    </w:lvl>
    <w:lvl w:ilvl="4" w:tplc="03F66BD0">
      <w:numFmt w:val="bullet"/>
      <w:lvlText w:val="•"/>
      <w:lvlJc w:val="left"/>
      <w:pPr>
        <w:ind w:left="4781" w:hanging="720"/>
      </w:pPr>
      <w:rPr>
        <w:rFonts w:hint="default"/>
        <w:lang w:val="en-US" w:eastAsia="en-US" w:bidi="ar-SA"/>
      </w:rPr>
    </w:lvl>
    <w:lvl w:ilvl="5" w:tplc="6BD416E0">
      <w:numFmt w:val="bullet"/>
      <w:lvlText w:val="•"/>
      <w:lvlJc w:val="left"/>
      <w:pPr>
        <w:ind w:left="5682" w:hanging="720"/>
      </w:pPr>
      <w:rPr>
        <w:rFonts w:hint="default"/>
        <w:lang w:val="en-US" w:eastAsia="en-US" w:bidi="ar-SA"/>
      </w:rPr>
    </w:lvl>
    <w:lvl w:ilvl="6" w:tplc="FC141360">
      <w:numFmt w:val="bullet"/>
      <w:lvlText w:val="•"/>
      <w:lvlJc w:val="left"/>
      <w:pPr>
        <w:ind w:left="6582" w:hanging="720"/>
      </w:pPr>
      <w:rPr>
        <w:rFonts w:hint="default"/>
        <w:lang w:val="en-US" w:eastAsia="en-US" w:bidi="ar-SA"/>
      </w:rPr>
    </w:lvl>
    <w:lvl w:ilvl="7" w:tplc="8C62131C">
      <w:numFmt w:val="bullet"/>
      <w:lvlText w:val="•"/>
      <w:lvlJc w:val="left"/>
      <w:pPr>
        <w:ind w:left="7483" w:hanging="720"/>
      </w:pPr>
      <w:rPr>
        <w:rFonts w:hint="default"/>
        <w:lang w:val="en-US" w:eastAsia="en-US" w:bidi="ar-SA"/>
      </w:rPr>
    </w:lvl>
    <w:lvl w:ilvl="8" w:tplc="946434B4">
      <w:numFmt w:val="bullet"/>
      <w:lvlText w:val="•"/>
      <w:lvlJc w:val="left"/>
      <w:pPr>
        <w:ind w:left="8383" w:hanging="720"/>
      </w:pPr>
      <w:rPr>
        <w:rFonts w:hint="default"/>
        <w:lang w:val="en-US" w:eastAsia="en-US" w:bidi="ar-SA"/>
      </w:rPr>
    </w:lvl>
  </w:abstractNum>
  <w:abstractNum w:abstractNumId="119" w15:restartNumberingAfterBreak="0">
    <w:nsid w:val="7D9479FE"/>
    <w:multiLevelType w:val="hybridMultilevel"/>
    <w:tmpl w:val="B868E378"/>
    <w:lvl w:ilvl="0" w:tplc="1422D15C">
      <w:numFmt w:val="bullet"/>
      <w:lvlText w:val=""/>
      <w:lvlJc w:val="left"/>
      <w:pPr>
        <w:ind w:left="412" w:hanging="285"/>
      </w:pPr>
      <w:rPr>
        <w:rFonts w:ascii="Symbol" w:eastAsia="Symbol" w:hAnsi="Symbol" w:cs="Symbol" w:hint="default"/>
        <w:b w:val="0"/>
        <w:bCs w:val="0"/>
        <w:i w:val="0"/>
        <w:iCs w:val="0"/>
        <w:w w:val="99"/>
        <w:sz w:val="22"/>
        <w:szCs w:val="22"/>
        <w:lang w:val="en-US" w:eastAsia="en-US" w:bidi="ar-SA"/>
      </w:rPr>
    </w:lvl>
    <w:lvl w:ilvl="1" w:tplc="5AAA8224">
      <w:numFmt w:val="bullet"/>
      <w:lvlText w:val="•"/>
      <w:lvlJc w:val="left"/>
      <w:pPr>
        <w:ind w:left="1111" w:hanging="285"/>
      </w:pPr>
      <w:rPr>
        <w:rFonts w:hint="default"/>
        <w:lang w:val="en-US" w:eastAsia="en-US" w:bidi="ar-SA"/>
      </w:rPr>
    </w:lvl>
    <w:lvl w:ilvl="2" w:tplc="42DA2E62">
      <w:numFmt w:val="bullet"/>
      <w:lvlText w:val="•"/>
      <w:lvlJc w:val="left"/>
      <w:pPr>
        <w:ind w:left="1803" w:hanging="285"/>
      </w:pPr>
      <w:rPr>
        <w:rFonts w:hint="default"/>
        <w:lang w:val="en-US" w:eastAsia="en-US" w:bidi="ar-SA"/>
      </w:rPr>
    </w:lvl>
    <w:lvl w:ilvl="3" w:tplc="C9764024">
      <w:numFmt w:val="bullet"/>
      <w:lvlText w:val="•"/>
      <w:lvlJc w:val="left"/>
      <w:pPr>
        <w:ind w:left="2494" w:hanging="285"/>
      </w:pPr>
      <w:rPr>
        <w:rFonts w:hint="default"/>
        <w:lang w:val="en-US" w:eastAsia="en-US" w:bidi="ar-SA"/>
      </w:rPr>
    </w:lvl>
    <w:lvl w:ilvl="4" w:tplc="0CA47410">
      <w:numFmt w:val="bullet"/>
      <w:lvlText w:val="•"/>
      <w:lvlJc w:val="left"/>
      <w:pPr>
        <w:ind w:left="3186" w:hanging="285"/>
      </w:pPr>
      <w:rPr>
        <w:rFonts w:hint="default"/>
        <w:lang w:val="en-US" w:eastAsia="en-US" w:bidi="ar-SA"/>
      </w:rPr>
    </w:lvl>
    <w:lvl w:ilvl="5" w:tplc="2F04F216">
      <w:numFmt w:val="bullet"/>
      <w:lvlText w:val="•"/>
      <w:lvlJc w:val="left"/>
      <w:pPr>
        <w:ind w:left="3877" w:hanging="285"/>
      </w:pPr>
      <w:rPr>
        <w:rFonts w:hint="default"/>
        <w:lang w:val="en-US" w:eastAsia="en-US" w:bidi="ar-SA"/>
      </w:rPr>
    </w:lvl>
    <w:lvl w:ilvl="6" w:tplc="DFDA55D8">
      <w:numFmt w:val="bullet"/>
      <w:lvlText w:val="•"/>
      <w:lvlJc w:val="left"/>
      <w:pPr>
        <w:ind w:left="4569" w:hanging="285"/>
      </w:pPr>
      <w:rPr>
        <w:rFonts w:hint="default"/>
        <w:lang w:val="en-US" w:eastAsia="en-US" w:bidi="ar-SA"/>
      </w:rPr>
    </w:lvl>
    <w:lvl w:ilvl="7" w:tplc="91420A28">
      <w:numFmt w:val="bullet"/>
      <w:lvlText w:val="•"/>
      <w:lvlJc w:val="left"/>
      <w:pPr>
        <w:ind w:left="5260" w:hanging="285"/>
      </w:pPr>
      <w:rPr>
        <w:rFonts w:hint="default"/>
        <w:lang w:val="en-US" w:eastAsia="en-US" w:bidi="ar-SA"/>
      </w:rPr>
    </w:lvl>
    <w:lvl w:ilvl="8" w:tplc="E42ACB50">
      <w:numFmt w:val="bullet"/>
      <w:lvlText w:val="•"/>
      <w:lvlJc w:val="left"/>
      <w:pPr>
        <w:ind w:left="5952" w:hanging="285"/>
      </w:pPr>
      <w:rPr>
        <w:rFonts w:hint="default"/>
        <w:lang w:val="en-US" w:eastAsia="en-US" w:bidi="ar-SA"/>
      </w:rPr>
    </w:lvl>
  </w:abstractNum>
  <w:num w:numId="1" w16cid:durableId="1780373512">
    <w:abstractNumId w:val="40"/>
  </w:num>
  <w:num w:numId="2" w16cid:durableId="945818318">
    <w:abstractNumId w:val="64"/>
  </w:num>
  <w:num w:numId="3" w16cid:durableId="539900559">
    <w:abstractNumId w:val="14"/>
  </w:num>
  <w:num w:numId="4" w16cid:durableId="971596992">
    <w:abstractNumId w:val="114"/>
  </w:num>
  <w:num w:numId="5" w16cid:durableId="619995391">
    <w:abstractNumId w:val="4"/>
  </w:num>
  <w:num w:numId="6" w16cid:durableId="181746123">
    <w:abstractNumId w:val="26"/>
  </w:num>
  <w:num w:numId="7" w16cid:durableId="994990016">
    <w:abstractNumId w:val="73"/>
  </w:num>
  <w:num w:numId="8" w16cid:durableId="721712402">
    <w:abstractNumId w:val="16"/>
  </w:num>
  <w:num w:numId="9" w16cid:durableId="775173247">
    <w:abstractNumId w:val="36"/>
  </w:num>
  <w:num w:numId="10" w16cid:durableId="79910086">
    <w:abstractNumId w:val="22"/>
  </w:num>
  <w:num w:numId="11" w16cid:durableId="791166467">
    <w:abstractNumId w:val="28"/>
  </w:num>
  <w:num w:numId="12" w16cid:durableId="1608150063">
    <w:abstractNumId w:val="59"/>
  </w:num>
  <w:num w:numId="13" w16cid:durableId="7758339">
    <w:abstractNumId w:val="6"/>
  </w:num>
  <w:num w:numId="14" w16cid:durableId="1463957936">
    <w:abstractNumId w:val="52"/>
  </w:num>
  <w:num w:numId="15" w16cid:durableId="561720397">
    <w:abstractNumId w:val="110"/>
  </w:num>
  <w:num w:numId="16" w16cid:durableId="2069453429">
    <w:abstractNumId w:val="9"/>
  </w:num>
  <w:num w:numId="17" w16cid:durableId="1585728162">
    <w:abstractNumId w:val="1"/>
  </w:num>
  <w:num w:numId="18" w16cid:durableId="1678076980">
    <w:abstractNumId w:val="103"/>
  </w:num>
  <w:num w:numId="19" w16cid:durableId="184364646">
    <w:abstractNumId w:val="15"/>
  </w:num>
  <w:num w:numId="20" w16cid:durableId="916283440">
    <w:abstractNumId w:val="93"/>
  </w:num>
  <w:num w:numId="21" w16cid:durableId="1493713806">
    <w:abstractNumId w:val="41"/>
  </w:num>
  <w:num w:numId="22" w16cid:durableId="423765625">
    <w:abstractNumId w:val="119"/>
  </w:num>
  <w:num w:numId="23" w16cid:durableId="1673750911">
    <w:abstractNumId w:val="0"/>
  </w:num>
  <w:num w:numId="24" w16cid:durableId="1719164762">
    <w:abstractNumId w:val="99"/>
  </w:num>
  <w:num w:numId="25" w16cid:durableId="1040546886">
    <w:abstractNumId w:val="97"/>
  </w:num>
  <w:num w:numId="26" w16cid:durableId="2142651754">
    <w:abstractNumId w:val="56"/>
  </w:num>
  <w:num w:numId="27" w16cid:durableId="265844031">
    <w:abstractNumId w:val="30"/>
  </w:num>
  <w:num w:numId="28" w16cid:durableId="73288200">
    <w:abstractNumId w:val="32"/>
  </w:num>
  <w:num w:numId="29" w16cid:durableId="849216168">
    <w:abstractNumId w:val="49"/>
  </w:num>
  <w:num w:numId="30" w16cid:durableId="227308781">
    <w:abstractNumId w:val="68"/>
  </w:num>
  <w:num w:numId="31" w16cid:durableId="716776391">
    <w:abstractNumId w:val="111"/>
  </w:num>
  <w:num w:numId="32" w16cid:durableId="457184925">
    <w:abstractNumId w:val="60"/>
  </w:num>
  <w:num w:numId="33" w16cid:durableId="1629241735">
    <w:abstractNumId w:val="45"/>
  </w:num>
  <w:num w:numId="34" w16cid:durableId="1657110149">
    <w:abstractNumId w:val="37"/>
  </w:num>
  <w:num w:numId="35" w16cid:durableId="1186093153">
    <w:abstractNumId w:val="109"/>
  </w:num>
  <w:num w:numId="36" w16cid:durableId="815797715">
    <w:abstractNumId w:val="105"/>
  </w:num>
  <w:num w:numId="37" w16cid:durableId="945044291">
    <w:abstractNumId w:val="34"/>
  </w:num>
  <w:num w:numId="38" w16cid:durableId="578178393">
    <w:abstractNumId w:val="92"/>
  </w:num>
  <w:num w:numId="39" w16cid:durableId="945848069">
    <w:abstractNumId w:val="61"/>
  </w:num>
  <w:num w:numId="40" w16cid:durableId="588317918">
    <w:abstractNumId w:val="7"/>
  </w:num>
  <w:num w:numId="41" w16cid:durableId="61493716">
    <w:abstractNumId w:val="33"/>
  </w:num>
  <w:num w:numId="42" w16cid:durableId="1690449230">
    <w:abstractNumId w:val="38"/>
  </w:num>
  <w:num w:numId="43" w16cid:durableId="2000035265">
    <w:abstractNumId w:val="55"/>
  </w:num>
  <w:num w:numId="44" w16cid:durableId="1980186233">
    <w:abstractNumId w:val="112"/>
  </w:num>
  <w:num w:numId="45" w16cid:durableId="1587762018">
    <w:abstractNumId w:val="23"/>
  </w:num>
  <w:num w:numId="46" w16cid:durableId="607667134">
    <w:abstractNumId w:val="89"/>
  </w:num>
  <w:num w:numId="47" w16cid:durableId="468938668">
    <w:abstractNumId w:val="65"/>
  </w:num>
  <w:num w:numId="48" w16cid:durableId="544101838">
    <w:abstractNumId w:val="87"/>
  </w:num>
  <w:num w:numId="49" w16cid:durableId="1224635680">
    <w:abstractNumId w:val="2"/>
  </w:num>
  <w:num w:numId="50" w16cid:durableId="672491857">
    <w:abstractNumId w:val="79"/>
  </w:num>
  <w:num w:numId="51" w16cid:durableId="2000840618">
    <w:abstractNumId w:val="19"/>
  </w:num>
  <w:num w:numId="52" w16cid:durableId="475494702">
    <w:abstractNumId w:val="46"/>
  </w:num>
  <w:num w:numId="53" w16cid:durableId="939024008">
    <w:abstractNumId w:val="25"/>
  </w:num>
  <w:num w:numId="54" w16cid:durableId="603684608">
    <w:abstractNumId w:val="27"/>
  </w:num>
  <w:num w:numId="55" w16cid:durableId="1178694929">
    <w:abstractNumId w:val="75"/>
  </w:num>
  <w:num w:numId="56" w16cid:durableId="453982407">
    <w:abstractNumId w:val="96"/>
  </w:num>
  <w:num w:numId="57" w16cid:durableId="1390226933">
    <w:abstractNumId w:val="42"/>
  </w:num>
  <w:num w:numId="58" w16cid:durableId="1551653980">
    <w:abstractNumId w:val="78"/>
  </w:num>
  <w:num w:numId="59" w16cid:durableId="1032071912">
    <w:abstractNumId w:val="24"/>
  </w:num>
  <w:num w:numId="60" w16cid:durableId="2145544025">
    <w:abstractNumId w:val="63"/>
  </w:num>
  <w:num w:numId="61" w16cid:durableId="115027578">
    <w:abstractNumId w:val="12"/>
  </w:num>
  <w:num w:numId="62" w16cid:durableId="664626409">
    <w:abstractNumId w:val="57"/>
  </w:num>
  <w:num w:numId="63" w16cid:durableId="781613835">
    <w:abstractNumId w:val="108"/>
  </w:num>
  <w:num w:numId="64" w16cid:durableId="1852379207">
    <w:abstractNumId w:val="39"/>
  </w:num>
  <w:num w:numId="65" w16cid:durableId="1932658727">
    <w:abstractNumId w:val="106"/>
  </w:num>
  <w:num w:numId="66" w16cid:durableId="670572071">
    <w:abstractNumId w:val="29"/>
  </w:num>
  <w:num w:numId="67" w16cid:durableId="938565174">
    <w:abstractNumId w:val="5"/>
  </w:num>
  <w:num w:numId="68" w16cid:durableId="1510212924">
    <w:abstractNumId w:val="62"/>
  </w:num>
  <w:num w:numId="69" w16cid:durableId="1889411031">
    <w:abstractNumId w:val="21"/>
  </w:num>
  <w:num w:numId="70" w16cid:durableId="2076394539">
    <w:abstractNumId w:val="69"/>
  </w:num>
  <w:num w:numId="71" w16cid:durableId="648562407">
    <w:abstractNumId w:val="83"/>
  </w:num>
  <w:num w:numId="72" w16cid:durableId="267006008">
    <w:abstractNumId w:val="51"/>
  </w:num>
  <w:num w:numId="73" w16cid:durableId="1611089200">
    <w:abstractNumId w:val="102"/>
  </w:num>
  <w:num w:numId="74" w16cid:durableId="1689482938">
    <w:abstractNumId w:val="54"/>
  </w:num>
  <w:num w:numId="75" w16cid:durableId="592783039">
    <w:abstractNumId w:val="98"/>
  </w:num>
  <w:num w:numId="76" w16cid:durableId="814103503">
    <w:abstractNumId w:val="13"/>
  </w:num>
  <w:num w:numId="77" w16cid:durableId="1864055150">
    <w:abstractNumId w:val="10"/>
  </w:num>
  <w:num w:numId="78" w16cid:durableId="353922084">
    <w:abstractNumId w:val="80"/>
  </w:num>
  <w:num w:numId="79" w16cid:durableId="218397994">
    <w:abstractNumId w:val="8"/>
  </w:num>
  <w:num w:numId="80" w16cid:durableId="1798797110">
    <w:abstractNumId w:val="76"/>
  </w:num>
  <w:num w:numId="81" w16cid:durableId="1902129571">
    <w:abstractNumId w:val="84"/>
  </w:num>
  <w:num w:numId="82" w16cid:durableId="1584412088">
    <w:abstractNumId w:val="116"/>
  </w:num>
  <w:num w:numId="83" w16cid:durableId="2038969562">
    <w:abstractNumId w:val="81"/>
  </w:num>
  <w:num w:numId="84" w16cid:durableId="1458181084">
    <w:abstractNumId w:val="107"/>
  </w:num>
  <w:num w:numId="85" w16cid:durableId="288049361">
    <w:abstractNumId w:val="67"/>
  </w:num>
  <w:num w:numId="86" w16cid:durableId="721178092">
    <w:abstractNumId w:val="44"/>
  </w:num>
  <w:num w:numId="87" w16cid:durableId="970985444">
    <w:abstractNumId w:val="100"/>
  </w:num>
  <w:num w:numId="88" w16cid:durableId="343017640">
    <w:abstractNumId w:val="18"/>
  </w:num>
  <w:num w:numId="89" w16cid:durableId="1182545719">
    <w:abstractNumId w:val="104"/>
  </w:num>
  <w:num w:numId="90" w16cid:durableId="581915008">
    <w:abstractNumId w:val="71"/>
  </w:num>
  <w:num w:numId="91" w16cid:durableId="1450466759">
    <w:abstractNumId w:val="88"/>
  </w:num>
  <w:num w:numId="92" w16cid:durableId="712928243">
    <w:abstractNumId w:val="48"/>
  </w:num>
  <w:num w:numId="93" w16cid:durableId="2041971927">
    <w:abstractNumId w:val="35"/>
  </w:num>
  <w:num w:numId="94" w16cid:durableId="1461150378">
    <w:abstractNumId w:val="3"/>
  </w:num>
  <w:num w:numId="95" w16cid:durableId="1661347808">
    <w:abstractNumId w:val="115"/>
  </w:num>
  <w:num w:numId="96" w16cid:durableId="867917079">
    <w:abstractNumId w:val="66"/>
  </w:num>
  <w:num w:numId="97" w16cid:durableId="1784492157">
    <w:abstractNumId w:val="117"/>
  </w:num>
  <w:num w:numId="98" w16cid:durableId="775516578">
    <w:abstractNumId w:val="77"/>
  </w:num>
  <w:num w:numId="99" w16cid:durableId="1140348391">
    <w:abstractNumId w:val="91"/>
  </w:num>
  <w:num w:numId="100" w16cid:durableId="1941527060">
    <w:abstractNumId w:val="72"/>
  </w:num>
  <w:num w:numId="101" w16cid:durableId="1165047225">
    <w:abstractNumId w:val="50"/>
  </w:num>
  <w:num w:numId="102" w16cid:durableId="206377152">
    <w:abstractNumId w:val="85"/>
  </w:num>
  <w:num w:numId="103" w16cid:durableId="1656639605">
    <w:abstractNumId w:val="90"/>
  </w:num>
  <w:num w:numId="104" w16cid:durableId="1021662812">
    <w:abstractNumId w:val="31"/>
  </w:num>
  <w:num w:numId="105" w16cid:durableId="685711463">
    <w:abstractNumId w:val="43"/>
  </w:num>
  <w:num w:numId="106" w16cid:durableId="1951009804">
    <w:abstractNumId w:val="11"/>
  </w:num>
  <w:num w:numId="107" w16cid:durableId="1773158533">
    <w:abstractNumId w:val="86"/>
  </w:num>
  <w:num w:numId="108" w16cid:durableId="490754414">
    <w:abstractNumId w:val="94"/>
  </w:num>
  <w:num w:numId="109" w16cid:durableId="1477333121">
    <w:abstractNumId w:val="95"/>
  </w:num>
  <w:num w:numId="110" w16cid:durableId="941915915">
    <w:abstractNumId w:val="53"/>
  </w:num>
  <w:num w:numId="111" w16cid:durableId="2018845120">
    <w:abstractNumId w:val="47"/>
  </w:num>
  <w:num w:numId="112" w16cid:durableId="1755203647">
    <w:abstractNumId w:val="113"/>
  </w:num>
  <w:num w:numId="113" w16cid:durableId="516164139">
    <w:abstractNumId w:val="82"/>
  </w:num>
  <w:num w:numId="114" w16cid:durableId="138351664">
    <w:abstractNumId w:val="101"/>
  </w:num>
  <w:num w:numId="115" w16cid:durableId="1895850971">
    <w:abstractNumId w:val="17"/>
  </w:num>
  <w:num w:numId="116" w16cid:durableId="162476087">
    <w:abstractNumId w:val="118"/>
  </w:num>
  <w:num w:numId="117" w16cid:durableId="1328172063">
    <w:abstractNumId w:val="74"/>
  </w:num>
  <w:num w:numId="118" w16cid:durableId="1172452150">
    <w:abstractNumId w:val="70"/>
  </w:num>
  <w:num w:numId="119" w16cid:durableId="1360812782">
    <w:abstractNumId w:val="58"/>
  </w:num>
  <w:num w:numId="120" w16cid:durableId="45687731">
    <w:abstractNumId w:val="2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B97"/>
    <w:rsid w:val="00141B97"/>
    <w:rsid w:val="002023A0"/>
    <w:rsid w:val="00540098"/>
    <w:rsid w:val="00795141"/>
    <w:rsid w:val="00911D63"/>
    <w:rsid w:val="00AD1714"/>
    <w:rsid w:val="00B05967"/>
    <w:rsid w:val="00B4135A"/>
    <w:rsid w:val="00F10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1A3E3"/>
  <w15:docId w15:val="{82B27856-7935-4B48-A591-94BBE2CF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line="577" w:lineRule="exact"/>
      <w:ind w:left="1112"/>
      <w:outlineLvl w:val="0"/>
    </w:pPr>
    <w:rPr>
      <w:sz w:val="48"/>
      <w:szCs w:val="48"/>
    </w:rPr>
  </w:style>
  <w:style w:type="paragraph" w:styleId="Heading2">
    <w:name w:val="heading 2"/>
    <w:basedOn w:val="Normal"/>
    <w:uiPriority w:val="9"/>
    <w:unhideWhenUsed/>
    <w:qFormat/>
    <w:pPr>
      <w:ind w:left="1112" w:hanging="999"/>
      <w:outlineLvl w:val="1"/>
    </w:pPr>
    <w:rPr>
      <w:sz w:val="28"/>
      <w:szCs w:val="28"/>
    </w:rPr>
  </w:style>
  <w:style w:type="paragraph" w:styleId="Heading3">
    <w:name w:val="heading 3"/>
    <w:basedOn w:val="Normal"/>
    <w:uiPriority w:val="9"/>
    <w:unhideWhenUsed/>
    <w:qFormat/>
    <w:pPr>
      <w:spacing w:before="120"/>
      <w:ind w:left="113"/>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721" w:hanging="568"/>
    </w:pPr>
    <w:rPr>
      <w:sz w:val="24"/>
      <w:szCs w:val="24"/>
    </w:rPr>
  </w:style>
  <w:style w:type="paragraph" w:styleId="TOC2">
    <w:name w:val="toc 2"/>
    <w:basedOn w:val="Normal"/>
    <w:uiPriority w:val="1"/>
    <w:qFormat/>
    <w:pPr>
      <w:spacing w:before="155"/>
      <w:ind w:left="1288" w:hanging="567"/>
    </w:pPr>
    <w:rPr>
      <w:sz w:val="20"/>
      <w:szCs w:val="20"/>
    </w:rPr>
  </w:style>
  <w:style w:type="paragraph" w:styleId="TOC3">
    <w:name w:val="toc 3"/>
    <w:basedOn w:val="Normal"/>
    <w:uiPriority w:val="1"/>
    <w:qFormat/>
    <w:pPr>
      <w:spacing w:before="122"/>
      <w:ind w:left="1968" w:hanging="681"/>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11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8.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50.png"/><Relationship Id="rId68" Type="http://schemas.openxmlformats.org/officeDocument/2006/relationships/footer" Target="footer7.xml"/><Relationship Id="rId84" Type="http://schemas.openxmlformats.org/officeDocument/2006/relationships/image" Target="media/image50.jpeg"/><Relationship Id="rId89" Type="http://schemas.openxmlformats.org/officeDocument/2006/relationships/footer" Target="footer14.xml"/><Relationship Id="rId112" Type="http://schemas.openxmlformats.org/officeDocument/2006/relationships/image" Target="media/image74.png"/><Relationship Id="rId16" Type="http://schemas.openxmlformats.org/officeDocument/2006/relationships/image" Target="media/image7.jpeg"/><Relationship Id="rId107" Type="http://schemas.openxmlformats.org/officeDocument/2006/relationships/image" Target="media/image68.jpeg"/><Relationship Id="rId11" Type="http://schemas.openxmlformats.org/officeDocument/2006/relationships/image" Target="media/image2.jpe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43.png"/><Relationship Id="rId79" Type="http://schemas.openxmlformats.org/officeDocument/2006/relationships/image" Target="media/image46.jpeg"/><Relationship Id="rId102" Type="http://schemas.openxmlformats.org/officeDocument/2006/relationships/footer" Target="footer16.xml"/><Relationship Id="rId5" Type="http://schemas.openxmlformats.org/officeDocument/2006/relationships/styles" Target="styles.xml"/><Relationship Id="rId90" Type="http://schemas.openxmlformats.org/officeDocument/2006/relationships/image" Target="media/image56.png"/><Relationship Id="rId95" Type="http://schemas.openxmlformats.org/officeDocument/2006/relationships/image" Target="media/image59.jpeg"/><Relationship Id="rId27" Type="http://schemas.openxmlformats.org/officeDocument/2006/relationships/footer" Target="footer4.xml"/><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51.png"/><Relationship Id="rId69" Type="http://schemas.openxmlformats.org/officeDocument/2006/relationships/image" Target="media/image42.png"/><Relationship Id="rId113" Type="http://schemas.openxmlformats.org/officeDocument/2006/relationships/image" Target="media/image75.png"/><Relationship Id="rId80" Type="http://schemas.openxmlformats.org/officeDocument/2006/relationships/image" Target="media/image47.png"/><Relationship Id="rId85" Type="http://schemas.openxmlformats.org/officeDocument/2006/relationships/image" Target="media/image53.pn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40.png"/><Relationship Id="rId103" Type="http://schemas.openxmlformats.org/officeDocument/2006/relationships/image" Target="media/image64.jpeg"/><Relationship Id="rId108" Type="http://schemas.openxmlformats.org/officeDocument/2006/relationships/image" Target="media/image69.jpeg"/><Relationship Id="rId54" Type="http://schemas.openxmlformats.org/officeDocument/2006/relationships/image" Target="media/image35.jpeg"/><Relationship Id="rId70" Type="http://schemas.openxmlformats.org/officeDocument/2006/relationships/image" Target="media/image54.png"/><Relationship Id="rId75" Type="http://schemas.openxmlformats.org/officeDocument/2006/relationships/footer" Target="footer11.xml"/><Relationship Id="rId91" Type="http://schemas.openxmlformats.org/officeDocument/2006/relationships/image" Target="media/image68.pn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png"/><Relationship Id="rId106" Type="http://schemas.openxmlformats.org/officeDocument/2006/relationships/image" Target="media/image67.png"/><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52.png"/><Relationship Id="rId73" Type="http://schemas.openxmlformats.org/officeDocument/2006/relationships/footer" Target="footer10.xml"/><Relationship Id="rId78" Type="http://schemas.openxmlformats.org/officeDocument/2006/relationships/image" Target="media/image45.jpeg"/><Relationship Id="rId81" Type="http://schemas.openxmlformats.org/officeDocument/2006/relationships/image" Target="media/image60.png"/><Relationship Id="rId86" Type="http://schemas.openxmlformats.org/officeDocument/2006/relationships/image" Target="media/image55.png"/><Relationship Id="rId94" Type="http://schemas.openxmlformats.org/officeDocument/2006/relationships/image" Target="media/image71.jpeg"/><Relationship Id="rId99" Type="http://schemas.openxmlformats.org/officeDocument/2006/relationships/image" Target="media/image63.png"/><Relationship Id="rId101" Type="http://schemas.openxmlformats.org/officeDocument/2006/relationships/footer" Target="footer1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0.jpeg"/><Relationship Id="rId109" Type="http://schemas.openxmlformats.org/officeDocument/2006/relationships/image" Target="media/image70.pn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44.jpeg"/><Relationship Id="rId97" Type="http://schemas.openxmlformats.org/officeDocument/2006/relationships/image" Target="media/image61.jpeg"/><Relationship Id="rId104" Type="http://schemas.openxmlformats.org/officeDocument/2006/relationships/footer" Target="footer17.xml"/><Relationship Id="rId7" Type="http://schemas.openxmlformats.org/officeDocument/2006/relationships/webSettings" Target="webSettings.xml"/><Relationship Id="rId71" Type="http://schemas.openxmlformats.org/officeDocument/2006/relationships/footer" Target="footer8.xml"/><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footer" Target="footer5.xml"/><Relationship Id="rId87" Type="http://schemas.openxmlformats.org/officeDocument/2006/relationships/image" Target="media/image66.png"/><Relationship Id="rId110" Type="http://schemas.openxmlformats.org/officeDocument/2006/relationships/image" Target="media/image72.jpeg"/><Relationship Id="rId115"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48.jpeg"/><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1.png"/><Relationship Id="rId35" Type="http://schemas.openxmlformats.org/officeDocument/2006/relationships/image" Target="media/image16.jpeg"/><Relationship Id="rId56" Type="http://schemas.openxmlformats.org/officeDocument/2006/relationships/image" Target="media/image37.png"/><Relationship Id="rId77" Type="http://schemas.openxmlformats.org/officeDocument/2006/relationships/footer" Target="footer12.xml"/><Relationship Id="rId100" Type="http://schemas.openxmlformats.org/officeDocument/2006/relationships/image" Target="media/image77.png"/><Relationship Id="rId105" Type="http://schemas.openxmlformats.org/officeDocument/2006/relationships/image" Target="media/image65.jpeg"/><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footer" Target="footer9.xml"/><Relationship Id="rId93" Type="http://schemas.openxmlformats.org/officeDocument/2006/relationships/image" Target="media/image58.jpeg"/><Relationship Id="rId98"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27.jpeg"/><Relationship Id="rId67" Type="http://schemas.openxmlformats.org/officeDocument/2006/relationships/footer" Target="footer6.xml"/><Relationship Id="rId20" Type="http://schemas.openxmlformats.org/officeDocument/2006/relationships/footer" Target="footer2.xml"/><Relationship Id="rId41" Type="http://schemas.openxmlformats.org/officeDocument/2006/relationships/image" Target="media/image22.jpeg"/><Relationship Id="rId62" Type="http://schemas.openxmlformats.org/officeDocument/2006/relationships/image" Target="media/image49.png"/><Relationship Id="rId83" Type="http://schemas.openxmlformats.org/officeDocument/2006/relationships/image" Target="media/image49.jpeg"/><Relationship Id="rId88" Type="http://schemas.openxmlformats.org/officeDocument/2006/relationships/footer" Target="footer13.xml"/><Relationship Id="rId11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16B8A2C91BC45ABDD92CEA8618734" ma:contentTypeVersion="14" ma:contentTypeDescription="Create a new document." ma:contentTypeScope="" ma:versionID="927416c30794a877d1c2650a734c5096">
  <xsd:schema xmlns:xsd="http://www.w3.org/2001/XMLSchema" xmlns:xs="http://www.w3.org/2001/XMLSchema" xmlns:p="http://schemas.microsoft.com/office/2006/metadata/properties" xmlns:ns2="fb747140-f783-4f59-8614-018c6afd717d" xmlns:ns3="9735b189-7d43-444d-8bb4-0cf2e8ea0f16" targetNamespace="http://schemas.microsoft.com/office/2006/metadata/properties" ma:root="true" ma:fieldsID="dc82c2e97be3ea8d77e23cc1c7751e68" ns2:_="" ns3:_="">
    <xsd:import namespace="fb747140-f783-4f59-8614-018c6afd717d"/>
    <xsd:import namespace="9735b189-7d43-444d-8bb4-0cf2e8ea0f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47140-f783-4f59-8614-018c6afd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5b189-7d43-444d-8bb4-0cf2e8ea0f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175a91f-47c8-4324-9b6e-041578865764}" ma:internalName="TaxCatchAll" ma:showField="CatchAllData" ma:web="9735b189-7d43-444d-8bb4-0cf2e8ea0f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747140-f783-4f59-8614-018c6afd717d">
      <Terms xmlns="http://schemas.microsoft.com/office/infopath/2007/PartnerControls"/>
    </lcf76f155ced4ddcb4097134ff3c332f>
    <TaxCatchAll xmlns="9735b189-7d43-444d-8bb4-0cf2e8ea0f16" xsi:nil="true"/>
  </documentManagement>
</p:properties>
</file>

<file path=customXml/itemProps1.xml><?xml version="1.0" encoding="utf-8"?>
<ds:datastoreItem xmlns:ds="http://schemas.openxmlformats.org/officeDocument/2006/customXml" ds:itemID="{2A763990-3803-4571-B723-C3523937E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47140-f783-4f59-8614-018c6afd717d"/>
    <ds:schemaRef ds:uri="9735b189-7d43-444d-8bb4-0cf2e8ea0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814AC-930C-43C6-81FD-3C37759107F7}">
  <ds:schemaRefs>
    <ds:schemaRef ds:uri="http://schemas.microsoft.com/sharepoint/v3/contenttype/forms"/>
  </ds:schemaRefs>
</ds:datastoreItem>
</file>

<file path=customXml/itemProps3.xml><?xml version="1.0" encoding="utf-8"?>
<ds:datastoreItem xmlns:ds="http://schemas.openxmlformats.org/officeDocument/2006/customXml" ds:itemID="{A9EFB16C-BA2D-4820-A69E-4174D76F1B0B}">
  <ds:schemaRefs>
    <ds:schemaRef ds:uri="http://schemas.microsoft.com/office/2006/metadata/properties"/>
    <ds:schemaRef ds:uri="http://schemas.microsoft.com/office/infopath/2007/PartnerControls"/>
    <ds:schemaRef ds:uri="fb747140-f783-4f59-8614-018c6afd717d"/>
    <ds:schemaRef ds:uri="9735b189-7d43-444d-8bb4-0cf2e8ea0f1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178</Pages>
  <Words>62869</Words>
  <Characters>355785</Characters>
  <Application>Microsoft Office Word</Application>
  <DocSecurity>0</DocSecurity>
  <Lines>16957</Lines>
  <Paragraphs>10253</Paragraphs>
  <ScaleCrop>false</ScaleCrop>
  <HeadingPairs>
    <vt:vector size="2" baseType="variant">
      <vt:variant>
        <vt:lpstr>Title</vt:lpstr>
      </vt:variant>
      <vt:variant>
        <vt:i4>1</vt:i4>
      </vt:variant>
    </vt:vector>
  </HeadingPairs>
  <TitlesOfParts>
    <vt:vector size="1" baseType="lpstr">
      <vt:lpstr>Microsoft Word - LMW Statement of Promise.docx</vt:lpstr>
    </vt:vector>
  </TitlesOfParts>
  <Company/>
  <LinksUpToDate>false</LinksUpToDate>
  <CharactersWithSpaces>408982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LMW Statement of Promise.docx</dc:title>
  <dc:creator>nsheriff</dc:creator>
  <cp:keywords>[SEC=UNOFFICIAL]</cp:keywords>
  <cp:lastModifiedBy>Nikki Vu (ESC)</cp:lastModifiedBy>
  <cp:revision>3</cp:revision>
  <dcterms:created xsi:type="dcterms:W3CDTF">2022-10-03T05:37:00Z</dcterms:created>
  <dcterms:modified xsi:type="dcterms:W3CDTF">2022-10-05T03:19:00Z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PScript5.dll Version 5.2.2</vt:lpwstr>
  </property>
  <property fmtid="{D5CDD505-2E9C-101B-9397-08002B2CF9AE}" pid="4" name="LastSaved">
    <vt:filetime>2022-09-30T00:00:00Z</vt:filetime>
  </property>
  <property fmtid="{D5CDD505-2E9C-101B-9397-08002B2CF9AE}" pid="5" name="Producer">
    <vt:lpwstr>Acrobat Distiller 22.0 (Windows)</vt:lpwstr>
  </property>
  <property fmtid="{D5CDD505-2E9C-101B-9397-08002B2CF9AE}" pid="6" name="ContentTypeId">
    <vt:lpwstr>0x010100A2716B8A2C91BC45ABDD92CEA8618734</vt:lpwstr>
  </property>
  <property fmtid="{D5CDD505-2E9C-101B-9397-08002B2CF9AE}" pid="7" name="PM_ProtectiveMarkingImage_Header">
    <vt:lpwstr>C:\Program Files\Common Files\janusNET Shared\janusSEAL\Images\DocumentSlashBlue.png</vt:lpwstr>
  </property>
  <property fmtid="{D5CDD505-2E9C-101B-9397-08002B2CF9AE}" pid="8" name="PM_Caveats_Count">
    <vt:lpwstr>0</vt:lpwstr>
  </property>
  <property fmtid="{D5CDD505-2E9C-101B-9397-08002B2CF9AE}" pid="9" name="PM_DisplayValueSecClassificationWithQualifier">
    <vt:lpwstr>UNOFFICIAL</vt:lpwstr>
  </property>
  <property fmtid="{D5CDD505-2E9C-101B-9397-08002B2CF9AE}" pid="10" name="PM_Qualifier">
    <vt:lpwstr/>
  </property>
  <property fmtid="{D5CDD505-2E9C-101B-9397-08002B2CF9AE}" pid="11" name="PM_SecurityClassification">
    <vt:lpwstr>UNOFFICIAL</vt:lpwstr>
  </property>
  <property fmtid="{D5CDD505-2E9C-101B-9397-08002B2CF9AE}" pid="12" name="PM_InsertionValue">
    <vt:lpwstr>UNOFFICIAL</vt:lpwstr>
  </property>
  <property fmtid="{D5CDD505-2E9C-101B-9397-08002B2CF9AE}" pid="13" name="PM_Originating_FileId">
    <vt:lpwstr>3775E16FA85749999E9A968FCAAE21A7</vt:lpwstr>
  </property>
  <property fmtid="{D5CDD505-2E9C-101B-9397-08002B2CF9AE}" pid="14" name="PM_ProtectiveMarkingValue_Footer">
    <vt:lpwstr>UNOFFICIAL</vt:lpwstr>
  </property>
  <property fmtid="{D5CDD505-2E9C-101B-9397-08002B2CF9AE}" pid="15" name="PM_Originator_Hash_SHA1">
    <vt:lpwstr>4AF4B8CB6BBA66737545746DB4E64741FC6E323D</vt:lpwstr>
  </property>
  <property fmtid="{D5CDD505-2E9C-101B-9397-08002B2CF9AE}" pid="16" name="PM_OriginationTimeStamp">
    <vt:lpwstr>2022-10-05T03:18:58Z</vt:lpwstr>
  </property>
  <property fmtid="{D5CDD505-2E9C-101B-9397-08002B2CF9AE}" pid="17" name="PM_ProtectiveMarkingValue_Header">
    <vt:lpwstr>UNOFFICIAL</vt:lpwstr>
  </property>
  <property fmtid="{D5CDD505-2E9C-101B-9397-08002B2CF9AE}" pid="18" name="PM_ProtectiveMarkingImage_Footer">
    <vt:lpwstr>C:\Program Files\Common Files\janusNET Shared\janusSEAL\Images\DocumentSlashBlue.png</vt:lpwstr>
  </property>
  <property fmtid="{D5CDD505-2E9C-101B-9397-08002B2CF9AE}" pid="19" name="PM_Namespace">
    <vt:lpwstr>2019.2.1.vic.gov.au</vt:lpwstr>
  </property>
  <property fmtid="{D5CDD505-2E9C-101B-9397-08002B2CF9AE}" pid="20" name="PM_Version">
    <vt:lpwstr>2018.4</vt:lpwstr>
  </property>
  <property fmtid="{D5CDD505-2E9C-101B-9397-08002B2CF9AE}" pid="21" name="PM_Note">
    <vt:lpwstr/>
  </property>
  <property fmtid="{D5CDD505-2E9C-101B-9397-08002B2CF9AE}" pid="22" name="PM_Markers">
    <vt:lpwstr/>
  </property>
  <property fmtid="{D5CDD505-2E9C-101B-9397-08002B2CF9AE}" pid="23" name="PM_Display">
    <vt:lpwstr>UNOFFICIAL</vt:lpwstr>
  </property>
  <property fmtid="{D5CDD505-2E9C-101B-9397-08002B2CF9AE}" pid="24" name="PMUuid">
    <vt:lpwstr>888C8D7C-C12E-52A4-9297-370EB0F3096D</vt:lpwstr>
  </property>
  <property fmtid="{D5CDD505-2E9C-101B-9397-08002B2CF9AE}" pid="25" name="PMUuidVer">
    <vt:lpwstr>2022.1</vt:lpwstr>
  </property>
  <property fmtid="{D5CDD505-2E9C-101B-9397-08002B2CF9AE}" pid="26" name="PM_Hash_Version">
    <vt:lpwstr>2018.0</vt:lpwstr>
  </property>
  <property fmtid="{D5CDD505-2E9C-101B-9397-08002B2CF9AE}" pid="27" name="PM_Hash_Salt_Prev">
    <vt:lpwstr>3033E0BF0FAE7EA3AFCA4D2FB19C8744</vt:lpwstr>
  </property>
  <property fmtid="{D5CDD505-2E9C-101B-9397-08002B2CF9AE}" pid="28" name="PM_Hash_Salt">
    <vt:lpwstr>E762315B4C733DA65D67E7764BC1F62B</vt:lpwstr>
  </property>
  <property fmtid="{D5CDD505-2E9C-101B-9397-08002B2CF9AE}" pid="29" name="PM_Hash_SHA1">
    <vt:lpwstr>AB4A4DCC4C1877CF837267584DDECC693D372455</vt:lpwstr>
  </property>
  <property fmtid="{D5CDD505-2E9C-101B-9397-08002B2CF9AE}" pid="30" name="PM_OriginatorUserAccountName_SHA256">
    <vt:lpwstr>B3C0C729E65F0E401FC7DBFDE692415F3B8FE835105892A24A9C7A446C02C650</vt:lpwstr>
  </property>
  <property fmtid="{D5CDD505-2E9C-101B-9397-08002B2CF9AE}" pid="31" name="PM_OriginatorDomainName_SHA256">
    <vt:lpwstr>9E5929A2B0C9364118E50F7972B6A4AA763F815A803675E11226272E392AE99C</vt:lpwstr>
  </property>
  <property fmtid="{D5CDD505-2E9C-101B-9397-08002B2CF9AE}" pid="32" name="PM_MinimumSecurityClassification">
    <vt:lpwstr/>
  </property>
  <property fmtid="{D5CDD505-2E9C-101B-9397-08002B2CF9AE}" pid="33" name="PM_SecurityClassification_Prev">
    <vt:lpwstr>UNOFFICIAL</vt:lpwstr>
  </property>
  <property fmtid="{D5CDD505-2E9C-101B-9397-08002B2CF9AE}" pid="34" name="PM_Qualifier_Prev">
    <vt:lpwstr/>
  </property>
</Properties>
</file>